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vsd" ContentType="application/vnd.visio"/>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E4797A" w14:textId="521FE452" w:rsidR="006E0A2C" w:rsidRPr="009E06AA" w:rsidRDefault="00217603" w:rsidP="006E0A2C">
      <w:pPr>
        <w:rPr>
          <w:rFonts w:cs="Calibri"/>
        </w:rPr>
      </w:pPr>
      <w:r>
        <w:rPr>
          <w:rFonts w:cs="Calibri"/>
          <w:noProof/>
        </w:rPr>
        <w:drawing>
          <wp:anchor distT="0" distB="0" distL="114300" distR="114300" simplePos="0" relativeHeight="251658240" behindDoc="0" locked="0" layoutInCell="1" allowOverlap="1" wp14:anchorId="07D42249" wp14:editId="6B10125F">
            <wp:simplePos x="0" y="0"/>
            <wp:positionH relativeFrom="column">
              <wp:posOffset>-935990</wp:posOffset>
            </wp:positionH>
            <wp:positionV relativeFrom="paragraph">
              <wp:posOffset>-3611880</wp:posOffset>
            </wp:positionV>
            <wp:extent cx="7596000" cy="10744924"/>
            <wp:effectExtent l="0" t="0" r="5080" b="0"/>
            <wp:wrapNone/>
            <wp:docPr id="1932749802" name="Picture 1" descr="A water flowing through a d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749802" name="Picture 1" descr="A water flowing through a dam&#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96000" cy="10744924"/>
                    </a:xfrm>
                    <a:prstGeom prst="rect">
                      <a:avLst/>
                    </a:prstGeom>
                  </pic:spPr>
                </pic:pic>
              </a:graphicData>
            </a:graphic>
            <wp14:sizeRelH relativeFrom="page">
              <wp14:pctWidth>0</wp14:pctWidth>
            </wp14:sizeRelH>
            <wp14:sizeRelV relativeFrom="page">
              <wp14:pctHeight>0</wp14:pctHeight>
            </wp14:sizeRelV>
          </wp:anchor>
        </w:drawing>
      </w:r>
    </w:p>
    <w:p w14:paraId="595C1E6B" w14:textId="77777777" w:rsidR="00167528" w:rsidRPr="009E06AA" w:rsidRDefault="00167528" w:rsidP="006E0A2C">
      <w:pPr>
        <w:rPr>
          <w:rFonts w:cs="Calibri"/>
        </w:rPr>
      </w:pPr>
    </w:p>
    <w:p w14:paraId="0A1521CE" w14:textId="77777777" w:rsidR="006E0A2C" w:rsidRPr="009E06AA" w:rsidRDefault="006E0A2C" w:rsidP="006E0A2C">
      <w:pPr>
        <w:sectPr w:rsidR="006E0A2C" w:rsidRPr="009E06AA" w:rsidSect="00F66BF9">
          <w:headerReference w:type="default" r:id="rId12"/>
          <w:footerReference w:type="default" r:id="rId13"/>
          <w:pgSz w:w="11907" w:h="16840" w:code="9"/>
          <w:pgMar w:top="5670" w:right="1418" w:bottom="1701" w:left="1418" w:header="567" w:footer="567" w:gutter="0"/>
          <w:cols w:space="720"/>
        </w:sectPr>
      </w:pPr>
    </w:p>
    <w:p w14:paraId="7794C2A7" w14:textId="77777777" w:rsidR="00573E06" w:rsidRPr="006B77BB" w:rsidRDefault="00573E06" w:rsidP="00573E06">
      <w:pPr>
        <w:pStyle w:val="Imprint"/>
        <w:spacing w:after="0"/>
        <w:jc w:val="left"/>
        <w:rPr>
          <w:b/>
        </w:rPr>
      </w:pPr>
      <w:r w:rsidRPr="006B77BB">
        <w:rPr>
          <w:b/>
        </w:rPr>
        <w:t>Disclaimer</w:t>
      </w:r>
    </w:p>
    <w:p w14:paraId="117B81AD" w14:textId="77777777" w:rsidR="00573E06" w:rsidRDefault="00573E06" w:rsidP="00573E06">
      <w:pPr>
        <w:pStyle w:val="BodyText"/>
      </w:pPr>
      <w:r>
        <w:t xml:space="preserve">The information in this publication is, according to the Ministry for the Environment’s best efforts, accurate at the time of publication. The Ministry will make every reasonable effort to keep it </w:t>
      </w:r>
      <w:r w:rsidRPr="00573E06">
        <w:t>current</w:t>
      </w:r>
      <w:r>
        <w:t xml:space="preserve"> and accurate. However, users of this publication are advised that: </w:t>
      </w:r>
    </w:p>
    <w:p w14:paraId="4A2A86FD" w14:textId="77777777" w:rsidR="00573E06" w:rsidRPr="00573E06" w:rsidRDefault="00573E06" w:rsidP="00573E06">
      <w:pPr>
        <w:pStyle w:val="Bullet"/>
      </w:pPr>
      <w:r>
        <w:t xml:space="preserve">the information does not alter the laws of New Zealand, other official guidelines, or </w:t>
      </w:r>
      <w:r w:rsidRPr="00573E06">
        <w:t xml:space="preserve">requirements </w:t>
      </w:r>
    </w:p>
    <w:p w14:paraId="5C897A24" w14:textId="77777777" w:rsidR="00573E06" w:rsidRPr="00573E06" w:rsidRDefault="00573E06" w:rsidP="00573E06">
      <w:pPr>
        <w:pStyle w:val="Bullet"/>
      </w:pPr>
      <w:r w:rsidRPr="00573E06">
        <w:t xml:space="preserve">it does not constitute legal advice, and users should take specific advice from qualified professionals before taking any action based on information in this publication </w:t>
      </w:r>
    </w:p>
    <w:p w14:paraId="211F95F1" w14:textId="77777777" w:rsidR="00573E06" w:rsidRDefault="00573E06" w:rsidP="00573E06">
      <w:pPr>
        <w:pStyle w:val="Bullet"/>
      </w:pPr>
      <w:r w:rsidRPr="00573E06">
        <w:t>the Ministry does not accept any responsibility or liability whatsoever whether in contract, tort, equity, or otherwise for any action taken as a result of reading, or reliance placed on this publica</w:t>
      </w:r>
      <w:r>
        <w:t xml:space="preserve">tion because of having read any part, or all, of the information in this publication or for any error, or inadequacy, deficiency, flaw in, or omission from the information in this publication </w:t>
      </w:r>
    </w:p>
    <w:p w14:paraId="1222BD8B" w14:textId="53C7F061" w:rsidR="00824EAA" w:rsidRPr="009E06AA" w:rsidRDefault="00573E06" w:rsidP="00573E06">
      <w:pPr>
        <w:pStyle w:val="Bullet"/>
        <w:rPr>
          <w:rFonts w:cs="Calibri"/>
          <w:color w:val="000000"/>
        </w:rPr>
      </w:pPr>
      <w:r>
        <w:t>all references to websites, organisations or people not within the Ministry are for convenience only and should not be taken as endorsement of those websites or information contained in those websites nor of organisations or people referred to.</w:t>
      </w:r>
    </w:p>
    <w:p w14:paraId="59CE3431" w14:textId="77777777" w:rsidR="00824EAA" w:rsidRPr="009E06AA" w:rsidRDefault="00824EAA" w:rsidP="00824EAA">
      <w:pPr>
        <w:pStyle w:val="Imprint"/>
        <w:spacing w:after="120"/>
        <w:jc w:val="left"/>
        <w:rPr>
          <w:rFonts w:cs="Calibri"/>
          <w:color w:val="000000"/>
        </w:rPr>
      </w:pPr>
    </w:p>
    <w:p w14:paraId="56B52C91" w14:textId="77777777" w:rsidR="00824EAA" w:rsidRPr="009E06AA" w:rsidRDefault="00824EAA" w:rsidP="00824EAA">
      <w:pPr>
        <w:pStyle w:val="Imprint"/>
        <w:spacing w:after="120"/>
        <w:jc w:val="left"/>
        <w:rPr>
          <w:rFonts w:cs="Calibri"/>
          <w:color w:val="000000"/>
        </w:rPr>
      </w:pPr>
    </w:p>
    <w:p w14:paraId="7F7B9EAC" w14:textId="77777777" w:rsidR="00824EAA" w:rsidRPr="009E06AA" w:rsidRDefault="00824EAA" w:rsidP="00824EAA">
      <w:pPr>
        <w:pStyle w:val="Imprint"/>
        <w:spacing w:after="120"/>
        <w:jc w:val="left"/>
        <w:rPr>
          <w:rFonts w:cs="Calibri"/>
          <w:color w:val="000000"/>
        </w:rPr>
      </w:pPr>
    </w:p>
    <w:p w14:paraId="4483312F" w14:textId="10BDFC88" w:rsidR="00824EAA" w:rsidRPr="009E06AA" w:rsidRDefault="00824EAA" w:rsidP="00824EAA">
      <w:pPr>
        <w:pStyle w:val="Imprint"/>
        <w:spacing w:after="120"/>
        <w:jc w:val="left"/>
        <w:rPr>
          <w:rFonts w:cs="Calibri"/>
        </w:rPr>
      </w:pPr>
      <w:r w:rsidRPr="009E06AA">
        <w:rPr>
          <w:rFonts w:cs="Calibri"/>
          <w:color w:val="000000"/>
        </w:rPr>
        <w:t xml:space="preserve">This document may be cited as: Ministry for the Environment. </w:t>
      </w:r>
      <w:r w:rsidR="00D55917" w:rsidRPr="009E06AA">
        <w:rPr>
          <w:rFonts w:cs="Calibri"/>
          <w:color w:val="000000"/>
        </w:rPr>
        <w:t>2024</w:t>
      </w:r>
      <w:r w:rsidRPr="009E06AA">
        <w:rPr>
          <w:rFonts w:cs="Calibri"/>
          <w:color w:val="000000"/>
        </w:rPr>
        <w:t xml:space="preserve">. </w:t>
      </w:r>
      <w:r w:rsidRPr="009E06AA">
        <w:rPr>
          <w:rFonts w:cs="Calibri"/>
          <w:i/>
          <w:iCs/>
          <w:color w:val="000000"/>
        </w:rPr>
        <w:t>New Zealand’s Greenhouse Gas Inventory 1990–202</w:t>
      </w:r>
      <w:r w:rsidR="00D55917" w:rsidRPr="009E06AA">
        <w:rPr>
          <w:rFonts w:cs="Calibri"/>
          <w:i/>
          <w:iCs/>
          <w:color w:val="000000"/>
        </w:rPr>
        <w:t>2</w:t>
      </w:r>
      <w:r w:rsidRPr="009E06AA">
        <w:rPr>
          <w:rFonts w:cs="Calibri"/>
          <w:i/>
          <w:iCs/>
          <w:color w:val="000000"/>
        </w:rPr>
        <w:t xml:space="preserve">. </w:t>
      </w:r>
      <w:r w:rsidRPr="009E06AA">
        <w:rPr>
          <w:rFonts w:cs="Calibri"/>
          <w:color w:val="000000"/>
        </w:rPr>
        <w:t>Wellington: Ministry for the Environment.</w:t>
      </w:r>
    </w:p>
    <w:p w14:paraId="7802A5EC" w14:textId="77777777" w:rsidR="00824EAA" w:rsidRPr="009E06AA" w:rsidRDefault="00824EAA" w:rsidP="00824EAA">
      <w:pPr>
        <w:pStyle w:val="Imprint"/>
        <w:spacing w:after="120"/>
        <w:jc w:val="left"/>
        <w:rPr>
          <w:rFonts w:cs="Calibri"/>
        </w:rPr>
      </w:pPr>
    </w:p>
    <w:p w14:paraId="25B76655" w14:textId="77777777" w:rsidR="00DC0271" w:rsidRDefault="00DC0271" w:rsidP="00DC0271">
      <w:pPr>
        <w:spacing w:after="120"/>
      </w:pPr>
    </w:p>
    <w:p w14:paraId="52EE176E" w14:textId="77777777" w:rsidR="0061761F" w:rsidRDefault="0061761F" w:rsidP="00DC0271">
      <w:pPr>
        <w:spacing w:after="120"/>
      </w:pPr>
    </w:p>
    <w:p w14:paraId="5F0E5B1B" w14:textId="77777777" w:rsidR="0061761F" w:rsidRDefault="0061761F" w:rsidP="00DC0271">
      <w:pPr>
        <w:spacing w:after="120"/>
      </w:pPr>
    </w:p>
    <w:p w14:paraId="13EC0845" w14:textId="77777777" w:rsidR="0061761F" w:rsidRDefault="0061761F" w:rsidP="00DC0271">
      <w:pPr>
        <w:spacing w:after="120"/>
      </w:pPr>
    </w:p>
    <w:p w14:paraId="3FABE856" w14:textId="77777777" w:rsidR="0061761F" w:rsidRDefault="0061761F" w:rsidP="00DC0271">
      <w:pPr>
        <w:spacing w:after="120"/>
      </w:pPr>
    </w:p>
    <w:p w14:paraId="45290EC4" w14:textId="77777777" w:rsidR="0061761F" w:rsidRDefault="0061761F" w:rsidP="00DC0271">
      <w:pPr>
        <w:spacing w:after="120"/>
      </w:pPr>
    </w:p>
    <w:p w14:paraId="4E7E12DF" w14:textId="77777777" w:rsidR="0061761F" w:rsidRPr="009E06AA" w:rsidRDefault="0061761F" w:rsidP="0061761F"/>
    <w:p w14:paraId="6CA1AED4" w14:textId="79A60022" w:rsidR="00824EAA" w:rsidRPr="009E06AA" w:rsidRDefault="00824EAA" w:rsidP="00824EAA">
      <w:pPr>
        <w:pStyle w:val="Imprint"/>
        <w:spacing w:after="120"/>
        <w:jc w:val="left"/>
        <w:rPr>
          <w:rFonts w:cs="Arial"/>
        </w:rPr>
      </w:pPr>
      <w:r w:rsidRPr="009E06AA">
        <w:rPr>
          <w:rFonts w:cs="Calibri"/>
        </w:rPr>
        <w:t xml:space="preserve">Volume 1, </w:t>
      </w:r>
      <w:r w:rsidR="002F3D2A">
        <w:rPr>
          <w:rFonts w:cs="Calibri"/>
        </w:rPr>
        <w:t>c</w:t>
      </w:r>
      <w:r w:rsidR="002F3D2A" w:rsidRPr="009E06AA">
        <w:rPr>
          <w:rFonts w:cs="Calibri"/>
        </w:rPr>
        <w:t xml:space="preserve">hapters </w:t>
      </w:r>
      <w:r w:rsidRPr="009E06AA">
        <w:rPr>
          <w:rFonts w:cs="Calibri"/>
        </w:rPr>
        <w:t>1–1</w:t>
      </w:r>
      <w:r w:rsidR="00D55917" w:rsidRPr="009E06AA">
        <w:rPr>
          <w:rFonts w:cs="Calibri"/>
        </w:rPr>
        <w:t>0</w:t>
      </w:r>
    </w:p>
    <w:p w14:paraId="150AD521" w14:textId="10EF2669" w:rsidR="00824EAA" w:rsidRPr="009E06AA" w:rsidRDefault="00824EAA" w:rsidP="00824EAA">
      <w:pPr>
        <w:pStyle w:val="Imprint"/>
        <w:jc w:val="left"/>
        <w:rPr>
          <w:rFonts w:cs="Arial"/>
        </w:rPr>
      </w:pPr>
      <w:r w:rsidRPr="009E06AA">
        <w:rPr>
          <w:rFonts w:cs="Calibri"/>
        </w:rPr>
        <w:t>Published in April 202</w:t>
      </w:r>
      <w:r w:rsidR="00D55917" w:rsidRPr="009E06AA">
        <w:rPr>
          <w:rFonts w:cs="Calibri"/>
        </w:rPr>
        <w:t>4</w:t>
      </w:r>
      <w:r w:rsidRPr="009E06AA">
        <w:rPr>
          <w:rFonts w:cs="Calibri"/>
        </w:rPr>
        <w:t xml:space="preserve"> by the</w:t>
      </w:r>
      <w:r w:rsidRPr="009E06AA">
        <w:rPr>
          <w:rFonts w:cs="Arial"/>
        </w:rPr>
        <w:br/>
        <w:t xml:space="preserve">Ministry for the Environment </w:t>
      </w:r>
      <w:r w:rsidRPr="009E06AA">
        <w:rPr>
          <w:rFonts w:cs="Arial"/>
        </w:rPr>
        <w:br/>
        <w:t>Manatū Mō Te Taiao</w:t>
      </w:r>
      <w:r w:rsidRPr="009E06AA">
        <w:rPr>
          <w:rFonts w:cs="Arial"/>
        </w:rPr>
        <w:br/>
        <w:t>PO Box 10-362, Wellington, New Zealand</w:t>
      </w:r>
    </w:p>
    <w:p w14:paraId="5B9F123A" w14:textId="04DC9B92" w:rsidR="00824EAA" w:rsidRPr="009E06AA" w:rsidRDefault="00824EAA" w:rsidP="00824EAA">
      <w:pPr>
        <w:pStyle w:val="Imprint"/>
        <w:tabs>
          <w:tab w:val="left" w:pos="709"/>
        </w:tabs>
        <w:spacing w:after="0"/>
        <w:jc w:val="left"/>
      </w:pPr>
      <w:r w:rsidRPr="009E06AA">
        <w:t>ISSN:</w:t>
      </w:r>
      <w:r w:rsidR="00AE2944">
        <w:t xml:space="preserve"> </w:t>
      </w:r>
      <w:r w:rsidRPr="00E92F58">
        <w:rPr>
          <w:lang w:eastAsia="en-GB"/>
        </w:rPr>
        <w:t xml:space="preserve">1179-223X </w:t>
      </w:r>
      <w:r w:rsidRPr="00E92F58">
        <w:t>(electronic)</w:t>
      </w:r>
    </w:p>
    <w:p w14:paraId="008B209A" w14:textId="4BD7D906" w:rsidR="00824EAA" w:rsidRPr="009E06AA" w:rsidRDefault="00824EAA" w:rsidP="00824EAA">
      <w:pPr>
        <w:pStyle w:val="Imprint"/>
        <w:tabs>
          <w:tab w:val="left" w:pos="709"/>
        </w:tabs>
        <w:jc w:val="left"/>
        <w:rPr>
          <w:lang w:eastAsia="en-GB"/>
        </w:rPr>
      </w:pPr>
      <w:r w:rsidRPr="009E06AA">
        <w:t xml:space="preserve">Publication number: </w:t>
      </w:r>
      <w:r w:rsidRPr="009E06AA">
        <w:rPr>
          <w:lang w:eastAsia="en-GB"/>
        </w:rPr>
        <w:t xml:space="preserve">ME </w:t>
      </w:r>
      <w:r w:rsidR="008775EA">
        <w:rPr>
          <w:lang w:eastAsia="en-GB"/>
        </w:rPr>
        <w:t>1824</w:t>
      </w:r>
    </w:p>
    <w:p w14:paraId="746E6C23" w14:textId="668B2FF0" w:rsidR="00824EAA" w:rsidRPr="009E06AA" w:rsidRDefault="00824EAA" w:rsidP="00824EAA">
      <w:pPr>
        <w:rPr>
          <w:rFonts w:cs="Calibri"/>
        </w:rPr>
      </w:pPr>
      <w:r w:rsidRPr="009E06AA">
        <w:rPr>
          <w:rFonts w:cs="Calibri"/>
        </w:rPr>
        <w:t>© Crown copyright New Zealand 202</w:t>
      </w:r>
      <w:r w:rsidR="00932AD1" w:rsidRPr="009E06AA">
        <w:rPr>
          <w:rFonts w:cs="Calibri"/>
        </w:rPr>
        <w:t>4</w:t>
      </w:r>
    </w:p>
    <w:p w14:paraId="4B3783C2" w14:textId="77777777" w:rsidR="00824EAA" w:rsidRPr="009E06AA" w:rsidRDefault="00824EAA" w:rsidP="00824EAA">
      <w:pPr>
        <w:rPr>
          <w:rFonts w:cs="Calibri"/>
        </w:rPr>
      </w:pPr>
    </w:p>
    <w:p w14:paraId="2BC69766" w14:textId="77777777" w:rsidR="00824EAA" w:rsidRPr="009E06AA" w:rsidRDefault="00824EAA" w:rsidP="00824EAA">
      <w:pPr>
        <w:autoSpaceDE w:val="0"/>
        <w:autoSpaceDN w:val="0"/>
        <w:adjustRightInd w:val="0"/>
        <w:rPr>
          <w:rFonts w:cs="Calibri"/>
          <w:color w:val="000000"/>
        </w:rPr>
      </w:pPr>
      <w:r w:rsidRPr="009E06AA">
        <w:rPr>
          <w:rFonts w:cs="Calibri"/>
          <w:color w:val="000000"/>
        </w:rPr>
        <w:t>This document is available on the Ministry for the Environment website:</w:t>
      </w:r>
    </w:p>
    <w:p w14:paraId="7CAAE96F" w14:textId="1E48DE92" w:rsidR="00824EAA" w:rsidRPr="009E06AA" w:rsidRDefault="008975BF" w:rsidP="00824EAA">
      <w:hyperlink r:id="rId14" w:history="1">
        <w:r w:rsidR="00824EAA" w:rsidRPr="00EE33D7">
          <w:rPr>
            <w:rStyle w:val="Hyperlink"/>
            <w:rFonts w:cs="Calibri"/>
          </w:rPr>
          <w:t>environment.govt.nz</w:t>
        </w:r>
      </w:hyperlink>
      <w:r w:rsidR="00824EAA" w:rsidRPr="009E06AA">
        <w:rPr>
          <w:rFonts w:cs="Calibri"/>
          <w:color w:val="000000"/>
        </w:rPr>
        <w:t>.</w:t>
      </w:r>
    </w:p>
    <w:p w14:paraId="43CA4F2B" w14:textId="77777777" w:rsidR="006E0A2C" w:rsidRPr="009E06AA" w:rsidRDefault="006E0A2C" w:rsidP="006E0A2C">
      <w:pPr>
        <w:sectPr w:rsidR="006E0A2C" w:rsidRPr="009E06AA" w:rsidSect="00F66BF9">
          <w:headerReference w:type="default" r:id="rId15"/>
          <w:footerReference w:type="default" r:id="rId16"/>
          <w:pgSz w:w="11907" w:h="16840" w:code="9"/>
          <w:pgMar w:top="1701" w:right="1701" w:bottom="1701" w:left="1701" w:header="567" w:footer="567" w:gutter="0"/>
          <w:pgNumType w:fmt="lowerRoman"/>
          <w:cols w:space="720"/>
        </w:sectPr>
      </w:pPr>
    </w:p>
    <w:p w14:paraId="34DB0225" w14:textId="77777777" w:rsidR="00CF5C97" w:rsidRPr="009E06AA" w:rsidRDefault="00CF5C97" w:rsidP="00CF5C97">
      <w:pPr>
        <w:pStyle w:val="Heading1"/>
      </w:pPr>
      <w:bookmarkStart w:id="0" w:name="_Toc451345933"/>
      <w:bookmarkStart w:id="1" w:name="_Toc482790670"/>
      <w:bookmarkStart w:id="2" w:name="_Toc511116554"/>
      <w:bookmarkStart w:id="3" w:name="_Toc5269316"/>
      <w:bookmarkStart w:id="4" w:name="_Toc36224354"/>
      <w:bookmarkStart w:id="5" w:name="_Toc68786274"/>
      <w:bookmarkStart w:id="6" w:name="_Toc131591189"/>
      <w:bookmarkStart w:id="7" w:name="_Toc164154149"/>
      <w:r w:rsidRPr="009E06AA">
        <w:t>Acknowledgements</w:t>
      </w:r>
      <w:bookmarkEnd w:id="0"/>
      <w:bookmarkEnd w:id="1"/>
      <w:bookmarkEnd w:id="2"/>
      <w:bookmarkEnd w:id="3"/>
      <w:bookmarkEnd w:id="4"/>
      <w:bookmarkEnd w:id="5"/>
      <w:bookmarkEnd w:id="6"/>
      <w:bookmarkEnd w:id="7"/>
    </w:p>
    <w:p w14:paraId="2D143CD6" w14:textId="77777777" w:rsidR="009206D2" w:rsidRPr="009E06AA" w:rsidRDefault="009206D2" w:rsidP="009206D2">
      <w:pPr>
        <w:pStyle w:val="BodyText"/>
      </w:pPr>
      <w:r w:rsidRPr="009E06AA">
        <w:t xml:space="preserve">The Ministry for the Environment thanks and acknowledges the many experts </w:t>
      </w:r>
      <w:r w:rsidRPr="009E06AA">
        <w:rPr>
          <w:color w:val="000000" w:themeColor="text1"/>
        </w:rPr>
        <w:t xml:space="preserve">from central and local </w:t>
      </w:r>
      <w:r w:rsidRPr="009E06AA">
        <w:t>government agencies, and industry and science organisations who contributed to the development and compilation of this inventory. Members of the Reporting Governance Group (RGG) are also acknowledged for their general advice and guidance over the production of this report.</w:t>
      </w:r>
    </w:p>
    <w:p w14:paraId="7C6E99C2" w14:textId="77777777" w:rsidR="009206D2" w:rsidRPr="009E06AA" w:rsidRDefault="009206D2" w:rsidP="008613C8">
      <w:pPr>
        <w:pStyle w:val="Heading6"/>
      </w:pPr>
      <w:r w:rsidRPr="009E06AA">
        <w:t>Key contributors</w:t>
      </w:r>
    </w:p>
    <w:p w14:paraId="3A0D9446" w14:textId="77777777" w:rsidR="009206D2" w:rsidRPr="009E06AA" w:rsidRDefault="009206D2" w:rsidP="009206D2">
      <w:pPr>
        <w:spacing w:before="120"/>
        <w:rPr>
          <w:b/>
          <w:bCs/>
          <w:i/>
          <w:iCs/>
        </w:rPr>
      </w:pPr>
      <w:r w:rsidRPr="009E06AA">
        <w:rPr>
          <w:b/>
          <w:bCs/>
          <w:i/>
          <w:iCs/>
        </w:rPr>
        <w:t xml:space="preserve">Ministry for the Environment </w:t>
      </w:r>
    </w:p>
    <w:p w14:paraId="35FE1161" w14:textId="77777777" w:rsidR="009206D2" w:rsidRPr="009E06AA" w:rsidRDefault="009206D2" w:rsidP="009206D2">
      <w:pPr>
        <w:pStyle w:val="BodyText"/>
        <w:spacing w:after="80"/>
        <w:rPr>
          <w:i/>
        </w:rPr>
      </w:pPr>
      <w:r w:rsidRPr="009E06AA">
        <w:rPr>
          <w:i/>
        </w:rPr>
        <w:t>Cross-sector and sector compilation</w:t>
      </w:r>
    </w:p>
    <w:p w14:paraId="6EED88CF" w14:textId="77777777" w:rsidR="009206D2" w:rsidRPr="009E06AA" w:rsidRDefault="009206D2" w:rsidP="009206D2">
      <w:pPr>
        <w:pStyle w:val="Bullet"/>
        <w:spacing w:after="80"/>
      </w:pPr>
      <w:r w:rsidRPr="009E06AA">
        <w:t>Dr Andrea Brandon (National Inventory Focal Point, National Inventory Compiler)</w:t>
      </w:r>
    </w:p>
    <w:p w14:paraId="29A64D7C" w14:textId="77777777" w:rsidR="009206D2" w:rsidRPr="009E06AA" w:rsidRDefault="009206D2" w:rsidP="009206D2">
      <w:pPr>
        <w:pStyle w:val="Bullet"/>
        <w:spacing w:after="80"/>
      </w:pPr>
      <w:r w:rsidRPr="009E06AA">
        <w:t>Chris Bean (Technical lead, Tokelau sector lead, cross-sector analyses, Tokelau chapter automation)</w:t>
      </w:r>
    </w:p>
    <w:p w14:paraId="6BF75141" w14:textId="77777777" w:rsidR="009206D2" w:rsidRPr="009E06AA" w:rsidRDefault="009206D2" w:rsidP="009206D2">
      <w:pPr>
        <w:pStyle w:val="Bullet"/>
        <w:spacing w:after="80"/>
      </w:pPr>
      <w:r w:rsidRPr="009E06AA">
        <w:t>Dr Daniel Boczniewicz (Quality assurance and quality control (QA/QC) lead, GHG Inventory automation lead, cross-sector analyses)</w:t>
      </w:r>
    </w:p>
    <w:p w14:paraId="09F52832" w14:textId="77777777" w:rsidR="009206D2" w:rsidRPr="009E06AA" w:rsidRDefault="009206D2" w:rsidP="009206D2">
      <w:pPr>
        <w:pStyle w:val="Bullet"/>
        <w:spacing w:after="80"/>
        <w:rPr>
          <w:spacing w:val="-2"/>
        </w:rPr>
      </w:pPr>
      <w:r w:rsidRPr="009E06AA">
        <w:rPr>
          <w:spacing w:val="-2"/>
        </w:rPr>
        <w:t xml:space="preserve">Dr Ann Yang (Industrial Processes and Product Use (IPPU) sector lead, cross-sector analyses) </w:t>
      </w:r>
    </w:p>
    <w:p w14:paraId="1D13CA20" w14:textId="77777777" w:rsidR="009206D2" w:rsidRPr="009E06AA" w:rsidRDefault="009206D2" w:rsidP="009206D2">
      <w:pPr>
        <w:pStyle w:val="Bullet"/>
        <w:spacing w:after="80"/>
      </w:pPr>
      <w:r w:rsidRPr="009E06AA">
        <w:t>Dr Ivan Chirino-Valle (Waste sector lead, Waste chapter automation)</w:t>
      </w:r>
    </w:p>
    <w:p w14:paraId="1B3DFDCD" w14:textId="77777777" w:rsidR="009206D2" w:rsidRPr="009E06AA" w:rsidRDefault="009206D2" w:rsidP="009206D2">
      <w:pPr>
        <w:pStyle w:val="Bullet"/>
        <w:spacing w:after="80"/>
      </w:pPr>
      <w:r w:rsidRPr="009E06AA">
        <w:t>Asher Cook (Land Use, Land-Use Change and Forestry (LULUCF) sector lead)</w:t>
      </w:r>
    </w:p>
    <w:p w14:paraId="343E6296" w14:textId="77777777" w:rsidR="009206D2" w:rsidRPr="009E06AA" w:rsidRDefault="009206D2" w:rsidP="009206D2">
      <w:pPr>
        <w:pStyle w:val="BodyText"/>
        <w:spacing w:before="160" w:after="80"/>
        <w:rPr>
          <w:i/>
        </w:rPr>
      </w:pPr>
      <w:r w:rsidRPr="009E06AA">
        <w:rPr>
          <w:i/>
        </w:rPr>
        <w:t>Peer review and quality control</w:t>
      </w:r>
    </w:p>
    <w:p w14:paraId="5858E869" w14:textId="77777777" w:rsidR="009206D2" w:rsidRPr="009E06AA" w:rsidRDefault="009206D2" w:rsidP="009206D2">
      <w:pPr>
        <w:pStyle w:val="Bullet"/>
        <w:spacing w:after="80"/>
      </w:pPr>
      <w:r w:rsidRPr="009E06AA">
        <w:t>Alice Ryan (Principal peer reviewer)</w:t>
      </w:r>
    </w:p>
    <w:p w14:paraId="65D8EEC4" w14:textId="77777777" w:rsidR="009206D2" w:rsidRPr="009E06AA" w:rsidRDefault="009206D2" w:rsidP="009206D2">
      <w:pPr>
        <w:pStyle w:val="Bullet"/>
        <w:spacing w:after="80"/>
      </w:pPr>
      <w:r w:rsidRPr="009E06AA">
        <w:t>Chris Bean (QA/QC and peer review)</w:t>
      </w:r>
    </w:p>
    <w:p w14:paraId="4E4CC140" w14:textId="77777777" w:rsidR="009206D2" w:rsidRPr="009E06AA" w:rsidRDefault="009206D2" w:rsidP="009206D2">
      <w:pPr>
        <w:pStyle w:val="Bullet"/>
        <w:spacing w:after="80"/>
      </w:pPr>
      <w:r w:rsidRPr="009E06AA">
        <w:t>Josh Jamieson (QA/QC)</w:t>
      </w:r>
    </w:p>
    <w:p w14:paraId="0E7B434B" w14:textId="77777777" w:rsidR="00C60B54" w:rsidRPr="009E06AA" w:rsidRDefault="009206D2" w:rsidP="00C60B54">
      <w:pPr>
        <w:pStyle w:val="Bullet"/>
        <w:spacing w:after="80"/>
      </w:pPr>
      <w:r w:rsidRPr="009E06AA">
        <w:t xml:space="preserve">Riki Taylor </w:t>
      </w:r>
      <w:r w:rsidR="00C60B54" w:rsidRPr="009E06AA">
        <w:t>(QA/QC)</w:t>
      </w:r>
    </w:p>
    <w:p w14:paraId="6A509EF0" w14:textId="46B39D6F" w:rsidR="009206D2" w:rsidRPr="009E06AA" w:rsidRDefault="009206D2" w:rsidP="009206D2">
      <w:pPr>
        <w:pStyle w:val="Bullet"/>
        <w:spacing w:after="80"/>
      </w:pPr>
      <w:r w:rsidRPr="009E06AA">
        <w:t>Nathan Potter (QA/QC)</w:t>
      </w:r>
    </w:p>
    <w:p w14:paraId="5226FC3C" w14:textId="0EE9F43C" w:rsidR="00816581" w:rsidRPr="009E06AA" w:rsidRDefault="00816581" w:rsidP="00816581">
      <w:pPr>
        <w:pStyle w:val="Bullet"/>
      </w:pPr>
      <w:r w:rsidRPr="009E06AA">
        <w:t>Charissa Billings, Georgia Cowie, Kelly Mackie, Anna Tarr (QA/QC)</w:t>
      </w:r>
    </w:p>
    <w:p w14:paraId="31EE6017" w14:textId="77777777" w:rsidR="009206D2" w:rsidRPr="009E06AA" w:rsidRDefault="009206D2" w:rsidP="009206D2">
      <w:pPr>
        <w:pStyle w:val="BodyText"/>
        <w:spacing w:before="160" w:after="80"/>
        <w:rPr>
          <w:i/>
        </w:rPr>
      </w:pPr>
      <w:r w:rsidRPr="009E06AA">
        <w:rPr>
          <w:i/>
        </w:rPr>
        <w:t>Other contributors</w:t>
      </w:r>
    </w:p>
    <w:p w14:paraId="20E91259" w14:textId="77777777" w:rsidR="009206D2" w:rsidRPr="009E06AA" w:rsidRDefault="009206D2" w:rsidP="009206D2">
      <w:pPr>
        <w:pStyle w:val="Bullet"/>
        <w:spacing w:after="80"/>
      </w:pPr>
      <w:r w:rsidRPr="009E06AA">
        <w:t>Frances Barnett and Josh Jamieson (Supplementary products leads)</w:t>
      </w:r>
    </w:p>
    <w:p w14:paraId="28719875" w14:textId="77777777" w:rsidR="009206D2" w:rsidRPr="009E06AA" w:rsidRDefault="009206D2" w:rsidP="009206D2">
      <w:pPr>
        <w:pStyle w:val="Bullet"/>
        <w:spacing w:after="80"/>
      </w:pPr>
      <w:r w:rsidRPr="009E06AA">
        <w:t>Peter Baillie (project management)</w:t>
      </w:r>
    </w:p>
    <w:p w14:paraId="28F275DB" w14:textId="77777777" w:rsidR="009206D2" w:rsidRPr="009E06AA" w:rsidRDefault="009206D2" w:rsidP="009206D2">
      <w:pPr>
        <w:pStyle w:val="Bullet"/>
        <w:spacing w:after="80"/>
      </w:pPr>
      <w:r w:rsidRPr="009E06AA">
        <w:t>Logan Ashmore (automation support)</w:t>
      </w:r>
    </w:p>
    <w:p w14:paraId="78A0129F" w14:textId="77777777" w:rsidR="009206D2" w:rsidRPr="009E06AA" w:rsidRDefault="009206D2" w:rsidP="009206D2">
      <w:pPr>
        <w:pStyle w:val="Bullet"/>
        <w:spacing w:after="80"/>
      </w:pPr>
      <w:r w:rsidRPr="009E06AA">
        <w:t>Tyler Northern (Waste chapter automation)</w:t>
      </w:r>
    </w:p>
    <w:p w14:paraId="2FF74337" w14:textId="77777777" w:rsidR="009206D2" w:rsidRPr="009E06AA" w:rsidRDefault="009206D2" w:rsidP="009206D2">
      <w:pPr>
        <w:pStyle w:val="Bullet"/>
        <w:spacing w:after="80"/>
      </w:pPr>
      <w:r w:rsidRPr="009E06AA">
        <w:t>Joanne Butcher, Lisette du Plessis</w:t>
      </w:r>
      <w:r w:rsidRPr="009E06AA">
        <w:rPr>
          <w:color w:val="FF0000"/>
        </w:rPr>
        <w:t xml:space="preserve"> </w:t>
      </w:r>
      <w:r w:rsidRPr="009E06AA">
        <w:t>and Emily Wikingi (communications and publishing)</w:t>
      </w:r>
    </w:p>
    <w:p w14:paraId="3BDA6CB9" w14:textId="77777777" w:rsidR="009206D2" w:rsidRPr="009E06AA" w:rsidRDefault="009206D2" w:rsidP="009206D2">
      <w:pPr>
        <w:pStyle w:val="BodyText"/>
        <w:spacing w:before="160" w:after="0"/>
        <w:rPr>
          <w:i/>
          <w:iCs/>
        </w:rPr>
      </w:pPr>
      <w:r w:rsidRPr="009E06AA">
        <w:rPr>
          <w:i/>
          <w:iCs/>
        </w:rPr>
        <w:t>Governance</w:t>
      </w:r>
    </w:p>
    <w:p w14:paraId="4589C395" w14:textId="586AF1E7" w:rsidR="009206D2" w:rsidRPr="009E06AA" w:rsidRDefault="009206D2" w:rsidP="009206D2">
      <w:pPr>
        <w:pStyle w:val="Bullet"/>
        <w:spacing w:after="80"/>
      </w:pPr>
      <w:r w:rsidRPr="009E06AA">
        <w:t>Dr Alice Cleland (RGG Chair; RGG manager, IPPU and Tokelau; general advice and guidance)</w:t>
      </w:r>
    </w:p>
    <w:p w14:paraId="512104D1" w14:textId="77777777" w:rsidR="009206D2" w:rsidRPr="009E06AA" w:rsidRDefault="009206D2" w:rsidP="009206D2">
      <w:pPr>
        <w:pStyle w:val="Bullet"/>
        <w:spacing w:after="80"/>
      </w:pPr>
      <w:r w:rsidRPr="009E06AA">
        <w:t>Robyn Crisford (RGG manager, LULUCF)</w:t>
      </w:r>
    </w:p>
    <w:p w14:paraId="7AC2B005" w14:textId="77777777" w:rsidR="009206D2" w:rsidRPr="009E06AA" w:rsidRDefault="009206D2" w:rsidP="009206D2">
      <w:pPr>
        <w:pStyle w:val="Bullet"/>
        <w:spacing w:after="80"/>
      </w:pPr>
      <w:r w:rsidRPr="009E06AA">
        <w:t>Miranda Cross (RGG manager, Waste)</w:t>
      </w:r>
    </w:p>
    <w:p w14:paraId="19E7B7D0" w14:textId="77777777" w:rsidR="009206D2" w:rsidRPr="009E06AA" w:rsidRDefault="009206D2" w:rsidP="009206D2">
      <w:pPr>
        <w:pStyle w:val="Bullet"/>
        <w:spacing w:after="80"/>
      </w:pPr>
      <w:r w:rsidRPr="009E06AA">
        <w:t>Meredith Davis (RGG manager, Projections)</w:t>
      </w:r>
    </w:p>
    <w:p w14:paraId="6983741C" w14:textId="77777777" w:rsidR="009206D2" w:rsidRPr="009E06AA" w:rsidRDefault="009206D2" w:rsidP="009206D2">
      <w:pPr>
        <w:pStyle w:val="Bullet"/>
        <w:spacing w:after="80"/>
      </w:pPr>
      <w:r w:rsidRPr="009E06AA">
        <w:t>Megan Hurnard (general advice and guidance)</w:t>
      </w:r>
    </w:p>
    <w:p w14:paraId="730A564C" w14:textId="77777777" w:rsidR="009206D2" w:rsidRPr="009E06AA" w:rsidRDefault="009206D2" w:rsidP="009206D2">
      <w:pPr>
        <w:keepNext/>
        <w:spacing w:before="200" w:after="80"/>
        <w:rPr>
          <w:b/>
          <w:i/>
        </w:rPr>
      </w:pPr>
      <w:r w:rsidRPr="009E06AA">
        <w:rPr>
          <w:b/>
          <w:i/>
        </w:rPr>
        <w:t>Ministry for Primary Industries</w:t>
      </w:r>
    </w:p>
    <w:p w14:paraId="6E9D92AC" w14:textId="77777777" w:rsidR="009206D2" w:rsidRPr="009E06AA" w:rsidRDefault="009206D2" w:rsidP="009206D2">
      <w:pPr>
        <w:pStyle w:val="Bullet"/>
        <w:keepNext/>
        <w:spacing w:after="80"/>
      </w:pPr>
      <w:r w:rsidRPr="009E06AA">
        <w:t>Jamie Higgison (Agriculture sector lead)</w:t>
      </w:r>
    </w:p>
    <w:p w14:paraId="2E10D46F" w14:textId="77777777" w:rsidR="009206D2" w:rsidRPr="009E06AA" w:rsidRDefault="009206D2" w:rsidP="009206D2">
      <w:pPr>
        <w:pStyle w:val="Bullet"/>
        <w:spacing w:after="80"/>
      </w:pPr>
      <w:r w:rsidRPr="009E06AA">
        <w:t>Catherine Sangster (</w:t>
      </w:r>
      <w:r w:rsidRPr="009E06AA">
        <w:rPr>
          <w:color w:val="000000" w:themeColor="text1"/>
        </w:rPr>
        <w:t>Agriculture team member</w:t>
      </w:r>
      <w:r w:rsidRPr="009E06AA">
        <w:t>)</w:t>
      </w:r>
    </w:p>
    <w:p w14:paraId="56B27B38" w14:textId="77777777" w:rsidR="009206D2" w:rsidRPr="009E06AA" w:rsidRDefault="009206D2" w:rsidP="009206D2">
      <w:pPr>
        <w:pStyle w:val="Bullet"/>
        <w:spacing w:after="80"/>
      </w:pPr>
      <w:r w:rsidRPr="009E06AA">
        <w:t>Mark Lieffering (</w:t>
      </w:r>
      <w:r w:rsidRPr="009E06AA">
        <w:rPr>
          <w:color w:val="000000" w:themeColor="text1"/>
        </w:rPr>
        <w:t>Agriculture team member</w:t>
      </w:r>
      <w:r w:rsidRPr="009E06AA">
        <w:t>)</w:t>
      </w:r>
    </w:p>
    <w:p w14:paraId="182DE578" w14:textId="77777777" w:rsidR="009206D2" w:rsidRPr="009E06AA" w:rsidRDefault="009206D2" w:rsidP="009206D2">
      <w:pPr>
        <w:pStyle w:val="Bullet"/>
        <w:spacing w:after="80"/>
      </w:pPr>
      <w:r w:rsidRPr="009E06AA">
        <w:t xml:space="preserve">Miro Williams (Agriculture team member) </w:t>
      </w:r>
    </w:p>
    <w:p w14:paraId="33C8E311" w14:textId="77777777" w:rsidR="009206D2" w:rsidRPr="009E06AA" w:rsidRDefault="009206D2" w:rsidP="009206D2">
      <w:pPr>
        <w:pStyle w:val="Bullet"/>
        <w:spacing w:after="80"/>
      </w:pPr>
      <w:r w:rsidRPr="009E06AA">
        <w:t>Joel Gibbs (RGG team leader, Agriculture)</w:t>
      </w:r>
    </w:p>
    <w:p w14:paraId="3CBBDF0A" w14:textId="77777777" w:rsidR="009206D2" w:rsidRPr="009E06AA" w:rsidRDefault="009206D2" w:rsidP="009206D2">
      <w:pPr>
        <w:keepNext/>
        <w:spacing w:before="200" w:after="80"/>
        <w:rPr>
          <w:b/>
          <w:i/>
        </w:rPr>
      </w:pPr>
      <w:r w:rsidRPr="009E06AA">
        <w:rPr>
          <w:b/>
          <w:i/>
        </w:rPr>
        <w:t>Ministry of Business, Innovation and Employment</w:t>
      </w:r>
    </w:p>
    <w:p w14:paraId="0E6850A3" w14:textId="77777777" w:rsidR="009206D2" w:rsidRPr="009E06AA" w:rsidRDefault="009206D2" w:rsidP="009206D2">
      <w:pPr>
        <w:pStyle w:val="Bullet"/>
        <w:spacing w:after="80"/>
      </w:pPr>
      <w:r w:rsidRPr="009E06AA">
        <w:t xml:space="preserve">Dr Michael Smith (Energy sector lead, IPPU: carbon dioxide) </w:t>
      </w:r>
    </w:p>
    <w:p w14:paraId="52EA3410" w14:textId="77777777" w:rsidR="009206D2" w:rsidRPr="009E06AA" w:rsidRDefault="009206D2" w:rsidP="009206D2">
      <w:pPr>
        <w:pStyle w:val="Bullet"/>
        <w:spacing w:after="80"/>
      </w:pPr>
      <w:r w:rsidRPr="009E06AA">
        <w:t>Dr Jan-Yves Ruzicka (QA/QC, Energy)</w:t>
      </w:r>
    </w:p>
    <w:p w14:paraId="7DDC2226" w14:textId="77777777" w:rsidR="009206D2" w:rsidRPr="009E06AA" w:rsidRDefault="009206D2" w:rsidP="009206D2">
      <w:pPr>
        <w:pStyle w:val="Bullet"/>
        <w:spacing w:after="80"/>
      </w:pPr>
      <w:r w:rsidRPr="009E06AA">
        <w:t>Mike Hayward (RGG manager, Energy)</w:t>
      </w:r>
    </w:p>
    <w:p w14:paraId="011711EE" w14:textId="77777777" w:rsidR="009206D2" w:rsidRPr="009E06AA" w:rsidRDefault="009206D2" w:rsidP="009206D2">
      <w:pPr>
        <w:keepNext/>
        <w:spacing w:before="200" w:after="80"/>
      </w:pPr>
      <w:r w:rsidRPr="009E06AA">
        <w:rPr>
          <w:b/>
          <w:i/>
        </w:rPr>
        <w:t>Environmental Protection Authority</w:t>
      </w:r>
      <w:r w:rsidRPr="009E06AA">
        <w:t xml:space="preserve"> </w:t>
      </w:r>
    </w:p>
    <w:p w14:paraId="6D179054" w14:textId="77777777" w:rsidR="009206D2" w:rsidRPr="009E06AA" w:rsidRDefault="009206D2" w:rsidP="009206D2">
      <w:pPr>
        <w:pStyle w:val="Bullet"/>
        <w:spacing w:after="80"/>
      </w:pPr>
      <w:r w:rsidRPr="009E06AA">
        <w:t>Sinead McAllery (peer review, IPPU)</w:t>
      </w:r>
    </w:p>
    <w:p w14:paraId="3C08E18D" w14:textId="77777777" w:rsidR="009206D2" w:rsidRPr="009E06AA" w:rsidRDefault="009206D2" w:rsidP="009206D2">
      <w:pPr>
        <w:pStyle w:val="Bullet"/>
        <w:spacing w:after="80"/>
      </w:pPr>
      <w:r w:rsidRPr="009E06AA">
        <w:t xml:space="preserve">Dave Stuart (RGG team leader, Emissions Trading Scheme operations) </w:t>
      </w:r>
    </w:p>
    <w:p w14:paraId="3BC1A6FB" w14:textId="77777777" w:rsidR="009206D2" w:rsidRPr="009E06AA" w:rsidRDefault="009206D2" w:rsidP="009206D2">
      <w:pPr>
        <w:keepNext/>
        <w:spacing w:before="200" w:after="80"/>
        <w:rPr>
          <w:b/>
          <w:bCs/>
          <w:i/>
          <w:iCs/>
        </w:rPr>
      </w:pPr>
      <w:r w:rsidRPr="009E06AA">
        <w:rPr>
          <w:b/>
          <w:bCs/>
          <w:i/>
          <w:iCs/>
        </w:rPr>
        <w:t>Tokelau Government</w:t>
      </w:r>
    </w:p>
    <w:p w14:paraId="0F2FACF9" w14:textId="5032667D" w:rsidR="009206D2" w:rsidRPr="009E06AA" w:rsidRDefault="009206D2" w:rsidP="009206D2">
      <w:pPr>
        <w:pStyle w:val="Bullet"/>
        <w:spacing w:after="80"/>
      </w:pPr>
      <w:r w:rsidRPr="009E06AA">
        <w:t xml:space="preserve">Paula Faiva, </w:t>
      </w:r>
      <w:r w:rsidR="000A2B85" w:rsidRPr="000A2B85">
        <w:t>Aukusitino Vitale</w:t>
      </w:r>
      <w:r w:rsidRPr="009E06AA">
        <w:t>, Celine Iose (Tokelau Ministry of Climate, Oceans and Resilience) (general advice and guidance)</w:t>
      </w:r>
    </w:p>
    <w:p w14:paraId="330B925E" w14:textId="77777777" w:rsidR="009206D2" w:rsidRPr="009E06AA" w:rsidRDefault="009206D2" w:rsidP="009206D2">
      <w:pPr>
        <w:pStyle w:val="Bullet"/>
        <w:spacing w:after="80"/>
      </w:pPr>
      <w:r w:rsidRPr="009E06AA">
        <w:t>Penehuro Lefale (LeA International) (peer review, general advice and guidance)</w:t>
      </w:r>
    </w:p>
    <w:p w14:paraId="5DFAE5AE" w14:textId="77777777" w:rsidR="009206D2" w:rsidRPr="009E06AA" w:rsidRDefault="009206D2" w:rsidP="009206D2">
      <w:pPr>
        <w:keepNext/>
        <w:spacing w:before="240" w:after="60"/>
        <w:outlineLvl w:val="5"/>
        <w:rPr>
          <w:b/>
          <w:iCs/>
        </w:rPr>
      </w:pPr>
      <w:r w:rsidRPr="009E06AA">
        <w:rPr>
          <w:b/>
          <w:iCs/>
        </w:rPr>
        <w:t>Technical contributors and specialists</w:t>
      </w:r>
    </w:p>
    <w:p w14:paraId="7D4A33A0" w14:textId="77777777" w:rsidR="009206D2" w:rsidRPr="009E06AA" w:rsidRDefault="009206D2" w:rsidP="009206D2">
      <w:pPr>
        <w:spacing w:before="80" w:after="80"/>
        <w:rPr>
          <w:b/>
          <w:i/>
        </w:rPr>
      </w:pPr>
      <w:r w:rsidRPr="009E06AA">
        <w:rPr>
          <w:b/>
          <w:i/>
        </w:rPr>
        <w:t>Industrial Processes and Product Use sector</w:t>
      </w:r>
    </w:p>
    <w:p w14:paraId="22AB8527" w14:textId="77777777" w:rsidR="009206D2" w:rsidRPr="009E06AA" w:rsidRDefault="009206D2" w:rsidP="009206D2">
      <w:pPr>
        <w:pStyle w:val="Bullet"/>
        <w:spacing w:after="80"/>
        <w:rPr>
          <w:color w:val="000000" w:themeColor="text1"/>
        </w:rPr>
      </w:pPr>
      <w:r w:rsidRPr="009E06AA">
        <w:rPr>
          <w:color w:val="000000" w:themeColor="text1"/>
        </w:rPr>
        <w:t xml:space="preserve">Verum Group: Wayne Hennessy </w:t>
      </w:r>
    </w:p>
    <w:p w14:paraId="291FDEBE" w14:textId="77777777" w:rsidR="009206D2" w:rsidRPr="009E06AA" w:rsidRDefault="009206D2" w:rsidP="009206D2">
      <w:pPr>
        <w:pStyle w:val="Bullet"/>
        <w:spacing w:after="80"/>
      </w:pPr>
      <w:r w:rsidRPr="009E06AA">
        <w:t>Ministry of Business, Innovation and Employment: Jan-Yves Ruzicka (technical advice)</w:t>
      </w:r>
    </w:p>
    <w:p w14:paraId="46B0F3FE" w14:textId="77777777" w:rsidR="009206D2" w:rsidRPr="009E06AA" w:rsidRDefault="009206D2" w:rsidP="009206D2">
      <w:pPr>
        <w:keepNext/>
        <w:spacing w:before="200" w:after="80"/>
        <w:rPr>
          <w:b/>
          <w:bCs/>
          <w:i/>
          <w:iCs/>
        </w:rPr>
      </w:pPr>
      <w:r w:rsidRPr="009E06AA">
        <w:rPr>
          <w:b/>
          <w:i/>
        </w:rPr>
        <w:t xml:space="preserve">Agriculture sector </w:t>
      </w:r>
    </w:p>
    <w:p w14:paraId="0D8D305E" w14:textId="77777777" w:rsidR="009206D2" w:rsidRPr="009E06AA" w:rsidRDefault="009206D2" w:rsidP="009206D2">
      <w:pPr>
        <w:pStyle w:val="Bullet"/>
        <w:spacing w:after="80"/>
      </w:pPr>
      <w:r w:rsidRPr="009E06AA">
        <w:t>AgResearch: David Stevens, Mike Rollo and Ronaldo Vibart</w:t>
      </w:r>
    </w:p>
    <w:p w14:paraId="7C85387F" w14:textId="77777777" w:rsidR="009206D2" w:rsidRPr="009E06AA" w:rsidRDefault="009206D2" w:rsidP="009206D2">
      <w:pPr>
        <w:pStyle w:val="Bullet"/>
        <w:spacing w:after="80"/>
      </w:pPr>
      <w:r w:rsidRPr="009E06AA">
        <w:t>Ministry for Primary Industries: Dr Gerald Rys, Ellie Avery, Darran Austin, Shania Brooks,</w:t>
      </w:r>
      <w:r w:rsidRPr="009E06AA" w:rsidDel="003F3963">
        <w:t xml:space="preserve"> </w:t>
      </w:r>
      <w:r w:rsidRPr="009E06AA">
        <w:rPr>
          <w:spacing w:val="-2"/>
        </w:rPr>
        <w:t>Shannon Bentley, Holly Foran, Dr Amita Fotedar, Rachel Read, Renee Rushton, Kim Mashla</w:t>
      </w:r>
      <w:r w:rsidRPr="009E06AA">
        <w:t xml:space="preserve">n </w:t>
      </w:r>
    </w:p>
    <w:p w14:paraId="1DD562BD" w14:textId="77777777" w:rsidR="009206D2" w:rsidRPr="009E06AA" w:rsidRDefault="009206D2" w:rsidP="009206D2">
      <w:pPr>
        <w:pStyle w:val="BodyText"/>
        <w:spacing w:before="200" w:after="80"/>
      </w:pPr>
      <w:r w:rsidRPr="009E06AA">
        <w:rPr>
          <w:b/>
          <w:i/>
        </w:rPr>
        <w:t xml:space="preserve">Land Use, Land-Use Change and Forestry sector </w:t>
      </w:r>
    </w:p>
    <w:p w14:paraId="1E39B737" w14:textId="77777777" w:rsidR="009206D2" w:rsidRPr="009E06AA" w:rsidRDefault="009206D2" w:rsidP="009206D2">
      <w:pPr>
        <w:pStyle w:val="Bullet"/>
        <w:spacing w:after="80"/>
        <w:rPr>
          <w:rFonts w:eastAsia="Calibri"/>
        </w:rPr>
      </w:pPr>
      <w:r w:rsidRPr="009E06AA">
        <w:rPr>
          <w:rFonts w:eastAsia="Calibri"/>
        </w:rPr>
        <w:t>Ministry for the Environment: Tom Argyle, Deborah Burgess, Michael Cooper, Dr Carla Gomez, Dr Jordan Goodrich,</w:t>
      </w:r>
      <w:r w:rsidRPr="009E06AA" w:rsidDel="00CD3D2A">
        <w:rPr>
          <w:rFonts w:eastAsia="Calibri"/>
        </w:rPr>
        <w:t xml:space="preserve"> </w:t>
      </w:r>
      <w:r w:rsidRPr="009E06AA">
        <w:rPr>
          <w:rFonts w:eastAsia="Calibri"/>
        </w:rPr>
        <w:t xml:space="preserve">Dr Jenny Hurst, Prem Sivakanthan, Riki Taylor and Dr Anne Wekesa </w:t>
      </w:r>
    </w:p>
    <w:p w14:paraId="2736888E" w14:textId="77777777" w:rsidR="009206D2" w:rsidRPr="009E06AA" w:rsidRDefault="009206D2" w:rsidP="009206D2">
      <w:pPr>
        <w:pStyle w:val="Bullet"/>
        <w:spacing w:after="80"/>
        <w:rPr>
          <w:rFonts w:eastAsia="Calibri"/>
        </w:rPr>
      </w:pPr>
      <w:r w:rsidRPr="009E06AA">
        <w:rPr>
          <w:rFonts w:eastAsia="Calibri"/>
        </w:rPr>
        <w:t>Ministry for Primary Industries: Craig Elvidge (peer review) and Sophie Mead (peer review)</w:t>
      </w:r>
    </w:p>
    <w:p w14:paraId="722185AD" w14:textId="77777777" w:rsidR="009206D2" w:rsidRPr="009E06AA" w:rsidRDefault="009206D2" w:rsidP="009206D2">
      <w:pPr>
        <w:spacing w:before="200" w:after="80"/>
        <w:rPr>
          <w:b/>
          <w:i/>
        </w:rPr>
      </w:pPr>
      <w:r w:rsidRPr="009E06AA">
        <w:rPr>
          <w:b/>
          <w:i/>
        </w:rPr>
        <w:t>Waste sector</w:t>
      </w:r>
    </w:p>
    <w:p w14:paraId="0B1232BD" w14:textId="77777777" w:rsidR="009206D2" w:rsidRPr="009E06AA" w:rsidRDefault="009206D2" w:rsidP="009206D2">
      <w:pPr>
        <w:pStyle w:val="Bullet"/>
        <w:spacing w:after="80"/>
        <w:rPr>
          <w:rFonts w:eastAsia="Calibri"/>
        </w:rPr>
      </w:pPr>
      <w:r w:rsidRPr="009E06AA">
        <w:rPr>
          <w:rFonts w:eastAsia="Calibri"/>
        </w:rPr>
        <w:t xml:space="preserve">Ministry for the Environment: Dr Ella van Gool, Briar Wyatt, Jess Relihan and Matthew Potter </w:t>
      </w:r>
    </w:p>
    <w:p w14:paraId="54313DEC" w14:textId="77777777" w:rsidR="009206D2" w:rsidRPr="009E06AA" w:rsidRDefault="009206D2" w:rsidP="009206D2">
      <w:pPr>
        <w:keepNext/>
        <w:spacing w:before="200" w:after="80"/>
        <w:rPr>
          <w:b/>
          <w:i/>
        </w:rPr>
      </w:pPr>
      <w:r w:rsidRPr="009E06AA">
        <w:rPr>
          <w:b/>
          <w:bCs/>
          <w:i/>
          <w:iCs/>
        </w:rPr>
        <w:t xml:space="preserve">Proof reading and formatting </w:t>
      </w:r>
    </w:p>
    <w:p w14:paraId="00216898" w14:textId="56A31060" w:rsidR="009206D2" w:rsidRPr="009E06AA" w:rsidRDefault="009206D2" w:rsidP="009206D2">
      <w:pPr>
        <w:pStyle w:val="Bullet"/>
        <w:spacing w:after="80"/>
      </w:pPr>
      <w:r w:rsidRPr="009E06AA">
        <w:rPr>
          <w:rFonts w:eastAsia="Calibri"/>
        </w:rPr>
        <w:t xml:space="preserve">Jenny Heine </w:t>
      </w:r>
      <w:r w:rsidR="00A02C86" w:rsidRPr="009E06AA">
        <w:rPr>
          <w:rFonts w:eastAsia="Calibri"/>
        </w:rPr>
        <w:t>and Tanya Tremewan</w:t>
      </w:r>
    </w:p>
    <w:p w14:paraId="0405F49A" w14:textId="65CDAC0A" w:rsidR="00CF5C97" w:rsidRPr="009E06AA" w:rsidRDefault="00CF5C97">
      <w:r w:rsidRPr="009E06AA">
        <w:br w:type="page"/>
      </w:r>
    </w:p>
    <w:p w14:paraId="434C0A99" w14:textId="52CF86EA" w:rsidR="006E0A2C" w:rsidRPr="009E06AA" w:rsidRDefault="006E0A2C" w:rsidP="002144D2">
      <w:pPr>
        <w:pStyle w:val="ContentsHeading"/>
        <w:spacing w:after="240"/>
        <w:rPr>
          <w:b w:val="0"/>
          <w:bCs w:val="0"/>
        </w:rPr>
      </w:pPr>
      <w:r w:rsidRPr="009E06AA">
        <w:rPr>
          <w:b w:val="0"/>
          <w:bCs w:val="0"/>
        </w:rPr>
        <w:t>Contents</w:t>
      </w:r>
    </w:p>
    <w:p w14:paraId="535F0F16" w14:textId="32A66187" w:rsidR="00A4233D" w:rsidRDefault="005B4EAF">
      <w:pPr>
        <w:pStyle w:val="TOC1"/>
        <w:rPr>
          <w:rFonts w:asciiTheme="minorHAnsi" w:eastAsiaTheme="minorEastAsia" w:hAnsiTheme="minorHAnsi" w:cstheme="minorBidi"/>
          <w:kern w:val="2"/>
          <w:szCs w:val="24"/>
          <w14:ligatures w14:val="standardContextual"/>
        </w:rPr>
      </w:pPr>
      <w:r w:rsidRPr="009E06AA">
        <w:rPr>
          <w:noProof w:val="0"/>
          <w:sz w:val="28"/>
        </w:rPr>
        <w:fldChar w:fldCharType="begin"/>
      </w:r>
      <w:r w:rsidRPr="009E06AA">
        <w:rPr>
          <w:noProof w:val="0"/>
          <w:sz w:val="28"/>
        </w:rPr>
        <w:instrText xml:space="preserve"> TOC \h \z \t "Heading 1,1,Heading 2,2" </w:instrText>
      </w:r>
      <w:r w:rsidRPr="009E06AA">
        <w:rPr>
          <w:noProof w:val="0"/>
          <w:sz w:val="28"/>
        </w:rPr>
        <w:fldChar w:fldCharType="separate"/>
      </w:r>
      <w:hyperlink w:anchor="_Toc164154149" w:history="1">
        <w:r w:rsidR="00A4233D" w:rsidRPr="007976C5">
          <w:rPr>
            <w:rStyle w:val="Hyperlink"/>
          </w:rPr>
          <w:t>Acknowledgements</w:t>
        </w:r>
        <w:r w:rsidR="00A4233D">
          <w:rPr>
            <w:webHidden/>
          </w:rPr>
          <w:tab/>
        </w:r>
        <w:r w:rsidR="00A4233D">
          <w:rPr>
            <w:webHidden/>
          </w:rPr>
          <w:fldChar w:fldCharType="begin"/>
        </w:r>
        <w:r w:rsidR="00A4233D">
          <w:rPr>
            <w:webHidden/>
          </w:rPr>
          <w:instrText xml:space="preserve"> PAGEREF _Toc164154149 \h </w:instrText>
        </w:r>
        <w:r w:rsidR="00A4233D">
          <w:rPr>
            <w:webHidden/>
          </w:rPr>
        </w:r>
        <w:r w:rsidR="00A4233D">
          <w:rPr>
            <w:webHidden/>
          </w:rPr>
          <w:fldChar w:fldCharType="separate"/>
        </w:r>
        <w:r w:rsidR="009E4901">
          <w:rPr>
            <w:webHidden/>
          </w:rPr>
          <w:t>iii</w:t>
        </w:r>
        <w:r w:rsidR="00A4233D">
          <w:rPr>
            <w:webHidden/>
          </w:rPr>
          <w:fldChar w:fldCharType="end"/>
        </w:r>
      </w:hyperlink>
    </w:p>
    <w:p w14:paraId="00D2ADE4" w14:textId="440DCCAD" w:rsidR="00A4233D" w:rsidRDefault="008975BF">
      <w:pPr>
        <w:pStyle w:val="TOC1"/>
        <w:rPr>
          <w:rFonts w:asciiTheme="minorHAnsi" w:eastAsiaTheme="minorEastAsia" w:hAnsiTheme="minorHAnsi" w:cstheme="minorBidi"/>
          <w:kern w:val="2"/>
          <w:szCs w:val="24"/>
          <w14:ligatures w14:val="standardContextual"/>
        </w:rPr>
      </w:pPr>
      <w:hyperlink w:anchor="_Toc164154150" w:history="1">
        <w:r w:rsidR="00A4233D" w:rsidRPr="007976C5">
          <w:rPr>
            <w:rStyle w:val="Hyperlink"/>
          </w:rPr>
          <w:t>Abbreviations</w:t>
        </w:r>
        <w:r w:rsidR="00A4233D">
          <w:rPr>
            <w:webHidden/>
          </w:rPr>
          <w:tab/>
        </w:r>
        <w:r w:rsidR="00A4233D">
          <w:rPr>
            <w:webHidden/>
          </w:rPr>
          <w:fldChar w:fldCharType="begin"/>
        </w:r>
        <w:r w:rsidR="00A4233D">
          <w:rPr>
            <w:webHidden/>
          </w:rPr>
          <w:instrText xml:space="preserve"> PAGEREF _Toc164154150 \h </w:instrText>
        </w:r>
        <w:r w:rsidR="00A4233D">
          <w:rPr>
            <w:webHidden/>
          </w:rPr>
        </w:r>
        <w:r w:rsidR="00A4233D">
          <w:rPr>
            <w:webHidden/>
          </w:rPr>
          <w:fldChar w:fldCharType="separate"/>
        </w:r>
        <w:r w:rsidR="009E4901">
          <w:rPr>
            <w:webHidden/>
          </w:rPr>
          <w:t>xvii</w:t>
        </w:r>
        <w:r w:rsidR="00A4233D">
          <w:rPr>
            <w:webHidden/>
          </w:rPr>
          <w:fldChar w:fldCharType="end"/>
        </w:r>
      </w:hyperlink>
    </w:p>
    <w:p w14:paraId="2D65B0B6" w14:textId="0AFE5807" w:rsidR="00A4233D" w:rsidRDefault="008975BF">
      <w:pPr>
        <w:pStyle w:val="TOC1"/>
        <w:rPr>
          <w:rFonts w:asciiTheme="minorHAnsi" w:eastAsiaTheme="minorEastAsia" w:hAnsiTheme="minorHAnsi" w:cstheme="minorBidi"/>
          <w:kern w:val="2"/>
          <w:szCs w:val="24"/>
          <w14:ligatures w14:val="standardContextual"/>
        </w:rPr>
      </w:pPr>
      <w:hyperlink w:anchor="_Toc164154151" w:history="1">
        <w:r w:rsidR="00A4233D" w:rsidRPr="007976C5">
          <w:rPr>
            <w:rStyle w:val="Hyperlink"/>
          </w:rPr>
          <w:t>Executive summary</w:t>
        </w:r>
        <w:r w:rsidR="00A4233D">
          <w:rPr>
            <w:webHidden/>
          </w:rPr>
          <w:tab/>
        </w:r>
        <w:r w:rsidR="00A4233D">
          <w:rPr>
            <w:webHidden/>
          </w:rPr>
          <w:fldChar w:fldCharType="begin"/>
        </w:r>
        <w:r w:rsidR="00A4233D">
          <w:rPr>
            <w:webHidden/>
          </w:rPr>
          <w:instrText xml:space="preserve"> PAGEREF _Toc164154151 \h </w:instrText>
        </w:r>
        <w:r w:rsidR="00A4233D">
          <w:rPr>
            <w:webHidden/>
          </w:rPr>
        </w:r>
        <w:r w:rsidR="00A4233D">
          <w:rPr>
            <w:webHidden/>
          </w:rPr>
          <w:fldChar w:fldCharType="separate"/>
        </w:r>
        <w:r w:rsidR="009E4901">
          <w:rPr>
            <w:webHidden/>
          </w:rPr>
          <w:t>xxi</w:t>
        </w:r>
        <w:r w:rsidR="00A4233D">
          <w:rPr>
            <w:webHidden/>
          </w:rPr>
          <w:fldChar w:fldCharType="end"/>
        </w:r>
      </w:hyperlink>
    </w:p>
    <w:p w14:paraId="31390864" w14:textId="0BF21593" w:rsidR="00A4233D" w:rsidRDefault="008975BF">
      <w:pPr>
        <w:pStyle w:val="TOC2"/>
        <w:rPr>
          <w:rFonts w:asciiTheme="minorHAnsi" w:eastAsiaTheme="minorEastAsia" w:hAnsiTheme="minorHAnsi" w:cstheme="minorBidi"/>
          <w:kern w:val="2"/>
          <w:sz w:val="24"/>
          <w:szCs w:val="24"/>
          <w14:ligatures w14:val="standardContextual"/>
        </w:rPr>
      </w:pPr>
      <w:hyperlink w:anchor="_Toc164154152" w:history="1">
        <w:r w:rsidR="00A4233D" w:rsidRPr="007976C5">
          <w:rPr>
            <w:rStyle w:val="Hyperlink"/>
          </w:rPr>
          <w:t xml:space="preserve">ES.1 </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Background information on greenhouse gas inventories and climate change</w:t>
        </w:r>
        <w:r w:rsidR="00A4233D">
          <w:rPr>
            <w:webHidden/>
          </w:rPr>
          <w:tab/>
        </w:r>
        <w:r w:rsidR="00A4233D">
          <w:rPr>
            <w:webHidden/>
          </w:rPr>
          <w:fldChar w:fldCharType="begin"/>
        </w:r>
        <w:r w:rsidR="00A4233D">
          <w:rPr>
            <w:webHidden/>
          </w:rPr>
          <w:instrText xml:space="preserve"> PAGEREF _Toc164154152 \h </w:instrText>
        </w:r>
        <w:r w:rsidR="00A4233D">
          <w:rPr>
            <w:webHidden/>
          </w:rPr>
        </w:r>
        <w:r w:rsidR="00A4233D">
          <w:rPr>
            <w:webHidden/>
          </w:rPr>
          <w:fldChar w:fldCharType="separate"/>
        </w:r>
        <w:r w:rsidR="009E4901">
          <w:rPr>
            <w:webHidden/>
          </w:rPr>
          <w:t>xxii</w:t>
        </w:r>
        <w:r w:rsidR="00A4233D">
          <w:rPr>
            <w:webHidden/>
          </w:rPr>
          <w:fldChar w:fldCharType="end"/>
        </w:r>
      </w:hyperlink>
    </w:p>
    <w:p w14:paraId="7403B43C" w14:textId="668AFAEC" w:rsidR="00A4233D" w:rsidRDefault="008975BF">
      <w:pPr>
        <w:pStyle w:val="TOC2"/>
        <w:rPr>
          <w:rFonts w:asciiTheme="minorHAnsi" w:eastAsiaTheme="minorEastAsia" w:hAnsiTheme="minorHAnsi" w:cstheme="minorBidi"/>
          <w:kern w:val="2"/>
          <w:sz w:val="24"/>
          <w:szCs w:val="24"/>
          <w14:ligatures w14:val="standardContextual"/>
        </w:rPr>
      </w:pPr>
      <w:hyperlink w:anchor="_Toc164154153" w:history="1">
        <w:r w:rsidR="00A4233D" w:rsidRPr="007976C5">
          <w:rPr>
            <w:rStyle w:val="Hyperlink"/>
          </w:rPr>
          <w:t xml:space="preserve">ES.2 </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Summary of trends related to national emissions and removals</w:t>
        </w:r>
        <w:r w:rsidR="00A4233D">
          <w:rPr>
            <w:webHidden/>
          </w:rPr>
          <w:tab/>
        </w:r>
        <w:r w:rsidR="00A4233D">
          <w:rPr>
            <w:webHidden/>
          </w:rPr>
          <w:fldChar w:fldCharType="begin"/>
        </w:r>
        <w:r w:rsidR="00A4233D">
          <w:rPr>
            <w:webHidden/>
          </w:rPr>
          <w:instrText xml:space="preserve"> PAGEREF _Toc164154153 \h </w:instrText>
        </w:r>
        <w:r w:rsidR="00A4233D">
          <w:rPr>
            <w:webHidden/>
          </w:rPr>
        </w:r>
        <w:r w:rsidR="00A4233D">
          <w:rPr>
            <w:webHidden/>
          </w:rPr>
          <w:fldChar w:fldCharType="separate"/>
        </w:r>
        <w:r w:rsidR="009E4901">
          <w:rPr>
            <w:webHidden/>
          </w:rPr>
          <w:t>xxiii</w:t>
        </w:r>
        <w:r w:rsidR="00A4233D">
          <w:rPr>
            <w:webHidden/>
          </w:rPr>
          <w:fldChar w:fldCharType="end"/>
        </w:r>
      </w:hyperlink>
    </w:p>
    <w:p w14:paraId="4D266A6E" w14:textId="4A5B3D3A" w:rsidR="00A4233D" w:rsidRDefault="008975BF">
      <w:pPr>
        <w:pStyle w:val="TOC2"/>
        <w:rPr>
          <w:rFonts w:asciiTheme="minorHAnsi" w:eastAsiaTheme="minorEastAsia" w:hAnsiTheme="minorHAnsi" w:cstheme="minorBidi"/>
          <w:kern w:val="2"/>
          <w:sz w:val="24"/>
          <w:szCs w:val="24"/>
          <w14:ligatures w14:val="standardContextual"/>
        </w:rPr>
      </w:pPr>
      <w:hyperlink w:anchor="_Toc164154154" w:history="1">
        <w:r w:rsidR="00A4233D" w:rsidRPr="007976C5">
          <w:rPr>
            <w:rStyle w:val="Hyperlink"/>
          </w:rPr>
          <w:t>ES.3</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Overview of source and sink category emission estimates and trends</w:t>
        </w:r>
        <w:r w:rsidR="00A4233D">
          <w:rPr>
            <w:webHidden/>
          </w:rPr>
          <w:tab/>
        </w:r>
        <w:r w:rsidR="00A4233D">
          <w:rPr>
            <w:webHidden/>
          </w:rPr>
          <w:fldChar w:fldCharType="begin"/>
        </w:r>
        <w:r w:rsidR="00A4233D">
          <w:rPr>
            <w:webHidden/>
          </w:rPr>
          <w:instrText xml:space="preserve"> PAGEREF _Toc164154154 \h </w:instrText>
        </w:r>
        <w:r w:rsidR="00A4233D">
          <w:rPr>
            <w:webHidden/>
          </w:rPr>
        </w:r>
        <w:r w:rsidR="00A4233D">
          <w:rPr>
            <w:webHidden/>
          </w:rPr>
          <w:fldChar w:fldCharType="separate"/>
        </w:r>
        <w:r w:rsidR="009E4901">
          <w:rPr>
            <w:webHidden/>
          </w:rPr>
          <w:t>xxvii</w:t>
        </w:r>
        <w:r w:rsidR="00A4233D">
          <w:rPr>
            <w:webHidden/>
          </w:rPr>
          <w:fldChar w:fldCharType="end"/>
        </w:r>
      </w:hyperlink>
    </w:p>
    <w:p w14:paraId="55CDCD29" w14:textId="6375D6F9" w:rsidR="00A4233D" w:rsidRDefault="008975BF">
      <w:pPr>
        <w:pStyle w:val="TOC2"/>
        <w:rPr>
          <w:rFonts w:asciiTheme="minorHAnsi" w:eastAsiaTheme="minorEastAsia" w:hAnsiTheme="minorHAnsi" w:cstheme="minorBidi"/>
          <w:kern w:val="2"/>
          <w:sz w:val="24"/>
          <w:szCs w:val="24"/>
          <w14:ligatures w14:val="standardContextual"/>
        </w:rPr>
      </w:pPr>
      <w:hyperlink w:anchor="_Toc164154155" w:history="1">
        <w:r w:rsidR="00A4233D" w:rsidRPr="007976C5">
          <w:rPr>
            <w:rStyle w:val="Hyperlink"/>
          </w:rPr>
          <w:t>ES.4</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Other information</w:t>
        </w:r>
        <w:r w:rsidR="00A4233D">
          <w:rPr>
            <w:webHidden/>
          </w:rPr>
          <w:tab/>
        </w:r>
        <w:r w:rsidR="00A4233D">
          <w:rPr>
            <w:webHidden/>
          </w:rPr>
          <w:fldChar w:fldCharType="begin"/>
        </w:r>
        <w:r w:rsidR="00A4233D">
          <w:rPr>
            <w:webHidden/>
          </w:rPr>
          <w:instrText xml:space="preserve"> PAGEREF _Toc164154155 \h </w:instrText>
        </w:r>
        <w:r w:rsidR="00A4233D">
          <w:rPr>
            <w:webHidden/>
          </w:rPr>
        </w:r>
        <w:r w:rsidR="00A4233D">
          <w:rPr>
            <w:webHidden/>
          </w:rPr>
          <w:fldChar w:fldCharType="separate"/>
        </w:r>
        <w:r w:rsidR="009E4901">
          <w:rPr>
            <w:webHidden/>
          </w:rPr>
          <w:t>xxxiv</w:t>
        </w:r>
        <w:r w:rsidR="00A4233D">
          <w:rPr>
            <w:webHidden/>
          </w:rPr>
          <w:fldChar w:fldCharType="end"/>
        </w:r>
      </w:hyperlink>
    </w:p>
    <w:p w14:paraId="53447782" w14:textId="30E22855" w:rsidR="00A4233D" w:rsidRDefault="008975BF">
      <w:pPr>
        <w:pStyle w:val="TOC2"/>
        <w:rPr>
          <w:rFonts w:asciiTheme="minorHAnsi" w:eastAsiaTheme="minorEastAsia" w:hAnsiTheme="minorHAnsi" w:cstheme="minorBidi"/>
          <w:kern w:val="2"/>
          <w:sz w:val="24"/>
          <w:szCs w:val="24"/>
          <w14:ligatures w14:val="standardContextual"/>
        </w:rPr>
      </w:pPr>
      <w:hyperlink w:anchor="_Toc164154156" w:history="1">
        <w:r w:rsidR="00A4233D" w:rsidRPr="007976C5">
          <w:rPr>
            <w:rStyle w:val="Hyperlink"/>
          </w:rPr>
          <w:t>ES.5</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Key category analysis</w:t>
        </w:r>
        <w:r w:rsidR="00A4233D">
          <w:rPr>
            <w:webHidden/>
          </w:rPr>
          <w:tab/>
        </w:r>
        <w:r w:rsidR="00A4233D">
          <w:rPr>
            <w:webHidden/>
          </w:rPr>
          <w:fldChar w:fldCharType="begin"/>
        </w:r>
        <w:r w:rsidR="00A4233D">
          <w:rPr>
            <w:webHidden/>
          </w:rPr>
          <w:instrText xml:space="preserve"> PAGEREF _Toc164154156 \h </w:instrText>
        </w:r>
        <w:r w:rsidR="00A4233D">
          <w:rPr>
            <w:webHidden/>
          </w:rPr>
        </w:r>
        <w:r w:rsidR="00A4233D">
          <w:rPr>
            <w:webHidden/>
          </w:rPr>
          <w:fldChar w:fldCharType="separate"/>
        </w:r>
        <w:r w:rsidR="009E4901">
          <w:rPr>
            <w:webHidden/>
          </w:rPr>
          <w:t>xxxiv</w:t>
        </w:r>
        <w:r w:rsidR="00A4233D">
          <w:rPr>
            <w:webHidden/>
          </w:rPr>
          <w:fldChar w:fldCharType="end"/>
        </w:r>
      </w:hyperlink>
    </w:p>
    <w:p w14:paraId="04A9995C" w14:textId="6E6FE5EE" w:rsidR="00A4233D" w:rsidRDefault="008975BF">
      <w:pPr>
        <w:pStyle w:val="TOC2"/>
        <w:rPr>
          <w:rFonts w:asciiTheme="minorHAnsi" w:eastAsiaTheme="minorEastAsia" w:hAnsiTheme="minorHAnsi" w:cstheme="minorBidi"/>
          <w:kern w:val="2"/>
          <w:sz w:val="24"/>
          <w:szCs w:val="24"/>
          <w14:ligatures w14:val="standardContextual"/>
        </w:rPr>
      </w:pPr>
      <w:hyperlink w:anchor="_Toc164154157" w:history="1">
        <w:r w:rsidR="00A4233D" w:rsidRPr="007976C5">
          <w:rPr>
            <w:rStyle w:val="Hyperlink"/>
          </w:rPr>
          <w:t>ES.6</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Improvements introduced</w:t>
        </w:r>
        <w:r w:rsidR="00A4233D">
          <w:rPr>
            <w:webHidden/>
          </w:rPr>
          <w:tab/>
        </w:r>
        <w:r w:rsidR="00A4233D">
          <w:rPr>
            <w:webHidden/>
          </w:rPr>
          <w:fldChar w:fldCharType="begin"/>
        </w:r>
        <w:r w:rsidR="00A4233D">
          <w:rPr>
            <w:webHidden/>
          </w:rPr>
          <w:instrText xml:space="preserve"> PAGEREF _Toc164154157 \h </w:instrText>
        </w:r>
        <w:r w:rsidR="00A4233D">
          <w:rPr>
            <w:webHidden/>
          </w:rPr>
        </w:r>
        <w:r w:rsidR="00A4233D">
          <w:rPr>
            <w:webHidden/>
          </w:rPr>
          <w:fldChar w:fldCharType="separate"/>
        </w:r>
        <w:r w:rsidR="009E4901">
          <w:rPr>
            <w:webHidden/>
          </w:rPr>
          <w:t>xxxv</w:t>
        </w:r>
        <w:r w:rsidR="00A4233D">
          <w:rPr>
            <w:webHidden/>
          </w:rPr>
          <w:fldChar w:fldCharType="end"/>
        </w:r>
      </w:hyperlink>
    </w:p>
    <w:p w14:paraId="796D1DCF" w14:textId="60A2EA06" w:rsidR="00A4233D" w:rsidRDefault="008975BF">
      <w:pPr>
        <w:pStyle w:val="TOC2"/>
        <w:rPr>
          <w:rFonts w:asciiTheme="minorHAnsi" w:eastAsiaTheme="minorEastAsia" w:hAnsiTheme="minorHAnsi" w:cstheme="minorBidi"/>
          <w:kern w:val="2"/>
          <w:sz w:val="24"/>
          <w:szCs w:val="24"/>
          <w14:ligatures w14:val="standardContextual"/>
        </w:rPr>
      </w:pPr>
      <w:hyperlink w:anchor="_Toc164154158" w:history="1">
        <w:r w:rsidR="00A4233D" w:rsidRPr="007976C5">
          <w:rPr>
            <w:rStyle w:val="Hyperlink"/>
          </w:rPr>
          <w:t>Executive summary: References</w:t>
        </w:r>
        <w:r w:rsidR="00A4233D">
          <w:rPr>
            <w:webHidden/>
          </w:rPr>
          <w:tab/>
        </w:r>
        <w:r w:rsidR="00A4233D">
          <w:rPr>
            <w:webHidden/>
          </w:rPr>
          <w:fldChar w:fldCharType="begin"/>
        </w:r>
        <w:r w:rsidR="00A4233D">
          <w:rPr>
            <w:webHidden/>
          </w:rPr>
          <w:instrText xml:space="preserve"> PAGEREF _Toc164154158 \h </w:instrText>
        </w:r>
        <w:r w:rsidR="00A4233D">
          <w:rPr>
            <w:webHidden/>
          </w:rPr>
        </w:r>
        <w:r w:rsidR="00A4233D">
          <w:rPr>
            <w:webHidden/>
          </w:rPr>
          <w:fldChar w:fldCharType="separate"/>
        </w:r>
        <w:r w:rsidR="009E4901">
          <w:rPr>
            <w:webHidden/>
          </w:rPr>
          <w:t>xxxviii</w:t>
        </w:r>
        <w:r w:rsidR="00A4233D">
          <w:rPr>
            <w:webHidden/>
          </w:rPr>
          <w:fldChar w:fldCharType="end"/>
        </w:r>
      </w:hyperlink>
    </w:p>
    <w:p w14:paraId="6A1D81A9" w14:textId="3691277B" w:rsidR="00A4233D" w:rsidRDefault="008975BF">
      <w:pPr>
        <w:pStyle w:val="TOC1"/>
        <w:rPr>
          <w:rFonts w:asciiTheme="minorHAnsi" w:eastAsiaTheme="minorEastAsia" w:hAnsiTheme="minorHAnsi" w:cstheme="minorBidi"/>
          <w:kern w:val="2"/>
          <w:szCs w:val="24"/>
          <w14:ligatures w14:val="standardContextual"/>
        </w:rPr>
      </w:pPr>
      <w:hyperlink w:anchor="_Toc164154159" w:history="1">
        <w:r w:rsidR="00A4233D" w:rsidRPr="007976C5">
          <w:rPr>
            <w:rStyle w:val="Hyperlink"/>
          </w:rPr>
          <w:t>Chapter 1: National circumstances, institutional arrangements and cross</w:t>
        </w:r>
        <w:r w:rsidR="00A4233D" w:rsidRPr="007976C5">
          <w:rPr>
            <w:rStyle w:val="Hyperlink"/>
          </w:rPr>
          <w:noBreakHyphen/>
          <w:t>cutting information</w:t>
        </w:r>
        <w:r w:rsidR="00A4233D">
          <w:rPr>
            <w:webHidden/>
          </w:rPr>
          <w:tab/>
        </w:r>
        <w:r w:rsidR="00A4233D">
          <w:rPr>
            <w:webHidden/>
          </w:rPr>
          <w:fldChar w:fldCharType="begin"/>
        </w:r>
        <w:r w:rsidR="00A4233D">
          <w:rPr>
            <w:webHidden/>
          </w:rPr>
          <w:instrText xml:space="preserve"> PAGEREF _Toc164154159 \h </w:instrText>
        </w:r>
        <w:r w:rsidR="00A4233D">
          <w:rPr>
            <w:webHidden/>
          </w:rPr>
        </w:r>
        <w:r w:rsidR="00A4233D">
          <w:rPr>
            <w:webHidden/>
          </w:rPr>
          <w:fldChar w:fldCharType="separate"/>
        </w:r>
        <w:r w:rsidR="009E4901">
          <w:rPr>
            <w:webHidden/>
          </w:rPr>
          <w:t>1</w:t>
        </w:r>
        <w:r w:rsidR="00A4233D">
          <w:rPr>
            <w:webHidden/>
          </w:rPr>
          <w:fldChar w:fldCharType="end"/>
        </w:r>
      </w:hyperlink>
    </w:p>
    <w:p w14:paraId="09042D27" w14:textId="32F9A3FC" w:rsidR="00A4233D" w:rsidRDefault="008975BF">
      <w:pPr>
        <w:pStyle w:val="TOC2"/>
        <w:rPr>
          <w:rFonts w:asciiTheme="minorHAnsi" w:eastAsiaTheme="minorEastAsia" w:hAnsiTheme="minorHAnsi" w:cstheme="minorBidi"/>
          <w:kern w:val="2"/>
          <w:sz w:val="24"/>
          <w:szCs w:val="24"/>
          <w14:ligatures w14:val="standardContextual"/>
        </w:rPr>
      </w:pPr>
      <w:hyperlink w:anchor="_Toc164154160" w:history="1">
        <w:r w:rsidR="00A4233D" w:rsidRPr="007976C5">
          <w:rPr>
            <w:rStyle w:val="Hyperlink"/>
          </w:rPr>
          <w:t xml:space="preserve">1.1 </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Background information on greenhouse gas inventories and climate change</w:t>
        </w:r>
        <w:r w:rsidR="00A4233D">
          <w:rPr>
            <w:webHidden/>
          </w:rPr>
          <w:tab/>
        </w:r>
        <w:r w:rsidR="00A4233D">
          <w:rPr>
            <w:webHidden/>
          </w:rPr>
          <w:fldChar w:fldCharType="begin"/>
        </w:r>
        <w:r w:rsidR="00A4233D">
          <w:rPr>
            <w:webHidden/>
          </w:rPr>
          <w:instrText xml:space="preserve"> PAGEREF _Toc164154160 \h </w:instrText>
        </w:r>
        <w:r w:rsidR="00A4233D">
          <w:rPr>
            <w:webHidden/>
          </w:rPr>
        </w:r>
        <w:r w:rsidR="00A4233D">
          <w:rPr>
            <w:webHidden/>
          </w:rPr>
          <w:fldChar w:fldCharType="separate"/>
        </w:r>
        <w:r w:rsidR="009E4901">
          <w:rPr>
            <w:webHidden/>
          </w:rPr>
          <w:t>1</w:t>
        </w:r>
        <w:r w:rsidR="00A4233D">
          <w:rPr>
            <w:webHidden/>
          </w:rPr>
          <w:fldChar w:fldCharType="end"/>
        </w:r>
      </w:hyperlink>
    </w:p>
    <w:p w14:paraId="0044F535" w14:textId="6EEE399A" w:rsidR="00A4233D" w:rsidRDefault="008975BF">
      <w:pPr>
        <w:pStyle w:val="TOC2"/>
        <w:rPr>
          <w:rFonts w:asciiTheme="minorHAnsi" w:eastAsiaTheme="minorEastAsia" w:hAnsiTheme="minorHAnsi" w:cstheme="minorBidi"/>
          <w:kern w:val="2"/>
          <w:sz w:val="24"/>
          <w:szCs w:val="24"/>
          <w14:ligatures w14:val="standardContextual"/>
        </w:rPr>
      </w:pPr>
      <w:hyperlink w:anchor="_Toc164154161" w:history="1">
        <w:r w:rsidR="00A4233D" w:rsidRPr="007976C5">
          <w:rPr>
            <w:rStyle w:val="Hyperlink"/>
          </w:rPr>
          <w:t xml:space="preserve">1.2 </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A description of national circumstances and institutional arrangements</w:t>
        </w:r>
        <w:r w:rsidR="00A4233D">
          <w:rPr>
            <w:webHidden/>
          </w:rPr>
          <w:tab/>
        </w:r>
        <w:r w:rsidR="00A4233D">
          <w:rPr>
            <w:webHidden/>
          </w:rPr>
          <w:fldChar w:fldCharType="begin"/>
        </w:r>
        <w:r w:rsidR="00A4233D">
          <w:rPr>
            <w:webHidden/>
          </w:rPr>
          <w:instrText xml:space="preserve"> PAGEREF _Toc164154161 \h </w:instrText>
        </w:r>
        <w:r w:rsidR="00A4233D">
          <w:rPr>
            <w:webHidden/>
          </w:rPr>
        </w:r>
        <w:r w:rsidR="00A4233D">
          <w:rPr>
            <w:webHidden/>
          </w:rPr>
          <w:fldChar w:fldCharType="separate"/>
        </w:r>
        <w:r w:rsidR="009E4901">
          <w:rPr>
            <w:webHidden/>
          </w:rPr>
          <w:t>4</w:t>
        </w:r>
        <w:r w:rsidR="00A4233D">
          <w:rPr>
            <w:webHidden/>
          </w:rPr>
          <w:fldChar w:fldCharType="end"/>
        </w:r>
      </w:hyperlink>
    </w:p>
    <w:p w14:paraId="707FA308" w14:textId="4FE9E3B6" w:rsidR="00A4233D" w:rsidRDefault="008975BF">
      <w:pPr>
        <w:pStyle w:val="TOC2"/>
        <w:rPr>
          <w:rFonts w:asciiTheme="minorHAnsi" w:eastAsiaTheme="minorEastAsia" w:hAnsiTheme="minorHAnsi" w:cstheme="minorBidi"/>
          <w:kern w:val="2"/>
          <w:sz w:val="24"/>
          <w:szCs w:val="24"/>
          <w14:ligatures w14:val="standardContextual"/>
        </w:rPr>
      </w:pPr>
      <w:hyperlink w:anchor="_Toc164154162" w:history="1">
        <w:r w:rsidR="00A4233D" w:rsidRPr="007976C5">
          <w:rPr>
            <w:rStyle w:val="Hyperlink"/>
          </w:rPr>
          <w:t xml:space="preserve">1.3 </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Brief general description of methodologies (including tiers used) and data sources used</w:t>
        </w:r>
        <w:r w:rsidR="00A4233D">
          <w:rPr>
            <w:webHidden/>
          </w:rPr>
          <w:tab/>
        </w:r>
        <w:r w:rsidR="00A4233D">
          <w:rPr>
            <w:webHidden/>
          </w:rPr>
          <w:fldChar w:fldCharType="begin"/>
        </w:r>
        <w:r w:rsidR="00A4233D">
          <w:rPr>
            <w:webHidden/>
          </w:rPr>
          <w:instrText xml:space="preserve"> PAGEREF _Toc164154162 \h </w:instrText>
        </w:r>
        <w:r w:rsidR="00A4233D">
          <w:rPr>
            <w:webHidden/>
          </w:rPr>
        </w:r>
        <w:r w:rsidR="00A4233D">
          <w:rPr>
            <w:webHidden/>
          </w:rPr>
          <w:fldChar w:fldCharType="separate"/>
        </w:r>
        <w:r w:rsidR="009E4901">
          <w:rPr>
            <w:webHidden/>
          </w:rPr>
          <w:t>11</w:t>
        </w:r>
        <w:r w:rsidR="00A4233D">
          <w:rPr>
            <w:webHidden/>
          </w:rPr>
          <w:fldChar w:fldCharType="end"/>
        </w:r>
      </w:hyperlink>
    </w:p>
    <w:p w14:paraId="6B9E4D43" w14:textId="340978A7" w:rsidR="00A4233D" w:rsidRDefault="008975BF">
      <w:pPr>
        <w:pStyle w:val="TOC2"/>
        <w:rPr>
          <w:rFonts w:asciiTheme="minorHAnsi" w:eastAsiaTheme="minorEastAsia" w:hAnsiTheme="minorHAnsi" w:cstheme="minorBidi"/>
          <w:kern w:val="2"/>
          <w:sz w:val="24"/>
          <w:szCs w:val="24"/>
          <w14:ligatures w14:val="standardContextual"/>
        </w:rPr>
      </w:pPr>
      <w:hyperlink w:anchor="_Toc164154163" w:history="1">
        <w:r w:rsidR="00A4233D" w:rsidRPr="007976C5">
          <w:rPr>
            <w:rStyle w:val="Hyperlink"/>
          </w:rPr>
          <w:t xml:space="preserve">1.4 </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Brief description of key categories</w:t>
        </w:r>
        <w:r w:rsidR="00A4233D">
          <w:rPr>
            <w:webHidden/>
          </w:rPr>
          <w:tab/>
        </w:r>
        <w:r w:rsidR="00A4233D">
          <w:rPr>
            <w:webHidden/>
          </w:rPr>
          <w:fldChar w:fldCharType="begin"/>
        </w:r>
        <w:r w:rsidR="00A4233D">
          <w:rPr>
            <w:webHidden/>
          </w:rPr>
          <w:instrText xml:space="preserve"> PAGEREF _Toc164154163 \h </w:instrText>
        </w:r>
        <w:r w:rsidR="00A4233D">
          <w:rPr>
            <w:webHidden/>
          </w:rPr>
        </w:r>
        <w:r w:rsidR="00A4233D">
          <w:rPr>
            <w:webHidden/>
          </w:rPr>
          <w:fldChar w:fldCharType="separate"/>
        </w:r>
        <w:r w:rsidR="009E4901">
          <w:rPr>
            <w:webHidden/>
          </w:rPr>
          <w:t>13</w:t>
        </w:r>
        <w:r w:rsidR="00A4233D">
          <w:rPr>
            <w:webHidden/>
          </w:rPr>
          <w:fldChar w:fldCharType="end"/>
        </w:r>
      </w:hyperlink>
    </w:p>
    <w:p w14:paraId="3306E606" w14:textId="77B40A33" w:rsidR="00A4233D" w:rsidRDefault="008975BF">
      <w:pPr>
        <w:pStyle w:val="TOC2"/>
        <w:rPr>
          <w:rFonts w:asciiTheme="minorHAnsi" w:eastAsiaTheme="minorEastAsia" w:hAnsiTheme="minorHAnsi" w:cstheme="minorBidi"/>
          <w:kern w:val="2"/>
          <w:sz w:val="24"/>
          <w:szCs w:val="24"/>
          <w14:ligatures w14:val="standardContextual"/>
        </w:rPr>
      </w:pPr>
      <w:hyperlink w:anchor="_Toc164154164" w:history="1">
        <w:r w:rsidR="00A4233D" w:rsidRPr="007976C5">
          <w:rPr>
            <w:rStyle w:val="Hyperlink"/>
          </w:rPr>
          <w:t xml:space="preserve">1.5 </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Brief general description of QA/QC plan and implementation</w:t>
        </w:r>
        <w:r w:rsidR="00A4233D">
          <w:rPr>
            <w:webHidden/>
          </w:rPr>
          <w:tab/>
        </w:r>
        <w:r w:rsidR="00A4233D">
          <w:rPr>
            <w:webHidden/>
          </w:rPr>
          <w:fldChar w:fldCharType="begin"/>
        </w:r>
        <w:r w:rsidR="00A4233D">
          <w:rPr>
            <w:webHidden/>
          </w:rPr>
          <w:instrText xml:space="preserve"> PAGEREF _Toc164154164 \h </w:instrText>
        </w:r>
        <w:r w:rsidR="00A4233D">
          <w:rPr>
            <w:webHidden/>
          </w:rPr>
        </w:r>
        <w:r w:rsidR="00A4233D">
          <w:rPr>
            <w:webHidden/>
          </w:rPr>
          <w:fldChar w:fldCharType="separate"/>
        </w:r>
        <w:r w:rsidR="009E4901">
          <w:rPr>
            <w:webHidden/>
          </w:rPr>
          <w:t>15</w:t>
        </w:r>
        <w:r w:rsidR="00A4233D">
          <w:rPr>
            <w:webHidden/>
          </w:rPr>
          <w:fldChar w:fldCharType="end"/>
        </w:r>
      </w:hyperlink>
    </w:p>
    <w:p w14:paraId="2AB33033" w14:textId="5C404DD3" w:rsidR="00A4233D" w:rsidRDefault="008975BF">
      <w:pPr>
        <w:pStyle w:val="TOC2"/>
        <w:rPr>
          <w:rFonts w:asciiTheme="minorHAnsi" w:eastAsiaTheme="minorEastAsia" w:hAnsiTheme="minorHAnsi" w:cstheme="minorBidi"/>
          <w:kern w:val="2"/>
          <w:sz w:val="24"/>
          <w:szCs w:val="24"/>
          <w14:ligatures w14:val="standardContextual"/>
        </w:rPr>
      </w:pPr>
      <w:hyperlink w:anchor="_Toc164154165" w:history="1">
        <w:r w:rsidR="00A4233D" w:rsidRPr="007976C5">
          <w:rPr>
            <w:rStyle w:val="Hyperlink"/>
          </w:rPr>
          <w:t xml:space="preserve">1.6 </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General uncertainty assessment, including data pertaining to the overall uncertainty of inventory totals</w:t>
        </w:r>
        <w:r w:rsidR="00A4233D">
          <w:rPr>
            <w:webHidden/>
          </w:rPr>
          <w:tab/>
        </w:r>
        <w:r w:rsidR="00A4233D">
          <w:rPr>
            <w:webHidden/>
          </w:rPr>
          <w:fldChar w:fldCharType="begin"/>
        </w:r>
        <w:r w:rsidR="00A4233D">
          <w:rPr>
            <w:webHidden/>
          </w:rPr>
          <w:instrText xml:space="preserve"> PAGEREF _Toc164154165 \h </w:instrText>
        </w:r>
        <w:r w:rsidR="00A4233D">
          <w:rPr>
            <w:webHidden/>
          </w:rPr>
        </w:r>
        <w:r w:rsidR="00A4233D">
          <w:rPr>
            <w:webHidden/>
          </w:rPr>
          <w:fldChar w:fldCharType="separate"/>
        </w:r>
        <w:r w:rsidR="009E4901">
          <w:rPr>
            <w:webHidden/>
          </w:rPr>
          <w:t>20</w:t>
        </w:r>
        <w:r w:rsidR="00A4233D">
          <w:rPr>
            <w:webHidden/>
          </w:rPr>
          <w:fldChar w:fldCharType="end"/>
        </w:r>
      </w:hyperlink>
    </w:p>
    <w:p w14:paraId="374CDAF6" w14:textId="70B44631" w:rsidR="00A4233D" w:rsidRDefault="008975BF">
      <w:pPr>
        <w:pStyle w:val="TOC2"/>
        <w:rPr>
          <w:rFonts w:asciiTheme="minorHAnsi" w:eastAsiaTheme="minorEastAsia" w:hAnsiTheme="minorHAnsi" w:cstheme="minorBidi"/>
          <w:kern w:val="2"/>
          <w:sz w:val="24"/>
          <w:szCs w:val="24"/>
          <w14:ligatures w14:val="standardContextual"/>
        </w:rPr>
      </w:pPr>
      <w:hyperlink w:anchor="_Toc164154166" w:history="1">
        <w:r w:rsidR="00A4233D" w:rsidRPr="007976C5">
          <w:rPr>
            <w:rStyle w:val="Hyperlink"/>
          </w:rPr>
          <w:t xml:space="preserve">1.7 </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General assessment of completeness</w:t>
        </w:r>
        <w:r w:rsidR="00A4233D">
          <w:rPr>
            <w:webHidden/>
          </w:rPr>
          <w:tab/>
        </w:r>
        <w:r w:rsidR="00A4233D">
          <w:rPr>
            <w:webHidden/>
          </w:rPr>
          <w:fldChar w:fldCharType="begin"/>
        </w:r>
        <w:r w:rsidR="00A4233D">
          <w:rPr>
            <w:webHidden/>
          </w:rPr>
          <w:instrText xml:space="preserve"> PAGEREF _Toc164154166 \h </w:instrText>
        </w:r>
        <w:r w:rsidR="00A4233D">
          <w:rPr>
            <w:webHidden/>
          </w:rPr>
        </w:r>
        <w:r w:rsidR="00A4233D">
          <w:rPr>
            <w:webHidden/>
          </w:rPr>
          <w:fldChar w:fldCharType="separate"/>
        </w:r>
        <w:r w:rsidR="009E4901">
          <w:rPr>
            <w:webHidden/>
          </w:rPr>
          <w:t>22</w:t>
        </w:r>
        <w:r w:rsidR="00A4233D">
          <w:rPr>
            <w:webHidden/>
          </w:rPr>
          <w:fldChar w:fldCharType="end"/>
        </w:r>
      </w:hyperlink>
    </w:p>
    <w:p w14:paraId="1A78DF51" w14:textId="41057C39" w:rsidR="00A4233D" w:rsidRDefault="008975BF">
      <w:pPr>
        <w:pStyle w:val="TOC2"/>
        <w:rPr>
          <w:rFonts w:asciiTheme="minorHAnsi" w:eastAsiaTheme="minorEastAsia" w:hAnsiTheme="minorHAnsi" w:cstheme="minorBidi"/>
          <w:kern w:val="2"/>
          <w:sz w:val="24"/>
          <w:szCs w:val="24"/>
          <w14:ligatures w14:val="standardContextual"/>
        </w:rPr>
      </w:pPr>
      <w:hyperlink w:anchor="_Toc164154167" w:history="1">
        <w:r w:rsidR="00A4233D" w:rsidRPr="007976C5">
          <w:rPr>
            <w:rStyle w:val="Hyperlink"/>
          </w:rPr>
          <w:t xml:space="preserve">1.8 </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Metrics</w:t>
        </w:r>
        <w:r w:rsidR="00A4233D">
          <w:rPr>
            <w:webHidden/>
          </w:rPr>
          <w:tab/>
        </w:r>
        <w:r w:rsidR="00A4233D">
          <w:rPr>
            <w:webHidden/>
          </w:rPr>
          <w:fldChar w:fldCharType="begin"/>
        </w:r>
        <w:r w:rsidR="00A4233D">
          <w:rPr>
            <w:webHidden/>
          </w:rPr>
          <w:instrText xml:space="preserve"> PAGEREF _Toc164154167 \h </w:instrText>
        </w:r>
        <w:r w:rsidR="00A4233D">
          <w:rPr>
            <w:webHidden/>
          </w:rPr>
        </w:r>
        <w:r w:rsidR="00A4233D">
          <w:rPr>
            <w:webHidden/>
          </w:rPr>
          <w:fldChar w:fldCharType="separate"/>
        </w:r>
        <w:r w:rsidR="009E4901">
          <w:rPr>
            <w:webHidden/>
          </w:rPr>
          <w:t>31</w:t>
        </w:r>
        <w:r w:rsidR="00A4233D">
          <w:rPr>
            <w:webHidden/>
          </w:rPr>
          <w:fldChar w:fldCharType="end"/>
        </w:r>
      </w:hyperlink>
    </w:p>
    <w:p w14:paraId="2A1BF900" w14:textId="3C969CA9" w:rsidR="00A4233D" w:rsidRDefault="008975BF">
      <w:pPr>
        <w:pStyle w:val="TOC2"/>
        <w:rPr>
          <w:rFonts w:asciiTheme="minorHAnsi" w:eastAsiaTheme="minorEastAsia" w:hAnsiTheme="minorHAnsi" w:cstheme="minorBidi"/>
          <w:kern w:val="2"/>
          <w:sz w:val="24"/>
          <w:szCs w:val="24"/>
          <w14:ligatures w14:val="standardContextual"/>
        </w:rPr>
      </w:pPr>
      <w:hyperlink w:anchor="_Toc164154168" w:history="1">
        <w:r w:rsidR="00A4233D" w:rsidRPr="007976C5">
          <w:rPr>
            <w:rStyle w:val="Hyperlink"/>
          </w:rPr>
          <w:t>Chapter 1: References</w:t>
        </w:r>
        <w:r w:rsidR="00A4233D">
          <w:rPr>
            <w:webHidden/>
          </w:rPr>
          <w:tab/>
        </w:r>
        <w:r w:rsidR="00A4233D">
          <w:rPr>
            <w:webHidden/>
          </w:rPr>
          <w:fldChar w:fldCharType="begin"/>
        </w:r>
        <w:r w:rsidR="00A4233D">
          <w:rPr>
            <w:webHidden/>
          </w:rPr>
          <w:instrText xml:space="preserve"> PAGEREF _Toc164154168 \h </w:instrText>
        </w:r>
        <w:r w:rsidR="00A4233D">
          <w:rPr>
            <w:webHidden/>
          </w:rPr>
        </w:r>
        <w:r w:rsidR="00A4233D">
          <w:rPr>
            <w:webHidden/>
          </w:rPr>
          <w:fldChar w:fldCharType="separate"/>
        </w:r>
        <w:r w:rsidR="009E4901">
          <w:rPr>
            <w:webHidden/>
          </w:rPr>
          <w:t>32</w:t>
        </w:r>
        <w:r w:rsidR="00A4233D">
          <w:rPr>
            <w:webHidden/>
          </w:rPr>
          <w:fldChar w:fldCharType="end"/>
        </w:r>
      </w:hyperlink>
    </w:p>
    <w:p w14:paraId="0E2C2EEC" w14:textId="4A9B7E22" w:rsidR="00A4233D" w:rsidRDefault="008975BF">
      <w:pPr>
        <w:pStyle w:val="TOC1"/>
        <w:rPr>
          <w:rFonts w:asciiTheme="minorHAnsi" w:eastAsiaTheme="minorEastAsia" w:hAnsiTheme="minorHAnsi" w:cstheme="minorBidi"/>
          <w:kern w:val="2"/>
          <w:szCs w:val="24"/>
          <w14:ligatures w14:val="standardContextual"/>
        </w:rPr>
      </w:pPr>
      <w:hyperlink w:anchor="_Toc164154169" w:history="1">
        <w:r w:rsidR="00A4233D" w:rsidRPr="007976C5">
          <w:rPr>
            <w:rStyle w:val="Hyperlink"/>
          </w:rPr>
          <w:t>Chapter 2: Trends in greenhouse gas emissions and removals</w:t>
        </w:r>
        <w:r w:rsidR="00A4233D">
          <w:rPr>
            <w:webHidden/>
          </w:rPr>
          <w:tab/>
        </w:r>
        <w:r w:rsidR="00A4233D">
          <w:rPr>
            <w:webHidden/>
          </w:rPr>
          <w:fldChar w:fldCharType="begin"/>
        </w:r>
        <w:r w:rsidR="00A4233D">
          <w:rPr>
            <w:webHidden/>
          </w:rPr>
          <w:instrText xml:space="preserve"> PAGEREF _Toc164154169 \h </w:instrText>
        </w:r>
        <w:r w:rsidR="00A4233D">
          <w:rPr>
            <w:webHidden/>
          </w:rPr>
        </w:r>
        <w:r w:rsidR="00A4233D">
          <w:rPr>
            <w:webHidden/>
          </w:rPr>
          <w:fldChar w:fldCharType="separate"/>
        </w:r>
        <w:r w:rsidR="009E4901">
          <w:rPr>
            <w:webHidden/>
          </w:rPr>
          <w:t>34</w:t>
        </w:r>
        <w:r w:rsidR="00A4233D">
          <w:rPr>
            <w:webHidden/>
          </w:rPr>
          <w:fldChar w:fldCharType="end"/>
        </w:r>
      </w:hyperlink>
    </w:p>
    <w:p w14:paraId="5010D6DF" w14:textId="7B0E9393" w:rsidR="00A4233D" w:rsidRDefault="008975BF">
      <w:pPr>
        <w:pStyle w:val="TOC2"/>
        <w:rPr>
          <w:rFonts w:asciiTheme="minorHAnsi" w:eastAsiaTheme="minorEastAsia" w:hAnsiTheme="minorHAnsi" w:cstheme="minorBidi"/>
          <w:kern w:val="2"/>
          <w:sz w:val="24"/>
          <w:szCs w:val="24"/>
          <w14:ligatures w14:val="standardContextual"/>
        </w:rPr>
      </w:pPr>
      <w:hyperlink w:anchor="_Toc164154170" w:history="1">
        <w:r w:rsidR="00A4233D" w:rsidRPr="007976C5">
          <w:rPr>
            <w:rStyle w:val="Hyperlink"/>
          </w:rPr>
          <w:t xml:space="preserve">2.1 </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Description of emission and removal trends for aggregated GHG emissions and removals</w:t>
        </w:r>
        <w:r w:rsidR="00A4233D">
          <w:rPr>
            <w:webHidden/>
          </w:rPr>
          <w:tab/>
        </w:r>
        <w:r w:rsidR="00A4233D">
          <w:rPr>
            <w:webHidden/>
          </w:rPr>
          <w:fldChar w:fldCharType="begin"/>
        </w:r>
        <w:r w:rsidR="00A4233D">
          <w:rPr>
            <w:webHidden/>
          </w:rPr>
          <w:instrText xml:space="preserve"> PAGEREF _Toc164154170 \h </w:instrText>
        </w:r>
        <w:r w:rsidR="00A4233D">
          <w:rPr>
            <w:webHidden/>
          </w:rPr>
        </w:r>
        <w:r w:rsidR="00A4233D">
          <w:rPr>
            <w:webHidden/>
          </w:rPr>
          <w:fldChar w:fldCharType="separate"/>
        </w:r>
        <w:r w:rsidR="009E4901">
          <w:rPr>
            <w:webHidden/>
          </w:rPr>
          <w:t>34</w:t>
        </w:r>
        <w:r w:rsidR="00A4233D">
          <w:rPr>
            <w:webHidden/>
          </w:rPr>
          <w:fldChar w:fldCharType="end"/>
        </w:r>
      </w:hyperlink>
    </w:p>
    <w:p w14:paraId="310FF943" w14:textId="3808403F" w:rsidR="00A4233D" w:rsidRDefault="008975BF">
      <w:pPr>
        <w:pStyle w:val="TOC2"/>
        <w:rPr>
          <w:rFonts w:asciiTheme="minorHAnsi" w:eastAsiaTheme="minorEastAsia" w:hAnsiTheme="minorHAnsi" w:cstheme="minorBidi"/>
          <w:kern w:val="2"/>
          <w:sz w:val="24"/>
          <w:szCs w:val="24"/>
          <w14:ligatures w14:val="standardContextual"/>
        </w:rPr>
      </w:pPr>
      <w:hyperlink w:anchor="_Toc164154171" w:history="1">
        <w:r w:rsidR="00A4233D" w:rsidRPr="007976C5">
          <w:rPr>
            <w:rStyle w:val="Hyperlink"/>
          </w:rPr>
          <w:t xml:space="preserve">2.2 </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Description of emission and removal trends by sector and by gas</w:t>
        </w:r>
        <w:r w:rsidR="00A4233D">
          <w:rPr>
            <w:webHidden/>
          </w:rPr>
          <w:tab/>
        </w:r>
        <w:r w:rsidR="00A4233D">
          <w:rPr>
            <w:webHidden/>
          </w:rPr>
          <w:fldChar w:fldCharType="begin"/>
        </w:r>
        <w:r w:rsidR="00A4233D">
          <w:rPr>
            <w:webHidden/>
          </w:rPr>
          <w:instrText xml:space="preserve"> PAGEREF _Toc164154171 \h </w:instrText>
        </w:r>
        <w:r w:rsidR="00A4233D">
          <w:rPr>
            <w:webHidden/>
          </w:rPr>
        </w:r>
        <w:r w:rsidR="00A4233D">
          <w:rPr>
            <w:webHidden/>
          </w:rPr>
          <w:fldChar w:fldCharType="separate"/>
        </w:r>
        <w:r w:rsidR="009E4901">
          <w:rPr>
            <w:webHidden/>
          </w:rPr>
          <w:t>36</w:t>
        </w:r>
        <w:r w:rsidR="00A4233D">
          <w:rPr>
            <w:webHidden/>
          </w:rPr>
          <w:fldChar w:fldCharType="end"/>
        </w:r>
      </w:hyperlink>
    </w:p>
    <w:p w14:paraId="4CDA476C" w14:textId="150F293B" w:rsidR="00A4233D" w:rsidRDefault="008975BF">
      <w:pPr>
        <w:pStyle w:val="TOC2"/>
        <w:rPr>
          <w:rFonts w:asciiTheme="minorHAnsi" w:eastAsiaTheme="minorEastAsia" w:hAnsiTheme="minorHAnsi" w:cstheme="minorBidi"/>
          <w:kern w:val="2"/>
          <w:sz w:val="24"/>
          <w:szCs w:val="24"/>
          <w14:ligatures w14:val="standardContextual"/>
        </w:rPr>
      </w:pPr>
      <w:hyperlink w:anchor="_Toc164154172" w:history="1">
        <w:r w:rsidR="00A4233D" w:rsidRPr="007976C5">
          <w:rPr>
            <w:rStyle w:val="Hyperlink"/>
          </w:rPr>
          <w:t>Chapter 2: References</w:t>
        </w:r>
        <w:r w:rsidR="00A4233D">
          <w:rPr>
            <w:webHidden/>
          </w:rPr>
          <w:tab/>
        </w:r>
        <w:r w:rsidR="00A4233D">
          <w:rPr>
            <w:webHidden/>
          </w:rPr>
          <w:fldChar w:fldCharType="begin"/>
        </w:r>
        <w:r w:rsidR="00A4233D">
          <w:rPr>
            <w:webHidden/>
          </w:rPr>
          <w:instrText xml:space="preserve"> PAGEREF _Toc164154172 \h </w:instrText>
        </w:r>
        <w:r w:rsidR="00A4233D">
          <w:rPr>
            <w:webHidden/>
          </w:rPr>
        </w:r>
        <w:r w:rsidR="00A4233D">
          <w:rPr>
            <w:webHidden/>
          </w:rPr>
          <w:fldChar w:fldCharType="separate"/>
        </w:r>
        <w:r w:rsidR="009E4901">
          <w:rPr>
            <w:webHidden/>
          </w:rPr>
          <w:t>57</w:t>
        </w:r>
        <w:r w:rsidR="00A4233D">
          <w:rPr>
            <w:webHidden/>
          </w:rPr>
          <w:fldChar w:fldCharType="end"/>
        </w:r>
      </w:hyperlink>
    </w:p>
    <w:p w14:paraId="6CF2CA08" w14:textId="771AFEC2" w:rsidR="00A4233D" w:rsidRDefault="008975BF">
      <w:pPr>
        <w:pStyle w:val="TOC1"/>
        <w:rPr>
          <w:rFonts w:asciiTheme="minorHAnsi" w:eastAsiaTheme="minorEastAsia" w:hAnsiTheme="minorHAnsi" w:cstheme="minorBidi"/>
          <w:kern w:val="2"/>
          <w:szCs w:val="24"/>
          <w14:ligatures w14:val="standardContextual"/>
        </w:rPr>
      </w:pPr>
      <w:hyperlink w:anchor="_Toc164154173" w:history="1">
        <w:r w:rsidR="00A4233D" w:rsidRPr="007976C5">
          <w:rPr>
            <w:rStyle w:val="Hyperlink"/>
            <w:rFonts w:cs="Calibri"/>
            <w:lang w:eastAsia="en-GB"/>
          </w:rPr>
          <w:t>Chapter 3: Energy</w:t>
        </w:r>
        <w:r w:rsidR="00A4233D">
          <w:rPr>
            <w:webHidden/>
          </w:rPr>
          <w:tab/>
        </w:r>
        <w:r w:rsidR="00A4233D">
          <w:rPr>
            <w:webHidden/>
          </w:rPr>
          <w:fldChar w:fldCharType="begin"/>
        </w:r>
        <w:r w:rsidR="00A4233D">
          <w:rPr>
            <w:webHidden/>
          </w:rPr>
          <w:instrText xml:space="preserve"> PAGEREF _Toc164154173 \h </w:instrText>
        </w:r>
        <w:r w:rsidR="00A4233D">
          <w:rPr>
            <w:webHidden/>
          </w:rPr>
        </w:r>
        <w:r w:rsidR="00A4233D">
          <w:rPr>
            <w:webHidden/>
          </w:rPr>
          <w:fldChar w:fldCharType="separate"/>
        </w:r>
        <w:r w:rsidR="009E4901">
          <w:rPr>
            <w:webHidden/>
          </w:rPr>
          <w:t>58</w:t>
        </w:r>
        <w:r w:rsidR="00A4233D">
          <w:rPr>
            <w:webHidden/>
          </w:rPr>
          <w:fldChar w:fldCharType="end"/>
        </w:r>
      </w:hyperlink>
    </w:p>
    <w:p w14:paraId="393D7FE8" w14:textId="2D31A41C" w:rsidR="00A4233D" w:rsidRDefault="008975BF">
      <w:pPr>
        <w:pStyle w:val="TOC2"/>
        <w:rPr>
          <w:rFonts w:asciiTheme="minorHAnsi" w:eastAsiaTheme="minorEastAsia" w:hAnsiTheme="minorHAnsi" w:cstheme="minorBidi"/>
          <w:kern w:val="2"/>
          <w:sz w:val="24"/>
          <w:szCs w:val="24"/>
          <w14:ligatures w14:val="standardContextual"/>
        </w:rPr>
      </w:pPr>
      <w:hyperlink w:anchor="_Toc164154174" w:history="1">
        <w:r w:rsidR="00A4233D" w:rsidRPr="007976C5">
          <w:rPr>
            <w:rStyle w:val="Hyperlink"/>
            <w:rFonts w:cs="Calibri"/>
          </w:rPr>
          <w:t>3.1</w:t>
        </w:r>
        <w:r w:rsidR="00A4233D">
          <w:rPr>
            <w:rFonts w:asciiTheme="minorHAnsi" w:eastAsiaTheme="minorEastAsia" w:hAnsiTheme="minorHAnsi" w:cstheme="minorBidi"/>
            <w:kern w:val="2"/>
            <w:sz w:val="24"/>
            <w:szCs w:val="24"/>
            <w14:ligatures w14:val="standardContextual"/>
          </w:rPr>
          <w:tab/>
        </w:r>
        <w:r w:rsidR="00A4233D" w:rsidRPr="007976C5">
          <w:rPr>
            <w:rStyle w:val="Hyperlink"/>
            <w:rFonts w:cs="Calibri"/>
          </w:rPr>
          <w:t>Sector overview</w:t>
        </w:r>
        <w:r w:rsidR="00A4233D">
          <w:rPr>
            <w:webHidden/>
          </w:rPr>
          <w:tab/>
        </w:r>
        <w:r w:rsidR="00A4233D">
          <w:rPr>
            <w:webHidden/>
          </w:rPr>
          <w:fldChar w:fldCharType="begin"/>
        </w:r>
        <w:r w:rsidR="00A4233D">
          <w:rPr>
            <w:webHidden/>
          </w:rPr>
          <w:instrText xml:space="preserve"> PAGEREF _Toc164154174 \h </w:instrText>
        </w:r>
        <w:r w:rsidR="00A4233D">
          <w:rPr>
            <w:webHidden/>
          </w:rPr>
        </w:r>
        <w:r w:rsidR="00A4233D">
          <w:rPr>
            <w:webHidden/>
          </w:rPr>
          <w:fldChar w:fldCharType="separate"/>
        </w:r>
        <w:r w:rsidR="009E4901">
          <w:rPr>
            <w:webHidden/>
          </w:rPr>
          <w:t>58</w:t>
        </w:r>
        <w:r w:rsidR="00A4233D">
          <w:rPr>
            <w:webHidden/>
          </w:rPr>
          <w:fldChar w:fldCharType="end"/>
        </w:r>
      </w:hyperlink>
    </w:p>
    <w:p w14:paraId="0760A972" w14:textId="740C1C2B" w:rsidR="00A4233D" w:rsidRDefault="008975BF">
      <w:pPr>
        <w:pStyle w:val="TOC2"/>
        <w:rPr>
          <w:rFonts w:asciiTheme="minorHAnsi" w:eastAsiaTheme="minorEastAsia" w:hAnsiTheme="minorHAnsi" w:cstheme="minorBidi"/>
          <w:kern w:val="2"/>
          <w:sz w:val="24"/>
          <w:szCs w:val="24"/>
          <w14:ligatures w14:val="standardContextual"/>
        </w:rPr>
      </w:pPr>
      <w:hyperlink w:anchor="_Toc164154175" w:history="1">
        <w:r w:rsidR="00A4233D" w:rsidRPr="007976C5">
          <w:rPr>
            <w:rStyle w:val="Hyperlink"/>
          </w:rPr>
          <w:t>3.2</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Fuel combustion (CRT 1.A)</w:t>
        </w:r>
        <w:r w:rsidR="00A4233D">
          <w:rPr>
            <w:webHidden/>
          </w:rPr>
          <w:tab/>
        </w:r>
        <w:r w:rsidR="00A4233D">
          <w:rPr>
            <w:webHidden/>
          </w:rPr>
          <w:fldChar w:fldCharType="begin"/>
        </w:r>
        <w:r w:rsidR="00A4233D">
          <w:rPr>
            <w:webHidden/>
          </w:rPr>
          <w:instrText xml:space="preserve"> PAGEREF _Toc164154175 \h </w:instrText>
        </w:r>
        <w:r w:rsidR="00A4233D">
          <w:rPr>
            <w:webHidden/>
          </w:rPr>
        </w:r>
        <w:r w:rsidR="00A4233D">
          <w:rPr>
            <w:webHidden/>
          </w:rPr>
          <w:fldChar w:fldCharType="separate"/>
        </w:r>
        <w:r w:rsidR="009E4901">
          <w:rPr>
            <w:webHidden/>
          </w:rPr>
          <w:t>64</w:t>
        </w:r>
        <w:r w:rsidR="00A4233D">
          <w:rPr>
            <w:webHidden/>
          </w:rPr>
          <w:fldChar w:fldCharType="end"/>
        </w:r>
      </w:hyperlink>
    </w:p>
    <w:p w14:paraId="22513CCD" w14:textId="42EBFEF5" w:rsidR="00A4233D" w:rsidRDefault="008975BF">
      <w:pPr>
        <w:pStyle w:val="TOC2"/>
        <w:rPr>
          <w:rFonts w:asciiTheme="minorHAnsi" w:eastAsiaTheme="minorEastAsia" w:hAnsiTheme="minorHAnsi" w:cstheme="minorBidi"/>
          <w:kern w:val="2"/>
          <w:sz w:val="24"/>
          <w:szCs w:val="24"/>
          <w14:ligatures w14:val="standardContextual"/>
        </w:rPr>
      </w:pPr>
      <w:hyperlink w:anchor="_Toc164154176" w:history="1">
        <w:r w:rsidR="00A4233D" w:rsidRPr="007976C5">
          <w:rPr>
            <w:rStyle w:val="Hyperlink"/>
            <w:rFonts w:cs="Calibri"/>
          </w:rPr>
          <w:t>3.3</w:t>
        </w:r>
        <w:r w:rsidR="00A4233D">
          <w:rPr>
            <w:rFonts w:asciiTheme="minorHAnsi" w:eastAsiaTheme="minorEastAsia" w:hAnsiTheme="minorHAnsi" w:cstheme="minorBidi"/>
            <w:kern w:val="2"/>
            <w:sz w:val="24"/>
            <w:szCs w:val="24"/>
            <w14:ligatures w14:val="standardContextual"/>
          </w:rPr>
          <w:tab/>
        </w:r>
        <w:r w:rsidR="00A4233D" w:rsidRPr="007976C5">
          <w:rPr>
            <w:rStyle w:val="Hyperlink"/>
            <w:rFonts w:cs="Calibri"/>
          </w:rPr>
          <w:t>Fugitive emissions from solid fuels and oil and natural gas and other emissions from energy production (CRT 1.B)</w:t>
        </w:r>
        <w:r w:rsidR="00A4233D">
          <w:rPr>
            <w:webHidden/>
          </w:rPr>
          <w:tab/>
        </w:r>
        <w:r w:rsidR="00A4233D">
          <w:rPr>
            <w:webHidden/>
          </w:rPr>
          <w:fldChar w:fldCharType="begin"/>
        </w:r>
        <w:r w:rsidR="00A4233D">
          <w:rPr>
            <w:webHidden/>
          </w:rPr>
          <w:instrText xml:space="preserve"> PAGEREF _Toc164154176 \h </w:instrText>
        </w:r>
        <w:r w:rsidR="00A4233D">
          <w:rPr>
            <w:webHidden/>
          </w:rPr>
        </w:r>
        <w:r w:rsidR="00A4233D">
          <w:rPr>
            <w:webHidden/>
          </w:rPr>
          <w:fldChar w:fldCharType="separate"/>
        </w:r>
        <w:r w:rsidR="009E4901">
          <w:rPr>
            <w:webHidden/>
          </w:rPr>
          <w:t>94</w:t>
        </w:r>
        <w:r w:rsidR="00A4233D">
          <w:rPr>
            <w:webHidden/>
          </w:rPr>
          <w:fldChar w:fldCharType="end"/>
        </w:r>
      </w:hyperlink>
    </w:p>
    <w:p w14:paraId="21965BC4" w14:textId="20CBFDB8" w:rsidR="00A4233D" w:rsidRDefault="008975BF">
      <w:pPr>
        <w:pStyle w:val="TOC2"/>
        <w:rPr>
          <w:rFonts w:asciiTheme="minorHAnsi" w:eastAsiaTheme="minorEastAsia" w:hAnsiTheme="minorHAnsi" w:cstheme="minorBidi"/>
          <w:kern w:val="2"/>
          <w:sz w:val="24"/>
          <w:szCs w:val="24"/>
          <w14:ligatures w14:val="standardContextual"/>
        </w:rPr>
      </w:pPr>
      <w:hyperlink w:anchor="_Toc164154177" w:history="1">
        <w:r w:rsidR="00A4233D" w:rsidRPr="007976C5">
          <w:rPr>
            <w:rStyle w:val="Hyperlink"/>
            <w:rFonts w:cs="Calibri"/>
          </w:rPr>
          <w:t>3.4</w:t>
        </w:r>
        <w:r w:rsidR="00A4233D">
          <w:rPr>
            <w:rFonts w:asciiTheme="minorHAnsi" w:eastAsiaTheme="minorEastAsia" w:hAnsiTheme="minorHAnsi" w:cstheme="minorBidi"/>
            <w:kern w:val="2"/>
            <w:sz w:val="24"/>
            <w:szCs w:val="24"/>
            <w14:ligatures w14:val="standardContextual"/>
          </w:rPr>
          <w:tab/>
        </w:r>
        <w:r w:rsidR="00A4233D" w:rsidRPr="007976C5">
          <w:rPr>
            <w:rStyle w:val="Hyperlink"/>
            <w:rFonts w:cs="Calibri"/>
          </w:rPr>
          <w:t>Carbon dioxide transport and storage (CRT 1.C)</w:t>
        </w:r>
        <w:r w:rsidR="00A4233D">
          <w:rPr>
            <w:webHidden/>
          </w:rPr>
          <w:tab/>
        </w:r>
        <w:r w:rsidR="00A4233D">
          <w:rPr>
            <w:webHidden/>
          </w:rPr>
          <w:fldChar w:fldCharType="begin"/>
        </w:r>
        <w:r w:rsidR="00A4233D">
          <w:rPr>
            <w:webHidden/>
          </w:rPr>
          <w:instrText xml:space="preserve"> PAGEREF _Toc164154177 \h </w:instrText>
        </w:r>
        <w:r w:rsidR="00A4233D">
          <w:rPr>
            <w:webHidden/>
          </w:rPr>
        </w:r>
        <w:r w:rsidR="00A4233D">
          <w:rPr>
            <w:webHidden/>
          </w:rPr>
          <w:fldChar w:fldCharType="separate"/>
        </w:r>
        <w:r w:rsidR="009E4901">
          <w:rPr>
            <w:webHidden/>
          </w:rPr>
          <w:t>103</w:t>
        </w:r>
        <w:r w:rsidR="00A4233D">
          <w:rPr>
            <w:webHidden/>
          </w:rPr>
          <w:fldChar w:fldCharType="end"/>
        </w:r>
      </w:hyperlink>
    </w:p>
    <w:p w14:paraId="204B3922" w14:textId="1210D772" w:rsidR="00A4233D" w:rsidRDefault="008975BF">
      <w:pPr>
        <w:pStyle w:val="TOC2"/>
        <w:rPr>
          <w:rFonts w:asciiTheme="minorHAnsi" w:eastAsiaTheme="minorEastAsia" w:hAnsiTheme="minorHAnsi" w:cstheme="minorBidi"/>
          <w:kern w:val="2"/>
          <w:sz w:val="24"/>
          <w:szCs w:val="24"/>
          <w14:ligatures w14:val="standardContextual"/>
        </w:rPr>
      </w:pPr>
      <w:hyperlink w:anchor="_Toc164154178" w:history="1">
        <w:r w:rsidR="00A4233D" w:rsidRPr="007976C5">
          <w:rPr>
            <w:rStyle w:val="Hyperlink"/>
          </w:rPr>
          <w:t>Chapter 3: References</w:t>
        </w:r>
        <w:r w:rsidR="00A4233D">
          <w:rPr>
            <w:webHidden/>
          </w:rPr>
          <w:tab/>
        </w:r>
        <w:r w:rsidR="00A4233D">
          <w:rPr>
            <w:webHidden/>
          </w:rPr>
          <w:fldChar w:fldCharType="begin"/>
        </w:r>
        <w:r w:rsidR="00A4233D">
          <w:rPr>
            <w:webHidden/>
          </w:rPr>
          <w:instrText xml:space="preserve"> PAGEREF _Toc164154178 \h </w:instrText>
        </w:r>
        <w:r w:rsidR="00A4233D">
          <w:rPr>
            <w:webHidden/>
          </w:rPr>
        </w:r>
        <w:r w:rsidR="00A4233D">
          <w:rPr>
            <w:webHidden/>
          </w:rPr>
          <w:fldChar w:fldCharType="separate"/>
        </w:r>
        <w:r w:rsidR="009E4901">
          <w:rPr>
            <w:webHidden/>
          </w:rPr>
          <w:t>104</w:t>
        </w:r>
        <w:r w:rsidR="00A4233D">
          <w:rPr>
            <w:webHidden/>
          </w:rPr>
          <w:fldChar w:fldCharType="end"/>
        </w:r>
      </w:hyperlink>
    </w:p>
    <w:p w14:paraId="00DB9968" w14:textId="66E0FC4B" w:rsidR="00A4233D" w:rsidRDefault="008975BF">
      <w:pPr>
        <w:pStyle w:val="TOC1"/>
        <w:rPr>
          <w:rFonts w:asciiTheme="minorHAnsi" w:eastAsiaTheme="minorEastAsia" w:hAnsiTheme="minorHAnsi" w:cstheme="minorBidi"/>
          <w:kern w:val="2"/>
          <w:szCs w:val="24"/>
          <w14:ligatures w14:val="standardContextual"/>
        </w:rPr>
      </w:pPr>
      <w:hyperlink w:anchor="_Toc164154179" w:history="1">
        <w:r w:rsidR="00A4233D" w:rsidRPr="007976C5">
          <w:rPr>
            <w:rStyle w:val="Hyperlink"/>
          </w:rPr>
          <w:t>Chapter 4: Industrial Processes and Product Use (IPPU)</w:t>
        </w:r>
        <w:r w:rsidR="00A4233D">
          <w:rPr>
            <w:webHidden/>
          </w:rPr>
          <w:tab/>
        </w:r>
        <w:r w:rsidR="00A4233D">
          <w:rPr>
            <w:webHidden/>
          </w:rPr>
          <w:fldChar w:fldCharType="begin"/>
        </w:r>
        <w:r w:rsidR="00A4233D">
          <w:rPr>
            <w:webHidden/>
          </w:rPr>
          <w:instrText xml:space="preserve"> PAGEREF _Toc164154179 \h </w:instrText>
        </w:r>
        <w:r w:rsidR="00A4233D">
          <w:rPr>
            <w:webHidden/>
          </w:rPr>
        </w:r>
        <w:r w:rsidR="00A4233D">
          <w:rPr>
            <w:webHidden/>
          </w:rPr>
          <w:fldChar w:fldCharType="separate"/>
        </w:r>
        <w:r w:rsidR="009E4901">
          <w:rPr>
            <w:webHidden/>
          </w:rPr>
          <w:t>106</w:t>
        </w:r>
        <w:r w:rsidR="00A4233D">
          <w:rPr>
            <w:webHidden/>
          </w:rPr>
          <w:fldChar w:fldCharType="end"/>
        </w:r>
      </w:hyperlink>
    </w:p>
    <w:p w14:paraId="0398EC46" w14:textId="6C9B8143" w:rsidR="00A4233D" w:rsidRDefault="008975BF">
      <w:pPr>
        <w:pStyle w:val="TOC2"/>
        <w:rPr>
          <w:rFonts w:asciiTheme="minorHAnsi" w:eastAsiaTheme="minorEastAsia" w:hAnsiTheme="minorHAnsi" w:cstheme="minorBidi"/>
          <w:kern w:val="2"/>
          <w:sz w:val="24"/>
          <w:szCs w:val="24"/>
          <w14:ligatures w14:val="standardContextual"/>
        </w:rPr>
      </w:pPr>
      <w:hyperlink w:anchor="_Toc164154180" w:history="1">
        <w:r w:rsidR="00A4233D" w:rsidRPr="007976C5">
          <w:rPr>
            <w:rStyle w:val="Hyperlink"/>
          </w:rPr>
          <w:t xml:space="preserve">4.1 </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Sector overview</w:t>
        </w:r>
        <w:r w:rsidR="00A4233D">
          <w:rPr>
            <w:webHidden/>
          </w:rPr>
          <w:tab/>
        </w:r>
        <w:r w:rsidR="00A4233D">
          <w:rPr>
            <w:webHidden/>
          </w:rPr>
          <w:fldChar w:fldCharType="begin"/>
        </w:r>
        <w:r w:rsidR="00A4233D">
          <w:rPr>
            <w:webHidden/>
          </w:rPr>
          <w:instrText xml:space="preserve"> PAGEREF _Toc164154180 \h </w:instrText>
        </w:r>
        <w:r w:rsidR="00A4233D">
          <w:rPr>
            <w:webHidden/>
          </w:rPr>
        </w:r>
        <w:r w:rsidR="00A4233D">
          <w:rPr>
            <w:webHidden/>
          </w:rPr>
          <w:fldChar w:fldCharType="separate"/>
        </w:r>
        <w:r w:rsidR="009E4901">
          <w:rPr>
            <w:webHidden/>
          </w:rPr>
          <w:t>106</w:t>
        </w:r>
        <w:r w:rsidR="00A4233D">
          <w:rPr>
            <w:webHidden/>
          </w:rPr>
          <w:fldChar w:fldCharType="end"/>
        </w:r>
      </w:hyperlink>
    </w:p>
    <w:p w14:paraId="1CACE378" w14:textId="30999985" w:rsidR="00A4233D" w:rsidRDefault="008975BF">
      <w:pPr>
        <w:pStyle w:val="TOC2"/>
        <w:rPr>
          <w:rFonts w:asciiTheme="minorHAnsi" w:eastAsiaTheme="minorEastAsia" w:hAnsiTheme="minorHAnsi" w:cstheme="minorBidi"/>
          <w:kern w:val="2"/>
          <w:sz w:val="24"/>
          <w:szCs w:val="24"/>
          <w14:ligatures w14:val="standardContextual"/>
        </w:rPr>
      </w:pPr>
      <w:hyperlink w:anchor="_Toc164154181" w:history="1">
        <w:r w:rsidR="00A4233D" w:rsidRPr="007976C5">
          <w:rPr>
            <w:rStyle w:val="Hyperlink"/>
          </w:rPr>
          <w:t>4.2</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Mineral industry (2.A)</w:t>
        </w:r>
        <w:r w:rsidR="00A4233D">
          <w:rPr>
            <w:webHidden/>
          </w:rPr>
          <w:tab/>
        </w:r>
        <w:r w:rsidR="00A4233D">
          <w:rPr>
            <w:webHidden/>
          </w:rPr>
          <w:fldChar w:fldCharType="begin"/>
        </w:r>
        <w:r w:rsidR="00A4233D">
          <w:rPr>
            <w:webHidden/>
          </w:rPr>
          <w:instrText xml:space="preserve"> PAGEREF _Toc164154181 \h </w:instrText>
        </w:r>
        <w:r w:rsidR="00A4233D">
          <w:rPr>
            <w:webHidden/>
          </w:rPr>
        </w:r>
        <w:r w:rsidR="00A4233D">
          <w:rPr>
            <w:webHidden/>
          </w:rPr>
          <w:fldChar w:fldCharType="separate"/>
        </w:r>
        <w:r w:rsidR="009E4901">
          <w:rPr>
            <w:webHidden/>
          </w:rPr>
          <w:t>112</w:t>
        </w:r>
        <w:r w:rsidR="00A4233D">
          <w:rPr>
            <w:webHidden/>
          </w:rPr>
          <w:fldChar w:fldCharType="end"/>
        </w:r>
      </w:hyperlink>
    </w:p>
    <w:p w14:paraId="2F9F2DBF" w14:textId="097BB63B" w:rsidR="00A4233D" w:rsidRDefault="008975BF">
      <w:pPr>
        <w:pStyle w:val="TOC2"/>
        <w:rPr>
          <w:rFonts w:asciiTheme="minorHAnsi" w:eastAsiaTheme="minorEastAsia" w:hAnsiTheme="minorHAnsi" w:cstheme="minorBidi"/>
          <w:kern w:val="2"/>
          <w:sz w:val="24"/>
          <w:szCs w:val="24"/>
          <w14:ligatures w14:val="standardContextual"/>
        </w:rPr>
      </w:pPr>
      <w:hyperlink w:anchor="_Toc164154182" w:history="1">
        <w:r w:rsidR="00A4233D" w:rsidRPr="007976C5">
          <w:rPr>
            <w:rStyle w:val="Hyperlink"/>
          </w:rPr>
          <w:t>4.3</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Chemical industry (2.B)</w:t>
        </w:r>
        <w:r w:rsidR="00A4233D">
          <w:rPr>
            <w:webHidden/>
          </w:rPr>
          <w:tab/>
        </w:r>
        <w:r w:rsidR="00A4233D">
          <w:rPr>
            <w:webHidden/>
          </w:rPr>
          <w:fldChar w:fldCharType="begin"/>
        </w:r>
        <w:r w:rsidR="00A4233D">
          <w:rPr>
            <w:webHidden/>
          </w:rPr>
          <w:instrText xml:space="preserve"> PAGEREF _Toc164154182 \h </w:instrText>
        </w:r>
        <w:r w:rsidR="00A4233D">
          <w:rPr>
            <w:webHidden/>
          </w:rPr>
        </w:r>
        <w:r w:rsidR="00A4233D">
          <w:rPr>
            <w:webHidden/>
          </w:rPr>
          <w:fldChar w:fldCharType="separate"/>
        </w:r>
        <w:r w:rsidR="009E4901">
          <w:rPr>
            <w:webHidden/>
          </w:rPr>
          <w:t>116</w:t>
        </w:r>
        <w:r w:rsidR="00A4233D">
          <w:rPr>
            <w:webHidden/>
          </w:rPr>
          <w:fldChar w:fldCharType="end"/>
        </w:r>
      </w:hyperlink>
    </w:p>
    <w:p w14:paraId="08AAC6F4" w14:textId="38F8820C" w:rsidR="00A4233D" w:rsidRDefault="008975BF">
      <w:pPr>
        <w:pStyle w:val="TOC2"/>
        <w:rPr>
          <w:rFonts w:asciiTheme="minorHAnsi" w:eastAsiaTheme="minorEastAsia" w:hAnsiTheme="minorHAnsi" w:cstheme="minorBidi"/>
          <w:kern w:val="2"/>
          <w:sz w:val="24"/>
          <w:szCs w:val="24"/>
          <w14:ligatures w14:val="standardContextual"/>
        </w:rPr>
      </w:pPr>
      <w:hyperlink w:anchor="_Toc164154183" w:history="1">
        <w:r w:rsidR="00A4233D" w:rsidRPr="007976C5">
          <w:rPr>
            <w:rStyle w:val="Hyperlink"/>
          </w:rPr>
          <w:t>4.4</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Metal industry (2.C)</w:t>
        </w:r>
        <w:r w:rsidR="00A4233D">
          <w:rPr>
            <w:webHidden/>
          </w:rPr>
          <w:tab/>
        </w:r>
        <w:r w:rsidR="00A4233D">
          <w:rPr>
            <w:webHidden/>
          </w:rPr>
          <w:fldChar w:fldCharType="begin"/>
        </w:r>
        <w:r w:rsidR="00A4233D">
          <w:rPr>
            <w:webHidden/>
          </w:rPr>
          <w:instrText xml:space="preserve"> PAGEREF _Toc164154183 \h </w:instrText>
        </w:r>
        <w:r w:rsidR="00A4233D">
          <w:rPr>
            <w:webHidden/>
          </w:rPr>
        </w:r>
        <w:r w:rsidR="00A4233D">
          <w:rPr>
            <w:webHidden/>
          </w:rPr>
          <w:fldChar w:fldCharType="separate"/>
        </w:r>
        <w:r w:rsidR="009E4901">
          <w:rPr>
            <w:webHidden/>
          </w:rPr>
          <w:t>120</w:t>
        </w:r>
        <w:r w:rsidR="00A4233D">
          <w:rPr>
            <w:webHidden/>
          </w:rPr>
          <w:fldChar w:fldCharType="end"/>
        </w:r>
      </w:hyperlink>
    </w:p>
    <w:p w14:paraId="1A9F3035" w14:textId="4A6295E2" w:rsidR="00A4233D" w:rsidRDefault="008975BF">
      <w:pPr>
        <w:pStyle w:val="TOC2"/>
        <w:rPr>
          <w:rFonts w:asciiTheme="minorHAnsi" w:eastAsiaTheme="minorEastAsia" w:hAnsiTheme="minorHAnsi" w:cstheme="minorBidi"/>
          <w:kern w:val="2"/>
          <w:sz w:val="24"/>
          <w:szCs w:val="24"/>
          <w14:ligatures w14:val="standardContextual"/>
        </w:rPr>
      </w:pPr>
      <w:hyperlink w:anchor="_Toc164154184" w:history="1">
        <w:r w:rsidR="00A4233D" w:rsidRPr="007976C5">
          <w:rPr>
            <w:rStyle w:val="Hyperlink"/>
          </w:rPr>
          <w:t>4.5</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Non-energy products from fuels and solvent use (2.D)</w:t>
        </w:r>
        <w:r w:rsidR="00A4233D">
          <w:rPr>
            <w:webHidden/>
          </w:rPr>
          <w:tab/>
        </w:r>
        <w:r w:rsidR="00A4233D">
          <w:rPr>
            <w:webHidden/>
          </w:rPr>
          <w:fldChar w:fldCharType="begin"/>
        </w:r>
        <w:r w:rsidR="00A4233D">
          <w:rPr>
            <w:webHidden/>
          </w:rPr>
          <w:instrText xml:space="preserve"> PAGEREF _Toc164154184 \h </w:instrText>
        </w:r>
        <w:r w:rsidR="00A4233D">
          <w:rPr>
            <w:webHidden/>
          </w:rPr>
        </w:r>
        <w:r w:rsidR="00A4233D">
          <w:rPr>
            <w:webHidden/>
          </w:rPr>
          <w:fldChar w:fldCharType="separate"/>
        </w:r>
        <w:r w:rsidR="009E4901">
          <w:rPr>
            <w:webHidden/>
          </w:rPr>
          <w:t>126</w:t>
        </w:r>
        <w:r w:rsidR="00A4233D">
          <w:rPr>
            <w:webHidden/>
          </w:rPr>
          <w:fldChar w:fldCharType="end"/>
        </w:r>
      </w:hyperlink>
    </w:p>
    <w:p w14:paraId="68092DDE" w14:textId="467EB2EB" w:rsidR="00A4233D" w:rsidRDefault="008975BF">
      <w:pPr>
        <w:pStyle w:val="TOC2"/>
        <w:rPr>
          <w:rFonts w:asciiTheme="minorHAnsi" w:eastAsiaTheme="minorEastAsia" w:hAnsiTheme="minorHAnsi" w:cstheme="minorBidi"/>
          <w:kern w:val="2"/>
          <w:sz w:val="24"/>
          <w:szCs w:val="24"/>
          <w14:ligatures w14:val="standardContextual"/>
        </w:rPr>
      </w:pPr>
      <w:hyperlink w:anchor="_Toc164154185" w:history="1">
        <w:r w:rsidR="00A4233D" w:rsidRPr="007976C5">
          <w:rPr>
            <w:rStyle w:val="Hyperlink"/>
          </w:rPr>
          <w:t>4.6</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Electronics industry (2.E)</w:t>
        </w:r>
        <w:r w:rsidR="00A4233D">
          <w:rPr>
            <w:webHidden/>
          </w:rPr>
          <w:tab/>
        </w:r>
        <w:r w:rsidR="00A4233D">
          <w:rPr>
            <w:webHidden/>
          </w:rPr>
          <w:fldChar w:fldCharType="begin"/>
        </w:r>
        <w:r w:rsidR="00A4233D">
          <w:rPr>
            <w:webHidden/>
          </w:rPr>
          <w:instrText xml:space="preserve"> PAGEREF _Toc164154185 \h </w:instrText>
        </w:r>
        <w:r w:rsidR="00A4233D">
          <w:rPr>
            <w:webHidden/>
          </w:rPr>
        </w:r>
        <w:r w:rsidR="00A4233D">
          <w:rPr>
            <w:webHidden/>
          </w:rPr>
          <w:fldChar w:fldCharType="separate"/>
        </w:r>
        <w:r w:rsidR="009E4901">
          <w:rPr>
            <w:webHidden/>
          </w:rPr>
          <w:t>129</w:t>
        </w:r>
        <w:r w:rsidR="00A4233D">
          <w:rPr>
            <w:webHidden/>
          </w:rPr>
          <w:fldChar w:fldCharType="end"/>
        </w:r>
      </w:hyperlink>
    </w:p>
    <w:p w14:paraId="43318037" w14:textId="4FA9F024" w:rsidR="00A4233D" w:rsidRDefault="008975BF">
      <w:pPr>
        <w:pStyle w:val="TOC2"/>
        <w:rPr>
          <w:rFonts w:asciiTheme="minorHAnsi" w:eastAsiaTheme="minorEastAsia" w:hAnsiTheme="minorHAnsi" w:cstheme="minorBidi"/>
          <w:kern w:val="2"/>
          <w:sz w:val="24"/>
          <w:szCs w:val="24"/>
          <w14:ligatures w14:val="standardContextual"/>
        </w:rPr>
      </w:pPr>
      <w:hyperlink w:anchor="_Toc164154186" w:history="1">
        <w:r w:rsidR="00A4233D" w:rsidRPr="007976C5">
          <w:rPr>
            <w:rStyle w:val="Hyperlink"/>
          </w:rPr>
          <w:t>4.7</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Product uses as substitutes for ODS (2.F)</w:t>
        </w:r>
        <w:r w:rsidR="00A4233D">
          <w:rPr>
            <w:webHidden/>
          </w:rPr>
          <w:tab/>
        </w:r>
        <w:r w:rsidR="00A4233D">
          <w:rPr>
            <w:webHidden/>
          </w:rPr>
          <w:fldChar w:fldCharType="begin"/>
        </w:r>
        <w:r w:rsidR="00A4233D">
          <w:rPr>
            <w:webHidden/>
          </w:rPr>
          <w:instrText xml:space="preserve"> PAGEREF _Toc164154186 \h </w:instrText>
        </w:r>
        <w:r w:rsidR="00A4233D">
          <w:rPr>
            <w:webHidden/>
          </w:rPr>
        </w:r>
        <w:r w:rsidR="00A4233D">
          <w:rPr>
            <w:webHidden/>
          </w:rPr>
          <w:fldChar w:fldCharType="separate"/>
        </w:r>
        <w:r w:rsidR="009E4901">
          <w:rPr>
            <w:webHidden/>
          </w:rPr>
          <w:t>130</w:t>
        </w:r>
        <w:r w:rsidR="00A4233D">
          <w:rPr>
            <w:webHidden/>
          </w:rPr>
          <w:fldChar w:fldCharType="end"/>
        </w:r>
      </w:hyperlink>
    </w:p>
    <w:p w14:paraId="5D10A8FA" w14:textId="39E6D06E" w:rsidR="00A4233D" w:rsidRDefault="008975BF">
      <w:pPr>
        <w:pStyle w:val="TOC2"/>
        <w:rPr>
          <w:rFonts w:asciiTheme="minorHAnsi" w:eastAsiaTheme="minorEastAsia" w:hAnsiTheme="minorHAnsi" w:cstheme="minorBidi"/>
          <w:kern w:val="2"/>
          <w:sz w:val="24"/>
          <w:szCs w:val="24"/>
          <w14:ligatures w14:val="standardContextual"/>
        </w:rPr>
      </w:pPr>
      <w:hyperlink w:anchor="_Toc164154187" w:history="1">
        <w:r w:rsidR="00A4233D" w:rsidRPr="007976C5">
          <w:rPr>
            <w:rStyle w:val="Hyperlink"/>
          </w:rPr>
          <w:t>4.8</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Other product manufacture and use (2.G)</w:t>
        </w:r>
        <w:r w:rsidR="00A4233D">
          <w:rPr>
            <w:webHidden/>
          </w:rPr>
          <w:tab/>
        </w:r>
        <w:r w:rsidR="00A4233D">
          <w:rPr>
            <w:webHidden/>
          </w:rPr>
          <w:fldChar w:fldCharType="begin"/>
        </w:r>
        <w:r w:rsidR="00A4233D">
          <w:rPr>
            <w:webHidden/>
          </w:rPr>
          <w:instrText xml:space="preserve"> PAGEREF _Toc164154187 \h </w:instrText>
        </w:r>
        <w:r w:rsidR="00A4233D">
          <w:rPr>
            <w:webHidden/>
          </w:rPr>
        </w:r>
        <w:r w:rsidR="00A4233D">
          <w:rPr>
            <w:webHidden/>
          </w:rPr>
          <w:fldChar w:fldCharType="separate"/>
        </w:r>
        <w:r w:rsidR="009E4901">
          <w:rPr>
            <w:webHidden/>
          </w:rPr>
          <w:t>139</w:t>
        </w:r>
        <w:r w:rsidR="00A4233D">
          <w:rPr>
            <w:webHidden/>
          </w:rPr>
          <w:fldChar w:fldCharType="end"/>
        </w:r>
      </w:hyperlink>
    </w:p>
    <w:p w14:paraId="632F6758" w14:textId="5C5D651A" w:rsidR="00A4233D" w:rsidRDefault="008975BF">
      <w:pPr>
        <w:pStyle w:val="TOC2"/>
        <w:rPr>
          <w:rFonts w:asciiTheme="minorHAnsi" w:eastAsiaTheme="minorEastAsia" w:hAnsiTheme="minorHAnsi" w:cstheme="minorBidi"/>
          <w:kern w:val="2"/>
          <w:sz w:val="24"/>
          <w:szCs w:val="24"/>
          <w14:ligatures w14:val="standardContextual"/>
        </w:rPr>
      </w:pPr>
      <w:hyperlink w:anchor="_Toc164154188" w:history="1">
        <w:r w:rsidR="00A4233D" w:rsidRPr="007976C5">
          <w:rPr>
            <w:rStyle w:val="Hyperlink"/>
          </w:rPr>
          <w:t>Chapter 4: References</w:t>
        </w:r>
        <w:r w:rsidR="00A4233D">
          <w:rPr>
            <w:webHidden/>
          </w:rPr>
          <w:tab/>
        </w:r>
        <w:r w:rsidR="00A4233D">
          <w:rPr>
            <w:webHidden/>
          </w:rPr>
          <w:fldChar w:fldCharType="begin"/>
        </w:r>
        <w:r w:rsidR="00A4233D">
          <w:rPr>
            <w:webHidden/>
          </w:rPr>
          <w:instrText xml:space="preserve"> PAGEREF _Toc164154188 \h </w:instrText>
        </w:r>
        <w:r w:rsidR="00A4233D">
          <w:rPr>
            <w:webHidden/>
          </w:rPr>
        </w:r>
        <w:r w:rsidR="00A4233D">
          <w:rPr>
            <w:webHidden/>
          </w:rPr>
          <w:fldChar w:fldCharType="separate"/>
        </w:r>
        <w:r w:rsidR="009E4901">
          <w:rPr>
            <w:webHidden/>
          </w:rPr>
          <w:t>142</w:t>
        </w:r>
        <w:r w:rsidR="00A4233D">
          <w:rPr>
            <w:webHidden/>
          </w:rPr>
          <w:fldChar w:fldCharType="end"/>
        </w:r>
      </w:hyperlink>
    </w:p>
    <w:p w14:paraId="2C9C83B8" w14:textId="41EAC0FE" w:rsidR="00A4233D" w:rsidRDefault="008975BF">
      <w:pPr>
        <w:pStyle w:val="TOC1"/>
        <w:rPr>
          <w:rFonts w:asciiTheme="minorHAnsi" w:eastAsiaTheme="minorEastAsia" w:hAnsiTheme="minorHAnsi" w:cstheme="minorBidi"/>
          <w:kern w:val="2"/>
          <w:szCs w:val="24"/>
          <w14:ligatures w14:val="standardContextual"/>
        </w:rPr>
      </w:pPr>
      <w:hyperlink w:anchor="_Toc164154189" w:history="1">
        <w:r w:rsidR="00A4233D" w:rsidRPr="007976C5">
          <w:rPr>
            <w:rStyle w:val="Hyperlink"/>
          </w:rPr>
          <w:t>Chapter 5: Agriculture</w:t>
        </w:r>
        <w:r w:rsidR="00A4233D">
          <w:rPr>
            <w:webHidden/>
          </w:rPr>
          <w:tab/>
        </w:r>
        <w:r w:rsidR="00A4233D">
          <w:rPr>
            <w:webHidden/>
          </w:rPr>
          <w:fldChar w:fldCharType="begin"/>
        </w:r>
        <w:r w:rsidR="00A4233D">
          <w:rPr>
            <w:webHidden/>
          </w:rPr>
          <w:instrText xml:space="preserve"> PAGEREF _Toc164154189 \h </w:instrText>
        </w:r>
        <w:r w:rsidR="00A4233D">
          <w:rPr>
            <w:webHidden/>
          </w:rPr>
        </w:r>
        <w:r w:rsidR="00A4233D">
          <w:rPr>
            <w:webHidden/>
          </w:rPr>
          <w:fldChar w:fldCharType="separate"/>
        </w:r>
        <w:r w:rsidR="009E4901">
          <w:rPr>
            <w:webHidden/>
          </w:rPr>
          <w:t>143</w:t>
        </w:r>
        <w:r w:rsidR="00A4233D">
          <w:rPr>
            <w:webHidden/>
          </w:rPr>
          <w:fldChar w:fldCharType="end"/>
        </w:r>
      </w:hyperlink>
    </w:p>
    <w:p w14:paraId="0B760124" w14:textId="5AA51FFE" w:rsidR="00A4233D" w:rsidRDefault="008975BF">
      <w:pPr>
        <w:pStyle w:val="TOC2"/>
        <w:rPr>
          <w:rFonts w:asciiTheme="minorHAnsi" w:eastAsiaTheme="minorEastAsia" w:hAnsiTheme="minorHAnsi" w:cstheme="minorBidi"/>
          <w:kern w:val="2"/>
          <w:sz w:val="24"/>
          <w:szCs w:val="24"/>
          <w14:ligatures w14:val="standardContextual"/>
        </w:rPr>
      </w:pPr>
      <w:hyperlink w:anchor="_Toc164154190" w:history="1">
        <w:r w:rsidR="00A4233D" w:rsidRPr="007976C5">
          <w:rPr>
            <w:rStyle w:val="Hyperlink"/>
          </w:rPr>
          <w:t xml:space="preserve">5.1 </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Sector overview</w:t>
        </w:r>
        <w:r w:rsidR="00A4233D">
          <w:rPr>
            <w:webHidden/>
          </w:rPr>
          <w:tab/>
        </w:r>
        <w:r w:rsidR="00A4233D">
          <w:rPr>
            <w:webHidden/>
          </w:rPr>
          <w:fldChar w:fldCharType="begin"/>
        </w:r>
        <w:r w:rsidR="00A4233D">
          <w:rPr>
            <w:webHidden/>
          </w:rPr>
          <w:instrText xml:space="preserve"> PAGEREF _Toc164154190 \h </w:instrText>
        </w:r>
        <w:r w:rsidR="00A4233D">
          <w:rPr>
            <w:webHidden/>
          </w:rPr>
        </w:r>
        <w:r w:rsidR="00A4233D">
          <w:rPr>
            <w:webHidden/>
          </w:rPr>
          <w:fldChar w:fldCharType="separate"/>
        </w:r>
        <w:r w:rsidR="009E4901">
          <w:rPr>
            <w:webHidden/>
          </w:rPr>
          <w:t>143</w:t>
        </w:r>
        <w:r w:rsidR="00A4233D">
          <w:rPr>
            <w:webHidden/>
          </w:rPr>
          <w:fldChar w:fldCharType="end"/>
        </w:r>
      </w:hyperlink>
    </w:p>
    <w:p w14:paraId="491666A5" w14:textId="42444725" w:rsidR="00A4233D" w:rsidRDefault="008975BF">
      <w:pPr>
        <w:pStyle w:val="TOC2"/>
        <w:rPr>
          <w:rFonts w:asciiTheme="minorHAnsi" w:eastAsiaTheme="minorEastAsia" w:hAnsiTheme="minorHAnsi" w:cstheme="minorBidi"/>
          <w:kern w:val="2"/>
          <w:sz w:val="24"/>
          <w:szCs w:val="24"/>
          <w14:ligatures w14:val="standardContextual"/>
        </w:rPr>
      </w:pPr>
      <w:hyperlink w:anchor="_Toc164154191" w:history="1">
        <w:r w:rsidR="00A4233D" w:rsidRPr="007976C5">
          <w:rPr>
            <w:rStyle w:val="Hyperlink"/>
          </w:rPr>
          <w:t>5.2</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Enteric fermentation (3.A)</w:t>
        </w:r>
        <w:r w:rsidR="00A4233D">
          <w:rPr>
            <w:webHidden/>
          </w:rPr>
          <w:tab/>
        </w:r>
        <w:r w:rsidR="00A4233D">
          <w:rPr>
            <w:webHidden/>
          </w:rPr>
          <w:fldChar w:fldCharType="begin"/>
        </w:r>
        <w:r w:rsidR="00A4233D">
          <w:rPr>
            <w:webHidden/>
          </w:rPr>
          <w:instrText xml:space="preserve"> PAGEREF _Toc164154191 \h </w:instrText>
        </w:r>
        <w:r w:rsidR="00A4233D">
          <w:rPr>
            <w:webHidden/>
          </w:rPr>
        </w:r>
        <w:r w:rsidR="00A4233D">
          <w:rPr>
            <w:webHidden/>
          </w:rPr>
          <w:fldChar w:fldCharType="separate"/>
        </w:r>
        <w:r w:rsidR="009E4901">
          <w:rPr>
            <w:webHidden/>
          </w:rPr>
          <w:t>169</w:t>
        </w:r>
        <w:r w:rsidR="00A4233D">
          <w:rPr>
            <w:webHidden/>
          </w:rPr>
          <w:fldChar w:fldCharType="end"/>
        </w:r>
      </w:hyperlink>
    </w:p>
    <w:p w14:paraId="7B6C93FE" w14:textId="12F0C12C" w:rsidR="00A4233D" w:rsidRDefault="008975BF">
      <w:pPr>
        <w:pStyle w:val="TOC2"/>
        <w:rPr>
          <w:rFonts w:asciiTheme="minorHAnsi" w:eastAsiaTheme="minorEastAsia" w:hAnsiTheme="minorHAnsi" w:cstheme="minorBidi"/>
          <w:kern w:val="2"/>
          <w:sz w:val="24"/>
          <w:szCs w:val="24"/>
          <w14:ligatures w14:val="standardContextual"/>
        </w:rPr>
      </w:pPr>
      <w:hyperlink w:anchor="_Toc164154192" w:history="1">
        <w:r w:rsidR="00A4233D" w:rsidRPr="007976C5">
          <w:rPr>
            <w:rStyle w:val="Hyperlink"/>
          </w:rPr>
          <w:t>5.3</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Manure management (3.B)</w:t>
        </w:r>
        <w:r w:rsidR="00A4233D">
          <w:rPr>
            <w:webHidden/>
          </w:rPr>
          <w:tab/>
        </w:r>
        <w:r w:rsidR="00A4233D">
          <w:rPr>
            <w:webHidden/>
          </w:rPr>
          <w:fldChar w:fldCharType="begin"/>
        </w:r>
        <w:r w:rsidR="00A4233D">
          <w:rPr>
            <w:webHidden/>
          </w:rPr>
          <w:instrText xml:space="preserve"> PAGEREF _Toc164154192 \h </w:instrText>
        </w:r>
        <w:r w:rsidR="00A4233D">
          <w:rPr>
            <w:webHidden/>
          </w:rPr>
        </w:r>
        <w:r w:rsidR="00A4233D">
          <w:rPr>
            <w:webHidden/>
          </w:rPr>
          <w:fldChar w:fldCharType="separate"/>
        </w:r>
        <w:r w:rsidR="009E4901">
          <w:rPr>
            <w:webHidden/>
          </w:rPr>
          <w:t>184</w:t>
        </w:r>
        <w:r w:rsidR="00A4233D">
          <w:rPr>
            <w:webHidden/>
          </w:rPr>
          <w:fldChar w:fldCharType="end"/>
        </w:r>
      </w:hyperlink>
    </w:p>
    <w:p w14:paraId="0F765F21" w14:textId="6920BB8C" w:rsidR="00A4233D" w:rsidRDefault="008975BF">
      <w:pPr>
        <w:pStyle w:val="TOC2"/>
        <w:rPr>
          <w:rFonts w:asciiTheme="minorHAnsi" w:eastAsiaTheme="minorEastAsia" w:hAnsiTheme="minorHAnsi" w:cstheme="minorBidi"/>
          <w:kern w:val="2"/>
          <w:sz w:val="24"/>
          <w:szCs w:val="24"/>
          <w14:ligatures w14:val="standardContextual"/>
        </w:rPr>
      </w:pPr>
      <w:hyperlink w:anchor="_Toc164154193" w:history="1">
        <w:r w:rsidR="00A4233D" w:rsidRPr="007976C5">
          <w:rPr>
            <w:rStyle w:val="Hyperlink"/>
          </w:rPr>
          <w:t>5.4</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Rice cultivation (3.C)</w:t>
        </w:r>
        <w:r w:rsidR="00A4233D">
          <w:rPr>
            <w:webHidden/>
          </w:rPr>
          <w:tab/>
        </w:r>
        <w:r w:rsidR="00A4233D">
          <w:rPr>
            <w:webHidden/>
          </w:rPr>
          <w:fldChar w:fldCharType="begin"/>
        </w:r>
        <w:r w:rsidR="00A4233D">
          <w:rPr>
            <w:webHidden/>
          </w:rPr>
          <w:instrText xml:space="preserve"> PAGEREF _Toc164154193 \h </w:instrText>
        </w:r>
        <w:r w:rsidR="00A4233D">
          <w:rPr>
            <w:webHidden/>
          </w:rPr>
        </w:r>
        <w:r w:rsidR="00A4233D">
          <w:rPr>
            <w:webHidden/>
          </w:rPr>
          <w:fldChar w:fldCharType="separate"/>
        </w:r>
        <w:r w:rsidR="009E4901">
          <w:rPr>
            <w:webHidden/>
          </w:rPr>
          <w:t>198</w:t>
        </w:r>
        <w:r w:rsidR="00A4233D">
          <w:rPr>
            <w:webHidden/>
          </w:rPr>
          <w:fldChar w:fldCharType="end"/>
        </w:r>
      </w:hyperlink>
    </w:p>
    <w:p w14:paraId="4B2C1F2C" w14:textId="3A266819" w:rsidR="00A4233D" w:rsidRDefault="008975BF">
      <w:pPr>
        <w:pStyle w:val="TOC2"/>
        <w:rPr>
          <w:rFonts w:asciiTheme="minorHAnsi" w:eastAsiaTheme="minorEastAsia" w:hAnsiTheme="minorHAnsi" w:cstheme="minorBidi"/>
          <w:kern w:val="2"/>
          <w:sz w:val="24"/>
          <w:szCs w:val="24"/>
          <w14:ligatures w14:val="standardContextual"/>
        </w:rPr>
      </w:pPr>
      <w:hyperlink w:anchor="_Toc164154194" w:history="1">
        <w:r w:rsidR="00A4233D" w:rsidRPr="007976C5">
          <w:rPr>
            <w:rStyle w:val="Hyperlink"/>
          </w:rPr>
          <w:t>5.5</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Agricultural soils (3.D)</w:t>
        </w:r>
        <w:r w:rsidR="00A4233D">
          <w:rPr>
            <w:webHidden/>
          </w:rPr>
          <w:tab/>
        </w:r>
        <w:r w:rsidR="00A4233D">
          <w:rPr>
            <w:webHidden/>
          </w:rPr>
          <w:fldChar w:fldCharType="begin"/>
        </w:r>
        <w:r w:rsidR="00A4233D">
          <w:rPr>
            <w:webHidden/>
          </w:rPr>
          <w:instrText xml:space="preserve"> PAGEREF _Toc164154194 \h </w:instrText>
        </w:r>
        <w:r w:rsidR="00A4233D">
          <w:rPr>
            <w:webHidden/>
          </w:rPr>
        </w:r>
        <w:r w:rsidR="00A4233D">
          <w:rPr>
            <w:webHidden/>
          </w:rPr>
          <w:fldChar w:fldCharType="separate"/>
        </w:r>
        <w:r w:rsidR="009E4901">
          <w:rPr>
            <w:webHidden/>
          </w:rPr>
          <w:t>198</w:t>
        </w:r>
        <w:r w:rsidR="00A4233D">
          <w:rPr>
            <w:webHidden/>
          </w:rPr>
          <w:fldChar w:fldCharType="end"/>
        </w:r>
      </w:hyperlink>
    </w:p>
    <w:p w14:paraId="76B4BEF0" w14:textId="0271E701" w:rsidR="00A4233D" w:rsidRDefault="008975BF">
      <w:pPr>
        <w:pStyle w:val="TOC2"/>
        <w:rPr>
          <w:rFonts w:asciiTheme="minorHAnsi" w:eastAsiaTheme="minorEastAsia" w:hAnsiTheme="minorHAnsi" w:cstheme="minorBidi"/>
          <w:kern w:val="2"/>
          <w:sz w:val="24"/>
          <w:szCs w:val="24"/>
          <w14:ligatures w14:val="standardContextual"/>
        </w:rPr>
      </w:pPr>
      <w:hyperlink w:anchor="_Toc164154195" w:history="1">
        <w:r w:rsidR="00A4233D" w:rsidRPr="007976C5">
          <w:rPr>
            <w:rStyle w:val="Hyperlink"/>
            <w:bCs/>
          </w:rPr>
          <w:t>5.6</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Prescribed burning of savanna (3.E)</w:t>
        </w:r>
        <w:r w:rsidR="00A4233D">
          <w:rPr>
            <w:webHidden/>
          </w:rPr>
          <w:tab/>
        </w:r>
        <w:r w:rsidR="00A4233D">
          <w:rPr>
            <w:webHidden/>
          </w:rPr>
          <w:fldChar w:fldCharType="begin"/>
        </w:r>
        <w:r w:rsidR="00A4233D">
          <w:rPr>
            <w:webHidden/>
          </w:rPr>
          <w:instrText xml:space="preserve"> PAGEREF _Toc164154195 \h </w:instrText>
        </w:r>
        <w:r w:rsidR="00A4233D">
          <w:rPr>
            <w:webHidden/>
          </w:rPr>
        </w:r>
        <w:r w:rsidR="00A4233D">
          <w:rPr>
            <w:webHidden/>
          </w:rPr>
          <w:fldChar w:fldCharType="separate"/>
        </w:r>
        <w:r w:rsidR="009E4901">
          <w:rPr>
            <w:webHidden/>
          </w:rPr>
          <w:t>225</w:t>
        </w:r>
        <w:r w:rsidR="00A4233D">
          <w:rPr>
            <w:webHidden/>
          </w:rPr>
          <w:fldChar w:fldCharType="end"/>
        </w:r>
      </w:hyperlink>
    </w:p>
    <w:p w14:paraId="0F0DE2DE" w14:textId="3312BD43" w:rsidR="00A4233D" w:rsidRDefault="008975BF">
      <w:pPr>
        <w:pStyle w:val="TOC2"/>
        <w:rPr>
          <w:rFonts w:asciiTheme="minorHAnsi" w:eastAsiaTheme="minorEastAsia" w:hAnsiTheme="minorHAnsi" w:cstheme="minorBidi"/>
          <w:kern w:val="2"/>
          <w:sz w:val="24"/>
          <w:szCs w:val="24"/>
          <w14:ligatures w14:val="standardContextual"/>
        </w:rPr>
      </w:pPr>
      <w:hyperlink w:anchor="_Toc164154196" w:history="1">
        <w:r w:rsidR="00A4233D" w:rsidRPr="007976C5">
          <w:rPr>
            <w:rStyle w:val="Hyperlink"/>
          </w:rPr>
          <w:t>5.7</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Field burning of agricultural residues (3.F)</w:t>
        </w:r>
        <w:r w:rsidR="00A4233D">
          <w:rPr>
            <w:webHidden/>
          </w:rPr>
          <w:tab/>
        </w:r>
        <w:r w:rsidR="00A4233D">
          <w:rPr>
            <w:webHidden/>
          </w:rPr>
          <w:fldChar w:fldCharType="begin"/>
        </w:r>
        <w:r w:rsidR="00A4233D">
          <w:rPr>
            <w:webHidden/>
          </w:rPr>
          <w:instrText xml:space="preserve"> PAGEREF _Toc164154196 \h </w:instrText>
        </w:r>
        <w:r w:rsidR="00A4233D">
          <w:rPr>
            <w:webHidden/>
          </w:rPr>
        </w:r>
        <w:r w:rsidR="00A4233D">
          <w:rPr>
            <w:webHidden/>
          </w:rPr>
          <w:fldChar w:fldCharType="separate"/>
        </w:r>
        <w:r w:rsidR="009E4901">
          <w:rPr>
            <w:webHidden/>
          </w:rPr>
          <w:t>225</w:t>
        </w:r>
        <w:r w:rsidR="00A4233D">
          <w:rPr>
            <w:webHidden/>
          </w:rPr>
          <w:fldChar w:fldCharType="end"/>
        </w:r>
      </w:hyperlink>
    </w:p>
    <w:p w14:paraId="22C524DC" w14:textId="4B64C4E8" w:rsidR="00A4233D" w:rsidRDefault="008975BF">
      <w:pPr>
        <w:pStyle w:val="TOC2"/>
        <w:rPr>
          <w:rFonts w:asciiTheme="minorHAnsi" w:eastAsiaTheme="minorEastAsia" w:hAnsiTheme="minorHAnsi" w:cstheme="minorBidi"/>
          <w:kern w:val="2"/>
          <w:sz w:val="24"/>
          <w:szCs w:val="24"/>
          <w14:ligatures w14:val="standardContextual"/>
        </w:rPr>
      </w:pPr>
      <w:hyperlink w:anchor="_Toc164154197" w:history="1">
        <w:r w:rsidR="00A4233D" w:rsidRPr="007976C5">
          <w:rPr>
            <w:rStyle w:val="Hyperlink"/>
          </w:rPr>
          <w:t>5.8</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Liming (3.G)</w:t>
        </w:r>
        <w:r w:rsidR="00A4233D">
          <w:rPr>
            <w:webHidden/>
          </w:rPr>
          <w:tab/>
        </w:r>
        <w:r w:rsidR="00A4233D">
          <w:rPr>
            <w:webHidden/>
          </w:rPr>
          <w:fldChar w:fldCharType="begin"/>
        </w:r>
        <w:r w:rsidR="00A4233D">
          <w:rPr>
            <w:webHidden/>
          </w:rPr>
          <w:instrText xml:space="preserve"> PAGEREF _Toc164154197 \h </w:instrText>
        </w:r>
        <w:r w:rsidR="00A4233D">
          <w:rPr>
            <w:webHidden/>
          </w:rPr>
        </w:r>
        <w:r w:rsidR="00A4233D">
          <w:rPr>
            <w:webHidden/>
          </w:rPr>
          <w:fldChar w:fldCharType="separate"/>
        </w:r>
        <w:r w:rsidR="009E4901">
          <w:rPr>
            <w:webHidden/>
          </w:rPr>
          <w:t>229</w:t>
        </w:r>
        <w:r w:rsidR="00A4233D">
          <w:rPr>
            <w:webHidden/>
          </w:rPr>
          <w:fldChar w:fldCharType="end"/>
        </w:r>
      </w:hyperlink>
    </w:p>
    <w:p w14:paraId="0023C6F8" w14:textId="614D2DCB" w:rsidR="00A4233D" w:rsidRDefault="008975BF">
      <w:pPr>
        <w:pStyle w:val="TOC2"/>
        <w:rPr>
          <w:rFonts w:asciiTheme="minorHAnsi" w:eastAsiaTheme="minorEastAsia" w:hAnsiTheme="minorHAnsi" w:cstheme="minorBidi"/>
          <w:kern w:val="2"/>
          <w:sz w:val="24"/>
          <w:szCs w:val="24"/>
          <w14:ligatures w14:val="standardContextual"/>
        </w:rPr>
      </w:pPr>
      <w:hyperlink w:anchor="_Toc164154198" w:history="1">
        <w:r w:rsidR="00A4233D" w:rsidRPr="007976C5">
          <w:rPr>
            <w:rStyle w:val="Hyperlink"/>
          </w:rPr>
          <w:t>5.9</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Urea application (3.H)</w:t>
        </w:r>
        <w:r w:rsidR="00A4233D">
          <w:rPr>
            <w:webHidden/>
          </w:rPr>
          <w:tab/>
        </w:r>
        <w:r w:rsidR="00A4233D">
          <w:rPr>
            <w:webHidden/>
          </w:rPr>
          <w:fldChar w:fldCharType="begin"/>
        </w:r>
        <w:r w:rsidR="00A4233D">
          <w:rPr>
            <w:webHidden/>
          </w:rPr>
          <w:instrText xml:space="preserve"> PAGEREF _Toc164154198 \h </w:instrText>
        </w:r>
        <w:r w:rsidR="00A4233D">
          <w:rPr>
            <w:webHidden/>
          </w:rPr>
        </w:r>
        <w:r w:rsidR="00A4233D">
          <w:rPr>
            <w:webHidden/>
          </w:rPr>
          <w:fldChar w:fldCharType="separate"/>
        </w:r>
        <w:r w:rsidR="009E4901">
          <w:rPr>
            <w:webHidden/>
          </w:rPr>
          <w:t>231</w:t>
        </w:r>
        <w:r w:rsidR="00A4233D">
          <w:rPr>
            <w:webHidden/>
          </w:rPr>
          <w:fldChar w:fldCharType="end"/>
        </w:r>
      </w:hyperlink>
    </w:p>
    <w:p w14:paraId="7794D0A9" w14:textId="5974ABF5" w:rsidR="00A4233D" w:rsidRDefault="008975BF">
      <w:pPr>
        <w:pStyle w:val="TOC2"/>
        <w:rPr>
          <w:rFonts w:asciiTheme="minorHAnsi" w:eastAsiaTheme="minorEastAsia" w:hAnsiTheme="minorHAnsi" w:cstheme="minorBidi"/>
          <w:kern w:val="2"/>
          <w:sz w:val="24"/>
          <w:szCs w:val="24"/>
          <w14:ligatures w14:val="standardContextual"/>
        </w:rPr>
      </w:pPr>
      <w:hyperlink w:anchor="_Toc164154199" w:history="1">
        <w:r w:rsidR="00A4233D" w:rsidRPr="007976C5">
          <w:rPr>
            <w:rStyle w:val="Hyperlink"/>
          </w:rPr>
          <w:t xml:space="preserve">5.10 </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Other carbon-containing fertilisers (3.I)</w:t>
        </w:r>
        <w:r w:rsidR="00A4233D">
          <w:rPr>
            <w:webHidden/>
          </w:rPr>
          <w:tab/>
        </w:r>
        <w:r w:rsidR="00A4233D">
          <w:rPr>
            <w:webHidden/>
          </w:rPr>
          <w:fldChar w:fldCharType="begin"/>
        </w:r>
        <w:r w:rsidR="00A4233D">
          <w:rPr>
            <w:webHidden/>
          </w:rPr>
          <w:instrText xml:space="preserve"> PAGEREF _Toc164154199 \h </w:instrText>
        </w:r>
        <w:r w:rsidR="00A4233D">
          <w:rPr>
            <w:webHidden/>
          </w:rPr>
        </w:r>
        <w:r w:rsidR="00A4233D">
          <w:rPr>
            <w:webHidden/>
          </w:rPr>
          <w:fldChar w:fldCharType="separate"/>
        </w:r>
        <w:r w:rsidR="009E4901">
          <w:rPr>
            <w:webHidden/>
          </w:rPr>
          <w:t>232</w:t>
        </w:r>
        <w:r w:rsidR="00A4233D">
          <w:rPr>
            <w:webHidden/>
          </w:rPr>
          <w:fldChar w:fldCharType="end"/>
        </w:r>
      </w:hyperlink>
    </w:p>
    <w:p w14:paraId="2315E8EC" w14:textId="4A708E43" w:rsidR="00A4233D" w:rsidRDefault="008975BF">
      <w:pPr>
        <w:pStyle w:val="TOC2"/>
        <w:rPr>
          <w:rFonts w:asciiTheme="minorHAnsi" w:eastAsiaTheme="minorEastAsia" w:hAnsiTheme="minorHAnsi" w:cstheme="minorBidi"/>
          <w:kern w:val="2"/>
          <w:sz w:val="24"/>
          <w:szCs w:val="24"/>
          <w14:ligatures w14:val="standardContextual"/>
        </w:rPr>
      </w:pPr>
      <w:hyperlink w:anchor="_Toc164154200" w:history="1">
        <w:r w:rsidR="00A4233D" w:rsidRPr="007976C5">
          <w:rPr>
            <w:rStyle w:val="Hyperlink"/>
          </w:rPr>
          <w:t>Chapter 5: References</w:t>
        </w:r>
        <w:r w:rsidR="00A4233D">
          <w:rPr>
            <w:webHidden/>
          </w:rPr>
          <w:tab/>
        </w:r>
        <w:r w:rsidR="00A4233D">
          <w:rPr>
            <w:webHidden/>
          </w:rPr>
          <w:fldChar w:fldCharType="begin"/>
        </w:r>
        <w:r w:rsidR="00A4233D">
          <w:rPr>
            <w:webHidden/>
          </w:rPr>
          <w:instrText xml:space="preserve"> PAGEREF _Toc164154200 \h </w:instrText>
        </w:r>
        <w:r w:rsidR="00A4233D">
          <w:rPr>
            <w:webHidden/>
          </w:rPr>
        </w:r>
        <w:r w:rsidR="00A4233D">
          <w:rPr>
            <w:webHidden/>
          </w:rPr>
          <w:fldChar w:fldCharType="separate"/>
        </w:r>
        <w:r w:rsidR="009E4901">
          <w:rPr>
            <w:webHidden/>
          </w:rPr>
          <w:t>233</w:t>
        </w:r>
        <w:r w:rsidR="00A4233D">
          <w:rPr>
            <w:webHidden/>
          </w:rPr>
          <w:fldChar w:fldCharType="end"/>
        </w:r>
      </w:hyperlink>
    </w:p>
    <w:p w14:paraId="1A955B76" w14:textId="56BF7961" w:rsidR="00A4233D" w:rsidRDefault="008975BF">
      <w:pPr>
        <w:pStyle w:val="TOC1"/>
        <w:rPr>
          <w:rFonts w:asciiTheme="minorHAnsi" w:eastAsiaTheme="minorEastAsia" w:hAnsiTheme="minorHAnsi" w:cstheme="minorBidi"/>
          <w:kern w:val="2"/>
          <w:szCs w:val="24"/>
          <w14:ligatures w14:val="standardContextual"/>
        </w:rPr>
      </w:pPr>
      <w:hyperlink w:anchor="_Toc164154201" w:history="1">
        <w:r w:rsidR="00A4233D" w:rsidRPr="007976C5">
          <w:rPr>
            <w:rStyle w:val="Hyperlink"/>
          </w:rPr>
          <w:t>Chapter 6: Land Use, Land-Use Change and Forestry (LULUCF)</w:t>
        </w:r>
        <w:r w:rsidR="00A4233D">
          <w:rPr>
            <w:webHidden/>
          </w:rPr>
          <w:tab/>
        </w:r>
        <w:r w:rsidR="00A4233D">
          <w:rPr>
            <w:webHidden/>
          </w:rPr>
          <w:fldChar w:fldCharType="begin"/>
        </w:r>
        <w:r w:rsidR="00A4233D">
          <w:rPr>
            <w:webHidden/>
          </w:rPr>
          <w:instrText xml:space="preserve"> PAGEREF _Toc164154201 \h </w:instrText>
        </w:r>
        <w:r w:rsidR="00A4233D">
          <w:rPr>
            <w:webHidden/>
          </w:rPr>
        </w:r>
        <w:r w:rsidR="00A4233D">
          <w:rPr>
            <w:webHidden/>
          </w:rPr>
          <w:fldChar w:fldCharType="separate"/>
        </w:r>
        <w:r w:rsidR="009E4901">
          <w:rPr>
            <w:webHidden/>
          </w:rPr>
          <w:t>240</w:t>
        </w:r>
        <w:r w:rsidR="00A4233D">
          <w:rPr>
            <w:webHidden/>
          </w:rPr>
          <w:fldChar w:fldCharType="end"/>
        </w:r>
      </w:hyperlink>
    </w:p>
    <w:p w14:paraId="6EE27A68" w14:textId="4767E605" w:rsidR="00A4233D" w:rsidRDefault="008975BF">
      <w:pPr>
        <w:pStyle w:val="TOC2"/>
        <w:rPr>
          <w:rFonts w:asciiTheme="minorHAnsi" w:eastAsiaTheme="minorEastAsia" w:hAnsiTheme="minorHAnsi" w:cstheme="minorBidi"/>
          <w:kern w:val="2"/>
          <w:sz w:val="24"/>
          <w:szCs w:val="24"/>
          <w14:ligatures w14:val="standardContextual"/>
        </w:rPr>
      </w:pPr>
      <w:hyperlink w:anchor="_Toc164154202" w:history="1">
        <w:r w:rsidR="00A4233D" w:rsidRPr="007976C5">
          <w:rPr>
            <w:rStyle w:val="Hyperlink"/>
          </w:rPr>
          <w:t>6.1</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Sector overview</w:t>
        </w:r>
        <w:r w:rsidR="00A4233D">
          <w:rPr>
            <w:webHidden/>
          </w:rPr>
          <w:tab/>
        </w:r>
        <w:r w:rsidR="00A4233D">
          <w:rPr>
            <w:webHidden/>
          </w:rPr>
          <w:fldChar w:fldCharType="begin"/>
        </w:r>
        <w:r w:rsidR="00A4233D">
          <w:rPr>
            <w:webHidden/>
          </w:rPr>
          <w:instrText xml:space="preserve"> PAGEREF _Toc164154202 \h </w:instrText>
        </w:r>
        <w:r w:rsidR="00A4233D">
          <w:rPr>
            <w:webHidden/>
          </w:rPr>
        </w:r>
        <w:r w:rsidR="00A4233D">
          <w:rPr>
            <w:webHidden/>
          </w:rPr>
          <w:fldChar w:fldCharType="separate"/>
        </w:r>
        <w:r w:rsidR="009E4901">
          <w:rPr>
            <w:webHidden/>
          </w:rPr>
          <w:t>240</w:t>
        </w:r>
        <w:r w:rsidR="00A4233D">
          <w:rPr>
            <w:webHidden/>
          </w:rPr>
          <w:fldChar w:fldCharType="end"/>
        </w:r>
      </w:hyperlink>
    </w:p>
    <w:p w14:paraId="017EDEFF" w14:textId="53172ABD" w:rsidR="00A4233D" w:rsidRDefault="008975BF">
      <w:pPr>
        <w:pStyle w:val="TOC2"/>
        <w:rPr>
          <w:rFonts w:asciiTheme="minorHAnsi" w:eastAsiaTheme="minorEastAsia" w:hAnsiTheme="minorHAnsi" w:cstheme="minorBidi"/>
          <w:kern w:val="2"/>
          <w:sz w:val="24"/>
          <w:szCs w:val="24"/>
          <w14:ligatures w14:val="standardContextual"/>
        </w:rPr>
      </w:pPr>
      <w:hyperlink w:anchor="_Toc164154203" w:history="1">
        <w:r w:rsidR="00A4233D" w:rsidRPr="007976C5">
          <w:rPr>
            <w:rStyle w:val="Hyperlink"/>
          </w:rPr>
          <w:t>6.2</w:t>
        </w:r>
        <w:r w:rsidR="00A4233D">
          <w:rPr>
            <w:rFonts w:asciiTheme="minorHAnsi" w:eastAsiaTheme="minorEastAsia" w:hAnsiTheme="minorHAnsi" w:cstheme="minorBidi"/>
            <w:kern w:val="2"/>
            <w:sz w:val="24"/>
            <w:szCs w:val="24"/>
            <w14:ligatures w14:val="standardContextual"/>
          </w:rPr>
          <w:tab/>
        </w:r>
        <w:r w:rsidR="00A4233D" w:rsidRPr="007976C5">
          <w:rPr>
            <w:rStyle w:val="Hyperlink"/>
            <w:shd w:val="clear" w:color="auto" w:fill="FFFFFF"/>
          </w:rPr>
          <w:t>Land use definitions and the land representation approach(es) used and their correspondence to the land use, land-use change and forestry categories</w:t>
        </w:r>
        <w:r w:rsidR="00A4233D">
          <w:rPr>
            <w:webHidden/>
          </w:rPr>
          <w:tab/>
        </w:r>
        <w:r w:rsidR="00A4233D">
          <w:rPr>
            <w:webHidden/>
          </w:rPr>
          <w:fldChar w:fldCharType="begin"/>
        </w:r>
        <w:r w:rsidR="00A4233D">
          <w:rPr>
            <w:webHidden/>
          </w:rPr>
          <w:instrText xml:space="preserve"> PAGEREF _Toc164154203 \h </w:instrText>
        </w:r>
        <w:r w:rsidR="00A4233D">
          <w:rPr>
            <w:webHidden/>
          </w:rPr>
        </w:r>
        <w:r w:rsidR="00A4233D">
          <w:rPr>
            <w:webHidden/>
          </w:rPr>
          <w:fldChar w:fldCharType="separate"/>
        </w:r>
        <w:r w:rsidR="009E4901">
          <w:rPr>
            <w:webHidden/>
          </w:rPr>
          <w:t>251</w:t>
        </w:r>
        <w:r w:rsidR="00A4233D">
          <w:rPr>
            <w:webHidden/>
          </w:rPr>
          <w:fldChar w:fldCharType="end"/>
        </w:r>
      </w:hyperlink>
    </w:p>
    <w:p w14:paraId="7B3D8FCF" w14:textId="41F48000" w:rsidR="00A4233D" w:rsidRDefault="008975BF">
      <w:pPr>
        <w:pStyle w:val="TOC2"/>
        <w:rPr>
          <w:rFonts w:asciiTheme="minorHAnsi" w:eastAsiaTheme="minorEastAsia" w:hAnsiTheme="minorHAnsi" w:cstheme="minorBidi"/>
          <w:kern w:val="2"/>
          <w:sz w:val="24"/>
          <w:szCs w:val="24"/>
          <w14:ligatures w14:val="standardContextual"/>
        </w:rPr>
      </w:pPr>
      <w:hyperlink w:anchor="_Toc164154204" w:history="1">
        <w:r w:rsidR="00A4233D" w:rsidRPr="007976C5">
          <w:rPr>
            <w:rStyle w:val="Hyperlink"/>
          </w:rPr>
          <w:t>6.3</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Country-specific approaches</w:t>
        </w:r>
        <w:r w:rsidR="00A4233D">
          <w:rPr>
            <w:webHidden/>
          </w:rPr>
          <w:tab/>
        </w:r>
        <w:r w:rsidR="00A4233D">
          <w:rPr>
            <w:webHidden/>
          </w:rPr>
          <w:fldChar w:fldCharType="begin"/>
        </w:r>
        <w:r w:rsidR="00A4233D">
          <w:rPr>
            <w:webHidden/>
          </w:rPr>
          <w:instrText xml:space="preserve"> PAGEREF _Toc164154204 \h </w:instrText>
        </w:r>
        <w:r w:rsidR="00A4233D">
          <w:rPr>
            <w:webHidden/>
          </w:rPr>
        </w:r>
        <w:r w:rsidR="00A4233D">
          <w:rPr>
            <w:webHidden/>
          </w:rPr>
          <w:fldChar w:fldCharType="separate"/>
        </w:r>
        <w:r w:rsidR="009E4901">
          <w:rPr>
            <w:webHidden/>
          </w:rPr>
          <w:t>255</w:t>
        </w:r>
        <w:r w:rsidR="00A4233D">
          <w:rPr>
            <w:webHidden/>
          </w:rPr>
          <w:fldChar w:fldCharType="end"/>
        </w:r>
      </w:hyperlink>
    </w:p>
    <w:p w14:paraId="03C2FABB" w14:textId="236694B1" w:rsidR="00A4233D" w:rsidRDefault="008975BF">
      <w:pPr>
        <w:pStyle w:val="TOC2"/>
        <w:rPr>
          <w:rFonts w:asciiTheme="minorHAnsi" w:eastAsiaTheme="minorEastAsia" w:hAnsiTheme="minorHAnsi" w:cstheme="minorBidi"/>
          <w:kern w:val="2"/>
          <w:sz w:val="24"/>
          <w:szCs w:val="24"/>
          <w14:ligatures w14:val="standardContextual"/>
        </w:rPr>
      </w:pPr>
      <w:hyperlink w:anchor="_Toc164154205" w:history="1">
        <w:r w:rsidR="00A4233D" w:rsidRPr="007976C5">
          <w:rPr>
            <w:rStyle w:val="Hyperlink"/>
          </w:rPr>
          <w:t>6.4</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Forest land (4A)</w:t>
        </w:r>
        <w:r w:rsidR="00A4233D">
          <w:rPr>
            <w:webHidden/>
          </w:rPr>
          <w:tab/>
        </w:r>
        <w:r w:rsidR="00A4233D">
          <w:rPr>
            <w:webHidden/>
          </w:rPr>
          <w:fldChar w:fldCharType="begin"/>
        </w:r>
        <w:r w:rsidR="00A4233D">
          <w:rPr>
            <w:webHidden/>
          </w:rPr>
          <w:instrText xml:space="preserve"> PAGEREF _Toc164154205 \h </w:instrText>
        </w:r>
        <w:r w:rsidR="00A4233D">
          <w:rPr>
            <w:webHidden/>
          </w:rPr>
        </w:r>
        <w:r w:rsidR="00A4233D">
          <w:rPr>
            <w:webHidden/>
          </w:rPr>
          <w:fldChar w:fldCharType="separate"/>
        </w:r>
        <w:r w:rsidR="009E4901">
          <w:rPr>
            <w:webHidden/>
          </w:rPr>
          <w:t>258</w:t>
        </w:r>
        <w:r w:rsidR="00A4233D">
          <w:rPr>
            <w:webHidden/>
          </w:rPr>
          <w:fldChar w:fldCharType="end"/>
        </w:r>
      </w:hyperlink>
    </w:p>
    <w:p w14:paraId="6A19809E" w14:textId="412F649E" w:rsidR="00A4233D" w:rsidRDefault="008975BF">
      <w:pPr>
        <w:pStyle w:val="TOC2"/>
        <w:rPr>
          <w:rFonts w:asciiTheme="minorHAnsi" w:eastAsiaTheme="minorEastAsia" w:hAnsiTheme="minorHAnsi" w:cstheme="minorBidi"/>
          <w:kern w:val="2"/>
          <w:sz w:val="24"/>
          <w:szCs w:val="24"/>
          <w14:ligatures w14:val="standardContextual"/>
        </w:rPr>
      </w:pPr>
      <w:hyperlink w:anchor="_Toc164154206" w:history="1">
        <w:r w:rsidR="00A4233D" w:rsidRPr="007976C5">
          <w:rPr>
            <w:rStyle w:val="Hyperlink"/>
          </w:rPr>
          <w:t>6.5</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Cropland (4B)</w:t>
        </w:r>
        <w:r w:rsidR="00A4233D">
          <w:rPr>
            <w:webHidden/>
          </w:rPr>
          <w:tab/>
        </w:r>
        <w:r w:rsidR="00A4233D">
          <w:rPr>
            <w:webHidden/>
          </w:rPr>
          <w:fldChar w:fldCharType="begin"/>
        </w:r>
        <w:r w:rsidR="00A4233D">
          <w:rPr>
            <w:webHidden/>
          </w:rPr>
          <w:instrText xml:space="preserve"> PAGEREF _Toc164154206 \h </w:instrText>
        </w:r>
        <w:r w:rsidR="00A4233D">
          <w:rPr>
            <w:webHidden/>
          </w:rPr>
        </w:r>
        <w:r w:rsidR="00A4233D">
          <w:rPr>
            <w:webHidden/>
          </w:rPr>
          <w:fldChar w:fldCharType="separate"/>
        </w:r>
        <w:r w:rsidR="009E4901">
          <w:rPr>
            <w:webHidden/>
          </w:rPr>
          <w:t>273</w:t>
        </w:r>
        <w:r w:rsidR="00A4233D">
          <w:rPr>
            <w:webHidden/>
          </w:rPr>
          <w:fldChar w:fldCharType="end"/>
        </w:r>
      </w:hyperlink>
    </w:p>
    <w:p w14:paraId="6F681F70" w14:textId="276667C0" w:rsidR="00A4233D" w:rsidRDefault="008975BF">
      <w:pPr>
        <w:pStyle w:val="TOC2"/>
        <w:rPr>
          <w:rFonts w:asciiTheme="minorHAnsi" w:eastAsiaTheme="minorEastAsia" w:hAnsiTheme="minorHAnsi" w:cstheme="minorBidi"/>
          <w:kern w:val="2"/>
          <w:sz w:val="24"/>
          <w:szCs w:val="24"/>
          <w14:ligatures w14:val="standardContextual"/>
        </w:rPr>
      </w:pPr>
      <w:hyperlink w:anchor="_Toc164154207" w:history="1">
        <w:r w:rsidR="00A4233D" w:rsidRPr="007976C5">
          <w:rPr>
            <w:rStyle w:val="Hyperlink"/>
          </w:rPr>
          <w:t>6.6</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Grassland (4C)</w:t>
        </w:r>
        <w:r w:rsidR="00A4233D">
          <w:rPr>
            <w:webHidden/>
          </w:rPr>
          <w:tab/>
        </w:r>
        <w:r w:rsidR="00A4233D">
          <w:rPr>
            <w:webHidden/>
          </w:rPr>
          <w:fldChar w:fldCharType="begin"/>
        </w:r>
        <w:r w:rsidR="00A4233D">
          <w:rPr>
            <w:webHidden/>
          </w:rPr>
          <w:instrText xml:space="preserve"> PAGEREF _Toc164154207 \h </w:instrText>
        </w:r>
        <w:r w:rsidR="00A4233D">
          <w:rPr>
            <w:webHidden/>
          </w:rPr>
        </w:r>
        <w:r w:rsidR="00A4233D">
          <w:rPr>
            <w:webHidden/>
          </w:rPr>
          <w:fldChar w:fldCharType="separate"/>
        </w:r>
        <w:r w:rsidR="009E4901">
          <w:rPr>
            <w:webHidden/>
          </w:rPr>
          <w:t>279</w:t>
        </w:r>
        <w:r w:rsidR="00A4233D">
          <w:rPr>
            <w:webHidden/>
          </w:rPr>
          <w:fldChar w:fldCharType="end"/>
        </w:r>
      </w:hyperlink>
    </w:p>
    <w:p w14:paraId="088AF710" w14:textId="0942950C" w:rsidR="00A4233D" w:rsidRDefault="008975BF">
      <w:pPr>
        <w:pStyle w:val="TOC2"/>
        <w:rPr>
          <w:rFonts w:asciiTheme="minorHAnsi" w:eastAsiaTheme="minorEastAsia" w:hAnsiTheme="minorHAnsi" w:cstheme="minorBidi"/>
          <w:kern w:val="2"/>
          <w:sz w:val="24"/>
          <w:szCs w:val="24"/>
          <w14:ligatures w14:val="standardContextual"/>
        </w:rPr>
      </w:pPr>
      <w:hyperlink w:anchor="_Toc164154208" w:history="1">
        <w:r w:rsidR="00A4233D" w:rsidRPr="007976C5">
          <w:rPr>
            <w:rStyle w:val="Hyperlink"/>
          </w:rPr>
          <w:t>6.7</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Wetlands (4D)</w:t>
        </w:r>
        <w:r w:rsidR="00A4233D">
          <w:rPr>
            <w:webHidden/>
          </w:rPr>
          <w:tab/>
        </w:r>
        <w:r w:rsidR="00A4233D">
          <w:rPr>
            <w:webHidden/>
          </w:rPr>
          <w:fldChar w:fldCharType="begin"/>
        </w:r>
        <w:r w:rsidR="00A4233D">
          <w:rPr>
            <w:webHidden/>
          </w:rPr>
          <w:instrText xml:space="preserve"> PAGEREF _Toc164154208 \h </w:instrText>
        </w:r>
        <w:r w:rsidR="00A4233D">
          <w:rPr>
            <w:webHidden/>
          </w:rPr>
        </w:r>
        <w:r w:rsidR="00A4233D">
          <w:rPr>
            <w:webHidden/>
          </w:rPr>
          <w:fldChar w:fldCharType="separate"/>
        </w:r>
        <w:r w:rsidR="009E4901">
          <w:rPr>
            <w:webHidden/>
          </w:rPr>
          <w:t>285</w:t>
        </w:r>
        <w:r w:rsidR="00A4233D">
          <w:rPr>
            <w:webHidden/>
          </w:rPr>
          <w:fldChar w:fldCharType="end"/>
        </w:r>
      </w:hyperlink>
    </w:p>
    <w:p w14:paraId="5634DF87" w14:textId="30FA27BD" w:rsidR="00A4233D" w:rsidRDefault="008975BF">
      <w:pPr>
        <w:pStyle w:val="TOC2"/>
        <w:rPr>
          <w:rFonts w:asciiTheme="minorHAnsi" w:eastAsiaTheme="minorEastAsia" w:hAnsiTheme="minorHAnsi" w:cstheme="minorBidi"/>
          <w:kern w:val="2"/>
          <w:sz w:val="24"/>
          <w:szCs w:val="24"/>
          <w14:ligatures w14:val="standardContextual"/>
        </w:rPr>
      </w:pPr>
      <w:hyperlink w:anchor="_Toc164154209" w:history="1">
        <w:r w:rsidR="00A4233D" w:rsidRPr="007976C5">
          <w:rPr>
            <w:rStyle w:val="Hyperlink"/>
          </w:rPr>
          <w:t>6.8</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Settlements (4E)</w:t>
        </w:r>
        <w:r w:rsidR="00A4233D">
          <w:rPr>
            <w:webHidden/>
          </w:rPr>
          <w:tab/>
        </w:r>
        <w:r w:rsidR="00A4233D">
          <w:rPr>
            <w:webHidden/>
          </w:rPr>
          <w:fldChar w:fldCharType="begin"/>
        </w:r>
        <w:r w:rsidR="00A4233D">
          <w:rPr>
            <w:webHidden/>
          </w:rPr>
          <w:instrText xml:space="preserve"> PAGEREF _Toc164154209 \h </w:instrText>
        </w:r>
        <w:r w:rsidR="00A4233D">
          <w:rPr>
            <w:webHidden/>
          </w:rPr>
        </w:r>
        <w:r w:rsidR="00A4233D">
          <w:rPr>
            <w:webHidden/>
          </w:rPr>
          <w:fldChar w:fldCharType="separate"/>
        </w:r>
        <w:r w:rsidR="009E4901">
          <w:rPr>
            <w:webHidden/>
          </w:rPr>
          <w:t>289</w:t>
        </w:r>
        <w:r w:rsidR="00A4233D">
          <w:rPr>
            <w:webHidden/>
          </w:rPr>
          <w:fldChar w:fldCharType="end"/>
        </w:r>
      </w:hyperlink>
    </w:p>
    <w:p w14:paraId="45701928" w14:textId="51D09B2C" w:rsidR="00A4233D" w:rsidRDefault="008975BF">
      <w:pPr>
        <w:pStyle w:val="TOC2"/>
        <w:rPr>
          <w:rFonts w:asciiTheme="minorHAnsi" w:eastAsiaTheme="minorEastAsia" w:hAnsiTheme="minorHAnsi" w:cstheme="minorBidi"/>
          <w:kern w:val="2"/>
          <w:sz w:val="24"/>
          <w:szCs w:val="24"/>
          <w14:ligatures w14:val="standardContextual"/>
        </w:rPr>
      </w:pPr>
      <w:hyperlink w:anchor="_Toc164154210" w:history="1">
        <w:r w:rsidR="00A4233D" w:rsidRPr="007976C5">
          <w:rPr>
            <w:rStyle w:val="Hyperlink"/>
          </w:rPr>
          <w:t>6.9</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Other land (4F)</w:t>
        </w:r>
        <w:r w:rsidR="00A4233D">
          <w:rPr>
            <w:webHidden/>
          </w:rPr>
          <w:tab/>
        </w:r>
        <w:r w:rsidR="00A4233D">
          <w:rPr>
            <w:webHidden/>
          </w:rPr>
          <w:fldChar w:fldCharType="begin"/>
        </w:r>
        <w:r w:rsidR="00A4233D">
          <w:rPr>
            <w:webHidden/>
          </w:rPr>
          <w:instrText xml:space="preserve"> PAGEREF _Toc164154210 \h </w:instrText>
        </w:r>
        <w:r w:rsidR="00A4233D">
          <w:rPr>
            <w:webHidden/>
          </w:rPr>
        </w:r>
        <w:r w:rsidR="00A4233D">
          <w:rPr>
            <w:webHidden/>
          </w:rPr>
          <w:fldChar w:fldCharType="separate"/>
        </w:r>
        <w:r w:rsidR="009E4901">
          <w:rPr>
            <w:webHidden/>
          </w:rPr>
          <w:t>292</w:t>
        </w:r>
        <w:r w:rsidR="00A4233D">
          <w:rPr>
            <w:webHidden/>
          </w:rPr>
          <w:fldChar w:fldCharType="end"/>
        </w:r>
      </w:hyperlink>
    </w:p>
    <w:p w14:paraId="7881E892" w14:textId="3829F11A" w:rsidR="00A4233D" w:rsidRDefault="008975BF">
      <w:pPr>
        <w:pStyle w:val="TOC2"/>
        <w:rPr>
          <w:rFonts w:asciiTheme="minorHAnsi" w:eastAsiaTheme="minorEastAsia" w:hAnsiTheme="minorHAnsi" w:cstheme="minorBidi"/>
          <w:kern w:val="2"/>
          <w:sz w:val="24"/>
          <w:szCs w:val="24"/>
          <w14:ligatures w14:val="standardContextual"/>
        </w:rPr>
      </w:pPr>
      <w:hyperlink w:anchor="_Toc164154211" w:history="1">
        <w:r w:rsidR="00A4233D" w:rsidRPr="007976C5">
          <w:rPr>
            <w:rStyle w:val="Hyperlink"/>
          </w:rPr>
          <w:t>6.10</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Harvested wood products (4G)</w:t>
        </w:r>
        <w:r w:rsidR="00A4233D">
          <w:rPr>
            <w:webHidden/>
          </w:rPr>
          <w:tab/>
        </w:r>
        <w:r w:rsidR="00A4233D">
          <w:rPr>
            <w:webHidden/>
          </w:rPr>
          <w:fldChar w:fldCharType="begin"/>
        </w:r>
        <w:r w:rsidR="00A4233D">
          <w:rPr>
            <w:webHidden/>
          </w:rPr>
          <w:instrText xml:space="preserve"> PAGEREF _Toc164154211 \h </w:instrText>
        </w:r>
        <w:r w:rsidR="00A4233D">
          <w:rPr>
            <w:webHidden/>
          </w:rPr>
        </w:r>
        <w:r w:rsidR="00A4233D">
          <w:rPr>
            <w:webHidden/>
          </w:rPr>
          <w:fldChar w:fldCharType="separate"/>
        </w:r>
        <w:r w:rsidR="009E4901">
          <w:rPr>
            <w:webHidden/>
          </w:rPr>
          <w:t>295</w:t>
        </w:r>
        <w:r w:rsidR="00A4233D">
          <w:rPr>
            <w:webHidden/>
          </w:rPr>
          <w:fldChar w:fldCharType="end"/>
        </w:r>
      </w:hyperlink>
    </w:p>
    <w:p w14:paraId="2AC42F76" w14:textId="4945F681" w:rsidR="00A4233D" w:rsidRDefault="008975BF">
      <w:pPr>
        <w:pStyle w:val="TOC2"/>
        <w:rPr>
          <w:rFonts w:asciiTheme="minorHAnsi" w:eastAsiaTheme="minorEastAsia" w:hAnsiTheme="minorHAnsi" w:cstheme="minorBidi"/>
          <w:kern w:val="2"/>
          <w:sz w:val="24"/>
          <w:szCs w:val="24"/>
          <w14:ligatures w14:val="standardContextual"/>
        </w:rPr>
      </w:pPr>
      <w:hyperlink w:anchor="_Toc164154212" w:history="1">
        <w:r w:rsidR="00A4233D" w:rsidRPr="007976C5">
          <w:rPr>
            <w:rStyle w:val="Hyperlink"/>
          </w:rPr>
          <w:t>6.11</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Non-CO</w:t>
        </w:r>
        <w:r w:rsidR="00A4233D" w:rsidRPr="007976C5">
          <w:rPr>
            <w:rStyle w:val="Hyperlink"/>
            <w:vertAlign w:val="subscript"/>
          </w:rPr>
          <w:t>2</w:t>
        </w:r>
        <w:r w:rsidR="00A4233D" w:rsidRPr="007976C5">
          <w:rPr>
            <w:rStyle w:val="Hyperlink"/>
          </w:rPr>
          <w:t xml:space="preserve"> emissions (4(I–V))</w:t>
        </w:r>
        <w:r w:rsidR="00A4233D">
          <w:rPr>
            <w:webHidden/>
          </w:rPr>
          <w:tab/>
        </w:r>
        <w:r w:rsidR="00A4233D">
          <w:rPr>
            <w:webHidden/>
          </w:rPr>
          <w:fldChar w:fldCharType="begin"/>
        </w:r>
        <w:r w:rsidR="00A4233D">
          <w:rPr>
            <w:webHidden/>
          </w:rPr>
          <w:instrText xml:space="preserve"> PAGEREF _Toc164154212 \h </w:instrText>
        </w:r>
        <w:r w:rsidR="00A4233D">
          <w:rPr>
            <w:webHidden/>
          </w:rPr>
        </w:r>
        <w:r w:rsidR="00A4233D">
          <w:rPr>
            <w:webHidden/>
          </w:rPr>
          <w:fldChar w:fldCharType="separate"/>
        </w:r>
        <w:r w:rsidR="009E4901">
          <w:rPr>
            <w:webHidden/>
          </w:rPr>
          <w:t>299</w:t>
        </w:r>
        <w:r w:rsidR="00A4233D">
          <w:rPr>
            <w:webHidden/>
          </w:rPr>
          <w:fldChar w:fldCharType="end"/>
        </w:r>
      </w:hyperlink>
    </w:p>
    <w:p w14:paraId="435D969C" w14:textId="7646DAE7" w:rsidR="00A4233D" w:rsidRDefault="008975BF">
      <w:pPr>
        <w:pStyle w:val="TOC2"/>
        <w:rPr>
          <w:rFonts w:asciiTheme="minorHAnsi" w:eastAsiaTheme="minorEastAsia" w:hAnsiTheme="minorHAnsi" w:cstheme="minorBidi"/>
          <w:kern w:val="2"/>
          <w:sz w:val="24"/>
          <w:szCs w:val="24"/>
          <w14:ligatures w14:val="standardContextual"/>
        </w:rPr>
      </w:pPr>
      <w:hyperlink w:anchor="_Toc164154213" w:history="1">
        <w:r w:rsidR="00A4233D" w:rsidRPr="007976C5">
          <w:rPr>
            <w:rStyle w:val="Hyperlink"/>
          </w:rPr>
          <w:t>Chapter 6: References</w:t>
        </w:r>
        <w:r w:rsidR="00A4233D">
          <w:rPr>
            <w:webHidden/>
          </w:rPr>
          <w:tab/>
        </w:r>
        <w:r w:rsidR="00A4233D">
          <w:rPr>
            <w:webHidden/>
          </w:rPr>
          <w:fldChar w:fldCharType="begin"/>
        </w:r>
        <w:r w:rsidR="00A4233D">
          <w:rPr>
            <w:webHidden/>
          </w:rPr>
          <w:instrText xml:space="preserve"> PAGEREF _Toc164154213 \h </w:instrText>
        </w:r>
        <w:r w:rsidR="00A4233D">
          <w:rPr>
            <w:webHidden/>
          </w:rPr>
        </w:r>
        <w:r w:rsidR="00A4233D">
          <w:rPr>
            <w:webHidden/>
          </w:rPr>
          <w:fldChar w:fldCharType="separate"/>
        </w:r>
        <w:r w:rsidR="009E4901">
          <w:rPr>
            <w:webHidden/>
          </w:rPr>
          <w:t>307</w:t>
        </w:r>
        <w:r w:rsidR="00A4233D">
          <w:rPr>
            <w:webHidden/>
          </w:rPr>
          <w:fldChar w:fldCharType="end"/>
        </w:r>
      </w:hyperlink>
    </w:p>
    <w:p w14:paraId="7867C937" w14:textId="5EC40E40" w:rsidR="00A4233D" w:rsidRDefault="008975BF" w:rsidP="00C50D0B">
      <w:pPr>
        <w:pStyle w:val="TOC1"/>
        <w:keepNext/>
        <w:rPr>
          <w:rFonts w:asciiTheme="minorHAnsi" w:eastAsiaTheme="minorEastAsia" w:hAnsiTheme="minorHAnsi" w:cstheme="minorBidi"/>
          <w:kern w:val="2"/>
          <w:szCs w:val="24"/>
          <w14:ligatures w14:val="standardContextual"/>
        </w:rPr>
      </w:pPr>
      <w:hyperlink w:anchor="_Toc164154214" w:history="1">
        <w:r w:rsidR="00A4233D" w:rsidRPr="007976C5">
          <w:rPr>
            <w:rStyle w:val="Hyperlink"/>
          </w:rPr>
          <w:t>Chapter 7: Waste</w:t>
        </w:r>
        <w:r w:rsidR="00A4233D">
          <w:rPr>
            <w:webHidden/>
          </w:rPr>
          <w:tab/>
        </w:r>
        <w:r w:rsidR="00A4233D">
          <w:rPr>
            <w:webHidden/>
          </w:rPr>
          <w:fldChar w:fldCharType="begin"/>
        </w:r>
        <w:r w:rsidR="00A4233D">
          <w:rPr>
            <w:webHidden/>
          </w:rPr>
          <w:instrText xml:space="preserve"> PAGEREF _Toc164154214 \h </w:instrText>
        </w:r>
        <w:r w:rsidR="00A4233D">
          <w:rPr>
            <w:webHidden/>
          </w:rPr>
        </w:r>
        <w:r w:rsidR="00A4233D">
          <w:rPr>
            <w:webHidden/>
          </w:rPr>
          <w:fldChar w:fldCharType="separate"/>
        </w:r>
        <w:r w:rsidR="009E4901">
          <w:rPr>
            <w:webHidden/>
          </w:rPr>
          <w:t>311</w:t>
        </w:r>
        <w:r w:rsidR="00A4233D">
          <w:rPr>
            <w:webHidden/>
          </w:rPr>
          <w:fldChar w:fldCharType="end"/>
        </w:r>
      </w:hyperlink>
    </w:p>
    <w:p w14:paraId="409F4E6C" w14:textId="605362BD" w:rsidR="00A4233D" w:rsidRDefault="008975BF">
      <w:pPr>
        <w:pStyle w:val="TOC2"/>
        <w:rPr>
          <w:rFonts w:asciiTheme="minorHAnsi" w:eastAsiaTheme="minorEastAsia" w:hAnsiTheme="minorHAnsi" w:cstheme="minorBidi"/>
          <w:kern w:val="2"/>
          <w:sz w:val="24"/>
          <w:szCs w:val="24"/>
          <w14:ligatures w14:val="standardContextual"/>
        </w:rPr>
      </w:pPr>
      <w:hyperlink w:anchor="_Toc164154215" w:history="1">
        <w:r w:rsidR="00A4233D" w:rsidRPr="007976C5">
          <w:rPr>
            <w:rStyle w:val="Hyperlink"/>
          </w:rPr>
          <w:t xml:space="preserve">7.1 </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Sector overview</w:t>
        </w:r>
        <w:r w:rsidR="00A4233D">
          <w:rPr>
            <w:webHidden/>
          </w:rPr>
          <w:tab/>
        </w:r>
        <w:r w:rsidR="00A4233D">
          <w:rPr>
            <w:webHidden/>
          </w:rPr>
          <w:fldChar w:fldCharType="begin"/>
        </w:r>
        <w:r w:rsidR="00A4233D">
          <w:rPr>
            <w:webHidden/>
          </w:rPr>
          <w:instrText xml:space="preserve"> PAGEREF _Toc164154215 \h </w:instrText>
        </w:r>
        <w:r w:rsidR="00A4233D">
          <w:rPr>
            <w:webHidden/>
          </w:rPr>
        </w:r>
        <w:r w:rsidR="00A4233D">
          <w:rPr>
            <w:webHidden/>
          </w:rPr>
          <w:fldChar w:fldCharType="separate"/>
        </w:r>
        <w:r w:rsidR="009E4901">
          <w:rPr>
            <w:webHidden/>
          </w:rPr>
          <w:t>311</w:t>
        </w:r>
        <w:r w:rsidR="00A4233D">
          <w:rPr>
            <w:webHidden/>
          </w:rPr>
          <w:fldChar w:fldCharType="end"/>
        </w:r>
      </w:hyperlink>
    </w:p>
    <w:p w14:paraId="3A90606C" w14:textId="68EF9A4F" w:rsidR="00A4233D" w:rsidRDefault="008975BF">
      <w:pPr>
        <w:pStyle w:val="TOC2"/>
        <w:rPr>
          <w:rFonts w:asciiTheme="minorHAnsi" w:eastAsiaTheme="minorEastAsia" w:hAnsiTheme="minorHAnsi" w:cstheme="minorBidi"/>
          <w:kern w:val="2"/>
          <w:sz w:val="24"/>
          <w:szCs w:val="24"/>
          <w14:ligatures w14:val="standardContextual"/>
        </w:rPr>
      </w:pPr>
      <w:hyperlink w:anchor="_Toc164154216" w:history="1">
        <w:r w:rsidR="00A4233D" w:rsidRPr="007976C5">
          <w:rPr>
            <w:rStyle w:val="Hyperlink"/>
          </w:rPr>
          <w:t xml:space="preserve">7.2 </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Solid waste disposal (5.A)</w:t>
        </w:r>
        <w:r w:rsidR="00A4233D">
          <w:rPr>
            <w:webHidden/>
          </w:rPr>
          <w:tab/>
        </w:r>
        <w:r w:rsidR="00A4233D">
          <w:rPr>
            <w:webHidden/>
          </w:rPr>
          <w:fldChar w:fldCharType="begin"/>
        </w:r>
        <w:r w:rsidR="00A4233D">
          <w:rPr>
            <w:webHidden/>
          </w:rPr>
          <w:instrText xml:space="preserve"> PAGEREF _Toc164154216 \h </w:instrText>
        </w:r>
        <w:r w:rsidR="00A4233D">
          <w:rPr>
            <w:webHidden/>
          </w:rPr>
        </w:r>
        <w:r w:rsidR="00A4233D">
          <w:rPr>
            <w:webHidden/>
          </w:rPr>
          <w:fldChar w:fldCharType="separate"/>
        </w:r>
        <w:r w:rsidR="009E4901">
          <w:rPr>
            <w:webHidden/>
          </w:rPr>
          <w:t>316</w:t>
        </w:r>
        <w:r w:rsidR="00A4233D">
          <w:rPr>
            <w:webHidden/>
          </w:rPr>
          <w:fldChar w:fldCharType="end"/>
        </w:r>
      </w:hyperlink>
    </w:p>
    <w:p w14:paraId="4FCFEB3F" w14:textId="514C9D48" w:rsidR="00A4233D" w:rsidRDefault="008975BF">
      <w:pPr>
        <w:pStyle w:val="TOC2"/>
        <w:rPr>
          <w:rFonts w:asciiTheme="minorHAnsi" w:eastAsiaTheme="minorEastAsia" w:hAnsiTheme="minorHAnsi" w:cstheme="minorBidi"/>
          <w:kern w:val="2"/>
          <w:sz w:val="24"/>
          <w:szCs w:val="24"/>
          <w14:ligatures w14:val="standardContextual"/>
        </w:rPr>
      </w:pPr>
      <w:hyperlink w:anchor="_Toc164154217" w:history="1">
        <w:r w:rsidR="00A4233D" w:rsidRPr="007976C5">
          <w:rPr>
            <w:rStyle w:val="Hyperlink"/>
          </w:rPr>
          <w:t xml:space="preserve">7.3 </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Biological treatment of solid waste (5.B)</w:t>
        </w:r>
        <w:r w:rsidR="00A4233D">
          <w:rPr>
            <w:webHidden/>
          </w:rPr>
          <w:tab/>
        </w:r>
        <w:r w:rsidR="00A4233D">
          <w:rPr>
            <w:webHidden/>
          </w:rPr>
          <w:fldChar w:fldCharType="begin"/>
        </w:r>
        <w:r w:rsidR="00A4233D">
          <w:rPr>
            <w:webHidden/>
          </w:rPr>
          <w:instrText xml:space="preserve"> PAGEREF _Toc164154217 \h </w:instrText>
        </w:r>
        <w:r w:rsidR="00A4233D">
          <w:rPr>
            <w:webHidden/>
          </w:rPr>
        </w:r>
        <w:r w:rsidR="00A4233D">
          <w:rPr>
            <w:webHidden/>
          </w:rPr>
          <w:fldChar w:fldCharType="separate"/>
        </w:r>
        <w:r w:rsidR="009E4901">
          <w:rPr>
            <w:webHidden/>
          </w:rPr>
          <w:t>331</w:t>
        </w:r>
        <w:r w:rsidR="00A4233D">
          <w:rPr>
            <w:webHidden/>
          </w:rPr>
          <w:fldChar w:fldCharType="end"/>
        </w:r>
      </w:hyperlink>
    </w:p>
    <w:p w14:paraId="7680ABD2" w14:textId="7B67D730" w:rsidR="00A4233D" w:rsidRDefault="008975BF">
      <w:pPr>
        <w:pStyle w:val="TOC2"/>
        <w:rPr>
          <w:rFonts w:asciiTheme="minorHAnsi" w:eastAsiaTheme="minorEastAsia" w:hAnsiTheme="minorHAnsi" w:cstheme="minorBidi"/>
          <w:kern w:val="2"/>
          <w:sz w:val="24"/>
          <w:szCs w:val="24"/>
          <w14:ligatures w14:val="standardContextual"/>
        </w:rPr>
      </w:pPr>
      <w:hyperlink w:anchor="_Toc164154218" w:history="1">
        <w:r w:rsidR="00A4233D" w:rsidRPr="007976C5">
          <w:rPr>
            <w:rStyle w:val="Hyperlink"/>
          </w:rPr>
          <w:t xml:space="preserve">7.4 </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Incineration and open burning of waste (5.C)</w:t>
        </w:r>
        <w:r w:rsidR="00A4233D">
          <w:rPr>
            <w:webHidden/>
          </w:rPr>
          <w:tab/>
        </w:r>
        <w:r w:rsidR="00A4233D">
          <w:rPr>
            <w:webHidden/>
          </w:rPr>
          <w:fldChar w:fldCharType="begin"/>
        </w:r>
        <w:r w:rsidR="00A4233D">
          <w:rPr>
            <w:webHidden/>
          </w:rPr>
          <w:instrText xml:space="preserve"> PAGEREF _Toc164154218 \h </w:instrText>
        </w:r>
        <w:r w:rsidR="00A4233D">
          <w:rPr>
            <w:webHidden/>
          </w:rPr>
        </w:r>
        <w:r w:rsidR="00A4233D">
          <w:rPr>
            <w:webHidden/>
          </w:rPr>
          <w:fldChar w:fldCharType="separate"/>
        </w:r>
        <w:r w:rsidR="009E4901">
          <w:rPr>
            <w:webHidden/>
          </w:rPr>
          <w:t>333</w:t>
        </w:r>
        <w:r w:rsidR="00A4233D">
          <w:rPr>
            <w:webHidden/>
          </w:rPr>
          <w:fldChar w:fldCharType="end"/>
        </w:r>
      </w:hyperlink>
    </w:p>
    <w:p w14:paraId="414C929F" w14:textId="66212DFA" w:rsidR="00A4233D" w:rsidRDefault="008975BF">
      <w:pPr>
        <w:pStyle w:val="TOC2"/>
        <w:rPr>
          <w:rFonts w:asciiTheme="minorHAnsi" w:eastAsiaTheme="minorEastAsia" w:hAnsiTheme="minorHAnsi" w:cstheme="minorBidi"/>
          <w:kern w:val="2"/>
          <w:sz w:val="24"/>
          <w:szCs w:val="24"/>
          <w14:ligatures w14:val="standardContextual"/>
        </w:rPr>
      </w:pPr>
      <w:hyperlink w:anchor="_Toc164154219" w:history="1">
        <w:r w:rsidR="00A4233D" w:rsidRPr="007976C5">
          <w:rPr>
            <w:rStyle w:val="Hyperlink"/>
          </w:rPr>
          <w:t xml:space="preserve">7.5 </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Wastewater treatment and discharge (5.D)</w:t>
        </w:r>
        <w:r w:rsidR="00A4233D">
          <w:rPr>
            <w:webHidden/>
          </w:rPr>
          <w:tab/>
        </w:r>
        <w:r w:rsidR="00A4233D">
          <w:rPr>
            <w:webHidden/>
          </w:rPr>
          <w:fldChar w:fldCharType="begin"/>
        </w:r>
        <w:r w:rsidR="00A4233D">
          <w:rPr>
            <w:webHidden/>
          </w:rPr>
          <w:instrText xml:space="preserve"> PAGEREF _Toc164154219 \h </w:instrText>
        </w:r>
        <w:r w:rsidR="00A4233D">
          <w:rPr>
            <w:webHidden/>
          </w:rPr>
        </w:r>
        <w:r w:rsidR="00A4233D">
          <w:rPr>
            <w:webHidden/>
          </w:rPr>
          <w:fldChar w:fldCharType="separate"/>
        </w:r>
        <w:r w:rsidR="009E4901">
          <w:rPr>
            <w:webHidden/>
          </w:rPr>
          <w:t>338</w:t>
        </w:r>
        <w:r w:rsidR="00A4233D">
          <w:rPr>
            <w:webHidden/>
          </w:rPr>
          <w:fldChar w:fldCharType="end"/>
        </w:r>
      </w:hyperlink>
    </w:p>
    <w:p w14:paraId="31A1B701" w14:textId="3A2A352C" w:rsidR="00A4233D" w:rsidRDefault="008975BF">
      <w:pPr>
        <w:pStyle w:val="TOC2"/>
        <w:rPr>
          <w:rFonts w:asciiTheme="minorHAnsi" w:eastAsiaTheme="minorEastAsia" w:hAnsiTheme="minorHAnsi" w:cstheme="minorBidi"/>
          <w:kern w:val="2"/>
          <w:sz w:val="24"/>
          <w:szCs w:val="24"/>
          <w14:ligatures w14:val="standardContextual"/>
        </w:rPr>
      </w:pPr>
      <w:hyperlink w:anchor="_Toc164154220" w:history="1">
        <w:r w:rsidR="00A4233D" w:rsidRPr="007976C5">
          <w:rPr>
            <w:rStyle w:val="Hyperlink"/>
          </w:rPr>
          <w:t>Chapter 7: References</w:t>
        </w:r>
        <w:r w:rsidR="00A4233D">
          <w:rPr>
            <w:webHidden/>
          </w:rPr>
          <w:tab/>
        </w:r>
        <w:r w:rsidR="00A4233D">
          <w:rPr>
            <w:webHidden/>
          </w:rPr>
          <w:fldChar w:fldCharType="begin"/>
        </w:r>
        <w:r w:rsidR="00A4233D">
          <w:rPr>
            <w:webHidden/>
          </w:rPr>
          <w:instrText xml:space="preserve"> PAGEREF _Toc164154220 \h </w:instrText>
        </w:r>
        <w:r w:rsidR="00A4233D">
          <w:rPr>
            <w:webHidden/>
          </w:rPr>
        </w:r>
        <w:r w:rsidR="00A4233D">
          <w:rPr>
            <w:webHidden/>
          </w:rPr>
          <w:fldChar w:fldCharType="separate"/>
        </w:r>
        <w:r w:rsidR="009E4901">
          <w:rPr>
            <w:webHidden/>
          </w:rPr>
          <w:t>351</w:t>
        </w:r>
        <w:r w:rsidR="00A4233D">
          <w:rPr>
            <w:webHidden/>
          </w:rPr>
          <w:fldChar w:fldCharType="end"/>
        </w:r>
      </w:hyperlink>
    </w:p>
    <w:p w14:paraId="23F661A7" w14:textId="3394B6D5" w:rsidR="00A4233D" w:rsidRDefault="008975BF">
      <w:pPr>
        <w:pStyle w:val="TOC1"/>
        <w:rPr>
          <w:rFonts w:asciiTheme="minorHAnsi" w:eastAsiaTheme="minorEastAsia" w:hAnsiTheme="minorHAnsi" w:cstheme="minorBidi"/>
          <w:kern w:val="2"/>
          <w:szCs w:val="24"/>
          <w14:ligatures w14:val="standardContextual"/>
        </w:rPr>
      </w:pPr>
      <w:hyperlink w:anchor="_Toc164154221" w:history="1">
        <w:r w:rsidR="00A4233D" w:rsidRPr="007976C5">
          <w:rPr>
            <w:rStyle w:val="Hyperlink"/>
          </w:rPr>
          <w:t>Chapter 8: Tokelau (other) sector</w:t>
        </w:r>
        <w:r w:rsidR="00A4233D">
          <w:rPr>
            <w:webHidden/>
          </w:rPr>
          <w:tab/>
        </w:r>
        <w:r w:rsidR="00A4233D">
          <w:rPr>
            <w:webHidden/>
          </w:rPr>
          <w:fldChar w:fldCharType="begin"/>
        </w:r>
        <w:r w:rsidR="00A4233D">
          <w:rPr>
            <w:webHidden/>
          </w:rPr>
          <w:instrText xml:space="preserve"> PAGEREF _Toc164154221 \h </w:instrText>
        </w:r>
        <w:r w:rsidR="00A4233D">
          <w:rPr>
            <w:webHidden/>
          </w:rPr>
        </w:r>
        <w:r w:rsidR="00A4233D">
          <w:rPr>
            <w:webHidden/>
          </w:rPr>
          <w:fldChar w:fldCharType="separate"/>
        </w:r>
        <w:r w:rsidR="009E4901">
          <w:rPr>
            <w:webHidden/>
          </w:rPr>
          <w:t>353</w:t>
        </w:r>
        <w:r w:rsidR="00A4233D">
          <w:rPr>
            <w:webHidden/>
          </w:rPr>
          <w:fldChar w:fldCharType="end"/>
        </w:r>
      </w:hyperlink>
    </w:p>
    <w:p w14:paraId="3E0D17AA" w14:textId="34391595" w:rsidR="00A4233D" w:rsidRDefault="008975BF">
      <w:pPr>
        <w:pStyle w:val="TOC2"/>
        <w:rPr>
          <w:rFonts w:asciiTheme="minorHAnsi" w:eastAsiaTheme="minorEastAsia" w:hAnsiTheme="minorHAnsi" w:cstheme="minorBidi"/>
          <w:kern w:val="2"/>
          <w:sz w:val="24"/>
          <w:szCs w:val="24"/>
          <w14:ligatures w14:val="standardContextual"/>
        </w:rPr>
      </w:pPr>
      <w:hyperlink w:anchor="_Toc164154222" w:history="1">
        <w:r w:rsidR="00A4233D" w:rsidRPr="007976C5">
          <w:rPr>
            <w:rStyle w:val="Hyperlink"/>
          </w:rPr>
          <w:t xml:space="preserve">8.1 </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Tokelau overview</w:t>
        </w:r>
        <w:r w:rsidR="00A4233D">
          <w:rPr>
            <w:webHidden/>
          </w:rPr>
          <w:tab/>
        </w:r>
        <w:r w:rsidR="00A4233D">
          <w:rPr>
            <w:webHidden/>
          </w:rPr>
          <w:fldChar w:fldCharType="begin"/>
        </w:r>
        <w:r w:rsidR="00A4233D">
          <w:rPr>
            <w:webHidden/>
          </w:rPr>
          <w:instrText xml:space="preserve"> PAGEREF _Toc164154222 \h </w:instrText>
        </w:r>
        <w:r w:rsidR="00A4233D">
          <w:rPr>
            <w:webHidden/>
          </w:rPr>
        </w:r>
        <w:r w:rsidR="00A4233D">
          <w:rPr>
            <w:webHidden/>
          </w:rPr>
          <w:fldChar w:fldCharType="separate"/>
        </w:r>
        <w:r w:rsidR="009E4901">
          <w:rPr>
            <w:webHidden/>
          </w:rPr>
          <w:t>353</w:t>
        </w:r>
        <w:r w:rsidR="00A4233D">
          <w:rPr>
            <w:webHidden/>
          </w:rPr>
          <w:fldChar w:fldCharType="end"/>
        </w:r>
      </w:hyperlink>
    </w:p>
    <w:p w14:paraId="17519FFD" w14:textId="0027CFB3" w:rsidR="00A4233D" w:rsidRDefault="008975BF">
      <w:pPr>
        <w:pStyle w:val="TOC2"/>
        <w:rPr>
          <w:rFonts w:asciiTheme="minorHAnsi" w:eastAsiaTheme="minorEastAsia" w:hAnsiTheme="minorHAnsi" w:cstheme="minorBidi"/>
          <w:kern w:val="2"/>
          <w:sz w:val="24"/>
          <w:szCs w:val="24"/>
          <w14:ligatures w14:val="standardContextual"/>
        </w:rPr>
      </w:pPr>
      <w:hyperlink w:anchor="_Toc164154223" w:history="1">
        <w:r w:rsidR="00A4233D" w:rsidRPr="007976C5">
          <w:rPr>
            <w:rStyle w:val="Hyperlink"/>
          </w:rPr>
          <w:t xml:space="preserve">8.2 </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Energy emissions from Tokelau (6. Tokelau_1)</w:t>
        </w:r>
        <w:r w:rsidR="00A4233D">
          <w:rPr>
            <w:webHidden/>
          </w:rPr>
          <w:tab/>
        </w:r>
        <w:r w:rsidR="00A4233D">
          <w:rPr>
            <w:webHidden/>
          </w:rPr>
          <w:fldChar w:fldCharType="begin"/>
        </w:r>
        <w:r w:rsidR="00A4233D">
          <w:rPr>
            <w:webHidden/>
          </w:rPr>
          <w:instrText xml:space="preserve"> PAGEREF _Toc164154223 \h </w:instrText>
        </w:r>
        <w:r w:rsidR="00A4233D">
          <w:rPr>
            <w:webHidden/>
          </w:rPr>
        </w:r>
        <w:r w:rsidR="00A4233D">
          <w:rPr>
            <w:webHidden/>
          </w:rPr>
          <w:fldChar w:fldCharType="separate"/>
        </w:r>
        <w:r w:rsidR="009E4901">
          <w:rPr>
            <w:webHidden/>
          </w:rPr>
          <w:t>362</w:t>
        </w:r>
        <w:r w:rsidR="00A4233D">
          <w:rPr>
            <w:webHidden/>
          </w:rPr>
          <w:fldChar w:fldCharType="end"/>
        </w:r>
      </w:hyperlink>
    </w:p>
    <w:p w14:paraId="31736E79" w14:textId="4C0109B0" w:rsidR="00A4233D" w:rsidRDefault="008975BF">
      <w:pPr>
        <w:pStyle w:val="TOC2"/>
        <w:rPr>
          <w:rFonts w:asciiTheme="minorHAnsi" w:eastAsiaTheme="minorEastAsia" w:hAnsiTheme="minorHAnsi" w:cstheme="minorBidi"/>
          <w:kern w:val="2"/>
          <w:sz w:val="24"/>
          <w:szCs w:val="24"/>
          <w14:ligatures w14:val="standardContextual"/>
        </w:rPr>
      </w:pPr>
      <w:hyperlink w:anchor="_Toc164154224" w:history="1">
        <w:r w:rsidR="00A4233D" w:rsidRPr="007976C5">
          <w:rPr>
            <w:rStyle w:val="Hyperlink"/>
          </w:rPr>
          <w:t xml:space="preserve">8.3 </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Stationary combustion: Public electricity and heat production</w:t>
        </w:r>
        <w:r w:rsidR="00A4233D">
          <w:rPr>
            <w:webHidden/>
          </w:rPr>
          <w:tab/>
        </w:r>
        <w:r w:rsidR="00A4233D">
          <w:rPr>
            <w:webHidden/>
          </w:rPr>
          <w:fldChar w:fldCharType="begin"/>
        </w:r>
        <w:r w:rsidR="00A4233D">
          <w:rPr>
            <w:webHidden/>
          </w:rPr>
          <w:instrText xml:space="preserve"> PAGEREF _Toc164154224 \h </w:instrText>
        </w:r>
        <w:r w:rsidR="00A4233D">
          <w:rPr>
            <w:webHidden/>
          </w:rPr>
        </w:r>
        <w:r w:rsidR="00A4233D">
          <w:rPr>
            <w:webHidden/>
          </w:rPr>
          <w:fldChar w:fldCharType="separate"/>
        </w:r>
        <w:r w:rsidR="009E4901">
          <w:rPr>
            <w:webHidden/>
          </w:rPr>
          <w:t>363</w:t>
        </w:r>
        <w:r w:rsidR="00A4233D">
          <w:rPr>
            <w:webHidden/>
          </w:rPr>
          <w:fldChar w:fldCharType="end"/>
        </w:r>
      </w:hyperlink>
    </w:p>
    <w:p w14:paraId="3461EF53" w14:textId="756E0E52" w:rsidR="00A4233D" w:rsidRDefault="008975BF">
      <w:pPr>
        <w:pStyle w:val="TOC2"/>
        <w:rPr>
          <w:rFonts w:asciiTheme="minorHAnsi" w:eastAsiaTheme="minorEastAsia" w:hAnsiTheme="minorHAnsi" w:cstheme="minorBidi"/>
          <w:kern w:val="2"/>
          <w:sz w:val="24"/>
          <w:szCs w:val="24"/>
          <w14:ligatures w14:val="standardContextual"/>
        </w:rPr>
      </w:pPr>
      <w:hyperlink w:anchor="_Toc164154225" w:history="1">
        <w:r w:rsidR="00A4233D" w:rsidRPr="007976C5">
          <w:rPr>
            <w:rStyle w:val="Hyperlink"/>
          </w:rPr>
          <w:t xml:space="preserve">8.4 </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Stationary combustion: Other sectors – Residential</w:t>
        </w:r>
        <w:r w:rsidR="00A4233D">
          <w:rPr>
            <w:webHidden/>
          </w:rPr>
          <w:tab/>
        </w:r>
        <w:r w:rsidR="00A4233D">
          <w:rPr>
            <w:webHidden/>
          </w:rPr>
          <w:fldChar w:fldCharType="begin"/>
        </w:r>
        <w:r w:rsidR="00A4233D">
          <w:rPr>
            <w:webHidden/>
          </w:rPr>
          <w:instrText xml:space="preserve"> PAGEREF _Toc164154225 \h </w:instrText>
        </w:r>
        <w:r w:rsidR="00A4233D">
          <w:rPr>
            <w:webHidden/>
          </w:rPr>
        </w:r>
        <w:r w:rsidR="00A4233D">
          <w:rPr>
            <w:webHidden/>
          </w:rPr>
          <w:fldChar w:fldCharType="separate"/>
        </w:r>
        <w:r w:rsidR="009E4901">
          <w:rPr>
            <w:webHidden/>
          </w:rPr>
          <w:t>367</w:t>
        </w:r>
        <w:r w:rsidR="00A4233D">
          <w:rPr>
            <w:webHidden/>
          </w:rPr>
          <w:fldChar w:fldCharType="end"/>
        </w:r>
      </w:hyperlink>
    </w:p>
    <w:p w14:paraId="2C27150D" w14:textId="16962C06" w:rsidR="00A4233D" w:rsidRDefault="008975BF">
      <w:pPr>
        <w:pStyle w:val="TOC2"/>
        <w:rPr>
          <w:rFonts w:asciiTheme="minorHAnsi" w:eastAsiaTheme="minorEastAsia" w:hAnsiTheme="minorHAnsi" w:cstheme="minorBidi"/>
          <w:kern w:val="2"/>
          <w:sz w:val="24"/>
          <w:szCs w:val="24"/>
          <w14:ligatures w14:val="standardContextual"/>
        </w:rPr>
      </w:pPr>
      <w:hyperlink w:anchor="_Toc164154226" w:history="1">
        <w:r w:rsidR="00A4233D" w:rsidRPr="007976C5">
          <w:rPr>
            <w:rStyle w:val="Hyperlink"/>
          </w:rPr>
          <w:t xml:space="preserve">8.5 </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Mobile combustion: Domestic navigation</w:t>
        </w:r>
        <w:r w:rsidR="00A4233D">
          <w:rPr>
            <w:webHidden/>
          </w:rPr>
          <w:tab/>
        </w:r>
        <w:r w:rsidR="00A4233D">
          <w:rPr>
            <w:webHidden/>
          </w:rPr>
          <w:fldChar w:fldCharType="begin"/>
        </w:r>
        <w:r w:rsidR="00A4233D">
          <w:rPr>
            <w:webHidden/>
          </w:rPr>
          <w:instrText xml:space="preserve"> PAGEREF _Toc164154226 \h </w:instrText>
        </w:r>
        <w:r w:rsidR="00A4233D">
          <w:rPr>
            <w:webHidden/>
          </w:rPr>
        </w:r>
        <w:r w:rsidR="00A4233D">
          <w:rPr>
            <w:webHidden/>
          </w:rPr>
          <w:fldChar w:fldCharType="separate"/>
        </w:r>
        <w:r w:rsidR="009E4901">
          <w:rPr>
            <w:webHidden/>
          </w:rPr>
          <w:t>369</w:t>
        </w:r>
        <w:r w:rsidR="00A4233D">
          <w:rPr>
            <w:webHidden/>
          </w:rPr>
          <w:fldChar w:fldCharType="end"/>
        </w:r>
      </w:hyperlink>
    </w:p>
    <w:p w14:paraId="725F5BA7" w14:textId="6622124F" w:rsidR="00A4233D" w:rsidRDefault="008975BF">
      <w:pPr>
        <w:pStyle w:val="TOC2"/>
        <w:rPr>
          <w:rFonts w:asciiTheme="minorHAnsi" w:eastAsiaTheme="minorEastAsia" w:hAnsiTheme="minorHAnsi" w:cstheme="minorBidi"/>
          <w:kern w:val="2"/>
          <w:sz w:val="24"/>
          <w:szCs w:val="24"/>
          <w14:ligatures w14:val="standardContextual"/>
        </w:rPr>
      </w:pPr>
      <w:hyperlink w:anchor="_Toc164154227" w:history="1">
        <w:r w:rsidR="00A4233D" w:rsidRPr="007976C5">
          <w:rPr>
            <w:rStyle w:val="Hyperlink"/>
          </w:rPr>
          <w:t xml:space="preserve">8.6 </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Emissions from Industrial Processes and Product Use in Tokelau (6. Tokelau_2)</w:t>
        </w:r>
        <w:r w:rsidR="00A4233D">
          <w:rPr>
            <w:webHidden/>
          </w:rPr>
          <w:tab/>
        </w:r>
        <w:r w:rsidR="00A4233D">
          <w:rPr>
            <w:webHidden/>
          </w:rPr>
          <w:fldChar w:fldCharType="begin"/>
        </w:r>
        <w:r w:rsidR="00A4233D">
          <w:rPr>
            <w:webHidden/>
          </w:rPr>
          <w:instrText xml:space="preserve"> PAGEREF _Toc164154227 \h </w:instrText>
        </w:r>
        <w:r w:rsidR="00A4233D">
          <w:rPr>
            <w:webHidden/>
          </w:rPr>
        </w:r>
        <w:r w:rsidR="00A4233D">
          <w:rPr>
            <w:webHidden/>
          </w:rPr>
          <w:fldChar w:fldCharType="separate"/>
        </w:r>
        <w:r w:rsidR="009E4901">
          <w:rPr>
            <w:webHidden/>
          </w:rPr>
          <w:t>371</w:t>
        </w:r>
        <w:r w:rsidR="00A4233D">
          <w:rPr>
            <w:webHidden/>
          </w:rPr>
          <w:fldChar w:fldCharType="end"/>
        </w:r>
      </w:hyperlink>
    </w:p>
    <w:p w14:paraId="4F4BFDE5" w14:textId="64E45F0D" w:rsidR="00A4233D" w:rsidRDefault="008975BF">
      <w:pPr>
        <w:pStyle w:val="TOC2"/>
        <w:rPr>
          <w:rFonts w:asciiTheme="minorHAnsi" w:eastAsiaTheme="minorEastAsia" w:hAnsiTheme="minorHAnsi" w:cstheme="minorBidi"/>
          <w:kern w:val="2"/>
          <w:sz w:val="24"/>
          <w:szCs w:val="24"/>
          <w14:ligatures w14:val="standardContextual"/>
        </w:rPr>
      </w:pPr>
      <w:hyperlink w:anchor="_Toc164154228" w:history="1">
        <w:r w:rsidR="00A4233D" w:rsidRPr="007976C5">
          <w:rPr>
            <w:rStyle w:val="Hyperlink"/>
          </w:rPr>
          <w:t xml:space="preserve">8.7 </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Emissions from Refrigeration and air conditioning in Tokelau</w:t>
        </w:r>
        <w:r w:rsidR="00A4233D">
          <w:rPr>
            <w:webHidden/>
          </w:rPr>
          <w:tab/>
        </w:r>
        <w:r w:rsidR="00A4233D">
          <w:rPr>
            <w:webHidden/>
          </w:rPr>
          <w:fldChar w:fldCharType="begin"/>
        </w:r>
        <w:r w:rsidR="00A4233D">
          <w:rPr>
            <w:webHidden/>
          </w:rPr>
          <w:instrText xml:space="preserve"> PAGEREF _Toc164154228 \h </w:instrText>
        </w:r>
        <w:r w:rsidR="00A4233D">
          <w:rPr>
            <w:webHidden/>
          </w:rPr>
        </w:r>
        <w:r w:rsidR="00A4233D">
          <w:rPr>
            <w:webHidden/>
          </w:rPr>
          <w:fldChar w:fldCharType="separate"/>
        </w:r>
        <w:r w:rsidR="009E4901">
          <w:rPr>
            <w:webHidden/>
          </w:rPr>
          <w:t>372</w:t>
        </w:r>
        <w:r w:rsidR="00A4233D">
          <w:rPr>
            <w:webHidden/>
          </w:rPr>
          <w:fldChar w:fldCharType="end"/>
        </w:r>
      </w:hyperlink>
    </w:p>
    <w:p w14:paraId="31580725" w14:textId="569A9DB2" w:rsidR="00A4233D" w:rsidRDefault="008975BF">
      <w:pPr>
        <w:pStyle w:val="TOC2"/>
        <w:rPr>
          <w:rFonts w:asciiTheme="minorHAnsi" w:eastAsiaTheme="minorEastAsia" w:hAnsiTheme="minorHAnsi" w:cstheme="minorBidi"/>
          <w:kern w:val="2"/>
          <w:sz w:val="24"/>
          <w:szCs w:val="24"/>
          <w14:ligatures w14:val="standardContextual"/>
        </w:rPr>
      </w:pPr>
      <w:hyperlink w:anchor="_Toc164154229" w:history="1">
        <w:r w:rsidR="00A4233D" w:rsidRPr="007976C5">
          <w:rPr>
            <w:rStyle w:val="Hyperlink"/>
          </w:rPr>
          <w:t xml:space="preserve">8.8 </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Emissions from Metered dose inhalers and Medical applications in Tokelau</w:t>
        </w:r>
        <w:r w:rsidR="00A4233D">
          <w:rPr>
            <w:webHidden/>
          </w:rPr>
          <w:tab/>
        </w:r>
        <w:r w:rsidR="00A4233D">
          <w:rPr>
            <w:webHidden/>
          </w:rPr>
          <w:fldChar w:fldCharType="begin"/>
        </w:r>
        <w:r w:rsidR="00A4233D">
          <w:rPr>
            <w:webHidden/>
          </w:rPr>
          <w:instrText xml:space="preserve"> PAGEREF _Toc164154229 \h </w:instrText>
        </w:r>
        <w:r w:rsidR="00A4233D">
          <w:rPr>
            <w:webHidden/>
          </w:rPr>
        </w:r>
        <w:r w:rsidR="00A4233D">
          <w:rPr>
            <w:webHidden/>
          </w:rPr>
          <w:fldChar w:fldCharType="separate"/>
        </w:r>
        <w:r w:rsidR="009E4901">
          <w:rPr>
            <w:webHidden/>
          </w:rPr>
          <w:t>375</w:t>
        </w:r>
        <w:r w:rsidR="00A4233D">
          <w:rPr>
            <w:webHidden/>
          </w:rPr>
          <w:fldChar w:fldCharType="end"/>
        </w:r>
      </w:hyperlink>
    </w:p>
    <w:p w14:paraId="1916DED3" w14:textId="20886433" w:rsidR="00A4233D" w:rsidRDefault="008975BF">
      <w:pPr>
        <w:pStyle w:val="TOC2"/>
        <w:rPr>
          <w:rFonts w:asciiTheme="minorHAnsi" w:eastAsiaTheme="minorEastAsia" w:hAnsiTheme="minorHAnsi" w:cstheme="minorBidi"/>
          <w:kern w:val="2"/>
          <w:sz w:val="24"/>
          <w:szCs w:val="24"/>
          <w14:ligatures w14:val="standardContextual"/>
        </w:rPr>
      </w:pPr>
      <w:hyperlink w:anchor="_Toc164154230" w:history="1">
        <w:r w:rsidR="00A4233D" w:rsidRPr="007976C5">
          <w:rPr>
            <w:rStyle w:val="Hyperlink"/>
          </w:rPr>
          <w:t xml:space="preserve">8.9 </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Emissions from the Agriculture sector in Tokelau (6. Tokelau_3)</w:t>
        </w:r>
        <w:r w:rsidR="00A4233D">
          <w:rPr>
            <w:webHidden/>
          </w:rPr>
          <w:tab/>
        </w:r>
        <w:r w:rsidR="00A4233D">
          <w:rPr>
            <w:webHidden/>
          </w:rPr>
          <w:fldChar w:fldCharType="begin"/>
        </w:r>
        <w:r w:rsidR="00A4233D">
          <w:rPr>
            <w:webHidden/>
          </w:rPr>
          <w:instrText xml:space="preserve"> PAGEREF _Toc164154230 \h </w:instrText>
        </w:r>
        <w:r w:rsidR="00A4233D">
          <w:rPr>
            <w:webHidden/>
          </w:rPr>
        </w:r>
        <w:r w:rsidR="00A4233D">
          <w:rPr>
            <w:webHidden/>
          </w:rPr>
          <w:fldChar w:fldCharType="separate"/>
        </w:r>
        <w:r w:rsidR="009E4901">
          <w:rPr>
            <w:webHidden/>
          </w:rPr>
          <w:t>376</w:t>
        </w:r>
        <w:r w:rsidR="00A4233D">
          <w:rPr>
            <w:webHidden/>
          </w:rPr>
          <w:fldChar w:fldCharType="end"/>
        </w:r>
      </w:hyperlink>
    </w:p>
    <w:p w14:paraId="1D6F09F7" w14:textId="50EF8293" w:rsidR="00A4233D" w:rsidRDefault="008975BF">
      <w:pPr>
        <w:pStyle w:val="TOC2"/>
        <w:rPr>
          <w:rFonts w:asciiTheme="minorHAnsi" w:eastAsiaTheme="minorEastAsia" w:hAnsiTheme="minorHAnsi" w:cstheme="minorBidi"/>
          <w:kern w:val="2"/>
          <w:sz w:val="24"/>
          <w:szCs w:val="24"/>
          <w14:ligatures w14:val="standardContextual"/>
        </w:rPr>
      </w:pPr>
      <w:hyperlink w:anchor="_Toc164154231" w:history="1">
        <w:r w:rsidR="00A4233D" w:rsidRPr="007976C5">
          <w:rPr>
            <w:rStyle w:val="Hyperlink"/>
          </w:rPr>
          <w:t xml:space="preserve">8.10 </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Emissions from Enteric fermentation in Tokelau</w:t>
        </w:r>
        <w:r w:rsidR="00A4233D">
          <w:rPr>
            <w:webHidden/>
          </w:rPr>
          <w:tab/>
        </w:r>
        <w:r w:rsidR="00A4233D">
          <w:rPr>
            <w:webHidden/>
          </w:rPr>
          <w:fldChar w:fldCharType="begin"/>
        </w:r>
        <w:r w:rsidR="00A4233D">
          <w:rPr>
            <w:webHidden/>
          </w:rPr>
          <w:instrText xml:space="preserve"> PAGEREF _Toc164154231 \h </w:instrText>
        </w:r>
        <w:r w:rsidR="00A4233D">
          <w:rPr>
            <w:webHidden/>
          </w:rPr>
        </w:r>
        <w:r w:rsidR="00A4233D">
          <w:rPr>
            <w:webHidden/>
          </w:rPr>
          <w:fldChar w:fldCharType="separate"/>
        </w:r>
        <w:r w:rsidR="009E4901">
          <w:rPr>
            <w:webHidden/>
          </w:rPr>
          <w:t>377</w:t>
        </w:r>
        <w:r w:rsidR="00A4233D">
          <w:rPr>
            <w:webHidden/>
          </w:rPr>
          <w:fldChar w:fldCharType="end"/>
        </w:r>
      </w:hyperlink>
    </w:p>
    <w:p w14:paraId="47DDFCE1" w14:textId="03FAAAFF" w:rsidR="00A4233D" w:rsidRDefault="008975BF">
      <w:pPr>
        <w:pStyle w:val="TOC2"/>
        <w:rPr>
          <w:rFonts w:asciiTheme="minorHAnsi" w:eastAsiaTheme="minorEastAsia" w:hAnsiTheme="minorHAnsi" w:cstheme="minorBidi"/>
          <w:kern w:val="2"/>
          <w:sz w:val="24"/>
          <w:szCs w:val="24"/>
          <w14:ligatures w14:val="standardContextual"/>
        </w:rPr>
      </w:pPr>
      <w:hyperlink w:anchor="_Toc164154232" w:history="1">
        <w:r w:rsidR="00A4233D" w:rsidRPr="007976C5">
          <w:rPr>
            <w:rStyle w:val="Hyperlink"/>
          </w:rPr>
          <w:t xml:space="preserve">8.11 </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Emissions from Manure management in Tokelau</w:t>
        </w:r>
        <w:r w:rsidR="00A4233D">
          <w:rPr>
            <w:webHidden/>
          </w:rPr>
          <w:tab/>
        </w:r>
        <w:r w:rsidR="00A4233D">
          <w:rPr>
            <w:webHidden/>
          </w:rPr>
          <w:fldChar w:fldCharType="begin"/>
        </w:r>
        <w:r w:rsidR="00A4233D">
          <w:rPr>
            <w:webHidden/>
          </w:rPr>
          <w:instrText xml:space="preserve"> PAGEREF _Toc164154232 \h </w:instrText>
        </w:r>
        <w:r w:rsidR="00A4233D">
          <w:rPr>
            <w:webHidden/>
          </w:rPr>
        </w:r>
        <w:r w:rsidR="00A4233D">
          <w:rPr>
            <w:webHidden/>
          </w:rPr>
          <w:fldChar w:fldCharType="separate"/>
        </w:r>
        <w:r w:rsidR="009E4901">
          <w:rPr>
            <w:webHidden/>
          </w:rPr>
          <w:t>379</w:t>
        </w:r>
        <w:r w:rsidR="00A4233D">
          <w:rPr>
            <w:webHidden/>
          </w:rPr>
          <w:fldChar w:fldCharType="end"/>
        </w:r>
      </w:hyperlink>
    </w:p>
    <w:p w14:paraId="2A3B2DC3" w14:textId="11FF364E" w:rsidR="00A4233D" w:rsidRDefault="008975BF">
      <w:pPr>
        <w:pStyle w:val="TOC2"/>
        <w:rPr>
          <w:rFonts w:asciiTheme="minorHAnsi" w:eastAsiaTheme="minorEastAsia" w:hAnsiTheme="minorHAnsi" w:cstheme="minorBidi"/>
          <w:kern w:val="2"/>
          <w:sz w:val="24"/>
          <w:szCs w:val="24"/>
          <w14:ligatures w14:val="standardContextual"/>
        </w:rPr>
      </w:pPr>
      <w:hyperlink w:anchor="_Toc164154233" w:history="1">
        <w:r w:rsidR="00A4233D" w:rsidRPr="007976C5">
          <w:rPr>
            <w:rStyle w:val="Hyperlink"/>
          </w:rPr>
          <w:t xml:space="preserve">8.12 </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Emissions from the Waste sector in Tokelau (6 Tokelau_5)</w:t>
        </w:r>
        <w:r w:rsidR="00A4233D">
          <w:rPr>
            <w:webHidden/>
          </w:rPr>
          <w:tab/>
        </w:r>
        <w:r w:rsidR="00A4233D">
          <w:rPr>
            <w:webHidden/>
          </w:rPr>
          <w:fldChar w:fldCharType="begin"/>
        </w:r>
        <w:r w:rsidR="00A4233D">
          <w:rPr>
            <w:webHidden/>
          </w:rPr>
          <w:instrText xml:space="preserve"> PAGEREF _Toc164154233 \h </w:instrText>
        </w:r>
        <w:r w:rsidR="00A4233D">
          <w:rPr>
            <w:webHidden/>
          </w:rPr>
        </w:r>
        <w:r w:rsidR="00A4233D">
          <w:rPr>
            <w:webHidden/>
          </w:rPr>
          <w:fldChar w:fldCharType="separate"/>
        </w:r>
        <w:r w:rsidR="009E4901">
          <w:rPr>
            <w:webHidden/>
          </w:rPr>
          <w:t>380</w:t>
        </w:r>
        <w:r w:rsidR="00A4233D">
          <w:rPr>
            <w:webHidden/>
          </w:rPr>
          <w:fldChar w:fldCharType="end"/>
        </w:r>
      </w:hyperlink>
    </w:p>
    <w:p w14:paraId="3B576C81" w14:textId="66AEC91B" w:rsidR="00A4233D" w:rsidRDefault="008975BF">
      <w:pPr>
        <w:pStyle w:val="TOC2"/>
        <w:rPr>
          <w:rFonts w:asciiTheme="minorHAnsi" w:eastAsiaTheme="minorEastAsia" w:hAnsiTheme="minorHAnsi" w:cstheme="minorBidi"/>
          <w:kern w:val="2"/>
          <w:sz w:val="24"/>
          <w:szCs w:val="24"/>
          <w14:ligatures w14:val="standardContextual"/>
        </w:rPr>
      </w:pPr>
      <w:hyperlink w:anchor="_Toc164154234" w:history="1">
        <w:r w:rsidR="00A4233D" w:rsidRPr="007976C5">
          <w:rPr>
            <w:rStyle w:val="Hyperlink"/>
          </w:rPr>
          <w:t xml:space="preserve">8.13 </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Emissions from Solid waste disposal in Tokelau</w:t>
        </w:r>
        <w:r w:rsidR="00A4233D">
          <w:rPr>
            <w:webHidden/>
          </w:rPr>
          <w:tab/>
        </w:r>
        <w:r w:rsidR="00A4233D">
          <w:rPr>
            <w:webHidden/>
          </w:rPr>
          <w:fldChar w:fldCharType="begin"/>
        </w:r>
        <w:r w:rsidR="00A4233D">
          <w:rPr>
            <w:webHidden/>
          </w:rPr>
          <w:instrText xml:space="preserve"> PAGEREF _Toc164154234 \h </w:instrText>
        </w:r>
        <w:r w:rsidR="00A4233D">
          <w:rPr>
            <w:webHidden/>
          </w:rPr>
        </w:r>
        <w:r w:rsidR="00A4233D">
          <w:rPr>
            <w:webHidden/>
          </w:rPr>
          <w:fldChar w:fldCharType="separate"/>
        </w:r>
        <w:r w:rsidR="009E4901">
          <w:rPr>
            <w:webHidden/>
          </w:rPr>
          <w:t>380</w:t>
        </w:r>
        <w:r w:rsidR="00A4233D">
          <w:rPr>
            <w:webHidden/>
          </w:rPr>
          <w:fldChar w:fldCharType="end"/>
        </w:r>
      </w:hyperlink>
    </w:p>
    <w:p w14:paraId="23EA6276" w14:textId="14DEBD59" w:rsidR="00A4233D" w:rsidRDefault="008975BF">
      <w:pPr>
        <w:pStyle w:val="TOC2"/>
        <w:rPr>
          <w:rFonts w:asciiTheme="minorHAnsi" w:eastAsiaTheme="minorEastAsia" w:hAnsiTheme="minorHAnsi" w:cstheme="minorBidi"/>
          <w:kern w:val="2"/>
          <w:sz w:val="24"/>
          <w:szCs w:val="24"/>
          <w14:ligatures w14:val="standardContextual"/>
        </w:rPr>
      </w:pPr>
      <w:hyperlink w:anchor="_Toc164154235" w:history="1">
        <w:r w:rsidR="00A4233D" w:rsidRPr="007976C5">
          <w:rPr>
            <w:rStyle w:val="Hyperlink"/>
          </w:rPr>
          <w:t xml:space="preserve">8.14 </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Emissions from Incineration and open burning in Tokelau</w:t>
        </w:r>
        <w:r w:rsidR="00A4233D">
          <w:rPr>
            <w:webHidden/>
          </w:rPr>
          <w:tab/>
        </w:r>
        <w:r w:rsidR="00A4233D">
          <w:rPr>
            <w:webHidden/>
          </w:rPr>
          <w:fldChar w:fldCharType="begin"/>
        </w:r>
        <w:r w:rsidR="00A4233D">
          <w:rPr>
            <w:webHidden/>
          </w:rPr>
          <w:instrText xml:space="preserve"> PAGEREF _Toc164154235 \h </w:instrText>
        </w:r>
        <w:r w:rsidR="00A4233D">
          <w:rPr>
            <w:webHidden/>
          </w:rPr>
        </w:r>
        <w:r w:rsidR="00A4233D">
          <w:rPr>
            <w:webHidden/>
          </w:rPr>
          <w:fldChar w:fldCharType="separate"/>
        </w:r>
        <w:r w:rsidR="009E4901">
          <w:rPr>
            <w:webHidden/>
          </w:rPr>
          <w:t>382</w:t>
        </w:r>
        <w:r w:rsidR="00A4233D">
          <w:rPr>
            <w:webHidden/>
          </w:rPr>
          <w:fldChar w:fldCharType="end"/>
        </w:r>
      </w:hyperlink>
    </w:p>
    <w:p w14:paraId="71D01B49" w14:textId="29795454" w:rsidR="00A4233D" w:rsidRDefault="008975BF">
      <w:pPr>
        <w:pStyle w:val="TOC2"/>
        <w:rPr>
          <w:rFonts w:asciiTheme="minorHAnsi" w:eastAsiaTheme="minorEastAsia" w:hAnsiTheme="minorHAnsi" w:cstheme="minorBidi"/>
          <w:kern w:val="2"/>
          <w:sz w:val="24"/>
          <w:szCs w:val="24"/>
          <w14:ligatures w14:val="standardContextual"/>
        </w:rPr>
      </w:pPr>
      <w:hyperlink w:anchor="_Toc164154236" w:history="1">
        <w:r w:rsidR="00A4233D" w:rsidRPr="007976C5">
          <w:rPr>
            <w:rStyle w:val="Hyperlink"/>
          </w:rPr>
          <w:t xml:space="preserve">8.15 </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Emissions from Wastewater treatment and discharge in Tokelau</w:t>
        </w:r>
        <w:r w:rsidR="00A4233D">
          <w:rPr>
            <w:webHidden/>
          </w:rPr>
          <w:tab/>
        </w:r>
        <w:r w:rsidR="00A4233D">
          <w:rPr>
            <w:webHidden/>
          </w:rPr>
          <w:fldChar w:fldCharType="begin"/>
        </w:r>
        <w:r w:rsidR="00A4233D">
          <w:rPr>
            <w:webHidden/>
          </w:rPr>
          <w:instrText xml:space="preserve"> PAGEREF _Toc164154236 \h </w:instrText>
        </w:r>
        <w:r w:rsidR="00A4233D">
          <w:rPr>
            <w:webHidden/>
          </w:rPr>
        </w:r>
        <w:r w:rsidR="00A4233D">
          <w:rPr>
            <w:webHidden/>
          </w:rPr>
          <w:fldChar w:fldCharType="separate"/>
        </w:r>
        <w:r w:rsidR="009E4901">
          <w:rPr>
            <w:webHidden/>
          </w:rPr>
          <w:t>384</w:t>
        </w:r>
        <w:r w:rsidR="00A4233D">
          <w:rPr>
            <w:webHidden/>
          </w:rPr>
          <w:fldChar w:fldCharType="end"/>
        </w:r>
      </w:hyperlink>
    </w:p>
    <w:p w14:paraId="57B3B83A" w14:textId="06C3D551" w:rsidR="00A4233D" w:rsidRDefault="008975BF">
      <w:pPr>
        <w:pStyle w:val="TOC2"/>
        <w:rPr>
          <w:rFonts w:asciiTheme="minorHAnsi" w:eastAsiaTheme="minorEastAsia" w:hAnsiTheme="minorHAnsi" w:cstheme="minorBidi"/>
          <w:kern w:val="2"/>
          <w:sz w:val="24"/>
          <w:szCs w:val="24"/>
          <w14:ligatures w14:val="standardContextual"/>
        </w:rPr>
      </w:pPr>
      <w:hyperlink w:anchor="_Toc164154237" w:history="1">
        <w:r w:rsidR="00A4233D" w:rsidRPr="007976C5">
          <w:rPr>
            <w:rStyle w:val="Hyperlink"/>
          </w:rPr>
          <w:t>Chapter 8: References</w:t>
        </w:r>
        <w:r w:rsidR="00A4233D">
          <w:rPr>
            <w:webHidden/>
          </w:rPr>
          <w:tab/>
        </w:r>
        <w:r w:rsidR="00A4233D">
          <w:rPr>
            <w:webHidden/>
          </w:rPr>
          <w:fldChar w:fldCharType="begin"/>
        </w:r>
        <w:r w:rsidR="00A4233D">
          <w:rPr>
            <w:webHidden/>
          </w:rPr>
          <w:instrText xml:space="preserve"> PAGEREF _Toc164154237 \h </w:instrText>
        </w:r>
        <w:r w:rsidR="00A4233D">
          <w:rPr>
            <w:webHidden/>
          </w:rPr>
        </w:r>
        <w:r w:rsidR="00A4233D">
          <w:rPr>
            <w:webHidden/>
          </w:rPr>
          <w:fldChar w:fldCharType="separate"/>
        </w:r>
        <w:r w:rsidR="009E4901">
          <w:rPr>
            <w:webHidden/>
          </w:rPr>
          <w:t>387</w:t>
        </w:r>
        <w:r w:rsidR="00A4233D">
          <w:rPr>
            <w:webHidden/>
          </w:rPr>
          <w:fldChar w:fldCharType="end"/>
        </w:r>
      </w:hyperlink>
    </w:p>
    <w:p w14:paraId="24AF7AE3" w14:textId="706CDC90" w:rsidR="00A4233D" w:rsidRDefault="008975BF">
      <w:pPr>
        <w:pStyle w:val="TOC1"/>
        <w:rPr>
          <w:rFonts w:asciiTheme="minorHAnsi" w:eastAsiaTheme="minorEastAsia" w:hAnsiTheme="minorHAnsi" w:cstheme="minorBidi"/>
          <w:kern w:val="2"/>
          <w:szCs w:val="24"/>
          <w14:ligatures w14:val="standardContextual"/>
        </w:rPr>
      </w:pPr>
      <w:hyperlink w:anchor="_Toc164154238" w:history="1">
        <w:r w:rsidR="00A4233D" w:rsidRPr="007976C5">
          <w:rPr>
            <w:rStyle w:val="Hyperlink"/>
          </w:rPr>
          <w:t>Chapter 9: Indirect carbon dioxide and nitrous oxide emissions</w:t>
        </w:r>
        <w:r w:rsidR="00A4233D">
          <w:rPr>
            <w:webHidden/>
          </w:rPr>
          <w:tab/>
        </w:r>
        <w:r w:rsidR="00A4233D">
          <w:rPr>
            <w:webHidden/>
          </w:rPr>
          <w:fldChar w:fldCharType="begin"/>
        </w:r>
        <w:r w:rsidR="00A4233D">
          <w:rPr>
            <w:webHidden/>
          </w:rPr>
          <w:instrText xml:space="preserve"> PAGEREF _Toc164154238 \h </w:instrText>
        </w:r>
        <w:r w:rsidR="00A4233D">
          <w:rPr>
            <w:webHidden/>
          </w:rPr>
        </w:r>
        <w:r w:rsidR="00A4233D">
          <w:rPr>
            <w:webHidden/>
          </w:rPr>
          <w:fldChar w:fldCharType="separate"/>
        </w:r>
        <w:r w:rsidR="009E4901">
          <w:rPr>
            <w:webHidden/>
          </w:rPr>
          <w:t>388</w:t>
        </w:r>
        <w:r w:rsidR="00A4233D">
          <w:rPr>
            <w:webHidden/>
          </w:rPr>
          <w:fldChar w:fldCharType="end"/>
        </w:r>
      </w:hyperlink>
    </w:p>
    <w:p w14:paraId="7B0A2CEE" w14:textId="60173F13" w:rsidR="00A4233D" w:rsidRDefault="008975BF">
      <w:pPr>
        <w:pStyle w:val="TOC1"/>
        <w:rPr>
          <w:rFonts w:asciiTheme="minorHAnsi" w:eastAsiaTheme="minorEastAsia" w:hAnsiTheme="minorHAnsi" w:cstheme="minorBidi"/>
          <w:kern w:val="2"/>
          <w:szCs w:val="24"/>
          <w14:ligatures w14:val="standardContextual"/>
        </w:rPr>
      </w:pPr>
      <w:hyperlink w:anchor="_Toc164154239" w:history="1">
        <w:r w:rsidR="00A4233D" w:rsidRPr="007976C5">
          <w:rPr>
            <w:rStyle w:val="Hyperlink"/>
          </w:rPr>
          <w:t>Chapter 10: Recalculations and improvements</w:t>
        </w:r>
        <w:r w:rsidR="00A4233D">
          <w:rPr>
            <w:webHidden/>
          </w:rPr>
          <w:tab/>
        </w:r>
        <w:r w:rsidR="00A4233D">
          <w:rPr>
            <w:webHidden/>
          </w:rPr>
          <w:fldChar w:fldCharType="begin"/>
        </w:r>
        <w:r w:rsidR="00A4233D">
          <w:rPr>
            <w:webHidden/>
          </w:rPr>
          <w:instrText xml:space="preserve"> PAGEREF _Toc164154239 \h </w:instrText>
        </w:r>
        <w:r w:rsidR="00A4233D">
          <w:rPr>
            <w:webHidden/>
          </w:rPr>
        </w:r>
        <w:r w:rsidR="00A4233D">
          <w:rPr>
            <w:webHidden/>
          </w:rPr>
          <w:fldChar w:fldCharType="separate"/>
        </w:r>
        <w:r w:rsidR="009E4901">
          <w:rPr>
            <w:webHidden/>
          </w:rPr>
          <w:t>389</w:t>
        </w:r>
        <w:r w:rsidR="00A4233D">
          <w:rPr>
            <w:webHidden/>
          </w:rPr>
          <w:fldChar w:fldCharType="end"/>
        </w:r>
      </w:hyperlink>
    </w:p>
    <w:p w14:paraId="506A97D4" w14:textId="6564D9A5" w:rsidR="00A4233D" w:rsidRDefault="008975BF">
      <w:pPr>
        <w:pStyle w:val="TOC2"/>
        <w:rPr>
          <w:rFonts w:asciiTheme="minorHAnsi" w:eastAsiaTheme="minorEastAsia" w:hAnsiTheme="minorHAnsi" w:cstheme="minorBidi"/>
          <w:kern w:val="2"/>
          <w:sz w:val="24"/>
          <w:szCs w:val="24"/>
          <w14:ligatures w14:val="standardContextual"/>
        </w:rPr>
      </w:pPr>
      <w:hyperlink w:anchor="_Toc164154240" w:history="1">
        <w:r w:rsidR="00A4233D" w:rsidRPr="007976C5">
          <w:rPr>
            <w:rStyle w:val="Hyperlink"/>
          </w:rPr>
          <w:t xml:space="preserve">10.1 </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Explanations and justifications for recalculations, including in response to the review process</w:t>
        </w:r>
        <w:r w:rsidR="00A4233D">
          <w:rPr>
            <w:webHidden/>
          </w:rPr>
          <w:tab/>
        </w:r>
        <w:r w:rsidR="00A4233D">
          <w:rPr>
            <w:webHidden/>
          </w:rPr>
          <w:fldChar w:fldCharType="begin"/>
        </w:r>
        <w:r w:rsidR="00A4233D">
          <w:rPr>
            <w:webHidden/>
          </w:rPr>
          <w:instrText xml:space="preserve"> PAGEREF _Toc164154240 \h </w:instrText>
        </w:r>
        <w:r w:rsidR="00A4233D">
          <w:rPr>
            <w:webHidden/>
          </w:rPr>
        </w:r>
        <w:r w:rsidR="00A4233D">
          <w:rPr>
            <w:webHidden/>
          </w:rPr>
          <w:fldChar w:fldCharType="separate"/>
        </w:r>
        <w:r w:rsidR="009E4901">
          <w:rPr>
            <w:webHidden/>
          </w:rPr>
          <w:t>389</w:t>
        </w:r>
        <w:r w:rsidR="00A4233D">
          <w:rPr>
            <w:webHidden/>
          </w:rPr>
          <w:fldChar w:fldCharType="end"/>
        </w:r>
      </w:hyperlink>
    </w:p>
    <w:p w14:paraId="244F731D" w14:textId="056DB6A8" w:rsidR="00A4233D" w:rsidRDefault="008975BF">
      <w:pPr>
        <w:pStyle w:val="TOC2"/>
        <w:rPr>
          <w:rFonts w:asciiTheme="minorHAnsi" w:eastAsiaTheme="minorEastAsia" w:hAnsiTheme="minorHAnsi" w:cstheme="minorBidi"/>
          <w:kern w:val="2"/>
          <w:sz w:val="24"/>
          <w:szCs w:val="24"/>
          <w14:ligatures w14:val="standardContextual"/>
        </w:rPr>
      </w:pPr>
      <w:hyperlink w:anchor="_Toc164154241" w:history="1">
        <w:r w:rsidR="00A4233D" w:rsidRPr="007976C5">
          <w:rPr>
            <w:rStyle w:val="Hyperlink"/>
          </w:rPr>
          <w:t xml:space="preserve">10.2 </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Implications for emissions and removal levels and trends, including time-series consistency</w:t>
        </w:r>
        <w:r w:rsidR="00A4233D">
          <w:rPr>
            <w:webHidden/>
          </w:rPr>
          <w:tab/>
        </w:r>
        <w:r w:rsidR="00A4233D">
          <w:rPr>
            <w:webHidden/>
          </w:rPr>
          <w:fldChar w:fldCharType="begin"/>
        </w:r>
        <w:r w:rsidR="00A4233D">
          <w:rPr>
            <w:webHidden/>
          </w:rPr>
          <w:instrText xml:space="preserve"> PAGEREF _Toc164154241 \h </w:instrText>
        </w:r>
        <w:r w:rsidR="00A4233D">
          <w:rPr>
            <w:webHidden/>
          </w:rPr>
        </w:r>
        <w:r w:rsidR="00A4233D">
          <w:rPr>
            <w:webHidden/>
          </w:rPr>
          <w:fldChar w:fldCharType="separate"/>
        </w:r>
        <w:r w:rsidR="009E4901">
          <w:rPr>
            <w:webHidden/>
          </w:rPr>
          <w:t>391</w:t>
        </w:r>
        <w:r w:rsidR="00A4233D">
          <w:rPr>
            <w:webHidden/>
          </w:rPr>
          <w:fldChar w:fldCharType="end"/>
        </w:r>
      </w:hyperlink>
    </w:p>
    <w:p w14:paraId="16FFE3DF" w14:textId="23A492E7" w:rsidR="00A4233D" w:rsidRDefault="008975BF">
      <w:pPr>
        <w:pStyle w:val="TOC2"/>
        <w:rPr>
          <w:rFonts w:asciiTheme="minorHAnsi" w:eastAsiaTheme="minorEastAsia" w:hAnsiTheme="minorHAnsi" w:cstheme="minorBidi"/>
          <w:kern w:val="2"/>
          <w:sz w:val="24"/>
          <w:szCs w:val="24"/>
          <w14:ligatures w14:val="standardContextual"/>
        </w:rPr>
      </w:pPr>
      <w:hyperlink w:anchor="_Toc164154242" w:history="1">
        <w:r w:rsidR="00A4233D" w:rsidRPr="007976C5">
          <w:rPr>
            <w:rStyle w:val="Hyperlink"/>
          </w:rPr>
          <w:t>10.3</w:t>
        </w:r>
        <w:r w:rsidR="00A4233D">
          <w:rPr>
            <w:rFonts w:asciiTheme="minorHAnsi" w:eastAsiaTheme="minorEastAsia" w:hAnsiTheme="minorHAnsi" w:cstheme="minorBidi"/>
            <w:kern w:val="2"/>
            <w:sz w:val="24"/>
            <w:szCs w:val="24"/>
            <w14:ligatures w14:val="standardContextual"/>
          </w:rPr>
          <w:tab/>
        </w:r>
        <w:r w:rsidR="00A4233D" w:rsidRPr="007976C5">
          <w:rPr>
            <w:rStyle w:val="Hyperlink"/>
          </w:rPr>
          <w:t>Areas of improvement and/or capacity building in response to the review process</w:t>
        </w:r>
        <w:r w:rsidR="00A4233D">
          <w:rPr>
            <w:webHidden/>
          </w:rPr>
          <w:tab/>
        </w:r>
        <w:r w:rsidR="00A4233D">
          <w:rPr>
            <w:webHidden/>
          </w:rPr>
          <w:fldChar w:fldCharType="begin"/>
        </w:r>
        <w:r w:rsidR="00A4233D">
          <w:rPr>
            <w:webHidden/>
          </w:rPr>
          <w:instrText xml:space="preserve"> PAGEREF _Toc164154242 \h </w:instrText>
        </w:r>
        <w:r w:rsidR="00A4233D">
          <w:rPr>
            <w:webHidden/>
          </w:rPr>
        </w:r>
        <w:r w:rsidR="00A4233D">
          <w:rPr>
            <w:webHidden/>
          </w:rPr>
          <w:fldChar w:fldCharType="separate"/>
        </w:r>
        <w:r w:rsidR="009E4901">
          <w:rPr>
            <w:webHidden/>
          </w:rPr>
          <w:t>403</w:t>
        </w:r>
        <w:r w:rsidR="00A4233D">
          <w:rPr>
            <w:webHidden/>
          </w:rPr>
          <w:fldChar w:fldCharType="end"/>
        </w:r>
      </w:hyperlink>
    </w:p>
    <w:p w14:paraId="71D5AEA9" w14:textId="6B41C423" w:rsidR="00A4233D" w:rsidRDefault="008975BF">
      <w:pPr>
        <w:pStyle w:val="TOC2"/>
        <w:rPr>
          <w:rFonts w:asciiTheme="minorHAnsi" w:eastAsiaTheme="minorEastAsia" w:hAnsiTheme="minorHAnsi" w:cstheme="minorBidi"/>
          <w:kern w:val="2"/>
          <w:sz w:val="24"/>
          <w:szCs w:val="24"/>
          <w14:ligatures w14:val="standardContextual"/>
        </w:rPr>
      </w:pPr>
      <w:hyperlink w:anchor="_Toc164154243" w:history="1">
        <w:r w:rsidR="00A4233D" w:rsidRPr="007976C5">
          <w:rPr>
            <w:rStyle w:val="Hyperlink"/>
          </w:rPr>
          <w:t>Chapter 10: References</w:t>
        </w:r>
        <w:r w:rsidR="00A4233D">
          <w:rPr>
            <w:webHidden/>
          </w:rPr>
          <w:tab/>
        </w:r>
        <w:r w:rsidR="00A4233D">
          <w:rPr>
            <w:webHidden/>
          </w:rPr>
          <w:fldChar w:fldCharType="begin"/>
        </w:r>
        <w:r w:rsidR="00A4233D">
          <w:rPr>
            <w:webHidden/>
          </w:rPr>
          <w:instrText xml:space="preserve"> PAGEREF _Toc164154243 \h </w:instrText>
        </w:r>
        <w:r w:rsidR="00A4233D">
          <w:rPr>
            <w:webHidden/>
          </w:rPr>
        </w:r>
        <w:r w:rsidR="00A4233D">
          <w:rPr>
            <w:webHidden/>
          </w:rPr>
          <w:fldChar w:fldCharType="separate"/>
        </w:r>
        <w:r w:rsidR="009E4901">
          <w:rPr>
            <w:webHidden/>
          </w:rPr>
          <w:t>424</w:t>
        </w:r>
        <w:r w:rsidR="00A4233D">
          <w:rPr>
            <w:webHidden/>
          </w:rPr>
          <w:fldChar w:fldCharType="end"/>
        </w:r>
      </w:hyperlink>
    </w:p>
    <w:p w14:paraId="5F0224C0" w14:textId="2D9A82A1" w:rsidR="006E0A2C" w:rsidRPr="009E06AA" w:rsidRDefault="005B4EAF" w:rsidP="00A34169">
      <w:r w:rsidRPr="009E06AA">
        <w:rPr>
          <w:sz w:val="28"/>
        </w:rPr>
        <w:fldChar w:fldCharType="end"/>
      </w:r>
    </w:p>
    <w:p w14:paraId="6630571B" w14:textId="77777777" w:rsidR="00A44CBA" w:rsidRPr="009E06AA" w:rsidRDefault="00A44CBA" w:rsidP="00A44CBA">
      <w:pPr>
        <w:pStyle w:val="BodyText"/>
      </w:pPr>
      <w:r w:rsidRPr="009E06AA">
        <w:br w:type="page"/>
      </w:r>
    </w:p>
    <w:p w14:paraId="7048D0CF" w14:textId="674892B0" w:rsidR="006E0A2C" w:rsidRPr="009E06AA" w:rsidRDefault="006E0A2C" w:rsidP="00543478">
      <w:pPr>
        <w:pStyle w:val="Heading"/>
      </w:pPr>
      <w:r w:rsidRPr="009E06AA">
        <w:t>Tables</w:t>
      </w:r>
    </w:p>
    <w:p w14:paraId="09F8681E" w14:textId="616AD462" w:rsidR="001818DF" w:rsidRDefault="00A44CBA">
      <w:pPr>
        <w:pStyle w:val="TableofFigures"/>
        <w:rPr>
          <w:rFonts w:asciiTheme="minorHAnsi" w:eastAsiaTheme="minorEastAsia" w:hAnsiTheme="minorHAnsi" w:cstheme="minorBidi"/>
          <w:noProof/>
          <w:kern w:val="2"/>
          <w:sz w:val="24"/>
          <w:szCs w:val="24"/>
          <w14:ligatures w14:val="standardContextual"/>
        </w:rPr>
      </w:pPr>
      <w:r w:rsidRPr="009E06AA">
        <w:rPr>
          <w:rFonts w:ascii="Arial" w:hAnsi="Arial"/>
        </w:rPr>
        <w:fldChar w:fldCharType="begin"/>
      </w:r>
      <w:r w:rsidRPr="009E06AA">
        <w:rPr>
          <w:rFonts w:ascii="Arial" w:hAnsi="Arial"/>
        </w:rPr>
        <w:instrText xml:space="preserve"> TOC \h \z \t "Table" \c </w:instrText>
      </w:r>
      <w:r w:rsidRPr="009E06AA">
        <w:rPr>
          <w:rFonts w:ascii="Arial" w:hAnsi="Arial"/>
        </w:rPr>
        <w:fldChar w:fldCharType="separate"/>
      </w:r>
      <w:hyperlink w:anchor="_Toc164153791" w:history="1">
        <w:r w:rsidR="001818DF" w:rsidRPr="002E0857">
          <w:rPr>
            <w:rStyle w:val="Hyperlink"/>
            <w:bCs/>
            <w:noProof/>
          </w:rPr>
          <w:t>Table ES 2.1</w:t>
        </w:r>
        <w:r w:rsidR="001818DF" w:rsidRPr="002E0857">
          <w:rPr>
            <w:rStyle w:val="Hyperlink"/>
            <w:noProof/>
          </w:rPr>
          <w:t xml:space="preserve"> </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New Zealand’s gross emissions by gas in </w:t>
        </w:r>
        <w:r w:rsidR="001818DF" w:rsidRPr="002E0857">
          <w:rPr>
            <w:rStyle w:val="Hyperlink"/>
            <w:bCs/>
            <w:noProof/>
          </w:rPr>
          <w:t>1990</w:t>
        </w:r>
        <w:r w:rsidR="001818DF" w:rsidRPr="002E0857">
          <w:rPr>
            <w:rStyle w:val="Hyperlink"/>
            <w:noProof/>
          </w:rPr>
          <w:t xml:space="preserve"> and </w:t>
        </w:r>
        <w:r w:rsidR="001818DF" w:rsidRPr="002E0857">
          <w:rPr>
            <w:rStyle w:val="Hyperlink"/>
            <w:bCs/>
            <w:noProof/>
          </w:rPr>
          <w:t>2022</w:t>
        </w:r>
        <w:r w:rsidR="001818DF">
          <w:rPr>
            <w:noProof/>
            <w:webHidden/>
          </w:rPr>
          <w:tab/>
        </w:r>
        <w:r w:rsidR="001818DF">
          <w:rPr>
            <w:noProof/>
            <w:webHidden/>
          </w:rPr>
          <w:fldChar w:fldCharType="begin"/>
        </w:r>
        <w:r w:rsidR="001818DF">
          <w:rPr>
            <w:noProof/>
            <w:webHidden/>
          </w:rPr>
          <w:instrText xml:space="preserve"> PAGEREF _Toc164153791 \h </w:instrText>
        </w:r>
        <w:r w:rsidR="001818DF">
          <w:rPr>
            <w:noProof/>
            <w:webHidden/>
          </w:rPr>
        </w:r>
        <w:r w:rsidR="001818DF">
          <w:rPr>
            <w:noProof/>
            <w:webHidden/>
          </w:rPr>
          <w:fldChar w:fldCharType="separate"/>
        </w:r>
        <w:r w:rsidR="009E4901">
          <w:rPr>
            <w:noProof/>
            <w:webHidden/>
          </w:rPr>
          <w:t>xxv</w:t>
        </w:r>
        <w:r w:rsidR="001818DF">
          <w:rPr>
            <w:noProof/>
            <w:webHidden/>
          </w:rPr>
          <w:fldChar w:fldCharType="end"/>
        </w:r>
      </w:hyperlink>
    </w:p>
    <w:p w14:paraId="19BEEBD7" w14:textId="14DB5711"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792" w:history="1">
        <w:r w:rsidR="001818DF" w:rsidRPr="002E0857">
          <w:rPr>
            <w:rStyle w:val="Hyperlink"/>
            <w:bCs/>
            <w:noProof/>
          </w:rPr>
          <w:t>Table ES 3.1</w:t>
        </w:r>
        <w:r w:rsidR="001818DF" w:rsidRPr="002E0857">
          <w:rPr>
            <w:rStyle w:val="Hyperlink"/>
            <w:noProof/>
          </w:rPr>
          <w:t xml:space="preserve"> </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New Zealand’s emissions by sector in </w:t>
        </w:r>
        <w:r w:rsidR="001818DF" w:rsidRPr="002E0857">
          <w:rPr>
            <w:rStyle w:val="Hyperlink"/>
            <w:bCs/>
            <w:noProof/>
          </w:rPr>
          <w:t>1990</w:t>
        </w:r>
        <w:r w:rsidR="001818DF" w:rsidRPr="002E0857">
          <w:rPr>
            <w:rStyle w:val="Hyperlink"/>
            <w:noProof/>
          </w:rPr>
          <w:t xml:space="preserve"> and </w:t>
        </w:r>
        <w:r w:rsidR="001818DF" w:rsidRPr="002E0857">
          <w:rPr>
            <w:rStyle w:val="Hyperlink"/>
            <w:bCs/>
            <w:noProof/>
          </w:rPr>
          <w:t>2022</w:t>
        </w:r>
        <w:r w:rsidR="001818DF">
          <w:rPr>
            <w:noProof/>
            <w:webHidden/>
          </w:rPr>
          <w:tab/>
        </w:r>
        <w:r w:rsidR="001818DF">
          <w:rPr>
            <w:noProof/>
            <w:webHidden/>
          </w:rPr>
          <w:fldChar w:fldCharType="begin"/>
        </w:r>
        <w:r w:rsidR="001818DF">
          <w:rPr>
            <w:noProof/>
            <w:webHidden/>
          </w:rPr>
          <w:instrText xml:space="preserve"> PAGEREF _Toc164153792 \h </w:instrText>
        </w:r>
        <w:r w:rsidR="001818DF">
          <w:rPr>
            <w:noProof/>
            <w:webHidden/>
          </w:rPr>
        </w:r>
        <w:r w:rsidR="001818DF">
          <w:rPr>
            <w:noProof/>
            <w:webHidden/>
          </w:rPr>
          <w:fldChar w:fldCharType="separate"/>
        </w:r>
        <w:r w:rsidR="009E4901">
          <w:rPr>
            <w:noProof/>
            <w:webHidden/>
          </w:rPr>
          <w:t>xxvii</w:t>
        </w:r>
        <w:r w:rsidR="001818DF">
          <w:rPr>
            <w:noProof/>
            <w:webHidden/>
          </w:rPr>
          <w:fldChar w:fldCharType="end"/>
        </w:r>
      </w:hyperlink>
    </w:p>
    <w:p w14:paraId="4C6A5FA3" w14:textId="6CA13D25"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793" w:history="1">
        <w:r w:rsidR="001818DF" w:rsidRPr="002E0857">
          <w:rPr>
            <w:rStyle w:val="Hyperlink"/>
            <w:bCs/>
            <w:noProof/>
          </w:rPr>
          <w:t>Table ES 4.1</w:t>
        </w:r>
        <w:r w:rsidR="001818DF" w:rsidRPr="002E0857">
          <w:rPr>
            <w:rStyle w:val="Hyperlink"/>
            <w:noProof/>
          </w:rPr>
          <w:t xml:space="preserve"> </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New Zealand’s indirect greenhouse gas emissions (excluding LULUCF) in </w:t>
        </w:r>
        <w:r w:rsidR="001818DF" w:rsidRPr="002E0857">
          <w:rPr>
            <w:rStyle w:val="Hyperlink"/>
            <w:bCs/>
            <w:noProof/>
          </w:rPr>
          <w:t>1990</w:t>
        </w:r>
        <w:r w:rsidR="001818DF" w:rsidRPr="002E0857">
          <w:rPr>
            <w:rStyle w:val="Hyperlink"/>
            <w:noProof/>
          </w:rPr>
          <w:t xml:space="preserve"> and </w:t>
        </w:r>
        <w:r w:rsidR="001818DF" w:rsidRPr="002E0857">
          <w:rPr>
            <w:rStyle w:val="Hyperlink"/>
            <w:bCs/>
            <w:noProof/>
          </w:rPr>
          <w:t>2022</w:t>
        </w:r>
        <w:r w:rsidR="001818DF">
          <w:rPr>
            <w:noProof/>
            <w:webHidden/>
          </w:rPr>
          <w:tab/>
        </w:r>
        <w:r w:rsidR="001818DF">
          <w:rPr>
            <w:noProof/>
            <w:webHidden/>
          </w:rPr>
          <w:fldChar w:fldCharType="begin"/>
        </w:r>
        <w:r w:rsidR="001818DF">
          <w:rPr>
            <w:noProof/>
            <w:webHidden/>
          </w:rPr>
          <w:instrText xml:space="preserve"> PAGEREF _Toc164153793 \h </w:instrText>
        </w:r>
        <w:r w:rsidR="001818DF">
          <w:rPr>
            <w:noProof/>
            <w:webHidden/>
          </w:rPr>
        </w:r>
        <w:r w:rsidR="001818DF">
          <w:rPr>
            <w:noProof/>
            <w:webHidden/>
          </w:rPr>
          <w:fldChar w:fldCharType="separate"/>
        </w:r>
        <w:r w:rsidR="009E4901">
          <w:rPr>
            <w:noProof/>
            <w:webHidden/>
          </w:rPr>
          <w:t>xxxiv</w:t>
        </w:r>
        <w:r w:rsidR="001818DF">
          <w:rPr>
            <w:noProof/>
            <w:webHidden/>
          </w:rPr>
          <w:fldChar w:fldCharType="end"/>
        </w:r>
      </w:hyperlink>
    </w:p>
    <w:p w14:paraId="27E3C376" w14:textId="0953ED9F"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794" w:history="1">
        <w:r w:rsidR="001818DF" w:rsidRPr="002E0857">
          <w:rPr>
            <w:rStyle w:val="Hyperlink"/>
            <w:noProof/>
          </w:rPr>
          <w:t xml:space="preserve">Table 1.5.1 </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Agency responsible for each sector</w:t>
        </w:r>
        <w:r w:rsidR="001818DF">
          <w:rPr>
            <w:noProof/>
            <w:webHidden/>
          </w:rPr>
          <w:tab/>
        </w:r>
        <w:r w:rsidR="001818DF">
          <w:rPr>
            <w:noProof/>
            <w:webHidden/>
          </w:rPr>
          <w:fldChar w:fldCharType="begin"/>
        </w:r>
        <w:r w:rsidR="001818DF">
          <w:rPr>
            <w:noProof/>
            <w:webHidden/>
          </w:rPr>
          <w:instrText xml:space="preserve"> PAGEREF _Toc164153794 \h </w:instrText>
        </w:r>
        <w:r w:rsidR="001818DF">
          <w:rPr>
            <w:noProof/>
            <w:webHidden/>
          </w:rPr>
        </w:r>
        <w:r w:rsidR="001818DF">
          <w:rPr>
            <w:noProof/>
            <w:webHidden/>
          </w:rPr>
          <w:fldChar w:fldCharType="separate"/>
        </w:r>
        <w:r w:rsidR="009E4901">
          <w:rPr>
            <w:noProof/>
            <w:webHidden/>
          </w:rPr>
          <w:t>16</w:t>
        </w:r>
        <w:r w:rsidR="001818DF">
          <w:rPr>
            <w:noProof/>
            <w:webHidden/>
          </w:rPr>
          <w:fldChar w:fldCharType="end"/>
        </w:r>
      </w:hyperlink>
    </w:p>
    <w:p w14:paraId="67CE5823" w14:textId="01DB2377"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795" w:history="1">
        <w:r w:rsidR="001818DF" w:rsidRPr="002E0857">
          <w:rPr>
            <w:rStyle w:val="Hyperlink"/>
            <w:noProof/>
          </w:rPr>
          <w:t>Table 1.5.2</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Dates for sector entry into the New Zealand Emissions Trading Scheme</w:t>
        </w:r>
        <w:r w:rsidR="001818DF">
          <w:rPr>
            <w:noProof/>
            <w:webHidden/>
          </w:rPr>
          <w:tab/>
        </w:r>
        <w:r w:rsidR="001818DF">
          <w:rPr>
            <w:noProof/>
            <w:webHidden/>
          </w:rPr>
          <w:fldChar w:fldCharType="begin"/>
        </w:r>
        <w:r w:rsidR="001818DF">
          <w:rPr>
            <w:noProof/>
            <w:webHidden/>
          </w:rPr>
          <w:instrText xml:space="preserve"> PAGEREF _Toc164153795 \h </w:instrText>
        </w:r>
        <w:r w:rsidR="001818DF">
          <w:rPr>
            <w:noProof/>
            <w:webHidden/>
          </w:rPr>
        </w:r>
        <w:r w:rsidR="001818DF">
          <w:rPr>
            <w:noProof/>
            <w:webHidden/>
          </w:rPr>
          <w:fldChar w:fldCharType="separate"/>
        </w:r>
        <w:r w:rsidR="009E4901">
          <w:rPr>
            <w:noProof/>
            <w:webHidden/>
          </w:rPr>
          <w:t>19</w:t>
        </w:r>
        <w:r w:rsidR="001818DF">
          <w:rPr>
            <w:noProof/>
            <w:webHidden/>
          </w:rPr>
          <w:fldChar w:fldCharType="end"/>
        </w:r>
      </w:hyperlink>
    </w:p>
    <w:p w14:paraId="7218217C" w14:textId="55CB31A8"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796" w:history="1">
        <w:r w:rsidR="001818DF" w:rsidRPr="002E0857">
          <w:rPr>
            <w:rStyle w:val="Hyperlink"/>
            <w:noProof/>
          </w:rPr>
          <w:t xml:space="preserve">Table 1.7.1 </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Summary of ‘NE’ (not estimated) entries in 2024 submission</w:t>
        </w:r>
        <w:r w:rsidR="001818DF">
          <w:rPr>
            <w:noProof/>
            <w:webHidden/>
          </w:rPr>
          <w:tab/>
        </w:r>
        <w:r w:rsidR="001818DF">
          <w:rPr>
            <w:noProof/>
            <w:webHidden/>
          </w:rPr>
          <w:fldChar w:fldCharType="begin"/>
        </w:r>
        <w:r w:rsidR="001818DF">
          <w:rPr>
            <w:noProof/>
            <w:webHidden/>
          </w:rPr>
          <w:instrText xml:space="preserve"> PAGEREF _Toc164153796 \h </w:instrText>
        </w:r>
        <w:r w:rsidR="001818DF">
          <w:rPr>
            <w:noProof/>
            <w:webHidden/>
          </w:rPr>
        </w:r>
        <w:r w:rsidR="001818DF">
          <w:rPr>
            <w:noProof/>
            <w:webHidden/>
          </w:rPr>
          <w:fldChar w:fldCharType="separate"/>
        </w:r>
        <w:r w:rsidR="009E4901">
          <w:rPr>
            <w:noProof/>
            <w:webHidden/>
          </w:rPr>
          <w:t>23</w:t>
        </w:r>
        <w:r w:rsidR="001818DF">
          <w:rPr>
            <w:noProof/>
            <w:webHidden/>
          </w:rPr>
          <w:fldChar w:fldCharType="end"/>
        </w:r>
      </w:hyperlink>
    </w:p>
    <w:p w14:paraId="22C98C08" w14:textId="0AD28C9C"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797" w:history="1">
        <w:r w:rsidR="001818DF" w:rsidRPr="002E0857">
          <w:rPr>
            <w:rStyle w:val="Hyperlink"/>
            <w:noProof/>
          </w:rPr>
          <w:t xml:space="preserve">Table 1.7.2 </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Emissions reported using the ‘IE’ (included elsewhere) notation key</w:t>
        </w:r>
        <w:r w:rsidR="001818DF">
          <w:rPr>
            <w:noProof/>
            <w:webHidden/>
          </w:rPr>
          <w:tab/>
        </w:r>
        <w:r w:rsidR="001818DF">
          <w:rPr>
            <w:noProof/>
            <w:webHidden/>
          </w:rPr>
          <w:fldChar w:fldCharType="begin"/>
        </w:r>
        <w:r w:rsidR="001818DF">
          <w:rPr>
            <w:noProof/>
            <w:webHidden/>
          </w:rPr>
          <w:instrText xml:space="preserve"> PAGEREF _Toc164153797 \h </w:instrText>
        </w:r>
        <w:r w:rsidR="001818DF">
          <w:rPr>
            <w:noProof/>
            <w:webHidden/>
          </w:rPr>
        </w:r>
        <w:r w:rsidR="001818DF">
          <w:rPr>
            <w:noProof/>
            <w:webHidden/>
          </w:rPr>
          <w:fldChar w:fldCharType="separate"/>
        </w:r>
        <w:r w:rsidR="009E4901">
          <w:rPr>
            <w:noProof/>
            <w:webHidden/>
          </w:rPr>
          <w:t>27</w:t>
        </w:r>
        <w:r w:rsidR="001818DF">
          <w:rPr>
            <w:noProof/>
            <w:webHidden/>
          </w:rPr>
          <w:fldChar w:fldCharType="end"/>
        </w:r>
      </w:hyperlink>
    </w:p>
    <w:p w14:paraId="290DDDA8" w14:textId="3921D8D6"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798" w:history="1">
        <w:r w:rsidR="001818DF" w:rsidRPr="002E0857">
          <w:rPr>
            <w:rStyle w:val="Hyperlink"/>
            <w:noProof/>
          </w:rPr>
          <w:t xml:space="preserve">Table 2.2.1 </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New Zealand’s emissions by sector between </w:t>
        </w:r>
        <w:r w:rsidR="001818DF" w:rsidRPr="002E0857">
          <w:rPr>
            <w:rStyle w:val="Hyperlink"/>
            <w:bCs/>
            <w:noProof/>
          </w:rPr>
          <w:t>1990</w:t>
        </w:r>
        <w:r w:rsidR="001818DF" w:rsidRPr="002E0857">
          <w:rPr>
            <w:rStyle w:val="Hyperlink"/>
            <w:noProof/>
          </w:rPr>
          <w:t xml:space="preserve"> and </w:t>
        </w:r>
        <w:r w:rsidR="001818DF" w:rsidRPr="002E0857">
          <w:rPr>
            <w:rStyle w:val="Hyperlink"/>
            <w:bCs/>
            <w:noProof/>
          </w:rPr>
          <w:t>2022</w:t>
        </w:r>
        <w:r w:rsidR="001818DF">
          <w:rPr>
            <w:noProof/>
            <w:webHidden/>
          </w:rPr>
          <w:tab/>
        </w:r>
        <w:r w:rsidR="001818DF">
          <w:rPr>
            <w:noProof/>
            <w:webHidden/>
          </w:rPr>
          <w:fldChar w:fldCharType="begin"/>
        </w:r>
        <w:r w:rsidR="001818DF">
          <w:rPr>
            <w:noProof/>
            <w:webHidden/>
          </w:rPr>
          <w:instrText xml:space="preserve"> PAGEREF _Toc164153798 \h </w:instrText>
        </w:r>
        <w:r w:rsidR="001818DF">
          <w:rPr>
            <w:noProof/>
            <w:webHidden/>
          </w:rPr>
        </w:r>
        <w:r w:rsidR="001818DF">
          <w:rPr>
            <w:noProof/>
            <w:webHidden/>
          </w:rPr>
          <w:fldChar w:fldCharType="separate"/>
        </w:r>
        <w:r w:rsidR="009E4901">
          <w:rPr>
            <w:noProof/>
            <w:webHidden/>
          </w:rPr>
          <w:t>39</w:t>
        </w:r>
        <w:r w:rsidR="001818DF">
          <w:rPr>
            <w:noProof/>
            <w:webHidden/>
          </w:rPr>
          <w:fldChar w:fldCharType="end"/>
        </w:r>
      </w:hyperlink>
    </w:p>
    <w:p w14:paraId="13FD4C34" w14:textId="2492261D"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799" w:history="1">
        <w:r w:rsidR="001818DF" w:rsidRPr="002E0857">
          <w:rPr>
            <w:rStyle w:val="Hyperlink"/>
            <w:noProof/>
          </w:rPr>
          <w:t xml:space="preserve">Table 2.2.2 </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Emissions from Tokelau, </w:t>
        </w:r>
        <w:r w:rsidR="001818DF" w:rsidRPr="002E0857">
          <w:rPr>
            <w:rStyle w:val="Hyperlink"/>
            <w:bCs/>
            <w:noProof/>
          </w:rPr>
          <w:t>1990</w:t>
        </w:r>
        <w:r w:rsidR="001818DF" w:rsidRPr="002E0857">
          <w:rPr>
            <w:rStyle w:val="Hyperlink"/>
            <w:noProof/>
          </w:rPr>
          <w:t xml:space="preserve"> and </w:t>
        </w:r>
        <w:r w:rsidR="001818DF" w:rsidRPr="002E0857">
          <w:rPr>
            <w:rStyle w:val="Hyperlink"/>
            <w:bCs/>
            <w:noProof/>
          </w:rPr>
          <w:t>2022</w:t>
        </w:r>
        <w:r w:rsidR="001818DF">
          <w:rPr>
            <w:noProof/>
            <w:webHidden/>
          </w:rPr>
          <w:tab/>
        </w:r>
        <w:r w:rsidR="001818DF">
          <w:rPr>
            <w:noProof/>
            <w:webHidden/>
          </w:rPr>
          <w:fldChar w:fldCharType="begin"/>
        </w:r>
        <w:r w:rsidR="001818DF">
          <w:rPr>
            <w:noProof/>
            <w:webHidden/>
          </w:rPr>
          <w:instrText xml:space="preserve"> PAGEREF _Toc164153799 \h </w:instrText>
        </w:r>
        <w:r w:rsidR="001818DF">
          <w:rPr>
            <w:noProof/>
            <w:webHidden/>
          </w:rPr>
        </w:r>
        <w:r w:rsidR="001818DF">
          <w:rPr>
            <w:noProof/>
            <w:webHidden/>
          </w:rPr>
          <w:fldChar w:fldCharType="separate"/>
        </w:r>
        <w:r w:rsidR="009E4901">
          <w:rPr>
            <w:noProof/>
            <w:webHidden/>
          </w:rPr>
          <w:t>52</w:t>
        </w:r>
        <w:r w:rsidR="001818DF">
          <w:rPr>
            <w:noProof/>
            <w:webHidden/>
          </w:rPr>
          <w:fldChar w:fldCharType="end"/>
        </w:r>
      </w:hyperlink>
    </w:p>
    <w:p w14:paraId="77611604" w14:textId="72FC06E9"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00" w:history="1">
        <w:r w:rsidR="001818DF" w:rsidRPr="002E0857">
          <w:rPr>
            <w:rStyle w:val="Hyperlink"/>
            <w:bCs/>
            <w:noProof/>
          </w:rPr>
          <w:t>Table 2.2.3</w:t>
        </w:r>
        <w:r w:rsidR="001818DF" w:rsidRPr="002E0857">
          <w:rPr>
            <w:rStyle w:val="Hyperlink"/>
            <w:noProof/>
          </w:rPr>
          <w:t xml:space="preserve"> </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New Zealand’s gross emissions by gas in </w:t>
        </w:r>
        <w:r w:rsidR="001818DF" w:rsidRPr="002E0857">
          <w:rPr>
            <w:rStyle w:val="Hyperlink"/>
            <w:bCs/>
            <w:noProof/>
          </w:rPr>
          <w:t>1990</w:t>
        </w:r>
        <w:r w:rsidR="001818DF" w:rsidRPr="002E0857">
          <w:rPr>
            <w:rStyle w:val="Hyperlink"/>
            <w:noProof/>
          </w:rPr>
          <w:t xml:space="preserve"> and </w:t>
        </w:r>
        <w:r w:rsidR="001818DF" w:rsidRPr="002E0857">
          <w:rPr>
            <w:rStyle w:val="Hyperlink"/>
            <w:bCs/>
            <w:noProof/>
          </w:rPr>
          <w:t>2022</w:t>
        </w:r>
        <w:r w:rsidR="001818DF">
          <w:rPr>
            <w:noProof/>
            <w:webHidden/>
          </w:rPr>
          <w:tab/>
        </w:r>
        <w:r w:rsidR="001818DF">
          <w:rPr>
            <w:noProof/>
            <w:webHidden/>
          </w:rPr>
          <w:fldChar w:fldCharType="begin"/>
        </w:r>
        <w:r w:rsidR="001818DF">
          <w:rPr>
            <w:noProof/>
            <w:webHidden/>
          </w:rPr>
          <w:instrText xml:space="preserve"> PAGEREF _Toc164153800 \h </w:instrText>
        </w:r>
        <w:r w:rsidR="001818DF">
          <w:rPr>
            <w:noProof/>
            <w:webHidden/>
          </w:rPr>
        </w:r>
        <w:r w:rsidR="001818DF">
          <w:rPr>
            <w:noProof/>
            <w:webHidden/>
          </w:rPr>
          <w:fldChar w:fldCharType="separate"/>
        </w:r>
        <w:r w:rsidR="009E4901">
          <w:rPr>
            <w:noProof/>
            <w:webHidden/>
          </w:rPr>
          <w:t>54</w:t>
        </w:r>
        <w:r w:rsidR="001818DF">
          <w:rPr>
            <w:noProof/>
            <w:webHidden/>
          </w:rPr>
          <w:fldChar w:fldCharType="end"/>
        </w:r>
      </w:hyperlink>
    </w:p>
    <w:p w14:paraId="6296A152" w14:textId="6644C0C1"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01" w:history="1">
        <w:r w:rsidR="001818DF" w:rsidRPr="002E0857">
          <w:rPr>
            <w:rStyle w:val="Hyperlink"/>
            <w:bCs/>
            <w:noProof/>
          </w:rPr>
          <w:t>Table 2.2.4</w:t>
        </w:r>
        <w:r w:rsidR="001818DF" w:rsidRPr="002E0857">
          <w:rPr>
            <w:rStyle w:val="Hyperlink"/>
            <w:noProof/>
          </w:rPr>
          <w:t xml:space="preserve"> </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New Zealand’s indirect greenhouse gas emissions (excluding LULUCF) in </w:t>
        </w:r>
        <w:r w:rsidR="001818DF" w:rsidRPr="002E0857">
          <w:rPr>
            <w:rStyle w:val="Hyperlink"/>
            <w:bCs/>
            <w:noProof/>
          </w:rPr>
          <w:t>1990</w:t>
        </w:r>
        <w:r w:rsidR="001818DF" w:rsidRPr="002E0857">
          <w:rPr>
            <w:rStyle w:val="Hyperlink"/>
            <w:noProof/>
          </w:rPr>
          <w:t xml:space="preserve"> and </w:t>
        </w:r>
        <w:r w:rsidR="001818DF" w:rsidRPr="002E0857">
          <w:rPr>
            <w:rStyle w:val="Hyperlink"/>
            <w:bCs/>
            <w:noProof/>
          </w:rPr>
          <w:t>2022</w:t>
        </w:r>
        <w:r w:rsidR="001818DF">
          <w:rPr>
            <w:noProof/>
            <w:webHidden/>
          </w:rPr>
          <w:tab/>
        </w:r>
        <w:r w:rsidR="001818DF">
          <w:rPr>
            <w:noProof/>
            <w:webHidden/>
          </w:rPr>
          <w:fldChar w:fldCharType="begin"/>
        </w:r>
        <w:r w:rsidR="001818DF">
          <w:rPr>
            <w:noProof/>
            <w:webHidden/>
          </w:rPr>
          <w:instrText xml:space="preserve"> PAGEREF _Toc164153801 \h </w:instrText>
        </w:r>
        <w:r w:rsidR="001818DF">
          <w:rPr>
            <w:noProof/>
            <w:webHidden/>
          </w:rPr>
        </w:r>
        <w:r w:rsidR="001818DF">
          <w:rPr>
            <w:noProof/>
            <w:webHidden/>
          </w:rPr>
          <w:fldChar w:fldCharType="separate"/>
        </w:r>
        <w:r w:rsidR="009E4901">
          <w:rPr>
            <w:noProof/>
            <w:webHidden/>
          </w:rPr>
          <w:t>56</w:t>
        </w:r>
        <w:r w:rsidR="001818DF">
          <w:rPr>
            <w:noProof/>
            <w:webHidden/>
          </w:rPr>
          <w:fldChar w:fldCharType="end"/>
        </w:r>
      </w:hyperlink>
    </w:p>
    <w:p w14:paraId="47B7A905" w14:textId="7F391B0D"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02" w:history="1">
        <w:r w:rsidR="001818DF" w:rsidRPr="002E0857">
          <w:rPr>
            <w:rStyle w:val="Hyperlink"/>
            <w:noProof/>
          </w:rPr>
          <w:t xml:space="preserve">Table 3.1.1 </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Key categories in the Energy sector</w:t>
        </w:r>
        <w:r w:rsidR="001818DF">
          <w:rPr>
            <w:noProof/>
            <w:webHidden/>
          </w:rPr>
          <w:tab/>
        </w:r>
        <w:r w:rsidR="001818DF">
          <w:rPr>
            <w:noProof/>
            <w:webHidden/>
          </w:rPr>
          <w:fldChar w:fldCharType="begin"/>
        </w:r>
        <w:r w:rsidR="001818DF">
          <w:rPr>
            <w:noProof/>
            <w:webHidden/>
          </w:rPr>
          <w:instrText xml:space="preserve"> PAGEREF _Toc164153802 \h </w:instrText>
        </w:r>
        <w:r w:rsidR="001818DF">
          <w:rPr>
            <w:noProof/>
            <w:webHidden/>
          </w:rPr>
        </w:r>
        <w:r w:rsidR="001818DF">
          <w:rPr>
            <w:noProof/>
            <w:webHidden/>
          </w:rPr>
          <w:fldChar w:fldCharType="separate"/>
        </w:r>
        <w:r w:rsidR="009E4901">
          <w:rPr>
            <w:noProof/>
            <w:webHidden/>
          </w:rPr>
          <w:t>60</w:t>
        </w:r>
        <w:r w:rsidR="001818DF">
          <w:rPr>
            <w:noProof/>
            <w:webHidden/>
          </w:rPr>
          <w:fldChar w:fldCharType="end"/>
        </w:r>
      </w:hyperlink>
    </w:p>
    <w:p w14:paraId="6BDC03AC" w14:textId="5AD0A183"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03" w:history="1">
        <w:r w:rsidR="001818DF" w:rsidRPr="002E0857">
          <w:rPr>
            <w:rStyle w:val="Hyperlink"/>
            <w:rFonts w:cs="Calibri"/>
            <w:noProof/>
          </w:rPr>
          <w:t xml:space="preserve">Table 3.1.2 </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rFonts w:cs="Calibri"/>
            <w:noProof/>
          </w:rPr>
          <w:t>Use of natural gas as a feedstock in New Zealand</w:t>
        </w:r>
        <w:r w:rsidR="001818DF">
          <w:rPr>
            <w:noProof/>
            <w:webHidden/>
          </w:rPr>
          <w:tab/>
        </w:r>
        <w:r w:rsidR="001818DF">
          <w:rPr>
            <w:noProof/>
            <w:webHidden/>
          </w:rPr>
          <w:fldChar w:fldCharType="begin"/>
        </w:r>
        <w:r w:rsidR="001818DF">
          <w:rPr>
            <w:noProof/>
            <w:webHidden/>
          </w:rPr>
          <w:instrText xml:space="preserve"> PAGEREF _Toc164153803 \h </w:instrText>
        </w:r>
        <w:r w:rsidR="001818DF">
          <w:rPr>
            <w:noProof/>
            <w:webHidden/>
          </w:rPr>
        </w:r>
        <w:r w:rsidR="001818DF">
          <w:rPr>
            <w:noProof/>
            <w:webHidden/>
          </w:rPr>
          <w:fldChar w:fldCharType="separate"/>
        </w:r>
        <w:r w:rsidR="009E4901">
          <w:rPr>
            <w:noProof/>
            <w:webHidden/>
          </w:rPr>
          <w:t>62</w:t>
        </w:r>
        <w:r w:rsidR="001818DF">
          <w:rPr>
            <w:noProof/>
            <w:webHidden/>
          </w:rPr>
          <w:fldChar w:fldCharType="end"/>
        </w:r>
      </w:hyperlink>
    </w:p>
    <w:p w14:paraId="7285DC09" w14:textId="404C924A"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04" w:history="1">
        <w:r w:rsidR="001818DF" w:rsidRPr="002E0857">
          <w:rPr>
            <w:rStyle w:val="Hyperlink"/>
            <w:rFonts w:cs="Calibri"/>
            <w:noProof/>
          </w:rPr>
          <w:t>Table 3.2.1</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rFonts w:cs="Calibri"/>
            <w:noProof/>
          </w:rPr>
          <w:t>Uncertainty for New Zealand’s Energy sector emission estimates for 2022</w:t>
        </w:r>
        <w:r w:rsidR="001818DF">
          <w:rPr>
            <w:noProof/>
            <w:webHidden/>
          </w:rPr>
          <w:tab/>
        </w:r>
        <w:r w:rsidR="001818DF">
          <w:rPr>
            <w:noProof/>
            <w:webHidden/>
          </w:rPr>
          <w:fldChar w:fldCharType="begin"/>
        </w:r>
        <w:r w:rsidR="001818DF">
          <w:rPr>
            <w:noProof/>
            <w:webHidden/>
          </w:rPr>
          <w:instrText xml:space="preserve"> PAGEREF _Toc164153804 \h </w:instrText>
        </w:r>
        <w:r w:rsidR="001818DF">
          <w:rPr>
            <w:noProof/>
            <w:webHidden/>
          </w:rPr>
        </w:r>
        <w:r w:rsidR="001818DF">
          <w:rPr>
            <w:noProof/>
            <w:webHidden/>
          </w:rPr>
          <w:fldChar w:fldCharType="separate"/>
        </w:r>
        <w:r w:rsidR="009E4901">
          <w:rPr>
            <w:noProof/>
            <w:webHidden/>
          </w:rPr>
          <w:t>69</w:t>
        </w:r>
        <w:r w:rsidR="001818DF">
          <w:rPr>
            <w:noProof/>
            <w:webHidden/>
          </w:rPr>
          <w:fldChar w:fldCharType="end"/>
        </w:r>
      </w:hyperlink>
    </w:p>
    <w:p w14:paraId="14573D88" w14:textId="745A663E"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05" w:history="1">
        <w:r w:rsidR="001818DF" w:rsidRPr="002E0857">
          <w:rPr>
            <w:rStyle w:val="Hyperlink"/>
            <w:noProof/>
          </w:rPr>
          <w:t>Table 3.2.2</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Key categories for 1.A.1 </w:t>
        </w:r>
        <w:r w:rsidR="001818DF" w:rsidRPr="002E0857">
          <w:rPr>
            <w:rStyle w:val="Hyperlink"/>
            <w:i/>
            <w:iCs/>
            <w:noProof/>
          </w:rPr>
          <w:t>Energy industries</w:t>
        </w:r>
        <w:r w:rsidR="001818DF">
          <w:rPr>
            <w:noProof/>
            <w:webHidden/>
          </w:rPr>
          <w:tab/>
        </w:r>
        <w:r w:rsidR="001818DF">
          <w:rPr>
            <w:noProof/>
            <w:webHidden/>
          </w:rPr>
          <w:fldChar w:fldCharType="begin"/>
        </w:r>
        <w:r w:rsidR="001818DF">
          <w:rPr>
            <w:noProof/>
            <w:webHidden/>
          </w:rPr>
          <w:instrText xml:space="preserve"> PAGEREF _Toc164153805 \h </w:instrText>
        </w:r>
        <w:r w:rsidR="001818DF">
          <w:rPr>
            <w:noProof/>
            <w:webHidden/>
          </w:rPr>
        </w:r>
        <w:r w:rsidR="001818DF">
          <w:rPr>
            <w:noProof/>
            <w:webHidden/>
          </w:rPr>
          <w:fldChar w:fldCharType="separate"/>
        </w:r>
        <w:r w:rsidR="009E4901">
          <w:rPr>
            <w:noProof/>
            <w:webHidden/>
          </w:rPr>
          <w:t>74</w:t>
        </w:r>
        <w:r w:rsidR="001818DF">
          <w:rPr>
            <w:noProof/>
            <w:webHidden/>
          </w:rPr>
          <w:fldChar w:fldCharType="end"/>
        </w:r>
      </w:hyperlink>
    </w:p>
    <w:p w14:paraId="71E05269" w14:textId="749C7CB2"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06" w:history="1">
        <w:r w:rsidR="001818DF" w:rsidRPr="002E0857">
          <w:rPr>
            <w:rStyle w:val="Hyperlink"/>
            <w:rFonts w:cs="Calibri"/>
            <w:noProof/>
          </w:rPr>
          <w:t>Table 3.2.3</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rFonts w:cs="Calibri"/>
            <w:noProof/>
          </w:rPr>
          <w:t xml:space="preserve">Key categories for 1.A.2 </w:t>
        </w:r>
        <w:r w:rsidR="001818DF" w:rsidRPr="002E0857">
          <w:rPr>
            <w:rStyle w:val="Hyperlink"/>
            <w:i/>
            <w:iCs/>
            <w:noProof/>
          </w:rPr>
          <w:t>Manufacturing industries and construction</w:t>
        </w:r>
        <w:r w:rsidR="001818DF">
          <w:rPr>
            <w:noProof/>
            <w:webHidden/>
          </w:rPr>
          <w:tab/>
        </w:r>
        <w:r w:rsidR="001818DF">
          <w:rPr>
            <w:noProof/>
            <w:webHidden/>
          </w:rPr>
          <w:fldChar w:fldCharType="begin"/>
        </w:r>
        <w:r w:rsidR="001818DF">
          <w:rPr>
            <w:noProof/>
            <w:webHidden/>
          </w:rPr>
          <w:instrText xml:space="preserve"> PAGEREF _Toc164153806 \h </w:instrText>
        </w:r>
        <w:r w:rsidR="001818DF">
          <w:rPr>
            <w:noProof/>
            <w:webHidden/>
          </w:rPr>
        </w:r>
        <w:r w:rsidR="001818DF">
          <w:rPr>
            <w:noProof/>
            <w:webHidden/>
          </w:rPr>
          <w:fldChar w:fldCharType="separate"/>
        </w:r>
        <w:r w:rsidR="009E4901">
          <w:rPr>
            <w:noProof/>
            <w:webHidden/>
          </w:rPr>
          <w:t>78</w:t>
        </w:r>
        <w:r w:rsidR="001818DF">
          <w:rPr>
            <w:noProof/>
            <w:webHidden/>
          </w:rPr>
          <w:fldChar w:fldCharType="end"/>
        </w:r>
      </w:hyperlink>
    </w:p>
    <w:p w14:paraId="45C67557" w14:textId="740DAB0C"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07" w:history="1">
        <w:r w:rsidR="001818DF" w:rsidRPr="002E0857">
          <w:rPr>
            <w:rStyle w:val="Hyperlink"/>
            <w:rFonts w:cs="Calibri"/>
            <w:noProof/>
          </w:rPr>
          <w:t xml:space="preserve">Table 3.2.4 </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rFonts w:cs="Calibri"/>
            <w:noProof/>
          </w:rPr>
          <w:t xml:space="preserve">Solid biomass splits for 2006 that were used to disaggregate the </w:t>
        </w:r>
        <w:r w:rsidR="001818DF" w:rsidRPr="002E0857">
          <w:rPr>
            <w:rStyle w:val="Hyperlink"/>
            <w:rFonts w:cs="Calibri"/>
            <w:i/>
            <w:iCs/>
            <w:noProof/>
          </w:rPr>
          <w:t>Manufacturing industries and construction</w:t>
        </w:r>
        <w:r w:rsidR="001818DF" w:rsidRPr="002E0857">
          <w:rPr>
            <w:rStyle w:val="Hyperlink"/>
            <w:rFonts w:cs="Calibri"/>
            <w:noProof/>
          </w:rPr>
          <w:t xml:space="preserve"> category between 1990 and 2022</w:t>
        </w:r>
        <w:r w:rsidR="001818DF">
          <w:rPr>
            <w:noProof/>
            <w:webHidden/>
          </w:rPr>
          <w:tab/>
        </w:r>
        <w:r w:rsidR="001818DF">
          <w:rPr>
            <w:noProof/>
            <w:webHidden/>
          </w:rPr>
          <w:fldChar w:fldCharType="begin"/>
        </w:r>
        <w:r w:rsidR="001818DF">
          <w:rPr>
            <w:noProof/>
            <w:webHidden/>
          </w:rPr>
          <w:instrText xml:space="preserve"> PAGEREF _Toc164153807 \h </w:instrText>
        </w:r>
        <w:r w:rsidR="001818DF">
          <w:rPr>
            <w:noProof/>
            <w:webHidden/>
          </w:rPr>
        </w:r>
        <w:r w:rsidR="001818DF">
          <w:rPr>
            <w:noProof/>
            <w:webHidden/>
          </w:rPr>
          <w:fldChar w:fldCharType="separate"/>
        </w:r>
        <w:r w:rsidR="009E4901">
          <w:rPr>
            <w:noProof/>
            <w:webHidden/>
          </w:rPr>
          <w:t>79</w:t>
        </w:r>
        <w:r w:rsidR="001818DF">
          <w:rPr>
            <w:noProof/>
            <w:webHidden/>
          </w:rPr>
          <w:fldChar w:fldCharType="end"/>
        </w:r>
      </w:hyperlink>
    </w:p>
    <w:p w14:paraId="6990535C" w14:textId="6D4BDF0E"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08" w:history="1">
        <w:r w:rsidR="001818DF" w:rsidRPr="002E0857">
          <w:rPr>
            <w:rStyle w:val="Hyperlink"/>
            <w:rFonts w:cs="Calibri"/>
            <w:noProof/>
          </w:rPr>
          <w:t xml:space="preserve">Table 3.2.5 </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rFonts w:cs="Calibri"/>
            <w:noProof/>
          </w:rPr>
          <w:t>Energy intensity values used to disaggregate liquid fuel use for manufacturing (gigajoules </w:t>
        </w:r>
        <w:r w:rsidR="001818DF" w:rsidRPr="002E0857">
          <w:rPr>
            <w:rStyle w:val="Hyperlink"/>
            <w:noProof/>
          </w:rPr>
          <w:t>per </w:t>
        </w:r>
        <w:r w:rsidR="001818DF" w:rsidRPr="002E0857">
          <w:rPr>
            <w:rStyle w:val="Hyperlink"/>
            <w:rFonts w:cs="Calibri"/>
            <w:noProof/>
          </w:rPr>
          <w:t>gross domestic product index)</w:t>
        </w:r>
        <w:r w:rsidR="001818DF">
          <w:rPr>
            <w:noProof/>
            <w:webHidden/>
          </w:rPr>
          <w:tab/>
        </w:r>
        <w:r w:rsidR="001818DF">
          <w:rPr>
            <w:noProof/>
            <w:webHidden/>
          </w:rPr>
          <w:fldChar w:fldCharType="begin"/>
        </w:r>
        <w:r w:rsidR="001818DF">
          <w:rPr>
            <w:noProof/>
            <w:webHidden/>
          </w:rPr>
          <w:instrText xml:space="preserve"> PAGEREF _Toc164153808 \h </w:instrText>
        </w:r>
        <w:r w:rsidR="001818DF">
          <w:rPr>
            <w:noProof/>
            <w:webHidden/>
          </w:rPr>
        </w:r>
        <w:r w:rsidR="001818DF">
          <w:rPr>
            <w:noProof/>
            <w:webHidden/>
          </w:rPr>
          <w:fldChar w:fldCharType="separate"/>
        </w:r>
        <w:r w:rsidR="009E4901">
          <w:rPr>
            <w:noProof/>
            <w:webHidden/>
          </w:rPr>
          <w:t>80</w:t>
        </w:r>
        <w:r w:rsidR="001818DF">
          <w:rPr>
            <w:noProof/>
            <w:webHidden/>
          </w:rPr>
          <w:fldChar w:fldCharType="end"/>
        </w:r>
      </w:hyperlink>
    </w:p>
    <w:p w14:paraId="60DAD892" w14:textId="5E7CE2DF"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09" w:history="1">
        <w:r w:rsidR="001818DF" w:rsidRPr="002E0857">
          <w:rPr>
            <w:rStyle w:val="Hyperlink"/>
            <w:noProof/>
          </w:rPr>
          <w:t>Table 3.2.6</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Key categories for 1.A.3 </w:t>
        </w:r>
        <w:r w:rsidR="001818DF" w:rsidRPr="002E0857">
          <w:rPr>
            <w:rStyle w:val="Hyperlink"/>
            <w:i/>
            <w:iCs/>
            <w:noProof/>
          </w:rPr>
          <w:t>Transport</w:t>
        </w:r>
        <w:r w:rsidR="001818DF">
          <w:rPr>
            <w:noProof/>
            <w:webHidden/>
          </w:rPr>
          <w:tab/>
        </w:r>
        <w:r w:rsidR="001818DF">
          <w:rPr>
            <w:noProof/>
            <w:webHidden/>
          </w:rPr>
          <w:fldChar w:fldCharType="begin"/>
        </w:r>
        <w:r w:rsidR="001818DF">
          <w:rPr>
            <w:noProof/>
            <w:webHidden/>
          </w:rPr>
          <w:instrText xml:space="preserve"> PAGEREF _Toc164153809 \h </w:instrText>
        </w:r>
        <w:r w:rsidR="001818DF">
          <w:rPr>
            <w:noProof/>
            <w:webHidden/>
          </w:rPr>
        </w:r>
        <w:r w:rsidR="001818DF">
          <w:rPr>
            <w:noProof/>
            <w:webHidden/>
          </w:rPr>
          <w:fldChar w:fldCharType="separate"/>
        </w:r>
        <w:r w:rsidR="009E4901">
          <w:rPr>
            <w:noProof/>
            <w:webHidden/>
          </w:rPr>
          <w:t>84</w:t>
        </w:r>
        <w:r w:rsidR="001818DF">
          <w:rPr>
            <w:noProof/>
            <w:webHidden/>
          </w:rPr>
          <w:fldChar w:fldCharType="end"/>
        </w:r>
      </w:hyperlink>
    </w:p>
    <w:p w14:paraId="46B3454F" w14:textId="5E039470"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10" w:history="1">
        <w:r w:rsidR="001818DF" w:rsidRPr="002E0857">
          <w:rPr>
            <w:rStyle w:val="Hyperlink"/>
            <w:noProof/>
          </w:rPr>
          <w:t>Table 3.2.7</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Key categories for 1.A.4 </w:t>
        </w:r>
        <w:r w:rsidR="001818DF" w:rsidRPr="002E0857">
          <w:rPr>
            <w:rStyle w:val="Hyperlink"/>
            <w:i/>
            <w:iCs/>
            <w:noProof/>
            <w:lang w:eastAsia="en-GB"/>
          </w:rPr>
          <w:t>Other sectors</w:t>
        </w:r>
        <w:r w:rsidR="001818DF">
          <w:rPr>
            <w:noProof/>
            <w:webHidden/>
          </w:rPr>
          <w:tab/>
        </w:r>
        <w:r w:rsidR="001818DF">
          <w:rPr>
            <w:noProof/>
            <w:webHidden/>
          </w:rPr>
          <w:fldChar w:fldCharType="begin"/>
        </w:r>
        <w:r w:rsidR="001818DF">
          <w:rPr>
            <w:noProof/>
            <w:webHidden/>
          </w:rPr>
          <w:instrText xml:space="preserve"> PAGEREF _Toc164153810 \h </w:instrText>
        </w:r>
        <w:r w:rsidR="001818DF">
          <w:rPr>
            <w:noProof/>
            <w:webHidden/>
          </w:rPr>
        </w:r>
        <w:r w:rsidR="001818DF">
          <w:rPr>
            <w:noProof/>
            <w:webHidden/>
          </w:rPr>
          <w:fldChar w:fldCharType="separate"/>
        </w:r>
        <w:r w:rsidR="009E4901">
          <w:rPr>
            <w:noProof/>
            <w:webHidden/>
          </w:rPr>
          <w:t>92</w:t>
        </w:r>
        <w:r w:rsidR="001818DF">
          <w:rPr>
            <w:noProof/>
            <w:webHidden/>
          </w:rPr>
          <w:fldChar w:fldCharType="end"/>
        </w:r>
      </w:hyperlink>
    </w:p>
    <w:p w14:paraId="6676D398" w14:textId="3E76BE86"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11" w:history="1">
        <w:r w:rsidR="001818DF" w:rsidRPr="002E0857">
          <w:rPr>
            <w:rStyle w:val="Hyperlink"/>
            <w:noProof/>
          </w:rPr>
          <w:t xml:space="preserve">Table 3.2.8 </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Split of fuel oil activity for ‘other primary industry’</w:t>
        </w:r>
        <w:r w:rsidR="001818DF">
          <w:rPr>
            <w:noProof/>
            <w:webHidden/>
          </w:rPr>
          <w:tab/>
        </w:r>
        <w:r w:rsidR="001818DF">
          <w:rPr>
            <w:noProof/>
            <w:webHidden/>
          </w:rPr>
          <w:fldChar w:fldCharType="begin"/>
        </w:r>
        <w:r w:rsidR="001818DF">
          <w:rPr>
            <w:noProof/>
            <w:webHidden/>
          </w:rPr>
          <w:instrText xml:space="preserve"> PAGEREF _Toc164153811 \h </w:instrText>
        </w:r>
        <w:r w:rsidR="001818DF">
          <w:rPr>
            <w:noProof/>
            <w:webHidden/>
          </w:rPr>
        </w:r>
        <w:r w:rsidR="001818DF">
          <w:rPr>
            <w:noProof/>
            <w:webHidden/>
          </w:rPr>
          <w:fldChar w:fldCharType="separate"/>
        </w:r>
        <w:r w:rsidR="009E4901">
          <w:rPr>
            <w:noProof/>
            <w:webHidden/>
          </w:rPr>
          <w:t>92</w:t>
        </w:r>
        <w:r w:rsidR="001818DF">
          <w:rPr>
            <w:noProof/>
            <w:webHidden/>
          </w:rPr>
          <w:fldChar w:fldCharType="end"/>
        </w:r>
      </w:hyperlink>
    </w:p>
    <w:p w14:paraId="77A05DA2" w14:textId="4E740070"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12" w:history="1">
        <w:r w:rsidR="001818DF" w:rsidRPr="002E0857">
          <w:rPr>
            <w:rStyle w:val="Hyperlink"/>
            <w:noProof/>
          </w:rPr>
          <w:t>Table 3.3.1</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Key categories for 1.B </w:t>
        </w:r>
        <w:r w:rsidR="001818DF" w:rsidRPr="002E0857">
          <w:rPr>
            <w:rStyle w:val="Hyperlink"/>
            <w:i/>
            <w:iCs/>
            <w:noProof/>
          </w:rPr>
          <w:t>Fugitive emissions</w:t>
        </w:r>
        <w:r w:rsidR="001818DF">
          <w:rPr>
            <w:noProof/>
            <w:webHidden/>
          </w:rPr>
          <w:tab/>
        </w:r>
        <w:r w:rsidR="001818DF">
          <w:rPr>
            <w:noProof/>
            <w:webHidden/>
          </w:rPr>
          <w:fldChar w:fldCharType="begin"/>
        </w:r>
        <w:r w:rsidR="001818DF">
          <w:rPr>
            <w:noProof/>
            <w:webHidden/>
          </w:rPr>
          <w:instrText xml:space="preserve"> PAGEREF _Toc164153812 \h </w:instrText>
        </w:r>
        <w:r w:rsidR="001818DF">
          <w:rPr>
            <w:noProof/>
            <w:webHidden/>
          </w:rPr>
        </w:r>
        <w:r w:rsidR="001818DF">
          <w:rPr>
            <w:noProof/>
            <w:webHidden/>
          </w:rPr>
          <w:fldChar w:fldCharType="separate"/>
        </w:r>
        <w:r w:rsidR="009E4901">
          <w:rPr>
            <w:noProof/>
            <w:webHidden/>
          </w:rPr>
          <w:t>94</w:t>
        </w:r>
        <w:r w:rsidR="001818DF">
          <w:rPr>
            <w:noProof/>
            <w:webHidden/>
          </w:rPr>
          <w:fldChar w:fldCharType="end"/>
        </w:r>
      </w:hyperlink>
    </w:p>
    <w:p w14:paraId="5E3513E0" w14:textId="1B9CBD55"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13" w:history="1">
        <w:r w:rsidR="001818DF" w:rsidRPr="002E0857">
          <w:rPr>
            <w:rStyle w:val="Hyperlink"/>
            <w:rFonts w:cs="Calibri"/>
            <w:noProof/>
          </w:rPr>
          <w:t xml:space="preserve">Table 3.3.2 </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rFonts w:cs="Calibri"/>
            <w:noProof/>
          </w:rPr>
          <w:t>Details of abandoned underground mines in the North Island</w:t>
        </w:r>
        <w:r w:rsidR="001818DF">
          <w:rPr>
            <w:noProof/>
            <w:webHidden/>
          </w:rPr>
          <w:tab/>
        </w:r>
        <w:r w:rsidR="001818DF">
          <w:rPr>
            <w:noProof/>
            <w:webHidden/>
          </w:rPr>
          <w:fldChar w:fldCharType="begin"/>
        </w:r>
        <w:r w:rsidR="001818DF">
          <w:rPr>
            <w:noProof/>
            <w:webHidden/>
          </w:rPr>
          <w:instrText xml:space="preserve"> PAGEREF _Toc164153813 \h </w:instrText>
        </w:r>
        <w:r w:rsidR="001818DF">
          <w:rPr>
            <w:noProof/>
            <w:webHidden/>
          </w:rPr>
        </w:r>
        <w:r w:rsidR="001818DF">
          <w:rPr>
            <w:noProof/>
            <w:webHidden/>
          </w:rPr>
          <w:fldChar w:fldCharType="separate"/>
        </w:r>
        <w:r w:rsidR="009E4901">
          <w:rPr>
            <w:noProof/>
            <w:webHidden/>
          </w:rPr>
          <w:t>96</w:t>
        </w:r>
        <w:r w:rsidR="001818DF">
          <w:rPr>
            <w:noProof/>
            <w:webHidden/>
          </w:rPr>
          <w:fldChar w:fldCharType="end"/>
        </w:r>
      </w:hyperlink>
    </w:p>
    <w:p w14:paraId="35485450" w14:textId="26182120"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14" w:history="1">
        <w:r w:rsidR="001818DF" w:rsidRPr="002E0857">
          <w:rPr>
            <w:rStyle w:val="Hyperlink"/>
            <w:noProof/>
          </w:rPr>
          <w:t xml:space="preserve">Table 4.1.1 </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New Zealand’s greenhouse gas emissions for the IPPU sector by category in 1990 and 2022</w:t>
        </w:r>
        <w:r w:rsidR="001818DF">
          <w:rPr>
            <w:noProof/>
            <w:webHidden/>
          </w:rPr>
          <w:tab/>
        </w:r>
        <w:r w:rsidR="001818DF">
          <w:rPr>
            <w:noProof/>
            <w:webHidden/>
          </w:rPr>
          <w:fldChar w:fldCharType="begin"/>
        </w:r>
        <w:r w:rsidR="001818DF">
          <w:rPr>
            <w:noProof/>
            <w:webHidden/>
          </w:rPr>
          <w:instrText xml:space="preserve"> PAGEREF _Toc164153814 \h </w:instrText>
        </w:r>
        <w:r w:rsidR="001818DF">
          <w:rPr>
            <w:noProof/>
            <w:webHidden/>
          </w:rPr>
        </w:r>
        <w:r w:rsidR="001818DF">
          <w:rPr>
            <w:noProof/>
            <w:webHidden/>
          </w:rPr>
          <w:fldChar w:fldCharType="separate"/>
        </w:r>
        <w:r w:rsidR="009E4901">
          <w:rPr>
            <w:noProof/>
            <w:webHidden/>
          </w:rPr>
          <w:t>108</w:t>
        </w:r>
        <w:r w:rsidR="001818DF">
          <w:rPr>
            <w:noProof/>
            <w:webHidden/>
          </w:rPr>
          <w:fldChar w:fldCharType="end"/>
        </w:r>
      </w:hyperlink>
    </w:p>
    <w:p w14:paraId="32D75608" w14:textId="6310320B"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15" w:history="1">
        <w:r w:rsidR="001818DF" w:rsidRPr="002E0857">
          <w:rPr>
            <w:rStyle w:val="Hyperlink"/>
            <w:noProof/>
          </w:rPr>
          <w:t xml:space="preserve">Table 4.1.2 </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Key categories in the IPPU sector</w:t>
        </w:r>
        <w:r w:rsidR="001818DF">
          <w:rPr>
            <w:noProof/>
            <w:webHidden/>
          </w:rPr>
          <w:tab/>
        </w:r>
        <w:r w:rsidR="001818DF">
          <w:rPr>
            <w:noProof/>
            <w:webHidden/>
          </w:rPr>
          <w:fldChar w:fldCharType="begin"/>
        </w:r>
        <w:r w:rsidR="001818DF">
          <w:rPr>
            <w:noProof/>
            <w:webHidden/>
          </w:rPr>
          <w:instrText xml:space="preserve"> PAGEREF _Toc164153815 \h </w:instrText>
        </w:r>
        <w:r w:rsidR="001818DF">
          <w:rPr>
            <w:noProof/>
            <w:webHidden/>
          </w:rPr>
        </w:r>
        <w:r w:rsidR="001818DF">
          <w:rPr>
            <w:noProof/>
            <w:webHidden/>
          </w:rPr>
          <w:fldChar w:fldCharType="separate"/>
        </w:r>
        <w:r w:rsidR="009E4901">
          <w:rPr>
            <w:noProof/>
            <w:webHidden/>
          </w:rPr>
          <w:t>109</w:t>
        </w:r>
        <w:r w:rsidR="001818DF">
          <w:rPr>
            <w:noProof/>
            <w:webHidden/>
          </w:rPr>
          <w:fldChar w:fldCharType="end"/>
        </w:r>
      </w:hyperlink>
    </w:p>
    <w:p w14:paraId="0A0C4A00" w14:textId="259252E0"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16" w:history="1">
        <w:r w:rsidR="001818DF" w:rsidRPr="002E0857">
          <w:rPr>
            <w:rStyle w:val="Hyperlink"/>
            <w:noProof/>
          </w:rPr>
          <w:t>Table 4.2.1</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Uncertainty in emissions from mineral products</w:t>
        </w:r>
        <w:r w:rsidR="001818DF">
          <w:rPr>
            <w:noProof/>
            <w:webHidden/>
          </w:rPr>
          <w:tab/>
        </w:r>
        <w:r w:rsidR="001818DF">
          <w:rPr>
            <w:noProof/>
            <w:webHidden/>
          </w:rPr>
          <w:fldChar w:fldCharType="begin"/>
        </w:r>
        <w:r w:rsidR="001818DF">
          <w:rPr>
            <w:noProof/>
            <w:webHidden/>
          </w:rPr>
          <w:instrText xml:space="preserve"> PAGEREF _Toc164153816 \h </w:instrText>
        </w:r>
        <w:r w:rsidR="001818DF">
          <w:rPr>
            <w:noProof/>
            <w:webHidden/>
          </w:rPr>
        </w:r>
        <w:r w:rsidR="001818DF">
          <w:rPr>
            <w:noProof/>
            <w:webHidden/>
          </w:rPr>
          <w:fldChar w:fldCharType="separate"/>
        </w:r>
        <w:r w:rsidR="009E4901">
          <w:rPr>
            <w:noProof/>
            <w:webHidden/>
          </w:rPr>
          <w:t>116</w:t>
        </w:r>
        <w:r w:rsidR="001818DF">
          <w:rPr>
            <w:noProof/>
            <w:webHidden/>
          </w:rPr>
          <w:fldChar w:fldCharType="end"/>
        </w:r>
      </w:hyperlink>
    </w:p>
    <w:p w14:paraId="147F945B" w14:textId="107770BA"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17" w:history="1">
        <w:r w:rsidR="001818DF" w:rsidRPr="002E0857">
          <w:rPr>
            <w:rStyle w:val="Hyperlink"/>
            <w:noProof/>
          </w:rPr>
          <w:t>Table 4.3.1</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Country-specific emission factors for indirect emissions</w:t>
        </w:r>
        <w:r w:rsidR="001818DF">
          <w:rPr>
            <w:noProof/>
            <w:webHidden/>
          </w:rPr>
          <w:tab/>
        </w:r>
        <w:r w:rsidR="001818DF">
          <w:rPr>
            <w:noProof/>
            <w:webHidden/>
          </w:rPr>
          <w:fldChar w:fldCharType="begin"/>
        </w:r>
        <w:r w:rsidR="001818DF">
          <w:rPr>
            <w:noProof/>
            <w:webHidden/>
          </w:rPr>
          <w:instrText xml:space="preserve"> PAGEREF _Toc164153817 \h </w:instrText>
        </w:r>
        <w:r w:rsidR="001818DF">
          <w:rPr>
            <w:noProof/>
            <w:webHidden/>
          </w:rPr>
        </w:r>
        <w:r w:rsidR="001818DF">
          <w:rPr>
            <w:noProof/>
            <w:webHidden/>
          </w:rPr>
          <w:fldChar w:fldCharType="separate"/>
        </w:r>
        <w:r w:rsidR="009E4901">
          <w:rPr>
            <w:noProof/>
            <w:webHidden/>
          </w:rPr>
          <w:t>119</w:t>
        </w:r>
        <w:r w:rsidR="001818DF">
          <w:rPr>
            <w:noProof/>
            <w:webHidden/>
          </w:rPr>
          <w:fldChar w:fldCharType="end"/>
        </w:r>
      </w:hyperlink>
    </w:p>
    <w:p w14:paraId="7D6B1CEE" w14:textId="2DB84B22"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18" w:history="1">
        <w:r w:rsidR="001818DF" w:rsidRPr="002E0857">
          <w:rPr>
            <w:rStyle w:val="Hyperlink"/>
            <w:noProof/>
          </w:rPr>
          <w:t>Table 4.3.2</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Uncertainty in emissions from the </w:t>
        </w:r>
        <w:r w:rsidR="001818DF" w:rsidRPr="002E0857">
          <w:rPr>
            <w:rStyle w:val="Hyperlink"/>
            <w:i/>
            <w:noProof/>
          </w:rPr>
          <w:t>Chemical industry</w:t>
        </w:r>
        <w:r w:rsidR="001818DF" w:rsidRPr="002E0857">
          <w:rPr>
            <w:rStyle w:val="Hyperlink"/>
            <w:noProof/>
          </w:rPr>
          <w:t xml:space="preserve"> category</w:t>
        </w:r>
        <w:r w:rsidR="001818DF">
          <w:rPr>
            <w:noProof/>
            <w:webHidden/>
          </w:rPr>
          <w:tab/>
        </w:r>
        <w:r w:rsidR="001818DF">
          <w:rPr>
            <w:noProof/>
            <w:webHidden/>
          </w:rPr>
          <w:fldChar w:fldCharType="begin"/>
        </w:r>
        <w:r w:rsidR="001818DF">
          <w:rPr>
            <w:noProof/>
            <w:webHidden/>
          </w:rPr>
          <w:instrText xml:space="preserve"> PAGEREF _Toc164153818 \h </w:instrText>
        </w:r>
        <w:r w:rsidR="001818DF">
          <w:rPr>
            <w:noProof/>
            <w:webHidden/>
          </w:rPr>
        </w:r>
        <w:r w:rsidR="001818DF">
          <w:rPr>
            <w:noProof/>
            <w:webHidden/>
          </w:rPr>
          <w:fldChar w:fldCharType="separate"/>
        </w:r>
        <w:r w:rsidR="009E4901">
          <w:rPr>
            <w:noProof/>
            <w:webHidden/>
          </w:rPr>
          <w:t>120</w:t>
        </w:r>
        <w:r w:rsidR="001818DF">
          <w:rPr>
            <w:noProof/>
            <w:webHidden/>
          </w:rPr>
          <w:fldChar w:fldCharType="end"/>
        </w:r>
      </w:hyperlink>
    </w:p>
    <w:p w14:paraId="1141C74E" w14:textId="7FE56C87"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19" w:history="1">
        <w:r w:rsidR="001818DF" w:rsidRPr="002E0857">
          <w:rPr>
            <w:rStyle w:val="Hyperlink"/>
            <w:noProof/>
          </w:rPr>
          <w:t>Table 4.4.1</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Typical analysis from New Zealand Steel Limited of the primary concentrate (provided by New Zealand Steel Limited)</w:t>
        </w:r>
        <w:r w:rsidR="001818DF">
          <w:rPr>
            <w:noProof/>
            <w:webHidden/>
          </w:rPr>
          <w:tab/>
        </w:r>
        <w:r w:rsidR="001818DF">
          <w:rPr>
            <w:noProof/>
            <w:webHidden/>
          </w:rPr>
          <w:fldChar w:fldCharType="begin"/>
        </w:r>
        <w:r w:rsidR="001818DF">
          <w:rPr>
            <w:noProof/>
            <w:webHidden/>
          </w:rPr>
          <w:instrText xml:space="preserve"> PAGEREF _Toc164153819 \h </w:instrText>
        </w:r>
        <w:r w:rsidR="001818DF">
          <w:rPr>
            <w:noProof/>
            <w:webHidden/>
          </w:rPr>
        </w:r>
        <w:r w:rsidR="001818DF">
          <w:rPr>
            <w:noProof/>
            <w:webHidden/>
          </w:rPr>
          <w:fldChar w:fldCharType="separate"/>
        </w:r>
        <w:r w:rsidR="009E4901">
          <w:rPr>
            <w:noProof/>
            <w:webHidden/>
          </w:rPr>
          <w:t>122</w:t>
        </w:r>
        <w:r w:rsidR="001818DF">
          <w:rPr>
            <w:noProof/>
            <w:webHidden/>
          </w:rPr>
          <w:fldChar w:fldCharType="end"/>
        </w:r>
      </w:hyperlink>
    </w:p>
    <w:p w14:paraId="2387C418" w14:textId="442784E0"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20" w:history="1">
        <w:r w:rsidR="001818DF" w:rsidRPr="002E0857">
          <w:rPr>
            <w:rStyle w:val="Hyperlink"/>
            <w:noProof/>
          </w:rPr>
          <w:t>Table 4.4.2</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Uncertainty in emissions from the metal industry</w:t>
        </w:r>
        <w:r w:rsidR="001818DF">
          <w:rPr>
            <w:noProof/>
            <w:webHidden/>
          </w:rPr>
          <w:tab/>
        </w:r>
        <w:r w:rsidR="001818DF">
          <w:rPr>
            <w:noProof/>
            <w:webHidden/>
          </w:rPr>
          <w:fldChar w:fldCharType="begin"/>
        </w:r>
        <w:r w:rsidR="001818DF">
          <w:rPr>
            <w:noProof/>
            <w:webHidden/>
          </w:rPr>
          <w:instrText xml:space="preserve"> PAGEREF _Toc164153820 \h </w:instrText>
        </w:r>
        <w:r w:rsidR="001818DF">
          <w:rPr>
            <w:noProof/>
            <w:webHidden/>
          </w:rPr>
        </w:r>
        <w:r w:rsidR="001818DF">
          <w:rPr>
            <w:noProof/>
            <w:webHidden/>
          </w:rPr>
          <w:fldChar w:fldCharType="separate"/>
        </w:r>
        <w:r w:rsidR="009E4901">
          <w:rPr>
            <w:noProof/>
            <w:webHidden/>
          </w:rPr>
          <w:t>125</w:t>
        </w:r>
        <w:r w:rsidR="001818DF">
          <w:rPr>
            <w:noProof/>
            <w:webHidden/>
          </w:rPr>
          <w:fldChar w:fldCharType="end"/>
        </w:r>
      </w:hyperlink>
    </w:p>
    <w:p w14:paraId="2A7A8E82" w14:textId="0B5FA65F"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21" w:history="1">
        <w:r w:rsidR="001818DF" w:rsidRPr="002E0857">
          <w:rPr>
            <w:rStyle w:val="Hyperlink"/>
            <w:noProof/>
          </w:rPr>
          <w:t>Table 4.4.3</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Explanation of variations in New Zealand’s aluminium emissions</w:t>
        </w:r>
        <w:r w:rsidR="001818DF">
          <w:rPr>
            <w:noProof/>
            <w:webHidden/>
          </w:rPr>
          <w:tab/>
        </w:r>
        <w:r w:rsidR="001818DF">
          <w:rPr>
            <w:noProof/>
            <w:webHidden/>
          </w:rPr>
          <w:fldChar w:fldCharType="begin"/>
        </w:r>
        <w:r w:rsidR="001818DF">
          <w:rPr>
            <w:noProof/>
            <w:webHidden/>
          </w:rPr>
          <w:instrText xml:space="preserve"> PAGEREF _Toc164153821 \h </w:instrText>
        </w:r>
        <w:r w:rsidR="001818DF">
          <w:rPr>
            <w:noProof/>
            <w:webHidden/>
          </w:rPr>
        </w:r>
        <w:r w:rsidR="001818DF">
          <w:rPr>
            <w:noProof/>
            <w:webHidden/>
          </w:rPr>
          <w:fldChar w:fldCharType="separate"/>
        </w:r>
        <w:r w:rsidR="009E4901">
          <w:rPr>
            <w:noProof/>
            <w:webHidden/>
          </w:rPr>
          <w:t>126</w:t>
        </w:r>
        <w:r w:rsidR="001818DF">
          <w:rPr>
            <w:noProof/>
            <w:webHidden/>
          </w:rPr>
          <w:fldChar w:fldCharType="end"/>
        </w:r>
      </w:hyperlink>
    </w:p>
    <w:p w14:paraId="3AB9D723" w14:textId="57DDD2F0"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22" w:history="1">
        <w:r w:rsidR="001818DF" w:rsidRPr="002E0857">
          <w:rPr>
            <w:rStyle w:val="Hyperlink"/>
            <w:noProof/>
          </w:rPr>
          <w:t xml:space="preserve">Table 4.5.1 </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Calculation of NMVOC emissions from road paving</w:t>
        </w:r>
        <w:r w:rsidR="001818DF">
          <w:rPr>
            <w:noProof/>
            <w:webHidden/>
          </w:rPr>
          <w:tab/>
        </w:r>
        <w:r w:rsidR="001818DF">
          <w:rPr>
            <w:noProof/>
            <w:webHidden/>
          </w:rPr>
          <w:fldChar w:fldCharType="begin"/>
        </w:r>
        <w:r w:rsidR="001818DF">
          <w:rPr>
            <w:noProof/>
            <w:webHidden/>
          </w:rPr>
          <w:instrText xml:space="preserve"> PAGEREF _Toc164153822 \h </w:instrText>
        </w:r>
        <w:r w:rsidR="001818DF">
          <w:rPr>
            <w:noProof/>
            <w:webHidden/>
          </w:rPr>
        </w:r>
        <w:r w:rsidR="001818DF">
          <w:rPr>
            <w:noProof/>
            <w:webHidden/>
          </w:rPr>
          <w:fldChar w:fldCharType="separate"/>
        </w:r>
        <w:r w:rsidR="009E4901">
          <w:rPr>
            <w:noProof/>
            <w:webHidden/>
          </w:rPr>
          <w:t>128</w:t>
        </w:r>
        <w:r w:rsidR="001818DF">
          <w:rPr>
            <w:noProof/>
            <w:webHidden/>
          </w:rPr>
          <w:fldChar w:fldCharType="end"/>
        </w:r>
      </w:hyperlink>
    </w:p>
    <w:p w14:paraId="067F1F41" w14:textId="298532E8"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23" w:history="1">
        <w:r w:rsidR="001818DF" w:rsidRPr="002E0857">
          <w:rPr>
            <w:rStyle w:val="Hyperlink"/>
            <w:noProof/>
          </w:rPr>
          <w:t xml:space="preserve">Table 4.5.2 </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Fraction of bitumen in road paving material</w:t>
        </w:r>
        <w:r w:rsidR="001818DF">
          <w:rPr>
            <w:noProof/>
            <w:webHidden/>
          </w:rPr>
          <w:tab/>
        </w:r>
        <w:r w:rsidR="001818DF">
          <w:rPr>
            <w:noProof/>
            <w:webHidden/>
          </w:rPr>
          <w:fldChar w:fldCharType="begin"/>
        </w:r>
        <w:r w:rsidR="001818DF">
          <w:rPr>
            <w:noProof/>
            <w:webHidden/>
          </w:rPr>
          <w:instrText xml:space="preserve"> PAGEREF _Toc164153823 \h </w:instrText>
        </w:r>
        <w:r w:rsidR="001818DF">
          <w:rPr>
            <w:noProof/>
            <w:webHidden/>
          </w:rPr>
        </w:r>
        <w:r w:rsidR="001818DF">
          <w:rPr>
            <w:noProof/>
            <w:webHidden/>
          </w:rPr>
          <w:fldChar w:fldCharType="separate"/>
        </w:r>
        <w:r w:rsidR="009E4901">
          <w:rPr>
            <w:noProof/>
            <w:webHidden/>
          </w:rPr>
          <w:t>128</w:t>
        </w:r>
        <w:r w:rsidR="001818DF">
          <w:rPr>
            <w:noProof/>
            <w:webHidden/>
          </w:rPr>
          <w:fldChar w:fldCharType="end"/>
        </w:r>
      </w:hyperlink>
    </w:p>
    <w:p w14:paraId="55DEA34E" w14:textId="48B2318E"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24" w:history="1">
        <w:r w:rsidR="001818DF" w:rsidRPr="002E0857">
          <w:rPr>
            <w:rStyle w:val="Hyperlink"/>
            <w:noProof/>
          </w:rPr>
          <w:t>Table 4.5.3</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Uncertainty in emissions in non-energy products from fuels and solvent use</w:t>
        </w:r>
        <w:r w:rsidR="001818DF">
          <w:rPr>
            <w:noProof/>
            <w:webHidden/>
          </w:rPr>
          <w:tab/>
        </w:r>
        <w:r w:rsidR="001818DF">
          <w:rPr>
            <w:noProof/>
            <w:webHidden/>
          </w:rPr>
          <w:fldChar w:fldCharType="begin"/>
        </w:r>
        <w:r w:rsidR="001818DF">
          <w:rPr>
            <w:noProof/>
            <w:webHidden/>
          </w:rPr>
          <w:instrText xml:space="preserve"> PAGEREF _Toc164153824 \h </w:instrText>
        </w:r>
        <w:r w:rsidR="001818DF">
          <w:rPr>
            <w:noProof/>
            <w:webHidden/>
          </w:rPr>
        </w:r>
        <w:r w:rsidR="001818DF">
          <w:rPr>
            <w:noProof/>
            <w:webHidden/>
          </w:rPr>
          <w:fldChar w:fldCharType="separate"/>
        </w:r>
        <w:r w:rsidR="009E4901">
          <w:rPr>
            <w:noProof/>
            <w:webHidden/>
          </w:rPr>
          <w:t>129</w:t>
        </w:r>
        <w:r w:rsidR="001818DF">
          <w:rPr>
            <w:noProof/>
            <w:webHidden/>
          </w:rPr>
          <w:fldChar w:fldCharType="end"/>
        </w:r>
      </w:hyperlink>
    </w:p>
    <w:p w14:paraId="592BC4FF" w14:textId="3B24FEC0"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25" w:history="1">
        <w:r w:rsidR="001818DF" w:rsidRPr="002E0857">
          <w:rPr>
            <w:rStyle w:val="Hyperlink"/>
            <w:noProof/>
          </w:rPr>
          <w:t>Table 4.7.1</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Average charge of HFC-134a in mobile air conditioners, 2009</w:t>
        </w:r>
        <w:r w:rsidR="001818DF">
          <w:rPr>
            <w:noProof/>
            <w:webHidden/>
          </w:rPr>
          <w:tab/>
        </w:r>
        <w:r w:rsidR="001818DF">
          <w:rPr>
            <w:noProof/>
            <w:webHidden/>
          </w:rPr>
          <w:fldChar w:fldCharType="begin"/>
        </w:r>
        <w:r w:rsidR="001818DF">
          <w:rPr>
            <w:noProof/>
            <w:webHidden/>
          </w:rPr>
          <w:instrText xml:space="preserve"> PAGEREF _Toc164153825 \h </w:instrText>
        </w:r>
        <w:r w:rsidR="001818DF">
          <w:rPr>
            <w:noProof/>
            <w:webHidden/>
          </w:rPr>
        </w:r>
        <w:r w:rsidR="001818DF">
          <w:rPr>
            <w:noProof/>
            <w:webHidden/>
          </w:rPr>
          <w:fldChar w:fldCharType="separate"/>
        </w:r>
        <w:r w:rsidR="009E4901">
          <w:rPr>
            <w:noProof/>
            <w:webHidden/>
          </w:rPr>
          <w:t>132</w:t>
        </w:r>
        <w:r w:rsidR="001818DF">
          <w:rPr>
            <w:noProof/>
            <w:webHidden/>
          </w:rPr>
          <w:fldChar w:fldCharType="end"/>
        </w:r>
      </w:hyperlink>
    </w:p>
    <w:p w14:paraId="7F31466C" w14:textId="665CBB52"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26" w:history="1">
        <w:r w:rsidR="001818DF" w:rsidRPr="002E0857">
          <w:rPr>
            <w:rStyle w:val="Hyperlink"/>
            <w:noProof/>
          </w:rPr>
          <w:t>Table 4.7.2</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Average emissions per dose in metered dose inhalers (milligrams)</w:t>
        </w:r>
        <w:r w:rsidR="001818DF">
          <w:rPr>
            <w:noProof/>
            <w:webHidden/>
          </w:rPr>
          <w:tab/>
        </w:r>
        <w:r w:rsidR="001818DF">
          <w:rPr>
            <w:noProof/>
            <w:webHidden/>
          </w:rPr>
          <w:fldChar w:fldCharType="begin"/>
        </w:r>
        <w:r w:rsidR="001818DF">
          <w:rPr>
            <w:noProof/>
            <w:webHidden/>
          </w:rPr>
          <w:instrText xml:space="preserve"> PAGEREF _Toc164153826 \h </w:instrText>
        </w:r>
        <w:r w:rsidR="001818DF">
          <w:rPr>
            <w:noProof/>
            <w:webHidden/>
          </w:rPr>
        </w:r>
        <w:r w:rsidR="001818DF">
          <w:rPr>
            <w:noProof/>
            <w:webHidden/>
          </w:rPr>
          <w:fldChar w:fldCharType="separate"/>
        </w:r>
        <w:r w:rsidR="009E4901">
          <w:rPr>
            <w:noProof/>
            <w:webHidden/>
          </w:rPr>
          <w:t>133</w:t>
        </w:r>
        <w:r w:rsidR="001818DF">
          <w:rPr>
            <w:noProof/>
            <w:webHidden/>
          </w:rPr>
          <w:fldChar w:fldCharType="end"/>
        </w:r>
      </w:hyperlink>
    </w:p>
    <w:p w14:paraId="20678AA2" w14:textId="0CAC0A3E"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27" w:history="1">
        <w:r w:rsidR="001818DF" w:rsidRPr="002E0857">
          <w:rPr>
            <w:rStyle w:val="Hyperlink"/>
            <w:noProof/>
          </w:rPr>
          <w:t>Table 4.7.3</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Summary of methodological tiers by sub-application</w:t>
        </w:r>
        <w:r w:rsidR="001818DF">
          <w:rPr>
            <w:noProof/>
            <w:webHidden/>
          </w:rPr>
          <w:tab/>
        </w:r>
        <w:r w:rsidR="001818DF">
          <w:rPr>
            <w:noProof/>
            <w:webHidden/>
          </w:rPr>
          <w:fldChar w:fldCharType="begin"/>
        </w:r>
        <w:r w:rsidR="001818DF">
          <w:rPr>
            <w:noProof/>
            <w:webHidden/>
          </w:rPr>
          <w:instrText xml:space="preserve"> PAGEREF _Toc164153827 \h </w:instrText>
        </w:r>
        <w:r w:rsidR="001818DF">
          <w:rPr>
            <w:noProof/>
            <w:webHidden/>
          </w:rPr>
        </w:r>
        <w:r w:rsidR="001818DF">
          <w:rPr>
            <w:noProof/>
            <w:webHidden/>
          </w:rPr>
          <w:fldChar w:fldCharType="separate"/>
        </w:r>
        <w:r w:rsidR="009E4901">
          <w:rPr>
            <w:noProof/>
            <w:webHidden/>
          </w:rPr>
          <w:t>135</w:t>
        </w:r>
        <w:r w:rsidR="001818DF">
          <w:rPr>
            <w:noProof/>
            <w:webHidden/>
          </w:rPr>
          <w:fldChar w:fldCharType="end"/>
        </w:r>
      </w:hyperlink>
    </w:p>
    <w:p w14:paraId="3F3E23D2" w14:textId="25364F04"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28" w:history="1">
        <w:r w:rsidR="001818DF" w:rsidRPr="002E0857">
          <w:rPr>
            <w:rStyle w:val="Hyperlink"/>
            <w:noProof/>
          </w:rPr>
          <w:t xml:space="preserve">Table 4.7.4 </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New Zealand’s uncertainties in product uses as substitutes for ozone depleting substances</w:t>
        </w:r>
        <w:r w:rsidR="001818DF">
          <w:rPr>
            <w:noProof/>
            <w:webHidden/>
          </w:rPr>
          <w:tab/>
        </w:r>
        <w:r w:rsidR="001818DF">
          <w:rPr>
            <w:noProof/>
            <w:webHidden/>
          </w:rPr>
          <w:fldChar w:fldCharType="begin"/>
        </w:r>
        <w:r w:rsidR="001818DF">
          <w:rPr>
            <w:noProof/>
            <w:webHidden/>
          </w:rPr>
          <w:instrText xml:space="preserve"> PAGEREF _Toc164153828 \h </w:instrText>
        </w:r>
        <w:r w:rsidR="001818DF">
          <w:rPr>
            <w:noProof/>
            <w:webHidden/>
          </w:rPr>
        </w:r>
        <w:r w:rsidR="001818DF">
          <w:rPr>
            <w:noProof/>
            <w:webHidden/>
          </w:rPr>
          <w:fldChar w:fldCharType="separate"/>
        </w:r>
        <w:r w:rsidR="009E4901">
          <w:rPr>
            <w:noProof/>
            <w:webHidden/>
          </w:rPr>
          <w:t>137</w:t>
        </w:r>
        <w:r w:rsidR="001818DF">
          <w:rPr>
            <w:noProof/>
            <w:webHidden/>
          </w:rPr>
          <w:fldChar w:fldCharType="end"/>
        </w:r>
      </w:hyperlink>
    </w:p>
    <w:p w14:paraId="4DF10741" w14:textId="2A6951F1"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29" w:history="1">
        <w:r w:rsidR="001818DF" w:rsidRPr="002E0857">
          <w:rPr>
            <w:rStyle w:val="Hyperlink"/>
            <w:noProof/>
          </w:rPr>
          <w:t>Table 4.8.1</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Uncertainty in emissions from other product manufacture and use</w:t>
        </w:r>
        <w:r w:rsidR="001818DF">
          <w:rPr>
            <w:noProof/>
            <w:webHidden/>
          </w:rPr>
          <w:tab/>
        </w:r>
        <w:r w:rsidR="001818DF">
          <w:rPr>
            <w:noProof/>
            <w:webHidden/>
          </w:rPr>
          <w:fldChar w:fldCharType="begin"/>
        </w:r>
        <w:r w:rsidR="001818DF">
          <w:rPr>
            <w:noProof/>
            <w:webHidden/>
          </w:rPr>
          <w:instrText xml:space="preserve"> PAGEREF _Toc164153829 \h </w:instrText>
        </w:r>
        <w:r w:rsidR="001818DF">
          <w:rPr>
            <w:noProof/>
            <w:webHidden/>
          </w:rPr>
        </w:r>
        <w:r w:rsidR="001818DF">
          <w:rPr>
            <w:noProof/>
            <w:webHidden/>
          </w:rPr>
          <w:fldChar w:fldCharType="separate"/>
        </w:r>
        <w:r w:rsidR="009E4901">
          <w:rPr>
            <w:noProof/>
            <w:webHidden/>
          </w:rPr>
          <w:t>141</w:t>
        </w:r>
        <w:r w:rsidR="001818DF">
          <w:rPr>
            <w:noProof/>
            <w:webHidden/>
          </w:rPr>
          <w:fldChar w:fldCharType="end"/>
        </w:r>
      </w:hyperlink>
    </w:p>
    <w:p w14:paraId="32B02BE5" w14:textId="3D3B1FEE"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30" w:history="1">
        <w:r w:rsidR="001818DF" w:rsidRPr="002E0857">
          <w:rPr>
            <w:rStyle w:val="Hyperlink"/>
            <w:rFonts w:cs="Calibri"/>
            <w:noProof/>
          </w:rPr>
          <w:t xml:space="preserve">Table 5.1.1 </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rFonts w:cs="Calibri"/>
            <w:noProof/>
          </w:rPr>
          <w:t xml:space="preserve">Trends and relative contribution of </w:t>
        </w:r>
        <w:r w:rsidR="001818DF" w:rsidRPr="002E0857">
          <w:rPr>
            <w:rStyle w:val="Hyperlink"/>
            <w:noProof/>
          </w:rPr>
          <w:t>New Zealand’s</w:t>
        </w:r>
        <w:r w:rsidR="001818DF" w:rsidRPr="002E0857">
          <w:rPr>
            <w:rStyle w:val="Hyperlink"/>
            <w:rFonts w:cs="Calibri"/>
            <w:noProof/>
          </w:rPr>
          <w:t xml:space="preserve"> agricultural greenhouse gas emissions by category between 1990 and 2022</w:t>
        </w:r>
        <w:r w:rsidR="001818DF">
          <w:rPr>
            <w:noProof/>
            <w:webHidden/>
          </w:rPr>
          <w:tab/>
        </w:r>
        <w:r w:rsidR="001818DF">
          <w:rPr>
            <w:noProof/>
            <w:webHidden/>
          </w:rPr>
          <w:fldChar w:fldCharType="begin"/>
        </w:r>
        <w:r w:rsidR="001818DF">
          <w:rPr>
            <w:noProof/>
            <w:webHidden/>
          </w:rPr>
          <w:instrText xml:space="preserve"> PAGEREF _Toc164153830 \h </w:instrText>
        </w:r>
        <w:r w:rsidR="001818DF">
          <w:rPr>
            <w:noProof/>
            <w:webHidden/>
          </w:rPr>
        </w:r>
        <w:r w:rsidR="001818DF">
          <w:rPr>
            <w:noProof/>
            <w:webHidden/>
          </w:rPr>
          <w:fldChar w:fldCharType="separate"/>
        </w:r>
        <w:r w:rsidR="009E4901">
          <w:rPr>
            <w:noProof/>
            <w:webHidden/>
          </w:rPr>
          <w:t>143</w:t>
        </w:r>
        <w:r w:rsidR="001818DF">
          <w:rPr>
            <w:noProof/>
            <w:webHidden/>
          </w:rPr>
          <w:fldChar w:fldCharType="end"/>
        </w:r>
      </w:hyperlink>
    </w:p>
    <w:p w14:paraId="2B90BD85" w14:textId="0B2B54CD"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31" w:history="1">
        <w:r w:rsidR="001818DF" w:rsidRPr="002E0857">
          <w:rPr>
            <w:rStyle w:val="Hyperlink"/>
            <w:noProof/>
          </w:rPr>
          <w:t xml:space="preserve">Table 5.1.2 </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Key categories in the Agriculture sector</w:t>
        </w:r>
        <w:r w:rsidR="001818DF">
          <w:rPr>
            <w:noProof/>
            <w:webHidden/>
          </w:rPr>
          <w:tab/>
        </w:r>
        <w:r w:rsidR="001818DF">
          <w:rPr>
            <w:noProof/>
            <w:webHidden/>
          </w:rPr>
          <w:fldChar w:fldCharType="begin"/>
        </w:r>
        <w:r w:rsidR="001818DF">
          <w:rPr>
            <w:noProof/>
            <w:webHidden/>
          </w:rPr>
          <w:instrText xml:space="preserve"> PAGEREF _Toc164153831 \h </w:instrText>
        </w:r>
        <w:r w:rsidR="001818DF">
          <w:rPr>
            <w:noProof/>
            <w:webHidden/>
          </w:rPr>
        </w:r>
        <w:r w:rsidR="001818DF">
          <w:rPr>
            <w:noProof/>
            <w:webHidden/>
          </w:rPr>
          <w:fldChar w:fldCharType="separate"/>
        </w:r>
        <w:r w:rsidR="009E4901">
          <w:rPr>
            <w:noProof/>
            <w:webHidden/>
          </w:rPr>
          <w:t>149</w:t>
        </w:r>
        <w:r w:rsidR="001818DF">
          <w:rPr>
            <w:noProof/>
            <w:webHidden/>
          </w:rPr>
          <w:fldChar w:fldCharType="end"/>
        </w:r>
      </w:hyperlink>
    </w:p>
    <w:p w14:paraId="6AC35C2C" w14:textId="5AD38416"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32" w:history="1">
        <w:r w:rsidR="001818DF" w:rsidRPr="002E0857">
          <w:rPr>
            <w:rStyle w:val="Hyperlink"/>
            <w:rFonts w:cs="Calibri"/>
            <w:noProof/>
          </w:rPr>
          <w:t xml:space="preserve">Table 5.1.3 </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rFonts w:cs="Calibri"/>
            <w:noProof/>
          </w:rPr>
          <w:t>Methods and emission factors in the Agriculture sector</w:t>
        </w:r>
        <w:r w:rsidR="001818DF">
          <w:rPr>
            <w:noProof/>
            <w:webHidden/>
          </w:rPr>
          <w:tab/>
        </w:r>
        <w:r w:rsidR="001818DF">
          <w:rPr>
            <w:noProof/>
            <w:webHidden/>
          </w:rPr>
          <w:fldChar w:fldCharType="begin"/>
        </w:r>
        <w:r w:rsidR="001818DF">
          <w:rPr>
            <w:noProof/>
            <w:webHidden/>
          </w:rPr>
          <w:instrText xml:space="preserve"> PAGEREF _Toc164153832 \h </w:instrText>
        </w:r>
        <w:r w:rsidR="001818DF">
          <w:rPr>
            <w:noProof/>
            <w:webHidden/>
          </w:rPr>
        </w:r>
        <w:r w:rsidR="001818DF">
          <w:rPr>
            <w:noProof/>
            <w:webHidden/>
          </w:rPr>
          <w:fldChar w:fldCharType="separate"/>
        </w:r>
        <w:r w:rsidR="009E4901">
          <w:rPr>
            <w:noProof/>
            <w:webHidden/>
          </w:rPr>
          <w:t>150</w:t>
        </w:r>
        <w:r w:rsidR="001818DF">
          <w:rPr>
            <w:noProof/>
            <w:webHidden/>
          </w:rPr>
          <w:fldChar w:fldCharType="end"/>
        </w:r>
      </w:hyperlink>
    </w:p>
    <w:p w14:paraId="63B4016A" w14:textId="49DB1461"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33" w:history="1">
        <w:r w:rsidR="001818DF" w:rsidRPr="002E0857">
          <w:rPr>
            <w:rStyle w:val="Hyperlink"/>
            <w:noProof/>
          </w:rPr>
          <w:t xml:space="preserve">Table 5.1.4 </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Agriculture sectoral approval process for inventory recalculations and improvements</w:t>
        </w:r>
        <w:r w:rsidR="001818DF">
          <w:rPr>
            <w:noProof/>
            <w:webHidden/>
          </w:rPr>
          <w:tab/>
        </w:r>
        <w:r w:rsidR="001818DF">
          <w:rPr>
            <w:noProof/>
            <w:webHidden/>
          </w:rPr>
          <w:fldChar w:fldCharType="begin"/>
        </w:r>
        <w:r w:rsidR="001818DF">
          <w:rPr>
            <w:noProof/>
            <w:webHidden/>
          </w:rPr>
          <w:instrText xml:space="preserve"> PAGEREF _Toc164153833 \h </w:instrText>
        </w:r>
        <w:r w:rsidR="001818DF">
          <w:rPr>
            <w:noProof/>
            <w:webHidden/>
          </w:rPr>
        </w:r>
        <w:r w:rsidR="001818DF">
          <w:rPr>
            <w:noProof/>
            <w:webHidden/>
          </w:rPr>
          <w:fldChar w:fldCharType="separate"/>
        </w:r>
        <w:r w:rsidR="009E4901">
          <w:rPr>
            <w:noProof/>
            <w:webHidden/>
          </w:rPr>
          <w:t>165</w:t>
        </w:r>
        <w:r w:rsidR="001818DF">
          <w:rPr>
            <w:noProof/>
            <w:webHidden/>
          </w:rPr>
          <w:fldChar w:fldCharType="end"/>
        </w:r>
      </w:hyperlink>
    </w:p>
    <w:p w14:paraId="0BA71BE6" w14:textId="2B08811D"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34" w:history="1">
        <w:r w:rsidR="001818DF" w:rsidRPr="002E0857">
          <w:rPr>
            <w:rStyle w:val="Hyperlink"/>
            <w:rFonts w:cs="Calibri"/>
            <w:noProof/>
          </w:rPr>
          <w:t>Table 5.2.1</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rFonts w:cs="Calibri"/>
            <w:noProof/>
          </w:rPr>
          <w:t>Trends and relative contribution of enteric fermentation (methane expressed in kt CO</w:t>
        </w:r>
        <w:r w:rsidR="001818DF" w:rsidRPr="002E0857">
          <w:rPr>
            <w:rStyle w:val="Hyperlink"/>
            <w:rFonts w:cs="Calibri"/>
            <w:noProof/>
            <w:vertAlign w:val="subscript"/>
          </w:rPr>
          <w:t>2</w:t>
        </w:r>
        <w:r w:rsidR="001818DF" w:rsidRPr="002E0857">
          <w:rPr>
            <w:rStyle w:val="Hyperlink"/>
            <w:rFonts w:cs="Calibri"/>
            <w:noProof/>
          </w:rPr>
          <w:t>-e) from livestock categories between 1990 and 2022</w:t>
        </w:r>
        <w:r w:rsidR="001818DF">
          <w:rPr>
            <w:noProof/>
            <w:webHidden/>
          </w:rPr>
          <w:tab/>
        </w:r>
        <w:r w:rsidR="001818DF">
          <w:rPr>
            <w:noProof/>
            <w:webHidden/>
          </w:rPr>
          <w:fldChar w:fldCharType="begin"/>
        </w:r>
        <w:r w:rsidR="001818DF">
          <w:rPr>
            <w:noProof/>
            <w:webHidden/>
          </w:rPr>
          <w:instrText xml:space="preserve"> PAGEREF _Toc164153834 \h </w:instrText>
        </w:r>
        <w:r w:rsidR="001818DF">
          <w:rPr>
            <w:noProof/>
            <w:webHidden/>
          </w:rPr>
        </w:r>
        <w:r w:rsidR="001818DF">
          <w:rPr>
            <w:noProof/>
            <w:webHidden/>
          </w:rPr>
          <w:fldChar w:fldCharType="separate"/>
        </w:r>
        <w:r w:rsidR="009E4901">
          <w:rPr>
            <w:noProof/>
            <w:webHidden/>
          </w:rPr>
          <w:t>170</w:t>
        </w:r>
        <w:r w:rsidR="001818DF">
          <w:rPr>
            <w:noProof/>
            <w:webHidden/>
          </w:rPr>
          <w:fldChar w:fldCharType="end"/>
        </w:r>
      </w:hyperlink>
    </w:p>
    <w:p w14:paraId="24E5F89C" w14:textId="499A569F"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35" w:history="1">
        <w:r w:rsidR="001818DF" w:rsidRPr="002E0857">
          <w:rPr>
            <w:rStyle w:val="Hyperlink"/>
            <w:rFonts w:cs="Calibri"/>
            <w:noProof/>
          </w:rPr>
          <w:t>Table 5.2.2</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rFonts w:cs="Calibri"/>
            <w:noProof/>
          </w:rPr>
          <w:t>Methane (CH</w:t>
        </w:r>
        <w:r w:rsidR="001818DF" w:rsidRPr="002E0857">
          <w:rPr>
            <w:rStyle w:val="Hyperlink"/>
            <w:rFonts w:cs="Calibri"/>
            <w:noProof/>
            <w:vertAlign w:val="subscript"/>
          </w:rPr>
          <w:t>4</w:t>
        </w:r>
        <w:r w:rsidR="001818DF" w:rsidRPr="002E0857">
          <w:rPr>
            <w:rStyle w:val="Hyperlink"/>
            <w:rFonts w:cs="Calibri"/>
            <w:noProof/>
          </w:rPr>
          <w:t>) emissions and gross energy intake (GEI) from New Zealand measurements and IPCC (2006) default values</w:t>
        </w:r>
        <w:r w:rsidR="001818DF">
          <w:rPr>
            <w:noProof/>
            <w:webHidden/>
          </w:rPr>
          <w:tab/>
        </w:r>
        <w:r w:rsidR="001818DF">
          <w:rPr>
            <w:noProof/>
            <w:webHidden/>
          </w:rPr>
          <w:fldChar w:fldCharType="begin"/>
        </w:r>
        <w:r w:rsidR="001818DF">
          <w:rPr>
            <w:noProof/>
            <w:webHidden/>
          </w:rPr>
          <w:instrText xml:space="preserve"> PAGEREF _Toc164153835 \h </w:instrText>
        </w:r>
        <w:r w:rsidR="001818DF">
          <w:rPr>
            <w:noProof/>
            <w:webHidden/>
          </w:rPr>
        </w:r>
        <w:r w:rsidR="001818DF">
          <w:rPr>
            <w:noProof/>
            <w:webHidden/>
          </w:rPr>
          <w:fldChar w:fldCharType="separate"/>
        </w:r>
        <w:r w:rsidR="009E4901">
          <w:rPr>
            <w:noProof/>
            <w:webHidden/>
          </w:rPr>
          <w:t>173</w:t>
        </w:r>
        <w:r w:rsidR="001818DF">
          <w:rPr>
            <w:noProof/>
            <w:webHidden/>
          </w:rPr>
          <w:fldChar w:fldCharType="end"/>
        </w:r>
      </w:hyperlink>
    </w:p>
    <w:p w14:paraId="257F390A" w14:textId="4F548D0E"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36" w:history="1">
        <w:r w:rsidR="001818DF" w:rsidRPr="002E0857">
          <w:rPr>
            <w:rStyle w:val="Hyperlink"/>
            <w:rFonts w:cs="Calibri"/>
            <w:noProof/>
          </w:rPr>
          <w:t>Table 5.2.3</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New Zealand’s</w:t>
        </w:r>
        <w:r w:rsidR="001818DF" w:rsidRPr="002E0857">
          <w:rPr>
            <w:rStyle w:val="Hyperlink"/>
            <w:rFonts w:cs="Calibri"/>
            <w:noProof/>
          </w:rPr>
          <w:t xml:space="preserve"> implied emission factors for enteric fermentation, from 1990 to 2022</w:t>
        </w:r>
        <w:r w:rsidR="001818DF">
          <w:rPr>
            <w:noProof/>
            <w:webHidden/>
          </w:rPr>
          <w:tab/>
        </w:r>
        <w:r w:rsidR="001818DF">
          <w:rPr>
            <w:noProof/>
            <w:webHidden/>
          </w:rPr>
          <w:fldChar w:fldCharType="begin"/>
        </w:r>
        <w:r w:rsidR="001818DF">
          <w:rPr>
            <w:noProof/>
            <w:webHidden/>
          </w:rPr>
          <w:instrText xml:space="preserve"> PAGEREF _Toc164153836 \h </w:instrText>
        </w:r>
        <w:r w:rsidR="001818DF">
          <w:rPr>
            <w:noProof/>
            <w:webHidden/>
          </w:rPr>
        </w:r>
        <w:r w:rsidR="001818DF">
          <w:rPr>
            <w:noProof/>
            <w:webHidden/>
          </w:rPr>
          <w:fldChar w:fldCharType="separate"/>
        </w:r>
        <w:r w:rsidR="009E4901">
          <w:rPr>
            <w:noProof/>
            <w:webHidden/>
          </w:rPr>
          <w:t>173</w:t>
        </w:r>
        <w:r w:rsidR="001818DF">
          <w:rPr>
            <w:noProof/>
            <w:webHidden/>
          </w:rPr>
          <w:fldChar w:fldCharType="end"/>
        </w:r>
      </w:hyperlink>
    </w:p>
    <w:p w14:paraId="1CBBE93C" w14:textId="0F92F9F2"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37" w:history="1">
        <w:r w:rsidR="001818DF" w:rsidRPr="002E0857">
          <w:rPr>
            <w:rStyle w:val="Hyperlink"/>
            <w:rFonts w:cs="Calibri"/>
            <w:noProof/>
          </w:rPr>
          <w:t>Table 5.2.4</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New Zealand’s</w:t>
        </w:r>
        <w:r w:rsidR="001818DF" w:rsidRPr="002E0857">
          <w:rPr>
            <w:rStyle w:val="Hyperlink"/>
            <w:rFonts w:cs="Calibri"/>
            <w:noProof/>
          </w:rPr>
          <w:t xml:space="preserve"> uncertainty in the annual estimate of enteric fermentation emissions for 1990 and 2022, estimated using the 95 per cent confidence interval (±16 per cent)</w:t>
        </w:r>
        <w:r w:rsidR="001818DF">
          <w:rPr>
            <w:noProof/>
            <w:webHidden/>
          </w:rPr>
          <w:tab/>
        </w:r>
        <w:r w:rsidR="001818DF">
          <w:rPr>
            <w:noProof/>
            <w:webHidden/>
          </w:rPr>
          <w:fldChar w:fldCharType="begin"/>
        </w:r>
        <w:r w:rsidR="001818DF">
          <w:rPr>
            <w:noProof/>
            <w:webHidden/>
          </w:rPr>
          <w:instrText xml:space="preserve"> PAGEREF _Toc164153837 \h </w:instrText>
        </w:r>
        <w:r w:rsidR="001818DF">
          <w:rPr>
            <w:noProof/>
            <w:webHidden/>
          </w:rPr>
        </w:r>
        <w:r w:rsidR="001818DF">
          <w:rPr>
            <w:noProof/>
            <w:webHidden/>
          </w:rPr>
          <w:fldChar w:fldCharType="separate"/>
        </w:r>
        <w:r w:rsidR="009E4901">
          <w:rPr>
            <w:noProof/>
            <w:webHidden/>
          </w:rPr>
          <w:t>176</w:t>
        </w:r>
        <w:r w:rsidR="001818DF">
          <w:rPr>
            <w:noProof/>
            <w:webHidden/>
          </w:rPr>
          <w:fldChar w:fldCharType="end"/>
        </w:r>
      </w:hyperlink>
    </w:p>
    <w:p w14:paraId="6FEF69E7" w14:textId="457376DC"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38" w:history="1">
        <w:r w:rsidR="001818DF" w:rsidRPr="002E0857">
          <w:rPr>
            <w:rStyle w:val="Hyperlink"/>
            <w:rFonts w:cs="Calibri"/>
            <w:noProof/>
          </w:rPr>
          <w:t>Table 5.2.5</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rFonts w:cs="Calibri"/>
            <w:noProof/>
          </w:rPr>
          <w:t>Comparison of the IPCC (2006) default emission factor and country-specific implied emission factors (IEFs) for methane (CH</w:t>
        </w:r>
        <w:r w:rsidR="001818DF" w:rsidRPr="002E0857">
          <w:rPr>
            <w:rStyle w:val="Hyperlink"/>
            <w:rFonts w:cs="Calibri"/>
            <w:noProof/>
            <w:vertAlign w:val="subscript"/>
          </w:rPr>
          <w:t>4</w:t>
        </w:r>
        <w:r w:rsidR="001818DF" w:rsidRPr="002E0857">
          <w:rPr>
            <w:rStyle w:val="Hyperlink"/>
            <w:rFonts w:cs="Calibri"/>
            <w:noProof/>
          </w:rPr>
          <w:t xml:space="preserve">) from </w:t>
        </w:r>
        <w:r w:rsidR="001818DF" w:rsidRPr="002E0857">
          <w:rPr>
            <w:rStyle w:val="Hyperlink"/>
            <w:rFonts w:cs="Calibri"/>
            <w:i/>
            <w:iCs/>
            <w:noProof/>
          </w:rPr>
          <w:t>Enteric fermentation</w:t>
        </w:r>
        <w:r w:rsidR="001818DF" w:rsidRPr="002E0857">
          <w:rPr>
            <w:rStyle w:val="Hyperlink"/>
            <w:rFonts w:cs="Calibri"/>
            <w:noProof/>
          </w:rPr>
          <w:t xml:space="preserve"> for </w:t>
        </w:r>
        <w:r w:rsidR="001818DF" w:rsidRPr="002E0857">
          <w:rPr>
            <w:rStyle w:val="Hyperlink"/>
            <w:rFonts w:cs="Calibri"/>
            <w:i/>
            <w:iCs/>
            <w:noProof/>
          </w:rPr>
          <w:t>Dairy cattle</w:t>
        </w:r>
        <w:r w:rsidR="001818DF" w:rsidRPr="002E0857">
          <w:rPr>
            <w:rStyle w:val="Hyperlink"/>
            <w:rFonts w:cs="Calibri"/>
            <w:noProof/>
          </w:rPr>
          <w:t xml:space="preserve">, </w:t>
        </w:r>
        <w:r w:rsidR="001818DF" w:rsidRPr="002E0857">
          <w:rPr>
            <w:rStyle w:val="Hyperlink"/>
            <w:rFonts w:cs="Calibri"/>
            <w:i/>
            <w:iCs/>
            <w:noProof/>
          </w:rPr>
          <w:t>Non</w:t>
        </w:r>
        <w:r w:rsidR="001818DF" w:rsidRPr="002E0857">
          <w:rPr>
            <w:rStyle w:val="Hyperlink"/>
            <w:rFonts w:cs="Calibri"/>
            <w:i/>
            <w:iCs/>
            <w:noProof/>
          </w:rPr>
          <w:noBreakHyphen/>
          <w:t>dairy</w:t>
        </w:r>
        <w:r w:rsidR="001818DF" w:rsidRPr="002E0857">
          <w:rPr>
            <w:rStyle w:val="Hyperlink"/>
            <w:rFonts w:cs="Calibri"/>
            <w:noProof/>
          </w:rPr>
          <w:t xml:space="preserve"> </w:t>
        </w:r>
        <w:r w:rsidR="001818DF" w:rsidRPr="002E0857">
          <w:rPr>
            <w:rStyle w:val="Hyperlink"/>
            <w:rFonts w:cs="Calibri"/>
            <w:i/>
            <w:iCs/>
            <w:noProof/>
          </w:rPr>
          <w:t>cattle</w:t>
        </w:r>
        <w:r w:rsidR="001818DF" w:rsidRPr="002E0857">
          <w:rPr>
            <w:rStyle w:val="Hyperlink"/>
            <w:rFonts w:cs="Calibri"/>
            <w:noProof/>
          </w:rPr>
          <w:t xml:space="preserve"> and </w:t>
        </w:r>
        <w:r w:rsidR="001818DF" w:rsidRPr="002E0857">
          <w:rPr>
            <w:rStyle w:val="Hyperlink"/>
            <w:rFonts w:cs="Calibri"/>
            <w:i/>
            <w:iCs/>
            <w:noProof/>
          </w:rPr>
          <w:t>Sheep</w:t>
        </w:r>
        <w:r w:rsidR="001818DF">
          <w:rPr>
            <w:noProof/>
            <w:webHidden/>
          </w:rPr>
          <w:tab/>
        </w:r>
        <w:r w:rsidR="001818DF">
          <w:rPr>
            <w:noProof/>
            <w:webHidden/>
          </w:rPr>
          <w:fldChar w:fldCharType="begin"/>
        </w:r>
        <w:r w:rsidR="001818DF">
          <w:rPr>
            <w:noProof/>
            <w:webHidden/>
          </w:rPr>
          <w:instrText xml:space="preserve"> PAGEREF _Toc164153838 \h </w:instrText>
        </w:r>
        <w:r w:rsidR="001818DF">
          <w:rPr>
            <w:noProof/>
            <w:webHidden/>
          </w:rPr>
        </w:r>
        <w:r w:rsidR="001818DF">
          <w:rPr>
            <w:noProof/>
            <w:webHidden/>
          </w:rPr>
          <w:fldChar w:fldCharType="separate"/>
        </w:r>
        <w:r w:rsidR="009E4901">
          <w:rPr>
            <w:noProof/>
            <w:webHidden/>
          </w:rPr>
          <w:t>177</w:t>
        </w:r>
        <w:r w:rsidR="001818DF">
          <w:rPr>
            <w:noProof/>
            <w:webHidden/>
          </w:rPr>
          <w:fldChar w:fldCharType="end"/>
        </w:r>
      </w:hyperlink>
    </w:p>
    <w:p w14:paraId="4EBEAB38" w14:textId="181ED791"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39" w:history="1">
        <w:r w:rsidR="001818DF" w:rsidRPr="002E0857">
          <w:rPr>
            <w:rStyle w:val="Hyperlink"/>
            <w:rFonts w:cs="Calibri"/>
            <w:noProof/>
          </w:rPr>
          <w:t>Table 5.2.6</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rFonts w:cs="Calibri"/>
            <w:noProof/>
          </w:rPr>
          <w:t>Comparison of the previous non-dairy population model and the improved non</w:t>
        </w:r>
        <w:r w:rsidR="001818DF" w:rsidRPr="002E0857">
          <w:rPr>
            <w:rStyle w:val="Hyperlink"/>
            <w:rFonts w:cs="Calibri"/>
            <w:noProof/>
          </w:rPr>
          <w:noBreakHyphen/>
          <w:t xml:space="preserve">dairy population model for emissions from </w:t>
        </w:r>
        <w:r w:rsidR="001818DF" w:rsidRPr="002E0857">
          <w:rPr>
            <w:rStyle w:val="Hyperlink"/>
            <w:rFonts w:cs="Calibri"/>
            <w:i/>
            <w:iCs/>
            <w:noProof/>
          </w:rPr>
          <w:t>Enteric fermentation</w:t>
        </w:r>
        <w:r w:rsidR="001818DF">
          <w:rPr>
            <w:noProof/>
            <w:webHidden/>
          </w:rPr>
          <w:tab/>
        </w:r>
        <w:r w:rsidR="001818DF">
          <w:rPr>
            <w:noProof/>
            <w:webHidden/>
          </w:rPr>
          <w:fldChar w:fldCharType="begin"/>
        </w:r>
        <w:r w:rsidR="001818DF">
          <w:rPr>
            <w:noProof/>
            <w:webHidden/>
          </w:rPr>
          <w:instrText xml:space="preserve"> PAGEREF _Toc164153839 \h </w:instrText>
        </w:r>
        <w:r w:rsidR="001818DF">
          <w:rPr>
            <w:noProof/>
            <w:webHidden/>
          </w:rPr>
        </w:r>
        <w:r w:rsidR="001818DF">
          <w:rPr>
            <w:noProof/>
            <w:webHidden/>
          </w:rPr>
          <w:fldChar w:fldCharType="separate"/>
        </w:r>
        <w:r w:rsidR="009E4901">
          <w:rPr>
            <w:noProof/>
            <w:webHidden/>
          </w:rPr>
          <w:t>180</w:t>
        </w:r>
        <w:r w:rsidR="001818DF">
          <w:rPr>
            <w:noProof/>
            <w:webHidden/>
          </w:rPr>
          <w:fldChar w:fldCharType="end"/>
        </w:r>
      </w:hyperlink>
    </w:p>
    <w:p w14:paraId="03BB5731" w14:textId="311F6BBD"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40" w:history="1">
        <w:r w:rsidR="001818DF" w:rsidRPr="002E0857">
          <w:rPr>
            <w:rStyle w:val="Hyperlink"/>
            <w:rFonts w:cs="Calibri"/>
            <w:noProof/>
          </w:rPr>
          <w:t>Table 5.2.7</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rFonts w:cs="Calibri"/>
            <w:noProof/>
          </w:rPr>
          <w:t>Comparison of proportion of lambs held over to a second slaughter date for emissions from </w:t>
        </w:r>
        <w:r w:rsidR="001818DF" w:rsidRPr="002E0857">
          <w:rPr>
            <w:rStyle w:val="Hyperlink"/>
            <w:rFonts w:cs="Calibri"/>
            <w:i/>
            <w:iCs/>
            <w:noProof/>
          </w:rPr>
          <w:t>Enteric fermentation</w:t>
        </w:r>
        <w:r w:rsidR="001818DF">
          <w:rPr>
            <w:noProof/>
            <w:webHidden/>
          </w:rPr>
          <w:tab/>
        </w:r>
        <w:r w:rsidR="001818DF">
          <w:rPr>
            <w:noProof/>
            <w:webHidden/>
          </w:rPr>
          <w:fldChar w:fldCharType="begin"/>
        </w:r>
        <w:r w:rsidR="001818DF">
          <w:rPr>
            <w:noProof/>
            <w:webHidden/>
          </w:rPr>
          <w:instrText xml:space="preserve"> PAGEREF _Toc164153840 \h </w:instrText>
        </w:r>
        <w:r w:rsidR="001818DF">
          <w:rPr>
            <w:noProof/>
            <w:webHidden/>
          </w:rPr>
        </w:r>
        <w:r w:rsidR="001818DF">
          <w:rPr>
            <w:noProof/>
            <w:webHidden/>
          </w:rPr>
          <w:fldChar w:fldCharType="separate"/>
        </w:r>
        <w:r w:rsidR="009E4901">
          <w:rPr>
            <w:noProof/>
            <w:webHidden/>
          </w:rPr>
          <w:t>181</w:t>
        </w:r>
        <w:r w:rsidR="001818DF">
          <w:rPr>
            <w:noProof/>
            <w:webHidden/>
          </w:rPr>
          <w:fldChar w:fldCharType="end"/>
        </w:r>
      </w:hyperlink>
    </w:p>
    <w:p w14:paraId="450CB018" w14:textId="2AE8A5F9"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41" w:history="1">
        <w:r w:rsidR="001818DF" w:rsidRPr="002E0857">
          <w:rPr>
            <w:rStyle w:val="Hyperlink"/>
            <w:rFonts w:cs="Calibri"/>
            <w:noProof/>
          </w:rPr>
          <w:t>Table 5.2.8</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rFonts w:cs="Calibri"/>
            <w:noProof/>
          </w:rPr>
          <w:t>Comparison of Excel-based and R-based systems for emissions from </w:t>
        </w:r>
        <w:r w:rsidR="001818DF" w:rsidRPr="002E0857">
          <w:rPr>
            <w:rStyle w:val="Hyperlink"/>
            <w:rFonts w:cs="Calibri"/>
            <w:i/>
            <w:iCs/>
            <w:noProof/>
          </w:rPr>
          <w:t>Enteric fermentation</w:t>
        </w:r>
        <w:r w:rsidR="001818DF">
          <w:rPr>
            <w:noProof/>
            <w:webHidden/>
          </w:rPr>
          <w:tab/>
        </w:r>
        <w:r w:rsidR="001818DF">
          <w:rPr>
            <w:noProof/>
            <w:webHidden/>
          </w:rPr>
          <w:fldChar w:fldCharType="begin"/>
        </w:r>
        <w:r w:rsidR="001818DF">
          <w:rPr>
            <w:noProof/>
            <w:webHidden/>
          </w:rPr>
          <w:instrText xml:space="preserve"> PAGEREF _Toc164153841 \h </w:instrText>
        </w:r>
        <w:r w:rsidR="001818DF">
          <w:rPr>
            <w:noProof/>
            <w:webHidden/>
          </w:rPr>
        </w:r>
        <w:r w:rsidR="001818DF">
          <w:rPr>
            <w:noProof/>
            <w:webHidden/>
          </w:rPr>
          <w:fldChar w:fldCharType="separate"/>
        </w:r>
        <w:r w:rsidR="009E4901">
          <w:rPr>
            <w:noProof/>
            <w:webHidden/>
          </w:rPr>
          <w:t>181</w:t>
        </w:r>
        <w:r w:rsidR="001818DF">
          <w:rPr>
            <w:noProof/>
            <w:webHidden/>
          </w:rPr>
          <w:fldChar w:fldCharType="end"/>
        </w:r>
      </w:hyperlink>
    </w:p>
    <w:p w14:paraId="12CC5287" w14:textId="77847844"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42" w:history="1">
        <w:r w:rsidR="001818DF" w:rsidRPr="002E0857">
          <w:rPr>
            <w:rStyle w:val="Hyperlink"/>
            <w:rFonts w:cs="Calibri"/>
            <w:noProof/>
          </w:rPr>
          <w:t>Table 5.2.9</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rFonts w:cs="Calibri"/>
            <w:noProof/>
          </w:rPr>
          <w:t>Comparison of model results with and without corrections for emissions from </w:t>
        </w:r>
        <w:r w:rsidR="001818DF" w:rsidRPr="002E0857">
          <w:rPr>
            <w:rStyle w:val="Hyperlink"/>
            <w:rFonts w:cs="Calibri"/>
            <w:i/>
            <w:iCs/>
            <w:noProof/>
          </w:rPr>
          <w:t>Enteric fermentation</w:t>
        </w:r>
        <w:r w:rsidR="001818DF">
          <w:rPr>
            <w:noProof/>
            <w:webHidden/>
          </w:rPr>
          <w:tab/>
        </w:r>
        <w:r w:rsidR="001818DF">
          <w:rPr>
            <w:noProof/>
            <w:webHidden/>
          </w:rPr>
          <w:fldChar w:fldCharType="begin"/>
        </w:r>
        <w:r w:rsidR="001818DF">
          <w:rPr>
            <w:noProof/>
            <w:webHidden/>
          </w:rPr>
          <w:instrText xml:space="preserve"> PAGEREF _Toc164153842 \h </w:instrText>
        </w:r>
        <w:r w:rsidR="001818DF">
          <w:rPr>
            <w:noProof/>
            <w:webHidden/>
          </w:rPr>
        </w:r>
        <w:r w:rsidR="001818DF">
          <w:rPr>
            <w:noProof/>
            <w:webHidden/>
          </w:rPr>
          <w:fldChar w:fldCharType="separate"/>
        </w:r>
        <w:r w:rsidR="009E4901">
          <w:rPr>
            <w:noProof/>
            <w:webHidden/>
          </w:rPr>
          <w:t>182</w:t>
        </w:r>
        <w:r w:rsidR="001818DF">
          <w:rPr>
            <w:noProof/>
            <w:webHidden/>
          </w:rPr>
          <w:fldChar w:fldCharType="end"/>
        </w:r>
      </w:hyperlink>
    </w:p>
    <w:p w14:paraId="4386B54C" w14:textId="105332A7"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43" w:history="1">
        <w:r w:rsidR="001818DF" w:rsidRPr="002E0857">
          <w:rPr>
            <w:rStyle w:val="Hyperlink"/>
            <w:rFonts w:cs="Calibri"/>
            <w:noProof/>
          </w:rPr>
          <w:t>Table 5.3.1</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rFonts w:cs="Calibri"/>
            <w:noProof/>
          </w:rPr>
          <w:t xml:space="preserve">Trends and relative contribution of methane and nitrous oxide emissions in the </w:t>
        </w:r>
        <w:r w:rsidR="001818DF" w:rsidRPr="002E0857">
          <w:rPr>
            <w:rStyle w:val="Hyperlink"/>
            <w:rFonts w:cs="Calibri"/>
            <w:i/>
            <w:iCs/>
            <w:noProof/>
          </w:rPr>
          <w:t>Manure management</w:t>
        </w:r>
        <w:r w:rsidR="001818DF" w:rsidRPr="002E0857">
          <w:rPr>
            <w:rStyle w:val="Hyperlink"/>
            <w:rFonts w:cs="Calibri"/>
            <w:noProof/>
          </w:rPr>
          <w:t xml:space="preserve"> category between 1990 and 2022</w:t>
        </w:r>
        <w:r w:rsidR="001818DF">
          <w:rPr>
            <w:noProof/>
            <w:webHidden/>
          </w:rPr>
          <w:tab/>
        </w:r>
        <w:r w:rsidR="001818DF">
          <w:rPr>
            <w:noProof/>
            <w:webHidden/>
          </w:rPr>
          <w:fldChar w:fldCharType="begin"/>
        </w:r>
        <w:r w:rsidR="001818DF">
          <w:rPr>
            <w:noProof/>
            <w:webHidden/>
          </w:rPr>
          <w:instrText xml:space="preserve"> PAGEREF _Toc164153843 \h </w:instrText>
        </w:r>
        <w:r w:rsidR="001818DF">
          <w:rPr>
            <w:noProof/>
            <w:webHidden/>
          </w:rPr>
        </w:r>
        <w:r w:rsidR="001818DF">
          <w:rPr>
            <w:noProof/>
            <w:webHidden/>
          </w:rPr>
          <w:fldChar w:fldCharType="separate"/>
        </w:r>
        <w:r w:rsidR="009E4901">
          <w:rPr>
            <w:noProof/>
            <w:webHidden/>
          </w:rPr>
          <w:t>185</w:t>
        </w:r>
        <w:r w:rsidR="001818DF">
          <w:rPr>
            <w:noProof/>
            <w:webHidden/>
          </w:rPr>
          <w:fldChar w:fldCharType="end"/>
        </w:r>
      </w:hyperlink>
    </w:p>
    <w:p w14:paraId="21E5FD8D" w14:textId="1AFE63DE"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44" w:history="1">
        <w:r w:rsidR="001818DF" w:rsidRPr="002E0857">
          <w:rPr>
            <w:rStyle w:val="Hyperlink"/>
            <w:rFonts w:cs="Calibri"/>
            <w:noProof/>
          </w:rPr>
          <w:t>Table 5.3.2</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rFonts w:cs="Calibri"/>
            <w:noProof/>
          </w:rPr>
          <w:t>Distribution of livestock waste across animal waste management systems in</w:t>
        </w:r>
        <w:r w:rsidR="001818DF" w:rsidRPr="002E0857">
          <w:rPr>
            <w:rStyle w:val="Hyperlink"/>
            <w:noProof/>
          </w:rPr>
          <w:t xml:space="preserve"> </w:t>
        </w:r>
        <w:r w:rsidR="001818DF" w:rsidRPr="002E0857">
          <w:rPr>
            <w:rStyle w:val="Hyperlink"/>
            <w:rFonts w:cs="Calibri"/>
            <w:noProof/>
          </w:rPr>
          <w:t>New Zealand</w:t>
        </w:r>
        <w:r w:rsidR="001818DF">
          <w:rPr>
            <w:noProof/>
            <w:webHidden/>
          </w:rPr>
          <w:tab/>
        </w:r>
        <w:r w:rsidR="001818DF">
          <w:rPr>
            <w:noProof/>
            <w:webHidden/>
          </w:rPr>
          <w:fldChar w:fldCharType="begin"/>
        </w:r>
        <w:r w:rsidR="001818DF">
          <w:rPr>
            <w:noProof/>
            <w:webHidden/>
          </w:rPr>
          <w:instrText xml:space="preserve"> PAGEREF _Toc164153844 \h </w:instrText>
        </w:r>
        <w:r w:rsidR="001818DF">
          <w:rPr>
            <w:noProof/>
            <w:webHidden/>
          </w:rPr>
        </w:r>
        <w:r w:rsidR="001818DF">
          <w:rPr>
            <w:noProof/>
            <w:webHidden/>
          </w:rPr>
          <w:fldChar w:fldCharType="separate"/>
        </w:r>
        <w:r w:rsidR="009E4901">
          <w:rPr>
            <w:noProof/>
            <w:webHidden/>
          </w:rPr>
          <w:t>185</w:t>
        </w:r>
        <w:r w:rsidR="001818DF">
          <w:rPr>
            <w:noProof/>
            <w:webHidden/>
          </w:rPr>
          <w:fldChar w:fldCharType="end"/>
        </w:r>
      </w:hyperlink>
    </w:p>
    <w:p w14:paraId="0F3CD501" w14:textId="2EA62AEC"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45" w:history="1">
        <w:r w:rsidR="001818DF" w:rsidRPr="002E0857">
          <w:rPr>
            <w:rStyle w:val="Hyperlink"/>
            <w:rFonts w:cs="Calibri"/>
            <w:noProof/>
          </w:rPr>
          <w:t>Table 5.3.3</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rFonts w:cs="Calibri"/>
            <w:noProof/>
          </w:rPr>
          <w:t>Nitrogen excretion rates (N</w:t>
        </w:r>
        <w:r w:rsidR="001818DF" w:rsidRPr="002E0857">
          <w:rPr>
            <w:rStyle w:val="Hyperlink"/>
            <w:rFonts w:cs="Calibri"/>
            <w:noProof/>
            <w:vertAlign w:val="subscript"/>
          </w:rPr>
          <w:t>ex</w:t>
        </w:r>
        <w:r w:rsidR="001818DF" w:rsidRPr="002E0857">
          <w:rPr>
            <w:rStyle w:val="Hyperlink"/>
            <w:rFonts w:cs="Calibri"/>
            <w:noProof/>
          </w:rPr>
          <w:t xml:space="preserve">) for </w:t>
        </w:r>
        <w:r w:rsidR="001818DF" w:rsidRPr="002E0857">
          <w:rPr>
            <w:rStyle w:val="Hyperlink"/>
            <w:noProof/>
          </w:rPr>
          <w:t>New Zealand’s</w:t>
        </w:r>
        <w:r w:rsidR="001818DF" w:rsidRPr="002E0857">
          <w:rPr>
            <w:rStyle w:val="Hyperlink"/>
            <w:rFonts w:cs="Calibri"/>
            <w:noProof/>
          </w:rPr>
          <w:t xml:space="preserve"> major livestock categories, from 1990 to 2022</w:t>
        </w:r>
        <w:r w:rsidR="001818DF">
          <w:rPr>
            <w:noProof/>
            <w:webHidden/>
          </w:rPr>
          <w:tab/>
        </w:r>
        <w:r w:rsidR="001818DF">
          <w:rPr>
            <w:noProof/>
            <w:webHidden/>
          </w:rPr>
          <w:fldChar w:fldCharType="begin"/>
        </w:r>
        <w:r w:rsidR="001818DF">
          <w:rPr>
            <w:noProof/>
            <w:webHidden/>
          </w:rPr>
          <w:instrText xml:space="preserve"> PAGEREF _Toc164153845 \h </w:instrText>
        </w:r>
        <w:r w:rsidR="001818DF">
          <w:rPr>
            <w:noProof/>
            <w:webHidden/>
          </w:rPr>
        </w:r>
        <w:r w:rsidR="001818DF">
          <w:rPr>
            <w:noProof/>
            <w:webHidden/>
          </w:rPr>
          <w:fldChar w:fldCharType="separate"/>
        </w:r>
        <w:r w:rsidR="009E4901">
          <w:rPr>
            <w:noProof/>
            <w:webHidden/>
          </w:rPr>
          <w:t>189</w:t>
        </w:r>
        <w:r w:rsidR="001818DF">
          <w:rPr>
            <w:noProof/>
            <w:webHidden/>
          </w:rPr>
          <w:fldChar w:fldCharType="end"/>
        </w:r>
      </w:hyperlink>
    </w:p>
    <w:p w14:paraId="2BC4457B" w14:textId="46F671D3"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46" w:history="1">
        <w:r w:rsidR="001818DF" w:rsidRPr="002E0857">
          <w:rPr>
            <w:rStyle w:val="Hyperlink"/>
            <w:rFonts w:cs="Calibri"/>
            <w:noProof/>
          </w:rPr>
          <w:t>Table 5.3.4</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rFonts w:cs="Calibri"/>
            <w:noProof/>
          </w:rPr>
          <w:t>Nitrogen excretion (N</w:t>
        </w:r>
        <w:r w:rsidR="001818DF" w:rsidRPr="002E0857">
          <w:rPr>
            <w:rStyle w:val="Hyperlink"/>
            <w:rFonts w:cs="Calibri"/>
            <w:noProof/>
            <w:vertAlign w:val="subscript"/>
          </w:rPr>
          <w:t>ex</w:t>
        </w:r>
        <w:r w:rsidR="001818DF" w:rsidRPr="002E0857">
          <w:rPr>
            <w:rStyle w:val="Hyperlink"/>
            <w:rFonts w:cs="Calibri"/>
            <w:noProof/>
          </w:rPr>
          <w:t xml:space="preserve">) rates for </w:t>
        </w:r>
        <w:r w:rsidR="001818DF" w:rsidRPr="002E0857">
          <w:rPr>
            <w:rStyle w:val="Hyperlink"/>
            <w:noProof/>
          </w:rPr>
          <w:t>New Zealand’s</w:t>
        </w:r>
        <w:r w:rsidR="001818DF" w:rsidRPr="002E0857">
          <w:rPr>
            <w:rStyle w:val="Hyperlink"/>
            <w:rFonts w:cs="Calibri"/>
            <w:noProof/>
          </w:rPr>
          <w:t xml:space="preserve"> swine and goats, from 1990 to 2022</w:t>
        </w:r>
        <w:r w:rsidR="001818DF">
          <w:rPr>
            <w:noProof/>
            <w:webHidden/>
          </w:rPr>
          <w:tab/>
        </w:r>
        <w:r w:rsidR="001818DF">
          <w:rPr>
            <w:noProof/>
            <w:webHidden/>
          </w:rPr>
          <w:fldChar w:fldCharType="begin"/>
        </w:r>
        <w:r w:rsidR="001818DF">
          <w:rPr>
            <w:noProof/>
            <w:webHidden/>
          </w:rPr>
          <w:instrText xml:space="preserve"> PAGEREF _Toc164153846 \h </w:instrText>
        </w:r>
        <w:r w:rsidR="001818DF">
          <w:rPr>
            <w:noProof/>
            <w:webHidden/>
          </w:rPr>
        </w:r>
        <w:r w:rsidR="001818DF">
          <w:rPr>
            <w:noProof/>
            <w:webHidden/>
          </w:rPr>
          <w:fldChar w:fldCharType="separate"/>
        </w:r>
        <w:r w:rsidR="009E4901">
          <w:rPr>
            <w:noProof/>
            <w:webHidden/>
          </w:rPr>
          <w:t>191</w:t>
        </w:r>
        <w:r w:rsidR="001818DF">
          <w:rPr>
            <w:noProof/>
            <w:webHidden/>
          </w:rPr>
          <w:fldChar w:fldCharType="end"/>
        </w:r>
      </w:hyperlink>
    </w:p>
    <w:p w14:paraId="23AA496A" w14:textId="0C9B5D98"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47" w:history="1">
        <w:r w:rsidR="001818DF" w:rsidRPr="002E0857">
          <w:rPr>
            <w:rStyle w:val="Hyperlink"/>
            <w:rFonts w:cs="Calibri"/>
            <w:noProof/>
          </w:rPr>
          <w:t>Table 5.3.5</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rFonts w:cs="Calibri"/>
            <w:noProof/>
          </w:rPr>
          <w:t>IPCC default values for the fraction of managed manure nitrogen that volatilises as ammonia and oxides of nitrogen (Frac</w:t>
        </w:r>
        <w:r w:rsidR="001818DF" w:rsidRPr="002E0857">
          <w:rPr>
            <w:rStyle w:val="Hyperlink"/>
            <w:rFonts w:cs="Calibri"/>
            <w:noProof/>
            <w:vertAlign w:val="subscript"/>
          </w:rPr>
          <w:t>GasMS</w:t>
        </w:r>
        <w:r w:rsidR="001818DF" w:rsidRPr="002E0857">
          <w:rPr>
            <w:rStyle w:val="Hyperlink"/>
            <w:rFonts w:cs="Calibri"/>
            <w:noProof/>
          </w:rPr>
          <w:t>/100) for livestock categories per manure management system in New Zealand</w:t>
        </w:r>
        <w:r w:rsidR="001818DF">
          <w:rPr>
            <w:noProof/>
            <w:webHidden/>
          </w:rPr>
          <w:tab/>
        </w:r>
        <w:r w:rsidR="001818DF">
          <w:rPr>
            <w:noProof/>
            <w:webHidden/>
          </w:rPr>
          <w:fldChar w:fldCharType="begin"/>
        </w:r>
        <w:r w:rsidR="001818DF">
          <w:rPr>
            <w:noProof/>
            <w:webHidden/>
          </w:rPr>
          <w:instrText xml:space="preserve"> PAGEREF _Toc164153847 \h </w:instrText>
        </w:r>
        <w:r w:rsidR="001818DF">
          <w:rPr>
            <w:noProof/>
            <w:webHidden/>
          </w:rPr>
        </w:r>
        <w:r w:rsidR="001818DF">
          <w:rPr>
            <w:noProof/>
            <w:webHidden/>
          </w:rPr>
          <w:fldChar w:fldCharType="separate"/>
        </w:r>
        <w:r w:rsidR="009E4901">
          <w:rPr>
            <w:noProof/>
            <w:webHidden/>
          </w:rPr>
          <w:t>193</w:t>
        </w:r>
        <w:r w:rsidR="001818DF">
          <w:rPr>
            <w:noProof/>
            <w:webHidden/>
          </w:rPr>
          <w:fldChar w:fldCharType="end"/>
        </w:r>
      </w:hyperlink>
    </w:p>
    <w:p w14:paraId="56CF3728" w14:textId="3980C1AE"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48" w:history="1">
        <w:r w:rsidR="001818DF" w:rsidRPr="002E0857">
          <w:rPr>
            <w:rStyle w:val="Hyperlink"/>
            <w:rFonts w:cs="Calibri"/>
            <w:noProof/>
          </w:rPr>
          <w:t>Table 5.3.6</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rFonts w:cs="Calibri"/>
            <w:noProof/>
          </w:rPr>
          <w:t>Comparison of IPCC (2006) table 10A-4 default emission factors and country-specific implied emission factors (IEFs) for methane from manure management</w:t>
        </w:r>
        <w:r w:rsidR="001818DF">
          <w:rPr>
            <w:noProof/>
            <w:webHidden/>
          </w:rPr>
          <w:tab/>
        </w:r>
        <w:r w:rsidR="001818DF">
          <w:rPr>
            <w:noProof/>
            <w:webHidden/>
          </w:rPr>
          <w:fldChar w:fldCharType="begin"/>
        </w:r>
        <w:r w:rsidR="001818DF">
          <w:rPr>
            <w:noProof/>
            <w:webHidden/>
          </w:rPr>
          <w:instrText xml:space="preserve"> PAGEREF _Toc164153848 \h </w:instrText>
        </w:r>
        <w:r w:rsidR="001818DF">
          <w:rPr>
            <w:noProof/>
            <w:webHidden/>
          </w:rPr>
        </w:r>
        <w:r w:rsidR="001818DF">
          <w:rPr>
            <w:noProof/>
            <w:webHidden/>
          </w:rPr>
          <w:fldChar w:fldCharType="separate"/>
        </w:r>
        <w:r w:rsidR="009E4901">
          <w:rPr>
            <w:noProof/>
            <w:webHidden/>
          </w:rPr>
          <w:t>195</w:t>
        </w:r>
        <w:r w:rsidR="001818DF">
          <w:rPr>
            <w:noProof/>
            <w:webHidden/>
          </w:rPr>
          <w:fldChar w:fldCharType="end"/>
        </w:r>
      </w:hyperlink>
    </w:p>
    <w:p w14:paraId="6683D697" w14:textId="71013CE5"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49" w:history="1">
        <w:r w:rsidR="001818DF" w:rsidRPr="002E0857">
          <w:rPr>
            <w:rStyle w:val="Hyperlink"/>
            <w:rFonts w:cs="Calibri"/>
            <w:noProof/>
          </w:rPr>
          <w:t>Table 5.3.7</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rFonts w:cs="Calibri"/>
            <w:noProof/>
          </w:rPr>
          <w:t xml:space="preserve">Comparison of the previous non-dairy population model and the improved dairy population model for emissions from </w:t>
        </w:r>
        <w:r w:rsidR="001818DF" w:rsidRPr="002E0857">
          <w:rPr>
            <w:rStyle w:val="Hyperlink"/>
            <w:rFonts w:cs="Calibri"/>
            <w:i/>
            <w:noProof/>
          </w:rPr>
          <w:t>Manure management</w:t>
        </w:r>
        <w:r w:rsidR="001818DF">
          <w:rPr>
            <w:noProof/>
            <w:webHidden/>
          </w:rPr>
          <w:tab/>
        </w:r>
        <w:r w:rsidR="001818DF">
          <w:rPr>
            <w:noProof/>
            <w:webHidden/>
          </w:rPr>
          <w:fldChar w:fldCharType="begin"/>
        </w:r>
        <w:r w:rsidR="001818DF">
          <w:rPr>
            <w:noProof/>
            <w:webHidden/>
          </w:rPr>
          <w:instrText xml:space="preserve"> PAGEREF _Toc164153849 \h </w:instrText>
        </w:r>
        <w:r w:rsidR="001818DF">
          <w:rPr>
            <w:noProof/>
            <w:webHidden/>
          </w:rPr>
        </w:r>
        <w:r w:rsidR="001818DF">
          <w:rPr>
            <w:noProof/>
            <w:webHidden/>
          </w:rPr>
          <w:fldChar w:fldCharType="separate"/>
        </w:r>
        <w:r w:rsidR="009E4901">
          <w:rPr>
            <w:noProof/>
            <w:webHidden/>
          </w:rPr>
          <w:t>195</w:t>
        </w:r>
        <w:r w:rsidR="001818DF">
          <w:rPr>
            <w:noProof/>
            <w:webHidden/>
          </w:rPr>
          <w:fldChar w:fldCharType="end"/>
        </w:r>
      </w:hyperlink>
    </w:p>
    <w:p w14:paraId="6ACC4F9F" w14:textId="66BF12A5"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50" w:history="1">
        <w:r w:rsidR="001818DF" w:rsidRPr="002E0857">
          <w:rPr>
            <w:rStyle w:val="Hyperlink"/>
            <w:rFonts w:cs="Calibri"/>
            <w:noProof/>
          </w:rPr>
          <w:t>Table 5.3.8</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rFonts w:cs="Calibri"/>
            <w:noProof/>
          </w:rPr>
          <w:t>Comparison of the proportion of lambs held over to a second slaughter date for emissions from </w:t>
        </w:r>
        <w:r w:rsidR="001818DF" w:rsidRPr="002E0857">
          <w:rPr>
            <w:rStyle w:val="Hyperlink"/>
            <w:rFonts w:cs="Calibri"/>
            <w:i/>
            <w:noProof/>
          </w:rPr>
          <w:t>Manure management</w:t>
        </w:r>
        <w:r w:rsidR="001818DF">
          <w:rPr>
            <w:noProof/>
            <w:webHidden/>
          </w:rPr>
          <w:tab/>
        </w:r>
        <w:r w:rsidR="001818DF">
          <w:rPr>
            <w:noProof/>
            <w:webHidden/>
          </w:rPr>
          <w:fldChar w:fldCharType="begin"/>
        </w:r>
        <w:r w:rsidR="001818DF">
          <w:rPr>
            <w:noProof/>
            <w:webHidden/>
          </w:rPr>
          <w:instrText xml:space="preserve"> PAGEREF _Toc164153850 \h </w:instrText>
        </w:r>
        <w:r w:rsidR="001818DF">
          <w:rPr>
            <w:noProof/>
            <w:webHidden/>
          </w:rPr>
        </w:r>
        <w:r w:rsidR="001818DF">
          <w:rPr>
            <w:noProof/>
            <w:webHidden/>
          </w:rPr>
          <w:fldChar w:fldCharType="separate"/>
        </w:r>
        <w:r w:rsidR="009E4901">
          <w:rPr>
            <w:noProof/>
            <w:webHidden/>
          </w:rPr>
          <w:t>196</w:t>
        </w:r>
        <w:r w:rsidR="001818DF">
          <w:rPr>
            <w:noProof/>
            <w:webHidden/>
          </w:rPr>
          <w:fldChar w:fldCharType="end"/>
        </w:r>
      </w:hyperlink>
    </w:p>
    <w:p w14:paraId="3B176EC3" w14:textId="3A78BF36"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51" w:history="1">
        <w:r w:rsidR="001818DF" w:rsidRPr="002E0857">
          <w:rPr>
            <w:rStyle w:val="Hyperlink"/>
            <w:rFonts w:cs="Calibri"/>
            <w:noProof/>
          </w:rPr>
          <w:t>Table 5.3.9</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rFonts w:cs="Calibri"/>
            <w:noProof/>
          </w:rPr>
          <w:t xml:space="preserve">Comparison of Excel-based and R-based models for emissions from </w:t>
        </w:r>
        <w:r w:rsidR="001818DF" w:rsidRPr="002E0857">
          <w:rPr>
            <w:rStyle w:val="Hyperlink"/>
            <w:rFonts w:cs="Calibri"/>
            <w:i/>
            <w:noProof/>
          </w:rPr>
          <w:t>Manure management</w:t>
        </w:r>
        <w:r w:rsidR="001818DF">
          <w:rPr>
            <w:noProof/>
            <w:webHidden/>
          </w:rPr>
          <w:tab/>
        </w:r>
        <w:r w:rsidR="001818DF">
          <w:rPr>
            <w:noProof/>
            <w:webHidden/>
          </w:rPr>
          <w:fldChar w:fldCharType="begin"/>
        </w:r>
        <w:r w:rsidR="001818DF">
          <w:rPr>
            <w:noProof/>
            <w:webHidden/>
          </w:rPr>
          <w:instrText xml:space="preserve"> PAGEREF _Toc164153851 \h </w:instrText>
        </w:r>
        <w:r w:rsidR="001818DF">
          <w:rPr>
            <w:noProof/>
            <w:webHidden/>
          </w:rPr>
        </w:r>
        <w:r w:rsidR="001818DF">
          <w:rPr>
            <w:noProof/>
            <w:webHidden/>
          </w:rPr>
          <w:fldChar w:fldCharType="separate"/>
        </w:r>
        <w:r w:rsidR="009E4901">
          <w:rPr>
            <w:noProof/>
            <w:webHidden/>
          </w:rPr>
          <w:t>196</w:t>
        </w:r>
        <w:r w:rsidR="001818DF">
          <w:rPr>
            <w:noProof/>
            <w:webHidden/>
          </w:rPr>
          <w:fldChar w:fldCharType="end"/>
        </w:r>
      </w:hyperlink>
    </w:p>
    <w:p w14:paraId="0D010D2E" w14:textId="1A935239"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52" w:history="1">
        <w:r w:rsidR="001818DF" w:rsidRPr="002E0857">
          <w:rPr>
            <w:rStyle w:val="Hyperlink"/>
            <w:rFonts w:cs="Calibri"/>
            <w:noProof/>
          </w:rPr>
          <w:t>Table 5.3.10</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rFonts w:cs="Calibri"/>
            <w:noProof/>
          </w:rPr>
          <w:t xml:space="preserve">Comparison of emissions with and without corrections for emissions from </w:t>
        </w:r>
        <w:r w:rsidR="001818DF" w:rsidRPr="002E0857">
          <w:rPr>
            <w:rStyle w:val="Hyperlink"/>
            <w:rFonts w:cs="Calibri"/>
            <w:i/>
            <w:noProof/>
          </w:rPr>
          <w:t>Manure management</w:t>
        </w:r>
        <w:r w:rsidR="001818DF">
          <w:rPr>
            <w:noProof/>
            <w:webHidden/>
          </w:rPr>
          <w:tab/>
        </w:r>
        <w:r w:rsidR="001818DF">
          <w:rPr>
            <w:noProof/>
            <w:webHidden/>
          </w:rPr>
          <w:fldChar w:fldCharType="begin"/>
        </w:r>
        <w:r w:rsidR="001818DF">
          <w:rPr>
            <w:noProof/>
            <w:webHidden/>
          </w:rPr>
          <w:instrText xml:space="preserve"> PAGEREF _Toc164153852 \h </w:instrText>
        </w:r>
        <w:r w:rsidR="001818DF">
          <w:rPr>
            <w:noProof/>
            <w:webHidden/>
          </w:rPr>
        </w:r>
        <w:r w:rsidR="001818DF">
          <w:rPr>
            <w:noProof/>
            <w:webHidden/>
          </w:rPr>
          <w:fldChar w:fldCharType="separate"/>
        </w:r>
        <w:r w:rsidR="009E4901">
          <w:rPr>
            <w:noProof/>
            <w:webHidden/>
          </w:rPr>
          <w:t>196</w:t>
        </w:r>
        <w:r w:rsidR="001818DF">
          <w:rPr>
            <w:noProof/>
            <w:webHidden/>
          </w:rPr>
          <w:fldChar w:fldCharType="end"/>
        </w:r>
      </w:hyperlink>
    </w:p>
    <w:p w14:paraId="7C63451F" w14:textId="6BE0BA74"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53" w:history="1">
        <w:r w:rsidR="001818DF" w:rsidRPr="002E0857">
          <w:rPr>
            <w:rStyle w:val="Hyperlink"/>
            <w:rFonts w:cs="Calibri"/>
            <w:noProof/>
          </w:rPr>
          <w:t>Table 5.5.1</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rFonts w:cs="Calibri"/>
            <w:noProof/>
          </w:rPr>
          <w:t xml:space="preserve">Trends and relative contribution of nitrous oxide emissions from </w:t>
        </w:r>
        <w:r w:rsidR="001818DF" w:rsidRPr="002E0857">
          <w:rPr>
            <w:rStyle w:val="Hyperlink"/>
            <w:rFonts w:cs="Calibri"/>
            <w:i/>
            <w:iCs/>
            <w:noProof/>
          </w:rPr>
          <w:t>Agricultural soils</w:t>
        </w:r>
        <w:r w:rsidR="001818DF" w:rsidRPr="002E0857">
          <w:rPr>
            <w:rStyle w:val="Hyperlink"/>
            <w:rFonts w:cs="Calibri"/>
            <w:noProof/>
          </w:rPr>
          <w:t xml:space="preserve"> categories between 1990 and 2022</w:t>
        </w:r>
        <w:r w:rsidR="001818DF">
          <w:rPr>
            <w:noProof/>
            <w:webHidden/>
          </w:rPr>
          <w:tab/>
        </w:r>
        <w:r w:rsidR="001818DF">
          <w:rPr>
            <w:noProof/>
            <w:webHidden/>
          </w:rPr>
          <w:fldChar w:fldCharType="begin"/>
        </w:r>
        <w:r w:rsidR="001818DF">
          <w:rPr>
            <w:noProof/>
            <w:webHidden/>
          </w:rPr>
          <w:instrText xml:space="preserve"> PAGEREF _Toc164153853 \h </w:instrText>
        </w:r>
        <w:r w:rsidR="001818DF">
          <w:rPr>
            <w:noProof/>
            <w:webHidden/>
          </w:rPr>
        </w:r>
        <w:r w:rsidR="001818DF">
          <w:rPr>
            <w:noProof/>
            <w:webHidden/>
          </w:rPr>
          <w:fldChar w:fldCharType="separate"/>
        </w:r>
        <w:r w:rsidR="009E4901">
          <w:rPr>
            <w:noProof/>
            <w:webHidden/>
          </w:rPr>
          <w:t>200</w:t>
        </w:r>
        <w:r w:rsidR="001818DF">
          <w:rPr>
            <w:noProof/>
            <w:webHidden/>
          </w:rPr>
          <w:fldChar w:fldCharType="end"/>
        </w:r>
      </w:hyperlink>
    </w:p>
    <w:p w14:paraId="075FA4EF" w14:textId="59A78ED2"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54" w:history="1">
        <w:r w:rsidR="001818DF" w:rsidRPr="002E0857">
          <w:rPr>
            <w:rStyle w:val="Hyperlink"/>
            <w:rFonts w:cs="Calibri"/>
            <w:noProof/>
          </w:rPr>
          <w:t>Table 5.5.2</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rFonts w:cs="Calibri"/>
            <w:noProof/>
          </w:rPr>
          <w:t>Nitrous oxide (N</w:t>
        </w:r>
        <w:r w:rsidR="001818DF" w:rsidRPr="002E0857">
          <w:rPr>
            <w:rStyle w:val="Hyperlink"/>
            <w:rFonts w:cs="Calibri"/>
            <w:noProof/>
            <w:vertAlign w:val="subscript"/>
          </w:rPr>
          <w:t>2</w:t>
        </w:r>
        <w:r w:rsidR="001818DF" w:rsidRPr="002E0857">
          <w:rPr>
            <w:rStyle w:val="Hyperlink"/>
            <w:rFonts w:cs="Calibri"/>
            <w:noProof/>
          </w:rPr>
          <w:t xml:space="preserve">O) emission factors for </w:t>
        </w:r>
        <w:r w:rsidR="001818DF" w:rsidRPr="002E0857">
          <w:rPr>
            <w:rStyle w:val="Hyperlink"/>
            <w:rFonts w:cs="Calibri"/>
            <w:i/>
            <w:iCs/>
            <w:noProof/>
          </w:rPr>
          <w:t>Agricultural soils</w:t>
        </w:r>
        <w:r w:rsidR="001818DF" w:rsidRPr="002E0857">
          <w:rPr>
            <w:rStyle w:val="Hyperlink"/>
            <w:rFonts w:cs="Calibri"/>
            <w:noProof/>
          </w:rPr>
          <w:t xml:space="preserve"> in New Zealand, excluding EF</w:t>
        </w:r>
        <w:r w:rsidR="001818DF" w:rsidRPr="002E0857">
          <w:rPr>
            <w:rStyle w:val="Hyperlink"/>
            <w:rFonts w:cs="Calibri"/>
            <w:noProof/>
            <w:vertAlign w:val="subscript"/>
          </w:rPr>
          <w:t>3,PRP</w:t>
        </w:r>
        <w:r w:rsidR="001818DF" w:rsidRPr="002E0857">
          <w:rPr>
            <w:rStyle w:val="Hyperlink"/>
            <w:rFonts w:cs="Calibri"/>
            <w:noProof/>
            <w:vertAlign w:val="subscript"/>
          </w:rPr>
          <w:noBreakHyphen/>
          <w:t xml:space="preserve"> URINE</w:t>
        </w:r>
        <w:r w:rsidR="001818DF" w:rsidRPr="002E0857">
          <w:rPr>
            <w:rStyle w:val="Hyperlink"/>
            <w:rFonts w:cs="Calibri"/>
            <w:noProof/>
          </w:rPr>
          <w:t xml:space="preserve"> for cattle, sheep and deer</w:t>
        </w:r>
        <w:r w:rsidR="001818DF">
          <w:rPr>
            <w:noProof/>
            <w:webHidden/>
          </w:rPr>
          <w:tab/>
        </w:r>
        <w:r w:rsidR="001818DF">
          <w:rPr>
            <w:noProof/>
            <w:webHidden/>
          </w:rPr>
          <w:fldChar w:fldCharType="begin"/>
        </w:r>
        <w:r w:rsidR="001818DF">
          <w:rPr>
            <w:noProof/>
            <w:webHidden/>
          </w:rPr>
          <w:instrText xml:space="preserve"> PAGEREF _Toc164153854 \h </w:instrText>
        </w:r>
        <w:r w:rsidR="001818DF">
          <w:rPr>
            <w:noProof/>
            <w:webHidden/>
          </w:rPr>
        </w:r>
        <w:r w:rsidR="001818DF">
          <w:rPr>
            <w:noProof/>
            <w:webHidden/>
          </w:rPr>
          <w:fldChar w:fldCharType="separate"/>
        </w:r>
        <w:r w:rsidR="009E4901">
          <w:rPr>
            <w:noProof/>
            <w:webHidden/>
          </w:rPr>
          <w:t>201</w:t>
        </w:r>
        <w:r w:rsidR="001818DF">
          <w:rPr>
            <w:noProof/>
            <w:webHidden/>
          </w:rPr>
          <w:fldChar w:fldCharType="end"/>
        </w:r>
      </w:hyperlink>
    </w:p>
    <w:p w14:paraId="7B47233C" w14:textId="1C4582ED"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55" w:history="1">
        <w:r w:rsidR="001818DF" w:rsidRPr="002E0857">
          <w:rPr>
            <w:rStyle w:val="Hyperlink"/>
            <w:rFonts w:cs="Calibri"/>
            <w:noProof/>
          </w:rPr>
          <w:t>Table 5.5.3</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rFonts w:cs="Calibri"/>
            <w:noProof/>
          </w:rPr>
          <w:t>Direct nitrous oxide emission factors for urine deposited by cattle, sheep and deer, by livestock type and slope, using values calculated by van der Weerden et al. (2019, 2020)</w:t>
        </w:r>
        <w:r w:rsidR="001818DF">
          <w:rPr>
            <w:noProof/>
            <w:webHidden/>
          </w:rPr>
          <w:tab/>
        </w:r>
        <w:r w:rsidR="001818DF">
          <w:rPr>
            <w:noProof/>
            <w:webHidden/>
          </w:rPr>
          <w:fldChar w:fldCharType="begin"/>
        </w:r>
        <w:r w:rsidR="001818DF">
          <w:rPr>
            <w:noProof/>
            <w:webHidden/>
          </w:rPr>
          <w:instrText xml:space="preserve"> PAGEREF _Toc164153855 \h </w:instrText>
        </w:r>
        <w:r w:rsidR="001818DF">
          <w:rPr>
            <w:noProof/>
            <w:webHidden/>
          </w:rPr>
        </w:r>
        <w:r w:rsidR="001818DF">
          <w:rPr>
            <w:noProof/>
            <w:webHidden/>
          </w:rPr>
          <w:fldChar w:fldCharType="separate"/>
        </w:r>
        <w:r w:rsidR="009E4901">
          <w:rPr>
            <w:noProof/>
            <w:webHidden/>
          </w:rPr>
          <w:t>202</w:t>
        </w:r>
        <w:r w:rsidR="001818DF">
          <w:rPr>
            <w:noProof/>
            <w:webHidden/>
          </w:rPr>
          <w:fldChar w:fldCharType="end"/>
        </w:r>
      </w:hyperlink>
    </w:p>
    <w:p w14:paraId="731FC0C3" w14:textId="263B3C1E"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56" w:history="1">
        <w:r w:rsidR="001818DF" w:rsidRPr="002E0857">
          <w:rPr>
            <w:rStyle w:val="Hyperlink"/>
            <w:rFonts w:cs="Calibri"/>
            <w:noProof/>
          </w:rPr>
          <w:t>Table 5.5.4</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rFonts w:cs="Calibri"/>
            <w:noProof/>
          </w:rPr>
          <w:t>Parameters for indirect nitrous oxide (N</w:t>
        </w:r>
        <w:r w:rsidR="001818DF" w:rsidRPr="002E0857">
          <w:rPr>
            <w:rStyle w:val="Hyperlink"/>
            <w:rFonts w:cs="Calibri"/>
            <w:noProof/>
            <w:vertAlign w:val="subscript"/>
          </w:rPr>
          <w:t>2</w:t>
        </w:r>
        <w:r w:rsidR="001818DF" w:rsidRPr="002E0857">
          <w:rPr>
            <w:rStyle w:val="Hyperlink"/>
            <w:rFonts w:cs="Calibri"/>
            <w:noProof/>
          </w:rPr>
          <w:t xml:space="preserve">O) emissions from </w:t>
        </w:r>
        <w:r w:rsidR="001818DF" w:rsidRPr="002E0857">
          <w:rPr>
            <w:rStyle w:val="Hyperlink"/>
            <w:rFonts w:cs="Calibri"/>
            <w:i/>
            <w:iCs/>
            <w:noProof/>
          </w:rPr>
          <w:t>Agricultural soils</w:t>
        </w:r>
        <w:r w:rsidR="001818DF" w:rsidRPr="002E0857">
          <w:rPr>
            <w:rStyle w:val="Hyperlink"/>
            <w:rFonts w:cs="Calibri"/>
            <w:noProof/>
          </w:rPr>
          <w:t xml:space="preserve"> in New Zealand</w:t>
        </w:r>
        <w:r w:rsidR="001818DF">
          <w:rPr>
            <w:noProof/>
            <w:webHidden/>
          </w:rPr>
          <w:tab/>
        </w:r>
        <w:r w:rsidR="001818DF">
          <w:rPr>
            <w:noProof/>
            <w:webHidden/>
          </w:rPr>
          <w:fldChar w:fldCharType="begin"/>
        </w:r>
        <w:r w:rsidR="001818DF">
          <w:rPr>
            <w:noProof/>
            <w:webHidden/>
          </w:rPr>
          <w:instrText xml:space="preserve"> PAGEREF _Toc164153856 \h </w:instrText>
        </w:r>
        <w:r w:rsidR="001818DF">
          <w:rPr>
            <w:noProof/>
            <w:webHidden/>
          </w:rPr>
        </w:r>
        <w:r w:rsidR="001818DF">
          <w:rPr>
            <w:noProof/>
            <w:webHidden/>
          </w:rPr>
          <w:fldChar w:fldCharType="separate"/>
        </w:r>
        <w:r w:rsidR="009E4901">
          <w:rPr>
            <w:noProof/>
            <w:webHidden/>
          </w:rPr>
          <w:t>202</w:t>
        </w:r>
        <w:r w:rsidR="001818DF">
          <w:rPr>
            <w:noProof/>
            <w:webHidden/>
          </w:rPr>
          <w:fldChar w:fldCharType="end"/>
        </w:r>
      </w:hyperlink>
    </w:p>
    <w:p w14:paraId="2432DE5F" w14:textId="05B36B17"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57" w:history="1">
        <w:r w:rsidR="001818DF" w:rsidRPr="002E0857">
          <w:rPr>
            <w:rStyle w:val="Hyperlink"/>
            <w:rFonts w:cs="Calibri"/>
            <w:noProof/>
          </w:rPr>
          <w:t>Table 5.5.5</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rFonts w:cs="Calibri"/>
            <w:noProof/>
          </w:rPr>
          <w:t>Emission factors and parameter values for use of mitigation technologies</w:t>
        </w:r>
        <w:r w:rsidR="001818DF">
          <w:rPr>
            <w:noProof/>
            <w:webHidden/>
          </w:rPr>
          <w:tab/>
        </w:r>
        <w:r w:rsidR="001818DF">
          <w:rPr>
            <w:noProof/>
            <w:webHidden/>
          </w:rPr>
          <w:fldChar w:fldCharType="begin"/>
        </w:r>
        <w:r w:rsidR="001818DF">
          <w:rPr>
            <w:noProof/>
            <w:webHidden/>
          </w:rPr>
          <w:instrText xml:space="preserve"> PAGEREF _Toc164153857 \h </w:instrText>
        </w:r>
        <w:r w:rsidR="001818DF">
          <w:rPr>
            <w:noProof/>
            <w:webHidden/>
          </w:rPr>
        </w:r>
        <w:r w:rsidR="001818DF">
          <w:rPr>
            <w:noProof/>
            <w:webHidden/>
          </w:rPr>
          <w:fldChar w:fldCharType="separate"/>
        </w:r>
        <w:r w:rsidR="009E4901">
          <w:rPr>
            <w:noProof/>
            <w:webHidden/>
          </w:rPr>
          <w:t>202</w:t>
        </w:r>
        <w:r w:rsidR="001818DF">
          <w:rPr>
            <w:noProof/>
            <w:webHidden/>
          </w:rPr>
          <w:fldChar w:fldCharType="end"/>
        </w:r>
      </w:hyperlink>
    </w:p>
    <w:p w14:paraId="4E899AC8" w14:textId="17E52DE5"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58" w:history="1">
        <w:r w:rsidR="001818DF" w:rsidRPr="002E0857">
          <w:rPr>
            <w:rStyle w:val="Hyperlink"/>
            <w:rFonts w:cs="Calibri"/>
            <w:noProof/>
          </w:rPr>
          <w:t>Table 5.5.6</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rFonts w:cs="Calibri"/>
            <w:noProof/>
          </w:rPr>
          <w:t>Number of replicate-level EF</w:t>
        </w:r>
        <w:r w:rsidR="001818DF" w:rsidRPr="002E0857">
          <w:rPr>
            <w:rStyle w:val="Hyperlink"/>
            <w:rFonts w:cs="Calibri"/>
            <w:noProof/>
            <w:vertAlign w:val="subscript"/>
          </w:rPr>
          <w:t>3</w:t>
        </w:r>
        <w:r w:rsidR="001818DF" w:rsidRPr="002E0857">
          <w:rPr>
            <w:rStyle w:val="Hyperlink"/>
            <w:rFonts w:cs="Calibri"/>
            <w:noProof/>
          </w:rPr>
          <w:t xml:space="preserve"> values collated by the van der Weerden et al. (2019, 2020) analysis, for each nitrogen source and topography (number of individual trials shown in brackets)</w:t>
        </w:r>
        <w:r w:rsidR="001818DF">
          <w:rPr>
            <w:noProof/>
            <w:webHidden/>
          </w:rPr>
          <w:tab/>
        </w:r>
        <w:r w:rsidR="001818DF">
          <w:rPr>
            <w:noProof/>
            <w:webHidden/>
          </w:rPr>
          <w:fldChar w:fldCharType="begin"/>
        </w:r>
        <w:r w:rsidR="001818DF">
          <w:rPr>
            <w:noProof/>
            <w:webHidden/>
          </w:rPr>
          <w:instrText xml:space="preserve"> PAGEREF _Toc164153858 \h </w:instrText>
        </w:r>
        <w:r w:rsidR="001818DF">
          <w:rPr>
            <w:noProof/>
            <w:webHidden/>
          </w:rPr>
        </w:r>
        <w:r w:rsidR="001818DF">
          <w:rPr>
            <w:noProof/>
            <w:webHidden/>
          </w:rPr>
          <w:fldChar w:fldCharType="separate"/>
        </w:r>
        <w:r w:rsidR="009E4901">
          <w:rPr>
            <w:noProof/>
            <w:webHidden/>
          </w:rPr>
          <w:t>209</w:t>
        </w:r>
        <w:r w:rsidR="001818DF">
          <w:rPr>
            <w:noProof/>
            <w:webHidden/>
          </w:rPr>
          <w:fldChar w:fldCharType="end"/>
        </w:r>
      </w:hyperlink>
    </w:p>
    <w:p w14:paraId="1003D44F" w14:textId="7DA8DE8A"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59" w:history="1">
        <w:r w:rsidR="001818DF" w:rsidRPr="002E0857">
          <w:rPr>
            <w:rStyle w:val="Hyperlink"/>
            <w:rFonts w:cs="Calibri"/>
            <w:noProof/>
          </w:rPr>
          <w:t>Table 5.5.7</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rFonts w:cs="Calibri"/>
            <w:noProof/>
          </w:rPr>
          <w:t>Number of replicate-level EF</w:t>
        </w:r>
        <w:r w:rsidR="001818DF" w:rsidRPr="002E0857">
          <w:rPr>
            <w:rStyle w:val="Hyperlink"/>
            <w:rFonts w:cs="Calibri"/>
            <w:noProof/>
            <w:vertAlign w:val="subscript"/>
          </w:rPr>
          <w:t>3</w:t>
        </w:r>
        <w:r w:rsidR="001818DF" w:rsidRPr="002E0857">
          <w:rPr>
            <w:rStyle w:val="Hyperlink"/>
            <w:rFonts w:cs="Calibri"/>
            <w:noProof/>
          </w:rPr>
          <w:t xml:space="preserve"> values collated by the van der Weerden et al. (2019, 2020) analysis, for each nitrogen source, season that trial was undertaken and topography</w:t>
        </w:r>
        <w:r w:rsidR="001818DF">
          <w:rPr>
            <w:noProof/>
            <w:webHidden/>
          </w:rPr>
          <w:tab/>
        </w:r>
        <w:r w:rsidR="001818DF">
          <w:rPr>
            <w:noProof/>
            <w:webHidden/>
          </w:rPr>
          <w:fldChar w:fldCharType="begin"/>
        </w:r>
        <w:r w:rsidR="001818DF">
          <w:rPr>
            <w:noProof/>
            <w:webHidden/>
          </w:rPr>
          <w:instrText xml:space="preserve"> PAGEREF _Toc164153859 \h </w:instrText>
        </w:r>
        <w:r w:rsidR="001818DF">
          <w:rPr>
            <w:noProof/>
            <w:webHidden/>
          </w:rPr>
        </w:r>
        <w:r w:rsidR="001818DF">
          <w:rPr>
            <w:noProof/>
            <w:webHidden/>
          </w:rPr>
          <w:fldChar w:fldCharType="separate"/>
        </w:r>
        <w:r w:rsidR="009E4901">
          <w:rPr>
            <w:noProof/>
            <w:webHidden/>
          </w:rPr>
          <w:t>209</w:t>
        </w:r>
        <w:r w:rsidR="001818DF">
          <w:rPr>
            <w:noProof/>
            <w:webHidden/>
          </w:rPr>
          <w:fldChar w:fldCharType="end"/>
        </w:r>
      </w:hyperlink>
    </w:p>
    <w:p w14:paraId="7DF49284" w14:textId="6E3E920F"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60" w:history="1">
        <w:r w:rsidR="001818DF" w:rsidRPr="002E0857">
          <w:rPr>
            <w:rStyle w:val="Hyperlink"/>
            <w:rFonts w:cs="Calibri"/>
            <w:noProof/>
          </w:rPr>
          <w:t>Table 5.5.8</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rFonts w:cs="Calibri"/>
            <w:noProof/>
          </w:rPr>
          <w:t>Trends and relative contribution of direct nitrous oxide emissions from urine and dung deposited by grazing animals per livestock category between 1990 and 2022</w:t>
        </w:r>
        <w:r w:rsidR="001818DF">
          <w:rPr>
            <w:noProof/>
            <w:webHidden/>
          </w:rPr>
          <w:tab/>
        </w:r>
        <w:r w:rsidR="001818DF">
          <w:rPr>
            <w:noProof/>
            <w:webHidden/>
          </w:rPr>
          <w:fldChar w:fldCharType="begin"/>
        </w:r>
        <w:r w:rsidR="001818DF">
          <w:rPr>
            <w:noProof/>
            <w:webHidden/>
          </w:rPr>
          <w:instrText xml:space="preserve"> PAGEREF _Toc164153860 \h </w:instrText>
        </w:r>
        <w:r w:rsidR="001818DF">
          <w:rPr>
            <w:noProof/>
            <w:webHidden/>
          </w:rPr>
        </w:r>
        <w:r w:rsidR="001818DF">
          <w:rPr>
            <w:noProof/>
            <w:webHidden/>
          </w:rPr>
          <w:fldChar w:fldCharType="separate"/>
        </w:r>
        <w:r w:rsidR="009E4901">
          <w:rPr>
            <w:noProof/>
            <w:webHidden/>
          </w:rPr>
          <w:t>211</w:t>
        </w:r>
        <w:r w:rsidR="001818DF">
          <w:rPr>
            <w:noProof/>
            <w:webHidden/>
          </w:rPr>
          <w:fldChar w:fldCharType="end"/>
        </w:r>
      </w:hyperlink>
    </w:p>
    <w:p w14:paraId="2AA5DE85" w14:textId="5DE6AC2D"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61" w:history="1">
        <w:r w:rsidR="001818DF" w:rsidRPr="002E0857">
          <w:rPr>
            <w:rStyle w:val="Hyperlink"/>
            <w:rFonts w:cs="Calibri"/>
            <w:noProof/>
          </w:rPr>
          <w:t>Table 5.5.9</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rFonts w:cs="Calibri"/>
            <w:noProof/>
          </w:rPr>
          <w:t>Mitigation impact of urease inhibitors on nitrous oxide emissions from volatilisation, from 2001 to 2022</w:t>
        </w:r>
        <w:r w:rsidR="001818DF">
          <w:rPr>
            <w:noProof/>
            <w:webHidden/>
          </w:rPr>
          <w:tab/>
        </w:r>
        <w:r w:rsidR="001818DF">
          <w:rPr>
            <w:noProof/>
            <w:webHidden/>
          </w:rPr>
          <w:fldChar w:fldCharType="begin"/>
        </w:r>
        <w:r w:rsidR="001818DF">
          <w:rPr>
            <w:noProof/>
            <w:webHidden/>
          </w:rPr>
          <w:instrText xml:space="preserve"> PAGEREF _Toc164153861 \h </w:instrText>
        </w:r>
        <w:r w:rsidR="001818DF">
          <w:rPr>
            <w:noProof/>
            <w:webHidden/>
          </w:rPr>
        </w:r>
        <w:r w:rsidR="001818DF">
          <w:rPr>
            <w:noProof/>
            <w:webHidden/>
          </w:rPr>
          <w:fldChar w:fldCharType="separate"/>
        </w:r>
        <w:r w:rsidR="009E4901">
          <w:rPr>
            <w:noProof/>
            <w:webHidden/>
          </w:rPr>
          <w:t>218</w:t>
        </w:r>
        <w:r w:rsidR="001818DF">
          <w:rPr>
            <w:noProof/>
            <w:webHidden/>
          </w:rPr>
          <w:fldChar w:fldCharType="end"/>
        </w:r>
      </w:hyperlink>
    </w:p>
    <w:p w14:paraId="385664DD" w14:textId="359EBE51"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62" w:history="1">
        <w:r w:rsidR="001818DF" w:rsidRPr="002E0857">
          <w:rPr>
            <w:rStyle w:val="Hyperlink"/>
            <w:rFonts w:cs="Calibri"/>
            <w:noProof/>
          </w:rPr>
          <w:t>Table 5.5.10</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rFonts w:cs="Calibri"/>
            <w:noProof/>
          </w:rPr>
          <w:t xml:space="preserve">Emission factors, parameters and mitigation for </w:t>
        </w:r>
        <w:r w:rsidR="001818DF" w:rsidRPr="002E0857">
          <w:rPr>
            <w:rStyle w:val="Hyperlink"/>
            <w:rFonts w:cs="Calibri"/>
            <w:noProof/>
            <w:spacing w:val="-2"/>
          </w:rPr>
          <w:t>New Zealand’s</w:t>
        </w:r>
        <w:r w:rsidR="001818DF" w:rsidRPr="002E0857">
          <w:rPr>
            <w:rStyle w:val="Hyperlink"/>
            <w:rFonts w:cs="Calibri"/>
            <w:noProof/>
          </w:rPr>
          <w:t xml:space="preserve"> dicyandiamide inhibitor calculations, from 2007 to 2012</w:t>
        </w:r>
        <w:r w:rsidR="001818DF">
          <w:rPr>
            <w:noProof/>
            <w:webHidden/>
          </w:rPr>
          <w:tab/>
        </w:r>
        <w:r w:rsidR="001818DF">
          <w:rPr>
            <w:noProof/>
            <w:webHidden/>
          </w:rPr>
          <w:fldChar w:fldCharType="begin"/>
        </w:r>
        <w:r w:rsidR="001818DF">
          <w:rPr>
            <w:noProof/>
            <w:webHidden/>
          </w:rPr>
          <w:instrText xml:space="preserve"> PAGEREF _Toc164153862 \h </w:instrText>
        </w:r>
        <w:r w:rsidR="001818DF">
          <w:rPr>
            <w:noProof/>
            <w:webHidden/>
          </w:rPr>
        </w:r>
        <w:r w:rsidR="001818DF">
          <w:rPr>
            <w:noProof/>
            <w:webHidden/>
          </w:rPr>
          <w:fldChar w:fldCharType="separate"/>
        </w:r>
        <w:r w:rsidR="009E4901">
          <w:rPr>
            <w:noProof/>
            <w:webHidden/>
          </w:rPr>
          <w:t>219</w:t>
        </w:r>
        <w:r w:rsidR="001818DF">
          <w:rPr>
            <w:noProof/>
            <w:webHidden/>
          </w:rPr>
          <w:fldChar w:fldCharType="end"/>
        </w:r>
      </w:hyperlink>
    </w:p>
    <w:p w14:paraId="6568563D" w14:textId="34D62E11"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63" w:history="1">
        <w:r w:rsidR="001818DF" w:rsidRPr="002E0857">
          <w:rPr>
            <w:rStyle w:val="Hyperlink"/>
            <w:rFonts w:cs="Calibri"/>
            <w:noProof/>
          </w:rPr>
          <w:t>Table 5.5.11</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rFonts w:cs="Calibri"/>
            <w:noProof/>
            <w:spacing w:val="-2"/>
          </w:rPr>
          <w:t>New Zealand’s</w:t>
        </w:r>
        <w:r w:rsidR="001818DF" w:rsidRPr="002E0857">
          <w:rPr>
            <w:rStyle w:val="Hyperlink"/>
            <w:rFonts w:cs="Calibri"/>
            <w:noProof/>
          </w:rPr>
          <w:t xml:space="preserve"> uncertainties in nitrous oxide (N</w:t>
        </w:r>
        <w:r w:rsidR="001818DF" w:rsidRPr="002E0857">
          <w:rPr>
            <w:rStyle w:val="Hyperlink"/>
            <w:rFonts w:cs="Calibri"/>
            <w:noProof/>
            <w:vertAlign w:val="subscript"/>
          </w:rPr>
          <w:t>2</w:t>
        </w:r>
        <w:r w:rsidR="001818DF" w:rsidRPr="002E0857">
          <w:rPr>
            <w:rStyle w:val="Hyperlink"/>
            <w:rFonts w:cs="Calibri"/>
            <w:noProof/>
          </w:rPr>
          <w:t xml:space="preserve">O) emissions from </w:t>
        </w:r>
        <w:r w:rsidR="001818DF" w:rsidRPr="002E0857">
          <w:rPr>
            <w:rStyle w:val="Hyperlink"/>
            <w:rFonts w:cs="Calibri"/>
            <w:i/>
            <w:iCs/>
            <w:noProof/>
          </w:rPr>
          <w:t>Agricultural soils</w:t>
        </w:r>
        <w:r w:rsidR="001818DF" w:rsidRPr="002E0857">
          <w:rPr>
            <w:rStyle w:val="Hyperlink"/>
            <w:rFonts w:cs="Calibri"/>
            <w:noProof/>
          </w:rPr>
          <w:t xml:space="preserve"> for 1990, 2002, 2012 and 2022 estimated using Monte Carlo simulation (1990, 2002), the 95 per cent confidence interval (2012) and the analytical method (2022)</w:t>
        </w:r>
        <w:r w:rsidR="001818DF">
          <w:rPr>
            <w:noProof/>
            <w:webHidden/>
          </w:rPr>
          <w:tab/>
        </w:r>
        <w:r w:rsidR="001818DF">
          <w:rPr>
            <w:noProof/>
            <w:webHidden/>
          </w:rPr>
          <w:fldChar w:fldCharType="begin"/>
        </w:r>
        <w:r w:rsidR="001818DF">
          <w:rPr>
            <w:noProof/>
            <w:webHidden/>
          </w:rPr>
          <w:instrText xml:space="preserve"> PAGEREF _Toc164153863 \h </w:instrText>
        </w:r>
        <w:r w:rsidR="001818DF">
          <w:rPr>
            <w:noProof/>
            <w:webHidden/>
          </w:rPr>
        </w:r>
        <w:r w:rsidR="001818DF">
          <w:rPr>
            <w:noProof/>
            <w:webHidden/>
          </w:rPr>
          <w:fldChar w:fldCharType="separate"/>
        </w:r>
        <w:r w:rsidR="009E4901">
          <w:rPr>
            <w:noProof/>
            <w:webHidden/>
          </w:rPr>
          <w:t>220</w:t>
        </w:r>
        <w:r w:rsidR="001818DF">
          <w:rPr>
            <w:noProof/>
            <w:webHidden/>
          </w:rPr>
          <w:fldChar w:fldCharType="end"/>
        </w:r>
      </w:hyperlink>
    </w:p>
    <w:p w14:paraId="6EC147D6" w14:textId="27EC4B7D"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64" w:history="1">
        <w:r w:rsidR="001818DF" w:rsidRPr="002E0857">
          <w:rPr>
            <w:rStyle w:val="Hyperlink"/>
            <w:rFonts w:cs="Calibri"/>
            <w:noProof/>
          </w:rPr>
          <w:t>Table 5.5.12</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rFonts w:cs="Calibri"/>
            <w:noProof/>
          </w:rPr>
          <w:t xml:space="preserve">Comparison of </w:t>
        </w:r>
        <w:r w:rsidR="001818DF" w:rsidRPr="002E0857">
          <w:rPr>
            <w:rStyle w:val="Hyperlink"/>
            <w:rFonts w:cs="Calibri"/>
            <w:noProof/>
            <w:spacing w:val="-2"/>
          </w:rPr>
          <w:t>New Zealand’s</w:t>
        </w:r>
        <w:r w:rsidR="001818DF" w:rsidRPr="002E0857">
          <w:rPr>
            <w:rStyle w:val="Hyperlink"/>
            <w:rFonts w:cs="Calibri"/>
            <w:noProof/>
          </w:rPr>
          <w:t xml:space="preserve"> implied emission factors (IEFs) for EF</w:t>
        </w:r>
        <w:r w:rsidR="001818DF" w:rsidRPr="002E0857">
          <w:rPr>
            <w:rStyle w:val="Hyperlink"/>
            <w:rFonts w:cs="Calibri"/>
            <w:noProof/>
            <w:vertAlign w:val="subscript"/>
          </w:rPr>
          <w:t>1</w:t>
        </w:r>
        <w:r w:rsidR="001818DF" w:rsidRPr="002E0857">
          <w:rPr>
            <w:rStyle w:val="Hyperlink"/>
            <w:rFonts w:cs="Calibri"/>
            <w:noProof/>
          </w:rPr>
          <w:t xml:space="preserve"> (synthetic nitrogen fertiliser) and EF</w:t>
        </w:r>
        <w:r w:rsidR="001818DF" w:rsidRPr="002E0857">
          <w:rPr>
            <w:rStyle w:val="Hyperlink"/>
            <w:rFonts w:cs="Calibri"/>
            <w:noProof/>
            <w:vertAlign w:val="subscript"/>
          </w:rPr>
          <w:t>3(PRP)</w:t>
        </w:r>
        <w:r w:rsidR="001818DF" w:rsidRPr="002E0857">
          <w:rPr>
            <w:rStyle w:val="Hyperlink"/>
            <w:rFonts w:cs="Calibri"/>
            <w:noProof/>
          </w:rPr>
          <w:t xml:space="preserve"> (pasture, range and paddock manure) with the IPCC default and the Australian-specific value</w:t>
        </w:r>
        <w:r w:rsidR="001818DF">
          <w:rPr>
            <w:noProof/>
            <w:webHidden/>
          </w:rPr>
          <w:tab/>
        </w:r>
        <w:r w:rsidR="001818DF">
          <w:rPr>
            <w:noProof/>
            <w:webHidden/>
          </w:rPr>
          <w:fldChar w:fldCharType="begin"/>
        </w:r>
        <w:r w:rsidR="001818DF">
          <w:rPr>
            <w:noProof/>
            <w:webHidden/>
          </w:rPr>
          <w:instrText xml:space="preserve"> PAGEREF _Toc164153864 \h </w:instrText>
        </w:r>
        <w:r w:rsidR="001818DF">
          <w:rPr>
            <w:noProof/>
            <w:webHidden/>
          </w:rPr>
        </w:r>
        <w:r w:rsidR="001818DF">
          <w:rPr>
            <w:noProof/>
            <w:webHidden/>
          </w:rPr>
          <w:fldChar w:fldCharType="separate"/>
        </w:r>
        <w:r w:rsidR="009E4901">
          <w:rPr>
            <w:noProof/>
            <w:webHidden/>
          </w:rPr>
          <w:t>221</w:t>
        </w:r>
        <w:r w:rsidR="001818DF">
          <w:rPr>
            <w:noProof/>
            <w:webHidden/>
          </w:rPr>
          <w:fldChar w:fldCharType="end"/>
        </w:r>
      </w:hyperlink>
    </w:p>
    <w:p w14:paraId="07EDC93E" w14:textId="62AB19ED"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65" w:history="1">
        <w:r w:rsidR="001818DF" w:rsidRPr="002E0857">
          <w:rPr>
            <w:rStyle w:val="Hyperlink"/>
            <w:rFonts w:cs="Calibri"/>
            <w:noProof/>
          </w:rPr>
          <w:t>Table 5.5.13</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rFonts w:cs="Calibri"/>
            <w:noProof/>
          </w:rPr>
          <w:t xml:space="preserve">Comparison of </w:t>
        </w:r>
        <w:r w:rsidR="001818DF" w:rsidRPr="002E0857">
          <w:rPr>
            <w:rStyle w:val="Hyperlink"/>
            <w:rFonts w:cs="Calibri"/>
            <w:noProof/>
            <w:spacing w:val="-2"/>
          </w:rPr>
          <w:t>New Zealand’s</w:t>
        </w:r>
        <w:r w:rsidR="001818DF" w:rsidRPr="002E0857">
          <w:rPr>
            <w:rStyle w:val="Hyperlink"/>
            <w:rFonts w:cs="Calibri"/>
            <w:noProof/>
          </w:rPr>
          <w:t xml:space="preserve"> country-specific factors for volatilisation (Frac</w:t>
        </w:r>
        <w:r w:rsidR="001818DF" w:rsidRPr="002E0857">
          <w:rPr>
            <w:rStyle w:val="Hyperlink"/>
            <w:rFonts w:cs="Calibri"/>
            <w:noProof/>
            <w:vertAlign w:val="subscript"/>
          </w:rPr>
          <w:t>GASF</w:t>
        </w:r>
        <w:r w:rsidR="001818DF" w:rsidRPr="002E0857">
          <w:rPr>
            <w:rStyle w:val="Hyperlink"/>
            <w:rFonts w:cs="Calibri"/>
            <w:noProof/>
          </w:rPr>
          <w:t>, Frac</w:t>
        </w:r>
        <w:r w:rsidR="001818DF" w:rsidRPr="002E0857">
          <w:rPr>
            <w:rStyle w:val="Hyperlink"/>
            <w:rFonts w:cs="Calibri"/>
            <w:noProof/>
            <w:vertAlign w:val="subscript"/>
          </w:rPr>
          <w:t>GASM</w:t>
        </w:r>
        <w:r w:rsidR="001818DF" w:rsidRPr="002E0857">
          <w:rPr>
            <w:rStyle w:val="Hyperlink"/>
            <w:rFonts w:cs="Calibri"/>
            <w:noProof/>
          </w:rPr>
          <w:t>) and leaching and runoff (Frac</w:t>
        </w:r>
        <w:r w:rsidR="001818DF" w:rsidRPr="002E0857">
          <w:rPr>
            <w:rStyle w:val="Hyperlink"/>
            <w:rFonts w:cs="Calibri"/>
            <w:noProof/>
            <w:vertAlign w:val="subscript"/>
          </w:rPr>
          <w:t>LEACH-(H)</w:t>
        </w:r>
        <w:r w:rsidR="001818DF" w:rsidRPr="002E0857">
          <w:rPr>
            <w:rStyle w:val="Hyperlink"/>
            <w:rFonts w:cs="Calibri"/>
            <w:noProof/>
          </w:rPr>
          <w:t>) with the IPCC default value and the Australian implied emission factor (IEF)</w:t>
        </w:r>
        <w:r w:rsidR="001818DF">
          <w:rPr>
            <w:noProof/>
            <w:webHidden/>
          </w:rPr>
          <w:tab/>
        </w:r>
        <w:r w:rsidR="001818DF">
          <w:rPr>
            <w:noProof/>
            <w:webHidden/>
          </w:rPr>
          <w:fldChar w:fldCharType="begin"/>
        </w:r>
        <w:r w:rsidR="001818DF">
          <w:rPr>
            <w:noProof/>
            <w:webHidden/>
          </w:rPr>
          <w:instrText xml:space="preserve"> PAGEREF _Toc164153865 \h </w:instrText>
        </w:r>
        <w:r w:rsidR="001818DF">
          <w:rPr>
            <w:noProof/>
            <w:webHidden/>
          </w:rPr>
        </w:r>
        <w:r w:rsidR="001818DF">
          <w:rPr>
            <w:noProof/>
            <w:webHidden/>
          </w:rPr>
          <w:fldChar w:fldCharType="separate"/>
        </w:r>
        <w:r w:rsidR="009E4901">
          <w:rPr>
            <w:noProof/>
            <w:webHidden/>
          </w:rPr>
          <w:t>222</w:t>
        </w:r>
        <w:r w:rsidR="001818DF">
          <w:rPr>
            <w:noProof/>
            <w:webHidden/>
          </w:rPr>
          <w:fldChar w:fldCharType="end"/>
        </w:r>
      </w:hyperlink>
    </w:p>
    <w:p w14:paraId="484E0399" w14:textId="1C7E5A4A"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66" w:history="1">
        <w:r w:rsidR="001818DF" w:rsidRPr="002E0857">
          <w:rPr>
            <w:rStyle w:val="Hyperlink"/>
            <w:rFonts w:cs="Calibri"/>
            <w:noProof/>
          </w:rPr>
          <w:t>Table 5.5.14</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rFonts w:cs="Calibri"/>
            <w:noProof/>
          </w:rPr>
          <w:t>Comparison of the previous and improved non-dairy cattle population model on emissions from </w:t>
        </w:r>
        <w:r w:rsidR="001818DF" w:rsidRPr="002E0857">
          <w:rPr>
            <w:rStyle w:val="Hyperlink"/>
            <w:rFonts w:cs="Calibri"/>
            <w:i/>
            <w:iCs/>
            <w:noProof/>
          </w:rPr>
          <w:t>Agricultural soils</w:t>
        </w:r>
        <w:r w:rsidR="001818DF">
          <w:rPr>
            <w:noProof/>
            <w:webHidden/>
          </w:rPr>
          <w:tab/>
        </w:r>
        <w:r w:rsidR="001818DF">
          <w:rPr>
            <w:noProof/>
            <w:webHidden/>
          </w:rPr>
          <w:fldChar w:fldCharType="begin"/>
        </w:r>
        <w:r w:rsidR="001818DF">
          <w:rPr>
            <w:noProof/>
            <w:webHidden/>
          </w:rPr>
          <w:instrText xml:space="preserve"> PAGEREF _Toc164153866 \h </w:instrText>
        </w:r>
        <w:r w:rsidR="001818DF">
          <w:rPr>
            <w:noProof/>
            <w:webHidden/>
          </w:rPr>
        </w:r>
        <w:r w:rsidR="001818DF">
          <w:rPr>
            <w:noProof/>
            <w:webHidden/>
          </w:rPr>
          <w:fldChar w:fldCharType="separate"/>
        </w:r>
        <w:r w:rsidR="009E4901">
          <w:rPr>
            <w:noProof/>
            <w:webHidden/>
          </w:rPr>
          <w:t>222</w:t>
        </w:r>
        <w:r w:rsidR="001818DF">
          <w:rPr>
            <w:noProof/>
            <w:webHidden/>
          </w:rPr>
          <w:fldChar w:fldCharType="end"/>
        </w:r>
      </w:hyperlink>
    </w:p>
    <w:p w14:paraId="73ECE7A2" w14:textId="4BB480D0"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67" w:history="1">
        <w:r w:rsidR="001818DF" w:rsidRPr="002E0857">
          <w:rPr>
            <w:rStyle w:val="Hyperlink"/>
            <w:rFonts w:cs="Calibri"/>
            <w:noProof/>
          </w:rPr>
          <w:t>Table 5.5.15</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rFonts w:cs="Calibri"/>
            <w:noProof/>
          </w:rPr>
          <w:t>Comparison of the proportion of lambs held over to a second slaughter date for emissions from </w:t>
        </w:r>
        <w:r w:rsidR="001818DF" w:rsidRPr="002E0857">
          <w:rPr>
            <w:rStyle w:val="Hyperlink"/>
            <w:rFonts w:cs="Calibri"/>
            <w:i/>
            <w:noProof/>
          </w:rPr>
          <w:t>Agricultural soils</w:t>
        </w:r>
        <w:r w:rsidR="001818DF">
          <w:rPr>
            <w:noProof/>
            <w:webHidden/>
          </w:rPr>
          <w:tab/>
        </w:r>
        <w:r w:rsidR="001818DF">
          <w:rPr>
            <w:noProof/>
            <w:webHidden/>
          </w:rPr>
          <w:fldChar w:fldCharType="begin"/>
        </w:r>
        <w:r w:rsidR="001818DF">
          <w:rPr>
            <w:noProof/>
            <w:webHidden/>
          </w:rPr>
          <w:instrText xml:space="preserve"> PAGEREF _Toc164153867 \h </w:instrText>
        </w:r>
        <w:r w:rsidR="001818DF">
          <w:rPr>
            <w:noProof/>
            <w:webHidden/>
          </w:rPr>
        </w:r>
        <w:r w:rsidR="001818DF">
          <w:rPr>
            <w:noProof/>
            <w:webHidden/>
          </w:rPr>
          <w:fldChar w:fldCharType="separate"/>
        </w:r>
        <w:r w:rsidR="009E4901">
          <w:rPr>
            <w:noProof/>
            <w:webHidden/>
          </w:rPr>
          <w:t>223</w:t>
        </w:r>
        <w:r w:rsidR="001818DF">
          <w:rPr>
            <w:noProof/>
            <w:webHidden/>
          </w:rPr>
          <w:fldChar w:fldCharType="end"/>
        </w:r>
      </w:hyperlink>
    </w:p>
    <w:p w14:paraId="627F36FF" w14:textId="372A456B"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68" w:history="1">
        <w:r w:rsidR="001818DF" w:rsidRPr="002E0857">
          <w:rPr>
            <w:rStyle w:val="Hyperlink"/>
            <w:rFonts w:cs="Calibri"/>
            <w:noProof/>
          </w:rPr>
          <w:t>Table 5.5.16</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rFonts w:cs="Calibri"/>
            <w:noProof/>
          </w:rPr>
          <w:t>Comparison of Excel-based and R-based systems for emissions from</w:t>
        </w:r>
        <w:r w:rsidR="001818DF">
          <w:rPr>
            <w:rStyle w:val="Hyperlink"/>
            <w:rFonts w:cs="Calibri"/>
            <w:noProof/>
          </w:rPr>
          <w:t xml:space="preserve"> </w:t>
        </w:r>
        <w:r w:rsidR="001818DF" w:rsidRPr="002E0857">
          <w:rPr>
            <w:rStyle w:val="Hyperlink"/>
            <w:rFonts w:cs="Calibri"/>
            <w:i/>
            <w:noProof/>
          </w:rPr>
          <w:t>Agricultural</w:t>
        </w:r>
        <w:r w:rsidR="001818DF">
          <w:rPr>
            <w:rStyle w:val="Hyperlink"/>
            <w:rFonts w:cs="Calibri"/>
            <w:i/>
            <w:noProof/>
          </w:rPr>
          <w:t> </w:t>
        </w:r>
        <w:r w:rsidR="001818DF" w:rsidRPr="002E0857">
          <w:rPr>
            <w:rStyle w:val="Hyperlink"/>
            <w:rFonts w:cs="Calibri"/>
            <w:i/>
            <w:noProof/>
          </w:rPr>
          <w:t>soils</w:t>
        </w:r>
        <w:r w:rsidR="001818DF">
          <w:rPr>
            <w:noProof/>
            <w:webHidden/>
          </w:rPr>
          <w:tab/>
        </w:r>
        <w:r w:rsidR="001818DF">
          <w:rPr>
            <w:noProof/>
            <w:webHidden/>
          </w:rPr>
          <w:fldChar w:fldCharType="begin"/>
        </w:r>
        <w:r w:rsidR="001818DF">
          <w:rPr>
            <w:noProof/>
            <w:webHidden/>
          </w:rPr>
          <w:instrText xml:space="preserve"> PAGEREF _Toc164153868 \h </w:instrText>
        </w:r>
        <w:r w:rsidR="001818DF">
          <w:rPr>
            <w:noProof/>
            <w:webHidden/>
          </w:rPr>
        </w:r>
        <w:r w:rsidR="001818DF">
          <w:rPr>
            <w:noProof/>
            <w:webHidden/>
          </w:rPr>
          <w:fldChar w:fldCharType="separate"/>
        </w:r>
        <w:r w:rsidR="009E4901">
          <w:rPr>
            <w:noProof/>
            <w:webHidden/>
          </w:rPr>
          <w:t>223</w:t>
        </w:r>
        <w:r w:rsidR="001818DF">
          <w:rPr>
            <w:noProof/>
            <w:webHidden/>
          </w:rPr>
          <w:fldChar w:fldCharType="end"/>
        </w:r>
      </w:hyperlink>
    </w:p>
    <w:p w14:paraId="456DCC4C" w14:textId="3B3A027C"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69" w:history="1">
        <w:r w:rsidR="001818DF" w:rsidRPr="002E0857">
          <w:rPr>
            <w:rStyle w:val="Hyperlink"/>
            <w:rFonts w:cs="Calibri"/>
            <w:noProof/>
          </w:rPr>
          <w:t>Table 5.5.17</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rFonts w:cs="Calibri"/>
            <w:noProof/>
          </w:rPr>
          <w:t>Comparison of model results with and without corrections from </w:t>
        </w:r>
        <w:r w:rsidR="001818DF" w:rsidRPr="002E0857">
          <w:rPr>
            <w:rStyle w:val="Hyperlink"/>
            <w:rFonts w:cs="Calibri"/>
            <w:i/>
            <w:noProof/>
          </w:rPr>
          <w:t>Agricultural soils</w:t>
        </w:r>
        <w:r w:rsidR="001818DF">
          <w:rPr>
            <w:noProof/>
            <w:webHidden/>
          </w:rPr>
          <w:tab/>
        </w:r>
        <w:r w:rsidR="001818DF">
          <w:rPr>
            <w:noProof/>
            <w:webHidden/>
          </w:rPr>
          <w:fldChar w:fldCharType="begin"/>
        </w:r>
        <w:r w:rsidR="001818DF">
          <w:rPr>
            <w:noProof/>
            <w:webHidden/>
          </w:rPr>
          <w:instrText xml:space="preserve"> PAGEREF _Toc164153869 \h </w:instrText>
        </w:r>
        <w:r w:rsidR="001818DF">
          <w:rPr>
            <w:noProof/>
            <w:webHidden/>
          </w:rPr>
        </w:r>
        <w:r w:rsidR="001818DF">
          <w:rPr>
            <w:noProof/>
            <w:webHidden/>
          </w:rPr>
          <w:fldChar w:fldCharType="separate"/>
        </w:r>
        <w:r w:rsidR="009E4901">
          <w:rPr>
            <w:noProof/>
            <w:webHidden/>
          </w:rPr>
          <w:t>223</w:t>
        </w:r>
        <w:r w:rsidR="001818DF">
          <w:rPr>
            <w:noProof/>
            <w:webHidden/>
          </w:rPr>
          <w:fldChar w:fldCharType="end"/>
        </w:r>
      </w:hyperlink>
    </w:p>
    <w:p w14:paraId="20435C86" w14:textId="6FE275EE"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70" w:history="1">
        <w:r w:rsidR="001818DF" w:rsidRPr="002E0857">
          <w:rPr>
            <w:rStyle w:val="Hyperlink"/>
            <w:rFonts w:cs="Calibri"/>
            <w:noProof/>
          </w:rPr>
          <w:t>Table 5.7.1</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rFonts w:cs="Calibri"/>
            <w:noProof/>
          </w:rPr>
          <w:t>Emission ratios for agricultural residue burning</w:t>
        </w:r>
        <w:r w:rsidR="001818DF">
          <w:rPr>
            <w:noProof/>
            <w:webHidden/>
          </w:rPr>
          <w:tab/>
        </w:r>
        <w:r w:rsidR="001818DF">
          <w:rPr>
            <w:noProof/>
            <w:webHidden/>
          </w:rPr>
          <w:fldChar w:fldCharType="begin"/>
        </w:r>
        <w:r w:rsidR="001818DF">
          <w:rPr>
            <w:noProof/>
            <w:webHidden/>
          </w:rPr>
          <w:instrText xml:space="preserve"> PAGEREF _Toc164153870 \h </w:instrText>
        </w:r>
        <w:r w:rsidR="001818DF">
          <w:rPr>
            <w:noProof/>
            <w:webHidden/>
          </w:rPr>
        </w:r>
        <w:r w:rsidR="001818DF">
          <w:rPr>
            <w:noProof/>
            <w:webHidden/>
          </w:rPr>
          <w:fldChar w:fldCharType="separate"/>
        </w:r>
        <w:r w:rsidR="009E4901">
          <w:rPr>
            <w:noProof/>
            <w:webHidden/>
          </w:rPr>
          <w:t>226</w:t>
        </w:r>
        <w:r w:rsidR="001818DF">
          <w:rPr>
            <w:noProof/>
            <w:webHidden/>
          </w:rPr>
          <w:fldChar w:fldCharType="end"/>
        </w:r>
      </w:hyperlink>
    </w:p>
    <w:p w14:paraId="53413D25" w14:textId="07D4BACE"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71" w:history="1">
        <w:r w:rsidR="001818DF" w:rsidRPr="002E0857">
          <w:rPr>
            <w:rStyle w:val="Hyperlink"/>
            <w:rFonts w:cs="Calibri"/>
            <w:noProof/>
          </w:rPr>
          <w:t xml:space="preserve">Table 5.7.2 </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rFonts w:cs="Calibri"/>
            <w:noProof/>
          </w:rPr>
          <w:t>Values used to calculate New Zealand emissions from burning of agricultural residues</w:t>
        </w:r>
        <w:r w:rsidR="001818DF">
          <w:rPr>
            <w:noProof/>
            <w:webHidden/>
          </w:rPr>
          <w:tab/>
        </w:r>
        <w:r w:rsidR="001818DF">
          <w:rPr>
            <w:noProof/>
            <w:webHidden/>
          </w:rPr>
          <w:fldChar w:fldCharType="begin"/>
        </w:r>
        <w:r w:rsidR="001818DF">
          <w:rPr>
            <w:noProof/>
            <w:webHidden/>
          </w:rPr>
          <w:instrText xml:space="preserve"> PAGEREF _Toc164153871 \h </w:instrText>
        </w:r>
        <w:r w:rsidR="001818DF">
          <w:rPr>
            <w:noProof/>
            <w:webHidden/>
          </w:rPr>
        </w:r>
        <w:r w:rsidR="001818DF">
          <w:rPr>
            <w:noProof/>
            <w:webHidden/>
          </w:rPr>
          <w:fldChar w:fldCharType="separate"/>
        </w:r>
        <w:r w:rsidR="009E4901">
          <w:rPr>
            <w:noProof/>
            <w:webHidden/>
          </w:rPr>
          <w:t>227</w:t>
        </w:r>
        <w:r w:rsidR="001818DF">
          <w:rPr>
            <w:noProof/>
            <w:webHidden/>
          </w:rPr>
          <w:fldChar w:fldCharType="end"/>
        </w:r>
      </w:hyperlink>
    </w:p>
    <w:p w14:paraId="08D3A4B0" w14:textId="693ED643"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72" w:history="1">
        <w:r w:rsidR="001818DF" w:rsidRPr="002E0857">
          <w:rPr>
            <w:rStyle w:val="Hyperlink"/>
            <w:noProof/>
          </w:rPr>
          <w:t xml:space="preserve">Table 6.1.1 </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New Zealand’s greenhouse gas net emissions for the LULUCF sector by category in 1990 and 2022</w:t>
        </w:r>
        <w:r w:rsidR="001818DF">
          <w:rPr>
            <w:noProof/>
            <w:webHidden/>
          </w:rPr>
          <w:tab/>
        </w:r>
        <w:r w:rsidR="001818DF">
          <w:rPr>
            <w:noProof/>
            <w:webHidden/>
          </w:rPr>
          <w:fldChar w:fldCharType="begin"/>
        </w:r>
        <w:r w:rsidR="001818DF">
          <w:rPr>
            <w:noProof/>
            <w:webHidden/>
          </w:rPr>
          <w:instrText xml:space="preserve"> PAGEREF _Toc164153872 \h </w:instrText>
        </w:r>
        <w:r w:rsidR="001818DF">
          <w:rPr>
            <w:noProof/>
            <w:webHidden/>
          </w:rPr>
        </w:r>
        <w:r w:rsidR="001818DF">
          <w:rPr>
            <w:noProof/>
            <w:webHidden/>
          </w:rPr>
          <w:fldChar w:fldCharType="separate"/>
        </w:r>
        <w:r w:rsidR="009E4901">
          <w:rPr>
            <w:noProof/>
            <w:webHidden/>
          </w:rPr>
          <w:t>240</w:t>
        </w:r>
        <w:r w:rsidR="001818DF">
          <w:rPr>
            <w:noProof/>
            <w:webHidden/>
          </w:rPr>
          <w:fldChar w:fldCharType="end"/>
        </w:r>
      </w:hyperlink>
    </w:p>
    <w:p w14:paraId="3A61AB29" w14:textId="09C4228C"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73" w:history="1">
        <w:r w:rsidR="001818DF" w:rsidRPr="002E0857">
          <w:rPr>
            <w:rStyle w:val="Hyperlink"/>
            <w:noProof/>
          </w:rPr>
          <w:t xml:space="preserve">Table 6.1.2 </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New Zealand’s greenhouse gas net emissions for the LULUCF sector by land use category in 2021 and 2022</w:t>
        </w:r>
        <w:r w:rsidR="001818DF">
          <w:rPr>
            <w:noProof/>
            <w:webHidden/>
          </w:rPr>
          <w:tab/>
        </w:r>
        <w:r w:rsidR="001818DF">
          <w:rPr>
            <w:noProof/>
            <w:webHidden/>
          </w:rPr>
          <w:fldChar w:fldCharType="begin"/>
        </w:r>
        <w:r w:rsidR="001818DF">
          <w:rPr>
            <w:noProof/>
            <w:webHidden/>
          </w:rPr>
          <w:instrText xml:space="preserve"> PAGEREF _Toc164153873 \h </w:instrText>
        </w:r>
        <w:r w:rsidR="001818DF">
          <w:rPr>
            <w:noProof/>
            <w:webHidden/>
          </w:rPr>
        </w:r>
        <w:r w:rsidR="001818DF">
          <w:rPr>
            <w:noProof/>
            <w:webHidden/>
          </w:rPr>
          <w:fldChar w:fldCharType="separate"/>
        </w:r>
        <w:r w:rsidR="009E4901">
          <w:rPr>
            <w:noProof/>
            <w:webHidden/>
          </w:rPr>
          <w:t>242</w:t>
        </w:r>
        <w:r w:rsidR="001818DF">
          <w:rPr>
            <w:noProof/>
            <w:webHidden/>
          </w:rPr>
          <w:fldChar w:fldCharType="end"/>
        </w:r>
      </w:hyperlink>
    </w:p>
    <w:p w14:paraId="4FF018B6" w14:textId="4F19DC32"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74" w:history="1">
        <w:r w:rsidR="001818DF" w:rsidRPr="002E0857">
          <w:rPr>
            <w:rStyle w:val="Hyperlink"/>
            <w:noProof/>
          </w:rPr>
          <w:t xml:space="preserve">Table 6.1.3 </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Land use in New Zealand in 2022</w:t>
        </w:r>
        <w:r w:rsidR="001818DF">
          <w:rPr>
            <w:noProof/>
            <w:webHidden/>
          </w:rPr>
          <w:tab/>
        </w:r>
        <w:r w:rsidR="001818DF">
          <w:rPr>
            <w:noProof/>
            <w:webHidden/>
          </w:rPr>
          <w:fldChar w:fldCharType="begin"/>
        </w:r>
        <w:r w:rsidR="001818DF">
          <w:rPr>
            <w:noProof/>
            <w:webHidden/>
          </w:rPr>
          <w:instrText xml:space="preserve"> PAGEREF _Toc164153874 \h </w:instrText>
        </w:r>
        <w:r w:rsidR="001818DF">
          <w:rPr>
            <w:noProof/>
            <w:webHidden/>
          </w:rPr>
        </w:r>
        <w:r w:rsidR="001818DF">
          <w:rPr>
            <w:noProof/>
            <w:webHidden/>
          </w:rPr>
          <w:fldChar w:fldCharType="separate"/>
        </w:r>
        <w:r w:rsidR="009E4901">
          <w:rPr>
            <w:noProof/>
            <w:webHidden/>
          </w:rPr>
          <w:t>243</w:t>
        </w:r>
        <w:r w:rsidR="001818DF">
          <w:rPr>
            <w:noProof/>
            <w:webHidden/>
          </w:rPr>
          <w:fldChar w:fldCharType="end"/>
        </w:r>
      </w:hyperlink>
    </w:p>
    <w:p w14:paraId="48F0EFA2" w14:textId="4C23D894"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75" w:history="1">
        <w:r w:rsidR="001818DF" w:rsidRPr="002E0857">
          <w:rPr>
            <w:rStyle w:val="Hyperlink"/>
            <w:noProof/>
          </w:rPr>
          <w:t>Table 6.1.4</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Relationships between land use, carbon pool and method of calculation used by New Zealand</w:t>
        </w:r>
        <w:r w:rsidR="001818DF">
          <w:rPr>
            <w:noProof/>
            <w:webHidden/>
          </w:rPr>
          <w:tab/>
        </w:r>
        <w:r w:rsidR="001818DF">
          <w:rPr>
            <w:noProof/>
            <w:webHidden/>
          </w:rPr>
          <w:fldChar w:fldCharType="begin"/>
        </w:r>
        <w:r w:rsidR="001818DF">
          <w:rPr>
            <w:noProof/>
            <w:webHidden/>
          </w:rPr>
          <w:instrText xml:space="preserve"> PAGEREF _Toc164153875 \h </w:instrText>
        </w:r>
        <w:r w:rsidR="001818DF">
          <w:rPr>
            <w:noProof/>
            <w:webHidden/>
          </w:rPr>
        </w:r>
        <w:r w:rsidR="001818DF">
          <w:rPr>
            <w:noProof/>
            <w:webHidden/>
          </w:rPr>
          <w:fldChar w:fldCharType="separate"/>
        </w:r>
        <w:r w:rsidR="009E4901">
          <w:rPr>
            <w:noProof/>
            <w:webHidden/>
          </w:rPr>
          <w:t>245</w:t>
        </w:r>
        <w:r w:rsidR="001818DF">
          <w:rPr>
            <w:noProof/>
            <w:webHidden/>
          </w:rPr>
          <w:fldChar w:fldCharType="end"/>
        </w:r>
      </w:hyperlink>
    </w:p>
    <w:p w14:paraId="5E25FACF" w14:textId="12DCF3F4"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76" w:history="1">
        <w:r w:rsidR="001818DF" w:rsidRPr="002E0857">
          <w:rPr>
            <w:rStyle w:val="Hyperlink"/>
            <w:noProof/>
          </w:rPr>
          <w:t>Table 6.1.5</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Land use categories making the greatest contribution to uncertainty in the LULUCF sector</w:t>
        </w:r>
        <w:r w:rsidR="001818DF">
          <w:rPr>
            <w:noProof/>
            <w:webHidden/>
          </w:rPr>
          <w:tab/>
        </w:r>
        <w:r w:rsidR="001818DF">
          <w:rPr>
            <w:noProof/>
            <w:webHidden/>
          </w:rPr>
          <w:fldChar w:fldCharType="begin"/>
        </w:r>
        <w:r w:rsidR="001818DF">
          <w:rPr>
            <w:noProof/>
            <w:webHidden/>
          </w:rPr>
          <w:instrText xml:space="preserve"> PAGEREF _Toc164153876 \h </w:instrText>
        </w:r>
        <w:r w:rsidR="001818DF">
          <w:rPr>
            <w:noProof/>
            <w:webHidden/>
          </w:rPr>
        </w:r>
        <w:r w:rsidR="001818DF">
          <w:rPr>
            <w:noProof/>
            <w:webHidden/>
          </w:rPr>
          <w:fldChar w:fldCharType="separate"/>
        </w:r>
        <w:r w:rsidR="009E4901">
          <w:rPr>
            <w:noProof/>
            <w:webHidden/>
          </w:rPr>
          <w:t>247</w:t>
        </w:r>
        <w:r w:rsidR="001818DF">
          <w:rPr>
            <w:noProof/>
            <w:webHidden/>
          </w:rPr>
          <w:fldChar w:fldCharType="end"/>
        </w:r>
      </w:hyperlink>
    </w:p>
    <w:p w14:paraId="7213B2AF" w14:textId="0B074C02"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77" w:history="1">
        <w:r w:rsidR="001818DF" w:rsidRPr="002E0857">
          <w:rPr>
            <w:rStyle w:val="Hyperlink"/>
            <w:noProof/>
          </w:rPr>
          <w:t>Table 6.1.6</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Recalculations to New Zealand’s total net LULUCF emissions for 1990 and 2021</w:t>
        </w:r>
        <w:r w:rsidR="001818DF">
          <w:rPr>
            <w:noProof/>
            <w:webHidden/>
          </w:rPr>
          <w:tab/>
        </w:r>
        <w:r w:rsidR="001818DF">
          <w:rPr>
            <w:noProof/>
            <w:webHidden/>
          </w:rPr>
          <w:fldChar w:fldCharType="begin"/>
        </w:r>
        <w:r w:rsidR="001818DF">
          <w:rPr>
            <w:noProof/>
            <w:webHidden/>
          </w:rPr>
          <w:instrText xml:space="preserve"> PAGEREF _Toc164153877 \h </w:instrText>
        </w:r>
        <w:r w:rsidR="001818DF">
          <w:rPr>
            <w:noProof/>
            <w:webHidden/>
          </w:rPr>
        </w:r>
        <w:r w:rsidR="001818DF">
          <w:rPr>
            <w:noProof/>
            <w:webHidden/>
          </w:rPr>
          <w:fldChar w:fldCharType="separate"/>
        </w:r>
        <w:r w:rsidR="009E4901">
          <w:rPr>
            <w:noProof/>
            <w:webHidden/>
          </w:rPr>
          <w:t>248</w:t>
        </w:r>
        <w:r w:rsidR="001818DF">
          <w:rPr>
            <w:noProof/>
            <w:webHidden/>
          </w:rPr>
          <w:fldChar w:fldCharType="end"/>
        </w:r>
      </w:hyperlink>
    </w:p>
    <w:p w14:paraId="78BADB75" w14:textId="1F368AF3"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78" w:history="1">
        <w:r w:rsidR="001818DF" w:rsidRPr="002E0857">
          <w:rPr>
            <w:rStyle w:val="Hyperlink"/>
            <w:noProof/>
          </w:rPr>
          <w:t>Table 6.1.7</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Recalculations to New Zealand’s net LULUCF emissions for 1990 and 2021 by category</w:t>
        </w:r>
        <w:r w:rsidR="001818DF">
          <w:rPr>
            <w:noProof/>
            <w:webHidden/>
          </w:rPr>
          <w:tab/>
        </w:r>
        <w:r w:rsidR="001818DF">
          <w:rPr>
            <w:noProof/>
            <w:webHidden/>
          </w:rPr>
          <w:fldChar w:fldCharType="begin"/>
        </w:r>
        <w:r w:rsidR="001818DF">
          <w:rPr>
            <w:noProof/>
            <w:webHidden/>
          </w:rPr>
          <w:instrText xml:space="preserve"> PAGEREF _Toc164153878 \h </w:instrText>
        </w:r>
        <w:r w:rsidR="001818DF">
          <w:rPr>
            <w:noProof/>
            <w:webHidden/>
          </w:rPr>
        </w:r>
        <w:r w:rsidR="001818DF">
          <w:rPr>
            <w:noProof/>
            <w:webHidden/>
          </w:rPr>
          <w:fldChar w:fldCharType="separate"/>
        </w:r>
        <w:r w:rsidR="009E4901">
          <w:rPr>
            <w:noProof/>
            <w:webHidden/>
          </w:rPr>
          <w:t>248</w:t>
        </w:r>
        <w:r w:rsidR="001818DF">
          <w:rPr>
            <w:noProof/>
            <w:webHidden/>
          </w:rPr>
          <w:fldChar w:fldCharType="end"/>
        </w:r>
      </w:hyperlink>
    </w:p>
    <w:p w14:paraId="33820952" w14:textId="043FA70E"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79" w:history="1">
        <w:r w:rsidR="001818DF" w:rsidRPr="002E0857">
          <w:rPr>
            <w:rStyle w:val="Hyperlink"/>
            <w:noProof/>
          </w:rPr>
          <w:t>Table 6.2.1</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New Zealand’s land use categories and land uses</w:t>
        </w:r>
        <w:r w:rsidR="001818DF">
          <w:rPr>
            <w:noProof/>
            <w:webHidden/>
          </w:rPr>
          <w:tab/>
        </w:r>
        <w:r w:rsidR="001818DF">
          <w:rPr>
            <w:noProof/>
            <w:webHidden/>
          </w:rPr>
          <w:fldChar w:fldCharType="begin"/>
        </w:r>
        <w:r w:rsidR="001818DF">
          <w:rPr>
            <w:noProof/>
            <w:webHidden/>
          </w:rPr>
          <w:instrText xml:space="preserve"> PAGEREF _Toc164153879 \h </w:instrText>
        </w:r>
        <w:r w:rsidR="001818DF">
          <w:rPr>
            <w:noProof/>
            <w:webHidden/>
          </w:rPr>
        </w:r>
        <w:r w:rsidR="001818DF">
          <w:rPr>
            <w:noProof/>
            <w:webHidden/>
          </w:rPr>
          <w:fldChar w:fldCharType="separate"/>
        </w:r>
        <w:r w:rsidR="009E4901">
          <w:rPr>
            <w:noProof/>
            <w:webHidden/>
          </w:rPr>
          <w:t>251</w:t>
        </w:r>
        <w:r w:rsidR="001818DF">
          <w:rPr>
            <w:noProof/>
            <w:webHidden/>
          </w:rPr>
          <w:fldChar w:fldCharType="end"/>
        </w:r>
      </w:hyperlink>
    </w:p>
    <w:p w14:paraId="1EAC6555" w14:textId="0CD39AB9"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80" w:history="1">
        <w:r w:rsidR="001818DF" w:rsidRPr="002E0857">
          <w:rPr>
            <w:rStyle w:val="Hyperlink"/>
            <w:noProof/>
          </w:rPr>
          <w:t>Table 6.2.2</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New Zealand’s mapping definitions for each land use</w:t>
        </w:r>
        <w:r w:rsidR="001818DF">
          <w:rPr>
            <w:noProof/>
            <w:webHidden/>
          </w:rPr>
          <w:tab/>
        </w:r>
        <w:r w:rsidR="001818DF">
          <w:rPr>
            <w:noProof/>
            <w:webHidden/>
          </w:rPr>
          <w:fldChar w:fldCharType="begin"/>
        </w:r>
        <w:r w:rsidR="001818DF">
          <w:rPr>
            <w:noProof/>
            <w:webHidden/>
          </w:rPr>
          <w:instrText xml:space="preserve"> PAGEREF _Toc164153880 \h </w:instrText>
        </w:r>
        <w:r w:rsidR="001818DF">
          <w:rPr>
            <w:noProof/>
            <w:webHidden/>
          </w:rPr>
        </w:r>
        <w:r w:rsidR="001818DF">
          <w:rPr>
            <w:noProof/>
            <w:webHidden/>
          </w:rPr>
          <w:fldChar w:fldCharType="separate"/>
        </w:r>
        <w:r w:rsidR="009E4901">
          <w:rPr>
            <w:noProof/>
            <w:webHidden/>
          </w:rPr>
          <w:t>252</w:t>
        </w:r>
        <w:r w:rsidR="001818DF">
          <w:rPr>
            <w:noProof/>
            <w:webHidden/>
          </w:rPr>
          <w:fldChar w:fldCharType="end"/>
        </w:r>
      </w:hyperlink>
    </w:p>
    <w:p w14:paraId="56B83FD9" w14:textId="2BCDB910"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81" w:history="1">
        <w:r w:rsidR="001818DF" w:rsidRPr="002E0857">
          <w:rPr>
            <w:rStyle w:val="Hyperlink"/>
            <w:noProof/>
          </w:rPr>
          <w:t>Table 6.2.3</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New Zealand’s land-use change matrix, from 1962 to 1989</w:t>
        </w:r>
        <w:r w:rsidR="001818DF">
          <w:rPr>
            <w:noProof/>
            <w:webHidden/>
          </w:rPr>
          <w:tab/>
        </w:r>
        <w:r w:rsidR="001818DF">
          <w:rPr>
            <w:noProof/>
            <w:webHidden/>
          </w:rPr>
          <w:fldChar w:fldCharType="begin"/>
        </w:r>
        <w:r w:rsidR="001818DF">
          <w:rPr>
            <w:noProof/>
            <w:webHidden/>
          </w:rPr>
          <w:instrText xml:space="preserve"> PAGEREF _Toc164153881 \h </w:instrText>
        </w:r>
        <w:r w:rsidR="001818DF">
          <w:rPr>
            <w:noProof/>
            <w:webHidden/>
          </w:rPr>
        </w:r>
        <w:r w:rsidR="001818DF">
          <w:rPr>
            <w:noProof/>
            <w:webHidden/>
          </w:rPr>
          <w:fldChar w:fldCharType="separate"/>
        </w:r>
        <w:r w:rsidR="009E4901">
          <w:rPr>
            <w:noProof/>
            <w:webHidden/>
          </w:rPr>
          <w:t>254</w:t>
        </w:r>
        <w:r w:rsidR="001818DF">
          <w:rPr>
            <w:noProof/>
            <w:webHidden/>
          </w:rPr>
          <w:fldChar w:fldCharType="end"/>
        </w:r>
      </w:hyperlink>
    </w:p>
    <w:p w14:paraId="75765D18" w14:textId="7F9262EF"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82" w:history="1">
        <w:r w:rsidR="001818DF" w:rsidRPr="002E0857">
          <w:rPr>
            <w:rStyle w:val="Hyperlink"/>
            <w:noProof/>
          </w:rPr>
          <w:t>Table 6.4.1</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New Zealand’s land-use change for the </w:t>
        </w:r>
        <w:r w:rsidR="001818DF" w:rsidRPr="002E0857">
          <w:rPr>
            <w:rStyle w:val="Hyperlink"/>
            <w:i/>
            <w:noProof/>
          </w:rPr>
          <w:t>Forest land</w:t>
        </w:r>
        <w:r w:rsidR="001818DF" w:rsidRPr="002E0857">
          <w:rPr>
            <w:rStyle w:val="Hyperlink"/>
            <w:noProof/>
          </w:rPr>
          <w:t xml:space="preserve"> category, and associated CO</w:t>
        </w:r>
        <w:r w:rsidR="001818DF" w:rsidRPr="002E0857">
          <w:rPr>
            <w:rStyle w:val="Hyperlink"/>
            <w:noProof/>
            <w:vertAlign w:val="subscript"/>
          </w:rPr>
          <w:t>2</w:t>
        </w:r>
        <w:r w:rsidR="001818DF" w:rsidRPr="002E0857">
          <w:rPr>
            <w:rStyle w:val="Hyperlink"/>
            <w:noProof/>
          </w:rPr>
          <w:t>-e emissions, in 1990 and 2022</w:t>
        </w:r>
        <w:r w:rsidR="001818DF">
          <w:rPr>
            <w:noProof/>
            <w:webHidden/>
          </w:rPr>
          <w:tab/>
        </w:r>
        <w:r w:rsidR="001818DF">
          <w:rPr>
            <w:noProof/>
            <w:webHidden/>
          </w:rPr>
          <w:fldChar w:fldCharType="begin"/>
        </w:r>
        <w:r w:rsidR="001818DF">
          <w:rPr>
            <w:noProof/>
            <w:webHidden/>
          </w:rPr>
          <w:instrText xml:space="preserve"> PAGEREF _Toc164153882 \h </w:instrText>
        </w:r>
        <w:r w:rsidR="001818DF">
          <w:rPr>
            <w:noProof/>
            <w:webHidden/>
          </w:rPr>
        </w:r>
        <w:r w:rsidR="001818DF">
          <w:rPr>
            <w:noProof/>
            <w:webHidden/>
          </w:rPr>
          <w:fldChar w:fldCharType="separate"/>
        </w:r>
        <w:r w:rsidR="009E4901">
          <w:rPr>
            <w:noProof/>
            <w:webHidden/>
          </w:rPr>
          <w:t>258</w:t>
        </w:r>
        <w:r w:rsidR="001818DF">
          <w:rPr>
            <w:noProof/>
            <w:webHidden/>
          </w:rPr>
          <w:fldChar w:fldCharType="end"/>
        </w:r>
      </w:hyperlink>
    </w:p>
    <w:p w14:paraId="58DE45D2" w14:textId="120800AC"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83" w:history="1">
        <w:r w:rsidR="001818DF" w:rsidRPr="002E0857">
          <w:rPr>
            <w:rStyle w:val="Hyperlink"/>
            <w:noProof/>
          </w:rPr>
          <w:t>Table 6.4.2</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Change in land area and associated CO</w:t>
        </w:r>
        <w:r w:rsidR="001818DF" w:rsidRPr="002E0857">
          <w:rPr>
            <w:rStyle w:val="Hyperlink"/>
            <w:noProof/>
            <w:vertAlign w:val="subscript"/>
          </w:rPr>
          <w:t>2</w:t>
        </w:r>
        <w:r w:rsidR="001818DF" w:rsidRPr="002E0857">
          <w:rPr>
            <w:rStyle w:val="Hyperlink"/>
            <w:noProof/>
          </w:rPr>
          <w:t xml:space="preserve"> emissions from carbon stock change between 1990 and 2022 for New Zealand’s</w:t>
        </w:r>
        <w:r w:rsidR="001818DF" w:rsidRPr="002E0857">
          <w:rPr>
            <w:rStyle w:val="Hyperlink"/>
            <w:i/>
            <w:noProof/>
          </w:rPr>
          <w:t xml:space="preserve"> Forest land</w:t>
        </w:r>
        <w:r w:rsidR="001818DF">
          <w:rPr>
            <w:noProof/>
            <w:webHidden/>
          </w:rPr>
          <w:tab/>
        </w:r>
        <w:r w:rsidR="001818DF">
          <w:rPr>
            <w:noProof/>
            <w:webHidden/>
          </w:rPr>
          <w:fldChar w:fldCharType="begin"/>
        </w:r>
        <w:r w:rsidR="001818DF">
          <w:rPr>
            <w:noProof/>
            <w:webHidden/>
          </w:rPr>
          <w:instrText xml:space="preserve"> PAGEREF _Toc164153883 \h </w:instrText>
        </w:r>
        <w:r w:rsidR="001818DF">
          <w:rPr>
            <w:noProof/>
            <w:webHidden/>
          </w:rPr>
        </w:r>
        <w:r w:rsidR="001818DF">
          <w:rPr>
            <w:noProof/>
            <w:webHidden/>
          </w:rPr>
          <w:fldChar w:fldCharType="separate"/>
        </w:r>
        <w:r w:rsidR="009E4901">
          <w:rPr>
            <w:noProof/>
            <w:webHidden/>
          </w:rPr>
          <w:t>259</w:t>
        </w:r>
        <w:r w:rsidR="001818DF">
          <w:rPr>
            <w:noProof/>
            <w:webHidden/>
          </w:rPr>
          <w:fldChar w:fldCharType="end"/>
        </w:r>
      </w:hyperlink>
    </w:p>
    <w:p w14:paraId="62297CE7" w14:textId="424F172A"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84" w:history="1">
        <w:r w:rsidR="001818DF" w:rsidRPr="002E0857">
          <w:rPr>
            <w:rStyle w:val="Hyperlink"/>
            <w:noProof/>
          </w:rPr>
          <w:t>Table 6.4.3</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New Zealand’s net carbon stock change by carbon pool for the</w:t>
        </w:r>
        <w:r w:rsidR="001818DF" w:rsidRPr="002E0857">
          <w:rPr>
            <w:rStyle w:val="Hyperlink"/>
            <w:rFonts w:cs="Arial Bold"/>
            <w:noProof/>
          </w:rPr>
          <w:t xml:space="preserve"> </w:t>
        </w:r>
        <w:r w:rsidR="001818DF" w:rsidRPr="002E0857">
          <w:rPr>
            <w:rStyle w:val="Hyperlink"/>
            <w:rFonts w:cs="Arial Bold"/>
            <w:i/>
            <w:noProof/>
          </w:rPr>
          <w:t>Forest</w:t>
        </w:r>
        <w:r w:rsidR="001818DF" w:rsidRPr="002E0857">
          <w:rPr>
            <w:rStyle w:val="Hyperlink"/>
            <w:i/>
            <w:noProof/>
          </w:rPr>
          <w:t xml:space="preserve"> land </w:t>
        </w:r>
        <w:r w:rsidR="001818DF" w:rsidRPr="002E0857">
          <w:rPr>
            <w:rStyle w:val="Hyperlink"/>
            <w:noProof/>
          </w:rPr>
          <w:t>category, from 1990 to 2022</w:t>
        </w:r>
        <w:r w:rsidR="001818DF">
          <w:rPr>
            <w:noProof/>
            <w:webHidden/>
          </w:rPr>
          <w:tab/>
        </w:r>
        <w:r w:rsidR="001818DF">
          <w:rPr>
            <w:noProof/>
            <w:webHidden/>
          </w:rPr>
          <w:fldChar w:fldCharType="begin"/>
        </w:r>
        <w:r w:rsidR="001818DF">
          <w:rPr>
            <w:noProof/>
            <w:webHidden/>
          </w:rPr>
          <w:instrText xml:space="preserve"> PAGEREF _Toc164153884 \h </w:instrText>
        </w:r>
        <w:r w:rsidR="001818DF">
          <w:rPr>
            <w:noProof/>
            <w:webHidden/>
          </w:rPr>
        </w:r>
        <w:r w:rsidR="001818DF">
          <w:rPr>
            <w:noProof/>
            <w:webHidden/>
          </w:rPr>
          <w:fldChar w:fldCharType="separate"/>
        </w:r>
        <w:r w:rsidR="009E4901">
          <w:rPr>
            <w:noProof/>
            <w:webHidden/>
          </w:rPr>
          <w:t>259</w:t>
        </w:r>
        <w:r w:rsidR="001818DF">
          <w:rPr>
            <w:noProof/>
            <w:webHidden/>
          </w:rPr>
          <w:fldChar w:fldCharType="end"/>
        </w:r>
      </w:hyperlink>
    </w:p>
    <w:p w14:paraId="6CA98E2B" w14:textId="63F083C3"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85" w:history="1">
        <w:r w:rsidR="001818DF" w:rsidRPr="002E0857">
          <w:rPr>
            <w:rStyle w:val="Hyperlink"/>
            <w:noProof/>
          </w:rPr>
          <w:t>Table 6.4.4</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New Zealand’s </w:t>
        </w:r>
        <w:r w:rsidR="001818DF" w:rsidRPr="002E0857">
          <w:rPr>
            <w:rStyle w:val="Hyperlink"/>
            <w:i/>
            <w:noProof/>
          </w:rPr>
          <w:t xml:space="preserve">Forest land </w:t>
        </w:r>
        <w:r w:rsidR="001818DF" w:rsidRPr="002E0857">
          <w:rPr>
            <w:rStyle w:val="Hyperlink"/>
            <w:noProof/>
          </w:rPr>
          <w:t>subject to deforestation, 1990 and 2022</w:t>
        </w:r>
        <w:r w:rsidR="001818DF">
          <w:rPr>
            <w:noProof/>
            <w:webHidden/>
          </w:rPr>
          <w:tab/>
        </w:r>
        <w:r w:rsidR="001818DF">
          <w:rPr>
            <w:noProof/>
            <w:webHidden/>
          </w:rPr>
          <w:fldChar w:fldCharType="begin"/>
        </w:r>
        <w:r w:rsidR="001818DF">
          <w:rPr>
            <w:noProof/>
            <w:webHidden/>
          </w:rPr>
          <w:instrText xml:space="preserve"> PAGEREF _Toc164153885 \h </w:instrText>
        </w:r>
        <w:r w:rsidR="001818DF">
          <w:rPr>
            <w:noProof/>
            <w:webHidden/>
          </w:rPr>
        </w:r>
        <w:r w:rsidR="001818DF">
          <w:rPr>
            <w:noProof/>
            <w:webHidden/>
          </w:rPr>
          <w:fldChar w:fldCharType="separate"/>
        </w:r>
        <w:r w:rsidR="009E4901">
          <w:rPr>
            <w:noProof/>
            <w:webHidden/>
          </w:rPr>
          <w:t>262</w:t>
        </w:r>
        <w:r w:rsidR="001818DF">
          <w:rPr>
            <w:noProof/>
            <w:webHidden/>
          </w:rPr>
          <w:fldChar w:fldCharType="end"/>
        </w:r>
      </w:hyperlink>
    </w:p>
    <w:p w14:paraId="3FC0092C" w14:textId="02271628"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86" w:history="1">
        <w:r w:rsidR="001818DF" w:rsidRPr="002E0857">
          <w:rPr>
            <w:rStyle w:val="Hyperlink"/>
            <w:noProof/>
          </w:rPr>
          <w:t>Table 6.4.5</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Pre-1990 natural forest categories and description</w:t>
        </w:r>
        <w:r w:rsidR="001818DF">
          <w:rPr>
            <w:noProof/>
            <w:webHidden/>
          </w:rPr>
          <w:tab/>
        </w:r>
        <w:r w:rsidR="001818DF">
          <w:rPr>
            <w:noProof/>
            <w:webHidden/>
          </w:rPr>
          <w:fldChar w:fldCharType="begin"/>
        </w:r>
        <w:r w:rsidR="001818DF">
          <w:rPr>
            <w:noProof/>
            <w:webHidden/>
          </w:rPr>
          <w:instrText xml:space="preserve"> PAGEREF _Toc164153886 \h </w:instrText>
        </w:r>
        <w:r w:rsidR="001818DF">
          <w:rPr>
            <w:noProof/>
            <w:webHidden/>
          </w:rPr>
        </w:r>
        <w:r w:rsidR="001818DF">
          <w:rPr>
            <w:noProof/>
            <w:webHidden/>
          </w:rPr>
          <w:fldChar w:fldCharType="separate"/>
        </w:r>
        <w:r w:rsidR="009E4901">
          <w:rPr>
            <w:noProof/>
            <w:webHidden/>
          </w:rPr>
          <w:t>263</w:t>
        </w:r>
        <w:r w:rsidR="001818DF">
          <w:rPr>
            <w:noProof/>
            <w:webHidden/>
          </w:rPr>
          <w:fldChar w:fldCharType="end"/>
        </w:r>
      </w:hyperlink>
    </w:p>
    <w:p w14:paraId="452CB912" w14:textId="2D4ECD1C"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87" w:history="1">
        <w:r w:rsidR="001818DF" w:rsidRPr="002E0857">
          <w:rPr>
            <w:rStyle w:val="Hyperlink"/>
            <w:noProof/>
          </w:rPr>
          <w:t>Table 6.4.6</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Areas of tall and regenerating pre-1990 natural forest in 1990 and 2022</w:t>
        </w:r>
        <w:r w:rsidR="001818DF">
          <w:rPr>
            <w:noProof/>
            <w:webHidden/>
          </w:rPr>
          <w:tab/>
        </w:r>
        <w:r w:rsidR="001818DF">
          <w:rPr>
            <w:noProof/>
            <w:webHidden/>
          </w:rPr>
          <w:fldChar w:fldCharType="begin"/>
        </w:r>
        <w:r w:rsidR="001818DF">
          <w:rPr>
            <w:noProof/>
            <w:webHidden/>
          </w:rPr>
          <w:instrText xml:space="preserve"> PAGEREF _Toc164153887 \h </w:instrText>
        </w:r>
        <w:r w:rsidR="001818DF">
          <w:rPr>
            <w:noProof/>
            <w:webHidden/>
          </w:rPr>
        </w:r>
        <w:r w:rsidR="001818DF">
          <w:rPr>
            <w:noProof/>
            <w:webHidden/>
          </w:rPr>
          <w:fldChar w:fldCharType="separate"/>
        </w:r>
        <w:r w:rsidR="009E4901">
          <w:rPr>
            <w:noProof/>
            <w:webHidden/>
          </w:rPr>
          <w:t>263</w:t>
        </w:r>
        <w:r w:rsidR="001818DF">
          <w:rPr>
            <w:noProof/>
            <w:webHidden/>
          </w:rPr>
          <w:fldChar w:fldCharType="end"/>
        </w:r>
      </w:hyperlink>
    </w:p>
    <w:p w14:paraId="5FC4CA71" w14:textId="2872D5F7"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88" w:history="1">
        <w:r w:rsidR="001818DF" w:rsidRPr="002E0857">
          <w:rPr>
            <w:rStyle w:val="Hyperlink"/>
            <w:noProof/>
          </w:rPr>
          <w:t>Table 6.4.7</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New Zealand’s pre-1990 natural forest deforestation area (ha), for natural forest categories, estimated by type, from 1990</w:t>
        </w:r>
        <w:r w:rsidR="001818DF" w:rsidRPr="002E0857">
          <w:rPr>
            <w:rStyle w:val="Hyperlink"/>
            <w:rFonts w:ascii="Arial" w:hAnsi="Arial" w:cs="Arial"/>
            <w:noProof/>
          </w:rPr>
          <w:t> </w:t>
        </w:r>
        <w:r w:rsidR="001818DF" w:rsidRPr="002E0857">
          <w:rPr>
            <w:rStyle w:val="Hyperlink"/>
            <w:noProof/>
          </w:rPr>
          <w:t>to</w:t>
        </w:r>
        <w:r w:rsidR="001818DF" w:rsidRPr="002E0857">
          <w:rPr>
            <w:rStyle w:val="Hyperlink"/>
            <w:rFonts w:ascii="Arial" w:hAnsi="Arial" w:cs="Arial"/>
            <w:noProof/>
          </w:rPr>
          <w:t> </w:t>
        </w:r>
        <w:r w:rsidR="001818DF" w:rsidRPr="002E0857">
          <w:rPr>
            <w:rStyle w:val="Hyperlink"/>
            <w:noProof/>
          </w:rPr>
          <w:t>2022</w:t>
        </w:r>
        <w:r w:rsidR="001818DF">
          <w:rPr>
            <w:noProof/>
            <w:webHidden/>
          </w:rPr>
          <w:tab/>
        </w:r>
        <w:r w:rsidR="001818DF">
          <w:rPr>
            <w:noProof/>
            <w:webHidden/>
          </w:rPr>
          <w:fldChar w:fldCharType="begin"/>
        </w:r>
        <w:r w:rsidR="001818DF">
          <w:rPr>
            <w:noProof/>
            <w:webHidden/>
          </w:rPr>
          <w:instrText xml:space="preserve"> PAGEREF _Toc164153888 \h </w:instrText>
        </w:r>
        <w:r w:rsidR="001818DF">
          <w:rPr>
            <w:noProof/>
            <w:webHidden/>
          </w:rPr>
        </w:r>
        <w:r w:rsidR="001818DF">
          <w:rPr>
            <w:noProof/>
            <w:webHidden/>
          </w:rPr>
          <w:fldChar w:fldCharType="separate"/>
        </w:r>
        <w:r w:rsidR="009E4901">
          <w:rPr>
            <w:noProof/>
            <w:webHidden/>
          </w:rPr>
          <w:t>263</w:t>
        </w:r>
        <w:r w:rsidR="001818DF">
          <w:rPr>
            <w:noProof/>
            <w:webHidden/>
          </w:rPr>
          <w:fldChar w:fldCharType="end"/>
        </w:r>
      </w:hyperlink>
    </w:p>
    <w:p w14:paraId="1B974844" w14:textId="55F42A2B"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89" w:history="1">
        <w:r w:rsidR="001818DF" w:rsidRPr="002E0857">
          <w:rPr>
            <w:rStyle w:val="Hyperlink"/>
            <w:noProof/>
          </w:rPr>
          <w:t>Table 6.4.8</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Summary of methods used to calculate New Zealand’s forest biomass carbon stock from plot data</w:t>
        </w:r>
        <w:r w:rsidR="001818DF">
          <w:rPr>
            <w:noProof/>
            <w:webHidden/>
          </w:rPr>
          <w:tab/>
        </w:r>
        <w:r w:rsidR="001818DF">
          <w:rPr>
            <w:noProof/>
            <w:webHidden/>
          </w:rPr>
          <w:fldChar w:fldCharType="begin"/>
        </w:r>
        <w:r w:rsidR="001818DF">
          <w:rPr>
            <w:noProof/>
            <w:webHidden/>
          </w:rPr>
          <w:instrText xml:space="preserve"> PAGEREF _Toc164153889 \h </w:instrText>
        </w:r>
        <w:r w:rsidR="001818DF">
          <w:rPr>
            <w:noProof/>
            <w:webHidden/>
          </w:rPr>
        </w:r>
        <w:r w:rsidR="001818DF">
          <w:rPr>
            <w:noProof/>
            <w:webHidden/>
          </w:rPr>
          <w:fldChar w:fldCharType="separate"/>
        </w:r>
        <w:r w:rsidR="009E4901">
          <w:rPr>
            <w:noProof/>
            <w:webHidden/>
          </w:rPr>
          <w:t>267</w:t>
        </w:r>
        <w:r w:rsidR="001818DF">
          <w:rPr>
            <w:noProof/>
            <w:webHidden/>
          </w:rPr>
          <w:fldChar w:fldCharType="end"/>
        </w:r>
      </w:hyperlink>
    </w:p>
    <w:p w14:paraId="15BC0BCF" w14:textId="66CB3914"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90" w:history="1">
        <w:r w:rsidR="001818DF" w:rsidRPr="002E0857">
          <w:rPr>
            <w:rStyle w:val="Hyperlink"/>
            <w:noProof/>
          </w:rPr>
          <w:t>Table 6.4.9</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Uncertainty in carbon stock change emissions in 2022 from </w:t>
        </w:r>
        <w:r w:rsidR="001818DF" w:rsidRPr="002E0857">
          <w:rPr>
            <w:rStyle w:val="Hyperlink"/>
            <w:i/>
            <w:noProof/>
          </w:rPr>
          <w:t>Forest land</w:t>
        </w:r>
        <w:r w:rsidR="001818DF">
          <w:rPr>
            <w:noProof/>
            <w:webHidden/>
          </w:rPr>
          <w:tab/>
        </w:r>
        <w:r w:rsidR="001818DF">
          <w:rPr>
            <w:noProof/>
            <w:webHidden/>
          </w:rPr>
          <w:fldChar w:fldCharType="begin"/>
        </w:r>
        <w:r w:rsidR="001818DF">
          <w:rPr>
            <w:noProof/>
            <w:webHidden/>
          </w:rPr>
          <w:instrText xml:space="preserve"> PAGEREF _Toc164153890 \h </w:instrText>
        </w:r>
        <w:r w:rsidR="001818DF">
          <w:rPr>
            <w:noProof/>
            <w:webHidden/>
          </w:rPr>
        </w:r>
        <w:r w:rsidR="001818DF">
          <w:rPr>
            <w:noProof/>
            <w:webHidden/>
          </w:rPr>
          <w:fldChar w:fldCharType="separate"/>
        </w:r>
        <w:r w:rsidR="009E4901">
          <w:rPr>
            <w:noProof/>
            <w:webHidden/>
          </w:rPr>
          <w:t>269</w:t>
        </w:r>
        <w:r w:rsidR="001818DF">
          <w:rPr>
            <w:noProof/>
            <w:webHidden/>
          </w:rPr>
          <w:fldChar w:fldCharType="end"/>
        </w:r>
      </w:hyperlink>
    </w:p>
    <w:p w14:paraId="6A1DB307" w14:textId="0FD2D1CD"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91" w:history="1">
        <w:r w:rsidR="001818DF" w:rsidRPr="002E0857">
          <w:rPr>
            <w:rStyle w:val="Hyperlink"/>
            <w:noProof/>
          </w:rPr>
          <w:t xml:space="preserve">Table 6.4.10 </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Recalculations of New Zealand’s estimates for the </w:t>
        </w:r>
        <w:r w:rsidR="001818DF" w:rsidRPr="002E0857">
          <w:rPr>
            <w:rStyle w:val="Hyperlink"/>
            <w:i/>
            <w:noProof/>
          </w:rPr>
          <w:t>Forest land</w:t>
        </w:r>
        <w:r w:rsidR="001818DF" w:rsidRPr="002E0857">
          <w:rPr>
            <w:rStyle w:val="Hyperlink"/>
            <w:noProof/>
          </w:rPr>
          <w:t xml:space="preserve"> category in 1990 and 2021</w:t>
        </w:r>
        <w:r w:rsidR="001818DF">
          <w:rPr>
            <w:noProof/>
            <w:webHidden/>
          </w:rPr>
          <w:tab/>
        </w:r>
        <w:r w:rsidR="001818DF">
          <w:rPr>
            <w:noProof/>
            <w:webHidden/>
          </w:rPr>
          <w:fldChar w:fldCharType="begin"/>
        </w:r>
        <w:r w:rsidR="001818DF">
          <w:rPr>
            <w:noProof/>
            <w:webHidden/>
          </w:rPr>
          <w:instrText xml:space="preserve"> PAGEREF _Toc164153891 \h </w:instrText>
        </w:r>
        <w:r w:rsidR="001818DF">
          <w:rPr>
            <w:noProof/>
            <w:webHidden/>
          </w:rPr>
        </w:r>
        <w:r w:rsidR="001818DF">
          <w:rPr>
            <w:noProof/>
            <w:webHidden/>
          </w:rPr>
          <w:fldChar w:fldCharType="separate"/>
        </w:r>
        <w:r w:rsidR="009E4901">
          <w:rPr>
            <w:noProof/>
            <w:webHidden/>
          </w:rPr>
          <w:t>269</w:t>
        </w:r>
        <w:r w:rsidR="001818DF">
          <w:rPr>
            <w:noProof/>
            <w:webHidden/>
          </w:rPr>
          <w:fldChar w:fldCharType="end"/>
        </w:r>
      </w:hyperlink>
    </w:p>
    <w:p w14:paraId="106A018A" w14:textId="6F132CC3"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92" w:history="1">
        <w:r w:rsidR="001818DF" w:rsidRPr="002E0857">
          <w:rPr>
            <w:rStyle w:val="Hyperlink"/>
            <w:noProof/>
          </w:rPr>
          <w:t>Table 6.5.1</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New Zealand’s land-use change by </w:t>
        </w:r>
        <w:r w:rsidR="001818DF" w:rsidRPr="002E0857">
          <w:rPr>
            <w:rStyle w:val="Hyperlink"/>
            <w:i/>
            <w:noProof/>
          </w:rPr>
          <w:t>Cropland</w:t>
        </w:r>
        <w:r w:rsidR="001818DF" w:rsidRPr="002E0857">
          <w:rPr>
            <w:rStyle w:val="Hyperlink"/>
            <w:noProof/>
          </w:rPr>
          <w:t xml:space="preserve"> category, and associated  CO</w:t>
        </w:r>
        <w:r w:rsidR="001818DF" w:rsidRPr="002E0857">
          <w:rPr>
            <w:rStyle w:val="Hyperlink"/>
            <w:noProof/>
            <w:vertAlign w:val="subscript"/>
          </w:rPr>
          <w:t>2</w:t>
        </w:r>
        <w:r w:rsidR="001818DF" w:rsidRPr="002E0857">
          <w:rPr>
            <w:rStyle w:val="Hyperlink"/>
            <w:noProof/>
          </w:rPr>
          <w:t>-e emissions, 1990 and 2022</w:t>
        </w:r>
        <w:r w:rsidR="001818DF">
          <w:rPr>
            <w:noProof/>
            <w:webHidden/>
          </w:rPr>
          <w:tab/>
        </w:r>
        <w:r w:rsidR="001818DF">
          <w:rPr>
            <w:noProof/>
            <w:webHidden/>
          </w:rPr>
          <w:fldChar w:fldCharType="begin"/>
        </w:r>
        <w:r w:rsidR="001818DF">
          <w:rPr>
            <w:noProof/>
            <w:webHidden/>
          </w:rPr>
          <w:instrText xml:space="preserve"> PAGEREF _Toc164153892 \h </w:instrText>
        </w:r>
        <w:r w:rsidR="001818DF">
          <w:rPr>
            <w:noProof/>
            <w:webHidden/>
          </w:rPr>
        </w:r>
        <w:r w:rsidR="001818DF">
          <w:rPr>
            <w:noProof/>
            <w:webHidden/>
          </w:rPr>
          <w:fldChar w:fldCharType="separate"/>
        </w:r>
        <w:r w:rsidR="009E4901">
          <w:rPr>
            <w:noProof/>
            <w:webHidden/>
          </w:rPr>
          <w:t>273</w:t>
        </w:r>
        <w:r w:rsidR="001818DF">
          <w:rPr>
            <w:noProof/>
            <w:webHidden/>
          </w:rPr>
          <w:fldChar w:fldCharType="end"/>
        </w:r>
      </w:hyperlink>
    </w:p>
    <w:p w14:paraId="4DC9D77C" w14:textId="6C2BBDC8"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93" w:history="1">
        <w:r w:rsidR="001818DF" w:rsidRPr="002E0857">
          <w:rPr>
            <w:rStyle w:val="Hyperlink"/>
            <w:noProof/>
          </w:rPr>
          <w:t>Table 6.5.2</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New Zealand’s carbon stock change by carbon pool for the</w:t>
        </w:r>
        <w:r w:rsidR="001818DF" w:rsidRPr="002E0857">
          <w:rPr>
            <w:rStyle w:val="Hyperlink"/>
            <w:rFonts w:cs="Arial Bold"/>
            <w:noProof/>
          </w:rPr>
          <w:t xml:space="preserve"> </w:t>
        </w:r>
        <w:r w:rsidR="001818DF" w:rsidRPr="002E0857">
          <w:rPr>
            <w:rStyle w:val="Hyperlink"/>
            <w:rFonts w:cs="Arial Bold"/>
            <w:i/>
            <w:noProof/>
          </w:rPr>
          <w:t>Crop</w:t>
        </w:r>
        <w:r w:rsidR="001818DF" w:rsidRPr="002E0857">
          <w:rPr>
            <w:rStyle w:val="Hyperlink"/>
            <w:i/>
            <w:noProof/>
          </w:rPr>
          <w:t>land</w:t>
        </w:r>
        <w:r w:rsidR="001818DF" w:rsidRPr="002E0857">
          <w:rPr>
            <w:rStyle w:val="Hyperlink"/>
            <w:noProof/>
          </w:rPr>
          <w:t xml:space="preserve"> category, from 1990 to 2022</w:t>
        </w:r>
        <w:r w:rsidR="001818DF">
          <w:rPr>
            <w:noProof/>
            <w:webHidden/>
          </w:rPr>
          <w:tab/>
        </w:r>
        <w:r w:rsidR="001818DF">
          <w:rPr>
            <w:noProof/>
            <w:webHidden/>
          </w:rPr>
          <w:fldChar w:fldCharType="begin"/>
        </w:r>
        <w:r w:rsidR="001818DF">
          <w:rPr>
            <w:noProof/>
            <w:webHidden/>
          </w:rPr>
          <w:instrText xml:space="preserve"> PAGEREF _Toc164153893 \h </w:instrText>
        </w:r>
        <w:r w:rsidR="001818DF">
          <w:rPr>
            <w:noProof/>
            <w:webHidden/>
          </w:rPr>
        </w:r>
        <w:r w:rsidR="001818DF">
          <w:rPr>
            <w:noProof/>
            <w:webHidden/>
          </w:rPr>
          <w:fldChar w:fldCharType="separate"/>
        </w:r>
        <w:r w:rsidR="009E4901">
          <w:rPr>
            <w:noProof/>
            <w:webHidden/>
          </w:rPr>
          <w:t>273</w:t>
        </w:r>
        <w:r w:rsidR="001818DF">
          <w:rPr>
            <w:noProof/>
            <w:webHidden/>
          </w:rPr>
          <w:fldChar w:fldCharType="end"/>
        </w:r>
      </w:hyperlink>
    </w:p>
    <w:p w14:paraId="535C8D68" w14:textId="156EF2C6"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94" w:history="1">
        <w:r w:rsidR="001818DF" w:rsidRPr="002E0857">
          <w:rPr>
            <w:rStyle w:val="Hyperlink"/>
            <w:noProof/>
          </w:rPr>
          <w:t>Table 6.5.3</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New Zealand’s land-use change by </w:t>
        </w:r>
        <w:r w:rsidR="001818DF" w:rsidRPr="002E0857">
          <w:rPr>
            <w:rStyle w:val="Hyperlink"/>
            <w:i/>
            <w:noProof/>
          </w:rPr>
          <w:t>Cropland</w:t>
        </w:r>
        <w:r w:rsidR="001818DF" w:rsidRPr="002E0857">
          <w:rPr>
            <w:rStyle w:val="Hyperlink"/>
            <w:noProof/>
          </w:rPr>
          <w:t xml:space="preserve"> land use, and associated CO</w:t>
        </w:r>
        <w:r w:rsidR="001818DF" w:rsidRPr="002E0857">
          <w:rPr>
            <w:rStyle w:val="Hyperlink"/>
            <w:noProof/>
            <w:vertAlign w:val="subscript"/>
          </w:rPr>
          <w:t>2</w:t>
        </w:r>
        <w:r w:rsidR="001818DF" w:rsidRPr="002E0857">
          <w:rPr>
            <w:rStyle w:val="Hyperlink"/>
            <w:noProof/>
          </w:rPr>
          <w:t xml:space="preserve"> emissions from carbon stock change, from 1990 to 2022</w:t>
        </w:r>
        <w:r w:rsidR="001818DF">
          <w:rPr>
            <w:noProof/>
            <w:webHidden/>
          </w:rPr>
          <w:tab/>
        </w:r>
        <w:r w:rsidR="001818DF">
          <w:rPr>
            <w:noProof/>
            <w:webHidden/>
          </w:rPr>
          <w:fldChar w:fldCharType="begin"/>
        </w:r>
        <w:r w:rsidR="001818DF">
          <w:rPr>
            <w:noProof/>
            <w:webHidden/>
          </w:rPr>
          <w:instrText xml:space="preserve"> PAGEREF _Toc164153894 \h </w:instrText>
        </w:r>
        <w:r w:rsidR="001818DF">
          <w:rPr>
            <w:noProof/>
            <w:webHidden/>
          </w:rPr>
        </w:r>
        <w:r w:rsidR="001818DF">
          <w:rPr>
            <w:noProof/>
            <w:webHidden/>
          </w:rPr>
          <w:fldChar w:fldCharType="separate"/>
        </w:r>
        <w:r w:rsidR="009E4901">
          <w:rPr>
            <w:noProof/>
            <w:webHidden/>
          </w:rPr>
          <w:t>274</w:t>
        </w:r>
        <w:r w:rsidR="001818DF">
          <w:rPr>
            <w:noProof/>
            <w:webHidden/>
          </w:rPr>
          <w:fldChar w:fldCharType="end"/>
        </w:r>
      </w:hyperlink>
    </w:p>
    <w:p w14:paraId="20A9B510" w14:textId="1057F5D3"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95" w:history="1">
        <w:r w:rsidR="001818DF" w:rsidRPr="002E0857">
          <w:rPr>
            <w:rStyle w:val="Hyperlink"/>
            <w:noProof/>
          </w:rPr>
          <w:t>Table 6.5.4</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New Zealand’s land-use change for the </w:t>
        </w:r>
        <w:r w:rsidR="001818DF" w:rsidRPr="002E0857">
          <w:rPr>
            <w:rStyle w:val="Hyperlink"/>
            <w:i/>
            <w:noProof/>
          </w:rPr>
          <w:t>Cropland</w:t>
        </w:r>
        <w:r w:rsidR="001818DF" w:rsidRPr="002E0857">
          <w:rPr>
            <w:rStyle w:val="Hyperlink"/>
            <w:noProof/>
          </w:rPr>
          <w:t xml:space="preserve"> category, from 1990 to 2022</w:t>
        </w:r>
        <w:r w:rsidR="001818DF">
          <w:rPr>
            <w:noProof/>
            <w:webHidden/>
          </w:rPr>
          <w:tab/>
        </w:r>
        <w:r w:rsidR="001818DF">
          <w:rPr>
            <w:noProof/>
            <w:webHidden/>
          </w:rPr>
          <w:fldChar w:fldCharType="begin"/>
        </w:r>
        <w:r w:rsidR="001818DF">
          <w:rPr>
            <w:noProof/>
            <w:webHidden/>
          </w:rPr>
          <w:instrText xml:space="preserve"> PAGEREF _Toc164153895 \h </w:instrText>
        </w:r>
        <w:r w:rsidR="001818DF">
          <w:rPr>
            <w:noProof/>
            <w:webHidden/>
          </w:rPr>
        </w:r>
        <w:r w:rsidR="001818DF">
          <w:rPr>
            <w:noProof/>
            <w:webHidden/>
          </w:rPr>
          <w:fldChar w:fldCharType="separate"/>
        </w:r>
        <w:r w:rsidR="009E4901">
          <w:rPr>
            <w:noProof/>
            <w:webHidden/>
          </w:rPr>
          <w:t>274</w:t>
        </w:r>
        <w:r w:rsidR="001818DF">
          <w:rPr>
            <w:noProof/>
            <w:webHidden/>
          </w:rPr>
          <w:fldChar w:fldCharType="end"/>
        </w:r>
      </w:hyperlink>
    </w:p>
    <w:p w14:paraId="2993D7F8" w14:textId="1F5EBE1E"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96" w:history="1">
        <w:r w:rsidR="001818DF" w:rsidRPr="002E0857">
          <w:rPr>
            <w:rStyle w:val="Hyperlink"/>
            <w:noProof/>
          </w:rPr>
          <w:t>Table 6.5.5</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Summary of New Zealand’s carbon stock change emission factors for the </w:t>
        </w:r>
        <w:r w:rsidR="001818DF" w:rsidRPr="002E0857">
          <w:rPr>
            <w:rStyle w:val="Hyperlink"/>
            <w:i/>
            <w:noProof/>
          </w:rPr>
          <w:t>Cropland</w:t>
        </w:r>
        <w:r w:rsidR="001818DF" w:rsidRPr="002E0857">
          <w:rPr>
            <w:rStyle w:val="Hyperlink"/>
            <w:noProof/>
          </w:rPr>
          <w:t xml:space="preserve"> category</w:t>
        </w:r>
        <w:r w:rsidR="001818DF">
          <w:rPr>
            <w:noProof/>
            <w:webHidden/>
          </w:rPr>
          <w:tab/>
        </w:r>
        <w:r w:rsidR="001818DF">
          <w:rPr>
            <w:noProof/>
            <w:webHidden/>
          </w:rPr>
          <w:fldChar w:fldCharType="begin"/>
        </w:r>
        <w:r w:rsidR="001818DF">
          <w:rPr>
            <w:noProof/>
            <w:webHidden/>
          </w:rPr>
          <w:instrText xml:space="preserve"> PAGEREF _Toc164153896 \h </w:instrText>
        </w:r>
        <w:r w:rsidR="001818DF">
          <w:rPr>
            <w:noProof/>
            <w:webHidden/>
          </w:rPr>
        </w:r>
        <w:r w:rsidR="001818DF">
          <w:rPr>
            <w:noProof/>
            <w:webHidden/>
          </w:rPr>
          <w:fldChar w:fldCharType="separate"/>
        </w:r>
        <w:r w:rsidR="009E4901">
          <w:rPr>
            <w:noProof/>
            <w:webHidden/>
          </w:rPr>
          <w:t>275</w:t>
        </w:r>
        <w:r w:rsidR="001818DF">
          <w:rPr>
            <w:noProof/>
            <w:webHidden/>
          </w:rPr>
          <w:fldChar w:fldCharType="end"/>
        </w:r>
      </w:hyperlink>
    </w:p>
    <w:p w14:paraId="27D0FE91" w14:textId="56B406E9"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97" w:history="1">
        <w:r w:rsidR="001818DF" w:rsidRPr="002E0857">
          <w:rPr>
            <w:rStyle w:val="Hyperlink"/>
            <w:noProof/>
          </w:rPr>
          <w:t>Table 6.5.6</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Uncertainty in net carbon stock change emissions in 2022 for </w:t>
        </w:r>
        <w:r w:rsidR="001818DF" w:rsidRPr="002E0857">
          <w:rPr>
            <w:rStyle w:val="Hyperlink"/>
            <w:bCs/>
            <w:noProof/>
          </w:rPr>
          <w:t xml:space="preserve">the </w:t>
        </w:r>
        <w:r w:rsidR="001818DF" w:rsidRPr="002E0857">
          <w:rPr>
            <w:rStyle w:val="Hyperlink"/>
            <w:i/>
            <w:noProof/>
          </w:rPr>
          <w:t>Cropland</w:t>
        </w:r>
        <w:r w:rsidR="001818DF" w:rsidRPr="002E0857">
          <w:rPr>
            <w:rStyle w:val="Hyperlink"/>
            <w:noProof/>
          </w:rPr>
          <w:t xml:space="preserve"> </w:t>
        </w:r>
        <w:r w:rsidR="001818DF" w:rsidRPr="002E0857">
          <w:rPr>
            <w:rStyle w:val="Hyperlink"/>
            <w:bCs/>
            <w:iCs/>
            <w:noProof/>
          </w:rPr>
          <w:t>category</w:t>
        </w:r>
        <w:r w:rsidR="001818DF">
          <w:rPr>
            <w:noProof/>
            <w:webHidden/>
          </w:rPr>
          <w:tab/>
        </w:r>
        <w:r w:rsidR="001818DF">
          <w:rPr>
            <w:noProof/>
            <w:webHidden/>
          </w:rPr>
          <w:fldChar w:fldCharType="begin"/>
        </w:r>
        <w:r w:rsidR="001818DF">
          <w:rPr>
            <w:noProof/>
            <w:webHidden/>
          </w:rPr>
          <w:instrText xml:space="preserve"> PAGEREF _Toc164153897 \h </w:instrText>
        </w:r>
        <w:r w:rsidR="001818DF">
          <w:rPr>
            <w:noProof/>
            <w:webHidden/>
          </w:rPr>
        </w:r>
        <w:r w:rsidR="001818DF">
          <w:rPr>
            <w:noProof/>
            <w:webHidden/>
          </w:rPr>
          <w:fldChar w:fldCharType="separate"/>
        </w:r>
        <w:r w:rsidR="009E4901">
          <w:rPr>
            <w:noProof/>
            <w:webHidden/>
          </w:rPr>
          <w:t>278</w:t>
        </w:r>
        <w:r w:rsidR="001818DF">
          <w:rPr>
            <w:noProof/>
            <w:webHidden/>
          </w:rPr>
          <w:fldChar w:fldCharType="end"/>
        </w:r>
      </w:hyperlink>
    </w:p>
    <w:p w14:paraId="17C2C05E" w14:textId="0C88807C"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98" w:history="1">
        <w:r w:rsidR="001818DF" w:rsidRPr="002E0857">
          <w:rPr>
            <w:rStyle w:val="Hyperlink"/>
            <w:noProof/>
          </w:rPr>
          <w:t>Table 6.5.7</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Recalculations of New Zealand’s net emissions from the </w:t>
        </w:r>
        <w:r w:rsidR="001818DF" w:rsidRPr="002E0857">
          <w:rPr>
            <w:rStyle w:val="Hyperlink"/>
            <w:i/>
            <w:noProof/>
          </w:rPr>
          <w:t>Cropland</w:t>
        </w:r>
        <w:r w:rsidR="001818DF" w:rsidRPr="002E0857">
          <w:rPr>
            <w:rStyle w:val="Hyperlink"/>
            <w:noProof/>
          </w:rPr>
          <w:t xml:space="preserve"> category in 1990 and 2021</w:t>
        </w:r>
        <w:r w:rsidR="001818DF">
          <w:rPr>
            <w:noProof/>
            <w:webHidden/>
          </w:rPr>
          <w:tab/>
        </w:r>
        <w:r w:rsidR="001818DF">
          <w:rPr>
            <w:noProof/>
            <w:webHidden/>
          </w:rPr>
          <w:fldChar w:fldCharType="begin"/>
        </w:r>
        <w:r w:rsidR="001818DF">
          <w:rPr>
            <w:noProof/>
            <w:webHidden/>
          </w:rPr>
          <w:instrText xml:space="preserve"> PAGEREF _Toc164153898 \h </w:instrText>
        </w:r>
        <w:r w:rsidR="001818DF">
          <w:rPr>
            <w:noProof/>
            <w:webHidden/>
          </w:rPr>
        </w:r>
        <w:r w:rsidR="001818DF">
          <w:rPr>
            <w:noProof/>
            <w:webHidden/>
          </w:rPr>
          <w:fldChar w:fldCharType="separate"/>
        </w:r>
        <w:r w:rsidR="009E4901">
          <w:rPr>
            <w:noProof/>
            <w:webHidden/>
          </w:rPr>
          <w:t>278</w:t>
        </w:r>
        <w:r w:rsidR="001818DF">
          <w:rPr>
            <w:noProof/>
            <w:webHidden/>
          </w:rPr>
          <w:fldChar w:fldCharType="end"/>
        </w:r>
      </w:hyperlink>
    </w:p>
    <w:p w14:paraId="255A98C3" w14:textId="3764B3A8"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899" w:history="1">
        <w:r w:rsidR="001818DF" w:rsidRPr="002E0857">
          <w:rPr>
            <w:rStyle w:val="Hyperlink"/>
            <w:noProof/>
          </w:rPr>
          <w:t>Table 6.6.1</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New Zealand’s land-use change for the </w:t>
        </w:r>
        <w:r w:rsidR="001818DF" w:rsidRPr="002E0857">
          <w:rPr>
            <w:rStyle w:val="Hyperlink"/>
            <w:i/>
            <w:noProof/>
          </w:rPr>
          <w:t>Grassland</w:t>
        </w:r>
        <w:r w:rsidR="001818DF" w:rsidRPr="002E0857">
          <w:rPr>
            <w:rStyle w:val="Hyperlink"/>
            <w:noProof/>
          </w:rPr>
          <w:t xml:space="preserve"> category, and associated CO</w:t>
        </w:r>
        <w:r w:rsidR="001818DF" w:rsidRPr="002E0857">
          <w:rPr>
            <w:rStyle w:val="Hyperlink"/>
            <w:noProof/>
            <w:vertAlign w:val="subscript"/>
          </w:rPr>
          <w:t>2</w:t>
        </w:r>
        <w:r w:rsidR="001818DF" w:rsidRPr="002E0857">
          <w:rPr>
            <w:rStyle w:val="Hyperlink"/>
            <w:noProof/>
          </w:rPr>
          <w:noBreakHyphen/>
          <w:t>e emissions, from 1990 to 2022</w:t>
        </w:r>
        <w:r w:rsidR="001818DF">
          <w:rPr>
            <w:noProof/>
            <w:webHidden/>
          </w:rPr>
          <w:tab/>
        </w:r>
        <w:r w:rsidR="001818DF">
          <w:rPr>
            <w:noProof/>
            <w:webHidden/>
          </w:rPr>
          <w:fldChar w:fldCharType="begin"/>
        </w:r>
        <w:r w:rsidR="001818DF">
          <w:rPr>
            <w:noProof/>
            <w:webHidden/>
          </w:rPr>
          <w:instrText xml:space="preserve"> PAGEREF _Toc164153899 \h </w:instrText>
        </w:r>
        <w:r w:rsidR="001818DF">
          <w:rPr>
            <w:noProof/>
            <w:webHidden/>
          </w:rPr>
        </w:r>
        <w:r w:rsidR="001818DF">
          <w:rPr>
            <w:noProof/>
            <w:webHidden/>
          </w:rPr>
          <w:fldChar w:fldCharType="separate"/>
        </w:r>
        <w:r w:rsidR="009E4901">
          <w:rPr>
            <w:noProof/>
            <w:webHidden/>
          </w:rPr>
          <w:t>279</w:t>
        </w:r>
        <w:r w:rsidR="001818DF">
          <w:rPr>
            <w:noProof/>
            <w:webHidden/>
          </w:rPr>
          <w:fldChar w:fldCharType="end"/>
        </w:r>
      </w:hyperlink>
    </w:p>
    <w:p w14:paraId="1FA336AD" w14:textId="7C9EDDC5"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00" w:history="1">
        <w:r w:rsidR="001818DF" w:rsidRPr="002E0857">
          <w:rPr>
            <w:rStyle w:val="Hyperlink"/>
            <w:noProof/>
          </w:rPr>
          <w:t>Table 6.6.2</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i/>
            <w:iCs/>
            <w:noProof/>
          </w:rPr>
          <w:t>Grassland with woody biomass</w:t>
        </w:r>
        <w:r w:rsidR="001818DF" w:rsidRPr="002E0857">
          <w:rPr>
            <w:rStyle w:val="Hyperlink"/>
            <w:noProof/>
          </w:rPr>
          <w:t xml:space="preserve"> categories and description</w:t>
        </w:r>
        <w:r w:rsidR="001818DF">
          <w:rPr>
            <w:noProof/>
            <w:webHidden/>
          </w:rPr>
          <w:tab/>
        </w:r>
        <w:r w:rsidR="001818DF">
          <w:rPr>
            <w:noProof/>
            <w:webHidden/>
          </w:rPr>
          <w:fldChar w:fldCharType="begin"/>
        </w:r>
        <w:r w:rsidR="001818DF">
          <w:rPr>
            <w:noProof/>
            <w:webHidden/>
          </w:rPr>
          <w:instrText xml:space="preserve"> PAGEREF _Toc164153900 \h </w:instrText>
        </w:r>
        <w:r w:rsidR="001818DF">
          <w:rPr>
            <w:noProof/>
            <w:webHidden/>
          </w:rPr>
        </w:r>
        <w:r w:rsidR="001818DF">
          <w:rPr>
            <w:noProof/>
            <w:webHidden/>
          </w:rPr>
          <w:fldChar w:fldCharType="separate"/>
        </w:r>
        <w:r w:rsidR="009E4901">
          <w:rPr>
            <w:noProof/>
            <w:webHidden/>
          </w:rPr>
          <w:t>280</w:t>
        </w:r>
        <w:r w:rsidR="001818DF">
          <w:rPr>
            <w:noProof/>
            <w:webHidden/>
          </w:rPr>
          <w:fldChar w:fldCharType="end"/>
        </w:r>
      </w:hyperlink>
    </w:p>
    <w:p w14:paraId="53754969" w14:textId="4FE89A2C"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01" w:history="1">
        <w:r w:rsidR="001818DF" w:rsidRPr="002E0857">
          <w:rPr>
            <w:rStyle w:val="Hyperlink"/>
            <w:noProof/>
          </w:rPr>
          <w:t>Table 6.6.3</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New Zealand’s carbon stock change by carbon pool for the</w:t>
        </w:r>
        <w:r w:rsidR="001818DF" w:rsidRPr="002E0857">
          <w:rPr>
            <w:rStyle w:val="Hyperlink"/>
            <w:rFonts w:cs="Arial Bold"/>
            <w:noProof/>
          </w:rPr>
          <w:t xml:space="preserve"> </w:t>
        </w:r>
        <w:r w:rsidR="001818DF" w:rsidRPr="002E0857">
          <w:rPr>
            <w:rStyle w:val="Hyperlink"/>
            <w:rFonts w:cs="Arial Bold"/>
            <w:i/>
            <w:noProof/>
          </w:rPr>
          <w:t>Grassland</w:t>
        </w:r>
        <w:r w:rsidR="001818DF" w:rsidRPr="002E0857">
          <w:rPr>
            <w:rStyle w:val="Hyperlink"/>
            <w:noProof/>
          </w:rPr>
          <w:t xml:space="preserve"> category, from 1990 to 2022</w:t>
        </w:r>
        <w:r w:rsidR="001818DF">
          <w:rPr>
            <w:noProof/>
            <w:webHidden/>
          </w:rPr>
          <w:tab/>
        </w:r>
        <w:r w:rsidR="001818DF">
          <w:rPr>
            <w:noProof/>
            <w:webHidden/>
          </w:rPr>
          <w:fldChar w:fldCharType="begin"/>
        </w:r>
        <w:r w:rsidR="001818DF">
          <w:rPr>
            <w:noProof/>
            <w:webHidden/>
          </w:rPr>
          <w:instrText xml:space="preserve"> PAGEREF _Toc164153901 \h </w:instrText>
        </w:r>
        <w:r w:rsidR="001818DF">
          <w:rPr>
            <w:noProof/>
            <w:webHidden/>
          </w:rPr>
        </w:r>
        <w:r w:rsidR="001818DF">
          <w:rPr>
            <w:noProof/>
            <w:webHidden/>
          </w:rPr>
          <w:fldChar w:fldCharType="separate"/>
        </w:r>
        <w:r w:rsidR="009E4901">
          <w:rPr>
            <w:noProof/>
            <w:webHidden/>
          </w:rPr>
          <w:t>281</w:t>
        </w:r>
        <w:r w:rsidR="001818DF">
          <w:rPr>
            <w:noProof/>
            <w:webHidden/>
          </w:rPr>
          <w:fldChar w:fldCharType="end"/>
        </w:r>
      </w:hyperlink>
    </w:p>
    <w:p w14:paraId="558E34AF" w14:textId="32E7D538"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02" w:history="1">
        <w:r w:rsidR="001818DF" w:rsidRPr="002E0857">
          <w:rPr>
            <w:rStyle w:val="Hyperlink"/>
            <w:noProof/>
          </w:rPr>
          <w:t>Table 6.6.4</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Summary of New Zealand’s biomass emission factors for </w:t>
        </w:r>
        <w:r w:rsidR="001818DF" w:rsidRPr="002E0857">
          <w:rPr>
            <w:rStyle w:val="Hyperlink"/>
            <w:i/>
            <w:noProof/>
          </w:rPr>
          <w:t>Grassland</w:t>
        </w:r>
        <w:r w:rsidR="001818DF">
          <w:rPr>
            <w:noProof/>
            <w:webHidden/>
          </w:rPr>
          <w:tab/>
        </w:r>
        <w:r w:rsidR="001818DF">
          <w:rPr>
            <w:noProof/>
            <w:webHidden/>
          </w:rPr>
          <w:fldChar w:fldCharType="begin"/>
        </w:r>
        <w:r w:rsidR="001818DF">
          <w:rPr>
            <w:noProof/>
            <w:webHidden/>
          </w:rPr>
          <w:instrText xml:space="preserve"> PAGEREF _Toc164153902 \h </w:instrText>
        </w:r>
        <w:r w:rsidR="001818DF">
          <w:rPr>
            <w:noProof/>
            <w:webHidden/>
          </w:rPr>
        </w:r>
        <w:r w:rsidR="001818DF">
          <w:rPr>
            <w:noProof/>
            <w:webHidden/>
          </w:rPr>
          <w:fldChar w:fldCharType="separate"/>
        </w:r>
        <w:r w:rsidR="009E4901">
          <w:rPr>
            <w:noProof/>
            <w:webHidden/>
          </w:rPr>
          <w:t>281</w:t>
        </w:r>
        <w:r w:rsidR="001818DF">
          <w:rPr>
            <w:noProof/>
            <w:webHidden/>
          </w:rPr>
          <w:fldChar w:fldCharType="end"/>
        </w:r>
      </w:hyperlink>
    </w:p>
    <w:p w14:paraId="4B87FADC" w14:textId="23FBE31C"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03" w:history="1">
        <w:r w:rsidR="001818DF" w:rsidRPr="002E0857">
          <w:rPr>
            <w:rStyle w:val="Hyperlink"/>
            <w:noProof/>
          </w:rPr>
          <w:t>Table 6.6.5</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Uncertainty in carbon stock change emissions in 2022 for </w:t>
        </w:r>
        <w:r w:rsidR="001818DF" w:rsidRPr="002E0857">
          <w:rPr>
            <w:rStyle w:val="Hyperlink"/>
            <w:i/>
            <w:noProof/>
          </w:rPr>
          <w:t>Grassland</w:t>
        </w:r>
        <w:r w:rsidR="001818DF">
          <w:rPr>
            <w:noProof/>
            <w:webHidden/>
          </w:rPr>
          <w:tab/>
        </w:r>
        <w:r w:rsidR="001818DF">
          <w:rPr>
            <w:noProof/>
            <w:webHidden/>
          </w:rPr>
          <w:fldChar w:fldCharType="begin"/>
        </w:r>
        <w:r w:rsidR="001818DF">
          <w:rPr>
            <w:noProof/>
            <w:webHidden/>
          </w:rPr>
          <w:instrText xml:space="preserve"> PAGEREF _Toc164153903 \h </w:instrText>
        </w:r>
        <w:r w:rsidR="001818DF">
          <w:rPr>
            <w:noProof/>
            <w:webHidden/>
          </w:rPr>
        </w:r>
        <w:r w:rsidR="001818DF">
          <w:rPr>
            <w:noProof/>
            <w:webHidden/>
          </w:rPr>
          <w:fldChar w:fldCharType="separate"/>
        </w:r>
        <w:r w:rsidR="009E4901">
          <w:rPr>
            <w:noProof/>
            <w:webHidden/>
          </w:rPr>
          <w:t>284</w:t>
        </w:r>
        <w:r w:rsidR="001818DF">
          <w:rPr>
            <w:noProof/>
            <w:webHidden/>
          </w:rPr>
          <w:fldChar w:fldCharType="end"/>
        </w:r>
      </w:hyperlink>
    </w:p>
    <w:p w14:paraId="3AAFA93B" w14:textId="0B210141"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04" w:history="1">
        <w:r w:rsidR="001818DF" w:rsidRPr="002E0857">
          <w:rPr>
            <w:rStyle w:val="Hyperlink"/>
            <w:noProof/>
          </w:rPr>
          <w:t>Table 6.6.6</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Recalculations of New Zealand’s net emissions from the </w:t>
        </w:r>
        <w:r w:rsidR="001818DF" w:rsidRPr="002E0857">
          <w:rPr>
            <w:rStyle w:val="Hyperlink"/>
            <w:i/>
            <w:noProof/>
          </w:rPr>
          <w:t>Grassland</w:t>
        </w:r>
        <w:r w:rsidR="001818DF" w:rsidRPr="002E0857">
          <w:rPr>
            <w:rStyle w:val="Hyperlink"/>
            <w:noProof/>
          </w:rPr>
          <w:t xml:space="preserve"> category in 1990 and 2021</w:t>
        </w:r>
        <w:r w:rsidR="001818DF">
          <w:rPr>
            <w:noProof/>
            <w:webHidden/>
          </w:rPr>
          <w:tab/>
        </w:r>
        <w:r w:rsidR="001818DF">
          <w:rPr>
            <w:noProof/>
            <w:webHidden/>
          </w:rPr>
          <w:fldChar w:fldCharType="begin"/>
        </w:r>
        <w:r w:rsidR="001818DF">
          <w:rPr>
            <w:noProof/>
            <w:webHidden/>
          </w:rPr>
          <w:instrText xml:space="preserve"> PAGEREF _Toc164153904 \h </w:instrText>
        </w:r>
        <w:r w:rsidR="001818DF">
          <w:rPr>
            <w:noProof/>
            <w:webHidden/>
          </w:rPr>
        </w:r>
        <w:r w:rsidR="001818DF">
          <w:rPr>
            <w:noProof/>
            <w:webHidden/>
          </w:rPr>
          <w:fldChar w:fldCharType="separate"/>
        </w:r>
        <w:r w:rsidR="009E4901">
          <w:rPr>
            <w:noProof/>
            <w:webHidden/>
          </w:rPr>
          <w:t>284</w:t>
        </w:r>
        <w:r w:rsidR="001818DF">
          <w:rPr>
            <w:noProof/>
            <w:webHidden/>
          </w:rPr>
          <w:fldChar w:fldCharType="end"/>
        </w:r>
      </w:hyperlink>
    </w:p>
    <w:p w14:paraId="7FFC1811" w14:textId="1F650863"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05" w:history="1">
        <w:r w:rsidR="001818DF" w:rsidRPr="002E0857">
          <w:rPr>
            <w:rStyle w:val="Hyperlink"/>
            <w:noProof/>
          </w:rPr>
          <w:t>Table 6.7.1</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New Zealand’s land-use change for the </w:t>
        </w:r>
        <w:r w:rsidR="001818DF" w:rsidRPr="002E0857">
          <w:rPr>
            <w:rStyle w:val="Hyperlink"/>
            <w:i/>
            <w:noProof/>
          </w:rPr>
          <w:t>Wetlands</w:t>
        </w:r>
        <w:r w:rsidR="001818DF" w:rsidRPr="002E0857">
          <w:rPr>
            <w:rStyle w:val="Hyperlink"/>
            <w:noProof/>
          </w:rPr>
          <w:t xml:space="preserve"> category, and associated CO</w:t>
        </w:r>
        <w:r w:rsidR="001818DF" w:rsidRPr="002E0857">
          <w:rPr>
            <w:rStyle w:val="Hyperlink"/>
            <w:noProof/>
            <w:vertAlign w:val="subscript"/>
          </w:rPr>
          <w:t>2</w:t>
        </w:r>
        <w:r w:rsidR="001818DF" w:rsidRPr="002E0857">
          <w:rPr>
            <w:rStyle w:val="Hyperlink"/>
            <w:noProof/>
          </w:rPr>
          <w:noBreakHyphen/>
          <w:t>e emissions, in 1990 and 2022</w:t>
        </w:r>
        <w:r w:rsidR="001818DF">
          <w:rPr>
            <w:noProof/>
            <w:webHidden/>
          </w:rPr>
          <w:tab/>
        </w:r>
        <w:r w:rsidR="001818DF">
          <w:rPr>
            <w:noProof/>
            <w:webHidden/>
          </w:rPr>
          <w:fldChar w:fldCharType="begin"/>
        </w:r>
        <w:r w:rsidR="001818DF">
          <w:rPr>
            <w:noProof/>
            <w:webHidden/>
          </w:rPr>
          <w:instrText xml:space="preserve"> PAGEREF _Toc164153905 \h </w:instrText>
        </w:r>
        <w:r w:rsidR="001818DF">
          <w:rPr>
            <w:noProof/>
            <w:webHidden/>
          </w:rPr>
        </w:r>
        <w:r w:rsidR="001818DF">
          <w:rPr>
            <w:noProof/>
            <w:webHidden/>
          </w:rPr>
          <w:fldChar w:fldCharType="separate"/>
        </w:r>
        <w:r w:rsidR="009E4901">
          <w:rPr>
            <w:noProof/>
            <w:webHidden/>
          </w:rPr>
          <w:t>285</w:t>
        </w:r>
        <w:r w:rsidR="001818DF">
          <w:rPr>
            <w:noProof/>
            <w:webHidden/>
          </w:rPr>
          <w:fldChar w:fldCharType="end"/>
        </w:r>
      </w:hyperlink>
    </w:p>
    <w:p w14:paraId="05344A00" w14:textId="3F2E738B"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06" w:history="1">
        <w:r w:rsidR="001818DF" w:rsidRPr="002E0857">
          <w:rPr>
            <w:rStyle w:val="Hyperlink"/>
            <w:noProof/>
          </w:rPr>
          <w:t>Table 6.7.2</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spacing w:val="-2"/>
          </w:rPr>
          <w:t xml:space="preserve">New Zealand’s carbon stock change by carbon pool for the </w:t>
        </w:r>
        <w:r w:rsidR="001818DF" w:rsidRPr="002E0857">
          <w:rPr>
            <w:rStyle w:val="Hyperlink"/>
            <w:i/>
            <w:noProof/>
            <w:spacing w:val="-2"/>
          </w:rPr>
          <w:t>Wetlands</w:t>
        </w:r>
        <w:r w:rsidR="001818DF" w:rsidRPr="002E0857">
          <w:rPr>
            <w:rStyle w:val="Hyperlink"/>
            <w:noProof/>
            <w:spacing w:val="-2"/>
          </w:rPr>
          <w:t xml:space="preserve"> category, from 1990 to 2022</w:t>
        </w:r>
        <w:r w:rsidR="001818DF">
          <w:rPr>
            <w:noProof/>
            <w:webHidden/>
          </w:rPr>
          <w:tab/>
        </w:r>
        <w:r w:rsidR="001818DF">
          <w:rPr>
            <w:noProof/>
            <w:webHidden/>
          </w:rPr>
          <w:fldChar w:fldCharType="begin"/>
        </w:r>
        <w:r w:rsidR="001818DF">
          <w:rPr>
            <w:noProof/>
            <w:webHidden/>
          </w:rPr>
          <w:instrText xml:space="preserve"> PAGEREF _Toc164153906 \h </w:instrText>
        </w:r>
        <w:r w:rsidR="001818DF">
          <w:rPr>
            <w:noProof/>
            <w:webHidden/>
          </w:rPr>
        </w:r>
        <w:r w:rsidR="001818DF">
          <w:rPr>
            <w:noProof/>
            <w:webHidden/>
          </w:rPr>
          <w:fldChar w:fldCharType="separate"/>
        </w:r>
        <w:r w:rsidR="009E4901">
          <w:rPr>
            <w:noProof/>
            <w:webHidden/>
          </w:rPr>
          <w:t>286</w:t>
        </w:r>
        <w:r w:rsidR="001818DF">
          <w:rPr>
            <w:noProof/>
            <w:webHidden/>
          </w:rPr>
          <w:fldChar w:fldCharType="end"/>
        </w:r>
      </w:hyperlink>
    </w:p>
    <w:p w14:paraId="4207A55C" w14:textId="2883B8B0"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07" w:history="1">
        <w:r w:rsidR="001818DF" w:rsidRPr="002E0857">
          <w:rPr>
            <w:rStyle w:val="Hyperlink"/>
            <w:noProof/>
          </w:rPr>
          <w:t>Table 6.7.3</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Summary of New Zealand’s biomass emission factors for </w:t>
        </w:r>
        <w:r w:rsidR="001818DF" w:rsidRPr="002E0857">
          <w:rPr>
            <w:rStyle w:val="Hyperlink"/>
            <w:i/>
            <w:noProof/>
          </w:rPr>
          <w:t>Wetlands</w:t>
        </w:r>
        <w:r w:rsidR="001818DF">
          <w:rPr>
            <w:noProof/>
            <w:webHidden/>
          </w:rPr>
          <w:tab/>
        </w:r>
        <w:r w:rsidR="001818DF">
          <w:rPr>
            <w:noProof/>
            <w:webHidden/>
          </w:rPr>
          <w:fldChar w:fldCharType="begin"/>
        </w:r>
        <w:r w:rsidR="001818DF">
          <w:rPr>
            <w:noProof/>
            <w:webHidden/>
          </w:rPr>
          <w:instrText xml:space="preserve"> PAGEREF _Toc164153907 \h </w:instrText>
        </w:r>
        <w:r w:rsidR="001818DF">
          <w:rPr>
            <w:noProof/>
            <w:webHidden/>
          </w:rPr>
        </w:r>
        <w:r w:rsidR="001818DF">
          <w:rPr>
            <w:noProof/>
            <w:webHidden/>
          </w:rPr>
          <w:fldChar w:fldCharType="separate"/>
        </w:r>
        <w:r w:rsidR="009E4901">
          <w:rPr>
            <w:noProof/>
            <w:webHidden/>
          </w:rPr>
          <w:t>288</w:t>
        </w:r>
        <w:r w:rsidR="001818DF">
          <w:rPr>
            <w:noProof/>
            <w:webHidden/>
          </w:rPr>
          <w:fldChar w:fldCharType="end"/>
        </w:r>
      </w:hyperlink>
    </w:p>
    <w:p w14:paraId="3A5F9F93" w14:textId="1E71F001"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08" w:history="1">
        <w:r w:rsidR="001818DF" w:rsidRPr="002E0857">
          <w:rPr>
            <w:rStyle w:val="Hyperlink"/>
            <w:noProof/>
          </w:rPr>
          <w:t>Table 6.7.4</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Uncertainty in carbon stock change emissions in 2022 for </w:t>
        </w:r>
        <w:r w:rsidR="001818DF" w:rsidRPr="002E0857">
          <w:rPr>
            <w:rStyle w:val="Hyperlink"/>
            <w:i/>
            <w:noProof/>
          </w:rPr>
          <w:t>Wetlands</w:t>
        </w:r>
        <w:r w:rsidR="001818DF">
          <w:rPr>
            <w:noProof/>
            <w:webHidden/>
          </w:rPr>
          <w:tab/>
        </w:r>
        <w:r w:rsidR="001818DF">
          <w:rPr>
            <w:noProof/>
            <w:webHidden/>
          </w:rPr>
          <w:fldChar w:fldCharType="begin"/>
        </w:r>
        <w:r w:rsidR="001818DF">
          <w:rPr>
            <w:noProof/>
            <w:webHidden/>
          </w:rPr>
          <w:instrText xml:space="preserve"> PAGEREF _Toc164153908 \h </w:instrText>
        </w:r>
        <w:r w:rsidR="001818DF">
          <w:rPr>
            <w:noProof/>
            <w:webHidden/>
          </w:rPr>
        </w:r>
        <w:r w:rsidR="001818DF">
          <w:rPr>
            <w:noProof/>
            <w:webHidden/>
          </w:rPr>
          <w:fldChar w:fldCharType="separate"/>
        </w:r>
        <w:r w:rsidR="009E4901">
          <w:rPr>
            <w:noProof/>
            <w:webHidden/>
          </w:rPr>
          <w:t>289</w:t>
        </w:r>
        <w:r w:rsidR="001818DF">
          <w:rPr>
            <w:noProof/>
            <w:webHidden/>
          </w:rPr>
          <w:fldChar w:fldCharType="end"/>
        </w:r>
      </w:hyperlink>
    </w:p>
    <w:p w14:paraId="0179AC7D" w14:textId="711FDBD2"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09" w:history="1">
        <w:r w:rsidR="001818DF" w:rsidRPr="002E0857">
          <w:rPr>
            <w:rStyle w:val="Hyperlink"/>
            <w:noProof/>
          </w:rPr>
          <w:t>Table 6.7.5</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Recalculations for New Zealand’s net emissions from the </w:t>
        </w:r>
        <w:r w:rsidR="001818DF" w:rsidRPr="002E0857">
          <w:rPr>
            <w:rStyle w:val="Hyperlink"/>
            <w:i/>
            <w:noProof/>
          </w:rPr>
          <w:t>Wetlands</w:t>
        </w:r>
        <w:r w:rsidR="001818DF" w:rsidRPr="002E0857">
          <w:rPr>
            <w:rStyle w:val="Hyperlink"/>
            <w:noProof/>
          </w:rPr>
          <w:t xml:space="preserve"> category in 1990 and 2021</w:t>
        </w:r>
        <w:r w:rsidR="001818DF">
          <w:rPr>
            <w:noProof/>
            <w:webHidden/>
          </w:rPr>
          <w:tab/>
        </w:r>
        <w:r w:rsidR="001818DF">
          <w:rPr>
            <w:noProof/>
            <w:webHidden/>
          </w:rPr>
          <w:fldChar w:fldCharType="begin"/>
        </w:r>
        <w:r w:rsidR="001818DF">
          <w:rPr>
            <w:noProof/>
            <w:webHidden/>
          </w:rPr>
          <w:instrText xml:space="preserve"> PAGEREF _Toc164153909 \h </w:instrText>
        </w:r>
        <w:r w:rsidR="001818DF">
          <w:rPr>
            <w:noProof/>
            <w:webHidden/>
          </w:rPr>
        </w:r>
        <w:r w:rsidR="001818DF">
          <w:rPr>
            <w:noProof/>
            <w:webHidden/>
          </w:rPr>
          <w:fldChar w:fldCharType="separate"/>
        </w:r>
        <w:r w:rsidR="009E4901">
          <w:rPr>
            <w:noProof/>
            <w:webHidden/>
          </w:rPr>
          <w:t>289</w:t>
        </w:r>
        <w:r w:rsidR="001818DF">
          <w:rPr>
            <w:noProof/>
            <w:webHidden/>
          </w:rPr>
          <w:fldChar w:fldCharType="end"/>
        </w:r>
      </w:hyperlink>
    </w:p>
    <w:p w14:paraId="33DAE1F8" w14:textId="4DDAD4C4"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10" w:history="1">
        <w:r w:rsidR="001818DF" w:rsidRPr="002E0857">
          <w:rPr>
            <w:rStyle w:val="Hyperlink"/>
            <w:noProof/>
          </w:rPr>
          <w:t>Table 6.8.1</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New Zealand’s land-use change for the </w:t>
        </w:r>
        <w:r w:rsidR="001818DF" w:rsidRPr="002E0857">
          <w:rPr>
            <w:rStyle w:val="Hyperlink"/>
            <w:i/>
            <w:noProof/>
          </w:rPr>
          <w:t>Settlements</w:t>
        </w:r>
        <w:r w:rsidR="001818DF" w:rsidRPr="002E0857">
          <w:rPr>
            <w:rStyle w:val="Hyperlink"/>
            <w:noProof/>
          </w:rPr>
          <w:t xml:space="preserve"> category, and associated CO</w:t>
        </w:r>
        <w:r w:rsidR="001818DF" w:rsidRPr="002E0857">
          <w:rPr>
            <w:rStyle w:val="Hyperlink"/>
            <w:noProof/>
            <w:vertAlign w:val="subscript"/>
          </w:rPr>
          <w:t>2</w:t>
        </w:r>
        <w:r w:rsidR="001818DF" w:rsidRPr="002E0857">
          <w:rPr>
            <w:rStyle w:val="Hyperlink"/>
            <w:noProof/>
          </w:rPr>
          <w:noBreakHyphen/>
          <w:t>e emissions, from 1990 to 2022</w:t>
        </w:r>
        <w:r w:rsidR="001818DF">
          <w:rPr>
            <w:noProof/>
            <w:webHidden/>
          </w:rPr>
          <w:tab/>
        </w:r>
        <w:r w:rsidR="001818DF">
          <w:rPr>
            <w:noProof/>
            <w:webHidden/>
          </w:rPr>
          <w:fldChar w:fldCharType="begin"/>
        </w:r>
        <w:r w:rsidR="001818DF">
          <w:rPr>
            <w:noProof/>
            <w:webHidden/>
          </w:rPr>
          <w:instrText xml:space="preserve"> PAGEREF _Toc164153910 \h </w:instrText>
        </w:r>
        <w:r w:rsidR="001818DF">
          <w:rPr>
            <w:noProof/>
            <w:webHidden/>
          </w:rPr>
        </w:r>
        <w:r w:rsidR="001818DF">
          <w:rPr>
            <w:noProof/>
            <w:webHidden/>
          </w:rPr>
          <w:fldChar w:fldCharType="separate"/>
        </w:r>
        <w:r w:rsidR="009E4901">
          <w:rPr>
            <w:noProof/>
            <w:webHidden/>
          </w:rPr>
          <w:t>290</w:t>
        </w:r>
        <w:r w:rsidR="001818DF">
          <w:rPr>
            <w:noProof/>
            <w:webHidden/>
          </w:rPr>
          <w:fldChar w:fldCharType="end"/>
        </w:r>
      </w:hyperlink>
    </w:p>
    <w:p w14:paraId="6F1BC786" w14:textId="172A37F3"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11" w:history="1">
        <w:r w:rsidR="001818DF" w:rsidRPr="002E0857">
          <w:rPr>
            <w:rStyle w:val="Hyperlink"/>
            <w:noProof/>
          </w:rPr>
          <w:t>Table 6.8.2</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New Zealand’s carbon stock change by carbon pool for the </w:t>
        </w:r>
        <w:r w:rsidR="001818DF" w:rsidRPr="002E0857">
          <w:rPr>
            <w:rStyle w:val="Hyperlink"/>
            <w:i/>
            <w:noProof/>
          </w:rPr>
          <w:t>Settlements</w:t>
        </w:r>
        <w:r w:rsidR="001818DF" w:rsidRPr="002E0857">
          <w:rPr>
            <w:rStyle w:val="Hyperlink"/>
            <w:noProof/>
          </w:rPr>
          <w:t xml:space="preserve"> category, from 1990 to 2022</w:t>
        </w:r>
        <w:r w:rsidR="001818DF">
          <w:rPr>
            <w:noProof/>
            <w:webHidden/>
          </w:rPr>
          <w:tab/>
        </w:r>
        <w:r w:rsidR="001818DF">
          <w:rPr>
            <w:noProof/>
            <w:webHidden/>
          </w:rPr>
          <w:fldChar w:fldCharType="begin"/>
        </w:r>
        <w:r w:rsidR="001818DF">
          <w:rPr>
            <w:noProof/>
            <w:webHidden/>
          </w:rPr>
          <w:instrText xml:space="preserve"> PAGEREF _Toc164153911 \h </w:instrText>
        </w:r>
        <w:r w:rsidR="001818DF">
          <w:rPr>
            <w:noProof/>
            <w:webHidden/>
          </w:rPr>
        </w:r>
        <w:r w:rsidR="001818DF">
          <w:rPr>
            <w:noProof/>
            <w:webHidden/>
          </w:rPr>
          <w:fldChar w:fldCharType="separate"/>
        </w:r>
        <w:r w:rsidR="009E4901">
          <w:rPr>
            <w:noProof/>
            <w:webHidden/>
          </w:rPr>
          <w:t>290</w:t>
        </w:r>
        <w:r w:rsidR="001818DF">
          <w:rPr>
            <w:noProof/>
            <w:webHidden/>
          </w:rPr>
          <w:fldChar w:fldCharType="end"/>
        </w:r>
      </w:hyperlink>
    </w:p>
    <w:p w14:paraId="17C2629F" w14:textId="2BECA052"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12" w:history="1">
        <w:r w:rsidR="001818DF" w:rsidRPr="002E0857">
          <w:rPr>
            <w:rStyle w:val="Hyperlink"/>
            <w:noProof/>
          </w:rPr>
          <w:t>Table 6.8.3</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Recalculations for New Zealand’s net emissions from the </w:t>
        </w:r>
        <w:r w:rsidR="001818DF" w:rsidRPr="002E0857">
          <w:rPr>
            <w:rStyle w:val="Hyperlink"/>
            <w:i/>
            <w:noProof/>
          </w:rPr>
          <w:t>Settlements</w:t>
        </w:r>
        <w:r w:rsidR="001818DF" w:rsidRPr="002E0857">
          <w:rPr>
            <w:rStyle w:val="Hyperlink"/>
            <w:noProof/>
          </w:rPr>
          <w:t xml:space="preserve"> category in 1990 and 2021</w:t>
        </w:r>
        <w:r w:rsidR="001818DF">
          <w:rPr>
            <w:noProof/>
            <w:webHidden/>
          </w:rPr>
          <w:tab/>
        </w:r>
        <w:r w:rsidR="001818DF">
          <w:rPr>
            <w:noProof/>
            <w:webHidden/>
          </w:rPr>
          <w:fldChar w:fldCharType="begin"/>
        </w:r>
        <w:r w:rsidR="001818DF">
          <w:rPr>
            <w:noProof/>
            <w:webHidden/>
          </w:rPr>
          <w:instrText xml:space="preserve"> PAGEREF _Toc164153912 \h </w:instrText>
        </w:r>
        <w:r w:rsidR="001818DF">
          <w:rPr>
            <w:noProof/>
            <w:webHidden/>
          </w:rPr>
        </w:r>
        <w:r w:rsidR="001818DF">
          <w:rPr>
            <w:noProof/>
            <w:webHidden/>
          </w:rPr>
          <w:fldChar w:fldCharType="separate"/>
        </w:r>
        <w:r w:rsidR="009E4901">
          <w:rPr>
            <w:noProof/>
            <w:webHidden/>
          </w:rPr>
          <w:t>291</w:t>
        </w:r>
        <w:r w:rsidR="001818DF">
          <w:rPr>
            <w:noProof/>
            <w:webHidden/>
          </w:rPr>
          <w:fldChar w:fldCharType="end"/>
        </w:r>
      </w:hyperlink>
    </w:p>
    <w:p w14:paraId="174E1E18" w14:textId="38888108"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13" w:history="1">
        <w:r w:rsidR="001818DF" w:rsidRPr="002E0857">
          <w:rPr>
            <w:rStyle w:val="Hyperlink"/>
            <w:noProof/>
          </w:rPr>
          <w:t>Table 6.9.1</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New Zealand’s land-use change for the land use category </w:t>
        </w:r>
        <w:r w:rsidR="001818DF" w:rsidRPr="002E0857">
          <w:rPr>
            <w:rStyle w:val="Hyperlink"/>
            <w:i/>
            <w:noProof/>
          </w:rPr>
          <w:t>Other land</w:t>
        </w:r>
        <w:r w:rsidR="001818DF" w:rsidRPr="002E0857">
          <w:rPr>
            <w:rStyle w:val="Hyperlink"/>
            <w:iCs/>
            <w:noProof/>
          </w:rPr>
          <w:t>,</w:t>
        </w:r>
        <w:r w:rsidR="001818DF" w:rsidRPr="002E0857">
          <w:rPr>
            <w:rStyle w:val="Hyperlink"/>
            <w:noProof/>
          </w:rPr>
          <w:t xml:space="preserve"> from</w:t>
        </w:r>
        <w:r w:rsidR="00C50D0B">
          <w:rPr>
            <w:rStyle w:val="Hyperlink"/>
            <w:noProof/>
          </w:rPr>
          <w:t xml:space="preserve"> </w:t>
        </w:r>
        <w:r w:rsidR="001818DF" w:rsidRPr="002E0857">
          <w:rPr>
            <w:rStyle w:val="Hyperlink"/>
            <w:noProof/>
          </w:rPr>
          <w:t>1990 to 2022</w:t>
        </w:r>
        <w:r w:rsidR="001818DF">
          <w:rPr>
            <w:noProof/>
            <w:webHidden/>
          </w:rPr>
          <w:tab/>
        </w:r>
        <w:r w:rsidR="001818DF">
          <w:rPr>
            <w:noProof/>
            <w:webHidden/>
          </w:rPr>
          <w:fldChar w:fldCharType="begin"/>
        </w:r>
        <w:r w:rsidR="001818DF">
          <w:rPr>
            <w:noProof/>
            <w:webHidden/>
          </w:rPr>
          <w:instrText xml:space="preserve"> PAGEREF _Toc164153913 \h </w:instrText>
        </w:r>
        <w:r w:rsidR="001818DF">
          <w:rPr>
            <w:noProof/>
            <w:webHidden/>
          </w:rPr>
        </w:r>
        <w:r w:rsidR="001818DF">
          <w:rPr>
            <w:noProof/>
            <w:webHidden/>
          </w:rPr>
          <w:fldChar w:fldCharType="separate"/>
        </w:r>
        <w:r w:rsidR="009E4901">
          <w:rPr>
            <w:noProof/>
            <w:webHidden/>
          </w:rPr>
          <w:t>293</w:t>
        </w:r>
        <w:r w:rsidR="001818DF">
          <w:rPr>
            <w:noProof/>
            <w:webHidden/>
          </w:rPr>
          <w:fldChar w:fldCharType="end"/>
        </w:r>
      </w:hyperlink>
    </w:p>
    <w:p w14:paraId="2AE53844" w14:textId="6AFAFE26"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14" w:history="1">
        <w:r w:rsidR="001818DF" w:rsidRPr="002E0857">
          <w:rPr>
            <w:rStyle w:val="Hyperlink"/>
            <w:noProof/>
          </w:rPr>
          <w:t>Table 6.9.2</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Summary of New Zealand emission factors for the land use category </w:t>
        </w:r>
        <w:r w:rsidR="001818DF" w:rsidRPr="002E0857">
          <w:rPr>
            <w:rStyle w:val="Hyperlink"/>
            <w:i/>
            <w:noProof/>
          </w:rPr>
          <w:t>Other land</w:t>
        </w:r>
        <w:r w:rsidR="001818DF">
          <w:rPr>
            <w:noProof/>
            <w:webHidden/>
          </w:rPr>
          <w:tab/>
        </w:r>
        <w:r w:rsidR="001818DF">
          <w:rPr>
            <w:noProof/>
            <w:webHidden/>
          </w:rPr>
          <w:fldChar w:fldCharType="begin"/>
        </w:r>
        <w:r w:rsidR="001818DF">
          <w:rPr>
            <w:noProof/>
            <w:webHidden/>
          </w:rPr>
          <w:instrText xml:space="preserve"> PAGEREF _Toc164153914 \h </w:instrText>
        </w:r>
        <w:r w:rsidR="001818DF">
          <w:rPr>
            <w:noProof/>
            <w:webHidden/>
          </w:rPr>
        </w:r>
        <w:r w:rsidR="001818DF">
          <w:rPr>
            <w:noProof/>
            <w:webHidden/>
          </w:rPr>
          <w:fldChar w:fldCharType="separate"/>
        </w:r>
        <w:r w:rsidR="009E4901">
          <w:rPr>
            <w:noProof/>
            <w:webHidden/>
          </w:rPr>
          <w:t>293</w:t>
        </w:r>
        <w:r w:rsidR="001818DF">
          <w:rPr>
            <w:noProof/>
            <w:webHidden/>
          </w:rPr>
          <w:fldChar w:fldCharType="end"/>
        </w:r>
      </w:hyperlink>
    </w:p>
    <w:p w14:paraId="36AC4F5D" w14:textId="01C4E58D"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15" w:history="1">
        <w:r w:rsidR="001818DF" w:rsidRPr="002E0857">
          <w:rPr>
            <w:rStyle w:val="Hyperlink"/>
            <w:noProof/>
          </w:rPr>
          <w:t>Table 6.9.3</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Recalculations for New Zealand’s net emissions from the </w:t>
        </w:r>
        <w:r w:rsidR="001818DF" w:rsidRPr="002E0857">
          <w:rPr>
            <w:rStyle w:val="Hyperlink"/>
            <w:i/>
            <w:noProof/>
          </w:rPr>
          <w:t>Other land</w:t>
        </w:r>
        <w:r w:rsidR="001818DF" w:rsidRPr="002E0857">
          <w:rPr>
            <w:rStyle w:val="Hyperlink"/>
            <w:noProof/>
          </w:rPr>
          <w:t xml:space="preserve"> category in 1990 and 2021</w:t>
        </w:r>
        <w:r w:rsidR="001818DF">
          <w:rPr>
            <w:noProof/>
            <w:webHidden/>
          </w:rPr>
          <w:tab/>
        </w:r>
        <w:r w:rsidR="001818DF">
          <w:rPr>
            <w:noProof/>
            <w:webHidden/>
          </w:rPr>
          <w:fldChar w:fldCharType="begin"/>
        </w:r>
        <w:r w:rsidR="001818DF">
          <w:rPr>
            <w:noProof/>
            <w:webHidden/>
          </w:rPr>
          <w:instrText xml:space="preserve"> PAGEREF _Toc164153915 \h </w:instrText>
        </w:r>
        <w:r w:rsidR="001818DF">
          <w:rPr>
            <w:noProof/>
            <w:webHidden/>
          </w:rPr>
        </w:r>
        <w:r w:rsidR="001818DF">
          <w:rPr>
            <w:noProof/>
            <w:webHidden/>
          </w:rPr>
          <w:fldChar w:fldCharType="separate"/>
        </w:r>
        <w:r w:rsidR="009E4901">
          <w:rPr>
            <w:noProof/>
            <w:webHidden/>
          </w:rPr>
          <w:t>294</w:t>
        </w:r>
        <w:r w:rsidR="001818DF">
          <w:rPr>
            <w:noProof/>
            <w:webHidden/>
          </w:rPr>
          <w:fldChar w:fldCharType="end"/>
        </w:r>
      </w:hyperlink>
    </w:p>
    <w:p w14:paraId="0B6D6147" w14:textId="192203BA"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16" w:history="1">
        <w:r w:rsidR="001818DF" w:rsidRPr="002E0857">
          <w:rPr>
            <w:rStyle w:val="Hyperlink"/>
            <w:noProof/>
          </w:rPr>
          <w:t>Table 6.10.1</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Conversion factors for </w:t>
        </w:r>
        <w:r w:rsidR="001818DF" w:rsidRPr="002E0857">
          <w:rPr>
            <w:rStyle w:val="Hyperlink"/>
            <w:i/>
            <w:noProof/>
          </w:rPr>
          <w:t>Harvested wood products</w:t>
        </w:r>
        <w:r w:rsidR="001818DF" w:rsidRPr="002E0857">
          <w:rPr>
            <w:rStyle w:val="Hyperlink"/>
            <w:noProof/>
          </w:rPr>
          <w:t xml:space="preserve"> produced from New Zealand wood in New Zealand</w:t>
        </w:r>
        <w:r w:rsidR="001818DF">
          <w:rPr>
            <w:noProof/>
            <w:webHidden/>
          </w:rPr>
          <w:tab/>
        </w:r>
        <w:r w:rsidR="001818DF">
          <w:rPr>
            <w:noProof/>
            <w:webHidden/>
          </w:rPr>
          <w:fldChar w:fldCharType="begin"/>
        </w:r>
        <w:r w:rsidR="001818DF">
          <w:rPr>
            <w:noProof/>
            <w:webHidden/>
          </w:rPr>
          <w:instrText xml:space="preserve"> PAGEREF _Toc164153916 \h </w:instrText>
        </w:r>
        <w:r w:rsidR="001818DF">
          <w:rPr>
            <w:noProof/>
            <w:webHidden/>
          </w:rPr>
        </w:r>
        <w:r w:rsidR="001818DF">
          <w:rPr>
            <w:noProof/>
            <w:webHidden/>
          </w:rPr>
          <w:fldChar w:fldCharType="separate"/>
        </w:r>
        <w:r w:rsidR="009E4901">
          <w:rPr>
            <w:noProof/>
            <w:webHidden/>
          </w:rPr>
          <w:t>297</w:t>
        </w:r>
        <w:r w:rsidR="001818DF">
          <w:rPr>
            <w:noProof/>
            <w:webHidden/>
          </w:rPr>
          <w:fldChar w:fldCharType="end"/>
        </w:r>
      </w:hyperlink>
    </w:p>
    <w:p w14:paraId="7E39A6FF" w14:textId="174F3495"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17" w:history="1">
        <w:r w:rsidR="001818DF" w:rsidRPr="002E0857">
          <w:rPr>
            <w:rStyle w:val="Hyperlink"/>
            <w:noProof/>
          </w:rPr>
          <w:t>Table 6.10.2</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Weighted half-lives for harvested wood products produced in export markets</w:t>
        </w:r>
        <w:r w:rsidR="001818DF">
          <w:rPr>
            <w:noProof/>
            <w:webHidden/>
          </w:rPr>
          <w:tab/>
        </w:r>
        <w:r w:rsidR="001818DF">
          <w:rPr>
            <w:noProof/>
            <w:webHidden/>
          </w:rPr>
          <w:fldChar w:fldCharType="begin"/>
        </w:r>
        <w:r w:rsidR="001818DF">
          <w:rPr>
            <w:noProof/>
            <w:webHidden/>
          </w:rPr>
          <w:instrText xml:space="preserve"> PAGEREF _Toc164153917 \h </w:instrText>
        </w:r>
        <w:r w:rsidR="001818DF">
          <w:rPr>
            <w:noProof/>
            <w:webHidden/>
          </w:rPr>
        </w:r>
        <w:r w:rsidR="001818DF">
          <w:rPr>
            <w:noProof/>
            <w:webHidden/>
          </w:rPr>
          <w:fldChar w:fldCharType="separate"/>
        </w:r>
        <w:r w:rsidR="009E4901">
          <w:rPr>
            <w:noProof/>
            <w:webHidden/>
          </w:rPr>
          <w:t>298</w:t>
        </w:r>
        <w:r w:rsidR="001818DF">
          <w:rPr>
            <w:noProof/>
            <w:webHidden/>
          </w:rPr>
          <w:fldChar w:fldCharType="end"/>
        </w:r>
      </w:hyperlink>
    </w:p>
    <w:p w14:paraId="04C88C69" w14:textId="3BE031F7"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18" w:history="1">
        <w:r w:rsidR="001818DF" w:rsidRPr="002E0857">
          <w:rPr>
            <w:rStyle w:val="Hyperlink"/>
            <w:noProof/>
          </w:rPr>
          <w:t>Table 6.10.3</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Recalculations for New Zealand’s net emissions from the </w:t>
        </w:r>
        <w:r w:rsidR="001818DF" w:rsidRPr="002E0857">
          <w:rPr>
            <w:rStyle w:val="Hyperlink"/>
            <w:i/>
            <w:noProof/>
          </w:rPr>
          <w:t>Harvested wood products</w:t>
        </w:r>
        <w:r w:rsidR="001818DF" w:rsidRPr="002E0857">
          <w:rPr>
            <w:rStyle w:val="Hyperlink"/>
            <w:noProof/>
          </w:rPr>
          <w:t xml:space="preserve"> category in 1990 and 2022</w:t>
        </w:r>
        <w:r w:rsidR="001818DF">
          <w:rPr>
            <w:noProof/>
            <w:webHidden/>
          </w:rPr>
          <w:tab/>
        </w:r>
        <w:r w:rsidR="001818DF">
          <w:rPr>
            <w:noProof/>
            <w:webHidden/>
          </w:rPr>
          <w:fldChar w:fldCharType="begin"/>
        </w:r>
        <w:r w:rsidR="001818DF">
          <w:rPr>
            <w:noProof/>
            <w:webHidden/>
          </w:rPr>
          <w:instrText xml:space="preserve"> PAGEREF _Toc164153918 \h </w:instrText>
        </w:r>
        <w:r w:rsidR="001818DF">
          <w:rPr>
            <w:noProof/>
            <w:webHidden/>
          </w:rPr>
        </w:r>
        <w:r w:rsidR="001818DF">
          <w:rPr>
            <w:noProof/>
            <w:webHidden/>
          </w:rPr>
          <w:fldChar w:fldCharType="separate"/>
        </w:r>
        <w:r w:rsidR="009E4901">
          <w:rPr>
            <w:noProof/>
            <w:webHidden/>
          </w:rPr>
          <w:t>299</w:t>
        </w:r>
        <w:r w:rsidR="001818DF">
          <w:rPr>
            <w:noProof/>
            <w:webHidden/>
          </w:rPr>
          <w:fldChar w:fldCharType="end"/>
        </w:r>
      </w:hyperlink>
    </w:p>
    <w:p w14:paraId="1CBF50B8" w14:textId="780B02AD"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19" w:history="1">
        <w:r w:rsidR="001818DF" w:rsidRPr="002E0857">
          <w:rPr>
            <w:rStyle w:val="Hyperlink"/>
            <w:noProof/>
          </w:rPr>
          <w:t>Table 6.11.1</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Nitrous oxide emissions from soils associated with land-use change reported in the LULUCF sector, from 1990 to 2022</w:t>
        </w:r>
        <w:r w:rsidR="001818DF">
          <w:rPr>
            <w:noProof/>
            <w:webHidden/>
          </w:rPr>
          <w:tab/>
        </w:r>
        <w:r w:rsidR="001818DF">
          <w:rPr>
            <w:noProof/>
            <w:webHidden/>
          </w:rPr>
          <w:fldChar w:fldCharType="begin"/>
        </w:r>
        <w:r w:rsidR="001818DF">
          <w:rPr>
            <w:noProof/>
            <w:webHidden/>
          </w:rPr>
          <w:instrText xml:space="preserve"> PAGEREF _Toc164153919 \h </w:instrText>
        </w:r>
        <w:r w:rsidR="001818DF">
          <w:rPr>
            <w:noProof/>
            <w:webHidden/>
          </w:rPr>
        </w:r>
        <w:r w:rsidR="001818DF">
          <w:rPr>
            <w:noProof/>
            <w:webHidden/>
          </w:rPr>
          <w:fldChar w:fldCharType="separate"/>
        </w:r>
        <w:r w:rsidR="009E4901">
          <w:rPr>
            <w:noProof/>
            <w:webHidden/>
          </w:rPr>
          <w:t>300</w:t>
        </w:r>
        <w:r w:rsidR="001818DF">
          <w:rPr>
            <w:noProof/>
            <w:webHidden/>
          </w:rPr>
          <w:fldChar w:fldCharType="end"/>
        </w:r>
      </w:hyperlink>
    </w:p>
    <w:p w14:paraId="72885BA3" w14:textId="1C23CAA1"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20" w:history="1">
        <w:r w:rsidR="001818DF" w:rsidRPr="002E0857">
          <w:rPr>
            <w:rStyle w:val="Hyperlink"/>
            <w:noProof/>
          </w:rPr>
          <w:t>Table 6.11.2</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Net N</w:t>
        </w:r>
        <w:r w:rsidR="001818DF" w:rsidRPr="002E0857">
          <w:rPr>
            <w:rStyle w:val="Hyperlink"/>
            <w:noProof/>
            <w:vertAlign w:val="subscript"/>
          </w:rPr>
          <w:t>2</w:t>
        </w:r>
        <w:r w:rsidR="001818DF" w:rsidRPr="002E0857">
          <w:rPr>
            <w:rStyle w:val="Hyperlink"/>
            <w:noProof/>
          </w:rPr>
          <w:t>O emissions from nitrogen in soils associated with land-use change in 2022</w:t>
        </w:r>
        <w:r w:rsidR="001818DF">
          <w:rPr>
            <w:noProof/>
            <w:webHidden/>
          </w:rPr>
          <w:tab/>
        </w:r>
        <w:r w:rsidR="001818DF">
          <w:rPr>
            <w:noProof/>
            <w:webHidden/>
          </w:rPr>
          <w:fldChar w:fldCharType="begin"/>
        </w:r>
        <w:r w:rsidR="001818DF">
          <w:rPr>
            <w:noProof/>
            <w:webHidden/>
          </w:rPr>
          <w:instrText xml:space="preserve"> PAGEREF _Toc164153920 \h </w:instrText>
        </w:r>
        <w:r w:rsidR="001818DF">
          <w:rPr>
            <w:noProof/>
            <w:webHidden/>
          </w:rPr>
        </w:r>
        <w:r w:rsidR="001818DF">
          <w:rPr>
            <w:noProof/>
            <w:webHidden/>
          </w:rPr>
          <w:fldChar w:fldCharType="separate"/>
        </w:r>
        <w:r w:rsidR="009E4901">
          <w:rPr>
            <w:noProof/>
            <w:webHidden/>
          </w:rPr>
          <w:t>302</w:t>
        </w:r>
        <w:r w:rsidR="001818DF">
          <w:rPr>
            <w:noProof/>
            <w:webHidden/>
          </w:rPr>
          <w:fldChar w:fldCharType="end"/>
        </w:r>
      </w:hyperlink>
    </w:p>
    <w:p w14:paraId="74307047" w14:textId="2D50462A"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21" w:history="1">
        <w:r w:rsidR="001818DF" w:rsidRPr="002E0857">
          <w:rPr>
            <w:rStyle w:val="Hyperlink"/>
            <w:noProof/>
          </w:rPr>
          <w:t>Table 6.11.3</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Non-CO</w:t>
        </w:r>
        <w:r w:rsidR="001818DF" w:rsidRPr="002E0857">
          <w:rPr>
            <w:rStyle w:val="Hyperlink"/>
            <w:noProof/>
            <w:vertAlign w:val="subscript"/>
          </w:rPr>
          <w:t>2</w:t>
        </w:r>
        <w:r w:rsidR="001818DF" w:rsidRPr="002E0857">
          <w:rPr>
            <w:rStyle w:val="Hyperlink"/>
            <w:noProof/>
          </w:rPr>
          <w:t xml:space="preserve"> emissions from </w:t>
        </w:r>
        <w:r w:rsidR="001818DF" w:rsidRPr="002E0857">
          <w:rPr>
            <w:rStyle w:val="Hyperlink"/>
            <w:i/>
            <w:noProof/>
          </w:rPr>
          <w:t>Biomass burning</w:t>
        </w:r>
        <w:r w:rsidR="001818DF">
          <w:rPr>
            <w:noProof/>
            <w:webHidden/>
          </w:rPr>
          <w:tab/>
        </w:r>
        <w:r w:rsidR="001818DF">
          <w:rPr>
            <w:noProof/>
            <w:webHidden/>
          </w:rPr>
          <w:fldChar w:fldCharType="begin"/>
        </w:r>
        <w:r w:rsidR="001818DF">
          <w:rPr>
            <w:noProof/>
            <w:webHidden/>
          </w:rPr>
          <w:instrText xml:space="preserve"> PAGEREF _Toc164153921 \h </w:instrText>
        </w:r>
        <w:r w:rsidR="001818DF">
          <w:rPr>
            <w:noProof/>
            <w:webHidden/>
          </w:rPr>
        </w:r>
        <w:r w:rsidR="001818DF">
          <w:rPr>
            <w:noProof/>
            <w:webHidden/>
          </w:rPr>
          <w:fldChar w:fldCharType="separate"/>
        </w:r>
        <w:r w:rsidR="009E4901">
          <w:rPr>
            <w:noProof/>
            <w:webHidden/>
          </w:rPr>
          <w:t>302</w:t>
        </w:r>
        <w:r w:rsidR="001818DF">
          <w:rPr>
            <w:noProof/>
            <w:webHidden/>
          </w:rPr>
          <w:fldChar w:fldCharType="end"/>
        </w:r>
      </w:hyperlink>
    </w:p>
    <w:p w14:paraId="01503B93" w14:textId="59C21D0E"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22" w:history="1">
        <w:r w:rsidR="001818DF" w:rsidRPr="002E0857">
          <w:rPr>
            <w:rStyle w:val="Hyperlink"/>
            <w:noProof/>
          </w:rPr>
          <w:t>Table 6.11.4</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Summary of </w:t>
        </w:r>
        <w:r w:rsidR="001818DF" w:rsidRPr="002E0857">
          <w:rPr>
            <w:rStyle w:val="Hyperlink"/>
            <w:i/>
            <w:noProof/>
          </w:rPr>
          <w:t>Biomass burning</w:t>
        </w:r>
        <w:r w:rsidR="001818DF" w:rsidRPr="002E0857">
          <w:rPr>
            <w:rStyle w:val="Hyperlink"/>
            <w:noProof/>
          </w:rPr>
          <w:t xml:space="preserve"> carbon fractions and emission factors</w:t>
        </w:r>
        <w:r w:rsidR="001818DF">
          <w:rPr>
            <w:noProof/>
            <w:webHidden/>
          </w:rPr>
          <w:tab/>
        </w:r>
        <w:r w:rsidR="001818DF">
          <w:rPr>
            <w:noProof/>
            <w:webHidden/>
          </w:rPr>
          <w:fldChar w:fldCharType="begin"/>
        </w:r>
        <w:r w:rsidR="001818DF">
          <w:rPr>
            <w:noProof/>
            <w:webHidden/>
          </w:rPr>
          <w:instrText xml:space="preserve"> PAGEREF _Toc164153922 \h </w:instrText>
        </w:r>
        <w:r w:rsidR="001818DF">
          <w:rPr>
            <w:noProof/>
            <w:webHidden/>
          </w:rPr>
        </w:r>
        <w:r w:rsidR="001818DF">
          <w:rPr>
            <w:noProof/>
            <w:webHidden/>
          </w:rPr>
          <w:fldChar w:fldCharType="separate"/>
        </w:r>
        <w:r w:rsidR="009E4901">
          <w:rPr>
            <w:noProof/>
            <w:webHidden/>
          </w:rPr>
          <w:t>304</w:t>
        </w:r>
        <w:r w:rsidR="001818DF">
          <w:rPr>
            <w:noProof/>
            <w:webHidden/>
          </w:rPr>
          <w:fldChar w:fldCharType="end"/>
        </w:r>
      </w:hyperlink>
    </w:p>
    <w:p w14:paraId="7E0A198A" w14:textId="15A0AAA6"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23" w:history="1">
        <w:r w:rsidR="001818DF" w:rsidRPr="002E0857">
          <w:rPr>
            <w:rStyle w:val="Hyperlink"/>
            <w:noProof/>
          </w:rPr>
          <w:t>Table 6.11.5</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Summary of </w:t>
        </w:r>
        <w:r w:rsidR="001818DF" w:rsidRPr="002E0857">
          <w:rPr>
            <w:rStyle w:val="Hyperlink"/>
            <w:i/>
            <w:noProof/>
          </w:rPr>
          <w:t>Biomass burning</w:t>
        </w:r>
        <w:r w:rsidR="001818DF" w:rsidRPr="002E0857">
          <w:rPr>
            <w:rStyle w:val="Hyperlink"/>
            <w:noProof/>
          </w:rPr>
          <w:t xml:space="preserve"> combustion factor values</w:t>
        </w:r>
        <w:r w:rsidR="001818DF">
          <w:rPr>
            <w:noProof/>
            <w:webHidden/>
          </w:rPr>
          <w:tab/>
        </w:r>
        <w:r w:rsidR="001818DF">
          <w:rPr>
            <w:noProof/>
            <w:webHidden/>
          </w:rPr>
          <w:fldChar w:fldCharType="begin"/>
        </w:r>
        <w:r w:rsidR="001818DF">
          <w:rPr>
            <w:noProof/>
            <w:webHidden/>
          </w:rPr>
          <w:instrText xml:space="preserve"> PAGEREF _Toc164153923 \h </w:instrText>
        </w:r>
        <w:r w:rsidR="001818DF">
          <w:rPr>
            <w:noProof/>
            <w:webHidden/>
          </w:rPr>
        </w:r>
        <w:r w:rsidR="001818DF">
          <w:rPr>
            <w:noProof/>
            <w:webHidden/>
          </w:rPr>
          <w:fldChar w:fldCharType="separate"/>
        </w:r>
        <w:r w:rsidR="009E4901">
          <w:rPr>
            <w:noProof/>
            <w:webHidden/>
          </w:rPr>
          <w:t>305</w:t>
        </w:r>
        <w:r w:rsidR="001818DF">
          <w:rPr>
            <w:noProof/>
            <w:webHidden/>
          </w:rPr>
          <w:fldChar w:fldCharType="end"/>
        </w:r>
      </w:hyperlink>
    </w:p>
    <w:p w14:paraId="6482CA9A" w14:textId="7BF4182F"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24" w:history="1">
        <w:r w:rsidR="001818DF" w:rsidRPr="002E0857">
          <w:rPr>
            <w:rStyle w:val="Hyperlink"/>
            <w:noProof/>
          </w:rPr>
          <w:t>Table 7.1.1</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New Zealand’s greenhouse gas emissions for the Waste sector by source category in </w:t>
        </w:r>
        <w:r w:rsidR="001818DF" w:rsidRPr="002E0857">
          <w:rPr>
            <w:rStyle w:val="Hyperlink"/>
            <w:bCs/>
            <w:noProof/>
          </w:rPr>
          <w:t>1990</w:t>
        </w:r>
        <w:r w:rsidR="001818DF" w:rsidRPr="002E0857">
          <w:rPr>
            <w:rStyle w:val="Hyperlink"/>
            <w:noProof/>
          </w:rPr>
          <w:t> and </w:t>
        </w:r>
        <w:r w:rsidR="001818DF" w:rsidRPr="002E0857">
          <w:rPr>
            <w:rStyle w:val="Hyperlink"/>
            <w:bCs/>
            <w:noProof/>
          </w:rPr>
          <w:t>2022</w:t>
        </w:r>
        <w:r w:rsidR="001818DF">
          <w:rPr>
            <w:noProof/>
            <w:webHidden/>
          </w:rPr>
          <w:tab/>
        </w:r>
        <w:r w:rsidR="001818DF">
          <w:rPr>
            <w:noProof/>
            <w:webHidden/>
          </w:rPr>
          <w:fldChar w:fldCharType="begin"/>
        </w:r>
        <w:r w:rsidR="001818DF">
          <w:rPr>
            <w:noProof/>
            <w:webHidden/>
          </w:rPr>
          <w:instrText xml:space="preserve"> PAGEREF _Toc164153924 \h </w:instrText>
        </w:r>
        <w:r w:rsidR="001818DF">
          <w:rPr>
            <w:noProof/>
            <w:webHidden/>
          </w:rPr>
        </w:r>
        <w:r w:rsidR="001818DF">
          <w:rPr>
            <w:noProof/>
            <w:webHidden/>
          </w:rPr>
          <w:fldChar w:fldCharType="separate"/>
        </w:r>
        <w:r w:rsidR="009E4901">
          <w:rPr>
            <w:noProof/>
            <w:webHidden/>
          </w:rPr>
          <w:t>313</w:t>
        </w:r>
        <w:r w:rsidR="001818DF">
          <w:rPr>
            <w:noProof/>
            <w:webHidden/>
          </w:rPr>
          <w:fldChar w:fldCharType="end"/>
        </w:r>
      </w:hyperlink>
    </w:p>
    <w:p w14:paraId="08A36AE9" w14:textId="5BE48697"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25" w:history="1">
        <w:r w:rsidR="001818DF" w:rsidRPr="002E0857">
          <w:rPr>
            <w:rStyle w:val="Hyperlink"/>
            <w:noProof/>
          </w:rPr>
          <w:t>Table 7.1.2</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Key categories in the Waste sector</w:t>
        </w:r>
        <w:r w:rsidR="001818DF">
          <w:rPr>
            <w:noProof/>
            <w:webHidden/>
          </w:rPr>
          <w:tab/>
        </w:r>
        <w:r w:rsidR="001818DF">
          <w:rPr>
            <w:noProof/>
            <w:webHidden/>
          </w:rPr>
          <w:fldChar w:fldCharType="begin"/>
        </w:r>
        <w:r w:rsidR="001818DF">
          <w:rPr>
            <w:noProof/>
            <w:webHidden/>
          </w:rPr>
          <w:instrText xml:space="preserve"> PAGEREF _Toc164153925 \h </w:instrText>
        </w:r>
        <w:r w:rsidR="001818DF">
          <w:rPr>
            <w:noProof/>
            <w:webHidden/>
          </w:rPr>
        </w:r>
        <w:r w:rsidR="001818DF">
          <w:rPr>
            <w:noProof/>
            <w:webHidden/>
          </w:rPr>
          <w:fldChar w:fldCharType="separate"/>
        </w:r>
        <w:r w:rsidR="009E4901">
          <w:rPr>
            <w:noProof/>
            <w:webHidden/>
          </w:rPr>
          <w:t>314</w:t>
        </w:r>
        <w:r w:rsidR="001818DF">
          <w:rPr>
            <w:noProof/>
            <w:webHidden/>
          </w:rPr>
          <w:fldChar w:fldCharType="end"/>
        </w:r>
      </w:hyperlink>
    </w:p>
    <w:p w14:paraId="004934E1" w14:textId="13D25735"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26" w:history="1">
        <w:r w:rsidR="001818DF" w:rsidRPr="002E0857">
          <w:rPr>
            <w:rStyle w:val="Hyperlink"/>
            <w:noProof/>
          </w:rPr>
          <w:t>Table 7.2.1</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Landfill emissions in the common reporting tables</w:t>
        </w:r>
        <w:r w:rsidR="001818DF">
          <w:rPr>
            <w:noProof/>
            <w:webHidden/>
          </w:rPr>
          <w:tab/>
        </w:r>
        <w:r w:rsidR="001818DF">
          <w:rPr>
            <w:noProof/>
            <w:webHidden/>
          </w:rPr>
          <w:fldChar w:fldCharType="begin"/>
        </w:r>
        <w:r w:rsidR="001818DF">
          <w:rPr>
            <w:noProof/>
            <w:webHidden/>
          </w:rPr>
          <w:instrText xml:space="preserve"> PAGEREF _Toc164153926 \h </w:instrText>
        </w:r>
        <w:r w:rsidR="001818DF">
          <w:rPr>
            <w:noProof/>
            <w:webHidden/>
          </w:rPr>
        </w:r>
        <w:r w:rsidR="001818DF">
          <w:rPr>
            <w:noProof/>
            <w:webHidden/>
          </w:rPr>
          <w:fldChar w:fldCharType="separate"/>
        </w:r>
        <w:r w:rsidR="009E4901">
          <w:rPr>
            <w:noProof/>
            <w:webHidden/>
          </w:rPr>
          <w:t>317</w:t>
        </w:r>
        <w:r w:rsidR="001818DF">
          <w:rPr>
            <w:noProof/>
            <w:webHidden/>
          </w:rPr>
          <w:fldChar w:fldCharType="end"/>
        </w:r>
      </w:hyperlink>
    </w:p>
    <w:p w14:paraId="137E531D" w14:textId="47CBBECD"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27" w:history="1">
        <w:r w:rsidR="001818DF" w:rsidRPr="002E0857">
          <w:rPr>
            <w:rStyle w:val="Hyperlink"/>
            <w:noProof/>
          </w:rPr>
          <w:t>Table 7.2.2</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Landfill categories in </w:t>
        </w:r>
        <w:r w:rsidR="001818DF" w:rsidRPr="002E0857">
          <w:rPr>
            <w:rStyle w:val="Hyperlink"/>
            <w:bCs/>
            <w:noProof/>
          </w:rPr>
          <w:t>2022</w:t>
        </w:r>
        <w:r w:rsidR="001818DF">
          <w:rPr>
            <w:noProof/>
            <w:webHidden/>
          </w:rPr>
          <w:tab/>
        </w:r>
        <w:r w:rsidR="001818DF">
          <w:rPr>
            <w:noProof/>
            <w:webHidden/>
          </w:rPr>
          <w:fldChar w:fldCharType="begin"/>
        </w:r>
        <w:r w:rsidR="001818DF">
          <w:rPr>
            <w:noProof/>
            <w:webHidden/>
          </w:rPr>
          <w:instrText xml:space="preserve"> PAGEREF _Toc164153927 \h </w:instrText>
        </w:r>
        <w:r w:rsidR="001818DF">
          <w:rPr>
            <w:noProof/>
            <w:webHidden/>
          </w:rPr>
        </w:r>
        <w:r w:rsidR="001818DF">
          <w:rPr>
            <w:noProof/>
            <w:webHidden/>
          </w:rPr>
          <w:fldChar w:fldCharType="separate"/>
        </w:r>
        <w:r w:rsidR="009E4901">
          <w:rPr>
            <w:noProof/>
            <w:webHidden/>
          </w:rPr>
          <w:t>319</w:t>
        </w:r>
        <w:r w:rsidR="001818DF">
          <w:rPr>
            <w:noProof/>
            <w:webHidden/>
          </w:rPr>
          <w:fldChar w:fldCharType="end"/>
        </w:r>
      </w:hyperlink>
    </w:p>
    <w:p w14:paraId="70473BED" w14:textId="7D38EDD8"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28" w:history="1">
        <w:r w:rsidR="001818DF" w:rsidRPr="002E0857">
          <w:rPr>
            <w:rStyle w:val="Hyperlink"/>
            <w:noProof/>
          </w:rPr>
          <w:t>Table 7.2.3</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Solid waste deposited to municipal and uncategorised landfills, from 1950 to </w:t>
        </w:r>
        <w:r w:rsidR="001818DF" w:rsidRPr="002E0857">
          <w:rPr>
            <w:rStyle w:val="Hyperlink"/>
            <w:bCs/>
            <w:noProof/>
          </w:rPr>
          <w:t>2022</w:t>
        </w:r>
        <w:r w:rsidR="001818DF">
          <w:rPr>
            <w:noProof/>
            <w:webHidden/>
          </w:rPr>
          <w:tab/>
        </w:r>
        <w:r w:rsidR="001818DF">
          <w:rPr>
            <w:noProof/>
            <w:webHidden/>
          </w:rPr>
          <w:fldChar w:fldCharType="begin"/>
        </w:r>
        <w:r w:rsidR="001818DF">
          <w:rPr>
            <w:noProof/>
            <w:webHidden/>
          </w:rPr>
          <w:instrText xml:space="preserve"> PAGEREF _Toc164153928 \h </w:instrText>
        </w:r>
        <w:r w:rsidR="001818DF">
          <w:rPr>
            <w:noProof/>
            <w:webHidden/>
          </w:rPr>
        </w:r>
        <w:r w:rsidR="001818DF">
          <w:rPr>
            <w:noProof/>
            <w:webHidden/>
          </w:rPr>
          <w:fldChar w:fldCharType="separate"/>
        </w:r>
        <w:r w:rsidR="009E4901">
          <w:rPr>
            <w:noProof/>
            <w:webHidden/>
          </w:rPr>
          <w:t>319</w:t>
        </w:r>
        <w:r w:rsidR="001818DF">
          <w:rPr>
            <w:noProof/>
            <w:webHidden/>
          </w:rPr>
          <w:fldChar w:fldCharType="end"/>
        </w:r>
      </w:hyperlink>
    </w:p>
    <w:p w14:paraId="77D2EABC" w14:textId="61AB59F4"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29" w:history="1">
        <w:r w:rsidR="001818DF" w:rsidRPr="002E0857">
          <w:rPr>
            <w:rStyle w:val="Hyperlink"/>
            <w:noProof/>
          </w:rPr>
          <w:t>Table 7.2.4</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Solid waste deposited to unmanaged landfills, from 1950 to </w:t>
        </w:r>
        <w:r w:rsidR="001818DF" w:rsidRPr="002E0857">
          <w:rPr>
            <w:rStyle w:val="Hyperlink"/>
            <w:bCs/>
            <w:noProof/>
          </w:rPr>
          <w:t>2022</w:t>
        </w:r>
        <w:r w:rsidR="001818DF">
          <w:rPr>
            <w:noProof/>
            <w:webHidden/>
          </w:rPr>
          <w:tab/>
        </w:r>
        <w:r w:rsidR="001818DF">
          <w:rPr>
            <w:noProof/>
            <w:webHidden/>
          </w:rPr>
          <w:fldChar w:fldCharType="begin"/>
        </w:r>
        <w:r w:rsidR="001818DF">
          <w:rPr>
            <w:noProof/>
            <w:webHidden/>
          </w:rPr>
          <w:instrText xml:space="preserve"> PAGEREF _Toc164153929 \h </w:instrText>
        </w:r>
        <w:r w:rsidR="001818DF">
          <w:rPr>
            <w:noProof/>
            <w:webHidden/>
          </w:rPr>
        </w:r>
        <w:r w:rsidR="001818DF">
          <w:rPr>
            <w:noProof/>
            <w:webHidden/>
          </w:rPr>
          <w:fldChar w:fldCharType="separate"/>
        </w:r>
        <w:r w:rsidR="009E4901">
          <w:rPr>
            <w:noProof/>
            <w:webHidden/>
          </w:rPr>
          <w:t>322</w:t>
        </w:r>
        <w:r w:rsidR="001818DF">
          <w:rPr>
            <w:noProof/>
            <w:webHidden/>
          </w:rPr>
          <w:fldChar w:fldCharType="end"/>
        </w:r>
      </w:hyperlink>
    </w:p>
    <w:p w14:paraId="71843970" w14:textId="6D65114E"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30" w:history="1">
        <w:r w:rsidR="001818DF" w:rsidRPr="002E0857">
          <w:rPr>
            <w:rStyle w:val="Hyperlink"/>
            <w:noProof/>
          </w:rPr>
          <w:t>Table 7.2.5</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Estimated composition of waste disposed to municipal landfills, from 1950 to </w:t>
        </w:r>
        <w:r w:rsidR="001818DF" w:rsidRPr="002E0857">
          <w:rPr>
            <w:rStyle w:val="Hyperlink"/>
            <w:bCs/>
            <w:noProof/>
          </w:rPr>
          <w:t>2022</w:t>
        </w:r>
        <w:r w:rsidR="001818DF">
          <w:rPr>
            <w:noProof/>
            <w:webHidden/>
          </w:rPr>
          <w:tab/>
        </w:r>
        <w:r w:rsidR="001818DF">
          <w:rPr>
            <w:noProof/>
            <w:webHidden/>
          </w:rPr>
          <w:fldChar w:fldCharType="begin"/>
        </w:r>
        <w:r w:rsidR="001818DF">
          <w:rPr>
            <w:noProof/>
            <w:webHidden/>
          </w:rPr>
          <w:instrText xml:space="preserve"> PAGEREF _Toc164153930 \h </w:instrText>
        </w:r>
        <w:r w:rsidR="001818DF">
          <w:rPr>
            <w:noProof/>
            <w:webHidden/>
          </w:rPr>
        </w:r>
        <w:r w:rsidR="001818DF">
          <w:rPr>
            <w:noProof/>
            <w:webHidden/>
          </w:rPr>
          <w:fldChar w:fldCharType="separate"/>
        </w:r>
        <w:r w:rsidR="009E4901">
          <w:rPr>
            <w:noProof/>
            <w:webHidden/>
          </w:rPr>
          <w:t>325</w:t>
        </w:r>
        <w:r w:rsidR="001818DF">
          <w:rPr>
            <w:noProof/>
            <w:webHidden/>
          </w:rPr>
          <w:fldChar w:fldCharType="end"/>
        </w:r>
      </w:hyperlink>
    </w:p>
    <w:p w14:paraId="789C635D" w14:textId="4AC54F79"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31" w:history="1">
        <w:r w:rsidR="001818DF" w:rsidRPr="002E0857">
          <w:rPr>
            <w:rStyle w:val="Hyperlink"/>
            <w:noProof/>
          </w:rPr>
          <w:t>Table 7.2.6</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Parameters by waste type that determine the quantity and rate of methane generation</w:t>
        </w:r>
        <w:r w:rsidR="001818DF">
          <w:rPr>
            <w:noProof/>
            <w:webHidden/>
          </w:rPr>
          <w:tab/>
        </w:r>
        <w:r w:rsidR="001818DF">
          <w:rPr>
            <w:noProof/>
            <w:webHidden/>
          </w:rPr>
          <w:fldChar w:fldCharType="begin"/>
        </w:r>
        <w:r w:rsidR="001818DF">
          <w:rPr>
            <w:noProof/>
            <w:webHidden/>
          </w:rPr>
          <w:instrText xml:space="preserve"> PAGEREF _Toc164153931 \h </w:instrText>
        </w:r>
        <w:r w:rsidR="001818DF">
          <w:rPr>
            <w:noProof/>
            <w:webHidden/>
          </w:rPr>
        </w:r>
        <w:r w:rsidR="001818DF">
          <w:rPr>
            <w:noProof/>
            <w:webHidden/>
          </w:rPr>
          <w:fldChar w:fldCharType="separate"/>
        </w:r>
        <w:r w:rsidR="009E4901">
          <w:rPr>
            <w:noProof/>
            <w:webHidden/>
          </w:rPr>
          <w:t>326</w:t>
        </w:r>
        <w:r w:rsidR="001818DF">
          <w:rPr>
            <w:noProof/>
            <w:webHidden/>
          </w:rPr>
          <w:fldChar w:fldCharType="end"/>
        </w:r>
      </w:hyperlink>
    </w:p>
    <w:p w14:paraId="229CD35C" w14:textId="608AB2AB"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32" w:history="1">
        <w:r w:rsidR="001818DF" w:rsidRPr="002E0857">
          <w:rPr>
            <w:rStyle w:val="Hyperlink"/>
            <w:noProof/>
          </w:rPr>
          <w:t>Table 7.2.7</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Summary of parameters for municipal landfills</w:t>
        </w:r>
        <w:r w:rsidR="001818DF">
          <w:rPr>
            <w:noProof/>
            <w:webHidden/>
          </w:rPr>
          <w:tab/>
        </w:r>
        <w:r w:rsidR="001818DF">
          <w:rPr>
            <w:noProof/>
            <w:webHidden/>
          </w:rPr>
          <w:fldChar w:fldCharType="begin"/>
        </w:r>
        <w:r w:rsidR="001818DF">
          <w:rPr>
            <w:noProof/>
            <w:webHidden/>
          </w:rPr>
          <w:instrText xml:space="preserve"> PAGEREF _Toc164153932 \h </w:instrText>
        </w:r>
        <w:r w:rsidR="001818DF">
          <w:rPr>
            <w:noProof/>
            <w:webHidden/>
          </w:rPr>
        </w:r>
        <w:r w:rsidR="001818DF">
          <w:rPr>
            <w:noProof/>
            <w:webHidden/>
          </w:rPr>
          <w:fldChar w:fldCharType="separate"/>
        </w:r>
        <w:r w:rsidR="009E4901">
          <w:rPr>
            <w:noProof/>
            <w:webHidden/>
          </w:rPr>
          <w:t>328</w:t>
        </w:r>
        <w:r w:rsidR="001818DF">
          <w:rPr>
            <w:noProof/>
            <w:webHidden/>
          </w:rPr>
          <w:fldChar w:fldCharType="end"/>
        </w:r>
      </w:hyperlink>
    </w:p>
    <w:p w14:paraId="75652B8A" w14:textId="2EE740BD"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33" w:history="1">
        <w:r w:rsidR="001818DF" w:rsidRPr="002E0857">
          <w:rPr>
            <w:rStyle w:val="Hyperlink"/>
            <w:noProof/>
          </w:rPr>
          <w:t>Table 7.2.8</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Summary of parameters for non-municipal landfills and farm fills</w:t>
        </w:r>
        <w:r w:rsidR="001818DF">
          <w:rPr>
            <w:noProof/>
            <w:webHidden/>
          </w:rPr>
          <w:tab/>
        </w:r>
        <w:r w:rsidR="001818DF">
          <w:rPr>
            <w:noProof/>
            <w:webHidden/>
          </w:rPr>
          <w:fldChar w:fldCharType="begin"/>
        </w:r>
        <w:r w:rsidR="001818DF">
          <w:rPr>
            <w:noProof/>
            <w:webHidden/>
          </w:rPr>
          <w:instrText xml:space="preserve"> PAGEREF _Toc164153933 \h </w:instrText>
        </w:r>
        <w:r w:rsidR="001818DF">
          <w:rPr>
            <w:noProof/>
            <w:webHidden/>
          </w:rPr>
        </w:r>
        <w:r w:rsidR="001818DF">
          <w:rPr>
            <w:noProof/>
            <w:webHidden/>
          </w:rPr>
          <w:fldChar w:fldCharType="separate"/>
        </w:r>
        <w:r w:rsidR="009E4901">
          <w:rPr>
            <w:noProof/>
            <w:webHidden/>
          </w:rPr>
          <w:t>329</w:t>
        </w:r>
        <w:r w:rsidR="001818DF">
          <w:rPr>
            <w:noProof/>
            <w:webHidden/>
          </w:rPr>
          <w:fldChar w:fldCharType="end"/>
        </w:r>
      </w:hyperlink>
    </w:p>
    <w:p w14:paraId="45443309" w14:textId="6109F7B7"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34" w:history="1">
        <w:r w:rsidR="001818DF" w:rsidRPr="002E0857">
          <w:rPr>
            <w:rStyle w:val="Hyperlink"/>
            <w:noProof/>
          </w:rPr>
          <w:t>Table 7.2.9</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Uncertainty in emissions from </w:t>
        </w:r>
        <w:r w:rsidR="001818DF" w:rsidRPr="002E0857">
          <w:rPr>
            <w:rStyle w:val="Hyperlink"/>
            <w:i/>
            <w:iCs/>
            <w:noProof/>
          </w:rPr>
          <w:t>Solid waste disposal</w:t>
        </w:r>
        <w:r w:rsidR="001818DF">
          <w:rPr>
            <w:noProof/>
            <w:webHidden/>
          </w:rPr>
          <w:tab/>
        </w:r>
        <w:r w:rsidR="001818DF">
          <w:rPr>
            <w:noProof/>
            <w:webHidden/>
          </w:rPr>
          <w:fldChar w:fldCharType="begin"/>
        </w:r>
        <w:r w:rsidR="001818DF">
          <w:rPr>
            <w:noProof/>
            <w:webHidden/>
          </w:rPr>
          <w:instrText xml:space="preserve"> PAGEREF _Toc164153934 \h </w:instrText>
        </w:r>
        <w:r w:rsidR="001818DF">
          <w:rPr>
            <w:noProof/>
            <w:webHidden/>
          </w:rPr>
        </w:r>
        <w:r w:rsidR="001818DF">
          <w:rPr>
            <w:noProof/>
            <w:webHidden/>
          </w:rPr>
          <w:fldChar w:fldCharType="separate"/>
        </w:r>
        <w:r w:rsidR="009E4901">
          <w:rPr>
            <w:noProof/>
            <w:webHidden/>
          </w:rPr>
          <w:t>330</w:t>
        </w:r>
        <w:r w:rsidR="001818DF">
          <w:rPr>
            <w:noProof/>
            <w:webHidden/>
          </w:rPr>
          <w:fldChar w:fldCharType="end"/>
        </w:r>
      </w:hyperlink>
    </w:p>
    <w:p w14:paraId="6466BB4E" w14:textId="4D4E7EC8"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35" w:history="1">
        <w:r w:rsidR="001818DF" w:rsidRPr="002E0857">
          <w:rPr>
            <w:rStyle w:val="Hyperlink"/>
            <w:noProof/>
          </w:rPr>
          <w:t>Table 7.3.1</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Emission factors applied to estimate emissions from </w:t>
        </w:r>
        <w:r w:rsidR="001818DF" w:rsidRPr="002E0857">
          <w:rPr>
            <w:rStyle w:val="Hyperlink"/>
            <w:i/>
            <w:iCs/>
            <w:noProof/>
          </w:rPr>
          <w:t>Composting</w:t>
        </w:r>
        <w:r w:rsidR="001818DF">
          <w:rPr>
            <w:noProof/>
            <w:webHidden/>
          </w:rPr>
          <w:tab/>
        </w:r>
        <w:r w:rsidR="001818DF">
          <w:rPr>
            <w:noProof/>
            <w:webHidden/>
          </w:rPr>
          <w:fldChar w:fldCharType="begin"/>
        </w:r>
        <w:r w:rsidR="001818DF">
          <w:rPr>
            <w:noProof/>
            <w:webHidden/>
          </w:rPr>
          <w:instrText xml:space="preserve"> PAGEREF _Toc164153935 \h </w:instrText>
        </w:r>
        <w:r w:rsidR="001818DF">
          <w:rPr>
            <w:noProof/>
            <w:webHidden/>
          </w:rPr>
        </w:r>
        <w:r w:rsidR="001818DF">
          <w:rPr>
            <w:noProof/>
            <w:webHidden/>
          </w:rPr>
          <w:fldChar w:fldCharType="separate"/>
        </w:r>
        <w:r w:rsidR="009E4901">
          <w:rPr>
            <w:noProof/>
            <w:webHidden/>
          </w:rPr>
          <w:t>332</w:t>
        </w:r>
        <w:r w:rsidR="001818DF">
          <w:rPr>
            <w:noProof/>
            <w:webHidden/>
          </w:rPr>
          <w:fldChar w:fldCharType="end"/>
        </w:r>
      </w:hyperlink>
    </w:p>
    <w:p w14:paraId="542C93C6" w14:textId="7CF40CA2"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36" w:history="1">
        <w:r w:rsidR="001818DF" w:rsidRPr="002E0857">
          <w:rPr>
            <w:rStyle w:val="Hyperlink"/>
            <w:noProof/>
          </w:rPr>
          <w:t>Table 7.3.2</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Uncertainty in emissions from </w:t>
        </w:r>
        <w:r w:rsidR="001818DF" w:rsidRPr="002E0857">
          <w:rPr>
            <w:rStyle w:val="Hyperlink"/>
            <w:i/>
            <w:iCs/>
            <w:noProof/>
          </w:rPr>
          <w:t>Composting</w:t>
        </w:r>
        <w:r w:rsidR="001818DF">
          <w:rPr>
            <w:noProof/>
            <w:webHidden/>
          </w:rPr>
          <w:tab/>
        </w:r>
        <w:r w:rsidR="001818DF">
          <w:rPr>
            <w:noProof/>
            <w:webHidden/>
          </w:rPr>
          <w:fldChar w:fldCharType="begin"/>
        </w:r>
        <w:r w:rsidR="001818DF">
          <w:rPr>
            <w:noProof/>
            <w:webHidden/>
          </w:rPr>
          <w:instrText xml:space="preserve"> PAGEREF _Toc164153936 \h </w:instrText>
        </w:r>
        <w:r w:rsidR="001818DF">
          <w:rPr>
            <w:noProof/>
            <w:webHidden/>
          </w:rPr>
        </w:r>
        <w:r w:rsidR="001818DF">
          <w:rPr>
            <w:noProof/>
            <w:webHidden/>
          </w:rPr>
          <w:fldChar w:fldCharType="separate"/>
        </w:r>
        <w:r w:rsidR="009E4901">
          <w:rPr>
            <w:noProof/>
            <w:webHidden/>
          </w:rPr>
          <w:t>332</w:t>
        </w:r>
        <w:r w:rsidR="001818DF">
          <w:rPr>
            <w:noProof/>
            <w:webHidden/>
          </w:rPr>
          <w:fldChar w:fldCharType="end"/>
        </w:r>
      </w:hyperlink>
    </w:p>
    <w:p w14:paraId="4D2DF71C" w14:textId="3AD6F644"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37" w:history="1">
        <w:r w:rsidR="001818DF" w:rsidRPr="002E0857">
          <w:rPr>
            <w:rStyle w:val="Hyperlink"/>
            <w:noProof/>
          </w:rPr>
          <w:t>Table 7.4.1</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Emissions from </w:t>
        </w:r>
        <w:r w:rsidR="001818DF" w:rsidRPr="002E0857">
          <w:rPr>
            <w:rStyle w:val="Hyperlink"/>
            <w:i/>
            <w:iCs/>
            <w:noProof/>
          </w:rPr>
          <w:t>Incineration and open burning of waste</w:t>
        </w:r>
        <w:r w:rsidR="001818DF" w:rsidRPr="002E0857">
          <w:rPr>
            <w:rStyle w:val="Hyperlink"/>
            <w:noProof/>
          </w:rPr>
          <w:t xml:space="preserve"> (5.C)</w:t>
        </w:r>
        <w:r w:rsidR="001818DF">
          <w:rPr>
            <w:noProof/>
            <w:webHidden/>
          </w:rPr>
          <w:tab/>
        </w:r>
        <w:r w:rsidR="001818DF">
          <w:rPr>
            <w:noProof/>
            <w:webHidden/>
          </w:rPr>
          <w:fldChar w:fldCharType="begin"/>
        </w:r>
        <w:r w:rsidR="001818DF">
          <w:rPr>
            <w:noProof/>
            <w:webHidden/>
          </w:rPr>
          <w:instrText xml:space="preserve"> PAGEREF _Toc164153937 \h </w:instrText>
        </w:r>
        <w:r w:rsidR="001818DF">
          <w:rPr>
            <w:noProof/>
            <w:webHidden/>
          </w:rPr>
        </w:r>
        <w:r w:rsidR="001818DF">
          <w:rPr>
            <w:noProof/>
            <w:webHidden/>
          </w:rPr>
          <w:fldChar w:fldCharType="separate"/>
        </w:r>
        <w:r w:rsidR="009E4901">
          <w:rPr>
            <w:noProof/>
            <w:webHidden/>
          </w:rPr>
          <w:t>334</w:t>
        </w:r>
        <w:r w:rsidR="001818DF">
          <w:rPr>
            <w:noProof/>
            <w:webHidden/>
          </w:rPr>
          <w:fldChar w:fldCharType="end"/>
        </w:r>
      </w:hyperlink>
    </w:p>
    <w:p w14:paraId="776DC163" w14:textId="4F3344BA"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38" w:history="1">
        <w:r w:rsidR="001818DF" w:rsidRPr="002E0857">
          <w:rPr>
            <w:rStyle w:val="Hyperlink"/>
            <w:noProof/>
          </w:rPr>
          <w:t>Table 7.4.2</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Amounts of waste incinerated, from </w:t>
        </w:r>
        <w:r w:rsidR="001818DF" w:rsidRPr="002E0857">
          <w:rPr>
            <w:rStyle w:val="Hyperlink"/>
            <w:bCs/>
            <w:noProof/>
          </w:rPr>
          <w:t>1990</w:t>
        </w:r>
        <w:r w:rsidR="001818DF" w:rsidRPr="002E0857">
          <w:rPr>
            <w:rStyle w:val="Hyperlink"/>
            <w:noProof/>
          </w:rPr>
          <w:t> to </w:t>
        </w:r>
        <w:r w:rsidR="001818DF" w:rsidRPr="002E0857">
          <w:rPr>
            <w:rStyle w:val="Hyperlink"/>
            <w:bCs/>
            <w:noProof/>
          </w:rPr>
          <w:t>2022</w:t>
        </w:r>
        <w:r w:rsidR="001818DF">
          <w:rPr>
            <w:noProof/>
            <w:webHidden/>
          </w:rPr>
          <w:tab/>
        </w:r>
        <w:r w:rsidR="001818DF">
          <w:rPr>
            <w:noProof/>
            <w:webHidden/>
          </w:rPr>
          <w:fldChar w:fldCharType="begin"/>
        </w:r>
        <w:r w:rsidR="001818DF">
          <w:rPr>
            <w:noProof/>
            <w:webHidden/>
          </w:rPr>
          <w:instrText xml:space="preserve"> PAGEREF _Toc164153938 \h </w:instrText>
        </w:r>
        <w:r w:rsidR="001818DF">
          <w:rPr>
            <w:noProof/>
            <w:webHidden/>
          </w:rPr>
        </w:r>
        <w:r w:rsidR="001818DF">
          <w:rPr>
            <w:noProof/>
            <w:webHidden/>
          </w:rPr>
          <w:fldChar w:fldCharType="separate"/>
        </w:r>
        <w:r w:rsidR="009E4901">
          <w:rPr>
            <w:noProof/>
            <w:webHidden/>
          </w:rPr>
          <w:t>334</w:t>
        </w:r>
        <w:r w:rsidR="001818DF">
          <w:rPr>
            <w:noProof/>
            <w:webHidden/>
          </w:rPr>
          <w:fldChar w:fldCharType="end"/>
        </w:r>
      </w:hyperlink>
    </w:p>
    <w:p w14:paraId="48A0F976" w14:textId="49A9BD1E"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39" w:history="1">
        <w:r w:rsidR="001818DF" w:rsidRPr="002E0857">
          <w:rPr>
            <w:rStyle w:val="Hyperlink"/>
            <w:noProof/>
          </w:rPr>
          <w:t>Table 7.4.3</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Values applied to estimate carbon dioxide emissions from open burning of rural waste</w:t>
        </w:r>
        <w:r w:rsidR="001818DF">
          <w:rPr>
            <w:noProof/>
            <w:webHidden/>
          </w:rPr>
          <w:tab/>
        </w:r>
        <w:r w:rsidR="001818DF">
          <w:rPr>
            <w:noProof/>
            <w:webHidden/>
          </w:rPr>
          <w:fldChar w:fldCharType="begin"/>
        </w:r>
        <w:r w:rsidR="001818DF">
          <w:rPr>
            <w:noProof/>
            <w:webHidden/>
          </w:rPr>
          <w:instrText xml:space="preserve"> PAGEREF _Toc164153939 \h </w:instrText>
        </w:r>
        <w:r w:rsidR="001818DF">
          <w:rPr>
            <w:noProof/>
            <w:webHidden/>
          </w:rPr>
        </w:r>
        <w:r w:rsidR="001818DF">
          <w:rPr>
            <w:noProof/>
            <w:webHidden/>
          </w:rPr>
          <w:fldChar w:fldCharType="separate"/>
        </w:r>
        <w:r w:rsidR="009E4901">
          <w:rPr>
            <w:noProof/>
            <w:webHidden/>
          </w:rPr>
          <w:t>336</w:t>
        </w:r>
        <w:r w:rsidR="001818DF">
          <w:rPr>
            <w:noProof/>
            <w:webHidden/>
          </w:rPr>
          <w:fldChar w:fldCharType="end"/>
        </w:r>
      </w:hyperlink>
    </w:p>
    <w:p w14:paraId="628EFF81" w14:textId="2CF2C5BB"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40" w:history="1">
        <w:r w:rsidR="001818DF" w:rsidRPr="002E0857">
          <w:rPr>
            <w:rStyle w:val="Hyperlink"/>
            <w:noProof/>
          </w:rPr>
          <w:t>Table 7.4.4</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Parameter values applied to estimate emissions from incineration</w:t>
        </w:r>
        <w:r w:rsidR="001818DF">
          <w:rPr>
            <w:noProof/>
            <w:webHidden/>
          </w:rPr>
          <w:tab/>
        </w:r>
        <w:r w:rsidR="001818DF">
          <w:rPr>
            <w:noProof/>
            <w:webHidden/>
          </w:rPr>
          <w:fldChar w:fldCharType="begin"/>
        </w:r>
        <w:r w:rsidR="001818DF">
          <w:rPr>
            <w:noProof/>
            <w:webHidden/>
          </w:rPr>
          <w:instrText xml:space="preserve"> PAGEREF _Toc164153940 \h </w:instrText>
        </w:r>
        <w:r w:rsidR="001818DF">
          <w:rPr>
            <w:noProof/>
            <w:webHidden/>
          </w:rPr>
        </w:r>
        <w:r w:rsidR="001818DF">
          <w:rPr>
            <w:noProof/>
            <w:webHidden/>
          </w:rPr>
          <w:fldChar w:fldCharType="separate"/>
        </w:r>
        <w:r w:rsidR="009E4901">
          <w:rPr>
            <w:noProof/>
            <w:webHidden/>
          </w:rPr>
          <w:t>336</w:t>
        </w:r>
        <w:r w:rsidR="001818DF">
          <w:rPr>
            <w:noProof/>
            <w:webHidden/>
          </w:rPr>
          <w:fldChar w:fldCharType="end"/>
        </w:r>
      </w:hyperlink>
    </w:p>
    <w:p w14:paraId="22ECD753" w14:textId="091A4567"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41" w:history="1">
        <w:r w:rsidR="001818DF" w:rsidRPr="002E0857">
          <w:rPr>
            <w:rStyle w:val="Hyperlink"/>
            <w:noProof/>
          </w:rPr>
          <w:t>Table 7.4.5</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Parameters used to estimate emissions from </w:t>
        </w:r>
        <w:r w:rsidR="001818DF" w:rsidRPr="002E0857">
          <w:rPr>
            <w:rStyle w:val="Hyperlink"/>
            <w:i/>
            <w:iCs/>
            <w:noProof/>
          </w:rPr>
          <w:t>Open burning of waste</w:t>
        </w:r>
        <w:r w:rsidR="001818DF">
          <w:rPr>
            <w:noProof/>
            <w:webHidden/>
          </w:rPr>
          <w:tab/>
        </w:r>
        <w:r w:rsidR="001818DF">
          <w:rPr>
            <w:noProof/>
            <w:webHidden/>
          </w:rPr>
          <w:fldChar w:fldCharType="begin"/>
        </w:r>
        <w:r w:rsidR="001818DF">
          <w:rPr>
            <w:noProof/>
            <w:webHidden/>
          </w:rPr>
          <w:instrText xml:space="preserve"> PAGEREF _Toc164153941 \h </w:instrText>
        </w:r>
        <w:r w:rsidR="001818DF">
          <w:rPr>
            <w:noProof/>
            <w:webHidden/>
          </w:rPr>
        </w:r>
        <w:r w:rsidR="001818DF">
          <w:rPr>
            <w:noProof/>
            <w:webHidden/>
          </w:rPr>
          <w:fldChar w:fldCharType="separate"/>
        </w:r>
        <w:r w:rsidR="009E4901">
          <w:rPr>
            <w:noProof/>
            <w:webHidden/>
          </w:rPr>
          <w:t>337</w:t>
        </w:r>
        <w:r w:rsidR="001818DF">
          <w:rPr>
            <w:noProof/>
            <w:webHidden/>
          </w:rPr>
          <w:fldChar w:fldCharType="end"/>
        </w:r>
      </w:hyperlink>
    </w:p>
    <w:p w14:paraId="730D4E5C" w14:textId="25A039E7"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42" w:history="1">
        <w:r w:rsidR="001818DF" w:rsidRPr="002E0857">
          <w:rPr>
            <w:rStyle w:val="Hyperlink"/>
            <w:noProof/>
          </w:rPr>
          <w:t>Table 7.4.6</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Uncertainty in emissions from </w:t>
        </w:r>
        <w:r w:rsidR="001818DF" w:rsidRPr="002E0857">
          <w:rPr>
            <w:rStyle w:val="Hyperlink"/>
            <w:i/>
            <w:iCs/>
            <w:noProof/>
          </w:rPr>
          <w:t>Incineration and open burning of waste</w:t>
        </w:r>
        <w:r w:rsidR="001818DF">
          <w:rPr>
            <w:noProof/>
            <w:webHidden/>
          </w:rPr>
          <w:tab/>
        </w:r>
        <w:r w:rsidR="001818DF">
          <w:rPr>
            <w:noProof/>
            <w:webHidden/>
          </w:rPr>
          <w:fldChar w:fldCharType="begin"/>
        </w:r>
        <w:r w:rsidR="001818DF">
          <w:rPr>
            <w:noProof/>
            <w:webHidden/>
          </w:rPr>
          <w:instrText xml:space="preserve"> PAGEREF _Toc164153942 \h </w:instrText>
        </w:r>
        <w:r w:rsidR="001818DF">
          <w:rPr>
            <w:noProof/>
            <w:webHidden/>
          </w:rPr>
        </w:r>
        <w:r w:rsidR="001818DF">
          <w:rPr>
            <w:noProof/>
            <w:webHidden/>
          </w:rPr>
          <w:fldChar w:fldCharType="separate"/>
        </w:r>
        <w:r w:rsidR="009E4901">
          <w:rPr>
            <w:noProof/>
            <w:webHidden/>
          </w:rPr>
          <w:t>338</w:t>
        </w:r>
        <w:r w:rsidR="001818DF">
          <w:rPr>
            <w:noProof/>
            <w:webHidden/>
          </w:rPr>
          <w:fldChar w:fldCharType="end"/>
        </w:r>
      </w:hyperlink>
    </w:p>
    <w:p w14:paraId="60841D00" w14:textId="5EFA4DEE"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43" w:history="1">
        <w:r w:rsidR="001818DF" w:rsidRPr="002E0857">
          <w:rPr>
            <w:rStyle w:val="Hyperlink"/>
            <w:noProof/>
          </w:rPr>
          <w:t>Table 7.5.1</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Emissions from </w:t>
        </w:r>
        <w:r w:rsidR="001818DF" w:rsidRPr="002E0857">
          <w:rPr>
            <w:rStyle w:val="Hyperlink"/>
            <w:i/>
            <w:iCs/>
            <w:noProof/>
          </w:rPr>
          <w:t>Wastewater treatment and discharge</w:t>
        </w:r>
        <w:r w:rsidR="001818DF" w:rsidRPr="002E0857">
          <w:rPr>
            <w:rStyle w:val="Hyperlink"/>
            <w:noProof/>
          </w:rPr>
          <w:t xml:space="preserve"> (5.D)</w:t>
        </w:r>
        <w:r w:rsidR="001818DF">
          <w:rPr>
            <w:noProof/>
            <w:webHidden/>
          </w:rPr>
          <w:tab/>
        </w:r>
        <w:r w:rsidR="001818DF">
          <w:rPr>
            <w:noProof/>
            <w:webHidden/>
          </w:rPr>
          <w:fldChar w:fldCharType="begin"/>
        </w:r>
        <w:r w:rsidR="001818DF">
          <w:rPr>
            <w:noProof/>
            <w:webHidden/>
          </w:rPr>
          <w:instrText xml:space="preserve"> PAGEREF _Toc164153943 \h </w:instrText>
        </w:r>
        <w:r w:rsidR="001818DF">
          <w:rPr>
            <w:noProof/>
            <w:webHidden/>
          </w:rPr>
        </w:r>
        <w:r w:rsidR="001818DF">
          <w:rPr>
            <w:noProof/>
            <w:webHidden/>
          </w:rPr>
          <w:fldChar w:fldCharType="separate"/>
        </w:r>
        <w:r w:rsidR="009E4901">
          <w:rPr>
            <w:noProof/>
            <w:webHidden/>
          </w:rPr>
          <w:t>339</w:t>
        </w:r>
        <w:r w:rsidR="001818DF">
          <w:rPr>
            <w:noProof/>
            <w:webHidden/>
          </w:rPr>
          <w:fldChar w:fldCharType="end"/>
        </w:r>
      </w:hyperlink>
    </w:p>
    <w:p w14:paraId="47597353" w14:textId="7FC6C39B"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44" w:history="1">
        <w:r w:rsidR="001818DF" w:rsidRPr="002E0857">
          <w:rPr>
            <w:rStyle w:val="Hyperlink"/>
            <w:noProof/>
          </w:rPr>
          <w:t>Table 7.5.2</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Activity data and key factors for domestic wastewater, from 1990 to 2022</w:t>
        </w:r>
        <w:r w:rsidR="001818DF">
          <w:rPr>
            <w:noProof/>
            <w:webHidden/>
          </w:rPr>
          <w:tab/>
        </w:r>
        <w:r w:rsidR="001818DF">
          <w:rPr>
            <w:noProof/>
            <w:webHidden/>
          </w:rPr>
          <w:fldChar w:fldCharType="begin"/>
        </w:r>
        <w:r w:rsidR="001818DF">
          <w:rPr>
            <w:noProof/>
            <w:webHidden/>
          </w:rPr>
          <w:instrText xml:space="preserve"> PAGEREF _Toc164153944 \h </w:instrText>
        </w:r>
        <w:r w:rsidR="001818DF">
          <w:rPr>
            <w:noProof/>
            <w:webHidden/>
          </w:rPr>
        </w:r>
        <w:r w:rsidR="001818DF">
          <w:rPr>
            <w:noProof/>
            <w:webHidden/>
          </w:rPr>
          <w:fldChar w:fldCharType="separate"/>
        </w:r>
        <w:r w:rsidR="009E4901">
          <w:rPr>
            <w:noProof/>
            <w:webHidden/>
          </w:rPr>
          <w:t>340</w:t>
        </w:r>
        <w:r w:rsidR="001818DF">
          <w:rPr>
            <w:noProof/>
            <w:webHidden/>
          </w:rPr>
          <w:fldChar w:fldCharType="end"/>
        </w:r>
      </w:hyperlink>
    </w:p>
    <w:p w14:paraId="4DAA0753" w14:textId="66A957CD"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45" w:history="1">
        <w:r w:rsidR="001818DF" w:rsidRPr="002E0857">
          <w:rPr>
            <w:rStyle w:val="Hyperlink"/>
            <w:noProof/>
          </w:rPr>
          <w:t>Table 7.5.3</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Total organic product producing methane from industrial wastewater, from 1990 to 2022</w:t>
        </w:r>
        <w:r w:rsidR="001818DF">
          <w:rPr>
            <w:noProof/>
            <w:webHidden/>
          </w:rPr>
          <w:tab/>
        </w:r>
        <w:r w:rsidR="001818DF">
          <w:rPr>
            <w:noProof/>
            <w:webHidden/>
          </w:rPr>
          <w:fldChar w:fldCharType="begin"/>
        </w:r>
        <w:r w:rsidR="001818DF">
          <w:rPr>
            <w:noProof/>
            <w:webHidden/>
          </w:rPr>
          <w:instrText xml:space="preserve"> PAGEREF _Toc164153945 \h </w:instrText>
        </w:r>
        <w:r w:rsidR="001818DF">
          <w:rPr>
            <w:noProof/>
            <w:webHidden/>
          </w:rPr>
        </w:r>
        <w:r w:rsidR="001818DF">
          <w:rPr>
            <w:noProof/>
            <w:webHidden/>
          </w:rPr>
          <w:fldChar w:fldCharType="separate"/>
        </w:r>
        <w:r w:rsidR="009E4901">
          <w:rPr>
            <w:noProof/>
            <w:webHidden/>
          </w:rPr>
          <w:t>341</w:t>
        </w:r>
        <w:r w:rsidR="001818DF">
          <w:rPr>
            <w:noProof/>
            <w:webHidden/>
          </w:rPr>
          <w:fldChar w:fldCharType="end"/>
        </w:r>
      </w:hyperlink>
    </w:p>
    <w:p w14:paraId="0EE7E2A2" w14:textId="7B3F026E"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46" w:history="1">
        <w:r w:rsidR="001818DF" w:rsidRPr="002E0857">
          <w:rPr>
            <w:rStyle w:val="Hyperlink"/>
            <w:noProof/>
          </w:rPr>
          <w:t>Table 7.5.4</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Nitrogen (N) in effluent from industrial wastewater, from 1990 to 2022</w:t>
        </w:r>
        <w:r w:rsidR="001818DF">
          <w:rPr>
            <w:noProof/>
            <w:webHidden/>
          </w:rPr>
          <w:tab/>
        </w:r>
        <w:r w:rsidR="001818DF">
          <w:rPr>
            <w:noProof/>
            <w:webHidden/>
          </w:rPr>
          <w:fldChar w:fldCharType="begin"/>
        </w:r>
        <w:r w:rsidR="001818DF">
          <w:rPr>
            <w:noProof/>
            <w:webHidden/>
          </w:rPr>
          <w:instrText xml:space="preserve"> PAGEREF _Toc164153946 \h </w:instrText>
        </w:r>
        <w:r w:rsidR="001818DF">
          <w:rPr>
            <w:noProof/>
            <w:webHidden/>
          </w:rPr>
        </w:r>
        <w:r w:rsidR="001818DF">
          <w:rPr>
            <w:noProof/>
            <w:webHidden/>
          </w:rPr>
          <w:fldChar w:fldCharType="separate"/>
        </w:r>
        <w:r w:rsidR="009E4901">
          <w:rPr>
            <w:noProof/>
            <w:webHidden/>
          </w:rPr>
          <w:t>342</w:t>
        </w:r>
        <w:r w:rsidR="001818DF">
          <w:rPr>
            <w:noProof/>
            <w:webHidden/>
          </w:rPr>
          <w:fldChar w:fldCharType="end"/>
        </w:r>
      </w:hyperlink>
    </w:p>
    <w:p w14:paraId="70EE0E68" w14:textId="19BF76A1"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47" w:history="1">
        <w:r w:rsidR="001818DF" w:rsidRPr="002E0857">
          <w:rPr>
            <w:rStyle w:val="Hyperlink"/>
            <w:noProof/>
          </w:rPr>
          <w:t>Table 7.5.5</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Methods used for calculating emissions from wastewater treatment</w:t>
        </w:r>
        <w:r w:rsidR="001818DF">
          <w:rPr>
            <w:noProof/>
            <w:webHidden/>
          </w:rPr>
          <w:tab/>
        </w:r>
        <w:r w:rsidR="001818DF">
          <w:rPr>
            <w:noProof/>
            <w:webHidden/>
          </w:rPr>
          <w:fldChar w:fldCharType="begin"/>
        </w:r>
        <w:r w:rsidR="001818DF">
          <w:rPr>
            <w:noProof/>
            <w:webHidden/>
          </w:rPr>
          <w:instrText xml:space="preserve"> PAGEREF _Toc164153947 \h </w:instrText>
        </w:r>
        <w:r w:rsidR="001818DF">
          <w:rPr>
            <w:noProof/>
            <w:webHidden/>
          </w:rPr>
        </w:r>
        <w:r w:rsidR="001818DF">
          <w:rPr>
            <w:noProof/>
            <w:webHidden/>
          </w:rPr>
          <w:fldChar w:fldCharType="separate"/>
        </w:r>
        <w:r w:rsidR="009E4901">
          <w:rPr>
            <w:noProof/>
            <w:webHidden/>
          </w:rPr>
          <w:t>344</w:t>
        </w:r>
        <w:r w:rsidR="001818DF">
          <w:rPr>
            <w:noProof/>
            <w:webHidden/>
          </w:rPr>
          <w:fldChar w:fldCharType="end"/>
        </w:r>
      </w:hyperlink>
    </w:p>
    <w:p w14:paraId="77AB9667" w14:textId="0BAC3304"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48" w:history="1">
        <w:r w:rsidR="001818DF" w:rsidRPr="002E0857">
          <w:rPr>
            <w:rStyle w:val="Hyperlink"/>
            <w:noProof/>
          </w:rPr>
          <w:t>Table 7.5.6</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Parameter values applied by New Zealand for estimating methane emissions for domestic wastewater treatment</w:t>
        </w:r>
        <w:r w:rsidR="001818DF">
          <w:rPr>
            <w:noProof/>
            <w:webHidden/>
          </w:rPr>
          <w:tab/>
        </w:r>
        <w:r w:rsidR="001818DF">
          <w:rPr>
            <w:noProof/>
            <w:webHidden/>
          </w:rPr>
          <w:fldChar w:fldCharType="begin"/>
        </w:r>
        <w:r w:rsidR="001818DF">
          <w:rPr>
            <w:noProof/>
            <w:webHidden/>
          </w:rPr>
          <w:instrText xml:space="preserve"> PAGEREF _Toc164153948 \h </w:instrText>
        </w:r>
        <w:r w:rsidR="001818DF">
          <w:rPr>
            <w:noProof/>
            <w:webHidden/>
          </w:rPr>
        </w:r>
        <w:r w:rsidR="001818DF">
          <w:rPr>
            <w:noProof/>
            <w:webHidden/>
          </w:rPr>
          <w:fldChar w:fldCharType="separate"/>
        </w:r>
        <w:r w:rsidR="009E4901">
          <w:rPr>
            <w:noProof/>
            <w:webHidden/>
          </w:rPr>
          <w:t>345</w:t>
        </w:r>
        <w:r w:rsidR="001818DF">
          <w:rPr>
            <w:noProof/>
            <w:webHidden/>
          </w:rPr>
          <w:fldChar w:fldCharType="end"/>
        </w:r>
      </w:hyperlink>
    </w:p>
    <w:p w14:paraId="0CB5D98B" w14:textId="4255F58E"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49" w:history="1">
        <w:r w:rsidR="001818DF" w:rsidRPr="002E0857">
          <w:rPr>
            <w:rStyle w:val="Hyperlink"/>
            <w:noProof/>
          </w:rPr>
          <w:t>Table 7.5.7</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Parameter values applied by New Zealand for estimating nitrous oxide emissions from domestic and commercial wastewater treatment</w:t>
        </w:r>
        <w:r w:rsidR="001818DF">
          <w:rPr>
            <w:noProof/>
            <w:webHidden/>
          </w:rPr>
          <w:tab/>
        </w:r>
        <w:r w:rsidR="001818DF">
          <w:rPr>
            <w:noProof/>
            <w:webHidden/>
          </w:rPr>
          <w:fldChar w:fldCharType="begin"/>
        </w:r>
        <w:r w:rsidR="001818DF">
          <w:rPr>
            <w:noProof/>
            <w:webHidden/>
          </w:rPr>
          <w:instrText xml:space="preserve"> PAGEREF _Toc164153949 \h </w:instrText>
        </w:r>
        <w:r w:rsidR="001818DF">
          <w:rPr>
            <w:noProof/>
            <w:webHidden/>
          </w:rPr>
        </w:r>
        <w:r w:rsidR="001818DF">
          <w:rPr>
            <w:noProof/>
            <w:webHidden/>
          </w:rPr>
          <w:fldChar w:fldCharType="separate"/>
        </w:r>
        <w:r w:rsidR="009E4901">
          <w:rPr>
            <w:noProof/>
            <w:webHidden/>
          </w:rPr>
          <w:t>346</w:t>
        </w:r>
        <w:r w:rsidR="001818DF">
          <w:rPr>
            <w:noProof/>
            <w:webHidden/>
          </w:rPr>
          <w:fldChar w:fldCharType="end"/>
        </w:r>
      </w:hyperlink>
    </w:p>
    <w:p w14:paraId="3767612B" w14:textId="5C1B348A"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50" w:history="1">
        <w:r w:rsidR="001818DF" w:rsidRPr="002E0857">
          <w:rPr>
            <w:rStyle w:val="Hyperlink"/>
            <w:noProof/>
          </w:rPr>
          <w:t>Table 7.5.8</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Parameter values applied by New Zealand for estimating methane emissions from wastewater treatment by the meat industry</w:t>
        </w:r>
        <w:r w:rsidR="001818DF">
          <w:rPr>
            <w:noProof/>
            <w:webHidden/>
          </w:rPr>
          <w:tab/>
        </w:r>
        <w:r w:rsidR="001818DF">
          <w:rPr>
            <w:noProof/>
            <w:webHidden/>
          </w:rPr>
          <w:fldChar w:fldCharType="begin"/>
        </w:r>
        <w:r w:rsidR="001818DF">
          <w:rPr>
            <w:noProof/>
            <w:webHidden/>
          </w:rPr>
          <w:instrText xml:space="preserve"> PAGEREF _Toc164153950 \h </w:instrText>
        </w:r>
        <w:r w:rsidR="001818DF">
          <w:rPr>
            <w:noProof/>
            <w:webHidden/>
          </w:rPr>
        </w:r>
        <w:r w:rsidR="001818DF">
          <w:rPr>
            <w:noProof/>
            <w:webHidden/>
          </w:rPr>
          <w:fldChar w:fldCharType="separate"/>
        </w:r>
        <w:r w:rsidR="009E4901">
          <w:rPr>
            <w:noProof/>
            <w:webHidden/>
          </w:rPr>
          <w:t>347</w:t>
        </w:r>
        <w:r w:rsidR="001818DF">
          <w:rPr>
            <w:noProof/>
            <w:webHidden/>
          </w:rPr>
          <w:fldChar w:fldCharType="end"/>
        </w:r>
      </w:hyperlink>
    </w:p>
    <w:p w14:paraId="140786E4" w14:textId="23244164"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51" w:history="1">
        <w:r w:rsidR="001818DF" w:rsidRPr="002E0857">
          <w:rPr>
            <w:rStyle w:val="Hyperlink"/>
            <w:noProof/>
          </w:rPr>
          <w:t>Table 7.5.9</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Parameter values applied by New Zealand for estimating methane emissions for wastewater treatment by the pulp and paper industry</w:t>
        </w:r>
        <w:r w:rsidR="001818DF">
          <w:rPr>
            <w:noProof/>
            <w:webHidden/>
          </w:rPr>
          <w:tab/>
        </w:r>
        <w:r w:rsidR="001818DF">
          <w:rPr>
            <w:noProof/>
            <w:webHidden/>
          </w:rPr>
          <w:fldChar w:fldCharType="begin"/>
        </w:r>
        <w:r w:rsidR="001818DF">
          <w:rPr>
            <w:noProof/>
            <w:webHidden/>
          </w:rPr>
          <w:instrText xml:space="preserve"> PAGEREF _Toc164153951 \h </w:instrText>
        </w:r>
        <w:r w:rsidR="001818DF">
          <w:rPr>
            <w:noProof/>
            <w:webHidden/>
          </w:rPr>
        </w:r>
        <w:r w:rsidR="001818DF">
          <w:rPr>
            <w:noProof/>
            <w:webHidden/>
          </w:rPr>
          <w:fldChar w:fldCharType="separate"/>
        </w:r>
        <w:r w:rsidR="009E4901">
          <w:rPr>
            <w:noProof/>
            <w:webHidden/>
          </w:rPr>
          <w:t>347</w:t>
        </w:r>
        <w:r w:rsidR="001818DF">
          <w:rPr>
            <w:noProof/>
            <w:webHidden/>
          </w:rPr>
          <w:fldChar w:fldCharType="end"/>
        </w:r>
      </w:hyperlink>
    </w:p>
    <w:p w14:paraId="7FCE8B40" w14:textId="6BD33F0E"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52" w:history="1">
        <w:r w:rsidR="001818DF" w:rsidRPr="002E0857">
          <w:rPr>
            <w:rStyle w:val="Hyperlink"/>
            <w:noProof/>
          </w:rPr>
          <w:t>Table 7.5.10</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Parameter values applied by New Zealand for estimating methane emissions for wastewater treatment by the wine industry</w:t>
        </w:r>
        <w:r w:rsidR="001818DF">
          <w:rPr>
            <w:noProof/>
            <w:webHidden/>
          </w:rPr>
          <w:tab/>
        </w:r>
        <w:r w:rsidR="001818DF">
          <w:rPr>
            <w:noProof/>
            <w:webHidden/>
          </w:rPr>
          <w:fldChar w:fldCharType="begin"/>
        </w:r>
        <w:r w:rsidR="001818DF">
          <w:rPr>
            <w:noProof/>
            <w:webHidden/>
          </w:rPr>
          <w:instrText xml:space="preserve"> PAGEREF _Toc164153952 \h </w:instrText>
        </w:r>
        <w:r w:rsidR="001818DF">
          <w:rPr>
            <w:noProof/>
            <w:webHidden/>
          </w:rPr>
        </w:r>
        <w:r w:rsidR="001818DF">
          <w:rPr>
            <w:noProof/>
            <w:webHidden/>
          </w:rPr>
          <w:fldChar w:fldCharType="separate"/>
        </w:r>
        <w:r w:rsidR="009E4901">
          <w:rPr>
            <w:noProof/>
            <w:webHidden/>
          </w:rPr>
          <w:t>347</w:t>
        </w:r>
        <w:r w:rsidR="001818DF">
          <w:rPr>
            <w:noProof/>
            <w:webHidden/>
          </w:rPr>
          <w:fldChar w:fldCharType="end"/>
        </w:r>
      </w:hyperlink>
    </w:p>
    <w:p w14:paraId="31C11FD2" w14:textId="4B9B40C9"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53" w:history="1">
        <w:r w:rsidR="001818DF" w:rsidRPr="002E0857">
          <w:rPr>
            <w:rStyle w:val="Hyperlink"/>
            <w:noProof/>
          </w:rPr>
          <w:t>Table 7.5.11</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Parameter values applied by New Zealand for estimating methane emissions for wastewater treatment by the wool scouring industry</w:t>
        </w:r>
        <w:r w:rsidR="001818DF">
          <w:rPr>
            <w:noProof/>
            <w:webHidden/>
          </w:rPr>
          <w:tab/>
        </w:r>
        <w:r w:rsidR="001818DF">
          <w:rPr>
            <w:noProof/>
            <w:webHidden/>
          </w:rPr>
          <w:fldChar w:fldCharType="begin"/>
        </w:r>
        <w:r w:rsidR="001818DF">
          <w:rPr>
            <w:noProof/>
            <w:webHidden/>
          </w:rPr>
          <w:instrText xml:space="preserve"> PAGEREF _Toc164153953 \h </w:instrText>
        </w:r>
        <w:r w:rsidR="001818DF">
          <w:rPr>
            <w:noProof/>
            <w:webHidden/>
          </w:rPr>
        </w:r>
        <w:r w:rsidR="001818DF">
          <w:rPr>
            <w:noProof/>
            <w:webHidden/>
          </w:rPr>
          <w:fldChar w:fldCharType="separate"/>
        </w:r>
        <w:r w:rsidR="009E4901">
          <w:rPr>
            <w:noProof/>
            <w:webHidden/>
          </w:rPr>
          <w:t>348</w:t>
        </w:r>
        <w:r w:rsidR="001818DF">
          <w:rPr>
            <w:noProof/>
            <w:webHidden/>
          </w:rPr>
          <w:fldChar w:fldCharType="end"/>
        </w:r>
      </w:hyperlink>
    </w:p>
    <w:p w14:paraId="58EE81A5" w14:textId="1748EFE1"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54" w:history="1">
        <w:r w:rsidR="001818DF" w:rsidRPr="002E0857">
          <w:rPr>
            <w:rStyle w:val="Hyperlink"/>
            <w:noProof/>
          </w:rPr>
          <w:t>Table 7.5.12</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Parameter values applied by New Zealand for estimating methane emissions for wastewater treatment by the leather and skins industry</w:t>
        </w:r>
        <w:r w:rsidR="001818DF">
          <w:rPr>
            <w:noProof/>
            <w:webHidden/>
          </w:rPr>
          <w:tab/>
        </w:r>
        <w:r w:rsidR="001818DF">
          <w:rPr>
            <w:noProof/>
            <w:webHidden/>
          </w:rPr>
          <w:fldChar w:fldCharType="begin"/>
        </w:r>
        <w:r w:rsidR="001818DF">
          <w:rPr>
            <w:noProof/>
            <w:webHidden/>
          </w:rPr>
          <w:instrText xml:space="preserve"> PAGEREF _Toc164153954 \h </w:instrText>
        </w:r>
        <w:r w:rsidR="001818DF">
          <w:rPr>
            <w:noProof/>
            <w:webHidden/>
          </w:rPr>
        </w:r>
        <w:r w:rsidR="001818DF">
          <w:rPr>
            <w:noProof/>
            <w:webHidden/>
          </w:rPr>
          <w:fldChar w:fldCharType="separate"/>
        </w:r>
        <w:r w:rsidR="009E4901">
          <w:rPr>
            <w:noProof/>
            <w:webHidden/>
          </w:rPr>
          <w:t>348</w:t>
        </w:r>
        <w:r w:rsidR="001818DF">
          <w:rPr>
            <w:noProof/>
            <w:webHidden/>
          </w:rPr>
          <w:fldChar w:fldCharType="end"/>
        </w:r>
      </w:hyperlink>
    </w:p>
    <w:p w14:paraId="50F08649" w14:textId="521A23AD"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55" w:history="1">
        <w:r w:rsidR="001818DF" w:rsidRPr="002E0857">
          <w:rPr>
            <w:rStyle w:val="Hyperlink"/>
            <w:noProof/>
          </w:rPr>
          <w:t>Table 7.5.13</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Parameter values applied by New Zealand for estimating nitrous oxide emissions for wastewater treatment for the meat industry</w:t>
        </w:r>
        <w:r w:rsidR="001818DF">
          <w:rPr>
            <w:noProof/>
            <w:webHidden/>
          </w:rPr>
          <w:tab/>
        </w:r>
        <w:r w:rsidR="001818DF">
          <w:rPr>
            <w:noProof/>
            <w:webHidden/>
          </w:rPr>
          <w:fldChar w:fldCharType="begin"/>
        </w:r>
        <w:r w:rsidR="001818DF">
          <w:rPr>
            <w:noProof/>
            <w:webHidden/>
          </w:rPr>
          <w:instrText xml:space="preserve"> PAGEREF _Toc164153955 \h </w:instrText>
        </w:r>
        <w:r w:rsidR="001818DF">
          <w:rPr>
            <w:noProof/>
            <w:webHidden/>
          </w:rPr>
        </w:r>
        <w:r w:rsidR="001818DF">
          <w:rPr>
            <w:noProof/>
            <w:webHidden/>
          </w:rPr>
          <w:fldChar w:fldCharType="separate"/>
        </w:r>
        <w:r w:rsidR="009E4901">
          <w:rPr>
            <w:noProof/>
            <w:webHidden/>
          </w:rPr>
          <w:t>349</w:t>
        </w:r>
        <w:r w:rsidR="001818DF">
          <w:rPr>
            <w:noProof/>
            <w:webHidden/>
          </w:rPr>
          <w:fldChar w:fldCharType="end"/>
        </w:r>
      </w:hyperlink>
    </w:p>
    <w:p w14:paraId="365C7536" w14:textId="1950F6DD"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56" w:history="1">
        <w:r w:rsidR="001818DF" w:rsidRPr="002E0857">
          <w:rPr>
            <w:rStyle w:val="Hyperlink"/>
            <w:noProof/>
          </w:rPr>
          <w:t>Table 7.5.14</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Parameter values applied by New Zealand for estimating nitrous oxide emissions for wastewater treatment for the dairy processing industry</w:t>
        </w:r>
        <w:r w:rsidR="001818DF">
          <w:rPr>
            <w:noProof/>
            <w:webHidden/>
          </w:rPr>
          <w:tab/>
        </w:r>
        <w:r w:rsidR="001818DF">
          <w:rPr>
            <w:noProof/>
            <w:webHidden/>
          </w:rPr>
          <w:fldChar w:fldCharType="begin"/>
        </w:r>
        <w:r w:rsidR="001818DF">
          <w:rPr>
            <w:noProof/>
            <w:webHidden/>
          </w:rPr>
          <w:instrText xml:space="preserve"> PAGEREF _Toc164153956 \h </w:instrText>
        </w:r>
        <w:r w:rsidR="001818DF">
          <w:rPr>
            <w:noProof/>
            <w:webHidden/>
          </w:rPr>
        </w:r>
        <w:r w:rsidR="001818DF">
          <w:rPr>
            <w:noProof/>
            <w:webHidden/>
          </w:rPr>
          <w:fldChar w:fldCharType="separate"/>
        </w:r>
        <w:r w:rsidR="009E4901">
          <w:rPr>
            <w:noProof/>
            <w:webHidden/>
          </w:rPr>
          <w:t>349</w:t>
        </w:r>
        <w:r w:rsidR="001818DF">
          <w:rPr>
            <w:noProof/>
            <w:webHidden/>
          </w:rPr>
          <w:fldChar w:fldCharType="end"/>
        </w:r>
      </w:hyperlink>
    </w:p>
    <w:p w14:paraId="14097887" w14:textId="774945EA"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57" w:history="1">
        <w:r w:rsidR="001818DF" w:rsidRPr="002E0857">
          <w:rPr>
            <w:rStyle w:val="Hyperlink"/>
            <w:noProof/>
          </w:rPr>
          <w:t>Table 7.5.15</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Parameter values applied by New Zealand for estimating nitrous oxide emissions for wastewater treatment for the leather and skins industry</w:t>
        </w:r>
        <w:r w:rsidR="001818DF">
          <w:rPr>
            <w:noProof/>
            <w:webHidden/>
          </w:rPr>
          <w:tab/>
        </w:r>
        <w:r w:rsidR="001818DF">
          <w:rPr>
            <w:noProof/>
            <w:webHidden/>
          </w:rPr>
          <w:fldChar w:fldCharType="begin"/>
        </w:r>
        <w:r w:rsidR="001818DF">
          <w:rPr>
            <w:noProof/>
            <w:webHidden/>
          </w:rPr>
          <w:instrText xml:space="preserve"> PAGEREF _Toc164153957 \h </w:instrText>
        </w:r>
        <w:r w:rsidR="001818DF">
          <w:rPr>
            <w:noProof/>
            <w:webHidden/>
          </w:rPr>
        </w:r>
        <w:r w:rsidR="001818DF">
          <w:rPr>
            <w:noProof/>
            <w:webHidden/>
          </w:rPr>
          <w:fldChar w:fldCharType="separate"/>
        </w:r>
        <w:r w:rsidR="009E4901">
          <w:rPr>
            <w:noProof/>
            <w:webHidden/>
          </w:rPr>
          <w:t>349</w:t>
        </w:r>
        <w:r w:rsidR="001818DF">
          <w:rPr>
            <w:noProof/>
            <w:webHidden/>
          </w:rPr>
          <w:fldChar w:fldCharType="end"/>
        </w:r>
      </w:hyperlink>
    </w:p>
    <w:p w14:paraId="4A6199B3" w14:textId="595E253A"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58" w:history="1">
        <w:r w:rsidR="001818DF" w:rsidRPr="002E0857">
          <w:rPr>
            <w:rStyle w:val="Hyperlink"/>
            <w:noProof/>
          </w:rPr>
          <w:t>Table 7.5.16</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Uncertainty in emissions from wastewater</w:t>
        </w:r>
        <w:r w:rsidR="001818DF">
          <w:rPr>
            <w:noProof/>
            <w:webHidden/>
          </w:rPr>
          <w:tab/>
        </w:r>
        <w:r w:rsidR="001818DF">
          <w:rPr>
            <w:noProof/>
            <w:webHidden/>
          </w:rPr>
          <w:fldChar w:fldCharType="begin"/>
        </w:r>
        <w:r w:rsidR="001818DF">
          <w:rPr>
            <w:noProof/>
            <w:webHidden/>
          </w:rPr>
          <w:instrText xml:space="preserve"> PAGEREF _Toc164153958 \h </w:instrText>
        </w:r>
        <w:r w:rsidR="001818DF">
          <w:rPr>
            <w:noProof/>
            <w:webHidden/>
          </w:rPr>
        </w:r>
        <w:r w:rsidR="001818DF">
          <w:rPr>
            <w:noProof/>
            <w:webHidden/>
          </w:rPr>
          <w:fldChar w:fldCharType="separate"/>
        </w:r>
        <w:r w:rsidR="009E4901">
          <w:rPr>
            <w:noProof/>
            <w:webHidden/>
          </w:rPr>
          <w:t>350</w:t>
        </w:r>
        <w:r w:rsidR="001818DF">
          <w:rPr>
            <w:noProof/>
            <w:webHidden/>
          </w:rPr>
          <w:fldChar w:fldCharType="end"/>
        </w:r>
      </w:hyperlink>
    </w:p>
    <w:p w14:paraId="1D524CE2" w14:textId="6F2D639C"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59" w:history="1">
        <w:r w:rsidR="001818DF" w:rsidRPr="002E0857">
          <w:rPr>
            <w:rStyle w:val="Hyperlink"/>
            <w:noProof/>
          </w:rPr>
          <w:t xml:space="preserve">Table 8.1.1 </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Key sources for activity data in Tokelau</w:t>
        </w:r>
        <w:r w:rsidR="001818DF">
          <w:rPr>
            <w:noProof/>
            <w:webHidden/>
          </w:rPr>
          <w:tab/>
        </w:r>
        <w:r w:rsidR="001818DF">
          <w:rPr>
            <w:noProof/>
            <w:webHidden/>
          </w:rPr>
          <w:fldChar w:fldCharType="begin"/>
        </w:r>
        <w:r w:rsidR="001818DF">
          <w:rPr>
            <w:noProof/>
            <w:webHidden/>
          </w:rPr>
          <w:instrText xml:space="preserve"> PAGEREF _Toc164153959 \h </w:instrText>
        </w:r>
        <w:r w:rsidR="001818DF">
          <w:rPr>
            <w:noProof/>
            <w:webHidden/>
          </w:rPr>
        </w:r>
        <w:r w:rsidR="001818DF">
          <w:rPr>
            <w:noProof/>
            <w:webHidden/>
          </w:rPr>
          <w:fldChar w:fldCharType="separate"/>
        </w:r>
        <w:r w:rsidR="009E4901">
          <w:rPr>
            <w:noProof/>
            <w:webHidden/>
          </w:rPr>
          <w:t>356</w:t>
        </w:r>
        <w:r w:rsidR="001818DF">
          <w:rPr>
            <w:noProof/>
            <w:webHidden/>
          </w:rPr>
          <w:fldChar w:fldCharType="end"/>
        </w:r>
      </w:hyperlink>
    </w:p>
    <w:p w14:paraId="795C404E" w14:textId="076D5D67"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60" w:history="1">
        <w:r w:rsidR="001818DF" w:rsidRPr="002E0857">
          <w:rPr>
            <w:rStyle w:val="Hyperlink"/>
            <w:noProof/>
          </w:rPr>
          <w:t xml:space="preserve">Table 8.1.2 </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Gross emissions from Tokelau by gas in 1990 and 2022</w:t>
        </w:r>
        <w:r w:rsidR="001818DF">
          <w:rPr>
            <w:noProof/>
            <w:webHidden/>
          </w:rPr>
          <w:tab/>
        </w:r>
        <w:r w:rsidR="001818DF">
          <w:rPr>
            <w:noProof/>
            <w:webHidden/>
          </w:rPr>
          <w:fldChar w:fldCharType="begin"/>
        </w:r>
        <w:r w:rsidR="001818DF">
          <w:rPr>
            <w:noProof/>
            <w:webHidden/>
          </w:rPr>
          <w:instrText xml:space="preserve"> PAGEREF _Toc164153960 \h </w:instrText>
        </w:r>
        <w:r w:rsidR="001818DF">
          <w:rPr>
            <w:noProof/>
            <w:webHidden/>
          </w:rPr>
        </w:r>
        <w:r w:rsidR="001818DF">
          <w:rPr>
            <w:noProof/>
            <w:webHidden/>
          </w:rPr>
          <w:fldChar w:fldCharType="separate"/>
        </w:r>
        <w:r w:rsidR="009E4901">
          <w:rPr>
            <w:noProof/>
            <w:webHidden/>
          </w:rPr>
          <w:t>360</w:t>
        </w:r>
        <w:r w:rsidR="001818DF">
          <w:rPr>
            <w:noProof/>
            <w:webHidden/>
          </w:rPr>
          <w:fldChar w:fldCharType="end"/>
        </w:r>
      </w:hyperlink>
    </w:p>
    <w:p w14:paraId="631BF81B" w14:textId="199283FE"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61" w:history="1">
        <w:r w:rsidR="001818DF" w:rsidRPr="002E0857">
          <w:rPr>
            <w:rStyle w:val="Hyperlink"/>
            <w:noProof/>
          </w:rPr>
          <w:t xml:space="preserve">Table 8.3.1 </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Uncertainties for the </w:t>
        </w:r>
        <w:r w:rsidR="001818DF" w:rsidRPr="002E0857">
          <w:rPr>
            <w:rStyle w:val="Hyperlink"/>
            <w:i/>
            <w:iCs/>
            <w:noProof/>
          </w:rPr>
          <w:t>Energy industries</w:t>
        </w:r>
        <w:r w:rsidR="001818DF" w:rsidRPr="002E0857">
          <w:rPr>
            <w:rStyle w:val="Hyperlink"/>
            <w:noProof/>
          </w:rPr>
          <w:t xml:space="preserve"> category</w:t>
        </w:r>
        <w:r w:rsidR="001818DF">
          <w:rPr>
            <w:noProof/>
            <w:webHidden/>
          </w:rPr>
          <w:tab/>
        </w:r>
        <w:r w:rsidR="001818DF">
          <w:rPr>
            <w:noProof/>
            <w:webHidden/>
          </w:rPr>
          <w:fldChar w:fldCharType="begin"/>
        </w:r>
        <w:r w:rsidR="001818DF">
          <w:rPr>
            <w:noProof/>
            <w:webHidden/>
          </w:rPr>
          <w:instrText xml:space="preserve"> PAGEREF _Toc164153961 \h </w:instrText>
        </w:r>
        <w:r w:rsidR="001818DF">
          <w:rPr>
            <w:noProof/>
            <w:webHidden/>
          </w:rPr>
        </w:r>
        <w:r w:rsidR="001818DF">
          <w:rPr>
            <w:noProof/>
            <w:webHidden/>
          </w:rPr>
          <w:fldChar w:fldCharType="separate"/>
        </w:r>
        <w:r w:rsidR="009E4901">
          <w:rPr>
            <w:noProof/>
            <w:webHidden/>
          </w:rPr>
          <w:t>366</w:t>
        </w:r>
        <w:r w:rsidR="001818DF">
          <w:rPr>
            <w:noProof/>
            <w:webHidden/>
          </w:rPr>
          <w:fldChar w:fldCharType="end"/>
        </w:r>
      </w:hyperlink>
    </w:p>
    <w:p w14:paraId="430A02BE" w14:textId="024C1DEA"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62" w:history="1">
        <w:r w:rsidR="001818DF" w:rsidRPr="002E0857">
          <w:rPr>
            <w:rStyle w:val="Hyperlink"/>
            <w:noProof/>
          </w:rPr>
          <w:t xml:space="preserve">Table 8.4.1 </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Uncertainties for the </w:t>
        </w:r>
        <w:r w:rsidR="001818DF" w:rsidRPr="002E0857">
          <w:rPr>
            <w:rStyle w:val="Hyperlink"/>
            <w:i/>
            <w:iCs/>
            <w:noProof/>
          </w:rPr>
          <w:t>Other sectors – Residential</w:t>
        </w:r>
        <w:r w:rsidR="001818DF" w:rsidRPr="002E0857">
          <w:rPr>
            <w:rStyle w:val="Hyperlink"/>
            <w:noProof/>
          </w:rPr>
          <w:t xml:space="preserve"> category</w:t>
        </w:r>
        <w:r w:rsidR="001818DF">
          <w:rPr>
            <w:noProof/>
            <w:webHidden/>
          </w:rPr>
          <w:tab/>
        </w:r>
        <w:r w:rsidR="001818DF">
          <w:rPr>
            <w:noProof/>
            <w:webHidden/>
          </w:rPr>
          <w:fldChar w:fldCharType="begin"/>
        </w:r>
        <w:r w:rsidR="001818DF">
          <w:rPr>
            <w:noProof/>
            <w:webHidden/>
          </w:rPr>
          <w:instrText xml:space="preserve"> PAGEREF _Toc164153962 \h </w:instrText>
        </w:r>
        <w:r w:rsidR="001818DF">
          <w:rPr>
            <w:noProof/>
            <w:webHidden/>
          </w:rPr>
        </w:r>
        <w:r w:rsidR="001818DF">
          <w:rPr>
            <w:noProof/>
            <w:webHidden/>
          </w:rPr>
          <w:fldChar w:fldCharType="separate"/>
        </w:r>
        <w:r w:rsidR="009E4901">
          <w:rPr>
            <w:noProof/>
            <w:webHidden/>
          </w:rPr>
          <w:t>368</w:t>
        </w:r>
        <w:r w:rsidR="001818DF">
          <w:rPr>
            <w:noProof/>
            <w:webHidden/>
          </w:rPr>
          <w:fldChar w:fldCharType="end"/>
        </w:r>
      </w:hyperlink>
    </w:p>
    <w:p w14:paraId="7218122E" w14:textId="3732E366"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63" w:history="1">
        <w:r w:rsidR="001818DF" w:rsidRPr="002E0857">
          <w:rPr>
            <w:rStyle w:val="Hyperlink"/>
            <w:noProof/>
          </w:rPr>
          <w:t xml:space="preserve">Table 8.5.1 </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Uncertainties for the </w:t>
        </w:r>
        <w:r w:rsidR="001818DF" w:rsidRPr="002E0857">
          <w:rPr>
            <w:rStyle w:val="Hyperlink"/>
            <w:i/>
            <w:iCs/>
            <w:noProof/>
          </w:rPr>
          <w:t xml:space="preserve">Domestic navigation </w:t>
        </w:r>
        <w:r w:rsidR="001818DF" w:rsidRPr="002E0857">
          <w:rPr>
            <w:rStyle w:val="Hyperlink"/>
            <w:noProof/>
          </w:rPr>
          <w:t>(diesel) category</w:t>
        </w:r>
        <w:r w:rsidR="001818DF">
          <w:rPr>
            <w:noProof/>
            <w:webHidden/>
          </w:rPr>
          <w:tab/>
        </w:r>
        <w:r w:rsidR="001818DF">
          <w:rPr>
            <w:noProof/>
            <w:webHidden/>
          </w:rPr>
          <w:fldChar w:fldCharType="begin"/>
        </w:r>
        <w:r w:rsidR="001818DF">
          <w:rPr>
            <w:noProof/>
            <w:webHidden/>
          </w:rPr>
          <w:instrText xml:space="preserve"> PAGEREF _Toc164153963 \h </w:instrText>
        </w:r>
        <w:r w:rsidR="001818DF">
          <w:rPr>
            <w:noProof/>
            <w:webHidden/>
          </w:rPr>
        </w:r>
        <w:r w:rsidR="001818DF">
          <w:rPr>
            <w:noProof/>
            <w:webHidden/>
          </w:rPr>
          <w:fldChar w:fldCharType="separate"/>
        </w:r>
        <w:r w:rsidR="009E4901">
          <w:rPr>
            <w:noProof/>
            <w:webHidden/>
          </w:rPr>
          <w:t>371</w:t>
        </w:r>
        <w:r w:rsidR="001818DF">
          <w:rPr>
            <w:noProof/>
            <w:webHidden/>
          </w:rPr>
          <w:fldChar w:fldCharType="end"/>
        </w:r>
      </w:hyperlink>
    </w:p>
    <w:p w14:paraId="207E62C7" w14:textId="675AB3B9"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64" w:history="1">
        <w:r w:rsidR="001818DF" w:rsidRPr="002E0857">
          <w:rPr>
            <w:rStyle w:val="Hyperlink"/>
            <w:noProof/>
          </w:rPr>
          <w:t xml:space="preserve">Table 8.7.1 </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Uncertainties for the </w:t>
        </w:r>
        <w:r w:rsidR="001818DF" w:rsidRPr="002E0857">
          <w:rPr>
            <w:rStyle w:val="Hyperlink"/>
            <w:i/>
            <w:iCs/>
            <w:noProof/>
          </w:rPr>
          <w:t>Refrigeration and air conditioning</w:t>
        </w:r>
        <w:r w:rsidR="001818DF" w:rsidRPr="002E0857">
          <w:rPr>
            <w:rStyle w:val="Hyperlink"/>
            <w:noProof/>
          </w:rPr>
          <w:t xml:space="preserve"> category</w:t>
        </w:r>
        <w:r w:rsidR="001818DF">
          <w:rPr>
            <w:noProof/>
            <w:webHidden/>
          </w:rPr>
          <w:tab/>
        </w:r>
        <w:r w:rsidR="001818DF">
          <w:rPr>
            <w:noProof/>
            <w:webHidden/>
          </w:rPr>
          <w:fldChar w:fldCharType="begin"/>
        </w:r>
        <w:r w:rsidR="001818DF">
          <w:rPr>
            <w:noProof/>
            <w:webHidden/>
          </w:rPr>
          <w:instrText xml:space="preserve"> PAGEREF _Toc164153964 \h </w:instrText>
        </w:r>
        <w:r w:rsidR="001818DF">
          <w:rPr>
            <w:noProof/>
            <w:webHidden/>
          </w:rPr>
        </w:r>
        <w:r w:rsidR="001818DF">
          <w:rPr>
            <w:noProof/>
            <w:webHidden/>
          </w:rPr>
          <w:fldChar w:fldCharType="separate"/>
        </w:r>
        <w:r w:rsidR="009E4901">
          <w:rPr>
            <w:noProof/>
            <w:webHidden/>
          </w:rPr>
          <w:t>374</w:t>
        </w:r>
        <w:r w:rsidR="001818DF">
          <w:rPr>
            <w:noProof/>
            <w:webHidden/>
          </w:rPr>
          <w:fldChar w:fldCharType="end"/>
        </w:r>
      </w:hyperlink>
    </w:p>
    <w:p w14:paraId="2BA02DB5" w14:textId="2B262B90"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65" w:history="1">
        <w:r w:rsidR="001818DF" w:rsidRPr="002E0857">
          <w:rPr>
            <w:rStyle w:val="Hyperlink"/>
            <w:noProof/>
          </w:rPr>
          <w:t xml:space="preserve">Table 8.8.1 </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Uncertainties for the </w:t>
        </w:r>
        <w:r w:rsidR="001818DF" w:rsidRPr="002E0857">
          <w:rPr>
            <w:rStyle w:val="Hyperlink"/>
            <w:i/>
            <w:iCs/>
            <w:noProof/>
          </w:rPr>
          <w:t>Other product manufacture and use</w:t>
        </w:r>
        <w:r w:rsidR="001818DF" w:rsidRPr="002E0857">
          <w:rPr>
            <w:rStyle w:val="Hyperlink"/>
            <w:noProof/>
          </w:rPr>
          <w:t xml:space="preserve"> category</w:t>
        </w:r>
        <w:r w:rsidR="001818DF">
          <w:rPr>
            <w:noProof/>
            <w:webHidden/>
          </w:rPr>
          <w:tab/>
        </w:r>
        <w:r w:rsidR="001818DF">
          <w:rPr>
            <w:noProof/>
            <w:webHidden/>
          </w:rPr>
          <w:fldChar w:fldCharType="begin"/>
        </w:r>
        <w:r w:rsidR="001818DF">
          <w:rPr>
            <w:noProof/>
            <w:webHidden/>
          </w:rPr>
          <w:instrText xml:space="preserve"> PAGEREF _Toc164153965 \h </w:instrText>
        </w:r>
        <w:r w:rsidR="001818DF">
          <w:rPr>
            <w:noProof/>
            <w:webHidden/>
          </w:rPr>
        </w:r>
        <w:r w:rsidR="001818DF">
          <w:rPr>
            <w:noProof/>
            <w:webHidden/>
          </w:rPr>
          <w:fldChar w:fldCharType="separate"/>
        </w:r>
        <w:r w:rsidR="009E4901">
          <w:rPr>
            <w:noProof/>
            <w:webHidden/>
          </w:rPr>
          <w:t>375</w:t>
        </w:r>
        <w:r w:rsidR="001818DF">
          <w:rPr>
            <w:noProof/>
            <w:webHidden/>
          </w:rPr>
          <w:fldChar w:fldCharType="end"/>
        </w:r>
      </w:hyperlink>
    </w:p>
    <w:p w14:paraId="3B06422F" w14:textId="34DEF704"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66" w:history="1">
        <w:r w:rsidR="001818DF" w:rsidRPr="002E0857">
          <w:rPr>
            <w:rStyle w:val="Hyperlink"/>
            <w:noProof/>
          </w:rPr>
          <w:t xml:space="preserve">Table 8.10.1 </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Number of livestock in Tokelau (2016)</w:t>
        </w:r>
        <w:r w:rsidR="001818DF">
          <w:rPr>
            <w:noProof/>
            <w:webHidden/>
          </w:rPr>
          <w:tab/>
        </w:r>
        <w:r w:rsidR="001818DF">
          <w:rPr>
            <w:noProof/>
            <w:webHidden/>
          </w:rPr>
          <w:fldChar w:fldCharType="begin"/>
        </w:r>
        <w:r w:rsidR="001818DF">
          <w:rPr>
            <w:noProof/>
            <w:webHidden/>
          </w:rPr>
          <w:instrText xml:space="preserve"> PAGEREF _Toc164153966 \h </w:instrText>
        </w:r>
        <w:r w:rsidR="001818DF">
          <w:rPr>
            <w:noProof/>
            <w:webHidden/>
          </w:rPr>
        </w:r>
        <w:r w:rsidR="001818DF">
          <w:rPr>
            <w:noProof/>
            <w:webHidden/>
          </w:rPr>
          <w:fldChar w:fldCharType="separate"/>
        </w:r>
        <w:r w:rsidR="009E4901">
          <w:rPr>
            <w:noProof/>
            <w:webHidden/>
          </w:rPr>
          <w:t>377</w:t>
        </w:r>
        <w:r w:rsidR="001818DF">
          <w:rPr>
            <w:noProof/>
            <w:webHidden/>
          </w:rPr>
          <w:fldChar w:fldCharType="end"/>
        </w:r>
      </w:hyperlink>
    </w:p>
    <w:p w14:paraId="7A25DF36" w14:textId="5507D578"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67" w:history="1">
        <w:r w:rsidR="001818DF" w:rsidRPr="002E0857">
          <w:rPr>
            <w:rStyle w:val="Hyperlink"/>
            <w:noProof/>
          </w:rPr>
          <w:t xml:space="preserve">Table 8.13.1 </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Summary of parameters for uncategorised landfills in Tokelau</w:t>
        </w:r>
        <w:r w:rsidR="001818DF">
          <w:rPr>
            <w:noProof/>
            <w:webHidden/>
          </w:rPr>
          <w:tab/>
        </w:r>
        <w:r w:rsidR="001818DF">
          <w:rPr>
            <w:noProof/>
            <w:webHidden/>
          </w:rPr>
          <w:fldChar w:fldCharType="begin"/>
        </w:r>
        <w:r w:rsidR="001818DF">
          <w:rPr>
            <w:noProof/>
            <w:webHidden/>
          </w:rPr>
          <w:instrText xml:space="preserve"> PAGEREF _Toc164153967 \h </w:instrText>
        </w:r>
        <w:r w:rsidR="001818DF">
          <w:rPr>
            <w:noProof/>
            <w:webHidden/>
          </w:rPr>
        </w:r>
        <w:r w:rsidR="001818DF">
          <w:rPr>
            <w:noProof/>
            <w:webHidden/>
          </w:rPr>
          <w:fldChar w:fldCharType="separate"/>
        </w:r>
        <w:r w:rsidR="009E4901">
          <w:rPr>
            <w:noProof/>
            <w:webHidden/>
          </w:rPr>
          <w:t>381</w:t>
        </w:r>
        <w:r w:rsidR="001818DF">
          <w:rPr>
            <w:noProof/>
            <w:webHidden/>
          </w:rPr>
          <w:fldChar w:fldCharType="end"/>
        </w:r>
      </w:hyperlink>
    </w:p>
    <w:p w14:paraId="19F1082A" w14:textId="0394A11D"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68" w:history="1">
        <w:r w:rsidR="001818DF" w:rsidRPr="002E0857">
          <w:rPr>
            <w:rStyle w:val="Hyperlink"/>
            <w:noProof/>
          </w:rPr>
          <w:t xml:space="preserve">Table 8.13.2 </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Uncertainty in emissions from the </w:t>
        </w:r>
        <w:r w:rsidR="001818DF" w:rsidRPr="002E0857">
          <w:rPr>
            <w:rStyle w:val="Hyperlink"/>
            <w:i/>
            <w:iCs/>
            <w:noProof/>
          </w:rPr>
          <w:t>Solid waste disposal</w:t>
        </w:r>
        <w:r w:rsidR="001818DF" w:rsidRPr="002E0857">
          <w:rPr>
            <w:rStyle w:val="Hyperlink"/>
            <w:noProof/>
          </w:rPr>
          <w:t xml:space="preserve"> category</w:t>
        </w:r>
        <w:r w:rsidR="001818DF">
          <w:rPr>
            <w:noProof/>
            <w:webHidden/>
          </w:rPr>
          <w:tab/>
        </w:r>
        <w:r w:rsidR="001818DF">
          <w:rPr>
            <w:noProof/>
            <w:webHidden/>
          </w:rPr>
          <w:fldChar w:fldCharType="begin"/>
        </w:r>
        <w:r w:rsidR="001818DF">
          <w:rPr>
            <w:noProof/>
            <w:webHidden/>
          </w:rPr>
          <w:instrText xml:space="preserve"> PAGEREF _Toc164153968 \h </w:instrText>
        </w:r>
        <w:r w:rsidR="001818DF">
          <w:rPr>
            <w:noProof/>
            <w:webHidden/>
          </w:rPr>
        </w:r>
        <w:r w:rsidR="001818DF">
          <w:rPr>
            <w:noProof/>
            <w:webHidden/>
          </w:rPr>
          <w:fldChar w:fldCharType="separate"/>
        </w:r>
        <w:r w:rsidR="009E4901">
          <w:rPr>
            <w:noProof/>
            <w:webHidden/>
          </w:rPr>
          <w:t>382</w:t>
        </w:r>
        <w:r w:rsidR="001818DF">
          <w:rPr>
            <w:noProof/>
            <w:webHidden/>
          </w:rPr>
          <w:fldChar w:fldCharType="end"/>
        </w:r>
      </w:hyperlink>
    </w:p>
    <w:p w14:paraId="4ED2FC50" w14:textId="23C9706A"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69" w:history="1">
        <w:r w:rsidR="001818DF" w:rsidRPr="002E0857">
          <w:rPr>
            <w:rStyle w:val="Hyperlink"/>
            <w:noProof/>
          </w:rPr>
          <w:t xml:space="preserve">Table 8.14.1 </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Composition data and carbon content used for estimating emissions from </w:t>
        </w:r>
        <w:r w:rsidR="001818DF" w:rsidRPr="002E0857">
          <w:rPr>
            <w:rStyle w:val="Hyperlink"/>
            <w:i/>
            <w:iCs/>
            <w:noProof/>
          </w:rPr>
          <w:t>Open burning of waste</w:t>
        </w:r>
        <w:r w:rsidR="001818DF">
          <w:rPr>
            <w:noProof/>
            <w:webHidden/>
          </w:rPr>
          <w:tab/>
        </w:r>
        <w:r w:rsidR="001818DF">
          <w:rPr>
            <w:noProof/>
            <w:webHidden/>
          </w:rPr>
          <w:fldChar w:fldCharType="begin"/>
        </w:r>
        <w:r w:rsidR="001818DF">
          <w:rPr>
            <w:noProof/>
            <w:webHidden/>
          </w:rPr>
          <w:instrText xml:space="preserve"> PAGEREF _Toc164153969 \h </w:instrText>
        </w:r>
        <w:r w:rsidR="001818DF">
          <w:rPr>
            <w:noProof/>
            <w:webHidden/>
          </w:rPr>
        </w:r>
        <w:r w:rsidR="001818DF">
          <w:rPr>
            <w:noProof/>
            <w:webHidden/>
          </w:rPr>
          <w:fldChar w:fldCharType="separate"/>
        </w:r>
        <w:r w:rsidR="009E4901">
          <w:rPr>
            <w:noProof/>
            <w:webHidden/>
          </w:rPr>
          <w:t>383</w:t>
        </w:r>
        <w:r w:rsidR="001818DF">
          <w:rPr>
            <w:noProof/>
            <w:webHidden/>
          </w:rPr>
          <w:fldChar w:fldCharType="end"/>
        </w:r>
      </w:hyperlink>
    </w:p>
    <w:p w14:paraId="0F2666BA" w14:textId="18EF6825"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70" w:history="1">
        <w:r w:rsidR="001818DF" w:rsidRPr="002E0857">
          <w:rPr>
            <w:rStyle w:val="Hyperlink"/>
            <w:noProof/>
          </w:rPr>
          <w:t xml:space="preserve">Table 8.14.2 </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Uncertainty in emissions from </w:t>
        </w:r>
        <w:r w:rsidR="001818DF" w:rsidRPr="002E0857">
          <w:rPr>
            <w:rStyle w:val="Hyperlink"/>
            <w:i/>
            <w:iCs/>
            <w:noProof/>
          </w:rPr>
          <w:t>Open burning of waste</w:t>
        </w:r>
        <w:r w:rsidR="001818DF" w:rsidRPr="002E0857">
          <w:rPr>
            <w:rStyle w:val="Hyperlink"/>
            <w:noProof/>
          </w:rPr>
          <w:t xml:space="preserve"> for Tokelau</w:t>
        </w:r>
        <w:r w:rsidR="001818DF">
          <w:rPr>
            <w:noProof/>
            <w:webHidden/>
          </w:rPr>
          <w:tab/>
        </w:r>
        <w:r w:rsidR="001818DF">
          <w:rPr>
            <w:noProof/>
            <w:webHidden/>
          </w:rPr>
          <w:fldChar w:fldCharType="begin"/>
        </w:r>
        <w:r w:rsidR="001818DF">
          <w:rPr>
            <w:noProof/>
            <w:webHidden/>
          </w:rPr>
          <w:instrText xml:space="preserve"> PAGEREF _Toc164153970 \h </w:instrText>
        </w:r>
        <w:r w:rsidR="001818DF">
          <w:rPr>
            <w:noProof/>
            <w:webHidden/>
          </w:rPr>
        </w:r>
        <w:r w:rsidR="001818DF">
          <w:rPr>
            <w:noProof/>
            <w:webHidden/>
          </w:rPr>
          <w:fldChar w:fldCharType="separate"/>
        </w:r>
        <w:r w:rsidR="009E4901">
          <w:rPr>
            <w:noProof/>
            <w:webHidden/>
          </w:rPr>
          <w:t>384</w:t>
        </w:r>
        <w:r w:rsidR="001818DF">
          <w:rPr>
            <w:noProof/>
            <w:webHidden/>
          </w:rPr>
          <w:fldChar w:fldCharType="end"/>
        </w:r>
      </w:hyperlink>
    </w:p>
    <w:p w14:paraId="4F3FA2FE" w14:textId="1437F1DB"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71" w:history="1">
        <w:r w:rsidR="001818DF" w:rsidRPr="002E0857">
          <w:rPr>
            <w:rStyle w:val="Hyperlink"/>
            <w:noProof/>
          </w:rPr>
          <w:t xml:space="preserve">Table 8.15.1 </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Parameters for estimating methane emissions for Tokelau wastewater treatment</w:t>
        </w:r>
        <w:r w:rsidR="001818DF">
          <w:rPr>
            <w:noProof/>
            <w:webHidden/>
          </w:rPr>
          <w:tab/>
        </w:r>
        <w:r w:rsidR="001818DF">
          <w:rPr>
            <w:noProof/>
            <w:webHidden/>
          </w:rPr>
          <w:fldChar w:fldCharType="begin"/>
        </w:r>
        <w:r w:rsidR="001818DF">
          <w:rPr>
            <w:noProof/>
            <w:webHidden/>
          </w:rPr>
          <w:instrText xml:space="preserve"> PAGEREF _Toc164153971 \h </w:instrText>
        </w:r>
        <w:r w:rsidR="001818DF">
          <w:rPr>
            <w:noProof/>
            <w:webHidden/>
          </w:rPr>
        </w:r>
        <w:r w:rsidR="001818DF">
          <w:rPr>
            <w:noProof/>
            <w:webHidden/>
          </w:rPr>
          <w:fldChar w:fldCharType="separate"/>
        </w:r>
        <w:r w:rsidR="009E4901">
          <w:rPr>
            <w:noProof/>
            <w:webHidden/>
          </w:rPr>
          <w:t>385</w:t>
        </w:r>
        <w:r w:rsidR="001818DF">
          <w:rPr>
            <w:noProof/>
            <w:webHidden/>
          </w:rPr>
          <w:fldChar w:fldCharType="end"/>
        </w:r>
      </w:hyperlink>
    </w:p>
    <w:p w14:paraId="575CD7AB" w14:textId="3A1A3ED4"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72" w:history="1">
        <w:r w:rsidR="001818DF" w:rsidRPr="002E0857">
          <w:rPr>
            <w:rStyle w:val="Hyperlink"/>
            <w:noProof/>
          </w:rPr>
          <w:t xml:space="preserve">Table 8.15.2 </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Parameter values applied for estimating nitrous oxide emissions for Tokelau wastewater treatment</w:t>
        </w:r>
        <w:r w:rsidR="001818DF">
          <w:rPr>
            <w:noProof/>
            <w:webHidden/>
          </w:rPr>
          <w:tab/>
        </w:r>
        <w:r w:rsidR="001818DF">
          <w:rPr>
            <w:noProof/>
            <w:webHidden/>
          </w:rPr>
          <w:fldChar w:fldCharType="begin"/>
        </w:r>
        <w:r w:rsidR="001818DF">
          <w:rPr>
            <w:noProof/>
            <w:webHidden/>
          </w:rPr>
          <w:instrText xml:space="preserve"> PAGEREF _Toc164153972 \h </w:instrText>
        </w:r>
        <w:r w:rsidR="001818DF">
          <w:rPr>
            <w:noProof/>
            <w:webHidden/>
          </w:rPr>
        </w:r>
        <w:r w:rsidR="001818DF">
          <w:rPr>
            <w:noProof/>
            <w:webHidden/>
          </w:rPr>
          <w:fldChar w:fldCharType="separate"/>
        </w:r>
        <w:r w:rsidR="009E4901">
          <w:rPr>
            <w:noProof/>
            <w:webHidden/>
          </w:rPr>
          <w:t>386</w:t>
        </w:r>
        <w:r w:rsidR="001818DF">
          <w:rPr>
            <w:noProof/>
            <w:webHidden/>
          </w:rPr>
          <w:fldChar w:fldCharType="end"/>
        </w:r>
      </w:hyperlink>
    </w:p>
    <w:p w14:paraId="1FCA9C75" w14:textId="58073073"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73" w:history="1">
        <w:r w:rsidR="001818DF" w:rsidRPr="002E0857">
          <w:rPr>
            <w:rStyle w:val="Hyperlink"/>
            <w:noProof/>
          </w:rPr>
          <w:t xml:space="preserve">Table 8.15.3 </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Uncertainty in emissions from </w:t>
        </w:r>
        <w:r w:rsidR="001818DF" w:rsidRPr="002E0857">
          <w:rPr>
            <w:rStyle w:val="Hyperlink"/>
            <w:i/>
            <w:iCs/>
            <w:noProof/>
          </w:rPr>
          <w:t>Domestic wastewater</w:t>
        </w:r>
        <w:r w:rsidR="001818DF">
          <w:rPr>
            <w:noProof/>
            <w:webHidden/>
          </w:rPr>
          <w:tab/>
        </w:r>
        <w:r w:rsidR="001818DF">
          <w:rPr>
            <w:noProof/>
            <w:webHidden/>
          </w:rPr>
          <w:fldChar w:fldCharType="begin"/>
        </w:r>
        <w:r w:rsidR="001818DF">
          <w:rPr>
            <w:noProof/>
            <w:webHidden/>
          </w:rPr>
          <w:instrText xml:space="preserve"> PAGEREF _Toc164153973 \h </w:instrText>
        </w:r>
        <w:r w:rsidR="001818DF">
          <w:rPr>
            <w:noProof/>
            <w:webHidden/>
          </w:rPr>
        </w:r>
        <w:r w:rsidR="001818DF">
          <w:rPr>
            <w:noProof/>
            <w:webHidden/>
          </w:rPr>
          <w:fldChar w:fldCharType="separate"/>
        </w:r>
        <w:r w:rsidR="009E4901">
          <w:rPr>
            <w:noProof/>
            <w:webHidden/>
          </w:rPr>
          <w:t>386</w:t>
        </w:r>
        <w:r w:rsidR="001818DF">
          <w:rPr>
            <w:noProof/>
            <w:webHidden/>
          </w:rPr>
          <w:fldChar w:fldCharType="end"/>
        </w:r>
      </w:hyperlink>
    </w:p>
    <w:p w14:paraId="3AE0E61B" w14:textId="27E5F457"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74" w:history="1">
        <w:r w:rsidR="001818DF" w:rsidRPr="002E0857">
          <w:rPr>
            <w:rStyle w:val="Hyperlink"/>
            <w:noProof/>
          </w:rPr>
          <w:t xml:space="preserve">Table 10.1.1 </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Explanations and justifications for recalculations</w:t>
        </w:r>
        <w:r w:rsidR="001818DF">
          <w:rPr>
            <w:noProof/>
            <w:webHidden/>
          </w:rPr>
          <w:tab/>
        </w:r>
        <w:r w:rsidR="001818DF">
          <w:rPr>
            <w:noProof/>
            <w:webHidden/>
          </w:rPr>
          <w:fldChar w:fldCharType="begin"/>
        </w:r>
        <w:r w:rsidR="001818DF">
          <w:rPr>
            <w:noProof/>
            <w:webHidden/>
          </w:rPr>
          <w:instrText xml:space="preserve"> PAGEREF _Toc164153974 \h </w:instrText>
        </w:r>
        <w:r w:rsidR="001818DF">
          <w:rPr>
            <w:noProof/>
            <w:webHidden/>
          </w:rPr>
        </w:r>
        <w:r w:rsidR="001818DF">
          <w:rPr>
            <w:noProof/>
            <w:webHidden/>
          </w:rPr>
          <w:fldChar w:fldCharType="separate"/>
        </w:r>
        <w:r w:rsidR="009E4901">
          <w:rPr>
            <w:noProof/>
            <w:webHidden/>
          </w:rPr>
          <w:t>389</w:t>
        </w:r>
        <w:r w:rsidR="001818DF">
          <w:rPr>
            <w:noProof/>
            <w:webHidden/>
          </w:rPr>
          <w:fldChar w:fldCharType="end"/>
        </w:r>
      </w:hyperlink>
    </w:p>
    <w:p w14:paraId="60E87D16" w14:textId="6D38F0FE"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75" w:history="1">
        <w:r w:rsidR="001818DF" w:rsidRPr="002E0857">
          <w:rPr>
            <w:rStyle w:val="Hyperlink"/>
            <w:noProof/>
          </w:rPr>
          <w:t xml:space="preserve">Table 10.2.1 </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Recalculations that led to the greatest increase in emissions estimates in each sector</w:t>
        </w:r>
        <w:r w:rsidR="001818DF">
          <w:rPr>
            <w:noProof/>
            <w:webHidden/>
          </w:rPr>
          <w:tab/>
        </w:r>
        <w:r w:rsidR="001818DF">
          <w:rPr>
            <w:noProof/>
            <w:webHidden/>
          </w:rPr>
          <w:fldChar w:fldCharType="begin"/>
        </w:r>
        <w:r w:rsidR="001818DF">
          <w:rPr>
            <w:noProof/>
            <w:webHidden/>
          </w:rPr>
          <w:instrText xml:space="preserve"> PAGEREF _Toc164153975 \h </w:instrText>
        </w:r>
        <w:r w:rsidR="001818DF">
          <w:rPr>
            <w:noProof/>
            <w:webHidden/>
          </w:rPr>
        </w:r>
        <w:r w:rsidR="001818DF">
          <w:rPr>
            <w:noProof/>
            <w:webHidden/>
          </w:rPr>
          <w:fldChar w:fldCharType="separate"/>
        </w:r>
        <w:r w:rsidR="009E4901">
          <w:rPr>
            <w:noProof/>
            <w:webHidden/>
          </w:rPr>
          <w:t>393</w:t>
        </w:r>
        <w:r w:rsidR="001818DF">
          <w:rPr>
            <w:noProof/>
            <w:webHidden/>
          </w:rPr>
          <w:fldChar w:fldCharType="end"/>
        </w:r>
      </w:hyperlink>
    </w:p>
    <w:p w14:paraId="5213A8AE" w14:textId="69FF1083"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76" w:history="1">
        <w:r w:rsidR="001818DF" w:rsidRPr="002E0857">
          <w:rPr>
            <w:rStyle w:val="Hyperlink"/>
            <w:noProof/>
          </w:rPr>
          <w:t xml:space="preserve">Table 10.2.2 </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Recalculations that led to the greatest decrease in emissions estimates in each sector</w:t>
        </w:r>
        <w:r w:rsidR="001818DF">
          <w:rPr>
            <w:noProof/>
            <w:webHidden/>
          </w:rPr>
          <w:tab/>
        </w:r>
        <w:r w:rsidR="001818DF">
          <w:rPr>
            <w:noProof/>
            <w:webHidden/>
          </w:rPr>
          <w:fldChar w:fldCharType="begin"/>
        </w:r>
        <w:r w:rsidR="001818DF">
          <w:rPr>
            <w:noProof/>
            <w:webHidden/>
          </w:rPr>
          <w:instrText xml:space="preserve"> PAGEREF _Toc164153976 \h </w:instrText>
        </w:r>
        <w:r w:rsidR="001818DF">
          <w:rPr>
            <w:noProof/>
            <w:webHidden/>
          </w:rPr>
        </w:r>
        <w:r w:rsidR="001818DF">
          <w:rPr>
            <w:noProof/>
            <w:webHidden/>
          </w:rPr>
          <w:fldChar w:fldCharType="separate"/>
        </w:r>
        <w:r w:rsidR="009E4901">
          <w:rPr>
            <w:noProof/>
            <w:webHidden/>
          </w:rPr>
          <w:t>394</w:t>
        </w:r>
        <w:r w:rsidR="001818DF">
          <w:rPr>
            <w:noProof/>
            <w:webHidden/>
          </w:rPr>
          <w:fldChar w:fldCharType="end"/>
        </w:r>
      </w:hyperlink>
    </w:p>
    <w:p w14:paraId="573B066F" w14:textId="45A06EB0"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77" w:history="1">
        <w:r w:rsidR="001818DF" w:rsidRPr="002E0857">
          <w:rPr>
            <w:rStyle w:val="Hyperlink"/>
            <w:noProof/>
          </w:rPr>
          <w:t>Table 10.2.3</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Emissions impact of changing beef cattle population and liveweight estimates</w:t>
        </w:r>
        <w:r w:rsidR="001818DF">
          <w:rPr>
            <w:noProof/>
            <w:webHidden/>
          </w:rPr>
          <w:tab/>
        </w:r>
        <w:r w:rsidR="001818DF">
          <w:rPr>
            <w:noProof/>
            <w:webHidden/>
          </w:rPr>
          <w:fldChar w:fldCharType="begin"/>
        </w:r>
        <w:r w:rsidR="001818DF">
          <w:rPr>
            <w:noProof/>
            <w:webHidden/>
          </w:rPr>
          <w:instrText xml:space="preserve"> PAGEREF _Toc164153977 \h </w:instrText>
        </w:r>
        <w:r w:rsidR="001818DF">
          <w:rPr>
            <w:noProof/>
            <w:webHidden/>
          </w:rPr>
        </w:r>
        <w:r w:rsidR="001818DF">
          <w:rPr>
            <w:noProof/>
            <w:webHidden/>
          </w:rPr>
          <w:fldChar w:fldCharType="separate"/>
        </w:r>
        <w:r w:rsidR="009E4901">
          <w:rPr>
            <w:noProof/>
            <w:webHidden/>
          </w:rPr>
          <w:t>397</w:t>
        </w:r>
        <w:r w:rsidR="001818DF">
          <w:rPr>
            <w:noProof/>
            <w:webHidden/>
          </w:rPr>
          <w:fldChar w:fldCharType="end"/>
        </w:r>
      </w:hyperlink>
    </w:p>
    <w:p w14:paraId="0E72A765" w14:textId="766095BE"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78" w:history="1">
        <w:r w:rsidR="001818DF" w:rsidRPr="002E0857">
          <w:rPr>
            <w:rStyle w:val="Hyperlink"/>
            <w:noProof/>
          </w:rPr>
          <w:t>Table 10.2.4</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 xml:space="preserve">Emissions impact of changing </w:t>
        </w:r>
        <w:r w:rsidR="001818DF" w:rsidRPr="002E0857">
          <w:rPr>
            <w:rStyle w:val="Hyperlink"/>
            <w:rFonts w:cs="Calibri"/>
            <w:noProof/>
          </w:rPr>
          <w:t>the proportion of lambs held over to a second slaughter date</w:t>
        </w:r>
        <w:r w:rsidR="001818DF">
          <w:rPr>
            <w:noProof/>
            <w:webHidden/>
          </w:rPr>
          <w:tab/>
        </w:r>
        <w:r w:rsidR="001818DF">
          <w:rPr>
            <w:noProof/>
            <w:webHidden/>
          </w:rPr>
          <w:fldChar w:fldCharType="begin"/>
        </w:r>
        <w:r w:rsidR="001818DF">
          <w:rPr>
            <w:noProof/>
            <w:webHidden/>
          </w:rPr>
          <w:instrText xml:space="preserve"> PAGEREF _Toc164153978 \h </w:instrText>
        </w:r>
        <w:r w:rsidR="001818DF">
          <w:rPr>
            <w:noProof/>
            <w:webHidden/>
          </w:rPr>
        </w:r>
        <w:r w:rsidR="001818DF">
          <w:rPr>
            <w:noProof/>
            <w:webHidden/>
          </w:rPr>
          <w:fldChar w:fldCharType="separate"/>
        </w:r>
        <w:r w:rsidR="009E4901">
          <w:rPr>
            <w:noProof/>
            <w:webHidden/>
          </w:rPr>
          <w:t>398</w:t>
        </w:r>
        <w:r w:rsidR="001818DF">
          <w:rPr>
            <w:noProof/>
            <w:webHidden/>
          </w:rPr>
          <w:fldChar w:fldCharType="end"/>
        </w:r>
      </w:hyperlink>
    </w:p>
    <w:p w14:paraId="5F8C83B7" w14:textId="0963124F"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79" w:history="1">
        <w:r w:rsidR="001818DF" w:rsidRPr="002E0857">
          <w:rPr>
            <w:rStyle w:val="Hyperlink"/>
            <w:noProof/>
          </w:rPr>
          <w:t>Table 10.2.5</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Emissions impact of i</w:t>
        </w:r>
        <w:r w:rsidR="001818DF" w:rsidRPr="002E0857">
          <w:rPr>
            <w:rStyle w:val="Hyperlink"/>
            <w:bCs/>
            <w:noProof/>
          </w:rPr>
          <w:t>mprovements and corrections to model code</w:t>
        </w:r>
        <w:r w:rsidR="001818DF">
          <w:rPr>
            <w:noProof/>
            <w:webHidden/>
          </w:rPr>
          <w:tab/>
        </w:r>
        <w:r w:rsidR="001818DF">
          <w:rPr>
            <w:noProof/>
            <w:webHidden/>
          </w:rPr>
          <w:fldChar w:fldCharType="begin"/>
        </w:r>
        <w:r w:rsidR="001818DF">
          <w:rPr>
            <w:noProof/>
            <w:webHidden/>
          </w:rPr>
          <w:instrText xml:space="preserve"> PAGEREF _Toc164153979 \h </w:instrText>
        </w:r>
        <w:r w:rsidR="001818DF">
          <w:rPr>
            <w:noProof/>
            <w:webHidden/>
          </w:rPr>
        </w:r>
        <w:r w:rsidR="001818DF">
          <w:rPr>
            <w:noProof/>
            <w:webHidden/>
          </w:rPr>
          <w:fldChar w:fldCharType="separate"/>
        </w:r>
        <w:r w:rsidR="009E4901">
          <w:rPr>
            <w:noProof/>
            <w:webHidden/>
          </w:rPr>
          <w:t>399</w:t>
        </w:r>
        <w:r w:rsidR="001818DF">
          <w:rPr>
            <w:noProof/>
            <w:webHidden/>
          </w:rPr>
          <w:fldChar w:fldCharType="end"/>
        </w:r>
      </w:hyperlink>
    </w:p>
    <w:p w14:paraId="2CA5DBE6" w14:textId="069E6A44"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80" w:history="1">
        <w:r w:rsidR="001818DF" w:rsidRPr="002E0857">
          <w:rPr>
            <w:rStyle w:val="Hyperlink"/>
            <w:noProof/>
          </w:rPr>
          <w:t>Table 10.2.6</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Emissions impact of migration from Excel to an R-based system</w:t>
        </w:r>
        <w:r w:rsidR="001818DF">
          <w:rPr>
            <w:noProof/>
            <w:webHidden/>
          </w:rPr>
          <w:tab/>
        </w:r>
        <w:r w:rsidR="001818DF">
          <w:rPr>
            <w:noProof/>
            <w:webHidden/>
          </w:rPr>
          <w:fldChar w:fldCharType="begin"/>
        </w:r>
        <w:r w:rsidR="001818DF">
          <w:rPr>
            <w:noProof/>
            <w:webHidden/>
          </w:rPr>
          <w:instrText xml:space="preserve"> PAGEREF _Toc164153980 \h </w:instrText>
        </w:r>
        <w:r w:rsidR="001818DF">
          <w:rPr>
            <w:noProof/>
            <w:webHidden/>
          </w:rPr>
        </w:r>
        <w:r w:rsidR="001818DF">
          <w:rPr>
            <w:noProof/>
            <w:webHidden/>
          </w:rPr>
          <w:fldChar w:fldCharType="separate"/>
        </w:r>
        <w:r w:rsidR="009E4901">
          <w:rPr>
            <w:noProof/>
            <w:webHidden/>
          </w:rPr>
          <w:t>399</w:t>
        </w:r>
        <w:r w:rsidR="001818DF">
          <w:rPr>
            <w:noProof/>
            <w:webHidden/>
          </w:rPr>
          <w:fldChar w:fldCharType="end"/>
        </w:r>
      </w:hyperlink>
    </w:p>
    <w:p w14:paraId="71F1C6EA" w14:textId="178BE59B"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81" w:history="1">
        <w:r w:rsidR="001818DF" w:rsidRPr="002E0857">
          <w:rPr>
            <w:rStyle w:val="Hyperlink"/>
            <w:noProof/>
          </w:rPr>
          <w:t xml:space="preserve">Table 10.3.1 </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New Zealand’s response to the status of the recommendations included in the previous review report for New Zealand</w:t>
        </w:r>
        <w:r w:rsidR="001818DF">
          <w:rPr>
            <w:noProof/>
            <w:webHidden/>
          </w:rPr>
          <w:tab/>
        </w:r>
        <w:r w:rsidR="001818DF">
          <w:rPr>
            <w:noProof/>
            <w:webHidden/>
          </w:rPr>
          <w:fldChar w:fldCharType="begin"/>
        </w:r>
        <w:r w:rsidR="001818DF">
          <w:rPr>
            <w:noProof/>
            <w:webHidden/>
          </w:rPr>
          <w:instrText xml:space="preserve"> PAGEREF _Toc164153981 \h </w:instrText>
        </w:r>
        <w:r w:rsidR="001818DF">
          <w:rPr>
            <w:noProof/>
            <w:webHidden/>
          </w:rPr>
        </w:r>
        <w:r w:rsidR="001818DF">
          <w:rPr>
            <w:noProof/>
            <w:webHidden/>
          </w:rPr>
          <w:fldChar w:fldCharType="separate"/>
        </w:r>
        <w:r w:rsidR="009E4901">
          <w:rPr>
            <w:noProof/>
            <w:webHidden/>
          </w:rPr>
          <w:t>403</w:t>
        </w:r>
        <w:r w:rsidR="001818DF">
          <w:rPr>
            <w:noProof/>
            <w:webHidden/>
          </w:rPr>
          <w:fldChar w:fldCharType="end"/>
        </w:r>
      </w:hyperlink>
    </w:p>
    <w:p w14:paraId="63690055" w14:textId="6EBABAC1"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3982" w:history="1">
        <w:r w:rsidR="001818DF" w:rsidRPr="002E0857">
          <w:rPr>
            <w:rStyle w:val="Hyperlink"/>
            <w:noProof/>
          </w:rPr>
          <w:t xml:space="preserve">Table 10.3.2 </w:t>
        </w:r>
        <w:r w:rsidR="001818DF">
          <w:rPr>
            <w:rFonts w:asciiTheme="minorHAnsi" w:eastAsiaTheme="minorEastAsia" w:hAnsiTheme="minorHAnsi" w:cstheme="minorBidi"/>
            <w:noProof/>
            <w:kern w:val="2"/>
            <w:sz w:val="24"/>
            <w:szCs w:val="24"/>
            <w14:ligatures w14:val="standardContextual"/>
          </w:rPr>
          <w:tab/>
        </w:r>
        <w:r w:rsidR="001818DF" w:rsidRPr="002E0857">
          <w:rPr>
            <w:rStyle w:val="Hyperlink"/>
            <w:noProof/>
          </w:rPr>
          <w:t>New Zealand’s response to the additional findings made during the individual review of the 2022 annual submission</w:t>
        </w:r>
        <w:r w:rsidR="001818DF">
          <w:rPr>
            <w:noProof/>
            <w:webHidden/>
          </w:rPr>
          <w:tab/>
        </w:r>
        <w:r w:rsidR="001818DF">
          <w:rPr>
            <w:noProof/>
            <w:webHidden/>
          </w:rPr>
          <w:fldChar w:fldCharType="begin"/>
        </w:r>
        <w:r w:rsidR="001818DF">
          <w:rPr>
            <w:noProof/>
            <w:webHidden/>
          </w:rPr>
          <w:instrText xml:space="preserve"> PAGEREF _Toc164153982 \h </w:instrText>
        </w:r>
        <w:r w:rsidR="001818DF">
          <w:rPr>
            <w:noProof/>
            <w:webHidden/>
          </w:rPr>
        </w:r>
        <w:r w:rsidR="001818DF">
          <w:rPr>
            <w:noProof/>
            <w:webHidden/>
          </w:rPr>
          <w:fldChar w:fldCharType="separate"/>
        </w:r>
        <w:r w:rsidR="009E4901">
          <w:rPr>
            <w:noProof/>
            <w:webHidden/>
          </w:rPr>
          <w:t>420</w:t>
        </w:r>
        <w:r w:rsidR="001818DF">
          <w:rPr>
            <w:noProof/>
            <w:webHidden/>
          </w:rPr>
          <w:fldChar w:fldCharType="end"/>
        </w:r>
      </w:hyperlink>
    </w:p>
    <w:p w14:paraId="0B58C7E3" w14:textId="4E3EAA80" w:rsidR="00E853F3" w:rsidRPr="009E06AA" w:rsidRDefault="00A44CBA" w:rsidP="006E0A2C">
      <w:r w:rsidRPr="009E06AA">
        <w:rPr>
          <w:rFonts w:ascii="Arial" w:hAnsi="Arial"/>
          <w:sz w:val="20"/>
        </w:rPr>
        <w:fldChar w:fldCharType="end"/>
      </w:r>
    </w:p>
    <w:p w14:paraId="00352413" w14:textId="77777777" w:rsidR="00C21B54" w:rsidRPr="009E06AA" w:rsidRDefault="00C21B54" w:rsidP="006E0A2C"/>
    <w:p w14:paraId="76A8D456" w14:textId="77777777" w:rsidR="000D5C05" w:rsidRPr="009E06AA" w:rsidRDefault="000D5C05" w:rsidP="00DE0894">
      <w:pPr>
        <w:pStyle w:val="BodyText"/>
      </w:pPr>
      <w:r w:rsidRPr="009E06AA">
        <w:br w:type="page"/>
      </w:r>
    </w:p>
    <w:p w14:paraId="11B5AF11" w14:textId="6A3B0E84" w:rsidR="00C21B54" w:rsidRPr="009E06AA" w:rsidRDefault="00C21B54" w:rsidP="00543478">
      <w:pPr>
        <w:pStyle w:val="Heading"/>
      </w:pPr>
      <w:r w:rsidRPr="009E06AA">
        <w:t>Figures</w:t>
      </w:r>
    </w:p>
    <w:p w14:paraId="1FE458F7" w14:textId="43134924" w:rsidR="001818DF" w:rsidRDefault="002176E7" w:rsidP="00264EEA">
      <w:pPr>
        <w:pStyle w:val="TableofFigures"/>
        <w:ind w:left="1276" w:hanging="1276"/>
        <w:rPr>
          <w:rFonts w:asciiTheme="minorHAnsi" w:eastAsiaTheme="minorEastAsia" w:hAnsiTheme="minorHAnsi" w:cstheme="minorBidi"/>
          <w:noProof/>
          <w:kern w:val="2"/>
          <w:sz w:val="24"/>
          <w:szCs w:val="24"/>
          <w14:ligatures w14:val="standardContextual"/>
        </w:rPr>
      </w:pPr>
      <w:r w:rsidRPr="009E06AA">
        <w:rPr>
          <w:rFonts w:ascii="Arial" w:hAnsi="Arial"/>
        </w:rPr>
        <w:fldChar w:fldCharType="begin"/>
      </w:r>
      <w:r w:rsidRPr="009E06AA">
        <w:rPr>
          <w:rFonts w:ascii="Arial" w:hAnsi="Arial"/>
        </w:rPr>
        <w:instrText xml:space="preserve"> TOC \h \z \t "Figure" \c </w:instrText>
      </w:r>
      <w:r w:rsidRPr="009E06AA">
        <w:rPr>
          <w:rFonts w:ascii="Arial" w:hAnsi="Arial"/>
        </w:rPr>
        <w:fldChar w:fldCharType="separate"/>
      </w:r>
      <w:hyperlink w:anchor="_Toc164153983" w:history="1">
        <w:r w:rsidR="001818DF" w:rsidRPr="002452A1">
          <w:rPr>
            <w:rStyle w:val="Hyperlink"/>
            <w:bCs/>
            <w:noProof/>
          </w:rPr>
          <w:t>Figure ES 2.1</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 xml:space="preserve">New Zealand’s gross and net emissions (under the Convention), from </w:t>
        </w:r>
        <w:r w:rsidR="001818DF" w:rsidRPr="002452A1">
          <w:rPr>
            <w:rStyle w:val="Hyperlink"/>
            <w:bCs/>
            <w:noProof/>
          </w:rPr>
          <w:t>1990</w:t>
        </w:r>
        <w:r w:rsidR="001818DF" w:rsidRPr="002452A1">
          <w:rPr>
            <w:rStyle w:val="Hyperlink"/>
            <w:noProof/>
          </w:rPr>
          <w:t xml:space="preserve"> to</w:t>
        </w:r>
        <w:r w:rsidR="001866EE">
          <w:rPr>
            <w:rStyle w:val="Hyperlink"/>
            <w:noProof/>
          </w:rPr>
          <w:t> </w:t>
        </w:r>
        <w:r w:rsidR="001818DF" w:rsidRPr="002452A1">
          <w:rPr>
            <w:rStyle w:val="Hyperlink"/>
            <w:bCs/>
            <w:noProof/>
          </w:rPr>
          <w:t>2022</w:t>
        </w:r>
        <w:r w:rsidR="001818DF">
          <w:rPr>
            <w:noProof/>
            <w:webHidden/>
          </w:rPr>
          <w:tab/>
        </w:r>
        <w:r w:rsidR="001818DF">
          <w:rPr>
            <w:noProof/>
            <w:webHidden/>
          </w:rPr>
          <w:fldChar w:fldCharType="begin"/>
        </w:r>
        <w:r w:rsidR="001818DF">
          <w:rPr>
            <w:noProof/>
            <w:webHidden/>
          </w:rPr>
          <w:instrText xml:space="preserve"> PAGEREF _Toc164153983 \h </w:instrText>
        </w:r>
        <w:r w:rsidR="001818DF">
          <w:rPr>
            <w:noProof/>
            <w:webHidden/>
          </w:rPr>
        </w:r>
        <w:r w:rsidR="001818DF">
          <w:rPr>
            <w:noProof/>
            <w:webHidden/>
          </w:rPr>
          <w:fldChar w:fldCharType="separate"/>
        </w:r>
        <w:r w:rsidR="009E4901">
          <w:rPr>
            <w:noProof/>
            <w:webHidden/>
          </w:rPr>
          <w:t>xxiv</w:t>
        </w:r>
        <w:r w:rsidR="001818DF">
          <w:rPr>
            <w:noProof/>
            <w:webHidden/>
          </w:rPr>
          <w:fldChar w:fldCharType="end"/>
        </w:r>
      </w:hyperlink>
    </w:p>
    <w:p w14:paraId="1635C1B7" w14:textId="02BD8F2E" w:rsidR="001818DF" w:rsidRDefault="008975BF" w:rsidP="00264EEA">
      <w:pPr>
        <w:pStyle w:val="TableofFigures"/>
        <w:ind w:left="1276" w:hanging="1276"/>
        <w:rPr>
          <w:rFonts w:asciiTheme="minorHAnsi" w:eastAsiaTheme="minorEastAsia" w:hAnsiTheme="minorHAnsi" w:cstheme="minorBidi"/>
          <w:noProof/>
          <w:kern w:val="2"/>
          <w:sz w:val="24"/>
          <w:szCs w:val="24"/>
          <w14:ligatures w14:val="standardContextual"/>
        </w:rPr>
      </w:pPr>
      <w:hyperlink w:anchor="_Toc164153984" w:history="1">
        <w:r w:rsidR="001818DF" w:rsidRPr="002452A1">
          <w:rPr>
            <w:rStyle w:val="Hyperlink"/>
            <w:bCs/>
            <w:noProof/>
          </w:rPr>
          <w:t>Figure ES 2.2</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 xml:space="preserve">New Zealand’s gross emissions by gas in </w:t>
        </w:r>
        <w:r w:rsidR="001818DF" w:rsidRPr="002452A1">
          <w:rPr>
            <w:rStyle w:val="Hyperlink"/>
            <w:bCs/>
            <w:noProof/>
          </w:rPr>
          <w:t>1990</w:t>
        </w:r>
        <w:r w:rsidR="001818DF" w:rsidRPr="002452A1">
          <w:rPr>
            <w:rStyle w:val="Hyperlink"/>
            <w:noProof/>
          </w:rPr>
          <w:t xml:space="preserve"> and </w:t>
        </w:r>
        <w:r w:rsidR="001818DF" w:rsidRPr="002452A1">
          <w:rPr>
            <w:rStyle w:val="Hyperlink"/>
            <w:bCs/>
            <w:noProof/>
          </w:rPr>
          <w:t>2022</w:t>
        </w:r>
        <w:r w:rsidR="001818DF">
          <w:rPr>
            <w:noProof/>
            <w:webHidden/>
          </w:rPr>
          <w:tab/>
        </w:r>
        <w:r w:rsidR="001818DF">
          <w:rPr>
            <w:noProof/>
            <w:webHidden/>
          </w:rPr>
          <w:fldChar w:fldCharType="begin"/>
        </w:r>
        <w:r w:rsidR="001818DF">
          <w:rPr>
            <w:noProof/>
            <w:webHidden/>
          </w:rPr>
          <w:instrText xml:space="preserve"> PAGEREF _Toc164153984 \h </w:instrText>
        </w:r>
        <w:r w:rsidR="001818DF">
          <w:rPr>
            <w:noProof/>
            <w:webHidden/>
          </w:rPr>
        </w:r>
        <w:r w:rsidR="001818DF">
          <w:rPr>
            <w:noProof/>
            <w:webHidden/>
          </w:rPr>
          <w:fldChar w:fldCharType="separate"/>
        </w:r>
        <w:r w:rsidR="009E4901">
          <w:rPr>
            <w:noProof/>
            <w:webHidden/>
          </w:rPr>
          <w:t>xxvi</w:t>
        </w:r>
        <w:r w:rsidR="001818DF">
          <w:rPr>
            <w:noProof/>
            <w:webHidden/>
          </w:rPr>
          <w:fldChar w:fldCharType="end"/>
        </w:r>
      </w:hyperlink>
    </w:p>
    <w:p w14:paraId="275555FC" w14:textId="219DFF79" w:rsidR="001818DF" w:rsidRDefault="008975BF" w:rsidP="00264EEA">
      <w:pPr>
        <w:pStyle w:val="TableofFigures"/>
        <w:ind w:left="1276" w:hanging="1276"/>
        <w:rPr>
          <w:rFonts w:asciiTheme="minorHAnsi" w:eastAsiaTheme="minorEastAsia" w:hAnsiTheme="minorHAnsi" w:cstheme="minorBidi"/>
          <w:noProof/>
          <w:kern w:val="2"/>
          <w:sz w:val="24"/>
          <w:szCs w:val="24"/>
          <w14:ligatures w14:val="standardContextual"/>
        </w:rPr>
      </w:pPr>
      <w:hyperlink w:anchor="_Toc164153985" w:history="1">
        <w:r w:rsidR="001818DF" w:rsidRPr="002452A1">
          <w:rPr>
            <w:rStyle w:val="Hyperlink"/>
            <w:bCs/>
            <w:noProof/>
          </w:rPr>
          <w:t>Figure ES 3.1</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 xml:space="preserve">Trends in New Zealand’s greenhouse gas emissions by sector, from </w:t>
        </w:r>
        <w:r w:rsidR="001818DF" w:rsidRPr="002452A1">
          <w:rPr>
            <w:rStyle w:val="Hyperlink"/>
            <w:bCs/>
            <w:noProof/>
          </w:rPr>
          <w:t>1990</w:t>
        </w:r>
        <w:r w:rsidR="001818DF" w:rsidRPr="002452A1">
          <w:rPr>
            <w:rStyle w:val="Hyperlink"/>
            <w:noProof/>
          </w:rPr>
          <w:t xml:space="preserve"> to </w:t>
        </w:r>
        <w:r w:rsidR="001818DF" w:rsidRPr="002452A1">
          <w:rPr>
            <w:rStyle w:val="Hyperlink"/>
            <w:bCs/>
            <w:noProof/>
          </w:rPr>
          <w:t>2022</w:t>
        </w:r>
        <w:r w:rsidR="001818DF">
          <w:rPr>
            <w:noProof/>
            <w:webHidden/>
          </w:rPr>
          <w:tab/>
        </w:r>
        <w:r w:rsidR="001818DF">
          <w:rPr>
            <w:noProof/>
            <w:webHidden/>
          </w:rPr>
          <w:fldChar w:fldCharType="begin"/>
        </w:r>
        <w:r w:rsidR="001818DF">
          <w:rPr>
            <w:noProof/>
            <w:webHidden/>
          </w:rPr>
          <w:instrText xml:space="preserve"> PAGEREF _Toc164153985 \h </w:instrText>
        </w:r>
        <w:r w:rsidR="001818DF">
          <w:rPr>
            <w:noProof/>
            <w:webHidden/>
          </w:rPr>
        </w:r>
        <w:r w:rsidR="001818DF">
          <w:rPr>
            <w:noProof/>
            <w:webHidden/>
          </w:rPr>
          <w:fldChar w:fldCharType="separate"/>
        </w:r>
        <w:r w:rsidR="009E4901">
          <w:rPr>
            <w:noProof/>
            <w:webHidden/>
          </w:rPr>
          <w:t>xxvii</w:t>
        </w:r>
        <w:r w:rsidR="001818DF">
          <w:rPr>
            <w:noProof/>
            <w:webHidden/>
          </w:rPr>
          <w:fldChar w:fldCharType="end"/>
        </w:r>
      </w:hyperlink>
    </w:p>
    <w:p w14:paraId="0FD0697C" w14:textId="5416CDCE" w:rsidR="001818DF" w:rsidRDefault="008975BF" w:rsidP="00264EEA">
      <w:pPr>
        <w:pStyle w:val="TableofFigures"/>
        <w:ind w:left="1276" w:hanging="1276"/>
        <w:rPr>
          <w:rFonts w:asciiTheme="minorHAnsi" w:eastAsiaTheme="minorEastAsia" w:hAnsiTheme="minorHAnsi" w:cstheme="minorBidi"/>
          <w:noProof/>
          <w:kern w:val="2"/>
          <w:sz w:val="24"/>
          <w:szCs w:val="24"/>
          <w14:ligatures w14:val="standardContextual"/>
        </w:rPr>
      </w:pPr>
      <w:hyperlink w:anchor="_Toc164153986" w:history="1">
        <w:r w:rsidR="001818DF" w:rsidRPr="002452A1">
          <w:rPr>
            <w:rStyle w:val="Hyperlink"/>
            <w:bCs/>
            <w:noProof/>
          </w:rPr>
          <w:t>Figure ES 3.2</w:t>
        </w:r>
        <w:r w:rsidR="001818DF" w:rsidRPr="002452A1">
          <w:rPr>
            <w:rStyle w:val="Hyperlink"/>
            <w:noProof/>
          </w:rPr>
          <w:t xml:space="preserve"> </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 xml:space="preserve">Change in New Zealand’s emissions by sector, comparing </w:t>
        </w:r>
        <w:r w:rsidR="001818DF" w:rsidRPr="002452A1">
          <w:rPr>
            <w:rStyle w:val="Hyperlink"/>
            <w:bCs/>
            <w:noProof/>
          </w:rPr>
          <w:t>1990</w:t>
        </w:r>
        <w:r w:rsidR="001818DF" w:rsidRPr="002452A1">
          <w:rPr>
            <w:rStyle w:val="Hyperlink"/>
            <w:noProof/>
          </w:rPr>
          <w:t xml:space="preserve"> and </w:t>
        </w:r>
        <w:r w:rsidR="001818DF" w:rsidRPr="002452A1">
          <w:rPr>
            <w:rStyle w:val="Hyperlink"/>
            <w:bCs/>
            <w:noProof/>
          </w:rPr>
          <w:t>2022</w:t>
        </w:r>
        <w:r w:rsidR="001818DF">
          <w:rPr>
            <w:noProof/>
            <w:webHidden/>
          </w:rPr>
          <w:tab/>
        </w:r>
        <w:r w:rsidR="001818DF">
          <w:rPr>
            <w:noProof/>
            <w:webHidden/>
          </w:rPr>
          <w:fldChar w:fldCharType="begin"/>
        </w:r>
        <w:r w:rsidR="001818DF">
          <w:rPr>
            <w:noProof/>
            <w:webHidden/>
          </w:rPr>
          <w:instrText xml:space="preserve"> PAGEREF _Toc164153986 \h </w:instrText>
        </w:r>
        <w:r w:rsidR="001818DF">
          <w:rPr>
            <w:noProof/>
            <w:webHidden/>
          </w:rPr>
        </w:r>
        <w:r w:rsidR="001818DF">
          <w:rPr>
            <w:noProof/>
            <w:webHidden/>
          </w:rPr>
          <w:fldChar w:fldCharType="separate"/>
        </w:r>
        <w:r w:rsidR="009E4901">
          <w:rPr>
            <w:noProof/>
            <w:webHidden/>
          </w:rPr>
          <w:t>xxviii</w:t>
        </w:r>
        <w:r w:rsidR="001818DF">
          <w:rPr>
            <w:noProof/>
            <w:webHidden/>
          </w:rPr>
          <w:fldChar w:fldCharType="end"/>
        </w:r>
      </w:hyperlink>
    </w:p>
    <w:p w14:paraId="496B71B8" w14:textId="486CEAEE" w:rsidR="001818DF" w:rsidRDefault="008975BF" w:rsidP="00264EEA">
      <w:pPr>
        <w:pStyle w:val="TableofFigures"/>
        <w:ind w:left="1276" w:hanging="1276"/>
        <w:rPr>
          <w:rFonts w:asciiTheme="minorHAnsi" w:eastAsiaTheme="minorEastAsia" w:hAnsiTheme="minorHAnsi" w:cstheme="minorBidi"/>
          <w:noProof/>
          <w:kern w:val="2"/>
          <w:sz w:val="24"/>
          <w:szCs w:val="24"/>
          <w14:ligatures w14:val="standardContextual"/>
        </w:rPr>
      </w:pPr>
      <w:hyperlink w:anchor="_Toc164153987" w:history="1">
        <w:r w:rsidR="001818DF" w:rsidRPr="002452A1">
          <w:rPr>
            <w:rStyle w:val="Hyperlink"/>
            <w:bCs/>
            <w:noProof/>
          </w:rPr>
          <w:t xml:space="preserve">Figure 1.2.1 </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bCs/>
            <w:noProof/>
          </w:rPr>
          <w:t>Summary of New Zealand’s inventory planning and preparation</w:t>
        </w:r>
        <w:r w:rsidR="001818DF">
          <w:rPr>
            <w:noProof/>
            <w:webHidden/>
          </w:rPr>
          <w:tab/>
        </w:r>
        <w:r w:rsidR="001818DF">
          <w:rPr>
            <w:noProof/>
            <w:webHidden/>
          </w:rPr>
          <w:fldChar w:fldCharType="begin"/>
        </w:r>
        <w:r w:rsidR="001818DF">
          <w:rPr>
            <w:noProof/>
            <w:webHidden/>
          </w:rPr>
          <w:instrText xml:space="preserve"> PAGEREF _Toc164153987 \h </w:instrText>
        </w:r>
        <w:r w:rsidR="001818DF">
          <w:rPr>
            <w:noProof/>
            <w:webHidden/>
          </w:rPr>
        </w:r>
        <w:r w:rsidR="001818DF">
          <w:rPr>
            <w:noProof/>
            <w:webHidden/>
          </w:rPr>
          <w:fldChar w:fldCharType="separate"/>
        </w:r>
        <w:r w:rsidR="009E4901">
          <w:rPr>
            <w:noProof/>
            <w:webHidden/>
          </w:rPr>
          <w:t>6</w:t>
        </w:r>
        <w:r w:rsidR="001818DF">
          <w:rPr>
            <w:noProof/>
            <w:webHidden/>
          </w:rPr>
          <w:fldChar w:fldCharType="end"/>
        </w:r>
      </w:hyperlink>
    </w:p>
    <w:p w14:paraId="39F6781C" w14:textId="0B1D4F14" w:rsidR="001818DF" w:rsidRDefault="008975BF" w:rsidP="00264EEA">
      <w:pPr>
        <w:pStyle w:val="TableofFigures"/>
        <w:ind w:left="1276" w:hanging="1276"/>
        <w:rPr>
          <w:rFonts w:asciiTheme="minorHAnsi" w:eastAsiaTheme="minorEastAsia" w:hAnsiTheme="minorHAnsi" w:cstheme="minorBidi"/>
          <w:noProof/>
          <w:kern w:val="2"/>
          <w:sz w:val="24"/>
          <w:szCs w:val="24"/>
          <w14:ligatures w14:val="standardContextual"/>
        </w:rPr>
      </w:pPr>
      <w:hyperlink w:anchor="_Toc164153988" w:history="1">
        <w:r w:rsidR="001818DF" w:rsidRPr="002452A1">
          <w:rPr>
            <w:rStyle w:val="Hyperlink"/>
            <w:noProof/>
          </w:rPr>
          <w:t xml:space="preserve">Figure 1.2.2 </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New Zealand’s inventory system at a glance: how different agencies are involved</w:t>
        </w:r>
        <w:r w:rsidR="001818DF">
          <w:rPr>
            <w:noProof/>
            <w:webHidden/>
          </w:rPr>
          <w:tab/>
        </w:r>
        <w:r w:rsidR="001818DF">
          <w:rPr>
            <w:noProof/>
            <w:webHidden/>
          </w:rPr>
          <w:fldChar w:fldCharType="begin"/>
        </w:r>
        <w:r w:rsidR="001818DF">
          <w:rPr>
            <w:noProof/>
            <w:webHidden/>
          </w:rPr>
          <w:instrText xml:space="preserve"> PAGEREF _Toc164153988 \h </w:instrText>
        </w:r>
        <w:r w:rsidR="001818DF">
          <w:rPr>
            <w:noProof/>
            <w:webHidden/>
          </w:rPr>
        </w:r>
        <w:r w:rsidR="001818DF">
          <w:rPr>
            <w:noProof/>
            <w:webHidden/>
          </w:rPr>
          <w:fldChar w:fldCharType="separate"/>
        </w:r>
        <w:r w:rsidR="009E4901">
          <w:rPr>
            <w:noProof/>
            <w:webHidden/>
          </w:rPr>
          <w:t>10</w:t>
        </w:r>
        <w:r w:rsidR="001818DF">
          <w:rPr>
            <w:noProof/>
            <w:webHidden/>
          </w:rPr>
          <w:fldChar w:fldCharType="end"/>
        </w:r>
      </w:hyperlink>
    </w:p>
    <w:p w14:paraId="3F6AA2F6" w14:textId="157EDA97" w:rsidR="001818DF" w:rsidRDefault="008975BF" w:rsidP="00264EEA">
      <w:pPr>
        <w:pStyle w:val="TableofFigures"/>
        <w:ind w:left="1276" w:hanging="1276"/>
        <w:rPr>
          <w:rFonts w:asciiTheme="minorHAnsi" w:eastAsiaTheme="minorEastAsia" w:hAnsiTheme="minorHAnsi" w:cstheme="minorBidi"/>
          <w:noProof/>
          <w:kern w:val="2"/>
          <w:sz w:val="24"/>
          <w:szCs w:val="24"/>
          <w14:ligatures w14:val="standardContextual"/>
        </w:rPr>
      </w:pPr>
      <w:hyperlink w:anchor="_Toc164153989" w:history="1">
        <w:r w:rsidR="001818DF" w:rsidRPr="002452A1">
          <w:rPr>
            <w:rStyle w:val="Hyperlink"/>
            <w:bCs/>
            <w:noProof/>
          </w:rPr>
          <w:t xml:space="preserve">Figure 2.1.1 </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bCs/>
            <w:noProof/>
          </w:rPr>
          <w:t>New Zealand’s gross and net emissions, from 1990 to 2022</w:t>
        </w:r>
        <w:r w:rsidR="001818DF">
          <w:rPr>
            <w:noProof/>
            <w:webHidden/>
          </w:rPr>
          <w:tab/>
        </w:r>
        <w:r w:rsidR="001818DF">
          <w:rPr>
            <w:noProof/>
            <w:webHidden/>
          </w:rPr>
          <w:fldChar w:fldCharType="begin"/>
        </w:r>
        <w:r w:rsidR="001818DF">
          <w:rPr>
            <w:noProof/>
            <w:webHidden/>
          </w:rPr>
          <w:instrText xml:space="preserve"> PAGEREF _Toc164153989 \h </w:instrText>
        </w:r>
        <w:r w:rsidR="001818DF">
          <w:rPr>
            <w:noProof/>
            <w:webHidden/>
          </w:rPr>
        </w:r>
        <w:r w:rsidR="001818DF">
          <w:rPr>
            <w:noProof/>
            <w:webHidden/>
          </w:rPr>
          <w:fldChar w:fldCharType="separate"/>
        </w:r>
        <w:r w:rsidR="009E4901">
          <w:rPr>
            <w:noProof/>
            <w:webHidden/>
          </w:rPr>
          <w:t>35</w:t>
        </w:r>
        <w:r w:rsidR="001818DF">
          <w:rPr>
            <w:noProof/>
            <w:webHidden/>
          </w:rPr>
          <w:fldChar w:fldCharType="end"/>
        </w:r>
      </w:hyperlink>
    </w:p>
    <w:p w14:paraId="78FA9A92" w14:textId="65C69BF5" w:rsidR="001818DF" w:rsidRDefault="008975BF" w:rsidP="00264EEA">
      <w:pPr>
        <w:pStyle w:val="TableofFigures"/>
        <w:ind w:left="1276" w:hanging="1276"/>
        <w:rPr>
          <w:rFonts w:asciiTheme="minorHAnsi" w:eastAsiaTheme="minorEastAsia" w:hAnsiTheme="minorHAnsi" w:cstheme="minorBidi"/>
          <w:noProof/>
          <w:kern w:val="2"/>
          <w:sz w:val="24"/>
          <w:szCs w:val="24"/>
          <w14:ligatures w14:val="standardContextual"/>
        </w:rPr>
      </w:pPr>
      <w:hyperlink w:anchor="_Toc164153990" w:history="1">
        <w:r w:rsidR="001818DF" w:rsidRPr="002452A1">
          <w:rPr>
            <w:rStyle w:val="Hyperlink"/>
            <w:noProof/>
          </w:rPr>
          <w:t xml:space="preserve">Figure 2.2.1 </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 xml:space="preserve">New Zealand’s emissions by sector in </w:t>
        </w:r>
        <w:r w:rsidR="001818DF" w:rsidRPr="002452A1">
          <w:rPr>
            <w:rStyle w:val="Hyperlink"/>
            <w:bCs/>
            <w:noProof/>
          </w:rPr>
          <w:t>2022</w:t>
        </w:r>
        <w:r w:rsidR="001818DF">
          <w:rPr>
            <w:noProof/>
            <w:webHidden/>
          </w:rPr>
          <w:tab/>
        </w:r>
        <w:r w:rsidR="001818DF">
          <w:rPr>
            <w:noProof/>
            <w:webHidden/>
          </w:rPr>
          <w:fldChar w:fldCharType="begin"/>
        </w:r>
        <w:r w:rsidR="001818DF">
          <w:rPr>
            <w:noProof/>
            <w:webHidden/>
          </w:rPr>
          <w:instrText xml:space="preserve"> PAGEREF _Toc164153990 \h </w:instrText>
        </w:r>
        <w:r w:rsidR="001818DF">
          <w:rPr>
            <w:noProof/>
            <w:webHidden/>
          </w:rPr>
        </w:r>
        <w:r w:rsidR="001818DF">
          <w:rPr>
            <w:noProof/>
            <w:webHidden/>
          </w:rPr>
          <w:fldChar w:fldCharType="separate"/>
        </w:r>
        <w:r w:rsidR="009E4901">
          <w:rPr>
            <w:noProof/>
            <w:webHidden/>
          </w:rPr>
          <w:t>37</w:t>
        </w:r>
        <w:r w:rsidR="001818DF">
          <w:rPr>
            <w:noProof/>
            <w:webHidden/>
          </w:rPr>
          <w:fldChar w:fldCharType="end"/>
        </w:r>
      </w:hyperlink>
    </w:p>
    <w:p w14:paraId="4108BFC3" w14:textId="0B34365C" w:rsidR="001818DF" w:rsidRDefault="008975BF" w:rsidP="00264EEA">
      <w:pPr>
        <w:pStyle w:val="TableofFigures"/>
        <w:ind w:left="1276" w:hanging="1276"/>
        <w:rPr>
          <w:rFonts w:asciiTheme="minorHAnsi" w:eastAsiaTheme="minorEastAsia" w:hAnsiTheme="minorHAnsi" w:cstheme="minorBidi"/>
          <w:noProof/>
          <w:kern w:val="2"/>
          <w:sz w:val="24"/>
          <w:szCs w:val="24"/>
          <w14:ligatures w14:val="standardContextual"/>
        </w:rPr>
      </w:pPr>
      <w:hyperlink w:anchor="_Toc164153991" w:history="1">
        <w:r w:rsidR="001818DF" w:rsidRPr="002452A1">
          <w:rPr>
            <w:rStyle w:val="Hyperlink"/>
            <w:noProof/>
          </w:rPr>
          <w:t xml:space="preserve">Figure 2.2.2 </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 xml:space="preserve">New Zealand’s gross emissions by gas in </w:t>
        </w:r>
        <w:r w:rsidR="001818DF" w:rsidRPr="002452A1">
          <w:rPr>
            <w:rStyle w:val="Hyperlink"/>
            <w:bCs/>
            <w:noProof/>
          </w:rPr>
          <w:t>2022</w:t>
        </w:r>
        <w:r w:rsidR="001818DF">
          <w:rPr>
            <w:noProof/>
            <w:webHidden/>
          </w:rPr>
          <w:tab/>
        </w:r>
        <w:r w:rsidR="001818DF">
          <w:rPr>
            <w:noProof/>
            <w:webHidden/>
          </w:rPr>
          <w:fldChar w:fldCharType="begin"/>
        </w:r>
        <w:r w:rsidR="001818DF">
          <w:rPr>
            <w:noProof/>
            <w:webHidden/>
          </w:rPr>
          <w:instrText xml:space="preserve"> PAGEREF _Toc164153991 \h </w:instrText>
        </w:r>
        <w:r w:rsidR="001818DF">
          <w:rPr>
            <w:noProof/>
            <w:webHidden/>
          </w:rPr>
        </w:r>
        <w:r w:rsidR="001818DF">
          <w:rPr>
            <w:noProof/>
            <w:webHidden/>
          </w:rPr>
          <w:fldChar w:fldCharType="separate"/>
        </w:r>
        <w:r w:rsidR="009E4901">
          <w:rPr>
            <w:noProof/>
            <w:webHidden/>
          </w:rPr>
          <w:t>37</w:t>
        </w:r>
        <w:r w:rsidR="001818DF">
          <w:rPr>
            <w:noProof/>
            <w:webHidden/>
          </w:rPr>
          <w:fldChar w:fldCharType="end"/>
        </w:r>
      </w:hyperlink>
    </w:p>
    <w:p w14:paraId="07B164E6" w14:textId="06F29A1F" w:rsidR="001818DF" w:rsidRDefault="008975BF" w:rsidP="00264EEA">
      <w:pPr>
        <w:pStyle w:val="TableofFigures"/>
        <w:ind w:left="1276" w:hanging="1276"/>
        <w:rPr>
          <w:rFonts w:asciiTheme="minorHAnsi" w:eastAsiaTheme="minorEastAsia" w:hAnsiTheme="minorHAnsi" w:cstheme="minorBidi"/>
          <w:noProof/>
          <w:kern w:val="2"/>
          <w:sz w:val="24"/>
          <w:szCs w:val="24"/>
          <w14:ligatures w14:val="standardContextual"/>
        </w:rPr>
      </w:pPr>
      <w:hyperlink w:anchor="_Toc164153992" w:history="1">
        <w:r w:rsidR="001818DF" w:rsidRPr="002452A1">
          <w:rPr>
            <w:rStyle w:val="Hyperlink"/>
            <w:bCs/>
            <w:noProof/>
          </w:rPr>
          <w:t>Figure 2.2.3</w:t>
        </w:r>
        <w:r w:rsidR="001818DF" w:rsidRPr="002452A1">
          <w:rPr>
            <w:rStyle w:val="Hyperlink"/>
            <w:noProof/>
          </w:rPr>
          <w:t xml:space="preserve"> </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 xml:space="preserve">Trends in New Zealand’s greenhouse gas emissions by sector, from </w:t>
        </w:r>
        <w:r w:rsidR="001818DF" w:rsidRPr="002452A1">
          <w:rPr>
            <w:rStyle w:val="Hyperlink"/>
            <w:bCs/>
            <w:noProof/>
          </w:rPr>
          <w:t>1990</w:t>
        </w:r>
        <w:r w:rsidR="001818DF" w:rsidRPr="002452A1">
          <w:rPr>
            <w:rStyle w:val="Hyperlink"/>
            <w:noProof/>
          </w:rPr>
          <w:t xml:space="preserve"> to </w:t>
        </w:r>
        <w:r w:rsidR="001818DF" w:rsidRPr="002452A1">
          <w:rPr>
            <w:rStyle w:val="Hyperlink"/>
            <w:bCs/>
            <w:noProof/>
          </w:rPr>
          <w:t>2022</w:t>
        </w:r>
        <w:r w:rsidR="001818DF">
          <w:rPr>
            <w:noProof/>
            <w:webHidden/>
          </w:rPr>
          <w:tab/>
        </w:r>
        <w:r w:rsidR="001818DF">
          <w:rPr>
            <w:noProof/>
            <w:webHidden/>
          </w:rPr>
          <w:fldChar w:fldCharType="begin"/>
        </w:r>
        <w:r w:rsidR="001818DF">
          <w:rPr>
            <w:noProof/>
            <w:webHidden/>
          </w:rPr>
          <w:instrText xml:space="preserve"> PAGEREF _Toc164153992 \h </w:instrText>
        </w:r>
        <w:r w:rsidR="001818DF">
          <w:rPr>
            <w:noProof/>
            <w:webHidden/>
          </w:rPr>
        </w:r>
        <w:r w:rsidR="001818DF">
          <w:rPr>
            <w:noProof/>
            <w:webHidden/>
          </w:rPr>
          <w:fldChar w:fldCharType="separate"/>
        </w:r>
        <w:r w:rsidR="009E4901">
          <w:rPr>
            <w:noProof/>
            <w:webHidden/>
          </w:rPr>
          <w:t>39</w:t>
        </w:r>
        <w:r w:rsidR="001818DF">
          <w:rPr>
            <w:noProof/>
            <w:webHidden/>
          </w:rPr>
          <w:fldChar w:fldCharType="end"/>
        </w:r>
      </w:hyperlink>
    </w:p>
    <w:p w14:paraId="3B7882DA" w14:textId="7C8765BD" w:rsidR="001818DF" w:rsidRDefault="008975BF" w:rsidP="00264EEA">
      <w:pPr>
        <w:pStyle w:val="TableofFigures"/>
        <w:ind w:left="1276" w:hanging="1276"/>
        <w:rPr>
          <w:rFonts w:asciiTheme="minorHAnsi" w:eastAsiaTheme="minorEastAsia" w:hAnsiTheme="minorHAnsi" w:cstheme="minorBidi"/>
          <w:noProof/>
          <w:kern w:val="2"/>
          <w:sz w:val="24"/>
          <w:szCs w:val="24"/>
          <w14:ligatures w14:val="standardContextual"/>
        </w:rPr>
      </w:pPr>
      <w:hyperlink w:anchor="_Toc164153993" w:history="1">
        <w:r w:rsidR="001818DF" w:rsidRPr="002452A1">
          <w:rPr>
            <w:rStyle w:val="Hyperlink"/>
            <w:noProof/>
          </w:rPr>
          <w:t xml:space="preserve">Figure 2.2.4 </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 xml:space="preserve">Change in New Zealand’s emissions by sector, comparing </w:t>
        </w:r>
        <w:r w:rsidR="001818DF" w:rsidRPr="002452A1">
          <w:rPr>
            <w:rStyle w:val="Hyperlink"/>
            <w:bCs/>
            <w:noProof/>
          </w:rPr>
          <w:t>1990</w:t>
        </w:r>
        <w:r w:rsidR="001818DF" w:rsidRPr="002452A1">
          <w:rPr>
            <w:rStyle w:val="Hyperlink"/>
            <w:noProof/>
          </w:rPr>
          <w:t xml:space="preserve"> and </w:t>
        </w:r>
        <w:r w:rsidR="001818DF" w:rsidRPr="002452A1">
          <w:rPr>
            <w:rStyle w:val="Hyperlink"/>
            <w:bCs/>
            <w:noProof/>
          </w:rPr>
          <w:t>2022</w:t>
        </w:r>
        <w:r w:rsidR="001818DF">
          <w:rPr>
            <w:noProof/>
            <w:webHidden/>
          </w:rPr>
          <w:tab/>
        </w:r>
        <w:r w:rsidR="001818DF">
          <w:rPr>
            <w:noProof/>
            <w:webHidden/>
          </w:rPr>
          <w:fldChar w:fldCharType="begin"/>
        </w:r>
        <w:r w:rsidR="001818DF">
          <w:rPr>
            <w:noProof/>
            <w:webHidden/>
          </w:rPr>
          <w:instrText xml:space="preserve"> PAGEREF _Toc164153993 \h </w:instrText>
        </w:r>
        <w:r w:rsidR="001818DF">
          <w:rPr>
            <w:noProof/>
            <w:webHidden/>
          </w:rPr>
        </w:r>
        <w:r w:rsidR="001818DF">
          <w:rPr>
            <w:noProof/>
            <w:webHidden/>
          </w:rPr>
          <w:fldChar w:fldCharType="separate"/>
        </w:r>
        <w:r w:rsidR="009E4901">
          <w:rPr>
            <w:noProof/>
            <w:webHidden/>
          </w:rPr>
          <w:t>40</w:t>
        </w:r>
        <w:r w:rsidR="001818DF">
          <w:rPr>
            <w:noProof/>
            <w:webHidden/>
          </w:rPr>
          <w:fldChar w:fldCharType="end"/>
        </w:r>
      </w:hyperlink>
    </w:p>
    <w:p w14:paraId="1940C0FC" w14:textId="31C34C77" w:rsidR="001818DF" w:rsidRDefault="008975BF" w:rsidP="00264EEA">
      <w:pPr>
        <w:pStyle w:val="TableofFigures"/>
        <w:ind w:left="1276" w:hanging="1276"/>
        <w:rPr>
          <w:rFonts w:asciiTheme="minorHAnsi" w:eastAsiaTheme="minorEastAsia" w:hAnsiTheme="minorHAnsi" w:cstheme="minorBidi"/>
          <w:noProof/>
          <w:kern w:val="2"/>
          <w:sz w:val="24"/>
          <w:szCs w:val="24"/>
          <w14:ligatures w14:val="standardContextual"/>
        </w:rPr>
      </w:pPr>
      <w:hyperlink w:anchor="_Toc164153994" w:history="1">
        <w:r w:rsidR="001818DF" w:rsidRPr="002452A1">
          <w:rPr>
            <w:rStyle w:val="Hyperlink"/>
            <w:noProof/>
          </w:rPr>
          <w:t xml:space="preserve">Figure 2.2.5 </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 xml:space="preserve">Absolute change in New Zealand’s gross emissions by sector, from </w:t>
        </w:r>
        <w:r w:rsidR="001818DF" w:rsidRPr="002452A1">
          <w:rPr>
            <w:rStyle w:val="Hyperlink"/>
            <w:bCs/>
            <w:noProof/>
          </w:rPr>
          <w:t>1990</w:t>
        </w:r>
        <w:r w:rsidR="001818DF" w:rsidRPr="002452A1">
          <w:rPr>
            <w:rStyle w:val="Hyperlink"/>
            <w:noProof/>
          </w:rPr>
          <w:t xml:space="preserve"> to </w:t>
        </w:r>
        <w:r w:rsidR="001818DF" w:rsidRPr="002452A1">
          <w:rPr>
            <w:rStyle w:val="Hyperlink"/>
            <w:bCs/>
            <w:noProof/>
          </w:rPr>
          <w:t>2022</w:t>
        </w:r>
        <w:r w:rsidR="001818DF">
          <w:rPr>
            <w:noProof/>
            <w:webHidden/>
          </w:rPr>
          <w:tab/>
        </w:r>
        <w:r w:rsidR="001818DF">
          <w:rPr>
            <w:noProof/>
            <w:webHidden/>
          </w:rPr>
          <w:fldChar w:fldCharType="begin"/>
        </w:r>
        <w:r w:rsidR="001818DF">
          <w:rPr>
            <w:noProof/>
            <w:webHidden/>
          </w:rPr>
          <w:instrText xml:space="preserve"> PAGEREF _Toc164153994 \h </w:instrText>
        </w:r>
        <w:r w:rsidR="001818DF">
          <w:rPr>
            <w:noProof/>
            <w:webHidden/>
          </w:rPr>
        </w:r>
        <w:r w:rsidR="001818DF">
          <w:rPr>
            <w:noProof/>
            <w:webHidden/>
          </w:rPr>
          <w:fldChar w:fldCharType="separate"/>
        </w:r>
        <w:r w:rsidR="009E4901">
          <w:rPr>
            <w:noProof/>
            <w:webHidden/>
          </w:rPr>
          <w:t>41</w:t>
        </w:r>
        <w:r w:rsidR="001818DF">
          <w:rPr>
            <w:noProof/>
            <w:webHidden/>
          </w:rPr>
          <w:fldChar w:fldCharType="end"/>
        </w:r>
      </w:hyperlink>
    </w:p>
    <w:p w14:paraId="64384A94" w14:textId="76D01829" w:rsidR="001818DF" w:rsidRDefault="008975BF" w:rsidP="00264EEA">
      <w:pPr>
        <w:pStyle w:val="TableofFigures"/>
        <w:ind w:left="1276" w:hanging="1276"/>
        <w:rPr>
          <w:rFonts w:asciiTheme="minorHAnsi" w:eastAsiaTheme="minorEastAsia" w:hAnsiTheme="minorHAnsi" w:cstheme="minorBidi"/>
          <w:noProof/>
          <w:kern w:val="2"/>
          <w:sz w:val="24"/>
          <w:szCs w:val="24"/>
          <w14:ligatures w14:val="standardContextual"/>
        </w:rPr>
      </w:pPr>
      <w:hyperlink w:anchor="_Toc164153995" w:history="1">
        <w:r w:rsidR="001818DF" w:rsidRPr="002452A1">
          <w:rPr>
            <w:rStyle w:val="Hyperlink"/>
            <w:noProof/>
          </w:rPr>
          <w:t xml:space="preserve">Figure 2.2.6 </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 xml:space="preserve">Absolute change in net emissions from the LULUCF sector, from </w:t>
        </w:r>
        <w:r w:rsidR="001818DF" w:rsidRPr="002452A1">
          <w:rPr>
            <w:rStyle w:val="Hyperlink"/>
            <w:bCs/>
            <w:noProof/>
          </w:rPr>
          <w:t>1990</w:t>
        </w:r>
        <w:r w:rsidR="001818DF" w:rsidRPr="002452A1">
          <w:rPr>
            <w:rStyle w:val="Hyperlink"/>
            <w:noProof/>
          </w:rPr>
          <w:t xml:space="preserve"> to </w:t>
        </w:r>
        <w:r w:rsidR="001818DF" w:rsidRPr="002452A1">
          <w:rPr>
            <w:rStyle w:val="Hyperlink"/>
            <w:bCs/>
            <w:noProof/>
          </w:rPr>
          <w:t>2022</w:t>
        </w:r>
        <w:r w:rsidR="001818DF">
          <w:rPr>
            <w:noProof/>
            <w:webHidden/>
          </w:rPr>
          <w:tab/>
        </w:r>
        <w:r w:rsidR="001818DF">
          <w:rPr>
            <w:noProof/>
            <w:webHidden/>
          </w:rPr>
          <w:fldChar w:fldCharType="begin"/>
        </w:r>
        <w:r w:rsidR="001818DF">
          <w:rPr>
            <w:noProof/>
            <w:webHidden/>
          </w:rPr>
          <w:instrText xml:space="preserve"> PAGEREF _Toc164153995 \h </w:instrText>
        </w:r>
        <w:r w:rsidR="001818DF">
          <w:rPr>
            <w:noProof/>
            <w:webHidden/>
          </w:rPr>
        </w:r>
        <w:r w:rsidR="001818DF">
          <w:rPr>
            <w:noProof/>
            <w:webHidden/>
          </w:rPr>
          <w:fldChar w:fldCharType="separate"/>
        </w:r>
        <w:r w:rsidR="009E4901">
          <w:rPr>
            <w:noProof/>
            <w:webHidden/>
          </w:rPr>
          <w:t>41</w:t>
        </w:r>
        <w:r w:rsidR="001818DF">
          <w:rPr>
            <w:noProof/>
            <w:webHidden/>
          </w:rPr>
          <w:fldChar w:fldCharType="end"/>
        </w:r>
      </w:hyperlink>
    </w:p>
    <w:p w14:paraId="5E91F119" w14:textId="181D022E" w:rsidR="001818DF" w:rsidRDefault="008975BF" w:rsidP="00264EEA">
      <w:pPr>
        <w:pStyle w:val="TableofFigures"/>
        <w:ind w:left="1276" w:hanging="1276"/>
        <w:rPr>
          <w:rFonts w:asciiTheme="minorHAnsi" w:eastAsiaTheme="minorEastAsia" w:hAnsiTheme="minorHAnsi" w:cstheme="minorBidi"/>
          <w:noProof/>
          <w:kern w:val="2"/>
          <w:sz w:val="24"/>
          <w:szCs w:val="24"/>
          <w14:ligatures w14:val="standardContextual"/>
        </w:rPr>
      </w:pPr>
      <w:hyperlink w:anchor="_Toc164153996" w:history="1">
        <w:r w:rsidR="001818DF" w:rsidRPr="002452A1">
          <w:rPr>
            <w:rStyle w:val="Hyperlink"/>
            <w:noProof/>
          </w:rPr>
          <w:t xml:space="preserve">Figure 2.2.7 </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 xml:space="preserve">New Zealand’s Energy sector emissions, from </w:t>
        </w:r>
        <w:r w:rsidR="001818DF" w:rsidRPr="002452A1">
          <w:rPr>
            <w:rStyle w:val="Hyperlink"/>
            <w:bCs/>
            <w:noProof/>
          </w:rPr>
          <w:t>1990</w:t>
        </w:r>
        <w:r w:rsidR="001818DF" w:rsidRPr="002452A1">
          <w:rPr>
            <w:rStyle w:val="Hyperlink"/>
            <w:noProof/>
          </w:rPr>
          <w:t xml:space="preserve"> to </w:t>
        </w:r>
        <w:r w:rsidR="001818DF" w:rsidRPr="002452A1">
          <w:rPr>
            <w:rStyle w:val="Hyperlink"/>
            <w:bCs/>
            <w:noProof/>
          </w:rPr>
          <w:t>2022</w:t>
        </w:r>
        <w:r w:rsidR="001818DF">
          <w:rPr>
            <w:noProof/>
            <w:webHidden/>
          </w:rPr>
          <w:tab/>
        </w:r>
        <w:r w:rsidR="001818DF">
          <w:rPr>
            <w:noProof/>
            <w:webHidden/>
          </w:rPr>
          <w:fldChar w:fldCharType="begin"/>
        </w:r>
        <w:r w:rsidR="001818DF">
          <w:rPr>
            <w:noProof/>
            <w:webHidden/>
          </w:rPr>
          <w:instrText xml:space="preserve"> PAGEREF _Toc164153996 \h </w:instrText>
        </w:r>
        <w:r w:rsidR="001818DF">
          <w:rPr>
            <w:noProof/>
            <w:webHidden/>
          </w:rPr>
        </w:r>
        <w:r w:rsidR="001818DF">
          <w:rPr>
            <w:noProof/>
            <w:webHidden/>
          </w:rPr>
          <w:fldChar w:fldCharType="separate"/>
        </w:r>
        <w:r w:rsidR="009E4901">
          <w:rPr>
            <w:noProof/>
            <w:webHidden/>
          </w:rPr>
          <w:t>43</w:t>
        </w:r>
        <w:r w:rsidR="001818DF">
          <w:rPr>
            <w:noProof/>
            <w:webHidden/>
          </w:rPr>
          <w:fldChar w:fldCharType="end"/>
        </w:r>
      </w:hyperlink>
    </w:p>
    <w:p w14:paraId="1FDB240D" w14:textId="34F3BFB8" w:rsidR="001818DF" w:rsidRDefault="008975BF" w:rsidP="00264EEA">
      <w:pPr>
        <w:pStyle w:val="TableofFigures"/>
        <w:ind w:left="1276" w:hanging="1276"/>
        <w:rPr>
          <w:rFonts w:asciiTheme="minorHAnsi" w:eastAsiaTheme="minorEastAsia" w:hAnsiTheme="minorHAnsi" w:cstheme="minorBidi"/>
          <w:noProof/>
          <w:kern w:val="2"/>
          <w:sz w:val="24"/>
          <w:szCs w:val="24"/>
          <w14:ligatures w14:val="standardContextual"/>
        </w:rPr>
      </w:pPr>
      <w:hyperlink w:anchor="_Toc164153997" w:history="1">
        <w:r w:rsidR="001818DF" w:rsidRPr="002452A1">
          <w:rPr>
            <w:rStyle w:val="Hyperlink"/>
            <w:noProof/>
          </w:rPr>
          <w:t xml:space="preserve">Figure 2.2.8 </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 xml:space="preserve">New Zealand’s IPPU sector emissions, from </w:t>
        </w:r>
        <w:r w:rsidR="001818DF" w:rsidRPr="002452A1">
          <w:rPr>
            <w:rStyle w:val="Hyperlink"/>
            <w:bCs/>
            <w:noProof/>
          </w:rPr>
          <w:t>1990</w:t>
        </w:r>
        <w:r w:rsidR="001818DF" w:rsidRPr="002452A1">
          <w:rPr>
            <w:rStyle w:val="Hyperlink"/>
            <w:noProof/>
          </w:rPr>
          <w:t xml:space="preserve"> to </w:t>
        </w:r>
        <w:r w:rsidR="001818DF" w:rsidRPr="002452A1">
          <w:rPr>
            <w:rStyle w:val="Hyperlink"/>
            <w:bCs/>
            <w:noProof/>
          </w:rPr>
          <w:t>2022</w:t>
        </w:r>
        <w:r w:rsidR="001818DF">
          <w:rPr>
            <w:noProof/>
            <w:webHidden/>
          </w:rPr>
          <w:tab/>
        </w:r>
        <w:r w:rsidR="001818DF">
          <w:rPr>
            <w:noProof/>
            <w:webHidden/>
          </w:rPr>
          <w:fldChar w:fldCharType="begin"/>
        </w:r>
        <w:r w:rsidR="001818DF">
          <w:rPr>
            <w:noProof/>
            <w:webHidden/>
          </w:rPr>
          <w:instrText xml:space="preserve"> PAGEREF _Toc164153997 \h </w:instrText>
        </w:r>
        <w:r w:rsidR="001818DF">
          <w:rPr>
            <w:noProof/>
            <w:webHidden/>
          </w:rPr>
        </w:r>
        <w:r w:rsidR="001818DF">
          <w:rPr>
            <w:noProof/>
            <w:webHidden/>
          </w:rPr>
          <w:fldChar w:fldCharType="separate"/>
        </w:r>
        <w:r w:rsidR="009E4901">
          <w:rPr>
            <w:noProof/>
            <w:webHidden/>
          </w:rPr>
          <w:t>45</w:t>
        </w:r>
        <w:r w:rsidR="001818DF">
          <w:rPr>
            <w:noProof/>
            <w:webHidden/>
          </w:rPr>
          <w:fldChar w:fldCharType="end"/>
        </w:r>
      </w:hyperlink>
    </w:p>
    <w:p w14:paraId="3502C3A4" w14:textId="7D234DB5" w:rsidR="001818DF" w:rsidRDefault="008975BF" w:rsidP="00264EEA">
      <w:pPr>
        <w:pStyle w:val="TableofFigures"/>
        <w:ind w:left="1276" w:hanging="1276"/>
        <w:rPr>
          <w:rFonts w:asciiTheme="minorHAnsi" w:eastAsiaTheme="minorEastAsia" w:hAnsiTheme="minorHAnsi" w:cstheme="minorBidi"/>
          <w:noProof/>
          <w:kern w:val="2"/>
          <w:sz w:val="24"/>
          <w:szCs w:val="24"/>
          <w14:ligatures w14:val="standardContextual"/>
        </w:rPr>
      </w:pPr>
      <w:hyperlink w:anchor="_Toc164153998" w:history="1">
        <w:r w:rsidR="001818DF" w:rsidRPr="002452A1">
          <w:rPr>
            <w:rStyle w:val="Hyperlink"/>
            <w:noProof/>
          </w:rPr>
          <w:t xml:space="preserve">Figure 2.2.9 </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 xml:space="preserve">New Zealand’s Agriculture sector emissions, from </w:t>
        </w:r>
        <w:r w:rsidR="001818DF" w:rsidRPr="002452A1">
          <w:rPr>
            <w:rStyle w:val="Hyperlink"/>
            <w:bCs/>
            <w:noProof/>
          </w:rPr>
          <w:t>1990</w:t>
        </w:r>
        <w:r w:rsidR="001818DF" w:rsidRPr="002452A1">
          <w:rPr>
            <w:rStyle w:val="Hyperlink"/>
            <w:noProof/>
          </w:rPr>
          <w:t xml:space="preserve"> to </w:t>
        </w:r>
        <w:r w:rsidR="001818DF" w:rsidRPr="002452A1">
          <w:rPr>
            <w:rStyle w:val="Hyperlink"/>
            <w:bCs/>
            <w:noProof/>
          </w:rPr>
          <w:t>2022</w:t>
        </w:r>
        <w:r w:rsidR="001818DF">
          <w:rPr>
            <w:noProof/>
            <w:webHidden/>
          </w:rPr>
          <w:tab/>
        </w:r>
        <w:r w:rsidR="001818DF">
          <w:rPr>
            <w:noProof/>
            <w:webHidden/>
          </w:rPr>
          <w:fldChar w:fldCharType="begin"/>
        </w:r>
        <w:r w:rsidR="001818DF">
          <w:rPr>
            <w:noProof/>
            <w:webHidden/>
          </w:rPr>
          <w:instrText xml:space="preserve"> PAGEREF _Toc164153998 \h </w:instrText>
        </w:r>
        <w:r w:rsidR="001818DF">
          <w:rPr>
            <w:noProof/>
            <w:webHidden/>
          </w:rPr>
        </w:r>
        <w:r w:rsidR="001818DF">
          <w:rPr>
            <w:noProof/>
            <w:webHidden/>
          </w:rPr>
          <w:fldChar w:fldCharType="separate"/>
        </w:r>
        <w:r w:rsidR="009E4901">
          <w:rPr>
            <w:noProof/>
            <w:webHidden/>
          </w:rPr>
          <w:t>47</w:t>
        </w:r>
        <w:r w:rsidR="001818DF">
          <w:rPr>
            <w:noProof/>
            <w:webHidden/>
          </w:rPr>
          <w:fldChar w:fldCharType="end"/>
        </w:r>
      </w:hyperlink>
    </w:p>
    <w:p w14:paraId="461837E7" w14:textId="2D8E07C1" w:rsidR="001818DF" w:rsidRDefault="008975BF" w:rsidP="00264EEA">
      <w:pPr>
        <w:pStyle w:val="TableofFigures"/>
        <w:ind w:left="1276" w:hanging="1276"/>
        <w:rPr>
          <w:rFonts w:asciiTheme="minorHAnsi" w:eastAsiaTheme="minorEastAsia" w:hAnsiTheme="minorHAnsi" w:cstheme="minorBidi"/>
          <w:noProof/>
          <w:kern w:val="2"/>
          <w:sz w:val="24"/>
          <w:szCs w:val="24"/>
          <w14:ligatures w14:val="standardContextual"/>
        </w:rPr>
      </w:pPr>
      <w:hyperlink w:anchor="_Toc164153999" w:history="1">
        <w:r w:rsidR="001818DF" w:rsidRPr="002452A1">
          <w:rPr>
            <w:rStyle w:val="Hyperlink"/>
            <w:noProof/>
          </w:rPr>
          <w:t xml:space="preserve">Figure 2.2.10 </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 xml:space="preserve">New Zealand’s LULUCF sector net emissions, from </w:t>
        </w:r>
        <w:r w:rsidR="001818DF" w:rsidRPr="002452A1">
          <w:rPr>
            <w:rStyle w:val="Hyperlink"/>
            <w:bCs/>
            <w:noProof/>
          </w:rPr>
          <w:t>1990</w:t>
        </w:r>
        <w:r w:rsidR="001818DF" w:rsidRPr="002452A1">
          <w:rPr>
            <w:rStyle w:val="Hyperlink"/>
            <w:noProof/>
          </w:rPr>
          <w:t xml:space="preserve"> to </w:t>
        </w:r>
        <w:r w:rsidR="001818DF" w:rsidRPr="002452A1">
          <w:rPr>
            <w:rStyle w:val="Hyperlink"/>
            <w:bCs/>
            <w:noProof/>
          </w:rPr>
          <w:t>2022</w:t>
        </w:r>
        <w:r w:rsidR="001818DF">
          <w:rPr>
            <w:noProof/>
            <w:webHidden/>
          </w:rPr>
          <w:tab/>
        </w:r>
        <w:r w:rsidR="001818DF">
          <w:rPr>
            <w:noProof/>
            <w:webHidden/>
          </w:rPr>
          <w:fldChar w:fldCharType="begin"/>
        </w:r>
        <w:r w:rsidR="001818DF">
          <w:rPr>
            <w:noProof/>
            <w:webHidden/>
          </w:rPr>
          <w:instrText xml:space="preserve"> PAGEREF _Toc164153999 \h </w:instrText>
        </w:r>
        <w:r w:rsidR="001818DF">
          <w:rPr>
            <w:noProof/>
            <w:webHidden/>
          </w:rPr>
        </w:r>
        <w:r w:rsidR="001818DF">
          <w:rPr>
            <w:noProof/>
            <w:webHidden/>
          </w:rPr>
          <w:fldChar w:fldCharType="separate"/>
        </w:r>
        <w:r w:rsidR="009E4901">
          <w:rPr>
            <w:noProof/>
            <w:webHidden/>
          </w:rPr>
          <w:t>49</w:t>
        </w:r>
        <w:r w:rsidR="001818DF">
          <w:rPr>
            <w:noProof/>
            <w:webHidden/>
          </w:rPr>
          <w:fldChar w:fldCharType="end"/>
        </w:r>
      </w:hyperlink>
    </w:p>
    <w:p w14:paraId="2A258424" w14:textId="037BA723" w:rsidR="001818DF" w:rsidRDefault="008975BF" w:rsidP="00264EEA">
      <w:pPr>
        <w:pStyle w:val="TableofFigures"/>
        <w:ind w:left="1276" w:hanging="1276"/>
        <w:rPr>
          <w:rFonts w:asciiTheme="minorHAnsi" w:eastAsiaTheme="minorEastAsia" w:hAnsiTheme="minorHAnsi" w:cstheme="minorBidi"/>
          <w:noProof/>
          <w:kern w:val="2"/>
          <w:sz w:val="24"/>
          <w:szCs w:val="24"/>
          <w14:ligatures w14:val="standardContextual"/>
        </w:rPr>
      </w:pPr>
      <w:hyperlink w:anchor="_Toc164154000" w:history="1">
        <w:r w:rsidR="001818DF" w:rsidRPr="002452A1">
          <w:rPr>
            <w:rStyle w:val="Hyperlink"/>
            <w:noProof/>
          </w:rPr>
          <w:t xml:space="preserve">Figure 2.2.11 </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 xml:space="preserve">New Zealand’s Waste sector emissions, from </w:t>
        </w:r>
        <w:r w:rsidR="001818DF" w:rsidRPr="002452A1">
          <w:rPr>
            <w:rStyle w:val="Hyperlink"/>
            <w:bCs/>
            <w:noProof/>
          </w:rPr>
          <w:t>1990</w:t>
        </w:r>
        <w:r w:rsidR="001818DF" w:rsidRPr="002452A1">
          <w:rPr>
            <w:rStyle w:val="Hyperlink"/>
            <w:noProof/>
          </w:rPr>
          <w:t xml:space="preserve"> to </w:t>
        </w:r>
        <w:r w:rsidR="001818DF" w:rsidRPr="002452A1">
          <w:rPr>
            <w:rStyle w:val="Hyperlink"/>
            <w:bCs/>
            <w:noProof/>
          </w:rPr>
          <w:t>2022</w:t>
        </w:r>
        <w:r w:rsidR="001818DF">
          <w:rPr>
            <w:noProof/>
            <w:webHidden/>
          </w:rPr>
          <w:tab/>
        </w:r>
        <w:r w:rsidR="001818DF">
          <w:rPr>
            <w:noProof/>
            <w:webHidden/>
          </w:rPr>
          <w:fldChar w:fldCharType="begin"/>
        </w:r>
        <w:r w:rsidR="001818DF">
          <w:rPr>
            <w:noProof/>
            <w:webHidden/>
          </w:rPr>
          <w:instrText xml:space="preserve"> PAGEREF _Toc164154000 \h </w:instrText>
        </w:r>
        <w:r w:rsidR="001818DF">
          <w:rPr>
            <w:noProof/>
            <w:webHidden/>
          </w:rPr>
        </w:r>
        <w:r w:rsidR="001818DF">
          <w:rPr>
            <w:noProof/>
            <w:webHidden/>
          </w:rPr>
          <w:fldChar w:fldCharType="separate"/>
        </w:r>
        <w:r w:rsidR="009E4901">
          <w:rPr>
            <w:noProof/>
            <w:webHidden/>
          </w:rPr>
          <w:t>51</w:t>
        </w:r>
        <w:r w:rsidR="001818DF">
          <w:rPr>
            <w:noProof/>
            <w:webHidden/>
          </w:rPr>
          <w:fldChar w:fldCharType="end"/>
        </w:r>
      </w:hyperlink>
    </w:p>
    <w:p w14:paraId="7C4B3024" w14:textId="3B86FFB9" w:rsidR="001818DF" w:rsidRDefault="008975BF" w:rsidP="00264EEA">
      <w:pPr>
        <w:pStyle w:val="TableofFigures"/>
        <w:ind w:left="1276" w:hanging="1276"/>
        <w:rPr>
          <w:rFonts w:asciiTheme="minorHAnsi" w:eastAsiaTheme="minorEastAsia" w:hAnsiTheme="minorHAnsi" w:cstheme="minorBidi"/>
          <w:noProof/>
          <w:kern w:val="2"/>
          <w:sz w:val="24"/>
          <w:szCs w:val="24"/>
          <w14:ligatures w14:val="standardContextual"/>
        </w:rPr>
      </w:pPr>
      <w:hyperlink w:anchor="_Toc164154001" w:history="1">
        <w:r w:rsidR="001818DF" w:rsidRPr="002452A1">
          <w:rPr>
            <w:rStyle w:val="Hyperlink"/>
            <w:noProof/>
          </w:rPr>
          <w:t xml:space="preserve">Figure 2.2.12 </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 xml:space="preserve">Emissions by sector for Tokelau, from </w:t>
        </w:r>
        <w:r w:rsidR="001818DF" w:rsidRPr="002452A1">
          <w:rPr>
            <w:rStyle w:val="Hyperlink"/>
            <w:bCs/>
            <w:noProof/>
          </w:rPr>
          <w:t>1990</w:t>
        </w:r>
        <w:r w:rsidR="001818DF" w:rsidRPr="002452A1">
          <w:rPr>
            <w:rStyle w:val="Hyperlink"/>
            <w:noProof/>
          </w:rPr>
          <w:t xml:space="preserve"> to </w:t>
        </w:r>
        <w:r w:rsidR="001818DF" w:rsidRPr="002452A1">
          <w:rPr>
            <w:rStyle w:val="Hyperlink"/>
            <w:bCs/>
            <w:noProof/>
          </w:rPr>
          <w:t>2022</w:t>
        </w:r>
        <w:r w:rsidR="001818DF">
          <w:rPr>
            <w:noProof/>
            <w:webHidden/>
          </w:rPr>
          <w:tab/>
        </w:r>
        <w:r w:rsidR="001818DF">
          <w:rPr>
            <w:noProof/>
            <w:webHidden/>
          </w:rPr>
          <w:fldChar w:fldCharType="begin"/>
        </w:r>
        <w:r w:rsidR="001818DF">
          <w:rPr>
            <w:noProof/>
            <w:webHidden/>
          </w:rPr>
          <w:instrText xml:space="preserve"> PAGEREF _Toc164154001 \h </w:instrText>
        </w:r>
        <w:r w:rsidR="001818DF">
          <w:rPr>
            <w:noProof/>
            <w:webHidden/>
          </w:rPr>
        </w:r>
        <w:r w:rsidR="001818DF">
          <w:rPr>
            <w:noProof/>
            <w:webHidden/>
          </w:rPr>
          <w:fldChar w:fldCharType="separate"/>
        </w:r>
        <w:r w:rsidR="009E4901">
          <w:rPr>
            <w:noProof/>
            <w:webHidden/>
          </w:rPr>
          <w:t>53</w:t>
        </w:r>
        <w:r w:rsidR="001818DF">
          <w:rPr>
            <w:noProof/>
            <w:webHidden/>
          </w:rPr>
          <w:fldChar w:fldCharType="end"/>
        </w:r>
      </w:hyperlink>
    </w:p>
    <w:p w14:paraId="6B82D7D3" w14:textId="237E02F6" w:rsidR="001818DF" w:rsidRDefault="008975BF" w:rsidP="00264EEA">
      <w:pPr>
        <w:pStyle w:val="TableofFigures"/>
        <w:ind w:left="1276" w:hanging="1276"/>
        <w:rPr>
          <w:rFonts w:asciiTheme="minorHAnsi" w:eastAsiaTheme="minorEastAsia" w:hAnsiTheme="minorHAnsi" w:cstheme="minorBidi"/>
          <w:noProof/>
          <w:kern w:val="2"/>
          <w:sz w:val="24"/>
          <w:szCs w:val="24"/>
          <w14:ligatures w14:val="standardContextual"/>
        </w:rPr>
      </w:pPr>
      <w:hyperlink w:anchor="_Toc164154002" w:history="1">
        <w:r w:rsidR="001818DF" w:rsidRPr="002452A1">
          <w:rPr>
            <w:rStyle w:val="Hyperlink"/>
            <w:bCs/>
            <w:noProof/>
          </w:rPr>
          <w:t>Figure 2.2.13</w:t>
        </w:r>
        <w:r w:rsidR="001818DF" w:rsidRPr="002452A1">
          <w:rPr>
            <w:rStyle w:val="Hyperlink"/>
            <w:noProof/>
          </w:rPr>
          <w:t xml:space="preserve"> </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 xml:space="preserve">New Zealand’s gross emissions by gas in </w:t>
        </w:r>
        <w:r w:rsidR="001818DF" w:rsidRPr="002452A1">
          <w:rPr>
            <w:rStyle w:val="Hyperlink"/>
            <w:bCs/>
            <w:noProof/>
          </w:rPr>
          <w:t>1990</w:t>
        </w:r>
        <w:r w:rsidR="001818DF" w:rsidRPr="002452A1">
          <w:rPr>
            <w:rStyle w:val="Hyperlink"/>
            <w:noProof/>
          </w:rPr>
          <w:t xml:space="preserve"> and </w:t>
        </w:r>
        <w:r w:rsidR="001818DF" w:rsidRPr="002452A1">
          <w:rPr>
            <w:rStyle w:val="Hyperlink"/>
            <w:bCs/>
            <w:noProof/>
          </w:rPr>
          <w:t>2022</w:t>
        </w:r>
        <w:r w:rsidR="001818DF">
          <w:rPr>
            <w:noProof/>
            <w:webHidden/>
          </w:rPr>
          <w:tab/>
        </w:r>
        <w:r w:rsidR="001818DF">
          <w:rPr>
            <w:noProof/>
            <w:webHidden/>
          </w:rPr>
          <w:fldChar w:fldCharType="begin"/>
        </w:r>
        <w:r w:rsidR="001818DF">
          <w:rPr>
            <w:noProof/>
            <w:webHidden/>
          </w:rPr>
          <w:instrText xml:space="preserve"> PAGEREF _Toc164154002 \h </w:instrText>
        </w:r>
        <w:r w:rsidR="001818DF">
          <w:rPr>
            <w:noProof/>
            <w:webHidden/>
          </w:rPr>
        </w:r>
        <w:r w:rsidR="001818DF">
          <w:rPr>
            <w:noProof/>
            <w:webHidden/>
          </w:rPr>
          <w:fldChar w:fldCharType="separate"/>
        </w:r>
        <w:r w:rsidR="009E4901">
          <w:rPr>
            <w:noProof/>
            <w:webHidden/>
          </w:rPr>
          <w:t>54</w:t>
        </w:r>
        <w:r w:rsidR="001818DF">
          <w:rPr>
            <w:noProof/>
            <w:webHidden/>
          </w:rPr>
          <w:fldChar w:fldCharType="end"/>
        </w:r>
      </w:hyperlink>
    </w:p>
    <w:p w14:paraId="159EB882" w14:textId="3CD25CCD" w:rsidR="001818DF" w:rsidRDefault="008975BF" w:rsidP="00264EEA">
      <w:pPr>
        <w:pStyle w:val="TableofFigures"/>
        <w:ind w:left="1276" w:hanging="1276"/>
        <w:rPr>
          <w:rFonts w:asciiTheme="minorHAnsi" w:eastAsiaTheme="minorEastAsia" w:hAnsiTheme="minorHAnsi" w:cstheme="minorBidi"/>
          <w:noProof/>
          <w:kern w:val="2"/>
          <w:sz w:val="24"/>
          <w:szCs w:val="24"/>
          <w14:ligatures w14:val="standardContextual"/>
        </w:rPr>
      </w:pPr>
      <w:hyperlink w:anchor="_Toc164154003" w:history="1">
        <w:r w:rsidR="001818DF" w:rsidRPr="002452A1">
          <w:rPr>
            <w:rStyle w:val="Hyperlink"/>
            <w:bCs/>
            <w:noProof/>
          </w:rPr>
          <w:t>Figure 2.2.14</w:t>
        </w:r>
        <w:r w:rsidR="001818DF" w:rsidRPr="002452A1">
          <w:rPr>
            <w:rStyle w:val="Hyperlink"/>
            <w:noProof/>
          </w:rPr>
          <w:t xml:space="preserve"> </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 xml:space="preserve">Trends in New Zealand’s greenhouse gas emissions by gas, from </w:t>
        </w:r>
        <w:r w:rsidR="001818DF" w:rsidRPr="002452A1">
          <w:rPr>
            <w:rStyle w:val="Hyperlink"/>
            <w:bCs/>
            <w:noProof/>
          </w:rPr>
          <w:t>1990</w:t>
        </w:r>
        <w:r w:rsidR="001818DF" w:rsidRPr="002452A1">
          <w:rPr>
            <w:rStyle w:val="Hyperlink"/>
            <w:noProof/>
          </w:rPr>
          <w:t xml:space="preserve"> to </w:t>
        </w:r>
        <w:r w:rsidR="001818DF" w:rsidRPr="002452A1">
          <w:rPr>
            <w:rStyle w:val="Hyperlink"/>
            <w:bCs/>
            <w:noProof/>
          </w:rPr>
          <w:t>2022</w:t>
        </w:r>
        <w:r w:rsidR="001818DF">
          <w:rPr>
            <w:noProof/>
            <w:webHidden/>
          </w:rPr>
          <w:tab/>
        </w:r>
        <w:r w:rsidR="001818DF">
          <w:rPr>
            <w:noProof/>
            <w:webHidden/>
          </w:rPr>
          <w:fldChar w:fldCharType="begin"/>
        </w:r>
        <w:r w:rsidR="001818DF">
          <w:rPr>
            <w:noProof/>
            <w:webHidden/>
          </w:rPr>
          <w:instrText xml:space="preserve"> PAGEREF _Toc164154003 \h </w:instrText>
        </w:r>
        <w:r w:rsidR="001818DF">
          <w:rPr>
            <w:noProof/>
            <w:webHidden/>
          </w:rPr>
        </w:r>
        <w:r w:rsidR="001818DF">
          <w:rPr>
            <w:noProof/>
            <w:webHidden/>
          </w:rPr>
          <w:fldChar w:fldCharType="separate"/>
        </w:r>
        <w:r w:rsidR="009E4901">
          <w:rPr>
            <w:noProof/>
            <w:webHidden/>
          </w:rPr>
          <w:t>55</w:t>
        </w:r>
        <w:r w:rsidR="001818DF">
          <w:rPr>
            <w:noProof/>
            <w:webHidden/>
          </w:rPr>
          <w:fldChar w:fldCharType="end"/>
        </w:r>
      </w:hyperlink>
    </w:p>
    <w:p w14:paraId="05191AA3" w14:textId="26332347" w:rsidR="001818DF" w:rsidRDefault="008975BF" w:rsidP="00264EEA">
      <w:pPr>
        <w:pStyle w:val="TableofFigures"/>
        <w:ind w:left="1276" w:hanging="1276"/>
        <w:rPr>
          <w:rFonts w:asciiTheme="minorHAnsi" w:eastAsiaTheme="minorEastAsia" w:hAnsiTheme="minorHAnsi" w:cstheme="minorBidi"/>
          <w:noProof/>
          <w:kern w:val="2"/>
          <w:sz w:val="24"/>
          <w:szCs w:val="24"/>
          <w14:ligatures w14:val="standardContextual"/>
        </w:rPr>
      </w:pPr>
      <w:hyperlink w:anchor="_Toc164154004" w:history="1">
        <w:r w:rsidR="001818DF" w:rsidRPr="002452A1">
          <w:rPr>
            <w:rStyle w:val="Hyperlink"/>
            <w:rFonts w:cs="Calibri"/>
            <w:noProof/>
          </w:rPr>
          <w:t>Figure 3.1.1</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rFonts w:cs="Calibri"/>
            <w:noProof/>
          </w:rPr>
          <w:t>New Zealand’s Energy sector emissions, from 1990 to 2022</w:t>
        </w:r>
        <w:r w:rsidR="001818DF">
          <w:rPr>
            <w:noProof/>
            <w:webHidden/>
          </w:rPr>
          <w:tab/>
        </w:r>
        <w:r w:rsidR="001818DF">
          <w:rPr>
            <w:noProof/>
            <w:webHidden/>
          </w:rPr>
          <w:fldChar w:fldCharType="begin"/>
        </w:r>
        <w:r w:rsidR="001818DF">
          <w:rPr>
            <w:noProof/>
            <w:webHidden/>
          </w:rPr>
          <w:instrText xml:space="preserve"> PAGEREF _Toc164154004 \h </w:instrText>
        </w:r>
        <w:r w:rsidR="001818DF">
          <w:rPr>
            <w:noProof/>
            <w:webHidden/>
          </w:rPr>
        </w:r>
        <w:r w:rsidR="001818DF">
          <w:rPr>
            <w:noProof/>
            <w:webHidden/>
          </w:rPr>
          <w:fldChar w:fldCharType="separate"/>
        </w:r>
        <w:r w:rsidR="009E4901">
          <w:rPr>
            <w:noProof/>
            <w:webHidden/>
          </w:rPr>
          <w:t>59</w:t>
        </w:r>
        <w:r w:rsidR="001818DF">
          <w:rPr>
            <w:noProof/>
            <w:webHidden/>
          </w:rPr>
          <w:fldChar w:fldCharType="end"/>
        </w:r>
      </w:hyperlink>
    </w:p>
    <w:p w14:paraId="2F1F96AA" w14:textId="4847DE68" w:rsidR="001818DF" w:rsidRDefault="008975BF" w:rsidP="00264EEA">
      <w:pPr>
        <w:pStyle w:val="TableofFigures"/>
        <w:ind w:left="1276" w:hanging="1276"/>
        <w:rPr>
          <w:rFonts w:asciiTheme="minorHAnsi" w:eastAsiaTheme="minorEastAsia" w:hAnsiTheme="minorHAnsi" w:cstheme="minorBidi"/>
          <w:noProof/>
          <w:kern w:val="2"/>
          <w:sz w:val="24"/>
          <w:szCs w:val="24"/>
          <w14:ligatures w14:val="standardContextual"/>
        </w:rPr>
      </w:pPr>
      <w:hyperlink w:anchor="_Toc164154005" w:history="1">
        <w:r w:rsidR="001818DF" w:rsidRPr="002452A1">
          <w:rPr>
            <w:rStyle w:val="Hyperlink"/>
            <w:rFonts w:cs="Calibri"/>
            <w:noProof/>
          </w:rPr>
          <w:t>Figure 3.1.2</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rFonts w:cs="Calibri"/>
            <w:noProof/>
          </w:rPr>
          <w:t>Natural gas consumption by end use type, from 1990 to 2022</w:t>
        </w:r>
        <w:r w:rsidR="001818DF">
          <w:rPr>
            <w:noProof/>
            <w:webHidden/>
          </w:rPr>
          <w:tab/>
        </w:r>
        <w:r w:rsidR="001818DF">
          <w:rPr>
            <w:noProof/>
            <w:webHidden/>
          </w:rPr>
          <w:fldChar w:fldCharType="begin"/>
        </w:r>
        <w:r w:rsidR="001818DF">
          <w:rPr>
            <w:noProof/>
            <w:webHidden/>
          </w:rPr>
          <w:instrText xml:space="preserve"> PAGEREF _Toc164154005 \h </w:instrText>
        </w:r>
        <w:r w:rsidR="001818DF">
          <w:rPr>
            <w:noProof/>
            <w:webHidden/>
          </w:rPr>
        </w:r>
        <w:r w:rsidR="001818DF">
          <w:rPr>
            <w:noProof/>
            <w:webHidden/>
          </w:rPr>
          <w:fldChar w:fldCharType="separate"/>
        </w:r>
        <w:r w:rsidR="009E4901">
          <w:rPr>
            <w:noProof/>
            <w:webHidden/>
          </w:rPr>
          <w:t>63</w:t>
        </w:r>
        <w:r w:rsidR="001818DF">
          <w:rPr>
            <w:noProof/>
            <w:webHidden/>
          </w:rPr>
          <w:fldChar w:fldCharType="end"/>
        </w:r>
      </w:hyperlink>
    </w:p>
    <w:p w14:paraId="69E3BB1E" w14:textId="1F09BDA4" w:rsidR="001818DF" w:rsidRDefault="008975BF" w:rsidP="00264EEA">
      <w:pPr>
        <w:pStyle w:val="TableofFigures"/>
        <w:ind w:left="1276" w:hanging="1276"/>
        <w:rPr>
          <w:rFonts w:asciiTheme="minorHAnsi" w:eastAsiaTheme="minorEastAsia" w:hAnsiTheme="minorHAnsi" w:cstheme="minorBidi"/>
          <w:noProof/>
          <w:kern w:val="2"/>
          <w:sz w:val="24"/>
          <w:szCs w:val="24"/>
          <w14:ligatures w14:val="standardContextual"/>
        </w:rPr>
      </w:pPr>
      <w:hyperlink w:anchor="_Toc164154006" w:history="1">
        <w:r w:rsidR="001818DF" w:rsidRPr="002452A1">
          <w:rPr>
            <w:rStyle w:val="Hyperlink"/>
            <w:rFonts w:cs="Calibri"/>
            <w:noProof/>
          </w:rPr>
          <w:t>Figure 3.2.1</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rFonts w:cs="Calibri"/>
            <w:noProof/>
          </w:rPr>
          <w:t>New Zealand’s emissions from the fuel combustion categories, from 1990 to 2022</w:t>
        </w:r>
        <w:r w:rsidR="001818DF">
          <w:rPr>
            <w:noProof/>
            <w:webHidden/>
          </w:rPr>
          <w:tab/>
        </w:r>
        <w:r w:rsidR="001818DF">
          <w:rPr>
            <w:noProof/>
            <w:webHidden/>
          </w:rPr>
          <w:fldChar w:fldCharType="begin"/>
        </w:r>
        <w:r w:rsidR="001818DF">
          <w:rPr>
            <w:noProof/>
            <w:webHidden/>
          </w:rPr>
          <w:instrText xml:space="preserve"> PAGEREF _Toc164154006 \h </w:instrText>
        </w:r>
        <w:r w:rsidR="001818DF">
          <w:rPr>
            <w:noProof/>
            <w:webHidden/>
          </w:rPr>
        </w:r>
        <w:r w:rsidR="001818DF">
          <w:rPr>
            <w:noProof/>
            <w:webHidden/>
          </w:rPr>
          <w:fldChar w:fldCharType="separate"/>
        </w:r>
        <w:r w:rsidR="009E4901">
          <w:rPr>
            <w:noProof/>
            <w:webHidden/>
          </w:rPr>
          <w:t>64</w:t>
        </w:r>
        <w:r w:rsidR="001818DF">
          <w:rPr>
            <w:noProof/>
            <w:webHidden/>
          </w:rPr>
          <w:fldChar w:fldCharType="end"/>
        </w:r>
      </w:hyperlink>
    </w:p>
    <w:p w14:paraId="608E530D" w14:textId="16402D7F" w:rsidR="001818DF" w:rsidRDefault="008975BF" w:rsidP="00264EEA">
      <w:pPr>
        <w:pStyle w:val="TableofFigures"/>
        <w:ind w:left="1276" w:hanging="1276"/>
        <w:rPr>
          <w:rFonts w:asciiTheme="minorHAnsi" w:eastAsiaTheme="minorEastAsia" w:hAnsiTheme="minorHAnsi" w:cstheme="minorBidi"/>
          <w:noProof/>
          <w:kern w:val="2"/>
          <w:sz w:val="24"/>
          <w:szCs w:val="24"/>
          <w14:ligatures w14:val="standardContextual"/>
        </w:rPr>
      </w:pPr>
      <w:hyperlink w:anchor="_Toc164154007" w:history="1">
        <w:r w:rsidR="001818DF" w:rsidRPr="002452A1">
          <w:rPr>
            <w:rStyle w:val="Hyperlink"/>
            <w:rFonts w:cs="Calibri"/>
            <w:noProof/>
          </w:rPr>
          <w:t xml:space="preserve">Figure 3.2.2 </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rFonts w:cs="Calibri"/>
            <w:noProof/>
          </w:rPr>
          <w:t>Energy sector quality control process map</w:t>
        </w:r>
        <w:r w:rsidR="001818DF">
          <w:rPr>
            <w:noProof/>
            <w:webHidden/>
          </w:rPr>
          <w:tab/>
        </w:r>
        <w:r w:rsidR="001818DF">
          <w:rPr>
            <w:noProof/>
            <w:webHidden/>
          </w:rPr>
          <w:fldChar w:fldCharType="begin"/>
        </w:r>
        <w:r w:rsidR="001818DF">
          <w:rPr>
            <w:noProof/>
            <w:webHidden/>
          </w:rPr>
          <w:instrText xml:space="preserve"> PAGEREF _Toc164154007 \h </w:instrText>
        </w:r>
        <w:r w:rsidR="001818DF">
          <w:rPr>
            <w:noProof/>
            <w:webHidden/>
          </w:rPr>
        </w:r>
        <w:r w:rsidR="001818DF">
          <w:rPr>
            <w:noProof/>
            <w:webHidden/>
          </w:rPr>
          <w:fldChar w:fldCharType="separate"/>
        </w:r>
        <w:r w:rsidR="009E4901">
          <w:rPr>
            <w:noProof/>
            <w:webHidden/>
          </w:rPr>
          <w:t>71</w:t>
        </w:r>
        <w:r w:rsidR="001818DF">
          <w:rPr>
            <w:noProof/>
            <w:webHidden/>
          </w:rPr>
          <w:fldChar w:fldCharType="end"/>
        </w:r>
      </w:hyperlink>
    </w:p>
    <w:p w14:paraId="4F14FBCE" w14:textId="1A4882D8" w:rsidR="001818DF" w:rsidRDefault="008975BF" w:rsidP="00264EEA">
      <w:pPr>
        <w:pStyle w:val="TableofFigures"/>
        <w:ind w:left="1276" w:hanging="1276"/>
        <w:rPr>
          <w:rFonts w:asciiTheme="minorHAnsi" w:eastAsiaTheme="minorEastAsia" w:hAnsiTheme="minorHAnsi" w:cstheme="minorBidi"/>
          <w:noProof/>
          <w:kern w:val="2"/>
          <w:sz w:val="24"/>
          <w:szCs w:val="24"/>
          <w14:ligatures w14:val="standardContextual"/>
        </w:rPr>
      </w:pPr>
      <w:hyperlink w:anchor="_Toc164154008" w:history="1">
        <w:r w:rsidR="001818DF" w:rsidRPr="002452A1">
          <w:rPr>
            <w:rStyle w:val="Hyperlink"/>
            <w:rFonts w:cs="Calibri"/>
            <w:noProof/>
          </w:rPr>
          <w:t xml:space="preserve">Figure 3.2.3 </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rFonts w:cs="Calibri"/>
            <w:noProof/>
          </w:rPr>
          <w:t>Carbon dioxide implied emission factor (IEF) – Liquid fuel combustion, from 1990 to 2022</w:t>
        </w:r>
        <w:r w:rsidR="001818DF">
          <w:rPr>
            <w:noProof/>
            <w:webHidden/>
          </w:rPr>
          <w:tab/>
        </w:r>
        <w:r w:rsidR="001818DF">
          <w:rPr>
            <w:noProof/>
            <w:webHidden/>
          </w:rPr>
          <w:fldChar w:fldCharType="begin"/>
        </w:r>
        <w:r w:rsidR="001818DF">
          <w:rPr>
            <w:noProof/>
            <w:webHidden/>
          </w:rPr>
          <w:instrText xml:space="preserve"> PAGEREF _Toc164154008 \h </w:instrText>
        </w:r>
        <w:r w:rsidR="001818DF">
          <w:rPr>
            <w:noProof/>
            <w:webHidden/>
          </w:rPr>
        </w:r>
        <w:r w:rsidR="001818DF">
          <w:rPr>
            <w:noProof/>
            <w:webHidden/>
          </w:rPr>
          <w:fldChar w:fldCharType="separate"/>
        </w:r>
        <w:r w:rsidR="009E4901">
          <w:rPr>
            <w:noProof/>
            <w:webHidden/>
          </w:rPr>
          <w:t>72</w:t>
        </w:r>
        <w:r w:rsidR="001818DF">
          <w:rPr>
            <w:noProof/>
            <w:webHidden/>
          </w:rPr>
          <w:fldChar w:fldCharType="end"/>
        </w:r>
      </w:hyperlink>
    </w:p>
    <w:p w14:paraId="730CDEC1" w14:textId="56E3F338" w:rsidR="001818DF" w:rsidRDefault="008975BF" w:rsidP="00264EEA">
      <w:pPr>
        <w:pStyle w:val="TableofFigures"/>
        <w:ind w:left="1276" w:hanging="1276"/>
        <w:rPr>
          <w:rFonts w:asciiTheme="minorHAnsi" w:eastAsiaTheme="minorEastAsia" w:hAnsiTheme="minorHAnsi" w:cstheme="minorBidi"/>
          <w:noProof/>
          <w:kern w:val="2"/>
          <w:sz w:val="24"/>
          <w:szCs w:val="24"/>
          <w14:ligatures w14:val="standardContextual"/>
        </w:rPr>
      </w:pPr>
      <w:hyperlink w:anchor="_Toc164154009" w:history="1">
        <w:r w:rsidR="001818DF" w:rsidRPr="002452A1">
          <w:rPr>
            <w:rStyle w:val="Hyperlink"/>
            <w:rFonts w:cs="Calibri"/>
            <w:noProof/>
          </w:rPr>
          <w:t xml:space="preserve">Figure 3.2.4 </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rFonts w:cs="Calibri"/>
            <w:noProof/>
          </w:rPr>
          <w:t>Carbon dioxide implied emission factor (IEF) – Solid fuel combustion, from 1990 to 2022</w:t>
        </w:r>
        <w:r w:rsidR="001818DF">
          <w:rPr>
            <w:noProof/>
            <w:webHidden/>
          </w:rPr>
          <w:tab/>
        </w:r>
        <w:r w:rsidR="001818DF">
          <w:rPr>
            <w:noProof/>
            <w:webHidden/>
          </w:rPr>
          <w:fldChar w:fldCharType="begin"/>
        </w:r>
        <w:r w:rsidR="001818DF">
          <w:rPr>
            <w:noProof/>
            <w:webHidden/>
          </w:rPr>
          <w:instrText xml:space="preserve"> PAGEREF _Toc164154009 \h </w:instrText>
        </w:r>
        <w:r w:rsidR="001818DF">
          <w:rPr>
            <w:noProof/>
            <w:webHidden/>
          </w:rPr>
        </w:r>
        <w:r w:rsidR="001818DF">
          <w:rPr>
            <w:noProof/>
            <w:webHidden/>
          </w:rPr>
          <w:fldChar w:fldCharType="separate"/>
        </w:r>
        <w:r w:rsidR="009E4901">
          <w:rPr>
            <w:noProof/>
            <w:webHidden/>
          </w:rPr>
          <w:t>72</w:t>
        </w:r>
        <w:r w:rsidR="001818DF">
          <w:rPr>
            <w:noProof/>
            <w:webHidden/>
          </w:rPr>
          <w:fldChar w:fldCharType="end"/>
        </w:r>
      </w:hyperlink>
    </w:p>
    <w:p w14:paraId="4FCA98E9" w14:textId="6AF29BA3" w:rsidR="001818DF" w:rsidRDefault="008975BF" w:rsidP="00264EEA">
      <w:pPr>
        <w:pStyle w:val="TableofFigures"/>
        <w:ind w:left="1276" w:hanging="1276"/>
        <w:rPr>
          <w:rFonts w:asciiTheme="minorHAnsi" w:eastAsiaTheme="minorEastAsia" w:hAnsiTheme="minorHAnsi" w:cstheme="minorBidi"/>
          <w:noProof/>
          <w:kern w:val="2"/>
          <w:sz w:val="24"/>
          <w:szCs w:val="24"/>
          <w14:ligatures w14:val="standardContextual"/>
        </w:rPr>
      </w:pPr>
      <w:hyperlink w:anchor="_Toc164154010" w:history="1">
        <w:r w:rsidR="001818DF" w:rsidRPr="002452A1">
          <w:rPr>
            <w:rStyle w:val="Hyperlink"/>
            <w:rFonts w:cs="Calibri"/>
            <w:noProof/>
          </w:rPr>
          <w:t>Figure 3.2.5</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rFonts w:cs="Calibri"/>
            <w:noProof/>
            <w:lang w:eastAsia="en-GB"/>
          </w:rPr>
          <w:t xml:space="preserve">Carbon dioxide implied emission factor </w:t>
        </w:r>
        <w:r w:rsidR="001818DF" w:rsidRPr="002452A1">
          <w:rPr>
            <w:rStyle w:val="Hyperlink"/>
            <w:rFonts w:cs="Calibri"/>
            <w:noProof/>
          </w:rPr>
          <w:t>(IEF)</w:t>
        </w:r>
        <w:r w:rsidR="001818DF" w:rsidRPr="002452A1">
          <w:rPr>
            <w:rStyle w:val="Hyperlink"/>
            <w:rFonts w:cs="Calibri"/>
            <w:noProof/>
            <w:lang w:eastAsia="en-GB"/>
          </w:rPr>
          <w:t xml:space="preserve"> – Gaseous fuel combustion, </w:t>
        </w:r>
        <w:r w:rsidR="001818DF" w:rsidRPr="002452A1">
          <w:rPr>
            <w:rStyle w:val="Hyperlink"/>
            <w:rFonts w:cs="Calibri"/>
            <w:noProof/>
          </w:rPr>
          <w:t>from 1990 to 2022</w:t>
        </w:r>
        <w:r w:rsidR="001818DF">
          <w:rPr>
            <w:noProof/>
            <w:webHidden/>
          </w:rPr>
          <w:tab/>
        </w:r>
        <w:r w:rsidR="001818DF">
          <w:rPr>
            <w:noProof/>
            <w:webHidden/>
          </w:rPr>
          <w:fldChar w:fldCharType="begin"/>
        </w:r>
        <w:r w:rsidR="001818DF">
          <w:rPr>
            <w:noProof/>
            <w:webHidden/>
          </w:rPr>
          <w:instrText xml:space="preserve"> PAGEREF _Toc164154010 \h </w:instrText>
        </w:r>
        <w:r w:rsidR="001818DF">
          <w:rPr>
            <w:noProof/>
            <w:webHidden/>
          </w:rPr>
        </w:r>
        <w:r w:rsidR="001818DF">
          <w:rPr>
            <w:noProof/>
            <w:webHidden/>
          </w:rPr>
          <w:fldChar w:fldCharType="separate"/>
        </w:r>
        <w:r w:rsidR="009E4901">
          <w:rPr>
            <w:noProof/>
            <w:webHidden/>
          </w:rPr>
          <w:t>73</w:t>
        </w:r>
        <w:r w:rsidR="001818DF">
          <w:rPr>
            <w:noProof/>
            <w:webHidden/>
          </w:rPr>
          <w:fldChar w:fldCharType="end"/>
        </w:r>
      </w:hyperlink>
    </w:p>
    <w:p w14:paraId="2A58F3CB" w14:textId="3F8380E9" w:rsidR="001818DF" w:rsidRDefault="008975BF" w:rsidP="00264EEA">
      <w:pPr>
        <w:pStyle w:val="TableofFigures"/>
        <w:ind w:left="1276" w:hanging="1276"/>
        <w:rPr>
          <w:rFonts w:asciiTheme="minorHAnsi" w:eastAsiaTheme="minorEastAsia" w:hAnsiTheme="minorHAnsi" w:cstheme="minorBidi"/>
          <w:noProof/>
          <w:kern w:val="2"/>
          <w:sz w:val="24"/>
          <w:szCs w:val="24"/>
          <w14:ligatures w14:val="standardContextual"/>
        </w:rPr>
      </w:pPr>
      <w:hyperlink w:anchor="_Toc164154011" w:history="1">
        <w:r w:rsidR="001818DF" w:rsidRPr="002452A1">
          <w:rPr>
            <w:rStyle w:val="Hyperlink"/>
            <w:rFonts w:cs="Calibri"/>
            <w:noProof/>
          </w:rPr>
          <w:t>Figure 3.2.6</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rFonts w:cs="Calibri"/>
            <w:noProof/>
            <w:lang w:eastAsia="en-GB"/>
          </w:rPr>
          <w:t xml:space="preserve">New Zealand’s </w:t>
        </w:r>
        <w:r w:rsidR="001818DF" w:rsidRPr="002452A1">
          <w:rPr>
            <w:rStyle w:val="Hyperlink"/>
            <w:rFonts w:cs="Calibri"/>
            <w:noProof/>
          </w:rPr>
          <w:t>electricity</w:t>
        </w:r>
        <w:r w:rsidR="001818DF" w:rsidRPr="002452A1">
          <w:rPr>
            <w:rStyle w:val="Hyperlink"/>
            <w:rFonts w:cs="Calibri"/>
            <w:noProof/>
            <w:lang w:eastAsia="en-GB"/>
          </w:rPr>
          <w:t xml:space="preserve"> generation by source, from 1990 to 2022</w:t>
        </w:r>
        <w:r w:rsidR="001818DF">
          <w:rPr>
            <w:noProof/>
            <w:webHidden/>
          </w:rPr>
          <w:tab/>
        </w:r>
        <w:r w:rsidR="001818DF">
          <w:rPr>
            <w:noProof/>
            <w:webHidden/>
          </w:rPr>
          <w:fldChar w:fldCharType="begin"/>
        </w:r>
        <w:r w:rsidR="001818DF">
          <w:rPr>
            <w:noProof/>
            <w:webHidden/>
          </w:rPr>
          <w:instrText xml:space="preserve"> PAGEREF _Toc164154011 \h </w:instrText>
        </w:r>
        <w:r w:rsidR="001818DF">
          <w:rPr>
            <w:noProof/>
            <w:webHidden/>
          </w:rPr>
        </w:r>
        <w:r w:rsidR="001818DF">
          <w:rPr>
            <w:noProof/>
            <w:webHidden/>
          </w:rPr>
          <w:fldChar w:fldCharType="separate"/>
        </w:r>
        <w:r w:rsidR="009E4901">
          <w:rPr>
            <w:noProof/>
            <w:webHidden/>
          </w:rPr>
          <w:t>75</w:t>
        </w:r>
        <w:r w:rsidR="001818DF">
          <w:rPr>
            <w:noProof/>
            <w:webHidden/>
          </w:rPr>
          <w:fldChar w:fldCharType="end"/>
        </w:r>
      </w:hyperlink>
    </w:p>
    <w:p w14:paraId="318D81B9" w14:textId="03B638BA" w:rsidR="001818DF" w:rsidRDefault="008975BF" w:rsidP="00264EEA">
      <w:pPr>
        <w:pStyle w:val="TableofFigures"/>
        <w:ind w:left="1276" w:hanging="1276"/>
        <w:rPr>
          <w:rFonts w:asciiTheme="minorHAnsi" w:eastAsiaTheme="minorEastAsia" w:hAnsiTheme="minorHAnsi" w:cstheme="minorBidi"/>
          <w:noProof/>
          <w:kern w:val="2"/>
          <w:sz w:val="24"/>
          <w:szCs w:val="24"/>
          <w14:ligatures w14:val="standardContextual"/>
        </w:rPr>
      </w:pPr>
      <w:hyperlink w:anchor="_Toc164154012" w:history="1">
        <w:r w:rsidR="001818DF" w:rsidRPr="002452A1">
          <w:rPr>
            <w:rStyle w:val="Hyperlink"/>
            <w:rFonts w:cs="Calibri"/>
            <w:noProof/>
          </w:rPr>
          <w:t>Figure 3.2.7</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rFonts w:cs="Calibri"/>
            <w:noProof/>
            <w:lang w:eastAsia="en-GB"/>
          </w:rPr>
          <w:t>Decision tree to identify a main activity electricity generator or an autoproducer</w:t>
        </w:r>
        <w:r w:rsidR="001818DF">
          <w:rPr>
            <w:noProof/>
            <w:webHidden/>
          </w:rPr>
          <w:tab/>
        </w:r>
        <w:r w:rsidR="001818DF">
          <w:rPr>
            <w:noProof/>
            <w:webHidden/>
          </w:rPr>
          <w:fldChar w:fldCharType="begin"/>
        </w:r>
        <w:r w:rsidR="001818DF">
          <w:rPr>
            <w:noProof/>
            <w:webHidden/>
          </w:rPr>
          <w:instrText xml:space="preserve"> PAGEREF _Toc164154012 \h </w:instrText>
        </w:r>
        <w:r w:rsidR="001818DF">
          <w:rPr>
            <w:noProof/>
            <w:webHidden/>
          </w:rPr>
        </w:r>
        <w:r w:rsidR="001818DF">
          <w:rPr>
            <w:noProof/>
            <w:webHidden/>
          </w:rPr>
          <w:fldChar w:fldCharType="separate"/>
        </w:r>
        <w:r w:rsidR="009E4901">
          <w:rPr>
            <w:noProof/>
            <w:webHidden/>
          </w:rPr>
          <w:t>76</w:t>
        </w:r>
        <w:r w:rsidR="001818DF">
          <w:rPr>
            <w:noProof/>
            <w:webHidden/>
          </w:rPr>
          <w:fldChar w:fldCharType="end"/>
        </w:r>
      </w:hyperlink>
    </w:p>
    <w:p w14:paraId="1CB65AEB" w14:textId="3783C2FB" w:rsidR="001818DF" w:rsidRDefault="008975BF" w:rsidP="00264EEA">
      <w:pPr>
        <w:pStyle w:val="TableofFigures"/>
        <w:ind w:left="1276" w:hanging="1276"/>
        <w:rPr>
          <w:rFonts w:asciiTheme="minorHAnsi" w:eastAsiaTheme="minorEastAsia" w:hAnsiTheme="minorHAnsi" w:cstheme="minorBidi"/>
          <w:noProof/>
          <w:kern w:val="2"/>
          <w:sz w:val="24"/>
          <w:szCs w:val="24"/>
          <w14:ligatures w14:val="standardContextual"/>
        </w:rPr>
      </w:pPr>
      <w:hyperlink w:anchor="_Toc164154013" w:history="1">
        <w:r w:rsidR="001818DF" w:rsidRPr="002452A1">
          <w:rPr>
            <w:rStyle w:val="Hyperlink"/>
            <w:noProof/>
          </w:rPr>
          <w:t xml:space="preserve">Figure 3.2.8 </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 xml:space="preserve">Proportions used for </w:t>
        </w:r>
        <w:r w:rsidR="001818DF" w:rsidRPr="002452A1">
          <w:rPr>
            <w:rStyle w:val="Hyperlink"/>
            <w:i/>
            <w:iCs/>
            <w:noProof/>
          </w:rPr>
          <w:t>Manufacturing industries and construction</w:t>
        </w:r>
        <w:r w:rsidR="001818DF" w:rsidRPr="002452A1">
          <w:rPr>
            <w:rStyle w:val="Hyperlink"/>
            <w:noProof/>
          </w:rPr>
          <w:t xml:space="preserve"> category – Gasoline, from 1990 to 2022</w:t>
        </w:r>
        <w:r w:rsidR="001818DF">
          <w:rPr>
            <w:noProof/>
            <w:webHidden/>
          </w:rPr>
          <w:tab/>
        </w:r>
        <w:r w:rsidR="001818DF">
          <w:rPr>
            <w:noProof/>
            <w:webHidden/>
          </w:rPr>
          <w:fldChar w:fldCharType="begin"/>
        </w:r>
        <w:r w:rsidR="001818DF">
          <w:rPr>
            <w:noProof/>
            <w:webHidden/>
          </w:rPr>
          <w:instrText xml:space="preserve"> PAGEREF _Toc164154013 \h </w:instrText>
        </w:r>
        <w:r w:rsidR="001818DF">
          <w:rPr>
            <w:noProof/>
            <w:webHidden/>
          </w:rPr>
        </w:r>
        <w:r w:rsidR="001818DF">
          <w:rPr>
            <w:noProof/>
            <w:webHidden/>
          </w:rPr>
          <w:fldChar w:fldCharType="separate"/>
        </w:r>
        <w:r w:rsidR="009E4901">
          <w:rPr>
            <w:noProof/>
            <w:webHidden/>
          </w:rPr>
          <w:t>81</w:t>
        </w:r>
        <w:r w:rsidR="001818DF">
          <w:rPr>
            <w:noProof/>
            <w:webHidden/>
          </w:rPr>
          <w:fldChar w:fldCharType="end"/>
        </w:r>
      </w:hyperlink>
    </w:p>
    <w:p w14:paraId="1ACAB281" w14:textId="1452D4F9" w:rsidR="001818DF" w:rsidRDefault="008975BF" w:rsidP="00264EEA">
      <w:pPr>
        <w:pStyle w:val="TableofFigures"/>
        <w:ind w:left="1276" w:hanging="1276"/>
        <w:rPr>
          <w:rFonts w:asciiTheme="minorHAnsi" w:eastAsiaTheme="minorEastAsia" w:hAnsiTheme="minorHAnsi" w:cstheme="minorBidi"/>
          <w:noProof/>
          <w:kern w:val="2"/>
          <w:sz w:val="24"/>
          <w:szCs w:val="24"/>
          <w14:ligatures w14:val="standardContextual"/>
        </w:rPr>
      </w:pPr>
      <w:hyperlink w:anchor="_Toc164154014" w:history="1">
        <w:r w:rsidR="001818DF" w:rsidRPr="002452A1">
          <w:rPr>
            <w:rStyle w:val="Hyperlink"/>
            <w:noProof/>
          </w:rPr>
          <w:t xml:space="preserve">Figure 3.2.9 </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 xml:space="preserve">Proportions used for </w:t>
        </w:r>
        <w:r w:rsidR="001818DF" w:rsidRPr="002452A1">
          <w:rPr>
            <w:rStyle w:val="Hyperlink"/>
            <w:i/>
            <w:iCs/>
            <w:noProof/>
          </w:rPr>
          <w:t>Manufacturing industries and construction</w:t>
        </w:r>
        <w:r w:rsidR="001818DF" w:rsidRPr="002452A1">
          <w:rPr>
            <w:rStyle w:val="Hyperlink"/>
            <w:noProof/>
          </w:rPr>
          <w:t xml:space="preserve"> category – Diesel, from 1990 to 2022</w:t>
        </w:r>
        <w:r w:rsidR="001818DF">
          <w:rPr>
            <w:noProof/>
            <w:webHidden/>
          </w:rPr>
          <w:tab/>
        </w:r>
        <w:r w:rsidR="001818DF">
          <w:rPr>
            <w:noProof/>
            <w:webHidden/>
          </w:rPr>
          <w:fldChar w:fldCharType="begin"/>
        </w:r>
        <w:r w:rsidR="001818DF">
          <w:rPr>
            <w:noProof/>
            <w:webHidden/>
          </w:rPr>
          <w:instrText xml:space="preserve"> PAGEREF _Toc164154014 \h </w:instrText>
        </w:r>
        <w:r w:rsidR="001818DF">
          <w:rPr>
            <w:noProof/>
            <w:webHidden/>
          </w:rPr>
        </w:r>
        <w:r w:rsidR="001818DF">
          <w:rPr>
            <w:noProof/>
            <w:webHidden/>
          </w:rPr>
          <w:fldChar w:fldCharType="separate"/>
        </w:r>
        <w:r w:rsidR="009E4901">
          <w:rPr>
            <w:noProof/>
            <w:webHidden/>
          </w:rPr>
          <w:t>81</w:t>
        </w:r>
        <w:r w:rsidR="001818DF">
          <w:rPr>
            <w:noProof/>
            <w:webHidden/>
          </w:rPr>
          <w:fldChar w:fldCharType="end"/>
        </w:r>
      </w:hyperlink>
    </w:p>
    <w:p w14:paraId="6D2EBD20" w14:textId="3411A2B1" w:rsidR="001818DF" w:rsidRDefault="008975BF" w:rsidP="00264EEA">
      <w:pPr>
        <w:pStyle w:val="TableofFigures"/>
        <w:ind w:left="1276" w:hanging="1276"/>
        <w:rPr>
          <w:rFonts w:asciiTheme="minorHAnsi" w:eastAsiaTheme="minorEastAsia" w:hAnsiTheme="minorHAnsi" w:cstheme="minorBidi"/>
          <w:noProof/>
          <w:kern w:val="2"/>
          <w:sz w:val="24"/>
          <w:szCs w:val="24"/>
          <w14:ligatures w14:val="standardContextual"/>
        </w:rPr>
      </w:pPr>
      <w:hyperlink w:anchor="_Toc164154015" w:history="1">
        <w:r w:rsidR="001818DF" w:rsidRPr="002452A1">
          <w:rPr>
            <w:rStyle w:val="Hyperlink"/>
            <w:rFonts w:cs="Calibri"/>
            <w:noProof/>
          </w:rPr>
          <w:t>Figure 3.2.10</w:t>
        </w:r>
        <w:r w:rsidR="001818DF" w:rsidRPr="002452A1">
          <w:rPr>
            <w:rStyle w:val="Hyperlink"/>
            <w:rFonts w:cs="Calibri"/>
            <w:noProof/>
            <w:lang w:eastAsia="en-GB"/>
          </w:rPr>
          <w:t xml:space="preserve"> </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rFonts w:cs="Calibri"/>
            <w:noProof/>
            <w:lang w:eastAsia="en-GB"/>
          </w:rPr>
          <w:t>Splicing method decision tree for gasoline emissions</w:t>
        </w:r>
        <w:r w:rsidR="001818DF">
          <w:rPr>
            <w:noProof/>
            <w:webHidden/>
          </w:rPr>
          <w:tab/>
        </w:r>
        <w:r w:rsidR="001818DF">
          <w:rPr>
            <w:noProof/>
            <w:webHidden/>
          </w:rPr>
          <w:fldChar w:fldCharType="begin"/>
        </w:r>
        <w:r w:rsidR="001818DF">
          <w:rPr>
            <w:noProof/>
            <w:webHidden/>
          </w:rPr>
          <w:instrText xml:space="preserve"> PAGEREF _Toc164154015 \h </w:instrText>
        </w:r>
        <w:r w:rsidR="001818DF">
          <w:rPr>
            <w:noProof/>
            <w:webHidden/>
          </w:rPr>
        </w:r>
        <w:r w:rsidR="001818DF">
          <w:rPr>
            <w:noProof/>
            <w:webHidden/>
          </w:rPr>
          <w:fldChar w:fldCharType="separate"/>
        </w:r>
        <w:r w:rsidR="009E4901">
          <w:rPr>
            <w:noProof/>
            <w:webHidden/>
          </w:rPr>
          <w:t>86</w:t>
        </w:r>
        <w:r w:rsidR="001818DF">
          <w:rPr>
            <w:noProof/>
            <w:webHidden/>
          </w:rPr>
          <w:fldChar w:fldCharType="end"/>
        </w:r>
      </w:hyperlink>
    </w:p>
    <w:p w14:paraId="351A72A8" w14:textId="11CDCE63" w:rsidR="001818DF" w:rsidRDefault="008975BF" w:rsidP="00264EEA">
      <w:pPr>
        <w:pStyle w:val="TableofFigures"/>
        <w:ind w:left="1276" w:hanging="1276"/>
        <w:rPr>
          <w:rFonts w:asciiTheme="minorHAnsi" w:eastAsiaTheme="minorEastAsia" w:hAnsiTheme="minorHAnsi" w:cstheme="minorBidi"/>
          <w:noProof/>
          <w:kern w:val="2"/>
          <w:sz w:val="24"/>
          <w:szCs w:val="24"/>
          <w14:ligatures w14:val="standardContextual"/>
        </w:rPr>
      </w:pPr>
      <w:hyperlink w:anchor="_Toc164154016" w:history="1">
        <w:r w:rsidR="001818DF" w:rsidRPr="002452A1">
          <w:rPr>
            <w:rStyle w:val="Hyperlink"/>
            <w:rFonts w:cs="Calibri"/>
            <w:noProof/>
          </w:rPr>
          <w:t xml:space="preserve">Figure 3.3.1 </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rFonts w:cs="Calibri"/>
            <w:noProof/>
          </w:rPr>
          <w:t>Schematic diagram of the use of geothermal fluid for electricity generation – as at Wairakei and Ohaaki geothermal stations (New Zealand Institute of Chemistry, 1998)</w:t>
        </w:r>
        <w:r w:rsidR="001818DF">
          <w:rPr>
            <w:noProof/>
            <w:webHidden/>
          </w:rPr>
          <w:tab/>
        </w:r>
        <w:r w:rsidR="001818DF">
          <w:rPr>
            <w:noProof/>
            <w:webHidden/>
          </w:rPr>
          <w:fldChar w:fldCharType="begin"/>
        </w:r>
        <w:r w:rsidR="001818DF">
          <w:rPr>
            <w:noProof/>
            <w:webHidden/>
          </w:rPr>
          <w:instrText xml:space="preserve"> PAGEREF _Toc164154016 \h </w:instrText>
        </w:r>
        <w:r w:rsidR="001818DF">
          <w:rPr>
            <w:noProof/>
            <w:webHidden/>
          </w:rPr>
        </w:r>
        <w:r w:rsidR="001818DF">
          <w:rPr>
            <w:noProof/>
            <w:webHidden/>
          </w:rPr>
          <w:fldChar w:fldCharType="separate"/>
        </w:r>
        <w:r w:rsidR="009E4901">
          <w:rPr>
            <w:noProof/>
            <w:webHidden/>
          </w:rPr>
          <w:t>99</w:t>
        </w:r>
        <w:r w:rsidR="001818DF">
          <w:rPr>
            <w:noProof/>
            <w:webHidden/>
          </w:rPr>
          <w:fldChar w:fldCharType="end"/>
        </w:r>
      </w:hyperlink>
    </w:p>
    <w:p w14:paraId="52AD5E96" w14:textId="298E534D" w:rsidR="001818DF" w:rsidRDefault="008975BF" w:rsidP="00264EEA">
      <w:pPr>
        <w:pStyle w:val="TableofFigures"/>
        <w:ind w:left="1276" w:hanging="1276"/>
        <w:rPr>
          <w:rFonts w:asciiTheme="minorHAnsi" w:eastAsiaTheme="minorEastAsia" w:hAnsiTheme="minorHAnsi" w:cstheme="minorBidi"/>
          <w:noProof/>
          <w:kern w:val="2"/>
          <w:sz w:val="24"/>
          <w:szCs w:val="24"/>
          <w14:ligatures w14:val="standardContextual"/>
        </w:rPr>
      </w:pPr>
      <w:hyperlink w:anchor="_Toc164154017" w:history="1">
        <w:r w:rsidR="001818DF" w:rsidRPr="002452A1">
          <w:rPr>
            <w:rStyle w:val="Hyperlink"/>
            <w:noProof/>
          </w:rPr>
          <w:t>Figure 4.1.1</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New Zealand’s annual emissions from the IPPU sector, from 1990 to 2022</w:t>
        </w:r>
        <w:r w:rsidR="001818DF">
          <w:rPr>
            <w:noProof/>
            <w:webHidden/>
          </w:rPr>
          <w:tab/>
        </w:r>
        <w:r w:rsidR="001818DF">
          <w:rPr>
            <w:noProof/>
            <w:webHidden/>
          </w:rPr>
          <w:fldChar w:fldCharType="begin"/>
        </w:r>
        <w:r w:rsidR="001818DF">
          <w:rPr>
            <w:noProof/>
            <w:webHidden/>
          </w:rPr>
          <w:instrText xml:space="preserve"> PAGEREF _Toc164154017 \h </w:instrText>
        </w:r>
        <w:r w:rsidR="001818DF">
          <w:rPr>
            <w:noProof/>
            <w:webHidden/>
          </w:rPr>
        </w:r>
        <w:r w:rsidR="001818DF">
          <w:rPr>
            <w:noProof/>
            <w:webHidden/>
          </w:rPr>
          <w:fldChar w:fldCharType="separate"/>
        </w:r>
        <w:r w:rsidR="009E4901">
          <w:rPr>
            <w:noProof/>
            <w:webHidden/>
          </w:rPr>
          <w:t>108</w:t>
        </w:r>
        <w:r w:rsidR="001818DF">
          <w:rPr>
            <w:noProof/>
            <w:webHidden/>
          </w:rPr>
          <w:fldChar w:fldCharType="end"/>
        </w:r>
      </w:hyperlink>
    </w:p>
    <w:p w14:paraId="60128C3D" w14:textId="2EFD2A8F" w:rsidR="001818DF" w:rsidRDefault="008975BF" w:rsidP="00264EEA">
      <w:pPr>
        <w:pStyle w:val="TableofFigures"/>
        <w:ind w:left="1276" w:hanging="1276"/>
        <w:rPr>
          <w:rFonts w:asciiTheme="minorHAnsi" w:eastAsiaTheme="minorEastAsia" w:hAnsiTheme="minorHAnsi" w:cstheme="minorBidi"/>
          <w:noProof/>
          <w:kern w:val="2"/>
          <w:sz w:val="24"/>
          <w:szCs w:val="24"/>
          <w14:ligatures w14:val="standardContextual"/>
        </w:rPr>
      </w:pPr>
      <w:hyperlink w:anchor="_Toc164154018" w:history="1">
        <w:r w:rsidR="001818DF" w:rsidRPr="002452A1">
          <w:rPr>
            <w:rStyle w:val="Hyperlink"/>
            <w:noProof/>
          </w:rPr>
          <w:t>Figure 4.1.2</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New Zealand’s emissions from the IPPU sector in 1990 and 2022</w:t>
        </w:r>
        <w:r w:rsidR="001818DF">
          <w:rPr>
            <w:noProof/>
            <w:webHidden/>
          </w:rPr>
          <w:tab/>
        </w:r>
        <w:r w:rsidR="001818DF">
          <w:rPr>
            <w:noProof/>
            <w:webHidden/>
          </w:rPr>
          <w:fldChar w:fldCharType="begin"/>
        </w:r>
        <w:r w:rsidR="001818DF">
          <w:rPr>
            <w:noProof/>
            <w:webHidden/>
          </w:rPr>
          <w:instrText xml:space="preserve"> PAGEREF _Toc164154018 \h </w:instrText>
        </w:r>
        <w:r w:rsidR="001818DF">
          <w:rPr>
            <w:noProof/>
            <w:webHidden/>
          </w:rPr>
        </w:r>
        <w:r w:rsidR="001818DF">
          <w:rPr>
            <w:noProof/>
            <w:webHidden/>
          </w:rPr>
          <w:fldChar w:fldCharType="separate"/>
        </w:r>
        <w:r w:rsidR="009E4901">
          <w:rPr>
            <w:noProof/>
            <w:webHidden/>
          </w:rPr>
          <w:t>108</w:t>
        </w:r>
        <w:r w:rsidR="001818DF">
          <w:rPr>
            <w:noProof/>
            <w:webHidden/>
          </w:rPr>
          <w:fldChar w:fldCharType="end"/>
        </w:r>
      </w:hyperlink>
    </w:p>
    <w:p w14:paraId="429AE1A4" w14:textId="2FCB7DBD" w:rsidR="001818DF" w:rsidRDefault="008975BF" w:rsidP="00264EEA">
      <w:pPr>
        <w:pStyle w:val="TableofFigures"/>
        <w:ind w:left="1276" w:hanging="1276"/>
        <w:rPr>
          <w:rFonts w:asciiTheme="minorHAnsi" w:eastAsiaTheme="minorEastAsia" w:hAnsiTheme="minorHAnsi" w:cstheme="minorBidi"/>
          <w:noProof/>
          <w:kern w:val="2"/>
          <w:sz w:val="24"/>
          <w:szCs w:val="24"/>
          <w14:ligatures w14:val="standardContextual"/>
        </w:rPr>
      </w:pPr>
      <w:hyperlink w:anchor="_Toc164154019" w:history="1">
        <w:r w:rsidR="001818DF" w:rsidRPr="002452A1">
          <w:rPr>
            <w:rStyle w:val="Hyperlink"/>
            <w:noProof/>
          </w:rPr>
          <w:t xml:space="preserve">Figure 4.1.3 </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Example: Tier 1 quality checks for the IPPU sector</w:t>
        </w:r>
        <w:r w:rsidR="001818DF">
          <w:rPr>
            <w:noProof/>
            <w:webHidden/>
          </w:rPr>
          <w:tab/>
        </w:r>
        <w:r w:rsidR="001818DF">
          <w:rPr>
            <w:noProof/>
            <w:webHidden/>
          </w:rPr>
          <w:fldChar w:fldCharType="begin"/>
        </w:r>
        <w:r w:rsidR="001818DF">
          <w:rPr>
            <w:noProof/>
            <w:webHidden/>
          </w:rPr>
          <w:instrText xml:space="preserve"> PAGEREF _Toc164154019 \h </w:instrText>
        </w:r>
        <w:r w:rsidR="001818DF">
          <w:rPr>
            <w:noProof/>
            <w:webHidden/>
          </w:rPr>
        </w:r>
        <w:r w:rsidR="001818DF">
          <w:rPr>
            <w:noProof/>
            <w:webHidden/>
          </w:rPr>
          <w:fldChar w:fldCharType="separate"/>
        </w:r>
        <w:r w:rsidR="009E4901">
          <w:rPr>
            <w:noProof/>
            <w:webHidden/>
          </w:rPr>
          <w:t>111</w:t>
        </w:r>
        <w:r w:rsidR="001818DF">
          <w:rPr>
            <w:noProof/>
            <w:webHidden/>
          </w:rPr>
          <w:fldChar w:fldCharType="end"/>
        </w:r>
      </w:hyperlink>
    </w:p>
    <w:p w14:paraId="4ACF367B" w14:textId="1721A9EA" w:rsidR="001818DF" w:rsidRDefault="008975BF" w:rsidP="00264EEA">
      <w:pPr>
        <w:pStyle w:val="TableofFigures"/>
        <w:ind w:left="1276" w:hanging="1276"/>
        <w:rPr>
          <w:rFonts w:asciiTheme="minorHAnsi" w:eastAsiaTheme="minorEastAsia" w:hAnsiTheme="minorHAnsi" w:cstheme="minorBidi"/>
          <w:noProof/>
          <w:kern w:val="2"/>
          <w:sz w:val="24"/>
          <w:szCs w:val="24"/>
          <w14:ligatures w14:val="standardContextual"/>
        </w:rPr>
      </w:pPr>
      <w:hyperlink w:anchor="_Toc164154020" w:history="1">
        <w:r w:rsidR="001818DF" w:rsidRPr="002452A1">
          <w:rPr>
            <w:rStyle w:val="Hyperlink"/>
            <w:noProof/>
          </w:rPr>
          <w:t xml:space="preserve">Figure 4.4.1 </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Simplified schematic of iron and steel production in New Zealand</w:t>
        </w:r>
        <w:r w:rsidR="001818DF">
          <w:rPr>
            <w:noProof/>
            <w:webHidden/>
          </w:rPr>
          <w:tab/>
        </w:r>
        <w:r w:rsidR="001818DF">
          <w:rPr>
            <w:noProof/>
            <w:webHidden/>
          </w:rPr>
          <w:fldChar w:fldCharType="begin"/>
        </w:r>
        <w:r w:rsidR="001818DF">
          <w:rPr>
            <w:noProof/>
            <w:webHidden/>
          </w:rPr>
          <w:instrText xml:space="preserve"> PAGEREF _Toc164154020 \h </w:instrText>
        </w:r>
        <w:r w:rsidR="001818DF">
          <w:rPr>
            <w:noProof/>
            <w:webHidden/>
          </w:rPr>
        </w:r>
        <w:r w:rsidR="001818DF">
          <w:rPr>
            <w:noProof/>
            <w:webHidden/>
          </w:rPr>
          <w:fldChar w:fldCharType="separate"/>
        </w:r>
        <w:r w:rsidR="009E4901">
          <w:rPr>
            <w:noProof/>
            <w:webHidden/>
          </w:rPr>
          <w:t>122</w:t>
        </w:r>
        <w:r w:rsidR="001818DF">
          <w:rPr>
            <w:noProof/>
            <w:webHidden/>
          </w:rPr>
          <w:fldChar w:fldCharType="end"/>
        </w:r>
      </w:hyperlink>
    </w:p>
    <w:p w14:paraId="0A69E7BA" w14:textId="2BC4773B" w:rsidR="001818DF" w:rsidRDefault="008975BF" w:rsidP="00264EEA">
      <w:pPr>
        <w:pStyle w:val="TableofFigures"/>
        <w:ind w:left="1276" w:hanging="1276"/>
        <w:rPr>
          <w:rFonts w:asciiTheme="minorHAnsi" w:eastAsiaTheme="minorEastAsia" w:hAnsiTheme="minorHAnsi" w:cstheme="minorBidi"/>
          <w:noProof/>
          <w:kern w:val="2"/>
          <w:sz w:val="24"/>
          <w:szCs w:val="24"/>
          <w14:ligatures w14:val="standardContextual"/>
        </w:rPr>
      </w:pPr>
      <w:hyperlink w:anchor="_Toc164154021" w:history="1">
        <w:r w:rsidR="001818DF" w:rsidRPr="002452A1">
          <w:rPr>
            <w:rStyle w:val="Hyperlink"/>
            <w:noProof/>
          </w:rPr>
          <w:t>Figure 5.1.1</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New Zealand’s emissions from the Agriculture sector, from 1990 to 2022</w:t>
        </w:r>
        <w:r w:rsidR="001818DF">
          <w:rPr>
            <w:noProof/>
            <w:webHidden/>
          </w:rPr>
          <w:tab/>
        </w:r>
        <w:r w:rsidR="001818DF">
          <w:rPr>
            <w:noProof/>
            <w:webHidden/>
          </w:rPr>
          <w:fldChar w:fldCharType="begin"/>
        </w:r>
        <w:r w:rsidR="001818DF">
          <w:rPr>
            <w:noProof/>
            <w:webHidden/>
          </w:rPr>
          <w:instrText xml:space="preserve"> PAGEREF _Toc164154021 \h </w:instrText>
        </w:r>
        <w:r w:rsidR="001818DF">
          <w:rPr>
            <w:noProof/>
            <w:webHidden/>
          </w:rPr>
        </w:r>
        <w:r w:rsidR="001818DF">
          <w:rPr>
            <w:noProof/>
            <w:webHidden/>
          </w:rPr>
          <w:fldChar w:fldCharType="separate"/>
        </w:r>
        <w:r w:rsidR="009E4901">
          <w:rPr>
            <w:noProof/>
            <w:webHidden/>
          </w:rPr>
          <w:t>144</w:t>
        </w:r>
        <w:r w:rsidR="001818DF">
          <w:rPr>
            <w:noProof/>
            <w:webHidden/>
          </w:rPr>
          <w:fldChar w:fldCharType="end"/>
        </w:r>
      </w:hyperlink>
    </w:p>
    <w:p w14:paraId="1BEB7249" w14:textId="59C3147A" w:rsidR="001818DF" w:rsidRDefault="008975BF" w:rsidP="00264EEA">
      <w:pPr>
        <w:pStyle w:val="TableofFigures"/>
        <w:ind w:left="1276" w:hanging="1276"/>
        <w:rPr>
          <w:rFonts w:asciiTheme="minorHAnsi" w:eastAsiaTheme="minorEastAsia" w:hAnsiTheme="minorHAnsi" w:cstheme="minorBidi"/>
          <w:noProof/>
          <w:kern w:val="2"/>
          <w:sz w:val="24"/>
          <w:szCs w:val="24"/>
          <w14:ligatures w14:val="standardContextual"/>
        </w:rPr>
      </w:pPr>
      <w:hyperlink w:anchor="_Toc164154022" w:history="1">
        <w:r w:rsidR="001818DF" w:rsidRPr="002452A1">
          <w:rPr>
            <w:rStyle w:val="Hyperlink"/>
            <w:noProof/>
          </w:rPr>
          <w:t>Figure 5.1.2</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New Zealand’s Agriculture sector emissions, from 1990 to 2022</w:t>
        </w:r>
        <w:r w:rsidR="001818DF">
          <w:rPr>
            <w:noProof/>
            <w:webHidden/>
          </w:rPr>
          <w:tab/>
        </w:r>
        <w:r w:rsidR="001818DF">
          <w:rPr>
            <w:noProof/>
            <w:webHidden/>
          </w:rPr>
          <w:fldChar w:fldCharType="begin"/>
        </w:r>
        <w:r w:rsidR="001818DF">
          <w:rPr>
            <w:noProof/>
            <w:webHidden/>
          </w:rPr>
          <w:instrText xml:space="preserve"> PAGEREF _Toc164154022 \h </w:instrText>
        </w:r>
        <w:r w:rsidR="001818DF">
          <w:rPr>
            <w:noProof/>
            <w:webHidden/>
          </w:rPr>
        </w:r>
        <w:r w:rsidR="001818DF">
          <w:rPr>
            <w:noProof/>
            <w:webHidden/>
          </w:rPr>
          <w:fldChar w:fldCharType="separate"/>
        </w:r>
        <w:r w:rsidR="009E4901">
          <w:rPr>
            <w:noProof/>
            <w:webHidden/>
          </w:rPr>
          <w:t>145</w:t>
        </w:r>
        <w:r w:rsidR="001818DF">
          <w:rPr>
            <w:noProof/>
            <w:webHidden/>
          </w:rPr>
          <w:fldChar w:fldCharType="end"/>
        </w:r>
      </w:hyperlink>
    </w:p>
    <w:p w14:paraId="328C1856" w14:textId="016CA850" w:rsidR="001818DF" w:rsidRDefault="008975BF" w:rsidP="00264EEA">
      <w:pPr>
        <w:pStyle w:val="TableofFigures"/>
        <w:tabs>
          <w:tab w:val="left" w:pos="1701"/>
        </w:tabs>
        <w:ind w:left="1276" w:hanging="1276"/>
        <w:rPr>
          <w:rFonts w:asciiTheme="minorHAnsi" w:eastAsiaTheme="minorEastAsia" w:hAnsiTheme="minorHAnsi" w:cstheme="minorBidi"/>
          <w:noProof/>
          <w:kern w:val="2"/>
          <w:sz w:val="24"/>
          <w:szCs w:val="24"/>
          <w14:ligatures w14:val="standardContextual"/>
        </w:rPr>
      </w:pPr>
      <w:hyperlink w:anchor="_Toc164154023" w:history="1">
        <w:r w:rsidR="001818DF" w:rsidRPr="002452A1">
          <w:rPr>
            <w:rStyle w:val="Hyperlink"/>
            <w:noProof/>
          </w:rPr>
          <w:t>Figure 5.1.3(a)</w:t>
        </w:r>
        <w:r w:rsidR="00773F98">
          <w:rPr>
            <w:rStyle w:val="Hyperlink"/>
            <w:noProof/>
          </w:rPr>
          <w:tab/>
        </w:r>
        <w:r w:rsidR="001818DF" w:rsidRPr="002452A1">
          <w:rPr>
            <w:rStyle w:val="Hyperlink"/>
            <w:noProof/>
          </w:rPr>
          <w:t>Populations of New Zealand’s dairy cattle, non-dairy cattle and deer, from 1990 to 2022  (June year ending)</w:t>
        </w:r>
        <w:r w:rsidR="001818DF">
          <w:rPr>
            <w:noProof/>
            <w:webHidden/>
          </w:rPr>
          <w:tab/>
        </w:r>
        <w:r w:rsidR="001818DF">
          <w:rPr>
            <w:noProof/>
            <w:webHidden/>
          </w:rPr>
          <w:fldChar w:fldCharType="begin"/>
        </w:r>
        <w:r w:rsidR="001818DF">
          <w:rPr>
            <w:noProof/>
            <w:webHidden/>
          </w:rPr>
          <w:instrText xml:space="preserve"> PAGEREF _Toc164154023 \h </w:instrText>
        </w:r>
        <w:r w:rsidR="001818DF">
          <w:rPr>
            <w:noProof/>
            <w:webHidden/>
          </w:rPr>
        </w:r>
        <w:r w:rsidR="001818DF">
          <w:rPr>
            <w:noProof/>
            <w:webHidden/>
          </w:rPr>
          <w:fldChar w:fldCharType="separate"/>
        </w:r>
        <w:r w:rsidR="009E4901">
          <w:rPr>
            <w:noProof/>
            <w:webHidden/>
          </w:rPr>
          <w:t>147</w:t>
        </w:r>
        <w:r w:rsidR="001818DF">
          <w:rPr>
            <w:noProof/>
            <w:webHidden/>
          </w:rPr>
          <w:fldChar w:fldCharType="end"/>
        </w:r>
      </w:hyperlink>
    </w:p>
    <w:p w14:paraId="438E6F76" w14:textId="4A1BA89E" w:rsidR="001818DF" w:rsidRDefault="008975BF" w:rsidP="00773F98">
      <w:pPr>
        <w:pStyle w:val="TableofFigures"/>
        <w:tabs>
          <w:tab w:val="left" w:pos="1701"/>
        </w:tabs>
        <w:rPr>
          <w:rFonts w:asciiTheme="minorHAnsi" w:eastAsiaTheme="minorEastAsia" w:hAnsiTheme="minorHAnsi" w:cstheme="minorBidi"/>
          <w:noProof/>
          <w:kern w:val="2"/>
          <w:sz w:val="24"/>
          <w:szCs w:val="24"/>
          <w14:ligatures w14:val="standardContextual"/>
        </w:rPr>
      </w:pPr>
      <w:hyperlink w:anchor="_Toc164154024" w:history="1">
        <w:r w:rsidR="001818DF" w:rsidRPr="002452A1">
          <w:rPr>
            <w:rStyle w:val="Hyperlink"/>
            <w:noProof/>
          </w:rPr>
          <w:t>Figure 5.1.3(b)</w:t>
        </w:r>
        <w:r w:rsidR="00773F98">
          <w:rPr>
            <w:rStyle w:val="Hyperlink"/>
            <w:noProof/>
          </w:rPr>
          <w:tab/>
        </w:r>
        <w:r w:rsidR="001818DF" w:rsidRPr="002452A1">
          <w:rPr>
            <w:rStyle w:val="Hyperlink"/>
            <w:noProof/>
          </w:rPr>
          <w:t>Population of New Zealand’s sheep, from 1990 to 2022 (June year ending)</w:t>
        </w:r>
        <w:r w:rsidR="001818DF">
          <w:rPr>
            <w:noProof/>
            <w:webHidden/>
          </w:rPr>
          <w:tab/>
        </w:r>
        <w:r w:rsidR="001818DF">
          <w:rPr>
            <w:noProof/>
            <w:webHidden/>
          </w:rPr>
          <w:fldChar w:fldCharType="begin"/>
        </w:r>
        <w:r w:rsidR="001818DF">
          <w:rPr>
            <w:noProof/>
            <w:webHidden/>
          </w:rPr>
          <w:instrText xml:space="preserve"> PAGEREF _Toc164154024 \h </w:instrText>
        </w:r>
        <w:r w:rsidR="001818DF">
          <w:rPr>
            <w:noProof/>
            <w:webHidden/>
          </w:rPr>
        </w:r>
        <w:r w:rsidR="001818DF">
          <w:rPr>
            <w:noProof/>
            <w:webHidden/>
          </w:rPr>
          <w:fldChar w:fldCharType="separate"/>
        </w:r>
        <w:r w:rsidR="009E4901">
          <w:rPr>
            <w:noProof/>
            <w:webHidden/>
          </w:rPr>
          <w:t>147</w:t>
        </w:r>
        <w:r w:rsidR="001818DF">
          <w:rPr>
            <w:noProof/>
            <w:webHidden/>
          </w:rPr>
          <w:fldChar w:fldCharType="end"/>
        </w:r>
      </w:hyperlink>
    </w:p>
    <w:p w14:paraId="4A56E200" w14:textId="5796B826" w:rsidR="001818DF" w:rsidRDefault="008975BF" w:rsidP="00773F98">
      <w:pPr>
        <w:pStyle w:val="TableofFigures"/>
        <w:rPr>
          <w:rFonts w:asciiTheme="minorHAnsi" w:eastAsiaTheme="minorEastAsia" w:hAnsiTheme="minorHAnsi" w:cstheme="minorBidi"/>
          <w:noProof/>
          <w:kern w:val="2"/>
          <w:sz w:val="24"/>
          <w:szCs w:val="24"/>
          <w14:ligatures w14:val="standardContextual"/>
        </w:rPr>
      </w:pPr>
      <w:hyperlink w:anchor="_Toc164154025" w:history="1">
        <w:r w:rsidR="001818DF" w:rsidRPr="002452A1">
          <w:rPr>
            <w:rStyle w:val="Hyperlink"/>
            <w:noProof/>
          </w:rPr>
          <w:t>Figure 5.1.4</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Dairy milk productivity and implied enteric fermentation methane emission factors for all dairy cows, from 1990 to 2022</w:t>
        </w:r>
        <w:r w:rsidR="001818DF">
          <w:rPr>
            <w:noProof/>
            <w:webHidden/>
          </w:rPr>
          <w:tab/>
        </w:r>
        <w:r w:rsidR="001818DF">
          <w:rPr>
            <w:noProof/>
            <w:webHidden/>
          </w:rPr>
          <w:fldChar w:fldCharType="begin"/>
        </w:r>
        <w:r w:rsidR="001818DF">
          <w:rPr>
            <w:noProof/>
            <w:webHidden/>
          </w:rPr>
          <w:instrText xml:space="preserve"> PAGEREF _Toc164154025 \h </w:instrText>
        </w:r>
        <w:r w:rsidR="001818DF">
          <w:rPr>
            <w:noProof/>
            <w:webHidden/>
          </w:rPr>
        </w:r>
        <w:r w:rsidR="001818DF">
          <w:rPr>
            <w:noProof/>
            <w:webHidden/>
          </w:rPr>
          <w:fldChar w:fldCharType="separate"/>
        </w:r>
        <w:r w:rsidR="009E4901">
          <w:rPr>
            <w:noProof/>
            <w:webHidden/>
          </w:rPr>
          <w:t>148</w:t>
        </w:r>
        <w:r w:rsidR="001818DF">
          <w:rPr>
            <w:noProof/>
            <w:webHidden/>
          </w:rPr>
          <w:fldChar w:fldCharType="end"/>
        </w:r>
      </w:hyperlink>
    </w:p>
    <w:p w14:paraId="0228F591" w14:textId="057319F4"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4026" w:history="1">
        <w:r w:rsidR="001818DF" w:rsidRPr="002452A1">
          <w:rPr>
            <w:rStyle w:val="Hyperlink"/>
            <w:noProof/>
          </w:rPr>
          <w:t xml:space="preserve">Figure 5.1.5 </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Simplified methodology for calculating emissions for major ruminant livestock categories</w:t>
        </w:r>
        <w:r w:rsidR="001818DF">
          <w:rPr>
            <w:noProof/>
            <w:webHidden/>
          </w:rPr>
          <w:tab/>
        </w:r>
        <w:r w:rsidR="001818DF">
          <w:rPr>
            <w:noProof/>
            <w:webHidden/>
          </w:rPr>
          <w:fldChar w:fldCharType="begin"/>
        </w:r>
        <w:r w:rsidR="001818DF">
          <w:rPr>
            <w:noProof/>
            <w:webHidden/>
          </w:rPr>
          <w:instrText xml:space="preserve"> PAGEREF _Toc164154026 \h </w:instrText>
        </w:r>
        <w:r w:rsidR="001818DF">
          <w:rPr>
            <w:noProof/>
            <w:webHidden/>
          </w:rPr>
        </w:r>
        <w:r w:rsidR="001818DF">
          <w:rPr>
            <w:noProof/>
            <w:webHidden/>
          </w:rPr>
          <w:fldChar w:fldCharType="separate"/>
        </w:r>
        <w:r w:rsidR="009E4901">
          <w:rPr>
            <w:noProof/>
            <w:webHidden/>
          </w:rPr>
          <w:t>152</w:t>
        </w:r>
        <w:r w:rsidR="001818DF">
          <w:rPr>
            <w:noProof/>
            <w:webHidden/>
          </w:rPr>
          <w:fldChar w:fldCharType="end"/>
        </w:r>
      </w:hyperlink>
    </w:p>
    <w:p w14:paraId="78616DCD" w14:textId="32AF1369"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4027" w:history="1">
        <w:r w:rsidR="001818DF" w:rsidRPr="002452A1">
          <w:rPr>
            <w:rStyle w:val="Hyperlink"/>
            <w:noProof/>
          </w:rPr>
          <w:t xml:space="preserve">Figure 5.1.6 </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National monthly milk production in New Zealand, from 2019 to 2022</w:t>
        </w:r>
        <w:r w:rsidR="001818DF">
          <w:rPr>
            <w:noProof/>
            <w:webHidden/>
          </w:rPr>
          <w:tab/>
        </w:r>
        <w:r w:rsidR="001818DF">
          <w:rPr>
            <w:noProof/>
            <w:webHidden/>
          </w:rPr>
          <w:fldChar w:fldCharType="begin"/>
        </w:r>
        <w:r w:rsidR="001818DF">
          <w:rPr>
            <w:noProof/>
            <w:webHidden/>
          </w:rPr>
          <w:instrText xml:space="preserve"> PAGEREF _Toc164154027 \h </w:instrText>
        </w:r>
        <w:r w:rsidR="001818DF">
          <w:rPr>
            <w:noProof/>
            <w:webHidden/>
          </w:rPr>
        </w:r>
        <w:r w:rsidR="001818DF">
          <w:rPr>
            <w:noProof/>
            <w:webHidden/>
          </w:rPr>
          <w:fldChar w:fldCharType="separate"/>
        </w:r>
        <w:r w:rsidR="009E4901">
          <w:rPr>
            <w:noProof/>
            <w:webHidden/>
          </w:rPr>
          <w:t>157</w:t>
        </w:r>
        <w:r w:rsidR="001818DF">
          <w:rPr>
            <w:noProof/>
            <w:webHidden/>
          </w:rPr>
          <w:fldChar w:fldCharType="end"/>
        </w:r>
      </w:hyperlink>
    </w:p>
    <w:p w14:paraId="4CBE3F2B" w14:textId="6935E37D"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4028" w:history="1">
        <w:r w:rsidR="001818DF" w:rsidRPr="002452A1">
          <w:rPr>
            <w:rStyle w:val="Hyperlink"/>
            <w:noProof/>
          </w:rPr>
          <w:t xml:space="preserve">Figure 5.1.7 </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Agriculture sectoral approval process for inventory recalculations and improvements</w:t>
        </w:r>
        <w:r w:rsidR="001818DF">
          <w:rPr>
            <w:noProof/>
            <w:webHidden/>
          </w:rPr>
          <w:tab/>
        </w:r>
        <w:r w:rsidR="001818DF">
          <w:rPr>
            <w:noProof/>
            <w:webHidden/>
          </w:rPr>
          <w:fldChar w:fldCharType="begin"/>
        </w:r>
        <w:r w:rsidR="001818DF">
          <w:rPr>
            <w:noProof/>
            <w:webHidden/>
          </w:rPr>
          <w:instrText xml:space="preserve"> PAGEREF _Toc164154028 \h </w:instrText>
        </w:r>
        <w:r w:rsidR="001818DF">
          <w:rPr>
            <w:noProof/>
            <w:webHidden/>
          </w:rPr>
        </w:r>
        <w:r w:rsidR="001818DF">
          <w:rPr>
            <w:noProof/>
            <w:webHidden/>
          </w:rPr>
          <w:fldChar w:fldCharType="separate"/>
        </w:r>
        <w:r w:rsidR="009E4901">
          <w:rPr>
            <w:noProof/>
            <w:webHidden/>
          </w:rPr>
          <w:t>162</w:t>
        </w:r>
        <w:r w:rsidR="001818DF">
          <w:rPr>
            <w:noProof/>
            <w:webHidden/>
          </w:rPr>
          <w:fldChar w:fldCharType="end"/>
        </w:r>
      </w:hyperlink>
    </w:p>
    <w:p w14:paraId="398A428B" w14:textId="69319240"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4029" w:history="1">
        <w:r w:rsidR="001818DF" w:rsidRPr="002452A1">
          <w:rPr>
            <w:rStyle w:val="Hyperlink"/>
            <w:noProof/>
          </w:rPr>
          <w:t>Figure 5.2.1</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Schematic diagram showing how New Zealand’s emissions from enteric fermentation for cattle and deer are calculated</w:t>
        </w:r>
        <w:r w:rsidR="001818DF">
          <w:rPr>
            <w:noProof/>
            <w:webHidden/>
          </w:rPr>
          <w:tab/>
        </w:r>
        <w:r w:rsidR="001818DF">
          <w:rPr>
            <w:noProof/>
            <w:webHidden/>
          </w:rPr>
          <w:fldChar w:fldCharType="begin"/>
        </w:r>
        <w:r w:rsidR="001818DF">
          <w:rPr>
            <w:noProof/>
            <w:webHidden/>
          </w:rPr>
          <w:instrText xml:space="preserve"> PAGEREF _Toc164154029 \h </w:instrText>
        </w:r>
        <w:r w:rsidR="001818DF">
          <w:rPr>
            <w:noProof/>
            <w:webHidden/>
          </w:rPr>
        </w:r>
        <w:r w:rsidR="001818DF">
          <w:rPr>
            <w:noProof/>
            <w:webHidden/>
          </w:rPr>
          <w:fldChar w:fldCharType="separate"/>
        </w:r>
        <w:r w:rsidR="009E4901">
          <w:rPr>
            <w:noProof/>
            <w:webHidden/>
          </w:rPr>
          <w:t>171</w:t>
        </w:r>
        <w:r w:rsidR="001818DF">
          <w:rPr>
            <w:noProof/>
            <w:webHidden/>
          </w:rPr>
          <w:fldChar w:fldCharType="end"/>
        </w:r>
      </w:hyperlink>
    </w:p>
    <w:p w14:paraId="082793E2" w14:textId="6A02C15D"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4030" w:history="1">
        <w:r w:rsidR="001818DF" w:rsidRPr="002452A1">
          <w:rPr>
            <w:rStyle w:val="Hyperlink"/>
            <w:noProof/>
          </w:rPr>
          <w:t>Figure 5.5.1</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 xml:space="preserve">Sources of nitrous oxide emissions from </w:t>
        </w:r>
        <w:r w:rsidR="001818DF" w:rsidRPr="002452A1">
          <w:rPr>
            <w:rStyle w:val="Hyperlink"/>
            <w:i/>
            <w:iCs/>
            <w:noProof/>
          </w:rPr>
          <w:t>Agricultural soils</w:t>
        </w:r>
        <w:r w:rsidR="001818DF" w:rsidRPr="002452A1">
          <w:rPr>
            <w:rStyle w:val="Hyperlink"/>
            <w:noProof/>
          </w:rPr>
          <w:t>, showing the contribution of each source to emissions through both direct and indirect pathways</w:t>
        </w:r>
        <w:r w:rsidR="001818DF">
          <w:rPr>
            <w:noProof/>
            <w:webHidden/>
          </w:rPr>
          <w:tab/>
        </w:r>
        <w:r w:rsidR="001818DF">
          <w:rPr>
            <w:noProof/>
            <w:webHidden/>
          </w:rPr>
          <w:fldChar w:fldCharType="begin"/>
        </w:r>
        <w:r w:rsidR="001818DF">
          <w:rPr>
            <w:noProof/>
            <w:webHidden/>
          </w:rPr>
          <w:instrText xml:space="preserve"> PAGEREF _Toc164154030 \h </w:instrText>
        </w:r>
        <w:r w:rsidR="001818DF">
          <w:rPr>
            <w:noProof/>
            <w:webHidden/>
          </w:rPr>
        </w:r>
        <w:r w:rsidR="001818DF">
          <w:rPr>
            <w:noProof/>
            <w:webHidden/>
          </w:rPr>
          <w:fldChar w:fldCharType="separate"/>
        </w:r>
        <w:r w:rsidR="009E4901">
          <w:rPr>
            <w:noProof/>
            <w:webHidden/>
          </w:rPr>
          <w:t>198</w:t>
        </w:r>
        <w:r w:rsidR="001818DF">
          <w:rPr>
            <w:noProof/>
            <w:webHidden/>
          </w:rPr>
          <w:fldChar w:fldCharType="end"/>
        </w:r>
      </w:hyperlink>
    </w:p>
    <w:p w14:paraId="71610038" w14:textId="359AE8EA"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4031" w:history="1">
        <w:r w:rsidR="001818DF" w:rsidRPr="002452A1">
          <w:rPr>
            <w:rStyle w:val="Hyperlink"/>
            <w:noProof/>
          </w:rPr>
          <w:t>Figure 5.5.2</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Synthetic nitrogen fertiliser use in New Zealand, from 1990 to 2022</w:t>
        </w:r>
        <w:r w:rsidR="001818DF">
          <w:rPr>
            <w:noProof/>
            <w:webHidden/>
          </w:rPr>
          <w:tab/>
        </w:r>
        <w:r w:rsidR="001818DF">
          <w:rPr>
            <w:noProof/>
            <w:webHidden/>
          </w:rPr>
          <w:fldChar w:fldCharType="begin"/>
        </w:r>
        <w:r w:rsidR="001818DF">
          <w:rPr>
            <w:noProof/>
            <w:webHidden/>
          </w:rPr>
          <w:instrText xml:space="preserve"> PAGEREF _Toc164154031 \h </w:instrText>
        </w:r>
        <w:r w:rsidR="001818DF">
          <w:rPr>
            <w:noProof/>
            <w:webHidden/>
          </w:rPr>
        </w:r>
        <w:r w:rsidR="001818DF">
          <w:rPr>
            <w:noProof/>
            <w:webHidden/>
          </w:rPr>
          <w:fldChar w:fldCharType="separate"/>
        </w:r>
        <w:r w:rsidR="009E4901">
          <w:rPr>
            <w:noProof/>
            <w:webHidden/>
          </w:rPr>
          <w:t>204</w:t>
        </w:r>
        <w:r w:rsidR="001818DF">
          <w:rPr>
            <w:noProof/>
            <w:webHidden/>
          </w:rPr>
          <w:fldChar w:fldCharType="end"/>
        </w:r>
      </w:hyperlink>
    </w:p>
    <w:p w14:paraId="31524A3F" w14:textId="20AD2960"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4032" w:history="1">
        <w:r w:rsidR="001818DF" w:rsidRPr="002452A1">
          <w:rPr>
            <w:rStyle w:val="Hyperlink"/>
            <w:noProof/>
          </w:rPr>
          <w:t>Figure 5.5.3</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Percentage of synthetic nitrogen fertiliser derived from urea, from 1990 to 2022</w:t>
        </w:r>
        <w:r w:rsidR="001818DF">
          <w:rPr>
            <w:noProof/>
            <w:webHidden/>
          </w:rPr>
          <w:tab/>
        </w:r>
        <w:r w:rsidR="001818DF">
          <w:rPr>
            <w:noProof/>
            <w:webHidden/>
          </w:rPr>
          <w:fldChar w:fldCharType="begin"/>
        </w:r>
        <w:r w:rsidR="001818DF">
          <w:rPr>
            <w:noProof/>
            <w:webHidden/>
          </w:rPr>
          <w:instrText xml:space="preserve"> PAGEREF _Toc164154032 \h </w:instrText>
        </w:r>
        <w:r w:rsidR="001818DF">
          <w:rPr>
            <w:noProof/>
            <w:webHidden/>
          </w:rPr>
        </w:r>
        <w:r w:rsidR="001818DF">
          <w:rPr>
            <w:noProof/>
            <w:webHidden/>
          </w:rPr>
          <w:fldChar w:fldCharType="separate"/>
        </w:r>
        <w:r w:rsidR="009E4901">
          <w:rPr>
            <w:noProof/>
            <w:webHidden/>
          </w:rPr>
          <w:t>205</w:t>
        </w:r>
        <w:r w:rsidR="001818DF">
          <w:rPr>
            <w:noProof/>
            <w:webHidden/>
          </w:rPr>
          <w:fldChar w:fldCharType="end"/>
        </w:r>
      </w:hyperlink>
    </w:p>
    <w:p w14:paraId="3CF72DED" w14:textId="0F0DC1C4"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4033" w:history="1">
        <w:r w:rsidR="001818DF" w:rsidRPr="002452A1">
          <w:rPr>
            <w:rStyle w:val="Hyperlink"/>
            <w:noProof/>
          </w:rPr>
          <w:t>Figure 5.8.1</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Limestone usage on agricultural land in New Zealand, from 1990 to 2022</w:t>
        </w:r>
        <w:r w:rsidR="001818DF">
          <w:rPr>
            <w:noProof/>
            <w:webHidden/>
          </w:rPr>
          <w:tab/>
        </w:r>
        <w:r w:rsidR="001818DF">
          <w:rPr>
            <w:noProof/>
            <w:webHidden/>
          </w:rPr>
          <w:fldChar w:fldCharType="begin"/>
        </w:r>
        <w:r w:rsidR="001818DF">
          <w:rPr>
            <w:noProof/>
            <w:webHidden/>
          </w:rPr>
          <w:instrText xml:space="preserve"> PAGEREF _Toc164154033 \h </w:instrText>
        </w:r>
        <w:r w:rsidR="001818DF">
          <w:rPr>
            <w:noProof/>
            <w:webHidden/>
          </w:rPr>
        </w:r>
        <w:r w:rsidR="001818DF">
          <w:rPr>
            <w:noProof/>
            <w:webHidden/>
          </w:rPr>
          <w:fldChar w:fldCharType="separate"/>
        </w:r>
        <w:r w:rsidR="009E4901">
          <w:rPr>
            <w:noProof/>
            <w:webHidden/>
          </w:rPr>
          <w:t>230</w:t>
        </w:r>
        <w:r w:rsidR="001818DF">
          <w:rPr>
            <w:noProof/>
            <w:webHidden/>
          </w:rPr>
          <w:fldChar w:fldCharType="end"/>
        </w:r>
      </w:hyperlink>
    </w:p>
    <w:p w14:paraId="71A9AB2C" w14:textId="3413CD77"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4034" w:history="1">
        <w:r w:rsidR="001818DF" w:rsidRPr="002452A1">
          <w:rPr>
            <w:rStyle w:val="Hyperlink"/>
            <w:noProof/>
          </w:rPr>
          <w:t>Figure 5.8.2</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Dolomite usage on agricultural land in New Zealand, from 1990 to 2022</w:t>
        </w:r>
        <w:r w:rsidR="001818DF">
          <w:rPr>
            <w:noProof/>
            <w:webHidden/>
          </w:rPr>
          <w:tab/>
        </w:r>
        <w:r w:rsidR="001818DF">
          <w:rPr>
            <w:noProof/>
            <w:webHidden/>
          </w:rPr>
          <w:fldChar w:fldCharType="begin"/>
        </w:r>
        <w:r w:rsidR="001818DF">
          <w:rPr>
            <w:noProof/>
            <w:webHidden/>
          </w:rPr>
          <w:instrText xml:space="preserve"> PAGEREF _Toc164154034 \h </w:instrText>
        </w:r>
        <w:r w:rsidR="001818DF">
          <w:rPr>
            <w:noProof/>
            <w:webHidden/>
          </w:rPr>
        </w:r>
        <w:r w:rsidR="001818DF">
          <w:rPr>
            <w:noProof/>
            <w:webHidden/>
          </w:rPr>
          <w:fldChar w:fldCharType="separate"/>
        </w:r>
        <w:r w:rsidR="009E4901">
          <w:rPr>
            <w:noProof/>
            <w:webHidden/>
          </w:rPr>
          <w:t>230</w:t>
        </w:r>
        <w:r w:rsidR="001818DF">
          <w:rPr>
            <w:noProof/>
            <w:webHidden/>
          </w:rPr>
          <w:fldChar w:fldCharType="end"/>
        </w:r>
      </w:hyperlink>
    </w:p>
    <w:p w14:paraId="15189B2B" w14:textId="76A9DC81"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4035" w:history="1">
        <w:r w:rsidR="001818DF" w:rsidRPr="002452A1">
          <w:rPr>
            <w:rStyle w:val="Hyperlink"/>
            <w:noProof/>
          </w:rPr>
          <w:t>Figure 6.1.1</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New Zealand’s annual net emissions from the LULUCF sector, from 1990 to 2022</w:t>
        </w:r>
        <w:r w:rsidR="001818DF">
          <w:rPr>
            <w:noProof/>
            <w:webHidden/>
          </w:rPr>
          <w:tab/>
        </w:r>
        <w:r w:rsidR="001818DF">
          <w:rPr>
            <w:noProof/>
            <w:webHidden/>
          </w:rPr>
          <w:fldChar w:fldCharType="begin"/>
        </w:r>
        <w:r w:rsidR="001818DF">
          <w:rPr>
            <w:noProof/>
            <w:webHidden/>
          </w:rPr>
          <w:instrText xml:space="preserve"> PAGEREF _Toc164154035 \h </w:instrText>
        </w:r>
        <w:r w:rsidR="001818DF">
          <w:rPr>
            <w:noProof/>
            <w:webHidden/>
          </w:rPr>
        </w:r>
        <w:r w:rsidR="001818DF">
          <w:rPr>
            <w:noProof/>
            <w:webHidden/>
          </w:rPr>
          <w:fldChar w:fldCharType="separate"/>
        </w:r>
        <w:r w:rsidR="009E4901">
          <w:rPr>
            <w:noProof/>
            <w:webHidden/>
          </w:rPr>
          <w:t>241</w:t>
        </w:r>
        <w:r w:rsidR="001818DF">
          <w:rPr>
            <w:noProof/>
            <w:webHidden/>
          </w:rPr>
          <w:fldChar w:fldCharType="end"/>
        </w:r>
      </w:hyperlink>
    </w:p>
    <w:p w14:paraId="6C056E8D" w14:textId="76789A7A"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4036" w:history="1">
        <w:r w:rsidR="001818DF" w:rsidRPr="002452A1">
          <w:rPr>
            <w:rStyle w:val="Hyperlink"/>
            <w:noProof/>
          </w:rPr>
          <w:t>Figure 6.1.2</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Comparison of afforestation and deforestation rates with the changing NZ ETS unit price, from 2004 to 2022</w:t>
        </w:r>
        <w:r w:rsidR="001818DF">
          <w:rPr>
            <w:noProof/>
            <w:webHidden/>
          </w:rPr>
          <w:tab/>
        </w:r>
        <w:r w:rsidR="001818DF">
          <w:rPr>
            <w:noProof/>
            <w:webHidden/>
          </w:rPr>
          <w:fldChar w:fldCharType="begin"/>
        </w:r>
        <w:r w:rsidR="001818DF">
          <w:rPr>
            <w:noProof/>
            <w:webHidden/>
          </w:rPr>
          <w:instrText xml:space="preserve"> PAGEREF _Toc164154036 \h </w:instrText>
        </w:r>
        <w:r w:rsidR="001818DF">
          <w:rPr>
            <w:noProof/>
            <w:webHidden/>
          </w:rPr>
        </w:r>
        <w:r w:rsidR="001818DF">
          <w:rPr>
            <w:noProof/>
            <w:webHidden/>
          </w:rPr>
          <w:fldChar w:fldCharType="separate"/>
        </w:r>
        <w:r w:rsidR="009E4901">
          <w:rPr>
            <w:noProof/>
            <w:webHidden/>
          </w:rPr>
          <w:t>244</w:t>
        </w:r>
        <w:r w:rsidR="001818DF">
          <w:rPr>
            <w:noProof/>
            <w:webHidden/>
          </w:rPr>
          <w:fldChar w:fldCharType="end"/>
        </w:r>
      </w:hyperlink>
    </w:p>
    <w:p w14:paraId="276EFE53" w14:textId="0B04A14C"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4037" w:history="1">
        <w:r w:rsidR="001818DF" w:rsidRPr="002452A1">
          <w:rPr>
            <w:rStyle w:val="Hyperlink"/>
            <w:noProof/>
          </w:rPr>
          <w:t>Figure 6.3.1</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Land use map of New Zealand as at 31 December 2020</w:t>
        </w:r>
        <w:r w:rsidR="001818DF">
          <w:rPr>
            <w:noProof/>
            <w:webHidden/>
          </w:rPr>
          <w:tab/>
        </w:r>
        <w:r w:rsidR="001818DF">
          <w:rPr>
            <w:noProof/>
            <w:webHidden/>
          </w:rPr>
          <w:fldChar w:fldCharType="begin"/>
        </w:r>
        <w:r w:rsidR="001818DF">
          <w:rPr>
            <w:noProof/>
            <w:webHidden/>
          </w:rPr>
          <w:instrText xml:space="preserve"> PAGEREF _Toc164154037 \h </w:instrText>
        </w:r>
        <w:r w:rsidR="001818DF">
          <w:rPr>
            <w:noProof/>
            <w:webHidden/>
          </w:rPr>
        </w:r>
        <w:r w:rsidR="001818DF">
          <w:rPr>
            <w:noProof/>
            <w:webHidden/>
          </w:rPr>
          <w:fldChar w:fldCharType="separate"/>
        </w:r>
        <w:r w:rsidR="009E4901">
          <w:rPr>
            <w:noProof/>
            <w:webHidden/>
          </w:rPr>
          <w:t>256</w:t>
        </w:r>
        <w:r w:rsidR="001818DF">
          <w:rPr>
            <w:noProof/>
            <w:webHidden/>
          </w:rPr>
          <w:fldChar w:fldCharType="end"/>
        </w:r>
      </w:hyperlink>
    </w:p>
    <w:p w14:paraId="681F8D97" w14:textId="37637A09"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4038" w:history="1">
        <w:r w:rsidR="001818DF" w:rsidRPr="002452A1">
          <w:rPr>
            <w:rStyle w:val="Hyperlink"/>
            <w:noProof/>
          </w:rPr>
          <w:t>Figure 6.4.1</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Annual areas of afforestation/reforestation in New Zealand, from 1990 to 2022</w:t>
        </w:r>
        <w:r w:rsidR="001818DF">
          <w:rPr>
            <w:noProof/>
            <w:webHidden/>
          </w:rPr>
          <w:tab/>
        </w:r>
        <w:r w:rsidR="001818DF">
          <w:rPr>
            <w:noProof/>
            <w:webHidden/>
          </w:rPr>
          <w:fldChar w:fldCharType="begin"/>
        </w:r>
        <w:r w:rsidR="001818DF">
          <w:rPr>
            <w:noProof/>
            <w:webHidden/>
          </w:rPr>
          <w:instrText xml:space="preserve"> PAGEREF _Toc164154038 \h </w:instrText>
        </w:r>
        <w:r w:rsidR="001818DF">
          <w:rPr>
            <w:noProof/>
            <w:webHidden/>
          </w:rPr>
        </w:r>
        <w:r w:rsidR="001818DF">
          <w:rPr>
            <w:noProof/>
            <w:webHidden/>
          </w:rPr>
          <w:fldChar w:fldCharType="separate"/>
        </w:r>
        <w:r w:rsidR="009E4901">
          <w:rPr>
            <w:noProof/>
            <w:webHidden/>
          </w:rPr>
          <w:t>260</w:t>
        </w:r>
        <w:r w:rsidR="001818DF">
          <w:rPr>
            <w:noProof/>
            <w:webHidden/>
          </w:rPr>
          <w:fldChar w:fldCharType="end"/>
        </w:r>
      </w:hyperlink>
    </w:p>
    <w:p w14:paraId="1D87D916" w14:textId="7CF5CBFD"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4039" w:history="1">
        <w:r w:rsidR="001818DF" w:rsidRPr="002452A1">
          <w:rPr>
            <w:rStyle w:val="Hyperlink"/>
            <w:noProof/>
          </w:rPr>
          <w:t>Figure 6.4.2</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New Zealand’s net carbon dioxide removals by post-1989 planted forests, from 1990 to 2022</w:t>
        </w:r>
        <w:r w:rsidR="001818DF">
          <w:rPr>
            <w:noProof/>
            <w:webHidden/>
          </w:rPr>
          <w:tab/>
        </w:r>
        <w:r w:rsidR="001818DF">
          <w:rPr>
            <w:noProof/>
            <w:webHidden/>
          </w:rPr>
          <w:fldChar w:fldCharType="begin"/>
        </w:r>
        <w:r w:rsidR="001818DF">
          <w:rPr>
            <w:noProof/>
            <w:webHidden/>
          </w:rPr>
          <w:instrText xml:space="preserve"> PAGEREF _Toc164154039 \h </w:instrText>
        </w:r>
        <w:r w:rsidR="001818DF">
          <w:rPr>
            <w:noProof/>
            <w:webHidden/>
          </w:rPr>
        </w:r>
        <w:r w:rsidR="001818DF">
          <w:rPr>
            <w:noProof/>
            <w:webHidden/>
          </w:rPr>
          <w:fldChar w:fldCharType="separate"/>
        </w:r>
        <w:r w:rsidR="009E4901">
          <w:rPr>
            <w:noProof/>
            <w:webHidden/>
          </w:rPr>
          <w:t>260</w:t>
        </w:r>
        <w:r w:rsidR="001818DF">
          <w:rPr>
            <w:noProof/>
            <w:webHidden/>
          </w:rPr>
          <w:fldChar w:fldCharType="end"/>
        </w:r>
      </w:hyperlink>
    </w:p>
    <w:p w14:paraId="7F9FE4CC" w14:textId="156980CD"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4040" w:history="1">
        <w:r w:rsidR="001818DF" w:rsidRPr="002452A1">
          <w:rPr>
            <w:rStyle w:val="Hyperlink"/>
            <w:noProof/>
          </w:rPr>
          <w:t>Figure 6.4.3</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New Zealand’s area of planted forest harvest (inclusive of deforestation), from 1990 to 2022</w:t>
        </w:r>
        <w:r w:rsidR="001818DF">
          <w:rPr>
            <w:noProof/>
            <w:webHidden/>
          </w:rPr>
          <w:tab/>
        </w:r>
        <w:r w:rsidR="001818DF">
          <w:rPr>
            <w:noProof/>
            <w:webHidden/>
          </w:rPr>
          <w:fldChar w:fldCharType="begin"/>
        </w:r>
        <w:r w:rsidR="001818DF">
          <w:rPr>
            <w:noProof/>
            <w:webHidden/>
          </w:rPr>
          <w:instrText xml:space="preserve"> PAGEREF _Toc164154040 \h </w:instrText>
        </w:r>
        <w:r w:rsidR="001818DF">
          <w:rPr>
            <w:noProof/>
            <w:webHidden/>
          </w:rPr>
        </w:r>
        <w:r w:rsidR="001818DF">
          <w:rPr>
            <w:noProof/>
            <w:webHidden/>
          </w:rPr>
          <w:fldChar w:fldCharType="separate"/>
        </w:r>
        <w:r w:rsidR="009E4901">
          <w:rPr>
            <w:noProof/>
            <w:webHidden/>
          </w:rPr>
          <w:t>261</w:t>
        </w:r>
        <w:r w:rsidR="001818DF">
          <w:rPr>
            <w:noProof/>
            <w:webHidden/>
          </w:rPr>
          <w:fldChar w:fldCharType="end"/>
        </w:r>
      </w:hyperlink>
    </w:p>
    <w:p w14:paraId="34197513" w14:textId="1FFD91A4"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4041" w:history="1">
        <w:r w:rsidR="001818DF" w:rsidRPr="002452A1">
          <w:rPr>
            <w:rStyle w:val="Hyperlink"/>
            <w:noProof/>
          </w:rPr>
          <w:t>Figure 6.4.4</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 xml:space="preserve">New Zealand’s area of deforestation since 1990, by </w:t>
        </w:r>
        <w:r w:rsidR="001818DF" w:rsidRPr="002452A1">
          <w:rPr>
            <w:rStyle w:val="Hyperlink"/>
            <w:i/>
            <w:noProof/>
          </w:rPr>
          <w:t>Forest land</w:t>
        </w:r>
        <w:r w:rsidR="001818DF" w:rsidRPr="002452A1">
          <w:rPr>
            <w:rStyle w:val="Hyperlink"/>
            <w:noProof/>
          </w:rPr>
          <w:t xml:space="preserve"> category</w:t>
        </w:r>
        <w:r w:rsidR="001818DF">
          <w:rPr>
            <w:noProof/>
            <w:webHidden/>
          </w:rPr>
          <w:tab/>
        </w:r>
        <w:r w:rsidR="001818DF">
          <w:rPr>
            <w:noProof/>
            <w:webHidden/>
          </w:rPr>
          <w:fldChar w:fldCharType="begin"/>
        </w:r>
        <w:r w:rsidR="001818DF">
          <w:rPr>
            <w:noProof/>
            <w:webHidden/>
          </w:rPr>
          <w:instrText xml:space="preserve"> PAGEREF _Toc164154041 \h </w:instrText>
        </w:r>
        <w:r w:rsidR="001818DF">
          <w:rPr>
            <w:noProof/>
            <w:webHidden/>
          </w:rPr>
        </w:r>
        <w:r w:rsidR="001818DF">
          <w:rPr>
            <w:noProof/>
            <w:webHidden/>
          </w:rPr>
          <w:fldChar w:fldCharType="separate"/>
        </w:r>
        <w:r w:rsidR="009E4901">
          <w:rPr>
            <w:noProof/>
            <w:webHidden/>
          </w:rPr>
          <w:t>262</w:t>
        </w:r>
        <w:r w:rsidR="001818DF">
          <w:rPr>
            <w:noProof/>
            <w:webHidden/>
          </w:rPr>
          <w:fldChar w:fldCharType="end"/>
        </w:r>
      </w:hyperlink>
    </w:p>
    <w:p w14:paraId="4FAD2342" w14:textId="02BD3DF3"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4042" w:history="1">
        <w:r w:rsidR="001818DF" w:rsidRPr="002452A1">
          <w:rPr>
            <w:rStyle w:val="Hyperlink"/>
            <w:noProof/>
          </w:rPr>
          <w:t>Figure 6.4.5</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Location of New Zealand’s pre-1990 forest carbon monitoring plots</w:t>
        </w:r>
        <w:r w:rsidR="001818DF">
          <w:rPr>
            <w:noProof/>
            <w:webHidden/>
          </w:rPr>
          <w:tab/>
        </w:r>
        <w:r w:rsidR="001818DF">
          <w:rPr>
            <w:noProof/>
            <w:webHidden/>
          </w:rPr>
          <w:fldChar w:fldCharType="begin"/>
        </w:r>
        <w:r w:rsidR="001818DF">
          <w:rPr>
            <w:noProof/>
            <w:webHidden/>
          </w:rPr>
          <w:instrText xml:space="preserve"> PAGEREF _Toc164154042 \h </w:instrText>
        </w:r>
        <w:r w:rsidR="001818DF">
          <w:rPr>
            <w:noProof/>
            <w:webHidden/>
          </w:rPr>
        </w:r>
        <w:r w:rsidR="001818DF">
          <w:rPr>
            <w:noProof/>
            <w:webHidden/>
          </w:rPr>
          <w:fldChar w:fldCharType="separate"/>
        </w:r>
        <w:r w:rsidR="009E4901">
          <w:rPr>
            <w:noProof/>
            <w:webHidden/>
          </w:rPr>
          <w:t>264</w:t>
        </w:r>
        <w:r w:rsidR="001818DF">
          <w:rPr>
            <w:noProof/>
            <w:webHidden/>
          </w:rPr>
          <w:fldChar w:fldCharType="end"/>
        </w:r>
      </w:hyperlink>
    </w:p>
    <w:p w14:paraId="402E6E26" w14:textId="260FAA3D"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4043" w:history="1">
        <w:r w:rsidR="001818DF" w:rsidRPr="002452A1">
          <w:rPr>
            <w:rStyle w:val="Hyperlink"/>
            <w:noProof/>
          </w:rPr>
          <w:t>Figure 6.4.6</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Location of New Zealand’s post-1989 forest plots</w:t>
        </w:r>
        <w:r w:rsidR="001818DF">
          <w:rPr>
            <w:noProof/>
            <w:webHidden/>
          </w:rPr>
          <w:tab/>
        </w:r>
        <w:r w:rsidR="001818DF">
          <w:rPr>
            <w:noProof/>
            <w:webHidden/>
          </w:rPr>
          <w:fldChar w:fldCharType="begin"/>
        </w:r>
        <w:r w:rsidR="001818DF">
          <w:rPr>
            <w:noProof/>
            <w:webHidden/>
          </w:rPr>
          <w:instrText xml:space="preserve"> PAGEREF _Toc164154043 \h </w:instrText>
        </w:r>
        <w:r w:rsidR="001818DF">
          <w:rPr>
            <w:noProof/>
            <w:webHidden/>
          </w:rPr>
        </w:r>
        <w:r w:rsidR="001818DF">
          <w:rPr>
            <w:noProof/>
            <w:webHidden/>
          </w:rPr>
          <w:fldChar w:fldCharType="separate"/>
        </w:r>
        <w:r w:rsidR="009E4901">
          <w:rPr>
            <w:noProof/>
            <w:webHidden/>
          </w:rPr>
          <w:t>265</w:t>
        </w:r>
        <w:r w:rsidR="001818DF">
          <w:rPr>
            <w:noProof/>
            <w:webHidden/>
          </w:rPr>
          <w:fldChar w:fldCharType="end"/>
        </w:r>
      </w:hyperlink>
    </w:p>
    <w:p w14:paraId="5044731B" w14:textId="7A84A019"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4044" w:history="1">
        <w:r w:rsidR="001818DF" w:rsidRPr="002452A1">
          <w:rPr>
            <w:rStyle w:val="Hyperlink"/>
            <w:noProof/>
          </w:rPr>
          <w:t>Figure 6.10.1</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Volume of roundwood produced and exported, from 1990 to 2022</w:t>
        </w:r>
        <w:r w:rsidR="001818DF">
          <w:rPr>
            <w:noProof/>
            <w:webHidden/>
          </w:rPr>
          <w:tab/>
        </w:r>
        <w:r w:rsidR="001818DF">
          <w:rPr>
            <w:noProof/>
            <w:webHidden/>
          </w:rPr>
          <w:fldChar w:fldCharType="begin"/>
        </w:r>
        <w:r w:rsidR="001818DF">
          <w:rPr>
            <w:noProof/>
            <w:webHidden/>
          </w:rPr>
          <w:instrText xml:space="preserve"> PAGEREF _Toc164154044 \h </w:instrText>
        </w:r>
        <w:r w:rsidR="001818DF">
          <w:rPr>
            <w:noProof/>
            <w:webHidden/>
          </w:rPr>
        </w:r>
        <w:r w:rsidR="001818DF">
          <w:rPr>
            <w:noProof/>
            <w:webHidden/>
          </w:rPr>
          <w:fldChar w:fldCharType="separate"/>
        </w:r>
        <w:r w:rsidR="009E4901">
          <w:rPr>
            <w:noProof/>
            <w:webHidden/>
          </w:rPr>
          <w:t>295</w:t>
        </w:r>
        <w:r w:rsidR="001818DF">
          <w:rPr>
            <w:noProof/>
            <w:webHidden/>
          </w:rPr>
          <w:fldChar w:fldCharType="end"/>
        </w:r>
      </w:hyperlink>
    </w:p>
    <w:p w14:paraId="6D00C1B3" w14:textId="663682F4"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4045" w:history="1">
        <w:r w:rsidR="001818DF" w:rsidRPr="002452A1">
          <w:rPr>
            <w:rStyle w:val="Hyperlink"/>
            <w:noProof/>
          </w:rPr>
          <w:t>Figure 7.1.1</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Sources of and disposal practices for solid waste in New Zealand</w:t>
        </w:r>
        <w:r w:rsidR="001818DF">
          <w:rPr>
            <w:noProof/>
            <w:webHidden/>
          </w:rPr>
          <w:tab/>
        </w:r>
        <w:r w:rsidR="001818DF">
          <w:rPr>
            <w:noProof/>
            <w:webHidden/>
          </w:rPr>
          <w:fldChar w:fldCharType="begin"/>
        </w:r>
        <w:r w:rsidR="001818DF">
          <w:rPr>
            <w:noProof/>
            <w:webHidden/>
          </w:rPr>
          <w:instrText xml:space="preserve"> PAGEREF _Toc164154045 \h </w:instrText>
        </w:r>
        <w:r w:rsidR="001818DF">
          <w:rPr>
            <w:noProof/>
            <w:webHidden/>
          </w:rPr>
        </w:r>
        <w:r w:rsidR="001818DF">
          <w:rPr>
            <w:noProof/>
            <w:webHidden/>
          </w:rPr>
          <w:fldChar w:fldCharType="separate"/>
        </w:r>
        <w:r w:rsidR="009E4901">
          <w:rPr>
            <w:noProof/>
            <w:webHidden/>
          </w:rPr>
          <w:t>312</w:t>
        </w:r>
        <w:r w:rsidR="001818DF">
          <w:rPr>
            <w:noProof/>
            <w:webHidden/>
          </w:rPr>
          <w:fldChar w:fldCharType="end"/>
        </w:r>
      </w:hyperlink>
    </w:p>
    <w:p w14:paraId="5113E9A3" w14:textId="540CB55F"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4046" w:history="1">
        <w:r w:rsidR="001818DF" w:rsidRPr="002452A1">
          <w:rPr>
            <w:rStyle w:val="Hyperlink"/>
            <w:noProof/>
          </w:rPr>
          <w:t>Figure 7.1.2</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 xml:space="preserve">Profile of emissions from New Zealand’s Waste sector by source category, from </w:t>
        </w:r>
        <w:r w:rsidR="001818DF" w:rsidRPr="002452A1">
          <w:rPr>
            <w:rStyle w:val="Hyperlink"/>
            <w:bCs/>
            <w:noProof/>
          </w:rPr>
          <w:t>1990</w:t>
        </w:r>
        <w:r w:rsidR="001818DF" w:rsidRPr="002452A1">
          <w:rPr>
            <w:rStyle w:val="Hyperlink"/>
            <w:noProof/>
          </w:rPr>
          <w:t> to </w:t>
        </w:r>
        <w:r w:rsidR="001818DF" w:rsidRPr="002452A1">
          <w:rPr>
            <w:rStyle w:val="Hyperlink"/>
            <w:bCs/>
            <w:noProof/>
          </w:rPr>
          <w:t>2022</w:t>
        </w:r>
        <w:r w:rsidR="001818DF">
          <w:rPr>
            <w:noProof/>
            <w:webHidden/>
          </w:rPr>
          <w:tab/>
        </w:r>
        <w:r w:rsidR="001818DF">
          <w:rPr>
            <w:noProof/>
            <w:webHidden/>
          </w:rPr>
          <w:fldChar w:fldCharType="begin"/>
        </w:r>
        <w:r w:rsidR="001818DF">
          <w:rPr>
            <w:noProof/>
            <w:webHidden/>
          </w:rPr>
          <w:instrText xml:space="preserve"> PAGEREF _Toc164154046 \h </w:instrText>
        </w:r>
        <w:r w:rsidR="001818DF">
          <w:rPr>
            <w:noProof/>
            <w:webHidden/>
          </w:rPr>
        </w:r>
        <w:r w:rsidR="001818DF">
          <w:rPr>
            <w:noProof/>
            <w:webHidden/>
          </w:rPr>
          <w:fldChar w:fldCharType="separate"/>
        </w:r>
        <w:r w:rsidR="009E4901">
          <w:rPr>
            <w:noProof/>
            <w:webHidden/>
          </w:rPr>
          <w:t>313</w:t>
        </w:r>
        <w:r w:rsidR="001818DF">
          <w:rPr>
            <w:noProof/>
            <w:webHidden/>
          </w:rPr>
          <w:fldChar w:fldCharType="end"/>
        </w:r>
      </w:hyperlink>
    </w:p>
    <w:p w14:paraId="03F6E491" w14:textId="67B01CBF"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4047" w:history="1">
        <w:r w:rsidR="001818DF" w:rsidRPr="002452A1">
          <w:rPr>
            <w:rStyle w:val="Hyperlink"/>
            <w:noProof/>
          </w:rPr>
          <w:t>Figure 7.1.3</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New Zealand’s emissions from the Waste sector by source category, from 1990 to 2022</w:t>
        </w:r>
        <w:r w:rsidR="001818DF">
          <w:rPr>
            <w:noProof/>
            <w:webHidden/>
          </w:rPr>
          <w:tab/>
        </w:r>
        <w:r w:rsidR="001818DF">
          <w:rPr>
            <w:noProof/>
            <w:webHidden/>
          </w:rPr>
          <w:fldChar w:fldCharType="begin"/>
        </w:r>
        <w:r w:rsidR="001818DF">
          <w:rPr>
            <w:noProof/>
            <w:webHidden/>
          </w:rPr>
          <w:instrText xml:space="preserve"> PAGEREF _Toc164154047 \h </w:instrText>
        </w:r>
        <w:r w:rsidR="001818DF">
          <w:rPr>
            <w:noProof/>
            <w:webHidden/>
          </w:rPr>
        </w:r>
        <w:r w:rsidR="001818DF">
          <w:rPr>
            <w:noProof/>
            <w:webHidden/>
          </w:rPr>
          <w:fldChar w:fldCharType="separate"/>
        </w:r>
        <w:r w:rsidR="009E4901">
          <w:rPr>
            <w:noProof/>
            <w:webHidden/>
          </w:rPr>
          <w:t>314</w:t>
        </w:r>
        <w:r w:rsidR="001818DF">
          <w:rPr>
            <w:noProof/>
            <w:webHidden/>
          </w:rPr>
          <w:fldChar w:fldCharType="end"/>
        </w:r>
      </w:hyperlink>
    </w:p>
    <w:p w14:paraId="31AB33B1" w14:textId="7863D64F"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4048" w:history="1">
        <w:r w:rsidR="001818DF" w:rsidRPr="002452A1">
          <w:rPr>
            <w:rStyle w:val="Hyperlink"/>
            <w:noProof/>
          </w:rPr>
          <w:t>Figure 7.1.4</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Tier 1 quality checks for the Waste sector</w:t>
        </w:r>
        <w:r w:rsidR="001818DF">
          <w:rPr>
            <w:noProof/>
            <w:webHidden/>
          </w:rPr>
          <w:tab/>
        </w:r>
        <w:r w:rsidR="001818DF">
          <w:rPr>
            <w:noProof/>
            <w:webHidden/>
          </w:rPr>
          <w:fldChar w:fldCharType="begin"/>
        </w:r>
        <w:r w:rsidR="001818DF">
          <w:rPr>
            <w:noProof/>
            <w:webHidden/>
          </w:rPr>
          <w:instrText xml:space="preserve"> PAGEREF _Toc164154048 \h </w:instrText>
        </w:r>
        <w:r w:rsidR="001818DF">
          <w:rPr>
            <w:noProof/>
            <w:webHidden/>
          </w:rPr>
        </w:r>
        <w:r w:rsidR="001818DF">
          <w:rPr>
            <w:noProof/>
            <w:webHidden/>
          </w:rPr>
          <w:fldChar w:fldCharType="separate"/>
        </w:r>
        <w:r w:rsidR="009E4901">
          <w:rPr>
            <w:noProof/>
            <w:webHidden/>
          </w:rPr>
          <w:t>316</w:t>
        </w:r>
        <w:r w:rsidR="001818DF">
          <w:rPr>
            <w:noProof/>
            <w:webHidden/>
          </w:rPr>
          <w:fldChar w:fldCharType="end"/>
        </w:r>
      </w:hyperlink>
    </w:p>
    <w:p w14:paraId="0FEADCCE" w14:textId="0823960D"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4049" w:history="1">
        <w:r w:rsidR="001818DF" w:rsidRPr="002452A1">
          <w:rPr>
            <w:rStyle w:val="Hyperlink"/>
            <w:bCs/>
            <w:noProof/>
          </w:rPr>
          <w:t xml:space="preserve">Figure 8.1.1 </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bCs/>
            <w:noProof/>
          </w:rPr>
          <w:t>Map of Tokelau</w:t>
        </w:r>
        <w:r w:rsidR="001818DF">
          <w:rPr>
            <w:noProof/>
            <w:webHidden/>
          </w:rPr>
          <w:tab/>
        </w:r>
        <w:r w:rsidR="001818DF">
          <w:rPr>
            <w:noProof/>
            <w:webHidden/>
          </w:rPr>
          <w:fldChar w:fldCharType="begin"/>
        </w:r>
        <w:r w:rsidR="001818DF">
          <w:rPr>
            <w:noProof/>
            <w:webHidden/>
          </w:rPr>
          <w:instrText xml:space="preserve"> PAGEREF _Toc164154049 \h </w:instrText>
        </w:r>
        <w:r w:rsidR="001818DF">
          <w:rPr>
            <w:noProof/>
            <w:webHidden/>
          </w:rPr>
        </w:r>
        <w:r w:rsidR="001818DF">
          <w:rPr>
            <w:noProof/>
            <w:webHidden/>
          </w:rPr>
          <w:fldChar w:fldCharType="separate"/>
        </w:r>
        <w:r w:rsidR="009E4901">
          <w:rPr>
            <w:noProof/>
            <w:webHidden/>
          </w:rPr>
          <w:t>354</w:t>
        </w:r>
        <w:r w:rsidR="001818DF">
          <w:rPr>
            <w:noProof/>
            <w:webHidden/>
          </w:rPr>
          <w:fldChar w:fldCharType="end"/>
        </w:r>
      </w:hyperlink>
    </w:p>
    <w:p w14:paraId="40257399" w14:textId="2FE4A843"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4050" w:history="1">
        <w:r w:rsidR="001818DF" w:rsidRPr="002452A1">
          <w:rPr>
            <w:rStyle w:val="Hyperlink"/>
            <w:bCs/>
            <w:noProof/>
          </w:rPr>
          <w:t xml:space="preserve">Figure 8.1.2 </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bCs/>
            <w:noProof/>
          </w:rPr>
          <w:t>Tokelau’s emissions by gas in 2022</w:t>
        </w:r>
        <w:r w:rsidR="001818DF">
          <w:rPr>
            <w:noProof/>
            <w:webHidden/>
          </w:rPr>
          <w:tab/>
        </w:r>
        <w:r w:rsidR="001818DF">
          <w:rPr>
            <w:noProof/>
            <w:webHidden/>
          </w:rPr>
          <w:fldChar w:fldCharType="begin"/>
        </w:r>
        <w:r w:rsidR="001818DF">
          <w:rPr>
            <w:noProof/>
            <w:webHidden/>
          </w:rPr>
          <w:instrText xml:space="preserve"> PAGEREF _Toc164154050 \h </w:instrText>
        </w:r>
        <w:r w:rsidR="001818DF">
          <w:rPr>
            <w:noProof/>
            <w:webHidden/>
          </w:rPr>
        </w:r>
        <w:r w:rsidR="001818DF">
          <w:rPr>
            <w:noProof/>
            <w:webHidden/>
          </w:rPr>
          <w:fldChar w:fldCharType="separate"/>
        </w:r>
        <w:r w:rsidR="009E4901">
          <w:rPr>
            <w:noProof/>
            <w:webHidden/>
          </w:rPr>
          <w:t>359</w:t>
        </w:r>
        <w:r w:rsidR="001818DF">
          <w:rPr>
            <w:noProof/>
            <w:webHidden/>
          </w:rPr>
          <w:fldChar w:fldCharType="end"/>
        </w:r>
      </w:hyperlink>
    </w:p>
    <w:p w14:paraId="77D0873A" w14:textId="17377BA4"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4051" w:history="1">
        <w:r w:rsidR="001818DF" w:rsidRPr="002452A1">
          <w:rPr>
            <w:rStyle w:val="Hyperlink"/>
            <w:bCs/>
            <w:noProof/>
          </w:rPr>
          <w:t xml:space="preserve">Figure 8.1.3 </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bCs/>
            <w:noProof/>
          </w:rPr>
          <w:t>Tokelau’s emissions by sector in 2022</w:t>
        </w:r>
        <w:r w:rsidR="001818DF">
          <w:rPr>
            <w:noProof/>
            <w:webHidden/>
          </w:rPr>
          <w:tab/>
        </w:r>
        <w:r w:rsidR="001818DF">
          <w:rPr>
            <w:noProof/>
            <w:webHidden/>
          </w:rPr>
          <w:fldChar w:fldCharType="begin"/>
        </w:r>
        <w:r w:rsidR="001818DF">
          <w:rPr>
            <w:noProof/>
            <w:webHidden/>
          </w:rPr>
          <w:instrText xml:space="preserve"> PAGEREF _Toc164154051 \h </w:instrText>
        </w:r>
        <w:r w:rsidR="001818DF">
          <w:rPr>
            <w:noProof/>
            <w:webHidden/>
          </w:rPr>
        </w:r>
        <w:r w:rsidR="001818DF">
          <w:rPr>
            <w:noProof/>
            <w:webHidden/>
          </w:rPr>
          <w:fldChar w:fldCharType="separate"/>
        </w:r>
        <w:r w:rsidR="009E4901">
          <w:rPr>
            <w:noProof/>
            <w:webHidden/>
          </w:rPr>
          <w:t>359</w:t>
        </w:r>
        <w:r w:rsidR="001818DF">
          <w:rPr>
            <w:noProof/>
            <w:webHidden/>
          </w:rPr>
          <w:fldChar w:fldCharType="end"/>
        </w:r>
      </w:hyperlink>
    </w:p>
    <w:p w14:paraId="15E0A353" w14:textId="76FDB7AF"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4052" w:history="1">
        <w:r w:rsidR="001818DF" w:rsidRPr="002452A1">
          <w:rPr>
            <w:rStyle w:val="Hyperlink"/>
            <w:bCs/>
            <w:noProof/>
          </w:rPr>
          <w:t xml:space="preserve">Figure 8.1.4 </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bCs/>
            <w:noProof/>
          </w:rPr>
          <w:t>Emissions by sector for Tokelau (kt CO</w:t>
        </w:r>
        <w:r w:rsidR="001818DF" w:rsidRPr="002452A1">
          <w:rPr>
            <w:rStyle w:val="Hyperlink"/>
            <w:bCs/>
            <w:noProof/>
            <w:vertAlign w:val="subscript"/>
          </w:rPr>
          <w:t>2</w:t>
        </w:r>
        <w:r w:rsidR="001818DF" w:rsidRPr="002452A1">
          <w:rPr>
            <w:rStyle w:val="Hyperlink"/>
            <w:bCs/>
            <w:noProof/>
          </w:rPr>
          <w:t>-e), from 1990 to 2022</w:t>
        </w:r>
        <w:r w:rsidR="001818DF">
          <w:rPr>
            <w:noProof/>
            <w:webHidden/>
          </w:rPr>
          <w:tab/>
        </w:r>
        <w:r w:rsidR="001818DF">
          <w:rPr>
            <w:noProof/>
            <w:webHidden/>
          </w:rPr>
          <w:fldChar w:fldCharType="begin"/>
        </w:r>
        <w:r w:rsidR="001818DF">
          <w:rPr>
            <w:noProof/>
            <w:webHidden/>
          </w:rPr>
          <w:instrText xml:space="preserve"> PAGEREF _Toc164154052 \h </w:instrText>
        </w:r>
        <w:r w:rsidR="001818DF">
          <w:rPr>
            <w:noProof/>
            <w:webHidden/>
          </w:rPr>
        </w:r>
        <w:r w:rsidR="001818DF">
          <w:rPr>
            <w:noProof/>
            <w:webHidden/>
          </w:rPr>
          <w:fldChar w:fldCharType="separate"/>
        </w:r>
        <w:r w:rsidR="009E4901">
          <w:rPr>
            <w:noProof/>
            <w:webHidden/>
          </w:rPr>
          <w:t>361</w:t>
        </w:r>
        <w:r w:rsidR="001818DF">
          <w:rPr>
            <w:noProof/>
            <w:webHidden/>
          </w:rPr>
          <w:fldChar w:fldCharType="end"/>
        </w:r>
      </w:hyperlink>
    </w:p>
    <w:p w14:paraId="65E66651" w14:textId="101654B8"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4053" w:history="1">
        <w:r w:rsidR="001818DF" w:rsidRPr="002452A1">
          <w:rPr>
            <w:rStyle w:val="Hyperlink"/>
            <w:bCs/>
            <w:noProof/>
          </w:rPr>
          <w:t xml:space="preserve">Figure 8.1.5 </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bCs/>
            <w:noProof/>
          </w:rPr>
          <w:t>Data processing, quality-assurance and quality-control processes applied to the inventory data from Tokelau and its integration into New Zealand’s inventory</w:t>
        </w:r>
        <w:r w:rsidR="001818DF">
          <w:rPr>
            <w:noProof/>
            <w:webHidden/>
          </w:rPr>
          <w:tab/>
        </w:r>
        <w:r w:rsidR="001818DF">
          <w:rPr>
            <w:noProof/>
            <w:webHidden/>
          </w:rPr>
          <w:fldChar w:fldCharType="begin"/>
        </w:r>
        <w:r w:rsidR="001818DF">
          <w:rPr>
            <w:noProof/>
            <w:webHidden/>
          </w:rPr>
          <w:instrText xml:space="preserve"> PAGEREF _Toc164154053 \h </w:instrText>
        </w:r>
        <w:r w:rsidR="001818DF">
          <w:rPr>
            <w:noProof/>
            <w:webHidden/>
          </w:rPr>
        </w:r>
        <w:r w:rsidR="001818DF">
          <w:rPr>
            <w:noProof/>
            <w:webHidden/>
          </w:rPr>
          <w:fldChar w:fldCharType="separate"/>
        </w:r>
        <w:r w:rsidR="009E4901">
          <w:rPr>
            <w:noProof/>
            <w:webHidden/>
          </w:rPr>
          <w:t>362</w:t>
        </w:r>
        <w:r w:rsidR="001818DF">
          <w:rPr>
            <w:noProof/>
            <w:webHidden/>
          </w:rPr>
          <w:fldChar w:fldCharType="end"/>
        </w:r>
      </w:hyperlink>
    </w:p>
    <w:p w14:paraId="52F00FFC" w14:textId="3AEFD161"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4054" w:history="1">
        <w:r w:rsidR="001818DF" w:rsidRPr="002452A1">
          <w:rPr>
            <w:rStyle w:val="Hyperlink"/>
            <w:bCs/>
            <w:noProof/>
          </w:rPr>
          <w:t xml:space="preserve">Figure 8.3.1 </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bCs/>
            <w:noProof/>
          </w:rPr>
          <w:t>Cluster block diagram for Tokelau’s solar project</w:t>
        </w:r>
        <w:r w:rsidR="001818DF">
          <w:rPr>
            <w:noProof/>
            <w:webHidden/>
          </w:rPr>
          <w:tab/>
        </w:r>
        <w:r w:rsidR="001818DF">
          <w:rPr>
            <w:noProof/>
            <w:webHidden/>
          </w:rPr>
          <w:fldChar w:fldCharType="begin"/>
        </w:r>
        <w:r w:rsidR="001818DF">
          <w:rPr>
            <w:noProof/>
            <w:webHidden/>
          </w:rPr>
          <w:instrText xml:space="preserve"> PAGEREF _Toc164154054 \h </w:instrText>
        </w:r>
        <w:r w:rsidR="001818DF">
          <w:rPr>
            <w:noProof/>
            <w:webHidden/>
          </w:rPr>
        </w:r>
        <w:r w:rsidR="001818DF">
          <w:rPr>
            <w:noProof/>
            <w:webHidden/>
          </w:rPr>
          <w:fldChar w:fldCharType="separate"/>
        </w:r>
        <w:r w:rsidR="009E4901">
          <w:rPr>
            <w:noProof/>
            <w:webHidden/>
          </w:rPr>
          <w:t>364</w:t>
        </w:r>
        <w:r w:rsidR="001818DF">
          <w:rPr>
            <w:noProof/>
            <w:webHidden/>
          </w:rPr>
          <w:fldChar w:fldCharType="end"/>
        </w:r>
      </w:hyperlink>
    </w:p>
    <w:p w14:paraId="5EA2193A" w14:textId="449AFFFA"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4055" w:history="1">
        <w:r w:rsidR="001818DF" w:rsidRPr="002452A1">
          <w:rPr>
            <w:rStyle w:val="Hyperlink"/>
            <w:bCs/>
            <w:noProof/>
          </w:rPr>
          <w:t>Figure 8.3.2</w:t>
        </w:r>
        <w:r w:rsidR="001818DF" w:rsidRPr="002452A1">
          <w:rPr>
            <w:rStyle w:val="Hyperlink"/>
            <w:noProof/>
          </w:rPr>
          <w:t xml:space="preserve"> </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Energy emissions by category for Tokelau (kt CO</w:t>
        </w:r>
        <w:r w:rsidR="001818DF" w:rsidRPr="002452A1">
          <w:rPr>
            <w:rStyle w:val="Hyperlink"/>
            <w:noProof/>
            <w:vertAlign w:val="subscript"/>
          </w:rPr>
          <w:t>2</w:t>
        </w:r>
        <w:r w:rsidR="001818DF" w:rsidRPr="002452A1">
          <w:rPr>
            <w:rStyle w:val="Hyperlink"/>
            <w:noProof/>
          </w:rPr>
          <w:t xml:space="preserve">-e), from </w:t>
        </w:r>
        <w:r w:rsidR="001818DF" w:rsidRPr="002452A1">
          <w:rPr>
            <w:rStyle w:val="Hyperlink"/>
            <w:bCs/>
            <w:noProof/>
          </w:rPr>
          <w:t>1990</w:t>
        </w:r>
        <w:r w:rsidR="001818DF" w:rsidRPr="002452A1">
          <w:rPr>
            <w:rStyle w:val="Hyperlink"/>
            <w:noProof/>
          </w:rPr>
          <w:t xml:space="preserve"> to </w:t>
        </w:r>
        <w:r w:rsidR="001818DF" w:rsidRPr="002452A1">
          <w:rPr>
            <w:rStyle w:val="Hyperlink"/>
            <w:bCs/>
            <w:noProof/>
          </w:rPr>
          <w:t>2022</w:t>
        </w:r>
        <w:r w:rsidR="001818DF">
          <w:rPr>
            <w:noProof/>
            <w:webHidden/>
          </w:rPr>
          <w:tab/>
        </w:r>
        <w:r w:rsidR="001818DF">
          <w:rPr>
            <w:noProof/>
            <w:webHidden/>
          </w:rPr>
          <w:fldChar w:fldCharType="begin"/>
        </w:r>
        <w:r w:rsidR="001818DF">
          <w:rPr>
            <w:noProof/>
            <w:webHidden/>
          </w:rPr>
          <w:instrText xml:space="preserve"> PAGEREF _Toc164154055 \h </w:instrText>
        </w:r>
        <w:r w:rsidR="001818DF">
          <w:rPr>
            <w:noProof/>
            <w:webHidden/>
          </w:rPr>
        </w:r>
        <w:r w:rsidR="001818DF">
          <w:rPr>
            <w:noProof/>
            <w:webHidden/>
          </w:rPr>
          <w:fldChar w:fldCharType="separate"/>
        </w:r>
        <w:r w:rsidR="009E4901">
          <w:rPr>
            <w:noProof/>
            <w:webHidden/>
          </w:rPr>
          <w:t>365</w:t>
        </w:r>
        <w:r w:rsidR="001818DF">
          <w:rPr>
            <w:noProof/>
            <w:webHidden/>
          </w:rPr>
          <w:fldChar w:fldCharType="end"/>
        </w:r>
      </w:hyperlink>
    </w:p>
    <w:p w14:paraId="0BAEA861" w14:textId="7FEF3B53"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4056" w:history="1">
        <w:r w:rsidR="001818DF" w:rsidRPr="002452A1">
          <w:rPr>
            <w:rStyle w:val="Hyperlink"/>
            <w:bCs/>
            <w:noProof/>
          </w:rPr>
          <w:t xml:space="preserve">Figure 8.6.1 </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bCs/>
            <w:noProof/>
          </w:rPr>
          <w:t>Industrial Processes and Product Use emissions by category for Tokelau (kt CO</w:t>
        </w:r>
        <w:r w:rsidR="001818DF" w:rsidRPr="002452A1">
          <w:rPr>
            <w:rStyle w:val="Hyperlink"/>
            <w:bCs/>
            <w:noProof/>
            <w:vertAlign w:val="subscript"/>
          </w:rPr>
          <w:t>2</w:t>
        </w:r>
        <w:r w:rsidR="001818DF" w:rsidRPr="002452A1">
          <w:rPr>
            <w:rStyle w:val="Hyperlink"/>
            <w:bCs/>
            <w:noProof/>
          </w:rPr>
          <w:t>-e), from 1990 to 2022</w:t>
        </w:r>
        <w:r w:rsidR="001818DF">
          <w:rPr>
            <w:noProof/>
            <w:webHidden/>
          </w:rPr>
          <w:tab/>
        </w:r>
        <w:r w:rsidR="001818DF">
          <w:rPr>
            <w:noProof/>
            <w:webHidden/>
          </w:rPr>
          <w:fldChar w:fldCharType="begin"/>
        </w:r>
        <w:r w:rsidR="001818DF">
          <w:rPr>
            <w:noProof/>
            <w:webHidden/>
          </w:rPr>
          <w:instrText xml:space="preserve"> PAGEREF _Toc164154056 \h </w:instrText>
        </w:r>
        <w:r w:rsidR="001818DF">
          <w:rPr>
            <w:noProof/>
            <w:webHidden/>
          </w:rPr>
        </w:r>
        <w:r w:rsidR="001818DF">
          <w:rPr>
            <w:noProof/>
            <w:webHidden/>
          </w:rPr>
          <w:fldChar w:fldCharType="separate"/>
        </w:r>
        <w:r w:rsidR="009E4901">
          <w:rPr>
            <w:noProof/>
            <w:webHidden/>
          </w:rPr>
          <w:t>372</w:t>
        </w:r>
        <w:r w:rsidR="001818DF">
          <w:rPr>
            <w:noProof/>
            <w:webHidden/>
          </w:rPr>
          <w:fldChar w:fldCharType="end"/>
        </w:r>
      </w:hyperlink>
    </w:p>
    <w:p w14:paraId="467E50B4" w14:textId="4E6E0E0D"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4057" w:history="1">
        <w:r w:rsidR="001818DF" w:rsidRPr="002452A1">
          <w:rPr>
            <w:rStyle w:val="Hyperlink"/>
            <w:bCs/>
            <w:noProof/>
          </w:rPr>
          <w:t xml:space="preserve">Figure 8.9.1 </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bCs/>
            <w:noProof/>
          </w:rPr>
          <w:t>Agriculture emissions by category for Tokelau (kt CO</w:t>
        </w:r>
        <w:r w:rsidR="001818DF" w:rsidRPr="002452A1">
          <w:rPr>
            <w:rStyle w:val="Hyperlink"/>
            <w:bCs/>
            <w:noProof/>
            <w:vertAlign w:val="subscript"/>
          </w:rPr>
          <w:t>2</w:t>
        </w:r>
        <w:r w:rsidR="001818DF" w:rsidRPr="002452A1">
          <w:rPr>
            <w:rStyle w:val="Hyperlink"/>
            <w:bCs/>
            <w:noProof/>
          </w:rPr>
          <w:t>-e), from 1990 to 2022</w:t>
        </w:r>
        <w:r w:rsidR="001818DF">
          <w:rPr>
            <w:noProof/>
            <w:webHidden/>
          </w:rPr>
          <w:tab/>
        </w:r>
        <w:r w:rsidR="001818DF">
          <w:rPr>
            <w:noProof/>
            <w:webHidden/>
          </w:rPr>
          <w:fldChar w:fldCharType="begin"/>
        </w:r>
        <w:r w:rsidR="001818DF">
          <w:rPr>
            <w:noProof/>
            <w:webHidden/>
          </w:rPr>
          <w:instrText xml:space="preserve"> PAGEREF _Toc164154057 \h </w:instrText>
        </w:r>
        <w:r w:rsidR="001818DF">
          <w:rPr>
            <w:noProof/>
            <w:webHidden/>
          </w:rPr>
        </w:r>
        <w:r w:rsidR="001818DF">
          <w:rPr>
            <w:noProof/>
            <w:webHidden/>
          </w:rPr>
          <w:fldChar w:fldCharType="separate"/>
        </w:r>
        <w:r w:rsidR="009E4901">
          <w:rPr>
            <w:noProof/>
            <w:webHidden/>
          </w:rPr>
          <w:t>377</w:t>
        </w:r>
        <w:r w:rsidR="001818DF">
          <w:rPr>
            <w:noProof/>
            <w:webHidden/>
          </w:rPr>
          <w:fldChar w:fldCharType="end"/>
        </w:r>
      </w:hyperlink>
    </w:p>
    <w:p w14:paraId="76EADD75" w14:textId="66813764"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4058" w:history="1">
        <w:r w:rsidR="001818DF" w:rsidRPr="002452A1">
          <w:rPr>
            <w:rStyle w:val="Hyperlink"/>
            <w:bCs/>
            <w:noProof/>
          </w:rPr>
          <w:t xml:space="preserve">Figure 8.12.1 </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bCs/>
            <w:noProof/>
          </w:rPr>
          <w:t>Waste sector emissions by category for Tokelau (kt CO</w:t>
        </w:r>
        <w:r w:rsidR="001818DF" w:rsidRPr="002452A1">
          <w:rPr>
            <w:rStyle w:val="Hyperlink"/>
            <w:bCs/>
            <w:noProof/>
            <w:vertAlign w:val="subscript"/>
          </w:rPr>
          <w:t>2</w:t>
        </w:r>
        <w:r w:rsidR="001818DF" w:rsidRPr="002452A1">
          <w:rPr>
            <w:rStyle w:val="Hyperlink"/>
            <w:bCs/>
            <w:noProof/>
          </w:rPr>
          <w:t>-e), from 1990 to 2022</w:t>
        </w:r>
        <w:r w:rsidR="001818DF">
          <w:rPr>
            <w:noProof/>
            <w:webHidden/>
          </w:rPr>
          <w:tab/>
        </w:r>
        <w:r w:rsidR="001818DF">
          <w:rPr>
            <w:noProof/>
            <w:webHidden/>
          </w:rPr>
          <w:fldChar w:fldCharType="begin"/>
        </w:r>
        <w:r w:rsidR="001818DF">
          <w:rPr>
            <w:noProof/>
            <w:webHidden/>
          </w:rPr>
          <w:instrText xml:space="preserve"> PAGEREF _Toc164154058 \h </w:instrText>
        </w:r>
        <w:r w:rsidR="001818DF">
          <w:rPr>
            <w:noProof/>
            <w:webHidden/>
          </w:rPr>
        </w:r>
        <w:r w:rsidR="001818DF">
          <w:rPr>
            <w:noProof/>
            <w:webHidden/>
          </w:rPr>
          <w:fldChar w:fldCharType="separate"/>
        </w:r>
        <w:r w:rsidR="009E4901">
          <w:rPr>
            <w:noProof/>
            <w:webHidden/>
          </w:rPr>
          <w:t>380</w:t>
        </w:r>
        <w:r w:rsidR="001818DF">
          <w:rPr>
            <w:noProof/>
            <w:webHidden/>
          </w:rPr>
          <w:fldChar w:fldCharType="end"/>
        </w:r>
      </w:hyperlink>
    </w:p>
    <w:p w14:paraId="2B3ECA11" w14:textId="02815396"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4059" w:history="1">
        <w:r w:rsidR="001818DF" w:rsidRPr="002452A1">
          <w:rPr>
            <w:rStyle w:val="Hyperlink"/>
            <w:noProof/>
          </w:rPr>
          <w:t xml:space="preserve">Figure 10.2.1 </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Effect of recalculations on New Zealand’s gross greenhouse gas emissions estimates, from 1990 to 2021</w:t>
        </w:r>
        <w:r w:rsidR="001818DF">
          <w:rPr>
            <w:noProof/>
            <w:webHidden/>
          </w:rPr>
          <w:tab/>
        </w:r>
        <w:r w:rsidR="001818DF">
          <w:rPr>
            <w:noProof/>
            <w:webHidden/>
          </w:rPr>
          <w:fldChar w:fldCharType="begin"/>
        </w:r>
        <w:r w:rsidR="001818DF">
          <w:rPr>
            <w:noProof/>
            <w:webHidden/>
          </w:rPr>
          <w:instrText xml:space="preserve"> PAGEREF _Toc164154059 \h </w:instrText>
        </w:r>
        <w:r w:rsidR="001818DF">
          <w:rPr>
            <w:noProof/>
            <w:webHidden/>
          </w:rPr>
        </w:r>
        <w:r w:rsidR="001818DF">
          <w:rPr>
            <w:noProof/>
            <w:webHidden/>
          </w:rPr>
          <w:fldChar w:fldCharType="separate"/>
        </w:r>
        <w:r w:rsidR="009E4901">
          <w:rPr>
            <w:noProof/>
            <w:webHidden/>
          </w:rPr>
          <w:t>392</w:t>
        </w:r>
        <w:r w:rsidR="001818DF">
          <w:rPr>
            <w:noProof/>
            <w:webHidden/>
          </w:rPr>
          <w:fldChar w:fldCharType="end"/>
        </w:r>
      </w:hyperlink>
    </w:p>
    <w:p w14:paraId="22DAABB2" w14:textId="0F477676"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4060" w:history="1">
        <w:r w:rsidR="001818DF" w:rsidRPr="002452A1">
          <w:rPr>
            <w:rStyle w:val="Hyperlink"/>
            <w:noProof/>
          </w:rPr>
          <w:t xml:space="preserve">Figure 10.2.2 </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noProof/>
          </w:rPr>
          <w:t>Effect of recalculations on New Zealand’s net greenhouse gas emissions estimates, from 1990 to 2021</w:t>
        </w:r>
        <w:r w:rsidR="001818DF">
          <w:rPr>
            <w:noProof/>
            <w:webHidden/>
          </w:rPr>
          <w:tab/>
        </w:r>
        <w:r w:rsidR="001818DF">
          <w:rPr>
            <w:noProof/>
            <w:webHidden/>
          </w:rPr>
          <w:fldChar w:fldCharType="begin"/>
        </w:r>
        <w:r w:rsidR="001818DF">
          <w:rPr>
            <w:noProof/>
            <w:webHidden/>
          </w:rPr>
          <w:instrText xml:space="preserve"> PAGEREF _Toc164154060 \h </w:instrText>
        </w:r>
        <w:r w:rsidR="001818DF">
          <w:rPr>
            <w:noProof/>
            <w:webHidden/>
          </w:rPr>
        </w:r>
        <w:r w:rsidR="001818DF">
          <w:rPr>
            <w:noProof/>
            <w:webHidden/>
          </w:rPr>
          <w:fldChar w:fldCharType="separate"/>
        </w:r>
        <w:r w:rsidR="009E4901">
          <w:rPr>
            <w:noProof/>
            <w:webHidden/>
          </w:rPr>
          <w:t>393</w:t>
        </w:r>
        <w:r w:rsidR="001818DF">
          <w:rPr>
            <w:noProof/>
            <w:webHidden/>
          </w:rPr>
          <w:fldChar w:fldCharType="end"/>
        </w:r>
      </w:hyperlink>
    </w:p>
    <w:p w14:paraId="39F98403" w14:textId="4211AB57"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4061" w:history="1">
        <w:r w:rsidR="001818DF" w:rsidRPr="002452A1">
          <w:rPr>
            <w:rStyle w:val="Hyperlink"/>
            <w:bCs/>
            <w:noProof/>
          </w:rPr>
          <w:t xml:space="preserve">Figure 10.2.3 </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bCs/>
            <w:noProof/>
          </w:rPr>
          <w:t>Effect of changes to activity data on emissions estimates from New Zealand’s Energy sector, from 1990 to 2021</w:t>
        </w:r>
        <w:r w:rsidR="001818DF">
          <w:rPr>
            <w:noProof/>
            <w:webHidden/>
          </w:rPr>
          <w:tab/>
        </w:r>
        <w:r w:rsidR="001818DF">
          <w:rPr>
            <w:noProof/>
            <w:webHidden/>
          </w:rPr>
          <w:fldChar w:fldCharType="begin"/>
        </w:r>
        <w:r w:rsidR="001818DF">
          <w:rPr>
            <w:noProof/>
            <w:webHidden/>
          </w:rPr>
          <w:instrText xml:space="preserve"> PAGEREF _Toc164154061 \h </w:instrText>
        </w:r>
        <w:r w:rsidR="001818DF">
          <w:rPr>
            <w:noProof/>
            <w:webHidden/>
          </w:rPr>
        </w:r>
        <w:r w:rsidR="001818DF">
          <w:rPr>
            <w:noProof/>
            <w:webHidden/>
          </w:rPr>
          <w:fldChar w:fldCharType="separate"/>
        </w:r>
        <w:r w:rsidR="009E4901">
          <w:rPr>
            <w:noProof/>
            <w:webHidden/>
          </w:rPr>
          <w:t>394</w:t>
        </w:r>
        <w:r w:rsidR="001818DF">
          <w:rPr>
            <w:noProof/>
            <w:webHidden/>
          </w:rPr>
          <w:fldChar w:fldCharType="end"/>
        </w:r>
      </w:hyperlink>
    </w:p>
    <w:p w14:paraId="344A3158" w14:textId="4B97BE1C"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4062" w:history="1">
        <w:r w:rsidR="001818DF" w:rsidRPr="002452A1">
          <w:rPr>
            <w:rStyle w:val="Hyperlink"/>
            <w:bCs/>
            <w:noProof/>
          </w:rPr>
          <w:t xml:space="preserve">Figure 10.2.4 </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bCs/>
            <w:noProof/>
          </w:rPr>
          <w:t>Effect of recalculations on emissions estimates from the IPPU sector, from 1990 to 2021</w:t>
        </w:r>
        <w:r w:rsidR="001818DF">
          <w:rPr>
            <w:noProof/>
            <w:webHidden/>
          </w:rPr>
          <w:tab/>
        </w:r>
        <w:r w:rsidR="001818DF">
          <w:rPr>
            <w:noProof/>
            <w:webHidden/>
          </w:rPr>
          <w:fldChar w:fldCharType="begin"/>
        </w:r>
        <w:r w:rsidR="001818DF">
          <w:rPr>
            <w:noProof/>
            <w:webHidden/>
          </w:rPr>
          <w:instrText xml:space="preserve"> PAGEREF _Toc164154062 \h </w:instrText>
        </w:r>
        <w:r w:rsidR="001818DF">
          <w:rPr>
            <w:noProof/>
            <w:webHidden/>
          </w:rPr>
        </w:r>
        <w:r w:rsidR="001818DF">
          <w:rPr>
            <w:noProof/>
            <w:webHidden/>
          </w:rPr>
          <w:fldChar w:fldCharType="separate"/>
        </w:r>
        <w:r w:rsidR="009E4901">
          <w:rPr>
            <w:noProof/>
            <w:webHidden/>
          </w:rPr>
          <w:t>395</w:t>
        </w:r>
        <w:r w:rsidR="001818DF">
          <w:rPr>
            <w:noProof/>
            <w:webHidden/>
          </w:rPr>
          <w:fldChar w:fldCharType="end"/>
        </w:r>
      </w:hyperlink>
    </w:p>
    <w:p w14:paraId="1D53D709" w14:textId="1E6A8C7E"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4063" w:history="1">
        <w:r w:rsidR="001818DF" w:rsidRPr="002452A1">
          <w:rPr>
            <w:rStyle w:val="Hyperlink"/>
            <w:bCs/>
            <w:noProof/>
          </w:rPr>
          <w:t xml:space="preserve">Figure 10.2.5 </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bCs/>
            <w:noProof/>
          </w:rPr>
          <w:t>Effect of recalculations on emissions estimates from New Zealand’s Agriculture sector, from 1990 to 2021</w:t>
        </w:r>
        <w:r w:rsidR="001818DF">
          <w:rPr>
            <w:noProof/>
            <w:webHidden/>
          </w:rPr>
          <w:tab/>
        </w:r>
        <w:r w:rsidR="001818DF">
          <w:rPr>
            <w:noProof/>
            <w:webHidden/>
          </w:rPr>
          <w:fldChar w:fldCharType="begin"/>
        </w:r>
        <w:r w:rsidR="001818DF">
          <w:rPr>
            <w:noProof/>
            <w:webHidden/>
          </w:rPr>
          <w:instrText xml:space="preserve"> PAGEREF _Toc164154063 \h </w:instrText>
        </w:r>
        <w:r w:rsidR="001818DF">
          <w:rPr>
            <w:noProof/>
            <w:webHidden/>
          </w:rPr>
        </w:r>
        <w:r w:rsidR="001818DF">
          <w:rPr>
            <w:noProof/>
            <w:webHidden/>
          </w:rPr>
          <w:fldChar w:fldCharType="separate"/>
        </w:r>
        <w:r w:rsidR="009E4901">
          <w:rPr>
            <w:noProof/>
            <w:webHidden/>
          </w:rPr>
          <w:t>396</w:t>
        </w:r>
        <w:r w:rsidR="001818DF">
          <w:rPr>
            <w:noProof/>
            <w:webHidden/>
          </w:rPr>
          <w:fldChar w:fldCharType="end"/>
        </w:r>
      </w:hyperlink>
    </w:p>
    <w:p w14:paraId="346D347C" w14:textId="27B0F365"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4064" w:history="1">
        <w:r w:rsidR="001818DF" w:rsidRPr="002452A1">
          <w:rPr>
            <w:rStyle w:val="Hyperlink"/>
            <w:bCs/>
            <w:noProof/>
          </w:rPr>
          <w:t xml:space="preserve">Figure 10.2.6 </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bCs/>
            <w:noProof/>
          </w:rPr>
          <w:t>Effect of recalculations on net emissions estimates from New Zealand’s LULUCF sector, from 1990 to 2021</w:t>
        </w:r>
        <w:r w:rsidR="001818DF">
          <w:rPr>
            <w:noProof/>
            <w:webHidden/>
          </w:rPr>
          <w:tab/>
        </w:r>
        <w:r w:rsidR="001818DF">
          <w:rPr>
            <w:noProof/>
            <w:webHidden/>
          </w:rPr>
          <w:fldChar w:fldCharType="begin"/>
        </w:r>
        <w:r w:rsidR="001818DF">
          <w:rPr>
            <w:noProof/>
            <w:webHidden/>
          </w:rPr>
          <w:instrText xml:space="preserve"> PAGEREF _Toc164154064 \h </w:instrText>
        </w:r>
        <w:r w:rsidR="001818DF">
          <w:rPr>
            <w:noProof/>
            <w:webHidden/>
          </w:rPr>
        </w:r>
        <w:r w:rsidR="001818DF">
          <w:rPr>
            <w:noProof/>
            <w:webHidden/>
          </w:rPr>
          <w:fldChar w:fldCharType="separate"/>
        </w:r>
        <w:r w:rsidR="009E4901">
          <w:rPr>
            <w:noProof/>
            <w:webHidden/>
          </w:rPr>
          <w:t>400</w:t>
        </w:r>
        <w:r w:rsidR="001818DF">
          <w:rPr>
            <w:noProof/>
            <w:webHidden/>
          </w:rPr>
          <w:fldChar w:fldCharType="end"/>
        </w:r>
      </w:hyperlink>
    </w:p>
    <w:p w14:paraId="5C834612" w14:textId="320FF7DC"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4065" w:history="1">
        <w:r w:rsidR="001818DF" w:rsidRPr="002452A1">
          <w:rPr>
            <w:rStyle w:val="Hyperlink"/>
            <w:bCs/>
            <w:noProof/>
          </w:rPr>
          <w:t xml:space="preserve">Figure 10.2.7 </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bCs/>
            <w:noProof/>
          </w:rPr>
          <w:t>Effect of recalculations on emissions estimates from New Zealand’s Waste sector, from 1990 to 2021</w:t>
        </w:r>
        <w:r w:rsidR="001818DF">
          <w:rPr>
            <w:noProof/>
            <w:webHidden/>
          </w:rPr>
          <w:tab/>
        </w:r>
        <w:r w:rsidR="001818DF">
          <w:rPr>
            <w:noProof/>
            <w:webHidden/>
          </w:rPr>
          <w:fldChar w:fldCharType="begin"/>
        </w:r>
        <w:r w:rsidR="001818DF">
          <w:rPr>
            <w:noProof/>
            <w:webHidden/>
          </w:rPr>
          <w:instrText xml:space="preserve"> PAGEREF _Toc164154065 \h </w:instrText>
        </w:r>
        <w:r w:rsidR="001818DF">
          <w:rPr>
            <w:noProof/>
            <w:webHidden/>
          </w:rPr>
        </w:r>
        <w:r w:rsidR="001818DF">
          <w:rPr>
            <w:noProof/>
            <w:webHidden/>
          </w:rPr>
          <w:fldChar w:fldCharType="separate"/>
        </w:r>
        <w:r w:rsidR="009E4901">
          <w:rPr>
            <w:noProof/>
            <w:webHidden/>
          </w:rPr>
          <w:t>401</w:t>
        </w:r>
        <w:r w:rsidR="001818DF">
          <w:rPr>
            <w:noProof/>
            <w:webHidden/>
          </w:rPr>
          <w:fldChar w:fldCharType="end"/>
        </w:r>
      </w:hyperlink>
    </w:p>
    <w:p w14:paraId="33241641" w14:textId="28CFE57B" w:rsidR="001818DF" w:rsidRDefault="008975BF">
      <w:pPr>
        <w:pStyle w:val="TableofFigures"/>
        <w:rPr>
          <w:rFonts w:asciiTheme="minorHAnsi" w:eastAsiaTheme="minorEastAsia" w:hAnsiTheme="minorHAnsi" w:cstheme="minorBidi"/>
          <w:noProof/>
          <w:kern w:val="2"/>
          <w:sz w:val="24"/>
          <w:szCs w:val="24"/>
          <w14:ligatures w14:val="standardContextual"/>
        </w:rPr>
      </w:pPr>
      <w:hyperlink w:anchor="_Toc164154066" w:history="1">
        <w:r w:rsidR="001818DF" w:rsidRPr="002452A1">
          <w:rPr>
            <w:rStyle w:val="Hyperlink"/>
            <w:bCs/>
            <w:noProof/>
          </w:rPr>
          <w:t xml:space="preserve">Figure 10.2.8 </w:t>
        </w:r>
        <w:r w:rsidR="001818DF">
          <w:rPr>
            <w:rFonts w:asciiTheme="minorHAnsi" w:eastAsiaTheme="minorEastAsia" w:hAnsiTheme="minorHAnsi" w:cstheme="minorBidi"/>
            <w:noProof/>
            <w:kern w:val="2"/>
            <w:sz w:val="24"/>
            <w:szCs w:val="24"/>
            <w14:ligatures w14:val="standardContextual"/>
          </w:rPr>
          <w:tab/>
        </w:r>
        <w:r w:rsidR="001818DF" w:rsidRPr="002452A1">
          <w:rPr>
            <w:rStyle w:val="Hyperlink"/>
            <w:bCs/>
            <w:noProof/>
          </w:rPr>
          <w:t>Effect of recalculations on emissions estimates from the Tokelau sector, from 1990 to 2021</w:t>
        </w:r>
        <w:r w:rsidR="001818DF">
          <w:rPr>
            <w:noProof/>
            <w:webHidden/>
          </w:rPr>
          <w:tab/>
        </w:r>
        <w:r w:rsidR="001818DF">
          <w:rPr>
            <w:noProof/>
            <w:webHidden/>
          </w:rPr>
          <w:fldChar w:fldCharType="begin"/>
        </w:r>
        <w:r w:rsidR="001818DF">
          <w:rPr>
            <w:noProof/>
            <w:webHidden/>
          </w:rPr>
          <w:instrText xml:space="preserve"> PAGEREF _Toc164154066 \h </w:instrText>
        </w:r>
        <w:r w:rsidR="001818DF">
          <w:rPr>
            <w:noProof/>
            <w:webHidden/>
          </w:rPr>
        </w:r>
        <w:r w:rsidR="001818DF">
          <w:rPr>
            <w:noProof/>
            <w:webHidden/>
          </w:rPr>
          <w:fldChar w:fldCharType="separate"/>
        </w:r>
        <w:r w:rsidR="009E4901">
          <w:rPr>
            <w:noProof/>
            <w:webHidden/>
          </w:rPr>
          <w:t>402</w:t>
        </w:r>
        <w:r w:rsidR="001818DF">
          <w:rPr>
            <w:noProof/>
            <w:webHidden/>
          </w:rPr>
          <w:fldChar w:fldCharType="end"/>
        </w:r>
      </w:hyperlink>
    </w:p>
    <w:p w14:paraId="588CBC71" w14:textId="0A767CCE" w:rsidR="00C21B54" w:rsidRPr="009E06AA" w:rsidRDefault="002176E7" w:rsidP="00C21B54">
      <w:r w:rsidRPr="009E06AA">
        <w:rPr>
          <w:rFonts w:ascii="Arial" w:hAnsi="Arial"/>
          <w:sz w:val="20"/>
        </w:rPr>
        <w:fldChar w:fldCharType="end"/>
      </w:r>
    </w:p>
    <w:p w14:paraId="26E2A91A" w14:textId="77777777" w:rsidR="006869E9" w:rsidRPr="009E06AA" w:rsidRDefault="006869E9" w:rsidP="00C21B54"/>
    <w:p w14:paraId="602F0E1D" w14:textId="083D696C" w:rsidR="006869E9" w:rsidRPr="009E06AA" w:rsidRDefault="006869E9">
      <w:r w:rsidRPr="009E06AA">
        <w:br w:type="page"/>
      </w:r>
    </w:p>
    <w:p w14:paraId="48A7B79F" w14:textId="397D8701" w:rsidR="006869E9" w:rsidRPr="009E06AA" w:rsidRDefault="006869E9" w:rsidP="006869E9">
      <w:pPr>
        <w:pStyle w:val="Heading1"/>
      </w:pPr>
      <w:bookmarkStart w:id="8" w:name="_Toc164154150"/>
      <w:r w:rsidRPr="009E06AA">
        <w:t>Abbreviations</w:t>
      </w:r>
      <w:bookmarkEnd w:id="8"/>
    </w:p>
    <w:tbl>
      <w:tblPr>
        <w:tblW w:w="8618" w:type="dxa"/>
        <w:tblCellMar>
          <w:left w:w="57" w:type="dxa"/>
          <w:right w:w="57" w:type="dxa"/>
        </w:tblCellMar>
        <w:tblLook w:val="04A0" w:firstRow="1" w:lastRow="0" w:firstColumn="1" w:lastColumn="0" w:noHBand="0" w:noVBand="1"/>
      </w:tblPr>
      <w:tblGrid>
        <w:gridCol w:w="1526"/>
        <w:gridCol w:w="7092"/>
      </w:tblGrid>
      <w:tr w:rsidR="00C52A1D" w:rsidRPr="009E06AA" w14:paraId="7FC78C4A" w14:textId="77777777" w:rsidTr="00FC5AE5">
        <w:tc>
          <w:tcPr>
            <w:tcW w:w="1526" w:type="dxa"/>
            <w:shd w:val="clear" w:color="auto" w:fill="auto"/>
          </w:tcPr>
          <w:p w14:paraId="08844E8B" w14:textId="77777777" w:rsidR="00C52A1D" w:rsidRPr="009E06AA" w:rsidRDefault="00C52A1D" w:rsidP="00C52A1D">
            <w:pPr>
              <w:pStyle w:val="BodyText"/>
              <w:spacing w:before="20" w:after="20" w:line="260" w:lineRule="atLeast"/>
              <w:rPr>
                <w:rFonts w:eastAsia="Calibri" w:cs="Calibri"/>
                <w:b/>
                <w:sz w:val="20"/>
                <w:szCs w:val="20"/>
              </w:rPr>
            </w:pPr>
            <w:r w:rsidRPr="009E06AA">
              <w:rPr>
                <w:rFonts w:eastAsia="Calibri" w:cs="Calibri"/>
                <w:b/>
                <w:sz w:val="20"/>
                <w:szCs w:val="20"/>
              </w:rPr>
              <w:t>AAP</w:t>
            </w:r>
          </w:p>
        </w:tc>
        <w:tc>
          <w:tcPr>
            <w:tcW w:w="7092" w:type="dxa"/>
            <w:shd w:val="clear" w:color="auto" w:fill="auto"/>
          </w:tcPr>
          <w:p w14:paraId="56C5DD4C" w14:textId="77777777" w:rsidR="00C52A1D" w:rsidRPr="009E06AA" w:rsidRDefault="00C52A1D" w:rsidP="00C52A1D">
            <w:pPr>
              <w:pStyle w:val="BodyText"/>
              <w:spacing w:before="20" w:after="20" w:line="260" w:lineRule="atLeast"/>
              <w:rPr>
                <w:rFonts w:eastAsia="Calibri" w:cs="Calibri"/>
                <w:sz w:val="20"/>
                <w:szCs w:val="20"/>
              </w:rPr>
            </w:pPr>
            <w:r w:rsidRPr="009E06AA">
              <w:rPr>
                <w:rFonts w:cs="Calibri"/>
                <w:sz w:val="20"/>
                <w:szCs w:val="20"/>
              </w:rPr>
              <w:t>average animal population</w:t>
            </w:r>
          </w:p>
        </w:tc>
      </w:tr>
      <w:tr w:rsidR="00C52A1D" w:rsidRPr="009E06AA" w14:paraId="41A10565" w14:textId="77777777" w:rsidTr="00FC5AE5">
        <w:tc>
          <w:tcPr>
            <w:tcW w:w="1526" w:type="dxa"/>
            <w:shd w:val="clear" w:color="auto" w:fill="auto"/>
          </w:tcPr>
          <w:p w14:paraId="0E32F65F" w14:textId="77777777" w:rsidR="00C52A1D" w:rsidRPr="009E06AA" w:rsidRDefault="00C52A1D" w:rsidP="00C52A1D">
            <w:pPr>
              <w:pStyle w:val="BodyText"/>
              <w:spacing w:before="20" w:after="20" w:line="260" w:lineRule="atLeast"/>
              <w:rPr>
                <w:rFonts w:eastAsia="Calibri" w:cs="Calibri"/>
                <w:b/>
                <w:sz w:val="20"/>
                <w:szCs w:val="20"/>
              </w:rPr>
            </w:pPr>
            <w:r w:rsidRPr="009E06AA">
              <w:rPr>
                <w:rFonts w:eastAsia="Calibri" w:cs="Calibri"/>
                <w:b/>
                <w:sz w:val="20"/>
                <w:szCs w:val="20"/>
              </w:rPr>
              <w:t>AD</w:t>
            </w:r>
          </w:p>
        </w:tc>
        <w:tc>
          <w:tcPr>
            <w:tcW w:w="7092" w:type="dxa"/>
            <w:shd w:val="clear" w:color="auto" w:fill="auto"/>
          </w:tcPr>
          <w:p w14:paraId="5422443F" w14:textId="77777777" w:rsidR="00C52A1D" w:rsidRPr="009E06AA" w:rsidRDefault="00C52A1D" w:rsidP="00C52A1D">
            <w:pPr>
              <w:pStyle w:val="BodyText"/>
              <w:spacing w:before="20" w:after="20" w:line="260" w:lineRule="atLeast"/>
              <w:rPr>
                <w:rFonts w:eastAsia="Calibri" w:cs="Calibri"/>
                <w:sz w:val="20"/>
                <w:szCs w:val="20"/>
              </w:rPr>
            </w:pPr>
            <w:r w:rsidRPr="009E06AA">
              <w:rPr>
                <w:rFonts w:eastAsia="Calibri" w:cs="Calibri"/>
                <w:sz w:val="20"/>
                <w:szCs w:val="20"/>
              </w:rPr>
              <w:t>activity data</w:t>
            </w:r>
          </w:p>
        </w:tc>
      </w:tr>
      <w:tr w:rsidR="00C52A1D" w:rsidRPr="009E06AA" w14:paraId="36296748" w14:textId="77777777" w:rsidTr="00FC5AE5">
        <w:tc>
          <w:tcPr>
            <w:tcW w:w="1526" w:type="dxa"/>
            <w:shd w:val="clear" w:color="auto" w:fill="auto"/>
          </w:tcPr>
          <w:p w14:paraId="5958CBBB" w14:textId="77777777" w:rsidR="00C52A1D" w:rsidRPr="009E06AA" w:rsidRDefault="00C52A1D" w:rsidP="00C52A1D">
            <w:pPr>
              <w:pStyle w:val="BodyText"/>
              <w:spacing w:before="20" w:after="20" w:line="260" w:lineRule="atLeast"/>
              <w:rPr>
                <w:rFonts w:eastAsia="Calibri" w:cs="Calibri"/>
                <w:b/>
                <w:sz w:val="20"/>
                <w:szCs w:val="20"/>
              </w:rPr>
            </w:pPr>
            <w:r w:rsidRPr="009E06AA">
              <w:rPr>
                <w:rFonts w:eastAsia="Calibri" w:cs="Calibri"/>
                <w:b/>
                <w:sz w:val="20"/>
                <w:szCs w:val="20"/>
              </w:rPr>
              <w:t>AGB</w:t>
            </w:r>
          </w:p>
        </w:tc>
        <w:tc>
          <w:tcPr>
            <w:tcW w:w="7092" w:type="dxa"/>
            <w:shd w:val="clear" w:color="auto" w:fill="auto"/>
          </w:tcPr>
          <w:p w14:paraId="3E8CAF2F" w14:textId="77777777" w:rsidR="00C52A1D" w:rsidRPr="009E06AA" w:rsidRDefault="00C52A1D" w:rsidP="00C52A1D">
            <w:pPr>
              <w:pStyle w:val="BodyText"/>
              <w:spacing w:before="20" w:after="20" w:line="260" w:lineRule="atLeast"/>
              <w:rPr>
                <w:rFonts w:eastAsia="Calibri" w:cs="Calibri"/>
                <w:sz w:val="20"/>
                <w:szCs w:val="20"/>
              </w:rPr>
            </w:pPr>
            <w:r w:rsidRPr="009E06AA">
              <w:rPr>
                <w:rFonts w:eastAsia="Calibri" w:cs="Calibri"/>
                <w:sz w:val="20"/>
                <w:szCs w:val="20"/>
              </w:rPr>
              <w:t>above-ground biomass</w:t>
            </w:r>
          </w:p>
        </w:tc>
      </w:tr>
      <w:tr w:rsidR="00C52A1D" w:rsidRPr="009E06AA" w14:paraId="3C5BD63B" w14:textId="77777777" w:rsidTr="00FC5AE5">
        <w:tc>
          <w:tcPr>
            <w:tcW w:w="1526" w:type="dxa"/>
            <w:shd w:val="clear" w:color="auto" w:fill="auto"/>
          </w:tcPr>
          <w:p w14:paraId="6D6BFA63" w14:textId="77777777" w:rsidR="00C52A1D" w:rsidRPr="009E06AA" w:rsidRDefault="00C52A1D" w:rsidP="00C52A1D">
            <w:pPr>
              <w:pStyle w:val="BodyText"/>
              <w:spacing w:before="20" w:after="20" w:line="260" w:lineRule="atLeast"/>
              <w:rPr>
                <w:rFonts w:eastAsia="Calibri" w:cs="Calibri"/>
                <w:b/>
                <w:sz w:val="20"/>
                <w:szCs w:val="20"/>
              </w:rPr>
            </w:pPr>
            <w:r w:rsidRPr="009E06AA">
              <w:rPr>
                <w:rFonts w:eastAsia="Calibri" w:cs="Calibri"/>
                <w:b/>
                <w:sz w:val="20"/>
                <w:szCs w:val="20"/>
              </w:rPr>
              <w:t>AIC</w:t>
            </w:r>
          </w:p>
        </w:tc>
        <w:tc>
          <w:tcPr>
            <w:tcW w:w="7092" w:type="dxa"/>
            <w:shd w:val="clear" w:color="auto" w:fill="auto"/>
          </w:tcPr>
          <w:p w14:paraId="6271A1DF" w14:textId="77777777" w:rsidR="00C52A1D" w:rsidRPr="009E06AA" w:rsidRDefault="00C52A1D" w:rsidP="00C52A1D">
            <w:pPr>
              <w:pStyle w:val="BodyText"/>
              <w:spacing w:before="20" w:after="20" w:line="260" w:lineRule="atLeast"/>
              <w:rPr>
                <w:rFonts w:eastAsia="Calibri" w:cs="Calibri"/>
                <w:sz w:val="20"/>
                <w:szCs w:val="20"/>
              </w:rPr>
            </w:pPr>
            <w:r w:rsidRPr="009E06AA">
              <w:rPr>
                <w:rFonts w:cs="Calibri"/>
                <w:sz w:val="20"/>
                <w:szCs w:val="20"/>
              </w:rPr>
              <w:t>Akaike information criterion</w:t>
            </w:r>
          </w:p>
        </w:tc>
      </w:tr>
      <w:tr w:rsidR="00C52A1D" w:rsidRPr="009E06AA" w14:paraId="332D8C03" w14:textId="77777777" w:rsidTr="00FC5AE5">
        <w:tc>
          <w:tcPr>
            <w:tcW w:w="1526" w:type="dxa"/>
            <w:shd w:val="clear" w:color="auto" w:fill="auto"/>
          </w:tcPr>
          <w:p w14:paraId="2A3676B1" w14:textId="77777777" w:rsidR="00C52A1D" w:rsidRPr="009E06AA" w:rsidRDefault="00C52A1D" w:rsidP="00C52A1D">
            <w:pPr>
              <w:pStyle w:val="BodyText"/>
              <w:spacing w:before="20" w:after="20" w:line="260" w:lineRule="atLeast"/>
              <w:rPr>
                <w:rFonts w:eastAsia="Calibri" w:cs="Calibri"/>
                <w:b/>
                <w:bCs/>
                <w:sz w:val="20"/>
                <w:szCs w:val="20"/>
              </w:rPr>
            </w:pPr>
            <w:r w:rsidRPr="009E06AA">
              <w:rPr>
                <w:rFonts w:cs="Calibri"/>
                <w:b/>
                <w:bCs/>
                <w:spacing w:val="-2"/>
                <w:sz w:val="20"/>
                <w:szCs w:val="20"/>
              </w:rPr>
              <w:t>ANZSIC</w:t>
            </w:r>
          </w:p>
        </w:tc>
        <w:tc>
          <w:tcPr>
            <w:tcW w:w="7092" w:type="dxa"/>
            <w:shd w:val="clear" w:color="auto" w:fill="auto"/>
          </w:tcPr>
          <w:p w14:paraId="0674354D" w14:textId="77777777" w:rsidR="00C52A1D" w:rsidRPr="009E06AA" w:rsidRDefault="00C52A1D" w:rsidP="00C52A1D">
            <w:pPr>
              <w:pStyle w:val="BodyText"/>
              <w:spacing w:before="20" w:after="20" w:line="260" w:lineRule="atLeast"/>
              <w:rPr>
                <w:rFonts w:eastAsia="Calibri" w:cs="Calibri"/>
                <w:sz w:val="20"/>
                <w:szCs w:val="20"/>
              </w:rPr>
            </w:pPr>
            <w:r w:rsidRPr="009E06AA">
              <w:rPr>
                <w:rFonts w:cs="Calibri"/>
                <w:spacing w:val="-2"/>
                <w:sz w:val="20"/>
                <w:szCs w:val="20"/>
              </w:rPr>
              <w:t>Australian and New Zealand Standard Industrial Classification</w:t>
            </w:r>
          </w:p>
        </w:tc>
      </w:tr>
      <w:tr w:rsidR="00C52A1D" w:rsidRPr="009E06AA" w14:paraId="529840B2" w14:textId="77777777" w:rsidTr="00FC5AE5">
        <w:tc>
          <w:tcPr>
            <w:tcW w:w="1526" w:type="dxa"/>
            <w:shd w:val="clear" w:color="auto" w:fill="auto"/>
          </w:tcPr>
          <w:p w14:paraId="75611C0A" w14:textId="77777777" w:rsidR="00C52A1D" w:rsidRPr="009E06AA" w:rsidRDefault="00C52A1D" w:rsidP="00C52A1D">
            <w:pPr>
              <w:pStyle w:val="BodyText"/>
              <w:spacing w:before="20" w:after="20" w:line="260" w:lineRule="atLeast"/>
              <w:rPr>
                <w:rFonts w:eastAsia="Calibri" w:cs="Calibri"/>
                <w:b/>
                <w:sz w:val="20"/>
                <w:szCs w:val="20"/>
              </w:rPr>
            </w:pPr>
            <w:r w:rsidRPr="009E06AA">
              <w:rPr>
                <w:rFonts w:eastAsia="Calibri" w:cs="Calibri"/>
                <w:b/>
                <w:sz w:val="20"/>
                <w:szCs w:val="20"/>
              </w:rPr>
              <w:t>APC</w:t>
            </w:r>
          </w:p>
        </w:tc>
        <w:tc>
          <w:tcPr>
            <w:tcW w:w="7092" w:type="dxa"/>
            <w:shd w:val="clear" w:color="auto" w:fill="auto"/>
          </w:tcPr>
          <w:p w14:paraId="297D9A61" w14:textId="77777777" w:rsidR="00C52A1D" w:rsidRPr="009E06AA" w:rsidRDefault="00C52A1D" w:rsidP="00C52A1D">
            <w:pPr>
              <w:pStyle w:val="BodyText"/>
              <w:spacing w:before="20" w:after="20" w:line="260" w:lineRule="atLeast"/>
              <w:rPr>
                <w:rFonts w:eastAsia="Calibri" w:cs="Calibri"/>
                <w:sz w:val="20"/>
                <w:szCs w:val="20"/>
              </w:rPr>
            </w:pPr>
            <w:r w:rsidRPr="009E06AA">
              <w:rPr>
                <w:rFonts w:eastAsia="Calibri" w:cs="Calibri"/>
                <w:sz w:val="20"/>
                <w:szCs w:val="20"/>
              </w:rPr>
              <w:t>Agricultural Production Census</w:t>
            </w:r>
          </w:p>
        </w:tc>
      </w:tr>
      <w:tr w:rsidR="00C52A1D" w:rsidRPr="009E06AA" w14:paraId="5F2B6D2F" w14:textId="77777777" w:rsidTr="00FC5AE5">
        <w:tc>
          <w:tcPr>
            <w:tcW w:w="1526" w:type="dxa"/>
            <w:shd w:val="clear" w:color="auto" w:fill="auto"/>
          </w:tcPr>
          <w:p w14:paraId="5A87FBA8" w14:textId="77777777" w:rsidR="00C52A1D" w:rsidRPr="009E06AA" w:rsidRDefault="00C52A1D" w:rsidP="00C52A1D">
            <w:pPr>
              <w:pStyle w:val="BodyText"/>
              <w:spacing w:before="20" w:after="20" w:line="260" w:lineRule="atLeast"/>
              <w:rPr>
                <w:rFonts w:eastAsia="Calibri" w:cs="Calibri"/>
                <w:b/>
                <w:sz w:val="20"/>
                <w:szCs w:val="20"/>
              </w:rPr>
            </w:pPr>
            <w:r w:rsidRPr="009E06AA">
              <w:rPr>
                <w:rFonts w:eastAsia="Calibri" w:cs="Calibri"/>
                <w:b/>
                <w:sz w:val="20"/>
                <w:szCs w:val="20"/>
              </w:rPr>
              <w:t>APS</w:t>
            </w:r>
          </w:p>
        </w:tc>
        <w:tc>
          <w:tcPr>
            <w:tcW w:w="7092" w:type="dxa"/>
            <w:shd w:val="clear" w:color="auto" w:fill="auto"/>
          </w:tcPr>
          <w:p w14:paraId="2DCE51F8" w14:textId="77777777" w:rsidR="00C52A1D" w:rsidRPr="009E06AA" w:rsidRDefault="00C52A1D" w:rsidP="00C52A1D">
            <w:pPr>
              <w:pStyle w:val="BodyText"/>
              <w:spacing w:before="20" w:after="20" w:line="260" w:lineRule="atLeast"/>
              <w:rPr>
                <w:rFonts w:eastAsia="Calibri" w:cs="Calibri"/>
                <w:sz w:val="20"/>
                <w:szCs w:val="20"/>
              </w:rPr>
            </w:pPr>
            <w:r w:rsidRPr="009E06AA">
              <w:rPr>
                <w:rFonts w:eastAsia="Calibri" w:cs="Calibri"/>
                <w:sz w:val="20"/>
                <w:szCs w:val="20"/>
              </w:rPr>
              <w:t>Agricultural Production Survey</w:t>
            </w:r>
          </w:p>
        </w:tc>
      </w:tr>
      <w:tr w:rsidR="00C52A1D" w:rsidRPr="009E06AA" w14:paraId="58F0B7DD" w14:textId="77777777" w:rsidTr="00FC5AE5">
        <w:tc>
          <w:tcPr>
            <w:tcW w:w="1526" w:type="dxa"/>
            <w:shd w:val="clear" w:color="auto" w:fill="auto"/>
          </w:tcPr>
          <w:p w14:paraId="7F319A5E" w14:textId="77777777" w:rsidR="00C52A1D" w:rsidRPr="009E06AA" w:rsidRDefault="00C52A1D" w:rsidP="00C52A1D">
            <w:pPr>
              <w:pStyle w:val="BodyText"/>
              <w:spacing w:before="20" w:after="20" w:line="260" w:lineRule="atLeast"/>
              <w:rPr>
                <w:rFonts w:eastAsia="Calibri" w:cs="Calibri"/>
                <w:b/>
                <w:sz w:val="20"/>
                <w:szCs w:val="20"/>
              </w:rPr>
            </w:pPr>
            <w:r w:rsidRPr="009E06AA">
              <w:rPr>
                <w:rFonts w:eastAsia="Calibri" w:cs="Calibri"/>
                <w:b/>
                <w:bCs/>
                <w:sz w:val="20"/>
                <w:szCs w:val="20"/>
              </w:rPr>
              <w:t>BGB</w:t>
            </w:r>
          </w:p>
        </w:tc>
        <w:tc>
          <w:tcPr>
            <w:tcW w:w="7092" w:type="dxa"/>
            <w:shd w:val="clear" w:color="auto" w:fill="auto"/>
          </w:tcPr>
          <w:p w14:paraId="2CFBF4F2" w14:textId="77777777" w:rsidR="00C52A1D" w:rsidRPr="009E06AA" w:rsidRDefault="00C52A1D" w:rsidP="00C52A1D">
            <w:pPr>
              <w:pStyle w:val="BodyText"/>
              <w:spacing w:before="20" w:after="20" w:line="260" w:lineRule="atLeast"/>
              <w:rPr>
                <w:rFonts w:eastAsia="Calibri" w:cs="Calibri"/>
                <w:sz w:val="20"/>
                <w:szCs w:val="20"/>
              </w:rPr>
            </w:pPr>
            <w:r w:rsidRPr="009E06AA">
              <w:rPr>
                <w:rFonts w:eastAsia="Calibri" w:cs="Calibri"/>
                <w:sz w:val="20"/>
                <w:szCs w:val="20"/>
              </w:rPr>
              <w:t>below-ground biomass</w:t>
            </w:r>
          </w:p>
        </w:tc>
      </w:tr>
      <w:tr w:rsidR="00C52A1D" w:rsidRPr="009E06AA" w14:paraId="34F9719B" w14:textId="77777777" w:rsidTr="00FC5AE5">
        <w:tc>
          <w:tcPr>
            <w:tcW w:w="1526" w:type="dxa"/>
            <w:shd w:val="clear" w:color="auto" w:fill="auto"/>
          </w:tcPr>
          <w:p w14:paraId="25CA6BDC" w14:textId="77777777" w:rsidR="00C52A1D" w:rsidRPr="009E06AA" w:rsidRDefault="00C52A1D" w:rsidP="00C52A1D">
            <w:pPr>
              <w:pStyle w:val="BodyText"/>
              <w:spacing w:before="20" w:after="20" w:line="260" w:lineRule="atLeast"/>
              <w:rPr>
                <w:rFonts w:eastAsia="Calibri" w:cs="Calibri"/>
                <w:b/>
                <w:sz w:val="20"/>
                <w:szCs w:val="20"/>
              </w:rPr>
            </w:pPr>
            <w:r w:rsidRPr="009E06AA">
              <w:rPr>
                <w:rFonts w:eastAsia="Calibri" w:cs="Calibri"/>
                <w:b/>
                <w:sz w:val="20"/>
                <w:szCs w:val="20"/>
              </w:rPr>
              <w:t>BOD</w:t>
            </w:r>
          </w:p>
        </w:tc>
        <w:tc>
          <w:tcPr>
            <w:tcW w:w="7092" w:type="dxa"/>
            <w:shd w:val="clear" w:color="auto" w:fill="auto"/>
          </w:tcPr>
          <w:p w14:paraId="619890D7" w14:textId="77777777" w:rsidR="00C52A1D" w:rsidRPr="009E06AA" w:rsidRDefault="00C52A1D" w:rsidP="00C52A1D">
            <w:pPr>
              <w:pStyle w:val="BodyText"/>
              <w:spacing w:before="20" w:after="20" w:line="260" w:lineRule="atLeast"/>
              <w:rPr>
                <w:rFonts w:eastAsia="Calibri" w:cs="Calibri"/>
                <w:sz w:val="20"/>
                <w:szCs w:val="20"/>
              </w:rPr>
            </w:pPr>
            <w:r w:rsidRPr="009E06AA">
              <w:rPr>
                <w:rFonts w:eastAsia="Calibri" w:cs="Calibri"/>
                <w:sz w:val="20"/>
                <w:szCs w:val="20"/>
              </w:rPr>
              <w:t>biochemical oxygen demand</w:t>
            </w:r>
          </w:p>
        </w:tc>
      </w:tr>
      <w:tr w:rsidR="00C52A1D" w:rsidRPr="009E06AA" w14:paraId="7754AFB4" w14:textId="77777777" w:rsidTr="00FC5AE5">
        <w:tc>
          <w:tcPr>
            <w:tcW w:w="1526" w:type="dxa"/>
            <w:shd w:val="clear" w:color="auto" w:fill="auto"/>
          </w:tcPr>
          <w:p w14:paraId="6088178E" w14:textId="77777777" w:rsidR="00C52A1D" w:rsidRPr="009E06AA" w:rsidRDefault="00C52A1D" w:rsidP="00C52A1D">
            <w:pPr>
              <w:pStyle w:val="BodyText"/>
              <w:spacing w:before="20" w:after="20" w:line="260" w:lineRule="atLeast"/>
              <w:rPr>
                <w:rFonts w:eastAsia="Calibri" w:cs="Calibri"/>
                <w:b/>
                <w:sz w:val="20"/>
                <w:szCs w:val="20"/>
              </w:rPr>
            </w:pPr>
            <w:r w:rsidRPr="009E06AA">
              <w:rPr>
                <w:rFonts w:eastAsia="Calibri" w:cs="Calibri"/>
                <w:b/>
                <w:sz w:val="20"/>
                <w:szCs w:val="20"/>
              </w:rPr>
              <w:t>BRANZ</w:t>
            </w:r>
          </w:p>
        </w:tc>
        <w:tc>
          <w:tcPr>
            <w:tcW w:w="7092" w:type="dxa"/>
            <w:shd w:val="clear" w:color="auto" w:fill="auto"/>
          </w:tcPr>
          <w:p w14:paraId="5FFC9107" w14:textId="77777777" w:rsidR="00C52A1D" w:rsidRPr="009E06AA" w:rsidRDefault="00C52A1D" w:rsidP="00C52A1D">
            <w:pPr>
              <w:pStyle w:val="BodyText"/>
              <w:spacing w:before="20" w:after="20" w:line="260" w:lineRule="atLeast"/>
              <w:rPr>
                <w:rFonts w:eastAsia="Calibri" w:cs="Calibri"/>
                <w:sz w:val="20"/>
                <w:szCs w:val="20"/>
              </w:rPr>
            </w:pPr>
            <w:r w:rsidRPr="009E06AA">
              <w:rPr>
                <w:rFonts w:eastAsia="Calibri" w:cs="Calibri"/>
                <w:sz w:val="20"/>
                <w:szCs w:val="20"/>
              </w:rPr>
              <w:t>Building Research Association of New Zealand</w:t>
            </w:r>
          </w:p>
        </w:tc>
      </w:tr>
      <w:tr w:rsidR="00C52A1D" w:rsidRPr="009E06AA" w14:paraId="2E6D1929" w14:textId="77777777" w:rsidTr="00FC5AE5">
        <w:tc>
          <w:tcPr>
            <w:tcW w:w="1526" w:type="dxa"/>
            <w:shd w:val="clear" w:color="auto" w:fill="auto"/>
          </w:tcPr>
          <w:p w14:paraId="06E57764" w14:textId="77777777" w:rsidR="00C52A1D" w:rsidRPr="009E06AA" w:rsidRDefault="00C52A1D" w:rsidP="00C52A1D">
            <w:pPr>
              <w:pStyle w:val="BodyText"/>
              <w:spacing w:before="20" w:after="20" w:line="260" w:lineRule="atLeast"/>
              <w:rPr>
                <w:rFonts w:eastAsia="Calibri" w:cs="Calibri"/>
                <w:b/>
                <w:sz w:val="20"/>
                <w:szCs w:val="20"/>
              </w:rPr>
            </w:pPr>
            <w:r w:rsidRPr="009E06AA">
              <w:rPr>
                <w:rFonts w:eastAsia="Calibri" w:cs="Calibri"/>
                <w:b/>
                <w:sz w:val="20"/>
                <w:szCs w:val="20"/>
              </w:rPr>
              <w:t>C</w:t>
            </w:r>
          </w:p>
        </w:tc>
        <w:tc>
          <w:tcPr>
            <w:tcW w:w="7092" w:type="dxa"/>
            <w:shd w:val="clear" w:color="auto" w:fill="auto"/>
          </w:tcPr>
          <w:p w14:paraId="2C21F97E" w14:textId="77777777" w:rsidR="00C52A1D" w:rsidRPr="009E06AA" w:rsidRDefault="00C52A1D" w:rsidP="00C52A1D">
            <w:pPr>
              <w:pStyle w:val="BodyText"/>
              <w:spacing w:before="20" w:after="20" w:line="260" w:lineRule="atLeast"/>
              <w:rPr>
                <w:rFonts w:eastAsia="Calibri" w:cs="Calibri"/>
                <w:sz w:val="20"/>
                <w:szCs w:val="20"/>
              </w:rPr>
            </w:pPr>
            <w:r w:rsidRPr="009E06AA">
              <w:rPr>
                <w:rFonts w:eastAsia="Calibri" w:cs="Calibri"/>
                <w:sz w:val="20"/>
                <w:szCs w:val="20"/>
              </w:rPr>
              <w:t>carbon</w:t>
            </w:r>
          </w:p>
        </w:tc>
      </w:tr>
      <w:tr w:rsidR="00C52A1D" w:rsidRPr="009E06AA" w14:paraId="7162C733" w14:textId="77777777" w:rsidTr="00FC5AE5">
        <w:tc>
          <w:tcPr>
            <w:tcW w:w="1526" w:type="dxa"/>
            <w:shd w:val="clear" w:color="auto" w:fill="auto"/>
          </w:tcPr>
          <w:p w14:paraId="2A6B1130" w14:textId="77777777" w:rsidR="00C52A1D" w:rsidRPr="009E06AA" w:rsidRDefault="00C52A1D" w:rsidP="00C52A1D">
            <w:pPr>
              <w:pStyle w:val="BodyText"/>
              <w:spacing w:before="20" w:after="20" w:line="260" w:lineRule="atLeast"/>
              <w:rPr>
                <w:rFonts w:eastAsia="Calibri" w:cs="Calibri"/>
                <w:b/>
                <w:sz w:val="20"/>
                <w:szCs w:val="20"/>
              </w:rPr>
            </w:pPr>
            <w:r w:rsidRPr="009E06AA">
              <w:rPr>
                <w:rFonts w:cs="Calibri"/>
                <w:b/>
                <w:sz w:val="20"/>
                <w:szCs w:val="20"/>
              </w:rPr>
              <w:t>C</w:t>
            </w:r>
            <w:r w:rsidRPr="009E06AA">
              <w:rPr>
                <w:rFonts w:cs="Calibri"/>
                <w:b/>
                <w:sz w:val="20"/>
                <w:szCs w:val="20"/>
                <w:vertAlign w:val="subscript"/>
              </w:rPr>
              <w:t>2</w:t>
            </w:r>
            <w:r w:rsidRPr="009E06AA">
              <w:rPr>
                <w:rFonts w:cs="Calibri"/>
                <w:b/>
                <w:sz w:val="20"/>
                <w:szCs w:val="20"/>
              </w:rPr>
              <w:t>F</w:t>
            </w:r>
            <w:r w:rsidRPr="009E06AA">
              <w:rPr>
                <w:rFonts w:cs="Calibri"/>
                <w:b/>
                <w:sz w:val="20"/>
                <w:szCs w:val="20"/>
                <w:vertAlign w:val="subscript"/>
              </w:rPr>
              <w:t>6</w:t>
            </w:r>
          </w:p>
        </w:tc>
        <w:tc>
          <w:tcPr>
            <w:tcW w:w="7092" w:type="dxa"/>
            <w:shd w:val="clear" w:color="auto" w:fill="auto"/>
          </w:tcPr>
          <w:p w14:paraId="687F295D" w14:textId="77777777" w:rsidR="00C52A1D" w:rsidRPr="009E06AA" w:rsidRDefault="00C52A1D" w:rsidP="00C52A1D">
            <w:pPr>
              <w:pStyle w:val="BodyText"/>
              <w:spacing w:before="20" w:after="20" w:line="260" w:lineRule="atLeast"/>
              <w:rPr>
                <w:rFonts w:eastAsia="Calibri" w:cs="Calibri"/>
                <w:sz w:val="20"/>
                <w:szCs w:val="20"/>
              </w:rPr>
            </w:pPr>
            <w:r w:rsidRPr="009E06AA">
              <w:rPr>
                <w:rFonts w:cs="Calibri"/>
                <w:sz w:val="20"/>
                <w:szCs w:val="20"/>
              </w:rPr>
              <w:t>perfluoroethane</w:t>
            </w:r>
          </w:p>
        </w:tc>
      </w:tr>
      <w:tr w:rsidR="00C52A1D" w:rsidRPr="009E06AA" w14:paraId="4D34270C" w14:textId="77777777" w:rsidTr="00FC5AE5">
        <w:tc>
          <w:tcPr>
            <w:tcW w:w="1526" w:type="dxa"/>
            <w:shd w:val="clear" w:color="auto" w:fill="auto"/>
          </w:tcPr>
          <w:p w14:paraId="7580D760" w14:textId="77777777" w:rsidR="00C52A1D" w:rsidRPr="009E06AA" w:rsidRDefault="00C52A1D" w:rsidP="00C52A1D">
            <w:pPr>
              <w:pStyle w:val="BodyText"/>
              <w:spacing w:before="20" w:after="20" w:line="260" w:lineRule="atLeast"/>
              <w:rPr>
                <w:rFonts w:cs="Calibri"/>
                <w:b/>
                <w:sz w:val="20"/>
                <w:szCs w:val="20"/>
              </w:rPr>
            </w:pPr>
            <w:r w:rsidRPr="009E06AA">
              <w:rPr>
                <w:rFonts w:cs="Calibri"/>
                <w:b/>
                <w:sz w:val="20"/>
                <w:szCs w:val="20"/>
              </w:rPr>
              <w:t>C</w:t>
            </w:r>
            <w:r w:rsidRPr="009E06AA">
              <w:rPr>
                <w:rFonts w:cs="Calibri"/>
                <w:b/>
                <w:sz w:val="20"/>
                <w:szCs w:val="20"/>
                <w:vertAlign w:val="subscript"/>
              </w:rPr>
              <w:t>3</w:t>
            </w:r>
            <w:r w:rsidRPr="009E06AA">
              <w:rPr>
                <w:rFonts w:cs="Calibri"/>
                <w:b/>
                <w:sz w:val="20"/>
                <w:szCs w:val="20"/>
              </w:rPr>
              <w:t>F</w:t>
            </w:r>
            <w:r w:rsidRPr="009E06AA">
              <w:rPr>
                <w:rFonts w:cs="Calibri"/>
                <w:b/>
                <w:sz w:val="20"/>
                <w:szCs w:val="20"/>
                <w:vertAlign w:val="subscript"/>
              </w:rPr>
              <w:t>8</w:t>
            </w:r>
          </w:p>
        </w:tc>
        <w:tc>
          <w:tcPr>
            <w:tcW w:w="7092" w:type="dxa"/>
            <w:shd w:val="clear" w:color="auto" w:fill="auto"/>
          </w:tcPr>
          <w:p w14:paraId="6AD374C9" w14:textId="77777777" w:rsidR="00C52A1D" w:rsidRPr="009E06AA" w:rsidRDefault="00C52A1D" w:rsidP="00C52A1D">
            <w:pPr>
              <w:pStyle w:val="BodyText"/>
              <w:spacing w:before="20" w:after="20" w:line="260" w:lineRule="atLeast"/>
              <w:rPr>
                <w:rFonts w:cs="Calibri"/>
                <w:sz w:val="20"/>
                <w:szCs w:val="20"/>
              </w:rPr>
            </w:pPr>
            <w:r w:rsidRPr="009E06AA">
              <w:rPr>
                <w:rFonts w:cs="Calibri"/>
                <w:sz w:val="20"/>
                <w:szCs w:val="20"/>
              </w:rPr>
              <w:t xml:space="preserve">perfluoropropane </w:t>
            </w:r>
          </w:p>
        </w:tc>
      </w:tr>
      <w:tr w:rsidR="00C52A1D" w:rsidRPr="009E06AA" w14:paraId="56E2B15D" w14:textId="77777777" w:rsidTr="00FC5AE5">
        <w:tc>
          <w:tcPr>
            <w:tcW w:w="1526" w:type="dxa"/>
            <w:shd w:val="clear" w:color="auto" w:fill="auto"/>
          </w:tcPr>
          <w:p w14:paraId="64CAE414" w14:textId="77777777" w:rsidR="00C52A1D" w:rsidRPr="009E06AA" w:rsidRDefault="00C52A1D" w:rsidP="00C52A1D">
            <w:pPr>
              <w:pStyle w:val="BodyText"/>
              <w:spacing w:before="20" w:after="20" w:line="260" w:lineRule="atLeast"/>
              <w:rPr>
                <w:rFonts w:eastAsia="Calibri" w:cs="Calibri"/>
                <w:b/>
                <w:sz w:val="20"/>
                <w:szCs w:val="20"/>
              </w:rPr>
            </w:pPr>
            <w:r w:rsidRPr="009E06AA">
              <w:rPr>
                <w:rFonts w:cs="Calibri"/>
                <w:b/>
                <w:sz w:val="20"/>
                <w:szCs w:val="20"/>
              </w:rPr>
              <w:t>CaO</w:t>
            </w:r>
          </w:p>
        </w:tc>
        <w:tc>
          <w:tcPr>
            <w:tcW w:w="7092" w:type="dxa"/>
            <w:shd w:val="clear" w:color="auto" w:fill="auto"/>
          </w:tcPr>
          <w:p w14:paraId="569CC29C" w14:textId="77777777" w:rsidR="00C52A1D" w:rsidRPr="009E06AA" w:rsidRDefault="00C52A1D" w:rsidP="00C52A1D">
            <w:pPr>
              <w:pStyle w:val="BodyText"/>
              <w:spacing w:before="20" w:after="20" w:line="260" w:lineRule="atLeast"/>
              <w:rPr>
                <w:rFonts w:eastAsia="Calibri" w:cs="Calibri"/>
                <w:sz w:val="20"/>
                <w:szCs w:val="20"/>
              </w:rPr>
            </w:pPr>
            <w:r w:rsidRPr="009E06AA">
              <w:rPr>
                <w:rFonts w:cs="Calibri"/>
                <w:sz w:val="20"/>
                <w:szCs w:val="20"/>
              </w:rPr>
              <w:t xml:space="preserve">calcium oxide </w:t>
            </w:r>
          </w:p>
        </w:tc>
      </w:tr>
      <w:tr w:rsidR="00C52A1D" w:rsidRPr="009E06AA" w14:paraId="0714F1A5" w14:textId="77777777" w:rsidTr="00FC5AE5">
        <w:tc>
          <w:tcPr>
            <w:tcW w:w="1526" w:type="dxa"/>
            <w:shd w:val="clear" w:color="auto" w:fill="auto"/>
          </w:tcPr>
          <w:p w14:paraId="51BB1CB1" w14:textId="77777777" w:rsidR="00C52A1D" w:rsidRPr="009E06AA" w:rsidRDefault="00C52A1D" w:rsidP="00C52A1D">
            <w:pPr>
              <w:pStyle w:val="BodyText"/>
              <w:spacing w:before="20" w:after="20" w:line="260" w:lineRule="atLeast"/>
              <w:rPr>
                <w:rFonts w:cs="Calibri"/>
                <w:b/>
                <w:sz w:val="20"/>
                <w:szCs w:val="20"/>
              </w:rPr>
            </w:pPr>
            <w:r w:rsidRPr="009E06AA">
              <w:rPr>
                <w:rFonts w:cs="Calibri"/>
                <w:b/>
                <w:sz w:val="20"/>
                <w:szCs w:val="20"/>
              </w:rPr>
              <w:t>Ca(OH)</w:t>
            </w:r>
            <w:r w:rsidRPr="009E06AA">
              <w:rPr>
                <w:rFonts w:cs="Calibri"/>
                <w:b/>
                <w:sz w:val="20"/>
                <w:szCs w:val="20"/>
                <w:vertAlign w:val="subscript"/>
              </w:rPr>
              <w:t>2</w:t>
            </w:r>
          </w:p>
        </w:tc>
        <w:tc>
          <w:tcPr>
            <w:tcW w:w="7092" w:type="dxa"/>
            <w:shd w:val="clear" w:color="auto" w:fill="auto"/>
          </w:tcPr>
          <w:p w14:paraId="12489F53" w14:textId="77777777" w:rsidR="00C52A1D" w:rsidRPr="009E06AA" w:rsidRDefault="00C52A1D" w:rsidP="00C52A1D">
            <w:pPr>
              <w:pStyle w:val="BodyText"/>
              <w:spacing w:before="20" w:after="20" w:line="260" w:lineRule="atLeast"/>
              <w:rPr>
                <w:rFonts w:cs="Calibri"/>
                <w:sz w:val="20"/>
                <w:szCs w:val="20"/>
              </w:rPr>
            </w:pPr>
            <w:r w:rsidRPr="009E06AA">
              <w:rPr>
                <w:rFonts w:cs="Calibri"/>
                <w:sz w:val="20"/>
                <w:szCs w:val="20"/>
              </w:rPr>
              <w:t>calcium hydroxide</w:t>
            </w:r>
          </w:p>
        </w:tc>
      </w:tr>
      <w:tr w:rsidR="00C52A1D" w:rsidRPr="009E06AA" w14:paraId="5548928D" w14:textId="77777777" w:rsidTr="00FC5AE5">
        <w:tc>
          <w:tcPr>
            <w:tcW w:w="1526" w:type="dxa"/>
            <w:shd w:val="clear" w:color="auto" w:fill="auto"/>
          </w:tcPr>
          <w:p w14:paraId="49870D26" w14:textId="77777777" w:rsidR="00C52A1D" w:rsidRPr="009E06AA" w:rsidRDefault="00C52A1D" w:rsidP="00C52A1D">
            <w:pPr>
              <w:pStyle w:val="BodyText"/>
              <w:spacing w:before="20" w:after="20" w:line="260" w:lineRule="atLeast"/>
              <w:rPr>
                <w:rFonts w:cs="Calibri"/>
                <w:b/>
                <w:sz w:val="20"/>
                <w:szCs w:val="20"/>
              </w:rPr>
            </w:pPr>
            <w:r w:rsidRPr="009E06AA">
              <w:rPr>
                <w:rFonts w:cs="Calibri"/>
                <w:b/>
                <w:sz w:val="20"/>
                <w:szCs w:val="20"/>
              </w:rPr>
              <w:t>CCF</w:t>
            </w:r>
            <w:r w:rsidRPr="009E06AA">
              <w:rPr>
                <w:rFonts w:cs="Calibri"/>
                <w:b/>
                <w:sz w:val="20"/>
                <w:szCs w:val="20"/>
                <w:vertAlign w:val="subscript"/>
              </w:rPr>
              <w:t>i</w:t>
            </w:r>
          </w:p>
        </w:tc>
        <w:tc>
          <w:tcPr>
            <w:tcW w:w="7092" w:type="dxa"/>
            <w:shd w:val="clear" w:color="auto" w:fill="auto"/>
          </w:tcPr>
          <w:p w14:paraId="5D104C36" w14:textId="77777777" w:rsidR="00C52A1D" w:rsidRPr="009E06AA" w:rsidRDefault="00C52A1D" w:rsidP="00C52A1D">
            <w:pPr>
              <w:pStyle w:val="BodyText"/>
              <w:spacing w:before="20" w:after="20" w:line="260" w:lineRule="atLeast"/>
              <w:rPr>
                <w:rFonts w:cs="Calibri"/>
                <w:sz w:val="20"/>
                <w:szCs w:val="20"/>
              </w:rPr>
            </w:pPr>
            <w:r w:rsidRPr="009E06AA">
              <w:rPr>
                <w:rFonts w:cs="Calibri"/>
                <w:spacing w:val="-2"/>
                <w:sz w:val="20"/>
                <w:szCs w:val="20"/>
              </w:rPr>
              <w:t>carbon content factor</w:t>
            </w:r>
          </w:p>
        </w:tc>
      </w:tr>
      <w:tr w:rsidR="00C52A1D" w:rsidRPr="009E06AA" w14:paraId="2E5CB38B" w14:textId="77777777" w:rsidTr="00FC5AE5">
        <w:tc>
          <w:tcPr>
            <w:tcW w:w="1526" w:type="dxa"/>
            <w:shd w:val="clear" w:color="auto" w:fill="auto"/>
          </w:tcPr>
          <w:p w14:paraId="4EC17849" w14:textId="77777777" w:rsidR="00C52A1D" w:rsidRPr="009E06AA" w:rsidRDefault="00C52A1D" w:rsidP="00C52A1D">
            <w:pPr>
              <w:pStyle w:val="BodyText"/>
              <w:spacing w:before="20" w:after="20" w:line="260" w:lineRule="atLeast"/>
              <w:rPr>
                <w:rFonts w:eastAsia="Calibri" w:cs="Calibri"/>
                <w:b/>
                <w:sz w:val="20"/>
                <w:szCs w:val="20"/>
              </w:rPr>
            </w:pPr>
            <w:r w:rsidRPr="009E06AA">
              <w:rPr>
                <w:rFonts w:cs="Calibri"/>
                <w:b/>
                <w:sz w:val="20"/>
                <w:szCs w:val="20"/>
              </w:rPr>
              <w:t>CF</w:t>
            </w:r>
            <w:r w:rsidRPr="009E06AA">
              <w:rPr>
                <w:rFonts w:cs="Calibri"/>
                <w:b/>
                <w:sz w:val="20"/>
                <w:szCs w:val="20"/>
                <w:vertAlign w:val="subscript"/>
              </w:rPr>
              <w:t>4</w:t>
            </w:r>
          </w:p>
        </w:tc>
        <w:tc>
          <w:tcPr>
            <w:tcW w:w="7092" w:type="dxa"/>
            <w:shd w:val="clear" w:color="auto" w:fill="auto"/>
          </w:tcPr>
          <w:p w14:paraId="6F306341" w14:textId="77777777" w:rsidR="00C52A1D" w:rsidRPr="009E06AA" w:rsidRDefault="00C52A1D" w:rsidP="00C52A1D">
            <w:pPr>
              <w:pStyle w:val="BodyText"/>
              <w:spacing w:before="20" w:after="20" w:line="260" w:lineRule="atLeast"/>
              <w:rPr>
                <w:rFonts w:eastAsia="Calibri" w:cs="Calibri"/>
                <w:sz w:val="20"/>
                <w:szCs w:val="20"/>
              </w:rPr>
            </w:pPr>
            <w:r w:rsidRPr="009E06AA">
              <w:rPr>
                <w:rFonts w:cs="Calibri"/>
                <w:sz w:val="20"/>
                <w:szCs w:val="20"/>
              </w:rPr>
              <w:t>perfluoromethane</w:t>
            </w:r>
          </w:p>
        </w:tc>
      </w:tr>
      <w:tr w:rsidR="00C52A1D" w:rsidRPr="009E06AA" w14:paraId="23FE8C05" w14:textId="77777777" w:rsidTr="00FC5AE5">
        <w:tc>
          <w:tcPr>
            <w:tcW w:w="1526" w:type="dxa"/>
            <w:shd w:val="clear" w:color="auto" w:fill="auto"/>
          </w:tcPr>
          <w:p w14:paraId="3560A9F2" w14:textId="77777777" w:rsidR="00C52A1D" w:rsidRPr="009E06AA" w:rsidRDefault="00C52A1D" w:rsidP="00C52A1D">
            <w:pPr>
              <w:pStyle w:val="BodyText"/>
              <w:spacing w:before="20" w:after="20" w:line="260" w:lineRule="atLeast"/>
              <w:rPr>
                <w:rFonts w:eastAsia="Calibri" w:cs="Calibri"/>
                <w:b/>
                <w:sz w:val="20"/>
                <w:szCs w:val="20"/>
              </w:rPr>
            </w:pPr>
            <w:r w:rsidRPr="009E06AA">
              <w:rPr>
                <w:rFonts w:cs="Calibri"/>
                <w:b/>
                <w:sz w:val="20"/>
                <w:szCs w:val="20"/>
              </w:rPr>
              <w:t>CFC</w:t>
            </w:r>
          </w:p>
        </w:tc>
        <w:tc>
          <w:tcPr>
            <w:tcW w:w="7092" w:type="dxa"/>
            <w:shd w:val="clear" w:color="auto" w:fill="auto"/>
          </w:tcPr>
          <w:p w14:paraId="58648992" w14:textId="77777777" w:rsidR="00C52A1D" w:rsidRPr="009E06AA" w:rsidRDefault="00C52A1D" w:rsidP="00C52A1D">
            <w:pPr>
              <w:pStyle w:val="BodyText"/>
              <w:spacing w:before="20" w:after="20" w:line="260" w:lineRule="atLeast"/>
              <w:rPr>
                <w:rFonts w:eastAsia="Calibri" w:cs="Calibri"/>
                <w:sz w:val="20"/>
                <w:szCs w:val="20"/>
              </w:rPr>
            </w:pPr>
            <w:r w:rsidRPr="009E06AA">
              <w:rPr>
                <w:rFonts w:cs="Calibri"/>
                <w:sz w:val="20"/>
                <w:szCs w:val="20"/>
              </w:rPr>
              <w:t>chlorofluorocarbon</w:t>
            </w:r>
          </w:p>
        </w:tc>
      </w:tr>
      <w:tr w:rsidR="00C52A1D" w:rsidRPr="009E06AA" w14:paraId="66CB43EA" w14:textId="77777777" w:rsidTr="00FC5AE5">
        <w:tc>
          <w:tcPr>
            <w:tcW w:w="1526" w:type="dxa"/>
            <w:shd w:val="clear" w:color="auto" w:fill="auto"/>
          </w:tcPr>
          <w:p w14:paraId="774E5775" w14:textId="77777777" w:rsidR="00C52A1D" w:rsidRPr="009E06AA" w:rsidRDefault="00C52A1D" w:rsidP="00C52A1D">
            <w:pPr>
              <w:pStyle w:val="BodyText"/>
              <w:spacing w:before="20" w:after="20" w:line="260" w:lineRule="atLeast"/>
              <w:rPr>
                <w:rFonts w:eastAsia="Calibri" w:cs="Calibri"/>
                <w:b/>
                <w:sz w:val="20"/>
                <w:szCs w:val="20"/>
              </w:rPr>
            </w:pPr>
            <w:r w:rsidRPr="009E06AA">
              <w:rPr>
                <w:rFonts w:eastAsia="Calibri" w:cs="Calibri"/>
                <w:b/>
                <w:sz w:val="20"/>
                <w:szCs w:val="20"/>
              </w:rPr>
              <w:t>CH</w:t>
            </w:r>
            <w:r w:rsidRPr="009E06AA">
              <w:rPr>
                <w:rFonts w:eastAsia="Calibri" w:cs="Calibri"/>
                <w:b/>
                <w:sz w:val="20"/>
                <w:szCs w:val="20"/>
                <w:vertAlign w:val="subscript"/>
              </w:rPr>
              <w:t>4</w:t>
            </w:r>
          </w:p>
        </w:tc>
        <w:tc>
          <w:tcPr>
            <w:tcW w:w="7092" w:type="dxa"/>
            <w:shd w:val="clear" w:color="auto" w:fill="auto"/>
          </w:tcPr>
          <w:p w14:paraId="137E13D3" w14:textId="77777777" w:rsidR="00C52A1D" w:rsidRPr="009E06AA" w:rsidRDefault="00C52A1D" w:rsidP="00C52A1D">
            <w:pPr>
              <w:pStyle w:val="BodyText"/>
              <w:spacing w:before="20" w:after="20" w:line="260" w:lineRule="atLeast"/>
              <w:rPr>
                <w:rFonts w:eastAsia="Calibri" w:cs="Calibri"/>
                <w:sz w:val="20"/>
                <w:szCs w:val="20"/>
              </w:rPr>
            </w:pPr>
            <w:r w:rsidRPr="009E06AA">
              <w:rPr>
                <w:rFonts w:eastAsia="Calibri" w:cs="Calibri"/>
                <w:sz w:val="20"/>
                <w:szCs w:val="20"/>
              </w:rPr>
              <w:t>methane</w:t>
            </w:r>
          </w:p>
        </w:tc>
      </w:tr>
      <w:tr w:rsidR="00C52A1D" w:rsidRPr="009E06AA" w14:paraId="09E782B7" w14:textId="77777777" w:rsidTr="00FC5AE5">
        <w:tc>
          <w:tcPr>
            <w:tcW w:w="1526" w:type="dxa"/>
            <w:shd w:val="clear" w:color="auto" w:fill="auto"/>
          </w:tcPr>
          <w:p w14:paraId="57535EC6" w14:textId="77777777" w:rsidR="00C52A1D" w:rsidRPr="009E06AA" w:rsidRDefault="00C52A1D" w:rsidP="00C52A1D">
            <w:pPr>
              <w:pStyle w:val="BodyText"/>
              <w:spacing w:before="20" w:after="20" w:line="260" w:lineRule="atLeast"/>
              <w:rPr>
                <w:rFonts w:eastAsia="Calibri" w:cs="Calibri"/>
                <w:b/>
                <w:sz w:val="20"/>
                <w:szCs w:val="20"/>
              </w:rPr>
            </w:pPr>
            <w:r w:rsidRPr="009E06AA">
              <w:rPr>
                <w:rFonts w:cs="Calibri"/>
                <w:b/>
                <w:sz w:val="20"/>
                <w:szCs w:val="20"/>
                <w:lang w:eastAsia="en-GB"/>
              </w:rPr>
              <w:t>CNG</w:t>
            </w:r>
          </w:p>
        </w:tc>
        <w:tc>
          <w:tcPr>
            <w:tcW w:w="7092" w:type="dxa"/>
            <w:shd w:val="clear" w:color="auto" w:fill="auto"/>
          </w:tcPr>
          <w:p w14:paraId="3467B715" w14:textId="77777777" w:rsidR="00C52A1D" w:rsidRPr="009E06AA" w:rsidRDefault="00C52A1D" w:rsidP="00C52A1D">
            <w:pPr>
              <w:pStyle w:val="BodyText"/>
              <w:spacing w:before="20" w:after="20" w:line="260" w:lineRule="atLeast"/>
              <w:rPr>
                <w:rFonts w:eastAsia="Calibri" w:cs="Calibri"/>
                <w:sz w:val="20"/>
                <w:szCs w:val="20"/>
              </w:rPr>
            </w:pPr>
            <w:r w:rsidRPr="009E06AA">
              <w:rPr>
                <w:rFonts w:cs="Calibri"/>
                <w:sz w:val="20"/>
                <w:szCs w:val="20"/>
                <w:lang w:eastAsia="en-GB"/>
              </w:rPr>
              <w:t>compressed natural gas</w:t>
            </w:r>
          </w:p>
        </w:tc>
      </w:tr>
      <w:tr w:rsidR="00C52A1D" w:rsidRPr="009E06AA" w14:paraId="5B12D63F" w14:textId="77777777" w:rsidTr="00FC5AE5">
        <w:tc>
          <w:tcPr>
            <w:tcW w:w="1526" w:type="dxa"/>
            <w:shd w:val="clear" w:color="auto" w:fill="auto"/>
          </w:tcPr>
          <w:p w14:paraId="118E510B" w14:textId="77777777" w:rsidR="00C52A1D" w:rsidRPr="009E06AA" w:rsidRDefault="00C52A1D" w:rsidP="00C52A1D">
            <w:pPr>
              <w:pStyle w:val="BodyText"/>
              <w:spacing w:before="20" w:after="20" w:line="260" w:lineRule="atLeast"/>
              <w:rPr>
                <w:rFonts w:eastAsia="Calibri" w:cs="Calibri"/>
                <w:b/>
                <w:sz w:val="20"/>
                <w:szCs w:val="20"/>
              </w:rPr>
            </w:pPr>
            <w:r w:rsidRPr="009E06AA">
              <w:rPr>
                <w:rFonts w:eastAsia="Calibri" w:cs="Calibri"/>
                <w:b/>
                <w:sz w:val="20"/>
                <w:szCs w:val="20"/>
              </w:rPr>
              <w:t xml:space="preserve">CO </w:t>
            </w:r>
          </w:p>
        </w:tc>
        <w:tc>
          <w:tcPr>
            <w:tcW w:w="7092" w:type="dxa"/>
            <w:shd w:val="clear" w:color="auto" w:fill="auto"/>
          </w:tcPr>
          <w:p w14:paraId="1BC7CD11" w14:textId="77777777" w:rsidR="00C52A1D" w:rsidRPr="009E06AA" w:rsidRDefault="00C52A1D" w:rsidP="00C52A1D">
            <w:pPr>
              <w:pStyle w:val="BodyText"/>
              <w:spacing w:before="20" w:after="20" w:line="260" w:lineRule="atLeast"/>
              <w:rPr>
                <w:rFonts w:eastAsia="Calibri" w:cs="Calibri"/>
                <w:sz w:val="20"/>
                <w:szCs w:val="20"/>
              </w:rPr>
            </w:pPr>
            <w:r w:rsidRPr="009E06AA">
              <w:rPr>
                <w:rFonts w:eastAsia="Calibri" w:cs="Calibri"/>
                <w:sz w:val="20"/>
                <w:szCs w:val="20"/>
              </w:rPr>
              <w:t>carbon monoxide</w:t>
            </w:r>
          </w:p>
        </w:tc>
      </w:tr>
      <w:tr w:rsidR="00C52A1D" w:rsidRPr="009E06AA" w14:paraId="5A320EF4" w14:textId="77777777" w:rsidTr="00FC5AE5">
        <w:tc>
          <w:tcPr>
            <w:tcW w:w="1526" w:type="dxa"/>
            <w:shd w:val="clear" w:color="auto" w:fill="auto"/>
          </w:tcPr>
          <w:p w14:paraId="7CB21D41" w14:textId="77777777" w:rsidR="00C52A1D" w:rsidRPr="009E06AA" w:rsidRDefault="00C52A1D" w:rsidP="00C52A1D">
            <w:pPr>
              <w:pStyle w:val="BodyText"/>
              <w:spacing w:before="20" w:after="20" w:line="260" w:lineRule="atLeast"/>
              <w:rPr>
                <w:rFonts w:eastAsia="Calibri" w:cs="Calibri"/>
                <w:b/>
                <w:sz w:val="20"/>
                <w:szCs w:val="20"/>
              </w:rPr>
            </w:pPr>
            <w:r w:rsidRPr="009E06AA">
              <w:rPr>
                <w:rFonts w:eastAsia="Calibri" w:cs="Calibri"/>
                <w:b/>
                <w:sz w:val="20"/>
                <w:szCs w:val="20"/>
              </w:rPr>
              <w:t>COD</w:t>
            </w:r>
          </w:p>
        </w:tc>
        <w:tc>
          <w:tcPr>
            <w:tcW w:w="7092" w:type="dxa"/>
            <w:shd w:val="clear" w:color="auto" w:fill="auto"/>
          </w:tcPr>
          <w:p w14:paraId="581935CE" w14:textId="77777777" w:rsidR="00C52A1D" w:rsidRPr="009E06AA" w:rsidRDefault="00C52A1D" w:rsidP="00C52A1D">
            <w:pPr>
              <w:pStyle w:val="BodyText"/>
              <w:spacing w:before="20" w:after="20" w:line="260" w:lineRule="atLeast"/>
              <w:rPr>
                <w:rFonts w:eastAsia="Calibri" w:cs="Calibri"/>
                <w:sz w:val="20"/>
                <w:szCs w:val="20"/>
              </w:rPr>
            </w:pPr>
            <w:r w:rsidRPr="009E06AA">
              <w:rPr>
                <w:rFonts w:eastAsia="Calibri" w:cs="Calibri"/>
                <w:sz w:val="20"/>
                <w:szCs w:val="20"/>
              </w:rPr>
              <w:t>chemical oxygen demand</w:t>
            </w:r>
          </w:p>
        </w:tc>
      </w:tr>
      <w:tr w:rsidR="00C52A1D" w:rsidRPr="009E06AA" w14:paraId="32763D91" w14:textId="77777777" w:rsidTr="00FC5AE5">
        <w:tc>
          <w:tcPr>
            <w:tcW w:w="1526" w:type="dxa"/>
            <w:shd w:val="clear" w:color="auto" w:fill="auto"/>
          </w:tcPr>
          <w:p w14:paraId="4D748ECA" w14:textId="77777777" w:rsidR="00C52A1D" w:rsidRPr="009E06AA" w:rsidRDefault="00C52A1D" w:rsidP="00C52A1D">
            <w:pPr>
              <w:pStyle w:val="BodyText"/>
              <w:spacing w:before="20" w:after="20" w:line="260" w:lineRule="atLeast"/>
              <w:rPr>
                <w:rFonts w:eastAsia="Calibri" w:cs="Calibri"/>
                <w:b/>
                <w:sz w:val="20"/>
                <w:szCs w:val="20"/>
              </w:rPr>
            </w:pPr>
            <w:r w:rsidRPr="009E06AA">
              <w:rPr>
                <w:rFonts w:eastAsia="Calibri" w:cs="Calibri"/>
                <w:b/>
                <w:sz w:val="20"/>
                <w:szCs w:val="20"/>
              </w:rPr>
              <w:t>COP</w:t>
            </w:r>
          </w:p>
        </w:tc>
        <w:tc>
          <w:tcPr>
            <w:tcW w:w="7092" w:type="dxa"/>
            <w:shd w:val="clear" w:color="auto" w:fill="auto"/>
          </w:tcPr>
          <w:p w14:paraId="0B96C7A8" w14:textId="77777777" w:rsidR="00C52A1D" w:rsidRPr="009E06AA" w:rsidRDefault="00C52A1D" w:rsidP="00C52A1D">
            <w:pPr>
              <w:pStyle w:val="BodyText"/>
              <w:spacing w:before="20" w:after="20" w:line="260" w:lineRule="atLeast"/>
              <w:rPr>
                <w:rFonts w:eastAsia="Calibri" w:cs="Calibri"/>
                <w:sz w:val="20"/>
                <w:szCs w:val="20"/>
              </w:rPr>
            </w:pPr>
            <w:r w:rsidRPr="009E06AA">
              <w:rPr>
                <w:rFonts w:cs="Calibri"/>
                <w:sz w:val="20"/>
                <w:szCs w:val="20"/>
              </w:rPr>
              <w:t>Conference of the Parties</w:t>
            </w:r>
          </w:p>
        </w:tc>
      </w:tr>
      <w:tr w:rsidR="00C52A1D" w:rsidRPr="009E06AA" w14:paraId="33772628" w14:textId="77777777" w:rsidTr="00FC5AE5">
        <w:tc>
          <w:tcPr>
            <w:tcW w:w="1526" w:type="dxa"/>
            <w:shd w:val="clear" w:color="auto" w:fill="auto"/>
          </w:tcPr>
          <w:p w14:paraId="7D24ACBA" w14:textId="77777777" w:rsidR="00C52A1D" w:rsidRPr="009E06AA" w:rsidRDefault="00C52A1D" w:rsidP="00C52A1D">
            <w:pPr>
              <w:pStyle w:val="BodyText"/>
              <w:spacing w:before="20" w:after="20" w:line="260" w:lineRule="atLeast"/>
              <w:rPr>
                <w:rFonts w:eastAsia="Calibri" w:cs="Calibri"/>
                <w:b/>
                <w:sz w:val="20"/>
                <w:szCs w:val="20"/>
              </w:rPr>
            </w:pPr>
            <w:r w:rsidRPr="009E06AA">
              <w:rPr>
                <w:rFonts w:eastAsia="Calibri" w:cs="Calibri"/>
                <w:b/>
                <w:sz w:val="20"/>
                <w:szCs w:val="20"/>
              </w:rPr>
              <w:t>CO</w:t>
            </w:r>
            <w:r w:rsidRPr="009E06AA">
              <w:rPr>
                <w:rFonts w:eastAsia="Calibri" w:cs="Calibri"/>
                <w:b/>
                <w:sz w:val="20"/>
                <w:szCs w:val="20"/>
                <w:vertAlign w:val="subscript"/>
              </w:rPr>
              <w:t>2</w:t>
            </w:r>
            <w:r w:rsidRPr="009E06AA">
              <w:rPr>
                <w:rFonts w:eastAsia="Calibri" w:cs="Calibri"/>
                <w:b/>
                <w:sz w:val="20"/>
                <w:szCs w:val="20"/>
              </w:rPr>
              <w:t xml:space="preserve"> </w:t>
            </w:r>
          </w:p>
        </w:tc>
        <w:tc>
          <w:tcPr>
            <w:tcW w:w="7092" w:type="dxa"/>
            <w:shd w:val="clear" w:color="auto" w:fill="auto"/>
          </w:tcPr>
          <w:p w14:paraId="03035F99" w14:textId="77777777" w:rsidR="00C52A1D" w:rsidRPr="009E06AA" w:rsidRDefault="00C52A1D" w:rsidP="00C52A1D">
            <w:pPr>
              <w:pStyle w:val="BodyText"/>
              <w:spacing w:before="20" w:after="20" w:line="260" w:lineRule="atLeast"/>
              <w:rPr>
                <w:rFonts w:eastAsia="Calibri" w:cs="Calibri"/>
                <w:sz w:val="20"/>
                <w:szCs w:val="20"/>
              </w:rPr>
            </w:pPr>
            <w:r w:rsidRPr="009E06AA">
              <w:rPr>
                <w:rFonts w:eastAsia="Calibri" w:cs="Calibri"/>
                <w:sz w:val="20"/>
                <w:szCs w:val="20"/>
              </w:rPr>
              <w:t>carbon dioxide</w:t>
            </w:r>
          </w:p>
        </w:tc>
      </w:tr>
      <w:tr w:rsidR="00C52A1D" w:rsidRPr="009E06AA" w14:paraId="37D4E5DE" w14:textId="77777777" w:rsidTr="00FC5AE5">
        <w:tc>
          <w:tcPr>
            <w:tcW w:w="1526" w:type="dxa"/>
            <w:shd w:val="clear" w:color="auto" w:fill="auto"/>
          </w:tcPr>
          <w:p w14:paraId="7CFFA180" w14:textId="77777777" w:rsidR="00C52A1D" w:rsidRPr="009E06AA" w:rsidRDefault="00C52A1D" w:rsidP="00C52A1D">
            <w:pPr>
              <w:pStyle w:val="BodyText"/>
              <w:spacing w:before="20" w:after="20" w:line="260" w:lineRule="atLeast"/>
              <w:rPr>
                <w:rFonts w:eastAsia="Calibri" w:cs="Calibri"/>
                <w:b/>
                <w:sz w:val="20"/>
                <w:szCs w:val="20"/>
              </w:rPr>
            </w:pPr>
            <w:r w:rsidRPr="009E06AA">
              <w:rPr>
                <w:rFonts w:eastAsia="Calibri" w:cs="Calibri"/>
                <w:b/>
                <w:sz w:val="20"/>
                <w:szCs w:val="20"/>
              </w:rPr>
              <w:t>CO</w:t>
            </w:r>
            <w:r w:rsidRPr="009E06AA">
              <w:rPr>
                <w:rFonts w:eastAsia="Calibri" w:cs="Calibri"/>
                <w:b/>
                <w:sz w:val="20"/>
                <w:szCs w:val="20"/>
                <w:vertAlign w:val="subscript"/>
              </w:rPr>
              <w:t>2</w:t>
            </w:r>
            <w:r w:rsidRPr="009E06AA">
              <w:rPr>
                <w:rFonts w:eastAsia="Calibri" w:cs="Calibri"/>
                <w:b/>
                <w:sz w:val="20"/>
                <w:szCs w:val="20"/>
              </w:rPr>
              <w:t>-e</w:t>
            </w:r>
          </w:p>
        </w:tc>
        <w:tc>
          <w:tcPr>
            <w:tcW w:w="7092" w:type="dxa"/>
            <w:shd w:val="clear" w:color="auto" w:fill="auto"/>
          </w:tcPr>
          <w:p w14:paraId="75E39B97" w14:textId="77777777" w:rsidR="00C52A1D" w:rsidRPr="009E06AA" w:rsidRDefault="00C52A1D" w:rsidP="00C52A1D">
            <w:pPr>
              <w:pStyle w:val="BodyText"/>
              <w:spacing w:before="20" w:after="20" w:line="260" w:lineRule="atLeast"/>
              <w:rPr>
                <w:rFonts w:eastAsia="Calibri" w:cs="Calibri"/>
                <w:sz w:val="20"/>
                <w:szCs w:val="20"/>
              </w:rPr>
            </w:pPr>
            <w:r w:rsidRPr="009E06AA">
              <w:rPr>
                <w:rFonts w:eastAsia="Calibri" w:cs="Calibri"/>
                <w:sz w:val="20"/>
                <w:szCs w:val="20"/>
              </w:rPr>
              <w:t>carbon dioxide equivalent</w:t>
            </w:r>
          </w:p>
        </w:tc>
      </w:tr>
      <w:tr w:rsidR="00C52A1D" w:rsidRPr="009E06AA" w14:paraId="14473974" w14:textId="77777777" w:rsidTr="00FC5AE5">
        <w:tc>
          <w:tcPr>
            <w:tcW w:w="1526" w:type="dxa"/>
            <w:shd w:val="clear" w:color="auto" w:fill="auto"/>
          </w:tcPr>
          <w:p w14:paraId="3AFF10FD" w14:textId="77777777" w:rsidR="00C52A1D" w:rsidRPr="009E06AA" w:rsidRDefault="00C52A1D" w:rsidP="00C52A1D">
            <w:pPr>
              <w:pStyle w:val="BodyText"/>
              <w:spacing w:before="20" w:after="20" w:line="260" w:lineRule="atLeast"/>
              <w:rPr>
                <w:rFonts w:eastAsia="Calibri" w:cs="Calibri"/>
                <w:b/>
                <w:sz w:val="20"/>
                <w:szCs w:val="20"/>
              </w:rPr>
            </w:pPr>
            <w:r w:rsidRPr="009E06AA">
              <w:rPr>
                <w:rFonts w:eastAsia="Calibri" w:cs="Calibri"/>
                <w:b/>
                <w:sz w:val="20"/>
                <w:szCs w:val="20"/>
              </w:rPr>
              <w:t>CRA</w:t>
            </w:r>
          </w:p>
        </w:tc>
        <w:tc>
          <w:tcPr>
            <w:tcW w:w="7092" w:type="dxa"/>
            <w:shd w:val="clear" w:color="auto" w:fill="auto"/>
          </w:tcPr>
          <w:p w14:paraId="663B8416" w14:textId="77777777" w:rsidR="00C52A1D" w:rsidRPr="009E06AA" w:rsidRDefault="00C52A1D" w:rsidP="00C52A1D">
            <w:pPr>
              <w:pStyle w:val="BodyText"/>
              <w:spacing w:before="20" w:after="20" w:line="260" w:lineRule="atLeast"/>
              <w:rPr>
                <w:rFonts w:eastAsia="Calibri" w:cs="Calibri"/>
                <w:sz w:val="20"/>
                <w:szCs w:val="20"/>
              </w:rPr>
            </w:pPr>
            <w:r w:rsidRPr="009E06AA">
              <w:rPr>
                <w:rFonts w:eastAsia="Calibri" w:cs="Calibri"/>
                <w:sz w:val="20"/>
                <w:szCs w:val="20"/>
              </w:rPr>
              <w:t>Calculation and Reporting Application</w:t>
            </w:r>
          </w:p>
        </w:tc>
      </w:tr>
      <w:tr w:rsidR="00C52A1D" w:rsidRPr="009E06AA" w14:paraId="7E1A5A53" w14:textId="77777777" w:rsidTr="00FC5AE5">
        <w:tc>
          <w:tcPr>
            <w:tcW w:w="1526" w:type="dxa"/>
            <w:shd w:val="clear" w:color="auto" w:fill="auto"/>
          </w:tcPr>
          <w:p w14:paraId="0B73DB7B" w14:textId="77777777" w:rsidR="00C52A1D" w:rsidRPr="009E06AA" w:rsidRDefault="00C52A1D" w:rsidP="00C52A1D">
            <w:pPr>
              <w:pStyle w:val="BodyText"/>
              <w:spacing w:before="20" w:after="20" w:line="260" w:lineRule="atLeast"/>
              <w:rPr>
                <w:rFonts w:eastAsia="Calibri" w:cs="Calibri"/>
                <w:b/>
                <w:sz w:val="20"/>
                <w:szCs w:val="20"/>
              </w:rPr>
            </w:pPr>
            <w:r w:rsidRPr="009E06AA">
              <w:rPr>
                <w:rFonts w:eastAsia="Calibri" w:cs="Calibri"/>
                <w:b/>
                <w:sz w:val="20"/>
                <w:szCs w:val="20"/>
              </w:rPr>
              <w:t xml:space="preserve">CRF </w:t>
            </w:r>
          </w:p>
        </w:tc>
        <w:tc>
          <w:tcPr>
            <w:tcW w:w="7092" w:type="dxa"/>
            <w:shd w:val="clear" w:color="auto" w:fill="auto"/>
          </w:tcPr>
          <w:p w14:paraId="76B7A3F8" w14:textId="77777777" w:rsidR="00C52A1D" w:rsidRPr="009E06AA" w:rsidRDefault="00C52A1D" w:rsidP="00C52A1D">
            <w:pPr>
              <w:pStyle w:val="BodyText"/>
              <w:spacing w:before="20" w:after="20" w:line="260" w:lineRule="atLeast"/>
              <w:rPr>
                <w:rFonts w:eastAsia="Calibri" w:cs="Calibri"/>
                <w:sz w:val="20"/>
                <w:szCs w:val="20"/>
              </w:rPr>
            </w:pPr>
            <w:r w:rsidRPr="009E06AA">
              <w:rPr>
                <w:rFonts w:eastAsia="Calibri" w:cs="Calibri"/>
                <w:sz w:val="20"/>
                <w:szCs w:val="20"/>
              </w:rPr>
              <w:t>common reporting format</w:t>
            </w:r>
          </w:p>
        </w:tc>
      </w:tr>
      <w:tr w:rsidR="00C52A1D" w:rsidRPr="009E06AA" w14:paraId="542F12E1" w14:textId="77777777" w:rsidTr="00FC5AE5">
        <w:tc>
          <w:tcPr>
            <w:tcW w:w="1526" w:type="dxa"/>
            <w:shd w:val="clear" w:color="auto" w:fill="auto"/>
          </w:tcPr>
          <w:p w14:paraId="54081E75" w14:textId="77777777" w:rsidR="00C52A1D" w:rsidRPr="009E06AA" w:rsidRDefault="00C52A1D" w:rsidP="00C52A1D">
            <w:pPr>
              <w:pStyle w:val="BodyText"/>
              <w:spacing w:before="20" w:after="20" w:line="260" w:lineRule="atLeast"/>
              <w:rPr>
                <w:rFonts w:eastAsia="Calibri" w:cs="Calibri"/>
                <w:b/>
                <w:sz w:val="20"/>
                <w:szCs w:val="20"/>
              </w:rPr>
            </w:pPr>
            <w:r w:rsidRPr="009E06AA">
              <w:rPr>
                <w:rFonts w:eastAsia="Calibri" w:cs="Calibri"/>
                <w:b/>
                <w:sz w:val="20"/>
                <w:szCs w:val="20"/>
              </w:rPr>
              <w:t>CRT</w:t>
            </w:r>
          </w:p>
        </w:tc>
        <w:tc>
          <w:tcPr>
            <w:tcW w:w="7092" w:type="dxa"/>
            <w:shd w:val="clear" w:color="auto" w:fill="auto"/>
          </w:tcPr>
          <w:p w14:paraId="56855587" w14:textId="77777777" w:rsidR="00C52A1D" w:rsidRPr="009E06AA" w:rsidRDefault="00C52A1D" w:rsidP="00C52A1D">
            <w:pPr>
              <w:pStyle w:val="BodyText"/>
              <w:spacing w:before="20" w:after="20" w:line="260" w:lineRule="atLeast"/>
              <w:rPr>
                <w:rFonts w:eastAsia="Calibri" w:cs="Calibri"/>
                <w:sz w:val="20"/>
                <w:szCs w:val="20"/>
              </w:rPr>
            </w:pPr>
            <w:r w:rsidRPr="009E06AA">
              <w:rPr>
                <w:rFonts w:eastAsia="Calibri" w:cs="Calibri"/>
                <w:sz w:val="20"/>
                <w:szCs w:val="20"/>
              </w:rPr>
              <w:t>common reporting table</w:t>
            </w:r>
          </w:p>
        </w:tc>
      </w:tr>
      <w:tr w:rsidR="00C52A1D" w:rsidRPr="009E06AA" w14:paraId="68D3D77C" w14:textId="77777777" w:rsidTr="00FC5AE5">
        <w:tc>
          <w:tcPr>
            <w:tcW w:w="1526" w:type="dxa"/>
            <w:shd w:val="clear" w:color="auto" w:fill="auto"/>
          </w:tcPr>
          <w:p w14:paraId="2CF41EBA" w14:textId="77777777" w:rsidR="00C52A1D" w:rsidRPr="009E06AA" w:rsidRDefault="00C52A1D" w:rsidP="00C52A1D">
            <w:pPr>
              <w:pStyle w:val="BodyText"/>
              <w:spacing w:before="20" w:after="20" w:line="260" w:lineRule="atLeast"/>
              <w:rPr>
                <w:rFonts w:cs="Calibri"/>
                <w:b/>
                <w:bCs/>
                <w:sz w:val="20"/>
                <w:szCs w:val="20"/>
              </w:rPr>
            </w:pPr>
            <w:r w:rsidRPr="009E06AA">
              <w:rPr>
                <w:rFonts w:cs="Calibri"/>
                <w:b/>
                <w:bCs/>
                <w:sz w:val="20"/>
                <w:szCs w:val="20"/>
              </w:rPr>
              <w:t>CSC</w:t>
            </w:r>
          </w:p>
        </w:tc>
        <w:tc>
          <w:tcPr>
            <w:tcW w:w="7092" w:type="dxa"/>
            <w:shd w:val="clear" w:color="auto" w:fill="auto"/>
          </w:tcPr>
          <w:p w14:paraId="2C4B8902" w14:textId="77777777" w:rsidR="00C52A1D" w:rsidRPr="009E06AA" w:rsidRDefault="00C52A1D" w:rsidP="00C52A1D">
            <w:pPr>
              <w:pStyle w:val="BodyText"/>
              <w:spacing w:before="20" w:after="20" w:line="260" w:lineRule="atLeast"/>
              <w:rPr>
                <w:rFonts w:cs="Calibri"/>
                <w:sz w:val="20"/>
                <w:szCs w:val="20"/>
              </w:rPr>
            </w:pPr>
            <w:r w:rsidRPr="009E06AA">
              <w:rPr>
                <w:rFonts w:cs="Calibri"/>
                <w:sz w:val="20"/>
                <w:szCs w:val="20"/>
              </w:rPr>
              <w:t>carbon stock change</w:t>
            </w:r>
          </w:p>
        </w:tc>
      </w:tr>
      <w:tr w:rsidR="00C52A1D" w:rsidRPr="009E06AA" w14:paraId="72F92717" w14:textId="77777777" w:rsidTr="00FC5AE5">
        <w:tc>
          <w:tcPr>
            <w:tcW w:w="1526" w:type="dxa"/>
            <w:shd w:val="clear" w:color="auto" w:fill="auto"/>
          </w:tcPr>
          <w:p w14:paraId="21FE8E02" w14:textId="77777777" w:rsidR="00C52A1D" w:rsidRPr="009E06AA" w:rsidRDefault="00C52A1D" w:rsidP="00C52A1D">
            <w:pPr>
              <w:pStyle w:val="BodyText"/>
              <w:spacing w:before="20" w:after="20" w:line="260" w:lineRule="atLeast"/>
              <w:rPr>
                <w:rFonts w:eastAsia="Calibri" w:cs="Calibri"/>
                <w:b/>
                <w:bCs/>
                <w:sz w:val="20"/>
                <w:szCs w:val="20"/>
              </w:rPr>
            </w:pPr>
            <w:r w:rsidRPr="009E06AA">
              <w:rPr>
                <w:rFonts w:cs="Calibri"/>
                <w:b/>
                <w:bCs/>
                <w:sz w:val="20"/>
                <w:szCs w:val="20"/>
              </w:rPr>
              <w:t>CSIRO</w:t>
            </w:r>
          </w:p>
        </w:tc>
        <w:tc>
          <w:tcPr>
            <w:tcW w:w="7092" w:type="dxa"/>
            <w:shd w:val="clear" w:color="auto" w:fill="auto"/>
          </w:tcPr>
          <w:p w14:paraId="3D9AB406" w14:textId="77777777" w:rsidR="00C52A1D" w:rsidRPr="009E06AA" w:rsidRDefault="00C52A1D" w:rsidP="00C52A1D">
            <w:pPr>
              <w:pStyle w:val="BodyText"/>
              <w:spacing w:before="20" w:after="20" w:line="260" w:lineRule="atLeast"/>
              <w:rPr>
                <w:rFonts w:eastAsia="Calibri" w:cs="Calibri"/>
                <w:sz w:val="20"/>
                <w:szCs w:val="20"/>
              </w:rPr>
            </w:pPr>
            <w:r w:rsidRPr="009E06AA">
              <w:rPr>
                <w:rFonts w:cs="Calibri"/>
                <w:sz w:val="20"/>
                <w:szCs w:val="20"/>
              </w:rPr>
              <w:t>Commonwealth Scientific and Industrial Research Organisation</w:t>
            </w:r>
          </w:p>
        </w:tc>
      </w:tr>
      <w:tr w:rsidR="00C52A1D" w:rsidRPr="009E06AA" w14:paraId="2C898FE2" w14:textId="77777777" w:rsidTr="00FC5AE5">
        <w:tc>
          <w:tcPr>
            <w:tcW w:w="1526" w:type="dxa"/>
            <w:shd w:val="clear" w:color="auto" w:fill="auto"/>
          </w:tcPr>
          <w:p w14:paraId="5B5D802F" w14:textId="77777777" w:rsidR="00C52A1D" w:rsidRPr="009E06AA" w:rsidRDefault="00C52A1D" w:rsidP="00C52A1D">
            <w:pPr>
              <w:pStyle w:val="BodyText"/>
              <w:spacing w:before="20" w:after="20" w:line="260" w:lineRule="atLeast"/>
              <w:rPr>
                <w:rFonts w:eastAsia="Calibri" w:cs="Calibri"/>
                <w:b/>
                <w:sz w:val="20"/>
                <w:szCs w:val="20"/>
              </w:rPr>
            </w:pPr>
            <w:r w:rsidRPr="009E06AA">
              <w:rPr>
                <w:rFonts w:eastAsia="Calibri" w:cs="Calibri"/>
                <w:b/>
                <w:sz w:val="20"/>
                <w:szCs w:val="20"/>
              </w:rPr>
              <w:t>DCD</w:t>
            </w:r>
          </w:p>
        </w:tc>
        <w:tc>
          <w:tcPr>
            <w:tcW w:w="7092" w:type="dxa"/>
            <w:shd w:val="clear" w:color="auto" w:fill="auto"/>
          </w:tcPr>
          <w:p w14:paraId="2D0B7B65" w14:textId="77777777" w:rsidR="00C52A1D" w:rsidRPr="009E06AA" w:rsidRDefault="00C52A1D" w:rsidP="00C52A1D">
            <w:pPr>
              <w:pStyle w:val="BodyText"/>
              <w:spacing w:before="20" w:after="20" w:line="260" w:lineRule="atLeast"/>
              <w:rPr>
                <w:rFonts w:eastAsia="Calibri" w:cs="Calibri"/>
                <w:sz w:val="20"/>
                <w:szCs w:val="20"/>
              </w:rPr>
            </w:pPr>
            <w:r w:rsidRPr="009E06AA">
              <w:rPr>
                <w:rFonts w:eastAsia="Calibri" w:cs="Calibri"/>
                <w:sz w:val="20"/>
                <w:szCs w:val="20"/>
              </w:rPr>
              <w:t>dicyandiamide</w:t>
            </w:r>
          </w:p>
        </w:tc>
      </w:tr>
      <w:tr w:rsidR="00C52A1D" w:rsidRPr="009E06AA" w14:paraId="42F83A70" w14:textId="77777777" w:rsidTr="00FC5AE5">
        <w:tc>
          <w:tcPr>
            <w:tcW w:w="1526" w:type="dxa"/>
            <w:shd w:val="clear" w:color="auto" w:fill="auto"/>
          </w:tcPr>
          <w:p w14:paraId="3461A1CD" w14:textId="77777777" w:rsidR="00C52A1D" w:rsidRPr="009E06AA" w:rsidRDefault="00C52A1D" w:rsidP="00C52A1D">
            <w:pPr>
              <w:pStyle w:val="BodyText"/>
              <w:spacing w:before="20" w:after="20" w:line="260" w:lineRule="atLeast"/>
              <w:rPr>
                <w:rFonts w:eastAsia="Calibri" w:cs="Calibri"/>
                <w:b/>
                <w:bCs/>
                <w:sz w:val="20"/>
                <w:szCs w:val="20"/>
              </w:rPr>
            </w:pPr>
            <w:r w:rsidRPr="009E06AA">
              <w:rPr>
                <w:rFonts w:cs="Calibri"/>
                <w:b/>
                <w:bCs/>
                <w:spacing w:val="-2"/>
                <w:sz w:val="20"/>
                <w:szCs w:val="20"/>
              </w:rPr>
              <w:t>DDOC</w:t>
            </w:r>
          </w:p>
        </w:tc>
        <w:tc>
          <w:tcPr>
            <w:tcW w:w="7092" w:type="dxa"/>
            <w:shd w:val="clear" w:color="auto" w:fill="auto"/>
          </w:tcPr>
          <w:p w14:paraId="20890101" w14:textId="77777777" w:rsidR="00C52A1D" w:rsidRPr="009E06AA" w:rsidRDefault="00C52A1D" w:rsidP="00C52A1D">
            <w:pPr>
              <w:pStyle w:val="BodyText"/>
              <w:spacing w:before="20" w:after="20" w:line="260" w:lineRule="atLeast"/>
              <w:rPr>
                <w:rFonts w:eastAsia="Calibri" w:cs="Calibri"/>
                <w:sz w:val="20"/>
                <w:szCs w:val="20"/>
              </w:rPr>
            </w:pPr>
            <w:r w:rsidRPr="009E06AA">
              <w:rPr>
                <w:rFonts w:cs="Calibri"/>
                <w:spacing w:val="-2"/>
                <w:sz w:val="20"/>
                <w:szCs w:val="20"/>
              </w:rPr>
              <w:t>decomposable degradable organic carbon</w:t>
            </w:r>
          </w:p>
        </w:tc>
      </w:tr>
      <w:tr w:rsidR="00C52A1D" w:rsidRPr="009E06AA" w14:paraId="75624F87" w14:textId="77777777" w:rsidTr="00FC5AE5">
        <w:tc>
          <w:tcPr>
            <w:tcW w:w="1526" w:type="dxa"/>
            <w:shd w:val="clear" w:color="auto" w:fill="auto"/>
          </w:tcPr>
          <w:p w14:paraId="47E6A192" w14:textId="77777777" w:rsidR="00C52A1D" w:rsidRPr="009E06AA" w:rsidRDefault="00C52A1D" w:rsidP="00C52A1D">
            <w:pPr>
              <w:pStyle w:val="BodyText"/>
              <w:spacing w:before="20" w:after="20" w:line="260" w:lineRule="atLeast"/>
              <w:rPr>
                <w:rFonts w:eastAsia="Calibri" w:cs="Calibri"/>
                <w:b/>
                <w:sz w:val="20"/>
                <w:szCs w:val="20"/>
              </w:rPr>
            </w:pPr>
            <w:r w:rsidRPr="009E06AA">
              <w:rPr>
                <w:rFonts w:eastAsia="Calibri" w:cs="Calibri"/>
                <w:b/>
                <w:sz w:val="20"/>
                <w:szCs w:val="20"/>
              </w:rPr>
              <w:t>DEF</w:t>
            </w:r>
          </w:p>
        </w:tc>
        <w:tc>
          <w:tcPr>
            <w:tcW w:w="7092" w:type="dxa"/>
            <w:shd w:val="clear" w:color="auto" w:fill="auto"/>
          </w:tcPr>
          <w:p w14:paraId="75D1316E" w14:textId="77777777" w:rsidR="00C52A1D" w:rsidRPr="009E06AA" w:rsidRDefault="00C52A1D" w:rsidP="00C52A1D">
            <w:pPr>
              <w:pStyle w:val="BodyText"/>
              <w:spacing w:before="20" w:after="20" w:line="260" w:lineRule="atLeast"/>
              <w:rPr>
                <w:rFonts w:eastAsia="Calibri" w:cs="Calibri"/>
                <w:sz w:val="20"/>
                <w:szCs w:val="20"/>
              </w:rPr>
            </w:pPr>
            <w:r w:rsidRPr="009E06AA">
              <w:rPr>
                <w:rFonts w:eastAsia="Calibri" w:cs="Calibri"/>
                <w:sz w:val="20"/>
                <w:szCs w:val="20"/>
              </w:rPr>
              <w:t>diesel exhaust fluid</w:t>
            </w:r>
          </w:p>
        </w:tc>
      </w:tr>
      <w:tr w:rsidR="00C52A1D" w:rsidRPr="009E06AA" w14:paraId="4838FA87" w14:textId="77777777" w:rsidTr="00FC5AE5">
        <w:tc>
          <w:tcPr>
            <w:tcW w:w="1526" w:type="dxa"/>
            <w:shd w:val="clear" w:color="auto" w:fill="auto"/>
          </w:tcPr>
          <w:p w14:paraId="5791F6F0" w14:textId="77777777" w:rsidR="00C52A1D" w:rsidRPr="009E06AA" w:rsidRDefault="00C52A1D" w:rsidP="00C52A1D">
            <w:pPr>
              <w:pStyle w:val="BodyText"/>
              <w:spacing w:before="20" w:after="20" w:line="260" w:lineRule="atLeast"/>
              <w:rPr>
                <w:rFonts w:eastAsia="Calibri" w:cs="Calibri"/>
                <w:b/>
                <w:sz w:val="20"/>
                <w:szCs w:val="20"/>
              </w:rPr>
            </w:pPr>
            <w:r w:rsidRPr="009E06AA">
              <w:rPr>
                <w:rFonts w:eastAsia="Calibri" w:cs="Calibri"/>
                <w:b/>
                <w:sz w:val="20"/>
                <w:szCs w:val="20"/>
              </w:rPr>
              <w:t>DIGAD</w:t>
            </w:r>
          </w:p>
        </w:tc>
        <w:tc>
          <w:tcPr>
            <w:tcW w:w="7092" w:type="dxa"/>
            <w:shd w:val="clear" w:color="auto" w:fill="auto"/>
          </w:tcPr>
          <w:p w14:paraId="15BB29A2" w14:textId="77777777" w:rsidR="00C52A1D" w:rsidRPr="009E06AA" w:rsidRDefault="00C52A1D" w:rsidP="00C52A1D">
            <w:pPr>
              <w:pStyle w:val="BodyText"/>
              <w:spacing w:before="20" w:after="20" w:line="260" w:lineRule="atLeast"/>
              <w:rPr>
                <w:rFonts w:eastAsia="Calibri" w:cs="Calibri"/>
                <w:sz w:val="20"/>
                <w:szCs w:val="20"/>
              </w:rPr>
            </w:pPr>
            <w:r w:rsidRPr="009E06AA">
              <w:rPr>
                <w:rFonts w:eastAsia="Calibri" w:cs="Calibri"/>
                <w:sz w:val="20"/>
                <w:szCs w:val="20"/>
              </w:rPr>
              <w:t>Dairy Industry Good Animal Database</w:t>
            </w:r>
          </w:p>
        </w:tc>
      </w:tr>
      <w:tr w:rsidR="00C52A1D" w:rsidRPr="009E06AA" w14:paraId="5D34F1D8" w14:textId="77777777" w:rsidTr="00FC5AE5">
        <w:tc>
          <w:tcPr>
            <w:tcW w:w="1526" w:type="dxa"/>
            <w:shd w:val="clear" w:color="auto" w:fill="auto"/>
          </w:tcPr>
          <w:p w14:paraId="4CEFDC3E" w14:textId="77777777" w:rsidR="00C52A1D" w:rsidRPr="009E06AA" w:rsidRDefault="00C52A1D" w:rsidP="00C52A1D">
            <w:pPr>
              <w:pStyle w:val="BodyText"/>
              <w:spacing w:before="20" w:after="20" w:line="260" w:lineRule="atLeast"/>
              <w:rPr>
                <w:rFonts w:eastAsia="Calibri" w:cs="Calibri"/>
                <w:b/>
                <w:sz w:val="20"/>
                <w:szCs w:val="20"/>
              </w:rPr>
            </w:pPr>
            <w:r w:rsidRPr="009E06AA">
              <w:rPr>
                <w:rFonts w:eastAsia="Calibri" w:cs="Calibri"/>
                <w:b/>
                <w:sz w:val="20"/>
                <w:szCs w:val="20"/>
              </w:rPr>
              <w:t>DM</w:t>
            </w:r>
          </w:p>
        </w:tc>
        <w:tc>
          <w:tcPr>
            <w:tcW w:w="7092" w:type="dxa"/>
            <w:shd w:val="clear" w:color="auto" w:fill="auto"/>
          </w:tcPr>
          <w:p w14:paraId="28E11024" w14:textId="77777777" w:rsidR="00C52A1D" w:rsidRPr="009E06AA" w:rsidRDefault="00C52A1D" w:rsidP="00C52A1D">
            <w:pPr>
              <w:pStyle w:val="BodyText"/>
              <w:spacing w:before="20" w:after="20" w:line="260" w:lineRule="atLeast"/>
              <w:rPr>
                <w:rFonts w:eastAsia="Calibri" w:cs="Calibri"/>
                <w:sz w:val="20"/>
                <w:szCs w:val="20"/>
              </w:rPr>
            </w:pPr>
            <w:r w:rsidRPr="009E06AA">
              <w:rPr>
                <w:rFonts w:eastAsia="Calibri" w:cs="Calibri"/>
                <w:sz w:val="20"/>
                <w:szCs w:val="20"/>
              </w:rPr>
              <w:t>dry matter</w:t>
            </w:r>
          </w:p>
        </w:tc>
      </w:tr>
      <w:tr w:rsidR="00C52A1D" w:rsidRPr="009E06AA" w14:paraId="6BE58F84" w14:textId="77777777" w:rsidTr="00FC5AE5">
        <w:tc>
          <w:tcPr>
            <w:tcW w:w="1526" w:type="dxa"/>
            <w:shd w:val="clear" w:color="auto" w:fill="auto"/>
          </w:tcPr>
          <w:p w14:paraId="532ED138" w14:textId="77777777" w:rsidR="00C52A1D" w:rsidRPr="009E06AA" w:rsidRDefault="00C52A1D" w:rsidP="00C52A1D">
            <w:pPr>
              <w:pStyle w:val="BodyText"/>
              <w:spacing w:before="20" w:after="20" w:line="260" w:lineRule="atLeast"/>
              <w:rPr>
                <w:rFonts w:eastAsia="Calibri" w:cs="Calibri"/>
                <w:b/>
                <w:sz w:val="20"/>
                <w:szCs w:val="20"/>
              </w:rPr>
            </w:pPr>
            <w:r w:rsidRPr="009E06AA">
              <w:rPr>
                <w:rFonts w:eastAsia="Calibri" w:cs="Calibri"/>
                <w:b/>
                <w:sz w:val="20"/>
                <w:szCs w:val="20"/>
              </w:rPr>
              <w:t>DMD</w:t>
            </w:r>
          </w:p>
        </w:tc>
        <w:tc>
          <w:tcPr>
            <w:tcW w:w="7092" w:type="dxa"/>
            <w:shd w:val="clear" w:color="auto" w:fill="auto"/>
          </w:tcPr>
          <w:p w14:paraId="461D44CF" w14:textId="77777777" w:rsidR="00C52A1D" w:rsidRPr="009E06AA" w:rsidRDefault="00C52A1D" w:rsidP="00C52A1D">
            <w:pPr>
              <w:pStyle w:val="BodyText"/>
              <w:spacing w:before="20" w:after="20" w:line="260" w:lineRule="atLeast"/>
              <w:rPr>
                <w:rFonts w:eastAsia="Calibri" w:cs="Calibri"/>
                <w:sz w:val="20"/>
                <w:szCs w:val="20"/>
              </w:rPr>
            </w:pPr>
            <w:r w:rsidRPr="009E06AA">
              <w:rPr>
                <w:rFonts w:eastAsia="Calibri" w:cs="Calibri"/>
                <w:sz w:val="20"/>
                <w:szCs w:val="20"/>
              </w:rPr>
              <w:t>dry-matter digestibility</w:t>
            </w:r>
          </w:p>
        </w:tc>
      </w:tr>
      <w:tr w:rsidR="00C52A1D" w:rsidRPr="009E06AA" w14:paraId="5AC71123" w14:textId="77777777" w:rsidTr="00FC5AE5">
        <w:tc>
          <w:tcPr>
            <w:tcW w:w="1526" w:type="dxa"/>
            <w:shd w:val="clear" w:color="auto" w:fill="auto"/>
          </w:tcPr>
          <w:p w14:paraId="60BF9E62" w14:textId="77777777" w:rsidR="00C52A1D" w:rsidRPr="009E06AA" w:rsidRDefault="00C52A1D" w:rsidP="00C52A1D">
            <w:pPr>
              <w:pStyle w:val="BodyText"/>
              <w:spacing w:before="20" w:after="20" w:line="260" w:lineRule="atLeast"/>
              <w:rPr>
                <w:rFonts w:eastAsia="Calibri" w:cs="Calibri"/>
                <w:b/>
                <w:sz w:val="20"/>
                <w:szCs w:val="20"/>
              </w:rPr>
            </w:pPr>
            <w:r w:rsidRPr="009E06AA">
              <w:rPr>
                <w:rFonts w:eastAsia="Calibri" w:cs="Calibri"/>
                <w:b/>
                <w:sz w:val="20"/>
                <w:szCs w:val="20"/>
              </w:rPr>
              <w:t>DMI</w:t>
            </w:r>
          </w:p>
        </w:tc>
        <w:tc>
          <w:tcPr>
            <w:tcW w:w="7092" w:type="dxa"/>
            <w:shd w:val="clear" w:color="auto" w:fill="auto"/>
          </w:tcPr>
          <w:p w14:paraId="322BF0F1" w14:textId="77777777" w:rsidR="00C52A1D" w:rsidRPr="009E06AA" w:rsidRDefault="00C52A1D" w:rsidP="00C52A1D">
            <w:pPr>
              <w:pStyle w:val="BodyText"/>
              <w:spacing w:before="20" w:after="20" w:line="260" w:lineRule="atLeast"/>
              <w:rPr>
                <w:rFonts w:eastAsia="Calibri" w:cs="Calibri"/>
                <w:sz w:val="20"/>
                <w:szCs w:val="20"/>
              </w:rPr>
            </w:pPr>
            <w:r w:rsidRPr="009E06AA">
              <w:rPr>
                <w:rFonts w:eastAsia="Calibri" w:cs="Calibri"/>
                <w:sz w:val="20"/>
                <w:szCs w:val="20"/>
              </w:rPr>
              <w:t>dry-matter intake</w:t>
            </w:r>
          </w:p>
        </w:tc>
      </w:tr>
      <w:tr w:rsidR="00C52A1D" w:rsidRPr="009E06AA" w14:paraId="06BA1456" w14:textId="77777777" w:rsidTr="00FC5AE5">
        <w:tc>
          <w:tcPr>
            <w:tcW w:w="1526" w:type="dxa"/>
            <w:shd w:val="clear" w:color="auto" w:fill="auto"/>
          </w:tcPr>
          <w:p w14:paraId="21E93F69" w14:textId="77777777" w:rsidR="00C52A1D" w:rsidRPr="009E06AA" w:rsidRDefault="00C52A1D" w:rsidP="00C52A1D">
            <w:pPr>
              <w:pStyle w:val="BodyText"/>
              <w:spacing w:before="20" w:after="20" w:line="260" w:lineRule="atLeast"/>
              <w:rPr>
                <w:rFonts w:eastAsia="Calibri" w:cs="Calibri"/>
                <w:b/>
                <w:sz w:val="20"/>
                <w:szCs w:val="20"/>
              </w:rPr>
            </w:pPr>
            <w:r w:rsidRPr="009E06AA">
              <w:rPr>
                <w:rFonts w:cs="Calibri"/>
                <w:b/>
                <w:sz w:val="20"/>
                <w:szCs w:val="20"/>
              </w:rPr>
              <w:t>DOC</w:t>
            </w:r>
          </w:p>
        </w:tc>
        <w:tc>
          <w:tcPr>
            <w:tcW w:w="7092" w:type="dxa"/>
            <w:shd w:val="clear" w:color="auto" w:fill="auto"/>
          </w:tcPr>
          <w:p w14:paraId="0C3274DE" w14:textId="77777777" w:rsidR="00C52A1D" w:rsidRPr="009E06AA" w:rsidRDefault="00C52A1D" w:rsidP="00C52A1D">
            <w:pPr>
              <w:pStyle w:val="BodyText"/>
              <w:spacing w:before="20" w:after="20" w:line="260" w:lineRule="atLeast"/>
              <w:rPr>
                <w:rFonts w:eastAsia="Calibri" w:cs="Calibri"/>
                <w:sz w:val="20"/>
                <w:szCs w:val="20"/>
              </w:rPr>
            </w:pPr>
            <w:r w:rsidRPr="009E06AA">
              <w:rPr>
                <w:rFonts w:cs="Calibri"/>
                <w:sz w:val="20"/>
                <w:szCs w:val="20"/>
              </w:rPr>
              <w:t>degradable organic carbon</w:t>
            </w:r>
          </w:p>
        </w:tc>
      </w:tr>
      <w:tr w:rsidR="00C52A1D" w:rsidRPr="009E06AA" w14:paraId="35283323" w14:textId="77777777" w:rsidTr="00FC5AE5">
        <w:tc>
          <w:tcPr>
            <w:tcW w:w="1526" w:type="dxa"/>
            <w:shd w:val="clear" w:color="auto" w:fill="auto"/>
          </w:tcPr>
          <w:p w14:paraId="2BAAD6C0" w14:textId="77777777" w:rsidR="00C52A1D" w:rsidRPr="009E06AA" w:rsidRDefault="00C52A1D" w:rsidP="00C52A1D">
            <w:pPr>
              <w:pStyle w:val="BodyText"/>
              <w:spacing w:before="20" w:after="20" w:line="260" w:lineRule="atLeast"/>
              <w:rPr>
                <w:rFonts w:cs="Calibri"/>
                <w:b/>
                <w:bCs/>
                <w:sz w:val="20"/>
                <w:szCs w:val="20"/>
              </w:rPr>
            </w:pPr>
            <w:r w:rsidRPr="009E06AA">
              <w:rPr>
                <w:rFonts w:cs="Calibri"/>
                <w:b/>
                <w:bCs/>
                <w:sz w:val="20"/>
                <w:szCs w:val="20"/>
              </w:rPr>
              <w:t>DOCf</w:t>
            </w:r>
          </w:p>
        </w:tc>
        <w:tc>
          <w:tcPr>
            <w:tcW w:w="7092" w:type="dxa"/>
            <w:shd w:val="clear" w:color="auto" w:fill="auto"/>
          </w:tcPr>
          <w:p w14:paraId="53FD3D5E" w14:textId="77777777" w:rsidR="00C52A1D" w:rsidRPr="009E06AA" w:rsidRDefault="00C52A1D" w:rsidP="00C52A1D">
            <w:pPr>
              <w:pStyle w:val="BodyText"/>
              <w:spacing w:before="20" w:after="20" w:line="260" w:lineRule="atLeast"/>
              <w:rPr>
                <w:rFonts w:cs="Calibri"/>
                <w:sz w:val="20"/>
                <w:szCs w:val="20"/>
              </w:rPr>
            </w:pPr>
            <w:r w:rsidRPr="009E06AA">
              <w:rPr>
                <w:rFonts w:cs="Calibri"/>
                <w:sz w:val="20"/>
                <w:szCs w:val="20"/>
              </w:rPr>
              <w:t>fraction of degradable organic carbon</w:t>
            </w:r>
          </w:p>
        </w:tc>
      </w:tr>
      <w:tr w:rsidR="00C52A1D" w:rsidRPr="009E06AA" w14:paraId="270BB74F" w14:textId="77777777" w:rsidTr="00FC5AE5">
        <w:tc>
          <w:tcPr>
            <w:tcW w:w="1526" w:type="dxa"/>
            <w:shd w:val="clear" w:color="auto" w:fill="auto"/>
          </w:tcPr>
          <w:p w14:paraId="623EA672" w14:textId="77777777" w:rsidR="00C52A1D" w:rsidRPr="009E06AA" w:rsidRDefault="00C52A1D" w:rsidP="00C52A1D">
            <w:pPr>
              <w:pStyle w:val="BodyText"/>
              <w:spacing w:before="20" w:after="20" w:line="260" w:lineRule="atLeast"/>
              <w:rPr>
                <w:rFonts w:eastAsia="Calibri" w:cs="Calibri"/>
                <w:b/>
                <w:sz w:val="20"/>
                <w:szCs w:val="20"/>
              </w:rPr>
            </w:pPr>
            <w:r w:rsidRPr="009E06AA">
              <w:rPr>
                <w:rFonts w:eastAsia="Calibri" w:cs="Calibri"/>
                <w:b/>
                <w:sz w:val="20"/>
                <w:szCs w:val="20"/>
              </w:rPr>
              <w:t>DPFI</w:t>
            </w:r>
          </w:p>
        </w:tc>
        <w:tc>
          <w:tcPr>
            <w:tcW w:w="7092" w:type="dxa"/>
            <w:shd w:val="clear" w:color="auto" w:fill="auto"/>
          </w:tcPr>
          <w:p w14:paraId="1884505D" w14:textId="77777777" w:rsidR="00C52A1D" w:rsidRPr="009E06AA" w:rsidRDefault="00C52A1D" w:rsidP="00C52A1D">
            <w:pPr>
              <w:pStyle w:val="BodyText"/>
              <w:spacing w:before="20" w:after="20" w:line="260" w:lineRule="atLeast"/>
              <w:rPr>
                <w:rFonts w:eastAsia="Calibri" w:cs="Calibri"/>
                <w:sz w:val="20"/>
                <w:szCs w:val="20"/>
              </w:rPr>
            </w:pPr>
            <w:r w:rsidRPr="009E06AA">
              <w:rPr>
                <w:rFonts w:eastAsia="Calibri" w:cs="Calibri"/>
                <w:sz w:val="20"/>
                <w:szCs w:val="20"/>
              </w:rPr>
              <w:t>Delivery of Petroleum Fuels by Industry survey</w:t>
            </w:r>
          </w:p>
        </w:tc>
      </w:tr>
      <w:tr w:rsidR="00C52A1D" w:rsidRPr="009E06AA" w14:paraId="53C5FEDB" w14:textId="77777777" w:rsidTr="00FC5AE5">
        <w:tc>
          <w:tcPr>
            <w:tcW w:w="1526" w:type="dxa"/>
            <w:shd w:val="clear" w:color="auto" w:fill="auto"/>
          </w:tcPr>
          <w:p w14:paraId="07841C08" w14:textId="77777777" w:rsidR="00C52A1D" w:rsidRPr="009E06AA" w:rsidRDefault="00C52A1D" w:rsidP="00C52A1D">
            <w:pPr>
              <w:pStyle w:val="BodyText"/>
              <w:spacing w:before="20" w:after="20" w:line="260" w:lineRule="atLeast"/>
              <w:rPr>
                <w:rFonts w:eastAsia="Calibri" w:cs="Calibri"/>
                <w:b/>
                <w:sz w:val="20"/>
                <w:szCs w:val="20"/>
              </w:rPr>
            </w:pPr>
            <w:r w:rsidRPr="009E06AA">
              <w:rPr>
                <w:rFonts w:eastAsia="Calibri" w:cs="Calibri"/>
                <w:b/>
                <w:sz w:val="20"/>
                <w:szCs w:val="20"/>
              </w:rPr>
              <w:t>EEZ</w:t>
            </w:r>
          </w:p>
        </w:tc>
        <w:tc>
          <w:tcPr>
            <w:tcW w:w="7092" w:type="dxa"/>
            <w:shd w:val="clear" w:color="auto" w:fill="auto"/>
          </w:tcPr>
          <w:p w14:paraId="72341993" w14:textId="77777777" w:rsidR="00C52A1D" w:rsidRPr="009E06AA" w:rsidRDefault="00C52A1D" w:rsidP="00C52A1D">
            <w:pPr>
              <w:pStyle w:val="BodyText"/>
              <w:spacing w:before="20" w:after="20" w:line="260" w:lineRule="atLeast"/>
              <w:rPr>
                <w:rFonts w:eastAsia="Calibri" w:cs="Calibri"/>
                <w:sz w:val="20"/>
                <w:szCs w:val="20"/>
              </w:rPr>
            </w:pPr>
            <w:r w:rsidRPr="009E06AA">
              <w:rPr>
                <w:rFonts w:eastAsia="Calibri" w:cs="Calibri"/>
                <w:sz w:val="20"/>
                <w:szCs w:val="20"/>
              </w:rPr>
              <w:t>Exclusive Economic Zone</w:t>
            </w:r>
          </w:p>
        </w:tc>
      </w:tr>
      <w:tr w:rsidR="00C52A1D" w:rsidRPr="009E06AA" w14:paraId="565A560F" w14:textId="77777777" w:rsidTr="00FC5AE5">
        <w:tc>
          <w:tcPr>
            <w:tcW w:w="1526" w:type="dxa"/>
            <w:shd w:val="clear" w:color="auto" w:fill="auto"/>
          </w:tcPr>
          <w:p w14:paraId="6DCF0B78" w14:textId="77777777" w:rsidR="00C52A1D" w:rsidRPr="009E06AA" w:rsidRDefault="00C52A1D" w:rsidP="00C52A1D">
            <w:pPr>
              <w:pStyle w:val="BodyText"/>
              <w:spacing w:before="20" w:after="20" w:line="260" w:lineRule="atLeast"/>
              <w:rPr>
                <w:rFonts w:eastAsia="Calibri" w:cs="Calibri"/>
                <w:b/>
                <w:sz w:val="20"/>
                <w:szCs w:val="20"/>
              </w:rPr>
            </w:pPr>
            <w:r w:rsidRPr="009E06AA">
              <w:rPr>
                <w:rFonts w:eastAsia="Calibri" w:cs="Calibri"/>
                <w:b/>
                <w:sz w:val="20"/>
                <w:szCs w:val="20"/>
              </w:rPr>
              <w:t xml:space="preserve">EF </w:t>
            </w:r>
          </w:p>
        </w:tc>
        <w:tc>
          <w:tcPr>
            <w:tcW w:w="7092" w:type="dxa"/>
            <w:shd w:val="clear" w:color="auto" w:fill="auto"/>
          </w:tcPr>
          <w:p w14:paraId="3AF7FAB9" w14:textId="77777777" w:rsidR="00C52A1D" w:rsidRPr="009E06AA" w:rsidRDefault="00C52A1D" w:rsidP="00C52A1D">
            <w:pPr>
              <w:pStyle w:val="BodyText"/>
              <w:spacing w:before="20" w:after="20" w:line="260" w:lineRule="atLeast"/>
              <w:rPr>
                <w:rFonts w:eastAsia="Calibri" w:cs="Calibri"/>
                <w:sz w:val="20"/>
                <w:szCs w:val="20"/>
              </w:rPr>
            </w:pPr>
            <w:r w:rsidRPr="009E06AA">
              <w:rPr>
                <w:rFonts w:eastAsia="Calibri" w:cs="Calibri"/>
                <w:sz w:val="20"/>
                <w:szCs w:val="20"/>
              </w:rPr>
              <w:t>emission factor</w:t>
            </w:r>
          </w:p>
        </w:tc>
      </w:tr>
      <w:tr w:rsidR="00C52A1D" w:rsidRPr="009E06AA" w14:paraId="6A27EC47" w14:textId="77777777" w:rsidTr="00FC5AE5">
        <w:tc>
          <w:tcPr>
            <w:tcW w:w="1526" w:type="dxa"/>
            <w:shd w:val="clear" w:color="auto" w:fill="auto"/>
          </w:tcPr>
          <w:p w14:paraId="62A468E5" w14:textId="77777777" w:rsidR="00C52A1D" w:rsidRPr="009E06AA" w:rsidRDefault="00C52A1D" w:rsidP="00C52A1D">
            <w:pPr>
              <w:pStyle w:val="BodyText"/>
              <w:spacing w:before="20" w:after="20" w:line="260" w:lineRule="atLeast"/>
              <w:rPr>
                <w:rFonts w:eastAsia="Calibri" w:cs="Calibri"/>
                <w:b/>
                <w:sz w:val="20"/>
                <w:szCs w:val="20"/>
              </w:rPr>
            </w:pPr>
            <w:r w:rsidRPr="009E06AA">
              <w:rPr>
                <w:rFonts w:eastAsia="Calibri" w:cs="Calibri"/>
                <w:b/>
                <w:sz w:val="20"/>
                <w:szCs w:val="20"/>
              </w:rPr>
              <w:t>EF</w:t>
            </w:r>
            <w:r w:rsidRPr="009E06AA">
              <w:rPr>
                <w:rFonts w:eastAsia="Calibri" w:cs="Calibri"/>
                <w:b/>
                <w:sz w:val="20"/>
                <w:szCs w:val="20"/>
                <w:vertAlign w:val="subscript"/>
              </w:rPr>
              <w:t>3</w:t>
            </w:r>
          </w:p>
        </w:tc>
        <w:tc>
          <w:tcPr>
            <w:tcW w:w="7092" w:type="dxa"/>
            <w:shd w:val="clear" w:color="auto" w:fill="auto"/>
          </w:tcPr>
          <w:p w14:paraId="58590529" w14:textId="77777777" w:rsidR="00C52A1D" w:rsidRPr="009E06AA" w:rsidRDefault="00C52A1D" w:rsidP="00C52A1D">
            <w:pPr>
              <w:pStyle w:val="BodyText"/>
              <w:spacing w:before="20" w:after="20" w:line="260" w:lineRule="atLeast"/>
              <w:rPr>
                <w:rFonts w:eastAsia="Calibri" w:cs="Calibri"/>
                <w:sz w:val="20"/>
                <w:szCs w:val="20"/>
              </w:rPr>
            </w:pPr>
            <w:r w:rsidRPr="009E06AA">
              <w:rPr>
                <w:rFonts w:cs="Calibri"/>
                <w:sz w:val="20"/>
                <w:szCs w:val="20"/>
              </w:rPr>
              <w:t>emission factor for N</w:t>
            </w:r>
            <w:r w:rsidRPr="009E06AA">
              <w:rPr>
                <w:rFonts w:cs="Calibri"/>
                <w:sz w:val="20"/>
                <w:szCs w:val="20"/>
                <w:vertAlign w:val="subscript"/>
              </w:rPr>
              <w:t>2</w:t>
            </w:r>
            <w:r w:rsidRPr="009E06AA">
              <w:rPr>
                <w:rFonts w:cs="Calibri"/>
                <w:sz w:val="20"/>
                <w:szCs w:val="20"/>
              </w:rPr>
              <w:t>O emissions from urine and dung nitrogen</w:t>
            </w:r>
          </w:p>
        </w:tc>
      </w:tr>
      <w:tr w:rsidR="00C52A1D" w:rsidRPr="009E06AA" w14:paraId="73C68786" w14:textId="77777777" w:rsidTr="00FC5AE5">
        <w:tc>
          <w:tcPr>
            <w:tcW w:w="1526" w:type="dxa"/>
            <w:shd w:val="clear" w:color="auto" w:fill="auto"/>
          </w:tcPr>
          <w:p w14:paraId="18A05FB3" w14:textId="77777777" w:rsidR="00C52A1D" w:rsidRPr="009E06AA" w:rsidRDefault="00C52A1D" w:rsidP="00C52A1D">
            <w:pPr>
              <w:pStyle w:val="BodyText"/>
              <w:spacing w:before="20" w:after="20" w:line="260" w:lineRule="atLeast"/>
              <w:rPr>
                <w:rFonts w:eastAsia="Calibri" w:cs="Calibri"/>
                <w:b/>
                <w:bCs/>
                <w:sz w:val="20"/>
                <w:szCs w:val="20"/>
              </w:rPr>
            </w:pPr>
            <w:r w:rsidRPr="009E06AA">
              <w:rPr>
                <w:rFonts w:cs="Calibri"/>
                <w:b/>
                <w:bCs/>
                <w:sz w:val="20"/>
                <w:szCs w:val="20"/>
              </w:rPr>
              <w:t>EF</w:t>
            </w:r>
            <w:r w:rsidRPr="009E06AA">
              <w:rPr>
                <w:rFonts w:cs="Calibri"/>
                <w:b/>
                <w:bCs/>
                <w:sz w:val="20"/>
                <w:szCs w:val="20"/>
                <w:vertAlign w:val="subscript"/>
              </w:rPr>
              <w:t>3,PRP</w:t>
            </w:r>
          </w:p>
        </w:tc>
        <w:tc>
          <w:tcPr>
            <w:tcW w:w="7092" w:type="dxa"/>
            <w:shd w:val="clear" w:color="auto" w:fill="auto"/>
          </w:tcPr>
          <w:p w14:paraId="5B840BD3" w14:textId="77777777" w:rsidR="00C52A1D" w:rsidRPr="009E06AA" w:rsidRDefault="00C52A1D" w:rsidP="00C52A1D">
            <w:pPr>
              <w:pStyle w:val="BodyText"/>
              <w:spacing w:before="20" w:after="20" w:line="260" w:lineRule="atLeast"/>
              <w:rPr>
                <w:rFonts w:eastAsia="Calibri" w:cs="Calibri"/>
                <w:sz w:val="20"/>
                <w:szCs w:val="20"/>
              </w:rPr>
            </w:pPr>
            <w:r w:rsidRPr="009E06AA">
              <w:rPr>
                <w:rFonts w:cs="Calibri"/>
                <w:sz w:val="20"/>
                <w:szCs w:val="20"/>
              </w:rPr>
              <w:t>emission factor for N</w:t>
            </w:r>
            <w:r w:rsidRPr="009E06AA">
              <w:rPr>
                <w:rFonts w:cs="Calibri"/>
                <w:sz w:val="20"/>
                <w:szCs w:val="20"/>
                <w:vertAlign w:val="subscript"/>
              </w:rPr>
              <w:t>2</w:t>
            </w:r>
            <w:r w:rsidRPr="009E06AA">
              <w:rPr>
                <w:rFonts w:cs="Calibri"/>
                <w:sz w:val="20"/>
                <w:szCs w:val="20"/>
              </w:rPr>
              <w:t>O emissions from urine and dung nitrogen deposited on pasture, range and paddock by grazing animals</w:t>
            </w:r>
          </w:p>
        </w:tc>
      </w:tr>
      <w:tr w:rsidR="00C52A1D" w:rsidRPr="009E06AA" w14:paraId="4D0D0C74" w14:textId="77777777" w:rsidTr="00FC5AE5">
        <w:tc>
          <w:tcPr>
            <w:tcW w:w="1526" w:type="dxa"/>
            <w:shd w:val="clear" w:color="auto" w:fill="auto"/>
          </w:tcPr>
          <w:p w14:paraId="224A12C6" w14:textId="77777777" w:rsidR="00C52A1D" w:rsidRPr="009E06AA" w:rsidRDefault="00C52A1D" w:rsidP="00C52A1D">
            <w:pPr>
              <w:pStyle w:val="BodyText"/>
              <w:spacing w:before="20" w:after="20" w:line="260" w:lineRule="atLeast"/>
              <w:rPr>
                <w:rFonts w:eastAsia="Calibri" w:cs="Calibri"/>
                <w:b/>
                <w:sz w:val="20"/>
                <w:szCs w:val="20"/>
              </w:rPr>
            </w:pPr>
            <w:r w:rsidRPr="009E06AA">
              <w:rPr>
                <w:rFonts w:eastAsia="Calibri" w:cs="Calibri"/>
                <w:b/>
                <w:sz w:val="20"/>
                <w:szCs w:val="20"/>
              </w:rPr>
              <w:t>EPA</w:t>
            </w:r>
          </w:p>
        </w:tc>
        <w:tc>
          <w:tcPr>
            <w:tcW w:w="7092" w:type="dxa"/>
            <w:shd w:val="clear" w:color="auto" w:fill="auto"/>
          </w:tcPr>
          <w:p w14:paraId="0EBEE969" w14:textId="77777777" w:rsidR="00C52A1D" w:rsidRPr="009E06AA" w:rsidRDefault="00C52A1D" w:rsidP="00C52A1D">
            <w:pPr>
              <w:pStyle w:val="BodyText"/>
              <w:spacing w:before="20" w:after="20" w:line="260" w:lineRule="atLeast"/>
              <w:rPr>
                <w:rFonts w:eastAsia="Calibri" w:cs="Calibri"/>
                <w:sz w:val="20"/>
                <w:szCs w:val="20"/>
              </w:rPr>
            </w:pPr>
            <w:r w:rsidRPr="009E06AA">
              <w:rPr>
                <w:rFonts w:eastAsia="Calibri" w:cs="Calibri"/>
                <w:sz w:val="20"/>
                <w:szCs w:val="20"/>
              </w:rPr>
              <w:t>Environmental Protection Authority</w:t>
            </w:r>
          </w:p>
        </w:tc>
      </w:tr>
      <w:tr w:rsidR="00C52A1D" w:rsidRPr="009E06AA" w14:paraId="1B19B49B" w14:textId="77777777" w:rsidTr="00FC5AE5">
        <w:tc>
          <w:tcPr>
            <w:tcW w:w="1526" w:type="dxa"/>
            <w:shd w:val="clear" w:color="auto" w:fill="auto"/>
          </w:tcPr>
          <w:p w14:paraId="08A39789" w14:textId="77777777" w:rsidR="00C52A1D" w:rsidRPr="009E06AA" w:rsidRDefault="00C52A1D" w:rsidP="00C52A1D">
            <w:pPr>
              <w:pStyle w:val="BodyText"/>
              <w:spacing w:before="20" w:after="20" w:line="260" w:lineRule="atLeast"/>
              <w:rPr>
                <w:rFonts w:eastAsia="Calibri" w:cs="Calibri"/>
                <w:b/>
                <w:sz w:val="20"/>
                <w:szCs w:val="20"/>
              </w:rPr>
            </w:pPr>
            <w:r w:rsidRPr="009E06AA">
              <w:rPr>
                <w:rFonts w:eastAsia="Calibri" w:cs="Calibri"/>
                <w:b/>
                <w:sz w:val="20"/>
                <w:szCs w:val="20"/>
              </w:rPr>
              <w:t xml:space="preserve">ERT </w:t>
            </w:r>
          </w:p>
        </w:tc>
        <w:tc>
          <w:tcPr>
            <w:tcW w:w="7092" w:type="dxa"/>
            <w:shd w:val="clear" w:color="auto" w:fill="auto"/>
          </w:tcPr>
          <w:p w14:paraId="06F90AA3" w14:textId="77777777" w:rsidR="00C52A1D" w:rsidRPr="009E06AA" w:rsidRDefault="00C52A1D" w:rsidP="00C52A1D">
            <w:pPr>
              <w:pStyle w:val="BodyText"/>
              <w:spacing w:before="20" w:after="20" w:line="260" w:lineRule="atLeast"/>
              <w:rPr>
                <w:rFonts w:eastAsia="Calibri" w:cs="Calibri"/>
                <w:sz w:val="20"/>
                <w:szCs w:val="20"/>
              </w:rPr>
            </w:pPr>
            <w:r w:rsidRPr="009E06AA">
              <w:rPr>
                <w:rFonts w:eastAsia="Calibri" w:cs="Calibri"/>
                <w:sz w:val="20"/>
                <w:szCs w:val="20"/>
              </w:rPr>
              <w:t>expert review team</w:t>
            </w:r>
          </w:p>
        </w:tc>
      </w:tr>
      <w:tr w:rsidR="00C52A1D" w:rsidRPr="009E06AA" w14:paraId="0E3EBE7F" w14:textId="77777777" w:rsidTr="00FC5AE5">
        <w:tc>
          <w:tcPr>
            <w:tcW w:w="1526" w:type="dxa"/>
            <w:shd w:val="clear" w:color="auto" w:fill="auto"/>
          </w:tcPr>
          <w:p w14:paraId="06334ED6" w14:textId="77777777" w:rsidR="00C52A1D" w:rsidRPr="009E06AA" w:rsidRDefault="00C52A1D" w:rsidP="00C52A1D">
            <w:pPr>
              <w:pStyle w:val="BodyText"/>
              <w:spacing w:before="20" w:after="20" w:line="260" w:lineRule="atLeast"/>
              <w:rPr>
                <w:rFonts w:eastAsia="Calibri" w:cs="Calibri"/>
                <w:b/>
                <w:sz w:val="20"/>
                <w:szCs w:val="20"/>
              </w:rPr>
            </w:pPr>
            <w:r w:rsidRPr="009E06AA">
              <w:rPr>
                <w:rFonts w:eastAsia="Calibri" w:cs="Calibri"/>
                <w:b/>
                <w:sz w:val="20"/>
                <w:szCs w:val="20"/>
              </w:rPr>
              <w:t>ETF</w:t>
            </w:r>
          </w:p>
        </w:tc>
        <w:tc>
          <w:tcPr>
            <w:tcW w:w="7092" w:type="dxa"/>
            <w:shd w:val="clear" w:color="auto" w:fill="auto"/>
          </w:tcPr>
          <w:p w14:paraId="79640C74" w14:textId="77777777" w:rsidR="00C52A1D" w:rsidRPr="009E06AA" w:rsidRDefault="00C52A1D" w:rsidP="00C52A1D">
            <w:pPr>
              <w:pStyle w:val="BodyText"/>
              <w:spacing w:before="20" w:after="20" w:line="260" w:lineRule="atLeast"/>
              <w:rPr>
                <w:rFonts w:eastAsia="Calibri" w:cs="Calibri"/>
                <w:sz w:val="20"/>
                <w:szCs w:val="20"/>
              </w:rPr>
            </w:pPr>
            <w:r w:rsidRPr="009E06AA">
              <w:rPr>
                <w:rFonts w:eastAsia="Calibri" w:cs="Calibri"/>
                <w:sz w:val="20"/>
                <w:szCs w:val="20"/>
              </w:rPr>
              <w:t>Enhanced Transparency Framework</w:t>
            </w:r>
          </w:p>
        </w:tc>
      </w:tr>
      <w:tr w:rsidR="00C52A1D" w:rsidRPr="009E06AA" w14:paraId="1982BD9E" w14:textId="77777777" w:rsidTr="00FC5AE5">
        <w:tc>
          <w:tcPr>
            <w:tcW w:w="1526" w:type="dxa"/>
            <w:shd w:val="clear" w:color="auto" w:fill="auto"/>
          </w:tcPr>
          <w:p w14:paraId="181EC776" w14:textId="77777777" w:rsidR="00C52A1D" w:rsidRPr="009E06AA" w:rsidRDefault="00C52A1D" w:rsidP="00C52A1D">
            <w:pPr>
              <w:pStyle w:val="BodyText"/>
              <w:spacing w:before="20" w:after="20" w:line="260" w:lineRule="atLeast"/>
              <w:rPr>
                <w:rFonts w:eastAsia="Calibri" w:cs="Calibri"/>
                <w:b/>
                <w:sz w:val="20"/>
                <w:szCs w:val="20"/>
              </w:rPr>
            </w:pPr>
            <w:r w:rsidRPr="009E06AA">
              <w:rPr>
                <w:rFonts w:eastAsia="Calibri" w:cs="Calibri"/>
                <w:b/>
                <w:sz w:val="20"/>
                <w:szCs w:val="20"/>
              </w:rPr>
              <w:t>ETS</w:t>
            </w:r>
          </w:p>
        </w:tc>
        <w:tc>
          <w:tcPr>
            <w:tcW w:w="7092" w:type="dxa"/>
            <w:shd w:val="clear" w:color="auto" w:fill="auto"/>
          </w:tcPr>
          <w:p w14:paraId="6FD6AB9E" w14:textId="77777777" w:rsidR="00C52A1D" w:rsidRPr="009E06AA" w:rsidRDefault="00C52A1D" w:rsidP="00C52A1D">
            <w:pPr>
              <w:pStyle w:val="BodyText"/>
              <w:spacing w:before="20" w:after="20" w:line="260" w:lineRule="atLeast"/>
              <w:rPr>
                <w:rFonts w:eastAsia="Calibri" w:cs="Calibri"/>
                <w:sz w:val="20"/>
                <w:szCs w:val="20"/>
              </w:rPr>
            </w:pPr>
            <w:r w:rsidRPr="009E06AA">
              <w:rPr>
                <w:rFonts w:eastAsia="Calibri" w:cs="Calibri"/>
                <w:sz w:val="20"/>
                <w:szCs w:val="20"/>
              </w:rPr>
              <w:t>Emissions Trading Scheme</w:t>
            </w:r>
          </w:p>
        </w:tc>
      </w:tr>
      <w:tr w:rsidR="00C52A1D" w:rsidRPr="009E06AA" w14:paraId="3B294BF2" w14:textId="77777777" w:rsidTr="00FC5AE5">
        <w:tc>
          <w:tcPr>
            <w:tcW w:w="1526" w:type="dxa"/>
            <w:shd w:val="clear" w:color="auto" w:fill="auto"/>
          </w:tcPr>
          <w:p w14:paraId="47B11B8F" w14:textId="77777777" w:rsidR="00C52A1D" w:rsidRPr="009E06AA" w:rsidRDefault="00C52A1D" w:rsidP="00C52A1D">
            <w:pPr>
              <w:pStyle w:val="BodyText"/>
              <w:spacing w:before="20" w:after="20" w:line="260" w:lineRule="atLeast"/>
              <w:rPr>
                <w:rFonts w:eastAsia="Calibri" w:cs="Calibri"/>
                <w:b/>
                <w:sz w:val="20"/>
                <w:szCs w:val="20"/>
              </w:rPr>
            </w:pPr>
            <w:r w:rsidRPr="009E06AA">
              <w:rPr>
                <w:rFonts w:eastAsia="Calibri" w:cs="Calibri"/>
                <w:b/>
                <w:sz w:val="20"/>
                <w:szCs w:val="20"/>
              </w:rPr>
              <w:t>FAME</w:t>
            </w:r>
          </w:p>
        </w:tc>
        <w:tc>
          <w:tcPr>
            <w:tcW w:w="7092" w:type="dxa"/>
            <w:shd w:val="clear" w:color="auto" w:fill="auto"/>
          </w:tcPr>
          <w:p w14:paraId="707B0986" w14:textId="77777777" w:rsidR="00C52A1D" w:rsidRPr="009E06AA" w:rsidRDefault="00C52A1D" w:rsidP="00C52A1D">
            <w:pPr>
              <w:pStyle w:val="BodyText"/>
              <w:spacing w:before="20" w:after="20" w:line="260" w:lineRule="atLeast"/>
              <w:rPr>
                <w:rFonts w:eastAsia="Calibri" w:cs="Calibri"/>
                <w:sz w:val="20"/>
                <w:szCs w:val="20"/>
              </w:rPr>
            </w:pPr>
            <w:r w:rsidRPr="009E06AA">
              <w:rPr>
                <w:rFonts w:eastAsia="Calibri" w:cs="Calibri"/>
                <w:sz w:val="20"/>
                <w:szCs w:val="20"/>
              </w:rPr>
              <w:t>fatty acid methyl ester</w:t>
            </w:r>
          </w:p>
        </w:tc>
      </w:tr>
      <w:tr w:rsidR="00C52A1D" w:rsidRPr="009E06AA" w14:paraId="024EB132" w14:textId="77777777" w:rsidTr="00FC5AE5">
        <w:tc>
          <w:tcPr>
            <w:tcW w:w="1526" w:type="dxa"/>
            <w:shd w:val="clear" w:color="auto" w:fill="auto"/>
          </w:tcPr>
          <w:p w14:paraId="3A535CE7" w14:textId="77777777" w:rsidR="00C52A1D" w:rsidRPr="009E06AA" w:rsidRDefault="00C52A1D" w:rsidP="00C52A1D">
            <w:pPr>
              <w:pStyle w:val="BodyText"/>
              <w:spacing w:before="20" w:after="20" w:line="260" w:lineRule="atLeast"/>
              <w:rPr>
                <w:rFonts w:eastAsia="Calibri" w:cs="Calibri"/>
                <w:b/>
                <w:sz w:val="20"/>
                <w:szCs w:val="20"/>
              </w:rPr>
            </w:pPr>
            <w:r w:rsidRPr="009E06AA">
              <w:rPr>
                <w:rFonts w:eastAsia="Calibri" w:cs="Calibri"/>
                <w:b/>
                <w:sz w:val="20"/>
                <w:szCs w:val="20"/>
              </w:rPr>
              <w:t xml:space="preserve">FAOSTAT </w:t>
            </w:r>
          </w:p>
        </w:tc>
        <w:tc>
          <w:tcPr>
            <w:tcW w:w="7092" w:type="dxa"/>
            <w:shd w:val="clear" w:color="auto" w:fill="auto"/>
          </w:tcPr>
          <w:p w14:paraId="2B1FE987" w14:textId="77777777" w:rsidR="00C52A1D" w:rsidRPr="009E06AA" w:rsidRDefault="00C52A1D" w:rsidP="00C52A1D">
            <w:pPr>
              <w:pStyle w:val="BodyText"/>
              <w:spacing w:before="20" w:after="20" w:line="260" w:lineRule="atLeast"/>
              <w:rPr>
                <w:rFonts w:eastAsia="Calibri" w:cs="Calibri"/>
                <w:sz w:val="20"/>
                <w:szCs w:val="20"/>
              </w:rPr>
            </w:pPr>
            <w:r w:rsidRPr="009E06AA">
              <w:rPr>
                <w:rFonts w:eastAsia="Calibri" w:cs="Calibri"/>
                <w:sz w:val="20"/>
                <w:szCs w:val="20"/>
              </w:rPr>
              <w:t>Database produced by the Statistics Division of the Food and Agriculture Organization of the United Nations</w:t>
            </w:r>
          </w:p>
        </w:tc>
      </w:tr>
      <w:tr w:rsidR="00C52A1D" w:rsidRPr="009E06AA" w14:paraId="31A12C7F" w14:textId="77777777" w:rsidTr="00FC5AE5">
        <w:tc>
          <w:tcPr>
            <w:tcW w:w="1526" w:type="dxa"/>
            <w:shd w:val="clear" w:color="auto" w:fill="auto"/>
          </w:tcPr>
          <w:p w14:paraId="1FF073C7" w14:textId="77777777" w:rsidR="00C52A1D" w:rsidRPr="009E06AA" w:rsidRDefault="00C52A1D" w:rsidP="00C52A1D">
            <w:pPr>
              <w:pStyle w:val="BodyText"/>
              <w:spacing w:before="20" w:after="20" w:line="260" w:lineRule="atLeast"/>
              <w:rPr>
                <w:rFonts w:eastAsia="Calibri" w:cs="Calibri"/>
                <w:b/>
                <w:sz w:val="20"/>
                <w:szCs w:val="20"/>
              </w:rPr>
            </w:pPr>
            <w:r w:rsidRPr="009E06AA">
              <w:rPr>
                <w:rFonts w:eastAsia="Calibri" w:cs="Calibri"/>
                <w:b/>
                <w:sz w:val="20"/>
                <w:szCs w:val="20"/>
              </w:rPr>
              <w:t>FDM</w:t>
            </w:r>
          </w:p>
        </w:tc>
        <w:tc>
          <w:tcPr>
            <w:tcW w:w="7092" w:type="dxa"/>
            <w:shd w:val="clear" w:color="auto" w:fill="auto"/>
          </w:tcPr>
          <w:p w14:paraId="66965E01" w14:textId="77777777" w:rsidR="00C52A1D" w:rsidRPr="009E06AA" w:rsidRDefault="00C52A1D" w:rsidP="00C52A1D">
            <w:pPr>
              <w:pStyle w:val="BodyText"/>
              <w:spacing w:before="20" w:after="20" w:line="260" w:lineRule="atLeast"/>
              <w:rPr>
                <w:rFonts w:eastAsia="Calibri" w:cs="Calibri"/>
                <w:sz w:val="20"/>
                <w:szCs w:val="20"/>
              </w:rPr>
            </w:pPr>
            <w:r w:rsidRPr="009E06AA">
              <w:rPr>
                <w:rFonts w:eastAsia="Calibri" w:cs="Calibri"/>
                <w:sz w:val="20"/>
                <w:szCs w:val="20"/>
              </w:rPr>
              <w:t>faecal dry matter</w:t>
            </w:r>
          </w:p>
        </w:tc>
      </w:tr>
      <w:tr w:rsidR="00C52A1D" w:rsidRPr="009E06AA" w14:paraId="3611EBA6" w14:textId="77777777" w:rsidTr="00FC5AE5">
        <w:tc>
          <w:tcPr>
            <w:tcW w:w="1526" w:type="dxa"/>
            <w:shd w:val="clear" w:color="auto" w:fill="auto"/>
          </w:tcPr>
          <w:p w14:paraId="0F34DFB4" w14:textId="77777777" w:rsidR="00C52A1D" w:rsidRPr="009E06AA" w:rsidRDefault="00C52A1D" w:rsidP="00C52A1D">
            <w:pPr>
              <w:pStyle w:val="BodyText"/>
              <w:spacing w:before="20" w:after="20" w:line="260" w:lineRule="atLeast"/>
              <w:rPr>
                <w:rFonts w:eastAsia="Calibri" w:cs="Calibri"/>
                <w:b/>
                <w:sz w:val="20"/>
                <w:szCs w:val="20"/>
              </w:rPr>
            </w:pPr>
            <w:r w:rsidRPr="009E06AA">
              <w:rPr>
                <w:rFonts w:eastAsia="Calibri" w:cs="Calibri"/>
                <w:b/>
                <w:sz w:val="20"/>
                <w:szCs w:val="20"/>
              </w:rPr>
              <w:t>FENZ</w:t>
            </w:r>
          </w:p>
        </w:tc>
        <w:tc>
          <w:tcPr>
            <w:tcW w:w="7092" w:type="dxa"/>
            <w:shd w:val="clear" w:color="auto" w:fill="auto"/>
          </w:tcPr>
          <w:p w14:paraId="7A76AE84" w14:textId="77777777" w:rsidR="00C52A1D" w:rsidRPr="009E06AA" w:rsidRDefault="00C52A1D" w:rsidP="00C52A1D">
            <w:pPr>
              <w:pStyle w:val="BodyText"/>
              <w:spacing w:before="20" w:after="20" w:line="260" w:lineRule="atLeast"/>
              <w:rPr>
                <w:rFonts w:eastAsia="Calibri" w:cs="Calibri"/>
                <w:sz w:val="20"/>
                <w:szCs w:val="20"/>
              </w:rPr>
            </w:pPr>
            <w:r w:rsidRPr="009E06AA">
              <w:rPr>
                <w:rFonts w:cs="Calibri"/>
                <w:sz w:val="20"/>
                <w:szCs w:val="20"/>
              </w:rPr>
              <w:t>Fire and Emergency New Zealand</w:t>
            </w:r>
          </w:p>
        </w:tc>
      </w:tr>
      <w:tr w:rsidR="00C52A1D" w:rsidRPr="009E06AA" w14:paraId="70D73001" w14:textId="77777777" w:rsidTr="00FC5AE5">
        <w:tc>
          <w:tcPr>
            <w:tcW w:w="1526" w:type="dxa"/>
            <w:shd w:val="clear" w:color="auto" w:fill="auto"/>
          </w:tcPr>
          <w:p w14:paraId="4B79A0BA" w14:textId="77777777" w:rsidR="00C52A1D" w:rsidRPr="009E06AA" w:rsidRDefault="00C52A1D" w:rsidP="00C52A1D">
            <w:pPr>
              <w:pStyle w:val="BodyText"/>
              <w:spacing w:before="20" w:after="20" w:line="260" w:lineRule="atLeast"/>
              <w:rPr>
                <w:rFonts w:eastAsia="Calibri" w:cs="Calibri"/>
                <w:b/>
                <w:sz w:val="20"/>
                <w:szCs w:val="20"/>
              </w:rPr>
            </w:pPr>
            <w:r w:rsidRPr="009E06AA">
              <w:rPr>
                <w:rFonts w:eastAsia="Calibri" w:cs="Calibri"/>
                <w:b/>
                <w:sz w:val="20"/>
                <w:szCs w:val="20"/>
              </w:rPr>
              <w:t>FOD</w:t>
            </w:r>
          </w:p>
        </w:tc>
        <w:tc>
          <w:tcPr>
            <w:tcW w:w="7092" w:type="dxa"/>
            <w:shd w:val="clear" w:color="auto" w:fill="auto"/>
          </w:tcPr>
          <w:p w14:paraId="1417D1C5" w14:textId="77777777" w:rsidR="00C52A1D" w:rsidRPr="009E06AA" w:rsidRDefault="00C52A1D" w:rsidP="00C52A1D">
            <w:pPr>
              <w:pStyle w:val="BodyText"/>
              <w:spacing w:before="20" w:after="20" w:line="260" w:lineRule="atLeast"/>
              <w:rPr>
                <w:rFonts w:eastAsia="Calibri" w:cs="Calibri"/>
                <w:sz w:val="20"/>
                <w:szCs w:val="20"/>
              </w:rPr>
            </w:pPr>
            <w:r w:rsidRPr="009E06AA">
              <w:rPr>
                <w:rFonts w:eastAsia="Calibri" w:cs="Calibri"/>
                <w:sz w:val="20"/>
                <w:szCs w:val="20"/>
              </w:rPr>
              <w:t xml:space="preserve">first order decay </w:t>
            </w:r>
          </w:p>
        </w:tc>
      </w:tr>
      <w:tr w:rsidR="00C52A1D" w:rsidRPr="009E06AA" w14:paraId="7FDE5B3A" w14:textId="77777777" w:rsidTr="00FC5AE5">
        <w:tc>
          <w:tcPr>
            <w:tcW w:w="1526" w:type="dxa"/>
            <w:shd w:val="clear" w:color="auto" w:fill="auto"/>
          </w:tcPr>
          <w:p w14:paraId="7EFF18A4" w14:textId="77777777" w:rsidR="00C52A1D" w:rsidRPr="009E06AA" w:rsidRDefault="00C52A1D" w:rsidP="00C52A1D">
            <w:pPr>
              <w:pStyle w:val="BodyText"/>
              <w:spacing w:before="20" w:after="20" w:line="260" w:lineRule="atLeast"/>
              <w:rPr>
                <w:rFonts w:eastAsia="Calibri" w:cs="Calibri"/>
                <w:b/>
                <w:sz w:val="20"/>
                <w:szCs w:val="20"/>
              </w:rPr>
            </w:pPr>
            <w:r w:rsidRPr="009E06AA">
              <w:rPr>
                <w:rFonts w:eastAsia="Calibri" w:cs="Calibri"/>
                <w:b/>
                <w:sz w:val="20"/>
                <w:szCs w:val="20"/>
              </w:rPr>
              <w:t>GDP</w:t>
            </w:r>
          </w:p>
        </w:tc>
        <w:tc>
          <w:tcPr>
            <w:tcW w:w="7092" w:type="dxa"/>
            <w:shd w:val="clear" w:color="auto" w:fill="auto"/>
          </w:tcPr>
          <w:p w14:paraId="1B6153F3" w14:textId="77777777" w:rsidR="00C52A1D" w:rsidRPr="009E06AA" w:rsidRDefault="00C52A1D" w:rsidP="00C52A1D">
            <w:pPr>
              <w:pStyle w:val="BodyText"/>
              <w:spacing w:before="20" w:after="20" w:line="260" w:lineRule="atLeast"/>
              <w:rPr>
                <w:rFonts w:eastAsia="Calibri" w:cs="Calibri"/>
                <w:sz w:val="20"/>
                <w:szCs w:val="20"/>
              </w:rPr>
            </w:pPr>
            <w:r w:rsidRPr="009E06AA">
              <w:rPr>
                <w:rFonts w:eastAsia="Calibri" w:cs="Calibri"/>
                <w:sz w:val="20"/>
                <w:szCs w:val="20"/>
              </w:rPr>
              <w:t>gross domestic product</w:t>
            </w:r>
          </w:p>
        </w:tc>
      </w:tr>
      <w:tr w:rsidR="00C52A1D" w:rsidRPr="009E06AA" w14:paraId="0FC217F2" w14:textId="77777777" w:rsidTr="00FC5AE5">
        <w:tc>
          <w:tcPr>
            <w:tcW w:w="1526" w:type="dxa"/>
            <w:shd w:val="clear" w:color="auto" w:fill="auto"/>
          </w:tcPr>
          <w:p w14:paraId="105ECAFE" w14:textId="77777777" w:rsidR="00C52A1D" w:rsidRPr="009E06AA" w:rsidRDefault="00C52A1D" w:rsidP="00C52A1D">
            <w:pPr>
              <w:pStyle w:val="BodyText"/>
              <w:spacing w:before="20" w:after="20" w:line="260" w:lineRule="atLeast"/>
              <w:rPr>
                <w:rFonts w:eastAsia="Calibri" w:cs="Calibri"/>
                <w:b/>
                <w:sz w:val="20"/>
                <w:szCs w:val="20"/>
              </w:rPr>
            </w:pPr>
            <w:r w:rsidRPr="009E06AA">
              <w:rPr>
                <w:rFonts w:eastAsia="Calibri" w:cs="Calibri"/>
                <w:b/>
                <w:sz w:val="20"/>
                <w:szCs w:val="20"/>
              </w:rPr>
              <w:t>GEI</w:t>
            </w:r>
          </w:p>
        </w:tc>
        <w:tc>
          <w:tcPr>
            <w:tcW w:w="7092" w:type="dxa"/>
            <w:shd w:val="clear" w:color="auto" w:fill="auto"/>
          </w:tcPr>
          <w:p w14:paraId="1F9E1CC3" w14:textId="77777777" w:rsidR="00C52A1D" w:rsidRPr="009E06AA" w:rsidRDefault="00C52A1D" w:rsidP="00C52A1D">
            <w:pPr>
              <w:pStyle w:val="BodyText"/>
              <w:spacing w:before="20" w:after="20" w:line="260" w:lineRule="atLeast"/>
              <w:rPr>
                <w:rFonts w:eastAsia="Calibri" w:cs="Calibri"/>
                <w:sz w:val="20"/>
                <w:szCs w:val="20"/>
              </w:rPr>
            </w:pPr>
            <w:r w:rsidRPr="009E06AA">
              <w:rPr>
                <w:rFonts w:eastAsia="Calibri" w:cs="Calibri"/>
                <w:sz w:val="20"/>
                <w:szCs w:val="20"/>
              </w:rPr>
              <w:t>gross energy intake</w:t>
            </w:r>
          </w:p>
        </w:tc>
      </w:tr>
      <w:tr w:rsidR="00C52A1D" w:rsidRPr="009E06AA" w14:paraId="0E3C6C2C" w14:textId="77777777" w:rsidTr="00FC5AE5">
        <w:tc>
          <w:tcPr>
            <w:tcW w:w="1526" w:type="dxa"/>
            <w:shd w:val="clear" w:color="auto" w:fill="auto"/>
          </w:tcPr>
          <w:p w14:paraId="241D4DBF" w14:textId="77777777" w:rsidR="00C52A1D" w:rsidRPr="009E06AA" w:rsidRDefault="00C52A1D" w:rsidP="00C52A1D">
            <w:pPr>
              <w:pStyle w:val="BodyText"/>
              <w:spacing w:before="20" w:after="20" w:line="260" w:lineRule="atLeast"/>
              <w:rPr>
                <w:rFonts w:eastAsia="Calibri" w:cs="Calibri"/>
                <w:b/>
                <w:sz w:val="20"/>
                <w:szCs w:val="20"/>
              </w:rPr>
            </w:pPr>
            <w:r w:rsidRPr="009E06AA">
              <w:rPr>
                <w:rFonts w:eastAsia="Calibri" w:cs="Calibri"/>
                <w:b/>
                <w:sz w:val="20"/>
                <w:szCs w:val="20"/>
              </w:rPr>
              <w:t>Gg</w:t>
            </w:r>
          </w:p>
        </w:tc>
        <w:tc>
          <w:tcPr>
            <w:tcW w:w="7092" w:type="dxa"/>
            <w:shd w:val="clear" w:color="auto" w:fill="auto"/>
          </w:tcPr>
          <w:p w14:paraId="133C6005" w14:textId="77777777" w:rsidR="00C52A1D" w:rsidRPr="009E06AA" w:rsidRDefault="00C52A1D" w:rsidP="00C52A1D">
            <w:pPr>
              <w:pStyle w:val="BodyText"/>
              <w:spacing w:before="20" w:after="20" w:line="260" w:lineRule="atLeast"/>
              <w:rPr>
                <w:rFonts w:eastAsia="Calibri" w:cs="Calibri"/>
                <w:sz w:val="20"/>
                <w:szCs w:val="20"/>
              </w:rPr>
            </w:pPr>
            <w:r w:rsidRPr="009E06AA">
              <w:rPr>
                <w:rFonts w:eastAsia="Calibri" w:cs="Calibri"/>
                <w:sz w:val="20"/>
                <w:szCs w:val="20"/>
              </w:rPr>
              <w:t>gigagram(s)</w:t>
            </w:r>
          </w:p>
        </w:tc>
      </w:tr>
      <w:tr w:rsidR="00C52A1D" w:rsidRPr="009E06AA" w14:paraId="30367762" w14:textId="77777777" w:rsidTr="00FC5AE5">
        <w:tc>
          <w:tcPr>
            <w:tcW w:w="1526" w:type="dxa"/>
            <w:shd w:val="clear" w:color="auto" w:fill="auto"/>
          </w:tcPr>
          <w:p w14:paraId="3F0E8AFB" w14:textId="77777777" w:rsidR="00C52A1D" w:rsidRPr="009E06AA" w:rsidRDefault="00C52A1D" w:rsidP="00C52A1D">
            <w:pPr>
              <w:pStyle w:val="BodyText"/>
              <w:spacing w:before="20" w:after="20" w:line="260" w:lineRule="atLeast"/>
              <w:rPr>
                <w:rFonts w:eastAsia="Calibri" w:cs="Calibri"/>
                <w:b/>
                <w:sz w:val="20"/>
                <w:szCs w:val="20"/>
              </w:rPr>
            </w:pPr>
            <w:r w:rsidRPr="009E06AA">
              <w:rPr>
                <w:rFonts w:eastAsia="Calibri" w:cs="Calibri"/>
                <w:b/>
                <w:sz w:val="20"/>
                <w:szCs w:val="20"/>
              </w:rPr>
              <w:t>GHG</w:t>
            </w:r>
          </w:p>
        </w:tc>
        <w:tc>
          <w:tcPr>
            <w:tcW w:w="7092" w:type="dxa"/>
            <w:shd w:val="clear" w:color="auto" w:fill="auto"/>
          </w:tcPr>
          <w:p w14:paraId="2BF6A576" w14:textId="77777777" w:rsidR="00C52A1D" w:rsidRPr="009E06AA" w:rsidRDefault="00C52A1D" w:rsidP="00C52A1D">
            <w:pPr>
              <w:pStyle w:val="BodyText"/>
              <w:spacing w:before="20" w:after="20" w:line="260" w:lineRule="atLeast"/>
              <w:rPr>
                <w:rFonts w:eastAsia="Calibri" w:cs="Calibri"/>
                <w:sz w:val="20"/>
                <w:szCs w:val="20"/>
              </w:rPr>
            </w:pPr>
            <w:r w:rsidRPr="009E06AA">
              <w:rPr>
                <w:rFonts w:eastAsia="Calibri" w:cs="Calibri"/>
                <w:sz w:val="20"/>
                <w:szCs w:val="20"/>
              </w:rPr>
              <w:t>greenhouse gas</w:t>
            </w:r>
          </w:p>
        </w:tc>
      </w:tr>
      <w:tr w:rsidR="00C52A1D" w:rsidRPr="009E06AA" w14:paraId="3C444DDA" w14:textId="77777777" w:rsidTr="00FC5AE5">
        <w:tc>
          <w:tcPr>
            <w:tcW w:w="1526" w:type="dxa"/>
            <w:shd w:val="clear" w:color="auto" w:fill="auto"/>
          </w:tcPr>
          <w:p w14:paraId="348ECA70" w14:textId="77777777" w:rsidR="00C52A1D" w:rsidRPr="009E06AA" w:rsidRDefault="00C52A1D" w:rsidP="00C52A1D">
            <w:pPr>
              <w:pStyle w:val="BodyText"/>
              <w:spacing w:before="20" w:after="20" w:line="260" w:lineRule="atLeast"/>
              <w:rPr>
                <w:rFonts w:eastAsia="Calibri" w:cs="Calibri"/>
                <w:b/>
                <w:sz w:val="20"/>
                <w:szCs w:val="20"/>
              </w:rPr>
            </w:pPr>
            <w:r w:rsidRPr="009E06AA">
              <w:rPr>
                <w:rFonts w:eastAsia="Calibri" w:cs="Calibri"/>
                <w:b/>
                <w:sz w:val="20"/>
                <w:szCs w:val="20"/>
              </w:rPr>
              <w:t>GIS</w:t>
            </w:r>
          </w:p>
        </w:tc>
        <w:tc>
          <w:tcPr>
            <w:tcW w:w="7092" w:type="dxa"/>
            <w:shd w:val="clear" w:color="auto" w:fill="auto"/>
          </w:tcPr>
          <w:p w14:paraId="64F8EA60" w14:textId="77777777" w:rsidR="00C52A1D" w:rsidRPr="009E06AA" w:rsidRDefault="00C52A1D" w:rsidP="00C52A1D">
            <w:pPr>
              <w:pStyle w:val="BodyText"/>
              <w:spacing w:before="20" w:after="20" w:line="260" w:lineRule="atLeast"/>
              <w:rPr>
                <w:rFonts w:eastAsia="Calibri" w:cs="Calibri"/>
                <w:sz w:val="20"/>
                <w:szCs w:val="20"/>
              </w:rPr>
            </w:pPr>
            <w:r w:rsidRPr="009E06AA">
              <w:rPr>
                <w:rFonts w:eastAsia="Calibri" w:cs="Calibri"/>
                <w:sz w:val="20"/>
                <w:szCs w:val="20"/>
              </w:rPr>
              <w:t>geographic information system</w:t>
            </w:r>
          </w:p>
        </w:tc>
      </w:tr>
      <w:tr w:rsidR="00C52A1D" w:rsidRPr="009E06AA" w14:paraId="338DB622" w14:textId="77777777" w:rsidTr="00FC5AE5">
        <w:tc>
          <w:tcPr>
            <w:tcW w:w="1526" w:type="dxa"/>
            <w:shd w:val="clear" w:color="auto" w:fill="auto"/>
          </w:tcPr>
          <w:p w14:paraId="236B6A08" w14:textId="77777777" w:rsidR="00C52A1D" w:rsidRPr="009E06AA" w:rsidRDefault="00C52A1D" w:rsidP="00C52A1D">
            <w:pPr>
              <w:pStyle w:val="BodyText"/>
              <w:spacing w:before="20" w:after="20" w:line="260" w:lineRule="atLeast"/>
              <w:rPr>
                <w:rFonts w:eastAsia="Calibri" w:cs="Calibri"/>
                <w:b/>
                <w:sz w:val="20"/>
                <w:szCs w:val="20"/>
              </w:rPr>
            </w:pPr>
            <w:r w:rsidRPr="009E06AA">
              <w:rPr>
                <w:rFonts w:eastAsia="Calibri" w:cs="Calibri"/>
                <w:b/>
                <w:sz w:val="20"/>
                <w:szCs w:val="20"/>
              </w:rPr>
              <w:t>GJ</w:t>
            </w:r>
          </w:p>
        </w:tc>
        <w:tc>
          <w:tcPr>
            <w:tcW w:w="7092" w:type="dxa"/>
            <w:shd w:val="clear" w:color="auto" w:fill="auto"/>
          </w:tcPr>
          <w:p w14:paraId="6ACF7378" w14:textId="77777777" w:rsidR="00C52A1D" w:rsidRPr="009E06AA" w:rsidRDefault="00C52A1D" w:rsidP="00C52A1D">
            <w:pPr>
              <w:pStyle w:val="BodyText"/>
              <w:spacing w:before="20" w:after="20" w:line="260" w:lineRule="atLeast"/>
              <w:rPr>
                <w:rFonts w:eastAsia="Calibri" w:cs="Calibri"/>
                <w:sz w:val="20"/>
                <w:szCs w:val="20"/>
              </w:rPr>
            </w:pPr>
            <w:r w:rsidRPr="009E06AA">
              <w:rPr>
                <w:rFonts w:eastAsia="Calibri" w:cs="Calibri"/>
                <w:sz w:val="20"/>
                <w:szCs w:val="20"/>
              </w:rPr>
              <w:t>gigajoule(s)</w:t>
            </w:r>
          </w:p>
        </w:tc>
      </w:tr>
      <w:tr w:rsidR="00C52A1D" w:rsidRPr="009E06AA" w14:paraId="65714B19" w14:textId="77777777" w:rsidTr="00FC5AE5">
        <w:tc>
          <w:tcPr>
            <w:tcW w:w="1526" w:type="dxa"/>
            <w:shd w:val="clear" w:color="auto" w:fill="auto"/>
          </w:tcPr>
          <w:p w14:paraId="5E9113C9" w14:textId="77777777" w:rsidR="00C52A1D" w:rsidRPr="009E06AA" w:rsidRDefault="00C52A1D" w:rsidP="00C52A1D">
            <w:pPr>
              <w:pStyle w:val="BodyText"/>
              <w:spacing w:before="20" w:after="20" w:line="260" w:lineRule="atLeast"/>
              <w:rPr>
                <w:rFonts w:cs="Calibri"/>
                <w:b/>
                <w:sz w:val="20"/>
                <w:szCs w:val="20"/>
              </w:rPr>
            </w:pPr>
            <w:r w:rsidRPr="009E06AA">
              <w:rPr>
                <w:rFonts w:cs="Calibri"/>
                <w:b/>
                <w:sz w:val="20"/>
                <w:szCs w:val="20"/>
              </w:rPr>
              <w:t>GPS</w:t>
            </w:r>
          </w:p>
        </w:tc>
        <w:tc>
          <w:tcPr>
            <w:tcW w:w="7092" w:type="dxa"/>
            <w:shd w:val="clear" w:color="auto" w:fill="auto"/>
          </w:tcPr>
          <w:p w14:paraId="7EB0F343" w14:textId="77777777" w:rsidR="00C52A1D" w:rsidRPr="009E06AA" w:rsidRDefault="00C52A1D" w:rsidP="00C52A1D">
            <w:pPr>
              <w:pStyle w:val="BodyText"/>
              <w:spacing w:before="20" w:after="20" w:line="260" w:lineRule="atLeast"/>
              <w:rPr>
                <w:rFonts w:eastAsia="Calibri" w:cs="Calibri"/>
                <w:sz w:val="20"/>
                <w:szCs w:val="20"/>
              </w:rPr>
            </w:pPr>
            <w:r w:rsidRPr="009E06AA">
              <w:rPr>
                <w:rFonts w:eastAsia="Calibri" w:cs="Calibri"/>
                <w:sz w:val="20"/>
                <w:szCs w:val="20"/>
              </w:rPr>
              <w:t>global positioning system</w:t>
            </w:r>
          </w:p>
        </w:tc>
      </w:tr>
      <w:tr w:rsidR="00C52A1D" w:rsidRPr="009E06AA" w14:paraId="654CE3C4" w14:textId="77777777" w:rsidTr="00FC5AE5">
        <w:tc>
          <w:tcPr>
            <w:tcW w:w="1526" w:type="dxa"/>
            <w:shd w:val="clear" w:color="auto" w:fill="auto"/>
          </w:tcPr>
          <w:p w14:paraId="465ADE5D" w14:textId="77777777" w:rsidR="00C52A1D" w:rsidRPr="009E06AA" w:rsidRDefault="00C52A1D" w:rsidP="00C52A1D">
            <w:pPr>
              <w:pStyle w:val="BodyText"/>
              <w:spacing w:before="20" w:after="20" w:line="260" w:lineRule="atLeast"/>
              <w:rPr>
                <w:rFonts w:cs="Calibri"/>
                <w:b/>
                <w:sz w:val="20"/>
                <w:szCs w:val="20"/>
              </w:rPr>
            </w:pPr>
            <w:r w:rsidRPr="009E06AA">
              <w:rPr>
                <w:rFonts w:cs="Calibri"/>
                <w:b/>
                <w:sz w:val="20"/>
                <w:szCs w:val="20"/>
              </w:rPr>
              <w:t>GRA</w:t>
            </w:r>
          </w:p>
        </w:tc>
        <w:tc>
          <w:tcPr>
            <w:tcW w:w="7092" w:type="dxa"/>
            <w:shd w:val="clear" w:color="auto" w:fill="auto"/>
          </w:tcPr>
          <w:p w14:paraId="27117F49" w14:textId="77777777" w:rsidR="00C52A1D" w:rsidRPr="009E06AA" w:rsidRDefault="00C52A1D" w:rsidP="00C52A1D">
            <w:pPr>
              <w:pStyle w:val="BodyText"/>
              <w:spacing w:before="20" w:after="20" w:line="260" w:lineRule="atLeast"/>
              <w:rPr>
                <w:rFonts w:eastAsia="Calibri" w:cs="Calibri"/>
                <w:sz w:val="20"/>
                <w:szCs w:val="20"/>
              </w:rPr>
            </w:pPr>
            <w:r w:rsidRPr="009E06AA">
              <w:rPr>
                <w:rFonts w:eastAsia="Calibri" w:cs="Calibri"/>
                <w:sz w:val="20"/>
                <w:szCs w:val="20"/>
              </w:rPr>
              <w:t>Global Research Alliance on Agricultural Greenhouse Gases</w:t>
            </w:r>
          </w:p>
        </w:tc>
      </w:tr>
      <w:tr w:rsidR="00C52A1D" w:rsidRPr="009E06AA" w14:paraId="36C9A472" w14:textId="77777777" w:rsidTr="00FC5AE5">
        <w:tc>
          <w:tcPr>
            <w:tcW w:w="1526" w:type="dxa"/>
            <w:shd w:val="clear" w:color="auto" w:fill="auto"/>
          </w:tcPr>
          <w:p w14:paraId="51CAC4A6" w14:textId="77777777" w:rsidR="00C52A1D" w:rsidRPr="009E06AA" w:rsidRDefault="00C52A1D" w:rsidP="00C52A1D">
            <w:pPr>
              <w:pStyle w:val="BodyText"/>
              <w:spacing w:before="20" w:after="20" w:line="260" w:lineRule="atLeast"/>
              <w:rPr>
                <w:rFonts w:cs="Calibri"/>
                <w:b/>
                <w:sz w:val="20"/>
                <w:szCs w:val="20"/>
              </w:rPr>
            </w:pPr>
            <w:r w:rsidRPr="009E06AA">
              <w:rPr>
                <w:rFonts w:cs="Calibri"/>
                <w:b/>
                <w:sz w:val="20"/>
                <w:szCs w:val="20"/>
              </w:rPr>
              <w:t>GST</w:t>
            </w:r>
          </w:p>
        </w:tc>
        <w:tc>
          <w:tcPr>
            <w:tcW w:w="7092" w:type="dxa"/>
            <w:shd w:val="clear" w:color="auto" w:fill="auto"/>
          </w:tcPr>
          <w:p w14:paraId="6AE6E41A" w14:textId="77777777" w:rsidR="00C52A1D" w:rsidRPr="009E06AA" w:rsidRDefault="00C52A1D" w:rsidP="00C52A1D">
            <w:pPr>
              <w:pStyle w:val="BodyText"/>
              <w:spacing w:before="20" w:after="20" w:line="260" w:lineRule="atLeast"/>
              <w:rPr>
                <w:rFonts w:eastAsia="Calibri" w:cs="Calibri"/>
                <w:sz w:val="20"/>
                <w:szCs w:val="20"/>
              </w:rPr>
            </w:pPr>
            <w:r w:rsidRPr="009E06AA">
              <w:rPr>
                <w:rFonts w:eastAsia="Calibri" w:cs="Calibri"/>
                <w:sz w:val="20"/>
                <w:szCs w:val="20"/>
              </w:rPr>
              <w:t xml:space="preserve">goods and services tax </w:t>
            </w:r>
          </w:p>
        </w:tc>
      </w:tr>
      <w:tr w:rsidR="00500429" w:rsidRPr="009E06AA" w14:paraId="4D41181F" w14:textId="77777777" w:rsidTr="00FC5AE5">
        <w:tc>
          <w:tcPr>
            <w:tcW w:w="1526" w:type="dxa"/>
            <w:shd w:val="clear" w:color="auto" w:fill="auto"/>
          </w:tcPr>
          <w:p w14:paraId="0E3C641B" w14:textId="7C4868A3" w:rsidR="00500429" w:rsidRPr="009E06AA" w:rsidRDefault="00500429" w:rsidP="00C52A1D">
            <w:pPr>
              <w:pStyle w:val="BodyText"/>
              <w:spacing w:before="20" w:after="20" w:line="260" w:lineRule="atLeast"/>
              <w:rPr>
                <w:rFonts w:cs="Calibri"/>
                <w:b/>
                <w:sz w:val="20"/>
                <w:szCs w:val="20"/>
              </w:rPr>
            </w:pPr>
            <w:r w:rsidRPr="009E06AA">
              <w:rPr>
                <w:rFonts w:cs="Calibri"/>
                <w:b/>
                <w:sz w:val="20"/>
                <w:szCs w:val="20"/>
              </w:rPr>
              <w:t>GWB</w:t>
            </w:r>
          </w:p>
        </w:tc>
        <w:tc>
          <w:tcPr>
            <w:tcW w:w="7092" w:type="dxa"/>
            <w:shd w:val="clear" w:color="auto" w:fill="auto"/>
          </w:tcPr>
          <w:p w14:paraId="3DD91D2D" w14:textId="647063C5" w:rsidR="00500429" w:rsidRPr="009E06AA" w:rsidRDefault="00500429" w:rsidP="00C52A1D">
            <w:pPr>
              <w:pStyle w:val="BodyText"/>
              <w:spacing w:before="20" w:after="20" w:line="260" w:lineRule="atLeast"/>
              <w:rPr>
                <w:rFonts w:eastAsia="Calibri" w:cs="Calibri"/>
                <w:sz w:val="20"/>
                <w:szCs w:val="20"/>
              </w:rPr>
            </w:pPr>
            <w:r w:rsidRPr="009E06AA">
              <w:rPr>
                <w:rFonts w:eastAsia="Calibri" w:cs="Calibri"/>
                <w:sz w:val="20"/>
                <w:szCs w:val="20"/>
              </w:rPr>
              <w:t>grassland with woody biomass</w:t>
            </w:r>
          </w:p>
        </w:tc>
      </w:tr>
      <w:tr w:rsidR="007A2360" w:rsidRPr="009E06AA" w14:paraId="1E433E27" w14:textId="77777777" w:rsidTr="00FC5AE5">
        <w:tc>
          <w:tcPr>
            <w:tcW w:w="1526" w:type="dxa"/>
            <w:shd w:val="clear" w:color="auto" w:fill="auto"/>
          </w:tcPr>
          <w:p w14:paraId="48AE5389"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ha</w:t>
            </w:r>
          </w:p>
        </w:tc>
        <w:tc>
          <w:tcPr>
            <w:tcW w:w="7092" w:type="dxa"/>
            <w:shd w:val="clear" w:color="auto" w:fill="auto"/>
          </w:tcPr>
          <w:p w14:paraId="62C798F1"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hectare(s)</w:t>
            </w:r>
          </w:p>
        </w:tc>
      </w:tr>
      <w:tr w:rsidR="007A2360" w:rsidRPr="009E06AA" w14:paraId="33A90080" w14:textId="77777777" w:rsidTr="00FC5AE5">
        <w:tc>
          <w:tcPr>
            <w:tcW w:w="1526" w:type="dxa"/>
            <w:shd w:val="clear" w:color="auto" w:fill="auto"/>
          </w:tcPr>
          <w:p w14:paraId="14B42787"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HCFC</w:t>
            </w:r>
          </w:p>
        </w:tc>
        <w:tc>
          <w:tcPr>
            <w:tcW w:w="7092" w:type="dxa"/>
            <w:shd w:val="clear" w:color="auto" w:fill="auto"/>
          </w:tcPr>
          <w:p w14:paraId="5E5D12D9"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hydrochlorofluorocarbon</w:t>
            </w:r>
          </w:p>
        </w:tc>
      </w:tr>
      <w:tr w:rsidR="007A2360" w:rsidRPr="009E06AA" w14:paraId="3CCFC784" w14:textId="77777777" w:rsidTr="00FC5AE5">
        <w:tc>
          <w:tcPr>
            <w:tcW w:w="1526" w:type="dxa"/>
            <w:shd w:val="clear" w:color="auto" w:fill="auto"/>
          </w:tcPr>
          <w:p w14:paraId="7584F707"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HFC</w:t>
            </w:r>
          </w:p>
        </w:tc>
        <w:tc>
          <w:tcPr>
            <w:tcW w:w="7092" w:type="dxa"/>
            <w:shd w:val="clear" w:color="auto" w:fill="auto"/>
          </w:tcPr>
          <w:p w14:paraId="0905C128"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hydrofluorocarbon</w:t>
            </w:r>
          </w:p>
        </w:tc>
      </w:tr>
      <w:tr w:rsidR="007A2360" w:rsidRPr="009E06AA" w14:paraId="4CCC825D" w14:textId="77777777" w:rsidTr="00FC5AE5">
        <w:tc>
          <w:tcPr>
            <w:tcW w:w="1526" w:type="dxa"/>
            <w:shd w:val="clear" w:color="auto" w:fill="auto"/>
          </w:tcPr>
          <w:p w14:paraId="0A25DE56"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HFO</w:t>
            </w:r>
          </w:p>
        </w:tc>
        <w:tc>
          <w:tcPr>
            <w:tcW w:w="7092" w:type="dxa"/>
            <w:shd w:val="clear" w:color="auto" w:fill="auto"/>
          </w:tcPr>
          <w:p w14:paraId="69CF3260"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hydrofluoroolefin</w:t>
            </w:r>
          </w:p>
        </w:tc>
      </w:tr>
      <w:tr w:rsidR="007A2360" w:rsidRPr="009E06AA" w14:paraId="043ED000" w14:textId="77777777" w:rsidTr="00FC5AE5">
        <w:tc>
          <w:tcPr>
            <w:tcW w:w="1526" w:type="dxa"/>
            <w:shd w:val="clear" w:color="auto" w:fill="auto"/>
          </w:tcPr>
          <w:p w14:paraId="5CB1FC6E"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IEA</w:t>
            </w:r>
          </w:p>
        </w:tc>
        <w:tc>
          <w:tcPr>
            <w:tcW w:w="7092" w:type="dxa"/>
            <w:shd w:val="clear" w:color="auto" w:fill="auto"/>
          </w:tcPr>
          <w:p w14:paraId="332DEF37" w14:textId="77777777" w:rsidR="007A2360" w:rsidRPr="009E06AA" w:rsidRDefault="007A2360" w:rsidP="007A2360">
            <w:pPr>
              <w:pStyle w:val="BodyText"/>
              <w:spacing w:before="20" w:after="20" w:line="260" w:lineRule="atLeast"/>
              <w:rPr>
                <w:rFonts w:eastAsia="Calibri" w:cs="Calibri"/>
                <w:sz w:val="20"/>
                <w:szCs w:val="20"/>
              </w:rPr>
            </w:pPr>
            <w:r w:rsidRPr="009E06AA">
              <w:rPr>
                <w:rFonts w:cs="Calibri"/>
                <w:sz w:val="20"/>
                <w:szCs w:val="20"/>
                <w:lang w:eastAsia="en-GB"/>
              </w:rPr>
              <w:t>International Energy Agency</w:t>
            </w:r>
          </w:p>
        </w:tc>
      </w:tr>
      <w:tr w:rsidR="007A2360" w:rsidRPr="009E06AA" w14:paraId="70242FA8" w14:textId="77777777" w:rsidTr="00FC5AE5">
        <w:tc>
          <w:tcPr>
            <w:tcW w:w="1526" w:type="dxa"/>
            <w:shd w:val="clear" w:color="auto" w:fill="auto"/>
          </w:tcPr>
          <w:p w14:paraId="168233EB"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IE</w:t>
            </w:r>
          </w:p>
        </w:tc>
        <w:tc>
          <w:tcPr>
            <w:tcW w:w="7092" w:type="dxa"/>
            <w:shd w:val="clear" w:color="auto" w:fill="auto"/>
          </w:tcPr>
          <w:p w14:paraId="1C0E6ACE"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included elsewhere</w:t>
            </w:r>
          </w:p>
        </w:tc>
      </w:tr>
      <w:tr w:rsidR="007A2360" w:rsidRPr="009E06AA" w14:paraId="68815B0A" w14:textId="77777777" w:rsidTr="00FC5AE5">
        <w:tc>
          <w:tcPr>
            <w:tcW w:w="1526" w:type="dxa"/>
            <w:shd w:val="clear" w:color="auto" w:fill="auto"/>
          </w:tcPr>
          <w:p w14:paraId="37454388"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IEF</w:t>
            </w:r>
          </w:p>
        </w:tc>
        <w:tc>
          <w:tcPr>
            <w:tcW w:w="7092" w:type="dxa"/>
            <w:shd w:val="clear" w:color="auto" w:fill="auto"/>
          </w:tcPr>
          <w:p w14:paraId="773C89DA"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implied emission factor</w:t>
            </w:r>
          </w:p>
        </w:tc>
      </w:tr>
      <w:tr w:rsidR="007A2360" w:rsidRPr="009E06AA" w14:paraId="1D2DA796" w14:textId="77777777" w:rsidTr="00FC5AE5">
        <w:tc>
          <w:tcPr>
            <w:tcW w:w="1526" w:type="dxa"/>
            <w:shd w:val="clear" w:color="auto" w:fill="auto"/>
          </w:tcPr>
          <w:p w14:paraId="458E8FBC"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 xml:space="preserve">IPCC </w:t>
            </w:r>
          </w:p>
        </w:tc>
        <w:tc>
          <w:tcPr>
            <w:tcW w:w="7092" w:type="dxa"/>
            <w:shd w:val="clear" w:color="auto" w:fill="auto"/>
          </w:tcPr>
          <w:p w14:paraId="092CF7DE"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Intergovernmental Panel on Climate Change</w:t>
            </w:r>
          </w:p>
        </w:tc>
      </w:tr>
      <w:tr w:rsidR="007A2360" w:rsidRPr="009E06AA" w14:paraId="437A7C13" w14:textId="77777777" w:rsidTr="00FC5AE5">
        <w:tc>
          <w:tcPr>
            <w:tcW w:w="1526" w:type="dxa"/>
            <w:shd w:val="clear" w:color="auto" w:fill="auto"/>
          </w:tcPr>
          <w:p w14:paraId="7B82F836"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 xml:space="preserve">IPPU </w:t>
            </w:r>
          </w:p>
        </w:tc>
        <w:tc>
          <w:tcPr>
            <w:tcW w:w="7092" w:type="dxa"/>
            <w:shd w:val="clear" w:color="auto" w:fill="auto"/>
          </w:tcPr>
          <w:p w14:paraId="6A791DD6"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Industrial Processes and Product Use</w:t>
            </w:r>
          </w:p>
        </w:tc>
      </w:tr>
      <w:tr w:rsidR="007A2360" w:rsidRPr="009E06AA" w14:paraId="23058A3F" w14:textId="77777777" w:rsidTr="00FC5AE5">
        <w:tc>
          <w:tcPr>
            <w:tcW w:w="1526" w:type="dxa"/>
            <w:shd w:val="clear" w:color="auto" w:fill="auto"/>
          </w:tcPr>
          <w:p w14:paraId="6829903D" w14:textId="77777777" w:rsidR="007A2360" w:rsidRPr="009E06AA" w:rsidRDefault="007A2360" w:rsidP="007A2360">
            <w:pPr>
              <w:pStyle w:val="BodyText"/>
              <w:spacing w:before="20" w:after="20" w:line="260" w:lineRule="atLeast"/>
              <w:rPr>
                <w:rFonts w:cs="Calibri"/>
                <w:b/>
                <w:sz w:val="20"/>
                <w:szCs w:val="20"/>
              </w:rPr>
            </w:pPr>
            <w:r w:rsidRPr="009E06AA">
              <w:rPr>
                <w:rFonts w:cs="Calibri"/>
                <w:b/>
                <w:sz w:val="20"/>
                <w:szCs w:val="20"/>
              </w:rPr>
              <w:t>kg</w:t>
            </w:r>
          </w:p>
        </w:tc>
        <w:tc>
          <w:tcPr>
            <w:tcW w:w="7092" w:type="dxa"/>
            <w:shd w:val="clear" w:color="auto" w:fill="auto"/>
          </w:tcPr>
          <w:p w14:paraId="1D8F7198" w14:textId="77777777" w:rsidR="007A2360" w:rsidRPr="009E06AA" w:rsidRDefault="007A2360" w:rsidP="007A2360">
            <w:pPr>
              <w:pStyle w:val="BodyText"/>
              <w:spacing w:before="20" w:after="20" w:line="260" w:lineRule="atLeast"/>
              <w:rPr>
                <w:rFonts w:cs="Calibri"/>
                <w:sz w:val="20"/>
                <w:szCs w:val="20"/>
              </w:rPr>
            </w:pPr>
            <w:r w:rsidRPr="009E06AA">
              <w:rPr>
                <w:rFonts w:cs="Calibri"/>
                <w:sz w:val="20"/>
                <w:szCs w:val="20"/>
              </w:rPr>
              <w:t>kilogram(s)</w:t>
            </w:r>
          </w:p>
        </w:tc>
      </w:tr>
      <w:tr w:rsidR="007A2360" w:rsidRPr="009E06AA" w14:paraId="772498F8" w14:textId="77777777" w:rsidTr="00FC5AE5">
        <w:tc>
          <w:tcPr>
            <w:tcW w:w="1526" w:type="dxa"/>
            <w:shd w:val="clear" w:color="auto" w:fill="auto"/>
          </w:tcPr>
          <w:p w14:paraId="269544F1" w14:textId="77777777" w:rsidR="007A2360" w:rsidRPr="009E06AA" w:rsidRDefault="007A2360" w:rsidP="007A2360">
            <w:pPr>
              <w:pStyle w:val="BodyText"/>
              <w:spacing w:before="20" w:after="20" w:line="260" w:lineRule="atLeast"/>
              <w:rPr>
                <w:rFonts w:cs="Calibri"/>
                <w:b/>
                <w:sz w:val="20"/>
                <w:szCs w:val="20"/>
              </w:rPr>
            </w:pPr>
            <w:r w:rsidRPr="009E06AA">
              <w:rPr>
                <w:rFonts w:cs="Calibri"/>
                <w:b/>
                <w:sz w:val="20"/>
                <w:szCs w:val="20"/>
              </w:rPr>
              <w:t>kha</w:t>
            </w:r>
          </w:p>
        </w:tc>
        <w:tc>
          <w:tcPr>
            <w:tcW w:w="7092" w:type="dxa"/>
            <w:shd w:val="clear" w:color="auto" w:fill="auto"/>
          </w:tcPr>
          <w:p w14:paraId="478291EA" w14:textId="77777777" w:rsidR="007A2360" w:rsidRPr="009E06AA" w:rsidRDefault="007A2360" w:rsidP="007A2360">
            <w:pPr>
              <w:pStyle w:val="BodyText"/>
              <w:spacing w:before="20" w:after="20" w:line="260" w:lineRule="atLeast"/>
              <w:rPr>
                <w:rFonts w:cs="Calibri"/>
                <w:sz w:val="20"/>
                <w:szCs w:val="20"/>
              </w:rPr>
            </w:pPr>
            <w:r w:rsidRPr="009E06AA">
              <w:rPr>
                <w:rFonts w:cs="Calibri"/>
                <w:sz w:val="20"/>
                <w:szCs w:val="20"/>
              </w:rPr>
              <w:t>kilohectare(s)</w:t>
            </w:r>
          </w:p>
        </w:tc>
      </w:tr>
      <w:tr w:rsidR="007A2360" w:rsidRPr="009E06AA" w14:paraId="45DC4DC0" w14:textId="77777777" w:rsidTr="00FC5AE5">
        <w:tc>
          <w:tcPr>
            <w:tcW w:w="1526" w:type="dxa"/>
            <w:shd w:val="clear" w:color="auto" w:fill="auto"/>
          </w:tcPr>
          <w:p w14:paraId="520D4F90" w14:textId="77777777" w:rsidR="007A2360" w:rsidRPr="009E06AA" w:rsidRDefault="007A2360" w:rsidP="007A2360">
            <w:pPr>
              <w:pStyle w:val="BodyText"/>
              <w:spacing w:before="20" w:after="20" w:line="260" w:lineRule="atLeast"/>
              <w:rPr>
                <w:rFonts w:cs="Calibri"/>
                <w:b/>
                <w:sz w:val="20"/>
                <w:szCs w:val="20"/>
              </w:rPr>
            </w:pPr>
            <w:r w:rsidRPr="009E06AA">
              <w:rPr>
                <w:rFonts w:cs="Calibri"/>
                <w:b/>
                <w:sz w:val="20"/>
                <w:szCs w:val="20"/>
              </w:rPr>
              <w:t>kJ</w:t>
            </w:r>
          </w:p>
        </w:tc>
        <w:tc>
          <w:tcPr>
            <w:tcW w:w="7092" w:type="dxa"/>
            <w:shd w:val="clear" w:color="auto" w:fill="auto"/>
          </w:tcPr>
          <w:p w14:paraId="63B22FB0" w14:textId="77777777" w:rsidR="007A2360" w:rsidRPr="009E06AA" w:rsidRDefault="007A2360" w:rsidP="007A2360">
            <w:pPr>
              <w:pStyle w:val="BodyText"/>
              <w:spacing w:before="20" w:after="20" w:line="260" w:lineRule="atLeast"/>
              <w:rPr>
                <w:rFonts w:cs="Calibri"/>
                <w:sz w:val="20"/>
                <w:szCs w:val="20"/>
              </w:rPr>
            </w:pPr>
            <w:r w:rsidRPr="009E06AA">
              <w:rPr>
                <w:rFonts w:cs="Calibri"/>
                <w:sz w:val="20"/>
                <w:szCs w:val="20"/>
              </w:rPr>
              <w:t>kilojoule(s)</w:t>
            </w:r>
          </w:p>
        </w:tc>
      </w:tr>
      <w:tr w:rsidR="007A2360" w:rsidRPr="009E06AA" w14:paraId="1B3C5C07" w14:textId="77777777" w:rsidTr="00FC5AE5">
        <w:tc>
          <w:tcPr>
            <w:tcW w:w="1526" w:type="dxa"/>
            <w:shd w:val="clear" w:color="auto" w:fill="auto"/>
          </w:tcPr>
          <w:p w14:paraId="22FFAABC"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kt</w:t>
            </w:r>
          </w:p>
        </w:tc>
        <w:tc>
          <w:tcPr>
            <w:tcW w:w="7092" w:type="dxa"/>
            <w:shd w:val="clear" w:color="auto" w:fill="auto"/>
          </w:tcPr>
          <w:p w14:paraId="4545A0F3"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kilotonne(s)</w:t>
            </w:r>
          </w:p>
        </w:tc>
      </w:tr>
      <w:tr w:rsidR="007A2360" w:rsidRPr="009E06AA" w14:paraId="151ACA5D" w14:textId="77777777" w:rsidTr="00FC5AE5">
        <w:tc>
          <w:tcPr>
            <w:tcW w:w="1526" w:type="dxa"/>
            <w:shd w:val="clear" w:color="auto" w:fill="auto"/>
          </w:tcPr>
          <w:p w14:paraId="75A33289"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LCDB</w:t>
            </w:r>
          </w:p>
        </w:tc>
        <w:tc>
          <w:tcPr>
            <w:tcW w:w="7092" w:type="dxa"/>
            <w:shd w:val="clear" w:color="auto" w:fill="auto"/>
          </w:tcPr>
          <w:p w14:paraId="10D6A23D"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Land Cover Database</w:t>
            </w:r>
          </w:p>
        </w:tc>
      </w:tr>
      <w:tr w:rsidR="007A2360" w:rsidRPr="009E06AA" w14:paraId="1EBE5811" w14:textId="77777777" w:rsidTr="00FC5AE5">
        <w:tc>
          <w:tcPr>
            <w:tcW w:w="1526" w:type="dxa"/>
            <w:shd w:val="clear" w:color="auto" w:fill="auto"/>
          </w:tcPr>
          <w:p w14:paraId="71CD89B0"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LFG</w:t>
            </w:r>
          </w:p>
        </w:tc>
        <w:tc>
          <w:tcPr>
            <w:tcW w:w="7092" w:type="dxa"/>
            <w:shd w:val="clear" w:color="auto" w:fill="auto"/>
          </w:tcPr>
          <w:p w14:paraId="75281BC5"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landfill gas</w:t>
            </w:r>
          </w:p>
        </w:tc>
      </w:tr>
      <w:tr w:rsidR="007A2360" w:rsidRPr="009E06AA" w14:paraId="3BE1FE43" w14:textId="77777777" w:rsidTr="00FC5AE5">
        <w:tc>
          <w:tcPr>
            <w:tcW w:w="1526" w:type="dxa"/>
            <w:shd w:val="clear" w:color="auto" w:fill="auto"/>
          </w:tcPr>
          <w:p w14:paraId="074555A0"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LIC</w:t>
            </w:r>
          </w:p>
        </w:tc>
        <w:tc>
          <w:tcPr>
            <w:tcW w:w="7092" w:type="dxa"/>
            <w:shd w:val="clear" w:color="auto" w:fill="auto"/>
          </w:tcPr>
          <w:p w14:paraId="09F29F9D"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Livestock Improvement Corporation</w:t>
            </w:r>
          </w:p>
        </w:tc>
      </w:tr>
      <w:tr w:rsidR="007A2360" w:rsidRPr="009E06AA" w14:paraId="4799A930" w14:textId="77777777" w:rsidTr="00FC5AE5">
        <w:tc>
          <w:tcPr>
            <w:tcW w:w="1526" w:type="dxa"/>
            <w:shd w:val="clear" w:color="auto" w:fill="auto"/>
          </w:tcPr>
          <w:p w14:paraId="67E41AF7"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LiDAR</w:t>
            </w:r>
          </w:p>
        </w:tc>
        <w:tc>
          <w:tcPr>
            <w:tcW w:w="7092" w:type="dxa"/>
            <w:shd w:val="clear" w:color="auto" w:fill="auto"/>
          </w:tcPr>
          <w:p w14:paraId="34EB72A3"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Light Detection and Ranging</w:t>
            </w:r>
          </w:p>
        </w:tc>
      </w:tr>
      <w:tr w:rsidR="007A2360" w:rsidRPr="009E06AA" w14:paraId="0ABDBB96" w14:textId="77777777" w:rsidTr="00FC5AE5">
        <w:tc>
          <w:tcPr>
            <w:tcW w:w="1526" w:type="dxa"/>
            <w:shd w:val="clear" w:color="auto" w:fill="auto"/>
          </w:tcPr>
          <w:p w14:paraId="6CFC6556"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cs="Calibri"/>
                <w:b/>
                <w:sz w:val="20"/>
                <w:szCs w:val="20"/>
                <w:lang w:eastAsia="en-GB"/>
              </w:rPr>
              <w:t>LPG</w:t>
            </w:r>
          </w:p>
        </w:tc>
        <w:tc>
          <w:tcPr>
            <w:tcW w:w="7092" w:type="dxa"/>
            <w:shd w:val="clear" w:color="auto" w:fill="auto"/>
          </w:tcPr>
          <w:p w14:paraId="29C87859" w14:textId="77777777" w:rsidR="007A2360" w:rsidRPr="009E06AA" w:rsidRDefault="007A2360" w:rsidP="007A2360">
            <w:pPr>
              <w:pStyle w:val="BodyText"/>
              <w:spacing w:before="20" w:after="20" w:line="260" w:lineRule="atLeast"/>
              <w:rPr>
                <w:rFonts w:eastAsia="Calibri" w:cs="Calibri"/>
                <w:sz w:val="20"/>
                <w:szCs w:val="20"/>
              </w:rPr>
            </w:pPr>
            <w:r w:rsidRPr="009E06AA">
              <w:rPr>
                <w:rFonts w:cs="Calibri"/>
                <w:sz w:val="20"/>
                <w:szCs w:val="20"/>
              </w:rPr>
              <w:t>liquefied petroleu</w:t>
            </w:r>
            <w:r w:rsidRPr="009E06AA">
              <w:rPr>
                <w:rFonts w:cs="Calibri"/>
                <w:sz w:val="20"/>
                <w:szCs w:val="20"/>
                <w:lang w:eastAsia="en-GB"/>
              </w:rPr>
              <w:t>m gas</w:t>
            </w:r>
          </w:p>
        </w:tc>
      </w:tr>
      <w:tr w:rsidR="007A2360" w:rsidRPr="009E06AA" w14:paraId="3273E265" w14:textId="77777777" w:rsidTr="00FC5AE5">
        <w:tc>
          <w:tcPr>
            <w:tcW w:w="1526" w:type="dxa"/>
            <w:shd w:val="clear" w:color="auto" w:fill="auto"/>
          </w:tcPr>
          <w:p w14:paraId="2BD22762"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LUCAS</w:t>
            </w:r>
          </w:p>
        </w:tc>
        <w:tc>
          <w:tcPr>
            <w:tcW w:w="7092" w:type="dxa"/>
            <w:shd w:val="clear" w:color="auto" w:fill="auto"/>
          </w:tcPr>
          <w:p w14:paraId="383DB5CA"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Land Use and Carbon Analysis System</w:t>
            </w:r>
          </w:p>
        </w:tc>
      </w:tr>
      <w:tr w:rsidR="007A2360" w:rsidRPr="009E06AA" w14:paraId="343D3A98" w14:textId="77777777" w:rsidTr="00FC5AE5">
        <w:tc>
          <w:tcPr>
            <w:tcW w:w="1526" w:type="dxa"/>
            <w:shd w:val="clear" w:color="auto" w:fill="auto"/>
          </w:tcPr>
          <w:p w14:paraId="22C118A1"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LUE</w:t>
            </w:r>
          </w:p>
        </w:tc>
        <w:tc>
          <w:tcPr>
            <w:tcW w:w="7092" w:type="dxa"/>
            <w:shd w:val="clear" w:color="auto" w:fill="auto"/>
          </w:tcPr>
          <w:p w14:paraId="64DAAD74"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land use effect</w:t>
            </w:r>
          </w:p>
        </w:tc>
      </w:tr>
      <w:tr w:rsidR="007A2360" w:rsidRPr="009E06AA" w14:paraId="1A49024B" w14:textId="77777777" w:rsidTr="00FC5AE5">
        <w:tc>
          <w:tcPr>
            <w:tcW w:w="1526" w:type="dxa"/>
            <w:shd w:val="clear" w:color="auto" w:fill="auto"/>
          </w:tcPr>
          <w:p w14:paraId="2BFDB1EF"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LULUCF</w:t>
            </w:r>
          </w:p>
        </w:tc>
        <w:tc>
          <w:tcPr>
            <w:tcW w:w="7092" w:type="dxa"/>
            <w:shd w:val="clear" w:color="auto" w:fill="auto"/>
          </w:tcPr>
          <w:p w14:paraId="3E9FFA10"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Land Use, Land-Use Change and Forestry</w:t>
            </w:r>
          </w:p>
        </w:tc>
      </w:tr>
      <w:tr w:rsidR="007A2360" w:rsidRPr="009E06AA" w14:paraId="2BEDD24C" w14:textId="77777777" w:rsidTr="00FC5AE5">
        <w:tc>
          <w:tcPr>
            <w:tcW w:w="1526" w:type="dxa"/>
            <w:shd w:val="clear" w:color="auto" w:fill="auto"/>
          </w:tcPr>
          <w:p w14:paraId="7DE9BFD9"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LUM</w:t>
            </w:r>
          </w:p>
        </w:tc>
        <w:tc>
          <w:tcPr>
            <w:tcW w:w="7092" w:type="dxa"/>
            <w:shd w:val="clear" w:color="auto" w:fill="auto"/>
          </w:tcPr>
          <w:p w14:paraId="0B71E86A"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land use map</w:t>
            </w:r>
          </w:p>
        </w:tc>
      </w:tr>
      <w:tr w:rsidR="007A2360" w:rsidRPr="009E06AA" w14:paraId="4B7291E4" w14:textId="77777777" w:rsidTr="00FC5AE5">
        <w:tc>
          <w:tcPr>
            <w:tcW w:w="1526" w:type="dxa"/>
            <w:shd w:val="clear" w:color="auto" w:fill="auto"/>
          </w:tcPr>
          <w:p w14:paraId="5DA97264"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 xml:space="preserve">MBIE </w:t>
            </w:r>
          </w:p>
        </w:tc>
        <w:tc>
          <w:tcPr>
            <w:tcW w:w="7092" w:type="dxa"/>
            <w:shd w:val="clear" w:color="auto" w:fill="auto"/>
          </w:tcPr>
          <w:p w14:paraId="48965CCA"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Ministry of Business, Innovation and Employment</w:t>
            </w:r>
          </w:p>
        </w:tc>
      </w:tr>
      <w:tr w:rsidR="007A2360" w:rsidRPr="009E06AA" w14:paraId="5DB15DC2" w14:textId="77777777" w:rsidTr="00FC5AE5">
        <w:tc>
          <w:tcPr>
            <w:tcW w:w="1526" w:type="dxa"/>
            <w:shd w:val="clear" w:color="auto" w:fill="auto"/>
          </w:tcPr>
          <w:p w14:paraId="0553AFDF"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MCF</w:t>
            </w:r>
          </w:p>
        </w:tc>
        <w:tc>
          <w:tcPr>
            <w:tcW w:w="7092" w:type="dxa"/>
            <w:shd w:val="clear" w:color="auto" w:fill="auto"/>
          </w:tcPr>
          <w:p w14:paraId="768EC1E5"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methane conversion factor</w:t>
            </w:r>
          </w:p>
        </w:tc>
      </w:tr>
      <w:tr w:rsidR="007A2360" w:rsidRPr="009E06AA" w14:paraId="143B2874" w14:textId="77777777" w:rsidTr="00FC5AE5">
        <w:tc>
          <w:tcPr>
            <w:tcW w:w="1526" w:type="dxa"/>
            <w:shd w:val="clear" w:color="auto" w:fill="auto"/>
          </w:tcPr>
          <w:p w14:paraId="7866C725"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MDI</w:t>
            </w:r>
          </w:p>
        </w:tc>
        <w:tc>
          <w:tcPr>
            <w:tcW w:w="7092" w:type="dxa"/>
            <w:shd w:val="clear" w:color="auto" w:fill="auto"/>
          </w:tcPr>
          <w:p w14:paraId="19F2D752"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metered dose inhaler</w:t>
            </w:r>
          </w:p>
        </w:tc>
      </w:tr>
      <w:tr w:rsidR="007A2360" w:rsidRPr="009E06AA" w14:paraId="5EB980B9" w14:textId="77777777" w:rsidTr="00FC5AE5">
        <w:tc>
          <w:tcPr>
            <w:tcW w:w="1526" w:type="dxa"/>
            <w:shd w:val="clear" w:color="auto" w:fill="auto"/>
          </w:tcPr>
          <w:p w14:paraId="3C8B9E71"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MDO</w:t>
            </w:r>
          </w:p>
        </w:tc>
        <w:tc>
          <w:tcPr>
            <w:tcW w:w="7092" w:type="dxa"/>
            <w:shd w:val="clear" w:color="auto" w:fill="auto"/>
          </w:tcPr>
          <w:p w14:paraId="534A26A6" w14:textId="77777777" w:rsidR="007A2360" w:rsidRPr="009E06AA" w:rsidRDefault="007A2360" w:rsidP="007A2360">
            <w:pPr>
              <w:pStyle w:val="BodyText"/>
              <w:spacing w:before="20" w:after="20" w:line="260" w:lineRule="atLeast"/>
              <w:rPr>
                <w:rFonts w:eastAsia="Calibri" w:cs="Calibri"/>
                <w:sz w:val="20"/>
                <w:szCs w:val="20"/>
              </w:rPr>
            </w:pPr>
            <w:r w:rsidRPr="009E06AA">
              <w:rPr>
                <w:rFonts w:cs="Calibri"/>
                <w:sz w:val="20"/>
                <w:szCs w:val="20"/>
              </w:rPr>
              <w:t>marine diesel oil</w:t>
            </w:r>
          </w:p>
        </w:tc>
      </w:tr>
      <w:tr w:rsidR="007A2360" w:rsidRPr="009E06AA" w14:paraId="4E25C840" w14:textId="77777777" w:rsidTr="00FC5AE5">
        <w:tc>
          <w:tcPr>
            <w:tcW w:w="1526" w:type="dxa"/>
            <w:shd w:val="clear" w:color="auto" w:fill="auto"/>
          </w:tcPr>
          <w:p w14:paraId="0D8C31EB"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ME</w:t>
            </w:r>
          </w:p>
        </w:tc>
        <w:tc>
          <w:tcPr>
            <w:tcW w:w="7092" w:type="dxa"/>
            <w:shd w:val="clear" w:color="auto" w:fill="auto"/>
          </w:tcPr>
          <w:p w14:paraId="5663CFBF"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metabolisable energy</w:t>
            </w:r>
          </w:p>
        </w:tc>
      </w:tr>
      <w:tr w:rsidR="007A2360" w:rsidRPr="009E06AA" w14:paraId="6BE2B3AD" w14:textId="77777777" w:rsidTr="00FC5AE5">
        <w:tc>
          <w:tcPr>
            <w:tcW w:w="1526" w:type="dxa"/>
            <w:shd w:val="clear" w:color="auto" w:fill="auto"/>
          </w:tcPr>
          <w:p w14:paraId="589BE40D"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MfE</w:t>
            </w:r>
          </w:p>
        </w:tc>
        <w:tc>
          <w:tcPr>
            <w:tcW w:w="7092" w:type="dxa"/>
            <w:shd w:val="clear" w:color="auto" w:fill="auto"/>
          </w:tcPr>
          <w:p w14:paraId="6F88BDB5"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Ministry for the Environment</w:t>
            </w:r>
          </w:p>
        </w:tc>
      </w:tr>
      <w:tr w:rsidR="007A2360" w:rsidRPr="009E06AA" w14:paraId="0229E0A4" w14:textId="77777777" w:rsidTr="00FC5AE5">
        <w:tc>
          <w:tcPr>
            <w:tcW w:w="1526" w:type="dxa"/>
            <w:shd w:val="clear" w:color="auto" w:fill="auto"/>
          </w:tcPr>
          <w:p w14:paraId="7313D57A"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cs="Calibri"/>
                <w:b/>
                <w:sz w:val="20"/>
                <w:szCs w:val="20"/>
              </w:rPr>
              <w:t>MgO</w:t>
            </w:r>
          </w:p>
        </w:tc>
        <w:tc>
          <w:tcPr>
            <w:tcW w:w="7092" w:type="dxa"/>
            <w:shd w:val="clear" w:color="auto" w:fill="auto"/>
          </w:tcPr>
          <w:p w14:paraId="5AF19D3C" w14:textId="77777777" w:rsidR="007A2360" w:rsidRPr="009E06AA" w:rsidRDefault="007A2360" w:rsidP="007A2360">
            <w:pPr>
              <w:pStyle w:val="BodyText"/>
              <w:spacing w:before="20" w:after="20" w:line="260" w:lineRule="atLeast"/>
              <w:rPr>
                <w:rFonts w:eastAsia="Calibri" w:cs="Calibri"/>
                <w:sz w:val="20"/>
                <w:szCs w:val="20"/>
              </w:rPr>
            </w:pPr>
            <w:r w:rsidRPr="009E06AA">
              <w:rPr>
                <w:rFonts w:cs="Calibri"/>
                <w:sz w:val="20"/>
                <w:szCs w:val="20"/>
              </w:rPr>
              <w:t>magnesium oxide</w:t>
            </w:r>
          </w:p>
        </w:tc>
      </w:tr>
      <w:tr w:rsidR="007A2360" w:rsidRPr="009E06AA" w14:paraId="62D70DC9" w14:textId="77777777" w:rsidTr="00FC5AE5">
        <w:tc>
          <w:tcPr>
            <w:tcW w:w="1526" w:type="dxa"/>
            <w:shd w:val="clear" w:color="auto" w:fill="auto"/>
          </w:tcPr>
          <w:p w14:paraId="1B9B9EE4" w14:textId="77777777" w:rsidR="007A2360" w:rsidRPr="009E06AA" w:rsidRDefault="007A2360" w:rsidP="007A2360">
            <w:pPr>
              <w:pStyle w:val="BodyText"/>
              <w:spacing w:before="20" w:after="20" w:line="260" w:lineRule="atLeast"/>
              <w:rPr>
                <w:rFonts w:cs="Calibri"/>
                <w:b/>
                <w:sz w:val="20"/>
                <w:szCs w:val="20"/>
              </w:rPr>
            </w:pPr>
            <w:r w:rsidRPr="009E06AA">
              <w:rPr>
                <w:rFonts w:cs="Calibri"/>
                <w:b/>
                <w:sz w:val="20"/>
                <w:szCs w:val="20"/>
              </w:rPr>
              <w:t>MiCORE</w:t>
            </w:r>
          </w:p>
        </w:tc>
        <w:tc>
          <w:tcPr>
            <w:tcW w:w="7092" w:type="dxa"/>
            <w:shd w:val="clear" w:color="auto" w:fill="auto"/>
          </w:tcPr>
          <w:p w14:paraId="3C2B43DB" w14:textId="77777777" w:rsidR="007A2360" w:rsidRPr="009E06AA" w:rsidRDefault="007A2360" w:rsidP="007A2360">
            <w:pPr>
              <w:pStyle w:val="BodyText"/>
              <w:spacing w:before="20" w:after="20" w:line="260" w:lineRule="atLeast"/>
              <w:rPr>
                <w:rFonts w:cs="Calibri"/>
                <w:sz w:val="20"/>
                <w:szCs w:val="20"/>
              </w:rPr>
            </w:pPr>
            <w:r w:rsidRPr="009E06AA">
              <w:rPr>
                <w:rFonts w:cs="Calibri"/>
                <w:sz w:val="20"/>
                <w:szCs w:val="20"/>
              </w:rPr>
              <w:t>Ministry of Climate, Oceans and Resilience (Tokelau)</w:t>
            </w:r>
          </w:p>
        </w:tc>
      </w:tr>
      <w:tr w:rsidR="007A2360" w:rsidRPr="009E06AA" w14:paraId="75A1967C" w14:textId="77777777" w:rsidTr="00FC5AE5">
        <w:tc>
          <w:tcPr>
            <w:tcW w:w="1526" w:type="dxa"/>
            <w:shd w:val="clear" w:color="auto" w:fill="auto"/>
          </w:tcPr>
          <w:p w14:paraId="6F38C111" w14:textId="77777777" w:rsidR="007A2360" w:rsidRPr="009E06AA" w:rsidRDefault="007A2360" w:rsidP="007A2360">
            <w:pPr>
              <w:pStyle w:val="BodyText"/>
              <w:spacing w:before="20" w:after="20" w:line="260" w:lineRule="atLeast"/>
              <w:rPr>
                <w:rFonts w:cs="Calibri"/>
                <w:b/>
                <w:sz w:val="20"/>
                <w:szCs w:val="20"/>
              </w:rPr>
            </w:pPr>
            <w:r w:rsidRPr="009E06AA">
              <w:rPr>
                <w:rFonts w:cs="Calibri"/>
                <w:b/>
                <w:sz w:val="20"/>
                <w:szCs w:val="20"/>
              </w:rPr>
              <w:t>MJ</w:t>
            </w:r>
          </w:p>
        </w:tc>
        <w:tc>
          <w:tcPr>
            <w:tcW w:w="7092" w:type="dxa"/>
            <w:shd w:val="clear" w:color="auto" w:fill="auto"/>
          </w:tcPr>
          <w:p w14:paraId="6F539C57" w14:textId="77777777" w:rsidR="007A2360" w:rsidRPr="009E06AA" w:rsidRDefault="007A2360" w:rsidP="007A2360">
            <w:pPr>
              <w:pStyle w:val="BodyText"/>
              <w:spacing w:before="20" w:after="20" w:line="260" w:lineRule="atLeast"/>
              <w:rPr>
                <w:rFonts w:cs="Calibri"/>
                <w:sz w:val="20"/>
                <w:szCs w:val="20"/>
              </w:rPr>
            </w:pPr>
            <w:r w:rsidRPr="009E06AA">
              <w:rPr>
                <w:rFonts w:cs="Calibri"/>
                <w:sz w:val="20"/>
                <w:szCs w:val="20"/>
              </w:rPr>
              <w:t>megajoule(s)</w:t>
            </w:r>
          </w:p>
        </w:tc>
      </w:tr>
      <w:tr w:rsidR="007A2360" w:rsidRPr="009E06AA" w14:paraId="11AAD5A7" w14:textId="77777777" w:rsidTr="00FC5AE5">
        <w:tc>
          <w:tcPr>
            <w:tcW w:w="1526" w:type="dxa"/>
            <w:shd w:val="clear" w:color="auto" w:fill="auto"/>
          </w:tcPr>
          <w:p w14:paraId="53170E01" w14:textId="77777777" w:rsidR="007A2360" w:rsidRPr="009E06AA" w:rsidRDefault="007A2360" w:rsidP="007A2360">
            <w:pPr>
              <w:pStyle w:val="BodyText"/>
              <w:spacing w:before="20" w:after="20" w:line="260" w:lineRule="atLeast"/>
              <w:rPr>
                <w:rFonts w:cs="Calibri"/>
                <w:b/>
                <w:sz w:val="20"/>
                <w:szCs w:val="20"/>
              </w:rPr>
            </w:pPr>
            <w:r w:rsidRPr="009E06AA">
              <w:rPr>
                <w:rFonts w:cs="Calibri"/>
                <w:b/>
                <w:sz w:val="20"/>
                <w:szCs w:val="20"/>
              </w:rPr>
              <w:t>MMS</w:t>
            </w:r>
          </w:p>
        </w:tc>
        <w:tc>
          <w:tcPr>
            <w:tcW w:w="7092" w:type="dxa"/>
            <w:shd w:val="clear" w:color="auto" w:fill="auto"/>
          </w:tcPr>
          <w:p w14:paraId="3681190D" w14:textId="77777777" w:rsidR="007A2360" w:rsidRPr="009E06AA" w:rsidRDefault="007A2360" w:rsidP="007A2360">
            <w:pPr>
              <w:pStyle w:val="BodyText"/>
              <w:spacing w:before="20" w:after="20" w:line="260" w:lineRule="atLeast"/>
              <w:rPr>
                <w:rFonts w:cs="Calibri"/>
                <w:sz w:val="20"/>
                <w:szCs w:val="20"/>
              </w:rPr>
            </w:pPr>
            <w:r w:rsidRPr="009E06AA">
              <w:rPr>
                <w:rFonts w:cs="Calibri"/>
                <w:sz w:val="20"/>
                <w:szCs w:val="20"/>
              </w:rPr>
              <w:t>manure management system</w:t>
            </w:r>
          </w:p>
        </w:tc>
      </w:tr>
      <w:tr w:rsidR="007A2360" w:rsidRPr="009E06AA" w14:paraId="4C06532C" w14:textId="77777777" w:rsidTr="00FC5AE5">
        <w:tc>
          <w:tcPr>
            <w:tcW w:w="1526" w:type="dxa"/>
            <w:shd w:val="clear" w:color="auto" w:fill="auto"/>
          </w:tcPr>
          <w:p w14:paraId="61D3178C"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MOS</w:t>
            </w:r>
          </w:p>
        </w:tc>
        <w:tc>
          <w:tcPr>
            <w:tcW w:w="7092" w:type="dxa"/>
            <w:shd w:val="clear" w:color="auto" w:fill="auto"/>
          </w:tcPr>
          <w:p w14:paraId="7A3B3251"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Monthly Oil Supply survey</w:t>
            </w:r>
          </w:p>
        </w:tc>
      </w:tr>
      <w:tr w:rsidR="007A2360" w:rsidRPr="009E06AA" w14:paraId="28FB20A4" w14:textId="77777777" w:rsidTr="00FC5AE5">
        <w:tc>
          <w:tcPr>
            <w:tcW w:w="1526" w:type="dxa"/>
            <w:shd w:val="clear" w:color="auto" w:fill="auto"/>
          </w:tcPr>
          <w:p w14:paraId="29B1A1AB"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MPGs</w:t>
            </w:r>
          </w:p>
        </w:tc>
        <w:tc>
          <w:tcPr>
            <w:tcW w:w="7092" w:type="dxa"/>
            <w:shd w:val="clear" w:color="auto" w:fill="auto"/>
          </w:tcPr>
          <w:p w14:paraId="1E93D911"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modalities, procedures and guidelines</w:t>
            </w:r>
          </w:p>
        </w:tc>
      </w:tr>
      <w:tr w:rsidR="007A2360" w:rsidRPr="009E06AA" w14:paraId="348E3B4E" w14:textId="77777777" w:rsidTr="00FC5AE5">
        <w:tc>
          <w:tcPr>
            <w:tcW w:w="1526" w:type="dxa"/>
            <w:shd w:val="clear" w:color="auto" w:fill="auto"/>
          </w:tcPr>
          <w:p w14:paraId="452007A6"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MPI</w:t>
            </w:r>
          </w:p>
        </w:tc>
        <w:tc>
          <w:tcPr>
            <w:tcW w:w="7092" w:type="dxa"/>
            <w:shd w:val="clear" w:color="auto" w:fill="auto"/>
          </w:tcPr>
          <w:p w14:paraId="78D23D7F"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Ministry for Primary Industries</w:t>
            </w:r>
          </w:p>
        </w:tc>
      </w:tr>
      <w:tr w:rsidR="007A2360" w:rsidRPr="009E06AA" w14:paraId="68DAD544" w14:textId="77777777" w:rsidTr="00FC5AE5">
        <w:tc>
          <w:tcPr>
            <w:tcW w:w="1526" w:type="dxa"/>
            <w:shd w:val="clear" w:color="auto" w:fill="auto"/>
          </w:tcPr>
          <w:p w14:paraId="4F85F714"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MSW</w:t>
            </w:r>
          </w:p>
        </w:tc>
        <w:tc>
          <w:tcPr>
            <w:tcW w:w="7092" w:type="dxa"/>
            <w:shd w:val="clear" w:color="auto" w:fill="auto"/>
          </w:tcPr>
          <w:p w14:paraId="616488A4" w14:textId="77777777" w:rsidR="007A2360" w:rsidRPr="009E06AA" w:rsidRDefault="007A2360" w:rsidP="007A2360">
            <w:pPr>
              <w:pStyle w:val="BodyText"/>
              <w:spacing w:before="20" w:after="20" w:line="260" w:lineRule="atLeast"/>
              <w:rPr>
                <w:rFonts w:eastAsia="Calibri" w:cs="Calibri"/>
                <w:sz w:val="20"/>
                <w:szCs w:val="20"/>
              </w:rPr>
            </w:pPr>
            <w:r w:rsidRPr="009E06AA">
              <w:rPr>
                <w:rFonts w:cs="Calibri"/>
                <w:sz w:val="20"/>
                <w:szCs w:val="20"/>
              </w:rPr>
              <w:t>municipal waste disposal</w:t>
            </w:r>
          </w:p>
        </w:tc>
      </w:tr>
      <w:tr w:rsidR="007A2360" w:rsidRPr="009E06AA" w14:paraId="3DC75E49" w14:textId="77777777" w:rsidTr="00FC5AE5">
        <w:tc>
          <w:tcPr>
            <w:tcW w:w="1526" w:type="dxa"/>
            <w:shd w:val="clear" w:color="auto" w:fill="auto"/>
          </w:tcPr>
          <w:p w14:paraId="2E347BCE"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Mt</w:t>
            </w:r>
          </w:p>
        </w:tc>
        <w:tc>
          <w:tcPr>
            <w:tcW w:w="7092" w:type="dxa"/>
            <w:shd w:val="clear" w:color="auto" w:fill="auto"/>
          </w:tcPr>
          <w:p w14:paraId="2E7E491B"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megatonne(s) or million tonne(s)</w:t>
            </w:r>
          </w:p>
        </w:tc>
      </w:tr>
      <w:tr w:rsidR="007A2360" w:rsidRPr="009E06AA" w14:paraId="65064F62" w14:textId="77777777" w:rsidTr="00FC5AE5">
        <w:tc>
          <w:tcPr>
            <w:tcW w:w="1526" w:type="dxa"/>
            <w:shd w:val="clear" w:color="auto" w:fill="auto"/>
          </w:tcPr>
          <w:p w14:paraId="2478E951"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MW</w:t>
            </w:r>
          </w:p>
        </w:tc>
        <w:tc>
          <w:tcPr>
            <w:tcW w:w="7092" w:type="dxa"/>
            <w:shd w:val="clear" w:color="auto" w:fill="auto"/>
          </w:tcPr>
          <w:p w14:paraId="4D9B9740"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megawatt(s)</w:t>
            </w:r>
          </w:p>
        </w:tc>
      </w:tr>
      <w:tr w:rsidR="007A2360" w:rsidRPr="009E06AA" w14:paraId="16D178F9" w14:textId="77777777" w:rsidTr="00FC5AE5">
        <w:tc>
          <w:tcPr>
            <w:tcW w:w="1526" w:type="dxa"/>
            <w:shd w:val="clear" w:color="auto" w:fill="auto"/>
          </w:tcPr>
          <w:p w14:paraId="3E205A56"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N</w:t>
            </w:r>
          </w:p>
        </w:tc>
        <w:tc>
          <w:tcPr>
            <w:tcW w:w="7092" w:type="dxa"/>
            <w:shd w:val="clear" w:color="auto" w:fill="auto"/>
          </w:tcPr>
          <w:p w14:paraId="7A36791E"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nitrogen</w:t>
            </w:r>
          </w:p>
        </w:tc>
      </w:tr>
      <w:tr w:rsidR="007A2360" w:rsidRPr="009E06AA" w14:paraId="2AC72D70" w14:textId="77777777" w:rsidTr="00FC5AE5">
        <w:tc>
          <w:tcPr>
            <w:tcW w:w="1526" w:type="dxa"/>
            <w:shd w:val="clear" w:color="auto" w:fill="auto"/>
          </w:tcPr>
          <w:p w14:paraId="7D1AB2B5"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N</w:t>
            </w:r>
            <w:r w:rsidRPr="009E06AA">
              <w:rPr>
                <w:rFonts w:eastAsia="Calibri" w:cs="Calibri"/>
                <w:b/>
                <w:sz w:val="20"/>
                <w:szCs w:val="20"/>
                <w:vertAlign w:val="subscript"/>
              </w:rPr>
              <w:t>2</w:t>
            </w:r>
            <w:r w:rsidRPr="009E06AA">
              <w:rPr>
                <w:rFonts w:eastAsia="Calibri" w:cs="Calibri"/>
                <w:b/>
                <w:sz w:val="20"/>
                <w:szCs w:val="20"/>
              </w:rPr>
              <w:t xml:space="preserve">O </w:t>
            </w:r>
          </w:p>
        </w:tc>
        <w:tc>
          <w:tcPr>
            <w:tcW w:w="7092" w:type="dxa"/>
            <w:shd w:val="clear" w:color="auto" w:fill="auto"/>
          </w:tcPr>
          <w:p w14:paraId="0446CA2F"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nitrous oxide</w:t>
            </w:r>
          </w:p>
        </w:tc>
      </w:tr>
      <w:tr w:rsidR="007A2360" w:rsidRPr="009E06AA" w14:paraId="64FBE93A" w14:textId="77777777" w:rsidTr="00FC5AE5">
        <w:tc>
          <w:tcPr>
            <w:tcW w:w="1526" w:type="dxa"/>
            <w:shd w:val="clear" w:color="auto" w:fill="auto"/>
          </w:tcPr>
          <w:p w14:paraId="3626FCA7"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 xml:space="preserve">NA </w:t>
            </w:r>
          </w:p>
        </w:tc>
        <w:tc>
          <w:tcPr>
            <w:tcW w:w="7092" w:type="dxa"/>
            <w:shd w:val="clear" w:color="auto" w:fill="auto"/>
          </w:tcPr>
          <w:p w14:paraId="10B759C7"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not applicable</w:t>
            </w:r>
          </w:p>
        </w:tc>
      </w:tr>
      <w:tr w:rsidR="007A2360" w:rsidRPr="009E06AA" w14:paraId="1AE9E096" w14:textId="77777777" w:rsidTr="00FC5AE5">
        <w:tc>
          <w:tcPr>
            <w:tcW w:w="1526" w:type="dxa"/>
            <w:shd w:val="clear" w:color="auto" w:fill="auto"/>
          </w:tcPr>
          <w:p w14:paraId="2F2F5048"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NDVI</w:t>
            </w:r>
          </w:p>
        </w:tc>
        <w:tc>
          <w:tcPr>
            <w:tcW w:w="7092" w:type="dxa"/>
            <w:shd w:val="clear" w:color="auto" w:fill="auto"/>
          </w:tcPr>
          <w:p w14:paraId="45279773"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normalized difference vegetation index</w:t>
            </w:r>
          </w:p>
        </w:tc>
      </w:tr>
      <w:tr w:rsidR="007A2360" w:rsidRPr="009E06AA" w14:paraId="1929534C" w14:textId="77777777" w:rsidTr="00FC5AE5">
        <w:tc>
          <w:tcPr>
            <w:tcW w:w="1526" w:type="dxa"/>
            <w:shd w:val="clear" w:color="auto" w:fill="auto"/>
          </w:tcPr>
          <w:p w14:paraId="19598AC0"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NE</w:t>
            </w:r>
          </w:p>
        </w:tc>
        <w:tc>
          <w:tcPr>
            <w:tcW w:w="7092" w:type="dxa"/>
            <w:shd w:val="clear" w:color="auto" w:fill="auto"/>
          </w:tcPr>
          <w:p w14:paraId="1B2C9A54"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not estimated</w:t>
            </w:r>
          </w:p>
        </w:tc>
      </w:tr>
      <w:tr w:rsidR="007A2360" w:rsidRPr="009E06AA" w14:paraId="66E9469F" w14:textId="77777777" w:rsidTr="00FC5AE5">
        <w:tc>
          <w:tcPr>
            <w:tcW w:w="1526" w:type="dxa"/>
            <w:shd w:val="clear" w:color="auto" w:fill="auto"/>
          </w:tcPr>
          <w:p w14:paraId="616D48B9"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 xml:space="preserve">NEFD </w:t>
            </w:r>
          </w:p>
        </w:tc>
        <w:tc>
          <w:tcPr>
            <w:tcW w:w="7092" w:type="dxa"/>
            <w:shd w:val="clear" w:color="auto" w:fill="auto"/>
          </w:tcPr>
          <w:p w14:paraId="388BD14D"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National Exotic Forest Description</w:t>
            </w:r>
          </w:p>
        </w:tc>
      </w:tr>
      <w:tr w:rsidR="007A2360" w:rsidRPr="009E06AA" w14:paraId="3AC3B416" w14:textId="77777777" w:rsidTr="00FC5AE5">
        <w:tc>
          <w:tcPr>
            <w:tcW w:w="1526" w:type="dxa"/>
            <w:shd w:val="clear" w:color="auto" w:fill="auto"/>
          </w:tcPr>
          <w:p w14:paraId="1E471ED3"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cs="Calibri"/>
                <w:b/>
                <w:sz w:val="20"/>
                <w:szCs w:val="20"/>
              </w:rPr>
              <w:t>N</w:t>
            </w:r>
            <w:r w:rsidRPr="009E06AA">
              <w:rPr>
                <w:rFonts w:cs="Calibri"/>
                <w:b/>
                <w:sz w:val="20"/>
                <w:szCs w:val="20"/>
                <w:vertAlign w:val="subscript"/>
              </w:rPr>
              <w:t>ex</w:t>
            </w:r>
          </w:p>
        </w:tc>
        <w:tc>
          <w:tcPr>
            <w:tcW w:w="7092" w:type="dxa"/>
            <w:shd w:val="clear" w:color="auto" w:fill="auto"/>
          </w:tcPr>
          <w:p w14:paraId="29764F0F" w14:textId="77777777" w:rsidR="007A2360" w:rsidRPr="009E06AA" w:rsidRDefault="007A2360" w:rsidP="007A2360">
            <w:pPr>
              <w:pStyle w:val="BodyText"/>
              <w:spacing w:before="20" w:after="20" w:line="260" w:lineRule="atLeast"/>
              <w:rPr>
                <w:rFonts w:eastAsia="Calibri" w:cs="Calibri"/>
                <w:sz w:val="20"/>
                <w:szCs w:val="20"/>
              </w:rPr>
            </w:pPr>
            <w:r w:rsidRPr="009E06AA">
              <w:rPr>
                <w:rFonts w:cs="Calibri"/>
                <w:sz w:val="20"/>
                <w:szCs w:val="20"/>
              </w:rPr>
              <w:t xml:space="preserve">nitrogen excretion rates </w:t>
            </w:r>
          </w:p>
        </w:tc>
      </w:tr>
      <w:tr w:rsidR="007A2360" w:rsidRPr="009E06AA" w14:paraId="234ED78E" w14:textId="77777777" w:rsidTr="00FC5AE5">
        <w:tc>
          <w:tcPr>
            <w:tcW w:w="1526" w:type="dxa"/>
            <w:shd w:val="clear" w:color="auto" w:fill="auto"/>
          </w:tcPr>
          <w:p w14:paraId="00E08E55"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NF</w:t>
            </w:r>
            <w:r w:rsidRPr="009E06AA">
              <w:rPr>
                <w:rFonts w:eastAsia="Calibri" w:cs="Calibri"/>
                <w:b/>
                <w:sz w:val="20"/>
                <w:szCs w:val="20"/>
                <w:vertAlign w:val="subscript"/>
              </w:rPr>
              <w:t>3</w:t>
            </w:r>
          </w:p>
        </w:tc>
        <w:tc>
          <w:tcPr>
            <w:tcW w:w="7092" w:type="dxa"/>
            <w:shd w:val="clear" w:color="auto" w:fill="auto"/>
          </w:tcPr>
          <w:p w14:paraId="41C0FA4B"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nitrogen trifluoride</w:t>
            </w:r>
          </w:p>
        </w:tc>
      </w:tr>
      <w:tr w:rsidR="007A2360" w:rsidRPr="009E06AA" w14:paraId="3646F2DB" w14:textId="77777777" w:rsidTr="00FC5AE5">
        <w:tc>
          <w:tcPr>
            <w:tcW w:w="1526" w:type="dxa"/>
            <w:shd w:val="clear" w:color="auto" w:fill="auto"/>
          </w:tcPr>
          <w:p w14:paraId="22B02C64"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cs="Calibri"/>
                <w:b/>
                <w:sz w:val="20"/>
                <w:szCs w:val="20"/>
              </w:rPr>
              <w:t>NH</w:t>
            </w:r>
            <w:r w:rsidRPr="009E06AA">
              <w:rPr>
                <w:rFonts w:cs="Calibri"/>
                <w:b/>
                <w:sz w:val="20"/>
                <w:szCs w:val="20"/>
                <w:vertAlign w:val="subscript"/>
              </w:rPr>
              <w:t>3</w:t>
            </w:r>
          </w:p>
        </w:tc>
        <w:tc>
          <w:tcPr>
            <w:tcW w:w="7092" w:type="dxa"/>
            <w:shd w:val="clear" w:color="auto" w:fill="auto"/>
          </w:tcPr>
          <w:p w14:paraId="5BA3CEF2"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ammonia</w:t>
            </w:r>
          </w:p>
        </w:tc>
      </w:tr>
      <w:tr w:rsidR="007A2360" w:rsidRPr="009E06AA" w14:paraId="207E03F0" w14:textId="77777777" w:rsidTr="00FC5AE5">
        <w:tc>
          <w:tcPr>
            <w:tcW w:w="1526" w:type="dxa"/>
            <w:shd w:val="clear" w:color="auto" w:fill="auto"/>
          </w:tcPr>
          <w:p w14:paraId="5ADF8656"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NIR</w:t>
            </w:r>
          </w:p>
        </w:tc>
        <w:tc>
          <w:tcPr>
            <w:tcW w:w="7092" w:type="dxa"/>
            <w:shd w:val="clear" w:color="auto" w:fill="auto"/>
          </w:tcPr>
          <w:p w14:paraId="4C3175B8"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national inventory report</w:t>
            </w:r>
          </w:p>
        </w:tc>
      </w:tr>
      <w:tr w:rsidR="007A2360" w:rsidRPr="009E06AA" w14:paraId="4919A43D" w14:textId="77777777" w:rsidTr="00FC5AE5">
        <w:tc>
          <w:tcPr>
            <w:tcW w:w="1526" w:type="dxa"/>
            <w:shd w:val="clear" w:color="auto" w:fill="auto"/>
          </w:tcPr>
          <w:p w14:paraId="1D69DDD7"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NMVOC</w:t>
            </w:r>
          </w:p>
        </w:tc>
        <w:tc>
          <w:tcPr>
            <w:tcW w:w="7092" w:type="dxa"/>
            <w:shd w:val="clear" w:color="auto" w:fill="auto"/>
          </w:tcPr>
          <w:p w14:paraId="017037CF"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non-methane volatile organic compound</w:t>
            </w:r>
          </w:p>
        </w:tc>
      </w:tr>
      <w:tr w:rsidR="007A2360" w:rsidRPr="009E06AA" w14:paraId="65F3286C" w14:textId="77777777" w:rsidTr="00FC5AE5">
        <w:tc>
          <w:tcPr>
            <w:tcW w:w="1526" w:type="dxa"/>
            <w:shd w:val="clear" w:color="auto" w:fill="auto"/>
          </w:tcPr>
          <w:p w14:paraId="77BEA029"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NO</w:t>
            </w:r>
          </w:p>
        </w:tc>
        <w:tc>
          <w:tcPr>
            <w:tcW w:w="7092" w:type="dxa"/>
            <w:shd w:val="clear" w:color="auto" w:fill="auto"/>
          </w:tcPr>
          <w:p w14:paraId="67132EB1"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not occurring</w:t>
            </w:r>
          </w:p>
        </w:tc>
      </w:tr>
      <w:tr w:rsidR="007A2360" w:rsidRPr="009E06AA" w14:paraId="51A13BC7" w14:textId="77777777" w:rsidTr="00FC5AE5">
        <w:tc>
          <w:tcPr>
            <w:tcW w:w="1526" w:type="dxa"/>
            <w:shd w:val="clear" w:color="auto" w:fill="auto"/>
          </w:tcPr>
          <w:p w14:paraId="3C629532"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NO</w:t>
            </w:r>
            <w:r w:rsidRPr="009E06AA">
              <w:rPr>
                <w:rFonts w:eastAsia="Calibri" w:cs="Calibri"/>
                <w:b/>
                <w:sz w:val="20"/>
                <w:szCs w:val="20"/>
                <w:vertAlign w:val="subscript"/>
              </w:rPr>
              <w:t>3</w:t>
            </w:r>
          </w:p>
        </w:tc>
        <w:tc>
          <w:tcPr>
            <w:tcW w:w="7092" w:type="dxa"/>
            <w:shd w:val="clear" w:color="auto" w:fill="auto"/>
          </w:tcPr>
          <w:p w14:paraId="2D027076"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nitrate</w:t>
            </w:r>
          </w:p>
        </w:tc>
      </w:tr>
      <w:tr w:rsidR="007A2360" w:rsidRPr="009E06AA" w14:paraId="23089773" w14:textId="77777777" w:rsidTr="00FC5AE5">
        <w:tc>
          <w:tcPr>
            <w:tcW w:w="1526" w:type="dxa"/>
            <w:shd w:val="clear" w:color="auto" w:fill="auto"/>
          </w:tcPr>
          <w:p w14:paraId="317F2420"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NO</w:t>
            </w:r>
            <w:r w:rsidRPr="009E06AA">
              <w:rPr>
                <w:rFonts w:eastAsia="Calibri" w:cs="Calibri"/>
                <w:b/>
                <w:sz w:val="20"/>
                <w:szCs w:val="20"/>
                <w:vertAlign w:val="subscript"/>
              </w:rPr>
              <w:t>x</w:t>
            </w:r>
          </w:p>
        </w:tc>
        <w:tc>
          <w:tcPr>
            <w:tcW w:w="7092" w:type="dxa"/>
            <w:shd w:val="clear" w:color="auto" w:fill="auto"/>
          </w:tcPr>
          <w:p w14:paraId="7599A980"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nitrogen oxides (other than nitrous oxide)</w:t>
            </w:r>
          </w:p>
        </w:tc>
      </w:tr>
      <w:tr w:rsidR="007A2360" w:rsidRPr="009E06AA" w14:paraId="7CECC936" w14:textId="77777777" w:rsidTr="00FC5AE5">
        <w:tc>
          <w:tcPr>
            <w:tcW w:w="1526" w:type="dxa"/>
            <w:shd w:val="clear" w:color="auto" w:fill="auto"/>
          </w:tcPr>
          <w:p w14:paraId="2CF8B161"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NZAGRC</w:t>
            </w:r>
          </w:p>
        </w:tc>
        <w:tc>
          <w:tcPr>
            <w:tcW w:w="7092" w:type="dxa"/>
            <w:shd w:val="clear" w:color="auto" w:fill="auto"/>
          </w:tcPr>
          <w:p w14:paraId="5BB9AB48"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New Zealand Agricultural Greenhouse Gas Research Centre</w:t>
            </w:r>
          </w:p>
        </w:tc>
      </w:tr>
      <w:tr w:rsidR="007A2360" w:rsidRPr="009E06AA" w14:paraId="7D122347" w14:textId="77777777" w:rsidTr="00FC5AE5">
        <w:tc>
          <w:tcPr>
            <w:tcW w:w="1526" w:type="dxa"/>
            <w:shd w:val="clear" w:color="auto" w:fill="auto"/>
          </w:tcPr>
          <w:p w14:paraId="22F01794"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cs="Calibri"/>
                <w:b/>
                <w:sz w:val="20"/>
                <w:szCs w:val="20"/>
              </w:rPr>
              <w:t>NZAS</w:t>
            </w:r>
          </w:p>
        </w:tc>
        <w:tc>
          <w:tcPr>
            <w:tcW w:w="7092" w:type="dxa"/>
            <w:shd w:val="clear" w:color="auto" w:fill="auto"/>
          </w:tcPr>
          <w:p w14:paraId="6FC53F16" w14:textId="77777777" w:rsidR="007A2360" w:rsidRPr="009E06AA" w:rsidRDefault="007A2360" w:rsidP="007A2360">
            <w:pPr>
              <w:pStyle w:val="BodyText"/>
              <w:spacing w:before="20" w:after="20" w:line="260" w:lineRule="atLeast"/>
              <w:rPr>
                <w:rFonts w:eastAsia="Calibri" w:cs="Calibri"/>
                <w:sz w:val="20"/>
                <w:szCs w:val="20"/>
              </w:rPr>
            </w:pPr>
            <w:r w:rsidRPr="009E06AA">
              <w:rPr>
                <w:rFonts w:cs="Calibri"/>
                <w:sz w:val="20"/>
                <w:szCs w:val="20"/>
              </w:rPr>
              <w:t>New Zealand Aluminium Smelters Limited</w:t>
            </w:r>
          </w:p>
        </w:tc>
      </w:tr>
      <w:tr w:rsidR="007A2360" w:rsidRPr="009E06AA" w14:paraId="2E3A4735" w14:textId="77777777" w:rsidTr="00FC5AE5">
        <w:tc>
          <w:tcPr>
            <w:tcW w:w="1526" w:type="dxa"/>
            <w:shd w:val="clear" w:color="auto" w:fill="auto"/>
          </w:tcPr>
          <w:p w14:paraId="3BE05766"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 xml:space="preserve">NZ ETS </w:t>
            </w:r>
          </w:p>
        </w:tc>
        <w:tc>
          <w:tcPr>
            <w:tcW w:w="7092" w:type="dxa"/>
            <w:shd w:val="clear" w:color="auto" w:fill="auto"/>
          </w:tcPr>
          <w:p w14:paraId="2885C098"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New Zealand Emissions Trading Scheme</w:t>
            </w:r>
          </w:p>
        </w:tc>
      </w:tr>
      <w:tr w:rsidR="007A2360" w:rsidRPr="009E06AA" w14:paraId="1AA9C2F1" w14:textId="77777777" w:rsidTr="00FC5AE5">
        <w:tc>
          <w:tcPr>
            <w:tcW w:w="1526" w:type="dxa"/>
            <w:shd w:val="clear" w:color="auto" w:fill="auto"/>
          </w:tcPr>
          <w:p w14:paraId="0CCA9ABE"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NZLRI</w:t>
            </w:r>
          </w:p>
        </w:tc>
        <w:tc>
          <w:tcPr>
            <w:tcW w:w="7092" w:type="dxa"/>
            <w:shd w:val="clear" w:color="auto" w:fill="auto"/>
          </w:tcPr>
          <w:p w14:paraId="539F205F"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New Zealand Land Resource Inventory</w:t>
            </w:r>
          </w:p>
        </w:tc>
      </w:tr>
      <w:tr w:rsidR="007A2360" w:rsidRPr="009E06AA" w14:paraId="2036BD80" w14:textId="77777777" w:rsidTr="00FC5AE5">
        <w:tc>
          <w:tcPr>
            <w:tcW w:w="1526" w:type="dxa"/>
            <w:shd w:val="clear" w:color="auto" w:fill="auto"/>
          </w:tcPr>
          <w:p w14:paraId="7DA856A3"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NZU</w:t>
            </w:r>
          </w:p>
        </w:tc>
        <w:tc>
          <w:tcPr>
            <w:tcW w:w="7092" w:type="dxa"/>
            <w:shd w:val="clear" w:color="auto" w:fill="auto"/>
          </w:tcPr>
          <w:p w14:paraId="3E10A92B"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New Zealand Unit</w:t>
            </w:r>
          </w:p>
        </w:tc>
      </w:tr>
      <w:tr w:rsidR="007A2360" w:rsidRPr="009E06AA" w14:paraId="683B6142" w14:textId="77777777" w:rsidTr="00FC5AE5">
        <w:tc>
          <w:tcPr>
            <w:tcW w:w="1526" w:type="dxa"/>
            <w:shd w:val="clear" w:color="auto" w:fill="auto"/>
          </w:tcPr>
          <w:p w14:paraId="6F109A09"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ODS</w:t>
            </w:r>
          </w:p>
        </w:tc>
        <w:tc>
          <w:tcPr>
            <w:tcW w:w="7092" w:type="dxa"/>
            <w:shd w:val="clear" w:color="auto" w:fill="auto"/>
          </w:tcPr>
          <w:p w14:paraId="6AF2307F"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ozone depleting substances</w:t>
            </w:r>
          </w:p>
        </w:tc>
      </w:tr>
      <w:tr w:rsidR="007A2360" w:rsidRPr="009E06AA" w14:paraId="0F8578BE" w14:textId="77777777" w:rsidTr="00FC5AE5">
        <w:tc>
          <w:tcPr>
            <w:tcW w:w="1526" w:type="dxa"/>
            <w:shd w:val="clear" w:color="auto" w:fill="auto"/>
          </w:tcPr>
          <w:p w14:paraId="490F1B2F"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OECD</w:t>
            </w:r>
          </w:p>
        </w:tc>
        <w:tc>
          <w:tcPr>
            <w:tcW w:w="7092" w:type="dxa"/>
            <w:shd w:val="clear" w:color="auto" w:fill="auto"/>
          </w:tcPr>
          <w:p w14:paraId="6392BDBA"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 xml:space="preserve">Organisation for Economic Co-operation and Development </w:t>
            </w:r>
          </w:p>
        </w:tc>
      </w:tr>
      <w:tr w:rsidR="007A2360" w:rsidRPr="009E06AA" w14:paraId="380A8C13" w14:textId="77777777" w:rsidTr="00FC5AE5">
        <w:tc>
          <w:tcPr>
            <w:tcW w:w="1526" w:type="dxa"/>
            <w:shd w:val="clear" w:color="auto" w:fill="auto"/>
          </w:tcPr>
          <w:p w14:paraId="0E75C148"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PFC</w:t>
            </w:r>
          </w:p>
        </w:tc>
        <w:tc>
          <w:tcPr>
            <w:tcW w:w="7092" w:type="dxa"/>
            <w:shd w:val="clear" w:color="auto" w:fill="auto"/>
          </w:tcPr>
          <w:p w14:paraId="568499BB"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perfluorocarbon</w:t>
            </w:r>
          </w:p>
        </w:tc>
      </w:tr>
      <w:tr w:rsidR="007A2360" w:rsidRPr="009E06AA" w14:paraId="2283A288" w14:textId="77777777" w:rsidTr="00FC5AE5">
        <w:tc>
          <w:tcPr>
            <w:tcW w:w="1526" w:type="dxa"/>
            <w:shd w:val="clear" w:color="auto" w:fill="auto"/>
          </w:tcPr>
          <w:p w14:paraId="07AC9963" w14:textId="77777777" w:rsidR="007A2360" w:rsidRPr="009E06AA" w:rsidRDefault="007A2360" w:rsidP="007A2360">
            <w:pPr>
              <w:pStyle w:val="BodyText"/>
              <w:spacing w:before="20" w:after="20" w:line="260" w:lineRule="atLeast"/>
              <w:rPr>
                <w:rFonts w:eastAsia="Calibri" w:cs="Calibri"/>
                <w:b/>
                <w:bCs/>
                <w:sz w:val="20"/>
                <w:szCs w:val="20"/>
              </w:rPr>
            </w:pPr>
            <w:r w:rsidRPr="009E06AA">
              <w:rPr>
                <w:rFonts w:cs="Calibri"/>
                <w:b/>
                <w:bCs/>
                <w:sz w:val="20"/>
                <w:szCs w:val="20"/>
              </w:rPr>
              <w:t>PGgRc</w:t>
            </w:r>
          </w:p>
        </w:tc>
        <w:tc>
          <w:tcPr>
            <w:tcW w:w="7092" w:type="dxa"/>
            <w:shd w:val="clear" w:color="auto" w:fill="auto"/>
          </w:tcPr>
          <w:p w14:paraId="03850E56" w14:textId="77777777" w:rsidR="007A2360" w:rsidRPr="009E06AA" w:rsidRDefault="007A2360" w:rsidP="007A2360">
            <w:pPr>
              <w:pStyle w:val="BodyText"/>
              <w:spacing w:before="20" w:after="20" w:line="260" w:lineRule="atLeast"/>
              <w:rPr>
                <w:rFonts w:eastAsia="Calibri" w:cs="Calibri"/>
                <w:sz w:val="20"/>
                <w:szCs w:val="20"/>
              </w:rPr>
            </w:pPr>
            <w:r w:rsidRPr="009E06AA">
              <w:rPr>
                <w:rFonts w:cs="Calibri"/>
                <w:sz w:val="20"/>
                <w:szCs w:val="20"/>
              </w:rPr>
              <w:t>Pastoral Greenhouse Gas Research Consortium</w:t>
            </w:r>
          </w:p>
        </w:tc>
      </w:tr>
      <w:tr w:rsidR="007A2360" w:rsidRPr="009E06AA" w14:paraId="1CCCBF9F" w14:textId="77777777" w:rsidTr="00FC5AE5">
        <w:tc>
          <w:tcPr>
            <w:tcW w:w="1526" w:type="dxa"/>
            <w:shd w:val="clear" w:color="auto" w:fill="auto"/>
          </w:tcPr>
          <w:p w14:paraId="2EFEF21B"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PJ</w:t>
            </w:r>
          </w:p>
        </w:tc>
        <w:tc>
          <w:tcPr>
            <w:tcW w:w="7092" w:type="dxa"/>
            <w:shd w:val="clear" w:color="auto" w:fill="auto"/>
          </w:tcPr>
          <w:p w14:paraId="059AC037"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petajoule(s)</w:t>
            </w:r>
          </w:p>
        </w:tc>
      </w:tr>
      <w:tr w:rsidR="007A2360" w:rsidRPr="009E06AA" w14:paraId="1EB8AA03" w14:textId="77777777" w:rsidTr="00FC5AE5">
        <w:tc>
          <w:tcPr>
            <w:tcW w:w="1526" w:type="dxa"/>
            <w:shd w:val="clear" w:color="auto" w:fill="auto"/>
          </w:tcPr>
          <w:p w14:paraId="44BC02B3"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PSP</w:t>
            </w:r>
          </w:p>
        </w:tc>
        <w:tc>
          <w:tcPr>
            <w:tcW w:w="7092" w:type="dxa"/>
            <w:shd w:val="clear" w:color="auto" w:fill="auto"/>
          </w:tcPr>
          <w:p w14:paraId="7BC06391"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permanent sample plot</w:t>
            </w:r>
          </w:p>
        </w:tc>
      </w:tr>
      <w:tr w:rsidR="007A2360" w:rsidRPr="009E06AA" w14:paraId="65736B7C" w14:textId="77777777" w:rsidTr="00FC5AE5">
        <w:tc>
          <w:tcPr>
            <w:tcW w:w="1526" w:type="dxa"/>
            <w:shd w:val="clear" w:color="auto" w:fill="auto"/>
          </w:tcPr>
          <w:p w14:paraId="2D5F0424"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PV</w:t>
            </w:r>
          </w:p>
        </w:tc>
        <w:tc>
          <w:tcPr>
            <w:tcW w:w="7092" w:type="dxa"/>
            <w:shd w:val="clear" w:color="auto" w:fill="auto"/>
          </w:tcPr>
          <w:p w14:paraId="312EA4C2"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photovoltaics</w:t>
            </w:r>
          </w:p>
        </w:tc>
      </w:tr>
      <w:tr w:rsidR="007A2360" w:rsidRPr="009E06AA" w14:paraId="0791ECD1" w14:textId="77777777" w:rsidTr="00FC5AE5">
        <w:tc>
          <w:tcPr>
            <w:tcW w:w="1526" w:type="dxa"/>
            <w:shd w:val="clear" w:color="auto" w:fill="auto"/>
          </w:tcPr>
          <w:p w14:paraId="17EF590E"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QA</w:t>
            </w:r>
          </w:p>
        </w:tc>
        <w:tc>
          <w:tcPr>
            <w:tcW w:w="7092" w:type="dxa"/>
            <w:shd w:val="clear" w:color="auto" w:fill="auto"/>
          </w:tcPr>
          <w:p w14:paraId="54381BDE"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quality assurance</w:t>
            </w:r>
          </w:p>
        </w:tc>
      </w:tr>
      <w:tr w:rsidR="007A2360" w:rsidRPr="009E06AA" w14:paraId="79E8B537" w14:textId="77777777" w:rsidTr="00FC5AE5">
        <w:tc>
          <w:tcPr>
            <w:tcW w:w="1526" w:type="dxa"/>
            <w:shd w:val="clear" w:color="auto" w:fill="auto"/>
          </w:tcPr>
          <w:p w14:paraId="0436C740"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 xml:space="preserve">QC </w:t>
            </w:r>
          </w:p>
        </w:tc>
        <w:tc>
          <w:tcPr>
            <w:tcW w:w="7092" w:type="dxa"/>
            <w:shd w:val="clear" w:color="auto" w:fill="auto"/>
          </w:tcPr>
          <w:p w14:paraId="44869401"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quality control</w:t>
            </w:r>
          </w:p>
        </w:tc>
      </w:tr>
      <w:tr w:rsidR="007A2360" w:rsidRPr="009E06AA" w14:paraId="2444C7E1" w14:textId="77777777" w:rsidTr="00FC5AE5">
        <w:tc>
          <w:tcPr>
            <w:tcW w:w="1526" w:type="dxa"/>
            <w:shd w:val="clear" w:color="auto" w:fill="auto"/>
          </w:tcPr>
          <w:p w14:paraId="6F7CEA6D"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RGG</w:t>
            </w:r>
          </w:p>
        </w:tc>
        <w:tc>
          <w:tcPr>
            <w:tcW w:w="7092" w:type="dxa"/>
            <w:shd w:val="clear" w:color="auto" w:fill="auto"/>
          </w:tcPr>
          <w:p w14:paraId="263A43B9"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 xml:space="preserve">Reporting Governance Group </w:t>
            </w:r>
          </w:p>
        </w:tc>
      </w:tr>
      <w:tr w:rsidR="007A2360" w:rsidRPr="009E06AA" w14:paraId="25CB518E" w14:textId="77777777" w:rsidTr="00FC5AE5">
        <w:tc>
          <w:tcPr>
            <w:tcW w:w="1526" w:type="dxa"/>
            <w:shd w:val="clear" w:color="auto" w:fill="auto"/>
          </w:tcPr>
          <w:p w14:paraId="29C9CFE2"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SF</w:t>
            </w:r>
            <w:r w:rsidRPr="009E06AA">
              <w:rPr>
                <w:rFonts w:eastAsia="Calibri" w:cs="Calibri"/>
                <w:b/>
                <w:sz w:val="20"/>
                <w:szCs w:val="20"/>
                <w:vertAlign w:val="subscript"/>
              </w:rPr>
              <w:t>6</w:t>
            </w:r>
          </w:p>
        </w:tc>
        <w:tc>
          <w:tcPr>
            <w:tcW w:w="7092" w:type="dxa"/>
            <w:shd w:val="clear" w:color="auto" w:fill="auto"/>
          </w:tcPr>
          <w:p w14:paraId="3E38D835"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sulphur hexafluoride</w:t>
            </w:r>
          </w:p>
        </w:tc>
      </w:tr>
      <w:tr w:rsidR="007A2360" w:rsidRPr="009E06AA" w14:paraId="494CF379" w14:textId="77777777" w:rsidTr="00FC5AE5">
        <w:tc>
          <w:tcPr>
            <w:tcW w:w="1526" w:type="dxa"/>
            <w:shd w:val="clear" w:color="auto" w:fill="auto"/>
          </w:tcPr>
          <w:p w14:paraId="71871B81"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SO</w:t>
            </w:r>
            <w:r w:rsidRPr="009E06AA">
              <w:rPr>
                <w:rFonts w:eastAsia="Calibri" w:cs="Calibri"/>
                <w:b/>
                <w:sz w:val="20"/>
                <w:szCs w:val="20"/>
                <w:vertAlign w:val="subscript"/>
              </w:rPr>
              <w:t>2</w:t>
            </w:r>
          </w:p>
        </w:tc>
        <w:tc>
          <w:tcPr>
            <w:tcW w:w="7092" w:type="dxa"/>
            <w:shd w:val="clear" w:color="auto" w:fill="auto"/>
          </w:tcPr>
          <w:p w14:paraId="6737232A"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sulphur dioxide</w:t>
            </w:r>
          </w:p>
        </w:tc>
      </w:tr>
      <w:tr w:rsidR="007A2360" w:rsidRPr="009E06AA" w14:paraId="6A3DCF59" w14:textId="77777777" w:rsidTr="00FC5AE5">
        <w:tc>
          <w:tcPr>
            <w:tcW w:w="1526" w:type="dxa"/>
            <w:shd w:val="clear" w:color="auto" w:fill="auto"/>
          </w:tcPr>
          <w:p w14:paraId="28255468"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SOC</w:t>
            </w:r>
          </w:p>
        </w:tc>
        <w:tc>
          <w:tcPr>
            <w:tcW w:w="7092" w:type="dxa"/>
            <w:shd w:val="clear" w:color="auto" w:fill="auto"/>
          </w:tcPr>
          <w:p w14:paraId="3B23DF64"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soil organic carbon</w:t>
            </w:r>
          </w:p>
        </w:tc>
      </w:tr>
      <w:tr w:rsidR="007A2360" w:rsidRPr="009E06AA" w14:paraId="0D7006E2" w14:textId="77777777" w:rsidTr="00FC5AE5">
        <w:tc>
          <w:tcPr>
            <w:tcW w:w="1526" w:type="dxa"/>
            <w:shd w:val="clear" w:color="auto" w:fill="auto"/>
          </w:tcPr>
          <w:p w14:paraId="6048893C"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Soil CMS</w:t>
            </w:r>
          </w:p>
        </w:tc>
        <w:tc>
          <w:tcPr>
            <w:tcW w:w="7092" w:type="dxa"/>
            <w:shd w:val="clear" w:color="auto" w:fill="auto"/>
          </w:tcPr>
          <w:p w14:paraId="59C59EF5"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Soil Carbon Monitoring System</w:t>
            </w:r>
          </w:p>
        </w:tc>
      </w:tr>
      <w:tr w:rsidR="007A2360" w:rsidRPr="009E06AA" w14:paraId="6808D935" w14:textId="77777777" w:rsidTr="00FC5AE5">
        <w:tc>
          <w:tcPr>
            <w:tcW w:w="1526" w:type="dxa"/>
            <w:shd w:val="clear" w:color="auto" w:fill="auto"/>
          </w:tcPr>
          <w:p w14:paraId="1DC4B278" w14:textId="77777777" w:rsidR="007A2360" w:rsidRPr="009E06AA" w:rsidRDefault="007A2360" w:rsidP="007A2360">
            <w:pPr>
              <w:pStyle w:val="BodyText"/>
              <w:spacing w:before="20" w:after="20" w:line="260" w:lineRule="atLeast"/>
              <w:rPr>
                <w:rFonts w:eastAsia="Calibri" w:cs="Calibri"/>
                <w:b/>
                <w:bCs/>
                <w:sz w:val="20"/>
                <w:szCs w:val="20"/>
              </w:rPr>
            </w:pPr>
            <w:r w:rsidRPr="009E06AA">
              <w:rPr>
                <w:rFonts w:cs="Calibri"/>
                <w:b/>
                <w:bCs/>
                <w:sz w:val="20"/>
                <w:szCs w:val="20"/>
              </w:rPr>
              <w:t>SRAC</w:t>
            </w:r>
          </w:p>
        </w:tc>
        <w:tc>
          <w:tcPr>
            <w:tcW w:w="7092" w:type="dxa"/>
            <w:shd w:val="clear" w:color="auto" w:fill="auto"/>
          </w:tcPr>
          <w:p w14:paraId="1DFF5912"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Stationary Refrigeration and Air Conditioning</w:t>
            </w:r>
          </w:p>
        </w:tc>
      </w:tr>
      <w:tr w:rsidR="007A2360" w:rsidRPr="009E06AA" w14:paraId="35E24465" w14:textId="77777777" w:rsidTr="00FC5AE5">
        <w:tc>
          <w:tcPr>
            <w:tcW w:w="1526" w:type="dxa"/>
            <w:shd w:val="clear" w:color="auto" w:fill="auto"/>
          </w:tcPr>
          <w:p w14:paraId="3681C602" w14:textId="77777777" w:rsidR="007A2360" w:rsidRPr="009E06AA" w:rsidRDefault="007A2360" w:rsidP="007A2360">
            <w:pPr>
              <w:pStyle w:val="BodyText"/>
              <w:spacing w:before="20" w:after="20" w:line="260" w:lineRule="atLeast"/>
              <w:rPr>
                <w:rFonts w:eastAsia="Calibri" w:cs="Calibri"/>
                <w:b/>
                <w:bCs/>
                <w:sz w:val="20"/>
                <w:szCs w:val="20"/>
              </w:rPr>
            </w:pPr>
            <w:r w:rsidRPr="009E06AA">
              <w:rPr>
                <w:rFonts w:cs="Calibri"/>
                <w:b/>
                <w:bCs/>
                <w:sz w:val="20"/>
                <w:szCs w:val="20"/>
              </w:rPr>
              <w:t>SWDS</w:t>
            </w:r>
          </w:p>
        </w:tc>
        <w:tc>
          <w:tcPr>
            <w:tcW w:w="7092" w:type="dxa"/>
            <w:shd w:val="clear" w:color="auto" w:fill="auto"/>
          </w:tcPr>
          <w:p w14:paraId="2B9608F4" w14:textId="77777777" w:rsidR="007A2360" w:rsidRPr="009E06AA" w:rsidRDefault="007A2360" w:rsidP="007A2360">
            <w:pPr>
              <w:pStyle w:val="BodyText"/>
              <w:spacing w:before="20" w:after="20" w:line="260" w:lineRule="atLeast"/>
              <w:rPr>
                <w:rFonts w:eastAsia="Calibri" w:cs="Calibri"/>
                <w:sz w:val="20"/>
                <w:szCs w:val="20"/>
              </w:rPr>
            </w:pPr>
            <w:r w:rsidRPr="009E06AA">
              <w:rPr>
                <w:rFonts w:cs="Calibri"/>
                <w:sz w:val="20"/>
                <w:szCs w:val="20"/>
              </w:rPr>
              <w:t>solid waste disposable sites</w:t>
            </w:r>
          </w:p>
        </w:tc>
      </w:tr>
      <w:tr w:rsidR="007A2360" w:rsidRPr="009E06AA" w14:paraId="075F09E3" w14:textId="77777777" w:rsidTr="00FC5AE5">
        <w:tc>
          <w:tcPr>
            <w:tcW w:w="1526" w:type="dxa"/>
            <w:shd w:val="clear" w:color="auto" w:fill="auto"/>
          </w:tcPr>
          <w:p w14:paraId="4466A2AB"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t</w:t>
            </w:r>
          </w:p>
        </w:tc>
        <w:tc>
          <w:tcPr>
            <w:tcW w:w="7092" w:type="dxa"/>
            <w:shd w:val="clear" w:color="auto" w:fill="auto"/>
          </w:tcPr>
          <w:p w14:paraId="307B5B01"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tonne(s)</w:t>
            </w:r>
          </w:p>
        </w:tc>
      </w:tr>
      <w:tr w:rsidR="007A2360" w:rsidRPr="009E06AA" w14:paraId="4C9AE938" w14:textId="77777777" w:rsidTr="00FC5AE5">
        <w:tc>
          <w:tcPr>
            <w:tcW w:w="1526" w:type="dxa"/>
            <w:shd w:val="clear" w:color="auto" w:fill="auto"/>
          </w:tcPr>
          <w:p w14:paraId="640AF8BE"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t C</w:t>
            </w:r>
          </w:p>
        </w:tc>
        <w:tc>
          <w:tcPr>
            <w:tcW w:w="7092" w:type="dxa"/>
            <w:shd w:val="clear" w:color="auto" w:fill="auto"/>
          </w:tcPr>
          <w:p w14:paraId="13F58278"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tonne(s) carbon</w:t>
            </w:r>
          </w:p>
        </w:tc>
      </w:tr>
      <w:tr w:rsidR="007A2360" w:rsidRPr="009E06AA" w14:paraId="53B8796E" w14:textId="77777777" w:rsidTr="00FC5AE5">
        <w:tc>
          <w:tcPr>
            <w:tcW w:w="1526" w:type="dxa"/>
            <w:shd w:val="clear" w:color="auto" w:fill="auto"/>
          </w:tcPr>
          <w:p w14:paraId="6DF1E8F3"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TACCC</w:t>
            </w:r>
          </w:p>
        </w:tc>
        <w:tc>
          <w:tcPr>
            <w:tcW w:w="7092" w:type="dxa"/>
            <w:shd w:val="clear" w:color="auto" w:fill="auto"/>
          </w:tcPr>
          <w:p w14:paraId="7482A9C9"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transparency, accuracy, completeness, consistency and comparability</w:t>
            </w:r>
          </w:p>
        </w:tc>
      </w:tr>
      <w:tr w:rsidR="007A2360" w:rsidRPr="009E06AA" w14:paraId="6E9D6E8D" w14:textId="77777777" w:rsidTr="00FC5AE5">
        <w:tc>
          <w:tcPr>
            <w:tcW w:w="1526" w:type="dxa"/>
            <w:shd w:val="clear" w:color="auto" w:fill="auto"/>
          </w:tcPr>
          <w:p w14:paraId="7B9E5B4C"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TJ</w:t>
            </w:r>
          </w:p>
        </w:tc>
        <w:tc>
          <w:tcPr>
            <w:tcW w:w="7092" w:type="dxa"/>
            <w:shd w:val="clear" w:color="auto" w:fill="auto"/>
          </w:tcPr>
          <w:p w14:paraId="05216E9F"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terajoule(s)</w:t>
            </w:r>
          </w:p>
        </w:tc>
      </w:tr>
      <w:tr w:rsidR="007A2360" w:rsidRPr="009E06AA" w14:paraId="17F7ADCB" w14:textId="77777777" w:rsidTr="00FC5AE5">
        <w:tc>
          <w:tcPr>
            <w:tcW w:w="1526" w:type="dxa"/>
            <w:shd w:val="clear" w:color="auto" w:fill="auto"/>
          </w:tcPr>
          <w:p w14:paraId="28A6F82E"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TOW</w:t>
            </w:r>
          </w:p>
        </w:tc>
        <w:tc>
          <w:tcPr>
            <w:tcW w:w="7092" w:type="dxa"/>
            <w:shd w:val="clear" w:color="auto" w:fill="auto"/>
          </w:tcPr>
          <w:p w14:paraId="288BD85A"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total organic product in wastewater</w:t>
            </w:r>
          </w:p>
        </w:tc>
      </w:tr>
      <w:tr w:rsidR="007A2360" w:rsidRPr="009E06AA" w14:paraId="6D0563AA" w14:textId="77777777" w:rsidTr="00FC5AE5">
        <w:tc>
          <w:tcPr>
            <w:tcW w:w="1526" w:type="dxa"/>
            <w:shd w:val="clear" w:color="auto" w:fill="auto"/>
          </w:tcPr>
          <w:p w14:paraId="13D307F6"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UEF</w:t>
            </w:r>
          </w:p>
        </w:tc>
        <w:tc>
          <w:tcPr>
            <w:tcW w:w="7092" w:type="dxa"/>
            <w:shd w:val="clear" w:color="auto" w:fill="auto"/>
          </w:tcPr>
          <w:p w14:paraId="21E51939"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unique emission factor</w:t>
            </w:r>
          </w:p>
        </w:tc>
      </w:tr>
      <w:tr w:rsidR="007A2360" w:rsidRPr="009E06AA" w14:paraId="399C3FDF" w14:textId="77777777" w:rsidTr="00FC5AE5">
        <w:tc>
          <w:tcPr>
            <w:tcW w:w="1526" w:type="dxa"/>
            <w:shd w:val="clear" w:color="auto" w:fill="auto"/>
          </w:tcPr>
          <w:p w14:paraId="02CD674C" w14:textId="77777777" w:rsidR="007A2360" w:rsidRPr="009E06AA" w:rsidRDefault="007A2360" w:rsidP="007A2360">
            <w:pPr>
              <w:pStyle w:val="BodyText"/>
              <w:spacing w:before="20" w:after="20" w:line="260" w:lineRule="atLeast"/>
              <w:rPr>
                <w:rFonts w:eastAsia="Calibri" w:cs="Calibri"/>
                <w:b/>
                <w:sz w:val="20"/>
                <w:szCs w:val="20"/>
              </w:rPr>
            </w:pPr>
            <w:r w:rsidRPr="009E06AA">
              <w:rPr>
                <w:rFonts w:eastAsia="Calibri" w:cs="Calibri"/>
                <w:b/>
                <w:sz w:val="20"/>
                <w:szCs w:val="20"/>
              </w:rPr>
              <w:t xml:space="preserve">UNFCCC </w:t>
            </w:r>
          </w:p>
        </w:tc>
        <w:tc>
          <w:tcPr>
            <w:tcW w:w="7092" w:type="dxa"/>
            <w:shd w:val="clear" w:color="auto" w:fill="auto"/>
          </w:tcPr>
          <w:p w14:paraId="1D008FE0" w14:textId="77777777" w:rsidR="007A2360" w:rsidRPr="009E06AA" w:rsidRDefault="007A2360" w:rsidP="007A2360">
            <w:pPr>
              <w:pStyle w:val="BodyText"/>
              <w:spacing w:before="20" w:after="20" w:line="260" w:lineRule="atLeast"/>
              <w:rPr>
                <w:rFonts w:eastAsia="Calibri" w:cs="Calibri"/>
                <w:sz w:val="20"/>
                <w:szCs w:val="20"/>
              </w:rPr>
            </w:pPr>
            <w:r w:rsidRPr="009E06AA">
              <w:rPr>
                <w:rFonts w:eastAsia="Calibri" w:cs="Calibri"/>
                <w:sz w:val="20"/>
                <w:szCs w:val="20"/>
              </w:rPr>
              <w:t xml:space="preserve">United Nations Framework Convention on Climate Change </w:t>
            </w:r>
          </w:p>
        </w:tc>
      </w:tr>
    </w:tbl>
    <w:p w14:paraId="37020384" w14:textId="77777777" w:rsidR="006869E9" w:rsidRPr="009E06AA" w:rsidRDefault="006869E9" w:rsidP="00C21B54"/>
    <w:p w14:paraId="130E25A5" w14:textId="699B5784" w:rsidR="006869E9" w:rsidRPr="009E06AA" w:rsidRDefault="006869E9"/>
    <w:p w14:paraId="077952FA" w14:textId="77777777" w:rsidR="00F50F02" w:rsidRPr="009E06AA" w:rsidRDefault="00F50F02" w:rsidP="00FB2AFE">
      <w:pPr>
        <w:pStyle w:val="Heading1"/>
        <w:sectPr w:rsidR="00F50F02" w:rsidRPr="009E06AA" w:rsidSect="00F66BF9">
          <w:headerReference w:type="default" r:id="rId17"/>
          <w:footerReference w:type="even" r:id="rId18"/>
          <w:footerReference w:type="default" r:id="rId19"/>
          <w:pgSz w:w="11907" w:h="16840" w:code="9"/>
          <w:pgMar w:top="1418" w:right="1701" w:bottom="1418" w:left="1701" w:header="567" w:footer="567" w:gutter="0"/>
          <w:pgNumType w:fmt="lowerRoman"/>
          <w:cols w:space="720"/>
        </w:sectPr>
      </w:pPr>
      <w:bookmarkStart w:id="9" w:name="_Toc131591193"/>
      <w:bookmarkStart w:id="10" w:name="executive-summary"/>
    </w:p>
    <w:p w14:paraId="1DBCE1A1" w14:textId="77777777" w:rsidR="00FB2AFE" w:rsidRPr="009E06AA" w:rsidRDefault="00FB2AFE" w:rsidP="00FB2AFE">
      <w:pPr>
        <w:pStyle w:val="Heading1"/>
      </w:pPr>
      <w:bookmarkStart w:id="11" w:name="_Toc164154151"/>
      <w:r w:rsidRPr="009E06AA">
        <w:t>Executive summary</w:t>
      </w:r>
      <w:bookmarkEnd w:id="9"/>
      <w:bookmarkEnd w:id="11"/>
    </w:p>
    <w:p w14:paraId="72289A54" w14:textId="0112B90A" w:rsidR="00FB2AFE" w:rsidRPr="009E06AA" w:rsidRDefault="00FB2AFE" w:rsidP="00FB2AFE">
      <w:pPr>
        <w:pStyle w:val="BodyText"/>
        <w:spacing w:after="240"/>
      </w:pPr>
      <w:r w:rsidRPr="009E06AA">
        <w:t xml:space="preserve">The 2024 submission of </w:t>
      </w:r>
      <w:r w:rsidRPr="00417017">
        <w:rPr>
          <w:i/>
          <w:iCs/>
        </w:rPr>
        <w:t>New Zealand’s Greenhouse Gas Inventory</w:t>
      </w:r>
      <w:r w:rsidRPr="009E06AA">
        <w:t xml:space="preserve"> (the </w:t>
      </w:r>
      <w:r w:rsidR="00BE6A3E">
        <w:t>I</w:t>
      </w:r>
      <w:r w:rsidRPr="009E06AA">
        <w:t>nventory) contains national greenhouse gas emission estimates for the period 1990 to 2022.</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single" w:sz="4" w:space="0" w:color="D2DDE1" w:themeColor="background2"/>
          <w:insideV w:val="single" w:sz="4" w:space="0" w:color="D2DDE1" w:themeColor="background2"/>
        </w:tblBorders>
        <w:shd w:val="clear" w:color="auto" w:fill="D2DDE2"/>
        <w:tblLook w:val="04A0" w:firstRow="1" w:lastRow="0" w:firstColumn="1" w:lastColumn="0" w:noHBand="0" w:noVBand="1"/>
      </w:tblPr>
      <w:tblGrid>
        <w:gridCol w:w="8505"/>
      </w:tblGrid>
      <w:tr w:rsidR="00FB2AFE" w:rsidRPr="009E06AA" w14:paraId="606D779C" w14:textId="77777777" w:rsidTr="00B55F24">
        <w:tc>
          <w:tcPr>
            <w:tcW w:w="0" w:type="auto"/>
            <w:shd w:val="clear" w:color="auto" w:fill="D2DDE2"/>
          </w:tcPr>
          <w:p w14:paraId="1AB5753D" w14:textId="3DA0CCCC" w:rsidR="00FB2AFE" w:rsidRPr="009E06AA" w:rsidRDefault="00FB2AFE" w:rsidP="00B55F24">
            <w:pPr>
              <w:pStyle w:val="Keypointshead"/>
              <w:spacing w:before="240"/>
              <w:rPr>
                <w:color w:val="1C556C" w:themeColor="accent1"/>
              </w:rPr>
            </w:pPr>
            <w:r w:rsidRPr="009E06AA">
              <w:rPr>
                <w:color w:val="1C556C" w:themeColor="accent1"/>
              </w:rPr>
              <w:t>Key points</w:t>
            </w:r>
          </w:p>
          <w:p w14:paraId="3E5F6E37" w14:textId="77777777" w:rsidR="00FB2AFE" w:rsidRPr="009E06AA" w:rsidRDefault="00FB2AFE" w:rsidP="00B55F24">
            <w:pPr>
              <w:pStyle w:val="Keypointshead"/>
              <w:spacing w:after="0"/>
              <w:rPr>
                <w:color w:val="1C556C" w:themeColor="accent1"/>
              </w:rPr>
            </w:pPr>
            <w:r w:rsidRPr="009E06AA">
              <w:rPr>
                <w:color w:val="1C556C" w:themeColor="accent1"/>
              </w:rPr>
              <w:t>In 2022</w:t>
            </w:r>
          </w:p>
          <w:p w14:paraId="6E1411A3" w14:textId="6FFDB020" w:rsidR="00FB2AFE" w:rsidRPr="009E06AA" w:rsidRDefault="00FB2AFE" w:rsidP="00387AE7">
            <w:pPr>
              <w:pStyle w:val="Keypointsbullet"/>
              <w:rPr>
                <w:color w:val="1C556C" w:themeColor="accent1"/>
              </w:rPr>
            </w:pPr>
            <w:r w:rsidRPr="009E06AA">
              <w:rPr>
                <w:color w:val="1C556C" w:themeColor="accent1"/>
              </w:rPr>
              <w:t>New Zealand’s gross greenhouse gas emissions were 78,395 kilotonnes carbon dioxide equivalent (kt</w:t>
            </w:r>
            <w:r w:rsidR="00B26F8B" w:rsidRPr="009E06AA">
              <w:rPr>
                <w:color w:val="1C556C" w:themeColor="accent1"/>
              </w:rPr>
              <w:t> </w:t>
            </w:r>
            <w:r w:rsidRPr="009E06AA">
              <w:rPr>
                <w:color w:val="1C556C" w:themeColor="accent1"/>
              </w:rPr>
              <w:t>CO</w:t>
            </w:r>
            <w:r w:rsidRPr="009E06AA">
              <w:rPr>
                <w:color w:val="1C556C" w:themeColor="accent1"/>
                <w:vertAlign w:val="subscript"/>
              </w:rPr>
              <w:t>2</w:t>
            </w:r>
            <w:r w:rsidRPr="009E06AA">
              <w:rPr>
                <w:color w:val="1C556C" w:themeColor="accent1"/>
              </w:rPr>
              <w:t>-e), comprising 40 per cent carbon dioxide, 49 per cent methane, 9 per cent nitrous oxide and 2 per cent fluorinated gases.</w:t>
            </w:r>
          </w:p>
          <w:p w14:paraId="12F59C5E" w14:textId="77777777" w:rsidR="00FB2AFE" w:rsidRPr="009E06AA" w:rsidRDefault="00FB2AFE" w:rsidP="00FB2AFE">
            <w:pPr>
              <w:pStyle w:val="Keypointsbullet"/>
              <w:rPr>
                <w:color w:val="1C556C" w:themeColor="accent1"/>
              </w:rPr>
            </w:pPr>
            <w:r w:rsidRPr="009E06AA">
              <w:rPr>
                <w:color w:val="1C556C" w:themeColor="accent1"/>
              </w:rPr>
              <w:t>The Agriculture sector, at 53 per cent, and Energy sector, at 37 per cent, were the two largest contributors to gross emissions.</w:t>
            </w:r>
          </w:p>
          <w:p w14:paraId="737C8941" w14:textId="77777777" w:rsidR="00FB2AFE" w:rsidRPr="009E06AA" w:rsidRDefault="00FB2AFE" w:rsidP="00FB2AFE">
            <w:pPr>
              <w:pStyle w:val="Keypointsbullet"/>
              <w:rPr>
                <w:color w:val="1C556C" w:themeColor="accent1"/>
              </w:rPr>
            </w:pPr>
            <w:r w:rsidRPr="009E06AA">
              <w:rPr>
                <w:color w:val="1C556C" w:themeColor="accent1"/>
              </w:rPr>
              <w:t>The Land Use, Land-Use Change and Forestry (LULUCF) sector offset 25 per cent of New Zealand’s gross emissions.</w:t>
            </w:r>
          </w:p>
          <w:p w14:paraId="0BAA6AEB" w14:textId="77777777" w:rsidR="00FB2AFE" w:rsidRPr="009E06AA" w:rsidRDefault="00FB2AFE" w:rsidP="00FB2AFE">
            <w:pPr>
              <w:pStyle w:val="Keypointsbullet"/>
              <w:rPr>
                <w:color w:val="1C556C" w:themeColor="accent1"/>
              </w:rPr>
            </w:pPr>
            <w:r w:rsidRPr="009E06AA">
              <w:rPr>
                <w:color w:val="1C556C" w:themeColor="accent1"/>
              </w:rPr>
              <w:t>New Zealand’s net emissions were 59,157 kt CO</w:t>
            </w:r>
            <w:r w:rsidRPr="009E06AA">
              <w:rPr>
                <w:color w:val="1C556C" w:themeColor="accent1"/>
                <w:vertAlign w:val="subscript"/>
              </w:rPr>
              <w:t>2</w:t>
            </w:r>
            <w:r w:rsidRPr="009E06AA">
              <w:rPr>
                <w:color w:val="1C556C" w:themeColor="accent1"/>
              </w:rPr>
              <w:t>-e.</w:t>
            </w:r>
          </w:p>
          <w:p w14:paraId="23D466DB" w14:textId="77777777" w:rsidR="00FB2AFE" w:rsidRPr="009E06AA" w:rsidRDefault="00FB2AFE" w:rsidP="00B55F24">
            <w:pPr>
              <w:pStyle w:val="Keypointshead"/>
              <w:spacing w:before="120" w:after="0"/>
              <w:rPr>
                <w:color w:val="1C556C" w:themeColor="accent1"/>
              </w:rPr>
            </w:pPr>
            <w:r w:rsidRPr="009E06AA">
              <w:rPr>
                <w:color w:val="1C556C" w:themeColor="accent1"/>
              </w:rPr>
              <w:t>Since 1990</w:t>
            </w:r>
          </w:p>
          <w:p w14:paraId="267A9CDA" w14:textId="77777777" w:rsidR="00FB2AFE" w:rsidRPr="009E06AA" w:rsidRDefault="00FB2AFE" w:rsidP="00FB2AFE">
            <w:pPr>
              <w:pStyle w:val="Keypointsbullet"/>
              <w:rPr>
                <w:color w:val="1C556C" w:themeColor="accent1"/>
              </w:rPr>
            </w:pPr>
            <w:r w:rsidRPr="009E06AA">
              <w:rPr>
                <w:color w:val="1C556C" w:themeColor="accent1"/>
              </w:rPr>
              <w:t>New Zealand’s gross and net emissions peaked in 2006 at 86,727 kt CO</w:t>
            </w:r>
            <w:r w:rsidRPr="009E06AA">
              <w:rPr>
                <w:color w:val="1C556C" w:themeColor="accent1"/>
                <w:vertAlign w:val="subscript"/>
              </w:rPr>
              <w:t>2</w:t>
            </w:r>
            <w:r w:rsidRPr="009E06AA">
              <w:rPr>
                <w:color w:val="1C556C" w:themeColor="accent1"/>
              </w:rPr>
              <w:t>-e and 64,582 kt CO</w:t>
            </w:r>
            <w:r w:rsidRPr="009E06AA">
              <w:rPr>
                <w:color w:val="1C556C" w:themeColor="accent1"/>
                <w:vertAlign w:val="subscript"/>
              </w:rPr>
              <w:t>2</w:t>
            </w:r>
            <w:r w:rsidRPr="009E06AA">
              <w:rPr>
                <w:color w:val="1C556C" w:themeColor="accent1"/>
              </w:rPr>
              <w:t>-e, respectively.</w:t>
            </w:r>
          </w:p>
          <w:p w14:paraId="48E02100" w14:textId="77777777" w:rsidR="00FB2AFE" w:rsidRPr="009E06AA" w:rsidRDefault="00FB2AFE" w:rsidP="00FB2AFE">
            <w:pPr>
              <w:pStyle w:val="Keypointsbullet"/>
              <w:rPr>
                <w:color w:val="1C556C" w:themeColor="accent1"/>
              </w:rPr>
            </w:pPr>
            <w:r w:rsidRPr="009E06AA">
              <w:rPr>
                <w:color w:val="1C556C" w:themeColor="accent1"/>
              </w:rPr>
              <w:t>New Zealand’s gross emissions increased by 14 per cent (9,437 kt CO</w:t>
            </w:r>
            <w:r w:rsidRPr="009E06AA">
              <w:rPr>
                <w:color w:val="1C556C" w:themeColor="accent1"/>
                <w:vertAlign w:val="subscript"/>
              </w:rPr>
              <w:t>2</w:t>
            </w:r>
            <w:r w:rsidRPr="009E06AA">
              <w:rPr>
                <w:color w:val="1C556C" w:themeColor="accent1"/>
              </w:rPr>
              <w:t>-e). The five emission sources that contributed the most to this increase were:</w:t>
            </w:r>
          </w:p>
          <w:p w14:paraId="595ED39E" w14:textId="77777777" w:rsidR="00FB2AFE" w:rsidRPr="009E06AA" w:rsidRDefault="00FB2AFE" w:rsidP="00FB2AFE">
            <w:pPr>
              <w:pStyle w:val="Keypointsub-bullet"/>
              <w:rPr>
                <w:color w:val="1C556C" w:themeColor="accent1"/>
              </w:rPr>
            </w:pPr>
            <w:r w:rsidRPr="009E06AA">
              <w:rPr>
                <w:color w:val="1C556C" w:themeColor="accent1"/>
              </w:rPr>
              <w:t>enteric fermentation from dairy cattle largely due to an increase in the dairy cattle population (methane), an increase of 9,018 kt CO</w:t>
            </w:r>
            <w:r w:rsidRPr="009E06AA">
              <w:rPr>
                <w:color w:val="1C556C" w:themeColor="accent1"/>
                <w:vertAlign w:val="subscript"/>
              </w:rPr>
              <w:t>2</w:t>
            </w:r>
            <w:r w:rsidRPr="009E06AA">
              <w:rPr>
                <w:color w:val="1C556C" w:themeColor="accent1"/>
              </w:rPr>
              <w:t>-e</w:t>
            </w:r>
          </w:p>
          <w:p w14:paraId="25E92D57" w14:textId="77777777" w:rsidR="00FB2AFE" w:rsidRPr="009E06AA" w:rsidRDefault="00FB2AFE" w:rsidP="00FB2AFE">
            <w:pPr>
              <w:pStyle w:val="Keypointsub-bullet"/>
              <w:rPr>
                <w:color w:val="1C556C" w:themeColor="accent1"/>
              </w:rPr>
            </w:pPr>
            <w:r w:rsidRPr="009E06AA">
              <w:rPr>
                <w:color w:val="1C556C" w:themeColor="accent1"/>
              </w:rPr>
              <w:t>road transportation due to traffic growth (carbon dioxide), an increase of 5,694 kt CO</w:t>
            </w:r>
            <w:r w:rsidRPr="009E06AA">
              <w:rPr>
                <w:color w:val="1C556C" w:themeColor="accent1"/>
                <w:vertAlign w:val="subscript"/>
              </w:rPr>
              <w:t>2</w:t>
            </w:r>
            <w:r w:rsidRPr="009E06AA">
              <w:rPr>
                <w:color w:val="1C556C" w:themeColor="accent1"/>
              </w:rPr>
              <w:t>-e</w:t>
            </w:r>
          </w:p>
          <w:p w14:paraId="7D7D2D61" w14:textId="77777777" w:rsidR="00FB2AFE" w:rsidRPr="009E06AA" w:rsidRDefault="00FB2AFE" w:rsidP="00FB2AFE">
            <w:pPr>
              <w:pStyle w:val="Keypointsub-bullet"/>
              <w:rPr>
                <w:color w:val="1C556C" w:themeColor="accent1"/>
              </w:rPr>
            </w:pPr>
            <w:r w:rsidRPr="009E06AA">
              <w:rPr>
                <w:color w:val="1C556C" w:themeColor="accent1"/>
              </w:rPr>
              <w:t>agricultural soils due to increased fertiliser use (nitrous oxide), an increase of 1,653 kt CO</w:t>
            </w:r>
            <w:r w:rsidRPr="009E06AA">
              <w:rPr>
                <w:color w:val="1C556C" w:themeColor="accent1"/>
                <w:vertAlign w:val="subscript"/>
              </w:rPr>
              <w:t>2</w:t>
            </w:r>
            <w:r w:rsidRPr="009E06AA">
              <w:rPr>
                <w:color w:val="1C556C" w:themeColor="accent1"/>
              </w:rPr>
              <w:t>-e</w:t>
            </w:r>
          </w:p>
          <w:p w14:paraId="4642ED15" w14:textId="77777777" w:rsidR="00FB2AFE" w:rsidRPr="009E06AA" w:rsidRDefault="00FB2AFE" w:rsidP="00FB2AFE">
            <w:pPr>
              <w:pStyle w:val="Keypointsub-bullet"/>
              <w:rPr>
                <w:color w:val="1C556C" w:themeColor="accent1"/>
              </w:rPr>
            </w:pPr>
            <w:r w:rsidRPr="009E06AA">
              <w:rPr>
                <w:color w:val="1C556C" w:themeColor="accent1"/>
              </w:rPr>
              <w:t>increasing use of fluorinated alternatives mainly in refrigeration and air-conditioning systems that replaced ozone depleting substances (hydrofluorocarbons), an increase of 1,498 kt CO</w:t>
            </w:r>
            <w:r w:rsidRPr="009E06AA">
              <w:rPr>
                <w:color w:val="1C556C" w:themeColor="accent1"/>
                <w:vertAlign w:val="subscript"/>
              </w:rPr>
              <w:t>2</w:t>
            </w:r>
            <w:r w:rsidRPr="009E06AA">
              <w:rPr>
                <w:color w:val="1C556C" w:themeColor="accent1"/>
              </w:rPr>
              <w:t>-e</w:t>
            </w:r>
          </w:p>
          <w:p w14:paraId="108E0870" w14:textId="77777777" w:rsidR="00FB2AFE" w:rsidRPr="009E06AA" w:rsidRDefault="00FB2AFE" w:rsidP="00FB2AFE">
            <w:pPr>
              <w:pStyle w:val="Keypointsub-bullet"/>
              <w:rPr>
                <w:color w:val="1C556C" w:themeColor="accent1"/>
              </w:rPr>
            </w:pPr>
            <w:r w:rsidRPr="009E06AA">
              <w:rPr>
                <w:color w:val="1C556C" w:themeColor="accent1"/>
              </w:rPr>
              <w:t>fuel use in manufacturing and construction, due to increased economic activity (carbon dioxide), an increase of 1,342 kt CO</w:t>
            </w:r>
            <w:r w:rsidRPr="009E06AA">
              <w:rPr>
                <w:color w:val="1C556C" w:themeColor="accent1"/>
                <w:vertAlign w:val="subscript"/>
              </w:rPr>
              <w:t>2</w:t>
            </w:r>
            <w:r w:rsidRPr="009E06AA">
              <w:rPr>
                <w:color w:val="1C556C" w:themeColor="accent1"/>
              </w:rPr>
              <w:t>-e.</w:t>
            </w:r>
          </w:p>
          <w:p w14:paraId="33E660F1" w14:textId="77777777" w:rsidR="00FB2AFE" w:rsidRPr="009E06AA" w:rsidRDefault="00FB2AFE" w:rsidP="00FB2AFE">
            <w:pPr>
              <w:pStyle w:val="Keypointsbullet"/>
              <w:rPr>
                <w:color w:val="1C556C" w:themeColor="accent1"/>
              </w:rPr>
            </w:pPr>
            <w:r w:rsidRPr="009E06AA">
              <w:rPr>
                <w:color w:val="1C556C" w:themeColor="accent1"/>
              </w:rPr>
              <w:t>Emissions from the Waste sector decreased by 20 per cent (864 kt CO</w:t>
            </w:r>
            <w:r w:rsidRPr="009E06AA">
              <w:rPr>
                <w:color w:val="1C556C" w:themeColor="accent1"/>
                <w:vertAlign w:val="subscript"/>
              </w:rPr>
              <w:t>2</w:t>
            </w:r>
            <w:r w:rsidRPr="009E06AA">
              <w:rPr>
                <w:color w:val="1C556C" w:themeColor="accent1"/>
              </w:rPr>
              <w:t>-e) mainly due to ongoing improvements in the management of solid waste disposal at municipal landfills, particularly in landfill gas recovery.</w:t>
            </w:r>
          </w:p>
          <w:p w14:paraId="2821D67E" w14:textId="40E46D9E" w:rsidR="00FB2AFE" w:rsidRPr="009E06AA" w:rsidRDefault="00FB2AFE" w:rsidP="00F50F02">
            <w:pPr>
              <w:pStyle w:val="Keypointsbullet"/>
              <w:spacing w:after="120"/>
              <w:rPr>
                <w:color w:val="1C556C" w:themeColor="accent1"/>
              </w:rPr>
            </w:pPr>
            <w:r w:rsidRPr="009E06AA">
              <w:rPr>
                <w:color w:val="1C556C" w:themeColor="accent1"/>
              </w:rPr>
              <w:t>New Zealand’s net emissions have increased by 33 per cent (14,523 kt CO</w:t>
            </w:r>
            <w:r w:rsidRPr="009E06AA">
              <w:rPr>
                <w:color w:val="1C556C" w:themeColor="accent1"/>
                <w:vertAlign w:val="subscript"/>
              </w:rPr>
              <w:t>2</w:t>
            </w:r>
            <w:r w:rsidRPr="009E06AA">
              <w:rPr>
                <w:color w:val="1C556C" w:themeColor="accent1"/>
              </w:rPr>
              <w:t>-e) due to the increase in gross emissions in addition to an increase in the planted forest harvest rate.</w:t>
            </w:r>
          </w:p>
          <w:p w14:paraId="352E6A8E" w14:textId="77777777" w:rsidR="00FB2AFE" w:rsidRPr="009E06AA" w:rsidRDefault="00FB2AFE" w:rsidP="00B55F24">
            <w:pPr>
              <w:pStyle w:val="Keypointshead"/>
              <w:spacing w:after="0"/>
              <w:rPr>
                <w:color w:val="1C556C" w:themeColor="accent1"/>
              </w:rPr>
            </w:pPr>
            <w:r w:rsidRPr="009E06AA">
              <w:rPr>
                <w:color w:val="1C556C" w:themeColor="accent1"/>
              </w:rPr>
              <w:t>Between 2021 and 2022</w:t>
            </w:r>
          </w:p>
          <w:p w14:paraId="50BA87B3" w14:textId="77777777" w:rsidR="00FB2AFE" w:rsidRPr="009E06AA" w:rsidRDefault="00FB2AFE" w:rsidP="00FB2AFE">
            <w:pPr>
              <w:pStyle w:val="Keypointsbullet"/>
              <w:rPr>
                <w:color w:val="1C556C" w:themeColor="accent1"/>
              </w:rPr>
            </w:pPr>
            <w:r w:rsidRPr="009E06AA">
              <w:rPr>
                <w:color w:val="1C556C" w:themeColor="accent1"/>
              </w:rPr>
              <w:t xml:space="preserve">Gross emissions </w:t>
            </w:r>
            <w:r w:rsidRPr="009E06AA">
              <w:rPr>
                <w:bCs/>
                <w:color w:val="1C556C" w:themeColor="accent1"/>
              </w:rPr>
              <w:t>decreased by 4 per cent or 3,414</w:t>
            </w:r>
            <w:r w:rsidRPr="009E06AA">
              <w:rPr>
                <w:color w:val="1C556C" w:themeColor="accent1"/>
              </w:rPr>
              <w:t xml:space="preserve"> kt CO</w:t>
            </w:r>
            <w:r w:rsidRPr="009E06AA">
              <w:rPr>
                <w:color w:val="1C556C" w:themeColor="accent1"/>
                <w:vertAlign w:val="subscript"/>
              </w:rPr>
              <w:t>2</w:t>
            </w:r>
            <w:r w:rsidRPr="009E06AA">
              <w:rPr>
                <w:color w:val="1C556C" w:themeColor="accent1"/>
              </w:rPr>
              <w:t xml:space="preserve">-e, which was largely because of </w:t>
            </w:r>
            <w:r w:rsidRPr="009E06AA">
              <w:rPr>
                <w:bCs/>
                <w:color w:val="1C556C" w:themeColor="accent1"/>
              </w:rPr>
              <w:t>a decrease</w:t>
            </w:r>
            <w:r w:rsidRPr="009E06AA">
              <w:rPr>
                <w:color w:val="1C556C" w:themeColor="accent1"/>
              </w:rPr>
              <w:t xml:space="preserve"> in emissions from the Energy sector (by </w:t>
            </w:r>
            <w:r w:rsidRPr="009E06AA">
              <w:rPr>
                <w:bCs/>
                <w:color w:val="1C556C" w:themeColor="accent1"/>
              </w:rPr>
              <w:t>8 per cent or 2,516</w:t>
            </w:r>
            <w:r w:rsidRPr="009E06AA">
              <w:rPr>
                <w:color w:val="1C556C" w:themeColor="accent1"/>
              </w:rPr>
              <w:t xml:space="preserve"> kt CO</w:t>
            </w:r>
            <w:r w:rsidRPr="009E06AA">
              <w:rPr>
                <w:color w:val="1C556C" w:themeColor="accent1"/>
                <w:vertAlign w:val="subscript"/>
              </w:rPr>
              <w:t>2</w:t>
            </w:r>
            <w:r w:rsidRPr="009E06AA">
              <w:rPr>
                <w:color w:val="1C556C" w:themeColor="accent1"/>
              </w:rPr>
              <w:t>-e). The decrease in Energy sector emissions was driven mainly by:</w:t>
            </w:r>
          </w:p>
          <w:p w14:paraId="1EF4CE1F" w14:textId="77777777" w:rsidR="00FB2AFE" w:rsidRPr="009E06AA" w:rsidRDefault="00FB2AFE" w:rsidP="00FB2AFE">
            <w:pPr>
              <w:pStyle w:val="Keypointsub-bullet"/>
              <w:rPr>
                <w:color w:val="1C556C" w:themeColor="accent1"/>
              </w:rPr>
            </w:pPr>
            <w:r w:rsidRPr="009E06AA">
              <w:rPr>
                <w:color w:val="1C556C" w:themeColor="accent1"/>
              </w:rPr>
              <w:t>lower public electricity and heat production emissions, a decrease of</w:t>
            </w:r>
            <w:r w:rsidRPr="009E06AA" w:rsidDel="00AC29AA">
              <w:rPr>
                <w:color w:val="1C556C" w:themeColor="accent1"/>
              </w:rPr>
              <w:t xml:space="preserve"> </w:t>
            </w:r>
            <w:r w:rsidRPr="009E06AA">
              <w:rPr>
                <w:color w:val="1C556C" w:themeColor="accent1"/>
              </w:rPr>
              <w:t>1,704 kt CO</w:t>
            </w:r>
            <w:r w:rsidRPr="009E06AA">
              <w:rPr>
                <w:color w:val="1C556C" w:themeColor="accent1"/>
                <w:vertAlign w:val="subscript"/>
              </w:rPr>
              <w:t>2</w:t>
            </w:r>
            <w:r w:rsidRPr="009E06AA">
              <w:rPr>
                <w:color w:val="1C556C" w:themeColor="accent1"/>
              </w:rPr>
              <w:t>-e, due to the increased share of electricity generated from renewable energy sources, which displaced gas and coal-fired generation </w:t>
            </w:r>
          </w:p>
          <w:p w14:paraId="30944AE9" w14:textId="1C31F931" w:rsidR="00FB2AFE" w:rsidRPr="009E06AA" w:rsidRDefault="00FB2AFE" w:rsidP="00FB2AFE">
            <w:pPr>
              <w:pStyle w:val="Keypointsub-bullet"/>
              <w:rPr>
                <w:color w:val="1C556C" w:themeColor="accent1"/>
              </w:rPr>
            </w:pPr>
            <w:r w:rsidRPr="009E06AA">
              <w:rPr>
                <w:color w:val="1C556C" w:themeColor="accent1"/>
              </w:rPr>
              <w:t>lower petroleum refining emissions, a decrease of 553 kt CO</w:t>
            </w:r>
            <w:r w:rsidRPr="009E06AA">
              <w:rPr>
                <w:color w:val="1C556C" w:themeColor="accent1"/>
                <w:vertAlign w:val="subscript"/>
              </w:rPr>
              <w:t>2</w:t>
            </w:r>
            <w:r w:rsidRPr="009E06AA">
              <w:rPr>
                <w:color w:val="1C556C" w:themeColor="accent1"/>
              </w:rPr>
              <w:t>-e, due to the closure of New</w:t>
            </w:r>
            <w:r w:rsidR="00204B8F" w:rsidRPr="009E06AA">
              <w:rPr>
                <w:color w:val="1C556C" w:themeColor="accent1"/>
              </w:rPr>
              <w:t> </w:t>
            </w:r>
            <w:r w:rsidRPr="009E06AA">
              <w:rPr>
                <w:color w:val="1C556C" w:themeColor="accent1"/>
              </w:rPr>
              <w:t>Zealand’s sole oil refinery in March 2022 </w:t>
            </w:r>
          </w:p>
          <w:p w14:paraId="440AA9B5" w14:textId="77777777" w:rsidR="00FB2AFE" w:rsidRPr="009E06AA" w:rsidRDefault="00FB2AFE" w:rsidP="00F50F02">
            <w:pPr>
              <w:pStyle w:val="Keypointsub-bullet"/>
              <w:spacing w:after="180"/>
              <w:rPr>
                <w:color w:val="1C556C" w:themeColor="accent1"/>
              </w:rPr>
            </w:pPr>
            <w:r w:rsidRPr="009E06AA">
              <w:rPr>
                <w:color w:val="1C556C" w:themeColor="accent1"/>
              </w:rPr>
              <w:t>lower road transportation emissions, a decrease of 203 kt CO</w:t>
            </w:r>
            <w:r w:rsidRPr="009E06AA">
              <w:rPr>
                <w:color w:val="1C556C" w:themeColor="accent1"/>
                <w:vertAlign w:val="subscript"/>
              </w:rPr>
              <w:t>2</w:t>
            </w:r>
            <w:r w:rsidRPr="009E06AA">
              <w:rPr>
                <w:color w:val="1C556C" w:themeColor="accent1"/>
              </w:rPr>
              <w:t>-e, mainly due to decreased petrol consumption even though petrol vehicle kilometres travelled remained constant.</w:t>
            </w:r>
          </w:p>
          <w:p w14:paraId="681D4F28" w14:textId="445A2DBA" w:rsidR="00FB2AFE" w:rsidRPr="009E06AA" w:rsidRDefault="00FB2AFE" w:rsidP="00F50F02">
            <w:pPr>
              <w:pStyle w:val="Keypointsbullet"/>
              <w:spacing w:before="180"/>
              <w:rPr>
                <w:color w:val="1C556C" w:themeColor="accent1"/>
              </w:rPr>
            </w:pPr>
            <w:r w:rsidRPr="009E06AA">
              <w:rPr>
                <w:color w:val="1C556C" w:themeColor="accent1"/>
              </w:rPr>
              <w:t>Emissions from Agriculture decreased by 1 per cent (608 kt CO</w:t>
            </w:r>
            <w:r w:rsidRPr="009E06AA">
              <w:rPr>
                <w:color w:val="1C556C" w:themeColor="accent1"/>
                <w:vertAlign w:val="subscript"/>
              </w:rPr>
              <w:t>2</w:t>
            </w:r>
            <w:r w:rsidRPr="009E06AA">
              <w:rPr>
                <w:color w:val="1C556C" w:themeColor="accent1"/>
              </w:rPr>
              <w:t>-e)</w:t>
            </w:r>
            <w:r w:rsidR="008C58E4" w:rsidRPr="009E06AA">
              <w:rPr>
                <w:color w:val="1C556C" w:themeColor="accent1"/>
              </w:rPr>
              <w:t>,</w:t>
            </w:r>
            <w:r w:rsidRPr="009E06AA">
              <w:rPr>
                <w:color w:val="1C556C" w:themeColor="accent1"/>
              </w:rPr>
              <w:t xml:space="preserve"> due to a decrease in synthetic fertiliser use and decreases in non-dairy cattle and sheep populations. </w:t>
            </w:r>
          </w:p>
          <w:p w14:paraId="47729988" w14:textId="52991242" w:rsidR="00FB2AFE" w:rsidRPr="009E06AA" w:rsidRDefault="00FB2AFE" w:rsidP="00FB2AFE">
            <w:pPr>
              <w:pStyle w:val="Keypointsbullet"/>
              <w:rPr>
                <w:color w:val="1C556C" w:themeColor="accent1"/>
              </w:rPr>
            </w:pPr>
            <w:r w:rsidRPr="009E06AA">
              <w:rPr>
                <w:color w:val="1C556C" w:themeColor="accent1"/>
              </w:rPr>
              <w:t>Emissions from the Industrial Processes and Product Use sector decreased by 5 per cent (239 kt CO</w:t>
            </w:r>
            <w:r w:rsidRPr="009E06AA">
              <w:rPr>
                <w:color w:val="1C556C" w:themeColor="accent1"/>
                <w:vertAlign w:val="subscript"/>
              </w:rPr>
              <w:t>2</w:t>
            </w:r>
            <w:r w:rsidRPr="009E06AA">
              <w:rPr>
                <w:color w:val="1C556C" w:themeColor="accent1"/>
              </w:rPr>
              <w:t>-e)</w:t>
            </w:r>
            <w:r w:rsidR="008C58E4" w:rsidRPr="009E06AA">
              <w:rPr>
                <w:color w:val="1C556C" w:themeColor="accent1"/>
              </w:rPr>
              <w:t>,</w:t>
            </w:r>
            <w:r w:rsidRPr="009E06AA">
              <w:rPr>
                <w:color w:val="1C556C" w:themeColor="accent1"/>
              </w:rPr>
              <w:t xml:space="preserve"> due largely to decreased steel production.</w:t>
            </w:r>
          </w:p>
          <w:p w14:paraId="1278D4BE" w14:textId="555E5813" w:rsidR="00FB2AFE" w:rsidRPr="009E06AA" w:rsidRDefault="00FB2AFE" w:rsidP="00FB2AFE">
            <w:pPr>
              <w:pStyle w:val="Keypointsbullet"/>
              <w:rPr>
                <w:color w:val="1C556C" w:themeColor="accent1"/>
              </w:rPr>
            </w:pPr>
            <w:r w:rsidRPr="009E06AA">
              <w:rPr>
                <w:color w:val="1C556C" w:themeColor="accent1"/>
              </w:rPr>
              <w:t>Emissions from the Waste sector decreased by 1 per cent (52 kt CO</w:t>
            </w:r>
            <w:r w:rsidRPr="009E06AA">
              <w:rPr>
                <w:color w:val="1C556C" w:themeColor="accent1"/>
                <w:vertAlign w:val="subscript"/>
              </w:rPr>
              <w:t>2</w:t>
            </w:r>
            <w:r w:rsidRPr="009E06AA">
              <w:rPr>
                <w:color w:val="1C556C" w:themeColor="accent1"/>
              </w:rPr>
              <w:t>-e)</w:t>
            </w:r>
            <w:r w:rsidR="008C58E4" w:rsidRPr="009E06AA">
              <w:rPr>
                <w:color w:val="1C556C" w:themeColor="accent1"/>
              </w:rPr>
              <w:t>,</w:t>
            </w:r>
            <w:r w:rsidRPr="009E06AA">
              <w:rPr>
                <w:rFonts w:eastAsiaTheme="minorEastAsia"/>
                <w:color w:val="1C556C" w:themeColor="accent1"/>
              </w:rPr>
              <w:t xml:space="preserve"> </w:t>
            </w:r>
            <w:r w:rsidRPr="009E06AA">
              <w:rPr>
                <w:color w:val="1C556C" w:themeColor="accent1"/>
              </w:rPr>
              <w:t>due to ongoing improvements in the management of solid waste disposal at municipal landfills.</w:t>
            </w:r>
          </w:p>
          <w:p w14:paraId="40864ACD" w14:textId="568379C5" w:rsidR="00FB2AFE" w:rsidRPr="009E06AA" w:rsidRDefault="00FB2AFE" w:rsidP="00FB2AFE">
            <w:pPr>
              <w:pStyle w:val="Keypointsbullet"/>
              <w:rPr>
                <w:color w:val="1C556C" w:themeColor="accent1"/>
              </w:rPr>
            </w:pPr>
            <w:r w:rsidRPr="009E06AA">
              <w:rPr>
                <w:color w:val="1C556C" w:themeColor="accent1"/>
              </w:rPr>
              <w:t xml:space="preserve">Net emissions </w:t>
            </w:r>
            <w:r w:rsidRPr="009E06AA">
              <w:rPr>
                <w:bCs/>
                <w:color w:val="1C556C" w:themeColor="accent1"/>
              </w:rPr>
              <w:t>decreased by 4 per cent (2,147</w:t>
            </w:r>
            <w:r w:rsidRPr="009E06AA">
              <w:rPr>
                <w:color w:val="1C556C" w:themeColor="accent1"/>
              </w:rPr>
              <w:t xml:space="preserve"> kt CO</w:t>
            </w:r>
            <w:r w:rsidRPr="009E06AA">
              <w:rPr>
                <w:color w:val="1C556C" w:themeColor="accent1"/>
                <w:vertAlign w:val="subscript"/>
              </w:rPr>
              <w:t>2</w:t>
            </w:r>
            <w:r w:rsidRPr="009E06AA">
              <w:rPr>
                <w:color w:val="1C556C" w:themeColor="accent1"/>
              </w:rPr>
              <w:t>-e),</w:t>
            </w:r>
            <w:r w:rsidRPr="009E06AA">
              <w:rPr>
                <w:rFonts w:eastAsiaTheme="minorEastAsia"/>
                <w:color w:val="1C556C" w:themeColor="accent1"/>
              </w:rPr>
              <w:t xml:space="preserve"> </w:t>
            </w:r>
            <w:r w:rsidRPr="009E06AA">
              <w:rPr>
                <w:color w:val="1C556C" w:themeColor="accent1"/>
              </w:rPr>
              <w:t>due to the overall decrease in gross emissions. The reduction was offset by an increase in net emissions of 6 per cent (1,267 kt CO</w:t>
            </w:r>
            <w:r w:rsidRPr="009E06AA">
              <w:rPr>
                <w:color w:val="1C556C" w:themeColor="accent1"/>
                <w:vertAlign w:val="subscript"/>
              </w:rPr>
              <w:t>2</w:t>
            </w:r>
            <w:r w:rsidRPr="009E06AA">
              <w:rPr>
                <w:color w:val="1C556C" w:themeColor="accent1"/>
              </w:rPr>
              <w:t>-e) by</w:t>
            </w:r>
            <w:r w:rsidR="00204B8F" w:rsidRPr="009E06AA">
              <w:rPr>
                <w:color w:val="1C556C" w:themeColor="accent1"/>
              </w:rPr>
              <w:t> </w:t>
            </w:r>
            <w:r w:rsidRPr="009E06AA">
              <w:rPr>
                <w:color w:val="1C556C" w:themeColor="accent1"/>
              </w:rPr>
              <w:t>the LULUCF sector. This was mainly driven by an increase in net emissions from harvested wood products due to a small reduction in harvesting volumes between 2021 and 2022</w:t>
            </w:r>
            <w:r w:rsidR="00194140" w:rsidRPr="009E06AA">
              <w:rPr>
                <w:color w:val="1C556C" w:themeColor="accent1"/>
              </w:rPr>
              <w:t>,</w:t>
            </w:r>
            <w:r w:rsidRPr="009E06AA">
              <w:rPr>
                <w:color w:val="1C556C" w:themeColor="accent1"/>
              </w:rPr>
              <w:t xml:space="preserve"> meaning the emissions from historic</w:t>
            </w:r>
            <w:r w:rsidR="00D056D2" w:rsidRPr="009E06AA">
              <w:rPr>
                <w:color w:val="1C556C" w:themeColor="accent1"/>
              </w:rPr>
              <w:t>al</w:t>
            </w:r>
            <w:r w:rsidRPr="009E06AA">
              <w:rPr>
                <w:color w:val="1C556C" w:themeColor="accent1"/>
              </w:rPr>
              <w:t xml:space="preserve"> harvesting were offset to a lesser extent by inputs into the harvested wood products pool. </w:t>
            </w:r>
          </w:p>
          <w:p w14:paraId="7AF062C6" w14:textId="77777777" w:rsidR="00FB2AFE" w:rsidRPr="009E06AA" w:rsidRDefault="00FB2AFE" w:rsidP="00B55F24">
            <w:pPr>
              <w:pStyle w:val="Keypointshead"/>
              <w:spacing w:before="120" w:after="0"/>
              <w:rPr>
                <w:color w:val="1C556C" w:themeColor="accent1"/>
              </w:rPr>
            </w:pPr>
            <w:r w:rsidRPr="009E06AA">
              <w:rPr>
                <w:color w:val="1C556C" w:themeColor="accent1"/>
              </w:rPr>
              <w:t>Inventory improvements</w:t>
            </w:r>
          </w:p>
          <w:p w14:paraId="730A50FE" w14:textId="46516CC1" w:rsidR="00FB2AFE" w:rsidRPr="009E06AA" w:rsidRDefault="00FB2AFE" w:rsidP="00FB2AFE">
            <w:pPr>
              <w:pStyle w:val="Keypointsbullet"/>
              <w:rPr>
                <w:color w:val="1C556C" w:themeColor="accent1"/>
              </w:rPr>
            </w:pPr>
            <w:r w:rsidRPr="009E06AA">
              <w:rPr>
                <w:color w:val="1C556C" w:themeColor="accent1"/>
              </w:rPr>
              <w:t xml:space="preserve">Improvements were introduced to the </w:t>
            </w:r>
            <w:r w:rsidR="00BE6A3E">
              <w:rPr>
                <w:color w:val="1C556C" w:themeColor="accent1"/>
              </w:rPr>
              <w:t>I</w:t>
            </w:r>
            <w:r w:rsidRPr="009E06AA">
              <w:rPr>
                <w:color w:val="1C556C" w:themeColor="accent1"/>
              </w:rPr>
              <w:t xml:space="preserve">nventory this year that required emissions estimates to be recalculated across the time series back to 1990. </w:t>
            </w:r>
          </w:p>
          <w:p w14:paraId="6DD22545" w14:textId="77777777" w:rsidR="00FB2AFE" w:rsidRPr="009E06AA" w:rsidRDefault="00FB2AFE" w:rsidP="00FB2AFE">
            <w:pPr>
              <w:pStyle w:val="Keypointsbullet"/>
              <w:rPr>
                <w:color w:val="1C556C" w:themeColor="accent1"/>
              </w:rPr>
            </w:pPr>
            <w:r w:rsidRPr="009E06AA">
              <w:rPr>
                <w:color w:val="1C556C" w:themeColor="accent1"/>
              </w:rPr>
              <w:t>The overall impact of inventory improvements on New Zealand’s gross emissions was a 1.5 per cent (1,051.7 kt CO₂-e) increase in gross emissions in 1990 and a 2.5 per cent (1,995.4 kt CO₂-e) increase for the 2021 year.</w:t>
            </w:r>
          </w:p>
          <w:p w14:paraId="31ECB1CB" w14:textId="77777777" w:rsidR="00FB2AFE" w:rsidRPr="009E06AA" w:rsidRDefault="00FB2AFE" w:rsidP="00204B8F">
            <w:pPr>
              <w:pStyle w:val="Keypointsbullet"/>
              <w:spacing w:after="240"/>
              <w:rPr>
                <w:color w:val="1C556C" w:themeColor="accent1"/>
              </w:rPr>
            </w:pPr>
            <w:r w:rsidRPr="009E06AA">
              <w:rPr>
                <w:color w:val="1C556C" w:themeColor="accent1"/>
              </w:rPr>
              <w:t>The overall impact of inventory improvements on net emissions estimates, which include the LULUCF sector, was a decrease of 6.4 per cent (3,073.8 kt CO₂-e) in net emissions in 1990 and an increase of 4.4 per cent (2,591.5 kt CO₂-e) in net emissions in 2021.</w:t>
            </w:r>
          </w:p>
        </w:tc>
      </w:tr>
    </w:tbl>
    <w:p w14:paraId="629284B8" w14:textId="1EA79F42" w:rsidR="00FB2AFE" w:rsidRPr="009E06AA" w:rsidRDefault="00FB2AFE" w:rsidP="00204B8F">
      <w:pPr>
        <w:pStyle w:val="Heading2"/>
        <w:tabs>
          <w:tab w:val="clear" w:pos="851"/>
          <w:tab w:val="left" w:pos="993"/>
        </w:tabs>
        <w:spacing w:before="480" w:line="360" w:lineRule="atLeast"/>
      </w:pPr>
      <w:bookmarkStart w:id="12" w:name="_Toc164154152"/>
      <w:bookmarkStart w:id="13" w:name="X4e3838244017c39d6cb4cdc7bc59fee05bda70a"/>
      <w:r w:rsidRPr="009E06AA">
        <w:t xml:space="preserve">ES.1 </w:t>
      </w:r>
      <w:r w:rsidR="00793763" w:rsidRPr="009E06AA">
        <w:tab/>
      </w:r>
      <w:r w:rsidRPr="009E06AA">
        <w:t>Background information on greenhouse gas inventories and climate change</w:t>
      </w:r>
      <w:bookmarkEnd w:id="12"/>
    </w:p>
    <w:p w14:paraId="29FA7A03" w14:textId="61B7178E" w:rsidR="00FB2AFE" w:rsidRPr="009E06AA" w:rsidRDefault="00FB2AFE" w:rsidP="00FB2AFE">
      <w:pPr>
        <w:pStyle w:val="BodyText"/>
      </w:pPr>
      <w:r w:rsidRPr="00417017">
        <w:rPr>
          <w:i/>
          <w:iCs/>
        </w:rPr>
        <w:t>New Zealand’s Greenhouse Gas Inventory</w:t>
      </w:r>
      <w:r w:rsidRPr="009E06AA">
        <w:t xml:space="preserve"> (the </w:t>
      </w:r>
      <w:r w:rsidR="00BE6A3E">
        <w:t>I</w:t>
      </w:r>
      <w:r w:rsidRPr="009E06AA">
        <w:t>nventory) is the official annual estimate of all anthropogenic (human-induced) emissions and removals of greenhouse gases (GHGs) in New Zealand.</w:t>
      </w:r>
    </w:p>
    <w:p w14:paraId="09277F8A" w14:textId="480F9D3E" w:rsidR="00FB2AFE" w:rsidRPr="009E06AA" w:rsidRDefault="00FB2AFE" w:rsidP="00FB2AFE">
      <w:pPr>
        <w:pStyle w:val="BodyText"/>
      </w:pPr>
      <w:r w:rsidRPr="009E06AA">
        <w:t xml:space="preserve">The </w:t>
      </w:r>
      <w:r w:rsidR="008B5A6A">
        <w:t>I</w:t>
      </w:r>
      <w:r w:rsidRPr="009E06AA">
        <w:t>nventory provides the official basis for measuring New Zealand’s progress under the United Nations Framework Convention on Climate Change (the Convention), the Paris Agreement and for tracking its emissions reduction targets.</w:t>
      </w:r>
    </w:p>
    <w:p w14:paraId="4B547852" w14:textId="77777777" w:rsidR="00FB2AFE" w:rsidRPr="009E06AA" w:rsidRDefault="00FB2AFE" w:rsidP="00FB2AFE">
      <w:pPr>
        <w:pStyle w:val="BodyText"/>
      </w:pPr>
      <w:r w:rsidRPr="009E06AA">
        <w:t>New Zealand ratified the Convention on 16 September 1993 and the Paris Agreement on 4 October 2016. This commits New Zealand to submitting an inventory under the Convention and the Paris Agreement by 15 April of each year. From the 2024 reporting year onwards, the obligations for submitting annual greenhouse gas inventories under the Convention are met by applying the reporting guidelines for annual greenhouse gas inventories agreed to under the Paris Agreement (Decision 1/CP.24).</w:t>
      </w:r>
    </w:p>
    <w:p w14:paraId="0298BB8F" w14:textId="3C5837F0" w:rsidR="00FB2AFE" w:rsidRPr="009E06AA" w:rsidRDefault="00FB2AFE" w:rsidP="00FB2AFE">
      <w:pPr>
        <w:pStyle w:val="BodyText"/>
      </w:pPr>
      <w:r w:rsidRPr="009E06AA">
        <w:t>The Conference of the Parties (COP) noted at their 27th session that the final version of the reporting tool for electronic reporting of the common reporting tables</w:t>
      </w:r>
      <w:r w:rsidR="001E4E65" w:rsidRPr="009E06AA">
        <w:t>,</w:t>
      </w:r>
      <w:r w:rsidRPr="009E06AA">
        <w:t xml:space="preserve"> referred to in decision 5/CMA.3 paragraph 8, is not expected to be available for use until 30 June 2024. Agreement was reached at COP27 to change the deadline</w:t>
      </w:r>
      <w:r w:rsidR="009148C6" w:rsidRPr="009E06AA">
        <w:t>,</w:t>
      </w:r>
      <w:r w:rsidRPr="009E06AA">
        <w:t xml:space="preserve"> for the submission by Parties included in Annex I to the Convention that are Parties to the Paris Agreement</w:t>
      </w:r>
      <w:r w:rsidR="00516A6C" w:rsidRPr="009E06AA">
        <w:t>,</w:t>
      </w:r>
      <w:r w:rsidRPr="009E06AA">
        <w:t xml:space="preserve"> of their annual greenhouse gas inventories due in 2024 to 31 December 2024 (Decision 6/CP.27).</w:t>
      </w:r>
    </w:p>
    <w:p w14:paraId="3860014A" w14:textId="77777777" w:rsidR="00FB2AFE" w:rsidRPr="009E06AA" w:rsidRDefault="00FB2AFE" w:rsidP="00FB2AFE">
      <w:pPr>
        <w:pStyle w:val="BodyText"/>
      </w:pPr>
      <w:r w:rsidRPr="009E06AA">
        <w:t>New Zealand’s ratification of the Convention and the Paris Agreement was extended to include Tokelau on 13 November 2017. Greenhouse gas emissions and removals estimates from Tokelau have therefore been included in New Zealand’s inventory since its 2019 submission.</w:t>
      </w:r>
    </w:p>
    <w:p w14:paraId="561E5165" w14:textId="7BA5E390" w:rsidR="00FB2AFE" w:rsidRPr="009E06AA" w:rsidRDefault="00FB2AFE" w:rsidP="00FB2AFE">
      <w:pPr>
        <w:pStyle w:val="BodyText"/>
      </w:pPr>
      <w:r w:rsidRPr="009E06AA">
        <w:t xml:space="preserve">The </w:t>
      </w:r>
      <w:r w:rsidR="008B5A6A">
        <w:t>I</w:t>
      </w:r>
      <w:r w:rsidRPr="009E06AA">
        <w:t xml:space="preserve">nventory adheres to the modalities, procedures and guidelines (MPGs) contained in the annex to decision 18/CMA.1 (UNFCCC, 2018) and the guidance for operationalising the MPGs contained in annexes I and 5 to decision 5/CMA.3 (UNFCCC, 2021). These MPGs supersede the measurement, reporting and verification system established by decisions 1/CP.16 and 2/CP.17. The </w:t>
      </w:r>
      <w:r w:rsidR="008B5A6A">
        <w:t>I</w:t>
      </w:r>
      <w:r w:rsidRPr="009E06AA">
        <w:t xml:space="preserve">nventory includes a comprehensive and detailed description of the methodologies applied </w:t>
      </w:r>
      <w:r w:rsidRPr="009E06AA">
        <w:rPr>
          <w:spacing w:val="-2"/>
        </w:rPr>
        <w:t>for estimating national sources and sinks of anthropogenic GHGs, and a common and consisten</w:t>
      </w:r>
      <w:r w:rsidRPr="009E06AA">
        <w:t>t format that enables Parties to the Convention and Paris Agreement to compare the relative contribution of different emissions sources and GHGs to climate change.</w:t>
      </w:r>
    </w:p>
    <w:p w14:paraId="6425748B" w14:textId="03593A76" w:rsidR="00FB2AFE" w:rsidRPr="009E06AA" w:rsidRDefault="00FB2AFE" w:rsidP="00FB2AFE">
      <w:pPr>
        <w:pStyle w:val="BodyText"/>
      </w:pPr>
      <w:r w:rsidRPr="009E06AA">
        <w:t xml:space="preserve">The </w:t>
      </w:r>
      <w:r w:rsidR="000468B4">
        <w:t>I</w:t>
      </w:r>
      <w:r w:rsidRPr="009E06AA">
        <w:t>nventory comprises a national inventory document and a set of common reporting tables</w:t>
      </w:r>
      <w:r w:rsidR="00781F96" w:rsidRPr="009E06AA">
        <w:t> </w:t>
      </w:r>
      <w:r w:rsidRPr="009E06AA">
        <w:t>(CRTs). The national inventory document is a narrative that presents key findings, major</w:t>
      </w:r>
      <w:r w:rsidR="00781F96" w:rsidRPr="009E06AA">
        <w:t> </w:t>
      </w:r>
      <w:r w:rsidRPr="009E06AA">
        <w:t>emissions trends, and methodologies used for estimating emissions and removals. It</w:t>
      </w:r>
      <w:r w:rsidR="00781F96" w:rsidRPr="009E06AA">
        <w:t> </w:t>
      </w:r>
      <w:r w:rsidRPr="009E06AA">
        <w:t xml:space="preserve">also includes sections on the </w:t>
      </w:r>
      <w:r w:rsidR="000468B4">
        <w:t>I</w:t>
      </w:r>
      <w:r w:rsidRPr="009E06AA">
        <w:t>nventory uncertainties, recalculations and improvements. The</w:t>
      </w:r>
      <w:r w:rsidR="00781F96" w:rsidRPr="009E06AA">
        <w:t> </w:t>
      </w:r>
      <w:r w:rsidRPr="009E06AA">
        <w:t>CRTs contain inventory data that cover all emissions and removals in New Zealand.</w:t>
      </w:r>
    </w:p>
    <w:p w14:paraId="0BF4E512" w14:textId="77777777" w:rsidR="00FB2AFE" w:rsidRPr="009E06AA" w:rsidRDefault="00FB2AFE" w:rsidP="00FB2AFE">
      <w:pPr>
        <w:pStyle w:val="BodyText"/>
      </w:pPr>
      <w:r w:rsidRPr="009E06AA">
        <w:t>Inventory reporting covers seven direct GHGs: carbon dioxide (CO</w:t>
      </w:r>
      <w:r w:rsidRPr="009E06AA">
        <w:rPr>
          <w:vertAlign w:val="subscript"/>
        </w:rPr>
        <w:t>2</w:t>
      </w:r>
      <w:r w:rsidRPr="009E06AA">
        <w:t>), methane (CH</w:t>
      </w:r>
      <w:r w:rsidRPr="009E06AA">
        <w:rPr>
          <w:vertAlign w:val="subscript"/>
        </w:rPr>
        <w:t>4</w:t>
      </w:r>
      <w:r w:rsidRPr="009E06AA">
        <w:t>), nitrous oxide (N</w:t>
      </w:r>
      <w:r w:rsidRPr="009E06AA">
        <w:rPr>
          <w:vertAlign w:val="subscript"/>
        </w:rPr>
        <w:t>2</w:t>
      </w:r>
      <w:r w:rsidRPr="009E06AA">
        <w:t>O), hydrofluorocarbons (HFCs), perfluorocarbons (PFCs), sulphur hexafluoride (SF</w:t>
      </w:r>
      <w:r w:rsidRPr="009E06AA">
        <w:rPr>
          <w:vertAlign w:val="subscript"/>
        </w:rPr>
        <w:t>6</w:t>
      </w:r>
      <w:r w:rsidRPr="009E06AA">
        <w:t>) and nitrogen trifluoride (NF</w:t>
      </w:r>
      <w:r w:rsidRPr="009E06AA">
        <w:rPr>
          <w:vertAlign w:val="subscript"/>
        </w:rPr>
        <w:t>3</w:t>
      </w:r>
      <w:r w:rsidRPr="009E06AA">
        <w:t>). These are the most important GHGs directly emitted by humans. Indirect GHGs are also included in this report; however, only emissions and removals of the direct GHGs are included in estimates of total national emissions.</w:t>
      </w:r>
    </w:p>
    <w:p w14:paraId="4D049E95" w14:textId="77777777" w:rsidR="00FB2AFE" w:rsidRPr="009E06AA" w:rsidRDefault="00FB2AFE" w:rsidP="00FB2AFE">
      <w:pPr>
        <w:pStyle w:val="BodyText"/>
      </w:pPr>
      <w:r w:rsidRPr="009E06AA">
        <w:t>New Zealand’s GHGs are reported under five sectors: Energy; Industrial Processes and Product Use (IPPU); Agriculture; Land Use, Land-Use Change and Forestry (LULUCF); and Waste. Tokelau’s emissions are also reported separately by sector as ‘Other’.</w:t>
      </w:r>
    </w:p>
    <w:p w14:paraId="45449910" w14:textId="6705C57F" w:rsidR="00FB2AFE" w:rsidRPr="009E06AA" w:rsidRDefault="00FB2AFE" w:rsidP="00793763">
      <w:pPr>
        <w:pStyle w:val="Heading2"/>
        <w:tabs>
          <w:tab w:val="clear" w:pos="851"/>
          <w:tab w:val="left" w:pos="993"/>
        </w:tabs>
      </w:pPr>
      <w:bookmarkStart w:id="14" w:name="_Toc164154153"/>
      <w:bookmarkStart w:id="15" w:name="Xd7f3a0d6c0ddfcc3a61fcfcf02c3d8a35869896"/>
      <w:bookmarkEnd w:id="13"/>
      <w:r w:rsidRPr="009E06AA">
        <w:t xml:space="preserve">ES.2 </w:t>
      </w:r>
      <w:r w:rsidR="00793763" w:rsidRPr="009E06AA">
        <w:tab/>
      </w:r>
      <w:r w:rsidRPr="009E06AA">
        <w:t>Summary of trends related to national emissions and removals</w:t>
      </w:r>
      <w:bookmarkEnd w:id="14"/>
    </w:p>
    <w:p w14:paraId="73B0D9F8" w14:textId="77777777" w:rsidR="00FB2AFE" w:rsidRPr="009E06AA" w:rsidRDefault="00FB2AFE" w:rsidP="00FB2AFE">
      <w:pPr>
        <w:pStyle w:val="Heading3"/>
        <w:spacing w:before="240"/>
      </w:pPr>
      <w:bookmarkStart w:id="16" w:name="gross-emissions"/>
      <w:r w:rsidRPr="009E06AA">
        <w:t>Gross emissions</w:t>
      </w:r>
    </w:p>
    <w:p w14:paraId="62A6F328" w14:textId="77777777" w:rsidR="00FB2AFE" w:rsidRPr="009E06AA" w:rsidRDefault="00FB2AFE" w:rsidP="00FB2AFE">
      <w:pPr>
        <w:pStyle w:val="BodyText"/>
      </w:pPr>
      <w:r w:rsidRPr="009E06AA">
        <w:t>Gross emissions include those from the Energy, IPPU, Agriculture and Waste sectors, and Tokelau, but do not include emissions and removals from the LULUCF sector.</w:t>
      </w:r>
    </w:p>
    <w:p w14:paraId="39CB2D4F" w14:textId="77777777" w:rsidR="00FB2AFE" w:rsidRPr="009E06AA" w:rsidRDefault="00FB2AFE" w:rsidP="005E75EE">
      <w:pPr>
        <w:pStyle w:val="Heading4"/>
      </w:pPr>
      <w:bookmarkStart w:id="17" w:name="section"/>
      <w:r w:rsidRPr="009E06AA">
        <w:t>1990–2022</w:t>
      </w:r>
    </w:p>
    <w:p w14:paraId="4295F921" w14:textId="77777777" w:rsidR="00FB2AFE" w:rsidRPr="009E06AA" w:rsidRDefault="00FB2AFE" w:rsidP="00FB2AFE">
      <w:pPr>
        <w:pStyle w:val="BodyText"/>
      </w:pPr>
      <w:r w:rsidRPr="009E06AA">
        <w:t>In 1990, New Zealand’s gross GHG emissions were 68,958.2 kilotonnes carbon dioxide equivalent (kt CO</w:t>
      </w:r>
      <w:r w:rsidRPr="009E06AA">
        <w:rPr>
          <w:vertAlign w:val="subscript"/>
        </w:rPr>
        <w:t>2</w:t>
      </w:r>
      <w:r w:rsidRPr="009E06AA">
        <w:t>-e). Between 1990 and 2022, GHG emissions increased by 13.7 per cent (9,437.2 kt CO</w:t>
      </w:r>
      <w:r w:rsidRPr="009E06AA">
        <w:rPr>
          <w:vertAlign w:val="subscript"/>
        </w:rPr>
        <w:t>2</w:t>
      </w:r>
      <w:r w:rsidRPr="009E06AA">
        <w:t>-e) to 78,395.4 kt CO</w:t>
      </w:r>
      <w:r w:rsidRPr="009E06AA">
        <w:rPr>
          <w:vertAlign w:val="subscript"/>
        </w:rPr>
        <w:t>2</w:t>
      </w:r>
      <w:r w:rsidRPr="009E06AA">
        <w:t>-e in 2022 (see figure ES 2.1). From 1990 to 2022, the average annual growth in gross emissions was 0.6 per cent.</w:t>
      </w:r>
    </w:p>
    <w:p w14:paraId="0E834121" w14:textId="77777777" w:rsidR="00FB2AFE" w:rsidRPr="009E06AA" w:rsidRDefault="00FB2AFE" w:rsidP="00FB2AFE">
      <w:pPr>
        <w:pStyle w:val="BodyText"/>
      </w:pPr>
      <w:r w:rsidRPr="009E06AA">
        <w:t xml:space="preserve">The emissions categories that contributed the most to this increase in gross emissions were: </w:t>
      </w:r>
      <w:r w:rsidRPr="009E06AA">
        <w:rPr>
          <w:i/>
          <w:iCs/>
        </w:rPr>
        <w:t>Enteric fermentation</w:t>
      </w:r>
      <w:r w:rsidRPr="009E06AA">
        <w:rPr>
          <w:rStyle w:val="FootnoteReference"/>
        </w:rPr>
        <w:footnoteReference w:id="2"/>
      </w:r>
      <w:r w:rsidRPr="009E06AA">
        <w:t xml:space="preserve"> from </w:t>
      </w:r>
      <w:r w:rsidRPr="009E06AA">
        <w:rPr>
          <w:i/>
          <w:iCs/>
        </w:rPr>
        <w:t>Dairy cattle</w:t>
      </w:r>
      <w:r w:rsidRPr="009E06AA">
        <w:t xml:space="preserve">, </w:t>
      </w:r>
      <w:r w:rsidRPr="009E06AA">
        <w:rPr>
          <w:i/>
          <w:iCs/>
        </w:rPr>
        <w:t>Road transportation</w:t>
      </w:r>
      <w:r w:rsidRPr="009E06AA">
        <w:t xml:space="preserve">, </w:t>
      </w:r>
      <w:r w:rsidRPr="009E06AA">
        <w:rPr>
          <w:i/>
          <w:iCs/>
        </w:rPr>
        <w:t>Agricultural soils</w:t>
      </w:r>
      <w:r w:rsidRPr="009E06AA">
        <w:t xml:space="preserve">, </w:t>
      </w:r>
      <w:r w:rsidRPr="009E06AA">
        <w:rPr>
          <w:i/>
          <w:iCs/>
        </w:rPr>
        <w:t xml:space="preserve">Product uses as </w:t>
      </w:r>
      <w:r w:rsidRPr="009E06AA">
        <w:rPr>
          <w:i/>
          <w:iCs/>
          <w:spacing w:val="-2"/>
        </w:rPr>
        <w:t>substitutes for ozone depleting substances (ODS)</w:t>
      </w:r>
      <w:r w:rsidRPr="009E06AA">
        <w:rPr>
          <w:spacing w:val="-2"/>
        </w:rPr>
        <w:t xml:space="preserve"> and </w:t>
      </w:r>
      <w:r w:rsidRPr="009E06AA">
        <w:rPr>
          <w:i/>
          <w:iCs/>
          <w:spacing w:val="-2"/>
        </w:rPr>
        <w:t>Manufacturing industries and construction</w:t>
      </w:r>
      <w:r w:rsidRPr="009E06AA">
        <w:t xml:space="preserve"> (particularly from the </w:t>
      </w:r>
      <w:r w:rsidRPr="009E06AA">
        <w:rPr>
          <w:i/>
          <w:iCs/>
        </w:rPr>
        <w:t>Chemicals</w:t>
      </w:r>
      <w:r w:rsidRPr="009E06AA">
        <w:t xml:space="preserve"> category).</w:t>
      </w:r>
    </w:p>
    <w:p w14:paraId="5C66562B" w14:textId="17C4B0B1" w:rsidR="00FB2AFE" w:rsidRPr="009E06AA" w:rsidRDefault="00FB2AFE" w:rsidP="00FB2AFE">
      <w:pPr>
        <w:pStyle w:val="Figure"/>
      </w:pPr>
      <w:bookmarkStart w:id="18" w:name="_Toc164153983"/>
      <w:r w:rsidRPr="009E06AA">
        <w:rPr>
          <w:bCs/>
        </w:rPr>
        <w:t>Figure ES 2.1</w:t>
      </w:r>
      <w:r w:rsidRPr="009E06AA">
        <w:tab/>
        <w:t>New Zealand’s gross and net emissions (under the Convention)</w:t>
      </w:r>
      <w:r w:rsidR="00223334" w:rsidRPr="009E06AA">
        <w:t>,</w:t>
      </w:r>
      <w:r w:rsidRPr="009E06AA">
        <w:t xml:space="preserve"> from </w:t>
      </w:r>
      <w:r w:rsidRPr="009E06AA">
        <w:rPr>
          <w:bCs/>
        </w:rPr>
        <w:t>1990</w:t>
      </w:r>
      <w:r w:rsidRPr="009E06AA">
        <w:t xml:space="preserve"> to </w:t>
      </w:r>
      <w:r w:rsidRPr="009E06AA">
        <w:rPr>
          <w:bCs/>
        </w:rPr>
        <w:t>2022</w:t>
      </w:r>
      <w:bookmarkEnd w:id="18"/>
    </w:p>
    <w:p w14:paraId="5D049EE3" w14:textId="77777777" w:rsidR="00FB2AFE" w:rsidRPr="009E06AA" w:rsidRDefault="00FB2AFE" w:rsidP="00FB2AFE">
      <w:pPr>
        <w:pStyle w:val="BodyText"/>
        <w:spacing w:before="80" w:after="80"/>
      </w:pPr>
      <w:r w:rsidRPr="009E06AA">
        <w:rPr>
          <w:noProof/>
        </w:rPr>
        <w:drawing>
          <wp:inline distT="0" distB="0" distL="0" distR="0" wp14:anchorId="5B1097F0" wp14:editId="26A1C128">
            <wp:extent cx="5397500" cy="3953692"/>
            <wp:effectExtent l="0" t="0" r="0" b="8890"/>
            <wp:docPr id="24" name="Picture 24"/>
            <wp:cNvGraphicFramePr/>
            <a:graphic xmlns:a="http://schemas.openxmlformats.org/drawingml/2006/main">
              <a:graphicData uri="http://schemas.openxmlformats.org/drawingml/2006/picture">
                <pic:pic xmlns:pic="http://schemas.openxmlformats.org/drawingml/2006/picture">
                  <pic:nvPicPr>
                    <pic:cNvPr id="25" name="Picture" descr="code/graphs/images/es_2_1_crf.png"/>
                    <pic:cNvPicPr>
                      <a:picLocks noChangeAspect="1" noChangeArrowheads="1"/>
                    </pic:cNvPicPr>
                  </pic:nvPicPr>
                  <pic:blipFill rotWithShape="1">
                    <a:blip r:embed="rId20"/>
                    <a:srcRect b="2332"/>
                    <a:stretch/>
                  </pic:blipFill>
                  <pic:spPr bwMode="auto">
                    <a:xfrm>
                      <a:off x="0" y="0"/>
                      <a:ext cx="5397500" cy="3953692"/>
                    </a:xfrm>
                    <a:prstGeom prst="rect">
                      <a:avLst/>
                    </a:prstGeom>
                    <a:noFill/>
                    <a:ln>
                      <a:noFill/>
                    </a:ln>
                    <a:extLst>
                      <a:ext uri="{53640926-AAD7-44D8-BBD7-CCE9431645EC}">
                        <a14:shadowObscured xmlns:a14="http://schemas.microsoft.com/office/drawing/2010/main"/>
                      </a:ext>
                    </a:extLst>
                  </pic:spPr>
                </pic:pic>
              </a:graphicData>
            </a:graphic>
          </wp:inline>
        </w:drawing>
      </w:r>
    </w:p>
    <w:p w14:paraId="1550608E" w14:textId="77777777" w:rsidR="00FB2AFE" w:rsidRPr="009E06AA" w:rsidRDefault="00FB2AFE" w:rsidP="005E75EE">
      <w:pPr>
        <w:pStyle w:val="Heading4"/>
      </w:pPr>
      <w:bookmarkStart w:id="19" w:name="section-1"/>
      <w:bookmarkEnd w:id="17"/>
      <w:r w:rsidRPr="009E06AA">
        <w:t>2021–2022</w:t>
      </w:r>
    </w:p>
    <w:p w14:paraId="4794E540" w14:textId="77777777" w:rsidR="00FB2AFE" w:rsidRPr="009E06AA" w:rsidRDefault="00FB2AFE" w:rsidP="00FB2AFE">
      <w:pPr>
        <w:pStyle w:val="BodyText"/>
        <w:spacing w:after="100"/>
      </w:pPr>
      <w:r w:rsidRPr="009E06AA">
        <w:t>Between 2021 and 2022, New Zealand’s gross emissions decreased by 4.2 per cent (3,413.6 kt CO</w:t>
      </w:r>
      <w:r w:rsidRPr="009E06AA">
        <w:rPr>
          <w:vertAlign w:val="subscript"/>
        </w:rPr>
        <w:t>2</w:t>
      </w:r>
      <w:r w:rsidRPr="009E06AA">
        <w:t>-e). The main cause was a decrease in emissions from the Energy sector of 8.1 per cent (2,515.6 kt CO</w:t>
      </w:r>
      <w:r w:rsidRPr="009E06AA">
        <w:rPr>
          <w:vertAlign w:val="subscript"/>
        </w:rPr>
        <w:t>2</w:t>
      </w:r>
      <w:r w:rsidRPr="009E06AA">
        <w:t>-e). The largest contributors to the overall decrease in emissions were from:</w:t>
      </w:r>
    </w:p>
    <w:p w14:paraId="362BB4E6" w14:textId="77777777" w:rsidR="00FB2AFE" w:rsidRPr="009E06AA" w:rsidRDefault="00FB2AFE" w:rsidP="003723F0">
      <w:pPr>
        <w:pStyle w:val="Bullet"/>
        <w:spacing w:after="100"/>
      </w:pPr>
      <w:r w:rsidRPr="009E06AA">
        <w:rPr>
          <w:i/>
          <w:iCs/>
        </w:rPr>
        <w:t>Public electricity and heat production</w:t>
      </w:r>
      <w:r w:rsidRPr="009E06AA">
        <w:t xml:space="preserve"> (CO</w:t>
      </w:r>
      <w:r w:rsidRPr="009E06AA">
        <w:rPr>
          <w:vertAlign w:val="subscript"/>
        </w:rPr>
        <w:t>2</w:t>
      </w:r>
      <w:r w:rsidRPr="009E06AA">
        <w:t>)</w:t>
      </w:r>
    </w:p>
    <w:p w14:paraId="45C79D91" w14:textId="77777777" w:rsidR="00FB2AFE" w:rsidRPr="009E06AA" w:rsidRDefault="00FB2AFE" w:rsidP="003723F0">
      <w:pPr>
        <w:pStyle w:val="Bullet"/>
        <w:spacing w:after="100"/>
      </w:pPr>
      <w:r w:rsidRPr="009E06AA">
        <w:rPr>
          <w:i/>
          <w:iCs/>
        </w:rPr>
        <w:t>Petroleum refining</w:t>
      </w:r>
      <w:r w:rsidRPr="009E06AA">
        <w:t xml:space="preserve"> (CO</w:t>
      </w:r>
      <w:r w:rsidRPr="009E06AA">
        <w:rPr>
          <w:vertAlign w:val="subscript"/>
        </w:rPr>
        <w:t>2</w:t>
      </w:r>
      <w:r w:rsidRPr="009E06AA">
        <w:t>)</w:t>
      </w:r>
    </w:p>
    <w:p w14:paraId="15F49E7E" w14:textId="77777777" w:rsidR="00FB2AFE" w:rsidRPr="009E06AA" w:rsidRDefault="00FB2AFE" w:rsidP="003723F0">
      <w:pPr>
        <w:pStyle w:val="Bullet"/>
        <w:spacing w:after="100"/>
      </w:pPr>
      <w:r w:rsidRPr="009E06AA">
        <w:rPr>
          <w:i/>
          <w:iCs/>
        </w:rPr>
        <w:t>Agricultural soils</w:t>
      </w:r>
      <w:r w:rsidRPr="009E06AA">
        <w:t xml:space="preserve"> (N</w:t>
      </w:r>
      <w:r w:rsidRPr="009E06AA">
        <w:rPr>
          <w:vertAlign w:val="subscript"/>
        </w:rPr>
        <w:t>2</w:t>
      </w:r>
      <w:r w:rsidRPr="009E06AA">
        <w:t>O).</w:t>
      </w:r>
    </w:p>
    <w:p w14:paraId="647100F1" w14:textId="77777777" w:rsidR="00FB2AFE" w:rsidRPr="009E06AA" w:rsidRDefault="00FB2AFE" w:rsidP="00FB2AFE">
      <w:pPr>
        <w:pStyle w:val="BodyText"/>
        <w:spacing w:after="100"/>
      </w:pPr>
      <w:r w:rsidRPr="009E06AA">
        <w:t xml:space="preserve">The reductions in the </w:t>
      </w:r>
      <w:r w:rsidRPr="009E06AA">
        <w:rPr>
          <w:i/>
          <w:iCs/>
        </w:rPr>
        <w:t>Public electricity and heat production</w:t>
      </w:r>
      <w:r w:rsidRPr="009E06AA">
        <w:t xml:space="preserve"> category were due to the increased share of electricity generated from renewable energy sources over this period, which displaced gas and coal-fired electricity generation.</w:t>
      </w:r>
    </w:p>
    <w:p w14:paraId="5E3E0E17" w14:textId="77777777" w:rsidR="00FB2AFE" w:rsidRPr="009E06AA" w:rsidRDefault="00FB2AFE" w:rsidP="00FB2AFE">
      <w:pPr>
        <w:pStyle w:val="BodyText"/>
        <w:spacing w:after="100"/>
      </w:pPr>
      <w:r w:rsidRPr="009E06AA">
        <w:t xml:space="preserve">The reduction in </w:t>
      </w:r>
      <w:r w:rsidRPr="009E06AA">
        <w:rPr>
          <w:i/>
          <w:iCs/>
        </w:rPr>
        <w:t>Petroleum refining</w:t>
      </w:r>
      <w:r w:rsidRPr="009E06AA">
        <w:t xml:space="preserve"> emissions was due to the closure of New Zealand’s sole oil refinery (the Marsden Point Oil Refinery) in March 2022.</w:t>
      </w:r>
    </w:p>
    <w:p w14:paraId="0DAF81D1" w14:textId="77777777" w:rsidR="00FB2AFE" w:rsidRPr="009E06AA" w:rsidRDefault="00FB2AFE" w:rsidP="00FB2AFE">
      <w:pPr>
        <w:pStyle w:val="BodyText"/>
        <w:spacing w:after="100"/>
      </w:pPr>
      <w:r w:rsidRPr="009E06AA">
        <w:rPr>
          <w:spacing w:val="-4"/>
        </w:rPr>
        <w:t xml:space="preserve">The reduction in emissions from </w:t>
      </w:r>
      <w:r w:rsidRPr="009E06AA">
        <w:rPr>
          <w:i/>
          <w:iCs/>
          <w:spacing w:val="-4"/>
        </w:rPr>
        <w:t>Agricultural soils</w:t>
      </w:r>
      <w:r w:rsidRPr="009E06AA">
        <w:rPr>
          <w:spacing w:val="-4"/>
        </w:rPr>
        <w:t xml:space="preserve"> was due to a reduction in nitrogen fertiliser use</w:t>
      </w:r>
      <w:r w:rsidRPr="009E06AA">
        <w:t>.</w:t>
      </w:r>
    </w:p>
    <w:p w14:paraId="2113F343" w14:textId="77777777" w:rsidR="00FB2AFE" w:rsidRPr="009E06AA" w:rsidRDefault="00FB2AFE" w:rsidP="00FB2AFE">
      <w:pPr>
        <w:pStyle w:val="BodyText"/>
        <w:spacing w:after="100"/>
      </w:pPr>
      <w:r w:rsidRPr="009E06AA">
        <w:rPr>
          <w:spacing w:val="-2"/>
        </w:rPr>
        <w:t>Emissions from the IPPU, Agriculture and Waste sectors decreased by 5.1 per cent, 1.4 per cent</w:t>
      </w:r>
      <w:r w:rsidRPr="009E06AA">
        <w:t xml:space="preserve"> and 1.5 per cent respectively; while emissions from Tokelau increased 19.2 per cent. The increase in emissions from Tokelau was due largely to a greater reliance on diesel generators for electricity in 2022.</w:t>
      </w:r>
    </w:p>
    <w:p w14:paraId="15681DFF" w14:textId="77777777" w:rsidR="00FB2AFE" w:rsidRPr="009E06AA" w:rsidRDefault="00FB2AFE" w:rsidP="00FB2AFE">
      <w:pPr>
        <w:pStyle w:val="BodyText"/>
        <w:rPr>
          <w:rFonts w:cs="Calibri"/>
        </w:rPr>
      </w:pPr>
      <w:r w:rsidRPr="009E06AA">
        <w:t xml:space="preserve">While some parts of the economy had rebounded from the impacts of the COVID-19 pandemic, others had not returned to pre-pandemic levels. </w:t>
      </w:r>
      <w:bookmarkStart w:id="20" w:name="_Hlk158302786"/>
      <w:r w:rsidRPr="009E06AA">
        <w:rPr>
          <w:rFonts w:cs="Calibri"/>
        </w:rPr>
        <w:t>National energy consumption in 2022 was 6.5 per cent below the level seen in 2019.</w:t>
      </w:r>
      <w:bookmarkEnd w:id="20"/>
    </w:p>
    <w:p w14:paraId="56536C25" w14:textId="77777777" w:rsidR="00FB2AFE" w:rsidRPr="009E06AA" w:rsidRDefault="00FB2AFE" w:rsidP="005E75EE">
      <w:pPr>
        <w:pStyle w:val="Heading4"/>
      </w:pPr>
      <w:bookmarkStart w:id="21" w:name="net-emissions"/>
      <w:bookmarkEnd w:id="16"/>
      <w:bookmarkEnd w:id="19"/>
      <w:r w:rsidRPr="009E06AA">
        <w:t>Net emissions</w:t>
      </w:r>
    </w:p>
    <w:p w14:paraId="59689D3C" w14:textId="77777777" w:rsidR="00FB2AFE" w:rsidRPr="009E06AA" w:rsidRDefault="00FB2AFE" w:rsidP="00FB2AFE">
      <w:pPr>
        <w:pStyle w:val="BodyText"/>
        <w:spacing w:before="100" w:after="100"/>
      </w:pPr>
      <w:r w:rsidRPr="009E06AA">
        <w:t>Net emissions include gross emissions as defined above (i.e., from the Energy, IPPU, Agriculture and Waste sectors, including Tokelau) and net emissions from the LULUCF sector.</w:t>
      </w:r>
    </w:p>
    <w:p w14:paraId="1D64DFD0" w14:textId="77777777" w:rsidR="00FB2AFE" w:rsidRPr="009E06AA" w:rsidRDefault="00FB2AFE" w:rsidP="005E75EE">
      <w:pPr>
        <w:pStyle w:val="Heading4"/>
      </w:pPr>
      <w:r w:rsidRPr="009E06AA">
        <w:t>1990–2022</w:t>
      </w:r>
    </w:p>
    <w:p w14:paraId="41EB004F" w14:textId="77777777" w:rsidR="00FB2AFE" w:rsidRPr="009E06AA" w:rsidRDefault="00FB2AFE" w:rsidP="00FB2AFE">
      <w:pPr>
        <w:pStyle w:val="BodyText"/>
        <w:spacing w:before="100" w:after="100"/>
      </w:pPr>
      <w:r w:rsidRPr="009E06AA">
        <w:t>In 1990, New Zealand’s net emissions were 44,633.6 kt CO</w:t>
      </w:r>
      <w:r w:rsidRPr="009E06AA">
        <w:rPr>
          <w:vertAlign w:val="subscript"/>
        </w:rPr>
        <w:t>2</w:t>
      </w:r>
      <w:r w:rsidRPr="009E06AA">
        <w:t>-e. Between 1990 and 2022, net GHG emissions increased by 32.5 per cent (14,523.0 kt CO</w:t>
      </w:r>
      <w:r w:rsidRPr="009E06AA">
        <w:rPr>
          <w:vertAlign w:val="subscript"/>
        </w:rPr>
        <w:t>2</w:t>
      </w:r>
      <w:r w:rsidRPr="009E06AA">
        <w:t>-e) to 59,156.6 kt CO</w:t>
      </w:r>
      <w:r w:rsidRPr="009E06AA">
        <w:rPr>
          <w:vertAlign w:val="subscript"/>
        </w:rPr>
        <w:t>2</w:t>
      </w:r>
      <w:r w:rsidRPr="009E06AA">
        <w:t>-e (see figure ES 2.1).</w:t>
      </w:r>
    </w:p>
    <w:p w14:paraId="6F77B70E" w14:textId="77777777" w:rsidR="00FB2AFE" w:rsidRPr="009E06AA" w:rsidRDefault="00FB2AFE" w:rsidP="00FB2AFE">
      <w:pPr>
        <w:pStyle w:val="BodyText"/>
        <w:spacing w:before="100" w:after="100"/>
      </w:pPr>
      <w:r w:rsidRPr="009E06AA">
        <w:t xml:space="preserve">The four categories that contributed the most to the increase in net emissions between 1990 and 2022 were: </w:t>
      </w:r>
      <w:r w:rsidRPr="009E06AA">
        <w:rPr>
          <w:i/>
          <w:iCs/>
        </w:rPr>
        <w:t>Land converted to forest land</w:t>
      </w:r>
      <w:r w:rsidRPr="009E06AA">
        <w:t xml:space="preserve">, </w:t>
      </w:r>
      <w:r w:rsidRPr="009E06AA">
        <w:rPr>
          <w:i/>
          <w:iCs/>
        </w:rPr>
        <w:t>Enteric fermentation from dairy cattle</w:t>
      </w:r>
      <w:r w:rsidRPr="009E06AA">
        <w:t xml:space="preserve">, </w:t>
      </w:r>
      <w:r w:rsidRPr="009E06AA">
        <w:rPr>
          <w:i/>
          <w:iCs/>
        </w:rPr>
        <w:t>Road transportation</w:t>
      </w:r>
      <w:r w:rsidRPr="009E06AA">
        <w:t xml:space="preserve"> and </w:t>
      </w:r>
      <w:r w:rsidRPr="009E06AA">
        <w:rPr>
          <w:i/>
          <w:iCs/>
        </w:rPr>
        <w:t>Land converted to grassland</w:t>
      </w:r>
      <w:r w:rsidRPr="009E06AA">
        <w:t>.</w:t>
      </w:r>
    </w:p>
    <w:p w14:paraId="5EB6848D" w14:textId="77777777" w:rsidR="00FB2AFE" w:rsidRPr="009E06AA" w:rsidRDefault="00FB2AFE" w:rsidP="005E75EE">
      <w:pPr>
        <w:pStyle w:val="Heading4"/>
      </w:pPr>
      <w:bookmarkStart w:id="22" w:name="greenhouse-gas-trends"/>
      <w:bookmarkEnd w:id="21"/>
      <w:r w:rsidRPr="009E06AA">
        <w:t>2021–2022</w:t>
      </w:r>
    </w:p>
    <w:p w14:paraId="1B0807CA" w14:textId="66E33010" w:rsidR="00FB2AFE" w:rsidRPr="009E06AA" w:rsidRDefault="00FB2AFE" w:rsidP="00FB2AFE">
      <w:pPr>
        <w:pStyle w:val="BodyText"/>
        <w:spacing w:before="100" w:after="100"/>
      </w:pPr>
      <w:r w:rsidRPr="009E06AA">
        <w:rPr>
          <w:spacing w:val="-2"/>
        </w:rPr>
        <w:t>Between 2021 and 2022, New Zealand’s net emissions decreased by 4 per cent (2,147 kt CO</w:t>
      </w:r>
      <w:r w:rsidRPr="009E06AA">
        <w:rPr>
          <w:spacing w:val="-2"/>
          <w:vertAlign w:val="subscript"/>
        </w:rPr>
        <w:t>2</w:t>
      </w:r>
      <w:r w:rsidRPr="009E06AA">
        <w:rPr>
          <w:spacing w:val="-2"/>
        </w:rPr>
        <w:t>-e)</w:t>
      </w:r>
      <w:r w:rsidRPr="009E06AA">
        <w:t>. This was due to the overall decrease in gross emissions. The reduction was offset by an increase in net emissions of 6 per cent (1,267 kt CO</w:t>
      </w:r>
      <w:r w:rsidRPr="009E06AA">
        <w:rPr>
          <w:vertAlign w:val="subscript"/>
        </w:rPr>
        <w:t>2</w:t>
      </w:r>
      <w:r w:rsidRPr="009E06AA">
        <w:t>-e) by the LULUCF sector. This was mainly driven by an increase in net emissions from harvested wood products</w:t>
      </w:r>
      <w:r w:rsidRPr="009E06AA">
        <w:rPr>
          <w:rStyle w:val="FootnoteReference"/>
        </w:rPr>
        <w:footnoteReference w:id="3"/>
      </w:r>
      <w:r w:rsidRPr="009E06AA">
        <w:t xml:space="preserve"> due to a small reduction in harvesting volumes between 2021 and 2022 meaning the emissions from historic</w:t>
      </w:r>
      <w:r w:rsidR="00C56747" w:rsidRPr="009E06AA">
        <w:t>al</w:t>
      </w:r>
      <w:r w:rsidRPr="009E06AA">
        <w:t xml:space="preserve"> harvesting were offset to a lesser extent by inputs into the harvested wood products pool.</w:t>
      </w:r>
    </w:p>
    <w:p w14:paraId="1E1F9FCF" w14:textId="77777777" w:rsidR="00FB2AFE" w:rsidRPr="009E06AA" w:rsidRDefault="00FB2AFE" w:rsidP="00FB2AFE">
      <w:pPr>
        <w:pStyle w:val="Heading3"/>
      </w:pPr>
      <w:r w:rsidRPr="009E06AA">
        <w:t>Greenhouse gas trends</w:t>
      </w:r>
    </w:p>
    <w:p w14:paraId="3E42905B" w14:textId="77777777" w:rsidR="00FB2AFE" w:rsidRPr="009E06AA" w:rsidRDefault="00FB2AFE" w:rsidP="00FB2AFE">
      <w:pPr>
        <w:pStyle w:val="BodyText"/>
        <w:spacing w:before="100" w:after="100"/>
      </w:pPr>
      <w:r w:rsidRPr="009E06AA">
        <w:t>Inventory reporting under the Convention covers the following direct GHGs: CO</w:t>
      </w:r>
      <w:r w:rsidRPr="009E06AA">
        <w:rPr>
          <w:vertAlign w:val="subscript"/>
        </w:rPr>
        <w:t>2</w:t>
      </w:r>
      <w:r w:rsidRPr="009E06AA">
        <w:t>, CH</w:t>
      </w:r>
      <w:r w:rsidRPr="009E06AA">
        <w:rPr>
          <w:vertAlign w:val="subscript"/>
        </w:rPr>
        <w:t>4</w:t>
      </w:r>
      <w:r w:rsidRPr="009E06AA">
        <w:t>, N</w:t>
      </w:r>
      <w:r w:rsidRPr="009E06AA">
        <w:rPr>
          <w:vertAlign w:val="subscript"/>
        </w:rPr>
        <w:t>2</w:t>
      </w:r>
      <w:r w:rsidRPr="009E06AA">
        <w:t>O, SF</w:t>
      </w:r>
      <w:r w:rsidRPr="009E06AA">
        <w:rPr>
          <w:vertAlign w:val="subscript"/>
        </w:rPr>
        <w:t>6</w:t>
      </w:r>
      <w:r w:rsidRPr="009E06AA">
        <w:t>, PFCs, HFCs and NF</w:t>
      </w:r>
      <w:r w:rsidRPr="009E06AA">
        <w:rPr>
          <w:vertAlign w:val="subscript"/>
        </w:rPr>
        <w:t>3</w:t>
      </w:r>
      <w:r w:rsidRPr="009E06AA">
        <w:t>. No NF</w:t>
      </w:r>
      <w:r w:rsidRPr="009E06AA">
        <w:rPr>
          <w:vertAlign w:val="subscript"/>
        </w:rPr>
        <w:t>3</w:t>
      </w:r>
      <w:r w:rsidRPr="009E06AA">
        <w:t xml:space="preserve"> data are included in this report because NF</w:t>
      </w:r>
      <w:r w:rsidRPr="009E06AA">
        <w:rPr>
          <w:vertAlign w:val="subscript"/>
        </w:rPr>
        <w:t>3</w:t>
      </w:r>
      <w:r w:rsidRPr="009E06AA">
        <w:t xml:space="preserve"> emissions do not occur in New Zealand.</w:t>
      </w:r>
    </w:p>
    <w:p w14:paraId="1AA8C9D4" w14:textId="77777777" w:rsidR="00FB2AFE" w:rsidRPr="009E06AA" w:rsidRDefault="00FB2AFE" w:rsidP="00FB2AFE">
      <w:pPr>
        <w:pStyle w:val="BodyText"/>
        <w:spacing w:before="100" w:after="100"/>
      </w:pPr>
      <w:r w:rsidRPr="009E06AA">
        <w:t>Table ES 2.1 provides a summary of emissions for each gas in 1990 and 2022 and the changes since 1990. This is also illustrated in figure ES 2.2.</w:t>
      </w:r>
    </w:p>
    <w:p w14:paraId="58538A87" w14:textId="77777777" w:rsidR="00FB2AFE" w:rsidRPr="009E06AA" w:rsidRDefault="00FB2AFE" w:rsidP="002144D2">
      <w:pPr>
        <w:pStyle w:val="Table"/>
      </w:pPr>
      <w:bookmarkStart w:id="23" w:name="_Toc164153791"/>
      <w:r w:rsidRPr="009E06AA">
        <w:rPr>
          <w:bCs/>
        </w:rPr>
        <w:t>Table ES 2.1</w:t>
      </w:r>
      <w:r w:rsidRPr="009E06AA">
        <w:t xml:space="preserve"> </w:t>
      </w:r>
      <w:r w:rsidRPr="009E06AA">
        <w:tab/>
        <w:t xml:space="preserve">New Zealand’s gross emissions by gas in </w:t>
      </w:r>
      <w:r w:rsidRPr="009E06AA">
        <w:rPr>
          <w:bCs/>
        </w:rPr>
        <w:t>1990</w:t>
      </w:r>
      <w:r w:rsidRPr="009E06AA">
        <w:t xml:space="preserve"> and </w:t>
      </w:r>
      <w:r w:rsidRPr="009E06AA">
        <w:rPr>
          <w:bCs/>
        </w:rPr>
        <w:t>2022</w:t>
      </w:r>
      <w:bookmarkEnd w:id="23"/>
    </w:p>
    <w:tbl>
      <w:tblPr>
        <w:tblW w:w="5000" w:type="pct"/>
        <w:tblBorders>
          <w:top w:val="single" w:sz="4" w:space="0" w:color="1B556B" w:themeColor="text2"/>
          <w:bottom w:val="single" w:sz="4" w:space="0" w:color="1B556B" w:themeColor="text2"/>
          <w:insideH w:val="single" w:sz="4" w:space="0" w:color="1B556B" w:themeColor="text2"/>
        </w:tblBorders>
        <w:tblLayout w:type="fixed"/>
        <w:tblLook w:val="0420" w:firstRow="1" w:lastRow="0" w:firstColumn="0" w:lastColumn="0" w:noHBand="0" w:noVBand="1"/>
      </w:tblPr>
      <w:tblGrid>
        <w:gridCol w:w="2333"/>
        <w:gridCol w:w="1353"/>
        <w:gridCol w:w="1135"/>
        <w:gridCol w:w="1986"/>
        <w:gridCol w:w="1698"/>
      </w:tblGrid>
      <w:tr w:rsidR="00FB2AFE" w:rsidRPr="009E06AA" w14:paraId="6481446D" w14:textId="77777777" w:rsidTr="00B55F24">
        <w:trPr>
          <w:tblHeader/>
        </w:trPr>
        <w:tc>
          <w:tcPr>
            <w:tcW w:w="2330" w:type="dxa"/>
            <w:shd w:val="clear" w:color="auto" w:fill="1B556B"/>
            <w:tcMar>
              <w:top w:w="0" w:type="dxa"/>
              <w:left w:w="85" w:type="dxa"/>
              <w:bottom w:w="0" w:type="dxa"/>
              <w:right w:w="85" w:type="dxa"/>
            </w:tcMar>
            <w:vAlign w:val="bottom"/>
          </w:tcPr>
          <w:p w14:paraId="17F645F2" w14:textId="77777777" w:rsidR="00FB2AFE" w:rsidRPr="009E06AA" w:rsidRDefault="00FB2AFE" w:rsidP="00B55F24">
            <w:pPr>
              <w:pStyle w:val="TableTextBold"/>
              <w:spacing w:before="40" w:after="40"/>
              <w:rPr>
                <w:noProof w:val="0"/>
                <w:color w:val="FFFFFF" w:themeColor="background1"/>
              </w:rPr>
            </w:pPr>
            <w:r w:rsidRPr="009E06AA">
              <w:rPr>
                <w:rFonts w:eastAsia="Calibri"/>
                <w:noProof w:val="0"/>
                <w:color w:val="FFFFFF" w:themeColor="background1"/>
              </w:rPr>
              <w:t>Direct greenhouse gas emissions</w:t>
            </w:r>
          </w:p>
        </w:tc>
        <w:tc>
          <w:tcPr>
            <w:tcW w:w="1351" w:type="dxa"/>
            <w:shd w:val="clear" w:color="auto" w:fill="1B556B"/>
            <w:tcMar>
              <w:top w:w="0" w:type="dxa"/>
              <w:left w:w="85" w:type="dxa"/>
              <w:bottom w:w="0" w:type="dxa"/>
              <w:right w:w="85" w:type="dxa"/>
            </w:tcMar>
            <w:vAlign w:val="bottom"/>
          </w:tcPr>
          <w:p w14:paraId="5DE613C7" w14:textId="77777777" w:rsidR="00FB2AFE" w:rsidRPr="009E06AA" w:rsidRDefault="00FB2AFE" w:rsidP="001F77B4">
            <w:pPr>
              <w:pStyle w:val="TableTextBold"/>
              <w:spacing w:before="40" w:after="40"/>
              <w:jc w:val="right"/>
              <w:rPr>
                <w:noProof w:val="0"/>
                <w:color w:val="FFFFFF" w:themeColor="background1"/>
              </w:rPr>
            </w:pPr>
            <w:r w:rsidRPr="009E06AA">
              <w:rPr>
                <w:rFonts w:eastAsia="Calibri"/>
                <w:noProof w:val="0"/>
                <w:color w:val="FFFFFF" w:themeColor="background1"/>
              </w:rPr>
              <w:t>1990</w:t>
            </w:r>
          </w:p>
        </w:tc>
        <w:tc>
          <w:tcPr>
            <w:tcW w:w="1134" w:type="dxa"/>
            <w:shd w:val="clear" w:color="auto" w:fill="1B556B"/>
            <w:tcMar>
              <w:top w:w="0" w:type="dxa"/>
              <w:left w:w="85" w:type="dxa"/>
              <w:bottom w:w="0" w:type="dxa"/>
              <w:right w:w="85" w:type="dxa"/>
            </w:tcMar>
            <w:vAlign w:val="bottom"/>
          </w:tcPr>
          <w:p w14:paraId="5E91A257" w14:textId="77777777" w:rsidR="00FB2AFE" w:rsidRPr="009E06AA" w:rsidRDefault="00FB2AFE" w:rsidP="001F77B4">
            <w:pPr>
              <w:pStyle w:val="TableTextBold"/>
              <w:spacing w:before="40" w:after="40"/>
              <w:jc w:val="right"/>
              <w:rPr>
                <w:noProof w:val="0"/>
                <w:color w:val="FFFFFF" w:themeColor="background1"/>
              </w:rPr>
            </w:pPr>
            <w:r w:rsidRPr="009E06AA">
              <w:rPr>
                <w:rFonts w:eastAsia="Calibri"/>
                <w:noProof w:val="0"/>
                <w:color w:val="FFFFFF" w:themeColor="background1"/>
              </w:rPr>
              <w:t>2022</w:t>
            </w:r>
          </w:p>
        </w:tc>
        <w:tc>
          <w:tcPr>
            <w:tcW w:w="1984" w:type="dxa"/>
            <w:shd w:val="clear" w:color="auto" w:fill="1B556B"/>
            <w:tcMar>
              <w:top w:w="0" w:type="dxa"/>
              <w:left w:w="85" w:type="dxa"/>
              <w:bottom w:w="0" w:type="dxa"/>
              <w:right w:w="85" w:type="dxa"/>
            </w:tcMar>
            <w:vAlign w:val="bottom"/>
          </w:tcPr>
          <w:p w14:paraId="140DD6C6" w14:textId="77777777" w:rsidR="00FB2AFE" w:rsidRPr="009E06AA" w:rsidRDefault="00FB2AFE" w:rsidP="001F77B4">
            <w:pPr>
              <w:pStyle w:val="TableTextBold"/>
              <w:spacing w:before="40" w:after="40"/>
              <w:jc w:val="right"/>
              <w:rPr>
                <w:noProof w:val="0"/>
                <w:color w:val="FFFFFF" w:themeColor="background1"/>
              </w:rPr>
            </w:pPr>
            <w:r w:rsidRPr="009E06AA">
              <w:rPr>
                <w:rFonts w:eastAsia="Calibri"/>
                <w:noProof w:val="0"/>
                <w:color w:val="FFFFFF" w:themeColor="background1"/>
              </w:rPr>
              <w:t xml:space="preserve">Change from 1990 </w:t>
            </w:r>
            <w:r w:rsidRPr="009E06AA">
              <w:rPr>
                <w:rFonts w:eastAsia="Calibri"/>
                <w:noProof w:val="0"/>
                <w:color w:val="FFFFFF" w:themeColor="background1"/>
              </w:rPr>
              <w:br/>
              <w:t>(kt CO</w:t>
            </w:r>
            <w:r w:rsidRPr="009E06AA">
              <w:rPr>
                <w:rFonts w:eastAsia="Calibri"/>
                <w:noProof w:val="0"/>
                <w:color w:val="FFFFFF" w:themeColor="background1"/>
                <w:vertAlign w:val="subscript"/>
              </w:rPr>
              <w:t>2</w:t>
            </w:r>
            <w:r w:rsidRPr="009E06AA">
              <w:rPr>
                <w:rFonts w:eastAsia="Calibri"/>
                <w:noProof w:val="0"/>
                <w:color w:val="FFFFFF" w:themeColor="background1"/>
              </w:rPr>
              <w:t>-equivalent)</w:t>
            </w:r>
          </w:p>
        </w:tc>
        <w:tc>
          <w:tcPr>
            <w:tcW w:w="1696" w:type="dxa"/>
            <w:shd w:val="clear" w:color="auto" w:fill="1B556B"/>
            <w:tcMar>
              <w:top w:w="0" w:type="dxa"/>
              <w:left w:w="85" w:type="dxa"/>
              <w:bottom w:w="0" w:type="dxa"/>
              <w:right w:w="85" w:type="dxa"/>
            </w:tcMar>
            <w:vAlign w:val="bottom"/>
          </w:tcPr>
          <w:p w14:paraId="71F5245F" w14:textId="77777777" w:rsidR="00FB2AFE" w:rsidRPr="009E06AA" w:rsidRDefault="00FB2AFE" w:rsidP="001F77B4">
            <w:pPr>
              <w:pStyle w:val="TableTextBold"/>
              <w:spacing w:before="40" w:after="40"/>
              <w:jc w:val="right"/>
              <w:rPr>
                <w:noProof w:val="0"/>
                <w:color w:val="FFFFFF" w:themeColor="background1"/>
              </w:rPr>
            </w:pPr>
            <w:r w:rsidRPr="009E06AA">
              <w:rPr>
                <w:rFonts w:eastAsia="Calibri"/>
                <w:noProof w:val="0"/>
                <w:color w:val="FFFFFF" w:themeColor="background1"/>
              </w:rPr>
              <w:t>Change from 1990 (%)</w:t>
            </w:r>
          </w:p>
        </w:tc>
      </w:tr>
      <w:tr w:rsidR="00FB2AFE" w:rsidRPr="009E06AA" w14:paraId="4036C3B1" w14:textId="77777777" w:rsidTr="00B55F24">
        <w:tc>
          <w:tcPr>
            <w:tcW w:w="2330" w:type="dxa"/>
            <w:shd w:val="clear" w:color="auto" w:fill="FFFFFF"/>
            <w:tcMar>
              <w:top w:w="0" w:type="dxa"/>
              <w:left w:w="85" w:type="dxa"/>
              <w:bottom w:w="0" w:type="dxa"/>
              <w:right w:w="85" w:type="dxa"/>
            </w:tcMar>
          </w:tcPr>
          <w:p w14:paraId="4E2AE370" w14:textId="77777777" w:rsidR="00FB2AFE" w:rsidRPr="009E06AA" w:rsidRDefault="00FB2AFE" w:rsidP="00B55F24">
            <w:pPr>
              <w:pStyle w:val="TableText"/>
              <w:spacing w:before="40" w:after="40"/>
            </w:pPr>
            <w:r w:rsidRPr="009E06AA">
              <w:rPr>
                <w:rFonts w:eastAsia="Calibri"/>
                <w:color w:val="000000"/>
              </w:rPr>
              <w:t>CO</w:t>
            </w:r>
            <w:r w:rsidRPr="009E06AA">
              <w:rPr>
                <w:rFonts w:eastAsia="Calibri"/>
                <w:color w:val="000000"/>
                <w:vertAlign w:val="subscript"/>
              </w:rPr>
              <w:t>2</w:t>
            </w:r>
          </w:p>
        </w:tc>
        <w:tc>
          <w:tcPr>
            <w:tcW w:w="1351" w:type="dxa"/>
            <w:shd w:val="clear" w:color="auto" w:fill="FFFFFF"/>
            <w:tcMar>
              <w:top w:w="0" w:type="dxa"/>
              <w:left w:w="85" w:type="dxa"/>
              <w:bottom w:w="0" w:type="dxa"/>
              <w:right w:w="85" w:type="dxa"/>
            </w:tcMar>
          </w:tcPr>
          <w:p w14:paraId="5E64115C" w14:textId="77777777" w:rsidR="00FB2AFE" w:rsidRPr="009E06AA" w:rsidRDefault="00FB2AFE" w:rsidP="001F77B4">
            <w:pPr>
              <w:pStyle w:val="TableText"/>
              <w:spacing w:before="40" w:after="40"/>
              <w:jc w:val="right"/>
            </w:pPr>
            <w:r w:rsidRPr="009E06AA">
              <w:rPr>
                <w:rFonts w:eastAsia="Calibri"/>
                <w:color w:val="000000"/>
              </w:rPr>
              <w:t>25,497.2</w:t>
            </w:r>
          </w:p>
        </w:tc>
        <w:tc>
          <w:tcPr>
            <w:tcW w:w="1134" w:type="dxa"/>
            <w:shd w:val="clear" w:color="auto" w:fill="FFFFFF"/>
            <w:tcMar>
              <w:top w:w="0" w:type="dxa"/>
              <w:left w:w="85" w:type="dxa"/>
              <w:bottom w:w="0" w:type="dxa"/>
              <w:right w:w="85" w:type="dxa"/>
            </w:tcMar>
          </w:tcPr>
          <w:p w14:paraId="3FFACFD0" w14:textId="77777777" w:rsidR="00FB2AFE" w:rsidRPr="009E06AA" w:rsidRDefault="00FB2AFE" w:rsidP="001F77B4">
            <w:pPr>
              <w:pStyle w:val="TableText"/>
              <w:spacing w:before="40" w:after="40"/>
              <w:jc w:val="right"/>
            </w:pPr>
            <w:r w:rsidRPr="009E06AA">
              <w:rPr>
                <w:rFonts w:eastAsia="Calibri"/>
                <w:color w:val="000000"/>
              </w:rPr>
              <w:t>31,610.1</w:t>
            </w:r>
          </w:p>
        </w:tc>
        <w:tc>
          <w:tcPr>
            <w:tcW w:w="1984" w:type="dxa"/>
            <w:shd w:val="clear" w:color="auto" w:fill="FFFFFF"/>
            <w:tcMar>
              <w:top w:w="0" w:type="dxa"/>
              <w:left w:w="85" w:type="dxa"/>
              <w:bottom w:w="0" w:type="dxa"/>
              <w:right w:w="85" w:type="dxa"/>
            </w:tcMar>
          </w:tcPr>
          <w:p w14:paraId="14032CCA" w14:textId="77777777" w:rsidR="00FB2AFE" w:rsidRPr="009E06AA" w:rsidRDefault="00FB2AFE" w:rsidP="001F77B4">
            <w:pPr>
              <w:pStyle w:val="TableText"/>
              <w:spacing w:before="40" w:after="40"/>
              <w:jc w:val="right"/>
            </w:pPr>
            <w:r w:rsidRPr="009E06AA">
              <w:rPr>
                <w:rFonts w:eastAsia="Calibri"/>
                <w:color w:val="000000"/>
              </w:rPr>
              <w:t>6,112.9</w:t>
            </w:r>
          </w:p>
        </w:tc>
        <w:tc>
          <w:tcPr>
            <w:tcW w:w="1696" w:type="dxa"/>
            <w:shd w:val="clear" w:color="auto" w:fill="FFFFFF"/>
            <w:tcMar>
              <w:top w:w="0" w:type="dxa"/>
              <w:left w:w="85" w:type="dxa"/>
              <w:bottom w:w="0" w:type="dxa"/>
              <w:right w:w="85" w:type="dxa"/>
            </w:tcMar>
          </w:tcPr>
          <w:p w14:paraId="58DA0D22" w14:textId="77777777" w:rsidR="00FB2AFE" w:rsidRPr="009E06AA" w:rsidRDefault="00FB2AFE" w:rsidP="001F77B4">
            <w:pPr>
              <w:pStyle w:val="TableText"/>
              <w:spacing w:before="40" w:after="40"/>
              <w:jc w:val="right"/>
            </w:pPr>
            <w:r w:rsidRPr="009E06AA">
              <w:rPr>
                <w:rFonts w:eastAsia="Calibri"/>
                <w:color w:val="000000"/>
              </w:rPr>
              <w:t>24.0</w:t>
            </w:r>
          </w:p>
        </w:tc>
      </w:tr>
      <w:tr w:rsidR="00FB2AFE" w:rsidRPr="009E06AA" w14:paraId="1038028B" w14:textId="77777777" w:rsidTr="00B55F24">
        <w:tc>
          <w:tcPr>
            <w:tcW w:w="2330" w:type="dxa"/>
            <w:shd w:val="clear" w:color="auto" w:fill="FFFFFF"/>
            <w:tcMar>
              <w:top w:w="0" w:type="dxa"/>
              <w:left w:w="85" w:type="dxa"/>
              <w:bottom w:w="0" w:type="dxa"/>
              <w:right w:w="85" w:type="dxa"/>
            </w:tcMar>
          </w:tcPr>
          <w:p w14:paraId="0FFE3E30" w14:textId="77777777" w:rsidR="00FB2AFE" w:rsidRPr="009E06AA" w:rsidRDefault="00FB2AFE" w:rsidP="00B55F24">
            <w:pPr>
              <w:pStyle w:val="TableText"/>
              <w:spacing w:before="40" w:after="40"/>
            </w:pPr>
            <w:r w:rsidRPr="009E06AA">
              <w:rPr>
                <w:rFonts w:eastAsia="Calibri"/>
                <w:color w:val="000000"/>
              </w:rPr>
              <w:t>CH</w:t>
            </w:r>
            <w:r w:rsidRPr="009E06AA">
              <w:rPr>
                <w:rFonts w:eastAsia="Calibri"/>
                <w:color w:val="000000"/>
                <w:vertAlign w:val="subscript"/>
              </w:rPr>
              <w:t>4</w:t>
            </w:r>
          </w:p>
        </w:tc>
        <w:tc>
          <w:tcPr>
            <w:tcW w:w="1351" w:type="dxa"/>
            <w:shd w:val="clear" w:color="auto" w:fill="FFFFFF"/>
            <w:tcMar>
              <w:top w:w="0" w:type="dxa"/>
              <w:left w:w="85" w:type="dxa"/>
              <w:bottom w:w="0" w:type="dxa"/>
              <w:right w:w="85" w:type="dxa"/>
            </w:tcMar>
          </w:tcPr>
          <w:p w14:paraId="27A46598" w14:textId="77777777" w:rsidR="00FB2AFE" w:rsidRPr="009E06AA" w:rsidRDefault="00FB2AFE" w:rsidP="001F77B4">
            <w:pPr>
              <w:pStyle w:val="TableText"/>
              <w:spacing w:before="40" w:after="40"/>
              <w:jc w:val="right"/>
            </w:pPr>
            <w:r w:rsidRPr="009E06AA">
              <w:rPr>
                <w:rFonts w:eastAsia="Calibri"/>
                <w:color w:val="000000"/>
              </w:rPr>
              <w:t>37,519.7</w:t>
            </w:r>
          </w:p>
        </w:tc>
        <w:tc>
          <w:tcPr>
            <w:tcW w:w="1134" w:type="dxa"/>
            <w:shd w:val="clear" w:color="auto" w:fill="FFFFFF"/>
            <w:tcMar>
              <w:top w:w="0" w:type="dxa"/>
              <w:left w:w="85" w:type="dxa"/>
              <w:bottom w:w="0" w:type="dxa"/>
              <w:right w:w="85" w:type="dxa"/>
            </w:tcMar>
          </w:tcPr>
          <w:p w14:paraId="68DA4DDC" w14:textId="77777777" w:rsidR="00FB2AFE" w:rsidRPr="009E06AA" w:rsidRDefault="00FB2AFE" w:rsidP="001F77B4">
            <w:pPr>
              <w:pStyle w:val="TableText"/>
              <w:spacing w:before="40" w:after="40"/>
              <w:jc w:val="right"/>
            </w:pPr>
            <w:r w:rsidRPr="009E06AA">
              <w:rPr>
                <w:rFonts w:eastAsia="Calibri"/>
                <w:color w:val="000000"/>
              </w:rPr>
              <w:t>38,339.3</w:t>
            </w:r>
          </w:p>
        </w:tc>
        <w:tc>
          <w:tcPr>
            <w:tcW w:w="1984" w:type="dxa"/>
            <w:shd w:val="clear" w:color="auto" w:fill="FFFFFF"/>
            <w:tcMar>
              <w:top w:w="0" w:type="dxa"/>
              <w:left w:w="85" w:type="dxa"/>
              <w:bottom w:w="0" w:type="dxa"/>
              <w:right w:w="85" w:type="dxa"/>
            </w:tcMar>
          </w:tcPr>
          <w:p w14:paraId="19E9E25E" w14:textId="77777777" w:rsidR="00FB2AFE" w:rsidRPr="009E06AA" w:rsidRDefault="00FB2AFE" w:rsidP="001F77B4">
            <w:pPr>
              <w:pStyle w:val="TableText"/>
              <w:spacing w:before="40" w:after="40"/>
              <w:jc w:val="right"/>
            </w:pPr>
            <w:r w:rsidRPr="009E06AA">
              <w:rPr>
                <w:rFonts w:eastAsia="Calibri"/>
                <w:color w:val="000000"/>
              </w:rPr>
              <w:t>819.6</w:t>
            </w:r>
          </w:p>
        </w:tc>
        <w:tc>
          <w:tcPr>
            <w:tcW w:w="1696" w:type="dxa"/>
            <w:shd w:val="clear" w:color="auto" w:fill="FFFFFF"/>
            <w:tcMar>
              <w:top w:w="0" w:type="dxa"/>
              <w:left w:w="85" w:type="dxa"/>
              <w:bottom w:w="0" w:type="dxa"/>
              <w:right w:w="85" w:type="dxa"/>
            </w:tcMar>
          </w:tcPr>
          <w:p w14:paraId="3C9DE3C6" w14:textId="77777777" w:rsidR="00FB2AFE" w:rsidRPr="009E06AA" w:rsidRDefault="00FB2AFE" w:rsidP="001F77B4">
            <w:pPr>
              <w:pStyle w:val="TableText"/>
              <w:spacing w:before="40" w:after="40"/>
              <w:jc w:val="right"/>
            </w:pPr>
            <w:r w:rsidRPr="009E06AA">
              <w:rPr>
                <w:rFonts w:eastAsia="Calibri"/>
                <w:color w:val="000000"/>
              </w:rPr>
              <w:t>2.2</w:t>
            </w:r>
          </w:p>
        </w:tc>
      </w:tr>
      <w:tr w:rsidR="00FB2AFE" w:rsidRPr="009E06AA" w14:paraId="15B6EB8C" w14:textId="77777777" w:rsidTr="00B55F24">
        <w:tc>
          <w:tcPr>
            <w:tcW w:w="2330" w:type="dxa"/>
            <w:shd w:val="clear" w:color="auto" w:fill="FFFFFF"/>
            <w:tcMar>
              <w:top w:w="0" w:type="dxa"/>
              <w:left w:w="85" w:type="dxa"/>
              <w:bottom w:w="0" w:type="dxa"/>
              <w:right w:w="85" w:type="dxa"/>
            </w:tcMar>
          </w:tcPr>
          <w:p w14:paraId="4FC63948" w14:textId="77777777" w:rsidR="00FB2AFE" w:rsidRPr="009E06AA" w:rsidRDefault="00FB2AFE" w:rsidP="00B55F24">
            <w:pPr>
              <w:pStyle w:val="TableText"/>
              <w:spacing w:before="40" w:after="40"/>
            </w:pPr>
            <w:r w:rsidRPr="009E06AA">
              <w:rPr>
                <w:rFonts w:eastAsia="Calibri"/>
                <w:color w:val="000000"/>
              </w:rPr>
              <w:t>N</w:t>
            </w:r>
            <w:r w:rsidRPr="009E06AA">
              <w:rPr>
                <w:rFonts w:eastAsia="Calibri"/>
                <w:color w:val="000000"/>
                <w:vertAlign w:val="subscript"/>
              </w:rPr>
              <w:t>2</w:t>
            </w:r>
            <w:r w:rsidRPr="009E06AA">
              <w:rPr>
                <w:rFonts w:eastAsia="Calibri"/>
                <w:color w:val="000000"/>
              </w:rPr>
              <w:t>O</w:t>
            </w:r>
          </w:p>
        </w:tc>
        <w:tc>
          <w:tcPr>
            <w:tcW w:w="1351" w:type="dxa"/>
            <w:shd w:val="clear" w:color="auto" w:fill="FFFFFF"/>
            <w:tcMar>
              <w:top w:w="0" w:type="dxa"/>
              <w:left w:w="85" w:type="dxa"/>
              <w:bottom w:w="0" w:type="dxa"/>
              <w:right w:w="85" w:type="dxa"/>
            </w:tcMar>
          </w:tcPr>
          <w:p w14:paraId="02904E22" w14:textId="77777777" w:rsidR="00FB2AFE" w:rsidRPr="009E06AA" w:rsidRDefault="00FB2AFE" w:rsidP="001F77B4">
            <w:pPr>
              <w:pStyle w:val="TableText"/>
              <w:spacing w:before="40" w:after="40"/>
              <w:jc w:val="right"/>
            </w:pPr>
            <w:r w:rsidRPr="009E06AA">
              <w:rPr>
                <w:rFonts w:eastAsia="Calibri"/>
                <w:color w:val="000000"/>
              </w:rPr>
              <w:t>5,102.7</w:t>
            </w:r>
          </w:p>
        </w:tc>
        <w:tc>
          <w:tcPr>
            <w:tcW w:w="1134" w:type="dxa"/>
            <w:shd w:val="clear" w:color="auto" w:fill="FFFFFF"/>
            <w:tcMar>
              <w:top w:w="0" w:type="dxa"/>
              <w:left w:w="85" w:type="dxa"/>
              <w:bottom w:w="0" w:type="dxa"/>
              <w:right w:w="85" w:type="dxa"/>
            </w:tcMar>
          </w:tcPr>
          <w:p w14:paraId="7512330F" w14:textId="77777777" w:rsidR="00FB2AFE" w:rsidRPr="009E06AA" w:rsidRDefault="00FB2AFE" w:rsidP="001F77B4">
            <w:pPr>
              <w:pStyle w:val="TableText"/>
              <w:spacing w:before="40" w:after="40"/>
              <w:jc w:val="right"/>
            </w:pPr>
            <w:r w:rsidRPr="009E06AA">
              <w:rPr>
                <w:rFonts w:eastAsia="Calibri"/>
                <w:color w:val="000000"/>
              </w:rPr>
              <w:t>6,877.1</w:t>
            </w:r>
          </w:p>
        </w:tc>
        <w:tc>
          <w:tcPr>
            <w:tcW w:w="1984" w:type="dxa"/>
            <w:shd w:val="clear" w:color="auto" w:fill="FFFFFF"/>
            <w:tcMar>
              <w:top w:w="0" w:type="dxa"/>
              <w:left w:w="85" w:type="dxa"/>
              <w:bottom w:w="0" w:type="dxa"/>
              <w:right w:w="85" w:type="dxa"/>
            </w:tcMar>
          </w:tcPr>
          <w:p w14:paraId="563DB5F2" w14:textId="77777777" w:rsidR="00FB2AFE" w:rsidRPr="009E06AA" w:rsidRDefault="00FB2AFE" w:rsidP="001F77B4">
            <w:pPr>
              <w:pStyle w:val="TableText"/>
              <w:spacing w:before="40" w:after="40"/>
              <w:jc w:val="right"/>
            </w:pPr>
            <w:r w:rsidRPr="009E06AA">
              <w:rPr>
                <w:rFonts w:eastAsia="Calibri"/>
                <w:color w:val="000000"/>
              </w:rPr>
              <w:t>1,774.4</w:t>
            </w:r>
          </w:p>
        </w:tc>
        <w:tc>
          <w:tcPr>
            <w:tcW w:w="1696" w:type="dxa"/>
            <w:shd w:val="clear" w:color="auto" w:fill="FFFFFF"/>
            <w:tcMar>
              <w:top w:w="0" w:type="dxa"/>
              <w:left w:w="85" w:type="dxa"/>
              <w:bottom w:w="0" w:type="dxa"/>
              <w:right w:w="85" w:type="dxa"/>
            </w:tcMar>
          </w:tcPr>
          <w:p w14:paraId="1879DA43" w14:textId="77777777" w:rsidR="00FB2AFE" w:rsidRPr="009E06AA" w:rsidRDefault="00FB2AFE" w:rsidP="001F77B4">
            <w:pPr>
              <w:pStyle w:val="TableText"/>
              <w:spacing w:before="40" w:after="40"/>
              <w:jc w:val="right"/>
            </w:pPr>
            <w:r w:rsidRPr="009E06AA">
              <w:rPr>
                <w:rFonts w:eastAsia="Calibri"/>
                <w:color w:val="000000"/>
              </w:rPr>
              <w:t>34.8</w:t>
            </w:r>
          </w:p>
        </w:tc>
      </w:tr>
      <w:tr w:rsidR="00FB2AFE" w:rsidRPr="009E06AA" w14:paraId="29807AEE" w14:textId="77777777" w:rsidTr="00B55F24">
        <w:tc>
          <w:tcPr>
            <w:tcW w:w="2330" w:type="dxa"/>
            <w:shd w:val="clear" w:color="auto" w:fill="FFFFFF"/>
            <w:tcMar>
              <w:top w:w="0" w:type="dxa"/>
              <w:left w:w="85" w:type="dxa"/>
              <w:bottom w:w="0" w:type="dxa"/>
              <w:right w:w="85" w:type="dxa"/>
            </w:tcMar>
          </w:tcPr>
          <w:p w14:paraId="25771DF9" w14:textId="77777777" w:rsidR="00FB2AFE" w:rsidRPr="009E06AA" w:rsidRDefault="00FB2AFE" w:rsidP="00B55F24">
            <w:pPr>
              <w:pStyle w:val="TableText"/>
              <w:spacing w:before="40" w:after="40"/>
            </w:pPr>
            <w:r w:rsidRPr="009E06AA">
              <w:rPr>
                <w:rFonts w:eastAsia="Calibri"/>
                <w:color w:val="000000"/>
              </w:rPr>
              <w:t>HFCs</w:t>
            </w:r>
          </w:p>
        </w:tc>
        <w:tc>
          <w:tcPr>
            <w:tcW w:w="1351" w:type="dxa"/>
            <w:shd w:val="clear" w:color="auto" w:fill="FFFFFF"/>
            <w:tcMar>
              <w:top w:w="0" w:type="dxa"/>
              <w:left w:w="85" w:type="dxa"/>
              <w:bottom w:w="0" w:type="dxa"/>
              <w:right w:w="85" w:type="dxa"/>
            </w:tcMar>
          </w:tcPr>
          <w:p w14:paraId="65C59134" w14:textId="77777777" w:rsidR="00FB2AFE" w:rsidRPr="009E06AA" w:rsidRDefault="00FB2AFE" w:rsidP="001F77B4">
            <w:pPr>
              <w:pStyle w:val="TableText"/>
              <w:spacing w:before="40" w:after="40"/>
              <w:jc w:val="right"/>
            </w:pPr>
            <w:r w:rsidRPr="009E06AA">
              <w:rPr>
                <w:rFonts w:eastAsia="Calibri"/>
                <w:color w:val="000000"/>
              </w:rPr>
              <w:t>Not occurring</w:t>
            </w:r>
          </w:p>
        </w:tc>
        <w:tc>
          <w:tcPr>
            <w:tcW w:w="1134" w:type="dxa"/>
            <w:shd w:val="clear" w:color="auto" w:fill="FFFFFF"/>
            <w:tcMar>
              <w:top w:w="0" w:type="dxa"/>
              <w:left w:w="85" w:type="dxa"/>
              <w:bottom w:w="0" w:type="dxa"/>
              <w:right w:w="85" w:type="dxa"/>
            </w:tcMar>
          </w:tcPr>
          <w:p w14:paraId="6760571F" w14:textId="77777777" w:rsidR="00FB2AFE" w:rsidRPr="009E06AA" w:rsidRDefault="00FB2AFE" w:rsidP="001F77B4">
            <w:pPr>
              <w:pStyle w:val="TableText"/>
              <w:spacing w:before="40" w:after="40"/>
              <w:jc w:val="right"/>
            </w:pPr>
            <w:r w:rsidRPr="009E06AA">
              <w:rPr>
                <w:rFonts w:eastAsia="Calibri"/>
                <w:color w:val="000000"/>
              </w:rPr>
              <w:t>1,498.5</w:t>
            </w:r>
          </w:p>
        </w:tc>
        <w:tc>
          <w:tcPr>
            <w:tcW w:w="1984" w:type="dxa"/>
            <w:shd w:val="clear" w:color="auto" w:fill="FFFFFF"/>
            <w:tcMar>
              <w:top w:w="0" w:type="dxa"/>
              <w:left w:w="85" w:type="dxa"/>
              <w:bottom w:w="0" w:type="dxa"/>
              <w:right w:w="85" w:type="dxa"/>
            </w:tcMar>
          </w:tcPr>
          <w:p w14:paraId="75FB3B4A" w14:textId="77777777" w:rsidR="00FB2AFE" w:rsidRPr="009E06AA" w:rsidRDefault="00FB2AFE" w:rsidP="001F77B4">
            <w:pPr>
              <w:pStyle w:val="TableText"/>
              <w:spacing w:before="40" w:after="40"/>
              <w:jc w:val="right"/>
            </w:pPr>
            <w:r w:rsidRPr="009E06AA">
              <w:rPr>
                <w:rFonts w:eastAsia="Calibri"/>
                <w:color w:val="000000"/>
              </w:rPr>
              <w:t>1,498.5</w:t>
            </w:r>
          </w:p>
        </w:tc>
        <w:tc>
          <w:tcPr>
            <w:tcW w:w="1696" w:type="dxa"/>
            <w:shd w:val="clear" w:color="auto" w:fill="FFFFFF"/>
            <w:tcMar>
              <w:top w:w="0" w:type="dxa"/>
              <w:left w:w="85" w:type="dxa"/>
              <w:bottom w:w="0" w:type="dxa"/>
              <w:right w:w="85" w:type="dxa"/>
            </w:tcMar>
          </w:tcPr>
          <w:p w14:paraId="421E8FD3" w14:textId="77777777" w:rsidR="00FB2AFE" w:rsidRPr="009E06AA" w:rsidRDefault="00FB2AFE" w:rsidP="001F77B4">
            <w:pPr>
              <w:pStyle w:val="TableText"/>
              <w:spacing w:before="40" w:after="40"/>
              <w:jc w:val="right"/>
            </w:pPr>
            <w:r w:rsidRPr="009E06AA">
              <w:rPr>
                <w:rFonts w:eastAsia="Calibri"/>
                <w:color w:val="000000"/>
              </w:rPr>
              <w:t>NA</w:t>
            </w:r>
          </w:p>
        </w:tc>
      </w:tr>
      <w:tr w:rsidR="00FB2AFE" w:rsidRPr="009E06AA" w14:paraId="5BDC875E" w14:textId="77777777" w:rsidTr="00B55F24">
        <w:tc>
          <w:tcPr>
            <w:tcW w:w="2330" w:type="dxa"/>
            <w:shd w:val="clear" w:color="auto" w:fill="FFFFFF"/>
            <w:tcMar>
              <w:top w:w="0" w:type="dxa"/>
              <w:left w:w="85" w:type="dxa"/>
              <w:bottom w:w="0" w:type="dxa"/>
              <w:right w:w="85" w:type="dxa"/>
            </w:tcMar>
          </w:tcPr>
          <w:p w14:paraId="40F8B7CE" w14:textId="77777777" w:rsidR="00FB2AFE" w:rsidRPr="009E06AA" w:rsidRDefault="00FB2AFE" w:rsidP="00B55F24">
            <w:pPr>
              <w:pStyle w:val="TableText"/>
              <w:spacing w:before="40" w:after="40"/>
            </w:pPr>
            <w:r w:rsidRPr="009E06AA">
              <w:rPr>
                <w:rFonts w:eastAsia="Calibri"/>
                <w:color w:val="000000"/>
              </w:rPr>
              <w:t>PFCs</w:t>
            </w:r>
          </w:p>
        </w:tc>
        <w:tc>
          <w:tcPr>
            <w:tcW w:w="1351" w:type="dxa"/>
            <w:shd w:val="clear" w:color="auto" w:fill="FFFFFF"/>
            <w:tcMar>
              <w:top w:w="0" w:type="dxa"/>
              <w:left w:w="85" w:type="dxa"/>
              <w:bottom w:w="0" w:type="dxa"/>
              <w:right w:w="85" w:type="dxa"/>
            </w:tcMar>
          </w:tcPr>
          <w:p w14:paraId="20B02E48" w14:textId="77777777" w:rsidR="00FB2AFE" w:rsidRPr="009E06AA" w:rsidRDefault="00FB2AFE" w:rsidP="001F77B4">
            <w:pPr>
              <w:pStyle w:val="TableText"/>
              <w:spacing w:before="40" w:after="40"/>
              <w:jc w:val="right"/>
            </w:pPr>
            <w:r w:rsidRPr="009E06AA">
              <w:rPr>
                <w:rFonts w:eastAsia="Calibri"/>
                <w:color w:val="000000"/>
              </w:rPr>
              <w:t>818.0</w:t>
            </w:r>
          </w:p>
        </w:tc>
        <w:tc>
          <w:tcPr>
            <w:tcW w:w="1134" w:type="dxa"/>
            <w:shd w:val="clear" w:color="auto" w:fill="FFFFFF"/>
            <w:tcMar>
              <w:top w:w="0" w:type="dxa"/>
              <w:left w:w="85" w:type="dxa"/>
              <w:bottom w:w="0" w:type="dxa"/>
              <w:right w:w="85" w:type="dxa"/>
            </w:tcMar>
          </w:tcPr>
          <w:p w14:paraId="21EC4ED5" w14:textId="77777777" w:rsidR="00FB2AFE" w:rsidRPr="009E06AA" w:rsidRDefault="00FB2AFE" w:rsidP="001F77B4">
            <w:pPr>
              <w:pStyle w:val="TableText"/>
              <w:spacing w:before="40" w:after="40"/>
              <w:jc w:val="right"/>
            </w:pPr>
            <w:r w:rsidRPr="009E06AA">
              <w:rPr>
                <w:rFonts w:eastAsia="Calibri"/>
                <w:color w:val="000000"/>
              </w:rPr>
              <w:t>50.9</w:t>
            </w:r>
          </w:p>
        </w:tc>
        <w:tc>
          <w:tcPr>
            <w:tcW w:w="1984" w:type="dxa"/>
            <w:shd w:val="clear" w:color="auto" w:fill="FFFFFF"/>
            <w:tcMar>
              <w:top w:w="0" w:type="dxa"/>
              <w:left w:w="85" w:type="dxa"/>
              <w:bottom w:w="0" w:type="dxa"/>
              <w:right w:w="85" w:type="dxa"/>
            </w:tcMar>
          </w:tcPr>
          <w:p w14:paraId="01991095" w14:textId="77777777" w:rsidR="00FB2AFE" w:rsidRPr="009E06AA" w:rsidRDefault="00FB2AFE" w:rsidP="001F77B4">
            <w:pPr>
              <w:pStyle w:val="TableText"/>
              <w:spacing w:before="40" w:after="40"/>
              <w:jc w:val="right"/>
            </w:pPr>
            <w:r w:rsidRPr="009E06AA">
              <w:rPr>
                <w:rFonts w:eastAsia="Calibri"/>
                <w:color w:val="000000"/>
              </w:rPr>
              <w:t>-767.1</w:t>
            </w:r>
          </w:p>
        </w:tc>
        <w:tc>
          <w:tcPr>
            <w:tcW w:w="1696" w:type="dxa"/>
            <w:shd w:val="clear" w:color="auto" w:fill="FFFFFF"/>
            <w:tcMar>
              <w:top w:w="0" w:type="dxa"/>
              <w:left w:w="85" w:type="dxa"/>
              <w:bottom w:w="0" w:type="dxa"/>
              <w:right w:w="85" w:type="dxa"/>
            </w:tcMar>
          </w:tcPr>
          <w:p w14:paraId="681DD761" w14:textId="77777777" w:rsidR="00FB2AFE" w:rsidRPr="009E06AA" w:rsidRDefault="00FB2AFE" w:rsidP="001F77B4">
            <w:pPr>
              <w:pStyle w:val="TableText"/>
              <w:spacing w:before="40" w:after="40"/>
              <w:jc w:val="right"/>
            </w:pPr>
            <w:r w:rsidRPr="009E06AA">
              <w:rPr>
                <w:rFonts w:eastAsia="Calibri"/>
                <w:color w:val="000000"/>
              </w:rPr>
              <w:t>-93.8</w:t>
            </w:r>
          </w:p>
        </w:tc>
      </w:tr>
      <w:tr w:rsidR="00FB2AFE" w:rsidRPr="009E06AA" w14:paraId="1E5AA80A" w14:textId="77777777" w:rsidTr="00B55F24">
        <w:tc>
          <w:tcPr>
            <w:tcW w:w="2330" w:type="dxa"/>
            <w:shd w:val="clear" w:color="auto" w:fill="FFFFFF"/>
            <w:tcMar>
              <w:top w:w="0" w:type="dxa"/>
              <w:left w:w="85" w:type="dxa"/>
              <w:bottom w:w="0" w:type="dxa"/>
              <w:right w:w="85" w:type="dxa"/>
            </w:tcMar>
          </w:tcPr>
          <w:p w14:paraId="3642125E" w14:textId="77777777" w:rsidR="00FB2AFE" w:rsidRPr="009E06AA" w:rsidRDefault="00FB2AFE" w:rsidP="00B55F24">
            <w:pPr>
              <w:pStyle w:val="TableText"/>
              <w:spacing w:before="40" w:after="40"/>
            </w:pPr>
            <w:r w:rsidRPr="009E06AA">
              <w:rPr>
                <w:rFonts w:eastAsia="Calibri"/>
                <w:color w:val="000000"/>
              </w:rPr>
              <w:t>SF</w:t>
            </w:r>
            <w:r w:rsidRPr="009E06AA">
              <w:rPr>
                <w:rFonts w:eastAsia="Calibri"/>
                <w:color w:val="000000"/>
                <w:vertAlign w:val="subscript"/>
              </w:rPr>
              <w:t>6</w:t>
            </w:r>
          </w:p>
        </w:tc>
        <w:tc>
          <w:tcPr>
            <w:tcW w:w="1351" w:type="dxa"/>
            <w:shd w:val="clear" w:color="auto" w:fill="FFFFFF"/>
            <w:tcMar>
              <w:top w:w="0" w:type="dxa"/>
              <w:left w:w="85" w:type="dxa"/>
              <w:bottom w:w="0" w:type="dxa"/>
              <w:right w:w="85" w:type="dxa"/>
            </w:tcMar>
          </w:tcPr>
          <w:p w14:paraId="1FC7653C" w14:textId="77777777" w:rsidR="00FB2AFE" w:rsidRPr="009E06AA" w:rsidRDefault="00FB2AFE" w:rsidP="001F77B4">
            <w:pPr>
              <w:pStyle w:val="TableText"/>
              <w:spacing w:before="40" w:after="40"/>
              <w:jc w:val="right"/>
            </w:pPr>
            <w:r w:rsidRPr="009E06AA">
              <w:rPr>
                <w:rFonts w:eastAsia="Calibri"/>
                <w:color w:val="000000"/>
              </w:rPr>
              <w:t>20.6</w:t>
            </w:r>
          </w:p>
        </w:tc>
        <w:tc>
          <w:tcPr>
            <w:tcW w:w="1134" w:type="dxa"/>
            <w:shd w:val="clear" w:color="auto" w:fill="FFFFFF"/>
            <w:tcMar>
              <w:top w:w="0" w:type="dxa"/>
              <w:left w:w="85" w:type="dxa"/>
              <w:bottom w:w="0" w:type="dxa"/>
              <w:right w:w="85" w:type="dxa"/>
            </w:tcMar>
          </w:tcPr>
          <w:p w14:paraId="3F837468" w14:textId="77777777" w:rsidR="00FB2AFE" w:rsidRPr="009E06AA" w:rsidRDefault="00FB2AFE" w:rsidP="001F77B4">
            <w:pPr>
              <w:pStyle w:val="TableText"/>
              <w:spacing w:before="40" w:after="40"/>
              <w:jc w:val="right"/>
            </w:pPr>
            <w:r w:rsidRPr="009E06AA">
              <w:rPr>
                <w:rFonts w:eastAsia="Calibri"/>
                <w:color w:val="000000"/>
              </w:rPr>
              <w:t>19.4</w:t>
            </w:r>
          </w:p>
        </w:tc>
        <w:tc>
          <w:tcPr>
            <w:tcW w:w="1984" w:type="dxa"/>
            <w:shd w:val="clear" w:color="auto" w:fill="FFFFFF"/>
            <w:tcMar>
              <w:top w:w="0" w:type="dxa"/>
              <w:left w:w="85" w:type="dxa"/>
              <w:bottom w:w="0" w:type="dxa"/>
              <w:right w:w="85" w:type="dxa"/>
            </w:tcMar>
          </w:tcPr>
          <w:p w14:paraId="311589CE" w14:textId="77777777" w:rsidR="00FB2AFE" w:rsidRPr="009E06AA" w:rsidRDefault="00FB2AFE" w:rsidP="001F77B4">
            <w:pPr>
              <w:pStyle w:val="TableText"/>
              <w:spacing w:before="40" w:after="40"/>
              <w:jc w:val="right"/>
            </w:pPr>
            <w:r w:rsidRPr="009E06AA">
              <w:rPr>
                <w:rFonts w:eastAsia="Calibri"/>
                <w:color w:val="000000"/>
              </w:rPr>
              <w:t>-1.2</w:t>
            </w:r>
          </w:p>
        </w:tc>
        <w:tc>
          <w:tcPr>
            <w:tcW w:w="1696" w:type="dxa"/>
            <w:shd w:val="clear" w:color="auto" w:fill="FFFFFF"/>
            <w:tcMar>
              <w:top w:w="0" w:type="dxa"/>
              <w:left w:w="85" w:type="dxa"/>
              <w:bottom w:w="0" w:type="dxa"/>
              <w:right w:w="85" w:type="dxa"/>
            </w:tcMar>
          </w:tcPr>
          <w:p w14:paraId="22547D61" w14:textId="77777777" w:rsidR="00FB2AFE" w:rsidRPr="009E06AA" w:rsidRDefault="00FB2AFE" w:rsidP="001F77B4">
            <w:pPr>
              <w:pStyle w:val="TableText"/>
              <w:spacing w:before="40" w:after="40"/>
              <w:jc w:val="right"/>
            </w:pPr>
            <w:r w:rsidRPr="009E06AA">
              <w:rPr>
                <w:rFonts w:eastAsia="Calibri"/>
                <w:color w:val="000000"/>
              </w:rPr>
              <w:t>-5.7</w:t>
            </w:r>
          </w:p>
        </w:tc>
      </w:tr>
      <w:tr w:rsidR="00FB2AFE" w:rsidRPr="009E06AA" w14:paraId="1CE82BE8" w14:textId="77777777" w:rsidTr="00B55F24">
        <w:tc>
          <w:tcPr>
            <w:tcW w:w="2330" w:type="dxa"/>
            <w:shd w:val="clear" w:color="auto" w:fill="FFFFFF"/>
            <w:tcMar>
              <w:top w:w="0" w:type="dxa"/>
              <w:left w:w="85" w:type="dxa"/>
              <w:bottom w:w="0" w:type="dxa"/>
              <w:right w:w="85" w:type="dxa"/>
            </w:tcMar>
          </w:tcPr>
          <w:p w14:paraId="16ED4B25" w14:textId="77777777" w:rsidR="00FB2AFE" w:rsidRPr="009E06AA" w:rsidRDefault="00FB2AFE" w:rsidP="00B55F24">
            <w:pPr>
              <w:pStyle w:val="Tableboldblue"/>
              <w:spacing w:before="40" w:after="40"/>
            </w:pPr>
            <w:r w:rsidRPr="009E06AA">
              <w:rPr>
                <w:rFonts w:eastAsia="Calibri"/>
              </w:rPr>
              <w:t>Gross, all gases</w:t>
            </w:r>
          </w:p>
        </w:tc>
        <w:tc>
          <w:tcPr>
            <w:tcW w:w="1351" w:type="dxa"/>
            <w:shd w:val="clear" w:color="auto" w:fill="FFFFFF"/>
            <w:tcMar>
              <w:top w:w="0" w:type="dxa"/>
              <w:left w:w="85" w:type="dxa"/>
              <w:bottom w:w="0" w:type="dxa"/>
              <w:right w:w="85" w:type="dxa"/>
            </w:tcMar>
          </w:tcPr>
          <w:p w14:paraId="2868972B" w14:textId="77777777" w:rsidR="00FB2AFE" w:rsidRPr="009E06AA" w:rsidRDefault="00FB2AFE" w:rsidP="001F77B4">
            <w:pPr>
              <w:pStyle w:val="Tableboldblue"/>
              <w:spacing w:before="40" w:after="40"/>
              <w:jc w:val="right"/>
            </w:pPr>
            <w:r w:rsidRPr="009E06AA">
              <w:rPr>
                <w:rFonts w:eastAsia="Calibri"/>
              </w:rPr>
              <w:t>68,958.2</w:t>
            </w:r>
          </w:p>
        </w:tc>
        <w:tc>
          <w:tcPr>
            <w:tcW w:w="1134" w:type="dxa"/>
            <w:shd w:val="clear" w:color="auto" w:fill="FFFFFF"/>
            <w:tcMar>
              <w:top w:w="0" w:type="dxa"/>
              <w:left w:w="85" w:type="dxa"/>
              <w:bottom w:w="0" w:type="dxa"/>
              <w:right w:w="85" w:type="dxa"/>
            </w:tcMar>
          </w:tcPr>
          <w:p w14:paraId="4F7C2676" w14:textId="77777777" w:rsidR="00FB2AFE" w:rsidRPr="009E06AA" w:rsidRDefault="00FB2AFE" w:rsidP="001F77B4">
            <w:pPr>
              <w:pStyle w:val="Tableboldblue"/>
              <w:spacing w:before="40" w:after="40"/>
              <w:jc w:val="right"/>
            </w:pPr>
            <w:r w:rsidRPr="009E06AA">
              <w:rPr>
                <w:rFonts w:eastAsia="Calibri"/>
              </w:rPr>
              <w:t>78,395.4</w:t>
            </w:r>
          </w:p>
        </w:tc>
        <w:tc>
          <w:tcPr>
            <w:tcW w:w="1984" w:type="dxa"/>
            <w:shd w:val="clear" w:color="auto" w:fill="FFFFFF"/>
            <w:tcMar>
              <w:top w:w="0" w:type="dxa"/>
              <w:left w:w="85" w:type="dxa"/>
              <w:bottom w:w="0" w:type="dxa"/>
              <w:right w:w="85" w:type="dxa"/>
            </w:tcMar>
          </w:tcPr>
          <w:p w14:paraId="68DC4E89" w14:textId="77777777" w:rsidR="00FB2AFE" w:rsidRPr="009E06AA" w:rsidRDefault="00FB2AFE" w:rsidP="001F77B4">
            <w:pPr>
              <w:pStyle w:val="Tableboldblue"/>
              <w:spacing w:before="40" w:after="40"/>
              <w:jc w:val="right"/>
            </w:pPr>
            <w:r w:rsidRPr="009E06AA">
              <w:rPr>
                <w:rFonts w:eastAsia="Calibri"/>
              </w:rPr>
              <w:t>9,437.2</w:t>
            </w:r>
          </w:p>
        </w:tc>
        <w:tc>
          <w:tcPr>
            <w:tcW w:w="1696" w:type="dxa"/>
            <w:shd w:val="clear" w:color="auto" w:fill="FFFFFF"/>
            <w:tcMar>
              <w:top w:w="0" w:type="dxa"/>
              <w:left w:w="85" w:type="dxa"/>
              <w:bottom w:w="0" w:type="dxa"/>
              <w:right w:w="85" w:type="dxa"/>
            </w:tcMar>
          </w:tcPr>
          <w:p w14:paraId="66BDDD85" w14:textId="77777777" w:rsidR="00FB2AFE" w:rsidRPr="009E06AA" w:rsidRDefault="00FB2AFE" w:rsidP="001F77B4">
            <w:pPr>
              <w:pStyle w:val="Tableboldblue"/>
              <w:spacing w:before="40" w:after="40"/>
              <w:jc w:val="right"/>
            </w:pPr>
            <w:r w:rsidRPr="009E06AA">
              <w:rPr>
                <w:rFonts w:eastAsia="Calibri"/>
              </w:rPr>
              <w:t>13.7</w:t>
            </w:r>
          </w:p>
        </w:tc>
      </w:tr>
    </w:tbl>
    <w:p w14:paraId="11E92F09" w14:textId="77777777" w:rsidR="00FB2AFE" w:rsidRPr="009E06AA" w:rsidRDefault="00FB2AFE" w:rsidP="00FB2AFE">
      <w:pPr>
        <w:pStyle w:val="Noteundertable"/>
      </w:pPr>
      <w:r w:rsidRPr="009E06AA">
        <w:rPr>
          <w:b/>
          <w:bCs/>
        </w:rPr>
        <w:t>Note:</w:t>
      </w:r>
      <w:r w:rsidRPr="009E06AA">
        <w:t xml:space="preserve"> </w:t>
      </w:r>
      <w:r w:rsidRPr="009E06AA">
        <w:tab/>
        <w:t>Gross emissions exclude net emissions from the LULUCF sector. The percentage change for HFCs is not applicable (NA) because no emissions of HFCs occurred in 1990. Columns may not total due to rounding. Percentages presented are calculated from unrounded values.</w:t>
      </w:r>
    </w:p>
    <w:p w14:paraId="39BE383F" w14:textId="77777777" w:rsidR="00FB2AFE" w:rsidRPr="009E06AA" w:rsidRDefault="00FB2AFE" w:rsidP="00FB2AFE">
      <w:pPr>
        <w:pStyle w:val="BodyText"/>
      </w:pPr>
      <w:r w:rsidRPr="009E06AA">
        <w:t>Figure ES 2.2 presents for each gas the absolute change in gross emissions (LULUCF is excluded from the estimate of gross emissions), and the change between 1990 and 2022 estimates in kt CO</w:t>
      </w:r>
      <w:r w:rsidRPr="009E06AA">
        <w:rPr>
          <w:vertAlign w:val="subscript"/>
        </w:rPr>
        <w:t>2</w:t>
      </w:r>
      <w:r w:rsidRPr="009E06AA">
        <w:t>-e.</w:t>
      </w:r>
    </w:p>
    <w:p w14:paraId="5180A9C5" w14:textId="77777777" w:rsidR="00FB2AFE" w:rsidRPr="009E06AA" w:rsidRDefault="00FB2AFE" w:rsidP="00FB2AFE">
      <w:pPr>
        <w:pStyle w:val="Figure"/>
      </w:pPr>
      <w:bookmarkStart w:id="24" w:name="_Toc164153984"/>
      <w:r w:rsidRPr="009E06AA">
        <w:rPr>
          <w:bCs/>
        </w:rPr>
        <w:t>Figure ES 2.2</w:t>
      </w:r>
      <w:r w:rsidRPr="009E06AA">
        <w:tab/>
        <w:t xml:space="preserve">New Zealand’s gross emissions by gas in </w:t>
      </w:r>
      <w:r w:rsidRPr="009E06AA">
        <w:rPr>
          <w:bCs/>
        </w:rPr>
        <w:t>1990</w:t>
      </w:r>
      <w:r w:rsidRPr="009E06AA">
        <w:t xml:space="preserve"> and </w:t>
      </w:r>
      <w:r w:rsidRPr="009E06AA">
        <w:rPr>
          <w:bCs/>
        </w:rPr>
        <w:t>2022</w:t>
      </w:r>
      <w:bookmarkEnd w:id="24"/>
    </w:p>
    <w:p w14:paraId="4FFDBF16" w14:textId="77777777" w:rsidR="00FB2AFE" w:rsidRPr="009E06AA" w:rsidRDefault="00FB2AFE" w:rsidP="00FB2AFE">
      <w:pPr>
        <w:pStyle w:val="BodyText"/>
        <w:jc w:val="center"/>
      </w:pPr>
      <w:r w:rsidRPr="009E06AA">
        <w:rPr>
          <w:noProof/>
        </w:rPr>
        <w:drawing>
          <wp:inline distT="0" distB="0" distL="0" distR="0" wp14:anchorId="267BF5BF" wp14:editId="0A18AFA4">
            <wp:extent cx="5144494" cy="3745064"/>
            <wp:effectExtent l="0" t="0" r="0" b="8255"/>
            <wp:docPr id="35" name="Picture 35"/>
            <wp:cNvGraphicFramePr/>
            <a:graphic xmlns:a="http://schemas.openxmlformats.org/drawingml/2006/main">
              <a:graphicData uri="http://schemas.openxmlformats.org/drawingml/2006/picture">
                <pic:pic xmlns:pic="http://schemas.openxmlformats.org/drawingml/2006/picture">
                  <pic:nvPicPr>
                    <pic:cNvPr id="36" name="Picture" descr="code/graphs/images/es_3_2_crf.png"/>
                    <pic:cNvPicPr>
                      <a:picLocks noChangeAspect="1" noChangeArrowheads="1"/>
                    </pic:cNvPicPr>
                  </pic:nvPicPr>
                  <pic:blipFill rotWithShape="1">
                    <a:blip r:embed="rId21"/>
                    <a:srcRect b="2293"/>
                    <a:stretch/>
                  </pic:blipFill>
                  <pic:spPr bwMode="auto">
                    <a:xfrm>
                      <a:off x="0" y="0"/>
                      <a:ext cx="5152681" cy="3751024"/>
                    </a:xfrm>
                    <a:prstGeom prst="rect">
                      <a:avLst/>
                    </a:prstGeom>
                    <a:noFill/>
                    <a:ln>
                      <a:noFill/>
                    </a:ln>
                    <a:extLst>
                      <a:ext uri="{53640926-AAD7-44D8-BBD7-CCE9431645EC}">
                        <a14:shadowObscured xmlns:a14="http://schemas.microsoft.com/office/drawing/2010/main"/>
                      </a:ext>
                    </a:extLst>
                  </pic:spPr>
                </pic:pic>
              </a:graphicData>
            </a:graphic>
          </wp:inline>
        </w:drawing>
      </w:r>
    </w:p>
    <w:p w14:paraId="549884A2" w14:textId="11246AAE" w:rsidR="00FB2AFE" w:rsidRPr="009E06AA" w:rsidRDefault="00FB2AFE" w:rsidP="00FB2AFE">
      <w:pPr>
        <w:pStyle w:val="BodyText"/>
        <w:spacing w:before="100" w:after="100"/>
      </w:pPr>
      <w:r w:rsidRPr="009E06AA">
        <w:t xml:space="preserve">In both </w:t>
      </w:r>
      <w:r w:rsidRPr="009E06AA">
        <w:rPr>
          <w:bCs/>
        </w:rPr>
        <w:t>1990 and 2022</w:t>
      </w:r>
      <w:r w:rsidRPr="009E06AA">
        <w:rPr>
          <w:b/>
        </w:rPr>
        <w:t>,</w:t>
      </w:r>
      <w:r w:rsidRPr="009E06AA">
        <w:t xml:space="preserve"> CH</w:t>
      </w:r>
      <w:r w:rsidRPr="009E06AA">
        <w:rPr>
          <w:vertAlign w:val="subscript"/>
        </w:rPr>
        <w:t>4</w:t>
      </w:r>
      <w:r w:rsidRPr="009E06AA">
        <w:t xml:space="preserve"> made the greatest contribution to gross emissions (see figure ES 3.1). While emissions of CH</w:t>
      </w:r>
      <w:r w:rsidRPr="009E06AA">
        <w:rPr>
          <w:vertAlign w:val="subscript"/>
        </w:rPr>
        <w:t>4</w:t>
      </w:r>
      <w:r w:rsidRPr="009E06AA">
        <w:t xml:space="preserve"> have also increased between these years, the rate of increase in CH</w:t>
      </w:r>
      <w:r w:rsidRPr="009E06AA">
        <w:rPr>
          <w:vertAlign w:val="subscript"/>
        </w:rPr>
        <w:t>4</w:t>
      </w:r>
      <w:r w:rsidRPr="009E06AA">
        <w:t xml:space="preserve"> emissions relative to other gases in the </w:t>
      </w:r>
      <w:r w:rsidR="000468B4">
        <w:t>I</w:t>
      </w:r>
      <w:r w:rsidRPr="009E06AA">
        <w:t>nventory has decreased between these years. Carbon dioxide emissions have increased at a greater rate between these years.</w:t>
      </w:r>
    </w:p>
    <w:p w14:paraId="7A252C4A" w14:textId="77777777" w:rsidR="00FB2AFE" w:rsidRPr="009E06AA" w:rsidRDefault="00FB2AFE" w:rsidP="00FB2AFE">
      <w:pPr>
        <w:pStyle w:val="BodyText"/>
        <w:spacing w:before="100" w:after="100"/>
      </w:pPr>
      <w:r w:rsidRPr="009E06AA">
        <w:t>This trend reflects the increase in CO</w:t>
      </w:r>
      <w:r w:rsidRPr="009E06AA">
        <w:rPr>
          <w:vertAlign w:val="subscript"/>
        </w:rPr>
        <w:t>2</w:t>
      </w:r>
      <w:r w:rsidRPr="009E06AA">
        <w:t xml:space="preserve"> emissions from the Energy sector as the biggest contributor of CO</w:t>
      </w:r>
      <w:r w:rsidRPr="009E06AA">
        <w:rPr>
          <w:vertAlign w:val="subscript"/>
        </w:rPr>
        <w:t>2</w:t>
      </w:r>
      <w:r w:rsidRPr="009E06AA">
        <w:t xml:space="preserve"> to New Zealand’s gross emissions (ranging between </w:t>
      </w:r>
      <w:r w:rsidRPr="009E06AA">
        <w:rPr>
          <w:bCs/>
        </w:rPr>
        <w:t>87.0 per cent and 89.0</w:t>
      </w:r>
      <w:r w:rsidRPr="009E06AA">
        <w:t> per cent of gross CO</w:t>
      </w:r>
      <w:r w:rsidRPr="009E06AA">
        <w:rPr>
          <w:vertAlign w:val="subscript"/>
        </w:rPr>
        <w:t>2</w:t>
      </w:r>
      <w:r w:rsidRPr="009E06AA">
        <w:t xml:space="preserve"> emissions across the entire time series).</w:t>
      </w:r>
    </w:p>
    <w:p w14:paraId="7F21133B" w14:textId="77777777" w:rsidR="00FB2AFE" w:rsidRPr="009E06AA" w:rsidRDefault="00FB2AFE" w:rsidP="00FB2AFE">
      <w:pPr>
        <w:pStyle w:val="BodyText"/>
        <w:spacing w:before="100" w:after="100"/>
      </w:pPr>
      <w:r w:rsidRPr="009E06AA">
        <w:t>In 2022, net emissions from the LULUCF sector were -19,238.8 kt CO</w:t>
      </w:r>
      <w:r w:rsidRPr="009E06AA">
        <w:rPr>
          <w:vertAlign w:val="subscript"/>
        </w:rPr>
        <w:t>2</w:t>
      </w:r>
      <w:r w:rsidRPr="009E06AA">
        <w:t>-e. This offset 24.5 per cent of New Zealand’s gross emissions.</w:t>
      </w:r>
    </w:p>
    <w:p w14:paraId="32EBC47B" w14:textId="77777777" w:rsidR="00FB2AFE" w:rsidRPr="009E06AA" w:rsidRDefault="00FB2AFE" w:rsidP="00FB2AFE">
      <w:pPr>
        <w:pStyle w:val="BodyText"/>
        <w:spacing w:before="100" w:after="100"/>
      </w:pPr>
      <w:r w:rsidRPr="009E06AA">
        <w:t>Between 1990 and 2022, the amount of CO</w:t>
      </w:r>
      <w:r w:rsidRPr="009E06AA">
        <w:rPr>
          <w:vertAlign w:val="subscript"/>
        </w:rPr>
        <w:t>2</w:t>
      </w:r>
      <w:r w:rsidRPr="009E06AA">
        <w:t>-e removed from the atmosphere by the LULUCF sector decreased by 20.9 per cent (5,085.8 kt CO</w:t>
      </w:r>
      <w:r w:rsidRPr="009E06AA">
        <w:rPr>
          <w:vertAlign w:val="subscript"/>
        </w:rPr>
        <w:t>2</w:t>
      </w:r>
      <w:r w:rsidRPr="009E06AA">
        <w:t>-e) from the 1990 level of 24,324.6 kt CO</w:t>
      </w:r>
      <w:r w:rsidRPr="009E06AA">
        <w:rPr>
          <w:vertAlign w:val="subscript"/>
        </w:rPr>
        <w:t>2</w:t>
      </w:r>
      <w:r w:rsidRPr="009E06AA">
        <w:t xml:space="preserve">-e. This is largely due to a reduction in removals from </w:t>
      </w:r>
      <w:r w:rsidRPr="009E06AA">
        <w:rPr>
          <w:i/>
        </w:rPr>
        <w:t>Forest land</w:t>
      </w:r>
      <w:r w:rsidRPr="009E06AA">
        <w:t xml:space="preserve"> (due to the age-class profile of New Zealand’s planted forest estate) and an increase in emissions from </w:t>
      </w:r>
      <w:r w:rsidRPr="009E06AA">
        <w:rPr>
          <w:i/>
        </w:rPr>
        <w:t>Grassland</w:t>
      </w:r>
      <w:r w:rsidRPr="009E06AA">
        <w:t xml:space="preserve"> (mainly due to emissions from deforestation and conversions among grassland categories).</w:t>
      </w:r>
    </w:p>
    <w:p w14:paraId="19DD7AE0" w14:textId="77777777" w:rsidR="00FB2AFE" w:rsidRPr="009E06AA" w:rsidRDefault="00FB2AFE" w:rsidP="00793763">
      <w:pPr>
        <w:pStyle w:val="Heading2"/>
        <w:tabs>
          <w:tab w:val="clear" w:pos="851"/>
          <w:tab w:val="left" w:pos="993"/>
        </w:tabs>
      </w:pPr>
      <w:bookmarkStart w:id="25" w:name="_Toc164154154"/>
      <w:bookmarkStart w:id="26" w:name="X24ac83d8d9dc519b3d9cbea1a7058f1c0308b86"/>
      <w:bookmarkEnd w:id="15"/>
      <w:bookmarkEnd w:id="22"/>
      <w:r w:rsidRPr="009E06AA">
        <w:t>ES.3</w:t>
      </w:r>
      <w:r w:rsidRPr="009E06AA">
        <w:tab/>
        <w:t>Overview of source and sink category emission estimates and trends</w:t>
      </w:r>
      <w:bookmarkEnd w:id="25"/>
    </w:p>
    <w:p w14:paraId="60BFB532" w14:textId="77777777" w:rsidR="00FB2AFE" w:rsidRPr="009E06AA" w:rsidRDefault="00FB2AFE" w:rsidP="005E75EE">
      <w:pPr>
        <w:pStyle w:val="BodyText"/>
        <w:keepNext/>
        <w:keepLines/>
      </w:pPr>
      <w:r w:rsidRPr="009E06AA">
        <w:t>Figure ES 3.1 shows the contribution to net emissions that each inventory sector made since 1990. The Agriculture and Energy sectors dominated New Zealand’s gross emissions. Together, these sectors produced 89.5 per cent of New Zealand’s annual gross GHG emissions from 1990 to 2022. The IPPU and Waste sectors produced relatively small amounts of GHGs, contributing between 4 per cent and 7 per cent of the annual gross emissions for the entire time series.</w:t>
      </w:r>
    </w:p>
    <w:p w14:paraId="3597267E" w14:textId="77777777" w:rsidR="00FB2AFE" w:rsidRPr="009E06AA" w:rsidRDefault="00FB2AFE" w:rsidP="00FB2AFE">
      <w:pPr>
        <w:pStyle w:val="BodyText"/>
      </w:pPr>
      <w:r w:rsidRPr="009E06AA">
        <w:t>Conversely, the LULUCF sector was a net sink of GHG emissions between 1990 and 2022.</w:t>
      </w:r>
    </w:p>
    <w:p w14:paraId="02AC75C3" w14:textId="6FBB35C3" w:rsidR="00FB2AFE" w:rsidRPr="009E06AA" w:rsidRDefault="00FB2AFE" w:rsidP="00FB2AFE">
      <w:pPr>
        <w:pStyle w:val="Figure"/>
        <w:spacing w:after="80"/>
      </w:pPr>
      <w:bookmarkStart w:id="27" w:name="_Toc164153985"/>
      <w:r w:rsidRPr="009E06AA">
        <w:rPr>
          <w:bCs/>
        </w:rPr>
        <w:t>Figure ES 3.1</w:t>
      </w:r>
      <w:r w:rsidRPr="009E06AA">
        <w:rPr>
          <w:bCs/>
        </w:rPr>
        <w:tab/>
      </w:r>
      <w:r w:rsidRPr="009E06AA">
        <w:t>Trends in New Zealand’s greenhouse gas emissions by sector</w:t>
      </w:r>
      <w:r w:rsidR="00223334" w:rsidRPr="009E06AA">
        <w:t>,</w:t>
      </w:r>
      <w:r w:rsidRPr="009E06AA">
        <w:t xml:space="preserve"> from </w:t>
      </w:r>
      <w:r w:rsidRPr="009E06AA">
        <w:rPr>
          <w:bCs/>
        </w:rPr>
        <w:t>1990</w:t>
      </w:r>
      <w:r w:rsidRPr="009E06AA">
        <w:t xml:space="preserve"> to </w:t>
      </w:r>
      <w:r w:rsidRPr="009E06AA">
        <w:rPr>
          <w:bCs/>
        </w:rPr>
        <w:t>2022</w:t>
      </w:r>
      <w:bookmarkEnd w:id="27"/>
    </w:p>
    <w:p w14:paraId="2D2E5FFB" w14:textId="77777777" w:rsidR="00FB2AFE" w:rsidRPr="009E06AA" w:rsidRDefault="00FB2AFE" w:rsidP="00FB2AFE">
      <w:pPr>
        <w:pStyle w:val="BodyText"/>
      </w:pPr>
      <w:r w:rsidRPr="009E06AA">
        <w:rPr>
          <w:noProof/>
        </w:rPr>
        <w:drawing>
          <wp:inline distT="0" distB="0" distL="0" distR="0" wp14:anchorId="259068EB" wp14:editId="3015CF9F">
            <wp:extent cx="4997302" cy="3558363"/>
            <wp:effectExtent l="0" t="0" r="0" b="4445"/>
            <wp:docPr id="40" name="Picture 40"/>
            <wp:cNvGraphicFramePr/>
            <a:graphic xmlns:a="http://schemas.openxmlformats.org/drawingml/2006/main">
              <a:graphicData uri="http://schemas.openxmlformats.org/drawingml/2006/picture">
                <pic:pic xmlns:pic="http://schemas.openxmlformats.org/drawingml/2006/picture">
                  <pic:nvPicPr>
                    <pic:cNvPr id="41" name="Picture" descr="code/graphs/images/es_4_1_crf.png"/>
                    <pic:cNvPicPr>
                      <a:picLocks noChangeAspect="1" noChangeArrowheads="1"/>
                    </pic:cNvPicPr>
                  </pic:nvPicPr>
                  <pic:blipFill rotWithShape="1">
                    <a:blip r:embed="rId22"/>
                    <a:srcRect b="2293"/>
                    <a:stretch/>
                  </pic:blipFill>
                  <pic:spPr bwMode="auto">
                    <a:xfrm>
                      <a:off x="0" y="0"/>
                      <a:ext cx="5027155" cy="3579620"/>
                    </a:xfrm>
                    <a:prstGeom prst="rect">
                      <a:avLst/>
                    </a:prstGeom>
                    <a:noFill/>
                    <a:ln>
                      <a:noFill/>
                    </a:ln>
                    <a:extLst>
                      <a:ext uri="{53640926-AAD7-44D8-BBD7-CCE9431645EC}">
                        <a14:shadowObscured xmlns:a14="http://schemas.microsoft.com/office/drawing/2010/main"/>
                      </a:ext>
                    </a:extLst>
                  </pic:spPr>
                </pic:pic>
              </a:graphicData>
            </a:graphic>
          </wp:inline>
        </w:drawing>
      </w:r>
    </w:p>
    <w:p w14:paraId="6724E51E" w14:textId="77777777" w:rsidR="00FB2AFE" w:rsidRPr="009E06AA" w:rsidRDefault="00FB2AFE" w:rsidP="00FB2AFE">
      <w:pPr>
        <w:pStyle w:val="BodyText"/>
      </w:pPr>
      <w:r w:rsidRPr="009E06AA">
        <w:t>Table ES 3.1 and figure ES 3.2 summarise emissions by sector in 1990 and 2022 as well as the change between those years. A more detailed description of the emissions trends for each sector is presented in chapter 2.</w:t>
      </w:r>
    </w:p>
    <w:p w14:paraId="0D76A4F1" w14:textId="77777777" w:rsidR="00FB2AFE" w:rsidRPr="009E06AA" w:rsidRDefault="00FB2AFE" w:rsidP="00FB2AFE">
      <w:pPr>
        <w:pStyle w:val="Table"/>
      </w:pPr>
      <w:bookmarkStart w:id="28" w:name="_Toc164153792"/>
      <w:r w:rsidRPr="009E06AA">
        <w:rPr>
          <w:bCs/>
        </w:rPr>
        <w:t>Table ES 3.1</w:t>
      </w:r>
      <w:r w:rsidRPr="009E06AA">
        <w:t xml:space="preserve"> </w:t>
      </w:r>
      <w:r w:rsidRPr="009E06AA">
        <w:tab/>
        <w:t xml:space="preserve">New Zealand’s emissions by sector in </w:t>
      </w:r>
      <w:r w:rsidRPr="009E06AA">
        <w:rPr>
          <w:bCs/>
        </w:rPr>
        <w:t>1990</w:t>
      </w:r>
      <w:r w:rsidRPr="009E06AA">
        <w:t xml:space="preserve"> and </w:t>
      </w:r>
      <w:r w:rsidRPr="009E06AA">
        <w:rPr>
          <w:bCs/>
        </w:rPr>
        <w:t>2022</w:t>
      </w:r>
      <w:bookmarkEnd w:id="28"/>
    </w:p>
    <w:tbl>
      <w:tblPr>
        <w:tblW w:w="8505" w:type="dxa"/>
        <w:tblBorders>
          <w:top w:val="single" w:sz="4" w:space="0" w:color="1B556B" w:themeColor="text2"/>
          <w:bottom w:val="single" w:sz="4" w:space="0" w:color="1B556B" w:themeColor="text2"/>
          <w:insideH w:val="single" w:sz="4" w:space="0" w:color="1B556B" w:themeColor="text2"/>
        </w:tblBorders>
        <w:tblLook w:val="0420" w:firstRow="1" w:lastRow="0" w:firstColumn="0" w:lastColumn="0" w:noHBand="0" w:noVBand="1"/>
      </w:tblPr>
      <w:tblGrid>
        <w:gridCol w:w="1118"/>
        <w:gridCol w:w="985"/>
        <w:gridCol w:w="985"/>
        <w:gridCol w:w="3368"/>
        <w:gridCol w:w="2049"/>
      </w:tblGrid>
      <w:tr w:rsidR="00FB2AFE" w:rsidRPr="009E06AA" w14:paraId="7DED83C4" w14:textId="77777777" w:rsidTr="00B55F24">
        <w:trPr>
          <w:tblHeader/>
        </w:trPr>
        <w:tc>
          <w:tcPr>
            <w:tcW w:w="0" w:type="auto"/>
            <w:shd w:val="clear" w:color="auto" w:fill="1B556B"/>
            <w:tcMar>
              <w:top w:w="0" w:type="dxa"/>
              <w:left w:w="85" w:type="dxa"/>
              <w:bottom w:w="0" w:type="dxa"/>
              <w:right w:w="85" w:type="dxa"/>
            </w:tcMar>
          </w:tcPr>
          <w:p w14:paraId="1BA25A64" w14:textId="77777777" w:rsidR="00FB2AFE" w:rsidRPr="009E06AA" w:rsidRDefault="00FB2AFE" w:rsidP="00B55F24">
            <w:pPr>
              <w:pStyle w:val="TableTextBold"/>
              <w:spacing w:before="40" w:after="40"/>
              <w:rPr>
                <w:rFonts w:cs="Calibri"/>
                <w:noProof w:val="0"/>
                <w:color w:val="FFFFFF" w:themeColor="background1"/>
                <w:szCs w:val="16"/>
              </w:rPr>
            </w:pPr>
            <w:r w:rsidRPr="009E06AA">
              <w:rPr>
                <w:rFonts w:eastAsia="Calibri" w:cs="Calibri"/>
                <w:noProof w:val="0"/>
                <w:color w:val="FFFFFF" w:themeColor="background1"/>
                <w:szCs w:val="16"/>
              </w:rPr>
              <w:t>Sector</w:t>
            </w:r>
          </w:p>
        </w:tc>
        <w:tc>
          <w:tcPr>
            <w:tcW w:w="0" w:type="auto"/>
            <w:shd w:val="clear" w:color="auto" w:fill="1B556B"/>
            <w:tcMar>
              <w:top w:w="0" w:type="dxa"/>
              <w:left w:w="85" w:type="dxa"/>
              <w:bottom w:w="0" w:type="dxa"/>
              <w:right w:w="85" w:type="dxa"/>
            </w:tcMar>
          </w:tcPr>
          <w:p w14:paraId="3E726194" w14:textId="77777777" w:rsidR="00FB2AFE" w:rsidRPr="009E06AA" w:rsidRDefault="00FB2AFE" w:rsidP="001F77B4">
            <w:pPr>
              <w:pStyle w:val="TableTextBold"/>
              <w:spacing w:before="40" w:after="40"/>
              <w:jc w:val="right"/>
              <w:rPr>
                <w:rFonts w:cs="Calibri"/>
                <w:noProof w:val="0"/>
                <w:color w:val="FFFFFF" w:themeColor="background1"/>
                <w:szCs w:val="16"/>
              </w:rPr>
            </w:pPr>
            <w:r w:rsidRPr="009E06AA">
              <w:rPr>
                <w:rFonts w:eastAsia="Calibri" w:cs="Calibri"/>
                <w:noProof w:val="0"/>
                <w:color w:val="FFFFFF" w:themeColor="background1"/>
                <w:szCs w:val="16"/>
              </w:rPr>
              <w:t>1990</w:t>
            </w:r>
          </w:p>
        </w:tc>
        <w:tc>
          <w:tcPr>
            <w:tcW w:w="0" w:type="auto"/>
            <w:shd w:val="clear" w:color="auto" w:fill="1B556B"/>
            <w:tcMar>
              <w:top w:w="0" w:type="dxa"/>
              <w:left w:w="85" w:type="dxa"/>
              <w:bottom w:w="0" w:type="dxa"/>
              <w:right w:w="85" w:type="dxa"/>
            </w:tcMar>
          </w:tcPr>
          <w:p w14:paraId="45164DE5" w14:textId="77777777" w:rsidR="00FB2AFE" w:rsidRPr="009E06AA" w:rsidRDefault="00FB2AFE" w:rsidP="001F77B4">
            <w:pPr>
              <w:pStyle w:val="TableTextBold"/>
              <w:spacing w:before="40" w:after="40"/>
              <w:jc w:val="right"/>
              <w:rPr>
                <w:rFonts w:cs="Calibri"/>
                <w:noProof w:val="0"/>
                <w:color w:val="FFFFFF" w:themeColor="background1"/>
                <w:szCs w:val="16"/>
              </w:rPr>
            </w:pPr>
            <w:r w:rsidRPr="009E06AA">
              <w:rPr>
                <w:rFonts w:eastAsia="Calibri" w:cs="Calibri"/>
                <w:noProof w:val="0"/>
                <w:color w:val="FFFFFF" w:themeColor="background1"/>
                <w:szCs w:val="16"/>
              </w:rPr>
              <w:t>2022</w:t>
            </w:r>
          </w:p>
        </w:tc>
        <w:tc>
          <w:tcPr>
            <w:tcW w:w="0" w:type="auto"/>
            <w:shd w:val="clear" w:color="auto" w:fill="1B556B"/>
            <w:tcMar>
              <w:top w:w="0" w:type="dxa"/>
              <w:left w:w="85" w:type="dxa"/>
              <w:bottom w:w="0" w:type="dxa"/>
              <w:right w:w="85" w:type="dxa"/>
            </w:tcMar>
          </w:tcPr>
          <w:p w14:paraId="03B72FF3" w14:textId="77777777" w:rsidR="00FB2AFE" w:rsidRPr="009E06AA" w:rsidRDefault="00FB2AFE" w:rsidP="001F77B4">
            <w:pPr>
              <w:pStyle w:val="TableTextBold"/>
              <w:spacing w:before="40" w:after="40"/>
              <w:jc w:val="right"/>
              <w:rPr>
                <w:rFonts w:cs="Calibri"/>
                <w:noProof w:val="0"/>
                <w:color w:val="FFFFFF" w:themeColor="background1"/>
                <w:szCs w:val="16"/>
              </w:rPr>
            </w:pPr>
            <w:r w:rsidRPr="009E06AA">
              <w:rPr>
                <w:rFonts w:eastAsia="Calibri" w:cs="Calibri"/>
                <w:noProof w:val="0"/>
                <w:color w:val="FFFFFF" w:themeColor="background1"/>
                <w:szCs w:val="16"/>
              </w:rPr>
              <w:t>Change from 1990 (kt CO</w:t>
            </w:r>
            <w:r w:rsidRPr="009E06AA">
              <w:rPr>
                <w:rFonts w:eastAsia="Calibri" w:cs="Calibri"/>
                <w:noProof w:val="0"/>
                <w:color w:val="FFFFFF" w:themeColor="background1"/>
                <w:szCs w:val="16"/>
                <w:vertAlign w:val="subscript"/>
              </w:rPr>
              <w:t>2</w:t>
            </w:r>
            <w:r w:rsidRPr="009E06AA">
              <w:rPr>
                <w:rFonts w:eastAsia="Calibri" w:cs="Calibri"/>
                <w:noProof w:val="0"/>
                <w:color w:val="FFFFFF" w:themeColor="background1"/>
                <w:szCs w:val="16"/>
              </w:rPr>
              <w:t>-equivalent)</w:t>
            </w:r>
          </w:p>
        </w:tc>
        <w:tc>
          <w:tcPr>
            <w:tcW w:w="0" w:type="auto"/>
            <w:shd w:val="clear" w:color="auto" w:fill="1B556B"/>
            <w:tcMar>
              <w:top w:w="0" w:type="dxa"/>
              <w:left w:w="85" w:type="dxa"/>
              <w:bottom w:w="0" w:type="dxa"/>
              <w:right w:w="85" w:type="dxa"/>
            </w:tcMar>
          </w:tcPr>
          <w:p w14:paraId="25B72404" w14:textId="77777777" w:rsidR="00FB2AFE" w:rsidRPr="009E06AA" w:rsidRDefault="00FB2AFE" w:rsidP="001F77B4">
            <w:pPr>
              <w:pStyle w:val="TableTextBold"/>
              <w:spacing w:before="40" w:after="40"/>
              <w:jc w:val="right"/>
              <w:rPr>
                <w:rFonts w:cs="Calibri"/>
                <w:noProof w:val="0"/>
                <w:color w:val="FFFFFF" w:themeColor="background1"/>
                <w:szCs w:val="16"/>
              </w:rPr>
            </w:pPr>
            <w:r w:rsidRPr="009E06AA">
              <w:rPr>
                <w:rFonts w:eastAsia="Calibri" w:cs="Calibri"/>
                <w:noProof w:val="0"/>
                <w:color w:val="FFFFFF" w:themeColor="background1"/>
                <w:szCs w:val="16"/>
              </w:rPr>
              <w:t>Change from 1990 (%)</w:t>
            </w:r>
          </w:p>
        </w:tc>
      </w:tr>
      <w:tr w:rsidR="00FB2AFE" w:rsidRPr="009E06AA" w14:paraId="71BABEAD" w14:textId="77777777" w:rsidTr="00B55F24">
        <w:tc>
          <w:tcPr>
            <w:tcW w:w="0" w:type="auto"/>
            <w:shd w:val="clear" w:color="auto" w:fill="FFFFFF"/>
            <w:tcMar>
              <w:top w:w="0" w:type="dxa"/>
              <w:left w:w="85" w:type="dxa"/>
              <w:bottom w:w="0" w:type="dxa"/>
              <w:right w:w="85" w:type="dxa"/>
            </w:tcMar>
          </w:tcPr>
          <w:p w14:paraId="1BE50000" w14:textId="77777777" w:rsidR="00FB2AFE" w:rsidRPr="009E06AA" w:rsidRDefault="00FB2AFE" w:rsidP="00B55F24">
            <w:pPr>
              <w:pStyle w:val="TableText"/>
              <w:spacing w:before="40" w:after="40"/>
              <w:rPr>
                <w:rFonts w:cs="Calibri"/>
                <w:szCs w:val="16"/>
              </w:rPr>
            </w:pPr>
            <w:r w:rsidRPr="009E06AA">
              <w:rPr>
                <w:rFonts w:eastAsia="Calibri" w:cs="Calibri"/>
                <w:szCs w:val="16"/>
              </w:rPr>
              <w:t>Energy</w:t>
            </w:r>
          </w:p>
        </w:tc>
        <w:tc>
          <w:tcPr>
            <w:tcW w:w="0" w:type="auto"/>
            <w:shd w:val="clear" w:color="auto" w:fill="FFFFFF"/>
            <w:tcMar>
              <w:top w:w="0" w:type="dxa"/>
              <w:left w:w="85" w:type="dxa"/>
              <w:bottom w:w="0" w:type="dxa"/>
              <w:right w:w="85" w:type="dxa"/>
            </w:tcMar>
          </w:tcPr>
          <w:p w14:paraId="3B3DB4FA" w14:textId="77777777" w:rsidR="00FB2AFE" w:rsidRPr="009E06AA" w:rsidRDefault="00FB2AFE" w:rsidP="001F77B4">
            <w:pPr>
              <w:pStyle w:val="TableText"/>
              <w:spacing w:before="40" w:after="40"/>
              <w:jc w:val="right"/>
              <w:rPr>
                <w:rFonts w:cs="Calibri"/>
                <w:szCs w:val="16"/>
              </w:rPr>
            </w:pPr>
            <w:r w:rsidRPr="009E06AA">
              <w:rPr>
                <w:rFonts w:eastAsia="Calibri" w:cs="Calibri"/>
                <w:szCs w:val="16"/>
              </w:rPr>
              <w:t>23,998.3</w:t>
            </w:r>
          </w:p>
        </w:tc>
        <w:tc>
          <w:tcPr>
            <w:tcW w:w="0" w:type="auto"/>
            <w:shd w:val="clear" w:color="auto" w:fill="FFFFFF"/>
            <w:tcMar>
              <w:top w:w="0" w:type="dxa"/>
              <w:left w:w="85" w:type="dxa"/>
              <w:bottom w:w="0" w:type="dxa"/>
              <w:right w:w="85" w:type="dxa"/>
            </w:tcMar>
          </w:tcPr>
          <w:p w14:paraId="49549E68" w14:textId="77777777" w:rsidR="00FB2AFE" w:rsidRPr="009E06AA" w:rsidRDefault="00FB2AFE" w:rsidP="001F77B4">
            <w:pPr>
              <w:pStyle w:val="TableText"/>
              <w:spacing w:before="40" w:after="40"/>
              <w:jc w:val="right"/>
              <w:rPr>
                <w:rFonts w:cs="Calibri"/>
                <w:szCs w:val="16"/>
              </w:rPr>
            </w:pPr>
            <w:r w:rsidRPr="009E06AA">
              <w:rPr>
                <w:rFonts w:eastAsia="Calibri" w:cs="Calibri"/>
                <w:szCs w:val="16"/>
              </w:rPr>
              <w:t>28,716.1</w:t>
            </w:r>
          </w:p>
        </w:tc>
        <w:tc>
          <w:tcPr>
            <w:tcW w:w="0" w:type="auto"/>
            <w:shd w:val="clear" w:color="auto" w:fill="FFFFFF"/>
            <w:tcMar>
              <w:top w:w="0" w:type="dxa"/>
              <w:left w:w="85" w:type="dxa"/>
              <w:bottom w:w="0" w:type="dxa"/>
              <w:right w:w="85" w:type="dxa"/>
            </w:tcMar>
          </w:tcPr>
          <w:p w14:paraId="4E4DCF7A" w14:textId="77777777" w:rsidR="00FB2AFE" w:rsidRPr="009E06AA" w:rsidRDefault="00FB2AFE" w:rsidP="001F77B4">
            <w:pPr>
              <w:pStyle w:val="TableText"/>
              <w:spacing w:before="40" w:after="40"/>
              <w:jc w:val="right"/>
              <w:rPr>
                <w:rFonts w:cs="Calibri"/>
                <w:szCs w:val="16"/>
              </w:rPr>
            </w:pPr>
            <w:r w:rsidRPr="009E06AA">
              <w:rPr>
                <w:rFonts w:eastAsia="Calibri" w:cs="Calibri"/>
                <w:szCs w:val="16"/>
              </w:rPr>
              <w:t>4,717.8</w:t>
            </w:r>
          </w:p>
        </w:tc>
        <w:tc>
          <w:tcPr>
            <w:tcW w:w="0" w:type="auto"/>
            <w:shd w:val="clear" w:color="auto" w:fill="FFFFFF"/>
            <w:tcMar>
              <w:top w:w="0" w:type="dxa"/>
              <w:left w:w="85" w:type="dxa"/>
              <w:bottom w:w="0" w:type="dxa"/>
              <w:right w:w="85" w:type="dxa"/>
            </w:tcMar>
          </w:tcPr>
          <w:p w14:paraId="1A1D510A" w14:textId="77777777" w:rsidR="00FB2AFE" w:rsidRPr="009E06AA" w:rsidRDefault="00FB2AFE" w:rsidP="001F77B4">
            <w:pPr>
              <w:pStyle w:val="TableText"/>
              <w:spacing w:before="40" w:after="40"/>
              <w:jc w:val="right"/>
              <w:rPr>
                <w:rFonts w:cs="Calibri"/>
                <w:szCs w:val="16"/>
              </w:rPr>
            </w:pPr>
            <w:r w:rsidRPr="009E06AA">
              <w:rPr>
                <w:rFonts w:eastAsia="Calibri" w:cs="Calibri"/>
                <w:szCs w:val="16"/>
              </w:rPr>
              <w:t>19.7</w:t>
            </w:r>
          </w:p>
        </w:tc>
      </w:tr>
      <w:tr w:rsidR="00FB2AFE" w:rsidRPr="009E06AA" w14:paraId="1E0358BD" w14:textId="77777777" w:rsidTr="00B55F24">
        <w:tc>
          <w:tcPr>
            <w:tcW w:w="0" w:type="auto"/>
            <w:shd w:val="clear" w:color="auto" w:fill="FFFFFF"/>
            <w:tcMar>
              <w:top w:w="0" w:type="dxa"/>
              <w:left w:w="85" w:type="dxa"/>
              <w:bottom w:w="0" w:type="dxa"/>
              <w:right w:w="85" w:type="dxa"/>
            </w:tcMar>
          </w:tcPr>
          <w:p w14:paraId="2431EF15" w14:textId="77777777" w:rsidR="00FB2AFE" w:rsidRPr="009E06AA" w:rsidRDefault="00FB2AFE" w:rsidP="00B55F24">
            <w:pPr>
              <w:pStyle w:val="TableText"/>
              <w:spacing w:before="40" w:after="40"/>
              <w:rPr>
                <w:rFonts w:cs="Calibri"/>
                <w:szCs w:val="16"/>
              </w:rPr>
            </w:pPr>
            <w:r w:rsidRPr="009E06AA">
              <w:rPr>
                <w:rFonts w:eastAsia="Calibri" w:cs="Calibri"/>
                <w:szCs w:val="16"/>
              </w:rPr>
              <w:t>IPPU</w:t>
            </w:r>
          </w:p>
        </w:tc>
        <w:tc>
          <w:tcPr>
            <w:tcW w:w="0" w:type="auto"/>
            <w:shd w:val="clear" w:color="auto" w:fill="FFFFFF"/>
            <w:tcMar>
              <w:top w:w="0" w:type="dxa"/>
              <w:left w:w="85" w:type="dxa"/>
              <w:bottom w:w="0" w:type="dxa"/>
              <w:right w:w="85" w:type="dxa"/>
            </w:tcMar>
          </w:tcPr>
          <w:p w14:paraId="2AADB266" w14:textId="77777777" w:rsidR="00FB2AFE" w:rsidRPr="009E06AA" w:rsidRDefault="00FB2AFE" w:rsidP="001F77B4">
            <w:pPr>
              <w:pStyle w:val="TableText"/>
              <w:spacing w:before="40" w:after="40"/>
              <w:jc w:val="right"/>
              <w:rPr>
                <w:rFonts w:cs="Calibri"/>
                <w:szCs w:val="16"/>
              </w:rPr>
            </w:pPr>
            <w:r w:rsidRPr="009E06AA">
              <w:rPr>
                <w:rFonts w:eastAsia="Calibri" w:cs="Calibri"/>
                <w:szCs w:val="16"/>
              </w:rPr>
              <w:t>3,478.2</w:t>
            </w:r>
          </w:p>
        </w:tc>
        <w:tc>
          <w:tcPr>
            <w:tcW w:w="0" w:type="auto"/>
            <w:shd w:val="clear" w:color="auto" w:fill="FFFFFF"/>
            <w:tcMar>
              <w:top w:w="0" w:type="dxa"/>
              <w:left w:w="85" w:type="dxa"/>
              <w:bottom w:w="0" w:type="dxa"/>
              <w:right w:w="85" w:type="dxa"/>
            </w:tcMar>
          </w:tcPr>
          <w:p w14:paraId="64A1CE9D" w14:textId="77777777" w:rsidR="00FB2AFE" w:rsidRPr="009E06AA" w:rsidRDefault="00FB2AFE" w:rsidP="001F77B4">
            <w:pPr>
              <w:pStyle w:val="TableText"/>
              <w:spacing w:before="40" w:after="40"/>
              <w:jc w:val="right"/>
              <w:rPr>
                <w:rFonts w:cs="Calibri"/>
                <w:szCs w:val="16"/>
              </w:rPr>
            </w:pPr>
            <w:r w:rsidRPr="009E06AA">
              <w:rPr>
                <w:rFonts w:eastAsia="Calibri" w:cs="Calibri"/>
                <w:szCs w:val="16"/>
              </w:rPr>
              <w:t>4,469.2</w:t>
            </w:r>
          </w:p>
        </w:tc>
        <w:tc>
          <w:tcPr>
            <w:tcW w:w="0" w:type="auto"/>
            <w:shd w:val="clear" w:color="auto" w:fill="FFFFFF"/>
            <w:tcMar>
              <w:top w:w="0" w:type="dxa"/>
              <w:left w:w="85" w:type="dxa"/>
              <w:bottom w:w="0" w:type="dxa"/>
              <w:right w:w="85" w:type="dxa"/>
            </w:tcMar>
          </w:tcPr>
          <w:p w14:paraId="2E805BE4" w14:textId="77777777" w:rsidR="00FB2AFE" w:rsidRPr="009E06AA" w:rsidRDefault="00FB2AFE" w:rsidP="001F77B4">
            <w:pPr>
              <w:pStyle w:val="TableText"/>
              <w:spacing w:before="40" w:after="40"/>
              <w:jc w:val="right"/>
              <w:rPr>
                <w:rFonts w:cs="Calibri"/>
                <w:szCs w:val="16"/>
              </w:rPr>
            </w:pPr>
            <w:r w:rsidRPr="009E06AA">
              <w:rPr>
                <w:rFonts w:eastAsia="Calibri" w:cs="Calibri"/>
                <w:szCs w:val="16"/>
              </w:rPr>
              <w:t>990.9</w:t>
            </w:r>
          </w:p>
        </w:tc>
        <w:tc>
          <w:tcPr>
            <w:tcW w:w="0" w:type="auto"/>
            <w:shd w:val="clear" w:color="auto" w:fill="FFFFFF"/>
            <w:tcMar>
              <w:top w:w="0" w:type="dxa"/>
              <w:left w:w="85" w:type="dxa"/>
              <w:bottom w:w="0" w:type="dxa"/>
              <w:right w:w="85" w:type="dxa"/>
            </w:tcMar>
          </w:tcPr>
          <w:p w14:paraId="0D52012A" w14:textId="77777777" w:rsidR="00FB2AFE" w:rsidRPr="009E06AA" w:rsidRDefault="00FB2AFE" w:rsidP="001F77B4">
            <w:pPr>
              <w:pStyle w:val="TableText"/>
              <w:spacing w:before="40" w:after="40"/>
              <w:jc w:val="right"/>
              <w:rPr>
                <w:rFonts w:cs="Calibri"/>
                <w:szCs w:val="16"/>
              </w:rPr>
            </w:pPr>
            <w:r w:rsidRPr="009E06AA">
              <w:rPr>
                <w:rFonts w:eastAsia="Calibri" w:cs="Calibri"/>
                <w:szCs w:val="16"/>
              </w:rPr>
              <w:t>28.5</w:t>
            </w:r>
          </w:p>
        </w:tc>
      </w:tr>
      <w:tr w:rsidR="00FB2AFE" w:rsidRPr="009E06AA" w14:paraId="7A3300B2" w14:textId="77777777" w:rsidTr="00B55F24">
        <w:tc>
          <w:tcPr>
            <w:tcW w:w="0" w:type="auto"/>
            <w:shd w:val="clear" w:color="auto" w:fill="FFFFFF"/>
            <w:tcMar>
              <w:top w:w="0" w:type="dxa"/>
              <w:left w:w="85" w:type="dxa"/>
              <w:bottom w:w="0" w:type="dxa"/>
              <w:right w:w="85" w:type="dxa"/>
            </w:tcMar>
          </w:tcPr>
          <w:p w14:paraId="01701225" w14:textId="77777777" w:rsidR="00FB2AFE" w:rsidRPr="009E06AA" w:rsidRDefault="00FB2AFE" w:rsidP="00B55F24">
            <w:pPr>
              <w:pStyle w:val="TableText"/>
              <w:spacing w:before="40" w:after="40"/>
              <w:rPr>
                <w:rFonts w:cs="Calibri"/>
                <w:szCs w:val="16"/>
              </w:rPr>
            </w:pPr>
            <w:r w:rsidRPr="009E06AA">
              <w:rPr>
                <w:rFonts w:eastAsia="Calibri" w:cs="Calibri"/>
                <w:szCs w:val="16"/>
              </w:rPr>
              <w:t>Agriculture</w:t>
            </w:r>
          </w:p>
        </w:tc>
        <w:tc>
          <w:tcPr>
            <w:tcW w:w="0" w:type="auto"/>
            <w:shd w:val="clear" w:color="auto" w:fill="FFFFFF"/>
            <w:tcMar>
              <w:top w:w="0" w:type="dxa"/>
              <w:left w:w="85" w:type="dxa"/>
              <w:bottom w:w="0" w:type="dxa"/>
              <w:right w:w="85" w:type="dxa"/>
            </w:tcMar>
          </w:tcPr>
          <w:p w14:paraId="4374D3DB" w14:textId="77777777" w:rsidR="00FB2AFE" w:rsidRPr="009E06AA" w:rsidRDefault="00FB2AFE" w:rsidP="001F77B4">
            <w:pPr>
              <w:pStyle w:val="TableText"/>
              <w:spacing w:before="40" w:after="40"/>
              <w:jc w:val="right"/>
              <w:rPr>
                <w:rFonts w:cs="Calibri"/>
                <w:szCs w:val="16"/>
              </w:rPr>
            </w:pPr>
            <w:r w:rsidRPr="009E06AA">
              <w:rPr>
                <w:rFonts w:eastAsia="Calibri" w:cs="Calibri"/>
                <w:szCs w:val="16"/>
              </w:rPr>
              <w:t>37,121.5</w:t>
            </w:r>
          </w:p>
        </w:tc>
        <w:tc>
          <w:tcPr>
            <w:tcW w:w="0" w:type="auto"/>
            <w:shd w:val="clear" w:color="auto" w:fill="FFFFFF"/>
            <w:tcMar>
              <w:top w:w="0" w:type="dxa"/>
              <w:left w:w="85" w:type="dxa"/>
              <w:bottom w:w="0" w:type="dxa"/>
              <w:right w:w="85" w:type="dxa"/>
            </w:tcMar>
          </w:tcPr>
          <w:p w14:paraId="73F05E29" w14:textId="77777777" w:rsidR="00FB2AFE" w:rsidRPr="009E06AA" w:rsidRDefault="00FB2AFE" w:rsidP="001F77B4">
            <w:pPr>
              <w:pStyle w:val="TableText"/>
              <w:spacing w:before="40" w:after="40"/>
              <w:jc w:val="right"/>
              <w:rPr>
                <w:rFonts w:cs="Calibri"/>
                <w:szCs w:val="16"/>
              </w:rPr>
            </w:pPr>
            <w:r w:rsidRPr="009E06AA">
              <w:rPr>
                <w:rFonts w:eastAsia="Calibri" w:cs="Calibri"/>
                <w:szCs w:val="16"/>
              </w:rPr>
              <w:t>41,712.7</w:t>
            </w:r>
          </w:p>
        </w:tc>
        <w:tc>
          <w:tcPr>
            <w:tcW w:w="0" w:type="auto"/>
            <w:shd w:val="clear" w:color="auto" w:fill="FFFFFF"/>
            <w:tcMar>
              <w:top w:w="0" w:type="dxa"/>
              <w:left w:w="85" w:type="dxa"/>
              <w:bottom w:w="0" w:type="dxa"/>
              <w:right w:w="85" w:type="dxa"/>
            </w:tcMar>
          </w:tcPr>
          <w:p w14:paraId="67593BE2" w14:textId="77777777" w:rsidR="00FB2AFE" w:rsidRPr="009E06AA" w:rsidRDefault="00FB2AFE" w:rsidP="001F77B4">
            <w:pPr>
              <w:pStyle w:val="TableText"/>
              <w:spacing w:before="40" w:after="40"/>
              <w:jc w:val="right"/>
              <w:rPr>
                <w:rFonts w:cs="Calibri"/>
                <w:szCs w:val="16"/>
              </w:rPr>
            </w:pPr>
            <w:r w:rsidRPr="009E06AA">
              <w:rPr>
                <w:rFonts w:eastAsia="Calibri" w:cs="Calibri"/>
                <w:szCs w:val="16"/>
              </w:rPr>
              <w:t>4,591.2</w:t>
            </w:r>
          </w:p>
        </w:tc>
        <w:tc>
          <w:tcPr>
            <w:tcW w:w="0" w:type="auto"/>
            <w:shd w:val="clear" w:color="auto" w:fill="FFFFFF"/>
            <w:tcMar>
              <w:top w:w="0" w:type="dxa"/>
              <w:left w:w="85" w:type="dxa"/>
              <w:bottom w:w="0" w:type="dxa"/>
              <w:right w:w="85" w:type="dxa"/>
            </w:tcMar>
          </w:tcPr>
          <w:p w14:paraId="655B4A01" w14:textId="77777777" w:rsidR="00FB2AFE" w:rsidRPr="009E06AA" w:rsidRDefault="00FB2AFE" w:rsidP="001F77B4">
            <w:pPr>
              <w:pStyle w:val="TableText"/>
              <w:spacing w:before="40" w:after="40"/>
              <w:jc w:val="right"/>
              <w:rPr>
                <w:rFonts w:cs="Calibri"/>
                <w:szCs w:val="16"/>
              </w:rPr>
            </w:pPr>
            <w:r w:rsidRPr="009E06AA">
              <w:rPr>
                <w:rFonts w:eastAsia="Calibri" w:cs="Calibri"/>
                <w:szCs w:val="16"/>
              </w:rPr>
              <w:t>12.4</w:t>
            </w:r>
          </w:p>
        </w:tc>
      </w:tr>
      <w:tr w:rsidR="00FB2AFE" w:rsidRPr="009E06AA" w14:paraId="1C37B58F" w14:textId="77777777" w:rsidTr="00B55F24">
        <w:tc>
          <w:tcPr>
            <w:tcW w:w="0" w:type="auto"/>
            <w:shd w:val="clear" w:color="auto" w:fill="FFFFFF"/>
            <w:tcMar>
              <w:top w:w="0" w:type="dxa"/>
              <w:left w:w="85" w:type="dxa"/>
              <w:bottom w:w="0" w:type="dxa"/>
              <w:right w:w="85" w:type="dxa"/>
            </w:tcMar>
          </w:tcPr>
          <w:p w14:paraId="11AEA1EE" w14:textId="77777777" w:rsidR="00FB2AFE" w:rsidRPr="009E06AA" w:rsidRDefault="00FB2AFE" w:rsidP="00B55F24">
            <w:pPr>
              <w:pStyle w:val="TableText"/>
              <w:spacing w:before="40" w:after="40"/>
              <w:rPr>
                <w:rFonts w:cs="Calibri"/>
                <w:szCs w:val="16"/>
              </w:rPr>
            </w:pPr>
            <w:r w:rsidRPr="009E06AA">
              <w:rPr>
                <w:rFonts w:eastAsia="Calibri" w:cs="Calibri"/>
                <w:szCs w:val="16"/>
              </w:rPr>
              <w:t>Waste</w:t>
            </w:r>
          </w:p>
        </w:tc>
        <w:tc>
          <w:tcPr>
            <w:tcW w:w="0" w:type="auto"/>
            <w:shd w:val="clear" w:color="auto" w:fill="FFFFFF"/>
            <w:tcMar>
              <w:top w:w="0" w:type="dxa"/>
              <w:left w:w="85" w:type="dxa"/>
              <w:bottom w:w="0" w:type="dxa"/>
              <w:right w:w="85" w:type="dxa"/>
            </w:tcMar>
          </w:tcPr>
          <w:p w14:paraId="7386E546" w14:textId="77777777" w:rsidR="00FB2AFE" w:rsidRPr="009E06AA" w:rsidRDefault="00FB2AFE" w:rsidP="001F77B4">
            <w:pPr>
              <w:pStyle w:val="TableText"/>
              <w:spacing w:before="40" w:after="40"/>
              <w:jc w:val="right"/>
              <w:rPr>
                <w:rFonts w:cs="Calibri"/>
                <w:szCs w:val="16"/>
              </w:rPr>
            </w:pPr>
            <w:r w:rsidRPr="009E06AA">
              <w:rPr>
                <w:rFonts w:eastAsia="Calibri" w:cs="Calibri"/>
                <w:szCs w:val="16"/>
              </w:rPr>
              <w:t>4,356.7</w:t>
            </w:r>
          </w:p>
        </w:tc>
        <w:tc>
          <w:tcPr>
            <w:tcW w:w="0" w:type="auto"/>
            <w:shd w:val="clear" w:color="auto" w:fill="FFFFFF"/>
            <w:tcMar>
              <w:top w:w="0" w:type="dxa"/>
              <w:left w:w="85" w:type="dxa"/>
              <w:bottom w:w="0" w:type="dxa"/>
              <w:right w:w="85" w:type="dxa"/>
            </w:tcMar>
          </w:tcPr>
          <w:p w14:paraId="1916A904" w14:textId="77777777" w:rsidR="00FB2AFE" w:rsidRPr="009E06AA" w:rsidRDefault="00FB2AFE" w:rsidP="001F77B4">
            <w:pPr>
              <w:pStyle w:val="TableText"/>
              <w:spacing w:before="40" w:after="40"/>
              <w:jc w:val="right"/>
              <w:rPr>
                <w:rFonts w:cs="Calibri"/>
                <w:szCs w:val="16"/>
              </w:rPr>
            </w:pPr>
            <w:r w:rsidRPr="009E06AA">
              <w:rPr>
                <w:rFonts w:eastAsia="Calibri" w:cs="Calibri"/>
                <w:szCs w:val="16"/>
              </w:rPr>
              <w:t>3,492.7</w:t>
            </w:r>
          </w:p>
        </w:tc>
        <w:tc>
          <w:tcPr>
            <w:tcW w:w="0" w:type="auto"/>
            <w:shd w:val="clear" w:color="auto" w:fill="FFFFFF"/>
            <w:tcMar>
              <w:top w:w="0" w:type="dxa"/>
              <w:left w:w="85" w:type="dxa"/>
              <w:bottom w:w="0" w:type="dxa"/>
              <w:right w:w="85" w:type="dxa"/>
            </w:tcMar>
          </w:tcPr>
          <w:p w14:paraId="155EB83A" w14:textId="77777777" w:rsidR="00FB2AFE" w:rsidRPr="009E06AA" w:rsidRDefault="00FB2AFE" w:rsidP="001F77B4">
            <w:pPr>
              <w:pStyle w:val="TableText"/>
              <w:spacing w:before="40" w:after="40"/>
              <w:jc w:val="right"/>
              <w:rPr>
                <w:rFonts w:cs="Calibri"/>
                <w:szCs w:val="16"/>
              </w:rPr>
            </w:pPr>
            <w:r w:rsidRPr="009E06AA">
              <w:rPr>
                <w:rFonts w:eastAsia="Calibri" w:cs="Calibri"/>
                <w:szCs w:val="16"/>
              </w:rPr>
              <w:t>-864.0</w:t>
            </w:r>
          </w:p>
        </w:tc>
        <w:tc>
          <w:tcPr>
            <w:tcW w:w="0" w:type="auto"/>
            <w:shd w:val="clear" w:color="auto" w:fill="FFFFFF"/>
            <w:tcMar>
              <w:top w:w="0" w:type="dxa"/>
              <w:left w:w="85" w:type="dxa"/>
              <w:bottom w:w="0" w:type="dxa"/>
              <w:right w:w="85" w:type="dxa"/>
            </w:tcMar>
          </w:tcPr>
          <w:p w14:paraId="6DCE3E44" w14:textId="77777777" w:rsidR="00FB2AFE" w:rsidRPr="009E06AA" w:rsidRDefault="00FB2AFE" w:rsidP="001F77B4">
            <w:pPr>
              <w:pStyle w:val="TableText"/>
              <w:spacing w:before="40" w:after="40"/>
              <w:jc w:val="right"/>
              <w:rPr>
                <w:rFonts w:cs="Calibri"/>
                <w:szCs w:val="16"/>
              </w:rPr>
            </w:pPr>
            <w:r w:rsidRPr="009E06AA">
              <w:rPr>
                <w:rFonts w:eastAsia="Calibri" w:cs="Calibri"/>
                <w:szCs w:val="16"/>
              </w:rPr>
              <w:t>-19.8</w:t>
            </w:r>
          </w:p>
        </w:tc>
      </w:tr>
      <w:tr w:rsidR="00FB2AFE" w:rsidRPr="009E06AA" w14:paraId="39592507" w14:textId="77777777" w:rsidTr="00B55F24">
        <w:tc>
          <w:tcPr>
            <w:tcW w:w="0" w:type="auto"/>
            <w:shd w:val="clear" w:color="auto" w:fill="FFFFFF"/>
            <w:tcMar>
              <w:top w:w="0" w:type="dxa"/>
              <w:left w:w="85" w:type="dxa"/>
              <w:bottom w:w="0" w:type="dxa"/>
              <w:right w:w="85" w:type="dxa"/>
            </w:tcMar>
          </w:tcPr>
          <w:p w14:paraId="203CF65C" w14:textId="77777777" w:rsidR="00FB2AFE" w:rsidRPr="009E06AA" w:rsidRDefault="00FB2AFE" w:rsidP="00B55F24">
            <w:pPr>
              <w:pStyle w:val="TableText"/>
              <w:spacing w:before="40" w:after="40"/>
              <w:rPr>
                <w:rFonts w:cs="Calibri"/>
                <w:szCs w:val="16"/>
              </w:rPr>
            </w:pPr>
            <w:r w:rsidRPr="009E06AA">
              <w:rPr>
                <w:rFonts w:eastAsia="Calibri" w:cs="Calibri"/>
                <w:szCs w:val="16"/>
              </w:rPr>
              <w:t>Tokelau</w:t>
            </w:r>
          </w:p>
        </w:tc>
        <w:tc>
          <w:tcPr>
            <w:tcW w:w="0" w:type="auto"/>
            <w:shd w:val="clear" w:color="auto" w:fill="FFFFFF"/>
            <w:tcMar>
              <w:top w:w="0" w:type="dxa"/>
              <w:left w:w="85" w:type="dxa"/>
              <w:bottom w:w="0" w:type="dxa"/>
              <w:right w:w="85" w:type="dxa"/>
            </w:tcMar>
          </w:tcPr>
          <w:p w14:paraId="5DC3DEDE" w14:textId="77777777" w:rsidR="00FB2AFE" w:rsidRPr="009E06AA" w:rsidRDefault="00FB2AFE" w:rsidP="001F77B4">
            <w:pPr>
              <w:pStyle w:val="TableText"/>
              <w:spacing w:before="40" w:after="40"/>
              <w:jc w:val="right"/>
              <w:rPr>
                <w:rFonts w:cs="Calibri"/>
                <w:szCs w:val="16"/>
              </w:rPr>
            </w:pPr>
            <w:r w:rsidRPr="009E06AA">
              <w:rPr>
                <w:rFonts w:eastAsia="Calibri" w:cs="Calibri"/>
                <w:szCs w:val="16"/>
              </w:rPr>
              <w:t>3.4</w:t>
            </w:r>
          </w:p>
        </w:tc>
        <w:tc>
          <w:tcPr>
            <w:tcW w:w="0" w:type="auto"/>
            <w:shd w:val="clear" w:color="auto" w:fill="FFFFFF"/>
            <w:tcMar>
              <w:top w:w="0" w:type="dxa"/>
              <w:left w:w="85" w:type="dxa"/>
              <w:bottom w:w="0" w:type="dxa"/>
              <w:right w:w="85" w:type="dxa"/>
            </w:tcMar>
          </w:tcPr>
          <w:p w14:paraId="3E49D45F" w14:textId="77777777" w:rsidR="00FB2AFE" w:rsidRPr="009E06AA" w:rsidRDefault="00FB2AFE" w:rsidP="001F77B4">
            <w:pPr>
              <w:pStyle w:val="TableText"/>
              <w:spacing w:before="40" w:after="40"/>
              <w:jc w:val="right"/>
              <w:rPr>
                <w:rFonts w:cs="Calibri"/>
                <w:szCs w:val="16"/>
              </w:rPr>
            </w:pPr>
            <w:r w:rsidRPr="009E06AA">
              <w:rPr>
                <w:rFonts w:eastAsia="Calibri" w:cs="Calibri"/>
                <w:szCs w:val="16"/>
              </w:rPr>
              <w:t>4.7</w:t>
            </w:r>
          </w:p>
        </w:tc>
        <w:tc>
          <w:tcPr>
            <w:tcW w:w="0" w:type="auto"/>
            <w:shd w:val="clear" w:color="auto" w:fill="FFFFFF"/>
            <w:tcMar>
              <w:top w:w="0" w:type="dxa"/>
              <w:left w:w="85" w:type="dxa"/>
              <w:bottom w:w="0" w:type="dxa"/>
              <w:right w:w="85" w:type="dxa"/>
            </w:tcMar>
          </w:tcPr>
          <w:p w14:paraId="316525AB" w14:textId="77777777" w:rsidR="00FB2AFE" w:rsidRPr="009E06AA" w:rsidRDefault="00FB2AFE" w:rsidP="001F77B4">
            <w:pPr>
              <w:pStyle w:val="TableText"/>
              <w:spacing w:before="40" w:after="40"/>
              <w:jc w:val="right"/>
              <w:rPr>
                <w:rFonts w:cs="Calibri"/>
                <w:szCs w:val="16"/>
              </w:rPr>
            </w:pPr>
            <w:r w:rsidRPr="009E06AA">
              <w:rPr>
                <w:rFonts w:eastAsia="Calibri" w:cs="Calibri"/>
                <w:szCs w:val="16"/>
              </w:rPr>
              <w:t>1.3</w:t>
            </w:r>
          </w:p>
        </w:tc>
        <w:tc>
          <w:tcPr>
            <w:tcW w:w="0" w:type="auto"/>
            <w:shd w:val="clear" w:color="auto" w:fill="FFFFFF"/>
            <w:tcMar>
              <w:top w:w="0" w:type="dxa"/>
              <w:left w:w="85" w:type="dxa"/>
              <w:bottom w:w="0" w:type="dxa"/>
              <w:right w:w="85" w:type="dxa"/>
            </w:tcMar>
          </w:tcPr>
          <w:p w14:paraId="1062CCD8" w14:textId="77777777" w:rsidR="00FB2AFE" w:rsidRPr="009E06AA" w:rsidRDefault="00FB2AFE" w:rsidP="001F77B4">
            <w:pPr>
              <w:pStyle w:val="TableText"/>
              <w:spacing w:before="40" w:after="40"/>
              <w:jc w:val="right"/>
              <w:rPr>
                <w:rFonts w:cs="Calibri"/>
                <w:szCs w:val="16"/>
              </w:rPr>
            </w:pPr>
            <w:r w:rsidRPr="009E06AA">
              <w:rPr>
                <w:rFonts w:eastAsia="Calibri" w:cs="Calibri"/>
                <w:szCs w:val="16"/>
              </w:rPr>
              <w:t>38.9</w:t>
            </w:r>
          </w:p>
        </w:tc>
      </w:tr>
      <w:tr w:rsidR="00FB2AFE" w:rsidRPr="009E06AA" w14:paraId="29383C64" w14:textId="77777777" w:rsidTr="00B55F24">
        <w:tc>
          <w:tcPr>
            <w:tcW w:w="0" w:type="auto"/>
            <w:shd w:val="clear" w:color="auto" w:fill="FFFFFF"/>
            <w:tcMar>
              <w:top w:w="0" w:type="dxa"/>
              <w:left w:w="85" w:type="dxa"/>
              <w:bottom w:w="0" w:type="dxa"/>
              <w:right w:w="85" w:type="dxa"/>
            </w:tcMar>
          </w:tcPr>
          <w:p w14:paraId="2BEE5DFA" w14:textId="77777777" w:rsidR="00FB2AFE" w:rsidRPr="009E06AA" w:rsidRDefault="00FB2AFE" w:rsidP="00B55F24">
            <w:pPr>
              <w:pStyle w:val="Tableboldblue"/>
              <w:spacing w:before="40" w:after="40"/>
              <w:rPr>
                <w:rFonts w:cs="Calibri"/>
                <w:szCs w:val="16"/>
              </w:rPr>
            </w:pPr>
            <w:r w:rsidRPr="009E06AA">
              <w:rPr>
                <w:rFonts w:eastAsia="Calibri" w:cs="Calibri"/>
                <w:szCs w:val="16"/>
              </w:rPr>
              <w:t>Gross</w:t>
            </w:r>
          </w:p>
        </w:tc>
        <w:tc>
          <w:tcPr>
            <w:tcW w:w="0" w:type="auto"/>
            <w:shd w:val="clear" w:color="auto" w:fill="FFFFFF"/>
            <w:tcMar>
              <w:top w:w="0" w:type="dxa"/>
              <w:left w:w="85" w:type="dxa"/>
              <w:bottom w:w="0" w:type="dxa"/>
              <w:right w:w="85" w:type="dxa"/>
            </w:tcMar>
          </w:tcPr>
          <w:p w14:paraId="729810E4" w14:textId="77777777" w:rsidR="00FB2AFE" w:rsidRPr="009E06AA" w:rsidRDefault="00FB2AFE" w:rsidP="001F77B4">
            <w:pPr>
              <w:pStyle w:val="Tableboldblue"/>
              <w:spacing w:before="40" w:after="40"/>
              <w:jc w:val="right"/>
              <w:rPr>
                <w:rFonts w:cs="Calibri"/>
                <w:szCs w:val="16"/>
              </w:rPr>
            </w:pPr>
            <w:r w:rsidRPr="009E06AA">
              <w:rPr>
                <w:rFonts w:eastAsia="Calibri" w:cs="Calibri"/>
                <w:szCs w:val="16"/>
              </w:rPr>
              <w:t>68,958.2</w:t>
            </w:r>
          </w:p>
        </w:tc>
        <w:tc>
          <w:tcPr>
            <w:tcW w:w="0" w:type="auto"/>
            <w:shd w:val="clear" w:color="auto" w:fill="FFFFFF"/>
            <w:tcMar>
              <w:top w:w="0" w:type="dxa"/>
              <w:left w:w="85" w:type="dxa"/>
              <w:bottom w:w="0" w:type="dxa"/>
              <w:right w:w="85" w:type="dxa"/>
            </w:tcMar>
          </w:tcPr>
          <w:p w14:paraId="4ECCE932" w14:textId="77777777" w:rsidR="00FB2AFE" w:rsidRPr="009E06AA" w:rsidRDefault="00FB2AFE" w:rsidP="001F77B4">
            <w:pPr>
              <w:pStyle w:val="Tableboldblue"/>
              <w:spacing w:before="40" w:after="40"/>
              <w:jc w:val="right"/>
              <w:rPr>
                <w:rFonts w:cs="Calibri"/>
                <w:szCs w:val="16"/>
              </w:rPr>
            </w:pPr>
            <w:r w:rsidRPr="009E06AA">
              <w:rPr>
                <w:rFonts w:eastAsia="Calibri" w:cs="Calibri"/>
                <w:szCs w:val="16"/>
              </w:rPr>
              <w:t>78,395.4</w:t>
            </w:r>
          </w:p>
        </w:tc>
        <w:tc>
          <w:tcPr>
            <w:tcW w:w="0" w:type="auto"/>
            <w:shd w:val="clear" w:color="auto" w:fill="FFFFFF"/>
            <w:tcMar>
              <w:top w:w="0" w:type="dxa"/>
              <w:left w:w="85" w:type="dxa"/>
              <w:bottom w:w="0" w:type="dxa"/>
              <w:right w:w="85" w:type="dxa"/>
            </w:tcMar>
          </w:tcPr>
          <w:p w14:paraId="261B126F" w14:textId="77777777" w:rsidR="00FB2AFE" w:rsidRPr="009E06AA" w:rsidRDefault="00FB2AFE" w:rsidP="001F77B4">
            <w:pPr>
              <w:pStyle w:val="Tableboldblue"/>
              <w:spacing w:before="40" w:after="40"/>
              <w:jc w:val="right"/>
              <w:rPr>
                <w:rFonts w:cs="Calibri"/>
                <w:szCs w:val="16"/>
              </w:rPr>
            </w:pPr>
            <w:r w:rsidRPr="009E06AA">
              <w:rPr>
                <w:rFonts w:eastAsia="Calibri" w:cs="Calibri"/>
                <w:szCs w:val="16"/>
              </w:rPr>
              <w:t>9,437.2</w:t>
            </w:r>
          </w:p>
        </w:tc>
        <w:tc>
          <w:tcPr>
            <w:tcW w:w="0" w:type="auto"/>
            <w:shd w:val="clear" w:color="auto" w:fill="FFFFFF"/>
            <w:tcMar>
              <w:top w:w="0" w:type="dxa"/>
              <w:left w:w="85" w:type="dxa"/>
              <w:bottom w:w="0" w:type="dxa"/>
              <w:right w:w="85" w:type="dxa"/>
            </w:tcMar>
          </w:tcPr>
          <w:p w14:paraId="779EFC0B" w14:textId="77777777" w:rsidR="00FB2AFE" w:rsidRPr="009E06AA" w:rsidRDefault="00FB2AFE" w:rsidP="001F77B4">
            <w:pPr>
              <w:pStyle w:val="Tableboldblue"/>
              <w:spacing w:before="40" w:after="40"/>
              <w:jc w:val="right"/>
              <w:rPr>
                <w:rFonts w:cs="Calibri"/>
                <w:szCs w:val="16"/>
              </w:rPr>
            </w:pPr>
            <w:r w:rsidRPr="009E06AA">
              <w:rPr>
                <w:rFonts w:eastAsia="Calibri" w:cs="Calibri"/>
                <w:szCs w:val="16"/>
              </w:rPr>
              <w:t>13.7</w:t>
            </w:r>
          </w:p>
        </w:tc>
      </w:tr>
      <w:tr w:rsidR="00FB2AFE" w:rsidRPr="009E06AA" w14:paraId="45A31749" w14:textId="77777777" w:rsidTr="00B55F24">
        <w:tc>
          <w:tcPr>
            <w:tcW w:w="0" w:type="auto"/>
            <w:shd w:val="clear" w:color="auto" w:fill="FFFFFF"/>
            <w:tcMar>
              <w:top w:w="0" w:type="dxa"/>
              <w:left w:w="85" w:type="dxa"/>
              <w:bottom w:w="0" w:type="dxa"/>
              <w:right w:w="85" w:type="dxa"/>
            </w:tcMar>
          </w:tcPr>
          <w:p w14:paraId="6D718EAF" w14:textId="77777777" w:rsidR="00FB2AFE" w:rsidRPr="009E06AA" w:rsidRDefault="00FB2AFE" w:rsidP="00B55F24">
            <w:pPr>
              <w:pStyle w:val="TableText"/>
              <w:spacing w:before="40" w:after="40"/>
              <w:rPr>
                <w:rFonts w:cs="Calibri"/>
                <w:szCs w:val="16"/>
              </w:rPr>
            </w:pPr>
            <w:r w:rsidRPr="009E06AA">
              <w:rPr>
                <w:rFonts w:eastAsia="Calibri" w:cs="Calibri"/>
                <w:szCs w:val="16"/>
              </w:rPr>
              <w:t>LULUCF</w:t>
            </w:r>
          </w:p>
        </w:tc>
        <w:tc>
          <w:tcPr>
            <w:tcW w:w="0" w:type="auto"/>
            <w:shd w:val="clear" w:color="auto" w:fill="FFFFFF"/>
            <w:tcMar>
              <w:top w:w="0" w:type="dxa"/>
              <w:left w:w="85" w:type="dxa"/>
              <w:bottom w:w="0" w:type="dxa"/>
              <w:right w:w="85" w:type="dxa"/>
            </w:tcMar>
          </w:tcPr>
          <w:p w14:paraId="387BBEEB" w14:textId="77777777" w:rsidR="00FB2AFE" w:rsidRPr="009E06AA" w:rsidRDefault="00FB2AFE" w:rsidP="001F77B4">
            <w:pPr>
              <w:pStyle w:val="TableText"/>
              <w:spacing w:before="40" w:after="40"/>
              <w:jc w:val="right"/>
              <w:rPr>
                <w:rFonts w:cs="Calibri"/>
                <w:szCs w:val="16"/>
              </w:rPr>
            </w:pPr>
            <w:r w:rsidRPr="009E06AA">
              <w:rPr>
                <w:rFonts w:eastAsia="Calibri" w:cs="Calibri"/>
                <w:szCs w:val="16"/>
              </w:rPr>
              <w:t>-24,324.6</w:t>
            </w:r>
          </w:p>
        </w:tc>
        <w:tc>
          <w:tcPr>
            <w:tcW w:w="0" w:type="auto"/>
            <w:shd w:val="clear" w:color="auto" w:fill="FFFFFF"/>
            <w:tcMar>
              <w:top w:w="0" w:type="dxa"/>
              <w:left w:w="85" w:type="dxa"/>
              <w:bottom w:w="0" w:type="dxa"/>
              <w:right w:w="85" w:type="dxa"/>
            </w:tcMar>
          </w:tcPr>
          <w:p w14:paraId="7E581436" w14:textId="77777777" w:rsidR="00FB2AFE" w:rsidRPr="009E06AA" w:rsidRDefault="00FB2AFE" w:rsidP="001F77B4">
            <w:pPr>
              <w:pStyle w:val="TableText"/>
              <w:spacing w:before="40" w:after="40"/>
              <w:jc w:val="right"/>
              <w:rPr>
                <w:rFonts w:cs="Calibri"/>
                <w:szCs w:val="16"/>
              </w:rPr>
            </w:pPr>
            <w:r w:rsidRPr="009E06AA">
              <w:rPr>
                <w:rFonts w:eastAsia="Calibri" w:cs="Calibri"/>
                <w:szCs w:val="16"/>
              </w:rPr>
              <w:t>-19,238.8</w:t>
            </w:r>
          </w:p>
        </w:tc>
        <w:tc>
          <w:tcPr>
            <w:tcW w:w="0" w:type="auto"/>
            <w:shd w:val="clear" w:color="auto" w:fill="FFFFFF"/>
            <w:tcMar>
              <w:top w:w="0" w:type="dxa"/>
              <w:left w:w="85" w:type="dxa"/>
              <w:bottom w:w="0" w:type="dxa"/>
              <w:right w:w="85" w:type="dxa"/>
            </w:tcMar>
          </w:tcPr>
          <w:p w14:paraId="140C4977" w14:textId="77777777" w:rsidR="00FB2AFE" w:rsidRPr="009E06AA" w:rsidRDefault="00FB2AFE" w:rsidP="001F77B4">
            <w:pPr>
              <w:pStyle w:val="TableText"/>
              <w:spacing w:before="40" w:after="40"/>
              <w:jc w:val="right"/>
              <w:rPr>
                <w:rFonts w:cs="Calibri"/>
                <w:szCs w:val="16"/>
              </w:rPr>
            </w:pPr>
            <w:r w:rsidRPr="009E06AA">
              <w:rPr>
                <w:rFonts w:eastAsia="Calibri" w:cs="Calibri"/>
                <w:szCs w:val="16"/>
              </w:rPr>
              <w:t>5,085.8</w:t>
            </w:r>
          </w:p>
        </w:tc>
        <w:tc>
          <w:tcPr>
            <w:tcW w:w="0" w:type="auto"/>
            <w:shd w:val="clear" w:color="auto" w:fill="FFFFFF"/>
            <w:tcMar>
              <w:top w:w="0" w:type="dxa"/>
              <w:left w:w="85" w:type="dxa"/>
              <w:bottom w:w="0" w:type="dxa"/>
              <w:right w:w="85" w:type="dxa"/>
            </w:tcMar>
          </w:tcPr>
          <w:p w14:paraId="366B18CC" w14:textId="77777777" w:rsidR="00FB2AFE" w:rsidRPr="009E06AA" w:rsidRDefault="00FB2AFE" w:rsidP="001F77B4">
            <w:pPr>
              <w:pStyle w:val="TableText"/>
              <w:spacing w:before="40" w:after="40"/>
              <w:jc w:val="right"/>
              <w:rPr>
                <w:rFonts w:cs="Calibri"/>
                <w:szCs w:val="16"/>
              </w:rPr>
            </w:pPr>
            <w:r w:rsidRPr="009E06AA">
              <w:rPr>
                <w:rFonts w:eastAsia="Calibri" w:cs="Calibri"/>
                <w:szCs w:val="16"/>
              </w:rPr>
              <w:t>20.9</w:t>
            </w:r>
          </w:p>
        </w:tc>
      </w:tr>
      <w:tr w:rsidR="00FB2AFE" w:rsidRPr="009E06AA" w14:paraId="1688E0B1" w14:textId="77777777" w:rsidTr="00B55F24">
        <w:tc>
          <w:tcPr>
            <w:tcW w:w="0" w:type="auto"/>
            <w:shd w:val="clear" w:color="auto" w:fill="FFFFFF"/>
            <w:tcMar>
              <w:top w:w="0" w:type="dxa"/>
              <w:left w:w="85" w:type="dxa"/>
              <w:bottom w:w="0" w:type="dxa"/>
              <w:right w:w="85" w:type="dxa"/>
            </w:tcMar>
          </w:tcPr>
          <w:p w14:paraId="1CC128CF" w14:textId="77777777" w:rsidR="00FB2AFE" w:rsidRPr="009E06AA" w:rsidRDefault="00FB2AFE" w:rsidP="00B55F24">
            <w:pPr>
              <w:pStyle w:val="Tableboldblue"/>
              <w:spacing w:before="40" w:after="40"/>
              <w:rPr>
                <w:rFonts w:cs="Calibri"/>
                <w:szCs w:val="16"/>
              </w:rPr>
            </w:pPr>
            <w:r w:rsidRPr="009E06AA">
              <w:rPr>
                <w:rFonts w:eastAsia="Calibri" w:cs="Calibri"/>
                <w:szCs w:val="16"/>
              </w:rPr>
              <w:t>Net</w:t>
            </w:r>
          </w:p>
        </w:tc>
        <w:tc>
          <w:tcPr>
            <w:tcW w:w="0" w:type="auto"/>
            <w:shd w:val="clear" w:color="auto" w:fill="FFFFFF"/>
            <w:tcMar>
              <w:top w:w="0" w:type="dxa"/>
              <w:left w:w="85" w:type="dxa"/>
              <w:bottom w:w="0" w:type="dxa"/>
              <w:right w:w="85" w:type="dxa"/>
            </w:tcMar>
          </w:tcPr>
          <w:p w14:paraId="39474625" w14:textId="77777777" w:rsidR="00FB2AFE" w:rsidRPr="009E06AA" w:rsidRDefault="00FB2AFE" w:rsidP="001F77B4">
            <w:pPr>
              <w:pStyle w:val="Tableboldblue"/>
              <w:spacing w:before="40" w:after="40"/>
              <w:jc w:val="right"/>
              <w:rPr>
                <w:rFonts w:cs="Calibri"/>
                <w:szCs w:val="16"/>
              </w:rPr>
            </w:pPr>
            <w:r w:rsidRPr="009E06AA">
              <w:rPr>
                <w:rFonts w:eastAsia="Calibri" w:cs="Calibri"/>
                <w:szCs w:val="16"/>
              </w:rPr>
              <w:t>44,633.6</w:t>
            </w:r>
          </w:p>
        </w:tc>
        <w:tc>
          <w:tcPr>
            <w:tcW w:w="0" w:type="auto"/>
            <w:shd w:val="clear" w:color="auto" w:fill="FFFFFF"/>
            <w:tcMar>
              <w:top w:w="0" w:type="dxa"/>
              <w:left w:w="85" w:type="dxa"/>
              <w:bottom w:w="0" w:type="dxa"/>
              <w:right w:w="85" w:type="dxa"/>
            </w:tcMar>
          </w:tcPr>
          <w:p w14:paraId="7E5AD513" w14:textId="77777777" w:rsidR="00FB2AFE" w:rsidRPr="009E06AA" w:rsidRDefault="00FB2AFE" w:rsidP="001F77B4">
            <w:pPr>
              <w:pStyle w:val="Tableboldblue"/>
              <w:spacing w:before="40" w:after="40"/>
              <w:jc w:val="right"/>
              <w:rPr>
                <w:rFonts w:cs="Calibri"/>
                <w:szCs w:val="16"/>
              </w:rPr>
            </w:pPr>
            <w:r w:rsidRPr="009E06AA">
              <w:rPr>
                <w:rFonts w:eastAsia="Calibri" w:cs="Calibri"/>
                <w:szCs w:val="16"/>
              </w:rPr>
              <w:t>59,156.6</w:t>
            </w:r>
          </w:p>
        </w:tc>
        <w:tc>
          <w:tcPr>
            <w:tcW w:w="0" w:type="auto"/>
            <w:shd w:val="clear" w:color="auto" w:fill="FFFFFF"/>
            <w:tcMar>
              <w:top w:w="0" w:type="dxa"/>
              <w:left w:w="85" w:type="dxa"/>
              <w:bottom w:w="0" w:type="dxa"/>
              <w:right w:w="85" w:type="dxa"/>
            </w:tcMar>
          </w:tcPr>
          <w:p w14:paraId="7DAD3FB9" w14:textId="77777777" w:rsidR="00FB2AFE" w:rsidRPr="009E06AA" w:rsidRDefault="00FB2AFE" w:rsidP="001F77B4">
            <w:pPr>
              <w:pStyle w:val="Tableboldblue"/>
              <w:spacing w:before="40" w:after="40"/>
              <w:jc w:val="right"/>
              <w:rPr>
                <w:rFonts w:cs="Calibri"/>
                <w:szCs w:val="16"/>
              </w:rPr>
            </w:pPr>
            <w:r w:rsidRPr="009E06AA">
              <w:rPr>
                <w:rFonts w:eastAsia="Calibri" w:cs="Calibri"/>
                <w:szCs w:val="16"/>
              </w:rPr>
              <w:t>14,523.0</w:t>
            </w:r>
          </w:p>
        </w:tc>
        <w:tc>
          <w:tcPr>
            <w:tcW w:w="0" w:type="auto"/>
            <w:shd w:val="clear" w:color="auto" w:fill="FFFFFF"/>
            <w:tcMar>
              <w:top w:w="0" w:type="dxa"/>
              <w:left w:w="85" w:type="dxa"/>
              <w:bottom w:w="0" w:type="dxa"/>
              <w:right w:w="85" w:type="dxa"/>
            </w:tcMar>
          </w:tcPr>
          <w:p w14:paraId="7A7285ED" w14:textId="77777777" w:rsidR="00FB2AFE" w:rsidRPr="009E06AA" w:rsidRDefault="00FB2AFE" w:rsidP="001F77B4">
            <w:pPr>
              <w:pStyle w:val="Tableboldblue"/>
              <w:spacing w:before="40" w:after="40"/>
              <w:jc w:val="right"/>
              <w:rPr>
                <w:rFonts w:cs="Calibri"/>
                <w:szCs w:val="16"/>
              </w:rPr>
            </w:pPr>
            <w:r w:rsidRPr="009E06AA">
              <w:rPr>
                <w:rFonts w:eastAsia="Calibri" w:cs="Calibri"/>
                <w:szCs w:val="16"/>
              </w:rPr>
              <w:t>32.5</w:t>
            </w:r>
          </w:p>
        </w:tc>
      </w:tr>
    </w:tbl>
    <w:p w14:paraId="1C20A910" w14:textId="77777777" w:rsidR="00FB2AFE" w:rsidRPr="009E06AA" w:rsidRDefault="00FB2AFE" w:rsidP="00FB2AFE">
      <w:pPr>
        <w:pStyle w:val="Noteundertable"/>
      </w:pPr>
      <w:r w:rsidRPr="009E06AA">
        <w:rPr>
          <w:b/>
          <w:bCs/>
        </w:rPr>
        <w:t>Note:</w:t>
      </w:r>
      <w:r w:rsidRPr="009E06AA">
        <w:t xml:space="preserve"> </w:t>
      </w:r>
      <w:r w:rsidRPr="009E06AA">
        <w:tab/>
        <w:t>Net emissions from the LULUCF sector are reported as a negative number because the sector removes more CO</w:t>
      </w:r>
      <w:r w:rsidRPr="009E06AA">
        <w:rPr>
          <w:vertAlign w:val="subscript"/>
        </w:rPr>
        <w:t>2</w:t>
      </w:r>
      <w:r w:rsidRPr="009E06AA">
        <w:t xml:space="preserve"> from the atmosphere than it emits (see chapter 6). Columns may not total due to rounding. Percentages presented are calculated from unrounded values.</w:t>
      </w:r>
    </w:p>
    <w:p w14:paraId="2C029E95" w14:textId="77777777" w:rsidR="00FB2AFE" w:rsidRPr="009E06AA" w:rsidRDefault="00FB2AFE" w:rsidP="00FB2AFE">
      <w:pPr>
        <w:pStyle w:val="BodyText"/>
      </w:pPr>
      <w:r w:rsidRPr="009E06AA">
        <w:t>Figure ES 3.2 presents the emissions estimates for each sector for 1990 and 2022, and the change between 1990 and 2022 estimates in kt CO</w:t>
      </w:r>
      <w:r w:rsidRPr="009E06AA">
        <w:rPr>
          <w:vertAlign w:val="subscript"/>
        </w:rPr>
        <w:t>2</w:t>
      </w:r>
      <w:r w:rsidRPr="009E06AA">
        <w:t>-e.</w:t>
      </w:r>
    </w:p>
    <w:p w14:paraId="7B8A96D0" w14:textId="77777777" w:rsidR="00FB2AFE" w:rsidRPr="009E06AA" w:rsidRDefault="00FB2AFE" w:rsidP="00FB2AFE">
      <w:pPr>
        <w:pStyle w:val="Figure"/>
        <w:spacing w:after="0"/>
      </w:pPr>
      <w:bookmarkStart w:id="29" w:name="_Toc164153986"/>
      <w:r w:rsidRPr="009E06AA">
        <w:rPr>
          <w:bCs/>
        </w:rPr>
        <w:t>Figure ES 3.2</w:t>
      </w:r>
      <w:r w:rsidRPr="009E06AA">
        <w:t xml:space="preserve"> </w:t>
      </w:r>
      <w:r w:rsidRPr="009E06AA">
        <w:tab/>
        <w:t xml:space="preserve">Change in New Zealand’s emissions by sector, comparing </w:t>
      </w:r>
      <w:r w:rsidRPr="009E06AA">
        <w:rPr>
          <w:bCs/>
        </w:rPr>
        <w:t>1990</w:t>
      </w:r>
      <w:r w:rsidRPr="009E06AA">
        <w:t xml:space="preserve"> and </w:t>
      </w:r>
      <w:r w:rsidRPr="009E06AA">
        <w:rPr>
          <w:bCs/>
        </w:rPr>
        <w:t>2022</w:t>
      </w:r>
      <w:bookmarkEnd w:id="29"/>
    </w:p>
    <w:p w14:paraId="0EC89DDB" w14:textId="77777777" w:rsidR="00FB2AFE" w:rsidRPr="009E06AA" w:rsidRDefault="00FB2AFE" w:rsidP="00FB2AFE">
      <w:pPr>
        <w:pStyle w:val="BodyText"/>
        <w:jc w:val="center"/>
      </w:pPr>
      <w:r w:rsidRPr="009E06AA">
        <w:rPr>
          <w:noProof/>
        </w:rPr>
        <w:drawing>
          <wp:inline distT="0" distB="0" distL="0" distR="0" wp14:anchorId="4FCACED8" wp14:editId="326E0445">
            <wp:extent cx="4770894" cy="3564000"/>
            <wp:effectExtent l="0" t="0" r="0" b="0"/>
            <wp:docPr id="1830969114" name="Picture" descr="A graph with different colored bar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830969114" name="Picture" descr="A graph with different colored bars&#10;&#10;Description automatically generated with medium confidence"/>
                    <pic:cNvPicPr>
                      <a:picLocks noChangeAspect="1" noChangeArrowheads="1"/>
                    </pic:cNvPicPr>
                  </pic:nvPicPr>
                  <pic:blipFill rotWithShape="1">
                    <a:blip r:embed="rId23"/>
                    <a:srcRect b="2178"/>
                    <a:stretch/>
                  </pic:blipFill>
                  <pic:spPr bwMode="auto">
                    <a:xfrm>
                      <a:off x="0" y="0"/>
                      <a:ext cx="4770894" cy="3564000"/>
                    </a:xfrm>
                    <a:prstGeom prst="rect">
                      <a:avLst/>
                    </a:prstGeom>
                    <a:noFill/>
                    <a:ln>
                      <a:noFill/>
                    </a:ln>
                    <a:extLst>
                      <a:ext uri="{53640926-AAD7-44D8-BBD7-CCE9431645EC}">
                        <a14:shadowObscured xmlns:a14="http://schemas.microsoft.com/office/drawing/2010/main"/>
                      </a:ext>
                    </a:extLst>
                  </pic:spPr>
                </pic:pic>
              </a:graphicData>
            </a:graphic>
          </wp:inline>
        </w:drawing>
      </w:r>
    </w:p>
    <w:p w14:paraId="415C8A70" w14:textId="77777777" w:rsidR="00FB2AFE" w:rsidRPr="009E06AA" w:rsidRDefault="00FB2AFE" w:rsidP="00FB2AFE">
      <w:pPr>
        <w:pStyle w:val="Noteundertable"/>
        <w:spacing w:after="0"/>
      </w:pPr>
      <w:r w:rsidRPr="009E06AA">
        <w:rPr>
          <w:b/>
          <w:bCs/>
        </w:rPr>
        <w:t>Note:</w:t>
      </w:r>
      <w:r w:rsidRPr="009E06AA">
        <w:t xml:space="preserve"> The Tokelau sector is not visible, due to its small total emissions value.</w:t>
      </w:r>
    </w:p>
    <w:p w14:paraId="1637C727" w14:textId="77777777" w:rsidR="00FB2AFE" w:rsidRPr="009E06AA" w:rsidRDefault="00FB2AFE" w:rsidP="00FB2AFE">
      <w:pPr>
        <w:pStyle w:val="Heading3"/>
        <w:spacing w:before="280"/>
      </w:pPr>
      <w:bookmarkStart w:id="30" w:name="energy-chapter-3"/>
      <w:r w:rsidRPr="009E06AA">
        <w:t>Energy (chapter 3)</w:t>
      </w:r>
    </w:p>
    <w:p w14:paraId="74DFDC2F" w14:textId="77777777" w:rsidR="00FB2AFE" w:rsidRPr="009E06AA" w:rsidRDefault="00FB2AFE" w:rsidP="005E75EE">
      <w:pPr>
        <w:pStyle w:val="Heading4"/>
      </w:pPr>
      <w:bookmarkStart w:id="31" w:name="section-2"/>
      <w:r w:rsidRPr="009E06AA">
        <w:t>2022</w:t>
      </w:r>
    </w:p>
    <w:p w14:paraId="4B0F000B" w14:textId="77777777" w:rsidR="00FB2AFE" w:rsidRPr="009E06AA" w:rsidRDefault="00FB2AFE" w:rsidP="00FB2AFE">
      <w:pPr>
        <w:pStyle w:val="BodyText"/>
        <w:spacing w:before="100" w:after="100"/>
      </w:pPr>
      <w:r w:rsidRPr="009E06AA">
        <w:t>In 2022, emissions from the Energy sector contributed 28,716.1 kt CO</w:t>
      </w:r>
      <w:r w:rsidRPr="009E06AA">
        <w:rPr>
          <w:vertAlign w:val="subscript"/>
        </w:rPr>
        <w:t>2</w:t>
      </w:r>
      <w:r w:rsidRPr="009E06AA">
        <w:t>-e or 36.6 per cent of New Zealand’s gross GHG emissions (see chapter 2, figure 2.2.1).</w:t>
      </w:r>
    </w:p>
    <w:p w14:paraId="19818156" w14:textId="77777777" w:rsidR="00FB2AFE" w:rsidRPr="009E06AA" w:rsidRDefault="00FB2AFE" w:rsidP="00FB2AFE">
      <w:pPr>
        <w:pStyle w:val="BodyText"/>
        <w:spacing w:before="100" w:after="100"/>
      </w:pPr>
      <w:r w:rsidRPr="009E06AA">
        <w:t xml:space="preserve">The largest sources of emissions in the Energy sector were the </w:t>
      </w:r>
      <w:r w:rsidRPr="009E06AA">
        <w:rPr>
          <w:i/>
          <w:iCs/>
        </w:rPr>
        <w:t>Road transportation</w:t>
      </w:r>
      <w:r w:rsidRPr="009E06AA">
        <w:t xml:space="preserve"> category, contributing 12,441.5 kt CO</w:t>
      </w:r>
      <w:r w:rsidRPr="009E06AA">
        <w:rPr>
          <w:vertAlign w:val="subscript"/>
        </w:rPr>
        <w:t>2</w:t>
      </w:r>
      <w:r w:rsidRPr="009E06AA">
        <w:t xml:space="preserve">-e (43.3 per cent), and the </w:t>
      </w:r>
      <w:r w:rsidRPr="009E06AA">
        <w:rPr>
          <w:i/>
          <w:iCs/>
        </w:rPr>
        <w:t>Manufacturing industries and construction</w:t>
      </w:r>
      <w:r w:rsidRPr="009E06AA">
        <w:t xml:space="preserve"> category, contributing 6,098.9 kt CO</w:t>
      </w:r>
      <w:r w:rsidRPr="009E06AA">
        <w:rPr>
          <w:vertAlign w:val="subscript"/>
        </w:rPr>
        <w:t>2</w:t>
      </w:r>
      <w:r w:rsidRPr="009E06AA">
        <w:t>-e (21.2 per cent) to energy emissions.</w:t>
      </w:r>
    </w:p>
    <w:p w14:paraId="184B83D5" w14:textId="77777777" w:rsidR="00FB2AFE" w:rsidRPr="009E06AA" w:rsidRDefault="00FB2AFE" w:rsidP="005E75EE">
      <w:pPr>
        <w:pStyle w:val="Heading4"/>
      </w:pPr>
      <w:bookmarkStart w:id="32" w:name="section-3"/>
      <w:bookmarkEnd w:id="31"/>
      <w:r w:rsidRPr="009E06AA">
        <w:t>1990–2022</w:t>
      </w:r>
    </w:p>
    <w:p w14:paraId="240D2FB6" w14:textId="77777777" w:rsidR="00FB2AFE" w:rsidRPr="009E06AA" w:rsidRDefault="00FB2AFE" w:rsidP="00FB2AFE">
      <w:pPr>
        <w:pStyle w:val="BodyText"/>
        <w:spacing w:before="100" w:after="100"/>
      </w:pPr>
      <w:r w:rsidRPr="009E06AA">
        <w:t>In 2022, emissions from the Energy sector had increased by 19.7 per cent (4,717.8 kt CO</w:t>
      </w:r>
      <w:r w:rsidRPr="009E06AA">
        <w:rPr>
          <w:vertAlign w:val="subscript"/>
        </w:rPr>
        <w:t>2</w:t>
      </w:r>
      <w:r w:rsidRPr="009E06AA">
        <w:t>-e) from the 1990 level of 23,998.3 kt CO</w:t>
      </w:r>
      <w:r w:rsidRPr="009E06AA">
        <w:rPr>
          <w:vertAlign w:val="subscript"/>
        </w:rPr>
        <w:t>2</w:t>
      </w:r>
      <w:r w:rsidRPr="009E06AA">
        <w:t xml:space="preserve">-e. This growth is primarily due to </w:t>
      </w:r>
      <w:r w:rsidRPr="009E06AA">
        <w:rPr>
          <w:i/>
          <w:iCs/>
        </w:rPr>
        <w:t>Road transportation</w:t>
      </w:r>
      <w:r w:rsidRPr="009E06AA">
        <w:t>, which increased by 5,613.9 kt CO</w:t>
      </w:r>
      <w:r w:rsidRPr="009E06AA">
        <w:rPr>
          <w:vertAlign w:val="subscript"/>
        </w:rPr>
        <w:t>2</w:t>
      </w:r>
      <w:r w:rsidRPr="009E06AA">
        <w:t xml:space="preserve">-e (82.2 per cent), </w:t>
      </w:r>
      <w:r w:rsidRPr="009E06AA">
        <w:rPr>
          <w:i/>
          <w:iCs/>
        </w:rPr>
        <w:t>Food processing, beverages and tobacco</w:t>
      </w:r>
      <w:r w:rsidRPr="009E06AA">
        <w:t>, which increased by 1,013.2 kt CO</w:t>
      </w:r>
      <w:r w:rsidRPr="009E06AA">
        <w:rPr>
          <w:vertAlign w:val="subscript"/>
        </w:rPr>
        <w:t>2</w:t>
      </w:r>
      <w:r w:rsidRPr="009E06AA">
        <w:t xml:space="preserve">-e (60.6 per cent), and </w:t>
      </w:r>
      <w:r w:rsidRPr="009E06AA">
        <w:rPr>
          <w:i/>
          <w:iCs/>
        </w:rPr>
        <w:t>Chemicals</w:t>
      </w:r>
      <w:r w:rsidRPr="009E06AA">
        <w:t>, which increased by 728.7 kt CO</w:t>
      </w:r>
      <w:r w:rsidRPr="009E06AA">
        <w:rPr>
          <w:vertAlign w:val="subscript"/>
        </w:rPr>
        <w:t>2</w:t>
      </w:r>
      <w:r w:rsidRPr="009E06AA">
        <w:t>-e (135.9 per cent). The underlying drivers of these increases are often nuanced but key factors include population growth and increased economic activity.</w:t>
      </w:r>
    </w:p>
    <w:p w14:paraId="28EC2ED6" w14:textId="77777777" w:rsidR="00FB2AFE" w:rsidRPr="009E06AA" w:rsidRDefault="00FB2AFE" w:rsidP="00FB2AFE">
      <w:pPr>
        <w:pStyle w:val="BodyText"/>
        <w:spacing w:before="100" w:after="100"/>
      </w:pPr>
      <w:r w:rsidRPr="009E06AA">
        <w:t xml:space="preserve">The category showing the largest decrease since 1990 is </w:t>
      </w:r>
      <w:r w:rsidRPr="009E06AA">
        <w:rPr>
          <w:i/>
          <w:iCs/>
        </w:rPr>
        <w:t>Manufacture of solid fuels and other energy industries</w:t>
      </w:r>
      <w:r w:rsidRPr="009E06AA">
        <w:t>, a historically significant contributor to New Zealand’s emissions. Emissions for this category in 2022 had decreased from the 1990 level by 1,472.9 CO</w:t>
      </w:r>
      <w:r w:rsidRPr="009E06AA">
        <w:rPr>
          <w:vertAlign w:val="subscript"/>
        </w:rPr>
        <w:t>2</w:t>
      </w:r>
      <w:r w:rsidRPr="009E06AA">
        <w:t>-e (85.8 per cent). This decrease is primarily due to the cessation of synthetic gasoline production in 1997.</w:t>
      </w:r>
    </w:p>
    <w:p w14:paraId="07CD99CB" w14:textId="77777777" w:rsidR="00FB2AFE" w:rsidRPr="009E06AA" w:rsidRDefault="00FB2AFE" w:rsidP="005E75EE">
      <w:pPr>
        <w:pStyle w:val="BodyText"/>
        <w:spacing w:before="100" w:after="100"/>
      </w:pPr>
      <w:r w:rsidRPr="009E06AA">
        <w:t>Figure ES 3.1 shows the Energy sector emissions time series from 1990 to 2022. Emissions increased from 1990 to around 2006, before decreasing slightly and then remaining steady until 2019. Since 2019, there has been a decrease in emissions due to the impact of the COVID</w:t>
      </w:r>
      <w:r w:rsidRPr="009E06AA">
        <w:noBreakHyphen/>
        <w:t>19 pandemic and relatively high levels of hydro power generation in 2022.</w:t>
      </w:r>
    </w:p>
    <w:p w14:paraId="7591B03F" w14:textId="77777777" w:rsidR="00FB2AFE" w:rsidRPr="009E06AA" w:rsidRDefault="00FB2AFE" w:rsidP="005E75EE">
      <w:pPr>
        <w:pStyle w:val="Heading4"/>
        <w:spacing w:before="200"/>
      </w:pPr>
      <w:bookmarkStart w:id="33" w:name="section-4"/>
      <w:bookmarkEnd w:id="32"/>
      <w:r w:rsidRPr="009E06AA">
        <w:t>2021–2022</w:t>
      </w:r>
    </w:p>
    <w:p w14:paraId="7123673B" w14:textId="77777777" w:rsidR="00FB2AFE" w:rsidRPr="009E06AA" w:rsidRDefault="00FB2AFE" w:rsidP="005E75EE">
      <w:pPr>
        <w:pStyle w:val="BodyText"/>
        <w:spacing w:before="100" w:after="100"/>
      </w:pPr>
      <w:r w:rsidRPr="009E06AA">
        <w:t>Between 2021 and 2022, emissions from the Energy sector decreased by 2,515.6 kt CO</w:t>
      </w:r>
      <w:r w:rsidRPr="009E06AA">
        <w:rPr>
          <w:vertAlign w:val="subscript"/>
        </w:rPr>
        <w:t>2</w:t>
      </w:r>
      <w:r w:rsidRPr="009E06AA">
        <w:t xml:space="preserve">-e (8.1 per cent). This is primarily due to combined decreases in </w:t>
      </w:r>
      <w:r w:rsidRPr="009E06AA">
        <w:rPr>
          <w:i/>
        </w:rPr>
        <w:t>P</w:t>
      </w:r>
      <w:r w:rsidRPr="009E06AA">
        <w:rPr>
          <w:i/>
          <w:iCs/>
        </w:rPr>
        <w:t>ublic electricity and heat production</w:t>
      </w:r>
      <w:r w:rsidRPr="009E06AA">
        <w:t xml:space="preserve"> (down 1,710.8 kt CO</w:t>
      </w:r>
      <w:r w:rsidRPr="009E06AA">
        <w:rPr>
          <w:vertAlign w:val="subscript"/>
        </w:rPr>
        <w:t>2</w:t>
      </w:r>
      <w:r w:rsidRPr="009E06AA">
        <w:t xml:space="preserve">-e or 38.7 per cent), </w:t>
      </w:r>
      <w:r w:rsidRPr="009E06AA">
        <w:rPr>
          <w:i/>
          <w:iCs/>
        </w:rPr>
        <w:t>Petroleum refining</w:t>
      </w:r>
      <w:r w:rsidRPr="009E06AA">
        <w:t xml:space="preserve"> (down 554.2 kt CO</w:t>
      </w:r>
      <w:r w:rsidRPr="009E06AA">
        <w:rPr>
          <w:vertAlign w:val="subscript"/>
        </w:rPr>
        <w:t>2</w:t>
      </w:r>
      <w:r w:rsidRPr="009E06AA">
        <w:t xml:space="preserve">-e or 75.9 per cent) and </w:t>
      </w:r>
      <w:r w:rsidRPr="009E06AA">
        <w:rPr>
          <w:i/>
          <w:iCs/>
        </w:rPr>
        <w:t>Road transportation</w:t>
      </w:r>
      <w:r w:rsidRPr="009E06AA">
        <w:t xml:space="preserve"> (down 206.0 kt CO</w:t>
      </w:r>
      <w:r w:rsidRPr="009E06AA">
        <w:rPr>
          <w:vertAlign w:val="subscript"/>
        </w:rPr>
        <w:t>2</w:t>
      </w:r>
      <w:r w:rsidRPr="009E06AA">
        <w:t xml:space="preserve">-e or 1.6 per cent). This decrease was partially offset by category 1.A.3.a </w:t>
      </w:r>
      <w:r w:rsidRPr="009E06AA">
        <w:rPr>
          <w:i/>
          <w:iCs/>
        </w:rPr>
        <w:t>Domestic aviation</w:t>
      </w:r>
      <w:r w:rsidRPr="009E06AA">
        <w:t>, which increased by 199.7 kt CO</w:t>
      </w:r>
      <w:r w:rsidRPr="009E06AA">
        <w:rPr>
          <w:vertAlign w:val="subscript"/>
        </w:rPr>
        <w:t>2</w:t>
      </w:r>
      <w:r w:rsidRPr="009E06AA">
        <w:t>-e (24.2 per cent). Further information on these changes is provided under the relevant categories of chapter 3, section 3.2.</w:t>
      </w:r>
    </w:p>
    <w:p w14:paraId="763C367F" w14:textId="77777777" w:rsidR="00FB2AFE" w:rsidRPr="009E06AA" w:rsidRDefault="00FB2AFE" w:rsidP="005E75EE">
      <w:pPr>
        <w:pStyle w:val="BodyText"/>
        <w:spacing w:before="100" w:after="100"/>
      </w:pPr>
      <w:r w:rsidRPr="009E06AA">
        <w:t xml:space="preserve">The 2020 calendar year saw disruption to economic activity in New Zealand, with the effects of the COVID-19 pandemic being felt by the Energy sector throughout the year. The sector saw a rebound during 2021, but consumption remained below pre-2020 levels. </w:t>
      </w:r>
    </w:p>
    <w:p w14:paraId="7F038DE9" w14:textId="77777777" w:rsidR="00FB2AFE" w:rsidRPr="009E06AA" w:rsidRDefault="00FB2AFE" w:rsidP="00FB2AFE">
      <w:pPr>
        <w:pStyle w:val="Heading3"/>
        <w:spacing w:before="320"/>
      </w:pPr>
      <w:bookmarkStart w:id="34" w:name="ippu-chapter-4"/>
      <w:bookmarkEnd w:id="30"/>
      <w:bookmarkEnd w:id="33"/>
      <w:r w:rsidRPr="009E06AA">
        <w:t>IPPU (chapter 4)</w:t>
      </w:r>
    </w:p>
    <w:p w14:paraId="46681383" w14:textId="77777777" w:rsidR="00FB2AFE" w:rsidRPr="009E06AA" w:rsidRDefault="00FB2AFE" w:rsidP="005E75EE">
      <w:pPr>
        <w:pStyle w:val="Heading4"/>
        <w:spacing w:before="180"/>
      </w:pPr>
      <w:bookmarkStart w:id="35" w:name="section-5"/>
      <w:r w:rsidRPr="009E06AA">
        <w:t>2022</w:t>
      </w:r>
    </w:p>
    <w:p w14:paraId="21C169C6" w14:textId="77777777" w:rsidR="00FB2AFE" w:rsidRPr="009E06AA" w:rsidRDefault="00FB2AFE" w:rsidP="00FB2AFE">
      <w:pPr>
        <w:pStyle w:val="BodyText"/>
        <w:spacing w:before="100" w:after="100"/>
      </w:pPr>
      <w:r w:rsidRPr="009E06AA">
        <w:t>In 2022, emissions in the IPPU sector contributed 4,469.2 kt CO</w:t>
      </w:r>
      <w:r w:rsidRPr="009E06AA">
        <w:rPr>
          <w:vertAlign w:val="subscript"/>
        </w:rPr>
        <w:t>2</w:t>
      </w:r>
      <w:r w:rsidRPr="009E06AA">
        <w:t>-e, or 5.7 per cent, of New Zealand’s gross greenhouse gas emissions.</w:t>
      </w:r>
    </w:p>
    <w:p w14:paraId="14039AF6" w14:textId="77777777" w:rsidR="00FB2AFE" w:rsidRPr="009E06AA" w:rsidRDefault="00FB2AFE" w:rsidP="00FB2AFE">
      <w:pPr>
        <w:pStyle w:val="BodyText"/>
        <w:spacing w:before="100" w:after="100"/>
      </w:pPr>
      <w:r w:rsidRPr="009E06AA">
        <w:t xml:space="preserve">The largest category is the </w:t>
      </w:r>
      <w:r w:rsidRPr="009E06AA">
        <w:rPr>
          <w:i/>
          <w:iCs/>
        </w:rPr>
        <w:t>Metal industry</w:t>
      </w:r>
      <w:r w:rsidRPr="009E06AA">
        <w:t>, with substantial CO</w:t>
      </w:r>
      <w:r w:rsidRPr="009E06AA">
        <w:rPr>
          <w:vertAlign w:val="subscript"/>
        </w:rPr>
        <w:t>2</w:t>
      </w:r>
      <w:r w:rsidRPr="009E06AA">
        <w:t xml:space="preserve"> emissions from the </w:t>
      </w:r>
      <w:r w:rsidRPr="009E06AA">
        <w:rPr>
          <w:i/>
          <w:iCs/>
        </w:rPr>
        <w:t>Iron and steel production</w:t>
      </w:r>
      <w:r w:rsidRPr="009E06AA">
        <w:t xml:space="preserve"> and </w:t>
      </w:r>
      <w:r w:rsidRPr="009E06AA">
        <w:rPr>
          <w:i/>
          <w:iCs/>
        </w:rPr>
        <w:t>Aluminium production</w:t>
      </w:r>
      <w:r w:rsidRPr="009E06AA">
        <w:t xml:space="preserve"> categories, as well as PFCs from the </w:t>
      </w:r>
      <w:r w:rsidRPr="009E06AA">
        <w:rPr>
          <w:i/>
          <w:iCs/>
        </w:rPr>
        <w:t>Aluminium production</w:t>
      </w:r>
      <w:r w:rsidRPr="009E06AA">
        <w:t xml:space="preserve"> category in earlier years. The </w:t>
      </w:r>
      <w:r w:rsidRPr="009E06AA">
        <w:rPr>
          <w:i/>
          <w:iCs/>
        </w:rPr>
        <w:t>Mineral industry</w:t>
      </w:r>
      <w:r w:rsidRPr="009E06AA">
        <w:t xml:space="preserve"> and </w:t>
      </w:r>
      <w:r w:rsidRPr="009E06AA">
        <w:rPr>
          <w:i/>
          <w:iCs/>
        </w:rPr>
        <w:t>Chemical industry</w:t>
      </w:r>
      <w:r w:rsidRPr="009E06AA">
        <w:t xml:space="preserve"> categories also contribute significant CO</w:t>
      </w:r>
      <w:r w:rsidRPr="009E06AA">
        <w:rPr>
          <w:vertAlign w:val="subscript"/>
        </w:rPr>
        <w:t>2</w:t>
      </w:r>
      <w:r w:rsidRPr="009E06AA">
        <w:t xml:space="preserve"> emissions, and most of the non-CO</w:t>
      </w:r>
      <w:r w:rsidRPr="009E06AA">
        <w:rPr>
          <w:vertAlign w:val="subscript"/>
        </w:rPr>
        <w:t>2</w:t>
      </w:r>
      <w:r w:rsidRPr="009E06AA">
        <w:t xml:space="preserve"> emissions come from the </w:t>
      </w:r>
      <w:r w:rsidRPr="009E06AA">
        <w:rPr>
          <w:i/>
          <w:iCs/>
        </w:rPr>
        <w:t>Product uses as substitutes for ODS</w:t>
      </w:r>
      <w:r w:rsidRPr="009E06AA">
        <w:t xml:space="preserve"> category.</w:t>
      </w:r>
    </w:p>
    <w:p w14:paraId="695C9486" w14:textId="77777777" w:rsidR="00FB2AFE" w:rsidRPr="009E06AA" w:rsidRDefault="00FB2AFE" w:rsidP="00FB2AFE">
      <w:pPr>
        <w:pStyle w:val="BodyText"/>
        <w:spacing w:before="100" w:after="100"/>
      </w:pPr>
      <w:r w:rsidRPr="009E06AA">
        <w:t>The IPPU sector also produces smaller amounts of CH</w:t>
      </w:r>
      <w:r w:rsidRPr="009E06AA">
        <w:rPr>
          <w:vertAlign w:val="subscript"/>
        </w:rPr>
        <w:t>4</w:t>
      </w:r>
      <w:r w:rsidRPr="009E06AA">
        <w:t xml:space="preserve"> from methanol production and N</w:t>
      </w:r>
      <w:r w:rsidRPr="009E06AA">
        <w:rPr>
          <w:vertAlign w:val="subscript"/>
        </w:rPr>
        <w:t>2</w:t>
      </w:r>
      <w:r w:rsidRPr="009E06AA">
        <w:t xml:space="preserve">O used for medical applications in the </w:t>
      </w:r>
      <w:r w:rsidRPr="009E06AA">
        <w:rPr>
          <w:i/>
          <w:iCs/>
        </w:rPr>
        <w:t>Other product manufacture and use</w:t>
      </w:r>
      <w:r w:rsidRPr="009E06AA">
        <w:t xml:space="preserve"> category.</w:t>
      </w:r>
    </w:p>
    <w:p w14:paraId="1FBACB9F" w14:textId="77777777" w:rsidR="00FB2AFE" w:rsidRPr="009E06AA" w:rsidRDefault="00FB2AFE" w:rsidP="00FB2AFE">
      <w:pPr>
        <w:pStyle w:val="BodyText"/>
        <w:spacing w:before="100" w:after="100"/>
      </w:pPr>
      <w:r w:rsidRPr="009E06AA">
        <w:t xml:space="preserve">Coal and natural gas are also used on a significant scale for energy in these industries, and related emissions are reported under the Energy sector in the category </w:t>
      </w:r>
      <w:r w:rsidRPr="009E06AA">
        <w:rPr>
          <w:i/>
          <w:iCs/>
        </w:rPr>
        <w:t>Manufacturing industries and construction</w:t>
      </w:r>
      <w:r w:rsidRPr="009E06AA">
        <w:t>.</w:t>
      </w:r>
    </w:p>
    <w:p w14:paraId="5C225EAA" w14:textId="77777777" w:rsidR="00FB2AFE" w:rsidRPr="009E06AA" w:rsidRDefault="00FB2AFE" w:rsidP="005E75EE">
      <w:pPr>
        <w:pStyle w:val="Heading4"/>
      </w:pPr>
      <w:bookmarkStart w:id="36" w:name="section-6"/>
      <w:bookmarkEnd w:id="35"/>
      <w:r w:rsidRPr="009E06AA">
        <w:t>1990–2022</w:t>
      </w:r>
    </w:p>
    <w:p w14:paraId="2D9679AC" w14:textId="77777777" w:rsidR="00FB2AFE" w:rsidRPr="009E06AA" w:rsidRDefault="00FB2AFE" w:rsidP="00FB2AFE">
      <w:pPr>
        <w:pStyle w:val="BodyText"/>
        <w:spacing w:before="100" w:after="100"/>
      </w:pPr>
      <w:r w:rsidRPr="009E06AA">
        <w:t>Emissions from the IPPU sector in 2022 were 990.9 kt CO</w:t>
      </w:r>
      <w:r w:rsidRPr="009E06AA">
        <w:rPr>
          <w:vertAlign w:val="subscript"/>
        </w:rPr>
        <w:t>2</w:t>
      </w:r>
      <w:r w:rsidRPr="009E06AA">
        <w:t>-e (28.5 per cent) higher than emissions in 1990 (3,478.2 kt CO</w:t>
      </w:r>
      <w:r w:rsidRPr="009E06AA">
        <w:rPr>
          <w:vertAlign w:val="subscript"/>
        </w:rPr>
        <w:t>2</w:t>
      </w:r>
      <w:r w:rsidRPr="009E06AA">
        <w:t xml:space="preserve">-e). This increase was mainly driven by increasing emissions from the </w:t>
      </w:r>
      <w:r w:rsidRPr="009E06AA">
        <w:rPr>
          <w:i/>
          <w:iCs/>
        </w:rPr>
        <w:t>Product uses as substitutes for ODS</w:t>
      </w:r>
      <w:r w:rsidRPr="009E06AA">
        <w:t xml:space="preserve"> category, due to the introduction of HFCs to replace ODS in refrigeration and air conditioning, and the increased use of household and commercial air conditioning.</w:t>
      </w:r>
    </w:p>
    <w:p w14:paraId="00C69421" w14:textId="77777777" w:rsidR="00FB2AFE" w:rsidRPr="009E06AA" w:rsidRDefault="00FB2AFE" w:rsidP="00FB2AFE">
      <w:pPr>
        <w:pStyle w:val="BodyText"/>
        <w:spacing w:before="100" w:after="100"/>
      </w:pPr>
      <w:r w:rsidRPr="009E06AA">
        <w:t xml:space="preserve">Carbon dioxide emissions have also increased due largely to increased production of aluminium and lime, but at a slower rate. Between 2020 and 2022 the increase was offset by reduced emissions due to COVID-19 restrictions and the progressive shutdown of the Marsden Point Oil Refinery. There has been a substantial reduction in emissions of PFCs due to improved management of anode effects in the </w:t>
      </w:r>
      <w:r w:rsidRPr="009E06AA">
        <w:rPr>
          <w:i/>
          <w:iCs/>
        </w:rPr>
        <w:t>Aluminium production</w:t>
      </w:r>
      <w:r w:rsidRPr="009E06AA">
        <w:t xml:space="preserve"> category and some reduction in emissions of N</w:t>
      </w:r>
      <w:r w:rsidRPr="009E06AA">
        <w:rPr>
          <w:vertAlign w:val="subscript"/>
        </w:rPr>
        <w:t>2</w:t>
      </w:r>
      <w:r w:rsidRPr="009E06AA">
        <w:t xml:space="preserve">O used for medical applications in the </w:t>
      </w:r>
      <w:r w:rsidRPr="009E06AA">
        <w:rPr>
          <w:i/>
          <w:iCs/>
        </w:rPr>
        <w:t>Other product manufacture and use</w:t>
      </w:r>
      <w:r w:rsidRPr="009E06AA">
        <w:t xml:space="preserve"> category.</w:t>
      </w:r>
    </w:p>
    <w:p w14:paraId="5D2D64E4" w14:textId="77777777" w:rsidR="00FB2AFE" w:rsidRPr="009E06AA" w:rsidRDefault="00FB2AFE" w:rsidP="005E75EE">
      <w:pPr>
        <w:pStyle w:val="Heading4"/>
      </w:pPr>
      <w:bookmarkStart w:id="37" w:name="section-7"/>
      <w:bookmarkEnd w:id="36"/>
      <w:r w:rsidRPr="009E06AA">
        <w:t>2021–2022</w:t>
      </w:r>
    </w:p>
    <w:p w14:paraId="318473CB" w14:textId="77777777" w:rsidR="00FB2AFE" w:rsidRPr="009E06AA" w:rsidRDefault="00FB2AFE" w:rsidP="00FB2AFE">
      <w:pPr>
        <w:pStyle w:val="BodyText"/>
      </w:pPr>
      <w:r w:rsidRPr="009E06AA">
        <w:t>Between 2021 and 2022, emissions from the IPPU sector decreased by 239.2 kt CO</w:t>
      </w:r>
      <w:r w:rsidRPr="009E06AA">
        <w:rPr>
          <w:vertAlign w:val="subscript"/>
        </w:rPr>
        <w:t>2</w:t>
      </w:r>
      <w:r w:rsidRPr="009E06AA">
        <w:t>-e (5.1 per cent).</w:t>
      </w:r>
    </w:p>
    <w:p w14:paraId="415B0671" w14:textId="77777777" w:rsidR="00FB2AFE" w:rsidRPr="009E06AA" w:rsidRDefault="00FB2AFE" w:rsidP="00FB2AFE">
      <w:pPr>
        <w:pStyle w:val="BodyText"/>
      </w:pPr>
      <w:r w:rsidRPr="009E06AA">
        <w:t xml:space="preserve">This change was mainly the result of a decreased level of steel production in the </w:t>
      </w:r>
      <w:r w:rsidRPr="009E06AA">
        <w:rPr>
          <w:i/>
          <w:iCs/>
        </w:rPr>
        <w:t>Metal industry</w:t>
      </w:r>
      <w:r w:rsidRPr="009E06AA">
        <w:t xml:space="preserve"> category, decreased emissions from the </w:t>
      </w:r>
      <w:r w:rsidRPr="009E06AA">
        <w:rPr>
          <w:i/>
          <w:iCs/>
        </w:rPr>
        <w:t>Refrigeration and air conditioning</w:t>
      </w:r>
      <w:r w:rsidRPr="009E06AA">
        <w:t xml:space="preserve"> category, and decreased emissions in the </w:t>
      </w:r>
      <w:r w:rsidRPr="009E06AA">
        <w:rPr>
          <w:i/>
          <w:iCs/>
        </w:rPr>
        <w:t>Chemical industry</w:t>
      </w:r>
      <w:r w:rsidRPr="009E06AA">
        <w:t xml:space="preserve"> category due to the ceasing of hydrogen production from Marsden Point Oil Refinery when the company shut the plant down in March 2022.</w:t>
      </w:r>
    </w:p>
    <w:p w14:paraId="5C12F2C4" w14:textId="77777777" w:rsidR="00FB2AFE" w:rsidRPr="009E06AA" w:rsidRDefault="00FB2AFE" w:rsidP="00FB2AFE">
      <w:pPr>
        <w:pStyle w:val="Heading3"/>
      </w:pPr>
      <w:bookmarkStart w:id="38" w:name="agriculture-chapter-5"/>
      <w:bookmarkEnd w:id="34"/>
      <w:bookmarkEnd w:id="37"/>
      <w:r w:rsidRPr="009E06AA">
        <w:t>Agriculture (chapter 5)</w:t>
      </w:r>
    </w:p>
    <w:p w14:paraId="5DF8419D" w14:textId="77777777" w:rsidR="00FB2AFE" w:rsidRPr="009E06AA" w:rsidRDefault="00FB2AFE" w:rsidP="005E75EE">
      <w:pPr>
        <w:pStyle w:val="Heading4"/>
      </w:pPr>
      <w:bookmarkStart w:id="39" w:name="section-8"/>
      <w:r w:rsidRPr="009E06AA">
        <w:t>2022</w:t>
      </w:r>
    </w:p>
    <w:p w14:paraId="17F9F9E8" w14:textId="77777777" w:rsidR="00FB2AFE" w:rsidRPr="009E06AA" w:rsidRDefault="00FB2AFE" w:rsidP="00FB2AFE">
      <w:pPr>
        <w:pStyle w:val="BodyText"/>
      </w:pPr>
      <w:r w:rsidRPr="009E06AA">
        <w:t>In 2022, emissions from the Agriculture sector totalled 41,712.7 kt CO</w:t>
      </w:r>
      <w:r w:rsidRPr="009E06AA">
        <w:rPr>
          <w:vertAlign w:val="subscript"/>
        </w:rPr>
        <w:t>2</w:t>
      </w:r>
      <w:r w:rsidRPr="009E06AA">
        <w:t>-e, representing 53.2 per cent of New Zealand’s gross emissions in 2022.</w:t>
      </w:r>
    </w:p>
    <w:p w14:paraId="6BF4F2E6" w14:textId="77777777" w:rsidR="00FB2AFE" w:rsidRPr="009E06AA" w:rsidRDefault="00FB2AFE" w:rsidP="00FB2AFE">
      <w:pPr>
        <w:pStyle w:val="BodyText"/>
      </w:pPr>
      <w:r w:rsidRPr="009E06AA">
        <w:rPr>
          <w:i/>
          <w:iCs/>
        </w:rPr>
        <w:t>Enteric fermentation</w:t>
      </w:r>
      <w:r w:rsidRPr="009E06AA">
        <w:t xml:space="preserve"> was the main source of Agriculture emissions, contributing 78.2 per cent (32,617.2 kt CO</w:t>
      </w:r>
      <w:r w:rsidRPr="009E06AA">
        <w:rPr>
          <w:vertAlign w:val="subscript"/>
        </w:rPr>
        <w:t>2</w:t>
      </w:r>
      <w:r w:rsidRPr="009E06AA">
        <w:t xml:space="preserve">-e) of the sector’s total. </w:t>
      </w:r>
      <w:r w:rsidRPr="009E06AA">
        <w:rPr>
          <w:i/>
          <w:iCs/>
        </w:rPr>
        <w:t>Agricultural soils</w:t>
      </w:r>
      <w:r w:rsidRPr="009E06AA">
        <w:t xml:space="preserve"> (15.2 per cent) were the second-largest source followed by </w:t>
      </w:r>
      <w:r w:rsidRPr="009E06AA">
        <w:rPr>
          <w:i/>
          <w:iCs/>
        </w:rPr>
        <w:t>Manure management</w:t>
      </w:r>
      <w:r w:rsidRPr="009E06AA">
        <w:t xml:space="preserve"> (4.6 per cent). </w:t>
      </w:r>
      <w:r w:rsidRPr="009E06AA">
        <w:rPr>
          <w:i/>
          <w:iCs/>
        </w:rPr>
        <w:t>Urea application</w:t>
      </w:r>
      <w:r w:rsidRPr="009E06AA">
        <w:t xml:space="preserve"> and </w:t>
      </w:r>
      <w:r w:rsidRPr="009E06AA">
        <w:rPr>
          <w:i/>
          <w:iCs/>
        </w:rPr>
        <w:t>Liming</w:t>
      </w:r>
      <w:r w:rsidRPr="009E06AA">
        <w:t xml:space="preserve"> contributed 1.0 per cent and 1.1 per cent respectively. </w:t>
      </w:r>
      <w:r w:rsidRPr="009E06AA">
        <w:rPr>
          <w:i/>
          <w:iCs/>
        </w:rPr>
        <w:t>Field burning of agricultural residues</w:t>
      </w:r>
      <w:r w:rsidRPr="009E06AA">
        <w:t xml:space="preserve"> contributed the remaining 0.1 per cent.</w:t>
      </w:r>
    </w:p>
    <w:p w14:paraId="2F17558C" w14:textId="77777777" w:rsidR="00FB2AFE" w:rsidRPr="009E06AA" w:rsidRDefault="00FB2AFE" w:rsidP="00FB2AFE">
      <w:pPr>
        <w:pStyle w:val="BodyText"/>
      </w:pPr>
      <w:r w:rsidRPr="009E06AA">
        <w:t xml:space="preserve">Methane emissions from </w:t>
      </w:r>
      <w:r w:rsidRPr="009E06AA">
        <w:rPr>
          <w:i/>
          <w:iCs/>
        </w:rPr>
        <w:t>Enteric fermentation</w:t>
      </w:r>
      <w:r w:rsidRPr="009E06AA">
        <w:t xml:space="preserve"> contributed 41.6 per cent (32,617.2 kt CO</w:t>
      </w:r>
      <w:r w:rsidRPr="009E06AA">
        <w:rPr>
          <w:vertAlign w:val="subscript"/>
        </w:rPr>
        <w:t>2</w:t>
      </w:r>
      <w:r w:rsidRPr="009E06AA">
        <w:t>-e) of New Zealand’s gross emissions, and N</w:t>
      </w:r>
      <w:r w:rsidRPr="009E06AA">
        <w:rPr>
          <w:vertAlign w:val="subscript"/>
        </w:rPr>
        <w:t>2</w:t>
      </w:r>
      <w:r w:rsidRPr="009E06AA">
        <w:t xml:space="preserve">O emissions from the </w:t>
      </w:r>
      <w:r w:rsidRPr="009E06AA">
        <w:rPr>
          <w:i/>
          <w:iCs/>
        </w:rPr>
        <w:t>Agricultural soils</w:t>
      </w:r>
      <w:r w:rsidRPr="009E06AA">
        <w:t xml:space="preserve"> category contributed 8.1 per cent (6,322.5 kt CO</w:t>
      </w:r>
      <w:r w:rsidRPr="009E06AA">
        <w:rPr>
          <w:vertAlign w:val="subscript"/>
        </w:rPr>
        <w:t>2</w:t>
      </w:r>
      <w:r w:rsidRPr="009E06AA">
        <w:t>-e) of New Zealand’s gross emissions.</w:t>
      </w:r>
    </w:p>
    <w:p w14:paraId="2D39963B" w14:textId="77777777" w:rsidR="00FB2AFE" w:rsidRPr="009E06AA" w:rsidRDefault="00FB2AFE" w:rsidP="005E75EE">
      <w:pPr>
        <w:pStyle w:val="Heading4"/>
      </w:pPr>
      <w:bookmarkStart w:id="40" w:name="section-9"/>
      <w:bookmarkEnd w:id="39"/>
      <w:r w:rsidRPr="009E06AA">
        <w:t>1990–2022</w:t>
      </w:r>
    </w:p>
    <w:p w14:paraId="15451C05" w14:textId="77777777" w:rsidR="00FB2AFE" w:rsidRPr="009E06AA" w:rsidRDefault="00FB2AFE" w:rsidP="00FB2AFE">
      <w:pPr>
        <w:pStyle w:val="BodyText"/>
      </w:pPr>
      <w:r w:rsidRPr="009E06AA">
        <w:t>In 2022, New Zealand’s Agriculture sector emissions were 12.4 per cent (4,591.2 kt CO</w:t>
      </w:r>
      <w:r w:rsidRPr="009E06AA">
        <w:rPr>
          <w:vertAlign w:val="subscript"/>
        </w:rPr>
        <w:t>2</w:t>
      </w:r>
      <w:r w:rsidRPr="009E06AA">
        <w:t>-e) above the 1990 level of 37,121.5 kt CO</w:t>
      </w:r>
      <w:r w:rsidRPr="009E06AA">
        <w:rPr>
          <w:vertAlign w:val="subscript"/>
        </w:rPr>
        <w:t>2</w:t>
      </w:r>
      <w:r w:rsidRPr="009E06AA">
        <w:t>-e.</w:t>
      </w:r>
    </w:p>
    <w:p w14:paraId="1750A357" w14:textId="77777777" w:rsidR="00FB2AFE" w:rsidRPr="009E06AA" w:rsidRDefault="00FB2AFE" w:rsidP="00FB2AFE">
      <w:pPr>
        <w:pStyle w:val="BodyText"/>
      </w:pPr>
      <w:r w:rsidRPr="009E06AA">
        <w:t>The greatest absolute contributions to the increase since 1990 were a 1,653.5 kt CO</w:t>
      </w:r>
      <w:r w:rsidRPr="009E06AA">
        <w:rPr>
          <w:vertAlign w:val="subscript"/>
        </w:rPr>
        <w:t>2</w:t>
      </w:r>
      <w:r w:rsidRPr="009E06AA">
        <w:t xml:space="preserve">-e (35.4 per cent) increase in emissions from </w:t>
      </w:r>
      <w:r w:rsidRPr="009E06AA">
        <w:rPr>
          <w:i/>
          <w:iCs/>
        </w:rPr>
        <w:t>Agricultural soils</w:t>
      </w:r>
      <w:r w:rsidRPr="009E06AA">
        <w:t xml:space="preserve"> and a 1,404.7 kt CO</w:t>
      </w:r>
      <w:r w:rsidRPr="009E06AA">
        <w:rPr>
          <w:vertAlign w:val="subscript"/>
        </w:rPr>
        <w:t>2</w:t>
      </w:r>
      <w:r w:rsidRPr="009E06AA">
        <w:t xml:space="preserve">-e (4.5 per cent) increase in emissions from </w:t>
      </w:r>
      <w:r w:rsidRPr="009E06AA">
        <w:rPr>
          <w:i/>
          <w:iCs/>
        </w:rPr>
        <w:t>Enteric fermentation</w:t>
      </w:r>
      <w:r w:rsidRPr="009E06AA">
        <w:t>.</w:t>
      </w:r>
    </w:p>
    <w:p w14:paraId="0B970AF0" w14:textId="77777777" w:rsidR="00FB2AFE" w:rsidRPr="009E06AA" w:rsidRDefault="00FB2AFE" w:rsidP="00FB2AFE">
      <w:pPr>
        <w:pStyle w:val="BodyText"/>
      </w:pPr>
      <w:r w:rsidRPr="009E06AA">
        <w:t>The increase in N</w:t>
      </w:r>
      <w:r w:rsidRPr="009E06AA">
        <w:rPr>
          <w:vertAlign w:val="subscript"/>
        </w:rPr>
        <w:t>2</w:t>
      </w:r>
      <w:r w:rsidRPr="009E06AA">
        <w:t xml:space="preserve">O emissions from </w:t>
      </w:r>
      <w:r w:rsidRPr="009E06AA">
        <w:rPr>
          <w:i/>
          <w:iCs/>
        </w:rPr>
        <w:t>Agricultural soils</w:t>
      </w:r>
      <w:r w:rsidRPr="009E06AA">
        <w:t xml:space="preserve"> was primarily a result of increased application of synthetic nitrogen fertiliser by 465 per cent since 1990. This is partly due to an increase in dairy farming, as well as increased use on other farm types. The emissions from synthetic nitrogen fertiliser use (N</w:t>
      </w:r>
      <w:r w:rsidRPr="009E06AA">
        <w:rPr>
          <w:vertAlign w:val="subscript"/>
        </w:rPr>
        <w:t>2</w:t>
      </w:r>
      <w:r w:rsidRPr="009E06AA">
        <w:t>O) increased by 915.8 kt CO</w:t>
      </w:r>
      <w:r w:rsidRPr="009E06AA">
        <w:rPr>
          <w:vertAlign w:val="subscript"/>
        </w:rPr>
        <w:t>2</w:t>
      </w:r>
      <w:r w:rsidRPr="009E06AA">
        <w:t xml:space="preserve">-e between 1990 and 2022. This is 55.4 per cent of the total increase in emissions from </w:t>
      </w:r>
      <w:r w:rsidRPr="009E06AA">
        <w:rPr>
          <w:i/>
          <w:iCs/>
        </w:rPr>
        <w:t>Agricultural soils</w:t>
      </w:r>
      <w:r w:rsidRPr="009E06AA">
        <w:t>.</w:t>
      </w:r>
    </w:p>
    <w:p w14:paraId="3C8B53DB" w14:textId="77777777" w:rsidR="00FB2AFE" w:rsidRPr="009E06AA" w:rsidRDefault="00FB2AFE" w:rsidP="00FB2AFE">
      <w:pPr>
        <w:pStyle w:val="BodyText"/>
      </w:pPr>
      <w:r w:rsidRPr="009E06AA">
        <w:t xml:space="preserve">The increase in emissions from </w:t>
      </w:r>
      <w:r w:rsidRPr="009E06AA">
        <w:rPr>
          <w:i/>
          <w:iCs/>
        </w:rPr>
        <w:t>Enteric fermentation</w:t>
      </w:r>
      <w:r w:rsidRPr="009E06AA">
        <w:t xml:space="preserve"> is driven by an increase in dairy cattle numbers, which is partially offset by a decrease in non-dairy (beef) cattle and a decline in sheep numbers. The change in animal populations since 1990 reflects the relative financial returns in each sector (it has been more profitable to farm dairy cattle than non-dairy cattle or sheep in New Zealand over the reporting period).</w:t>
      </w:r>
    </w:p>
    <w:p w14:paraId="481CDB04" w14:textId="77777777" w:rsidR="00FB2AFE" w:rsidRPr="009E06AA" w:rsidRDefault="00FB2AFE" w:rsidP="005E75EE">
      <w:pPr>
        <w:pStyle w:val="Heading4"/>
      </w:pPr>
      <w:bookmarkStart w:id="41" w:name="section-10"/>
      <w:bookmarkEnd w:id="40"/>
      <w:r w:rsidRPr="009E06AA">
        <w:t>2021–2022</w:t>
      </w:r>
    </w:p>
    <w:p w14:paraId="160AF5DB" w14:textId="77777777" w:rsidR="00FB2AFE" w:rsidRPr="009E06AA" w:rsidRDefault="00FB2AFE" w:rsidP="00FB2AFE">
      <w:pPr>
        <w:pStyle w:val="BodyText"/>
      </w:pPr>
      <w:r w:rsidRPr="009E06AA">
        <w:rPr>
          <w:spacing w:val="-2"/>
        </w:rPr>
        <w:t>Between 2021 and 2022, total Agricultural emissions decreased by 1.4 per cent (607.9 kt CO</w:t>
      </w:r>
      <w:r w:rsidRPr="009E06AA">
        <w:rPr>
          <w:spacing w:val="-2"/>
          <w:vertAlign w:val="subscript"/>
        </w:rPr>
        <w:t>2</w:t>
      </w:r>
      <w:r w:rsidRPr="009E06AA">
        <w:rPr>
          <w:spacing w:val="-2"/>
        </w:rPr>
        <w:t>-e</w:t>
      </w:r>
      <w:r w:rsidRPr="009E06AA">
        <w:t>) largely due to a decrease in emissions from synthetic fertiliser use, non-dairy cattle and sheep. Specifically:</w:t>
      </w:r>
    </w:p>
    <w:p w14:paraId="3D869E63" w14:textId="77777777" w:rsidR="00FB2AFE" w:rsidRPr="009E06AA" w:rsidRDefault="00FB2AFE" w:rsidP="00B007F0">
      <w:pPr>
        <w:pStyle w:val="Bullet"/>
      </w:pPr>
      <w:r w:rsidRPr="009E06AA">
        <w:t>the combined emissions from synthetic nitrogen fertiliser use (N</w:t>
      </w:r>
      <w:r w:rsidRPr="009E06AA">
        <w:rPr>
          <w:vertAlign w:val="subscript"/>
        </w:rPr>
        <w:t>2</w:t>
      </w:r>
      <w:r w:rsidRPr="009E06AA">
        <w:t xml:space="preserve">O) and </w:t>
      </w:r>
      <w:r w:rsidRPr="009E06AA">
        <w:rPr>
          <w:i/>
          <w:iCs/>
        </w:rPr>
        <w:t>Urea application</w:t>
      </w:r>
      <w:r w:rsidRPr="009E06AA">
        <w:t xml:space="preserve"> (CO</w:t>
      </w:r>
      <w:r w:rsidRPr="009E06AA">
        <w:rPr>
          <w:vertAlign w:val="subscript"/>
        </w:rPr>
        <w:t>2</w:t>
      </w:r>
      <w:r w:rsidRPr="009E06AA">
        <w:t>) decreased by 24.1 per cent (495.8 kt CO</w:t>
      </w:r>
      <w:r w:rsidRPr="009E06AA">
        <w:rPr>
          <w:vertAlign w:val="subscript"/>
        </w:rPr>
        <w:t>2</w:t>
      </w:r>
      <w:r w:rsidRPr="009E06AA">
        <w:t>-e) due to a decrease in nitrogen fertiliser use primarily as a result of increasing costs</w:t>
      </w:r>
    </w:p>
    <w:p w14:paraId="70770EE8" w14:textId="77777777" w:rsidR="00FB2AFE" w:rsidRPr="009E06AA" w:rsidRDefault="00FB2AFE" w:rsidP="00B007F0">
      <w:pPr>
        <w:pStyle w:val="Bullet"/>
      </w:pPr>
      <w:r w:rsidRPr="009E06AA">
        <w:t>non-dairy cattle emissions decreased by 2.8 per cent (234.4 kt CO</w:t>
      </w:r>
      <w:r w:rsidRPr="009E06AA">
        <w:rPr>
          <w:vertAlign w:val="subscript"/>
        </w:rPr>
        <w:t>2</w:t>
      </w:r>
      <w:r w:rsidRPr="009E06AA">
        <w:t>-e) due to a decrease in the beef cattle population</w:t>
      </w:r>
    </w:p>
    <w:p w14:paraId="2283DD68" w14:textId="77777777" w:rsidR="00FB2AFE" w:rsidRPr="009E06AA" w:rsidRDefault="00FB2AFE" w:rsidP="00B007F0">
      <w:pPr>
        <w:pStyle w:val="Bullet"/>
      </w:pPr>
      <w:r w:rsidRPr="009E06AA">
        <w:t>sheep emissions decreased by 1.2 per cent (118.4 kt CO</w:t>
      </w:r>
      <w:r w:rsidRPr="009E06AA">
        <w:rPr>
          <w:vertAlign w:val="subscript"/>
        </w:rPr>
        <w:t>2</w:t>
      </w:r>
      <w:r w:rsidRPr="009E06AA">
        <w:t>-e) due to a continuing decrease in the sheep population.</w:t>
      </w:r>
    </w:p>
    <w:p w14:paraId="37D1B3D3" w14:textId="77777777" w:rsidR="00FB2AFE" w:rsidRPr="009E06AA" w:rsidRDefault="00FB2AFE" w:rsidP="00FB2AFE">
      <w:pPr>
        <w:pStyle w:val="BodyText"/>
      </w:pPr>
      <w:r w:rsidRPr="009E06AA">
        <w:t>Emissions from some other activities increased but were not enough to offset the overall decrease in agricultural emissions. Some of these increases include:</w:t>
      </w:r>
    </w:p>
    <w:p w14:paraId="02EC85B7" w14:textId="77777777" w:rsidR="00FB2AFE" w:rsidRPr="009E06AA" w:rsidRDefault="00FB2AFE" w:rsidP="00E16C6B">
      <w:pPr>
        <w:pStyle w:val="Bullet"/>
      </w:pPr>
      <w:r w:rsidRPr="009E06AA">
        <w:t>dairy emissions, which increased by 1.0 per cent (196.8 kt CO</w:t>
      </w:r>
      <w:r w:rsidRPr="009E06AA">
        <w:rPr>
          <w:vertAlign w:val="subscript"/>
        </w:rPr>
        <w:t>2</w:t>
      </w:r>
      <w:r w:rsidRPr="009E06AA">
        <w:t>-e) due to an increase in average dairy cattle weights and milk solids produced</w:t>
      </w:r>
    </w:p>
    <w:p w14:paraId="46D26BB6" w14:textId="77777777" w:rsidR="00FB2AFE" w:rsidRPr="009E06AA" w:rsidRDefault="00FB2AFE" w:rsidP="00E16C6B">
      <w:pPr>
        <w:pStyle w:val="Bullet"/>
      </w:pPr>
      <w:r w:rsidRPr="009E06AA">
        <w:t>lime and dolomite emissions, which increased by 25.3 per cent (90.0 kt CO</w:t>
      </w:r>
      <w:r w:rsidRPr="009E06AA">
        <w:rPr>
          <w:vertAlign w:val="subscript"/>
        </w:rPr>
        <w:t>2</w:t>
      </w:r>
      <w:r w:rsidRPr="009E06AA">
        <w:t>-e) due to an increase in application.</w:t>
      </w:r>
    </w:p>
    <w:p w14:paraId="117B01BC" w14:textId="77777777" w:rsidR="00FB2AFE" w:rsidRPr="009E06AA" w:rsidRDefault="00FB2AFE" w:rsidP="00FB2AFE">
      <w:pPr>
        <w:pStyle w:val="Heading3"/>
      </w:pPr>
      <w:bookmarkStart w:id="42" w:name="lulucf-chapter-6"/>
      <w:bookmarkEnd w:id="38"/>
      <w:bookmarkEnd w:id="41"/>
      <w:r w:rsidRPr="009E06AA">
        <w:t>LULUCF (chapter 6)</w:t>
      </w:r>
    </w:p>
    <w:p w14:paraId="36FE40E5" w14:textId="77777777" w:rsidR="00FB2AFE" w:rsidRPr="009E06AA" w:rsidRDefault="00FB2AFE" w:rsidP="005E75EE">
      <w:pPr>
        <w:pStyle w:val="Heading4"/>
        <w:spacing w:before="200"/>
      </w:pPr>
      <w:bookmarkStart w:id="43" w:name="section-11"/>
      <w:r w:rsidRPr="009E06AA">
        <w:t>2022</w:t>
      </w:r>
    </w:p>
    <w:p w14:paraId="530C627D" w14:textId="77777777" w:rsidR="00FB2AFE" w:rsidRPr="009E06AA" w:rsidRDefault="00FB2AFE" w:rsidP="00FB2AFE">
      <w:pPr>
        <w:pStyle w:val="BodyText"/>
      </w:pPr>
      <w:r w:rsidRPr="009E06AA">
        <w:t>In 2022, net emissions from the LULUCF sector were -19,238.8 kt CO</w:t>
      </w:r>
      <w:r w:rsidRPr="009E06AA">
        <w:rPr>
          <w:vertAlign w:val="subscript"/>
        </w:rPr>
        <w:t>2</w:t>
      </w:r>
      <w:r w:rsidRPr="009E06AA">
        <w:t>-e, or 24.5 per cent of New Zealand’s gross GHG emissions. This comprises net emissions of -19,590.9 kt of CO</w:t>
      </w:r>
      <w:r w:rsidRPr="009E06AA">
        <w:rPr>
          <w:vertAlign w:val="subscript"/>
        </w:rPr>
        <w:t>2</w:t>
      </w:r>
      <w:r w:rsidRPr="009E06AA">
        <w:t>, emissions of 82.3 kt CO</w:t>
      </w:r>
      <w:r w:rsidRPr="009E06AA">
        <w:rPr>
          <w:vertAlign w:val="subscript"/>
        </w:rPr>
        <w:t>2</w:t>
      </w:r>
      <w:r w:rsidRPr="009E06AA">
        <w:t>-e of CH</w:t>
      </w:r>
      <w:r w:rsidRPr="009E06AA">
        <w:rPr>
          <w:vertAlign w:val="subscript"/>
        </w:rPr>
        <w:t>4</w:t>
      </w:r>
      <w:r w:rsidRPr="009E06AA">
        <w:t xml:space="preserve"> and 269.9 kt CO</w:t>
      </w:r>
      <w:r w:rsidRPr="009E06AA">
        <w:rPr>
          <w:vertAlign w:val="subscript"/>
        </w:rPr>
        <w:t>2</w:t>
      </w:r>
      <w:r w:rsidRPr="009E06AA">
        <w:t>-e of N</w:t>
      </w:r>
      <w:r w:rsidRPr="009E06AA">
        <w:rPr>
          <w:vertAlign w:val="subscript"/>
        </w:rPr>
        <w:t>2</w:t>
      </w:r>
      <w:r w:rsidRPr="009E06AA">
        <w:t xml:space="preserve">O. The category contributing the most to both removals and emissions is </w:t>
      </w:r>
      <w:r w:rsidRPr="009E06AA">
        <w:rPr>
          <w:i/>
          <w:iCs/>
        </w:rPr>
        <w:t>Forest land remaining forest land</w:t>
      </w:r>
      <w:r w:rsidRPr="009E06AA">
        <w:t>. This is because of large removals as a result of the growth of all forests on this land, and there are also large emissions from the sustainable harvest of New Zealand’s plantation forests.</w:t>
      </w:r>
    </w:p>
    <w:p w14:paraId="1D2B3253" w14:textId="77777777" w:rsidR="00FB2AFE" w:rsidRPr="009E06AA" w:rsidRDefault="00FB2AFE" w:rsidP="005E75EE">
      <w:pPr>
        <w:pStyle w:val="Heading4"/>
        <w:spacing w:before="200"/>
      </w:pPr>
      <w:bookmarkStart w:id="44" w:name="section-12"/>
      <w:bookmarkEnd w:id="43"/>
      <w:r w:rsidRPr="009E06AA">
        <w:t>1990–2022</w:t>
      </w:r>
    </w:p>
    <w:p w14:paraId="1D36569F" w14:textId="77777777" w:rsidR="00FB2AFE" w:rsidRPr="009E06AA" w:rsidRDefault="00FB2AFE" w:rsidP="00FB2AFE">
      <w:pPr>
        <w:pStyle w:val="BodyText"/>
      </w:pPr>
      <w:r w:rsidRPr="009E06AA">
        <w:t>Net emissions in 2022 had increased by 5,085.8 kt CO</w:t>
      </w:r>
      <w:r w:rsidRPr="009E06AA">
        <w:rPr>
          <w:vertAlign w:val="subscript"/>
        </w:rPr>
        <w:t>2</w:t>
      </w:r>
      <w:r w:rsidRPr="009E06AA">
        <w:t>-e (20.9 per cent) from the 1990 level of -24,324.6 kt CO</w:t>
      </w:r>
      <w:r w:rsidRPr="009E06AA">
        <w:rPr>
          <w:vertAlign w:val="subscript"/>
        </w:rPr>
        <w:t>2</w:t>
      </w:r>
      <w:r w:rsidRPr="009E06AA">
        <w:t xml:space="preserve">-e (see chapter 6, table 6.1.1 and figure 6.1.1). This is largely due to a reduction in net removals from </w:t>
      </w:r>
      <w:r w:rsidRPr="009E06AA">
        <w:rPr>
          <w:i/>
          <w:iCs/>
        </w:rPr>
        <w:t>Forest land</w:t>
      </w:r>
      <w:r w:rsidRPr="009E06AA">
        <w:t xml:space="preserve"> (due to the age-class profile of New Zealand’s planted forest estate) and an increase in emissions from </w:t>
      </w:r>
      <w:r w:rsidRPr="009E06AA">
        <w:rPr>
          <w:i/>
          <w:iCs/>
        </w:rPr>
        <w:t>Grassland</w:t>
      </w:r>
      <w:r w:rsidRPr="009E06AA">
        <w:t xml:space="preserve"> (mainly due to emissions from deforestation and conversions among grassland categories) compared with 1990. </w:t>
      </w:r>
    </w:p>
    <w:p w14:paraId="48A5DBA4" w14:textId="77777777" w:rsidR="00FB2AFE" w:rsidRPr="009E06AA" w:rsidRDefault="00FB2AFE" w:rsidP="00FB2AFE">
      <w:pPr>
        <w:pStyle w:val="BodyText"/>
      </w:pPr>
      <w:r w:rsidRPr="009E06AA">
        <w:t>Harvesting and replanting cycles of New Zealand’s planted forests will continue to affect the trajectory of New Zealand’s net emissions in the future due to their uneven age-class profile. The increase in the production of harvested wood products has compensated for some of the emissions from the increase in forest harvesting.</w:t>
      </w:r>
    </w:p>
    <w:p w14:paraId="1DE8002A" w14:textId="77777777" w:rsidR="00FB2AFE" w:rsidRPr="009E06AA" w:rsidRDefault="00FB2AFE" w:rsidP="00FB2AFE">
      <w:pPr>
        <w:pStyle w:val="BodyText"/>
      </w:pPr>
      <w:r w:rsidRPr="009E06AA">
        <w:t>Emissions in the LULUCF sector are primarily driven by the harvest of production forests, deforestation and the decomposition of organic material following these activities. Removals are primarily from the sequestration of carbon that occurs due to plant growth and an increase in the size of the harvested wood products pool. Nitrous oxide can be emitted from the ecosystem as a by-product of nitrification and de-nitrification, and the burning of organic matter. Other gases released during biomass burning include CH</w:t>
      </w:r>
      <w:r w:rsidRPr="009E06AA">
        <w:rPr>
          <w:vertAlign w:val="subscript"/>
        </w:rPr>
        <w:t>4</w:t>
      </w:r>
      <w:r w:rsidRPr="009E06AA">
        <w:t>, carbon monoxide, other oxides of nitrogen and non-methane volatile organic compounds.</w:t>
      </w:r>
    </w:p>
    <w:p w14:paraId="685B2013" w14:textId="01DBD72B" w:rsidR="00FB2AFE" w:rsidRPr="009E06AA" w:rsidRDefault="00FB2AFE" w:rsidP="00FB2AFE">
      <w:pPr>
        <w:pStyle w:val="BodyText"/>
      </w:pPr>
      <w:r w:rsidRPr="009E06AA">
        <w:t>The fluctuations in net emissions from the LULUCF sector (see figure ES 3.1) are primarily influenced by afforestation, harvesting and deforestation rates. Harvesting rates are driven by several factors, particularly forest age and log prices. Net emissions in the LULUCF sector have been generally increasing over the past decade. Current harvest rates are</w:t>
      </w:r>
      <w:r w:rsidR="00FF2FD2">
        <w:t xml:space="preserve"> </w:t>
      </w:r>
      <w:r w:rsidRPr="009E06AA">
        <w:t>near</w:t>
      </w:r>
      <w:r w:rsidR="00C02029">
        <w:t>-</w:t>
      </w:r>
      <w:r w:rsidRPr="009E06AA">
        <w:t xml:space="preserve">historic high levels due to the significant land-use changes to forest land that occurred from the 1980s and into the early 1990s. Deforestation rates are driven by the relative profitability of forestry compared with alternative land uses. </w:t>
      </w:r>
    </w:p>
    <w:p w14:paraId="0AEA6A6C" w14:textId="77777777" w:rsidR="00FB2AFE" w:rsidRPr="009E06AA" w:rsidRDefault="00FB2AFE" w:rsidP="005E75EE">
      <w:pPr>
        <w:pStyle w:val="Heading4"/>
      </w:pPr>
      <w:bookmarkStart w:id="45" w:name="section-13"/>
      <w:bookmarkEnd w:id="44"/>
      <w:r w:rsidRPr="009E06AA">
        <w:t>2021–2022</w:t>
      </w:r>
    </w:p>
    <w:p w14:paraId="5E016BD4" w14:textId="77777777" w:rsidR="00FB2AFE" w:rsidRPr="009E06AA" w:rsidRDefault="00FB2AFE" w:rsidP="00FB2AFE">
      <w:pPr>
        <w:pStyle w:val="BodyText"/>
        <w:spacing w:before="100" w:after="100"/>
      </w:pPr>
      <w:r w:rsidRPr="009E06AA">
        <w:t>Net emissions from the LULUCF sector increased between 2021 and 2022 by 1,266.8 kt CO</w:t>
      </w:r>
      <w:r w:rsidRPr="009E06AA">
        <w:rPr>
          <w:vertAlign w:val="subscript"/>
        </w:rPr>
        <w:t>2</w:t>
      </w:r>
      <w:r w:rsidRPr="009E06AA">
        <w:t>-e (6.2 per cent) (see chapter 6, table 6.1.2).</w:t>
      </w:r>
    </w:p>
    <w:p w14:paraId="77927F80" w14:textId="77777777" w:rsidR="00FB2AFE" w:rsidRPr="009E06AA" w:rsidRDefault="00FB2AFE" w:rsidP="00FB2AFE">
      <w:pPr>
        <w:pStyle w:val="BodyText"/>
        <w:spacing w:before="100" w:after="100"/>
      </w:pPr>
      <w:r w:rsidRPr="009E06AA">
        <w:t xml:space="preserve">The largest change occurred in the </w:t>
      </w:r>
      <w:r w:rsidRPr="009E06AA">
        <w:rPr>
          <w:i/>
          <w:iCs/>
        </w:rPr>
        <w:t>Harvested wood products</w:t>
      </w:r>
      <w:r w:rsidRPr="009E06AA">
        <w:t xml:space="preserve"> category, with an increase in emissions of 2,223.7 kt CO</w:t>
      </w:r>
      <w:r w:rsidRPr="009E06AA">
        <w:rPr>
          <w:vertAlign w:val="subscript"/>
        </w:rPr>
        <w:t>2</w:t>
      </w:r>
      <w:r w:rsidRPr="009E06AA">
        <w:t xml:space="preserve">-e. The reason for this change was a decrease in harvesting of planted forests between 2021 and 2022 (chapter 6, figure 6.4.3). The </w:t>
      </w:r>
      <w:r w:rsidRPr="009E06AA">
        <w:rPr>
          <w:i/>
          <w:iCs/>
        </w:rPr>
        <w:t>Grassland</w:t>
      </w:r>
      <w:r w:rsidRPr="009E06AA">
        <w:t xml:space="preserve"> category had the second-largest change, with a decrease in emissions of 700.1 kt CO</w:t>
      </w:r>
      <w:r w:rsidRPr="009E06AA">
        <w:rPr>
          <w:vertAlign w:val="subscript"/>
        </w:rPr>
        <w:t>2</w:t>
      </w:r>
      <w:r w:rsidRPr="009E06AA">
        <w:t>-e, which was driven by lower deforestation rates in 2022 compared with 2021.</w:t>
      </w:r>
    </w:p>
    <w:p w14:paraId="4A324963" w14:textId="77777777" w:rsidR="00FB2AFE" w:rsidRPr="009E06AA" w:rsidRDefault="00FB2AFE" w:rsidP="00FB2AFE">
      <w:pPr>
        <w:pStyle w:val="Heading3"/>
      </w:pPr>
      <w:bookmarkStart w:id="46" w:name="waste-chapter-7"/>
      <w:bookmarkEnd w:id="42"/>
      <w:bookmarkEnd w:id="45"/>
      <w:r w:rsidRPr="009E06AA">
        <w:t>Waste (chapter 7)</w:t>
      </w:r>
    </w:p>
    <w:p w14:paraId="0636266C" w14:textId="77777777" w:rsidR="00FB2AFE" w:rsidRPr="009E06AA" w:rsidRDefault="00FB2AFE" w:rsidP="005E75EE">
      <w:pPr>
        <w:pStyle w:val="Heading4"/>
      </w:pPr>
      <w:bookmarkStart w:id="47" w:name="section-14"/>
      <w:r w:rsidRPr="009E06AA">
        <w:t>2022</w:t>
      </w:r>
    </w:p>
    <w:p w14:paraId="666CAD56" w14:textId="77777777" w:rsidR="00FB2AFE" w:rsidRPr="009E06AA" w:rsidRDefault="00FB2AFE" w:rsidP="00FB2AFE">
      <w:pPr>
        <w:pStyle w:val="BodyText"/>
        <w:spacing w:before="100" w:after="100"/>
      </w:pPr>
      <w:r w:rsidRPr="009E06AA">
        <w:t>In 2022, emissions from the Waste sector contributed 3,492.7 kt CO</w:t>
      </w:r>
      <w:r w:rsidRPr="009E06AA">
        <w:rPr>
          <w:vertAlign w:val="subscript"/>
        </w:rPr>
        <w:t>2</w:t>
      </w:r>
      <w:r w:rsidRPr="009E06AA">
        <w:t xml:space="preserve">-e or 4.5 per cent of New Zealand’s gross GHG emissions. The largest source category is </w:t>
      </w:r>
      <w:r w:rsidRPr="009E06AA">
        <w:rPr>
          <w:i/>
          <w:iCs/>
        </w:rPr>
        <w:t>Solid waste disposal</w:t>
      </w:r>
      <w:r w:rsidRPr="009E06AA">
        <w:t>, as shown in chapter 7, table 7.1.1.</w:t>
      </w:r>
    </w:p>
    <w:p w14:paraId="7242AD9B" w14:textId="77777777" w:rsidR="00FB2AFE" w:rsidRPr="009E06AA" w:rsidRDefault="00FB2AFE" w:rsidP="005E75EE">
      <w:pPr>
        <w:pStyle w:val="Heading4"/>
      </w:pPr>
      <w:bookmarkStart w:id="48" w:name="section-15"/>
      <w:bookmarkEnd w:id="47"/>
      <w:r w:rsidRPr="009E06AA">
        <w:t>1990–2022</w:t>
      </w:r>
    </w:p>
    <w:p w14:paraId="030B0CB2" w14:textId="77777777" w:rsidR="00FB2AFE" w:rsidRPr="009E06AA" w:rsidRDefault="00FB2AFE" w:rsidP="00FB2AFE">
      <w:pPr>
        <w:pStyle w:val="BodyText"/>
        <w:spacing w:before="100" w:after="100"/>
      </w:pPr>
      <w:r w:rsidRPr="009E06AA">
        <w:t>In 2022, emissions from the Waste sector had decreased by 19.8 per cent (864.0 kt CO</w:t>
      </w:r>
      <w:r w:rsidRPr="009E06AA">
        <w:rPr>
          <w:vertAlign w:val="subscript"/>
        </w:rPr>
        <w:t>2</w:t>
      </w:r>
      <w:r w:rsidRPr="009E06AA">
        <w:t>-e), from 4,356.7 kt CO</w:t>
      </w:r>
      <w:r w:rsidRPr="009E06AA">
        <w:rPr>
          <w:vertAlign w:val="subscript"/>
        </w:rPr>
        <w:t>2</w:t>
      </w:r>
      <w:r w:rsidRPr="009E06AA">
        <w:t>-e in 1990.</w:t>
      </w:r>
    </w:p>
    <w:p w14:paraId="59F2C607" w14:textId="77777777" w:rsidR="00FB2AFE" w:rsidRPr="009E06AA" w:rsidRDefault="00FB2AFE" w:rsidP="00FB2AFE">
      <w:pPr>
        <w:pStyle w:val="BodyText"/>
        <w:spacing w:before="100" w:after="100"/>
      </w:pPr>
      <w:r w:rsidRPr="009E06AA">
        <w:t>Annual emissions peaked at 4,946.7 kt CO</w:t>
      </w:r>
      <w:r w:rsidRPr="009E06AA">
        <w:rPr>
          <w:vertAlign w:val="subscript"/>
        </w:rPr>
        <w:t>2</w:t>
      </w:r>
      <w:r w:rsidRPr="009E06AA">
        <w:t>-e in 2002, and have generally been in decline since that time. Growth in population and economic activity since 1990 has resulted in increasing volumes of solid waste and wastewater for the whole of the time series. Ongoing improvements in the management of solid waste disposal at municipal landfills have meant total Waste sector emissions have been trending down since 2005, in spite of increasing volumes of solid waste and wastewater. The reduction in emissions is primarily the result of increased CH</w:t>
      </w:r>
      <w:r w:rsidRPr="009E06AA">
        <w:rPr>
          <w:vertAlign w:val="subscript"/>
        </w:rPr>
        <w:t>4</w:t>
      </w:r>
      <w:r w:rsidRPr="009E06AA">
        <w:t xml:space="preserve"> recovery driven by the New Zealand Emissions Trading Scheme (NZ ETS) since 2013. These legislative tools are complemented by efforts by local government to introduce improved kerbside collections, including for organic waste, across the country, and by a central government waste work programme that includes product stewardship, plastic phase-outs and investment in resource recovery infrastructure for organic materials. The trends are shown in figure ES 3.1 and in chapter 7, figure 7.1.2 and figure 7.1.3.</w:t>
      </w:r>
    </w:p>
    <w:p w14:paraId="51A3F1AE" w14:textId="77777777" w:rsidR="00FB2AFE" w:rsidRPr="009E06AA" w:rsidRDefault="00FB2AFE" w:rsidP="005E75EE">
      <w:pPr>
        <w:pStyle w:val="Heading4"/>
      </w:pPr>
      <w:bookmarkStart w:id="49" w:name="section-16"/>
      <w:bookmarkEnd w:id="48"/>
      <w:r w:rsidRPr="009E06AA">
        <w:t>2021–2022</w:t>
      </w:r>
    </w:p>
    <w:p w14:paraId="197B89B6" w14:textId="77777777" w:rsidR="00FB2AFE" w:rsidRPr="009E06AA" w:rsidRDefault="00FB2AFE" w:rsidP="00FB2AFE">
      <w:pPr>
        <w:pStyle w:val="BodyText"/>
        <w:spacing w:before="100" w:after="100"/>
      </w:pPr>
      <w:r w:rsidRPr="009E06AA">
        <w:t>Between 2021 and 2022, emissions from the Waste sector decreased by 1.5 per cent (51.6 kt CO</w:t>
      </w:r>
      <w:r w:rsidRPr="009E06AA">
        <w:rPr>
          <w:vertAlign w:val="subscript"/>
        </w:rPr>
        <w:t>2</w:t>
      </w:r>
      <w:r w:rsidRPr="009E06AA">
        <w:t>-e). This decrease is largely the result of decreases in CH</w:t>
      </w:r>
      <w:r w:rsidRPr="009E06AA">
        <w:rPr>
          <w:vertAlign w:val="subscript"/>
        </w:rPr>
        <w:t>4</w:t>
      </w:r>
      <w:r w:rsidRPr="009E06AA">
        <w:t xml:space="preserve"> emissions in the </w:t>
      </w:r>
      <w:r w:rsidRPr="009E06AA">
        <w:rPr>
          <w:i/>
          <w:iCs/>
        </w:rPr>
        <w:t>Managed waste disposal sites</w:t>
      </w:r>
      <w:r w:rsidRPr="009E06AA">
        <w:t xml:space="preserve"> category mainly due to increasing landfill gas capture and changes in the composition of waste, with a reduction in the proportion of garden, food and paper waste disposed to those sites.</w:t>
      </w:r>
    </w:p>
    <w:p w14:paraId="335EDB5E" w14:textId="77777777" w:rsidR="00FB2AFE" w:rsidRPr="009E06AA" w:rsidRDefault="00FB2AFE" w:rsidP="00FB2AFE">
      <w:pPr>
        <w:pStyle w:val="Heading3"/>
      </w:pPr>
      <w:bookmarkStart w:id="50" w:name="other-tokelau-chapter-8"/>
      <w:bookmarkEnd w:id="46"/>
      <w:bookmarkEnd w:id="49"/>
      <w:r w:rsidRPr="009E06AA">
        <w:t>Other (Tokelau – chapter 8)</w:t>
      </w:r>
    </w:p>
    <w:p w14:paraId="59126D3A" w14:textId="77777777" w:rsidR="00FB2AFE" w:rsidRPr="009E06AA" w:rsidRDefault="00FB2AFE" w:rsidP="005E75EE">
      <w:pPr>
        <w:pStyle w:val="Heading4"/>
      </w:pPr>
      <w:bookmarkStart w:id="51" w:name="section-17"/>
      <w:r w:rsidRPr="009E06AA">
        <w:t>2022</w:t>
      </w:r>
    </w:p>
    <w:p w14:paraId="32F5403C" w14:textId="77777777" w:rsidR="00FB2AFE" w:rsidRPr="009E06AA" w:rsidRDefault="00FB2AFE" w:rsidP="00E16C6B">
      <w:pPr>
        <w:pStyle w:val="BodyText"/>
        <w:spacing w:before="100" w:after="100"/>
      </w:pPr>
      <w:r w:rsidRPr="009E06AA">
        <w:t>In 2022, emissions from Tokelau contributed 0.006 per cent (4.69 kt CO</w:t>
      </w:r>
      <w:r w:rsidRPr="009E06AA">
        <w:rPr>
          <w:vertAlign w:val="subscript"/>
        </w:rPr>
        <w:t>2</w:t>
      </w:r>
      <w:r w:rsidRPr="009E06AA">
        <w:t>-e) of New Zealand’s gross GHG emissions.</w:t>
      </w:r>
    </w:p>
    <w:p w14:paraId="05AE026F" w14:textId="77777777" w:rsidR="00FB2AFE" w:rsidRPr="009E06AA" w:rsidRDefault="00FB2AFE" w:rsidP="00E16C6B">
      <w:pPr>
        <w:pStyle w:val="BodyText"/>
        <w:spacing w:before="100"/>
      </w:pPr>
      <w:r w:rsidRPr="009E06AA">
        <w:t xml:space="preserve">The largest source category is </w:t>
      </w:r>
      <w:r w:rsidRPr="009E06AA">
        <w:rPr>
          <w:i/>
          <w:iCs/>
        </w:rPr>
        <w:t>Electricity generation</w:t>
      </w:r>
      <w:r w:rsidRPr="009E06AA">
        <w:t>, which contributed 48.5 per cent (1.34 kt CO</w:t>
      </w:r>
      <w:r w:rsidRPr="009E06AA">
        <w:rPr>
          <w:vertAlign w:val="subscript"/>
        </w:rPr>
        <w:t>2</w:t>
      </w:r>
      <w:r w:rsidRPr="009E06AA">
        <w:t>-e) of all energy emissions and 28.6 per cent of gross emissions from Tokelau.</w:t>
      </w:r>
    </w:p>
    <w:p w14:paraId="7FA01E7B" w14:textId="77777777" w:rsidR="00FB2AFE" w:rsidRPr="009E06AA" w:rsidRDefault="00FB2AFE" w:rsidP="00FB2AFE">
      <w:pPr>
        <w:pStyle w:val="BodyText"/>
        <w:spacing w:before="100" w:after="100"/>
      </w:pPr>
      <w:r w:rsidRPr="009E06AA">
        <w:t>Carbon dioxide dominated emissions from Tokelau, contributing 59.3 per cent (2.78 kt CO</w:t>
      </w:r>
      <w:r w:rsidRPr="009E06AA">
        <w:rPr>
          <w:vertAlign w:val="subscript"/>
        </w:rPr>
        <w:t>2</w:t>
      </w:r>
      <w:r w:rsidRPr="009E06AA">
        <w:t>-e) of its total emissions in 2022. At 2.74 kt CO</w:t>
      </w:r>
      <w:r w:rsidRPr="009E06AA">
        <w:rPr>
          <w:vertAlign w:val="subscript"/>
        </w:rPr>
        <w:t>2</w:t>
      </w:r>
      <w:r w:rsidRPr="009E06AA">
        <w:t>, the Energy sector contributed 98.6 per cent of total CO</w:t>
      </w:r>
      <w:r w:rsidRPr="009E06AA">
        <w:rPr>
          <w:vertAlign w:val="subscript"/>
        </w:rPr>
        <w:t>2</w:t>
      </w:r>
      <w:r w:rsidRPr="009E06AA">
        <w:t xml:space="preserve"> emissions, mostly from </w:t>
      </w:r>
      <w:r w:rsidRPr="009E06AA">
        <w:rPr>
          <w:i/>
          <w:iCs/>
        </w:rPr>
        <w:t>Electricity generation</w:t>
      </w:r>
      <w:r w:rsidRPr="009E06AA">
        <w:t xml:space="preserve">, with the remaining 1.4 per cent (0.04 kt) coming from </w:t>
      </w:r>
      <w:r w:rsidRPr="009E06AA">
        <w:rPr>
          <w:i/>
          <w:iCs/>
        </w:rPr>
        <w:t>Open burning of waste</w:t>
      </w:r>
      <w:r w:rsidRPr="009E06AA">
        <w:t xml:space="preserve"> in the Waste sector.</w:t>
      </w:r>
    </w:p>
    <w:p w14:paraId="3CBE63CC" w14:textId="77777777" w:rsidR="00FB2AFE" w:rsidRPr="009E06AA" w:rsidRDefault="00FB2AFE" w:rsidP="00FB2AFE">
      <w:pPr>
        <w:pStyle w:val="BodyText"/>
        <w:spacing w:before="100" w:after="100"/>
      </w:pPr>
      <w:r w:rsidRPr="009E06AA">
        <w:t>Methane emissions contributed 35.3 per cent (1.66 kt CO</w:t>
      </w:r>
      <w:r w:rsidRPr="009E06AA">
        <w:rPr>
          <w:vertAlign w:val="subscript"/>
        </w:rPr>
        <w:t>2</w:t>
      </w:r>
      <w:r w:rsidRPr="009E06AA">
        <w:t>-e) to the total emissions from Tokelau. The Agriculture sector in Tokelau contributed 55.7 per cent of CH</w:t>
      </w:r>
      <w:r w:rsidRPr="009E06AA">
        <w:rPr>
          <w:vertAlign w:val="subscript"/>
        </w:rPr>
        <w:t>4</w:t>
      </w:r>
      <w:r w:rsidRPr="009E06AA">
        <w:t xml:space="preserve"> emissions (0.92 kt CO</w:t>
      </w:r>
      <w:r w:rsidRPr="009E06AA">
        <w:rPr>
          <w:vertAlign w:val="subscript"/>
        </w:rPr>
        <w:t>2</w:t>
      </w:r>
      <w:r w:rsidRPr="009E06AA">
        <w:t xml:space="preserve">-e), which mostly came from </w:t>
      </w:r>
      <w:r w:rsidRPr="009E06AA">
        <w:rPr>
          <w:i/>
          <w:iCs/>
        </w:rPr>
        <w:t>Manure management</w:t>
      </w:r>
      <w:r w:rsidRPr="009E06AA">
        <w:t>. A significant portion of CH</w:t>
      </w:r>
      <w:r w:rsidRPr="009E06AA">
        <w:rPr>
          <w:vertAlign w:val="subscript"/>
        </w:rPr>
        <w:t>4</w:t>
      </w:r>
      <w:r w:rsidRPr="009E06AA">
        <w:t xml:space="preserve"> emissions, 43.8 per cent (0.72 kt CO</w:t>
      </w:r>
      <w:r w:rsidRPr="009E06AA">
        <w:rPr>
          <w:vertAlign w:val="subscript"/>
        </w:rPr>
        <w:t>2</w:t>
      </w:r>
      <w:r w:rsidRPr="009E06AA">
        <w:t xml:space="preserve">-e), came from the Waste sector, largely from </w:t>
      </w:r>
      <w:r w:rsidRPr="009E06AA">
        <w:rPr>
          <w:i/>
          <w:iCs/>
        </w:rPr>
        <w:t>Solid waste disposal</w:t>
      </w:r>
      <w:r w:rsidRPr="009E06AA">
        <w:t>. The Energy sector contributed the remaining 0.5 per cent of CH</w:t>
      </w:r>
      <w:r w:rsidRPr="009E06AA">
        <w:rPr>
          <w:vertAlign w:val="subscript"/>
        </w:rPr>
        <w:t>4</w:t>
      </w:r>
      <w:r w:rsidRPr="009E06AA">
        <w:t xml:space="preserve"> emissions (0.01 kt CO</w:t>
      </w:r>
      <w:r w:rsidRPr="009E06AA">
        <w:rPr>
          <w:vertAlign w:val="subscript"/>
        </w:rPr>
        <w:t>2</w:t>
      </w:r>
      <w:r w:rsidRPr="009E06AA">
        <w:t xml:space="preserve">-e), which mostly came from </w:t>
      </w:r>
      <w:r w:rsidRPr="009E06AA">
        <w:rPr>
          <w:i/>
          <w:iCs/>
        </w:rPr>
        <w:t>Domestic navigation</w:t>
      </w:r>
      <w:r w:rsidRPr="009E06AA">
        <w:t>.</w:t>
      </w:r>
    </w:p>
    <w:p w14:paraId="6F07608C" w14:textId="77777777" w:rsidR="00FB2AFE" w:rsidRPr="009E06AA" w:rsidRDefault="00FB2AFE" w:rsidP="00FB2AFE">
      <w:pPr>
        <w:pStyle w:val="BodyText"/>
        <w:spacing w:before="100" w:after="100"/>
      </w:pPr>
      <w:r w:rsidRPr="009E06AA">
        <w:t>Nitrous oxide emissions contributed 0.9 per cent (0.04 kt CO</w:t>
      </w:r>
      <w:r w:rsidRPr="009E06AA">
        <w:rPr>
          <w:vertAlign w:val="subscript"/>
        </w:rPr>
        <w:t>2</w:t>
      </w:r>
      <w:r w:rsidRPr="009E06AA">
        <w:t>-e) to the total emissions from Tokelau. The IPPU sector (</w:t>
      </w:r>
      <w:r w:rsidRPr="009E06AA">
        <w:rPr>
          <w:i/>
          <w:iCs/>
        </w:rPr>
        <w:t>Medical applications</w:t>
      </w:r>
      <w:r w:rsidRPr="009E06AA">
        <w:t>) contributed the largest amount of N</w:t>
      </w:r>
      <w:r w:rsidRPr="009E06AA">
        <w:rPr>
          <w:vertAlign w:val="subscript"/>
        </w:rPr>
        <w:t>2</w:t>
      </w:r>
      <w:r w:rsidRPr="009E06AA">
        <w:t>O, 47.5 per cent (0.02 kt CO</w:t>
      </w:r>
      <w:r w:rsidRPr="009E06AA">
        <w:rPr>
          <w:vertAlign w:val="subscript"/>
        </w:rPr>
        <w:t>2</w:t>
      </w:r>
      <w:r w:rsidRPr="009E06AA">
        <w:t>-e) of the total N</w:t>
      </w:r>
      <w:r w:rsidRPr="009E06AA">
        <w:rPr>
          <w:vertAlign w:val="subscript"/>
        </w:rPr>
        <w:t>2</w:t>
      </w:r>
      <w:r w:rsidRPr="009E06AA">
        <w:t>O. The Energy sector contributed a further 29.0 per cent (0.01 kt CO</w:t>
      </w:r>
      <w:r w:rsidRPr="009E06AA">
        <w:rPr>
          <w:vertAlign w:val="subscript"/>
        </w:rPr>
        <w:t>2</w:t>
      </w:r>
      <w:r w:rsidRPr="009E06AA">
        <w:t xml:space="preserve">-e), which comes largely from </w:t>
      </w:r>
      <w:r w:rsidRPr="009E06AA">
        <w:rPr>
          <w:i/>
          <w:iCs/>
        </w:rPr>
        <w:t>Domestic navigation</w:t>
      </w:r>
      <w:r w:rsidRPr="009E06AA">
        <w:t>. The Waste sector contributed the remaining 23.5 per cent of N</w:t>
      </w:r>
      <w:r w:rsidRPr="009E06AA">
        <w:rPr>
          <w:vertAlign w:val="subscript"/>
        </w:rPr>
        <w:t>2</w:t>
      </w:r>
      <w:r w:rsidRPr="009E06AA">
        <w:t>O (0.01 kt CO</w:t>
      </w:r>
      <w:r w:rsidRPr="009E06AA">
        <w:rPr>
          <w:vertAlign w:val="subscript"/>
        </w:rPr>
        <w:t>2</w:t>
      </w:r>
      <w:r w:rsidRPr="009E06AA">
        <w:t xml:space="preserve">-e) from </w:t>
      </w:r>
      <w:r w:rsidRPr="009E06AA">
        <w:rPr>
          <w:i/>
          <w:iCs/>
        </w:rPr>
        <w:t>Open burning</w:t>
      </w:r>
      <w:r w:rsidRPr="009E06AA">
        <w:t>.</w:t>
      </w:r>
    </w:p>
    <w:p w14:paraId="090FDA17" w14:textId="77777777" w:rsidR="00FB2AFE" w:rsidRPr="009E06AA" w:rsidRDefault="00FB2AFE" w:rsidP="00FB2AFE">
      <w:pPr>
        <w:pStyle w:val="BodyText"/>
        <w:spacing w:before="100" w:after="100"/>
      </w:pPr>
      <w:r w:rsidRPr="009E06AA">
        <w:t>Emissions of fluorinated gases from Tokelau consisted of HFC emissions only, contributing 4.5 per cent (0.21 kt CO</w:t>
      </w:r>
      <w:r w:rsidRPr="009E06AA">
        <w:rPr>
          <w:vertAlign w:val="subscript"/>
        </w:rPr>
        <w:t>2</w:t>
      </w:r>
      <w:r w:rsidRPr="009E06AA">
        <w:t>-e) to the total emissions from Tokelau. These emissions largely result from the use of air conditioning. Emissions of PFCs, NF</w:t>
      </w:r>
      <w:r w:rsidRPr="009E06AA">
        <w:rPr>
          <w:vertAlign w:val="subscript"/>
        </w:rPr>
        <w:t>3</w:t>
      </w:r>
      <w:r w:rsidRPr="009E06AA">
        <w:t xml:space="preserve"> and SF</w:t>
      </w:r>
      <w:r w:rsidRPr="009E06AA">
        <w:rPr>
          <w:vertAlign w:val="subscript"/>
        </w:rPr>
        <w:t>6</w:t>
      </w:r>
      <w:r w:rsidRPr="009E06AA">
        <w:t xml:space="preserve"> do not occur in Tokelau.</w:t>
      </w:r>
    </w:p>
    <w:p w14:paraId="402E6851" w14:textId="77777777" w:rsidR="00FB2AFE" w:rsidRPr="009E06AA" w:rsidRDefault="00FB2AFE" w:rsidP="005E75EE">
      <w:pPr>
        <w:pStyle w:val="Heading4"/>
      </w:pPr>
      <w:bookmarkStart w:id="52" w:name="section-18"/>
      <w:bookmarkEnd w:id="51"/>
      <w:r w:rsidRPr="009E06AA">
        <w:t>1990–2022</w:t>
      </w:r>
    </w:p>
    <w:p w14:paraId="4F64BB99" w14:textId="77777777" w:rsidR="00FB2AFE" w:rsidRPr="009E06AA" w:rsidRDefault="00FB2AFE" w:rsidP="00FB2AFE">
      <w:pPr>
        <w:pStyle w:val="BodyText"/>
        <w:spacing w:before="100" w:after="100"/>
      </w:pPr>
      <w:r w:rsidRPr="009E06AA">
        <w:t>In 1990, total emissions from Tokelau were 3.37 kt CO</w:t>
      </w:r>
      <w:r w:rsidRPr="009E06AA">
        <w:rPr>
          <w:vertAlign w:val="subscript"/>
        </w:rPr>
        <w:t>2</w:t>
      </w:r>
      <w:r w:rsidRPr="009E06AA">
        <w:t>-e. Between 1990 and 2022, the total emissions increased by 38.9 per cent (1.31 kt CO</w:t>
      </w:r>
      <w:r w:rsidRPr="009E06AA">
        <w:rPr>
          <w:vertAlign w:val="subscript"/>
        </w:rPr>
        <w:t>2</w:t>
      </w:r>
      <w:r w:rsidRPr="009E06AA">
        <w:t>-e) to 4.69 kt CO</w:t>
      </w:r>
      <w:r w:rsidRPr="009E06AA">
        <w:rPr>
          <w:vertAlign w:val="subscript"/>
        </w:rPr>
        <w:t>2</w:t>
      </w:r>
      <w:r w:rsidRPr="009E06AA">
        <w:t>-e (chapter 8, table 8.1.2 and figure 8.1.4). From 1990 to 2022, the average annual increase in gross emissions was 1.24 per cent.</w:t>
      </w:r>
    </w:p>
    <w:p w14:paraId="667DC40E" w14:textId="77777777" w:rsidR="00FB2AFE" w:rsidRPr="009E06AA" w:rsidRDefault="00FB2AFE" w:rsidP="00FB2AFE">
      <w:pPr>
        <w:pStyle w:val="BodyText"/>
        <w:spacing w:before="100" w:after="100"/>
      </w:pPr>
      <w:r w:rsidRPr="009E06AA">
        <w:t xml:space="preserve">The increase in emissions was largely due to changes in the Energy sector. The emission categories that contributed the most to this change were </w:t>
      </w:r>
      <w:r w:rsidRPr="009E06AA">
        <w:rPr>
          <w:i/>
          <w:iCs/>
        </w:rPr>
        <w:t>Domestic navigation</w:t>
      </w:r>
      <w:r w:rsidRPr="009E06AA">
        <w:t xml:space="preserve"> and </w:t>
      </w:r>
      <w:r w:rsidRPr="009E06AA">
        <w:rPr>
          <w:i/>
          <w:iCs/>
        </w:rPr>
        <w:t>Electricity generation</w:t>
      </w:r>
      <w:r w:rsidRPr="009E06AA">
        <w:t>.</w:t>
      </w:r>
    </w:p>
    <w:p w14:paraId="01D7475F" w14:textId="77777777" w:rsidR="00FB2AFE" w:rsidRPr="009E06AA" w:rsidRDefault="00FB2AFE" w:rsidP="00FB2AFE">
      <w:pPr>
        <w:pStyle w:val="BodyText"/>
        <w:spacing w:before="100" w:after="100"/>
      </w:pPr>
      <w:r w:rsidRPr="009E06AA">
        <w:t xml:space="preserve">The changes in </w:t>
      </w:r>
      <w:r w:rsidRPr="009E06AA">
        <w:rPr>
          <w:i/>
          <w:iCs/>
        </w:rPr>
        <w:t>Domestic navigation</w:t>
      </w:r>
      <w:r w:rsidRPr="009E06AA">
        <w:t xml:space="preserve"> are a result of Tokelau gaining ownership and use of the ferry </w:t>
      </w:r>
      <w:r w:rsidRPr="009E06AA">
        <w:rPr>
          <w:i/>
          <w:iCs/>
        </w:rPr>
        <w:t>Mataliki</w:t>
      </w:r>
      <w:r w:rsidRPr="009E06AA">
        <w:t xml:space="preserve"> in 2016, cargo vessel </w:t>
      </w:r>
      <w:r w:rsidRPr="009E06AA">
        <w:rPr>
          <w:i/>
          <w:iCs/>
        </w:rPr>
        <w:t>Kalopaga</w:t>
      </w:r>
      <w:r w:rsidRPr="009E06AA">
        <w:t xml:space="preserve"> in 2018 and </w:t>
      </w:r>
      <w:r w:rsidRPr="009E06AA">
        <w:rPr>
          <w:i/>
          <w:iCs/>
        </w:rPr>
        <w:t>Fetu o te Moana</w:t>
      </w:r>
      <w:r w:rsidRPr="009E06AA">
        <w:t xml:space="preserve"> in 2019, leading to an increasing number of sea voyages between the atolls, which increased transport emissions.</w:t>
      </w:r>
    </w:p>
    <w:p w14:paraId="3AD9CBC6" w14:textId="77777777" w:rsidR="00FB2AFE" w:rsidRPr="009E06AA" w:rsidRDefault="00FB2AFE" w:rsidP="00FB2AFE">
      <w:pPr>
        <w:pStyle w:val="BodyText"/>
        <w:spacing w:before="100" w:after="100"/>
      </w:pPr>
      <w:r w:rsidRPr="009E06AA">
        <w:t xml:space="preserve">The changes in Tokelau’s Energy sector emissions from </w:t>
      </w:r>
      <w:r w:rsidRPr="009E06AA">
        <w:rPr>
          <w:i/>
          <w:iCs/>
        </w:rPr>
        <w:t>Electricity generation</w:t>
      </w:r>
      <w:r w:rsidRPr="009E06AA">
        <w:t xml:space="preserve"> drive the overall emissions trend observed across most of the time series. Initially, up until 2011, emissions from this source were relatively stable. A significant increase in emissions was then observed (of nearly 400 per cent) due to an increase in the use of diesel generators for electricity generation occurring between 2003 and 2011. This was followed by a significant drop in emissions occurring across the 2012 to 2013 years (by 82.5 per cent) when solar electricity generation began. Toward the end of the time series, the use of diesel generators increased again as the generation from solar power decreased, with emissions increasing accordingly.</w:t>
      </w:r>
    </w:p>
    <w:p w14:paraId="506B309D" w14:textId="77777777" w:rsidR="00FB2AFE" w:rsidRPr="009E06AA" w:rsidRDefault="00FB2AFE" w:rsidP="00FB2AFE">
      <w:pPr>
        <w:pStyle w:val="BodyText"/>
        <w:spacing w:before="100" w:after="100"/>
      </w:pPr>
      <w:r w:rsidRPr="009E06AA">
        <w:t>Emissions from Tokelau’s IPPU sector have also increased mainly due to the introduction of air conditioning after 2006. Emissions from Tokelau’s Agriculture sector decreased slightly as a result of a reduced population of pigs.</w:t>
      </w:r>
    </w:p>
    <w:p w14:paraId="3B34E508" w14:textId="77777777" w:rsidR="00FB2AFE" w:rsidRPr="009E06AA" w:rsidRDefault="00FB2AFE" w:rsidP="005E75EE">
      <w:pPr>
        <w:pStyle w:val="Heading4"/>
      </w:pPr>
      <w:bookmarkStart w:id="53" w:name="section-19"/>
      <w:bookmarkEnd w:id="52"/>
      <w:r w:rsidRPr="009E06AA">
        <w:t>2021–2022</w:t>
      </w:r>
    </w:p>
    <w:p w14:paraId="77433041" w14:textId="77777777" w:rsidR="00FB2AFE" w:rsidRPr="009E06AA" w:rsidRDefault="00FB2AFE" w:rsidP="00FB2AFE">
      <w:pPr>
        <w:pStyle w:val="BodyText"/>
        <w:spacing w:before="100" w:after="100"/>
      </w:pPr>
      <w:r w:rsidRPr="009E06AA">
        <w:t>Total Tokelau emissions in 2022 were 0.75 kt CO</w:t>
      </w:r>
      <w:r w:rsidRPr="009E06AA">
        <w:rPr>
          <w:vertAlign w:val="subscript"/>
        </w:rPr>
        <w:t>2</w:t>
      </w:r>
      <w:r w:rsidRPr="009E06AA">
        <w:t xml:space="preserve">-e (19.2 per cent) higher than emissions in 2021. The increase in emissions was largely in the </w:t>
      </w:r>
      <w:r w:rsidRPr="009E06AA">
        <w:rPr>
          <w:i/>
          <w:iCs/>
        </w:rPr>
        <w:t>Electricity generation</w:t>
      </w:r>
      <w:r w:rsidRPr="009E06AA">
        <w:t xml:space="preserve"> category, as a result of a greater reliance on diesel generators for electricity due to solar power having reduced availability. This increase was slightly offset by a small decrease in the </w:t>
      </w:r>
      <w:r w:rsidRPr="009E06AA">
        <w:rPr>
          <w:i/>
          <w:iCs/>
        </w:rPr>
        <w:t>Domestic navigation</w:t>
      </w:r>
      <w:r w:rsidRPr="009E06AA">
        <w:t xml:space="preserve"> category, due to decreased shipping within Tokelau.</w:t>
      </w:r>
    </w:p>
    <w:p w14:paraId="679F3156" w14:textId="77777777" w:rsidR="00FB2AFE" w:rsidRPr="009E06AA" w:rsidRDefault="00FB2AFE" w:rsidP="00C16C7F">
      <w:pPr>
        <w:pStyle w:val="Heading2"/>
        <w:tabs>
          <w:tab w:val="clear" w:pos="851"/>
          <w:tab w:val="left" w:pos="993"/>
        </w:tabs>
        <w:spacing w:before="320"/>
      </w:pPr>
      <w:bookmarkStart w:id="54" w:name="_Toc164154155"/>
      <w:bookmarkStart w:id="55" w:name="es.4.-other-information"/>
      <w:bookmarkEnd w:id="26"/>
      <w:bookmarkEnd w:id="50"/>
      <w:bookmarkEnd w:id="53"/>
      <w:r w:rsidRPr="009E06AA">
        <w:t>ES.4</w:t>
      </w:r>
      <w:r w:rsidRPr="009E06AA">
        <w:tab/>
        <w:t>Other information</w:t>
      </w:r>
      <w:bookmarkEnd w:id="54"/>
    </w:p>
    <w:p w14:paraId="613496AB" w14:textId="77777777" w:rsidR="00FB2AFE" w:rsidRPr="009E06AA" w:rsidRDefault="00FB2AFE" w:rsidP="00C16C7F">
      <w:pPr>
        <w:pStyle w:val="Heading3"/>
        <w:spacing w:before="200"/>
      </w:pPr>
      <w:bookmarkStart w:id="56" w:name="indirect-gases"/>
      <w:r w:rsidRPr="009E06AA">
        <w:t>Indirect gases</w:t>
      </w:r>
    </w:p>
    <w:p w14:paraId="39850393" w14:textId="77777777" w:rsidR="00FB2AFE" w:rsidRPr="009E06AA" w:rsidRDefault="00FB2AFE" w:rsidP="00FB2AFE">
      <w:pPr>
        <w:pStyle w:val="BodyText"/>
        <w:spacing w:before="100" w:after="100"/>
      </w:pPr>
      <w:r w:rsidRPr="009E06AA">
        <w:rPr>
          <w:spacing w:val="-2"/>
        </w:rPr>
        <w:t>Indirect GHGs are included in inventory reporting but are not counted in emissions totals. These</w:t>
      </w:r>
      <w:r w:rsidRPr="009E06AA">
        <w:t xml:space="preserve"> indirect gases are carbon monoxide (CO), sulphur dioxide (SO</w:t>
      </w:r>
      <w:r w:rsidRPr="009E06AA">
        <w:rPr>
          <w:vertAlign w:val="subscript"/>
        </w:rPr>
        <w:t>2</w:t>
      </w:r>
      <w:r w:rsidRPr="009E06AA">
        <w:t>), oxides of nitrogen (NO</w:t>
      </w:r>
      <w:r w:rsidRPr="009E06AA">
        <w:rPr>
          <w:vertAlign w:val="subscript"/>
        </w:rPr>
        <w:t>X</w:t>
      </w:r>
      <w:r w:rsidRPr="009E06AA">
        <w:t>) and non-methane volatile organic compounds (NMVOCs). Table ES 4.1 summarises New Zealand’s indirect GHG emissions in 1990 and 2022 as well as the change between these years.</w:t>
      </w:r>
    </w:p>
    <w:p w14:paraId="3EE6F5FE" w14:textId="03B294F2" w:rsidR="00FB2AFE" w:rsidRPr="009E06AA" w:rsidRDefault="00FB2AFE" w:rsidP="00FB2AFE">
      <w:pPr>
        <w:pStyle w:val="Table"/>
      </w:pPr>
      <w:bookmarkStart w:id="57" w:name="_Toc164153793"/>
      <w:r w:rsidRPr="009E06AA">
        <w:rPr>
          <w:bCs/>
        </w:rPr>
        <w:t>Table ES 4.1</w:t>
      </w:r>
      <w:r w:rsidRPr="009E06AA">
        <w:t xml:space="preserve"> </w:t>
      </w:r>
      <w:r w:rsidRPr="009E06AA">
        <w:tab/>
        <w:t xml:space="preserve">New Zealand’s indirect greenhouse gas emissions (excluding LULUCF) in </w:t>
      </w:r>
      <w:r w:rsidRPr="009E06AA">
        <w:rPr>
          <w:bCs/>
        </w:rPr>
        <w:t>1990</w:t>
      </w:r>
      <w:r w:rsidR="000E3EA5" w:rsidRPr="009E06AA">
        <w:t xml:space="preserve"> </w:t>
      </w:r>
      <w:r w:rsidRPr="009E06AA">
        <w:t>and</w:t>
      </w:r>
      <w:r w:rsidR="000E3EA5" w:rsidRPr="009E06AA">
        <w:t> </w:t>
      </w:r>
      <w:r w:rsidRPr="009E06AA">
        <w:rPr>
          <w:bCs/>
        </w:rPr>
        <w:t>2022</w:t>
      </w:r>
      <w:bookmarkEnd w:id="57"/>
    </w:p>
    <w:tbl>
      <w:tblPr>
        <w:tblW w:w="5000" w:type="pct"/>
        <w:jc w:val="center"/>
        <w:tblBorders>
          <w:top w:val="single" w:sz="4" w:space="0" w:color="1B556B" w:themeColor="text2"/>
          <w:bottom w:val="single" w:sz="4" w:space="0" w:color="1B556B" w:themeColor="text2"/>
          <w:insideH w:val="single" w:sz="4" w:space="0" w:color="1B556B" w:themeColor="text2"/>
        </w:tblBorders>
        <w:tblLook w:val="0420" w:firstRow="1" w:lastRow="0" w:firstColumn="0" w:lastColumn="0" w:noHBand="0" w:noVBand="1"/>
      </w:tblPr>
      <w:tblGrid>
        <w:gridCol w:w="2653"/>
        <w:gridCol w:w="581"/>
        <w:gridCol w:w="581"/>
        <w:gridCol w:w="2916"/>
        <w:gridCol w:w="1774"/>
      </w:tblGrid>
      <w:tr w:rsidR="00FB2AFE" w:rsidRPr="009E06AA" w14:paraId="6DDB21AA" w14:textId="77777777" w:rsidTr="00B55F24">
        <w:trPr>
          <w:tblHeader/>
          <w:jc w:val="center"/>
        </w:trPr>
        <w:tc>
          <w:tcPr>
            <w:tcW w:w="0" w:type="auto"/>
            <w:shd w:val="clear" w:color="auto" w:fill="1B556B"/>
            <w:tcMar>
              <w:top w:w="0" w:type="dxa"/>
              <w:left w:w="85" w:type="dxa"/>
              <w:bottom w:w="0" w:type="dxa"/>
              <w:right w:w="85" w:type="dxa"/>
            </w:tcMar>
          </w:tcPr>
          <w:p w14:paraId="3D77F813" w14:textId="77777777" w:rsidR="00FB2AFE" w:rsidRPr="009E06AA" w:rsidRDefault="00FB2AFE" w:rsidP="00B55F24">
            <w:pPr>
              <w:pStyle w:val="TableTextBold"/>
              <w:spacing w:before="40" w:after="40"/>
              <w:rPr>
                <w:noProof w:val="0"/>
                <w:color w:val="FFFFFF" w:themeColor="background1"/>
              </w:rPr>
            </w:pPr>
            <w:r w:rsidRPr="009E06AA">
              <w:rPr>
                <w:rFonts w:eastAsia="Calibri"/>
                <w:noProof w:val="0"/>
                <w:color w:val="FFFFFF" w:themeColor="background1"/>
              </w:rPr>
              <w:t>Indirect greenhouse gas emissions</w:t>
            </w:r>
          </w:p>
        </w:tc>
        <w:tc>
          <w:tcPr>
            <w:tcW w:w="0" w:type="auto"/>
            <w:shd w:val="clear" w:color="auto" w:fill="1B556B"/>
            <w:tcMar>
              <w:top w:w="0" w:type="dxa"/>
              <w:left w:w="85" w:type="dxa"/>
              <w:bottom w:w="0" w:type="dxa"/>
              <w:right w:w="85" w:type="dxa"/>
            </w:tcMar>
          </w:tcPr>
          <w:p w14:paraId="3E74D2D6" w14:textId="77777777" w:rsidR="00FB2AFE" w:rsidRPr="009E06AA" w:rsidRDefault="00FB2AFE" w:rsidP="001F77B4">
            <w:pPr>
              <w:pStyle w:val="TableTextBold"/>
              <w:spacing w:before="40" w:after="40"/>
              <w:jc w:val="right"/>
              <w:rPr>
                <w:noProof w:val="0"/>
                <w:color w:val="FFFFFF" w:themeColor="background1"/>
              </w:rPr>
            </w:pPr>
            <w:r w:rsidRPr="009E06AA">
              <w:rPr>
                <w:rFonts w:eastAsia="Calibri"/>
                <w:noProof w:val="0"/>
                <w:color w:val="FFFFFF" w:themeColor="background1"/>
              </w:rPr>
              <w:t>1990</w:t>
            </w:r>
          </w:p>
        </w:tc>
        <w:tc>
          <w:tcPr>
            <w:tcW w:w="0" w:type="auto"/>
            <w:shd w:val="clear" w:color="auto" w:fill="1B556B"/>
            <w:tcMar>
              <w:top w:w="0" w:type="dxa"/>
              <w:left w:w="85" w:type="dxa"/>
              <w:bottom w:w="0" w:type="dxa"/>
              <w:right w:w="85" w:type="dxa"/>
            </w:tcMar>
          </w:tcPr>
          <w:p w14:paraId="22C91EBB" w14:textId="77777777" w:rsidR="00FB2AFE" w:rsidRPr="009E06AA" w:rsidRDefault="00FB2AFE" w:rsidP="001F77B4">
            <w:pPr>
              <w:pStyle w:val="TableTextBold"/>
              <w:spacing w:before="40" w:after="40"/>
              <w:jc w:val="right"/>
              <w:rPr>
                <w:noProof w:val="0"/>
                <w:color w:val="FFFFFF" w:themeColor="background1"/>
              </w:rPr>
            </w:pPr>
            <w:r w:rsidRPr="009E06AA">
              <w:rPr>
                <w:rFonts w:eastAsia="Calibri"/>
                <w:noProof w:val="0"/>
                <w:color w:val="FFFFFF" w:themeColor="background1"/>
              </w:rPr>
              <w:t>2022</w:t>
            </w:r>
          </w:p>
        </w:tc>
        <w:tc>
          <w:tcPr>
            <w:tcW w:w="0" w:type="auto"/>
            <w:shd w:val="clear" w:color="auto" w:fill="1B556B"/>
            <w:tcMar>
              <w:top w:w="0" w:type="dxa"/>
              <w:left w:w="85" w:type="dxa"/>
              <w:bottom w:w="0" w:type="dxa"/>
              <w:right w:w="85" w:type="dxa"/>
            </w:tcMar>
          </w:tcPr>
          <w:p w14:paraId="18ACAE3F" w14:textId="77777777" w:rsidR="00FB2AFE" w:rsidRPr="009E06AA" w:rsidRDefault="00FB2AFE" w:rsidP="001F77B4">
            <w:pPr>
              <w:pStyle w:val="TableTextBold"/>
              <w:spacing w:before="40" w:after="40"/>
              <w:jc w:val="right"/>
              <w:rPr>
                <w:noProof w:val="0"/>
                <w:color w:val="FFFFFF" w:themeColor="background1"/>
              </w:rPr>
            </w:pPr>
            <w:r w:rsidRPr="009E06AA">
              <w:rPr>
                <w:rFonts w:eastAsia="Calibri"/>
                <w:noProof w:val="0"/>
                <w:color w:val="FFFFFF" w:themeColor="background1"/>
              </w:rPr>
              <w:t>Change from 1990 (kt CO</w:t>
            </w:r>
            <w:r w:rsidRPr="009E06AA">
              <w:rPr>
                <w:rFonts w:eastAsia="Calibri"/>
                <w:noProof w:val="0"/>
                <w:color w:val="FFFFFF" w:themeColor="background1"/>
                <w:vertAlign w:val="subscript"/>
              </w:rPr>
              <w:t>2</w:t>
            </w:r>
            <w:r w:rsidRPr="009E06AA">
              <w:rPr>
                <w:rFonts w:eastAsia="Calibri"/>
                <w:noProof w:val="0"/>
                <w:color w:val="FFFFFF" w:themeColor="background1"/>
              </w:rPr>
              <w:t>-equivalent)</w:t>
            </w:r>
          </w:p>
        </w:tc>
        <w:tc>
          <w:tcPr>
            <w:tcW w:w="0" w:type="auto"/>
            <w:shd w:val="clear" w:color="auto" w:fill="1B556B"/>
            <w:tcMar>
              <w:top w:w="0" w:type="dxa"/>
              <w:left w:w="85" w:type="dxa"/>
              <w:bottom w:w="0" w:type="dxa"/>
              <w:right w:w="85" w:type="dxa"/>
            </w:tcMar>
          </w:tcPr>
          <w:p w14:paraId="33A57736" w14:textId="77777777" w:rsidR="00FB2AFE" w:rsidRPr="009E06AA" w:rsidRDefault="00FB2AFE" w:rsidP="001F77B4">
            <w:pPr>
              <w:pStyle w:val="TableTextBold"/>
              <w:spacing w:before="40" w:after="40"/>
              <w:jc w:val="right"/>
              <w:rPr>
                <w:noProof w:val="0"/>
                <w:color w:val="FFFFFF" w:themeColor="background1"/>
              </w:rPr>
            </w:pPr>
            <w:r w:rsidRPr="009E06AA">
              <w:rPr>
                <w:rFonts w:eastAsia="Calibri"/>
                <w:noProof w:val="0"/>
                <w:color w:val="FFFFFF" w:themeColor="background1"/>
              </w:rPr>
              <w:t>Change from 1990 (%)</w:t>
            </w:r>
          </w:p>
        </w:tc>
      </w:tr>
      <w:tr w:rsidR="00FB2AFE" w:rsidRPr="009E06AA" w14:paraId="20BAE80A" w14:textId="77777777" w:rsidTr="00B55F24">
        <w:trPr>
          <w:jc w:val="center"/>
        </w:trPr>
        <w:tc>
          <w:tcPr>
            <w:tcW w:w="0" w:type="auto"/>
            <w:shd w:val="clear" w:color="auto" w:fill="FFFFFF"/>
            <w:tcMar>
              <w:top w:w="0" w:type="dxa"/>
              <w:left w:w="85" w:type="dxa"/>
              <w:bottom w:w="0" w:type="dxa"/>
              <w:right w:w="85" w:type="dxa"/>
            </w:tcMar>
          </w:tcPr>
          <w:p w14:paraId="0AA768CD" w14:textId="77777777" w:rsidR="00FB2AFE" w:rsidRPr="009E06AA" w:rsidRDefault="00FB2AFE" w:rsidP="00B55F24">
            <w:pPr>
              <w:pStyle w:val="TableText"/>
              <w:spacing w:before="40" w:after="40"/>
            </w:pPr>
            <w:r w:rsidRPr="009E06AA">
              <w:rPr>
                <w:rFonts w:eastAsia="Calibri"/>
                <w:color w:val="000000"/>
              </w:rPr>
              <w:t>CO</w:t>
            </w:r>
          </w:p>
        </w:tc>
        <w:tc>
          <w:tcPr>
            <w:tcW w:w="0" w:type="auto"/>
            <w:shd w:val="clear" w:color="auto" w:fill="FFFFFF"/>
            <w:tcMar>
              <w:top w:w="0" w:type="dxa"/>
              <w:left w:w="85" w:type="dxa"/>
              <w:bottom w:w="0" w:type="dxa"/>
              <w:right w:w="85" w:type="dxa"/>
            </w:tcMar>
          </w:tcPr>
          <w:p w14:paraId="536C45A1" w14:textId="77777777" w:rsidR="00FB2AFE" w:rsidRPr="009E06AA" w:rsidRDefault="00FB2AFE" w:rsidP="001F77B4">
            <w:pPr>
              <w:pStyle w:val="TableText"/>
              <w:spacing w:before="40" w:after="40"/>
              <w:jc w:val="right"/>
            </w:pPr>
            <w:r w:rsidRPr="009E06AA">
              <w:rPr>
                <w:rFonts w:eastAsia="Calibri"/>
                <w:color w:val="000000"/>
              </w:rPr>
              <w:t>604.2</w:t>
            </w:r>
          </w:p>
        </w:tc>
        <w:tc>
          <w:tcPr>
            <w:tcW w:w="0" w:type="auto"/>
            <w:shd w:val="clear" w:color="auto" w:fill="FFFFFF"/>
            <w:tcMar>
              <w:top w:w="0" w:type="dxa"/>
              <w:left w:w="85" w:type="dxa"/>
              <w:bottom w:w="0" w:type="dxa"/>
              <w:right w:w="85" w:type="dxa"/>
            </w:tcMar>
          </w:tcPr>
          <w:p w14:paraId="7BB8246D" w14:textId="77777777" w:rsidR="00FB2AFE" w:rsidRPr="009E06AA" w:rsidRDefault="00FB2AFE" w:rsidP="001F77B4">
            <w:pPr>
              <w:pStyle w:val="TableText"/>
              <w:spacing w:before="40" w:after="40"/>
              <w:jc w:val="right"/>
            </w:pPr>
            <w:r w:rsidRPr="009E06AA">
              <w:rPr>
                <w:rFonts w:eastAsia="Calibri"/>
                <w:color w:val="000000"/>
              </w:rPr>
              <w:t>649.7</w:t>
            </w:r>
          </w:p>
        </w:tc>
        <w:tc>
          <w:tcPr>
            <w:tcW w:w="0" w:type="auto"/>
            <w:shd w:val="clear" w:color="auto" w:fill="FFFFFF"/>
            <w:tcMar>
              <w:top w:w="0" w:type="dxa"/>
              <w:left w:w="85" w:type="dxa"/>
              <w:bottom w:w="0" w:type="dxa"/>
              <w:right w:w="85" w:type="dxa"/>
            </w:tcMar>
          </w:tcPr>
          <w:p w14:paraId="625A5BDD" w14:textId="77777777" w:rsidR="00FB2AFE" w:rsidRPr="009E06AA" w:rsidRDefault="00FB2AFE" w:rsidP="001F77B4">
            <w:pPr>
              <w:pStyle w:val="TableText"/>
              <w:spacing w:before="40" w:after="40"/>
              <w:jc w:val="right"/>
            </w:pPr>
            <w:r w:rsidRPr="009E06AA">
              <w:rPr>
                <w:rFonts w:eastAsia="Calibri"/>
                <w:color w:val="000000"/>
              </w:rPr>
              <w:t>45.4</w:t>
            </w:r>
          </w:p>
        </w:tc>
        <w:tc>
          <w:tcPr>
            <w:tcW w:w="0" w:type="auto"/>
            <w:shd w:val="clear" w:color="auto" w:fill="FFFFFF"/>
            <w:tcMar>
              <w:top w:w="0" w:type="dxa"/>
              <w:left w:w="85" w:type="dxa"/>
              <w:bottom w:w="0" w:type="dxa"/>
              <w:right w:w="85" w:type="dxa"/>
            </w:tcMar>
          </w:tcPr>
          <w:p w14:paraId="3F830746" w14:textId="77777777" w:rsidR="00FB2AFE" w:rsidRPr="009E06AA" w:rsidRDefault="00FB2AFE" w:rsidP="001F77B4">
            <w:pPr>
              <w:pStyle w:val="TableText"/>
              <w:spacing w:before="40" w:after="40"/>
              <w:jc w:val="right"/>
            </w:pPr>
            <w:r w:rsidRPr="009E06AA">
              <w:rPr>
                <w:rFonts w:eastAsia="Calibri"/>
                <w:color w:val="000000"/>
              </w:rPr>
              <w:t xml:space="preserve"> 7.5</w:t>
            </w:r>
          </w:p>
        </w:tc>
      </w:tr>
      <w:tr w:rsidR="00FB2AFE" w:rsidRPr="009E06AA" w14:paraId="4501FCF4" w14:textId="77777777" w:rsidTr="00B55F24">
        <w:trPr>
          <w:jc w:val="center"/>
        </w:trPr>
        <w:tc>
          <w:tcPr>
            <w:tcW w:w="0" w:type="auto"/>
            <w:shd w:val="clear" w:color="auto" w:fill="FFFFFF"/>
            <w:tcMar>
              <w:top w:w="0" w:type="dxa"/>
              <w:left w:w="85" w:type="dxa"/>
              <w:bottom w:w="0" w:type="dxa"/>
              <w:right w:w="85" w:type="dxa"/>
            </w:tcMar>
          </w:tcPr>
          <w:p w14:paraId="3D6498C8" w14:textId="77777777" w:rsidR="00FB2AFE" w:rsidRPr="009E06AA" w:rsidRDefault="00FB2AFE" w:rsidP="00B55F24">
            <w:pPr>
              <w:pStyle w:val="TableText"/>
              <w:spacing w:before="40" w:after="40"/>
            </w:pPr>
            <w:r w:rsidRPr="009E06AA">
              <w:rPr>
                <w:rFonts w:eastAsia="Calibri"/>
                <w:color w:val="000000"/>
              </w:rPr>
              <w:t>NMVOCs</w:t>
            </w:r>
          </w:p>
        </w:tc>
        <w:tc>
          <w:tcPr>
            <w:tcW w:w="0" w:type="auto"/>
            <w:shd w:val="clear" w:color="auto" w:fill="FFFFFF"/>
            <w:tcMar>
              <w:top w:w="0" w:type="dxa"/>
              <w:left w:w="85" w:type="dxa"/>
              <w:bottom w:w="0" w:type="dxa"/>
              <w:right w:w="85" w:type="dxa"/>
            </w:tcMar>
          </w:tcPr>
          <w:p w14:paraId="5745FFA1" w14:textId="77777777" w:rsidR="00FB2AFE" w:rsidRPr="009E06AA" w:rsidRDefault="00FB2AFE" w:rsidP="001F77B4">
            <w:pPr>
              <w:pStyle w:val="TableText"/>
              <w:spacing w:before="40" w:after="40"/>
              <w:jc w:val="right"/>
            </w:pPr>
            <w:r w:rsidRPr="009E06AA">
              <w:rPr>
                <w:rFonts w:eastAsia="Calibri"/>
                <w:color w:val="000000"/>
              </w:rPr>
              <w:t>143.7</w:t>
            </w:r>
          </w:p>
        </w:tc>
        <w:tc>
          <w:tcPr>
            <w:tcW w:w="0" w:type="auto"/>
            <w:shd w:val="clear" w:color="auto" w:fill="FFFFFF"/>
            <w:tcMar>
              <w:top w:w="0" w:type="dxa"/>
              <w:left w:w="85" w:type="dxa"/>
              <w:bottom w:w="0" w:type="dxa"/>
              <w:right w:w="85" w:type="dxa"/>
            </w:tcMar>
          </w:tcPr>
          <w:p w14:paraId="336CAE90" w14:textId="77777777" w:rsidR="00FB2AFE" w:rsidRPr="009E06AA" w:rsidRDefault="00FB2AFE" w:rsidP="001F77B4">
            <w:pPr>
              <w:pStyle w:val="TableText"/>
              <w:spacing w:before="40" w:after="40"/>
              <w:jc w:val="right"/>
            </w:pPr>
            <w:r w:rsidRPr="009E06AA">
              <w:rPr>
                <w:rFonts w:eastAsia="Calibri"/>
                <w:color w:val="000000"/>
              </w:rPr>
              <w:t>171.9</w:t>
            </w:r>
          </w:p>
        </w:tc>
        <w:tc>
          <w:tcPr>
            <w:tcW w:w="0" w:type="auto"/>
            <w:shd w:val="clear" w:color="auto" w:fill="FFFFFF"/>
            <w:tcMar>
              <w:top w:w="0" w:type="dxa"/>
              <w:left w:w="85" w:type="dxa"/>
              <w:bottom w:w="0" w:type="dxa"/>
              <w:right w:w="85" w:type="dxa"/>
            </w:tcMar>
          </w:tcPr>
          <w:p w14:paraId="6B719371" w14:textId="77777777" w:rsidR="00FB2AFE" w:rsidRPr="009E06AA" w:rsidRDefault="00FB2AFE" w:rsidP="001F77B4">
            <w:pPr>
              <w:pStyle w:val="TableText"/>
              <w:spacing w:before="40" w:after="40"/>
              <w:jc w:val="right"/>
            </w:pPr>
            <w:r w:rsidRPr="009E06AA">
              <w:rPr>
                <w:rFonts w:eastAsia="Calibri"/>
                <w:color w:val="000000"/>
              </w:rPr>
              <w:t>28.2</w:t>
            </w:r>
          </w:p>
        </w:tc>
        <w:tc>
          <w:tcPr>
            <w:tcW w:w="0" w:type="auto"/>
            <w:shd w:val="clear" w:color="auto" w:fill="FFFFFF"/>
            <w:tcMar>
              <w:top w:w="0" w:type="dxa"/>
              <w:left w:w="85" w:type="dxa"/>
              <w:bottom w:w="0" w:type="dxa"/>
              <w:right w:w="85" w:type="dxa"/>
            </w:tcMar>
          </w:tcPr>
          <w:p w14:paraId="7F323AAD" w14:textId="77777777" w:rsidR="00FB2AFE" w:rsidRPr="009E06AA" w:rsidRDefault="00FB2AFE" w:rsidP="001F77B4">
            <w:pPr>
              <w:pStyle w:val="TableText"/>
              <w:spacing w:before="40" w:after="40"/>
              <w:jc w:val="right"/>
            </w:pPr>
            <w:r w:rsidRPr="009E06AA">
              <w:rPr>
                <w:rFonts w:eastAsia="Calibri"/>
                <w:color w:val="000000"/>
              </w:rPr>
              <w:t>19.6</w:t>
            </w:r>
          </w:p>
        </w:tc>
      </w:tr>
      <w:tr w:rsidR="00FB2AFE" w:rsidRPr="009E06AA" w14:paraId="2D00C965" w14:textId="77777777" w:rsidTr="00B55F24">
        <w:trPr>
          <w:jc w:val="center"/>
        </w:trPr>
        <w:tc>
          <w:tcPr>
            <w:tcW w:w="0" w:type="auto"/>
            <w:shd w:val="clear" w:color="auto" w:fill="FFFFFF"/>
            <w:tcMar>
              <w:top w:w="0" w:type="dxa"/>
              <w:left w:w="85" w:type="dxa"/>
              <w:bottom w:w="0" w:type="dxa"/>
              <w:right w:w="85" w:type="dxa"/>
            </w:tcMar>
          </w:tcPr>
          <w:p w14:paraId="7851EB16" w14:textId="77777777" w:rsidR="00FB2AFE" w:rsidRPr="009E06AA" w:rsidRDefault="00FB2AFE" w:rsidP="00B55F24">
            <w:pPr>
              <w:pStyle w:val="TableText"/>
              <w:spacing w:before="40" w:after="40"/>
            </w:pPr>
            <w:r w:rsidRPr="009E06AA">
              <w:rPr>
                <w:rFonts w:eastAsia="Calibri"/>
                <w:color w:val="000000"/>
              </w:rPr>
              <w:t>NO</w:t>
            </w:r>
            <w:r w:rsidRPr="009E06AA">
              <w:rPr>
                <w:rFonts w:eastAsia="Calibri"/>
                <w:color w:val="000000"/>
                <w:vertAlign w:val="subscript"/>
              </w:rPr>
              <w:t>X</w:t>
            </w:r>
          </w:p>
        </w:tc>
        <w:tc>
          <w:tcPr>
            <w:tcW w:w="0" w:type="auto"/>
            <w:shd w:val="clear" w:color="auto" w:fill="FFFFFF"/>
            <w:tcMar>
              <w:top w:w="0" w:type="dxa"/>
              <w:left w:w="85" w:type="dxa"/>
              <w:bottom w:w="0" w:type="dxa"/>
              <w:right w:w="85" w:type="dxa"/>
            </w:tcMar>
          </w:tcPr>
          <w:p w14:paraId="79B4B203" w14:textId="77777777" w:rsidR="00FB2AFE" w:rsidRPr="009E06AA" w:rsidRDefault="00FB2AFE" w:rsidP="001F77B4">
            <w:pPr>
              <w:pStyle w:val="TableText"/>
              <w:spacing w:before="40" w:after="40"/>
              <w:jc w:val="right"/>
            </w:pPr>
            <w:r w:rsidRPr="009E06AA">
              <w:rPr>
                <w:rFonts w:eastAsia="Calibri"/>
                <w:color w:val="000000"/>
              </w:rPr>
              <w:t>101.9</w:t>
            </w:r>
          </w:p>
        </w:tc>
        <w:tc>
          <w:tcPr>
            <w:tcW w:w="0" w:type="auto"/>
            <w:shd w:val="clear" w:color="auto" w:fill="FFFFFF"/>
            <w:tcMar>
              <w:top w:w="0" w:type="dxa"/>
              <w:left w:w="85" w:type="dxa"/>
              <w:bottom w:w="0" w:type="dxa"/>
              <w:right w:w="85" w:type="dxa"/>
            </w:tcMar>
          </w:tcPr>
          <w:p w14:paraId="241E0338" w14:textId="77777777" w:rsidR="00FB2AFE" w:rsidRPr="009E06AA" w:rsidRDefault="00FB2AFE" w:rsidP="001F77B4">
            <w:pPr>
              <w:pStyle w:val="TableText"/>
              <w:spacing w:before="40" w:after="40"/>
              <w:jc w:val="right"/>
            </w:pPr>
            <w:r w:rsidRPr="009E06AA">
              <w:rPr>
                <w:rFonts w:eastAsia="Calibri"/>
                <w:color w:val="000000"/>
              </w:rPr>
              <w:t>149.3</w:t>
            </w:r>
          </w:p>
        </w:tc>
        <w:tc>
          <w:tcPr>
            <w:tcW w:w="0" w:type="auto"/>
            <w:shd w:val="clear" w:color="auto" w:fill="FFFFFF"/>
            <w:tcMar>
              <w:top w:w="0" w:type="dxa"/>
              <w:left w:w="85" w:type="dxa"/>
              <w:bottom w:w="0" w:type="dxa"/>
              <w:right w:w="85" w:type="dxa"/>
            </w:tcMar>
          </w:tcPr>
          <w:p w14:paraId="2E6E4500" w14:textId="77777777" w:rsidR="00FB2AFE" w:rsidRPr="009E06AA" w:rsidRDefault="00FB2AFE" w:rsidP="001F77B4">
            <w:pPr>
              <w:pStyle w:val="TableText"/>
              <w:spacing w:before="40" w:after="40"/>
              <w:jc w:val="right"/>
            </w:pPr>
            <w:r w:rsidRPr="009E06AA">
              <w:rPr>
                <w:rFonts w:eastAsia="Calibri"/>
                <w:color w:val="000000"/>
              </w:rPr>
              <w:t>47.4</w:t>
            </w:r>
          </w:p>
        </w:tc>
        <w:tc>
          <w:tcPr>
            <w:tcW w:w="0" w:type="auto"/>
            <w:shd w:val="clear" w:color="auto" w:fill="FFFFFF"/>
            <w:tcMar>
              <w:top w:w="0" w:type="dxa"/>
              <w:left w:w="85" w:type="dxa"/>
              <w:bottom w:w="0" w:type="dxa"/>
              <w:right w:w="85" w:type="dxa"/>
            </w:tcMar>
          </w:tcPr>
          <w:p w14:paraId="5759D9AE" w14:textId="77777777" w:rsidR="00FB2AFE" w:rsidRPr="009E06AA" w:rsidRDefault="00FB2AFE" w:rsidP="001F77B4">
            <w:pPr>
              <w:pStyle w:val="TableText"/>
              <w:spacing w:before="40" w:after="40"/>
              <w:jc w:val="right"/>
            </w:pPr>
            <w:r w:rsidRPr="009E06AA">
              <w:rPr>
                <w:rFonts w:eastAsia="Calibri"/>
                <w:color w:val="000000"/>
              </w:rPr>
              <w:t>46.5</w:t>
            </w:r>
          </w:p>
        </w:tc>
      </w:tr>
      <w:tr w:rsidR="00FB2AFE" w:rsidRPr="009E06AA" w14:paraId="55CFEE6F" w14:textId="77777777" w:rsidTr="00B55F24">
        <w:trPr>
          <w:jc w:val="center"/>
        </w:trPr>
        <w:tc>
          <w:tcPr>
            <w:tcW w:w="0" w:type="auto"/>
            <w:shd w:val="clear" w:color="auto" w:fill="FFFFFF"/>
            <w:tcMar>
              <w:top w:w="0" w:type="dxa"/>
              <w:left w:w="85" w:type="dxa"/>
              <w:bottom w:w="0" w:type="dxa"/>
              <w:right w:w="85" w:type="dxa"/>
            </w:tcMar>
          </w:tcPr>
          <w:p w14:paraId="123AF1B9" w14:textId="77777777" w:rsidR="00FB2AFE" w:rsidRPr="009E06AA" w:rsidRDefault="00FB2AFE" w:rsidP="00B55F24">
            <w:pPr>
              <w:pStyle w:val="TableText"/>
              <w:spacing w:before="40" w:after="40"/>
            </w:pPr>
            <w:r w:rsidRPr="009E06AA">
              <w:rPr>
                <w:rFonts w:eastAsia="Calibri"/>
                <w:color w:val="000000"/>
              </w:rPr>
              <w:t>SO</w:t>
            </w:r>
            <w:r w:rsidRPr="009E06AA">
              <w:rPr>
                <w:rFonts w:eastAsia="Calibri"/>
                <w:color w:val="000000"/>
                <w:vertAlign w:val="subscript"/>
              </w:rPr>
              <w:t>2</w:t>
            </w:r>
          </w:p>
        </w:tc>
        <w:tc>
          <w:tcPr>
            <w:tcW w:w="0" w:type="auto"/>
            <w:shd w:val="clear" w:color="auto" w:fill="FFFFFF"/>
            <w:tcMar>
              <w:top w:w="0" w:type="dxa"/>
              <w:left w:w="85" w:type="dxa"/>
              <w:bottom w:w="0" w:type="dxa"/>
              <w:right w:w="85" w:type="dxa"/>
            </w:tcMar>
          </w:tcPr>
          <w:p w14:paraId="7A580B5D" w14:textId="77777777" w:rsidR="00FB2AFE" w:rsidRPr="009E06AA" w:rsidRDefault="00FB2AFE" w:rsidP="001F77B4">
            <w:pPr>
              <w:pStyle w:val="TableText"/>
              <w:spacing w:before="40" w:after="40"/>
              <w:jc w:val="right"/>
            </w:pPr>
            <w:r w:rsidRPr="009E06AA">
              <w:rPr>
                <w:rFonts w:eastAsia="Calibri"/>
                <w:color w:val="000000"/>
              </w:rPr>
              <w:t xml:space="preserve"> 58.6</w:t>
            </w:r>
          </w:p>
        </w:tc>
        <w:tc>
          <w:tcPr>
            <w:tcW w:w="0" w:type="auto"/>
            <w:shd w:val="clear" w:color="auto" w:fill="FFFFFF"/>
            <w:tcMar>
              <w:top w:w="0" w:type="dxa"/>
              <w:left w:w="85" w:type="dxa"/>
              <w:bottom w:w="0" w:type="dxa"/>
              <w:right w:w="85" w:type="dxa"/>
            </w:tcMar>
          </w:tcPr>
          <w:p w14:paraId="1EB8E1BA" w14:textId="77777777" w:rsidR="00FB2AFE" w:rsidRPr="009E06AA" w:rsidRDefault="00FB2AFE" w:rsidP="001F77B4">
            <w:pPr>
              <w:pStyle w:val="TableText"/>
              <w:spacing w:before="40" w:after="40"/>
              <w:jc w:val="right"/>
            </w:pPr>
            <w:r w:rsidRPr="009E06AA">
              <w:rPr>
                <w:rFonts w:eastAsia="Calibri"/>
                <w:color w:val="000000"/>
              </w:rPr>
              <w:t xml:space="preserve"> 54.3</w:t>
            </w:r>
          </w:p>
        </w:tc>
        <w:tc>
          <w:tcPr>
            <w:tcW w:w="0" w:type="auto"/>
            <w:shd w:val="clear" w:color="auto" w:fill="FFFFFF"/>
            <w:tcMar>
              <w:top w:w="0" w:type="dxa"/>
              <w:left w:w="85" w:type="dxa"/>
              <w:bottom w:w="0" w:type="dxa"/>
              <w:right w:w="85" w:type="dxa"/>
            </w:tcMar>
          </w:tcPr>
          <w:p w14:paraId="35B868A0" w14:textId="77777777" w:rsidR="00FB2AFE" w:rsidRPr="009E06AA" w:rsidRDefault="00FB2AFE" w:rsidP="001F77B4">
            <w:pPr>
              <w:pStyle w:val="TableText"/>
              <w:spacing w:before="40" w:after="40"/>
              <w:jc w:val="right"/>
            </w:pPr>
            <w:r w:rsidRPr="009E06AA">
              <w:rPr>
                <w:rFonts w:eastAsia="Calibri"/>
                <w:color w:val="000000"/>
              </w:rPr>
              <w:t>-4.3</w:t>
            </w:r>
          </w:p>
        </w:tc>
        <w:tc>
          <w:tcPr>
            <w:tcW w:w="0" w:type="auto"/>
            <w:shd w:val="clear" w:color="auto" w:fill="FFFFFF"/>
            <w:tcMar>
              <w:top w:w="0" w:type="dxa"/>
              <w:left w:w="85" w:type="dxa"/>
              <w:bottom w:w="0" w:type="dxa"/>
              <w:right w:w="85" w:type="dxa"/>
            </w:tcMar>
          </w:tcPr>
          <w:p w14:paraId="7E92839C" w14:textId="77777777" w:rsidR="00FB2AFE" w:rsidRPr="009E06AA" w:rsidRDefault="00FB2AFE" w:rsidP="001F77B4">
            <w:pPr>
              <w:pStyle w:val="TableText"/>
              <w:spacing w:before="40" w:after="40"/>
              <w:jc w:val="right"/>
            </w:pPr>
            <w:r w:rsidRPr="009E06AA">
              <w:rPr>
                <w:rFonts w:eastAsia="Calibri"/>
                <w:color w:val="000000"/>
              </w:rPr>
              <w:t>-7.4</w:t>
            </w:r>
          </w:p>
        </w:tc>
      </w:tr>
    </w:tbl>
    <w:p w14:paraId="24FAEE6B" w14:textId="77777777" w:rsidR="00FB2AFE" w:rsidRPr="009E06AA" w:rsidRDefault="00FB2AFE" w:rsidP="00FB2AFE">
      <w:pPr>
        <w:pStyle w:val="Noteundertable"/>
      </w:pPr>
      <w:r w:rsidRPr="009E06AA">
        <w:rPr>
          <w:b/>
          <w:bCs/>
        </w:rPr>
        <w:t>Note:</w:t>
      </w:r>
      <w:r w:rsidRPr="009E06AA">
        <w:t xml:space="preserve"> Columns may not total due to rounding. Percentages presented are calculated from unrounded values.</w:t>
      </w:r>
    </w:p>
    <w:p w14:paraId="49994D65" w14:textId="77777777" w:rsidR="00FB2AFE" w:rsidRPr="009E06AA" w:rsidRDefault="00FB2AFE" w:rsidP="00793763">
      <w:pPr>
        <w:pStyle w:val="Heading2"/>
        <w:tabs>
          <w:tab w:val="clear" w:pos="851"/>
          <w:tab w:val="left" w:pos="993"/>
        </w:tabs>
      </w:pPr>
      <w:bookmarkStart w:id="58" w:name="_Toc164154156"/>
      <w:bookmarkStart w:id="59" w:name="es.5.-key-category-analysis"/>
      <w:bookmarkEnd w:id="55"/>
      <w:bookmarkEnd w:id="56"/>
      <w:r w:rsidRPr="009E06AA">
        <w:t>ES.5</w:t>
      </w:r>
      <w:r w:rsidRPr="009E06AA">
        <w:tab/>
        <w:t>Key category analysis</w:t>
      </w:r>
      <w:bookmarkEnd w:id="58"/>
      <w:r w:rsidRPr="009E06AA">
        <w:t xml:space="preserve"> </w:t>
      </w:r>
    </w:p>
    <w:p w14:paraId="193B0352" w14:textId="69DA2BF0" w:rsidR="00FB2AFE" w:rsidRPr="009E06AA" w:rsidRDefault="00FB2AFE" w:rsidP="00FB2AFE">
      <w:pPr>
        <w:pStyle w:val="BodyText"/>
        <w:spacing w:after="100"/>
      </w:pPr>
      <w:r w:rsidRPr="009E06AA">
        <w:t xml:space="preserve">The 2006 Intergovernmental Panel on Climate Change (IPCC) Guidelines for National Greenhouse Gas Inventories (IPCC, 2006) identify a key category as one that is prioritised within the national inventory system because its estimate has a significant influence on a country’s total inventory of direct greenhouse gases in terms of the absolute level of emissions, the trend in emissions, or both. Key categories identified within the </w:t>
      </w:r>
      <w:r w:rsidR="00D339C2">
        <w:t>I</w:t>
      </w:r>
      <w:r w:rsidRPr="009E06AA">
        <w:t>nventory are used to prioritise inventory improvements.</w:t>
      </w:r>
    </w:p>
    <w:p w14:paraId="07FB1C49" w14:textId="77777777" w:rsidR="00FB2AFE" w:rsidRPr="009E06AA" w:rsidRDefault="00FB2AFE" w:rsidP="00FB2AFE">
      <w:pPr>
        <w:pStyle w:val="BodyText"/>
        <w:spacing w:after="100"/>
      </w:pPr>
      <w:r w:rsidRPr="009E06AA">
        <w:t>The categories that had the largest relative influence on the national trend in gross emissions were:</w:t>
      </w:r>
    </w:p>
    <w:p w14:paraId="4778D889" w14:textId="77777777" w:rsidR="00FB2AFE" w:rsidRPr="009E06AA" w:rsidRDefault="00FB2AFE" w:rsidP="00FB2AFE">
      <w:pPr>
        <w:pStyle w:val="Bullet"/>
        <w:tabs>
          <w:tab w:val="num" w:pos="567"/>
        </w:tabs>
        <w:spacing w:after="100"/>
      </w:pPr>
      <w:r w:rsidRPr="009E06AA">
        <w:t>CH</w:t>
      </w:r>
      <w:r w:rsidRPr="009E06AA">
        <w:rPr>
          <w:vertAlign w:val="subscript"/>
        </w:rPr>
        <w:t>4</w:t>
      </w:r>
      <w:r w:rsidRPr="009E06AA">
        <w:t xml:space="preserve"> emissions from </w:t>
      </w:r>
      <w:r w:rsidRPr="009E06AA">
        <w:rPr>
          <w:i/>
          <w:iCs/>
        </w:rPr>
        <w:t>Sheep – Enteric fermentation</w:t>
      </w:r>
      <w:r w:rsidRPr="009E06AA">
        <w:t xml:space="preserve"> (21.9 per cent as a decrease)</w:t>
      </w:r>
    </w:p>
    <w:p w14:paraId="0217EC92" w14:textId="77777777" w:rsidR="00FB2AFE" w:rsidRPr="009E06AA" w:rsidRDefault="00FB2AFE" w:rsidP="00FB2AFE">
      <w:pPr>
        <w:pStyle w:val="Bullet"/>
        <w:tabs>
          <w:tab w:val="num" w:pos="567"/>
        </w:tabs>
        <w:spacing w:after="100"/>
      </w:pPr>
      <w:r w:rsidRPr="009E06AA">
        <w:t>CH</w:t>
      </w:r>
      <w:r w:rsidRPr="009E06AA">
        <w:rPr>
          <w:vertAlign w:val="subscript"/>
        </w:rPr>
        <w:t>4</w:t>
      </w:r>
      <w:r w:rsidRPr="009E06AA">
        <w:t xml:space="preserve"> emissions from </w:t>
      </w:r>
      <w:r w:rsidRPr="009E06AA">
        <w:rPr>
          <w:i/>
          <w:iCs/>
        </w:rPr>
        <w:t>Dairy cattle – Enteric fermentation</w:t>
      </w:r>
      <w:r w:rsidRPr="009E06AA">
        <w:t xml:space="preserve"> (18.6 per cent as an increase)</w:t>
      </w:r>
    </w:p>
    <w:p w14:paraId="6ADB469F" w14:textId="77777777" w:rsidR="00FB2AFE" w:rsidRPr="009E06AA" w:rsidRDefault="00FB2AFE" w:rsidP="00FB2AFE">
      <w:pPr>
        <w:pStyle w:val="Bullet"/>
        <w:tabs>
          <w:tab w:val="num" w:pos="567"/>
        </w:tabs>
        <w:spacing w:after="100"/>
      </w:pPr>
      <w:r w:rsidRPr="009E06AA">
        <w:t>CO</w:t>
      </w:r>
      <w:r w:rsidRPr="009E06AA">
        <w:rPr>
          <w:vertAlign w:val="subscript"/>
        </w:rPr>
        <w:t>2</w:t>
      </w:r>
      <w:r w:rsidRPr="009E06AA">
        <w:t xml:space="preserve"> emissions from </w:t>
      </w:r>
      <w:r w:rsidRPr="009E06AA">
        <w:rPr>
          <w:i/>
          <w:iCs/>
        </w:rPr>
        <w:t>Road transportation – Liquid fuels</w:t>
      </w:r>
      <w:r w:rsidRPr="009E06AA">
        <w:t xml:space="preserve"> (11.4 per cent as an increase)</w:t>
      </w:r>
    </w:p>
    <w:p w14:paraId="79313AB2" w14:textId="77777777" w:rsidR="00FB2AFE" w:rsidRPr="009E06AA" w:rsidRDefault="00FB2AFE" w:rsidP="00FB2AFE">
      <w:pPr>
        <w:pStyle w:val="Bullet"/>
        <w:tabs>
          <w:tab w:val="num" w:pos="567"/>
        </w:tabs>
        <w:spacing w:after="100"/>
      </w:pPr>
      <w:r w:rsidRPr="009E06AA">
        <w:t>CO</w:t>
      </w:r>
      <w:r w:rsidRPr="009E06AA">
        <w:rPr>
          <w:vertAlign w:val="subscript"/>
        </w:rPr>
        <w:t>2</w:t>
      </w:r>
      <w:r w:rsidRPr="009E06AA">
        <w:t xml:space="preserve"> emissions from </w:t>
      </w:r>
      <w:r w:rsidRPr="009E06AA">
        <w:rPr>
          <w:i/>
          <w:iCs/>
        </w:rPr>
        <w:t>Energy industries – Manufacture of solid fuels and Other energy industries – Gaseous fuels</w:t>
      </w:r>
      <w:r w:rsidRPr="009E06AA">
        <w:t xml:space="preserve"> (4.1 per cent as a decrease).</w:t>
      </w:r>
    </w:p>
    <w:p w14:paraId="70A5B606" w14:textId="77777777" w:rsidR="00FB2AFE" w:rsidRPr="009E06AA" w:rsidRDefault="00FB2AFE" w:rsidP="00FB2AFE">
      <w:pPr>
        <w:pStyle w:val="BodyText"/>
        <w:spacing w:after="100"/>
      </w:pPr>
      <w:r w:rsidRPr="009E06AA">
        <w:t>The categories that had the largest relative influence on the trend in net emissions were:</w:t>
      </w:r>
    </w:p>
    <w:p w14:paraId="2044EBA8" w14:textId="77777777" w:rsidR="00FB2AFE" w:rsidRPr="009E06AA" w:rsidRDefault="00FB2AFE" w:rsidP="00FB2AFE">
      <w:pPr>
        <w:pStyle w:val="Bullet"/>
        <w:tabs>
          <w:tab w:val="num" w:pos="567"/>
        </w:tabs>
        <w:spacing w:after="100"/>
      </w:pPr>
      <w:r w:rsidRPr="009E06AA">
        <w:t>CH</w:t>
      </w:r>
      <w:r w:rsidRPr="009E06AA">
        <w:rPr>
          <w:vertAlign w:val="subscript"/>
        </w:rPr>
        <w:t>4</w:t>
      </w:r>
      <w:r w:rsidRPr="009E06AA">
        <w:t xml:space="preserve"> emissions from </w:t>
      </w:r>
      <w:r w:rsidRPr="009E06AA">
        <w:rPr>
          <w:i/>
          <w:iCs/>
        </w:rPr>
        <w:t>Sheep – Enteric fermentation</w:t>
      </w:r>
      <w:r w:rsidRPr="009E06AA">
        <w:t xml:space="preserve"> (16.2 per cent as a decrease)</w:t>
      </w:r>
    </w:p>
    <w:p w14:paraId="0F116007" w14:textId="77777777" w:rsidR="00FB2AFE" w:rsidRPr="009E06AA" w:rsidRDefault="00FB2AFE" w:rsidP="00FB2AFE">
      <w:pPr>
        <w:pStyle w:val="Bullet"/>
        <w:tabs>
          <w:tab w:val="num" w:pos="567"/>
        </w:tabs>
        <w:spacing w:after="100"/>
      </w:pPr>
      <w:r w:rsidRPr="009E06AA">
        <w:t>CO</w:t>
      </w:r>
      <w:r w:rsidRPr="009E06AA">
        <w:rPr>
          <w:vertAlign w:val="subscript"/>
        </w:rPr>
        <w:t>2</w:t>
      </w:r>
      <w:r w:rsidRPr="009E06AA">
        <w:t xml:space="preserve"> emissions from </w:t>
      </w:r>
      <w:r w:rsidRPr="009E06AA">
        <w:rPr>
          <w:i/>
          <w:iCs/>
        </w:rPr>
        <w:t>Forest land remaining forest land</w:t>
      </w:r>
      <w:r w:rsidRPr="009E06AA">
        <w:t xml:space="preserve"> (14.7 per cent as a decrease)</w:t>
      </w:r>
    </w:p>
    <w:p w14:paraId="289DB7C6" w14:textId="77777777" w:rsidR="00FB2AFE" w:rsidRPr="009E06AA" w:rsidRDefault="00FB2AFE" w:rsidP="00FB2AFE">
      <w:pPr>
        <w:pStyle w:val="Bullet"/>
        <w:tabs>
          <w:tab w:val="num" w:pos="567"/>
        </w:tabs>
        <w:spacing w:after="100"/>
      </w:pPr>
      <w:r w:rsidRPr="009E06AA">
        <w:t>CO</w:t>
      </w:r>
      <w:r w:rsidRPr="009E06AA">
        <w:rPr>
          <w:vertAlign w:val="subscript"/>
        </w:rPr>
        <w:t>2</w:t>
      </w:r>
      <w:r w:rsidRPr="009E06AA">
        <w:t xml:space="preserve"> emissions from </w:t>
      </w:r>
      <w:r w:rsidRPr="009E06AA">
        <w:rPr>
          <w:i/>
          <w:iCs/>
        </w:rPr>
        <w:t>Forest land – Land converted to forest land</w:t>
      </w:r>
      <w:r w:rsidRPr="009E06AA">
        <w:t xml:space="preserve"> (12.5 per cent as an increase)</w:t>
      </w:r>
    </w:p>
    <w:p w14:paraId="459FE87E" w14:textId="77777777" w:rsidR="00FB2AFE" w:rsidRPr="009E06AA" w:rsidRDefault="00FB2AFE" w:rsidP="00FB2AFE">
      <w:pPr>
        <w:pStyle w:val="Bullet"/>
        <w:tabs>
          <w:tab w:val="num" w:pos="567"/>
        </w:tabs>
      </w:pPr>
      <w:r w:rsidRPr="009E06AA">
        <w:t>CH</w:t>
      </w:r>
      <w:r w:rsidRPr="009E06AA">
        <w:rPr>
          <w:vertAlign w:val="subscript"/>
        </w:rPr>
        <w:t>4</w:t>
      </w:r>
      <w:r w:rsidRPr="009E06AA">
        <w:t xml:space="preserve"> emissions from </w:t>
      </w:r>
      <w:r w:rsidRPr="009E06AA">
        <w:rPr>
          <w:i/>
          <w:iCs/>
        </w:rPr>
        <w:t>Dairy cattle – Enteric fermentation</w:t>
      </w:r>
      <w:r w:rsidRPr="009E06AA">
        <w:t xml:space="preserve"> (8.7 per cent as an increase).</w:t>
      </w:r>
    </w:p>
    <w:p w14:paraId="22A70124" w14:textId="77777777" w:rsidR="00FB2AFE" w:rsidRPr="009E06AA" w:rsidRDefault="00FB2AFE" w:rsidP="00FB2AFE">
      <w:pPr>
        <w:pStyle w:val="BodyText"/>
      </w:pPr>
      <w:r w:rsidRPr="009E06AA">
        <w:t>Details and results of the key category assessments are presented in annex 1.</w:t>
      </w:r>
    </w:p>
    <w:p w14:paraId="7BE393F9" w14:textId="50B034C9" w:rsidR="00FB2AFE" w:rsidRPr="009E06AA" w:rsidRDefault="00FB2AFE" w:rsidP="00793763">
      <w:pPr>
        <w:pStyle w:val="Heading2"/>
        <w:tabs>
          <w:tab w:val="clear" w:pos="851"/>
          <w:tab w:val="left" w:pos="993"/>
        </w:tabs>
      </w:pPr>
      <w:bookmarkStart w:id="60" w:name="_Toc164154157"/>
      <w:bookmarkStart w:id="61" w:name="Xbfc736d26c5b3ac544e4014a52dff2b511433ac"/>
      <w:bookmarkEnd w:id="59"/>
      <w:r w:rsidRPr="009E06AA">
        <w:t>ES.6</w:t>
      </w:r>
      <w:r w:rsidR="00793763" w:rsidRPr="009E06AA">
        <w:tab/>
      </w:r>
      <w:r w:rsidRPr="009E06AA">
        <w:t>Improvements introduced</w:t>
      </w:r>
      <w:bookmarkEnd w:id="60"/>
      <w:r w:rsidRPr="009E06AA">
        <w:t xml:space="preserve"> </w:t>
      </w:r>
    </w:p>
    <w:p w14:paraId="64B0A5C0" w14:textId="766135EA" w:rsidR="00FB2AFE" w:rsidRPr="009E06AA" w:rsidRDefault="00FB2AFE" w:rsidP="00FB2AFE">
      <w:pPr>
        <w:pStyle w:val="BodyText"/>
      </w:pPr>
      <w:r w:rsidRPr="009E06AA">
        <w:t xml:space="preserve">The </w:t>
      </w:r>
      <w:r w:rsidR="00D339C2">
        <w:t>I</w:t>
      </w:r>
      <w:r w:rsidRPr="009E06AA">
        <w:t xml:space="preserve">nventory follows a process of continuous improvement consistent with the IPCC principles. The 2006 IPCC Guidelines (IPCC, 2006) provide guidance on building and maintaining inventories that are consistent, comparable, complete, accurate and transparent in a manner that improves inventory quality over time. A range of improvements have been made to the </w:t>
      </w:r>
      <w:r w:rsidR="00D339C2">
        <w:t>I</w:t>
      </w:r>
      <w:r w:rsidRPr="009E06AA">
        <w:t xml:space="preserve">nventory since the last submission. Improvements are made from year to year, to follow recommendations from international expert review teams, correct errors and implement additional changes planned by the agencies involved in preparing the </w:t>
      </w:r>
      <w:r w:rsidR="00D339C2">
        <w:t>I</w:t>
      </w:r>
      <w:r w:rsidRPr="009E06AA">
        <w:t>nventory.</w:t>
      </w:r>
    </w:p>
    <w:p w14:paraId="67D39EF9" w14:textId="77777777" w:rsidR="00FB2AFE" w:rsidRPr="009E06AA" w:rsidRDefault="00FB2AFE" w:rsidP="00FB2AFE">
      <w:pPr>
        <w:pStyle w:val="BodyText"/>
      </w:pPr>
      <w:r w:rsidRPr="009E06AA">
        <w:t>When improvements are made, it is good practice to recalculate the whole time series from 1990 to the current inventory year to ensure a consistent time series. This means estimates of emissions and/or removals in a given year may differ from emissions and/or removals reported in the previous submission.</w:t>
      </w:r>
    </w:p>
    <w:p w14:paraId="3C86A9B3" w14:textId="0A5E4029" w:rsidR="00FB2AFE" w:rsidRPr="009E06AA" w:rsidRDefault="00FB2AFE" w:rsidP="00FB2AFE">
      <w:pPr>
        <w:pStyle w:val="BodyText"/>
      </w:pPr>
      <w:r w:rsidRPr="009E06AA">
        <w:t>The main improvements by sector are outlined below. Chapter 10 provides information on all recalculations made to the estimates. Throughout this inventory, recalculations are presented by applying 100-year time horizon global warming potential values from the IPCC Fifth Assessment Report (IPCC, 2013) for both the previous and current submission to ensure a like</w:t>
      </w:r>
      <w:r w:rsidRPr="009E06AA">
        <w:noBreakHyphen/>
        <w:t xml:space="preserve">for-like comparison. The change in reporting basis from applying the 100-year time </w:t>
      </w:r>
      <w:r w:rsidRPr="009E06AA">
        <w:rPr>
          <w:spacing w:val="-2"/>
        </w:rPr>
        <w:t>horizon global warming potential Fourth Assessment Report values (IPCC, 2007) in the previous</w:t>
      </w:r>
      <w:r w:rsidRPr="009E06AA">
        <w:t xml:space="preserve"> submission to Fifth Assessment Report values in the current submission has not been considered as a recalculation to the </w:t>
      </w:r>
      <w:r w:rsidR="00D339C2">
        <w:t>I</w:t>
      </w:r>
      <w:r w:rsidRPr="009E06AA">
        <w:t>nventory.</w:t>
      </w:r>
    </w:p>
    <w:p w14:paraId="1528F971" w14:textId="77777777" w:rsidR="00FB2AFE" w:rsidRPr="009E06AA" w:rsidRDefault="00FB2AFE" w:rsidP="00FB2AFE">
      <w:pPr>
        <w:pStyle w:val="BodyText"/>
      </w:pPr>
      <w:r w:rsidRPr="009E06AA">
        <w:t>The overall impact of inventory improvements on New Zealand’s gross emissions was a 1.5 per cent (1,051.7 kt CO₂-e) increase in gross emissions in 1990 and a 2.5 per cent (1,995.4 kt CO₂-e) increase for the 2021 year.</w:t>
      </w:r>
    </w:p>
    <w:p w14:paraId="5FF62D7B" w14:textId="77777777" w:rsidR="00FB2AFE" w:rsidRPr="009E06AA" w:rsidRDefault="00FB2AFE" w:rsidP="00FB2AFE">
      <w:pPr>
        <w:pStyle w:val="BodyText"/>
      </w:pPr>
      <w:r w:rsidRPr="009E06AA">
        <w:t>The overall impact of inventory improvements on net emissions estimates, which include the LULUCF sector was a decrease of 6.4 per cent (3,073.8 kt CO₂-e) in net emissions in 1990 and an increase of 4.4 per cent (2,591.5 kt CO₂-e) in net emissions in 2021.</w:t>
      </w:r>
    </w:p>
    <w:p w14:paraId="023BA1D4" w14:textId="77777777" w:rsidR="00FB2AFE" w:rsidRPr="009E06AA" w:rsidRDefault="00FB2AFE" w:rsidP="00FB2AFE">
      <w:pPr>
        <w:pStyle w:val="BodyText"/>
        <w:spacing w:after="100"/>
      </w:pPr>
      <w:r w:rsidRPr="009E06AA">
        <w:t xml:space="preserve">The emissions impact of improvements introduced are provided in relation to 1990 and the previous year inventoried, as that is the last year in the time series that can be compared using previous methods. </w:t>
      </w:r>
    </w:p>
    <w:p w14:paraId="44BBE2D6" w14:textId="77777777" w:rsidR="00FB2AFE" w:rsidRPr="009E06AA" w:rsidRDefault="00FB2AFE" w:rsidP="00FB2AFE">
      <w:pPr>
        <w:pStyle w:val="Heading3"/>
        <w:spacing w:before="320"/>
      </w:pPr>
      <w:bookmarkStart w:id="62" w:name="energy-chapter-3-1"/>
      <w:r w:rsidRPr="009E06AA">
        <w:t>Energy (chapter 3)</w:t>
      </w:r>
    </w:p>
    <w:p w14:paraId="76F9F4A6" w14:textId="77777777" w:rsidR="00FB2AFE" w:rsidRPr="009E06AA" w:rsidRDefault="00FB2AFE" w:rsidP="00FB2AFE">
      <w:pPr>
        <w:pStyle w:val="BodyText"/>
        <w:spacing w:before="100" w:after="100"/>
      </w:pPr>
      <w:r w:rsidRPr="009E06AA">
        <w:t>There have been no methodological improvements made to the Energy sector since the previous submission. All source-specific planned improvements are discussed in their corresponding sections in chapter 3.</w:t>
      </w:r>
    </w:p>
    <w:p w14:paraId="6E2B6B07" w14:textId="77777777" w:rsidR="00FB2AFE" w:rsidRPr="009E06AA" w:rsidRDefault="00FB2AFE" w:rsidP="00FB2AFE">
      <w:pPr>
        <w:pStyle w:val="BodyText"/>
        <w:spacing w:before="100" w:after="100"/>
      </w:pPr>
      <w:r w:rsidRPr="009E06AA">
        <w:t>Changes to activity data in the Energy sector have resulted in a 0.01 per cent (1.5 kt CO</w:t>
      </w:r>
      <w:r w:rsidRPr="009E06AA">
        <w:rPr>
          <w:vertAlign w:val="subscript"/>
        </w:rPr>
        <w:t>2</w:t>
      </w:r>
      <w:r w:rsidRPr="009E06AA">
        <w:t>-e) increase in estimated energy emissions in 1990 and a 0.05 per cent (14.8 kt CO</w:t>
      </w:r>
      <w:r w:rsidRPr="009E06AA">
        <w:rPr>
          <w:vertAlign w:val="subscript"/>
        </w:rPr>
        <w:t>2</w:t>
      </w:r>
      <w:r w:rsidRPr="009E06AA">
        <w:t>-e) decrease in estimated energy emissions in 2021.</w:t>
      </w:r>
    </w:p>
    <w:p w14:paraId="12B5ECF2" w14:textId="77777777" w:rsidR="00FB2AFE" w:rsidRPr="009E06AA" w:rsidRDefault="00FB2AFE" w:rsidP="00FB2AFE">
      <w:pPr>
        <w:pStyle w:val="Heading3"/>
        <w:spacing w:before="320"/>
      </w:pPr>
      <w:bookmarkStart w:id="63" w:name="ippu-chapter-4-1"/>
      <w:bookmarkEnd w:id="62"/>
      <w:r w:rsidRPr="009E06AA">
        <w:t>IPPU (chapter 4)</w:t>
      </w:r>
    </w:p>
    <w:p w14:paraId="684FCE10" w14:textId="77777777" w:rsidR="00FB2AFE" w:rsidRPr="009E06AA" w:rsidRDefault="00FB2AFE" w:rsidP="00FB2AFE">
      <w:pPr>
        <w:pStyle w:val="BodyText"/>
        <w:spacing w:before="100" w:after="100"/>
      </w:pPr>
      <w:r w:rsidRPr="009E06AA">
        <w:t xml:space="preserve">For the IPPU sector, several improvements in the </w:t>
      </w:r>
      <w:r w:rsidRPr="009E06AA">
        <w:rPr>
          <w:i/>
          <w:iCs/>
        </w:rPr>
        <w:t>Refrigeration and air conditioning</w:t>
      </w:r>
      <w:r w:rsidRPr="009E06AA">
        <w:t xml:space="preserve"> category </w:t>
      </w:r>
      <w:r w:rsidRPr="009E06AA">
        <w:rPr>
          <w:spacing w:val="-2"/>
        </w:rPr>
        <w:t>were made to better account for changes in stocks held by importers and users. These included:</w:t>
      </w:r>
    </w:p>
    <w:p w14:paraId="58A126F5" w14:textId="77777777" w:rsidR="00FB2AFE" w:rsidRPr="009E06AA" w:rsidRDefault="00FB2AFE" w:rsidP="00E16670">
      <w:pPr>
        <w:pStyle w:val="Bullet"/>
        <w:spacing w:after="100"/>
      </w:pPr>
      <w:r w:rsidRPr="009E06AA">
        <w:t>changes to activity data for the early retirement of heat pumps (a reduction)</w:t>
      </w:r>
    </w:p>
    <w:p w14:paraId="39607B77" w14:textId="77777777" w:rsidR="00FB2AFE" w:rsidRPr="009E06AA" w:rsidRDefault="00FB2AFE" w:rsidP="00E16670">
      <w:pPr>
        <w:pStyle w:val="Bullet"/>
        <w:spacing w:after="100"/>
      </w:pPr>
      <w:r w:rsidRPr="009E06AA">
        <w:t>changes to activity data for refrigerant recycling (a reduction)</w:t>
      </w:r>
    </w:p>
    <w:p w14:paraId="456D64BD" w14:textId="77777777" w:rsidR="00FB2AFE" w:rsidRPr="009E06AA" w:rsidRDefault="00FB2AFE" w:rsidP="00E16670">
      <w:pPr>
        <w:pStyle w:val="Bullet"/>
        <w:spacing w:after="100"/>
      </w:pPr>
      <w:r w:rsidRPr="009E06AA">
        <w:t>changes to activity data for early retirement of air conditioners (an increase) with a consequent spike in disposal trends</w:t>
      </w:r>
    </w:p>
    <w:p w14:paraId="10BE7EB4" w14:textId="77777777" w:rsidR="00FB2AFE" w:rsidRPr="009E06AA" w:rsidRDefault="00FB2AFE" w:rsidP="00E16670">
      <w:pPr>
        <w:pStyle w:val="Bullet"/>
        <w:spacing w:after="100"/>
      </w:pPr>
      <w:r w:rsidRPr="009E06AA">
        <w:t>reassessment of historical emissions between 2014 and 2020.</w:t>
      </w:r>
    </w:p>
    <w:p w14:paraId="770F8346" w14:textId="77777777" w:rsidR="00FB2AFE" w:rsidRPr="009E06AA" w:rsidRDefault="00FB2AFE" w:rsidP="00FB2AFE">
      <w:pPr>
        <w:pStyle w:val="BodyText"/>
        <w:spacing w:after="100"/>
      </w:pPr>
      <w:r w:rsidRPr="009E06AA">
        <w:t>Improvements and recalculations made to the IPPU sector have resulted in a 0.1 per cent (2.3 kt CO₂-e) decrease for 1990 and a 4.3 per cent (193.8 kt CO₂-e) increase in emissions estimates for 2021.</w:t>
      </w:r>
    </w:p>
    <w:p w14:paraId="292C0400" w14:textId="77777777" w:rsidR="00FB2AFE" w:rsidRPr="009E06AA" w:rsidRDefault="00FB2AFE" w:rsidP="00FB2AFE">
      <w:pPr>
        <w:pStyle w:val="Heading3"/>
        <w:spacing w:before="320"/>
      </w:pPr>
      <w:bookmarkStart w:id="64" w:name="agriculture-chapter-5-1"/>
      <w:bookmarkEnd w:id="63"/>
      <w:r w:rsidRPr="009E06AA">
        <w:t>Agriculture (chapter 5)</w:t>
      </w:r>
    </w:p>
    <w:p w14:paraId="18A23950" w14:textId="77777777" w:rsidR="00FB2AFE" w:rsidRPr="009E06AA" w:rsidRDefault="00FB2AFE" w:rsidP="00FB2AFE">
      <w:pPr>
        <w:pStyle w:val="BodyText"/>
        <w:spacing w:before="100" w:after="100"/>
      </w:pPr>
      <w:r w:rsidRPr="009E06AA">
        <w:t>The following improvements and corrections were made to the Agriculture sector.</w:t>
      </w:r>
    </w:p>
    <w:p w14:paraId="227D6637" w14:textId="77777777" w:rsidR="00FB2AFE" w:rsidRPr="009E06AA" w:rsidRDefault="00FB2AFE" w:rsidP="00E16670">
      <w:pPr>
        <w:pStyle w:val="Bullet"/>
        <w:spacing w:after="100"/>
      </w:pPr>
      <w:r w:rsidRPr="009E06AA">
        <w:t>Estimates of within-year beef cattle population variation and liveweights at slaughter have been improved. For details on this improvement, see chapter 5, section 5.2.5, and chapter 10, section 10.1.5.</w:t>
      </w:r>
    </w:p>
    <w:p w14:paraId="3FC70FA4" w14:textId="77777777" w:rsidR="00FB2AFE" w:rsidRPr="009E06AA" w:rsidRDefault="00FB2AFE" w:rsidP="00E16670">
      <w:pPr>
        <w:pStyle w:val="Bullet"/>
        <w:spacing w:after="100"/>
      </w:pPr>
      <w:r w:rsidRPr="009E06AA">
        <w:t>The proportion of lambs held over to a second slaughter date has been updated. For details on this improvement, see chapter 5, section 5.2.5, and chapter 10, section 10.1.5.</w:t>
      </w:r>
    </w:p>
    <w:p w14:paraId="52AFE13E" w14:textId="3B3DDAAD" w:rsidR="00FB2AFE" w:rsidRPr="009E06AA" w:rsidRDefault="00FB2AFE" w:rsidP="00E16670">
      <w:pPr>
        <w:pStyle w:val="Bullet"/>
        <w:spacing w:after="100"/>
      </w:pPr>
      <w:r w:rsidRPr="009E06AA">
        <w:t>A number of error corrections and improvements to the model code have been made, and</w:t>
      </w:r>
      <w:r w:rsidR="006C5E88" w:rsidRPr="009E06AA">
        <w:t> </w:t>
      </w:r>
      <w:r w:rsidRPr="009E06AA">
        <w:t>the model has been migrated from an Excel-based system to an R-based system. For details on this improvement, see chapter 10, section 10.1.5.</w:t>
      </w:r>
    </w:p>
    <w:p w14:paraId="4060D91F" w14:textId="77777777" w:rsidR="00FB2AFE" w:rsidRPr="009E06AA" w:rsidRDefault="00FB2AFE" w:rsidP="00FB2AFE">
      <w:pPr>
        <w:pStyle w:val="BodyText"/>
        <w:spacing w:before="100" w:after="100"/>
      </w:pPr>
      <w:r w:rsidRPr="009E06AA">
        <w:t>Improvements and recalculations made to the Agriculture sector in the 2024 submission have resulted in a 3.0 per cent (1,068.6 kt CO</w:t>
      </w:r>
      <w:r w:rsidRPr="009E06AA">
        <w:rPr>
          <w:vertAlign w:val="subscript"/>
        </w:rPr>
        <w:t>2</w:t>
      </w:r>
      <w:r w:rsidRPr="009E06AA">
        <w:t>-e) increase in estimated agricultural emissions in 1990 and a 4.5 per cent (1,823.0 kt CO</w:t>
      </w:r>
      <w:r w:rsidRPr="009E06AA">
        <w:rPr>
          <w:vertAlign w:val="subscript"/>
        </w:rPr>
        <w:t>2</w:t>
      </w:r>
      <w:r w:rsidRPr="009E06AA">
        <w:t>-e) increase in estimated agricultural emissions in 2021.</w:t>
      </w:r>
    </w:p>
    <w:p w14:paraId="5E764CAE" w14:textId="77777777" w:rsidR="00FB2AFE" w:rsidRPr="009E06AA" w:rsidRDefault="00FB2AFE" w:rsidP="00FB2AFE">
      <w:pPr>
        <w:pStyle w:val="Heading3"/>
        <w:spacing w:before="320"/>
      </w:pPr>
      <w:bookmarkStart w:id="65" w:name="lulucf-chapter-6-1"/>
      <w:bookmarkEnd w:id="64"/>
      <w:r w:rsidRPr="009E06AA">
        <w:t>LULUCF (chapter 6)</w:t>
      </w:r>
    </w:p>
    <w:p w14:paraId="7B68A7EB" w14:textId="77777777" w:rsidR="00FB2AFE" w:rsidRPr="009E06AA" w:rsidRDefault="00FB2AFE" w:rsidP="00FB2AFE">
      <w:pPr>
        <w:pStyle w:val="BodyText"/>
        <w:spacing w:before="100"/>
      </w:pPr>
      <w:r w:rsidRPr="009E06AA">
        <w:t xml:space="preserve">The main improvements introduced to this submission for the LULUCF sector are in the </w:t>
      </w:r>
      <w:r w:rsidRPr="009E06AA">
        <w:rPr>
          <w:i/>
          <w:iCs/>
        </w:rPr>
        <w:t>Forest land</w:t>
      </w:r>
      <w:r w:rsidRPr="009E06AA">
        <w:t xml:space="preserve"> category. Note that </w:t>
      </w:r>
      <w:r w:rsidRPr="009E06AA">
        <w:rPr>
          <w:i/>
          <w:iCs/>
        </w:rPr>
        <w:t>Forest land</w:t>
      </w:r>
      <w:r w:rsidRPr="009E06AA">
        <w:t xml:space="preserve"> contributes the majority of net emissions to the LULUCF sector and makes the greatest contribution to the uncertainties; therefore, inventory improvements to </w:t>
      </w:r>
      <w:r w:rsidRPr="009E06AA">
        <w:rPr>
          <w:i/>
          <w:iCs/>
        </w:rPr>
        <w:t>Forest land</w:t>
      </w:r>
      <w:r w:rsidRPr="009E06AA">
        <w:t xml:space="preserve"> are generally prioritised.</w:t>
      </w:r>
    </w:p>
    <w:p w14:paraId="78FED41C" w14:textId="77777777" w:rsidR="00FB2AFE" w:rsidRPr="009E06AA" w:rsidRDefault="00FB2AFE" w:rsidP="00FB2AFE">
      <w:pPr>
        <w:pStyle w:val="BodyText"/>
        <w:spacing w:after="100"/>
      </w:pPr>
      <w:r w:rsidRPr="009E06AA">
        <w:t>The following improvements have resulted in the biggest impacts on recalculations.</w:t>
      </w:r>
    </w:p>
    <w:p w14:paraId="631C2C2F" w14:textId="77777777" w:rsidR="00FB2AFE" w:rsidRPr="009E06AA" w:rsidRDefault="00FB2AFE" w:rsidP="00E16670">
      <w:pPr>
        <w:pStyle w:val="Bullet"/>
        <w:spacing w:after="100"/>
      </w:pPr>
      <w:r w:rsidRPr="009E06AA">
        <w:t>The pre-1990 and post-1989 planted forest yield tables</w:t>
      </w:r>
      <w:r w:rsidRPr="009E06AA">
        <w:rPr>
          <w:vertAlign w:val="superscript"/>
        </w:rPr>
        <w:footnoteReference w:id="4"/>
      </w:r>
      <w:r w:rsidRPr="009E06AA">
        <w:t xml:space="preserve"> were updated. These updates resulted in a decrease in emissions of approximately 330.8 kt CO</w:t>
      </w:r>
      <w:r w:rsidRPr="009E06AA">
        <w:rPr>
          <w:vertAlign w:val="subscript"/>
        </w:rPr>
        <w:t>2</w:t>
      </w:r>
      <w:r w:rsidRPr="009E06AA">
        <w:t>-e in 1990 and an increase in emissions of approximately 383.2 kt CO</w:t>
      </w:r>
      <w:r w:rsidRPr="009E06AA">
        <w:rPr>
          <w:vertAlign w:val="subscript"/>
        </w:rPr>
        <w:t>2</w:t>
      </w:r>
      <w:r w:rsidRPr="009E06AA">
        <w:t>-e in 2021.</w:t>
      </w:r>
    </w:p>
    <w:p w14:paraId="4AD7E436" w14:textId="77777777" w:rsidR="00FB2AFE" w:rsidRPr="009E06AA" w:rsidRDefault="00FB2AFE" w:rsidP="00E16670">
      <w:pPr>
        <w:pStyle w:val="Bullet"/>
        <w:spacing w:after="100"/>
      </w:pPr>
      <w:r w:rsidRPr="009E06AA">
        <w:t>A series of planted forest modelling improvements was made. The collective impact of these improvements reduced net emissions by approximately 3,898.8 kt CO</w:t>
      </w:r>
      <w:r w:rsidRPr="009E06AA">
        <w:rPr>
          <w:vertAlign w:val="subscript"/>
        </w:rPr>
        <w:t>2</w:t>
      </w:r>
      <w:r w:rsidRPr="009E06AA">
        <w:t>-e in 1990 and increased them by approximately 216.9 kt CO</w:t>
      </w:r>
      <w:r w:rsidRPr="009E06AA">
        <w:rPr>
          <w:vertAlign w:val="subscript"/>
        </w:rPr>
        <w:t>2</w:t>
      </w:r>
      <w:r w:rsidRPr="009E06AA">
        <w:t>-e</w:t>
      </w:r>
      <w:r w:rsidRPr="009E06AA" w:rsidDel="007163E3">
        <w:t xml:space="preserve"> </w:t>
      </w:r>
      <w:r w:rsidRPr="009E06AA">
        <w:t>in 2021.</w:t>
      </w:r>
    </w:p>
    <w:p w14:paraId="575ABCFD" w14:textId="77777777" w:rsidR="00FB2AFE" w:rsidRPr="009E06AA" w:rsidRDefault="00FB2AFE" w:rsidP="00E16670">
      <w:pPr>
        <w:pStyle w:val="Bullet"/>
        <w:spacing w:after="100"/>
      </w:pPr>
      <w:r w:rsidRPr="009E06AA">
        <w:t>A new land use map (LUM 2020) was incorporated, including wall-to-wall mapping of land</w:t>
      </w:r>
      <w:r w:rsidRPr="009E06AA">
        <w:noBreakHyphen/>
        <w:t>use change up to 31 December 2020. This resulted in an increase in emissions of 46.7 kt CO</w:t>
      </w:r>
      <w:r w:rsidRPr="009E06AA">
        <w:rPr>
          <w:vertAlign w:val="subscript"/>
        </w:rPr>
        <w:t>2</w:t>
      </w:r>
      <w:r w:rsidRPr="009E06AA">
        <w:t>-e in 1990 and an increase of 54.1 kt CO</w:t>
      </w:r>
      <w:r w:rsidRPr="009E06AA">
        <w:rPr>
          <w:vertAlign w:val="subscript"/>
        </w:rPr>
        <w:t>2</w:t>
      </w:r>
      <w:r w:rsidRPr="009E06AA">
        <w:t>-e in 2021.</w:t>
      </w:r>
    </w:p>
    <w:p w14:paraId="4F1119CA" w14:textId="77777777" w:rsidR="00FB2AFE" w:rsidRPr="009E06AA" w:rsidRDefault="00FB2AFE" w:rsidP="00E16670">
      <w:pPr>
        <w:pStyle w:val="Bullet"/>
        <w:spacing w:after="100"/>
      </w:pPr>
      <w:r w:rsidRPr="009E06AA">
        <w:t>Improvements to the method used to estimate deforestation have been made. The emissions impact of revising the deforestation estimate for 2021 is an increase of approximately 374.9 kt CO</w:t>
      </w:r>
      <w:r w:rsidRPr="009E06AA">
        <w:rPr>
          <w:vertAlign w:val="subscript"/>
        </w:rPr>
        <w:t>2</w:t>
      </w:r>
      <w:r w:rsidRPr="009E06AA">
        <w:t xml:space="preserve">-e. This improvement is also largely responsible for the 59.1 per cent increase in emissions reported in the </w:t>
      </w:r>
      <w:r w:rsidRPr="009E06AA">
        <w:rPr>
          <w:i/>
          <w:iCs/>
        </w:rPr>
        <w:t>Grassland</w:t>
      </w:r>
      <w:r w:rsidRPr="009E06AA">
        <w:t xml:space="preserve"> category for 2021 (given most deforested land is converted to grassland).</w:t>
      </w:r>
    </w:p>
    <w:p w14:paraId="5E173917" w14:textId="77777777" w:rsidR="00FB2AFE" w:rsidRPr="009E06AA" w:rsidRDefault="00FB2AFE" w:rsidP="00E16670">
      <w:pPr>
        <w:pStyle w:val="Bullet"/>
        <w:spacing w:after="100"/>
      </w:pPr>
      <w:r w:rsidRPr="009E06AA">
        <w:t>An updated harvested wood product model has been developed for the 2024 inventory submission. The emissions impact of this change is an increase of approximately 43.2 kt CO</w:t>
      </w:r>
      <w:r w:rsidRPr="009E06AA">
        <w:rPr>
          <w:vertAlign w:val="subscript"/>
        </w:rPr>
        <w:t>2</w:t>
      </w:r>
      <w:r w:rsidRPr="009E06AA">
        <w:t>-e in 1990 and an increase of approximately 157.8 kt CO</w:t>
      </w:r>
      <w:r w:rsidRPr="009E06AA">
        <w:rPr>
          <w:vertAlign w:val="subscript"/>
        </w:rPr>
        <w:t>2</w:t>
      </w:r>
      <w:r w:rsidRPr="009E06AA">
        <w:t>-e in 2021.</w:t>
      </w:r>
    </w:p>
    <w:p w14:paraId="3BF617F9" w14:textId="77777777" w:rsidR="00FB2AFE" w:rsidRPr="009E06AA" w:rsidRDefault="00FB2AFE" w:rsidP="00793763">
      <w:pPr>
        <w:pStyle w:val="BodyText"/>
      </w:pPr>
      <w:r w:rsidRPr="009E06AA">
        <w:t>Improvements made to the LULUCF sector resulted in a 20.4 per cent (4,125.5 kt CO</w:t>
      </w:r>
      <w:r w:rsidRPr="009E06AA">
        <w:rPr>
          <w:vertAlign w:val="subscript"/>
        </w:rPr>
        <w:t>2</w:t>
      </w:r>
      <w:r w:rsidRPr="009E06AA">
        <w:t>-e) decrease in net LULUCF emissions estimates in 1990 and a 2.8 per cent (596.1 kt CO</w:t>
      </w:r>
      <w:r w:rsidRPr="009E06AA">
        <w:rPr>
          <w:vertAlign w:val="subscript"/>
        </w:rPr>
        <w:t>2</w:t>
      </w:r>
      <w:r w:rsidRPr="009E06AA">
        <w:t>-e) increase in net LULUCF emissions estimates in 2021.</w:t>
      </w:r>
    </w:p>
    <w:p w14:paraId="6B028585" w14:textId="77777777" w:rsidR="00FB2AFE" w:rsidRPr="009E06AA" w:rsidRDefault="00FB2AFE" w:rsidP="00FB2AFE">
      <w:pPr>
        <w:pStyle w:val="Heading3"/>
        <w:spacing w:before="320"/>
      </w:pPr>
      <w:bookmarkStart w:id="66" w:name="waste-chapter-7-1"/>
      <w:bookmarkEnd w:id="65"/>
      <w:r w:rsidRPr="009E06AA">
        <w:t>Waste (chapter 7)</w:t>
      </w:r>
    </w:p>
    <w:p w14:paraId="5AC925E4" w14:textId="77777777" w:rsidR="00FB2AFE" w:rsidRPr="009E06AA" w:rsidRDefault="00FB2AFE" w:rsidP="00793763">
      <w:pPr>
        <w:pStyle w:val="BodyText"/>
      </w:pPr>
      <w:r w:rsidRPr="009E06AA">
        <w:t>The following minor improvements have been introduced to the Waste sector.</w:t>
      </w:r>
    </w:p>
    <w:p w14:paraId="71BF8F4A" w14:textId="77777777" w:rsidR="00FB2AFE" w:rsidRPr="009E06AA" w:rsidRDefault="00FB2AFE" w:rsidP="00E16670">
      <w:pPr>
        <w:pStyle w:val="Bullet"/>
        <w:spacing w:after="100"/>
      </w:pPr>
      <w:r w:rsidRPr="009E06AA">
        <w:t xml:space="preserve">The Levin–Hokio landfill within the </w:t>
      </w:r>
      <w:r w:rsidRPr="009E06AA">
        <w:rPr>
          <w:i/>
          <w:iCs/>
        </w:rPr>
        <w:t>Managed waste disposal sites</w:t>
      </w:r>
      <w:r w:rsidRPr="009E06AA">
        <w:t xml:space="preserve"> category stopped accepting waste in 2022, and, as a result, the landfill gas capture rate was revised over the duration of gas capture beginning in 2021 from 68 per cent to 52 per cent, which is the value for closed sites.</w:t>
      </w:r>
    </w:p>
    <w:p w14:paraId="5CE90690" w14:textId="09D3764E" w:rsidR="00FB2AFE" w:rsidRPr="009E06AA" w:rsidRDefault="00FB2AFE" w:rsidP="00E16670">
      <w:pPr>
        <w:pStyle w:val="Bullet"/>
        <w:spacing w:after="100"/>
      </w:pPr>
      <w:r w:rsidRPr="009E06AA">
        <w:t xml:space="preserve">Activity data for the categories </w:t>
      </w:r>
      <w:r w:rsidRPr="009E06AA">
        <w:rPr>
          <w:i/>
          <w:iCs/>
        </w:rPr>
        <w:t>Farm fills</w:t>
      </w:r>
      <w:r w:rsidRPr="009E06AA">
        <w:t xml:space="preserve"> and </w:t>
      </w:r>
      <w:r w:rsidRPr="009E06AA">
        <w:rPr>
          <w:i/>
          <w:iCs/>
        </w:rPr>
        <w:t>Open burning of waste</w:t>
      </w:r>
      <w:r w:rsidRPr="009E06AA">
        <w:t xml:space="preserve"> were revised to account for the updated number and type of farms reported in the latest agricultural production statistics</w:t>
      </w:r>
      <w:r w:rsidR="00E16670" w:rsidRPr="009E06AA">
        <w:t>.</w:t>
      </w:r>
      <w:r w:rsidRPr="009E06AA">
        <w:rPr>
          <w:rStyle w:val="FootnoteReference"/>
        </w:rPr>
        <w:footnoteReference w:id="5"/>
      </w:r>
    </w:p>
    <w:p w14:paraId="72ADA5BD" w14:textId="77777777" w:rsidR="00FB2AFE" w:rsidRPr="009E06AA" w:rsidRDefault="00FB2AFE" w:rsidP="00793763">
      <w:pPr>
        <w:pStyle w:val="BodyText"/>
      </w:pPr>
      <w:r w:rsidRPr="009E06AA">
        <w:t>Improvements and recalculations made to estimates in the Waste sector have resulted in a 0.4 per cent (16.0 kt CO</w:t>
      </w:r>
      <w:r w:rsidRPr="009E06AA">
        <w:rPr>
          <w:vertAlign w:val="subscript"/>
        </w:rPr>
        <w:t>2</w:t>
      </w:r>
      <w:r w:rsidRPr="009E06AA">
        <w:t>-e) decrease in emissions in 1990 and a 0.2 per cent (6.5 kt CO</w:t>
      </w:r>
      <w:r w:rsidRPr="009E06AA">
        <w:rPr>
          <w:vertAlign w:val="subscript"/>
        </w:rPr>
        <w:t>2</w:t>
      </w:r>
      <w:r w:rsidRPr="009E06AA">
        <w:t>-e) decrease in emissions in 2021.</w:t>
      </w:r>
    </w:p>
    <w:p w14:paraId="0ABC454A" w14:textId="77777777" w:rsidR="00FB2AFE" w:rsidRPr="009E06AA" w:rsidRDefault="00FB2AFE" w:rsidP="00FB2AFE">
      <w:pPr>
        <w:pStyle w:val="Heading3"/>
        <w:spacing w:before="320"/>
      </w:pPr>
      <w:bookmarkStart w:id="67" w:name="other-tokelau-chapter-8-1"/>
      <w:bookmarkEnd w:id="66"/>
      <w:r w:rsidRPr="009E06AA">
        <w:t>Other (Tokelau – chapter 8)</w:t>
      </w:r>
    </w:p>
    <w:p w14:paraId="73BAE4A6" w14:textId="77777777" w:rsidR="00FB2AFE" w:rsidRPr="009E06AA" w:rsidRDefault="00FB2AFE" w:rsidP="00FB2AFE">
      <w:pPr>
        <w:pStyle w:val="BodyText"/>
      </w:pPr>
      <w:r w:rsidRPr="009E06AA">
        <w:t>One minor recalculation has been made in the Tokelau emission estimates since the 2023 submission. The recalculation made for the Tokelau sector has resulted in no change in emissions in 1990 and a 0.06 per cent (0.002 kt CO</w:t>
      </w:r>
      <w:r w:rsidRPr="009E06AA">
        <w:rPr>
          <w:vertAlign w:val="subscript"/>
        </w:rPr>
        <w:t>2</w:t>
      </w:r>
      <w:r w:rsidRPr="009E06AA">
        <w:t>e) decrease in emissions in 2021.</w:t>
      </w:r>
    </w:p>
    <w:p w14:paraId="63E29A0E" w14:textId="77777777" w:rsidR="00FB2AFE" w:rsidRPr="009E06AA" w:rsidRDefault="00FB2AFE" w:rsidP="00FB2AFE">
      <w:pPr>
        <w:pStyle w:val="Heading3"/>
      </w:pPr>
      <w:bookmarkStart w:id="68" w:name="Xfefb940a4f195fdf3cba221b6def840433b79bc"/>
      <w:bookmarkEnd w:id="67"/>
      <w:r w:rsidRPr="009E06AA">
        <w:t>Improvements to national inventory system</w:t>
      </w:r>
    </w:p>
    <w:p w14:paraId="073CFEB4" w14:textId="77777777" w:rsidR="00FB2AFE" w:rsidRPr="009E06AA" w:rsidRDefault="00FB2AFE" w:rsidP="00793763">
      <w:pPr>
        <w:pStyle w:val="BodyText"/>
      </w:pPr>
      <w:r w:rsidRPr="009E06AA">
        <w:t>No changes were made in the legal or institutional arrangements in the national inventory system.</w:t>
      </w:r>
    </w:p>
    <w:p w14:paraId="4A03FD48" w14:textId="77777777" w:rsidR="00FB2AFE" w:rsidRPr="009E06AA" w:rsidRDefault="00FB2AFE" w:rsidP="00793763">
      <w:pPr>
        <w:pStyle w:val="BodyText"/>
      </w:pPr>
      <w:r w:rsidRPr="009E06AA">
        <w:br w:type="page"/>
      </w:r>
    </w:p>
    <w:p w14:paraId="16188E59" w14:textId="77777777" w:rsidR="00FB2AFE" w:rsidRPr="009E06AA" w:rsidRDefault="00FB2AFE" w:rsidP="001D3E5F">
      <w:pPr>
        <w:pStyle w:val="Heading2"/>
        <w:spacing w:before="0" w:after="360"/>
      </w:pPr>
      <w:bookmarkStart w:id="69" w:name="_Toc164154158"/>
      <w:bookmarkStart w:id="70" w:name="executive-summary-references"/>
      <w:bookmarkEnd w:id="61"/>
      <w:bookmarkEnd w:id="68"/>
      <w:r w:rsidRPr="009E06AA">
        <w:t>Executive summary: References</w:t>
      </w:r>
      <w:bookmarkEnd w:id="69"/>
    </w:p>
    <w:p w14:paraId="4719A1FB" w14:textId="77777777" w:rsidR="00FB2AFE" w:rsidRPr="009E06AA" w:rsidRDefault="00FB2AFE" w:rsidP="00FB2AFE">
      <w:pPr>
        <w:pStyle w:val="References"/>
      </w:pPr>
      <w:r w:rsidRPr="009E06AA">
        <w:t xml:space="preserve">IPCC. 2006. Eggleston HS, Buendia L, Miwa K, Ngara T, Tanabe K (eds). </w:t>
      </w:r>
      <w:r w:rsidRPr="009E06AA">
        <w:rPr>
          <w:i/>
          <w:iCs/>
        </w:rPr>
        <w:t>2006 IPCC Guidelines for National Greenhouse Gas Inventories. Volume 1. General Guidance and Reporting.</w:t>
      </w:r>
      <w:r w:rsidRPr="009E06AA">
        <w:t xml:space="preserve"> IPCC National Greenhouse Gas Inventories Programme. Japan: Institute for Global Environmental Strategies for IPCC.</w:t>
      </w:r>
    </w:p>
    <w:p w14:paraId="3D67F61F" w14:textId="77777777" w:rsidR="00FB2AFE" w:rsidRPr="009E06AA" w:rsidRDefault="00FB2AFE" w:rsidP="00FB2AFE">
      <w:pPr>
        <w:pStyle w:val="References"/>
      </w:pPr>
      <w:r w:rsidRPr="009E06AA">
        <w:t xml:space="preserve">IPCC. 2007. Forster P, Ramaswamy V, Artaxo P, Berntsen T, Betts R, Fahey DW, Haywood J, Lean J, Lowe DC, Myhre G, Nganga J, Prinn R, Raga G, Schulz M, Van Dorland R. Changes in Atmospheric Constituents and in Radiative Forcing. In: S Solomon, D Qin, M Manning, Z Chen, M Marquis, KB Averyt, M Tignor and HL Miller (eds) </w:t>
      </w:r>
      <w:r w:rsidRPr="009E06AA">
        <w:rPr>
          <w:i/>
          <w:iCs/>
        </w:rPr>
        <w:t>Climate Change 2007: The Physical Science Basis. Contribution of Working Group I to the Fourth Assessment Report of the Intergovernmental Panel on Climate Change</w:t>
      </w:r>
      <w:r w:rsidRPr="009E06AA">
        <w:t xml:space="preserve">. Cambridge: Cambridge University Press. </w:t>
      </w:r>
    </w:p>
    <w:p w14:paraId="5859D83B" w14:textId="39A21CD5" w:rsidR="00FB2AFE" w:rsidRPr="009E06AA" w:rsidRDefault="00FB2AFE" w:rsidP="00FB2AFE">
      <w:pPr>
        <w:pStyle w:val="References"/>
      </w:pPr>
      <w:r w:rsidRPr="009E06AA">
        <w:t xml:space="preserve">IPCC. 2013. Stocker TF, Qin D, Plattner G-K, Tignor M, Allen SK, Boschung J, Nauels A, Xia Y, Bex V, Midgley PM (eds). </w:t>
      </w:r>
      <w:r w:rsidRPr="009E06AA">
        <w:rPr>
          <w:i/>
          <w:iCs/>
        </w:rPr>
        <w:t>Climate Change 2013: The Physical Science Basis. Contribution of Working Group I to the Fifth Assessment Report of the Intergovernmental Panel on Climate Change</w:t>
      </w:r>
      <w:r w:rsidRPr="009E06AA">
        <w:t xml:space="preserve">. Cambridge: Cambridge University Press. </w:t>
      </w:r>
    </w:p>
    <w:p w14:paraId="09C92887" w14:textId="5275F9B6" w:rsidR="00FB2AFE" w:rsidRPr="009E06AA" w:rsidRDefault="00FB2AFE" w:rsidP="00FB2AFE">
      <w:pPr>
        <w:pStyle w:val="References"/>
        <w:rPr>
          <w:i/>
          <w:iCs/>
        </w:rPr>
      </w:pPr>
      <w:r w:rsidRPr="009E06AA">
        <w:t xml:space="preserve">UNFCCC. 2018. FCCC/PA/CMA/2018/3/Add.2. </w:t>
      </w:r>
      <w:r w:rsidRPr="009E06AA">
        <w:rPr>
          <w:i/>
          <w:iCs/>
        </w:rPr>
        <w:t>Report of the Conference of the Parties serving as the meeting of the Parties to the Paris Agreement on the third part of its first session, held in Katowice from 2</w:t>
      </w:r>
      <w:r w:rsidR="00E179A3" w:rsidRPr="009E06AA">
        <w:rPr>
          <w:i/>
          <w:iCs/>
        </w:rPr>
        <w:t> </w:t>
      </w:r>
      <w:r w:rsidRPr="009E06AA">
        <w:rPr>
          <w:i/>
          <w:iCs/>
        </w:rPr>
        <w:t>to 15 December 2018. Addendum 2. Part two: Action taken by the Conference of the Parties serving as the meeting of the Parties to the Paris Agreement.</w:t>
      </w:r>
    </w:p>
    <w:p w14:paraId="05247566" w14:textId="77777777" w:rsidR="00FB2AFE" w:rsidRPr="009E06AA" w:rsidRDefault="00FB2AFE" w:rsidP="00FB2AFE">
      <w:pPr>
        <w:pStyle w:val="References"/>
      </w:pPr>
      <w:r w:rsidRPr="009E06AA">
        <w:t xml:space="preserve">UNFCCC. 2021. FCCC/PA/CMA/2021/10/Add.2. </w:t>
      </w:r>
      <w:r w:rsidRPr="009E06AA">
        <w:rPr>
          <w:i/>
          <w:iCs/>
        </w:rPr>
        <w:t>Report of the Conference of the Parties serving as the meeting of the Parties to the Paris Agreement on its third session, held in Glasgow from 31 October to 13 November 2021. Addendum Part two: Action taken by the Conference of the Parties serving as the meeting of the Parties to the Paris Agreement at its third session.</w:t>
      </w:r>
    </w:p>
    <w:bookmarkEnd w:id="10"/>
    <w:bookmarkEnd w:id="70"/>
    <w:p w14:paraId="2A2610C5" w14:textId="77777777" w:rsidR="00C21B54" w:rsidRPr="009E06AA" w:rsidRDefault="00C21B54" w:rsidP="002B08C0">
      <w:pPr>
        <w:pStyle w:val="BodyText"/>
      </w:pPr>
    </w:p>
    <w:p w14:paraId="115E279E" w14:textId="77777777" w:rsidR="006E0A2C" w:rsidRPr="009E06AA" w:rsidRDefault="006E0A2C" w:rsidP="002B08C0">
      <w:pPr>
        <w:pStyle w:val="BodyText"/>
        <w:sectPr w:rsidR="006E0A2C" w:rsidRPr="009E06AA" w:rsidSect="00F66BF9">
          <w:footerReference w:type="even" r:id="rId24"/>
          <w:pgSz w:w="11907" w:h="16840" w:code="9"/>
          <w:pgMar w:top="1418" w:right="1701" w:bottom="1418" w:left="1701" w:header="567" w:footer="567" w:gutter="0"/>
          <w:pgNumType w:fmt="lowerRoman"/>
          <w:cols w:space="720"/>
        </w:sectPr>
      </w:pPr>
    </w:p>
    <w:p w14:paraId="3E611344" w14:textId="77777777" w:rsidR="00C3347F" w:rsidRPr="009E06AA" w:rsidRDefault="00C3347F" w:rsidP="00C3347F">
      <w:pPr>
        <w:pStyle w:val="Heading1"/>
      </w:pPr>
      <w:bookmarkStart w:id="71" w:name="_Toc131591202"/>
      <w:bookmarkStart w:id="72" w:name="_Toc162261113"/>
      <w:bookmarkStart w:id="73" w:name="_Toc164154159"/>
      <w:bookmarkStart w:id="74" w:name="Xc4b308b05011627de71a553bd042535770344c1"/>
      <w:bookmarkStart w:id="75" w:name="X18d7c565108da87a73efc46d9b0d12bf3e78adb"/>
      <w:r w:rsidRPr="009E06AA">
        <w:t>Chapter 1: National circumstances, institutional arrangements and cross</w:t>
      </w:r>
      <w:r w:rsidRPr="009E06AA">
        <w:noBreakHyphen/>
        <w:t>cutting information</w:t>
      </w:r>
      <w:bookmarkEnd w:id="71"/>
      <w:bookmarkEnd w:id="72"/>
      <w:bookmarkEnd w:id="73"/>
    </w:p>
    <w:p w14:paraId="2D2CFBCF" w14:textId="77777777" w:rsidR="00C3347F" w:rsidRPr="009E06AA" w:rsidRDefault="00C3347F" w:rsidP="00C3347F">
      <w:pPr>
        <w:pStyle w:val="Heading2"/>
        <w:spacing w:before="240"/>
      </w:pPr>
      <w:bookmarkStart w:id="76" w:name="_Toc162261114"/>
      <w:bookmarkStart w:id="77" w:name="_Toc164154160"/>
      <w:r w:rsidRPr="009E06AA">
        <w:t xml:space="preserve">1.1 </w:t>
      </w:r>
      <w:r w:rsidRPr="009E06AA">
        <w:tab/>
        <w:t>Background information on greenhouse gas inventories and climate change</w:t>
      </w:r>
      <w:bookmarkEnd w:id="76"/>
      <w:bookmarkEnd w:id="77"/>
      <w:r w:rsidRPr="009E06AA">
        <w:t xml:space="preserve"> </w:t>
      </w:r>
    </w:p>
    <w:p w14:paraId="31C50174" w14:textId="77777777" w:rsidR="00C3347F" w:rsidRPr="009E06AA" w:rsidRDefault="00C3347F" w:rsidP="00C3347F">
      <w:pPr>
        <w:pStyle w:val="BodyText"/>
      </w:pPr>
      <w:r w:rsidRPr="009E06AA">
        <w:t>Greenhouse gases (GHGs) in the Earth’s atmosphere trap warmth from the sun and make life as we know it possible. The Intergovernmental Panel on Climate Change (IPCC) Sixth Assessment Report (IPCC, 2021) confirms that the evidence showing humans have an influence on the climate system is unequivocal. Human-induced climate change is evident in extreme weather events all around the world. Events such as heatwaves, severe rainfall and droughts, have become more frequent and extreme as a result of climate change and will continue to intensify.</w:t>
      </w:r>
    </w:p>
    <w:p w14:paraId="6DD57D07" w14:textId="77777777" w:rsidR="00C3347F" w:rsidRPr="009E06AA" w:rsidRDefault="00C3347F" w:rsidP="00C3347F">
      <w:pPr>
        <w:pStyle w:val="BodyText"/>
      </w:pPr>
      <w:r w:rsidRPr="009E06AA">
        <w:t>Some of the changes to the climate system, including sea-level rise and loss of glaciers, are irreversible over centuries to millennia. The rate and magnitude of these committed changes, however, still depend on future greenhouse gas emissions. While the IPCC (2021) revised its estimate upwards of how much warming has occurred already, scenarios show that we can still limit warming to 1.5°C. To do that, the world must achieve net zero carbon dioxide (CO</w:t>
      </w:r>
      <w:r w:rsidRPr="009E06AA">
        <w:rPr>
          <w:vertAlign w:val="subscript"/>
        </w:rPr>
        <w:t>2</w:t>
      </w:r>
      <w:r w:rsidRPr="009E06AA">
        <w:t>) emissions by around 2050 along with deep reductions in other GHGs (IPCC, 2022).</w:t>
      </w:r>
    </w:p>
    <w:p w14:paraId="322A7718" w14:textId="77777777" w:rsidR="00C3347F" w:rsidRPr="009E06AA" w:rsidRDefault="00C3347F" w:rsidP="00C3347F">
      <w:pPr>
        <w:pStyle w:val="Heading3"/>
      </w:pPr>
      <w:bookmarkStart w:id="78" w:name="_Toc162261115"/>
      <w:bookmarkStart w:id="79" w:name="X69b1f30f8a1117cea96180909738ad5b968a913"/>
      <w:r w:rsidRPr="009E06AA">
        <w:t xml:space="preserve">1.1.1 </w:t>
      </w:r>
      <w:r w:rsidRPr="009E06AA">
        <w:tab/>
        <w:t>United Nations Framework Convention on Climate Change and the Paris Agreement</w:t>
      </w:r>
      <w:bookmarkEnd w:id="78"/>
    </w:p>
    <w:p w14:paraId="2227AFCF" w14:textId="77777777" w:rsidR="00C3347F" w:rsidRPr="009E06AA" w:rsidRDefault="00C3347F" w:rsidP="00C3347F">
      <w:pPr>
        <w:pStyle w:val="BodyText"/>
      </w:pPr>
      <w:r w:rsidRPr="009E06AA">
        <w:t>The IPCC was established by the United Nations Environment Programme and the World Meteorological Organization in 1988. Its initial task was to prepare a comprehensive review and recommendations with respect to the state of knowledge of the science of climate change; the social and economic impact of climate change, and potential response strategies and elements for inclusion in a possible future international convention on climate. In 1990, it concluded that human-induced climate change was a threat to our future.</w:t>
      </w:r>
    </w:p>
    <w:p w14:paraId="679054BD" w14:textId="77777777" w:rsidR="00C3347F" w:rsidRPr="009E06AA" w:rsidRDefault="00C3347F" w:rsidP="00C3347F">
      <w:pPr>
        <w:pStyle w:val="BodyText"/>
      </w:pPr>
      <w:r w:rsidRPr="009E06AA">
        <w:t>In response, the United Nations General Assembly convened a series of meetings that culminated in the adoption of the United Nations Framework Convention on Climate Change (UNFCCC or the Convention) at the Earth Summit in Rio de Janeiro in May 1992.</w:t>
      </w:r>
    </w:p>
    <w:p w14:paraId="270FCDDF" w14:textId="77777777" w:rsidR="00C3347F" w:rsidRPr="009E06AA" w:rsidRDefault="00C3347F" w:rsidP="00C3347F">
      <w:pPr>
        <w:pStyle w:val="BodyText"/>
      </w:pPr>
      <w:r w:rsidRPr="009E06AA">
        <w:t>The Convention has been signed and ratified by 197 nations, including New Zealand, and took effect on 21 March 1994.</w:t>
      </w:r>
    </w:p>
    <w:p w14:paraId="2459BD7A" w14:textId="77777777" w:rsidR="00C3347F" w:rsidRPr="009E06AA" w:rsidRDefault="00C3347F" w:rsidP="00C3347F">
      <w:pPr>
        <w:pStyle w:val="BodyText"/>
      </w:pPr>
      <w:r w:rsidRPr="009E06AA">
        <w:t>The main objective of the Convention (UNFCCC, 1992, Article 2) is to achieve:</w:t>
      </w:r>
    </w:p>
    <w:p w14:paraId="21C6C684" w14:textId="77777777" w:rsidR="00C3347F" w:rsidRPr="009E06AA" w:rsidRDefault="00C3347F" w:rsidP="00C3347F">
      <w:pPr>
        <w:pStyle w:val="Quote"/>
      </w:pPr>
      <w:r w:rsidRPr="009E06AA">
        <w:t>… stabilization of greenhouse gas concentrations in the atmosphere at a level that would prevent dangerous anthropogenic interference with the climate system. Such a level should be achieved within a time-frame sufficient to allow ecosystems to adapt naturally to climate change, to ensure that food production is not threatened and to enable economic development to proceed in a sustainable manner.</w:t>
      </w:r>
    </w:p>
    <w:p w14:paraId="61BA7D95" w14:textId="77777777" w:rsidR="00C3347F" w:rsidRPr="009E06AA" w:rsidRDefault="00C3347F" w:rsidP="00C3347F">
      <w:pPr>
        <w:pStyle w:val="BodyText"/>
      </w:pPr>
      <w:r w:rsidRPr="009E06AA">
        <w:t>All countries that ratify the Convention (the Parties) are required to take action to address climate change, including by monitoring trends in anthropogenic GHG emissions. Producing the annual inventory of GHG emissions and removals fulfils this obligation. Parties are also obliged to protect and enhance carbon sinks and reservoirs, for example, forests, and implement measures that assist in national and/or regional climate change adaptation and mitigation. In addition, Parties listed in Annex II</w:t>
      </w:r>
      <w:r w:rsidRPr="009E06AA">
        <w:rPr>
          <w:rStyle w:val="FootnoteReference"/>
        </w:rPr>
        <w:footnoteReference w:id="6"/>
      </w:r>
      <w:r w:rsidRPr="009E06AA">
        <w:t xml:space="preserve"> to the Convention commit to providing technology transfer, capacity building and financial assistance to non-Annex I</w:t>
      </w:r>
      <w:r w:rsidRPr="009E06AA">
        <w:rPr>
          <w:rStyle w:val="FootnoteReference"/>
        </w:rPr>
        <w:footnoteReference w:id="7"/>
      </w:r>
      <w:r w:rsidRPr="009E06AA">
        <w:t xml:space="preserve"> Parties (developing country Parties).</w:t>
      </w:r>
    </w:p>
    <w:p w14:paraId="4A70AFD8" w14:textId="77777777" w:rsidR="00C3347F" w:rsidRPr="009E06AA" w:rsidRDefault="00C3347F" w:rsidP="00C3347F">
      <w:pPr>
        <w:pStyle w:val="BodyText"/>
      </w:pPr>
      <w:r w:rsidRPr="009E06AA">
        <w:t xml:space="preserve">Annex I Parties also agreed to aim to return GHG emissions to 1990 levels by the year 2000. Only a few Annex I Parties made appreciable progress towards achieving this aim. The international community recognised that the existing commitments in the Convention were not enough to ensure GHGs would be stabilised at a safe level. In response, in 1995, Parties launched a new round of talks to provide stronger and more detailed commitments for Annex I Parties. After two-and-a-half years of negotiations, the Kyoto Protocol was adopted in Kyoto, Japan on 11 December 1997 with the goal of reducing emissions to 5 per cent below 1990 levels. New Zealand ratified the Kyoto Protocol on 19 December 2002. The Protocol came into force on 16 February 2005. </w:t>
      </w:r>
    </w:p>
    <w:p w14:paraId="6016CED4" w14:textId="77777777" w:rsidR="00C3347F" w:rsidRPr="009E06AA" w:rsidRDefault="00C3347F" w:rsidP="00C3347F">
      <w:pPr>
        <w:pStyle w:val="BodyText"/>
      </w:pPr>
      <w:r w:rsidRPr="009E06AA">
        <w:t>The Kyoto Protocol only required Annex I Parties to reduce emissions. While research suggests that most Annex I Parties have met their emissions reduction targets, global emissions were continuing to increase.</w:t>
      </w:r>
    </w:p>
    <w:p w14:paraId="6609814A" w14:textId="77777777" w:rsidR="00C3347F" w:rsidRPr="009E06AA" w:rsidRDefault="00C3347F" w:rsidP="00C3347F">
      <w:pPr>
        <w:pStyle w:val="BodyText"/>
      </w:pPr>
      <w:r w:rsidRPr="009E06AA">
        <w:t xml:space="preserve">To accelerate and intensify the actions and investments needed for a sustainable low carbon future, Parties to the Convention reached a landmark agreement in Paris, France, on 12 December 2015: the Paris Agreement. New Zealand ratified the Paris Agreement on 4 October 2016. </w:t>
      </w:r>
    </w:p>
    <w:p w14:paraId="15B1F1C4" w14:textId="77777777" w:rsidR="00C3347F" w:rsidRPr="009E06AA" w:rsidRDefault="00C3347F" w:rsidP="00C3347F">
      <w:pPr>
        <w:pStyle w:val="BodyText"/>
      </w:pPr>
      <w:r w:rsidRPr="009E06AA">
        <w:t xml:space="preserve">One result of the extension (as of 13 November 2017) of New Zealand’s ratification of the Convention and the Paris Agreement is that New Zealand’s national inventory now includes GHG emissions and removals estimates from Tokelau. </w:t>
      </w:r>
    </w:p>
    <w:p w14:paraId="6694A5AC" w14:textId="77777777" w:rsidR="00C3347F" w:rsidRPr="009E06AA" w:rsidRDefault="00C3347F" w:rsidP="00C3347F">
      <w:pPr>
        <w:pStyle w:val="BodyText"/>
      </w:pPr>
      <w:r w:rsidRPr="009E06AA">
        <w:t>Although the 1997 Kyoto Protocol also technically remains in force, the Paris Agreement has, in effect, superseded the Kyoto Protocol as the principal regulatory instrument governing the global response to climate change.</w:t>
      </w:r>
    </w:p>
    <w:p w14:paraId="6FA49D89" w14:textId="77777777" w:rsidR="00C3347F" w:rsidRPr="009E06AA" w:rsidRDefault="00C3347F" w:rsidP="00C3347F">
      <w:pPr>
        <w:pStyle w:val="Heading3"/>
      </w:pPr>
      <w:bookmarkStart w:id="80" w:name="_Toc162261116"/>
      <w:bookmarkStart w:id="81" w:name="inventory-reporting"/>
      <w:bookmarkEnd w:id="79"/>
      <w:r w:rsidRPr="009E06AA">
        <w:t xml:space="preserve">1.1.2 </w:t>
      </w:r>
      <w:r w:rsidRPr="009E06AA">
        <w:tab/>
        <w:t>Inventory reporting</w:t>
      </w:r>
      <w:bookmarkEnd w:id="80"/>
    </w:p>
    <w:p w14:paraId="193C79BF" w14:textId="470BAD23" w:rsidR="00C3347F" w:rsidRPr="009E06AA" w:rsidRDefault="00C3347F" w:rsidP="00C3347F">
      <w:pPr>
        <w:pStyle w:val="BodyText"/>
      </w:pPr>
      <w:r w:rsidRPr="009E06AA">
        <w:rPr>
          <w:i/>
          <w:iCs/>
        </w:rPr>
        <w:t>New Zealand’s Greenhouse Gas Inventory</w:t>
      </w:r>
      <w:r w:rsidRPr="009E06AA">
        <w:t xml:space="preserve"> (the </w:t>
      </w:r>
      <w:r w:rsidR="002A0819">
        <w:t>I</w:t>
      </w:r>
      <w:r w:rsidRPr="009E06AA">
        <w:t>nventory) is the official annual report of all anthropogenic GHGs not controlled by the Montreal Protocol that occur in New Zealand and Tokelau.</w:t>
      </w:r>
    </w:p>
    <w:p w14:paraId="40175A4C" w14:textId="1C8A0AD8" w:rsidR="00C3347F" w:rsidRPr="009E06AA" w:rsidRDefault="00C3347F" w:rsidP="00C3347F">
      <w:pPr>
        <w:pStyle w:val="BodyText"/>
      </w:pPr>
      <w:r w:rsidRPr="009E06AA">
        <w:t xml:space="preserve">A complete inventory submission contains two main components: the national inventory document and the common reporting tables (CRT). The </w:t>
      </w:r>
      <w:r w:rsidR="005C3960">
        <w:t>I</w:t>
      </w:r>
      <w:r w:rsidRPr="009E06AA">
        <w:t xml:space="preserve">nventory fulfils New Zealand’s national inventory reporting obligations under both the UNFCCC and the Paris Agreement, as agreed in decision 1/CP.24 of the Conference of the Parties to the UNFCCC (UNFCCC, 2018a). The </w:t>
      </w:r>
      <w:r w:rsidR="005C3960">
        <w:t>I</w:t>
      </w:r>
      <w:r w:rsidRPr="009E06AA">
        <w:t>nventory has been prepared in accordance with chapter II of the Annex to the decision 18/CMA.1 Modalities, procedures and guidelines for the transparency framework for action and support referred to in Article 13 of the Paris Agreement and decision 5/CMA.3 Guidance for operationalizing the modalities, procedures and guidelines for the enhanced transparency framework referred to in Article 13 of the Paris Agreement.</w:t>
      </w:r>
    </w:p>
    <w:p w14:paraId="5AEFDB24" w14:textId="77777777" w:rsidR="00C3347F" w:rsidRPr="009E06AA" w:rsidRDefault="00C3347F" w:rsidP="00C3347F">
      <w:pPr>
        <w:pStyle w:val="BodyText"/>
      </w:pPr>
      <w:r w:rsidRPr="009E06AA">
        <w:t xml:space="preserve">Consistent with the modalities, procedures and guidelines and decision 5/CMA.3, emissions estimates provided in this inventory have been compiled in accordance with the 2006 IPCC </w:t>
      </w:r>
      <w:r w:rsidRPr="009E06AA">
        <w:rPr>
          <w:spacing w:val="-2"/>
        </w:rPr>
        <w:t>Guidelines for National Greenhouse Gas Inventories (IPCC, 2006a). New Zealand’s methodologie</w:t>
      </w:r>
      <w:r w:rsidRPr="009E06AA">
        <w:t>s have been improved over time and will continue to be refined as new information emerges and international practice evolves. The aim is to ensure that the estimates of emissions are accurate, transparent, complete, consistent through time and comparable with those produced in the inventories of other Parties.</w:t>
      </w:r>
    </w:p>
    <w:p w14:paraId="3EB6E37F" w14:textId="77777777" w:rsidR="00C3347F" w:rsidRPr="009E06AA" w:rsidRDefault="00C3347F" w:rsidP="00C3347F">
      <w:pPr>
        <w:pStyle w:val="BodyText"/>
      </w:pPr>
      <w:r w:rsidRPr="009E06AA">
        <w:t>Inventories are subject to a technical review process administered by the UNFCCC secretariat. The results of these reviews are available on the UN Climate Change website (</w:t>
      </w:r>
      <w:hyperlink r:id="rId25">
        <w:r w:rsidRPr="009E06AA">
          <w:rPr>
            <w:rStyle w:val="Hyperlink"/>
          </w:rPr>
          <w:t>www.unfccc.int</w:t>
        </w:r>
      </w:hyperlink>
      <w:r w:rsidRPr="009E06AA">
        <w:t>).</w:t>
      </w:r>
    </w:p>
    <w:p w14:paraId="09425CCD" w14:textId="76CEBC2F" w:rsidR="00C3347F" w:rsidRPr="009E06AA" w:rsidRDefault="00C3347F" w:rsidP="00C3347F">
      <w:pPr>
        <w:pStyle w:val="BodyText"/>
      </w:pPr>
      <w:r w:rsidRPr="009E06AA">
        <w:t xml:space="preserve">The </w:t>
      </w:r>
      <w:r w:rsidR="005C3960">
        <w:t>I</w:t>
      </w:r>
      <w:r w:rsidRPr="009E06AA">
        <w:t>nventory reports on emissions and removals of the gases CO</w:t>
      </w:r>
      <w:r w:rsidRPr="009E06AA">
        <w:rPr>
          <w:vertAlign w:val="subscript"/>
        </w:rPr>
        <w:t>2</w:t>
      </w:r>
      <w:r w:rsidRPr="009E06AA">
        <w:t>, methane</w:t>
      </w:r>
      <w:r w:rsidRPr="009E06AA">
        <w:rPr>
          <w:b/>
          <w:bCs/>
        </w:rPr>
        <w:t xml:space="preserve"> </w:t>
      </w:r>
      <w:r w:rsidRPr="009E06AA">
        <w:t>(CH</w:t>
      </w:r>
      <w:r w:rsidRPr="009E06AA">
        <w:rPr>
          <w:vertAlign w:val="subscript"/>
        </w:rPr>
        <w:t>4</w:t>
      </w:r>
      <w:r w:rsidRPr="009E06AA">
        <w:t>), nitrous oxide (N</w:t>
      </w:r>
      <w:r w:rsidRPr="009E06AA">
        <w:rPr>
          <w:vertAlign w:val="subscript"/>
        </w:rPr>
        <w:t>2</w:t>
      </w:r>
      <w:r w:rsidRPr="009E06AA">
        <w:t>O), hydrofluorocarbons (HFCs), perfluorocarbons (PFCs), sulphur hexafluoride (SF</w:t>
      </w:r>
      <w:r w:rsidRPr="009E06AA">
        <w:rPr>
          <w:vertAlign w:val="subscript"/>
        </w:rPr>
        <w:t>6</w:t>
      </w:r>
      <w:r w:rsidRPr="009E06AA">
        <w:t>) and nitrogen trifluoride (NF</w:t>
      </w:r>
      <w:r w:rsidRPr="009E06AA">
        <w:rPr>
          <w:vertAlign w:val="subscript"/>
        </w:rPr>
        <w:t>3</w:t>
      </w:r>
      <w:r w:rsidRPr="009E06AA">
        <w:t>).</w:t>
      </w:r>
      <w:r w:rsidRPr="009E06AA">
        <w:rPr>
          <w:rStyle w:val="FootnoteReference"/>
        </w:rPr>
        <w:footnoteReference w:id="8"/>
      </w:r>
      <w:r w:rsidRPr="009E06AA">
        <w:t xml:space="preserve"> The indirect GHGs:</w:t>
      </w:r>
      <w:r w:rsidRPr="009E06AA">
        <w:rPr>
          <w:rStyle w:val="FootnoteReference"/>
        </w:rPr>
        <w:footnoteReference w:id="9"/>
      </w:r>
      <w:r w:rsidRPr="009E06AA">
        <w:t xml:space="preserve"> carbon monoxide (CO), sulphur dioxide, oxides of nitrogen and non-methane volatile organic compounds, are also included. Only emissions and removals of the direct GHGs (CO</w:t>
      </w:r>
      <w:r w:rsidRPr="009E06AA">
        <w:rPr>
          <w:vertAlign w:val="subscript"/>
        </w:rPr>
        <w:t>2</w:t>
      </w:r>
      <w:r w:rsidRPr="009E06AA">
        <w:t>, CH</w:t>
      </w:r>
      <w:r w:rsidRPr="009E06AA">
        <w:rPr>
          <w:vertAlign w:val="subscript"/>
        </w:rPr>
        <w:t>4</w:t>
      </w:r>
      <w:r w:rsidRPr="009E06AA">
        <w:t>, N</w:t>
      </w:r>
      <w:r w:rsidRPr="009E06AA">
        <w:rPr>
          <w:vertAlign w:val="subscript"/>
        </w:rPr>
        <w:t>2</w:t>
      </w:r>
      <w:r w:rsidRPr="009E06AA">
        <w:t>O, SF</w:t>
      </w:r>
      <w:r w:rsidRPr="009E06AA">
        <w:rPr>
          <w:vertAlign w:val="subscript"/>
        </w:rPr>
        <w:t>6</w:t>
      </w:r>
      <w:r w:rsidRPr="009E06AA">
        <w:t>, PFCs, HFCs and NF</w:t>
      </w:r>
      <w:r w:rsidRPr="009E06AA">
        <w:rPr>
          <w:vertAlign w:val="subscript"/>
        </w:rPr>
        <w:t>3</w:t>
      </w:r>
      <w:r w:rsidRPr="009E06AA">
        <w:t xml:space="preserve">) are reported in total gross and net emissions under the Convention. </w:t>
      </w:r>
    </w:p>
    <w:p w14:paraId="51EED9E5" w14:textId="77777777" w:rsidR="00C3347F" w:rsidRPr="009E06AA" w:rsidRDefault="00C3347F" w:rsidP="00C3347F">
      <w:pPr>
        <w:pStyle w:val="BodyText"/>
      </w:pPr>
      <w:r w:rsidRPr="009E06AA">
        <w:t>This inventory presents emissions for each of the non-carbon dioxide GHGs as carbon dioxide equivalents (CO</w:t>
      </w:r>
      <w:r w:rsidRPr="009E06AA">
        <w:rPr>
          <w:vertAlign w:val="subscript"/>
        </w:rPr>
        <w:t>2</w:t>
      </w:r>
      <w:r w:rsidRPr="009E06AA">
        <w:t>-e) using the 100-year time horizon global warming potential values contained in the IPCC Fifth Assessment Report (IPCC, 2013). Because GHGs vary in their radiative activity, and in their atmospheric residence time, converting emissions into CO</w:t>
      </w:r>
      <w:r w:rsidRPr="009E06AA">
        <w:rPr>
          <w:vertAlign w:val="subscript"/>
        </w:rPr>
        <w:t>2</w:t>
      </w:r>
      <w:r w:rsidRPr="009E06AA">
        <w:t>-e allows the integrated effect of emissions of the various gases to be compared.</w:t>
      </w:r>
    </w:p>
    <w:p w14:paraId="532A1396" w14:textId="77777777" w:rsidR="00C3347F" w:rsidRPr="009E06AA" w:rsidRDefault="00C3347F" w:rsidP="00C3347F">
      <w:pPr>
        <w:pStyle w:val="BodyText"/>
      </w:pPr>
      <w:r w:rsidRPr="009E06AA">
        <w:t>The gases are reported under five sectors in accordance with those included in the 2006 IPCC Guidelines (IPCC, 2006b). These represent the main human activities that contribute to the release or capture of GHGs into, or from, the atmosphere:</w:t>
      </w:r>
    </w:p>
    <w:p w14:paraId="103E42D4" w14:textId="77777777" w:rsidR="00C3347F" w:rsidRPr="009E06AA" w:rsidRDefault="00C3347F" w:rsidP="00C3347F">
      <w:pPr>
        <w:pStyle w:val="Bullet"/>
      </w:pPr>
      <w:r w:rsidRPr="009E06AA">
        <w:t>Energy</w:t>
      </w:r>
    </w:p>
    <w:p w14:paraId="3F96709E" w14:textId="77777777" w:rsidR="00C3347F" w:rsidRPr="009E06AA" w:rsidRDefault="00C3347F" w:rsidP="00C3347F">
      <w:pPr>
        <w:pStyle w:val="Bullet"/>
      </w:pPr>
      <w:r w:rsidRPr="009E06AA">
        <w:t>Industrial processes and product use (IPPU)</w:t>
      </w:r>
    </w:p>
    <w:p w14:paraId="096B40AF" w14:textId="77777777" w:rsidR="00C3347F" w:rsidRPr="009E06AA" w:rsidRDefault="00C3347F" w:rsidP="00C3347F">
      <w:pPr>
        <w:pStyle w:val="Bullet"/>
      </w:pPr>
      <w:r w:rsidRPr="009E06AA">
        <w:t>Agriculture</w:t>
      </w:r>
    </w:p>
    <w:p w14:paraId="729D2089" w14:textId="77777777" w:rsidR="00C3347F" w:rsidRPr="009E06AA" w:rsidRDefault="00C3347F" w:rsidP="00C3347F">
      <w:pPr>
        <w:pStyle w:val="Bullet"/>
      </w:pPr>
      <w:r w:rsidRPr="009E06AA">
        <w:t>Land use, land use change and forestry (LULUCF)</w:t>
      </w:r>
    </w:p>
    <w:p w14:paraId="10F612FF" w14:textId="77777777" w:rsidR="00C3347F" w:rsidRPr="009E06AA" w:rsidRDefault="00C3347F" w:rsidP="00C3347F">
      <w:pPr>
        <w:pStyle w:val="Bullet"/>
      </w:pPr>
      <w:r w:rsidRPr="009E06AA">
        <w:t>Waste.</w:t>
      </w:r>
    </w:p>
    <w:p w14:paraId="4B43716A" w14:textId="74164E5B" w:rsidR="00C3347F" w:rsidRPr="009E06AA" w:rsidRDefault="00C3347F" w:rsidP="00C3347F">
      <w:pPr>
        <w:pStyle w:val="BodyText"/>
        <w:keepLines/>
      </w:pPr>
      <w:r w:rsidRPr="009E06AA">
        <w:t>Since the 2019 submission, GHG emissions from Tokelau, New Zealand’s overseas dependent territory,</w:t>
      </w:r>
      <w:r w:rsidRPr="009E06AA">
        <w:rPr>
          <w:rStyle w:val="FootnoteReference"/>
        </w:rPr>
        <w:footnoteReference w:id="10"/>
      </w:r>
      <w:r w:rsidRPr="009E06AA">
        <w:t xml:space="preserve"> have been included in the </w:t>
      </w:r>
      <w:r w:rsidR="005B138E">
        <w:t>I</w:t>
      </w:r>
      <w:r w:rsidRPr="009E06AA">
        <w:t>nventory. Because emissions from Tokelau are small, and the methodology used varies greatly between Tokelau’s inventory and the inventory for New Zealand’s mainland territory, emissions from Tokelau are reported separately in the Other sector.</w:t>
      </w:r>
    </w:p>
    <w:p w14:paraId="7562D2DC" w14:textId="77777777" w:rsidR="00C3347F" w:rsidRPr="009E06AA" w:rsidRDefault="00C3347F" w:rsidP="00C3347F">
      <w:pPr>
        <w:pStyle w:val="Heading2"/>
      </w:pPr>
      <w:bookmarkStart w:id="82" w:name="_Toc162261117"/>
      <w:bookmarkStart w:id="83" w:name="_Toc164154161"/>
      <w:bookmarkStart w:id="84" w:name="X80cf24aa2d0142356f3e0644f2d6d7bd8915396"/>
      <w:bookmarkEnd w:id="74"/>
      <w:bookmarkEnd w:id="81"/>
      <w:r w:rsidRPr="009E06AA">
        <w:t xml:space="preserve">1.2 </w:t>
      </w:r>
      <w:r w:rsidRPr="009E06AA">
        <w:tab/>
        <w:t>A description of national circumstances and institutional arrangements</w:t>
      </w:r>
      <w:bookmarkEnd w:id="82"/>
      <w:bookmarkEnd w:id="83"/>
    </w:p>
    <w:p w14:paraId="6B403C94" w14:textId="77777777" w:rsidR="00C3347F" w:rsidRPr="009E06AA" w:rsidRDefault="00C3347F" w:rsidP="00C3347F">
      <w:pPr>
        <w:pStyle w:val="Heading3"/>
        <w:spacing w:before="240"/>
      </w:pPr>
      <w:bookmarkStart w:id="85" w:name="_Toc162261118"/>
      <w:bookmarkStart w:id="86" w:name="national-entity-or-national-focal-point"/>
      <w:r w:rsidRPr="009E06AA">
        <w:t xml:space="preserve">1.2.1 </w:t>
      </w:r>
      <w:r w:rsidRPr="009E06AA">
        <w:tab/>
        <w:t>National entity or national focal point</w:t>
      </w:r>
      <w:bookmarkEnd w:id="85"/>
    </w:p>
    <w:p w14:paraId="1A60E0F2" w14:textId="77777777" w:rsidR="00C3347F" w:rsidRPr="009E06AA" w:rsidRDefault="00C3347F" w:rsidP="00C3347F">
      <w:pPr>
        <w:pStyle w:val="BodyText"/>
      </w:pPr>
      <w:r w:rsidRPr="009E06AA">
        <w:t>In 2002, New Zealand enacted the Climate Change Response Act 2002 (the Act).</w:t>
      </w:r>
      <w:r w:rsidRPr="009E06AA">
        <w:rPr>
          <w:rStyle w:val="FootnoteReference"/>
        </w:rPr>
        <w:footnoteReference w:id="11"/>
      </w:r>
      <w:r w:rsidRPr="009E06AA">
        <w:t xml:space="preserve"> This enabled New Zealand to meet its international obligations under the Convention and Kyoto Protocol. The Act has subsequently been amended to enable New Zealand to meet its obligations under the Paris Agreement. A Prime Ministerial directive for the administration of the Act named the Ministry for the Environment (MfE) as New Zealand’s ‘inventory agency’. Part 3, section 32, of the Act specifies the following functions and requirements.</w:t>
      </w:r>
    </w:p>
    <w:p w14:paraId="11A25C0A" w14:textId="77777777" w:rsidR="00C3347F" w:rsidRPr="009E06AA" w:rsidRDefault="00C3347F" w:rsidP="00C3347F">
      <w:pPr>
        <w:pStyle w:val="BodyText"/>
      </w:pPr>
      <w:r w:rsidRPr="009E06AA">
        <w:t>1.</w:t>
      </w:r>
      <w:r w:rsidRPr="009E06AA">
        <w:tab/>
        <w:t>The primary functions of New Zealand’s inventory agency are to:</w:t>
      </w:r>
    </w:p>
    <w:p w14:paraId="1CB1A0FC" w14:textId="77777777" w:rsidR="00C3347F" w:rsidRPr="009E06AA" w:rsidRDefault="00C3347F" w:rsidP="00C3347F">
      <w:pPr>
        <w:pStyle w:val="Sub-lista"/>
        <w:tabs>
          <w:tab w:val="clear" w:pos="397"/>
          <w:tab w:val="num" w:pos="794"/>
        </w:tabs>
        <w:ind w:left="794"/>
      </w:pPr>
      <w:r w:rsidRPr="009E06AA">
        <w:t>estimate New Zealand’s human-induced emissions by sources and removals by sinks of greenhouse gases on an annual basis</w:t>
      </w:r>
    </w:p>
    <w:p w14:paraId="6579A39C" w14:textId="77777777" w:rsidR="00C3347F" w:rsidRPr="009E06AA" w:rsidRDefault="00C3347F" w:rsidP="00C3347F">
      <w:pPr>
        <w:pStyle w:val="Sub-lista"/>
        <w:tabs>
          <w:tab w:val="clear" w:pos="397"/>
          <w:tab w:val="num" w:pos="794"/>
        </w:tabs>
        <w:ind w:left="794"/>
      </w:pPr>
      <w:r w:rsidRPr="009E06AA">
        <w:t>prepare the following reports for the purpose of discharging New Zealand’s obligations:</w:t>
      </w:r>
    </w:p>
    <w:p w14:paraId="06867D21" w14:textId="77777777" w:rsidR="00C3347F" w:rsidRPr="009E06AA" w:rsidRDefault="00C3347F" w:rsidP="00C3347F">
      <w:pPr>
        <w:pStyle w:val="Sub-listi"/>
        <w:tabs>
          <w:tab w:val="clear" w:pos="360"/>
        </w:tabs>
        <w:ind w:left="1191"/>
      </w:pPr>
      <w:r w:rsidRPr="009E06AA">
        <w:t>New Zealand’s annual inventory report under Articles 4 and 12 of the Convention</w:t>
      </w:r>
    </w:p>
    <w:p w14:paraId="707B0C37" w14:textId="77777777" w:rsidR="00C3347F" w:rsidRPr="009E06AA" w:rsidRDefault="00C3347F" w:rsidP="00C3347F">
      <w:pPr>
        <w:pStyle w:val="Sub-listi"/>
        <w:tabs>
          <w:tab w:val="clear" w:pos="360"/>
        </w:tabs>
        <w:ind w:left="1191"/>
      </w:pPr>
      <w:r w:rsidRPr="009E06AA">
        <w:t>report of information by New Zealand under Article 13 of the Paris Agreement</w:t>
      </w:r>
      <w:r w:rsidRPr="009E06AA">
        <w:rPr>
          <w:rStyle w:val="FootnoteReference"/>
        </w:rPr>
        <w:footnoteReference w:id="12"/>
      </w:r>
    </w:p>
    <w:p w14:paraId="3B9080C8" w14:textId="77777777" w:rsidR="00C3347F" w:rsidRPr="009E06AA" w:rsidRDefault="00C3347F" w:rsidP="00C3347F">
      <w:pPr>
        <w:pStyle w:val="Sub-listi"/>
        <w:tabs>
          <w:tab w:val="clear" w:pos="360"/>
        </w:tabs>
        <w:ind w:left="1191"/>
      </w:pPr>
      <w:r w:rsidRPr="009E06AA">
        <w:t>New Zealand’s national communication (or periodic report) under Article 12 of the Convention</w:t>
      </w:r>
    </w:p>
    <w:p w14:paraId="31A95A97" w14:textId="77777777" w:rsidR="00C3347F" w:rsidRPr="009E06AA" w:rsidRDefault="00C3347F" w:rsidP="00C3347F">
      <w:pPr>
        <w:pStyle w:val="BodyText"/>
        <w:spacing w:before="0"/>
      </w:pPr>
      <w:r w:rsidRPr="009E06AA">
        <w:t>2.</w:t>
      </w:r>
      <w:r w:rsidRPr="009E06AA">
        <w:tab/>
        <w:t>In carrying out its functions, the inventory agency must:</w:t>
      </w:r>
    </w:p>
    <w:p w14:paraId="490515D7" w14:textId="77777777" w:rsidR="00C3347F" w:rsidRPr="009E06AA" w:rsidRDefault="00C3347F" w:rsidP="00C3347F">
      <w:pPr>
        <w:pStyle w:val="Sub-lista"/>
        <w:numPr>
          <w:ilvl w:val="0"/>
          <w:numId w:val="26"/>
        </w:numPr>
        <w:tabs>
          <w:tab w:val="clear" w:pos="397"/>
        </w:tabs>
        <w:ind w:left="794"/>
      </w:pPr>
      <w:r w:rsidRPr="009E06AA">
        <w:t>identify source categories</w:t>
      </w:r>
    </w:p>
    <w:p w14:paraId="6323C1C7" w14:textId="77777777" w:rsidR="00C3347F" w:rsidRPr="009E06AA" w:rsidRDefault="00C3347F" w:rsidP="00C3347F">
      <w:pPr>
        <w:pStyle w:val="Sub-lista"/>
        <w:numPr>
          <w:ilvl w:val="0"/>
          <w:numId w:val="26"/>
        </w:numPr>
        <w:tabs>
          <w:tab w:val="clear" w:pos="397"/>
        </w:tabs>
        <w:ind w:left="794"/>
      </w:pPr>
      <w:r w:rsidRPr="009E06AA">
        <w:t>collect data by means of:</w:t>
      </w:r>
    </w:p>
    <w:p w14:paraId="6DCDE5FA" w14:textId="77777777" w:rsidR="00C3347F" w:rsidRPr="009E06AA" w:rsidRDefault="00C3347F" w:rsidP="00BB1BE4">
      <w:pPr>
        <w:pStyle w:val="Sub-listi"/>
        <w:numPr>
          <w:ilvl w:val="0"/>
          <w:numId w:val="32"/>
        </w:numPr>
      </w:pPr>
      <w:r w:rsidRPr="009E06AA">
        <w:t>voluntary collection</w:t>
      </w:r>
    </w:p>
    <w:p w14:paraId="0EFC9D3C" w14:textId="77777777" w:rsidR="00C3347F" w:rsidRPr="009E06AA" w:rsidRDefault="00C3347F" w:rsidP="00BB1BE4">
      <w:pPr>
        <w:pStyle w:val="Sub-listi"/>
        <w:numPr>
          <w:ilvl w:val="0"/>
          <w:numId w:val="32"/>
        </w:numPr>
      </w:pPr>
      <w:r w:rsidRPr="009E06AA">
        <w:t>collection from government agencies and other agencies that hold relevant information</w:t>
      </w:r>
    </w:p>
    <w:p w14:paraId="0C28D28E" w14:textId="77777777" w:rsidR="00C3347F" w:rsidRPr="009E06AA" w:rsidRDefault="00C3347F" w:rsidP="00BB1BE4">
      <w:pPr>
        <w:pStyle w:val="Sub-listi"/>
        <w:numPr>
          <w:ilvl w:val="0"/>
          <w:numId w:val="32"/>
        </w:numPr>
      </w:pPr>
      <w:r w:rsidRPr="009E06AA">
        <w:t>collection in accordance with regulations made under this Part (if any)</w:t>
      </w:r>
    </w:p>
    <w:p w14:paraId="15223734" w14:textId="77777777" w:rsidR="00C3347F" w:rsidRPr="009E06AA" w:rsidRDefault="00C3347F" w:rsidP="00C3347F">
      <w:pPr>
        <w:pStyle w:val="Sub-lista"/>
        <w:keepNext/>
        <w:tabs>
          <w:tab w:val="num" w:pos="794"/>
        </w:tabs>
        <w:ind w:left="794"/>
      </w:pPr>
      <w:r w:rsidRPr="009E06AA">
        <w:t>estimate the emissions and removals by sinks for each source category</w:t>
      </w:r>
    </w:p>
    <w:p w14:paraId="5CAC8068" w14:textId="77777777" w:rsidR="00C3347F" w:rsidRPr="009E06AA" w:rsidRDefault="00C3347F" w:rsidP="00C3347F">
      <w:pPr>
        <w:pStyle w:val="Sub-lista"/>
        <w:ind w:left="794"/>
      </w:pPr>
      <w:r w:rsidRPr="009E06AA">
        <w:t>undertake assessments on uncertainties</w:t>
      </w:r>
    </w:p>
    <w:p w14:paraId="60C710A9" w14:textId="77777777" w:rsidR="00C3347F" w:rsidRPr="009E06AA" w:rsidRDefault="00C3347F" w:rsidP="00C3347F">
      <w:pPr>
        <w:pStyle w:val="Sub-lista"/>
        <w:ind w:left="794"/>
      </w:pPr>
      <w:r w:rsidRPr="009E06AA">
        <w:t>undertake procedures to verify the data</w:t>
      </w:r>
    </w:p>
    <w:p w14:paraId="4FD71F66" w14:textId="77777777" w:rsidR="00C3347F" w:rsidRPr="009E06AA" w:rsidRDefault="00C3347F" w:rsidP="00C3347F">
      <w:pPr>
        <w:pStyle w:val="Sub-lista"/>
        <w:ind w:left="794"/>
      </w:pPr>
      <w:r w:rsidRPr="009E06AA">
        <w:t>retain information and documents to show how the estimates were determined.</w:t>
      </w:r>
    </w:p>
    <w:p w14:paraId="0ADC7D80" w14:textId="77777777" w:rsidR="00C3347F" w:rsidRPr="009E06AA" w:rsidRDefault="00C3347F" w:rsidP="00C3347F">
      <w:pPr>
        <w:pStyle w:val="BodyText"/>
      </w:pPr>
      <w:r w:rsidRPr="009E06AA">
        <w:t>Compliance provisions in section 36 of the Act authorise inspectors to collect information needed to estimate emissions or removals of GHGs.</w:t>
      </w:r>
    </w:p>
    <w:p w14:paraId="47C74B20" w14:textId="77777777" w:rsidR="00C3347F" w:rsidRPr="009E06AA" w:rsidRDefault="00C3347F" w:rsidP="00C3347F">
      <w:pPr>
        <w:pStyle w:val="Heading3"/>
      </w:pPr>
      <w:bookmarkStart w:id="87" w:name="_Toc162261119"/>
      <w:bookmarkStart w:id="88" w:name="inventory-preparation-process"/>
      <w:bookmarkEnd w:id="86"/>
      <w:r w:rsidRPr="009E06AA">
        <w:t xml:space="preserve">1.2.2 </w:t>
      </w:r>
      <w:r w:rsidRPr="009E06AA">
        <w:tab/>
        <w:t>Inventory preparation process</w:t>
      </w:r>
      <w:bookmarkEnd w:id="87"/>
    </w:p>
    <w:p w14:paraId="4399EA3C" w14:textId="77777777" w:rsidR="00C3347F" w:rsidRPr="009E06AA" w:rsidRDefault="00C3347F" w:rsidP="00C3347F">
      <w:pPr>
        <w:pStyle w:val="BodyText"/>
      </w:pPr>
      <w:r w:rsidRPr="009E06AA">
        <w:t>New Zealand has a national system in place for inventorying anthropogenic emissions by sources and removals by sinks of all GHGs not controlled by the Montreal Protocol.</w:t>
      </w:r>
    </w:p>
    <w:p w14:paraId="02BBD0F3" w14:textId="16C8FFDC" w:rsidR="00C3347F" w:rsidRPr="009E06AA" w:rsidRDefault="00C3347F" w:rsidP="00C3347F">
      <w:pPr>
        <w:pStyle w:val="BodyText"/>
      </w:pPr>
      <w:r w:rsidRPr="009E06AA">
        <w:t xml:space="preserve">New Zealand maintains a set of guidelines that document the tasks required to officially submit the national inventory. These guidelines cover multiple aspects of the production of the </w:t>
      </w:r>
      <w:r w:rsidR="00385131">
        <w:t>I</w:t>
      </w:r>
      <w:r w:rsidRPr="009E06AA">
        <w:t>nventory: inventory management, inventory planning and preparation, quality assurance and quality control (QA/QC) processes, communication and error management. The guidelines are a living document that is updated as required.</w:t>
      </w:r>
    </w:p>
    <w:p w14:paraId="7A4BA2E3" w14:textId="77777777" w:rsidR="00C3347F" w:rsidRPr="009E06AA" w:rsidRDefault="00C3347F" w:rsidP="00C3347F">
      <w:pPr>
        <w:pStyle w:val="Heading4"/>
      </w:pPr>
      <w:bookmarkStart w:id="89" w:name="inventory-planning-and-preparation"/>
      <w:r w:rsidRPr="009E06AA">
        <w:t>Inventory planning and preparation</w:t>
      </w:r>
    </w:p>
    <w:p w14:paraId="42B4C98A" w14:textId="77777777" w:rsidR="00C3347F" w:rsidRPr="009E06AA" w:rsidRDefault="00C3347F" w:rsidP="00C3347F">
      <w:pPr>
        <w:pStyle w:val="BodyText"/>
        <w:keepNext/>
      </w:pPr>
      <w:r w:rsidRPr="009E06AA">
        <w:t>Figure 1.2.1 summarises the inventory planning and preparation process.</w:t>
      </w:r>
    </w:p>
    <w:p w14:paraId="2CA49344" w14:textId="77777777" w:rsidR="00C3347F" w:rsidRPr="009E06AA" w:rsidRDefault="00C3347F" w:rsidP="00C3347F">
      <w:pPr>
        <w:pStyle w:val="Figure"/>
      </w:pPr>
      <w:bookmarkStart w:id="90" w:name="_Toc162261065"/>
      <w:bookmarkStart w:id="91" w:name="_Toc164153987"/>
      <w:r w:rsidRPr="009E06AA">
        <w:rPr>
          <w:bCs/>
        </w:rPr>
        <w:t xml:space="preserve">Figure 1.2.1 </w:t>
      </w:r>
      <w:r w:rsidRPr="009E06AA">
        <w:rPr>
          <w:bCs/>
        </w:rPr>
        <w:tab/>
        <w:t>Summary of New Zealand’s inventory planning and preparation</w:t>
      </w:r>
      <w:bookmarkEnd w:id="90"/>
      <w:bookmarkEnd w:id="91"/>
    </w:p>
    <w:p w14:paraId="40B27344" w14:textId="77777777" w:rsidR="00C3347F" w:rsidRPr="009E06AA" w:rsidRDefault="00C3347F" w:rsidP="00C3347F">
      <w:pPr>
        <w:pStyle w:val="Noteundertable"/>
        <w:jc w:val="center"/>
      </w:pPr>
      <w:r w:rsidRPr="009E06AA">
        <w:rPr>
          <w:noProof/>
        </w:rPr>
        <w:drawing>
          <wp:inline distT="0" distB="0" distL="0" distR="0" wp14:anchorId="253851EF" wp14:editId="26CDA560">
            <wp:extent cx="4925172" cy="7097485"/>
            <wp:effectExtent l="0" t="0" r="8890" b="825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174"/>
                    <a:stretch/>
                  </pic:blipFill>
                  <pic:spPr bwMode="auto">
                    <a:xfrm>
                      <a:off x="0" y="0"/>
                      <a:ext cx="4940319" cy="7119313"/>
                    </a:xfrm>
                    <a:prstGeom prst="rect">
                      <a:avLst/>
                    </a:prstGeom>
                    <a:noFill/>
                    <a:ln>
                      <a:noFill/>
                    </a:ln>
                    <a:extLst>
                      <a:ext uri="{53640926-AAD7-44D8-BBD7-CCE9431645EC}">
                        <a14:shadowObscured xmlns:a14="http://schemas.microsoft.com/office/drawing/2010/main"/>
                      </a:ext>
                    </a:extLst>
                  </pic:spPr>
                </pic:pic>
              </a:graphicData>
            </a:graphic>
          </wp:inline>
        </w:drawing>
      </w:r>
    </w:p>
    <w:p w14:paraId="18FCD032" w14:textId="77777777" w:rsidR="00C3347F" w:rsidRPr="009E06AA" w:rsidRDefault="00C3347F" w:rsidP="00C3347F">
      <w:pPr>
        <w:pStyle w:val="Heading5"/>
      </w:pPr>
      <w:bookmarkStart w:id="92" w:name="inventory-planning"/>
      <w:r w:rsidRPr="009E06AA">
        <w:t>Inventory planning</w:t>
      </w:r>
    </w:p>
    <w:p w14:paraId="35CBD57F" w14:textId="59736D14" w:rsidR="00C3347F" w:rsidRPr="009E06AA" w:rsidRDefault="00C3347F" w:rsidP="00C3347F">
      <w:pPr>
        <w:pStyle w:val="BodyText"/>
        <w:keepLines/>
      </w:pPr>
      <w:r w:rsidRPr="009E06AA">
        <w:t xml:space="preserve">Inventory planning is a two-phase process. The first phase, sectoral planning, involves planning for the inventory compilation at the sector level. This includes planning for technical projects, </w:t>
      </w:r>
      <w:r w:rsidRPr="009E06AA">
        <w:rPr>
          <w:spacing w:val="-2"/>
        </w:rPr>
        <w:t>actions and procedures that are specific to each sector. The second phase, national compilation and publication planning, involves planning for the cross-sectoral compilation process</w:t>
      </w:r>
      <w:r w:rsidRPr="009E06AA">
        <w:t>.</w:t>
      </w:r>
    </w:p>
    <w:p w14:paraId="67CA3FFA" w14:textId="77777777" w:rsidR="00C3347F" w:rsidRPr="009E06AA" w:rsidRDefault="00C3347F" w:rsidP="00C3347F">
      <w:pPr>
        <w:pStyle w:val="BodyText"/>
      </w:pPr>
      <w:r w:rsidRPr="009E06AA">
        <w:t>Once the sectoral planning is complete, the plans are coordinated among the agencies and adjustments are made as necessary. This usually happens through a lessons learned workshop and a production planning workshop. The lessons learned workshop is dedicated to analysing what worked well and what did not in the previous inventory cycle. During the production planning workshop, the following are discussed and agreed:</w:t>
      </w:r>
    </w:p>
    <w:p w14:paraId="550547AA" w14:textId="77777777" w:rsidR="00C3347F" w:rsidRPr="009E06AA" w:rsidRDefault="00C3347F" w:rsidP="00C3347F">
      <w:pPr>
        <w:pStyle w:val="Bullet"/>
      </w:pPr>
      <w:r w:rsidRPr="009E06AA">
        <w:t>inventory deliverables</w:t>
      </w:r>
    </w:p>
    <w:p w14:paraId="469B2989" w14:textId="77777777" w:rsidR="00C3347F" w:rsidRPr="009E06AA" w:rsidRDefault="00C3347F" w:rsidP="00C3347F">
      <w:pPr>
        <w:pStyle w:val="Bullet"/>
      </w:pPr>
      <w:r w:rsidRPr="009E06AA">
        <w:t>QA/QC deliverables</w:t>
      </w:r>
    </w:p>
    <w:p w14:paraId="4995525F" w14:textId="77777777" w:rsidR="00C3347F" w:rsidRPr="009E06AA" w:rsidRDefault="00C3347F" w:rsidP="00C3347F">
      <w:pPr>
        <w:pStyle w:val="Bullet"/>
      </w:pPr>
      <w:r w:rsidRPr="009E06AA">
        <w:t>schedule of major milestones</w:t>
      </w:r>
    </w:p>
    <w:p w14:paraId="0085EC0B" w14:textId="77777777" w:rsidR="00C3347F" w:rsidRPr="009E06AA" w:rsidRDefault="00C3347F" w:rsidP="00C3347F">
      <w:pPr>
        <w:pStyle w:val="Bullet"/>
      </w:pPr>
      <w:r w:rsidRPr="009E06AA">
        <w:t>changes to chapter structure</w:t>
      </w:r>
    </w:p>
    <w:p w14:paraId="2CBD1A32" w14:textId="77777777" w:rsidR="00C3347F" w:rsidRPr="009E06AA" w:rsidRDefault="00C3347F" w:rsidP="00C3347F">
      <w:pPr>
        <w:pStyle w:val="Bullet"/>
      </w:pPr>
      <w:r w:rsidRPr="009E06AA">
        <w:t>approach for solving problems during inventory preparation.</w:t>
      </w:r>
    </w:p>
    <w:p w14:paraId="6DA2AC7B" w14:textId="5A1C9771" w:rsidR="00C3347F" w:rsidRPr="009E06AA" w:rsidRDefault="00C3347F" w:rsidP="00C3347F">
      <w:pPr>
        <w:pStyle w:val="BodyText"/>
      </w:pPr>
      <w:r w:rsidRPr="009E06AA">
        <w:t>The second phase of the inventory planning, the national compilation and publication planning, comprises two workshops. The first workshop, scheduled towards the end of each calendar year, is dedicated to cross-sectoral compilation and publication planning. Participants include MfE’s publication and public liaison teams as well as the inventory production team. Timelines discussed and agreed cover:</w:t>
      </w:r>
    </w:p>
    <w:p w14:paraId="14BFD87E" w14:textId="77777777" w:rsidR="00C3347F" w:rsidRPr="009E06AA" w:rsidRDefault="00C3347F" w:rsidP="00C3347F">
      <w:pPr>
        <w:pStyle w:val="Bullet"/>
      </w:pPr>
      <w:r w:rsidRPr="009E06AA">
        <w:t>national compilation</w:t>
      </w:r>
    </w:p>
    <w:p w14:paraId="1EE127ED" w14:textId="77777777" w:rsidR="00C3347F" w:rsidRPr="009E06AA" w:rsidRDefault="00C3347F" w:rsidP="00C3347F">
      <w:pPr>
        <w:pStyle w:val="Bullet"/>
      </w:pPr>
      <w:r w:rsidRPr="009E06AA">
        <w:t>publication</w:t>
      </w:r>
    </w:p>
    <w:p w14:paraId="3EC573E2" w14:textId="77777777" w:rsidR="00C3347F" w:rsidRPr="009E06AA" w:rsidRDefault="00C3347F" w:rsidP="00C3347F">
      <w:pPr>
        <w:pStyle w:val="Bullet"/>
      </w:pPr>
      <w:r w:rsidRPr="009E06AA">
        <w:t>public relations.</w:t>
      </w:r>
    </w:p>
    <w:p w14:paraId="37FB7533" w14:textId="77777777" w:rsidR="00C3347F" w:rsidRPr="009E06AA" w:rsidRDefault="00C3347F" w:rsidP="00C3347F">
      <w:pPr>
        <w:pStyle w:val="BodyText"/>
      </w:pPr>
      <w:r w:rsidRPr="009E06AA">
        <w:t>Lessons learned are also considered in developing the plan.</w:t>
      </w:r>
    </w:p>
    <w:p w14:paraId="44CC0609" w14:textId="77777777" w:rsidR="00C3347F" w:rsidRPr="009E06AA" w:rsidRDefault="00C3347F" w:rsidP="00C3347F">
      <w:pPr>
        <w:pStyle w:val="BodyText"/>
      </w:pPr>
      <w:r w:rsidRPr="009E06AA">
        <w:t>The second workshop in the second phase of the inventory planning is dedicated to key messages for the inventory, which is an integral part of the cross-sectoral compilation. The workshop’s output is the set of key inventory messages agreed among the sector leads, National Inventory Compiler and primary peer reviewers. The key messages are used in both the national inventory document and supplementary inventory summary materials published on MfE’s website.</w:t>
      </w:r>
    </w:p>
    <w:p w14:paraId="62105F4F" w14:textId="77777777" w:rsidR="00C3347F" w:rsidRPr="009E06AA" w:rsidRDefault="00C3347F" w:rsidP="00C3347F">
      <w:pPr>
        <w:pStyle w:val="BodyText"/>
      </w:pPr>
      <w:r w:rsidRPr="009E06AA">
        <w:t>The inventory planning process for Tokelau is governed by a memorandum of understanding between New Zealand and Tokelau. For further information, see chapter 8.</w:t>
      </w:r>
    </w:p>
    <w:p w14:paraId="292543F3" w14:textId="77777777" w:rsidR="00C3347F" w:rsidRPr="009E06AA" w:rsidRDefault="00C3347F" w:rsidP="00C3347F">
      <w:pPr>
        <w:pStyle w:val="Heading5"/>
      </w:pPr>
      <w:bookmarkStart w:id="93" w:name="inventory-preparation"/>
      <w:bookmarkEnd w:id="92"/>
      <w:r w:rsidRPr="009E06AA">
        <w:t>Inventory preparation</w:t>
      </w:r>
    </w:p>
    <w:p w14:paraId="15AC8A7C" w14:textId="380C45B5" w:rsidR="00C3347F" w:rsidRPr="009E06AA" w:rsidRDefault="00C3347F" w:rsidP="00C3347F">
      <w:pPr>
        <w:pStyle w:val="BodyText"/>
      </w:pPr>
      <w:r w:rsidRPr="009E06AA">
        <w:t xml:space="preserve">The </w:t>
      </w:r>
      <w:r w:rsidR="00F626E1">
        <w:t>I</w:t>
      </w:r>
      <w:r w:rsidRPr="009E06AA">
        <w:t>nventory preparation cycle has three phases: data collection and preliminary processing, final data processing and chapter preparation, and the national inventory compilation.</w:t>
      </w:r>
    </w:p>
    <w:p w14:paraId="17497C49" w14:textId="49DAFFBA" w:rsidR="00C3347F" w:rsidRPr="009E06AA" w:rsidRDefault="00C3347F" w:rsidP="00C3347F">
      <w:pPr>
        <w:pStyle w:val="BodyText"/>
      </w:pPr>
      <w:r w:rsidRPr="009E06AA">
        <w:t xml:space="preserve">The first phase, data collection and preliminary processing (June to October), includes data cleansing, data checks and preliminary formatting of data for further use. This phase may also include analysing potential improvements and related recalculations involved in the </w:t>
      </w:r>
      <w:r w:rsidR="00F626E1">
        <w:t>I</w:t>
      </w:r>
      <w:r w:rsidRPr="009E06AA">
        <w:t>nventory.</w:t>
      </w:r>
    </w:p>
    <w:p w14:paraId="7931A9B3" w14:textId="71916DA4" w:rsidR="00C3347F" w:rsidRPr="009E06AA" w:rsidRDefault="00C3347F" w:rsidP="00C3347F">
      <w:pPr>
        <w:pStyle w:val="BodyText"/>
      </w:pPr>
      <w:r w:rsidRPr="009E06AA">
        <w:t xml:space="preserve">The second phase of the </w:t>
      </w:r>
      <w:r w:rsidR="00AF393B">
        <w:t>I</w:t>
      </w:r>
      <w:r w:rsidRPr="009E06AA">
        <w:t>nventory preparation (October to January) includes final data processing and drafting of sector chapters. During this phase, emissions estimates are finalised, final data quality control and verification are performed, data are loaded into the GHG Inventory Reporting Tool to populate the CRT and sector chapters are updated, reviewed and approved.</w:t>
      </w:r>
    </w:p>
    <w:p w14:paraId="0148262D" w14:textId="73281C12" w:rsidR="00C3347F" w:rsidRPr="009E06AA" w:rsidRDefault="00C3347F" w:rsidP="00C3347F">
      <w:pPr>
        <w:pStyle w:val="BodyText"/>
      </w:pPr>
      <w:r w:rsidRPr="009E06AA">
        <w:t xml:space="preserve">The final phase of the </w:t>
      </w:r>
      <w:r w:rsidR="00F626E1">
        <w:t>I</w:t>
      </w:r>
      <w:r w:rsidRPr="009E06AA">
        <w:t xml:space="preserve">nventory preparation (February to April) includes cross-sector analyses, national inventory compilation and publication, and the production of supplementary material </w:t>
      </w:r>
      <w:r w:rsidRPr="009E06AA">
        <w:rPr>
          <w:spacing w:val="-2"/>
        </w:rPr>
        <w:t>for New Zealand’s Minister of Climate Change and the general public. Since 2020, the inventory</w:t>
      </w:r>
      <w:r w:rsidRPr="009E06AA">
        <w:t xml:space="preserve"> compilation team has been developing and implementing new automated processes for the compilation of some of its cross-sector chapters.</w:t>
      </w:r>
    </w:p>
    <w:p w14:paraId="47ED406C" w14:textId="77777777" w:rsidR="00C3347F" w:rsidRPr="009E06AA" w:rsidRDefault="00C3347F" w:rsidP="00C3347F">
      <w:pPr>
        <w:pStyle w:val="BodyText"/>
      </w:pPr>
      <w:r w:rsidRPr="009E06AA">
        <w:t>Tokelau follows the same inventory preparation cycle. The inventory data from Tokelau are prepared in November and undergo the same processes as the rest of the inventory.</w:t>
      </w:r>
    </w:p>
    <w:p w14:paraId="73CD524A" w14:textId="77777777" w:rsidR="00C3347F" w:rsidRPr="009E06AA" w:rsidRDefault="00C3347F" w:rsidP="00C3347F">
      <w:pPr>
        <w:pStyle w:val="BodyText"/>
      </w:pPr>
      <w:r w:rsidRPr="009E06AA">
        <w:t>During the inventory planning and preparation cycles, the National Inventory Compiler, technical lead and inventory project manager have regular meetings with sector leads and experts to ensure that all issues are addressed and the production proceeds as planned. The inventory QA/QC manager also has regular meetings with sector leads to monitor QA/QC processes and procedures that are in place to ensure the quality of the final product meets the Convention standards and the QA/QC deliverables are produced according to the agreed plan. The National Inventory Compiler, technical lead and the QA/QC lead provide technical support and advice to the sector leads when required.</w:t>
      </w:r>
    </w:p>
    <w:p w14:paraId="26DACB22" w14:textId="77777777" w:rsidR="00C3347F" w:rsidRPr="009E06AA" w:rsidRDefault="00C3347F" w:rsidP="00C3347F">
      <w:pPr>
        <w:pStyle w:val="Heading3"/>
      </w:pPr>
      <w:bookmarkStart w:id="94" w:name="_Toc162261120"/>
      <w:bookmarkStart w:id="95" w:name="archiving-of-information"/>
      <w:bookmarkEnd w:id="88"/>
      <w:bookmarkEnd w:id="89"/>
      <w:bookmarkEnd w:id="93"/>
      <w:r w:rsidRPr="009E06AA">
        <w:t xml:space="preserve">1.2.3 </w:t>
      </w:r>
      <w:r w:rsidRPr="009E06AA">
        <w:tab/>
        <w:t>Archiving of information</w:t>
      </w:r>
      <w:bookmarkEnd w:id="94"/>
    </w:p>
    <w:p w14:paraId="32AFA0B5" w14:textId="64C9C32A" w:rsidR="00C3347F" w:rsidRPr="009E06AA" w:rsidRDefault="00C3347F" w:rsidP="00C3347F">
      <w:pPr>
        <w:pStyle w:val="BodyText"/>
      </w:pPr>
      <w:r w:rsidRPr="009E06AA">
        <w:t xml:space="preserve">To provide data security and file recovery for the </w:t>
      </w:r>
      <w:r w:rsidR="00F131A0">
        <w:t>I</w:t>
      </w:r>
      <w:r w:rsidRPr="009E06AA">
        <w:t>nventory, the information and data are held in secured locations in MfE’s Microsoft 365 environment. MfE’s security policies and settings, including version control and retention, protect against data breach and data loss.</w:t>
      </w:r>
    </w:p>
    <w:p w14:paraId="16B512ED" w14:textId="77777777" w:rsidR="00C3347F" w:rsidRPr="009E06AA" w:rsidRDefault="00C3347F" w:rsidP="00C3347F">
      <w:pPr>
        <w:pStyle w:val="BodyText"/>
      </w:pPr>
      <w:r w:rsidRPr="009E06AA">
        <w:t>New Zealand’s inventory archiving system reflects the distributed system as follows.</w:t>
      </w:r>
    </w:p>
    <w:p w14:paraId="3BA3D967" w14:textId="33502496" w:rsidR="00C3347F" w:rsidRPr="009E06AA" w:rsidRDefault="00C3347F" w:rsidP="00C3347F">
      <w:pPr>
        <w:pStyle w:val="Bullet"/>
      </w:pPr>
      <w:r w:rsidRPr="009E06AA">
        <w:t xml:space="preserve">All files for the </w:t>
      </w:r>
      <w:r w:rsidR="008B0509">
        <w:t>I</w:t>
      </w:r>
      <w:r w:rsidRPr="009E06AA">
        <w:t xml:space="preserve">nventory are stored in MfE’s secure file management system and backed up on several different devices held in different locations. This covers all data files and supplementary materials as part of the submission for the </w:t>
      </w:r>
      <w:r w:rsidR="008B0509">
        <w:t>I</w:t>
      </w:r>
      <w:r w:rsidRPr="009E06AA">
        <w:t xml:space="preserve">nventory, CRT, database back-up files from the GHG Inventory Reporting Tool, sectoral chapters, the compiled inventory, confirmations of sign-off, communication between New Zealand’s inventory team and the expert review team, national inventory system, process maps, project planning and documentation, and other related documents for the </w:t>
      </w:r>
      <w:r w:rsidR="00FC1413">
        <w:t>I</w:t>
      </w:r>
      <w:r w:rsidRPr="009E06AA">
        <w:t>nventory.</w:t>
      </w:r>
    </w:p>
    <w:p w14:paraId="17D80CF4" w14:textId="77777777" w:rsidR="00C3347F" w:rsidRPr="009E06AA" w:rsidRDefault="00C3347F" w:rsidP="00C3347F">
      <w:pPr>
        <w:pStyle w:val="Bullet"/>
      </w:pPr>
      <w:r w:rsidRPr="009E06AA">
        <w:t>Each sectoral agency keeps its data in secure file systems, including communication with contractors, activity data, emission factors, preliminary calculations and specific software applications containing sectoral data models.</w:t>
      </w:r>
    </w:p>
    <w:p w14:paraId="56759986" w14:textId="2498523B" w:rsidR="00C3347F" w:rsidRPr="009E06AA" w:rsidRDefault="00C3347F" w:rsidP="00C3347F">
      <w:pPr>
        <w:pStyle w:val="Bullet"/>
        <w:rPr>
          <w:spacing w:val="-2"/>
        </w:rPr>
      </w:pPr>
      <w:r w:rsidRPr="009E06AA">
        <w:rPr>
          <w:spacing w:val="-2"/>
        </w:rPr>
        <w:t xml:space="preserve">Each of the agencies involved in the preparation of the </w:t>
      </w:r>
      <w:r w:rsidR="00EB23B0">
        <w:rPr>
          <w:spacing w:val="-2"/>
        </w:rPr>
        <w:t>I</w:t>
      </w:r>
      <w:r w:rsidRPr="009E06AA">
        <w:rPr>
          <w:spacing w:val="-2"/>
        </w:rPr>
        <w:t>nventory has security procedures, in case of natural disasters, fire, flood or other accidents, which are kept at a high standard.</w:t>
      </w:r>
    </w:p>
    <w:p w14:paraId="788F7BF3" w14:textId="77777777" w:rsidR="00C3347F" w:rsidRPr="009E06AA" w:rsidRDefault="00C3347F" w:rsidP="00C3347F">
      <w:pPr>
        <w:pStyle w:val="Heading3"/>
      </w:pPr>
      <w:bookmarkStart w:id="96" w:name="_Toc162261121"/>
      <w:bookmarkStart w:id="97" w:name="X6239029cfc9e9bfa3f82f48afba269278705bbd"/>
      <w:bookmarkEnd w:id="95"/>
      <w:r w:rsidRPr="009E06AA">
        <w:t xml:space="preserve">1.2.4 </w:t>
      </w:r>
      <w:r w:rsidRPr="009E06AA">
        <w:tab/>
        <w:t>Processes for official consideration and approval of inventory</w:t>
      </w:r>
      <w:bookmarkEnd w:id="96"/>
    </w:p>
    <w:p w14:paraId="3393040D" w14:textId="03CC32DF" w:rsidR="00C3347F" w:rsidRPr="009E06AA" w:rsidRDefault="00C3347F" w:rsidP="00C3347F">
      <w:pPr>
        <w:pStyle w:val="BodyText"/>
        <w:spacing w:after="100"/>
      </w:pPr>
      <w:r w:rsidRPr="009E06AA">
        <w:t xml:space="preserve">New Zealand applies a hybrid (centralised–distributed) approach to the production of the </w:t>
      </w:r>
      <w:r w:rsidR="00EB23B0">
        <w:t>I</w:t>
      </w:r>
      <w:r w:rsidRPr="009E06AA">
        <w:t xml:space="preserve">nventory. MfE, as New Zealand’s inventory agency, manages and coordinates the </w:t>
      </w:r>
      <w:r w:rsidR="00EB23B0">
        <w:t>I</w:t>
      </w:r>
      <w:r w:rsidRPr="009E06AA">
        <w:t xml:space="preserve">nventory production, compiles and publishes the inventory, and submits it to the UNFCCC secretariat, in </w:t>
      </w:r>
      <w:r w:rsidRPr="009E06AA">
        <w:rPr>
          <w:spacing w:val="-2"/>
        </w:rPr>
        <w:t>a centralised manner. The National Inventory Compiler is based at MfE. A number of designated</w:t>
      </w:r>
      <w:r w:rsidRPr="009E06AA">
        <w:t xml:space="preserve"> government departments carry out sector-specific work, which includes obtaining and processing activity data, estimating emissions, preparing sectoral CRT files and writing sectoral inventory chapters. Arrangements with these government departments have evolved and continue to do so, as resources and capacity allow, in response to a growing understanding of the reporting requirements and when those requirements change.</w:t>
      </w:r>
    </w:p>
    <w:p w14:paraId="2A0F3A6B" w14:textId="77777777" w:rsidR="00C3347F" w:rsidRPr="009E06AA" w:rsidRDefault="00C3347F" w:rsidP="00C3347F">
      <w:pPr>
        <w:pStyle w:val="BodyText"/>
        <w:spacing w:after="100"/>
      </w:pPr>
      <w:r w:rsidRPr="009E06AA">
        <w:t>Inventory governance within each sector, as well as sector-level quality control, is managed by the department responsible for the sector. The Reporting Governance Group (RGG) provides cross-agency governance over the climate change reporting, modelling and projections of GHG emissions and removals. The RGG is chaired by the manager of the inventory compilation team (within MfE). Its membership includes representation from other teams within MfE, the Ministry for Primary Industries (MPI), the Ministry of Business, Innovation and Employment (MBIE) and the Environmental Protection Authority (EPA), as well as observers (Ministry of Foreign Affairs and Trade, Ministry of Transport, Government of Tokelau and Stats NZ). The main roles and expectations of the RGG include:</w:t>
      </w:r>
    </w:p>
    <w:p w14:paraId="2540F097" w14:textId="77777777" w:rsidR="00C3347F" w:rsidRPr="009E06AA" w:rsidRDefault="00C3347F" w:rsidP="00C3347F">
      <w:pPr>
        <w:pStyle w:val="Bullet"/>
        <w:spacing w:after="100"/>
      </w:pPr>
      <w:r w:rsidRPr="009E06AA">
        <w:t>guiding, conferring and approving (on the basis of advice from technical experts) major inventory recalculations and improvements; GHG emissions projections and their assumptions; analytical systems and tools for climate change reporting; planning and priorities; key messages; and management of stakeholders and risks</w:t>
      </w:r>
    </w:p>
    <w:p w14:paraId="475AA2E7" w14:textId="77777777" w:rsidR="00C3347F" w:rsidRPr="009E06AA" w:rsidRDefault="00C3347F" w:rsidP="00C3347F">
      <w:pPr>
        <w:pStyle w:val="Bullet"/>
        <w:spacing w:after="100"/>
      </w:pPr>
      <w:r w:rsidRPr="009E06AA">
        <w:t>focusing on the delivery of reporting commitments to meet national and international requirements</w:t>
      </w:r>
    </w:p>
    <w:p w14:paraId="7B284DC8" w14:textId="77777777" w:rsidR="00C3347F" w:rsidRPr="009E06AA" w:rsidRDefault="00C3347F" w:rsidP="00C3347F">
      <w:pPr>
        <w:pStyle w:val="Bullet"/>
        <w:spacing w:after="100"/>
      </w:pPr>
      <w:r w:rsidRPr="009E06AA">
        <w:t>providing reporting leadership and guidance to analysts and technical specialists involved in this work</w:t>
      </w:r>
    </w:p>
    <w:p w14:paraId="543CF800" w14:textId="77777777" w:rsidR="00C3347F" w:rsidRPr="009E06AA" w:rsidRDefault="00C3347F" w:rsidP="00C3347F">
      <w:pPr>
        <w:pStyle w:val="Bullet"/>
        <w:spacing w:after="100"/>
      </w:pPr>
      <w:r w:rsidRPr="009E06AA">
        <w:t>sharing information, providing feedback and resolving any differences among agencies that impact on the delivery of the inventory work programme.</w:t>
      </w:r>
    </w:p>
    <w:p w14:paraId="42030C10" w14:textId="77777777" w:rsidR="00C3347F" w:rsidRPr="009E06AA" w:rsidRDefault="00C3347F" w:rsidP="00C3347F">
      <w:pPr>
        <w:pStyle w:val="BodyText"/>
        <w:spacing w:after="100"/>
      </w:pPr>
      <w:r w:rsidRPr="009E06AA">
        <w:t>In addition to its overall inventory coordination role, MfE compiles estimates for:</w:t>
      </w:r>
    </w:p>
    <w:p w14:paraId="09F2A984" w14:textId="77777777" w:rsidR="00C3347F" w:rsidRPr="009E06AA" w:rsidRDefault="00C3347F" w:rsidP="00C3347F">
      <w:pPr>
        <w:pStyle w:val="Bullet"/>
        <w:spacing w:after="100"/>
      </w:pPr>
      <w:r w:rsidRPr="009E06AA">
        <w:t>emissions from the IPPU sector (non-CO</w:t>
      </w:r>
      <w:r w:rsidRPr="009E06AA">
        <w:rPr>
          <w:vertAlign w:val="subscript"/>
        </w:rPr>
        <w:t>2</w:t>
      </w:r>
      <w:r w:rsidRPr="009E06AA">
        <w:t xml:space="preserve"> gases through industry surveys and CO</w:t>
      </w:r>
      <w:r w:rsidRPr="009E06AA">
        <w:rPr>
          <w:vertAlign w:val="subscript"/>
        </w:rPr>
        <w:t>2</w:t>
      </w:r>
      <w:r w:rsidRPr="009E06AA">
        <w:t xml:space="preserve"> data provided by MBIE and the EPA)</w:t>
      </w:r>
    </w:p>
    <w:p w14:paraId="3D5DEF6A" w14:textId="77777777" w:rsidR="00C3347F" w:rsidRPr="009E06AA" w:rsidRDefault="00C3347F" w:rsidP="00C3347F">
      <w:pPr>
        <w:pStyle w:val="Bullet"/>
        <w:spacing w:after="100"/>
      </w:pPr>
      <w:r w:rsidRPr="009E06AA">
        <w:t>emissions from the Waste sector</w:t>
      </w:r>
    </w:p>
    <w:p w14:paraId="57B693C4" w14:textId="77777777" w:rsidR="00C3347F" w:rsidRPr="009E06AA" w:rsidRDefault="00C3347F" w:rsidP="00C3347F">
      <w:pPr>
        <w:pStyle w:val="Bullet"/>
        <w:spacing w:after="100"/>
      </w:pPr>
      <w:r w:rsidRPr="009E06AA">
        <w:t>emissions and removals from the LULUCF sector</w:t>
      </w:r>
    </w:p>
    <w:p w14:paraId="124FB360" w14:textId="77777777" w:rsidR="00C3347F" w:rsidRPr="009E06AA" w:rsidRDefault="00C3347F" w:rsidP="00C3347F">
      <w:pPr>
        <w:pStyle w:val="Bullet"/>
        <w:spacing w:after="100"/>
      </w:pPr>
      <w:r w:rsidRPr="009E06AA">
        <w:t>emissions from Tokelau.</w:t>
      </w:r>
    </w:p>
    <w:p w14:paraId="16A1364E" w14:textId="77777777" w:rsidR="00C3347F" w:rsidRPr="009E06AA" w:rsidRDefault="00C3347F" w:rsidP="00C3347F">
      <w:pPr>
        <w:pStyle w:val="BodyText"/>
        <w:spacing w:after="100"/>
      </w:pPr>
      <w:r w:rsidRPr="009E06AA">
        <w:t>MfE conducts field measurement programmes and undertakes land use mapping from satellite imagery to estimate the emissions and removals from the LULUCF sector. This is supplemented with data on forestry grant schemes, forest harvest volumes, harvested wood products production and non-CO</w:t>
      </w:r>
      <w:r w:rsidRPr="009E06AA">
        <w:rPr>
          <w:vertAlign w:val="subscript"/>
        </w:rPr>
        <w:t>2</w:t>
      </w:r>
      <w:r w:rsidRPr="009E06AA">
        <w:t xml:space="preserve"> emissions that are collected through surveys of the sector.</w:t>
      </w:r>
    </w:p>
    <w:p w14:paraId="41AD0C4D" w14:textId="77777777" w:rsidR="00C3347F" w:rsidRPr="009E06AA" w:rsidRDefault="00C3347F" w:rsidP="00C3347F">
      <w:pPr>
        <w:pStyle w:val="BodyText"/>
        <w:spacing w:after="100"/>
      </w:pPr>
      <w:r w:rsidRPr="009E06AA">
        <w:t>MfE coordinates the preparation of Tokelau’s inventory data and information with the Tokelau Ministry of Climate, Oceans and Resilience (MiCORE).</w:t>
      </w:r>
    </w:p>
    <w:p w14:paraId="26BDC821" w14:textId="77777777" w:rsidR="00C3347F" w:rsidRPr="009E06AA" w:rsidRDefault="00C3347F" w:rsidP="00C3347F">
      <w:pPr>
        <w:pStyle w:val="BodyText"/>
        <w:spacing w:after="100"/>
      </w:pPr>
      <w:r w:rsidRPr="009E06AA">
        <w:t>MBIE estimates all emissions from the Energy sector and CO</w:t>
      </w:r>
      <w:r w:rsidRPr="009E06AA">
        <w:rPr>
          <w:vertAlign w:val="subscript"/>
        </w:rPr>
        <w:t>2</w:t>
      </w:r>
      <w:r w:rsidRPr="009E06AA">
        <w:t xml:space="preserve"> emissions from the IPPU sector, based in part on New Zealand Emissions Trading Scheme (NZ ETS) returns.</w:t>
      </w:r>
    </w:p>
    <w:p w14:paraId="59B371E1" w14:textId="77777777" w:rsidR="00C3347F" w:rsidRPr="009E06AA" w:rsidRDefault="00C3347F" w:rsidP="00C3347F">
      <w:pPr>
        <w:pStyle w:val="BodyText"/>
        <w:spacing w:after="100"/>
      </w:pPr>
      <w:r w:rsidRPr="009E06AA">
        <w:t>MPI estimates emissions from the Agriculture sector. The estimates are underpinned by research and modelling undertaken at New Zealand’s Crown research institutes, universities and private research companies, and survey data collected by the national statistics agency Stats NZ and key sector organisations.</w:t>
      </w:r>
    </w:p>
    <w:p w14:paraId="5424A10D" w14:textId="77777777" w:rsidR="00C3347F" w:rsidRPr="009E06AA" w:rsidRDefault="00C3347F" w:rsidP="00C3347F">
      <w:pPr>
        <w:pStyle w:val="BodyText"/>
      </w:pPr>
      <w:r w:rsidRPr="009E06AA">
        <w:t>MiCORE and the Tokelau National Statistics Office coordinate efforts in activity data collection and data processing to estimate emissions from Tokelau for all inventory sectors.</w:t>
      </w:r>
    </w:p>
    <w:p w14:paraId="1C43412C" w14:textId="77777777" w:rsidR="00C3347F" w:rsidRPr="009E06AA" w:rsidRDefault="00C3347F" w:rsidP="00C3347F">
      <w:pPr>
        <w:pStyle w:val="BodyText"/>
      </w:pPr>
      <w:r w:rsidRPr="009E06AA">
        <w:t>The Climate Change Response Act 2002 establishes the requirement for an emissions trading registry and a registrar. The EPA is the designated agency responsible for managing the administration of the NZ ETS and implementing and operating New Zealand’s national registry, the New Zealand Emissions Trading Register. The EPA collects and publishes information on emissions (</w:t>
      </w:r>
      <w:hyperlink r:id="rId27" w:history="1">
        <w:r w:rsidRPr="009E06AA">
          <w:rPr>
            <w:rStyle w:val="Hyperlink"/>
          </w:rPr>
          <w:t>www.epa.govt.nz/industry-areas/emissions-trading-scheme/ets-reports/emissions-returns/</w:t>
        </w:r>
      </w:hyperlink>
      <w:r w:rsidRPr="009E06AA">
        <w:t>). The</w:t>
      </w:r>
      <w:r w:rsidRPr="009E06AA" w:rsidDel="00C930AE">
        <w:t xml:space="preserve"> </w:t>
      </w:r>
      <w:r w:rsidRPr="009E06AA">
        <w:t>inventory arrangements are presented in figure 1.2.2, which shows the specific responsibilities of different agencies involved in the inventory production as well as their contribution to the submission.</w:t>
      </w:r>
    </w:p>
    <w:p w14:paraId="5B27F978" w14:textId="77777777" w:rsidR="00C3347F" w:rsidRPr="009E06AA" w:rsidRDefault="00C3347F" w:rsidP="00C3347F">
      <w:pPr>
        <w:pStyle w:val="Figure"/>
      </w:pPr>
      <w:bookmarkStart w:id="98" w:name="_Toc162261066"/>
      <w:bookmarkStart w:id="99" w:name="_Toc164153988"/>
      <w:r w:rsidRPr="009E06AA">
        <w:t xml:space="preserve">Figure 1.2.2 </w:t>
      </w:r>
      <w:r w:rsidRPr="009E06AA">
        <w:tab/>
        <w:t>New Zealand’s inventory system at a glance: how different agencies are involved</w:t>
      </w:r>
      <w:bookmarkEnd w:id="98"/>
      <w:bookmarkEnd w:id="99"/>
    </w:p>
    <w:p w14:paraId="279A4B2F" w14:textId="77777777" w:rsidR="00C3347F" w:rsidRPr="009E06AA" w:rsidRDefault="00C3347F" w:rsidP="00C3347F">
      <w:pPr>
        <w:pStyle w:val="BodyText"/>
        <w:jc w:val="center"/>
      </w:pPr>
      <w:r w:rsidRPr="009E06AA">
        <w:rPr>
          <w:noProof/>
        </w:rPr>
        <w:drawing>
          <wp:inline distT="0" distB="0" distL="0" distR="0" wp14:anchorId="6FA1D71C" wp14:editId="38BEBE0A">
            <wp:extent cx="4188804" cy="5854614"/>
            <wp:effectExtent l="0" t="0" r="2540" b="0"/>
            <wp:docPr id="587131662" name="Picture 587131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131662" name="Picture 587131662"/>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25655" cy="5906120"/>
                    </a:xfrm>
                    <a:prstGeom prst="rect">
                      <a:avLst/>
                    </a:prstGeom>
                    <a:ln>
                      <a:noFill/>
                    </a:ln>
                    <a:extLst>
                      <a:ext uri="{53640926-AAD7-44D8-BBD7-CCE9431645EC}">
                        <a14:shadowObscured xmlns:a14="http://schemas.microsoft.com/office/drawing/2010/main"/>
                      </a:ext>
                    </a:extLst>
                  </pic:spPr>
                </pic:pic>
              </a:graphicData>
            </a:graphic>
          </wp:inline>
        </w:drawing>
      </w:r>
    </w:p>
    <w:p w14:paraId="654314B3" w14:textId="5C83983B" w:rsidR="00C3347F" w:rsidRPr="009E06AA" w:rsidRDefault="00C3347F" w:rsidP="00C3347F">
      <w:pPr>
        <w:pStyle w:val="BodyText"/>
      </w:pPr>
      <w:r w:rsidRPr="009E06AA">
        <w:t xml:space="preserve">The National Inventory Compiler coordinates the calculation of level and trend uncertainties, along with key category assessment, and finalises the </w:t>
      </w:r>
      <w:r w:rsidR="001F2560">
        <w:t>I</w:t>
      </w:r>
      <w:r w:rsidRPr="009E06AA">
        <w:t xml:space="preserve">nventory. The </w:t>
      </w:r>
      <w:r w:rsidR="001F2560">
        <w:t>I</w:t>
      </w:r>
      <w:r w:rsidRPr="009E06AA">
        <w:t>nventory is then approved for publication by the New Zealand Secretary for the Environment or their delegate before submission to the UNFCCC secretariat.</w:t>
      </w:r>
    </w:p>
    <w:p w14:paraId="597E13EE" w14:textId="3F73FA95" w:rsidR="00C3347F" w:rsidRPr="009E06AA" w:rsidRDefault="00C3347F" w:rsidP="00C3347F">
      <w:pPr>
        <w:pStyle w:val="BodyText"/>
      </w:pPr>
      <w:r w:rsidRPr="009E06AA">
        <w:t xml:space="preserve">The </w:t>
      </w:r>
      <w:r w:rsidR="001F2560">
        <w:t>I</w:t>
      </w:r>
      <w:r w:rsidRPr="009E06AA">
        <w:t>nventory is published on the MfE and UN Climate Change websites.</w:t>
      </w:r>
    </w:p>
    <w:p w14:paraId="54CF89CB" w14:textId="77777777" w:rsidR="00C3347F" w:rsidRPr="009E06AA" w:rsidRDefault="00C3347F" w:rsidP="00C3347F">
      <w:pPr>
        <w:pStyle w:val="Heading2"/>
      </w:pPr>
      <w:bookmarkStart w:id="100" w:name="_Toc162261122"/>
      <w:bookmarkStart w:id="101" w:name="_Toc164154162"/>
      <w:bookmarkStart w:id="102" w:name="X1e54e5c0172711af95132e44afd7fc53a8ddb8f"/>
      <w:bookmarkEnd w:id="84"/>
      <w:bookmarkEnd w:id="97"/>
      <w:r w:rsidRPr="009E06AA">
        <w:t xml:space="preserve">1.3 </w:t>
      </w:r>
      <w:r w:rsidRPr="009E06AA">
        <w:tab/>
        <w:t>Brief general description of methodologies (including tiers used) and data sources used</w:t>
      </w:r>
      <w:bookmarkEnd w:id="100"/>
      <w:bookmarkEnd w:id="101"/>
    </w:p>
    <w:p w14:paraId="38E62602" w14:textId="5F60F63A" w:rsidR="00C3347F" w:rsidRPr="009E06AA" w:rsidRDefault="00C3347F" w:rsidP="00C3347F">
      <w:pPr>
        <w:pStyle w:val="BodyText"/>
      </w:pPr>
      <w:r w:rsidRPr="009E06AA">
        <w:t xml:space="preserve">The guiding documents underpinning the </w:t>
      </w:r>
      <w:r w:rsidR="003859E1">
        <w:t>I</w:t>
      </w:r>
      <w:r w:rsidRPr="009E06AA">
        <w:t>nventory’s preparation are the preparations for the implementation of the Paris Agreement and the first session of the Conference of the Parties serving as the meeting of the Parties to the Paris Agreement (UNFCCC, 2018a), the modalities, procedures and guidelines for the transparency framework for action and support referred to in Article 13 of the Paris Agreement</w:t>
      </w:r>
      <w:r w:rsidRPr="009E06AA">
        <w:rPr>
          <w:i/>
          <w:iCs/>
        </w:rPr>
        <w:t xml:space="preserve"> </w:t>
      </w:r>
      <w:r w:rsidRPr="009E06AA">
        <w:t>(UNFCCC, 2018b) and the guidance operationalising the modalities, procedures and guidelines for the enhanced transparency framework referred to in Article 13 of the Paris Agreement</w:t>
      </w:r>
      <w:r w:rsidRPr="009E06AA">
        <w:rPr>
          <w:i/>
          <w:iCs/>
        </w:rPr>
        <w:t xml:space="preserve"> </w:t>
      </w:r>
      <w:r w:rsidRPr="009E06AA">
        <w:t>(UNFCCC, 2021).</w:t>
      </w:r>
    </w:p>
    <w:p w14:paraId="704CFED4" w14:textId="77777777" w:rsidR="00C3347F" w:rsidRPr="009E06AA" w:rsidRDefault="00C3347F" w:rsidP="00C3347F">
      <w:pPr>
        <w:pStyle w:val="BodyText"/>
      </w:pPr>
      <w:r w:rsidRPr="009E06AA">
        <w:t>The New Zealand methodology for estimating greenhouse gas emissions and sinks uses a combination of country-specific and IPCC methodologies and emission factors. These methods are consistent with the IPCC 2006 Guidelines (IPCC, 2006b). The IPCC (2006) provides a number of possible methodologies for calculating emissions or removals from a given category. In most cases, these possibilities represent calculations of the same form where the differences are in the level of detail at which the calculations are carried out. The methodologies are provided in a structure of three tiers that describe and connect the various levels of detail at which estimates can be made. The choice of method depends on factors such as the importance of the inventory category and the availability of data. The tiered structure ensures that estimates calculated at a highly detailed level can be aggregated up to a common minimum level of detail for comparison with all other reporting countries. The methods for estimating emissions and/or removals are distinguished between the tiers as follows.</w:t>
      </w:r>
    </w:p>
    <w:p w14:paraId="54D8FEA1" w14:textId="77777777" w:rsidR="00C3347F" w:rsidRPr="009E06AA" w:rsidRDefault="00C3347F" w:rsidP="00C3347F">
      <w:pPr>
        <w:pStyle w:val="Bullet"/>
      </w:pPr>
      <w:r w:rsidRPr="009E06AA">
        <w:t>Tier 1 methods apply IPCC default emission factors and use IPCC default methods.</w:t>
      </w:r>
    </w:p>
    <w:p w14:paraId="23AD4AD2" w14:textId="77777777" w:rsidR="00C3347F" w:rsidRPr="009E06AA" w:rsidRDefault="00C3347F" w:rsidP="00C3347F">
      <w:pPr>
        <w:pStyle w:val="Bullet"/>
      </w:pPr>
      <w:r w:rsidRPr="009E06AA">
        <w:t>Tier 2 methods apply country-specific emission factors and use IPCC default methods.</w:t>
      </w:r>
    </w:p>
    <w:p w14:paraId="4A1C1615" w14:textId="77777777" w:rsidR="00C3347F" w:rsidRPr="009E06AA" w:rsidRDefault="00C3347F" w:rsidP="00C3347F">
      <w:pPr>
        <w:pStyle w:val="Bullet"/>
      </w:pPr>
      <w:r w:rsidRPr="009E06AA">
        <w:t>Tier 3 methods apply country-specific emission factors and use country-specific methods.</w:t>
      </w:r>
    </w:p>
    <w:p w14:paraId="3287FB85" w14:textId="25D2EF94" w:rsidR="00C3347F" w:rsidRPr="009E06AA" w:rsidRDefault="00C3347F" w:rsidP="00C3347F">
      <w:pPr>
        <w:pStyle w:val="BodyText"/>
      </w:pPr>
      <w:r w:rsidRPr="009E06AA">
        <w:t xml:space="preserve">This section provides a brief description of the methodology for each sector in the </w:t>
      </w:r>
      <w:r w:rsidR="003859E1">
        <w:t>I</w:t>
      </w:r>
      <w:r w:rsidRPr="009E06AA">
        <w:t>nventory. Refer to each sector chapter for more details.</w:t>
      </w:r>
    </w:p>
    <w:p w14:paraId="25C8F9A1" w14:textId="77777777" w:rsidR="00C3347F" w:rsidRPr="009E06AA" w:rsidRDefault="00C3347F" w:rsidP="00C3347F">
      <w:pPr>
        <w:pStyle w:val="Heading4"/>
      </w:pPr>
      <w:r w:rsidRPr="009E06AA">
        <w:t>Energy</w:t>
      </w:r>
    </w:p>
    <w:p w14:paraId="2A1D66F0" w14:textId="77777777" w:rsidR="00C3347F" w:rsidRPr="009E06AA" w:rsidRDefault="00C3347F" w:rsidP="00C3347F">
      <w:pPr>
        <w:pStyle w:val="BodyText"/>
      </w:pPr>
      <w:r w:rsidRPr="009E06AA">
        <w:t>Greenhouse gas emissions from the Energy sector are calculated using a detailed sectoral approach that applies a mixture of Tier 1, Tier 2 and Tier 3 methods. Higher-tier methods are applied to key categories. This bottom-up approach is demand-based: it involves processing energy data collected on a regular basis through various surveys. For verification, New Zealand also applies the IPCC reference approach to estimate CO</w:t>
      </w:r>
      <w:r w:rsidRPr="009E06AA">
        <w:rPr>
          <w:vertAlign w:val="subscript"/>
        </w:rPr>
        <w:t>2</w:t>
      </w:r>
      <w:r w:rsidRPr="009E06AA">
        <w:t xml:space="preserve"> emissions from fuel combustion for the time series 1990 to 2022 (see annex 3).</w:t>
      </w:r>
    </w:p>
    <w:p w14:paraId="4502C9AC" w14:textId="77777777" w:rsidR="00C3347F" w:rsidRPr="009E06AA" w:rsidRDefault="00C3347F" w:rsidP="00C3347F">
      <w:pPr>
        <w:pStyle w:val="BodyText"/>
      </w:pPr>
      <w:r w:rsidRPr="009E06AA">
        <w:t xml:space="preserve">The activity data used for the sectoral approach are referred to as ‘observed’ energy-use figures. These are based on surveys and questionnaires administered by MBIE. The differences between ‘calculated’ and ‘observed’ figures are reported as statistical differences in the energy balance tables released along with </w:t>
      </w:r>
      <w:r w:rsidRPr="009E06AA">
        <w:rPr>
          <w:i/>
          <w:iCs/>
        </w:rPr>
        <w:t>Energy in New Zealand</w:t>
      </w:r>
      <w:r w:rsidRPr="009E06AA">
        <w:t xml:space="preserve"> (MBIE, 2023). Note that, due to the intervening time between the publication of </w:t>
      </w:r>
      <w:r w:rsidRPr="009E06AA">
        <w:rPr>
          <w:i/>
          <w:iCs/>
        </w:rPr>
        <w:t>Energy in New Zealand</w:t>
      </w:r>
      <w:r w:rsidRPr="009E06AA">
        <w:t xml:space="preserve"> and the preparation of this submission, some data revisions may have occurred.</w:t>
      </w:r>
    </w:p>
    <w:p w14:paraId="16FFA613" w14:textId="77777777" w:rsidR="00C3347F" w:rsidRPr="009E06AA" w:rsidRDefault="00C3347F" w:rsidP="00C3347F">
      <w:pPr>
        <w:pStyle w:val="Heading4"/>
      </w:pPr>
      <w:bookmarkStart w:id="103" w:name="ippu"/>
      <w:r w:rsidRPr="009E06AA">
        <w:t>IPPU</w:t>
      </w:r>
    </w:p>
    <w:p w14:paraId="6892F187" w14:textId="77777777" w:rsidR="00C3347F" w:rsidRPr="009E06AA" w:rsidRDefault="00C3347F" w:rsidP="00C3347F">
      <w:pPr>
        <w:pStyle w:val="BodyText"/>
      </w:pPr>
      <w:r w:rsidRPr="009E06AA">
        <w:t>New Zealand uses a combination of IPCC Tier 1 and Tier 2 methods for the IPPU sector. Tier 2 methods are used for all key categories. Country-specific emission factors have been used where available, including for emissions of indirect GHGs.</w:t>
      </w:r>
    </w:p>
    <w:p w14:paraId="6848C4F2" w14:textId="77777777" w:rsidR="00C3347F" w:rsidRPr="009E06AA" w:rsidRDefault="00C3347F" w:rsidP="00C3347F">
      <w:pPr>
        <w:pStyle w:val="BodyText"/>
      </w:pPr>
      <w:r w:rsidRPr="009E06AA">
        <w:t xml:space="preserve">For the </w:t>
      </w:r>
      <w:r w:rsidRPr="009E06AA">
        <w:rPr>
          <w:i/>
          <w:iCs/>
        </w:rPr>
        <w:t>Product uses as substitutes for ozone depleting substances (ODS)</w:t>
      </w:r>
      <w:r w:rsidRPr="009E06AA">
        <w:t xml:space="preserve"> category, updated activity data were obtained through a detailed annual survey covering the electrical, refrigeration and other industry participants (Verum Group Ltd, unpublished), as well as importers of HFCs and other substances in this category.</w:t>
      </w:r>
    </w:p>
    <w:p w14:paraId="4AB87040" w14:textId="77777777" w:rsidR="00C3347F" w:rsidRPr="009E06AA" w:rsidRDefault="00C3347F" w:rsidP="00C3347F">
      <w:pPr>
        <w:pStyle w:val="BodyText"/>
      </w:pPr>
      <w:r w:rsidRPr="009E06AA">
        <w:t xml:space="preserve">For small amounts of indirect GHG emissions reported in the </w:t>
      </w:r>
      <w:r w:rsidRPr="009E06AA">
        <w:rPr>
          <w:i/>
          <w:iCs/>
        </w:rPr>
        <w:t>Chemical industry</w:t>
      </w:r>
      <w:r w:rsidRPr="009E06AA">
        <w:t xml:space="preserve"> category and the </w:t>
      </w:r>
      <w:r w:rsidRPr="009E06AA">
        <w:rPr>
          <w:i/>
          <w:iCs/>
        </w:rPr>
        <w:t>Other product manufacture and use</w:t>
      </w:r>
      <w:r w:rsidRPr="009E06AA">
        <w:t xml:space="preserve"> category, data were obtained by a detailed industry survey and analysis in 2006 (CRL Energy, unpublished). Emissions and activity data have been extrapolated for the years since that time.</w:t>
      </w:r>
    </w:p>
    <w:bookmarkEnd w:id="103"/>
    <w:p w14:paraId="20B71627" w14:textId="77777777" w:rsidR="00C3347F" w:rsidRPr="009E06AA" w:rsidRDefault="00C3347F" w:rsidP="00C3347F">
      <w:pPr>
        <w:pStyle w:val="Heading4"/>
      </w:pPr>
      <w:r w:rsidRPr="009E06AA">
        <w:t>Agriculture</w:t>
      </w:r>
    </w:p>
    <w:p w14:paraId="2AD993E9" w14:textId="77777777" w:rsidR="00C3347F" w:rsidRPr="009E06AA" w:rsidRDefault="00C3347F" w:rsidP="00C3347F">
      <w:pPr>
        <w:pStyle w:val="BodyText"/>
      </w:pPr>
      <w:r w:rsidRPr="009E06AA">
        <w:t xml:space="preserve">New Zealand has developed a largely Tier 2 (with some Tier 1 aspects and other aspects reflecting Tier 3) methodology with country-specific emission factors for a range of emissions sources. </w:t>
      </w:r>
    </w:p>
    <w:p w14:paraId="780C1EE4" w14:textId="77777777" w:rsidR="00C3347F" w:rsidRPr="009E06AA" w:rsidRDefault="00C3347F" w:rsidP="00C3347F">
      <w:pPr>
        <w:pStyle w:val="BodyText"/>
      </w:pPr>
      <w:r w:rsidRPr="009E06AA">
        <w:t>This methodology uses detailed data on livestock population and production to calculate livestock energy requirements for four major livestock categories (</w:t>
      </w:r>
      <w:r w:rsidRPr="009E06AA">
        <w:rPr>
          <w:i/>
          <w:iCs/>
        </w:rPr>
        <w:t>Dairy cattle</w:t>
      </w:r>
      <w:r w:rsidRPr="009E06AA">
        <w:t xml:space="preserve">, </w:t>
      </w:r>
      <w:r w:rsidRPr="009E06AA">
        <w:rPr>
          <w:i/>
          <w:iCs/>
        </w:rPr>
        <w:t>Non-dairy</w:t>
      </w:r>
      <w:r w:rsidRPr="009E06AA">
        <w:t xml:space="preserve"> (beef) </w:t>
      </w:r>
      <w:r w:rsidRPr="009E06AA">
        <w:rPr>
          <w:i/>
          <w:iCs/>
        </w:rPr>
        <w:t>cattle</w:t>
      </w:r>
      <w:r w:rsidRPr="009E06AA">
        <w:t xml:space="preserve">, </w:t>
      </w:r>
      <w:r w:rsidRPr="009E06AA">
        <w:rPr>
          <w:i/>
          <w:iCs/>
        </w:rPr>
        <w:t>Sheep</w:t>
      </w:r>
      <w:r w:rsidRPr="009E06AA">
        <w:t xml:space="preserve"> and </w:t>
      </w:r>
      <w:r w:rsidRPr="009E06AA">
        <w:rPr>
          <w:i/>
          <w:iCs/>
        </w:rPr>
        <w:t>Deer</w:t>
      </w:r>
      <w:r w:rsidRPr="009E06AA">
        <w:t>). Other livestock are classified as ‘minor’ due to their small total contribution to agricultural emissions and are outlined below. Animal population data are collected by Stats NZ. Productivity data are available from the Livestock Improvement Corporation and industry organisations, such as Beef + Lamb New Zealand Ltd and Dairy NZ, which regularly collect animal sector statistics. Statistics on animal carcass weights are collected by MPI and are used to derive live weights.</w:t>
      </w:r>
    </w:p>
    <w:p w14:paraId="040A1B73" w14:textId="77777777" w:rsidR="00C3347F" w:rsidRPr="009E06AA" w:rsidRDefault="00C3347F" w:rsidP="00C3347F">
      <w:pPr>
        <w:pStyle w:val="BodyText"/>
      </w:pPr>
      <w:r w:rsidRPr="009E06AA">
        <w:t>Other livestock species combined (</w:t>
      </w:r>
      <w:r w:rsidRPr="009E06AA">
        <w:rPr>
          <w:i/>
          <w:iCs/>
        </w:rPr>
        <w:t>Swine</w:t>
      </w:r>
      <w:r w:rsidRPr="009E06AA">
        <w:t xml:space="preserve">, </w:t>
      </w:r>
      <w:r w:rsidRPr="009E06AA">
        <w:rPr>
          <w:i/>
          <w:iCs/>
        </w:rPr>
        <w:t>Goats</w:t>
      </w:r>
      <w:r w:rsidRPr="009E06AA">
        <w:t xml:space="preserve">, </w:t>
      </w:r>
      <w:r w:rsidRPr="009E06AA">
        <w:rPr>
          <w:i/>
          <w:iCs/>
        </w:rPr>
        <w:t>Horses</w:t>
      </w:r>
      <w:r w:rsidRPr="009E06AA">
        <w:t xml:space="preserve">, </w:t>
      </w:r>
      <w:r w:rsidRPr="009E06AA">
        <w:rPr>
          <w:i/>
          <w:iCs/>
        </w:rPr>
        <w:t>Llamas and alpacas</w:t>
      </w:r>
      <w:r w:rsidRPr="009E06AA">
        <w:t xml:space="preserve">, </w:t>
      </w:r>
      <w:r w:rsidRPr="009E06AA">
        <w:rPr>
          <w:i/>
          <w:iCs/>
        </w:rPr>
        <w:t>Mules and asses</w:t>
      </w:r>
      <w:r w:rsidRPr="009E06AA">
        <w:t xml:space="preserve"> and </w:t>
      </w:r>
      <w:r w:rsidRPr="009E06AA">
        <w:rPr>
          <w:i/>
          <w:iCs/>
        </w:rPr>
        <w:t>Poultry</w:t>
      </w:r>
      <w:r w:rsidRPr="009E06AA">
        <w:t>) account for less than 0.5 per cent of New Zealand’s agriculture emissions. Emissions from these minor livestock species are estimated using Tier 1 methods. Where information is available, New Zealand has used country-specific emission methodology and factors. There is no known farming of fur-bearing animals in New Zealand.</w:t>
      </w:r>
    </w:p>
    <w:p w14:paraId="12CBBFC1" w14:textId="5165B00E" w:rsidR="00C3347F" w:rsidRPr="009E06AA" w:rsidRDefault="00C3347F" w:rsidP="00C3347F">
      <w:pPr>
        <w:pStyle w:val="BodyText"/>
      </w:pPr>
      <w:r w:rsidRPr="009E06AA">
        <w:rPr>
          <w:spacing w:val="-2"/>
        </w:rPr>
        <w:t xml:space="preserve">For estimating emissions from the </w:t>
      </w:r>
      <w:r w:rsidRPr="009E06AA">
        <w:rPr>
          <w:i/>
          <w:iCs/>
          <w:spacing w:val="-2"/>
        </w:rPr>
        <w:t>Agricultural soils</w:t>
      </w:r>
      <w:r w:rsidRPr="009E06AA">
        <w:rPr>
          <w:spacing w:val="-2"/>
        </w:rPr>
        <w:t xml:space="preserve"> category, New Zealand uses methodologies</w:t>
      </w:r>
      <w:r w:rsidRPr="009E06AA">
        <w:t xml:space="preserve"> based on the 2006 IPCC Guidelines (IPCC, 2006d), the outputs of the Tier 2 livestock population characterisation, modelling of the livestock nutrition and energy requirements, and data on the application of nitrogen fertilisers. New Zealand uses a combination of default and country</w:t>
      </w:r>
      <w:r w:rsidRPr="009E06AA">
        <w:noBreakHyphen/>
        <w:t>specific emission factors and parameters to calculate N</w:t>
      </w:r>
      <w:r w:rsidRPr="009E06AA">
        <w:rPr>
          <w:vertAlign w:val="subscript"/>
        </w:rPr>
        <w:t>2</w:t>
      </w:r>
      <w:r w:rsidRPr="009E06AA">
        <w:t xml:space="preserve">O emissions from the </w:t>
      </w:r>
      <w:r w:rsidRPr="009E06AA">
        <w:rPr>
          <w:i/>
          <w:iCs/>
        </w:rPr>
        <w:t>Agricultural soils</w:t>
      </w:r>
      <w:r w:rsidRPr="009E06AA">
        <w:t xml:space="preserve"> category. </w:t>
      </w:r>
    </w:p>
    <w:p w14:paraId="2D8812B3" w14:textId="77777777" w:rsidR="00C3347F" w:rsidRPr="009E06AA" w:rsidRDefault="00C3347F" w:rsidP="00C3347F">
      <w:pPr>
        <w:pStyle w:val="BodyText"/>
      </w:pPr>
      <w:r w:rsidRPr="009E06AA">
        <w:t xml:space="preserve">Details on these emission factors and parameters are given in chapter 5 (tables 5.5.2, 5.5.3 and 5.5.4) and annex 5 (tables A5.1.5, A5.1.6 and A5.1.7). Chapter 5, table 5.5.5 contains the parameters used to estimate emissions where specific mitigation technologies are used. Activity data for the </w:t>
      </w:r>
      <w:r w:rsidRPr="009E06AA">
        <w:rPr>
          <w:i/>
          <w:iCs/>
        </w:rPr>
        <w:t>Liming</w:t>
      </w:r>
      <w:r w:rsidRPr="009E06AA">
        <w:t xml:space="preserve"> category are obtained from Stats NZ, and activity data on the use of synthetic fertiliser containing nitrogen are provided by the Fertiliser Association of New Zealand. A Tier 2 (model) approach is used to calculate emissions from the </w:t>
      </w:r>
      <w:r w:rsidRPr="009E06AA">
        <w:rPr>
          <w:i/>
          <w:iCs/>
        </w:rPr>
        <w:t>Burning of agricultural residues</w:t>
      </w:r>
      <w:r w:rsidRPr="009E06AA">
        <w:t xml:space="preserve"> category. No rice cultivation or CO</w:t>
      </w:r>
      <w:r w:rsidRPr="009E06AA">
        <w:rPr>
          <w:vertAlign w:val="subscript"/>
        </w:rPr>
        <w:t>2</w:t>
      </w:r>
      <w:r w:rsidRPr="009E06AA">
        <w:t xml:space="preserve"> emissions from other carbon-containing fertilisers occur in New Zealand.</w:t>
      </w:r>
    </w:p>
    <w:p w14:paraId="584230B9" w14:textId="77777777" w:rsidR="00C3347F" w:rsidRPr="009E06AA" w:rsidRDefault="00C3347F" w:rsidP="00C3347F">
      <w:pPr>
        <w:pStyle w:val="Heading4"/>
      </w:pPr>
      <w:bookmarkStart w:id="104" w:name="lulucf"/>
      <w:r w:rsidRPr="009E06AA">
        <w:t>LULUCF</w:t>
      </w:r>
    </w:p>
    <w:p w14:paraId="7E53FEEC" w14:textId="77777777" w:rsidR="00C3347F" w:rsidRPr="009E06AA" w:rsidRDefault="00C3347F" w:rsidP="00C3347F">
      <w:pPr>
        <w:pStyle w:val="BodyText"/>
      </w:pPr>
      <w:r w:rsidRPr="009E06AA">
        <w:t xml:space="preserve">New Zealand uses a combination of Tier 1, Tier 2 and Tier 3 methodologies for estimating emissions and removals for the LULUCF sector. Tier 2 or Tier 3 approaches have been applied to estimate biomass carbon in the pools with the most living biomass at maturity: </w:t>
      </w:r>
      <w:r w:rsidRPr="009E06AA">
        <w:rPr>
          <w:i/>
          <w:iCs/>
        </w:rPr>
        <w:t>Pre-1990 natural forest, Pre-1990 planted forest, Post-1989 natural forest, Post-1989 planted forest, Perennial cropland</w:t>
      </w:r>
      <w:r w:rsidRPr="009E06AA">
        <w:t xml:space="preserve"> and </w:t>
      </w:r>
      <w:r w:rsidRPr="009E06AA">
        <w:rPr>
          <w:i/>
          <w:iCs/>
        </w:rPr>
        <w:t>Grassland with woody biomass</w:t>
      </w:r>
      <w:r w:rsidRPr="009E06AA">
        <w:t xml:space="preserve">. For all other land use categories, a Tier 1 approach is used for estimating biomass carbon. A Tier 2 modelling approach has also been used to estimate carbon changes in the mineral soil component of the soil organic matter pool, while Tier 1 is used for organic soils. Furthermore, a Tier 2 approach has been used to estimate carbon stock changes in the </w:t>
      </w:r>
      <w:r w:rsidRPr="009E06AA">
        <w:rPr>
          <w:i/>
          <w:iCs/>
        </w:rPr>
        <w:t>Harvested wood products</w:t>
      </w:r>
      <w:r w:rsidRPr="009E06AA">
        <w:t xml:space="preserve"> category.</w:t>
      </w:r>
    </w:p>
    <w:p w14:paraId="77679C24" w14:textId="77777777" w:rsidR="00C3347F" w:rsidRPr="009E06AA" w:rsidRDefault="00C3347F" w:rsidP="00C3347F">
      <w:pPr>
        <w:pStyle w:val="BodyText"/>
      </w:pPr>
      <w:r w:rsidRPr="009E06AA">
        <w:t>New Zealand has established a data collection and modelling program for the LULUCF sector called the Land Use and Carbon Analysis System (LUCAS). The LUCAS program includes:</w:t>
      </w:r>
    </w:p>
    <w:p w14:paraId="5CDE0D62" w14:textId="77777777" w:rsidR="00C3347F" w:rsidRPr="009E06AA" w:rsidRDefault="00C3347F" w:rsidP="00C3347F">
      <w:pPr>
        <w:pStyle w:val="Bullet"/>
      </w:pPr>
      <w:r w:rsidRPr="009E06AA">
        <w:t>use of field plot measurements for natural and planted forests</w:t>
      </w:r>
    </w:p>
    <w:p w14:paraId="4DB44FA1" w14:textId="77777777" w:rsidR="00C3347F" w:rsidRPr="009E06AA" w:rsidRDefault="00C3347F" w:rsidP="00C3347F">
      <w:pPr>
        <w:pStyle w:val="Bullet"/>
      </w:pPr>
      <w:r w:rsidRPr="009E06AA">
        <w:t>use of allometric models and a forest carbon modelling system to estimate carbon stock and carbon stock change in natural and planted forests respectively (Paul et al., 2020, unpublished(a), unpublished(b), unpublished(c); Paul and Wakelin, unpublished)</w:t>
      </w:r>
    </w:p>
    <w:p w14:paraId="195FA3F7" w14:textId="77777777" w:rsidR="00C3347F" w:rsidRPr="009E06AA" w:rsidRDefault="00C3347F" w:rsidP="00C3347F">
      <w:pPr>
        <w:pStyle w:val="Bullet"/>
      </w:pPr>
      <w:r w:rsidRPr="009E06AA">
        <w:t>wall-to-wall land use mapping for 1990, 2008, 2012 and 2016 using satellite and aircraft remotely sensed imagery, with additional information on post-1989 forest afforestation and deforestation of planted forest used for estimating the change</w:t>
      </w:r>
    </w:p>
    <w:p w14:paraId="0521F15B" w14:textId="77777777" w:rsidR="00C3347F" w:rsidRPr="009E06AA" w:rsidRDefault="00C3347F" w:rsidP="00C3347F">
      <w:pPr>
        <w:pStyle w:val="Bullet"/>
      </w:pPr>
      <w:r w:rsidRPr="009E06AA">
        <w:t>development of databases and applications to store and process all data associated with LULUCF activities.</w:t>
      </w:r>
    </w:p>
    <w:bookmarkEnd w:id="104"/>
    <w:p w14:paraId="0234F380" w14:textId="77777777" w:rsidR="00C3347F" w:rsidRPr="009E06AA" w:rsidRDefault="00C3347F" w:rsidP="00C3347F">
      <w:pPr>
        <w:pStyle w:val="Heading4"/>
      </w:pPr>
      <w:r w:rsidRPr="009E06AA">
        <w:t>Waste</w:t>
      </w:r>
    </w:p>
    <w:p w14:paraId="446E14E5" w14:textId="77777777" w:rsidR="00C3347F" w:rsidRPr="009E06AA" w:rsidRDefault="00C3347F" w:rsidP="00C3347F">
      <w:pPr>
        <w:pStyle w:val="BodyText"/>
      </w:pPr>
      <w:r w:rsidRPr="009E06AA">
        <w:t xml:space="preserve">New Zealand uses Tier 2 methodologies for estimating emissions from the </w:t>
      </w:r>
      <w:r w:rsidRPr="009E06AA">
        <w:rPr>
          <w:i/>
          <w:iCs/>
        </w:rPr>
        <w:t>Solid waste disposal</w:t>
      </w:r>
      <w:r w:rsidRPr="009E06AA">
        <w:t> source category, which is a key category, and for some wastewater emissions. Tier 1 methodologies are used to estimate other emissions from the Waste sector.</w:t>
      </w:r>
    </w:p>
    <w:p w14:paraId="4E247327" w14:textId="77777777" w:rsidR="00C3347F" w:rsidRPr="009E06AA" w:rsidRDefault="00C3347F" w:rsidP="00C3347F">
      <w:pPr>
        <w:pStyle w:val="BodyText"/>
      </w:pPr>
      <w:r w:rsidRPr="009E06AA">
        <w:t>Activity data have come from a variety of sources. Municipal solid waste disposal data, from mandatory reporting under the Waste Minimisation Act 2008 and from the NZ ETS, were used for the years for which they are available (2010 onwards). Activity data for all other sources were based on specific surveys. Interpolation based on gross domestic product or population is used for other years.</w:t>
      </w:r>
    </w:p>
    <w:p w14:paraId="67628777" w14:textId="75872D86" w:rsidR="00C3347F" w:rsidRPr="009E06AA" w:rsidRDefault="00C3347F" w:rsidP="00C3347F">
      <w:pPr>
        <w:pStyle w:val="BodyText"/>
      </w:pPr>
      <w:r w:rsidRPr="009E06AA">
        <w:t>Country-specific emission factors have been used where available, including parameters for</w:t>
      </w:r>
      <w:r w:rsidR="00463340" w:rsidRPr="009E06AA">
        <w:t> </w:t>
      </w:r>
      <w:r w:rsidRPr="009E06AA">
        <w:t>municipal waste (Eunomia, unpublished) and for treatment of some types of industrial wastewater (Cardno, unpublished).</w:t>
      </w:r>
    </w:p>
    <w:p w14:paraId="49F3DA70" w14:textId="77777777" w:rsidR="00C3347F" w:rsidRPr="009E06AA" w:rsidRDefault="00C3347F" w:rsidP="00C3347F">
      <w:r w:rsidRPr="009E06AA">
        <w:t>Methodological issues are discussed under each source category in chapter 7.</w:t>
      </w:r>
    </w:p>
    <w:p w14:paraId="2B0FDE58" w14:textId="77777777" w:rsidR="00C3347F" w:rsidRPr="009E06AA" w:rsidRDefault="00C3347F" w:rsidP="00C3347F">
      <w:pPr>
        <w:pStyle w:val="Heading4"/>
      </w:pPr>
      <w:r w:rsidRPr="009E06AA">
        <w:t>Other sector (Tokelau)</w:t>
      </w:r>
    </w:p>
    <w:p w14:paraId="1AD19FC7" w14:textId="77777777" w:rsidR="00C3347F" w:rsidRPr="009E06AA" w:rsidRDefault="00C3347F" w:rsidP="00C3347F">
      <w:pPr>
        <w:pStyle w:val="BodyText"/>
      </w:pPr>
      <w:r w:rsidRPr="009E06AA">
        <w:t>The Tokelau National Statistics Office collects and processes activity data from Tokelau for inventory preparation. Chapter 8, table 8.1.1 contains the key sources of the activity data from Tokelau used in Tokelau’s GHG inventory. Tier 1 methodological approaches with default emission factors were used for estimating emissions from all Tokelau source categories.</w:t>
      </w:r>
    </w:p>
    <w:p w14:paraId="76EB458B" w14:textId="77777777" w:rsidR="00C3347F" w:rsidRPr="009E06AA" w:rsidRDefault="00C3347F" w:rsidP="00C3347F">
      <w:pPr>
        <w:pStyle w:val="Heading2"/>
      </w:pPr>
      <w:bookmarkStart w:id="105" w:name="_Toc162261123"/>
      <w:bookmarkStart w:id="106" w:name="_Toc164154163"/>
      <w:bookmarkStart w:id="107" w:name="brief-description-of-key-categories"/>
      <w:bookmarkEnd w:id="102"/>
      <w:r w:rsidRPr="009E06AA">
        <w:t xml:space="preserve">1.4 </w:t>
      </w:r>
      <w:r w:rsidRPr="009E06AA">
        <w:tab/>
        <w:t>Brief description of key categories</w:t>
      </w:r>
      <w:bookmarkEnd w:id="105"/>
      <w:bookmarkEnd w:id="106"/>
    </w:p>
    <w:p w14:paraId="3AD7E4CD" w14:textId="77777777" w:rsidR="00C3347F" w:rsidRPr="009E06AA" w:rsidRDefault="00C3347F" w:rsidP="00C3347F">
      <w:pPr>
        <w:pStyle w:val="BodyText"/>
      </w:pPr>
      <w:r w:rsidRPr="009E06AA">
        <w:t>The 2006 IPCC Guidelines (IPCC, 2006b) identify a key category as one that is prioritised within the national inventory system because its estimate has a significant influence on a country’s total inventory of direct GHGs in terms of the absolute level of emissions, the trend in emissions, or both.</w:t>
      </w:r>
    </w:p>
    <w:p w14:paraId="07715754" w14:textId="77777777" w:rsidR="00C3347F" w:rsidRPr="009E06AA" w:rsidRDefault="00C3347F" w:rsidP="00C3347F">
      <w:pPr>
        <w:pStyle w:val="BodyText"/>
      </w:pPr>
      <w:r w:rsidRPr="009E06AA">
        <w:t>Key categories identified within the inventory are used to prioritise inventory improvements.</w:t>
      </w:r>
    </w:p>
    <w:p w14:paraId="222FF69A" w14:textId="77777777" w:rsidR="00C3347F" w:rsidRPr="009E06AA" w:rsidRDefault="00C3347F" w:rsidP="00C3347F">
      <w:pPr>
        <w:pStyle w:val="BodyText"/>
        <w:spacing w:after="100"/>
      </w:pPr>
      <w:r w:rsidRPr="009E06AA">
        <w:t>The key categories in the inventory have been assessed using the approach 1 level (L1) and approach 1 trend (T1) methodologies from the 2006 IPCC Guidelines (IPCC, 2006b). This is because some categories in the inventory apply default uncertainty values for emissions estimates, and developing country-specific uncertainty values is resource prohibitive.</w:t>
      </w:r>
    </w:p>
    <w:p w14:paraId="2514378E" w14:textId="77777777" w:rsidR="00C3347F" w:rsidRPr="009E06AA" w:rsidRDefault="00C3347F" w:rsidP="00C3347F">
      <w:pPr>
        <w:pStyle w:val="BodyText"/>
        <w:spacing w:after="100"/>
      </w:pPr>
      <w:r w:rsidRPr="009E06AA">
        <w:t>The key category analysis identifies key categories of emissions and removals as those that sum to 95 per cent of the gross or net level of emissions and those that are within the top 95 per cent of the categories that contribute to the change between 1990 and 2022, or the trend of emissions. New Zealand does not currently use qualitative assessment to identify any key categories.</w:t>
      </w:r>
    </w:p>
    <w:p w14:paraId="13A4129D" w14:textId="77777777" w:rsidR="00C3347F" w:rsidRPr="009E06AA" w:rsidRDefault="00C3347F" w:rsidP="00C3347F">
      <w:pPr>
        <w:pStyle w:val="BodyText"/>
        <w:spacing w:after="100"/>
      </w:pPr>
      <w:r w:rsidRPr="009E06AA">
        <w:t>In accordance with the 2006 IPCC Guidelines (IPCC, 2006b), the key category analysis is performed once for the inventory excluding the LULUCF sector and then repeated for the inventory including the LULUCF sector. Non-LULUCF categories that are identified as key in the first analysis are still counted even when they are not identified as a key category in the analysis that includes the LULUCF sector.</w:t>
      </w:r>
    </w:p>
    <w:p w14:paraId="186AC437" w14:textId="77777777" w:rsidR="00C3347F" w:rsidRPr="009E06AA" w:rsidRDefault="00C3347F" w:rsidP="00C3347F">
      <w:pPr>
        <w:pStyle w:val="BodyText"/>
        <w:spacing w:after="100"/>
      </w:pPr>
      <w:r w:rsidRPr="009E06AA">
        <w:t>The key category analysis performed for the inventory differs from that produced in the GHG Inventory Reporting Tool, because the level of aggregation of categories is adjusted to better reflect New Zealand’s emissions profile. Specifically, a large proportion of emissions from the Energy and Agriculture sectors is disaggregated further than the key category analysis generated in the GHG Inventory Reporting Tool, to allow for a more evenly proportioned analysis of categories.</w:t>
      </w:r>
    </w:p>
    <w:p w14:paraId="52F627C7" w14:textId="77777777" w:rsidR="00C3347F" w:rsidRPr="009E06AA" w:rsidRDefault="00C3347F" w:rsidP="00C3347F">
      <w:pPr>
        <w:pStyle w:val="BodyText"/>
        <w:spacing w:after="100"/>
      </w:pPr>
      <w:r w:rsidRPr="009E06AA">
        <w:t>The major contributions to the level analysis of net emissions for 2022 were:</w:t>
      </w:r>
    </w:p>
    <w:p w14:paraId="4860E72B" w14:textId="77777777" w:rsidR="00C3347F" w:rsidRPr="009E06AA" w:rsidRDefault="00C3347F" w:rsidP="00C3347F">
      <w:pPr>
        <w:pStyle w:val="Bullet"/>
        <w:spacing w:after="100"/>
      </w:pPr>
      <w:r w:rsidRPr="009E06AA">
        <w:t>CH</w:t>
      </w:r>
      <w:r w:rsidRPr="009E06AA">
        <w:rPr>
          <w:vertAlign w:val="subscript"/>
        </w:rPr>
        <w:t>4</w:t>
      </w:r>
      <w:r w:rsidRPr="009E06AA">
        <w:t xml:space="preserve"> emissions from </w:t>
      </w:r>
      <w:r w:rsidRPr="009E06AA">
        <w:rPr>
          <w:i/>
          <w:iCs/>
        </w:rPr>
        <w:t>Dairy cattle</w:t>
      </w:r>
      <w:r w:rsidRPr="009E06AA">
        <w:t xml:space="preserve"> – </w:t>
      </w:r>
      <w:r w:rsidRPr="009E06AA">
        <w:rPr>
          <w:i/>
          <w:iCs/>
        </w:rPr>
        <w:t>Enteric fermentation</w:t>
      </w:r>
      <w:r w:rsidRPr="009E06AA">
        <w:t xml:space="preserve"> (14.9 per cent)</w:t>
      </w:r>
    </w:p>
    <w:p w14:paraId="48912959" w14:textId="77777777" w:rsidR="00C3347F" w:rsidRPr="009E06AA" w:rsidRDefault="00C3347F" w:rsidP="00C3347F">
      <w:pPr>
        <w:pStyle w:val="Bullet"/>
        <w:spacing w:after="100"/>
      </w:pPr>
      <w:r w:rsidRPr="009E06AA">
        <w:t>CO</w:t>
      </w:r>
      <w:r w:rsidRPr="009E06AA">
        <w:rPr>
          <w:vertAlign w:val="subscript"/>
        </w:rPr>
        <w:t>2</w:t>
      </w:r>
      <w:r w:rsidRPr="009E06AA">
        <w:t xml:space="preserve"> emissions from </w:t>
      </w:r>
      <w:r w:rsidRPr="009E06AA">
        <w:rPr>
          <w:i/>
          <w:iCs/>
        </w:rPr>
        <w:t>Forest land remaining forest land</w:t>
      </w:r>
      <w:r w:rsidRPr="009E06AA">
        <w:t xml:space="preserve"> (14.0 per cent)</w:t>
      </w:r>
    </w:p>
    <w:p w14:paraId="03EC152D" w14:textId="77777777" w:rsidR="00C3347F" w:rsidRPr="009E06AA" w:rsidRDefault="00C3347F" w:rsidP="00C3347F">
      <w:pPr>
        <w:pStyle w:val="Bullet"/>
        <w:spacing w:after="100"/>
      </w:pPr>
      <w:r w:rsidRPr="009E06AA">
        <w:t>CO</w:t>
      </w:r>
      <w:r w:rsidRPr="009E06AA">
        <w:rPr>
          <w:vertAlign w:val="subscript"/>
        </w:rPr>
        <w:t>2</w:t>
      </w:r>
      <w:r w:rsidRPr="009E06AA">
        <w:t xml:space="preserve"> emissions from </w:t>
      </w:r>
      <w:r w:rsidRPr="009E06AA">
        <w:rPr>
          <w:i/>
          <w:iCs/>
        </w:rPr>
        <w:t>Road transportation</w:t>
      </w:r>
      <w:r w:rsidRPr="009E06AA">
        <w:t xml:space="preserve"> – </w:t>
      </w:r>
      <w:r w:rsidRPr="009E06AA">
        <w:rPr>
          <w:i/>
          <w:iCs/>
        </w:rPr>
        <w:t>Liquid fuels</w:t>
      </w:r>
      <w:r w:rsidRPr="009E06AA">
        <w:t xml:space="preserve"> (11.5 per cent)</w:t>
      </w:r>
    </w:p>
    <w:p w14:paraId="12F50AA9" w14:textId="77777777" w:rsidR="00C3347F" w:rsidRPr="009E06AA" w:rsidRDefault="00C3347F" w:rsidP="00C3347F">
      <w:pPr>
        <w:pStyle w:val="Bullet"/>
        <w:spacing w:after="100"/>
      </w:pPr>
      <w:r w:rsidRPr="009E06AA">
        <w:t>CH</w:t>
      </w:r>
      <w:r w:rsidRPr="009E06AA">
        <w:rPr>
          <w:vertAlign w:val="subscript"/>
        </w:rPr>
        <w:t>4</w:t>
      </w:r>
      <w:r w:rsidRPr="009E06AA">
        <w:t xml:space="preserve"> emissions from </w:t>
      </w:r>
      <w:r w:rsidRPr="009E06AA">
        <w:rPr>
          <w:i/>
          <w:iCs/>
        </w:rPr>
        <w:t>Sheep</w:t>
      </w:r>
      <w:r w:rsidRPr="009E06AA">
        <w:t xml:space="preserve"> – </w:t>
      </w:r>
      <w:r w:rsidRPr="009E06AA">
        <w:rPr>
          <w:i/>
          <w:iCs/>
        </w:rPr>
        <w:t>Enteric fermentation</w:t>
      </w:r>
      <w:r w:rsidRPr="009E06AA">
        <w:t xml:space="preserve"> (8.3 per cent).</w:t>
      </w:r>
    </w:p>
    <w:p w14:paraId="5DA6A86B" w14:textId="77777777" w:rsidR="00C3347F" w:rsidRPr="009E06AA" w:rsidRDefault="00C3347F" w:rsidP="00C3347F">
      <w:pPr>
        <w:pStyle w:val="BodyText"/>
        <w:spacing w:after="100"/>
      </w:pPr>
      <w:r w:rsidRPr="009E06AA">
        <w:t>The key categories that were identified as having the largest relative influence on the trend, when compared with the average change in net emissions from 1990 to 2022, were:</w:t>
      </w:r>
    </w:p>
    <w:p w14:paraId="5D980575" w14:textId="77777777" w:rsidR="00C3347F" w:rsidRPr="009E06AA" w:rsidRDefault="00C3347F" w:rsidP="00C3347F">
      <w:pPr>
        <w:pStyle w:val="Bullet"/>
        <w:spacing w:after="100"/>
      </w:pPr>
      <w:r w:rsidRPr="009E06AA">
        <w:t>CH</w:t>
      </w:r>
      <w:r w:rsidRPr="009E06AA">
        <w:rPr>
          <w:vertAlign w:val="subscript"/>
        </w:rPr>
        <w:t>4</w:t>
      </w:r>
      <w:r w:rsidRPr="009E06AA">
        <w:t xml:space="preserve"> emissions from </w:t>
      </w:r>
      <w:r w:rsidRPr="009E06AA">
        <w:rPr>
          <w:i/>
          <w:iCs/>
        </w:rPr>
        <w:t>Sheep – Enteric fermentation</w:t>
      </w:r>
      <w:r w:rsidRPr="009E06AA">
        <w:t xml:space="preserve"> (16.2 per cent as a decrease)</w:t>
      </w:r>
    </w:p>
    <w:p w14:paraId="2C164B9F" w14:textId="77777777" w:rsidR="00C3347F" w:rsidRPr="009E06AA" w:rsidRDefault="00C3347F" w:rsidP="00C3347F">
      <w:pPr>
        <w:pStyle w:val="Bullet"/>
        <w:spacing w:after="100"/>
      </w:pPr>
      <w:r w:rsidRPr="009E06AA">
        <w:t>CO</w:t>
      </w:r>
      <w:r w:rsidRPr="009E06AA">
        <w:rPr>
          <w:vertAlign w:val="subscript"/>
        </w:rPr>
        <w:t>2</w:t>
      </w:r>
      <w:r w:rsidRPr="009E06AA">
        <w:t xml:space="preserve"> emissions from </w:t>
      </w:r>
      <w:r w:rsidRPr="009E06AA">
        <w:rPr>
          <w:i/>
          <w:iCs/>
        </w:rPr>
        <w:t>Forest land remaining forest land</w:t>
      </w:r>
      <w:r w:rsidRPr="009E06AA">
        <w:t xml:space="preserve"> (14.7 per cent as a decrease)</w:t>
      </w:r>
    </w:p>
    <w:p w14:paraId="6E5FDEBD" w14:textId="77777777" w:rsidR="00C3347F" w:rsidRPr="009E06AA" w:rsidRDefault="00C3347F" w:rsidP="00C3347F">
      <w:pPr>
        <w:pStyle w:val="Bullet"/>
        <w:spacing w:after="100"/>
      </w:pPr>
      <w:r w:rsidRPr="009E06AA">
        <w:t>CO</w:t>
      </w:r>
      <w:r w:rsidRPr="009E06AA">
        <w:rPr>
          <w:vertAlign w:val="subscript"/>
        </w:rPr>
        <w:t>2</w:t>
      </w:r>
      <w:r w:rsidRPr="009E06AA">
        <w:t xml:space="preserve"> emissions from </w:t>
      </w:r>
      <w:r w:rsidRPr="009E06AA">
        <w:rPr>
          <w:i/>
          <w:iCs/>
        </w:rPr>
        <w:t>Forest land – Land converted to forest land</w:t>
      </w:r>
      <w:r w:rsidRPr="009E06AA">
        <w:t xml:space="preserve"> (12.5 per cent as an increase)</w:t>
      </w:r>
    </w:p>
    <w:p w14:paraId="6EF0D98A" w14:textId="77777777" w:rsidR="00C3347F" w:rsidRPr="009E06AA" w:rsidRDefault="00C3347F" w:rsidP="00C3347F">
      <w:pPr>
        <w:pStyle w:val="Bullet"/>
        <w:spacing w:after="100"/>
      </w:pPr>
      <w:r w:rsidRPr="009E06AA">
        <w:t>CH</w:t>
      </w:r>
      <w:r w:rsidRPr="009E06AA">
        <w:rPr>
          <w:vertAlign w:val="subscript"/>
        </w:rPr>
        <w:t>4</w:t>
      </w:r>
      <w:r w:rsidRPr="009E06AA">
        <w:t xml:space="preserve"> emissions from </w:t>
      </w:r>
      <w:r w:rsidRPr="009E06AA">
        <w:rPr>
          <w:i/>
          <w:iCs/>
        </w:rPr>
        <w:t>Dairy cattle – Enteric fermentation</w:t>
      </w:r>
      <w:r w:rsidRPr="009E06AA">
        <w:t xml:space="preserve"> (8.7 per cent as an increase).</w:t>
      </w:r>
    </w:p>
    <w:p w14:paraId="28D67E18" w14:textId="77777777" w:rsidR="00C3347F" w:rsidRPr="009E06AA" w:rsidRDefault="00C3347F" w:rsidP="00C3347F">
      <w:pPr>
        <w:pStyle w:val="BodyText"/>
        <w:spacing w:after="100"/>
      </w:pPr>
      <w:r w:rsidRPr="009E06AA">
        <w:t>For gross emissions, the major contributions to the level analysis for 2022 were:</w:t>
      </w:r>
    </w:p>
    <w:p w14:paraId="47B0150B" w14:textId="77777777" w:rsidR="00C3347F" w:rsidRPr="009E06AA" w:rsidRDefault="00C3347F" w:rsidP="00C3347F">
      <w:pPr>
        <w:pStyle w:val="Bullet"/>
        <w:spacing w:after="100"/>
      </w:pPr>
      <w:r w:rsidRPr="009E06AA">
        <w:t>CH</w:t>
      </w:r>
      <w:r w:rsidRPr="009E06AA">
        <w:rPr>
          <w:vertAlign w:val="subscript"/>
        </w:rPr>
        <w:t>4</w:t>
      </w:r>
      <w:r w:rsidRPr="009E06AA">
        <w:t xml:space="preserve"> emissions from </w:t>
      </w:r>
      <w:r w:rsidRPr="009E06AA">
        <w:rPr>
          <w:i/>
          <w:iCs/>
        </w:rPr>
        <w:t>Dairy cattle</w:t>
      </w:r>
      <w:r w:rsidRPr="009E06AA">
        <w:t xml:space="preserve"> – </w:t>
      </w:r>
      <w:r w:rsidRPr="009E06AA">
        <w:rPr>
          <w:i/>
          <w:iCs/>
        </w:rPr>
        <w:t>Enteric fermentation</w:t>
      </w:r>
      <w:r w:rsidRPr="009E06AA">
        <w:t xml:space="preserve"> (20.4 per cent)</w:t>
      </w:r>
    </w:p>
    <w:p w14:paraId="492414EC" w14:textId="77777777" w:rsidR="00C3347F" w:rsidRPr="009E06AA" w:rsidRDefault="00C3347F" w:rsidP="00C3347F">
      <w:pPr>
        <w:pStyle w:val="Bullet"/>
        <w:spacing w:after="100"/>
      </w:pPr>
      <w:r w:rsidRPr="009E06AA">
        <w:t>CO</w:t>
      </w:r>
      <w:r w:rsidRPr="009E06AA">
        <w:rPr>
          <w:vertAlign w:val="subscript"/>
        </w:rPr>
        <w:t>2</w:t>
      </w:r>
      <w:r w:rsidRPr="009E06AA">
        <w:t xml:space="preserve"> emissions from </w:t>
      </w:r>
      <w:r w:rsidRPr="009E06AA">
        <w:rPr>
          <w:i/>
          <w:iCs/>
        </w:rPr>
        <w:t>Road transportation</w:t>
      </w:r>
      <w:r w:rsidRPr="009E06AA">
        <w:t xml:space="preserve"> – </w:t>
      </w:r>
      <w:r w:rsidRPr="009E06AA">
        <w:rPr>
          <w:i/>
          <w:iCs/>
        </w:rPr>
        <w:t>Liquid fuels</w:t>
      </w:r>
      <w:r w:rsidRPr="009E06AA">
        <w:t xml:space="preserve"> (15.8 per cent)</w:t>
      </w:r>
    </w:p>
    <w:p w14:paraId="084377FB" w14:textId="77777777" w:rsidR="00C3347F" w:rsidRPr="009E06AA" w:rsidRDefault="00C3347F" w:rsidP="00C3347F">
      <w:pPr>
        <w:pStyle w:val="Bullet"/>
        <w:spacing w:after="100"/>
      </w:pPr>
      <w:r w:rsidRPr="009E06AA">
        <w:t>CH</w:t>
      </w:r>
      <w:r w:rsidRPr="009E06AA">
        <w:rPr>
          <w:vertAlign w:val="subscript"/>
        </w:rPr>
        <w:t>4</w:t>
      </w:r>
      <w:r w:rsidRPr="009E06AA">
        <w:t xml:space="preserve"> emissions from </w:t>
      </w:r>
      <w:r w:rsidRPr="009E06AA">
        <w:rPr>
          <w:i/>
          <w:iCs/>
        </w:rPr>
        <w:t>Sheep</w:t>
      </w:r>
      <w:r w:rsidRPr="009E06AA">
        <w:t xml:space="preserve"> – </w:t>
      </w:r>
      <w:r w:rsidRPr="009E06AA">
        <w:rPr>
          <w:i/>
          <w:iCs/>
        </w:rPr>
        <w:t>Enteric fermentation</w:t>
      </w:r>
      <w:r w:rsidRPr="009E06AA">
        <w:t xml:space="preserve"> (11.3 per cent)</w:t>
      </w:r>
    </w:p>
    <w:p w14:paraId="1F5E8E49" w14:textId="77777777" w:rsidR="00C3347F" w:rsidRPr="009E06AA" w:rsidRDefault="00C3347F" w:rsidP="00C3347F">
      <w:pPr>
        <w:pStyle w:val="Bullet"/>
        <w:spacing w:after="100"/>
      </w:pPr>
      <w:r w:rsidRPr="009E06AA">
        <w:t>CH</w:t>
      </w:r>
      <w:r w:rsidRPr="009E06AA">
        <w:rPr>
          <w:vertAlign w:val="subscript"/>
        </w:rPr>
        <w:t>4</w:t>
      </w:r>
      <w:r w:rsidRPr="009E06AA">
        <w:t xml:space="preserve"> emissions from </w:t>
      </w:r>
      <w:r w:rsidRPr="009E06AA">
        <w:rPr>
          <w:i/>
          <w:iCs/>
        </w:rPr>
        <w:t>Non-dairy</w:t>
      </w:r>
      <w:r w:rsidRPr="009E06AA">
        <w:t xml:space="preserve"> (beef) </w:t>
      </w:r>
      <w:r w:rsidRPr="009E06AA">
        <w:rPr>
          <w:i/>
          <w:iCs/>
        </w:rPr>
        <w:t>cattle</w:t>
      </w:r>
      <w:r w:rsidRPr="009E06AA">
        <w:t xml:space="preserve"> – </w:t>
      </w:r>
      <w:r w:rsidRPr="009E06AA">
        <w:rPr>
          <w:i/>
          <w:iCs/>
        </w:rPr>
        <w:t>Enteric fermentation</w:t>
      </w:r>
      <w:r w:rsidRPr="009E06AA">
        <w:t xml:space="preserve"> (9.2 per cent).</w:t>
      </w:r>
    </w:p>
    <w:p w14:paraId="09853F8B" w14:textId="77777777" w:rsidR="00C3347F" w:rsidRPr="009E06AA" w:rsidRDefault="00C3347F" w:rsidP="00C3347F">
      <w:pPr>
        <w:pStyle w:val="BodyText"/>
        <w:spacing w:after="100"/>
      </w:pPr>
      <w:r w:rsidRPr="009E06AA">
        <w:t>The key categories that were identified as having the largest relative influence on the trend, when compared with the average change in gross emissions from 1990 to 2022, were:</w:t>
      </w:r>
    </w:p>
    <w:p w14:paraId="57E373BD" w14:textId="77777777" w:rsidR="00C3347F" w:rsidRPr="009E06AA" w:rsidRDefault="00C3347F" w:rsidP="00C3347F">
      <w:pPr>
        <w:pStyle w:val="Bullet"/>
        <w:spacing w:after="100"/>
      </w:pPr>
      <w:r w:rsidRPr="009E06AA">
        <w:t>CH</w:t>
      </w:r>
      <w:r w:rsidRPr="009E06AA">
        <w:rPr>
          <w:vertAlign w:val="subscript"/>
        </w:rPr>
        <w:t>4</w:t>
      </w:r>
      <w:r w:rsidRPr="009E06AA">
        <w:t xml:space="preserve"> emissions from </w:t>
      </w:r>
      <w:r w:rsidRPr="009E06AA">
        <w:rPr>
          <w:i/>
          <w:iCs/>
        </w:rPr>
        <w:t>Sheep – Enteric fermentation</w:t>
      </w:r>
      <w:r w:rsidRPr="009E06AA">
        <w:t xml:space="preserve"> (21.9 per cent as a decrease)</w:t>
      </w:r>
    </w:p>
    <w:p w14:paraId="4BDBF4FF" w14:textId="77777777" w:rsidR="00C3347F" w:rsidRPr="009E06AA" w:rsidRDefault="00C3347F" w:rsidP="00C3347F">
      <w:pPr>
        <w:pStyle w:val="Bullet"/>
        <w:spacing w:after="100"/>
      </w:pPr>
      <w:r w:rsidRPr="009E06AA">
        <w:t>CH</w:t>
      </w:r>
      <w:r w:rsidRPr="009E06AA">
        <w:rPr>
          <w:vertAlign w:val="subscript"/>
        </w:rPr>
        <w:t>4</w:t>
      </w:r>
      <w:r w:rsidRPr="009E06AA">
        <w:t xml:space="preserve"> emissions from </w:t>
      </w:r>
      <w:r w:rsidRPr="009E06AA">
        <w:rPr>
          <w:i/>
          <w:iCs/>
        </w:rPr>
        <w:t>Dairy cattle – Enteric fermentation</w:t>
      </w:r>
      <w:r w:rsidRPr="009E06AA">
        <w:t xml:space="preserve"> (18.6 per cent as an increase)</w:t>
      </w:r>
    </w:p>
    <w:p w14:paraId="5052C496" w14:textId="77777777" w:rsidR="00C3347F" w:rsidRPr="009E06AA" w:rsidRDefault="00C3347F" w:rsidP="00C3347F">
      <w:pPr>
        <w:pStyle w:val="Bullet"/>
        <w:spacing w:after="100"/>
      </w:pPr>
      <w:r w:rsidRPr="009E06AA">
        <w:t>CO</w:t>
      </w:r>
      <w:r w:rsidRPr="009E06AA">
        <w:rPr>
          <w:vertAlign w:val="subscript"/>
        </w:rPr>
        <w:t>2</w:t>
      </w:r>
      <w:r w:rsidRPr="009E06AA">
        <w:t xml:space="preserve"> emissions from </w:t>
      </w:r>
      <w:r w:rsidRPr="009E06AA">
        <w:rPr>
          <w:i/>
          <w:iCs/>
        </w:rPr>
        <w:t>Road transportation – Liquid fuels</w:t>
      </w:r>
      <w:r w:rsidRPr="009E06AA">
        <w:t xml:space="preserve"> (11.4 per cent as an increase)</w:t>
      </w:r>
    </w:p>
    <w:p w14:paraId="124C8231" w14:textId="77777777" w:rsidR="00C3347F" w:rsidRPr="009E06AA" w:rsidRDefault="00C3347F" w:rsidP="00C3347F">
      <w:pPr>
        <w:pStyle w:val="Bullet"/>
        <w:spacing w:after="100"/>
      </w:pPr>
      <w:r w:rsidRPr="009E06AA">
        <w:t>CO</w:t>
      </w:r>
      <w:r w:rsidRPr="009E06AA">
        <w:rPr>
          <w:vertAlign w:val="subscript"/>
        </w:rPr>
        <w:t>2</w:t>
      </w:r>
      <w:r w:rsidRPr="009E06AA">
        <w:t xml:space="preserve"> emissions from </w:t>
      </w:r>
      <w:r w:rsidRPr="009E06AA">
        <w:rPr>
          <w:i/>
          <w:iCs/>
        </w:rPr>
        <w:t>Energy industries – Manufacture of solid fuels</w:t>
      </w:r>
      <w:r w:rsidRPr="009E06AA">
        <w:t xml:space="preserve"> and </w:t>
      </w:r>
      <w:r w:rsidRPr="009E06AA">
        <w:rPr>
          <w:i/>
          <w:iCs/>
        </w:rPr>
        <w:t>Other energy industries – Gaseous fuels</w:t>
      </w:r>
      <w:r w:rsidRPr="009E06AA">
        <w:t xml:space="preserve"> (4.1 per cent as a decrease).</w:t>
      </w:r>
    </w:p>
    <w:p w14:paraId="1C2B4128" w14:textId="77777777" w:rsidR="00C3347F" w:rsidRPr="009E06AA" w:rsidRDefault="00C3347F" w:rsidP="00C3347F">
      <w:pPr>
        <w:pStyle w:val="BodyText"/>
        <w:spacing w:after="100"/>
      </w:pPr>
      <w:r w:rsidRPr="009E06AA">
        <w:t>The full analyses and results of the key category assessments are provided in annex 1.</w:t>
      </w:r>
    </w:p>
    <w:p w14:paraId="426F6D94" w14:textId="77777777" w:rsidR="00C3347F" w:rsidRPr="009E06AA" w:rsidRDefault="00C3347F" w:rsidP="00C3347F">
      <w:pPr>
        <w:pStyle w:val="Heading2"/>
      </w:pPr>
      <w:bookmarkStart w:id="108" w:name="_Toc162261124"/>
      <w:bookmarkStart w:id="109" w:name="_Toc164154164"/>
      <w:bookmarkStart w:id="110" w:name="X89922f007ea35e4325d7df02e2132c81a0f2e06"/>
      <w:bookmarkEnd w:id="107"/>
      <w:r w:rsidRPr="009E06AA">
        <w:t xml:space="preserve">1.5 </w:t>
      </w:r>
      <w:r w:rsidRPr="009E06AA">
        <w:tab/>
        <w:t>Brief general description of QA/QC plan and implementation</w:t>
      </w:r>
      <w:bookmarkEnd w:id="108"/>
      <w:bookmarkEnd w:id="109"/>
    </w:p>
    <w:p w14:paraId="47CB9CA2" w14:textId="77777777" w:rsidR="00C3347F" w:rsidRPr="009E06AA" w:rsidRDefault="00C3347F" w:rsidP="00C3347F">
      <w:pPr>
        <w:pStyle w:val="BodyText"/>
        <w:spacing w:after="100"/>
      </w:pPr>
      <w:r w:rsidRPr="009E06AA">
        <w:t>Quality assurance</w:t>
      </w:r>
      <w:r w:rsidRPr="009E06AA">
        <w:rPr>
          <w:rStyle w:val="FootnoteReference"/>
        </w:rPr>
        <w:footnoteReference w:id="13"/>
      </w:r>
      <w:r w:rsidRPr="009E06AA">
        <w:t xml:space="preserve"> and quality control</w:t>
      </w:r>
      <w:r w:rsidRPr="009E06AA">
        <w:rPr>
          <w:rStyle w:val="FootnoteReference"/>
        </w:rPr>
        <w:footnoteReference w:id="14"/>
      </w:r>
      <w:r w:rsidRPr="009E06AA">
        <w:t xml:space="preserve"> are integral parts of preparing New Zealand’s inventory. MfE’s QA/QC plan (annex 4), required under the Paris Agreement (UNFCCC, 2018b), formalises the documentation and archiving of the QA/QC procedures. This plan has been updated over time as the QA/QC tools have been developed and, where possible, automated. Details of the QA/QC activities performed during the compilation of the 2024 submission are discussed in the relevant sections below. Examples of QA/QC checks are provided in the Excel spreadsheets accompanying this submission.</w:t>
      </w:r>
    </w:p>
    <w:p w14:paraId="6944D2D5" w14:textId="77777777" w:rsidR="00C3347F" w:rsidRPr="009E06AA" w:rsidRDefault="00C3347F" w:rsidP="00C3347F">
      <w:pPr>
        <w:pStyle w:val="Heading4"/>
      </w:pPr>
      <w:bookmarkStart w:id="111" w:name="quality-control"/>
      <w:r w:rsidRPr="009E06AA">
        <w:t>Quality control</w:t>
      </w:r>
    </w:p>
    <w:p w14:paraId="1059295F" w14:textId="77777777" w:rsidR="00C3347F" w:rsidRPr="009E06AA" w:rsidRDefault="00C3347F" w:rsidP="00C3347F">
      <w:pPr>
        <w:pStyle w:val="BodyText"/>
        <w:spacing w:after="100"/>
      </w:pPr>
      <w:r w:rsidRPr="009E06AA">
        <w:t>The focus of New Zealand’s QA/QC plan is to meet the transparency, accuracy, completeness, consistency and comparability (TACCC) principles while ensuring efficient use of resources and to mitigate QA/QC-related risks in the inventory planning and preparation process.</w:t>
      </w:r>
    </w:p>
    <w:p w14:paraId="4794DBE1" w14:textId="77777777" w:rsidR="00C3347F" w:rsidRPr="009E06AA" w:rsidRDefault="00C3347F" w:rsidP="00C3347F">
      <w:pPr>
        <w:pStyle w:val="BodyText"/>
        <w:spacing w:after="100"/>
      </w:pPr>
      <w:r w:rsidRPr="009E06AA">
        <w:t>The main elements of the plan include:</w:t>
      </w:r>
    </w:p>
    <w:p w14:paraId="34C433AF" w14:textId="77777777" w:rsidR="00C3347F" w:rsidRPr="009E06AA" w:rsidRDefault="00C3347F" w:rsidP="00C3347F">
      <w:pPr>
        <w:pStyle w:val="Bullet"/>
        <w:spacing w:after="100"/>
      </w:pPr>
      <w:r w:rsidRPr="009E06AA">
        <w:t>revising the QA/QC deliverables to ensure they are fit for purpose, well supported with relevant templates, and adapted to the changes in the inventory software tools</w:t>
      </w:r>
    </w:p>
    <w:p w14:paraId="65FF9E75" w14:textId="77777777" w:rsidR="00C3347F" w:rsidRPr="009E06AA" w:rsidRDefault="00C3347F" w:rsidP="00C3347F">
      <w:pPr>
        <w:pStyle w:val="Bullet"/>
        <w:spacing w:after="100"/>
      </w:pPr>
      <w:r w:rsidRPr="009E06AA">
        <w:t>reinforcing the error-checking process by providing dedicated personnel and support to the sector leads</w:t>
      </w:r>
    </w:p>
    <w:p w14:paraId="1A6EDF33" w14:textId="77777777" w:rsidR="00C3347F" w:rsidRPr="009E06AA" w:rsidRDefault="00C3347F" w:rsidP="00C3347F">
      <w:pPr>
        <w:pStyle w:val="Bullet"/>
        <w:spacing w:after="100"/>
      </w:pPr>
      <w:r w:rsidRPr="009E06AA">
        <w:t>applying automated inventory tools, where available, to minimise the number of errors during data transfers</w:t>
      </w:r>
    </w:p>
    <w:p w14:paraId="2A756233" w14:textId="77777777" w:rsidR="00C3347F" w:rsidRPr="009E06AA" w:rsidRDefault="00C3347F" w:rsidP="00C3347F">
      <w:pPr>
        <w:pStyle w:val="Bullet"/>
        <w:spacing w:after="100"/>
      </w:pPr>
      <w:r w:rsidRPr="009E06AA">
        <w:t>adjusting QA/QC tools to accommodate any changes in the GHG Inventory Reporting Tool software that have been introduced since the previous submission</w:t>
      </w:r>
    </w:p>
    <w:p w14:paraId="7444FA9E" w14:textId="77777777" w:rsidR="00C3347F" w:rsidRPr="009E06AA" w:rsidRDefault="00C3347F" w:rsidP="00C3347F">
      <w:pPr>
        <w:pStyle w:val="Bullet"/>
        <w:spacing w:after="100"/>
      </w:pPr>
      <w:r w:rsidRPr="009E06AA">
        <w:t>performing data integrity checks in the GHG Inventory Reporting Tool and adhering to the reporting guidelines once data compilation in each sector is complete</w:t>
      </w:r>
    </w:p>
    <w:p w14:paraId="154F732A" w14:textId="283DD8CF" w:rsidR="00C3347F" w:rsidRPr="009E06AA" w:rsidRDefault="00C3347F" w:rsidP="00C3347F">
      <w:pPr>
        <w:pStyle w:val="Bullet"/>
        <w:spacing w:after="100"/>
      </w:pPr>
      <w:r w:rsidRPr="009E06AA">
        <w:t xml:space="preserve">ensuring the chapters in the </w:t>
      </w:r>
      <w:r w:rsidR="00E675D5">
        <w:t>I</w:t>
      </w:r>
      <w:r w:rsidRPr="009E06AA">
        <w:t>nventory and their structure demonstrate transparency of the methods and incorporate suggestions from previous inventory reviews.</w:t>
      </w:r>
    </w:p>
    <w:p w14:paraId="2401DE2A" w14:textId="77777777" w:rsidR="00C3347F" w:rsidRPr="009E06AA" w:rsidRDefault="00C3347F" w:rsidP="00C3347F">
      <w:pPr>
        <w:pStyle w:val="BodyText"/>
      </w:pPr>
      <w:r w:rsidRPr="009E06AA">
        <w:t xml:space="preserve">Completion of the IPCC 2006 Tier 1 QC check sheets for each sector is the responsibility of the sector leads (see table </w:t>
      </w:r>
      <w:r w:rsidRPr="009E06AA" w:rsidDel="002060F3">
        <w:t>1.</w:t>
      </w:r>
      <w:r w:rsidRPr="009E06AA">
        <w:t>5.1 for a list of the responsible agencies). The Tier 1 checks are in line with the 2006 IPCC Guidelines (IPCC, 2006b). Wherever possible, manual checking is replaced by, or supplemented with, automated checks.</w:t>
      </w:r>
    </w:p>
    <w:p w14:paraId="76B4A4CE" w14:textId="62D4B232" w:rsidR="00C3347F" w:rsidRPr="009E06AA" w:rsidRDefault="00C3347F" w:rsidP="00C3347F">
      <w:pPr>
        <w:pStyle w:val="BodyText"/>
      </w:pPr>
      <w:r w:rsidRPr="009E06AA">
        <w:t xml:space="preserve">The sectoral contributions to the </w:t>
      </w:r>
      <w:r w:rsidR="00E675D5">
        <w:t>I</w:t>
      </w:r>
      <w:r w:rsidRPr="009E06AA">
        <w:t xml:space="preserve">nventory – that is, sector chapters and data preparation – and Tier 1 QC checks are signed off by the responsible agency before final approval of the </w:t>
      </w:r>
      <w:r w:rsidR="00E675D5">
        <w:t>I</w:t>
      </w:r>
      <w:r w:rsidRPr="009E06AA">
        <w:t>nventory by the national inventory agency (MfE) and submission to the UNFCCC secretariat.</w:t>
      </w:r>
    </w:p>
    <w:p w14:paraId="0B2371D8" w14:textId="77777777" w:rsidR="00C3347F" w:rsidRPr="009E06AA" w:rsidRDefault="00C3347F" w:rsidP="00C3347F">
      <w:pPr>
        <w:pStyle w:val="BodyText"/>
      </w:pPr>
      <w:r w:rsidRPr="009E06AA">
        <w:t>MfE uses the QC-checking procedures included in the GHG Inventory Reporting Tool to ensure the data submitted to the UNFCCC secretariat are complete. In addition, data in the GHG Inventory Reporting Tool are checked for anomalies, errors and omissions.</w:t>
      </w:r>
    </w:p>
    <w:p w14:paraId="69D31A72" w14:textId="77777777" w:rsidR="00C3347F" w:rsidRPr="009E06AA" w:rsidRDefault="00C3347F" w:rsidP="00C3347F">
      <w:pPr>
        <w:pStyle w:val="BodyText"/>
      </w:pPr>
      <w:r w:rsidRPr="009E06AA">
        <w:t>After the CRT data are compiled for each inventory sector, MfE personnel review the CRT data for each sector and category for data integrity and time-series consistency before sector finalisation. The purpose of this review is to ensure that the CRT do not contain blank entries in the reported categories and that all instances of using the ‘IE’ (included elsewhere) and ‘NE’ (not estimated) notation keys for GHG emissions, as well as large variations in the implied emission factors, have been explained. The results of these checks are provided to the sector leads so they can make any corrections and include the relevant references and explanations, if required, to finalise the CRT data for each inventory sector.</w:t>
      </w:r>
    </w:p>
    <w:p w14:paraId="62AA8358" w14:textId="14C513C4" w:rsidR="00C3347F" w:rsidRPr="009E06AA" w:rsidRDefault="00C3347F" w:rsidP="00C3347F">
      <w:pPr>
        <w:pStyle w:val="BodyText"/>
      </w:pPr>
      <w:r w:rsidRPr="009E06AA">
        <w:t xml:space="preserve">Annex 4 contains details of the QA/QC plan including the processes applied during the preparation of the </w:t>
      </w:r>
      <w:r w:rsidR="009C5F59">
        <w:t>I</w:t>
      </w:r>
      <w:r w:rsidRPr="009E06AA">
        <w:t>nventory.</w:t>
      </w:r>
    </w:p>
    <w:p w14:paraId="427DB171" w14:textId="77777777" w:rsidR="00C3347F" w:rsidRPr="009E06AA" w:rsidRDefault="00C3347F" w:rsidP="00C3347F">
      <w:pPr>
        <w:pStyle w:val="Table"/>
      </w:pPr>
      <w:bookmarkStart w:id="112" w:name="_Toc162261040"/>
      <w:bookmarkStart w:id="113" w:name="_Toc162261096"/>
      <w:bookmarkStart w:id="114" w:name="_Toc164153794"/>
      <w:r w:rsidRPr="009E06AA">
        <w:t xml:space="preserve">Table </w:t>
      </w:r>
      <w:r w:rsidRPr="009E06AA" w:rsidDel="002060F3">
        <w:t>1.</w:t>
      </w:r>
      <w:r w:rsidRPr="009E06AA">
        <w:t xml:space="preserve">5.1 </w:t>
      </w:r>
      <w:r w:rsidRPr="009E06AA">
        <w:tab/>
        <w:t>Agency responsible for each sector</w:t>
      </w:r>
      <w:bookmarkEnd w:id="112"/>
      <w:bookmarkEnd w:id="113"/>
      <w:bookmarkEnd w:id="114"/>
    </w:p>
    <w:tbl>
      <w:tblPr>
        <w:tblW w:w="8505" w:type="dxa"/>
        <w:tblBorders>
          <w:top w:val="single" w:sz="4" w:space="0" w:color="1B556B" w:themeColor="text2"/>
          <w:bottom w:val="single" w:sz="4" w:space="0" w:color="1B556B" w:themeColor="text2"/>
          <w:insideH w:val="single" w:sz="4" w:space="0" w:color="1B556B" w:themeColor="text2"/>
        </w:tblBorders>
        <w:tblLook w:val="0420" w:firstRow="1" w:lastRow="0" w:firstColumn="0" w:lastColumn="0" w:noHBand="0" w:noVBand="1"/>
      </w:tblPr>
      <w:tblGrid>
        <w:gridCol w:w="2959"/>
        <w:gridCol w:w="5546"/>
      </w:tblGrid>
      <w:tr w:rsidR="00C3347F" w:rsidRPr="009E06AA" w14:paraId="630DA4BB" w14:textId="77777777" w:rsidTr="00B55F24">
        <w:trPr>
          <w:tblHeader/>
        </w:trPr>
        <w:tc>
          <w:tcPr>
            <w:tcW w:w="0" w:type="auto"/>
            <w:shd w:val="clear" w:color="auto" w:fill="1B556B"/>
            <w:tcMar>
              <w:top w:w="0" w:type="dxa"/>
              <w:left w:w="85" w:type="dxa"/>
              <w:bottom w:w="0" w:type="dxa"/>
              <w:right w:w="85" w:type="dxa"/>
            </w:tcMar>
          </w:tcPr>
          <w:p w14:paraId="6B0D1A29" w14:textId="77777777" w:rsidR="00C3347F" w:rsidRPr="009E06AA" w:rsidRDefault="00C3347F" w:rsidP="00B55F24">
            <w:pPr>
              <w:pStyle w:val="TableText"/>
              <w:spacing w:before="40" w:after="40"/>
              <w:rPr>
                <w:b/>
                <w:bCs/>
                <w:color w:val="FFFFFF" w:themeColor="background1"/>
              </w:rPr>
            </w:pPr>
            <w:r w:rsidRPr="009E06AA">
              <w:rPr>
                <w:rFonts w:eastAsia="Calibri"/>
                <w:b/>
                <w:bCs/>
                <w:color w:val="FFFFFF" w:themeColor="background1"/>
              </w:rPr>
              <w:t>Responsibility</w:t>
            </w:r>
          </w:p>
        </w:tc>
        <w:tc>
          <w:tcPr>
            <w:tcW w:w="0" w:type="auto"/>
            <w:shd w:val="clear" w:color="auto" w:fill="1B556B"/>
            <w:tcMar>
              <w:top w:w="0" w:type="dxa"/>
              <w:left w:w="85" w:type="dxa"/>
              <w:bottom w:w="0" w:type="dxa"/>
              <w:right w:w="85" w:type="dxa"/>
            </w:tcMar>
          </w:tcPr>
          <w:p w14:paraId="70B17620" w14:textId="77777777" w:rsidR="00C3347F" w:rsidRPr="009E06AA" w:rsidRDefault="00C3347F" w:rsidP="00B55F24">
            <w:pPr>
              <w:pStyle w:val="TableText"/>
              <w:spacing w:before="40" w:after="40"/>
              <w:rPr>
                <w:b/>
                <w:bCs/>
                <w:color w:val="FFFFFF" w:themeColor="background1"/>
              </w:rPr>
            </w:pPr>
            <w:r w:rsidRPr="009E06AA">
              <w:rPr>
                <w:rFonts w:eastAsia="Calibri"/>
                <w:b/>
                <w:bCs/>
                <w:color w:val="FFFFFF" w:themeColor="background1"/>
              </w:rPr>
              <w:t>Responsible New Zealand agency</w:t>
            </w:r>
          </w:p>
        </w:tc>
      </w:tr>
      <w:tr w:rsidR="00C3347F" w:rsidRPr="009E06AA" w14:paraId="69DC48D7" w14:textId="77777777" w:rsidTr="00B55F24">
        <w:tc>
          <w:tcPr>
            <w:tcW w:w="0" w:type="auto"/>
            <w:shd w:val="clear" w:color="auto" w:fill="FFFFFF"/>
            <w:tcMar>
              <w:top w:w="0" w:type="dxa"/>
              <w:left w:w="85" w:type="dxa"/>
              <w:bottom w:w="0" w:type="dxa"/>
              <w:right w:w="85" w:type="dxa"/>
            </w:tcMar>
          </w:tcPr>
          <w:p w14:paraId="1D75848F" w14:textId="77777777" w:rsidR="00C3347F" w:rsidRPr="009E06AA" w:rsidRDefault="00C3347F" w:rsidP="00B55F24">
            <w:pPr>
              <w:pStyle w:val="TableText"/>
              <w:spacing w:before="40" w:after="40"/>
            </w:pPr>
            <w:r w:rsidRPr="009E06AA">
              <w:rPr>
                <w:rFonts w:eastAsia="Calibri"/>
                <w:color w:val="000000"/>
              </w:rPr>
              <w:t>Energy sector</w:t>
            </w:r>
          </w:p>
        </w:tc>
        <w:tc>
          <w:tcPr>
            <w:tcW w:w="0" w:type="auto"/>
            <w:shd w:val="clear" w:color="auto" w:fill="FFFFFF"/>
            <w:tcMar>
              <w:top w:w="0" w:type="dxa"/>
              <w:left w:w="85" w:type="dxa"/>
              <w:bottom w:w="0" w:type="dxa"/>
              <w:right w:w="85" w:type="dxa"/>
            </w:tcMar>
          </w:tcPr>
          <w:p w14:paraId="406B27A2" w14:textId="77777777" w:rsidR="00C3347F" w:rsidRPr="009E06AA" w:rsidRDefault="00C3347F" w:rsidP="00B55F24">
            <w:pPr>
              <w:pStyle w:val="TableText"/>
              <w:spacing w:before="40" w:after="40"/>
            </w:pPr>
            <w:r w:rsidRPr="009E06AA">
              <w:rPr>
                <w:rFonts w:eastAsia="Calibri"/>
                <w:color w:val="000000"/>
              </w:rPr>
              <w:t>Ministry of Business, Innovation and Employment</w:t>
            </w:r>
          </w:p>
        </w:tc>
      </w:tr>
      <w:tr w:rsidR="00C3347F" w:rsidRPr="009E06AA" w14:paraId="342C165A" w14:textId="77777777" w:rsidTr="00B55F24">
        <w:tc>
          <w:tcPr>
            <w:tcW w:w="0" w:type="auto"/>
            <w:shd w:val="clear" w:color="auto" w:fill="FFFFFF"/>
            <w:tcMar>
              <w:top w:w="0" w:type="dxa"/>
              <w:left w:w="85" w:type="dxa"/>
              <w:bottom w:w="0" w:type="dxa"/>
              <w:right w:w="85" w:type="dxa"/>
            </w:tcMar>
          </w:tcPr>
          <w:p w14:paraId="42E35BE3" w14:textId="77777777" w:rsidR="00C3347F" w:rsidRPr="009E06AA" w:rsidRDefault="00C3347F" w:rsidP="00B55F24">
            <w:pPr>
              <w:pStyle w:val="TableText"/>
              <w:spacing w:before="40" w:after="40"/>
            </w:pPr>
            <w:r w:rsidRPr="009E06AA">
              <w:rPr>
                <w:rFonts w:eastAsia="Calibri"/>
                <w:color w:val="000000"/>
              </w:rPr>
              <w:t>IPPU sector</w:t>
            </w:r>
          </w:p>
        </w:tc>
        <w:tc>
          <w:tcPr>
            <w:tcW w:w="0" w:type="auto"/>
            <w:shd w:val="clear" w:color="auto" w:fill="FFFFFF"/>
            <w:tcMar>
              <w:top w:w="0" w:type="dxa"/>
              <w:left w:w="85" w:type="dxa"/>
              <w:bottom w:w="0" w:type="dxa"/>
              <w:right w:w="85" w:type="dxa"/>
            </w:tcMar>
          </w:tcPr>
          <w:p w14:paraId="2748F001" w14:textId="77777777" w:rsidR="00C3347F" w:rsidRPr="009E06AA" w:rsidRDefault="00C3347F" w:rsidP="00B55F24">
            <w:pPr>
              <w:pStyle w:val="TableText"/>
              <w:spacing w:before="40" w:after="40"/>
            </w:pPr>
            <w:r w:rsidRPr="009E06AA">
              <w:rPr>
                <w:rFonts w:eastAsia="Calibri"/>
                <w:color w:val="000000"/>
              </w:rPr>
              <w:t>Ministry for the Environment</w:t>
            </w:r>
          </w:p>
        </w:tc>
      </w:tr>
      <w:tr w:rsidR="00C3347F" w:rsidRPr="009E06AA" w14:paraId="19B6B6AA" w14:textId="77777777" w:rsidTr="00B55F24">
        <w:tc>
          <w:tcPr>
            <w:tcW w:w="0" w:type="auto"/>
            <w:shd w:val="clear" w:color="auto" w:fill="FFFFFF"/>
            <w:tcMar>
              <w:top w:w="0" w:type="dxa"/>
              <w:left w:w="85" w:type="dxa"/>
              <w:bottom w:w="0" w:type="dxa"/>
              <w:right w:w="85" w:type="dxa"/>
            </w:tcMar>
          </w:tcPr>
          <w:p w14:paraId="1A62592F" w14:textId="77777777" w:rsidR="00C3347F" w:rsidRPr="009E06AA" w:rsidRDefault="00C3347F" w:rsidP="00B55F24">
            <w:pPr>
              <w:pStyle w:val="TableText"/>
              <w:spacing w:before="40" w:after="40"/>
            </w:pPr>
            <w:r w:rsidRPr="009E06AA">
              <w:rPr>
                <w:rFonts w:eastAsia="Calibri"/>
                <w:color w:val="000000"/>
              </w:rPr>
              <w:t>LULUCF sector</w:t>
            </w:r>
          </w:p>
        </w:tc>
        <w:tc>
          <w:tcPr>
            <w:tcW w:w="0" w:type="auto"/>
            <w:shd w:val="clear" w:color="auto" w:fill="FFFFFF"/>
            <w:tcMar>
              <w:top w:w="0" w:type="dxa"/>
              <w:left w:w="85" w:type="dxa"/>
              <w:bottom w:w="0" w:type="dxa"/>
              <w:right w:w="85" w:type="dxa"/>
            </w:tcMar>
          </w:tcPr>
          <w:p w14:paraId="4A04156C" w14:textId="77777777" w:rsidR="00C3347F" w:rsidRPr="009E06AA" w:rsidRDefault="00C3347F" w:rsidP="00B55F24">
            <w:pPr>
              <w:pStyle w:val="TableText"/>
              <w:spacing w:before="40" w:after="40"/>
            </w:pPr>
            <w:r w:rsidRPr="009E06AA">
              <w:rPr>
                <w:rFonts w:eastAsia="Calibri"/>
                <w:color w:val="000000"/>
              </w:rPr>
              <w:t>Ministry for the Environment</w:t>
            </w:r>
          </w:p>
        </w:tc>
      </w:tr>
      <w:tr w:rsidR="00C3347F" w:rsidRPr="009E06AA" w14:paraId="475B0809" w14:textId="77777777" w:rsidTr="00B55F24">
        <w:tc>
          <w:tcPr>
            <w:tcW w:w="0" w:type="auto"/>
            <w:shd w:val="clear" w:color="auto" w:fill="FFFFFF"/>
            <w:tcMar>
              <w:top w:w="0" w:type="dxa"/>
              <w:left w:w="85" w:type="dxa"/>
              <w:bottom w:w="0" w:type="dxa"/>
              <w:right w:w="85" w:type="dxa"/>
            </w:tcMar>
          </w:tcPr>
          <w:p w14:paraId="118A56DA" w14:textId="77777777" w:rsidR="00C3347F" w:rsidRPr="009E06AA" w:rsidRDefault="00C3347F" w:rsidP="00B55F24">
            <w:pPr>
              <w:pStyle w:val="TableText"/>
              <w:spacing w:before="40" w:after="40"/>
            </w:pPr>
            <w:r w:rsidRPr="009E06AA">
              <w:rPr>
                <w:rFonts w:eastAsia="Calibri"/>
                <w:color w:val="000000"/>
              </w:rPr>
              <w:t>Waste sector</w:t>
            </w:r>
          </w:p>
        </w:tc>
        <w:tc>
          <w:tcPr>
            <w:tcW w:w="0" w:type="auto"/>
            <w:shd w:val="clear" w:color="auto" w:fill="FFFFFF"/>
            <w:tcMar>
              <w:top w:w="0" w:type="dxa"/>
              <w:left w:w="85" w:type="dxa"/>
              <w:bottom w:w="0" w:type="dxa"/>
              <w:right w:w="85" w:type="dxa"/>
            </w:tcMar>
          </w:tcPr>
          <w:p w14:paraId="03329A6D" w14:textId="77777777" w:rsidR="00C3347F" w:rsidRPr="009E06AA" w:rsidRDefault="00C3347F" w:rsidP="00B55F24">
            <w:pPr>
              <w:pStyle w:val="TableText"/>
              <w:spacing w:before="40" w:after="40"/>
            </w:pPr>
            <w:r w:rsidRPr="009E06AA">
              <w:rPr>
                <w:rFonts w:eastAsia="Calibri"/>
                <w:color w:val="000000"/>
              </w:rPr>
              <w:t>Ministry for the Environment</w:t>
            </w:r>
          </w:p>
        </w:tc>
      </w:tr>
      <w:tr w:rsidR="00C3347F" w:rsidRPr="009E06AA" w14:paraId="61C8A658" w14:textId="77777777" w:rsidTr="00B55F24">
        <w:tc>
          <w:tcPr>
            <w:tcW w:w="0" w:type="auto"/>
            <w:shd w:val="clear" w:color="auto" w:fill="FFFFFF"/>
            <w:tcMar>
              <w:top w:w="0" w:type="dxa"/>
              <w:left w:w="85" w:type="dxa"/>
              <w:bottom w:w="0" w:type="dxa"/>
              <w:right w:w="85" w:type="dxa"/>
            </w:tcMar>
          </w:tcPr>
          <w:p w14:paraId="0A502335" w14:textId="77777777" w:rsidR="00C3347F" w:rsidRPr="009E06AA" w:rsidRDefault="00C3347F" w:rsidP="00B55F24">
            <w:pPr>
              <w:pStyle w:val="TableText"/>
              <w:spacing w:before="40" w:after="40"/>
            </w:pPr>
            <w:r w:rsidRPr="009E06AA">
              <w:rPr>
                <w:rFonts w:eastAsia="Calibri"/>
                <w:color w:val="000000"/>
              </w:rPr>
              <w:t>Tokelau</w:t>
            </w:r>
          </w:p>
        </w:tc>
        <w:tc>
          <w:tcPr>
            <w:tcW w:w="0" w:type="auto"/>
            <w:shd w:val="clear" w:color="auto" w:fill="FFFFFF"/>
            <w:tcMar>
              <w:top w:w="0" w:type="dxa"/>
              <w:left w:w="85" w:type="dxa"/>
              <w:bottom w:w="0" w:type="dxa"/>
              <w:right w:w="85" w:type="dxa"/>
            </w:tcMar>
          </w:tcPr>
          <w:p w14:paraId="3F635BE1" w14:textId="77777777" w:rsidR="00C3347F" w:rsidRPr="009E06AA" w:rsidRDefault="00C3347F" w:rsidP="00B55F24">
            <w:pPr>
              <w:pStyle w:val="TableText"/>
              <w:spacing w:before="40" w:after="40"/>
            </w:pPr>
            <w:r w:rsidRPr="009E06AA">
              <w:rPr>
                <w:rFonts w:eastAsia="Calibri"/>
                <w:color w:val="000000"/>
              </w:rPr>
              <w:t>Ministry for the Environment, Tokelau Government</w:t>
            </w:r>
          </w:p>
        </w:tc>
      </w:tr>
      <w:tr w:rsidR="00C3347F" w:rsidRPr="009E06AA" w14:paraId="447C1E1B" w14:textId="77777777" w:rsidTr="00B55F24">
        <w:tc>
          <w:tcPr>
            <w:tcW w:w="0" w:type="auto"/>
            <w:shd w:val="clear" w:color="auto" w:fill="FFFFFF"/>
            <w:tcMar>
              <w:top w:w="0" w:type="dxa"/>
              <w:left w:w="85" w:type="dxa"/>
              <w:bottom w:w="0" w:type="dxa"/>
              <w:right w:w="85" w:type="dxa"/>
            </w:tcMar>
          </w:tcPr>
          <w:p w14:paraId="69A2757A" w14:textId="77777777" w:rsidR="00C3347F" w:rsidRPr="009E06AA" w:rsidRDefault="00C3347F" w:rsidP="00B55F24">
            <w:pPr>
              <w:pStyle w:val="TableText"/>
              <w:spacing w:before="40" w:after="40"/>
            </w:pPr>
            <w:r w:rsidRPr="009E06AA">
              <w:rPr>
                <w:rFonts w:eastAsia="Calibri"/>
                <w:color w:val="000000"/>
              </w:rPr>
              <w:t>Agriculture sector</w:t>
            </w:r>
          </w:p>
        </w:tc>
        <w:tc>
          <w:tcPr>
            <w:tcW w:w="0" w:type="auto"/>
            <w:shd w:val="clear" w:color="auto" w:fill="FFFFFF"/>
            <w:tcMar>
              <w:top w:w="0" w:type="dxa"/>
              <w:left w:w="85" w:type="dxa"/>
              <w:bottom w:w="0" w:type="dxa"/>
              <w:right w:w="85" w:type="dxa"/>
            </w:tcMar>
          </w:tcPr>
          <w:p w14:paraId="1881BEA9" w14:textId="77777777" w:rsidR="00C3347F" w:rsidRPr="009E06AA" w:rsidRDefault="00C3347F" w:rsidP="00B55F24">
            <w:pPr>
              <w:pStyle w:val="TableText"/>
              <w:spacing w:before="40" w:after="40"/>
            </w:pPr>
            <w:r w:rsidRPr="009E06AA">
              <w:rPr>
                <w:rFonts w:eastAsia="Calibri"/>
                <w:color w:val="000000"/>
              </w:rPr>
              <w:t>Ministry for Primary Industries</w:t>
            </w:r>
          </w:p>
        </w:tc>
      </w:tr>
      <w:tr w:rsidR="00C3347F" w:rsidRPr="009E06AA" w14:paraId="1D04C298" w14:textId="77777777" w:rsidTr="00B55F24">
        <w:tc>
          <w:tcPr>
            <w:tcW w:w="0" w:type="auto"/>
            <w:shd w:val="clear" w:color="auto" w:fill="FFFFFF"/>
            <w:tcMar>
              <w:top w:w="0" w:type="dxa"/>
              <w:left w:w="85" w:type="dxa"/>
              <w:bottom w:w="0" w:type="dxa"/>
              <w:right w:w="85" w:type="dxa"/>
            </w:tcMar>
          </w:tcPr>
          <w:p w14:paraId="689BBAF0" w14:textId="77777777" w:rsidR="00C3347F" w:rsidRPr="009E06AA" w:rsidRDefault="00C3347F" w:rsidP="00B55F24">
            <w:pPr>
              <w:pStyle w:val="TableText"/>
              <w:spacing w:before="40" w:after="40"/>
            </w:pPr>
            <w:r w:rsidRPr="009E06AA">
              <w:rPr>
                <w:rFonts w:eastAsia="Calibri"/>
                <w:color w:val="000000"/>
              </w:rPr>
              <w:t>NZ ETS Register</w:t>
            </w:r>
          </w:p>
        </w:tc>
        <w:tc>
          <w:tcPr>
            <w:tcW w:w="0" w:type="auto"/>
            <w:shd w:val="clear" w:color="auto" w:fill="FFFFFF"/>
            <w:tcMar>
              <w:top w:w="0" w:type="dxa"/>
              <w:left w:w="85" w:type="dxa"/>
              <w:bottom w:w="0" w:type="dxa"/>
              <w:right w:w="85" w:type="dxa"/>
            </w:tcMar>
          </w:tcPr>
          <w:p w14:paraId="395F6DD1" w14:textId="77777777" w:rsidR="00C3347F" w:rsidRPr="009E06AA" w:rsidRDefault="00C3347F" w:rsidP="00B55F24">
            <w:pPr>
              <w:pStyle w:val="TableText"/>
              <w:spacing w:before="40" w:after="40"/>
            </w:pPr>
            <w:r w:rsidRPr="009E06AA">
              <w:rPr>
                <w:rFonts w:eastAsia="Calibri"/>
                <w:color w:val="000000"/>
              </w:rPr>
              <w:t>Environmental Protection Authority</w:t>
            </w:r>
          </w:p>
        </w:tc>
      </w:tr>
      <w:tr w:rsidR="00C3347F" w:rsidRPr="009E06AA" w14:paraId="1EE51D8D" w14:textId="77777777" w:rsidTr="00B55F24">
        <w:tc>
          <w:tcPr>
            <w:tcW w:w="0" w:type="auto"/>
            <w:shd w:val="clear" w:color="auto" w:fill="FFFFFF"/>
            <w:tcMar>
              <w:top w:w="0" w:type="dxa"/>
              <w:left w:w="85" w:type="dxa"/>
              <w:bottom w:w="0" w:type="dxa"/>
              <w:right w:w="85" w:type="dxa"/>
            </w:tcMar>
          </w:tcPr>
          <w:p w14:paraId="5AAA08A0" w14:textId="77777777" w:rsidR="00C3347F" w:rsidRPr="009E06AA" w:rsidRDefault="00C3347F" w:rsidP="00B55F24">
            <w:pPr>
              <w:pStyle w:val="TableText"/>
              <w:spacing w:before="40" w:after="40"/>
            </w:pPr>
            <w:r w:rsidRPr="009E06AA">
              <w:rPr>
                <w:rFonts w:eastAsia="Calibri"/>
                <w:color w:val="000000"/>
              </w:rPr>
              <w:t>National inventory agency</w:t>
            </w:r>
          </w:p>
        </w:tc>
        <w:tc>
          <w:tcPr>
            <w:tcW w:w="0" w:type="auto"/>
            <w:shd w:val="clear" w:color="auto" w:fill="FFFFFF"/>
            <w:tcMar>
              <w:top w:w="0" w:type="dxa"/>
              <w:left w:w="85" w:type="dxa"/>
              <w:bottom w:w="0" w:type="dxa"/>
              <w:right w:w="85" w:type="dxa"/>
            </w:tcMar>
          </w:tcPr>
          <w:p w14:paraId="4819BFEF" w14:textId="77777777" w:rsidR="00C3347F" w:rsidRPr="009E06AA" w:rsidRDefault="00C3347F" w:rsidP="00B55F24">
            <w:pPr>
              <w:pStyle w:val="TableText"/>
              <w:spacing w:before="40" w:after="40"/>
            </w:pPr>
            <w:r w:rsidRPr="009E06AA">
              <w:rPr>
                <w:rFonts w:eastAsia="Calibri"/>
                <w:color w:val="000000"/>
              </w:rPr>
              <w:t>Ministry for the Environment</w:t>
            </w:r>
          </w:p>
        </w:tc>
      </w:tr>
    </w:tbl>
    <w:p w14:paraId="56AB6903" w14:textId="77777777" w:rsidR="00C3347F" w:rsidRPr="009E06AA" w:rsidRDefault="00C3347F" w:rsidP="00C3347F">
      <w:pPr>
        <w:pStyle w:val="BodyText"/>
        <w:spacing w:before="240"/>
      </w:pPr>
      <w:r w:rsidRPr="009E06AA">
        <w:t>The Energy and Agriculture activity data provided by Stats NZ are official national statistics (known as ‘Tier 1 statistics’). As such, they are subject to their own rigorous QA/QC procedures.</w:t>
      </w:r>
    </w:p>
    <w:p w14:paraId="08E87A2D" w14:textId="77777777" w:rsidR="00C3347F" w:rsidRPr="009E06AA" w:rsidRDefault="00C3347F" w:rsidP="00C3347F">
      <w:pPr>
        <w:pStyle w:val="BodyText"/>
      </w:pPr>
      <w:r w:rsidRPr="009E06AA">
        <w:t>Human population and animal production statistics provided by Stats NZ are also used for estimating emissions from the Waste sector.</w:t>
      </w:r>
    </w:p>
    <w:p w14:paraId="59A3BAE8" w14:textId="77777777" w:rsidR="00C3347F" w:rsidRPr="009E06AA" w:rsidRDefault="00C3347F" w:rsidP="00C3347F">
      <w:pPr>
        <w:pStyle w:val="BodyText"/>
      </w:pPr>
      <w:r w:rsidRPr="009E06AA">
        <w:t>Tokelau’s activity data undergo QC processes at the Tokelau National Statistics Office. Tokelau’s inventory estimates in the CRT undergo QA/QC processes that are similar to those of other inventory sectors.</w:t>
      </w:r>
    </w:p>
    <w:p w14:paraId="794636B6" w14:textId="77777777" w:rsidR="00C3347F" w:rsidRPr="009E06AA" w:rsidRDefault="00C3347F" w:rsidP="00C3347F">
      <w:pPr>
        <w:pStyle w:val="Heading4"/>
      </w:pPr>
      <w:bookmarkStart w:id="115" w:name="quality-assurance"/>
      <w:bookmarkEnd w:id="111"/>
      <w:r w:rsidRPr="009E06AA">
        <w:t>Quality assurance and quality control</w:t>
      </w:r>
    </w:p>
    <w:p w14:paraId="15ADDB8E" w14:textId="77777777" w:rsidR="00C3347F" w:rsidRPr="009E06AA" w:rsidRDefault="00C3347F" w:rsidP="00C3347F">
      <w:pPr>
        <w:pStyle w:val="BodyText"/>
      </w:pPr>
      <w:r w:rsidRPr="009E06AA">
        <w:t>New Zealand’s QA/QC system includes prioritisation of improvements, processes around accepting improvements into the inventory, in-depth review of sector inventories or their components every 5 to 10 years, and improving the expertise of key contributors to the inventory. The government audit agency (Audit New Zealand) makes annual audits of the inventory performance. New Zealand also considers the international inventory reviews performed by expert review teams through the transparency arrangements under the UNFCCC and Paris Agreement as an important element of QA/QC. The main aspects of QA/QC are explained in detail below.</w:t>
      </w:r>
    </w:p>
    <w:p w14:paraId="49CC9EBE" w14:textId="77777777" w:rsidR="00C3347F" w:rsidRPr="009E06AA" w:rsidRDefault="00C3347F" w:rsidP="00C3347F">
      <w:pPr>
        <w:pStyle w:val="BodyText"/>
      </w:pPr>
      <w:r w:rsidRPr="009E06AA">
        <w:t>All sector leads are encouraged to schedule QA/QC audits of their systems at least every five years. Sector-specific examples are provided below.</w:t>
      </w:r>
    </w:p>
    <w:p w14:paraId="49F2B5CA" w14:textId="77777777" w:rsidR="00C3347F" w:rsidRPr="009E06AA" w:rsidRDefault="00C3347F" w:rsidP="00C3347F">
      <w:pPr>
        <w:pStyle w:val="BodyText"/>
      </w:pPr>
      <w:r w:rsidRPr="009E06AA">
        <w:t>The Energy sector lead discussed sectoral issues with the Danish inventory team during bilateral meetings in 2017 dedicated to different aspects of the Energy sectoral inventory. Specific issues were: data sources, data collection and verification processes; using NZ ETS data for higher-tier methods in the Energy sector; applying higher-tier methods for road transport; disaggregation of non-road liquid fuel use; and fugitive emissions from fuels. In 2019, an external consultant was contracted to review and develop a QA/QC plan for the Energy sector. Most recommendations from that review have already been implemented, and work continues on addressing the remaining issues.</w:t>
      </w:r>
    </w:p>
    <w:p w14:paraId="7F34ED41" w14:textId="77777777" w:rsidR="00C3347F" w:rsidRPr="009E06AA" w:rsidRDefault="00C3347F" w:rsidP="00C3347F">
      <w:pPr>
        <w:pStyle w:val="BodyText"/>
      </w:pPr>
      <w:r w:rsidRPr="009E06AA">
        <w:t>The Agriculture sector completed a major QA/QC review of its calculation models with an external party in 2013. Since then, other QA/QC activities for the Agriculture sector have included a bilateral review with Australia in 2014 and an external review of equations used to determine metabolisable energy requirements in 2016. In 2022, work began to migrate the Agriculture calculation models from an Excel-based system combined with Visual Basic for Applications code to an R-based system. The attention to detail required to replicate the model also acted as a QA/QC review. The R model and Excel model were run in parallel over the 2023 reporting cycle and compared again in detail. The increased transparency of the R model allows for a greater level of oversight by the analysts in the inventory team, making future QA/QC of the calculations easier. Work to develop a farm level emissions calculation methodology provided additional QA/QC. This involved experts at MPI outside of the inventory team going through the calculations in detail in order to adapt them for the farm level application. For more information, see chapter 5, section 5.1.6.</w:t>
      </w:r>
    </w:p>
    <w:p w14:paraId="2C7EE5E1" w14:textId="77777777" w:rsidR="00C3347F" w:rsidRPr="009E06AA" w:rsidRDefault="00C3347F" w:rsidP="00C3347F">
      <w:pPr>
        <w:pStyle w:val="Heading5"/>
      </w:pPr>
      <w:bookmarkStart w:id="116" w:name="prioritisation-of-improvements"/>
      <w:r w:rsidRPr="009E06AA">
        <w:t>Prioritisation of improvements</w:t>
      </w:r>
    </w:p>
    <w:p w14:paraId="1B45A79B" w14:textId="77777777" w:rsidR="00C3347F" w:rsidRPr="009E06AA" w:rsidRDefault="00C3347F" w:rsidP="00C3347F">
      <w:pPr>
        <w:pStyle w:val="BodyText"/>
      </w:pPr>
      <w:r w:rsidRPr="009E06AA">
        <w:t>Priorities for the development of the inventory are guided by:</w:t>
      </w:r>
    </w:p>
    <w:p w14:paraId="5A3BA7FE" w14:textId="77777777" w:rsidR="00C3347F" w:rsidRPr="009E06AA" w:rsidRDefault="00C3347F" w:rsidP="00C3347F">
      <w:pPr>
        <w:pStyle w:val="Bullet"/>
      </w:pPr>
      <w:r w:rsidRPr="009E06AA">
        <w:t>the results of key category analyses (level and trend)</w:t>
      </w:r>
    </w:p>
    <w:p w14:paraId="3DA8AE70" w14:textId="77777777" w:rsidR="00C3347F" w:rsidRPr="009E06AA" w:rsidRDefault="00C3347F" w:rsidP="00C3347F">
      <w:pPr>
        <w:pStyle w:val="Bullet"/>
      </w:pPr>
      <w:r w:rsidRPr="009E06AA">
        <w:t>the degree of improvement to be achieved for existing emissions and removal estimates</w:t>
      </w:r>
    </w:p>
    <w:p w14:paraId="0B38DF80" w14:textId="77777777" w:rsidR="00C3347F" w:rsidRPr="009E06AA" w:rsidRDefault="00C3347F" w:rsidP="00C3347F">
      <w:pPr>
        <w:pStyle w:val="Bullet"/>
      </w:pPr>
      <w:r w:rsidRPr="009E06AA">
        <w:t>the availability of resources required to implement the change</w:t>
      </w:r>
    </w:p>
    <w:p w14:paraId="1FE2D8B1" w14:textId="77777777" w:rsidR="00C3347F" w:rsidRPr="009E06AA" w:rsidRDefault="00C3347F" w:rsidP="00C3347F">
      <w:pPr>
        <w:pStyle w:val="Bullet"/>
      </w:pPr>
      <w:r w:rsidRPr="009E06AA">
        <w:t>recommendations from previous international reviews of the inventory.</w:t>
      </w:r>
    </w:p>
    <w:p w14:paraId="5C9FB1B3" w14:textId="77777777" w:rsidR="00C3347F" w:rsidRPr="009E06AA" w:rsidRDefault="00C3347F" w:rsidP="00C3347F">
      <w:pPr>
        <w:pStyle w:val="BodyText"/>
      </w:pPr>
      <w:r w:rsidRPr="009E06AA">
        <w:t xml:space="preserve">Uncertainties are also considered in prioritising improvements. For example, if a change in a methodological approach may lead to a significant increase in uncertainty of the estimates, </w:t>
      </w:r>
      <w:r w:rsidRPr="009E06AA">
        <w:rPr>
          <w:spacing w:val="-2"/>
        </w:rPr>
        <w:t>then the proposed change may be rejected on the basis of an undesired increase in uncertainty</w:t>
      </w:r>
      <w:r w:rsidRPr="009E06AA">
        <w:t>. Otherwise, if the proposed improvement is not expected to affect the uncertainty significantly or will reduce uncertainty, then the change is likely to be accepted. Sectors are encouraged to develop annual inventory improvement and QA and QC plans to reflect current and future development of the inventory.</w:t>
      </w:r>
    </w:p>
    <w:p w14:paraId="75711117" w14:textId="77777777" w:rsidR="00C3347F" w:rsidRPr="009E06AA" w:rsidRDefault="00C3347F" w:rsidP="00C3347F">
      <w:pPr>
        <w:pStyle w:val="Heading5"/>
      </w:pPr>
      <w:bookmarkStart w:id="117" w:name="Xd4042aa741d773d9c1b3b9e3747cdd2889229e4"/>
      <w:bookmarkEnd w:id="116"/>
      <w:r w:rsidRPr="009E06AA">
        <w:t>Acceptance of improvements and recalculations</w:t>
      </w:r>
    </w:p>
    <w:p w14:paraId="0DA9A33C" w14:textId="77777777" w:rsidR="00C3347F" w:rsidRPr="009E06AA" w:rsidRDefault="00C3347F" w:rsidP="00C3347F">
      <w:pPr>
        <w:pStyle w:val="BodyText"/>
      </w:pPr>
      <w:r w:rsidRPr="009E06AA">
        <w:t>All proposed improvements in the inventory undergo peer review by an independent expert or a group of experts. The change will be included in the inventory only if the peer reviewer concludes that the change is consistent with 2006 IPCC Guidelines (IPCC, 2006a) for the preparation and continuous improvement of national greenhouse gas inventories.</w:t>
      </w:r>
    </w:p>
    <w:p w14:paraId="3FE7DC49" w14:textId="77777777" w:rsidR="00C3347F" w:rsidRPr="009E06AA" w:rsidRDefault="00C3347F" w:rsidP="00C3347F">
      <w:pPr>
        <w:pStyle w:val="BodyText"/>
        <w:keepLines/>
      </w:pPr>
      <w:r w:rsidRPr="009E06AA">
        <w:t>Given the significance of the Agriculture sector to New Zealand’s emissions, the Government established the Agriculture Inventory Advisory Panel. The Panel is an independent group of experts who assess if proposed improvements and recalculations in the sector’s emissions are scientifically robust enough to include in the inventory. Reports and/or papers on proposed changes must be peer reviewed before they are presented to the Panel. The Panel then advises MPI of its recommendations. Refer to chapter 5, section 5.1.5 for further details.</w:t>
      </w:r>
    </w:p>
    <w:p w14:paraId="3CFAABCB" w14:textId="77777777" w:rsidR="00C3347F" w:rsidRPr="009E06AA" w:rsidRDefault="00C3347F" w:rsidP="00C3347F">
      <w:pPr>
        <w:pStyle w:val="BodyText"/>
      </w:pPr>
      <w:r w:rsidRPr="009E06AA">
        <w:t>All major recalculations for and improvements to the inventory require the approval of the RGG. The recalculations need to be sufficiently explained in terms of improving one or more of the TACCC principles. If, due to the recalculations, emissions from the recalculated category are higher than 500 kilotonnes carbon dioxide equivalent (kt CO</w:t>
      </w:r>
      <w:r w:rsidRPr="009E06AA">
        <w:rPr>
          <w:vertAlign w:val="subscript"/>
        </w:rPr>
        <w:t>2</w:t>
      </w:r>
      <w:r w:rsidRPr="009E06AA">
        <w:t>-e), the results of and reasons for the recalculations are documented and archived for future reference.</w:t>
      </w:r>
    </w:p>
    <w:p w14:paraId="779D6B53" w14:textId="77777777" w:rsidR="00C3347F" w:rsidRPr="009E06AA" w:rsidRDefault="00C3347F" w:rsidP="00C3347F">
      <w:pPr>
        <w:pStyle w:val="Heading4"/>
      </w:pPr>
      <w:bookmarkStart w:id="118" w:name="verification-activities"/>
      <w:bookmarkEnd w:id="115"/>
      <w:bookmarkEnd w:id="117"/>
      <w:r w:rsidRPr="009E06AA">
        <w:t>Verification activities</w:t>
      </w:r>
    </w:p>
    <w:p w14:paraId="6D2B5486" w14:textId="77777777" w:rsidR="00C3347F" w:rsidRPr="009E06AA" w:rsidRDefault="00C3347F" w:rsidP="00C3347F">
      <w:pPr>
        <w:pStyle w:val="BodyText"/>
      </w:pPr>
      <w:r w:rsidRPr="009E06AA">
        <w:t xml:space="preserve">Where relevant, further verification activities carried out for a sector are discussed in the sector-specific chapters of this report. </w:t>
      </w:r>
    </w:p>
    <w:p w14:paraId="32567ECF" w14:textId="77777777" w:rsidR="00C3347F" w:rsidRPr="009E06AA" w:rsidRDefault="00C3347F" w:rsidP="00C3347F">
      <w:pPr>
        <w:pStyle w:val="BodyText"/>
      </w:pPr>
      <w:r w:rsidRPr="009E06AA">
        <w:t>In the Energy sector, the reference approach is used to verify the emissions estimates for CO</w:t>
      </w:r>
      <w:r w:rsidRPr="009E06AA">
        <w:rPr>
          <w:vertAlign w:val="subscript"/>
        </w:rPr>
        <w:t>2</w:t>
      </w:r>
      <w:r w:rsidRPr="009E06AA">
        <w:t xml:space="preserve"> obtained from the sectoral approach. Further detail is provided in annex 3.</w:t>
      </w:r>
    </w:p>
    <w:p w14:paraId="3B4B94DB" w14:textId="77777777" w:rsidR="00C3347F" w:rsidRPr="009E06AA" w:rsidRDefault="00C3347F" w:rsidP="00C3347F">
      <w:pPr>
        <w:pStyle w:val="Heading5"/>
      </w:pPr>
      <w:bookmarkStart w:id="119" w:name="_Toc131591211"/>
      <w:bookmarkStart w:id="120" w:name="new-zealands-emissions-trading-scheme"/>
      <w:bookmarkStart w:id="121" w:name="treatment-of-confidentiality-issues"/>
      <w:bookmarkEnd w:id="118"/>
      <w:r w:rsidRPr="009E06AA">
        <w:t>New Zealand Emissions Trading Scheme</w:t>
      </w:r>
      <w:bookmarkEnd w:id="119"/>
    </w:p>
    <w:p w14:paraId="5D9A5E3D" w14:textId="77777777" w:rsidR="00C3347F" w:rsidRPr="009E06AA" w:rsidRDefault="00C3347F" w:rsidP="00C3347F">
      <w:pPr>
        <w:pStyle w:val="BodyText"/>
      </w:pPr>
      <w:r w:rsidRPr="009E06AA">
        <w:t>The NZ ETS is one of the Government’s primary tools for reducing greenhouse gas emissions. This section explains the background of the NZ ETS and how the data collected for the NZ ETS have been used to verify CO</w:t>
      </w:r>
      <w:r w:rsidRPr="009E06AA">
        <w:rPr>
          <w:vertAlign w:val="subscript"/>
        </w:rPr>
        <w:t>2</w:t>
      </w:r>
      <w:r w:rsidRPr="009E06AA">
        <w:t xml:space="preserve"> emissions in the Energy and IPPU sectors.</w:t>
      </w:r>
    </w:p>
    <w:p w14:paraId="061E2B59" w14:textId="77777777" w:rsidR="00C3347F" w:rsidRPr="009E06AA" w:rsidRDefault="00C3347F" w:rsidP="00C3347F">
      <w:pPr>
        <w:pStyle w:val="Heading5"/>
      </w:pPr>
      <w:bookmarkStart w:id="122" w:name="new-zealand-units"/>
      <w:r w:rsidRPr="009E06AA">
        <w:t>New Zealand Units</w:t>
      </w:r>
    </w:p>
    <w:p w14:paraId="4E7198FF" w14:textId="77777777" w:rsidR="00C3347F" w:rsidRPr="009E06AA" w:rsidRDefault="00C3347F" w:rsidP="00C3347F">
      <w:pPr>
        <w:pStyle w:val="BodyText"/>
      </w:pPr>
      <w:r w:rsidRPr="009E06AA">
        <w:t>The NZ ETS is based on trading units that represent 1 tonne of CO</w:t>
      </w:r>
      <w:r w:rsidRPr="009E06AA">
        <w:rPr>
          <w:vertAlign w:val="subscript"/>
        </w:rPr>
        <w:t>2</w:t>
      </w:r>
      <w:r w:rsidRPr="009E06AA">
        <w:t>-e, called New Zealand Units (NZUs), which are created and distributed by the New Zealand Government. The scheme was established through an amendment to the Climate Change Response Act 2002</w:t>
      </w:r>
      <w:r w:rsidRPr="009E06AA">
        <w:rPr>
          <w:rStyle w:val="FootnoteReference"/>
        </w:rPr>
        <w:footnoteReference w:id="15"/>
      </w:r>
      <w:r w:rsidRPr="009E06AA">
        <w:t xml:space="preserve"> and came into effect progressively from 2008, with coverage since 2010 of all substantial emissions except agricultural CH</w:t>
      </w:r>
      <w:r w:rsidRPr="009E06AA">
        <w:rPr>
          <w:vertAlign w:val="subscript"/>
        </w:rPr>
        <w:t>4</w:t>
      </w:r>
      <w:r w:rsidRPr="009E06AA">
        <w:t xml:space="preserve"> and N</w:t>
      </w:r>
      <w:r w:rsidRPr="009E06AA">
        <w:rPr>
          <w:vertAlign w:val="subscript"/>
        </w:rPr>
        <w:t>2</w:t>
      </w:r>
      <w:r w:rsidRPr="009E06AA">
        <w:t>O. Sectors under the scheme are required to report on their emissions and surrender units to the Government to cover their emissions. The Government supplies units for emissions removals through forestry and exports of emitting products from New Zealand. Units are also supplied as industrial allocation to firms carrying out activities that are emissions intensive and trade exposed, to address the risk of emissions leakage, and via quarterly auctions. The emissions price is determined by the market, based on supply and demand of units, and this price creates a financial incentive for businesses that emit GHGs to invest in technologies and practices that reduce emissions.</w:t>
      </w:r>
    </w:p>
    <w:p w14:paraId="77075A28" w14:textId="77777777" w:rsidR="00C3347F" w:rsidRPr="009E06AA" w:rsidRDefault="00C3347F" w:rsidP="00C3347F">
      <w:pPr>
        <w:pStyle w:val="BodyText"/>
      </w:pPr>
      <w:r w:rsidRPr="009E06AA">
        <w:t>Amendments to the Climate Change Response Act 2002</w:t>
      </w:r>
      <w:r w:rsidRPr="009E06AA">
        <w:rPr>
          <w:rStyle w:val="FootnoteReference"/>
        </w:rPr>
        <w:footnoteReference w:id="16"/>
      </w:r>
      <w:r w:rsidRPr="009E06AA">
        <w:t xml:space="preserve"> in 2020 made changes to the NZ ETS that have now been implemented. The most significant changes are the introduction of auctioning and caps on the supply of emission units, which took effect from 1 January 2021. The fixed-price option, or price ceiling, was increased for 2020 and removed entirely for emissions occurring after 1 January 2021.</w:t>
      </w:r>
    </w:p>
    <w:bookmarkEnd w:id="122"/>
    <w:p w14:paraId="701AA378" w14:textId="77777777" w:rsidR="00C3347F" w:rsidRPr="009E06AA" w:rsidRDefault="00C3347F" w:rsidP="00C3347F">
      <w:pPr>
        <w:pStyle w:val="Heading5"/>
      </w:pPr>
      <w:r w:rsidRPr="009E06AA">
        <w:t>Verification</w:t>
      </w:r>
    </w:p>
    <w:p w14:paraId="48FE2502" w14:textId="77777777" w:rsidR="00C3347F" w:rsidRPr="009E06AA" w:rsidRDefault="00C3347F" w:rsidP="00C3347F">
      <w:pPr>
        <w:pStyle w:val="BodyText"/>
        <w:keepLines/>
        <w:spacing w:before="100" w:after="100"/>
      </w:pPr>
      <w:r w:rsidRPr="009E06AA">
        <w:t>Participants in the NZ ETS are required to record and report the GHG emissions for which they have obligations or the removals for which they can claim NZUs. Participants with obligations are also required to annually surrender NZUs to cover their emissions. How participants estimate their emissions is set out in the regulations prescribed under the Climate Change Response Act 2002. The schedule for sectors entering the NZ ETS is detailed in table 1.5.2.</w:t>
      </w:r>
    </w:p>
    <w:p w14:paraId="58DEA5A7" w14:textId="77777777" w:rsidR="00C3347F" w:rsidRPr="009E06AA" w:rsidRDefault="00C3347F" w:rsidP="00C3347F">
      <w:pPr>
        <w:pStyle w:val="BodyText"/>
        <w:spacing w:before="100" w:after="100"/>
      </w:pPr>
      <w:r w:rsidRPr="009E06AA">
        <w:t>For this submission, data collected for the NZ ETS were used to verify the inventory estimates for CO</w:t>
      </w:r>
      <w:r w:rsidRPr="009E06AA">
        <w:rPr>
          <w:vertAlign w:val="subscript"/>
        </w:rPr>
        <w:t>2</w:t>
      </w:r>
      <w:r w:rsidRPr="009E06AA">
        <w:t xml:space="preserve"> emissions in the Energy and IPPU sectors (see chapter 3 and chapter 4 for further detail of the verification). Data from the NZ ETS were used as a primary source in the IPPU sector for the cement and lime industries, and in the Waste sector to verify activity data on municipal waste disposal. Data reported under the Waste Minimisation Act 2008 have been used as the primary data (see chapter 7 for details).</w:t>
      </w:r>
    </w:p>
    <w:p w14:paraId="7085CF08" w14:textId="77777777" w:rsidR="00C3347F" w:rsidRPr="009E06AA" w:rsidRDefault="00C3347F" w:rsidP="00C3347F">
      <w:pPr>
        <w:pStyle w:val="BodyText"/>
        <w:spacing w:before="100" w:after="100"/>
      </w:pPr>
      <w:r w:rsidRPr="009E06AA">
        <w:t>The NZ ETS data are also used for verifying activity data in the LULUCF sector. Forest age, area and deforestation as reported under the NZ ETS are used for verifying the areas of pre-1990 planted forest, post-1989 forest and deforestation.</w:t>
      </w:r>
    </w:p>
    <w:p w14:paraId="58645E2A" w14:textId="77777777" w:rsidR="00C3347F" w:rsidRPr="009E06AA" w:rsidRDefault="00C3347F" w:rsidP="00C3347F">
      <w:pPr>
        <w:pStyle w:val="Table"/>
      </w:pPr>
      <w:bookmarkStart w:id="123" w:name="_Toc130898917"/>
      <w:bookmarkStart w:id="124" w:name="_Toc131591313"/>
      <w:bookmarkStart w:id="125" w:name="_Toc162261041"/>
      <w:bookmarkStart w:id="126" w:name="_Toc162261097"/>
      <w:bookmarkStart w:id="127" w:name="_Toc164153795"/>
      <w:r w:rsidRPr="009E06AA">
        <w:t>Table 1.5.2</w:t>
      </w:r>
      <w:r w:rsidRPr="009E06AA">
        <w:tab/>
        <w:t>Dates for sector entry into the New Zealand Emissions Trading Scheme</w:t>
      </w:r>
      <w:bookmarkEnd w:id="123"/>
      <w:bookmarkEnd w:id="124"/>
      <w:bookmarkEnd w:id="125"/>
      <w:bookmarkEnd w:id="126"/>
      <w:bookmarkEnd w:id="127"/>
    </w:p>
    <w:tbl>
      <w:tblPr>
        <w:tblW w:w="8505"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811"/>
        <w:gridCol w:w="1659"/>
        <w:gridCol w:w="1754"/>
        <w:gridCol w:w="1281"/>
      </w:tblGrid>
      <w:tr w:rsidR="00C3347F" w:rsidRPr="009E06AA" w14:paraId="7C9F1015" w14:textId="77777777" w:rsidTr="00B55F24">
        <w:trPr>
          <w:tblHeader/>
        </w:trPr>
        <w:tc>
          <w:tcPr>
            <w:tcW w:w="0" w:type="auto"/>
            <w:shd w:val="clear" w:color="auto" w:fill="1B556B"/>
            <w:tcMar>
              <w:top w:w="0" w:type="dxa"/>
              <w:left w:w="85" w:type="dxa"/>
              <w:bottom w:w="0" w:type="dxa"/>
              <w:right w:w="85" w:type="dxa"/>
            </w:tcMar>
          </w:tcPr>
          <w:p w14:paraId="1D7D5FA1" w14:textId="77777777" w:rsidR="00C3347F" w:rsidRPr="009E06AA" w:rsidRDefault="00C3347F" w:rsidP="00B55F24">
            <w:pPr>
              <w:pStyle w:val="TableText"/>
              <w:spacing w:before="40" w:after="30"/>
              <w:rPr>
                <w:b/>
                <w:bCs/>
                <w:color w:val="FFFFFF" w:themeColor="background1"/>
              </w:rPr>
            </w:pPr>
            <w:r w:rsidRPr="009E06AA">
              <w:rPr>
                <w:rFonts w:eastAsia="Calibri"/>
                <w:b/>
                <w:bCs/>
                <w:color w:val="FFFFFF" w:themeColor="background1"/>
              </w:rPr>
              <w:t>Sector</w:t>
            </w:r>
          </w:p>
        </w:tc>
        <w:tc>
          <w:tcPr>
            <w:tcW w:w="0" w:type="auto"/>
            <w:shd w:val="clear" w:color="auto" w:fill="1B556B"/>
            <w:tcMar>
              <w:top w:w="0" w:type="dxa"/>
              <w:left w:w="85" w:type="dxa"/>
              <w:bottom w:w="0" w:type="dxa"/>
              <w:right w:w="85" w:type="dxa"/>
            </w:tcMar>
          </w:tcPr>
          <w:p w14:paraId="6DCA6C51" w14:textId="77777777" w:rsidR="00C3347F" w:rsidRPr="009E06AA" w:rsidRDefault="00C3347F" w:rsidP="00B55F24">
            <w:pPr>
              <w:pStyle w:val="TableText"/>
              <w:spacing w:before="40" w:after="30"/>
              <w:rPr>
                <w:b/>
                <w:bCs/>
                <w:color w:val="FFFFFF" w:themeColor="background1"/>
              </w:rPr>
            </w:pPr>
            <w:r w:rsidRPr="009E06AA">
              <w:rPr>
                <w:rFonts w:eastAsia="Calibri"/>
                <w:b/>
                <w:bCs/>
                <w:color w:val="FFFFFF" w:themeColor="background1"/>
              </w:rPr>
              <w:t>Voluntary reporting</w:t>
            </w:r>
          </w:p>
        </w:tc>
        <w:tc>
          <w:tcPr>
            <w:tcW w:w="0" w:type="auto"/>
            <w:shd w:val="clear" w:color="auto" w:fill="1B556B"/>
            <w:tcMar>
              <w:top w:w="0" w:type="dxa"/>
              <w:left w:w="85" w:type="dxa"/>
              <w:bottom w:w="0" w:type="dxa"/>
              <w:right w:w="85" w:type="dxa"/>
            </w:tcMar>
          </w:tcPr>
          <w:p w14:paraId="09AA4E8C" w14:textId="77777777" w:rsidR="00C3347F" w:rsidRPr="009E06AA" w:rsidRDefault="00C3347F" w:rsidP="00B55F24">
            <w:pPr>
              <w:pStyle w:val="TableText"/>
              <w:spacing w:before="40" w:after="30"/>
              <w:rPr>
                <w:b/>
                <w:bCs/>
                <w:color w:val="FFFFFF" w:themeColor="background1"/>
              </w:rPr>
            </w:pPr>
            <w:r w:rsidRPr="009E06AA">
              <w:rPr>
                <w:rFonts w:eastAsia="Calibri"/>
                <w:b/>
                <w:bCs/>
                <w:color w:val="FFFFFF" w:themeColor="background1"/>
              </w:rPr>
              <w:t>Mandatory reporting</w:t>
            </w:r>
          </w:p>
        </w:tc>
        <w:tc>
          <w:tcPr>
            <w:tcW w:w="0" w:type="auto"/>
            <w:shd w:val="clear" w:color="auto" w:fill="1B556B"/>
            <w:tcMar>
              <w:top w:w="0" w:type="dxa"/>
              <w:left w:w="85" w:type="dxa"/>
              <w:bottom w:w="0" w:type="dxa"/>
              <w:right w:w="85" w:type="dxa"/>
            </w:tcMar>
          </w:tcPr>
          <w:p w14:paraId="659412B8" w14:textId="77777777" w:rsidR="00C3347F" w:rsidRPr="009E06AA" w:rsidRDefault="00C3347F" w:rsidP="00B55F24">
            <w:pPr>
              <w:pStyle w:val="TableText"/>
              <w:spacing w:before="40" w:after="30"/>
              <w:rPr>
                <w:b/>
                <w:bCs/>
                <w:color w:val="FFFFFF" w:themeColor="background1"/>
              </w:rPr>
            </w:pPr>
            <w:r w:rsidRPr="009E06AA">
              <w:rPr>
                <w:rFonts w:eastAsia="Calibri"/>
                <w:b/>
                <w:bCs/>
                <w:color w:val="FFFFFF" w:themeColor="background1"/>
              </w:rPr>
              <w:t>Obligations</w:t>
            </w:r>
          </w:p>
        </w:tc>
      </w:tr>
      <w:tr w:rsidR="00C3347F" w:rsidRPr="009E06AA" w14:paraId="649E2C64" w14:textId="77777777" w:rsidTr="00B55F24">
        <w:tc>
          <w:tcPr>
            <w:tcW w:w="0" w:type="auto"/>
            <w:shd w:val="clear" w:color="auto" w:fill="FFFFFF"/>
            <w:tcMar>
              <w:top w:w="0" w:type="dxa"/>
              <w:left w:w="85" w:type="dxa"/>
              <w:bottom w:w="0" w:type="dxa"/>
              <w:right w:w="85" w:type="dxa"/>
            </w:tcMar>
          </w:tcPr>
          <w:p w14:paraId="7D38DD67" w14:textId="77777777" w:rsidR="00C3347F" w:rsidRPr="009E06AA" w:rsidRDefault="00C3347F" w:rsidP="00B55F24">
            <w:pPr>
              <w:pStyle w:val="TableText"/>
              <w:spacing w:before="40" w:after="30"/>
            </w:pPr>
            <w:r w:rsidRPr="009E06AA">
              <w:rPr>
                <w:rFonts w:eastAsia="Calibri"/>
                <w:color w:val="000000"/>
              </w:rPr>
              <w:t>Forestry</w:t>
            </w:r>
          </w:p>
        </w:tc>
        <w:tc>
          <w:tcPr>
            <w:tcW w:w="0" w:type="auto"/>
            <w:shd w:val="clear" w:color="auto" w:fill="FFFFFF"/>
            <w:tcMar>
              <w:top w:w="0" w:type="dxa"/>
              <w:left w:w="85" w:type="dxa"/>
              <w:bottom w:w="0" w:type="dxa"/>
              <w:right w:w="85" w:type="dxa"/>
            </w:tcMar>
          </w:tcPr>
          <w:p w14:paraId="0992A84A" w14:textId="77777777" w:rsidR="00C3347F" w:rsidRPr="009E06AA" w:rsidRDefault="00C3347F" w:rsidP="00B55F24">
            <w:pPr>
              <w:pStyle w:val="TableText"/>
              <w:spacing w:before="40" w:after="30"/>
            </w:pPr>
            <w:r w:rsidRPr="009E06AA">
              <w:rPr>
                <w:rFonts w:eastAsia="Calibri"/>
                <w:color w:val="000000"/>
              </w:rPr>
              <w:t>–</w:t>
            </w:r>
          </w:p>
        </w:tc>
        <w:tc>
          <w:tcPr>
            <w:tcW w:w="0" w:type="auto"/>
            <w:shd w:val="clear" w:color="auto" w:fill="FFFFFF"/>
            <w:tcMar>
              <w:top w:w="0" w:type="dxa"/>
              <w:left w:w="85" w:type="dxa"/>
              <w:bottom w:w="0" w:type="dxa"/>
              <w:right w:w="85" w:type="dxa"/>
            </w:tcMar>
          </w:tcPr>
          <w:p w14:paraId="5A4ED9B3" w14:textId="77777777" w:rsidR="00C3347F" w:rsidRPr="009E06AA" w:rsidRDefault="00C3347F" w:rsidP="00B55F24">
            <w:pPr>
              <w:pStyle w:val="TableText"/>
              <w:spacing w:before="40" w:after="30"/>
            </w:pPr>
            <w:r w:rsidRPr="009E06AA">
              <w:rPr>
                <w:rFonts w:eastAsia="Calibri"/>
                <w:color w:val="000000"/>
              </w:rPr>
              <w:t>–</w:t>
            </w:r>
          </w:p>
        </w:tc>
        <w:tc>
          <w:tcPr>
            <w:tcW w:w="0" w:type="auto"/>
            <w:shd w:val="clear" w:color="auto" w:fill="FFFFFF"/>
            <w:tcMar>
              <w:top w:w="0" w:type="dxa"/>
              <w:left w:w="85" w:type="dxa"/>
              <w:bottom w:w="0" w:type="dxa"/>
              <w:right w:w="85" w:type="dxa"/>
            </w:tcMar>
          </w:tcPr>
          <w:p w14:paraId="1E02986C" w14:textId="77777777" w:rsidR="00C3347F" w:rsidRPr="009E06AA" w:rsidRDefault="00C3347F" w:rsidP="00B55F24">
            <w:pPr>
              <w:pStyle w:val="TableText"/>
              <w:spacing w:before="40" w:after="30"/>
            </w:pPr>
            <w:r w:rsidRPr="009E06AA">
              <w:rPr>
                <w:rFonts w:eastAsia="Calibri"/>
                <w:color w:val="000000"/>
              </w:rPr>
              <w:t>1 January 2008</w:t>
            </w:r>
          </w:p>
        </w:tc>
      </w:tr>
      <w:tr w:rsidR="00C3347F" w:rsidRPr="009E06AA" w14:paraId="3B52056B" w14:textId="77777777" w:rsidTr="00B55F24">
        <w:tc>
          <w:tcPr>
            <w:tcW w:w="0" w:type="auto"/>
            <w:shd w:val="clear" w:color="auto" w:fill="FFFFFF"/>
            <w:tcMar>
              <w:top w:w="0" w:type="dxa"/>
              <w:left w:w="85" w:type="dxa"/>
              <w:bottom w:w="0" w:type="dxa"/>
              <w:right w:w="85" w:type="dxa"/>
            </w:tcMar>
          </w:tcPr>
          <w:p w14:paraId="2319EB45" w14:textId="77777777" w:rsidR="00C3347F" w:rsidRPr="009E06AA" w:rsidRDefault="00C3347F" w:rsidP="00B55F24">
            <w:pPr>
              <w:pStyle w:val="TableText"/>
              <w:spacing w:before="40" w:after="30"/>
            </w:pPr>
            <w:r w:rsidRPr="009E06AA">
              <w:rPr>
                <w:rFonts w:eastAsia="Calibri"/>
                <w:color w:val="000000"/>
              </w:rPr>
              <w:t>Transport fuels</w:t>
            </w:r>
          </w:p>
        </w:tc>
        <w:tc>
          <w:tcPr>
            <w:tcW w:w="0" w:type="auto"/>
            <w:shd w:val="clear" w:color="auto" w:fill="FFFFFF"/>
            <w:tcMar>
              <w:top w:w="0" w:type="dxa"/>
              <w:left w:w="85" w:type="dxa"/>
              <w:bottom w:w="0" w:type="dxa"/>
              <w:right w:w="85" w:type="dxa"/>
            </w:tcMar>
          </w:tcPr>
          <w:p w14:paraId="346381F8" w14:textId="77777777" w:rsidR="00C3347F" w:rsidRPr="009E06AA" w:rsidRDefault="00C3347F" w:rsidP="00B55F24">
            <w:pPr>
              <w:pStyle w:val="TableText"/>
              <w:spacing w:before="40" w:after="30"/>
            </w:pPr>
            <w:r w:rsidRPr="009E06AA">
              <w:rPr>
                <w:rFonts w:eastAsia="Calibri"/>
                <w:color w:val="000000"/>
              </w:rPr>
              <w:t>–</w:t>
            </w:r>
          </w:p>
        </w:tc>
        <w:tc>
          <w:tcPr>
            <w:tcW w:w="0" w:type="auto"/>
            <w:shd w:val="clear" w:color="auto" w:fill="FFFFFF"/>
            <w:tcMar>
              <w:top w:w="0" w:type="dxa"/>
              <w:left w:w="85" w:type="dxa"/>
              <w:bottom w:w="0" w:type="dxa"/>
              <w:right w:w="85" w:type="dxa"/>
            </w:tcMar>
          </w:tcPr>
          <w:p w14:paraId="687DE101" w14:textId="77777777" w:rsidR="00C3347F" w:rsidRPr="009E06AA" w:rsidRDefault="00C3347F" w:rsidP="00B55F24">
            <w:pPr>
              <w:pStyle w:val="TableText"/>
              <w:spacing w:before="40" w:after="30"/>
            </w:pPr>
            <w:r w:rsidRPr="009E06AA">
              <w:rPr>
                <w:rFonts w:eastAsia="Calibri"/>
                <w:color w:val="000000"/>
              </w:rPr>
              <w:t>1 January 2010</w:t>
            </w:r>
          </w:p>
        </w:tc>
        <w:tc>
          <w:tcPr>
            <w:tcW w:w="0" w:type="auto"/>
            <w:shd w:val="clear" w:color="auto" w:fill="FFFFFF"/>
            <w:tcMar>
              <w:top w:w="0" w:type="dxa"/>
              <w:left w:w="85" w:type="dxa"/>
              <w:bottom w:w="0" w:type="dxa"/>
              <w:right w:w="85" w:type="dxa"/>
            </w:tcMar>
          </w:tcPr>
          <w:p w14:paraId="402DE25E" w14:textId="77777777" w:rsidR="00C3347F" w:rsidRPr="009E06AA" w:rsidRDefault="00C3347F" w:rsidP="00B55F24">
            <w:pPr>
              <w:pStyle w:val="TableText"/>
              <w:spacing w:before="40" w:after="30"/>
            </w:pPr>
            <w:r w:rsidRPr="009E06AA">
              <w:rPr>
                <w:rFonts w:eastAsia="Calibri"/>
                <w:color w:val="000000"/>
              </w:rPr>
              <w:t>1 July 2010</w:t>
            </w:r>
          </w:p>
        </w:tc>
      </w:tr>
      <w:tr w:rsidR="00C3347F" w:rsidRPr="009E06AA" w14:paraId="4E3D0EEF" w14:textId="77777777" w:rsidTr="00B55F24">
        <w:tc>
          <w:tcPr>
            <w:tcW w:w="0" w:type="auto"/>
            <w:shd w:val="clear" w:color="auto" w:fill="FFFFFF"/>
            <w:tcMar>
              <w:top w:w="0" w:type="dxa"/>
              <w:left w:w="85" w:type="dxa"/>
              <w:bottom w:w="0" w:type="dxa"/>
              <w:right w:w="85" w:type="dxa"/>
            </w:tcMar>
          </w:tcPr>
          <w:p w14:paraId="54A6A878" w14:textId="77777777" w:rsidR="00C3347F" w:rsidRPr="009E06AA" w:rsidRDefault="00C3347F" w:rsidP="00B55F24">
            <w:pPr>
              <w:pStyle w:val="TableText"/>
              <w:spacing w:before="40" w:after="30"/>
            </w:pPr>
            <w:r w:rsidRPr="009E06AA">
              <w:rPr>
                <w:rFonts w:eastAsia="Calibri"/>
                <w:color w:val="000000"/>
              </w:rPr>
              <w:t>Stationary energy, including electricity production</w:t>
            </w:r>
          </w:p>
        </w:tc>
        <w:tc>
          <w:tcPr>
            <w:tcW w:w="0" w:type="auto"/>
            <w:shd w:val="clear" w:color="auto" w:fill="FFFFFF"/>
            <w:tcMar>
              <w:top w:w="0" w:type="dxa"/>
              <w:left w:w="85" w:type="dxa"/>
              <w:bottom w:w="0" w:type="dxa"/>
              <w:right w:w="85" w:type="dxa"/>
            </w:tcMar>
          </w:tcPr>
          <w:p w14:paraId="1899F231" w14:textId="77777777" w:rsidR="00C3347F" w:rsidRPr="009E06AA" w:rsidRDefault="00C3347F" w:rsidP="00B55F24">
            <w:pPr>
              <w:pStyle w:val="TableText"/>
              <w:spacing w:before="40" w:after="30"/>
            </w:pPr>
            <w:r w:rsidRPr="009E06AA">
              <w:rPr>
                <w:rFonts w:eastAsia="Calibri"/>
                <w:color w:val="000000"/>
              </w:rPr>
              <w:t>–</w:t>
            </w:r>
          </w:p>
        </w:tc>
        <w:tc>
          <w:tcPr>
            <w:tcW w:w="0" w:type="auto"/>
            <w:shd w:val="clear" w:color="auto" w:fill="FFFFFF"/>
            <w:tcMar>
              <w:top w:w="0" w:type="dxa"/>
              <w:left w:w="85" w:type="dxa"/>
              <w:bottom w:w="0" w:type="dxa"/>
              <w:right w:w="85" w:type="dxa"/>
            </w:tcMar>
          </w:tcPr>
          <w:p w14:paraId="64ECF92C" w14:textId="77777777" w:rsidR="00C3347F" w:rsidRPr="009E06AA" w:rsidRDefault="00C3347F" w:rsidP="00B55F24">
            <w:pPr>
              <w:pStyle w:val="TableText"/>
              <w:spacing w:before="40" w:after="30"/>
            </w:pPr>
            <w:r w:rsidRPr="009E06AA">
              <w:rPr>
                <w:rFonts w:eastAsia="Calibri"/>
                <w:color w:val="000000"/>
              </w:rPr>
              <w:t>1 January 2010</w:t>
            </w:r>
          </w:p>
        </w:tc>
        <w:tc>
          <w:tcPr>
            <w:tcW w:w="0" w:type="auto"/>
            <w:shd w:val="clear" w:color="auto" w:fill="FFFFFF"/>
            <w:tcMar>
              <w:top w:w="0" w:type="dxa"/>
              <w:left w:w="85" w:type="dxa"/>
              <w:bottom w:w="0" w:type="dxa"/>
              <w:right w:w="85" w:type="dxa"/>
            </w:tcMar>
          </w:tcPr>
          <w:p w14:paraId="721FEFBD" w14:textId="77777777" w:rsidR="00C3347F" w:rsidRPr="009E06AA" w:rsidRDefault="00C3347F" w:rsidP="00B55F24">
            <w:pPr>
              <w:pStyle w:val="TableText"/>
              <w:spacing w:before="40" w:after="30"/>
            </w:pPr>
            <w:r w:rsidRPr="009E06AA">
              <w:rPr>
                <w:rFonts w:eastAsia="Calibri"/>
                <w:color w:val="000000"/>
              </w:rPr>
              <w:t>1 July 2010</w:t>
            </w:r>
          </w:p>
        </w:tc>
      </w:tr>
      <w:tr w:rsidR="00C3347F" w:rsidRPr="009E06AA" w14:paraId="09612C9B" w14:textId="77777777" w:rsidTr="00B55F24">
        <w:tc>
          <w:tcPr>
            <w:tcW w:w="0" w:type="auto"/>
            <w:shd w:val="clear" w:color="auto" w:fill="FFFFFF"/>
            <w:tcMar>
              <w:top w:w="0" w:type="dxa"/>
              <w:left w:w="85" w:type="dxa"/>
              <w:bottom w:w="0" w:type="dxa"/>
              <w:right w:w="85" w:type="dxa"/>
            </w:tcMar>
          </w:tcPr>
          <w:p w14:paraId="1772C89C" w14:textId="77777777" w:rsidR="00C3347F" w:rsidRPr="009E06AA" w:rsidRDefault="00C3347F" w:rsidP="00B55F24">
            <w:pPr>
              <w:pStyle w:val="TableText"/>
              <w:spacing w:before="40" w:after="30"/>
            </w:pPr>
            <w:r w:rsidRPr="009E06AA">
              <w:rPr>
                <w:rFonts w:eastAsia="Calibri"/>
                <w:color w:val="000000"/>
              </w:rPr>
              <w:t>IPPU</w:t>
            </w:r>
          </w:p>
        </w:tc>
        <w:tc>
          <w:tcPr>
            <w:tcW w:w="0" w:type="auto"/>
            <w:shd w:val="clear" w:color="auto" w:fill="FFFFFF"/>
            <w:tcMar>
              <w:top w:w="0" w:type="dxa"/>
              <w:left w:w="85" w:type="dxa"/>
              <w:bottom w:w="0" w:type="dxa"/>
              <w:right w:w="85" w:type="dxa"/>
            </w:tcMar>
          </w:tcPr>
          <w:p w14:paraId="2986BDB9" w14:textId="77777777" w:rsidR="00C3347F" w:rsidRPr="009E06AA" w:rsidRDefault="00C3347F" w:rsidP="00B55F24">
            <w:pPr>
              <w:pStyle w:val="TableText"/>
              <w:spacing w:before="40" w:after="30"/>
            </w:pPr>
            <w:r w:rsidRPr="009E06AA">
              <w:rPr>
                <w:rFonts w:eastAsia="Calibri"/>
                <w:color w:val="000000"/>
              </w:rPr>
              <w:t>–</w:t>
            </w:r>
          </w:p>
        </w:tc>
        <w:tc>
          <w:tcPr>
            <w:tcW w:w="0" w:type="auto"/>
            <w:shd w:val="clear" w:color="auto" w:fill="FFFFFF"/>
            <w:tcMar>
              <w:top w:w="0" w:type="dxa"/>
              <w:left w:w="85" w:type="dxa"/>
              <w:bottom w:w="0" w:type="dxa"/>
              <w:right w:w="85" w:type="dxa"/>
            </w:tcMar>
          </w:tcPr>
          <w:p w14:paraId="31292CC3" w14:textId="77777777" w:rsidR="00C3347F" w:rsidRPr="009E06AA" w:rsidRDefault="00C3347F" w:rsidP="00B55F24">
            <w:pPr>
              <w:pStyle w:val="TableText"/>
              <w:spacing w:before="40" w:after="30"/>
            </w:pPr>
            <w:r w:rsidRPr="009E06AA">
              <w:rPr>
                <w:rFonts w:eastAsia="Calibri"/>
                <w:color w:val="000000"/>
              </w:rPr>
              <w:t>1 January 2010</w:t>
            </w:r>
          </w:p>
        </w:tc>
        <w:tc>
          <w:tcPr>
            <w:tcW w:w="0" w:type="auto"/>
            <w:shd w:val="clear" w:color="auto" w:fill="FFFFFF"/>
            <w:tcMar>
              <w:top w:w="0" w:type="dxa"/>
              <w:left w:w="85" w:type="dxa"/>
              <w:bottom w:w="0" w:type="dxa"/>
              <w:right w:w="85" w:type="dxa"/>
            </w:tcMar>
          </w:tcPr>
          <w:p w14:paraId="13A7046B" w14:textId="77777777" w:rsidR="00C3347F" w:rsidRPr="009E06AA" w:rsidRDefault="00C3347F" w:rsidP="00B55F24">
            <w:pPr>
              <w:pStyle w:val="TableText"/>
              <w:spacing w:before="40" w:after="30"/>
            </w:pPr>
            <w:r w:rsidRPr="009E06AA">
              <w:rPr>
                <w:rFonts w:eastAsia="Calibri"/>
                <w:color w:val="000000"/>
              </w:rPr>
              <w:t>1 July 2010</w:t>
            </w:r>
          </w:p>
        </w:tc>
      </w:tr>
      <w:tr w:rsidR="00C3347F" w:rsidRPr="009E06AA" w14:paraId="2BA26BF8" w14:textId="77777777" w:rsidTr="00B55F24">
        <w:tc>
          <w:tcPr>
            <w:tcW w:w="0" w:type="auto"/>
            <w:shd w:val="clear" w:color="auto" w:fill="FFFFFF"/>
            <w:tcMar>
              <w:top w:w="0" w:type="dxa"/>
              <w:left w:w="85" w:type="dxa"/>
              <w:bottom w:w="0" w:type="dxa"/>
              <w:right w:w="85" w:type="dxa"/>
            </w:tcMar>
          </w:tcPr>
          <w:p w14:paraId="6FF8DE78" w14:textId="77777777" w:rsidR="00C3347F" w:rsidRPr="009E06AA" w:rsidRDefault="00C3347F" w:rsidP="00B55F24">
            <w:pPr>
              <w:pStyle w:val="TableText"/>
              <w:spacing w:before="40" w:after="30"/>
            </w:pPr>
            <w:r w:rsidRPr="009E06AA">
              <w:rPr>
                <w:rFonts w:eastAsia="Calibri"/>
                <w:color w:val="000000"/>
              </w:rPr>
              <w:t>Synthetic gases</w:t>
            </w:r>
          </w:p>
        </w:tc>
        <w:tc>
          <w:tcPr>
            <w:tcW w:w="0" w:type="auto"/>
            <w:shd w:val="clear" w:color="auto" w:fill="FFFFFF"/>
            <w:tcMar>
              <w:top w:w="0" w:type="dxa"/>
              <w:left w:w="85" w:type="dxa"/>
              <w:bottom w:w="0" w:type="dxa"/>
              <w:right w:w="85" w:type="dxa"/>
            </w:tcMar>
          </w:tcPr>
          <w:p w14:paraId="397B8938" w14:textId="77777777" w:rsidR="00C3347F" w:rsidRPr="009E06AA" w:rsidRDefault="00C3347F" w:rsidP="00B55F24">
            <w:pPr>
              <w:pStyle w:val="TableText"/>
              <w:spacing w:before="40" w:after="30"/>
            </w:pPr>
            <w:r w:rsidRPr="009E06AA">
              <w:rPr>
                <w:rFonts w:eastAsia="Calibri"/>
                <w:color w:val="000000"/>
              </w:rPr>
              <w:t>1 January 2011</w:t>
            </w:r>
          </w:p>
        </w:tc>
        <w:tc>
          <w:tcPr>
            <w:tcW w:w="0" w:type="auto"/>
            <w:shd w:val="clear" w:color="auto" w:fill="FFFFFF"/>
            <w:tcMar>
              <w:top w:w="0" w:type="dxa"/>
              <w:left w:w="85" w:type="dxa"/>
              <w:bottom w:w="0" w:type="dxa"/>
              <w:right w:w="85" w:type="dxa"/>
            </w:tcMar>
          </w:tcPr>
          <w:p w14:paraId="534C0B46" w14:textId="77777777" w:rsidR="00C3347F" w:rsidRPr="009E06AA" w:rsidRDefault="00C3347F" w:rsidP="00B55F24">
            <w:pPr>
              <w:pStyle w:val="TableText"/>
              <w:spacing w:before="40" w:after="30"/>
            </w:pPr>
            <w:r w:rsidRPr="009E06AA">
              <w:rPr>
                <w:rFonts w:eastAsia="Calibri"/>
                <w:color w:val="000000"/>
              </w:rPr>
              <w:t>1 January 2012</w:t>
            </w:r>
          </w:p>
        </w:tc>
        <w:tc>
          <w:tcPr>
            <w:tcW w:w="0" w:type="auto"/>
            <w:shd w:val="clear" w:color="auto" w:fill="FFFFFF"/>
            <w:tcMar>
              <w:top w:w="0" w:type="dxa"/>
              <w:left w:w="85" w:type="dxa"/>
              <w:bottom w:w="0" w:type="dxa"/>
              <w:right w:w="85" w:type="dxa"/>
            </w:tcMar>
          </w:tcPr>
          <w:p w14:paraId="275965C8" w14:textId="77777777" w:rsidR="00C3347F" w:rsidRPr="009E06AA" w:rsidRDefault="00C3347F" w:rsidP="00B55F24">
            <w:pPr>
              <w:pStyle w:val="TableText"/>
              <w:spacing w:before="40" w:after="30"/>
            </w:pPr>
            <w:r w:rsidRPr="009E06AA">
              <w:rPr>
                <w:rFonts w:eastAsia="Calibri"/>
                <w:color w:val="000000"/>
              </w:rPr>
              <w:t>1 January 2013</w:t>
            </w:r>
          </w:p>
        </w:tc>
      </w:tr>
      <w:tr w:rsidR="00C3347F" w:rsidRPr="009E06AA" w14:paraId="6D44E507" w14:textId="77777777" w:rsidTr="00B55F24">
        <w:tc>
          <w:tcPr>
            <w:tcW w:w="0" w:type="auto"/>
            <w:shd w:val="clear" w:color="auto" w:fill="FFFFFF"/>
            <w:tcMar>
              <w:top w:w="0" w:type="dxa"/>
              <w:left w:w="85" w:type="dxa"/>
              <w:bottom w:w="0" w:type="dxa"/>
              <w:right w:w="85" w:type="dxa"/>
            </w:tcMar>
          </w:tcPr>
          <w:p w14:paraId="1114D96C" w14:textId="77777777" w:rsidR="00C3347F" w:rsidRPr="009E06AA" w:rsidRDefault="00C3347F" w:rsidP="00B55F24">
            <w:pPr>
              <w:pStyle w:val="TableText"/>
              <w:spacing w:before="40" w:after="30"/>
            </w:pPr>
            <w:r w:rsidRPr="009E06AA">
              <w:rPr>
                <w:rFonts w:eastAsia="Calibri"/>
                <w:color w:val="000000"/>
              </w:rPr>
              <w:t>Waste</w:t>
            </w:r>
          </w:p>
        </w:tc>
        <w:tc>
          <w:tcPr>
            <w:tcW w:w="0" w:type="auto"/>
            <w:shd w:val="clear" w:color="auto" w:fill="FFFFFF"/>
            <w:tcMar>
              <w:top w:w="0" w:type="dxa"/>
              <w:left w:w="85" w:type="dxa"/>
              <w:bottom w:w="0" w:type="dxa"/>
              <w:right w:w="85" w:type="dxa"/>
            </w:tcMar>
          </w:tcPr>
          <w:p w14:paraId="67E5ACEB" w14:textId="77777777" w:rsidR="00C3347F" w:rsidRPr="009E06AA" w:rsidRDefault="00C3347F" w:rsidP="00B55F24">
            <w:pPr>
              <w:pStyle w:val="TableText"/>
              <w:spacing w:before="40" w:after="30"/>
            </w:pPr>
            <w:r w:rsidRPr="009E06AA">
              <w:rPr>
                <w:rFonts w:eastAsia="Calibri"/>
                <w:color w:val="000000"/>
              </w:rPr>
              <w:t>1 January 2011</w:t>
            </w:r>
          </w:p>
        </w:tc>
        <w:tc>
          <w:tcPr>
            <w:tcW w:w="0" w:type="auto"/>
            <w:shd w:val="clear" w:color="auto" w:fill="FFFFFF"/>
            <w:tcMar>
              <w:top w:w="0" w:type="dxa"/>
              <w:left w:w="85" w:type="dxa"/>
              <w:bottom w:w="0" w:type="dxa"/>
              <w:right w:w="85" w:type="dxa"/>
            </w:tcMar>
          </w:tcPr>
          <w:p w14:paraId="7127A569" w14:textId="77777777" w:rsidR="00C3347F" w:rsidRPr="009E06AA" w:rsidRDefault="00C3347F" w:rsidP="00B55F24">
            <w:pPr>
              <w:pStyle w:val="TableText"/>
              <w:spacing w:before="40" w:after="30"/>
            </w:pPr>
            <w:r w:rsidRPr="009E06AA">
              <w:rPr>
                <w:rFonts w:eastAsia="Calibri"/>
                <w:color w:val="000000"/>
              </w:rPr>
              <w:t>1 January 2012</w:t>
            </w:r>
          </w:p>
        </w:tc>
        <w:tc>
          <w:tcPr>
            <w:tcW w:w="0" w:type="auto"/>
            <w:shd w:val="clear" w:color="auto" w:fill="FFFFFF"/>
            <w:tcMar>
              <w:top w:w="0" w:type="dxa"/>
              <w:left w:w="85" w:type="dxa"/>
              <w:bottom w:w="0" w:type="dxa"/>
              <w:right w:w="85" w:type="dxa"/>
            </w:tcMar>
          </w:tcPr>
          <w:p w14:paraId="19019885" w14:textId="77777777" w:rsidR="00C3347F" w:rsidRPr="009E06AA" w:rsidRDefault="00C3347F" w:rsidP="00B55F24">
            <w:pPr>
              <w:pStyle w:val="TableText"/>
              <w:spacing w:before="40" w:after="30"/>
            </w:pPr>
            <w:r w:rsidRPr="009E06AA">
              <w:rPr>
                <w:rFonts w:eastAsia="Calibri"/>
                <w:color w:val="000000"/>
              </w:rPr>
              <w:t>1 January 2013</w:t>
            </w:r>
          </w:p>
        </w:tc>
      </w:tr>
      <w:tr w:rsidR="00C3347F" w:rsidRPr="009E06AA" w14:paraId="14EFDDE8" w14:textId="77777777" w:rsidTr="00B55F24">
        <w:tc>
          <w:tcPr>
            <w:tcW w:w="0" w:type="auto"/>
            <w:shd w:val="clear" w:color="auto" w:fill="FFFFFF"/>
            <w:tcMar>
              <w:top w:w="0" w:type="dxa"/>
              <w:left w:w="85" w:type="dxa"/>
              <w:bottom w:w="0" w:type="dxa"/>
              <w:right w:w="85" w:type="dxa"/>
            </w:tcMar>
          </w:tcPr>
          <w:p w14:paraId="07133F06" w14:textId="77777777" w:rsidR="00C3347F" w:rsidRPr="009E06AA" w:rsidRDefault="00C3347F" w:rsidP="00B55F24">
            <w:pPr>
              <w:pStyle w:val="TableText"/>
              <w:spacing w:before="40" w:after="30"/>
            </w:pPr>
            <w:r w:rsidRPr="009E06AA">
              <w:rPr>
                <w:rFonts w:eastAsia="Calibri"/>
                <w:color w:val="000000"/>
              </w:rPr>
              <w:t>Agriculture</w:t>
            </w:r>
          </w:p>
        </w:tc>
        <w:tc>
          <w:tcPr>
            <w:tcW w:w="0" w:type="auto"/>
            <w:shd w:val="clear" w:color="auto" w:fill="FFFFFF"/>
            <w:tcMar>
              <w:top w:w="0" w:type="dxa"/>
              <w:left w:w="85" w:type="dxa"/>
              <w:bottom w:w="0" w:type="dxa"/>
              <w:right w:w="85" w:type="dxa"/>
            </w:tcMar>
          </w:tcPr>
          <w:p w14:paraId="086577DD" w14:textId="77777777" w:rsidR="00C3347F" w:rsidRPr="009E06AA" w:rsidRDefault="00C3347F" w:rsidP="00B55F24">
            <w:pPr>
              <w:pStyle w:val="TableText"/>
              <w:spacing w:before="40" w:after="30"/>
            </w:pPr>
            <w:r w:rsidRPr="009E06AA">
              <w:rPr>
                <w:rFonts w:eastAsia="Calibri"/>
                <w:color w:val="000000"/>
              </w:rPr>
              <w:t>1 January 2011</w:t>
            </w:r>
          </w:p>
        </w:tc>
        <w:tc>
          <w:tcPr>
            <w:tcW w:w="0" w:type="auto"/>
            <w:shd w:val="clear" w:color="auto" w:fill="FFFFFF"/>
            <w:tcMar>
              <w:top w:w="0" w:type="dxa"/>
              <w:left w:w="85" w:type="dxa"/>
              <w:bottom w:w="0" w:type="dxa"/>
              <w:right w:w="85" w:type="dxa"/>
            </w:tcMar>
          </w:tcPr>
          <w:p w14:paraId="37B412FB" w14:textId="77777777" w:rsidR="00C3347F" w:rsidRPr="009E06AA" w:rsidRDefault="00C3347F" w:rsidP="00B55F24">
            <w:pPr>
              <w:pStyle w:val="TableText"/>
              <w:spacing w:before="40" w:after="30"/>
            </w:pPr>
            <w:r w:rsidRPr="009E06AA">
              <w:rPr>
                <w:rFonts w:eastAsia="Calibri"/>
                <w:color w:val="000000"/>
              </w:rPr>
              <w:t>1 January 2012</w:t>
            </w:r>
          </w:p>
        </w:tc>
        <w:tc>
          <w:tcPr>
            <w:tcW w:w="0" w:type="auto"/>
            <w:shd w:val="clear" w:color="auto" w:fill="FFFFFF"/>
            <w:tcMar>
              <w:top w:w="0" w:type="dxa"/>
              <w:left w:w="85" w:type="dxa"/>
              <w:bottom w:w="0" w:type="dxa"/>
              <w:right w:w="85" w:type="dxa"/>
            </w:tcMar>
          </w:tcPr>
          <w:p w14:paraId="1248FBC8" w14:textId="77777777" w:rsidR="00C3347F" w:rsidRPr="009E06AA" w:rsidRDefault="00C3347F" w:rsidP="00B55F24">
            <w:pPr>
              <w:pStyle w:val="TableText"/>
              <w:spacing w:before="40" w:after="30"/>
            </w:pPr>
            <w:r w:rsidRPr="009E06AA">
              <w:rPr>
                <w:rFonts w:eastAsia="Calibri"/>
                <w:color w:val="000000"/>
              </w:rPr>
              <w:t>–</w:t>
            </w:r>
          </w:p>
        </w:tc>
      </w:tr>
    </w:tbl>
    <w:bookmarkEnd w:id="120"/>
    <w:p w14:paraId="5120D43D" w14:textId="77777777" w:rsidR="00C3347F" w:rsidRPr="009E06AA" w:rsidRDefault="00C3347F" w:rsidP="00C3347F">
      <w:pPr>
        <w:pStyle w:val="Heading4"/>
        <w:spacing w:before="360"/>
      </w:pPr>
      <w:r w:rsidRPr="009E06AA">
        <w:t>Treatment of confidentiality issues</w:t>
      </w:r>
    </w:p>
    <w:p w14:paraId="737B0285" w14:textId="77777777" w:rsidR="00C3347F" w:rsidRPr="009E06AA" w:rsidRDefault="00C3347F" w:rsidP="00C3347F">
      <w:pPr>
        <w:pStyle w:val="BodyText"/>
        <w:spacing w:before="100" w:after="100"/>
      </w:pPr>
      <w:r w:rsidRPr="009E06AA">
        <w:t>When specific emissions and activity data in the inventory can result in identifying individuals and/or individual businesses and, therefore, affect their wellbeing, commercial interest in trade and/or negotiations, those data are considered to be confidential.</w:t>
      </w:r>
    </w:p>
    <w:p w14:paraId="511CAAC4" w14:textId="77777777" w:rsidR="00C3347F" w:rsidRPr="009E06AA" w:rsidRDefault="00C3347F" w:rsidP="00C3347F">
      <w:pPr>
        <w:pStyle w:val="BodyText"/>
        <w:spacing w:before="100" w:after="100"/>
      </w:pPr>
      <w:r w:rsidRPr="009E06AA">
        <w:t xml:space="preserve">The inventory is a Tier 1 statistic under New Zealand’s official statistics system. The inventory compilation process adheres to the </w:t>
      </w:r>
      <w:r w:rsidRPr="009E06AA">
        <w:rPr>
          <w:i/>
          <w:iCs/>
        </w:rPr>
        <w:t>Principles and Protocols for Producers of Tier 1 Statistics</w:t>
      </w:r>
      <w:r w:rsidRPr="009E06AA">
        <w:t xml:space="preserve"> (Stats NZ, 2007). The relevant definition of confidentiality (protocol 4) is as follows.</w:t>
      </w:r>
    </w:p>
    <w:p w14:paraId="53D0042F" w14:textId="77777777" w:rsidR="00C3347F" w:rsidRPr="009E06AA" w:rsidRDefault="00C3347F" w:rsidP="00C3347F">
      <w:pPr>
        <w:pStyle w:val="Bullet"/>
        <w:spacing w:after="100"/>
      </w:pPr>
      <w:r w:rsidRPr="009E06AA">
        <w:t>Confidentiality refers to the protection of individuals’ and organisations’ information, and ensuring that the information is not made available or disclosed to unauthorised individuals or entities.</w:t>
      </w:r>
    </w:p>
    <w:p w14:paraId="6E3D56E3" w14:textId="77777777" w:rsidR="00C3347F" w:rsidRPr="009E06AA" w:rsidRDefault="00C3347F" w:rsidP="00C3347F">
      <w:pPr>
        <w:pStyle w:val="Bullet"/>
        <w:spacing w:after="100"/>
      </w:pPr>
      <w:r w:rsidRPr="009E06AA">
        <w:t>The protection of respondents’ information is a cornerstone of maintaining the integrity of the Official Statistics System.</w:t>
      </w:r>
    </w:p>
    <w:p w14:paraId="423B3E2C" w14:textId="77777777" w:rsidR="00C3347F" w:rsidRPr="009E06AA" w:rsidRDefault="00C3347F" w:rsidP="00C3347F">
      <w:pPr>
        <w:pStyle w:val="BodyText"/>
        <w:spacing w:before="100" w:after="100"/>
      </w:pPr>
      <w:r w:rsidRPr="009E06AA">
        <w:t>Confidential data are aggregated so as to draw out the information that is important to the user, without disclosing confidential data (IPCC, 2006b). For New Zealand, confidentiality issues largely apply to sources of emissions in the Energy and IPPU sectors, where an entire industry or source category is often represented by just one or two companies. Therefore, a practice of presenting information as an ‘industry average’ is often not applicable in New Zealand because this would breach business confidentiality. Confidential information is held by the agencies preparing the inventory sector estimates (MPI, MBIE, EPA and MfE), and each agency has security procedures (e.g., password-restricted access to files on computers) to keep the data confidential.</w:t>
      </w:r>
    </w:p>
    <w:p w14:paraId="75CCF3A0" w14:textId="77777777" w:rsidR="00C3347F" w:rsidRPr="009E06AA" w:rsidRDefault="00C3347F" w:rsidP="00C3347F">
      <w:pPr>
        <w:pStyle w:val="BodyText"/>
      </w:pPr>
      <w:r w:rsidRPr="009E06AA">
        <w:t>To protect the confidentiality of businesses that contribute data to the inventory, two approaches are used.</w:t>
      </w:r>
    </w:p>
    <w:p w14:paraId="52AB3291" w14:textId="77777777" w:rsidR="00C3347F" w:rsidRPr="009E06AA" w:rsidRDefault="00C3347F" w:rsidP="00C3347F">
      <w:pPr>
        <w:pStyle w:val="Bullet"/>
      </w:pPr>
      <w:r w:rsidRPr="009E06AA">
        <w:t>Where emissions cannot be reported without compromising confidentiality, the corresponding activity data are not reported and are marked as confidential in the CRT.</w:t>
      </w:r>
    </w:p>
    <w:p w14:paraId="0CBFBED1" w14:textId="77777777" w:rsidR="00C3347F" w:rsidRPr="009E06AA" w:rsidRDefault="00C3347F" w:rsidP="00C3347F">
      <w:pPr>
        <w:pStyle w:val="Bullet"/>
      </w:pPr>
      <w:r w:rsidRPr="009E06AA">
        <w:t>Where reporting emissions data would risk breaching confidentiality, the emissions data are aggregated with other emissions from a different source category. The notation key ‘IE’ is used.</w:t>
      </w:r>
    </w:p>
    <w:p w14:paraId="33081F1C" w14:textId="77777777" w:rsidR="00C3347F" w:rsidRPr="009E06AA" w:rsidRDefault="00C3347F" w:rsidP="00C3347F">
      <w:pPr>
        <w:pStyle w:val="Heading2"/>
      </w:pPr>
      <w:bookmarkStart w:id="128" w:name="_Toc162261125"/>
      <w:bookmarkStart w:id="129" w:name="_Toc164154165"/>
      <w:bookmarkStart w:id="130" w:name="X37dec5a5b6dcf423aa87ffe2cd8110852a4605f"/>
      <w:bookmarkEnd w:id="110"/>
      <w:bookmarkEnd w:id="121"/>
      <w:r w:rsidRPr="009E06AA">
        <w:t xml:space="preserve">1.6 </w:t>
      </w:r>
      <w:r w:rsidRPr="009E06AA">
        <w:tab/>
        <w:t>General uncertainty assessment, including data pertaining to the overall uncertainty of inventory totals</w:t>
      </w:r>
      <w:bookmarkEnd w:id="128"/>
      <w:bookmarkEnd w:id="129"/>
    </w:p>
    <w:p w14:paraId="599E3E13" w14:textId="77777777" w:rsidR="00C3347F" w:rsidRPr="009E06AA" w:rsidRDefault="00C3347F" w:rsidP="00C3347F">
      <w:pPr>
        <w:pStyle w:val="BodyText"/>
      </w:pPr>
      <w:r w:rsidRPr="009E06AA">
        <w:t>Uncertainty estimates are an essential element of a complete inventory. The purpose of uncertainty information is not to dispute the validity of the inventory estimates but to help prioritise efforts to improve the accuracy of inventories and guide decisions on methodological choice (IPCC, 2006b). Inventories prepared in accordance with the 2006 IPCC Guidelines (IPCC, 2006a) will typically contain a wide range of emissions estimates, varying from carefully measured and demonstrably complete data on emissions, to order-of-magnitude estimates for highly variable emissions such as N</w:t>
      </w:r>
      <w:r w:rsidRPr="009E06AA">
        <w:rPr>
          <w:vertAlign w:val="subscript"/>
        </w:rPr>
        <w:t>2</w:t>
      </w:r>
      <w:r w:rsidRPr="009E06AA">
        <w:t>O fluxes from soils and waterways (IPCC, 2006b).</w:t>
      </w:r>
    </w:p>
    <w:p w14:paraId="26C054FE" w14:textId="77777777" w:rsidR="00C3347F" w:rsidRPr="009E06AA" w:rsidRDefault="00C3347F" w:rsidP="00C3347F">
      <w:pPr>
        <w:pStyle w:val="BodyText"/>
      </w:pPr>
      <w:r w:rsidRPr="009E06AA">
        <w:t>New Zealand includes an uncertainty analysis of the aggregated figures applying approach 1 from the 2006 IPCC Guidelines (IPCC, 2006b).</w:t>
      </w:r>
    </w:p>
    <w:p w14:paraId="3B8951F1" w14:textId="77777777" w:rsidR="00C3347F" w:rsidRPr="009E06AA" w:rsidRDefault="00C3347F" w:rsidP="00C3347F">
      <w:pPr>
        <w:pStyle w:val="BodyText"/>
      </w:pPr>
      <w:r w:rsidRPr="009E06AA">
        <w:t>Uncertainties in the categories are combined to provide uncertainty estimates for all emissions for the latest reporting year and the base year, and the uncertainty in the trend over time. Annex 2 sets out uncertainties for net emissions, where removals under LULUCF categories are included (table A2.1.1), and gross emissions excluding LULUCF (table A2.1.2).</w:t>
      </w:r>
    </w:p>
    <w:p w14:paraId="1E1950D6" w14:textId="77777777" w:rsidR="00C3347F" w:rsidRPr="009E06AA" w:rsidRDefault="00C3347F" w:rsidP="00C3347F">
      <w:pPr>
        <w:pStyle w:val="BodyText"/>
      </w:pPr>
      <w:r w:rsidRPr="009E06AA">
        <w:t>In most instances, the uncertainty values are determined by analysis of emission factors or activity data using expert judgement from sectoral or industry experts, or by referring to uncertainty ranges provided in the 2006 IPCC Guidelines (IPCC, 2006b). Uncertainties for the source categories were originally determined at the lowest level where information and data were available. The uncertainty estimates within each sector were made by the personnel at the agencies responsible for the sector, which is a part of New Zealand’s national system arrangements.</w:t>
      </w:r>
    </w:p>
    <w:p w14:paraId="4C3EE3C1" w14:textId="77777777" w:rsidR="00C3347F" w:rsidRPr="009E06AA" w:rsidRDefault="00C3347F" w:rsidP="00C3347F">
      <w:pPr>
        <w:pStyle w:val="BodyText"/>
      </w:pPr>
      <w:r w:rsidRPr="009E06AA">
        <w:t>The low-level uncertainties have then been aggregated to various extents by the sector compiling agencies as far as the second-level category for each of CO</w:t>
      </w:r>
      <w:r w:rsidRPr="009E06AA">
        <w:rPr>
          <w:vertAlign w:val="subscript"/>
        </w:rPr>
        <w:t>2</w:t>
      </w:r>
      <w:r w:rsidRPr="009E06AA">
        <w:t>, CH</w:t>
      </w:r>
      <w:r w:rsidRPr="009E06AA">
        <w:rPr>
          <w:vertAlign w:val="subscript"/>
        </w:rPr>
        <w:t>4</w:t>
      </w:r>
      <w:r w:rsidRPr="009E06AA">
        <w:t>, N</w:t>
      </w:r>
      <w:r w:rsidRPr="009E06AA">
        <w:rPr>
          <w:vertAlign w:val="subscript"/>
        </w:rPr>
        <w:t>2</w:t>
      </w:r>
      <w:r w:rsidRPr="009E06AA">
        <w:t>O and SF</w:t>
      </w:r>
      <w:r w:rsidRPr="009E06AA">
        <w:rPr>
          <w:vertAlign w:val="subscript"/>
        </w:rPr>
        <w:t>6</w:t>
      </w:r>
      <w:r w:rsidRPr="009E06AA">
        <w:t xml:space="preserve"> separately and for HFCs and PFCs as groups. These data at the aggregated category level have been submitted to the National Inventory Compiler for performing overall uncertainty calculations for level and trend uncertainties for gross and net emissions (excluding and including LULUCF).</w:t>
      </w:r>
    </w:p>
    <w:p w14:paraId="23B43DEE" w14:textId="77777777" w:rsidR="00C3347F" w:rsidRPr="009E06AA" w:rsidRDefault="00C3347F" w:rsidP="00C3347F">
      <w:pPr>
        <w:pStyle w:val="BodyText"/>
        <w:spacing w:after="100"/>
      </w:pPr>
      <w:r w:rsidRPr="009E06AA">
        <w:t>In most cases, to aggregate uncertainties from subcategories, sectoral compilers used the approach 1 recommended in the 2006 IPCC Guidelines (IPCC, 2006b, equation 3.2, page 3.28).</w:t>
      </w:r>
    </w:p>
    <w:p w14:paraId="54B88CA1" w14:textId="77777777" w:rsidR="00C3347F" w:rsidRPr="009E06AA" w:rsidRDefault="00C3347F" w:rsidP="00C3347F">
      <w:pPr>
        <w:pStyle w:val="BodyText"/>
        <w:spacing w:after="100"/>
      </w:pPr>
      <w:r w:rsidRPr="009E06AA">
        <w:t>Each category addresses specific uncertainties, with the default uncertainties from the IPCC being applied in almost all instances.</w:t>
      </w:r>
    </w:p>
    <w:p w14:paraId="46F7ED08" w14:textId="77777777" w:rsidR="00C3347F" w:rsidRPr="009E06AA" w:rsidRDefault="00C3347F" w:rsidP="00C3347F">
      <w:pPr>
        <w:pStyle w:val="BodyText"/>
        <w:spacing w:after="100"/>
      </w:pPr>
      <w:r w:rsidRPr="009E06AA">
        <w:t xml:space="preserve">Country-specific estimates of uncertainty have been made in the </w:t>
      </w:r>
      <w:r w:rsidRPr="009E06AA">
        <w:rPr>
          <w:i/>
          <w:iCs/>
        </w:rPr>
        <w:t>Product uses as substitutes for ODS</w:t>
      </w:r>
      <w:r w:rsidRPr="009E06AA">
        <w:t xml:space="preserve"> category, reflecting the quality of data provided by survey respondents, and have been updated as needed for this submission.</w:t>
      </w:r>
    </w:p>
    <w:p w14:paraId="304D1F01" w14:textId="77777777" w:rsidR="00C3347F" w:rsidRPr="009E06AA" w:rsidRDefault="00C3347F" w:rsidP="00C3347F">
      <w:pPr>
        <w:pStyle w:val="BodyText"/>
        <w:spacing w:after="100"/>
      </w:pPr>
      <w:r w:rsidRPr="009E06AA">
        <w:t>The uncertainty for CH</w:t>
      </w:r>
      <w:r w:rsidRPr="009E06AA">
        <w:rPr>
          <w:vertAlign w:val="subscript"/>
        </w:rPr>
        <w:t>4</w:t>
      </w:r>
      <w:r w:rsidRPr="009E06AA">
        <w:t xml:space="preserve"> emissions from enteric fermentation was calculated by expressing the coefficient of variation according to the standard error of the CH</w:t>
      </w:r>
      <w:r w:rsidRPr="009E06AA">
        <w:rPr>
          <w:vertAlign w:val="subscript"/>
        </w:rPr>
        <w:t>4</w:t>
      </w:r>
      <w:r w:rsidRPr="009E06AA">
        <w:t xml:space="preserve"> yield. A Monte Carlo simulation has been used to determine uncertainty for N</w:t>
      </w:r>
      <w:r w:rsidRPr="009E06AA">
        <w:rPr>
          <w:vertAlign w:val="subscript"/>
        </w:rPr>
        <w:t>2</w:t>
      </w:r>
      <w:r w:rsidRPr="009E06AA">
        <w:t>O from agricultural soils. For the 2012 data, the uncertainty in the annual estimate was calculated using the 95 per cent confidence interval determined from the Monte Carlo simulation as a percentage of the mean value.</w:t>
      </w:r>
    </w:p>
    <w:p w14:paraId="19AB2DB3" w14:textId="77777777" w:rsidR="00C3347F" w:rsidRPr="009E06AA" w:rsidRDefault="00C3347F" w:rsidP="00C3347F">
      <w:pPr>
        <w:pStyle w:val="BodyText"/>
        <w:spacing w:after="100"/>
      </w:pPr>
      <w:r w:rsidRPr="009E06AA">
        <w:t>In the LULUCF sector, uncertainties were combined and aggregated using the error propagation procedure outlined in approach 1 in the 2006 IPCC Guidelines (IPCC, 2006b, equation 3.1 and equation 3.2, page 3.28). These uncertainties incorporate natural variability, measurement error and model prediction error. The uncertainties in the net carbon emissions for each category in the LULUCF sector are given within the relevant sections of chapter 6. Detailed analysis of LULUCF uncertainties is presented in annex 5, section 5.2.8.</w:t>
      </w:r>
    </w:p>
    <w:p w14:paraId="5704F8AE" w14:textId="77777777" w:rsidR="00C3347F" w:rsidRPr="009E06AA" w:rsidRDefault="00C3347F" w:rsidP="00C3347F">
      <w:pPr>
        <w:pStyle w:val="BodyText"/>
      </w:pPr>
      <w:r w:rsidRPr="009E06AA">
        <w:t>Throughout the following section where comparisons are made with respect to the previous submission’s uncertainties, the previous submission’s uncertainties were recalculated using IPCC Fifth Assessment Report global warming potential</w:t>
      </w:r>
      <w:r w:rsidRPr="009E06AA" w:rsidDel="005B7848">
        <w:t xml:space="preserve"> </w:t>
      </w:r>
      <w:r w:rsidRPr="009E06AA">
        <w:t>100 values to enable like-for-like comparisons with this submission’s uncertainties (IPCC, 2013).</w:t>
      </w:r>
    </w:p>
    <w:p w14:paraId="74C4FE14" w14:textId="77777777" w:rsidR="00C3347F" w:rsidRPr="009E06AA" w:rsidRDefault="00C3347F" w:rsidP="00C3347F">
      <w:pPr>
        <w:pStyle w:val="Heading4"/>
      </w:pPr>
      <w:r w:rsidRPr="009E06AA">
        <w:t>Gross emissions</w:t>
      </w:r>
    </w:p>
    <w:p w14:paraId="4454416C" w14:textId="77777777" w:rsidR="00C3347F" w:rsidRPr="009E06AA" w:rsidRDefault="00C3347F" w:rsidP="00C3347F">
      <w:pPr>
        <w:pStyle w:val="Heading5"/>
        <w:spacing w:before="180"/>
      </w:pPr>
      <w:bookmarkStart w:id="131" w:name="uncertainty-in-2022-level-assessment"/>
      <w:bookmarkStart w:id="132" w:name="general-assessment-of-completeness"/>
      <w:bookmarkEnd w:id="130"/>
      <w:r w:rsidRPr="009E06AA">
        <w:t>Uncertainty in 2022 – level assessment</w:t>
      </w:r>
    </w:p>
    <w:p w14:paraId="6F5EA552" w14:textId="77777777" w:rsidR="00C3347F" w:rsidRPr="009E06AA" w:rsidRDefault="00C3347F" w:rsidP="00C3347F">
      <w:pPr>
        <w:pStyle w:val="BodyText"/>
      </w:pPr>
      <w:r w:rsidRPr="009E06AA">
        <w:t>The uncertainty in gross emissions (excluding emissions and removals from the LULUCF sector) in 2022 is ±8.8 per cent. This is an increase of 0.3 per cent from that reported for 2021 in the previous submission. Emissions contributing the most to the overall uncertainty of gross emissions in 2022 were CH</w:t>
      </w:r>
      <w:r w:rsidRPr="009E06AA">
        <w:rPr>
          <w:vertAlign w:val="subscript"/>
        </w:rPr>
        <w:t>4</w:t>
      </w:r>
      <w:r w:rsidRPr="009E06AA">
        <w:t xml:space="preserve"> from </w:t>
      </w:r>
      <w:r w:rsidRPr="009E06AA">
        <w:rPr>
          <w:i/>
          <w:iCs/>
        </w:rPr>
        <w:t>Enteric fermentation</w:t>
      </w:r>
      <w:r w:rsidRPr="009E06AA">
        <w:t xml:space="preserve"> (±16.0 per cent) at 6.7 per cent, N</w:t>
      </w:r>
      <w:r w:rsidRPr="009E06AA">
        <w:rPr>
          <w:vertAlign w:val="subscript"/>
        </w:rPr>
        <w:t>2</w:t>
      </w:r>
      <w:r w:rsidRPr="009E06AA">
        <w:t xml:space="preserve">O from </w:t>
      </w:r>
      <w:r w:rsidRPr="009E06AA">
        <w:rPr>
          <w:i/>
          <w:iCs/>
        </w:rPr>
        <w:t>Agricultural soils</w:t>
      </w:r>
      <w:r w:rsidRPr="009E06AA">
        <w:t xml:space="preserve"> (±56.1 per cent) at 4.5 per cent and CH</w:t>
      </w:r>
      <w:r w:rsidRPr="009E06AA">
        <w:rPr>
          <w:vertAlign w:val="subscript"/>
        </w:rPr>
        <w:t>4</w:t>
      </w:r>
      <w:r w:rsidRPr="009E06AA">
        <w:t xml:space="preserve"> from </w:t>
      </w:r>
      <w:r w:rsidRPr="009E06AA">
        <w:rPr>
          <w:i/>
          <w:iCs/>
        </w:rPr>
        <w:t>Solid waste disposal</w:t>
      </w:r>
      <w:r w:rsidRPr="009E06AA">
        <w:t xml:space="preserve"> (±95.1 per cent) at 3.4 per cent. The uncertainty in these categories reflects the inherent variability when estimating emissions from natural systems.</w:t>
      </w:r>
    </w:p>
    <w:p w14:paraId="1CF939DF" w14:textId="77777777" w:rsidR="00C3347F" w:rsidRPr="009E06AA" w:rsidRDefault="00C3347F" w:rsidP="00C3347F">
      <w:pPr>
        <w:pStyle w:val="Heading5"/>
      </w:pPr>
      <w:bookmarkStart w:id="133" w:name="uncertainty-in-1990-level-assessment"/>
      <w:bookmarkEnd w:id="131"/>
      <w:r w:rsidRPr="009E06AA">
        <w:t>Uncertainty in 1990 – level assessment</w:t>
      </w:r>
    </w:p>
    <w:p w14:paraId="202DD5E3" w14:textId="77777777" w:rsidR="00C3347F" w:rsidRPr="009E06AA" w:rsidRDefault="00C3347F" w:rsidP="00C3347F">
      <w:pPr>
        <w:pStyle w:val="BodyText"/>
      </w:pPr>
      <w:r w:rsidRPr="009E06AA">
        <w:rPr>
          <w:bCs/>
        </w:rPr>
        <w:t>In 1990, the uncertainty in gross emissions was ±9.7 per cent. This is an increase of 0.05 per cent from the previous submission. Emissions of CH</w:t>
      </w:r>
      <w:r w:rsidRPr="009E06AA">
        <w:rPr>
          <w:bCs/>
          <w:vertAlign w:val="subscript"/>
        </w:rPr>
        <w:t>4</w:t>
      </w:r>
      <w:r w:rsidRPr="009E06AA">
        <w:rPr>
          <w:bCs/>
        </w:rPr>
        <w:t xml:space="preserve"> from </w:t>
      </w:r>
      <w:r w:rsidRPr="009E06AA">
        <w:rPr>
          <w:bCs/>
          <w:i/>
          <w:iCs/>
        </w:rPr>
        <w:t>Enteric fermentation</w:t>
      </w:r>
      <w:r w:rsidRPr="009E06AA">
        <w:rPr>
          <w:bCs/>
        </w:rPr>
        <w:t xml:space="preserve"> contributed 7.2 per cent, CH</w:t>
      </w:r>
      <w:r w:rsidRPr="009E06AA">
        <w:rPr>
          <w:bCs/>
          <w:vertAlign w:val="subscript"/>
        </w:rPr>
        <w:t>4</w:t>
      </w:r>
      <w:r w:rsidRPr="009E06AA">
        <w:rPr>
          <w:bCs/>
        </w:rPr>
        <w:t xml:space="preserve"> from </w:t>
      </w:r>
      <w:r w:rsidRPr="009E06AA">
        <w:rPr>
          <w:bCs/>
          <w:i/>
          <w:iCs/>
        </w:rPr>
        <w:t>Solid waste disposal</w:t>
      </w:r>
      <w:r w:rsidRPr="009E06AA">
        <w:rPr>
          <w:bCs/>
        </w:rPr>
        <w:t xml:space="preserve"> contributed 5.1 per cent and N</w:t>
      </w:r>
      <w:r w:rsidRPr="009E06AA">
        <w:rPr>
          <w:bCs/>
          <w:vertAlign w:val="subscript"/>
        </w:rPr>
        <w:t>2</w:t>
      </w:r>
      <w:r w:rsidRPr="009E06AA">
        <w:rPr>
          <w:bCs/>
        </w:rPr>
        <w:t xml:space="preserve">O from </w:t>
      </w:r>
      <w:r w:rsidRPr="009E06AA">
        <w:rPr>
          <w:bCs/>
          <w:i/>
          <w:iCs/>
        </w:rPr>
        <w:t>Agricultural soils</w:t>
      </w:r>
      <w:r w:rsidRPr="009E06AA">
        <w:rPr>
          <w:bCs/>
        </w:rPr>
        <w:t xml:space="preserve"> contributed 3.8 per cent to the overall uncertainty of gross emissions in 1990.</w:t>
      </w:r>
    </w:p>
    <w:p w14:paraId="19732FF2" w14:textId="77777777" w:rsidR="00C3347F" w:rsidRPr="009E06AA" w:rsidRDefault="00C3347F" w:rsidP="00C3347F">
      <w:pPr>
        <w:pStyle w:val="Heading5"/>
      </w:pPr>
      <w:bookmarkStart w:id="134" w:name="uncertainty-in-the-trend"/>
      <w:bookmarkEnd w:id="133"/>
      <w:r w:rsidRPr="009E06AA">
        <w:t>Uncertainty in the trend</w:t>
      </w:r>
    </w:p>
    <w:p w14:paraId="73031F84" w14:textId="77777777" w:rsidR="00C3347F" w:rsidRPr="009E06AA" w:rsidRDefault="00C3347F" w:rsidP="00C3347F">
      <w:pPr>
        <w:pStyle w:val="BodyText"/>
      </w:pPr>
      <w:r w:rsidRPr="009E06AA">
        <w:t xml:space="preserve">The trend uncertainty in gross emissions (excluding emissions and removals from the LULUCF sector) from 1990 to 2022 is ±6.3 per cent. This is a decrease of 0.1 per cent from the previous submission. This decrease is primarily a result of a decrease to the </w:t>
      </w:r>
      <w:r w:rsidRPr="009E06AA">
        <w:rPr>
          <w:i/>
          <w:iCs/>
        </w:rPr>
        <w:t xml:space="preserve">Solid waste disposal </w:t>
      </w:r>
      <w:r w:rsidRPr="009E06AA">
        <w:t xml:space="preserve">uncertainties. </w:t>
      </w:r>
    </w:p>
    <w:bookmarkEnd w:id="134"/>
    <w:p w14:paraId="59DD0B87" w14:textId="77777777" w:rsidR="00C3347F" w:rsidRPr="009E06AA" w:rsidRDefault="00C3347F" w:rsidP="00C3347F">
      <w:pPr>
        <w:pStyle w:val="Heading4"/>
      </w:pPr>
      <w:r w:rsidRPr="009E06AA">
        <w:t>Net emissions</w:t>
      </w:r>
    </w:p>
    <w:p w14:paraId="10102E8F" w14:textId="77777777" w:rsidR="00C3347F" w:rsidRPr="009E06AA" w:rsidRDefault="00C3347F" w:rsidP="00C3347F">
      <w:pPr>
        <w:pStyle w:val="Heading5"/>
        <w:spacing w:before="200"/>
      </w:pPr>
      <w:bookmarkStart w:id="135" w:name="uncertainty-in-2022-level-assessment-1"/>
      <w:r w:rsidRPr="009E06AA">
        <w:t>Uncertainty in 2022 – level assessment</w:t>
      </w:r>
    </w:p>
    <w:p w14:paraId="57D6E8BB" w14:textId="77777777" w:rsidR="00C3347F" w:rsidRPr="009E06AA" w:rsidRDefault="00C3347F" w:rsidP="00C3347F">
      <w:pPr>
        <w:pStyle w:val="BodyText"/>
        <w:rPr>
          <w:bCs/>
        </w:rPr>
      </w:pPr>
      <w:r w:rsidRPr="009E06AA">
        <w:rPr>
          <w:bCs/>
        </w:rPr>
        <w:t>The uncertainty for New Zealand’s inventory, including emissions and removals from the LULUCF sector, in 2022 is ±24.3 per cent. There has been a decrease of 2.6 per cent in uncertainty between 2021 and 2022.</w:t>
      </w:r>
    </w:p>
    <w:p w14:paraId="6AAB4465" w14:textId="77777777" w:rsidR="00C3347F" w:rsidRPr="009E06AA" w:rsidRDefault="00C3347F" w:rsidP="00C3347F">
      <w:pPr>
        <w:pStyle w:val="BodyText"/>
      </w:pPr>
      <w:r w:rsidRPr="009E06AA">
        <w:rPr>
          <w:bCs/>
        </w:rPr>
        <w:t xml:space="preserve">This decrease is primarily a result of a decrease to the LULUCF </w:t>
      </w:r>
      <w:r w:rsidRPr="009E06AA">
        <w:rPr>
          <w:bCs/>
          <w:i/>
          <w:iCs/>
        </w:rPr>
        <w:t>Forest land</w:t>
      </w:r>
      <w:r w:rsidRPr="009E06AA">
        <w:rPr>
          <w:bCs/>
        </w:rPr>
        <w:t xml:space="preserve"> uncertainties. Emissions contributing the most to the overall uncertainty in net emissions for 2021 were CO</w:t>
      </w:r>
      <w:r w:rsidRPr="009E06AA">
        <w:rPr>
          <w:bCs/>
          <w:vertAlign w:val="subscript"/>
        </w:rPr>
        <w:t>2</w:t>
      </w:r>
      <w:r w:rsidRPr="009E06AA">
        <w:rPr>
          <w:bCs/>
        </w:rPr>
        <w:t xml:space="preserve"> from </w:t>
      </w:r>
      <w:r w:rsidRPr="009E06AA">
        <w:rPr>
          <w:bCs/>
          <w:i/>
          <w:iCs/>
        </w:rPr>
        <w:t>Forest land</w:t>
      </w:r>
      <w:r w:rsidRPr="009E06AA">
        <w:rPr>
          <w:bCs/>
        </w:rPr>
        <w:t xml:space="preserve"> (±66.9 per cent) at 19.8 per cent, CH</w:t>
      </w:r>
      <w:r w:rsidRPr="009E06AA">
        <w:rPr>
          <w:bCs/>
          <w:vertAlign w:val="subscript"/>
        </w:rPr>
        <w:t>4</w:t>
      </w:r>
      <w:r w:rsidRPr="009E06AA">
        <w:t xml:space="preserve"> from </w:t>
      </w:r>
      <w:r w:rsidRPr="009E06AA">
        <w:rPr>
          <w:i/>
          <w:iCs/>
        </w:rPr>
        <w:t>Enteric fermentation</w:t>
      </w:r>
      <w:r w:rsidRPr="009E06AA">
        <w:t xml:space="preserve"> (±16.0 per cent) at 8.8 per cent and CO</w:t>
      </w:r>
      <w:r w:rsidRPr="009E06AA">
        <w:rPr>
          <w:vertAlign w:val="subscript"/>
        </w:rPr>
        <w:t>2</w:t>
      </w:r>
      <w:r w:rsidRPr="009E06AA">
        <w:t xml:space="preserve"> from </w:t>
      </w:r>
      <w:r w:rsidRPr="009E06AA">
        <w:rPr>
          <w:i/>
          <w:iCs/>
        </w:rPr>
        <w:t>Harvested wood products</w:t>
      </w:r>
      <w:r w:rsidRPr="009E06AA">
        <w:t xml:space="preserve"> (±68.2 per cent) at 7.6 per cent.</w:t>
      </w:r>
    </w:p>
    <w:p w14:paraId="476BB733" w14:textId="77777777" w:rsidR="00C3347F" w:rsidRPr="009E06AA" w:rsidRDefault="00C3347F" w:rsidP="00C3347F">
      <w:pPr>
        <w:pStyle w:val="Heading5"/>
      </w:pPr>
      <w:bookmarkStart w:id="136" w:name="uncertainty-in-1990-level-assessment-1"/>
      <w:bookmarkEnd w:id="135"/>
      <w:r w:rsidRPr="009E06AA">
        <w:t>Uncertainty in 1990 – level assessment</w:t>
      </w:r>
    </w:p>
    <w:p w14:paraId="0A5FF792" w14:textId="77777777" w:rsidR="00C3347F" w:rsidRPr="009E06AA" w:rsidRDefault="00C3347F" w:rsidP="00C3347F">
      <w:pPr>
        <w:pStyle w:val="BodyText"/>
        <w:rPr>
          <w:bCs/>
        </w:rPr>
      </w:pPr>
      <w:r w:rsidRPr="009E06AA">
        <w:rPr>
          <w:bCs/>
        </w:rPr>
        <w:t>In 1990, the uncertainty in net emissions was 38.5 per cent. There has been an increase of 2.9 per cent between 2021 and 2022.</w:t>
      </w:r>
    </w:p>
    <w:p w14:paraId="1EA95FED" w14:textId="77777777" w:rsidR="00C3347F" w:rsidRPr="009E06AA" w:rsidRDefault="00C3347F" w:rsidP="00C3347F">
      <w:pPr>
        <w:pStyle w:val="BodyText"/>
      </w:pPr>
      <w:r w:rsidRPr="009E06AA">
        <w:rPr>
          <w:bCs/>
        </w:rPr>
        <w:t xml:space="preserve">This increase is primarily a result of an increase to the LULUCF </w:t>
      </w:r>
      <w:r w:rsidRPr="009E06AA">
        <w:rPr>
          <w:bCs/>
          <w:i/>
          <w:iCs/>
        </w:rPr>
        <w:t>Forest land</w:t>
      </w:r>
      <w:r w:rsidRPr="009E06AA">
        <w:rPr>
          <w:bCs/>
        </w:rPr>
        <w:t xml:space="preserve"> uncertainties. Emissions of CO</w:t>
      </w:r>
      <w:r w:rsidRPr="009E06AA">
        <w:rPr>
          <w:bCs/>
          <w:vertAlign w:val="subscript"/>
        </w:rPr>
        <w:t>2</w:t>
      </w:r>
      <w:r w:rsidRPr="009E06AA">
        <w:rPr>
          <w:bCs/>
        </w:rPr>
        <w:t xml:space="preserve"> from </w:t>
      </w:r>
      <w:r w:rsidRPr="009E06AA">
        <w:rPr>
          <w:bCs/>
          <w:i/>
          <w:iCs/>
        </w:rPr>
        <w:t>Forest land</w:t>
      </w:r>
      <w:r w:rsidRPr="009E06AA">
        <w:rPr>
          <w:bCs/>
        </w:rPr>
        <w:t xml:space="preserve"> contributed 35.2 per cent, CH</w:t>
      </w:r>
      <w:r w:rsidRPr="009E06AA">
        <w:rPr>
          <w:bCs/>
          <w:vertAlign w:val="subscript"/>
        </w:rPr>
        <w:t>4</w:t>
      </w:r>
      <w:r w:rsidRPr="009E06AA">
        <w:rPr>
          <w:bCs/>
        </w:rPr>
        <w:t xml:space="preserve"> from </w:t>
      </w:r>
      <w:r w:rsidRPr="009E06AA">
        <w:rPr>
          <w:bCs/>
          <w:i/>
          <w:iCs/>
        </w:rPr>
        <w:t>Enteric</w:t>
      </w:r>
      <w:r w:rsidRPr="009E06AA">
        <w:rPr>
          <w:i/>
          <w:iCs/>
        </w:rPr>
        <w:t xml:space="preserve"> fermentation</w:t>
      </w:r>
      <w:r w:rsidRPr="009E06AA">
        <w:t xml:space="preserve"> 11.2 per cent and CH</w:t>
      </w:r>
      <w:r w:rsidRPr="009E06AA">
        <w:rPr>
          <w:vertAlign w:val="subscript"/>
        </w:rPr>
        <w:t>4</w:t>
      </w:r>
      <w:r w:rsidRPr="009E06AA">
        <w:t xml:space="preserve"> from </w:t>
      </w:r>
      <w:r w:rsidRPr="009E06AA">
        <w:rPr>
          <w:i/>
          <w:iCs/>
        </w:rPr>
        <w:t>Solid waste disposal</w:t>
      </w:r>
      <w:r w:rsidRPr="009E06AA">
        <w:t xml:space="preserve"> 7.9 per cent to the overall uncertainty of net emissions in 1990.</w:t>
      </w:r>
    </w:p>
    <w:p w14:paraId="62D1D04D" w14:textId="77777777" w:rsidR="00C3347F" w:rsidRPr="009E06AA" w:rsidRDefault="00C3347F" w:rsidP="00C3347F">
      <w:pPr>
        <w:pStyle w:val="Heading5"/>
      </w:pPr>
      <w:bookmarkStart w:id="137" w:name="uncertainty-in-the-trend-1"/>
      <w:bookmarkEnd w:id="136"/>
      <w:r w:rsidRPr="009E06AA">
        <w:t>Uncertainty in the trend</w:t>
      </w:r>
    </w:p>
    <w:p w14:paraId="26310592" w14:textId="77777777" w:rsidR="00C3347F" w:rsidRPr="009E06AA" w:rsidRDefault="00C3347F" w:rsidP="00C3347F">
      <w:pPr>
        <w:pStyle w:val="BodyText"/>
      </w:pPr>
      <w:r w:rsidRPr="009E06AA">
        <w:t xml:space="preserve">When emissions and removals from the LULUCF sector are included, the overall uncertainty in the trend from 1990 to 2022 is ±23.6 per cent. This is an increase of 5.6 per cent when compared with the previous submission. This increase is primarily a result of the LULUCF </w:t>
      </w:r>
      <w:r w:rsidRPr="009E06AA">
        <w:rPr>
          <w:i/>
          <w:iCs/>
        </w:rPr>
        <w:t>Forest land</w:t>
      </w:r>
      <w:r w:rsidRPr="009E06AA">
        <w:t xml:space="preserve"> category.</w:t>
      </w:r>
    </w:p>
    <w:p w14:paraId="41AF8596" w14:textId="77777777" w:rsidR="00C3347F" w:rsidRPr="009E06AA" w:rsidRDefault="00C3347F" w:rsidP="00C3347F">
      <w:pPr>
        <w:pStyle w:val="Heading2"/>
      </w:pPr>
      <w:bookmarkStart w:id="138" w:name="_Toc5271489"/>
      <w:bookmarkStart w:id="139" w:name="_Toc36315186"/>
      <w:bookmarkStart w:id="140" w:name="_Toc130904918"/>
      <w:bookmarkStart w:id="141" w:name="_Toc162261126"/>
      <w:bookmarkStart w:id="142" w:name="_Toc164154166"/>
      <w:r w:rsidRPr="009E06AA">
        <w:t xml:space="preserve">1.7 </w:t>
      </w:r>
      <w:r w:rsidRPr="009E06AA">
        <w:tab/>
        <w:t>General assessment of completeness</w:t>
      </w:r>
      <w:bookmarkEnd w:id="138"/>
      <w:bookmarkEnd w:id="139"/>
      <w:bookmarkEnd w:id="140"/>
      <w:bookmarkEnd w:id="141"/>
      <w:bookmarkEnd w:id="142"/>
    </w:p>
    <w:p w14:paraId="05A49347" w14:textId="77777777" w:rsidR="00C3347F" w:rsidRPr="009E06AA" w:rsidRDefault="00C3347F" w:rsidP="00C3347F">
      <w:pPr>
        <w:pStyle w:val="BodyText"/>
        <w:spacing w:after="100"/>
      </w:pPr>
      <w:r w:rsidRPr="009E06AA">
        <w:t>Under the Paris Agreement, the level of completeness of reported sources in national inventories must be assessed. In accordance with the 2006 IPCC Guidelines (IPCC, 2006b), New Zealand has focused its resources for inventory development on the key and non-key categories that are mandatory.</w:t>
      </w:r>
    </w:p>
    <w:p w14:paraId="15B2BEB9" w14:textId="77777777" w:rsidR="00C3347F" w:rsidRPr="009E06AA" w:rsidRDefault="00C3347F" w:rsidP="00C3347F">
      <w:pPr>
        <w:pStyle w:val="Heading3"/>
        <w:spacing w:before="240"/>
        <w:ind w:left="993" w:hanging="993"/>
      </w:pPr>
      <w:bookmarkStart w:id="143" w:name="_Toc162261127"/>
      <w:r w:rsidRPr="009E06AA">
        <w:t xml:space="preserve">1.7.1 </w:t>
      </w:r>
      <w:r w:rsidRPr="009E06AA">
        <w:tab/>
        <w:t>Information on completeness</w:t>
      </w:r>
      <w:bookmarkEnd w:id="143"/>
    </w:p>
    <w:p w14:paraId="054B6DF7" w14:textId="77777777" w:rsidR="00C3347F" w:rsidRPr="009E06AA" w:rsidRDefault="00C3347F" w:rsidP="00C3347F">
      <w:pPr>
        <w:pStyle w:val="Heading4"/>
      </w:pPr>
      <w:r w:rsidRPr="009E06AA">
        <w:t>Emissions reported as ‘NE’ (not estimated)</w:t>
      </w:r>
    </w:p>
    <w:p w14:paraId="39C65D65" w14:textId="46387208" w:rsidR="00C3347F" w:rsidRPr="009E06AA" w:rsidRDefault="00C3347F" w:rsidP="00C3347F">
      <w:pPr>
        <w:pStyle w:val="BodyText"/>
      </w:pPr>
      <w:r w:rsidRPr="009E06AA">
        <w:t>The notation key ‘NE’ signifies that emissions and/or removals occur but have not been estimated or reported. According to chapter II of the Annex to the decision 18/CMA.1 (UNFCCC, 2018b), ‘NE’ may be used when the estimates would be insignificant in terms of</w:t>
      </w:r>
      <w:r w:rsidR="00887310" w:rsidRPr="009E06AA">
        <w:t> </w:t>
      </w:r>
      <w:r w:rsidRPr="009E06AA">
        <w:t>level according to the following considerations:</w:t>
      </w:r>
    </w:p>
    <w:p w14:paraId="09F9BC2B" w14:textId="77777777" w:rsidR="00C3347F" w:rsidRPr="009E06AA" w:rsidRDefault="00C3347F" w:rsidP="00C3347F">
      <w:pPr>
        <w:pStyle w:val="Bullet"/>
        <w:tabs>
          <w:tab w:val="num" w:pos="567"/>
        </w:tabs>
      </w:pPr>
      <w:r w:rsidRPr="009E06AA">
        <w:t>emissions from a category should only be considered insignificant if the likely level of emissions is below 0.05 per cent of the national total GHG emissions, excluding LULUCF, or 500 kt CO</w:t>
      </w:r>
      <w:r w:rsidRPr="009E06AA">
        <w:rPr>
          <w:vertAlign w:val="subscript"/>
        </w:rPr>
        <w:t>2</w:t>
      </w:r>
      <w:r w:rsidRPr="009E06AA">
        <w:t>-e, whichever is lower</w:t>
      </w:r>
    </w:p>
    <w:p w14:paraId="4CB4743E" w14:textId="77777777" w:rsidR="00C3347F" w:rsidRPr="009E06AA" w:rsidRDefault="00C3347F" w:rsidP="00C3347F">
      <w:pPr>
        <w:pStyle w:val="Bullet"/>
        <w:numPr>
          <w:ilvl w:val="0"/>
          <w:numId w:val="25"/>
        </w:numPr>
      </w:pPr>
      <w:r w:rsidRPr="009E06AA">
        <w:t>the total national aggregate of estimated emissions for all gases from categories considered insignificant shall remain below 0.1 per cent of the national total GHG emissions, excluding LULUCF.</w:t>
      </w:r>
    </w:p>
    <w:p w14:paraId="41DC5853" w14:textId="77777777" w:rsidR="00C3347F" w:rsidRPr="009E06AA" w:rsidRDefault="00C3347F" w:rsidP="00C3347F">
      <w:pPr>
        <w:pStyle w:val="Bullet"/>
        <w:numPr>
          <w:ilvl w:val="0"/>
          <w:numId w:val="0"/>
        </w:numPr>
      </w:pPr>
      <w:r w:rsidRPr="009E06AA">
        <w:t>Once emissions or removals have been estimated for a category they must continue to be reported if they continue to occur.</w:t>
      </w:r>
    </w:p>
    <w:p w14:paraId="3D352DE9" w14:textId="77777777" w:rsidR="00C3347F" w:rsidRPr="009E06AA" w:rsidRDefault="00C3347F" w:rsidP="00C3347F">
      <w:pPr>
        <w:pStyle w:val="BodyText"/>
      </w:pPr>
      <w:r w:rsidRPr="009E06AA">
        <w:t>‘NE’ is also used when an activity occurs but the 2006 IPCC Guidelines</w:t>
      </w:r>
      <w:r w:rsidRPr="009E06AA">
        <w:rPr>
          <w:i/>
        </w:rPr>
        <w:t xml:space="preserve"> </w:t>
      </w:r>
      <w:r w:rsidRPr="009E06AA">
        <w:t>(IPCC, 2006a) do not provide methodologies to estimate emissions and removals. If this is the case, the category is considered to be non-mandatory, providing the emissions from the category have not been reported previously.</w:t>
      </w:r>
    </w:p>
    <w:p w14:paraId="3C2F219B" w14:textId="77777777" w:rsidR="00C3347F" w:rsidRPr="009E06AA" w:rsidRDefault="00C3347F" w:rsidP="00C3347F">
      <w:pPr>
        <w:pStyle w:val="BodyText"/>
      </w:pPr>
      <w:r w:rsidRPr="009E06AA">
        <w:t>New Zealand’s total (i.e., gross) emissions were 78,395.4 kt CO</w:t>
      </w:r>
      <w:r w:rsidRPr="009E06AA">
        <w:rPr>
          <w:vertAlign w:val="subscript"/>
        </w:rPr>
        <w:t>2</w:t>
      </w:r>
      <w:r w:rsidRPr="009E06AA">
        <w:t>-e in 2022. The threshold of 0.1 per cent for New Zealand’s 2024 submission is 78.4 kt CO</w:t>
      </w:r>
      <w:r w:rsidRPr="009E06AA">
        <w:rPr>
          <w:vertAlign w:val="subscript"/>
        </w:rPr>
        <w:t>2</w:t>
      </w:r>
      <w:r w:rsidRPr="009E06AA">
        <w:t>-e and the threshold of 0.05 per cent is 39.2 kt CO</w:t>
      </w:r>
      <w:r w:rsidRPr="009E06AA">
        <w:rPr>
          <w:vertAlign w:val="subscript"/>
        </w:rPr>
        <w:t>2</w:t>
      </w:r>
      <w:r w:rsidRPr="009E06AA">
        <w:t>-e. Both values are below 500 kt CO</w:t>
      </w:r>
      <w:r w:rsidRPr="009E06AA">
        <w:rPr>
          <w:vertAlign w:val="subscript"/>
        </w:rPr>
        <w:t>2</w:t>
      </w:r>
      <w:r w:rsidRPr="009E06AA">
        <w:t xml:space="preserve">-e. </w:t>
      </w:r>
    </w:p>
    <w:p w14:paraId="7729089A" w14:textId="77777777" w:rsidR="00C3347F" w:rsidRPr="009E06AA" w:rsidRDefault="00C3347F" w:rsidP="00C3347F">
      <w:pPr>
        <w:pStyle w:val="BodyText"/>
      </w:pPr>
      <w:r w:rsidRPr="009E06AA">
        <w:t>The inventory is largely complete with a few minor sources not estimated due to either a lack of available information, emissions are insignificant or methodologies to estimate emissions are not provided in the IPCC 2006 Guidelines.</w:t>
      </w:r>
    </w:p>
    <w:p w14:paraId="7C3BFF37" w14:textId="77777777" w:rsidR="00C3347F" w:rsidRPr="009E06AA" w:rsidRDefault="00C3347F" w:rsidP="00C3347F">
      <w:pPr>
        <w:pStyle w:val="BodyText"/>
      </w:pPr>
      <w:r w:rsidRPr="009E06AA">
        <w:t>Table 1.7.1 summarises New Zealand’s direct GHG emissions reported as ‘NE’ in the 2024 submission.</w:t>
      </w:r>
    </w:p>
    <w:p w14:paraId="24BAEA2D" w14:textId="77777777" w:rsidR="00C3347F" w:rsidRPr="009E06AA" w:rsidRDefault="00C3347F" w:rsidP="00C3347F">
      <w:pPr>
        <w:pStyle w:val="Table"/>
      </w:pPr>
      <w:bookmarkStart w:id="144" w:name="_Toc481751676"/>
      <w:bookmarkStart w:id="145" w:name="_Toc511116905"/>
      <w:bookmarkStart w:id="146" w:name="_Toc5271528"/>
      <w:bookmarkStart w:id="147" w:name="_Toc36315464"/>
      <w:bookmarkStart w:id="148" w:name="_Toc130904402"/>
      <w:bookmarkStart w:id="149" w:name="_Toc162261042"/>
      <w:bookmarkStart w:id="150" w:name="_Toc162261098"/>
      <w:bookmarkStart w:id="151" w:name="_Toc164153796"/>
      <w:r w:rsidRPr="009E06AA">
        <w:t xml:space="preserve">Table 1.7.1 </w:t>
      </w:r>
      <w:r w:rsidRPr="009E06AA">
        <w:tab/>
        <w:t xml:space="preserve">Summary of ‘NE’ (not estimated) entries in </w:t>
      </w:r>
      <w:bookmarkEnd w:id="144"/>
      <w:bookmarkEnd w:id="145"/>
      <w:bookmarkEnd w:id="146"/>
      <w:r w:rsidRPr="009E06AA">
        <w:t>2024 submission</w:t>
      </w:r>
      <w:bookmarkEnd w:id="147"/>
      <w:bookmarkEnd w:id="148"/>
      <w:bookmarkEnd w:id="149"/>
      <w:bookmarkEnd w:id="150"/>
      <w:bookmarkEnd w:id="151"/>
    </w:p>
    <w:tbl>
      <w:tblPr>
        <w:tblW w:w="8505" w:type="dxa"/>
        <w:tblBorders>
          <w:top w:val="single" w:sz="4" w:space="0" w:color="0E2A36" w:themeColor="accent1" w:themeShade="80"/>
          <w:bottom w:val="single" w:sz="4" w:space="0" w:color="0E2A36" w:themeColor="accent1" w:themeShade="80"/>
          <w:insideH w:val="single" w:sz="4" w:space="0" w:color="0E2A36" w:themeColor="accent1" w:themeShade="80"/>
        </w:tblBorders>
        <w:tblLayout w:type="fixed"/>
        <w:tblCellMar>
          <w:left w:w="85" w:type="dxa"/>
          <w:right w:w="57" w:type="dxa"/>
        </w:tblCellMar>
        <w:tblLook w:val="04A0" w:firstRow="1" w:lastRow="0" w:firstColumn="1" w:lastColumn="0" w:noHBand="0" w:noVBand="1"/>
      </w:tblPr>
      <w:tblGrid>
        <w:gridCol w:w="1134"/>
        <w:gridCol w:w="1843"/>
        <w:gridCol w:w="992"/>
        <w:gridCol w:w="4536"/>
      </w:tblGrid>
      <w:tr w:rsidR="00C3347F" w:rsidRPr="009E06AA" w14:paraId="0F3F25A9" w14:textId="77777777" w:rsidTr="00B55F24">
        <w:trPr>
          <w:tblHeader/>
        </w:trPr>
        <w:tc>
          <w:tcPr>
            <w:tcW w:w="1134" w:type="dxa"/>
            <w:tcBorders>
              <w:top w:val="single" w:sz="4" w:space="0" w:color="365F91"/>
              <w:left w:val="nil"/>
              <w:bottom w:val="single" w:sz="4" w:space="0" w:color="365F91"/>
              <w:right w:val="single" w:sz="4" w:space="0" w:color="1B556B"/>
            </w:tcBorders>
            <w:shd w:val="clear" w:color="auto" w:fill="1B556B"/>
            <w:vAlign w:val="bottom"/>
            <w:hideMark/>
          </w:tcPr>
          <w:p w14:paraId="31B68A4E" w14:textId="77777777" w:rsidR="00C3347F" w:rsidRPr="009E06AA" w:rsidRDefault="00C3347F" w:rsidP="00B55F24">
            <w:pPr>
              <w:pStyle w:val="TableTextBold"/>
              <w:keepNext/>
              <w:spacing w:before="50" w:after="50"/>
              <w:rPr>
                <w:bCs/>
                <w:noProof w:val="0"/>
                <w:color w:val="FFFFFF"/>
                <w:szCs w:val="16"/>
              </w:rPr>
            </w:pPr>
            <w:r w:rsidRPr="009E06AA">
              <w:rPr>
                <w:bCs/>
                <w:noProof w:val="0"/>
                <w:color w:val="FFFFFF"/>
                <w:szCs w:val="16"/>
              </w:rPr>
              <w:t>CRT category code</w:t>
            </w:r>
          </w:p>
        </w:tc>
        <w:tc>
          <w:tcPr>
            <w:tcW w:w="1843" w:type="dxa"/>
            <w:tcBorders>
              <w:top w:val="single" w:sz="4" w:space="0" w:color="365F91"/>
              <w:left w:val="single" w:sz="4" w:space="0" w:color="1B556B"/>
              <w:bottom w:val="single" w:sz="4" w:space="0" w:color="365F91"/>
              <w:right w:val="single" w:sz="4" w:space="0" w:color="1B556B"/>
            </w:tcBorders>
            <w:shd w:val="clear" w:color="auto" w:fill="1B556B"/>
            <w:vAlign w:val="bottom"/>
            <w:hideMark/>
          </w:tcPr>
          <w:p w14:paraId="42E49087" w14:textId="77777777" w:rsidR="00C3347F" w:rsidRPr="009E06AA" w:rsidRDefault="00C3347F" w:rsidP="00B55F24">
            <w:pPr>
              <w:pStyle w:val="TableTextBold"/>
              <w:keepNext/>
              <w:spacing w:before="50" w:after="50"/>
              <w:rPr>
                <w:bCs/>
                <w:noProof w:val="0"/>
                <w:color w:val="FFFFFF"/>
                <w:szCs w:val="16"/>
              </w:rPr>
            </w:pPr>
            <w:r w:rsidRPr="009E06AA">
              <w:rPr>
                <w:bCs/>
                <w:noProof w:val="0"/>
                <w:color w:val="FFFFFF"/>
                <w:szCs w:val="16"/>
              </w:rPr>
              <w:t>Category</w:t>
            </w:r>
          </w:p>
        </w:tc>
        <w:tc>
          <w:tcPr>
            <w:tcW w:w="992" w:type="dxa"/>
            <w:tcBorders>
              <w:top w:val="single" w:sz="4" w:space="0" w:color="365F91"/>
              <w:left w:val="single" w:sz="4" w:space="0" w:color="1B556B"/>
              <w:bottom w:val="single" w:sz="4" w:space="0" w:color="365F91"/>
              <w:right w:val="single" w:sz="4" w:space="0" w:color="1B556B"/>
            </w:tcBorders>
            <w:shd w:val="clear" w:color="auto" w:fill="1B556B"/>
            <w:vAlign w:val="bottom"/>
            <w:hideMark/>
          </w:tcPr>
          <w:p w14:paraId="55895BBD" w14:textId="77777777" w:rsidR="00C3347F" w:rsidRPr="009E06AA" w:rsidRDefault="00C3347F" w:rsidP="00B55F24">
            <w:pPr>
              <w:pStyle w:val="TableTextBold"/>
              <w:keepNext/>
              <w:spacing w:before="50" w:after="50"/>
              <w:rPr>
                <w:bCs/>
                <w:noProof w:val="0"/>
                <w:color w:val="FFFFFF"/>
                <w:szCs w:val="16"/>
              </w:rPr>
            </w:pPr>
            <w:r w:rsidRPr="009E06AA">
              <w:rPr>
                <w:bCs/>
                <w:noProof w:val="0"/>
                <w:color w:val="FFFFFF"/>
                <w:szCs w:val="16"/>
              </w:rPr>
              <w:t>Gas</w:t>
            </w:r>
          </w:p>
        </w:tc>
        <w:tc>
          <w:tcPr>
            <w:tcW w:w="4536" w:type="dxa"/>
            <w:tcBorders>
              <w:top w:val="single" w:sz="4" w:space="0" w:color="365F91"/>
              <w:left w:val="single" w:sz="4" w:space="0" w:color="1B556B"/>
              <w:bottom w:val="single" w:sz="4" w:space="0" w:color="365F91"/>
              <w:right w:val="nil"/>
            </w:tcBorders>
            <w:shd w:val="clear" w:color="auto" w:fill="1B556B"/>
            <w:vAlign w:val="bottom"/>
            <w:hideMark/>
          </w:tcPr>
          <w:p w14:paraId="1191538E" w14:textId="77777777" w:rsidR="00C3347F" w:rsidRPr="009E06AA" w:rsidRDefault="00C3347F" w:rsidP="00B55F24">
            <w:pPr>
              <w:pStyle w:val="TableTextBold"/>
              <w:keepNext/>
              <w:spacing w:before="50" w:after="50"/>
              <w:rPr>
                <w:bCs/>
                <w:noProof w:val="0"/>
                <w:color w:val="FFFFFF"/>
                <w:szCs w:val="16"/>
              </w:rPr>
            </w:pPr>
            <w:r w:rsidRPr="009E06AA">
              <w:rPr>
                <w:bCs/>
                <w:noProof w:val="0"/>
                <w:color w:val="FFFFFF"/>
                <w:szCs w:val="16"/>
              </w:rPr>
              <w:t>Explanation</w:t>
            </w:r>
          </w:p>
        </w:tc>
      </w:tr>
      <w:tr w:rsidR="00C3347F" w:rsidRPr="009E06AA" w14:paraId="51AFF630" w14:textId="77777777" w:rsidTr="00B55F24">
        <w:tc>
          <w:tcPr>
            <w:tcW w:w="8505" w:type="dxa"/>
            <w:gridSpan w:val="4"/>
            <w:tcBorders>
              <w:top w:val="single" w:sz="4" w:space="0" w:color="365F91"/>
              <w:left w:val="nil"/>
              <w:bottom w:val="single" w:sz="4" w:space="0" w:color="0E2A36" w:themeColor="accent1" w:themeShade="80"/>
              <w:right w:val="nil"/>
            </w:tcBorders>
            <w:shd w:val="clear" w:color="auto" w:fill="FFFFFF" w:themeFill="background1"/>
            <w:hideMark/>
          </w:tcPr>
          <w:p w14:paraId="04948B48" w14:textId="77777777" w:rsidR="00C3347F" w:rsidRPr="009E06AA" w:rsidRDefault="00C3347F" w:rsidP="00B55F24">
            <w:pPr>
              <w:pStyle w:val="TableText"/>
              <w:spacing w:before="50" w:after="50"/>
              <w:rPr>
                <w:bCs/>
                <w:color w:val="1B556B" w:themeColor="text2"/>
                <w:szCs w:val="16"/>
              </w:rPr>
            </w:pPr>
            <w:r w:rsidRPr="009E06AA">
              <w:rPr>
                <w:bCs/>
                <w:color w:val="1B556B" w:themeColor="text2"/>
                <w:szCs w:val="16"/>
              </w:rPr>
              <w:t>Energy</w:t>
            </w:r>
          </w:p>
        </w:tc>
      </w:tr>
      <w:tr w:rsidR="00C3347F" w:rsidRPr="009E06AA" w14:paraId="40916C08" w14:textId="77777777" w:rsidTr="00B55F24">
        <w:tc>
          <w:tcPr>
            <w:tcW w:w="1134" w:type="dxa"/>
            <w:tcBorders>
              <w:top w:val="single" w:sz="4" w:space="0" w:color="1B556B"/>
              <w:left w:val="nil"/>
              <w:bottom w:val="single" w:sz="4" w:space="0" w:color="1B556B"/>
              <w:right w:val="nil"/>
            </w:tcBorders>
            <w:shd w:val="clear" w:color="auto" w:fill="FFFFFF" w:themeFill="background1"/>
            <w:hideMark/>
          </w:tcPr>
          <w:p w14:paraId="66846FA5" w14:textId="77777777" w:rsidR="00C3347F" w:rsidRPr="009E06AA" w:rsidRDefault="00C3347F" w:rsidP="00B55F24">
            <w:pPr>
              <w:pStyle w:val="TableText"/>
              <w:spacing w:before="50" w:after="50"/>
              <w:rPr>
                <w:bCs/>
                <w:color w:val="000000"/>
                <w:szCs w:val="16"/>
              </w:rPr>
            </w:pPr>
            <w:r w:rsidRPr="009E06AA">
              <w:rPr>
                <w:bCs/>
                <w:color w:val="000000"/>
                <w:szCs w:val="16"/>
              </w:rPr>
              <w:t>1.B.2.a.5</w:t>
            </w:r>
          </w:p>
        </w:tc>
        <w:tc>
          <w:tcPr>
            <w:tcW w:w="1843" w:type="dxa"/>
            <w:tcBorders>
              <w:top w:val="single" w:sz="4" w:space="0" w:color="1B556B"/>
              <w:left w:val="nil"/>
              <w:bottom w:val="single" w:sz="4" w:space="0" w:color="1B556B"/>
              <w:right w:val="nil"/>
            </w:tcBorders>
            <w:shd w:val="clear" w:color="auto" w:fill="FFFFFF" w:themeFill="background1"/>
            <w:hideMark/>
          </w:tcPr>
          <w:p w14:paraId="01BBEF7A" w14:textId="77777777" w:rsidR="00C3347F" w:rsidRPr="009E06AA" w:rsidRDefault="00C3347F" w:rsidP="00B55F24">
            <w:pPr>
              <w:pStyle w:val="TableText"/>
              <w:spacing w:before="50" w:after="50"/>
              <w:rPr>
                <w:color w:val="000000"/>
                <w:szCs w:val="16"/>
              </w:rPr>
            </w:pPr>
            <w:r w:rsidRPr="009E06AA">
              <w:rPr>
                <w:color w:val="000000"/>
                <w:szCs w:val="16"/>
              </w:rPr>
              <w:t>Distribution of oil products</w:t>
            </w:r>
          </w:p>
        </w:tc>
        <w:tc>
          <w:tcPr>
            <w:tcW w:w="992" w:type="dxa"/>
            <w:tcBorders>
              <w:top w:val="single" w:sz="4" w:space="0" w:color="1B556B"/>
              <w:left w:val="nil"/>
              <w:bottom w:val="single" w:sz="4" w:space="0" w:color="1B556B"/>
              <w:right w:val="nil"/>
            </w:tcBorders>
            <w:shd w:val="clear" w:color="auto" w:fill="FFFFFF" w:themeFill="background1"/>
            <w:hideMark/>
          </w:tcPr>
          <w:p w14:paraId="21DEC954" w14:textId="77777777" w:rsidR="00C3347F" w:rsidRPr="009E06AA" w:rsidRDefault="00C3347F" w:rsidP="00B55F24">
            <w:pPr>
              <w:pStyle w:val="TableText"/>
              <w:spacing w:before="50" w:after="50"/>
              <w:rPr>
                <w:color w:val="000000"/>
                <w:szCs w:val="16"/>
              </w:rPr>
            </w:pPr>
            <w:r w:rsidRPr="009E06AA">
              <w:rPr>
                <w:color w:val="000000"/>
                <w:szCs w:val="16"/>
              </w:rPr>
              <w:t>CO</w:t>
            </w:r>
            <w:r w:rsidRPr="009E06AA">
              <w:rPr>
                <w:color w:val="000000"/>
                <w:szCs w:val="16"/>
                <w:vertAlign w:val="subscript"/>
              </w:rPr>
              <w:t>2</w:t>
            </w:r>
            <w:r w:rsidRPr="009E06AA">
              <w:rPr>
                <w:color w:val="000000"/>
                <w:szCs w:val="16"/>
              </w:rPr>
              <w:t>,</w:t>
            </w:r>
            <w:r w:rsidRPr="009E06AA">
              <w:rPr>
                <w:color w:val="000000"/>
                <w:szCs w:val="16"/>
                <w:vertAlign w:val="subscript"/>
              </w:rPr>
              <w:t xml:space="preserve"> </w:t>
            </w:r>
            <w:r w:rsidRPr="009E06AA">
              <w:rPr>
                <w:color w:val="000000"/>
                <w:szCs w:val="16"/>
              </w:rPr>
              <w:t>CH</w:t>
            </w:r>
            <w:r w:rsidRPr="009E06AA">
              <w:rPr>
                <w:color w:val="000000"/>
                <w:szCs w:val="16"/>
                <w:vertAlign w:val="subscript"/>
              </w:rPr>
              <w:t>4</w:t>
            </w:r>
          </w:p>
        </w:tc>
        <w:tc>
          <w:tcPr>
            <w:tcW w:w="4536" w:type="dxa"/>
            <w:tcBorders>
              <w:top w:val="single" w:sz="4" w:space="0" w:color="1B556B"/>
              <w:left w:val="nil"/>
              <w:bottom w:val="single" w:sz="4" w:space="0" w:color="1B556B"/>
              <w:right w:val="nil"/>
            </w:tcBorders>
            <w:shd w:val="clear" w:color="auto" w:fill="FFFFFF" w:themeFill="background1"/>
            <w:hideMark/>
          </w:tcPr>
          <w:p w14:paraId="7ADE6339" w14:textId="451FF129" w:rsidR="00C3347F" w:rsidRPr="009E06AA" w:rsidRDefault="00C3347F" w:rsidP="00B55F24">
            <w:pPr>
              <w:pStyle w:val="TableText"/>
              <w:spacing w:before="50" w:after="50"/>
              <w:rPr>
                <w:szCs w:val="16"/>
              </w:rPr>
            </w:pPr>
            <w:r w:rsidRPr="009E06AA">
              <w:rPr>
                <w:szCs w:val="16"/>
              </w:rPr>
              <w:t>This category is not mandatory. The 2006 Intergovernmental Panel on Climate Change (IPCC) Guidelines do not provide the default IPCC emission factor for calculating Tier 1 estimates of methane (CH</w:t>
            </w:r>
            <w:r w:rsidRPr="009E06AA">
              <w:rPr>
                <w:szCs w:val="16"/>
                <w:vertAlign w:val="subscript"/>
              </w:rPr>
              <w:t>4</w:t>
            </w:r>
            <w:r w:rsidRPr="009E06AA">
              <w:rPr>
                <w:szCs w:val="16"/>
              </w:rPr>
              <w:t>) emissions from the distribution of refined oil products (IPCC, 2006c). New Zealand has not reported emission estimates from this category in previous submissions.</w:t>
            </w:r>
          </w:p>
        </w:tc>
      </w:tr>
      <w:tr w:rsidR="00C3347F" w:rsidRPr="009E06AA" w14:paraId="30B7C66D" w14:textId="77777777" w:rsidTr="00B55F24">
        <w:tc>
          <w:tcPr>
            <w:tcW w:w="1134" w:type="dxa"/>
            <w:tcBorders>
              <w:top w:val="single" w:sz="4" w:space="0" w:color="1B556B"/>
              <w:left w:val="nil"/>
              <w:bottom w:val="single" w:sz="4" w:space="0" w:color="0E2A36" w:themeColor="accent1" w:themeShade="80"/>
              <w:right w:val="nil"/>
            </w:tcBorders>
            <w:shd w:val="clear" w:color="auto" w:fill="FFFFFF" w:themeFill="background1"/>
            <w:hideMark/>
          </w:tcPr>
          <w:p w14:paraId="25EA3F28" w14:textId="77777777" w:rsidR="00C3347F" w:rsidRPr="009E06AA" w:rsidRDefault="00C3347F" w:rsidP="00B55F24">
            <w:pPr>
              <w:pStyle w:val="TableText"/>
              <w:spacing w:before="50" w:after="50"/>
              <w:rPr>
                <w:bCs/>
                <w:color w:val="000000"/>
                <w:szCs w:val="16"/>
              </w:rPr>
            </w:pPr>
            <w:r w:rsidRPr="009E06AA">
              <w:rPr>
                <w:bCs/>
                <w:color w:val="000000"/>
                <w:szCs w:val="16"/>
              </w:rPr>
              <w:t>1.B.2.b.3</w:t>
            </w:r>
          </w:p>
        </w:tc>
        <w:tc>
          <w:tcPr>
            <w:tcW w:w="1843" w:type="dxa"/>
            <w:tcBorders>
              <w:top w:val="single" w:sz="4" w:space="0" w:color="1B556B"/>
              <w:left w:val="nil"/>
              <w:bottom w:val="single" w:sz="4" w:space="0" w:color="0E2A36" w:themeColor="accent1" w:themeShade="80"/>
              <w:right w:val="nil"/>
            </w:tcBorders>
            <w:shd w:val="clear" w:color="auto" w:fill="FFFFFF" w:themeFill="background1"/>
            <w:hideMark/>
          </w:tcPr>
          <w:p w14:paraId="2685A99D" w14:textId="77777777" w:rsidR="00C3347F" w:rsidRPr="009E06AA" w:rsidRDefault="00C3347F" w:rsidP="00B55F24">
            <w:pPr>
              <w:pStyle w:val="TableText"/>
              <w:spacing w:before="50" w:after="50"/>
              <w:rPr>
                <w:color w:val="000000"/>
                <w:szCs w:val="16"/>
              </w:rPr>
            </w:pPr>
            <w:r w:rsidRPr="009E06AA">
              <w:rPr>
                <w:color w:val="000000"/>
                <w:szCs w:val="16"/>
              </w:rPr>
              <w:t>Processing</w:t>
            </w:r>
          </w:p>
        </w:tc>
        <w:tc>
          <w:tcPr>
            <w:tcW w:w="992" w:type="dxa"/>
            <w:tcBorders>
              <w:top w:val="single" w:sz="4" w:space="0" w:color="1B556B"/>
              <w:left w:val="nil"/>
              <w:bottom w:val="single" w:sz="4" w:space="0" w:color="0E2A36" w:themeColor="accent1" w:themeShade="80"/>
              <w:right w:val="nil"/>
            </w:tcBorders>
            <w:shd w:val="clear" w:color="auto" w:fill="FFFFFF" w:themeFill="background1"/>
            <w:hideMark/>
          </w:tcPr>
          <w:p w14:paraId="70C8BBD5" w14:textId="77777777" w:rsidR="00C3347F" w:rsidRPr="009E06AA" w:rsidRDefault="00C3347F" w:rsidP="00B55F24">
            <w:pPr>
              <w:pStyle w:val="TableText"/>
              <w:spacing w:before="50" w:after="50"/>
              <w:rPr>
                <w:color w:val="000000"/>
                <w:szCs w:val="16"/>
              </w:rPr>
            </w:pPr>
            <w:r w:rsidRPr="009E06AA">
              <w:rPr>
                <w:color w:val="000000"/>
                <w:szCs w:val="16"/>
              </w:rPr>
              <w:t>CO</w:t>
            </w:r>
            <w:r w:rsidRPr="009E06AA">
              <w:rPr>
                <w:color w:val="000000"/>
                <w:szCs w:val="16"/>
                <w:vertAlign w:val="subscript"/>
              </w:rPr>
              <w:t>2</w:t>
            </w:r>
            <w:r w:rsidRPr="009E06AA">
              <w:rPr>
                <w:color w:val="000000"/>
                <w:szCs w:val="16"/>
              </w:rPr>
              <w:t>,</w:t>
            </w:r>
            <w:r w:rsidRPr="009E06AA">
              <w:rPr>
                <w:color w:val="000000"/>
                <w:szCs w:val="16"/>
                <w:vertAlign w:val="subscript"/>
              </w:rPr>
              <w:t xml:space="preserve"> </w:t>
            </w:r>
            <w:r w:rsidRPr="009E06AA">
              <w:rPr>
                <w:color w:val="000000"/>
                <w:szCs w:val="16"/>
              </w:rPr>
              <w:t>CH</w:t>
            </w:r>
            <w:r w:rsidRPr="009E06AA">
              <w:rPr>
                <w:color w:val="000000"/>
                <w:szCs w:val="16"/>
                <w:vertAlign w:val="subscript"/>
              </w:rPr>
              <w:t>4</w:t>
            </w:r>
          </w:p>
        </w:tc>
        <w:tc>
          <w:tcPr>
            <w:tcW w:w="4536" w:type="dxa"/>
            <w:tcBorders>
              <w:top w:val="single" w:sz="4" w:space="0" w:color="1B556B"/>
              <w:left w:val="nil"/>
              <w:bottom w:val="single" w:sz="4" w:space="0" w:color="0E2A36" w:themeColor="accent1" w:themeShade="80"/>
              <w:right w:val="nil"/>
            </w:tcBorders>
            <w:shd w:val="clear" w:color="auto" w:fill="FFFFFF" w:themeFill="background1"/>
            <w:hideMark/>
          </w:tcPr>
          <w:p w14:paraId="5FDAC560" w14:textId="77777777" w:rsidR="00C3347F" w:rsidRPr="009E06AA" w:rsidRDefault="00C3347F" w:rsidP="00B55F24">
            <w:pPr>
              <w:pStyle w:val="TableText"/>
              <w:rPr>
                <w:szCs w:val="16"/>
              </w:rPr>
            </w:pPr>
            <w:r w:rsidRPr="009E06AA">
              <w:rPr>
                <w:szCs w:val="16"/>
              </w:rPr>
              <w:t>In accordance with chapter II of the Annex to the decision 18/CMA.1 (UNFCCC, 2018b), this category is not mandatory. Fugitive emissions of carbon dioxide (CO</w:t>
            </w:r>
            <w:r w:rsidRPr="009E06AA">
              <w:rPr>
                <w:szCs w:val="16"/>
                <w:vertAlign w:val="subscript"/>
              </w:rPr>
              <w:t>2</w:t>
            </w:r>
            <w:r w:rsidRPr="009E06AA">
              <w:rPr>
                <w:szCs w:val="16"/>
              </w:rPr>
              <w:t>) and CH</w:t>
            </w:r>
            <w:r w:rsidRPr="009E06AA">
              <w:rPr>
                <w:szCs w:val="16"/>
                <w:vertAlign w:val="subscript"/>
              </w:rPr>
              <w:t>4</w:t>
            </w:r>
            <w:r w:rsidRPr="009E06AA">
              <w:rPr>
                <w:szCs w:val="16"/>
              </w:rPr>
              <w:t xml:space="preserve"> have not been formally estimated, although a rough estimate of the likely level of emissions indicates that they are insignificant. </w:t>
            </w:r>
          </w:p>
          <w:p w14:paraId="66D2DC66" w14:textId="75739732" w:rsidR="00C3347F" w:rsidRPr="009E06AA" w:rsidRDefault="00C3347F" w:rsidP="00B55F24">
            <w:pPr>
              <w:pStyle w:val="TableText"/>
              <w:spacing w:before="50" w:after="50"/>
              <w:rPr>
                <w:szCs w:val="16"/>
              </w:rPr>
            </w:pPr>
            <w:r w:rsidRPr="009E06AA">
              <w:rPr>
                <w:szCs w:val="16"/>
              </w:rPr>
              <w:t>While emissions from the Kapuni Gas Treatment Plant may include traces of CH</w:t>
            </w:r>
            <w:r w:rsidRPr="009E06AA">
              <w:rPr>
                <w:szCs w:val="16"/>
                <w:vertAlign w:val="subscript"/>
              </w:rPr>
              <w:t>4</w:t>
            </w:r>
            <w:r w:rsidRPr="009E06AA">
              <w:rPr>
                <w:szCs w:val="16"/>
              </w:rPr>
              <w:t xml:space="preserve">, the level of these emissions has been determined to be insignificant in comparison with national emissions. A conservative estimate (using default emission factors from the 2006 IPCC Guidelines) gives nearly </w:t>
            </w:r>
            <w:r w:rsidRPr="009E06AA" w:rsidDel="00172287">
              <w:rPr>
                <w:szCs w:val="16"/>
              </w:rPr>
              <w:t>1.</w:t>
            </w:r>
            <w:r w:rsidRPr="009E06AA">
              <w:rPr>
                <w:szCs w:val="16"/>
              </w:rPr>
              <w:t>7 kilotonnes carbon dioxide equivalent (kt CO</w:t>
            </w:r>
            <w:r w:rsidRPr="009E06AA">
              <w:rPr>
                <w:szCs w:val="16"/>
                <w:vertAlign w:val="subscript"/>
              </w:rPr>
              <w:t>2</w:t>
            </w:r>
            <w:r w:rsidRPr="009E06AA">
              <w:rPr>
                <w:szCs w:val="16"/>
              </w:rPr>
              <w:noBreakHyphen/>
              <w:t>e) per year (IPCC, 2006c).</w:t>
            </w:r>
          </w:p>
          <w:p w14:paraId="425E1DCE" w14:textId="77777777" w:rsidR="00C3347F" w:rsidRPr="009E06AA" w:rsidRDefault="00C3347F" w:rsidP="00B55F24">
            <w:pPr>
              <w:pStyle w:val="TableText"/>
              <w:jc w:val="both"/>
              <w:rPr>
                <w:spacing w:val="-2"/>
                <w:szCs w:val="16"/>
              </w:rPr>
            </w:pPr>
            <w:r w:rsidRPr="009E06AA">
              <w:rPr>
                <w:spacing w:val="-2"/>
                <w:szCs w:val="16"/>
              </w:rPr>
              <w:t>CH</w:t>
            </w:r>
            <w:r w:rsidRPr="009E06AA">
              <w:rPr>
                <w:spacing w:val="-2"/>
                <w:szCs w:val="16"/>
                <w:vertAlign w:val="subscript"/>
              </w:rPr>
              <w:t>4</w:t>
            </w:r>
            <w:r w:rsidRPr="009E06AA">
              <w:rPr>
                <w:spacing w:val="-2"/>
                <w:szCs w:val="16"/>
              </w:rPr>
              <w:t>: 625 Mm</w:t>
            </w:r>
            <w:r w:rsidRPr="009E06AA">
              <w:rPr>
                <w:spacing w:val="-2"/>
                <w:szCs w:val="16"/>
                <w:vertAlign w:val="superscript"/>
              </w:rPr>
              <w:t>3</w:t>
            </w:r>
            <w:r w:rsidRPr="009E06AA">
              <w:rPr>
                <w:spacing w:val="-2"/>
                <w:szCs w:val="16"/>
              </w:rPr>
              <w:t xml:space="preserve"> (Kapuni field production) * 9.7e-5 * 28 = </w:t>
            </w:r>
            <w:r w:rsidRPr="009E06AA" w:rsidDel="00066638">
              <w:rPr>
                <w:spacing w:val="-2"/>
                <w:szCs w:val="16"/>
              </w:rPr>
              <w:t>1.</w:t>
            </w:r>
            <w:r w:rsidRPr="009E06AA">
              <w:rPr>
                <w:spacing w:val="-2"/>
                <w:szCs w:val="16"/>
              </w:rPr>
              <w:t>7 kt CO</w:t>
            </w:r>
            <w:r w:rsidRPr="009E06AA">
              <w:rPr>
                <w:spacing w:val="-2"/>
                <w:szCs w:val="16"/>
                <w:vertAlign w:val="subscript"/>
              </w:rPr>
              <w:t>2</w:t>
            </w:r>
            <w:r w:rsidRPr="009E06AA">
              <w:rPr>
                <w:spacing w:val="-2"/>
                <w:szCs w:val="16"/>
              </w:rPr>
              <w:t>-e.</w:t>
            </w:r>
          </w:p>
          <w:p w14:paraId="2FAA3F21" w14:textId="77777777" w:rsidR="00C3347F" w:rsidRPr="009E06AA" w:rsidRDefault="00C3347F" w:rsidP="00B55F24">
            <w:pPr>
              <w:pStyle w:val="TableText"/>
              <w:spacing w:before="50" w:after="50"/>
              <w:rPr>
                <w:szCs w:val="16"/>
              </w:rPr>
            </w:pPr>
            <w:r w:rsidRPr="009E06AA">
              <w:rPr>
                <w:szCs w:val="16"/>
              </w:rPr>
              <w:t>The conservative estimated value is below 0.05 per cent of New Zealand’s total emissions. This would keep the national total aggregate of estimated emissions for all gases and categories considered insignificant below 0.1 per cent of the national total greenhouse gas emissions.</w:t>
            </w:r>
          </w:p>
          <w:p w14:paraId="31449FEB" w14:textId="77777777" w:rsidR="00C3347F" w:rsidRPr="009E06AA" w:rsidRDefault="00C3347F" w:rsidP="00B55F24">
            <w:pPr>
              <w:pStyle w:val="TableText"/>
              <w:spacing w:before="50" w:after="50"/>
              <w:rPr>
                <w:szCs w:val="16"/>
              </w:rPr>
            </w:pPr>
            <w:r w:rsidRPr="009E06AA">
              <w:rPr>
                <w:szCs w:val="16"/>
              </w:rPr>
              <w:t>Carbon dioxide from gas processing is mostly associated with direct venting through a stack and, therefore, is reported under 1.B.2.c.1, as recommended in the 2017 assessment review report (UNFCCC, 2017). However, there is a possibility of the presence of trace amounts of CO</w:t>
            </w:r>
            <w:r w:rsidRPr="009E06AA">
              <w:rPr>
                <w:szCs w:val="16"/>
                <w:vertAlign w:val="subscript"/>
              </w:rPr>
              <w:t>2</w:t>
            </w:r>
            <w:r w:rsidRPr="009E06AA">
              <w:rPr>
                <w:szCs w:val="16"/>
              </w:rPr>
              <w:t xml:space="preserve"> from processing due to leakage, which is estimated to be no higher than 0.1 per cent of vented CO</w:t>
            </w:r>
            <w:r w:rsidRPr="009E06AA">
              <w:rPr>
                <w:szCs w:val="16"/>
                <w:vertAlign w:val="subscript"/>
              </w:rPr>
              <w:t>2</w:t>
            </w:r>
            <w:r w:rsidRPr="009E06AA">
              <w:rPr>
                <w:szCs w:val="16"/>
              </w:rPr>
              <w:t>. A conservative estimate of 0.1 per cent of vented CO</w:t>
            </w:r>
            <w:r w:rsidRPr="009E06AA">
              <w:rPr>
                <w:szCs w:val="16"/>
                <w:vertAlign w:val="subscript"/>
              </w:rPr>
              <w:t>2</w:t>
            </w:r>
            <w:r w:rsidRPr="009E06AA">
              <w:rPr>
                <w:szCs w:val="16"/>
              </w:rPr>
              <w:t xml:space="preserve"> from all categories is 0.26 kt, which is below 0.05 per cent of New Zealand’s total emissions and thus can be considered insignificant.</w:t>
            </w:r>
          </w:p>
        </w:tc>
      </w:tr>
      <w:tr w:rsidR="00C3347F" w:rsidRPr="009E06AA" w14:paraId="4F835FE0" w14:textId="77777777" w:rsidTr="00B55F24">
        <w:tc>
          <w:tcPr>
            <w:tcW w:w="1134" w:type="dxa"/>
            <w:tcBorders>
              <w:top w:val="single" w:sz="4" w:space="0" w:color="1B556B"/>
              <w:left w:val="nil"/>
              <w:bottom w:val="single" w:sz="4" w:space="0" w:color="0E2A36" w:themeColor="accent1" w:themeShade="80"/>
              <w:right w:val="nil"/>
            </w:tcBorders>
            <w:shd w:val="clear" w:color="auto" w:fill="FFFFFF" w:themeFill="background1"/>
            <w:hideMark/>
          </w:tcPr>
          <w:p w14:paraId="15440517" w14:textId="77777777" w:rsidR="00C3347F" w:rsidRPr="009E06AA" w:rsidRDefault="00C3347F" w:rsidP="00B55F24">
            <w:pPr>
              <w:pStyle w:val="TableText"/>
              <w:keepNext/>
              <w:rPr>
                <w:color w:val="000000" w:themeColor="text1"/>
                <w:szCs w:val="16"/>
              </w:rPr>
            </w:pPr>
            <w:r w:rsidRPr="009E06AA">
              <w:rPr>
                <w:color w:val="000000" w:themeColor="text1"/>
                <w:szCs w:val="16"/>
              </w:rPr>
              <w:t>1.B.2.c.ii</w:t>
            </w:r>
          </w:p>
        </w:tc>
        <w:tc>
          <w:tcPr>
            <w:tcW w:w="1843" w:type="dxa"/>
            <w:tcBorders>
              <w:top w:val="single" w:sz="4" w:space="0" w:color="1B556B"/>
              <w:left w:val="nil"/>
              <w:bottom w:val="single" w:sz="4" w:space="0" w:color="0E2A36" w:themeColor="accent1" w:themeShade="80"/>
              <w:right w:val="nil"/>
            </w:tcBorders>
            <w:shd w:val="clear" w:color="auto" w:fill="FFFFFF" w:themeFill="background1"/>
            <w:hideMark/>
          </w:tcPr>
          <w:p w14:paraId="6D83ED63" w14:textId="77777777" w:rsidR="00C3347F" w:rsidRPr="009E06AA" w:rsidRDefault="00C3347F" w:rsidP="00B55F24">
            <w:pPr>
              <w:pStyle w:val="TableText"/>
              <w:rPr>
                <w:color w:val="000000" w:themeColor="text1"/>
                <w:szCs w:val="16"/>
              </w:rPr>
            </w:pPr>
            <w:r w:rsidRPr="009E06AA">
              <w:rPr>
                <w:color w:val="000000" w:themeColor="text1"/>
                <w:szCs w:val="16"/>
              </w:rPr>
              <w:t>Venting – Gas</w:t>
            </w:r>
          </w:p>
        </w:tc>
        <w:tc>
          <w:tcPr>
            <w:tcW w:w="992" w:type="dxa"/>
            <w:tcBorders>
              <w:top w:val="single" w:sz="4" w:space="0" w:color="1B556B"/>
              <w:left w:val="nil"/>
              <w:bottom w:val="single" w:sz="4" w:space="0" w:color="0E2A36" w:themeColor="accent1" w:themeShade="80"/>
              <w:right w:val="nil"/>
            </w:tcBorders>
            <w:shd w:val="clear" w:color="auto" w:fill="FFFFFF" w:themeFill="background1"/>
            <w:hideMark/>
          </w:tcPr>
          <w:p w14:paraId="7936EB58" w14:textId="77777777" w:rsidR="00C3347F" w:rsidRPr="009E06AA" w:rsidRDefault="00C3347F" w:rsidP="00B55F24">
            <w:pPr>
              <w:pStyle w:val="TableText"/>
              <w:rPr>
                <w:color w:val="000000" w:themeColor="text1"/>
                <w:szCs w:val="16"/>
              </w:rPr>
            </w:pPr>
            <w:r w:rsidRPr="009E06AA">
              <w:rPr>
                <w:color w:val="000000" w:themeColor="text1"/>
                <w:szCs w:val="16"/>
              </w:rPr>
              <w:t>CH</w:t>
            </w:r>
            <w:r w:rsidRPr="009E06AA">
              <w:rPr>
                <w:color w:val="000000" w:themeColor="text1"/>
                <w:szCs w:val="16"/>
                <w:vertAlign w:val="subscript"/>
              </w:rPr>
              <w:t>4</w:t>
            </w:r>
          </w:p>
        </w:tc>
        <w:tc>
          <w:tcPr>
            <w:tcW w:w="4536" w:type="dxa"/>
            <w:tcBorders>
              <w:top w:val="single" w:sz="4" w:space="0" w:color="1B556B"/>
              <w:left w:val="nil"/>
              <w:bottom w:val="single" w:sz="4" w:space="0" w:color="0E2A36" w:themeColor="accent1" w:themeShade="80"/>
              <w:right w:val="nil"/>
            </w:tcBorders>
            <w:shd w:val="clear" w:color="auto" w:fill="FFFFFF" w:themeFill="background1"/>
            <w:hideMark/>
          </w:tcPr>
          <w:p w14:paraId="4AEF7CE3" w14:textId="6E7C492E" w:rsidR="00C3347F" w:rsidRPr="009E06AA" w:rsidRDefault="00C3347F" w:rsidP="00B55F24">
            <w:pPr>
              <w:pStyle w:val="TableText"/>
              <w:spacing w:before="50" w:after="50"/>
              <w:rPr>
                <w:szCs w:val="16"/>
              </w:rPr>
            </w:pPr>
            <w:r w:rsidRPr="009E06AA">
              <w:rPr>
                <w:szCs w:val="16"/>
              </w:rPr>
              <w:t xml:space="preserve">In accordance with chapter II of the Annex to the decision 18/CMA.1 (UNFCCC, 2018b), this category is not mandatory. While direct venting of </w:t>
            </w:r>
            <w:r w:rsidRPr="009E06AA">
              <w:rPr>
                <w:color w:val="000000" w:themeColor="text1"/>
                <w:szCs w:val="16"/>
              </w:rPr>
              <w:t>CH</w:t>
            </w:r>
            <w:r w:rsidRPr="009E06AA">
              <w:rPr>
                <w:color w:val="000000" w:themeColor="text1"/>
                <w:szCs w:val="16"/>
                <w:vertAlign w:val="subscript"/>
              </w:rPr>
              <w:t>4</w:t>
            </w:r>
            <w:r w:rsidRPr="009E06AA">
              <w:rPr>
                <w:szCs w:val="16"/>
              </w:rPr>
              <w:t xml:space="preserve"> does not occur, the CO</w:t>
            </w:r>
            <w:r w:rsidRPr="009E06AA">
              <w:rPr>
                <w:szCs w:val="16"/>
                <w:vertAlign w:val="subscript"/>
              </w:rPr>
              <w:t>2</w:t>
            </w:r>
            <w:r w:rsidRPr="009E06AA">
              <w:rPr>
                <w:szCs w:val="16"/>
              </w:rPr>
              <w:t xml:space="preserve"> stream may include traces of CH</w:t>
            </w:r>
            <w:r w:rsidRPr="009E06AA">
              <w:rPr>
                <w:szCs w:val="16"/>
                <w:vertAlign w:val="subscript"/>
              </w:rPr>
              <w:t>4</w:t>
            </w:r>
            <w:r w:rsidRPr="009E06AA">
              <w:rPr>
                <w:szCs w:val="16"/>
              </w:rPr>
              <w:t xml:space="preserve">. The level of these emissions has been determined to be insignificant in comparison with national emissions. A conservative estimate (using default emission factors from the 2006 IPCC Guidelines) gives nearly </w:t>
            </w:r>
            <w:r w:rsidRPr="009E06AA" w:rsidDel="008D173D">
              <w:rPr>
                <w:szCs w:val="16"/>
              </w:rPr>
              <w:t>1.</w:t>
            </w:r>
            <w:r w:rsidRPr="009E06AA">
              <w:rPr>
                <w:szCs w:val="16"/>
              </w:rPr>
              <w:t>7 kt CO</w:t>
            </w:r>
            <w:r w:rsidRPr="009E06AA">
              <w:rPr>
                <w:szCs w:val="16"/>
                <w:vertAlign w:val="subscript"/>
              </w:rPr>
              <w:t>2</w:t>
            </w:r>
            <w:r w:rsidRPr="009E06AA">
              <w:rPr>
                <w:szCs w:val="16"/>
              </w:rPr>
              <w:t>e per year (IPCC, 2006c).</w:t>
            </w:r>
          </w:p>
          <w:p w14:paraId="6096FC49" w14:textId="77777777" w:rsidR="00C3347F" w:rsidRPr="009E06AA" w:rsidRDefault="00C3347F" w:rsidP="00B55F24">
            <w:pPr>
              <w:pStyle w:val="TableText"/>
              <w:jc w:val="both"/>
              <w:rPr>
                <w:spacing w:val="-2"/>
                <w:szCs w:val="16"/>
              </w:rPr>
            </w:pPr>
            <w:r w:rsidRPr="009E06AA">
              <w:rPr>
                <w:spacing w:val="-2"/>
                <w:szCs w:val="16"/>
              </w:rPr>
              <w:t>CH</w:t>
            </w:r>
            <w:r w:rsidRPr="009E06AA">
              <w:rPr>
                <w:spacing w:val="-2"/>
                <w:szCs w:val="16"/>
                <w:vertAlign w:val="subscript"/>
              </w:rPr>
              <w:t>4</w:t>
            </w:r>
            <w:r w:rsidRPr="009E06AA">
              <w:rPr>
                <w:spacing w:val="-2"/>
                <w:szCs w:val="16"/>
              </w:rPr>
              <w:t>: 625 Mm</w:t>
            </w:r>
            <w:r w:rsidRPr="009E06AA">
              <w:rPr>
                <w:spacing w:val="-2"/>
                <w:szCs w:val="16"/>
                <w:vertAlign w:val="superscript"/>
              </w:rPr>
              <w:t>3</w:t>
            </w:r>
            <w:r w:rsidRPr="009E06AA">
              <w:rPr>
                <w:spacing w:val="-2"/>
                <w:szCs w:val="16"/>
              </w:rPr>
              <w:t xml:space="preserve"> (Kapuni field production) * 9.7e-5 * 28 = </w:t>
            </w:r>
            <w:r w:rsidRPr="009E06AA" w:rsidDel="008D173D">
              <w:rPr>
                <w:spacing w:val="-2"/>
                <w:szCs w:val="16"/>
              </w:rPr>
              <w:t>1.</w:t>
            </w:r>
            <w:r w:rsidRPr="009E06AA">
              <w:rPr>
                <w:spacing w:val="-2"/>
                <w:szCs w:val="16"/>
              </w:rPr>
              <w:t>7 kt CO</w:t>
            </w:r>
            <w:r w:rsidRPr="009E06AA">
              <w:rPr>
                <w:spacing w:val="-2"/>
                <w:szCs w:val="16"/>
                <w:vertAlign w:val="subscript"/>
              </w:rPr>
              <w:t>2</w:t>
            </w:r>
            <w:r w:rsidRPr="009E06AA">
              <w:rPr>
                <w:spacing w:val="-2"/>
                <w:szCs w:val="16"/>
              </w:rPr>
              <w:t>-e.</w:t>
            </w:r>
          </w:p>
          <w:p w14:paraId="1B5964F9" w14:textId="77777777" w:rsidR="00C3347F" w:rsidRPr="009E06AA" w:rsidRDefault="00C3347F" w:rsidP="00B55F24">
            <w:pPr>
              <w:pStyle w:val="TableText"/>
              <w:rPr>
                <w:szCs w:val="16"/>
              </w:rPr>
            </w:pPr>
            <w:r w:rsidRPr="009E06AA">
              <w:rPr>
                <w:szCs w:val="16"/>
              </w:rPr>
              <w:t>The conservative estimated value is below 0.05 per cent of New Zealand’s total emissions. This would keep the national total aggregate of estimated emissions for all gases and categories considered insignificant below 0.1 per cent of New Zealand’s total emissions.</w:t>
            </w:r>
          </w:p>
        </w:tc>
      </w:tr>
      <w:tr w:rsidR="00C3347F" w:rsidRPr="009E06AA" w14:paraId="7EEC4ECD" w14:textId="77777777" w:rsidTr="00B55F24">
        <w:tc>
          <w:tcPr>
            <w:tcW w:w="2977" w:type="dxa"/>
            <w:gridSpan w:val="2"/>
            <w:tcBorders>
              <w:top w:val="single" w:sz="4" w:space="0" w:color="1B556B"/>
              <w:left w:val="nil"/>
              <w:bottom w:val="single" w:sz="4" w:space="0" w:color="0E2A36" w:themeColor="accent1" w:themeShade="80"/>
              <w:right w:val="nil"/>
            </w:tcBorders>
            <w:shd w:val="clear" w:color="auto" w:fill="FFFFFF" w:themeFill="background1"/>
          </w:tcPr>
          <w:p w14:paraId="7E01EFC9" w14:textId="77777777" w:rsidR="00C3347F" w:rsidRPr="009E06AA" w:rsidRDefault="00C3347F" w:rsidP="00B55F24">
            <w:pPr>
              <w:pStyle w:val="TableText"/>
              <w:rPr>
                <w:color w:val="000000" w:themeColor="text1"/>
                <w:szCs w:val="16"/>
              </w:rPr>
            </w:pPr>
            <w:r w:rsidRPr="009E06AA">
              <w:rPr>
                <w:bCs/>
                <w:color w:val="1B556B"/>
                <w:szCs w:val="16"/>
              </w:rPr>
              <w:t>Industrial Processes and Product Use</w:t>
            </w:r>
          </w:p>
        </w:tc>
        <w:tc>
          <w:tcPr>
            <w:tcW w:w="992" w:type="dxa"/>
            <w:tcBorders>
              <w:top w:val="single" w:sz="4" w:space="0" w:color="1B556B"/>
              <w:left w:val="nil"/>
              <w:bottom w:val="single" w:sz="4" w:space="0" w:color="0E2A36" w:themeColor="accent1" w:themeShade="80"/>
              <w:right w:val="nil"/>
            </w:tcBorders>
            <w:shd w:val="clear" w:color="auto" w:fill="FFFFFF" w:themeFill="background1"/>
          </w:tcPr>
          <w:p w14:paraId="2B58E2F0" w14:textId="77777777" w:rsidR="00C3347F" w:rsidRPr="009E06AA" w:rsidRDefault="00C3347F" w:rsidP="00B55F24">
            <w:pPr>
              <w:pStyle w:val="TableText"/>
              <w:rPr>
                <w:color w:val="000000" w:themeColor="text1"/>
                <w:szCs w:val="16"/>
              </w:rPr>
            </w:pPr>
          </w:p>
        </w:tc>
        <w:tc>
          <w:tcPr>
            <w:tcW w:w="4536" w:type="dxa"/>
            <w:tcBorders>
              <w:top w:val="single" w:sz="4" w:space="0" w:color="1B556B"/>
              <w:left w:val="nil"/>
              <w:bottom w:val="single" w:sz="4" w:space="0" w:color="0E2A36" w:themeColor="accent1" w:themeShade="80"/>
              <w:right w:val="nil"/>
            </w:tcBorders>
            <w:shd w:val="clear" w:color="auto" w:fill="FFFFFF" w:themeFill="background1"/>
          </w:tcPr>
          <w:p w14:paraId="0C06E0D7" w14:textId="77777777" w:rsidR="00C3347F" w:rsidRPr="009E06AA" w:rsidRDefault="00C3347F" w:rsidP="00B55F24">
            <w:pPr>
              <w:pStyle w:val="TableText"/>
              <w:spacing w:before="50" w:after="50"/>
              <w:rPr>
                <w:szCs w:val="16"/>
              </w:rPr>
            </w:pPr>
          </w:p>
        </w:tc>
      </w:tr>
      <w:tr w:rsidR="00C3347F" w:rsidRPr="009E06AA" w14:paraId="465EE720" w14:textId="77777777" w:rsidTr="00B55F24">
        <w:tc>
          <w:tcPr>
            <w:tcW w:w="1134" w:type="dxa"/>
            <w:tcBorders>
              <w:top w:val="single" w:sz="4" w:space="0" w:color="1B556B"/>
              <w:left w:val="nil"/>
              <w:bottom w:val="single" w:sz="4" w:space="0" w:color="0E2A36" w:themeColor="accent1" w:themeShade="80"/>
              <w:right w:val="nil"/>
            </w:tcBorders>
            <w:shd w:val="clear" w:color="auto" w:fill="FFFFFF" w:themeFill="background1"/>
          </w:tcPr>
          <w:p w14:paraId="4A97FF3D" w14:textId="77777777" w:rsidR="00C3347F" w:rsidRPr="009E06AA" w:rsidRDefault="00C3347F" w:rsidP="00B55F24">
            <w:pPr>
              <w:pStyle w:val="TableText"/>
              <w:rPr>
                <w:color w:val="000000" w:themeColor="text1"/>
                <w:szCs w:val="16"/>
              </w:rPr>
            </w:pPr>
            <w:r w:rsidRPr="009E06AA">
              <w:rPr>
                <w:color w:val="000000" w:themeColor="text1"/>
                <w:szCs w:val="16"/>
              </w:rPr>
              <w:t>2.G.2.e</w:t>
            </w:r>
          </w:p>
        </w:tc>
        <w:tc>
          <w:tcPr>
            <w:tcW w:w="1843" w:type="dxa"/>
            <w:tcBorders>
              <w:top w:val="single" w:sz="4" w:space="0" w:color="1B556B"/>
              <w:left w:val="nil"/>
              <w:bottom w:val="single" w:sz="4" w:space="0" w:color="0E2A36" w:themeColor="accent1" w:themeShade="80"/>
              <w:right w:val="nil"/>
            </w:tcBorders>
            <w:shd w:val="clear" w:color="auto" w:fill="FFFFFF" w:themeFill="background1"/>
          </w:tcPr>
          <w:p w14:paraId="4427AF3C" w14:textId="77777777" w:rsidR="00C3347F" w:rsidRPr="009E06AA" w:rsidRDefault="00C3347F" w:rsidP="00B55F24">
            <w:pPr>
              <w:pStyle w:val="TableText"/>
              <w:rPr>
                <w:color w:val="000000" w:themeColor="text1"/>
                <w:szCs w:val="16"/>
              </w:rPr>
            </w:pPr>
            <w:r w:rsidRPr="009E06AA">
              <w:rPr>
                <w:color w:val="000000" w:themeColor="text1"/>
                <w:szCs w:val="16"/>
              </w:rPr>
              <w:t>Medical and other product use</w:t>
            </w:r>
          </w:p>
        </w:tc>
        <w:tc>
          <w:tcPr>
            <w:tcW w:w="992" w:type="dxa"/>
            <w:tcBorders>
              <w:top w:val="single" w:sz="4" w:space="0" w:color="1B556B"/>
              <w:left w:val="nil"/>
              <w:bottom w:val="single" w:sz="4" w:space="0" w:color="0E2A36" w:themeColor="accent1" w:themeShade="80"/>
              <w:right w:val="nil"/>
            </w:tcBorders>
            <w:shd w:val="clear" w:color="auto" w:fill="FFFFFF" w:themeFill="background1"/>
          </w:tcPr>
          <w:p w14:paraId="417A761A" w14:textId="77777777" w:rsidR="00C3347F" w:rsidRPr="009E06AA" w:rsidRDefault="00C3347F" w:rsidP="00B55F24">
            <w:pPr>
              <w:pStyle w:val="TableText"/>
              <w:rPr>
                <w:color w:val="000000" w:themeColor="text1"/>
                <w:szCs w:val="16"/>
              </w:rPr>
            </w:pPr>
            <w:r w:rsidRPr="009E06AA">
              <w:rPr>
                <w:color w:val="000000" w:themeColor="text1"/>
                <w:szCs w:val="16"/>
              </w:rPr>
              <w:t>C</w:t>
            </w:r>
            <w:r w:rsidRPr="009E06AA">
              <w:rPr>
                <w:color w:val="000000" w:themeColor="text1"/>
                <w:szCs w:val="16"/>
                <w:vertAlign w:val="subscript"/>
              </w:rPr>
              <w:t>2</w:t>
            </w:r>
            <w:r w:rsidRPr="009E06AA">
              <w:rPr>
                <w:color w:val="000000" w:themeColor="text1"/>
                <w:szCs w:val="16"/>
              </w:rPr>
              <w:t>F</w:t>
            </w:r>
            <w:r w:rsidRPr="009E06AA">
              <w:rPr>
                <w:color w:val="000000" w:themeColor="text1"/>
                <w:szCs w:val="16"/>
                <w:vertAlign w:val="subscript"/>
              </w:rPr>
              <w:t>6</w:t>
            </w:r>
          </w:p>
        </w:tc>
        <w:tc>
          <w:tcPr>
            <w:tcW w:w="4536" w:type="dxa"/>
            <w:tcBorders>
              <w:top w:val="single" w:sz="4" w:space="0" w:color="1B556B"/>
              <w:left w:val="nil"/>
              <w:bottom w:val="single" w:sz="4" w:space="0" w:color="0E2A36" w:themeColor="accent1" w:themeShade="80"/>
              <w:right w:val="nil"/>
            </w:tcBorders>
            <w:shd w:val="clear" w:color="auto" w:fill="FFFFFF" w:themeFill="background1"/>
          </w:tcPr>
          <w:p w14:paraId="12118D1A" w14:textId="77777777" w:rsidR="00C3347F" w:rsidRPr="009E06AA" w:rsidRDefault="00C3347F" w:rsidP="00B55F24">
            <w:pPr>
              <w:pStyle w:val="TableText"/>
              <w:spacing w:before="50" w:after="50"/>
            </w:pPr>
            <w:r w:rsidRPr="009E06AA">
              <w:t xml:space="preserve">In accordance with chapter II of the Annex to the decision 18/CMA.1 (UNFCCC, 2018b), this category is not mandatory. </w:t>
            </w:r>
            <w:r w:rsidRPr="009E06AA">
              <w:rPr>
                <w:szCs w:val="16"/>
              </w:rPr>
              <w:t xml:space="preserve">The level of emissions from this source has been determined to be insignificant in comparison with national emissions. </w:t>
            </w:r>
            <w:r w:rsidRPr="009E06AA">
              <w:t>No activity data are available before 2011. Based on 2011 to 2022 data, emissions of perfluoroethane (</w:t>
            </w:r>
            <w:r w:rsidRPr="009E06AA">
              <w:rPr>
                <w:color w:val="000000" w:themeColor="text1"/>
              </w:rPr>
              <w:t>C</w:t>
            </w:r>
            <w:r w:rsidRPr="009E06AA">
              <w:rPr>
                <w:color w:val="000000" w:themeColor="text1"/>
                <w:vertAlign w:val="subscript"/>
              </w:rPr>
              <w:t>2</w:t>
            </w:r>
            <w:r w:rsidRPr="009E06AA">
              <w:rPr>
                <w:color w:val="000000" w:themeColor="text1"/>
              </w:rPr>
              <w:t>F</w:t>
            </w:r>
            <w:r w:rsidRPr="009E06AA">
              <w:rPr>
                <w:color w:val="000000" w:themeColor="text1"/>
                <w:vertAlign w:val="subscript"/>
              </w:rPr>
              <w:t>6</w:t>
            </w:r>
            <w:r w:rsidRPr="009E06AA">
              <w:rPr>
                <w:color w:val="000000" w:themeColor="text1"/>
              </w:rPr>
              <w:t>)</w:t>
            </w:r>
            <w:r w:rsidRPr="009E06AA">
              <w:t xml:space="preserve"> from </w:t>
            </w:r>
            <w:r w:rsidRPr="009E06AA">
              <w:rPr>
                <w:i/>
                <w:color w:val="000000" w:themeColor="text1"/>
              </w:rPr>
              <w:t>Medical and other product use</w:t>
            </w:r>
            <w:r w:rsidRPr="009E06AA">
              <w:rPr>
                <w:i/>
                <w:iCs/>
              </w:rPr>
              <w:t xml:space="preserve"> </w:t>
            </w:r>
            <w:r w:rsidRPr="009E06AA">
              <w:t>are estimated to be approximately 2.6 t CO</w:t>
            </w:r>
            <w:r w:rsidRPr="009E06AA">
              <w:rPr>
                <w:vertAlign w:val="subscript"/>
              </w:rPr>
              <w:t>2</w:t>
            </w:r>
            <w:r w:rsidRPr="009E06AA">
              <w:t>-e per annum, which is below the significance threshold.</w:t>
            </w:r>
          </w:p>
        </w:tc>
      </w:tr>
      <w:tr w:rsidR="00C3347F" w:rsidRPr="009E06AA" w14:paraId="48C19303" w14:textId="77777777" w:rsidTr="00B55F24">
        <w:tc>
          <w:tcPr>
            <w:tcW w:w="1134" w:type="dxa"/>
            <w:tcBorders>
              <w:top w:val="single" w:sz="4" w:space="0" w:color="1B556B"/>
              <w:left w:val="nil"/>
              <w:bottom w:val="single" w:sz="4" w:space="0" w:color="0E2A36" w:themeColor="accent1" w:themeShade="80"/>
              <w:right w:val="nil"/>
            </w:tcBorders>
            <w:shd w:val="clear" w:color="auto" w:fill="FFFFFF" w:themeFill="background1"/>
          </w:tcPr>
          <w:p w14:paraId="41D597CF" w14:textId="77777777" w:rsidR="00C3347F" w:rsidRPr="009E06AA" w:rsidRDefault="00C3347F" w:rsidP="00B55F24">
            <w:pPr>
              <w:pStyle w:val="TableText"/>
              <w:rPr>
                <w:color w:val="000000" w:themeColor="text1"/>
                <w:szCs w:val="16"/>
              </w:rPr>
            </w:pPr>
            <w:r w:rsidRPr="009E06AA">
              <w:rPr>
                <w:color w:val="000000" w:themeColor="text1"/>
                <w:szCs w:val="16"/>
              </w:rPr>
              <w:t>2.G.2.e</w:t>
            </w:r>
          </w:p>
        </w:tc>
        <w:tc>
          <w:tcPr>
            <w:tcW w:w="1843" w:type="dxa"/>
            <w:tcBorders>
              <w:top w:val="single" w:sz="4" w:space="0" w:color="1B556B"/>
              <w:left w:val="nil"/>
              <w:bottom w:val="single" w:sz="4" w:space="0" w:color="0E2A36" w:themeColor="accent1" w:themeShade="80"/>
              <w:right w:val="nil"/>
            </w:tcBorders>
            <w:shd w:val="clear" w:color="auto" w:fill="FFFFFF" w:themeFill="background1"/>
          </w:tcPr>
          <w:p w14:paraId="3A2DAA3B" w14:textId="77777777" w:rsidR="00C3347F" w:rsidRPr="009E06AA" w:rsidRDefault="00C3347F" w:rsidP="00B55F24">
            <w:pPr>
              <w:pStyle w:val="TableText"/>
              <w:rPr>
                <w:color w:val="000000" w:themeColor="text1"/>
                <w:szCs w:val="16"/>
              </w:rPr>
            </w:pPr>
            <w:r w:rsidRPr="009E06AA">
              <w:rPr>
                <w:color w:val="000000" w:themeColor="text1"/>
                <w:szCs w:val="16"/>
              </w:rPr>
              <w:t>Medical and other product use</w:t>
            </w:r>
          </w:p>
        </w:tc>
        <w:tc>
          <w:tcPr>
            <w:tcW w:w="992" w:type="dxa"/>
            <w:tcBorders>
              <w:top w:val="single" w:sz="4" w:space="0" w:color="1B556B"/>
              <w:left w:val="nil"/>
              <w:bottom w:val="single" w:sz="4" w:space="0" w:color="0E2A36" w:themeColor="accent1" w:themeShade="80"/>
              <w:right w:val="nil"/>
            </w:tcBorders>
            <w:shd w:val="clear" w:color="auto" w:fill="FFFFFF" w:themeFill="background1"/>
          </w:tcPr>
          <w:p w14:paraId="04E85E99" w14:textId="77777777" w:rsidR="00C3347F" w:rsidRPr="009E06AA" w:rsidRDefault="00C3347F" w:rsidP="00B55F24">
            <w:pPr>
              <w:pStyle w:val="TableText"/>
              <w:rPr>
                <w:color w:val="000000" w:themeColor="text1"/>
                <w:szCs w:val="16"/>
              </w:rPr>
            </w:pPr>
            <w:r w:rsidRPr="009E06AA">
              <w:rPr>
                <w:color w:val="000000" w:themeColor="text1"/>
                <w:szCs w:val="16"/>
              </w:rPr>
              <w:t>C</w:t>
            </w:r>
            <w:r w:rsidRPr="009E06AA">
              <w:rPr>
                <w:color w:val="000000" w:themeColor="text1"/>
                <w:szCs w:val="16"/>
                <w:vertAlign w:val="subscript"/>
              </w:rPr>
              <w:t>3</w:t>
            </w:r>
            <w:r w:rsidRPr="009E06AA">
              <w:rPr>
                <w:color w:val="000000" w:themeColor="text1"/>
                <w:szCs w:val="16"/>
              </w:rPr>
              <w:t>F</w:t>
            </w:r>
            <w:r w:rsidRPr="009E06AA">
              <w:rPr>
                <w:color w:val="000000" w:themeColor="text1"/>
                <w:szCs w:val="16"/>
                <w:vertAlign w:val="subscript"/>
              </w:rPr>
              <w:t>8</w:t>
            </w:r>
          </w:p>
        </w:tc>
        <w:tc>
          <w:tcPr>
            <w:tcW w:w="4536" w:type="dxa"/>
            <w:tcBorders>
              <w:top w:val="single" w:sz="4" w:space="0" w:color="1B556B"/>
              <w:left w:val="nil"/>
              <w:bottom w:val="single" w:sz="4" w:space="0" w:color="0E2A36" w:themeColor="accent1" w:themeShade="80"/>
              <w:right w:val="nil"/>
            </w:tcBorders>
            <w:shd w:val="clear" w:color="auto" w:fill="FFFFFF" w:themeFill="background1"/>
          </w:tcPr>
          <w:p w14:paraId="6181B9CB" w14:textId="77777777" w:rsidR="00C3347F" w:rsidRPr="009E06AA" w:rsidRDefault="00C3347F" w:rsidP="00B55F24">
            <w:pPr>
              <w:pStyle w:val="TableText"/>
              <w:spacing w:before="50" w:after="50"/>
            </w:pPr>
            <w:r w:rsidRPr="009E06AA">
              <w:t xml:space="preserve">In accordance with chapter II of the Annex to the decision 18/CMA.1 (UNFCCC, 2018b), this category is not mandatory. </w:t>
            </w:r>
            <w:r w:rsidRPr="009E06AA">
              <w:rPr>
                <w:szCs w:val="16"/>
              </w:rPr>
              <w:t>The level of emissions from this source has been determined to be insignificant in comparison with national emissions.</w:t>
            </w:r>
            <w:r w:rsidRPr="009E06AA">
              <w:t xml:space="preserve"> No activity data are available before 2011. Based on 2011 to 2022 data, emissions of perfluoropropane (</w:t>
            </w:r>
            <w:r w:rsidRPr="009E06AA">
              <w:rPr>
                <w:color w:val="000000" w:themeColor="text1"/>
              </w:rPr>
              <w:t>C</w:t>
            </w:r>
            <w:r w:rsidRPr="009E06AA">
              <w:rPr>
                <w:color w:val="000000" w:themeColor="text1"/>
                <w:vertAlign w:val="subscript"/>
              </w:rPr>
              <w:t>3</w:t>
            </w:r>
            <w:r w:rsidRPr="009E06AA">
              <w:rPr>
                <w:color w:val="000000" w:themeColor="text1"/>
              </w:rPr>
              <w:t>F</w:t>
            </w:r>
            <w:r w:rsidRPr="009E06AA">
              <w:rPr>
                <w:color w:val="000000" w:themeColor="text1"/>
                <w:vertAlign w:val="subscript"/>
              </w:rPr>
              <w:t>8</w:t>
            </w:r>
            <w:r w:rsidRPr="009E06AA">
              <w:rPr>
                <w:color w:val="000000" w:themeColor="text1"/>
              </w:rPr>
              <w:t xml:space="preserve">) </w:t>
            </w:r>
            <w:r w:rsidRPr="009E06AA">
              <w:t xml:space="preserve">from </w:t>
            </w:r>
            <w:r w:rsidRPr="009E06AA">
              <w:rPr>
                <w:i/>
                <w:color w:val="000000" w:themeColor="text1"/>
              </w:rPr>
              <w:t>Medical and other product use</w:t>
            </w:r>
            <w:r w:rsidRPr="009E06AA">
              <w:rPr>
                <w:i/>
                <w:iCs/>
              </w:rPr>
              <w:t xml:space="preserve"> </w:t>
            </w:r>
            <w:r w:rsidRPr="009E06AA">
              <w:t>are estimated to be approximately 2.7 t CO</w:t>
            </w:r>
            <w:r w:rsidRPr="009E06AA">
              <w:rPr>
                <w:vertAlign w:val="subscript"/>
              </w:rPr>
              <w:t>2</w:t>
            </w:r>
            <w:r w:rsidRPr="009E06AA">
              <w:t>-e per annum, which is below the significance threshold.</w:t>
            </w:r>
          </w:p>
        </w:tc>
      </w:tr>
      <w:tr w:rsidR="00C3347F" w:rsidRPr="009E06AA" w14:paraId="1ED36301" w14:textId="77777777" w:rsidTr="00B55F24">
        <w:tc>
          <w:tcPr>
            <w:tcW w:w="8505" w:type="dxa"/>
            <w:gridSpan w:val="4"/>
            <w:tcBorders>
              <w:top w:val="single" w:sz="4" w:space="0" w:color="1B556B"/>
              <w:left w:val="nil"/>
              <w:bottom w:val="single" w:sz="4" w:space="0" w:color="1B556B"/>
              <w:right w:val="nil"/>
            </w:tcBorders>
            <w:shd w:val="clear" w:color="auto" w:fill="FFFFFF" w:themeFill="background1"/>
            <w:hideMark/>
          </w:tcPr>
          <w:p w14:paraId="4531B401" w14:textId="77777777" w:rsidR="00C3347F" w:rsidRPr="009E06AA" w:rsidRDefault="00C3347F" w:rsidP="00B55F24">
            <w:pPr>
              <w:pStyle w:val="TableText"/>
              <w:spacing w:before="50" w:after="50"/>
              <w:rPr>
                <w:color w:val="1B556B" w:themeColor="text2"/>
              </w:rPr>
            </w:pPr>
            <w:r w:rsidRPr="009E06AA">
              <w:rPr>
                <w:color w:val="1B556B" w:themeColor="text2"/>
              </w:rPr>
              <w:t>Agriculture</w:t>
            </w:r>
          </w:p>
        </w:tc>
      </w:tr>
      <w:tr w:rsidR="00C3347F" w:rsidRPr="009E06AA" w14:paraId="6D99BAA4" w14:textId="77777777" w:rsidTr="00B55F24">
        <w:tc>
          <w:tcPr>
            <w:tcW w:w="1134" w:type="dxa"/>
            <w:tcBorders>
              <w:top w:val="single" w:sz="4" w:space="0" w:color="1B556B"/>
              <w:left w:val="nil"/>
              <w:bottom w:val="single" w:sz="4" w:space="0" w:color="1B556B"/>
              <w:right w:val="nil"/>
            </w:tcBorders>
            <w:shd w:val="clear" w:color="auto" w:fill="FFFFFF" w:themeFill="background1"/>
            <w:hideMark/>
          </w:tcPr>
          <w:p w14:paraId="2E89F2A2" w14:textId="77777777" w:rsidR="00C3347F" w:rsidRPr="009E06AA" w:rsidRDefault="00C3347F" w:rsidP="00B55F24">
            <w:pPr>
              <w:pStyle w:val="TableText"/>
              <w:spacing w:before="50" w:after="50"/>
              <w:rPr>
                <w:szCs w:val="16"/>
              </w:rPr>
            </w:pPr>
            <w:r w:rsidRPr="009E06AA">
              <w:rPr>
                <w:szCs w:val="16"/>
              </w:rPr>
              <w:t>3.A.4 (for both New Zealand and Tokelau)</w:t>
            </w:r>
          </w:p>
        </w:tc>
        <w:tc>
          <w:tcPr>
            <w:tcW w:w="1843" w:type="dxa"/>
            <w:tcBorders>
              <w:top w:val="single" w:sz="4" w:space="0" w:color="1B556B"/>
              <w:left w:val="nil"/>
              <w:bottom w:val="single" w:sz="4" w:space="0" w:color="1B556B"/>
              <w:right w:val="nil"/>
            </w:tcBorders>
            <w:shd w:val="clear" w:color="auto" w:fill="FFFFFF" w:themeFill="background1"/>
            <w:hideMark/>
          </w:tcPr>
          <w:p w14:paraId="7D2DFF73" w14:textId="77777777" w:rsidR="00C3347F" w:rsidRPr="009E06AA" w:rsidRDefault="00C3347F" w:rsidP="00B55F24">
            <w:pPr>
              <w:pStyle w:val="TableText"/>
              <w:keepNext/>
              <w:spacing w:before="50" w:after="50"/>
              <w:rPr>
                <w:color w:val="000000"/>
                <w:szCs w:val="16"/>
              </w:rPr>
            </w:pPr>
            <w:r w:rsidRPr="009E06AA">
              <w:rPr>
                <w:color w:val="000000"/>
                <w:szCs w:val="16"/>
              </w:rPr>
              <w:t>Poultry</w:t>
            </w:r>
          </w:p>
        </w:tc>
        <w:tc>
          <w:tcPr>
            <w:tcW w:w="992" w:type="dxa"/>
            <w:tcBorders>
              <w:top w:val="single" w:sz="4" w:space="0" w:color="1B556B"/>
              <w:left w:val="nil"/>
              <w:bottom w:val="single" w:sz="4" w:space="0" w:color="1B556B"/>
              <w:right w:val="nil"/>
            </w:tcBorders>
            <w:shd w:val="clear" w:color="auto" w:fill="FFFFFF" w:themeFill="background1"/>
            <w:hideMark/>
          </w:tcPr>
          <w:p w14:paraId="68ADCD5F" w14:textId="77777777" w:rsidR="00C3347F" w:rsidRPr="009E06AA" w:rsidRDefault="00C3347F" w:rsidP="00B55F24">
            <w:pPr>
              <w:pStyle w:val="TableText"/>
              <w:keepNext/>
              <w:spacing w:before="50" w:after="50"/>
              <w:rPr>
                <w:color w:val="000000"/>
                <w:szCs w:val="16"/>
              </w:rPr>
            </w:pPr>
            <w:r w:rsidRPr="009E06AA">
              <w:rPr>
                <w:color w:val="000000"/>
                <w:szCs w:val="16"/>
              </w:rPr>
              <w:t>CH</w:t>
            </w:r>
            <w:r w:rsidRPr="009E06AA">
              <w:rPr>
                <w:color w:val="000000"/>
                <w:szCs w:val="16"/>
                <w:vertAlign w:val="subscript"/>
              </w:rPr>
              <w:t>4</w:t>
            </w:r>
          </w:p>
        </w:tc>
        <w:tc>
          <w:tcPr>
            <w:tcW w:w="4536" w:type="dxa"/>
            <w:tcBorders>
              <w:top w:val="single" w:sz="4" w:space="0" w:color="1B556B"/>
              <w:left w:val="nil"/>
              <w:bottom w:val="single" w:sz="4" w:space="0" w:color="1B556B"/>
              <w:right w:val="nil"/>
            </w:tcBorders>
            <w:shd w:val="clear" w:color="auto" w:fill="FFFFFF" w:themeFill="background1"/>
            <w:hideMark/>
          </w:tcPr>
          <w:p w14:paraId="6EAC933F" w14:textId="5B2CA53D" w:rsidR="00C3347F" w:rsidRPr="009E06AA" w:rsidRDefault="00C3347F" w:rsidP="00B55F24">
            <w:pPr>
              <w:pStyle w:val="TableText"/>
              <w:spacing w:before="50" w:after="50"/>
              <w:rPr>
                <w:szCs w:val="16"/>
              </w:rPr>
            </w:pPr>
            <w:r w:rsidRPr="009E06AA">
              <w:rPr>
                <w:szCs w:val="16"/>
              </w:rPr>
              <w:t>This category is not mandatory. The 2006 IPCC Guidelines state (IPCC, 2006d, page 10.27, vol 4-2) that the Tier 1 method for estimating CH</w:t>
            </w:r>
            <w:r w:rsidRPr="009E06AA">
              <w:rPr>
                <w:szCs w:val="16"/>
                <w:vertAlign w:val="subscript"/>
              </w:rPr>
              <w:t>4</w:t>
            </w:r>
            <w:r w:rsidRPr="009E06AA">
              <w:rPr>
                <w:szCs w:val="16"/>
              </w:rPr>
              <w:t xml:space="preserve"> emissions from enteric fermentation for poultry is not developed. Also, table 10.10 (IPCC, 2006d, page 10.28, vol 4</w:t>
            </w:r>
            <w:r w:rsidRPr="009E06AA">
              <w:rPr>
                <w:szCs w:val="16"/>
              </w:rPr>
              <w:noBreakHyphen/>
              <w:t>2) indicates that there is insufficient research to establish a CH</w:t>
            </w:r>
            <w:r w:rsidRPr="009E06AA">
              <w:rPr>
                <w:szCs w:val="16"/>
                <w:vertAlign w:val="subscript"/>
              </w:rPr>
              <w:t>4</w:t>
            </w:r>
            <w:r w:rsidRPr="009E06AA">
              <w:rPr>
                <w:szCs w:val="16"/>
              </w:rPr>
              <w:t xml:space="preserve"> emission factor for poultry for either developed or developing countries.</w:t>
            </w:r>
          </w:p>
        </w:tc>
      </w:tr>
      <w:tr w:rsidR="00C3347F" w:rsidRPr="009E06AA" w14:paraId="71AD2F01" w14:textId="77777777" w:rsidTr="00B55F24">
        <w:tc>
          <w:tcPr>
            <w:tcW w:w="1134" w:type="dxa"/>
            <w:tcBorders>
              <w:top w:val="single" w:sz="4" w:space="0" w:color="1B556B"/>
              <w:left w:val="nil"/>
              <w:bottom w:val="single" w:sz="4" w:space="0" w:color="1B556B"/>
              <w:right w:val="nil"/>
            </w:tcBorders>
            <w:shd w:val="clear" w:color="auto" w:fill="FFFFFF" w:themeFill="background1"/>
            <w:hideMark/>
          </w:tcPr>
          <w:p w14:paraId="3D9A0F01" w14:textId="77777777" w:rsidR="00C3347F" w:rsidRPr="009E06AA" w:rsidRDefault="00C3347F" w:rsidP="00B55F24">
            <w:pPr>
              <w:pStyle w:val="TableText"/>
              <w:spacing w:before="50" w:after="50"/>
              <w:rPr>
                <w:bCs/>
                <w:color w:val="000000"/>
                <w:szCs w:val="16"/>
              </w:rPr>
            </w:pPr>
            <w:r w:rsidRPr="009E06AA">
              <w:rPr>
                <w:bCs/>
                <w:color w:val="000000"/>
                <w:szCs w:val="16"/>
              </w:rPr>
              <w:t>3.B.2.5</w:t>
            </w:r>
          </w:p>
        </w:tc>
        <w:tc>
          <w:tcPr>
            <w:tcW w:w="1843" w:type="dxa"/>
            <w:tcBorders>
              <w:top w:val="single" w:sz="4" w:space="0" w:color="1B556B"/>
              <w:left w:val="nil"/>
              <w:bottom w:val="single" w:sz="4" w:space="0" w:color="1B556B"/>
              <w:right w:val="nil"/>
            </w:tcBorders>
            <w:shd w:val="clear" w:color="auto" w:fill="FFFFFF" w:themeFill="background1"/>
            <w:hideMark/>
          </w:tcPr>
          <w:p w14:paraId="5A3E62B8" w14:textId="77777777" w:rsidR="00C3347F" w:rsidRPr="009E06AA" w:rsidRDefault="00C3347F" w:rsidP="00B55F24">
            <w:pPr>
              <w:pStyle w:val="TableText"/>
              <w:spacing w:before="50" w:after="50"/>
              <w:rPr>
                <w:color w:val="000000"/>
                <w:szCs w:val="16"/>
              </w:rPr>
            </w:pPr>
            <w:r w:rsidRPr="009E06AA">
              <w:rPr>
                <w:color w:val="000000"/>
                <w:szCs w:val="16"/>
              </w:rPr>
              <w:t>Indirect N</w:t>
            </w:r>
            <w:r w:rsidRPr="009E06AA">
              <w:rPr>
                <w:color w:val="000000"/>
                <w:szCs w:val="16"/>
                <w:vertAlign w:val="subscript"/>
              </w:rPr>
              <w:t>2</w:t>
            </w:r>
            <w:r w:rsidRPr="009E06AA">
              <w:rPr>
                <w:color w:val="000000"/>
                <w:szCs w:val="16"/>
              </w:rPr>
              <w:t>O emissions</w:t>
            </w:r>
          </w:p>
        </w:tc>
        <w:tc>
          <w:tcPr>
            <w:tcW w:w="992" w:type="dxa"/>
            <w:tcBorders>
              <w:top w:val="single" w:sz="4" w:space="0" w:color="1B556B"/>
              <w:left w:val="nil"/>
              <w:bottom w:val="single" w:sz="4" w:space="0" w:color="1B556B"/>
              <w:right w:val="nil"/>
            </w:tcBorders>
            <w:shd w:val="clear" w:color="auto" w:fill="FFFFFF" w:themeFill="background1"/>
            <w:hideMark/>
          </w:tcPr>
          <w:p w14:paraId="265E0004" w14:textId="77777777" w:rsidR="00C3347F" w:rsidRPr="009E06AA" w:rsidRDefault="00C3347F" w:rsidP="00B55F24">
            <w:pPr>
              <w:pStyle w:val="TableText"/>
              <w:spacing w:before="50" w:after="50"/>
              <w:rPr>
                <w:color w:val="000000"/>
                <w:szCs w:val="16"/>
              </w:rPr>
            </w:pPr>
            <w:r w:rsidRPr="009E06AA">
              <w:rPr>
                <w:color w:val="000000"/>
                <w:szCs w:val="16"/>
              </w:rPr>
              <w:t>N</w:t>
            </w:r>
            <w:r w:rsidRPr="009E06AA">
              <w:rPr>
                <w:color w:val="000000"/>
                <w:szCs w:val="16"/>
                <w:vertAlign w:val="subscript"/>
              </w:rPr>
              <w:t>2</w:t>
            </w:r>
            <w:r w:rsidRPr="009E06AA">
              <w:rPr>
                <w:color w:val="000000"/>
                <w:szCs w:val="16"/>
              </w:rPr>
              <w:t>O</w:t>
            </w:r>
          </w:p>
        </w:tc>
        <w:tc>
          <w:tcPr>
            <w:tcW w:w="4536" w:type="dxa"/>
            <w:tcBorders>
              <w:top w:val="single" w:sz="4" w:space="0" w:color="1B556B"/>
              <w:left w:val="nil"/>
              <w:bottom w:val="single" w:sz="4" w:space="0" w:color="1B556B"/>
              <w:right w:val="nil"/>
            </w:tcBorders>
            <w:shd w:val="clear" w:color="auto" w:fill="FFFFFF" w:themeFill="background1"/>
            <w:hideMark/>
          </w:tcPr>
          <w:p w14:paraId="7F3364C1" w14:textId="5ACC0866" w:rsidR="00C3347F" w:rsidRPr="009E06AA" w:rsidRDefault="00C3347F" w:rsidP="00B55F24">
            <w:pPr>
              <w:pStyle w:val="TableText"/>
              <w:spacing w:before="50" w:after="50"/>
              <w:rPr>
                <w:szCs w:val="16"/>
              </w:rPr>
            </w:pPr>
            <w:r w:rsidRPr="009E06AA">
              <w:rPr>
                <w:szCs w:val="16"/>
              </w:rPr>
              <w:t>This category is not mandatory. The 2006 IPCC Guidelines for determining indirect nitrous oxide (N</w:t>
            </w:r>
            <w:r w:rsidRPr="009E06AA">
              <w:rPr>
                <w:szCs w:val="16"/>
                <w:vertAlign w:val="subscript"/>
              </w:rPr>
              <w:t>2</w:t>
            </w:r>
            <w:r w:rsidRPr="009E06AA">
              <w:rPr>
                <w:szCs w:val="16"/>
              </w:rPr>
              <w:t>O) emissions do not provide a methodology for estimating emissions from leaching and runoff (IPCC, 2006d). In addition, indirect N</w:t>
            </w:r>
            <w:r w:rsidRPr="009E06AA">
              <w:rPr>
                <w:szCs w:val="16"/>
                <w:vertAlign w:val="subscript"/>
              </w:rPr>
              <w:t>2</w:t>
            </w:r>
            <w:r w:rsidRPr="009E06AA">
              <w:rPr>
                <w:szCs w:val="16"/>
              </w:rPr>
              <w:t>O emissions from leaching and runoff are insignificant in New Zealand, because almost all livestock are kept outdoors all year around on pasture.</w:t>
            </w:r>
          </w:p>
        </w:tc>
      </w:tr>
      <w:tr w:rsidR="00C3347F" w:rsidRPr="009E06AA" w14:paraId="4D0FECCF" w14:textId="77777777" w:rsidTr="00B55F24">
        <w:tc>
          <w:tcPr>
            <w:tcW w:w="1134" w:type="dxa"/>
            <w:tcBorders>
              <w:top w:val="single" w:sz="4" w:space="0" w:color="1B556B"/>
              <w:left w:val="nil"/>
              <w:bottom w:val="single" w:sz="4" w:space="0" w:color="1B556B"/>
              <w:right w:val="nil"/>
            </w:tcBorders>
            <w:shd w:val="clear" w:color="auto" w:fill="FFFFFF" w:themeFill="background1"/>
            <w:hideMark/>
          </w:tcPr>
          <w:p w14:paraId="1BF132F9" w14:textId="77777777" w:rsidR="00C3347F" w:rsidRPr="009E06AA" w:rsidRDefault="00C3347F" w:rsidP="00B55F24">
            <w:pPr>
              <w:pStyle w:val="TableText"/>
              <w:spacing w:before="50" w:after="50"/>
              <w:rPr>
                <w:bCs/>
                <w:color w:val="000000"/>
                <w:szCs w:val="16"/>
              </w:rPr>
            </w:pPr>
            <w:r w:rsidRPr="009E06AA">
              <w:rPr>
                <w:bCs/>
                <w:color w:val="000000"/>
                <w:szCs w:val="16"/>
              </w:rPr>
              <w:t>3.D.1.2.c</w:t>
            </w:r>
          </w:p>
        </w:tc>
        <w:tc>
          <w:tcPr>
            <w:tcW w:w="1843" w:type="dxa"/>
            <w:tcBorders>
              <w:top w:val="single" w:sz="4" w:space="0" w:color="1B556B"/>
              <w:left w:val="nil"/>
              <w:bottom w:val="single" w:sz="4" w:space="0" w:color="1B556B"/>
              <w:right w:val="nil"/>
            </w:tcBorders>
            <w:shd w:val="clear" w:color="auto" w:fill="FFFFFF" w:themeFill="background1"/>
            <w:hideMark/>
          </w:tcPr>
          <w:p w14:paraId="0F3D4CCE" w14:textId="77777777" w:rsidR="00C3347F" w:rsidRPr="009E06AA" w:rsidRDefault="00C3347F" w:rsidP="00B55F24">
            <w:pPr>
              <w:pStyle w:val="TableText"/>
              <w:spacing w:before="50" w:after="50"/>
              <w:rPr>
                <w:color w:val="000000"/>
                <w:szCs w:val="16"/>
              </w:rPr>
            </w:pPr>
            <w:r w:rsidRPr="009E06AA">
              <w:rPr>
                <w:color w:val="000000"/>
                <w:szCs w:val="16"/>
              </w:rPr>
              <w:t>Other organic fertilisers applied to soils</w:t>
            </w:r>
          </w:p>
        </w:tc>
        <w:tc>
          <w:tcPr>
            <w:tcW w:w="992" w:type="dxa"/>
            <w:tcBorders>
              <w:top w:val="single" w:sz="4" w:space="0" w:color="1B556B"/>
              <w:left w:val="nil"/>
              <w:bottom w:val="single" w:sz="4" w:space="0" w:color="1B556B"/>
              <w:right w:val="nil"/>
            </w:tcBorders>
            <w:shd w:val="clear" w:color="auto" w:fill="FFFFFF" w:themeFill="background1"/>
            <w:hideMark/>
          </w:tcPr>
          <w:p w14:paraId="3DB84637" w14:textId="77777777" w:rsidR="00C3347F" w:rsidRPr="009E06AA" w:rsidRDefault="00C3347F" w:rsidP="00B55F24">
            <w:pPr>
              <w:pStyle w:val="TableText"/>
              <w:spacing w:before="50" w:after="50"/>
              <w:rPr>
                <w:color w:val="000000"/>
                <w:szCs w:val="16"/>
              </w:rPr>
            </w:pPr>
            <w:r w:rsidRPr="009E06AA">
              <w:rPr>
                <w:color w:val="000000"/>
                <w:szCs w:val="16"/>
              </w:rPr>
              <w:t>N</w:t>
            </w:r>
            <w:r w:rsidRPr="009E06AA">
              <w:rPr>
                <w:color w:val="000000"/>
                <w:szCs w:val="16"/>
                <w:vertAlign w:val="subscript"/>
              </w:rPr>
              <w:t>2</w:t>
            </w:r>
            <w:r w:rsidRPr="009E06AA">
              <w:rPr>
                <w:color w:val="000000"/>
                <w:szCs w:val="16"/>
              </w:rPr>
              <w:t>O</w:t>
            </w:r>
          </w:p>
        </w:tc>
        <w:tc>
          <w:tcPr>
            <w:tcW w:w="4536" w:type="dxa"/>
            <w:tcBorders>
              <w:top w:val="single" w:sz="4" w:space="0" w:color="1B556B"/>
              <w:left w:val="nil"/>
              <w:bottom w:val="single" w:sz="4" w:space="0" w:color="1B556B"/>
              <w:right w:val="nil"/>
            </w:tcBorders>
            <w:shd w:val="clear" w:color="auto" w:fill="FFFFFF" w:themeFill="background1"/>
            <w:hideMark/>
          </w:tcPr>
          <w:p w14:paraId="616A7B7A" w14:textId="77777777" w:rsidR="00C3347F" w:rsidRPr="009E06AA" w:rsidRDefault="00C3347F" w:rsidP="00B55F24">
            <w:pPr>
              <w:pStyle w:val="TableText"/>
              <w:spacing w:before="50" w:after="50"/>
              <w:rPr>
                <w:szCs w:val="16"/>
              </w:rPr>
            </w:pPr>
            <w:r w:rsidRPr="009E06AA">
              <w:rPr>
                <w:szCs w:val="16"/>
              </w:rPr>
              <w:t xml:space="preserve">In accordance with chapter II of the Annex to the decision 18/CMA.1 (UNFCCC, 2018b), this category is not mandatory. Emissions from </w:t>
            </w:r>
            <w:r w:rsidRPr="009E06AA">
              <w:rPr>
                <w:i/>
                <w:iCs/>
                <w:szCs w:val="16"/>
              </w:rPr>
              <w:t>Other organic fertilisers applied to soils</w:t>
            </w:r>
            <w:r w:rsidRPr="009E06AA">
              <w:rPr>
                <w:szCs w:val="16"/>
              </w:rPr>
              <w:t xml:space="preserve"> are not estimated due to their insignificance. Emissions are estimated to be approximately 20 kt CO</w:t>
            </w:r>
            <w:r w:rsidRPr="009E06AA">
              <w:rPr>
                <w:szCs w:val="16"/>
                <w:vertAlign w:val="subscript"/>
              </w:rPr>
              <w:t>2</w:t>
            </w:r>
            <w:r w:rsidRPr="009E06AA">
              <w:rPr>
                <w:szCs w:val="16"/>
              </w:rPr>
              <w:t>-e (van der Weerden et al., 2014). Emissions are below the threshold of 0.05 per cent of New Zealand’s total emissions and do not exceed 500 kt CO</w:t>
            </w:r>
            <w:r w:rsidRPr="009E06AA">
              <w:rPr>
                <w:szCs w:val="16"/>
                <w:vertAlign w:val="subscript"/>
              </w:rPr>
              <w:t>2</w:t>
            </w:r>
            <w:r w:rsidRPr="009E06AA">
              <w:rPr>
                <w:szCs w:val="16"/>
              </w:rPr>
              <w:noBreakHyphen/>
              <w:t>e.</w:t>
            </w:r>
          </w:p>
        </w:tc>
      </w:tr>
      <w:tr w:rsidR="00C3347F" w:rsidRPr="009E06AA" w14:paraId="1D6BF839" w14:textId="77777777" w:rsidTr="00B55F24">
        <w:tc>
          <w:tcPr>
            <w:tcW w:w="1134" w:type="dxa"/>
            <w:tcBorders>
              <w:top w:val="single" w:sz="4" w:space="0" w:color="1B556B"/>
              <w:left w:val="nil"/>
              <w:bottom w:val="single" w:sz="4" w:space="0" w:color="0E2A36" w:themeColor="accent1" w:themeShade="80"/>
              <w:right w:val="nil"/>
            </w:tcBorders>
            <w:shd w:val="clear" w:color="auto" w:fill="FFFFFF" w:themeFill="background1"/>
            <w:hideMark/>
          </w:tcPr>
          <w:p w14:paraId="76FC93D8" w14:textId="77777777" w:rsidR="00C3347F" w:rsidRPr="009E06AA" w:rsidRDefault="00C3347F" w:rsidP="00B55F24">
            <w:pPr>
              <w:pStyle w:val="TableText"/>
              <w:spacing w:before="50" w:after="50"/>
              <w:rPr>
                <w:bCs/>
                <w:color w:val="000000"/>
                <w:szCs w:val="16"/>
              </w:rPr>
            </w:pPr>
            <w:r w:rsidRPr="009E06AA">
              <w:rPr>
                <w:bCs/>
                <w:color w:val="000000"/>
                <w:szCs w:val="16"/>
              </w:rPr>
              <w:t>3.I</w:t>
            </w:r>
          </w:p>
        </w:tc>
        <w:tc>
          <w:tcPr>
            <w:tcW w:w="1843" w:type="dxa"/>
            <w:tcBorders>
              <w:top w:val="single" w:sz="4" w:space="0" w:color="1B556B"/>
              <w:left w:val="nil"/>
              <w:bottom w:val="single" w:sz="4" w:space="0" w:color="0E2A36" w:themeColor="accent1" w:themeShade="80"/>
              <w:right w:val="nil"/>
            </w:tcBorders>
            <w:shd w:val="clear" w:color="auto" w:fill="FFFFFF" w:themeFill="background1"/>
            <w:hideMark/>
          </w:tcPr>
          <w:p w14:paraId="52C0ACB8" w14:textId="77777777" w:rsidR="00C3347F" w:rsidRPr="009E06AA" w:rsidRDefault="00C3347F" w:rsidP="00B55F24">
            <w:pPr>
              <w:pStyle w:val="TableText"/>
              <w:spacing w:before="50" w:after="50"/>
              <w:rPr>
                <w:color w:val="000000"/>
                <w:szCs w:val="16"/>
              </w:rPr>
            </w:pPr>
            <w:r w:rsidRPr="009E06AA">
              <w:rPr>
                <w:color w:val="000000"/>
                <w:szCs w:val="16"/>
              </w:rPr>
              <w:t>Other carbon-containing fertilisers</w:t>
            </w:r>
          </w:p>
        </w:tc>
        <w:tc>
          <w:tcPr>
            <w:tcW w:w="992" w:type="dxa"/>
            <w:tcBorders>
              <w:top w:val="single" w:sz="4" w:space="0" w:color="1B556B"/>
              <w:left w:val="nil"/>
              <w:bottom w:val="single" w:sz="4" w:space="0" w:color="0E2A36" w:themeColor="accent1" w:themeShade="80"/>
              <w:right w:val="nil"/>
            </w:tcBorders>
            <w:shd w:val="clear" w:color="auto" w:fill="FFFFFF" w:themeFill="background1"/>
            <w:hideMark/>
          </w:tcPr>
          <w:p w14:paraId="44AEF45F" w14:textId="77777777" w:rsidR="00C3347F" w:rsidRPr="009E06AA" w:rsidRDefault="00C3347F" w:rsidP="00B55F24">
            <w:pPr>
              <w:pStyle w:val="TableText"/>
              <w:spacing w:before="50" w:after="50"/>
              <w:rPr>
                <w:color w:val="000000"/>
                <w:szCs w:val="16"/>
              </w:rPr>
            </w:pPr>
            <w:r w:rsidRPr="009E06AA">
              <w:rPr>
                <w:color w:val="000000"/>
                <w:szCs w:val="16"/>
              </w:rPr>
              <w:t>CO</w:t>
            </w:r>
            <w:r w:rsidRPr="009E06AA">
              <w:rPr>
                <w:color w:val="000000"/>
                <w:szCs w:val="16"/>
                <w:vertAlign w:val="subscript"/>
              </w:rPr>
              <w:t>2</w:t>
            </w:r>
          </w:p>
        </w:tc>
        <w:tc>
          <w:tcPr>
            <w:tcW w:w="4536" w:type="dxa"/>
            <w:tcBorders>
              <w:top w:val="single" w:sz="4" w:space="0" w:color="1B556B"/>
              <w:left w:val="nil"/>
              <w:bottom w:val="single" w:sz="4" w:space="0" w:color="0E2A36" w:themeColor="accent1" w:themeShade="80"/>
              <w:right w:val="nil"/>
            </w:tcBorders>
            <w:shd w:val="clear" w:color="auto" w:fill="FFFFFF" w:themeFill="background1"/>
            <w:hideMark/>
          </w:tcPr>
          <w:p w14:paraId="06E1BF13" w14:textId="606B18D4" w:rsidR="00C3347F" w:rsidRPr="009E06AA" w:rsidRDefault="00C3347F" w:rsidP="00B55F24">
            <w:pPr>
              <w:pStyle w:val="TableText"/>
              <w:spacing w:before="50" w:after="50"/>
              <w:rPr>
                <w:szCs w:val="16"/>
              </w:rPr>
            </w:pPr>
            <w:r w:rsidRPr="009E06AA">
              <w:rPr>
                <w:szCs w:val="16"/>
              </w:rPr>
              <w:t>This category is not mandatory. The 2006 IPCC Guidelines do not provide guidance for reporting on other carbon-containing fertilisers (IPCC, 2006d). Other carbon-containing synthetic fertilisers besides limestone, dolomite and urea are not applied to agricultural land in New Zealand.</w:t>
            </w:r>
          </w:p>
        </w:tc>
      </w:tr>
      <w:tr w:rsidR="00C3347F" w:rsidRPr="009E06AA" w14:paraId="7221EC21" w14:textId="77777777" w:rsidTr="00B55F24">
        <w:tc>
          <w:tcPr>
            <w:tcW w:w="8505" w:type="dxa"/>
            <w:gridSpan w:val="4"/>
            <w:tcBorders>
              <w:top w:val="single" w:sz="4" w:space="0" w:color="1B556B"/>
              <w:left w:val="nil"/>
              <w:bottom w:val="single" w:sz="4" w:space="0" w:color="1B556B"/>
              <w:right w:val="nil"/>
            </w:tcBorders>
            <w:shd w:val="clear" w:color="auto" w:fill="FFFFFF" w:themeFill="background1"/>
            <w:hideMark/>
          </w:tcPr>
          <w:p w14:paraId="521E5EA6" w14:textId="77777777" w:rsidR="00C3347F" w:rsidRPr="009E06AA" w:rsidRDefault="00C3347F" w:rsidP="00B55F24">
            <w:pPr>
              <w:pStyle w:val="TableText"/>
              <w:keepNext/>
              <w:spacing w:before="50" w:after="50"/>
              <w:rPr>
                <w:bCs/>
                <w:color w:val="000000"/>
                <w:szCs w:val="16"/>
              </w:rPr>
            </w:pPr>
            <w:r w:rsidRPr="009E06AA">
              <w:rPr>
                <w:bCs/>
                <w:color w:val="1B556B"/>
                <w:szCs w:val="16"/>
              </w:rPr>
              <w:t>Land Use, Land-Use Change and Forestry</w:t>
            </w:r>
          </w:p>
        </w:tc>
      </w:tr>
      <w:tr w:rsidR="00C3347F" w:rsidRPr="009E06AA" w14:paraId="6BFC14B1" w14:textId="77777777" w:rsidTr="00B55F24">
        <w:tc>
          <w:tcPr>
            <w:tcW w:w="1134" w:type="dxa"/>
            <w:tcBorders>
              <w:top w:val="single" w:sz="4" w:space="0" w:color="1B556B"/>
              <w:left w:val="nil"/>
              <w:bottom w:val="single" w:sz="4" w:space="0" w:color="1B556B"/>
              <w:right w:val="nil"/>
            </w:tcBorders>
            <w:hideMark/>
          </w:tcPr>
          <w:p w14:paraId="1A6CA86C" w14:textId="77777777" w:rsidR="00C3347F" w:rsidRPr="009E06AA" w:rsidRDefault="00C3347F" w:rsidP="00B55F24">
            <w:pPr>
              <w:pStyle w:val="TableText"/>
              <w:keepNext/>
              <w:spacing w:before="50" w:after="50"/>
              <w:rPr>
                <w:bCs/>
                <w:color w:val="000000"/>
                <w:szCs w:val="16"/>
              </w:rPr>
            </w:pPr>
            <w:r w:rsidRPr="009E06AA">
              <w:rPr>
                <w:bCs/>
                <w:color w:val="000000"/>
                <w:szCs w:val="16"/>
              </w:rPr>
              <w:t>4.A, 4.B,4.C,4.D</w:t>
            </w:r>
          </w:p>
        </w:tc>
        <w:tc>
          <w:tcPr>
            <w:tcW w:w="1843" w:type="dxa"/>
            <w:tcBorders>
              <w:top w:val="single" w:sz="4" w:space="0" w:color="1B556B"/>
              <w:left w:val="nil"/>
              <w:bottom w:val="single" w:sz="4" w:space="0" w:color="1B556B"/>
              <w:right w:val="nil"/>
            </w:tcBorders>
            <w:hideMark/>
          </w:tcPr>
          <w:p w14:paraId="55860994" w14:textId="77777777" w:rsidR="00C3347F" w:rsidRPr="009E06AA" w:rsidRDefault="00C3347F" w:rsidP="00B55F24">
            <w:pPr>
              <w:pStyle w:val="TableText"/>
              <w:keepNext/>
              <w:spacing w:before="50" w:after="50"/>
              <w:rPr>
                <w:color w:val="000000"/>
                <w:szCs w:val="16"/>
              </w:rPr>
            </w:pPr>
            <w:r w:rsidRPr="009E06AA">
              <w:rPr>
                <w:color w:val="000000"/>
                <w:szCs w:val="16"/>
              </w:rPr>
              <w:t>Forest land, cropland, grassland and wetlands: Drainage and rewetting and other management of organic and mineral soils</w:t>
            </w:r>
          </w:p>
        </w:tc>
        <w:tc>
          <w:tcPr>
            <w:tcW w:w="992" w:type="dxa"/>
            <w:tcBorders>
              <w:top w:val="single" w:sz="4" w:space="0" w:color="1B556B"/>
              <w:left w:val="nil"/>
              <w:bottom w:val="single" w:sz="4" w:space="0" w:color="1B556B"/>
              <w:right w:val="nil"/>
            </w:tcBorders>
            <w:hideMark/>
          </w:tcPr>
          <w:p w14:paraId="122A6483" w14:textId="77777777" w:rsidR="00C3347F" w:rsidRPr="009E06AA" w:rsidRDefault="00C3347F" w:rsidP="00B55F24">
            <w:pPr>
              <w:pStyle w:val="TableText"/>
              <w:keepNext/>
              <w:spacing w:before="50" w:after="50"/>
              <w:rPr>
                <w:color w:val="000000"/>
                <w:szCs w:val="16"/>
              </w:rPr>
            </w:pPr>
            <w:r w:rsidRPr="009E06AA">
              <w:rPr>
                <w:color w:val="000000"/>
                <w:szCs w:val="16"/>
              </w:rPr>
              <w:t>CH</w:t>
            </w:r>
            <w:r w:rsidRPr="009E06AA">
              <w:rPr>
                <w:color w:val="000000"/>
                <w:szCs w:val="16"/>
                <w:vertAlign w:val="subscript"/>
              </w:rPr>
              <w:t>4</w:t>
            </w:r>
            <w:r w:rsidRPr="009E06AA">
              <w:rPr>
                <w:color w:val="000000"/>
                <w:szCs w:val="16"/>
              </w:rPr>
              <w:t>, N</w:t>
            </w:r>
            <w:r w:rsidRPr="009E06AA">
              <w:rPr>
                <w:color w:val="000000"/>
                <w:szCs w:val="16"/>
                <w:vertAlign w:val="subscript"/>
              </w:rPr>
              <w:t>2</w:t>
            </w:r>
            <w:r w:rsidRPr="009E06AA">
              <w:rPr>
                <w:color w:val="000000"/>
                <w:szCs w:val="16"/>
              </w:rPr>
              <w:t>O</w:t>
            </w:r>
          </w:p>
        </w:tc>
        <w:tc>
          <w:tcPr>
            <w:tcW w:w="4536" w:type="dxa"/>
            <w:tcBorders>
              <w:top w:val="single" w:sz="4" w:space="0" w:color="1B556B"/>
              <w:left w:val="nil"/>
              <w:bottom w:val="single" w:sz="4" w:space="0" w:color="1B556B"/>
              <w:right w:val="nil"/>
            </w:tcBorders>
            <w:hideMark/>
          </w:tcPr>
          <w:p w14:paraId="7F5E9EB9" w14:textId="07A46CD0" w:rsidR="00C3347F" w:rsidRPr="009E06AA" w:rsidRDefault="00C3347F" w:rsidP="00B55F24">
            <w:pPr>
              <w:pStyle w:val="TableText"/>
              <w:keepNext/>
              <w:spacing w:before="50" w:after="50"/>
              <w:rPr>
                <w:szCs w:val="16"/>
              </w:rPr>
            </w:pPr>
            <w:bookmarkStart w:id="152" w:name="_Hlk95914139"/>
            <w:r w:rsidRPr="009E06AA">
              <w:rPr>
                <w:szCs w:val="16"/>
              </w:rPr>
              <w:t>This category is not mandatory. No methodology is provided in the 2006 IPCC Guidelines for estimating emissions from this source category (IPCC, 2006d).</w:t>
            </w:r>
            <w:bookmarkEnd w:id="152"/>
            <w:r w:rsidRPr="009E06AA">
              <w:rPr>
                <w:szCs w:val="16"/>
              </w:rPr>
              <w:t xml:space="preserve"> </w:t>
            </w:r>
          </w:p>
        </w:tc>
      </w:tr>
      <w:tr w:rsidR="00C3347F" w:rsidRPr="009E06AA" w14:paraId="116115CC" w14:textId="77777777" w:rsidTr="00B55F24">
        <w:tc>
          <w:tcPr>
            <w:tcW w:w="1134" w:type="dxa"/>
            <w:tcBorders>
              <w:top w:val="single" w:sz="4" w:space="0" w:color="1B556B"/>
              <w:left w:val="nil"/>
              <w:bottom w:val="single" w:sz="4" w:space="0" w:color="1B556B"/>
              <w:right w:val="nil"/>
            </w:tcBorders>
            <w:hideMark/>
          </w:tcPr>
          <w:p w14:paraId="40B2C34F" w14:textId="77777777" w:rsidR="00C3347F" w:rsidRPr="009E06AA" w:rsidRDefault="00C3347F" w:rsidP="00B55F24">
            <w:pPr>
              <w:pStyle w:val="TableText"/>
              <w:spacing w:before="50" w:after="50"/>
              <w:rPr>
                <w:bCs/>
                <w:color w:val="000000"/>
                <w:szCs w:val="16"/>
              </w:rPr>
            </w:pPr>
            <w:r w:rsidRPr="009E06AA">
              <w:rPr>
                <w:bCs/>
                <w:color w:val="000000"/>
                <w:szCs w:val="16"/>
              </w:rPr>
              <w:t>4.A.2</w:t>
            </w:r>
          </w:p>
        </w:tc>
        <w:tc>
          <w:tcPr>
            <w:tcW w:w="1843" w:type="dxa"/>
            <w:tcBorders>
              <w:top w:val="single" w:sz="4" w:space="0" w:color="1B556B"/>
              <w:left w:val="nil"/>
              <w:bottom w:val="single" w:sz="4" w:space="0" w:color="1B556B"/>
              <w:right w:val="nil"/>
            </w:tcBorders>
            <w:hideMark/>
          </w:tcPr>
          <w:p w14:paraId="24FB9507" w14:textId="77777777" w:rsidR="00C3347F" w:rsidRPr="009E06AA" w:rsidRDefault="00C3347F" w:rsidP="00B55F24">
            <w:pPr>
              <w:pStyle w:val="TableText"/>
              <w:spacing w:before="50" w:after="50"/>
              <w:rPr>
                <w:color w:val="000000"/>
                <w:szCs w:val="16"/>
              </w:rPr>
            </w:pPr>
            <w:r w:rsidRPr="009E06AA">
              <w:rPr>
                <w:color w:val="000000"/>
                <w:szCs w:val="16"/>
              </w:rPr>
              <w:t>Settlements converted to other land uses</w:t>
            </w:r>
          </w:p>
        </w:tc>
        <w:tc>
          <w:tcPr>
            <w:tcW w:w="992" w:type="dxa"/>
            <w:tcBorders>
              <w:top w:val="single" w:sz="4" w:space="0" w:color="1B556B"/>
              <w:left w:val="nil"/>
              <w:bottom w:val="single" w:sz="4" w:space="0" w:color="1B556B"/>
              <w:right w:val="nil"/>
            </w:tcBorders>
            <w:hideMark/>
          </w:tcPr>
          <w:p w14:paraId="6290F386" w14:textId="77777777" w:rsidR="00C3347F" w:rsidRPr="009E06AA" w:rsidRDefault="00C3347F" w:rsidP="00B55F24">
            <w:pPr>
              <w:pStyle w:val="TableText"/>
              <w:spacing w:before="50" w:after="50"/>
              <w:rPr>
                <w:color w:val="000000"/>
                <w:szCs w:val="16"/>
              </w:rPr>
            </w:pPr>
            <w:r w:rsidRPr="009E06AA">
              <w:rPr>
                <w:color w:val="000000"/>
                <w:szCs w:val="16"/>
              </w:rPr>
              <w:t>CO</w:t>
            </w:r>
            <w:r w:rsidRPr="009E06AA">
              <w:rPr>
                <w:color w:val="000000"/>
                <w:szCs w:val="16"/>
                <w:vertAlign w:val="subscript"/>
              </w:rPr>
              <w:t>2 (losses)</w:t>
            </w:r>
          </w:p>
        </w:tc>
        <w:tc>
          <w:tcPr>
            <w:tcW w:w="4536" w:type="dxa"/>
            <w:tcBorders>
              <w:top w:val="single" w:sz="4" w:space="0" w:color="1B556B"/>
              <w:left w:val="nil"/>
              <w:bottom w:val="single" w:sz="4" w:space="0" w:color="1B556B"/>
              <w:right w:val="nil"/>
            </w:tcBorders>
            <w:hideMark/>
          </w:tcPr>
          <w:p w14:paraId="6DDB4E8B" w14:textId="49EF1B56" w:rsidR="00C3347F" w:rsidRPr="009E06AA" w:rsidRDefault="00C3347F" w:rsidP="00B55F24">
            <w:pPr>
              <w:pStyle w:val="TableText"/>
              <w:spacing w:before="50" w:after="50"/>
              <w:rPr>
                <w:szCs w:val="16"/>
              </w:rPr>
            </w:pPr>
            <w:r w:rsidRPr="009E06AA">
              <w:rPr>
                <w:szCs w:val="16"/>
              </w:rPr>
              <w:t xml:space="preserve">This category is not mandatory. No methodology is provided in the 2006 IPCC Guidelines for calculating Tier 1 estimates of carbon stocks in living biomass for </w:t>
            </w:r>
            <w:r w:rsidRPr="009E06AA">
              <w:rPr>
                <w:i/>
                <w:iCs/>
                <w:szCs w:val="16"/>
              </w:rPr>
              <w:t>Settlements</w:t>
            </w:r>
            <w:r w:rsidRPr="009E06AA">
              <w:rPr>
                <w:szCs w:val="16"/>
              </w:rPr>
              <w:t xml:space="preserve"> (IPCC, 2006d). Therefore, with land-use change from </w:t>
            </w:r>
            <w:r w:rsidRPr="009E06AA">
              <w:rPr>
                <w:i/>
                <w:iCs/>
                <w:szCs w:val="16"/>
              </w:rPr>
              <w:t>Settlements</w:t>
            </w:r>
            <w:r w:rsidRPr="009E06AA">
              <w:rPr>
                <w:szCs w:val="16"/>
              </w:rPr>
              <w:t xml:space="preserve"> to other land uses, no carbon stock loss is reported. Because New Zealand uses the stock change approach, losses are only reported in years when new land is converted to this category, or where there is harvesting of forest in the year of conversion. When neither of these activities occurs, </w:t>
            </w:r>
            <w:r w:rsidRPr="009E06AA">
              <w:rPr>
                <w:spacing w:val="-2"/>
                <w:szCs w:val="16"/>
              </w:rPr>
              <w:t>the losses are reported with biomass gains (stock change approach</w:t>
            </w:r>
            <w:r w:rsidRPr="009E06AA">
              <w:rPr>
                <w:szCs w:val="16"/>
              </w:rPr>
              <w:t>) and ‘IE’ (included elsewhere) is reported for biomass losses.</w:t>
            </w:r>
          </w:p>
        </w:tc>
      </w:tr>
      <w:tr w:rsidR="00C3347F" w:rsidRPr="009E06AA" w14:paraId="60E305D2" w14:textId="77777777" w:rsidTr="00B55F24">
        <w:tc>
          <w:tcPr>
            <w:tcW w:w="1134" w:type="dxa"/>
            <w:tcBorders>
              <w:top w:val="single" w:sz="4" w:space="0" w:color="1B556B"/>
              <w:left w:val="nil"/>
              <w:bottom w:val="single" w:sz="4" w:space="0" w:color="1B556B"/>
              <w:right w:val="nil"/>
            </w:tcBorders>
            <w:hideMark/>
          </w:tcPr>
          <w:p w14:paraId="548DEAC8" w14:textId="77777777" w:rsidR="00C3347F" w:rsidRPr="009E06AA" w:rsidRDefault="00C3347F" w:rsidP="00B55F24">
            <w:pPr>
              <w:pStyle w:val="TableText"/>
              <w:spacing w:before="50" w:after="50"/>
              <w:rPr>
                <w:bCs/>
                <w:color w:val="000000"/>
                <w:szCs w:val="16"/>
              </w:rPr>
            </w:pPr>
            <w:r w:rsidRPr="009E06AA">
              <w:rPr>
                <w:bCs/>
                <w:color w:val="000000"/>
                <w:szCs w:val="16"/>
              </w:rPr>
              <w:t>4.A.2, 4.C.2</w:t>
            </w:r>
          </w:p>
        </w:tc>
        <w:tc>
          <w:tcPr>
            <w:tcW w:w="1843" w:type="dxa"/>
            <w:tcBorders>
              <w:top w:val="single" w:sz="4" w:space="0" w:color="1B556B"/>
              <w:left w:val="nil"/>
              <w:bottom w:val="single" w:sz="4" w:space="0" w:color="1B556B"/>
              <w:right w:val="nil"/>
            </w:tcBorders>
            <w:hideMark/>
          </w:tcPr>
          <w:p w14:paraId="6374D2EC" w14:textId="77777777" w:rsidR="00C3347F" w:rsidRPr="009E06AA" w:rsidRDefault="00C3347F" w:rsidP="00B55F24">
            <w:pPr>
              <w:pStyle w:val="TableText"/>
              <w:spacing w:before="50" w:after="50"/>
              <w:rPr>
                <w:color w:val="000000"/>
                <w:szCs w:val="16"/>
              </w:rPr>
            </w:pPr>
            <w:r w:rsidRPr="009E06AA">
              <w:rPr>
                <w:color w:val="000000"/>
                <w:szCs w:val="16"/>
              </w:rPr>
              <w:t>Other land converted to other land uses</w:t>
            </w:r>
          </w:p>
        </w:tc>
        <w:tc>
          <w:tcPr>
            <w:tcW w:w="992" w:type="dxa"/>
            <w:tcBorders>
              <w:top w:val="single" w:sz="4" w:space="0" w:color="1B556B"/>
              <w:left w:val="nil"/>
              <w:bottom w:val="single" w:sz="4" w:space="0" w:color="1B556B"/>
              <w:right w:val="nil"/>
            </w:tcBorders>
            <w:hideMark/>
          </w:tcPr>
          <w:p w14:paraId="13CC8087" w14:textId="77777777" w:rsidR="00C3347F" w:rsidRPr="009E06AA" w:rsidRDefault="00C3347F" w:rsidP="00B55F24">
            <w:pPr>
              <w:pStyle w:val="TableText"/>
              <w:spacing w:before="50" w:after="50"/>
              <w:rPr>
                <w:color w:val="000000"/>
                <w:szCs w:val="16"/>
              </w:rPr>
            </w:pPr>
            <w:r w:rsidRPr="009E06AA">
              <w:rPr>
                <w:color w:val="000000"/>
                <w:szCs w:val="16"/>
              </w:rPr>
              <w:t>CO</w:t>
            </w:r>
            <w:r w:rsidRPr="009E06AA">
              <w:rPr>
                <w:color w:val="000000"/>
                <w:szCs w:val="16"/>
                <w:vertAlign w:val="subscript"/>
              </w:rPr>
              <w:t>2 (losses)</w:t>
            </w:r>
          </w:p>
        </w:tc>
        <w:tc>
          <w:tcPr>
            <w:tcW w:w="4536" w:type="dxa"/>
            <w:tcBorders>
              <w:top w:val="single" w:sz="4" w:space="0" w:color="1B556B"/>
              <w:left w:val="nil"/>
              <w:bottom w:val="single" w:sz="4" w:space="0" w:color="1B556B"/>
              <w:right w:val="nil"/>
            </w:tcBorders>
            <w:hideMark/>
          </w:tcPr>
          <w:p w14:paraId="276B77E3" w14:textId="74F89FC9" w:rsidR="00C3347F" w:rsidRPr="009E06AA" w:rsidRDefault="00C3347F" w:rsidP="00B55F24">
            <w:pPr>
              <w:pStyle w:val="TableText"/>
              <w:spacing w:before="50" w:after="50"/>
              <w:rPr>
                <w:szCs w:val="16"/>
              </w:rPr>
            </w:pPr>
            <w:r w:rsidRPr="009E06AA">
              <w:rPr>
                <w:szCs w:val="16"/>
              </w:rPr>
              <w:t xml:space="preserve">This category is not mandatory. No methodology is provided in the 2006 IPCC Guidelines for calculating Tier 1 estimates of carbon stocks in living biomass for </w:t>
            </w:r>
            <w:r w:rsidRPr="009E06AA">
              <w:rPr>
                <w:i/>
                <w:iCs/>
                <w:szCs w:val="16"/>
              </w:rPr>
              <w:t xml:space="preserve">Other land </w:t>
            </w:r>
            <w:r w:rsidRPr="009E06AA">
              <w:rPr>
                <w:szCs w:val="16"/>
              </w:rPr>
              <w:t xml:space="preserve">(IPCC, 2006d). Therefore, with land-use change from </w:t>
            </w:r>
            <w:r w:rsidRPr="009E06AA">
              <w:rPr>
                <w:i/>
                <w:iCs/>
                <w:szCs w:val="16"/>
              </w:rPr>
              <w:t>Other land</w:t>
            </w:r>
            <w:r w:rsidRPr="009E06AA">
              <w:rPr>
                <w:szCs w:val="16"/>
              </w:rPr>
              <w:t xml:space="preserve"> to other land uses, no carbon stock loss is reported. Because New Zealand uses the stock change approach, losses are only reported in years when new land is converted to this category, or where there is harvesting of forest in the year of conversion. When neither of these activities occurs, the losses are reported with biomass gains (stock change approach) and IE is reported for biomass losses.</w:t>
            </w:r>
          </w:p>
        </w:tc>
      </w:tr>
      <w:tr w:rsidR="00C3347F" w:rsidRPr="009E06AA" w14:paraId="517F9DB6" w14:textId="77777777" w:rsidTr="00B55F24">
        <w:tc>
          <w:tcPr>
            <w:tcW w:w="1134" w:type="dxa"/>
            <w:tcBorders>
              <w:top w:val="single" w:sz="4" w:space="0" w:color="1B556B"/>
              <w:left w:val="nil"/>
              <w:bottom w:val="single" w:sz="4" w:space="0" w:color="0E2A36" w:themeColor="accent1" w:themeShade="80"/>
              <w:right w:val="nil"/>
            </w:tcBorders>
            <w:hideMark/>
          </w:tcPr>
          <w:p w14:paraId="006338A3" w14:textId="77777777" w:rsidR="00C3347F" w:rsidRPr="009E06AA" w:rsidRDefault="00C3347F" w:rsidP="00B55F24">
            <w:pPr>
              <w:pStyle w:val="TableText"/>
              <w:spacing w:before="50" w:after="50"/>
              <w:rPr>
                <w:bCs/>
                <w:color w:val="000000"/>
                <w:szCs w:val="16"/>
              </w:rPr>
            </w:pPr>
            <w:r w:rsidRPr="009E06AA">
              <w:rPr>
                <w:bCs/>
                <w:color w:val="000000"/>
                <w:szCs w:val="16"/>
              </w:rPr>
              <w:t>4.A, 4.B, 4.C, 4.D, 4.F</w:t>
            </w:r>
          </w:p>
        </w:tc>
        <w:tc>
          <w:tcPr>
            <w:tcW w:w="1843" w:type="dxa"/>
            <w:tcBorders>
              <w:top w:val="single" w:sz="4" w:space="0" w:color="1B556B"/>
              <w:left w:val="nil"/>
              <w:bottom w:val="single" w:sz="4" w:space="0" w:color="0E2A36" w:themeColor="accent1" w:themeShade="80"/>
              <w:right w:val="nil"/>
            </w:tcBorders>
            <w:hideMark/>
          </w:tcPr>
          <w:p w14:paraId="7980758A" w14:textId="77777777" w:rsidR="00C3347F" w:rsidRPr="009E06AA" w:rsidRDefault="00C3347F" w:rsidP="00B55F24">
            <w:pPr>
              <w:pStyle w:val="TableText"/>
              <w:spacing w:before="50" w:after="50"/>
              <w:rPr>
                <w:color w:val="000000"/>
                <w:szCs w:val="16"/>
              </w:rPr>
            </w:pPr>
            <w:r w:rsidRPr="009E06AA">
              <w:rPr>
                <w:color w:val="000000"/>
                <w:szCs w:val="16"/>
              </w:rPr>
              <w:t xml:space="preserve">Forest land, Cropland, Grassland, Wetlands and Other land: Rewetting and other management of organic and mineral soils </w:t>
            </w:r>
          </w:p>
        </w:tc>
        <w:tc>
          <w:tcPr>
            <w:tcW w:w="992" w:type="dxa"/>
            <w:tcBorders>
              <w:top w:val="single" w:sz="4" w:space="0" w:color="1B556B"/>
              <w:left w:val="nil"/>
              <w:bottom w:val="single" w:sz="4" w:space="0" w:color="0E2A36" w:themeColor="accent1" w:themeShade="80"/>
              <w:right w:val="nil"/>
            </w:tcBorders>
            <w:hideMark/>
          </w:tcPr>
          <w:p w14:paraId="502A3568" w14:textId="77777777" w:rsidR="00C3347F" w:rsidRPr="009E06AA" w:rsidRDefault="00C3347F" w:rsidP="00B55F24">
            <w:pPr>
              <w:pStyle w:val="TableText"/>
              <w:spacing w:before="50" w:after="50"/>
              <w:rPr>
                <w:color w:val="000000"/>
                <w:szCs w:val="16"/>
              </w:rPr>
            </w:pPr>
            <w:r w:rsidRPr="009E06AA">
              <w:rPr>
                <w:color w:val="000000"/>
                <w:szCs w:val="16"/>
              </w:rPr>
              <w:t>CO</w:t>
            </w:r>
            <w:r w:rsidRPr="009E06AA">
              <w:rPr>
                <w:color w:val="000000"/>
                <w:szCs w:val="16"/>
                <w:vertAlign w:val="subscript"/>
              </w:rPr>
              <w:t>2</w:t>
            </w:r>
          </w:p>
        </w:tc>
        <w:tc>
          <w:tcPr>
            <w:tcW w:w="4536" w:type="dxa"/>
            <w:tcBorders>
              <w:top w:val="single" w:sz="4" w:space="0" w:color="1B556B"/>
              <w:left w:val="nil"/>
              <w:bottom w:val="single" w:sz="4" w:space="0" w:color="0E2A36" w:themeColor="accent1" w:themeShade="80"/>
              <w:right w:val="nil"/>
            </w:tcBorders>
            <w:hideMark/>
          </w:tcPr>
          <w:p w14:paraId="7E4FABD2" w14:textId="0116D14B" w:rsidR="00C3347F" w:rsidRPr="009E06AA" w:rsidRDefault="00C3347F" w:rsidP="00B55F24">
            <w:pPr>
              <w:pStyle w:val="TableText"/>
              <w:spacing w:before="50" w:after="50"/>
              <w:rPr>
                <w:szCs w:val="16"/>
              </w:rPr>
            </w:pPr>
            <w:r w:rsidRPr="009E06AA">
              <w:rPr>
                <w:szCs w:val="16"/>
              </w:rPr>
              <w:t>This category is not mandatory. No methodology is provided in the 2006 IPCC Guidelines for estimating emissions from this source category (IPCC, 2006d).</w:t>
            </w:r>
          </w:p>
        </w:tc>
      </w:tr>
      <w:tr w:rsidR="00C3347F" w:rsidRPr="009E06AA" w14:paraId="7FC91C9F" w14:textId="77777777" w:rsidTr="00B55F24">
        <w:tc>
          <w:tcPr>
            <w:tcW w:w="1134" w:type="dxa"/>
            <w:tcBorders>
              <w:top w:val="single" w:sz="4" w:space="0" w:color="1B556B"/>
              <w:left w:val="nil"/>
              <w:bottom w:val="single" w:sz="4" w:space="0" w:color="0E2A36" w:themeColor="accent1" w:themeShade="80"/>
              <w:right w:val="nil"/>
            </w:tcBorders>
            <w:hideMark/>
          </w:tcPr>
          <w:p w14:paraId="27D223DD" w14:textId="77777777" w:rsidR="00C3347F" w:rsidRPr="009E06AA" w:rsidRDefault="00C3347F" w:rsidP="00B55F24">
            <w:pPr>
              <w:pStyle w:val="TableText"/>
              <w:spacing w:before="50" w:after="50"/>
              <w:rPr>
                <w:bCs/>
                <w:color w:val="000000"/>
                <w:szCs w:val="16"/>
              </w:rPr>
            </w:pPr>
            <w:r w:rsidRPr="009E06AA">
              <w:rPr>
                <w:bCs/>
                <w:color w:val="000000"/>
                <w:szCs w:val="16"/>
              </w:rPr>
              <w:t>4.B.1, 4.B.2</w:t>
            </w:r>
          </w:p>
        </w:tc>
        <w:tc>
          <w:tcPr>
            <w:tcW w:w="1843" w:type="dxa"/>
            <w:tcBorders>
              <w:top w:val="single" w:sz="4" w:space="0" w:color="1B556B"/>
              <w:left w:val="nil"/>
              <w:bottom w:val="single" w:sz="4" w:space="0" w:color="0E2A36" w:themeColor="accent1" w:themeShade="80"/>
              <w:right w:val="nil"/>
            </w:tcBorders>
            <w:hideMark/>
          </w:tcPr>
          <w:p w14:paraId="43B69978" w14:textId="77777777" w:rsidR="00C3347F" w:rsidRPr="009E06AA" w:rsidRDefault="00C3347F" w:rsidP="00B55F24">
            <w:pPr>
              <w:pStyle w:val="TableText"/>
              <w:spacing w:before="50" w:after="50"/>
              <w:rPr>
                <w:color w:val="000000"/>
                <w:szCs w:val="16"/>
              </w:rPr>
            </w:pPr>
            <w:r w:rsidRPr="009E06AA">
              <w:rPr>
                <w:color w:val="000000"/>
                <w:szCs w:val="16"/>
              </w:rPr>
              <w:t>Land converted to cropland, Cropland remaining cropland</w:t>
            </w:r>
          </w:p>
        </w:tc>
        <w:tc>
          <w:tcPr>
            <w:tcW w:w="992" w:type="dxa"/>
            <w:tcBorders>
              <w:top w:val="single" w:sz="4" w:space="0" w:color="1B556B"/>
              <w:left w:val="nil"/>
              <w:bottom w:val="single" w:sz="4" w:space="0" w:color="0E2A36" w:themeColor="accent1" w:themeShade="80"/>
              <w:right w:val="nil"/>
            </w:tcBorders>
            <w:hideMark/>
          </w:tcPr>
          <w:p w14:paraId="4F2A75AC" w14:textId="77777777" w:rsidR="00C3347F" w:rsidRPr="009E06AA" w:rsidRDefault="00C3347F" w:rsidP="00B55F24">
            <w:pPr>
              <w:pStyle w:val="TableText"/>
              <w:spacing w:before="50" w:after="50"/>
              <w:rPr>
                <w:color w:val="000000"/>
                <w:szCs w:val="16"/>
              </w:rPr>
            </w:pPr>
            <w:r w:rsidRPr="009E06AA">
              <w:rPr>
                <w:color w:val="000000"/>
                <w:szCs w:val="16"/>
              </w:rPr>
              <w:t>CO</w:t>
            </w:r>
            <w:r w:rsidRPr="009E06AA">
              <w:rPr>
                <w:color w:val="000000"/>
                <w:szCs w:val="16"/>
                <w:vertAlign w:val="subscript"/>
              </w:rPr>
              <w:t>2 (deadwood)</w:t>
            </w:r>
          </w:p>
        </w:tc>
        <w:tc>
          <w:tcPr>
            <w:tcW w:w="4536" w:type="dxa"/>
            <w:tcBorders>
              <w:top w:val="single" w:sz="4" w:space="0" w:color="1B556B"/>
              <w:left w:val="nil"/>
              <w:bottom w:val="single" w:sz="4" w:space="0" w:color="0E2A36" w:themeColor="accent1" w:themeShade="80"/>
              <w:right w:val="nil"/>
            </w:tcBorders>
            <w:hideMark/>
          </w:tcPr>
          <w:p w14:paraId="2AF12299" w14:textId="6367D3AE" w:rsidR="00C3347F" w:rsidRPr="009E06AA" w:rsidRDefault="00C3347F" w:rsidP="00B55F24">
            <w:pPr>
              <w:pStyle w:val="TableText"/>
              <w:spacing w:before="50" w:after="50"/>
              <w:rPr>
                <w:szCs w:val="16"/>
              </w:rPr>
            </w:pPr>
            <w:r w:rsidRPr="009E06AA">
              <w:rPr>
                <w:szCs w:val="16"/>
              </w:rPr>
              <w:t>This category is not mandatory. No methodology is provided in the 2006 IPCC Guidelines for calculating Tier 1 estimates of carbon stock change in dead organic matter for land-use changes to this land use category (IPCC, 2006d). Any emissions reported are for loss of dead organic matter from the previous land use that occurs in the year of conversion.</w:t>
            </w:r>
          </w:p>
        </w:tc>
      </w:tr>
      <w:tr w:rsidR="00C3347F" w:rsidRPr="009E06AA" w14:paraId="6F8B1C61" w14:textId="77777777" w:rsidTr="00B55F24">
        <w:tc>
          <w:tcPr>
            <w:tcW w:w="1134" w:type="dxa"/>
            <w:tcBorders>
              <w:top w:val="single" w:sz="4" w:space="0" w:color="0E2A36" w:themeColor="accent1" w:themeShade="80"/>
              <w:left w:val="nil"/>
              <w:bottom w:val="single" w:sz="4" w:space="0" w:color="1B556B"/>
              <w:right w:val="nil"/>
            </w:tcBorders>
            <w:shd w:val="clear" w:color="auto" w:fill="FFFFFF" w:themeFill="background1"/>
            <w:hideMark/>
          </w:tcPr>
          <w:p w14:paraId="615C062E" w14:textId="77777777" w:rsidR="00C3347F" w:rsidRPr="009E06AA" w:rsidRDefault="00C3347F" w:rsidP="00B55F24">
            <w:pPr>
              <w:pStyle w:val="TableText"/>
              <w:spacing w:before="50" w:after="50"/>
              <w:rPr>
                <w:bCs/>
                <w:color w:val="000000"/>
                <w:szCs w:val="16"/>
              </w:rPr>
            </w:pPr>
            <w:r w:rsidRPr="009E06AA">
              <w:rPr>
                <w:bCs/>
                <w:color w:val="000000"/>
                <w:szCs w:val="16"/>
              </w:rPr>
              <w:t>4.B.1</w:t>
            </w:r>
          </w:p>
        </w:tc>
        <w:tc>
          <w:tcPr>
            <w:tcW w:w="1843" w:type="dxa"/>
            <w:tcBorders>
              <w:top w:val="single" w:sz="4" w:space="0" w:color="0E2A36" w:themeColor="accent1" w:themeShade="80"/>
              <w:left w:val="nil"/>
              <w:bottom w:val="single" w:sz="4" w:space="0" w:color="1B556B"/>
              <w:right w:val="nil"/>
            </w:tcBorders>
            <w:shd w:val="clear" w:color="auto" w:fill="FFFFFF" w:themeFill="background1"/>
            <w:hideMark/>
          </w:tcPr>
          <w:p w14:paraId="22660DD2" w14:textId="77777777" w:rsidR="00C3347F" w:rsidRPr="009E06AA" w:rsidRDefault="00C3347F" w:rsidP="00B55F24">
            <w:pPr>
              <w:pStyle w:val="TableText"/>
              <w:spacing w:before="50" w:after="50"/>
              <w:rPr>
                <w:color w:val="000000"/>
                <w:szCs w:val="16"/>
              </w:rPr>
            </w:pPr>
            <w:r w:rsidRPr="009E06AA">
              <w:rPr>
                <w:color w:val="000000"/>
                <w:szCs w:val="16"/>
              </w:rPr>
              <w:t>Cropland remaining cropland/4(V) Biomass burning/ Wildfires/ Cropland remaining cropland</w:t>
            </w:r>
          </w:p>
        </w:tc>
        <w:tc>
          <w:tcPr>
            <w:tcW w:w="992" w:type="dxa"/>
            <w:tcBorders>
              <w:top w:val="single" w:sz="4" w:space="0" w:color="0E2A36" w:themeColor="accent1" w:themeShade="80"/>
              <w:left w:val="nil"/>
              <w:bottom w:val="single" w:sz="4" w:space="0" w:color="1B556B"/>
              <w:right w:val="nil"/>
            </w:tcBorders>
            <w:shd w:val="clear" w:color="auto" w:fill="FFFFFF" w:themeFill="background1"/>
            <w:hideMark/>
          </w:tcPr>
          <w:p w14:paraId="402CF579" w14:textId="77777777" w:rsidR="00C3347F" w:rsidRPr="009E06AA" w:rsidRDefault="00C3347F" w:rsidP="00B55F24">
            <w:pPr>
              <w:pStyle w:val="TableText"/>
              <w:spacing w:before="50" w:after="50"/>
              <w:rPr>
                <w:color w:val="000000"/>
                <w:szCs w:val="16"/>
              </w:rPr>
            </w:pPr>
            <w:r w:rsidRPr="009E06AA">
              <w:rPr>
                <w:color w:val="000000"/>
                <w:szCs w:val="16"/>
              </w:rPr>
              <w:t>CH</w:t>
            </w:r>
            <w:r w:rsidRPr="009E06AA">
              <w:rPr>
                <w:color w:val="000000"/>
                <w:szCs w:val="16"/>
                <w:vertAlign w:val="subscript"/>
              </w:rPr>
              <w:t>4</w:t>
            </w:r>
            <w:r w:rsidRPr="009E06AA">
              <w:rPr>
                <w:color w:val="000000"/>
                <w:szCs w:val="16"/>
              </w:rPr>
              <w:t>, N</w:t>
            </w:r>
            <w:r w:rsidRPr="009E06AA">
              <w:rPr>
                <w:color w:val="000000"/>
                <w:szCs w:val="16"/>
                <w:vertAlign w:val="subscript"/>
              </w:rPr>
              <w:t>2</w:t>
            </w:r>
            <w:r w:rsidRPr="009E06AA">
              <w:rPr>
                <w:color w:val="000000"/>
                <w:szCs w:val="16"/>
              </w:rPr>
              <w:t>O</w:t>
            </w:r>
          </w:p>
        </w:tc>
        <w:tc>
          <w:tcPr>
            <w:tcW w:w="4536" w:type="dxa"/>
            <w:tcBorders>
              <w:top w:val="single" w:sz="4" w:space="0" w:color="0E2A36" w:themeColor="accent1" w:themeShade="80"/>
              <w:left w:val="nil"/>
              <w:bottom w:val="single" w:sz="4" w:space="0" w:color="1B556B"/>
              <w:right w:val="nil"/>
            </w:tcBorders>
            <w:shd w:val="clear" w:color="auto" w:fill="FFFFFF" w:themeFill="background1"/>
            <w:hideMark/>
          </w:tcPr>
          <w:p w14:paraId="17D2080A" w14:textId="77777777" w:rsidR="00C3347F" w:rsidRPr="009E06AA" w:rsidRDefault="00C3347F" w:rsidP="00B55F24">
            <w:pPr>
              <w:pStyle w:val="TableText"/>
              <w:spacing w:before="50" w:after="50"/>
              <w:rPr>
                <w:szCs w:val="16"/>
              </w:rPr>
            </w:pPr>
            <w:r w:rsidRPr="009E06AA">
              <w:rPr>
                <w:szCs w:val="16"/>
              </w:rPr>
              <w:t>New Zealand does not have sufficient information on biomass burning activities to reliably report on it.</w:t>
            </w:r>
          </w:p>
        </w:tc>
      </w:tr>
      <w:tr w:rsidR="00C3347F" w:rsidRPr="009E06AA" w14:paraId="242B5F8A" w14:textId="77777777" w:rsidTr="00B55F24">
        <w:tc>
          <w:tcPr>
            <w:tcW w:w="1134" w:type="dxa"/>
            <w:tcBorders>
              <w:top w:val="single" w:sz="4" w:space="0" w:color="0E2A36" w:themeColor="accent1" w:themeShade="80"/>
              <w:left w:val="nil"/>
              <w:bottom w:val="single" w:sz="4" w:space="0" w:color="1B556B"/>
              <w:right w:val="nil"/>
            </w:tcBorders>
            <w:shd w:val="clear" w:color="auto" w:fill="FFFFFF" w:themeFill="background1"/>
            <w:hideMark/>
          </w:tcPr>
          <w:p w14:paraId="46CCB0A5" w14:textId="77777777" w:rsidR="00C3347F" w:rsidRPr="009E06AA" w:rsidRDefault="00C3347F" w:rsidP="00B55F24">
            <w:pPr>
              <w:pStyle w:val="TableText"/>
              <w:spacing w:before="50" w:after="50"/>
              <w:rPr>
                <w:bCs/>
                <w:color w:val="000000"/>
                <w:szCs w:val="16"/>
              </w:rPr>
            </w:pPr>
            <w:r w:rsidRPr="009E06AA">
              <w:rPr>
                <w:bCs/>
                <w:color w:val="000000"/>
                <w:szCs w:val="16"/>
              </w:rPr>
              <w:t>4.B.2</w:t>
            </w:r>
          </w:p>
        </w:tc>
        <w:tc>
          <w:tcPr>
            <w:tcW w:w="1843" w:type="dxa"/>
            <w:tcBorders>
              <w:top w:val="single" w:sz="4" w:space="0" w:color="0E2A36" w:themeColor="accent1" w:themeShade="80"/>
              <w:left w:val="nil"/>
              <w:bottom w:val="single" w:sz="4" w:space="0" w:color="1B556B"/>
              <w:right w:val="nil"/>
            </w:tcBorders>
            <w:shd w:val="clear" w:color="auto" w:fill="FFFFFF" w:themeFill="background1"/>
            <w:hideMark/>
          </w:tcPr>
          <w:p w14:paraId="35A18A13" w14:textId="77777777" w:rsidR="00C3347F" w:rsidRPr="009E06AA" w:rsidRDefault="00C3347F" w:rsidP="00B55F24">
            <w:pPr>
              <w:pStyle w:val="TableText"/>
              <w:spacing w:before="50" w:after="50"/>
              <w:rPr>
                <w:color w:val="000000"/>
                <w:szCs w:val="16"/>
              </w:rPr>
            </w:pPr>
            <w:r w:rsidRPr="009E06AA">
              <w:rPr>
                <w:color w:val="000000"/>
                <w:szCs w:val="16"/>
              </w:rPr>
              <w:t>Land converted to cropland/4(V) Biomass burning/ Wildfires/ Land converted to cropland</w:t>
            </w:r>
          </w:p>
        </w:tc>
        <w:tc>
          <w:tcPr>
            <w:tcW w:w="992" w:type="dxa"/>
            <w:tcBorders>
              <w:top w:val="single" w:sz="4" w:space="0" w:color="0E2A36" w:themeColor="accent1" w:themeShade="80"/>
              <w:left w:val="nil"/>
              <w:bottom w:val="single" w:sz="4" w:space="0" w:color="1B556B"/>
              <w:right w:val="nil"/>
            </w:tcBorders>
            <w:shd w:val="clear" w:color="auto" w:fill="FFFFFF" w:themeFill="background1"/>
            <w:hideMark/>
          </w:tcPr>
          <w:p w14:paraId="113AD678" w14:textId="77777777" w:rsidR="00C3347F" w:rsidRPr="009E06AA" w:rsidRDefault="00C3347F" w:rsidP="00B55F24">
            <w:pPr>
              <w:pStyle w:val="TableText"/>
              <w:spacing w:before="50" w:after="50"/>
              <w:rPr>
                <w:color w:val="000000"/>
                <w:szCs w:val="16"/>
              </w:rPr>
            </w:pPr>
            <w:r w:rsidRPr="009E06AA">
              <w:rPr>
                <w:color w:val="000000"/>
                <w:szCs w:val="16"/>
              </w:rPr>
              <w:t>CH</w:t>
            </w:r>
            <w:r w:rsidRPr="009E06AA">
              <w:rPr>
                <w:color w:val="000000"/>
                <w:szCs w:val="16"/>
                <w:vertAlign w:val="subscript"/>
              </w:rPr>
              <w:t>4</w:t>
            </w:r>
            <w:r w:rsidRPr="009E06AA">
              <w:rPr>
                <w:color w:val="000000"/>
                <w:szCs w:val="16"/>
              </w:rPr>
              <w:t>, N</w:t>
            </w:r>
            <w:r w:rsidRPr="009E06AA">
              <w:rPr>
                <w:color w:val="000000"/>
                <w:szCs w:val="16"/>
                <w:vertAlign w:val="subscript"/>
              </w:rPr>
              <w:t>2</w:t>
            </w:r>
            <w:r w:rsidRPr="009E06AA">
              <w:rPr>
                <w:color w:val="000000"/>
                <w:szCs w:val="16"/>
              </w:rPr>
              <w:t>O</w:t>
            </w:r>
          </w:p>
        </w:tc>
        <w:tc>
          <w:tcPr>
            <w:tcW w:w="4536" w:type="dxa"/>
            <w:tcBorders>
              <w:top w:val="single" w:sz="4" w:space="0" w:color="0E2A36" w:themeColor="accent1" w:themeShade="80"/>
              <w:left w:val="nil"/>
              <w:bottom w:val="single" w:sz="4" w:space="0" w:color="1B556B"/>
              <w:right w:val="nil"/>
            </w:tcBorders>
            <w:shd w:val="clear" w:color="auto" w:fill="FFFFFF" w:themeFill="background1"/>
            <w:hideMark/>
          </w:tcPr>
          <w:p w14:paraId="19426BB9" w14:textId="77777777" w:rsidR="00C3347F" w:rsidRPr="009E06AA" w:rsidRDefault="00C3347F" w:rsidP="00B55F24">
            <w:pPr>
              <w:pStyle w:val="TableText"/>
              <w:spacing w:before="50" w:after="50"/>
              <w:rPr>
                <w:szCs w:val="16"/>
              </w:rPr>
            </w:pPr>
            <w:r w:rsidRPr="009E06AA">
              <w:rPr>
                <w:szCs w:val="16"/>
              </w:rPr>
              <w:t>New Zealand does not have sufficient information on biomass burning activities to reliably report on it.</w:t>
            </w:r>
          </w:p>
        </w:tc>
      </w:tr>
      <w:tr w:rsidR="00C3347F" w:rsidRPr="009E06AA" w14:paraId="76D2CC38" w14:textId="77777777" w:rsidTr="00B55F24">
        <w:tc>
          <w:tcPr>
            <w:tcW w:w="1134" w:type="dxa"/>
            <w:tcBorders>
              <w:top w:val="single" w:sz="4" w:space="0" w:color="0E2A36" w:themeColor="accent1" w:themeShade="80"/>
              <w:left w:val="nil"/>
              <w:bottom w:val="single" w:sz="4" w:space="0" w:color="1B556B"/>
              <w:right w:val="nil"/>
            </w:tcBorders>
            <w:hideMark/>
          </w:tcPr>
          <w:p w14:paraId="2EFD07FA" w14:textId="77777777" w:rsidR="00C3347F" w:rsidRPr="009E06AA" w:rsidRDefault="00C3347F" w:rsidP="00B55F24">
            <w:pPr>
              <w:pStyle w:val="TableText"/>
              <w:spacing w:before="50" w:after="50"/>
              <w:rPr>
                <w:bCs/>
                <w:color w:val="000000"/>
                <w:szCs w:val="16"/>
              </w:rPr>
            </w:pPr>
            <w:r w:rsidRPr="009E06AA">
              <w:rPr>
                <w:bCs/>
                <w:color w:val="000000"/>
                <w:szCs w:val="16"/>
              </w:rPr>
              <w:t>4.C.1,4.C.2</w:t>
            </w:r>
          </w:p>
        </w:tc>
        <w:tc>
          <w:tcPr>
            <w:tcW w:w="1843" w:type="dxa"/>
            <w:tcBorders>
              <w:top w:val="single" w:sz="4" w:space="0" w:color="0E2A36" w:themeColor="accent1" w:themeShade="80"/>
              <w:left w:val="nil"/>
              <w:bottom w:val="single" w:sz="4" w:space="0" w:color="1B556B"/>
              <w:right w:val="nil"/>
            </w:tcBorders>
            <w:hideMark/>
          </w:tcPr>
          <w:p w14:paraId="3C27C94D" w14:textId="77777777" w:rsidR="00C3347F" w:rsidRPr="009E06AA" w:rsidRDefault="00C3347F" w:rsidP="00B55F24">
            <w:pPr>
              <w:pStyle w:val="TableText"/>
              <w:spacing w:before="50" w:after="50"/>
              <w:rPr>
                <w:color w:val="000000"/>
                <w:szCs w:val="16"/>
              </w:rPr>
            </w:pPr>
            <w:r w:rsidRPr="009E06AA">
              <w:rPr>
                <w:color w:val="000000"/>
                <w:szCs w:val="16"/>
              </w:rPr>
              <w:t>Land remaining grassland, Land converted to grassland</w:t>
            </w:r>
          </w:p>
        </w:tc>
        <w:tc>
          <w:tcPr>
            <w:tcW w:w="992" w:type="dxa"/>
            <w:tcBorders>
              <w:top w:val="single" w:sz="4" w:space="0" w:color="0E2A36" w:themeColor="accent1" w:themeShade="80"/>
              <w:left w:val="nil"/>
              <w:bottom w:val="single" w:sz="4" w:space="0" w:color="1B556B"/>
              <w:right w:val="nil"/>
            </w:tcBorders>
            <w:hideMark/>
          </w:tcPr>
          <w:p w14:paraId="5D6273C0" w14:textId="77777777" w:rsidR="00C3347F" w:rsidRPr="009E06AA" w:rsidRDefault="00C3347F" w:rsidP="00B55F24">
            <w:pPr>
              <w:pStyle w:val="TableText"/>
              <w:spacing w:before="50" w:after="50"/>
              <w:rPr>
                <w:color w:val="000000"/>
                <w:szCs w:val="16"/>
              </w:rPr>
            </w:pPr>
            <w:r w:rsidRPr="009E06AA">
              <w:rPr>
                <w:color w:val="000000"/>
                <w:szCs w:val="16"/>
              </w:rPr>
              <w:t>CO</w:t>
            </w:r>
            <w:r w:rsidRPr="009E06AA">
              <w:rPr>
                <w:color w:val="000000"/>
                <w:szCs w:val="16"/>
                <w:vertAlign w:val="subscript"/>
              </w:rPr>
              <w:t>2 (deadwood)</w:t>
            </w:r>
          </w:p>
        </w:tc>
        <w:tc>
          <w:tcPr>
            <w:tcW w:w="4536" w:type="dxa"/>
            <w:tcBorders>
              <w:top w:val="single" w:sz="4" w:space="0" w:color="0E2A36" w:themeColor="accent1" w:themeShade="80"/>
              <w:left w:val="nil"/>
              <w:bottom w:val="single" w:sz="4" w:space="0" w:color="1B556B"/>
              <w:right w:val="nil"/>
            </w:tcBorders>
            <w:hideMark/>
          </w:tcPr>
          <w:p w14:paraId="24FF725B" w14:textId="2130A536" w:rsidR="00C3347F" w:rsidRPr="009E06AA" w:rsidRDefault="00C3347F" w:rsidP="00B55F24">
            <w:pPr>
              <w:pStyle w:val="TableText"/>
              <w:spacing w:before="50" w:after="50"/>
              <w:rPr>
                <w:szCs w:val="16"/>
              </w:rPr>
            </w:pPr>
            <w:r w:rsidRPr="009E06AA">
              <w:rPr>
                <w:szCs w:val="16"/>
              </w:rPr>
              <w:t>This category is not mandatory. No methodology is provided in the 2006 IPCC Guidelines for calculating Tier 1 estimates of carbon stock change in dead organic matter for land-use changes to this land use category (IPCC, 2006d). Any emissions reported are for loss of dead organic matter from the previous land use that occurs in the year of conversion.</w:t>
            </w:r>
          </w:p>
        </w:tc>
      </w:tr>
      <w:tr w:rsidR="00C3347F" w:rsidRPr="009E06AA" w14:paraId="6EE435B8" w14:textId="77777777" w:rsidTr="00B55F24">
        <w:tc>
          <w:tcPr>
            <w:tcW w:w="1134" w:type="dxa"/>
            <w:tcBorders>
              <w:top w:val="single" w:sz="4" w:space="0" w:color="0E2A36" w:themeColor="accent1" w:themeShade="80"/>
              <w:left w:val="nil"/>
              <w:bottom w:val="single" w:sz="4" w:space="0" w:color="1B556B"/>
              <w:right w:val="nil"/>
            </w:tcBorders>
            <w:shd w:val="clear" w:color="auto" w:fill="FFFFFF" w:themeFill="background1"/>
            <w:hideMark/>
          </w:tcPr>
          <w:p w14:paraId="0FF18545" w14:textId="77777777" w:rsidR="00C3347F" w:rsidRPr="009E06AA" w:rsidRDefault="00C3347F" w:rsidP="00B55F24">
            <w:pPr>
              <w:pStyle w:val="TableText"/>
              <w:spacing w:before="50" w:after="50"/>
              <w:rPr>
                <w:bCs/>
                <w:color w:val="000000"/>
                <w:szCs w:val="16"/>
              </w:rPr>
            </w:pPr>
            <w:r w:rsidRPr="009E06AA">
              <w:rPr>
                <w:bCs/>
                <w:color w:val="000000"/>
                <w:szCs w:val="16"/>
              </w:rPr>
              <w:t>4.D.1</w:t>
            </w:r>
          </w:p>
        </w:tc>
        <w:tc>
          <w:tcPr>
            <w:tcW w:w="1843" w:type="dxa"/>
            <w:tcBorders>
              <w:top w:val="single" w:sz="4" w:space="0" w:color="0E2A36" w:themeColor="accent1" w:themeShade="80"/>
              <w:left w:val="nil"/>
              <w:bottom w:val="single" w:sz="4" w:space="0" w:color="1B556B"/>
              <w:right w:val="nil"/>
            </w:tcBorders>
            <w:shd w:val="clear" w:color="auto" w:fill="FFFFFF" w:themeFill="background1"/>
            <w:hideMark/>
          </w:tcPr>
          <w:p w14:paraId="3F926489" w14:textId="77777777" w:rsidR="00C3347F" w:rsidRPr="009E06AA" w:rsidRDefault="00C3347F" w:rsidP="00B55F24">
            <w:pPr>
              <w:pStyle w:val="TableText"/>
              <w:spacing w:before="50" w:after="50"/>
              <w:rPr>
                <w:color w:val="000000"/>
                <w:szCs w:val="16"/>
              </w:rPr>
            </w:pPr>
            <w:r w:rsidRPr="009E06AA">
              <w:rPr>
                <w:color w:val="000000"/>
                <w:szCs w:val="16"/>
              </w:rPr>
              <w:t>Wetlands remaining wetlands/4(V) Biomass burning/ Wildfires/ Wetlands remaining wetlands</w:t>
            </w:r>
          </w:p>
        </w:tc>
        <w:tc>
          <w:tcPr>
            <w:tcW w:w="992" w:type="dxa"/>
            <w:tcBorders>
              <w:top w:val="single" w:sz="4" w:space="0" w:color="0E2A36" w:themeColor="accent1" w:themeShade="80"/>
              <w:left w:val="nil"/>
              <w:bottom w:val="single" w:sz="4" w:space="0" w:color="1B556B"/>
              <w:right w:val="nil"/>
            </w:tcBorders>
            <w:shd w:val="clear" w:color="auto" w:fill="FFFFFF" w:themeFill="background1"/>
            <w:hideMark/>
          </w:tcPr>
          <w:p w14:paraId="6E27A5A5" w14:textId="77777777" w:rsidR="00C3347F" w:rsidRPr="009E06AA" w:rsidRDefault="00C3347F" w:rsidP="00B55F24">
            <w:pPr>
              <w:pStyle w:val="TableText"/>
              <w:spacing w:before="50" w:after="50"/>
              <w:rPr>
                <w:color w:val="000000"/>
                <w:szCs w:val="16"/>
              </w:rPr>
            </w:pPr>
            <w:r w:rsidRPr="009E06AA">
              <w:rPr>
                <w:color w:val="000000"/>
                <w:szCs w:val="16"/>
              </w:rPr>
              <w:t>CH</w:t>
            </w:r>
            <w:r w:rsidRPr="009E06AA">
              <w:rPr>
                <w:color w:val="000000"/>
                <w:szCs w:val="16"/>
                <w:vertAlign w:val="subscript"/>
              </w:rPr>
              <w:t>4</w:t>
            </w:r>
            <w:r w:rsidRPr="009E06AA">
              <w:rPr>
                <w:color w:val="000000"/>
                <w:szCs w:val="16"/>
              </w:rPr>
              <w:t>, N</w:t>
            </w:r>
            <w:r w:rsidRPr="009E06AA">
              <w:rPr>
                <w:color w:val="000000"/>
                <w:szCs w:val="16"/>
                <w:vertAlign w:val="subscript"/>
              </w:rPr>
              <w:t>2</w:t>
            </w:r>
            <w:r w:rsidRPr="009E06AA">
              <w:rPr>
                <w:color w:val="000000"/>
                <w:szCs w:val="16"/>
              </w:rPr>
              <w:t>O</w:t>
            </w:r>
          </w:p>
        </w:tc>
        <w:tc>
          <w:tcPr>
            <w:tcW w:w="4536" w:type="dxa"/>
            <w:tcBorders>
              <w:top w:val="single" w:sz="4" w:space="0" w:color="0E2A36" w:themeColor="accent1" w:themeShade="80"/>
              <w:left w:val="nil"/>
              <w:bottom w:val="single" w:sz="4" w:space="0" w:color="1B556B"/>
              <w:right w:val="nil"/>
            </w:tcBorders>
            <w:shd w:val="clear" w:color="auto" w:fill="FFFFFF" w:themeFill="background1"/>
            <w:hideMark/>
          </w:tcPr>
          <w:p w14:paraId="020AAEE5" w14:textId="623ED63E" w:rsidR="00C3347F" w:rsidRPr="009E06AA" w:rsidRDefault="00C3347F" w:rsidP="00B55F24">
            <w:pPr>
              <w:pStyle w:val="TableText"/>
              <w:spacing w:before="50" w:after="50"/>
              <w:rPr>
                <w:szCs w:val="16"/>
              </w:rPr>
            </w:pPr>
            <w:r w:rsidRPr="009E06AA">
              <w:rPr>
                <w:szCs w:val="16"/>
              </w:rPr>
              <w:t>This category is not mandatory. No methodology is provided in the 2006 IPCC Guidelines for calculating Tier 1 estimates of carbon stock changes in organic soils for this land use category (IPCC, 2006d). New Zealand does not have sufficient information on biomass burning activities to reliably report on it.</w:t>
            </w:r>
          </w:p>
        </w:tc>
      </w:tr>
      <w:tr w:rsidR="00C3347F" w:rsidRPr="009E06AA" w14:paraId="3A6917F1" w14:textId="77777777" w:rsidTr="00B55F24">
        <w:tc>
          <w:tcPr>
            <w:tcW w:w="1134" w:type="dxa"/>
            <w:tcBorders>
              <w:top w:val="single" w:sz="4" w:space="0" w:color="0E2A36" w:themeColor="accent1" w:themeShade="80"/>
              <w:left w:val="nil"/>
              <w:bottom w:val="single" w:sz="4" w:space="0" w:color="1B556B"/>
              <w:right w:val="nil"/>
            </w:tcBorders>
            <w:hideMark/>
          </w:tcPr>
          <w:p w14:paraId="43EDCC55" w14:textId="77777777" w:rsidR="00C3347F" w:rsidRPr="009E06AA" w:rsidRDefault="00C3347F" w:rsidP="00B55F24">
            <w:pPr>
              <w:pStyle w:val="TableText"/>
              <w:keepNext/>
              <w:spacing w:before="50" w:after="50"/>
              <w:rPr>
                <w:bCs/>
                <w:color w:val="000000"/>
                <w:szCs w:val="16"/>
              </w:rPr>
            </w:pPr>
            <w:r w:rsidRPr="009E06AA">
              <w:rPr>
                <w:bCs/>
                <w:color w:val="000000"/>
                <w:szCs w:val="16"/>
              </w:rPr>
              <w:t>4.D.1, 4.D.2</w:t>
            </w:r>
          </w:p>
        </w:tc>
        <w:tc>
          <w:tcPr>
            <w:tcW w:w="1843" w:type="dxa"/>
            <w:tcBorders>
              <w:top w:val="single" w:sz="4" w:space="0" w:color="0E2A36" w:themeColor="accent1" w:themeShade="80"/>
              <w:left w:val="nil"/>
              <w:bottom w:val="single" w:sz="4" w:space="0" w:color="1B556B"/>
              <w:right w:val="nil"/>
            </w:tcBorders>
            <w:hideMark/>
          </w:tcPr>
          <w:p w14:paraId="14C4A66F" w14:textId="77777777" w:rsidR="00C3347F" w:rsidRPr="009E06AA" w:rsidRDefault="00C3347F" w:rsidP="00B55F24">
            <w:pPr>
              <w:pStyle w:val="TableText"/>
              <w:spacing w:before="50" w:after="50"/>
              <w:rPr>
                <w:color w:val="000000"/>
                <w:szCs w:val="16"/>
              </w:rPr>
            </w:pPr>
            <w:r w:rsidRPr="009E06AA">
              <w:rPr>
                <w:color w:val="000000"/>
                <w:szCs w:val="16"/>
              </w:rPr>
              <w:t>Wetlands remaining wetlands, Land converted to wetlands (except transitions into and out of vegetated wetlands)</w:t>
            </w:r>
          </w:p>
        </w:tc>
        <w:tc>
          <w:tcPr>
            <w:tcW w:w="992" w:type="dxa"/>
            <w:tcBorders>
              <w:top w:val="single" w:sz="4" w:space="0" w:color="0E2A36" w:themeColor="accent1" w:themeShade="80"/>
              <w:left w:val="nil"/>
              <w:bottom w:val="single" w:sz="4" w:space="0" w:color="1B556B"/>
              <w:right w:val="nil"/>
            </w:tcBorders>
            <w:hideMark/>
          </w:tcPr>
          <w:p w14:paraId="5731A3B9" w14:textId="77777777" w:rsidR="00C3347F" w:rsidRPr="009E06AA" w:rsidRDefault="00C3347F" w:rsidP="00B55F24">
            <w:pPr>
              <w:pStyle w:val="TableText"/>
              <w:spacing w:before="50" w:after="50"/>
              <w:rPr>
                <w:color w:val="000000"/>
                <w:szCs w:val="16"/>
              </w:rPr>
            </w:pPr>
            <w:r w:rsidRPr="009E06AA">
              <w:rPr>
                <w:color w:val="000000"/>
                <w:szCs w:val="16"/>
              </w:rPr>
              <w:t>CO</w:t>
            </w:r>
            <w:r w:rsidRPr="009E06AA">
              <w:rPr>
                <w:color w:val="000000"/>
                <w:szCs w:val="16"/>
                <w:vertAlign w:val="subscript"/>
              </w:rPr>
              <w:t>2</w:t>
            </w:r>
          </w:p>
        </w:tc>
        <w:tc>
          <w:tcPr>
            <w:tcW w:w="4536" w:type="dxa"/>
            <w:tcBorders>
              <w:top w:val="single" w:sz="4" w:space="0" w:color="0E2A36" w:themeColor="accent1" w:themeShade="80"/>
              <w:left w:val="nil"/>
              <w:bottom w:val="single" w:sz="4" w:space="0" w:color="1B556B"/>
              <w:right w:val="nil"/>
            </w:tcBorders>
            <w:hideMark/>
          </w:tcPr>
          <w:p w14:paraId="2662E147" w14:textId="1FADE942" w:rsidR="00C3347F" w:rsidRPr="009E06AA" w:rsidRDefault="00C3347F" w:rsidP="00B55F24">
            <w:pPr>
              <w:pStyle w:val="TableText"/>
              <w:spacing w:before="50" w:after="50"/>
              <w:rPr>
                <w:szCs w:val="16"/>
              </w:rPr>
            </w:pPr>
            <w:r w:rsidRPr="009E06AA">
              <w:rPr>
                <w:szCs w:val="16"/>
              </w:rPr>
              <w:t>This category is not mandatory. No methodology is provided in the 2006 IPCC Guidelines for calculating Tier 1 estimates of carbon stock change in this land use (IPCC, 2006d, Volume 4, chapter 7.3.1).</w:t>
            </w:r>
          </w:p>
        </w:tc>
      </w:tr>
      <w:tr w:rsidR="00C3347F" w:rsidRPr="009E06AA" w14:paraId="1F8C0715" w14:textId="77777777" w:rsidTr="00B55F24">
        <w:tc>
          <w:tcPr>
            <w:tcW w:w="1134" w:type="dxa"/>
            <w:tcBorders>
              <w:top w:val="single" w:sz="4" w:space="0" w:color="0E2A36" w:themeColor="accent1" w:themeShade="80"/>
              <w:left w:val="nil"/>
              <w:bottom w:val="single" w:sz="4" w:space="0" w:color="1B556B"/>
              <w:right w:val="nil"/>
            </w:tcBorders>
          </w:tcPr>
          <w:p w14:paraId="6CC84666" w14:textId="77777777" w:rsidR="00C3347F" w:rsidRPr="009E06AA" w:rsidRDefault="00C3347F" w:rsidP="00B55F24">
            <w:pPr>
              <w:pStyle w:val="TableText"/>
              <w:spacing w:before="50" w:after="50"/>
              <w:rPr>
                <w:bCs/>
                <w:color w:val="000000"/>
                <w:szCs w:val="16"/>
              </w:rPr>
            </w:pPr>
            <w:r w:rsidRPr="009E06AA">
              <w:rPr>
                <w:bCs/>
                <w:color w:val="000000"/>
                <w:szCs w:val="16"/>
              </w:rPr>
              <w:t>4.D.2</w:t>
            </w:r>
          </w:p>
        </w:tc>
        <w:tc>
          <w:tcPr>
            <w:tcW w:w="1843" w:type="dxa"/>
            <w:tcBorders>
              <w:top w:val="single" w:sz="4" w:space="0" w:color="0E2A36" w:themeColor="accent1" w:themeShade="80"/>
              <w:left w:val="nil"/>
              <w:bottom w:val="single" w:sz="4" w:space="0" w:color="1B556B"/>
              <w:right w:val="nil"/>
            </w:tcBorders>
          </w:tcPr>
          <w:p w14:paraId="5A41ACB1" w14:textId="77777777" w:rsidR="00C3347F" w:rsidRPr="009E06AA" w:rsidRDefault="00C3347F" w:rsidP="00B55F24">
            <w:pPr>
              <w:pStyle w:val="TableText"/>
              <w:spacing w:before="50" w:after="50"/>
              <w:rPr>
                <w:color w:val="000000"/>
                <w:szCs w:val="16"/>
              </w:rPr>
            </w:pPr>
            <w:r w:rsidRPr="009E06AA">
              <w:rPr>
                <w:color w:val="000000"/>
                <w:szCs w:val="16"/>
              </w:rPr>
              <w:t>Land converted to wetlands/Land converted for peat extraction</w:t>
            </w:r>
          </w:p>
        </w:tc>
        <w:tc>
          <w:tcPr>
            <w:tcW w:w="992" w:type="dxa"/>
            <w:tcBorders>
              <w:top w:val="single" w:sz="4" w:space="0" w:color="0E2A36" w:themeColor="accent1" w:themeShade="80"/>
              <w:left w:val="nil"/>
              <w:bottom w:val="single" w:sz="4" w:space="0" w:color="1B556B"/>
              <w:right w:val="nil"/>
            </w:tcBorders>
          </w:tcPr>
          <w:p w14:paraId="248AE309" w14:textId="77777777" w:rsidR="00C3347F" w:rsidRPr="009E06AA" w:rsidRDefault="00C3347F" w:rsidP="00B55F24">
            <w:pPr>
              <w:pStyle w:val="TableText"/>
              <w:spacing w:before="50" w:after="50"/>
              <w:rPr>
                <w:color w:val="000000"/>
                <w:szCs w:val="16"/>
              </w:rPr>
            </w:pPr>
            <w:r w:rsidRPr="009E06AA">
              <w:rPr>
                <w:color w:val="000000"/>
                <w:szCs w:val="16"/>
              </w:rPr>
              <w:t>CO</w:t>
            </w:r>
            <w:r w:rsidRPr="009E06AA">
              <w:rPr>
                <w:color w:val="000000"/>
                <w:szCs w:val="16"/>
                <w:vertAlign w:val="subscript"/>
              </w:rPr>
              <w:t>2</w:t>
            </w:r>
          </w:p>
        </w:tc>
        <w:tc>
          <w:tcPr>
            <w:tcW w:w="4536" w:type="dxa"/>
            <w:tcBorders>
              <w:top w:val="single" w:sz="4" w:space="0" w:color="0E2A36" w:themeColor="accent1" w:themeShade="80"/>
              <w:left w:val="nil"/>
              <w:bottom w:val="single" w:sz="4" w:space="0" w:color="1B556B"/>
              <w:right w:val="nil"/>
            </w:tcBorders>
          </w:tcPr>
          <w:p w14:paraId="7F3496D9" w14:textId="77777777" w:rsidR="00C3347F" w:rsidRPr="009E06AA" w:rsidRDefault="00C3347F" w:rsidP="00B55F24">
            <w:pPr>
              <w:pStyle w:val="TableText"/>
              <w:spacing w:before="50" w:after="50"/>
              <w:rPr>
                <w:szCs w:val="16"/>
              </w:rPr>
            </w:pPr>
            <w:r w:rsidRPr="009E06AA">
              <w:rPr>
                <w:szCs w:val="16"/>
              </w:rPr>
              <w:t>New Zealand does not have activity data available to report on this activity.</w:t>
            </w:r>
          </w:p>
        </w:tc>
      </w:tr>
      <w:tr w:rsidR="00C3347F" w:rsidRPr="009E06AA" w14:paraId="098654A8" w14:textId="77777777" w:rsidTr="00B55F24">
        <w:tc>
          <w:tcPr>
            <w:tcW w:w="1134" w:type="dxa"/>
            <w:tcBorders>
              <w:top w:val="single" w:sz="4" w:space="0" w:color="0E2A36" w:themeColor="accent1" w:themeShade="80"/>
              <w:left w:val="nil"/>
              <w:bottom w:val="single" w:sz="4" w:space="0" w:color="1B556B"/>
              <w:right w:val="nil"/>
            </w:tcBorders>
          </w:tcPr>
          <w:p w14:paraId="59F87B08" w14:textId="77777777" w:rsidR="00C3347F" w:rsidRPr="009E06AA" w:rsidRDefault="00C3347F" w:rsidP="00B55F24">
            <w:pPr>
              <w:pStyle w:val="TableText"/>
              <w:spacing w:before="50" w:after="50"/>
              <w:rPr>
                <w:bCs/>
                <w:color w:val="000000"/>
                <w:szCs w:val="16"/>
              </w:rPr>
            </w:pPr>
            <w:r w:rsidRPr="009E06AA">
              <w:rPr>
                <w:bCs/>
                <w:color w:val="000000"/>
                <w:szCs w:val="16"/>
              </w:rPr>
              <w:t>4.E.2</w:t>
            </w:r>
          </w:p>
        </w:tc>
        <w:tc>
          <w:tcPr>
            <w:tcW w:w="1843" w:type="dxa"/>
            <w:tcBorders>
              <w:top w:val="single" w:sz="4" w:space="0" w:color="0E2A36" w:themeColor="accent1" w:themeShade="80"/>
              <w:left w:val="nil"/>
              <w:bottom w:val="single" w:sz="4" w:space="0" w:color="1B556B"/>
              <w:right w:val="nil"/>
            </w:tcBorders>
          </w:tcPr>
          <w:p w14:paraId="2C94C9E9" w14:textId="77777777" w:rsidR="00C3347F" w:rsidRPr="009E06AA" w:rsidRDefault="00C3347F" w:rsidP="00B55F24">
            <w:pPr>
              <w:pStyle w:val="TableText"/>
              <w:spacing w:before="50" w:after="50"/>
              <w:rPr>
                <w:color w:val="000000"/>
                <w:szCs w:val="16"/>
              </w:rPr>
            </w:pPr>
            <w:r w:rsidRPr="009E06AA">
              <w:rPr>
                <w:color w:val="000000"/>
                <w:szCs w:val="16"/>
              </w:rPr>
              <w:t>Land converted to settlements</w:t>
            </w:r>
          </w:p>
        </w:tc>
        <w:tc>
          <w:tcPr>
            <w:tcW w:w="992" w:type="dxa"/>
            <w:tcBorders>
              <w:top w:val="single" w:sz="4" w:space="0" w:color="0E2A36" w:themeColor="accent1" w:themeShade="80"/>
              <w:left w:val="nil"/>
              <w:bottom w:val="single" w:sz="4" w:space="0" w:color="1B556B"/>
              <w:right w:val="nil"/>
            </w:tcBorders>
          </w:tcPr>
          <w:p w14:paraId="6312A79D" w14:textId="77777777" w:rsidR="00C3347F" w:rsidRPr="009E06AA" w:rsidRDefault="00C3347F" w:rsidP="00B55F24">
            <w:pPr>
              <w:pStyle w:val="TableText"/>
              <w:spacing w:before="50" w:after="50"/>
              <w:rPr>
                <w:color w:val="000000"/>
                <w:szCs w:val="16"/>
              </w:rPr>
            </w:pPr>
            <w:r w:rsidRPr="009E06AA">
              <w:rPr>
                <w:color w:val="000000"/>
                <w:szCs w:val="16"/>
              </w:rPr>
              <w:t>CO</w:t>
            </w:r>
            <w:r w:rsidRPr="009E06AA">
              <w:rPr>
                <w:color w:val="000000"/>
                <w:szCs w:val="16"/>
                <w:vertAlign w:val="subscript"/>
              </w:rPr>
              <w:t>2</w:t>
            </w:r>
          </w:p>
        </w:tc>
        <w:tc>
          <w:tcPr>
            <w:tcW w:w="4536" w:type="dxa"/>
            <w:tcBorders>
              <w:top w:val="single" w:sz="4" w:space="0" w:color="0E2A36" w:themeColor="accent1" w:themeShade="80"/>
              <w:left w:val="nil"/>
              <w:bottom w:val="single" w:sz="4" w:space="0" w:color="1B556B"/>
              <w:right w:val="nil"/>
            </w:tcBorders>
          </w:tcPr>
          <w:p w14:paraId="5DB5262C" w14:textId="77777777" w:rsidR="00C3347F" w:rsidRPr="009E06AA" w:rsidRDefault="00C3347F" w:rsidP="00B55F24">
            <w:pPr>
              <w:pStyle w:val="TableText"/>
              <w:spacing w:before="50" w:after="50"/>
              <w:rPr>
                <w:szCs w:val="16"/>
              </w:rPr>
            </w:pPr>
            <w:r w:rsidRPr="009E06AA">
              <w:rPr>
                <w:szCs w:val="16"/>
              </w:rPr>
              <w:t>This category is not mandatory. No IPCC guidance is provided for calculating Tier 1 estimates of carbon stock changes in organic soils for this land use category. Therefore with land-use change to or from this land use on organic soils, New Zealand reports the notation key NE.</w:t>
            </w:r>
          </w:p>
        </w:tc>
      </w:tr>
      <w:tr w:rsidR="00C3347F" w:rsidRPr="009E06AA" w14:paraId="5AB5537E" w14:textId="77777777" w:rsidTr="00B55F24">
        <w:tc>
          <w:tcPr>
            <w:tcW w:w="1134" w:type="dxa"/>
            <w:tcBorders>
              <w:top w:val="single" w:sz="4" w:space="0" w:color="0E2A36" w:themeColor="accent1" w:themeShade="80"/>
              <w:left w:val="nil"/>
              <w:bottom w:val="single" w:sz="4" w:space="0" w:color="1B556B"/>
              <w:right w:val="nil"/>
            </w:tcBorders>
          </w:tcPr>
          <w:p w14:paraId="016A6F60" w14:textId="77777777" w:rsidR="00C3347F" w:rsidRPr="009E06AA" w:rsidRDefault="00C3347F" w:rsidP="00B55F24">
            <w:pPr>
              <w:pStyle w:val="TableText"/>
              <w:spacing w:before="50" w:after="50"/>
              <w:rPr>
                <w:bCs/>
                <w:color w:val="000000"/>
                <w:szCs w:val="16"/>
              </w:rPr>
            </w:pPr>
            <w:r w:rsidRPr="009E06AA">
              <w:rPr>
                <w:bCs/>
                <w:color w:val="000000"/>
                <w:szCs w:val="16"/>
              </w:rPr>
              <w:t>4.F</w:t>
            </w:r>
          </w:p>
        </w:tc>
        <w:tc>
          <w:tcPr>
            <w:tcW w:w="1843" w:type="dxa"/>
            <w:tcBorders>
              <w:top w:val="single" w:sz="4" w:space="0" w:color="0E2A36" w:themeColor="accent1" w:themeShade="80"/>
              <w:left w:val="nil"/>
              <w:bottom w:val="single" w:sz="4" w:space="0" w:color="1B556B"/>
              <w:right w:val="nil"/>
            </w:tcBorders>
          </w:tcPr>
          <w:p w14:paraId="6B3F6E25" w14:textId="77777777" w:rsidR="00C3347F" w:rsidRPr="009E06AA" w:rsidRDefault="00C3347F" w:rsidP="00B55F24">
            <w:pPr>
              <w:pStyle w:val="TableText"/>
              <w:spacing w:before="50" w:after="50"/>
              <w:rPr>
                <w:color w:val="000000"/>
                <w:szCs w:val="16"/>
              </w:rPr>
            </w:pPr>
            <w:r w:rsidRPr="009E06AA">
              <w:rPr>
                <w:color w:val="000000"/>
                <w:szCs w:val="16"/>
              </w:rPr>
              <w:t>4.F Other land/4(V) Biomass burning/Land converted to other land</w:t>
            </w:r>
          </w:p>
        </w:tc>
        <w:tc>
          <w:tcPr>
            <w:tcW w:w="992" w:type="dxa"/>
            <w:tcBorders>
              <w:top w:val="single" w:sz="4" w:space="0" w:color="0E2A36" w:themeColor="accent1" w:themeShade="80"/>
              <w:left w:val="nil"/>
              <w:bottom w:val="single" w:sz="4" w:space="0" w:color="1B556B"/>
              <w:right w:val="nil"/>
            </w:tcBorders>
          </w:tcPr>
          <w:p w14:paraId="7B716B17" w14:textId="77777777" w:rsidR="00C3347F" w:rsidRPr="009E06AA" w:rsidRDefault="00C3347F" w:rsidP="00B55F24">
            <w:pPr>
              <w:pStyle w:val="TableText"/>
              <w:spacing w:before="50" w:after="50"/>
              <w:rPr>
                <w:color w:val="000000"/>
                <w:szCs w:val="16"/>
              </w:rPr>
            </w:pPr>
            <w:r w:rsidRPr="009E06AA">
              <w:rPr>
                <w:color w:val="000000"/>
                <w:szCs w:val="16"/>
              </w:rPr>
              <w:t>CH</w:t>
            </w:r>
            <w:r w:rsidRPr="009E06AA">
              <w:rPr>
                <w:color w:val="000000"/>
                <w:szCs w:val="16"/>
                <w:vertAlign w:val="subscript"/>
              </w:rPr>
              <w:t>4</w:t>
            </w:r>
            <w:r w:rsidRPr="009E06AA">
              <w:rPr>
                <w:color w:val="000000"/>
                <w:szCs w:val="16"/>
              </w:rPr>
              <w:t>, N</w:t>
            </w:r>
            <w:r w:rsidRPr="009E06AA">
              <w:rPr>
                <w:color w:val="000000"/>
                <w:szCs w:val="16"/>
                <w:vertAlign w:val="subscript"/>
              </w:rPr>
              <w:t>2</w:t>
            </w:r>
            <w:r w:rsidRPr="009E06AA">
              <w:rPr>
                <w:color w:val="000000"/>
                <w:szCs w:val="16"/>
              </w:rPr>
              <w:t>O</w:t>
            </w:r>
          </w:p>
        </w:tc>
        <w:tc>
          <w:tcPr>
            <w:tcW w:w="4536" w:type="dxa"/>
            <w:tcBorders>
              <w:top w:val="single" w:sz="4" w:space="0" w:color="0E2A36" w:themeColor="accent1" w:themeShade="80"/>
              <w:left w:val="nil"/>
              <w:bottom w:val="single" w:sz="4" w:space="0" w:color="1B556B"/>
              <w:right w:val="nil"/>
            </w:tcBorders>
          </w:tcPr>
          <w:p w14:paraId="49263B14" w14:textId="77777777" w:rsidR="00C3347F" w:rsidRPr="009E06AA" w:rsidRDefault="00C3347F" w:rsidP="00B55F24">
            <w:pPr>
              <w:pStyle w:val="TableText"/>
              <w:spacing w:before="50" w:after="50"/>
              <w:rPr>
                <w:szCs w:val="16"/>
              </w:rPr>
            </w:pPr>
            <w:r w:rsidRPr="009E06AA">
              <w:rPr>
                <w:szCs w:val="16"/>
              </w:rPr>
              <w:t>This is a relatively minor activity in New Zealand due to the country’s temperate climate and rainfall distribution, and there is currently insufficient information to reliably report on it.</w:t>
            </w:r>
          </w:p>
        </w:tc>
      </w:tr>
      <w:tr w:rsidR="00C3347F" w:rsidRPr="009E06AA" w14:paraId="407BADAC" w14:textId="77777777" w:rsidTr="00B55F24">
        <w:tc>
          <w:tcPr>
            <w:tcW w:w="1134" w:type="dxa"/>
            <w:tcBorders>
              <w:top w:val="single" w:sz="4" w:space="0" w:color="0E2A36" w:themeColor="accent1" w:themeShade="80"/>
              <w:left w:val="nil"/>
              <w:bottom w:val="single" w:sz="4" w:space="0" w:color="1B556B"/>
              <w:right w:val="nil"/>
            </w:tcBorders>
          </w:tcPr>
          <w:p w14:paraId="7950F1D2" w14:textId="77777777" w:rsidR="00C3347F" w:rsidRPr="009E06AA" w:rsidRDefault="00C3347F" w:rsidP="00B55F24">
            <w:pPr>
              <w:pStyle w:val="TableText"/>
              <w:spacing w:before="50" w:after="50"/>
              <w:rPr>
                <w:bCs/>
                <w:color w:val="000000"/>
                <w:szCs w:val="16"/>
              </w:rPr>
            </w:pPr>
            <w:r w:rsidRPr="009E06AA">
              <w:rPr>
                <w:bCs/>
                <w:color w:val="000000"/>
                <w:szCs w:val="16"/>
              </w:rPr>
              <w:t>4.F.2</w:t>
            </w:r>
          </w:p>
        </w:tc>
        <w:tc>
          <w:tcPr>
            <w:tcW w:w="1843" w:type="dxa"/>
            <w:tcBorders>
              <w:top w:val="single" w:sz="4" w:space="0" w:color="0E2A36" w:themeColor="accent1" w:themeShade="80"/>
              <w:left w:val="nil"/>
              <w:bottom w:val="single" w:sz="4" w:space="0" w:color="1B556B"/>
              <w:right w:val="nil"/>
            </w:tcBorders>
          </w:tcPr>
          <w:p w14:paraId="3159F874" w14:textId="77777777" w:rsidR="00C3347F" w:rsidRPr="009E06AA" w:rsidRDefault="00C3347F" w:rsidP="00B55F24">
            <w:pPr>
              <w:pStyle w:val="TableText"/>
              <w:spacing w:before="50" w:after="50"/>
              <w:rPr>
                <w:color w:val="000000"/>
                <w:szCs w:val="16"/>
              </w:rPr>
            </w:pPr>
            <w:r w:rsidRPr="009E06AA">
              <w:rPr>
                <w:color w:val="000000"/>
                <w:szCs w:val="16"/>
              </w:rPr>
              <w:t>Land converted to other land</w:t>
            </w:r>
          </w:p>
        </w:tc>
        <w:tc>
          <w:tcPr>
            <w:tcW w:w="992" w:type="dxa"/>
            <w:tcBorders>
              <w:top w:val="single" w:sz="4" w:space="0" w:color="0E2A36" w:themeColor="accent1" w:themeShade="80"/>
              <w:left w:val="nil"/>
              <w:bottom w:val="single" w:sz="4" w:space="0" w:color="1B556B"/>
              <w:right w:val="nil"/>
            </w:tcBorders>
          </w:tcPr>
          <w:p w14:paraId="639D5B05" w14:textId="77777777" w:rsidR="00C3347F" w:rsidRPr="009E06AA" w:rsidRDefault="00C3347F" w:rsidP="00B55F24">
            <w:pPr>
              <w:pStyle w:val="TableText"/>
              <w:spacing w:before="50" w:after="50"/>
              <w:rPr>
                <w:color w:val="000000"/>
                <w:szCs w:val="16"/>
              </w:rPr>
            </w:pPr>
            <w:r w:rsidRPr="009E06AA">
              <w:rPr>
                <w:color w:val="000000"/>
                <w:szCs w:val="16"/>
              </w:rPr>
              <w:t>CO</w:t>
            </w:r>
            <w:r w:rsidRPr="009E06AA">
              <w:rPr>
                <w:color w:val="000000"/>
                <w:szCs w:val="16"/>
                <w:vertAlign w:val="subscript"/>
              </w:rPr>
              <w:t>2</w:t>
            </w:r>
          </w:p>
        </w:tc>
        <w:tc>
          <w:tcPr>
            <w:tcW w:w="4536" w:type="dxa"/>
            <w:tcBorders>
              <w:top w:val="single" w:sz="4" w:space="0" w:color="0E2A36" w:themeColor="accent1" w:themeShade="80"/>
              <w:left w:val="nil"/>
              <w:bottom w:val="single" w:sz="4" w:space="0" w:color="1B556B"/>
              <w:right w:val="nil"/>
            </w:tcBorders>
          </w:tcPr>
          <w:p w14:paraId="26B9C9B3" w14:textId="77777777" w:rsidR="00C3347F" w:rsidRPr="009E06AA" w:rsidRDefault="00C3347F" w:rsidP="00B55F24">
            <w:pPr>
              <w:pStyle w:val="TableText"/>
              <w:spacing w:before="50" w:after="50"/>
              <w:rPr>
                <w:szCs w:val="16"/>
              </w:rPr>
            </w:pPr>
            <w:r w:rsidRPr="009E06AA">
              <w:rPr>
                <w:szCs w:val="16"/>
              </w:rPr>
              <w:t>This category is not mandatory. No IPCC guidance is provided for calculating Tier 1 estimates of carbon stock changes in organic soils for this land-use category. Therefore with land-use change to or from this land use on organic soils, New Zealand reports the notation key NE.</w:t>
            </w:r>
          </w:p>
        </w:tc>
      </w:tr>
      <w:tr w:rsidR="00C3347F" w:rsidRPr="009E06AA" w14:paraId="347EF04D" w14:textId="77777777" w:rsidTr="00B55F24">
        <w:tc>
          <w:tcPr>
            <w:tcW w:w="8505" w:type="dxa"/>
            <w:gridSpan w:val="4"/>
            <w:tcBorders>
              <w:top w:val="single" w:sz="4" w:space="0" w:color="1B556B"/>
              <w:left w:val="nil"/>
              <w:bottom w:val="single" w:sz="4" w:space="0" w:color="1B556B"/>
              <w:right w:val="nil"/>
            </w:tcBorders>
            <w:hideMark/>
          </w:tcPr>
          <w:p w14:paraId="63C26A90" w14:textId="77777777" w:rsidR="00C3347F" w:rsidRPr="009E06AA" w:rsidRDefault="00C3347F" w:rsidP="00B55F24">
            <w:pPr>
              <w:pStyle w:val="TableText"/>
              <w:spacing w:before="50" w:after="50"/>
              <w:jc w:val="both"/>
              <w:rPr>
                <w:color w:val="000000"/>
              </w:rPr>
            </w:pPr>
            <w:r w:rsidRPr="009E06AA">
              <w:rPr>
                <w:color w:val="1B556B"/>
              </w:rPr>
              <w:t>Waste</w:t>
            </w:r>
          </w:p>
        </w:tc>
      </w:tr>
      <w:tr w:rsidR="00C3347F" w:rsidRPr="009E06AA" w14:paraId="618B72EC" w14:textId="77777777" w:rsidTr="00B55F24">
        <w:tc>
          <w:tcPr>
            <w:tcW w:w="1134" w:type="dxa"/>
            <w:tcBorders>
              <w:top w:val="single" w:sz="4" w:space="0" w:color="1B556B"/>
              <w:left w:val="nil"/>
              <w:bottom w:val="single" w:sz="4" w:space="0" w:color="1B556B"/>
              <w:right w:val="nil"/>
            </w:tcBorders>
            <w:shd w:val="clear" w:color="auto" w:fill="FFFFFF" w:themeFill="background1"/>
          </w:tcPr>
          <w:p w14:paraId="04D59996" w14:textId="77777777" w:rsidR="00C3347F" w:rsidRPr="009E06AA" w:rsidRDefault="00C3347F" w:rsidP="00B55F24">
            <w:pPr>
              <w:pStyle w:val="TableText"/>
              <w:spacing w:before="50" w:after="50"/>
              <w:rPr>
                <w:color w:val="000000" w:themeColor="text1"/>
                <w:szCs w:val="16"/>
              </w:rPr>
            </w:pPr>
            <w:r w:rsidRPr="009E06AA">
              <w:rPr>
                <w:color w:val="000000" w:themeColor="text1"/>
                <w:szCs w:val="16"/>
              </w:rPr>
              <w:t>5.B.2.a</w:t>
            </w:r>
          </w:p>
        </w:tc>
        <w:tc>
          <w:tcPr>
            <w:tcW w:w="1843" w:type="dxa"/>
            <w:tcBorders>
              <w:top w:val="single" w:sz="4" w:space="0" w:color="1B556B"/>
              <w:left w:val="nil"/>
              <w:bottom w:val="single" w:sz="4" w:space="0" w:color="1B556B"/>
              <w:right w:val="nil"/>
            </w:tcBorders>
            <w:shd w:val="clear" w:color="auto" w:fill="FFFFFF" w:themeFill="background1"/>
          </w:tcPr>
          <w:p w14:paraId="1171BA48" w14:textId="77777777" w:rsidR="00C3347F" w:rsidRPr="009E06AA" w:rsidRDefault="00C3347F" w:rsidP="00B55F24">
            <w:pPr>
              <w:pStyle w:val="TableText"/>
              <w:spacing w:before="50" w:after="50"/>
              <w:rPr>
                <w:color w:val="000000"/>
                <w:szCs w:val="16"/>
              </w:rPr>
            </w:pPr>
            <w:r w:rsidRPr="009E06AA">
              <w:rPr>
                <w:color w:val="000000"/>
                <w:szCs w:val="16"/>
              </w:rPr>
              <w:t xml:space="preserve">Anaerobic digestion of municipal solid waste </w:t>
            </w:r>
          </w:p>
        </w:tc>
        <w:tc>
          <w:tcPr>
            <w:tcW w:w="992" w:type="dxa"/>
            <w:tcBorders>
              <w:top w:val="single" w:sz="4" w:space="0" w:color="1B556B"/>
              <w:left w:val="nil"/>
              <w:bottom w:val="single" w:sz="4" w:space="0" w:color="1B556B"/>
              <w:right w:val="nil"/>
            </w:tcBorders>
            <w:shd w:val="clear" w:color="auto" w:fill="FFFFFF" w:themeFill="background1"/>
          </w:tcPr>
          <w:p w14:paraId="530404C4" w14:textId="77777777" w:rsidR="00C3347F" w:rsidRPr="009E06AA" w:rsidRDefault="00C3347F" w:rsidP="00B55F24">
            <w:pPr>
              <w:pStyle w:val="TableText"/>
              <w:spacing w:before="50" w:after="50"/>
              <w:rPr>
                <w:color w:val="000000"/>
                <w:szCs w:val="16"/>
              </w:rPr>
            </w:pPr>
            <w:r w:rsidRPr="009E06AA">
              <w:rPr>
                <w:color w:val="000000"/>
                <w:szCs w:val="16"/>
              </w:rPr>
              <w:t>CH</w:t>
            </w:r>
            <w:r w:rsidRPr="009E06AA">
              <w:rPr>
                <w:color w:val="000000"/>
                <w:szCs w:val="16"/>
                <w:vertAlign w:val="subscript"/>
              </w:rPr>
              <w:t xml:space="preserve">4, </w:t>
            </w:r>
            <w:r w:rsidRPr="009E06AA">
              <w:rPr>
                <w:color w:val="000000"/>
                <w:szCs w:val="16"/>
              </w:rPr>
              <w:t>N</w:t>
            </w:r>
            <w:r w:rsidRPr="009E06AA">
              <w:rPr>
                <w:color w:val="000000"/>
                <w:szCs w:val="16"/>
                <w:vertAlign w:val="subscript"/>
              </w:rPr>
              <w:t>2</w:t>
            </w:r>
            <w:r w:rsidRPr="009E06AA">
              <w:rPr>
                <w:color w:val="000000"/>
                <w:szCs w:val="16"/>
              </w:rPr>
              <w:t>O, amount of CH</w:t>
            </w:r>
            <w:r w:rsidRPr="009E06AA">
              <w:rPr>
                <w:color w:val="000000"/>
                <w:szCs w:val="16"/>
                <w:vertAlign w:val="subscript"/>
              </w:rPr>
              <w:t>4</w:t>
            </w:r>
            <w:r w:rsidRPr="009E06AA">
              <w:rPr>
                <w:color w:val="000000"/>
                <w:szCs w:val="16"/>
              </w:rPr>
              <w:t xml:space="preserve"> flared and for energy recovery</w:t>
            </w:r>
          </w:p>
        </w:tc>
        <w:tc>
          <w:tcPr>
            <w:tcW w:w="4536" w:type="dxa"/>
            <w:tcBorders>
              <w:top w:val="single" w:sz="4" w:space="0" w:color="1B556B"/>
              <w:left w:val="nil"/>
              <w:bottom w:val="single" w:sz="4" w:space="0" w:color="1B556B"/>
              <w:right w:val="nil"/>
            </w:tcBorders>
            <w:shd w:val="clear" w:color="auto" w:fill="FFFFFF" w:themeFill="background1"/>
          </w:tcPr>
          <w:p w14:paraId="5C37BE46" w14:textId="77777777" w:rsidR="00C3347F" w:rsidRPr="009E06AA" w:rsidRDefault="00C3347F" w:rsidP="00B55F24">
            <w:pPr>
              <w:pStyle w:val="TableText"/>
              <w:spacing w:before="50" w:after="50"/>
              <w:rPr>
                <w:szCs w:val="16"/>
              </w:rPr>
            </w:pPr>
            <w:r w:rsidRPr="009E06AA">
              <w:rPr>
                <w:szCs w:val="16"/>
              </w:rPr>
              <w:t>An anaerobic digestion plant started to operate in October 2022, and it is expected to process around 35,000 tonnes of food scraps annually. Emissions from this source category will be reported in the 2025 submission. The amount of CH</w:t>
            </w:r>
            <w:r w:rsidRPr="009E06AA">
              <w:rPr>
                <w:szCs w:val="16"/>
                <w:vertAlign w:val="subscript"/>
              </w:rPr>
              <w:t>4</w:t>
            </w:r>
            <w:r w:rsidRPr="009E06AA">
              <w:rPr>
                <w:szCs w:val="16"/>
              </w:rPr>
              <w:t xml:space="preserve"> flared does not contribute to New Zealand’s total emissions because it produces biogenic CO</w:t>
            </w:r>
            <w:r w:rsidRPr="009E06AA">
              <w:rPr>
                <w:szCs w:val="16"/>
                <w:vertAlign w:val="subscript"/>
              </w:rPr>
              <w:t>2</w:t>
            </w:r>
            <w:r w:rsidRPr="009E06AA">
              <w:rPr>
                <w:szCs w:val="16"/>
              </w:rPr>
              <w:t xml:space="preserve"> (as described in the 2006 IPCC Guidelines under section 4.1.1, IPCC, 2006e).</w:t>
            </w:r>
          </w:p>
        </w:tc>
      </w:tr>
      <w:tr w:rsidR="00C3347F" w:rsidRPr="009E06AA" w14:paraId="293781D9" w14:textId="77777777" w:rsidTr="00B55F24">
        <w:tc>
          <w:tcPr>
            <w:tcW w:w="1134" w:type="dxa"/>
            <w:tcBorders>
              <w:top w:val="single" w:sz="4" w:space="0" w:color="1B556B"/>
              <w:left w:val="nil"/>
              <w:bottom w:val="single" w:sz="4" w:space="0" w:color="1B556B"/>
              <w:right w:val="nil"/>
            </w:tcBorders>
            <w:shd w:val="clear" w:color="auto" w:fill="FFFFFF" w:themeFill="background1"/>
            <w:hideMark/>
          </w:tcPr>
          <w:p w14:paraId="3DC4AC5D" w14:textId="77777777" w:rsidR="00C3347F" w:rsidRPr="009E06AA" w:rsidRDefault="00C3347F" w:rsidP="00B55F24">
            <w:pPr>
              <w:pStyle w:val="TableText"/>
              <w:spacing w:before="50" w:after="50"/>
              <w:rPr>
                <w:color w:val="000000"/>
                <w:szCs w:val="16"/>
              </w:rPr>
            </w:pPr>
            <w:r w:rsidRPr="009E06AA">
              <w:rPr>
                <w:color w:val="000000" w:themeColor="text1"/>
                <w:szCs w:val="16"/>
              </w:rPr>
              <w:t>5.C.1.2.a</w:t>
            </w:r>
          </w:p>
        </w:tc>
        <w:tc>
          <w:tcPr>
            <w:tcW w:w="1843" w:type="dxa"/>
            <w:tcBorders>
              <w:top w:val="single" w:sz="4" w:space="0" w:color="1B556B"/>
              <w:left w:val="nil"/>
              <w:bottom w:val="single" w:sz="4" w:space="0" w:color="1B556B"/>
              <w:right w:val="nil"/>
            </w:tcBorders>
            <w:shd w:val="clear" w:color="auto" w:fill="FFFFFF" w:themeFill="background1"/>
            <w:hideMark/>
          </w:tcPr>
          <w:p w14:paraId="3D154374" w14:textId="77777777" w:rsidR="00C3347F" w:rsidRPr="009E06AA" w:rsidRDefault="00C3347F" w:rsidP="00B55F24">
            <w:pPr>
              <w:pStyle w:val="TableText"/>
              <w:spacing w:before="50" w:after="50"/>
              <w:rPr>
                <w:color w:val="000000"/>
                <w:szCs w:val="16"/>
              </w:rPr>
            </w:pPr>
            <w:r w:rsidRPr="009E06AA">
              <w:rPr>
                <w:color w:val="000000"/>
                <w:szCs w:val="16"/>
              </w:rPr>
              <w:t>Incineration of municipal solid waste</w:t>
            </w:r>
          </w:p>
        </w:tc>
        <w:tc>
          <w:tcPr>
            <w:tcW w:w="992" w:type="dxa"/>
            <w:tcBorders>
              <w:top w:val="single" w:sz="4" w:space="0" w:color="1B556B"/>
              <w:left w:val="nil"/>
              <w:bottom w:val="single" w:sz="4" w:space="0" w:color="1B556B"/>
              <w:right w:val="nil"/>
            </w:tcBorders>
            <w:shd w:val="clear" w:color="auto" w:fill="FFFFFF" w:themeFill="background1"/>
            <w:hideMark/>
          </w:tcPr>
          <w:p w14:paraId="73C9808B" w14:textId="77777777" w:rsidR="00C3347F" w:rsidRPr="009E06AA" w:rsidRDefault="00C3347F" w:rsidP="00B55F24">
            <w:pPr>
              <w:pStyle w:val="TableText"/>
              <w:spacing w:before="50" w:after="50"/>
              <w:rPr>
                <w:color w:val="000000"/>
                <w:szCs w:val="16"/>
              </w:rPr>
            </w:pPr>
            <w:r w:rsidRPr="009E06AA">
              <w:rPr>
                <w:color w:val="000000"/>
                <w:szCs w:val="16"/>
              </w:rPr>
              <w:t>CO</w:t>
            </w:r>
            <w:r w:rsidRPr="009E06AA">
              <w:rPr>
                <w:color w:val="000000"/>
                <w:szCs w:val="16"/>
                <w:vertAlign w:val="subscript"/>
              </w:rPr>
              <w:t>2</w:t>
            </w:r>
            <w:r w:rsidRPr="009E06AA">
              <w:rPr>
                <w:color w:val="000000"/>
                <w:szCs w:val="16"/>
              </w:rPr>
              <w:t>, CH</w:t>
            </w:r>
            <w:r w:rsidRPr="009E06AA">
              <w:rPr>
                <w:color w:val="000000"/>
                <w:szCs w:val="16"/>
                <w:vertAlign w:val="subscript"/>
              </w:rPr>
              <w:t>4</w:t>
            </w:r>
            <w:r w:rsidRPr="009E06AA">
              <w:rPr>
                <w:color w:val="000000"/>
                <w:szCs w:val="16"/>
              </w:rPr>
              <w:t xml:space="preserve"> and N</w:t>
            </w:r>
            <w:r w:rsidRPr="009E06AA">
              <w:rPr>
                <w:color w:val="000000"/>
                <w:szCs w:val="16"/>
                <w:vertAlign w:val="subscript"/>
              </w:rPr>
              <w:t>2</w:t>
            </w:r>
            <w:r w:rsidRPr="009E06AA">
              <w:rPr>
                <w:color w:val="000000"/>
                <w:szCs w:val="16"/>
              </w:rPr>
              <w:t>O</w:t>
            </w:r>
          </w:p>
        </w:tc>
        <w:tc>
          <w:tcPr>
            <w:tcW w:w="4536" w:type="dxa"/>
            <w:tcBorders>
              <w:top w:val="single" w:sz="4" w:space="0" w:color="1B556B"/>
              <w:left w:val="nil"/>
              <w:bottom w:val="single" w:sz="4" w:space="0" w:color="1B556B"/>
              <w:right w:val="nil"/>
            </w:tcBorders>
            <w:shd w:val="clear" w:color="auto" w:fill="FFFFFF" w:themeFill="background1"/>
            <w:hideMark/>
          </w:tcPr>
          <w:p w14:paraId="145558AC" w14:textId="77777777" w:rsidR="00C3347F" w:rsidRPr="009E06AA" w:rsidRDefault="00C3347F" w:rsidP="00B55F24">
            <w:pPr>
              <w:pStyle w:val="TableText"/>
              <w:spacing w:before="50" w:after="50"/>
              <w:rPr>
                <w:szCs w:val="16"/>
              </w:rPr>
            </w:pPr>
            <w:r w:rsidRPr="009E06AA">
              <w:rPr>
                <w:szCs w:val="16"/>
              </w:rPr>
              <w:t>In accordance with chapter II of the Annex to the decision 18/CMA.1 (UNFCCC, 2018b), this category is not mandatory. Around 100–200 rural schools in New Zealand still incinerate their waste production. Estimates indicate this practice emits 0.06 kt CO</w:t>
            </w:r>
            <w:r w:rsidRPr="009E06AA">
              <w:rPr>
                <w:szCs w:val="16"/>
                <w:vertAlign w:val="subscript"/>
              </w:rPr>
              <w:t>2</w:t>
            </w:r>
            <w:r w:rsidRPr="009E06AA">
              <w:rPr>
                <w:szCs w:val="16"/>
              </w:rPr>
              <w:t xml:space="preserve">-e per year. Emissions are not estimated because New Zealand does not have sufficient information regarding the practice of incinerating waste in schools, and the estimated amount is below the significance threshold. </w:t>
            </w:r>
          </w:p>
        </w:tc>
      </w:tr>
      <w:tr w:rsidR="00C3347F" w:rsidRPr="009E06AA" w14:paraId="1D4485EA" w14:textId="77777777" w:rsidTr="00B55F24">
        <w:tc>
          <w:tcPr>
            <w:tcW w:w="1134" w:type="dxa"/>
            <w:tcBorders>
              <w:top w:val="single" w:sz="4" w:space="0" w:color="1B556B"/>
              <w:left w:val="nil"/>
              <w:bottom w:val="single" w:sz="4" w:space="0" w:color="1B556B"/>
              <w:right w:val="nil"/>
            </w:tcBorders>
            <w:shd w:val="clear" w:color="auto" w:fill="FFFFFF" w:themeFill="background1"/>
            <w:hideMark/>
          </w:tcPr>
          <w:p w14:paraId="517D209F" w14:textId="77777777" w:rsidR="00C3347F" w:rsidRPr="009E06AA" w:rsidRDefault="00C3347F" w:rsidP="00B55F24">
            <w:pPr>
              <w:pStyle w:val="TableText"/>
              <w:spacing w:before="50" w:after="50"/>
              <w:rPr>
                <w:bCs/>
                <w:color w:val="000000"/>
                <w:szCs w:val="16"/>
              </w:rPr>
            </w:pPr>
            <w:r w:rsidRPr="009E06AA">
              <w:rPr>
                <w:bCs/>
                <w:color w:val="000000"/>
                <w:szCs w:val="16"/>
              </w:rPr>
              <w:t>5.D.1 and 5.D.2</w:t>
            </w:r>
          </w:p>
        </w:tc>
        <w:tc>
          <w:tcPr>
            <w:tcW w:w="1843" w:type="dxa"/>
            <w:tcBorders>
              <w:top w:val="single" w:sz="4" w:space="0" w:color="1B556B"/>
              <w:left w:val="nil"/>
              <w:bottom w:val="single" w:sz="4" w:space="0" w:color="1B556B"/>
              <w:right w:val="nil"/>
            </w:tcBorders>
            <w:shd w:val="clear" w:color="auto" w:fill="FFFFFF" w:themeFill="background1"/>
            <w:hideMark/>
          </w:tcPr>
          <w:p w14:paraId="485955D8" w14:textId="77777777" w:rsidR="00C3347F" w:rsidRPr="009E06AA" w:rsidRDefault="00C3347F" w:rsidP="00B55F24">
            <w:pPr>
              <w:pStyle w:val="TableText"/>
              <w:spacing w:before="50" w:after="50"/>
              <w:rPr>
                <w:color w:val="000000"/>
                <w:szCs w:val="16"/>
              </w:rPr>
            </w:pPr>
            <w:r w:rsidRPr="009E06AA">
              <w:rPr>
                <w:color w:val="000000"/>
                <w:szCs w:val="16"/>
              </w:rPr>
              <w:t>Domestic wastewater and Industrial wastewater</w:t>
            </w:r>
          </w:p>
        </w:tc>
        <w:tc>
          <w:tcPr>
            <w:tcW w:w="992" w:type="dxa"/>
            <w:tcBorders>
              <w:top w:val="single" w:sz="4" w:space="0" w:color="1B556B"/>
              <w:left w:val="nil"/>
              <w:bottom w:val="single" w:sz="4" w:space="0" w:color="1B556B"/>
              <w:right w:val="nil"/>
            </w:tcBorders>
            <w:shd w:val="clear" w:color="auto" w:fill="FFFFFF" w:themeFill="background1"/>
            <w:hideMark/>
          </w:tcPr>
          <w:p w14:paraId="263F1065" w14:textId="77777777" w:rsidR="00C3347F" w:rsidRPr="009E06AA" w:rsidRDefault="00C3347F" w:rsidP="00B55F24">
            <w:pPr>
              <w:pStyle w:val="TableText"/>
              <w:spacing w:before="50" w:after="50"/>
              <w:rPr>
                <w:color w:val="000000"/>
                <w:szCs w:val="16"/>
              </w:rPr>
            </w:pPr>
            <w:r w:rsidRPr="009E06AA">
              <w:rPr>
                <w:color w:val="000000"/>
                <w:szCs w:val="16"/>
              </w:rPr>
              <w:t>Amount of CH</w:t>
            </w:r>
            <w:r w:rsidRPr="009E06AA">
              <w:rPr>
                <w:color w:val="000000"/>
                <w:szCs w:val="16"/>
                <w:vertAlign w:val="subscript"/>
              </w:rPr>
              <w:t>4</w:t>
            </w:r>
            <w:r w:rsidRPr="009E06AA">
              <w:rPr>
                <w:color w:val="000000"/>
                <w:szCs w:val="16"/>
              </w:rPr>
              <w:t xml:space="preserve"> flared and for energy recovery</w:t>
            </w:r>
          </w:p>
        </w:tc>
        <w:tc>
          <w:tcPr>
            <w:tcW w:w="4536" w:type="dxa"/>
            <w:tcBorders>
              <w:top w:val="single" w:sz="4" w:space="0" w:color="1B556B"/>
              <w:left w:val="nil"/>
              <w:bottom w:val="single" w:sz="4" w:space="0" w:color="1B556B"/>
              <w:right w:val="nil"/>
            </w:tcBorders>
            <w:shd w:val="clear" w:color="auto" w:fill="FFFFFF" w:themeFill="background1"/>
            <w:hideMark/>
          </w:tcPr>
          <w:p w14:paraId="5C64ACC2" w14:textId="77777777" w:rsidR="00C3347F" w:rsidRPr="009E06AA" w:rsidRDefault="00C3347F" w:rsidP="00B55F24">
            <w:pPr>
              <w:pStyle w:val="TableText"/>
              <w:spacing w:before="50" w:after="50"/>
              <w:rPr>
                <w:szCs w:val="16"/>
              </w:rPr>
            </w:pPr>
            <w:r w:rsidRPr="009E06AA">
              <w:rPr>
                <w:szCs w:val="16"/>
              </w:rPr>
              <w:t>Emissions are not estimated because New Zealand does not have any information regarding the CH</w:t>
            </w:r>
            <w:r w:rsidRPr="009E06AA">
              <w:rPr>
                <w:szCs w:val="16"/>
                <w:vertAlign w:val="subscript"/>
              </w:rPr>
              <w:t>4</w:t>
            </w:r>
            <w:r w:rsidRPr="009E06AA">
              <w:rPr>
                <w:szCs w:val="16"/>
              </w:rPr>
              <w:t xml:space="preserve"> flaring in this source category. The amount of CH</w:t>
            </w:r>
            <w:r w:rsidRPr="009E06AA">
              <w:rPr>
                <w:szCs w:val="16"/>
                <w:vertAlign w:val="subscript"/>
              </w:rPr>
              <w:t>4</w:t>
            </w:r>
            <w:r w:rsidRPr="009E06AA">
              <w:rPr>
                <w:szCs w:val="16"/>
              </w:rPr>
              <w:t xml:space="preserve"> flared does not contribute to New Zealand’s total emissions because it produces biogenic CO</w:t>
            </w:r>
            <w:r w:rsidRPr="009E06AA">
              <w:rPr>
                <w:szCs w:val="16"/>
                <w:vertAlign w:val="subscript"/>
              </w:rPr>
              <w:t>2</w:t>
            </w:r>
            <w:r w:rsidRPr="009E06AA">
              <w:rPr>
                <w:szCs w:val="16"/>
              </w:rPr>
              <w:t xml:space="preserve"> (as described in the 2006 IPCC Guidelines under section 6.2.1; IPCC, 2006e).</w:t>
            </w:r>
          </w:p>
        </w:tc>
      </w:tr>
      <w:tr w:rsidR="00C3347F" w:rsidRPr="009E06AA" w14:paraId="60234009" w14:textId="77777777" w:rsidTr="00B55F24">
        <w:tc>
          <w:tcPr>
            <w:tcW w:w="1134" w:type="dxa"/>
            <w:tcBorders>
              <w:top w:val="single" w:sz="4" w:space="0" w:color="1B556B"/>
              <w:left w:val="nil"/>
              <w:bottom w:val="single" w:sz="4" w:space="0" w:color="1B556B"/>
              <w:right w:val="nil"/>
            </w:tcBorders>
            <w:shd w:val="clear" w:color="auto" w:fill="FFFFFF" w:themeFill="background1"/>
          </w:tcPr>
          <w:p w14:paraId="68D22A03" w14:textId="77777777" w:rsidR="00C3347F" w:rsidRPr="009E06AA" w:rsidRDefault="00C3347F" w:rsidP="00B55F24">
            <w:pPr>
              <w:pStyle w:val="TableText"/>
              <w:spacing w:before="50" w:after="50"/>
              <w:rPr>
                <w:bCs/>
                <w:color w:val="000000"/>
                <w:szCs w:val="16"/>
              </w:rPr>
            </w:pPr>
            <w:r w:rsidRPr="009E06AA">
              <w:rPr>
                <w:bCs/>
                <w:szCs w:val="16"/>
              </w:rPr>
              <w:t>Within the Tokelau sector</w:t>
            </w:r>
            <w:r w:rsidRPr="009E06AA">
              <w:rPr>
                <w:b/>
                <w:bCs/>
                <w:szCs w:val="16"/>
              </w:rPr>
              <w:t xml:space="preserve"> </w:t>
            </w:r>
            <w:r w:rsidRPr="009E06AA">
              <w:rPr>
                <w:szCs w:val="16"/>
              </w:rPr>
              <w:t>6</w:t>
            </w:r>
            <w:r w:rsidRPr="009E06AA">
              <w:rPr>
                <w:bCs/>
                <w:szCs w:val="16"/>
              </w:rPr>
              <w:t>,</w:t>
            </w:r>
            <w:r w:rsidRPr="009E06AA">
              <w:rPr>
                <w:b/>
                <w:bCs/>
                <w:szCs w:val="16"/>
              </w:rPr>
              <w:t xml:space="preserve"> </w:t>
            </w:r>
            <w:r w:rsidRPr="009E06AA">
              <w:rPr>
                <w:bCs/>
                <w:szCs w:val="16"/>
              </w:rPr>
              <w:t>category 3.A.4 Enteric fermentation for poultry</w:t>
            </w:r>
          </w:p>
        </w:tc>
        <w:tc>
          <w:tcPr>
            <w:tcW w:w="1843" w:type="dxa"/>
            <w:tcBorders>
              <w:top w:val="single" w:sz="4" w:space="0" w:color="1B556B"/>
              <w:left w:val="nil"/>
              <w:bottom w:val="single" w:sz="4" w:space="0" w:color="1B556B"/>
              <w:right w:val="nil"/>
            </w:tcBorders>
            <w:shd w:val="clear" w:color="auto" w:fill="FFFFFF" w:themeFill="background1"/>
          </w:tcPr>
          <w:p w14:paraId="61A2A448" w14:textId="77777777" w:rsidR="00C3347F" w:rsidRPr="009E06AA" w:rsidRDefault="00C3347F" w:rsidP="00B55F24">
            <w:pPr>
              <w:pStyle w:val="TableText"/>
              <w:spacing w:before="50" w:after="50"/>
              <w:rPr>
                <w:color w:val="000000"/>
                <w:szCs w:val="16"/>
              </w:rPr>
            </w:pPr>
            <w:r w:rsidRPr="009E06AA">
              <w:rPr>
                <w:bCs/>
                <w:szCs w:val="16"/>
              </w:rPr>
              <w:t>Enteric fermentation from poultry in Tokelau</w:t>
            </w:r>
          </w:p>
        </w:tc>
        <w:tc>
          <w:tcPr>
            <w:tcW w:w="992" w:type="dxa"/>
            <w:tcBorders>
              <w:top w:val="single" w:sz="4" w:space="0" w:color="1B556B"/>
              <w:left w:val="nil"/>
              <w:bottom w:val="single" w:sz="4" w:space="0" w:color="1B556B"/>
              <w:right w:val="nil"/>
            </w:tcBorders>
            <w:shd w:val="clear" w:color="auto" w:fill="FFFFFF" w:themeFill="background1"/>
          </w:tcPr>
          <w:p w14:paraId="37854D47" w14:textId="77777777" w:rsidR="00C3347F" w:rsidRPr="009E06AA" w:rsidRDefault="00C3347F" w:rsidP="00B55F24">
            <w:pPr>
              <w:pStyle w:val="TableText"/>
              <w:spacing w:before="50" w:after="50"/>
              <w:rPr>
                <w:color w:val="000000"/>
                <w:szCs w:val="16"/>
              </w:rPr>
            </w:pPr>
            <w:r w:rsidRPr="009E06AA">
              <w:rPr>
                <w:color w:val="000000"/>
                <w:szCs w:val="16"/>
              </w:rPr>
              <w:t>CH</w:t>
            </w:r>
            <w:r w:rsidRPr="009E06AA">
              <w:rPr>
                <w:color w:val="000000"/>
                <w:szCs w:val="16"/>
                <w:vertAlign w:val="subscript"/>
              </w:rPr>
              <w:t>4</w:t>
            </w:r>
          </w:p>
        </w:tc>
        <w:tc>
          <w:tcPr>
            <w:tcW w:w="4536" w:type="dxa"/>
            <w:tcBorders>
              <w:top w:val="single" w:sz="4" w:space="0" w:color="1B556B"/>
              <w:left w:val="nil"/>
              <w:bottom w:val="single" w:sz="4" w:space="0" w:color="1B556B"/>
              <w:right w:val="nil"/>
            </w:tcBorders>
            <w:shd w:val="clear" w:color="auto" w:fill="FFFFFF" w:themeFill="background1"/>
          </w:tcPr>
          <w:p w14:paraId="0FF25E95" w14:textId="77777777" w:rsidR="00C3347F" w:rsidRPr="009E06AA" w:rsidRDefault="00C3347F" w:rsidP="00B55F24">
            <w:pPr>
              <w:pStyle w:val="TableText"/>
              <w:spacing w:before="50" w:after="50"/>
              <w:rPr>
                <w:szCs w:val="16"/>
              </w:rPr>
            </w:pPr>
            <w:r w:rsidRPr="009E06AA">
              <w:rPr>
                <w:szCs w:val="16"/>
              </w:rPr>
              <w:t>This category is not mandatory. No IPCC guidance is provided for calculating Tier 1 estimates. Any potential emissions from this activity are expected to be very small, under 0.1 kt CO</w:t>
            </w:r>
            <w:r w:rsidRPr="009E06AA">
              <w:rPr>
                <w:szCs w:val="16"/>
                <w:vertAlign w:val="subscript"/>
              </w:rPr>
              <w:t>2</w:t>
            </w:r>
            <w:r w:rsidRPr="009E06AA">
              <w:rPr>
                <w:szCs w:val="16"/>
              </w:rPr>
              <w:t xml:space="preserve">-e or less, which is the quantity of emissions for </w:t>
            </w:r>
            <w:r w:rsidRPr="009E06AA">
              <w:rPr>
                <w:i/>
                <w:iCs/>
                <w:szCs w:val="16"/>
              </w:rPr>
              <w:t>Enteric fermentation</w:t>
            </w:r>
            <w:r w:rsidRPr="009E06AA">
              <w:rPr>
                <w:szCs w:val="16"/>
              </w:rPr>
              <w:t xml:space="preserve"> from swine in Tokelau.</w:t>
            </w:r>
          </w:p>
        </w:tc>
      </w:tr>
    </w:tbl>
    <w:p w14:paraId="435C852B" w14:textId="77777777" w:rsidR="00C3347F" w:rsidRPr="009E06AA" w:rsidRDefault="00C3347F" w:rsidP="00C3347F">
      <w:pPr>
        <w:pStyle w:val="BodyText"/>
        <w:spacing w:before="240"/>
      </w:pPr>
      <w:r w:rsidRPr="009E06AA">
        <w:t xml:space="preserve">The estimate of emissions for all of New Zealand’s source categories marked as ‘NE’ results in </w:t>
      </w:r>
      <w:r w:rsidRPr="009E06AA" w:rsidDel="00435895">
        <w:t>23.</w:t>
      </w:r>
      <w:r w:rsidRPr="009E06AA">
        <w:t>8 kt CO</w:t>
      </w:r>
      <w:r w:rsidRPr="009E06AA">
        <w:rPr>
          <w:vertAlign w:val="subscript"/>
        </w:rPr>
        <w:t>2</w:t>
      </w:r>
      <w:r w:rsidRPr="009E06AA">
        <w:t>-e, which is below the 0.1 per cent of the total emissions threshold (78.4 kt CO</w:t>
      </w:r>
      <w:r w:rsidRPr="009E06AA">
        <w:rPr>
          <w:vertAlign w:val="subscript"/>
        </w:rPr>
        <w:t>2</w:t>
      </w:r>
      <w:r w:rsidRPr="009E06AA">
        <w:noBreakHyphen/>
        <w:t>e).</w:t>
      </w:r>
    </w:p>
    <w:p w14:paraId="4F6D8BAD" w14:textId="77777777" w:rsidR="00C3347F" w:rsidRPr="009E06AA" w:rsidRDefault="00C3347F" w:rsidP="00C3347F">
      <w:pPr>
        <w:pStyle w:val="Heading4"/>
      </w:pPr>
      <w:bookmarkStart w:id="153" w:name="_Toc162261128"/>
      <w:r w:rsidRPr="009E06AA">
        <w:t>Emissions reported as ‘IE’ (included elsewhere)</w:t>
      </w:r>
      <w:bookmarkEnd w:id="153"/>
    </w:p>
    <w:p w14:paraId="38944982" w14:textId="6793F362" w:rsidR="00C3347F" w:rsidRPr="009E06AA" w:rsidRDefault="00C3347F" w:rsidP="00C3347F">
      <w:pPr>
        <w:pStyle w:val="BodyText"/>
      </w:pPr>
      <w:r w:rsidRPr="009E06AA">
        <w:t xml:space="preserve">The notation key ‘IE’ (included elsewhere) signifies that emissions and/or removals for this activity or category are estimated and included in the </w:t>
      </w:r>
      <w:r w:rsidR="006042F8">
        <w:t>I</w:t>
      </w:r>
      <w:r w:rsidRPr="009E06AA">
        <w:t xml:space="preserve">nventory but not presented separately for this category. </w:t>
      </w:r>
    </w:p>
    <w:p w14:paraId="2BD4DC04" w14:textId="31ECE4BF" w:rsidR="00C3347F" w:rsidRPr="009E06AA" w:rsidRDefault="00C3347F" w:rsidP="00C3347F">
      <w:pPr>
        <w:pStyle w:val="BodyText"/>
      </w:pPr>
      <w:r w:rsidRPr="009E06AA">
        <w:t xml:space="preserve">Table 1.7.2 details where the notation key ‘IE’ has been used in this submission of the </w:t>
      </w:r>
      <w:r w:rsidR="006042F8">
        <w:t>I</w:t>
      </w:r>
      <w:r w:rsidRPr="009E06AA">
        <w:t xml:space="preserve">nventory. </w:t>
      </w:r>
    </w:p>
    <w:p w14:paraId="20094C7D" w14:textId="77777777" w:rsidR="00C3347F" w:rsidRPr="009E06AA" w:rsidRDefault="00C3347F" w:rsidP="00C3347F">
      <w:pPr>
        <w:pStyle w:val="Table"/>
      </w:pPr>
      <w:bookmarkStart w:id="154" w:name="_Toc481751677"/>
      <w:bookmarkStart w:id="155" w:name="_Toc511116906"/>
      <w:bookmarkStart w:id="156" w:name="_Toc5271529"/>
      <w:bookmarkStart w:id="157" w:name="_Toc36315465"/>
      <w:bookmarkStart w:id="158" w:name="_Toc130904403"/>
      <w:bookmarkStart w:id="159" w:name="_Toc162261043"/>
      <w:bookmarkStart w:id="160" w:name="_Toc162261099"/>
      <w:bookmarkStart w:id="161" w:name="_Toc164153797"/>
      <w:r w:rsidRPr="009E06AA">
        <w:t xml:space="preserve">Table 1.7.2 </w:t>
      </w:r>
      <w:r w:rsidRPr="009E06AA">
        <w:tab/>
        <w:t>Emissions reported using the ‘IE’ (included elsewhere) notation key</w:t>
      </w:r>
      <w:bookmarkEnd w:id="154"/>
      <w:bookmarkEnd w:id="155"/>
      <w:bookmarkEnd w:id="156"/>
      <w:bookmarkEnd w:id="157"/>
      <w:bookmarkEnd w:id="158"/>
      <w:bookmarkEnd w:id="159"/>
      <w:bookmarkEnd w:id="160"/>
      <w:bookmarkEnd w:id="161"/>
      <w:r w:rsidRPr="009E06AA">
        <w:t xml:space="preserve"> </w:t>
      </w:r>
    </w:p>
    <w:tbl>
      <w:tblPr>
        <w:tblW w:w="8505" w:type="dxa"/>
        <w:tblBorders>
          <w:top w:val="single" w:sz="4" w:space="0" w:color="365F91"/>
          <w:bottom w:val="single" w:sz="4" w:space="0" w:color="365F91"/>
          <w:insideH w:val="single" w:sz="4" w:space="0" w:color="365F91"/>
          <w:insideV w:val="single" w:sz="4" w:space="0" w:color="365F91"/>
        </w:tblBorders>
        <w:tblLayout w:type="fixed"/>
        <w:tblCellMar>
          <w:left w:w="85" w:type="dxa"/>
          <w:right w:w="57" w:type="dxa"/>
        </w:tblCellMar>
        <w:tblLook w:val="04A0" w:firstRow="1" w:lastRow="0" w:firstColumn="1" w:lastColumn="0" w:noHBand="0" w:noVBand="1"/>
      </w:tblPr>
      <w:tblGrid>
        <w:gridCol w:w="1127"/>
        <w:gridCol w:w="2478"/>
        <w:gridCol w:w="2084"/>
        <w:gridCol w:w="2816"/>
      </w:tblGrid>
      <w:tr w:rsidR="00C3347F" w:rsidRPr="009E06AA" w14:paraId="3BBAA7EC" w14:textId="77777777" w:rsidTr="00B55F24">
        <w:trPr>
          <w:tblHeader/>
        </w:trPr>
        <w:tc>
          <w:tcPr>
            <w:tcW w:w="1134" w:type="dxa"/>
            <w:tcBorders>
              <w:top w:val="single" w:sz="4" w:space="0" w:color="365F91"/>
              <w:left w:val="nil"/>
              <w:bottom w:val="single" w:sz="4" w:space="0" w:color="365F91"/>
              <w:right w:val="single" w:sz="4" w:space="0" w:color="1B556B"/>
            </w:tcBorders>
            <w:shd w:val="clear" w:color="auto" w:fill="1B556B"/>
            <w:vAlign w:val="bottom"/>
            <w:hideMark/>
          </w:tcPr>
          <w:p w14:paraId="1FC81262" w14:textId="77777777" w:rsidR="00C3347F" w:rsidRPr="009E06AA" w:rsidRDefault="00C3347F" w:rsidP="00B55F24">
            <w:pPr>
              <w:pStyle w:val="TableText"/>
              <w:keepNext/>
              <w:spacing w:before="40" w:after="40"/>
              <w:rPr>
                <w:b/>
                <w:bCs/>
                <w:i/>
                <w:color w:val="FFFFFF"/>
                <w:szCs w:val="16"/>
              </w:rPr>
            </w:pPr>
            <w:r w:rsidRPr="009E06AA">
              <w:rPr>
                <w:b/>
                <w:bCs/>
                <w:color w:val="FFFFFF"/>
                <w:szCs w:val="16"/>
              </w:rPr>
              <w:t>CRT category code</w:t>
            </w:r>
          </w:p>
        </w:tc>
        <w:tc>
          <w:tcPr>
            <w:tcW w:w="2495" w:type="dxa"/>
            <w:tcBorders>
              <w:top w:val="single" w:sz="4" w:space="0" w:color="365F91"/>
              <w:left w:val="single" w:sz="4" w:space="0" w:color="1B556B"/>
              <w:bottom w:val="single" w:sz="4" w:space="0" w:color="365F91"/>
              <w:right w:val="single" w:sz="4" w:space="0" w:color="1B556B"/>
            </w:tcBorders>
            <w:shd w:val="clear" w:color="auto" w:fill="1B556B"/>
            <w:vAlign w:val="bottom"/>
            <w:hideMark/>
          </w:tcPr>
          <w:p w14:paraId="5975EB34" w14:textId="77777777" w:rsidR="00C3347F" w:rsidRPr="009E06AA" w:rsidRDefault="00C3347F" w:rsidP="00B55F24">
            <w:pPr>
              <w:pStyle w:val="TableText"/>
              <w:keepNext/>
              <w:spacing w:before="40" w:after="40"/>
              <w:rPr>
                <w:b/>
                <w:bCs/>
                <w:i/>
                <w:color w:val="FFFFFF"/>
                <w:szCs w:val="16"/>
              </w:rPr>
            </w:pPr>
            <w:r w:rsidRPr="009E06AA">
              <w:rPr>
                <w:b/>
                <w:bCs/>
                <w:color w:val="FFFFFF"/>
                <w:szCs w:val="16"/>
              </w:rPr>
              <w:t>Category</w:t>
            </w:r>
          </w:p>
        </w:tc>
        <w:tc>
          <w:tcPr>
            <w:tcW w:w="2098" w:type="dxa"/>
            <w:tcBorders>
              <w:top w:val="single" w:sz="4" w:space="0" w:color="365F91"/>
              <w:left w:val="single" w:sz="4" w:space="0" w:color="1B556B"/>
              <w:bottom w:val="single" w:sz="4" w:space="0" w:color="365F91"/>
              <w:right w:val="single" w:sz="4" w:space="0" w:color="1B556B"/>
            </w:tcBorders>
            <w:shd w:val="clear" w:color="auto" w:fill="1B556B"/>
            <w:vAlign w:val="bottom"/>
            <w:hideMark/>
          </w:tcPr>
          <w:p w14:paraId="1BCD0D2C" w14:textId="77777777" w:rsidR="00C3347F" w:rsidRPr="009E06AA" w:rsidRDefault="00C3347F" w:rsidP="00B55F24">
            <w:pPr>
              <w:pStyle w:val="TableText"/>
              <w:keepNext/>
              <w:spacing w:before="40" w:after="40"/>
              <w:rPr>
                <w:b/>
                <w:bCs/>
                <w:color w:val="FFFFFF"/>
                <w:szCs w:val="16"/>
              </w:rPr>
            </w:pPr>
            <w:r w:rsidRPr="009E06AA">
              <w:rPr>
                <w:b/>
                <w:bCs/>
                <w:color w:val="FFFFFF"/>
                <w:szCs w:val="16"/>
              </w:rPr>
              <w:t xml:space="preserve">Source category </w:t>
            </w:r>
            <w:r w:rsidRPr="009E06AA">
              <w:rPr>
                <w:b/>
                <w:bCs/>
                <w:color w:val="FFFFFF"/>
                <w:szCs w:val="16"/>
              </w:rPr>
              <w:br/>
              <w:t>reported under</w:t>
            </w:r>
          </w:p>
        </w:tc>
        <w:tc>
          <w:tcPr>
            <w:tcW w:w="2835" w:type="dxa"/>
            <w:tcBorders>
              <w:top w:val="single" w:sz="4" w:space="0" w:color="365F91"/>
              <w:left w:val="single" w:sz="4" w:space="0" w:color="1B556B"/>
              <w:bottom w:val="single" w:sz="4" w:space="0" w:color="365F91"/>
              <w:right w:val="nil"/>
            </w:tcBorders>
            <w:shd w:val="clear" w:color="auto" w:fill="1B556B"/>
            <w:vAlign w:val="bottom"/>
            <w:hideMark/>
          </w:tcPr>
          <w:p w14:paraId="247F1E50" w14:textId="77777777" w:rsidR="00C3347F" w:rsidRPr="009E06AA" w:rsidRDefault="00C3347F" w:rsidP="00B55F24">
            <w:pPr>
              <w:pStyle w:val="TableText"/>
              <w:keepNext/>
              <w:spacing w:before="40" w:after="40"/>
              <w:rPr>
                <w:b/>
                <w:bCs/>
                <w:i/>
                <w:color w:val="FFFFFF"/>
                <w:szCs w:val="16"/>
              </w:rPr>
            </w:pPr>
            <w:r w:rsidRPr="009E06AA">
              <w:rPr>
                <w:b/>
                <w:bCs/>
                <w:color w:val="FFFFFF"/>
                <w:szCs w:val="16"/>
              </w:rPr>
              <w:t>Notation key explanation</w:t>
            </w:r>
          </w:p>
        </w:tc>
      </w:tr>
      <w:tr w:rsidR="00C3347F" w:rsidRPr="009E06AA" w14:paraId="2B94A53A" w14:textId="77777777" w:rsidTr="00B55F24">
        <w:tc>
          <w:tcPr>
            <w:tcW w:w="1134" w:type="dxa"/>
            <w:tcBorders>
              <w:top w:val="single" w:sz="4" w:space="0" w:color="365F91"/>
              <w:left w:val="nil"/>
              <w:bottom w:val="single" w:sz="4" w:space="0" w:color="1B556B"/>
              <w:right w:val="single" w:sz="4" w:space="0" w:color="365F91"/>
            </w:tcBorders>
            <w:hideMark/>
          </w:tcPr>
          <w:p w14:paraId="02C8DFCE" w14:textId="77777777" w:rsidR="00C3347F" w:rsidRPr="009E06AA" w:rsidRDefault="00C3347F" w:rsidP="00B55F24">
            <w:pPr>
              <w:pStyle w:val="TableText"/>
              <w:keepNext/>
              <w:spacing w:before="40" w:after="40"/>
            </w:pPr>
            <w:r w:rsidRPr="009E06AA">
              <w:t>1.A.2.a</w:t>
            </w:r>
          </w:p>
        </w:tc>
        <w:tc>
          <w:tcPr>
            <w:tcW w:w="2495" w:type="dxa"/>
            <w:tcBorders>
              <w:top w:val="single" w:sz="4" w:space="0" w:color="365F91"/>
              <w:left w:val="single" w:sz="4" w:space="0" w:color="365F91"/>
              <w:bottom w:val="single" w:sz="4" w:space="0" w:color="1B556B"/>
              <w:right w:val="single" w:sz="4" w:space="0" w:color="1B556B"/>
            </w:tcBorders>
            <w:hideMark/>
          </w:tcPr>
          <w:p w14:paraId="6F3E97DB" w14:textId="77777777" w:rsidR="00C3347F" w:rsidRPr="009E06AA" w:rsidRDefault="00C3347F" w:rsidP="00B55F24">
            <w:pPr>
              <w:pStyle w:val="TableText"/>
              <w:keepNext/>
              <w:spacing w:before="40" w:after="40"/>
              <w:rPr>
                <w:szCs w:val="16"/>
              </w:rPr>
            </w:pPr>
            <w:r w:rsidRPr="009E06AA">
              <w:rPr>
                <w:szCs w:val="16"/>
              </w:rPr>
              <w:t>Iron and steel – Liquid fuels</w:t>
            </w:r>
          </w:p>
        </w:tc>
        <w:tc>
          <w:tcPr>
            <w:tcW w:w="2098" w:type="dxa"/>
            <w:tcBorders>
              <w:top w:val="single" w:sz="4" w:space="0" w:color="365F91"/>
              <w:left w:val="single" w:sz="4" w:space="0" w:color="1B556B"/>
              <w:bottom w:val="single" w:sz="4" w:space="0" w:color="1B556B"/>
              <w:right w:val="single" w:sz="4" w:space="0" w:color="1B556B"/>
            </w:tcBorders>
            <w:hideMark/>
          </w:tcPr>
          <w:p w14:paraId="4F54AB57" w14:textId="77777777" w:rsidR="00C3347F" w:rsidRPr="009E06AA" w:rsidRDefault="00C3347F" w:rsidP="00B55F24">
            <w:pPr>
              <w:pStyle w:val="TableText"/>
              <w:keepNext/>
              <w:spacing w:before="40" w:after="40"/>
              <w:rPr>
                <w:szCs w:val="16"/>
              </w:rPr>
            </w:pPr>
            <w:r w:rsidRPr="009E06AA">
              <w:rPr>
                <w:szCs w:val="16"/>
              </w:rPr>
              <w:t>1.A.2.g.viii – Other – Liquid fuels</w:t>
            </w:r>
          </w:p>
        </w:tc>
        <w:tc>
          <w:tcPr>
            <w:tcW w:w="2835" w:type="dxa"/>
            <w:tcBorders>
              <w:top w:val="single" w:sz="4" w:space="0" w:color="365F91"/>
              <w:left w:val="single" w:sz="4" w:space="0" w:color="1B556B"/>
              <w:bottom w:val="single" w:sz="4" w:space="0" w:color="1B556B"/>
              <w:right w:val="nil"/>
            </w:tcBorders>
            <w:hideMark/>
          </w:tcPr>
          <w:p w14:paraId="7E3E000B" w14:textId="77777777" w:rsidR="00C3347F" w:rsidRPr="009E06AA" w:rsidRDefault="00C3347F" w:rsidP="00B55F24">
            <w:pPr>
              <w:pStyle w:val="TableText"/>
              <w:keepNext/>
              <w:spacing w:before="40" w:after="40"/>
              <w:rPr>
                <w:szCs w:val="16"/>
              </w:rPr>
            </w:pPr>
            <w:r w:rsidRPr="009E06AA">
              <w:rPr>
                <w:szCs w:val="16"/>
              </w:rPr>
              <w:t>Disaggregated data for this category do not exist.</w:t>
            </w:r>
          </w:p>
        </w:tc>
      </w:tr>
      <w:tr w:rsidR="00C3347F" w:rsidRPr="009E06AA" w14:paraId="2B7ACB49" w14:textId="77777777" w:rsidTr="00B55F24">
        <w:tc>
          <w:tcPr>
            <w:tcW w:w="1134" w:type="dxa"/>
            <w:tcBorders>
              <w:top w:val="single" w:sz="4" w:space="0" w:color="1B556B"/>
              <w:left w:val="nil"/>
              <w:bottom w:val="single" w:sz="4" w:space="0" w:color="1B556B"/>
              <w:right w:val="single" w:sz="4" w:space="0" w:color="365F91"/>
            </w:tcBorders>
            <w:hideMark/>
          </w:tcPr>
          <w:p w14:paraId="00936609" w14:textId="77777777" w:rsidR="00C3347F" w:rsidRPr="009E06AA" w:rsidRDefault="00C3347F" w:rsidP="00B55F24">
            <w:pPr>
              <w:pStyle w:val="TableText"/>
              <w:spacing w:before="40" w:after="40"/>
              <w:rPr>
                <w:szCs w:val="16"/>
              </w:rPr>
            </w:pPr>
            <w:r w:rsidRPr="009E06AA">
              <w:rPr>
                <w:szCs w:val="16"/>
              </w:rPr>
              <w:t>1.A.2.a</w:t>
            </w:r>
          </w:p>
        </w:tc>
        <w:tc>
          <w:tcPr>
            <w:tcW w:w="2495" w:type="dxa"/>
            <w:tcBorders>
              <w:top w:val="single" w:sz="4" w:space="0" w:color="1B556B"/>
              <w:left w:val="single" w:sz="4" w:space="0" w:color="365F91"/>
              <w:bottom w:val="single" w:sz="4" w:space="0" w:color="1B556B"/>
              <w:right w:val="single" w:sz="4" w:space="0" w:color="1B556B"/>
            </w:tcBorders>
            <w:hideMark/>
          </w:tcPr>
          <w:p w14:paraId="31BE1115" w14:textId="77777777" w:rsidR="00C3347F" w:rsidRPr="009E06AA" w:rsidRDefault="00C3347F" w:rsidP="00B55F24">
            <w:pPr>
              <w:pStyle w:val="TableText"/>
              <w:spacing w:before="40" w:after="40"/>
              <w:rPr>
                <w:szCs w:val="16"/>
              </w:rPr>
            </w:pPr>
            <w:r w:rsidRPr="009E06AA">
              <w:rPr>
                <w:szCs w:val="16"/>
              </w:rPr>
              <w:t>Iron and steel – Solid fuels</w:t>
            </w:r>
          </w:p>
        </w:tc>
        <w:tc>
          <w:tcPr>
            <w:tcW w:w="2098" w:type="dxa"/>
            <w:tcBorders>
              <w:top w:val="single" w:sz="4" w:space="0" w:color="1B556B"/>
              <w:left w:val="single" w:sz="4" w:space="0" w:color="1B556B"/>
              <w:bottom w:val="single" w:sz="4" w:space="0" w:color="1B556B"/>
              <w:right w:val="single" w:sz="4" w:space="0" w:color="1B556B"/>
            </w:tcBorders>
            <w:hideMark/>
          </w:tcPr>
          <w:p w14:paraId="63A213BE" w14:textId="77777777" w:rsidR="00C3347F" w:rsidRPr="009E06AA" w:rsidRDefault="00C3347F" w:rsidP="00B55F24">
            <w:pPr>
              <w:pStyle w:val="TableText"/>
              <w:spacing w:before="40" w:after="40"/>
              <w:rPr>
                <w:szCs w:val="16"/>
              </w:rPr>
            </w:pPr>
            <w:r w:rsidRPr="009E06AA">
              <w:rPr>
                <w:szCs w:val="16"/>
              </w:rPr>
              <w:t>2.C.1 – Iron and steel production</w:t>
            </w:r>
          </w:p>
        </w:tc>
        <w:tc>
          <w:tcPr>
            <w:tcW w:w="2835" w:type="dxa"/>
            <w:tcBorders>
              <w:top w:val="single" w:sz="4" w:space="0" w:color="1B556B"/>
              <w:left w:val="single" w:sz="4" w:space="0" w:color="1B556B"/>
              <w:bottom w:val="single" w:sz="4" w:space="0" w:color="1B556B"/>
              <w:right w:val="nil"/>
            </w:tcBorders>
            <w:hideMark/>
          </w:tcPr>
          <w:p w14:paraId="5BDC3F71" w14:textId="77777777" w:rsidR="00C3347F" w:rsidRPr="009E06AA" w:rsidRDefault="00C3347F" w:rsidP="00B55F24">
            <w:pPr>
              <w:pStyle w:val="TableText"/>
              <w:spacing w:before="40" w:after="40"/>
              <w:rPr>
                <w:szCs w:val="16"/>
              </w:rPr>
            </w:pPr>
            <w:r w:rsidRPr="009E06AA">
              <w:rPr>
                <w:szCs w:val="16"/>
              </w:rPr>
              <w:t>All emissions from the use of coal in this category are included in the Industrial Processes and Product Use sector because the primary purpose of the coal is to produce iron.</w:t>
            </w:r>
          </w:p>
        </w:tc>
      </w:tr>
      <w:tr w:rsidR="00C3347F" w:rsidRPr="009E06AA" w14:paraId="6C8008E1" w14:textId="77777777" w:rsidTr="00B55F24">
        <w:tc>
          <w:tcPr>
            <w:tcW w:w="1134" w:type="dxa"/>
            <w:tcBorders>
              <w:top w:val="single" w:sz="4" w:space="0" w:color="1B556B"/>
              <w:left w:val="nil"/>
              <w:bottom w:val="single" w:sz="4" w:space="0" w:color="1B556B"/>
              <w:right w:val="single" w:sz="4" w:space="0" w:color="365F91"/>
            </w:tcBorders>
            <w:hideMark/>
          </w:tcPr>
          <w:p w14:paraId="20D58551" w14:textId="77777777" w:rsidR="00C3347F" w:rsidRPr="009E06AA" w:rsidRDefault="00C3347F" w:rsidP="00B55F24">
            <w:pPr>
              <w:pStyle w:val="TableText"/>
              <w:spacing w:before="40" w:after="40"/>
              <w:rPr>
                <w:szCs w:val="16"/>
              </w:rPr>
            </w:pPr>
            <w:r w:rsidRPr="009E06AA">
              <w:rPr>
                <w:szCs w:val="16"/>
              </w:rPr>
              <w:t>1.A.2.f</w:t>
            </w:r>
          </w:p>
        </w:tc>
        <w:tc>
          <w:tcPr>
            <w:tcW w:w="2495" w:type="dxa"/>
            <w:tcBorders>
              <w:top w:val="single" w:sz="4" w:space="0" w:color="1B556B"/>
              <w:left w:val="single" w:sz="4" w:space="0" w:color="365F91"/>
              <w:bottom w:val="single" w:sz="4" w:space="0" w:color="1B556B"/>
              <w:right w:val="single" w:sz="4" w:space="0" w:color="1B556B"/>
            </w:tcBorders>
            <w:hideMark/>
          </w:tcPr>
          <w:p w14:paraId="3A682714" w14:textId="77777777" w:rsidR="00C3347F" w:rsidRPr="009E06AA" w:rsidRDefault="00C3347F" w:rsidP="00B55F24">
            <w:pPr>
              <w:pStyle w:val="TableText"/>
              <w:spacing w:before="40" w:after="40"/>
              <w:rPr>
                <w:szCs w:val="16"/>
              </w:rPr>
            </w:pPr>
            <w:r w:rsidRPr="009E06AA">
              <w:rPr>
                <w:szCs w:val="16"/>
              </w:rPr>
              <w:t>Non-metallic minerals – Biomass</w:t>
            </w:r>
          </w:p>
        </w:tc>
        <w:tc>
          <w:tcPr>
            <w:tcW w:w="2098" w:type="dxa"/>
            <w:tcBorders>
              <w:top w:val="single" w:sz="4" w:space="0" w:color="1B556B"/>
              <w:left w:val="single" w:sz="4" w:space="0" w:color="1B556B"/>
              <w:bottom w:val="single" w:sz="4" w:space="0" w:color="1B556B"/>
              <w:right w:val="single" w:sz="4" w:space="0" w:color="1B556B"/>
            </w:tcBorders>
            <w:hideMark/>
          </w:tcPr>
          <w:p w14:paraId="48AFFC03" w14:textId="77777777" w:rsidR="00C3347F" w:rsidRPr="009E06AA" w:rsidRDefault="00C3347F" w:rsidP="00B55F24">
            <w:pPr>
              <w:pStyle w:val="TableText"/>
              <w:spacing w:before="40" w:after="40"/>
              <w:rPr>
                <w:szCs w:val="16"/>
              </w:rPr>
            </w:pPr>
            <w:r w:rsidRPr="009E06AA">
              <w:rPr>
                <w:szCs w:val="16"/>
              </w:rPr>
              <w:t>1.A.2.g.viii – Other – Biomass</w:t>
            </w:r>
          </w:p>
        </w:tc>
        <w:tc>
          <w:tcPr>
            <w:tcW w:w="2835" w:type="dxa"/>
            <w:tcBorders>
              <w:top w:val="single" w:sz="4" w:space="0" w:color="1B556B"/>
              <w:left w:val="single" w:sz="4" w:space="0" w:color="1B556B"/>
              <w:bottom w:val="single" w:sz="4" w:space="0" w:color="1B556B"/>
              <w:right w:val="nil"/>
            </w:tcBorders>
            <w:hideMark/>
          </w:tcPr>
          <w:p w14:paraId="2263DF73" w14:textId="77777777" w:rsidR="00C3347F" w:rsidRPr="009E06AA" w:rsidRDefault="00C3347F" w:rsidP="00B55F24">
            <w:pPr>
              <w:pStyle w:val="TableText"/>
              <w:spacing w:before="40" w:after="40"/>
              <w:rPr>
                <w:szCs w:val="16"/>
              </w:rPr>
            </w:pPr>
            <w:r w:rsidRPr="009E06AA">
              <w:rPr>
                <w:szCs w:val="16"/>
              </w:rPr>
              <w:t>Disaggregated data for this category do not exist.</w:t>
            </w:r>
          </w:p>
        </w:tc>
      </w:tr>
      <w:tr w:rsidR="00C3347F" w:rsidRPr="009E06AA" w14:paraId="5787E4ED" w14:textId="77777777" w:rsidTr="00B55F24">
        <w:tc>
          <w:tcPr>
            <w:tcW w:w="1134" w:type="dxa"/>
            <w:tcBorders>
              <w:top w:val="single" w:sz="4" w:space="0" w:color="1B556B"/>
              <w:left w:val="nil"/>
              <w:bottom w:val="single" w:sz="4" w:space="0" w:color="1B556B"/>
              <w:right w:val="single" w:sz="4" w:space="0" w:color="365F91"/>
            </w:tcBorders>
            <w:hideMark/>
          </w:tcPr>
          <w:p w14:paraId="06E1923C" w14:textId="77777777" w:rsidR="00C3347F" w:rsidRPr="009E06AA" w:rsidRDefault="00C3347F" w:rsidP="00B55F24">
            <w:pPr>
              <w:pStyle w:val="TableText"/>
              <w:spacing w:before="40" w:after="40"/>
              <w:rPr>
                <w:szCs w:val="16"/>
              </w:rPr>
            </w:pPr>
            <w:r w:rsidRPr="009E06AA">
              <w:rPr>
                <w:szCs w:val="16"/>
              </w:rPr>
              <w:t>1.A.3.b.ii–iv</w:t>
            </w:r>
          </w:p>
        </w:tc>
        <w:tc>
          <w:tcPr>
            <w:tcW w:w="2495" w:type="dxa"/>
            <w:tcBorders>
              <w:top w:val="single" w:sz="4" w:space="0" w:color="1B556B"/>
              <w:left w:val="single" w:sz="4" w:space="0" w:color="365F91"/>
              <w:bottom w:val="single" w:sz="4" w:space="0" w:color="1B556B"/>
              <w:right w:val="single" w:sz="4" w:space="0" w:color="1B556B"/>
            </w:tcBorders>
            <w:hideMark/>
          </w:tcPr>
          <w:p w14:paraId="16B3A9E4" w14:textId="77777777" w:rsidR="00C3347F" w:rsidRPr="009E06AA" w:rsidRDefault="00C3347F" w:rsidP="00B55F24">
            <w:pPr>
              <w:pStyle w:val="TableText"/>
              <w:spacing w:before="40" w:after="40"/>
              <w:rPr>
                <w:szCs w:val="16"/>
              </w:rPr>
            </w:pPr>
            <w:r w:rsidRPr="009E06AA">
              <w:rPr>
                <w:szCs w:val="16"/>
              </w:rPr>
              <w:t>Road transportation (other than ‘cars’) – All fuels (other than gasoline and diesel)</w:t>
            </w:r>
          </w:p>
        </w:tc>
        <w:tc>
          <w:tcPr>
            <w:tcW w:w="2098" w:type="dxa"/>
            <w:tcBorders>
              <w:top w:val="single" w:sz="4" w:space="0" w:color="1B556B"/>
              <w:left w:val="single" w:sz="4" w:space="0" w:color="1B556B"/>
              <w:bottom w:val="single" w:sz="4" w:space="0" w:color="1B556B"/>
              <w:right w:val="single" w:sz="4" w:space="0" w:color="1B556B"/>
            </w:tcBorders>
            <w:hideMark/>
          </w:tcPr>
          <w:p w14:paraId="05895C1C" w14:textId="77777777" w:rsidR="00C3347F" w:rsidRPr="009E06AA" w:rsidRDefault="00C3347F" w:rsidP="00B55F24">
            <w:pPr>
              <w:pStyle w:val="TableText"/>
              <w:spacing w:before="40" w:after="40"/>
              <w:rPr>
                <w:szCs w:val="16"/>
              </w:rPr>
            </w:pPr>
            <w:r w:rsidRPr="009E06AA">
              <w:rPr>
                <w:szCs w:val="16"/>
              </w:rPr>
              <w:t>1.A.3.b.i – Cars</w:t>
            </w:r>
          </w:p>
        </w:tc>
        <w:tc>
          <w:tcPr>
            <w:tcW w:w="2835" w:type="dxa"/>
            <w:tcBorders>
              <w:top w:val="single" w:sz="4" w:space="0" w:color="1B556B"/>
              <w:left w:val="single" w:sz="4" w:space="0" w:color="1B556B"/>
              <w:bottom w:val="single" w:sz="4" w:space="0" w:color="1B556B"/>
              <w:right w:val="nil"/>
            </w:tcBorders>
            <w:hideMark/>
          </w:tcPr>
          <w:p w14:paraId="019F4E34" w14:textId="77777777" w:rsidR="00C3347F" w:rsidRPr="009E06AA" w:rsidRDefault="00C3347F" w:rsidP="00B55F24">
            <w:pPr>
              <w:pStyle w:val="TableText"/>
              <w:spacing w:before="40" w:after="40"/>
              <w:rPr>
                <w:szCs w:val="16"/>
              </w:rPr>
            </w:pPr>
            <w:r w:rsidRPr="009E06AA">
              <w:rPr>
                <w:szCs w:val="16"/>
              </w:rPr>
              <w:t xml:space="preserve">Disaggregated data do not exist for all years for all fuels. </w:t>
            </w:r>
          </w:p>
        </w:tc>
      </w:tr>
      <w:tr w:rsidR="00C3347F" w:rsidRPr="009E06AA" w14:paraId="2F8A49B3" w14:textId="77777777" w:rsidTr="00B55F24">
        <w:tc>
          <w:tcPr>
            <w:tcW w:w="1134" w:type="dxa"/>
            <w:tcBorders>
              <w:top w:val="single" w:sz="4" w:space="0" w:color="1B556B"/>
              <w:left w:val="nil"/>
              <w:bottom w:val="single" w:sz="4" w:space="0" w:color="1B556B"/>
              <w:right w:val="single" w:sz="4" w:space="0" w:color="365F91"/>
            </w:tcBorders>
            <w:hideMark/>
          </w:tcPr>
          <w:p w14:paraId="13662F3E" w14:textId="77777777" w:rsidR="00C3347F" w:rsidRPr="009E06AA" w:rsidRDefault="00C3347F" w:rsidP="00B55F24">
            <w:pPr>
              <w:pStyle w:val="TableText"/>
              <w:spacing w:before="40" w:after="40"/>
              <w:rPr>
                <w:szCs w:val="16"/>
              </w:rPr>
            </w:pPr>
            <w:r w:rsidRPr="009E06AA">
              <w:rPr>
                <w:szCs w:val="16"/>
              </w:rPr>
              <w:t>1.A.4.c.ii–iii</w:t>
            </w:r>
          </w:p>
        </w:tc>
        <w:tc>
          <w:tcPr>
            <w:tcW w:w="2495" w:type="dxa"/>
            <w:tcBorders>
              <w:top w:val="single" w:sz="4" w:space="0" w:color="1B556B"/>
              <w:left w:val="single" w:sz="4" w:space="0" w:color="365F91"/>
              <w:bottom w:val="single" w:sz="4" w:space="0" w:color="1B556B"/>
              <w:right w:val="single" w:sz="4" w:space="0" w:color="1B556B"/>
            </w:tcBorders>
            <w:hideMark/>
          </w:tcPr>
          <w:p w14:paraId="522F25FA" w14:textId="77777777" w:rsidR="00C3347F" w:rsidRPr="009E06AA" w:rsidRDefault="00C3347F" w:rsidP="00B55F24">
            <w:pPr>
              <w:pStyle w:val="TableText"/>
              <w:spacing w:before="40" w:after="40"/>
              <w:rPr>
                <w:szCs w:val="16"/>
              </w:rPr>
            </w:pPr>
            <w:r w:rsidRPr="009E06AA">
              <w:rPr>
                <w:szCs w:val="16"/>
              </w:rPr>
              <w:t xml:space="preserve">Agriculture/forestry/fishing – Off-road vehicles and other machinery/ Gaseous fuels </w:t>
            </w:r>
          </w:p>
          <w:p w14:paraId="75D0DA75" w14:textId="77777777" w:rsidR="00C3347F" w:rsidRPr="009E06AA" w:rsidRDefault="00C3347F" w:rsidP="00B55F24">
            <w:pPr>
              <w:pStyle w:val="TableText"/>
              <w:spacing w:before="40" w:after="40"/>
              <w:rPr>
                <w:szCs w:val="16"/>
              </w:rPr>
            </w:pPr>
            <w:r w:rsidRPr="009E06AA">
              <w:rPr>
                <w:szCs w:val="16"/>
              </w:rPr>
              <w:t>Agriculture/forestry/fishing – Off-road vehicles and other machinery/ Liquefied petroleum gases (LPG)</w:t>
            </w:r>
          </w:p>
          <w:p w14:paraId="6859B742" w14:textId="77777777" w:rsidR="00C3347F" w:rsidRPr="009E06AA" w:rsidRDefault="00C3347F" w:rsidP="00B55F24">
            <w:pPr>
              <w:pStyle w:val="TableText"/>
              <w:spacing w:before="40" w:after="40"/>
              <w:rPr>
                <w:szCs w:val="16"/>
              </w:rPr>
            </w:pPr>
            <w:r w:rsidRPr="009E06AA">
              <w:rPr>
                <w:szCs w:val="16"/>
              </w:rPr>
              <w:t>Fishing/Gaseous fuels</w:t>
            </w:r>
          </w:p>
        </w:tc>
        <w:tc>
          <w:tcPr>
            <w:tcW w:w="2098" w:type="dxa"/>
            <w:tcBorders>
              <w:top w:val="single" w:sz="4" w:space="0" w:color="1B556B"/>
              <w:left w:val="single" w:sz="4" w:space="0" w:color="1B556B"/>
              <w:bottom w:val="single" w:sz="4" w:space="0" w:color="1B556B"/>
              <w:right w:val="single" w:sz="4" w:space="0" w:color="1B556B"/>
            </w:tcBorders>
            <w:hideMark/>
          </w:tcPr>
          <w:p w14:paraId="54D84973" w14:textId="77777777" w:rsidR="00C3347F" w:rsidRPr="009E06AA" w:rsidRDefault="00C3347F" w:rsidP="00B55F24">
            <w:pPr>
              <w:pStyle w:val="TableText"/>
              <w:spacing w:before="40" w:after="40"/>
              <w:rPr>
                <w:szCs w:val="16"/>
              </w:rPr>
            </w:pPr>
            <w:r w:rsidRPr="009E06AA">
              <w:rPr>
                <w:szCs w:val="16"/>
              </w:rPr>
              <w:t>1.A.4.c.i – Agriculture/ forestry/fishing – Stationary</w:t>
            </w:r>
          </w:p>
        </w:tc>
        <w:tc>
          <w:tcPr>
            <w:tcW w:w="2835" w:type="dxa"/>
            <w:tcBorders>
              <w:top w:val="single" w:sz="4" w:space="0" w:color="1B556B"/>
              <w:left w:val="single" w:sz="4" w:space="0" w:color="1B556B"/>
              <w:bottom w:val="single" w:sz="4" w:space="0" w:color="1B556B"/>
              <w:right w:val="nil"/>
            </w:tcBorders>
            <w:hideMark/>
          </w:tcPr>
          <w:p w14:paraId="08869EE4" w14:textId="77777777" w:rsidR="00C3347F" w:rsidRPr="009E06AA" w:rsidRDefault="00C3347F" w:rsidP="00B55F24">
            <w:pPr>
              <w:pStyle w:val="TableText"/>
              <w:spacing w:before="40" w:after="40"/>
              <w:rPr>
                <w:szCs w:val="16"/>
              </w:rPr>
            </w:pPr>
            <w:r w:rsidRPr="009E06AA">
              <w:rPr>
                <w:szCs w:val="16"/>
              </w:rPr>
              <w:t>Agriculture/forestry/fishing has not been disaggregated into stationary, mobile and fishing for some fuels because data are not available.</w:t>
            </w:r>
          </w:p>
        </w:tc>
      </w:tr>
      <w:tr w:rsidR="00C3347F" w:rsidRPr="009E06AA" w14:paraId="024D4A7C" w14:textId="77777777" w:rsidTr="00B55F24">
        <w:tc>
          <w:tcPr>
            <w:tcW w:w="1134" w:type="dxa"/>
            <w:tcBorders>
              <w:top w:val="single" w:sz="4" w:space="0" w:color="1B556B"/>
              <w:left w:val="nil"/>
              <w:bottom w:val="single" w:sz="4" w:space="0" w:color="1B556B"/>
              <w:right w:val="single" w:sz="4" w:space="0" w:color="365F91"/>
            </w:tcBorders>
            <w:hideMark/>
          </w:tcPr>
          <w:p w14:paraId="673A2CB2" w14:textId="77777777" w:rsidR="00C3347F" w:rsidRPr="009E06AA" w:rsidRDefault="00C3347F" w:rsidP="00B55F24">
            <w:pPr>
              <w:pStyle w:val="TableText"/>
              <w:spacing w:before="40" w:after="40"/>
              <w:rPr>
                <w:szCs w:val="16"/>
              </w:rPr>
            </w:pPr>
            <w:r w:rsidRPr="009E06AA">
              <w:rPr>
                <w:szCs w:val="16"/>
              </w:rPr>
              <w:t>1.B.2.b.1</w:t>
            </w:r>
          </w:p>
        </w:tc>
        <w:tc>
          <w:tcPr>
            <w:tcW w:w="2495" w:type="dxa"/>
            <w:tcBorders>
              <w:top w:val="single" w:sz="4" w:space="0" w:color="1B556B"/>
              <w:left w:val="single" w:sz="4" w:space="0" w:color="365F91"/>
              <w:bottom w:val="single" w:sz="4" w:space="0" w:color="1B556B"/>
              <w:right w:val="single" w:sz="4" w:space="0" w:color="1B556B"/>
            </w:tcBorders>
            <w:hideMark/>
          </w:tcPr>
          <w:p w14:paraId="3DD18C3F" w14:textId="77777777" w:rsidR="00C3347F" w:rsidRPr="009E06AA" w:rsidRDefault="00C3347F" w:rsidP="00B55F24">
            <w:pPr>
              <w:pStyle w:val="TableText"/>
              <w:spacing w:before="40" w:after="40"/>
              <w:rPr>
                <w:szCs w:val="16"/>
              </w:rPr>
            </w:pPr>
            <w:r w:rsidRPr="009E06AA">
              <w:rPr>
                <w:szCs w:val="16"/>
              </w:rPr>
              <w:t>Natural gas/exploration</w:t>
            </w:r>
          </w:p>
        </w:tc>
        <w:tc>
          <w:tcPr>
            <w:tcW w:w="2098" w:type="dxa"/>
            <w:tcBorders>
              <w:top w:val="single" w:sz="4" w:space="0" w:color="1B556B"/>
              <w:left w:val="single" w:sz="4" w:space="0" w:color="1B556B"/>
              <w:bottom w:val="single" w:sz="4" w:space="0" w:color="1B556B"/>
              <w:right w:val="single" w:sz="4" w:space="0" w:color="1B556B"/>
            </w:tcBorders>
            <w:hideMark/>
          </w:tcPr>
          <w:p w14:paraId="2AFE0FB9" w14:textId="77777777" w:rsidR="00C3347F" w:rsidRPr="009E06AA" w:rsidRDefault="00C3347F" w:rsidP="00B55F24">
            <w:pPr>
              <w:pStyle w:val="TableText"/>
              <w:spacing w:before="40" w:after="40"/>
              <w:rPr>
                <w:szCs w:val="16"/>
              </w:rPr>
            </w:pPr>
            <w:r w:rsidRPr="009E06AA">
              <w:rPr>
                <w:szCs w:val="16"/>
              </w:rPr>
              <w:t>1.B.2.a.1 – Oil exploration</w:t>
            </w:r>
          </w:p>
        </w:tc>
        <w:tc>
          <w:tcPr>
            <w:tcW w:w="2835" w:type="dxa"/>
            <w:tcBorders>
              <w:top w:val="single" w:sz="4" w:space="0" w:color="1B556B"/>
              <w:left w:val="single" w:sz="4" w:space="0" w:color="1B556B"/>
              <w:bottom w:val="single" w:sz="4" w:space="0" w:color="1B556B"/>
              <w:right w:val="nil"/>
            </w:tcBorders>
            <w:hideMark/>
          </w:tcPr>
          <w:p w14:paraId="6FAE06F1" w14:textId="77777777" w:rsidR="00C3347F" w:rsidRPr="009E06AA" w:rsidRDefault="00C3347F" w:rsidP="00B55F24">
            <w:pPr>
              <w:pStyle w:val="TableText"/>
              <w:spacing w:before="40" w:after="40"/>
              <w:rPr>
                <w:szCs w:val="16"/>
              </w:rPr>
            </w:pPr>
            <w:r w:rsidRPr="009E06AA">
              <w:rPr>
                <w:szCs w:val="16"/>
              </w:rPr>
              <w:t>In New Zealand, oil exploration is not separated from gas exploration by planning, processes, equipment or resources. The exploratory wells are drilled without distinction of their purpose, that is, whether the expected outcome is oil, gas, both or none, and there is no reliable way to predict which it would be to estimate proportions of mostly oil and mostly gas wells. Disaggregated data for oil and gas exploration, therefore, do not exist. Considering that available emission factors for well drilling and testing also do not distinguish between oil and gas, all emissions from oil and gas exploration are reported in the oil exploration category.</w:t>
            </w:r>
          </w:p>
        </w:tc>
      </w:tr>
      <w:tr w:rsidR="00C3347F" w:rsidRPr="009E06AA" w14:paraId="3DA30C71" w14:textId="77777777" w:rsidTr="00B55F24">
        <w:tc>
          <w:tcPr>
            <w:tcW w:w="1134" w:type="dxa"/>
            <w:tcBorders>
              <w:top w:val="single" w:sz="4" w:space="0" w:color="1B556B"/>
              <w:left w:val="nil"/>
              <w:bottom w:val="single" w:sz="4" w:space="0" w:color="1B556B"/>
              <w:right w:val="single" w:sz="4" w:space="0" w:color="365F91"/>
            </w:tcBorders>
            <w:hideMark/>
          </w:tcPr>
          <w:p w14:paraId="6A2F1F22" w14:textId="77777777" w:rsidR="00C3347F" w:rsidRPr="009E06AA" w:rsidRDefault="00C3347F" w:rsidP="00B55F24">
            <w:pPr>
              <w:pStyle w:val="TableText"/>
              <w:spacing w:before="40" w:after="40"/>
              <w:rPr>
                <w:szCs w:val="16"/>
              </w:rPr>
            </w:pPr>
            <w:r w:rsidRPr="009E06AA">
              <w:rPr>
                <w:szCs w:val="16"/>
              </w:rPr>
              <w:t>1.B.2.c.1.i</w:t>
            </w:r>
          </w:p>
        </w:tc>
        <w:tc>
          <w:tcPr>
            <w:tcW w:w="2495" w:type="dxa"/>
            <w:tcBorders>
              <w:top w:val="single" w:sz="4" w:space="0" w:color="1B556B"/>
              <w:left w:val="single" w:sz="4" w:space="0" w:color="365F91"/>
              <w:bottom w:val="single" w:sz="4" w:space="0" w:color="1B556B"/>
              <w:right w:val="single" w:sz="4" w:space="0" w:color="1B556B"/>
            </w:tcBorders>
            <w:hideMark/>
          </w:tcPr>
          <w:p w14:paraId="2CCA3C03" w14:textId="77777777" w:rsidR="00C3347F" w:rsidRPr="009E06AA" w:rsidRDefault="00C3347F" w:rsidP="00B55F24">
            <w:pPr>
              <w:pStyle w:val="TableText"/>
              <w:spacing w:before="40" w:after="40"/>
              <w:rPr>
                <w:szCs w:val="16"/>
              </w:rPr>
            </w:pPr>
            <w:r w:rsidRPr="009E06AA">
              <w:rPr>
                <w:szCs w:val="16"/>
              </w:rPr>
              <w:t>Venting/oil and Venting/oil</w:t>
            </w:r>
          </w:p>
        </w:tc>
        <w:tc>
          <w:tcPr>
            <w:tcW w:w="2098" w:type="dxa"/>
            <w:tcBorders>
              <w:top w:val="single" w:sz="4" w:space="0" w:color="1B556B"/>
              <w:left w:val="single" w:sz="4" w:space="0" w:color="1B556B"/>
              <w:bottom w:val="single" w:sz="4" w:space="0" w:color="1B556B"/>
              <w:right w:val="single" w:sz="4" w:space="0" w:color="1B556B"/>
            </w:tcBorders>
            <w:hideMark/>
          </w:tcPr>
          <w:p w14:paraId="656D15B4" w14:textId="77777777" w:rsidR="00C3347F" w:rsidRPr="009E06AA" w:rsidRDefault="00C3347F" w:rsidP="00B55F24">
            <w:pPr>
              <w:pStyle w:val="TableText"/>
              <w:spacing w:before="40" w:after="40"/>
              <w:rPr>
                <w:szCs w:val="16"/>
              </w:rPr>
            </w:pPr>
            <w:r w:rsidRPr="009E06AA">
              <w:rPr>
                <w:szCs w:val="16"/>
              </w:rPr>
              <w:t>1.B.2.c.1.iii – Venting/ combined</w:t>
            </w:r>
          </w:p>
        </w:tc>
        <w:tc>
          <w:tcPr>
            <w:tcW w:w="2835" w:type="dxa"/>
            <w:tcBorders>
              <w:top w:val="single" w:sz="4" w:space="0" w:color="1B556B"/>
              <w:left w:val="single" w:sz="4" w:space="0" w:color="1B556B"/>
              <w:bottom w:val="single" w:sz="4" w:space="0" w:color="1B556B"/>
              <w:right w:val="nil"/>
            </w:tcBorders>
            <w:hideMark/>
          </w:tcPr>
          <w:p w14:paraId="24E699B2" w14:textId="77777777" w:rsidR="00C3347F" w:rsidRPr="009E06AA" w:rsidRDefault="00C3347F" w:rsidP="00B55F24">
            <w:pPr>
              <w:pStyle w:val="TableText"/>
              <w:spacing w:before="40" w:after="40"/>
              <w:rPr>
                <w:szCs w:val="16"/>
              </w:rPr>
            </w:pPr>
            <w:r w:rsidRPr="009E06AA">
              <w:rPr>
                <w:szCs w:val="16"/>
              </w:rPr>
              <w:t>The fields produce both oil and gas and, therefore, are reported as combined. Disaggregated data do not exist.</w:t>
            </w:r>
          </w:p>
        </w:tc>
      </w:tr>
      <w:tr w:rsidR="00C3347F" w:rsidRPr="009E06AA" w14:paraId="29D3A8CD" w14:textId="77777777" w:rsidTr="00B55F24">
        <w:tc>
          <w:tcPr>
            <w:tcW w:w="1134" w:type="dxa"/>
            <w:tcBorders>
              <w:top w:val="single" w:sz="4" w:space="0" w:color="1B556B"/>
              <w:left w:val="nil"/>
              <w:bottom w:val="single" w:sz="4" w:space="0" w:color="1B556B"/>
              <w:right w:val="single" w:sz="4" w:space="0" w:color="365F91"/>
            </w:tcBorders>
            <w:hideMark/>
          </w:tcPr>
          <w:p w14:paraId="33212F88" w14:textId="77777777" w:rsidR="00C3347F" w:rsidRPr="009E06AA" w:rsidRDefault="00C3347F" w:rsidP="00B55F24">
            <w:pPr>
              <w:pStyle w:val="TableText"/>
              <w:spacing w:before="40" w:after="40"/>
              <w:rPr>
                <w:szCs w:val="16"/>
              </w:rPr>
            </w:pPr>
            <w:r w:rsidRPr="009E06AA">
              <w:rPr>
                <w:szCs w:val="16"/>
              </w:rPr>
              <w:t>1.B.2.c.2.i–ii</w:t>
            </w:r>
          </w:p>
        </w:tc>
        <w:tc>
          <w:tcPr>
            <w:tcW w:w="2495" w:type="dxa"/>
            <w:tcBorders>
              <w:top w:val="single" w:sz="4" w:space="0" w:color="1B556B"/>
              <w:left w:val="single" w:sz="4" w:space="0" w:color="365F91"/>
              <w:bottom w:val="single" w:sz="4" w:space="0" w:color="1B556B"/>
              <w:right w:val="single" w:sz="4" w:space="0" w:color="1B556B"/>
            </w:tcBorders>
            <w:hideMark/>
          </w:tcPr>
          <w:p w14:paraId="1B293E23" w14:textId="77777777" w:rsidR="00C3347F" w:rsidRPr="009E06AA" w:rsidRDefault="00C3347F" w:rsidP="00B55F24">
            <w:pPr>
              <w:pStyle w:val="TableText"/>
              <w:spacing w:before="40" w:after="40"/>
              <w:rPr>
                <w:szCs w:val="16"/>
              </w:rPr>
            </w:pPr>
            <w:r w:rsidRPr="009E06AA">
              <w:rPr>
                <w:szCs w:val="16"/>
              </w:rPr>
              <w:t>Flaring/oil and Flaring/oil</w:t>
            </w:r>
          </w:p>
          <w:p w14:paraId="1841945E" w14:textId="77777777" w:rsidR="00C3347F" w:rsidRPr="009E06AA" w:rsidRDefault="00C3347F" w:rsidP="00B55F24">
            <w:pPr>
              <w:pStyle w:val="TableText"/>
              <w:spacing w:before="40" w:after="40"/>
              <w:rPr>
                <w:szCs w:val="16"/>
              </w:rPr>
            </w:pPr>
            <w:r w:rsidRPr="009E06AA">
              <w:rPr>
                <w:szCs w:val="16"/>
              </w:rPr>
              <w:t>Flaring/oil and Flaring/gas</w:t>
            </w:r>
          </w:p>
        </w:tc>
        <w:tc>
          <w:tcPr>
            <w:tcW w:w="2098" w:type="dxa"/>
            <w:tcBorders>
              <w:top w:val="single" w:sz="4" w:space="0" w:color="1B556B"/>
              <w:left w:val="single" w:sz="4" w:space="0" w:color="1B556B"/>
              <w:bottom w:val="single" w:sz="4" w:space="0" w:color="1B556B"/>
              <w:right w:val="single" w:sz="4" w:space="0" w:color="1B556B"/>
            </w:tcBorders>
            <w:hideMark/>
          </w:tcPr>
          <w:p w14:paraId="26E590D9" w14:textId="77777777" w:rsidR="00C3347F" w:rsidRPr="009E06AA" w:rsidRDefault="00C3347F" w:rsidP="00B55F24">
            <w:pPr>
              <w:pStyle w:val="TableText"/>
              <w:spacing w:before="40" w:after="40"/>
              <w:rPr>
                <w:szCs w:val="16"/>
              </w:rPr>
            </w:pPr>
            <w:r w:rsidRPr="009E06AA">
              <w:rPr>
                <w:szCs w:val="16"/>
              </w:rPr>
              <w:t>1.B.2.c.1.iii – Flaring/ combined</w:t>
            </w:r>
          </w:p>
        </w:tc>
        <w:tc>
          <w:tcPr>
            <w:tcW w:w="2835" w:type="dxa"/>
            <w:tcBorders>
              <w:top w:val="single" w:sz="4" w:space="0" w:color="1B556B"/>
              <w:left w:val="single" w:sz="4" w:space="0" w:color="1B556B"/>
              <w:bottom w:val="single" w:sz="4" w:space="0" w:color="1B556B"/>
              <w:right w:val="nil"/>
            </w:tcBorders>
            <w:hideMark/>
          </w:tcPr>
          <w:p w14:paraId="4FF29F3C" w14:textId="77777777" w:rsidR="00C3347F" w:rsidRPr="009E06AA" w:rsidRDefault="00C3347F" w:rsidP="00B55F24">
            <w:pPr>
              <w:pStyle w:val="TableText"/>
              <w:spacing w:before="40" w:after="40"/>
              <w:rPr>
                <w:szCs w:val="16"/>
              </w:rPr>
            </w:pPr>
            <w:r w:rsidRPr="009E06AA">
              <w:rPr>
                <w:szCs w:val="16"/>
              </w:rPr>
              <w:t>The fields produce both oil and gas and, therefore, are reported as combined. Disaggregated data do not exist.</w:t>
            </w:r>
          </w:p>
        </w:tc>
      </w:tr>
      <w:tr w:rsidR="00C3347F" w:rsidRPr="009E06AA" w14:paraId="6D1B3739" w14:textId="77777777" w:rsidTr="00B55F24">
        <w:tc>
          <w:tcPr>
            <w:tcW w:w="1134" w:type="dxa"/>
            <w:tcBorders>
              <w:top w:val="single" w:sz="4" w:space="0" w:color="1B556B"/>
              <w:left w:val="nil"/>
              <w:bottom w:val="single" w:sz="4" w:space="0" w:color="1B556B"/>
              <w:right w:val="single" w:sz="4" w:space="0" w:color="365F91"/>
            </w:tcBorders>
            <w:hideMark/>
          </w:tcPr>
          <w:p w14:paraId="37FF7872" w14:textId="77777777" w:rsidR="00C3347F" w:rsidRPr="009E06AA" w:rsidRDefault="00C3347F" w:rsidP="00B55F24">
            <w:pPr>
              <w:pStyle w:val="TableText"/>
              <w:spacing w:before="40" w:after="40"/>
              <w:rPr>
                <w:szCs w:val="16"/>
              </w:rPr>
            </w:pPr>
            <w:r w:rsidRPr="009E06AA">
              <w:rPr>
                <w:szCs w:val="16"/>
              </w:rPr>
              <w:t>2.A.3</w:t>
            </w:r>
          </w:p>
        </w:tc>
        <w:tc>
          <w:tcPr>
            <w:tcW w:w="2495" w:type="dxa"/>
            <w:tcBorders>
              <w:top w:val="single" w:sz="4" w:space="0" w:color="1B556B"/>
              <w:left w:val="single" w:sz="4" w:space="0" w:color="365F91"/>
              <w:bottom w:val="single" w:sz="4" w:space="0" w:color="1B556B"/>
              <w:right w:val="single" w:sz="4" w:space="0" w:color="1B556B"/>
            </w:tcBorders>
            <w:hideMark/>
          </w:tcPr>
          <w:p w14:paraId="5EBC7B30" w14:textId="77777777" w:rsidR="00C3347F" w:rsidRPr="009E06AA" w:rsidRDefault="00C3347F" w:rsidP="00B55F24">
            <w:pPr>
              <w:pStyle w:val="TableText"/>
              <w:spacing w:before="40" w:after="40"/>
              <w:rPr>
                <w:szCs w:val="16"/>
              </w:rPr>
            </w:pPr>
            <w:r w:rsidRPr="009E06AA">
              <w:rPr>
                <w:szCs w:val="16"/>
              </w:rPr>
              <w:t>Glass production</w:t>
            </w:r>
          </w:p>
        </w:tc>
        <w:tc>
          <w:tcPr>
            <w:tcW w:w="2098" w:type="dxa"/>
            <w:tcBorders>
              <w:top w:val="single" w:sz="4" w:space="0" w:color="1B556B"/>
              <w:left w:val="single" w:sz="4" w:space="0" w:color="1B556B"/>
              <w:bottom w:val="single" w:sz="4" w:space="0" w:color="1B556B"/>
              <w:right w:val="single" w:sz="4" w:space="0" w:color="1B556B"/>
            </w:tcBorders>
            <w:hideMark/>
          </w:tcPr>
          <w:p w14:paraId="7FCECF1A" w14:textId="77777777" w:rsidR="00C3347F" w:rsidRPr="009E06AA" w:rsidRDefault="00C3347F" w:rsidP="00B55F24">
            <w:pPr>
              <w:pStyle w:val="TableText"/>
              <w:spacing w:before="40" w:after="40"/>
              <w:rPr>
                <w:szCs w:val="16"/>
              </w:rPr>
            </w:pPr>
            <w:r w:rsidRPr="009E06AA">
              <w:rPr>
                <w:szCs w:val="16"/>
              </w:rPr>
              <w:t>2.A.4.b – Other process uses of carbonates/Other uses of soda ash</w:t>
            </w:r>
          </w:p>
        </w:tc>
        <w:tc>
          <w:tcPr>
            <w:tcW w:w="2835" w:type="dxa"/>
            <w:tcBorders>
              <w:top w:val="single" w:sz="4" w:space="0" w:color="1B556B"/>
              <w:left w:val="single" w:sz="4" w:space="0" w:color="1B556B"/>
              <w:bottom w:val="single" w:sz="4" w:space="0" w:color="1B556B"/>
              <w:right w:val="nil"/>
            </w:tcBorders>
            <w:hideMark/>
          </w:tcPr>
          <w:p w14:paraId="3BEC2383" w14:textId="77777777" w:rsidR="00C3347F" w:rsidRPr="009E06AA" w:rsidRDefault="00C3347F" w:rsidP="00B55F24">
            <w:pPr>
              <w:pStyle w:val="TableText"/>
              <w:spacing w:before="40" w:after="40"/>
              <w:rPr>
                <w:szCs w:val="16"/>
              </w:rPr>
            </w:pPr>
            <w:r w:rsidRPr="009E06AA">
              <w:rPr>
                <w:szCs w:val="16"/>
              </w:rPr>
              <w:t xml:space="preserve">Carbon dioxide emissions are reported in </w:t>
            </w:r>
            <w:r w:rsidRPr="009E06AA">
              <w:rPr>
                <w:spacing w:val="-2"/>
                <w:szCs w:val="16"/>
              </w:rPr>
              <w:t>2.A.4.b because this aggregates emissions</w:t>
            </w:r>
            <w:r w:rsidRPr="009E06AA">
              <w:rPr>
                <w:szCs w:val="16"/>
              </w:rPr>
              <w:t xml:space="preserve"> from glass production with other uses of carbonates, due to confidentiality concerns for both glass and aluminium production. A very small number of firms in New Zealand are involved in these activities and using carbonates.</w:t>
            </w:r>
          </w:p>
        </w:tc>
      </w:tr>
      <w:tr w:rsidR="00C3347F" w:rsidRPr="009E06AA" w14:paraId="2D858700" w14:textId="77777777" w:rsidTr="00B55F24">
        <w:tc>
          <w:tcPr>
            <w:tcW w:w="1134" w:type="dxa"/>
            <w:tcBorders>
              <w:top w:val="single" w:sz="4" w:space="0" w:color="1B556B"/>
              <w:left w:val="nil"/>
              <w:bottom w:val="single" w:sz="4" w:space="0" w:color="365F91"/>
              <w:right w:val="single" w:sz="4" w:space="0" w:color="365F91"/>
            </w:tcBorders>
            <w:hideMark/>
          </w:tcPr>
          <w:p w14:paraId="48226F5B" w14:textId="77777777" w:rsidR="00C3347F" w:rsidRPr="009E06AA" w:rsidRDefault="00C3347F" w:rsidP="00B55F24">
            <w:pPr>
              <w:pStyle w:val="TableText"/>
              <w:spacing w:before="40" w:after="40"/>
            </w:pPr>
            <w:r w:rsidRPr="009E06AA">
              <w:t>3.A.4</w:t>
            </w:r>
          </w:p>
        </w:tc>
        <w:tc>
          <w:tcPr>
            <w:tcW w:w="2495" w:type="dxa"/>
            <w:tcBorders>
              <w:top w:val="single" w:sz="4" w:space="0" w:color="1B556B"/>
              <w:left w:val="single" w:sz="4" w:space="0" w:color="365F91"/>
              <w:bottom w:val="single" w:sz="4" w:space="0" w:color="365F91"/>
              <w:right w:val="single" w:sz="4" w:space="0" w:color="1B556B"/>
            </w:tcBorders>
            <w:hideMark/>
          </w:tcPr>
          <w:p w14:paraId="6C16D464" w14:textId="77777777" w:rsidR="00C3347F" w:rsidRPr="009E06AA" w:rsidRDefault="00C3347F" w:rsidP="00B55F24">
            <w:pPr>
              <w:pStyle w:val="TableText"/>
              <w:spacing w:before="40" w:after="40"/>
              <w:rPr>
                <w:szCs w:val="16"/>
              </w:rPr>
            </w:pPr>
            <w:r w:rsidRPr="009E06AA">
              <w:rPr>
                <w:szCs w:val="16"/>
              </w:rPr>
              <w:t>Enteric fermentation/other/buffalo</w:t>
            </w:r>
          </w:p>
        </w:tc>
        <w:tc>
          <w:tcPr>
            <w:tcW w:w="2098" w:type="dxa"/>
            <w:tcBorders>
              <w:top w:val="single" w:sz="4" w:space="0" w:color="1B556B"/>
              <w:left w:val="single" w:sz="4" w:space="0" w:color="1B556B"/>
              <w:bottom w:val="single" w:sz="4" w:space="0" w:color="365F91"/>
              <w:right w:val="single" w:sz="4" w:space="0" w:color="1B556B"/>
            </w:tcBorders>
            <w:hideMark/>
          </w:tcPr>
          <w:p w14:paraId="42DEF478" w14:textId="77777777" w:rsidR="00C3347F" w:rsidRPr="009E06AA" w:rsidRDefault="00C3347F" w:rsidP="00B55F24">
            <w:pPr>
              <w:pStyle w:val="TableText"/>
              <w:spacing w:before="40" w:after="40"/>
              <w:rPr>
                <w:szCs w:val="16"/>
              </w:rPr>
            </w:pPr>
            <w:r w:rsidRPr="009E06AA">
              <w:rPr>
                <w:szCs w:val="16"/>
              </w:rPr>
              <w:t>3.A.1.A – Dairy cattle</w:t>
            </w:r>
          </w:p>
        </w:tc>
        <w:tc>
          <w:tcPr>
            <w:tcW w:w="2835" w:type="dxa"/>
            <w:tcBorders>
              <w:top w:val="single" w:sz="4" w:space="0" w:color="1B556B"/>
              <w:left w:val="single" w:sz="4" w:space="0" w:color="1B556B"/>
              <w:bottom w:val="single" w:sz="4" w:space="0" w:color="365F91"/>
              <w:right w:val="nil"/>
            </w:tcBorders>
            <w:hideMark/>
          </w:tcPr>
          <w:p w14:paraId="7E55680C" w14:textId="77777777" w:rsidR="00C3347F" w:rsidRPr="009E06AA" w:rsidRDefault="00C3347F" w:rsidP="00B55F24">
            <w:pPr>
              <w:pStyle w:val="TableText"/>
              <w:spacing w:before="40" w:after="40"/>
              <w:rPr>
                <w:szCs w:val="16"/>
              </w:rPr>
            </w:pPr>
            <w:r w:rsidRPr="009E06AA">
              <w:rPr>
                <w:szCs w:val="16"/>
              </w:rPr>
              <w:t>A small herd of around 200 buffalo was brought into New Zealand around 2007 for specialised cheese and dairy production. These buffalo are reported within the dairy herd so the notation key ‘IE’ (included elsewhere) is used from 2007 onwards.</w:t>
            </w:r>
          </w:p>
        </w:tc>
      </w:tr>
      <w:tr w:rsidR="00C3347F" w:rsidRPr="009E06AA" w14:paraId="271CD492" w14:textId="77777777" w:rsidTr="00B55F24">
        <w:tc>
          <w:tcPr>
            <w:tcW w:w="1134" w:type="dxa"/>
            <w:tcBorders>
              <w:top w:val="single" w:sz="4" w:space="0" w:color="1B556B"/>
              <w:left w:val="nil"/>
              <w:bottom w:val="single" w:sz="4" w:space="0" w:color="1B556B"/>
              <w:right w:val="single" w:sz="4" w:space="0" w:color="1B556B"/>
            </w:tcBorders>
            <w:hideMark/>
          </w:tcPr>
          <w:p w14:paraId="7698E18A" w14:textId="77777777" w:rsidR="00C3347F" w:rsidRPr="009E06AA" w:rsidRDefault="00C3347F" w:rsidP="00B55F24">
            <w:pPr>
              <w:pStyle w:val="TableText"/>
              <w:keepNext/>
              <w:spacing w:before="40" w:after="40"/>
              <w:rPr>
                <w:szCs w:val="16"/>
              </w:rPr>
            </w:pPr>
            <w:r w:rsidRPr="009E06AA">
              <w:rPr>
                <w:szCs w:val="16"/>
              </w:rPr>
              <w:t>3.B.1.4, 3.B.2.4</w:t>
            </w:r>
          </w:p>
        </w:tc>
        <w:tc>
          <w:tcPr>
            <w:tcW w:w="2495" w:type="dxa"/>
            <w:tcBorders>
              <w:top w:val="single" w:sz="4" w:space="0" w:color="1B556B"/>
              <w:left w:val="single" w:sz="4" w:space="0" w:color="1B556B"/>
              <w:bottom w:val="single" w:sz="4" w:space="0" w:color="1B556B"/>
              <w:right w:val="single" w:sz="4" w:space="0" w:color="1B556B"/>
            </w:tcBorders>
            <w:hideMark/>
          </w:tcPr>
          <w:p w14:paraId="62116377" w14:textId="77777777" w:rsidR="00C3347F" w:rsidRPr="009E06AA" w:rsidRDefault="00C3347F" w:rsidP="00B55F24">
            <w:pPr>
              <w:pStyle w:val="TableText"/>
              <w:spacing w:before="40" w:after="40"/>
              <w:rPr>
                <w:szCs w:val="16"/>
              </w:rPr>
            </w:pPr>
            <w:r w:rsidRPr="009E06AA">
              <w:rPr>
                <w:szCs w:val="16"/>
              </w:rPr>
              <w:t>Manure management/other/ buffalo</w:t>
            </w:r>
          </w:p>
        </w:tc>
        <w:tc>
          <w:tcPr>
            <w:tcW w:w="2098" w:type="dxa"/>
            <w:tcBorders>
              <w:top w:val="single" w:sz="4" w:space="0" w:color="1B556B"/>
              <w:left w:val="single" w:sz="4" w:space="0" w:color="1B556B"/>
              <w:bottom w:val="single" w:sz="4" w:space="0" w:color="1B556B"/>
              <w:right w:val="single" w:sz="4" w:space="0" w:color="1B556B"/>
            </w:tcBorders>
            <w:hideMark/>
          </w:tcPr>
          <w:p w14:paraId="5021C1A4" w14:textId="77777777" w:rsidR="00C3347F" w:rsidRPr="009E06AA" w:rsidRDefault="00C3347F" w:rsidP="00B55F24">
            <w:pPr>
              <w:pStyle w:val="TableText"/>
              <w:spacing w:before="40" w:after="40"/>
              <w:rPr>
                <w:szCs w:val="16"/>
              </w:rPr>
            </w:pPr>
            <w:r w:rsidRPr="009E06AA">
              <w:rPr>
                <w:szCs w:val="16"/>
              </w:rPr>
              <w:t>3.B.1.A – Dairy cattle</w:t>
            </w:r>
          </w:p>
          <w:p w14:paraId="3A0EA29F" w14:textId="77777777" w:rsidR="00C3347F" w:rsidRPr="009E06AA" w:rsidRDefault="00C3347F" w:rsidP="00B55F24">
            <w:pPr>
              <w:pStyle w:val="TableText"/>
              <w:spacing w:before="40" w:after="40"/>
              <w:rPr>
                <w:szCs w:val="16"/>
              </w:rPr>
            </w:pPr>
            <w:r w:rsidRPr="009E06AA">
              <w:rPr>
                <w:szCs w:val="16"/>
              </w:rPr>
              <w:t>3.B.2.A – Dairy cattle</w:t>
            </w:r>
          </w:p>
        </w:tc>
        <w:tc>
          <w:tcPr>
            <w:tcW w:w="2835" w:type="dxa"/>
            <w:tcBorders>
              <w:top w:val="single" w:sz="4" w:space="0" w:color="1B556B"/>
              <w:left w:val="single" w:sz="4" w:space="0" w:color="1B556B"/>
              <w:bottom w:val="single" w:sz="4" w:space="0" w:color="1B556B"/>
              <w:right w:val="nil"/>
            </w:tcBorders>
            <w:hideMark/>
          </w:tcPr>
          <w:p w14:paraId="5E8172C5" w14:textId="77777777" w:rsidR="00C3347F" w:rsidRPr="009E06AA" w:rsidRDefault="00C3347F" w:rsidP="00B55F24">
            <w:pPr>
              <w:pStyle w:val="TableText"/>
              <w:spacing w:before="40" w:after="40"/>
              <w:rPr>
                <w:szCs w:val="16"/>
              </w:rPr>
            </w:pPr>
            <w:r w:rsidRPr="009E06AA">
              <w:rPr>
                <w:szCs w:val="16"/>
              </w:rPr>
              <w:t>For both nitrous oxide (N</w:t>
            </w:r>
            <w:r w:rsidRPr="009E06AA">
              <w:rPr>
                <w:szCs w:val="16"/>
                <w:vertAlign w:val="subscript"/>
              </w:rPr>
              <w:t>2</w:t>
            </w:r>
            <w:r w:rsidRPr="009E06AA">
              <w:rPr>
                <w:szCs w:val="16"/>
              </w:rPr>
              <w:t>O) and methane (CH</w:t>
            </w:r>
            <w:r w:rsidRPr="009E06AA">
              <w:rPr>
                <w:szCs w:val="16"/>
                <w:vertAlign w:val="subscript"/>
              </w:rPr>
              <w:t>4</w:t>
            </w:r>
            <w:r w:rsidRPr="009E06AA">
              <w:rPr>
                <w:szCs w:val="16"/>
              </w:rPr>
              <w:t>) emissions, the notation key ‘NO’ (not occurring) is used up to 2006 because no buffalo were recorded in New Zealand before 2007. A small herd of around 200 buffalo was brought into New Zealand around 2007 for specialised cheese and dairy production. See notation key explanation for 3.A.4. For more information, see chapter 5, section 5.1.4 (‘Minor livestock categories’) of this National Inventory Report.</w:t>
            </w:r>
          </w:p>
        </w:tc>
      </w:tr>
      <w:tr w:rsidR="00C3347F" w:rsidRPr="009E06AA" w14:paraId="271FBB59" w14:textId="77777777" w:rsidTr="00B55F24">
        <w:tc>
          <w:tcPr>
            <w:tcW w:w="1134" w:type="dxa"/>
            <w:tcBorders>
              <w:top w:val="single" w:sz="4" w:space="0" w:color="1B556B"/>
              <w:left w:val="nil"/>
              <w:bottom w:val="single" w:sz="4" w:space="0" w:color="1B556B"/>
              <w:right w:val="single" w:sz="4" w:space="0" w:color="1B556B"/>
            </w:tcBorders>
            <w:hideMark/>
          </w:tcPr>
          <w:p w14:paraId="1813B930" w14:textId="77777777" w:rsidR="00C3347F" w:rsidRPr="009E06AA" w:rsidRDefault="00C3347F" w:rsidP="00B55F24">
            <w:pPr>
              <w:pStyle w:val="TableText"/>
              <w:spacing w:before="40" w:after="40"/>
            </w:pPr>
            <w:r w:rsidRPr="009E06AA">
              <w:t xml:space="preserve">3.B.2.5 </w:t>
            </w:r>
          </w:p>
        </w:tc>
        <w:tc>
          <w:tcPr>
            <w:tcW w:w="2495" w:type="dxa"/>
            <w:tcBorders>
              <w:top w:val="single" w:sz="4" w:space="0" w:color="1B556B"/>
              <w:left w:val="single" w:sz="4" w:space="0" w:color="1B556B"/>
              <w:bottom w:val="single" w:sz="4" w:space="0" w:color="1B556B"/>
              <w:right w:val="single" w:sz="4" w:space="0" w:color="1B556B"/>
            </w:tcBorders>
            <w:hideMark/>
          </w:tcPr>
          <w:p w14:paraId="47B4193D" w14:textId="77777777" w:rsidR="00C3347F" w:rsidRPr="009E06AA" w:rsidRDefault="00C3347F" w:rsidP="00B55F24">
            <w:pPr>
              <w:pStyle w:val="TableText"/>
              <w:spacing w:before="40" w:after="40"/>
              <w:rPr>
                <w:szCs w:val="16"/>
              </w:rPr>
            </w:pPr>
            <w:r w:rsidRPr="009E06AA">
              <w:rPr>
                <w:szCs w:val="16"/>
              </w:rPr>
              <w:t>N</w:t>
            </w:r>
            <w:r w:rsidRPr="009E06AA">
              <w:rPr>
                <w:szCs w:val="16"/>
                <w:vertAlign w:val="subscript"/>
              </w:rPr>
              <w:t>2</w:t>
            </w:r>
            <w:r w:rsidRPr="009E06AA">
              <w:rPr>
                <w:szCs w:val="16"/>
              </w:rPr>
              <w:t>O emissions per MMS</w:t>
            </w:r>
            <w:r w:rsidRPr="009E06AA">
              <w:rPr>
                <w:rStyle w:val="FootnoteReference"/>
                <w:szCs w:val="16"/>
              </w:rPr>
              <w:footnoteReference w:id="17"/>
            </w:r>
          </w:p>
        </w:tc>
        <w:tc>
          <w:tcPr>
            <w:tcW w:w="2098" w:type="dxa"/>
            <w:tcBorders>
              <w:top w:val="single" w:sz="4" w:space="0" w:color="1B556B"/>
              <w:left w:val="single" w:sz="4" w:space="0" w:color="1B556B"/>
              <w:bottom w:val="single" w:sz="4" w:space="0" w:color="1B556B"/>
              <w:right w:val="single" w:sz="4" w:space="0" w:color="1B556B"/>
            </w:tcBorders>
            <w:hideMark/>
          </w:tcPr>
          <w:p w14:paraId="633918D7" w14:textId="77777777" w:rsidR="00C3347F" w:rsidRPr="009E06AA" w:rsidRDefault="00C3347F" w:rsidP="00B55F24">
            <w:pPr>
              <w:pStyle w:val="TableText"/>
              <w:spacing w:before="40" w:after="40"/>
              <w:rPr>
                <w:szCs w:val="16"/>
              </w:rPr>
            </w:pPr>
            <w:r w:rsidRPr="009E06AA">
              <w:rPr>
                <w:szCs w:val="16"/>
              </w:rPr>
              <w:t>3.D – Agricultural soils</w:t>
            </w:r>
          </w:p>
        </w:tc>
        <w:tc>
          <w:tcPr>
            <w:tcW w:w="2835" w:type="dxa"/>
            <w:tcBorders>
              <w:top w:val="single" w:sz="4" w:space="0" w:color="1B556B"/>
              <w:left w:val="single" w:sz="4" w:space="0" w:color="1B556B"/>
              <w:bottom w:val="single" w:sz="4" w:space="0" w:color="1B556B"/>
              <w:right w:val="nil"/>
            </w:tcBorders>
            <w:hideMark/>
          </w:tcPr>
          <w:p w14:paraId="207AEE96" w14:textId="6DDA4F8E" w:rsidR="00C3347F" w:rsidRPr="009E06AA" w:rsidRDefault="00C3347F" w:rsidP="00B55F24">
            <w:pPr>
              <w:pStyle w:val="TableText"/>
              <w:spacing w:before="40" w:after="40"/>
            </w:pPr>
            <w:r w:rsidRPr="009E06AA">
              <w:t>Direct N</w:t>
            </w:r>
            <w:r w:rsidRPr="009E06AA">
              <w:rPr>
                <w:vertAlign w:val="subscript"/>
              </w:rPr>
              <w:t>2</w:t>
            </w:r>
            <w:r w:rsidRPr="009E06AA">
              <w:t xml:space="preserve">O emissions from anaerobic lagoons (dairy and swine) and daily spread (swine) are reported under </w:t>
            </w:r>
            <w:r w:rsidRPr="009E06AA">
              <w:rPr>
                <w:i/>
              </w:rPr>
              <w:t>Agricultural soils</w:t>
            </w:r>
            <w:r w:rsidRPr="009E06AA">
              <w:t>. The 2006 IPCC Guidelines assume negligible direct N</w:t>
            </w:r>
            <w:r w:rsidRPr="009E06AA">
              <w:rPr>
                <w:vertAlign w:val="subscript"/>
              </w:rPr>
              <w:t>2</w:t>
            </w:r>
            <w:r w:rsidRPr="009E06AA">
              <w:t>O emissions occur in anaerobic lagoons and daily spread, and only occur once the stored effluent is spread onto agricultural soils (IPCC, 2006d). For more information see chapter 5, sections 5.3.2 (‘Direct nitrous oxide emissions from manure management’) and 5.5.2 (‘Urine and dung deposited by grazing animals’).</w:t>
            </w:r>
          </w:p>
        </w:tc>
      </w:tr>
      <w:tr w:rsidR="00C3347F" w:rsidRPr="009E06AA" w14:paraId="79426C68" w14:textId="77777777" w:rsidTr="00B55F24">
        <w:tc>
          <w:tcPr>
            <w:tcW w:w="1134" w:type="dxa"/>
            <w:tcBorders>
              <w:top w:val="single" w:sz="4" w:space="0" w:color="1B556B"/>
              <w:left w:val="nil"/>
              <w:bottom w:val="single" w:sz="4" w:space="0" w:color="1B556B"/>
              <w:right w:val="single" w:sz="4" w:space="0" w:color="1B556B"/>
            </w:tcBorders>
            <w:hideMark/>
          </w:tcPr>
          <w:p w14:paraId="07630A6B" w14:textId="77777777" w:rsidR="00C3347F" w:rsidRPr="009E06AA" w:rsidRDefault="00C3347F" w:rsidP="00B55F24">
            <w:pPr>
              <w:pStyle w:val="TableText"/>
              <w:keepNext/>
              <w:spacing w:before="40" w:after="40"/>
              <w:rPr>
                <w:szCs w:val="16"/>
              </w:rPr>
            </w:pPr>
            <w:r w:rsidRPr="009E06AA">
              <w:rPr>
                <w:szCs w:val="16"/>
              </w:rPr>
              <w:t>3.D.1.2.b</w:t>
            </w:r>
          </w:p>
        </w:tc>
        <w:tc>
          <w:tcPr>
            <w:tcW w:w="2495" w:type="dxa"/>
            <w:tcBorders>
              <w:top w:val="single" w:sz="4" w:space="0" w:color="1B556B"/>
              <w:left w:val="single" w:sz="4" w:space="0" w:color="1B556B"/>
              <w:bottom w:val="single" w:sz="4" w:space="0" w:color="1B556B"/>
              <w:right w:val="single" w:sz="4" w:space="0" w:color="1B556B"/>
            </w:tcBorders>
            <w:hideMark/>
          </w:tcPr>
          <w:p w14:paraId="7D93707A" w14:textId="77777777" w:rsidR="00C3347F" w:rsidRPr="009E06AA" w:rsidRDefault="00C3347F" w:rsidP="00B55F24">
            <w:pPr>
              <w:pStyle w:val="TableText"/>
              <w:spacing w:before="40" w:after="40"/>
              <w:rPr>
                <w:szCs w:val="16"/>
              </w:rPr>
            </w:pPr>
            <w:r w:rsidRPr="009E06AA">
              <w:rPr>
                <w:szCs w:val="16"/>
              </w:rPr>
              <w:t>Sewage sludge applied to soils</w:t>
            </w:r>
          </w:p>
        </w:tc>
        <w:tc>
          <w:tcPr>
            <w:tcW w:w="2098" w:type="dxa"/>
            <w:tcBorders>
              <w:top w:val="single" w:sz="4" w:space="0" w:color="1B556B"/>
              <w:left w:val="single" w:sz="4" w:space="0" w:color="1B556B"/>
              <w:bottom w:val="single" w:sz="4" w:space="0" w:color="1B556B"/>
              <w:right w:val="single" w:sz="4" w:space="0" w:color="1B556B"/>
            </w:tcBorders>
            <w:hideMark/>
          </w:tcPr>
          <w:p w14:paraId="1C4EEEB6" w14:textId="77777777" w:rsidR="00C3347F" w:rsidRPr="009E06AA" w:rsidRDefault="00C3347F" w:rsidP="00B55F24">
            <w:pPr>
              <w:pStyle w:val="TableText"/>
              <w:spacing w:before="40" w:after="40"/>
              <w:rPr>
                <w:szCs w:val="16"/>
              </w:rPr>
            </w:pPr>
            <w:r w:rsidRPr="009E06AA">
              <w:rPr>
                <w:szCs w:val="16"/>
              </w:rPr>
              <w:t>Included under the Waste sector 5.A.1.a</w:t>
            </w:r>
          </w:p>
        </w:tc>
        <w:tc>
          <w:tcPr>
            <w:tcW w:w="2835" w:type="dxa"/>
            <w:tcBorders>
              <w:top w:val="single" w:sz="4" w:space="0" w:color="1B556B"/>
              <w:left w:val="single" w:sz="4" w:space="0" w:color="1B556B"/>
              <w:bottom w:val="single" w:sz="4" w:space="0" w:color="1B556B"/>
              <w:right w:val="nil"/>
            </w:tcBorders>
            <w:hideMark/>
          </w:tcPr>
          <w:p w14:paraId="1B286F4C" w14:textId="77777777" w:rsidR="00C3347F" w:rsidRPr="009E06AA" w:rsidRDefault="00C3347F" w:rsidP="00B55F24">
            <w:pPr>
              <w:pStyle w:val="TableText"/>
              <w:spacing w:before="40" w:after="40"/>
              <w:rPr>
                <w:szCs w:val="16"/>
              </w:rPr>
            </w:pPr>
            <w:r w:rsidRPr="009E06AA">
              <w:rPr>
                <w:szCs w:val="16"/>
              </w:rPr>
              <w:t>Direct N</w:t>
            </w:r>
            <w:r w:rsidRPr="009E06AA">
              <w:rPr>
                <w:szCs w:val="16"/>
                <w:vertAlign w:val="subscript"/>
              </w:rPr>
              <w:t>2</w:t>
            </w:r>
            <w:r w:rsidRPr="009E06AA">
              <w:rPr>
                <w:szCs w:val="16"/>
              </w:rPr>
              <w:t>O emissions from sewage sludge are reported under 5.A.1.a in the Waste sector. Sewage sludge activity data are obtained from water treatment industry surveys and do not disaggregate the amount of sludge used for different purposes. Due to the small amount of emissions coming from sewage sludge, further disaggregation of the activity data is considered resource prohibitive. Sewage sludge is a very small source of nitrogen (van der Weerden et al., 2014).</w:t>
            </w:r>
          </w:p>
        </w:tc>
      </w:tr>
      <w:tr w:rsidR="00C3347F" w:rsidRPr="009E06AA" w14:paraId="5E62D4AD" w14:textId="77777777" w:rsidTr="00B55F24">
        <w:tc>
          <w:tcPr>
            <w:tcW w:w="1134" w:type="dxa"/>
            <w:tcBorders>
              <w:top w:val="single" w:sz="4" w:space="0" w:color="1B556B"/>
              <w:left w:val="nil"/>
              <w:bottom w:val="single" w:sz="4" w:space="0" w:color="1B556B"/>
              <w:right w:val="single" w:sz="4" w:space="0" w:color="1B556B"/>
            </w:tcBorders>
            <w:hideMark/>
          </w:tcPr>
          <w:p w14:paraId="0445BBA9" w14:textId="77777777" w:rsidR="00C3347F" w:rsidRPr="009E06AA" w:rsidRDefault="00C3347F" w:rsidP="00B55F24">
            <w:pPr>
              <w:pStyle w:val="TableText"/>
              <w:spacing w:before="40" w:after="40"/>
              <w:rPr>
                <w:szCs w:val="16"/>
              </w:rPr>
            </w:pPr>
            <w:r w:rsidRPr="009E06AA">
              <w:rPr>
                <w:szCs w:val="16"/>
              </w:rPr>
              <w:t>3.E</w:t>
            </w:r>
          </w:p>
        </w:tc>
        <w:tc>
          <w:tcPr>
            <w:tcW w:w="2495" w:type="dxa"/>
            <w:tcBorders>
              <w:top w:val="single" w:sz="4" w:space="0" w:color="1B556B"/>
              <w:left w:val="single" w:sz="4" w:space="0" w:color="1B556B"/>
              <w:bottom w:val="single" w:sz="4" w:space="0" w:color="1B556B"/>
              <w:right w:val="single" w:sz="4" w:space="0" w:color="1B556B"/>
            </w:tcBorders>
            <w:hideMark/>
          </w:tcPr>
          <w:p w14:paraId="023CE8D6" w14:textId="77777777" w:rsidR="00C3347F" w:rsidRPr="009E06AA" w:rsidRDefault="00C3347F" w:rsidP="00B55F24">
            <w:pPr>
              <w:pStyle w:val="TableText"/>
              <w:spacing w:before="40" w:after="40"/>
              <w:rPr>
                <w:szCs w:val="16"/>
              </w:rPr>
            </w:pPr>
            <w:r w:rsidRPr="009E06AA">
              <w:rPr>
                <w:szCs w:val="16"/>
              </w:rPr>
              <w:t>Prescribed burning of savannas</w:t>
            </w:r>
          </w:p>
        </w:tc>
        <w:tc>
          <w:tcPr>
            <w:tcW w:w="2098" w:type="dxa"/>
            <w:tcBorders>
              <w:top w:val="single" w:sz="4" w:space="0" w:color="1B556B"/>
              <w:left w:val="single" w:sz="4" w:space="0" w:color="1B556B"/>
              <w:bottom w:val="single" w:sz="4" w:space="0" w:color="1B556B"/>
              <w:right w:val="single" w:sz="4" w:space="0" w:color="1B556B"/>
            </w:tcBorders>
            <w:hideMark/>
          </w:tcPr>
          <w:p w14:paraId="75BD142F" w14:textId="77777777" w:rsidR="00C3347F" w:rsidRPr="009E06AA" w:rsidRDefault="00C3347F" w:rsidP="00B55F24">
            <w:pPr>
              <w:pStyle w:val="TableText"/>
              <w:spacing w:before="40" w:after="40"/>
              <w:rPr>
                <w:szCs w:val="16"/>
              </w:rPr>
            </w:pPr>
            <w:r w:rsidRPr="009E06AA">
              <w:rPr>
                <w:szCs w:val="16"/>
              </w:rPr>
              <w:t>Biomass burning (table 4(V) of LULUCF), category C Grassland</w:t>
            </w:r>
          </w:p>
        </w:tc>
        <w:tc>
          <w:tcPr>
            <w:tcW w:w="2835" w:type="dxa"/>
            <w:tcBorders>
              <w:top w:val="single" w:sz="4" w:space="0" w:color="1B556B"/>
              <w:left w:val="single" w:sz="4" w:space="0" w:color="1B556B"/>
              <w:bottom w:val="single" w:sz="4" w:space="0" w:color="1B556B"/>
              <w:right w:val="nil"/>
            </w:tcBorders>
            <w:hideMark/>
          </w:tcPr>
          <w:p w14:paraId="71BC42FD" w14:textId="77777777" w:rsidR="00C3347F" w:rsidRPr="009E06AA" w:rsidRDefault="00C3347F" w:rsidP="00B55F24">
            <w:pPr>
              <w:pStyle w:val="TableText"/>
              <w:spacing w:before="40" w:after="40"/>
            </w:pPr>
            <w:r w:rsidRPr="009E06AA">
              <w:t>Prescribed burning of savanna is reported under the Land Use, Land-Use Change and Forestry (LULUCF) sector. See chapter 6, section 6.11.8 (‘Biomass burning’ (table 4(V) of LULUCF), category C Grassland).</w:t>
            </w:r>
          </w:p>
        </w:tc>
      </w:tr>
      <w:tr w:rsidR="00C3347F" w:rsidRPr="009E06AA" w14:paraId="0B7E505E" w14:textId="77777777" w:rsidTr="00B55F24">
        <w:tc>
          <w:tcPr>
            <w:tcW w:w="1134" w:type="dxa"/>
            <w:tcBorders>
              <w:top w:val="single" w:sz="4" w:space="0" w:color="1B556B"/>
              <w:left w:val="nil"/>
              <w:bottom w:val="single" w:sz="4" w:space="0" w:color="1B556B"/>
              <w:right w:val="single" w:sz="4" w:space="0" w:color="1B556B"/>
            </w:tcBorders>
            <w:hideMark/>
          </w:tcPr>
          <w:p w14:paraId="1085D8ED" w14:textId="77777777" w:rsidR="00C3347F" w:rsidRPr="009E06AA" w:rsidRDefault="00C3347F" w:rsidP="00B55F24">
            <w:pPr>
              <w:pStyle w:val="TableText"/>
              <w:spacing w:before="40" w:after="40"/>
              <w:rPr>
                <w:szCs w:val="16"/>
              </w:rPr>
            </w:pPr>
            <w:r w:rsidRPr="009E06AA">
              <w:rPr>
                <w:szCs w:val="16"/>
              </w:rPr>
              <w:t>4.A.1/4(V)</w:t>
            </w:r>
          </w:p>
        </w:tc>
        <w:tc>
          <w:tcPr>
            <w:tcW w:w="2495" w:type="dxa"/>
            <w:tcBorders>
              <w:top w:val="single" w:sz="4" w:space="0" w:color="1B556B"/>
              <w:left w:val="single" w:sz="4" w:space="0" w:color="1B556B"/>
              <w:bottom w:val="single" w:sz="4" w:space="0" w:color="1B556B"/>
              <w:right w:val="single" w:sz="4" w:space="0" w:color="1B556B"/>
            </w:tcBorders>
            <w:hideMark/>
          </w:tcPr>
          <w:p w14:paraId="79DFBB09" w14:textId="77777777" w:rsidR="00C3347F" w:rsidRPr="009E06AA" w:rsidRDefault="00C3347F" w:rsidP="00B55F24">
            <w:pPr>
              <w:pStyle w:val="TableText"/>
              <w:spacing w:before="40" w:after="40"/>
              <w:rPr>
                <w:szCs w:val="16"/>
              </w:rPr>
            </w:pPr>
            <w:r w:rsidRPr="009E06AA">
              <w:rPr>
                <w:szCs w:val="16"/>
              </w:rPr>
              <w:t>Controlled burning</w:t>
            </w:r>
          </w:p>
        </w:tc>
        <w:tc>
          <w:tcPr>
            <w:tcW w:w="2098" w:type="dxa"/>
            <w:tcBorders>
              <w:top w:val="single" w:sz="4" w:space="0" w:color="1B556B"/>
              <w:left w:val="single" w:sz="4" w:space="0" w:color="1B556B"/>
              <w:bottom w:val="single" w:sz="4" w:space="0" w:color="1B556B"/>
              <w:right w:val="single" w:sz="4" w:space="0" w:color="1B556B"/>
            </w:tcBorders>
            <w:hideMark/>
          </w:tcPr>
          <w:p w14:paraId="1717384A" w14:textId="77777777" w:rsidR="00C3347F" w:rsidRPr="009E06AA" w:rsidRDefault="00C3347F" w:rsidP="00B55F24">
            <w:pPr>
              <w:pStyle w:val="TableText"/>
              <w:spacing w:before="40" w:after="40"/>
              <w:rPr>
                <w:szCs w:val="16"/>
              </w:rPr>
            </w:pPr>
            <w:r w:rsidRPr="009E06AA">
              <w:rPr>
                <w:bCs/>
                <w:szCs w:val="16"/>
              </w:rPr>
              <w:t>Forest land remaining forest land</w:t>
            </w:r>
          </w:p>
        </w:tc>
        <w:tc>
          <w:tcPr>
            <w:tcW w:w="2835" w:type="dxa"/>
            <w:tcBorders>
              <w:top w:val="single" w:sz="4" w:space="0" w:color="1B556B"/>
              <w:left w:val="single" w:sz="4" w:space="0" w:color="1B556B"/>
              <w:bottom w:val="single" w:sz="4" w:space="0" w:color="1B556B"/>
              <w:right w:val="nil"/>
            </w:tcBorders>
            <w:hideMark/>
          </w:tcPr>
          <w:p w14:paraId="70D737A3" w14:textId="77777777" w:rsidR="00C3347F" w:rsidRPr="009E06AA" w:rsidRDefault="00C3347F" w:rsidP="00B55F24">
            <w:pPr>
              <w:pStyle w:val="TableText"/>
              <w:spacing w:before="40" w:after="40"/>
              <w:rPr>
                <w:szCs w:val="16"/>
              </w:rPr>
            </w:pPr>
            <w:r w:rsidRPr="009E06AA">
              <w:rPr>
                <w:bCs/>
                <w:szCs w:val="16"/>
              </w:rPr>
              <w:t>Carbon dioxide (CO</w:t>
            </w:r>
            <w:r w:rsidRPr="009E06AA">
              <w:rPr>
                <w:bCs/>
                <w:szCs w:val="16"/>
                <w:vertAlign w:val="subscript"/>
              </w:rPr>
              <w:t>2</w:t>
            </w:r>
            <w:r w:rsidRPr="009E06AA">
              <w:rPr>
                <w:bCs/>
                <w:szCs w:val="16"/>
              </w:rPr>
              <w:t>) emissions are captured by the general carbon stock change calculation if the fire-damaged area is harvested and replanted. If the stand is allowed to grow on but with a reduced stocking, the CO</w:t>
            </w:r>
            <w:r w:rsidRPr="009E06AA">
              <w:rPr>
                <w:bCs/>
                <w:szCs w:val="16"/>
                <w:vertAlign w:val="subscript"/>
              </w:rPr>
              <w:t>2</w:t>
            </w:r>
            <w:r w:rsidRPr="009E06AA">
              <w:rPr>
                <w:bCs/>
                <w:szCs w:val="16"/>
              </w:rPr>
              <w:t xml:space="preserve"> emissions are reported at the eventual time of harvest.</w:t>
            </w:r>
          </w:p>
        </w:tc>
      </w:tr>
      <w:tr w:rsidR="00C3347F" w:rsidRPr="009E06AA" w14:paraId="7D896F2C" w14:textId="77777777" w:rsidTr="00B55F24">
        <w:tc>
          <w:tcPr>
            <w:tcW w:w="1134" w:type="dxa"/>
            <w:tcBorders>
              <w:top w:val="single" w:sz="4" w:space="0" w:color="1B556B"/>
              <w:left w:val="nil"/>
              <w:bottom w:val="single" w:sz="4" w:space="0" w:color="1B556B"/>
              <w:right w:val="single" w:sz="4" w:space="0" w:color="1B556B"/>
            </w:tcBorders>
            <w:hideMark/>
          </w:tcPr>
          <w:p w14:paraId="07DDEC36" w14:textId="77777777" w:rsidR="00C3347F" w:rsidRPr="009E06AA" w:rsidRDefault="00C3347F" w:rsidP="00B55F24">
            <w:pPr>
              <w:pStyle w:val="TableText"/>
              <w:spacing w:before="40" w:after="40"/>
              <w:rPr>
                <w:szCs w:val="16"/>
              </w:rPr>
            </w:pPr>
            <w:r w:rsidRPr="009E06AA">
              <w:rPr>
                <w:szCs w:val="16"/>
              </w:rPr>
              <w:t>4.A.1/4(II)</w:t>
            </w:r>
          </w:p>
          <w:p w14:paraId="67BB80B9" w14:textId="77777777" w:rsidR="00C3347F" w:rsidRPr="009E06AA" w:rsidRDefault="00C3347F" w:rsidP="00B55F24">
            <w:pPr>
              <w:pStyle w:val="TableText"/>
              <w:spacing w:before="40" w:after="40"/>
              <w:rPr>
                <w:szCs w:val="16"/>
              </w:rPr>
            </w:pPr>
            <w:r w:rsidRPr="009E06AA">
              <w:rPr>
                <w:szCs w:val="16"/>
              </w:rPr>
              <w:t>4.B.1/4(II)</w:t>
            </w:r>
          </w:p>
        </w:tc>
        <w:tc>
          <w:tcPr>
            <w:tcW w:w="2495" w:type="dxa"/>
            <w:tcBorders>
              <w:top w:val="single" w:sz="4" w:space="0" w:color="1B556B"/>
              <w:left w:val="single" w:sz="4" w:space="0" w:color="1B556B"/>
              <w:bottom w:val="single" w:sz="4" w:space="0" w:color="1B556B"/>
              <w:right w:val="single" w:sz="4" w:space="0" w:color="1B556B"/>
            </w:tcBorders>
            <w:hideMark/>
          </w:tcPr>
          <w:p w14:paraId="1F462063" w14:textId="77777777" w:rsidR="00C3347F" w:rsidRPr="009E06AA" w:rsidRDefault="00C3347F" w:rsidP="00B55F24">
            <w:pPr>
              <w:pStyle w:val="TableText"/>
              <w:spacing w:before="40" w:after="40"/>
              <w:rPr>
                <w:szCs w:val="16"/>
              </w:rPr>
            </w:pPr>
            <w:r w:rsidRPr="009E06AA">
              <w:rPr>
                <w:szCs w:val="16"/>
              </w:rPr>
              <w:t>Forest land</w:t>
            </w:r>
          </w:p>
          <w:p w14:paraId="60552E02" w14:textId="77777777" w:rsidR="00C3347F" w:rsidRPr="009E06AA" w:rsidRDefault="00C3347F" w:rsidP="00B55F24">
            <w:pPr>
              <w:pStyle w:val="TableText"/>
              <w:spacing w:before="40" w:after="40"/>
              <w:rPr>
                <w:szCs w:val="16"/>
              </w:rPr>
            </w:pPr>
            <w:r w:rsidRPr="009E06AA">
              <w:rPr>
                <w:szCs w:val="16"/>
              </w:rPr>
              <w:t>Cropland</w:t>
            </w:r>
          </w:p>
        </w:tc>
        <w:tc>
          <w:tcPr>
            <w:tcW w:w="2098" w:type="dxa"/>
            <w:tcBorders>
              <w:top w:val="single" w:sz="4" w:space="0" w:color="1B556B"/>
              <w:left w:val="single" w:sz="4" w:space="0" w:color="1B556B"/>
              <w:bottom w:val="single" w:sz="4" w:space="0" w:color="1B556B"/>
              <w:right w:val="single" w:sz="4" w:space="0" w:color="1B556B"/>
            </w:tcBorders>
            <w:hideMark/>
          </w:tcPr>
          <w:p w14:paraId="3ED2FDD6" w14:textId="77777777" w:rsidR="00C3347F" w:rsidRPr="009E06AA" w:rsidRDefault="00C3347F" w:rsidP="00B55F24">
            <w:pPr>
              <w:pStyle w:val="TableText"/>
              <w:spacing w:before="40" w:after="40"/>
              <w:rPr>
                <w:bCs/>
                <w:szCs w:val="16"/>
              </w:rPr>
            </w:pPr>
            <w:r w:rsidRPr="009E06AA">
              <w:rPr>
                <w:bCs/>
                <w:szCs w:val="16"/>
              </w:rPr>
              <w:t>Emissions and removals from drainage and rewetting and other management of organic and mineral soils</w:t>
            </w:r>
          </w:p>
        </w:tc>
        <w:tc>
          <w:tcPr>
            <w:tcW w:w="2835" w:type="dxa"/>
            <w:tcBorders>
              <w:top w:val="single" w:sz="4" w:space="0" w:color="1B556B"/>
              <w:left w:val="single" w:sz="4" w:space="0" w:color="1B556B"/>
              <w:bottom w:val="single" w:sz="4" w:space="0" w:color="1B556B"/>
              <w:right w:val="nil"/>
            </w:tcBorders>
            <w:hideMark/>
          </w:tcPr>
          <w:p w14:paraId="3F60BEED" w14:textId="77777777" w:rsidR="00C3347F" w:rsidRPr="009E06AA" w:rsidRDefault="00C3347F" w:rsidP="00B55F24">
            <w:pPr>
              <w:pStyle w:val="TableText"/>
              <w:spacing w:before="40" w:after="40"/>
              <w:rPr>
                <w:bCs/>
                <w:szCs w:val="16"/>
              </w:rPr>
            </w:pPr>
            <w:r w:rsidRPr="009E06AA">
              <w:rPr>
                <w:bCs/>
                <w:szCs w:val="16"/>
              </w:rPr>
              <w:t>These emissions are reported under organic soils.</w:t>
            </w:r>
          </w:p>
        </w:tc>
      </w:tr>
      <w:tr w:rsidR="00C3347F" w:rsidRPr="009E06AA" w14:paraId="43FCEE29" w14:textId="77777777" w:rsidTr="00B55F24">
        <w:tc>
          <w:tcPr>
            <w:tcW w:w="1134" w:type="dxa"/>
            <w:tcBorders>
              <w:top w:val="single" w:sz="4" w:space="0" w:color="1B556B"/>
              <w:left w:val="nil"/>
              <w:bottom w:val="single" w:sz="4" w:space="0" w:color="1B556B"/>
              <w:right w:val="single" w:sz="4" w:space="0" w:color="1B556B"/>
            </w:tcBorders>
            <w:hideMark/>
          </w:tcPr>
          <w:p w14:paraId="1C7AEC77" w14:textId="77777777" w:rsidR="00C3347F" w:rsidRPr="009E06AA" w:rsidRDefault="00C3347F" w:rsidP="00B55F24">
            <w:pPr>
              <w:pStyle w:val="TableText"/>
              <w:spacing w:before="40" w:after="40"/>
              <w:rPr>
                <w:szCs w:val="16"/>
              </w:rPr>
            </w:pPr>
            <w:r w:rsidRPr="009E06AA">
              <w:rPr>
                <w:szCs w:val="16"/>
              </w:rPr>
              <w:t>4.A.1</w:t>
            </w:r>
          </w:p>
        </w:tc>
        <w:tc>
          <w:tcPr>
            <w:tcW w:w="2495" w:type="dxa"/>
            <w:tcBorders>
              <w:top w:val="single" w:sz="4" w:space="0" w:color="1B556B"/>
              <w:left w:val="single" w:sz="4" w:space="0" w:color="1B556B"/>
              <w:bottom w:val="single" w:sz="4" w:space="0" w:color="1B556B"/>
              <w:right w:val="single" w:sz="4" w:space="0" w:color="1B556B"/>
            </w:tcBorders>
            <w:hideMark/>
          </w:tcPr>
          <w:p w14:paraId="32CE3FE9" w14:textId="77777777" w:rsidR="00C3347F" w:rsidRPr="009E06AA" w:rsidRDefault="00C3347F" w:rsidP="00B55F24">
            <w:pPr>
              <w:pStyle w:val="TableText"/>
              <w:spacing w:before="40" w:after="40"/>
              <w:rPr>
                <w:szCs w:val="16"/>
              </w:rPr>
            </w:pPr>
            <w:r w:rsidRPr="009E06AA">
              <w:rPr>
                <w:szCs w:val="16"/>
              </w:rPr>
              <w:t>Forest land remaining forest land</w:t>
            </w:r>
          </w:p>
        </w:tc>
        <w:tc>
          <w:tcPr>
            <w:tcW w:w="2098" w:type="dxa"/>
            <w:tcBorders>
              <w:top w:val="single" w:sz="4" w:space="0" w:color="1B556B"/>
              <w:left w:val="single" w:sz="4" w:space="0" w:color="1B556B"/>
              <w:bottom w:val="single" w:sz="4" w:space="0" w:color="1B556B"/>
              <w:right w:val="single" w:sz="4" w:space="0" w:color="1B556B"/>
            </w:tcBorders>
            <w:hideMark/>
          </w:tcPr>
          <w:p w14:paraId="2D76ADB4" w14:textId="77777777" w:rsidR="00C3347F" w:rsidRPr="009E06AA" w:rsidRDefault="00C3347F" w:rsidP="00B55F24">
            <w:pPr>
              <w:pStyle w:val="TableText"/>
              <w:spacing w:before="40" w:after="40"/>
              <w:rPr>
                <w:bCs/>
                <w:szCs w:val="16"/>
              </w:rPr>
            </w:pPr>
            <w:r w:rsidRPr="009E06AA">
              <w:rPr>
                <w:szCs w:val="16"/>
              </w:rPr>
              <w:t>Forest land remaining forest land</w:t>
            </w:r>
          </w:p>
        </w:tc>
        <w:tc>
          <w:tcPr>
            <w:tcW w:w="2835" w:type="dxa"/>
            <w:tcBorders>
              <w:top w:val="single" w:sz="4" w:space="0" w:color="1B556B"/>
              <w:left w:val="single" w:sz="4" w:space="0" w:color="1B556B"/>
              <w:bottom w:val="single" w:sz="4" w:space="0" w:color="1B556B"/>
              <w:right w:val="nil"/>
            </w:tcBorders>
            <w:hideMark/>
          </w:tcPr>
          <w:p w14:paraId="3CF2A6FC" w14:textId="77777777" w:rsidR="00C3347F" w:rsidRPr="009E06AA" w:rsidRDefault="00C3347F" w:rsidP="00B55F24">
            <w:pPr>
              <w:pStyle w:val="TableText"/>
              <w:spacing w:before="40" w:after="40"/>
              <w:rPr>
                <w:bCs/>
                <w:szCs w:val="16"/>
              </w:rPr>
            </w:pPr>
            <w:r w:rsidRPr="009E06AA">
              <w:rPr>
                <w:bCs/>
                <w:szCs w:val="16"/>
              </w:rPr>
              <w:t>Because New Zealand uses the stock change approach, losses are only reported in years when new land is converted to this category, or where there is harvesting of forest in this year. When neither of these activities occurs, the losses are reported with biomass gains (stock change approach) and ‘IE’ is reported for biomass losses.</w:t>
            </w:r>
          </w:p>
        </w:tc>
      </w:tr>
      <w:tr w:rsidR="00C3347F" w:rsidRPr="009E06AA" w14:paraId="22731F11" w14:textId="77777777" w:rsidTr="00B55F24">
        <w:tc>
          <w:tcPr>
            <w:tcW w:w="1134" w:type="dxa"/>
            <w:tcBorders>
              <w:top w:val="single" w:sz="4" w:space="0" w:color="1B556B"/>
              <w:left w:val="nil"/>
              <w:bottom w:val="single" w:sz="4" w:space="0" w:color="1B556B"/>
              <w:right w:val="single" w:sz="4" w:space="0" w:color="1B556B"/>
            </w:tcBorders>
            <w:hideMark/>
          </w:tcPr>
          <w:p w14:paraId="594961DA" w14:textId="77777777" w:rsidR="00C3347F" w:rsidRPr="009E06AA" w:rsidRDefault="00C3347F" w:rsidP="00B55F24">
            <w:pPr>
              <w:pStyle w:val="TableText"/>
              <w:spacing w:before="40" w:after="40"/>
              <w:rPr>
                <w:szCs w:val="16"/>
              </w:rPr>
            </w:pPr>
            <w:r w:rsidRPr="009E06AA">
              <w:rPr>
                <w:szCs w:val="16"/>
              </w:rPr>
              <w:t>4.A.2</w:t>
            </w:r>
          </w:p>
        </w:tc>
        <w:tc>
          <w:tcPr>
            <w:tcW w:w="2495" w:type="dxa"/>
            <w:tcBorders>
              <w:top w:val="single" w:sz="4" w:space="0" w:color="1B556B"/>
              <w:left w:val="single" w:sz="4" w:space="0" w:color="1B556B"/>
              <w:bottom w:val="single" w:sz="4" w:space="0" w:color="1B556B"/>
              <w:right w:val="single" w:sz="4" w:space="0" w:color="1B556B"/>
            </w:tcBorders>
            <w:hideMark/>
          </w:tcPr>
          <w:p w14:paraId="6F3BC28E" w14:textId="77777777" w:rsidR="00C3347F" w:rsidRPr="009E06AA" w:rsidRDefault="00C3347F" w:rsidP="00B55F24">
            <w:pPr>
              <w:pStyle w:val="TableText"/>
              <w:spacing w:before="40" w:after="40"/>
              <w:rPr>
                <w:bCs/>
                <w:szCs w:val="16"/>
              </w:rPr>
            </w:pPr>
            <w:r w:rsidRPr="009E06AA">
              <w:rPr>
                <w:bCs/>
                <w:szCs w:val="16"/>
              </w:rPr>
              <w:t>Land converted to forest land</w:t>
            </w:r>
          </w:p>
        </w:tc>
        <w:tc>
          <w:tcPr>
            <w:tcW w:w="2098" w:type="dxa"/>
            <w:tcBorders>
              <w:top w:val="single" w:sz="4" w:space="0" w:color="1B556B"/>
              <w:left w:val="single" w:sz="4" w:space="0" w:color="1B556B"/>
              <w:bottom w:val="single" w:sz="4" w:space="0" w:color="1B556B"/>
              <w:right w:val="single" w:sz="4" w:space="0" w:color="1B556B"/>
            </w:tcBorders>
            <w:hideMark/>
          </w:tcPr>
          <w:p w14:paraId="62A3C409" w14:textId="77777777" w:rsidR="00C3347F" w:rsidRPr="009E06AA" w:rsidRDefault="00C3347F" w:rsidP="00B55F24">
            <w:pPr>
              <w:pStyle w:val="TableText"/>
              <w:spacing w:before="40" w:after="40"/>
              <w:rPr>
                <w:bCs/>
                <w:szCs w:val="16"/>
              </w:rPr>
            </w:pPr>
            <w:r w:rsidRPr="009E06AA">
              <w:rPr>
                <w:bCs/>
                <w:szCs w:val="16"/>
              </w:rPr>
              <w:t>Land converted to forest land</w:t>
            </w:r>
          </w:p>
        </w:tc>
        <w:tc>
          <w:tcPr>
            <w:tcW w:w="2835" w:type="dxa"/>
            <w:tcBorders>
              <w:top w:val="single" w:sz="4" w:space="0" w:color="1B556B"/>
              <w:left w:val="single" w:sz="4" w:space="0" w:color="1B556B"/>
              <w:bottom w:val="single" w:sz="4" w:space="0" w:color="1B556B"/>
              <w:right w:val="nil"/>
            </w:tcBorders>
            <w:hideMark/>
          </w:tcPr>
          <w:p w14:paraId="3FA47040" w14:textId="77777777" w:rsidR="00C3347F" w:rsidRPr="009E06AA" w:rsidRDefault="00C3347F" w:rsidP="00B55F24">
            <w:pPr>
              <w:pStyle w:val="TableText"/>
              <w:spacing w:before="40" w:after="40"/>
              <w:rPr>
                <w:szCs w:val="16"/>
              </w:rPr>
            </w:pPr>
            <w:r w:rsidRPr="009E06AA">
              <w:rPr>
                <w:szCs w:val="16"/>
              </w:rPr>
              <w:t>Because New Zealand uses the stock change approach, CO</w:t>
            </w:r>
            <w:r w:rsidRPr="009E06AA">
              <w:rPr>
                <w:szCs w:val="16"/>
                <w:vertAlign w:val="subscript"/>
              </w:rPr>
              <w:t>2</w:t>
            </w:r>
            <w:r w:rsidRPr="009E06AA">
              <w:rPr>
                <w:szCs w:val="16"/>
              </w:rPr>
              <w:t xml:space="preserve"> emissions from biomass losses are only reported in years new land is converted to this category, or where there is harvesting of forest in this year. When neither of these activities occurs, the losses are reported with biomass gains (stock change approach) and ‘IE’ is reported for biomass losses.</w:t>
            </w:r>
          </w:p>
        </w:tc>
      </w:tr>
      <w:tr w:rsidR="00C3347F" w:rsidRPr="009E06AA" w14:paraId="00176CD4" w14:textId="77777777" w:rsidTr="00B55F24">
        <w:tc>
          <w:tcPr>
            <w:tcW w:w="1134" w:type="dxa"/>
            <w:tcBorders>
              <w:top w:val="single" w:sz="4" w:space="0" w:color="1B556B"/>
              <w:left w:val="nil"/>
              <w:bottom w:val="single" w:sz="4" w:space="0" w:color="1B556B"/>
              <w:right w:val="single" w:sz="4" w:space="0" w:color="1B556B"/>
            </w:tcBorders>
            <w:hideMark/>
          </w:tcPr>
          <w:p w14:paraId="357BA485" w14:textId="77777777" w:rsidR="00C3347F" w:rsidRPr="009E06AA" w:rsidRDefault="00C3347F" w:rsidP="00B55F24">
            <w:pPr>
              <w:pStyle w:val="TableText"/>
              <w:spacing w:before="40" w:after="40"/>
              <w:rPr>
                <w:szCs w:val="16"/>
              </w:rPr>
            </w:pPr>
            <w:r w:rsidRPr="009E06AA">
              <w:rPr>
                <w:szCs w:val="16"/>
              </w:rPr>
              <w:t>4.A.1/4.A.2</w:t>
            </w:r>
          </w:p>
        </w:tc>
        <w:tc>
          <w:tcPr>
            <w:tcW w:w="2495" w:type="dxa"/>
            <w:tcBorders>
              <w:top w:val="single" w:sz="4" w:space="0" w:color="1B556B"/>
              <w:left w:val="single" w:sz="4" w:space="0" w:color="1B556B"/>
              <w:bottom w:val="single" w:sz="4" w:space="0" w:color="1B556B"/>
              <w:right w:val="single" w:sz="4" w:space="0" w:color="1B556B"/>
            </w:tcBorders>
            <w:hideMark/>
          </w:tcPr>
          <w:p w14:paraId="636357E2" w14:textId="77777777" w:rsidR="00C3347F" w:rsidRPr="009E06AA" w:rsidRDefault="00C3347F" w:rsidP="00B55F24">
            <w:pPr>
              <w:pStyle w:val="TableText"/>
              <w:spacing w:before="40" w:after="40"/>
              <w:rPr>
                <w:bCs/>
                <w:szCs w:val="16"/>
              </w:rPr>
            </w:pPr>
            <w:r w:rsidRPr="009E06AA">
              <w:rPr>
                <w:bCs/>
                <w:szCs w:val="16"/>
              </w:rPr>
              <w:t>Forest land remaining forest land, Land converted to forest land</w:t>
            </w:r>
          </w:p>
        </w:tc>
        <w:tc>
          <w:tcPr>
            <w:tcW w:w="2098" w:type="dxa"/>
            <w:tcBorders>
              <w:top w:val="single" w:sz="4" w:space="0" w:color="1B556B"/>
              <w:left w:val="single" w:sz="4" w:space="0" w:color="1B556B"/>
              <w:bottom w:val="single" w:sz="4" w:space="0" w:color="1B556B"/>
              <w:right w:val="single" w:sz="4" w:space="0" w:color="1B556B"/>
            </w:tcBorders>
            <w:hideMark/>
          </w:tcPr>
          <w:p w14:paraId="752F6392" w14:textId="77777777" w:rsidR="00C3347F" w:rsidRPr="009E06AA" w:rsidRDefault="00C3347F" w:rsidP="00B55F24">
            <w:pPr>
              <w:pStyle w:val="TableText"/>
              <w:spacing w:before="40" w:after="40"/>
              <w:rPr>
                <w:bCs/>
                <w:szCs w:val="16"/>
              </w:rPr>
            </w:pPr>
            <w:r w:rsidRPr="009E06AA">
              <w:rPr>
                <w:bCs/>
                <w:szCs w:val="16"/>
              </w:rPr>
              <w:t>Included under the Agriculture sector</w:t>
            </w:r>
          </w:p>
        </w:tc>
        <w:tc>
          <w:tcPr>
            <w:tcW w:w="2835" w:type="dxa"/>
            <w:tcBorders>
              <w:top w:val="single" w:sz="4" w:space="0" w:color="1B556B"/>
              <w:left w:val="single" w:sz="4" w:space="0" w:color="1B556B"/>
              <w:bottom w:val="single" w:sz="4" w:space="0" w:color="1B556B"/>
              <w:right w:val="nil"/>
            </w:tcBorders>
            <w:hideMark/>
          </w:tcPr>
          <w:p w14:paraId="360BDC83" w14:textId="77777777" w:rsidR="00C3347F" w:rsidRPr="009E06AA" w:rsidRDefault="00C3347F" w:rsidP="00B55F24">
            <w:pPr>
              <w:pStyle w:val="TableText"/>
              <w:spacing w:before="40" w:after="40"/>
              <w:rPr>
                <w:szCs w:val="16"/>
              </w:rPr>
            </w:pPr>
            <w:r w:rsidRPr="009E06AA">
              <w:rPr>
                <w:szCs w:val="16"/>
              </w:rPr>
              <w:t>New Zealand does not disaggregate data on nitrogen fertiliser by land use; therefore, all N</w:t>
            </w:r>
            <w:r w:rsidRPr="009E06AA">
              <w:rPr>
                <w:szCs w:val="16"/>
                <w:vertAlign w:val="subscript"/>
              </w:rPr>
              <w:t>2</w:t>
            </w:r>
            <w:r w:rsidRPr="009E06AA">
              <w:rPr>
                <w:szCs w:val="16"/>
              </w:rPr>
              <w:t>O emissions are reported in the Agriculture sector.</w:t>
            </w:r>
          </w:p>
        </w:tc>
      </w:tr>
      <w:tr w:rsidR="00C3347F" w:rsidRPr="009E06AA" w14:paraId="0C6571F6" w14:textId="77777777" w:rsidTr="00B55F24">
        <w:tc>
          <w:tcPr>
            <w:tcW w:w="1134" w:type="dxa"/>
            <w:tcBorders>
              <w:top w:val="single" w:sz="4" w:space="0" w:color="1B556B"/>
              <w:left w:val="nil"/>
              <w:bottom w:val="single" w:sz="4" w:space="0" w:color="1B556B"/>
              <w:right w:val="single" w:sz="4" w:space="0" w:color="1B556B"/>
            </w:tcBorders>
            <w:hideMark/>
          </w:tcPr>
          <w:p w14:paraId="1DB6AF53" w14:textId="77777777" w:rsidR="00C3347F" w:rsidRPr="009E06AA" w:rsidRDefault="00C3347F" w:rsidP="00B55F24">
            <w:pPr>
              <w:pStyle w:val="TableText"/>
              <w:spacing w:before="40" w:after="40"/>
            </w:pPr>
            <w:r w:rsidRPr="009E06AA">
              <w:t>4.A.2/4(V)</w:t>
            </w:r>
          </w:p>
        </w:tc>
        <w:tc>
          <w:tcPr>
            <w:tcW w:w="2495" w:type="dxa"/>
            <w:tcBorders>
              <w:top w:val="single" w:sz="4" w:space="0" w:color="1B556B"/>
              <w:left w:val="single" w:sz="4" w:space="0" w:color="1B556B"/>
              <w:bottom w:val="single" w:sz="4" w:space="0" w:color="1B556B"/>
              <w:right w:val="single" w:sz="4" w:space="0" w:color="1B556B"/>
            </w:tcBorders>
            <w:hideMark/>
          </w:tcPr>
          <w:p w14:paraId="0470C060" w14:textId="77777777" w:rsidR="00C3347F" w:rsidRPr="009E06AA" w:rsidRDefault="00C3347F" w:rsidP="00B55F24">
            <w:pPr>
              <w:pStyle w:val="TableText"/>
              <w:spacing w:before="40" w:after="40"/>
              <w:rPr>
                <w:szCs w:val="16"/>
              </w:rPr>
            </w:pPr>
            <w:r w:rsidRPr="009E06AA">
              <w:rPr>
                <w:szCs w:val="16"/>
              </w:rPr>
              <w:t>Controlled burning/Land converted to forest land</w:t>
            </w:r>
          </w:p>
          <w:p w14:paraId="7490CCFB" w14:textId="77777777" w:rsidR="00C3347F" w:rsidRPr="009E06AA" w:rsidRDefault="00C3347F" w:rsidP="00B55F24">
            <w:pPr>
              <w:pStyle w:val="TableText"/>
              <w:spacing w:before="40" w:after="40"/>
              <w:rPr>
                <w:bCs/>
                <w:szCs w:val="16"/>
              </w:rPr>
            </w:pPr>
            <w:r w:rsidRPr="009E06AA">
              <w:rPr>
                <w:szCs w:val="16"/>
              </w:rPr>
              <w:t>Wildfires/Land converted to forest land</w:t>
            </w:r>
          </w:p>
        </w:tc>
        <w:tc>
          <w:tcPr>
            <w:tcW w:w="2098" w:type="dxa"/>
            <w:tcBorders>
              <w:top w:val="single" w:sz="4" w:space="0" w:color="1B556B"/>
              <w:left w:val="single" w:sz="4" w:space="0" w:color="1B556B"/>
              <w:bottom w:val="single" w:sz="4" w:space="0" w:color="1B556B"/>
              <w:right w:val="single" w:sz="4" w:space="0" w:color="1B556B"/>
            </w:tcBorders>
            <w:hideMark/>
          </w:tcPr>
          <w:p w14:paraId="7214BC88" w14:textId="77777777" w:rsidR="00C3347F" w:rsidRPr="009E06AA" w:rsidRDefault="00C3347F" w:rsidP="00B55F24">
            <w:pPr>
              <w:pStyle w:val="TableText"/>
              <w:spacing w:before="40" w:after="40"/>
              <w:rPr>
                <w:bCs/>
                <w:szCs w:val="16"/>
              </w:rPr>
            </w:pPr>
            <w:r w:rsidRPr="009E06AA">
              <w:rPr>
                <w:szCs w:val="16"/>
              </w:rPr>
              <w:t>Land converted to forest land</w:t>
            </w:r>
          </w:p>
        </w:tc>
        <w:tc>
          <w:tcPr>
            <w:tcW w:w="2835" w:type="dxa"/>
            <w:tcBorders>
              <w:top w:val="single" w:sz="4" w:space="0" w:color="1B556B"/>
              <w:left w:val="single" w:sz="4" w:space="0" w:color="1B556B"/>
              <w:bottom w:val="single" w:sz="4" w:space="0" w:color="1B556B"/>
              <w:right w:val="nil"/>
            </w:tcBorders>
            <w:hideMark/>
          </w:tcPr>
          <w:p w14:paraId="20919748" w14:textId="77777777" w:rsidR="00C3347F" w:rsidRPr="009E06AA" w:rsidRDefault="00C3347F" w:rsidP="00B55F24">
            <w:pPr>
              <w:pStyle w:val="TableText"/>
              <w:spacing w:before="40" w:after="40"/>
              <w:rPr>
                <w:bCs/>
                <w:szCs w:val="16"/>
              </w:rPr>
            </w:pPr>
            <w:r w:rsidRPr="009E06AA">
              <w:rPr>
                <w:bCs/>
                <w:szCs w:val="16"/>
              </w:rPr>
              <w:t xml:space="preserve">Carbon dioxide </w:t>
            </w:r>
            <w:r w:rsidRPr="009E06AA">
              <w:rPr>
                <w:szCs w:val="16"/>
              </w:rPr>
              <w:t>emissions are captured by the general carbon stock change calculation if the fire-damaged area is harvested and replanted. If the stand is allowed to grow on but with a reduced stocking, the CO</w:t>
            </w:r>
            <w:r w:rsidRPr="009E06AA">
              <w:rPr>
                <w:szCs w:val="16"/>
                <w:vertAlign w:val="subscript"/>
              </w:rPr>
              <w:t>2</w:t>
            </w:r>
            <w:r w:rsidRPr="009E06AA">
              <w:rPr>
                <w:szCs w:val="16"/>
              </w:rPr>
              <w:t xml:space="preserve"> emissions are reported on at the eventual time of harvest.</w:t>
            </w:r>
          </w:p>
        </w:tc>
      </w:tr>
      <w:tr w:rsidR="00C3347F" w:rsidRPr="009E06AA" w14:paraId="07B72D45" w14:textId="77777777" w:rsidTr="00B55F24">
        <w:tc>
          <w:tcPr>
            <w:tcW w:w="1134" w:type="dxa"/>
            <w:tcBorders>
              <w:top w:val="single" w:sz="4" w:space="0" w:color="1B556B"/>
              <w:left w:val="nil"/>
              <w:bottom w:val="single" w:sz="4" w:space="0" w:color="365F91"/>
              <w:right w:val="single" w:sz="4" w:space="0" w:color="1B556B"/>
            </w:tcBorders>
            <w:hideMark/>
          </w:tcPr>
          <w:p w14:paraId="2AD1A4D0" w14:textId="77777777" w:rsidR="00C3347F" w:rsidRPr="009E06AA" w:rsidRDefault="00C3347F" w:rsidP="00B55F24">
            <w:pPr>
              <w:pStyle w:val="TableText"/>
              <w:keepNext/>
              <w:spacing w:before="40" w:after="40"/>
              <w:rPr>
                <w:szCs w:val="16"/>
              </w:rPr>
            </w:pPr>
            <w:r w:rsidRPr="009E06AA">
              <w:rPr>
                <w:szCs w:val="16"/>
              </w:rPr>
              <w:t>4.B.1</w:t>
            </w:r>
          </w:p>
          <w:p w14:paraId="47AC8D1D" w14:textId="77777777" w:rsidR="00C3347F" w:rsidRPr="009E06AA" w:rsidRDefault="00C3347F" w:rsidP="00B55F24">
            <w:pPr>
              <w:pStyle w:val="TableText"/>
              <w:spacing w:before="40" w:after="40"/>
              <w:rPr>
                <w:szCs w:val="16"/>
              </w:rPr>
            </w:pPr>
            <w:r w:rsidRPr="009E06AA">
              <w:rPr>
                <w:szCs w:val="16"/>
              </w:rPr>
              <w:t>4.B.2</w:t>
            </w:r>
          </w:p>
          <w:p w14:paraId="41AE6B4D" w14:textId="1CF3FC19" w:rsidR="00C3347F" w:rsidRPr="009E06AA" w:rsidRDefault="00C3347F" w:rsidP="00B55F24">
            <w:pPr>
              <w:pStyle w:val="TableText"/>
              <w:spacing w:before="40" w:after="40"/>
              <w:rPr>
                <w:szCs w:val="16"/>
              </w:rPr>
            </w:pPr>
            <w:r w:rsidRPr="009E06AA">
              <w:rPr>
                <w:szCs w:val="16"/>
              </w:rPr>
              <w:t>4</w:t>
            </w:r>
            <w:r w:rsidR="002E6DE5" w:rsidRPr="009E06AA">
              <w:rPr>
                <w:szCs w:val="16"/>
              </w:rPr>
              <w:t>.</w:t>
            </w:r>
            <w:r w:rsidRPr="009E06AA">
              <w:rPr>
                <w:szCs w:val="16"/>
              </w:rPr>
              <w:t>C.1</w:t>
            </w:r>
          </w:p>
          <w:p w14:paraId="5B5733AD" w14:textId="571B11BD" w:rsidR="00C3347F" w:rsidRPr="009E06AA" w:rsidRDefault="00C3347F" w:rsidP="00B55F24">
            <w:pPr>
              <w:pStyle w:val="TableText"/>
              <w:spacing w:before="40" w:after="40"/>
              <w:rPr>
                <w:b/>
                <w:szCs w:val="16"/>
              </w:rPr>
            </w:pPr>
            <w:r w:rsidRPr="009E06AA">
              <w:rPr>
                <w:szCs w:val="16"/>
              </w:rPr>
              <w:t>4</w:t>
            </w:r>
            <w:r w:rsidR="002E6DE5" w:rsidRPr="009E06AA">
              <w:rPr>
                <w:szCs w:val="16"/>
              </w:rPr>
              <w:t>.</w:t>
            </w:r>
            <w:r w:rsidRPr="009E06AA">
              <w:rPr>
                <w:szCs w:val="16"/>
              </w:rPr>
              <w:t>C.2</w:t>
            </w:r>
          </w:p>
        </w:tc>
        <w:tc>
          <w:tcPr>
            <w:tcW w:w="2495" w:type="dxa"/>
            <w:tcBorders>
              <w:top w:val="single" w:sz="4" w:space="0" w:color="1B556B"/>
              <w:left w:val="single" w:sz="4" w:space="0" w:color="1B556B"/>
              <w:bottom w:val="single" w:sz="4" w:space="0" w:color="365F91"/>
              <w:right w:val="single" w:sz="4" w:space="0" w:color="1B556B"/>
            </w:tcBorders>
            <w:hideMark/>
          </w:tcPr>
          <w:p w14:paraId="3B66515C" w14:textId="77777777" w:rsidR="00C3347F" w:rsidRPr="009E06AA" w:rsidRDefault="00C3347F" w:rsidP="00B55F24">
            <w:pPr>
              <w:pStyle w:val="TableText"/>
              <w:spacing w:before="40" w:after="40"/>
              <w:rPr>
                <w:szCs w:val="16"/>
              </w:rPr>
            </w:pPr>
            <w:r w:rsidRPr="009E06AA">
              <w:rPr>
                <w:szCs w:val="16"/>
              </w:rPr>
              <w:t>Cropland remaining cropland</w:t>
            </w:r>
          </w:p>
          <w:p w14:paraId="5F4C0445" w14:textId="77777777" w:rsidR="00C3347F" w:rsidRPr="009E06AA" w:rsidRDefault="00C3347F" w:rsidP="00B55F24">
            <w:pPr>
              <w:pStyle w:val="TableText"/>
              <w:spacing w:before="40" w:after="40"/>
              <w:rPr>
                <w:szCs w:val="16"/>
              </w:rPr>
            </w:pPr>
            <w:r w:rsidRPr="009E06AA">
              <w:rPr>
                <w:szCs w:val="16"/>
              </w:rPr>
              <w:t>Land converted to cropland</w:t>
            </w:r>
          </w:p>
          <w:p w14:paraId="024CC0B5" w14:textId="77777777" w:rsidR="00C3347F" w:rsidRPr="009E06AA" w:rsidRDefault="00C3347F" w:rsidP="00B55F24">
            <w:pPr>
              <w:pStyle w:val="TableText"/>
              <w:spacing w:before="40" w:after="40"/>
              <w:rPr>
                <w:szCs w:val="16"/>
              </w:rPr>
            </w:pPr>
            <w:r w:rsidRPr="009E06AA">
              <w:rPr>
                <w:szCs w:val="16"/>
              </w:rPr>
              <w:t>Grassland remaining grassland</w:t>
            </w:r>
          </w:p>
          <w:p w14:paraId="558999F9" w14:textId="77777777" w:rsidR="00C3347F" w:rsidRPr="009E06AA" w:rsidRDefault="00C3347F" w:rsidP="00B55F24">
            <w:pPr>
              <w:pStyle w:val="TableText"/>
              <w:spacing w:before="40" w:after="40"/>
              <w:rPr>
                <w:szCs w:val="16"/>
              </w:rPr>
            </w:pPr>
            <w:r w:rsidRPr="009E06AA">
              <w:rPr>
                <w:szCs w:val="16"/>
              </w:rPr>
              <w:t>Land converted to grassland</w:t>
            </w:r>
          </w:p>
        </w:tc>
        <w:tc>
          <w:tcPr>
            <w:tcW w:w="2098" w:type="dxa"/>
            <w:tcBorders>
              <w:top w:val="single" w:sz="4" w:space="0" w:color="1B556B"/>
              <w:left w:val="single" w:sz="4" w:space="0" w:color="1B556B"/>
              <w:bottom w:val="single" w:sz="4" w:space="0" w:color="365F91"/>
              <w:right w:val="single" w:sz="4" w:space="0" w:color="1B556B"/>
            </w:tcBorders>
            <w:hideMark/>
          </w:tcPr>
          <w:p w14:paraId="1AE4C479" w14:textId="77777777" w:rsidR="00C3347F" w:rsidRPr="009E06AA" w:rsidRDefault="00C3347F" w:rsidP="00B55F24">
            <w:pPr>
              <w:pStyle w:val="TableText"/>
              <w:spacing w:before="40" w:after="40"/>
              <w:rPr>
                <w:szCs w:val="16"/>
              </w:rPr>
            </w:pPr>
            <w:r w:rsidRPr="009E06AA">
              <w:rPr>
                <w:szCs w:val="16"/>
              </w:rPr>
              <w:t>Cropland remaining cropland</w:t>
            </w:r>
          </w:p>
          <w:p w14:paraId="5552065C" w14:textId="77777777" w:rsidR="00C3347F" w:rsidRPr="009E06AA" w:rsidRDefault="00C3347F" w:rsidP="00B55F24">
            <w:pPr>
              <w:pStyle w:val="TableText"/>
              <w:spacing w:before="40" w:after="40"/>
              <w:rPr>
                <w:szCs w:val="16"/>
              </w:rPr>
            </w:pPr>
            <w:r w:rsidRPr="009E06AA">
              <w:rPr>
                <w:szCs w:val="16"/>
              </w:rPr>
              <w:t>Land converted to cropland</w:t>
            </w:r>
          </w:p>
          <w:p w14:paraId="46CADE4C" w14:textId="77777777" w:rsidR="00C3347F" w:rsidRPr="009E06AA" w:rsidRDefault="00C3347F" w:rsidP="00B55F24">
            <w:pPr>
              <w:pStyle w:val="TableText"/>
              <w:spacing w:before="40" w:after="40"/>
              <w:rPr>
                <w:szCs w:val="16"/>
              </w:rPr>
            </w:pPr>
            <w:r w:rsidRPr="009E06AA">
              <w:rPr>
                <w:szCs w:val="16"/>
              </w:rPr>
              <w:t>Grassland remaining grassland</w:t>
            </w:r>
          </w:p>
          <w:p w14:paraId="6FBEF282" w14:textId="77777777" w:rsidR="00C3347F" w:rsidRPr="009E06AA" w:rsidRDefault="00C3347F" w:rsidP="00B55F24">
            <w:pPr>
              <w:pStyle w:val="TableText"/>
              <w:spacing w:before="40" w:after="40"/>
              <w:rPr>
                <w:szCs w:val="16"/>
              </w:rPr>
            </w:pPr>
            <w:r w:rsidRPr="009E06AA">
              <w:rPr>
                <w:szCs w:val="16"/>
              </w:rPr>
              <w:t>Land converted to grassland</w:t>
            </w:r>
          </w:p>
        </w:tc>
        <w:tc>
          <w:tcPr>
            <w:tcW w:w="2835" w:type="dxa"/>
            <w:tcBorders>
              <w:top w:val="single" w:sz="4" w:space="0" w:color="1B556B"/>
              <w:left w:val="single" w:sz="4" w:space="0" w:color="1B556B"/>
              <w:bottom w:val="single" w:sz="4" w:space="0" w:color="365F91"/>
              <w:right w:val="nil"/>
            </w:tcBorders>
            <w:hideMark/>
          </w:tcPr>
          <w:p w14:paraId="0B6A4A75" w14:textId="77777777" w:rsidR="00C3347F" w:rsidRPr="009E06AA" w:rsidRDefault="00C3347F" w:rsidP="00B55F24">
            <w:pPr>
              <w:pStyle w:val="TableText"/>
              <w:spacing w:before="40" w:after="40"/>
              <w:rPr>
                <w:szCs w:val="16"/>
              </w:rPr>
            </w:pPr>
            <w:r w:rsidRPr="009E06AA">
              <w:rPr>
                <w:szCs w:val="16"/>
              </w:rPr>
              <w:t>New Zealand uses the stock change approach to estimate biomass emissions; therefore, biomass losses are reported with biomass gains and ‘IE’ is reported.</w:t>
            </w:r>
          </w:p>
        </w:tc>
      </w:tr>
      <w:tr w:rsidR="00C3347F" w:rsidRPr="009E06AA" w14:paraId="48FE5B4A" w14:textId="77777777" w:rsidTr="00B55F24">
        <w:tc>
          <w:tcPr>
            <w:tcW w:w="1134" w:type="dxa"/>
            <w:tcBorders>
              <w:top w:val="single" w:sz="4" w:space="0" w:color="1B556B"/>
              <w:left w:val="nil"/>
              <w:bottom w:val="single" w:sz="4" w:space="0" w:color="1B556B"/>
              <w:right w:val="single" w:sz="4" w:space="0" w:color="1B556B"/>
            </w:tcBorders>
            <w:hideMark/>
          </w:tcPr>
          <w:p w14:paraId="19505D7A" w14:textId="77777777" w:rsidR="00C3347F" w:rsidRPr="009E06AA" w:rsidRDefault="00C3347F" w:rsidP="00B55F24">
            <w:pPr>
              <w:pStyle w:val="TableText"/>
              <w:spacing w:before="40" w:after="40"/>
              <w:rPr>
                <w:szCs w:val="16"/>
              </w:rPr>
            </w:pPr>
            <w:r w:rsidRPr="009E06AA">
              <w:rPr>
                <w:szCs w:val="16"/>
              </w:rPr>
              <w:t>4.B.1/4(V)</w:t>
            </w:r>
          </w:p>
        </w:tc>
        <w:tc>
          <w:tcPr>
            <w:tcW w:w="2495" w:type="dxa"/>
            <w:tcBorders>
              <w:top w:val="single" w:sz="4" w:space="0" w:color="1B556B"/>
              <w:left w:val="single" w:sz="4" w:space="0" w:color="1B556B"/>
              <w:bottom w:val="single" w:sz="4" w:space="0" w:color="1B556B"/>
              <w:right w:val="single" w:sz="4" w:space="0" w:color="1B556B"/>
            </w:tcBorders>
            <w:hideMark/>
          </w:tcPr>
          <w:p w14:paraId="3B1EC7A5" w14:textId="77777777" w:rsidR="00C3347F" w:rsidRPr="009E06AA" w:rsidRDefault="00C3347F" w:rsidP="00B55F24">
            <w:pPr>
              <w:pStyle w:val="TableText"/>
              <w:spacing w:before="40" w:after="40"/>
              <w:rPr>
                <w:szCs w:val="16"/>
              </w:rPr>
            </w:pPr>
            <w:r w:rsidRPr="009E06AA">
              <w:rPr>
                <w:szCs w:val="16"/>
              </w:rPr>
              <w:t>Controlled burning/Cropland remaining cropland</w:t>
            </w:r>
          </w:p>
        </w:tc>
        <w:tc>
          <w:tcPr>
            <w:tcW w:w="2098" w:type="dxa"/>
            <w:tcBorders>
              <w:top w:val="single" w:sz="4" w:space="0" w:color="1B556B"/>
              <w:left w:val="single" w:sz="4" w:space="0" w:color="1B556B"/>
              <w:bottom w:val="single" w:sz="4" w:space="0" w:color="1B556B"/>
              <w:right w:val="single" w:sz="4" w:space="0" w:color="1B556B"/>
            </w:tcBorders>
            <w:hideMark/>
          </w:tcPr>
          <w:p w14:paraId="26DDD2DE" w14:textId="77777777" w:rsidR="00C3347F" w:rsidRPr="009E06AA" w:rsidRDefault="00C3347F" w:rsidP="00B55F24">
            <w:pPr>
              <w:pStyle w:val="TableText"/>
              <w:spacing w:before="40" w:after="40"/>
              <w:rPr>
                <w:szCs w:val="16"/>
              </w:rPr>
            </w:pPr>
            <w:r w:rsidRPr="009E06AA">
              <w:rPr>
                <w:szCs w:val="16"/>
              </w:rPr>
              <w:t>Included under the Agriculture sector</w:t>
            </w:r>
          </w:p>
        </w:tc>
        <w:tc>
          <w:tcPr>
            <w:tcW w:w="2835" w:type="dxa"/>
            <w:tcBorders>
              <w:top w:val="single" w:sz="4" w:space="0" w:color="1B556B"/>
              <w:left w:val="single" w:sz="4" w:space="0" w:color="1B556B"/>
              <w:bottom w:val="single" w:sz="4" w:space="0" w:color="1B556B"/>
              <w:right w:val="nil"/>
            </w:tcBorders>
            <w:hideMark/>
          </w:tcPr>
          <w:p w14:paraId="26EF64E5" w14:textId="77777777" w:rsidR="00C3347F" w:rsidRPr="009E06AA" w:rsidRDefault="00C3347F" w:rsidP="00B55F24">
            <w:pPr>
              <w:pStyle w:val="TableText"/>
              <w:spacing w:before="40" w:after="40"/>
              <w:rPr>
                <w:szCs w:val="16"/>
              </w:rPr>
            </w:pPr>
            <w:r w:rsidRPr="009E06AA">
              <w:rPr>
                <w:bCs/>
                <w:szCs w:val="16"/>
              </w:rPr>
              <w:t xml:space="preserve">Carbon dioxide and </w:t>
            </w:r>
            <w:r w:rsidRPr="009E06AA">
              <w:rPr>
                <w:szCs w:val="16"/>
              </w:rPr>
              <w:t>CH</w:t>
            </w:r>
            <w:r w:rsidRPr="009E06AA">
              <w:rPr>
                <w:szCs w:val="16"/>
                <w:vertAlign w:val="subscript"/>
              </w:rPr>
              <w:t>4</w:t>
            </w:r>
            <w:r w:rsidRPr="009E06AA">
              <w:rPr>
                <w:szCs w:val="16"/>
              </w:rPr>
              <w:t xml:space="preserve"> emissions from burning of crop stubble are reported in the Agriculture sector.</w:t>
            </w:r>
          </w:p>
        </w:tc>
      </w:tr>
      <w:tr w:rsidR="00C3347F" w:rsidRPr="009E06AA" w14:paraId="4F29A4E9" w14:textId="77777777" w:rsidTr="00B55F24">
        <w:tc>
          <w:tcPr>
            <w:tcW w:w="1134" w:type="dxa"/>
            <w:tcBorders>
              <w:top w:val="single" w:sz="4" w:space="0" w:color="1B556B"/>
              <w:left w:val="nil"/>
              <w:bottom w:val="single" w:sz="4" w:space="0" w:color="1B556B"/>
              <w:right w:val="single" w:sz="4" w:space="0" w:color="1B556B"/>
            </w:tcBorders>
            <w:hideMark/>
          </w:tcPr>
          <w:p w14:paraId="61010544" w14:textId="77777777" w:rsidR="00C3347F" w:rsidRPr="009E06AA" w:rsidRDefault="00C3347F" w:rsidP="00B55F24">
            <w:pPr>
              <w:pStyle w:val="TableText"/>
              <w:spacing w:before="40" w:after="40"/>
              <w:rPr>
                <w:szCs w:val="16"/>
              </w:rPr>
            </w:pPr>
            <w:r w:rsidRPr="009E06AA">
              <w:rPr>
                <w:szCs w:val="16"/>
              </w:rPr>
              <w:t>4.B.1/4(V)</w:t>
            </w:r>
          </w:p>
        </w:tc>
        <w:tc>
          <w:tcPr>
            <w:tcW w:w="2495" w:type="dxa"/>
            <w:tcBorders>
              <w:top w:val="single" w:sz="4" w:space="0" w:color="1B556B"/>
              <w:left w:val="single" w:sz="4" w:space="0" w:color="1B556B"/>
              <w:bottom w:val="single" w:sz="4" w:space="0" w:color="1B556B"/>
              <w:right w:val="single" w:sz="4" w:space="0" w:color="1B556B"/>
            </w:tcBorders>
            <w:hideMark/>
          </w:tcPr>
          <w:p w14:paraId="7F33E44E" w14:textId="77777777" w:rsidR="00C3347F" w:rsidRPr="009E06AA" w:rsidRDefault="00C3347F" w:rsidP="00B55F24">
            <w:pPr>
              <w:pStyle w:val="TableText"/>
              <w:spacing w:before="40" w:after="40"/>
              <w:rPr>
                <w:szCs w:val="16"/>
              </w:rPr>
            </w:pPr>
            <w:r w:rsidRPr="009E06AA">
              <w:rPr>
                <w:szCs w:val="16"/>
              </w:rPr>
              <w:t>Wildfires/Cropland remaining cropland</w:t>
            </w:r>
          </w:p>
        </w:tc>
        <w:tc>
          <w:tcPr>
            <w:tcW w:w="2098" w:type="dxa"/>
            <w:tcBorders>
              <w:top w:val="single" w:sz="4" w:space="0" w:color="1B556B"/>
              <w:left w:val="single" w:sz="4" w:space="0" w:color="1B556B"/>
              <w:bottom w:val="single" w:sz="4" w:space="0" w:color="1B556B"/>
              <w:right w:val="single" w:sz="4" w:space="0" w:color="1B556B"/>
            </w:tcBorders>
            <w:hideMark/>
          </w:tcPr>
          <w:p w14:paraId="04CA860A" w14:textId="77777777" w:rsidR="00C3347F" w:rsidRPr="009E06AA" w:rsidRDefault="00C3347F" w:rsidP="00B55F24">
            <w:pPr>
              <w:pStyle w:val="TableText"/>
              <w:spacing w:before="40" w:after="40"/>
              <w:rPr>
                <w:szCs w:val="16"/>
              </w:rPr>
            </w:pPr>
            <w:r w:rsidRPr="009E06AA">
              <w:rPr>
                <w:szCs w:val="16"/>
              </w:rPr>
              <w:t>Cropland remaining cropland</w:t>
            </w:r>
          </w:p>
        </w:tc>
        <w:tc>
          <w:tcPr>
            <w:tcW w:w="2835" w:type="dxa"/>
            <w:tcBorders>
              <w:top w:val="single" w:sz="4" w:space="0" w:color="1B556B"/>
              <w:left w:val="single" w:sz="4" w:space="0" w:color="1B556B"/>
              <w:bottom w:val="single" w:sz="4" w:space="0" w:color="1B556B"/>
              <w:right w:val="nil"/>
            </w:tcBorders>
            <w:hideMark/>
          </w:tcPr>
          <w:p w14:paraId="6884F14A" w14:textId="77777777" w:rsidR="00C3347F" w:rsidRPr="009E06AA" w:rsidRDefault="00C3347F" w:rsidP="00B55F24">
            <w:pPr>
              <w:pStyle w:val="TableText"/>
              <w:spacing w:before="40" w:after="40"/>
              <w:rPr>
                <w:szCs w:val="16"/>
              </w:rPr>
            </w:pPr>
            <w:r w:rsidRPr="009E06AA">
              <w:rPr>
                <w:szCs w:val="16"/>
              </w:rPr>
              <w:t>Any CO</w:t>
            </w:r>
            <w:r w:rsidRPr="009E06AA">
              <w:rPr>
                <w:szCs w:val="16"/>
                <w:vertAlign w:val="subscript"/>
              </w:rPr>
              <w:t>2</w:t>
            </w:r>
            <w:r w:rsidRPr="009E06AA">
              <w:rPr>
                <w:szCs w:val="16"/>
              </w:rPr>
              <w:t xml:space="preserve"> emissions from wildfires on non-forest land are assumed to be offset by the subsequent carbon stock gain from the regrowth of biomass, which is also not reported. Alternatively, if the wildfire resulted in land-use change, then any CO</w:t>
            </w:r>
            <w:r w:rsidRPr="009E06AA">
              <w:rPr>
                <w:szCs w:val="16"/>
                <w:vertAlign w:val="subscript"/>
              </w:rPr>
              <w:t>2</w:t>
            </w:r>
            <w:r w:rsidRPr="009E06AA">
              <w:rPr>
                <w:szCs w:val="16"/>
              </w:rPr>
              <w:t xml:space="preserve"> emissions are captured by the general carbon stock change calculation that is performed when land is converted to a new land use.</w:t>
            </w:r>
          </w:p>
        </w:tc>
      </w:tr>
      <w:tr w:rsidR="00C3347F" w:rsidRPr="009E06AA" w14:paraId="1A359155" w14:textId="77777777" w:rsidTr="00B55F24">
        <w:tc>
          <w:tcPr>
            <w:tcW w:w="1134" w:type="dxa"/>
            <w:tcBorders>
              <w:top w:val="single" w:sz="4" w:space="0" w:color="1B556B"/>
              <w:left w:val="nil"/>
              <w:bottom w:val="single" w:sz="4" w:space="0" w:color="1B556B"/>
              <w:right w:val="single" w:sz="4" w:space="0" w:color="1B556B"/>
            </w:tcBorders>
            <w:hideMark/>
          </w:tcPr>
          <w:p w14:paraId="0BA8503F" w14:textId="77777777" w:rsidR="00C3347F" w:rsidRPr="009E06AA" w:rsidRDefault="00C3347F" w:rsidP="00B55F24">
            <w:pPr>
              <w:pStyle w:val="TableText"/>
              <w:spacing w:before="40" w:after="40"/>
              <w:rPr>
                <w:szCs w:val="16"/>
              </w:rPr>
            </w:pPr>
            <w:r w:rsidRPr="009E06AA">
              <w:rPr>
                <w:szCs w:val="16"/>
              </w:rPr>
              <w:t>4.B.2/4(V)</w:t>
            </w:r>
          </w:p>
          <w:p w14:paraId="531B2CF2" w14:textId="77777777" w:rsidR="00C3347F" w:rsidRPr="009E06AA" w:rsidRDefault="00C3347F" w:rsidP="00B55F24">
            <w:pPr>
              <w:pStyle w:val="TableText"/>
              <w:spacing w:before="40" w:after="40"/>
              <w:rPr>
                <w:szCs w:val="16"/>
              </w:rPr>
            </w:pPr>
            <w:r w:rsidRPr="009E06AA">
              <w:rPr>
                <w:szCs w:val="16"/>
              </w:rPr>
              <w:t>4.C.1/4(V)</w:t>
            </w:r>
          </w:p>
          <w:p w14:paraId="54981242" w14:textId="77777777" w:rsidR="00C3347F" w:rsidRPr="009E06AA" w:rsidRDefault="00C3347F" w:rsidP="00B55F24">
            <w:pPr>
              <w:pStyle w:val="TableText"/>
              <w:spacing w:before="40" w:after="40"/>
              <w:rPr>
                <w:szCs w:val="16"/>
              </w:rPr>
            </w:pPr>
            <w:r w:rsidRPr="009E06AA">
              <w:rPr>
                <w:szCs w:val="16"/>
              </w:rPr>
              <w:t>4.C.2/4(V)</w:t>
            </w:r>
          </w:p>
          <w:p w14:paraId="69015FB7" w14:textId="77777777" w:rsidR="00C3347F" w:rsidRPr="009E06AA" w:rsidRDefault="00C3347F" w:rsidP="00B55F24">
            <w:pPr>
              <w:pStyle w:val="TableText"/>
              <w:spacing w:before="40" w:after="40"/>
              <w:rPr>
                <w:szCs w:val="16"/>
              </w:rPr>
            </w:pPr>
            <w:r w:rsidRPr="009E06AA">
              <w:rPr>
                <w:szCs w:val="16"/>
              </w:rPr>
              <w:t>4.D.2/4(V)</w:t>
            </w:r>
          </w:p>
        </w:tc>
        <w:tc>
          <w:tcPr>
            <w:tcW w:w="2495" w:type="dxa"/>
            <w:tcBorders>
              <w:top w:val="single" w:sz="4" w:space="0" w:color="1B556B"/>
              <w:left w:val="single" w:sz="4" w:space="0" w:color="1B556B"/>
              <w:bottom w:val="single" w:sz="4" w:space="0" w:color="1B556B"/>
              <w:right w:val="single" w:sz="4" w:space="0" w:color="1B556B"/>
            </w:tcBorders>
            <w:hideMark/>
          </w:tcPr>
          <w:p w14:paraId="74C1E557" w14:textId="77777777" w:rsidR="00C3347F" w:rsidRPr="009E06AA" w:rsidRDefault="00C3347F" w:rsidP="00B55F24">
            <w:pPr>
              <w:pStyle w:val="TableText"/>
              <w:spacing w:before="40" w:after="40"/>
              <w:rPr>
                <w:bCs/>
                <w:szCs w:val="16"/>
              </w:rPr>
            </w:pPr>
            <w:r w:rsidRPr="009E06AA">
              <w:rPr>
                <w:bCs/>
                <w:szCs w:val="16"/>
              </w:rPr>
              <w:t>Wildfires/Land converted to cropland</w:t>
            </w:r>
          </w:p>
          <w:p w14:paraId="4D883018" w14:textId="77777777" w:rsidR="00C3347F" w:rsidRPr="009E06AA" w:rsidRDefault="00C3347F" w:rsidP="00B55F24">
            <w:pPr>
              <w:pStyle w:val="TableText"/>
              <w:spacing w:before="40" w:after="40"/>
              <w:rPr>
                <w:bCs/>
                <w:szCs w:val="16"/>
              </w:rPr>
            </w:pPr>
            <w:r w:rsidRPr="009E06AA">
              <w:rPr>
                <w:bCs/>
                <w:szCs w:val="16"/>
              </w:rPr>
              <w:t>Wildfires/Grassland remaining grassland</w:t>
            </w:r>
          </w:p>
          <w:p w14:paraId="7CA9DB5C" w14:textId="77777777" w:rsidR="00C3347F" w:rsidRPr="009E06AA" w:rsidRDefault="00C3347F" w:rsidP="00B55F24">
            <w:pPr>
              <w:pStyle w:val="TableText"/>
              <w:spacing w:before="40" w:after="40"/>
              <w:rPr>
                <w:bCs/>
                <w:szCs w:val="16"/>
              </w:rPr>
            </w:pPr>
            <w:r w:rsidRPr="009E06AA">
              <w:rPr>
                <w:bCs/>
                <w:szCs w:val="16"/>
              </w:rPr>
              <w:t>Wildfires/Land converted to grassland</w:t>
            </w:r>
          </w:p>
          <w:p w14:paraId="1B51660A" w14:textId="77777777" w:rsidR="00C3347F" w:rsidRPr="009E06AA" w:rsidRDefault="00C3347F" w:rsidP="00B55F24">
            <w:pPr>
              <w:pStyle w:val="TableText"/>
              <w:spacing w:before="40" w:after="40"/>
              <w:rPr>
                <w:szCs w:val="16"/>
              </w:rPr>
            </w:pPr>
            <w:r w:rsidRPr="009E06AA">
              <w:rPr>
                <w:bCs/>
                <w:szCs w:val="16"/>
              </w:rPr>
              <w:t>Wildfires/Land converted to wetlands</w:t>
            </w:r>
          </w:p>
        </w:tc>
        <w:tc>
          <w:tcPr>
            <w:tcW w:w="2098" w:type="dxa"/>
            <w:tcBorders>
              <w:top w:val="single" w:sz="4" w:space="0" w:color="1B556B"/>
              <w:left w:val="single" w:sz="4" w:space="0" w:color="1B556B"/>
              <w:bottom w:val="single" w:sz="4" w:space="0" w:color="1B556B"/>
              <w:right w:val="single" w:sz="4" w:space="0" w:color="1B556B"/>
            </w:tcBorders>
            <w:hideMark/>
          </w:tcPr>
          <w:p w14:paraId="1CC44CCD" w14:textId="77777777" w:rsidR="00C3347F" w:rsidRPr="009E06AA" w:rsidRDefault="00C3347F" w:rsidP="00B55F24">
            <w:pPr>
              <w:pStyle w:val="TableText"/>
              <w:spacing w:before="40" w:after="40"/>
              <w:rPr>
                <w:bCs/>
                <w:szCs w:val="16"/>
              </w:rPr>
            </w:pPr>
            <w:r w:rsidRPr="009E06AA">
              <w:rPr>
                <w:bCs/>
                <w:szCs w:val="16"/>
              </w:rPr>
              <w:t>Land converted to cropland</w:t>
            </w:r>
          </w:p>
          <w:p w14:paraId="31C30CAC" w14:textId="77777777" w:rsidR="00C3347F" w:rsidRPr="009E06AA" w:rsidRDefault="00C3347F" w:rsidP="00B55F24">
            <w:pPr>
              <w:pStyle w:val="TableText"/>
              <w:spacing w:before="40" w:after="40"/>
              <w:rPr>
                <w:bCs/>
                <w:szCs w:val="16"/>
              </w:rPr>
            </w:pPr>
            <w:r w:rsidRPr="009E06AA">
              <w:rPr>
                <w:bCs/>
                <w:szCs w:val="16"/>
              </w:rPr>
              <w:t>Grassland remaining grassland</w:t>
            </w:r>
          </w:p>
          <w:p w14:paraId="22C9DECE" w14:textId="77777777" w:rsidR="00C3347F" w:rsidRPr="009E06AA" w:rsidRDefault="00C3347F" w:rsidP="00B55F24">
            <w:pPr>
              <w:pStyle w:val="TableText"/>
              <w:spacing w:before="40" w:after="40"/>
              <w:rPr>
                <w:bCs/>
                <w:szCs w:val="16"/>
              </w:rPr>
            </w:pPr>
            <w:r w:rsidRPr="009E06AA">
              <w:rPr>
                <w:bCs/>
                <w:szCs w:val="16"/>
              </w:rPr>
              <w:t>Land converted to grassland</w:t>
            </w:r>
          </w:p>
          <w:p w14:paraId="357540C8" w14:textId="77777777" w:rsidR="00C3347F" w:rsidRPr="009E06AA" w:rsidRDefault="00C3347F" w:rsidP="00B55F24">
            <w:pPr>
              <w:pStyle w:val="TableText"/>
              <w:spacing w:before="40" w:after="40"/>
              <w:rPr>
                <w:szCs w:val="16"/>
              </w:rPr>
            </w:pPr>
            <w:r w:rsidRPr="009E06AA">
              <w:rPr>
                <w:bCs/>
                <w:szCs w:val="16"/>
              </w:rPr>
              <w:t>Land converted to wetlands</w:t>
            </w:r>
          </w:p>
        </w:tc>
        <w:tc>
          <w:tcPr>
            <w:tcW w:w="2835" w:type="dxa"/>
            <w:tcBorders>
              <w:top w:val="single" w:sz="4" w:space="0" w:color="1B556B"/>
              <w:left w:val="single" w:sz="4" w:space="0" w:color="1B556B"/>
              <w:bottom w:val="single" w:sz="4" w:space="0" w:color="1B556B"/>
              <w:right w:val="nil"/>
            </w:tcBorders>
            <w:hideMark/>
          </w:tcPr>
          <w:p w14:paraId="6E42F81E" w14:textId="77777777" w:rsidR="00C3347F" w:rsidRPr="009E06AA" w:rsidRDefault="00C3347F" w:rsidP="00B55F24">
            <w:pPr>
              <w:pStyle w:val="TableText"/>
              <w:spacing w:before="40" w:after="40"/>
              <w:rPr>
                <w:szCs w:val="16"/>
              </w:rPr>
            </w:pPr>
            <w:r w:rsidRPr="009E06AA">
              <w:rPr>
                <w:bCs/>
                <w:szCs w:val="16"/>
              </w:rPr>
              <w:t>Any CO</w:t>
            </w:r>
            <w:r w:rsidRPr="009E06AA">
              <w:rPr>
                <w:bCs/>
                <w:szCs w:val="16"/>
                <w:vertAlign w:val="subscript"/>
              </w:rPr>
              <w:t>2</w:t>
            </w:r>
            <w:r w:rsidRPr="009E06AA">
              <w:rPr>
                <w:bCs/>
                <w:szCs w:val="16"/>
              </w:rPr>
              <w:t xml:space="preserve"> emissions from wildfires on non-forest land are assumed to be offset by the subsequent carbon stock gain from the regrowth of biomass, which is also not reported. Alternatively, if the wildfire resulted in land-use change, then any CO</w:t>
            </w:r>
            <w:r w:rsidRPr="009E06AA">
              <w:rPr>
                <w:bCs/>
                <w:szCs w:val="16"/>
                <w:vertAlign w:val="subscript"/>
              </w:rPr>
              <w:t>2</w:t>
            </w:r>
            <w:r w:rsidRPr="009E06AA">
              <w:rPr>
                <w:bCs/>
                <w:szCs w:val="16"/>
              </w:rPr>
              <w:t xml:space="preserve"> emissions are captured by the general carbon stock change calculation that is performed when land is converted to a new land use.</w:t>
            </w:r>
          </w:p>
        </w:tc>
      </w:tr>
      <w:tr w:rsidR="00C3347F" w:rsidRPr="009E06AA" w14:paraId="7C950FB2" w14:textId="77777777" w:rsidTr="00B55F24">
        <w:tc>
          <w:tcPr>
            <w:tcW w:w="1134" w:type="dxa"/>
            <w:tcBorders>
              <w:top w:val="single" w:sz="4" w:space="0" w:color="1B556B"/>
              <w:left w:val="nil"/>
              <w:bottom w:val="single" w:sz="4" w:space="0" w:color="auto"/>
              <w:right w:val="single" w:sz="4" w:space="0" w:color="1B556B"/>
            </w:tcBorders>
            <w:hideMark/>
          </w:tcPr>
          <w:p w14:paraId="14153C3A" w14:textId="77777777" w:rsidR="00C3347F" w:rsidRPr="009E06AA" w:rsidRDefault="00C3347F" w:rsidP="00B55F24">
            <w:pPr>
              <w:pStyle w:val="TableText"/>
              <w:spacing w:before="40" w:after="40"/>
              <w:rPr>
                <w:szCs w:val="16"/>
              </w:rPr>
            </w:pPr>
            <w:r w:rsidRPr="009E06AA">
              <w:rPr>
                <w:szCs w:val="16"/>
              </w:rPr>
              <w:t xml:space="preserve">4.A.1/4(I) </w:t>
            </w:r>
          </w:p>
          <w:p w14:paraId="0DB44874" w14:textId="77777777" w:rsidR="00C3347F" w:rsidRPr="009E06AA" w:rsidRDefault="00C3347F" w:rsidP="00B55F24">
            <w:pPr>
              <w:pStyle w:val="TableText"/>
              <w:spacing w:before="40" w:after="40"/>
              <w:rPr>
                <w:szCs w:val="16"/>
              </w:rPr>
            </w:pPr>
            <w:r w:rsidRPr="009E06AA">
              <w:rPr>
                <w:szCs w:val="16"/>
              </w:rPr>
              <w:t xml:space="preserve">4.D.1/4(I) </w:t>
            </w:r>
          </w:p>
          <w:p w14:paraId="584C3346" w14:textId="77777777" w:rsidR="00C3347F" w:rsidRPr="009E06AA" w:rsidRDefault="00C3347F" w:rsidP="00B55F24">
            <w:pPr>
              <w:pStyle w:val="TableText"/>
              <w:spacing w:before="40" w:after="40"/>
              <w:rPr>
                <w:b/>
                <w:szCs w:val="16"/>
              </w:rPr>
            </w:pPr>
            <w:r w:rsidRPr="009E06AA">
              <w:rPr>
                <w:szCs w:val="16"/>
              </w:rPr>
              <w:t>4.D.2/4(I)</w:t>
            </w:r>
            <w:r w:rsidRPr="009E06AA">
              <w:rPr>
                <w:b/>
                <w:szCs w:val="16"/>
              </w:rPr>
              <w:t xml:space="preserve"> </w:t>
            </w:r>
          </w:p>
          <w:p w14:paraId="7E57F9EA" w14:textId="77777777" w:rsidR="00C3347F" w:rsidRPr="009E06AA" w:rsidRDefault="00C3347F" w:rsidP="00B55F24">
            <w:pPr>
              <w:pStyle w:val="TableText"/>
              <w:spacing w:before="40" w:after="40"/>
              <w:rPr>
                <w:szCs w:val="16"/>
              </w:rPr>
            </w:pPr>
            <w:r w:rsidRPr="009E06AA">
              <w:rPr>
                <w:bCs/>
                <w:szCs w:val="16"/>
              </w:rPr>
              <w:t>4.E.1/4(I)</w:t>
            </w:r>
            <w:r w:rsidRPr="009E06AA">
              <w:rPr>
                <w:szCs w:val="16"/>
              </w:rPr>
              <w:t xml:space="preserve"> </w:t>
            </w:r>
          </w:p>
          <w:p w14:paraId="101B7F05" w14:textId="77777777" w:rsidR="00C3347F" w:rsidRPr="009E06AA" w:rsidRDefault="00C3347F" w:rsidP="00B55F24">
            <w:pPr>
              <w:pStyle w:val="TableText"/>
              <w:spacing w:before="40" w:after="40"/>
              <w:rPr>
                <w:szCs w:val="16"/>
              </w:rPr>
            </w:pPr>
            <w:r w:rsidRPr="009E06AA">
              <w:rPr>
                <w:szCs w:val="16"/>
              </w:rPr>
              <w:t>4.E.2/4(I)</w:t>
            </w:r>
          </w:p>
        </w:tc>
        <w:tc>
          <w:tcPr>
            <w:tcW w:w="2495" w:type="dxa"/>
            <w:tcBorders>
              <w:top w:val="single" w:sz="4" w:space="0" w:color="1B556B"/>
              <w:left w:val="single" w:sz="4" w:space="0" w:color="1B556B"/>
              <w:bottom w:val="single" w:sz="4" w:space="0" w:color="auto"/>
              <w:right w:val="single" w:sz="4" w:space="0" w:color="1B556B"/>
            </w:tcBorders>
            <w:hideMark/>
          </w:tcPr>
          <w:p w14:paraId="09E4A3C8" w14:textId="77777777" w:rsidR="00C3347F" w:rsidRPr="009E06AA" w:rsidRDefault="00C3347F" w:rsidP="00B55F24">
            <w:pPr>
              <w:pStyle w:val="TableText"/>
              <w:spacing w:before="40" w:after="40"/>
              <w:rPr>
                <w:szCs w:val="16"/>
              </w:rPr>
            </w:pPr>
            <w:r w:rsidRPr="009E06AA">
              <w:rPr>
                <w:szCs w:val="16"/>
              </w:rPr>
              <w:t>Direct N</w:t>
            </w:r>
            <w:r w:rsidRPr="009E06AA">
              <w:rPr>
                <w:szCs w:val="16"/>
                <w:vertAlign w:val="subscript"/>
              </w:rPr>
              <w:t>2</w:t>
            </w:r>
            <w:r w:rsidRPr="009E06AA">
              <w:rPr>
                <w:szCs w:val="16"/>
              </w:rPr>
              <w:t>O emissions from nitrogen (N) inputs to managed soils</w:t>
            </w:r>
          </w:p>
          <w:p w14:paraId="236BF5A4" w14:textId="77777777" w:rsidR="00C3347F" w:rsidRPr="009E06AA" w:rsidRDefault="00C3347F" w:rsidP="00B55F24">
            <w:pPr>
              <w:pStyle w:val="TableText"/>
              <w:spacing w:before="40" w:after="40"/>
              <w:rPr>
                <w:szCs w:val="16"/>
              </w:rPr>
            </w:pPr>
            <w:r w:rsidRPr="009E06AA">
              <w:rPr>
                <w:szCs w:val="16"/>
              </w:rPr>
              <w:t>Inorganic N fertilisers and Direct N</w:t>
            </w:r>
            <w:r w:rsidRPr="009E06AA">
              <w:rPr>
                <w:szCs w:val="16"/>
                <w:vertAlign w:val="subscript"/>
              </w:rPr>
              <w:t>2</w:t>
            </w:r>
            <w:r w:rsidRPr="009E06AA">
              <w:rPr>
                <w:szCs w:val="16"/>
              </w:rPr>
              <w:t>O emissions from N inputs to managed soils</w:t>
            </w:r>
          </w:p>
          <w:p w14:paraId="7FBB6114" w14:textId="77777777" w:rsidR="00C3347F" w:rsidRPr="009E06AA" w:rsidRDefault="00C3347F" w:rsidP="00B55F24">
            <w:pPr>
              <w:pStyle w:val="TableText"/>
              <w:spacing w:before="40" w:after="40"/>
              <w:rPr>
                <w:szCs w:val="16"/>
              </w:rPr>
            </w:pPr>
            <w:r w:rsidRPr="009E06AA">
              <w:rPr>
                <w:szCs w:val="16"/>
              </w:rPr>
              <w:t xml:space="preserve">Organic N fertilisers </w:t>
            </w:r>
          </w:p>
          <w:p w14:paraId="52882790" w14:textId="77777777" w:rsidR="00C3347F" w:rsidRPr="009E06AA" w:rsidRDefault="00C3347F" w:rsidP="00B55F24">
            <w:pPr>
              <w:pStyle w:val="TableText"/>
              <w:spacing w:before="40" w:after="40"/>
            </w:pPr>
            <w:r w:rsidRPr="009E06AA">
              <w:t xml:space="preserve">In the following categories: </w:t>
            </w:r>
          </w:p>
          <w:p w14:paraId="4C629D59" w14:textId="77777777" w:rsidR="00C3347F" w:rsidRPr="009E06AA" w:rsidRDefault="00C3347F" w:rsidP="00BB1BE4">
            <w:pPr>
              <w:pStyle w:val="TableBullet"/>
              <w:numPr>
                <w:ilvl w:val="0"/>
                <w:numId w:val="33"/>
              </w:numPr>
              <w:spacing w:before="0" w:after="40"/>
            </w:pPr>
            <w:r w:rsidRPr="009E06AA">
              <w:t>Forest land remaining forest land</w:t>
            </w:r>
          </w:p>
          <w:p w14:paraId="7E3B3798" w14:textId="77777777" w:rsidR="00C3347F" w:rsidRPr="009E06AA" w:rsidRDefault="00C3347F" w:rsidP="00BB1BE4">
            <w:pPr>
              <w:pStyle w:val="TableBullet"/>
              <w:numPr>
                <w:ilvl w:val="0"/>
                <w:numId w:val="33"/>
              </w:numPr>
              <w:spacing w:before="0" w:after="40"/>
            </w:pPr>
            <w:r w:rsidRPr="009E06AA">
              <w:t>Wetlands remaining wetlands</w:t>
            </w:r>
          </w:p>
          <w:p w14:paraId="40D0C15F" w14:textId="77777777" w:rsidR="00C3347F" w:rsidRPr="009E06AA" w:rsidRDefault="00C3347F" w:rsidP="00BB1BE4">
            <w:pPr>
              <w:pStyle w:val="TableBullet"/>
              <w:numPr>
                <w:ilvl w:val="0"/>
                <w:numId w:val="33"/>
              </w:numPr>
              <w:spacing w:before="0" w:after="40"/>
            </w:pPr>
            <w:r w:rsidRPr="009E06AA">
              <w:t>Land converted to wetlands</w:t>
            </w:r>
          </w:p>
          <w:p w14:paraId="23973CCB" w14:textId="77777777" w:rsidR="00C3347F" w:rsidRPr="009E06AA" w:rsidRDefault="00C3347F" w:rsidP="00BB1BE4">
            <w:pPr>
              <w:pStyle w:val="TableBullet"/>
              <w:numPr>
                <w:ilvl w:val="0"/>
                <w:numId w:val="33"/>
              </w:numPr>
              <w:spacing w:before="0" w:after="40"/>
            </w:pPr>
            <w:r w:rsidRPr="009E06AA">
              <w:t>Settlements remaining settlements</w:t>
            </w:r>
          </w:p>
          <w:p w14:paraId="7C040512" w14:textId="77777777" w:rsidR="00C3347F" w:rsidRPr="009E06AA" w:rsidRDefault="00C3347F" w:rsidP="00BB1BE4">
            <w:pPr>
              <w:pStyle w:val="TableBullet"/>
              <w:numPr>
                <w:ilvl w:val="0"/>
                <w:numId w:val="33"/>
              </w:numPr>
              <w:spacing w:before="0" w:after="40"/>
            </w:pPr>
            <w:r w:rsidRPr="009E06AA">
              <w:t>Land converted to settlements</w:t>
            </w:r>
          </w:p>
          <w:p w14:paraId="41436EC3" w14:textId="77777777" w:rsidR="00C3347F" w:rsidRPr="009E06AA" w:rsidRDefault="00C3347F" w:rsidP="00BB1BE4">
            <w:pPr>
              <w:pStyle w:val="TableBullet"/>
              <w:numPr>
                <w:ilvl w:val="0"/>
                <w:numId w:val="33"/>
              </w:numPr>
              <w:spacing w:before="0" w:after="40"/>
            </w:pPr>
            <w:r w:rsidRPr="009E06AA">
              <w:t>Settlements remaining settlements</w:t>
            </w:r>
          </w:p>
          <w:p w14:paraId="52FD05FB" w14:textId="77777777" w:rsidR="00C3347F" w:rsidRPr="009E06AA" w:rsidRDefault="00C3347F" w:rsidP="00BB1BE4">
            <w:pPr>
              <w:pStyle w:val="TableBullet"/>
              <w:numPr>
                <w:ilvl w:val="0"/>
                <w:numId w:val="33"/>
              </w:numPr>
              <w:spacing w:before="0" w:after="40"/>
            </w:pPr>
            <w:r w:rsidRPr="009E06AA">
              <w:t>Land converted to settlements</w:t>
            </w:r>
          </w:p>
        </w:tc>
        <w:tc>
          <w:tcPr>
            <w:tcW w:w="2098" w:type="dxa"/>
            <w:tcBorders>
              <w:top w:val="single" w:sz="4" w:space="0" w:color="1B556B"/>
              <w:left w:val="single" w:sz="4" w:space="0" w:color="1B556B"/>
              <w:bottom w:val="single" w:sz="4" w:space="0" w:color="auto"/>
              <w:right w:val="single" w:sz="4" w:space="0" w:color="1B556B"/>
            </w:tcBorders>
            <w:hideMark/>
          </w:tcPr>
          <w:p w14:paraId="4FDB518A" w14:textId="77777777" w:rsidR="00C3347F" w:rsidRPr="009E06AA" w:rsidRDefault="00C3347F" w:rsidP="00B55F24">
            <w:pPr>
              <w:pStyle w:val="TableText"/>
              <w:spacing w:before="40" w:after="40"/>
              <w:rPr>
                <w:bCs/>
                <w:szCs w:val="16"/>
              </w:rPr>
            </w:pPr>
            <w:r w:rsidRPr="009E06AA">
              <w:rPr>
                <w:szCs w:val="16"/>
              </w:rPr>
              <w:t>Included under the Agriculture sector</w:t>
            </w:r>
          </w:p>
        </w:tc>
        <w:tc>
          <w:tcPr>
            <w:tcW w:w="2835" w:type="dxa"/>
            <w:tcBorders>
              <w:top w:val="single" w:sz="4" w:space="0" w:color="1B556B"/>
              <w:left w:val="single" w:sz="4" w:space="0" w:color="1B556B"/>
              <w:bottom w:val="single" w:sz="4" w:space="0" w:color="auto"/>
              <w:right w:val="nil"/>
            </w:tcBorders>
            <w:hideMark/>
          </w:tcPr>
          <w:p w14:paraId="2BD3EF6E" w14:textId="77777777" w:rsidR="00C3347F" w:rsidRPr="009E06AA" w:rsidRDefault="00C3347F" w:rsidP="00B55F24">
            <w:pPr>
              <w:pStyle w:val="TableText"/>
              <w:spacing w:before="40" w:after="40"/>
              <w:rPr>
                <w:bCs/>
                <w:szCs w:val="16"/>
              </w:rPr>
            </w:pPr>
            <w:r w:rsidRPr="009E06AA">
              <w:rPr>
                <w:szCs w:val="16"/>
              </w:rPr>
              <w:t>New Zealand does not hold disaggregated activity data on nitrogen fertiliser by land use; therefore, all N</w:t>
            </w:r>
            <w:r w:rsidRPr="009E06AA">
              <w:rPr>
                <w:szCs w:val="16"/>
                <w:vertAlign w:val="subscript"/>
              </w:rPr>
              <w:t>2</w:t>
            </w:r>
            <w:r w:rsidRPr="009E06AA">
              <w:rPr>
                <w:szCs w:val="16"/>
              </w:rPr>
              <w:t>O emissions from organic and inorganic fertilisers are reported in the Agriculture sector.</w:t>
            </w:r>
          </w:p>
        </w:tc>
      </w:tr>
      <w:tr w:rsidR="00C3347F" w:rsidRPr="009E06AA" w14:paraId="3980733A" w14:textId="77777777" w:rsidTr="00B55F24">
        <w:tc>
          <w:tcPr>
            <w:tcW w:w="1134" w:type="dxa"/>
            <w:tcBorders>
              <w:top w:val="single" w:sz="4" w:space="0" w:color="1B556B"/>
              <w:left w:val="nil"/>
              <w:bottom w:val="single" w:sz="4" w:space="0" w:color="auto"/>
              <w:right w:val="single" w:sz="4" w:space="0" w:color="1B556B"/>
            </w:tcBorders>
          </w:tcPr>
          <w:p w14:paraId="7D881D77" w14:textId="77777777" w:rsidR="00C3347F" w:rsidRPr="009E06AA" w:rsidRDefault="00C3347F" w:rsidP="00B55F24">
            <w:pPr>
              <w:pStyle w:val="TableText"/>
              <w:spacing w:before="40" w:after="40"/>
              <w:rPr>
                <w:szCs w:val="16"/>
              </w:rPr>
            </w:pPr>
            <w:r w:rsidRPr="009E06AA">
              <w:rPr>
                <w:szCs w:val="16"/>
              </w:rPr>
              <w:t>4(IV)</w:t>
            </w:r>
          </w:p>
        </w:tc>
        <w:tc>
          <w:tcPr>
            <w:tcW w:w="2495" w:type="dxa"/>
            <w:tcBorders>
              <w:top w:val="single" w:sz="4" w:space="0" w:color="1B556B"/>
              <w:left w:val="single" w:sz="4" w:space="0" w:color="1B556B"/>
              <w:bottom w:val="single" w:sz="4" w:space="0" w:color="auto"/>
              <w:right w:val="single" w:sz="4" w:space="0" w:color="1B556B"/>
            </w:tcBorders>
          </w:tcPr>
          <w:p w14:paraId="69DF5D88" w14:textId="77777777" w:rsidR="00C3347F" w:rsidRPr="009E06AA" w:rsidRDefault="00C3347F" w:rsidP="00B55F24">
            <w:pPr>
              <w:pStyle w:val="TableText"/>
              <w:spacing w:before="40" w:after="40"/>
              <w:rPr>
                <w:szCs w:val="16"/>
              </w:rPr>
            </w:pPr>
            <w:r w:rsidRPr="009E06AA">
              <w:rPr>
                <w:szCs w:val="16"/>
              </w:rPr>
              <w:t>Indirect N</w:t>
            </w:r>
            <w:r w:rsidRPr="009E06AA">
              <w:rPr>
                <w:szCs w:val="16"/>
                <w:vertAlign w:val="subscript"/>
              </w:rPr>
              <w:t>2</w:t>
            </w:r>
            <w:r w:rsidRPr="009E06AA">
              <w:rPr>
                <w:szCs w:val="16"/>
              </w:rPr>
              <w:t>O emissions from managed soils/Atmospheric deposition</w:t>
            </w:r>
          </w:p>
        </w:tc>
        <w:tc>
          <w:tcPr>
            <w:tcW w:w="2098" w:type="dxa"/>
            <w:tcBorders>
              <w:top w:val="single" w:sz="4" w:space="0" w:color="1B556B"/>
              <w:left w:val="single" w:sz="4" w:space="0" w:color="1B556B"/>
              <w:bottom w:val="single" w:sz="4" w:space="0" w:color="auto"/>
              <w:right w:val="single" w:sz="4" w:space="0" w:color="1B556B"/>
            </w:tcBorders>
          </w:tcPr>
          <w:p w14:paraId="39141BA0" w14:textId="77777777" w:rsidR="00C3347F" w:rsidRPr="009E06AA" w:rsidRDefault="00C3347F" w:rsidP="00B55F24">
            <w:pPr>
              <w:pStyle w:val="TableText"/>
              <w:spacing w:before="40" w:after="40"/>
              <w:rPr>
                <w:szCs w:val="16"/>
              </w:rPr>
            </w:pPr>
            <w:r w:rsidRPr="009E06AA">
              <w:rPr>
                <w:szCs w:val="16"/>
              </w:rPr>
              <w:t>Included under the Agriculture sector</w:t>
            </w:r>
          </w:p>
        </w:tc>
        <w:tc>
          <w:tcPr>
            <w:tcW w:w="2835" w:type="dxa"/>
            <w:tcBorders>
              <w:top w:val="single" w:sz="4" w:space="0" w:color="1B556B"/>
              <w:left w:val="single" w:sz="4" w:space="0" w:color="1B556B"/>
              <w:bottom w:val="single" w:sz="4" w:space="0" w:color="auto"/>
              <w:right w:val="nil"/>
            </w:tcBorders>
          </w:tcPr>
          <w:p w14:paraId="53748E35" w14:textId="77777777" w:rsidR="00C3347F" w:rsidRPr="009E06AA" w:rsidRDefault="00C3347F" w:rsidP="00B55F24">
            <w:pPr>
              <w:pStyle w:val="TableText"/>
              <w:spacing w:before="40" w:after="40"/>
              <w:rPr>
                <w:szCs w:val="16"/>
              </w:rPr>
            </w:pPr>
            <w:r w:rsidRPr="009E06AA">
              <w:rPr>
                <w:szCs w:val="16"/>
              </w:rPr>
              <w:t>Volatilisation of nitrogen (manure, other organic and fertiliser) on pasture range and paddock is reported under Agriculture. This includes all nitrogen fertiliser used in New Zealand.</w:t>
            </w:r>
          </w:p>
        </w:tc>
      </w:tr>
      <w:tr w:rsidR="00C3347F" w:rsidRPr="009E06AA" w14:paraId="67847752" w14:textId="77777777" w:rsidTr="00B55F24">
        <w:tc>
          <w:tcPr>
            <w:tcW w:w="1134" w:type="dxa"/>
            <w:tcBorders>
              <w:top w:val="single" w:sz="4" w:space="0" w:color="1B556B"/>
              <w:left w:val="nil"/>
              <w:bottom w:val="single" w:sz="4" w:space="0" w:color="auto"/>
              <w:right w:val="single" w:sz="4" w:space="0" w:color="1B556B"/>
            </w:tcBorders>
            <w:hideMark/>
          </w:tcPr>
          <w:p w14:paraId="0FD14819" w14:textId="77777777" w:rsidR="00C3347F" w:rsidRPr="009E06AA" w:rsidRDefault="00C3347F" w:rsidP="00B55F24">
            <w:pPr>
              <w:pStyle w:val="TableText"/>
              <w:spacing w:before="40" w:after="40"/>
              <w:rPr>
                <w:szCs w:val="16"/>
              </w:rPr>
            </w:pPr>
            <w:r w:rsidRPr="009E06AA">
              <w:rPr>
                <w:szCs w:val="16"/>
              </w:rPr>
              <w:t>4.B.1/4(V)</w:t>
            </w:r>
          </w:p>
        </w:tc>
        <w:tc>
          <w:tcPr>
            <w:tcW w:w="2495" w:type="dxa"/>
            <w:tcBorders>
              <w:top w:val="single" w:sz="4" w:space="0" w:color="1B556B"/>
              <w:left w:val="single" w:sz="4" w:space="0" w:color="1B556B"/>
              <w:bottom w:val="single" w:sz="4" w:space="0" w:color="auto"/>
              <w:right w:val="single" w:sz="4" w:space="0" w:color="1B556B"/>
            </w:tcBorders>
            <w:hideMark/>
          </w:tcPr>
          <w:p w14:paraId="6AC79A41" w14:textId="77777777" w:rsidR="00C3347F" w:rsidRPr="009E06AA" w:rsidRDefault="00C3347F" w:rsidP="00B55F24">
            <w:pPr>
              <w:pStyle w:val="TableText"/>
              <w:spacing w:before="40" w:after="40"/>
              <w:rPr>
                <w:szCs w:val="16"/>
              </w:rPr>
            </w:pPr>
            <w:r w:rsidRPr="009E06AA">
              <w:rPr>
                <w:bCs/>
                <w:szCs w:val="16"/>
              </w:rPr>
              <w:t>Controlled burning/Cropland remaining cropland</w:t>
            </w:r>
          </w:p>
        </w:tc>
        <w:tc>
          <w:tcPr>
            <w:tcW w:w="2098" w:type="dxa"/>
            <w:tcBorders>
              <w:top w:val="single" w:sz="4" w:space="0" w:color="1B556B"/>
              <w:left w:val="single" w:sz="4" w:space="0" w:color="1B556B"/>
              <w:bottom w:val="single" w:sz="4" w:space="0" w:color="auto"/>
              <w:right w:val="single" w:sz="4" w:space="0" w:color="1B556B"/>
            </w:tcBorders>
            <w:hideMark/>
          </w:tcPr>
          <w:p w14:paraId="0675B224" w14:textId="77777777" w:rsidR="00C3347F" w:rsidRPr="009E06AA" w:rsidRDefault="00C3347F" w:rsidP="00B55F24">
            <w:pPr>
              <w:pStyle w:val="TableText"/>
              <w:spacing w:before="40" w:after="40"/>
              <w:rPr>
                <w:szCs w:val="16"/>
              </w:rPr>
            </w:pPr>
            <w:r w:rsidRPr="009E06AA">
              <w:rPr>
                <w:szCs w:val="16"/>
              </w:rPr>
              <w:t>Included under the Agriculture sector</w:t>
            </w:r>
          </w:p>
        </w:tc>
        <w:tc>
          <w:tcPr>
            <w:tcW w:w="2835" w:type="dxa"/>
            <w:tcBorders>
              <w:top w:val="single" w:sz="4" w:space="0" w:color="1B556B"/>
              <w:left w:val="single" w:sz="4" w:space="0" w:color="1B556B"/>
              <w:bottom w:val="single" w:sz="4" w:space="0" w:color="auto"/>
              <w:right w:val="nil"/>
            </w:tcBorders>
            <w:hideMark/>
          </w:tcPr>
          <w:p w14:paraId="6C3FD2BC" w14:textId="77777777" w:rsidR="00C3347F" w:rsidRPr="009E06AA" w:rsidRDefault="00C3347F" w:rsidP="00B55F24">
            <w:pPr>
              <w:pStyle w:val="TableText"/>
              <w:spacing w:before="40" w:after="40"/>
              <w:rPr>
                <w:szCs w:val="16"/>
              </w:rPr>
            </w:pPr>
            <w:r w:rsidRPr="009E06AA">
              <w:rPr>
                <w:bCs/>
                <w:szCs w:val="16"/>
              </w:rPr>
              <w:t>All emissions from burning of crop stubble are reported in the Agriculture sector.</w:t>
            </w:r>
          </w:p>
        </w:tc>
      </w:tr>
      <w:tr w:rsidR="00C3347F" w:rsidRPr="009E06AA" w14:paraId="615FD15A" w14:textId="77777777" w:rsidTr="00B55F24">
        <w:tc>
          <w:tcPr>
            <w:tcW w:w="1134" w:type="dxa"/>
            <w:tcBorders>
              <w:top w:val="single" w:sz="4" w:space="0" w:color="1B556B" w:themeColor="text2"/>
              <w:left w:val="nil"/>
              <w:bottom w:val="single" w:sz="4" w:space="0" w:color="365F91"/>
              <w:right w:val="single" w:sz="4" w:space="0" w:color="1B556B"/>
            </w:tcBorders>
            <w:hideMark/>
          </w:tcPr>
          <w:p w14:paraId="5FE27CE6" w14:textId="77777777" w:rsidR="00C3347F" w:rsidRPr="009E06AA" w:rsidRDefault="00C3347F" w:rsidP="00B55F24">
            <w:pPr>
              <w:pStyle w:val="TableText"/>
              <w:spacing w:before="40" w:after="40"/>
              <w:rPr>
                <w:szCs w:val="16"/>
              </w:rPr>
            </w:pPr>
            <w:r w:rsidRPr="009E06AA">
              <w:rPr>
                <w:szCs w:val="16"/>
              </w:rPr>
              <w:t>4.C.1/4(V)</w:t>
            </w:r>
          </w:p>
          <w:p w14:paraId="0EDE63EA" w14:textId="77777777" w:rsidR="00C3347F" w:rsidRPr="009E06AA" w:rsidRDefault="00C3347F" w:rsidP="00B55F24">
            <w:pPr>
              <w:pStyle w:val="TableText"/>
              <w:spacing w:before="40" w:after="40"/>
              <w:rPr>
                <w:szCs w:val="16"/>
              </w:rPr>
            </w:pPr>
            <w:r w:rsidRPr="009E06AA">
              <w:rPr>
                <w:szCs w:val="16"/>
              </w:rPr>
              <w:t>4.D.1/4(V)</w:t>
            </w:r>
          </w:p>
        </w:tc>
        <w:tc>
          <w:tcPr>
            <w:tcW w:w="2495" w:type="dxa"/>
            <w:tcBorders>
              <w:top w:val="single" w:sz="4" w:space="0" w:color="1B556B" w:themeColor="text2"/>
              <w:left w:val="single" w:sz="4" w:space="0" w:color="1B556B"/>
              <w:bottom w:val="single" w:sz="4" w:space="0" w:color="365F91"/>
              <w:right w:val="single" w:sz="4" w:space="0" w:color="1B556B"/>
            </w:tcBorders>
            <w:hideMark/>
          </w:tcPr>
          <w:p w14:paraId="04ABD21E" w14:textId="77777777" w:rsidR="00C3347F" w:rsidRPr="009E06AA" w:rsidRDefault="00C3347F" w:rsidP="00B55F24">
            <w:pPr>
              <w:pStyle w:val="TableText"/>
              <w:spacing w:before="40" w:after="40"/>
              <w:rPr>
                <w:bCs/>
                <w:szCs w:val="16"/>
              </w:rPr>
            </w:pPr>
            <w:r w:rsidRPr="009E06AA">
              <w:rPr>
                <w:bCs/>
                <w:szCs w:val="16"/>
              </w:rPr>
              <w:t>Controlled burning/Grassland remaining grassland</w:t>
            </w:r>
          </w:p>
          <w:p w14:paraId="4EA86EA9" w14:textId="77777777" w:rsidR="00C3347F" w:rsidRPr="009E06AA" w:rsidRDefault="00C3347F" w:rsidP="00B55F24">
            <w:pPr>
              <w:pStyle w:val="TableText"/>
              <w:spacing w:before="40" w:after="40"/>
              <w:rPr>
                <w:bCs/>
                <w:szCs w:val="16"/>
              </w:rPr>
            </w:pPr>
            <w:r w:rsidRPr="009E06AA">
              <w:rPr>
                <w:bCs/>
                <w:szCs w:val="16"/>
              </w:rPr>
              <w:t>Controlled burning/Wetlands remaining wetlands</w:t>
            </w:r>
          </w:p>
          <w:p w14:paraId="2EAA3837" w14:textId="77777777" w:rsidR="00C3347F" w:rsidRPr="009E06AA" w:rsidRDefault="00C3347F" w:rsidP="00B55F24">
            <w:pPr>
              <w:pStyle w:val="TableText"/>
              <w:spacing w:before="40" w:after="40"/>
              <w:rPr>
                <w:bCs/>
                <w:szCs w:val="16"/>
              </w:rPr>
            </w:pPr>
            <w:r w:rsidRPr="009E06AA">
              <w:rPr>
                <w:bCs/>
                <w:szCs w:val="16"/>
              </w:rPr>
              <w:t>Wildfires/Wetlands remaining wetlands</w:t>
            </w:r>
          </w:p>
        </w:tc>
        <w:tc>
          <w:tcPr>
            <w:tcW w:w="2098" w:type="dxa"/>
            <w:tcBorders>
              <w:top w:val="single" w:sz="4" w:space="0" w:color="1B556B"/>
              <w:left w:val="single" w:sz="4" w:space="0" w:color="1B556B"/>
              <w:bottom w:val="single" w:sz="4" w:space="0" w:color="365F91"/>
              <w:right w:val="single" w:sz="4" w:space="0" w:color="1B556B"/>
            </w:tcBorders>
            <w:hideMark/>
          </w:tcPr>
          <w:p w14:paraId="533B6242" w14:textId="77777777" w:rsidR="00C3347F" w:rsidRPr="009E06AA" w:rsidRDefault="00C3347F" w:rsidP="00B55F24">
            <w:pPr>
              <w:pStyle w:val="TableText"/>
              <w:spacing w:before="40" w:after="40"/>
              <w:rPr>
                <w:bCs/>
                <w:szCs w:val="16"/>
              </w:rPr>
            </w:pPr>
            <w:r w:rsidRPr="009E06AA">
              <w:rPr>
                <w:bCs/>
                <w:szCs w:val="16"/>
              </w:rPr>
              <w:t>Grassland remaining grassland</w:t>
            </w:r>
          </w:p>
          <w:p w14:paraId="2835545F" w14:textId="77777777" w:rsidR="00C3347F" w:rsidRPr="009E06AA" w:rsidRDefault="00C3347F" w:rsidP="00B55F24">
            <w:pPr>
              <w:pStyle w:val="TableText"/>
              <w:spacing w:before="40" w:after="40"/>
              <w:rPr>
                <w:bCs/>
                <w:szCs w:val="16"/>
              </w:rPr>
            </w:pPr>
            <w:r w:rsidRPr="009E06AA">
              <w:rPr>
                <w:bCs/>
                <w:szCs w:val="16"/>
              </w:rPr>
              <w:t>Wetlands remaining wetlands</w:t>
            </w:r>
          </w:p>
          <w:p w14:paraId="20F2848D" w14:textId="77777777" w:rsidR="00C3347F" w:rsidRPr="009E06AA" w:rsidRDefault="00C3347F" w:rsidP="00B55F24">
            <w:pPr>
              <w:pStyle w:val="TableText"/>
              <w:spacing w:before="40" w:after="40"/>
              <w:rPr>
                <w:bCs/>
                <w:szCs w:val="16"/>
              </w:rPr>
            </w:pPr>
            <w:r w:rsidRPr="009E06AA">
              <w:rPr>
                <w:bCs/>
                <w:szCs w:val="16"/>
              </w:rPr>
              <w:t>Wetlands remaining wetlands</w:t>
            </w:r>
          </w:p>
        </w:tc>
        <w:tc>
          <w:tcPr>
            <w:tcW w:w="2835" w:type="dxa"/>
            <w:tcBorders>
              <w:top w:val="single" w:sz="4" w:space="0" w:color="auto"/>
              <w:left w:val="single" w:sz="4" w:space="0" w:color="1B556B"/>
              <w:bottom w:val="single" w:sz="4" w:space="0" w:color="365F91"/>
              <w:right w:val="nil"/>
            </w:tcBorders>
            <w:hideMark/>
          </w:tcPr>
          <w:p w14:paraId="12D3C601" w14:textId="77777777" w:rsidR="00C3347F" w:rsidRPr="009E06AA" w:rsidRDefault="00C3347F" w:rsidP="00B55F24">
            <w:pPr>
              <w:pStyle w:val="TableText"/>
              <w:spacing w:before="40" w:after="40"/>
              <w:rPr>
                <w:bCs/>
                <w:szCs w:val="16"/>
              </w:rPr>
            </w:pPr>
            <w:r w:rsidRPr="009E06AA">
              <w:rPr>
                <w:bCs/>
                <w:szCs w:val="16"/>
              </w:rPr>
              <w:t>This is not a significant activity in New Zealand due to the country’s temperate climate and rainfall distribution, and any CO</w:t>
            </w:r>
            <w:r w:rsidRPr="009E06AA">
              <w:rPr>
                <w:bCs/>
                <w:szCs w:val="16"/>
                <w:vertAlign w:val="subscript"/>
              </w:rPr>
              <w:t>2</w:t>
            </w:r>
            <w:r w:rsidRPr="009E06AA">
              <w:rPr>
                <w:bCs/>
                <w:szCs w:val="16"/>
              </w:rPr>
              <w:t xml:space="preserve"> emissions from burning on non-forest land are assumed to be offset by the subsequent carbon stock gain from the regrowth of biomass, which is also not reported. Alternatively, if the fire resulted in land-use change, then any CO</w:t>
            </w:r>
            <w:r w:rsidRPr="009E06AA">
              <w:rPr>
                <w:bCs/>
                <w:szCs w:val="16"/>
                <w:vertAlign w:val="subscript"/>
              </w:rPr>
              <w:t>2</w:t>
            </w:r>
            <w:r w:rsidRPr="009E06AA">
              <w:rPr>
                <w:bCs/>
                <w:szCs w:val="16"/>
              </w:rPr>
              <w:t xml:space="preserve"> emissions are captured by the general carbon stock change calculation that is performed when land is converted to a new land use.</w:t>
            </w:r>
          </w:p>
        </w:tc>
      </w:tr>
      <w:tr w:rsidR="00C3347F" w:rsidRPr="009E06AA" w14:paraId="64237598" w14:textId="77777777" w:rsidTr="00B55F24">
        <w:tc>
          <w:tcPr>
            <w:tcW w:w="1134" w:type="dxa"/>
            <w:tcBorders>
              <w:top w:val="single" w:sz="4" w:space="0" w:color="365F91"/>
              <w:left w:val="nil"/>
              <w:bottom w:val="single" w:sz="4" w:space="0" w:color="1B556B"/>
              <w:right w:val="single" w:sz="4" w:space="0" w:color="1B556B"/>
            </w:tcBorders>
            <w:hideMark/>
          </w:tcPr>
          <w:p w14:paraId="33EF645B" w14:textId="77777777" w:rsidR="00C3347F" w:rsidRPr="009E06AA" w:rsidRDefault="00C3347F" w:rsidP="00B55F24">
            <w:pPr>
              <w:pStyle w:val="TableText"/>
              <w:spacing w:before="40" w:after="40"/>
              <w:rPr>
                <w:szCs w:val="16"/>
              </w:rPr>
            </w:pPr>
            <w:r w:rsidRPr="009E06AA">
              <w:rPr>
                <w:szCs w:val="16"/>
              </w:rPr>
              <w:t>4.C.2/4(V)</w:t>
            </w:r>
          </w:p>
          <w:p w14:paraId="01E9B7CD" w14:textId="77777777" w:rsidR="00C3347F" w:rsidRPr="009E06AA" w:rsidRDefault="00C3347F" w:rsidP="00B55F24">
            <w:pPr>
              <w:pStyle w:val="TableText"/>
              <w:spacing w:before="40" w:after="40"/>
              <w:rPr>
                <w:szCs w:val="16"/>
              </w:rPr>
            </w:pPr>
            <w:r w:rsidRPr="009E06AA">
              <w:rPr>
                <w:szCs w:val="16"/>
              </w:rPr>
              <w:t>4.D.2/4(V)</w:t>
            </w:r>
          </w:p>
          <w:p w14:paraId="7E3CE48C" w14:textId="77777777" w:rsidR="00C3347F" w:rsidRPr="009E06AA" w:rsidRDefault="00C3347F" w:rsidP="00B55F24">
            <w:pPr>
              <w:pStyle w:val="TableText"/>
              <w:spacing w:before="40" w:after="40"/>
              <w:rPr>
                <w:szCs w:val="16"/>
              </w:rPr>
            </w:pPr>
            <w:r w:rsidRPr="009E06AA">
              <w:rPr>
                <w:szCs w:val="16"/>
              </w:rPr>
              <w:t>4.E/4(V)</w:t>
            </w:r>
          </w:p>
          <w:p w14:paraId="0118CE18" w14:textId="77777777" w:rsidR="00C3347F" w:rsidRPr="009E06AA" w:rsidRDefault="00C3347F" w:rsidP="00B55F24">
            <w:pPr>
              <w:pStyle w:val="TableText"/>
              <w:spacing w:before="40" w:after="40"/>
              <w:rPr>
                <w:szCs w:val="16"/>
              </w:rPr>
            </w:pPr>
            <w:r w:rsidRPr="009E06AA">
              <w:rPr>
                <w:szCs w:val="16"/>
              </w:rPr>
              <w:t>4.F/4(v)</w:t>
            </w:r>
          </w:p>
        </w:tc>
        <w:tc>
          <w:tcPr>
            <w:tcW w:w="2495" w:type="dxa"/>
            <w:tcBorders>
              <w:top w:val="single" w:sz="4" w:space="0" w:color="365F91"/>
              <w:left w:val="single" w:sz="4" w:space="0" w:color="1B556B"/>
              <w:bottom w:val="single" w:sz="4" w:space="0" w:color="1B556B"/>
              <w:right w:val="single" w:sz="4" w:space="0" w:color="1B556B"/>
            </w:tcBorders>
            <w:hideMark/>
          </w:tcPr>
          <w:p w14:paraId="2FA7233F" w14:textId="77777777" w:rsidR="00C3347F" w:rsidRPr="009E06AA" w:rsidRDefault="00C3347F" w:rsidP="00B55F24">
            <w:pPr>
              <w:pStyle w:val="TableText"/>
              <w:spacing w:before="40" w:after="40"/>
              <w:rPr>
                <w:bCs/>
                <w:szCs w:val="16"/>
              </w:rPr>
            </w:pPr>
            <w:r w:rsidRPr="009E06AA">
              <w:rPr>
                <w:bCs/>
                <w:szCs w:val="16"/>
              </w:rPr>
              <w:t>Controlled burning/Land converted to grassland</w:t>
            </w:r>
          </w:p>
          <w:p w14:paraId="39FFE807" w14:textId="77777777" w:rsidR="00C3347F" w:rsidRPr="009E06AA" w:rsidRDefault="00C3347F" w:rsidP="00B55F24">
            <w:pPr>
              <w:pStyle w:val="TableText"/>
              <w:spacing w:before="40" w:after="40"/>
              <w:rPr>
                <w:bCs/>
                <w:szCs w:val="16"/>
              </w:rPr>
            </w:pPr>
            <w:r w:rsidRPr="009E06AA">
              <w:rPr>
                <w:bCs/>
                <w:szCs w:val="16"/>
              </w:rPr>
              <w:t>Controlled burning/Land converted to wetlands</w:t>
            </w:r>
          </w:p>
          <w:p w14:paraId="2975261B" w14:textId="77777777" w:rsidR="00C3347F" w:rsidRPr="009E06AA" w:rsidRDefault="00C3347F" w:rsidP="00B55F24">
            <w:pPr>
              <w:pStyle w:val="TableText"/>
              <w:spacing w:before="40" w:after="40"/>
              <w:rPr>
                <w:bCs/>
                <w:szCs w:val="16"/>
              </w:rPr>
            </w:pPr>
            <w:r w:rsidRPr="009E06AA">
              <w:rPr>
                <w:bCs/>
                <w:szCs w:val="16"/>
              </w:rPr>
              <w:t>Biomass burning/Land converted to settlements</w:t>
            </w:r>
          </w:p>
          <w:p w14:paraId="0E43959B" w14:textId="77777777" w:rsidR="00C3347F" w:rsidRPr="009E06AA" w:rsidRDefault="00C3347F" w:rsidP="00B55F24">
            <w:pPr>
              <w:pStyle w:val="TableText"/>
              <w:spacing w:before="40" w:after="40"/>
              <w:rPr>
                <w:bCs/>
                <w:szCs w:val="16"/>
              </w:rPr>
            </w:pPr>
            <w:r w:rsidRPr="009E06AA">
              <w:rPr>
                <w:bCs/>
                <w:szCs w:val="16"/>
              </w:rPr>
              <w:t>Biomass burning/Land converted to other land</w:t>
            </w:r>
          </w:p>
        </w:tc>
        <w:tc>
          <w:tcPr>
            <w:tcW w:w="2098" w:type="dxa"/>
            <w:tcBorders>
              <w:top w:val="single" w:sz="4" w:space="0" w:color="365F91"/>
              <w:left w:val="single" w:sz="4" w:space="0" w:color="1B556B"/>
              <w:bottom w:val="single" w:sz="4" w:space="0" w:color="1B556B"/>
              <w:right w:val="single" w:sz="4" w:space="0" w:color="1B556B"/>
            </w:tcBorders>
            <w:hideMark/>
          </w:tcPr>
          <w:p w14:paraId="51CF0CD6" w14:textId="77777777" w:rsidR="00C3347F" w:rsidRPr="009E06AA" w:rsidRDefault="00C3347F" w:rsidP="00B55F24">
            <w:pPr>
              <w:pStyle w:val="TableText"/>
              <w:spacing w:before="40" w:after="40"/>
              <w:rPr>
                <w:bCs/>
                <w:szCs w:val="16"/>
              </w:rPr>
            </w:pPr>
            <w:r w:rsidRPr="009E06AA">
              <w:rPr>
                <w:bCs/>
                <w:szCs w:val="16"/>
              </w:rPr>
              <w:t>Land converted to grassland</w:t>
            </w:r>
          </w:p>
          <w:p w14:paraId="0F2C4A0F" w14:textId="77777777" w:rsidR="00C3347F" w:rsidRPr="009E06AA" w:rsidRDefault="00C3347F" w:rsidP="00B55F24">
            <w:pPr>
              <w:pStyle w:val="TableText"/>
              <w:spacing w:before="40" w:after="40"/>
              <w:rPr>
                <w:bCs/>
                <w:szCs w:val="16"/>
              </w:rPr>
            </w:pPr>
            <w:r w:rsidRPr="009E06AA">
              <w:rPr>
                <w:bCs/>
                <w:szCs w:val="16"/>
              </w:rPr>
              <w:t>Land converted to wetlands</w:t>
            </w:r>
          </w:p>
          <w:p w14:paraId="3121CC89" w14:textId="77777777" w:rsidR="00C3347F" w:rsidRPr="009E06AA" w:rsidRDefault="00C3347F" w:rsidP="00B55F24">
            <w:pPr>
              <w:pStyle w:val="TableText"/>
              <w:spacing w:before="40" w:after="40"/>
              <w:rPr>
                <w:bCs/>
                <w:szCs w:val="16"/>
              </w:rPr>
            </w:pPr>
            <w:r w:rsidRPr="009E06AA">
              <w:rPr>
                <w:bCs/>
                <w:szCs w:val="16"/>
              </w:rPr>
              <w:t>Land converted to settlements</w:t>
            </w:r>
          </w:p>
          <w:p w14:paraId="78B06840" w14:textId="77777777" w:rsidR="00C3347F" w:rsidRPr="009E06AA" w:rsidRDefault="00C3347F" w:rsidP="00B55F24">
            <w:pPr>
              <w:pStyle w:val="TableText"/>
              <w:spacing w:before="40" w:after="40"/>
              <w:rPr>
                <w:bCs/>
                <w:szCs w:val="16"/>
              </w:rPr>
            </w:pPr>
            <w:r w:rsidRPr="009E06AA">
              <w:rPr>
                <w:bCs/>
                <w:szCs w:val="16"/>
              </w:rPr>
              <w:t>Land converted to other land</w:t>
            </w:r>
          </w:p>
        </w:tc>
        <w:tc>
          <w:tcPr>
            <w:tcW w:w="2835" w:type="dxa"/>
            <w:tcBorders>
              <w:top w:val="single" w:sz="4" w:space="0" w:color="365F91"/>
              <w:left w:val="single" w:sz="4" w:space="0" w:color="1B556B"/>
              <w:bottom w:val="single" w:sz="4" w:space="0" w:color="1B556B"/>
              <w:right w:val="nil"/>
            </w:tcBorders>
            <w:hideMark/>
          </w:tcPr>
          <w:p w14:paraId="229C6034" w14:textId="77777777" w:rsidR="00C3347F" w:rsidRPr="009E06AA" w:rsidRDefault="00C3347F" w:rsidP="00B55F24">
            <w:pPr>
              <w:pStyle w:val="TableText"/>
              <w:spacing w:before="40" w:after="40"/>
              <w:rPr>
                <w:bCs/>
                <w:szCs w:val="16"/>
              </w:rPr>
            </w:pPr>
            <w:r w:rsidRPr="009E06AA">
              <w:rPr>
                <w:bCs/>
                <w:szCs w:val="16"/>
              </w:rPr>
              <w:t>Carbon dioxide emissions from the controlled burning of land converted to this category are captured by the general carbon stock change calculation that is performed when land is converted to a new land use.</w:t>
            </w:r>
          </w:p>
        </w:tc>
      </w:tr>
      <w:tr w:rsidR="00C3347F" w:rsidRPr="009E06AA" w14:paraId="39205F07" w14:textId="77777777" w:rsidTr="00B55F24">
        <w:tc>
          <w:tcPr>
            <w:tcW w:w="1134" w:type="dxa"/>
            <w:tcBorders>
              <w:top w:val="single" w:sz="4" w:space="0" w:color="365F91"/>
              <w:left w:val="nil"/>
              <w:bottom w:val="single" w:sz="4" w:space="0" w:color="1B556B"/>
              <w:right w:val="single" w:sz="4" w:space="0" w:color="1B556B"/>
            </w:tcBorders>
            <w:hideMark/>
          </w:tcPr>
          <w:p w14:paraId="3F6325BB" w14:textId="77777777" w:rsidR="00C3347F" w:rsidRPr="009E06AA" w:rsidRDefault="00C3347F" w:rsidP="00B55F24">
            <w:pPr>
              <w:pStyle w:val="TableText"/>
              <w:spacing w:before="40" w:after="40"/>
              <w:rPr>
                <w:szCs w:val="16"/>
              </w:rPr>
            </w:pPr>
            <w:r w:rsidRPr="009E06AA">
              <w:rPr>
                <w:szCs w:val="16"/>
              </w:rPr>
              <w:t>4.D.2.2</w:t>
            </w:r>
          </w:p>
        </w:tc>
        <w:tc>
          <w:tcPr>
            <w:tcW w:w="2495" w:type="dxa"/>
            <w:tcBorders>
              <w:top w:val="single" w:sz="4" w:space="0" w:color="365F91"/>
              <w:left w:val="single" w:sz="4" w:space="0" w:color="1B556B"/>
              <w:bottom w:val="single" w:sz="4" w:space="0" w:color="1B556B"/>
              <w:right w:val="single" w:sz="4" w:space="0" w:color="1B556B"/>
            </w:tcBorders>
            <w:hideMark/>
          </w:tcPr>
          <w:p w14:paraId="59AB44C8" w14:textId="77777777" w:rsidR="00C3347F" w:rsidRPr="009E06AA" w:rsidRDefault="00C3347F" w:rsidP="00B55F24">
            <w:pPr>
              <w:pStyle w:val="TableText"/>
              <w:spacing w:before="40" w:after="40"/>
              <w:rPr>
                <w:bCs/>
                <w:szCs w:val="16"/>
              </w:rPr>
            </w:pPr>
            <w:r w:rsidRPr="009E06AA">
              <w:rPr>
                <w:bCs/>
                <w:szCs w:val="16"/>
              </w:rPr>
              <w:t>Land converted to flooded land</w:t>
            </w:r>
          </w:p>
        </w:tc>
        <w:tc>
          <w:tcPr>
            <w:tcW w:w="2098" w:type="dxa"/>
            <w:tcBorders>
              <w:top w:val="single" w:sz="4" w:space="0" w:color="365F91"/>
              <w:left w:val="single" w:sz="4" w:space="0" w:color="1B556B"/>
              <w:bottom w:val="single" w:sz="4" w:space="0" w:color="1B556B"/>
              <w:right w:val="single" w:sz="4" w:space="0" w:color="1B556B"/>
            </w:tcBorders>
            <w:hideMark/>
          </w:tcPr>
          <w:p w14:paraId="1A7AA24C" w14:textId="77777777" w:rsidR="00C3347F" w:rsidRPr="009E06AA" w:rsidRDefault="00C3347F" w:rsidP="00B55F24">
            <w:pPr>
              <w:pStyle w:val="TableText"/>
              <w:spacing w:before="40" w:after="40"/>
              <w:rPr>
                <w:bCs/>
                <w:szCs w:val="16"/>
              </w:rPr>
            </w:pPr>
            <w:r w:rsidRPr="009E06AA">
              <w:rPr>
                <w:bCs/>
                <w:szCs w:val="16"/>
              </w:rPr>
              <w:t>Land converted to open water</w:t>
            </w:r>
          </w:p>
        </w:tc>
        <w:tc>
          <w:tcPr>
            <w:tcW w:w="2835" w:type="dxa"/>
            <w:tcBorders>
              <w:top w:val="single" w:sz="4" w:space="0" w:color="365F91"/>
              <w:left w:val="single" w:sz="4" w:space="0" w:color="1B556B"/>
              <w:bottom w:val="single" w:sz="4" w:space="0" w:color="1B556B"/>
              <w:right w:val="nil"/>
            </w:tcBorders>
            <w:hideMark/>
          </w:tcPr>
          <w:p w14:paraId="6DB0F7D4" w14:textId="77777777" w:rsidR="00C3347F" w:rsidRPr="009E06AA" w:rsidRDefault="00C3347F" w:rsidP="00B55F24">
            <w:pPr>
              <w:pStyle w:val="TableText"/>
              <w:spacing w:before="40" w:after="40"/>
              <w:rPr>
                <w:bCs/>
                <w:szCs w:val="16"/>
              </w:rPr>
            </w:pPr>
            <w:r w:rsidRPr="009E06AA">
              <w:rPr>
                <w:bCs/>
                <w:szCs w:val="16"/>
              </w:rPr>
              <w:t xml:space="preserve">New Zealand has not yet identified what area of land converted to open water meets the definition of </w:t>
            </w:r>
            <w:r w:rsidRPr="009E06AA">
              <w:rPr>
                <w:bCs/>
                <w:i/>
                <w:iCs/>
                <w:szCs w:val="16"/>
              </w:rPr>
              <w:t>Land converted to flooded land</w:t>
            </w:r>
            <w:r w:rsidRPr="009E06AA">
              <w:rPr>
                <w:bCs/>
                <w:szCs w:val="16"/>
              </w:rPr>
              <w:t xml:space="preserve">. Emissions associated with the loss of biomass with land conversion to flooded land will be captured under </w:t>
            </w:r>
            <w:r w:rsidRPr="009E06AA">
              <w:rPr>
                <w:bCs/>
                <w:i/>
                <w:iCs/>
                <w:szCs w:val="16"/>
              </w:rPr>
              <w:t>Land converted to open water</w:t>
            </w:r>
            <w:r w:rsidRPr="009E06AA">
              <w:rPr>
                <w:bCs/>
                <w:szCs w:val="16"/>
              </w:rPr>
              <w:t>.</w:t>
            </w:r>
          </w:p>
        </w:tc>
      </w:tr>
      <w:tr w:rsidR="00C3347F" w:rsidRPr="009E06AA" w14:paraId="33B6014C" w14:textId="77777777" w:rsidTr="00B55F24">
        <w:tc>
          <w:tcPr>
            <w:tcW w:w="1134" w:type="dxa"/>
            <w:tcBorders>
              <w:top w:val="single" w:sz="4" w:space="0" w:color="1B556B"/>
              <w:left w:val="nil"/>
              <w:bottom w:val="single" w:sz="4" w:space="0" w:color="1B556B"/>
              <w:right w:val="single" w:sz="4" w:space="0" w:color="1B556B"/>
            </w:tcBorders>
            <w:hideMark/>
          </w:tcPr>
          <w:p w14:paraId="29EA4F4F" w14:textId="77777777" w:rsidR="00C3347F" w:rsidRPr="009E06AA" w:rsidRDefault="00C3347F" w:rsidP="00B55F24">
            <w:pPr>
              <w:pStyle w:val="TableText"/>
              <w:spacing w:before="40" w:after="40"/>
            </w:pPr>
            <w:r w:rsidRPr="009E06AA">
              <w:t>5.D.1</w:t>
            </w:r>
          </w:p>
        </w:tc>
        <w:tc>
          <w:tcPr>
            <w:tcW w:w="2495" w:type="dxa"/>
            <w:tcBorders>
              <w:top w:val="single" w:sz="4" w:space="0" w:color="1B556B"/>
              <w:left w:val="single" w:sz="4" w:space="0" w:color="1B556B"/>
              <w:bottom w:val="single" w:sz="4" w:space="0" w:color="1B556B"/>
              <w:right w:val="single" w:sz="4" w:space="0" w:color="1B556B"/>
            </w:tcBorders>
            <w:hideMark/>
          </w:tcPr>
          <w:p w14:paraId="1CF15348" w14:textId="77777777" w:rsidR="00C3347F" w:rsidRPr="009E06AA" w:rsidRDefault="00C3347F" w:rsidP="00B55F24">
            <w:pPr>
              <w:pStyle w:val="TableText"/>
              <w:spacing w:before="40" w:after="40"/>
              <w:rPr>
                <w:bCs/>
                <w:szCs w:val="16"/>
              </w:rPr>
            </w:pPr>
            <w:r w:rsidRPr="009E06AA">
              <w:rPr>
                <w:szCs w:val="16"/>
              </w:rPr>
              <w:t>Domestic wastewater</w:t>
            </w:r>
          </w:p>
        </w:tc>
        <w:tc>
          <w:tcPr>
            <w:tcW w:w="2098" w:type="dxa"/>
            <w:tcBorders>
              <w:top w:val="single" w:sz="4" w:space="0" w:color="1B556B"/>
              <w:left w:val="single" w:sz="4" w:space="0" w:color="1B556B"/>
              <w:bottom w:val="single" w:sz="4" w:space="0" w:color="1B556B"/>
              <w:right w:val="single" w:sz="4" w:space="0" w:color="1B556B"/>
            </w:tcBorders>
            <w:hideMark/>
          </w:tcPr>
          <w:p w14:paraId="7114B2DE" w14:textId="77777777" w:rsidR="00C3347F" w:rsidRPr="009E06AA" w:rsidRDefault="00C3347F" w:rsidP="00B55F24">
            <w:pPr>
              <w:pStyle w:val="TableText"/>
              <w:spacing w:before="40" w:after="40"/>
              <w:rPr>
                <w:bCs/>
                <w:szCs w:val="16"/>
              </w:rPr>
            </w:pPr>
            <w:r w:rsidRPr="009E06AA">
              <w:rPr>
                <w:szCs w:val="16"/>
              </w:rPr>
              <w:t>5.A Solid waste</w:t>
            </w:r>
          </w:p>
        </w:tc>
        <w:tc>
          <w:tcPr>
            <w:tcW w:w="2835" w:type="dxa"/>
            <w:tcBorders>
              <w:top w:val="single" w:sz="4" w:space="0" w:color="1B556B"/>
              <w:left w:val="single" w:sz="4" w:space="0" w:color="1B556B"/>
              <w:bottom w:val="single" w:sz="4" w:space="0" w:color="1B556B"/>
              <w:right w:val="nil"/>
            </w:tcBorders>
            <w:hideMark/>
          </w:tcPr>
          <w:p w14:paraId="421ED3F4" w14:textId="77777777" w:rsidR="00C3347F" w:rsidRPr="009E06AA" w:rsidRDefault="00C3347F" w:rsidP="00B55F24">
            <w:pPr>
              <w:pStyle w:val="TableText"/>
              <w:spacing w:before="40" w:after="40"/>
              <w:rPr>
                <w:szCs w:val="16"/>
              </w:rPr>
            </w:pPr>
            <w:r w:rsidRPr="009E06AA">
              <w:rPr>
                <w:szCs w:val="16"/>
              </w:rPr>
              <w:t xml:space="preserve">Activity data – sludge amounts are included under </w:t>
            </w:r>
            <w:r w:rsidRPr="009E06AA">
              <w:rPr>
                <w:i/>
                <w:iCs/>
                <w:szCs w:val="16"/>
              </w:rPr>
              <w:t>Solid waste disposal</w:t>
            </w:r>
            <w:r w:rsidRPr="009E06AA">
              <w:rPr>
                <w:szCs w:val="16"/>
              </w:rPr>
              <w:t xml:space="preserve"> because sludge is disposed to landfill.</w:t>
            </w:r>
          </w:p>
        </w:tc>
      </w:tr>
      <w:tr w:rsidR="00C3347F" w:rsidRPr="009E06AA" w14:paraId="78120428" w14:textId="77777777" w:rsidTr="00B55F24">
        <w:tc>
          <w:tcPr>
            <w:tcW w:w="1134" w:type="dxa"/>
            <w:tcBorders>
              <w:top w:val="single" w:sz="4" w:space="0" w:color="1B556B"/>
              <w:left w:val="nil"/>
              <w:bottom w:val="single" w:sz="4" w:space="0" w:color="1B556B"/>
              <w:right w:val="single" w:sz="4" w:space="0" w:color="1B556B"/>
            </w:tcBorders>
            <w:hideMark/>
          </w:tcPr>
          <w:p w14:paraId="685C894A" w14:textId="77777777" w:rsidR="00C3347F" w:rsidRPr="009E06AA" w:rsidRDefault="00C3347F" w:rsidP="00B55F24">
            <w:pPr>
              <w:pStyle w:val="TableText"/>
              <w:spacing w:before="40" w:after="40"/>
              <w:rPr>
                <w:szCs w:val="16"/>
              </w:rPr>
            </w:pPr>
            <w:r w:rsidRPr="009E06AA">
              <w:rPr>
                <w:szCs w:val="16"/>
              </w:rPr>
              <w:t>5.D.2</w:t>
            </w:r>
          </w:p>
        </w:tc>
        <w:tc>
          <w:tcPr>
            <w:tcW w:w="2495" w:type="dxa"/>
            <w:tcBorders>
              <w:top w:val="single" w:sz="4" w:space="0" w:color="1B556B"/>
              <w:left w:val="single" w:sz="4" w:space="0" w:color="1B556B"/>
              <w:bottom w:val="single" w:sz="4" w:space="0" w:color="1B556B"/>
              <w:right w:val="single" w:sz="4" w:space="0" w:color="1B556B"/>
            </w:tcBorders>
            <w:hideMark/>
          </w:tcPr>
          <w:p w14:paraId="410BBD11" w14:textId="77777777" w:rsidR="00C3347F" w:rsidRPr="009E06AA" w:rsidRDefault="00C3347F" w:rsidP="00B55F24">
            <w:pPr>
              <w:pStyle w:val="TableText"/>
              <w:spacing w:before="40" w:after="40"/>
              <w:rPr>
                <w:bCs/>
                <w:szCs w:val="16"/>
              </w:rPr>
            </w:pPr>
            <w:r w:rsidRPr="009E06AA">
              <w:rPr>
                <w:szCs w:val="16"/>
              </w:rPr>
              <w:t>Industrial wastewater</w:t>
            </w:r>
          </w:p>
        </w:tc>
        <w:tc>
          <w:tcPr>
            <w:tcW w:w="2098" w:type="dxa"/>
            <w:tcBorders>
              <w:top w:val="single" w:sz="4" w:space="0" w:color="1B556B"/>
              <w:left w:val="single" w:sz="4" w:space="0" w:color="1B556B"/>
              <w:bottom w:val="single" w:sz="4" w:space="0" w:color="1B556B"/>
              <w:right w:val="single" w:sz="4" w:space="0" w:color="1B556B"/>
            </w:tcBorders>
            <w:hideMark/>
          </w:tcPr>
          <w:p w14:paraId="7A60FF34" w14:textId="77777777" w:rsidR="00C3347F" w:rsidRPr="009E06AA" w:rsidRDefault="00C3347F" w:rsidP="00B55F24">
            <w:pPr>
              <w:pStyle w:val="TableText"/>
              <w:spacing w:before="40" w:after="40"/>
              <w:rPr>
                <w:bCs/>
                <w:szCs w:val="16"/>
              </w:rPr>
            </w:pPr>
            <w:r w:rsidRPr="009E06AA">
              <w:rPr>
                <w:szCs w:val="16"/>
              </w:rPr>
              <w:t>5.A Solid waste</w:t>
            </w:r>
          </w:p>
        </w:tc>
        <w:tc>
          <w:tcPr>
            <w:tcW w:w="2835" w:type="dxa"/>
            <w:tcBorders>
              <w:top w:val="single" w:sz="4" w:space="0" w:color="1B556B"/>
              <w:left w:val="single" w:sz="4" w:space="0" w:color="1B556B"/>
              <w:bottom w:val="single" w:sz="4" w:space="0" w:color="1B556B"/>
              <w:right w:val="nil"/>
            </w:tcBorders>
            <w:hideMark/>
          </w:tcPr>
          <w:p w14:paraId="762B5969" w14:textId="77777777" w:rsidR="00C3347F" w:rsidRPr="009E06AA" w:rsidRDefault="00C3347F" w:rsidP="00B55F24">
            <w:pPr>
              <w:pStyle w:val="TableText"/>
              <w:spacing w:before="40" w:after="40"/>
              <w:rPr>
                <w:bCs/>
                <w:szCs w:val="16"/>
              </w:rPr>
            </w:pPr>
            <w:r w:rsidRPr="009E06AA">
              <w:rPr>
                <w:szCs w:val="16"/>
              </w:rPr>
              <w:t xml:space="preserve">Activity data – sludge amounts are included under </w:t>
            </w:r>
            <w:r w:rsidRPr="009E06AA">
              <w:rPr>
                <w:i/>
                <w:iCs/>
                <w:szCs w:val="16"/>
              </w:rPr>
              <w:t>Solid waste disposal</w:t>
            </w:r>
            <w:r w:rsidRPr="009E06AA">
              <w:rPr>
                <w:szCs w:val="16"/>
              </w:rPr>
              <w:t xml:space="preserve"> because sludge is disposed to landfill.</w:t>
            </w:r>
          </w:p>
        </w:tc>
      </w:tr>
      <w:tr w:rsidR="00C3347F" w:rsidRPr="009E06AA" w14:paraId="33B1E8FA" w14:textId="77777777" w:rsidTr="00B55F24">
        <w:tc>
          <w:tcPr>
            <w:tcW w:w="1134" w:type="dxa"/>
            <w:tcBorders>
              <w:top w:val="single" w:sz="4" w:space="0" w:color="1B556B"/>
              <w:left w:val="nil"/>
              <w:bottom w:val="single" w:sz="4" w:space="0" w:color="1B556B"/>
              <w:right w:val="single" w:sz="4" w:space="0" w:color="1B556B"/>
            </w:tcBorders>
            <w:hideMark/>
          </w:tcPr>
          <w:p w14:paraId="50D3F3F1" w14:textId="77777777" w:rsidR="00C3347F" w:rsidRPr="009E06AA" w:rsidRDefault="00C3347F" w:rsidP="00B55F24">
            <w:pPr>
              <w:pStyle w:val="TableText"/>
              <w:spacing w:before="40" w:after="40"/>
              <w:rPr>
                <w:szCs w:val="16"/>
              </w:rPr>
            </w:pPr>
            <w:r w:rsidRPr="009E06AA">
              <w:rPr>
                <w:szCs w:val="16"/>
              </w:rPr>
              <w:t>5.D.2</w:t>
            </w:r>
          </w:p>
        </w:tc>
        <w:tc>
          <w:tcPr>
            <w:tcW w:w="2495" w:type="dxa"/>
            <w:tcBorders>
              <w:top w:val="single" w:sz="4" w:space="0" w:color="1B556B"/>
              <w:left w:val="single" w:sz="4" w:space="0" w:color="1B556B"/>
              <w:bottom w:val="single" w:sz="4" w:space="0" w:color="1B556B"/>
              <w:right w:val="single" w:sz="4" w:space="0" w:color="1B556B"/>
            </w:tcBorders>
            <w:hideMark/>
          </w:tcPr>
          <w:p w14:paraId="6E424069" w14:textId="77777777" w:rsidR="00C3347F" w:rsidRPr="009E06AA" w:rsidRDefault="00C3347F" w:rsidP="00B55F24">
            <w:pPr>
              <w:pStyle w:val="TableText"/>
              <w:spacing w:before="40" w:after="40"/>
              <w:rPr>
                <w:szCs w:val="16"/>
              </w:rPr>
            </w:pPr>
            <w:r w:rsidRPr="009E06AA">
              <w:rPr>
                <w:szCs w:val="16"/>
              </w:rPr>
              <w:t>Industrial wastewater</w:t>
            </w:r>
          </w:p>
        </w:tc>
        <w:tc>
          <w:tcPr>
            <w:tcW w:w="2098" w:type="dxa"/>
            <w:tcBorders>
              <w:top w:val="single" w:sz="4" w:space="0" w:color="1B556B"/>
              <w:left w:val="single" w:sz="4" w:space="0" w:color="1B556B"/>
              <w:bottom w:val="single" w:sz="4" w:space="0" w:color="1B556B"/>
              <w:right w:val="single" w:sz="4" w:space="0" w:color="1B556B"/>
            </w:tcBorders>
            <w:hideMark/>
          </w:tcPr>
          <w:p w14:paraId="7EADF081" w14:textId="77777777" w:rsidR="00C3347F" w:rsidRPr="009E06AA" w:rsidRDefault="00C3347F" w:rsidP="00B55F24">
            <w:pPr>
              <w:pStyle w:val="TableText"/>
              <w:spacing w:before="40" w:after="40"/>
              <w:rPr>
                <w:szCs w:val="16"/>
              </w:rPr>
            </w:pPr>
            <w:r w:rsidRPr="009E06AA">
              <w:rPr>
                <w:szCs w:val="16"/>
              </w:rPr>
              <w:t>1.A.2.e Food processing, beverages and tobacco – Biomass</w:t>
            </w:r>
          </w:p>
        </w:tc>
        <w:tc>
          <w:tcPr>
            <w:tcW w:w="2835" w:type="dxa"/>
            <w:tcBorders>
              <w:top w:val="single" w:sz="4" w:space="0" w:color="1B556B"/>
              <w:left w:val="single" w:sz="4" w:space="0" w:color="1B556B"/>
              <w:bottom w:val="single" w:sz="4" w:space="0" w:color="1B556B"/>
              <w:right w:val="nil"/>
            </w:tcBorders>
            <w:hideMark/>
          </w:tcPr>
          <w:p w14:paraId="71F08882" w14:textId="77777777" w:rsidR="00C3347F" w:rsidRPr="009E06AA" w:rsidRDefault="00C3347F" w:rsidP="00B55F24">
            <w:pPr>
              <w:pStyle w:val="TableText"/>
              <w:spacing w:before="40" w:after="40"/>
              <w:rPr>
                <w:szCs w:val="16"/>
              </w:rPr>
            </w:pPr>
            <w:r w:rsidRPr="009E06AA">
              <w:rPr>
                <w:szCs w:val="16"/>
              </w:rPr>
              <w:t>Emissions of CH</w:t>
            </w:r>
            <w:r w:rsidRPr="009E06AA">
              <w:rPr>
                <w:szCs w:val="16"/>
                <w:vertAlign w:val="subscript"/>
              </w:rPr>
              <w:t>4</w:t>
            </w:r>
            <w:r w:rsidRPr="009E06AA">
              <w:rPr>
                <w:szCs w:val="16"/>
              </w:rPr>
              <w:t xml:space="preserve"> and N</w:t>
            </w:r>
            <w:r w:rsidRPr="009E06AA">
              <w:rPr>
                <w:szCs w:val="16"/>
                <w:vertAlign w:val="subscript"/>
              </w:rPr>
              <w:t>2</w:t>
            </w:r>
            <w:r w:rsidRPr="009E06AA">
              <w:rPr>
                <w:szCs w:val="16"/>
              </w:rPr>
              <w:t xml:space="preserve">O from the combustion of biogas from the Tirau dairy processing plant are reported under 1.A.2.e </w:t>
            </w:r>
            <w:r w:rsidRPr="009E06AA">
              <w:rPr>
                <w:i/>
                <w:iCs/>
                <w:szCs w:val="16"/>
              </w:rPr>
              <w:t>Food processing, beverages and tobacco – Biomass.</w:t>
            </w:r>
          </w:p>
        </w:tc>
      </w:tr>
      <w:tr w:rsidR="00C3347F" w:rsidRPr="009E06AA" w14:paraId="53075828" w14:textId="77777777" w:rsidTr="00B55F24">
        <w:tc>
          <w:tcPr>
            <w:tcW w:w="1134" w:type="dxa"/>
            <w:tcBorders>
              <w:top w:val="single" w:sz="4" w:space="0" w:color="1B556B"/>
              <w:left w:val="nil"/>
              <w:bottom w:val="single" w:sz="4" w:space="0" w:color="1B556B"/>
              <w:right w:val="single" w:sz="4" w:space="0" w:color="1B556B"/>
            </w:tcBorders>
            <w:hideMark/>
          </w:tcPr>
          <w:p w14:paraId="4B437B23" w14:textId="77777777" w:rsidR="00C3347F" w:rsidRPr="009E06AA" w:rsidRDefault="00C3347F" w:rsidP="00B55F24">
            <w:pPr>
              <w:pStyle w:val="TableText"/>
              <w:spacing w:before="40" w:after="40"/>
              <w:rPr>
                <w:bCs/>
                <w:szCs w:val="16"/>
              </w:rPr>
            </w:pPr>
            <w:r w:rsidRPr="009E06AA">
              <w:rPr>
                <w:bCs/>
                <w:szCs w:val="16"/>
              </w:rPr>
              <w:t>Within the Tokelau sector</w:t>
            </w:r>
            <w:r w:rsidRPr="009E06AA">
              <w:rPr>
                <w:b/>
                <w:bCs/>
                <w:szCs w:val="16"/>
              </w:rPr>
              <w:t xml:space="preserve"> </w:t>
            </w:r>
            <w:r w:rsidRPr="009E06AA">
              <w:rPr>
                <w:szCs w:val="16"/>
              </w:rPr>
              <w:t>6</w:t>
            </w:r>
            <w:r w:rsidRPr="009E06AA">
              <w:rPr>
                <w:bCs/>
                <w:szCs w:val="16"/>
              </w:rPr>
              <w:t>,</w:t>
            </w:r>
            <w:r w:rsidRPr="009E06AA">
              <w:rPr>
                <w:b/>
                <w:bCs/>
                <w:szCs w:val="16"/>
              </w:rPr>
              <w:t xml:space="preserve"> </w:t>
            </w:r>
            <w:r w:rsidRPr="009E06AA">
              <w:rPr>
                <w:bCs/>
                <w:szCs w:val="16"/>
              </w:rPr>
              <w:t xml:space="preserve">categories 1.A.3.b.i and 1.A.4.c.iii were reported elsewhere </w:t>
            </w:r>
          </w:p>
        </w:tc>
        <w:tc>
          <w:tcPr>
            <w:tcW w:w="2495" w:type="dxa"/>
            <w:tcBorders>
              <w:top w:val="single" w:sz="4" w:space="0" w:color="1B556B"/>
              <w:left w:val="single" w:sz="4" w:space="0" w:color="1B556B"/>
              <w:bottom w:val="single" w:sz="4" w:space="0" w:color="1B556B"/>
              <w:right w:val="single" w:sz="4" w:space="0" w:color="1B556B"/>
            </w:tcBorders>
            <w:hideMark/>
          </w:tcPr>
          <w:p w14:paraId="76D7D005" w14:textId="77777777" w:rsidR="00C3347F" w:rsidRPr="009E06AA" w:rsidRDefault="00C3347F" w:rsidP="00B55F24">
            <w:pPr>
              <w:pStyle w:val="TableText"/>
              <w:spacing w:before="40" w:after="40"/>
              <w:rPr>
                <w:szCs w:val="16"/>
              </w:rPr>
            </w:pPr>
            <w:r w:rsidRPr="009E06AA">
              <w:rPr>
                <w:szCs w:val="16"/>
              </w:rPr>
              <w:t>Road transport/Gasoline and diesel oil</w:t>
            </w:r>
          </w:p>
        </w:tc>
        <w:tc>
          <w:tcPr>
            <w:tcW w:w="2098" w:type="dxa"/>
            <w:tcBorders>
              <w:top w:val="single" w:sz="4" w:space="0" w:color="1B556B"/>
              <w:left w:val="single" w:sz="4" w:space="0" w:color="1B556B"/>
              <w:bottom w:val="single" w:sz="4" w:space="0" w:color="1B556B"/>
              <w:right w:val="single" w:sz="4" w:space="0" w:color="1B556B"/>
            </w:tcBorders>
            <w:hideMark/>
          </w:tcPr>
          <w:p w14:paraId="505435A5" w14:textId="77777777" w:rsidR="00C3347F" w:rsidRPr="009E06AA" w:rsidRDefault="00C3347F" w:rsidP="00B55F24">
            <w:pPr>
              <w:pStyle w:val="TableText"/>
              <w:spacing w:before="40" w:after="40"/>
              <w:rPr>
                <w:szCs w:val="16"/>
              </w:rPr>
            </w:pPr>
            <w:r w:rsidRPr="009E06AA">
              <w:rPr>
                <w:szCs w:val="16"/>
              </w:rPr>
              <w:t>1.A.3.d Domestic navigation</w:t>
            </w:r>
            <w:r w:rsidRPr="009E06AA">
              <w:rPr>
                <w:szCs w:val="16"/>
              </w:rPr>
              <w:softHyphen/>
              <w:t xml:space="preserve"> –Gas/diesel oil (within Tokelau sector 6)</w:t>
            </w:r>
          </w:p>
        </w:tc>
        <w:tc>
          <w:tcPr>
            <w:tcW w:w="2835" w:type="dxa"/>
            <w:tcBorders>
              <w:top w:val="single" w:sz="4" w:space="0" w:color="1B556B"/>
              <w:left w:val="single" w:sz="4" w:space="0" w:color="1B556B"/>
              <w:bottom w:val="single" w:sz="4" w:space="0" w:color="1B556B"/>
              <w:right w:val="nil"/>
            </w:tcBorders>
            <w:hideMark/>
          </w:tcPr>
          <w:p w14:paraId="499ACF16" w14:textId="77777777" w:rsidR="00C3347F" w:rsidRPr="009E06AA" w:rsidRDefault="00C3347F" w:rsidP="00B55F24">
            <w:pPr>
              <w:pStyle w:val="TableText"/>
              <w:spacing w:before="40" w:after="40"/>
              <w:rPr>
                <w:szCs w:val="16"/>
              </w:rPr>
            </w:pPr>
            <w:r w:rsidRPr="009E06AA">
              <w:rPr>
                <w:szCs w:val="16"/>
              </w:rPr>
              <w:t xml:space="preserve">Tokelau has a small petrol car fleet. In 2018 there were about 40 cars and 30 motorbikes, with an entire road network less than 10 kilometres. Four registered cars were recorded in the 2001 Census. Aluminium boats are the main means of family transport. There were, on average, about 100 outboard motors travelling both outside and within the large lagoons. Petrol use for road transport is relatively small compared with </w:t>
            </w:r>
            <w:r w:rsidRPr="009E06AA">
              <w:rPr>
                <w:i/>
                <w:iCs/>
                <w:szCs w:val="16"/>
              </w:rPr>
              <w:t>Domestic navigation</w:t>
            </w:r>
            <w:r w:rsidRPr="009E06AA">
              <w:rPr>
                <w:szCs w:val="16"/>
              </w:rPr>
              <w:t xml:space="preserve"> totals, and all emissions are included in </w:t>
            </w:r>
            <w:r w:rsidRPr="009E06AA">
              <w:rPr>
                <w:i/>
                <w:iCs/>
                <w:szCs w:val="16"/>
              </w:rPr>
              <w:t>Domestic navigation</w:t>
            </w:r>
            <w:r w:rsidRPr="009E06AA">
              <w:rPr>
                <w:szCs w:val="16"/>
              </w:rPr>
              <w:t>.</w:t>
            </w:r>
          </w:p>
        </w:tc>
      </w:tr>
      <w:tr w:rsidR="00C3347F" w:rsidRPr="009E06AA" w14:paraId="0A935B0B" w14:textId="77777777" w:rsidTr="00B55F24">
        <w:tc>
          <w:tcPr>
            <w:tcW w:w="1134" w:type="dxa"/>
            <w:tcBorders>
              <w:top w:val="single" w:sz="4" w:space="0" w:color="1B556B"/>
              <w:left w:val="nil"/>
              <w:bottom w:val="single" w:sz="4" w:space="0" w:color="365F91"/>
              <w:right w:val="single" w:sz="4" w:space="0" w:color="1B556B"/>
            </w:tcBorders>
            <w:hideMark/>
          </w:tcPr>
          <w:p w14:paraId="5BCDD637" w14:textId="77777777" w:rsidR="00C3347F" w:rsidRPr="009E06AA" w:rsidRDefault="00C3347F" w:rsidP="00B55F24">
            <w:pPr>
              <w:pStyle w:val="TableText"/>
              <w:spacing w:before="40" w:after="40"/>
              <w:rPr>
                <w:bCs/>
                <w:szCs w:val="16"/>
              </w:rPr>
            </w:pPr>
            <w:r w:rsidRPr="009E06AA">
              <w:rPr>
                <w:bCs/>
                <w:szCs w:val="16"/>
              </w:rPr>
              <w:t>Within the Tokelau sector</w:t>
            </w:r>
            <w:r w:rsidRPr="009E06AA">
              <w:rPr>
                <w:b/>
                <w:bCs/>
                <w:szCs w:val="16"/>
              </w:rPr>
              <w:t xml:space="preserve"> </w:t>
            </w:r>
            <w:r w:rsidRPr="009E06AA">
              <w:rPr>
                <w:szCs w:val="16"/>
              </w:rPr>
              <w:t>6</w:t>
            </w:r>
            <w:r w:rsidRPr="009E06AA">
              <w:rPr>
                <w:bCs/>
                <w:szCs w:val="16"/>
              </w:rPr>
              <w:t>,</w:t>
            </w:r>
            <w:r w:rsidRPr="009E06AA">
              <w:rPr>
                <w:b/>
                <w:bCs/>
                <w:szCs w:val="16"/>
              </w:rPr>
              <w:t xml:space="preserve"> </w:t>
            </w:r>
            <w:r w:rsidRPr="009E06AA">
              <w:rPr>
                <w:bCs/>
                <w:szCs w:val="16"/>
              </w:rPr>
              <w:t xml:space="preserve">category 1.A.4.b is reported elsewhere </w:t>
            </w:r>
          </w:p>
        </w:tc>
        <w:tc>
          <w:tcPr>
            <w:tcW w:w="2495" w:type="dxa"/>
            <w:tcBorders>
              <w:top w:val="single" w:sz="4" w:space="0" w:color="1B556B"/>
              <w:left w:val="single" w:sz="4" w:space="0" w:color="1B556B"/>
              <w:bottom w:val="single" w:sz="4" w:space="0" w:color="365F91"/>
              <w:right w:val="single" w:sz="4" w:space="0" w:color="1B556B"/>
            </w:tcBorders>
            <w:hideMark/>
          </w:tcPr>
          <w:p w14:paraId="029FD41A" w14:textId="77777777" w:rsidR="00C3347F" w:rsidRPr="009E06AA" w:rsidRDefault="00C3347F" w:rsidP="00B55F24">
            <w:pPr>
              <w:pStyle w:val="TableText"/>
              <w:spacing w:before="40" w:after="40"/>
              <w:rPr>
                <w:szCs w:val="16"/>
              </w:rPr>
            </w:pPr>
            <w:r w:rsidRPr="009E06AA">
              <w:rPr>
                <w:szCs w:val="16"/>
              </w:rPr>
              <w:t>Residential (1.A.4.b) liquid fuels</w:t>
            </w:r>
          </w:p>
        </w:tc>
        <w:tc>
          <w:tcPr>
            <w:tcW w:w="2098" w:type="dxa"/>
            <w:tcBorders>
              <w:top w:val="single" w:sz="4" w:space="0" w:color="1B556B"/>
              <w:left w:val="single" w:sz="4" w:space="0" w:color="1B556B"/>
              <w:bottom w:val="single" w:sz="4" w:space="0" w:color="365F91"/>
              <w:right w:val="single" w:sz="4" w:space="0" w:color="1B556B"/>
            </w:tcBorders>
            <w:hideMark/>
          </w:tcPr>
          <w:p w14:paraId="48988DEF" w14:textId="77777777" w:rsidR="00C3347F" w:rsidRPr="009E06AA" w:rsidRDefault="00C3347F" w:rsidP="00B55F24">
            <w:pPr>
              <w:pStyle w:val="TableText"/>
              <w:spacing w:before="40" w:after="40"/>
              <w:rPr>
                <w:szCs w:val="16"/>
              </w:rPr>
            </w:pPr>
            <w:r w:rsidRPr="009E06AA">
              <w:rPr>
                <w:szCs w:val="16"/>
              </w:rPr>
              <w:t>1.A.3.d Domestic navigation – Gas/diesel oil (within Tokelau sector 6)</w:t>
            </w:r>
          </w:p>
        </w:tc>
        <w:tc>
          <w:tcPr>
            <w:tcW w:w="2835" w:type="dxa"/>
            <w:tcBorders>
              <w:top w:val="single" w:sz="4" w:space="0" w:color="1B556B"/>
              <w:left w:val="single" w:sz="4" w:space="0" w:color="1B556B"/>
              <w:bottom w:val="single" w:sz="4" w:space="0" w:color="365F91"/>
              <w:right w:val="nil"/>
            </w:tcBorders>
            <w:hideMark/>
          </w:tcPr>
          <w:p w14:paraId="1F89F547" w14:textId="77777777" w:rsidR="00C3347F" w:rsidRPr="009E06AA" w:rsidRDefault="00C3347F" w:rsidP="00B55F24">
            <w:pPr>
              <w:pStyle w:val="TableText"/>
              <w:spacing w:before="40" w:after="40"/>
              <w:rPr>
                <w:szCs w:val="16"/>
              </w:rPr>
            </w:pPr>
            <w:r w:rsidRPr="009E06AA">
              <w:rPr>
                <w:szCs w:val="16"/>
              </w:rPr>
              <w:t xml:space="preserve">Only gas used for cooking is reported here. The amount of liquid fuel use in this category is small compared with </w:t>
            </w:r>
            <w:r w:rsidRPr="009E06AA">
              <w:rPr>
                <w:i/>
                <w:iCs/>
                <w:szCs w:val="16"/>
              </w:rPr>
              <w:t>Domestic navigation</w:t>
            </w:r>
            <w:r w:rsidRPr="009E06AA">
              <w:rPr>
                <w:szCs w:val="16"/>
              </w:rPr>
              <w:t xml:space="preserve"> and all emissions are included in </w:t>
            </w:r>
            <w:r w:rsidRPr="009E06AA">
              <w:rPr>
                <w:i/>
                <w:iCs/>
                <w:szCs w:val="16"/>
              </w:rPr>
              <w:t>Domestic navigation</w:t>
            </w:r>
            <w:r w:rsidRPr="009E06AA">
              <w:rPr>
                <w:szCs w:val="16"/>
              </w:rPr>
              <w:t>.</w:t>
            </w:r>
          </w:p>
        </w:tc>
      </w:tr>
    </w:tbl>
    <w:p w14:paraId="52187BF4" w14:textId="77777777" w:rsidR="00C3347F" w:rsidRPr="009E06AA" w:rsidRDefault="00C3347F" w:rsidP="00C3347F">
      <w:pPr>
        <w:pStyle w:val="Heading3"/>
        <w:spacing w:before="480"/>
      </w:pPr>
      <w:bookmarkStart w:id="162" w:name="_Toc162261129"/>
      <w:bookmarkStart w:id="163" w:name="X458529c0c08f468d583cb0f295c1e344a6d6385"/>
      <w:bookmarkEnd w:id="137"/>
      <w:r w:rsidRPr="009E06AA">
        <w:t xml:space="preserve">1.7.2 </w:t>
      </w:r>
      <w:r w:rsidRPr="009E06AA">
        <w:tab/>
        <w:t>Description of insignificant categories</w:t>
      </w:r>
      <w:bookmarkEnd w:id="162"/>
    </w:p>
    <w:p w14:paraId="10581A02" w14:textId="77777777" w:rsidR="00C3347F" w:rsidRPr="009E06AA" w:rsidRDefault="00C3347F" w:rsidP="00C3347F">
      <w:pPr>
        <w:pStyle w:val="BodyText"/>
      </w:pPr>
      <w:r w:rsidRPr="009E06AA">
        <w:t xml:space="preserve">New Zealand’s omitted insignificant emissions sources are estimated using simple methods, in line with paragraph 32 of the annex to decision 18/CMA.1 (UNFCCC, 2018b). </w:t>
      </w:r>
    </w:p>
    <w:p w14:paraId="1EEA7474" w14:textId="77777777" w:rsidR="00C3347F" w:rsidRPr="009E06AA" w:rsidRDefault="00C3347F" w:rsidP="00C3347F">
      <w:pPr>
        <w:pStyle w:val="BodyText"/>
      </w:pPr>
      <w:r w:rsidRPr="009E06AA">
        <w:t>The data and assumptions New Zealand used to derive the likely emissions levels are presented in table 1.7.1.</w:t>
      </w:r>
    </w:p>
    <w:p w14:paraId="238242AF" w14:textId="77777777" w:rsidR="00C3347F" w:rsidRPr="009E06AA" w:rsidRDefault="00C3347F" w:rsidP="00C3347F">
      <w:pPr>
        <w:pStyle w:val="Heading3"/>
      </w:pPr>
      <w:bookmarkStart w:id="164" w:name="_Toc162261130"/>
      <w:bookmarkStart w:id="165" w:name="Xfb983b41c810a90ea7c491aafef5b9b6814bd47"/>
      <w:bookmarkEnd w:id="163"/>
      <w:r w:rsidRPr="009E06AA">
        <w:t xml:space="preserve">1.7.3 </w:t>
      </w:r>
      <w:r w:rsidRPr="009E06AA">
        <w:tab/>
        <w:t>Total aggregate emissions considered insignificant, if applicable</w:t>
      </w:r>
      <w:bookmarkEnd w:id="164"/>
      <w:r w:rsidRPr="009E06AA">
        <w:t xml:space="preserve"> </w:t>
      </w:r>
    </w:p>
    <w:p w14:paraId="5745046C" w14:textId="77777777" w:rsidR="00C3347F" w:rsidRPr="009E06AA" w:rsidRDefault="00C3347F" w:rsidP="00C3347F">
      <w:pPr>
        <w:pStyle w:val="BodyText"/>
      </w:pPr>
      <w:r w:rsidRPr="009E06AA">
        <w:t>The estimate of emissions for all of New Zealand’s source categories marked as ‘NE’ results in 23.8 kt CO</w:t>
      </w:r>
      <w:r w:rsidRPr="009E06AA">
        <w:rPr>
          <w:vertAlign w:val="subscript"/>
        </w:rPr>
        <w:t>2</w:t>
      </w:r>
      <w:r w:rsidRPr="009E06AA">
        <w:t>-e, which is below the 0.1 per cent of the total emissions threshold (78.4 kt CO</w:t>
      </w:r>
      <w:r w:rsidRPr="009E06AA">
        <w:rPr>
          <w:vertAlign w:val="subscript"/>
        </w:rPr>
        <w:t>2</w:t>
      </w:r>
      <w:r w:rsidRPr="009E06AA">
        <w:noBreakHyphen/>
        <w:t>e).</w:t>
      </w:r>
    </w:p>
    <w:p w14:paraId="0DC77CB4" w14:textId="77777777" w:rsidR="00C3347F" w:rsidRPr="009E06AA" w:rsidRDefault="00C3347F" w:rsidP="00C3347F">
      <w:pPr>
        <w:pStyle w:val="Heading2"/>
      </w:pPr>
      <w:bookmarkStart w:id="166" w:name="_Toc162261131"/>
      <w:bookmarkStart w:id="167" w:name="_Toc164154167"/>
      <w:bookmarkStart w:id="168" w:name="metrics"/>
      <w:bookmarkEnd w:id="132"/>
      <w:bookmarkEnd w:id="165"/>
      <w:r w:rsidRPr="009E06AA">
        <w:t xml:space="preserve">1.8 </w:t>
      </w:r>
      <w:r w:rsidRPr="009E06AA">
        <w:tab/>
        <w:t>Metrics</w:t>
      </w:r>
      <w:bookmarkEnd w:id="166"/>
      <w:bookmarkEnd w:id="167"/>
    </w:p>
    <w:p w14:paraId="3907B439" w14:textId="77777777" w:rsidR="00C3347F" w:rsidRPr="009E06AA" w:rsidRDefault="00C3347F" w:rsidP="00C3347F">
      <w:pPr>
        <w:pStyle w:val="BodyText"/>
      </w:pPr>
      <w:r w:rsidRPr="009E06AA">
        <w:t>Consistent with decisions 1/CP.24, 18/CMA.1 and 5/CMA.3, this inventory was prepared using 100-year time horizon global warming potential values from the IPCC Fifth Assessment Report (IPCC, 2013).</w:t>
      </w:r>
    </w:p>
    <w:p w14:paraId="7799B656" w14:textId="77777777" w:rsidR="00C3347F" w:rsidRPr="009E06AA" w:rsidRDefault="00C3347F" w:rsidP="00C3347F">
      <w:r w:rsidRPr="009E06AA">
        <w:br w:type="page"/>
      </w:r>
    </w:p>
    <w:p w14:paraId="5EF4F3F5" w14:textId="77777777" w:rsidR="00C3347F" w:rsidRPr="009E06AA" w:rsidRDefault="00C3347F" w:rsidP="00C3347F">
      <w:pPr>
        <w:pStyle w:val="Heading2"/>
        <w:spacing w:after="360"/>
      </w:pPr>
      <w:bookmarkStart w:id="169" w:name="_Toc162261132"/>
      <w:bookmarkStart w:id="170" w:name="_Toc164154168"/>
      <w:bookmarkStart w:id="171" w:name="chapter-1-references"/>
      <w:bookmarkEnd w:id="168"/>
      <w:r w:rsidRPr="009E06AA">
        <w:t>Chapter 1: References</w:t>
      </w:r>
      <w:bookmarkEnd w:id="169"/>
      <w:bookmarkEnd w:id="170"/>
    </w:p>
    <w:p w14:paraId="763FDB70" w14:textId="77777777" w:rsidR="00C3347F" w:rsidRPr="009E06AA" w:rsidRDefault="00C3347F" w:rsidP="00C3347F">
      <w:pPr>
        <w:pStyle w:val="References"/>
      </w:pPr>
      <w:r w:rsidRPr="009E06AA">
        <w:t>Cardno. Unpublished. Greenhouse Gas Emissions from Industrial Wastewater Treatment. Report prepared for the Ministry for the Environment in 2015.</w:t>
      </w:r>
    </w:p>
    <w:p w14:paraId="0AD244F0" w14:textId="77777777" w:rsidR="00C3347F" w:rsidRPr="009E06AA" w:rsidRDefault="00C3347F" w:rsidP="00C3347F">
      <w:pPr>
        <w:pStyle w:val="References"/>
      </w:pPr>
      <w:r w:rsidRPr="009E06AA">
        <w:t>CRL Energy Ltd. Unpublished. Hennessy W, Maxwell D. Inventory of HFC, PFC and SF</w:t>
      </w:r>
      <w:r w:rsidRPr="009E06AA">
        <w:rPr>
          <w:vertAlign w:val="subscript"/>
        </w:rPr>
        <w:t>6</w:t>
      </w:r>
      <w:r w:rsidRPr="009E06AA">
        <w:t xml:space="preserve"> Emissions for New Zealand 2004–2005. Report prepared for the Ministry for the Environment by CRL Energy Ltd in 2006.</w:t>
      </w:r>
    </w:p>
    <w:p w14:paraId="3FAB585F" w14:textId="77777777" w:rsidR="00C3347F" w:rsidRPr="009E06AA" w:rsidRDefault="00C3347F" w:rsidP="00C3347F">
      <w:pPr>
        <w:pStyle w:val="References"/>
      </w:pPr>
      <w:r w:rsidRPr="009E06AA">
        <w:t>Eunomia. Unpublished. Improvements to Estimates of Greenhouse Gas Emissions from Landfills. Report prepared for the Ministry for the Environment in 2020.</w:t>
      </w:r>
    </w:p>
    <w:p w14:paraId="2B69FC4B" w14:textId="77777777" w:rsidR="00C3347F" w:rsidRPr="009E06AA" w:rsidRDefault="00C3347F" w:rsidP="00C3347F">
      <w:pPr>
        <w:pStyle w:val="References"/>
      </w:pPr>
      <w:r w:rsidRPr="009E06AA">
        <w:t xml:space="preserve">IPCC. 2006a. Eggleston H.S., Buendia L., Miwa K., Ngara T. and Tanabe K. (eds). </w:t>
      </w:r>
      <w:r w:rsidRPr="009E06AA">
        <w:rPr>
          <w:i/>
          <w:iCs/>
        </w:rPr>
        <w:t>2006 IPCC Guidelines for National Greenhouse Gas Inventories.</w:t>
      </w:r>
      <w:r w:rsidRPr="009E06AA">
        <w:t xml:space="preserve"> Prepared by the National Greenhouse Gas Inventories Programme. Japan: IGES, Japan: Institute for Global Environmental Strategies for IPCC.</w:t>
      </w:r>
    </w:p>
    <w:p w14:paraId="1C00A38A" w14:textId="77777777" w:rsidR="00C3347F" w:rsidRPr="009E06AA" w:rsidRDefault="00C3347F" w:rsidP="00C3347F">
      <w:pPr>
        <w:pStyle w:val="References"/>
      </w:pPr>
      <w:r w:rsidRPr="009E06AA">
        <w:t xml:space="preserve">IPCC. 2006b. Eggleston HS, Buendia L, Miwa K, Ngara T, Tanabe K (eds). </w:t>
      </w:r>
      <w:r w:rsidRPr="009E06AA">
        <w:rPr>
          <w:i/>
          <w:iCs/>
        </w:rPr>
        <w:t>2006 IPCC Guidelines for National Greenhouse Gas Inventories. Volume 1. General Guidance and Reporting.</w:t>
      </w:r>
      <w:r w:rsidRPr="009E06AA">
        <w:t xml:space="preserve"> IPCC National Greenhouse Gas Inventories Programme. Japan: Institute for Global Environmental Strategies for IPCC.</w:t>
      </w:r>
    </w:p>
    <w:p w14:paraId="5F8E93E3" w14:textId="6B2AFED5" w:rsidR="00C3347F" w:rsidRPr="009E06AA" w:rsidRDefault="00C3347F" w:rsidP="00C3347F">
      <w:pPr>
        <w:pStyle w:val="References"/>
      </w:pPr>
      <w:bookmarkStart w:id="172" w:name="_Hlk162952137"/>
      <w:r w:rsidRPr="009E06AA">
        <w:t xml:space="preserve">IPCC. 2006c. Eggleston HS, Buendia L, Miwa K, Ngara T, Tanabe K (eds). </w:t>
      </w:r>
      <w:r w:rsidRPr="009E06AA">
        <w:rPr>
          <w:i/>
          <w:iCs/>
        </w:rPr>
        <w:t>2006 IPCC Guidelines for National Greenhouse Gas Inventories. Volume 2. Energy</w:t>
      </w:r>
      <w:r w:rsidRPr="009E06AA">
        <w:t>. IPCC National Greenhouse Gas Inventories Programme. Japan: Institute for Global Environmental Strategies for IPCC.</w:t>
      </w:r>
    </w:p>
    <w:p w14:paraId="7BCC527D" w14:textId="6B7F2225" w:rsidR="00C3347F" w:rsidRPr="009E06AA" w:rsidRDefault="00C3347F" w:rsidP="00C3347F">
      <w:pPr>
        <w:pStyle w:val="References"/>
      </w:pPr>
      <w:r w:rsidRPr="009E06AA">
        <w:t xml:space="preserve">IPCC. 2006d. Eggleston HS, Buendia L, Miwa K, Ngara T, Tanabe K (eds). </w:t>
      </w:r>
      <w:r w:rsidRPr="009E06AA">
        <w:rPr>
          <w:i/>
          <w:iCs/>
        </w:rPr>
        <w:t xml:space="preserve">2006 IPCC Guidelines for National Greenhouse Gas Inventories. Volume 4. Agriculture, Forestry and Other Land Use. </w:t>
      </w:r>
      <w:r w:rsidRPr="009E06AA">
        <w:t>IPCC National Greenhouse Gas Inventories Programme. Japan: Institute for Global Environmental Strategies for IPCC.</w:t>
      </w:r>
    </w:p>
    <w:bookmarkEnd w:id="172"/>
    <w:p w14:paraId="68857C3F" w14:textId="77777777" w:rsidR="00C3347F" w:rsidRPr="009E06AA" w:rsidRDefault="00C3347F" w:rsidP="00C3347F">
      <w:pPr>
        <w:pStyle w:val="References"/>
      </w:pPr>
      <w:r w:rsidRPr="009E06AA">
        <w:t xml:space="preserve">IPCC. 2006e. Eggleston HS, Buendia L, Miwa K, Ngara T, Tanabe K (eds). </w:t>
      </w:r>
      <w:r w:rsidRPr="009E06AA">
        <w:rPr>
          <w:i/>
          <w:iCs/>
        </w:rPr>
        <w:t>2006 IPCC Guidelines for National Greenhouse Gas Inventories. Volume 5. Waste</w:t>
      </w:r>
      <w:r w:rsidRPr="009E06AA">
        <w:t>. IPCC National Greenhouse Gas Inventories Programme. Japan: Institute for Global Environmental Strategies for IPCC.</w:t>
      </w:r>
    </w:p>
    <w:p w14:paraId="63FC5A05" w14:textId="77777777" w:rsidR="00C3347F" w:rsidRPr="009E06AA" w:rsidRDefault="00C3347F" w:rsidP="00C3347F">
      <w:pPr>
        <w:pStyle w:val="References"/>
      </w:pPr>
      <w:r w:rsidRPr="009E06AA">
        <w:t xml:space="preserve">IPCC. 2013. Stocker TF, Qin D, Plattner G-K, Tignor M, Allen SK, Boschung J, Nauels A, Xia Y, Bex V, Midgley PM (eds). </w:t>
      </w:r>
      <w:r w:rsidRPr="009E06AA">
        <w:rPr>
          <w:i/>
          <w:iCs/>
        </w:rPr>
        <w:t>Climate Change 2013: The Physical Science Basis. Contribution of Working Group I to the Fifth Assessment Report of the Intergovernmental Panel on Climate Change</w:t>
      </w:r>
      <w:r w:rsidRPr="009E06AA">
        <w:t xml:space="preserve">. Cambridge: Cambridge University Press. </w:t>
      </w:r>
    </w:p>
    <w:p w14:paraId="6316698D" w14:textId="77777777" w:rsidR="00C3347F" w:rsidRPr="009E06AA" w:rsidRDefault="00C3347F" w:rsidP="00C3347F">
      <w:pPr>
        <w:pStyle w:val="References"/>
      </w:pPr>
      <w:r w:rsidRPr="009E06AA">
        <w:t xml:space="preserve">IPCC. 2021. Masson-Delmotte V, Zhai P, Pirani A, Connors SL, Péan C, Berger C, Caud N, Chen Y, Goldfarb L, Gomis MI, Huang M, Leitzell K, Lonnoy E, Matthews JBR, Maycock TK, Waterfield T, Yelekçi O, Yu R, Zhou B (eds). Climate Change 2021: The physical science basis. </w:t>
      </w:r>
      <w:r w:rsidRPr="009E06AA">
        <w:rPr>
          <w:i/>
          <w:iCs/>
        </w:rPr>
        <w:t>Contribution of Working Group I to the Sixth Assessment Report of the Intergovernmental Panel on Climate Change.</w:t>
      </w:r>
      <w:r w:rsidRPr="009E06AA">
        <w:t xml:space="preserve"> Cambridge University Press.</w:t>
      </w:r>
    </w:p>
    <w:p w14:paraId="6DDC2A19" w14:textId="77777777" w:rsidR="00C3347F" w:rsidRPr="009E06AA" w:rsidRDefault="00C3347F" w:rsidP="00C3347F">
      <w:pPr>
        <w:pStyle w:val="References"/>
      </w:pPr>
      <w:r w:rsidRPr="009E06AA">
        <w:t>IPCC. 2022. Shukla PR, Skea J, Slade R, Al Khourdajie A, van Diemen R, McCollum D, Pathak M, Some S, Vyas P, Fradera R, Belkacemi M, Hasija A, Lisboa G, Luz S, Malley J (eds.) Climate Change 2022: Mitigation of Climate Change. Contribution of Working Group III to the Sixth Assessment Report of the Intergovernmental Panel on Climate Change. Cambridge University Press.</w:t>
      </w:r>
    </w:p>
    <w:p w14:paraId="32480628" w14:textId="77777777" w:rsidR="00C3347F" w:rsidRPr="009E06AA" w:rsidRDefault="00C3347F" w:rsidP="00C3347F">
      <w:pPr>
        <w:pStyle w:val="References"/>
      </w:pPr>
      <w:r w:rsidRPr="009E06AA">
        <w:t xml:space="preserve">MBIE. 2023. </w:t>
      </w:r>
      <w:r w:rsidRPr="009E06AA">
        <w:rPr>
          <w:i/>
          <w:iCs/>
        </w:rPr>
        <w:t>Energy in New Zealand</w:t>
      </w:r>
      <w:r w:rsidRPr="009E06AA">
        <w:t xml:space="preserve"> 2023. Wellington: Ministry of Business, Innovation and Employment.</w:t>
      </w:r>
    </w:p>
    <w:p w14:paraId="1020F6CA" w14:textId="77777777" w:rsidR="00C3347F" w:rsidRPr="009E06AA" w:rsidRDefault="00C3347F" w:rsidP="00C3347F">
      <w:pPr>
        <w:pStyle w:val="References"/>
      </w:pPr>
      <w:r w:rsidRPr="009E06AA">
        <w:t xml:space="preserve">Paul TSH, Andersen C, Kimberley MO, Dash J, Beets PN. Unpublished(a). Carbon Stock Changes in New Zealand’s Pre-1990 Planted Forests Based on a Periodic Ground Inventory. Report prepared for the </w:t>
      </w:r>
      <w:r w:rsidRPr="009E06AA">
        <w:rPr>
          <w:spacing w:val="-2"/>
        </w:rPr>
        <w:t>Ministry for the Environment by the New Zealand Forest Research Institute Ltd (trading as Scion) in 2016.</w:t>
      </w:r>
    </w:p>
    <w:p w14:paraId="5BA85715" w14:textId="77777777" w:rsidR="00C3347F" w:rsidRPr="009E06AA" w:rsidRDefault="00C3347F" w:rsidP="00C3347F">
      <w:pPr>
        <w:pStyle w:val="References"/>
      </w:pPr>
      <w:r w:rsidRPr="009E06AA">
        <w:t>Paul TSH, Beets PN, Kimberley MO. Unpublished(b). Carbon Stocks in New Zealand’s Post-1989 Natural Forest – Analysis of the 2018/2019 forest inventory data. Report prepared for the Ministry for the Environment by the New Zealand Forest Research Institute Ltd (trading as Scion) in 2020.</w:t>
      </w:r>
    </w:p>
    <w:p w14:paraId="6421A734" w14:textId="77777777" w:rsidR="00C3347F" w:rsidRPr="009E06AA" w:rsidRDefault="00C3347F" w:rsidP="00C3347F">
      <w:pPr>
        <w:pStyle w:val="References"/>
      </w:pPr>
      <w:r w:rsidRPr="009E06AA">
        <w:t>Paul TSH, Kimberley MO, Beets PN. 2020. Natural Forests in New Zealand – a large terrestrial carbon pool in a national state of equilibrium. Manuscript submitted for publication.</w:t>
      </w:r>
    </w:p>
    <w:p w14:paraId="7A186947" w14:textId="77777777" w:rsidR="00C3347F" w:rsidRPr="009E06AA" w:rsidRDefault="00C3347F" w:rsidP="00C3347F">
      <w:pPr>
        <w:pStyle w:val="References"/>
      </w:pPr>
      <w:r w:rsidRPr="009E06AA">
        <w:t>Paul TSH, Kimberley MO, Dodunski C. Unpublished(c). The 2019 NFI Plot Analysis Yield Tables and Carbon Stocks at Measurement. Report prepared for the Ministry for the Environment by New Zealand Forest Research Institute Ltd (trading as Scion) in 2020.</w:t>
      </w:r>
    </w:p>
    <w:p w14:paraId="158BBE82" w14:textId="77777777" w:rsidR="00C3347F" w:rsidRPr="009E06AA" w:rsidRDefault="00C3347F" w:rsidP="00C3347F">
      <w:pPr>
        <w:pStyle w:val="References"/>
      </w:pPr>
      <w:r w:rsidRPr="009E06AA">
        <w:t>Paul TSH, Wakelin SJ. Unpublished. Yield Tables and Approach for Estimating Historic Carbon Stocks in Pre-1990 Planted Forests for Greenhouse Gas Inventory Reporting. Report prepared for the Ministry for the Environment by New Zealand Forest Research Institute Ltd (trading as Scion) in 2020.</w:t>
      </w:r>
    </w:p>
    <w:p w14:paraId="2D18427E" w14:textId="77777777" w:rsidR="00C3347F" w:rsidRPr="009E06AA" w:rsidRDefault="00C3347F" w:rsidP="00C3347F">
      <w:pPr>
        <w:pStyle w:val="References"/>
      </w:pPr>
      <w:r w:rsidRPr="009E06AA">
        <w:t xml:space="preserve">Stats NZ. 2007. </w:t>
      </w:r>
      <w:hyperlink r:id="rId29" w:history="1">
        <w:r w:rsidRPr="009E06AA">
          <w:rPr>
            <w:rStyle w:val="Hyperlink"/>
            <w:i/>
            <w:iCs/>
          </w:rPr>
          <w:t>Principles and Protocols for Producers of Tier 1 Statistics</w:t>
        </w:r>
      </w:hyperlink>
      <w:r w:rsidRPr="009E06AA">
        <w:rPr>
          <w:i/>
          <w:iCs/>
        </w:rPr>
        <w:t>.</w:t>
      </w:r>
      <w:r w:rsidRPr="009E06AA">
        <w:t xml:space="preserve"> Wellington: Statistics New Zealand. Retrieved 24 March 2023.</w:t>
      </w:r>
    </w:p>
    <w:p w14:paraId="16BB9745" w14:textId="77777777" w:rsidR="00C3347F" w:rsidRPr="009E06AA" w:rsidRDefault="00C3347F" w:rsidP="00C3347F">
      <w:pPr>
        <w:pStyle w:val="References"/>
      </w:pPr>
      <w:r w:rsidRPr="009E06AA">
        <w:t xml:space="preserve">UNFCCC. 1992. </w:t>
      </w:r>
      <w:hyperlink r:id="rId30" w:history="1">
        <w:r w:rsidRPr="009E06AA">
          <w:rPr>
            <w:rStyle w:val="Hyperlink"/>
          </w:rPr>
          <w:t xml:space="preserve">FCCC/INFORMAL/84 </w:t>
        </w:r>
        <w:r w:rsidRPr="009E06AA">
          <w:rPr>
            <w:rStyle w:val="Hyperlink"/>
            <w:i/>
            <w:iCs/>
          </w:rPr>
          <w:t>United Nations Framework Convention on Climate Change</w:t>
        </w:r>
      </w:hyperlink>
      <w:r w:rsidRPr="009E06AA">
        <w:t>. Retrieved 24 March 2023.</w:t>
      </w:r>
    </w:p>
    <w:p w14:paraId="35A6EE16" w14:textId="3979E1BC" w:rsidR="00C3347F" w:rsidRPr="009E06AA" w:rsidRDefault="00C3347F" w:rsidP="00C3347F">
      <w:pPr>
        <w:pStyle w:val="References"/>
      </w:pPr>
      <w:r w:rsidRPr="009E06AA">
        <w:t xml:space="preserve">UNFCCC. 2017. FCCC/ARR/2017/NZL. </w:t>
      </w:r>
      <w:r w:rsidRPr="009E06AA">
        <w:rPr>
          <w:i/>
          <w:iCs/>
        </w:rPr>
        <w:t>Report on the Individual Review of the Annual Submission of New</w:t>
      </w:r>
      <w:r w:rsidR="00BB1BE4" w:rsidRPr="009E06AA">
        <w:rPr>
          <w:i/>
          <w:iCs/>
        </w:rPr>
        <w:t> </w:t>
      </w:r>
      <w:r w:rsidRPr="009E06AA">
        <w:rPr>
          <w:i/>
          <w:iCs/>
        </w:rPr>
        <w:t>Zealand Submitted in 2017.</w:t>
      </w:r>
      <w:r w:rsidRPr="009E06AA">
        <w:t xml:space="preserve"> Centralised Review.</w:t>
      </w:r>
    </w:p>
    <w:p w14:paraId="6008886C" w14:textId="28ABDE10" w:rsidR="00C3347F" w:rsidRPr="009E06AA" w:rsidRDefault="00C3347F" w:rsidP="00C3347F">
      <w:pPr>
        <w:pStyle w:val="References"/>
        <w:rPr>
          <w:i/>
          <w:iCs/>
        </w:rPr>
      </w:pPr>
      <w:r w:rsidRPr="009E06AA">
        <w:t xml:space="preserve">UNFCCC. 2018a. FCCC/CP/2018/10/Add.1. </w:t>
      </w:r>
      <w:r w:rsidRPr="009E06AA">
        <w:rPr>
          <w:i/>
        </w:rPr>
        <w:t>Decision 1/CP.24 Preparations for the implementation of the</w:t>
      </w:r>
      <w:r w:rsidR="00BB1BE4" w:rsidRPr="009E06AA">
        <w:rPr>
          <w:i/>
        </w:rPr>
        <w:t> </w:t>
      </w:r>
      <w:r w:rsidRPr="009E06AA">
        <w:rPr>
          <w:i/>
        </w:rPr>
        <w:t>Paris Agreement and the first session of the Conference of the Parties serving as the meeting of the Parties to the Paris Agreement</w:t>
      </w:r>
      <w:r w:rsidRPr="009E06AA">
        <w:rPr>
          <w:i/>
          <w:iCs/>
        </w:rPr>
        <w:t>.</w:t>
      </w:r>
    </w:p>
    <w:p w14:paraId="42668D8C" w14:textId="77777777" w:rsidR="00C3347F" w:rsidRPr="009E06AA" w:rsidRDefault="00C3347F" w:rsidP="00C3347F">
      <w:pPr>
        <w:pStyle w:val="References"/>
      </w:pPr>
      <w:r w:rsidRPr="009E06AA">
        <w:t xml:space="preserve">UNFCCC. 2018b. FCCC/PA/CMA/2018/3/Add.2. </w:t>
      </w:r>
      <w:r w:rsidRPr="009E06AA">
        <w:rPr>
          <w:i/>
        </w:rPr>
        <w:t>Report of the Conference of the Parties serving as the meeting of the Parties to the Paris Agreement on the third part of its first session, held in Katowice from 2 to 15 December 2018. Addendum 2. Part two: Action taken by the Conference of the Parties serving as the meeting of the Parties to the Paris Agreement</w:t>
      </w:r>
      <w:r w:rsidRPr="009E06AA">
        <w:t>.</w:t>
      </w:r>
    </w:p>
    <w:p w14:paraId="7351066D" w14:textId="77777777" w:rsidR="00C3347F" w:rsidRPr="009E06AA" w:rsidRDefault="00C3347F" w:rsidP="00C3347F">
      <w:pPr>
        <w:pStyle w:val="References"/>
      </w:pPr>
      <w:r w:rsidRPr="009E06AA">
        <w:t xml:space="preserve">UNFCCC. 2021. CCC/PA/CMA/2021/10/Add.2. </w:t>
      </w:r>
      <w:r w:rsidRPr="009E06AA">
        <w:rPr>
          <w:i/>
        </w:rPr>
        <w:t>Report of the Conference of the Parties serving as the meeting of the Parties to the Paris Agreement on its third session, held in Glasgow from 31 October to 13 November 2021. Addendum Part Two: Action taken by the Conference of the Parties serving as the meeting of the Parties to the Paris Agreement at its third session</w:t>
      </w:r>
      <w:r w:rsidRPr="009E06AA">
        <w:t>.</w:t>
      </w:r>
    </w:p>
    <w:p w14:paraId="06708A3F" w14:textId="77777777" w:rsidR="00C3347F" w:rsidRPr="009E06AA" w:rsidRDefault="00C3347F" w:rsidP="00C3347F">
      <w:pPr>
        <w:pStyle w:val="References"/>
      </w:pPr>
      <w:r w:rsidRPr="009E06AA">
        <w:t xml:space="preserve">United Nations. 1945. </w:t>
      </w:r>
      <w:hyperlink r:id="rId31" w:history="1">
        <w:r w:rsidRPr="009E06AA">
          <w:rPr>
            <w:rStyle w:val="Hyperlink"/>
            <w:i/>
            <w:iCs/>
          </w:rPr>
          <w:t>Charter of the United Nations, 1945</w:t>
        </w:r>
      </w:hyperlink>
      <w:r w:rsidRPr="009E06AA">
        <w:rPr>
          <w:i/>
          <w:iCs/>
        </w:rPr>
        <w:t>.</w:t>
      </w:r>
      <w:r w:rsidRPr="009E06AA">
        <w:t xml:space="preserve"> Retrieved 30 March 2023.</w:t>
      </w:r>
    </w:p>
    <w:p w14:paraId="26745619" w14:textId="77777777" w:rsidR="00C3347F" w:rsidRPr="009E06AA" w:rsidRDefault="00C3347F" w:rsidP="00C3347F">
      <w:pPr>
        <w:pStyle w:val="References"/>
        <w:rPr>
          <w:b/>
          <w:bCs/>
        </w:rPr>
      </w:pPr>
      <w:r w:rsidRPr="009E06AA">
        <w:t xml:space="preserve">van der Weerden A, de Klein C, Kelliher F, Rollo M. 2014. </w:t>
      </w:r>
      <w:r w:rsidRPr="009E06AA">
        <w:rPr>
          <w:i/>
        </w:rPr>
        <w:t>Reporting to 2006 IPCC Guidelines for N</w:t>
      </w:r>
      <w:r w:rsidRPr="009E06AA">
        <w:rPr>
          <w:i/>
          <w:vertAlign w:val="subscript"/>
        </w:rPr>
        <w:t>2</w:t>
      </w:r>
      <w:r w:rsidRPr="009E06AA">
        <w:rPr>
          <w:i/>
        </w:rPr>
        <w:t>O Emissions from Additional Sources of Organic N: Final Report</w:t>
      </w:r>
      <w:r w:rsidRPr="009E06AA">
        <w:t>. MPI Technical Report. Wellington: Ministry for Primary Industries.</w:t>
      </w:r>
    </w:p>
    <w:p w14:paraId="5817D44C" w14:textId="77777777" w:rsidR="00C3347F" w:rsidRPr="009E06AA" w:rsidRDefault="00C3347F" w:rsidP="00C3347F">
      <w:pPr>
        <w:pStyle w:val="References"/>
      </w:pPr>
      <w:r w:rsidRPr="009E06AA">
        <w:t>Verum Group Ltd. Unpublished. Hennessy W. Inventory of HFC, SF</w:t>
      </w:r>
      <w:r w:rsidRPr="009E06AA">
        <w:rPr>
          <w:vertAlign w:val="subscript"/>
        </w:rPr>
        <w:t>6</w:t>
      </w:r>
      <w:r w:rsidRPr="009E06AA">
        <w:t xml:space="preserve"> and Other Industrial Process Emissions for New Zealand 2021. Report prepared by Verum Group Ltd for the Ministry for the Environment in 2022.</w:t>
      </w:r>
      <w:bookmarkEnd w:id="75"/>
      <w:bookmarkEnd w:id="171"/>
    </w:p>
    <w:p w14:paraId="0DAE9757" w14:textId="77777777" w:rsidR="00E179A3" w:rsidRPr="009E06AA" w:rsidRDefault="00E179A3" w:rsidP="00E179A3"/>
    <w:p w14:paraId="15D86E59" w14:textId="77777777" w:rsidR="006F5D1B" w:rsidRPr="009E06AA" w:rsidRDefault="006F5D1B" w:rsidP="006F5D1B"/>
    <w:p w14:paraId="09B43746" w14:textId="77777777" w:rsidR="004A580A" w:rsidRPr="009E06AA" w:rsidRDefault="004A580A" w:rsidP="006F5D1B">
      <w:pPr>
        <w:sectPr w:rsidR="004A580A" w:rsidRPr="009E06AA" w:rsidSect="00F66BF9">
          <w:headerReference w:type="even" r:id="rId32"/>
          <w:headerReference w:type="default" r:id="rId33"/>
          <w:footerReference w:type="even" r:id="rId34"/>
          <w:footerReference w:type="default" r:id="rId35"/>
          <w:pgSz w:w="11907" w:h="16840" w:code="9"/>
          <w:pgMar w:top="1418" w:right="1701" w:bottom="1418" w:left="1701" w:header="567" w:footer="567" w:gutter="0"/>
          <w:pgNumType w:start="1"/>
          <w:cols w:space="720"/>
        </w:sectPr>
      </w:pPr>
    </w:p>
    <w:p w14:paraId="08649B3E" w14:textId="77777777" w:rsidR="00BF5487" w:rsidRPr="009E06AA" w:rsidRDefault="00BF5487" w:rsidP="00BF5487">
      <w:pPr>
        <w:pStyle w:val="Heading1"/>
      </w:pPr>
      <w:bookmarkStart w:id="173" w:name="_Toc131591214"/>
      <w:bookmarkStart w:id="174" w:name="_Toc161932291"/>
      <w:bookmarkStart w:id="175" w:name="_Toc161994387"/>
      <w:bookmarkStart w:id="176" w:name="_Toc164154169"/>
      <w:bookmarkStart w:id="177" w:name="Xec3344db9503a366b168ee3282f9167df82bc3a"/>
      <w:r w:rsidRPr="009E06AA">
        <w:t>Chapter 2: Trends in greenhouse gas emissions</w:t>
      </w:r>
      <w:bookmarkEnd w:id="173"/>
      <w:r w:rsidRPr="009E06AA">
        <w:t xml:space="preserve"> and removals</w:t>
      </w:r>
      <w:bookmarkEnd w:id="174"/>
      <w:bookmarkEnd w:id="175"/>
      <w:bookmarkEnd w:id="176"/>
    </w:p>
    <w:p w14:paraId="16A44044" w14:textId="77777777" w:rsidR="00BF5487" w:rsidRPr="009E06AA" w:rsidRDefault="00BF5487" w:rsidP="00BF5487">
      <w:pPr>
        <w:pStyle w:val="BodyText"/>
        <w:rPr>
          <w:spacing w:val="-2"/>
        </w:rPr>
      </w:pPr>
      <w:r w:rsidRPr="009E06AA">
        <w:rPr>
          <w:spacing w:val="-2"/>
        </w:rPr>
        <w:t>This chapter describes emission trends by sector and greenhouse gas (GHG). Emissions are presented for each of the major greenhouse gases as carbon dioxide equivalents (CO</w:t>
      </w:r>
      <w:r w:rsidRPr="009E06AA">
        <w:rPr>
          <w:spacing w:val="-2"/>
          <w:vertAlign w:val="subscript"/>
        </w:rPr>
        <w:t>2</w:t>
      </w:r>
      <w:r w:rsidRPr="009E06AA">
        <w:rPr>
          <w:spacing w:val="-2"/>
        </w:rPr>
        <w:t>-e) using the 100-year time horizon global warming potential values contained in the Intergovernmental Panel on Climate Change (IPCC) Fifth Assessment Report</w:t>
      </w:r>
      <w:r w:rsidRPr="009E06AA">
        <w:rPr>
          <w:i/>
          <w:iCs/>
          <w:spacing w:val="-2"/>
        </w:rPr>
        <w:t xml:space="preserve"> </w:t>
      </w:r>
      <w:r w:rsidRPr="009E06AA">
        <w:rPr>
          <w:spacing w:val="-2"/>
        </w:rPr>
        <w:t>(IPCC, 2013). Because greenhouse gases vary in their radiative activity, and in their atmospheric residence time, converting emissions into CO</w:t>
      </w:r>
      <w:r w:rsidRPr="009E06AA">
        <w:rPr>
          <w:spacing w:val="-2"/>
          <w:vertAlign w:val="subscript"/>
        </w:rPr>
        <w:t>2</w:t>
      </w:r>
      <w:r w:rsidRPr="009E06AA">
        <w:rPr>
          <w:spacing w:val="-2"/>
        </w:rPr>
        <w:t>-e allows the integrated effect of emissions of the various gases to be compared.</w:t>
      </w:r>
    </w:p>
    <w:p w14:paraId="364220A8" w14:textId="77777777" w:rsidR="00BF5487" w:rsidRPr="009E06AA" w:rsidRDefault="00BF5487" w:rsidP="00793763">
      <w:pPr>
        <w:pStyle w:val="Heading2"/>
      </w:pPr>
      <w:bookmarkStart w:id="178" w:name="_Toc161932292"/>
      <w:bookmarkStart w:id="179" w:name="_Toc161994388"/>
      <w:bookmarkStart w:id="180" w:name="_Toc164154170"/>
      <w:bookmarkStart w:id="181" w:name="X153256eac8e62f40526904cb0efe877f09101eb"/>
      <w:r w:rsidRPr="009E06AA">
        <w:t xml:space="preserve">2.1 </w:t>
      </w:r>
      <w:r w:rsidRPr="009E06AA">
        <w:tab/>
        <w:t>Description of emission and removal trends for aggregated GHG emissions and removals</w:t>
      </w:r>
      <w:bookmarkEnd w:id="178"/>
      <w:bookmarkEnd w:id="179"/>
      <w:bookmarkEnd w:id="180"/>
    </w:p>
    <w:p w14:paraId="21EBB077" w14:textId="77777777" w:rsidR="00BF5487" w:rsidRPr="009E06AA" w:rsidRDefault="00BF5487" w:rsidP="005E75EE">
      <w:pPr>
        <w:pStyle w:val="Heading4"/>
      </w:pPr>
      <w:r w:rsidRPr="009E06AA">
        <w:t>Gross emissions</w:t>
      </w:r>
    </w:p>
    <w:p w14:paraId="69DD7A21" w14:textId="77777777" w:rsidR="00BF5487" w:rsidRPr="009E06AA" w:rsidRDefault="00BF5487" w:rsidP="00BF5487">
      <w:pPr>
        <w:pStyle w:val="BodyText"/>
        <w:spacing w:before="100" w:after="100"/>
      </w:pPr>
      <w:r w:rsidRPr="009E06AA">
        <w:t>Gross emissions include those from the Energy, Industrial Processes and Product Use (IPPU), Agriculture and Waste sectors, and Tokelau, but do not include emissions and removals from the Land Use, Land-Use Change and Forestry (LULUCF) sector.</w:t>
      </w:r>
    </w:p>
    <w:p w14:paraId="70A326F7" w14:textId="77777777" w:rsidR="00BF5487" w:rsidRPr="009E06AA" w:rsidRDefault="00BF5487" w:rsidP="00BF2A76">
      <w:pPr>
        <w:pStyle w:val="Heading5"/>
      </w:pPr>
      <w:r w:rsidRPr="009E06AA">
        <w:t>1990–2022</w:t>
      </w:r>
    </w:p>
    <w:p w14:paraId="3E1ACFE9" w14:textId="77777777" w:rsidR="00BF5487" w:rsidRPr="009E06AA" w:rsidRDefault="00BF5487" w:rsidP="00BF5487">
      <w:pPr>
        <w:pStyle w:val="BodyText"/>
        <w:spacing w:before="100" w:after="100"/>
      </w:pPr>
      <w:r w:rsidRPr="009E06AA">
        <w:t>In 1990, New Zealand’s gross GHG emissions were 68,958.2 kilotonnes (kt) CO</w:t>
      </w:r>
      <w:r w:rsidRPr="009E06AA">
        <w:rPr>
          <w:vertAlign w:val="subscript"/>
        </w:rPr>
        <w:t>2</w:t>
      </w:r>
      <w:r w:rsidRPr="009E06AA">
        <w:t>-e. Between 1990 and 2022, GHG emissions increased by 13.7 per cent (9,437.2 kt CO</w:t>
      </w:r>
      <w:r w:rsidRPr="009E06AA">
        <w:rPr>
          <w:vertAlign w:val="subscript"/>
        </w:rPr>
        <w:t>2</w:t>
      </w:r>
      <w:r w:rsidRPr="009E06AA">
        <w:t>-e) to 78,395.4 kt CO</w:t>
      </w:r>
      <w:r w:rsidRPr="009E06AA">
        <w:rPr>
          <w:vertAlign w:val="subscript"/>
        </w:rPr>
        <w:t>2</w:t>
      </w:r>
      <w:r w:rsidRPr="009E06AA">
        <w:t>-e in 2022 (see figure 2.1.1). From 1990 to 2022, the average annual growth in gross emissions was 0.6 per cent.</w:t>
      </w:r>
    </w:p>
    <w:p w14:paraId="25A6F2FD" w14:textId="410D2B2B" w:rsidR="00BF5487" w:rsidRPr="009E06AA" w:rsidRDefault="00BF5487" w:rsidP="00BF5487">
      <w:pPr>
        <w:pStyle w:val="BodyText"/>
        <w:spacing w:before="100" w:after="100"/>
      </w:pPr>
      <w:r w:rsidRPr="009E06AA">
        <w:t xml:space="preserve">The emissions categories that contributed the most to this increase in gross emissions were: </w:t>
      </w:r>
      <w:r w:rsidRPr="009E06AA">
        <w:rPr>
          <w:i/>
          <w:iCs/>
        </w:rPr>
        <w:t>Enteric fermentation</w:t>
      </w:r>
      <w:r w:rsidRPr="009E06AA">
        <w:rPr>
          <w:rStyle w:val="FootnoteReference"/>
        </w:rPr>
        <w:footnoteReference w:id="18"/>
      </w:r>
      <w:r w:rsidRPr="009E06AA">
        <w:t xml:space="preserve"> from</w:t>
      </w:r>
      <w:r w:rsidRPr="009E06AA">
        <w:rPr>
          <w:i/>
          <w:iCs/>
        </w:rPr>
        <w:t xml:space="preserve"> Dairy cattle</w:t>
      </w:r>
      <w:r w:rsidRPr="009E06AA">
        <w:t xml:space="preserve">, </w:t>
      </w:r>
      <w:r w:rsidRPr="009E06AA">
        <w:rPr>
          <w:i/>
          <w:iCs/>
        </w:rPr>
        <w:t>Road transportation</w:t>
      </w:r>
      <w:r w:rsidRPr="009E06AA">
        <w:t xml:space="preserve">, </w:t>
      </w:r>
      <w:r w:rsidRPr="009E06AA">
        <w:rPr>
          <w:i/>
          <w:iCs/>
        </w:rPr>
        <w:t>Agricultural soils</w:t>
      </w:r>
      <w:r w:rsidRPr="009E06AA">
        <w:t xml:space="preserve">, </w:t>
      </w:r>
      <w:r w:rsidRPr="009E06AA">
        <w:rPr>
          <w:i/>
          <w:iCs/>
        </w:rPr>
        <w:t>Product uses as</w:t>
      </w:r>
      <w:r w:rsidR="00875E26" w:rsidRPr="009E06AA">
        <w:rPr>
          <w:i/>
          <w:iCs/>
        </w:rPr>
        <w:t> </w:t>
      </w:r>
      <w:r w:rsidRPr="009E06AA">
        <w:rPr>
          <w:i/>
          <w:iCs/>
        </w:rPr>
        <w:t>substitutes for ozone depleting substances (ODS)</w:t>
      </w:r>
      <w:r w:rsidRPr="009E06AA">
        <w:t xml:space="preserve"> and </w:t>
      </w:r>
      <w:r w:rsidRPr="009E06AA">
        <w:rPr>
          <w:i/>
          <w:iCs/>
        </w:rPr>
        <w:t>Manufacturing industries and construction</w:t>
      </w:r>
      <w:r w:rsidRPr="009E06AA">
        <w:t xml:space="preserve"> (particularly from the </w:t>
      </w:r>
      <w:r w:rsidRPr="009E06AA">
        <w:rPr>
          <w:i/>
          <w:iCs/>
        </w:rPr>
        <w:t>Chemicals</w:t>
      </w:r>
      <w:r w:rsidRPr="009E06AA">
        <w:t xml:space="preserve"> category).</w:t>
      </w:r>
    </w:p>
    <w:p w14:paraId="10C4A97B" w14:textId="77777777" w:rsidR="00BF5487" w:rsidRPr="009E06AA" w:rsidRDefault="00BF5487" w:rsidP="00BF2A76">
      <w:pPr>
        <w:pStyle w:val="Heading5"/>
      </w:pPr>
      <w:r w:rsidRPr="009E06AA">
        <w:t>2021–2022</w:t>
      </w:r>
    </w:p>
    <w:p w14:paraId="63A697CB" w14:textId="14CB22E5" w:rsidR="00BF5487" w:rsidRPr="009E06AA" w:rsidRDefault="00BF5487" w:rsidP="00BF5487">
      <w:pPr>
        <w:pStyle w:val="BodyText"/>
        <w:spacing w:before="100" w:after="100"/>
      </w:pPr>
      <w:r w:rsidRPr="009E06AA">
        <w:t>Between 2021 and 2022, New Zealand’s gross emissions decreased by 4.2 per cent (3,413.6</w:t>
      </w:r>
      <w:r w:rsidR="00F4561B" w:rsidRPr="009E06AA">
        <w:t> </w:t>
      </w:r>
      <w:r w:rsidRPr="009E06AA">
        <w:t>kt CO</w:t>
      </w:r>
      <w:r w:rsidRPr="009E06AA">
        <w:rPr>
          <w:vertAlign w:val="subscript"/>
        </w:rPr>
        <w:t>2</w:t>
      </w:r>
      <w:r w:rsidRPr="009E06AA">
        <w:t>-e). The main cause was a decrease in emissions from the Energy sector of 8.1 per cent (2,515.6 kt CO</w:t>
      </w:r>
      <w:r w:rsidRPr="009E06AA">
        <w:rPr>
          <w:vertAlign w:val="subscript"/>
        </w:rPr>
        <w:t>2</w:t>
      </w:r>
      <w:r w:rsidRPr="009E06AA">
        <w:t xml:space="preserve">-e) due to a decrease in </w:t>
      </w:r>
      <w:r w:rsidR="00F35341" w:rsidRPr="009E06AA">
        <w:rPr>
          <w:i/>
          <w:iCs/>
        </w:rPr>
        <w:t>P</w:t>
      </w:r>
      <w:r w:rsidRPr="009E06AA">
        <w:rPr>
          <w:i/>
          <w:iCs/>
        </w:rPr>
        <w:t>ublic electricity and heat production</w:t>
      </w:r>
      <w:r w:rsidRPr="009E06AA">
        <w:t xml:space="preserve"> and reduced </w:t>
      </w:r>
      <w:r w:rsidR="007D3D7A" w:rsidRPr="009E06AA">
        <w:rPr>
          <w:i/>
          <w:iCs/>
        </w:rPr>
        <w:t>P</w:t>
      </w:r>
      <w:r w:rsidRPr="009E06AA">
        <w:rPr>
          <w:i/>
          <w:iCs/>
        </w:rPr>
        <w:t>etroleum refining</w:t>
      </w:r>
      <w:r w:rsidRPr="009E06AA">
        <w:t xml:space="preserve"> emissions. The largest contributors to the overall decrease in emissions were from:</w:t>
      </w:r>
    </w:p>
    <w:p w14:paraId="091A24DC" w14:textId="77777777" w:rsidR="00BF5487" w:rsidRPr="009E06AA" w:rsidRDefault="00BF5487" w:rsidP="00BF5487">
      <w:pPr>
        <w:pStyle w:val="Bullet"/>
        <w:spacing w:after="100"/>
      </w:pPr>
      <w:r w:rsidRPr="009E06AA">
        <w:rPr>
          <w:i/>
          <w:iCs/>
        </w:rPr>
        <w:t>Public electricity and heat production</w:t>
      </w:r>
      <w:r w:rsidRPr="009E06AA">
        <w:t xml:space="preserve"> (carbon dioxide (CO</w:t>
      </w:r>
      <w:r w:rsidRPr="009E06AA">
        <w:rPr>
          <w:vertAlign w:val="subscript"/>
        </w:rPr>
        <w:t>2</w:t>
      </w:r>
      <w:r w:rsidRPr="009E06AA">
        <w:t>))</w:t>
      </w:r>
    </w:p>
    <w:p w14:paraId="4B04C4CB" w14:textId="77777777" w:rsidR="00BF5487" w:rsidRPr="009E06AA" w:rsidRDefault="00BF5487" w:rsidP="00BF5487">
      <w:pPr>
        <w:pStyle w:val="Bullet"/>
        <w:spacing w:after="100"/>
      </w:pPr>
      <w:r w:rsidRPr="009E06AA">
        <w:rPr>
          <w:i/>
          <w:iCs/>
        </w:rPr>
        <w:t>Petroleum refining</w:t>
      </w:r>
      <w:r w:rsidRPr="009E06AA">
        <w:t xml:space="preserve"> (CO</w:t>
      </w:r>
      <w:r w:rsidRPr="009E06AA">
        <w:rPr>
          <w:vertAlign w:val="subscript"/>
        </w:rPr>
        <w:t>2</w:t>
      </w:r>
      <w:r w:rsidRPr="009E06AA">
        <w:t>)</w:t>
      </w:r>
    </w:p>
    <w:p w14:paraId="10FE746B" w14:textId="77777777" w:rsidR="00BF5487" w:rsidRPr="009E06AA" w:rsidRDefault="00BF5487" w:rsidP="00BF5487">
      <w:pPr>
        <w:pStyle w:val="Bullet"/>
        <w:spacing w:after="100"/>
      </w:pPr>
      <w:r w:rsidRPr="009E06AA">
        <w:rPr>
          <w:i/>
          <w:iCs/>
        </w:rPr>
        <w:t>Agricultural soils</w:t>
      </w:r>
      <w:r w:rsidRPr="009E06AA">
        <w:t xml:space="preserve"> (nitrous oxide (N</w:t>
      </w:r>
      <w:r w:rsidRPr="009E06AA">
        <w:rPr>
          <w:vertAlign w:val="subscript"/>
        </w:rPr>
        <w:t>2</w:t>
      </w:r>
      <w:r w:rsidRPr="009E06AA">
        <w:t>O)).</w:t>
      </w:r>
    </w:p>
    <w:p w14:paraId="0CC4EA17" w14:textId="77777777" w:rsidR="00BF5487" w:rsidRPr="009E06AA" w:rsidRDefault="00BF5487" w:rsidP="00BF5487">
      <w:pPr>
        <w:pStyle w:val="BodyText"/>
        <w:spacing w:before="100"/>
      </w:pPr>
      <w:r w:rsidRPr="009E06AA">
        <w:t xml:space="preserve">The reductions in the </w:t>
      </w:r>
      <w:r w:rsidRPr="009E06AA">
        <w:rPr>
          <w:i/>
          <w:iCs/>
        </w:rPr>
        <w:t>Public electricity and heat production</w:t>
      </w:r>
      <w:r w:rsidRPr="009E06AA">
        <w:t xml:space="preserve"> category were due to the increased share of electricity generated from renewable energy sources over this period, which displaced gas and coal-fired electricity generation.</w:t>
      </w:r>
    </w:p>
    <w:p w14:paraId="79553730" w14:textId="77777777" w:rsidR="00BF5487" w:rsidRPr="009E06AA" w:rsidRDefault="00BF5487" w:rsidP="00FC6916">
      <w:pPr>
        <w:pStyle w:val="BodyText"/>
        <w:spacing w:before="100" w:after="100"/>
      </w:pPr>
      <w:r w:rsidRPr="009E06AA">
        <w:t xml:space="preserve">The reduction in </w:t>
      </w:r>
      <w:r w:rsidRPr="009E06AA">
        <w:rPr>
          <w:i/>
          <w:iCs/>
        </w:rPr>
        <w:t>Petroleum refining</w:t>
      </w:r>
      <w:r w:rsidRPr="009E06AA">
        <w:t xml:space="preserve"> emissions was due to the closure of New Zealand’s sole oil refinery in March 2022.</w:t>
      </w:r>
    </w:p>
    <w:p w14:paraId="55332D8A" w14:textId="77777777" w:rsidR="00BF5487" w:rsidRPr="009E06AA" w:rsidRDefault="00BF5487" w:rsidP="00FC6916">
      <w:pPr>
        <w:pStyle w:val="BodyText"/>
        <w:spacing w:before="100" w:after="100"/>
      </w:pPr>
      <w:r w:rsidRPr="009E06AA">
        <w:t xml:space="preserve">The reduction in emissions from </w:t>
      </w:r>
      <w:r w:rsidRPr="009E06AA">
        <w:rPr>
          <w:i/>
          <w:iCs/>
        </w:rPr>
        <w:t>Agricultural soils</w:t>
      </w:r>
      <w:r w:rsidRPr="009E06AA">
        <w:t xml:space="preserve"> was due to a reduction in nitrogen fertiliser use primarily as a result of rising costs.</w:t>
      </w:r>
    </w:p>
    <w:p w14:paraId="2766DFC6" w14:textId="77777777" w:rsidR="00BF5487" w:rsidRPr="009E06AA" w:rsidRDefault="00BF5487" w:rsidP="00FC6916">
      <w:pPr>
        <w:pStyle w:val="BodyText"/>
        <w:spacing w:before="100" w:after="100"/>
      </w:pPr>
      <w:r w:rsidRPr="009E06AA">
        <w:t>Emissions from the IPPU, Agriculture and Waste sectors decreased by 5.1 per cent, 1.4 per cent and 1.5 per cent respectively; while emissions from Tokelau increased 19.2 per cent. The increase in emissions from Tokelau was due largely to a greater reliance on diesel generators for electricity in 2022.</w:t>
      </w:r>
    </w:p>
    <w:p w14:paraId="30A38433" w14:textId="77777777" w:rsidR="00BF5487" w:rsidRPr="009E06AA" w:rsidRDefault="00BF5487" w:rsidP="00FC6916">
      <w:pPr>
        <w:pStyle w:val="BodyText"/>
        <w:spacing w:before="100" w:after="100"/>
        <w:rPr>
          <w:rFonts w:cs="Calibri"/>
        </w:rPr>
      </w:pPr>
      <w:r w:rsidRPr="009E06AA">
        <w:t xml:space="preserve">While some parts of the economy had rebounded from the impacts of the COVID-19 pandemic, others had not returned to pre-pandemic levels. </w:t>
      </w:r>
      <w:r w:rsidRPr="009E06AA">
        <w:rPr>
          <w:rFonts w:cs="Calibri"/>
        </w:rPr>
        <w:t>National energy consumption in 2022 was 6.5 per cent below the level seen in 2019.</w:t>
      </w:r>
    </w:p>
    <w:p w14:paraId="0C136721" w14:textId="77777777" w:rsidR="00BF5487" w:rsidRPr="009E06AA" w:rsidRDefault="00BF5487" w:rsidP="005E75EE">
      <w:pPr>
        <w:pStyle w:val="Heading4"/>
      </w:pPr>
      <w:r w:rsidRPr="009E06AA">
        <w:t>Net emissions</w:t>
      </w:r>
    </w:p>
    <w:p w14:paraId="5F682538" w14:textId="77777777" w:rsidR="00BF5487" w:rsidRPr="009E06AA" w:rsidRDefault="00BF5487" w:rsidP="00FC6916">
      <w:pPr>
        <w:pStyle w:val="BodyText"/>
        <w:spacing w:before="100" w:after="100"/>
      </w:pPr>
      <w:r w:rsidRPr="009E06AA">
        <w:t>Net emissions include gross emissions as defined above (i.e., from the Energy, IPPU, Agriculture and Waste sectors, including Tokelau) and net emissions from the LULUCF sector.</w:t>
      </w:r>
    </w:p>
    <w:p w14:paraId="3968B314" w14:textId="77777777" w:rsidR="00BF5487" w:rsidRPr="009E06AA" w:rsidRDefault="00BF5487" w:rsidP="00BF2A76">
      <w:pPr>
        <w:pStyle w:val="Heading5"/>
      </w:pPr>
      <w:r w:rsidRPr="009E06AA">
        <w:t>1990–2022</w:t>
      </w:r>
    </w:p>
    <w:p w14:paraId="00AAE906" w14:textId="103295CF" w:rsidR="00BF5487" w:rsidRPr="009E06AA" w:rsidRDefault="00BF5487" w:rsidP="00FC6916">
      <w:pPr>
        <w:pStyle w:val="BodyText"/>
        <w:spacing w:before="100" w:after="100"/>
      </w:pPr>
      <w:r w:rsidRPr="009E06AA">
        <w:t>In 1990, New Zealand’s net emissions were 44,633.6 kt CO</w:t>
      </w:r>
      <w:r w:rsidRPr="009E06AA">
        <w:rPr>
          <w:vertAlign w:val="subscript"/>
        </w:rPr>
        <w:t>2</w:t>
      </w:r>
      <w:r w:rsidRPr="009E06AA">
        <w:t>-e. Between 1990 and 2022, net</w:t>
      </w:r>
      <w:r w:rsidR="0036392B" w:rsidRPr="009E06AA">
        <w:t> </w:t>
      </w:r>
      <w:r w:rsidRPr="009E06AA">
        <w:t>GHG emissions increased by 32.5 per cent (14,523.0 kt CO</w:t>
      </w:r>
      <w:r w:rsidRPr="009E06AA">
        <w:rPr>
          <w:vertAlign w:val="subscript"/>
        </w:rPr>
        <w:t>2</w:t>
      </w:r>
      <w:r w:rsidRPr="009E06AA">
        <w:t>-e) to 59,156.6 kt CO</w:t>
      </w:r>
      <w:r w:rsidRPr="009E06AA">
        <w:rPr>
          <w:vertAlign w:val="subscript"/>
        </w:rPr>
        <w:t>2</w:t>
      </w:r>
      <w:r w:rsidRPr="009E06AA">
        <w:t>-e (see</w:t>
      </w:r>
      <w:r w:rsidR="0036392B" w:rsidRPr="009E06AA">
        <w:t> </w:t>
      </w:r>
      <w:r w:rsidRPr="009E06AA">
        <w:t>figure 2.1.1).</w:t>
      </w:r>
    </w:p>
    <w:p w14:paraId="37BA4E17" w14:textId="7A49FB05" w:rsidR="00BF5487" w:rsidRPr="009E06AA" w:rsidRDefault="00BF5487" w:rsidP="00FC6916">
      <w:pPr>
        <w:pStyle w:val="BodyText"/>
        <w:spacing w:before="100" w:after="100"/>
      </w:pPr>
      <w:r w:rsidRPr="009E06AA">
        <w:t xml:space="preserve">The four categories that contributed the most to the increase in net emissions between 1990 and 2022 were: </w:t>
      </w:r>
      <w:r w:rsidRPr="009E06AA">
        <w:rPr>
          <w:i/>
          <w:iCs/>
        </w:rPr>
        <w:t>Land converted to forest land</w:t>
      </w:r>
      <w:r w:rsidRPr="009E06AA">
        <w:t xml:space="preserve">, </w:t>
      </w:r>
      <w:r w:rsidRPr="009E06AA">
        <w:rPr>
          <w:i/>
          <w:iCs/>
        </w:rPr>
        <w:t xml:space="preserve">Enteric fermentation </w:t>
      </w:r>
      <w:r w:rsidRPr="009E06AA">
        <w:t>from</w:t>
      </w:r>
      <w:r w:rsidRPr="009E06AA">
        <w:rPr>
          <w:i/>
          <w:iCs/>
        </w:rPr>
        <w:t xml:space="preserve"> </w:t>
      </w:r>
      <w:r w:rsidR="0030160B" w:rsidRPr="009E06AA">
        <w:rPr>
          <w:i/>
          <w:iCs/>
        </w:rPr>
        <w:t>D</w:t>
      </w:r>
      <w:r w:rsidRPr="009E06AA">
        <w:rPr>
          <w:i/>
          <w:iCs/>
        </w:rPr>
        <w:t>airy cattle</w:t>
      </w:r>
      <w:r w:rsidRPr="009E06AA">
        <w:t xml:space="preserve">, </w:t>
      </w:r>
      <w:r w:rsidRPr="009E06AA">
        <w:rPr>
          <w:i/>
          <w:iCs/>
        </w:rPr>
        <w:t>Road transportation</w:t>
      </w:r>
      <w:r w:rsidRPr="009E06AA">
        <w:t xml:space="preserve"> and </w:t>
      </w:r>
      <w:r w:rsidRPr="009E06AA">
        <w:rPr>
          <w:i/>
          <w:iCs/>
        </w:rPr>
        <w:t>Land converted to grassland</w:t>
      </w:r>
      <w:r w:rsidRPr="009E06AA">
        <w:t>.</w:t>
      </w:r>
    </w:p>
    <w:p w14:paraId="0152AA11" w14:textId="3DB599A5" w:rsidR="00BF5487" w:rsidRPr="009E06AA" w:rsidRDefault="00BF5487" w:rsidP="00BF5487">
      <w:pPr>
        <w:pStyle w:val="Figure"/>
      </w:pPr>
      <w:bookmarkStart w:id="182" w:name="_Toc161932244"/>
      <w:bookmarkStart w:id="183" w:name="_Toc164153989"/>
      <w:r w:rsidRPr="009E06AA">
        <w:rPr>
          <w:bCs/>
        </w:rPr>
        <w:t xml:space="preserve">Figure 2.1.1 </w:t>
      </w:r>
      <w:r w:rsidRPr="009E06AA">
        <w:rPr>
          <w:bCs/>
        </w:rPr>
        <w:tab/>
        <w:t>New Zealand’s gross and net emissions</w:t>
      </w:r>
      <w:r w:rsidR="00116008" w:rsidRPr="009E06AA">
        <w:rPr>
          <w:bCs/>
        </w:rPr>
        <w:t>,</w:t>
      </w:r>
      <w:r w:rsidRPr="009E06AA">
        <w:rPr>
          <w:bCs/>
        </w:rPr>
        <w:t xml:space="preserve"> from 1990 to 2022</w:t>
      </w:r>
      <w:bookmarkEnd w:id="182"/>
      <w:bookmarkEnd w:id="183"/>
    </w:p>
    <w:p w14:paraId="5B5307B8" w14:textId="77777777" w:rsidR="00BF5487" w:rsidRPr="009E06AA" w:rsidRDefault="00BF5487" w:rsidP="00BF5487">
      <w:pPr>
        <w:pStyle w:val="BodyText"/>
        <w:jc w:val="center"/>
      </w:pPr>
      <w:r w:rsidRPr="009E06AA">
        <w:rPr>
          <w:noProof/>
          <w:highlight w:val="cyan"/>
        </w:rPr>
        <w:drawing>
          <wp:inline distT="0" distB="0" distL="0" distR="0" wp14:anchorId="2C76D2AD" wp14:editId="657CF809">
            <wp:extent cx="5104263" cy="3664424"/>
            <wp:effectExtent l="0" t="0" r="1270" b="0"/>
            <wp:docPr id="30" name="Picture"/>
            <wp:cNvGraphicFramePr/>
            <a:graphic xmlns:a="http://schemas.openxmlformats.org/drawingml/2006/main">
              <a:graphicData uri="http://schemas.openxmlformats.org/drawingml/2006/picture">
                <pic:pic xmlns:pic="http://schemas.openxmlformats.org/drawingml/2006/picture">
                  <pic:nvPicPr>
                    <pic:cNvPr id="31" name="Picture" descr="code/graphs/images/es_2_1_crf.png"/>
                    <pic:cNvPicPr>
                      <a:picLocks noChangeAspect="1" noChangeArrowheads="1"/>
                    </pic:cNvPicPr>
                  </pic:nvPicPr>
                  <pic:blipFill rotWithShape="1">
                    <a:blip r:embed="rId20"/>
                    <a:srcRect b="2061"/>
                    <a:stretch/>
                  </pic:blipFill>
                  <pic:spPr bwMode="auto">
                    <a:xfrm>
                      <a:off x="0" y="0"/>
                      <a:ext cx="5115678" cy="3672619"/>
                    </a:xfrm>
                    <a:prstGeom prst="rect">
                      <a:avLst/>
                    </a:prstGeom>
                    <a:noFill/>
                    <a:ln>
                      <a:noFill/>
                    </a:ln>
                    <a:extLst>
                      <a:ext uri="{53640926-AAD7-44D8-BBD7-CCE9431645EC}">
                        <a14:shadowObscured xmlns:a14="http://schemas.microsoft.com/office/drawing/2010/main"/>
                      </a:ext>
                    </a:extLst>
                  </pic:spPr>
                </pic:pic>
              </a:graphicData>
            </a:graphic>
          </wp:inline>
        </w:drawing>
      </w:r>
    </w:p>
    <w:p w14:paraId="1B5C0ADE" w14:textId="77777777" w:rsidR="00BF5487" w:rsidRPr="009E06AA" w:rsidRDefault="00BF5487" w:rsidP="00BF2A76">
      <w:pPr>
        <w:pStyle w:val="Heading5"/>
      </w:pPr>
      <w:r w:rsidRPr="009E06AA">
        <w:t>2021–2022</w:t>
      </w:r>
    </w:p>
    <w:p w14:paraId="3519B09B" w14:textId="37DEE476" w:rsidR="00BF5487" w:rsidRPr="009E06AA" w:rsidRDefault="00BF5487" w:rsidP="00FC6916">
      <w:pPr>
        <w:pStyle w:val="BodyText"/>
      </w:pPr>
      <w:bookmarkStart w:id="184" w:name="X4f36d8e6a681b035dde335364a80e947df783c1"/>
      <w:bookmarkEnd w:id="181"/>
      <w:r w:rsidRPr="009E06AA">
        <w:rPr>
          <w:spacing w:val="-2"/>
        </w:rPr>
        <w:t>Between 2021 and 2022, New Zealand’s net emissions decreased by 4 per cent (2,147 kt CO</w:t>
      </w:r>
      <w:r w:rsidRPr="009E06AA">
        <w:rPr>
          <w:spacing w:val="-2"/>
          <w:vertAlign w:val="subscript"/>
        </w:rPr>
        <w:t>2</w:t>
      </w:r>
      <w:r w:rsidRPr="009E06AA">
        <w:rPr>
          <w:spacing w:val="-2"/>
        </w:rPr>
        <w:t>-e)</w:t>
      </w:r>
      <w:r w:rsidRPr="009E06AA">
        <w:t>,</w:t>
      </w:r>
      <w:r w:rsidRPr="009E06AA">
        <w:rPr>
          <w:rFonts w:cs="Calibri"/>
          <w:color w:val="000000"/>
          <w:sz w:val="20"/>
          <w:szCs w:val="20"/>
          <w:shd w:val="clear" w:color="auto" w:fill="FFFFFF"/>
        </w:rPr>
        <w:t xml:space="preserve"> </w:t>
      </w:r>
      <w:r w:rsidRPr="009E06AA">
        <w:t>due to the overall decrease in gross emissions. The reduction was offset by an increase in net emissions of 6 per cent (1,267 kt CO</w:t>
      </w:r>
      <w:r w:rsidRPr="009E06AA">
        <w:rPr>
          <w:vertAlign w:val="subscript"/>
        </w:rPr>
        <w:t>2</w:t>
      </w:r>
      <w:r w:rsidRPr="009E06AA">
        <w:t xml:space="preserve">-e) by the LULUCF sector. This was mainly driven by an increase in net emissions from </w:t>
      </w:r>
      <w:r w:rsidRPr="009E06AA">
        <w:rPr>
          <w:i/>
        </w:rPr>
        <w:t>Harvested wood products</w:t>
      </w:r>
      <w:r w:rsidRPr="009E06AA">
        <w:rPr>
          <w:rStyle w:val="FootnoteReference"/>
        </w:rPr>
        <w:footnoteReference w:id="19"/>
      </w:r>
      <w:r w:rsidRPr="009E06AA">
        <w:t xml:space="preserve"> due to increasing emissions from decaying wood products and a small reduction in harvesting volumes between 2021 and 2022. This means that the delayed emissions from historic</w:t>
      </w:r>
      <w:r w:rsidR="00C56747" w:rsidRPr="009E06AA">
        <w:t>al</w:t>
      </w:r>
      <w:r w:rsidRPr="009E06AA">
        <w:t xml:space="preserve"> harvesting were offset to a lesser extent </w:t>
      </w:r>
      <w:r w:rsidRPr="009E06AA">
        <w:rPr>
          <w:spacing w:val="-2"/>
        </w:rPr>
        <w:t xml:space="preserve">by inputs into the harvested wood products pool. Net emissions from </w:t>
      </w:r>
      <w:r w:rsidRPr="009E06AA">
        <w:rPr>
          <w:i/>
          <w:iCs/>
          <w:spacing w:val="-2"/>
        </w:rPr>
        <w:t xml:space="preserve">Forest land </w:t>
      </w:r>
      <w:r w:rsidRPr="009E06AA">
        <w:rPr>
          <w:spacing w:val="-2"/>
        </w:rPr>
        <w:t>and</w:t>
      </w:r>
      <w:r w:rsidRPr="009E06AA">
        <w:rPr>
          <w:i/>
          <w:iCs/>
          <w:spacing w:val="-2"/>
        </w:rPr>
        <w:t xml:space="preserve"> Grassland</w:t>
      </w:r>
      <w:r w:rsidRPr="009E06AA">
        <w:rPr>
          <w:i/>
          <w:iCs/>
        </w:rPr>
        <w:t xml:space="preserve"> </w:t>
      </w:r>
      <w:r w:rsidRPr="009E06AA">
        <w:t xml:space="preserve">decreased between 2021 and 2022 but were not sufficient to offset the increase in emissions from </w:t>
      </w:r>
      <w:r w:rsidR="00F1153C" w:rsidRPr="009E06AA">
        <w:rPr>
          <w:i/>
          <w:iCs/>
        </w:rPr>
        <w:t>H</w:t>
      </w:r>
      <w:r w:rsidRPr="009E06AA">
        <w:rPr>
          <w:i/>
          <w:iCs/>
        </w:rPr>
        <w:t>arvested wood products</w:t>
      </w:r>
      <w:r w:rsidRPr="009E06AA">
        <w:t xml:space="preserve">. This is because </w:t>
      </w:r>
      <w:r w:rsidRPr="009E06AA">
        <w:rPr>
          <w:i/>
          <w:iCs/>
        </w:rPr>
        <w:t xml:space="preserve">Forest land </w:t>
      </w:r>
      <w:r w:rsidRPr="009E06AA">
        <w:t>emissions were affected by high afforestation rates in 2022 (afforestation generally causes an increase in net emissions in the year of planting due to losses in soil carbon and biomass from the land-use change).</w:t>
      </w:r>
    </w:p>
    <w:p w14:paraId="3598E880" w14:textId="77777777" w:rsidR="00BF5487" w:rsidRPr="009E06AA" w:rsidRDefault="00BF5487" w:rsidP="00793763">
      <w:pPr>
        <w:pStyle w:val="Heading2"/>
      </w:pPr>
      <w:bookmarkStart w:id="185" w:name="_Toc161932293"/>
      <w:bookmarkStart w:id="186" w:name="_Toc161994389"/>
      <w:bookmarkStart w:id="187" w:name="_Toc164154171"/>
      <w:r w:rsidRPr="009E06AA">
        <w:t xml:space="preserve">2.2 </w:t>
      </w:r>
      <w:r w:rsidRPr="009E06AA">
        <w:tab/>
        <w:t>Description of emission and removal trends by sector and by gas</w:t>
      </w:r>
      <w:bookmarkEnd w:id="185"/>
      <w:bookmarkEnd w:id="186"/>
      <w:bookmarkEnd w:id="187"/>
    </w:p>
    <w:p w14:paraId="461C4733" w14:textId="77777777" w:rsidR="00BF5487" w:rsidRPr="009E06AA" w:rsidRDefault="00BF5487" w:rsidP="00BF5487">
      <w:pPr>
        <w:pStyle w:val="BodyText"/>
      </w:pPr>
      <w:r w:rsidRPr="009E06AA">
        <w:t>New Zealand reports emissions and removals for the Energy, IPPU, Agriculture, LULUCF and Waste sectors. Tokelau’s emissions are also reported separately by sector as ‘Other’. New Zealand reports emissions and removals of CO</w:t>
      </w:r>
      <w:r w:rsidRPr="009E06AA">
        <w:rPr>
          <w:vertAlign w:val="subscript"/>
        </w:rPr>
        <w:t>2</w:t>
      </w:r>
      <w:r w:rsidRPr="009E06AA">
        <w:t>, methane (CH</w:t>
      </w:r>
      <w:r w:rsidRPr="009E06AA">
        <w:rPr>
          <w:vertAlign w:val="subscript"/>
        </w:rPr>
        <w:t>4</w:t>
      </w:r>
      <w:r w:rsidRPr="009E06AA">
        <w:t>), N</w:t>
      </w:r>
      <w:r w:rsidRPr="009E06AA">
        <w:rPr>
          <w:vertAlign w:val="subscript"/>
        </w:rPr>
        <w:t>2</w:t>
      </w:r>
      <w:r w:rsidRPr="009E06AA">
        <w:t>O, hydrofluorocarbons (HFCs), perfluorocarbons (PFCs), sulphur hexafluoride (SF</w:t>
      </w:r>
      <w:r w:rsidRPr="009E06AA">
        <w:rPr>
          <w:vertAlign w:val="subscript"/>
        </w:rPr>
        <w:t>6</w:t>
      </w:r>
      <w:r w:rsidRPr="009E06AA">
        <w:t>) and nitrogen trifluoride (NF</w:t>
      </w:r>
      <w:r w:rsidRPr="009E06AA">
        <w:rPr>
          <w:vertAlign w:val="subscript"/>
        </w:rPr>
        <w:t>3</w:t>
      </w:r>
      <w:r w:rsidRPr="009E06AA">
        <w:t>).</w:t>
      </w:r>
    </w:p>
    <w:p w14:paraId="45E43B0E" w14:textId="4D9E239E" w:rsidR="00BF5487" w:rsidRPr="009E06AA" w:rsidRDefault="00BF5487" w:rsidP="00BF5487">
      <w:pPr>
        <w:pStyle w:val="Heading3"/>
      </w:pPr>
      <w:bookmarkStart w:id="188" w:name="_Toc161932294"/>
      <w:bookmarkStart w:id="189" w:name="_Toc161994390"/>
      <w:bookmarkStart w:id="190" w:name="X251fe81d9e56e3e689f861d0747cdf9552061cc"/>
      <w:r w:rsidRPr="009E06AA">
        <w:t xml:space="preserve">2.2.1 </w:t>
      </w:r>
      <w:r w:rsidR="00094891" w:rsidRPr="009E06AA">
        <w:tab/>
      </w:r>
      <w:r w:rsidRPr="009E06AA">
        <w:t xml:space="preserve">New Zealand’s emissions by sector and by gas in </w:t>
      </w:r>
      <w:r w:rsidRPr="009E06AA">
        <w:rPr>
          <w:bCs/>
        </w:rPr>
        <w:t>2022</w:t>
      </w:r>
      <w:bookmarkEnd w:id="188"/>
      <w:bookmarkEnd w:id="189"/>
    </w:p>
    <w:p w14:paraId="5FBA6585" w14:textId="318D565F" w:rsidR="00BF5487" w:rsidRPr="009E06AA" w:rsidRDefault="00BF5487" w:rsidP="00BF5487">
      <w:pPr>
        <w:pStyle w:val="BodyText"/>
      </w:pPr>
      <w:r w:rsidRPr="009E06AA">
        <w:t>New Zealand’s emissions by sector reflect the composition of the national economy. The Agriculture sector contributed 53.2 per cent of New Zealand’s gross emissions in 2022. New</w:t>
      </w:r>
      <w:r w:rsidR="00875E26" w:rsidRPr="009E06AA">
        <w:t> </w:t>
      </w:r>
      <w:r w:rsidRPr="009E06AA">
        <w:t>Zealand’s Energy sector contributed 36.6 per cent to the national gross emissions, while</w:t>
      </w:r>
      <w:r w:rsidR="00875E26" w:rsidRPr="009E06AA">
        <w:t> </w:t>
      </w:r>
      <w:r w:rsidRPr="009E06AA">
        <w:t>the IPPU and Waste sectors contributed 5.7 per cent and 4.5 per cent respectively (figure</w:t>
      </w:r>
      <w:r w:rsidR="00875E26" w:rsidRPr="009E06AA">
        <w:t> </w:t>
      </w:r>
      <w:r w:rsidRPr="009E06AA">
        <w:t>2.2.1). New Zealand’s ‘Other’ sector (Tokelau) contributed 0.006 per cent to the national gross</w:t>
      </w:r>
      <w:r w:rsidR="00875E26" w:rsidRPr="009E06AA">
        <w:t> </w:t>
      </w:r>
      <w:r w:rsidRPr="009E06AA">
        <w:t>emissions.</w:t>
      </w:r>
    </w:p>
    <w:p w14:paraId="0CD58C91" w14:textId="77777777" w:rsidR="00BF5487" w:rsidRPr="009E06AA" w:rsidRDefault="00BF5487" w:rsidP="00BF5487">
      <w:pPr>
        <w:pStyle w:val="BodyText"/>
      </w:pPr>
      <w:r w:rsidRPr="009E06AA">
        <w:rPr>
          <w:spacing w:val="-2"/>
        </w:rPr>
        <w:t>The LULUCF sector currently represents a sink, with a net emissions value of -19,238.8 kt CO</w:t>
      </w:r>
      <w:r w:rsidRPr="009E06AA">
        <w:rPr>
          <w:spacing w:val="-2"/>
          <w:vertAlign w:val="subscript"/>
        </w:rPr>
        <w:t>2</w:t>
      </w:r>
      <w:r w:rsidRPr="009E06AA">
        <w:rPr>
          <w:spacing w:val="-2"/>
        </w:rPr>
        <w:t>-e</w:t>
      </w:r>
      <w:r w:rsidRPr="009E06AA">
        <w:t>. This offset 24.5 per cent of New Zealand’s gross emissions in 2022.</w:t>
      </w:r>
    </w:p>
    <w:p w14:paraId="777E43B4" w14:textId="77777777" w:rsidR="00BF5487" w:rsidRPr="009E06AA" w:rsidRDefault="00BF5487" w:rsidP="00094891">
      <w:pPr>
        <w:pStyle w:val="Figure"/>
        <w:rPr>
          <w:bCs/>
        </w:rPr>
      </w:pPr>
      <w:bookmarkStart w:id="191" w:name="_Toc161932245"/>
      <w:bookmarkStart w:id="192" w:name="_Toc164153990"/>
      <w:r w:rsidRPr="009E06AA">
        <w:t xml:space="preserve">Figure 2.2.1 </w:t>
      </w:r>
      <w:r w:rsidRPr="009E06AA">
        <w:tab/>
        <w:t xml:space="preserve">New Zealand’s emissions by sector in </w:t>
      </w:r>
      <w:r w:rsidRPr="009E06AA">
        <w:rPr>
          <w:bCs/>
        </w:rPr>
        <w:t>2022</w:t>
      </w:r>
      <w:bookmarkEnd w:id="191"/>
      <w:bookmarkEnd w:id="192"/>
    </w:p>
    <w:p w14:paraId="41F856F6" w14:textId="3FBF1DC5" w:rsidR="00BF5487" w:rsidRPr="009E06AA" w:rsidRDefault="00CB7E27" w:rsidP="00BD0F60">
      <w:pPr>
        <w:pStyle w:val="BodyText"/>
        <w:spacing w:before="80"/>
        <w:jc w:val="center"/>
      </w:pPr>
      <w:r w:rsidRPr="009E06AA">
        <w:rPr>
          <w:noProof/>
        </w:rPr>
        <w:drawing>
          <wp:inline distT="0" distB="0" distL="0" distR="0" wp14:anchorId="05A04D88" wp14:editId="036D22F7">
            <wp:extent cx="5000542" cy="3490010"/>
            <wp:effectExtent l="0" t="0" r="0" b="0"/>
            <wp:docPr id="547789260" name="Picture 547789260" descr="A graph of energy consump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789260" name="Picture 547789260" descr="A graph of energy consumption&#10;&#10;Description automatically generated"/>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2315"/>
                    <a:stretch/>
                  </pic:blipFill>
                  <pic:spPr bwMode="auto">
                    <a:xfrm>
                      <a:off x="0" y="0"/>
                      <a:ext cx="5008193" cy="3495350"/>
                    </a:xfrm>
                    <a:prstGeom prst="rect">
                      <a:avLst/>
                    </a:prstGeom>
                    <a:noFill/>
                    <a:ln>
                      <a:noFill/>
                    </a:ln>
                    <a:extLst>
                      <a:ext uri="{53640926-AAD7-44D8-BBD7-CCE9431645EC}">
                        <a14:shadowObscured xmlns:a14="http://schemas.microsoft.com/office/drawing/2010/main"/>
                      </a:ext>
                    </a:extLst>
                  </pic:spPr>
                </pic:pic>
              </a:graphicData>
            </a:graphic>
          </wp:inline>
        </w:drawing>
      </w:r>
    </w:p>
    <w:p w14:paraId="6F2CFDE5" w14:textId="79BF42E0" w:rsidR="00BF5487" w:rsidRPr="009E06AA" w:rsidRDefault="00BF5487" w:rsidP="00185A24">
      <w:pPr>
        <w:pStyle w:val="Noteundertable"/>
        <w:spacing w:after="80"/>
      </w:pPr>
      <w:r w:rsidRPr="009E06AA">
        <w:rPr>
          <w:b/>
          <w:bCs/>
        </w:rPr>
        <w:t>Note:</w:t>
      </w:r>
      <w:r w:rsidRPr="009E06AA">
        <w:t xml:space="preserve"> </w:t>
      </w:r>
      <w:r w:rsidRPr="009E06AA">
        <w:tab/>
        <w:t>The percentages may not add up to 100 per cent due to rounding. The LULUCF sector, which is not a part of</w:t>
      </w:r>
      <w:r w:rsidR="00094891" w:rsidRPr="009E06AA">
        <w:t> </w:t>
      </w:r>
      <w:r w:rsidRPr="009E06AA">
        <w:t>gross emissions, is included here as a negative value. The Tokelau sector is not visible due to its small contribution (4.7 kt CO</w:t>
      </w:r>
      <w:r w:rsidRPr="009E06AA">
        <w:rPr>
          <w:vertAlign w:val="subscript"/>
        </w:rPr>
        <w:t>2</w:t>
      </w:r>
      <w:r w:rsidRPr="009E06AA">
        <w:t>-e or 0.006 per cent of New Zealand’s gross GHG emissions).</w:t>
      </w:r>
    </w:p>
    <w:p w14:paraId="2C1534ED" w14:textId="77777777" w:rsidR="00BF5487" w:rsidRPr="009E06AA" w:rsidRDefault="00BF5487" w:rsidP="00BF5487">
      <w:pPr>
        <w:pStyle w:val="BodyText"/>
      </w:pPr>
      <w:r w:rsidRPr="009E06AA">
        <w:t>Each of the sectors is dominated by one or two GHGs. Figure 2.2.2 shows New Zealand’s gross emissions by gas.</w:t>
      </w:r>
    </w:p>
    <w:p w14:paraId="449C2FF4" w14:textId="77777777" w:rsidR="00BF5487" w:rsidRPr="009E06AA" w:rsidRDefault="00BF5487" w:rsidP="00094891">
      <w:pPr>
        <w:pStyle w:val="Figure"/>
      </w:pPr>
      <w:bookmarkStart w:id="193" w:name="_Toc161932246"/>
      <w:bookmarkStart w:id="194" w:name="_Toc164153991"/>
      <w:r w:rsidRPr="009E06AA">
        <w:t xml:space="preserve">Figure 2.2.2 </w:t>
      </w:r>
      <w:r w:rsidRPr="009E06AA">
        <w:tab/>
        <w:t xml:space="preserve">New Zealand’s gross emissions by gas in </w:t>
      </w:r>
      <w:r w:rsidRPr="009E06AA">
        <w:rPr>
          <w:bCs/>
        </w:rPr>
        <w:t>2022</w:t>
      </w:r>
      <w:bookmarkEnd w:id="193"/>
      <w:bookmarkEnd w:id="194"/>
    </w:p>
    <w:p w14:paraId="36E884E6" w14:textId="77777777" w:rsidR="00BF5487" w:rsidRPr="009E06AA" w:rsidRDefault="00BF5487" w:rsidP="00BF5487">
      <w:pPr>
        <w:pStyle w:val="BodyText"/>
        <w:jc w:val="center"/>
      </w:pPr>
      <w:r w:rsidRPr="009E06AA">
        <w:rPr>
          <w:noProof/>
        </w:rPr>
        <w:drawing>
          <wp:inline distT="0" distB="0" distL="0" distR="0" wp14:anchorId="4AA4FC54" wp14:editId="3670F5FD">
            <wp:extent cx="4817660" cy="3348000"/>
            <wp:effectExtent l="0" t="0" r="2540" b="5080"/>
            <wp:docPr id="1325338735" name="Picture"/>
            <wp:cNvGraphicFramePr/>
            <a:graphic xmlns:a="http://schemas.openxmlformats.org/drawingml/2006/main">
              <a:graphicData uri="http://schemas.openxmlformats.org/drawingml/2006/picture">
                <pic:pic xmlns:pic="http://schemas.openxmlformats.org/drawingml/2006/picture">
                  <pic:nvPicPr>
                    <pic:cNvPr id="41" name="Picture" descr="code/graphs/images/es_3_1_crf.png"/>
                    <pic:cNvPicPr>
                      <a:picLocks noChangeAspect="1" noChangeArrowheads="1"/>
                    </pic:cNvPicPr>
                  </pic:nvPicPr>
                  <pic:blipFill rotWithShape="1">
                    <a:blip r:embed="rId37"/>
                    <a:srcRect t="1" b="1803"/>
                    <a:stretch/>
                  </pic:blipFill>
                  <pic:spPr bwMode="auto">
                    <a:xfrm>
                      <a:off x="0" y="0"/>
                      <a:ext cx="4817660" cy="3348000"/>
                    </a:xfrm>
                    <a:prstGeom prst="rect">
                      <a:avLst/>
                    </a:prstGeom>
                    <a:noFill/>
                    <a:ln>
                      <a:noFill/>
                    </a:ln>
                    <a:extLst>
                      <a:ext uri="{53640926-AAD7-44D8-BBD7-CCE9431645EC}">
                        <a14:shadowObscured xmlns:a14="http://schemas.microsoft.com/office/drawing/2010/main"/>
                      </a:ext>
                    </a:extLst>
                  </pic:spPr>
                </pic:pic>
              </a:graphicData>
            </a:graphic>
          </wp:inline>
        </w:drawing>
      </w:r>
    </w:p>
    <w:p w14:paraId="113F3C8E" w14:textId="77777777" w:rsidR="00BF5487" w:rsidRPr="009E06AA" w:rsidRDefault="00BF5487" w:rsidP="00BF5487">
      <w:pPr>
        <w:pStyle w:val="Noteundertable"/>
      </w:pPr>
      <w:r w:rsidRPr="009E06AA">
        <w:rPr>
          <w:b/>
          <w:bCs/>
        </w:rPr>
        <w:t>Note:</w:t>
      </w:r>
      <w:r w:rsidRPr="009E06AA">
        <w:t xml:space="preserve"> </w:t>
      </w:r>
      <w:r w:rsidRPr="009E06AA">
        <w:tab/>
        <w:t>The percentages may not add up to 100 per cent due to rounding.</w:t>
      </w:r>
    </w:p>
    <w:p w14:paraId="4202D4A0" w14:textId="2620A9ED" w:rsidR="00BF5487" w:rsidRPr="009E06AA" w:rsidRDefault="00BF5487" w:rsidP="00BF5487">
      <w:pPr>
        <w:pStyle w:val="BodyText"/>
      </w:pPr>
      <w:r w:rsidRPr="009E06AA">
        <w:t>Carbon dioxide contributes 40.3 per cent to New Zealand’s gross emissions (31,610.1 kt CO</w:t>
      </w:r>
      <w:r w:rsidRPr="009E06AA">
        <w:rPr>
          <w:vertAlign w:val="subscript"/>
        </w:rPr>
        <w:t>2</w:t>
      </w:r>
      <w:r w:rsidRPr="009E06AA">
        <w:t>) (figure 2.2.2). The Energy sector produces the largest amount of CO</w:t>
      </w:r>
      <w:r w:rsidRPr="009E06AA">
        <w:rPr>
          <w:vertAlign w:val="subscript"/>
        </w:rPr>
        <w:t>2</w:t>
      </w:r>
      <w:r w:rsidRPr="009E06AA">
        <w:t>, at 27,945.8 kt (88.4</w:t>
      </w:r>
      <w:r w:rsidR="00D20F98" w:rsidRPr="009E06AA">
        <w:t> </w:t>
      </w:r>
      <w:r w:rsidRPr="009E06AA">
        <w:t xml:space="preserve">per </w:t>
      </w:r>
      <w:r w:rsidRPr="009E06AA">
        <w:rPr>
          <w:spacing w:val="-2"/>
        </w:rPr>
        <w:t>cent) of New Zealand’s CO</w:t>
      </w:r>
      <w:r w:rsidRPr="009E06AA">
        <w:rPr>
          <w:spacing w:val="-2"/>
          <w:vertAlign w:val="subscript"/>
        </w:rPr>
        <w:t>2</w:t>
      </w:r>
      <w:r w:rsidRPr="009E06AA">
        <w:rPr>
          <w:spacing w:val="-2"/>
        </w:rPr>
        <w:t xml:space="preserve"> emissions in 2022. The categories contributing most to CO</w:t>
      </w:r>
      <w:r w:rsidRPr="009E06AA">
        <w:rPr>
          <w:spacing w:val="-2"/>
          <w:vertAlign w:val="subscript"/>
        </w:rPr>
        <w:t>2</w:t>
      </w:r>
      <w:r w:rsidRPr="009E06AA">
        <w:rPr>
          <w:spacing w:val="-2"/>
        </w:rPr>
        <w:t xml:space="preserve"> emissions</w:t>
      </w:r>
      <w:r w:rsidRPr="009E06AA">
        <w:t xml:space="preserve"> in the Energy sector were </w:t>
      </w:r>
      <w:r w:rsidRPr="009E06AA">
        <w:rPr>
          <w:i/>
          <w:iCs/>
        </w:rPr>
        <w:t>Transport</w:t>
      </w:r>
      <w:r w:rsidRPr="009E06AA">
        <w:t xml:space="preserve"> (13,575.1 kt CO</w:t>
      </w:r>
      <w:r w:rsidRPr="009E06AA">
        <w:rPr>
          <w:vertAlign w:val="subscript"/>
        </w:rPr>
        <w:t>2</w:t>
      </w:r>
      <w:r w:rsidRPr="009E06AA">
        <w:t xml:space="preserve"> or 42.9 per cent) and </w:t>
      </w:r>
      <w:r w:rsidRPr="009E06AA">
        <w:rPr>
          <w:i/>
          <w:iCs/>
        </w:rPr>
        <w:t>Manufacturing industries and construction</w:t>
      </w:r>
      <w:r w:rsidRPr="009E06AA">
        <w:t xml:space="preserve"> (6,019.3 kt CO</w:t>
      </w:r>
      <w:r w:rsidRPr="009E06AA">
        <w:rPr>
          <w:vertAlign w:val="subscript"/>
        </w:rPr>
        <w:t>2</w:t>
      </w:r>
      <w:r w:rsidRPr="009E06AA">
        <w:t xml:space="preserve"> or 19.0 per cent). In 2022, the LULUCF sector was a</w:t>
      </w:r>
      <w:r w:rsidR="00D67869" w:rsidRPr="009E06AA">
        <w:t> </w:t>
      </w:r>
      <w:r w:rsidRPr="009E06AA">
        <w:t>CO</w:t>
      </w:r>
      <w:r w:rsidRPr="009E06AA">
        <w:rPr>
          <w:vertAlign w:val="subscript"/>
        </w:rPr>
        <w:t>2</w:t>
      </w:r>
      <w:r w:rsidRPr="009E06AA">
        <w:t xml:space="preserve"> sink, sequestering -19,590.9 kt CO</w:t>
      </w:r>
      <w:r w:rsidRPr="009E06AA">
        <w:rPr>
          <w:vertAlign w:val="subscript"/>
        </w:rPr>
        <w:t>2</w:t>
      </w:r>
      <w:r w:rsidRPr="009E06AA">
        <w:t xml:space="preserve"> (62.0 per cent) of New Zealand’s CO</w:t>
      </w:r>
      <w:r w:rsidRPr="009E06AA">
        <w:rPr>
          <w:vertAlign w:val="subscript"/>
        </w:rPr>
        <w:t>2</w:t>
      </w:r>
      <w:r w:rsidRPr="009E06AA">
        <w:t xml:space="preserve"> emissions. This resulted in net CO</w:t>
      </w:r>
      <w:r w:rsidRPr="009E06AA">
        <w:rPr>
          <w:vertAlign w:val="subscript"/>
        </w:rPr>
        <w:t>2</w:t>
      </w:r>
      <w:r w:rsidRPr="009E06AA">
        <w:t xml:space="preserve"> emissions of 12,019.1 kt in 2022.</w:t>
      </w:r>
    </w:p>
    <w:p w14:paraId="01A3CB15" w14:textId="4A5C80FE" w:rsidR="00BF5487" w:rsidRPr="009E06AA" w:rsidRDefault="00BF5487" w:rsidP="00BF5487">
      <w:pPr>
        <w:pStyle w:val="BodyText"/>
      </w:pPr>
      <w:r w:rsidRPr="009E06AA">
        <w:t>The amount of CH</w:t>
      </w:r>
      <w:r w:rsidRPr="009E06AA">
        <w:rPr>
          <w:vertAlign w:val="subscript"/>
        </w:rPr>
        <w:t>4</w:t>
      </w:r>
      <w:r w:rsidRPr="009E06AA">
        <w:t xml:space="preserve"> emitted in New Zealand in 2022 is 48.9 per cent of gross emissions (38,339.3 kt CO</w:t>
      </w:r>
      <w:r w:rsidRPr="009E06AA">
        <w:rPr>
          <w:vertAlign w:val="subscript"/>
        </w:rPr>
        <w:t>2</w:t>
      </w:r>
      <w:r w:rsidRPr="009E06AA">
        <w:t>-e). Nitrous oxide, at 8.8 per cent (6,877.1 kt CO</w:t>
      </w:r>
      <w:r w:rsidRPr="009E06AA">
        <w:rPr>
          <w:vertAlign w:val="subscript"/>
        </w:rPr>
        <w:t>2</w:t>
      </w:r>
      <w:r w:rsidRPr="009E06AA">
        <w:t>-e), is the third-largest component of New Zealand’s gross emissions. The Agriculture sector produces the largest amount of both CH</w:t>
      </w:r>
      <w:r w:rsidRPr="009E06AA">
        <w:rPr>
          <w:vertAlign w:val="subscript"/>
        </w:rPr>
        <w:t>4</w:t>
      </w:r>
      <w:r w:rsidRPr="009E06AA">
        <w:t xml:space="preserve"> and N</w:t>
      </w:r>
      <w:r w:rsidRPr="009E06AA">
        <w:rPr>
          <w:vertAlign w:val="subscript"/>
        </w:rPr>
        <w:t>2</w:t>
      </w:r>
      <w:r w:rsidRPr="009E06AA">
        <w:t>O. In 2022, the contributions of the Agriculture sector to national emissions of CH</w:t>
      </w:r>
      <w:r w:rsidRPr="009E06AA">
        <w:rPr>
          <w:vertAlign w:val="subscript"/>
        </w:rPr>
        <w:t>4</w:t>
      </w:r>
      <w:r w:rsidRPr="009E06AA">
        <w:t xml:space="preserve"> and N</w:t>
      </w:r>
      <w:r w:rsidRPr="009E06AA">
        <w:rPr>
          <w:vertAlign w:val="subscript"/>
        </w:rPr>
        <w:t>2</w:t>
      </w:r>
      <w:r w:rsidRPr="009E06AA">
        <w:t>O were 89.8 per cent and 93.4 per cent respectively. The major source of CH</w:t>
      </w:r>
      <w:r w:rsidRPr="009E06AA">
        <w:rPr>
          <w:vertAlign w:val="subscript"/>
        </w:rPr>
        <w:t>4</w:t>
      </w:r>
      <w:r w:rsidRPr="009E06AA">
        <w:t xml:space="preserve"> in the Agriculture sector was </w:t>
      </w:r>
      <w:r w:rsidRPr="009E06AA">
        <w:rPr>
          <w:i/>
          <w:iCs/>
        </w:rPr>
        <w:t>Enteric fermentation</w:t>
      </w:r>
      <w:r w:rsidRPr="009E06AA">
        <w:t xml:space="preserve"> (32,617.2 kt CO</w:t>
      </w:r>
      <w:r w:rsidRPr="009E06AA">
        <w:rPr>
          <w:vertAlign w:val="subscript"/>
        </w:rPr>
        <w:t>2</w:t>
      </w:r>
      <w:r w:rsidRPr="009E06AA">
        <w:t>-e or 85.1 per cent of</w:t>
      </w:r>
      <w:r w:rsidR="00D20F98" w:rsidRPr="009E06AA">
        <w:t> </w:t>
      </w:r>
      <w:r w:rsidRPr="009E06AA">
        <w:t>New Zealand’s gross CH</w:t>
      </w:r>
      <w:r w:rsidRPr="009E06AA">
        <w:rPr>
          <w:vertAlign w:val="subscript"/>
        </w:rPr>
        <w:t>4</w:t>
      </w:r>
      <w:r w:rsidRPr="009E06AA">
        <w:t xml:space="preserve"> emissions). Emissions from the </w:t>
      </w:r>
      <w:r w:rsidRPr="009E06AA">
        <w:rPr>
          <w:i/>
          <w:iCs/>
        </w:rPr>
        <w:t>Agricultural soils</w:t>
      </w:r>
      <w:r w:rsidRPr="009E06AA">
        <w:t xml:space="preserve"> category (from adding nitrogen to soil, for example, manure or fertiliser) were the largest source of gross N</w:t>
      </w:r>
      <w:r w:rsidRPr="009E06AA">
        <w:rPr>
          <w:vertAlign w:val="subscript"/>
        </w:rPr>
        <w:t>2</w:t>
      </w:r>
      <w:r w:rsidRPr="009E06AA">
        <w:t>O</w:t>
      </w:r>
      <w:r w:rsidR="00D67869" w:rsidRPr="009E06AA">
        <w:t> </w:t>
      </w:r>
      <w:r w:rsidRPr="009E06AA">
        <w:t>emissions (6,322.5 kt CO</w:t>
      </w:r>
      <w:r w:rsidRPr="009E06AA">
        <w:rPr>
          <w:vertAlign w:val="subscript"/>
        </w:rPr>
        <w:t>2</w:t>
      </w:r>
      <w:r w:rsidRPr="009E06AA">
        <w:t>-e or 91.9 per cent of New Zealand’s gross N</w:t>
      </w:r>
      <w:r w:rsidRPr="009E06AA">
        <w:rPr>
          <w:vertAlign w:val="subscript"/>
        </w:rPr>
        <w:t>2</w:t>
      </w:r>
      <w:r w:rsidRPr="009E06AA">
        <w:t>O emissions).</w:t>
      </w:r>
    </w:p>
    <w:p w14:paraId="03B286A6" w14:textId="77777777" w:rsidR="00BF5487" w:rsidRPr="009E06AA" w:rsidRDefault="00BF5487" w:rsidP="00BF5487">
      <w:pPr>
        <w:pStyle w:val="BodyText"/>
      </w:pPr>
      <w:r w:rsidRPr="009E06AA">
        <w:t>Methane was also the largest component of New Zealand’s Waste sector emissions, contributing 3,258.7 kt CO</w:t>
      </w:r>
      <w:r w:rsidRPr="009E06AA">
        <w:rPr>
          <w:vertAlign w:val="subscript"/>
        </w:rPr>
        <w:t>2</w:t>
      </w:r>
      <w:r w:rsidRPr="009E06AA">
        <w:t>-e, or 8.5 per cent, of gross CH</w:t>
      </w:r>
      <w:r w:rsidRPr="009E06AA">
        <w:rPr>
          <w:vertAlign w:val="subscript"/>
        </w:rPr>
        <w:t>4</w:t>
      </w:r>
      <w:r w:rsidRPr="009E06AA">
        <w:t xml:space="preserve"> emissions.</w:t>
      </w:r>
    </w:p>
    <w:p w14:paraId="72E4539D" w14:textId="655349AE" w:rsidR="00BF5487" w:rsidRPr="009E06AA" w:rsidRDefault="00BF5487" w:rsidP="00BF5487">
      <w:pPr>
        <w:pStyle w:val="BodyText"/>
      </w:pPr>
      <w:r w:rsidRPr="009E06AA">
        <w:t>Fluorinated gases (HFCs, PFCs and SF</w:t>
      </w:r>
      <w:r w:rsidRPr="009E06AA">
        <w:rPr>
          <w:vertAlign w:val="subscript"/>
        </w:rPr>
        <w:t>6</w:t>
      </w:r>
      <w:r w:rsidRPr="009E06AA">
        <w:t>) collectively contributed 2.0 per cent to New Zealand’s gross emissions. The IPPU sector is the only source of fluorinated gases in New Zealand. Taken together, the emissions of HFCs, PFCs and SF</w:t>
      </w:r>
      <w:r w:rsidRPr="009E06AA">
        <w:rPr>
          <w:vertAlign w:val="subscript"/>
        </w:rPr>
        <w:t>6</w:t>
      </w:r>
      <w:r w:rsidRPr="009E06AA">
        <w:t xml:space="preserve"> were 1,568.8 kt CO</w:t>
      </w:r>
      <w:r w:rsidRPr="009E06AA">
        <w:rPr>
          <w:vertAlign w:val="subscript"/>
        </w:rPr>
        <w:t>2</w:t>
      </w:r>
      <w:r w:rsidRPr="009E06AA">
        <w:t>-e in 2022. No manufacture of any of the fluorinated GHGs occurs in New Zealand. Emissions of fluorinated gases were dominated by HFCs (95.5 per cent of all fluorinated gases). The PFCs and SF</w:t>
      </w:r>
      <w:r w:rsidRPr="009E06AA">
        <w:rPr>
          <w:vertAlign w:val="subscript"/>
        </w:rPr>
        <w:t>6</w:t>
      </w:r>
      <w:r w:rsidRPr="009E06AA">
        <w:t xml:space="preserve"> contributed 3.2 per cent and 1.2 per cent to total emissions of fluorinated gases respectively. Almost all of</w:t>
      </w:r>
      <w:r w:rsidR="00A05DC2" w:rsidRPr="009E06AA">
        <w:t> </w:t>
      </w:r>
      <w:r w:rsidRPr="009E06AA">
        <w:t>New Zealand’s PFC emissions (99.99 per cent) resulted from aluminium production.</w:t>
      </w:r>
    </w:p>
    <w:p w14:paraId="3C68940C" w14:textId="247EF511" w:rsidR="00BF5487" w:rsidRPr="009E06AA" w:rsidRDefault="00BF5487" w:rsidP="00BF5487">
      <w:pPr>
        <w:pStyle w:val="Heading3"/>
      </w:pPr>
      <w:bookmarkStart w:id="195" w:name="_Toc161932295"/>
      <w:bookmarkStart w:id="196" w:name="_Toc161994391"/>
      <w:bookmarkStart w:id="197" w:name="Xe570e1773731da348e291142fb25b1ab02fd2f0"/>
      <w:bookmarkEnd w:id="190"/>
      <w:r w:rsidRPr="009E06AA">
        <w:t>2.2.2</w:t>
      </w:r>
      <w:r w:rsidR="00A05DC2" w:rsidRPr="009E06AA">
        <w:tab/>
      </w:r>
      <w:r w:rsidRPr="009E06AA">
        <w:t>Emission trends by sector from 1990 to 2022</w:t>
      </w:r>
      <w:bookmarkEnd w:id="195"/>
      <w:bookmarkEnd w:id="196"/>
    </w:p>
    <w:p w14:paraId="13045B11" w14:textId="77777777" w:rsidR="00BF5487" w:rsidRPr="009E06AA" w:rsidRDefault="00BF5487" w:rsidP="00BF5487">
      <w:pPr>
        <w:pStyle w:val="BodyText"/>
      </w:pPr>
      <w:r w:rsidRPr="009E06AA">
        <w:t>Figure 2.2.3 shows the contribution to net emissions that each inventory sector has made since 1990. The Agriculture and Energy sectors dominated New Zealand’s gross emissions. Together, these sectors produced 89.5 per cent of New Zealand’s annual gross GHG emissions from 1990 to 2022. The IPPU and Waste sectors produced relatively small amounts of GHGs, contributing between 4 per cent and 7 per cent of the annual gross emissions for the entire time series respectively.</w:t>
      </w:r>
    </w:p>
    <w:p w14:paraId="29265253" w14:textId="77777777" w:rsidR="00BF5487" w:rsidRPr="009E06AA" w:rsidRDefault="00BF5487" w:rsidP="00BF5487">
      <w:pPr>
        <w:pStyle w:val="BodyText"/>
      </w:pPr>
      <w:r w:rsidRPr="009E06AA">
        <w:t>Conversely, the LULUCF sector was a net sink of GHG emissions between 1990 and 2022.</w:t>
      </w:r>
    </w:p>
    <w:p w14:paraId="3E310801" w14:textId="07B0AB9F" w:rsidR="00BF5487" w:rsidRPr="009E06AA" w:rsidRDefault="00BF5487" w:rsidP="00BF5487">
      <w:pPr>
        <w:pStyle w:val="Figure"/>
      </w:pPr>
      <w:bookmarkStart w:id="198" w:name="_Toc161932247"/>
      <w:bookmarkStart w:id="199" w:name="_Toc164153992"/>
      <w:r w:rsidRPr="009E06AA">
        <w:rPr>
          <w:bCs/>
        </w:rPr>
        <w:t>Figure 2.2.3</w:t>
      </w:r>
      <w:r w:rsidRPr="009E06AA">
        <w:t xml:space="preserve"> </w:t>
      </w:r>
      <w:r w:rsidRPr="009E06AA">
        <w:tab/>
        <w:t>Trends in New Zealand’s greenhouse gas emissions by sector</w:t>
      </w:r>
      <w:r w:rsidR="00223334" w:rsidRPr="009E06AA">
        <w:t>,</w:t>
      </w:r>
      <w:r w:rsidRPr="009E06AA">
        <w:t xml:space="preserve"> from </w:t>
      </w:r>
      <w:r w:rsidRPr="009E06AA">
        <w:rPr>
          <w:bCs/>
        </w:rPr>
        <w:t>1990</w:t>
      </w:r>
      <w:r w:rsidRPr="009E06AA">
        <w:t xml:space="preserve"> to </w:t>
      </w:r>
      <w:r w:rsidRPr="009E06AA">
        <w:rPr>
          <w:bCs/>
        </w:rPr>
        <w:t>2022</w:t>
      </w:r>
      <w:bookmarkEnd w:id="198"/>
      <w:bookmarkEnd w:id="199"/>
    </w:p>
    <w:p w14:paraId="7A0CDDA2" w14:textId="77777777" w:rsidR="00BF5487" w:rsidRPr="009E06AA" w:rsidRDefault="00BF5487" w:rsidP="004E19FA">
      <w:pPr>
        <w:pStyle w:val="BodyText"/>
      </w:pPr>
      <w:r w:rsidRPr="009E06AA">
        <w:rPr>
          <w:noProof/>
          <w:highlight w:val="cyan"/>
        </w:rPr>
        <w:drawing>
          <wp:inline distT="0" distB="0" distL="0" distR="0" wp14:anchorId="2699ABBA" wp14:editId="705DB69D">
            <wp:extent cx="5302155" cy="3889612"/>
            <wp:effectExtent l="0" t="0" r="0" b="0"/>
            <wp:docPr id="44" name="Picture"/>
            <wp:cNvGraphicFramePr/>
            <a:graphic xmlns:a="http://schemas.openxmlformats.org/drawingml/2006/main">
              <a:graphicData uri="http://schemas.openxmlformats.org/drawingml/2006/picture">
                <pic:pic xmlns:pic="http://schemas.openxmlformats.org/drawingml/2006/picture">
                  <pic:nvPicPr>
                    <pic:cNvPr id="45" name="Picture" descr="code/graphs/images/es_4_1_crf.png"/>
                    <pic:cNvPicPr>
                      <a:picLocks noChangeAspect="1" noChangeArrowheads="1"/>
                    </pic:cNvPicPr>
                  </pic:nvPicPr>
                  <pic:blipFill rotWithShape="1">
                    <a:blip r:embed="rId22"/>
                    <a:srcRect b="2399"/>
                    <a:stretch/>
                  </pic:blipFill>
                  <pic:spPr bwMode="auto">
                    <a:xfrm>
                      <a:off x="0" y="0"/>
                      <a:ext cx="5303737" cy="3890773"/>
                    </a:xfrm>
                    <a:prstGeom prst="rect">
                      <a:avLst/>
                    </a:prstGeom>
                    <a:noFill/>
                    <a:ln>
                      <a:noFill/>
                    </a:ln>
                    <a:extLst>
                      <a:ext uri="{53640926-AAD7-44D8-BBD7-CCE9431645EC}">
                        <a14:shadowObscured xmlns:a14="http://schemas.microsoft.com/office/drawing/2010/main"/>
                      </a:ext>
                    </a:extLst>
                  </pic:spPr>
                </pic:pic>
              </a:graphicData>
            </a:graphic>
          </wp:inline>
        </w:drawing>
      </w:r>
    </w:p>
    <w:p w14:paraId="5A9F96CC" w14:textId="77777777" w:rsidR="00BF5487" w:rsidRPr="009E06AA" w:rsidRDefault="00BF5487" w:rsidP="00BF5487">
      <w:pPr>
        <w:pStyle w:val="BodyText"/>
      </w:pPr>
      <w:r w:rsidRPr="009E06AA">
        <w:t>Table 2.2.1 presents New Zealand’s emissions by sector in 1990 and 2022 and the change between the years in absolute terms and by percentage. Figure 2.2.4 shows the changes in emissions by sector between 1990 and 2022.</w:t>
      </w:r>
    </w:p>
    <w:p w14:paraId="3768EF32" w14:textId="77777777" w:rsidR="00BF5487" w:rsidRPr="009E06AA" w:rsidRDefault="00BF5487" w:rsidP="00BF5487">
      <w:pPr>
        <w:pStyle w:val="Table"/>
      </w:pPr>
      <w:bookmarkStart w:id="200" w:name="_Toc161932269"/>
      <w:bookmarkStart w:id="201" w:name="_Toc164153798"/>
      <w:r w:rsidRPr="009E06AA">
        <w:t xml:space="preserve">Table 2.2.1 </w:t>
      </w:r>
      <w:r w:rsidRPr="009E06AA">
        <w:tab/>
        <w:t xml:space="preserve">New Zealand’s emissions by sector between </w:t>
      </w:r>
      <w:r w:rsidRPr="009E06AA">
        <w:rPr>
          <w:bCs/>
        </w:rPr>
        <w:t>1990</w:t>
      </w:r>
      <w:r w:rsidRPr="009E06AA">
        <w:t xml:space="preserve"> and </w:t>
      </w:r>
      <w:r w:rsidRPr="009E06AA">
        <w:rPr>
          <w:bCs/>
        </w:rPr>
        <w:t>2022</w:t>
      </w:r>
      <w:bookmarkEnd w:id="200"/>
      <w:bookmarkEnd w:id="201"/>
    </w:p>
    <w:tbl>
      <w:tblPr>
        <w:tblW w:w="8494" w:type="dxa"/>
        <w:tblBorders>
          <w:top w:val="single" w:sz="4" w:space="0" w:color="1B556B" w:themeColor="text2"/>
          <w:bottom w:val="single" w:sz="4" w:space="0" w:color="1B556B" w:themeColor="text2"/>
          <w:insideH w:val="single" w:sz="4" w:space="0" w:color="1B556B" w:themeColor="text2"/>
        </w:tblBorders>
        <w:tblLook w:val="0420" w:firstRow="1" w:lastRow="0" w:firstColumn="0" w:lastColumn="0" w:noHBand="0" w:noVBand="1"/>
      </w:tblPr>
      <w:tblGrid>
        <w:gridCol w:w="1117"/>
        <w:gridCol w:w="1294"/>
        <w:gridCol w:w="1276"/>
        <w:gridCol w:w="2761"/>
        <w:gridCol w:w="2046"/>
      </w:tblGrid>
      <w:tr w:rsidR="00A05DC2" w:rsidRPr="009E06AA" w14:paraId="2A12EA2D" w14:textId="77777777" w:rsidTr="001E7F25">
        <w:trPr>
          <w:tblHeader/>
        </w:trPr>
        <w:tc>
          <w:tcPr>
            <w:tcW w:w="0" w:type="auto"/>
            <w:shd w:val="clear" w:color="auto" w:fill="1B556B"/>
            <w:tcMar>
              <w:top w:w="0" w:type="dxa"/>
              <w:left w:w="85" w:type="dxa"/>
              <w:bottom w:w="0" w:type="dxa"/>
              <w:right w:w="85" w:type="dxa"/>
            </w:tcMar>
          </w:tcPr>
          <w:p w14:paraId="4FAD17E5" w14:textId="77777777" w:rsidR="00BF5487" w:rsidRPr="009E06AA" w:rsidRDefault="00BF5487" w:rsidP="00A05DC2">
            <w:pPr>
              <w:pStyle w:val="TableTextBold"/>
              <w:rPr>
                <w:noProof w:val="0"/>
                <w:color w:val="FFFFFF" w:themeColor="background1"/>
              </w:rPr>
            </w:pPr>
            <w:r w:rsidRPr="009E06AA">
              <w:rPr>
                <w:rFonts w:eastAsia="Calibri"/>
                <w:noProof w:val="0"/>
                <w:color w:val="FFFFFF" w:themeColor="background1"/>
              </w:rPr>
              <w:t>Sector</w:t>
            </w:r>
          </w:p>
        </w:tc>
        <w:tc>
          <w:tcPr>
            <w:tcW w:w="1294" w:type="dxa"/>
            <w:shd w:val="clear" w:color="auto" w:fill="1B556B"/>
            <w:tcMar>
              <w:top w:w="0" w:type="dxa"/>
              <w:left w:w="85" w:type="dxa"/>
              <w:bottom w:w="0" w:type="dxa"/>
              <w:right w:w="85" w:type="dxa"/>
            </w:tcMar>
          </w:tcPr>
          <w:p w14:paraId="3E7A9803" w14:textId="77777777" w:rsidR="00BF5487" w:rsidRPr="009E06AA" w:rsidRDefault="00BF5487" w:rsidP="001E7F25">
            <w:pPr>
              <w:pStyle w:val="TableTextBold"/>
              <w:jc w:val="right"/>
              <w:rPr>
                <w:noProof w:val="0"/>
                <w:color w:val="FFFFFF" w:themeColor="background1"/>
              </w:rPr>
            </w:pPr>
            <w:r w:rsidRPr="009E06AA">
              <w:rPr>
                <w:rFonts w:eastAsia="Calibri"/>
                <w:noProof w:val="0"/>
                <w:color w:val="FFFFFF" w:themeColor="background1"/>
              </w:rPr>
              <w:t>1990</w:t>
            </w:r>
          </w:p>
        </w:tc>
        <w:tc>
          <w:tcPr>
            <w:tcW w:w="1276" w:type="dxa"/>
            <w:shd w:val="clear" w:color="auto" w:fill="1B556B"/>
            <w:tcMar>
              <w:top w:w="0" w:type="dxa"/>
              <w:left w:w="85" w:type="dxa"/>
              <w:bottom w:w="0" w:type="dxa"/>
              <w:right w:w="85" w:type="dxa"/>
            </w:tcMar>
          </w:tcPr>
          <w:p w14:paraId="0026938B" w14:textId="77777777" w:rsidR="00BF5487" w:rsidRPr="009E06AA" w:rsidRDefault="00BF5487" w:rsidP="001E7F25">
            <w:pPr>
              <w:pStyle w:val="TableTextBold"/>
              <w:jc w:val="right"/>
              <w:rPr>
                <w:noProof w:val="0"/>
                <w:color w:val="FFFFFF" w:themeColor="background1"/>
              </w:rPr>
            </w:pPr>
            <w:r w:rsidRPr="009E06AA">
              <w:rPr>
                <w:rFonts w:eastAsia="Calibri"/>
                <w:noProof w:val="0"/>
                <w:color w:val="FFFFFF" w:themeColor="background1"/>
              </w:rPr>
              <w:t>2022</w:t>
            </w:r>
          </w:p>
        </w:tc>
        <w:tc>
          <w:tcPr>
            <w:tcW w:w="2761" w:type="dxa"/>
            <w:shd w:val="clear" w:color="auto" w:fill="1B556B"/>
            <w:tcMar>
              <w:top w:w="0" w:type="dxa"/>
              <w:left w:w="85" w:type="dxa"/>
              <w:bottom w:w="0" w:type="dxa"/>
              <w:right w:w="85" w:type="dxa"/>
            </w:tcMar>
          </w:tcPr>
          <w:p w14:paraId="62F6F6EA" w14:textId="77777777" w:rsidR="00BF5487" w:rsidRPr="009E06AA" w:rsidRDefault="00BF5487" w:rsidP="001E7F25">
            <w:pPr>
              <w:pStyle w:val="TableTextBold"/>
              <w:jc w:val="right"/>
              <w:rPr>
                <w:noProof w:val="0"/>
                <w:color w:val="FFFFFF" w:themeColor="background1"/>
              </w:rPr>
            </w:pPr>
            <w:r w:rsidRPr="009E06AA">
              <w:rPr>
                <w:rFonts w:eastAsia="Calibri"/>
                <w:noProof w:val="0"/>
                <w:color w:val="FFFFFF" w:themeColor="background1"/>
              </w:rPr>
              <w:t>Change from 1990 (kt CO</w:t>
            </w:r>
            <w:r w:rsidRPr="009E06AA">
              <w:rPr>
                <w:rFonts w:eastAsia="Calibri"/>
                <w:noProof w:val="0"/>
                <w:color w:val="FFFFFF" w:themeColor="background1"/>
                <w:vertAlign w:val="subscript"/>
              </w:rPr>
              <w:t>2</w:t>
            </w:r>
            <w:r w:rsidRPr="009E06AA">
              <w:rPr>
                <w:rFonts w:eastAsia="Calibri"/>
                <w:noProof w:val="0"/>
                <w:color w:val="FFFFFF" w:themeColor="background1"/>
              </w:rPr>
              <w:t>-equivalent)</w:t>
            </w:r>
          </w:p>
        </w:tc>
        <w:tc>
          <w:tcPr>
            <w:tcW w:w="0" w:type="auto"/>
            <w:shd w:val="clear" w:color="auto" w:fill="1B556B"/>
            <w:tcMar>
              <w:top w:w="0" w:type="dxa"/>
              <w:left w:w="85" w:type="dxa"/>
              <w:bottom w:w="0" w:type="dxa"/>
              <w:right w:w="85" w:type="dxa"/>
            </w:tcMar>
          </w:tcPr>
          <w:p w14:paraId="376B4A6C" w14:textId="77777777" w:rsidR="00BF5487" w:rsidRPr="009E06AA" w:rsidRDefault="00BF5487" w:rsidP="001E7F25">
            <w:pPr>
              <w:pStyle w:val="TableTextBold"/>
              <w:jc w:val="right"/>
              <w:rPr>
                <w:noProof w:val="0"/>
                <w:color w:val="FFFFFF" w:themeColor="background1"/>
              </w:rPr>
            </w:pPr>
            <w:r w:rsidRPr="009E06AA">
              <w:rPr>
                <w:rFonts w:eastAsia="Calibri"/>
                <w:noProof w:val="0"/>
                <w:color w:val="FFFFFF" w:themeColor="background1"/>
              </w:rPr>
              <w:t>Change from 1990 (%)</w:t>
            </w:r>
          </w:p>
        </w:tc>
      </w:tr>
      <w:tr w:rsidR="00A05DC2" w:rsidRPr="009E06AA" w14:paraId="26944B32" w14:textId="77777777" w:rsidTr="001E7F25">
        <w:tc>
          <w:tcPr>
            <w:tcW w:w="0" w:type="auto"/>
            <w:shd w:val="clear" w:color="auto" w:fill="FFFFFF"/>
            <w:tcMar>
              <w:top w:w="0" w:type="dxa"/>
              <w:left w:w="85" w:type="dxa"/>
              <w:bottom w:w="0" w:type="dxa"/>
              <w:right w:w="85" w:type="dxa"/>
            </w:tcMar>
          </w:tcPr>
          <w:p w14:paraId="32AE8B21" w14:textId="77777777" w:rsidR="00BF5487" w:rsidRPr="009E06AA" w:rsidRDefault="00BF5487" w:rsidP="00A05DC2">
            <w:pPr>
              <w:pStyle w:val="TableText"/>
            </w:pPr>
            <w:r w:rsidRPr="009E06AA">
              <w:rPr>
                <w:rFonts w:eastAsia="Calibri"/>
                <w:color w:val="000000"/>
              </w:rPr>
              <w:t>Energy</w:t>
            </w:r>
          </w:p>
        </w:tc>
        <w:tc>
          <w:tcPr>
            <w:tcW w:w="1294" w:type="dxa"/>
            <w:shd w:val="clear" w:color="auto" w:fill="FFFFFF"/>
            <w:tcMar>
              <w:top w:w="0" w:type="dxa"/>
              <w:left w:w="85" w:type="dxa"/>
              <w:bottom w:w="0" w:type="dxa"/>
              <w:right w:w="85" w:type="dxa"/>
            </w:tcMar>
          </w:tcPr>
          <w:p w14:paraId="6D1C2F1A" w14:textId="77777777" w:rsidR="00BF5487" w:rsidRPr="009E06AA" w:rsidRDefault="00BF5487" w:rsidP="001E7F25">
            <w:pPr>
              <w:pStyle w:val="TableText"/>
              <w:jc w:val="right"/>
            </w:pPr>
            <w:r w:rsidRPr="009E06AA">
              <w:rPr>
                <w:rFonts w:eastAsia="Calibri"/>
                <w:color w:val="000000"/>
              </w:rPr>
              <w:t>23,998.3</w:t>
            </w:r>
          </w:p>
        </w:tc>
        <w:tc>
          <w:tcPr>
            <w:tcW w:w="1276" w:type="dxa"/>
            <w:shd w:val="clear" w:color="auto" w:fill="FFFFFF"/>
            <w:tcMar>
              <w:top w:w="0" w:type="dxa"/>
              <w:left w:w="85" w:type="dxa"/>
              <w:bottom w:w="0" w:type="dxa"/>
              <w:right w:w="85" w:type="dxa"/>
            </w:tcMar>
          </w:tcPr>
          <w:p w14:paraId="6D47E889" w14:textId="77777777" w:rsidR="00BF5487" w:rsidRPr="009E06AA" w:rsidRDefault="00BF5487" w:rsidP="001E7F25">
            <w:pPr>
              <w:pStyle w:val="TableText"/>
              <w:jc w:val="right"/>
            </w:pPr>
            <w:r w:rsidRPr="009E06AA">
              <w:rPr>
                <w:rFonts w:eastAsia="Calibri"/>
                <w:color w:val="000000"/>
              </w:rPr>
              <w:t>28,716.1</w:t>
            </w:r>
          </w:p>
        </w:tc>
        <w:tc>
          <w:tcPr>
            <w:tcW w:w="2761" w:type="dxa"/>
            <w:shd w:val="clear" w:color="auto" w:fill="FFFFFF"/>
            <w:tcMar>
              <w:top w:w="0" w:type="dxa"/>
              <w:left w:w="85" w:type="dxa"/>
              <w:bottom w:w="0" w:type="dxa"/>
              <w:right w:w="85" w:type="dxa"/>
            </w:tcMar>
          </w:tcPr>
          <w:p w14:paraId="7AB0C5C7" w14:textId="77777777" w:rsidR="00BF5487" w:rsidRPr="009E06AA" w:rsidRDefault="00BF5487" w:rsidP="001E7F25">
            <w:pPr>
              <w:pStyle w:val="TableText"/>
              <w:jc w:val="right"/>
            </w:pPr>
            <w:r w:rsidRPr="009E06AA">
              <w:rPr>
                <w:rFonts w:eastAsia="Calibri"/>
                <w:color w:val="000000"/>
              </w:rPr>
              <w:t>4,717.8</w:t>
            </w:r>
          </w:p>
        </w:tc>
        <w:tc>
          <w:tcPr>
            <w:tcW w:w="0" w:type="auto"/>
            <w:shd w:val="clear" w:color="auto" w:fill="FFFFFF"/>
            <w:tcMar>
              <w:top w:w="0" w:type="dxa"/>
              <w:left w:w="85" w:type="dxa"/>
              <w:bottom w:w="0" w:type="dxa"/>
              <w:right w:w="85" w:type="dxa"/>
            </w:tcMar>
          </w:tcPr>
          <w:p w14:paraId="6AA066CA" w14:textId="77777777" w:rsidR="00BF5487" w:rsidRPr="009E06AA" w:rsidRDefault="00BF5487" w:rsidP="001E7F25">
            <w:pPr>
              <w:pStyle w:val="TableText"/>
              <w:jc w:val="right"/>
            </w:pPr>
            <w:r w:rsidRPr="009E06AA">
              <w:rPr>
                <w:rFonts w:eastAsia="Calibri"/>
                <w:color w:val="000000"/>
              </w:rPr>
              <w:t>19.7</w:t>
            </w:r>
          </w:p>
        </w:tc>
      </w:tr>
      <w:tr w:rsidR="00A05DC2" w:rsidRPr="009E06AA" w14:paraId="1015E078" w14:textId="77777777" w:rsidTr="001E7F25">
        <w:tc>
          <w:tcPr>
            <w:tcW w:w="0" w:type="auto"/>
            <w:shd w:val="clear" w:color="auto" w:fill="FFFFFF"/>
            <w:tcMar>
              <w:top w:w="0" w:type="dxa"/>
              <w:left w:w="85" w:type="dxa"/>
              <w:bottom w:w="0" w:type="dxa"/>
              <w:right w:w="85" w:type="dxa"/>
            </w:tcMar>
          </w:tcPr>
          <w:p w14:paraId="221581A7" w14:textId="77777777" w:rsidR="00BF5487" w:rsidRPr="009E06AA" w:rsidRDefault="00BF5487" w:rsidP="00A05DC2">
            <w:pPr>
              <w:pStyle w:val="TableText"/>
            </w:pPr>
            <w:r w:rsidRPr="009E06AA">
              <w:rPr>
                <w:rFonts w:eastAsia="Calibri"/>
                <w:color w:val="000000"/>
              </w:rPr>
              <w:t>IPPU</w:t>
            </w:r>
          </w:p>
        </w:tc>
        <w:tc>
          <w:tcPr>
            <w:tcW w:w="1294" w:type="dxa"/>
            <w:shd w:val="clear" w:color="auto" w:fill="FFFFFF"/>
            <w:tcMar>
              <w:top w:w="0" w:type="dxa"/>
              <w:left w:w="85" w:type="dxa"/>
              <w:bottom w:w="0" w:type="dxa"/>
              <w:right w:w="85" w:type="dxa"/>
            </w:tcMar>
          </w:tcPr>
          <w:p w14:paraId="2E1B97E5" w14:textId="77777777" w:rsidR="00BF5487" w:rsidRPr="009E06AA" w:rsidRDefault="00BF5487" w:rsidP="001E7F25">
            <w:pPr>
              <w:pStyle w:val="TableText"/>
              <w:jc w:val="right"/>
            </w:pPr>
            <w:r w:rsidRPr="009E06AA">
              <w:rPr>
                <w:rFonts w:eastAsia="Calibri"/>
                <w:color w:val="000000"/>
              </w:rPr>
              <w:t>3,478.2</w:t>
            </w:r>
          </w:p>
        </w:tc>
        <w:tc>
          <w:tcPr>
            <w:tcW w:w="1276" w:type="dxa"/>
            <w:shd w:val="clear" w:color="auto" w:fill="FFFFFF"/>
            <w:tcMar>
              <w:top w:w="0" w:type="dxa"/>
              <w:left w:w="85" w:type="dxa"/>
              <w:bottom w:w="0" w:type="dxa"/>
              <w:right w:w="85" w:type="dxa"/>
            </w:tcMar>
          </w:tcPr>
          <w:p w14:paraId="739EF6D1" w14:textId="77777777" w:rsidR="00BF5487" w:rsidRPr="009E06AA" w:rsidRDefault="00BF5487" w:rsidP="001E7F25">
            <w:pPr>
              <w:pStyle w:val="TableText"/>
              <w:jc w:val="right"/>
            </w:pPr>
            <w:r w:rsidRPr="009E06AA">
              <w:rPr>
                <w:rFonts w:eastAsia="Calibri"/>
                <w:color w:val="000000"/>
              </w:rPr>
              <w:t>4,469.2</w:t>
            </w:r>
          </w:p>
        </w:tc>
        <w:tc>
          <w:tcPr>
            <w:tcW w:w="2761" w:type="dxa"/>
            <w:shd w:val="clear" w:color="auto" w:fill="FFFFFF"/>
            <w:tcMar>
              <w:top w:w="0" w:type="dxa"/>
              <w:left w:w="85" w:type="dxa"/>
              <w:bottom w:w="0" w:type="dxa"/>
              <w:right w:w="85" w:type="dxa"/>
            </w:tcMar>
          </w:tcPr>
          <w:p w14:paraId="346FACD5" w14:textId="77777777" w:rsidR="00BF5487" w:rsidRPr="009E06AA" w:rsidRDefault="00BF5487" w:rsidP="001E7F25">
            <w:pPr>
              <w:pStyle w:val="TableText"/>
              <w:jc w:val="right"/>
            </w:pPr>
            <w:r w:rsidRPr="009E06AA">
              <w:rPr>
                <w:rFonts w:eastAsia="Calibri"/>
                <w:color w:val="000000"/>
              </w:rPr>
              <w:t>990.9</w:t>
            </w:r>
          </w:p>
        </w:tc>
        <w:tc>
          <w:tcPr>
            <w:tcW w:w="0" w:type="auto"/>
            <w:shd w:val="clear" w:color="auto" w:fill="FFFFFF"/>
            <w:tcMar>
              <w:top w:w="0" w:type="dxa"/>
              <w:left w:w="85" w:type="dxa"/>
              <w:bottom w:w="0" w:type="dxa"/>
              <w:right w:w="85" w:type="dxa"/>
            </w:tcMar>
          </w:tcPr>
          <w:p w14:paraId="3B46396D" w14:textId="77777777" w:rsidR="00BF5487" w:rsidRPr="009E06AA" w:rsidRDefault="00BF5487" w:rsidP="001E7F25">
            <w:pPr>
              <w:pStyle w:val="TableText"/>
              <w:jc w:val="right"/>
            </w:pPr>
            <w:r w:rsidRPr="009E06AA">
              <w:rPr>
                <w:rFonts w:eastAsia="Calibri"/>
                <w:color w:val="000000"/>
              </w:rPr>
              <w:t>28.5</w:t>
            </w:r>
          </w:p>
        </w:tc>
      </w:tr>
      <w:tr w:rsidR="00A05DC2" w:rsidRPr="009E06AA" w14:paraId="68BBF909" w14:textId="77777777" w:rsidTr="001E7F25">
        <w:tc>
          <w:tcPr>
            <w:tcW w:w="0" w:type="auto"/>
            <w:shd w:val="clear" w:color="auto" w:fill="FFFFFF"/>
            <w:tcMar>
              <w:top w:w="0" w:type="dxa"/>
              <w:left w:w="85" w:type="dxa"/>
              <w:bottom w:w="0" w:type="dxa"/>
              <w:right w:w="85" w:type="dxa"/>
            </w:tcMar>
          </w:tcPr>
          <w:p w14:paraId="32511537" w14:textId="77777777" w:rsidR="00BF5487" w:rsidRPr="009E06AA" w:rsidRDefault="00BF5487" w:rsidP="00A05DC2">
            <w:pPr>
              <w:pStyle w:val="TableText"/>
            </w:pPr>
            <w:r w:rsidRPr="009E06AA">
              <w:rPr>
                <w:rFonts w:eastAsia="Calibri"/>
                <w:color w:val="000000"/>
              </w:rPr>
              <w:t>Agriculture</w:t>
            </w:r>
          </w:p>
        </w:tc>
        <w:tc>
          <w:tcPr>
            <w:tcW w:w="1294" w:type="dxa"/>
            <w:shd w:val="clear" w:color="auto" w:fill="FFFFFF"/>
            <w:tcMar>
              <w:top w:w="0" w:type="dxa"/>
              <w:left w:w="85" w:type="dxa"/>
              <w:bottom w:w="0" w:type="dxa"/>
              <w:right w:w="85" w:type="dxa"/>
            </w:tcMar>
          </w:tcPr>
          <w:p w14:paraId="6BA7AC9B" w14:textId="77777777" w:rsidR="00BF5487" w:rsidRPr="009E06AA" w:rsidRDefault="00BF5487" w:rsidP="001E7F25">
            <w:pPr>
              <w:pStyle w:val="TableText"/>
              <w:jc w:val="right"/>
            </w:pPr>
            <w:r w:rsidRPr="009E06AA">
              <w:rPr>
                <w:rFonts w:eastAsia="Calibri"/>
                <w:color w:val="000000"/>
              </w:rPr>
              <w:t>37,121.5</w:t>
            </w:r>
          </w:p>
        </w:tc>
        <w:tc>
          <w:tcPr>
            <w:tcW w:w="1276" w:type="dxa"/>
            <w:shd w:val="clear" w:color="auto" w:fill="FFFFFF"/>
            <w:tcMar>
              <w:top w:w="0" w:type="dxa"/>
              <w:left w:w="85" w:type="dxa"/>
              <w:bottom w:w="0" w:type="dxa"/>
              <w:right w:w="85" w:type="dxa"/>
            </w:tcMar>
          </w:tcPr>
          <w:p w14:paraId="1A95970B" w14:textId="77777777" w:rsidR="00BF5487" w:rsidRPr="009E06AA" w:rsidRDefault="00BF5487" w:rsidP="001E7F25">
            <w:pPr>
              <w:pStyle w:val="TableText"/>
              <w:jc w:val="right"/>
            </w:pPr>
            <w:r w:rsidRPr="009E06AA">
              <w:rPr>
                <w:rFonts w:eastAsia="Calibri"/>
                <w:color w:val="000000"/>
              </w:rPr>
              <w:t>41,712.7</w:t>
            </w:r>
          </w:p>
        </w:tc>
        <w:tc>
          <w:tcPr>
            <w:tcW w:w="2761" w:type="dxa"/>
            <w:shd w:val="clear" w:color="auto" w:fill="FFFFFF"/>
            <w:tcMar>
              <w:top w:w="0" w:type="dxa"/>
              <w:left w:w="85" w:type="dxa"/>
              <w:bottom w:w="0" w:type="dxa"/>
              <w:right w:w="85" w:type="dxa"/>
            </w:tcMar>
          </w:tcPr>
          <w:p w14:paraId="77D047A7" w14:textId="77777777" w:rsidR="00BF5487" w:rsidRPr="009E06AA" w:rsidRDefault="00BF5487" w:rsidP="001E7F25">
            <w:pPr>
              <w:pStyle w:val="TableText"/>
              <w:jc w:val="right"/>
            </w:pPr>
            <w:r w:rsidRPr="009E06AA">
              <w:rPr>
                <w:rFonts w:eastAsia="Calibri"/>
                <w:color w:val="000000"/>
              </w:rPr>
              <w:t>4,591.2</w:t>
            </w:r>
          </w:p>
        </w:tc>
        <w:tc>
          <w:tcPr>
            <w:tcW w:w="0" w:type="auto"/>
            <w:shd w:val="clear" w:color="auto" w:fill="FFFFFF"/>
            <w:tcMar>
              <w:top w:w="0" w:type="dxa"/>
              <w:left w:w="85" w:type="dxa"/>
              <w:bottom w:w="0" w:type="dxa"/>
              <w:right w:w="85" w:type="dxa"/>
            </w:tcMar>
          </w:tcPr>
          <w:p w14:paraId="0C59B686" w14:textId="77777777" w:rsidR="00BF5487" w:rsidRPr="009E06AA" w:rsidRDefault="00BF5487" w:rsidP="001E7F25">
            <w:pPr>
              <w:pStyle w:val="TableText"/>
              <w:jc w:val="right"/>
            </w:pPr>
            <w:r w:rsidRPr="009E06AA">
              <w:rPr>
                <w:rFonts w:eastAsia="Calibri"/>
                <w:color w:val="000000"/>
              </w:rPr>
              <w:t>12.4</w:t>
            </w:r>
          </w:p>
        </w:tc>
      </w:tr>
      <w:tr w:rsidR="00A05DC2" w:rsidRPr="009E06AA" w14:paraId="2C6508F2" w14:textId="77777777" w:rsidTr="001E7F25">
        <w:tc>
          <w:tcPr>
            <w:tcW w:w="0" w:type="auto"/>
            <w:shd w:val="clear" w:color="auto" w:fill="FFFFFF"/>
            <w:tcMar>
              <w:top w:w="0" w:type="dxa"/>
              <w:left w:w="85" w:type="dxa"/>
              <w:bottom w:w="0" w:type="dxa"/>
              <w:right w:w="85" w:type="dxa"/>
            </w:tcMar>
          </w:tcPr>
          <w:p w14:paraId="0E4DBD9E" w14:textId="77777777" w:rsidR="00BF5487" w:rsidRPr="009E06AA" w:rsidRDefault="00BF5487" w:rsidP="00A05DC2">
            <w:pPr>
              <w:pStyle w:val="TableText"/>
            </w:pPr>
            <w:r w:rsidRPr="009E06AA">
              <w:rPr>
                <w:rFonts w:eastAsia="Calibri"/>
                <w:color w:val="000000"/>
              </w:rPr>
              <w:t>Waste</w:t>
            </w:r>
          </w:p>
        </w:tc>
        <w:tc>
          <w:tcPr>
            <w:tcW w:w="1294" w:type="dxa"/>
            <w:shd w:val="clear" w:color="auto" w:fill="FFFFFF"/>
            <w:tcMar>
              <w:top w:w="0" w:type="dxa"/>
              <w:left w:w="85" w:type="dxa"/>
              <w:bottom w:w="0" w:type="dxa"/>
              <w:right w:w="85" w:type="dxa"/>
            </w:tcMar>
          </w:tcPr>
          <w:p w14:paraId="577006BA" w14:textId="77777777" w:rsidR="00BF5487" w:rsidRPr="009E06AA" w:rsidRDefault="00BF5487" w:rsidP="001E7F25">
            <w:pPr>
              <w:pStyle w:val="TableText"/>
              <w:jc w:val="right"/>
            </w:pPr>
            <w:r w:rsidRPr="009E06AA">
              <w:rPr>
                <w:rFonts w:eastAsia="Calibri"/>
                <w:color w:val="000000"/>
              </w:rPr>
              <w:t>4,356.7</w:t>
            </w:r>
          </w:p>
        </w:tc>
        <w:tc>
          <w:tcPr>
            <w:tcW w:w="1276" w:type="dxa"/>
            <w:shd w:val="clear" w:color="auto" w:fill="FFFFFF"/>
            <w:tcMar>
              <w:top w:w="0" w:type="dxa"/>
              <w:left w:w="85" w:type="dxa"/>
              <w:bottom w:w="0" w:type="dxa"/>
              <w:right w:w="85" w:type="dxa"/>
            </w:tcMar>
          </w:tcPr>
          <w:p w14:paraId="7FBEED7A" w14:textId="77777777" w:rsidR="00BF5487" w:rsidRPr="009E06AA" w:rsidRDefault="00BF5487" w:rsidP="001E7F25">
            <w:pPr>
              <w:pStyle w:val="TableText"/>
              <w:jc w:val="right"/>
            </w:pPr>
            <w:r w:rsidRPr="009E06AA">
              <w:rPr>
                <w:rFonts w:eastAsia="Calibri"/>
                <w:color w:val="000000"/>
              </w:rPr>
              <w:t>3,492.7</w:t>
            </w:r>
          </w:p>
        </w:tc>
        <w:tc>
          <w:tcPr>
            <w:tcW w:w="2761" w:type="dxa"/>
            <w:shd w:val="clear" w:color="auto" w:fill="FFFFFF"/>
            <w:tcMar>
              <w:top w:w="0" w:type="dxa"/>
              <w:left w:w="85" w:type="dxa"/>
              <w:bottom w:w="0" w:type="dxa"/>
              <w:right w:w="85" w:type="dxa"/>
            </w:tcMar>
          </w:tcPr>
          <w:p w14:paraId="5AA94E57" w14:textId="77777777" w:rsidR="00BF5487" w:rsidRPr="009E06AA" w:rsidRDefault="00BF5487" w:rsidP="001E7F25">
            <w:pPr>
              <w:pStyle w:val="TableText"/>
              <w:jc w:val="right"/>
            </w:pPr>
            <w:r w:rsidRPr="009E06AA">
              <w:rPr>
                <w:rFonts w:eastAsia="Calibri"/>
                <w:color w:val="000000"/>
              </w:rPr>
              <w:t>-864.0</w:t>
            </w:r>
          </w:p>
        </w:tc>
        <w:tc>
          <w:tcPr>
            <w:tcW w:w="0" w:type="auto"/>
            <w:shd w:val="clear" w:color="auto" w:fill="FFFFFF"/>
            <w:tcMar>
              <w:top w:w="0" w:type="dxa"/>
              <w:left w:w="85" w:type="dxa"/>
              <w:bottom w:w="0" w:type="dxa"/>
              <w:right w:w="85" w:type="dxa"/>
            </w:tcMar>
          </w:tcPr>
          <w:p w14:paraId="2C2F4489" w14:textId="77777777" w:rsidR="00BF5487" w:rsidRPr="009E06AA" w:rsidRDefault="00BF5487" w:rsidP="001E7F25">
            <w:pPr>
              <w:pStyle w:val="TableText"/>
              <w:jc w:val="right"/>
            </w:pPr>
            <w:r w:rsidRPr="009E06AA">
              <w:rPr>
                <w:rFonts w:eastAsia="Calibri"/>
                <w:color w:val="000000"/>
              </w:rPr>
              <w:t>-19.8</w:t>
            </w:r>
          </w:p>
        </w:tc>
      </w:tr>
      <w:tr w:rsidR="00A05DC2" w:rsidRPr="009E06AA" w14:paraId="6C9A0A60" w14:textId="77777777" w:rsidTr="001E7F25">
        <w:tc>
          <w:tcPr>
            <w:tcW w:w="0" w:type="auto"/>
            <w:shd w:val="clear" w:color="auto" w:fill="FFFFFF"/>
            <w:tcMar>
              <w:top w:w="0" w:type="dxa"/>
              <w:left w:w="85" w:type="dxa"/>
              <w:bottom w:w="0" w:type="dxa"/>
              <w:right w:w="85" w:type="dxa"/>
            </w:tcMar>
          </w:tcPr>
          <w:p w14:paraId="3B150933" w14:textId="77777777" w:rsidR="00BF5487" w:rsidRPr="009E06AA" w:rsidRDefault="00BF5487" w:rsidP="00A05DC2">
            <w:pPr>
              <w:pStyle w:val="TableText"/>
            </w:pPr>
            <w:r w:rsidRPr="009E06AA">
              <w:rPr>
                <w:rFonts w:eastAsia="Calibri"/>
                <w:color w:val="000000"/>
              </w:rPr>
              <w:t>Tokelau</w:t>
            </w:r>
          </w:p>
        </w:tc>
        <w:tc>
          <w:tcPr>
            <w:tcW w:w="1294" w:type="dxa"/>
            <w:shd w:val="clear" w:color="auto" w:fill="FFFFFF"/>
            <w:tcMar>
              <w:top w:w="0" w:type="dxa"/>
              <w:left w:w="85" w:type="dxa"/>
              <w:bottom w:w="0" w:type="dxa"/>
              <w:right w:w="85" w:type="dxa"/>
            </w:tcMar>
          </w:tcPr>
          <w:p w14:paraId="310EC8D6" w14:textId="77777777" w:rsidR="00BF5487" w:rsidRPr="009E06AA" w:rsidRDefault="00BF5487" w:rsidP="001E7F25">
            <w:pPr>
              <w:pStyle w:val="TableText"/>
              <w:jc w:val="right"/>
            </w:pPr>
            <w:r w:rsidRPr="009E06AA">
              <w:rPr>
                <w:rFonts w:eastAsia="Calibri"/>
                <w:color w:val="000000"/>
              </w:rPr>
              <w:t>3.4</w:t>
            </w:r>
          </w:p>
        </w:tc>
        <w:tc>
          <w:tcPr>
            <w:tcW w:w="1276" w:type="dxa"/>
            <w:shd w:val="clear" w:color="auto" w:fill="FFFFFF"/>
            <w:tcMar>
              <w:top w:w="0" w:type="dxa"/>
              <w:left w:w="85" w:type="dxa"/>
              <w:bottom w:w="0" w:type="dxa"/>
              <w:right w:w="85" w:type="dxa"/>
            </w:tcMar>
          </w:tcPr>
          <w:p w14:paraId="1F3B9562" w14:textId="77777777" w:rsidR="00BF5487" w:rsidRPr="009E06AA" w:rsidRDefault="00BF5487" w:rsidP="001E7F25">
            <w:pPr>
              <w:pStyle w:val="TableText"/>
              <w:jc w:val="right"/>
            </w:pPr>
            <w:r w:rsidRPr="009E06AA">
              <w:rPr>
                <w:rFonts w:eastAsia="Calibri"/>
                <w:color w:val="000000"/>
              </w:rPr>
              <w:t>4.7</w:t>
            </w:r>
          </w:p>
        </w:tc>
        <w:tc>
          <w:tcPr>
            <w:tcW w:w="2761" w:type="dxa"/>
            <w:shd w:val="clear" w:color="auto" w:fill="FFFFFF"/>
            <w:tcMar>
              <w:top w:w="0" w:type="dxa"/>
              <w:left w:w="85" w:type="dxa"/>
              <w:bottom w:w="0" w:type="dxa"/>
              <w:right w:w="85" w:type="dxa"/>
            </w:tcMar>
          </w:tcPr>
          <w:p w14:paraId="4BDE89B2" w14:textId="77777777" w:rsidR="00BF5487" w:rsidRPr="009E06AA" w:rsidRDefault="00BF5487" w:rsidP="001E7F25">
            <w:pPr>
              <w:pStyle w:val="TableText"/>
              <w:jc w:val="right"/>
            </w:pPr>
            <w:r w:rsidRPr="009E06AA">
              <w:rPr>
                <w:rFonts w:eastAsia="Calibri"/>
                <w:color w:val="000000"/>
              </w:rPr>
              <w:t>1.3</w:t>
            </w:r>
          </w:p>
        </w:tc>
        <w:tc>
          <w:tcPr>
            <w:tcW w:w="0" w:type="auto"/>
            <w:shd w:val="clear" w:color="auto" w:fill="FFFFFF"/>
            <w:tcMar>
              <w:top w:w="0" w:type="dxa"/>
              <w:left w:w="85" w:type="dxa"/>
              <w:bottom w:w="0" w:type="dxa"/>
              <w:right w:w="85" w:type="dxa"/>
            </w:tcMar>
          </w:tcPr>
          <w:p w14:paraId="33555B3D" w14:textId="77777777" w:rsidR="00BF5487" w:rsidRPr="009E06AA" w:rsidRDefault="00BF5487" w:rsidP="001E7F25">
            <w:pPr>
              <w:pStyle w:val="TableText"/>
              <w:jc w:val="right"/>
            </w:pPr>
            <w:r w:rsidRPr="009E06AA">
              <w:rPr>
                <w:rFonts w:eastAsia="Calibri"/>
                <w:color w:val="000000"/>
              </w:rPr>
              <w:t>38.9</w:t>
            </w:r>
          </w:p>
        </w:tc>
      </w:tr>
      <w:tr w:rsidR="00A05DC2" w:rsidRPr="009E06AA" w14:paraId="56CB9973" w14:textId="77777777" w:rsidTr="001E7F25">
        <w:tc>
          <w:tcPr>
            <w:tcW w:w="0" w:type="auto"/>
            <w:shd w:val="clear" w:color="auto" w:fill="FFFFFF"/>
            <w:tcMar>
              <w:top w:w="0" w:type="dxa"/>
              <w:left w:w="85" w:type="dxa"/>
              <w:bottom w:w="0" w:type="dxa"/>
              <w:right w:w="85" w:type="dxa"/>
            </w:tcMar>
          </w:tcPr>
          <w:p w14:paraId="6C8CEF32" w14:textId="77777777" w:rsidR="00BF5487" w:rsidRPr="009E06AA" w:rsidRDefault="00BF5487" w:rsidP="00A05DC2">
            <w:pPr>
              <w:pStyle w:val="Tableboldblue"/>
            </w:pPr>
            <w:r w:rsidRPr="009E06AA">
              <w:rPr>
                <w:rFonts w:eastAsia="Calibri"/>
              </w:rPr>
              <w:t>Gross</w:t>
            </w:r>
          </w:p>
        </w:tc>
        <w:tc>
          <w:tcPr>
            <w:tcW w:w="1294" w:type="dxa"/>
            <w:shd w:val="clear" w:color="auto" w:fill="FFFFFF"/>
            <w:tcMar>
              <w:top w:w="0" w:type="dxa"/>
              <w:left w:w="85" w:type="dxa"/>
              <w:bottom w:w="0" w:type="dxa"/>
              <w:right w:w="85" w:type="dxa"/>
            </w:tcMar>
          </w:tcPr>
          <w:p w14:paraId="75C147C6" w14:textId="77777777" w:rsidR="00BF5487" w:rsidRPr="009E06AA" w:rsidRDefault="00BF5487" w:rsidP="001E7F25">
            <w:pPr>
              <w:pStyle w:val="Tableboldblue"/>
              <w:jc w:val="right"/>
            </w:pPr>
            <w:r w:rsidRPr="009E06AA">
              <w:rPr>
                <w:rFonts w:eastAsia="Calibri"/>
              </w:rPr>
              <w:t>68,958.2</w:t>
            </w:r>
          </w:p>
        </w:tc>
        <w:tc>
          <w:tcPr>
            <w:tcW w:w="1276" w:type="dxa"/>
            <w:shd w:val="clear" w:color="auto" w:fill="FFFFFF"/>
            <w:tcMar>
              <w:top w:w="0" w:type="dxa"/>
              <w:left w:w="85" w:type="dxa"/>
              <w:bottom w:w="0" w:type="dxa"/>
              <w:right w:w="85" w:type="dxa"/>
            </w:tcMar>
          </w:tcPr>
          <w:p w14:paraId="12EB6574" w14:textId="77777777" w:rsidR="00BF5487" w:rsidRPr="009E06AA" w:rsidRDefault="00BF5487" w:rsidP="001E7F25">
            <w:pPr>
              <w:pStyle w:val="Tableboldblue"/>
              <w:jc w:val="right"/>
            </w:pPr>
            <w:r w:rsidRPr="009E06AA">
              <w:rPr>
                <w:rFonts w:eastAsia="Calibri"/>
              </w:rPr>
              <w:t>78,395.4</w:t>
            </w:r>
          </w:p>
        </w:tc>
        <w:tc>
          <w:tcPr>
            <w:tcW w:w="2761" w:type="dxa"/>
            <w:shd w:val="clear" w:color="auto" w:fill="FFFFFF"/>
            <w:tcMar>
              <w:top w:w="0" w:type="dxa"/>
              <w:left w:w="85" w:type="dxa"/>
              <w:bottom w:w="0" w:type="dxa"/>
              <w:right w:w="85" w:type="dxa"/>
            </w:tcMar>
          </w:tcPr>
          <w:p w14:paraId="6B9FC39E" w14:textId="77777777" w:rsidR="00BF5487" w:rsidRPr="009E06AA" w:rsidRDefault="00BF5487" w:rsidP="001E7F25">
            <w:pPr>
              <w:pStyle w:val="Tableboldblue"/>
              <w:jc w:val="right"/>
            </w:pPr>
            <w:r w:rsidRPr="009E06AA">
              <w:rPr>
                <w:rFonts w:eastAsia="Calibri"/>
              </w:rPr>
              <w:t>9,437.2</w:t>
            </w:r>
          </w:p>
        </w:tc>
        <w:tc>
          <w:tcPr>
            <w:tcW w:w="0" w:type="auto"/>
            <w:shd w:val="clear" w:color="auto" w:fill="FFFFFF"/>
            <w:tcMar>
              <w:top w:w="0" w:type="dxa"/>
              <w:left w:w="85" w:type="dxa"/>
              <w:bottom w:w="0" w:type="dxa"/>
              <w:right w:w="85" w:type="dxa"/>
            </w:tcMar>
          </w:tcPr>
          <w:p w14:paraId="6B20723E" w14:textId="77777777" w:rsidR="00BF5487" w:rsidRPr="009E06AA" w:rsidRDefault="00BF5487" w:rsidP="001E7F25">
            <w:pPr>
              <w:pStyle w:val="Tableboldblue"/>
              <w:jc w:val="right"/>
            </w:pPr>
            <w:r w:rsidRPr="009E06AA">
              <w:rPr>
                <w:rFonts w:eastAsia="Calibri"/>
              </w:rPr>
              <w:t>13.7</w:t>
            </w:r>
          </w:p>
        </w:tc>
      </w:tr>
      <w:tr w:rsidR="00A05DC2" w:rsidRPr="009E06AA" w14:paraId="0C15D92C" w14:textId="77777777" w:rsidTr="001E7F25">
        <w:tc>
          <w:tcPr>
            <w:tcW w:w="0" w:type="auto"/>
            <w:shd w:val="clear" w:color="auto" w:fill="FFFFFF"/>
            <w:tcMar>
              <w:top w:w="0" w:type="dxa"/>
              <w:left w:w="85" w:type="dxa"/>
              <w:bottom w:w="0" w:type="dxa"/>
              <w:right w:w="85" w:type="dxa"/>
            </w:tcMar>
          </w:tcPr>
          <w:p w14:paraId="5BCAC464" w14:textId="77777777" w:rsidR="00BF5487" w:rsidRPr="009E06AA" w:rsidRDefault="00BF5487" w:rsidP="00A05DC2">
            <w:pPr>
              <w:pStyle w:val="TableText"/>
            </w:pPr>
            <w:r w:rsidRPr="009E06AA">
              <w:rPr>
                <w:rFonts w:eastAsia="Calibri"/>
                <w:color w:val="000000"/>
              </w:rPr>
              <w:t>LULUCF</w:t>
            </w:r>
          </w:p>
        </w:tc>
        <w:tc>
          <w:tcPr>
            <w:tcW w:w="1294" w:type="dxa"/>
            <w:shd w:val="clear" w:color="auto" w:fill="FFFFFF"/>
            <w:tcMar>
              <w:top w:w="0" w:type="dxa"/>
              <w:left w:w="85" w:type="dxa"/>
              <w:bottom w:w="0" w:type="dxa"/>
              <w:right w:w="85" w:type="dxa"/>
            </w:tcMar>
          </w:tcPr>
          <w:p w14:paraId="0CDD1496" w14:textId="77777777" w:rsidR="00BF5487" w:rsidRPr="009E06AA" w:rsidRDefault="00BF5487" w:rsidP="001E7F25">
            <w:pPr>
              <w:pStyle w:val="TableText"/>
              <w:jc w:val="right"/>
            </w:pPr>
            <w:r w:rsidRPr="009E06AA">
              <w:rPr>
                <w:rFonts w:eastAsia="Calibri"/>
                <w:color w:val="000000"/>
              </w:rPr>
              <w:t>-24,324.6</w:t>
            </w:r>
          </w:p>
        </w:tc>
        <w:tc>
          <w:tcPr>
            <w:tcW w:w="1276" w:type="dxa"/>
            <w:shd w:val="clear" w:color="auto" w:fill="FFFFFF"/>
            <w:tcMar>
              <w:top w:w="0" w:type="dxa"/>
              <w:left w:w="85" w:type="dxa"/>
              <w:bottom w:w="0" w:type="dxa"/>
              <w:right w:w="85" w:type="dxa"/>
            </w:tcMar>
          </w:tcPr>
          <w:p w14:paraId="186B7352" w14:textId="77777777" w:rsidR="00BF5487" w:rsidRPr="009E06AA" w:rsidRDefault="00BF5487" w:rsidP="001E7F25">
            <w:pPr>
              <w:pStyle w:val="TableText"/>
              <w:jc w:val="right"/>
            </w:pPr>
            <w:r w:rsidRPr="009E06AA">
              <w:rPr>
                <w:rFonts w:eastAsia="Calibri"/>
                <w:color w:val="000000"/>
              </w:rPr>
              <w:t>-19,238.8</w:t>
            </w:r>
          </w:p>
        </w:tc>
        <w:tc>
          <w:tcPr>
            <w:tcW w:w="2761" w:type="dxa"/>
            <w:shd w:val="clear" w:color="auto" w:fill="FFFFFF"/>
            <w:tcMar>
              <w:top w:w="0" w:type="dxa"/>
              <w:left w:w="85" w:type="dxa"/>
              <w:bottom w:w="0" w:type="dxa"/>
              <w:right w:w="85" w:type="dxa"/>
            </w:tcMar>
          </w:tcPr>
          <w:p w14:paraId="6D33C66F" w14:textId="77777777" w:rsidR="00BF5487" w:rsidRPr="009E06AA" w:rsidRDefault="00BF5487" w:rsidP="001E7F25">
            <w:pPr>
              <w:pStyle w:val="TableText"/>
              <w:jc w:val="right"/>
            </w:pPr>
            <w:r w:rsidRPr="009E06AA">
              <w:rPr>
                <w:rFonts w:eastAsia="Calibri"/>
                <w:color w:val="000000"/>
              </w:rPr>
              <w:t>5,085.8</w:t>
            </w:r>
          </w:p>
        </w:tc>
        <w:tc>
          <w:tcPr>
            <w:tcW w:w="0" w:type="auto"/>
            <w:shd w:val="clear" w:color="auto" w:fill="FFFFFF"/>
            <w:tcMar>
              <w:top w:w="0" w:type="dxa"/>
              <w:left w:w="85" w:type="dxa"/>
              <w:bottom w:w="0" w:type="dxa"/>
              <w:right w:w="85" w:type="dxa"/>
            </w:tcMar>
          </w:tcPr>
          <w:p w14:paraId="7650929F" w14:textId="77777777" w:rsidR="00BF5487" w:rsidRPr="009E06AA" w:rsidRDefault="00BF5487" w:rsidP="001E7F25">
            <w:pPr>
              <w:pStyle w:val="TableText"/>
              <w:jc w:val="right"/>
            </w:pPr>
            <w:r w:rsidRPr="009E06AA">
              <w:rPr>
                <w:rFonts w:eastAsia="Calibri"/>
                <w:color w:val="000000"/>
              </w:rPr>
              <w:t>20.9</w:t>
            </w:r>
          </w:p>
        </w:tc>
      </w:tr>
      <w:tr w:rsidR="00A05DC2" w:rsidRPr="009E06AA" w14:paraId="46D79E63" w14:textId="77777777" w:rsidTr="001E7F25">
        <w:tc>
          <w:tcPr>
            <w:tcW w:w="0" w:type="auto"/>
            <w:shd w:val="clear" w:color="auto" w:fill="FFFFFF"/>
            <w:tcMar>
              <w:top w:w="0" w:type="dxa"/>
              <w:left w:w="85" w:type="dxa"/>
              <w:bottom w:w="0" w:type="dxa"/>
              <w:right w:w="85" w:type="dxa"/>
            </w:tcMar>
          </w:tcPr>
          <w:p w14:paraId="3D3926C1" w14:textId="77777777" w:rsidR="00BF5487" w:rsidRPr="009E06AA" w:rsidRDefault="00BF5487" w:rsidP="00A05DC2">
            <w:pPr>
              <w:pStyle w:val="Tableboldblue"/>
            </w:pPr>
            <w:r w:rsidRPr="009E06AA">
              <w:rPr>
                <w:rFonts w:eastAsia="Calibri"/>
              </w:rPr>
              <w:t>Net</w:t>
            </w:r>
          </w:p>
        </w:tc>
        <w:tc>
          <w:tcPr>
            <w:tcW w:w="1294" w:type="dxa"/>
            <w:shd w:val="clear" w:color="auto" w:fill="FFFFFF"/>
            <w:tcMar>
              <w:top w:w="0" w:type="dxa"/>
              <w:left w:w="85" w:type="dxa"/>
              <w:bottom w:w="0" w:type="dxa"/>
              <w:right w:w="85" w:type="dxa"/>
            </w:tcMar>
          </w:tcPr>
          <w:p w14:paraId="549095AD" w14:textId="77777777" w:rsidR="00BF5487" w:rsidRPr="009E06AA" w:rsidRDefault="00BF5487" w:rsidP="001E7F25">
            <w:pPr>
              <w:pStyle w:val="Tableboldblue"/>
              <w:jc w:val="right"/>
            </w:pPr>
            <w:r w:rsidRPr="009E06AA">
              <w:rPr>
                <w:rFonts w:eastAsia="Calibri"/>
              </w:rPr>
              <w:t>44,633.6</w:t>
            </w:r>
          </w:p>
        </w:tc>
        <w:tc>
          <w:tcPr>
            <w:tcW w:w="1276" w:type="dxa"/>
            <w:shd w:val="clear" w:color="auto" w:fill="FFFFFF"/>
            <w:tcMar>
              <w:top w:w="0" w:type="dxa"/>
              <w:left w:w="85" w:type="dxa"/>
              <w:bottom w:w="0" w:type="dxa"/>
              <w:right w:w="85" w:type="dxa"/>
            </w:tcMar>
          </w:tcPr>
          <w:p w14:paraId="49CAE656" w14:textId="77777777" w:rsidR="00BF5487" w:rsidRPr="009E06AA" w:rsidRDefault="00BF5487" w:rsidP="001E7F25">
            <w:pPr>
              <w:pStyle w:val="Tableboldblue"/>
              <w:jc w:val="right"/>
            </w:pPr>
            <w:r w:rsidRPr="009E06AA">
              <w:rPr>
                <w:rFonts w:eastAsia="Calibri"/>
              </w:rPr>
              <w:t>59,156.6</w:t>
            </w:r>
          </w:p>
        </w:tc>
        <w:tc>
          <w:tcPr>
            <w:tcW w:w="2761" w:type="dxa"/>
            <w:shd w:val="clear" w:color="auto" w:fill="FFFFFF"/>
            <w:tcMar>
              <w:top w:w="0" w:type="dxa"/>
              <w:left w:w="85" w:type="dxa"/>
              <w:bottom w:w="0" w:type="dxa"/>
              <w:right w:w="85" w:type="dxa"/>
            </w:tcMar>
          </w:tcPr>
          <w:p w14:paraId="07F35EF1" w14:textId="77777777" w:rsidR="00BF5487" w:rsidRPr="009E06AA" w:rsidRDefault="00BF5487" w:rsidP="001E7F25">
            <w:pPr>
              <w:pStyle w:val="Tableboldblue"/>
              <w:jc w:val="right"/>
            </w:pPr>
            <w:r w:rsidRPr="009E06AA">
              <w:rPr>
                <w:rFonts w:eastAsia="Calibri"/>
              </w:rPr>
              <w:t>14,523.0</w:t>
            </w:r>
          </w:p>
        </w:tc>
        <w:tc>
          <w:tcPr>
            <w:tcW w:w="0" w:type="auto"/>
            <w:shd w:val="clear" w:color="auto" w:fill="FFFFFF"/>
            <w:tcMar>
              <w:top w:w="0" w:type="dxa"/>
              <w:left w:w="85" w:type="dxa"/>
              <w:bottom w:w="0" w:type="dxa"/>
              <w:right w:w="85" w:type="dxa"/>
            </w:tcMar>
          </w:tcPr>
          <w:p w14:paraId="1E8DF408" w14:textId="77777777" w:rsidR="00BF5487" w:rsidRPr="009E06AA" w:rsidRDefault="00BF5487" w:rsidP="001E7F25">
            <w:pPr>
              <w:pStyle w:val="Tableboldblue"/>
              <w:jc w:val="right"/>
            </w:pPr>
            <w:r w:rsidRPr="009E06AA">
              <w:rPr>
                <w:rFonts w:eastAsia="Calibri"/>
              </w:rPr>
              <w:t>32.5</w:t>
            </w:r>
          </w:p>
        </w:tc>
      </w:tr>
    </w:tbl>
    <w:p w14:paraId="58E420BE" w14:textId="77777777" w:rsidR="00BF5487" w:rsidRPr="009E06AA" w:rsidRDefault="00BF5487" w:rsidP="00BF5487">
      <w:pPr>
        <w:pStyle w:val="Noteundertable"/>
      </w:pPr>
      <w:r w:rsidRPr="009E06AA">
        <w:rPr>
          <w:b/>
          <w:bCs/>
        </w:rPr>
        <w:t>Note:</w:t>
      </w:r>
      <w:r w:rsidRPr="009E06AA">
        <w:t xml:space="preserve"> </w:t>
      </w:r>
      <w:r w:rsidRPr="009E06AA">
        <w:tab/>
        <w:t>Columns may not sum due to rounding. Percentages presented are calculated from unrounded values.</w:t>
      </w:r>
    </w:p>
    <w:p w14:paraId="42C8FEA0" w14:textId="77777777" w:rsidR="00BF5487" w:rsidRPr="009E06AA" w:rsidRDefault="00BF5487" w:rsidP="00BF5487">
      <w:pPr>
        <w:pStyle w:val="BodyText"/>
      </w:pPr>
      <w:r w:rsidRPr="009E06AA">
        <w:t>Figure 2.2.4 presents the emissions estimates by sector and the change between 1990 and 2022 in kt CO</w:t>
      </w:r>
      <w:r w:rsidRPr="009E06AA">
        <w:rPr>
          <w:vertAlign w:val="subscript"/>
        </w:rPr>
        <w:t>2</w:t>
      </w:r>
      <w:r w:rsidRPr="009E06AA">
        <w:t>-equivalents.</w:t>
      </w:r>
    </w:p>
    <w:p w14:paraId="33DD25A7" w14:textId="4E4AE6A1" w:rsidR="00BF5487" w:rsidRPr="009E06AA" w:rsidRDefault="00BF5487" w:rsidP="00BF5487">
      <w:pPr>
        <w:pStyle w:val="Figure"/>
      </w:pPr>
      <w:bookmarkStart w:id="202" w:name="_Toc161932248"/>
      <w:bookmarkStart w:id="203" w:name="_Toc164153993"/>
      <w:r w:rsidRPr="009E06AA">
        <w:t xml:space="preserve">Figure 2.2.4 </w:t>
      </w:r>
      <w:r w:rsidRPr="009E06AA">
        <w:tab/>
        <w:t>Change in New Zealand’s emissions by sector</w:t>
      </w:r>
      <w:r w:rsidR="00576F29" w:rsidRPr="009E06AA">
        <w:t>,</w:t>
      </w:r>
      <w:r w:rsidRPr="009E06AA">
        <w:t xml:space="preserve"> comparing </w:t>
      </w:r>
      <w:r w:rsidRPr="009E06AA">
        <w:rPr>
          <w:bCs/>
        </w:rPr>
        <w:t>1990</w:t>
      </w:r>
      <w:r w:rsidRPr="009E06AA">
        <w:t xml:space="preserve"> and </w:t>
      </w:r>
      <w:r w:rsidRPr="009E06AA">
        <w:rPr>
          <w:bCs/>
        </w:rPr>
        <w:t>2022</w:t>
      </w:r>
      <w:bookmarkEnd w:id="202"/>
      <w:bookmarkEnd w:id="203"/>
    </w:p>
    <w:p w14:paraId="45FA563A" w14:textId="77777777" w:rsidR="00BF5487" w:rsidRPr="009E06AA" w:rsidRDefault="00BF5487" w:rsidP="00BF5487">
      <w:pPr>
        <w:pStyle w:val="BodyText"/>
      </w:pPr>
      <w:r w:rsidRPr="009E06AA">
        <w:rPr>
          <w:noProof/>
        </w:rPr>
        <w:drawing>
          <wp:inline distT="0" distB="0" distL="0" distR="0" wp14:anchorId="5633A024" wp14:editId="15936FB4">
            <wp:extent cx="5295331" cy="3882788"/>
            <wp:effectExtent l="0" t="0" r="635" b="3810"/>
            <wp:docPr id="419734092" name="Picture" descr="A graph with different colored bar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419734092" name="Picture" descr="A graph with different colored bars&#10;&#10;Description automatically generated with medium confidence"/>
                    <pic:cNvPicPr>
                      <a:picLocks noChangeAspect="1" noChangeArrowheads="1"/>
                    </pic:cNvPicPr>
                  </pic:nvPicPr>
                  <pic:blipFill rotWithShape="1">
                    <a:blip r:embed="rId23"/>
                    <a:srcRect b="2230"/>
                    <a:stretch/>
                  </pic:blipFill>
                  <pic:spPr bwMode="auto">
                    <a:xfrm>
                      <a:off x="0" y="0"/>
                      <a:ext cx="5300509" cy="3886584"/>
                    </a:xfrm>
                    <a:prstGeom prst="rect">
                      <a:avLst/>
                    </a:prstGeom>
                    <a:noFill/>
                    <a:ln>
                      <a:noFill/>
                    </a:ln>
                    <a:extLst>
                      <a:ext uri="{53640926-AAD7-44D8-BBD7-CCE9431645EC}">
                        <a14:shadowObscured xmlns:a14="http://schemas.microsoft.com/office/drawing/2010/main"/>
                      </a:ext>
                    </a:extLst>
                  </pic:spPr>
                </pic:pic>
              </a:graphicData>
            </a:graphic>
          </wp:inline>
        </w:drawing>
      </w:r>
    </w:p>
    <w:p w14:paraId="2FCAD1C1" w14:textId="77777777" w:rsidR="00BF5487" w:rsidRPr="009E06AA" w:rsidRDefault="00BF5487" w:rsidP="00BF5487">
      <w:pPr>
        <w:pStyle w:val="BodyText"/>
      </w:pPr>
      <w:r w:rsidRPr="009E06AA">
        <w:t>Figure 2.2.5 presents the absolute change in gross emissions for each sector (LULUCF is excluded from the estimate of gross emissions) and the change between 1990 and 2022 estimates is provided for each sector in kt CO</w:t>
      </w:r>
      <w:r w:rsidRPr="009E06AA">
        <w:rPr>
          <w:vertAlign w:val="subscript"/>
        </w:rPr>
        <w:t>2</w:t>
      </w:r>
      <w:r w:rsidRPr="009E06AA">
        <w:t>-equivalents.</w:t>
      </w:r>
    </w:p>
    <w:p w14:paraId="12DD950F" w14:textId="77777777" w:rsidR="00BF5487" w:rsidRPr="009E06AA" w:rsidRDefault="00BF5487" w:rsidP="00BF5487">
      <w:pPr>
        <w:pStyle w:val="BodyText"/>
      </w:pPr>
      <w:r w:rsidRPr="009E06AA">
        <w:t>The figure shows that the absolute changes in New Zealand’s gross emissions were mostly influenced by changes in the Energy and Agriculture sectors. This is to be expected because they are the largest sectors of the New Zealand economy and show higher sensitivity to both changes in global economic conditions, extreme weather conditions and natural disasters.</w:t>
      </w:r>
    </w:p>
    <w:p w14:paraId="59AC1FEA" w14:textId="71ADD5A2" w:rsidR="00BF5487" w:rsidRPr="009E06AA" w:rsidRDefault="00BF5487" w:rsidP="00BF5487">
      <w:pPr>
        <w:pStyle w:val="BodyText"/>
      </w:pPr>
      <w:r w:rsidRPr="009E06AA">
        <w:t>For example, during droughts, the level of inflow to hydro lakes is low resulting in lower levels</w:t>
      </w:r>
      <w:r w:rsidR="002233B1" w:rsidRPr="009E06AA">
        <w:t> </w:t>
      </w:r>
      <w:r w:rsidRPr="009E06AA">
        <w:t>of hydro electricity production. Consequently, electricity produced from fossil fuels makes a higher contribution to the national electricity grid resulting in increased emissions from the Energy sector. Droughts also affect the size of the livestock population and livestock productivity, which usually results in reduced emissions from the Agriculture sector as the population and productivity decline.</w:t>
      </w:r>
    </w:p>
    <w:p w14:paraId="3B512814" w14:textId="77777777" w:rsidR="00BF5487" w:rsidRPr="009E06AA" w:rsidRDefault="00BF5487" w:rsidP="00BF5487">
      <w:pPr>
        <w:pStyle w:val="BodyText"/>
      </w:pPr>
      <w:r w:rsidRPr="009E06AA">
        <w:t>Emissions from Tokelau have increased since 1990, mainly due to increases in CO</w:t>
      </w:r>
      <w:r w:rsidRPr="009E06AA">
        <w:rPr>
          <w:vertAlign w:val="subscript"/>
        </w:rPr>
        <w:t>2</w:t>
      </w:r>
      <w:r w:rsidRPr="009E06AA">
        <w:t xml:space="preserve"> emissions from the </w:t>
      </w:r>
      <w:r w:rsidRPr="009E06AA">
        <w:rPr>
          <w:i/>
          <w:iCs/>
        </w:rPr>
        <w:t>Domestic navigation</w:t>
      </w:r>
      <w:r w:rsidRPr="009E06AA">
        <w:t xml:space="preserve"> category (figure 2.2.5). However, the change in emissions over time is unable to be seen because of the small size of the Tokelau sector.</w:t>
      </w:r>
    </w:p>
    <w:p w14:paraId="337B5977" w14:textId="1FB4A0FF" w:rsidR="00BF5487" w:rsidRPr="009E06AA" w:rsidRDefault="00BF5487" w:rsidP="00570EBD">
      <w:pPr>
        <w:pStyle w:val="Figure"/>
        <w:spacing w:after="80"/>
      </w:pPr>
      <w:bookmarkStart w:id="204" w:name="_Toc161932249"/>
      <w:bookmarkStart w:id="205" w:name="_Toc164153994"/>
      <w:r w:rsidRPr="009E06AA">
        <w:t xml:space="preserve">Figure 2.2.5 </w:t>
      </w:r>
      <w:r w:rsidRPr="009E06AA">
        <w:tab/>
        <w:t>Absolute change in New Zealand’s gross emissions by sector</w:t>
      </w:r>
      <w:r w:rsidR="00223334" w:rsidRPr="009E06AA">
        <w:t>,</w:t>
      </w:r>
      <w:r w:rsidRPr="009E06AA">
        <w:t xml:space="preserve"> from </w:t>
      </w:r>
      <w:r w:rsidRPr="009E06AA">
        <w:rPr>
          <w:bCs/>
        </w:rPr>
        <w:t>1990</w:t>
      </w:r>
      <w:r w:rsidRPr="009E06AA">
        <w:t xml:space="preserve"> to </w:t>
      </w:r>
      <w:r w:rsidRPr="009E06AA">
        <w:rPr>
          <w:bCs/>
        </w:rPr>
        <w:t>2022</w:t>
      </w:r>
      <w:bookmarkEnd w:id="204"/>
      <w:bookmarkEnd w:id="205"/>
    </w:p>
    <w:p w14:paraId="1E23E7AD" w14:textId="77777777" w:rsidR="00BF5487" w:rsidRPr="009E06AA" w:rsidRDefault="00BF5487" w:rsidP="00BF5487">
      <w:pPr>
        <w:pStyle w:val="BodyText"/>
      </w:pPr>
      <w:r w:rsidRPr="009E06AA">
        <w:rPr>
          <w:noProof/>
        </w:rPr>
        <w:drawing>
          <wp:inline distT="0" distB="0" distL="0" distR="0" wp14:anchorId="54311213" wp14:editId="69D7E113">
            <wp:extent cx="5111434" cy="3666744"/>
            <wp:effectExtent l="0" t="0" r="0" b="0"/>
            <wp:docPr id="5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descr="code/graphs/images/fig_2_2_5_crf.png"/>
                    <pic:cNvPicPr>
                      <a:picLocks noChangeAspect="1" noChangeArrowheads="1"/>
                    </pic:cNvPicPr>
                  </pic:nvPicPr>
                  <pic:blipFill rotWithShape="1">
                    <a:blip r:embed="rId38"/>
                    <a:srcRect b="2567"/>
                    <a:stretch/>
                  </pic:blipFill>
                  <pic:spPr bwMode="auto">
                    <a:xfrm>
                      <a:off x="0" y="0"/>
                      <a:ext cx="5113539" cy="3668254"/>
                    </a:xfrm>
                    <a:prstGeom prst="rect">
                      <a:avLst/>
                    </a:prstGeom>
                    <a:noFill/>
                    <a:ln>
                      <a:noFill/>
                    </a:ln>
                    <a:extLst>
                      <a:ext uri="{53640926-AAD7-44D8-BBD7-CCE9431645EC}">
                        <a14:shadowObscured xmlns:a14="http://schemas.microsoft.com/office/drawing/2010/main"/>
                      </a:ext>
                    </a:extLst>
                  </pic:spPr>
                </pic:pic>
              </a:graphicData>
            </a:graphic>
          </wp:inline>
        </w:drawing>
      </w:r>
    </w:p>
    <w:p w14:paraId="627B8939" w14:textId="77777777" w:rsidR="00BF5487" w:rsidRPr="009E06AA" w:rsidRDefault="00BF5487" w:rsidP="00570EBD">
      <w:pPr>
        <w:pStyle w:val="Noteundertable"/>
        <w:spacing w:after="80"/>
      </w:pPr>
      <w:r w:rsidRPr="009E06AA">
        <w:rPr>
          <w:b/>
          <w:bCs/>
        </w:rPr>
        <w:t>Note:</w:t>
      </w:r>
      <w:r w:rsidRPr="009E06AA">
        <w:t xml:space="preserve"> </w:t>
      </w:r>
      <w:r w:rsidRPr="009E06AA">
        <w:tab/>
        <w:t>Gross emissions exclude emissions from LULUCF.</w:t>
      </w:r>
    </w:p>
    <w:p w14:paraId="384C4472" w14:textId="77777777" w:rsidR="00BF5487" w:rsidRPr="009E06AA" w:rsidRDefault="00BF5487" w:rsidP="00BF5487">
      <w:pPr>
        <w:pStyle w:val="BodyText"/>
      </w:pPr>
      <w:r w:rsidRPr="009E06AA">
        <w:t>Net emissions from the LULUCF sector fluctuated significantly over the time series. The fluctuations in net emissions from LULUCF (figure 2.2.6) were mainly influenced by harvesting, afforestation and deforestation rates (see the LULUCF sector section below).</w:t>
      </w:r>
    </w:p>
    <w:p w14:paraId="60EAA31A" w14:textId="6F910CE2" w:rsidR="00BF5487" w:rsidRPr="009E06AA" w:rsidRDefault="00BF5487" w:rsidP="00570EBD">
      <w:pPr>
        <w:pStyle w:val="Figure"/>
        <w:spacing w:after="80"/>
      </w:pPr>
      <w:bookmarkStart w:id="206" w:name="_Toc161932250"/>
      <w:bookmarkStart w:id="207" w:name="_Toc164153995"/>
      <w:r w:rsidRPr="009E06AA">
        <w:t xml:space="preserve">Figure 2.2.6 </w:t>
      </w:r>
      <w:r w:rsidRPr="009E06AA">
        <w:tab/>
        <w:t>Absolute change in net emissions from the LULUCF sector</w:t>
      </w:r>
      <w:r w:rsidR="00223334" w:rsidRPr="009E06AA">
        <w:t>,</w:t>
      </w:r>
      <w:r w:rsidRPr="009E06AA">
        <w:t xml:space="preserve"> from </w:t>
      </w:r>
      <w:r w:rsidRPr="009E06AA">
        <w:rPr>
          <w:bCs/>
        </w:rPr>
        <w:t>1990</w:t>
      </w:r>
      <w:r w:rsidRPr="009E06AA">
        <w:t xml:space="preserve"> to </w:t>
      </w:r>
      <w:r w:rsidRPr="009E06AA">
        <w:rPr>
          <w:bCs/>
        </w:rPr>
        <w:t>2022</w:t>
      </w:r>
      <w:bookmarkEnd w:id="206"/>
      <w:bookmarkEnd w:id="207"/>
    </w:p>
    <w:p w14:paraId="2480068C" w14:textId="77777777" w:rsidR="00BF5487" w:rsidRPr="009E06AA" w:rsidRDefault="00BF5487" w:rsidP="002233B1">
      <w:pPr>
        <w:pStyle w:val="BodyText"/>
        <w:spacing w:after="0"/>
      </w:pPr>
      <w:r w:rsidRPr="009E06AA">
        <w:rPr>
          <w:noProof/>
        </w:rPr>
        <w:drawing>
          <wp:inline distT="0" distB="0" distL="0" distR="0" wp14:anchorId="06ACDB9D" wp14:editId="73F03EE4">
            <wp:extent cx="4892040" cy="3529742"/>
            <wp:effectExtent l="0" t="0" r="3810" b="0"/>
            <wp:docPr id="53" name="Picture" descr="A graph showing the growth of a stock mar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descr="A graph showing the growth of a stock market&#10;&#10;Description automatically generated"/>
                    <pic:cNvPicPr>
                      <a:picLocks noChangeAspect="1" noChangeArrowheads="1"/>
                    </pic:cNvPicPr>
                  </pic:nvPicPr>
                  <pic:blipFill>
                    <a:blip r:embed="rId39"/>
                    <a:stretch>
                      <a:fillRect/>
                    </a:stretch>
                  </pic:blipFill>
                  <pic:spPr bwMode="auto">
                    <a:xfrm>
                      <a:off x="0" y="0"/>
                      <a:ext cx="4910093" cy="3542768"/>
                    </a:xfrm>
                    <a:prstGeom prst="rect">
                      <a:avLst/>
                    </a:prstGeom>
                    <a:noFill/>
                    <a:ln w="9525">
                      <a:noFill/>
                      <a:headEnd/>
                      <a:tailEnd/>
                    </a:ln>
                  </pic:spPr>
                </pic:pic>
              </a:graphicData>
            </a:graphic>
          </wp:inline>
        </w:drawing>
      </w:r>
    </w:p>
    <w:p w14:paraId="5E87E420" w14:textId="77777777" w:rsidR="00BF5487" w:rsidRPr="009E06AA" w:rsidRDefault="00BF5487" w:rsidP="005E75EE">
      <w:pPr>
        <w:pStyle w:val="Heading4"/>
      </w:pPr>
      <w:bookmarkStart w:id="208" w:name="energy-sector"/>
      <w:r w:rsidRPr="009E06AA">
        <w:t>Energy sector</w:t>
      </w:r>
    </w:p>
    <w:p w14:paraId="1E479377" w14:textId="77777777" w:rsidR="00BF5487" w:rsidRPr="009E06AA" w:rsidRDefault="00BF5487" w:rsidP="002233B1">
      <w:pPr>
        <w:pStyle w:val="BodyText"/>
        <w:spacing w:before="100" w:after="100"/>
      </w:pPr>
      <w:r w:rsidRPr="009E06AA">
        <w:t>Emissions from the Energy sector were dominated by CO</w:t>
      </w:r>
      <w:r w:rsidRPr="009E06AA">
        <w:rPr>
          <w:vertAlign w:val="subscript"/>
        </w:rPr>
        <w:t>2</w:t>
      </w:r>
      <w:r w:rsidRPr="009E06AA">
        <w:t xml:space="preserve"> (97.3 per cent of all emissions from the sector on a CO</w:t>
      </w:r>
      <w:r w:rsidRPr="009E06AA">
        <w:rPr>
          <w:vertAlign w:val="subscript"/>
        </w:rPr>
        <w:t>2</w:t>
      </w:r>
      <w:r w:rsidRPr="009E06AA">
        <w:t>-e basis) and smaller amounts of CH</w:t>
      </w:r>
      <w:r w:rsidRPr="009E06AA">
        <w:rPr>
          <w:vertAlign w:val="subscript"/>
        </w:rPr>
        <w:t>4</w:t>
      </w:r>
      <w:r w:rsidRPr="009E06AA">
        <w:t xml:space="preserve"> and N</w:t>
      </w:r>
      <w:r w:rsidRPr="009E06AA">
        <w:rPr>
          <w:vertAlign w:val="subscript"/>
        </w:rPr>
        <w:t>2</w:t>
      </w:r>
      <w:r w:rsidRPr="009E06AA">
        <w:t xml:space="preserve">O (around 2.0 per cent and 0.7 per cent, respectively). The major source categories in the sector were </w:t>
      </w:r>
      <w:r w:rsidRPr="009E06AA">
        <w:rPr>
          <w:i/>
          <w:iCs/>
        </w:rPr>
        <w:t>Road transportation</w:t>
      </w:r>
      <w:r w:rsidRPr="009E06AA">
        <w:t xml:space="preserve"> and </w:t>
      </w:r>
      <w:r w:rsidRPr="009E06AA">
        <w:rPr>
          <w:i/>
          <w:iCs/>
        </w:rPr>
        <w:t>Public electricity and heat production</w:t>
      </w:r>
      <w:r w:rsidRPr="009E06AA">
        <w:t>.</w:t>
      </w:r>
    </w:p>
    <w:p w14:paraId="3AF10F07" w14:textId="77777777" w:rsidR="00BF5487" w:rsidRPr="009E06AA" w:rsidRDefault="00BF5487" w:rsidP="002233B1">
      <w:pPr>
        <w:pStyle w:val="BodyText"/>
        <w:spacing w:before="100" w:after="100"/>
      </w:pPr>
      <w:r w:rsidRPr="009E06AA">
        <w:t>Emissions in the Energy sector were influenced not only by demand but also climatic conditions. A large proportion of New Zealand’s stationary energy needs are met by renewables, mainly hydro power and wind. Electricity generated from renewable energy sources was 87 per cent in 2022.</w:t>
      </w:r>
    </w:p>
    <w:p w14:paraId="4CDA4E5E" w14:textId="77777777" w:rsidR="00BF5487" w:rsidRPr="009E06AA" w:rsidRDefault="00BF5487" w:rsidP="00BF2A76">
      <w:pPr>
        <w:pStyle w:val="Heading5"/>
      </w:pPr>
      <w:r w:rsidRPr="009E06AA">
        <w:t>2022</w:t>
      </w:r>
    </w:p>
    <w:p w14:paraId="6DFD4948" w14:textId="77777777" w:rsidR="00BF5487" w:rsidRPr="009E06AA" w:rsidRDefault="00BF5487" w:rsidP="00BF5487">
      <w:pPr>
        <w:pStyle w:val="BodyText"/>
      </w:pPr>
      <w:r w:rsidRPr="009E06AA">
        <w:t>In 2022, emissions from the Energy sector contributed 28,716.1 kt CO</w:t>
      </w:r>
      <w:r w:rsidRPr="009E06AA">
        <w:rPr>
          <w:vertAlign w:val="subscript"/>
        </w:rPr>
        <w:t>2</w:t>
      </w:r>
      <w:r w:rsidRPr="009E06AA">
        <w:t>-e or 36.6 per cent of New Zealand’s gross GHG emissions (see figure 2.2.1).</w:t>
      </w:r>
    </w:p>
    <w:p w14:paraId="28F146E5" w14:textId="77777777" w:rsidR="00BF5487" w:rsidRPr="009E06AA" w:rsidRDefault="00BF5487" w:rsidP="00BF5487">
      <w:pPr>
        <w:pStyle w:val="BodyText"/>
      </w:pPr>
      <w:r w:rsidRPr="009E06AA">
        <w:t xml:space="preserve">The largest sources of emissions in the Energy sector were the </w:t>
      </w:r>
      <w:r w:rsidRPr="009E06AA">
        <w:rPr>
          <w:i/>
          <w:iCs/>
        </w:rPr>
        <w:t>Road transportation</w:t>
      </w:r>
      <w:r w:rsidRPr="009E06AA">
        <w:t xml:space="preserve"> category, contributing 12,441.5 kt CO</w:t>
      </w:r>
      <w:r w:rsidRPr="009E06AA">
        <w:rPr>
          <w:vertAlign w:val="subscript"/>
        </w:rPr>
        <w:t>2</w:t>
      </w:r>
      <w:r w:rsidRPr="009E06AA">
        <w:t xml:space="preserve">-e (43.3 per cent), and the </w:t>
      </w:r>
      <w:r w:rsidRPr="009E06AA">
        <w:rPr>
          <w:i/>
          <w:iCs/>
        </w:rPr>
        <w:t>Manufacturing industries and construction</w:t>
      </w:r>
      <w:r w:rsidRPr="009E06AA">
        <w:t xml:space="preserve"> category, contributing 6,098.9 kt CO</w:t>
      </w:r>
      <w:r w:rsidRPr="009E06AA">
        <w:rPr>
          <w:vertAlign w:val="subscript"/>
        </w:rPr>
        <w:t>2</w:t>
      </w:r>
      <w:r w:rsidRPr="009E06AA">
        <w:t>-e (21.2 per cent) to energy emissions.</w:t>
      </w:r>
    </w:p>
    <w:p w14:paraId="4B397CDB" w14:textId="77777777" w:rsidR="00BF5487" w:rsidRPr="009E06AA" w:rsidRDefault="00BF5487" w:rsidP="00BF2A76">
      <w:pPr>
        <w:pStyle w:val="Heading5"/>
      </w:pPr>
      <w:r w:rsidRPr="009E06AA">
        <w:t>1990–2022</w:t>
      </w:r>
    </w:p>
    <w:p w14:paraId="7777CA34" w14:textId="1C92D4DF" w:rsidR="00BF5487" w:rsidRPr="009E06AA" w:rsidRDefault="00BF5487" w:rsidP="00BF5487">
      <w:pPr>
        <w:pStyle w:val="BodyText"/>
      </w:pPr>
      <w:r w:rsidRPr="009E06AA">
        <w:t>In 2022, emissions from the Energy sector had increased by 19.7 per cent (4,717.8 kt CO</w:t>
      </w:r>
      <w:r w:rsidRPr="009E06AA">
        <w:rPr>
          <w:vertAlign w:val="subscript"/>
        </w:rPr>
        <w:t>2</w:t>
      </w:r>
      <w:r w:rsidRPr="009E06AA">
        <w:t xml:space="preserve">-e) </w:t>
      </w:r>
      <w:r w:rsidRPr="009E06AA">
        <w:rPr>
          <w:spacing w:val="-2"/>
        </w:rPr>
        <w:t>from the 1990 level of 23,998.3 kt CO</w:t>
      </w:r>
      <w:r w:rsidRPr="009E06AA">
        <w:rPr>
          <w:spacing w:val="-2"/>
          <w:vertAlign w:val="subscript"/>
        </w:rPr>
        <w:t>2</w:t>
      </w:r>
      <w:r w:rsidRPr="009E06AA">
        <w:rPr>
          <w:spacing w:val="-2"/>
        </w:rPr>
        <w:t xml:space="preserve">-e. This growth was primarily due to </w:t>
      </w:r>
      <w:r w:rsidRPr="009E06AA">
        <w:rPr>
          <w:i/>
          <w:iCs/>
          <w:spacing w:val="-2"/>
        </w:rPr>
        <w:t>Road transportation</w:t>
      </w:r>
      <w:r w:rsidRPr="009E06AA">
        <w:t>, which increased by 5,613.9 kt CO</w:t>
      </w:r>
      <w:r w:rsidRPr="009E06AA">
        <w:rPr>
          <w:vertAlign w:val="subscript"/>
        </w:rPr>
        <w:t>2</w:t>
      </w:r>
      <w:r w:rsidRPr="009E06AA">
        <w:t xml:space="preserve">-e (82.2 per cent), </w:t>
      </w:r>
      <w:r w:rsidRPr="009E06AA">
        <w:rPr>
          <w:i/>
          <w:iCs/>
        </w:rPr>
        <w:t>Food processing, beverages and tobacco</w:t>
      </w:r>
      <w:r w:rsidRPr="009E06AA">
        <w:t>, which increased by 1,013.2 kt CO</w:t>
      </w:r>
      <w:r w:rsidRPr="009E06AA">
        <w:rPr>
          <w:vertAlign w:val="subscript"/>
        </w:rPr>
        <w:t>2</w:t>
      </w:r>
      <w:r w:rsidRPr="009E06AA">
        <w:t xml:space="preserve">-e (60.6 per cent), and </w:t>
      </w:r>
      <w:r w:rsidRPr="009E06AA">
        <w:rPr>
          <w:i/>
          <w:iCs/>
        </w:rPr>
        <w:t>Chemicals</w:t>
      </w:r>
      <w:r w:rsidRPr="009E06AA">
        <w:t>, which increased by 728.7</w:t>
      </w:r>
      <w:r w:rsidR="002233B1" w:rsidRPr="009E06AA">
        <w:t> </w:t>
      </w:r>
      <w:r w:rsidRPr="009E06AA">
        <w:t>kt CO</w:t>
      </w:r>
      <w:r w:rsidRPr="009E06AA">
        <w:rPr>
          <w:vertAlign w:val="subscript"/>
        </w:rPr>
        <w:t>2</w:t>
      </w:r>
      <w:r w:rsidRPr="009E06AA">
        <w:t>-e (135.9 per cent). The underlying drivers of these increases are often nuanced but key factors include population growth and increased economic activity.</w:t>
      </w:r>
    </w:p>
    <w:p w14:paraId="49951544" w14:textId="77777777" w:rsidR="00BF5487" w:rsidRPr="009E06AA" w:rsidRDefault="00BF5487" w:rsidP="00BF5487">
      <w:pPr>
        <w:pStyle w:val="BodyText"/>
      </w:pPr>
      <w:r w:rsidRPr="009E06AA">
        <w:t xml:space="preserve">The category showing the largest decrease since 1990 was </w:t>
      </w:r>
      <w:r w:rsidRPr="009E06AA">
        <w:rPr>
          <w:i/>
          <w:iCs/>
        </w:rPr>
        <w:t>Manufacture of solid fuels and other energy industries</w:t>
      </w:r>
      <w:r w:rsidRPr="009E06AA">
        <w:t>, a historically significant contributor to New Zealand’s emissions. Emissions for this category in 2022 had decreased from the 1990 level by 1,472.9 CO</w:t>
      </w:r>
      <w:r w:rsidRPr="009E06AA">
        <w:rPr>
          <w:vertAlign w:val="subscript"/>
        </w:rPr>
        <w:t>2</w:t>
      </w:r>
      <w:r w:rsidRPr="009E06AA">
        <w:t>-e (85.8 per cent). This decrease was primarily due to the cessation of synthetic gasoline production in New Zealand in 1997.</w:t>
      </w:r>
    </w:p>
    <w:p w14:paraId="775DAC97" w14:textId="77777777" w:rsidR="00BF5487" w:rsidRPr="009E06AA" w:rsidRDefault="00BF5487" w:rsidP="00BF5487">
      <w:pPr>
        <w:pStyle w:val="BodyText"/>
      </w:pPr>
      <w:r w:rsidRPr="009E06AA">
        <w:t>Figure 2.2.7 shows the Energy sector emissions time series from 1990 to 2022. Emissions increased from 1990 to around 2006, before decreasing slightly and then remaining steady until 2019. Since 2019 there has been a decrease in emissions due to the impact of the COVID</w:t>
      </w:r>
      <w:r w:rsidRPr="009E06AA">
        <w:noBreakHyphen/>
        <w:t>19 pandemic and relatively high levels of hydro power generation in 2022.</w:t>
      </w:r>
    </w:p>
    <w:p w14:paraId="5FB3035B" w14:textId="2AA8276C" w:rsidR="00BF5487" w:rsidRPr="009E06AA" w:rsidRDefault="00BF5487" w:rsidP="00BF5487">
      <w:pPr>
        <w:pStyle w:val="Figure"/>
      </w:pPr>
      <w:bookmarkStart w:id="209" w:name="_Toc161932251"/>
      <w:bookmarkStart w:id="210" w:name="_Toc164153996"/>
      <w:r w:rsidRPr="009E06AA">
        <w:t xml:space="preserve">Figure 2.2.7 </w:t>
      </w:r>
      <w:r w:rsidRPr="009E06AA">
        <w:tab/>
        <w:t>New Zealand’s Energy sector emissions</w:t>
      </w:r>
      <w:r w:rsidR="00223334" w:rsidRPr="009E06AA">
        <w:t>,</w:t>
      </w:r>
      <w:r w:rsidRPr="009E06AA">
        <w:t xml:space="preserve"> from </w:t>
      </w:r>
      <w:r w:rsidRPr="009E06AA">
        <w:rPr>
          <w:bCs/>
        </w:rPr>
        <w:t>1990</w:t>
      </w:r>
      <w:r w:rsidRPr="009E06AA">
        <w:t xml:space="preserve"> to </w:t>
      </w:r>
      <w:r w:rsidRPr="009E06AA">
        <w:rPr>
          <w:bCs/>
        </w:rPr>
        <w:t>2022</w:t>
      </w:r>
      <w:bookmarkEnd w:id="209"/>
      <w:bookmarkEnd w:id="210"/>
    </w:p>
    <w:p w14:paraId="7194A67A" w14:textId="77777777" w:rsidR="00BF5487" w:rsidRPr="009E06AA" w:rsidRDefault="00BF5487" w:rsidP="00BF5487">
      <w:pPr>
        <w:pStyle w:val="BodyText"/>
      </w:pPr>
      <w:r w:rsidRPr="009E06AA">
        <w:rPr>
          <w:noProof/>
        </w:rPr>
        <w:drawing>
          <wp:inline distT="0" distB="0" distL="0" distR="0" wp14:anchorId="18B3F39C" wp14:editId="4A955FCB">
            <wp:extent cx="5397500" cy="4048125"/>
            <wp:effectExtent l="0" t="0" r="0" b="0"/>
            <wp:docPr id="57" name="Picture"/>
            <wp:cNvGraphicFramePr/>
            <a:graphic xmlns:a="http://schemas.openxmlformats.org/drawingml/2006/main">
              <a:graphicData uri="http://schemas.openxmlformats.org/drawingml/2006/picture">
                <pic:pic xmlns:pic="http://schemas.openxmlformats.org/drawingml/2006/picture">
                  <pic:nvPicPr>
                    <pic:cNvPr id="58" name="Picture" descr="code/graphs/images/fig_2_2_7_crf.png"/>
                    <pic:cNvPicPr>
                      <a:picLocks noChangeAspect="1" noChangeArrowheads="1"/>
                    </pic:cNvPicPr>
                  </pic:nvPicPr>
                  <pic:blipFill>
                    <a:blip r:embed="rId40"/>
                    <a:stretch>
                      <a:fillRect/>
                    </a:stretch>
                  </pic:blipFill>
                  <pic:spPr bwMode="auto">
                    <a:xfrm>
                      <a:off x="0" y="0"/>
                      <a:ext cx="5397500" cy="4048125"/>
                    </a:xfrm>
                    <a:prstGeom prst="rect">
                      <a:avLst/>
                    </a:prstGeom>
                    <a:noFill/>
                    <a:ln w="9525">
                      <a:noFill/>
                      <a:headEnd/>
                      <a:tailEnd/>
                    </a:ln>
                  </pic:spPr>
                </pic:pic>
              </a:graphicData>
            </a:graphic>
          </wp:inline>
        </w:drawing>
      </w:r>
    </w:p>
    <w:p w14:paraId="6EC39027" w14:textId="77777777" w:rsidR="00BF5487" w:rsidRPr="009E06AA" w:rsidRDefault="00BF5487" w:rsidP="00BF2A76">
      <w:pPr>
        <w:pStyle w:val="Heading5"/>
      </w:pPr>
      <w:r w:rsidRPr="009E06AA">
        <w:t>2021–2022</w:t>
      </w:r>
    </w:p>
    <w:p w14:paraId="5F7E0F7E" w14:textId="5CA29B47" w:rsidR="00BF5487" w:rsidRPr="009E06AA" w:rsidRDefault="00BF5487" w:rsidP="00BF5487">
      <w:pPr>
        <w:pStyle w:val="BodyText"/>
      </w:pPr>
      <w:r w:rsidRPr="009E06AA">
        <w:t>Between 2021 and 2022, emissions from the Energy sector decreased by 2,515.6 kt CO</w:t>
      </w:r>
      <w:r w:rsidRPr="009E06AA">
        <w:rPr>
          <w:vertAlign w:val="subscript"/>
        </w:rPr>
        <w:t>2</w:t>
      </w:r>
      <w:r w:rsidRPr="009E06AA">
        <w:t xml:space="preserve">-e (8.1 per cent). This was primarily due to combined decreases in </w:t>
      </w:r>
      <w:r w:rsidRPr="009E06AA">
        <w:rPr>
          <w:i/>
        </w:rPr>
        <w:t>P</w:t>
      </w:r>
      <w:r w:rsidRPr="009E06AA">
        <w:rPr>
          <w:i/>
          <w:iCs/>
        </w:rPr>
        <w:t>ublic electricity and heat production</w:t>
      </w:r>
      <w:r w:rsidRPr="009E06AA">
        <w:t xml:space="preserve"> (down 1,710.8 kt CO</w:t>
      </w:r>
      <w:r w:rsidRPr="009E06AA">
        <w:rPr>
          <w:vertAlign w:val="subscript"/>
        </w:rPr>
        <w:t>2</w:t>
      </w:r>
      <w:r w:rsidRPr="009E06AA">
        <w:t xml:space="preserve">-e or 38.7 per cent), </w:t>
      </w:r>
      <w:r w:rsidRPr="009E06AA">
        <w:rPr>
          <w:i/>
          <w:iCs/>
        </w:rPr>
        <w:t>Petroleum refining</w:t>
      </w:r>
      <w:r w:rsidRPr="009E06AA">
        <w:t xml:space="preserve"> (down 554.2 kt CO</w:t>
      </w:r>
      <w:r w:rsidRPr="009E06AA">
        <w:rPr>
          <w:vertAlign w:val="subscript"/>
        </w:rPr>
        <w:t>2</w:t>
      </w:r>
      <w:r w:rsidRPr="009E06AA">
        <w:t xml:space="preserve">-e or 75.9 per cent) and </w:t>
      </w:r>
      <w:r w:rsidRPr="009E06AA">
        <w:rPr>
          <w:i/>
          <w:iCs/>
        </w:rPr>
        <w:t>Road transportation</w:t>
      </w:r>
      <w:r w:rsidRPr="009E06AA">
        <w:t xml:space="preserve"> (down 206.0 kt CO</w:t>
      </w:r>
      <w:r w:rsidRPr="009E06AA">
        <w:rPr>
          <w:vertAlign w:val="subscript"/>
        </w:rPr>
        <w:t>2</w:t>
      </w:r>
      <w:r w:rsidRPr="009E06AA">
        <w:t xml:space="preserve">-e or 1.6 per cent). This decrease was partially offset by category 1.A.3.a </w:t>
      </w:r>
      <w:r w:rsidRPr="009E06AA">
        <w:rPr>
          <w:i/>
          <w:iCs/>
        </w:rPr>
        <w:t>Domestic aviation</w:t>
      </w:r>
      <w:r w:rsidRPr="009E06AA">
        <w:t>, which increased by 199.7 kt CO</w:t>
      </w:r>
      <w:r w:rsidRPr="009E06AA">
        <w:rPr>
          <w:vertAlign w:val="subscript"/>
        </w:rPr>
        <w:t>2</w:t>
      </w:r>
      <w:r w:rsidRPr="009E06AA">
        <w:t>-e (24.2 per cent). Further information on these changes is provided under the relevant categories of chapter 3, section 3.</w:t>
      </w:r>
      <w:r w:rsidR="00B73CD6" w:rsidRPr="009E06AA">
        <w:t>2</w:t>
      </w:r>
      <w:r w:rsidRPr="009E06AA">
        <w:t>.</w:t>
      </w:r>
    </w:p>
    <w:p w14:paraId="02254133" w14:textId="2359B80C" w:rsidR="00BF5487" w:rsidRPr="009E06AA" w:rsidRDefault="00BF5487" w:rsidP="00BF5487">
      <w:pPr>
        <w:pStyle w:val="BodyText"/>
      </w:pPr>
      <w:r w:rsidRPr="009E06AA">
        <w:t>The 2020 calendar year saw disruption to economic activity in New Zealand, with the effects of</w:t>
      </w:r>
      <w:r w:rsidR="001365A7" w:rsidRPr="009E06AA">
        <w:t> </w:t>
      </w:r>
      <w:r w:rsidRPr="009E06AA">
        <w:t>the COVID-19 pandemic being felt by the Energy sector throughout the year. The sector saw a rebound during 2021, but consumption remained below pre-2020 levels. National energy consumption in 2022 remained flat and was 6.5 per cent below the level seen in 2019.</w:t>
      </w:r>
    </w:p>
    <w:p w14:paraId="6A42EEA2" w14:textId="77777777" w:rsidR="00BF5487" w:rsidRPr="009E06AA" w:rsidRDefault="00BF5487" w:rsidP="005E75EE">
      <w:pPr>
        <w:pStyle w:val="Heading4"/>
      </w:pPr>
      <w:bookmarkStart w:id="211" w:name="ippu-sector"/>
      <w:bookmarkEnd w:id="208"/>
      <w:r w:rsidRPr="009E06AA">
        <w:t>IPPU sector</w:t>
      </w:r>
    </w:p>
    <w:p w14:paraId="24C9A408" w14:textId="77777777" w:rsidR="00BF5487" w:rsidRPr="009E06AA" w:rsidRDefault="00BF5487" w:rsidP="00BF5487">
      <w:pPr>
        <w:pStyle w:val="BodyText"/>
      </w:pPr>
      <w:r w:rsidRPr="009E06AA">
        <w:t>The IPPU sector in New Zealand produced CO</w:t>
      </w:r>
      <w:r w:rsidRPr="009E06AA">
        <w:rPr>
          <w:vertAlign w:val="subscript"/>
        </w:rPr>
        <w:t>2</w:t>
      </w:r>
      <w:r w:rsidRPr="009E06AA">
        <w:t xml:space="preserve"> emissions (61.0 per cent of total IPPU sector emissions), fluorinated gases (34.7 per cent) and smaller amounts of CH</w:t>
      </w:r>
      <w:r w:rsidRPr="009E06AA">
        <w:rPr>
          <w:vertAlign w:val="subscript"/>
        </w:rPr>
        <w:t>4</w:t>
      </w:r>
      <w:r w:rsidRPr="009E06AA">
        <w:t xml:space="preserve"> and N</w:t>
      </w:r>
      <w:r w:rsidRPr="009E06AA">
        <w:rPr>
          <w:vertAlign w:val="subscript"/>
        </w:rPr>
        <w:t>2</w:t>
      </w:r>
      <w:r w:rsidRPr="009E06AA">
        <w:t xml:space="preserve">O. The major categories in the IPPU sector are </w:t>
      </w:r>
      <w:r w:rsidRPr="009E06AA">
        <w:rPr>
          <w:i/>
          <w:iCs/>
        </w:rPr>
        <w:t>Iron and steel production</w:t>
      </w:r>
      <w:r w:rsidRPr="009E06AA">
        <w:t xml:space="preserve">, </w:t>
      </w:r>
      <w:r w:rsidRPr="009E06AA">
        <w:rPr>
          <w:i/>
          <w:iCs/>
        </w:rPr>
        <w:t>Refrigeration and air conditioning</w:t>
      </w:r>
      <w:r w:rsidRPr="009E06AA">
        <w:t xml:space="preserve">, </w:t>
      </w:r>
      <w:r w:rsidRPr="009E06AA">
        <w:rPr>
          <w:i/>
          <w:iCs/>
        </w:rPr>
        <w:t>Aluminium production</w:t>
      </w:r>
      <w:r w:rsidRPr="009E06AA">
        <w:t xml:space="preserve"> and </w:t>
      </w:r>
      <w:r w:rsidRPr="009E06AA">
        <w:rPr>
          <w:i/>
          <w:iCs/>
        </w:rPr>
        <w:t>Cement production</w:t>
      </w:r>
      <w:r w:rsidRPr="009E06AA">
        <w:t xml:space="preserve">. Coal and natural gas are also used on a significant scale for energy in the </w:t>
      </w:r>
      <w:r w:rsidRPr="009E06AA">
        <w:rPr>
          <w:i/>
          <w:iCs/>
        </w:rPr>
        <w:t>Mineral industry</w:t>
      </w:r>
      <w:r w:rsidRPr="009E06AA">
        <w:t xml:space="preserve">, </w:t>
      </w:r>
      <w:r w:rsidRPr="009E06AA">
        <w:rPr>
          <w:i/>
          <w:iCs/>
        </w:rPr>
        <w:t>Chemical industry</w:t>
      </w:r>
      <w:r w:rsidRPr="009E06AA">
        <w:t xml:space="preserve"> and </w:t>
      </w:r>
      <w:r w:rsidRPr="009E06AA">
        <w:rPr>
          <w:i/>
          <w:iCs/>
        </w:rPr>
        <w:t>Metal industry</w:t>
      </w:r>
      <w:r w:rsidRPr="009E06AA">
        <w:t xml:space="preserve"> categories. Carbon dioxide and any other emissions from combustion of fuels in these industries are reported under the Energy sector.</w:t>
      </w:r>
    </w:p>
    <w:p w14:paraId="66A695F4" w14:textId="77777777" w:rsidR="00BF5487" w:rsidRPr="009E06AA" w:rsidRDefault="00BF5487" w:rsidP="00BF2A76">
      <w:pPr>
        <w:pStyle w:val="Heading5"/>
      </w:pPr>
      <w:r w:rsidRPr="009E06AA">
        <w:t>2022</w:t>
      </w:r>
    </w:p>
    <w:p w14:paraId="1FD3A3AF" w14:textId="605A52F5" w:rsidR="00BF5487" w:rsidRPr="009E06AA" w:rsidRDefault="00BF5487" w:rsidP="00BF5487">
      <w:pPr>
        <w:pStyle w:val="BodyText"/>
      </w:pPr>
      <w:r w:rsidRPr="009E06AA">
        <w:t>In 2022, emissions in the IPPU sector contributed 4,469.2 kt CO</w:t>
      </w:r>
      <w:r w:rsidRPr="009E06AA">
        <w:rPr>
          <w:vertAlign w:val="subscript"/>
        </w:rPr>
        <w:t>2</w:t>
      </w:r>
      <w:r w:rsidRPr="009E06AA">
        <w:t>-e, or 5.7 per cent, of New</w:t>
      </w:r>
      <w:r w:rsidR="001365A7" w:rsidRPr="009E06AA">
        <w:t> </w:t>
      </w:r>
      <w:r w:rsidRPr="009E06AA">
        <w:t>Zealand’s gross greenhouse gas emissions.</w:t>
      </w:r>
    </w:p>
    <w:p w14:paraId="153B3596" w14:textId="77777777" w:rsidR="00BF5487" w:rsidRPr="009E06AA" w:rsidRDefault="00BF5487" w:rsidP="00BF5487">
      <w:pPr>
        <w:pStyle w:val="BodyText"/>
      </w:pPr>
      <w:r w:rsidRPr="009E06AA">
        <w:t xml:space="preserve">The largest category is the </w:t>
      </w:r>
      <w:r w:rsidRPr="009E06AA">
        <w:rPr>
          <w:i/>
          <w:iCs/>
        </w:rPr>
        <w:t>Metal industry</w:t>
      </w:r>
      <w:r w:rsidRPr="009E06AA">
        <w:t>, with substantial CO</w:t>
      </w:r>
      <w:r w:rsidRPr="009E06AA">
        <w:rPr>
          <w:vertAlign w:val="subscript"/>
        </w:rPr>
        <w:t>2</w:t>
      </w:r>
      <w:r w:rsidRPr="009E06AA">
        <w:t xml:space="preserve"> emissions from the </w:t>
      </w:r>
      <w:r w:rsidRPr="009E06AA">
        <w:rPr>
          <w:i/>
          <w:iCs/>
        </w:rPr>
        <w:t>Iron and steel production</w:t>
      </w:r>
      <w:r w:rsidRPr="009E06AA">
        <w:t xml:space="preserve"> and </w:t>
      </w:r>
      <w:r w:rsidRPr="009E06AA">
        <w:rPr>
          <w:i/>
          <w:iCs/>
        </w:rPr>
        <w:t>Aluminium production</w:t>
      </w:r>
      <w:r w:rsidRPr="009E06AA">
        <w:t xml:space="preserve"> categories, as well as PFCs from the </w:t>
      </w:r>
      <w:r w:rsidRPr="009E06AA">
        <w:rPr>
          <w:i/>
          <w:iCs/>
        </w:rPr>
        <w:t>Aluminium production</w:t>
      </w:r>
      <w:r w:rsidRPr="009E06AA">
        <w:t xml:space="preserve"> category in earlier years. The </w:t>
      </w:r>
      <w:r w:rsidRPr="009E06AA">
        <w:rPr>
          <w:i/>
          <w:iCs/>
        </w:rPr>
        <w:t>Mineral industry</w:t>
      </w:r>
      <w:r w:rsidRPr="009E06AA">
        <w:t xml:space="preserve"> and </w:t>
      </w:r>
      <w:r w:rsidRPr="009E06AA">
        <w:rPr>
          <w:i/>
          <w:iCs/>
        </w:rPr>
        <w:t>Chemical industry</w:t>
      </w:r>
      <w:r w:rsidRPr="009E06AA">
        <w:t xml:space="preserve"> categories also contribute significant CO</w:t>
      </w:r>
      <w:r w:rsidRPr="009E06AA">
        <w:rPr>
          <w:vertAlign w:val="subscript"/>
        </w:rPr>
        <w:t>2</w:t>
      </w:r>
      <w:r w:rsidRPr="009E06AA">
        <w:t xml:space="preserve"> emissions, and most of the non-CO</w:t>
      </w:r>
      <w:r w:rsidRPr="009E06AA">
        <w:rPr>
          <w:vertAlign w:val="subscript"/>
        </w:rPr>
        <w:t>2</w:t>
      </w:r>
      <w:r w:rsidRPr="009E06AA">
        <w:t xml:space="preserve"> emissions come from the </w:t>
      </w:r>
      <w:r w:rsidRPr="009E06AA">
        <w:rPr>
          <w:i/>
          <w:iCs/>
        </w:rPr>
        <w:t>Product uses as substitutes for ODS</w:t>
      </w:r>
      <w:r w:rsidRPr="009E06AA">
        <w:t xml:space="preserve"> category.</w:t>
      </w:r>
    </w:p>
    <w:p w14:paraId="1B837A23" w14:textId="77777777" w:rsidR="00BF5487" w:rsidRPr="009E06AA" w:rsidRDefault="00BF5487" w:rsidP="00BF5487">
      <w:pPr>
        <w:pStyle w:val="BodyText"/>
      </w:pPr>
      <w:r w:rsidRPr="009E06AA">
        <w:t>The IPPU sector also produces smaller amounts of CH</w:t>
      </w:r>
      <w:r w:rsidRPr="009E06AA">
        <w:rPr>
          <w:vertAlign w:val="subscript"/>
        </w:rPr>
        <w:t>4</w:t>
      </w:r>
      <w:r w:rsidRPr="009E06AA">
        <w:t xml:space="preserve"> from methanol production and N</w:t>
      </w:r>
      <w:r w:rsidRPr="009E06AA">
        <w:rPr>
          <w:vertAlign w:val="subscript"/>
        </w:rPr>
        <w:t>2</w:t>
      </w:r>
      <w:r w:rsidRPr="009E06AA">
        <w:t xml:space="preserve">O used for medical applications in the </w:t>
      </w:r>
      <w:r w:rsidRPr="009E06AA">
        <w:rPr>
          <w:i/>
          <w:iCs/>
        </w:rPr>
        <w:t>Other product manufacture and use</w:t>
      </w:r>
      <w:r w:rsidRPr="009E06AA">
        <w:t xml:space="preserve"> category.</w:t>
      </w:r>
    </w:p>
    <w:p w14:paraId="1DF13E80" w14:textId="77777777" w:rsidR="00BF5487" w:rsidRPr="009E06AA" w:rsidRDefault="00BF5487" w:rsidP="00BF5487">
      <w:pPr>
        <w:pStyle w:val="BodyText"/>
      </w:pPr>
      <w:r w:rsidRPr="009E06AA">
        <w:t xml:space="preserve">Coal and natural gas are also used on a significant scale for energy in these industries, and related emissions are reported under the Energy sector in the category </w:t>
      </w:r>
      <w:r w:rsidRPr="009E06AA">
        <w:rPr>
          <w:i/>
          <w:iCs/>
        </w:rPr>
        <w:t>Manufacturing industries and construction</w:t>
      </w:r>
      <w:r w:rsidRPr="009E06AA">
        <w:t>.</w:t>
      </w:r>
    </w:p>
    <w:p w14:paraId="4AF7674D" w14:textId="77777777" w:rsidR="00BF5487" w:rsidRPr="009E06AA" w:rsidRDefault="00BF5487" w:rsidP="00BF2A76">
      <w:pPr>
        <w:pStyle w:val="Heading5"/>
      </w:pPr>
      <w:r w:rsidRPr="009E06AA">
        <w:t>1990–2022</w:t>
      </w:r>
    </w:p>
    <w:p w14:paraId="1042D4A9" w14:textId="77777777" w:rsidR="00BF5487" w:rsidRPr="009E06AA" w:rsidRDefault="00BF5487" w:rsidP="00BF5487">
      <w:pPr>
        <w:pStyle w:val="BodyText"/>
      </w:pPr>
      <w:r w:rsidRPr="009E06AA">
        <w:t>Emissions from the IPPU sector in 2022 were 990.9 kt CO</w:t>
      </w:r>
      <w:r w:rsidRPr="009E06AA">
        <w:rPr>
          <w:vertAlign w:val="subscript"/>
        </w:rPr>
        <w:t>2</w:t>
      </w:r>
      <w:r w:rsidRPr="009E06AA">
        <w:t>-e (28.5 per cent) higher than emissions in 1990 (3,478.2 kt CO</w:t>
      </w:r>
      <w:r w:rsidRPr="009E06AA">
        <w:rPr>
          <w:vertAlign w:val="subscript"/>
        </w:rPr>
        <w:t>2</w:t>
      </w:r>
      <w:r w:rsidRPr="009E06AA">
        <w:t xml:space="preserve">-e). This increase was mainly driven by increasing emissions from the </w:t>
      </w:r>
      <w:r w:rsidRPr="009E06AA">
        <w:rPr>
          <w:i/>
          <w:iCs/>
        </w:rPr>
        <w:t>Product uses as substitutes for ODS</w:t>
      </w:r>
      <w:r w:rsidRPr="009E06AA">
        <w:t xml:space="preserve"> category, due to the introduction of HFCs to replace ODS in refrigeration and air conditioning, and the increased use of household and commercial air conditioning.</w:t>
      </w:r>
    </w:p>
    <w:p w14:paraId="6EE50925" w14:textId="77777777" w:rsidR="00BF5487" w:rsidRPr="009E06AA" w:rsidRDefault="00BF5487" w:rsidP="00BF5487">
      <w:pPr>
        <w:pStyle w:val="BodyText"/>
      </w:pPr>
      <w:r w:rsidRPr="009E06AA">
        <w:t xml:space="preserve">Carbon dioxide emissions also increased, due largely to increased production of aluminium and </w:t>
      </w:r>
      <w:r w:rsidRPr="009E06AA">
        <w:rPr>
          <w:spacing w:val="-2"/>
        </w:rPr>
        <w:t>lime, but at a slower rate. Between 2020 and 2022 the increase was offset by reduced emissions</w:t>
      </w:r>
      <w:r w:rsidRPr="009E06AA">
        <w:t xml:space="preserve"> due to COVID-19 pandemic restrictions and the progressive shutdown of the Marsden Point Oil Refinery. There was a substantial reduction in emissions of PFCs due to improved management of anode effects in the </w:t>
      </w:r>
      <w:r w:rsidRPr="009E06AA">
        <w:rPr>
          <w:i/>
          <w:iCs/>
        </w:rPr>
        <w:t>Aluminium production</w:t>
      </w:r>
      <w:r w:rsidRPr="009E06AA">
        <w:t xml:space="preserve"> category and some reduction in emissions of N</w:t>
      </w:r>
      <w:r w:rsidRPr="009E06AA">
        <w:rPr>
          <w:vertAlign w:val="subscript"/>
        </w:rPr>
        <w:t>2</w:t>
      </w:r>
      <w:r w:rsidRPr="009E06AA">
        <w:t xml:space="preserve">O used for medical applications in the </w:t>
      </w:r>
      <w:r w:rsidRPr="009E06AA">
        <w:rPr>
          <w:i/>
          <w:iCs/>
        </w:rPr>
        <w:t>Other product manufacture and use</w:t>
      </w:r>
      <w:r w:rsidRPr="009E06AA">
        <w:t xml:space="preserve"> category.</w:t>
      </w:r>
    </w:p>
    <w:p w14:paraId="639CC1A8" w14:textId="77777777" w:rsidR="00BF5487" w:rsidRPr="009E06AA" w:rsidRDefault="00BF5487" w:rsidP="004C2DE0">
      <w:pPr>
        <w:pStyle w:val="BodyText"/>
        <w:keepNext/>
      </w:pPr>
      <w:r w:rsidRPr="009E06AA">
        <w:t>The trends for the IPPU sector are shown in figure 2.2.8.</w:t>
      </w:r>
    </w:p>
    <w:p w14:paraId="0FBE358E" w14:textId="0FFD34AD" w:rsidR="00BF5487" w:rsidRPr="009E06AA" w:rsidRDefault="00BF5487" w:rsidP="00BF5487">
      <w:pPr>
        <w:pStyle w:val="Figure"/>
      </w:pPr>
      <w:bookmarkStart w:id="212" w:name="_Toc161932252"/>
      <w:bookmarkStart w:id="213" w:name="_Toc164153997"/>
      <w:r w:rsidRPr="009E06AA">
        <w:t xml:space="preserve">Figure 2.2.8 </w:t>
      </w:r>
      <w:r w:rsidRPr="009E06AA">
        <w:tab/>
        <w:t>New Zealand’s IPPU sector emissions</w:t>
      </w:r>
      <w:r w:rsidR="00223334" w:rsidRPr="009E06AA">
        <w:t>,</w:t>
      </w:r>
      <w:r w:rsidRPr="009E06AA">
        <w:t xml:space="preserve"> from </w:t>
      </w:r>
      <w:r w:rsidRPr="009E06AA">
        <w:rPr>
          <w:bCs/>
        </w:rPr>
        <w:t>1990</w:t>
      </w:r>
      <w:r w:rsidRPr="009E06AA">
        <w:t xml:space="preserve"> to </w:t>
      </w:r>
      <w:r w:rsidRPr="009E06AA">
        <w:rPr>
          <w:bCs/>
        </w:rPr>
        <w:t>2022</w:t>
      </w:r>
      <w:bookmarkEnd w:id="212"/>
      <w:bookmarkEnd w:id="213"/>
    </w:p>
    <w:p w14:paraId="0F19552A" w14:textId="77777777" w:rsidR="00BF5487" w:rsidRPr="009E06AA" w:rsidRDefault="00BF5487" w:rsidP="00BF5487">
      <w:pPr>
        <w:pStyle w:val="BodyText"/>
      </w:pPr>
      <w:r w:rsidRPr="009E06AA">
        <w:rPr>
          <w:noProof/>
        </w:rPr>
        <w:drawing>
          <wp:inline distT="0" distB="0" distL="0" distR="0" wp14:anchorId="5F88CA75" wp14:editId="094FA749">
            <wp:extent cx="5023148" cy="3767362"/>
            <wp:effectExtent l="0" t="0" r="6350" b="5080"/>
            <wp:docPr id="64" name="Picture"/>
            <wp:cNvGraphicFramePr/>
            <a:graphic xmlns:a="http://schemas.openxmlformats.org/drawingml/2006/main">
              <a:graphicData uri="http://schemas.openxmlformats.org/drawingml/2006/picture">
                <pic:pic xmlns:pic="http://schemas.openxmlformats.org/drawingml/2006/picture">
                  <pic:nvPicPr>
                    <pic:cNvPr id="65" name="Picture" descr="code/graphs/images/fig_2_2_8_crf.png"/>
                    <pic:cNvPicPr>
                      <a:picLocks noChangeAspect="1" noChangeArrowheads="1"/>
                    </pic:cNvPicPr>
                  </pic:nvPicPr>
                  <pic:blipFill>
                    <a:blip r:embed="rId41"/>
                    <a:stretch>
                      <a:fillRect/>
                    </a:stretch>
                  </pic:blipFill>
                  <pic:spPr bwMode="auto">
                    <a:xfrm>
                      <a:off x="0" y="0"/>
                      <a:ext cx="5027422" cy="3770567"/>
                    </a:xfrm>
                    <a:prstGeom prst="rect">
                      <a:avLst/>
                    </a:prstGeom>
                    <a:noFill/>
                    <a:ln w="9525">
                      <a:noFill/>
                      <a:headEnd/>
                      <a:tailEnd/>
                    </a:ln>
                  </pic:spPr>
                </pic:pic>
              </a:graphicData>
            </a:graphic>
          </wp:inline>
        </w:drawing>
      </w:r>
    </w:p>
    <w:p w14:paraId="59E4F829" w14:textId="77777777" w:rsidR="00BF5487" w:rsidRPr="009E06AA" w:rsidRDefault="00BF5487" w:rsidP="00BF2A76">
      <w:pPr>
        <w:pStyle w:val="Heading5"/>
      </w:pPr>
      <w:r w:rsidRPr="009E06AA">
        <w:t>2021–2022</w:t>
      </w:r>
    </w:p>
    <w:p w14:paraId="401116CF" w14:textId="00635BB9" w:rsidR="00BF5487" w:rsidRPr="009E06AA" w:rsidRDefault="00BF5487" w:rsidP="00BF5487">
      <w:pPr>
        <w:pStyle w:val="BodyText"/>
      </w:pPr>
      <w:bookmarkStart w:id="214" w:name="agriculture-sector"/>
      <w:bookmarkEnd w:id="211"/>
      <w:r w:rsidRPr="009E06AA">
        <w:t>Between 2021 and 2022, emissions from the IPPU sector decreased by 239.2 kt CO</w:t>
      </w:r>
      <w:r w:rsidRPr="009E06AA">
        <w:rPr>
          <w:vertAlign w:val="subscript"/>
        </w:rPr>
        <w:t>2</w:t>
      </w:r>
      <w:r w:rsidRPr="009E06AA">
        <w:t>-e (5.1</w:t>
      </w:r>
      <w:r w:rsidR="00971718" w:rsidRPr="009E06AA">
        <w:t> </w:t>
      </w:r>
      <w:r w:rsidRPr="009E06AA">
        <w:t>per</w:t>
      </w:r>
      <w:r w:rsidR="00971718" w:rsidRPr="009E06AA">
        <w:t> </w:t>
      </w:r>
      <w:r w:rsidRPr="009E06AA">
        <w:t>cent).</w:t>
      </w:r>
    </w:p>
    <w:p w14:paraId="6AA4DBD6" w14:textId="77777777" w:rsidR="00BF5487" w:rsidRPr="009E06AA" w:rsidRDefault="00BF5487" w:rsidP="00BF5487">
      <w:pPr>
        <w:pStyle w:val="BodyText"/>
      </w:pPr>
      <w:r w:rsidRPr="009E06AA">
        <w:t xml:space="preserve">This change was mainly the result of a decreased level of steel production in the </w:t>
      </w:r>
      <w:r w:rsidRPr="009E06AA">
        <w:rPr>
          <w:i/>
          <w:iCs/>
        </w:rPr>
        <w:t>Metal industry</w:t>
      </w:r>
      <w:r w:rsidRPr="009E06AA">
        <w:t xml:space="preserve"> category, decreased emissions from the </w:t>
      </w:r>
      <w:r w:rsidRPr="009E06AA">
        <w:rPr>
          <w:i/>
          <w:iCs/>
        </w:rPr>
        <w:t>Refrigeration and air conditioning</w:t>
      </w:r>
      <w:r w:rsidRPr="009E06AA">
        <w:t xml:space="preserve"> category and decreased emissions in the </w:t>
      </w:r>
      <w:r w:rsidRPr="009E06AA">
        <w:rPr>
          <w:i/>
          <w:iCs/>
        </w:rPr>
        <w:t>Chemical industry</w:t>
      </w:r>
      <w:r w:rsidRPr="009E06AA">
        <w:t xml:space="preserve"> category due to the ceasing of hydrogen production from the Marsden Point Oil Refinery when the company shut the plant down in March 2022.</w:t>
      </w:r>
    </w:p>
    <w:p w14:paraId="51929C60" w14:textId="77777777" w:rsidR="00BF5487" w:rsidRPr="009E06AA" w:rsidRDefault="00BF5487" w:rsidP="005E75EE">
      <w:pPr>
        <w:pStyle w:val="Heading4"/>
      </w:pPr>
      <w:r w:rsidRPr="009E06AA">
        <w:t>Agriculture sector</w:t>
      </w:r>
    </w:p>
    <w:p w14:paraId="0085DD7B" w14:textId="77777777" w:rsidR="00BF5487" w:rsidRPr="009E06AA" w:rsidRDefault="00BF5487" w:rsidP="00BF5487">
      <w:pPr>
        <w:pStyle w:val="BodyText"/>
      </w:pPr>
      <w:r w:rsidRPr="009E06AA">
        <w:t>The Agriculture sector in New Zealand produced three main GHGs: CH</w:t>
      </w:r>
      <w:r w:rsidRPr="009E06AA">
        <w:rPr>
          <w:vertAlign w:val="subscript"/>
        </w:rPr>
        <w:t>4</w:t>
      </w:r>
      <w:r w:rsidRPr="009E06AA">
        <w:t>, N</w:t>
      </w:r>
      <w:r w:rsidRPr="009E06AA">
        <w:rPr>
          <w:vertAlign w:val="subscript"/>
        </w:rPr>
        <w:t>2</w:t>
      </w:r>
      <w:r w:rsidRPr="009E06AA">
        <w:t>O and CO</w:t>
      </w:r>
      <w:r w:rsidRPr="009E06AA">
        <w:rPr>
          <w:vertAlign w:val="subscript"/>
        </w:rPr>
        <w:t>2</w:t>
      </w:r>
      <w:r w:rsidRPr="009E06AA">
        <w:t xml:space="preserve">, which comprised 82.6 per cent, 15.4 per cent and 2.0 per cent of all Agriculture sector emissions respectively. Trends in Agriculture sector emissions are largely driven by the populations of ruminant livestock (dairy cattle, non-dairy (beef) cattle, sheep and deer). The largest contributing categories in the Agriculture sector were </w:t>
      </w:r>
      <w:r w:rsidRPr="009E06AA">
        <w:rPr>
          <w:i/>
          <w:iCs/>
        </w:rPr>
        <w:t>Enteric fermentation</w:t>
      </w:r>
      <w:r w:rsidRPr="009E06AA">
        <w:t xml:space="preserve"> and </w:t>
      </w:r>
      <w:r w:rsidRPr="009E06AA">
        <w:rPr>
          <w:i/>
          <w:iCs/>
        </w:rPr>
        <w:t>Agricultural soils</w:t>
      </w:r>
      <w:r w:rsidRPr="009E06AA">
        <w:t>. Emissions from the Agriculture sector reflect the total livestock population, the types of livestock and farming systems, and levels of production. Several drivers affected the emission trends for both CH</w:t>
      </w:r>
      <w:r w:rsidRPr="009E06AA">
        <w:rPr>
          <w:vertAlign w:val="subscript"/>
        </w:rPr>
        <w:t>4</w:t>
      </w:r>
      <w:r w:rsidRPr="009E06AA">
        <w:t xml:space="preserve"> and N</w:t>
      </w:r>
      <w:r w:rsidRPr="009E06AA">
        <w:rPr>
          <w:vertAlign w:val="subscript"/>
        </w:rPr>
        <w:t>2</w:t>
      </w:r>
      <w:r w:rsidRPr="009E06AA">
        <w:t>O in the sector. These include:</w:t>
      </w:r>
    </w:p>
    <w:p w14:paraId="2A8E598E" w14:textId="77777777" w:rsidR="00BF5487" w:rsidRPr="009E06AA" w:rsidRDefault="00BF5487" w:rsidP="00971718">
      <w:pPr>
        <w:pStyle w:val="Bullet"/>
      </w:pPr>
      <w:r w:rsidRPr="009E06AA">
        <w:t>changes over time to the population of the main livestock types farmed in New Zealand. Since 1990, the dairy cattle population has increased, while sheep and non-dairy (beef) cattle populations have decreased as the profitability of dairy products has risen relative to sheep and beef products (see chapter 5, figure 5.1.3a and figure 5.1.3b)</w:t>
      </w:r>
    </w:p>
    <w:p w14:paraId="320E53F6" w14:textId="77777777" w:rsidR="00BF5487" w:rsidRPr="009E06AA" w:rsidRDefault="00BF5487" w:rsidP="00971718">
      <w:pPr>
        <w:pStyle w:val="Bullet"/>
      </w:pPr>
      <w:r w:rsidRPr="009E06AA">
        <w:t>increases in livestock productivity (for both milk and meat yield per head of livestock), which have been achieved by New Zealand farmers since 1990. This has resulted in increased feed intake per animal to meet higher energy demands of increased production. Increased feed intake results in increased CH</w:t>
      </w:r>
      <w:r w:rsidRPr="009E06AA">
        <w:rPr>
          <w:vertAlign w:val="subscript"/>
        </w:rPr>
        <w:t>4</w:t>
      </w:r>
      <w:r w:rsidRPr="009E06AA">
        <w:t xml:space="preserve"> (from increased enteric fermentation) and N</w:t>
      </w:r>
      <w:r w:rsidRPr="009E06AA">
        <w:rPr>
          <w:vertAlign w:val="subscript"/>
        </w:rPr>
        <w:t>2</w:t>
      </w:r>
      <w:r w:rsidRPr="009E06AA">
        <w:t>O emissions (from increased excreta deposited on pasture) per animal</w:t>
      </w:r>
    </w:p>
    <w:p w14:paraId="6AB7CC42" w14:textId="77777777" w:rsidR="00BF5487" w:rsidRPr="009E06AA" w:rsidRDefault="00BF5487" w:rsidP="000B7CBD">
      <w:pPr>
        <w:pStyle w:val="Bullet"/>
      </w:pPr>
      <w:r w:rsidRPr="009E06AA">
        <w:t>incidence of severe droughts, which have resulted in reduced livestock productivity and livestock populations, which in turn reduced livestock-related emissions. The Ministry for Primary Industries produces quarterly reports that summarise the effects of these events at a sector level and provide short-term forecasts</w:t>
      </w:r>
      <w:r w:rsidRPr="009E06AA">
        <w:rPr>
          <w:rStyle w:val="FootnoteReference"/>
        </w:rPr>
        <w:footnoteReference w:id="20"/>
      </w:r>
    </w:p>
    <w:p w14:paraId="2823F7E7" w14:textId="77777777" w:rsidR="00BF5487" w:rsidRPr="009E06AA" w:rsidRDefault="00BF5487" w:rsidP="000B7CBD">
      <w:pPr>
        <w:pStyle w:val="Bullet"/>
      </w:pPr>
      <w:r w:rsidRPr="009E06AA">
        <w:t>commodity price fluctuations that drive farmer investment decisions in livestock numbers and species as well as production inputs. The ‘Situation and Outlook for Primary Industries’ reports produced by the Ministry for Primary Industries summarise these decisions at a sector level and provide short-term forecasts</w:t>
      </w:r>
      <w:r w:rsidRPr="009E06AA">
        <w:rPr>
          <w:rStyle w:val="FootnoteReference"/>
        </w:rPr>
        <w:footnoteReference w:id="21"/>
      </w:r>
    </w:p>
    <w:p w14:paraId="06EA14B7" w14:textId="77777777" w:rsidR="00BF5487" w:rsidRPr="009E06AA" w:rsidRDefault="00BF5487" w:rsidP="000B7CBD">
      <w:pPr>
        <w:pStyle w:val="Bullet"/>
      </w:pPr>
      <w:r w:rsidRPr="009E06AA">
        <w:t>shifting land use across different types of livestock farming and other agricultural enterprises, including forestry. The Agriculture sector uses around 36 per cent of New Zealand’s land area (Stats NZ, 2023), mostly for grazing of pastoral land. Between 1990 and 2022, the area used for sheep, beef and deer grazing has decreased by approximately 34.4 per cent (Beef + Lamb New Zealand Ltd, 2022), while the area used for dairy grazing has increased by 62.1 per cent (LIC and DairyNZ, 2023). The amount of synthetic nitrogen fertiliser applied to agricultural land has increased by 465 per cent since 1990.</w:t>
      </w:r>
    </w:p>
    <w:p w14:paraId="5D296202" w14:textId="77777777" w:rsidR="00BF5487" w:rsidRPr="009E06AA" w:rsidRDefault="00BF5487" w:rsidP="00BF5487">
      <w:pPr>
        <w:pStyle w:val="BodyText"/>
        <w:keepNext/>
      </w:pPr>
      <w:r w:rsidRPr="009E06AA">
        <w:t>The trends for the Agriculture sector are shown in figure 2.2.9.</w:t>
      </w:r>
    </w:p>
    <w:p w14:paraId="0742721E" w14:textId="7FDA8D89" w:rsidR="00BF5487" w:rsidRPr="009E06AA" w:rsidRDefault="00BF5487" w:rsidP="00BF5487">
      <w:pPr>
        <w:pStyle w:val="Figure"/>
      </w:pPr>
      <w:bookmarkStart w:id="215" w:name="_Toc164153998"/>
      <w:r w:rsidRPr="009E06AA">
        <w:t xml:space="preserve">Figure 2.2.9 </w:t>
      </w:r>
      <w:r w:rsidRPr="009E06AA">
        <w:tab/>
        <w:t>New Zealand’s Agriculture sector emissions</w:t>
      </w:r>
      <w:r w:rsidR="00223334" w:rsidRPr="009E06AA">
        <w:t>,</w:t>
      </w:r>
      <w:r w:rsidRPr="009E06AA">
        <w:t xml:space="preserve"> from </w:t>
      </w:r>
      <w:r w:rsidRPr="009E06AA">
        <w:rPr>
          <w:bCs/>
        </w:rPr>
        <w:t>1990</w:t>
      </w:r>
      <w:r w:rsidRPr="009E06AA">
        <w:t xml:space="preserve"> to </w:t>
      </w:r>
      <w:r w:rsidRPr="009E06AA">
        <w:rPr>
          <w:bCs/>
        </w:rPr>
        <w:t>2022</w:t>
      </w:r>
      <w:bookmarkEnd w:id="215"/>
    </w:p>
    <w:p w14:paraId="1B209D20" w14:textId="77777777" w:rsidR="00BF5487" w:rsidRPr="009E06AA" w:rsidRDefault="00BF5487" w:rsidP="00BF5487">
      <w:pPr>
        <w:pStyle w:val="BodyText"/>
        <w:keepNext/>
      </w:pPr>
      <w:r w:rsidRPr="009E06AA">
        <w:rPr>
          <w:noProof/>
        </w:rPr>
        <w:drawing>
          <wp:inline distT="0" distB="0" distL="0" distR="0" wp14:anchorId="2F1B1FEA" wp14:editId="3EA42B99">
            <wp:extent cx="5397500" cy="4048125"/>
            <wp:effectExtent l="0" t="0" r="0" b="0"/>
            <wp:docPr id="546863214" name="Picture"/>
            <wp:cNvGraphicFramePr/>
            <a:graphic xmlns:a="http://schemas.openxmlformats.org/drawingml/2006/main">
              <a:graphicData uri="http://schemas.openxmlformats.org/drawingml/2006/picture">
                <pic:pic xmlns:pic="http://schemas.openxmlformats.org/drawingml/2006/picture">
                  <pic:nvPicPr>
                    <pic:cNvPr id="546863214" name="Picture"/>
                    <pic:cNvPicPr>
                      <a:picLocks noChangeAspect="1" noChangeArrowheads="1"/>
                    </pic:cNvPicPr>
                  </pic:nvPicPr>
                  <pic:blipFill>
                    <a:blip r:embed="rId42"/>
                    <a:stretch>
                      <a:fillRect/>
                    </a:stretch>
                  </pic:blipFill>
                  <pic:spPr bwMode="auto">
                    <a:xfrm>
                      <a:off x="0" y="0"/>
                      <a:ext cx="5397500" cy="4048125"/>
                    </a:xfrm>
                    <a:prstGeom prst="rect">
                      <a:avLst/>
                    </a:prstGeom>
                    <a:noFill/>
                    <a:ln w="9525">
                      <a:noFill/>
                      <a:headEnd/>
                      <a:tailEnd/>
                    </a:ln>
                  </pic:spPr>
                </pic:pic>
              </a:graphicData>
            </a:graphic>
          </wp:inline>
        </w:drawing>
      </w:r>
    </w:p>
    <w:p w14:paraId="4D389F41" w14:textId="77777777" w:rsidR="00BF5487" w:rsidRPr="009E06AA" w:rsidRDefault="00BF5487" w:rsidP="00BF2A76">
      <w:pPr>
        <w:pStyle w:val="Heading5"/>
      </w:pPr>
      <w:r w:rsidRPr="009E06AA">
        <w:t>2022</w:t>
      </w:r>
    </w:p>
    <w:p w14:paraId="10425729" w14:textId="77777777" w:rsidR="00BF5487" w:rsidRPr="009E06AA" w:rsidRDefault="00BF5487" w:rsidP="00BF5487">
      <w:pPr>
        <w:pStyle w:val="BodyText"/>
      </w:pPr>
      <w:r w:rsidRPr="009E06AA">
        <w:t>In 2022, emissions from the Agriculture sector totalled 41,712.7 kt CO</w:t>
      </w:r>
      <w:r w:rsidRPr="009E06AA">
        <w:rPr>
          <w:vertAlign w:val="subscript"/>
        </w:rPr>
        <w:t>2</w:t>
      </w:r>
      <w:r w:rsidRPr="009E06AA">
        <w:t>-e, representing 53.2 per cent of New Zealand’s gross emissions in 2022.</w:t>
      </w:r>
    </w:p>
    <w:p w14:paraId="5C166B80" w14:textId="77777777" w:rsidR="00BF5487" w:rsidRPr="009E06AA" w:rsidRDefault="00BF5487" w:rsidP="00BF5487">
      <w:pPr>
        <w:pStyle w:val="BodyText"/>
      </w:pPr>
      <w:r w:rsidRPr="009E06AA">
        <w:rPr>
          <w:i/>
          <w:iCs/>
        </w:rPr>
        <w:t>Enteric fermentation</w:t>
      </w:r>
      <w:r w:rsidRPr="009E06AA">
        <w:t xml:space="preserve"> was the main source of Agriculture emissions, contributing 78.2 per cent (32,617.2 kt CO</w:t>
      </w:r>
      <w:r w:rsidRPr="009E06AA">
        <w:rPr>
          <w:vertAlign w:val="subscript"/>
        </w:rPr>
        <w:t>2</w:t>
      </w:r>
      <w:r w:rsidRPr="009E06AA">
        <w:t xml:space="preserve">-e) of the sector’s total. </w:t>
      </w:r>
      <w:r w:rsidRPr="009E06AA">
        <w:rPr>
          <w:i/>
          <w:iCs/>
        </w:rPr>
        <w:t>Agricultural soils</w:t>
      </w:r>
      <w:r w:rsidRPr="009E06AA">
        <w:t xml:space="preserve"> (15.2 per cent) were the second-largest source followed by </w:t>
      </w:r>
      <w:r w:rsidRPr="009E06AA">
        <w:rPr>
          <w:i/>
          <w:iCs/>
        </w:rPr>
        <w:t>Manure management</w:t>
      </w:r>
      <w:r w:rsidRPr="009E06AA">
        <w:t xml:space="preserve"> (4.6 per cent). </w:t>
      </w:r>
      <w:r w:rsidRPr="009E06AA">
        <w:rPr>
          <w:i/>
          <w:iCs/>
        </w:rPr>
        <w:t>Urea application</w:t>
      </w:r>
      <w:r w:rsidRPr="009E06AA">
        <w:t xml:space="preserve"> and </w:t>
      </w:r>
      <w:r w:rsidRPr="009E06AA">
        <w:rPr>
          <w:i/>
          <w:iCs/>
        </w:rPr>
        <w:t>Liming</w:t>
      </w:r>
      <w:r w:rsidRPr="009E06AA">
        <w:t xml:space="preserve"> contributed 1.0 per cent and 1.1 per cent respectively. </w:t>
      </w:r>
      <w:r w:rsidRPr="009E06AA">
        <w:rPr>
          <w:i/>
          <w:iCs/>
        </w:rPr>
        <w:t>Field burning of agricultural residues</w:t>
      </w:r>
      <w:r w:rsidRPr="009E06AA">
        <w:t xml:space="preserve"> contributed the remaining 0.1 per cent.</w:t>
      </w:r>
    </w:p>
    <w:p w14:paraId="632702C3" w14:textId="37C48D1B" w:rsidR="00BF5487" w:rsidRPr="009E06AA" w:rsidRDefault="00BF5487" w:rsidP="00BF5487">
      <w:pPr>
        <w:pStyle w:val="BodyText"/>
      </w:pPr>
      <w:r w:rsidRPr="009E06AA">
        <w:t xml:space="preserve">Methane emissions from </w:t>
      </w:r>
      <w:r w:rsidRPr="009E06AA">
        <w:rPr>
          <w:i/>
          <w:iCs/>
        </w:rPr>
        <w:t>Enteric fermentation</w:t>
      </w:r>
      <w:r w:rsidRPr="009E06AA">
        <w:t xml:space="preserve"> contributed 41.6 per cent (32,617.2 kt CO</w:t>
      </w:r>
      <w:r w:rsidRPr="009E06AA">
        <w:rPr>
          <w:vertAlign w:val="subscript"/>
        </w:rPr>
        <w:t>2</w:t>
      </w:r>
      <w:r w:rsidRPr="009E06AA">
        <w:t>-e) of</w:t>
      </w:r>
      <w:r w:rsidR="00F57215" w:rsidRPr="009E06AA">
        <w:t> </w:t>
      </w:r>
      <w:r w:rsidRPr="009E06AA">
        <w:t>New Zealand’s gross emissions, and N</w:t>
      </w:r>
      <w:r w:rsidRPr="009E06AA">
        <w:rPr>
          <w:vertAlign w:val="subscript"/>
        </w:rPr>
        <w:t>2</w:t>
      </w:r>
      <w:r w:rsidRPr="009E06AA">
        <w:t xml:space="preserve">O emissions from the </w:t>
      </w:r>
      <w:r w:rsidRPr="009E06AA">
        <w:rPr>
          <w:i/>
          <w:iCs/>
        </w:rPr>
        <w:t>Agricultural soils</w:t>
      </w:r>
      <w:r w:rsidRPr="009E06AA">
        <w:t xml:space="preserve"> category contributed 8.1 per cent (6,322.5 kt CO</w:t>
      </w:r>
      <w:r w:rsidRPr="009E06AA">
        <w:rPr>
          <w:vertAlign w:val="subscript"/>
        </w:rPr>
        <w:t>2</w:t>
      </w:r>
      <w:r w:rsidRPr="009E06AA">
        <w:t>-e) of New Zealand’s gross emissions.</w:t>
      </w:r>
    </w:p>
    <w:p w14:paraId="5DBFCF2A" w14:textId="77777777" w:rsidR="00BF5487" w:rsidRPr="009E06AA" w:rsidRDefault="00BF5487" w:rsidP="00BF2A76">
      <w:pPr>
        <w:pStyle w:val="Heading5"/>
      </w:pPr>
      <w:r w:rsidRPr="009E06AA">
        <w:t>1990–2022</w:t>
      </w:r>
    </w:p>
    <w:p w14:paraId="227B6284" w14:textId="77777777" w:rsidR="00BF5487" w:rsidRPr="009E06AA" w:rsidRDefault="00BF5487" w:rsidP="00BF5487">
      <w:pPr>
        <w:pStyle w:val="BodyText"/>
      </w:pPr>
      <w:r w:rsidRPr="009E06AA">
        <w:t>In 2022, New Zealand’s Agriculture sector emissions were 12.4 per cent (4,591.2 kt CO</w:t>
      </w:r>
      <w:r w:rsidRPr="009E06AA">
        <w:rPr>
          <w:vertAlign w:val="subscript"/>
        </w:rPr>
        <w:t>2</w:t>
      </w:r>
      <w:r w:rsidRPr="009E06AA">
        <w:t>-e) above the 1990 level of 37,121.5 kt CO</w:t>
      </w:r>
      <w:r w:rsidRPr="009E06AA">
        <w:rPr>
          <w:vertAlign w:val="subscript"/>
        </w:rPr>
        <w:t>2</w:t>
      </w:r>
      <w:r w:rsidRPr="009E06AA">
        <w:t>-e.</w:t>
      </w:r>
    </w:p>
    <w:p w14:paraId="727F16C6" w14:textId="7F4E53B8" w:rsidR="00BF5487" w:rsidRPr="009E06AA" w:rsidRDefault="00BF5487" w:rsidP="00BF5487">
      <w:pPr>
        <w:pStyle w:val="BodyText"/>
      </w:pPr>
      <w:r w:rsidRPr="009E06AA">
        <w:t>The greatest absolute contributions to the increase since 1990 were a 1,653.5 kt CO</w:t>
      </w:r>
      <w:r w:rsidRPr="009E06AA">
        <w:rPr>
          <w:vertAlign w:val="subscript"/>
        </w:rPr>
        <w:t>2</w:t>
      </w:r>
      <w:r w:rsidRPr="009E06AA">
        <w:t xml:space="preserve">-e (35.4 per cent) increase in emissions from </w:t>
      </w:r>
      <w:r w:rsidRPr="009E06AA">
        <w:rPr>
          <w:i/>
          <w:iCs/>
        </w:rPr>
        <w:t>Agricultural soils</w:t>
      </w:r>
      <w:r w:rsidRPr="009E06AA">
        <w:t xml:space="preserve"> and a 1,404.7 kt CO</w:t>
      </w:r>
      <w:r w:rsidRPr="009E06AA">
        <w:rPr>
          <w:vertAlign w:val="subscript"/>
        </w:rPr>
        <w:t>2</w:t>
      </w:r>
      <w:r w:rsidRPr="009E06AA">
        <w:t>-e (4.5</w:t>
      </w:r>
      <w:r w:rsidR="001C4445" w:rsidRPr="009E06AA">
        <w:t> </w:t>
      </w:r>
      <w:r w:rsidRPr="009E06AA">
        <w:t>per</w:t>
      </w:r>
      <w:r w:rsidR="001C4445" w:rsidRPr="009E06AA">
        <w:t> </w:t>
      </w:r>
      <w:r w:rsidRPr="009E06AA">
        <w:t xml:space="preserve">cent) increase in emissions from </w:t>
      </w:r>
      <w:r w:rsidRPr="009E06AA">
        <w:rPr>
          <w:i/>
          <w:iCs/>
        </w:rPr>
        <w:t>Enteric fermentation</w:t>
      </w:r>
      <w:r w:rsidRPr="009E06AA">
        <w:t>.</w:t>
      </w:r>
    </w:p>
    <w:p w14:paraId="1099AC4F" w14:textId="77777777" w:rsidR="00BF5487" w:rsidRPr="009E06AA" w:rsidRDefault="00BF5487" w:rsidP="00BF5487">
      <w:pPr>
        <w:pStyle w:val="BodyText"/>
      </w:pPr>
      <w:r w:rsidRPr="009E06AA">
        <w:t>The increase in N</w:t>
      </w:r>
      <w:r w:rsidRPr="009E06AA">
        <w:rPr>
          <w:vertAlign w:val="subscript"/>
        </w:rPr>
        <w:t>2</w:t>
      </w:r>
      <w:r w:rsidRPr="009E06AA">
        <w:t xml:space="preserve">O emissions from </w:t>
      </w:r>
      <w:r w:rsidRPr="009E06AA">
        <w:rPr>
          <w:i/>
          <w:iCs/>
        </w:rPr>
        <w:t>Agricultural soils</w:t>
      </w:r>
      <w:r w:rsidRPr="009E06AA">
        <w:t xml:space="preserve"> was primarily a result of increased application of synthetic nitrogen fertiliser by 465 per cent since 1990. This is partly due to an increase in dairy farming, as well as increased use on other farm types. The emissions from synthetic nitrogen fertiliser use (N</w:t>
      </w:r>
      <w:r w:rsidRPr="009E06AA">
        <w:rPr>
          <w:vertAlign w:val="subscript"/>
        </w:rPr>
        <w:t>2</w:t>
      </w:r>
      <w:r w:rsidRPr="009E06AA">
        <w:t>O) increased by 915.8 kt CO</w:t>
      </w:r>
      <w:r w:rsidRPr="009E06AA">
        <w:rPr>
          <w:vertAlign w:val="subscript"/>
        </w:rPr>
        <w:t>2</w:t>
      </w:r>
      <w:r w:rsidRPr="009E06AA">
        <w:t xml:space="preserve">-e between 1990 and 2022. This is 55.4 per cent of the total increase in emissions from </w:t>
      </w:r>
      <w:r w:rsidRPr="009E06AA">
        <w:rPr>
          <w:i/>
          <w:iCs/>
        </w:rPr>
        <w:t>Agricultural soils</w:t>
      </w:r>
      <w:r w:rsidRPr="009E06AA">
        <w:t>.</w:t>
      </w:r>
    </w:p>
    <w:p w14:paraId="72740845" w14:textId="30867D52" w:rsidR="00BF5487" w:rsidRPr="009E06AA" w:rsidRDefault="00BF5487" w:rsidP="00BF5487">
      <w:pPr>
        <w:pStyle w:val="BodyText"/>
      </w:pPr>
      <w:r w:rsidRPr="009E06AA">
        <w:t xml:space="preserve">The increase in emissions from </w:t>
      </w:r>
      <w:r w:rsidRPr="009E06AA">
        <w:rPr>
          <w:i/>
          <w:iCs/>
        </w:rPr>
        <w:t>Enteric fermentation</w:t>
      </w:r>
      <w:r w:rsidRPr="009E06AA">
        <w:t xml:space="preserve"> was driven by an increase in dairy cattle numbers, which was partially offset by a decrease in non-dairy (beef) cattle and a decline in sheep numbers. The change in animal populations since 1990 reflects the relative financial returns in each sector (it has been more profitable to farm dairy cattle than non-dairy cattle or</w:t>
      </w:r>
      <w:r w:rsidR="00194A09" w:rsidRPr="009E06AA">
        <w:t> </w:t>
      </w:r>
      <w:r w:rsidRPr="009E06AA">
        <w:t>sheep in New Zealand over the reporting period).</w:t>
      </w:r>
    </w:p>
    <w:p w14:paraId="686E3A65" w14:textId="77777777" w:rsidR="00BF5487" w:rsidRPr="009E06AA" w:rsidRDefault="00BF5487" w:rsidP="00BF2A76">
      <w:pPr>
        <w:pStyle w:val="Heading5"/>
      </w:pPr>
      <w:r w:rsidRPr="009E06AA">
        <w:t>2021–2022</w:t>
      </w:r>
    </w:p>
    <w:p w14:paraId="67C3344B" w14:textId="77777777" w:rsidR="00BF5487" w:rsidRPr="009E06AA" w:rsidRDefault="00BF5487" w:rsidP="00194A09">
      <w:pPr>
        <w:pStyle w:val="BodyText"/>
      </w:pPr>
      <w:r w:rsidRPr="009E06AA">
        <w:rPr>
          <w:spacing w:val="-2"/>
        </w:rPr>
        <w:t>Between 2021 and 2022, total agricultural emissions decreased by 1.4 per cent (607.9 kt CO</w:t>
      </w:r>
      <w:r w:rsidRPr="009E06AA">
        <w:rPr>
          <w:spacing w:val="-2"/>
          <w:vertAlign w:val="subscript"/>
        </w:rPr>
        <w:t>2</w:t>
      </w:r>
      <w:r w:rsidRPr="009E06AA">
        <w:rPr>
          <w:spacing w:val="-2"/>
        </w:rPr>
        <w:t>-e</w:t>
      </w:r>
      <w:r w:rsidRPr="009E06AA">
        <w:t>), largely due to a decrease in emissions from synthetic fertiliser use, non-dairy cattle and sheep. Specifically, this involved the following.</w:t>
      </w:r>
    </w:p>
    <w:p w14:paraId="46BA07E6" w14:textId="77777777" w:rsidR="00BF5487" w:rsidRPr="009E06AA" w:rsidRDefault="00BF5487" w:rsidP="00194A09">
      <w:pPr>
        <w:pStyle w:val="Bullet"/>
      </w:pPr>
      <w:r w:rsidRPr="009E06AA">
        <w:t>The combined emissions from synthetic nitrogen fertiliser use (N</w:t>
      </w:r>
      <w:r w:rsidRPr="009E06AA">
        <w:rPr>
          <w:vertAlign w:val="subscript"/>
        </w:rPr>
        <w:t>2</w:t>
      </w:r>
      <w:r w:rsidRPr="009E06AA">
        <w:t xml:space="preserve">O) and </w:t>
      </w:r>
      <w:r w:rsidRPr="009E06AA">
        <w:rPr>
          <w:i/>
          <w:iCs/>
        </w:rPr>
        <w:t>Urea application</w:t>
      </w:r>
      <w:r w:rsidRPr="009E06AA">
        <w:t xml:space="preserve"> (CO</w:t>
      </w:r>
      <w:r w:rsidRPr="009E06AA">
        <w:rPr>
          <w:vertAlign w:val="subscript"/>
        </w:rPr>
        <w:t>2</w:t>
      </w:r>
      <w:r w:rsidRPr="009E06AA">
        <w:t>) decreased by 24.1 per cent (495.8 kt CO</w:t>
      </w:r>
      <w:r w:rsidRPr="009E06AA">
        <w:rPr>
          <w:vertAlign w:val="subscript"/>
        </w:rPr>
        <w:t>2</w:t>
      </w:r>
      <w:r w:rsidRPr="009E06AA">
        <w:t>-e) due to a decrease in nitrogen fertiliser use primarily as a result of increasing costs.</w:t>
      </w:r>
    </w:p>
    <w:p w14:paraId="69CDD68C" w14:textId="77777777" w:rsidR="00BF5487" w:rsidRPr="009E06AA" w:rsidRDefault="00BF5487" w:rsidP="00194A09">
      <w:pPr>
        <w:pStyle w:val="Bullet"/>
      </w:pPr>
      <w:r w:rsidRPr="009E06AA">
        <w:t>Non-dairy cattle emissions decreased by 2.8 per cent (234.4 kt CO</w:t>
      </w:r>
      <w:r w:rsidRPr="009E06AA">
        <w:rPr>
          <w:vertAlign w:val="subscript"/>
        </w:rPr>
        <w:t>2</w:t>
      </w:r>
      <w:r w:rsidRPr="009E06AA">
        <w:t>-e) due to a decrease in the beef cattle population.</w:t>
      </w:r>
    </w:p>
    <w:p w14:paraId="18ACAA74" w14:textId="77777777" w:rsidR="00BF5487" w:rsidRPr="009E06AA" w:rsidRDefault="00BF5487" w:rsidP="00194A09">
      <w:pPr>
        <w:pStyle w:val="Bullet"/>
      </w:pPr>
      <w:r w:rsidRPr="009E06AA">
        <w:t>Sheep emissions decreased by 1.2 per cent (118.4 kt CO</w:t>
      </w:r>
      <w:r w:rsidRPr="009E06AA">
        <w:rPr>
          <w:vertAlign w:val="subscript"/>
        </w:rPr>
        <w:t>2</w:t>
      </w:r>
      <w:r w:rsidRPr="009E06AA">
        <w:t>-e) due to a continuing decrease in the sheep population.</w:t>
      </w:r>
    </w:p>
    <w:p w14:paraId="3313E5B4" w14:textId="77777777" w:rsidR="00BF5487" w:rsidRPr="009E06AA" w:rsidRDefault="00BF5487" w:rsidP="00BF5487">
      <w:pPr>
        <w:pStyle w:val="BodyText"/>
      </w:pPr>
      <w:r w:rsidRPr="009E06AA">
        <w:t>Emissions from some other activities increased but were not enough to offset the overall decrease in agricultural emissions. Increases included:</w:t>
      </w:r>
    </w:p>
    <w:p w14:paraId="1D6001C2" w14:textId="77777777" w:rsidR="00BF5487" w:rsidRPr="009E06AA" w:rsidRDefault="00BF5487" w:rsidP="00194A09">
      <w:pPr>
        <w:pStyle w:val="Bullet"/>
      </w:pPr>
      <w:r w:rsidRPr="009E06AA">
        <w:t>dairy emissions, which increased by 1.0 per cent (196.8 kt CO</w:t>
      </w:r>
      <w:r w:rsidRPr="009E06AA">
        <w:rPr>
          <w:vertAlign w:val="subscript"/>
        </w:rPr>
        <w:t>2</w:t>
      </w:r>
      <w:r w:rsidRPr="009E06AA">
        <w:t>-e) due to an increase in average dairy cattle weights and milksolids produced</w:t>
      </w:r>
    </w:p>
    <w:p w14:paraId="07304161" w14:textId="77777777" w:rsidR="00BF5487" w:rsidRPr="009E06AA" w:rsidRDefault="00BF5487" w:rsidP="00194A09">
      <w:pPr>
        <w:pStyle w:val="Bullet"/>
      </w:pPr>
      <w:r w:rsidRPr="009E06AA">
        <w:t>lime and dolomite emissions, which increased by 25.3 per cent (90.0 kt CO</w:t>
      </w:r>
      <w:r w:rsidRPr="009E06AA">
        <w:rPr>
          <w:vertAlign w:val="subscript"/>
        </w:rPr>
        <w:t>2</w:t>
      </w:r>
      <w:r w:rsidRPr="009E06AA">
        <w:t>-e) due to an increase in application.</w:t>
      </w:r>
    </w:p>
    <w:p w14:paraId="6148C7CE" w14:textId="77777777" w:rsidR="00BF5487" w:rsidRPr="009E06AA" w:rsidRDefault="00BF5487" w:rsidP="005E75EE">
      <w:pPr>
        <w:pStyle w:val="Heading4"/>
      </w:pPr>
      <w:bookmarkStart w:id="216" w:name="lulucf-sector"/>
      <w:bookmarkEnd w:id="214"/>
      <w:r w:rsidRPr="009E06AA">
        <w:t>LULUCF sector</w:t>
      </w:r>
    </w:p>
    <w:p w14:paraId="40261210" w14:textId="77777777" w:rsidR="00BF5487" w:rsidRPr="009E06AA" w:rsidRDefault="00BF5487" w:rsidP="00BF2A76">
      <w:pPr>
        <w:pStyle w:val="Heading5"/>
      </w:pPr>
      <w:r w:rsidRPr="009E06AA">
        <w:t>2022</w:t>
      </w:r>
    </w:p>
    <w:p w14:paraId="0F8FBCB1" w14:textId="77777777" w:rsidR="00BF5487" w:rsidRPr="009E06AA" w:rsidRDefault="00BF5487" w:rsidP="00BF5487">
      <w:pPr>
        <w:pStyle w:val="BodyText"/>
      </w:pPr>
      <w:r w:rsidRPr="009E06AA">
        <w:t>In 2022, net emissions from the LULUCF sector were -19,238.8 kt CO</w:t>
      </w:r>
      <w:r w:rsidRPr="009E06AA">
        <w:rPr>
          <w:vertAlign w:val="subscript"/>
        </w:rPr>
        <w:t>2</w:t>
      </w:r>
      <w:r w:rsidRPr="009E06AA">
        <w:t>-e or -24.5 per cent of New Zealand’s gross GHG emissions. This comprises net emissions of -19,590.9 kt of CO</w:t>
      </w:r>
      <w:r w:rsidRPr="009E06AA">
        <w:rPr>
          <w:vertAlign w:val="subscript"/>
        </w:rPr>
        <w:t>2</w:t>
      </w:r>
      <w:r w:rsidRPr="009E06AA">
        <w:t>, emissions of 82.3 kt CO</w:t>
      </w:r>
      <w:r w:rsidRPr="009E06AA">
        <w:rPr>
          <w:vertAlign w:val="subscript"/>
        </w:rPr>
        <w:t>2</w:t>
      </w:r>
      <w:r w:rsidRPr="009E06AA">
        <w:t>-e of CH</w:t>
      </w:r>
      <w:r w:rsidRPr="009E06AA">
        <w:rPr>
          <w:vertAlign w:val="subscript"/>
        </w:rPr>
        <w:t>4</w:t>
      </w:r>
      <w:r w:rsidRPr="009E06AA">
        <w:t xml:space="preserve"> and 269.9 kt CO</w:t>
      </w:r>
      <w:r w:rsidRPr="009E06AA">
        <w:rPr>
          <w:vertAlign w:val="subscript"/>
        </w:rPr>
        <w:t>2</w:t>
      </w:r>
      <w:r w:rsidRPr="009E06AA">
        <w:t>-e of N</w:t>
      </w:r>
      <w:r w:rsidRPr="009E06AA">
        <w:rPr>
          <w:vertAlign w:val="subscript"/>
        </w:rPr>
        <w:t>2</w:t>
      </w:r>
      <w:r w:rsidRPr="009E06AA">
        <w:t xml:space="preserve">O. The category contributing the most to both removals and emissions was </w:t>
      </w:r>
      <w:r w:rsidRPr="009E06AA">
        <w:rPr>
          <w:i/>
          <w:iCs/>
        </w:rPr>
        <w:t>Forest land remaining forest land</w:t>
      </w:r>
      <w:r w:rsidRPr="009E06AA">
        <w:t>. This was because of large removals resulting from the growth of all forests on this land and there were also large emissions from the sustainable harvest of New Zealand’s plantation forests.</w:t>
      </w:r>
    </w:p>
    <w:p w14:paraId="184693B7" w14:textId="77777777" w:rsidR="00BF5487" w:rsidRPr="009E06AA" w:rsidRDefault="00BF5487" w:rsidP="00BF2A76">
      <w:pPr>
        <w:pStyle w:val="Heading5"/>
      </w:pPr>
      <w:r w:rsidRPr="009E06AA">
        <w:t>1990–2022</w:t>
      </w:r>
    </w:p>
    <w:p w14:paraId="669D9CE8" w14:textId="2052B37C" w:rsidR="00BF5487" w:rsidRPr="009E06AA" w:rsidRDefault="00BF5487" w:rsidP="00BF5487">
      <w:pPr>
        <w:pStyle w:val="BodyText"/>
      </w:pPr>
      <w:r w:rsidRPr="009E06AA">
        <w:t>Net emissions in 2022 had increased by 5,085.8 kt CO</w:t>
      </w:r>
      <w:r w:rsidRPr="009E06AA">
        <w:rPr>
          <w:vertAlign w:val="subscript"/>
        </w:rPr>
        <w:t>2</w:t>
      </w:r>
      <w:r w:rsidRPr="009E06AA">
        <w:t>-e (20.9 per cent) from the 1990 level of</w:t>
      </w:r>
      <w:r w:rsidR="00BC18F3" w:rsidRPr="009E06AA">
        <w:t> </w:t>
      </w:r>
      <w:r w:rsidRPr="009E06AA">
        <w:t>-24,324.6 kt CO</w:t>
      </w:r>
      <w:r w:rsidRPr="009E06AA">
        <w:rPr>
          <w:vertAlign w:val="subscript"/>
        </w:rPr>
        <w:t>2</w:t>
      </w:r>
      <w:r w:rsidRPr="009E06AA">
        <w:t xml:space="preserve">-e (see chapter 6, table 6.1.1 and figure 6.1.1). This is largely due to a reduction in net removals from </w:t>
      </w:r>
      <w:r w:rsidRPr="009E06AA">
        <w:rPr>
          <w:i/>
          <w:iCs/>
        </w:rPr>
        <w:t>Forest land</w:t>
      </w:r>
      <w:r w:rsidRPr="009E06AA">
        <w:t xml:space="preserve"> (due to the age-class profile of New Zealand’s planted forest estate) and an increase in emissions from </w:t>
      </w:r>
      <w:r w:rsidRPr="009E06AA">
        <w:rPr>
          <w:i/>
          <w:iCs/>
        </w:rPr>
        <w:t>Grassland</w:t>
      </w:r>
      <w:r w:rsidRPr="009E06AA">
        <w:t xml:space="preserve"> (mainly due to emissions from deforestation and conversions among grassland categories) compared with 1990.</w:t>
      </w:r>
    </w:p>
    <w:p w14:paraId="479970C8" w14:textId="77777777" w:rsidR="00BF5487" w:rsidRPr="009E06AA" w:rsidRDefault="00BF5487" w:rsidP="00BF5487">
      <w:pPr>
        <w:pStyle w:val="BodyText"/>
      </w:pPr>
      <w:r w:rsidRPr="009E06AA">
        <w:t>Harvesting and replanting cycles of New Zealand’s planted forests will continue to affect the trajectory of New Zealand’s net emissions in the future due to their uneven age-class profile. The increase in the production of harvested wood products has compensated for some of the emissions from the increase in forest harvesting.</w:t>
      </w:r>
    </w:p>
    <w:p w14:paraId="64889633" w14:textId="77777777" w:rsidR="00BF5487" w:rsidRPr="009E06AA" w:rsidRDefault="00BF5487" w:rsidP="00BF5487">
      <w:pPr>
        <w:pStyle w:val="BodyText"/>
      </w:pPr>
      <w:r w:rsidRPr="009E06AA">
        <w:t>Emissions in the LULUCF sector are primarily driven by the harvest of production forests, deforestation and the decomposition of organic material following these activities. Removals are primarily from the sequestration of carbon that occurs due to plant growth and an increase in the size of the harvested wood products pool. Nitrous oxide can be emitted from the ecosystem as a by-product of nitrification and de-nitrification, and the burning of organic matter. Other gases released during biomass burning include CH</w:t>
      </w:r>
      <w:r w:rsidRPr="009E06AA">
        <w:rPr>
          <w:vertAlign w:val="subscript"/>
        </w:rPr>
        <w:t>4</w:t>
      </w:r>
      <w:r w:rsidRPr="009E06AA">
        <w:t>, carbon monoxide (CO), other oxides of nitrogen (NO</w:t>
      </w:r>
      <w:r w:rsidRPr="009E06AA">
        <w:rPr>
          <w:vertAlign w:val="subscript"/>
        </w:rPr>
        <w:t>x</w:t>
      </w:r>
      <w:r w:rsidRPr="009E06AA">
        <w:t>) and non-methane volatile organic compounds (NMVOCs).</w:t>
      </w:r>
    </w:p>
    <w:p w14:paraId="66F711CB" w14:textId="77777777" w:rsidR="00BF5487" w:rsidRPr="009E06AA" w:rsidRDefault="00BF5487" w:rsidP="00BF5487">
      <w:pPr>
        <w:pStyle w:val="BodyText"/>
      </w:pPr>
      <w:r w:rsidRPr="009E06AA">
        <w:t>The fluctuations in net emissions from the LULUCF sector (see figure 2.2.10) were primarily influenced by afforestation, harvesting and deforestation rates. Harvesting rates are driven by several factors, particularly forest age and log prices.</w:t>
      </w:r>
    </w:p>
    <w:p w14:paraId="2F728ED6" w14:textId="77777777" w:rsidR="00BF5487" w:rsidRPr="009E06AA" w:rsidRDefault="00BF5487" w:rsidP="00BF5487">
      <w:pPr>
        <w:pStyle w:val="BodyText"/>
      </w:pPr>
      <w:r w:rsidRPr="009E06AA">
        <w:t>Net emissions in the LULUCF sector have been generally increasing over the past decade. Current harvest rates are near historic high levels due to the significant land-use changes to forest land that occurred from the 1980s and into the early 1990s.</w:t>
      </w:r>
    </w:p>
    <w:p w14:paraId="58DE6568" w14:textId="77777777" w:rsidR="00BF5487" w:rsidRPr="009E06AA" w:rsidRDefault="00BF5487" w:rsidP="00BF5487">
      <w:pPr>
        <w:pStyle w:val="BodyText"/>
      </w:pPr>
      <w:r w:rsidRPr="009E06AA">
        <w:t>Deforestation rates were driven by the relative profitability of forestry compared with alternative land uses.</w:t>
      </w:r>
    </w:p>
    <w:p w14:paraId="66E5336D" w14:textId="7E74C5EA" w:rsidR="00BF5487" w:rsidRPr="009E06AA" w:rsidRDefault="00BF5487" w:rsidP="00BF5487">
      <w:pPr>
        <w:pStyle w:val="Figure"/>
      </w:pPr>
      <w:bookmarkStart w:id="217" w:name="_Toc161932254"/>
      <w:bookmarkStart w:id="218" w:name="_Toc164153999"/>
      <w:r w:rsidRPr="009E06AA">
        <w:t xml:space="preserve">Figure 2.2.10 </w:t>
      </w:r>
      <w:r w:rsidRPr="009E06AA">
        <w:tab/>
        <w:t>New Zealand’s LULUCF sector net emissions</w:t>
      </w:r>
      <w:r w:rsidR="00223334" w:rsidRPr="009E06AA">
        <w:t>,</w:t>
      </w:r>
      <w:r w:rsidRPr="009E06AA">
        <w:t xml:space="preserve"> from </w:t>
      </w:r>
      <w:r w:rsidRPr="009E06AA">
        <w:rPr>
          <w:bCs/>
        </w:rPr>
        <w:t>1990</w:t>
      </w:r>
      <w:r w:rsidRPr="009E06AA">
        <w:t xml:space="preserve"> to </w:t>
      </w:r>
      <w:r w:rsidRPr="009E06AA">
        <w:rPr>
          <w:bCs/>
        </w:rPr>
        <w:t>2022</w:t>
      </w:r>
      <w:bookmarkEnd w:id="217"/>
      <w:bookmarkEnd w:id="218"/>
    </w:p>
    <w:p w14:paraId="01F2C4FA" w14:textId="77777777" w:rsidR="00BF5487" w:rsidRPr="009E06AA" w:rsidRDefault="00BF5487" w:rsidP="00BF5487">
      <w:pPr>
        <w:pStyle w:val="BodyText"/>
      </w:pPr>
      <w:r w:rsidRPr="009E06AA">
        <w:rPr>
          <w:noProof/>
        </w:rPr>
        <w:drawing>
          <wp:inline distT="0" distB="0" distL="0" distR="0" wp14:anchorId="3B297362" wp14:editId="403C5888">
            <wp:extent cx="5397500" cy="4048125"/>
            <wp:effectExtent l="0" t="0" r="0" b="0"/>
            <wp:docPr id="81" name="Picture"/>
            <wp:cNvGraphicFramePr/>
            <a:graphic xmlns:a="http://schemas.openxmlformats.org/drawingml/2006/main">
              <a:graphicData uri="http://schemas.openxmlformats.org/drawingml/2006/picture">
                <pic:pic xmlns:pic="http://schemas.openxmlformats.org/drawingml/2006/picture">
                  <pic:nvPicPr>
                    <pic:cNvPr id="82" name="Picture" descr="code/graphs/images/fig_2_2_10_crf.png"/>
                    <pic:cNvPicPr>
                      <a:picLocks noChangeAspect="1" noChangeArrowheads="1"/>
                    </pic:cNvPicPr>
                  </pic:nvPicPr>
                  <pic:blipFill>
                    <a:blip r:embed="rId43"/>
                    <a:stretch>
                      <a:fillRect/>
                    </a:stretch>
                  </pic:blipFill>
                  <pic:spPr bwMode="auto">
                    <a:xfrm>
                      <a:off x="0" y="0"/>
                      <a:ext cx="5397500" cy="4048125"/>
                    </a:xfrm>
                    <a:prstGeom prst="rect">
                      <a:avLst/>
                    </a:prstGeom>
                    <a:noFill/>
                    <a:ln w="9525">
                      <a:noFill/>
                      <a:headEnd/>
                      <a:tailEnd/>
                    </a:ln>
                  </pic:spPr>
                </pic:pic>
              </a:graphicData>
            </a:graphic>
          </wp:inline>
        </w:drawing>
      </w:r>
    </w:p>
    <w:p w14:paraId="597B5F45" w14:textId="77777777" w:rsidR="00BF5487" w:rsidRPr="009E06AA" w:rsidRDefault="00BF5487" w:rsidP="00BF2A76">
      <w:pPr>
        <w:pStyle w:val="Heading5"/>
      </w:pPr>
      <w:r w:rsidRPr="009E06AA">
        <w:t>2021–2022</w:t>
      </w:r>
    </w:p>
    <w:p w14:paraId="6D02B99A" w14:textId="77777777" w:rsidR="00BF5487" w:rsidRPr="009E06AA" w:rsidRDefault="00BF5487" w:rsidP="00BF5487">
      <w:pPr>
        <w:pStyle w:val="BodyText"/>
      </w:pPr>
      <w:r w:rsidRPr="009E06AA">
        <w:t>Net emissions from the LULUCF sector increased between 2021 and 2022 by 1,266.8 kt CO</w:t>
      </w:r>
      <w:r w:rsidRPr="009E06AA">
        <w:rPr>
          <w:vertAlign w:val="subscript"/>
        </w:rPr>
        <w:t>2</w:t>
      </w:r>
      <w:r w:rsidRPr="009E06AA">
        <w:t>-e (6.2 per cent) (see chapter 6, table 6.1.2).</w:t>
      </w:r>
    </w:p>
    <w:p w14:paraId="1C972A21" w14:textId="77777777" w:rsidR="00BF5487" w:rsidRPr="009E06AA" w:rsidRDefault="00BF5487" w:rsidP="00BF5487">
      <w:pPr>
        <w:pStyle w:val="BodyText"/>
      </w:pPr>
      <w:r w:rsidRPr="009E06AA">
        <w:t xml:space="preserve">The largest change occurred in the </w:t>
      </w:r>
      <w:r w:rsidRPr="009E06AA">
        <w:rPr>
          <w:i/>
          <w:iCs/>
        </w:rPr>
        <w:t>Harvested wood products</w:t>
      </w:r>
      <w:r w:rsidRPr="009E06AA">
        <w:t xml:space="preserve"> category, with an increase in emissions of 2,223.7 kt CO</w:t>
      </w:r>
      <w:r w:rsidRPr="009E06AA">
        <w:rPr>
          <w:vertAlign w:val="subscript"/>
        </w:rPr>
        <w:t>2</w:t>
      </w:r>
      <w:r w:rsidRPr="009E06AA">
        <w:t xml:space="preserve">-e. The reason for this change was a decrease in harvesting of planted forests between 2021 and 2022 (see chapter 6, figure 6.4.3). The </w:t>
      </w:r>
      <w:r w:rsidRPr="009E06AA">
        <w:rPr>
          <w:i/>
          <w:iCs/>
        </w:rPr>
        <w:t>Grassland</w:t>
      </w:r>
      <w:r w:rsidRPr="009E06AA">
        <w:t xml:space="preserve"> category had the second-largest change, with a decrease in emissions of 700.1 kt CO</w:t>
      </w:r>
      <w:r w:rsidRPr="009E06AA">
        <w:rPr>
          <w:vertAlign w:val="subscript"/>
        </w:rPr>
        <w:t>2</w:t>
      </w:r>
      <w:r w:rsidRPr="009E06AA">
        <w:t>-e, which was driven by lower deforestation rates in 2022 compared with 2021.</w:t>
      </w:r>
    </w:p>
    <w:p w14:paraId="6E37FE17" w14:textId="77777777" w:rsidR="00BF5487" w:rsidRPr="009E06AA" w:rsidRDefault="00BF5487" w:rsidP="005E75EE">
      <w:pPr>
        <w:pStyle w:val="Heading4"/>
      </w:pPr>
      <w:bookmarkStart w:id="219" w:name="waste-sector"/>
      <w:bookmarkEnd w:id="216"/>
      <w:r w:rsidRPr="009E06AA">
        <w:t>Waste sector</w:t>
      </w:r>
    </w:p>
    <w:p w14:paraId="751BAAD8" w14:textId="5155252C" w:rsidR="00BF5487" w:rsidRPr="009E06AA" w:rsidRDefault="00BF5487" w:rsidP="00BF5487">
      <w:pPr>
        <w:pStyle w:val="BodyText"/>
      </w:pPr>
      <w:r w:rsidRPr="009E06AA">
        <w:t>The Waste sector in New Zealand produced mainly CH</w:t>
      </w:r>
      <w:r w:rsidRPr="009E06AA">
        <w:rPr>
          <w:vertAlign w:val="subscript"/>
        </w:rPr>
        <w:t>4</w:t>
      </w:r>
      <w:r w:rsidRPr="009E06AA">
        <w:t xml:space="preserve"> emissions (93.3 per cent) followed by N</w:t>
      </w:r>
      <w:r w:rsidRPr="009E06AA">
        <w:rPr>
          <w:vertAlign w:val="subscript"/>
        </w:rPr>
        <w:t>2</w:t>
      </w:r>
      <w:r w:rsidRPr="009E06AA">
        <w:t>O (4.3 per cent) and CO</w:t>
      </w:r>
      <w:r w:rsidRPr="009E06AA">
        <w:rPr>
          <w:vertAlign w:val="subscript"/>
        </w:rPr>
        <w:t>2</w:t>
      </w:r>
      <w:r w:rsidRPr="009E06AA">
        <w:t xml:space="preserve"> emissions (2.4 per cent). The Waste sector produced 8.5 per cent of</w:t>
      </w:r>
      <w:r w:rsidR="00F57215" w:rsidRPr="009E06AA">
        <w:t> </w:t>
      </w:r>
      <w:r w:rsidRPr="009E06AA">
        <w:t>gross CH</w:t>
      </w:r>
      <w:r w:rsidRPr="009E06AA">
        <w:rPr>
          <w:vertAlign w:val="subscript"/>
        </w:rPr>
        <w:t>4</w:t>
      </w:r>
      <w:r w:rsidRPr="009E06AA">
        <w:t xml:space="preserve"> emissions in New Zealand. There were also emissions of CO</w:t>
      </w:r>
      <w:r w:rsidRPr="009E06AA">
        <w:rPr>
          <w:vertAlign w:val="subscript"/>
        </w:rPr>
        <w:t>2</w:t>
      </w:r>
      <w:r w:rsidRPr="009E06AA">
        <w:t xml:space="preserve"> from the disposal of solid waste, but these were of biogenic origin and are not reported.</w:t>
      </w:r>
    </w:p>
    <w:p w14:paraId="41760F4A" w14:textId="77777777" w:rsidR="00BF5487" w:rsidRPr="009E06AA" w:rsidRDefault="00BF5487" w:rsidP="00BF2A76">
      <w:pPr>
        <w:pStyle w:val="Heading5"/>
      </w:pPr>
      <w:r w:rsidRPr="009E06AA">
        <w:t>2022</w:t>
      </w:r>
    </w:p>
    <w:p w14:paraId="6935563C" w14:textId="072C0097" w:rsidR="00BF5487" w:rsidRPr="009E06AA" w:rsidRDefault="00BF5487" w:rsidP="00BF5487">
      <w:pPr>
        <w:pStyle w:val="BodyText"/>
      </w:pPr>
      <w:r w:rsidRPr="009E06AA">
        <w:t>In 2022, emissions from the Waste sector contributed 3,492.7 kt CO</w:t>
      </w:r>
      <w:r w:rsidRPr="009E06AA">
        <w:rPr>
          <w:vertAlign w:val="subscript"/>
        </w:rPr>
        <w:t>2</w:t>
      </w:r>
      <w:r w:rsidRPr="009E06AA">
        <w:t>-e or 4.5 per cent of New</w:t>
      </w:r>
      <w:r w:rsidR="00E000F2" w:rsidRPr="009E06AA">
        <w:t> </w:t>
      </w:r>
      <w:r w:rsidRPr="009E06AA">
        <w:t xml:space="preserve">Zealand’s gross GHG emissions. The largest source category is </w:t>
      </w:r>
      <w:r w:rsidRPr="009E06AA">
        <w:rPr>
          <w:i/>
          <w:iCs/>
        </w:rPr>
        <w:t>Solid waste disposal</w:t>
      </w:r>
      <w:r w:rsidRPr="009E06AA">
        <w:t>, as</w:t>
      </w:r>
      <w:r w:rsidR="00F57215" w:rsidRPr="009E06AA">
        <w:t> </w:t>
      </w:r>
      <w:r w:rsidRPr="009E06AA">
        <w:t>shown in chapter 7, table 7.1.1.</w:t>
      </w:r>
    </w:p>
    <w:p w14:paraId="3E3A1928" w14:textId="77777777" w:rsidR="00BF5487" w:rsidRPr="009E06AA" w:rsidRDefault="00BF5487" w:rsidP="00BF2A76">
      <w:pPr>
        <w:pStyle w:val="Heading5"/>
      </w:pPr>
      <w:r w:rsidRPr="009E06AA">
        <w:t>1990–2022</w:t>
      </w:r>
    </w:p>
    <w:p w14:paraId="55E3F9CF" w14:textId="77777777" w:rsidR="00BF5487" w:rsidRPr="009E06AA" w:rsidRDefault="00BF5487" w:rsidP="00BF5487">
      <w:pPr>
        <w:pStyle w:val="BodyText"/>
      </w:pPr>
      <w:r w:rsidRPr="009E06AA">
        <w:t>In 2022, emissions from the Waste sector had decreased by 19.8 per cent (864.0 kt CO</w:t>
      </w:r>
      <w:r w:rsidRPr="009E06AA">
        <w:rPr>
          <w:vertAlign w:val="subscript"/>
        </w:rPr>
        <w:t>2</w:t>
      </w:r>
      <w:r w:rsidRPr="009E06AA">
        <w:t>-e), from 4,356.7 kt CO</w:t>
      </w:r>
      <w:r w:rsidRPr="009E06AA">
        <w:rPr>
          <w:vertAlign w:val="subscript"/>
        </w:rPr>
        <w:t>2</w:t>
      </w:r>
      <w:r w:rsidRPr="009E06AA">
        <w:t>-e in 1990.</w:t>
      </w:r>
    </w:p>
    <w:p w14:paraId="25F351B8" w14:textId="7E058360" w:rsidR="00BF5487" w:rsidRPr="009E06AA" w:rsidRDefault="00BF5487" w:rsidP="00BF5487">
      <w:pPr>
        <w:pStyle w:val="BodyText"/>
      </w:pPr>
      <w:r w:rsidRPr="009E06AA">
        <w:t>Annual emissions peaked at 4,946.7 kt CO</w:t>
      </w:r>
      <w:r w:rsidRPr="009E06AA">
        <w:rPr>
          <w:vertAlign w:val="subscript"/>
        </w:rPr>
        <w:t>2</w:t>
      </w:r>
      <w:r w:rsidRPr="009E06AA">
        <w:t>-e in 2002 and have generally been in decline since</w:t>
      </w:r>
      <w:r w:rsidR="00064A61" w:rsidRPr="009E06AA">
        <w:t> </w:t>
      </w:r>
      <w:r w:rsidRPr="009E06AA">
        <w:t xml:space="preserve">that time. Growth in population and economic activity since 1990 has resulted in increasing volumes of solid waste and wastewater for the whole of the time series. Ongoing improvements in the management of solid waste disposal at municipal landfills have meant total Waste sector emissions have been trending down since 2005, in spite of increasing volumes of solid waste and wastewater. </w:t>
      </w:r>
      <w:r w:rsidR="003403DE" w:rsidRPr="009E06AA">
        <w:t>The reduction in emissions is primarily the result of increased CH</w:t>
      </w:r>
      <w:r w:rsidR="003403DE" w:rsidRPr="009E06AA">
        <w:rPr>
          <w:vertAlign w:val="subscript"/>
        </w:rPr>
        <w:t>4</w:t>
      </w:r>
      <w:r w:rsidR="003403DE" w:rsidRPr="009E06AA">
        <w:t xml:space="preserve"> recovery driven by the National Environmental Standards for Air Quality introduced in 2004 and also by the New Zealand Emissions Trading Scheme (NZ ETS) since 2013</w:t>
      </w:r>
      <w:r w:rsidRPr="009E06AA">
        <w:t>. These legislative tools are complemented by efforts by local government to introduce improved kerbside collections, including for organic waste, across the country, and by a central government waste work programme that includes product stewardship, plastic phase-outs and investment in resource recovery infrastructure for organic materials.</w:t>
      </w:r>
    </w:p>
    <w:p w14:paraId="0292B951" w14:textId="77777777" w:rsidR="00BF5487" w:rsidRPr="009E06AA" w:rsidRDefault="00BF5487" w:rsidP="00BF5487">
      <w:pPr>
        <w:pStyle w:val="BodyText"/>
      </w:pPr>
      <w:r w:rsidRPr="009E06AA">
        <w:t>The trends are shown in figure 2.2.11 and in chapter 7, figure 7.1.2 and figure 7.1.3.</w:t>
      </w:r>
    </w:p>
    <w:p w14:paraId="51DC181D" w14:textId="60D999AB" w:rsidR="00BF5487" w:rsidRPr="009E06AA" w:rsidRDefault="00BF5487" w:rsidP="00E000F2">
      <w:pPr>
        <w:pStyle w:val="Figure"/>
        <w:spacing w:after="80"/>
      </w:pPr>
      <w:bookmarkStart w:id="220" w:name="_Toc161932255"/>
      <w:bookmarkStart w:id="221" w:name="_Toc164154000"/>
      <w:r w:rsidRPr="009E06AA">
        <w:t xml:space="preserve">Figure 2.2.11 </w:t>
      </w:r>
      <w:r w:rsidRPr="009E06AA">
        <w:tab/>
        <w:t>New Zealand’s Waste sector emissions</w:t>
      </w:r>
      <w:r w:rsidR="00223334" w:rsidRPr="009E06AA">
        <w:t>,</w:t>
      </w:r>
      <w:r w:rsidRPr="009E06AA">
        <w:t xml:space="preserve"> from </w:t>
      </w:r>
      <w:r w:rsidRPr="009E06AA">
        <w:rPr>
          <w:bCs/>
        </w:rPr>
        <w:t>1990</w:t>
      </w:r>
      <w:r w:rsidRPr="009E06AA">
        <w:t xml:space="preserve"> to </w:t>
      </w:r>
      <w:r w:rsidRPr="009E06AA">
        <w:rPr>
          <w:bCs/>
        </w:rPr>
        <w:t>2022</w:t>
      </w:r>
      <w:bookmarkEnd w:id="220"/>
      <w:bookmarkEnd w:id="221"/>
    </w:p>
    <w:p w14:paraId="0395F984" w14:textId="77777777" w:rsidR="00BF5487" w:rsidRPr="009E06AA" w:rsidRDefault="00BF5487" w:rsidP="006F08FE">
      <w:pPr>
        <w:pStyle w:val="BodyText"/>
        <w:spacing w:after="80"/>
        <w:jc w:val="center"/>
      </w:pPr>
      <w:r w:rsidRPr="009E06AA">
        <w:rPr>
          <w:noProof/>
        </w:rPr>
        <w:drawing>
          <wp:inline distT="0" distB="0" distL="0" distR="0" wp14:anchorId="661D42C1" wp14:editId="128CF0E8">
            <wp:extent cx="4896000" cy="3593362"/>
            <wp:effectExtent l="0" t="0" r="0" b="7620"/>
            <wp:docPr id="8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descr="code/graphs/images/fig_2_2_11_crf.png"/>
                    <pic:cNvPicPr>
                      <a:picLocks noChangeAspect="1" noChangeArrowheads="1"/>
                    </pic:cNvPicPr>
                  </pic:nvPicPr>
                  <pic:blipFill rotWithShape="1">
                    <a:blip r:embed="rId44"/>
                    <a:srcRect t="-1" b="1254"/>
                    <a:stretch/>
                  </pic:blipFill>
                  <pic:spPr bwMode="auto">
                    <a:xfrm>
                      <a:off x="0" y="0"/>
                      <a:ext cx="4896000" cy="3593362"/>
                    </a:xfrm>
                    <a:prstGeom prst="rect">
                      <a:avLst/>
                    </a:prstGeom>
                    <a:noFill/>
                    <a:ln>
                      <a:noFill/>
                    </a:ln>
                    <a:extLst>
                      <a:ext uri="{53640926-AAD7-44D8-BBD7-CCE9431645EC}">
                        <a14:shadowObscured xmlns:a14="http://schemas.microsoft.com/office/drawing/2010/main"/>
                      </a:ext>
                    </a:extLst>
                  </pic:spPr>
                </pic:pic>
              </a:graphicData>
            </a:graphic>
          </wp:inline>
        </w:drawing>
      </w:r>
    </w:p>
    <w:p w14:paraId="2B91F36D" w14:textId="77777777" w:rsidR="00BF5487" w:rsidRPr="009E06AA" w:rsidRDefault="00BF5487" w:rsidP="00BF2A76">
      <w:pPr>
        <w:pStyle w:val="Heading5"/>
      </w:pPr>
      <w:r w:rsidRPr="009E06AA">
        <w:t>2021–2022</w:t>
      </w:r>
    </w:p>
    <w:p w14:paraId="19347876" w14:textId="04E2FBF7" w:rsidR="00BF5487" w:rsidRPr="009E06AA" w:rsidRDefault="00BF5487" w:rsidP="00E000F2">
      <w:pPr>
        <w:pStyle w:val="BodyText"/>
        <w:spacing w:before="100" w:after="100"/>
      </w:pPr>
      <w:r w:rsidRPr="009E06AA">
        <w:t>Between 2021 and 2022, emissions from the Waste sector decreased by 1.5 per cent (51.6</w:t>
      </w:r>
      <w:r w:rsidR="00E000F2" w:rsidRPr="009E06AA">
        <w:t> </w:t>
      </w:r>
      <w:r w:rsidRPr="009E06AA">
        <w:t>kt</w:t>
      </w:r>
      <w:r w:rsidR="00E000F2" w:rsidRPr="009E06AA">
        <w:t> </w:t>
      </w:r>
      <w:r w:rsidRPr="009E06AA">
        <w:t>CO</w:t>
      </w:r>
      <w:r w:rsidRPr="009E06AA">
        <w:rPr>
          <w:vertAlign w:val="subscript"/>
        </w:rPr>
        <w:t>2</w:t>
      </w:r>
      <w:r w:rsidRPr="009E06AA">
        <w:t>-e). This was largely the result of decreases in CH</w:t>
      </w:r>
      <w:r w:rsidRPr="009E06AA">
        <w:rPr>
          <w:vertAlign w:val="subscript"/>
        </w:rPr>
        <w:t>4</w:t>
      </w:r>
      <w:r w:rsidRPr="009E06AA">
        <w:t xml:space="preserve"> emissions in the </w:t>
      </w:r>
      <w:r w:rsidRPr="009E06AA">
        <w:rPr>
          <w:i/>
          <w:iCs/>
        </w:rPr>
        <w:t>Managed waste</w:t>
      </w:r>
      <w:r w:rsidR="00E000F2" w:rsidRPr="009E06AA">
        <w:rPr>
          <w:i/>
          <w:iCs/>
        </w:rPr>
        <w:t> </w:t>
      </w:r>
      <w:r w:rsidRPr="009E06AA">
        <w:rPr>
          <w:i/>
          <w:iCs/>
        </w:rPr>
        <w:t>disposal sites</w:t>
      </w:r>
      <w:r w:rsidRPr="009E06AA">
        <w:t xml:space="preserve"> category, mainly due to increasing landfill gas capture and changes in the</w:t>
      </w:r>
      <w:r w:rsidR="00E000F2" w:rsidRPr="009E06AA">
        <w:t> </w:t>
      </w:r>
      <w:r w:rsidRPr="009E06AA">
        <w:t>composition of waste, with a reduction in the proportion of garden, food and paper waste</w:t>
      </w:r>
      <w:r w:rsidR="00E000F2" w:rsidRPr="009E06AA">
        <w:t> </w:t>
      </w:r>
      <w:r w:rsidRPr="009E06AA">
        <w:t>disposed to those sites.</w:t>
      </w:r>
    </w:p>
    <w:p w14:paraId="0CFE14DF" w14:textId="77777777" w:rsidR="00BF5487" w:rsidRPr="009E06AA" w:rsidRDefault="00BF5487" w:rsidP="006F08FE">
      <w:pPr>
        <w:pStyle w:val="Heading4"/>
        <w:spacing w:before="200"/>
      </w:pPr>
      <w:bookmarkStart w:id="222" w:name="other-sector-tokelau"/>
      <w:bookmarkEnd w:id="219"/>
      <w:r w:rsidRPr="009E06AA">
        <w:t>Other sector (Tokelau)</w:t>
      </w:r>
    </w:p>
    <w:p w14:paraId="0A7365DD" w14:textId="5D2A5E3D" w:rsidR="00BF5487" w:rsidRPr="009E06AA" w:rsidRDefault="00BF5487" w:rsidP="006F08FE">
      <w:pPr>
        <w:pStyle w:val="BodyText"/>
        <w:spacing w:before="80" w:after="100"/>
      </w:pPr>
      <w:r w:rsidRPr="009E06AA">
        <w:t>Beginning with the 2019 submission, New Zealand’s national inventory has included emissions from Tokelau, which is an overseas dependent territory of New Zealand. Table 2.2.2 shows the contribution of emissions from Tokelau. Generally, in New Zealand’s inventory, net and gross emissions are reported as a total of emissions from New Zealand’s mainland territory, plus emissions from Tokelau where applicable. Because emissions from Tokelau are small, and the</w:t>
      </w:r>
      <w:r w:rsidR="007A68AB" w:rsidRPr="009E06AA">
        <w:t> </w:t>
      </w:r>
      <w:r w:rsidRPr="009E06AA">
        <w:t>methodology used varies greatly between Tokelau’s inventory and the inventory for New</w:t>
      </w:r>
      <w:r w:rsidR="007A68AB" w:rsidRPr="009E06AA">
        <w:t> </w:t>
      </w:r>
      <w:r w:rsidRPr="009E06AA">
        <w:t>Zealand’s mainland territory, emissions from Tokelau are reported in the Other sector.</w:t>
      </w:r>
    </w:p>
    <w:p w14:paraId="08178144" w14:textId="77777777" w:rsidR="00BF5487" w:rsidRPr="009E06AA" w:rsidRDefault="00BF5487" w:rsidP="00E000F2">
      <w:pPr>
        <w:pStyle w:val="BodyText"/>
        <w:spacing w:before="100" w:after="100"/>
      </w:pPr>
      <w:r w:rsidRPr="009E06AA">
        <w:t xml:space="preserve">Methodological issues for Tokelau are detailed in chapter 8, separately from the sectoral chapters that focus on methods for New Zealand’s mainland territory only. Annex 7 provides </w:t>
      </w:r>
      <w:r w:rsidRPr="009E06AA">
        <w:rPr>
          <w:spacing w:val="-2"/>
        </w:rPr>
        <w:t>the common reporting tables of the time series for emissions and activity data, and information</w:t>
      </w:r>
      <w:r w:rsidRPr="009E06AA">
        <w:t xml:space="preserve"> on methods and emission factors for each sector and category contributing to the gross emissions from Tokelau.</w:t>
      </w:r>
    </w:p>
    <w:p w14:paraId="08C6C71A" w14:textId="7B02FAA5" w:rsidR="00BF5487" w:rsidRPr="009E06AA" w:rsidRDefault="00BF5487" w:rsidP="00E000F2">
      <w:pPr>
        <w:pStyle w:val="BodyText"/>
        <w:spacing w:before="100" w:after="100"/>
      </w:pPr>
      <w:r w:rsidRPr="009E06AA">
        <w:t>Due to the small land size area, small population and absence of industry, Tokelau has a very low impact on the environment and emits very small amounts of GHGs. In relative terms, emissions have increased overall since 1990, due to increasing per capita consumption despite a decrease in population. Tokelau mainly produced CO</w:t>
      </w:r>
      <w:r w:rsidRPr="009E06AA">
        <w:rPr>
          <w:vertAlign w:val="subscript"/>
        </w:rPr>
        <w:t>2</w:t>
      </w:r>
      <w:r w:rsidRPr="009E06AA">
        <w:t xml:space="preserve"> (59.3 per cent) and CH</w:t>
      </w:r>
      <w:r w:rsidRPr="009E06AA">
        <w:rPr>
          <w:vertAlign w:val="subscript"/>
        </w:rPr>
        <w:t>4</w:t>
      </w:r>
      <w:r w:rsidRPr="009E06AA">
        <w:t xml:space="preserve"> emissions (35.3 per cent) followed by HFCs (4.5 per cent) and N</w:t>
      </w:r>
      <w:r w:rsidRPr="009E06AA">
        <w:rPr>
          <w:vertAlign w:val="subscript"/>
        </w:rPr>
        <w:t>2</w:t>
      </w:r>
      <w:r w:rsidRPr="009E06AA">
        <w:t xml:space="preserve">O emissions (0.9 per cent). Emissions from HFCs largely came from the use of </w:t>
      </w:r>
      <w:r w:rsidR="0057034D" w:rsidRPr="009E06AA">
        <w:t>air conditioning</w:t>
      </w:r>
      <w:r w:rsidRPr="009E06AA">
        <w:t>.</w:t>
      </w:r>
    </w:p>
    <w:p w14:paraId="4CD0E92A" w14:textId="77777777" w:rsidR="00BF5487" w:rsidRPr="009E06AA" w:rsidRDefault="00BF5487" w:rsidP="00BF5487">
      <w:pPr>
        <w:pStyle w:val="Table"/>
      </w:pPr>
      <w:bookmarkStart w:id="223" w:name="_Toc161932270"/>
      <w:bookmarkStart w:id="224" w:name="_Toc164153799"/>
      <w:r w:rsidRPr="009E06AA">
        <w:t xml:space="preserve">Table 2.2.2 </w:t>
      </w:r>
      <w:r w:rsidRPr="009E06AA">
        <w:tab/>
        <w:t xml:space="preserve">Emissions from Tokelau, </w:t>
      </w:r>
      <w:r w:rsidRPr="009E06AA">
        <w:rPr>
          <w:bCs/>
        </w:rPr>
        <w:t>1990</w:t>
      </w:r>
      <w:r w:rsidRPr="009E06AA">
        <w:t xml:space="preserve"> and </w:t>
      </w:r>
      <w:r w:rsidRPr="009E06AA">
        <w:rPr>
          <w:bCs/>
        </w:rPr>
        <w:t>2022</w:t>
      </w:r>
      <w:bookmarkEnd w:id="223"/>
      <w:bookmarkEnd w:id="224"/>
    </w:p>
    <w:tbl>
      <w:tblPr>
        <w:tblW w:w="8505" w:type="dxa"/>
        <w:tblBorders>
          <w:top w:val="single" w:sz="4" w:space="0" w:color="1B556B" w:themeColor="text2"/>
          <w:bottom w:val="single" w:sz="4" w:space="0" w:color="1B556B" w:themeColor="text2"/>
          <w:insideH w:val="single" w:sz="4" w:space="0" w:color="1B556B" w:themeColor="text2"/>
        </w:tblBorders>
        <w:tblLook w:val="0420" w:firstRow="1" w:lastRow="0" w:firstColumn="0" w:lastColumn="0" w:noHBand="0" w:noVBand="1"/>
      </w:tblPr>
      <w:tblGrid>
        <w:gridCol w:w="1348"/>
        <w:gridCol w:w="495"/>
        <w:gridCol w:w="495"/>
        <w:gridCol w:w="1638"/>
        <w:gridCol w:w="1055"/>
        <w:gridCol w:w="1665"/>
        <w:gridCol w:w="1809"/>
      </w:tblGrid>
      <w:tr w:rsidR="00BC18F3" w:rsidRPr="009E06AA" w14:paraId="782C11B1" w14:textId="77777777" w:rsidTr="00BC18F3">
        <w:trPr>
          <w:tblHeader/>
        </w:trPr>
        <w:tc>
          <w:tcPr>
            <w:tcW w:w="0" w:type="auto"/>
            <w:shd w:val="clear" w:color="auto" w:fill="1B556B"/>
            <w:tcMar>
              <w:top w:w="0" w:type="dxa"/>
              <w:left w:w="85" w:type="dxa"/>
              <w:bottom w:w="0" w:type="dxa"/>
              <w:right w:w="85" w:type="dxa"/>
            </w:tcMar>
            <w:vAlign w:val="bottom"/>
          </w:tcPr>
          <w:p w14:paraId="058DDD5B" w14:textId="77777777" w:rsidR="00BF5487" w:rsidRPr="009E06AA" w:rsidRDefault="00BF5487" w:rsidP="00BC18F3">
            <w:pPr>
              <w:pStyle w:val="TableTextBold"/>
              <w:spacing w:before="40" w:after="30"/>
              <w:rPr>
                <w:noProof w:val="0"/>
                <w:color w:val="FFFFFF" w:themeColor="background1"/>
              </w:rPr>
            </w:pPr>
            <w:r w:rsidRPr="009E06AA">
              <w:rPr>
                <w:rFonts w:eastAsia="Calibri"/>
                <w:noProof w:val="0"/>
                <w:color w:val="FFFFFF" w:themeColor="background1"/>
              </w:rPr>
              <w:t>Sector</w:t>
            </w:r>
          </w:p>
        </w:tc>
        <w:tc>
          <w:tcPr>
            <w:tcW w:w="0" w:type="auto"/>
            <w:shd w:val="clear" w:color="auto" w:fill="1B556B"/>
            <w:tcMar>
              <w:top w:w="0" w:type="dxa"/>
              <w:left w:w="85" w:type="dxa"/>
              <w:bottom w:w="0" w:type="dxa"/>
              <w:right w:w="85" w:type="dxa"/>
            </w:tcMar>
            <w:vAlign w:val="bottom"/>
          </w:tcPr>
          <w:p w14:paraId="2E71B185" w14:textId="77777777" w:rsidR="00BF5487" w:rsidRPr="009E06AA" w:rsidRDefault="00BF5487" w:rsidP="0057034D">
            <w:pPr>
              <w:pStyle w:val="TableTextBold"/>
              <w:spacing w:before="40" w:after="30"/>
              <w:jc w:val="right"/>
              <w:rPr>
                <w:noProof w:val="0"/>
                <w:color w:val="FFFFFF" w:themeColor="background1"/>
              </w:rPr>
            </w:pPr>
            <w:r w:rsidRPr="009E06AA">
              <w:rPr>
                <w:rFonts w:eastAsia="Calibri"/>
                <w:noProof w:val="0"/>
                <w:color w:val="FFFFFF" w:themeColor="background1"/>
              </w:rPr>
              <w:t>1990</w:t>
            </w:r>
          </w:p>
        </w:tc>
        <w:tc>
          <w:tcPr>
            <w:tcW w:w="0" w:type="auto"/>
            <w:shd w:val="clear" w:color="auto" w:fill="1B556B"/>
            <w:tcMar>
              <w:top w:w="0" w:type="dxa"/>
              <w:left w:w="85" w:type="dxa"/>
              <w:bottom w:w="0" w:type="dxa"/>
              <w:right w:w="85" w:type="dxa"/>
            </w:tcMar>
            <w:vAlign w:val="bottom"/>
          </w:tcPr>
          <w:p w14:paraId="5AB3FD67" w14:textId="77777777" w:rsidR="00BF5487" w:rsidRPr="009E06AA" w:rsidRDefault="00BF5487" w:rsidP="0057034D">
            <w:pPr>
              <w:pStyle w:val="TableTextBold"/>
              <w:spacing w:before="40" w:after="30"/>
              <w:jc w:val="right"/>
              <w:rPr>
                <w:noProof w:val="0"/>
                <w:color w:val="FFFFFF" w:themeColor="background1"/>
              </w:rPr>
            </w:pPr>
            <w:r w:rsidRPr="009E06AA">
              <w:rPr>
                <w:rFonts w:eastAsia="Calibri"/>
                <w:noProof w:val="0"/>
                <w:color w:val="FFFFFF" w:themeColor="background1"/>
              </w:rPr>
              <w:t>2022</w:t>
            </w:r>
          </w:p>
        </w:tc>
        <w:tc>
          <w:tcPr>
            <w:tcW w:w="0" w:type="auto"/>
            <w:shd w:val="clear" w:color="auto" w:fill="1B556B"/>
            <w:tcMar>
              <w:top w:w="0" w:type="dxa"/>
              <w:left w:w="85" w:type="dxa"/>
              <w:bottom w:w="0" w:type="dxa"/>
              <w:right w:w="85" w:type="dxa"/>
            </w:tcMar>
            <w:vAlign w:val="bottom"/>
          </w:tcPr>
          <w:p w14:paraId="460D3A33" w14:textId="77777777" w:rsidR="00BF5487" w:rsidRPr="009E06AA" w:rsidRDefault="00BF5487" w:rsidP="0057034D">
            <w:pPr>
              <w:pStyle w:val="TableTextBold"/>
              <w:spacing w:before="40" w:after="30"/>
              <w:jc w:val="right"/>
              <w:rPr>
                <w:noProof w:val="0"/>
                <w:color w:val="FFFFFF" w:themeColor="background1"/>
              </w:rPr>
            </w:pPr>
            <w:r w:rsidRPr="009E06AA">
              <w:rPr>
                <w:rFonts w:eastAsia="Calibri"/>
                <w:noProof w:val="0"/>
                <w:color w:val="FFFFFF" w:themeColor="background1"/>
              </w:rPr>
              <w:t>Change from 1990 (kt CO</w:t>
            </w:r>
            <w:r w:rsidRPr="009E06AA">
              <w:rPr>
                <w:rFonts w:eastAsia="Calibri"/>
                <w:noProof w:val="0"/>
                <w:color w:val="FFFFFF" w:themeColor="background1"/>
                <w:vertAlign w:val="subscript"/>
              </w:rPr>
              <w:t>2</w:t>
            </w:r>
            <w:r w:rsidRPr="009E06AA">
              <w:rPr>
                <w:rFonts w:eastAsia="Calibri"/>
                <w:noProof w:val="0"/>
                <w:color w:val="FFFFFF" w:themeColor="background1"/>
              </w:rPr>
              <w:t>-equivalent)</w:t>
            </w:r>
          </w:p>
        </w:tc>
        <w:tc>
          <w:tcPr>
            <w:tcW w:w="0" w:type="auto"/>
            <w:shd w:val="clear" w:color="auto" w:fill="1B556B"/>
            <w:tcMar>
              <w:top w:w="0" w:type="dxa"/>
              <w:left w:w="85" w:type="dxa"/>
              <w:bottom w:w="0" w:type="dxa"/>
              <w:right w:w="85" w:type="dxa"/>
            </w:tcMar>
            <w:vAlign w:val="bottom"/>
          </w:tcPr>
          <w:p w14:paraId="047E91F2" w14:textId="77777777" w:rsidR="00BF5487" w:rsidRPr="009E06AA" w:rsidRDefault="00BF5487" w:rsidP="0057034D">
            <w:pPr>
              <w:pStyle w:val="TableTextBold"/>
              <w:spacing w:before="40" w:after="30"/>
              <w:jc w:val="right"/>
              <w:rPr>
                <w:noProof w:val="0"/>
                <w:color w:val="FFFFFF" w:themeColor="background1"/>
              </w:rPr>
            </w:pPr>
            <w:r w:rsidRPr="009E06AA">
              <w:rPr>
                <w:rFonts w:eastAsia="Calibri"/>
                <w:noProof w:val="0"/>
                <w:color w:val="FFFFFF" w:themeColor="background1"/>
              </w:rPr>
              <w:t>Change from 1990 (%)</w:t>
            </w:r>
          </w:p>
        </w:tc>
        <w:tc>
          <w:tcPr>
            <w:tcW w:w="0" w:type="auto"/>
            <w:shd w:val="clear" w:color="auto" w:fill="1B556B"/>
            <w:tcMar>
              <w:top w:w="0" w:type="dxa"/>
              <w:left w:w="85" w:type="dxa"/>
              <w:bottom w:w="0" w:type="dxa"/>
              <w:right w:w="85" w:type="dxa"/>
            </w:tcMar>
            <w:vAlign w:val="bottom"/>
          </w:tcPr>
          <w:p w14:paraId="06B1951C" w14:textId="77777777" w:rsidR="00BF5487" w:rsidRPr="009E06AA" w:rsidRDefault="00BF5487" w:rsidP="0057034D">
            <w:pPr>
              <w:pStyle w:val="TableTextBold"/>
              <w:spacing w:before="40" w:after="30"/>
              <w:jc w:val="right"/>
              <w:rPr>
                <w:noProof w:val="0"/>
                <w:color w:val="FFFFFF" w:themeColor="background1"/>
              </w:rPr>
            </w:pPr>
            <w:r w:rsidRPr="009E06AA">
              <w:rPr>
                <w:rFonts w:eastAsia="Calibri"/>
                <w:noProof w:val="0"/>
                <w:color w:val="FFFFFF" w:themeColor="background1"/>
              </w:rPr>
              <w:t>Contribution to gross for Tokelau (%)</w:t>
            </w:r>
          </w:p>
        </w:tc>
        <w:tc>
          <w:tcPr>
            <w:tcW w:w="0" w:type="auto"/>
            <w:shd w:val="clear" w:color="auto" w:fill="1B556B"/>
            <w:tcMar>
              <w:top w:w="0" w:type="dxa"/>
              <w:left w:w="85" w:type="dxa"/>
              <w:bottom w:w="0" w:type="dxa"/>
              <w:right w:w="85" w:type="dxa"/>
            </w:tcMar>
            <w:vAlign w:val="bottom"/>
          </w:tcPr>
          <w:p w14:paraId="65B1FC61" w14:textId="77777777" w:rsidR="00BF5487" w:rsidRPr="009E06AA" w:rsidRDefault="00BF5487" w:rsidP="0057034D">
            <w:pPr>
              <w:pStyle w:val="TableTextBold"/>
              <w:spacing w:before="40" w:after="30"/>
              <w:jc w:val="right"/>
              <w:rPr>
                <w:noProof w:val="0"/>
                <w:color w:val="FFFFFF" w:themeColor="background1"/>
              </w:rPr>
            </w:pPr>
            <w:r w:rsidRPr="009E06AA">
              <w:rPr>
                <w:rFonts w:eastAsia="Calibri"/>
                <w:noProof w:val="0"/>
                <w:color w:val="FFFFFF" w:themeColor="background1"/>
              </w:rPr>
              <w:t>Contribution to gross NZ (incl Tokelau) (%)</w:t>
            </w:r>
          </w:p>
        </w:tc>
      </w:tr>
      <w:tr w:rsidR="00BC18F3" w:rsidRPr="009E06AA" w14:paraId="184C06CE" w14:textId="77777777" w:rsidTr="00BC18F3">
        <w:tc>
          <w:tcPr>
            <w:tcW w:w="0" w:type="auto"/>
            <w:shd w:val="clear" w:color="auto" w:fill="FFFFFF"/>
            <w:tcMar>
              <w:top w:w="0" w:type="dxa"/>
              <w:left w:w="85" w:type="dxa"/>
              <w:bottom w:w="0" w:type="dxa"/>
              <w:right w:w="85" w:type="dxa"/>
            </w:tcMar>
          </w:tcPr>
          <w:p w14:paraId="4DAFA830" w14:textId="77777777" w:rsidR="00BF5487" w:rsidRPr="009E06AA" w:rsidRDefault="00BF5487" w:rsidP="00BC18F3">
            <w:pPr>
              <w:pStyle w:val="TableText"/>
              <w:spacing w:before="40" w:after="30"/>
            </w:pPr>
            <w:r w:rsidRPr="009E06AA">
              <w:rPr>
                <w:rFonts w:eastAsia="Calibri"/>
                <w:color w:val="000000"/>
              </w:rPr>
              <w:t>Energy for Tokelau</w:t>
            </w:r>
          </w:p>
        </w:tc>
        <w:tc>
          <w:tcPr>
            <w:tcW w:w="0" w:type="auto"/>
            <w:shd w:val="clear" w:color="auto" w:fill="FFFFFF"/>
            <w:tcMar>
              <w:top w:w="0" w:type="dxa"/>
              <w:left w:w="85" w:type="dxa"/>
              <w:bottom w:w="0" w:type="dxa"/>
              <w:right w:w="85" w:type="dxa"/>
            </w:tcMar>
          </w:tcPr>
          <w:p w14:paraId="66D42110" w14:textId="77777777" w:rsidR="00BF5487" w:rsidRPr="009E06AA" w:rsidRDefault="00BF5487" w:rsidP="0057034D">
            <w:pPr>
              <w:pStyle w:val="TableText"/>
              <w:spacing w:before="40" w:after="30"/>
              <w:jc w:val="right"/>
            </w:pPr>
            <w:r w:rsidRPr="009E06AA">
              <w:rPr>
                <w:rFonts w:eastAsia="Calibri"/>
                <w:color w:val="000000"/>
              </w:rPr>
              <w:t>1.26</w:t>
            </w:r>
          </w:p>
        </w:tc>
        <w:tc>
          <w:tcPr>
            <w:tcW w:w="0" w:type="auto"/>
            <w:shd w:val="clear" w:color="auto" w:fill="FFFFFF"/>
            <w:tcMar>
              <w:top w:w="0" w:type="dxa"/>
              <w:left w:w="85" w:type="dxa"/>
              <w:bottom w:w="0" w:type="dxa"/>
              <w:right w:w="85" w:type="dxa"/>
            </w:tcMar>
          </w:tcPr>
          <w:p w14:paraId="730544AB" w14:textId="77777777" w:rsidR="00BF5487" w:rsidRPr="009E06AA" w:rsidRDefault="00BF5487" w:rsidP="0057034D">
            <w:pPr>
              <w:pStyle w:val="TableText"/>
              <w:spacing w:before="40" w:after="30"/>
              <w:jc w:val="right"/>
            </w:pPr>
            <w:r w:rsidRPr="009E06AA">
              <w:rPr>
                <w:rFonts w:eastAsia="Calibri"/>
                <w:color w:val="000000"/>
              </w:rPr>
              <w:t>2.76</w:t>
            </w:r>
          </w:p>
        </w:tc>
        <w:tc>
          <w:tcPr>
            <w:tcW w:w="0" w:type="auto"/>
            <w:shd w:val="clear" w:color="auto" w:fill="FFFFFF"/>
            <w:tcMar>
              <w:top w:w="0" w:type="dxa"/>
              <w:left w:w="85" w:type="dxa"/>
              <w:bottom w:w="0" w:type="dxa"/>
              <w:right w:w="85" w:type="dxa"/>
            </w:tcMar>
          </w:tcPr>
          <w:p w14:paraId="2C283681" w14:textId="77777777" w:rsidR="00BF5487" w:rsidRPr="009E06AA" w:rsidRDefault="00BF5487" w:rsidP="0057034D">
            <w:pPr>
              <w:pStyle w:val="TableText"/>
              <w:spacing w:before="40" w:after="30"/>
              <w:jc w:val="right"/>
            </w:pPr>
            <w:r w:rsidRPr="009E06AA">
              <w:rPr>
                <w:rFonts w:eastAsia="Calibri"/>
                <w:color w:val="000000"/>
              </w:rPr>
              <w:t>1.49</w:t>
            </w:r>
          </w:p>
        </w:tc>
        <w:tc>
          <w:tcPr>
            <w:tcW w:w="0" w:type="auto"/>
            <w:shd w:val="clear" w:color="auto" w:fill="FFFFFF"/>
            <w:tcMar>
              <w:top w:w="0" w:type="dxa"/>
              <w:left w:w="85" w:type="dxa"/>
              <w:bottom w:w="0" w:type="dxa"/>
              <w:right w:w="85" w:type="dxa"/>
            </w:tcMar>
          </w:tcPr>
          <w:p w14:paraId="1DBFB960" w14:textId="77777777" w:rsidR="00BF5487" w:rsidRPr="009E06AA" w:rsidRDefault="00BF5487" w:rsidP="0057034D">
            <w:pPr>
              <w:pStyle w:val="TableText"/>
              <w:spacing w:before="40" w:after="30"/>
              <w:jc w:val="right"/>
            </w:pPr>
            <w:r w:rsidRPr="009E06AA">
              <w:rPr>
                <w:rFonts w:eastAsia="Calibri"/>
                <w:color w:val="000000"/>
              </w:rPr>
              <w:t>118.27</w:t>
            </w:r>
          </w:p>
        </w:tc>
        <w:tc>
          <w:tcPr>
            <w:tcW w:w="0" w:type="auto"/>
            <w:shd w:val="clear" w:color="auto" w:fill="FFFFFF"/>
            <w:tcMar>
              <w:top w:w="0" w:type="dxa"/>
              <w:left w:w="85" w:type="dxa"/>
              <w:bottom w:w="0" w:type="dxa"/>
              <w:right w:w="85" w:type="dxa"/>
            </w:tcMar>
          </w:tcPr>
          <w:p w14:paraId="5F37486D" w14:textId="77777777" w:rsidR="00BF5487" w:rsidRPr="009E06AA" w:rsidRDefault="00BF5487" w:rsidP="0057034D">
            <w:pPr>
              <w:pStyle w:val="TableText"/>
              <w:spacing w:before="40" w:after="30"/>
              <w:jc w:val="right"/>
            </w:pPr>
            <w:r w:rsidRPr="009E06AA">
              <w:rPr>
                <w:rFonts w:eastAsia="Calibri"/>
                <w:color w:val="000000"/>
              </w:rPr>
              <w:t>58.86</w:t>
            </w:r>
          </w:p>
        </w:tc>
        <w:tc>
          <w:tcPr>
            <w:tcW w:w="0" w:type="auto"/>
            <w:shd w:val="clear" w:color="auto" w:fill="FFFFFF"/>
            <w:tcMar>
              <w:top w:w="0" w:type="dxa"/>
              <w:left w:w="85" w:type="dxa"/>
              <w:bottom w:w="0" w:type="dxa"/>
              <w:right w:w="85" w:type="dxa"/>
            </w:tcMar>
          </w:tcPr>
          <w:p w14:paraId="66E27269" w14:textId="77777777" w:rsidR="00BF5487" w:rsidRPr="009E06AA" w:rsidRDefault="00BF5487" w:rsidP="0057034D">
            <w:pPr>
              <w:pStyle w:val="TableText"/>
              <w:spacing w:before="40" w:after="30"/>
              <w:jc w:val="right"/>
            </w:pPr>
            <w:r w:rsidRPr="009E06AA">
              <w:rPr>
                <w:rFonts w:eastAsia="Calibri"/>
                <w:color w:val="000000"/>
              </w:rPr>
              <w:t>0.004</w:t>
            </w:r>
          </w:p>
        </w:tc>
      </w:tr>
      <w:tr w:rsidR="00BC18F3" w:rsidRPr="009E06AA" w14:paraId="04E789D0" w14:textId="77777777" w:rsidTr="00BC18F3">
        <w:tc>
          <w:tcPr>
            <w:tcW w:w="0" w:type="auto"/>
            <w:shd w:val="clear" w:color="auto" w:fill="FFFFFF"/>
            <w:tcMar>
              <w:top w:w="0" w:type="dxa"/>
              <w:left w:w="85" w:type="dxa"/>
              <w:bottom w:w="0" w:type="dxa"/>
              <w:right w:w="85" w:type="dxa"/>
            </w:tcMar>
          </w:tcPr>
          <w:p w14:paraId="37ADCC73" w14:textId="77777777" w:rsidR="00BF5487" w:rsidRPr="009E06AA" w:rsidRDefault="00BF5487" w:rsidP="00BC18F3">
            <w:pPr>
              <w:pStyle w:val="TableText"/>
              <w:spacing w:before="40" w:after="30"/>
            </w:pPr>
            <w:r w:rsidRPr="009E06AA">
              <w:rPr>
                <w:rFonts w:eastAsia="Calibri"/>
                <w:color w:val="000000"/>
              </w:rPr>
              <w:t>IPPU for Tokelau</w:t>
            </w:r>
          </w:p>
        </w:tc>
        <w:tc>
          <w:tcPr>
            <w:tcW w:w="0" w:type="auto"/>
            <w:shd w:val="clear" w:color="auto" w:fill="FFFFFF"/>
            <w:tcMar>
              <w:top w:w="0" w:type="dxa"/>
              <w:left w:w="85" w:type="dxa"/>
              <w:bottom w:w="0" w:type="dxa"/>
              <w:right w:w="85" w:type="dxa"/>
            </w:tcMar>
          </w:tcPr>
          <w:p w14:paraId="218939C9" w14:textId="77777777" w:rsidR="00BF5487" w:rsidRPr="009E06AA" w:rsidRDefault="00BF5487" w:rsidP="0057034D">
            <w:pPr>
              <w:pStyle w:val="TableText"/>
              <w:spacing w:before="40" w:after="30"/>
              <w:jc w:val="right"/>
            </w:pPr>
            <w:r w:rsidRPr="009E06AA">
              <w:rPr>
                <w:rFonts w:eastAsia="Calibri"/>
                <w:color w:val="000000"/>
              </w:rPr>
              <w:t>0.04</w:t>
            </w:r>
          </w:p>
        </w:tc>
        <w:tc>
          <w:tcPr>
            <w:tcW w:w="0" w:type="auto"/>
            <w:shd w:val="clear" w:color="auto" w:fill="FFFFFF"/>
            <w:tcMar>
              <w:top w:w="0" w:type="dxa"/>
              <w:left w:w="85" w:type="dxa"/>
              <w:bottom w:w="0" w:type="dxa"/>
              <w:right w:w="85" w:type="dxa"/>
            </w:tcMar>
          </w:tcPr>
          <w:p w14:paraId="287A9DFA" w14:textId="77777777" w:rsidR="00BF5487" w:rsidRPr="009E06AA" w:rsidRDefault="00BF5487" w:rsidP="0057034D">
            <w:pPr>
              <w:pStyle w:val="TableText"/>
              <w:spacing w:before="40" w:after="30"/>
              <w:jc w:val="right"/>
            </w:pPr>
            <w:r w:rsidRPr="009E06AA">
              <w:rPr>
                <w:rFonts w:eastAsia="Calibri"/>
                <w:color w:val="000000"/>
              </w:rPr>
              <w:t>0.23</w:t>
            </w:r>
          </w:p>
        </w:tc>
        <w:tc>
          <w:tcPr>
            <w:tcW w:w="0" w:type="auto"/>
            <w:shd w:val="clear" w:color="auto" w:fill="FFFFFF"/>
            <w:tcMar>
              <w:top w:w="0" w:type="dxa"/>
              <w:left w:w="85" w:type="dxa"/>
              <w:bottom w:w="0" w:type="dxa"/>
              <w:right w:w="85" w:type="dxa"/>
            </w:tcMar>
          </w:tcPr>
          <w:p w14:paraId="030B3E04" w14:textId="77777777" w:rsidR="00BF5487" w:rsidRPr="009E06AA" w:rsidRDefault="00BF5487" w:rsidP="0057034D">
            <w:pPr>
              <w:pStyle w:val="TableText"/>
              <w:spacing w:before="40" w:after="30"/>
              <w:jc w:val="right"/>
            </w:pPr>
            <w:r w:rsidRPr="009E06AA">
              <w:rPr>
                <w:rFonts w:eastAsia="Calibri"/>
                <w:color w:val="000000"/>
              </w:rPr>
              <w:t>0.19</w:t>
            </w:r>
          </w:p>
        </w:tc>
        <w:tc>
          <w:tcPr>
            <w:tcW w:w="0" w:type="auto"/>
            <w:shd w:val="clear" w:color="auto" w:fill="FFFFFF"/>
            <w:tcMar>
              <w:top w:w="0" w:type="dxa"/>
              <w:left w:w="85" w:type="dxa"/>
              <w:bottom w:w="0" w:type="dxa"/>
              <w:right w:w="85" w:type="dxa"/>
            </w:tcMar>
          </w:tcPr>
          <w:p w14:paraId="6156C9C9" w14:textId="77777777" w:rsidR="00BF5487" w:rsidRPr="009E06AA" w:rsidRDefault="00BF5487" w:rsidP="0057034D">
            <w:pPr>
              <w:pStyle w:val="TableText"/>
              <w:spacing w:before="40" w:after="30"/>
              <w:jc w:val="right"/>
            </w:pPr>
            <w:r w:rsidRPr="009E06AA">
              <w:rPr>
                <w:rFonts w:eastAsia="Calibri"/>
                <w:color w:val="000000"/>
              </w:rPr>
              <w:t>451.54</w:t>
            </w:r>
          </w:p>
        </w:tc>
        <w:tc>
          <w:tcPr>
            <w:tcW w:w="0" w:type="auto"/>
            <w:shd w:val="clear" w:color="auto" w:fill="FFFFFF"/>
            <w:tcMar>
              <w:top w:w="0" w:type="dxa"/>
              <w:left w:w="85" w:type="dxa"/>
              <w:bottom w:w="0" w:type="dxa"/>
              <w:right w:w="85" w:type="dxa"/>
            </w:tcMar>
          </w:tcPr>
          <w:p w14:paraId="598815E9" w14:textId="77777777" w:rsidR="00BF5487" w:rsidRPr="009E06AA" w:rsidRDefault="00BF5487" w:rsidP="0057034D">
            <w:pPr>
              <w:pStyle w:val="TableText"/>
              <w:spacing w:before="40" w:after="30"/>
              <w:jc w:val="right"/>
            </w:pPr>
            <w:r w:rsidRPr="009E06AA">
              <w:rPr>
                <w:rFonts w:eastAsia="Calibri"/>
                <w:color w:val="000000"/>
              </w:rPr>
              <w:t>4.93</w:t>
            </w:r>
          </w:p>
        </w:tc>
        <w:tc>
          <w:tcPr>
            <w:tcW w:w="0" w:type="auto"/>
            <w:shd w:val="clear" w:color="auto" w:fill="FFFFFF"/>
            <w:tcMar>
              <w:top w:w="0" w:type="dxa"/>
              <w:left w:w="85" w:type="dxa"/>
              <w:bottom w:w="0" w:type="dxa"/>
              <w:right w:w="85" w:type="dxa"/>
            </w:tcMar>
          </w:tcPr>
          <w:p w14:paraId="54BD8015" w14:textId="77777777" w:rsidR="00BF5487" w:rsidRPr="009E06AA" w:rsidRDefault="00BF5487" w:rsidP="0057034D">
            <w:pPr>
              <w:pStyle w:val="TableText"/>
              <w:spacing w:before="40" w:after="30"/>
              <w:jc w:val="right"/>
            </w:pPr>
            <w:r w:rsidRPr="009E06AA">
              <w:rPr>
                <w:rFonts w:eastAsia="Calibri"/>
                <w:color w:val="000000"/>
              </w:rPr>
              <w:t>0.000</w:t>
            </w:r>
          </w:p>
        </w:tc>
      </w:tr>
      <w:tr w:rsidR="00BC18F3" w:rsidRPr="009E06AA" w14:paraId="5F3CBDBB" w14:textId="77777777" w:rsidTr="00BC18F3">
        <w:tc>
          <w:tcPr>
            <w:tcW w:w="0" w:type="auto"/>
            <w:shd w:val="clear" w:color="auto" w:fill="FFFFFF"/>
            <w:tcMar>
              <w:top w:w="0" w:type="dxa"/>
              <w:left w:w="85" w:type="dxa"/>
              <w:bottom w:w="0" w:type="dxa"/>
              <w:right w:w="85" w:type="dxa"/>
            </w:tcMar>
          </w:tcPr>
          <w:p w14:paraId="419E9E6B" w14:textId="77777777" w:rsidR="00BF5487" w:rsidRPr="009E06AA" w:rsidRDefault="00BF5487" w:rsidP="00BC18F3">
            <w:pPr>
              <w:pStyle w:val="TableText"/>
              <w:spacing w:before="40" w:after="30"/>
            </w:pPr>
            <w:r w:rsidRPr="009E06AA">
              <w:rPr>
                <w:rFonts w:eastAsia="Calibri"/>
                <w:color w:val="000000"/>
              </w:rPr>
              <w:t>Agriculture for Tokelau</w:t>
            </w:r>
          </w:p>
        </w:tc>
        <w:tc>
          <w:tcPr>
            <w:tcW w:w="0" w:type="auto"/>
            <w:shd w:val="clear" w:color="auto" w:fill="FFFFFF"/>
            <w:tcMar>
              <w:top w:w="0" w:type="dxa"/>
              <w:left w:w="85" w:type="dxa"/>
              <w:bottom w:w="0" w:type="dxa"/>
              <w:right w:w="85" w:type="dxa"/>
            </w:tcMar>
          </w:tcPr>
          <w:p w14:paraId="7D304F00" w14:textId="77777777" w:rsidR="00BF5487" w:rsidRPr="009E06AA" w:rsidRDefault="00BF5487" w:rsidP="0057034D">
            <w:pPr>
              <w:pStyle w:val="TableText"/>
              <w:spacing w:before="40" w:after="30"/>
              <w:jc w:val="right"/>
            </w:pPr>
            <w:r w:rsidRPr="009E06AA">
              <w:rPr>
                <w:rFonts w:eastAsia="Calibri"/>
                <w:color w:val="000000"/>
              </w:rPr>
              <w:t>1.29</w:t>
            </w:r>
          </w:p>
        </w:tc>
        <w:tc>
          <w:tcPr>
            <w:tcW w:w="0" w:type="auto"/>
            <w:shd w:val="clear" w:color="auto" w:fill="FFFFFF"/>
            <w:tcMar>
              <w:top w:w="0" w:type="dxa"/>
              <w:left w:w="85" w:type="dxa"/>
              <w:bottom w:w="0" w:type="dxa"/>
              <w:right w:w="85" w:type="dxa"/>
            </w:tcMar>
          </w:tcPr>
          <w:p w14:paraId="4153B4ED" w14:textId="77777777" w:rsidR="00BF5487" w:rsidRPr="009E06AA" w:rsidRDefault="00BF5487" w:rsidP="0057034D">
            <w:pPr>
              <w:pStyle w:val="TableText"/>
              <w:spacing w:before="40" w:after="30"/>
              <w:jc w:val="right"/>
            </w:pPr>
            <w:r w:rsidRPr="009E06AA">
              <w:rPr>
                <w:rFonts w:eastAsia="Calibri"/>
                <w:color w:val="000000"/>
              </w:rPr>
              <w:t>0.92</w:t>
            </w:r>
          </w:p>
        </w:tc>
        <w:tc>
          <w:tcPr>
            <w:tcW w:w="0" w:type="auto"/>
            <w:shd w:val="clear" w:color="auto" w:fill="FFFFFF"/>
            <w:tcMar>
              <w:top w:w="0" w:type="dxa"/>
              <w:left w:w="85" w:type="dxa"/>
              <w:bottom w:w="0" w:type="dxa"/>
              <w:right w:w="85" w:type="dxa"/>
            </w:tcMar>
          </w:tcPr>
          <w:p w14:paraId="4350C0BD" w14:textId="77777777" w:rsidR="00BF5487" w:rsidRPr="009E06AA" w:rsidRDefault="00BF5487" w:rsidP="0057034D">
            <w:pPr>
              <w:pStyle w:val="TableText"/>
              <w:spacing w:before="40" w:after="30"/>
              <w:jc w:val="right"/>
            </w:pPr>
            <w:r w:rsidRPr="009E06AA">
              <w:rPr>
                <w:rFonts w:eastAsia="Calibri"/>
                <w:color w:val="000000"/>
              </w:rPr>
              <w:t>-0.36</w:t>
            </w:r>
          </w:p>
        </w:tc>
        <w:tc>
          <w:tcPr>
            <w:tcW w:w="0" w:type="auto"/>
            <w:shd w:val="clear" w:color="auto" w:fill="FFFFFF"/>
            <w:tcMar>
              <w:top w:w="0" w:type="dxa"/>
              <w:left w:w="85" w:type="dxa"/>
              <w:bottom w:w="0" w:type="dxa"/>
              <w:right w:w="85" w:type="dxa"/>
            </w:tcMar>
          </w:tcPr>
          <w:p w14:paraId="0BFEE7EF" w14:textId="77777777" w:rsidR="00BF5487" w:rsidRPr="009E06AA" w:rsidRDefault="00BF5487" w:rsidP="0057034D">
            <w:pPr>
              <w:pStyle w:val="TableText"/>
              <w:spacing w:before="40" w:after="30"/>
              <w:jc w:val="right"/>
            </w:pPr>
            <w:r w:rsidRPr="009E06AA">
              <w:rPr>
                <w:rFonts w:eastAsia="Calibri"/>
                <w:color w:val="000000"/>
              </w:rPr>
              <w:t>-28.29</w:t>
            </w:r>
          </w:p>
        </w:tc>
        <w:tc>
          <w:tcPr>
            <w:tcW w:w="0" w:type="auto"/>
            <w:shd w:val="clear" w:color="auto" w:fill="FFFFFF"/>
            <w:tcMar>
              <w:top w:w="0" w:type="dxa"/>
              <w:left w:w="85" w:type="dxa"/>
              <w:bottom w:w="0" w:type="dxa"/>
              <w:right w:w="85" w:type="dxa"/>
            </w:tcMar>
          </w:tcPr>
          <w:p w14:paraId="4D14640F" w14:textId="77777777" w:rsidR="00BF5487" w:rsidRPr="009E06AA" w:rsidRDefault="00BF5487" w:rsidP="0057034D">
            <w:pPr>
              <w:pStyle w:val="TableText"/>
              <w:spacing w:before="40" w:after="30"/>
              <w:jc w:val="right"/>
            </w:pPr>
            <w:r w:rsidRPr="009E06AA">
              <w:rPr>
                <w:rFonts w:eastAsia="Calibri"/>
                <w:color w:val="000000"/>
              </w:rPr>
              <w:t>19.70</w:t>
            </w:r>
          </w:p>
        </w:tc>
        <w:tc>
          <w:tcPr>
            <w:tcW w:w="0" w:type="auto"/>
            <w:shd w:val="clear" w:color="auto" w:fill="FFFFFF"/>
            <w:tcMar>
              <w:top w:w="0" w:type="dxa"/>
              <w:left w:w="85" w:type="dxa"/>
              <w:bottom w:w="0" w:type="dxa"/>
              <w:right w:w="85" w:type="dxa"/>
            </w:tcMar>
          </w:tcPr>
          <w:p w14:paraId="224F820C" w14:textId="77777777" w:rsidR="00BF5487" w:rsidRPr="009E06AA" w:rsidRDefault="00BF5487" w:rsidP="0057034D">
            <w:pPr>
              <w:pStyle w:val="TableText"/>
              <w:spacing w:before="40" w:after="30"/>
              <w:jc w:val="right"/>
            </w:pPr>
            <w:r w:rsidRPr="009E06AA">
              <w:rPr>
                <w:rFonts w:eastAsia="Calibri"/>
                <w:color w:val="000000"/>
              </w:rPr>
              <w:t>0.001</w:t>
            </w:r>
          </w:p>
        </w:tc>
      </w:tr>
      <w:tr w:rsidR="00BC18F3" w:rsidRPr="009E06AA" w14:paraId="46BDDDEE" w14:textId="77777777" w:rsidTr="00BC18F3">
        <w:tc>
          <w:tcPr>
            <w:tcW w:w="0" w:type="auto"/>
            <w:shd w:val="clear" w:color="auto" w:fill="FFFFFF"/>
            <w:tcMar>
              <w:top w:w="0" w:type="dxa"/>
              <w:left w:w="85" w:type="dxa"/>
              <w:bottom w:w="0" w:type="dxa"/>
              <w:right w:w="85" w:type="dxa"/>
            </w:tcMar>
          </w:tcPr>
          <w:p w14:paraId="384791B1" w14:textId="77777777" w:rsidR="00BF5487" w:rsidRPr="009E06AA" w:rsidRDefault="00BF5487" w:rsidP="00BC18F3">
            <w:pPr>
              <w:pStyle w:val="TableText"/>
              <w:spacing w:before="40" w:after="30"/>
            </w:pPr>
            <w:r w:rsidRPr="009E06AA">
              <w:rPr>
                <w:rFonts w:eastAsia="Calibri"/>
                <w:color w:val="000000"/>
              </w:rPr>
              <w:t>Waste for Tokelau</w:t>
            </w:r>
          </w:p>
        </w:tc>
        <w:tc>
          <w:tcPr>
            <w:tcW w:w="0" w:type="auto"/>
            <w:shd w:val="clear" w:color="auto" w:fill="FFFFFF"/>
            <w:tcMar>
              <w:top w:w="0" w:type="dxa"/>
              <w:left w:w="85" w:type="dxa"/>
              <w:bottom w:w="0" w:type="dxa"/>
              <w:right w:w="85" w:type="dxa"/>
            </w:tcMar>
          </w:tcPr>
          <w:p w14:paraId="2CACF637" w14:textId="77777777" w:rsidR="00BF5487" w:rsidRPr="009E06AA" w:rsidRDefault="00BF5487" w:rsidP="0057034D">
            <w:pPr>
              <w:pStyle w:val="TableText"/>
              <w:spacing w:before="40" w:after="30"/>
              <w:jc w:val="right"/>
            </w:pPr>
            <w:r w:rsidRPr="009E06AA">
              <w:rPr>
                <w:rFonts w:eastAsia="Calibri"/>
                <w:color w:val="000000"/>
              </w:rPr>
              <w:t>0.78</w:t>
            </w:r>
          </w:p>
        </w:tc>
        <w:tc>
          <w:tcPr>
            <w:tcW w:w="0" w:type="auto"/>
            <w:shd w:val="clear" w:color="auto" w:fill="FFFFFF"/>
            <w:tcMar>
              <w:top w:w="0" w:type="dxa"/>
              <w:left w:w="85" w:type="dxa"/>
              <w:bottom w:w="0" w:type="dxa"/>
              <w:right w:w="85" w:type="dxa"/>
            </w:tcMar>
          </w:tcPr>
          <w:p w14:paraId="026E5754" w14:textId="77777777" w:rsidR="00BF5487" w:rsidRPr="009E06AA" w:rsidRDefault="00BF5487" w:rsidP="0057034D">
            <w:pPr>
              <w:pStyle w:val="TableText"/>
              <w:spacing w:before="40" w:after="30"/>
              <w:jc w:val="right"/>
            </w:pPr>
            <w:r w:rsidRPr="009E06AA">
              <w:rPr>
                <w:rFonts w:eastAsia="Calibri"/>
                <w:color w:val="000000"/>
              </w:rPr>
              <w:t>0.77</w:t>
            </w:r>
          </w:p>
        </w:tc>
        <w:tc>
          <w:tcPr>
            <w:tcW w:w="0" w:type="auto"/>
            <w:shd w:val="clear" w:color="auto" w:fill="FFFFFF"/>
            <w:tcMar>
              <w:top w:w="0" w:type="dxa"/>
              <w:left w:w="85" w:type="dxa"/>
              <w:bottom w:w="0" w:type="dxa"/>
              <w:right w:w="85" w:type="dxa"/>
            </w:tcMar>
          </w:tcPr>
          <w:p w14:paraId="5E18DF98" w14:textId="77777777" w:rsidR="00BF5487" w:rsidRPr="009E06AA" w:rsidRDefault="00BF5487" w:rsidP="0057034D">
            <w:pPr>
              <w:pStyle w:val="TableText"/>
              <w:spacing w:before="40" w:after="30"/>
              <w:jc w:val="right"/>
            </w:pPr>
            <w:r w:rsidRPr="009E06AA">
              <w:rPr>
                <w:rFonts w:eastAsia="Calibri"/>
                <w:color w:val="000000"/>
              </w:rPr>
              <w:t>-0.01</w:t>
            </w:r>
          </w:p>
        </w:tc>
        <w:tc>
          <w:tcPr>
            <w:tcW w:w="0" w:type="auto"/>
            <w:shd w:val="clear" w:color="auto" w:fill="FFFFFF"/>
            <w:tcMar>
              <w:top w:w="0" w:type="dxa"/>
              <w:left w:w="85" w:type="dxa"/>
              <w:bottom w:w="0" w:type="dxa"/>
              <w:right w:w="85" w:type="dxa"/>
            </w:tcMar>
          </w:tcPr>
          <w:p w14:paraId="7B46BF41" w14:textId="77777777" w:rsidR="00BF5487" w:rsidRPr="009E06AA" w:rsidRDefault="00BF5487" w:rsidP="0057034D">
            <w:pPr>
              <w:pStyle w:val="TableText"/>
              <w:spacing w:before="40" w:after="30"/>
              <w:jc w:val="right"/>
            </w:pPr>
            <w:r w:rsidRPr="009E06AA">
              <w:rPr>
                <w:rFonts w:eastAsia="Calibri"/>
                <w:color w:val="000000"/>
              </w:rPr>
              <w:t>-0.79</w:t>
            </w:r>
          </w:p>
        </w:tc>
        <w:tc>
          <w:tcPr>
            <w:tcW w:w="0" w:type="auto"/>
            <w:shd w:val="clear" w:color="auto" w:fill="FFFFFF"/>
            <w:tcMar>
              <w:top w:w="0" w:type="dxa"/>
              <w:left w:w="85" w:type="dxa"/>
              <w:bottom w:w="0" w:type="dxa"/>
              <w:right w:w="85" w:type="dxa"/>
            </w:tcMar>
          </w:tcPr>
          <w:p w14:paraId="64242D2D" w14:textId="77777777" w:rsidR="00BF5487" w:rsidRPr="009E06AA" w:rsidRDefault="00BF5487" w:rsidP="0057034D">
            <w:pPr>
              <w:pStyle w:val="TableText"/>
              <w:spacing w:before="40" w:after="30"/>
              <w:jc w:val="right"/>
            </w:pPr>
            <w:r w:rsidRPr="009E06AA">
              <w:rPr>
                <w:rFonts w:eastAsia="Calibri"/>
                <w:color w:val="000000"/>
              </w:rPr>
              <w:t>16.51</w:t>
            </w:r>
          </w:p>
        </w:tc>
        <w:tc>
          <w:tcPr>
            <w:tcW w:w="0" w:type="auto"/>
            <w:shd w:val="clear" w:color="auto" w:fill="FFFFFF"/>
            <w:tcMar>
              <w:top w:w="0" w:type="dxa"/>
              <w:left w:w="85" w:type="dxa"/>
              <w:bottom w:w="0" w:type="dxa"/>
              <w:right w:w="85" w:type="dxa"/>
            </w:tcMar>
          </w:tcPr>
          <w:p w14:paraId="5AE60E42" w14:textId="77777777" w:rsidR="00BF5487" w:rsidRPr="009E06AA" w:rsidRDefault="00BF5487" w:rsidP="0057034D">
            <w:pPr>
              <w:pStyle w:val="TableText"/>
              <w:spacing w:before="40" w:after="30"/>
              <w:jc w:val="right"/>
            </w:pPr>
            <w:r w:rsidRPr="009E06AA">
              <w:rPr>
                <w:rFonts w:eastAsia="Calibri"/>
                <w:color w:val="000000"/>
              </w:rPr>
              <w:t>0.001</w:t>
            </w:r>
          </w:p>
        </w:tc>
      </w:tr>
      <w:tr w:rsidR="00BC18F3" w:rsidRPr="009E06AA" w14:paraId="61CB8192" w14:textId="77777777" w:rsidTr="00BC18F3">
        <w:tc>
          <w:tcPr>
            <w:tcW w:w="0" w:type="auto"/>
            <w:shd w:val="clear" w:color="auto" w:fill="FFFFFF"/>
            <w:tcMar>
              <w:top w:w="0" w:type="dxa"/>
              <w:left w:w="85" w:type="dxa"/>
              <w:bottom w:w="0" w:type="dxa"/>
              <w:right w:w="85" w:type="dxa"/>
            </w:tcMar>
          </w:tcPr>
          <w:p w14:paraId="7CF7D923" w14:textId="77777777" w:rsidR="00BF5487" w:rsidRPr="009E06AA" w:rsidRDefault="00BF5487" w:rsidP="00BC18F3">
            <w:pPr>
              <w:pStyle w:val="Tableboldblue"/>
              <w:spacing w:before="40" w:after="30"/>
            </w:pPr>
            <w:r w:rsidRPr="009E06AA">
              <w:rPr>
                <w:rFonts w:eastAsia="Calibri"/>
              </w:rPr>
              <w:t>Gross emissions for Tokelau</w:t>
            </w:r>
          </w:p>
        </w:tc>
        <w:tc>
          <w:tcPr>
            <w:tcW w:w="0" w:type="auto"/>
            <w:shd w:val="clear" w:color="auto" w:fill="FFFFFF"/>
            <w:tcMar>
              <w:top w:w="0" w:type="dxa"/>
              <w:left w:w="85" w:type="dxa"/>
              <w:bottom w:w="0" w:type="dxa"/>
              <w:right w:w="85" w:type="dxa"/>
            </w:tcMar>
          </w:tcPr>
          <w:p w14:paraId="4B520036" w14:textId="77777777" w:rsidR="00BF5487" w:rsidRPr="009E06AA" w:rsidRDefault="00BF5487" w:rsidP="0057034D">
            <w:pPr>
              <w:pStyle w:val="Tableboldblue"/>
              <w:spacing w:before="40" w:after="30"/>
              <w:jc w:val="right"/>
            </w:pPr>
            <w:r w:rsidRPr="009E06AA">
              <w:rPr>
                <w:rFonts w:eastAsia="Calibri"/>
              </w:rPr>
              <w:t>3.37</w:t>
            </w:r>
          </w:p>
        </w:tc>
        <w:tc>
          <w:tcPr>
            <w:tcW w:w="0" w:type="auto"/>
            <w:shd w:val="clear" w:color="auto" w:fill="FFFFFF"/>
            <w:tcMar>
              <w:top w:w="0" w:type="dxa"/>
              <w:left w:w="85" w:type="dxa"/>
              <w:bottom w:w="0" w:type="dxa"/>
              <w:right w:w="85" w:type="dxa"/>
            </w:tcMar>
          </w:tcPr>
          <w:p w14:paraId="23DEF20F" w14:textId="77777777" w:rsidR="00BF5487" w:rsidRPr="009E06AA" w:rsidRDefault="00BF5487" w:rsidP="0057034D">
            <w:pPr>
              <w:pStyle w:val="Tableboldblue"/>
              <w:spacing w:before="40" w:after="30"/>
              <w:jc w:val="right"/>
            </w:pPr>
            <w:r w:rsidRPr="009E06AA">
              <w:rPr>
                <w:rFonts w:eastAsia="Calibri"/>
              </w:rPr>
              <w:t>4.69</w:t>
            </w:r>
          </w:p>
        </w:tc>
        <w:tc>
          <w:tcPr>
            <w:tcW w:w="0" w:type="auto"/>
            <w:shd w:val="clear" w:color="auto" w:fill="FFFFFF"/>
            <w:tcMar>
              <w:top w:w="0" w:type="dxa"/>
              <w:left w:w="85" w:type="dxa"/>
              <w:bottom w:w="0" w:type="dxa"/>
              <w:right w:w="85" w:type="dxa"/>
            </w:tcMar>
          </w:tcPr>
          <w:p w14:paraId="3AF8E624" w14:textId="77777777" w:rsidR="00BF5487" w:rsidRPr="009E06AA" w:rsidRDefault="00BF5487" w:rsidP="0057034D">
            <w:pPr>
              <w:pStyle w:val="Tableboldblue"/>
              <w:spacing w:before="40" w:after="30"/>
              <w:jc w:val="right"/>
            </w:pPr>
            <w:r w:rsidRPr="009E06AA">
              <w:rPr>
                <w:rFonts w:eastAsia="Calibri"/>
              </w:rPr>
              <w:t>1.31</w:t>
            </w:r>
          </w:p>
        </w:tc>
        <w:tc>
          <w:tcPr>
            <w:tcW w:w="0" w:type="auto"/>
            <w:shd w:val="clear" w:color="auto" w:fill="FFFFFF"/>
            <w:tcMar>
              <w:top w:w="0" w:type="dxa"/>
              <w:left w:w="85" w:type="dxa"/>
              <w:bottom w:w="0" w:type="dxa"/>
              <w:right w:w="85" w:type="dxa"/>
            </w:tcMar>
          </w:tcPr>
          <w:p w14:paraId="79A1D1DC" w14:textId="77777777" w:rsidR="00BF5487" w:rsidRPr="009E06AA" w:rsidRDefault="00BF5487" w:rsidP="0057034D">
            <w:pPr>
              <w:pStyle w:val="Tableboldblue"/>
              <w:spacing w:before="40" w:after="30"/>
              <w:jc w:val="right"/>
            </w:pPr>
            <w:r w:rsidRPr="009E06AA">
              <w:rPr>
                <w:rFonts w:eastAsia="Calibri"/>
              </w:rPr>
              <w:t>38.94</w:t>
            </w:r>
          </w:p>
        </w:tc>
        <w:tc>
          <w:tcPr>
            <w:tcW w:w="0" w:type="auto"/>
            <w:shd w:val="clear" w:color="auto" w:fill="FFFFFF"/>
            <w:tcMar>
              <w:top w:w="0" w:type="dxa"/>
              <w:left w:w="85" w:type="dxa"/>
              <w:bottom w:w="0" w:type="dxa"/>
              <w:right w:w="85" w:type="dxa"/>
            </w:tcMar>
          </w:tcPr>
          <w:p w14:paraId="4FFCDC82" w14:textId="77777777" w:rsidR="00BF5487" w:rsidRPr="009E06AA" w:rsidRDefault="00BF5487" w:rsidP="0057034D">
            <w:pPr>
              <w:pStyle w:val="Tableboldblue"/>
              <w:spacing w:before="40" w:after="30"/>
              <w:jc w:val="right"/>
            </w:pPr>
            <w:r w:rsidRPr="009E06AA">
              <w:rPr>
                <w:rFonts w:eastAsia="Calibri"/>
              </w:rPr>
              <w:t>100.00</w:t>
            </w:r>
          </w:p>
        </w:tc>
        <w:tc>
          <w:tcPr>
            <w:tcW w:w="0" w:type="auto"/>
            <w:shd w:val="clear" w:color="auto" w:fill="FFFFFF"/>
            <w:tcMar>
              <w:top w:w="0" w:type="dxa"/>
              <w:left w:w="85" w:type="dxa"/>
              <w:bottom w:w="0" w:type="dxa"/>
              <w:right w:w="85" w:type="dxa"/>
            </w:tcMar>
          </w:tcPr>
          <w:p w14:paraId="32A43D2C" w14:textId="77777777" w:rsidR="00BF5487" w:rsidRPr="009E06AA" w:rsidRDefault="00BF5487" w:rsidP="0057034D">
            <w:pPr>
              <w:pStyle w:val="Tableboldblue"/>
              <w:spacing w:before="40" w:after="30"/>
              <w:jc w:val="right"/>
            </w:pPr>
            <w:r w:rsidRPr="009E06AA">
              <w:rPr>
                <w:rFonts w:eastAsia="Calibri"/>
              </w:rPr>
              <w:t>0.006</w:t>
            </w:r>
          </w:p>
        </w:tc>
      </w:tr>
    </w:tbl>
    <w:p w14:paraId="5736ADE8" w14:textId="77777777" w:rsidR="00BF5487" w:rsidRPr="009E06AA" w:rsidRDefault="00BF5487" w:rsidP="00BC18F3">
      <w:pPr>
        <w:pStyle w:val="Noteundertable"/>
        <w:spacing w:after="0"/>
      </w:pPr>
      <w:r w:rsidRPr="009E06AA">
        <w:rPr>
          <w:b/>
          <w:bCs/>
        </w:rPr>
        <w:t>Note:</w:t>
      </w:r>
      <w:r w:rsidRPr="009E06AA">
        <w:t xml:space="preserve"> </w:t>
      </w:r>
      <w:r w:rsidRPr="009E06AA">
        <w:tab/>
        <w:t>The 2024 submission includes emissions from Tokelau’s largest contributing sectors, which are the Energy, IPPU, Agriculture and Waste sectors. The LULUCF sector is not estimated. Because Tokelau has no planted or managed forests, the LULUCF sector is expected to be insignificant. The percentages may not add up to 100 per cent due to rounding.</w:t>
      </w:r>
    </w:p>
    <w:p w14:paraId="67BA7E63" w14:textId="77777777" w:rsidR="00BF5487" w:rsidRPr="009E06AA" w:rsidRDefault="00BF5487" w:rsidP="006F08FE">
      <w:pPr>
        <w:pStyle w:val="Heading5"/>
      </w:pPr>
      <w:r w:rsidRPr="009E06AA">
        <w:t>2022</w:t>
      </w:r>
    </w:p>
    <w:p w14:paraId="788F8563" w14:textId="77777777" w:rsidR="00BF5487" w:rsidRPr="009E06AA" w:rsidRDefault="00BF5487" w:rsidP="00770BC1">
      <w:pPr>
        <w:pStyle w:val="BodyText"/>
      </w:pPr>
      <w:r w:rsidRPr="009E06AA">
        <w:t>In 2022, emissions from Tokelau contributed 0.006 per cent (4.69 kt CO</w:t>
      </w:r>
      <w:r w:rsidRPr="009E06AA">
        <w:rPr>
          <w:vertAlign w:val="subscript"/>
        </w:rPr>
        <w:t>2</w:t>
      </w:r>
      <w:r w:rsidRPr="009E06AA">
        <w:t>-e) of New Zealand’s gross GHG emissions.</w:t>
      </w:r>
    </w:p>
    <w:p w14:paraId="34FD169C" w14:textId="77777777" w:rsidR="00BF5487" w:rsidRPr="009E06AA" w:rsidRDefault="00BF5487" w:rsidP="00770BC1">
      <w:pPr>
        <w:pStyle w:val="BodyText"/>
      </w:pPr>
      <w:r w:rsidRPr="009E06AA">
        <w:t xml:space="preserve">The largest source category was </w:t>
      </w:r>
      <w:r w:rsidRPr="009E06AA">
        <w:rPr>
          <w:i/>
          <w:iCs/>
        </w:rPr>
        <w:t>Electricity generation</w:t>
      </w:r>
      <w:r w:rsidRPr="009E06AA">
        <w:t>, which contributed 48.5 per cent (1.34 kt CO</w:t>
      </w:r>
      <w:r w:rsidRPr="009E06AA">
        <w:rPr>
          <w:vertAlign w:val="subscript"/>
        </w:rPr>
        <w:t>2</w:t>
      </w:r>
      <w:r w:rsidRPr="009E06AA">
        <w:t>-e) of all energy emissions and 28.6 per cent of gross emissions from Tokelau.</w:t>
      </w:r>
    </w:p>
    <w:p w14:paraId="6C592B05" w14:textId="77777777" w:rsidR="00BF5487" w:rsidRPr="009E06AA" w:rsidRDefault="00BF5487" w:rsidP="00770BC1">
      <w:pPr>
        <w:pStyle w:val="BodyText"/>
      </w:pPr>
      <w:r w:rsidRPr="009E06AA">
        <w:t>Carbon dioxide dominated emissions from Tokelau, contributing 59.3 per cent (2.78 kt CO</w:t>
      </w:r>
      <w:r w:rsidRPr="009E06AA">
        <w:rPr>
          <w:vertAlign w:val="subscript"/>
        </w:rPr>
        <w:t>2</w:t>
      </w:r>
      <w:r w:rsidRPr="009E06AA">
        <w:t>-e) of its total emissions in 2022. At 2.74 kt CO</w:t>
      </w:r>
      <w:r w:rsidRPr="009E06AA">
        <w:rPr>
          <w:vertAlign w:val="subscript"/>
        </w:rPr>
        <w:t>2</w:t>
      </w:r>
      <w:r w:rsidRPr="009E06AA">
        <w:t>, the Energy sector contributed 98.6 per cent of total CO</w:t>
      </w:r>
      <w:r w:rsidRPr="009E06AA">
        <w:rPr>
          <w:vertAlign w:val="subscript"/>
        </w:rPr>
        <w:t>2</w:t>
      </w:r>
      <w:r w:rsidRPr="009E06AA">
        <w:t xml:space="preserve"> emissions, mostly from </w:t>
      </w:r>
      <w:r w:rsidRPr="009E06AA">
        <w:rPr>
          <w:i/>
          <w:iCs/>
        </w:rPr>
        <w:t>Electricity generation</w:t>
      </w:r>
      <w:r w:rsidRPr="009E06AA">
        <w:t xml:space="preserve">, with the remaining 1.4 per cent (0.04 kt) coming from </w:t>
      </w:r>
      <w:r w:rsidRPr="009E06AA">
        <w:rPr>
          <w:i/>
          <w:iCs/>
        </w:rPr>
        <w:t>Open burning of waste</w:t>
      </w:r>
      <w:r w:rsidRPr="009E06AA">
        <w:t xml:space="preserve"> in the Waste sector.</w:t>
      </w:r>
    </w:p>
    <w:p w14:paraId="33D4628B" w14:textId="77777777" w:rsidR="00BF5487" w:rsidRPr="009E06AA" w:rsidRDefault="00BF5487" w:rsidP="00770BC1">
      <w:pPr>
        <w:pStyle w:val="BodyText"/>
      </w:pPr>
      <w:r w:rsidRPr="009E06AA">
        <w:t>Methane emissions contributed 35.3 per cent (1.66 kt CO</w:t>
      </w:r>
      <w:r w:rsidRPr="009E06AA">
        <w:rPr>
          <w:vertAlign w:val="subscript"/>
        </w:rPr>
        <w:t>2</w:t>
      </w:r>
      <w:r w:rsidRPr="009E06AA">
        <w:t>-e) to the total emissions from Tokelau. The Agriculture sector in Tokelau contributed 55.7 per cent of CH</w:t>
      </w:r>
      <w:r w:rsidRPr="009E06AA">
        <w:rPr>
          <w:vertAlign w:val="subscript"/>
        </w:rPr>
        <w:t>4</w:t>
      </w:r>
      <w:r w:rsidRPr="009E06AA">
        <w:t xml:space="preserve"> emissions (0.92 kt CO</w:t>
      </w:r>
      <w:r w:rsidRPr="009E06AA">
        <w:rPr>
          <w:vertAlign w:val="subscript"/>
        </w:rPr>
        <w:t>2</w:t>
      </w:r>
      <w:r w:rsidRPr="009E06AA">
        <w:t xml:space="preserve">-e), which mostly came from </w:t>
      </w:r>
      <w:r w:rsidRPr="009E06AA">
        <w:rPr>
          <w:i/>
          <w:iCs/>
        </w:rPr>
        <w:t>Manure management</w:t>
      </w:r>
      <w:r w:rsidRPr="009E06AA">
        <w:t>. A significant portion of CH</w:t>
      </w:r>
      <w:r w:rsidRPr="009E06AA">
        <w:rPr>
          <w:vertAlign w:val="subscript"/>
        </w:rPr>
        <w:t>4</w:t>
      </w:r>
      <w:r w:rsidRPr="009E06AA">
        <w:t xml:space="preserve"> emissions, 43.8 per cent (0.72 kt CO</w:t>
      </w:r>
      <w:r w:rsidRPr="009E06AA">
        <w:rPr>
          <w:vertAlign w:val="subscript"/>
        </w:rPr>
        <w:t>2</w:t>
      </w:r>
      <w:r w:rsidRPr="009E06AA">
        <w:t xml:space="preserve">-e), came from the Waste sector, largely from </w:t>
      </w:r>
      <w:r w:rsidRPr="009E06AA">
        <w:rPr>
          <w:i/>
          <w:iCs/>
        </w:rPr>
        <w:t>Solid waste disposal</w:t>
      </w:r>
      <w:r w:rsidRPr="009E06AA">
        <w:t>. The Energy sector contributed the remaining 0.5 per cent of CH</w:t>
      </w:r>
      <w:r w:rsidRPr="009E06AA">
        <w:rPr>
          <w:vertAlign w:val="subscript"/>
        </w:rPr>
        <w:t>4</w:t>
      </w:r>
      <w:r w:rsidRPr="009E06AA">
        <w:t xml:space="preserve"> emissions (0.01 kt CO</w:t>
      </w:r>
      <w:r w:rsidRPr="009E06AA">
        <w:rPr>
          <w:vertAlign w:val="subscript"/>
        </w:rPr>
        <w:t>2</w:t>
      </w:r>
      <w:r w:rsidRPr="009E06AA">
        <w:t xml:space="preserve">-e), which mostly came from </w:t>
      </w:r>
      <w:r w:rsidRPr="009E06AA">
        <w:rPr>
          <w:i/>
          <w:iCs/>
        </w:rPr>
        <w:t>Domestic navigation</w:t>
      </w:r>
      <w:r w:rsidRPr="009E06AA">
        <w:t>.</w:t>
      </w:r>
    </w:p>
    <w:p w14:paraId="75D52E8F" w14:textId="77777777" w:rsidR="00BF5487" w:rsidRPr="009E06AA" w:rsidRDefault="00BF5487" w:rsidP="00770BC1">
      <w:pPr>
        <w:pStyle w:val="BodyText"/>
      </w:pPr>
      <w:r w:rsidRPr="009E06AA">
        <w:t>Nitrous oxide emissions contributed 0.9 per cent (0.04 kt CO</w:t>
      </w:r>
      <w:r w:rsidRPr="009E06AA">
        <w:rPr>
          <w:vertAlign w:val="subscript"/>
        </w:rPr>
        <w:t>2</w:t>
      </w:r>
      <w:r w:rsidRPr="009E06AA">
        <w:t>-e) to the total emissions from Tokelau. The IPPU sector (</w:t>
      </w:r>
      <w:r w:rsidRPr="009E06AA">
        <w:rPr>
          <w:i/>
          <w:iCs/>
        </w:rPr>
        <w:t>Medical applications</w:t>
      </w:r>
      <w:r w:rsidRPr="009E06AA">
        <w:t>) contributed the largest amount of N</w:t>
      </w:r>
      <w:r w:rsidRPr="009E06AA">
        <w:rPr>
          <w:vertAlign w:val="subscript"/>
        </w:rPr>
        <w:t>2</w:t>
      </w:r>
      <w:r w:rsidRPr="009E06AA">
        <w:t>O, 47.5 per cent (0.02 kt CO</w:t>
      </w:r>
      <w:r w:rsidRPr="009E06AA">
        <w:rPr>
          <w:vertAlign w:val="subscript"/>
        </w:rPr>
        <w:t>2</w:t>
      </w:r>
      <w:r w:rsidRPr="009E06AA">
        <w:t>-e) of the total N</w:t>
      </w:r>
      <w:r w:rsidRPr="009E06AA">
        <w:rPr>
          <w:vertAlign w:val="subscript"/>
        </w:rPr>
        <w:t>2</w:t>
      </w:r>
      <w:r w:rsidRPr="009E06AA">
        <w:t>O. The Energy sector contributed a further 29.0 per cent (0.01 kt CO</w:t>
      </w:r>
      <w:r w:rsidRPr="009E06AA">
        <w:rPr>
          <w:vertAlign w:val="subscript"/>
        </w:rPr>
        <w:t>2</w:t>
      </w:r>
      <w:r w:rsidRPr="009E06AA">
        <w:t xml:space="preserve">-e), which comes largely from </w:t>
      </w:r>
      <w:r w:rsidRPr="009E06AA">
        <w:rPr>
          <w:i/>
          <w:iCs/>
        </w:rPr>
        <w:t>Domestic navigation</w:t>
      </w:r>
      <w:r w:rsidRPr="009E06AA">
        <w:t>. The Waste sector contributed the remaining 23.5 per cent of N</w:t>
      </w:r>
      <w:r w:rsidRPr="009E06AA">
        <w:rPr>
          <w:vertAlign w:val="subscript"/>
        </w:rPr>
        <w:t>2</w:t>
      </w:r>
      <w:r w:rsidRPr="009E06AA">
        <w:t xml:space="preserve">O (0.01 kt CO2-e) from </w:t>
      </w:r>
      <w:r w:rsidRPr="009E06AA">
        <w:rPr>
          <w:i/>
          <w:iCs/>
        </w:rPr>
        <w:t>Open burning</w:t>
      </w:r>
      <w:r w:rsidRPr="009E06AA">
        <w:t>.</w:t>
      </w:r>
    </w:p>
    <w:p w14:paraId="0E680968" w14:textId="77777777" w:rsidR="00BF5487" w:rsidRPr="009E06AA" w:rsidRDefault="00BF5487" w:rsidP="00770BC1">
      <w:pPr>
        <w:pStyle w:val="BodyText"/>
      </w:pPr>
      <w:r w:rsidRPr="009E06AA">
        <w:t>Emissions of fluorinated gases from Tokelau consisted of HFC emissions only, contributing 4.5 per cent (0.21 kt CO</w:t>
      </w:r>
      <w:r w:rsidRPr="009E06AA">
        <w:rPr>
          <w:vertAlign w:val="subscript"/>
        </w:rPr>
        <w:t>2</w:t>
      </w:r>
      <w:r w:rsidRPr="009E06AA">
        <w:t>-e) to the total emissions from Tokelau. These emissions largely result from the use of air conditioning. Emissions of PFCs, NF</w:t>
      </w:r>
      <w:r w:rsidRPr="009E06AA">
        <w:rPr>
          <w:vertAlign w:val="subscript"/>
        </w:rPr>
        <w:t>3</w:t>
      </w:r>
      <w:r w:rsidRPr="009E06AA">
        <w:t xml:space="preserve"> and SF</w:t>
      </w:r>
      <w:r w:rsidRPr="009E06AA">
        <w:rPr>
          <w:vertAlign w:val="subscript"/>
        </w:rPr>
        <w:t>6</w:t>
      </w:r>
      <w:r w:rsidRPr="009E06AA">
        <w:t xml:space="preserve"> do not occur in Tokelau.</w:t>
      </w:r>
    </w:p>
    <w:p w14:paraId="483D8C29" w14:textId="77777777" w:rsidR="00BF5487" w:rsidRPr="009E06AA" w:rsidRDefault="00BF5487" w:rsidP="00BF2A76">
      <w:pPr>
        <w:pStyle w:val="Heading5"/>
      </w:pPr>
      <w:bookmarkStart w:id="225" w:name="section-20"/>
      <w:r w:rsidRPr="009E06AA">
        <w:t>1990–2022</w:t>
      </w:r>
    </w:p>
    <w:p w14:paraId="7C36CF44" w14:textId="319EAFF0" w:rsidR="00BF5487" w:rsidRPr="009E06AA" w:rsidRDefault="00BF5487" w:rsidP="00770BC1">
      <w:pPr>
        <w:pStyle w:val="BodyText"/>
        <w:keepLines/>
        <w:spacing w:before="100" w:after="100"/>
      </w:pPr>
      <w:r w:rsidRPr="009E06AA">
        <w:t>In 1990, total emissions from Tokelau were 3.37 kt CO</w:t>
      </w:r>
      <w:r w:rsidRPr="009E06AA">
        <w:rPr>
          <w:vertAlign w:val="subscript"/>
        </w:rPr>
        <w:t>2</w:t>
      </w:r>
      <w:r w:rsidRPr="009E06AA">
        <w:t>-e. Between 1990 and 2022, total emissions increased by 38.9 per cent (1.31 kt CO</w:t>
      </w:r>
      <w:r w:rsidRPr="009E06AA">
        <w:rPr>
          <w:vertAlign w:val="subscript"/>
        </w:rPr>
        <w:t>2</w:t>
      </w:r>
      <w:r w:rsidRPr="009E06AA">
        <w:t>-e) to 4.69 kt CO</w:t>
      </w:r>
      <w:r w:rsidRPr="009E06AA">
        <w:rPr>
          <w:vertAlign w:val="subscript"/>
        </w:rPr>
        <w:t>2</w:t>
      </w:r>
      <w:r w:rsidRPr="009E06AA">
        <w:t>-e (see figure 2.2.12 and chapter 8, table 8.1.2). From 1990 to 2022, the average annual increase in gross emissions was</w:t>
      </w:r>
      <w:r w:rsidR="00D80427" w:rsidRPr="009E06AA">
        <w:t> </w:t>
      </w:r>
      <w:r w:rsidRPr="009E06AA">
        <w:t>1.24 per cent.</w:t>
      </w:r>
    </w:p>
    <w:p w14:paraId="5DBA63C1" w14:textId="77777777" w:rsidR="00BF5487" w:rsidRPr="009E06AA" w:rsidRDefault="00BF5487" w:rsidP="00D80427">
      <w:pPr>
        <w:pStyle w:val="BodyText"/>
        <w:spacing w:before="100" w:after="100"/>
      </w:pPr>
      <w:r w:rsidRPr="009E06AA">
        <w:t xml:space="preserve">The increase in emissions was largely due to changes in the Energy sector. The emission categories that contributed the most to this change were </w:t>
      </w:r>
      <w:r w:rsidRPr="009E06AA">
        <w:rPr>
          <w:i/>
          <w:iCs/>
        </w:rPr>
        <w:t>Domestic navigation</w:t>
      </w:r>
      <w:r w:rsidRPr="009E06AA">
        <w:t xml:space="preserve"> and </w:t>
      </w:r>
      <w:r w:rsidRPr="009E06AA">
        <w:rPr>
          <w:i/>
          <w:iCs/>
        </w:rPr>
        <w:t>Electricity generation</w:t>
      </w:r>
      <w:r w:rsidRPr="009E06AA">
        <w:t>.</w:t>
      </w:r>
    </w:p>
    <w:p w14:paraId="5291CD49" w14:textId="77777777" w:rsidR="00BF5487" w:rsidRPr="009E06AA" w:rsidRDefault="00BF5487" w:rsidP="00D80427">
      <w:pPr>
        <w:pStyle w:val="BodyText"/>
        <w:spacing w:before="100" w:after="100"/>
      </w:pPr>
      <w:r w:rsidRPr="009E06AA">
        <w:t xml:space="preserve">The changes in </w:t>
      </w:r>
      <w:r w:rsidRPr="009E06AA">
        <w:rPr>
          <w:i/>
          <w:iCs/>
        </w:rPr>
        <w:t>Domestic navigation</w:t>
      </w:r>
      <w:r w:rsidRPr="009E06AA">
        <w:t xml:space="preserve"> are a result of Tokelau gaining ownership and use of the ferry </w:t>
      </w:r>
      <w:r w:rsidRPr="009E06AA">
        <w:rPr>
          <w:i/>
          <w:iCs/>
        </w:rPr>
        <w:t>Mataliki</w:t>
      </w:r>
      <w:r w:rsidRPr="009E06AA">
        <w:t xml:space="preserve"> in 2016, cargo vessel </w:t>
      </w:r>
      <w:r w:rsidRPr="009E06AA">
        <w:rPr>
          <w:i/>
          <w:iCs/>
        </w:rPr>
        <w:t>Kalopaga</w:t>
      </w:r>
      <w:r w:rsidRPr="009E06AA">
        <w:t xml:space="preserve"> in 2018 and </w:t>
      </w:r>
      <w:r w:rsidRPr="009E06AA">
        <w:rPr>
          <w:i/>
          <w:iCs/>
        </w:rPr>
        <w:t>Fetu o te Moana</w:t>
      </w:r>
      <w:r w:rsidRPr="009E06AA">
        <w:t xml:space="preserve"> in 2019, leading to an increasing number of sea voyages between the atolls, which increased transport emissions.</w:t>
      </w:r>
    </w:p>
    <w:p w14:paraId="3E7D521F" w14:textId="2F8CDBB8" w:rsidR="00BF5487" w:rsidRPr="009E06AA" w:rsidRDefault="00BF5487" w:rsidP="00D80427">
      <w:pPr>
        <w:pStyle w:val="BodyText"/>
        <w:spacing w:before="100" w:after="100"/>
      </w:pPr>
      <w:r w:rsidRPr="009E06AA">
        <w:t xml:space="preserve">The changes in Tokelau’s Energy sector emissions from </w:t>
      </w:r>
      <w:r w:rsidRPr="009E06AA">
        <w:rPr>
          <w:i/>
          <w:iCs/>
        </w:rPr>
        <w:t>Electricity generation</w:t>
      </w:r>
      <w:r w:rsidRPr="009E06AA">
        <w:t xml:space="preserve"> drove the overall emissions trend observed across most of the time series. Initially, up until 20</w:t>
      </w:r>
      <w:r w:rsidR="00B6138A" w:rsidRPr="009E06AA">
        <w:t>03</w:t>
      </w:r>
      <w:r w:rsidRPr="009E06AA">
        <w:t>, emissions from this source were relatively stable. A significant increase in emissions was then observed (of nearly 400 per cent) due to an increase in the use of diesel generators for electricity generation occurring between 2003 and 2011. This was followed by a significant drop in emissions occurring across the 2012 to 2013 years (by 82.5 per cent) when solar electricity generation began. Toward the end of the time series, the use of diesel generators increased again as the generation from solar power decreased, with emissions increasing accordingly.</w:t>
      </w:r>
    </w:p>
    <w:p w14:paraId="68C4389D" w14:textId="77777777" w:rsidR="00BF5487" w:rsidRPr="009E06AA" w:rsidRDefault="00BF5487" w:rsidP="00D80427">
      <w:pPr>
        <w:pStyle w:val="BodyText"/>
        <w:spacing w:before="100" w:after="100"/>
      </w:pPr>
      <w:r w:rsidRPr="009E06AA">
        <w:t>Emissions from Tokelau’s IPPU sector have also increased mainly due to the introduction of air conditioning after 2006. Emissions from Tokelau’s Agriculture sector decreased slightly as a result of a reduced pig population.</w:t>
      </w:r>
    </w:p>
    <w:p w14:paraId="4ABCD892" w14:textId="16E9121C" w:rsidR="00BF5487" w:rsidRPr="009E06AA" w:rsidRDefault="00BF5487" w:rsidP="00BF5487">
      <w:pPr>
        <w:pStyle w:val="Figure"/>
      </w:pPr>
      <w:bookmarkStart w:id="226" w:name="_Toc161932256"/>
      <w:bookmarkStart w:id="227" w:name="_Toc164154001"/>
      <w:r w:rsidRPr="009E06AA">
        <w:t xml:space="preserve">Figure 2.2.12 </w:t>
      </w:r>
      <w:r w:rsidRPr="009E06AA">
        <w:tab/>
        <w:t>Emissions by sector for Tokelau</w:t>
      </w:r>
      <w:r w:rsidR="00223334" w:rsidRPr="009E06AA">
        <w:t>,</w:t>
      </w:r>
      <w:r w:rsidRPr="009E06AA">
        <w:t xml:space="preserve"> from </w:t>
      </w:r>
      <w:r w:rsidRPr="009E06AA">
        <w:rPr>
          <w:bCs/>
        </w:rPr>
        <w:t>1990</w:t>
      </w:r>
      <w:r w:rsidRPr="009E06AA">
        <w:t xml:space="preserve"> to </w:t>
      </w:r>
      <w:r w:rsidRPr="009E06AA">
        <w:rPr>
          <w:bCs/>
        </w:rPr>
        <w:t>2022</w:t>
      </w:r>
      <w:bookmarkEnd w:id="226"/>
      <w:bookmarkEnd w:id="227"/>
    </w:p>
    <w:p w14:paraId="49CD2457" w14:textId="77777777" w:rsidR="00BF5487" w:rsidRPr="009E06AA" w:rsidRDefault="00BF5487" w:rsidP="00D80427">
      <w:pPr>
        <w:pStyle w:val="BodyText"/>
        <w:spacing w:after="80"/>
      </w:pPr>
      <w:r w:rsidRPr="009E06AA">
        <w:rPr>
          <w:noProof/>
        </w:rPr>
        <w:drawing>
          <wp:inline distT="0" distB="0" distL="0" distR="0" wp14:anchorId="3387EBB5" wp14:editId="4F058C60">
            <wp:extent cx="5270740" cy="3882562"/>
            <wp:effectExtent l="0" t="0" r="6350" b="3810"/>
            <wp:docPr id="95" name="Picture"/>
            <wp:cNvGraphicFramePr/>
            <a:graphic xmlns:a="http://schemas.openxmlformats.org/drawingml/2006/main">
              <a:graphicData uri="http://schemas.openxmlformats.org/drawingml/2006/picture">
                <pic:pic xmlns:pic="http://schemas.openxmlformats.org/drawingml/2006/picture">
                  <pic:nvPicPr>
                    <pic:cNvPr id="96" name="Picture" descr="code/graphs/images/fig_2_2_12_crf.png"/>
                    <pic:cNvPicPr>
                      <a:picLocks noChangeAspect="1" noChangeArrowheads="1"/>
                    </pic:cNvPicPr>
                  </pic:nvPicPr>
                  <pic:blipFill rotWithShape="1">
                    <a:blip r:embed="rId45"/>
                    <a:srcRect b="1877"/>
                    <a:stretch/>
                  </pic:blipFill>
                  <pic:spPr bwMode="auto">
                    <a:xfrm>
                      <a:off x="0" y="0"/>
                      <a:ext cx="5273180" cy="3884359"/>
                    </a:xfrm>
                    <a:prstGeom prst="rect">
                      <a:avLst/>
                    </a:prstGeom>
                    <a:noFill/>
                    <a:ln>
                      <a:noFill/>
                    </a:ln>
                    <a:extLst>
                      <a:ext uri="{53640926-AAD7-44D8-BBD7-CCE9431645EC}">
                        <a14:shadowObscured xmlns:a14="http://schemas.microsoft.com/office/drawing/2010/main"/>
                      </a:ext>
                    </a:extLst>
                  </pic:spPr>
                </pic:pic>
              </a:graphicData>
            </a:graphic>
          </wp:inline>
        </w:drawing>
      </w:r>
    </w:p>
    <w:p w14:paraId="5DF80C7F" w14:textId="77777777" w:rsidR="00BF5487" w:rsidRPr="009E06AA" w:rsidRDefault="00BF5487" w:rsidP="00BF2A76">
      <w:pPr>
        <w:pStyle w:val="Heading5"/>
      </w:pPr>
      <w:bookmarkStart w:id="228" w:name="section-21"/>
      <w:bookmarkEnd w:id="225"/>
      <w:r w:rsidRPr="009E06AA">
        <w:t>2021–2022</w:t>
      </w:r>
    </w:p>
    <w:p w14:paraId="10045DC0" w14:textId="21A910A9" w:rsidR="00BF5487" w:rsidRPr="009E06AA" w:rsidRDefault="00BF5487" w:rsidP="00D80427">
      <w:pPr>
        <w:pStyle w:val="BodyText"/>
        <w:spacing w:before="100"/>
      </w:pPr>
      <w:bookmarkStart w:id="229" w:name="emission-trends-by-gas-from-1990-to-2022"/>
      <w:bookmarkEnd w:id="197"/>
      <w:bookmarkEnd w:id="222"/>
      <w:bookmarkEnd w:id="228"/>
      <w:r w:rsidRPr="009E06AA">
        <w:t>Total Tokelau emissions in 2022 were 0.75 kt CO</w:t>
      </w:r>
      <w:r w:rsidRPr="009E06AA">
        <w:rPr>
          <w:vertAlign w:val="subscript"/>
        </w:rPr>
        <w:t>2</w:t>
      </w:r>
      <w:r w:rsidRPr="009E06AA">
        <w:t xml:space="preserve">-e (19.2 per cent) higher than emissions in 2021. The increase in emissions was largely in the </w:t>
      </w:r>
      <w:r w:rsidRPr="009E06AA">
        <w:rPr>
          <w:i/>
          <w:iCs/>
        </w:rPr>
        <w:t>Electricity generation</w:t>
      </w:r>
      <w:r w:rsidRPr="009E06AA">
        <w:t xml:space="preserve"> category, as a result of</w:t>
      </w:r>
      <w:r w:rsidR="00256D20" w:rsidRPr="009E06AA">
        <w:t> </w:t>
      </w:r>
      <w:r w:rsidRPr="009E06AA">
        <w:t xml:space="preserve">a greater reliance on diesel generators for electricity due to solar power having reduced availability. This increase was slightly offset by a small decrease in the </w:t>
      </w:r>
      <w:r w:rsidRPr="009E06AA">
        <w:rPr>
          <w:i/>
          <w:iCs/>
        </w:rPr>
        <w:t>Domestic navigation</w:t>
      </w:r>
      <w:r w:rsidRPr="009E06AA">
        <w:t xml:space="preserve"> category, due to decreased shipping within Tokelau.</w:t>
      </w:r>
    </w:p>
    <w:p w14:paraId="128D3AA9" w14:textId="4D728389" w:rsidR="00BF5487" w:rsidRPr="009E06AA" w:rsidRDefault="00BF5487" w:rsidP="00BF5487">
      <w:pPr>
        <w:pStyle w:val="Heading3"/>
      </w:pPr>
      <w:bookmarkStart w:id="230" w:name="_Toc161932296"/>
      <w:bookmarkStart w:id="231" w:name="_Toc161994392"/>
      <w:r w:rsidRPr="009E06AA">
        <w:t>2.2.3</w:t>
      </w:r>
      <w:r w:rsidR="00256D20" w:rsidRPr="009E06AA">
        <w:tab/>
      </w:r>
      <w:r w:rsidRPr="009E06AA">
        <w:t>Emission trends by gas from 1990 to 2022</w:t>
      </w:r>
      <w:bookmarkEnd w:id="230"/>
      <w:bookmarkEnd w:id="231"/>
    </w:p>
    <w:p w14:paraId="4F1029CE" w14:textId="6DEB6402" w:rsidR="00BF5487" w:rsidRPr="009E06AA" w:rsidRDefault="00BF5487" w:rsidP="003A12FB">
      <w:pPr>
        <w:pStyle w:val="BodyText"/>
        <w:spacing w:before="100" w:after="100"/>
      </w:pPr>
      <w:r w:rsidRPr="009E06AA">
        <w:t xml:space="preserve">Inventory reporting under the Paris Agreement and the United Nations Framework Convention </w:t>
      </w:r>
      <w:r w:rsidRPr="009E06AA">
        <w:rPr>
          <w:spacing w:val="-2"/>
        </w:rPr>
        <w:t>on Climate Change (the Convention) covers the following direct GHGs: CO</w:t>
      </w:r>
      <w:r w:rsidRPr="009E06AA">
        <w:rPr>
          <w:spacing w:val="-2"/>
          <w:vertAlign w:val="subscript"/>
        </w:rPr>
        <w:t>2</w:t>
      </w:r>
      <w:r w:rsidRPr="009E06AA">
        <w:rPr>
          <w:spacing w:val="-2"/>
        </w:rPr>
        <w:t>, CH</w:t>
      </w:r>
      <w:r w:rsidRPr="009E06AA">
        <w:rPr>
          <w:spacing w:val="-2"/>
          <w:vertAlign w:val="subscript"/>
        </w:rPr>
        <w:t>4</w:t>
      </w:r>
      <w:r w:rsidRPr="009E06AA">
        <w:rPr>
          <w:spacing w:val="-2"/>
        </w:rPr>
        <w:t>, N</w:t>
      </w:r>
      <w:r w:rsidRPr="009E06AA">
        <w:rPr>
          <w:spacing w:val="-2"/>
          <w:vertAlign w:val="subscript"/>
        </w:rPr>
        <w:t>2</w:t>
      </w:r>
      <w:r w:rsidRPr="009E06AA">
        <w:rPr>
          <w:spacing w:val="-2"/>
        </w:rPr>
        <w:t>O, SF</w:t>
      </w:r>
      <w:r w:rsidRPr="009E06AA">
        <w:rPr>
          <w:spacing w:val="-2"/>
          <w:vertAlign w:val="subscript"/>
        </w:rPr>
        <w:t>6</w:t>
      </w:r>
      <w:r w:rsidRPr="009E06AA">
        <w:rPr>
          <w:spacing w:val="-2"/>
        </w:rPr>
        <w:t>, PFCs</w:t>
      </w:r>
      <w:r w:rsidRPr="009E06AA">
        <w:t>,</w:t>
      </w:r>
      <w:r w:rsidR="00064A61" w:rsidRPr="009E06AA">
        <w:t xml:space="preserve"> </w:t>
      </w:r>
      <w:r w:rsidRPr="009E06AA">
        <w:t>HFCs</w:t>
      </w:r>
      <w:r w:rsidR="002474E5" w:rsidRPr="009E06AA">
        <w:t xml:space="preserve"> </w:t>
      </w:r>
      <w:r w:rsidRPr="009E06AA">
        <w:t>and NF</w:t>
      </w:r>
      <w:r w:rsidRPr="009E06AA">
        <w:rPr>
          <w:vertAlign w:val="subscript"/>
        </w:rPr>
        <w:t>3</w:t>
      </w:r>
      <w:r w:rsidRPr="009E06AA">
        <w:t>. No NF</w:t>
      </w:r>
      <w:r w:rsidRPr="009E06AA">
        <w:rPr>
          <w:vertAlign w:val="subscript"/>
        </w:rPr>
        <w:t>3</w:t>
      </w:r>
      <w:r w:rsidRPr="009E06AA">
        <w:t xml:space="preserve"> data are included in this report because NF</w:t>
      </w:r>
      <w:r w:rsidRPr="009E06AA">
        <w:rPr>
          <w:vertAlign w:val="subscript"/>
        </w:rPr>
        <w:t>3</w:t>
      </w:r>
      <w:r w:rsidRPr="009E06AA">
        <w:t xml:space="preserve"> emissions do not occur in New Zealand. </w:t>
      </w:r>
    </w:p>
    <w:p w14:paraId="3A209775" w14:textId="77777777" w:rsidR="00BF5487" w:rsidRPr="009E06AA" w:rsidRDefault="00BF5487" w:rsidP="003A12FB">
      <w:pPr>
        <w:pStyle w:val="BodyText"/>
        <w:spacing w:before="100" w:after="100"/>
      </w:pPr>
      <w:r w:rsidRPr="009E06AA">
        <w:t>Table 2.2.3 provides a summary of gross emissions for each gas in 1990 and 2022 and the changes since 1990.</w:t>
      </w:r>
    </w:p>
    <w:p w14:paraId="0F5F3242" w14:textId="77777777" w:rsidR="00BF5487" w:rsidRPr="009E06AA" w:rsidRDefault="00BF5487" w:rsidP="00BF5487">
      <w:pPr>
        <w:pStyle w:val="Table"/>
      </w:pPr>
      <w:bookmarkStart w:id="232" w:name="_Toc161932271"/>
      <w:bookmarkStart w:id="233" w:name="_Toc164153800"/>
      <w:r w:rsidRPr="009E06AA">
        <w:rPr>
          <w:bCs/>
        </w:rPr>
        <w:t>Table 2.2.3</w:t>
      </w:r>
      <w:r w:rsidRPr="009E06AA">
        <w:t xml:space="preserve"> </w:t>
      </w:r>
      <w:r w:rsidRPr="009E06AA">
        <w:tab/>
        <w:t xml:space="preserve">New Zealand’s gross emissions by gas in </w:t>
      </w:r>
      <w:r w:rsidRPr="009E06AA">
        <w:rPr>
          <w:bCs/>
        </w:rPr>
        <w:t>1990</w:t>
      </w:r>
      <w:r w:rsidRPr="009E06AA">
        <w:t xml:space="preserve"> and </w:t>
      </w:r>
      <w:r w:rsidRPr="009E06AA">
        <w:rPr>
          <w:bCs/>
        </w:rPr>
        <w:t>2022</w:t>
      </w:r>
      <w:bookmarkEnd w:id="232"/>
      <w:bookmarkEnd w:id="233"/>
    </w:p>
    <w:tbl>
      <w:tblPr>
        <w:tblW w:w="8505" w:type="dxa"/>
        <w:tblBorders>
          <w:top w:val="single" w:sz="4" w:space="0" w:color="1B556B" w:themeColor="text2"/>
          <w:bottom w:val="single" w:sz="4" w:space="0" w:color="1B556B" w:themeColor="text2"/>
          <w:insideH w:val="single" w:sz="4" w:space="0" w:color="1B556B" w:themeColor="text2"/>
        </w:tblBorders>
        <w:tblCellMar>
          <w:right w:w="85" w:type="dxa"/>
        </w:tblCellMar>
        <w:tblLook w:val="0420" w:firstRow="1" w:lastRow="0" w:firstColumn="0" w:lastColumn="0" w:noHBand="0" w:noVBand="1"/>
      </w:tblPr>
      <w:tblGrid>
        <w:gridCol w:w="2339"/>
        <w:gridCol w:w="1083"/>
        <w:gridCol w:w="749"/>
        <w:gridCol w:w="2680"/>
        <w:gridCol w:w="1654"/>
      </w:tblGrid>
      <w:tr w:rsidR="00CD2D4D" w:rsidRPr="009E06AA" w14:paraId="64B06EFA" w14:textId="77777777" w:rsidTr="001F24CC">
        <w:trPr>
          <w:tblHeader/>
        </w:trPr>
        <w:tc>
          <w:tcPr>
            <w:tcW w:w="2325" w:type="dxa"/>
            <w:shd w:val="clear" w:color="auto" w:fill="1B556B"/>
            <w:tcMar>
              <w:top w:w="0" w:type="dxa"/>
              <w:left w:w="85" w:type="dxa"/>
              <w:bottom w:w="0" w:type="dxa"/>
              <w:right w:w="57" w:type="dxa"/>
            </w:tcMar>
            <w:vAlign w:val="bottom"/>
          </w:tcPr>
          <w:p w14:paraId="5217BDC8" w14:textId="77777777" w:rsidR="00BF5487" w:rsidRPr="009E06AA" w:rsidRDefault="00BF5487" w:rsidP="003A12FB">
            <w:pPr>
              <w:pStyle w:val="TableTextBold"/>
              <w:spacing w:before="40" w:after="40"/>
              <w:rPr>
                <w:noProof w:val="0"/>
                <w:color w:val="FFFFFF" w:themeColor="background1"/>
              </w:rPr>
            </w:pPr>
            <w:r w:rsidRPr="009E06AA">
              <w:rPr>
                <w:rFonts w:eastAsia="Calibri"/>
                <w:noProof w:val="0"/>
                <w:color w:val="FFFFFF" w:themeColor="background1"/>
              </w:rPr>
              <w:t>Direct greenhouse gas emissions</w:t>
            </w:r>
          </w:p>
        </w:tc>
        <w:tc>
          <w:tcPr>
            <w:tcW w:w="1077" w:type="dxa"/>
            <w:shd w:val="clear" w:color="auto" w:fill="1B556B"/>
            <w:tcMar>
              <w:top w:w="0" w:type="dxa"/>
              <w:left w:w="85" w:type="dxa"/>
              <w:bottom w:w="0" w:type="dxa"/>
              <w:right w:w="57" w:type="dxa"/>
            </w:tcMar>
            <w:vAlign w:val="bottom"/>
          </w:tcPr>
          <w:p w14:paraId="73D87726" w14:textId="77777777" w:rsidR="00BF5487" w:rsidRPr="009E06AA" w:rsidRDefault="00BF5487" w:rsidP="003A12FB">
            <w:pPr>
              <w:pStyle w:val="TableTextBold"/>
              <w:spacing w:before="40" w:after="40"/>
              <w:jc w:val="right"/>
              <w:rPr>
                <w:noProof w:val="0"/>
                <w:color w:val="FFFFFF" w:themeColor="background1"/>
              </w:rPr>
            </w:pPr>
            <w:r w:rsidRPr="009E06AA">
              <w:rPr>
                <w:rFonts w:eastAsia="Calibri"/>
                <w:noProof w:val="0"/>
                <w:color w:val="FFFFFF" w:themeColor="background1"/>
              </w:rPr>
              <w:t>1990</w:t>
            </w:r>
          </w:p>
        </w:tc>
        <w:tc>
          <w:tcPr>
            <w:tcW w:w="745" w:type="dxa"/>
            <w:shd w:val="clear" w:color="auto" w:fill="1B556B"/>
            <w:tcMar>
              <w:top w:w="0" w:type="dxa"/>
              <w:left w:w="85" w:type="dxa"/>
              <w:bottom w:w="0" w:type="dxa"/>
              <w:right w:w="57" w:type="dxa"/>
            </w:tcMar>
            <w:vAlign w:val="bottom"/>
          </w:tcPr>
          <w:p w14:paraId="525FD04F" w14:textId="77777777" w:rsidR="00BF5487" w:rsidRPr="009E06AA" w:rsidRDefault="00BF5487" w:rsidP="003A12FB">
            <w:pPr>
              <w:pStyle w:val="TableTextBold"/>
              <w:spacing w:before="40" w:after="40"/>
              <w:jc w:val="right"/>
              <w:rPr>
                <w:noProof w:val="0"/>
                <w:color w:val="FFFFFF" w:themeColor="background1"/>
              </w:rPr>
            </w:pPr>
            <w:r w:rsidRPr="009E06AA">
              <w:rPr>
                <w:rFonts w:eastAsia="Calibri"/>
                <w:noProof w:val="0"/>
                <w:color w:val="FFFFFF" w:themeColor="background1"/>
              </w:rPr>
              <w:t>2022</w:t>
            </w:r>
          </w:p>
        </w:tc>
        <w:tc>
          <w:tcPr>
            <w:tcW w:w="2665" w:type="dxa"/>
            <w:shd w:val="clear" w:color="auto" w:fill="1B556B"/>
            <w:tcMar>
              <w:top w:w="0" w:type="dxa"/>
              <w:left w:w="85" w:type="dxa"/>
              <w:bottom w:w="0" w:type="dxa"/>
              <w:right w:w="57" w:type="dxa"/>
            </w:tcMar>
            <w:vAlign w:val="bottom"/>
          </w:tcPr>
          <w:p w14:paraId="40C748EE" w14:textId="77777777" w:rsidR="00BF5487" w:rsidRPr="009E06AA" w:rsidRDefault="00BF5487" w:rsidP="003A12FB">
            <w:pPr>
              <w:pStyle w:val="TableTextBold"/>
              <w:spacing w:before="40" w:after="40"/>
              <w:jc w:val="right"/>
              <w:rPr>
                <w:noProof w:val="0"/>
                <w:color w:val="FFFFFF" w:themeColor="background1"/>
              </w:rPr>
            </w:pPr>
            <w:r w:rsidRPr="009E06AA">
              <w:rPr>
                <w:rFonts w:eastAsia="Calibri"/>
                <w:noProof w:val="0"/>
                <w:color w:val="FFFFFF" w:themeColor="background1"/>
              </w:rPr>
              <w:t>Change from 1990 (kt CO</w:t>
            </w:r>
            <w:r w:rsidRPr="009E06AA">
              <w:rPr>
                <w:rFonts w:eastAsia="Calibri"/>
                <w:noProof w:val="0"/>
                <w:color w:val="FFFFFF" w:themeColor="background1"/>
                <w:vertAlign w:val="subscript"/>
              </w:rPr>
              <w:t>2</w:t>
            </w:r>
            <w:r w:rsidRPr="009E06AA">
              <w:rPr>
                <w:rFonts w:eastAsia="Calibri"/>
                <w:noProof w:val="0"/>
                <w:color w:val="FFFFFF" w:themeColor="background1"/>
              </w:rPr>
              <w:t>-equivalent)</w:t>
            </w:r>
          </w:p>
        </w:tc>
        <w:tc>
          <w:tcPr>
            <w:tcW w:w="1644" w:type="dxa"/>
            <w:shd w:val="clear" w:color="auto" w:fill="1B556B"/>
            <w:tcMar>
              <w:top w:w="0" w:type="dxa"/>
              <w:left w:w="85" w:type="dxa"/>
              <w:bottom w:w="0" w:type="dxa"/>
              <w:right w:w="57" w:type="dxa"/>
            </w:tcMar>
            <w:vAlign w:val="bottom"/>
          </w:tcPr>
          <w:p w14:paraId="3845B152" w14:textId="77777777" w:rsidR="00BF5487" w:rsidRPr="009E06AA" w:rsidRDefault="00BF5487" w:rsidP="003A12FB">
            <w:pPr>
              <w:pStyle w:val="TableTextBold"/>
              <w:spacing w:before="40" w:after="40"/>
              <w:jc w:val="right"/>
              <w:rPr>
                <w:noProof w:val="0"/>
                <w:color w:val="FFFFFF" w:themeColor="background1"/>
              </w:rPr>
            </w:pPr>
            <w:r w:rsidRPr="009E06AA">
              <w:rPr>
                <w:rFonts w:eastAsia="Calibri"/>
                <w:noProof w:val="0"/>
                <w:color w:val="FFFFFF" w:themeColor="background1"/>
              </w:rPr>
              <w:t>Change from 1990 (%)</w:t>
            </w:r>
          </w:p>
        </w:tc>
      </w:tr>
      <w:tr w:rsidR="00CD2D4D" w:rsidRPr="009E06AA" w14:paraId="186D5493" w14:textId="77777777" w:rsidTr="001F24CC">
        <w:tc>
          <w:tcPr>
            <w:tcW w:w="2325" w:type="dxa"/>
            <w:shd w:val="clear" w:color="auto" w:fill="FFFFFF"/>
            <w:tcMar>
              <w:top w:w="0" w:type="dxa"/>
              <w:left w:w="85" w:type="dxa"/>
              <w:bottom w:w="0" w:type="dxa"/>
              <w:right w:w="85" w:type="dxa"/>
            </w:tcMar>
          </w:tcPr>
          <w:p w14:paraId="5F9E6501" w14:textId="77777777" w:rsidR="00BF5487" w:rsidRPr="009E06AA" w:rsidRDefault="00BF5487" w:rsidP="003A12FB">
            <w:pPr>
              <w:pStyle w:val="TableText"/>
              <w:spacing w:before="40" w:after="40"/>
            </w:pPr>
            <w:r w:rsidRPr="009E06AA">
              <w:rPr>
                <w:rFonts w:eastAsia="Calibri"/>
                <w:color w:val="000000"/>
              </w:rPr>
              <w:t>CO</w:t>
            </w:r>
            <w:r w:rsidRPr="009E06AA">
              <w:rPr>
                <w:rFonts w:eastAsia="Calibri"/>
                <w:color w:val="000000"/>
                <w:vertAlign w:val="subscript"/>
              </w:rPr>
              <w:t>2</w:t>
            </w:r>
          </w:p>
        </w:tc>
        <w:tc>
          <w:tcPr>
            <w:tcW w:w="1077" w:type="dxa"/>
            <w:shd w:val="clear" w:color="auto" w:fill="FFFFFF"/>
            <w:tcMar>
              <w:top w:w="0" w:type="dxa"/>
              <w:left w:w="85" w:type="dxa"/>
              <w:bottom w:w="0" w:type="dxa"/>
              <w:right w:w="85" w:type="dxa"/>
            </w:tcMar>
          </w:tcPr>
          <w:p w14:paraId="5A95BEB0" w14:textId="77777777" w:rsidR="00BF5487" w:rsidRPr="009E06AA" w:rsidRDefault="00BF5487" w:rsidP="003A12FB">
            <w:pPr>
              <w:pStyle w:val="TableText"/>
              <w:spacing w:before="40" w:after="40"/>
              <w:jc w:val="right"/>
            </w:pPr>
            <w:r w:rsidRPr="009E06AA">
              <w:rPr>
                <w:rFonts w:eastAsia="Calibri"/>
                <w:color w:val="000000"/>
              </w:rPr>
              <w:t>25,497.2</w:t>
            </w:r>
          </w:p>
        </w:tc>
        <w:tc>
          <w:tcPr>
            <w:tcW w:w="745" w:type="dxa"/>
            <w:shd w:val="clear" w:color="auto" w:fill="FFFFFF"/>
            <w:tcMar>
              <w:top w:w="0" w:type="dxa"/>
              <w:left w:w="85" w:type="dxa"/>
              <w:bottom w:w="0" w:type="dxa"/>
              <w:right w:w="85" w:type="dxa"/>
            </w:tcMar>
          </w:tcPr>
          <w:p w14:paraId="3DC15249" w14:textId="77777777" w:rsidR="00BF5487" w:rsidRPr="009E06AA" w:rsidRDefault="00BF5487" w:rsidP="003A12FB">
            <w:pPr>
              <w:pStyle w:val="TableText"/>
              <w:spacing w:before="40" w:after="40"/>
              <w:jc w:val="right"/>
            </w:pPr>
            <w:r w:rsidRPr="009E06AA">
              <w:rPr>
                <w:rFonts w:eastAsia="Calibri"/>
                <w:color w:val="000000"/>
              </w:rPr>
              <w:t>31,610.1</w:t>
            </w:r>
          </w:p>
        </w:tc>
        <w:tc>
          <w:tcPr>
            <w:tcW w:w="2665" w:type="dxa"/>
            <w:shd w:val="clear" w:color="auto" w:fill="FFFFFF"/>
            <w:tcMar>
              <w:top w:w="0" w:type="dxa"/>
              <w:left w:w="85" w:type="dxa"/>
              <w:bottom w:w="0" w:type="dxa"/>
              <w:right w:w="85" w:type="dxa"/>
            </w:tcMar>
          </w:tcPr>
          <w:p w14:paraId="3C7E8706" w14:textId="77777777" w:rsidR="00BF5487" w:rsidRPr="009E06AA" w:rsidRDefault="00BF5487" w:rsidP="003A12FB">
            <w:pPr>
              <w:pStyle w:val="TableText"/>
              <w:spacing w:before="40" w:after="40"/>
              <w:jc w:val="right"/>
            </w:pPr>
            <w:r w:rsidRPr="009E06AA">
              <w:rPr>
                <w:rFonts w:eastAsia="Calibri"/>
                <w:color w:val="000000"/>
              </w:rPr>
              <w:t>6,112.9</w:t>
            </w:r>
          </w:p>
        </w:tc>
        <w:tc>
          <w:tcPr>
            <w:tcW w:w="1644" w:type="dxa"/>
            <w:shd w:val="clear" w:color="auto" w:fill="FFFFFF"/>
            <w:tcMar>
              <w:top w:w="0" w:type="dxa"/>
              <w:left w:w="85" w:type="dxa"/>
              <w:bottom w:w="0" w:type="dxa"/>
              <w:right w:w="85" w:type="dxa"/>
            </w:tcMar>
          </w:tcPr>
          <w:p w14:paraId="5D0EB61D" w14:textId="77777777" w:rsidR="00BF5487" w:rsidRPr="009E06AA" w:rsidRDefault="00BF5487" w:rsidP="003A12FB">
            <w:pPr>
              <w:pStyle w:val="TableText"/>
              <w:spacing w:before="40" w:after="40"/>
              <w:jc w:val="right"/>
            </w:pPr>
            <w:r w:rsidRPr="009E06AA">
              <w:rPr>
                <w:rFonts w:eastAsia="Calibri"/>
                <w:color w:val="000000"/>
              </w:rPr>
              <w:t>24.0</w:t>
            </w:r>
          </w:p>
        </w:tc>
      </w:tr>
      <w:tr w:rsidR="00CD2D4D" w:rsidRPr="009E06AA" w14:paraId="0E37EA46" w14:textId="77777777" w:rsidTr="001F24CC">
        <w:tc>
          <w:tcPr>
            <w:tcW w:w="2325" w:type="dxa"/>
            <w:shd w:val="clear" w:color="auto" w:fill="FFFFFF"/>
            <w:tcMar>
              <w:top w:w="0" w:type="dxa"/>
              <w:left w:w="85" w:type="dxa"/>
              <w:bottom w:w="0" w:type="dxa"/>
              <w:right w:w="85" w:type="dxa"/>
            </w:tcMar>
          </w:tcPr>
          <w:p w14:paraId="35523D4E" w14:textId="77777777" w:rsidR="00BF5487" w:rsidRPr="009E06AA" w:rsidRDefault="00BF5487" w:rsidP="003A12FB">
            <w:pPr>
              <w:pStyle w:val="TableText"/>
              <w:spacing w:before="40" w:after="40"/>
            </w:pPr>
            <w:r w:rsidRPr="009E06AA">
              <w:rPr>
                <w:rFonts w:eastAsia="Calibri"/>
                <w:color w:val="000000"/>
              </w:rPr>
              <w:t>CH</w:t>
            </w:r>
            <w:r w:rsidRPr="009E06AA">
              <w:rPr>
                <w:rFonts w:eastAsia="Calibri"/>
                <w:color w:val="000000"/>
                <w:vertAlign w:val="subscript"/>
              </w:rPr>
              <w:t>4</w:t>
            </w:r>
          </w:p>
        </w:tc>
        <w:tc>
          <w:tcPr>
            <w:tcW w:w="1077" w:type="dxa"/>
            <w:shd w:val="clear" w:color="auto" w:fill="FFFFFF"/>
            <w:tcMar>
              <w:top w:w="0" w:type="dxa"/>
              <w:left w:w="85" w:type="dxa"/>
              <w:bottom w:w="0" w:type="dxa"/>
              <w:right w:w="85" w:type="dxa"/>
            </w:tcMar>
          </w:tcPr>
          <w:p w14:paraId="2F06B221" w14:textId="77777777" w:rsidR="00BF5487" w:rsidRPr="009E06AA" w:rsidRDefault="00BF5487" w:rsidP="003A12FB">
            <w:pPr>
              <w:pStyle w:val="TableText"/>
              <w:spacing w:before="40" w:after="40"/>
              <w:jc w:val="right"/>
            </w:pPr>
            <w:r w:rsidRPr="009E06AA">
              <w:rPr>
                <w:rFonts w:eastAsia="Calibri"/>
                <w:color w:val="000000"/>
              </w:rPr>
              <w:t>37,519.7</w:t>
            </w:r>
          </w:p>
        </w:tc>
        <w:tc>
          <w:tcPr>
            <w:tcW w:w="745" w:type="dxa"/>
            <w:shd w:val="clear" w:color="auto" w:fill="FFFFFF"/>
            <w:tcMar>
              <w:top w:w="0" w:type="dxa"/>
              <w:left w:w="85" w:type="dxa"/>
              <w:bottom w:w="0" w:type="dxa"/>
              <w:right w:w="85" w:type="dxa"/>
            </w:tcMar>
          </w:tcPr>
          <w:p w14:paraId="2EEC58D5" w14:textId="77777777" w:rsidR="00BF5487" w:rsidRPr="009E06AA" w:rsidRDefault="00BF5487" w:rsidP="003A12FB">
            <w:pPr>
              <w:pStyle w:val="TableText"/>
              <w:spacing w:before="40" w:after="40"/>
              <w:jc w:val="right"/>
            </w:pPr>
            <w:r w:rsidRPr="009E06AA">
              <w:rPr>
                <w:rFonts w:eastAsia="Calibri"/>
                <w:color w:val="000000"/>
              </w:rPr>
              <w:t>38,339.3</w:t>
            </w:r>
          </w:p>
        </w:tc>
        <w:tc>
          <w:tcPr>
            <w:tcW w:w="2665" w:type="dxa"/>
            <w:shd w:val="clear" w:color="auto" w:fill="FFFFFF"/>
            <w:tcMar>
              <w:top w:w="0" w:type="dxa"/>
              <w:left w:w="85" w:type="dxa"/>
              <w:bottom w:w="0" w:type="dxa"/>
              <w:right w:w="85" w:type="dxa"/>
            </w:tcMar>
          </w:tcPr>
          <w:p w14:paraId="3C18A9BD" w14:textId="77777777" w:rsidR="00BF5487" w:rsidRPr="009E06AA" w:rsidRDefault="00BF5487" w:rsidP="003A12FB">
            <w:pPr>
              <w:pStyle w:val="TableText"/>
              <w:spacing w:before="40" w:after="40"/>
              <w:jc w:val="right"/>
            </w:pPr>
            <w:r w:rsidRPr="009E06AA">
              <w:rPr>
                <w:rFonts w:eastAsia="Calibri"/>
                <w:color w:val="000000"/>
              </w:rPr>
              <w:t>819.6</w:t>
            </w:r>
          </w:p>
        </w:tc>
        <w:tc>
          <w:tcPr>
            <w:tcW w:w="1644" w:type="dxa"/>
            <w:shd w:val="clear" w:color="auto" w:fill="FFFFFF"/>
            <w:tcMar>
              <w:top w:w="0" w:type="dxa"/>
              <w:left w:w="85" w:type="dxa"/>
              <w:bottom w:w="0" w:type="dxa"/>
              <w:right w:w="85" w:type="dxa"/>
            </w:tcMar>
          </w:tcPr>
          <w:p w14:paraId="193480A5" w14:textId="77777777" w:rsidR="00BF5487" w:rsidRPr="009E06AA" w:rsidRDefault="00BF5487" w:rsidP="003A12FB">
            <w:pPr>
              <w:pStyle w:val="TableText"/>
              <w:spacing w:before="40" w:after="40"/>
              <w:jc w:val="right"/>
            </w:pPr>
            <w:r w:rsidRPr="009E06AA">
              <w:rPr>
                <w:rFonts w:eastAsia="Calibri"/>
                <w:color w:val="000000"/>
              </w:rPr>
              <w:t>2.2</w:t>
            </w:r>
          </w:p>
        </w:tc>
      </w:tr>
      <w:tr w:rsidR="00CD2D4D" w:rsidRPr="009E06AA" w14:paraId="47EF54DC" w14:textId="77777777" w:rsidTr="001F24CC">
        <w:tc>
          <w:tcPr>
            <w:tcW w:w="2325" w:type="dxa"/>
            <w:shd w:val="clear" w:color="auto" w:fill="FFFFFF"/>
            <w:tcMar>
              <w:top w:w="0" w:type="dxa"/>
              <w:left w:w="85" w:type="dxa"/>
              <w:bottom w:w="0" w:type="dxa"/>
              <w:right w:w="85" w:type="dxa"/>
            </w:tcMar>
          </w:tcPr>
          <w:p w14:paraId="122338FA" w14:textId="77777777" w:rsidR="00BF5487" w:rsidRPr="009E06AA" w:rsidRDefault="00BF5487" w:rsidP="003A12FB">
            <w:pPr>
              <w:pStyle w:val="TableText"/>
              <w:spacing w:before="40" w:after="40"/>
            </w:pPr>
            <w:r w:rsidRPr="009E06AA">
              <w:rPr>
                <w:rFonts w:eastAsia="Calibri"/>
                <w:color w:val="000000"/>
              </w:rPr>
              <w:t>N</w:t>
            </w:r>
            <w:r w:rsidRPr="009E06AA">
              <w:rPr>
                <w:rFonts w:eastAsia="Calibri"/>
                <w:color w:val="000000"/>
                <w:vertAlign w:val="subscript"/>
              </w:rPr>
              <w:t>2</w:t>
            </w:r>
            <w:r w:rsidRPr="009E06AA">
              <w:rPr>
                <w:rFonts w:eastAsia="Calibri"/>
                <w:color w:val="000000"/>
              </w:rPr>
              <w:t>O</w:t>
            </w:r>
          </w:p>
        </w:tc>
        <w:tc>
          <w:tcPr>
            <w:tcW w:w="1077" w:type="dxa"/>
            <w:shd w:val="clear" w:color="auto" w:fill="FFFFFF"/>
            <w:tcMar>
              <w:top w:w="0" w:type="dxa"/>
              <w:left w:w="85" w:type="dxa"/>
              <w:bottom w:w="0" w:type="dxa"/>
              <w:right w:w="85" w:type="dxa"/>
            </w:tcMar>
          </w:tcPr>
          <w:p w14:paraId="6C4D957A" w14:textId="77777777" w:rsidR="00BF5487" w:rsidRPr="009E06AA" w:rsidRDefault="00BF5487" w:rsidP="003A12FB">
            <w:pPr>
              <w:pStyle w:val="TableText"/>
              <w:spacing w:before="40" w:after="40"/>
              <w:jc w:val="right"/>
            </w:pPr>
            <w:r w:rsidRPr="009E06AA">
              <w:rPr>
                <w:rFonts w:eastAsia="Calibri"/>
                <w:color w:val="000000"/>
              </w:rPr>
              <w:t>5,102.7</w:t>
            </w:r>
          </w:p>
        </w:tc>
        <w:tc>
          <w:tcPr>
            <w:tcW w:w="745" w:type="dxa"/>
            <w:shd w:val="clear" w:color="auto" w:fill="FFFFFF"/>
            <w:tcMar>
              <w:top w:w="0" w:type="dxa"/>
              <w:left w:w="85" w:type="dxa"/>
              <w:bottom w:w="0" w:type="dxa"/>
              <w:right w:w="85" w:type="dxa"/>
            </w:tcMar>
          </w:tcPr>
          <w:p w14:paraId="776C4E2C" w14:textId="77777777" w:rsidR="00BF5487" w:rsidRPr="009E06AA" w:rsidRDefault="00BF5487" w:rsidP="003A12FB">
            <w:pPr>
              <w:pStyle w:val="TableText"/>
              <w:spacing w:before="40" w:after="40"/>
              <w:jc w:val="right"/>
            </w:pPr>
            <w:r w:rsidRPr="009E06AA">
              <w:rPr>
                <w:rFonts w:eastAsia="Calibri"/>
                <w:color w:val="000000"/>
              </w:rPr>
              <w:t>6,877.1</w:t>
            </w:r>
          </w:p>
        </w:tc>
        <w:tc>
          <w:tcPr>
            <w:tcW w:w="2665" w:type="dxa"/>
            <w:shd w:val="clear" w:color="auto" w:fill="FFFFFF"/>
            <w:tcMar>
              <w:top w:w="0" w:type="dxa"/>
              <w:left w:w="85" w:type="dxa"/>
              <w:bottom w:w="0" w:type="dxa"/>
              <w:right w:w="85" w:type="dxa"/>
            </w:tcMar>
          </w:tcPr>
          <w:p w14:paraId="10FFDAB5" w14:textId="77777777" w:rsidR="00BF5487" w:rsidRPr="009E06AA" w:rsidRDefault="00BF5487" w:rsidP="003A12FB">
            <w:pPr>
              <w:pStyle w:val="TableText"/>
              <w:spacing w:before="40" w:after="40"/>
              <w:jc w:val="right"/>
            </w:pPr>
            <w:r w:rsidRPr="009E06AA">
              <w:rPr>
                <w:rFonts w:eastAsia="Calibri"/>
                <w:color w:val="000000"/>
              </w:rPr>
              <w:t>1,774.4</w:t>
            </w:r>
          </w:p>
        </w:tc>
        <w:tc>
          <w:tcPr>
            <w:tcW w:w="1644" w:type="dxa"/>
            <w:shd w:val="clear" w:color="auto" w:fill="FFFFFF"/>
            <w:tcMar>
              <w:top w:w="0" w:type="dxa"/>
              <w:left w:w="85" w:type="dxa"/>
              <w:bottom w:w="0" w:type="dxa"/>
              <w:right w:w="85" w:type="dxa"/>
            </w:tcMar>
          </w:tcPr>
          <w:p w14:paraId="42761ACF" w14:textId="77777777" w:rsidR="00BF5487" w:rsidRPr="009E06AA" w:rsidRDefault="00BF5487" w:rsidP="003A12FB">
            <w:pPr>
              <w:pStyle w:val="TableText"/>
              <w:spacing w:before="40" w:after="40"/>
              <w:jc w:val="right"/>
            </w:pPr>
            <w:r w:rsidRPr="009E06AA">
              <w:rPr>
                <w:rFonts w:eastAsia="Calibri"/>
                <w:color w:val="000000"/>
              </w:rPr>
              <w:t>34.8</w:t>
            </w:r>
          </w:p>
        </w:tc>
      </w:tr>
      <w:tr w:rsidR="00CD2D4D" w:rsidRPr="009E06AA" w14:paraId="3B5E5A1A" w14:textId="77777777" w:rsidTr="001F24CC">
        <w:tc>
          <w:tcPr>
            <w:tcW w:w="2325" w:type="dxa"/>
            <w:shd w:val="clear" w:color="auto" w:fill="FFFFFF"/>
            <w:tcMar>
              <w:top w:w="0" w:type="dxa"/>
              <w:left w:w="85" w:type="dxa"/>
              <w:bottom w:w="0" w:type="dxa"/>
              <w:right w:w="85" w:type="dxa"/>
            </w:tcMar>
          </w:tcPr>
          <w:p w14:paraId="439757B6" w14:textId="77777777" w:rsidR="00BF5487" w:rsidRPr="009E06AA" w:rsidRDefault="00BF5487" w:rsidP="003A12FB">
            <w:pPr>
              <w:pStyle w:val="TableText"/>
              <w:spacing w:before="40" w:after="40"/>
            </w:pPr>
            <w:r w:rsidRPr="009E06AA">
              <w:rPr>
                <w:rFonts w:eastAsia="Calibri"/>
                <w:color w:val="000000"/>
              </w:rPr>
              <w:t>HFCs</w:t>
            </w:r>
          </w:p>
        </w:tc>
        <w:tc>
          <w:tcPr>
            <w:tcW w:w="1077" w:type="dxa"/>
            <w:shd w:val="clear" w:color="auto" w:fill="FFFFFF"/>
            <w:tcMar>
              <w:top w:w="0" w:type="dxa"/>
              <w:left w:w="85" w:type="dxa"/>
              <w:bottom w:w="0" w:type="dxa"/>
              <w:right w:w="85" w:type="dxa"/>
            </w:tcMar>
          </w:tcPr>
          <w:p w14:paraId="200CA827" w14:textId="77777777" w:rsidR="00BF5487" w:rsidRPr="009E06AA" w:rsidRDefault="00BF5487" w:rsidP="003A12FB">
            <w:pPr>
              <w:pStyle w:val="TableText"/>
              <w:spacing w:before="40" w:after="40"/>
              <w:jc w:val="right"/>
            </w:pPr>
            <w:r w:rsidRPr="009E06AA">
              <w:rPr>
                <w:rFonts w:eastAsia="Calibri"/>
                <w:color w:val="000000"/>
              </w:rPr>
              <w:t>Not occurring</w:t>
            </w:r>
          </w:p>
        </w:tc>
        <w:tc>
          <w:tcPr>
            <w:tcW w:w="745" w:type="dxa"/>
            <w:shd w:val="clear" w:color="auto" w:fill="FFFFFF"/>
            <w:tcMar>
              <w:top w:w="0" w:type="dxa"/>
              <w:left w:w="85" w:type="dxa"/>
              <w:bottom w:w="0" w:type="dxa"/>
              <w:right w:w="85" w:type="dxa"/>
            </w:tcMar>
          </w:tcPr>
          <w:p w14:paraId="209B9B24" w14:textId="77777777" w:rsidR="00BF5487" w:rsidRPr="009E06AA" w:rsidRDefault="00BF5487" w:rsidP="003A12FB">
            <w:pPr>
              <w:pStyle w:val="TableText"/>
              <w:spacing w:before="40" w:after="40"/>
              <w:jc w:val="right"/>
            </w:pPr>
            <w:r w:rsidRPr="009E06AA">
              <w:rPr>
                <w:rFonts w:eastAsia="Calibri"/>
                <w:color w:val="000000"/>
              </w:rPr>
              <w:t>1,498.5</w:t>
            </w:r>
          </w:p>
        </w:tc>
        <w:tc>
          <w:tcPr>
            <w:tcW w:w="2665" w:type="dxa"/>
            <w:shd w:val="clear" w:color="auto" w:fill="FFFFFF"/>
            <w:tcMar>
              <w:top w:w="0" w:type="dxa"/>
              <w:left w:w="85" w:type="dxa"/>
              <w:bottom w:w="0" w:type="dxa"/>
              <w:right w:w="85" w:type="dxa"/>
            </w:tcMar>
          </w:tcPr>
          <w:p w14:paraId="0C9B65AF" w14:textId="77777777" w:rsidR="00BF5487" w:rsidRPr="009E06AA" w:rsidRDefault="00BF5487" w:rsidP="003A12FB">
            <w:pPr>
              <w:pStyle w:val="TableText"/>
              <w:spacing w:before="40" w:after="40"/>
              <w:jc w:val="right"/>
            </w:pPr>
            <w:r w:rsidRPr="009E06AA">
              <w:rPr>
                <w:rFonts w:eastAsia="Calibri"/>
                <w:color w:val="000000"/>
              </w:rPr>
              <w:t>1,498.5</w:t>
            </w:r>
          </w:p>
        </w:tc>
        <w:tc>
          <w:tcPr>
            <w:tcW w:w="1644" w:type="dxa"/>
            <w:shd w:val="clear" w:color="auto" w:fill="FFFFFF"/>
            <w:tcMar>
              <w:top w:w="0" w:type="dxa"/>
              <w:left w:w="85" w:type="dxa"/>
              <w:bottom w:w="0" w:type="dxa"/>
              <w:right w:w="85" w:type="dxa"/>
            </w:tcMar>
          </w:tcPr>
          <w:p w14:paraId="4098A77E" w14:textId="77777777" w:rsidR="00BF5487" w:rsidRPr="009E06AA" w:rsidRDefault="00BF5487" w:rsidP="003A12FB">
            <w:pPr>
              <w:pStyle w:val="TableText"/>
              <w:spacing w:before="40" w:after="40"/>
              <w:jc w:val="right"/>
            </w:pPr>
            <w:r w:rsidRPr="009E06AA">
              <w:rPr>
                <w:rFonts w:eastAsia="Calibri"/>
                <w:color w:val="000000"/>
              </w:rPr>
              <w:t>NA</w:t>
            </w:r>
          </w:p>
        </w:tc>
      </w:tr>
      <w:tr w:rsidR="00CD2D4D" w:rsidRPr="009E06AA" w14:paraId="4C7243C8" w14:textId="77777777" w:rsidTr="001F24CC">
        <w:tc>
          <w:tcPr>
            <w:tcW w:w="2325" w:type="dxa"/>
            <w:shd w:val="clear" w:color="auto" w:fill="FFFFFF"/>
            <w:tcMar>
              <w:top w:w="0" w:type="dxa"/>
              <w:left w:w="85" w:type="dxa"/>
              <w:bottom w:w="0" w:type="dxa"/>
              <w:right w:w="85" w:type="dxa"/>
            </w:tcMar>
          </w:tcPr>
          <w:p w14:paraId="2DB35C4E" w14:textId="77777777" w:rsidR="00BF5487" w:rsidRPr="009E06AA" w:rsidRDefault="00BF5487" w:rsidP="003A12FB">
            <w:pPr>
              <w:pStyle w:val="TableText"/>
              <w:spacing w:before="40" w:after="40"/>
            </w:pPr>
            <w:r w:rsidRPr="009E06AA">
              <w:rPr>
                <w:rFonts w:eastAsia="Calibri"/>
                <w:color w:val="000000"/>
              </w:rPr>
              <w:t>PFCs</w:t>
            </w:r>
          </w:p>
        </w:tc>
        <w:tc>
          <w:tcPr>
            <w:tcW w:w="1077" w:type="dxa"/>
            <w:shd w:val="clear" w:color="auto" w:fill="FFFFFF"/>
            <w:tcMar>
              <w:top w:w="0" w:type="dxa"/>
              <w:left w:w="85" w:type="dxa"/>
              <w:bottom w:w="0" w:type="dxa"/>
              <w:right w:w="85" w:type="dxa"/>
            </w:tcMar>
          </w:tcPr>
          <w:p w14:paraId="54E8F367" w14:textId="77777777" w:rsidR="00BF5487" w:rsidRPr="009E06AA" w:rsidRDefault="00BF5487" w:rsidP="003A12FB">
            <w:pPr>
              <w:pStyle w:val="TableText"/>
              <w:spacing w:before="40" w:after="40"/>
              <w:jc w:val="right"/>
            </w:pPr>
            <w:r w:rsidRPr="009E06AA">
              <w:rPr>
                <w:rFonts w:eastAsia="Calibri"/>
                <w:color w:val="000000"/>
              </w:rPr>
              <w:t>818.0</w:t>
            </w:r>
          </w:p>
        </w:tc>
        <w:tc>
          <w:tcPr>
            <w:tcW w:w="745" w:type="dxa"/>
            <w:shd w:val="clear" w:color="auto" w:fill="FFFFFF"/>
            <w:tcMar>
              <w:top w:w="0" w:type="dxa"/>
              <w:left w:w="85" w:type="dxa"/>
              <w:bottom w:w="0" w:type="dxa"/>
              <w:right w:w="85" w:type="dxa"/>
            </w:tcMar>
          </w:tcPr>
          <w:p w14:paraId="07CE92CF" w14:textId="77777777" w:rsidR="00BF5487" w:rsidRPr="009E06AA" w:rsidRDefault="00BF5487" w:rsidP="003A12FB">
            <w:pPr>
              <w:pStyle w:val="TableText"/>
              <w:spacing w:before="40" w:after="40"/>
              <w:jc w:val="right"/>
            </w:pPr>
            <w:r w:rsidRPr="009E06AA">
              <w:rPr>
                <w:rFonts w:eastAsia="Calibri"/>
                <w:color w:val="000000"/>
              </w:rPr>
              <w:t>50.9</w:t>
            </w:r>
          </w:p>
        </w:tc>
        <w:tc>
          <w:tcPr>
            <w:tcW w:w="2665" w:type="dxa"/>
            <w:shd w:val="clear" w:color="auto" w:fill="FFFFFF"/>
            <w:tcMar>
              <w:top w:w="0" w:type="dxa"/>
              <w:left w:w="85" w:type="dxa"/>
              <w:bottom w:w="0" w:type="dxa"/>
              <w:right w:w="85" w:type="dxa"/>
            </w:tcMar>
          </w:tcPr>
          <w:p w14:paraId="1AE2C141" w14:textId="77777777" w:rsidR="00BF5487" w:rsidRPr="009E06AA" w:rsidRDefault="00BF5487" w:rsidP="003A12FB">
            <w:pPr>
              <w:pStyle w:val="TableText"/>
              <w:spacing w:before="40" w:after="40"/>
              <w:jc w:val="right"/>
            </w:pPr>
            <w:r w:rsidRPr="009E06AA">
              <w:rPr>
                <w:rFonts w:eastAsia="Calibri"/>
                <w:color w:val="000000"/>
              </w:rPr>
              <w:t>-767.1</w:t>
            </w:r>
          </w:p>
        </w:tc>
        <w:tc>
          <w:tcPr>
            <w:tcW w:w="1644" w:type="dxa"/>
            <w:shd w:val="clear" w:color="auto" w:fill="FFFFFF"/>
            <w:tcMar>
              <w:top w:w="0" w:type="dxa"/>
              <w:left w:w="85" w:type="dxa"/>
              <w:bottom w:w="0" w:type="dxa"/>
              <w:right w:w="85" w:type="dxa"/>
            </w:tcMar>
          </w:tcPr>
          <w:p w14:paraId="081C9AFB" w14:textId="77777777" w:rsidR="00BF5487" w:rsidRPr="009E06AA" w:rsidRDefault="00BF5487" w:rsidP="003A12FB">
            <w:pPr>
              <w:pStyle w:val="TableText"/>
              <w:spacing w:before="40" w:after="40"/>
              <w:jc w:val="right"/>
            </w:pPr>
            <w:r w:rsidRPr="009E06AA">
              <w:rPr>
                <w:rFonts w:eastAsia="Calibri"/>
                <w:color w:val="000000"/>
              </w:rPr>
              <w:t>-93.8</w:t>
            </w:r>
          </w:p>
        </w:tc>
      </w:tr>
      <w:tr w:rsidR="00CD2D4D" w:rsidRPr="009E06AA" w14:paraId="7D291D10" w14:textId="77777777" w:rsidTr="001F24CC">
        <w:tc>
          <w:tcPr>
            <w:tcW w:w="2325" w:type="dxa"/>
            <w:shd w:val="clear" w:color="auto" w:fill="FFFFFF"/>
            <w:tcMar>
              <w:top w:w="0" w:type="dxa"/>
              <w:left w:w="85" w:type="dxa"/>
              <w:bottom w:w="0" w:type="dxa"/>
              <w:right w:w="85" w:type="dxa"/>
            </w:tcMar>
          </w:tcPr>
          <w:p w14:paraId="569F3D20" w14:textId="77777777" w:rsidR="00BF5487" w:rsidRPr="009E06AA" w:rsidRDefault="00BF5487" w:rsidP="003A12FB">
            <w:pPr>
              <w:pStyle w:val="TableText"/>
              <w:spacing w:before="40" w:after="40"/>
            </w:pPr>
            <w:r w:rsidRPr="009E06AA">
              <w:rPr>
                <w:rFonts w:eastAsia="Calibri"/>
                <w:color w:val="000000"/>
              </w:rPr>
              <w:t>SF</w:t>
            </w:r>
            <w:r w:rsidRPr="009E06AA">
              <w:rPr>
                <w:rFonts w:eastAsia="Calibri"/>
                <w:color w:val="000000"/>
                <w:vertAlign w:val="subscript"/>
              </w:rPr>
              <w:t>6</w:t>
            </w:r>
          </w:p>
        </w:tc>
        <w:tc>
          <w:tcPr>
            <w:tcW w:w="1077" w:type="dxa"/>
            <w:shd w:val="clear" w:color="auto" w:fill="FFFFFF"/>
            <w:tcMar>
              <w:top w:w="0" w:type="dxa"/>
              <w:left w:w="85" w:type="dxa"/>
              <w:bottom w:w="0" w:type="dxa"/>
              <w:right w:w="85" w:type="dxa"/>
            </w:tcMar>
          </w:tcPr>
          <w:p w14:paraId="35F8DCED" w14:textId="77777777" w:rsidR="00BF5487" w:rsidRPr="009E06AA" w:rsidRDefault="00BF5487" w:rsidP="003A12FB">
            <w:pPr>
              <w:pStyle w:val="TableText"/>
              <w:spacing w:before="40" w:after="40"/>
              <w:jc w:val="right"/>
            </w:pPr>
            <w:r w:rsidRPr="009E06AA">
              <w:rPr>
                <w:rFonts w:eastAsia="Calibri"/>
                <w:color w:val="000000"/>
              </w:rPr>
              <w:t>20.6</w:t>
            </w:r>
          </w:p>
        </w:tc>
        <w:tc>
          <w:tcPr>
            <w:tcW w:w="745" w:type="dxa"/>
            <w:shd w:val="clear" w:color="auto" w:fill="FFFFFF"/>
            <w:tcMar>
              <w:top w:w="0" w:type="dxa"/>
              <w:left w:w="85" w:type="dxa"/>
              <w:bottom w:w="0" w:type="dxa"/>
              <w:right w:w="85" w:type="dxa"/>
            </w:tcMar>
          </w:tcPr>
          <w:p w14:paraId="274043F2" w14:textId="77777777" w:rsidR="00BF5487" w:rsidRPr="009E06AA" w:rsidRDefault="00BF5487" w:rsidP="003A12FB">
            <w:pPr>
              <w:pStyle w:val="TableText"/>
              <w:spacing w:before="40" w:after="40"/>
              <w:jc w:val="right"/>
            </w:pPr>
            <w:r w:rsidRPr="009E06AA">
              <w:rPr>
                <w:rFonts w:eastAsia="Calibri"/>
                <w:color w:val="000000"/>
              </w:rPr>
              <w:t>19.4</w:t>
            </w:r>
          </w:p>
        </w:tc>
        <w:tc>
          <w:tcPr>
            <w:tcW w:w="2665" w:type="dxa"/>
            <w:shd w:val="clear" w:color="auto" w:fill="FFFFFF"/>
            <w:tcMar>
              <w:top w:w="0" w:type="dxa"/>
              <w:left w:w="85" w:type="dxa"/>
              <w:bottom w:w="0" w:type="dxa"/>
              <w:right w:w="85" w:type="dxa"/>
            </w:tcMar>
          </w:tcPr>
          <w:p w14:paraId="677B5834" w14:textId="77777777" w:rsidR="00BF5487" w:rsidRPr="009E06AA" w:rsidRDefault="00BF5487" w:rsidP="003A12FB">
            <w:pPr>
              <w:pStyle w:val="TableText"/>
              <w:spacing w:before="40" w:after="40"/>
              <w:jc w:val="right"/>
            </w:pPr>
            <w:r w:rsidRPr="009E06AA">
              <w:rPr>
                <w:rFonts w:eastAsia="Calibri"/>
                <w:color w:val="000000"/>
              </w:rPr>
              <w:t>-1.2</w:t>
            </w:r>
          </w:p>
        </w:tc>
        <w:tc>
          <w:tcPr>
            <w:tcW w:w="1644" w:type="dxa"/>
            <w:shd w:val="clear" w:color="auto" w:fill="FFFFFF"/>
            <w:tcMar>
              <w:top w:w="0" w:type="dxa"/>
              <w:left w:w="85" w:type="dxa"/>
              <w:bottom w:w="0" w:type="dxa"/>
              <w:right w:w="85" w:type="dxa"/>
            </w:tcMar>
          </w:tcPr>
          <w:p w14:paraId="01F3B310" w14:textId="77777777" w:rsidR="00BF5487" w:rsidRPr="009E06AA" w:rsidRDefault="00BF5487" w:rsidP="003A12FB">
            <w:pPr>
              <w:pStyle w:val="TableText"/>
              <w:spacing w:before="40" w:after="40"/>
              <w:jc w:val="right"/>
            </w:pPr>
            <w:r w:rsidRPr="009E06AA">
              <w:rPr>
                <w:rFonts w:eastAsia="Calibri"/>
                <w:color w:val="000000"/>
              </w:rPr>
              <w:t>-5.7</w:t>
            </w:r>
          </w:p>
        </w:tc>
      </w:tr>
      <w:tr w:rsidR="00CD2D4D" w:rsidRPr="009E06AA" w14:paraId="53EE2EFB" w14:textId="77777777" w:rsidTr="001F24CC">
        <w:tc>
          <w:tcPr>
            <w:tcW w:w="2325" w:type="dxa"/>
            <w:shd w:val="clear" w:color="auto" w:fill="FFFFFF"/>
            <w:tcMar>
              <w:top w:w="0" w:type="dxa"/>
              <w:left w:w="85" w:type="dxa"/>
              <w:bottom w:w="0" w:type="dxa"/>
              <w:right w:w="85" w:type="dxa"/>
            </w:tcMar>
          </w:tcPr>
          <w:p w14:paraId="2D4CEE1F" w14:textId="77777777" w:rsidR="00BF5487" w:rsidRPr="009E06AA" w:rsidRDefault="00BF5487" w:rsidP="003A12FB">
            <w:pPr>
              <w:pStyle w:val="Tableboldblue"/>
              <w:spacing w:before="40" w:after="40"/>
            </w:pPr>
            <w:r w:rsidRPr="009E06AA">
              <w:rPr>
                <w:rFonts w:eastAsia="Calibri"/>
              </w:rPr>
              <w:t>Gross, all gases</w:t>
            </w:r>
          </w:p>
        </w:tc>
        <w:tc>
          <w:tcPr>
            <w:tcW w:w="1077" w:type="dxa"/>
            <w:shd w:val="clear" w:color="auto" w:fill="FFFFFF"/>
            <w:tcMar>
              <w:top w:w="0" w:type="dxa"/>
              <w:left w:w="85" w:type="dxa"/>
              <w:bottom w:w="0" w:type="dxa"/>
              <w:right w:w="85" w:type="dxa"/>
            </w:tcMar>
          </w:tcPr>
          <w:p w14:paraId="7B57D6AD" w14:textId="77777777" w:rsidR="00BF5487" w:rsidRPr="009E06AA" w:rsidRDefault="00BF5487" w:rsidP="003A12FB">
            <w:pPr>
              <w:pStyle w:val="Tableboldblue"/>
              <w:spacing w:before="40" w:after="40"/>
              <w:jc w:val="right"/>
            </w:pPr>
            <w:r w:rsidRPr="009E06AA">
              <w:rPr>
                <w:rFonts w:eastAsia="Calibri"/>
              </w:rPr>
              <w:t>68,958.2</w:t>
            </w:r>
          </w:p>
        </w:tc>
        <w:tc>
          <w:tcPr>
            <w:tcW w:w="745" w:type="dxa"/>
            <w:shd w:val="clear" w:color="auto" w:fill="FFFFFF"/>
            <w:tcMar>
              <w:top w:w="0" w:type="dxa"/>
              <w:left w:w="85" w:type="dxa"/>
              <w:bottom w:w="0" w:type="dxa"/>
              <w:right w:w="85" w:type="dxa"/>
            </w:tcMar>
          </w:tcPr>
          <w:p w14:paraId="73D3AC9F" w14:textId="77777777" w:rsidR="00BF5487" w:rsidRPr="009E06AA" w:rsidRDefault="00BF5487" w:rsidP="003A12FB">
            <w:pPr>
              <w:pStyle w:val="Tableboldblue"/>
              <w:spacing w:before="40" w:after="40"/>
              <w:jc w:val="right"/>
            </w:pPr>
            <w:r w:rsidRPr="009E06AA">
              <w:rPr>
                <w:rFonts w:eastAsia="Calibri"/>
              </w:rPr>
              <w:t>78,395.4</w:t>
            </w:r>
          </w:p>
        </w:tc>
        <w:tc>
          <w:tcPr>
            <w:tcW w:w="2665" w:type="dxa"/>
            <w:shd w:val="clear" w:color="auto" w:fill="FFFFFF"/>
            <w:tcMar>
              <w:top w:w="0" w:type="dxa"/>
              <w:left w:w="85" w:type="dxa"/>
              <w:bottom w:w="0" w:type="dxa"/>
              <w:right w:w="85" w:type="dxa"/>
            </w:tcMar>
          </w:tcPr>
          <w:p w14:paraId="1A9240AE" w14:textId="77777777" w:rsidR="00BF5487" w:rsidRPr="009E06AA" w:rsidRDefault="00BF5487" w:rsidP="003A12FB">
            <w:pPr>
              <w:pStyle w:val="Tableboldblue"/>
              <w:spacing w:before="40" w:after="40"/>
              <w:jc w:val="right"/>
            </w:pPr>
            <w:r w:rsidRPr="009E06AA">
              <w:rPr>
                <w:rFonts w:eastAsia="Calibri"/>
              </w:rPr>
              <w:t>9,437.2</w:t>
            </w:r>
          </w:p>
        </w:tc>
        <w:tc>
          <w:tcPr>
            <w:tcW w:w="1644" w:type="dxa"/>
            <w:shd w:val="clear" w:color="auto" w:fill="FFFFFF"/>
            <w:tcMar>
              <w:top w:w="0" w:type="dxa"/>
              <w:left w:w="85" w:type="dxa"/>
              <w:bottom w:w="0" w:type="dxa"/>
              <w:right w:w="85" w:type="dxa"/>
            </w:tcMar>
          </w:tcPr>
          <w:p w14:paraId="77C822DB" w14:textId="77777777" w:rsidR="00BF5487" w:rsidRPr="009E06AA" w:rsidRDefault="00BF5487" w:rsidP="003A12FB">
            <w:pPr>
              <w:pStyle w:val="Tableboldblue"/>
              <w:spacing w:before="40" w:after="40"/>
              <w:jc w:val="right"/>
            </w:pPr>
            <w:r w:rsidRPr="009E06AA">
              <w:rPr>
                <w:rFonts w:eastAsia="Calibri"/>
              </w:rPr>
              <w:t>13.7</w:t>
            </w:r>
          </w:p>
        </w:tc>
      </w:tr>
    </w:tbl>
    <w:p w14:paraId="738D4419" w14:textId="77777777" w:rsidR="00BF5487" w:rsidRPr="009E06AA" w:rsidRDefault="00BF5487" w:rsidP="00BF5487">
      <w:pPr>
        <w:pStyle w:val="Noteundertable"/>
      </w:pPr>
      <w:r w:rsidRPr="009E06AA">
        <w:rPr>
          <w:b/>
          <w:bCs/>
        </w:rPr>
        <w:t>Note:</w:t>
      </w:r>
      <w:r w:rsidRPr="009E06AA">
        <w:t xml:space="preserve"> </w:t>
      </w:r>
      <w:r w:rsidRPr="009E06AA">
        <w:tab/>
        <w:t>Gross emissions exclude net emissions from the LULUCF sector. The percentage change for HFCs is not applicable (NA) because no emissions of HFCs occurred in 1990. Columns may not total due to rounding. Percentages presented are calculated from unrounded values.</w:t>
      </w:r>
    </w:p>
    <w:p w14:paraId="0D7A6906" w14:textId="77777777" w:rsidR="00BF5487" w:rsidRPr="009E06AA" w:rsidRDefault="00BF5487" w:rsidP="00BF5487">
      <w:pPr>
        <w:pStyle w:val="BodyText"/>
      </w:pPr>
      <w:bookmarkStart w:id="234" w:name="_Toc161932257"/>
      <w:r w:rsidRPr="009E06AA">
        <w:t>In 1990 and 2022, CH</w:t>
      </w:r>
      <w:r w:rsidRPr="009E06AA">
        <w:rPr>
          <w:vertAlign w:val="subscript"/>
        </w:rPr>
        <w:t>4</w:t>
      </w:r>
      <w:r w:rsidRPr="009E06AA">
        <w:t xml:space="preserve"> made up the largest proportion of gross emissions (see table 2.2.3 and figure 2.2.13). While emissions of CH</w:t>
      </w:r>
      <w:r w:rsidRPr="009E06AA">
        <w:rPr>
          <w:vertAlign w:val="subscript"/>
        </w:rPr>
        <w:t>4</w:t>
      </w:r>
      <w:r w:rsidRPr="009E06AA">
        <w:t xml:space="preserve"> have also increased over this time, the proportion of CH</w:t>
      </w:r>
      <w:r w:rsidRPr="009E06AA">
        <w:rPr>
          <w:vertAlign w:val="subscript"/>
        </w:rPr>
        <w:t>4</w:t>
      </w:r>
      <w:r w:rsidRPr="009E06AA">
        <w:t xml:space="preserve"> relative to other gases in the inventory has decreased over the time series. Carbon dioxide emissions have increased by a greater amount over the period.</w:t>
      </w:r>
    </w:p>
    <w:p w14:paraId="2C1BBB0F" w14:textId="77777777" w:rsidR="00BF5487" w:rsidRPr="009E06AA" w:rsidRDefault="00BF5487" w:rsidP="003A12FB">
      <w:pPr>
        <w:pStyle w:val="Figure"/>
        <w:spacing w:after="80"/>
      </w:pPr>
      <w:bookmarkStart w:id="235" w:name="_Toc164154002"/>
      <w:r w:rsidRPr="009E06AA">
        <w:rPr>
          <w:bCs/>
        </w:rPr>
        <w:t>Figure 2.2.13</w:t>
      </w:r>
      <w:r w:rsidRPr="009E06AA">
        <w:t xml:space="preserve"> </w:t>
      </w:r>
      <w:r w:rsidRPr="009E06AA">
        <w:tab/>
        <w:t xml:space="preserve">New Zealand’s gross emissions by gas in </w:t>
      </w:r>
      <w:r w:rsidRPr="009E06AA">
        <w:rPr>
          <w:bCs/>
        </w:rPr>
        <w:t>1990</w:t>
      </w:r>
      <w:r w:rsidRPr="009E06AA">
        <w:t xml:space="preserve"> and </w:t>
      </w:r>
      <w:r w:rsidRPr="009E06AA">
        <w:rPr>
          <w:bCs/>
        </w:rPr>
        <w:t>2022</w:t>
      </w:r>
      <w:bookmarkEnd w:id="234"/>
      <w:bookmarkEnd w:id="235"/>
    </w:p>
    <w:p w14:paraId="3EE40AE9" w14:textId="77777777" w:rsidR="00BF5487" w:rsidRPr="009E06AA" w:rsidRDefault="00BF5487" w:rsidP="00BF5487">
      <w:pPr>
        <w:pStyle w:val="BodyText"/>
      </w:pPr>
      <w:r w:rsidRPr="009E06AA">
        <w:rPr>
          <w:noProof/>
        </w:rPr>
        <w:drawing>
          <wp:inline distT="0" distB="0" distL="0" distR="0" wp14:anchorId="0937A384" wp14:editId="479F95AC">
            <wp:extent cx="5328000" cy="3899143"/>
            <wp:effectExtent l="0" t="0" r="6350" b="6350"/>
            <wp:docPr id="10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descr="code/graphs/images/es_3_2_crf.png"/>
                    <pic:cNvPicPr>
                      <a:picLocks noChangeAspect="1" noChangeArrowheads="1"/>
                    </pic:cNvPicPr>
                  </pic:nvPicPr>
                  <pic:blipFill rotWithShape="1">
                    <a:blip r:embed="rId21"/>
                    <a:srcRect b="2419"/>
                    <a:stretch/>
                  </pic:blipFill>
                  <pic:spPr bwMode="auto">
                    <a:xfrm>
                      <a:off x="0" y="0"/>
                      <a:ext cx="5328000" cy="3899143"/>
                    </a:xfrm>
                    <a:prstGeom prst="rect">
                      <a:avLst/>
                    </a:prstGeom>
                    <a:noFill/>
                    <a:ln>
                      <a:noFill/>
                    </a:ln>
                    <a:extLst>
                      <a:ext uri="{53640926-AAD7-44D8-BBD7-CCE9431645EC}">
                        <a14:shadowObscured xmlns:a14="http://schemas.microsoft.com/office/drawing/2010/main"/>
                      </a:ext>
                    </a:extLst>
                  </pic:spPr>
                </pic:pic>
              </a:graphicData>
            </a:graphic>
          </wp:inline>
        </w:drawing>
      </w:r>
    </w:p>
    <w:p w14:paraId="4D836C07" w14:textId="77777777" w:rsidR="00BF5487" w:rsidRPr="009E06AA" w:rsidRDefault="00BF5487" w:rsidP="00BF5487">
      <w:pPr>
        <w:pStyle w:val="BodyText"/>
      </w:pPr>
      <w:r w:rsidRPr="009E06AA">
        <w:t>This trend reflects the increase in CO</w:t>
      </w:r>
      <w:r w:rsidRPr="009E06AA">
        <w:rPr>
          <w:vertAlign w:val="subscript"/>
        </w:rPr>
        <w:t>2</w:t>
      </w:r>
      <w:r w:rsidRPr="009E06AA">
        <w:t xml:space="preserve"> emissions from the Energy sector as the biggest contributor of CO</w:t>
      </w:r>
      <w:r w:rsidRPr="009E06AA">
        <w:rPr>
          <w:vertAlign w:val="subscript"/>
        </w:rPr>
        <w:t>2</w:t>
      </w:r>
      <w:r w:rsidRPr="009E06AA">
        <w:t xml:space="preserve"> to New Zealand’s gross emissions (ranging between 87.0 per cent and 89.0 per cent of gross CO</w:t>
      </w:r>
      <w:r w:rsidRPr="009E06AA">
        <w:rPr>
          <w:vertAlign w:val="subscript"/>
        </w:rPr>
        <w:t>2</w:t>
      </w:r>
      <w:r w:rsidRPr="009E06AA">
        <w:t xml:space="preserve"> emissions across the entire time series).</w:t>
      </w:r>
    </w:p>
    <w:p w14:paraId="45D42B26" w14:textId="62D2A93E" w:rsidR="00BF5487" w:rsidRPr="009E06AA" w:rsidRDefault="00BF5487" w:rsidP="00BF5487">
      <w:pPr>
        <w:pStyle w:val="BodyText"/>
      </w:pPr>
      <w:r w:rsidRPr="009E06AA">
        <w:t>New Zealand’s inventory by greenhouse gas for 1990 to 2022 is presented in figure 2.2.14. The</w:t>
      </w:r>
      <w:r w:rsidR="003420AA" w:rsidRPr="009E06AA">
        <w:t> </w:t>
      </w:r>
      <w:r w:rsidRPr="009E06AA">
        <w:t>LULUCF sector is excluded from this figure because it is a net sink across the time series. The LULUCF sector and its GHG gas trends are explained in detail in chapter 6.</w:t>
      </w:r>
    </w:p>
    <w:p w14:paraId="77882C24" w14:textId="06687F9C" w:rsidR="00BF5487" w:rsidRPr="009E06AA" w:rsidRDefault="00BF5487" w:rsidP="00BF5487">
      <w:pPr>
        <w:pStyle w:val="Figure"/>
      </w:pPr>
      <w:bookmarkStart w:id="236" w:name="_Toc161932258"/>
      <w:bookmarkStart w:id="237" w:name="_Toc164154003"/>
      <w:r w:rsidRPr="009E06AA">
        <w:rPr>
          <w:bCs/>
        </w:rPr>
        <w:t>Figure 2.2.14</w:t>
      </w:r>
      <w:r w:rsidRPr="009E06AA">
        <w:t xml:space="preserve"> </w:t>
      </w:r>
      <w:r w:rsidRPr="009E06AA">
        <w:tab/>
        <w:t>Trends in New Zealand’s greenhouse gas emissions by gas</w:t>
      </w:r>
      <w:r w:rsidR="00223334" w:rsidRPr="009E06AA">
        <w:t>,</w:t>
      </w:r>
      <w:r w:rsidRPr="009E06AA">
        <w:t xml:space="preserve"> from </w:t>
      </w:r>
      <w:r w:rsidRPr="009E06AA">
        <w:rPr>
          <w:bCs/>
        </w:rPr>
        <w:t>1990</w:t>
      </w:r>
      <w:r w:rsidRPr="009E06AA">
        <w:t xml:space="preserve"> to </w:t>
      </w:r>
      <w:r w:rsidRPr="009E06AA">
        <w:rPr>
          <w:bCs/>
        </w:rPr>
        <w:t>2022</w:t>
      </w:r>
      <w:bookmarkEnd w:id="236"/>
      <w:bookmarkEnd w:id="237"/>
    </w:p>
    <w:p w14:paraId="3E124B07" w14:textId="77777777" w:rsidR="00BF5487" w:rsidRPr="009E06AA" w:rsidRDefault="00BF5487" w:rsidP="00BF5487">
      <w:pPr>
        <w:pStyle w:val="BodyText"/>
      </w:pPr>
      <w:r w:rsidRPr="009E06AA">
        <w:rPr>
          <w:noProof/>
        </w:rPr>
        <w:drawing>
          <wp:inline distT="0" distB="0" distL="0" distR="0" wp14:anchorId="37D2A4DF" wp14:editId="18B529F9">
            <wp:extent cx="5306290" cy="3823854"/>
            <wp:effectExtent l="0" t="0" r="8890" b="5715"/>
            <wp:docPr id="104" name="Picture" descr="A graph of a number of peopl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04" name="Picture" descr="A graph of a number of people&#10;&#10;Description automatically generated with medium confidence"/>
                    <pic:cNvPicPr>
                      <a:picLocks noChangeAspect="1" noChangeArrowheads="1"/>
                    </pic:cNvPicPr>
                  </pic:nvPicPr>
                  <pic:blipFill rotWithShape="1">
                    <a:blip r:embed="rId46"/>
                    <a:srcRect b="2419"/>
                    <a:stretch/>
                  </pic:blipFill>
                  <pic:spPr bwMode="auto">
                    <a:xfrm>
                      <a:off x="0" y="0"/>
                      <a:ext cx="5309128" cy="3825899"/>
                    </a:xfrm>
                    <a:prstGeom prst="rect">
                      <a:avLst/>
                    </a:prstGeom>
                    <a:noFill/>
                    <a:ln>
                      <a:noFill/>
                    </a:ln>
                    <a:extLst>
                      <a:ext uri="{53640926-AAD7-44D8-BBD7-CCE9431645EC}">
                        <a14:shadowObscured xmlns:a14="http://schemas.microsoft.com/office/drawing/2010/main"/>
                      </a:ext>
                    </a:extLst>
                  </pic:spPr>
                </pic:pic>
              </a:graphicData>
            </a:graphic>
          </wp:inline>
        </w:drawing>
      </w:r>
    </w:p>
    <w:p w14:paraId="5ED51F63" w14:textId="1B34B950" w:rsidR="00BF5487" w:rsidRPr="009E06AA" w:rsidRDefault="00BF5487" w:rsidP="003420AA">
      <w:pPr>
        <w:pStyle w:val="BodyText"/>
        <w:spacing w:before="100" w:after="100"/>
      </w:pPr>
      <w:r w:rsidRPr="009E06AA">
        <w:t>Methane emissions represent the largest source of New Zealand’s gross anthropogenic GHG</w:t>
      </w:r>
      <w:r w:rsidR="002474E5" w:rsidRPr="009E06AA">
        <w:t> </w:t>
      </w:r>
      <w:r w:rsidRPr="009E06AA">
        <w:t>emissions since 1990 (figure 2.2.14). Most CH</w:t>
      </w:r>
      <w:r w:rsidRPr="009E06AA">
        <w:rPr>
          <w:vertAlign w:val="subscript"/>
        </w:rPr>
        <w:t>4</w:t>
      </w:r>
      <w:r w:rsidRPr="009E06AA">
        <w:t xml:space="preserve"> emissions are produced through enteric fermentation in the Agriculture sector. Carbon dioxide</w:t>
      </w:r>
      <w:r w:rsidRPr="009E06AA" w:rsidDel="00CB58A9">
        <w:t xml:space="preserve"> </w:t>
      </w:r>
      <w:r w:rsidRPr="009E06AA">
        <w:t>is the second-largest source of gross emissions for New Zealand. Most CO</w:t>
      </w:r>
      <w:r w:rsidRPr="009E06AA">
        <w:rPr>
          <w:vertAlign w:val="subscript"/>
        </w:rPr>
        <w:t xml:space="preserve">2 </w:t>
      </w:r>
      <w:r w:rsidRPr="009E06AA">
        <w:t xml:space="preserve">emissions are produced through combustion of fossil fuels in the Energy sector. </w:t>
      </w:r>
    </w:p>
    <w:p w14:paraId="3121FC9F" w14:textId="3F10F557" w:rsidR="00BF5487" w:rsidRPr="009E06AA" w:rsidRDefault="00BF5487" w:rsidP="003420AA">
      <w:pPr>
        <w:pStyle w:val="BodyText"/>
        <w:spacing w:before="100" w:after="100"/>
      </w:pPr>
      <w:r w:rsidRPr="009E06AA">
        <w:t>Methane emissions have increased by 2.2 per cent compared with 1990 levels. Methane emissions generally tracked upwards between 1990 and 2006, when they reached their peak. Despite fluctuations, CH</w:t>
      </w:r>
      <w:r w:rsidRPr="009E06AA">
        <w:rPr>
          <w:vertAlign w:val="subscript"/>
        </w:rPr>
        <w:t>4</w:t>
      </w:r>
      <w:r w:rsidRPr="009E06AA">
        <w:t xml:space="preserve"> emissions have generally been tracking downwards since 2006 and have been declining year on year since 2019. The changes observed in CH</w:t>
      </w:r>
      <w:r w:rsidRPr="009E06AA">
        <w:rPr>
          <w:vertAlign w:val="subscript"/>
        </w:rPr>
        <w:t>4</w:t>
      </w:r>
      <w:r w:rsidRPr="009E06AA">
        <w:t xml:space="preserve"> emissions have largely been due to </w:t>
      </w:r>
      <w:r w:rsidRPr="009E06AA">
        <w:rPr>
          <w:rFonts w:cs="Calibri"/>
        </w:rPr>
        <w:t xml:space="preserve">increasing dairy cattle </w:t>
      </w:r>
      <w:r w:rsidRPr="009E06AA">
        <w:rPr>
          <w:rFonts w:cs="Calibri"/>
          <w:spacing w:val="-2"/>
        </w:rPr>
        <w:t xml:space="preserve">numbers, which have been </w:t>
      </w:r>
      <w:r w:rsidRPr="009E06AA">
        <w:t>partially</w:t>
      </w:r>
      <w:r w:rsidRPr="009E06AA">
        <w:rPr>
          <w:rFonts w:cs="Calibri"/>
          <w:spacing w:val="-2"/>
        </w:rPr>
        <w:t xml:space="preserve"> offset by decreasing numbers of non-dairy (beef) cattle and sheep since 1990.</w:t>
      </w:r>
      <w:r w:rsidR="00903728" w:rsidRPr="009E06AA">
        <w:t xml:space="preserve"> </w:t>
      </w:r>
    </w:p>
    <w:p w14:paraId="7FE52990" w14:textId="77777777" w:rsidR="00BF5487" w:rsidRPr="009E06AA" w:rsidRDefault="00BF5487" w:rsidP="003420AA">
      <w:pPr>
        <w:pStyle w:val="BodyText"/>
        <w:spacing w:before="100" w:after="100"/>
      </w:pPr>
      <w:r w:rsidRPr="009E06AA">
        <w:t>Carbon dioxide emissions have increased by 24.0 per cent in 2022 compared with 1990 levels, peaking in 2008 (figure 2.</w:t>
      </w:r>
      <w:r w:rsidRPr="009E06AA">
        <w:rPr>
          <w:rFonts w:eastAsiaTheme="minorHAnsi" w:cstheme="majorHAnsi"/>
          <w:szCs w:val="24"/>
          <w:lang w:eastAsia="en-US"/>
        </w:rPr>
        <w:t>2.14</w:t>
      </w:r>
      <w:r w:rsidRPr="009E06AA">
        <w:t>) and declining year on year since 2019. Recent decreases in CO</w:t>
      </w:r>
      <w:r w:rsidRPr="009E06AA">
        <w:rPr>
          <w:rFonts w:eastAsiaTheme="minorHAnsi" w:cstheme="majorHAnsi"/>
          <w:szCs w:val="24"/>
          <w:vertAlign w:val="subscript"/>
          <w:lang w:eastAsia="en-US"/>
        </w:rPr>
        <w:t>2</w:t>
      </w:r>
      <w:r w:rsidRPr="009E06AA">
        <w:t xml:space="preserve"> in the Energy sector have been largely driven by reduced travel and associated road transport and domestic aviation emissions as a result of the COVID-19 pandemic. </w:t>
      </w:r>
    </w:p>
    <w:p w14:paraId="1578764C" w14:textId="77777777" w:rsidR="00BF5487" w:rsidRPr="009E06AA" w:rsidRDefault="00BF5487" w:rsidP="003420AA">
      <w:pPr>
        <w:pStyle w:val="BodyText"/>
        <w:spacing w:before="100" w:after="100"/>
      </w:pPr>
      <w:r w:rsidRPr="009E06AA">
        <w:t>Nitrous oxide</w:t>
      </w:r>
      <w:r w:rsidRPr="009E06AA" w:rsidDel="00935E43">
        <w:t xml:space="preserve"> </w:t>
      </w:r>
      <w:r w:rsidRPr="009E06AA">
        <w:t>emissions have increased by 34.8 per cent in 2022 compared with 1990 levels, most recently peaking in 2020. Emissions from N</w:t>
      </w:r>
      <w:r w:rsidRPr="009E06AA">
        <w:rPr>
          <w:vertAlign w:val="subscript"/>
        </w:rPr>
        <w:t>2</w:t>
      </w:r>
      <w:r w:rsidRPr="009E06AA">
        <w:t>O have generally been tracking upwards since 1990 with recent small decreases observed in 2021 and 2022. The increase in N</w:t>
      </w:r>
      <w:r w:rsidRPr="009E06AA">
        <w:rPr>
          <w:vertAlign w:val="subscript"/>
        </w:rPr>
        <w:t>2</w:t>
      </w:r>
      <w:r w:rsidRPr="009E06AA">
        <w:t xml:space="preserve">O emissions is </w:t>
      </w:r>
      <w:r w:rsidRPr="009E06AA">
        <w:rPr>
          <w:rFonts w:cs="Calibri"/>
          <w:color w:val="000000"/>
          <w:shd w:val="clear" w:color="auto" w:fill="FFFFFF"/>
        </w:rPr>
        <w:t>primarily a result of the increased use of synthetic nitrogen fertiliser since 1990, due to an increase in dairy farming, as well as increased use on other farm types.</w:t>
      </w:r>
    </w:p>
    <w:p w14:paraId="495EF430" w14:textId="2E6D8945" w:rsidR="00BF5487" w:rsidRPr="009E06AA" w:rsidRDefault="00BF5487" w:rsidP="003420AA">
      <w:pPr>
        <w:pStyle w:val="BodyText"/>
        <w:spacing w:before="100" w:after="100"/>
      </w:pPr>
      <w:r w:rsidRPr="009E06AA">
        <w:t>Combined fluorinated gas emissions have increased by 87.1 per cent in 2022 compared with</w:t>
      </w:r>
      <w:r w:rsidR="002474E5" w:rsidRPr="009E06AA">
        <w:t> </w:t>
      </w:r>
      <w:r w:rsidRPr="009E06AA">
        <w:t>1990 levels. This increase was mainly due to the introduction of HFCs to replace ODS in</w:t>
      </w:r>
      <w:r w:rsidR="002474E5" w:rsidRPr="009E06AA">
        <w:t> </w:t>
      </w:r>
      <w:r w:rsidRPr="009E06AA">
        <w:t>refrigeration and air conditioning and the increased use of household and commercial air</w:t>
      </w:r>
      <w:r w:rsidR="002474E5" w:rsidRPr="009E06AA">
        <w:t> </w:t>
      </w:r>
      <w:r w:rsidRPr="009E06AA">
        <w:t xml:space="preserve">conditioning. </w:t>
      </w:r>
    </w:p>
    <w:p w14:paraId="5ACAA037" w14:textId="77777777" w:rsidR="00BF5487" w:rsidRPr="009E06AA" w:rsidRDefault="00BF5487" w:rsidP="005E75EE">
      <w:pPr>
        <w:pStyle w:val="Heading4"/>
      </w:pPr>
      <w:r w:rsidRPr="009E06AA">
        <w:t>Indirect gases</w:t>
      </w:r>
    </w:p>
    <w:p w14:paraId="2A714276" w14:textId="77777777" w:rsidR="00BF5487" w:rsidRPr="009E06AA" w:rsidRDefault="00BF5487" w:rsidP="00BF5487">
      <w:pPr>
        <w:pStyle w:val="BodyText"/>
      </w:pPr>
      <w:r w:rsidRPr="009E06AA">
        <w:t>Indirect GHGs are also covered for reporting under the Convention. Indirect GHGs are included in inventory reporting but are not counted in emissions totals. These indirect gases are CO, sulphur dioxide, NO</w:t>
      </w:r>
      <w:r w:rsidRPr="009E06AA">
        <w:rPr>
          <w:vertAlign w:val="subscript"/>
        </w:rPr>
        <w:t>X</w:t>
      </w:r>
      <w:r w:rsidRPr="009E06AA">
        <w:t xml:space="preserve"> and NMVOCs. Table 2.2.4 summarises New Zealand’s indirect GHG emissions in 1990 and 2022 as well as the change between these years.</w:t>
      </w:r>
    </w:p>
    <w:p w14:paraId="560F7298" w14:textId="697D0ED8" w:rsidR="00BF5487" w:rsidRPr="009E06AA" w:rsidRDefault="00BF5487" w:rsidP="00BF5487">
      <w:pPr>
        <w:pStyle w:val="Table"/>
      </w:pPr>
      <w:bookmarkStart w:id="238" w:name="_Toc161932272"/>
      <w:bookmarkStart w:id="239" w:name="_Toc164153801"/>
      <w:r w:rsidRPr="009E06AA">
        <w:rPr>
          <w:bCs/>
        </w:rPr>
        <w:t>Table 2.2.4</w:t>
      </w:r>
      <w:r w:rsidRPr="009E06AA">
        <w:t xml:space="preserve"> </w:t>
      </w:r>
      <w:r w:rsidRPr="009E06AA">
        <w:tab/>
        <w:t xml:space="preserve">New Zealand’s indirect greenhouse gas emissions (excluding LULUCF) in </w:t>
      </w:r>
      <w:r w:rsidRPr="009E06AA">
        <w:rPr>
          <w:bCs/>
        </w:rPr>
        <w:t>1990</w:t>
      </w:r>
      <w:r w:rsidRPr="009E06AA">
        <w:t xml:space="preserve"> and</w:t>
      </w:r>
      <w:r w:rsidR="000E3EA5" w:rsidRPr="009E06AA">
        <w:t> </w:t>
      </w:r>
      <w:r w:rsidRPr="009E06AA">
        <w:rPr>
          <w:bCs/>
        </w:rPr>
        <w:t>2022</w:t>
      </w:r>
      <w:bookmarkEnd w:id="238"/>
      <w:bookmarkEnd w:id="239"/>
    </w:p>
    <w:tbl>
      <w:tblPr>
        <w:tblW w:w="8505" w:type="dxa"/>
        <w:tblBorders>
          <w:top w:val="single" w:sz="4" w:space="0" w:color="1B556B" w:themeColor="text2"/>
          <w:bottom w:val="single" w:sz="4" w:space="0" w:color="1B556B" w:themeColor="text2"/>
          <w:insideH w:val="single" w:sz="4" w:space="0" w:color="1B556B" w:themeColor="text2"/>
        </w:tblBorders>
        <w:tblLook w:val="0420" w:firstRow="1" w:lastRow="0" w:firstColumn="0" w:lastColumn="0" w:noHBand="0" w:noVBand="1"/>
      </w:tblPr>
      <w:tblGrid>
        <w:gridCol w:w="2653"/>
        <w:gridCol w:w="581"/>
        <w:gridCol w:w="581"/>
        <w:gridCol w:w="2916"/>
        <w:gridCol w:w="1774"/>
      </w:tblGrid>
      <w:tr w:rsidR="00900016" w:rsidRPr="009E06AA" w14:paraId="73257AB6" w14:textId="77777777" w:rsidTr="00900016">
        <w:trPr>
          <w:tblHeader/>
        </w:trPr>
        <w:tc>
          <w:tcPr>
            <w:tcW w:w="0" w:type="auto"/>
            <w:shd w:val="clear" w:color="auto" w:fill="1B556B"/>
            <w:tcMar>
              <w:top w:w="0" w:type="dxa"/>
              <w:left w:w="85" w:type="dxa"/>
              <w:bottom w:w="0" w:type="dxa"/>
              <w:right w:w="85" w:type="dxa"/>
            </w:tcMar>
          </w:tcPr>
          <w:p w14:paraId="29AC273C" w14:textId="77777777" w:rsidR="00BF5487" w:rsidRPr="009E06AA" w:rsidRDefault="00BF5487" w:rsidP="00900016">
            <w:pPr>
              <w:pStyle w:val="TableTextBold"/>
              <w:rPr>
                <w:noProof w:val="0"/>
                <w:color w:val="FFFFFF" w:themeColor="background1"/>
              </w:rPr>
            </w:pPr>
            <w:r w:rsidRPr="009E06AA">
              <w:rPr>
                <w:rFonts w:eastAsia="Calibri"/>
                <w:noProof w:val="0"/>
                <w:color w:val="FFFFFF" w:themeColor="background1"/>
              </w:rPr>
              <w:t>Indirect greenhouse gas emissions</w:t>
            </w:r>
          </w:p>
        </w:tc>
        <w:tc>
          <w:tcPr>
            <w:tcW w:w="0" w:type="auto"/>
            <w:shd w:val="clear" w:color="auto" w:fill="1B556B"/>
            <w:tcMar>
              <w:top w:w="0" w:type="dxa"/>
              <w:left w:w="85" w:type="dxa"/>
              <w:bottom w:w="0" w:type="dxa"/>
              <w:right w:w="85" w:type="dxa"/>
            </w:tcMar>
          </w:tcPr>
          <w:p w14:paraId="4C69DF7E" w14:textId="77777777" w:rsidR="00BF5487" w:rsidRPr="009E06AA" w:rsidRDefault="00BF5487" w:rsidP="001D41E1">
            <w:pPr>
              <w:pStyle w:val="TableTextBold"/>
              <w:jc w:val="right"/>
              <w:rPr>
                <w:noProof w:val="0"/>
                <w:color w:val="FFFFFF" w:themeColor="background1"/>
              </w:rPr>
            </w:pPr>
            <w:r w:rsidRPr="009E06AA">
              <w:rPr>
                <w:rFonts w:eastAsia="Calibri"/>
                <w:noProof w:val="0"/>
                <w:color w:val="FFFFFF" w:themeColor="background1"/>
              </w:rPr>
              <w:t>1990</w:t>
            </w:r>
          </w:p>
        </w:tc>
        <w:tc>
          <w:tcPr>
            <w:tcW w:w="0" w:type="auto"/>
            <w:shd w:val="clear" w:color="auto" w:fill="1B556B"/>
            <w:tcMar>
              <w:top w:w="0" w:type="dxa"/>
              <w:left w:w="85" w:type="dxa"/>
              <w:bottom w:w="0" w:type="dxa"/>
              <w:right w:w="85" w:type="dxa"/>
            </w:tcMar>
          </w:tcPr>
          <w:p w14:paraId="14AFD58B" w14:textId="77777777" w:rsidR="00BF5487" w:rsidRPr="009E06AA" w:rsidRDefault="00BF5487" w:rsidP="001D41E1">
            <w:pPr>
              <w:pStyle w:val="TableTextBold"/>
              <w:jc w:val="right"/>
              <w:rPr>
                <w:noProof w:val="0"/>
                <w:color w:val="FFFFFF" w:themeColor="background1"/>
              </w:rPr>
            </w:pPr>
            <w:r w:rsidRPr="009E06AA">
              <w:rPr>
                <w:rFonts w:eastAsia="Calibri"/>
                <w:noProof w:val="0"/>
                <w:color w:val="FFFFFF" w:themeColor="background1"/>
              </w:rPr>
              <w:t>2022</w:t>
            </w:r>
          </w:p>
        </w:tc>
        <w:tc>
          <w:tcPr>
            <w:tcW w:w="0" w:type="auto"/>
            <w:shd w:val="clear" w:color="auto" w:fill="1B556B"/>
            <w:tcMar>
              <w:top w:w="0" w:type="dxa"/>
              <w:left w:w="85" w:type="dxa"/>
              <w:bottom w:w="0" w:type="dxa"/>
              <w:right w:w="85" w:type="dxa"/>
            </w:tcMar>
          </w:tcPr>
          <w:p w14:paraId="389FF722" w14:textId="77777777" w:rsidR="00BF5487" w:rsidRPr="009E06AA" w:rsidRDefault="00BF5487" w:rsidP="001D41E1">
            <w:pPr>
              <w:pStyle w:val="TableTextBold"/>
              <w:jc w:val="right"/>
              <w:rPr>
                <w:noProof w:val="0"/>
                <w:color w:val="FFFFFF" w:themeColor="background1"/>
              </w:rPr>
            </w:pPr>
            <w:r w:rsidRPr="009E06AA">
              <w:rPr>
                <w:rFonts w:eastAsia="Calibri"/>
                <w:noProof w:val="0"/>
                <w:color w:val="FFFFFF" w:themeColor="background1"/>
              </w:rPr>
              <w:t>Change from 1990 (kt CO</w:t>
            </w:r>
            <w:r w:rsidRPr="009E06AA">
              <w:rPr>
                <w:rFonts w:eastAsia="Calibri"/>
                <w:noProof w:val="0"/>
                <w:color w:val="FFFFFF" w:themeColor="background1"/>
                <w:vertAlign w:val="subscript"/>
              </w:rPr>
              <w:t>2</w:t>
            </w:r>
            <w:r w:rsidRPr="009E06AA">
              <w:rPr>
                <w:rFonts w:eastAsia="Calibri"/>
                <w:noProof w:val="0"/>
                <w:color w:val="FFFFFF" w:themeColor="background1"/>
              </w:rPr>
              <w:t>-equivalent)</w:t>
            </w:r>
          </w:p>
        </w:tc>
        <w:tc>
          <w:tcPr>
            <w:tcW w:w="0" w:type="auto"/>
            <w:shd w:val="clear" w:color="auto" w:fill="1B556B"/>
            <w:tcMar>
              <w:top w:w="0" w:type="dxa"/>
              <w:left w:w="85" w:type="dxa"/>
              <w:bottom w:w="0" w:type="dxa"/>
              <w:right w:w="85" w:type="dxa"/>
            </w:tcMar>
          </w:tcPr>
          <w:p w14:paraId="6BD8B1AF" w14:textId="77777777" w:rsidR="00BF5487" w:rsidRPr="009E06AA" w:rsidRDefault="00BF5487" w:rsidP="001D41E1">
            <w:pPr>
              <w:pStyle w:val="TableTextBold"/>
              <w:jc w:val="right"/>
              <w:rPr>
                <w:noProof w:val="0"/>
                <w:color w:val="FFFFFF" w:themeColor="background1"/>
              </w:rPr>
            </w:pPr>
            <w:r w:rsidRPr="009E06AA">
              <w:rPr>
                <w:rFonts w:eastAsia="Calibri"/>
                <w:noProof w:val="0"/>
                <w:color w:val="FFFFFF" w:themeColor="background1"/>
              </w:rPr>
              <w:t>Change from 1990 (%)</w:t>
            </w:r>
          </w:p>
        </w:tc>
      </w:tr>
      <w:tr w:rsidR="00900016" w:rsidRPr="009E06AA" w14:paraId="340EB632" w14:textId="77777777" w:rsidTr="00900016">
        <w:trPr>
          <w:trHeight w:val="283"/>
        </w:trPr>
        <w:tc>
          <w:tcPr>
            <w:tcW w:w="0" w:type="auto"/>
            <w:shd w:val="clear" w:color="auto" w:fill="FFFFFF"/>
            <w:tcMar>
              <w:top w:w="0" w:type="dxa"/>
              <w:left w:w="85" w:type="dxa"/>
              <w:bottom w:w="0" w:type="dxa"/>
              <w:right w:w="85" w:type="dxa"/>
            </w:tcMar>
          </w:tcPr>
          <w:p w14:paraId="7FE186EF" w14:textId="77777777" w:rsidR="00BF5487" w:rsidRPr="009E06AA" w:rsidRDefault="00BF5487" w:rsidP="00900016">
            <w:pPr>
              <w:pStyle w:val="TableText"/>
            </w:pPr>
            <w:r w:rsidRPr="009E06AA">
              <w:rPr>
                <w:rFonts w:eastAsia="Calibri"/>
                <w:color w:val="000000"/>
              </w:rPr>
              <w:t>CO</w:t>
            </w:r>
          </w:p>
        </w:tc>
        <w:tc>
          <w:tcPr>
            <w:tcW w:w="0" w:type="auto"/>
            <w:shd w:val="clear" w:color="auto" w:fill="FFFFFF"/>
            <w:tcMar>
              <w:top w:w="0" w:type="dxa"/>
              <w:left w:w="85" w:type="dxa"/>
              <w:bottom w:w="0" w:type="dxa"/>
              <w:right w:w="85" w:type="dxa"/>
            </w:tcMar>
          </w:tcPr>
          <w:p w14:paraId="0A02718B" w14:textId="77777777" w:rsidR="00BF5487" w:rsidRPr="009E06AA" w:rsidRDefault="00BF5487" w:rsidP="001D41E1">
            <w:pPr>
              <w:pStyle w:val="TableText"/>
              <w:jc w:val="right"/>
            </w:pPr>
            <w:r w:rsidRPr="009E06AA">
              <w:rPr>
                <w:rFonts w:eastAsia="Calibri"/>
                <w:color w:val="000000"/>
              </w:rPr>
              <w:t>604.2</w:t>
            </w:r>
          </w:p>
        </w:tc>
        <w:tc>
          <w:tcPr>
            <w:tcW w:w="0" w:type="auto"/>
            <w:shd w:val="clear" w:color="auto" w:fill="FFFFFF"/>
            <w:tcMar>
              <w:top w:w="0" w:type="dxa"/>
              <w:left w:w="85" w:type="dxa"/>
              <w:bottom w:w="0" w:type="dxa"/>
              <w:right w:w="85" w:type="dxa"/>
            </w:tcMar>
          </w:tcPr>
          <w:p w14:paraId="1ACA9892" w14:textId="77777777" w:rsidR="00BF5487" w:rsidRPr="009E06AA" w:rsidRDefault="00BF5487" w:rsidP="001D41E1">
            <w:pPr>
              <w:pStyle w:val="TableText"/>
              <w:jc w:val="right"/>
            </w:pPr>
            <w:r w:rsidRPr="009E06AA">
              <w:rPr>
                <w:rFonts w:eastAsia="Calibri"/>
                <w:color w:val="000000"/>
              </w:rPr>
              <w:t>649.7</w:t>
            </w:r>
          </w:p>
        </w:tc>
        <w:tc>
          <w:tcPr>
            <w:tcW w:w="0" w:type="auto"/>
            <w:shd w:val="clear" w:color="auto" w:fill="FFFFFF"/>
            <w:tcMar>
              <w:top w:w="0" w:type="dxa"/>
              <w:left w:w="85" w:type="dxa"/>
              <w:bottom w:w="0" w:type="dxa"/>
              <w:right w:w="85" w:type="dxa"/>
            </w:tcMar>
          </w:tcPr>
          <w:p w14:paraId="694BDFEB" w14:textId="77777777" w:rsidR="00BF5487" w:rsidRPr="009E06AA" w:rsidRDefault="00BF5487" w:rsidP="001D41E1">
            <w:pPr>
              <w:pStyle w:val="TableText"/>
              <w:jc w:val="right"/>
            </w:pPr>
            <w:r w:rsidRPr="009E06AA">
              <w:rPr>
                <w:rFonts w:eastAsia="Calibri"/>
                <w:color w:val="000000"/>
              </w:rPr>
              <w:t>45.4</w:t>
            </w:r>
          </w:p>
        </w:tc>
        <w:tc>
          <w:tcPr>
            <w:tcW w:w="0" w:type="auto"/>
            <w:shd w:val="clear" w:color="auto" w:fill="FFFFFF"/>
            <w:tcMar>
              <w:top w:w="0" w:type="dxa"/>
              <w:left w:w="85" w:type="dxa"/>
              <w:bottom w:w="0" w:type="dxa"/>
              <w:right w:w="85" w:type="dxa"/>
            </w:tcMar>
          </w:tcPr>
          <w:p w14:paraId="1EDA3422" w14:textId="00BD3E4F" w:rsidR="00BF5487" w:rsidRPr="009E06AA" w:rsidRDefault="00BF5487" w:rsidP="001D41E1">
            <w:pPr>
              <w:pStyle w:val="TableText"/>
              <w:jc w:val="right"/>
            </w:pPr>
            <w:r w:rsidRPr="009E06AA">
              <w:rPr>
                <w:rFonts w:eastAsia="Calibri"/>
                <w:color w:val="000000"/>
              </w:rPr>
              <w:t>7.5</w:t>
            </w:r>
          </w:p>
        </w:tc>
      </w:tr>
      <w:tr w:rsidR="00900016" w:rsidRPr="009E06AA" w14:paraId="456CAAF8" w14:textId="77777777" w:rsidTr="00900016">
        <w:trPr>
          <w:trHeight w:val="283"/>
        </w:trPr>
        <w:tc>
          <w:tcPr>
            <w:tcW w:w="0" w:type="auto"/>
            <w:shd w:val="clear" w:color="auto" w:fill="FFFFFF"/>
            <w:tcMar>
              <w:top w:w="0" w:type="dxa"/>
              <w:left w:w="85" w:type="dxa"/>
              <w:bottom w:w="0" w:type="dxa"/>
              <w:right w:w="85" w:type="dxa"/>
            </w:tcMar>
          </w:tcPr>
          <w:p w14:paraId="33707EB2" w14:textId="77777777" w:rsidR="00BF5487" w:rsidRPr="009E06AA" w:rsidRDefault="00BF5487" w:rsidP="00900016">
            <w:pPr>
              <w:pStyle w:val="TableText"/>
            </w:pPr>
            <w:r w:rsidRPr="009E06AA">
              <w:rPr>
                <w:rFonts w:eastAsia="Calibri"/>
                <w:color w:val="000000"/>
              </w:rPr>
              <w:t>NMVOCs</w:t>
            </w:r>
          </w:p>
        </w:tc>
        <w:tc>
          <w:tcPr>
            <w:tcW w:w="0" w:type="auto"/>
            <w:shd w:val="clear" w:color="auto" w:fill="FFFFFF"/>
            <w:tcMar>
              <w:top w:w="0" w:type="dxa"/>
              <w:left w:w="85" w:type="dxa"/>
              <w:bottom w:w="0" w:type="dxa"/>
              <w:right w:w="85" w:type="dxa"/>
            </w:tcMar>
          </w:tcPr>
          <w:p w14:paraId="7DB94708" w14:textId="77777777" w:rsidR="00BF5487" w:rsidRPr="009E06AA" w:rsidRDefault="00BF5487" w:rsidP="001D41E1">
            <w:pPr>
              <w:pStyle w:val="TableText"/>
              <w:jc w:val="right"/>
            </w:pPr>
            <w:r w:rsidRPr="009E06AA">
              <w:rPr>
                <w:rFonts w:eastAsia="Calibri"/>
                <w:color w:val="000000"/>
              </w:rPr>
              <w:t>143.7</w:t>
            </w:r>
          </w:p>
        </w:tc>
        <w:tc>
          <w:tcPr>
            <w:tcW w:w="0" w:type="auto"/>
            <w:shd w:val="clear" w:color="auto" w:fill="FFFFFF"/>
            <w:tcMar>
              <w:top w:w="0" w:type="dxa"/>
              <w:left w:w="85" w:type="dxa"/>
              <w:bottom w:w="0" w:type="dxa"/>
              <w:right w:w="85" w:type="dxa"/>
            </w:tcMar>
          </w:tcPr>
          <w:p w14:paraId="47E6EBFA" w14:textId="77777777" w:rsidR="00BF5487" w:rsidRPr="009E06AA" w:rsidRDefault="00BF5487" w:rsidP="001D41E1">
            <w:pPr>
              <w:pStyle w:val="TableText"/>
              <w:jc w:val="right"/>
            </w:pPr>
            <w:r w:rsidRPr="009E06AA">
              <w:rPr>
                <w:rFonts w:eastAsia="Calibri"/>
                <w:color w:val="000000"/>
              </w:rPr>
              <w:t>171.9</w:t>
            </w:r>
          </w:p>
        </w:tc>
        <w:tc>
          <w:tcPr>
            <w:tcW w:w="0" w:type="auto"/>
            <w:shd w:val="clear" w:color="auto" w:fill="FFFFFF"/>
            <w:tcMar>
              <w:top w:w="0" w:type="dxa"/>
              <w:left w:w="85" w:type="dxa"/>
              <w:bottom w:w="0" w:type="dxa"/>
              <w:right w:w="85" w:type="dxa"/>
            </w:tcMar>
          </w:tcPr>
          <w:p w14:paraId="00F7A938" w14:textId="77777777" w:rsidR="00BF5487" w:rsidRPr="009E06AA" w:rsidRDefault="00BF5487" w:rsidP="001D41E1">
            <w:pPr>
              <w:pStyle w:val="TableText"/>
              <w:jc w:val="right"/>
            </w:pPr>
            <w:r w:rsidRPr="009E06AA">
              <w:rPr>
                <w:rFonts w:eastAsia="Calibri"/>
                <w:color w:val="000000"/>
              </w:rPr>
              <w:t>28.2</w:t>
            </w:r>
          </w:p>
        </w:tc>
        <w:tc>
          <w:tcPr>
            <w:tcW w:w="0" w:type="auto"/>
            <w:shd w:val="clear" w:color="auto" w:fill="FFFFFF"/>
            <w:tcMar>
              <w:top w:w="0" w:type="dxa"/>
              <w:left w:w="85" w:type="dxa"/>
              <w:bottom w:w="0" w:type="dxa"/>
              <w:right w:w="85" w:type="dxa"/>
            </w:tcMar>
          </w:tcPr>
          <w:p w14:paraId="38238330" w14:textId="77777777" w:rsidR="00BF5487" w:rsidRPr="009E06AA" w:rsidRDefault="00BF5487" w:rsidP="001D41E1">
            <w:pPr>
              <w:pStyle w:val="TableText"/>
              <w:jc w:val="right"/>
            </w:pPr>
            <w:r w:rsidRPr="009E06AA">
              <w:rPr>
                <w:rFonts w:eastAsia="Calibri"/>
                <w:color w:val="000000"/>
              </w:rPr>
              <w:t>19.6</w:t>
            </w:r>
          </w:p>
        </w:tc>
      </w:tr>
      <w:tr w:rsidR="00900016" w:rsidRPr="009E06AA" w14:paraId="198FAA15" w14:textId="77777777" w:rsidTr="00900016">
        <w:trPr>
          <w:trHeight w:val="283"/>
        </w:trPr>
        <w:tc>
          <w:tcPr>
            <w:tcW w:w="0" w:type="auto"/>
            <w:shd w:val="clear" w:color="auto" w:fill="FFFFFF"/>
            <w:tcMar>
              <w:top w:w="0" w:type="dxa"/>
              <w:left w:w="85" w:type="dxa"/>
              <w:bottom w:w="0" w:type="dxa"/>
              <w:right w:w="85" w:type="dxa"/>
            </w:tcMar>
          </w:tcPr>
          <w:p w14:paraId="74E7CBED" w14:textId="77777777" w:rsidR="00BF5487" w:rsidRPr="009E06AA" w:rsidRDefault="00BF5487" w:rsidP="00900016">
            <w:pPr>
              <w:pStyle w:val="TableText"/>
            </w:pPr>
            <w:r w:rsidRPr="009E06AA">
              <w:rPr>
                <w:rFonts w:eastAsia="Calibri"/>
                <w:color w:val="000000"/>
              </w:rPr>
              <w:t>NO</w:t>
            </w:r>
            <w:r w:rsidRPr="009E06AA">
              <w:rPr>
                <w:rFonts w:eastAsia="Calibri"/>
                <w:color w:val="000000"/>
                <w:vertAlign w:val="subscript"/>
              </w:rPr>
              <w:t>X</w:t>
            </w:r>
          </w:p>
        </w:tc>
        <w:tc>
          <w:tcPr>
            <w:tcW w:w="0" w:type="auto"/>
            <w:shd w:val="clear" w:color="auto" w:fill="FFFFFF"/>
            <w:tcMar>
              <w:top w:w="0" w:type="dxa"/>
              <w:left w:w="85" w:type="dxa"/>
              <w:bottom w:w="0" w:type="dxa"/>
              <w:right w:w="85" w:type="dxa"/>
            </w:tcMar>
          </w:tcPr>
          <w:p w14:paraId="7B872926" w14:textId="77777777" w:rsidR="00BF5487" w:rsidRPr="009E06AA" w:rsidRDefault="00BF5487" w:rsidP="001D41E1">
            <w:pPr>
              <w:pStyle w:val="TableText"/>
              <w:jc w:val="right"/>
            </w:pPr>
            <w:r w:rsidRPr="009E06AA">
              <w:rPr>
                <w:rFonts w:eastAsia="Calibri"/>
                <w:color w:val="000000"/>
              </w:rPr>
              <w:t>101.9</w:t>
            </w:r>
          </w:p>
        </w:tc>
        <w:tc>
          <w:tcPr>
            <w:tcW w:w="0" w:type="auto"/>
            <w:shd w:val="clear" w:color="auto" w:fill="FFFFFF"/>
            <w:tcMar>
              <w:top w:w="0" w:type="dxa"/>
              <w:left w:w="85" w:type="dxa"/>
              <w:bottom w:w="0" w:type="dxa"/>
              <w:right w:w="85" w:type="dxa"/>
            </w:tcMar>
          </w:tcPr>
          <w:p w14:paraId="0B427FEF" w14:textId="77777777" w:rsidR="00BF5487" w:rsidRPr="009E06AA" w:rsidRDefault="00BF5487" w:rsidP="001D41E1">
            <w:pPr>
              <w:pStyle w:val="TableText"/>
              <w:jc w:val="right"/>
            </w:pPr>
            <w:r w:rsidRPr="009E06AA">
              <w:rPr>
                <w:rFonts w:eastAsia="Calibri"/>
                <w:color w:val="000000"/>
              </w:rPr>
              <w:t>149.3</w:t>
            </w:r>
          </w:p>
        </w:tc>
        <w:tc>
          <w:tcPr>
            <w:tcW w:w="0" w:type="auto"/>
            <w:shd w:val="clear" w:color="auto" w:fill="FFFFFF"/>
            <w:tcMar>
              <w:top w:w="0" w:type="dxa"/>
              <w:left w:w="85" w:type="dxa"/>
              <w:bottom w:w="0" w:type="dxa"/>
              <w:right w:w="85" w:type="dxa"/>
            </w:tcMar>
          </w:tcPr>
          <w:p w14:paraId="1132A14F" w14:textId="77777777" w:rsidR="00BF5487" w:rsidRPr="009E06AA" w:rsidRDefault="00BF5487" w:rsidP="001D41E1">
            <w:pPr>
              <w:pStyle w:val="TableText"/>
              <w:jc w:val="right"/>
            </w:pPr>
            <w:r w:rsidRPr="009E06AA">
              <w:rPr>
                <w:rFonts w:eastAsia="Calibri"/>
                <w:color w:val="000000"/>
              </w:rPr>
              <w:t>47.4</w:t>
            </w:r>
          </w:p>
        </w:tc>
        <w:tc>
          <w:tcPr>
            <w:tcW w:w="0" w:type="auto"/>
            <w:shd w:val="clear" w:color="auto" w:fill="FFFFFF"/>
            <w:tcMar>
              <w:top w:w="0" w:type="dxa"/>
              <w:left w:w="85" w:type="dxa"/>
              <w:bottom w:w="0" w:type="dxa"/>
              <w:right w:w="85" w:type="dxa"/>
            </w:tcMar>
          </w:tcPr>
          <w:p w14:paraId="5E6310FD" w14:textId="77777777" w:rsidR="00BF5487" w:rsidRPr="009E06AA" w:rsidRDefault="00BF5487" w:rsidP="001D41E1">
            <w:pPr>
              <w:pStyle w:val="TableText"/>
              <w:jc w:val="right"/>
            </w:pPr>
            <w:r w:rsidRPr="009E06AA">
              <w:rPr>
                <w:rFonts w:eastAsia="Calibri"/>
                <w:color w:val="000000"/>
              </w:rPr>
              <w:t>46.5</w:t>
            </w:r>
          </w:p>
        </w:tc>
      </w:tr>
      <w:tr w:rsidR="00900016" w:rsidRPr="009E06AA" w14:paraId="5BCC2406" w14:textId="77777777" w:rsidTr="00900016">
        <w:trPr>
          <w:trHeight w:val="283"/>
        </w:trPr>
        <w:tc>
          <w:tcPr>
            <w:tcW w:w="0" w:type="auto"/>
            <w:shd w:val="clear" w:color="auto" w:fill="FFFFFF"/>
            <w:tcMar>
              <w:top w:w="0" w:type="dxa"/>
              <w:left w:w="85" w:type="dxa"/>
              <w:bottom w:w="0" w:type="dxa"/>
              <w:right w:w="85" w:type="dxa"/>
            </w:tcMar>
          </w:tcPr>
          <w:p w14:paraId="377C97E2" w14:textId="77777777" w:rsidR="00BF5487" w:rsidRPr="009E06AA" w:rsidRDefault="00BF5487" w:rsidP="00900016">
            <w:pPr>
              <w:pStyle w:val="TableText"/>
            </w:pPr>
            <w:r w:rsidRPr="009E06AA">
              <w:rPr>
                <w:rFonts w:eastAsia="Calibri"/>
                <w:color w:val="000000"/>
              </w:rPr>
              <w:t>SO</w:t>
            </w:r>
            <w:r w:rsidRPr="009E06AA">
              <w:rPr>
                <w:rFonts w:eastAsia="Calibri"/>
                <w:color w:val="000000"/>
                <w:vertAlign w:val="subscript"/>
              </w:rPr>
              <w:t>2</w:t>
            </w:r>
          </w:p>
        </w:tc>
        <w:tc>
          <w:tcPr>
            <w:tcW w:w="0" w:type="auto"/>
            <w:shd w:val="clear" w:color="auto" w:fill="FFFFFF"/>
            <w:tcMar>
              <w:top w:w="0" w:type="dxa"/>
              <w:left w:w="85" w:type="dxa"/>
              <w:bottom w:w="0" w:type="dxa"/>
              <w:right w:w="85" w:type="dxa"/>
            </w:tcMar>
          </w:tcPr>
          <w:p w14:paraId="41DB920B" w14:textId="770C0C6D" w:rsidR="00BF5487" w:rsidRPr="009E06AA" w:rsidRDefault="00BF5487" w:rsidP="001D41E1">
            <w:pPr>
              <w:pStyle w:val="TableText"/>
              <w:jc w:val="right"/>
            </w:pPr>
            <w:r w:rsidRPr="009E06AA">
              <w:rPr>
                <w:rFonts w:eastAsia="Calibri"/>
                <w:color w:val="000000"/>
              </w:rPr>
              <w:t>58.6</w:t>
            </w:r>
          </w:p>
        </w:tc>
        <w:tc>
          <w:tcPr>
            <w:tcW w:w="0" w:type="auto"/>
            <w:shd w:val="clear" w:color="auto" w:fill="FFFFFF"/>
            <w:tcMar>
              <w:top w:w="0" w:type="dxa"/>
              <w:left w:w="85" w:type="dxa"/>
              <w:bottom w:w="0" w:type="dxa"/>
              <w:right w:w="85" w:type="dxa"/>
            </w:tcMar>
          </w:tcPr>
          <w:p w14:paraId="1F7E7AC7" w14:textId="2445A67D" w:rsidR="00BF5487" w:rsidRPr="009E06AA" w:rsidRDefault="00BF5487" w:rsidP="001D41E1">
            <w:pPr>
              <w:pStyle w:val="TableText"/>
              <w:jc w:val="right"/>
            </w:pPr>
            <w:r w:rsidRPr="009E06AA">
              <w:rPr>
                <w:rFonts w:eastAsia="Calibri"/>
                <w:color w:val="000000"/>
              </w:rPr>
              <w:t>54.3</w:t>
            </w:r>
          </w:p>
        </w:tc>
        <w:tc>
          <w:tcPr>
            <w:tcW w:w="0" w:type="auto"/>
            <w:shd w:val="clear" w:color="auto" w:fill="FFFFFF"/>
            <w:tcMar>
              <w:top w:w="0" w:type="dxa"/>
              <w:left w:w="85" w:type="dxa"/>
              <w:bottom w:w="0" w:type="dxa"/>
              <w:right w:w="85" w:type="dxa"/>
            </w:tcMar>
          </w:tcPr>
          <w:p w14:paraId="5238E268" w14:textId="77777777" w:rsidR="00BF5487" w:rsidRPr="009E06AA" w:rsidRDefault="00BF5487" w:rsidP="001D41E1">
            <w:pPr>
              <w:pStyle w:val="TableText"/>
              <w:jc w:val="right"/>
            </w:pPr>
            <w:r w:rsidRPr="009E06AA">
              <w:rPr>
                <w:rFonts w:eastAsia="Calibri"/>
                <w:color w:val="000000"/>
              </w:rPr>
              <w:t>-4.3</w:t>
            </w:r>
          </w:p>
        </w:tc>
        <w:tc>
          <w:tcPr>
            <w:tcW w:w="0" w:type="auto"/>
            <w:shd w:val="clear" w:color="auto" w:fill="FFFFFF"/>
            <w:tcMar>
              <w:top w:w="0" w:type="dxa"/>
              <w:left w:w="85" w:type="dxa"/>
              <w:bottom w:w="0" w:type="dxa"/>
              <w:right w:w="85" w:type="dxa"/>
            </w:tcMar>
          </w:tcPr>
          <w:p w14:paraId="6B529FDF" w14:textId="77777777" w:rsidR="00BF5487" w:rsidRPr="009E06AA" w:rsidRDefault="00BF5487" w:rsidP="001D41E1">
            <w:pPr>
              <w:pStyle w:val="TableText"/>
              <w:jc w:val="right"/>
            </w:pPr>
            <w:r w:rsidRPr="009E06AA">
              <w:rPr>
                <w:rFonts w:eastAsia="Calibri"/>
                <w:color w:val="000000"/>
              </w:rPr>
              <w:t>-7.4</w:t>
            </w:r>
          </w:p>
        </w:tc>
      </w:tr>
    </w:tbl>
    <w:p w14:paraId="418ED751" w14:textId="77777777" w:rsidR="00BF5487" w:rsidRPr="009E06AA" w:rsidRDefault="00BF5487" w:rsidP="00BF5487">
      <w:pPr>
        <w:pStyle w:val="Noteundertable"/>
      </w:pPr>
      <w:r w:rsidRPr="009E06AA">
        <w:rPr>
          <w:b/>
          <w:bCs/>
        </w:rPr>
        <w:t>Note:</w:t>
      </w:r>
      <w:r w:rsidRPr="009E06AA">
        <w:t xml:space="preserve"> </w:t>
      </w:r>
      <w:r w:rsidRPr="009E06AA">
        <w:tab/>
        <w:t>Columns may not total due to rounding. Percentages presented are calculated from unrounded values.</w:t>
      </w:r>
    </w:p>
    <w:p w14:paraId="1FE70FCD" w14:textId="77777777" w:rsidR="00BF5487" w:rsidRPr="009E06AA" w:rsidRDefault="00BF5487" w:rsidP="00BF5487">
      <w:r w:rsidRPr="009E06AA">
        <w:br w:type="page"/>
      </w:r>
    </w:p>
    <w:p w14:paraId="7E55E8FC" w14:textId="77777777" w:rsidR="00BF5487" w:rsidRPr="009E06AA" w:rsidRDefault="00BF5487" w:rsidP="003420AA">
      <w:pPr>
        <w:pStyle w:val="Heading2"/>
        <w:spacing w:before="0" w:after="360"/>
      </w:pPr>
      <w:bookmarkStart w:id="240" w:name="_Toc161932297"/>
      <w:bookmarkStart w:id="241" w:name="_Toc161994393"/>
      <w:bookmarkStart w:id="242" w:name="_Toc164154172"/>
      <w:bookmarkStart w:id="243" w:name="chapter-2-references"/>
      <w:bookmarkEnd w:id="184"/>
      <w:bookmarkEnd w:id="229"/>
      <w:r w:rsidRPr="009E06AA">
        <w:t>Chapter 2: References</w:t>
      </w:r>
      <w:bookmarkEnd w:id="240"/>
      <w:bookmarkEnd w:id="241"/>
      <w:bookmarkEnd w:id="242"/>
    </w:p>
    <w:p w14:paraId="40D8109F" w14:textId="69382CB0" w:rsidR="00BF5487" w:rsidRPr="009E06AA" w:rsidRDefault="00BF5487" w:rsidP="00BF5487">
      <w:pPr>
        <w:pStyle w:val="References"/>
      </w:pPr>
      <w:r w:rsidRPr="009E06AA">
        <w:t xml:space="preserve">Beef + Lamb New Zealand Ltd. 2022. </w:t>
      </w:r>
      <w:r w:rsidRPr="009E06AA">
        <w:rPr>
          <w:i/>
          <w:iCs/>
        </w:rPr>
        <w:t>Mid-Season Update 2021–22</w:t>
      </w:r>
      <w:r w:rsidRPr="009E06AA">
        <w:t>. Wellington: Beef + Lamb New</w:t>
      </w:r>
      <w:r w:rsidR="002474E5" w:rsidRPr="009E06AA">
        <w:t> </w:t>
      </w:r>
      <w:r w:rsidRPr="009E06AA">
        <w:t>Zealand Ltd.</w:t>
      </w:r>
    </w:p>
    <w:p w14:paraId="3C026E04" w14:textId="3D19155D" w:rsidR="00BF5487" w:rsidRPr="009E06AA" w:rsidRDefault="00BF5487" w:rsidP="00BF5487">
      <w:pPr>
        <w:pStyle w:val="References"/>
      </w:pPr>
      <w:r w:rsidRPr="009E06AA">
        <w:t xml:space="preserve">IPCC. 2013. Stocker, TF, Qin D, Plattner G-K, Tignor M, Allen SK, Boschung J, Nauels A, Xia Y, Bex V, Midgley PM (eds). </w:t>
      </w:r>
      <w:r w:rsidRPr="009E06AA">
        <w:rPr>
          <w:i/>
          <w:iCs/>
        </w:rPr>
        <w:t>Climate Change 2013: The Physical Science Basis. Contribution of Working Group I to</w:t>
      </w:r>
      <w:r w:rsidR="002474E5" w:rsidRPr="009E06AA">
        <w:rPr>
          <w:i/>
          <w:iCs/>
        </w:rPr>
        <w:t> </w:t>
      </w:r>
      <w:r w:rsidRPr="009E06AA">
        <w:rPr>
          <w:i/>
          <w:iCs/>
        </w:rPr>
        <w:t>the Fifth Assessment Report of the Intergovernmental Panel on Climate Change</w:t>
      </w:r>
      <w:r w:rsidRPr="009E06AA">
        <w:t>.</w:t>
      </w:r>
      <w:r w:rsidR="00903728" w:rsidRPr="009E06AA">
        <w:t xml:space="preserve"> </w:t>
      </w:r>
      <w:r w:rsidRPr="009E06AA">
        <w:t xml:space="preserve">Cambridge: Cambridge University Press. </w:t>
      </w:r>
    </w:p>
    <w:p w14:paraId="44436984" w14:textId="145E7F84" w:rsidR="00BF5487" w:rsidRPr="009E06AA" w:rsidRDefault="00BF5487" w:rsidP="00BF5487">
      <w:pPr>
        <w:pStyle w:val="References"/>
      </w:pPr>
      <w:r w:rsidRPr="009E06AA">
        <w:t xml:space="preserve">LIC (Livestock Improvement Corporation Limited) and DairyNZ. 2023. </w:t>
      </w:r>
      <w:hyperlink r:id="rId47" w:tgtFrame="_blank" w:history="1">
        <w:r w:rsidRPr="009E06AA">
          <w:rPr>
            <w:rStyle w:val="Hyperlink"/>
            <w:i/>
            <w:iCs/>
          </w:rPr>
          <w:t>New Zealand Dairy Statistics</w:t>
        </w:r>
        <w:r w:rsidR="00903728" w:rsidRPr="009E06AA">
          <w:rPr>
            <w:rStyle w:val="Hyperlink"/>
            <w:i/>
            <w:iCs/>
          </w:rPr>
          <w:t xml:space="preserve"> </w:t>
        </w:r>
        <w:r w:rsidRPr="009E06AA">
          <w:rPr>
            <w:rStyle w:val="Hyperlink"/>
            <w:i/>
            <w:iCs/>
          </w:rPr>
          <w:br/>
        </w:r>
      </w:hyperlink>
      <w:hyperlink r:id="rId48" w:tgtFrame="_blank" w:history="1">
        <w:r w:rsidRPr="009E06AA">
          <w:rPr>
            <w:rStyle w:val="Hyperlink"/>
            <w:i/>
            <w:iCs/>
          </w:rPr>
          <w:t>2022–2023</w:t>
        </w:r>
      </w:hyperlink>
      <w:r w:rsidRPr="009E06AA">
        <w:t>. Hamilton: DairyNZ. Retrieved 9 December 2023.</w:t>
      </w:r>
      <w:bookmarkEnd w:id="177"/>
      <w:bookmarkEnd w:id="243"/>
    </w:p>
    <w:p w14:paraId="6933D387" w14:textId="77777777" w:rsidR="00BF5487" w:rsidRPr="009E06AA" w:rsidRDefault="00BF5487" w:rsidP="00BF5487">
      <w:pPr>
        <w:pStyle w:val="References"/>
      </w:pPr>
      <w:r w:rsidRPr="009E06AA">
        <w:t xml:space="preserve">Stats NZ. 2023. </w:t>
      </w:r>
      <w:hyperlink r:id="rId49" w:history="1">
        <w:r w:rsidRPr="009E06AA">
          <w:rPr>
            <w:rStyle w:val="Hyperlink"/>
            <w:i/>
            <w:iCs/>
          </w:rPr>
          <w:t>Agricultural production statistics: Year to June 2022 (final) – results by regional council, territorial authority, and farm type – corrected</w:t>
        </w:r>
      </w:hyperlink>
      <w:r w:rsidRPr="009E06AA">
        <w:t>. Retrieved 12 January 2024.</w:t>
      </w:r>
    </w:p>
    <w:p w14:paraId="0446D570" w14:textId="77777777" w:rsidR="00BF5487" w:rsidRPr="009E06AA" w:rsidRDefault="00BF5487" w:rsidP="00BF5487">
      <w:pPr>
        <w:pStyle w:val="References"/>
      </w:pPr>
    </w:p>
    <w:p w14:paraId="6F0D84DA" w14:textId="77777777" w:rsidR="00367178" w:rsidRPr="009E06AA" w:rsidRDefault="00367178" w:rsidP="006F5D1B">
      <w:pPr>
        <w:sectPr w:rsidR="00367178" w:rsidRPr="009E06AA" w:rsidSect="00F66BF9">
          <w:footerReference w:type="even" r:id="rId50"/>
          <w:footerReference w:type="default" r:id="rId51"/>
          <w:headerReference w:type="first" r:id="rId52"/>
          <w:footerReference w:type="first" r:id="rId53"/>
          <w:pgSz w:w="11907" w:h="16840" w:code="9"/>
          <w:pgMar w:top="1418" w:right="1701" w:bottom="1418" w:left="1701" w:header="567" w:footer="567" w:gutter="0"/>
          <w:cols w:space="720"/>
        </w:sectPr>
      </w:pPr>
    </w:p>
    <w:p w14:paraId="0A223274" w14:textId="77777777" w:rsidR="00D97D6C" w:rsidRPr="009E06AA" w:rsidRDefault="00D97D6C" w:rsidP="00D97D6C">
      <w:pPr>
        <w:pStyle w:val="Heading1"/>
        <w:rPr>
          <w:rFonts w:cs="Calibri"/>
          <w:lang w:eastAsia="en-GB"/>
        </w:rPr>
      </w:pPr>
      <w:bookmarkStart w:id="244" w:name="_Toc36224384"/>
      <w:bookmarkStart w:id="245" w:name="_Toc68786304"/>
      <w:bookmarkStart w:id="246" w:name="_Toc164154173"/>
      <w:r w:rsidRPr="009E06AA">
        <w:rPr>
          <w:rFonts w:cs="Calibri"/>
          <w:lang w:eastAsia="en-GB"/>
        </w:rPr>
        <w:t>Chapter 3: Energy</w:t>
      </w:r>
      <w:bookmarkEnd w:id="244"/>
      <w:bookmarkEnd w:id="245"/>
      <w:bookmarkEnd w:id="246"/>
    </w:p>
    <w:p w14:paraId="5CF6326D" w14:textId="77777777" w:rsidR="00D97D6C" w:rsidRPr="009E06AA" w:rsidRDefault="00D97D6C" w:rsidP="00D97D6C">
      <w:pPr>
        <w:pStyle w:val="Heading2"/>
        <w:spacing w:before="240"/>
        <w:rPr>
          <w:rFonts w:cs="Calibri"/>
        </w:rPr>
      </w:pPr>
      <w:bookmarkStart w:id="247" w:name="_Toc321398808"/>
      <w:bookmarkStart w:id="248" w:name="_Toc384581634"/>
      <w:bookmarkStart w:id="249" w:name="_Toc448321506"/>
      <w:bookmarkStart w:id="250" w:name="_Toc481751368"/>
      <w:bookmarkStart w:id="251" w:name="_Toc36224385"/>
      <w:bookmarkStart w:id="252" w:name="_Toc68786305"/>
      <w:bookmarkStart w:id="253" w:name="_Toc164154174"/>
      <w:r w:rsidRPr="009E06AA">
        <w:rPr>
          <w:rFonts w:cs="Calibri"/>
        </w:rPr>
        <w:t>3.1</w:t>
      </w:r>
      <w:r w:rsidRPr="009E06AA">
        <w:rPr>
          <w:rFonts w:cs="Calibri"/>
        </w:rPr>
        <w:tab/>
        <w:t>Sector overview</w:t>
      </w:r>
      <w:bookmarkEnd w:id="247"/>
      <w:bookmarkEnd w:id="248"/>
      <w:bookmarkEnd w:id="249"/>
      <w:bookmarkEnd w:id="250"/>
      <w:bookmarkEnd w:id="251"/>
      <w:bookmarkEnd w:id="252"/>
      <w:bookmarkEnd w:id="253"/>
    </w:p>
    <w:p w14:paraId="6BF978D4" w14:textId="77777777" w:rsidR="00D97D6C" w:rsidRPr="009E06AA" w:rsidRDefault="00D97D6C" w:rsidP="00D97D6C">
      <w:pPr>
        <w:pStyle w:val="Heading3"/>
        <w:spacing w:before="240"/>
        <w:rPr>
          <w:rFonts w:cs="Calibri"/>
        </w:rPr>
      </w:pPr>
      <w:r w:rsidRPr="009E06AA">
        <w:rPr>
          <w:rFonts w:cs="Calibri"/>
        </w:rPr>
        <w:t>3.1.1</w:t>
      </w:r>
      <w:r w:rsidRPr="009E06AA">
        <w:rPr>
          <w:rFonts w:cs="Calibri"/>
        </w:rPr>
        <w:tab/>
        <w:t>Introduction</w:t>
      </w:r>
    </w:p>
    <w:p w14:paraId="5C9D592C" w14:textId="77777777" w:rsidR="00D97D6C" w:rsidRPr="009E06AA" w:rsidRDefault="00D97D6C" w:rsidP="00D97D6C">
      <w:pPr>
        <w:pStyle w:val="BodyText"/>
      </w:pPr>
      <w:r w:rsidRPr="009E06AA">
        <w:t xml:space="preserve">In New Zealand, the Energy sector covers: </w:t>
      </w:r>
    </w:p>
    <w:p w14:paraId="1B72C614" w14:textId="77777777" w:rsidR="00D97D6C" w:rsidRPr="009E06AA" w:rsidRDefault="00D97D6C" w:rsidP="0017657D">
      <w:pPr>
        <w:pStyle w:val="Bullet"/>
      </w:pPr>
      <w:r w:rsidRPr="009E06AA">
        <w:rPr>
          <w:b/>
          <w:bCs/>
        </w:rPr>
        <w:t>combustion emissions</w:t>
      </w:r>
      <w:r w:rsidRPr="009E06AA">
        <w:t xml:space="preserve">, that is, emissions resulting from fuel being burned to produce useful energy </w:t>
      </w:r>
    </w:p>
    <w:p w14:paraId="1D259F9F" w14:textId="77777777" w:rsidR="00D97D6C" w:rsidRPr="009E06AA" w:rsidRDefault="00D97D6C" w:rsidP="00D97D6C">
      <w:pPr>
        <w:pStyle w:val="Bullet"/>
        <w:rPr>
          <w:rFonts w:cs="Calibri"/>
        </w:rPr>
      </w:pPr>
      <w:r w:rsidRPr="009E06AA">
        <w:rPr>
          <w:b/>
          <w:bCs/>
        </w:rPr>
        <w:t>fugitive emissions</w:t>
      </w:r>
      <w:r w:rsidRPr="009E06AA">
        <w:rPr>
          <w:rFonts w:cs="Calibri"/>
        </w:rPr>
        <w:t>, for example: </w:t>
      </w:r>
    </w:p>
    <w:p w14:paraId="47694CA3" w14:textId="77777777" w:rsidR="00D97D6C" w:rsidRPr="009E06AA" w:rsidRDefault="00D97D6C" w:rsidP="00D97D6C">
      <w:pPr>
        <w:pStyle w:val="Sub-bullet"/>
      </w:pPr>
      <w:r w:rsidRPr="009E06AA">
        <w:t xml:space="preserve">emissions from the production, transmission and storage of fuels </w:t>
      </w:r>
    </w:p>
    <w:p w14:paraId="2DADD3B2" w14:textId="77777777" w:rsidR="00D97D6C" w:rsidRPr="009E06AA" w:rsidRDefault="00D97D6C" w:rsidP="00D97D6C">
      <w:pPr>
        <w:pStyle w:val="Sub-bullet"/>
        <w:rPr>
          <w:rFonts w:cs="Calibri"/>
        </w:rPr>
      </w:pPr>
      <w:r w:rsidRPr="009E06AA">
        <w:rPr>
          <w:rFonts w:cs="Calibri"/>
        </w:rPr>
        <w:t xml:space="preserve">emissions from non-productive combustion </w:t>
      </w:r>
    </w:p>
    <w:p w14:paraId="009F1C46" w14:textId="77777777" w:rsidR="00D97D6C" w:rsidRPr="009E06AA" w:rsidRDefault="00D97D6C" w:rsidP="00D97D6C">
      <w:pPr>
        <w:pStyle w:val="Sub-bullet"/>
        <w:rPr>
          <w:rFonts w:cs="Calibri"/>
        </w:rPr>
      </w:pPr>
      <w:r w:rsidRPr="009E06AA">
        <w:rPr>
          <w:rFonts w:cs="Calibri"/>
        </w:rPr>
        <w:t>venting of carbon dioxide (CO</w:t>
      </w:r>
      <w:r w:rsidRPr="009E06AA">
        <w:rPr>
          <w:vertAlign w:val="subscript"/>
        </w:rPr>
        <w:t>2</w:t>
      </w:r>
      <w:r w:rsidRPr="009E06AA">
        <w:rPr>
          <w:rFonts w:cs="Calibri"/>
        </w:rPr>
        <w:t>) at natural gas treatment plants</w:t>
      </w:r>
    </w:p>
    <w:p w14:paraId="730C5D47" w14:textId="77777777" w:rsidR="00D97D6C" w:rsidRPr="009E06AA" w:rsidRDefault="00D97D6C" w:rsidP="00D97D6C">
      <w:pPr>
        <w:pStyle w:val="Sub-bullet"/>
        <w:rPr>
          <w:rFonts w:cs="Calibri"/>
        </w:rPr>
      </w:pPr>
      <w:r w:rsidRPr="009E06AA">
        <w:rPr>
          <w:rFonts w:cs="Calibri"/>
        </w:rPr>
        <w:t xml:space="preserve">emissions from geothermal fields. </w:t>
      </w:r>
    </w:p>
    <w:p w14:paraId="3C63614F" w14:textId="77777777" w:rsidR="00D97D6C" w:rsidRPr="009E06AA" w:rsidRDefault="00D97D6C" w:rsidP="00D97D6C">
      <w:pPr>
        <w:pStyle w:val="BodyText"/>
        <w:rPr>
          <w:rFonts w:cs="Calibri"/>
        </w:rPr>
      </w:pPr>
      <w:r w:rsidRPr="009E06AA">
        <w:rPr>
          <w:rFonts w:cs="Calibri"/>
        </w:rPr>
        <w:t xml:space="preserve">Historically, combustion emissions from </w:t>
      </w:r>
      <w:r w:rsidRPr="009E06AA">
        <w:rPr>
          <w:i/>
        </w:rPr>
        <w:t>Road transportation</w:t>
      </w:r>
      <w:r w:rsidRPr="009E06AA">
        <w:rPr>
          <w:iCs/>
        </w:rPr>
        <w:t xml:space="preserve"> and</w:t>
      </w:r>
      <w:r w:rsidRPr="009E06AA">
        <w:rPr>
          <w:rFonts w:cs="Calibri"/>
        </w:rPr>
        <w:t xml:space="preserve"> </w:t>
      </w:r>
      <w:r w:rsidRPr="009E06AA">
        <w:rPr>
          <w:i/>
        </w:rPr>
        <w:t>Public electricity and heat production</w:t>
      </w:r>
      <w:r w:rsidRPr="009E06AA">
        <w:rPr>
          <w:rFonts w:cs="Calibri"/>
        </w:rPr>
        <w:t xml:space="preserve"> have constituted the largest share of domestic emissions from the Energy sector in New Zealand.</w:t>
      </w:r>
    </w:p>
    <w:p w14:paraId="4B98E419" w14:textId="77777777" w:rsidR="00D97D6C" w:rsidRPr="009E06AA" w:rsidRDefault="00D97D6C" w:rsidP="00D97D6C">
      <w:pPr>
        <w:pStyle w:val="BodyText"/>
        <w:rPr>
          <w:rFonts w:cs="Calibri"/>
        </w:rPr>
      </w:pPr>
      <w:r w:rsidRPr="009E06AA">
        <w:rPr>
          <w:rFonts w:cs="Calibri"/>
        </w:rPr>
        <w:t>New Zealand has one of the highest rates of car ownership among members of the Organisation for Economic Co-operation and Development and a relatively old vehicle fleet (average age of light passenger fleet was around 15 years in 2022). Most freight is transported by trucks, with smaller quantities transported by rail and coastal shipping. Due to its sparse population and rural-based economy, New Zealand’s domestic transport emissions per capita are high compared with many other Annex I countries.</w:t>
      </w:r>
    </w:p>
    <w:p w14:paraId="4373691A" w14:textId="77777777" w:rsidR="00D97D6C" w:rsidRPr="009E06AA" w:rsidRDefault="00D97D6C" w:rsidP="00D97D6C">
      <w:pPr>
        <w:pStyle w:val="BodyText"/>
        <w:rPr>
          <w:rFonts w:cs="Calibri"/>
        </w:rPr>
      </w:pPr>
      <w:r w:rsidRPr="009E06AA">
        <w:rPr>
          <w:rFonts w:cs="Calibri"/>
        </w:rPr>
        <w:t xml:space="preserve">New Zealand’s electricity generation system relies heavily on renewable energy sources but is supported by the combustion of coal, oil and gas. In 2022, fossil fuel thermal plants provided 12.8 per cent of New Zealand’s total electricity supply, which is very low by international standards. New Zealand’s renewable energy sources comprise mostly hydroelectric power generation (meeting 59.8 per cent of total demand), complemented by other renewable power sources such as geothermal (18.5 per cent) and wind (6.5 per cent). While this provides a strong power generation base in years with good hydro inflows, electricity emissions remain sensitive to rainfall in key catchment areas. New Zealand has low levels of hydro lake storage compared with other countries whose supply depends heavily on hydroelectric power. </w:t>
      </w:r>
    </w:p>
    <w:p w14:paraId="3D93D201" w14:textId="77777777" w:rsidR="00D97D6C" w:rsidRPr="009E06AA" w:rsidRDefault="00D97D6C" w:rsidP="00D97D6C">
      <w:pPr>
        <w:pStyle w:val="BodyText"/>
        <w:rPr>
          <w:rFonts w:cs="Calibri"/>
        </w:rPr>
      </w:pPr>
      <w:r w:rsidRPr="009E06AA">
        <w:rPr>
          <w:rFonts w:cs="Calibri"/>
        </w:rPr>
        <w:t>Fugitive emissions make up a relatively small portion of New Zealand’s energy emissions profile. The main sources of fugitive emissions in New Zealand are coal mining operations, production and processing of natural gas (largely venting and flaring), and geothermal operations (largely electricity generation).</w:t>
      </w:r>
    </w:p>
    <w:p w14:paraId="6AEC35BF" w14:textId="77777777" w:rsidR="00D97D6C" w:rsidRPr="009E06AA" w:rsidRDefault="00D97D6C" w:rsidP="00D97D6C">
      <w:pPr>
        <w:pStyle w:val="BodyText"/>
        <w:rPr>
          <w:sz w:val="19"/>
          <w:szCs w:val="19"/>
        </w:rPr>
      </w:pPr>
      <w:r w:rsidRPr="009E06AA">
        <w:rPr>
          <w:rFonts w:cs="Calibri"/>
        </w:rPr>
        <w:t>New Zealand reports emissions from Tokelau, which is a dependent territory of New Zealand. Emissions from Tokelau are calculated using significantly different methods, and integrating these with New Zealand’s emissions would be prohibitively complex. Thus, emissions from Tokelau for all activities are reported in chapter 8 and annex 7 of the National Inventory Document, and within the ‘Other’ sector in the common reporting tables (CRTs). All emissions reported under the Energy sector are from New Zealand only and exclude Tokelau. Please refer to chapter 8 of the National Inventory Document for details of methods applied and the emissions for Tokelau.</w:t>
      </w:r>
    </w:p>
    <w:p w14:paraId="02D6C1DF" w14:textId="77777777" w:rsidR="00D97D6C" w:rsidRPr="009E06AA" w:rsidRDefault="00D97D6C" w:rsidP="00D97D6C">
      <w:pPr>
        <w:pStyle w:val="Heading4"/>
      </w:pPr>
      <w:r w:rsidRPr="009E06AA">
        <w:t>2022</w:t>
      </w:r>
    </w:p>
    <w:p w14:paraId="03D847A1" w14:textId="262B2F76" w:rsidR="00D97D6C" w:rsidRPr="009E06AA" w:rsidRDefault="00D97D6C" w:rsidP="00D97D6C">
      <w:pPr>
        <w:pStyle w:val="BodyText"/>
        <w:rPr>
          <w:rFonts w:cs="Calibri"/>
        </w:rPr>
      </w:pPr>
      <w:r w:rsidRPr="009E06AA">
        <w:rPr>
          <w:rFonts w:cs="Calibri"/>
        </w:rPr>
        <w:t>In </w:t>
      </w:r>
      <w:r w:rsidRPr="009E06AA">
        <w:rPr>
          <w:rStyle w:val="Strong"/>
          <w:rFonts w:cs="Calibri"/>
          <w:b w:val="0"/>
          <w:bCs w:val="0"/>
        </w:rPr>
        <w:t>2022</w:t>
      </w:r>
      <w:r w:rsidRPr="009E06AA">
        <w:rPr>
          <w:rFonts w:cs="Calibri"/>
        </w:rPr>
        <w:t>, emissions from the Energy sector contributed 28,716.1 kilotonnes carbon dioxide equivalent (kt CO</w:t>
      </w:r>
      <w:r w:rsidRPr="009E06AA">
        <w:rPr>
          <w:vertAlign w:val="subscript"/>
        </w:rPr>
        <w:t>2</w:t>
      </w:r>
      <w:r w:rsidRPr="009E06AA">
        <w:rPr>
          <w:rFonts w:cs="Calibri"/>
        </w:rPr>
        <w:t>-e), or </w:t>
      </w:r>
      <w:r w:rsidRPr="009E06AA">
        <w:rPr>
          <w:rStyle w:val="Strong"/>
          <w:rFonts w:cs="Calibri"/>
          <w:b w:val="0"/>
          <w:bCs w:val="0"/>
        </w:rPr>
        <w:t>36.6</w:t>
      </w:r>
      <w:r w:rsidRPr="009E06AA">
        <w:rPr>
          <w:rFonts w:cs="Calibri"/>
        </w:rPr>
        <w:t> per cent of New Zealand’s gross greenhouse gas emissions (see chapter 2, figure 2.2.1).</w:t>
      </w:r>
    </w:p>
    <w:p w14:paraId="1B40A723" w14:textId="77777777" w:rsidR="00D97D6C" w:rsidRPr="009E06AA" w:rsidRDefault="00D97D6C" w:rsidP="00D97D6C">
      <w:pPr>
        <w:pStyle w:val="BodyText"/>
        <w:rPr>
          <w:rFonts w:cs="Calibri"/>
        </w:rPr>
      </w:pPr>
      <w:r w:rsidRPr="009E06AA">
        <w:rPr>
          <w:rFonts w:cs="Calibri"/>
        </w:rPr>
        <w:t>The largest sources of emissions in the Energy sector were the </w:t>
      </w:r>
      <w:r w:rsidRPr="009E06AA">
        <w:rPr>
          <w:rStyle w:val="Emphasis"/>
          <w:rFonts w:cs="Calibri"/>
        </w:rPr>
        <w:t>Road transportation</w:t>
      </w:r>
      <w:r w:rsidRPr="009E06AA">
        <w:rPr>
          <w:rFonts w:cs="Calibri"/>
        </w:rPr>
        <w:t xml:space="preserve"> category, contributing 12,441.5 kt CO</w:t>
      </w:r>
      <w:r w:rsidRPr="009E06AA">
        <w:rPr>
          <w:vertAlign w:val="subscript"/>
        </w:rPr>
        <w:t>2</w:t>
      </w:r>
      <w:r w:rsidRPr="009E06AA">
        <w:rPr>
          <w:rFonts w:cs="Calibri"/>
        </w:rPr>
        <w:t>-e (43.3 per cent), and the </w:t>
      </w:r>
      <w:r w:rsidRPr="009E06AA">
        <w:rPr>
          <w:rStyle w:val="Emphasis"/>
          <w:rFonts w:cs="Calibri"/>
        </w:rPr>
        <w:t xml:space="preserve">Manufacturing industries and construction </w:t>
      </w:r>
      <w:r w:rsidRPr="009E06AA">
        <w:rPr>
          <w:rFonts w:cs="Calibri"/>
        </w:rPr>
        <w:t>category, contributing 6,098.9 kt CO</w:t>
      </w:r>
      <w:r w:rsidRPr="009E06AA">
        <w:rPr>
          <w:vertAlign w:val="subscript"/>
        </w:rPr>
        <w:t>2</w:t>
      </w:r>
      <w:r w:rsidRPr="009E06AA">
        <w:rPr>
          <w:rFonts w:cs="Calibri"/>
        </w:rPr>
        <w:t>-e (21.2 per cent) to energy emissions.</w:t>
      </w:r>
    </w:p>
    <w:p w14:paraId="1A58A44D" w14:textId="77777777" w:rsidR="00D97D6C" w:rsidRPr="009E06AA" w:rsidRDefault="00D97D6C" w:rsidP="00D97D6C">
      <w:pPr>
        <w:pStyle w:val="Heading4"/>
      </w:pPr>
      <w:r w:rsidRPr="009E06AA">
        <w:t>1990–2022</w:t>
      </w:r>
    </w:p>
    <w:p w14:paraId="55A3EA36" w14:textId="77777777" w:rsidR="00D97D6C" w:rsidRPr="009E06AA" w:rsidRDefault="00D97D6C" w:rsidP="00D97D6C">
      <w:pPr>
        <w:pStyle w:val="BodyText"/>
        <w:rPr>
          <w:rFonts w:cs="Calibri"/>
        </w:rPr>
      </w:pPr>
      <w:r w:rsidRPr="009E06AA">
        <w:rPr>
          <w:rFonts w:cs="Calibri"/>
        </w:rPr>
        <w:t>In 2022, emissions from the Energy sector had increased by 19.7 per cent (4,717.8 kt CO</w:t>
      </w:r>
      <w:r w:rsidRPr="009E06AA">
        <w:rPr>
          <w:vertAlign w:val="subscript"/>
        </w:rPr>
        <w:t>2</w:t>
      </w:r>
      <w:r w:rsidRPr="009E06AA">
        <w:rPr>
          <w:rFonts w:cs="Calibri"/>
        </w:rPr>
        <w:t>-e), from the 1990 level of 23,998.3 kt CO</w:t>
      </w:r>
      <w:r w:rsidRPr="009E06AA">
        <w:rPr>
          <w:vertAlign w:val="subscript"/>
        </w:rPr>
        <w:t>2</w:t>
      </w:r>
      <w:r w:rsidRPr="009E06AA">
        <w:rPr>
          <w:rFonts w:cs="Calibri"/>
        </w:rPr>
        <w:t xml:space="preserve">-e. This growth is primarily due to </w:t>
      </w:r>
      <w:r w:rsidRPr="009E06AA">
        <w:rPr>
          <w:i/>
          <w:iCs/>
        </w:rPr>
        <w:t>Road transportation</w:t>
      </w:r>
      <w:r w:rsidRPr="009E06AA">
        <w:rPr>
          <w:rFonts w:cs="Calibri"/>
        </w:rPr>
        <w:t>, which increased by 5,613.9 kt CO</w:t>
      </w:r>
      <w:r w:rsidRPr="009E06AA">
        <w:rPr>
          <w:vertAlign w:val="subscript"/>
        </w:rPr>
        <w:t>2</w:t>
      </w:r>
      <w:r w:rsidRPr="009E06AA">
        <w:rPr>
          <w:rFonts w:cs="Calibri"/>
        </w:rPr>
        <w:t xml:space="preserve">-e (82.2 per cent), </w:t>
      </w:r>
      <w:r w:rsidRPr="009E06AA">
        <w:rPr>
          <w:i/>
          <w:iCs/>
        </w:rPr>
        <w:t>Food processing, beverages and tobacco</w:t>
      </w:r>
      <w:r w:rsidRPr="009E06AA">
        <w:rPr>
          <w:rFonts w:cs="Calibri"/>
        </w:rPr>
        <w:t>, which increased by 1,013.2 kt CO</w:t>
      </w:r>
      <w:r w:rsidRPr="009E06AA">
        <w:rPr>
          <w:vertAlign w:val="subscript"/>
        </w:rPr>
        <w:t>2</w:t>
      </w:r>
      <w:r w:rsidRPr="009E06AA">
        <w:rPr>
          <w:rFonts w:cs="Calibri"/>
        </w:rPr>
        <w:t xml:space="preserve">-e (60.6 per cent), and </w:t>
      </w:r>
      <w:r w:rsidRPr="009E06AA">
        <w:rPr>
          <w:i/>
          <w:iCs/>
        </w:rPr>
        <w:t>Chemicals</w:t>
      </w:r>
      <w:r w:rsidRPr="009E06AA">
        <w:t>,</w:t>
      </w:r>
      <w:r w:rsidRPr="009E06AA">
        <w:rPr>
          <w:rFonts w:cs="Calibri"/>
        </w:rPr>
        <w:t xml:space="preserve"> which increased by 728.7 kt CO</w:t>
      </w:r>
      <w:r w:rsidRPr="009E06AA">
        <w:rPr>
          <w:vertAlign w:val="subscript"/>
        </w:rPr>
        <w:t>2</w:t>
      </w:r>
      <w:r w:rsidRPr="009E06AA">
        <w:rPr>
          <w:rFonts w:cs="Calibri"/>
        </w:rPr>
        <w:t>-e (135.9 per cent). The underlying drivers of these increases are often nuanced but key factors include population growth and increased economic activity.</w:t>
      </w:r>
    </w:p>
    <w:p w14:paraId="0C5CFFB6" w14:textId="77777777" w:rsidR="00D97D6C" w:rsidRPr="009E06AA" w:rsidRDefault="00D97D6C" w:rsidP="00D97D6C">
      <w:pPr>
        <w:pStyle w:val="BodyText"/>
        <w:rPr>
          <w:rFonts w:cs="Calibri"/>
        </w:rPr>
      </w:pPr>
      <w:r w:rsidRPr="009E06AA">
        <w:rPr>
          <w:rFonts w:cs="Calibri"/>
        </w:rPr>
        <w:t xml:space="preserve">The category showing the largest decrease since 1990 is </w:t>
      </w:r>
      <w:r w:rsidRPr="009E06AA">
        <w:rPr>
          <w:i/>
          <w:iCs/>
        </w:rPr>
        <w:t xml:space="preserve">Manufacture of solid fuels and other energy industries </w:t>
      </w:r>
      <w:r w:rsidRPr="009E06AA">
        <w:rPr>
          <w:rFonts w:cs="Calibri"/>
        </w:rPr>
        <w:t>– a historically significant contributor to New Zealand’s emissions. Emissions for this category in 2022 had decreased from the 1990 level by 1,472.9 CO</w:t>
      </w:r>
      <w:r w:rsidRPr="009E06AA">
        <w:rPr>
          <w:vertAlign w:val="subscript"/>
        </w:rPr>
        <w:t>2</w:t>
      </w:r>
      <w:r w:rsidRPr="009E06AA">
        <w:rPr>
          <w:rFonts w:cs="Calibri"/>
        </w:rPr>
        <w:t>-e (85.8 per cent). This decrease is primarily due to the cessation of synthetic gasoline production in 1997.</w:t>
      </w:r>
    </w:p>
    <w:p w14:paraId="66CA9C11" w14:textId="77777777" w:rsidR="00D97D6C" w:rsidRPr="009E06AA" w:rsidRDefault="00D97D6C" w:rsidP="00D97D6C">
      <w:pPr>
        <w:pStyle w:val="BodyText"/>
        <w:rPr>
          <w:rFonts w:cs="Calibri"/>
        </w:rPr>
      </w:pPr>
      <w:r w:rsidRPr="009E06AA">
        <w:rPr>
          <w:rFonts w:cs="Calibri"/>
        </w:rPr>
        <w:t xml:space="preserve">Figure 3.1.1 shows the Energy sector emissions time series from 1990 to 2022. Emissions increased from 1990 to around 2006, before decreasing slightly and then remaining steady until </w:t>
      </w:r>
      <w:r w:rsidRPr="009E06AA" w:rsidDel="00B47EA4">
        <w:rPr>
          <w:rFonts w:cs="Calibri"/>
        </w:rPr>
        <w:t>2019</w:t>
      </w:r>
      <w:r w:rsidRPr="009E06AA">
        <w:rPr>
          <w:rFonts w:cs="Calibri"/>
        </w:rPr>
        <w:t>. Since 2019 there has been a decrease in emissions due to the impact of the COVID</w:t>
      </w:r>
      <w:r w:rsidRPr="009E06AA">
        <w:rPr>
          <w:rFonts w:cs="Calibri"/>
        </w:rPr>
        <w:noBreakHyphen/>
        <w:t>19 pandemic and due to high levels of hydro power generation in 2022.</w:t>
      </w:r>
    </w:p>
    <w:p w14:paraId="05D225CD" w14:textId="34CD90DC" w:rsidR="00D97D6C" w:rsidRPr="009E06AA" w:rsidRDefault="00D97D6C" w:rsidP="00D97D6C">
      <w:pPr>
        <w:pStyle w:val="Figure"/>
        <w:rPr>
          <w:rFonts w:cs="Calibri"/>
        </w:rPr>
      </w:pPr>
      <w:bookmarkStart w:id="254" w:name="_Toc443060810"/>
      <w:bookmarkStart w:id="255" w:name="_Toc447275667"/>
      <w:bookmarkStart w:id="256" w:name="_Toc481751984"/>
      <w:bookmarkStart w:id="257" w:name="_Toc36292768"/>
      <w:bookmarkStart w:id="258" w:name="_Toc68786633"/>
      <w:bookmarkStart w:id="259" w:name="_Toc95834068"/>
      <w:bookmarkStart w:id="260" w:name="_Toc164154004"/>
      <w:r w:rsidRPr="009E06AA">
        <w:rPr>
          <w:rFonts w:cs="Calibri"/>
        </w:rPr>
        <w:t>Figure 3.1.</w:t>
      </w:r>
      <w:r w:rsidRPr="009E06AA">
        <w:rPr>
          <w:rFonts w:cs="Calibri"/>
        </w:rPr>
        <w:fldChar w:fldCharType="begin"/>
      </w:r>
      <w:r w:rsidRPr="009E06AA">
        <w:rPr>
          <w:rFonts w:cs="Calibri"/>
        </w:rPr>
        <w:instrText xml:space="preserve"> SEQ Figure \* ARABIC \s 2 </w:instrText>
      </w:r>
      <w:r w:rsidRPr="009E06AA">
        <w:rPr>
          <w:rFonts w:cs="Calibri"/>
        </w:rPr>
        <w:fldChar w:fldCharType="separate"/>
      </w:r>
      <w:r w:rsidR="009E4901">
        <w:rPr>
          <w:rFonts w:cs="Calibri"/>
          <w:noProof/>
        </w:rPr>
        <w:t>1</w:t>
      </w:r>
      <w:r w:rsidRPr="009E06AA">
        <w:rPr>
          <w:rFonts w:cs="Calibri"/>
        </w:rPr>
        <w:fldChar w:fldCharType="end"/>
      </w:r>
      <w:r w:rsidRPr="009E06AA">
        <w:rPr>
          <w:rFonts w:cs="Calibri"/>
        </w:rPr>
        <w:tab/>
        <w:t>New Zealand’s Energy sector emissions</w:t>
      </w:r>
      <w:bookmarkEnd w:id="254"/>
      <w:bookmarkEnd w:id="255"/>
      <w:bookmarkEnd w:id="256"/>
      <w:r w:rsidR="00636ED3" w:rsidRPr="009E06AA">
        <w:rPr>
          <w:rFonts w:cs="Calibri"/>
        </w:rPr>
        <w:t>,</w:t>
      </w:r>
      <w:r w:rsidRPr="009E06AA">
        <w:rPr>
          <w:rFonts w:cs="Calibri"/>
        </w:rPr>
        <w:t xml:space="preserve"> from 1990 to </w:t>
      </w:r>
      <w:bookmarkEnd w:id="257"/>
      <w:bookmarkEnd w:id="258"/>
      <w:bookmarkEnd w:id="259"/>
      <w:r w:rsidRPr="009E06AA">
        <w:rPr>
          <w:rFonts w:cs="Calibri"/>
        </w:rPr>
        <w:t>2022</w:t>
      </w:r>
      <w:bookmarkEnd w:id="260"/>
    </w:p>
    <w:p w14:paraId="6A00D2FB" w14:textId="77777777" w:rsidR="00D97D6C" w:rsidRPr="009E06AA" w:rsidRDefault="00D97D6C" w:rsidP="00D97D6C">
      <w:pPr>
        <w:pStyle w:val="BodyText"/>
        <w:rPr>
          <w:rFonts w:cs="Calibri"/>
        </w:rPr>
      </w:pPr>
      <w:r w:rsidRPr="009E06AA">
        <w:rPr>
          <w:noProof/>
        </w:rPr>
        <w:drawing>
          <wp:inline distT="0" distB="0" distL="0" distR="0" wp14:anchorId="43B5CE85" wp14:editId="53BA9A4F">
            <wp:extent cx="5398768" cy="2618740"/>
            <wp:effectExtent l="0" t="0" r="0" b="0"/>
            <wp:docPr id="1667442459" name="Picture 16674424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7442459" name="Picture 1667442459"/>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5398768" cy="2618740"/>
                    </a:xfrm>
                    <a:prstGeom prst="rect">
                      <a:avLst/>
                    </a:prstGeom>
                  </pic:spPr>
                </pic:pic>
              </a:graphicData>
            </a:graphic>
          </wp:inline>
        </w:drawing>
      </w:r>
    </w:p>
    <w:p w14:paraId="3CAAD926" w14:textId="77777777" w:rsidR="00D97D6C" w:rsidRPr="009E06AA" w:rsidRDefault="00D97D6C" w:rsidP="00D97D6C">
      <w:pPr>
        <w:pStyle w:val="Heading4"/>
      </w:pPr>
      <w:r w:rsidRPr="009E06AA">
        <w:t>2021–2022</w:t>
      </w:r>
    </w:p>
    <w:p w14:paraId="01596B36" w14:textId="77777777" w:rsidR="00D97D6C" w:rsidRPr="009E06AA" w:rsidRDefault="00D97D6C" w:rsidP="00D97D6C">
      <w:pPr>
        <w:pStyle w:val="BodyText"/>
        <w:rPr>
          <w:rFonts w:cs="Calibri"/>
        </w:rPr>
      </w:pPr>
      <w:r w:rsidRPr="009E06AA">
        <w:rPr>
          <w:rFonts w:cs="Calibri"/>
        </w:rPr>
        <w:t>Between 2021 and 2022, emissions from the Energy sector decreased by 2,515.6 kt CO</w:t>
      </w:r>
      <w:r w:rsidRPr="009E06AA">
        <w:rPr>
          <w:vertAlign w:val="subscript"/>
        </w:rPr>
        <w:t>2</w:t>
      </w:r>
      <w:r w:rsidRPr="009E06AA">
        <w:rPr>
          <w:rFonts w:cs="Calibri"/>
        </w:rPr>
        <w:t>-e (</w:t>
      </w:r>
      <w:r w:rsidRPr="009E06AA">
        <w:rPr>
          <w:rFonts w:cs="Calibri"/>
        </w:rPr>
        <w:noBreakHyphen/>
        <w:t xml:space="preserve">8.1 per cent). This is primarily due to combined decreases in </w:t>
      </w:r>
      <w:r w:rsidRPr="009E06AA">
        <w:rPr>
          <w:i/>
          <w:iCs/>
        </w:rPr>
        <w:t>Public electricity and heat production</w:t>
      </w:r>
      <w:r w:rsidRPr="009E06AA">
        <w:rPr>
          <w:rFonts w:cs="Calibri"/>
        </w:rPr>
        <w:t xml:space="preserve"> (down 1,710.8 kt CO</w:t>
      </w:r>
      <w:r w:rsidRPr="009E06AA">
        <w:rPr>
          <w:vertAlign w:val="subscript"/>
        </w:rPr>
        <w:t>2</w:t>
      </w:r>
      <w:r w:rsidRPr="009E06AA">
        <w:rPr>
          <w:rFonts w:cs="Calibri"/>
        </w:rPr>
        <w:t>-e or 38.7 per cent)</w:t>
      </w:r>
      <w:r w:rsidRPr="009E06AA">
        <w:rPr>
          <w:rFonts w:cs="Calibri"/>
          <w:color w:val="000000"/>
        </w:rPr>
        <w:t xml:space="preserve">, </w:t>
      </w:r>
      <w:r w:rsidRPr="009E06AA">
        <w:rPr>
          <w:rFonts w:cs="Calibri"/>
          <w:i/>
          <w:color w:val="000000"/>
        </w:rPr>
        <w:t xml:space="preserve">Petroleum refining </w:t>
      </w:r>
      <w:r w:rsidRPr="009E06AA">
        <w:rPr>
          <w:rFonts w:cs="Calibri"/>
          <w:color w:val="000000"/>
        </w:rPr>
        <w:t xml:space="preserve">(down 554.2 kt </w:t>
      </w:r>
      <w:r w:rsidRPr="009E06AA">
        <w:rPr>
          <w:rFonts w:cs="Calibri"/>
        </w:rPr>
        <w:t>CO</w:t>
      </w:r>
      <w:r w:rsidRPr="009E06AA">
        <w:rPr>
          <w:vertAlign w:val="subscript"/>
        </w:rPr>
        <w:t>2</w:t>
      </w:r>
      <w:r w:rsidRPr="009E06AA">
        <w:rPr>
          <w:rFonts w:cs="Calibri"/>
        </w:rPr>
        <w:t xml:space="preserve">-e or 75.9 per cent) and </w:t>
      </w:r>
      <w:r w:rsidRPr="009E06AA">
        <w:rPr>
          <w:i/>
          <w:iCs/>
        </w:rPr>
        <w:t xml:space="preserve">Road transportation </w:t>
      </w:r>
      <w:r w:rsidRPr="009E06AA">
        <w:rPr>
          <w:rFonts w:cs="Calibri"/>
        </w:rPr>
        <w:t>(down 206.0 kt CO</w:t>
      </w:r>
      <w:r w:rsidRPr="009E06AA">
        <w:rPr>
          <w:rFonts w:cs="Calibri"/>
          <w:vertAlign w:val="subscript"/>
        </w:rPr>
        <w:t>2</w:t>
      </w:r>
      <w:r w:rsidRPr="009E06AA">
        <w:rPr>
          <w:rFonts w:cs="Calibri"/>
        </w:rPr>
        <w:t>-e or 1.6 per cent)</w:t>
      </w:r>
      <w:r w:rsidRPr="009E06AA">
        <w:rPr>
          <w:rFonts w:cs="Calibri"/>
          <w:color w:val="000000"/>
        </w:rPr>
        <w:t xml:space="preserve">. </w:t>
      </w:r>
      <w:r w:rsidRPr="009E06AA">
        <w:rPr>
          <w:rFonts w:cs="Calibri"/>
        </w:rPr>
        <w:t>This decrease was partially offset by category </w:t>
      </w:r>
      <w:r w:rsidRPr="009E06AA">
        <w:rPr>
          <w:rFonts w:cs="Calibri"/>
          <w:color w:val="000000"/>
        </w:rPr>
        <w:t>1.A.3.a</w:t>
      </w:r>
      <w:r w:rsidRPr="009E06AA">
        <w:rPr>
          <w:rFonts w:cs="Calibri"/>
          <w:i/>
          <w:iCs/>
          <w:color w:val="000000"/>
        </w:rPr>
        <w:t xml:space="preserve"> </w:t>
      </w:r>
      <w:r w:rsidRPr="009E06AA">
        <w:rPr>
          <w:rFonts w:cs="Calibri"/>
          <w:i/>
          <w:color w:val="000000"/>
        </w:rPr>
        <w:t>Domestic aviation</w:t>
      </w:r>
      <w:r w:rsidRPr="009E06AA">
        <w:rPr>
          <w:rFonts w:cs="Calibri"/>
        </w:rPr>
        <w:t>, which increased by 199.7 kt CO</w:t>
      </w:r>
      <w:r w:rsidRPr="009E06AA">
        <w:rPr>
          <w:vertAlign w:val="subscript"/>
        </w:rPr>
        <w:t>2</w:t>
      </w:r>
      <w:r w:rsidRPr="009E06AA">
        <w:rPr>
          <w:rFonts w:cs="Calibri"/>
        </w:rPr>
        <w:t>-e (24.2 per cent). Further information on these changes is provided under the relevant categories of section 3.3.</w:t>
      </w:r>
    </w:p>
    <w:p w14:paraId="5E72B960" w14:textId="77777777" w:rsidR="00D97D6C" w:rsidRPr="009E06AA" w:rsidRDefault="00D97D6C" w:rsidP="00D97D6C">
      <w:pPr>
        <w:pStyle w:val="BodyText"/>
        <w:rPr>
          <w:rFonts w:cs="Calibri"/>
        </w:rPr>
      </w:pPr>
      <w:r w:rsidRPr="009E06AA">
        <w:rPr>
          <w:rFonts w:cs="Calibri"/>
        </w:rPr>
        <w:t>The 2020 calendar year saw disruption to economic activity in New Zealand, with the effects of the COVID-19 pandemic being felt by the Energy sector throughout the year. The sector saw a rebound during 2021, but consumption remained below pre-2020 levels. National energy consumption in 2022 remained flat and was 6.5 per cent below the level seen in 2019.</w:t>
      </w:r>
    </w:p>
    <w:p w14:paraId="723E9202" w14:textId="77777777" w:rsidR="00D97D6C" w:rsidRPr="009E06AA" w:rsidRDefault="00D97D6C" w:rsidP="00D97D6C">
      <w:pPr>
        <w:pStyle w:val="Heading3"/>
        <w:rPr>
          <w:rFonts w:cs="Calibri"/>
        </w:rPr>
      </w:pPr>
      <w:r w:rsidRPr="009E06AA">
        <w:rPr>
          <w:rFonts w:cs="Calibri"/>
        </w:rPr>
        <w:t>3.1.2</w:t>
      </w:r>
      <w:r w:rsidRPr="009E06AA">
        <w:rPr>
          <w:rFonts w:cs="Calibri"/>
        </w:rPr>
        <w:tab/>
        <w:t>Key categories for Energy sector emissions</w:t>
      </w:r>
    </w:p>
    <w:p w14:paraId="65743EE0" w14:textId="2AE1AEC0" w:rsidR="00D97D6C" w:rsidRPr="009E06AA" w:rsidRDefault="00D97D6C" w:rsidP="00D97D6C">
      <w:pPr>
        <w:pStyle w:val="BodyText"/>
        <w:rPr>
          <w:rFonts w:cs="Calibri"/>
        </w:rPr>
      </w:pPr>
      <w:r w:rsidRPr="009E06AA">
        <w:rPr>
          <w:rFonts w:cs="Calibri"/>
        </w:rPr>
        <w:t>Details of New Zealand’s key category analysis are in chapter 1, section 1.</w:t>
      </w:r>
      <w:r w:rsidR="00EF5F09" w:rsidRPr="009E06AA">
        <w:rPr>
          <w:rFonts w:cs="Calibri"/>
        </w:rPr>
        <w:t>4</w:t>
      </w:r>
      <w:r w:rsidRPr="009E06AA">
        <w:rPr>
          <w:rFonts w:cs="Calibri"/>
        </w:rPr>
        <w:t>. The key categories in the Energy sector are listed in table 3.1.1.</w:t>
      </w:r>
    </w:p>
    <w:p w14:paraId="379D03CC" w14:textId="77777777" w:rsidR="00D97D6C" w:rsidRPr="009E06AA" w:rsidRDefault="00D97D6C" w:rsidP="00D97D6C">
      <w:pPr>
        <w:pStyle w:val="Table"/>
      </w:pPr>
      <w:bookmarkStart w:id="261" w:name="_Toc451176060"/>
      <w:bookmarkStart w:id="262" w:name="_Toc481751486"/>
      <w:bookmarkStart w:id="263" w:name="_Toc507496588"/>
      <w:bookmarkStart w:id="264" w:name="_Toc36224522"/>
      <w:bookmarkStart w:id="265" w:name="_Toc68786403"/>
      <w:bookmarkStart w:id="266" w:name="_Toc164153802"/>
      <w:bookmarkStart w:id="267" w:name="_Toc384582165"/>
      <w:bookmarkStart w:id="268" w:name="_Toc443060844"/>
      <w:r w:rsidRPr="009E06AA">
        <w:t xml:space="preserve">Table 3.1.1 </w:t>
      </w:r>
      <w:r w:rsidRPr="009E06AA">
        <w:tab/>
        <w:t>Key categories in the Energy sector</w:t>
      </w:r>
      <w:bookmarkEnd w:id="261"/>
      <w:bookmarkEnd w:id="262"/>
      <w:bookmarkEnd w:id="263"/>
      <w:bookmarkEnd w:id="264"/>
      <w:bookmarkEnd w:id="265"/>
      <w:bookmarkEnd w:id="266"/>
    </w:p>
    <w:tbl>
      <w:tblPr>
        <w:tblW w:w="8505" w:type="dxa"/>
        <w:tblBorders>
          <w:top w:val="single" w:sz="4" w:space="0" w:color="1B556B"/>
          <w:bottom w:val="single" w:sz="4" w:space="0" w:color="1B556B"/>
          <w:insideH w:val="single" w:sz="4" w:space="0" w:color="1B556B"/>
          <w:insideV w:val="single" w:sz="4" w:space="0" w:color="1B556B"/>
        </w:tblBorders>
        <w:tblLayout w:type="fixed"/>
        <w:tblLook w:val="04A0" w:firstRow="1" w:lastRow="0" w:firstColumn="1" w:lastColumn="0" w:noHBand="0" w:noVBand="1"/>
      </w:tblPr>
      <w:tblGrid>
        <w:gridCol w:w="1093"/>
        <w:gridCol w:w="5589"/>
        <w:gridCol w:w="669"/>
        <w:gridCol w:w="1154"/>
      </w:tblGrid>
      <w:tr w:rsidR="00D97D6C" w:rsidRPr="009E06AA" w14:paraId="283E79B9" w14:textId="77777777" w:rsidTr="00B55F24">
        <w:trPr>
          <w:tblHeader/>
        </w:trPr>
        <w:tc>
          <w:tcPr>
            <w:tcW w:w="1093" w:type="dxa"/>
            <w:shd w:val="clear" w:color="auto" w:fill="1B556B"/>
            <w:noWrap/>
            <w:vAlign w:val="bottom"/>
            <w:hideMark/>
          </w:tcPr>
          <w:p w14:paraId="1DA77C95" w14:textId="77777777" w:rsidR="00D97D6C" w:rsidRPr="009E06AA" w:rsidRDefault="00D97D6C" w:rsidP="00B55F24">
            <w:pPr>
              <w:pStyle w:val="TableTextBold"/>
              <w:keepNext/>
              <w:spacing w:before="40" w:after="40"/>
              <w:rPr>
                <w:rFonts w:cs="Calibri"/>
                <w:noProof w:val="0"/>
                <w:color w:val="FFFFFF"/>
              </w:rPr>
            </w:pPr>
            <w:r w:rsidRPr="009E06AA">
              <w:rPr>
                <w:rFonts w:cs="Calibri"/>
                <w:noProof w:val="0"/>
                <w:color w:val="FFFFFF"/>
              </w:rPr>
              <w:t>CRT category code</w:t>
            </w:r>
          </w:p>
        </w:tc>
        <w:tc>
          <w:tcPr>
            <w:tcW w:w="5589" w:type="dxa"/>
            <w:shd w:val="clear" w:color="auto" w:fill="1B556B"/>
            <w:noWrap/>
            <w:vAlign w:val="bottom"/>
            <w:hideMark/>
          </w:tcPr>
          <w:p w14:paraId="3D6320F1" w14:textId="77777777" w:rsidR="00D97D6C" w:rsidRPr="009E06AA" w:rsidRDefault="00D97D6C" w:rsidP="00B55F24">
            <w:pPr>
              <w:pStyle w:val="TableTextBold"/>
              <w:keepNext/>
              <w:spacing w:before="40" w:after="40"/>
              <w:rPr>
                <w:rFonts w:cs="Calibri"/>
                <w:noProof w:val="0"/>
                <w:color w:val="FFFFFF"/>
              </w:rPr>
            </w:pPr>
            <w:r w:rsidRPr="009E06AA">
              <w:rPr>
                <w:rFonts w:cs="Calibri"/>
                <w:noProof w:val="0"/>
                <w:color w:val="FFFFFF"/>
              </w:rPr>
              <w:t>IPCC categories</w:t>
            </w:r>
          </w:p>
        </w:tc>
        <w:tc>
          <w:tcPr>
            <w:tcW w:w="669" w:type="dxa"/>
            <w:shd w:val="clear" w:color="auto" w:fill="1B556B"/>
            <w:noWrap/>
            <w:vAlign w:val="bottom"/>
            <w:hideMark/>
          </w:tcPr>
          <w:p w14:paraId="1EF39BF6" w14:textId="77777777" w:rsidR="00D97D6C" w:rsidRPr="009E06AA" w:rsidRDefault="00D97D6C" w:rsidP="00B55F24">
            <w:pPr>
              <w:pStyle w:val="TableTextBold"/>
              <w:keepNext/>
              <w:spacing w:before="40" w:after="40"/>
              <w:jc w:val="center"/>
              <w:rPr>
                <w:rFonts w:cs="Calibri"/>
                <w:noProof w:val="0"/>
                <w:color w:val="FFFFFF"/>
              </w:rPr>
            </w:pPr>
            <w:r w:rsidRPr="009E06AA">
              <w:rPr>
                <w:rFonts w:cs="Calibri"/>
                <w:noProof w:val="0"/>
                <w:color w:val="FFFFFF"/>
              </w:rPr>
              <w:t>Gas</w:t>
            </w:r>
          </w:p>
        </w:tc>
        <w:tc>
          <w:tcPr>
            <w:tcW w:w="1154" w:type="dxa"/>
            <w:shd w:val="clear" w:color="auto" w:fill="1B556B"/>
            <w:noWrap/>
            <w:vAlign w:val="bottom"/>
            <w:hideMark/>
          </w:tcPr>
          <w:p w14:paraId="02B3011D" w14:textId="77777777" w:rsidR="00D97D6C" w:rsidRPr="009E06AA" w:rsidRDefault="00D97D6C" w:rsidP="00B55F24">
            <w:pPr>
              <w:pStyle w:val="TableTextBold"/>
              <w:keepNext/>
              <w:spacing w:before="40" w:after="40"/>
              <w:rPr>
                <w:rFonts w:cs="Calibri"/>
                <w:noProof w:val="0"/>
                <w:color w:val="FFFFFF"/>
              </w:rPr>
            </w:pPr>
            <w:r w:rsidRPr="009E06AA">
              <w:rPr>
                <w:rFonts w:cs="Calibri"/>
                <w:noProof w:val="0"/>
                <w:color w:val="FFFFFF"/>
              </w:rPr>
              <w:t>Criteria for identification</w:t>
            </w:r>
          </w:p>
        </w:tc>
      </w:tr>
      <w:tr w:rsidR="00D97D6C" w:rsidRPr="009E06AA" w14:paraId="0B2D2102" w14:textId="77777777" w:rsidTr="00B55F24">
        <w:tc>
          <w:tcPr>
            <w:tcW w:w="1093" w:type="dxa"/>
            <w:shd w:val="clear" w:color="auto" w:fill="auto"/>
            <w:noWrap/>
          </w:tcPr>
          <w:p w14:paraId="7FD06CEC" w14:textId="77777777" w:rsidR="00D97D6C" w:rsidRPr="009E06AA" w:rsidRDefault="00D97D6C" w:rsidP="00B55F24">
            <w:pPr>
              <w:pStyle w:val="TableText"/>
              <w:keepNext/>
              <w:spacing w:before="40" w:after="40"/>
              <w:rPr>
                <w:rFonts w:cs="Calibri"/>
              </w:rPr>
            </w:pPr>
            <w:r w:rsidRPr="009E06AA">
              <w:rPr>
                <w:rFonts w:cs="Calibri"/>
                <w:color w:val="000000"/>
              </w:rPr>
              <w:t>1.A.1.a</w:t>
            </w:r>
          </w:p>
        </w:tc>
        <w:tc>
          <w:tcPr>
            <w:tcW w:w="5589" w:type="dxa"/>
            <w:shd w:val="clear" w:color="auto" w:fill="auto"/>
            <w:noWrap/>
          </w:tcPr>
          <w:p w14:paraId="79EF8BD9" w14:textId="77777777" w:rsidR="00D97D6C" w:rsidRPr="009E06AA" w:rsidRDefault="00D97D6C" w:rsidP="00B55F24">
            <w:pPr>
              <w:pStyle w:val="TableText"/>
              <w:spacing w:before="40" w:after="40"/>
              <w:rPr>
                <w:rFonts w:cs="Calibri"/>
              </w:rPr>
            </w:pPr>
            <w:r w:rsidRPr="009E06AA">
              <w:rPr>
                <w:rFonts w:cs="Calibri"/>
                <w:color w:val="000000"/>
              </w:rPr>
              <w:t>Energy Industries – Public Electricity and Heat Production Solid Fuels</w:t>
            </w:r>
          </w:p>
        </w:tc>
        <w:tc>
          <w:tcPr>
            <w:tcW w:w="669" w:type="dxa"/>
            <w:shd w:val="clear" w:color="auto" w:fill="auto"/>
            <w:noWrap/>
          </w:tcPr>
          <w:p w14:paraId="75D4F63F" w14:textId="77777777" w:rsidR="00D97D6C" w:rsidRPr="009E06AA" w:rsidRDefault="00D97D6C" w:rsidP="00B55F24">
            <w:pPr>
              <w:pStyle w:val="TableText"/>
              <w:spacing w:before="40" w:after="40"/>
              <w:jc w:val="center"/>
              <w:rPr>
                <w:rFonts w:cs="Calibri"/>
              </w:rPr>
            </w:pPr>
            <w:r w:rsidRPr="009E06AA">
              <w:rPr>
                <w:rFonts w:cs="Calibri"/>
                <w:color w:val="000000"/>
              </w:rPr>
              <w:t>CO</w:t>
            </w:r>
            <w:r w:rsidRPr="009E06AA">
              <w:rPr>
                <w:rFonts w:cs="Calibri"/>
                <w:color w:val="000000"/>
                <w:vertAlign w:val="subscript"/>
              </w:rPr>
              <w:t>2</w:t>
            </w:r>
          </w:p>
        </w:tc>
        <w:tc>
          <w:tcPr>
            <w:tcW w:w="1154" w:type="dxa"/>
            <w:shd w:val="clear" w:color="auto" w:fill="auto"/>
            <w:noWrap/>
          </w:tcPr>
          <w:p w14:paraId="05F7B6D1" w14:textId="77777777" w:rsidR="00D97D6C" w:rsidRPr="009E06AA" w:rsidRDefault="00D97D6C" w:rsidP="00B55F24">
            <w:pPr>
              <w:pStyle w:val="TableText"/>
              <w:spacing w:before="40" w:after="40"/>
              <w:rPr>
                <w:rFonts w:cs="Calibri"/>
              </w:rPr>
            </w:pPr>
            <w:r w:rsidRPr="009E06AA">
              <w:rPr>
                <w:rFonts w:cs="Calibri"/>
                <w:color w:val="000000"/>
              </w:rPr>
              <w:t>L1, T1</w:t>
            </w:r>
          </w:p>
        </w:tc>
      </w:tr>
      <w:tr w:rsidR="00D97D6C" w:rsidRPr="009E06AA" w14:paraId="065F025C" w14:textId="77777777" w:rsidTr="00B55F24">
        <w:tc>
          <w:tcPr>
            <w:tcW w:w="1093" w:type="dxa"/>
            <w:shd w:val="clear" w:color="auto" w:fill="auto"/>
            <w:noWrap/>
          </w:tcPr>
          <w:p w14:paraId="5D57FC3A" w14:textId="77777777" w:rsidR="00D97D6C" w:rsidRPr="009E06AA" w:rsidRDefault="00D97D6C" w:rsidP="00B55F24">
            <w:pPr>
              <w:pStyle w:val="TableText"/>
              <w:keepNext/>
              <w:spacing w:before="40" w:after="40"/>
              <w:rPr>
                <w:rFonts w:cs="Calibri"/>
              </w:rPr>
            </w:pPr>
            <w:r w:rsidRPr="009E06AA">
              <w:rPr>
                <w:rFonts w:cs="Calibri"/>
                <w:color w:val="000000"/>
              </w:rPr>
              <w:t>1.A.1.a</w:t>
            </w:r>
          </w:p>
        </w:tc>
        <w:tc>
          <w:tcPr>
            <w:tcW w:w="5589" w:type="dxa"/>
            <w:shd w:val="clear" w:color="auto" w:fill="auto"/>
            <w:noWrap/>
          </w:tcPr>
          <w:p w14:paraId="1374273F" w14:textId="77777777" w:rsidR="00D97D6C" w:rsidRPr="009E06AA" w:rsidRDefault="00D97D6C" w:rsidP="00B55F24">
            <w:pPr>
              <w:pStyle w:val="TableText"/>
              <w:spacing w:before="40" w:after="40"/>
              <w:rPr>
                <w:rFonts w:cs="Calibri"/>
              </w:rPr>
            </w:pPr>
            <w:r w:rsidRPr="009E06AA">
              <w:rPr>
                <w:rFonts w:cs="Calibri"/>
                <w:color w:val="000000"/>
              </w:rPr>
              <w:t>Energy Industries – Public Electricity and Heat Production Gaseous Fuels</w:t>
            </w:r>
          </w:p>
        </w:tc>
        <w:tc>
          <w:tcPr>
            <w:tcW w:w="669" w:type="dxa"/>
            <w:shd w:val="clear" w:color="auto" w:fill="auto"/>
            <w:noWrap/>
          </w:tcPr>
          <w:p w14:paraId="6A125E1F" w14:textId="77777777" w:rsidR="00D97D6C" w:rsidRPr="009E06AA" w:rsidRDefault="00D97D6C" w:rsidP="00B55F24">
            <w:pPr>
              <w:pStyle w:val="TableText"/>
              <w:spacing w:before="40" w:after="40"/>
              <w:jc w:val="center"/>
              <w:rPr>
                <w:rFonts w:cs="Calibri"/>
              </w:rPr>
            </w:pPr>
            <w:r w:rsidRPr="009E06AA">
              <w:rPr>
                <w:rFonts w:cs="Calibri"/>
                <w:color w:val="000000"/>
              </w:rPr>
              <w:t>CO</w:t>
            </w:r>
            <w:r w:rsidRPr="009E06AA">
              <w:rPr>
                <w:rFonts w:cs="Calibri"/>
                <w:color w:val="000000"/>
                <w:vertAlign w:val="subscript"/>
              </w:rPr>
              <w:t>2</w:t>
            </w:r>
          </w:p>
        </w:tc>
        <w:tc>
          <w:tcPr>
            <w:tcW w:w="1154" w:type="dxa"/>
            <w:shd w:val="clear" w:color="auto" w:fill="auto"/>
            <w:noWrap/>
          </w:tcPr>
          <w:p w14:paraId="5DB1BAFA" w14:textId="77777777" w:rsidR="00D97D6C" w:rsidRPr="009E06AA" w:rsidRDefault="00D97D6C" w:rsidP="00B55F24">
            <w:pPr>
              <w:pStyle w:val="TableText"/>
              <w:spacing w:before="40" w:after="40"/>
              <w:rPr>
                <w:rFonts w:cs="Calibri"/>
              </w:rPr>
            </w:pPr>
            <w:r w:rsidRPr="009E06AA">
              <w:rPr>
                <w:rFonts w:cs="Calibri"/>
                <w:color w:val="000000"/>
              </w:rPr>
              <w:t>L1, T1</w:t>
            </w:r>
          </w:p>
        </w:tc>
      </w:tr>
      <w:tr w:rsidR="00D97D6C" w:rsidRPr="009E06AA" w14:paraId="0A7E8BE5" w14:textId="77777777" w:rsidTr="00B55F24">
        <w:tc>
          <w:tcPr>
            <w:tcW w:w="1093" w:type="dxa"/>
            <w:shd w:val="clear" w:color="auto" w:fill="auto"/>
            <w:noWrap/>
          </w:tcPr>
          <w:p w14:paraId="05EA285E" w14:textId="77777777" w:rsidR="00D97D6C" w:rsidRPr="009E06AA" w:rsidRDefault="00D97D6C" w:rsidP="00B55F24">
            <w:pPr>
              <w:pStyle w:val="TableText"/>
              <w:keepNext/>
              <w:spacing w:before="40" w:after="40"/>
            </w:pPr>
            <w:r w:rsidRPr="009E06AA">
              <w:rPr>
                <w:rFonts w:cs="Calibri"/>
                <w:color w:val="000000"/>
              </w:rPr>
              <w:t>1.A.1.b</w:t>
            </w:r>
          </w:p>
        </w:tc>
        <w:tc>
          <w:tcPr>
            <w:tcW w:w="5589" w:type="dxa"/>
            <w:shd w:val="clear" w:color="auto" w:fill="auto"/>
            <w:noWrap/>
          </w:tcPr>
          <w:p w14:paraId="031B4052" w14:textId="77777777" w:rsidR="00D97D6C" w:rsidRPr="009E06AA" w:rsidRDefault="00D97D6C" w:rsidP="00B55F24">
            <w:pPr>
              <w:pStyle w:val="TableText"/>
              <w:spacing w:before="40" w:after="40"/>
            </w:pPr>
            <w:r w:rsidRPr="009E06AA">
              <w:rPr>
                <w:rFonts w:cs="Calibri"/>
                <w:color w:val="000000"/>
              </w:rPr>
              <w:t>Energy Industries – Petroleum Refining Liquid Fuels</w:t>
            </w:r>
          </w:p>
        </w:tc>
        <w:tc>
          <w:tcPr>
            <w:tcW w:w="669" w:type="dxa"/>
            <w:shd w:val="clear" w:color="auto" w:fill="auto"/>
            <w:noWrap/>
          </w:tcPr>
          <w:p w14:paraId="477F36AC" w14:textId="77777777" w:rsidR="00D97D6C" w:rsidRPr="009E06AA" w:rsidRDefault="00D97D6C" w:rsidP="00B55F24">
            <w:pPr>
              <w:pStyle w:val="TableText"/>
              <w:spacing w:before="40" w:after="40"/>
              <w:jc w:val="center"/>
            </w:pPr>
            <w:r w:rsidRPr="009E06AA">
              <w:rPr>
                <w:rFonts w:cs="Calibri"/>
                <w:color w:val="000000"/>
              </w:rPr>
              <w:t>CO</w:t>
            </w:r>
            <w:r w:rsidRPr="009E06AA">
              <w:rPr>
                <w:rFonts w:cs="Calibri"/>
                <w:color w:val="000000"/>
                <w:vertAlign w:val="subscript"/>
              </w:rPr>
              <w:t>2</w:t>
            </w:r>
          </w:p>
        </w:tc>
        <w:tc>
          <w:tcPr>
            <w:tcW w:w="1154" w:type="dxa"/>
            <w:shd w:val="clear" w:color="auto" w:fill="auto"/>
            <w:noWrap/>
          </w:tcPr>
          <w:p w14:paraId="766136C1" w14:textId="77777777" w:rsidR="00D97D6C" w:rsidRPr="009E06AA" w:rsidRDefault="00D97D6C" w:rsidP="00B55F24">
            <w:pPr>
              <w:pStyle w:val="TableText"/>
              <w:spacing w:before="40" w:after="40"/>
            </w:pPr>
            <w:r w:rsidRPr="009E06AA">
              <w:rPr>
                <w:rFonts w:cs="Calibri"/>
                <w:color w:val="000000"/>
              </w:rPr>
              <w:t>T1</w:t>
            </w:r>
          </w:p>
        </w:tc>
      </w:tr>
      <w:tr w:rsidR="00D97D6C" w:rsidRPr="009E06AA" w14:paraId="0686FB08" w14:textId="77777777" w:rsidTr="00B55F24">
        <w:tc>
          <w:tcPr>
            <w:tcW w:w="1093" w:type="dxa"/>
            <w:shd w:val="clear" w:color="auto" w:fill="auto"/>
            <w:noWrap/>
          </w:tcPr>
          <w:p w14:paraId="33C97462" w14:textId="77777777" w:rsidR="00D97D6C" w:rsidRPr="009E06AA" w:rsidRDefault="00D97D6C" w:rsidP="00B55F24">
            <w:pPr>
              <w:pStyle w:val="TableText"/>
              <w:spacing w:before="40" w:after="40"/>
              <w:rPr>
                <w:rFonts w:cs="Calibri"/>
              </w:rPr>
            </w:pPr>
            <w:r w:rsidRPr="009E06AA">
              <w:rPr>
                <w:rFonts w:cs="Calibri"/>
                <w:color w:val="000000"/>
              </w:rPr>
              <w:t>1.A.1.c</w:t>
            </w:r>
          </w:p>
        </w:tc>
        <w:tc>
          <w:tcPr>
            <w:tcW w:w="5589" w:type="dxa"/>
            <w:shd w:val="clear" w:color="auto" w:fill="auto"/>
            <w:noWrap/>
          </w:tcPr>
          <w:p w14:paraId="5282A32D" w14:textId="77777777" w:rsidR="00D97D6C" w:rsidRPr="009E06AA" w:rsidRDefault="00D97D6C" w:rsidP="00B55F24">
            <w:pPr>
              <w:pStyle w:val="TableText"/>
              <w:spacing w:before="40" w:after="40"/>
              <w:rPr>
                <w:rFonts w:cs="Calibri"/>
              </w:rPr>
            </w:pPr>
            <w:r w:rsidRPr="009E06AA">
              <w:rPr>
                <w:rFonts w:cs="Calibri"/>
                <w:color w:val="000000"/>
              </w:rPr>
              <w:t>Energy Industries – Manufacture of Solid Fuels and Other Energy Industries Gaseous Fuels</w:t>
            </w:r>
          </w:p>
        </w:tc>
        <w:tc>
          <w:tcPr>
            <w:tcW w:w="669" w:type="dxa"/>
            <w:shd w:val="clear" w:color="auto" w:fill="auto"/>
            <w:noWrap/>
          </w:tcPr>
          <w:p w14:paraId="78BACB70" w14:textId="77777777" w:rsidR="00D97D6C" w:rsidRPr="009E06AA" w:rsidRDefault="00D97D6C" w:rsidP="00B55F24">
            <w:pPr>
              <w:pStyle w:val="TableText"/>
              <w:spacing w:before="40" w:after="40"/>
              <w:jc w:val="center"/>
              <w:rPr>
                <w:rFonts w:cs="Calibri"/>
              </w:rPr>
            </w:pPr>
            <w:r w:rsidRPr="009E06AA">
              <w:rPr>
                <w:rFonts w:cs="Calibri"/>
                <w:color w:val="000000"/>
              </w:rPr>
              <w:t>CO</w:t>
            </w:r>
            <w:r w:rsidRPr="009E06AA">
              <w:rPr>
                <w:rFonts w:cs="Calibri"/>
                <w:color w:val="000000"/>
                <w:vertAlign w:val="subscript"/>
              </w:rPr>
              <w:t>2</w:t>
            </w:r>
          </w:p>
        </w:tc>
        <w:tc>
          <w:tcPr>
            <w:tcW w:w="1154" w:type="dxa"/>
            <w:shd w:val="clear" w:color="auto" w:fill="auto"/>
            <w:noWrap/>
          </w:tcPr>
          <w:p w14:paraId="311B7C94" w14:textId="77777777" w:rsidR="00D97D6C" w:rsidRPr="009E06AA" w:rsidRDefault="00D97D6C" w:rsidP="00B55F24">
            <w:pPr>
              <w:pStyle w:val="TableText"/>
              <w:spacing w:before="40" w:after="40"/>
              <w:rPr>
                <w:rFonts w:cs="Calibri"/>
              </w:rPr>
            </w:pPr>
            <w:r w:rsidRPr="009E06AA">
              <w:rPr>
                <w:rFonts w:cs="Calibri"/>
                <w:color w:val="000000"/>
              </w:rPr>
              <w:t>L1, T1</w:t>
            </w:r>
          </w:p>
        </w:tc>
      </w:tr>
      <w:tr w:rsidR="00D97D6C" w:rsidRPr="009E06AA" w14:paraId="06233631" w14:textId="77777777" w:rsidTr="00B55F24">
        <w:tc>
          <w:tcPr>
            <w:tcW w:w="1093" w:type="dxa"/>
            <w:shd w:val="clear" w:color="auto" w:fill="auto"/>
            <w:noWrap/>
          </w:tcPr>
          <w:p w14:paraId="03591D67" w14:textId="77777777" w:rsidR="00D97D6C" w:rsidRPr="009E06AA" w:rsidRDefault="00D97D6C" w:rsidP="00B55F24">
            <w:pPr>
              <w:pStyle w:val="TableText"/>
              <w:spacing w:before="40" w:after="40"/>
              <w:rPr>
                <w:rFonts w:cs="Calibri"/>
              </w:rPr>
            </w:pPr>
            <w:r w:rsidRPr="009E06AA">
              <w:rPr>
                <w:rFonts w:cs="Calibri"/>
                <w:color w:val="000000"/>
              </w:rPr>
              <w:t>1.A.2.c</w:t>
            </w:r>
          </w:p>
        </w:tc>
        <w:tc>
          <w:tcPr>
            <w:tcW w:w="5589" w:type="dxa"/>
            <w:shd w:val="clear" w:color="auto" w:fill="auto"/>
            <w:noWrap/>
          </w:tcPr>
          <w:p w14:paraId="0CC9B470" w14:textId="77777777" w:rsidR="00D97D6C" w:rsidRPr="009E06AA" w:rsidRDefault="00D97D6C" w:rsidP="00B55F24">
            <w:pPr>
              <w:pStyle w:val="TableText"/>
              <w:spacing w:before="40" w:after="40"/>
              <w:rPr>
                <w:rFonts w:cs="Calibri"/>
              </w:rPr>
            </w:pPr>
            <w:r w:rsidRPr="009E06AA">
              <w:rPr>
                <w:rFonts w:cs="Calibri"/>
                <w:color w:val="000000"/>
              </w:rPr>
              <w:t>Manufacturing Industries and Construction – Chemicals Gaseous Fuels</w:t>
            </w:r>
          </w:p>
        </w:tc>
        <w:tc>
          <w:tcPr>
            <w:tcW w:w="669" w:type="dxa"/>
            <w:shd w:val="clear" w:color="auto" w:fill="auto"/>
            <w:noWrap/>
          </w:tcPr>
          <w:p w14:paraId="311BF31F" w14:textId="77777777" w:rsidR="00D97D6C" w:rsidRPr="009E06AA" w:rsidRDefault="00D97D6C" w:rsidP="00B55F24">
            <w:pPr>
              <w:pStyle w:val="TableText"/>
              <w:spacing w:before="40" w:after="40"/>
              <w:jc w:val="center"/>
              <w:rPr>
                <w:rFonts w:cs="Calibri"/>
              </w:rPr>
            </w:pPr>
            <w:r w:rsidRPr="009E06AA">
              <w:rPr>
                <w:rFonts w:cs="Calibri"/>
                <w:color w:val="000000"/>
              </w:rPr>
              <w:t>CO</w:t>
            </w:r>
            <w:r w:rsidRPr="009E06AA">
              <w:rPr>
                <w:rFonts w:cs="Calibri"/>
                <w:color w:val="000000"/>
                <w:vertAlign w:val="subscript"/>
              </w:rPr>
              <w:t>2</w:t>
            </w:r>
          </w:p>
        </w:tc>
        <w:tc>
          <w:tcPr>
            <w:tcW w:w="1154" w:type="dxa"/>
            <w:shd w:val="clear" w:color="auto" w:fill="auto"/>
            <w:noWrap/>
          </w:tcPr>
          <w:p w14:paraId="184ABC37" w14:textId="77777777" w:rsidR="00D97D6C" w:rsidRPr="009E06AA" w:rsidRDefault="00D97D6C" w:rsidP="00B55F24">
            <w:pPr>
              <w:pStyle w:val="TableText"/>
              <w:spacing w:before="40" w:after="40"/>
              <w:rPr>
                <w:rFonts w:cs="Calibri"/>
              </w:rPr>
            </w:pPr>
            <w:r w:rsidRPr="009E06AA">
              <w:rPr>
                <w:rFonts w:cs="Calibri"/>
                <w:color w:val="000000"/>
              </w:rPr>
              <w:t>L1, T1</w:t>
            </w:r>
          </w:p>
        </w:tc>
      </w:tr>
      <w:tr w:rsidR="00D97D6C" w:rsidRPr="009E06AA" w14:paraId="78E46C65" w14:textId="77777777" w:rsidTr="00B55F24">
        <w:tc>
          <w:tcPr>
            <w:tcW w:w="1093" w:type="dxa"/>
            <w:shd w:val="clear" w:color="auto" w:fill="auto"/>
            <w:noWrap/>
          </w:tcPr>
          <w:p w14:paraId="0FE2AFB9" w14:textId="77777777" w:rsidR="00D97D6C" w:rsidRPr="009E06AA" w:rsidRDefault="00D97D6C" w:rsidP="00B55F24">
            <w:pPr>
              <w:pStyle w:val="TableText"/>
              <w:spacing w:before="40" w:after="40"/>
              <w:rPr>
                <w:rFonts w:cs="Calibri"/>
              </w:rPr>
            </w:pPr>
            <w:r w:rsidRPr="009E06AA">
              <w:rPr>
                <w:rFonts w:cs="Calibri"/>
                <w:color w:val="000000"/>
              </w:rPr>
              <w:t>1.A.2.d</w:t>
            </w:r>
          </w:p>
        </w:tc>
        <w:tc>
          <w:tcPr>
            <w:tcW w:w="5589" w:type="dxa"/>
            <w:shd w:val="clear" w:color="auto" w:fill="auto"/>
            <w:noWrap/>
          </w:tcPr>
          <w:p w14:paraId="067C0F59" w14:textId="77777777" w:rsidR="00D97D6C" w:rsidRPr="009E06AA" w:rsidRDefault="00D97D6C" w:rsidP="00B55F24">
            <w:pPr>
              <w:pStyle w:val="TableText"/>
              <w:spacing w:before="40" w:after="40"/>
              <w:rPr>
                <w:rFonts w:cs="Calibri"/>
              </w:rPr>
            </w:pPr>
            <w:r w:rsidRPr="009E06AA">
              <w:rPr>
                <w:rFonts w:cs="Calibri"/>
                <w:color w:val="000000"/>
              </w:rPr>
              <w:t>Manufacturing Industries and Construction – Pulp, Paper and Print Gaseous Fuels</w:t>
            </w:r>
          </w:p>
        </w:tc>
        <w:tc>
          <w:tcPr>
            <w:tcW w:w="669" w:type="dxa"/>
            <w:shd w:val="clear" w:color="auto" w:fill="auto"/>
            <w:noWrap/>
          </w:tcPr>
          <w:p w14:paraId="60657337" w14:textId="77777777" w:rsidR="00D97D6C" w:rsidRPr="009E06AA" w:rsidRDefault="00D97D6C" w:rsidP="00B55F24">
            <w:pPr>
              <w:pStyle w:val="TableText"/>
              <w:spacing w:before="40" w:after="40"/>
              <w:jc w:val="center"/>
              <w:rPr>
                <w:rFonts w:cs="Calibri"/>
              </w:rPr>
            </w:pPr>
            <w:r w:rsidRPr="009E06AA">
              <w:rPr>
                <w:rFonts w:cs="Calibri"/>
                <w:color w:val="000000"/>
              </w:rPr>
              <w:t>CO</w:t>
            </w:r>
            <w:r w:rsidRPr="009E06AA">
              <w:rPr>
                <w:rFonts w:cs="Calibri"/>
                <w:color w:val="000000"/>
                <w:vertAlign w:val="subscript"/>
              </w:rPr>
              <w:t>2</w:t>
            </w:r>
          </w:p>
        </w:tc>
        <w:tc>
          <w:tcPr>
            <w:tcW w:w="1154" w:type="dxa"/>
            <w:shd w:val="clear" w:color="auto" w:fill="auto"/>
            <w:noWrap/>
          </w:tcPr>
          <w:p w14:paraId="2F01F36D" w14:textId="77777777" w:rsidR="00D97D6C" w:rsidRPr="009E06AA" w:rsidRDefault="00D97D6C" w:rsidP="00B55F24">
            <w:pPr>
              <w:pStyle w:val="TableText"/>
              <w:spacing w:before="40" w:after="40"/>
              <w:rPr>
                <w:rFonts w:cs="Calibri"/>
              </w:rPr>
            </w:pPr>
            <w:r w:rsidRPr="009E06AA">
              <w:rPr>
                <w:rFonts w:cs="Calibri"/>
                <w:color w:val="000000"/>
              </w:rPr>
              <w:t>T1</w:t>
            </w:r>
          </w:p>
        </w:tc>
      </w:tr>
      <w:tr w:rsidR="00D97D6C" w:rsidRPr="009E06AA" w14:paraId="08B73F20" w14:textId="77777777" w:rsidTr="00B55F24">
        <w:tc>
          <w:tcPr>
            <w:tcW w:w="1093" w:type="dxa"/>
            <w:shd w:val="clear" w:color="auto" w:fill="auto"/>
            <w:noWrap/>
          </w:tcPr>
          <w:p w14:paraId="6E1F49B0" w14:textId="77777777" w:rsidR="00D97D6C" w:rsidRPr="009E06AA" w:rsidRDefault="00D97D6C" w:rsidP="00B55F24">
            <w:pPr>
              <w:pStyle w:val="TableText"/>
              <w:spacing w:before="40" w:after="40"/>
              <w:rPr>
                <w:rFonts w:cs="Calibri"/>
              </w:rPr>
            </w:pPr>
            <w:r w:rsidRPr="009E06AA">
              <w:rPr>
                <w:rFonts w:cs="Calibri"/>
                <w:color w:val="000000"/>
              </w:rPr>
              <w:t>1.A.2.d</w:t>
            </w:r>
          </w:p>
        </w:tc>
        <w:tc>
          <w:tcPr>
            <w:tcW w:w="5589" w:type="dxa"/>
            <w:shd w:val="clear" w:color="auto" w:fill="auto"/>
            <w:noWrap/>
          </w:tcPr>
          <w:p w14:paraId="415ACD76" w14:textId="77777777" w:rsidR="00D97D6C" w:rsidRPr="009E06AA" w:rsidRDefault="00D97D6C" w:rsidP="00B55F24">
            <w:pPr>
              <w:pStyle w:val="TableText"/>
              <w:spacing w:before="40" w:after="40"/>
              <w:rPr>
                <w:rFonts w:cs="Calibri"/>
              </w:rPr>
            </w:pPr>
            <w:r w:rsidRPr="009E06AA">
              <w:rPr>
                <w:rFonts w:cs="Calibri"/>
                <w:color w:val="000000"/>
              </w:rPr>
              <w:t>Manufacturing Industries and Construction – Pulp, Paper and Print Solid Fuels</w:t>
            </w:r>
          </w:p>
        </w:tc>
        <w:tc>
          <w:tcPr>
            <w:tcW w:w="669" w:type="dxa"/>
            <w:shd w:val="clear" w:color="auto" w:fill="auto"/>
            <w:noWrap/>
          </w:tcPr>
          <w:p w14:paraId="538910B1" w14:textId="77777777" w:rsidR="00D97D6C" w:rsidRPr="009E06AA" w:rsidRDefault="00D97D6C" w:rsidP="00B55F24">
            <w:pPr>
              <w:pStyle w:val="TableText"/>
              <w:spacing w:before="40" w:after="40"/>
              <w:jc w:val="center"/>
              <w:rPr>
                <w:rFonts w:cs="Calibri"/>
              </w:rPr>
            </w:pPr>
            <w:r w:rsidRPr="009E06AA">
              <w:rPr>
                <w:rFonts w:cs="Calibri"/>
                <w:color w:val="000000"/>
              </w:rPr>
              <w:t>CO</w:t>
            </w:r>
            <w:r w:rsidRPr="009E06AA">
              <w:rPr>
                <w:rFonts w:cs="Calibri"/>
                <w:color w:val="000000"/>
                <w:vertAlign w:val="subscript"/>
              </w:rPr>
              <w:t>2</w:t>
            </w:r>
          </w:p>
        </w:tc>
        <w:tc>
          <w:tcPr>
            <w:tcW w:w="1154" w:type="dxa"/>
            <w:shd w:val="clear" w:color="auto" w:fill="auto"/>
            <w:noWrap/>
          </w:tcPr>
          <w:p w14:paraId="4C52348F" w14:textId="77777777" w:rsidR="00D97D6C" w:rsidRPr="009E06AA" w:rsidRDefault="00D97D6C" w:rsidP="00B55F24">
            <w:pPr>
              <w:pStyle w:val="TableText"/>
              <w:spacing w:before="40" w:after="40"/>
              <w:rPr>
                <w:rFonts w:cs="Calibri"/>
              </w:rPr>
            </w:pPr>
            <w:r w:rsidRPr="009E06AA">
              <w:rPr>
                <w:rFonts w:cs="Calibri"/>
                <w:color w:val="000000"/>
              </w:rPr>
              <w:t>T1</w:t>
            </w:r>
          </w:p>
        </w:tc>
      </w:tr>
      <w:tr w:rsidR="00D97D6C" w:rsidRPr="009E06AA" w14:paraId="65B9AEEA" w14:textId="77777777" w:rsidTr="00B55F24">
        <w:tc>
          <w:tcPr>
            <w:tcW w:w="1093" w:type="dxa"/>
            <w:shd w:val="clear" w:color="auto" w:fill="auto"/>
            <w:noWrap/>
          </w:tcPr>
          <w:p w14:paraId="78FD54AF" w14:textId="77777777" w:rsidR="00D97D6C" w:rsidRPr="009E06AA" w:rsidRDefault="00D97D6C" w:rsidP="00B55F24">
            <w:pPr>
              <w:pStyle w:val="TableText"/>
              <w:spacing w:before="40" w:after="40"/>
              <w:rPr>
                <w:rFonts w:cs="Calibri"/>
              </w:rPr>
            </w:pPr>
            <w:r w:rsidRPr="009E06AA">
              <w:rPr>
                <w:rFonts w:cs="Calibri"/>
                <w:color w:val="000000"/>
              </w:rPr>
              <w:t>1.A.2.e</w:t>
            </w:r>
          </w:p>
        </w:tc>
        <w:tc>
          <w:tcPr>
            <w:tcW w:w="5589" w:type="dxa"/>
            <w:shd w:val="clear" w:color="auto" w:fill="auto"/>
            <w:noWrap/>
          </w:tcPr>
          <w:p w14:paraId="29A6C845" w14:textId="77777777" w:rsidR="00D97D6C" w:rsidRPr="009E06AA" w:rsidRDefault="00D97D6C" w:rsidP="00B55F24">
            <w:pPr>
              <w:pStyle w:val="TableText"/>
              <w:spacing w:before="40" w:after="40"/>
              <w:rPr>
                <w:rFonts w:cs="Calibri"/>
              </w:rPr>
            </w:pPr>
            <w:r w:rsidRPr="009E06AA">
              <w:rPr>
                <w:rFonts w:cs="Calibri"/>
                <w:color w:val="000000"/>
              </w:rPr>
              <w:t>Manufacturing Industries and Construction – Food Processing, Beverages and Tobacco Solid Fuels</w:t>
            </w:r>
          </w:p>
        </w:tc>
        <w:tc>
          <w:tcPr>
            <w:tcW w:w="669" w:type="dxa"/>
            <w:shd w:val="clear" w:color="auto" w:fill="auto"/>
            <w:noWrap/>
          </w:tcPr>
          <w:p w14:paraId="7E5DBAEE" w14:textId="77777777" w:rsidR="00D97D6C" w:rsidRPr="009E06AA" w:rsidRDefault="00D97D6C" w:rsidP="00B55F24">
            <w:pPr>
              <w:pStyle w:val="TableText"/>
              <w:spacing w:before="40" w:after="40"/>
              <w:jc w:val="center"/>
              <w:rPr>
                <w:rFonts w:cs="Calibri"/>
              </w:rPr>
            </w:pPr>
            <w:r w:rsidRPr="009E06AA">
              <w:rPr>
                <w:rFonts w:cs="Calibri"/>
                <w:color w:val="000000"/>
              </w:rPr>
              <w:t>CO</w:t>
            </w:r>
            <w:r w:rsidRPr="009E06AA">
              <w:rPr>
                <w:rFonts w:cs="Calibri"/>
                <w:color w:val="000000"/>
                <w:vertAlign w:val="subscript"/>
              </w:rPr>
              <w:t>2</w:t>
            </w:r>
          </w:p>
        </w:tc>
        <w:tc>
          <w:tcPr>
            <w:tcW w:w="1154" w:type="dxa"/>
            <w:shd w:val="clear" w:color="auto" w:fill="auto"/>
            <w:noWrap/>
          </w:tcPr>
          <w:p w14:paraId="6CD941AE" w14:textId="77777777" w:rsidR="00D97D6C" w:rsidRPr="009E06AA" w:rsidRDefault="00D97D6C" w:rsidP="00B55F24">
            <w:pPr>
              <w:pStyle w:val="TableText"/>
              <w:spacing w:before="40" w:after="40"/>
              <w:rPr>
                <w:rFonts w:cs="Calibri"/>
              </w:rPr>
            </w:pPr>
            <w:r w:rsidRPr="009E06AA">
              <w:rPr>
                <w:rFonts w:cs="Calibri"/>
                <w:color w:val="000000"/>
              </w:rPr>
              <w:t>L1, T1</w:t>
            </w:r>
          </w:p>
        </w:tc>
      </w:tr>
      <w:tr w:rsidR="00D97D6C" w:rsidRPr="009E06AA" w14:paraId="1881BC61" w14:textId="77777777" w:rsidTr="00B55F24">
        <w:tc>
          <w:tcPr>
            <w:tcW w:w="1093" w:type="dxa"/>
            <w:shd w:val="clear" w:color="auto" w:fill="auto"/>
            <w:noWrap/>
          </w:tcPr>
          <w:p w14:paraId="1F7826D8" w14:textId="77777777" w:rsidR="00D97D6C" w:rsidRPr="009E06AA" w:rsidRDefault="00D97D6C" w:rsidP="00B55F24">
            <w:pPr>
              <w:pStyle w:val="TableText"/>
              <w:spacing w:before="40" w:after="40"/>
              <w:rPr>
                <w:rFonts w:cs="Calibri"/>
              </w:rPr>
            </w:pPr>
            <w:r w:rsidRPr="009E06AA">
              <w:rPr>
                <w:rFonts w:cs="Calibri"/>
                <w:color w:val="000000"/>
              </w:rPr>
              <w:t>1.A.2.e</w:t>
            </w:r>
          </w:p>
        </w:tc>
        <w:tc>
          <w:tcPr>
            <w:tcW w:w="5589" w:type="dxa"/>
            <w:shd w:val="clear" w:color="auto" w:fill="auto"/>
            <w:noWrap/>
          </w:tcPr>
          <w:p w14:paraId="5F76EC28" w14:textId="77777777" w:rsidR="00D97D6C" w:rsidRPr="009E06AA" w:rsidRDefault="00D97D6C" w:rsidP="00B55F24">
            <w:pPr>
              <w:pStyle w:val="TableText"/>
              <w:spacing w:before="40" w:after="40"/>
              <w:rPr>
                <w:rFonts w:cs="Calibri"/>
              </w:rPr>
            </w:pPr>
            <w:r w:rsidRPr="009E06AA">
              <w:rPr>
                <w:rFonts w:cs="Calibri"/>
                <w:color w:val="000000"/>
              </w:rPr>
              <w:t>Manufacturing Industries and Construction – Food Processing, Beverages and Tobacco Gaseous Fuels</w:t>
            </w:r>
          </w:p>
        </w:tc>
        <w:tc>
          <w:tcPr>
            <w:tcW w:w="669" w:type="dxa"/>
            <w:shd w:val="clear" w:color="auto" w:fill="auto"/>
            <w:noWrap/>
          </w:tcPr>
          <w:p w14:paraId="704EA381" w14:textId="77777777" w:rsidR="00D97D6C" w:rsidRPr="009E06AA" w:rsidRDefault="00D97D6C" w:rsidP="00B55F24">
            <w:pPr>
              <w:pStyle w:val="TableText"/>
              <w:spacing w:before="40" w:after="40"/>
              <w:jc w:val="center"/>
              <w:rPr>
                <w:rFonts w:cs="Calibri"/>
              </w:rPr>
            </w:pPr>
            <w:r w:rsidRPr="009E06AA">
              <w:rPr>
                <w:rFonts w:cs="Calibri"/>
                <w:color w:val="000000"/>
              </w:rPr>
              <w:t>CO</w:t>
            </w:r>
            <w:r w:rsidRPr="009E06AA">
              <w:rPr>
                <w:rFonts w:cs="Calibri"/>
                <w:color w:val="000000"/>
                <w:vertAlign w:val="subscript"/>
              </w:rPr>
              <w:t>2</w:t>
            </w:r>
          </w:p>
        </w:tc>
        <w:tc>
          <w:tcPr>
            <w:tcW w:w="1154" w:type="dxa"/>
            <w:shd w:val="clear" w:color="auto" w:fill="auto"/>
            <w:noWrap/>
          </w:tcPr>
          <w:p w14:paraId="13E37810" w14:textId="77777777" w:rsidR="00D97D6C" w:rsidRPr="009E06AA" w:rsidRDefault="00D97D6C" w:rsidP="00B55F24">
            <w:pPr>
              <w:pStyle w:val="TableText"/>
              <w:spacing w:before="40" w:after="40"/>
              <w:rPr>
                <w:rFonts w:cs="Calibri"/>
              </w:rPr>
            </w:pPr>
            <w:r w:rsidRPr="009E06AA">
              <w:rPr>
                <w:rFonts w:cs="Calibri"/>
                <w:color w:val="000000"/>
              </w:rPr>
              <w:t>L1, T1</w:t>
            </w:r>
          </w:p>
        </w:tc>
      </w:tr>
      <w:tr w:rsidR="00D97D6C" w:rsidRPr="009E06AA" w14:paraId="710A1CAA" w14:textId="77777777" w:rsidTr="00B55F24">
        <w:tc>
          <w:tcPr>
            <w:tcW w:w="1093" w:type="dxa"/>
            <w:shd w:val="clear" w:color="auto" w:fill="auto"/>
            <w:noWrap/>
          </w:tcPr>
          <w:p w14:paraId="4424A26A" w14:textId="77777777" w:rsidR="00D97D6C" w:rsidRPr="009E06AA" w:rsidRDefault="00D97D6C" w:rsidP="00B55F24">
            <w:pPr>
              <w:pStyle w:val="TableText"/>
              <w:spacing w:before="40" w:after="40"/>
              <w:rPr>
                <w:rFonts w:cs="Calibri"/>
              </w:rPr>
            </w:pPr>
            <w:r w:rsidRPr="009E06AA">
              <w:rPr>
                <w:rFonts w:cs="Calibri"/>
                <w:color w:val="000000"/>
              </w:rPr>
              <w:t>1.A.2.e</w:t>
            </w:r>
          </w:p>
        </w:tc>
        <w:tc>
          <w:tcPr>
            <w:tcW w:w="5589" w:type="dxa"/>
            <w:shd w:val="clear" w:color="auto" w:fill="auto"/>
            <w:noWrap/>
          </w:tcPr>
          <w:p w14:paraId="4C7799CB" w14:textId="77777777" w:rsidR="00D97D6C" w:rsidRPr="009E06AA" w:rsidRDefault="00D97D6C" w:rsidP="00B55F24">
            <w:pPr>
              <w:pStyle w:val="TableText"/>
              <w:spacing w:before="40" w:after="40"/>
              <w:rPr>
                <w:rFonts w:cs="Calibri"/>
              </w:rPr>
            </w:pPr>
            <w:r w:rsidRPr="009E06AA">
              <w:rPr>
                <w:rFonts w:cs="Calibri"/>
                <w:color w:val="000000"/>
              </w:rPr>
              <w:t>Manufacturing Industries and Construction – Food Processing, Beverages and Tobacco Liquid Fuels</w:t>
            </w:r>
          </w:p>
        </w:tc>
        <w:tc>
          <w:tcPr>
            <w:tcW w:w="669" w:type="dxa"/>
            <w:shd w:val="clear" w:color="auto" w:fill="auto"/>
            <w:noWrap/>
          </w:tcPr>
          <w:p w14:paraId="2353E00F" w14:textId="77777777" w:rsidR="00D97D6C" w:rsidRPr="009E06AA" w:rsidRDefault="00D97D6C" w:rsidP="00B55F24">
            <w:pPr>
              <w:pStyle w:val="TableText"/>
              <w:spacing w:before="40" w:after="40"/>
              <w:jc w:val="center"/>
              <w:rPr>
                <w:rFonts w:cs="Calibri"/>
              </w:rPr>
            </w:pPr>
            <w:r w:rsidRPr="009E06AA">
              <w:rPr>
                <w:rFonts w:cs="Calibri"/>
                <w:color w:val="000000"/>
              </w:rPr>
              <w:t>CO</w:t>
            </w:r>
            <w:r w:rsidRPr="009E06AA">
              <w:rPr>
                <w:rFonts w:cs="Calibri"/>
                <w:color w:val="000000"/>
                <w:vertAlign w:val="subscript"/>
              </w:rPr>
              <w:t>2</w:t>
            </w:r>
          </w:p>
        </w:tc>
        <w:tc>
          <w:tcPr>
            <w:tcW w:w="1154" w:type="dxa"/>
            <w:shd w:val="clear" w:color="auto" w:fill="auto"/>
            <w:noWrap/>
          </w:tcPr>
          <w:p w14:paraId="63C754B9" w14:textId="77777777" w:rsidR="00D97D6C" w:rsidRPr="009E06AA" w:rsidRDefault="00D97D6C" w:rsidP="00B55F24">
            <w:pPr>
              <w:pStyle w:val="TableText"/>
              <w:spacing w:before="40" w:after="40"/>
              <w:rPr>
                <w:rFonts w:cs="Calibri"/>
              </w:rPr>
            </w:pPr>
            <w:r w:rsidRPr="009E06AA">
              <w:rPr>
                <w:rFonts w:cs="Calibri"/>
                <w:color w:val="000000"/>
              </w:rPr>
              <w:t>L1</w:t>
            </w:r>
          </w:p>
        </w:tc>
      </w:tr>
      <w:tr w:rsidR="00D97D6C" w:rsidRPr="009E06AA" w14:paraId="5C0A0560" w14:textId="77777777" w:rsidTr="00B55F24">
        <w:tc>
          <w:tcPr>
            <w:tcW w:w="1093" w:type="dxa"/>
            <w:shd w:val="clear" w:color="auto" w:fill="auto"/>
            <w:noWrap/>
          </w:tcPr>
          <w:p w14:paraId="2BFA8F55" w14:textId="77777777" w:rsidR="00D97D6C" w:rsidRPr="009E06AA" w:rsidRDefault="00D97D6C" w:rsidP="00B55F24">
            <w:pPr>
              <w:pStyle w:val="TableText"/>
              <w:spacing w:before="40" w:after="40"/>
              <w:rPr>
                <w:rFonts w:cs="Calibri"/>
              </w:rPr>
            </w:pPr>
            <w:r w:rsidRPr="009E06AA">
              <w:rPr>
                <w:rFonts w:cs="Calibri"/>
                <w:color w:val="000000"/>
              </w:rPr>
              <w:t>1.A.2.f</w:t>
            </w:r>
          </w:p>
        </w:tc>
        <w:tc>
          <w:tcPr>
            <w:tcW w:w="5589" w:type="dxa"/>
            <w:shd w:val="clear" w:color="auto" w:fill="auto"/>
            <w:noWrap/>
          </w:tcPr>
          <w:p w14:paraId="4659872C" w14:textId="77777777" w:rsidR="00D97D6C" w:rsidRPr="009E06AA" w:rsidRDefault="00D97D6C" w:rsidP="00B55F24">
            <w:pPr>
              <w:pStyle w:val="TableText"/>
              <w:spacing w:before="40" w:after="40"/>
              <w:rPr>
                <w:rFonts w:cs="Calibri"/>
              </w:rPr>
            </w:pPr>
            <w:r w:rsidRPr="009E06AA">
              <w:rPr>
                <w:rFonts w:cs="Calibri"/>
                <w:color w:val="000000"/>
              </w:rPr>
              <w:t>Manufacturing Industries and Construction – Non-metallic Minerals Solid Fuels</w:t>
            </w:r>
          </w:p>
        </w:tc>
        <w:tc>
          <w:tcPr>
            <w:tcW w:w="669" w:type="dxa"/>
            <w:shd w:val="clear" w:color="auto" w:fill="auto"/>
            <w:noWrap/>
          </w:tcPr>
          <w:p w14:paraId="73A36DE9" w14:textId="77777777" w:rsidR="00D97D6C" w:rsidRPr="009E06AA" w:rsidRDefault="00D97D6C" w:rsidP="00B55F24">
            <w:pPr>
              <w:pStyle w:val="TableText"/>
              <w:spacing w:before="40" w:after="40"/>
              <w:jc w:val="center"/>
              <w:rPr>
                <w:rFonts w:cs="Calibri"/>
              </w:rPr>
            </w:pPr>
            <w:r w:rsidRPr="009E06AA">
              <w:rPr>
                <w:rFonts w:cs="Calibri"/>
                <w:color w:val="000000"/>
              </w:rPr>
              <w:t>CO</w:t>
            </w:r>
            <w:r w:rsidRPr="009E06AA">
              <w:rPr>
                <w:rFonts w:cs="Calibri"/>
                <w:color w:val="000000"/>
                <w:vertAlign w:val="subscript"/>
              </w:rPr>
              <w:t>2</w:t>
            </w:r>
          </w:p>
        </w:tc>
        <w:tc>
          <w:tcPr>
            <w:tcW w:w="1154" w:type="dxa"/>
            <w:shd w:val="clear" w:color="auto" w:fill="auto"/>
            <w:noWrap/>
          </w:tcPr>
          <w:p w14:paraId="5FBC760F" w14:textId="77777777" w:rsidR="00D97D6C" w:rsidRPr="009E06AA" w:rsidRDefault="00D97D6C" w:rsidP="00B55F24">
            <w:pPr>
              <w:pStyle w:val="TableText"/>
              <w:spacing w:before="40" w:after="40"/>
              <w:rPr>
                <w:rFonts w:cs="Calibri"/>
              </w:rPr>
            </w:pPr>
            <w:r w:rsidRPr="009E06AA">
              <w:rPr>
                <w:rFonts w:cs="Calibri"/>
                <w:color w:val="000000"/>
              </w:rPr>
              <w:t>L1, T1</w:t>
            </w:r>
          </w:p>
        </w:tc>
      </w:tr>
      <w:tr w:rsidR="00D97D6C" w:rsidRPr="009E06AA" w14:paraId="6D955EEC" w14:textId="77777777" w:rsidTr="00B55F24">
        <w:tc>
          <w:tcPr>
            <w:tcW w:w="1093" w:type="dxa"/>
            <w:shd w:val="clear" w:color="auto" w:fill="auto"/>
            <w:noWrap/>
          </w:tcPr>
          <w:p w14:paraId="077D0B3F" w14:textId="77777777" w:rsidR="00D97D6C" w:rsidRPr="009E06AA" w:rsidRDefault="00D97D6C" w:rsidP="00B55F24">
            <w:pPr>
              <w:pStyle w:val="TableText"/>
              <w:spacing w:before="40" w:after="40"/>
              <w:rPr>
                <w:rFonts w:cs="Calibri"/>
              </w:rPr>
            </w:pPr>
            <w:r w:rsidRPr="009E06AA">
              <w:rPr>
                <w:rFonts w:cs="Calibri"/>
                <w:color w:val="000000"/>
              </w:rPr>
              <w:t>1.A.2.g.iii</w:t>
            </w:r>
          </w:p>
        </w:tc>
        <w:tc>
          <w:tcPr>
            <w:tcW w:w="5589" w:type="dxa"/>
            <w:shd w:val="clear" w:color="auto" w:fill="auto"/>
            <w:noWrap/>
          </w:tcPr>
          <w:p w14:paraId="63251B6B" w14:textId="77777777" w:rsidR="00D97D6C" w:rsidRPr="009E06AA" w:rsidRDefault="00D97D6C" w:rsidP="00B55F24">
            <w:pPr>
              <w:pStyle w:val="TableText"/>
              <w:spacing w:before="40" w:after="40"/>
              <w:rPr>
                <w:rFonts w:cs="Calibri"/>
              </w:rPr>
            </w:pPr>
            <w:r w:rsidRPr="009E06AA">
              <w:rPr>
                <w:rFonts w:cs="Calibri"/>
                <w:color w:val="000000"/>
              </w:rPr>
              <w:t>Other (please specify) – Mining (excluding fuels) and quarrying Liquid Fuels</w:t>
            </w:r>
          </w:p>
        </w:tc>
        <w:tc>
          <w:tcPr>
            <w:tcW w:w="669" w:type="dxa"/>
            <w:shd w:val="clear" w:color="auto" w:fill="auto"/>
            <w:noWrap/>
          </w:tcPr>
          <w:p w14:paraId="2199C62B" w14:textId="77777777" w:rsidR="00D97D6C" w:rsidRPr="009E06AA" w:rsidRDefault="00D97D6C" w:rsidP="00B55F24">
            <w:pPr>
              <w:pStyle w:val="TableText"/>
              <w:spacing w:before="40" w:after="40"/>
              <w:jc w:val="center"/>
              <w:rPr>
                <w:rFonts w:cs="Calibri"/>
              </w:rPr>
            </w:pPr>
            <w:r w:rsidRPr="009E06AA">
              <w:rPr>
                <w:rFonts w:cs="Calibri"/>
                <w:color w:val="000000"/>
              </w:rPr>
              <w:t>CO</w:t>
            </w:r>
            <w:r w:rsidRPr="009E06AA">
              <w:rPr>
                <w:rFonts w:cs="Calibri"/>
                <w:color w:val="000000"/>
                <w:vertAlign w:val="subscript"/>
              </w:rPr>
              <w:t>2</w:t>
            </w:r>
          </w:p>
        </w:tc>
        <w:tc>
          <w:tcPr>
            <w:tcW w:w="1154" w:type="dxa"/>
            <w:shd w:val="clear" w:color="auto" w:fill="auto"/>
            <w:noWrap/>
          </w:tcPr>
          <w:p w14:paraId="2354217C" w14:textId="77777777" w:rsidR="00D97D6C" w:rsidRPr="009E06AA" w:rsidRDefault="00D97D6C" w:rsidP="00B55F24">
            <w:pPr>
              <w:pStyle w:val="TableText"/>
              <w:spacing w:before="40" w:after="40"/>
              <w:rPr>
                <w:rFonts w:cs="Calibri"/>
              </w:rPr>
            </w:pPr>
            <w:r w:rsidRPr="009E06AA">
              <w:rPr>
                <w:rFonts w:cs="Calibri"/>
                <w:color w:val="000000"/>
              </w:rPr>
              <w:t>L1, T1</w:t>
            </w:r>
          </w:p>
        </w:tc>
      </w:tr>
      <w:tr w:rsidR="00D97D6C" w:rsidRPr="009E06AA" w14:paraId="1966A38C" w14:textId="77777777" w:rsidTr="00B55F24">
        <w:tc>
          <w:tcPr>
            <w:tcW w:w="1093" w:type="dxa"/>
            <w:shd w:val="clear" w:color="auto" w:fill="auto"/>
            <w:noWrap/>
          </w:tcPr>
          <w:p w14:paraId="16676B83" w14:textId="77777777" w:rsidR="00D97D6C" w:rsidRPr="009E06AA" w:rsidRDefault="00D97D6C" w:rsidP="00B55F24">
            <w:pPr>
              <w:pStyle w:val="TableText"/>
              <w:spacing w:before="40" w:after="40"/>
              <w:rPr>
                <w:rFonts w:cs="Calibri"/>
              </w:rPr>
            </w:pPr>
            <w:r w:rsidRPr="009E06AA">
              <w:rPr>
                <w:rFonts w:cs="Calibri"/>
                <w:color w:val="000000"/>
              </w:rPr>
              <w:t>1.A.2.g.v</w:t>
            </w:r>
          </w:p>
        </w:tc>
        <w:tc>
          <w:tcPr>
            <w:tcW w:w="5589" w:type="dxa"/>
            <w:shd w:val="clear" w:color="auto" w:fill="auto"/>
            <w:noWrap/>
          </w:tcPr>
          <w:p w14:paraId="18944A19" w14:textId="77777777" w:rsidR="00D97D6C" w:rsidRPr="009E06AA" w:rsidRDefault="00D97D6C" w:rsidP="00B55F24">
            <w:pPr>
              <w:pStyle w:val="TableText"/>
              <w:spacing w:before="40" w:after="40"/>
              <w:rPr>
                <w:rFonts w:cs="Calibri"/>
              </w:rPr>
            </w:pPr>
            <w:r w:rsidRPr="009E06AA">
              <w:rPr>
                <w:rFonts w:cs="Calibri"/>
                <w:color w:val="000000"/>
              </w:rPr>
              <w:t>Other (please specify) – Construction</w:t>
            </w:r>
          </w:p>
        </w:tc>
        <w:tc>
          <w:tcPr>
            <w:tcW w:w="669" w:type="dxa"/>
            <w:shd w:val="clear" w:color="auto" w:fill="auto"/>
            <w:noWrap/>
          </w:tcPr>
          <w:p w14:paraId="0BEB5BD4" w14:textId="77777777" w:rsidR="00D97D6C" w:rsidRPr="009E06AA" w:rsidRDefault="00D97D6C" w:rsidP="00B55F24">
            <w:pPr>
              <w:pStyle w:val="TableText"/>
              <w:spacing w:before="40" w:after="40"/>
              <w:jc w:val="center"/>
              <w:rPr>
                <w:rFonts w:cs="Calibri"/>
              </w:rPr>
            </w:pPr>
            <w:r w:rsidRPr="009E06AA">
              <w:rPr>
                <w:rFonts w:cs="Calibri"/>
                <w:color w:val="000000"/>
              </w:rPr>
              <w:t>CO</w:t>
            </w:r>
            <w:r w:rsidRPr="009E06AA">
              <w:rPr>
                <w:rFonts w:cs="Calibri"/>
                <w:color w:val="000000"/>
                <w:vertAlign w:val="subscript"/>
              </w:rPr>
              <w:t>2</w:t>
            </w:r>
          </w:p>
        </w:tc>
        <w:tc>
          <w:tcPr>
            <w:tcW w:w="1154" w:type="dxa"/>
            <w:shd w:val="clear" w:color="auto" w:fill="auto"/>
            <w:noWrap/>
          </w:tcPr>
          <w:p w14:paraId="5F2E9713" w14:textId="77777777" w:rsidR="00D97D6C" w:rsidRPr="009E06AA" w:rsidRDefault="00D97D6C" w:rsidP="00B55F24">
            <w:pPr>
              <w:pStyle w:val="TableText"/>
              <w:spacing w:before="40" w:after="40"/>
              <w:rPr>
                <w:rFonts w:cs="Calibri"/>
              </w:rPr>
            </w:pPr>
            <w:r w:rsidRPr="009E06AA">
              <w:rPr>
                <w:rFonts w:cs="Calibri"/>
                <w:color w:val="000000"/>
              </w:rPr>
              <w:t>L1, T1</w:t>
            </w:r>
          </w:p>
        </w:tc>
      </w:tr>
      <w:tr w:rsidR="00D97D6C" w:rsidRPr="009E06AA" w14:paraId="12C6C3D5" w14:textId="77777777" w:rsidTr="00B55F24">
        <w:tc>
          <w:tcPr>
            <w:tcW w:w="1093" w:type="dxa"/>
            <w:shd w:val="clear" w:color="auto" w:fill="auto"/>
            <w:noWrap/>
          </w:tcPr>
          <w:p w14:paraId="119CFE11" w14:textId="77777777" w:rsidR="00D97D6C" w:rsidRPr="009E06AA" w:rsidRDefault="00D97D6C" w:rsidP="00B55F24">
            <w:pPr>
              <w:pStyle w:val="TableText"/>
              <w:spacing w:before="40" w:after="40"/>
            </w:pPr>
            <w:r w:rsidRPr="009E06AA">
              <w:rPr>
                <w:rFonts w:cs="Calibri"/>
                <w:color w:val="000000"/>
              </w:rPr>
              <w:t>1.A.2.g.viii</w:t>
            </w:r>
          </w:p>
        </w:tc>
        <w:tc>
          <w:tcPr>
            <w:tcW w:w="5589" w:type="dxa"/>
            <w:shd w:val="clear" w:color="auto" w:fill="auto"/>
            <w:noWrap/>
          </w:tcPr>
          <w:p w14:paraId="4ECB7B3C" w14:textId="77777777" w:rsidR="00D97D6C" w:rsidRPr="009E06AA" w:rsidRDefault="00D97D6C" w:rsidP="00B55F24">
            <w:pPr>
              <w:pStyle w:val="TableText"/>
              <w:spacing w:before="40" w:after="40"/>
            </w:pPr>
            <w:r w:rsidRPr="009E06AA">
              <w:rPr>
                <w:rFonts w:cs="Calibri"/>
                <w:color w:val="000000"/>
              </w:rPr>
              <w:t>Other (please specify) – Other (please specify) Liquid Fuels</w:t>
            </w:r>
          </w:p>
        </w:tc>
        <w:tc>
          <w:tcPr>
            <w:tcW w:w="669" w:type="dxa"/>
            <w:shd w:val="clear" w:color="auto" w:fill="auto"/>
            <w:noWrap/>
          </w:tcPr>
          <w:p w14:paraId="6F439B50" w14:textId="77777777" w:rsidR="00D97D6C" w:rsidRPr="009E06AA" w:rsidRDefault="00D97D6C" w:rsidP="00B55F24">
            <w:pPr>
              <w:pStyle w:val="TableText"/>
              <w:spacing w:before="40" w:after="40"/>
              <w:jc w:val="center"/>
            </w:pPr>
            <w:r w:rsidRPr="009E06AA">
              <w:rPr>
                <w:rFonts w:cs="Calibri"/>
                <w:color w:val="000000"/>
              </w:rPr>
              <w:t>CO</w:t>
            </w:r>
            <w:r w:rsidRPr="009E06AA">
              <w:rPr>
                <w:rFonts w:cs="Calibri"/>
                <w:color w:val="000000"/>
                <w:vertAlign w:val="subscript"/>
              </w:rPr>
              <w:t>2</w:t>
            </w:r>
          </w:p>
        </w:tc>
        <w:tc>
          <w:tcPr>
            <w:tcW w:w="1154" w:type="dxa"/>
            <w:shd w:val="clear" w:color="auto" w:fill="auto"/>
            <w:noWrap/>
          </w:tcPr>
          <w:p w14:paraId="0FAA4932" w14:textId="77777777" w:rsidR="00D97D6C" w:rsidRPr="009E06AA" w:rsidRDefault="00D97D6C" w:rsidP="00B55F24">
            <w:pPr>
              <w:pStyle w:val="TableText"/>
              <w:spacing w:before="40" w:after="40"/>
            </w:pPr>
            <w:r w:rsidRPr="009E06AA">
              <w:rPr>
                <w:rFonts w:cs="Calibri"/>
                <w:color w:val="000000"/>
              </w:rPr>
              <w:t>L1, T1</w:t>
            </w:r>
          </w:p>
        </w:tc>
      </w:tr>
      <w:tr w:rsidR="00D97D6C" w:rsidRPr="009E06AA" w14:paraId="297FE442" w14:textId="77777777" w:rsidTr="00B55F24">
        <w:tc>
          <w:tcPr>
            <w:tcW w:w="1093" w:type="dxa"/>
            <w:shd w:val="clear" w:color="auto" w:fill="auto"/>
            <w:noWrap/>
          </w:tcPr>
          <w:p w14:paraId="6E536C7C" w14:textId="77777777" w:rsidR="00D97D6C" w:rsidRPr="009E06AA" w:rsidRDefault="00D97D6C" w:rsidP="00B55F24">
            <w:pPr>
              <w:pStyle w:val="TableText"/>
              <w:spacing w:before="40" w:after="40"/>
              <w:rPr>
                <w:rFonts w:cs="Calibri"/>
              </w:rPr>
            </w:pPr>
            <w:r w:rsidRPr="009E06AA">
              <w:rPr>
                <w:rFonts w:cs="Calibri"/>
                <w:color w:val="000000"/>
              </w:rPr>
              <w:t>1.A.2.g.viii</w:t>
            </w:r>
          </w:p>
        </w:tc>
        <w:tc>
          <w:tcPr>
            <w:tcW w:w="5589" w:type="dxa"/>
            <w:shd w:val="clear" w:color="auto" w:fill="auto"/>
            <w:noWrap/>
          </w:tcPr>
          <w:p w14:paraId="1175D466" w14:textId="77777777" w:rsidR="00D97D6C" w:rsidRPr="009E06AA" w:rsidRDefault="00D97D6C" w:rsidP="00B55F24">
            <w:pPr>
              <w:pStyle w:val="TableText"/>
              <w:spacing w:before="40" w:after="40"/>
              <w:rPr>
                <w:rFonts w:cs="Calibri"/>
              </w:rPr>
            </w:pPr>
            <w:r w:rsidRPr="009E06AA">
              <w:rPr>
                <w:rFonts w:cs="Calibri"/>
                <w:color w:val="000000"/>
              </w:rPr>
              <w:t>Other (please specify) – Other (please specify) Solid Fuels</w:t>
            </w:r>
          </w:p>
        </w:tc>
        <w:tc>
          <w:tcPr>
            <w:tcW w:w="669" w:type="dxa"/>
            <w:shd w:val="clear" w:color="auto" w:fill="auto"/>
            <w:noWrap/>
          </w:tcPr>
          <w:p w14:paraId="70621090" w14:textId="77777777" w:rsidR="00D97D6C" w:rsidRPr="009E06AA" w:rsidRDefault="00D97D6C" w:rsidP="00B55F24">
            <w:pPr>
              <w:pStyle w:val="TableText"/>
              <w:spacing w:before="40" w:after="40"/>
              <w:jc w:val="center"/>
              <w:rPr>
                <w:rFonts w:cs="Calibri"/>
              </w:rPr>
            </w:pPr>
            <w:r w:rsidRPr="009E06AA">
              <w:rPr>
                <w:rFonts w:cs="Calibri"/>
                <w:color w:val="000000"/>
              </w:rPr>
              <w:t>CO</w:t>
            </w:r>
            <w:r w:rsidRPr="009E06AA">
              <w:rPr>
                <w:rFonts w:cs="Calibri"/>
                <w:color w:val="000000"/>
                <w:vertAlign w:val="subscript"/>
              </w:rPr>
              <w:t>2</w:t>
            </w:r>
          </w:p>
        </w:tc>
        <w:tc>
          <w:tcPr>
            <w:tcW w:w="1154" w:type="dxa"/>
            <w:shd w:val="clear" w:color="auto" w:fill="auto"/>
            <w:noWrap/>
          </w:tcPr>
          <w:p w14:paraId="7D225766" w14:textId="77777777" w:rsidR="00D97D6C" w:rsidRPr="009E06AA" w:rsidRDefault="00D97D6C" w:rsidP="00B55F24">
            <w:pPr>
              <w:pStyle w:val="TableText"/>
              <w:spacing w:before="40" w:after="40"/>
              <w:rPr>
                <w:rFonts w:cs="Calibri"/>
              </w:rPr>
            </w:pPr>
            <w:r w:rsidRPr="009E06AA">
              <w:rPr>
                <w:rFonts w:cs="Calibri"/>
                <w:color w:val="000000"/>
              </w:rPr>
              <w:t>T1</w:t>
            </w:r>
          </w:p>
        </w:tc>
      </w:tr>
      <w:tr w:rsidR="00D97D6C" w:rsidRPr="009E06AA" w14:paraId="21E27559" w14:textId="77777777" w:rsidTr="00B55F24">
        <w:tc>
          <w:tcPr>
            <w:tcW w:w="1093" w:type="dxa"/>
            <w:shd w:val="clear" w:color="auto" w:fill="auto"/>
            <w:noWrap/>
          </w:tcPr>
          <w:p w14:paraId="2A6489BA" w14:textId="77777777" w:rsidR="00D97D6C" w:rsidRPr="009E06AA" w:rsidRDefault="00D97D6C" w:rsidP="00B55F24">
            <w:pPr>
              <w:pStyle w:val="TableText"/>
              <w:spacing w:before="40" w:after="40"/>
              <w:rPr>
                <w:rFonts w:cs="Calibri"/>
              </w:rPr>
            </w:pPr>
            <w:r w:rsidRPr="009E06AA">
              <w:rPr>
                <w:rFonts w:cs="Calibri"/>
                <w:color w:val="000000"/>
              </w:rPr>
              <w:t>1.A.3.a</w:t>
            </w:r>
          </w:p>
        </w:tc>
        <w:tc>
          <w:tcPr>
            <w:tcW w:w="5589" w:type="dxa"/>
            <w:shd w:val="clear" w:color="auto" w:fill="auto"/>
            <w:noWrap/>
          </w:tcPr>
          <w:p w14:paraId="6E045E90" w14:textId="77777777" w:rsidR="00D97D6C" w:rsidRPr="009E06AA" w:rsidRDefault="00D97D6C" w:rsidP="00B55F24">
            <w:pPr>
              <w:pStyle w:val="TableText"/>
              <w:spacing w:before="40" w:after="40"/>
              <w:rPr>
                <w:rFonts w:cs="Calibri"/>
              </w:rPr>
            </w:pPr>
            <w:r w:rsidRPr="009E06AA">
              <w:rPr>
                <w:rFonts w:cs="Calibri"/>
                <w:color w:val="000000"/>
              </w:rPr>
              <w:t>Domestic Aviation – Jet Kerosene</w:t>
            </w:r>
          </w:p>
        </w:tc>
        <w:tc>
          <w:tcPr>
            <w:tcW w:w="669" w:type="dxa"/>
            <w:shd w:val="clear" w:color="auto" w:fill="auto"/>
            <w:noWrap/>
          </w:tcPr>
          <w:p w14:paraId="38ACAAC8" w14:textId="77777777" w:rsidR="00D97D6C" w:rsidRPr="009E06AA" w:rsidRDefault="00D97D6C" w:rsidP="00B55F24">
            <w:pPr>
              <w:pStyle w:val="TableText"/>
              <w:spacing w:before="40" w:after="40"/>
              <w:jc w:val="center"/>
              <w:rPr>
                <w:rFonts w:cs="Calibri"/>
              </w:rPr>
            </w:pPr>
            <w:r w:rsidRPr="009E06AA">
              <w:rPr>
                <w:rFonts w:cs="Calibri"/>
                <w:color w:val="000000"/>
              </w:rPr>
              <w:t>CO</w:t>
            </w:r>
            <w:r w:rsidRPr="009E06AA">
              <w:rPr>
                <w:rFonts w:cs="Calibri"/>
                <w:color w:val="000000"/>
                <w:vertAlign w:val="subscript"/>
              </w:rPr>
              <w:t>2</w:t>
            </w:r>
          </w:p>
        </w:tc>
        <w:tc>
          <w:tcPr>
            <w:tcW w:w="1154" w:type="dxa"/>
            <w:shd w:val="clear" w:color="auto" w:fill="auto"/>
            <w:noWrap/>
          </w:tcPr>
          <w:p w14:paraId="532086DC" w14:textId="77777777" w:rsidR="00D97D6C" w:rsidRPr="009E06AA" w:rsidRDefault="00D97D6C" w:rsidP="00B55F24">
            <w:pPr>
              <w:pStyle w:val="TableText"/>
              <w:spacing w:before="40" w:after="40"/>
              <w:rPr>
                <w:rFonts w:cs="Calibri"/>
              </w:rPr>
            </w:pPr>
            <w:r w:rsidRPr="009E06AA">
              <w:rPr>
                <w:rFonts w:cs="Calibri"/>
                <w:color w:val="000000"/>
              </w:rPr>
              <w:t>L1, T1</w:t>
            </w:r>
          </w:p>
        </w:tc>
      </w:tr>
      <w:tr w:rsidR="00D97D6C" w:rsidRPr="009E06AA" w14:paraId="1BE31C8A" w14:textId="77777777" w:rsidTr="00B55F24">
        <w:tc>
          <w:tcPr>
            <w:tcW w:w="1093" w:type="dxa"/>
            <w:shd w:val="clear" w:color="auto" w:fill="auto"/>
            <w:noWrap/>
          </w:tcPr>
          <w:p w14:paraId="07BC9F7E" w14:textId="77777777" w:rsidR="00D97D6C" w:rsidRPr="009E06AA" w:rsidRDefault="00D97D6C" w:rsidP="00B55F24">
            <w:pPr>
              <w:pStyle w:val="TableText"/>
              <w:spacing w:before="40" w:after="40"/>
              <w:rPr>
                <w:rFonts w:cs="Calibri"/>
              </w:rPr>
            </w:pPr>
            <w:r w:rsidRPr="009E06AA">
              <w:rPr>
                <w:rFonts w:cs="Calibri"/>
                <w:color w:val="000000"/>
              </w:rPr>
              <w:t>1.A.3.b</w:t>
            </w:r>
          </w:p>
        </w:tc>
        <w:tc>
          <w:tcPr>
            <w:tcW w:w="5589" w:type="dxa"/>
            <w:shd w:val="clear" w:color="auto" w:fill="auto"/>
            <w:noWrap/>
          </w:tcPr>
          <w:p w14:paraId="6A3F552D" w14:textId="77777777" w:rsidR="00D97D6C" w:rsidRPr="009E06AA" w:rsidRDefault="00D97D6C" w:rsidP="00B55F24">
            <w:pPr>
              <w:pStyle w:val="TableText"/>
              <w:spacing w:before="40" w:after="40"/>
              <w:rPr>
                <w:rFonts w:cs="Calibri"/>
              </w:rPr>
            </w:pPr>
            <w:r w:rsidRPr="009E06AA">
              <w:rPr>
                <w:rFonts w:cs="Calibri"/>
                <w:color w:val="000000"/>
              </w:rPr>
              <w:t>Transport – Road Transportation Liquid Fuels</w:t>
            </w:r>
          </w:p>
        </w:tc>
        <w:tc>
          <w:tcPr>
            <w:tcW w:w="669" w:type="dxa"/>
            <w:shd w:val="clear" w:color="auto" w:fill="auto"/>
            <w:noWrap/>
          </w:tcPr>
          <w:p w14:paraId="1AB3863A" w14:textId="77777777" w:rsidR="00D97D6C" w:rsidRPr="009E06AA" w:rsidRDefault="00D97D6C" w:rsidP="00B55F24">
            <w:pPr>
              <w:pStyle w:val="TableText"/>
              <w:spacing w:before="40" w:after="40"/>
              <w:jc w:val="center"/>
              <w:rPr>
                <w:rFonts w:cs="Calibri"/>
              </w:rPr>
            </w:pPr>
            <w:r w:rsidRPr="009E06AA">
              <w:rPr>
                <w:rFonts w:cs="Calibri"/>
                <w:color w:val="000000"/>
              </w:rPr>
              <w:t>CO</w:t>
            </w:r>
            <w:r w:rsidRPr="009E06AA">
              <w:rPr>
                <w:rFonts w:cs="Calibri"/>
                <w:color w:val="000000"/>
                <w:vertAlign w:val="subscript"/>
              </w:rPr>
              <w:t>2</w:t>
            </w:r>
          </w:p>
        </w:tc>
        <w:tc>
          <w:tcPr>
            <w:tcW w:w="1154" w:type="dxa"/>
            <w:shd w:val="clear" w:color="auto" w:fill="auto"/>
            <w:noWrap/>
          </w:tcPr>
          <w:p w14:paraId="7431219B" w14:textId="77777777" w:rsidR="00D97D6C" w:rsidRPr="009E06AA" w:rsidRDefault="00D97D6C" w:rsidP="00B55F24">
            <w:pPr>
              <w:pStyle w:val="TableText"/>
              <w:spacing w:before="40" w:after="40"/>
              <w:rPr>
                <w:rFonts w:cs="Calibri"/>
              </w:rPr>
            </w:pPr>
            <w:r w:rsidRPr="009E06AA">
              <w:rPr>
                <w:rFonts w:cs="Calibri"/>
                <w:color w:val="000000"/>
              </w:rPr>
              <w:t>L1, T1</w:t>
            </w:r>
          </w:p>
        </w:tc>
      </w:tr>
      <w:tr w:rsidR="00D97D6C" w:rsidRPr="009E06AA" w14:paraId="1CE4221E" w14:textId="77777777" w:rsidTr="00B55F24">
        <w:tc>
          <w:tcPr>
            <w:tcW w:w="1093" w:type="dxa"/>
            <w:shd w:val="clear" w:color="auto" w:fill="auto"/>
            <w:noWrap/>
          </w:tcPr>
          <w:p w14:paraId="72CA9CE4" w14:textId="77777777" w:rsidR="00D97D6C" w:rsidRPr="009E06AA" w:rsidRDefault="00D97D6C" w:rsidP="00B55F24">
            <w:pPr>
              <w:pStyle w:val="TableText"/>
              <w:spacing w:before="40" w:after="40"/>
              <w:rPr>
                <w:rFonts w:cs="Calibri"/>
              </w:rPr>
            </w:pPr>
            <w:r w:rsidRPr="009E06AA">
              <w:rPr>
                <w:rFonts w:cs="Calibri"/>
                <w:color w:val="000000"/>
              </w:rPr>
              <w:t>1.A.3.b</w:t>
            </w:r>
          </w:p>
        </w:tc>
        <w:tc>
          <w:tcPr>
            <w:tcW w:w="5589" w:type="dxa"/>
            <w:shd w:val="clear" w:color="auto" w:fill="auto"/>
            <w:noWrap/>
          </w:tcPr>
          <w:p w14:paraId="61F1D0F6" w14:textId="77777777" w:rsidR="00D97D6C" w:rsidRPr="009E06AA" w:rsidRDefault="00D97D6C" w:rsidP="00B55F24">
            <w:pPr>
              <w:pStyle w:val="TableText"/>
              <w:spacing w:before="40" w:after="40"/>
              <w:rPr>
                <w:rFonts w:cs="Calibri"/>
              </w:rPr>
            </w:pPr>
            <w:r w:rsidRPr="009E06AA">
              <w:rPr>
                <w:rFonts w:cs="Calibri"/>
                <w:color w:val="000000"/>
              </w:rPr>
              <w:t>Transport – Road Transportation Gaseous Fuels</w:t>
            </w:r>
          </w:p>
        </w:tc>
        <w:tc>
          <w:tcPr>
            <w:tcW w:w="669" w:type="dxa"/>
            <w:shd w:val="clear" w:color="auto" w:fill="auto"/>
            <w:noWrap/>
          </w:tcPr>
          <w:p w14:paraId="14EA4A35" w14:textId="77777777" w:rsidR="00D97D6C" w:rsidRPr="009E06AA" w:rsidRDefault="00D97D6C" w:rsidP="00B55F24">
            <w:pPr>
              <w:pStyle w:val="TableText"/>
              <w:spacing w:before="40" w:after="40"/>
              <w:jc w:val="center"/>
              <w:rPr>
                <w:rFonts w:cs="Calibri"/>
              </w:rPr>
            </w:pPr>
            <w:r w:rsidRPr="009E06AA">
              <w:rPr>
                <w:rFonts w:cs="Calibri"/>
                <w:color w:val="000000"/>
              </w:rPr>
              <w:t>CO</w:t>
            </w:r>
            <w:r w:rsidRPr="009E06AA">
              <w:rPr>
                <w:rFonts w:cs="Calibri"/>
                <w:color w:val="000000"/>
                <w:vertAlign w:val="subscript"/>
              </w:rPr>
              <w:t>2</w:t>
            </w:r>
          </w:p>
        </w:tc>
        <w:tc>
          <w:tcPr>
            <w:tcW w:w="1154" w:type="dxa"/>
            <w:shd w:val="clear" w:color="auto" w:fill="auto"/>
            <w:noWrap/>
          </w:tcPr>
          <w:p w14:paraId="7B2D88C0" w14:textId="77777777" w:rsidR="00D97D6C" w:rsidRPr="009E06AA" w:rsidRDefault="00D97D6C" w:rsidP="00B55F24">
            <w:pPr>
              <w:pStyle w:val="TableText"/>
              <w:spacing w:before="40" w:after="40"/>
              <w:rPr>
                <w:rFonts w:cs="Calibri"/>
              </w:rPr>
            </w:pPr>
            <w:r w:rsidRPr="009E06AA">
              <w:rPr>
                <w:rFonts w:cs="Calibri"/>
                <w:color w:val="000000"/>
              </w:rPr>
              <w:t>T1</w:t>
            </w:r>
          </w:p>
        </w:tc>
      </w:tr>
      <w:tr w:rsidR="00D97D6C" w:rsidRPr="009E06AA" w14:paraId="35B81BEB" w14:textId="77777777" w:rsidTr="00B55F24">
        <w:tc>
          <w:tcPr>
            <w:tcW w:w="1093" w:type="dxa"/>
            <w:shd w:val="clear" w:color="auto" w:fill="auto"/>
            <w:noWrap/>
          </w:tcPr>
          <w:p w14:paraId="76FD8FD1" w14:textId="77777777" w:rsidR="00D97D6C" w:rsidRPr="009E06AA" w:rsidRDefault="00D97D6C" w:rsidP="00B55F24">
            <w:pPr>
              <w:pStyle w:val="TableText"/>
              <w:spacing w:before="40" w:after="40"/>
              <w:rPr>
                <w:rFonts w:cs="Calibri"/>
              </w:rPr>
            </w:pPr>
            <w:r w:rsidRPr="009E06AA">
              <w:rPr>
                <w:rFonts w:cs="Calibri"/>
                <w:color w:val="000000"/>
              </w:rPr>
              <w:t>1.A.3.d</w:t>
            </w:r>
          </w:p>
        </w:tc>
        <w:tc>
          <w:tcPr>
            <w:tcW w:w="5589" w:type="dxa"/>
            <w:shd w:val="clear" w:color="auto" w:fill="auto"/>
            <w:noWrap/>
          </w:tcPr>
          <w:p w14:paraId="78834A98" w14:textId="77777777" w:rsidR="00D97D6C" w:rsidRPr="009E06AA" w:rsidRDefault="00D97D6C" w:rsidP="00B55F24">
            <w:pPr>
              <w:pStyle w:val="TableText"/>
              <w:spacing w:before="40" w:after="40"/>
              <w:rPr>
                <w:rFonts w:cs="Calibri"/>
              </w:rPr>
            </w:pPr>
            <w:r w:rsidRPr="009E06AA">
              <w:rPr>
                <w:rFonts w:cs="Calibri"/>
                <w:color w:val="000000"/>
              </w:rPr>
              <w:t>Domestic Navigation – Residual Fuel Oil</w:t>
            </w:r>
          </w:p>
        </w:tc>
        <w:tc>
          <w:tcPr>
            <w:tcW w:w="669" w:type="dxa"/>
            <w:shd w:val="clear" w:color="auto" w:fill="auto"/>
            <w:noWrap/>
          </w:tcPr>
          <w:p w14:paraId="5FD1AB38" w14:textId="77777777" w:rsidR="00D97D6C" w:rsidRPr="009E06AA" w:rsidRDefault="00D97D6C" w:rsidP="00B55F24">
            <w:pPr>
              <w:pStyle w:val="TableText"/>
              <w:spacing w:before="40" w:after="40"/>
              <w:jc w:val="center"/>
              <w:rPr>
                <w:rFonts w:cs="Calibri"/>
              </w:rPr>
            </w:pPr>
            <w:r w:rsidRPr="009E06AA">
              <w:rPr>
                <w:rFonts w:cs="Calibri"/>
                <w:color w:val="000000"/>
              </w:rPr>
              <w:t>CO</w:t>
            </w:r>
            <w:r w:rsidRPr="009E06AA">
              <w:rPr>
                <w:rFonts w:cs="Calibri"/>
                <w:color w:val="000000"/>
                <w:vertAlign w:val="subscript"/>
              </w:rPr>
              <w:t>2</w:t>
            </w:r>
          </w:p>
        </w:tc>
        <w:tc>
          <w:tcPr>
            <w:tcW w:w="1154" w:type="dxa"/>
            <w:shd w:val="clear" w:color="auto" w:fill="auto"/>
            <w:noWrap/>
          </w:tcPr>
          <w:p w14:paraId="09A262E2" w14:textId="77777777" w:rsidR="00D97D6C" w:rsidRPr="009E06AA" w:rsidRDefault="00D97D6C" w:rsidP="00B55F24">
            <w:pPr>
              <w:pStyle w:val="TableText"/>
              <w:spacing w:before="40" w:after="40"/>
              <w:rPr>
                <w:rFonts w:cs="Calibri"/>
              </w:rPr>
            </w:pPr>
            <w:r w:rsidRPr="009E06AA">
              <w:rPr>
                <w:rFonts w:cs="Calibri"/>
                <w:color w:val="000000"/>
              </w:rPr>
              <w:t>T1</w:t>
            </w:r>
          </w:p>
        </w:tc>
      </w:tr>
      <w:tr w:rsidR="00D97D6C" w:rsidRPr="009E06AA" w14:paraId="6FF85DB9" w14:textId="77777777" w:rsidTr="00B55F24">
        <w:tc>
          <w:tcPr>
            <w:tcW w:w="1093" w:type="dxa"/>
            <w:shd w:val="clear" w:color="auto" w:fill="auto"/>
            <w:noWrap/>
          </w:tcPr>
          <w:p w14:paraId="7313D977" w14:textId="77777777" w:rsidR="00D97D6C" w:rsidRPr="009E06AA" w:rsidRDefault="00D97D6C" w:rsidP="00B55F24">
            <w:pPr>
              <w:pStyle w:val="TableText"/>
              <w:spacing w:before="40" w:after="40"/>
              <w:rPr>
                <w:rFonts w:cs="Calibri"/>
              </w:rPr>
            </w:pPr>
            <w:r w:rsidRPr="009E06AA">
              <w:rPr>
                <w:rFonts w:cs="Calibri"/>
                <w:color w:val="000000"/>
              </w:rPr>
              <w:t>1.A.4.a</w:t>
            </w:r>
          </w:p>
        </w:tc>
        <w:tc>
          <w:tcPr>
            <w:tcW w:w="5589" w:type="dxa"/>
            <w:shd w:val="clear" w:color="auto" w:fill="auto"/>
            <w:noWrap/>
          </w:tcPr>
          <w:p w14:paraId="5B8A94ED" w14:textId="77777777" w:rsidR="00D97D6C" w:rsidRPr="009E06AA" w:rsidRDefault="00D97D6C" w:rsidP="00B55F24">
            <w:pPr>
              <w:pStyle w:val="TableText"/>
              <w:spacing w:before="40" w:after="40"/>
              <w:rPr>
                <w:rFonts w:cs="Calibri"/>
              </w:rPr>
            </w:pPr>
            <w:r w:rsidRPr="009E06AA">
              <w:rPr>
                <w:rFonts w:cs="Calibri"/>
                <w:color w:val="000000"/>
              </w:rPr>
              <w:t>Other Sectors – Commercial/Institutional Liquid Fuels</w:t>
            </w:r>
          </w:p>
        </w:tc>
        <w:tc>
          <w:tcPr>
            <w:tcW w:w="669" w:type="dxa"/>
            <w:shd w:val="clear" w:color="auto" w:fill="auto"/>
            <w:noWrap/>
          </w:tcPr>
          <w:p w14:paraId="6E803B1C" w14:textId="77777777" w:rsidR="00D97D6C" w:rsidRPr="009E06AA" w:rsidRDefault="00D97D6C" w:rsidP="00B55F24">
            <w:pPr>
              <w:pStyle w:val="TableText"/>
              <w:spacing w:before="40" w:after="40"/>
              <w:jc w:val="center"/>
              <w:rPr>
                <w:rFonts w:cs="Calibri"/>
              </w:rPr>
            </w:pPr>
            <w:r w:rsidRPr="009E06AA">
              <w:rPr>
                <w:rFonts w:cs="Calibri"/>
                <w:color w:val="000000"/>
              </w:rPr>
              <w:t>CO</w:t>
            </w:r>
            <w:r w:rsidRPr="009E06AA">
              <w:rPr>
                <w:rFonts w:cs="Calibri"/>
                <w:color w:val="000000"/>
                <w:vertAlign w:val="subscript"/>
              </w:rPr>
              <w:t>2</w:t>
            </w:r>
          </w:p>
        </w:tc>
        <w:tc>
          <w:tcPr>
            <w:tcW w:w="1154" w:type="dxa"/>
            <w:shd w:val="clear" w:color="auto" w:fill="auto"/>
            <w:noWrap/>
          </w:tcPr>
          <w:p w14:paraId="48689A68" w14:textId="77777777" w:rsidR="00D97D6C" w:rsidRPr="009E06AA" w:rsidRDefault="00D97D6C" w:rsidP="00B55F24">
            <w:pPr>
              <w:pStyle w:val="TableText"/>
              <w:spacing w:before="40" w:after="40"/>
              <w:rPr>
                <w:rFonts w:cs="Calibri"/>
              </w:rPr>
            </w:pPr>
            <w:r w:rsidRPr="009E06AA">
              <w:rPr>
                <w:rFonts w:cs="Calibri"/>
                <w:color w:val="000000"/>
              </w:rPr>
              <w:t>L1, T1</w:t>
            </w:r>
          </w:p>
        </w:tc>
      </w:tr>
      <w:tr w:rsidR="00D97D6C" w:rsidRPr="009E06AA" w14:paraId="78E42279" w14:textId="77777777" w:rsidTr="00B55F24">
        <w:tc>
          <w:tcPr>
            <w:tcW w:w="1093" w:type="dxa"/>
            <w:shd w:val="clear" w:color="auto" w:fill="auto"/>
            <w:noWrap/>
          </w:tcPr>
          <w:p w14:paraId="26306929" w14:textId="77777777" w:rsidR="00D97D6C" w:rsidRPr="009E06AA" w:rsidRDefault="00D97D6C" w:rsidP="00B55F24">
            <w:pPr>
              <w:pStyle w:val="TableText"/>
              <w:spacing w:before="40" w:after="40"/>
              <w:rPr>
                <w:rFonts w:cs="Calibri"/>
              </w:rPr>
            </w:pPr>
            <w:r w:rsidRPr="009E06AA">
              <w:rPr>
                <w:rFonts w:cs="Calibri"/>
                <w:color w:val="000000"/>
              </w:rPr>
              <w:t>1.A.4.a</w:t>
            </w:r>
          </w:p>
        </w:tc>
        <w:tc>
          <w:tcPr>
            <w:tcW w:w="5589" w:type="dxa"/>
            <w:shd w:val="clear" w:color="auto" w:fill="auto"/>
            <w:noWrap/>
          </w:tcPr>
          <w:p w14:paraId="2A3F138D" w14:textId="77777777" w:rsidR="00D97D6C" w:rsidRPr="009E06AA" w:rsidRDefault="00D97D6C" w:rsidP="00B55F24">
            <w:pPr>
              <w:pStyle w:val="TableText"/>
              <w:spacing w:before="40" w:after="40"/>
              <w:rPr>
                <w:rFonts w:cs="Calibri"/>
              </w:rPr>
            </w:pPr>
            <w:r w:rsidRPr="009E06AA">
              <w:rPr>
                <w:rFonts w:cs="Calibri"/>
                <w:color w:val="000000"/>
              </w:rPr>
              <w:t>Other Sectors – Commercial/Institutional Gaseous Fuels</w:t>
            </w:r>
          </w:p>
        </w:tc>
        <w:tc>
          <w:tcPr>
            <w:tcW w:w="669" w:type="dxa"/>
            <w:shd w:val="clear" w:color="auto" w:fill="auto"/>
            <w:noWrap/>
          </w:tcPr>
          <w:p w14:paraId="50DDD0E7" w14:textId="77777777" w:rsidR="00D97D6C" w:rsidRPr="009E06AA" w:rsidRDefault="00D97D6C" w:rsidP="00B55F24">
            <w:pPr>
              <w:pStyle w:val="TableText"/>
              <w:spacing w:before="40" w:after="40"/>
              <w:jc w:val="center"/>
              <w:rPr>
                <w:rFonts w:cs="Calibri"/>
              </w:rPr>
            </w:pPr>
            <w:r w:rsidRPr="009E06AA">
              <w:rPr>
                <w:rFonts w:cs="Calibri"/>
                <w:color w:val="000000"/>
              </w:rPr>
              <w:t>CO</w:t>
            </w:r>
            <w:r w:rsidRPr="009E06AA">
              <w:rPr>
                <w:rFonts w:cs="Calibri"/>
                <w:color w:val="000000"/>
                <w:vertAlign w:val="subscript"/>
              </w:rPr>
              <w:t>2</w:t>
            </w:r>
          </w:p>
        </w:tc>
        <w:tc>
          <w:tcPr>
            <w:tcW w:w="1154" w:type="dxa"/>
            <w:shd w:val="clear" w:color="auto" w:fill="auto"/>
            <w:noWrap/>
          </w:tcPr>
          <w:p w14:paraId="68A40F19" w14:textId="77777777" w:rsidR="00D97D6C" w:rsidRPr="009E06AA" w:rsidRDefault="00D97D6C" w:rsidP="00B55F24">
            <w:pPr>
              <w:pStyle w:val="TableText"/>
              <w:spacing w:before="40" w:after="40"/>
              <w:rPr>
                <w:rFonts w:cs="Calibri"/>
              </w:rPr>
            </w:pPr>
            <w:r w:rsidRPr="009E06AA">
              <w:rPr>
                <w:rFonts w:cs="Calibri"/>
                <w:color w:val="000000"/>
              </w:rPr>
              <w:t>L1, T1</w:t>
            </w:r>
          </w:p>
        </w:tc>
      </w:tr>
      <w:tr w:rsidR="00D97D6C" w:rsidRPr="009E06AA" w14:paraId="6B2D4987" w14:textId="77777777" w:rsidTr="00B55F24">
        <w:tc>
          <w:tcPr>
            <w:tcW w:w="1093" w:type="dxa"/>
            <w:shd w:val="clear" w:color="auto" w:fill="auto"/>
            <w:noWrap/>
          </w:tcPr>
          <w:p w14:paraId="630B677A" w14:textId="77777777" w:rsidR="00D97D6C" w:rsidRPr="009E06AA" w:rsidRDefault="00D97D6C" w:rsidP="00B55F24">
            <w:pPr>
              <w:pStyle w:val="TableText"/>
              <w:spacing w:before="40" w:after="40"/>
              <w:rPr>
                <w:rFonts w:cs="Calibri"/>
              </w:rPr>
            </w:pPr>
            <w:r w:rsidRPr="009E06AA">
              <w:rPr>
                <w:rFonts w:cs="Calibri"/>
                <w:color w:val="000000"/>
              </w:rPr>
              <w:t>1.A.4.a</w:t>
            </w:r>
          </w:p>
        </w:tc>
        <w:tc>
          <w:tcPr>
            <w:tcW w:w="5589" w:type="dxa"/>
            <w:shd w:val="clear" w:color="auto" w:fill="auto"/>
            <w:noWrap/>
          </w:tcPr>
          <w:p w14:paraId="478DA656" w14:textId="77777777" w:rsidR="00D97D6C" w:rsidRPr="009E06AA" w:rsidRDefault="00D97D6C" w:rsidP="00B55F24">
            <w:pPr>
              <w:pStyle w:val="TableText"/>
              <w:spacing w:before="40" w:after="40"/>
              <w:rPr>
                <w:rFonts w:cs="Calibri"/>
              </w:rPr>
            </w:pPr>
            <w:r w:rsidRPr="009E06AA">
              <w:rPr>
                <w:rFonts w:cs="Calibri"/>
                <w:color w:val="000000"/>
              </w:rPr>
              <w:t>Other Sectors – Commercial/Institutional Solid Fuels</w:t>
            </w:r>
          </w:p>
        </w:tc>
        <w:tc>
          <w:tcPr>
            <w:tcW w:w="669" w:type="dxa"/>
            <w:shd w:val="clear" w:color="auto" w:fill="auto"/>
            <w:noWrap/>
          </w:tcPr>
          <w:p w14:paraId="2033041D" w14:textId="77777777" w:rsidR="00D97D6C" w:rsidRPr="009E06AA" w:rsidRDefault="00D97D6C" w:rsidP="00B55F24">
            <w:pPr>
              <w:pStyle w:val="TableText"/>
              <w:spacing w:before="40" w:after="40"/>
              <w:jc w:val="center"/>
              <w:rPr>
                <w:rFonts w:cs="Calibri"/>
              </w:rPr>
            </w:pPr>
            <w:r w:rsidRPr="009E06AA">
              <w:rPr>
                <w:rFonts w:cs="Calibri"/>
                <w:color w:val="000000"/>
              </w:rPr>
              <w:t>CO</w:t>
            </w:r>
            <w:r w:rsidRPr="009E06AA">
              <w:rPr>
                <w:rFonts w:cs="Calibri"/>
                <w:color w:val="000000"/>
                <w:vertAlign w:val="subscript"/>
              </w:rPr>
              <w:t>2</w:t>
            </w:r>
          </w:p>
        </w:tc>
        <w:tc>
          <w:tcPr>
            <w:tcW w:w="1154" w:type="dxa"/>
            <w:shd w:val="clear" w:color="auto" w:fill="auto"/>
            <w:noWrap/>
          </w:tcPr>
          <w:p w14:paraId="6031A254" w14:textId="77777777" w:rsidR="00D97D6C" w:rsidRPr="009E06AA" w:rsidRDefault="00D97D6C" w:rsidP="00B55F24">
            <w:pPr>
              <w:pStyle w:val="TableText"/>
              <w:spacing w:before="40" w:after="40"/>
              <w:rPr>
                <w:rFonts w:cs="Calibri"/>
              </w:rPr>
            </w:pPr>
            <w:r w:rsidRPr="009E06AA">
              <w:rPr>
                <w:rFonts w:cs="Calibri"/>
                <w:color w:val="000000"/>
              </w:rPr>
              <w:t>T1</w:t>
            </w:r>
          </w:p>
        </w:tc>
      </w:tr>
      <w:tr w:rsidR="00D97D6C" w:rsidRPr="009E06AA" w14:paraId="64ABCF39" w14:textId="77777777" w:rsidTr="00B55F24">
        <w:tc>
          <w:tcPr>
            <w:tcW w:w="1093" w:type="dxa"/>
            <w:shd w:val="clear" w:color="auto" w:fill="auto"/>
            <w:noWrap/>
          </w:tcPr>
          <w:p w14:paraId="436AB827" w14:textId="77777777" w:rsidR="00D97D6C" w:rsidRPr="009E06AA" w:rsidRDefault="00D97D6C" w:rsidP="00B55F24">
            <w:pPr>
              <w:pStyle w:val="TableText"/>
              <w:spacing w:before="40" w:after="40"/>
              <w:rPr>
                <w:rFonts w:cs="Calibri"/>
              </w:rPr>
            </w:pPr>
            <w:r w:rsidRPr="009E06AA">
              <w:rPr>
                <w:rFonts w:cs="Calibri"/>
                <w:color w:val="000000"/>
              </w:rPr>
              <w:t>1.A.4.b</w:t>
            </w:r>
          </w:p>
        </w:tc>
        <w:tc>
          <w:tcPr>
            <w:tcW w:w="5589" w:type="dxa"/>
            <w:shd w:val="clear" w:color="auto" w:fill="auto"/>
            <w:noWrap/>
          </w:tcPr>
          <w:p w14:paraId="70279099" w14:textId="77777777" w:rsidR="00D97D6C" w:rsidRPr="009E06AA" w:rsidRDefault="00D97D6C" w:rsidP="00B55F24">
            <w:pPr>
              <w:pStyle w:val="TableText"/>
              <w:spacing w:before="40" w:after="40"/>
              <w:rPr>
                <w:rFonts w:cs="Calibri"/>
              </w:rPr>
            </w:pPr>
            <w:r w:rsidRPr="009E06AA">
              <w:rPr>
                <w:rFonts w:cs="Calibri"/>
                <w:color w:val="000000"/>
              </w:rPr>
              <w:t>Other Sectors – Residential Liquid Fuels</w:t>
            </w:r>
          </w:p>
        </w:tc>
        <w:tc>
          <w:tcPr>
            <w:tcW w:w="669" w:type="dxa"/>
            <w:shd w:val="clear" w:color="auto" w:fill="auto"/>
            <w:noWrap/>
          </w:tcPr>
          <w:p w14:paraId="38E33505" w14:textId="77777777" w:rsidR="00D97D6C" w:rsidRPr="009E06AA" w:rsidRDefault="00D97D6C" w:rsidP="00B55F24">
            <w:pPr>
              <w:pStyle w:val="TableText"/>
              <w:spacing w:before="40" w:after="40"/>
              <w:jc w:val="center"/>
              <w:rPr>
                <w:rFonts w:cs="Calibri"/>
              </w:rPr>
            </w:pPr>
            <w:r w:rsidRPr="009E06AA">
              <w:rPr>
                <w:rFonts w:cs="Calibri"/>
                <w:color w:val="000000"/>
              </w:rPr>
              <w:t>CO</w:t>
            </w:r>
            <w:r w:rsidRPr="009E06AA">
              <w:rPr>
                <w:rFonts w:cs="Calibri"/>
                <w:color w:val="000000"/>
                <w:vertAlign w:val="subscript"/>
              </w:rPr>
              <w:t>2</w:t>
            </w:r>
          </w:p>
        </w:tc>
        <w:tc>
          <w:tcPr>
            <w:tcW w:w="1154" w:type="dxa"/>
            <w:shd w:val="clear" w:color="auto" w:fill="auto"/>
            <w:noWrap/>
          </w:tcPr>
          <w:p w14:paraId="7F75C8F8" w14:textId="77777777" w:rsidR="00D97D6C" w:rsidRPr="009E06AA" w:rsidRDefault="00D97D6C" w:rsidP="00B55F24">
            <w:pPr>
              <w:pStyle w:val="TableText"/>
              <w:spacing w:before="40" w:after="40"/>
              <w:rPr>
                <w:rFonts w:cs="Calibri"/>
              </w:rPr>
            </w:pPr>
            <w:r w:rsidRPr="009E06AA">
              <w:rPr>
                <w:rFonts w:cs="Calibri"/>
                <w:color w:val="000000"/>
              </w:rPr>
              <w:t>L1, T1</w:t>
            </w:r>
          </w:p>
        </w:tc>
      </w:tr>
      <w:tr w:rsidR="00D97D6C" w:rsidRPr="009E06AA" w14:paraId="6F694CCE" w14:textId="77777777" w:rsidTr="00B55F24">
        <w:tc>
          <w:tcPr>
            <w:tcW w:w="1093" w:type="dxa"/>
            <w:shd w:val="clear" w:color="auto" w:fill="auto"/>
            <w:noWrap/>
          </w:tcPr>
          <w:p w14:paraId="2E39A4BC" w14:textId="77777777" w:rsidR="00D97D6C" w:rsidRPr="009E06AA" w:rsidRDefault="00D97D6C" w:rsidP="00B55F24">
            <w:pPr>
              <w:pStyle w:val="TableText"/>
              <w:spacing w:before="40" w:after="40"/>
            </w:pPr>
            <w:r w:rsidRPr="009E06AA">
              <w:rPr>
                <w:rFonts w:cs="Calibri"/>
                <w:color w:val="000000"/>
              </w:rPr>
              <w:t>1.A.4.b</w:t>
            </w:r>
          </w:p>
        </w:tc>
        <w:tc>
          <w:tcPr>
            <w:tcW w:w="5589" w:type="dxa"/>
            <w:shd w:val="clear" w:color="auto" w:fill="auto"/>
            <w:noWrap/>
          </w:tcPr>
          <w:p w14:paraId="747190C4" w14:textId="77777777" w:rsidR="00D97D6C" w:rsidRPr="009E06AA" w:rsidRDefault="00D97D6C" w:rsidP="00B55F24">
            <w:pPr>
              <w:pStyle w:val="TableText"/>
              <w:spacing w:before="40" w:after="40"/>
            </w:pPr>
            <w:r w:rsidRPr="009E06AA">
              <w:rPr>
                <w:rFonts w:cs="Calibri"/>
                <w:color w:val="000000"/>
              </w:rPr>
              <w:t>Other Sectors – Residential Gaseous Fuels</w:t>
            </w:r>
          </w:p>
        </w:tc>
        <w:tc>
          <w:tcPr>
            <w:tcW w:w="669" w:type="dxa"/>
            <w:shd w:val="clear" w:color="auto" w:fill="auto"/>
            <w:noWrap/>
          </w:tcPr>
          <w:p w14:paraId="43CBB28D" w14:textId="77777777" w:rsidR="00D97D6C" w:rsidRPr="009E06AA" w:rsidRDefault="00D97D6C" w:rsidP="00B55F24">
            <w:pPr>
              <w:pStyle w:val="TableText"/>
              <w:spacing w:before="40" w:after="40"/>
              <w:jc w:val="center"/>
            </w:pPr>
            <w:r w:rsidRPr="009E06AA">
              <w:rPr>
                <w:rFonts w:cs="Calibri"/>
                <w:color w:val="000000"/>
              </w:rPr>
              <w:t>CO</w:t>
            </w:r>
            <w:r w:rsidRPr="009E06AA">
              <w:rPr>
                <w:rFonts w:cs="Calibri"/>
                <w:color w:val="000000"/>
                <w:vertAlign w:val="subscript"/>
              </w:rPr>
              <w:t>2</w:t>
            </w:r>
          </w:p>
        </w:tc>
        <w:tc>
          <w:tcPr>
            <w:tcW w:w="1154" w:type="dxa"/>
            <w:shd w:val="clear" w:color="auto" w:fill="auto"/>
            <w:noWrap/>
          </w:tcPr>
          <w:p w14:paraId="788DB518" w14:textId="77777777" w:rsidR="00D97D6C" w:rsidRPr="009E06AA" w:rsidRDefault="00D97D6C" w:rsidP="00B55F24">
            <w:pPr>
              <w:pStyle w:val="TableText"/>
              <w:spacing w:before="40" w:after="40"/>
            </w:pPr>
            <w:r w:rsidRPr="009E06AA">
              <w:rPr>
                <w:rFonts w:cs="Calibri"/>
                <w:color w:val="000000"/>
              </w:rPr>
              <w:t>L1, T1</w:t>
            </w:r>
          </w:p>
        </w:tc>
      </w:tr>
      <w:tr w:rsidR="00D97D6C" w:rsidRPr="009E06AA" w14:paraId="6FBA1810" w14:textId="77777777" w:rsidTr="00B55F24">
        <w:tc>
          <w:tcPr>
            <w:tcW w:w="1093" w:type="dxa"/>
            <w:shd w:val="clear" w:color="auto" w:fill="auto"/>
            <w:noWrap/>
          </w:tcPr>
          <w:p w14:paraId="35B47B0A" w14:textId="77777777" w:rsidR="00D97D6C" w:rsidRPr="009E06AA" w:rsidRDefault="00D97D6C" w:rsidP="00B55F24">
            <w:pPr>
              <w:pStyle w:val="TableText"/>
              <w:spacing w:before="40" w:after="40"/>
              <w:rPr>
                <w:rFonts w:cs="Calibri"/>
              </w:rPr>
            </w:pPr>
            <w:r w:rsidRPr="009E06AA">
              <w:rPr>
                <w:rFonts w:cs="Calibri"/>
                <w:color w:val="000000"/>
              </w:rPr>
              <w:t>1.A.4.b</w:t>
            </w:r>
          </w:p>
        </w:tc>
        <w:tc>
          <w:tcPr>
            <w:tcW w:w="5589" w:type="dxa"/>
            <w:shd w:val="clear" w:color="auto" w:fill="auto"/>
            <w:noWrap/>
          </w:tcPr>
          <w:p w14:paraId="67E10061" w14:textId="77777777" w:rsidR="00D97D6C" w:rsidRPr="009E06AA" w:rsidRDefault="00D97D6C" w:rsidP="00B55F24">
            <w:pPr>
              <w:pStyle w:val="TableText"/>
              <w:spacing w:before="40" w:after="40"/>
              <w:rPr>
                <w:rFonts w:cs="Calibri"/>
              </w:rPr>
            </w:pPr>
            <w:r w:rsidRPr="009E06AA">
              <w:rPr>
                <w:rFonts w:cs="Calibri"/>
                <w:color w:val="000000"/>
              </w:rPr>
              <w:t>Other Sectors – Residential Solid Fuels</w:t>
            </w:r>
          </w:p>
        </w:tc>
        <w:tc>
          <w:tcPr>
            <w:tcW w:w="669" w:type="dxa"/>
            <w:shd w:val="clear" w:color="auto" w:fill="auto"/>
            <w:noWrap/>
          </w:tcPr>
          <w:p w14:paraId="3DD86999" w14:textId="77777777" w:rsidR="00D97D6C" w:rsidRPr="009E06AA" w:rsidRDefault="00D97D6C" w:rsidP="00B55F24">
            <w:pPr>
              <w:pStyle w:val="TableText"/>
              <w:spacing w:before="40" w:after="40"/>
              <w:jc w:val="center"/>
              <w:rPr>
                <w:rFonts w:cs="Calibri"/>
              </w:rPr>
            </w:pPr>
            <w:r w:rsidRPr="009E06AA">
              <w:rPr>
                <w:rFonts w:cs="Calibri"/>
                <w:color w:val="000000"/>
              </w:rPr>
              <w:t>CO</w:t>
            </w:r>
            <w:r w:rsidRPr="009E06AA">
              <w:rPr>
                <w:rFonts w:cs="Calibri"/>
                <w:color w:val="000000"/>
                <w:vertAlign w:val="subscript"/>
              </w:rPr>
              <w:t>2</w:t>
            </w:r>
          </w:p>
        </w:tc>
        <w:tc>
          <w:tcPr>
            <w:tcW w:w="1154" w:type="dxa"/>
            <w:shd w:val="clear" w:color="auto" w:fill="auto"/>
            <w:noWrap/>
          </w:tcPr>
          <w:p w14:paraId="3257DCB0" w14:textId="77777777" w:rsidR="00D97D6C" w:rsidRPr="009E06AA" w:rsidRDefault="00D97D6C" w:rsidP="00B55F24">
            <w:pPr>
              <w:pStyle w:val="TableText"/>
              <w:spacing w:before="40" w:after="40"/>
              <w:rPr>
                <w:rFonts w:cs="Calibri"/>
              </w:rPr>
            </w:pPr>
            <w:r w:rsidRPr="009E06AA">
              <w:rPr>
                <w:rFonts w:cs="Calibri"/>
                <w:color w:val="000000"/>
              </w:rPr>
              <w:t>T1</w:t>
            </w:r>
          </w:p>
        </w:tc>
      </w:tr>
      <w:tr w:rsidR="00D97D6C" w:rsidRPr="009E06AA" w14:paraId="76E38E8E" w14:textId="77777777" w:rsidTr="00B55F24">
        <w:tc>
          <w:tcPr>
            <w:tcW w:w="1093" w:type="dxa"/>
            <w:shd w:val="clear" w:color="auto" w:fill="auto"/>
            <w:noWrap/>
          </w:tcPr>
          <w:p w14:paraId="513A0CA1" w14:textId="77777777" w:rsidR="00D97D6C" w:rsidRPr="009E06AA" w:rsidRDefault="00D97D6C" w:rsidP="00B55F24">
            <w:pPr>
              <w:pStyle w:val="TableText"/>
              <w:spacing w:before="40" w:after="40"/>
              <w:rPr>
                <w:rFonts w:cs="Calibri"/>
              </w:rPr>
            </w:pPr>
            <w:r w:rsidRPr="009E06AA">
              <w:rPr>
                <w:rFonts w:cs="Calibri"/>
                <w:color w:val="000000"/>
              </w:rPr>
              <w:t>1.A.4.c</w:t>
            </w:r>
          </w:p>
        </w:tc>
        <w:tc>
          <w:tcPr>
            <w:tcW w:w="5589" w:type="dxa"/>
            <w:shd w:val="clear" w:color="auto" w:fill="auto"/>
            <w:noWrap/>
          </w:tcPr>
          <w:p w14:paraId="3B036F34" w14:textId="77777777" w:rsidR="00D97D6C" w:rsidRPr="009E06AA" w:rsidRDefault="00D97D6C" w:rsidP="00B55F24">
            <w:pPr>
              <w:pStyle w:val="TableText"/>
              <w:spacing w:before="40" w:after="40"/>
              <w:rPr>
                <w:rFonts w:cs="Calibri"/>
              </w:rPr>
            </w:pPr>
            <w:r w:rsidRPr="009E06AA">
              <w:rPr>
                <w:rFonts w:cs="Calibri"/>
                <w:color w:val="000000"/>
              </w:rPr>
              <w:t>Other Sectors – Agriculture/Forestry/Fishing Liquid Fuels</w:t>
            </w:r>
          </w:p>
        </w:tc>
        <w:tc>
          <w:tcPr>
            <w:tcW w:w="669" w:type="dxa"/>
            <w:shd w:val="clear" w:color="auto" w:fill="auto"/>
            <w:noWrap/>
          </w:tcPr>
          <w:p w14:paraId="0DCDFB41" w14:textId="77777777" w:rsidR="00D97D6C" w:rsidRPr="009E06AA" w:rsidRDefault="00D97D6C" w:rsidP="00B55F24">
            <w:pPr>
              <w:pStyle w:val="TableText"/>
              <w:spacing w:before="40" w:after="40"/>
              <w:jc w:val="center"/>
              <w:rPr>
                <w:rFonts w:cs="Calibri"/>
              </w:rPr>
            </w:pPr>
            <w:r w:rsidRPr="009E06AA">
              <w:rPr>
                <w:rFonts w:cs="Calibri"/>
                <w:color w:val="000000"/>
              </w:rPr>
              <w:t>CO</w:t>
            </w:r>
            <w:r w:rsidRPr="009E06AA">
              <w:rPr>
                <w:rFonts w:cs="Calibri"/>
                <w:color w:val="000000"/>
                <w:vertAlign w:val="subscript"/>
              </w:rPr>
              <w:t>2</w:t>
            </w:r>
          </w:p>
        </w:tc>
        <w:tc>
          <w:tcPr>
            <w:tcW w:w="1154" w:type="dxa"/>
            <w:shd w:val="clear" w:color="auto" w:fill="auto"/>
            <w:noWrap/>
          </w:tcPr>
          <w:p w14:paraId="322CAC87" w14:textId="77777777" w:rsidR="00D97D6C" w:rsidRPr="009E06AA" w:rsidRDefault="00D97D6C" w:rsidP="00B55F24">
            <w:pPr>
              <w:pStyle w:val="TableText"/>
              <w:spacing w:before="40" w:after="40"/>
              <w:rPr>
                <w:rFonts w:cs="Calibri"/>
              </w:rPr>
            </w:pPr>
            <w:r w:rsidRPr="009E06AA">
              <w:rPr>
                <w:rFonts w:cs="Calibri"/>
                <w:color w:val="000000"/>
              </w:rPr>
              <w:t>L1, T1</w:t>
            </w:r>
          </w:p>
        </w:tc>
      </w:tr>
      <w:tr w:rsidR="00D97D6C" w:rsidRPr="009E06AA" w14:paraId="26F54456" w14:textId="77777777" w:rsidTr="00B55F24">
        <w:tc>
          <w:tcPr>
            <w:tcW w:w="1093" w:type="dxa"/>
            <w:shd w:val="clear" w:color="auto" w:fill="auto"/>
            <w:noWrap/>
          </w:tcPr>
          <w:p w14:paraId="12E0E3C9" w14:textId="77777777" w:rsidR="00D97D6C" w:rsidRPr="009E06AA" w:rsidRDefault="00D97D6C" w:rsidP="00B55F24">
            <w:pPr>
              <w:pStyle w:val="TableText"/>
              <w:spacing w:before="40" w:after="40"/>
              <w:rPr>
                <w:rFonts w:cs="Calibri"/>
              </w:rPr>
            </w:pPr>
            <w:r w:rsidRPr="009E06AA">
              <w:rPr>
                <w:rFonts w:cs="Calibri"/>
                <w:color w:val="000000"/>
              </w:rPr>
              <w:t>1.A.4.c</w:t>
            </w:r>
          </w:p>
        </w:tc>
        <w:tc>
          <w:tcPr>
            <w:tcW w:w="5589" w:type="dxa"/>
            <w:shd w:val="clear" w:color="auto" w:fill="auto"/>
            <w:noWrap/>
          </w:tcPr>
          <w:p w14:paraId="588F55C8" w14:textId="77777777" w:rsidR="00D97D6C" w:rsidRPr="009E06AA" w:rsidRDefault="00D97D6C" w:rsidP="00B55F24">
            <w:pPr>
              <w:pStyle w:val="TableText"/>
              <w:spacing w:before="40" w:after="40"/>
              <w:rPr>
                <w:rFonts w:cs="Calibri"/>
              </w:rPr>
            </w:pPr>
            <w:r w:rsidRPr="009E06AA">
              <w:rPr>
                <w:rFonts w:cs="Calibri"/>
                <w:color w:val="000000"/>
              </w:rPr>
              <w:t>Other Sectors – Agriculture/Forestry/Fishing Solid Fuels</w:t>
            </w:r>
          </w:p>
        </w:tc>
        <w:tc>
          <w:tcPr>
            <w:tcW w:w="669" w:type="dxa"/>
            <w:shd w:val="clear" w:color="auto" w:fill="auto"/>
            <w:noWrap/>
          </w:tcPr>
          <w:p w14:paraId="0DDAC99A" w14:textId="77777777" w:rsidR="00D97D6C" w:rsidRPr="009E06AA" w:rsidRDefault="00D97D6C" w:rsidP="00B55F24">
            <w:pPr>
              <w:pStyle w:val="TableText"/>
              <w:spacing w:before="40" w:after="40"/>
              <w:jc w:val="center"/>
              <w:rPr>
                <w:rFonts w:cs="Calibri"/>
              </w:rPr>
            </w:pPr>
            <w:r w:rsidRPr="009E06AA">
              <w:rPr>
                <w:rFonts w:cs="Calibri"/>
                <w:color w:val="000000"/>
              </w:rPr>
              <w:t>CO</w:t>
            </w:r>
            <w:r w:rsidRPr="009E06AA">
              <w:rPr>
                <w:rFonts w:cs="Calibri"/>
                <w:color w:val="000000"/>
                <w:vertAlign w:val="subscript"/>
              </w:rPr>
              <w:t>2</w:t>
            </w:r>
          </w:p>
        </w:tc>
        <w:tc>
          <w:tcPr>
            <w:tcW w:w="1154" w:type="dxa"/>
            <w:shd w:val="clear" w:color="auto" w:fill="auto"/>
            <w:noWrap/>
          </w:tcPr>
          <w:p w14:paraId="1D74DAA9" w14:textId="77777777" w:rsidR="00D97D6C" w:rsidRPr="009E06AA" w:rsidRDefault="00D97D6C" w:rsidP="00B55F24">
            <w:pPr>
              <w:pStyle w:val="TableText"/>
              <w:spacing w:before="40" w:after="40"/>
              <w:rPr>
                <w:rFonts w:cs="Calibri"/>
              </w:rPr>
            </w:pPr>
            <w:r w:rsidRPr="009E06AA">
              <w:rPr>
                <w:rFonts w:cs="Calibri"/>
                <w:color w:val="000000"/>
              </w:rPr>
              <w:t>T1</w:t>
            </w:r>
          </w:p>
        </w:tc>
      </w:tr>
      <w:tr w:rsidR="00D97D6C" w:rsidRPr="009E06AA" w14:paraId="0FD55C24" w14:textId="77777777" w:rsidTr="00B55F24">
        <w:tc>
          <w:tcPr>
            <w:tcW w:w="1093" w:type="dxa"/>
            <w:shd w:val="clear" w:color="auto" w:fill="auto"/>
            <w:noWrap/>
          </w:tcPr>
          <w:p w14:paraId="2A4B60E6" w14:textId="77777777" w:rsidR="00D97D6C" w:rsidRPr="009E06AA" w:rsidRDefault="00D97D6C" w:rsidP="00B55F24">
            <w:pPr>
              <w:pStyle w:val="TableText"/>
              <w:spacing w:before="40" w:after="40"/>
              <w:rPr>
                <w:rFonts w:cs="Calibri"/>
              </w:rPr>
            </w:pPr>
            <w:r w:rsidRPr="009E06AA">
              <w:rPr>
                <w:rFonts w:cs="Calibri"/>
                <w:color w:val="000000"/>
              </w:rPr>
              <w:t>1.B.1.a.1</w:t>
            </w:r>
          </w:p>
        </w:tc>
        <w:tc>
          <w:tcPr>
            <w:tcW w:w="5589" w:type="dxa"/>
            <w:shd w:val="clear" w:color="auto" w:fill="auto"/>
            <w:noWrap/>
          </w:tcPr>
          <w:p w14:paraId="28D1203D" w14:textId="77777777" w:rsidR="00D97D6C" w:rsidRPr="009E06AA" w:rsidRDefault="00D97D6C" w:rsidP="00B55F24">
            <w:pPr>
              <w:pStyle w:val="TableText"/>
              <w:spacing w:before="40" w:after="40"/>
              <w:rPr>
                <w:rFonts w:cs="Calibri"/>
              </w:rPr>
            </w:pPr>
            <w:r w:rsidRPr="009E06AA">
              <w:rPr>
                <w:rFonts w:cs="Calibri"/>
                <w:color w:val="000000"/>
              </w:rPr>
              <w:t>Coal Mining and Handling – Underground Mines</w:t>
            </w:r>
          </w:p>
        </w:tc>
        <w:tc>
          <w:tcPr>
            <w:tcW w:w="669" w:type="dxa"/>
            <w:shd w:val="clear" w:color="auto" w:fill="auto"/>
            <w:noWrap/>
          </w:tcPr>
          <w:p w14:paraId="79CE7EFA" w14:textId="77777777" w:rsidR="00D97D6C" w:rsidRPr="009E06AA" w:rsidRDefault="00D97D6C" w:rsidP="00B55F24">
            <w:pPr>
              <w:pStyle w:val="TableText"/>
              <w:spacing w:before="40" w:after="40"/>
              <w:jc w:val="center"/>
              <w:rPr>
                <w:rFonts w:cs="Calibri"/>
              </w:rPr>
            </w:pPr>
            <w:r w:rsidRPr="009E06AA">
              <w:rPr>
                <w:rFonts w:cs="Calibri"/>
                <w:color w:val="000000"/>
              </w:rPr>
              <w:t>CH</w:t>
            </w:r>
            <w:r w:rsidRPr="009E06AA">
              <w:rPr>
                <w:rFonts w:cs="Calibri"/>
                <w:color w:val="000000"/>
                <w:vertAlign w:val="subscript"/>
              </w:rPr>
              <w:t>4</w:t>
            </w:r>
          </w:p>
        </w:tc>
        <w:tc>
          <w:tcPr>
            <w:tcW w:w="1154" w:type="dxa"/>
            <w:shd w:val="clear" w:color="auto" w:fill="auto"/>
            <w:noWrap/>
          </w:tcPr>
          <w:p w14:paraId="01EA2D38" w14:textId="77777777" w:rsidR="00D97D6C" w:rsidRPr="009E06AA" w:rsidRDefault="00D97D6C" w:rsidP="00B55F24">
            <w:pPr>
              <w:pStyle w:val="TableText"/>
              <w:spacing w:before="40" w:after="40"/>
              <w:rPr>
                <w:rFonts w:cs="Calibri"/>
              </w:rPr>
            </w:pPr>
            <w:r w:rsidRPr="009E06AA">
              <w:rPr>
                <w:rFonts w:cs="Calibri"/>
                <w:color w:val="000000"/>
              </w:rPr>
              <w:t>T1</w:t>
            </w:r>
          </w:p>
        </w:tc>
      </w:tr>
      <w:tr w:rsidR="00D97D6C" w:rsidRPr="009E06AA" w14:paraId="2BCFAB7E" w14:textId="77777777" w:rsidTr="00B55F24">
        <w:tc>
          <w:tcPr>
            <w:tcW w:w="1093" w:type="dxa"/>
            <w:shd w:val="clear" w:color="auto" w:fill="auto"/>
            <w:noWrap/>
          </w:tcPr>
          <w:p w14:paraId="073C9DA9" w14:textId="77777777" w:rsidR="00D97D6C" w:rsidRPr="009E06AA" w:rsidRDefault="00D97D6C" w:rsidP="00B55F24">
            <w:pPr>
              <w:pStyle w:val="TableText"/>
              <w:spacing w:before="40" w:after="40"/>
              <w:rPr>
                <w:rFonts w:cs="Calibri"/>
              </w:rPr>
            </w:pPr>
            <w:r w:rsidRPr="009E06AA">
              <w:rPr>
                <w:rFonts w:cs="Calibri"/>
                <w:color w:val="000000"/>
              </w:rPr>
              <w:t>1.B.2.b.5</w:t>
            </w:r>
          </w:p>
        </w:tc>
        <w:tc>
          <w:tcPr>
            <w:tcW w:w="5589" w:type="dxa"/>
            <w:shd w:val="clear" w:color="auto" w:fill="auto"/>
            <w:noWrap/>
          </w:tcPr>
          <w:p w14:paraId="3B7918F0" w14:textId="77777777" w:rsidR="00D97D6C" w:rsidRPr="009E06AA" w:rsidRDefault="00D97D6C" w:rsidP="00B55F24">
            <w:pPr>
              <w:pStyle w:val="TableText"/>
              <w:spacing w:before="40" w:after="40"/>
              <w:rPr>
                <w:rFonts w:cs="Calibri"/>
              </w:rPr>
            </w:pPr>
            <w:r w:rsidRPr="009E06AA">
              <w:rPr>
                <w:rFonts w:cs="Calibri"/>
                <w:color w:val="000000"/>
              </w:rPr>
              <w:t>Natural Gas – Distribution</w:t>
            </w:r>
          </w:p>
        </w:tc>
        <w:tc>
          <w:tcPr>
            <w:tcW w:w="669" w:type="dxa"/>
            <w:shd w:val="clear" w:color="auto" w:fill="auto"/>
            <w:noWrap/>
          </w:tcPr>
          <w:p w14:paraId="2FBE8009" w14:textId="77777777" w:rsidR="00D97D6C" w:rsidRPr="009E06AA" w:rsidRDefault="00D97D6C" w:rsidP="00B55F24">
            <w:pPr>
              <w:pStyle w:val="TableText"/>
              <w:spacing w:before="40" w:after="40"/>
              <w:jc w:val="center"/>
              <w:rPr>
                <w:rFonts w:cs="Calibri"/>
              </w:rPr>
            </w:pPr>
            <w:r w:rsidRPr="009E06AA">
              <w:rPr>
                <w:rFonts w:cs="Calibri"/>
                <w:color w:val="000000"/>
              </w:rPr>
              <w:t>CH</w:t>
            </w:r>
            <w:r w:rsidRPr="009E06AA">
              <w:rPr>
                <w:rFonts w:cs="Calibri"/>
                <w:color w:val="000000"/>
                <w:vertAlign w:val="subscript"/>
              </w:rPr>
              <w:t>4</w:t>
            </w:r>
          </w:p>
        </w:tc>
        <w:tc>
          <w:tcPr>
            <w:tcW w:w="1154" w:type="dxa"/>
            <w:shd w:val="clear" w:color="auto" w:fill="auto"/>
            <w:noWrap/>
          </w:tcPr>
          <w:p w14:paraId="3A42B2BC" w14:textId="77777777" w:rsidR="00D97D6C" w:rsidRPr="009E06AA" w:rsidRDefault="00D97D6C" w:rsidP="00B55F24">
            <w:pPr>
              <w:pStyle w:val="TableText"/>
              <w:spacing w:before="40" w:after="40"/>
              <w:rPr>
                <w:rFonts w:cs="Calibri"/>
              </w:rPr>
            </w:pPr>
            <w:r w:rsidRPr="009E06AA">
              <w:rPr>
                <w:rFonts w:cs="Calibri"/>
                <w:color w:val="000000"/>
              </w:rPr>
              <w:t>T1</w:t>
            </w:r>
          </w:p>
        </w:tc>
      </w:tr>
      <w:tr w:rsidR="00D97D6C" w:rsidRPr="009E06AA" w14:paraId="04074507" w14:textId="77777777" w:rsidTr="00B55F24">
        <w:tc>
          <w:tcPr>
            <w:tcW w:w="1093" w:type="dxa"/>
            <w:shd w:val="clear" w:color="auto" w:fill="auto"/>
            <w:noWrap/>
          </w:tcPr>
          <w:p w14:paraId="58F2C867" w14:textId="77777777" w:rsidR="00D97D6C" w:rsidRPr="009E06AA" w:rsidRDefault="00D97D6C" w:rsidP="00B55F24">
            <w:pPr>
              <w:pStyle w:val="TableText"/>
              <w:spacing w:before="40" w:after="40"/>
              <w:rPr>
                <w:rFonts w:cs="Calibri"/>
              </w:rPr>
            </w:pPr>
            <w:r w:rsidRPr="009E06AA">
              <w:rPr>
                <w:rFonts w:cs="Calibri"/>
                <w:color w:val="000000"/>
              </w:rPr>
              <w:t>1.B.2.c.1.ii</w:t>
            </w:r>
          </w:p>
        </w:tc>
        <w:tc>
          <w:tcPr>
            <w:tcW w:w="5589" w:type="dxa"/>
            <w:shd w:val="clear" w:color="auto" w:fill="auto"/>
            <w:noWrap/>
          </w:tcPr>
          <w:p w14:paraId="74FF0A21" w14:textId="77777777" w:rsidR="00D97D6C" w:rsidRPr="009E06AA" w:rsidRDefault="00D97D6C" w:rsidP="00B55F24">
            <w:pPr>
              <w:pStyle w:val="TableText"/>
              <w:spacing w:before="40" w:after="40"/>
              <w:rPr>
                <w:rFonts w:cs="Calibri"/>
              </w:rPr>
            </w:pPr>
            <w:r w:rsidRPr="009E06AA">
              <w:rPr>
                <w:rFonts w:cs="Calibri"/>
                <w:color w:val="000000"/>
              </w:rPr>
              <w:t>Venting – Gas</w:t>
            </w:r>
          </w:p>
        </w:tc>
        <w:tc>
          <w:tcPr>
            <w:tcW w:w="669" w:type="dxa"/>
            <w:shd w:val="clear" w:color="auto" w:fill="auto"/>
            <w:noWrap/>
          </w:tcPr>
          <w:p w14:paraId="773497B6" w14:textId="77777777" w:rsidR="00D97D6C" w:rsidRPr="009E06AA" w:rsidRDefault="00D97D6C" w:rsidP="00B55F24">
            <w:pPr>
              <w:pStyle w:val="TableText"/>
              <w:spacing w:before="40" w:after="40"/>
              <w:jc w:val="center"/>
              <w:rPr>
                <w:rFonts w:cs="Calibri"/>
              </w:rPr>
            </w:pPr>
            <w:r w:rsidRPr="009E06AA">
              <w:rPr>
                <w:rFonts w:cs="Calibri"/>
                <w:color w:val="000000"/>
              </w:rPr>
              <w:t>CO</w:t>
            </w:r>
            <w:r w:rsidRPr="009E06AA">
              <w:rPr>
                <w:rFonts w:cs="Calibri"/>
                <w:color w:val="000000"/>
                <w:vertAlign w:val="subscript"/>
              </w:rPr>
              <w:t>2</w:t>
            </w:r>
          </w:p>
        </w:tc>
        <w:tc>
          <w:tcPr>
            <w:tcW w:w="1154" w:type="dxa"/>
            <w:shd w:val="clear" w:color="auto" w:fill="auto"/>
            <w:noWrap/>
          </w:tcPr>
          <w:p w14:paraId="37AD078C" w14:textId="77777777" w:rsidR="00D97D6C" w:rsidRPr="009E06AA" w:rsidRDefault="00D97D6C" w:rsidP="00B55F24">
            <w:pPr>
              <w:pStyle w:val="TableText"/>
              <w:spacing w:before="40" w:after="40"/>
              <w:rPr>
                <w:rFonts w:cs="Calibri"/>
              </w:rPr>
            </w:pPr>
            <w:r w:rsidRPr="009E06AA">
              <w:rPr>
                <w:rFonts w:cs="Calibri"/>
                <w:color w:val="000000"/>
              </w:rPr>
              <w:t>L1, T1</w:t>
            </w:r>
          </w:p>
        </w:tc>
      </w:tr>
      <w:tr w:rsidR="00D97D6C" w:rsidRPr="009E06AA" w14:paraId="52EBF707" w14:textId="77777777" w:rsidTr="00B55F24">
        <w:tc>
          <w:tcPr>
            <w:tcW w:w="1093" w:type="dxa"/>
            <w:shd w:val="clear" w:color="auto" w:fill="auto"/>
            <w:noWrap/>
          </w:tcPr>
          <w:p w14:paraId="25EFD5BE" w14:textId="77777777" w:rsidR="00D97D6C" w:rsidRPr="009E06AA" w:rsidRDefault="00D97D6C" w:rsidP="00B55F24">
            <w:pPr>
              <w:pStyle w:val="TableText"/>
              <w:spacing w:before="40" w:after="40"/>
              <w:rPr>
                <w:rFonts w:cs="Calibri"/>
              </w:rPr>
            </w:pPr>
            <w:r w:rsidRPr="009E06AA">
              <w:rPr>
                <w:rFonts w:cs="Calibri"/>
                <w:color w:val="000000"/>
              </w:rPr>
              <w:t>1.B.2.c.1.iii</w:t>
            </w:r>
          </w:p>
        </w:tc>
        <w:tc>
          <w:tcPr>
            <w:tcW w:w="5589" w:type="dxa"/>
            <w:shd w:val="clear" w:color="auto" w:fill="auto"/>
            <w:noWrap/>
          </w:tcPr>
          <w:p w14:paraId="7CE79656" w14:textId="77777777" w:rsidR="00D97D6C" w:rsidRPr="009E06AA" w:rsidRDefault="00D97D6C" w:rsidP="00B55F24">
            <w:pPr>
              <w:pStyle w:val="TableText"/>
              <w:spacing w:before="40" w:after="40"/>
              <w:rPr>
                <w:rFonts w:cs="Calibri"/>
              </w:rPr>
            </w:pPr>
            <w:r w:rsidRPr="009E06AA">
              <w:rPr>
                <w:rFonts w:cs="Calibri"/>
                <w:color w:val="000000"/>
              </w:rPr>
              <w:t>Venting – Combined</w:t>
            </w:r>
          </w:p>
        </w:tc>
        <w:tc>
          <w:tcPr>
            <w:tcW w:w="669" w:type="dxa"/>
            <w:shd w:val="clear" w:color="auto" w:fill="auto"/>
            <w:noWrap/>
          </w:tcPr>
          <w:p w14:paraId="5B7F69E9" w14:textId="77777777" w:rsidR="00D97D6C" w:rsidRPr="009E06AA" w:rsidRDefault="00D97D6C" w:rsidP="00B55F24">
            <w:pPr>
              <w:pStyle w:val="TableText"/>
              <w:spacing w:before="40" w:after="40"/>
              <w:jc w:val="center"/>
              <w:rPr>
                <w:rFonts w:cs="Calibri"/>
              </w:rPr>
            </w:pPr>
            <w:r w:rsidRPr="009E06AA">
              <w:rPr>
                <w:rFonts w:cs="Calibri"/>
                <w:color w:val="000000"/>
              </w:rPr>
              <w:t>CH</w:t>
            </w:r>
            <w:r w:rsidRPr="009E06AA">
              <w:rPr>
                <w:rFonts w:cs="Calibri"/>
                <w:color w:val="000000"/>
                <w:vertAlign w:val="subscript"/>
              </w:rPr>
              <w:t>4</w:t>
            </w:r>
          </w:p>
        </w:tc>
        <w:tc>
          <w:tcPr>
            <w:tcW w:w="1154" w:type="dxa"/>
            <w:shd w:val="clear" w:color="auto" w:fill="auto"/>
            <w:noWrap/>
          </w:tcPr>
          <w:p w14:paraId="420EF579" w14:textId="77777777" w:rsidR="00D97D6C" w:rsidRPr="009E06AA" w:rsidRDefault="00D97D6C" w:rsidP="00B55F24">
            <w:pPr>
              <w:pStyle w:val="TableText"/>
              <w:spacing w:before="40" w:after="40"/>
              <w:rPr>
                <w:rFonts w:cs="Calibri"/>
              </w:rPr>
            </w:pPr>
            <w:r w:rsidRPr="009E06AA">
              <w:rPr>
                <w:rFonts w:cs="Calibri"/>
                <w:color w:val="000000"/>
              </w:rPr>
              <w:t>T1</w:t>
            </w:r>
          </w:p>
        </w:tc>
      </w:tr>
      <w:tr w:rsidR="00D97D6C" w:rsidRPr="009E06AA" w14:paraId="4760AE11" w14:textId="77777777" w:rsidTr="00B55F24">
        <w:tc>
          <w:tcPr>
            <w:tcW w:w="1093" w:type="dxa"/>
            <w:shd w:val="clear" w:color="auto" w:fill="auto"/>
            <w:noWrap/>
          </w:tcPr>
          <w:p w14:paraId="417099BD" w14:textId="77777777" w:rsidR="00D97D6C" w:rsidRPr="009E06AA" w:rsidRDefault="00D97D6C" w:rsidP="00B55F24">
            <w:pPr>
              <w:pStyle w:val="TableText"/>
              <w:spacing w:before="40" w:after="40"/>
            </w:pPr>
            <w:r w:rsidRPr="009E06AA">
              <w:rPr>
                <w:rFonts w:cs="Calibri"/>
                <w:color w:val="000000"/>
              </w:rPr>
              <w:t>1.B.2.c.2.iii</w:t>
            </w:r>
          </w:p>
        </w:tc>
        <w:tc>
          <w:tcPr>
            <w:tcW w:w="5589" w:type="dxa"/>
            <w:shd w:val="clear" w:color="auto" w:fill="auto"/>
            <w:noWrap/>
          </w:tcPr>
          <w:p w14:paraId="17C6CB78" w14:textId="77777777" w:rsidR="00D97D6C" w:rsidRPr="009E06AA" w:rsidRDefault="00D97D6C" w:rsidP="00B55F24">
            <w:pPr>
              <w:pStyle w:val="TableText"/>
              <w:spacing w:before="40" w:after="40"/>
            </w:pPr>
            <w:r w:rsidRPr="009E06AA">
              <w:rPr>
                <w:rFonts w:cs="Calibri"/>
                <w:color w:val="000000"/>
              </w:rPr>
              <w:t>Flaring – Combined</w:t>
            </w:r>
          </w:p>
        </w:tc>
        <w:tc>
          <w:tcPr>
            <w:tcW w:w="669" w:type="dxa"/>
            <w:shd w:val="clear" w:color="auto" w:fill="auto"/>
            <w:noWrap/>
          </w:tcPr>
          <w:p w14:paraId="40786BF9" w14:textId="77777777" w:rsidR="00D97D6C" w:rsidRPr="009E06AA" w:rsidRDefault="00D97D6C" w:rsidP="00B55F24">
            <w:pPr>
              <w:pStyle w:val="TableText"/>
              <w:spacing w:before="40" w:after="40"/>
              <w:jc w:val="center"/>
            </w:pPr>
            <w:r w:rsidRPr="009E06AA">
              <w:rPr>
                <w:rFonts w:cs="Calibri"/>
                <w:color w:val="000000"/>
              </w:rPr>
              <w:t>CO</w:t>
            </w:r>
            <w:r w:rsidRPr="009E06AA">
              <w:rPr>
                <w:rFonts w:cs="Calibri"/>
                <w:color w:val="000000"/>
                <w:vertAlign w:val="subscript"/>
              </w:rPr>
              <w:t>2</w:t>
            </w:r>
          </w:p>
        </w:tc>
        <w:tc>
          <w:tcPr>
            <w:tcW w:w="1154" w:type="dxa"/>
            <w:shd w:val="clear" w:color="auto" w:fill="auto"/>
            <w:noWrap/>
          </w:tcPr>
          <w:p w14:paraId="66D2FDD4" w14:textId="77777777" w:rsidR="00D97D6C" w:rsidRPr="009E06AA" w:rsidRDefault="00D97D6C" w:rsidP="00B55F24">
            <w:pPr>
              <w:pStyle w:val="TableText"/>
              <w:spacing w:before="40" w:after="40"/>
            </w:pPr>
            <w:r w:rsidRPr="009E06AA">
              <w:rPr>
                <w:rFonts w:cs="Calibri"/>
                <w:color w:val="000000"/>
              </w:rPr>
              <w:t>T1</w:t>
            </w:r>
          </w:p>
        </w:tc>
      </w:tr>
      <w:tr w:rsidR="00D97D6C" w:rsidRPr="009E06AA" w14:paraId="031798DB" w14:textId="77777777" w:rsidTr="00B55F24">
        <w:tc>
          <w:tcPr>
            <w:tcW w:w="1093" w:type="dxa"/>
            <w:shd w:val="clear" w:color="auto" w:fill="auto"/>
            <w:noWrap/>
          </w:tcPr>
          <w:p w14:paraId="6302AC46" w14:textId="77777777" w:rsidR="00D97D6C" w:rsidRPr="009E06AA" w:rsidRDefault="00D97D6C" w:rsidP="00B55F24">
            <w:pPr>
              <w:pStyle w:val="TableText"/>
              <w:spacing w:before="40" w:after="40"/>
              <w:rPr>
                <w:rFonts w:cs="Calibri"/>
                <w:color w:val="000000"/>
              </w:rPr>
            </w:pPr>
            <w:r w:rsidRPr="009E06AA">
              <w:rPr>
                <w:rFonts w:cs="Calibri"/>
                <w:color w:val="000000"/>
              </w:rPr>
              <w:t>1.B.2.d</w:t>
            </w:r>
          </w:p>
        </w:tc>
        <w:tc>
          <w:tcPr>
            <w:tcW w:w="5589" w:type="dxa"/>
            <w:shd w:val="clear" w:color="auto" w:fill="auto"/>
            <w:noWrap/>
          </w:tcPr>
          <w:p w14:paraId="7897DB0F" w14:textId="77777777" w:rsidR="00D97D6C" w:rsidRPr="009E06AA" w:rsidRDefault="00D97D6C" w:rsidP="00B55F24">
            <w:pPr>
              <w:pStyle w:val="TableText"/>
              <w:spacing w:before="40" w:after="40"/>
              <w:rPr>
                <w:rFonts w:cs="Calibri"/>
                <w:color w:val="000000"/>
              </w:rPr>
            </w:pPr>
            <w:r w:rsidRPr="009E06AA">
              <w:rPr>
                <w:rFonts w:cs="Calibri"/>
                <w:color w:val="000000"/>
              </w:rPr>
              <w:t>Other (please specify) – Geothermal</w:t>
            </w:r>
          </w:p>
        </w:tc>
        <w:tc>
          <w:tcPr>
            <w:tcW w:w="669" w:type="dxa"/>
            <w:shd w:val="clear" w:color="auto" w:fill="auto"/>
            <w:noWrap/>
          </w:tcPr>
          <w:p w14:paraId="74BBC249" w14:textId="77777777" w:rsidR="00D97D6C" w:rsidRPr="009E06AA" w:rsidRDefault="00D97D6C" w:rsidP="00B55F24">
            <w:pPr>
              <w:pStyle w:val="TableText"/>
              <w:spacing w:before="40" w:after="40"/>
              <w:jc w:val="center"/>
              <w:rPr>
                <w:rFonts w:cs="Calibri"/>
                <w:color w:val="000000"/>
              </w:rPr>
            </w:pPr>
            <w:r w:rsidRPr="009E06AA">
              <w:rPr>
                <w:rFonts w:cs="Calibri"/>
                <w:color w:val="000000"/>
              </w:rPr>
              <w:t>CO</w:t>
            </w:r>
            <w:r w:rsidRPr="009E06AA">
              <w:rPr>
                <w:rFonts w:cs="Calibri"/>
                <w:color w:val="000000"/>
                <w:vertAlign w:val="subscript"/>
              </w:rPr>
              <w:t>2</w:t>
            </w:r>
          </w:p>
        </w:tc>
        <w:tc>
          <w:tcPr>
            <w:tcW w:w="1154" w:type="dxa"/>
            <w:shd w:val="clear" w:color="auto" w:fill="auto"/>
            <w:noWrap/>
          </w:tcPr>
          <w:p w14:paraId="621963D4" w14:textId="77777777" w:rsidR="00D97D6C" w:rsidRPr="009E06AA" w:rsidRDefault="00D97D6C" w:rsidP="00B55F24">
            <w:pPr>
              <w:pStyle w:val="TableText"/>
              <w:spacing w:before="40" w:after="40"/>
              <w:rPr>
                <w:rFonts w:cs="Calibri"/>
                <w:color w:val="000000"/>
              </w:rPr>
            </w:pPr>
            <w:r w:rsidRPr="009E06AA">
              <w:rPr>
                <w:rFonts w:cs="Calibri"/>
                <w:color w:val="000000"/>
              </w:rPr>
              <w:t>L1, T1</w:t>
            </w:r>
          </w:p>
        </w:tc>
      </w:tr>
    </w:tbl>
    <w:p w14:paraId="3B4FBF0F" w14:textId="77777777" w:rsidR="00D97D6C" w:rsidRPr="009E06AA" w:rsidRDefault="00D97D6C" w:rsidP="005E4A58">
      <w:pPr>
        <w:pStyle w:val="Noteundertable"/>
        <w:spacing w:after="0"/>
        <w:rPr>
          <w:rFonts w:cs="Calibri"/>
        </w:rPr>
      </w:pPr>
      <w:r w:rsidRPr="009E06AA">
        <w:rPr>
          <w:rFonts w:cs="Calibri"/>
          <w:b/>
        </w:rPr>
        <w:t>Note</w:t>
      </w:r>
      <w:r w:rsidRPr="009E06AA">
        <w:rPr>
          <w:rFonts w:cs="Calibri"/>
        </w:rPr>
        <w:t xml:space="preserve">: </w:t>
      </w:r>
      <w:r w:rsidRPr="009E06AA">
        <w:rPr>
          <w:rFonts w:cs="Calibri"/>
        </w:rPr>
        <w:tab/>
        <w:t>L1 means a key category is identified under the level analysis – approach 1 and T1 is trend analysis</w:t>
      </w:r>
      <w:r w:rsidRPr="009E06AA">
        <w:rPr>
          <w:rFonts w:cs="Calibri"/>
        </w:rPr>
        <w:br/>
        <w:t xml:space="preserve"> – approach 1. See chapter 1 for more information.</w:t>
      </w:r>
      <w:bookmarkEnd w:id="267"/>
      <w:bookmarkEnd w:id="268"/>
    </w:p>
    <w:p w14:paraId="7D617073" w14:textId="77777777" w:rsidR="00D97D6C" w:rsidRPr="009E06AA" w:rsidRDefault="00D97D6C" w:rsidP="00D97D6C">
      <w:pPr>
        <w:pStyle w:val="Heading3"/>
        <w:rPr>
          <w:rFonts w:cs="Calibri"/>
        </w:rPr>
      </w:pPr>
      <w:r w:rsidRPr="009E06AA">
        <w:rPr>
          <w:rFonts w:cs="Calibri"/>
        </w:rPr>
        <w:t>3.1.3</w:t>
      </w:r>
      <w:r w:rsidRPr="009E06AA">
        <w:rPr>
          <w:rFonts w:cs="Calibri"/>
        </w:rPr>
        <w:tab/>
        <w:t>New Zealand sectoral methodology</w:t>
      </w:r>
    </w:p>
    <w:p w14:paraId="1E23DFFE" w14:textId="77777777" w:rsidR="00D97D6C" w:rsidRPr="009E06AA" w:rsidRDefault="00D97D6C" w:rsidP="00D97D6C">
      <w:pPr>
        <w:pStyle w:val="BodyText"/>
        <w:rPr>
          <w:rFonts w:cs="Calibri"/>
        </w:rPr>
      </w:pPr>
      <w:r w:rsidRPr="009E06AA">
        <w:rPr>
          <w:rFonts w:cs="Calibri"/>
        </w:rPr>
        <w:t>Greenhouse gas emissions from the Energy sector are calculated using a detailed sectoral approach. This bottom-up approach is demand-based: it involves processing energy data collected on a regular basis through various surveys. For verification, New Zealand also applies the Intergovernmental Panel on Climate Change (IPCC) reference approach to estimate CO</w:t>
      </w:r>
      <w:r w:rsidRPr="009E06AA">
        <w:rPr>
          <w:rFonts w:cs="Calibri"/>
          <w:vertAlign w:val="subscript"/>
        </w:rPr>
        <w:t>2</w:t>
      </w:r>
      <w:r w:rsidRPr="009E06AA">
        <w:rPr>
          <w:rFonts w:cs="Calibri"/>
        </w:rPr>
        <w:t xml:space="preserve"> emissions from fuel combustion for the time series 1990 to 2022 (see annex 3). </w:t>
      </w:r>
    </w:p>
    <w:p w14:paraId="6154E29F" w14:textId="77777777" w:rsidR="00D97D6C" w:rsidRPr="009E06AA" w:rsidRDefault="00D97D6C" w:rsidP="00D97D6C">
      <w:pPr>
        <w:pStyle w:val="BodyText"/>
        <w:rPr>
          <w:rFonts w:cs="Calibri"/>
        </w:rPr>
      </w:pPr>
      <w:r w:rsidRPr="009E06AA">
        <w:rPr>
          <w:rFonts w:cs="Calibri"/>
        </w:rPr>
        <w:t xml:space="preserve">The activity data used for the sectoral approach are referred to as ‘observed’ energy-use figures. These are based on surveys and questionnaires administered by the Ministry of Business, Innovation and Employment (MBIE). The differences between ‘calculated’ and ‘observed’ figures are reported as statistical differences in the energy balance tables released along with </w:t>
      </w:r>
      <w:r w:rsidRPr="009E06AA">
        <w:rPr>
          <w:rFonts w:cs="Calibri"/>
          <w:i/>
          <w:iCs/>
          <w:lang w:eastAsia="en-GB"/>
        </w:rPr>
        <w:t xml:space="preserve">Energy in New Zealand </w:t>
      </w:r>
      <w:r w:rsidRPr="009E06AA">
        <w:rPr>
          <w:rFonts w:cs="Calibri"/>
        </w:rPr>
        <w:t xml:space="preserve">(MBIE, 2023). Note that, due to the intervening time between the publication of </w:t>
      </w:r>
      <w:r w:rsidRPr="009E06AA">
        <w:rPr>
          <w:rFonts w:cs="Calibri"/>
          <w:i/>
          <w:lang w:eastAsia="en-GB"/>
        </w:rPr>
        <w:t>Energy in New Zealand</w:t>
      </w:r>
      <w:r w:rsidRPr="009E06AA">
        <w:rPr>
          <w:rFonts w:cs="Calibri"/>
        </w:rPr>
        <w:t xml:space="preserve"> and the preparation of this submission, some data revisions may have occurred.</w:t>
      </w:r>
    </w:p>
    <w:p w14:paraId="1086D551" w14:textId="77777777" w:rsidR="00D97D6C" w:rsidRPr="009E06AA" w:rsidRDefault="00D97D6C" w:rsidP="00D97D6C">
      <w:pPr>
        <w:pStyle w:val="Heading3"/>
        <w:rPr>
          <w:rFonts w:cs="Calibri"/>
        </w:rPr>
      </w:pPr>
      <w:bookmarkStart w:id="269" w:name="_Ref379915380"/>
      <w:r w:rsidRPr="009E06AA">
        <w:rPr>
          <w:rFonts w:cs="Calibri"/>
        </w:rPr>
        <w:t>3.1.4</w:t>
      </w:r>
      <w:r w:rsidRPr="009E06AA">
        <w:rPr>
          <w:rFonts w:cs="Calibri"/>
        </w:rPr>
        <w:tab/>
        <w:t>International bunker fuels</w:t>
      </w:r>
      <w:bookmarkEnd w:id="269"/>
    </w:p>
    <w:p w14:paraId="1FB238F4" w14:textId="5069FC20" w:rsidR="00D97D6C" w:rsidRPr="009E06AA" w:rsidRDefault="00D97D6C" w:rsidP="00D97D6C">
      <w:pPr>
        <w:pStyle w:val="BodyText"/>
        <w:rPr>
          <w:rFonts w:cs="Calibri"/>
        </w:rPr>
      </w:pPr>
      <w:r w:rsidRPr="009E06AA">
        <w:rPr>
          <w:rFonts w:cs="Calibri"/>
        </w:rPr>
        <w:t>The data on fuel use by international transportation are collected and published online by MBIE (2023). This data release uses information from oil company survey returns through two</w:t>
      </w:r>
      <w:r w:rsidR="00903728" w:rsidRPr="009E06AA">
        <w:rPr>
          <w:rFonts w:cs="Calibri"/>
        </w:rPr>
        <w:t xml:space="preserve"> </w:t>
      </w:r>
      <w:r w:rsidRPr="009E06AA">
        <w:rPr>
          <w:rFonts w:cs="Calibri"/>
        </w:rPr>
        <w:t>surveys provided to MBIE.</w:t>
      </w:r>
    </w:p>
    <w:p w14:paraId="133FA8C8" w14:textId="77777777" w:rsidR="00D97D6C" w:rsidRPr="009E06AA" w:rsidRDefault="00D97D6C" w:rsidP="001608E9">
      <w:pPr>
        <w:pStyle w:val="Sub-bullet"/>
        <w:numPr>
          <w:ilvl w:val="0"/>
          <w:numId w:val="27"/>
        </w:numPr>
        <w:rPr>
          <w:lang w:eastAsia="en-GB"/>
        </w:rPr>
      </w:pPr>
      <w:r w:rsidRPr="009E06AA">
        <w:rPr>
          <w:lang w:eastAsia="en-GB"/>
        </w:rPr>
        <w:t xml:space="preserve">The </w:t>
      </w:r>
      <w:r w:rsidRPr="009E06AA">
        <w:rPr>
          <w:b/>
          <w:bCs/>
          <w:lang w:eastAsia="en-GB"/>
        </w:rPr>
        <w:t>Delivery of Petroleum Fuels by Industry</w:t>
      </w:r>
      <w:r w:rsidRPr="009E06AA">
        <w:rPr>
          <w:lang w:eastAsia="en-GB"/>
        </w:rPr>
        <w:t xml:space="preserve"> survey (DPFI) </w:t>
      </w:r>
      <w:r w:rsidRPr="009E06AA">
        <w:rPr>
          <w:rFonts w:cs="Calibri"/>
        </w:rPr>
        <w:t>is a quarterly survey that collects data on observed demand (i.e., actual sales figures) broken down by industrial sector.</w:t>
      </w:r>
    </w:p>
    <w:p w14:paraId="0C3AC6B8" w14:textId="77777777" w:rsidR="00D97D6C" w:rsidRPr="009E06AA" w:rsidRDefault="00D97D6C" w:rsidP="001608E9">
      <w:pPr>
        <w:pStyle w:val="Sub-bullet"/>
        <w:numPr>
          <w:ilvl w:val="0"/>
          <w:numId w:val="27"/>
        </w:numPr>
        <w:rPr>
          <w:lang w:eastAsia="en-GB"/>
        </w:rPr>
      </w:pPr>
      <w:r w:rsidRPr="009E06AA">
        <w:rPr>
          <w:lang w:eastAsia="en-GB"/>
        </w:rPr>
        <w:t xml:space="preserve">The </w:t>
      </w:r>
      <w:r w:rsidRPr="009E06AA">
        <w:rPr>
          <w:rFonts w:cs="Calibri"/>
          <w:b/>
        </w:rPr>
        <w:t>Monthly Oil Supply</w:t>
      </w:r>
      <w:r w:rsidRPr="009E06AA">
        <w:rPr>
          <w:rFonts w:cs="Calibri"/>
        </w:rPr>
        <w:t xml:space="preserve"> survey (</w:t>
      </w:r>
      <w:r w:rsidRPr="009E06AA">
        <w:rPr>
          <w:lang w:eastAsia="en-GB"/>
        </w:rPr>
        <w:t xml:space="preserve">MOS) is a monthly survey that asks companies selling fuels to provide a </w:t>
      </w:r>
      <w:r w:rsidRPr="009E06AA">
        <w:rPr>
          <w:rFonts w:cs="Calibri"/>
        </w:rPr>
        <w:t>liquid fuels supply balance.</w:t>
      </w:r>
    </w:p>
    <w:p w14:paraId="45E62DF3" w14:textId="58427482" w:rsidR="00D97D6C" w:rsidRPr="009E06AA" w:rsidRDefault="00D97D6C" w:rsidP="00D97D6C">
      <w:pPr>
        <w:pStyle w:val="BodyText"/>
        <w:rPr>
          <w:rFonts w:cs="Calibri"/>
        </w:rPr>
      </w:pPr>
      <w:r w:rsidRPr="009E06AA">
        <w:rPr>
          <w:rFonts w:cs="Calibri"/>
        </w:rPr>
        <w:t xml:space="preserve">Some of the international bunkers data in CRT 1.A.b are from the MOS, whereas the international bunkers data in CRT 1.D are from the DPFI. Companies that respond to the DPFI are asked to reconcile their figures with their figures in the MOS. Discrepancies between the surveys are usually very small, and the companies attribute these differences to the difference in approach between the two surveys (the MOS follows a top-down approach, while the DPFI follows a bottom-up approach). Furthermore, the MOS and DPFI are usually completed by different sections from within the fuel companies. Also, note that the </w:t>
      </w:r>
      <w:r w:rsidRPr="009E06AA">
        <w:rPr>
          <w:rFonts w:cs="Calibri"/>
          <w:i/>
          <w:iCs/>
        </w:rPr>
        <w:t>Other fuels</w:t>
      </w:r>
      <w:r w:rsidRPr="009E06AA">
        <w:rPr>
          <w:rFonts w:cs="Calibri"/>
        </w:rPr>
        <w:t> category is not covered in the DPFI so data must come from the MOS.</w:t>
      </w:r>
    </w:p>
    <w:p w14:paraId="2A7DAA75" w14:textId="77777777" w:rsidR="00D97D6C" w:rsidRPr="009E06AA" w:rsidRDefault="00D97D6C" w:rsidP="00D97D6C">
      <w:pPr>
        <w:pStyle w:val="Heading3"/>
        <w:rPr>
          <w:rFonts w:cs="Calibri"/>
        </w:rPr>
      </w:pPr>
      <w:r w:rsidRPr="009E06AA">
        <w:rPr>
          <w:rFonts w:cs="Calibri"/>
        </w:rPr>
        <w:t>3.1.5</w:t>
      </w:r>
      <w:r w:rsidRPr="009E06AA">
        <w:rPr>
          <w:rFonts w:cs="Calibri"/>
        </w:rPr>
        <w:tab/>
        <w:t>Feedstock and other non-energy use of fuels</w:t>
      </w:r>
    </w:p>
    <w:p w14:paraId="3201028D" w14:textId="0D810B1E" w:rsidR="00D97D6C" w:rsidRPr="009E06AA" w:rsidRDefault="00D97D6C" w:rsidP="00D97D6C">
      <w:pPr>
        <w:pStyle w:val="BodyText"/>
        <w:rPr>
          <w:rFonts w:cs="Calibri"/>
          <w:lang w:eastAsia="en-GB"/>
        </w:rPr>
      </w:pPr>
      <w:r w:rsidRPr="009E06AA">
        <w:rPr>
          <w:rFonts w:cs="Calibri"/>
          <w:lang w:eastAsia="en-GB"/>
        </w:rPr>
        <w:t>For some industrial companies, the fuels supplied are used both as fuels for combustion and as feedstocks. In these instances, process-related emissions are calculated by taking the fraction of carbon stored or sequestered in the final product (based on industry production and chemical composition of the product) and subtracting this from the total fuel supplied. This difference is assumed to be the amount of carbon emitted as CO</w:t>
      </w:r>
      <w:r w:rsidRPr="009E06AA">
        <w:rPr>
          <w:rFonts w:cs="Calibri"/>
          <w:vertAlign w:val="subscript"/>
          <w:lang w:eastAsia="en-GB"/>
        </w:rPr>
        <w:t>2</w:t>
      </w:r>
      <w:r w:rsidRPr="009E06AA">
        <w:t xml:space="preserve"> </w:t>
      </w:r>
      <w:r w:rsidRPr="009E06AA">
        <w:rPr>
          <w:rFonts w:cs="Calibri"/>
          <w:lang w:eastAsia="en-GB"/>
        </w:rPr>
        <w:t>and is reported under the Industrial Processes and Product Use (IPPU) sector and in CRT 1.AD. Other fuel materials, such as bitumen, also contribute to emissions that are reported under the IPPU sector and (where appropriate) in CRT 1.AD.</w:t>
      </w:r>
    </w:p>
    <w:p w14:paraId="6BCBAFF7" w14:textId="77777777" w:rsidR="00D97D6C" w:rsidRPr="009E06AA" w:rsidRDefault="00D97D6C" w:rsidP="00D97D6C">
      <w:pPr>
        <w:pStyle w:val="BodyText"/>
        <w:rPr>
          <w:rFonts w:cs="Calibri"/>
        </w:rPr>
      </w:pPr>
      <w:r w:rsidRPr="009E06AA">
        <w:rPr>
          <w:rFonts w:cs="Calibri"/>
        </w:rPr>
        <w:t>In New Zealand, these non-energy fuels are as follows.</w:t>
      </w:r>
    </w:p>
    <w:p w14:paraId="002A8148" w14:textId="77777777" w:rsidR="00D97D6C" w:rsidRPr="009E06AA" w:rsidRDefault="00D97D6C" w:rsidP="006934D8">
      <w:pPr>
        <w:pStyle w:val="Bullet"/>
      </w:pPr>
      <w:r w:rsidRPr="009E06AA">
        <w:t>The carbon in the natural gas used as feedstock to produce methanol is all considered to be stored in the product and therefore has no associated CO</w:t>
      </w:r>
      <w:r w:rsidRPr="009E06AA">
        <w:rPr>
          <w:vertAlign w:val="subscript"/>
        </w:rPr>
        <w:t>2</w:t>
      </w:r>
      <w:r w:rsidRPr="009E06AA">
        <w:t xml:space="preserve"> emissions. The balance of the carbon is oxidised and results in CO</w:t>
      </w:r>
      <w:r w:rsidRPr="009E06AA">
        <w:rPr>
          <w:vertAlign w:val="subscript"/>
        </w:rPr>
        <w:t>2</w:t>
      </w:r>
      <w:r w:rsidRPr="009E06AA">
        <w:t xml:space="preserve">. Emissions from fuel used for combustion are reported in CRT category 1.A.2.c. </w:t>
      </w:r>
      <w:r w:rsidRPr="009E06AA">
        <w:rPr>
          <w:rFonts w:cs="Calibri"/>
          <w:lang w:eastAsia="en-GB"/>
        </w:rPr>
        <w:t>These figures may differ slightly from those reported online by MBIE, which are based on natural gas energy use and non-energy use as reported by the plant operator.</w:t>
      </w:r>
    </w:p>
    <w:p w14:paraId="79AE6605" w14:textId="2A943E1D" w:rsidR="00D97D6C" w:rsidRPr="009E06AA" w:rsidRDefault="00D97D6C" w:rsidP="00D97D6C">
      <w:pPr>
        <w:pStyle w:val="Bullet"/>
      </w:pPr>
      <w:r w:rsidRPr="009E06AA">
        <w:t>All ammonia produced in New Zealand is processed into urea. Carbon dioxide emissions from the use of natural gas in ammonia production (feedstock) are reported under the IPPU sector and are included in CRT 1.AD. Emissions from fuel used for combustion are reported in CRT category 1.A.2.c.</w:t>
      </w:r>
    </w:p>
    <w:p w14:paraId="328CB6DE" w14:textId="77777777" w:rsidR="00D97D6C" w:rsidRPr="009E06AA" w:rsidRDefault="00D97D6C" w:rsidP="00D97D6C">
      <w:pPr>
        <w:pStyle w:val="Bullet"/>
      </w:pPr>
      <w:r w:rsidRPr="009E06AA">
        <w:t>Bitumen produced in New Zealand is not used as a fuel but rather as a road construction material (non-energy use). Bitumen therefore has no associated direct emissions. Indirect emissions are reported under the IPPU sector.</w:t>
      </w:r>
    </w:p>
    <w:p w14:paraId="5B503DD6" w14:textId="77777777" w:rsidR="00D97D6C" w:rsidRPr="009E06AA" w:rsidRDefault="00D97D6C" w:rsidP="00D97D6C">
      <w:pPr>
        <w:pStyle w:val="Bullet"/>
      </w:pPr>
      <w:r w:rsidRPr="009E06AA">
        <w:t xml:space="preserve">Coal used in steel production at New Zealand Steel Limited is used as a reductant, which is part of an industrial process. Therefore, all emissions from this coal are reported under the IPPU sector rather than the Energy sector. </w:t>
      </w:r>
    </w:p>
    <w:p w14:paraId="306116C1" w14:textId="77777777" w:rsidR="00D97D6C" w:rsidRPr="009E06AA" w:rsidRDefault="00D97D6C" w:rsidP="00D97D6C">
      <w:pPr>
        <w:pStyle w:val="BodyText"/>
        <w:rPr>
          <w:rFonts w:cs="Calibri"/>
          <w:lang w:eastAsia="en-GB"/>
        </w:rPr>
      </w:pPr>
      <w:r w:rsidRPr="009E06AA">
        <w:rPr>
          <w:rFonts w:cs="Calibri"/>
          <w:lang w:eastAsia="en-GB"/>
        </w:rPr>
        <w:t>For the four industries using natural gas as feedstock, the fraction of carbon stored is given in table 3.1.2. Emissions for individual products are withheld because of confidentiality concerns.</w:t>
      </w:r>
    </w:p>
    <w:p w14:paraId="17B2C60E" w14:textId="77777777" w:rsidR="00D97D6C" w:rsidRPr="009E06AA" w:rsidRDefault="00D97D6C" w:rsidP="00D97D6C">
      <w:pPr>
        <w:pStyle w:val="Table"/>
        <w:rPr>
          <w:rFonts w:cs="Calibri"/>
        </w:rPr>
      </w:pPr>
      <w:bookmarkStart w:id="270" w:name="_Toc507496589"/>
      <w:bookmarkStart w:id="271" w:name="_Toc36224523"/>
      <w:bookmarkStart w:id="272" w:name="_Toc68786404"/>
      <w:bookmarkStart w:id="273" w:name="_Toc164153803"/>
      <w:r w:rsidRPr="009E06AA">
        <w:rPr>
          <w:rFonts w:cs="Calibri"/>
        </w:rPr>
        <w:t xml:space="preserve">Table 3.1.2 </w:t>
      </w:r>
      <w:r w:rsidRPr="009E06AA">
        <w:rPr>
          <w:rFonts w:cs="Calibri"/>
        </w:rPr>
        <w:tab/>
        <w:t>Use of natural gas as a feedstock in New Zealand</w:t>
      </w:r>
      <w:bookmarkEnd w:id="270"/>
      <w:bookmarkEnd w:id="271"/>
      <w:bookmarkEnd w:id="272"/>
      <w:bookmarkEnd w:id="273"/>
    </w:p>
    <w:tbl>
      <w:tblPr>
        <w:tblW w:w="8505" w:type="dxa"/>
        <w:tblBorders>
          <w:top w:val="single" w:sz="4" w:space="0" w:color="1B556B"/>
          <w:bottom w:val="single" w:sz="4" w:space="0" w:color="1B556B"/>
          <w:insideH w:val="single" w:sz="4" w:space="0" w:color="1B556B"/>
          <w:insideV w:val="single" w:sz="4" w:space="0" w:color="1B556B"/>
        </w:tblBorders>
        <w:tblLayout w:type="fixed"/>
        <w:tblLook w:val="04A0" w:firstRow="1" w:lastRow="0" w:firstColumn="1" w:lastColumn="0" w:noHBand="0" w:noVBand="1"/>
      </w:tblPr>
      <w:tblGrid>
        <w:gridCol w:w="1240"/>
        <w:gridCol w:w="2421"/>
        <w:gridCol w:w="2253"/>
        <w:gridCol w:w="2591"/>
      </w:tblGrid>
      <w:tr w:rsidR="00D97D6C" w:rsidRPr="009E06AA" w14:paraId="24C9DF47" w14:textId="77777777" w:rsidTr="00B55F24">
        <w:trPr>
          <w:tblHeader/>
        </w:trPr>
        <w:tc>
          <w:tcPr>
            <w:tcW w:w="1129" w:type="dxa"/>
            <w:shd w:val="clear" w:color="auto" w:fill="1B556B"/>
            <w:noWrap/>
            <w:hideMark/>
          </w:tcPr>
          <w:p w14:paraId="4064B5B1" w14:textId="77777777" w:rsidR="00D97D6C" w:rsidRPr="009E06AA" w:rsidRDefault="00D97D6C" w:rsidP="00B55F24">
            <w:pPr>
              <w:pStyle w:val="TableTextBold"/>
              <w:keepNext/>
              <w:spacing w:before="50" w:after="50"/>
              <w:rPr>
                <w:rFonts w:cs="Calibri"/>
                <w:noProof w:val="0"/>
                <w:color w:val="FFFFFF"/>
              </w:rPr>
            </w:pPr>
            <w:r w:rsidRPr="009E06AA">
              <w:rPr>
                <w:rFonts w:cs="Calibri"/>
                <w:noProof w:val="0"/>
                <w:color w:val="FFFFFF"/>
              </w:rPr>
              <w:t>Product</w:t>
            </w:r>
          </w:p>
        </w:tc>
        <w:tc>
          <w:tcPr>
            <w:tcW w:w="2203" w:type="dxa"/>
            <w:shd w:val="clear" w:color="auto" w:fill="1B556B"/>
            <w:noWrap/>
            <w:hideMark/>
          </w:tcPr>
          <w:p w14:paraId="729B2063" w14:textId="77777777" w:rsidR="00D97D6C" w:rsidRPr="009E06AA" w:rsidRDefault="00D97D6C" w:rsidP="00466E0A">
            <w:pPr>
              <w:pStyle w:val="TableTextBold"/>
              <w:keepNext/>
              <w:spacing w:before="50" w:after="50"/>
              <w:jc w:val="right"/>
              <w:rPr>
                <w:rFonts w:cs="Calibri"/>
                <w:noProof w:val="0"/>
                <w:color w:val="FFFFFF"/>
              </w:rPr>
            </w:pPr>
            <w:r w:rsidRPr="009E06AA">
              <w:rPr>
                <w:rFonts w:cs="Calibri"/>
                <w:noProof w:val="0"/>
                <w:color w:val="FFFFFF"/>
              </w:rPr>
              <w:t>Percentage of carbon stored</w:t>
            </w:r>
          </w:p>
        </w:tc>
        <w:tc>
          <w:tcPr>
            <w:tcW w:w="2050" w:type="dxa"/>
            <w:shd w:val="clear" w:color="auto" w:fill="1B556B"/>
            <w:noWrap/>
            <w:hideMark/>
          </w:tcPr>
          <w:p w14:paraId="4436750B" w14:textId="77777777" w:rsidR="00D97D6C" w:rsidRPr="009E06AA" w:rsidRDefault="00D97D6C" w:rsidP="00B55F24">
            <w:pPr>
              <w:pStyle w:val="TableTextBold"/>
              <w:keepNext/>
              <w:spacing w:before="50" w:after="50"/>
              <w:rPr>
                <w:rFonts w:cs="Calibri"/>
                <w:noProof w:val="0"/>
                <w:color w:val="FFFFFF"/>
              </w:rPr>
            </w:pPr>
            <w:r w:rsidRPr="009E06AA">
              <w:rPr>
                <w:rFonts w:cs="Calibri"/>
                <w:noProof w:val="0"/>
                <w:color w:val="FFFFFF"/>
              </w:rPr>
              <w:t>Energy use reported under</w:t>
            </w:r>
          </w:p>
        </w:tc>
        <w:tc>
          <w:tcPr>
            <w:tcW w:w="2358" w:type="dxa"/>
            <w:shd w:val="clear" w:color="auto" w:fill="1B556B"/>
            <w:noWrap/>
            <w:hideMark/>
          </w:tcPr>
          <w:p w14:paraId="7835033B" w14:textId="77777777" w:rsidR="00D97D6C" w:rsidRPr="009E06AA" w:rsidRDefault="00D97D6C" w:rsidP="00B55F24">
            <w:pPr>
              <w:pStyle w:val="TableTextBold"/>
              <w:keepNext/>
              <w:spacing w:before="50" w:after="50"/>
              <w:rPr>
                <w:rFonts w:cs="Calibri"/>
                <w:noProof w:val="0"/>
                <w:color w:val="FFFFFF"/>
              </w:rPr>
            </w:pPr>
            <w:r w:rsidRPr="009E06AA">
              <w:rPr>
                <w:rFonts w:cs="Calibri"/>
                <w:noProof w:val="0"/>
                <w:color w:val="FFFFFF"/>
              </w:rPr>
              <w:t>Non-energy use reported under</w:t>
            </w:r>
          </w:p>
        </w:tc>
      </w:tr>
      <w:tr w:rsidR="00D97D6C" w:rsidRPr="009E06AA" w14:paraId="3D42849B" w14:textId="77777777" w:rsidTr="00B55F24">
        <w:tc>
          <w:tcPr>
            <w:tcW w:w="1129" w:type="dxa"/>
            <w:shd w:val="clear" w:color="auto" w:fill="auto"/>
            <w:noWrap/>
            <w:hideMark/>
          </w:tcPr>
          <w:p w14:paraId="6F876F8C" w14:textId="77777777" w:rsidR="00D97D6C" w:rsidRPr="009E06AA" w:rsidRDefault="00D97D6C" w:rsidP="00B55F24">
            <w:pPr>
              <w:pStyle w:val="TableText"/>
              <w:spacing w:before="50" w:after="50"/>
            </w:pPr>
            <w:r w:rsidRPr="009E06AA">
              <w:t>Methanol</w:t>
            </w:r>
          </w:p>
        </w:tc>
        <w:tc>
          <w:tcPr>
            <w:tcW w:w="2203" w:type="dxa"/>
            <w:shd w:val="clear" w:color="auto" w:fill="auto"/>
            <w:noWrap/>
            <w:hideMark/>
          </w:tcPr>
          <w:p w14:paraId="39CF3603" w14:textId="77777777" w:rsidR="00D97D6C" w:rsidRPr="009E06AA" w:rsidRDefault="00D97D6C" w:rsidP="00466E0A">
            <w:pPr>
              <w:pStyle w:val="TableText"/>
              <w:spacing w:before="50" w:after="50"/>
              <w:jc w:val="right"/>
            </w:pPr>
            <w:r w:rsidRPr="009E06AA">
              <w:t>100</w:t>
            </w:r>
          </w:p>
        </w:tc>
        <w:tc>
          <w:tcPr>
            <w:tcW w:w="2050" w:type="dxa"/>
            <w:shd w:val="clear" w:color="auto" w:fill="auto"/>
            <w:noWrap/>
            <w:hideMark/>
          </w:tcPr>
          <w:p w14:paraId="5D57D725" w14:textId="77777777" w:rsidR="00D97D6C" w:rsidRPr="009E06AA" w:rsidRDefault="00D97D6C" w:rsidP="00B55F24">
            <w:pPr>
              <w:pStyle w:val="TableText"/>
              <w:spacing w:before="50" w:after="50"/>
            </w:pPr>
            <w:r w:rsidRPr="009E06AA">
              <w:t>1.A.2.c</w:t>
            </w:r>
          </w:p>
        </w:tc>
        <w:tc>
          <w:tcPr>
            <w:tcW w:w="2358" w:type="dxa"/>
            <w:shd w:val="clear" w:color="auto" w:fill="auto"/>
            <w:noWrap/>
            <w:hideMark/>
          </w:tcPr>
          <w:p w14:paraId="0DE5A047" w14:textId="77777777" w:rsidR="00D97D6C" w:rsidRPr="009E06AA" w:rsidRDefault="00D97D6C" w:rsidP="00B55F24">
            <w:pPr>
              <w:pStyle w:val="TableText"/>
              <w:spacing w:before="50" w:after="50"/>
            </w:pPr>
            <w:r w:rsidRPr="009E06AA">
              <w:t>NA</w:t>
            </w:r>
          </w:p>
        </w:tc>
      </w:tr>
      <w:tr w:rsidR="00D97D6C" w:rsidRPr="009E06AA" w14:paraId="507B913B" w14:textId="77777777" w:rsidTr="00B55F24">
        <w:tc>
          <w:tcPr>
            <w:tcW w:w="1129" w:type="dxa"/>
            <w:shd w:val="clear" w:color="auto" w:fill="auto"/>
            <w:noWrap/>
          </w:tcPr>
          <w:p w14:paraId="3BE60CB8" w14:textId="77777777" w:rsidR="00D97D6C" w:rsidRPr="009E06AA" w:rsidRDefault="00D97D6C" w:rsidP="00B55F24">
            <w:pPr>
              <w:pStyle w:val="TableText"/>
              <w:spacing w:before="50" w:after="50"/>
              <w:rPr>
                <w:szCs w:val="16"/>
              </w:rPr>
            </w:pPr>
            <w:r w:rsidRPr="009E06AA">
              <w:rPr>
                <w:szCs w:val="16"/>
              </w:rPr>
              <w:t>Urea</w:t>
            </w:r>
          </w:p>
        </w:tc>
        <w:tc>
          <w:tcPr>
            <w:tcW w:w="2203" w:type="dxa"/>
            <w:shd w:val="clear" w:color="auto" w:fill="auto"/>
            <w:noWrap/>
          </w:tcPr>
          <w:p w14:paraId="0382C397" w14:textId="77777777" w:rsidR="00D97D6C" w:rsidRPr="009E06AA" w:rsidRDefault="00D97D6C" w:rsidP="00466E0A">
            <w:pPr>
              <w:pStyle w:val="TableText"/>
              <w:spacing w:before="50" w:after="50"/>
              <w:jc w:val="right"/>
              <w:rPr>
                <w:szCs w:val="16"/>
              </w:rPr>
            </w:pPr>
            <w:r w:rsidRPr="009E06AA">
              <w:rPr>
                <w:szCs w:val="16"/>
              </w:rPr>
              <w:t>80–93</w:t>
            </w:r>
            <w:r w:rsidRPr="009E06AA">
              <w:rPr>
                <w:rStyle w:val="FootnoteReference"/>
                <w:sz w:val="16"/>
                <w:szCs w:val="16"/>
              </w:rPr>
              <w:footnoteReference w:id="22"/>
            </w:r>
          </w:p>
        </w:tc>
        <w:tc>
          <w:tcPr>
            <w:tcW w:w="2050" w:type="dxa"/>
            <w:shd w:val="clear" w:color="auto" w:fill="auto"/>
            <w:noWrap/>
          </w:tcPr>
          <w:p w14:paraId="4A963C0A" w14:textId="77777777" w:rsidR="00D97D6C" w:rsidRPr="009E06AA" w:rsidRDefault="00D97D6C" w:rsidP="00B55F24">
            <w:pPr>
              <w:pStyle w:val="TableText"/>
              <w:spacing w:before="50" w:after="50"/>
              <w:rPr>
                <w:szCs w:val="16"/>
              </w:rPr>
            </w:pPr>
            <w:r w:rsidRPr="009E06AA">
              <w:rPr>
                <w:szCs w:val="16"/>
              </w:rPr>
              <w:t>1.A.2.c</w:t>
            </w:r>
          </w:p>
        </w:tc>
        <w:tc>
          <w:tcPr>
            <w:tcW w:w="2358" w:type="dxa"/>
            <w:shd w:val="clear" w:color="auto" w:fill="auto"/>
            <w:noWrap/>
          </w:tcPr>
          <w:p w14:paraId="008A30B7" w14:textId="77777777" w:rsidR="00D97D6C" w:rsidRPr="009E06AA" w:rsidRDefault="00D97D6C" w:rsidP="00B55F24">
            <w:pPr>
              <w:pStyle w:val="TableText"/>
              <w:spacing w:before="50" w:after="50"/>
              <w:rPr>
                <w:szCs w:val="16"/>
              </w:rPr>
            </w:pPr>
            <w:r w:rsidRPr="009E06AA">
              <w:rPr>
                <w:szCs w:val="16"/>
              </w:rPr>
              <w:t>2.B.1</w:t>
            </w:r>
          </w:p>
        </w:tc>
      </w:tr>
      <w:tr w:rsidR="00D97D6C" w:rsidRPr="009E06AA" w14:paraId="72648740" w14:textId="77777777" w:rsidTr="00B55F24">
        <w:tc>
          <w:tcPr>
            <w:tcW w:w="1129" w:type="dxa"/>
            <w:shd w:val="clear" w:color="auto" w:fill="auto"/>
            <w:noWrap/>
          </w:tcPr>
          <w:p w14:paraId="2F7F597B" w14:textId="77777777" w:rsidR="00D97D6C" w:rsidRPr="009E06AA" w:rsidRDefault="00D97D6C" w:rsidP="00B55F24">
            <w:pPr>
              <w:pStyle w:val="TableText"/>
              <w:spacing w:before="50" w:after="50"/>
            </w:pPr>
            <w:r w:rsidRPr="009E06AA">
              <w:t>Hydrogen</w:t>
            </w:r>
          </w:p>
        </w:tc>
        <w:tc>
          <w:tcPr>
            <w:tcW w:w="2203" w:type="dxa"/>
            <w:shd w:val="clear" w:color="auto" w:fill="auto"/>
            <w:noWrap/>
          </w:tcPr>
          <w:p w14:paraId="439888D8" w14:textId="77777777" w:rsidR="00D97D6C" w:rsidRPr="009E06AA" w:rsidRDefault="00D97D6C" w:rsidP="00466E0A">
            <w:pPr>
              <w:pStyle w:val="TableText"/>
              <w:spacing w:before="50" w:after="50"/>
              <w:jc w:val="right"/>
            </w:pPr>
            <w:r w:rsidRPr="009E06AA">
              <w:t>0</w:t>
            </w:r>
          </w:p>
        </w:tc>
        <w:tc>
          <w:tcPr>
            <w:tcW w:w="2050" w:type="dxa"/>
            <w:shd w:val="clear" w:color="auto" w:fill="auto"/>
            <w:noWrap/>
          </w:tcPr>
          <w:p w14:paraId="4DC6930C" w14:textId="77777777" w:rsidR="00D97D6C" w:rsidRPr="009E06AA" w:rsidRDefault="00D97D6C" w:rsidP="00B55F24">
            <w:pPr>
              <w:pStyle w:val="TableText"/>
              <w:spacing w:before="50" w:after="50"/>
            </w:pPr>
            <w:r w:rsidRPr="009E06AA">
              <w:t>1.A.2.c</w:t>
            </w:r>
          </w:p>
        </w:tc>
        <w:tc>
          <w:tcPr>
            <w:tcW w:w="2358" w:type="dxa"/>
            <w:shd w:val="clear" w:color="auto" w:fill="auto"/>
            <w:noWrap/>
          </w:tcPr>
          <w:p w14:paraId="5603FF43" w14:textId="77777777" w:rsidR="00D97D6C" w:rsidRPr="009E06AA" w:rsidRDefault="00D97D6C" w:rsidP="00B55F24">
            <w:pPr>
              <w:pStyle w:val="TableText"/>
              <w:spacing w:before="50" w:after="50"/>
            </w:pPr>
            <w:r w:rsidRPr="009E06AA">
              <w:t>2.B.10</w:t>
            </w:r>
          </w:p>
        </w:tc>
      </w:tr>
      <w:tr w:rsidR="00D97D6C" w:rsidRPr="009E06AA" w14:paraId="72A975B2" w14:textId="77777777" w:rsidTr="00B55F24">
        <w:tc>
          <w:tcPr>
            <w:tcW w:w="1129" w:type="dxa"/>
            <w:shd w:val="clear" w:color="auto" w:fill="auto"/>
            <w:noWrap/>
          </w:tcPr>
          <w:p w14:paraId="15A5A142" w14:textId="77777777" w:rsidR="00D97D6C" w:rsidRPr="009E06AA" w:rsidRDefault="00D97D6C" w:rsidP="00B55F24">
            <w:pPr>
              <w:pStyle w:val="TableText"/>
              <w:spacing w:before="50" w:after="50"/>
            </w:pPr>
            <w:r w:rsidRPr="009E06AA">
              <w:t>Steel</w:t>
            </w:r>
          </w:p>
        </w:tc>
        <w:tc>
          <w:tcPr>
            <w:tcW w:w="2203" w:type="dxa"/>
            <w:shd w:val="clear" w:color="auto" w:fill="auto"/>
            <w:noWrap/>
          </w:tcPr>
          <w:p w14:paraId="0E280FF6" w14:textId="77777777" w:rsidR="00D97D6C" w:rsidRPr="009E06AA" w:rsidRDefault="00D97D6C" w:rsidP="00466E0A">
            <w:pPr>
              <w:pStyle w:val="TableText"/>
              <w:spacing w:before="50" w:after="50"/>
              <w:jc w:val="right"/>
            </w:pPr>
            <w:r w:rsidRPr="009E06AA">
              <w:t>0</w:t>
            </w:r>
          </w:p>
        </w:tc>
        <w:tc>
          <w:tcPr>
            <w:tcW w:w="2050" w:type="dxa"/>
            <w:shd w:val="clear" w:color="auto" w:fill="auto"/>
            <w:noWrap/>
          </w:tcPr>
          <w:p w14:paraId="31F8FF93" w14:textId="77777777" w:rsidR="00D97D6C" w:rsidRPr="009E06AA" w:rsidRDefault="00D97D6C" w:rsidP="00B55F24">
            <w:pPr>
              <w:pStyle w:val="TableText"/>
              <w:spacing w:before="50" w:after="50"/>
            </w:pPr>
            <w:r w:rsidRPr="009E06AA">
              <w:t>1.A.2.a</w:t>
            </w:r>
          </w:p>
        </w:tc>
        <w:tc>
          <w:tcPr>
            <w:tcW w:w="2358" w:type="dxa"/>
            <w:shd w:val="clear" w:color="auto" w:fill="auto"/>
            <w:noWrap/>
          </w:tcPr>
          <w:p w14:paraId="38716E83" w14:textId="77777777" w:rsidR="00D97D6C" w:rsidRPr="009E06AA" w:rsidRDefault="00D97D6C" w:rsidP="00B55F24">
            <w:pPr>
              <w:pStyle w:val="TableText"/>
              <w:spacing w:before="50" w:after="50"/>
            </w:pPr>
            <w:r w:rsidRPr="009E06AA">
              <w:t>2.C.1</w:t>
            </w:r>
          </w:p>
        </w:tc>
      </w:tr>
    </w:tbl>
    <w:p w14:paraId="6A153342" w14:textId="77777777" w:rsidR="00D97D6C" w:rsidRPr="009E06AA" w:rsidRDefault="00D97D6C" w:rsidP="00D97D6C">
      <w:pPr>
        <w:pStyle w:val="Noteundertable"/>
        <w:rPr>
          <w:rFonts w:cs="Calibri"/>
        </w:rPr>
      </w:pPr>
      <w:r w:rsidRPr="009E06AA">
        <w:rPr>
          <w:b/>
          <w:bCs/>
          <w:lang w:eastAsia="en-GB"/>
        </w:rPr>
        <w:t>Note:</w:t>
      </w:r>
      <w:r w:rsidRPr="009E06AA">
        <w:rPr>
          <w:lang w:eastAsia="en-GB"/>
        </w:rPr>
        <w:t xml:space="preserve"> NA = not applicable.</w:t>
      </w:r>
    </w:p>
    <w:p w14:paraId="4A5C6615" w14:textId="77777777" w:rsidR="00D97D6C" w:rsidRPr="009E06AA" w:rsidRDefault="00D97D6C" w:rsidP="00D97D6C">
      <w:pPr>
        <w:pStyle w:val="BodyText"/>
        <w:rPr>
          <w:rFonts w:cs="Calibri"/>
        </w:rPr>
      </w:pPr>
      <w:r w:rsidRPr="009E06AA">
        <w:rPr>
          <w:rFonts w:cs="Calibri"/>
        </w:rPr>
        <w:t xml:space="preserve">All ammonia produced in </w:t>
      </w:r>
      <w:r w:rsidRPr="009E06AA">
        <w:t>New Zealand</w:t>
      </w:r>
      <w:r w:rsidRPr="009E06AA">
        <w:rPr>
          <w:rFonts w:cs="Calibri"/>
        </w:rPr>
        <w:t xml:space="preserve"> is processed into urea, and the split of feedstock gas and fuel gas used in producing urea is provided by the company. Although most of the carbon in feedstock gas used for urea production is stored in the product, this carbon is later emitted when the urea is used on farms as fertiliser. These emissions are reported under the Agriculture sector under urea application.</w:t>
      </w:r>
    </w:p>
    <w:p w14:paraId="55C51E2D" w14:textId="77777777" w:rsidR="00D97D6C" w:rsidRPr="009E06AA" w:rsidRDefault="00D97D6C" w:rsidP="00D97D6C">
      <w:pPr>
        <w:pStyle w:val="BodyText"/>
        <w:spacing w:after="100"/>
        <w:rPr>
          <w:rFonts w:cs="Calibri"/>
        </w:rPr>
      </w:pPr>
      <w:r w:rsidRPr="009E06AA">
        <w:rPr>
          <w:rFonts w:cs="Calibri"/>
        </w:rPr>
        <w:t xml:space="preserve">Emissions from synthetic gasoline production are reported in the </w:t>
      </w:r>
      <w:r w:rsidRPr="009E06AA">
        <w:rPr>
          <w:rFonts w:cs="Calibri"/>
          <w:i/>
          <w:lang w:eastAsia="en-GB"/>
        </w:rPr>
        <w:t>Manufacture of solid fuels and other energy industries</w:t>
      </w:r>
      <w:r w:rsidRPr="009E06AA">
        <w:rPr>
          <w:rFonts w:cs="Calibri"/>
        </w:rPr>
        <w:t xml:space="preserve"> category. Synthetic gasoline production in </w:t>
      </w:r>
      <w:r w:rsidRPr="009E06AA">
        <w:t>New Zealand</w:t>
      </w:r>
      <w:r w:rsidRPr="009E06AA">
        <w:rPr>
          <w:rFonts w:cs="Calibri"/>
        </w:rPr>
        <w:t xml:space="preserve"> ceased in 1997.</w:t>
      </w:r>
    </w:p>
    <w:p w14:paraId="0623896E" w14:textId="77777777" w:rsidR="00D97D6C" w:rsidRPr="009E06AA" w:rsidRDefault="00D97D6C" w:rsidP="00D97D6C">
      <w:pPr>
        <w:pStyle w:val="BodyText"/>
        <w:spacing w:before="100" w:after="100"/>
        <w:rPr>
          <w:rFonts w:cs="Calibri"/>
        </w:rPr>
      </w:pPr>
      <w:r w:rsidRPr="009E06AA">
        <w:rPr>
          <w:rFonts w:cs="Calibri"/>
        </w:rPr>
        <w:t xml:space="preserve">The allocation of natural gas consumed for energy use versus non-energy use across time is shown in figure 3.1.2, and a table giving the energy versus non-energy use data for natural gas is included in annex 5. The trend in natural gas use in the </w:t>
      </w:r>
      <w:r w:rsidRPr="009E06AA">
        <w:rPr>
          <w:rFonts w:cs="Calibri"/>
          <w:i/>
          <w:iCs/>
          <w:lang w:eastAsia="en-GB"/>
        </w:rPr>
        <w:t>Chemicals</w:t>
      </w:r>
      <w:r w:rsidRPr="009E06AA">
        <w:rPr>
          <w:rFonts w:cs="Calibri"/>
        </w:rPr>
        <w:t xml:space="preserve"> category can be explained partly by events in the methanol production industry in </w:t>
      </w:r>
      <w:r w:rsidRPr="009E06AA">
        <w:t>New Zealand</w:t>
      </w:r>
      <w:r w:rsidRPr="009E06AA">
        <w:rPr>
          <w:rFonts w:cs="Calibri"/>
        </w:rPr>
        <w:t>.</w:t>
      </w:r>
    </w:p>
    <w:p w14:paraId="1C5BF5B7" w14:textId="77777777" w:rsidR="00D97D6C" w:rsidRPr="009E06AA" w:rsidRDefault="00D97D6C" w:rsidP="00D97D6C">
      <w:pPr>
        <w:pStyle w:val="BodyText"/>
        <w:spacing w:before="100" w:after="100"/>
        <w:rPr>
          <w:rFonts w:cs="Calibri"/>
        </w:rPr>
      </w:pPr>
      <w:r w:rsidRPr="009E06AA">
        <w:rPr>
          <w:rFonts w:cs="Calibri"/>
        </w:rPr>
        <w:t>Methanex New Zealand operates methanol production plants in the country and is a major gas user. Methanex significantly reduced its production in 2004 following deficient gas supply in 2003, but increased its capacity in 2008 and then further in 2012. Production at full capacity resumed in December 2013.</w:t>
      </w:r>
    </w:p>
    <w:p w14:paraId="0EEE1C2A" w14:textId="77777777" w:rsidR="00D97D6C" w:rsidRPr="009E06AA" w:rsidRDefault="00D97D6C" w:rsidP="00D97D6C">
      <w:pPr>
        <w:pStyle w:val="BodyText"/>
        <w:spacing w:before="100" w:after="100"/>
        <w:rPr>
          <w:rFonts w:cs="Calibri"/>
        </w:rPr>
      </w:pPr>
      <w:r w:rsidRPr="009E06AA">
        <w:rPr>
          <w:rFonts w:cs="Calibri"/>
        </w:rPr>
        <w:t>Details of natural gas use for the various non-energy uses are covered under the IPPU sector (chapter 4).</w:t>
      </w:r>
    </w:p>
    <w:p w14:paraId="5FBB30F3" w14:textId="434A508F" w:rsidR="00D97D6C" w:rsidRPr="009E06AA" w:rsidRDefault="00D97D6C" w:rsidP="00D97D6C">
      <w:pPr>
        <w:pStyle w:val="Figure"/>
        <w:spacing w:after="80"/>
        <w:rPr>
          <w:rFonts w:cs="Calibri"/>
        </w:rPr>
      </w:pPr>
      <w:bookmarkStart w:id="274" w:name="_Toc481751985"/>
      <w:bookmarkStart w:id="275" w:name="_Toc36292769"/>
      <w:bookmarkStart w:id="276" w:name="_Toc68786634"/>
      <w:bookmarkStart w:id="277" w:name="_Toc164154005"/>
      <w:bookmarkStart w:id="278" w:name="_Toc95834069"/>
      <w:r w:rsidRPr="009E06AA">
        <w:rPr>
          <w:rFonts w:cs="Calibri"/>
        </w:rPr>
        <w:t>Figure 3.1.2</w:t>
      </w:r>
      <w:r w:rsidRPr="009E06AA">
        <w:rPr>
          <w:rFonts w:cs="Calibri"/>
        </w:rPr>
        <w:tab/>
        <w:t>Natural gas consumption by end use type</w:t>
      </w:r>
      <w:bookmarkEnd w:id="274"/>
      <w:r w:rsidR="00636ED3" w:rsidRPr="009E06AA">
        <w:rPr>
          <w:rFonts w:cs="Calibri"/>
        </w:rPr>
        <w:t>,</w:t>
      </w:r>
      <w:r w:rsidRPr="009E06AA">
        <w:rPr>
          <w:rFonts w:cs="Calibri"/>
        </w:rPr>
        <w:t xml:space="preserve"> from 1990 to </w:t>
      </w:r>
      <w:bookmarkEnd w:id="275"/>
      <w:bookmarkEnd w:id="276"/>
      <w:r w:rsidRPr="009E06AA">
        <w:rPr>
          <w:rFonts w:cs="Calibri"/>
        </w:rPr>
        <w:t>2022</w:t>
      </w:r>
      <w:bookmarkEnd w:id="277"/>
      <w:r w:rsidRPr="009E06AA">
        <w:rPr>
          <w:rFonts w:cs="Calibri"/>
        </w:rPr>
        <w:t xml:space="preserve"> </w:t>
      </w:r>
      <w:bookmarkEnd w:id="278"/>
    </w:p>
    <w:p w14:paraId="2B51D53C" w14:textId="200E861A" w:rsidR="00D97D6C" w:rsidRPr="009E06AA" w:rsidRDefault="00E92B9D" w:rsidP="00D97D6C">
      <w:pPr>
        <w:pStyle w:val="BodyText"/>
        <w:spacing w:after="0"/>
        <w:rPr>
          <w:lang w:eastAsia="en-GB"/>
        </w:rPr>
      </w:pPr>
      <w:r w:rsidRPr="009E06AA">
        <w:rPr>
          <w:noProof/>
        </w:rPr>
        <w:drawing>
          <wp:inline distT="0" distB="0" distL="0" distR="0" wp14:anchorId="683B4532" wp14:editId="595AE880">
            <wp:extent cx="5227607" cy="2286000"/>
            <wp:effectExtent l="0" t="0" r="0" b="0"/>
            <wp:docPr id="2111954040" name="Picture 21119540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1954040" name="Picture 2111954040"/>
                    <pic:cNvPicPr/>
                  </pic:nvPicPr>
                  <pic:blipFill rotWithShape="1">
                    <a:blip r:embed="rId55" cstate="print">
                      <a:extLst>
                        <a:ext uri="{28A0092B-C50C-407E-A947-70E740481C1C}">
                          <a14:useLocalDpi xmlns:a14="http://schemas.microsoft.com/office/drawing/2010/main" val="0"/>
                        </a:ext>
                      </a:extLst>
                    </a:blip>
                    <a:srcRect t="3117" b="5853"/>
                    <a:stretch/>
                  </pic:blipFill>
                  <pic:spPr bwMode="auto">
                    <a:xfrm>
                      <a:off x="0" y="0"/>
                      <a:ext cx="5227607" cy="2286000"/>
                    </a:xfrm>
                    <a:prstGeom prst="rect">
                      <a:avLst/>
                    </a:prstGeom>
                    <a:ln>
                      <a:noFill/>
                    </a:ln>
                    <a:extLst>
                      <a:ext uri="{53640926-AAD7-44D8-BBD7-CCE9431645EC}">
                        <a14:shadowObscured xmlns:a14="http://schemas.microsoft.com/office/drawing/2010/main"/>
                      </a:ext>
                    </a:extLst>
                  </pic:spPr>
                </pic:pic>
              </a:graphicData>
            </a:graphic>
          </wp:inline>
        </w:drawing>
      </w:r>
    </w:p>
    <w:p w14:paraId="7D6E3B68" w14:textId="77777777" w:rsidR="00D97D6C" w:rsidRPr="009E06AA" w:rsidRDefault="00D97D6C" w:rsidP="00D97D6C">
      <w:pPr>
        <w:pStyle w:val="Heading3"/>
        <w:rPr>
          <w:rFonts w:cs="Calibri"/>
        </w:rPr>
      </w:pPr>
      <w:r w:rsidRPr="009E06AA">
        <w:rPr>
          <w:rFonts w:cs="Calibri"/>
        </w:rPr>
        <w:t>3.1.6</w:t>
      </w:r>
      <w:r w:rsidRPr="009E06AA">
        <w:rPr>
          <w:rFonts w:cs="Calibri"/>
        </w:rPr>
        <w:tab/>
        <w:t>Country-specific issues</w:t>
      </w:r>
    </w:p>
    <w:p w14:paraId="08E9F21B" w14:textId="77777777" w:rsidR="00D97D6C" w:rsidRPr="009E06AA" w:rsidRDefault="00D97D6C" w:rsidP="00D97D6C">
      <w:pPr>
        <w:pStyle w:val="BodyText"/>
        <w:spacing w:before="100" w:after="100"/>
        <w:rPr>
          <w:rFonts w:cs="Calibri"/>
        </w:rPr>
      </w:pPr>
      <w:r w:rsidRPr="009E06AA">
        <w:rPr>
          <w:rFonts w:cs="Calibri"/>
        </w:rPr>
        <w:t>Reporting for the Energy sector presents an issue related to the 2006</w:t>
      </w:r>
      <w:r w:rsidRPr="009E06AA">
        <w:rPr>
          <w:rFonts w:cs="Calibri"/>
          <w:i/>
          <w:iCs/>
          <w:lang w:eastAsia="en-GB"/>
        </w:rPr>
        <w:t xml:space="preserve"> </w:t>
      </w:r>
      <w:r w:rsidRPr="009E06AA">
        <w:rPr>
          <w:rFonts w:cs="Calibri"/>
        </w:rPr>
        <w:t>IPCC Guidelines (IPCC, 2006). The issue is described below.</w:t>
      </w:r>
    </w:p>
    <w:p w14:paraId="11F9A9E3" w14:textId="77777777" w:rsidR="00D97D6C" w:rsidRPr="009E06AA" w:rsidRDefault="00D97D6C" w:rsidP="00D97D6C">
      <w:pPr>
        <w:pStyle w:val="Heading4"/>
        <w:spacing w:before="180"/>
        <w:rPr>
          <w:rFonts w:cs="Calibri"/>
        </w:rPr>
      </w:pPr>
      <w:r w:rsidRPr="009E06AA">
        <w:rPr>
          <w:lang w:eastAsia="en-GB"/>
        </w:rPr>
        <w:t>Sectoral approach – Methanol production</w:t>
      </w:r>
    </w:p>
    <w:p w14:paraId="31F72628" w14:textId="77777777" w:rsidR="00D97D6C" w:rsidRPr="009E06AA" w:rsidRDefault="00D97D6C" w:rsidP="00D97D6C">
      <w:pPr>
        <w:pStyle w:val="BodyText"/>
        <w:spacing w:before="100" w:after="100"/>
        <w:rPr>
          <w:rFonts w:cs="Calibri"/>
        </w:rPr>
      </w:pPr>
      <w:r w:rsidRPr="009E06AA">
        <w:rPr>
          <w:rFonts w:cs="Calibri"/>
        </w:rPr>
        <w:t xml:space="preserve">Sector activity data do not include non-energy use of fuels, and thus we do not need to modify emissions to account for the sequestration of carbon in methanol. Emissions from the natural gas used as fuel are reported in the CRT category 1.A.2.c </w:t>
      </w:r>
      <w:r w:rsidRPr="009E06AA">
        <w:rPr>
          <w:rFonts w:cs="Calibri"/>
          <w:i/>
        </w:rPr>
        <w:t>Chemicals</w:t>
      </w:r>
      <w:r w:rsidRPr="009E06AA">
        <w:rPr>
          <w:rFonts w:cs="Calibri"/>
        </w:rPr>
        <w:t xml:space="preserve"> under the Energy sector, and the emissions from the natural gas used as feedstock are described in chapter 4 (IPPU sector), section 4.3.2. </w:t>
      </w:r>
    </w:p>
    <w:p w14:paraId="717FAB50" w14:textId="77777777" w:rsidR="00D97D6C" w:rsidRPr="009E06AA" w:rsidRDefault="00D97D6C" w:rsidP="00D97D6C">
      <w:pPr>
        <w:pStyle w:val="Heading3"/>
        <w:spacing w:before="280"/>
        <w:rPr>
          <w:rFonts w:cs="Calibri"/>
        </w:rPr>
      </w:pPr>
      <w:r w:rsidRPr="009E06AA">
        <w:rPr>
          <w:rFonts w:cs="Calibri"/>
        </w:rPr>
        <w:t>3.1.7</w:t>
      </w:r>
      <w:r w:rsidRPr="009E06AA">
        <w:rPr>
          <w:rFonts w:cs="Calibri"/>
        </w:rPr>
        <w:tab/>
        <w:t>New Zealand energy balance</w:t>
      </w:r>
    </w:p>
    <w:p w14:paraId="49DC13A6" w14:textId="77777777" w:rsidR="00D97D6C" w:rsidRPr="009E06AA" w:rsidRDefault="00D97D6C" w:rsidP="00D97D6C">
      <w:pPr>
        <w:pStyle w:val="BodyText"/>
        <w:spacing w:before="100" w:after="100"/>
      </w:pPr>
      <w:r w:rsidRPr="009E06AA">
        <w:t>New Zealand’s</w:t>
      </w:r>
      <w:r w:rsidRPr="009E06AA">
        <w:rPr>
          <w:rFonts w:cs="Calibri"/>
        </w:rPr>
        <w:t xml:space="preserve"> energy balance, along with comprehensive information and analysis of energy supply and demand, is published annually in </w:t>
      </w:r>
      <w:r w:rsidRPr="009E06AA">
        <w:rPr>
          <w:rFonts w:cs="Calibri"/>
          <w:i/>
        </w:rPr>
        <w:t>Energy in New Zealand</w:t>
      </w:r>
      <w:r w:rsidRPr="009E06AA">
        <w:rPr>
          <w:rFonts w:cs="Calibri"/>
        </w:rPr>
        <w:t xml:space="preserve"> (MBIE, 2023). It covers energy statistics and includes supply and demand by fuel types, energy balance tables, pricing information and international comparisons. An electronic copy of this report is available online at: </w:t>
      </w:r>
      <w:hyperlink r:id="rId56" w:history="1">
        <w:r w:rsidRPr="009E06AA">
          <w:rPr>
            <w:rStyle w:val="Hyperlink"/>
          </w:rPr>
          <w:t>www.mbie.govt.nz/building-and-energy/energy-and-natural-resources/energy-statistics-and-modelling/energy-publications-and-technical-papers/energy-in-new-zealand</w:t>
        </w:r>
      </w:hyperlink>
      <w:r w:rsidRPr="009E06AA">
        <w:t>.</w:t>
      </w:r>
    </w:p>
    <w:p w14:paraId="1AEA9D40" w14:textId="1E0582AA" w:rsidR="00D97D6C" w:rsidRPr="009E06AA" w:rsidRDefault="00D97D6C" w:rsidP="00D97D6C">
      <w:pPr>
        <w:pStyle w:val="BodyText"/>
        <w:spacing w:before="100" w:after="100"/>
        <w:rPr>
          <w:rFonts w:cs="Calibri"/>
          <w:iCs/>
          <w:lang w:eastAsia="en-GB"/>
        </w:rPr>
      </w:pPr>
      <w:r w:rsidRPr="009E06AA">
        <w:rPr>
          <w:rFonts w:cs="Calibri"/>
          <w:iCs/>
          <w:lang w:eastAsia="en-GB"/>
        </w:rPr>
        <w:t>For the most part, categories and fuels from the energy balance correspond directly with the</w:t>
      </w:r>
      <w:r w:rsidR="00A26B1B" w:rsidRPr="009E06AA">
        <w:rPr>
          <w:rFonts w:cs="Calibri"/>
          <w:iCs/>
          <w:lang w:eastAsia="en-GB"/>
        </w:rPr>
        <w:t> </w:t>
      </w:r>
      <w:r w:rsidRPr="009E06AA">
        <w:rPr>
          <w:rFonts w:cs="Calibri"/>
          <w:iCs/>
          <w:lang w:eastAsia="en-GB"/>
        </w:rPr>
        <w:t xml:space="preserve">categories and fuels in CRT 1.A(b). A few special cases occur, as follows, where the structure of the CRT does not align with </w:t>
      </w:r>
      <w:r w:rsidRPr="009E06AA">
        <w:t>New Zealand’s</w:t>
      </w:r>
      <w:r w:rsidRPr="009E06AA">
        <w:rPr>
          <w:rFonts w:cs="Calibri"/>
          <w:iCs/>
          <w:lang w:eastAsia="en-GB"/>
        </w:rPr>
        <w:t xml:space="preserve"> energy balance.</w:t>
      </w:r>
    </w:p>
    <w:p w14:paraId="359F60D7" w14:textId="547274F2" w:rsidR="00D97D6C" w:rsidRPr="009E06AA" w:rsidRDefault="00D97D6C" w:rsidP="00D97D6C">
      <w:pPr>
        <w:pStyle w:val="Bullet"/>
        <w:rPr>
          <w:lang w:eastAsia="en-GB"/>
        </w:rPr>
      </w:pPr>
      <w:r w:rsidRPr="009E06AA">
        <w:rPr>
          <w:lang w:eastAsia="en-GB"/>
        </w:rPr>
        <w:t xml:space="preserve">In the </w:t>
      </w:r>
      <w:r w:rsidRPr="009E06AA">
        <w:t>New Zealand</w:t>
      </w:r>
      <w:r w:rsidRPr="009E06AA">
        <w:rPr>
          <w:lang w:eastAsia="en-GB"/>
        </w:rPr>
        <w:t xml:space="preserve"> energy balance table, crude oil and refinery feedstocks are combined, whereas in CRT 1.A(b) these are separate line items.</w:t>
      </w:r>
    </w:p>
    <w:p w14:paraId="3E52E19C" w14:textId="45FD42CD" w:rsidR="00D97D6C" w:rsidRPr="009E06AA" w:rsidRDefault="00D97D6C" w:rsidP="00D97D6C">
      <w:pPr>
        <w:pStyle w:val="Bullet"/>
        <w:rPr>
          <w:lang w:eastAsia="en-GB"/>
        </w:rPr>
      </w:pPr>
      <w:r w:rsidRPr="009E06AA">
        <w:rPr>
          <w:lang w:eastAsia="en-GB"/>
        </w:rPr>
        <w:t xml:space="preserve">In </w:t>
      </w:r>
      <w:r w:rsidRPr="009E06AA">
        <w:t>New Zealand</w:t>
      </w:r>
      <w:r w:rsidRPr="009E06AA">
        <w:rPr>
          <w:lang w:eastAsia="en-GB"/>
        </w:rPr>
        <w:t>,</w:t>
      </w:r>
      <w:r w:rsidRPr="009E06AA">
        <w:t xml:space="preserve"> </w:t>
      </w:r>
      <w:r w:rsidRPr="009E06AA">
        <w:rPr>
          <w:lang w:eastAsia="en-GB"/>
        </w:rPr>
        <w:t>liquefied petroleum gas (LPG) is considered a primary fuel and indigenous production is included in the national energy balance as such. The CRT does not allow</w:t>
      </w:r>
      <w:r w:rsidR="00255D7B" w:rsidRPr="009E06AA">
        <w:rPr>
          <w:lang w:eastAsia="en-GB"/>
        </w:rPr>
        <w:t xml:space="preserve"> </w:t>
      </w:r>
      <w:r w:rsidRPr="009E06AA">
        <w:rPr>
          <w:lang w:eastAsia="en-GB"/>
        </w:rPr>
        <w:t>entry of LPG production, so it is included in natural gas production and then allocated to liquefied petroleum gas via stock change.</w:t>
      </w:r>
    </w:p>
    <w:p w14:paraId="0CA5FEC8" w14:textId="1FF898FA" w:rsidR="00D97D6C" w:rsidRPr="009E06AA" w:rsidRDefault="00D97D6C" w:rsidP="00D97D6C">
      <w:pPr>
        <w:pStyle w:val="Bullet"/>
        <w:rPr>
          <w:lang w:eastAsia="en-GB"/>
        </w:rPr>
      </w:pPr>
      <w:r w:rsidRPr="009E06AA">
        <w:t>New Zealand’s</w:t>
      </w:r>
      <w:r w:rsidRPr="009E06AA">
        <w:rPr>
          <w:lang w:eastAsia="en-GB"/>
        </w:rPr>
        <w:t xml:space="preserve"> energy balance includes the production of synthetic gasoline from natural gas under energy transformation. The CRT does not allow entry of synthetic gasoline transformation, so it is included in natural gas production and then allocated to gasoline via stock change.</w:t>
      </w:r>
    </w:p>
    <w:p w14:paraId="572C01B7" w14:textId="77777777" w:rsidR="00D97D6C" w:rsidRPr="009E06AA" w:rsidRDefault="00D97D6C" w:rsidP="00D97D6C">
      <w:pPr>
        <w:pStyle w:val="BodyText"/>
        <w:spacing w:before="100" w:after="100"/>
        <w:rPr>
          <w:rFonts w:cs="Calibri"/>
          <w:iCs/>
          <w:lang w:eastAsia="en-GB"/>
        </w:rPr>
      </w:pPr>
      <w:r w:rsidRPr="009E06AA">
        <w:rPr>
          <w:rFonts w:cs="Calibri"/>
          <w:iCs/>
          <w:lang w:eastAsia="en-GB"/>
        </w:rPr>
        <w:t>These allocations allow a more meaningful comparison with the sectoral approach data for liquid and gaseous fuels.</w:t>
      </w:r>
    </w:p>
    <w:p w14:paraId="4E4AB920" w14:textId="77777777" w:rsidR="00D97D6C" w:rsidRPr="009E06AA" w:rsidRDefault="00D97D6C" w:rsidP="00D97D6C">
      <w:pPr>
        <w:pStyle w:val="Heading2"/>
      </w:pPr>
      <w:bookmarkStart w:id="279" w:name="_Toc321398810"/>
      <w:bookmarkStart w:id="280" w:name="_Toc384581636"/>
      <w:bookmarkStart w:id="281" w:name="_Toc448321508"/>
      <w:bookmarkStart w:id="282" w:name="_Toc481751370"/>
      <w:bookmarkStart w:id="283" w:name="_Toc36224387"/>
      <w:bookmarkStart w:id="284" w:name="_Toc68786307"/>
      <w:bookmarkStart w:id="285" w:name="_Toc164154175"/>
      <w:r w:rsidRPr="009E06AA">
        <w:t>3.2</w:t>
      </w:r>
      <w:r w:rsidRPr="009E06AA">
        <w:tab/>
        <w:t>Fuel combustion (CRT 1.A)</w:t>
      </w:r>
      <w:bookmarkEnd w:id="279"/>
      <w:bookmarkEnd w:id="280"/>
      <w:bookmarkEnd w:id="281"/>
      <w:bookmarkEnd w:id="282"/>
      <w:bookmarkEnd w:id="283"/>
      <w:bookmarkEnd w:id="284"/>
      <w:bookmarkEnd w:id="285"/>
    </w:p>
    <w:p w14:paraId="23ACCCD4" w14:textId="77777777" w:rsidR="00D97D6C" w:rsidRPr="009E06AA" w:rsidRDefault="00D97D6C" w:rsidP="00D97D6C">
      <w:pPr>
        <w:pStyle w:val="Heading3"/>
        <w:spacing w:before="240"/>
      </w:pPr>
      <w:bookmarkStart w:id="286" w:name="_Ref442177031"/>
      <w:r w:rsidRPr="009E06AA">
        <w:t>3.2.1</w:t>
      </w:r>
      <w:r w:rsidRPr="009E06AA">
        <w:tab/>
        <w:t xml:space="preserve">Sector-wide </w:t>
      </w:r>
      <w:bookmarkEnd w:id="286"/>
      <w:r w:rsidRPr="009E06AA">
        <w:t>description</w:t>
      </w:r>
    </w:p>
    <w:p w14:paraId="373AB071" w14:textId="1F1174E1" w:rsidR="00D97D6C" w:rsidRPr="009E06AA" w:rsidRDefault="00D97D6C" w:rsidP="00D97D6C">
      <w:pPr>
        <w:pStyle w:val="BodyText"/>
        <w:rPr>
          <w:rFonts w:cs="Calibri"/>
        </w:rPr>
      </w:pPr>
      <w:r w:rsidRPr="009E06AA">
        <w:rPr>
          <w:rFonts w:cs="Calibri"/>
        </w:rPr>
        <w:t xml:space="preserve">The </w:t>
      </w:r>
      <w:r w:rsidRPr="009E06AA">
        <w:rPr>
          <w:rFonts w:cs="Calibri"/>
          <w:i/>
          <w:lang w:eastAsia="en-GB"/>
        </w:rPr>
        <w:t>Fuel combustion</w:t>
      </w:r>
      <w:r w:rsidRPr="009E06AA">
        <w:rPr>
          <w:rFonts w:cs="Calibri"/>
        </w:rPr>
        <w:t xml:space="preserve"> category reports all fuel combustion activities from 1.A.1 </w:t>
      </w:r>
      <w:r w:rsidRPr="009E06AA">
        <w:rPr>
          <w:rFonts w:cs="Calibri"/>
          <w:i/>
          <w:lang w:eastAsia="en-GB"/>
        </w:rPr>
        <w:t>Energy industries</w:t>
      </w:r>
      <w:r w:rsidRPr="009E06AA">
        <w:rPr>
          <w:rFonts w:cs="Calibri"/>
        </w:rPr>
        <w:t xml:space="preserve">, 1.A.2 </w:t>
      </w:r>
      <w:r w:rsidRPr="009E06AA">
        <w:rPr>
          <w:rFonts w:cs="Calibri"/>
          <w:i/>
          <w:lang w:eastAsia="en-GB"/>
        </w:rPr>
        <w:t>Manufacturing industries and construction</w:t>
      </w:r>
      <w:r w:rsidRPr="009E06AA">
        <w:rPr>
          <w:rFonts w:cs="Calibri"/>
        </w:rPr>
        <w:t xml:space="preserve">, 1.A.3 </w:t>
      </w:r>
      <w:r w:rsidRPr="009E06AA">
        <w:rPr>
          <w:rFonts w:cs="Calibri"/>
          <w:i/>
          <w:lang w:eastAsia="en-GB"/>
        </w:rPr>
        <w:t>Transport</w:t>
      </w:r>
      <w:r w:rsidRPr="009E06AA">
        <w:rPr>
          <w:rFonts w:cs="Calibri"/>
        </w:rPr>
        <w:t xml:space="preserve"> and 1.A.4 </w:t>
      </w:r>
      <w:r w:rsidRPr="009E06AA">
        <w:rPr>
          <w:rFonts w:cs="Calibri"/>
          <w:i/>
          <w:lang w:eastAsia="en-GB"/>
        </w:rPr>
        <w:t>Other</w:t>
      </w:r>
      <w:r w:rsidR="00DE47C7" w:rsidRPr="009E06AA">
        <w:rPr>
          <w:rFonts w:cs="Calibri"/>
          <w:i/>
          <w:lang w:eastAsia="en-GB"/>
        </w:rPr>
        <w:t> </w:t>
      </w:r>
      <w:r w:rsidRPr="009E06AA">
        <w:rPr>
          <w:rFonts w:cs="Calibri"/>
          <w:i/>
          <w:lang w:eastAsia="en-GB"/>
        </w:rPr>
        <w:t>sectors</w:t>
      </w:r>
      <w:r w:rsidRPr="009E06AA">
        <w:rPr>
          <w:rFonts w:cs="Calibri"/>
        </w:rPr>
        <w:t xml:space="preserve"> categories (see figure 3.2.1). These categories use common activity data sources</w:t>
      </w:r>
      <w:r w:rsidR="004A6FEB" w:rsidRPr="009E06AA">
        <w:rPr>
          <w:rFonts w:cs="Calibri"/>
        </w:rPr>
        <w:t> </w:t>
      </w:r>
      <w:r w:rsidRPr="009E06AA">
        <w:rPr>
          <w:rFonts w:cs="Calibri"/>
        </w:rPr>
        <w:t>and emission factors. The CRT</w:t>
      </w:r>
      <w:r w:rsidR="001433D8" w:rsidRPr="009E06AA">
        <w:rPr>
          <w:rFonts w:cs="Calibri"/>
        </w:rPr>
        <w:t>s</w:t>
      </w:r>
      <w:r w:rsidRPr="009E06AA">
        <w:rPr>
          <w:rFonts w:cs="Calibri"/>
        </w:rPr>
        <w:t xml:space="preserve"> require energy emissions to be reported by category. Apportioning energy activity data across categories is not as accurate as apportioning activity data by fuel type because of difficulties in allocating liquid fuel to the appropriate categories.</w:t>
      </w:r>
    </w:p>
    <w:p w14:paraId="618FA734" w14:textId="77777777" w:rsidR="00D97D6C" w:rsidRPr="009E06AA" w:rsidRDefault="00D97D6C" w:rsidP="00D97D6C">
      <w:pPr>
        <w:pStyle w:val="BodyText"/>
        <w:rPr>
          <w:rFonts w:cs="Calibri"/>
        </w:rPr>
      </w:pPr>
      <w:r w:rsidRPr="009E06AA">
        <w:rPr>
          <w:rFonts w:cs="Calibri"/>
        </w:rPr>
        <w:t>Information about methodologies, emission factors, uncertainty, and quality control and assurance for each of the categories is discussed below.</w:t>
      </w:r>
    </w:p>
    <w:p w14:paraId="5F0E7305" w14:textId="4221FABB" w:rsidR="00D97D6C" w:rsidRPr="009E06AA" w:rsidRDefault="00D97D6C" w:rsidP="00D97D6C">
      <w:pPr>
        <w:pStyle w:val="Figure"/>
        <w:rPr>
          <w:rFonts w:cs="Calibri"/>
        </w:rPr>
      </w:pPr>
      <w:bookmarkStart w:id="287" w:name="_Toc321399324"/>
      <w:bookmarkStart w:id="288" w:name="_Toc384582850"/>
      <w:bookmarkStart w:id="289" w:name="_Toc443060811"/>
      <w:bookmarkStart w:id="290" w:name="_Toc447275668"/>
      <w:bookmarkStart w:id="291" w:name="_Toc481751986"/>
      <w:bookmarkStart w:id="292" w:name="_Toc36292770"/>
      <w:bookmarkStart w:id="293" w:name="_Toc68786635"/>
      <w:bookmarkStart w:id="294" w:name="_Toc95834070"/>
      <w:bookmarkStart w:id="295" w:name="_Toc164154006"/>
      <w:r w:rsidRPr="009E06AA">
        <w:rPr>
          <w:rFonts w:cs="Calibri"/>
        </w:rPr>
        <w:t>Figure 3.2.</w:t>
      </w:r>
      <w:r w:rsidRPr="009E06AA">
        <w:rPr>
          <w:rFonts w:cs="Calibri"/>
        </w:rPr>
        <w:fldChar w:fldCharType="begin"/>
      </w:r>
      <w:r w:rsidRPr="009E06AA">
        <w:rPr>
          <w:rFonts w:cs="Calibri"/>
        </w:rPr>
        <w:instrText xml:space="preserve"> SEQ Figure \* ARABIC \s 2 </w:instrText>
      </w:r>
      <w:r w:rsidRPr="009E06AA">
        <w:rPr>
          <w:rFonts w:cs="Calibri"/>
        </w:rPr>
        <w:fldChar w:fldCharType="separate"/>
      </w:r>
      <w:r w:rsidR="009E4901">
        <w:rPr>
          <w:rFonts w:cs="Calibri"/>
          <w:noProof/>
        </w:rPr>
        <w:t>1</w:t>
      </w:r>
      <w:r w:rsidRPr="009E06AA">
        <w:rPr>
          <w:rFonts w:cs="Calibri"/>
        </w:rPr>
        <w:fldChar w:fldCharType="end"/>
      </w:r>
      <w:r w:rsidRPr="009E06AA">
        <w:rPr>
          <w:rFonts w:cs="Calibri"/>
        </w:rPr>
        <w:tab/>
        <w:t>New Zealand’s emissions from the fuel combustion categories</w:t>
      </w:r>
      <w:r w:rsidR="00636ED3" w:rsidRPr="009E06AA">
        <w:rPr>
          <w:rFonts w:cs="Calibri"/>
        </w:rPr>
        <w:t>,</w:t>
      </w:r>
      <w:r w:rsidRPr="009E06AA">
        <w:rPr>
          <w:rFonts w:cs="Calibri"/>
        </w:rPr>
        <w:t xml:space="preserve"> from 1990</w:t>
      </w:r>
      <w:bookmarkEnd w:id="287"/>
      <w:r w:rsidRPr="009E06AA">
        <w:rPr>
          <w:rFonts w:cs="Calibri"/>
        </w:rPr>
        <w:t xml:space="preserve"> to </w:t>
      </w:r>
      <w:bookmarkEnd w:id="288"/>
      <w:bookmarkEnd w:id="289"/>
      <w:bookmarkEnd w:id="290"/>
      <w:bookmarkEnd w:id="291"/>
      <w:bookmarkEnd w:id="292"/>
      <w:bookmarkEnd w:id="293"/>
      <w:bookmarkEnd w:id="294"/>
      <w:r w:rsidRPr="009E06AA">
        <w:rPr>
          <w:rFonts w:cs="Calibri"/>
        </w:rPr>
        <w:t>2022</w:t>
      </w:r>
      <w:bookmarkEnd w:id="295"/>
    </w:p>
    <w:p w14:paraId="485F6DB1" w14:textId="77777777" w:rsidR="00D97D6C" w:rsidRPr="009E06AA" w:rsidRDefault="00D97D6C" w:rsidP="00D97D6C">
      <w:pPr>
        <w:pStyle w:val="BodyText"/>
        <w:spacing w:before="100" w:after="0"/>
        <w:rPr>
          <w:rFonts w:cs="Calibri"/>
        </w:rPr>
      </w:pPr>
      <w:r w:rsidRPr="009E06AA">
        <w:rPr>
          <w:noProof/>
        </w:rPr>
        <w:drawing>
          <wp:inline distT="0" distB="0" distL="0" distR="0" wp14:anchorId="5E3C0089" wp14:editId="7763208D">
            <wp:extent cx="5398768" cy="2516505"/>
            <wp:effectExtent l="0" t="0" r="0" b="0"/>
            <wp:docPr id="1359458949" name="Picture 13594589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9458949" name="Picture 1359458949"/>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5398768" cy="2516505"/>
                    </a:xfrm>
                    <a:prstGeom prst="rect">
                      <a:avLst/>
                    </a:prstGeom>
                  </pic:spPr>
                </pic:pic>
              </a:graphicData>
            </a:graphic>
          </wp:inline>
        </w:drawing>
      </w:r>
    </w:p>
    <w:p w14:paraId="10000834" w14:textId="69507C44" w:rsidR="00D97D6C" w:rsidRPr="009E06AA" w:rsidRDefault="00D97D6C" w:rsidP="00D97D6C">
      <w:pPr>
        <w:pStyle w:val="Heading3"/>
        <w:rPr>
          <w:rFonts w:cs="Calibri"/>
        </w:rPr>
      </w:pPr>
      <w:r w:rsidRPr="009E06AA">
        <w:rPr>
          <w:rFonts w:cs="Calibri"/>
        </w:rPr>
        <w:t>3.2.2</w:t>
      </w:r>
      <w:r w:rsidR="00396F88" w:rsidRPr="009E06AA">
        <w:rPr>
          <w:rFonts w:cs="Calibri"/>
        </w:rPr>
        <w:tab/>
      </w:r>
      <w:r w:rsidRPr="009E06AA">
        <w:rPr>
          <w:rFonts w:cs="Calibri"/>
        </w:rPr>
        <w:t>Methodological issues</w:t>
      </w:r>
    </w:p>
    <w:p w14:paraId="6C4771C1" w14:textId="77777777" w:rsidR="00D97D6C" w:rsidRPr="009E06AA" w:rsidRDefault="00D97D6C" w:rsidP="00D97D6C">
      <w:pPr>
        <w:pStyle w:val="BodyText"/>
        <w:spacing w:before="100" w:after="100"/>
        <w:rPr>
          <w:rFonts w:cs="Calibri"/>
        </w:rPr>
      </w:pPr>
      <w:r w:rsidRPr="009E06AA">
        <w:rPr>
          <w:rFonts w:cs="Calibri"/>
        </w:rPr>
        <w:t>Energy emissions are compiled using MBIE’s energy statistics, along with relevant New Zealand-specific emission factors. Unless otherwise noted in the relevant section, CO</w:t>
      </w:r>
      <w:r w:rsidRPr="009E06AA">
        <w:rPr>
          <w:rFonts w:cs="Calibri"/>
          <w:vertAlign w:val="subscript"/>
          <w:lang w:eastAsia="en-GB"/>
        </w:rPr>
        <w:t>2</w:t>
      </w:r>
      <w:r w:rsidRPr="009E06AA">
        <w:rPr>
          <w:rFonts w:cs="Calibri"/>
        </w:rPr>
        <w:t> emissions are calculated by multiplying a country-specific emission factor for the given fuel by the relevant activity data using an IPCC 2006 Tier 2 method. Non-CO</w:t>
      </w:r>
      <w:r w:rsidRPr="009E06AA">
        <w:rPr>
          <w:rFonts w:cs="Calibri"/>
          <w:vertAlign w:val="subscript"/>
          <w:lang w:eastAsia="en-GB"/>
        </w:rPr>
        <w:t>2 </w:t>
      </w:r>
      <w:r w:rsidRPr="009E06AA">
        <w:rPr>
          <w:rFonts w:cs="Calibri"/>
        </w:rPr>
        <w:t>emissions are calculated using IPCC 2006 default emission factors, unless otherwise noted.</w:t>
      </w:r>
    </w:p>
    <w:p w14:paraId="0BE3E22B" w14:textId="77777777" w:rsidR="00D97D6C" w:rsidRPr="009E06AA" w:rsidRDefault="00D97D6C" w:rsidP="00D97D6C">
      <w:pPr>
        <w:pStyle w:val="Heading4"/>
        <w:rPr>
          <w:rFonts w:cs="Calibri"/>
        </w:rPr>
      </w:pPr>
      <w:r w:rsidRPr="009E06AA">
        <w:rPr>
          <w:lang w:eastAsia="en-GB"/>
        </w:rPr>
        <w:t xml:space="preserve">Activity data </w:t>
      </w:r>
    </w:p>
    <w:p w14:paraId="40683236" w14:textId="77777777" w:rsidR="00D97D6C" w:rsidRPr="009E06AA" w:rsidRDefault="00D97D6C" w:rsidP="00BF2A76">
      <w:pPr>
        <w:pStyle w:val="Heading5"/>
      </w:pPr>
      <w:r w:rsidRPr="009E06AA">
        <w:t>Liquid fuels</w:t>
      </w:r>
    </w:p>
    <w:p w14:paraId="785B09FF" w14:textId="77777777" w:rsidR="00D97D6C" w:rsidRPr="009E06AA" w:rsidRDefault="00D97D6C" w:rsidP="00D97D6C">
      <w:pPr>
        <w:pStyle w:val="BodyText"/>
        <w:rPr>
          <w:rFonts w:cs="Calibri"/>
        </w:rPr>
      </w:pPr>
      <w:r w:rsidRPr="009E06AA">
        <w:rPr>
          <w:rFonts w:cs="Calibri"/>
        </w:rPr>
        <w:t xml:space="preserve">Most of the liquid fuel consumption data for the Energy sector is sourced from the </w:t>
      </w:r>
      <w:r w:rsidRPr="009E06AA">
        <w:rPr>
          <w:rFonts w:cs="Calibri"/>
          <w:iCs/>
          <w:lang w:eastAsia="en-GB"/>
        </w:rPr>
        <w:t>DPFI.</w:t>
      </w:r>
      <w:r w:rsidRPr="009E06AA">
        <w:rPr>
          <w:rFonts w:cs="Calibri"/>
        </w:rPr>
        <w:t xml:space="preserve"> This quarterly survey includes liquid fuel sales data collected from the four oil companies importing and selling fuel. The purpose of the survey is to provide data on the amount of fuel delivered by all oil companies to end users and other distribution outlets. Each oil company in New Zealand supplies MBIE with the volume of petroleum fuels delivered to resellers and the industrial, commercial and residential sectors. The survey was originally conducted by Stats NZ, but MBIE took over conducting the survey in 2009.</w:t>
      </w:r>
    </w:p>
    <w:p w14:paraId="579B674F" w14:textId="77777777" w:rsidR="00D97D6C" w:rsidRPr="009E06AA" w:rsidRDefault="00D97D6C" w:rsidP="00D97D6C">
      <w:pPr>
        <w:pStyle w:val="BodyText"/>
        <w:rPr>
          <w:rFonts w:cs="Calibri"/>
        </w:rPr>
      </w:pPr>
      <w:r w:rsidRPr="009E06AA">
        <w:rPr>
          <w:rFonts w:cs="Calibri"/>
        </w:rPr>
        <w:t xml:space="preserve">Petroleum fuels data are currently collected in volume units (thousand litres). Before 2009, data were collected in metric tonnes. Year-specific calorific values are used for all liquid fuels, reflecting changes in liquid fuel properties over time. Annual fuel property data were formerly provided by New Zealand’s sole refinery (the </w:t>
      </w:r>
      <w:r w:rsidRPr="009E06AA">
        <w:t>Marsden Point Oil Refinery)</w:t>
      </w:r>
      <w:r w:rsidRPr="009E06AA">
        <w:rPr>
          <w:rFonts w:cs="Calibri"/>
        </w:rPr>
        <w:t>, which ceased operations in March 2022. The fuel properties of imported fuels are now obtained from companies that import fuel.</w:t>
      </w:r>
    </w:p>
    <w:p w14:paraId="7FD71C49" w14:textId="77777777" w:rsidR="00D97D6C" w:rsidRPr="009E06AA" w:rsidRDefault="00D97D6C" w:rsidP="00D97D6C">
      <w:pPr>
        <w:pStyle w:val="BodyText"/>
        <w:rPr>
          <w:rFonts w:cs="Calibri"/>
        </w:rPr>
      </w:pPr>
      <w:r w:rsidRPr="009E06AA">
        <w:rPr>
          <w:rFonts w:cs="Calibri"/>
        </w:rPr>
        <w:t>Emissions from fuel sold for use in international transport (e.g., international bunker fuels) are reported separately as a memo item, as required (IPCC, 2006).</w:t>
      </w:r>
    </w:p>
    <w:p w14:paraId="7A650D82" w14:textId="77777777" w:rsidR="00D97D6C" w:rsidRPr="009E06AA" w:rsidRDefault="00D97D6C" w:rsidP="00D97D6C">
      <w:pPr>
        <w:pStyle w:val="BodyText"/>
        <w:rPr>
          <w:rFonts w:cs="Calibri"/>
        </w:rPr>
      </w:pPr>
      <w:r w:rsidRPr="009E06AA">
        <w:rPr>
          <w:rFonts w:cs="Calibri"/>
        </w:rPr>
        <w:t xml:space="preserve">An MBIE-commissioned survey in 2008 on liquid fuel use (MBIE, 2008) found that there were, at the time, 19 independent fuel distribution companies operating in New Zealand that bought fuel wholesale from oil companies and resold it to consumers. As a result, liquid fuel activity data was being over-allocated to the </w:t>
      </w:r>
      <w:r w:rsidRPr="009E06AA">
        <w:rPr>
          <w:rFonts w:cs="Calibri"/>
          <w:i/>
        </w:rPr>
        <w:t>Transport</w:t>
      </w:r>
      <w:r w:rsidRPr="009E06AA">
        <w:rPr>
          <w:rFonts w:cs="Calibri"/>
        </w:rPr>
        <w:t xml:space="preserve"> category (where it was allocated by default). In contrast, most of the fuel purchased from these distribution companies was used by the </w:t>
      </w:r>
      <w:r w:rsidRPr="009E06AA">
        <w:rPr>
          <w:rFonts w:cs="Calibri"/>
          <w:i/>
        </w:rPr>
        <w:t>Agriculture/forestry/fishing</w:t>
      </w:r>
      <w:r w:rsidRPr="009E06AA">
        <w:rPr>
          <w:rFonts w:cs="Calibri"/>
        </w:rPr>
        <w:t xml:space="preserve"> category. The study recommended starting an annual survey of deliveries of gasoline and diesel to each sector by independent distributors and using these data to correctly allocate sales of liquid fuels by small resellers to the appropriate sector.</w:t>
      </w:r>
    </w:p>
    <w:p w14:paraId="11C43123" w14:textId="77777777" w:rsidR="00D97D6C" w:rsidRPr="009E06AA" w:rsidRDefault="00D97D6C" w:rsidP="00D97D6C">
      <w:pPr>
        <w:pStyle w:val="BodyText"/>
        <w:rPr>
          <w:rFonts w:cs="Calibri"/>
        </w:rPr>
      </w:pPr>
      <w:r w:rsidRPr="009E06AA">
        <w:rPr>
          <w:rFonts w:cs="Calibri"/>
        </w:rPr>
        <w:t xml:space="preserve">As a result of this recommendation, the Annual Liquid Fuel Survey was started in 2009 (for the 2008 calendar year). The survey found that these independent fuel distribution companies </w:t>
      </w:r>
      <w:r w:rsidRPr="009E06AA">
        <w:rPr>
          <w:rFonts w:cs="Calibri"/>
          <w:spacing w:val="-2"/>
        </w:rPr>
        <w:t xml:space="preserve">delivered fuel equating to 18 per cent of New Zealand’s total diesel consumption and 3 per cent </w:t>
      </w:r>
      <w:r w:rsidRPr="009E06AA">
        <w:rPr>
          <w:rFonts w:cs="Calibri"/>
        </w:rPr>
        <w:t xml:space="preserve">of New Zealand’s total gasoline consumption. Using these data, each company’s deliveries between 1990 and 2006 were estimated, because no information was available for these years. The report </w:t>
      </w:r>
      <w:r w:rsidRPr="009E06AA">
        <w:rPr>
          <w:rFonts w:cs="Calibri"/>
          <w:i/>
        </w:rPr>
        <w:t>Delivering the Diesel – Liquid Fuel Deliveries in New Zealand 1990–2008</w:t>
      </w:r>
      <w:r w:rsidRPr="009E06AA">
        <w:rPr>
          <w:rFonts w:cs="Calibri"/>
        </w:rPr>
        <w:t xml:space="preserve"> (MBIE, 2010) details the methodology employed to perform this calculation.</w:t>
      </w:r>
    </w:p>
    <w:p w14:paraId="2E9DB766" w14:textId="77777777" w:rsidR="00D97D6C" w:rsidRPr="009E06AA" w:rsidRDefault="00D97D6C" w:rsidP="00BF2A76">
      <w:pPr>
        <w:pStyle w:val="Heading5"/>
      </w:pPr>
      <w:r w:rsidRPr="009E06AA">
        <w:t>Solid fuels</w:t>
      </w:r>
    </w:p>
    <w:p w14:paraId="739199EB" w14:textId="77777777" w:rsidR="00D97D6C" w:rsidRPr="009E06AA" w:rsidRDefault="00D97D6C" w:rsidP="00D97D6C">
      <w:pPr>
        <w:pStyle w:val="BodyText"/>
        <w:spacing w:before="100" w:after="100"/>
        <w:rPr>
          <w:rFonts w:cs="Calibri"/>
        </w:rPr>
      </w:pPr>
      <w:r w:rsidRPr="009E06AA">
        <w:rPr>
          <w:rFonts w:cs="Calibri"/>
        </w:rPr>
        <w:t>Since 2009, MBIE has conducted the New Zealand Quarterly Statistical Return of Coal Production and Sales, previously conducted by Stats NZ. The survey covers coal mined and sold by coal producers in New Zealand. The three grades of coal surveyed are bituminous, sub</w:t>
      </w:r>
      <w:r w:rsidRPr="009E06AA">
        <w:rPr>
          <w:rFonts w:cs="Calibri"/>
        </w:rPr>
        <w:noBreakHyphen/>
        <w:t>bituminous and lignite. This survey</w:t>
      </w:r>
      <w:r w:rsidRPr="009E06AA">
        <w:rPr>
          <w:rFonts w:cs="Calibri"/>
          <w:i/>
          <w:iCs/>
          <w:lang w:eastAsia="en-GB"/>
        </w:rPr>
        <w:t xml:space="preserve"> </w:t>
      </w:r>
      <w:r w:rsidRPr="009E06AA">
        <w:rPr>
          <w:rFonts w:cs="Calibri"/>
        </w:rPr>
        <w:t xml:space="preserve">categorises coal sales by industry, recognising over 20 industries using the Australian and New Zealand Standard Industrial Classification 2006 (Australian Bureau of Statistics and Statistics New Zealand, 2006). Before 2009, when Stats NZ ran the survey, coal sales were surveyed for only seven high-level sectors. </w:t>
      </w:r>
    </w:p>
    <w:p w14:paraId="33CAD2B8" w14:textId="77777777" w:rsidR="00D97D6C" w:rsidRPr="009E06AA" w:rsidRDefault="00D97D6C" w:rsidP="00D97D6C">
      <w:pPr>
        <w:pStyle w:val="BodyText"/>
        <w:spacing w:before="100" w:after="100"/>
        <w:rPr>
          <w:rFonts w:cs="Calibri"/>
        </w:rPr>
      </w:pPr>
      <w:r w:rsidRPr="009E06AA">
        <w:rPr>
          <w:rFonts w:cs="Calibri"/>
        </w:rPr>
        <w:t>All solid fuel used for iron and steel manufacture is reported under the IPPU sector, to avoid double counting.</w:t>
      </w:r>
    </w:p>
    <w:p w14:paraId="0702AA8C" w14:textId="77777777" w:rsidR="00D97D6C" w:rsidRPr="009E06AA" w:rsidRDefault="00D97D6C" w:rsidP="00BF2A76">
      <w:pPr>
        <w:pStyle w:val="Heading5"/>
      </w:pPr>
      <w:r w:rsidRPr="009E06AA">
        <w:t>Gaseous fuels</w:t>
      </w:r>
    </w:p>
    <w:p w14:paraId="0C557E33" w14:textId="77777777" w:rsidR="00D97D6C" w:rsidRPr="009E06AA" w:rsidRDefault="00D97D6C" w:rsidP="00D97D6C">
      <w:pPr>
        <w:pStyle w:val="BodyText"/>
        <w:spacing w:before="100" w:after="100"/>
        <w:rPr>
          <w:rFonts w:cs="Calibri"/>
        </w:rPr>
      </w:pPr>
      <w:r w:rsidRPr="009E06AA">
        <w:rPr>
          <w:rFonts w:cs="Calibri"/>
        </w:rPr>
        <w:t xml:space="preserve">MBIE receives activity data on gaseous fuels from various sources. Individual natural gas field operators provide information on the amount of gas extracted, vented, flared and for own use at each gas field. Information on processed gas, including the Kapuni gas field, and information on gas transmission and distribution throughout New Zealand, is provided by the operator of the Kapuni Gas Treatment Plant and gas distribution networks. </w:t>
      </w:r>
    </w:p>
    <w:p w14:paraId="46D72CFD" w14:textId="77777777" w:rsidR="00D97D6C" w:rsidRPr="009E06AA" w:rsidRDefault="00D97D6C" w:rsidP="00D97D6C">
      <w:pPr>
        <w:pStyle w:val="BodyText"/>
        <w:spacing w:before="100" w:after="100"/>
        <w:rPr>
          <w:rFonts w:cs="Calibri"/>
        </w:rPr>
      </w:pPr>
      <w:r w:rsidRPr="009E06AA">
        <w:rPr>
          <w:rFonts w:cs="Calibri"/>
        </w:rPr>
        <w:t>Large users of gas, including electricity generation companies, provide their activity data directly to MBIE. Finally, MBIE surveys retailers and wholesalers on a quarterly basis to obtain activity data from industrial, commercial and residential natural gas users.</w:t>
      </w:r>
    </w:p>
    <w:p w14:paraId="47E5C42B" w14:textId="77777777" w:rsidR="00D97D6C" w:rsidRPr="009E06AA" w:rsidRDefault="00D97D6C" w:rsidP="00D97D6C">
      <w:pPr>
        <w:pStyle w:val="BodyText"/>
        <w:spacing w:before="100" w:after="100"/>
        <w:rPr>
          <w:rFonts w:cs="Calibri"/>
        </w:rPr>
      </w:pPr>
      <w:r w:rsidRPr="009E06AA">
        <w:rPr>
          <w:rFonts w:cs="Calibri"/>
        </w:rPr>
        <w:t xml:space="preserve">In response to expert review team (ERT) recommendations, all fuel combustion for electricity auto-production was disaggregated into the appropriate sector, rather than reported in 1.A.2.g </w:t>
      </w:r>
      <w:r w:rsidRPr="009E06AA">
        <w:rPr>
          <w:rFonts w:cs="Calibri"/>
          <w:i/>
          <w:lang w:eastAsia="en-GB"/>
        </w:rPr>
        <w:t>Manufacturing industries and construction – Other</w:t>
      </w:r>
      <w:r w:rsidRPr="009E06AA">
        <w:rPr>
          <w:rFonts w:cs="Calibri"/>
        </w:rPr>
        <w:t>. This improvement was implemented in the 2013 submission and resulted in a reduction in unallocated industrial emissions and increases in various manufacturing and construction categories. For further information, see section 3.2.8.</w:t>
      </w:r>
    </w:p>
    <w:p w14:paraId="54A392CA" w14:textId="77777777" w:rsidR="00D97D6C" w:rsidRPr="009E06AA" w:rsidRDefault="00D97D6C" w:rsidP="00BF2A76">
      <w:pPr>
        <w:pStyle w:val="Heading5"/>
      </w:pPr>
      <w:r w:rsidRPr="009E06AA">
        <w:t>Biomass</w:t>
      </w:r>
    </w:p>
    <w:p w14:paraId="2243422D" w14:textId="77777777" w:rsidR="00D97D6C" w:rsidRPr="009E06AA" w:rsidRDefault="00D97D6C" w:rsidP="00D97D6C">
      <w:pPr>
        <w:pStyle w:val="BodyText"/>
        <w:spacing w:after="100"/>
        <w:rPr>
          <w:rFonts w:cs="Calibri"/>
        </w:rPr>
      </w:pPr>
      <w:r w:rsidRPr="009E06AA">
        <w:rPr>
          <w:rFonts w:cs="Calibri"/>
        </w:rPr>
        <w:t>Activity data for the use of biomass come from several different sources. Electricity and co</w:t>
      </w:r>
      <w:r w:rsidRPr="009E06AA">
        <w:rPr>
          <w:rFonts w:cs="Calibri"/>
        </w:rPr>
        <w:noBreakHyphen/>
        <w:t xml:space="preserve">generation data are received by MBIE from electricity generators. </w:t>
      </w:r>
    </w:p>
    <w:p w14:paraId="094E7651" w14:textId="77777777" w:rsidR="00D97D6C" w:rsidRPr="009E06AA" w:rsidRDefault="00D97D6C" w:rsidP="00D97D6C">
      <w:pPr>
        <w:pStyle w:val="Bullet"/>
        <w:spacing w:after="100"/>
        <w:rPr>
          <w:rFonts w:cs="Calibri"/>
        </w:rPr>
      </w:pPr>
      <w:r w:rsidRPr="009E06AA">
        <w:rPr>
          <w:rFonts w:cs="Calibri"/>
        </w:rPr>
        <w:t>New Zealand reports emissions from landfill gas, sewage waste gas, sludge gas (derived from cattle effluent at the Tirau dairy processing facility) and commercial biogas use. Before 2013, New Zealand only reported emissions from landfill gas, sewage waste gas and commercial biogas use.</w:t>
      </w:r>
    </w:p>
    <w:p w14:paraId="221DBD39" w14:textId="77777777" w:rsidR="00D97D6C" w:rsidRPr="009E06AA" w:rsidRDefault="00D97D6C" w:rsidP="00D97D6C">
      <w:pPr>
        <w:pStyle w:val="Bullet"/>
        <w:spacing w:after="100"/>
        <w:rPr>
          <w:rFonts w:cs="Calibri"/>
        </w:rPr>
      </w:pPr>
      <w:r w:rsidRPr="009E06AA">
        <w:rPr>
          <w:rFonts w:cs="Calibri"/>
        </w:rPr>
        <w:t>New Zealand’s gas biomass emissions are estimated based on electricity generation data (some of which are also estimated). No direct data are available on gas biomass emissions from landfills or sewage treatment facilities. See below for details of the estimation methodology of landfill gas and sewage waste gas.</w:t>
      </w:r>
    </w:p>
    <w:p w14:paraId="69F0E53B" w14:textId="77777777" w:rsidR="00D97D6C" w:rsidRPr="009E06AA" w:rsidRDefault="00D97D6C" w:rsidP="00D97D6C">
      <w:pPr>
        <w:pStyle w:val="Bullet"/>
        <w:spacing w:after="100"/>
        <w:rPr>
          <w:rFonts w:cs="Calibri"/>
        </w:rPr>
      </w:pPr>
      <w:r w:rsidRPr="009E06AA">
        <w:rPr>
          <w:rFonts w:cs="Calibri"/>
        </w:rPr>
        <w:t>Gas biomass is known to be used by some local government councils, however, exploratory data collection in the past has indicated that this only occurs in small quantities and produces insignificant emissions. Because MBIE is aware of some use, it continues to report a standard estimate introduced in 2006 to ensure there is no under</w:t>
      </w:r>
      <w:r w:rsidRPr="009E06AA">
        <w:rPr>
          <w:rFonts w:cs="Calibri"/>
        </w:rPr>
        <w:noBreakHyphen/>
        <w:t>reporting.</w:t>
      </w:r>
    </w:p>
    <w:p w14:paraId="59970B1B" w14:textId="77777777" w:rsidR="00D97D6C" w:rsidRPr="009E06AA" w:rsidRDefault="00D97D6C" w:rsidP="00D97D6C">
      <w:pPr>
        <w:pStyle w:val="Bullet"/>
        <w:spacing w:after="100"/>
        <w:rPr>
          <w:rFonts w:cs="Calibri"/>
        </w:rPr>
      </w:pPr>
      <w:r w:rsidRPr="009E06AA">
        <w:rPr>
          <w:rFonts w:cs="Calibri"/>
        </w:rPr>
        <w:t>No information is collected on flared gas biomass.</w:t>
      </w:r>
    </w:p>
    <w:p w14:paraId="1292029F" w14:textId="77777777" w:rsidR="00D97D6C" w:rsidRPr="009E06AA" w:rsidRDefault="00D97D6C" w:rsidP="00D97D6C">
      <w:pPr>
        <w:pStyle w:val="Bullet"/>
        <w:spacing w:after="100"/>
        <w:rPr>
          <w:rFonts w:cs="Calibri"/>
        </w:rPr>
      </w:pPr>
      <w:r w:rsidRPr="009E06AA">
        <w:rPr>
          <w:rFonts w:cs="Calibri"/>
        </w:rPr>
        <w:t>The only gas biomass direct-use data that have been collected are for the Tirau dairy processing facility (and only one data point, which has been used for all years where it is believed the plant has produced emissions).</w:t>
      </w:r>
    </w:p>
    <w:p w14:paraId="067B5240" w14:textId="77777777" w:rsidR="00D97D6C" w:rsidRPr="009E06AA" w:rsidRDefault="00D97D6C" w:rsidP="00BF2A76">
      <w:pPr>
        <w:pStyle w:val="Heading5"/>
      </w:pPr>
      <w:r w:rsidRPr="009E06AA">
        <w:t>Gas biomass emissions estimates are based on electricity generation data</w:t>
      </w:r>
    </w:p>
    <w:p w14:paraId="440F157A" w14:textId="77777777" w:rsidR="00D97D6C" w:rsidRPr="009E06AA" w:rsidRDefault="00D97D6C" w:rsidP="00D97D6C">
      <w:pPr>
        <w:pStyle w:val="BodyText"/>
        <w:spacing w:before="80" w:after="100"/>
        <w:rPr>
          <w:rFonts w:cs="Calibri"/>
        </w:rPr>
      </w:pPr>
      <w:r w:rsidRPr="009E06AA">
        <w:rPr>
          <w:rFonts w:cs="Calibri"/>
        </w:rPr>
        <w:t xml:space="preserve">Biomass electricity generation data are collected for 15 individual plants. As of 31 December 2022, New Zealand gas biomass generation was known to include the following. </w:t>
      </w:r>
    </w:p>
    <w:p w14:paraId="11B7B3F4" w14:textId="77777777" w:rsidR="00D97D6C" w:rsidRPr="009E06AA" w:rsidRDefault="00D97D6C" w:rsidP="00D97D6C">
      <w:pPr>
        <w:pStyle w:val="Bullet"/>
        <w:spacing w:after="100"/>
        <w:rPr>
          <w:rFonts w:cs="Calibri"/>
        </w:rPr>
      </w:pPr>
      <w:r w:rsidRPr="009E06AA">
        <w:rPr>
          <w:rFonts w:cs="Calibri"/>
        </w:rPr>
        <w:t>Eleven landfill facilities, totalling 33.1 megawatts (MW). These facilities are electricity only. (Some landfill gas was used to heat a swimming pool in Christchurch before the Christchurch earthquake of February 2011, but that facility suffered major earthquake damage and has been removed. A new trigeneration facility has since been built.)</w:t>
      </w:r>
    </w:p>
    <w:p w14:paraId="4F7F47D2" w14:textId="48F40AF2" w:rsidR="00D97D6C" w:rsidRPr="009E06AA" w:rsidRDefault="00D97D6C" w:rsidP="00D97D6C">
      <w:pPr>
        <w:pStyle w:val="Bullet"/>
        <w:spacing w:after="100"/>
        <w:rPr>
          <w:rFonts w:cs="Calibri"/>
        </w:rPr>
      </w:pPr>
      <w:r w:rsidRPr="009E06AA">
        <w:rPr>
          <w:rFonts w:cs="Calibri"/>
        </w:rPr>
        <w:t>Four wastewater treatment facilities, totalling 12.9 MW. These are all co</w:t>
      </w:r>
      <w:r w:rsidRPr="009E06AA">
        <w:rPr>
          <w:rFonts w:cs="Calibri"/>
        </w:rPr>
        <w:noBreakHyphen/>
        <w:t>generation facilities that provide heat and electricity for the processing of sewage. Accurate information is not available on the exact type of generation plant used at these individual</w:t>
      </w:r>
      <w:r w:rsidR="00296D90" w:rsidRPr="009E06AA">
        <w:rPr>
          <w:rFonts w:cs="Calibri"/>
        </w:rPr>
        <w:t> </w:t>
      </w:r>
      <w:r w:rsidRPr="009E06AA">
        <w:rPr>
          <w:rFonts w:cs="Calibri"/>
        </w:rPr>
        <w:t>facilities, although they are known to be a combination of gas turbines, internal</w:t>
      </w:r>
      <w:r w:rsidR="00296D90" w:rsidRPr="009E06AA">
        <w:rPr>
          <w:rFonts w:cs="Calibri"/>
        </w:rPr>
        <w:t> </w:t>
      </w:r>
      <w:r w:rsidRPr="009E06AA">
        <w:rPr>
          <w:rFonts w:cs="Calibri"/>
        </w:rPr>
        <w:t>combustion engines and some steam turbine facilities.</w:t>
      </w:r>
    </w:p>
    <w:p w14:paraId="60F31542" w14:textId="77777777" w:rsidR="00D97D6C" w:rsidRPr="009E06AA" w:rsidRDefault="00D97D6C" w:rsidP="00D97D6C">
      <w:pPr>
        <w:pStyle w:val="BodyText"/>
        <w:spacing w:before="100" w:after="100" w:line="240" w:lineRule="atLeast"/>
        <w:rPr>
          <w:rFonts w:cs="Calibri"/>
        </w:rPr>
      </w:pPr>
      <w:r w:rsidRPr="009E06AA">
        <w:rPr>
          <w:rFonts w:cs="Calibri"/>
        </w:rPr>
        <w:t>Generation data are collected for each year ending 31 March, with generation assumed to be distributed equally across quarters to estimate December year-end generation. Generation data are usually collected from all 15 plants. However, in some years, estimates are made based on the previous year’s generation.</w:t>
      </w:r>
    </w:p>
    <w:p w14:paraId="68837A3D" w14:textId="77777777" w:rsidR="00D97D6C" w:rsidRPr="009E06AA" w:rsidRDefault="00D97D6C" w:rsidP="00D97D6C">
      <w:pPr>
        <w:pStyle w:val="BodyText"/>
        <w:spacing w:before="100" w:after="100" w:line="240" w:lineRule="atLeast"/>
        <w:rPr>
          <w:rFonts w:cs="Calibri"/>
        </w:rPr>
      </w:pPr>
      <w:r w:rsidRPr="009E06AA">
        <w:rPr>
          <w:rFonts w:cs="Calibri"/>
        </w:rPr>
        <w:t xml:space="preserve">Fuel input information for generation is not collected for small generators (those less than 10 MW), to minimise the burden on respondents and increase response rates. Estimates of fuel input are made on the assumption of 30 per cent efficiency based on gross generation. </w:t>
      </w:r>
    </w:p>
    <w:p w14:paraId="16F55A44" w14:textId="77777777" w:rsidR="00D97D6C" w:rsidRPr="009E06AA" w:rsidRDefault="00D97D6C" w:rsidP="00D97D6C">
      <w:pPr>
        <w:pStyle w:val="BodyText"/>
        <w:spacing w:before="100" w:after="100" w:line="240" w:lineRule="atLeast"/>
        <w:rPr>
          <w:rFonts w:cs="Calibri"/>
        </w:rPr>
      </w:pPr>
      <w:r w:rsidRPr="009E06AA">
        <w:rPr>
          <w:rFonts w:cs="Calibri"/>
        </w:rPr>
        <w:t>All generation data collected are assumed to be net generation (i.e., excluding parasitic load). These values are scaled up using default net-to-gross generation factors sourced from the International Energy Agency. For all thermal generation, the net-to-gross factor is assumed to be 1.07 (i.e., an additional 7 per cent of electricity is generated but used within the plant itself). Fuel input estimates are then calculated based on the gross generation using a default electrical efficiency factor of 30 per cent. This estimated quantity of biogas is used as total biogas for energy purposes. Biogas use estimates for landfill gas and sewage waste gas are calculated and reported in petajoules (PJ).</w:t>
      </w:r>
    </w:p>
    <w:p w14:paraId="5D94AFF4" w14:textId="77777777" w:rsidR="00D97D6C" w:rsidRPr="009E06AA" w:rsidRDefault="00D97D6C" w:rsidP="00D97D6C">
      <w:pPr>
        <w:pStyle w:val="BodyText"/>
        <w:spacing w:before="100" w:after="100"/>
        <w:rPr>
          <w:rFonts w:cs="Calibri"/>
        </w:rPr>
      </w:pPr>
      <w:r w:rsidRPr="009E06AA">
        <w:rPr>
          <w:rFonts w:cs="Calibri"/>
        </w:rPr>
        <w:t>Energy quantities of gas biomass are then converted into greenhouse gas emissions using default IPCC emission factors. These factors are as follows:</w:t>
      </w:r>
    </w:p>
    <w:p w14:paraId="2C2F07E5" w14:textId="77777777" w:rsidR="00D97D6C" w:rsidRPr="009E06AA" w:rsidRDefault="00D97D6C" w:rsidP="001608E9">
      <w:pPr>
        <w:pStyle w:val="Bullet"/>
        <w:numPr>
          <w:ilvl w:val="0"/>
          <w:numId w:val="24"/>
        </w:numPr>
        <w:tabs>
          <w:tab w:val="left" w:pos="2552"/>
        </w:tabs>
        <w:spacing w:after="100" w:line="240" w:lineRule="atLeast"/>
        <w:rPr>
          <w:rFonts w:cs="Calibri"/>
        </w:rPr>
      </w:pPr>
      <w:r w:rsidRPr="009E06AA">
        <w:rPr>
          <w:rFonts w:cs="Calibri"/>
        </w:rPr>
        <w:t>CO</w:t>
      </w:r>
      <w:r w:rsidRPr="009E06AA">
        <w:rPr>
          <w:vertAlign w:val="subscript"/>
        </w:rPr>
        <w:t>2</w:t>
      </w:r>
      <w:r w:rsidRPr="009E06AA">
        <w:rPr>
          <w:rFonts w:cs="Calibri"/>
        </w:rPr>
        <w:t xml:space="preserve">: </w:t>
      </w:r>
      <w:r w:rsidRPr="009E06AA">
        <w:rPr>
          <w:rFonts w:cs="Calibri"/>
        </w:rPr>
        <w:tab/>
        <w:t>13.4</w:t>
      </w:r>
      <w:r w:rsidRPr="009E06AA">
        <w:rPr>
          <w:sz w:val="16"/>
        </w:rPr>
        <w:t xml:space="preserve"> </w:t>
      </w:r>
      <w:r w:rsidRPr="009E06AA">
        <w:rPr>
          <w:rFonts w:cs="Calibri"/>
        </w:rPr>
        <w:t>kt carbon/PJ or 49.17</w:t>
      </w:r>
      <w:r w:rsidRPr="009E06AA">
        <w:rPr>
          <w:sz w:val="16"/>
        </w:rPr>
        <w:t xml:space="preserve"> </w:t>
      </w:r>
      <w:r w:rsidRPr="009E06AA">
        <w:rPr>
          <w:rFonts w:cs="Calibri"/>
        </w:rPr>
        <w:t>kt CO</w:t>
      </w:r>
      <w:r w:rsidRPr="009E06AA">
        <w:rPr>
          <w:vertAlign w:val="subscript"/>
        </w:rPr>
        <w:t>2</w:t>
      </w:r>
      <w:r w:rsidRPr="009E06AA">
        <w:rPr>
          <w:rFonts w:cs="Calibri"/>
        </w:rPr>
        <w:t>/PJ</w:t>
      </w:r>
    </w:p>
    <w:p w14:paraId="234EB762" w14:textId="77777777" w:rsidR="00D97D6C" w:rsidRPr="009E06AA" w:rsidRDefault="00D97D6C" w:rsidP="001608E9">
      <w:pPr>
        <w:pStyle w:val="Bullet"/>
        <w:numPr>
          <w:ilvl w:val="0"/>
          <w:numId w:val="24"/>
        </w:numPr>
        <w:tabs>
          <w:tab w:val="left" w:pos="2552"/>
        </w:tabs>
        <w:spacing w:after="100" w:line="240" w:lineRule="atLeast"/>
        <w:rPr>
          <w:rFonts w:cs="Calibri"/>
        </w:rPr>
      </w:pPr>
      <w:r w:rsidRPr="009E06AA">
        <w:rPr>
          <w:rFonts w:cs="Calibri"/>
        </w:rPr>
        <w:t>methane (CH</w:t>
      </w:r>
      <w:r w:rsidRPr="009E06AA">
        <w:rPr>
          <w:vertAlign w:val="subscript"/>
        </w:rPr>
        <w:t>4</w:t>
      </w:r>
      <w:r w:rsidRPr="009E06AA">
        <w:t>)</w:t>
      </w:r>
      <w:r w:rsidRPr="009E06AA">
        <w:rPr>
          <w:rFonts w:cs="Calibri"/>
        </w:rPr>
        <w:t xml:space="preserve">: </w:t>
      </w:r>
      <w:r w:rsidRPr="009E06AA">
        <w:rPr>
          <w:rFonts w:cs="Calibri"/>
        </w:rPr>
        <w:tab/>
        <w:t>0.9 tonnes per PJ (t/PJ)</w:t>
      </w:r>
    </w:p>
    <w:p w14:paraId="1DDDE041" w14:textId="77777777" w:rsidR="00D97D6C" w:rsidRPr="009E06AA" w:rsidRDefault="00D97D6C" w:rsidP="001608E9">
      <w:pPr>
        <w:pStyle w:val="Bullet"/>
        <w:numPr>
          <w:ilvl w:val="0"/>
          <w:numId w:val="24"/>
        </w:numPr>
        <w:tabs>
          <w:tab w:val="left" w:pos="2552"/>
        </w:tabs>
        <w:spacing w:after="100" w:line="240" w:lineRule="atLeast"/>
        <w:rPr>
          <w:rFonts w:cs="Calibri"/>
        </w:rPr>
      </w:pPr>
      <w:r w:rsidRPr="009E06AA">
        <w:rPr>
          <w:rFonts w:cs="Calibri"/>
        </w:rPr>
        <w:t>nitrous oxide (N</w:t>
      </w:r>
      <w:r w:rsidRPr="009E06AA">
        <w:rPr>
          <w:vertAlign w:val="subscript"/>
        </w:rPr>
        <w:t>2</w:t>
      </w:r>
      <w:r w:rsidRPr="009E06AA">
        <w:rPr>
          <w:rFonts w:cs="Calibri"/>
        </w:rPr>
        <w:t>O):</w:t>
      </w:r>
      <w:r w:rsidRPr="009E06AA">
        <w:rPr>
          <w:rFonts w:cs="Calibri"/>
        </w:rPr>
        <w:tab/>
        <w:t>0.09 t/PJ.</w:t>
      </w:r>
    </w:p>
    <w:p w14:paraId="63F0D32F" w14:textId="318C06EC" w:rsidR="00D97D6C" w:rsidRPr="009E06AA" w:rsidRDefault="00D97D6C" w:rsidP="00D97D6C">
      <w:pPr>
        <w:pStyle w:val="BodyText"/>
        <w:spacing w:before="100" w:after="100"/>
      </w:pPr>
      <w:r w:rsidRPr="009E06AA">
        <w:rPr>
          <w:rFonts w:cs="Calibri"/>
        </w:rPr>
        <w:t>The CO</w:t>
      </w:r>
      <w:r w:rsidRPr="009E06AA">
        <w:rPr>
          <w:vertAlign w:val="subscript"/>
        </w:rPr>
        <w:t>2</w:t>
      </w:r>
      <w:r w:rsidRPr="009E06AA">
        <w:rPr>
          <w:rFonts w:cs="Calibri"/>
        </w:rPr>
        <w:t xml:space="preserve"> emission factor is derived from the IPCC default net emission factor </w:t>
      </w:r>
      <w:r w:rsidR="00296D90" w:rsidRPr="009E06AA">
        <w:rPr>
          <w:rFonts w:cs="Calibri"/>
        </w:rPr>
        <w:t>–</w:t>
      </w:r>
      <w:r w:rsidRPr="009E06AA">
        <w:rPr>
          <w:rFonts w:cs="Calibri"/>
        </w:rPr>
        <w:t xml:space="preserve"> it is assumed that the net emission factor is 10 per cent lower than the gross emission factor.</w:t>
      </w:r>
    </w:p>
    <w:p w14:paraId="28E2AD68" w14:textId="77777777" w:rsidR="00D97D6C" w:rsidRPr="009E06AA" w:rsidRDefault="00D97D6C" w:rsidP="00D97D6C">
      <w:pPr>
        <w:pStyle w:val="BodyText"/>
        <w:spacing w:before="100" w:after="100"/>
        <w:rPr>
          <w:rFonts w:cs="Calibri"/>
        </w:rPr>
      </w:pPr>
      <w:r w:rsidRPr="009E06AA">
        <w:rPr>
          <w:rFonts w:cs="Calibri"/>
        </w:rPr>
        <w:t>Emissions from gas biomass comprise a very small part of New Zealand’s emissions inventory. Given this situation, MBIE believes the current process is sufficient for estimating emissions from gas biomass and that efforts to improve the quality estimates are better focused on other areas.</w:t>
      </w:r>
    </w:p>
    <w:p w14:paraId="1B2347E0" w14:textId="77777777" w:rsidR="00D97D6C" w:rsidRPr="009E06AA" w:rsidRDefault="00D97D6C" w:rsidP="00D97D6C">
      <w:pPr>
        <w:pStyle w:val="BodyText"/>
        <w:spacing w:before="100" w:line="240" w:lineRule="atLeast"/>
        <w:rPr>
          <w:rFonts w:cs="Calibri"/>
        </w:rPr>
      </w:pPr>
      <w:r w:rsidRPr="009E06AA">
        <w:rPr>
          <w:rFonts w:cs="Calibri"/>
        </w:rPr>
        <w:t xml:space="preserve">Residential and industrial solid biomass activity data are taken from the annual </w:t>
      </w:r>
      <w:r w:rsidRPr="009E06AA">
        <w:rPr>
          <w:rFonts w:cs="Calibri"/>
          <w:i/>
          <w:lang w:eastAsia="en-GB"/>
        </w:rPr>
        <w:t>Energy in New Zealand</w:t>
      </w:r>
      <w:r w:rsidRPr="009E06AA">
        <w:rPr>
          <w:rFonts w:cs="Calibri"/>
        </w:rPr>
        <w:t xml:space="preserve"> publication (MBIE, 2023). Residential values are estimated by MBIE based on information on the proportion of households with wood burning heaters (from Census data) and data from the Building Research Association of New Zealand (BRANZ, 2002) on the average amount of energy used by households that use wood for heating. The industrial biomass estimation is based on the report </w:t>
      </w:r>
      <w:r w:rsidRPr="009E06AA">
        <w:rPr>
          <w:rFonts w:cs="Calibri"/>
          <w:i/>
          <w:lang w:eastAsia="en-GB"/>
        </w:rPr>
        <w:t xml:space="preserve">Heat Plant in New Zealand </w:t>
      </w:r>
      <w:r w:rsidRPr="009E06AA">
        <w:rPr>
          <w:rFonts w:cs="Calibri"/>
        </w:rPr>
        <w:t>(Bioenergy Association of New Zealand, 2011).</w:t>
      </w:r>
    </w:p>
    <w:p w14:paraId="33890EBA" w14:textId="77777777" w:rsidR="00D97D6C" w:rsidRPr="009E06AA" w:rsidRDefault="00D97D6C" w:rsidP="00D97D6C">
      <w:pPr>
        <w:pStyle w:val="BodyText"/>
        <w:rPr>
          <w:rFonts w:cs="Calibri"/>
        </w:rPr>
      </w:pPr>
      <w:r w:rsidRPr="009E06AA">
        <w:rPr>
          <w:rFonts w:cs="Calibri"/>
        </w:rPr>
        <w:t xml:space="preserve">Liquid biofuel activity data are based on information collected under the </w:t>
      </w:r>
      <w:r w:rsidRPr="009E06AA">
        <w:rPr>
          <w:rFonts w:cs="Calibri"/>
          <w:iCs/>
          <w:lang w:eastAsia="en-GB"/>
        </w:rPr>
        <w:t>Petroleum or Engine Fuel Monitoring Levy,</w:t>
      </w:r>
      <w:r w:rsidRPr="009E06AA">
        <w:rPr>
          <w:rFonts w:cs="Calibri"/>
        </w:rPr>
        <w:t xml:space="preserve"> as reported in MBIE quarterly online data releases. </w:t>
      </w:r>
    </w:p>
    <w:p w14:paraId="2C06D1CF" w14:textId="77777777" w:rsidR="00D97D6C" w:rsidRPr="009E06AA" w:rsidRDefault="00D97D6C" w:rsidP="00BF2A76">
      <w:pPr>
        <w:pStyle w:val="Heading5"/>
      </w:pPr>
      <w:r w:rsidRPr="009E06AA">
        <w:t>Electricity auto-production</w:t>
      </w:r>
    </w:p>
    <w:p w14:paraId="1CABBCAE" w14:textId="77777777" w:rsidR="00D97D6C" w:rsidRPr="009E06AA" w:rsidRDefault="00D97D6C" w:rsidP="00D97D6C">
      <w:pPr>
        <w:pStyle w:val="BodyText"/>
        <w:spacing w:before="100"/>
        <w:rPr>
          <w:rFonts w:cs="Calibri"/>
        </w:rPr>
      </w:pPr>
      <w:r w:rsidRPr="009E06AA">
        <w:rPr>
          <w:rFonts w:cs="Calibri"/>
        </w:rPr>
        <w:t xml:space="preserve">All combustion activity for electricity auto-production is allocated into the appropriate manufacturing category. </w:t>
      </w:r>
    </w:p>
    <w:p w14:paraId="037227D2" w14:textId="77777777" w:rsidR="00D97D6C" w:rsidRPr="009E06AA" w:rsidRDefault="00D97D6C" w:rsidP="00D97D6C">
      <w:pPr>
        <w:pStyle w:val="Heading4"/>
        <w:rPr>
          <w:rFonts w:cs="Calibri"/>
        </w:rPr>
      </w:pPr>
      <w:r w:rsidRPr="009E06AA">
        <w:rPr>
          <w:lang w:eastAsia="en-GB"/>
        </w:rPr>
        <w:t>Emission factors</w:t>
      </w:r>
    </w:p>
    <w:p w14:paraId="4D6E5724" w14:textId="7FB57BF7" w:rsidR="00D97D6C" w:rsidRPr="009E06AA" w:rsidRDefault="00D97D6C" w:rsidP="00D97D6C">
      <w:pPr>
        <w:pStyle w:val="BodyText"/>
        <w:rPr>
          <w:rFonts w:cs="Calibri"/>
        </w:rPr>
      </w:pPr>
      <w:r w:rsidRPr="009E06AA">
        <w:rPr>
          <w:rFonts w:cs="Calibri"/>
        </w:rPr>
        <w:t>New Zealand emission factors are based on gross calorific values. A list of emission factors for CO</w:t>
      </w:r>
      <w:r w:rsidRPr="009E06AA">
        <w:rPr>
          <w:rFonts w:cs="Calibri"/>
          <w:vertAlign w:val="subscript"/>
          <w:lang w:eastAsia="en-GB"/>
        </w:rPr>
        <w:t>2</w:t>
      </w:r>
      <w:r w:rsidRPr="009E06AA">
        <w:rPr>
          <w:rFonts w:cs="Calibri"/>
        </w:rPr>
        <w:t>, CH</w:t>
      </w:r>
      <w:r w:rsidRPr="009E06AA">
        <w:rPr>
          <w:rFonts w:cs="Calibri"/>
          <w:vertAlign w:val="subscript"/>
        </w:rPr>
        <w:t>4</w:t>
      </w:r>
      <w:r w:rsidRPr="009E06AA">
        <w:rPr>
          <w:rFonts w:cs="Calibri"/>
        </w:rPr>
        <w:t xml:space="preserve"> and N</w:t>
      </w:r>
      <w:r w:rsidRPr="009E06AA">
        <w:rPr>
          <w:rFonts w:cs="Calibri"/>
          <w:vertAlign w:val="subscript"/>
        </w:rPr>
        <w:t>2</w:t>
      </w:r>
      <w:r w:rsidRPr="009E06AA">
        <w:rPr>
          <w:rFonts w:cs="Calibri"/>
        </w:rPr>
        <w:t>O for all fuel types is provided in annex 5. The characteristics of liquid, solid</w:t>
      </w:r>
      <w:r w:rsidRPr="009E06AA">
        <w:t> </w:t>
      </w:r>
      <w:r w:rsidRPr="009E06AA">
        <w:rPr>
          <w:rFonts w:cs="Calibri"/>
        </w:rPr>
        <w:t>and gaseous fuels and biomass used in New Zealand are described under each of the fuel</w:t>
      </w:r>
      <w:r w:rsidRPr="009E06AA">
        <w:t> </w:t>
      </w:r>
      <w:r w:rsidRPr="009E06AA">
        <w:rPr>
          <w:rFonts w:cs="Calibri"/>
        </w:rPr>
        <w:t>sections below. Where a New Zealand-specific value is not available, MBIE uses either the</w:t>
      </w:r>
      <w:r w:rsidR="00296D90" w:rsidRPr="009E06AA">
        <w:rPr>
          <w:rFonts w:cs="Calibri"/>
        </w:rPr>
        <w:t> </w:t>
      </w:r>
      <w:r w:rsidRPr="009E06AA">
        <w:rPr>
          <w:rFonts w:cs="Calibri"/>
        </w:rPr>
        <w:t>IPCC value that best reflects New Zealand conditions or the mid-point value from the IPCC</w:t>
      </w:r>
      <w:r w:rsidR="00296D90" w:rsidRPr="009E06AA">
        <w:rPr>
          <w:rFonts w:cs="Calibri"/>
        </w:rPr>
        <w:t> </w:t>
      </w:r>
      <w:r w:rsidRPr="009E06AA">
        <w:rPr>
          <w:rFonts w:cs="Calibri"/>
        </w:rPr>
        <w:t>range. All emission factors from the IPCC are converted from net calorific value to gross calorific value. New Zealand adopts the following Organisation for Economic Co-operation and</w:t>
      </w:r>
      <w:r w:rsidRPr="009E06AA">
        <w:t> </w:t>
      </w:r>
      <w:r w:rsidRPr="009E06AA">
        <w:rPr>
          <w:rFonts w:cs="Calibri"/>
        </w:rPr>
        <w:t>Development and International Energy Agency assumptions to make these conversions:</w:t>
      </w:r>
    </w:p>
    <w:p w14:paraId="1D11CE3B" w14:textId="77777777" w:rsidR="00D97D6C" w:rsidRPr="009E06AA" w:rsidRDefault="00D97D6C" w:rsidP="00D97D6C">
      <w:pPr>
        <w:pStyle w:val="Bullet"/>
        <w:tabs>
          <w:tab w:val="left" w:pos="2552"/>
        </w:tabs>
        <w:rPr>
          <w:rFonts w:cs="Calibri"/>
        </w:rPr>
      </w:pPr>
      <w:r w:rsidRPr="009E06AA">
        <w:rPr>
          <w:rFonts w:cs="Calibri"/>
        </w:rPr>
        <w:t xml:space="preserve">gaseous fuels: </w:t>
      </w:r>
      <w:r w:rsidRPr="009E06AA">
        <w:rPr>
          <w:rFonts w:cs="Calibri"/>
        </w:rPr>
        <w:tab/>
        <w:t>Gross Emission Factor = 0.90 × Net Emission Factor</w:t>
      </w:r>
    </w:p>
    <w:p w14:paraId="4F217238" w14:textId="77777777" w:rsidR="00D97D6C" w:rsidRPr="009E06AA" w:rsidRDefault="00D97D6C" w:rsidP="00D97D6C">
      <w:pPr>
        <w:pStyle w:val="Bullet"/>
        <w:tabs>
          <w:tab w:val="left" w:pos="2552"/>
        </w:tabs>
        <w:rPr>
          <w:rFonts w:cs="Calibri"/>
        </w:rPr>
      </w:pPr>
      <w:r w:rsidRPr="009E06AA">
        <w:rPr>
          <w:rFonts w:cs="Calibri"/>
        </w:rPr>
        <w:t>liquid and solid fuels:</w:t>
      </w:r>
      <w:r w:rsidRPr="009E06AA">
        <w:rPr>
          <w:rFonts w:cs="Calibri"/>
        </w:rPr>
        <w:tab/>
        <w:t>Gross Emission Factor = 0.95 × Net Emission Factor</w:t>
      </w:r>
    </w:p>
    <w:p w14:paraId="51279E71" w14:textId="77777777" w:rsidR="00D97D6C" w:rsidRPr="009E06AA" w:rsidRDefault="00D97D6C" w:rsidP="00D97D6C">
      <w:pPr>
        <w:pStyle w:val="Bullet"/>
        <w:tabs>
          <w:tab w:val="left" w:pos="2552"/>
        </w:tabs>
        <w:rPr>
          <w:rFonts w:cs="Calibri"/>
        </w:rPr>
      </w:pPr>
      <w:r w:rsidRPr="009E06AA">
        <w:rPr>
          <w:rFonts w:cs="Calibri"/>
        </w:rPr>
        <w:t>wood:</w:t>
      </w:r>
      <w:r w:rsidRPr="009E06AA">
        <w:rPr>
          <w:rFonts w:cs="Calibri"/>
        </w:rPr>
        <w:tab/>
        <w:t>Gross Emission Factor = 0.80 × Net Emission Factor.</w:t>
      </w:r>
    </w:p>
    <w:p w14:paraId="77F6358E" w14:textId="77777777" w:rsidR="00D97D6C" w:rsidRPr="009E06AA" w:rsidRDefault="00D97D6C" w:rsidP="00BF2A76">
      <w:pPr>
        <w:pStyle w:val="Heading5"/>
      </w:pPr>
      <w:r w:rsidRPr="009E06AA">
        <w:t>Liquid fuels</w:t>
      </w:r>
    </w:p>
    <w:p w14:paraId="3B7186FE" w14:textId="77777777" w:rsidR="00D97D6C" w:rsidRPr="009E06AA" w:rsidRDefault="00D97D6C" w:rsidP="00D97D6C">
      <w:pPr>
        <w:pStyle w:val="BodyText"/>
        <w:rPr>
          <w:rFonts w:cs="Calibri"/>
        </w:rPr>
      </w:pPr>
      <w:r w:rsidRPr="009E06AA">
        <w:rPr>
          <w:rFonts w:cs="Calibri"/>
        </w:rPr>
        <w:t>Where possible, CO</w:t>
      </w:r>
      <w:r w:rsidRPr="009E06AA">
        <w:rPr>
          <w:rFonts w:cs="Calibri"/>
          <w:vertAlign w:val="subscript"/>
          <w:lang w:eastAsia="en-GB"/>
        </w:rPr>
        <w:t>2</w:t>
      </w:r>
      <w:r w:rsidRPr="009E06AA">
        <w:rPr>
          <w:rFonts w:cs="Calibri"/>
        </w:rPr>
        <w:t xml:space="preserve"> emission factors for liquid fuels are calculated on an annual basis. Carbon dioxide emission factors were calculated from Refining New Zealand data on the carbon content and calorific values of the fuels that they produced. Starting in 2022, fuel property data were obtained from fuel importers. For non-CO</w:t>
      </w:r>
      <w:r w:rsidRPr="009E06AA">
        <w:rPr>
          <w:rFonts w:cs="Calibri"/>
          <w:vertAlign w:val="subscript"/>
          <w:lang w:eastAsia="en-GB"/>
        </w:rPr>
        <w:t>2</w:t>
      </w:r>
      <w:r w:rsidRPr="009E06AA">
        <w:rPr>
          <w:rFonts w:cs="Calibri"/>
        </w:rPr>
        <w:t xml:space="preserve"> emissions, IPCC default values are used unless otherwise specified in the relevant section. Annex 5 includes further information on liquid fuel emission factors, including a time series of gross calorific values.</w:t>
      </w:r>
    </w:p>
    <w:p w14:paraId="0D54823D" w14:textId="77777777" w:rsidR="00D97D6C" w:rsidRPr="009E06AA" w:rsidRDefault="00D97D6C" w:rsidP="00BF2A76">
      <w:pPr>
        <w:pStyle w:val="Heading5"/>
      </w:pPr>
      <w:r w:rsidRPr="009E06AA">
        <w:t>Solid fuels</w:t>
      </w:r>
    </w:p>
    <w:p w14:paraId="7E1507F7" w14:textId="77777777" w:rsidR="00D97D6C" w:rsidRPr="009E06AA" w:rsidRDefault="00D97D6C" w:rsidP="00D97D6C">
      <w:pPr>
        <w:pStyle w:val="BodyText"/>
        <w:rPr>
          <w:rFonts w:cs="Calibri"/>
        </w:rPr>
      </w:pPr>
      <w:r w:rsidRPr="009E06AA">
        <w:rPr>
          <w:rFonts w:cs="Calibri"/>
        </w:rPr>
        <w:t>Emission factors for solid fuels were updated for the 2016 submission across the time series from 1990 to 2008, in response to a 2013 ERT recommendation (FCCC/ARR/2013/NZL, paragraph 32) (UNFCCC, 2014). A comprehensive list of carbon content by coal mine is not currently available. A review of New Zealand’s coal emission factors in preparation for the New Zealand Emissions Trading Scheme (NZ ETS) (CRL Energy Ltd, 2009) recommended re</w:t>
      </w:r>
      <w:r w:rsidRPr="009E06AA">
        <w:rPr>
          <w:rFonts w:cs="Calibri"/>
        </w:rPr>
        <w:noBreakHyphen/>
        <w:t xml:space="preserve">weighting the current default emission factors to 2007 production rather than continuing with those in the </w:t>
      </w:r>
      <w:r w:rsidRPr="009E06AA">
        <w:t xml:space="preserve">New Zealand Energy Information Handbook </w:t>
      </w:r>
      <w:r w:rsidRPr="009E06AA">
        <w:rPr>
          <w:rFonts w:cs="Calibri"/>
        </w:rPr>
        <w:t>(Baines, 1993). However, following the recommendation of the ERT review of New Zealand’s 2013 submission (FCCC/ARR/2013/NZL, paragraph 32) (UNFCCC, 2014), the emission factors between 1990</w:t>
      </w:r>
      <w:r w:rsidRPr="009E06AA">
        <w:t> </w:t>
      </w:r>
      <w:r w:rsidRPr="009E06AA">
        <w:rPr>
          <w:rFonts w:cs="Calibri"/>
        </w:rPr>
        <w:t xml:space="preserve">and 2008 have been interpolated. </w:t>
      </w:r>
    </w:p>
    <w:p w14:paraId="07DF9C93" w14:textId="42FC2AE4" w:rsidR="00D97D6C" w:rsidRPr="009E06AA" w:rsidRDefault="00D97D6C" w:rsidP="00D97D6C">
      <w:pPr>
        <w:pStyle w:val="BodyText"/>
        <w:rPr>
          <w:rFonts w:cs="Calibri"/>
        </w:rPr>
      </w:pPr>
      <w:r w:rsidRPr="009E06AA">
        <w:rPr>
          <w:rFonts w:cs="Calibri"/>
        </w:rPr>
        <w:t>The emission factor used to calculate emissions from</w:t>
      </w:r>
      <w:r w:rsidR="00206328" w:rsidRPr="009E06AA">
        <w:rPr>
          <w:rFonts w:cs="Calibri"/>
        </w:rPr>
        <w:t xml:space="preserve"> </w:t>
      </w:r>
      <w:r w:rsidRPr="009E06AA">
        <w:rPr>
          <w:rFonts w:cs="Calibri"/>
        </w:rPr>
        <w:t>coal use in the public electricity and heat production sector has been weighted to reflect the combustion of imported coal. A time series of the effect of this weighting is included in annex 5.</w:t>
      </w:r>
    </w:p>
    <w:p w14:paraId="28866109" w14:textId="77777777" w:rsidR="00D97D6C" w:rsidRPr="009E06AA" w:rsidRDefault="00D97D6C" w:rsidP="00BF2A76">
      <w:pPr>
        <w:pStyle w:val="Heading5"/>
      </w:pPr>
      <w:r w:rsidRPr="009E06AA">
        <w:t>Gaseous fuels</w:t>
      </w:r>
    </w:p>
    <w:p w14:paraId="4645617F" w14:textId="77777777" w:rsidR="00D97D6C" w:rsidRPr="009E06AA" w:rsidRDefault="00D97D6C" w:rsidP="00D97D6C">
      <w:pPr>
        <w:pStyle w:val="BodyText"/>
        <w:spacing w:before="100" w:after="100"/>
        <w:rPr>
          <w:rFonts w:cs="Calibri"/>
        </w:rPr>
      </w:pPr>
      <w:r w:rsidRPr="009E06AA">
        <w:rPr>
          <w:rFonts w:cs="Calibri"/>
        </w:rPr>
        <w:t>New Zealand’s gaseous fuel emission factors are above the IPCC 2006 default range because New Zealand natural gas fields tend to have higher CO</w:t>
      </w:r>
      <w:r w:rsidRPr="009E06AA">
        <w:rPr>
          <w:rFonts w:cs="Calibri"/>
          <w:vertAlign w:val="subscript"/>
          <w:lang w:eastAsia="en-GB"/>
        </w:rPr>
        <w:t>2</w:t>
      </w:r>
      <w:r w:rsidRPr="009E06AA">
        <w:rPr>
          <w:rFonts w:cs="Calibri"/>
        </w:rPr>
        <w:t xml:space="preserve"> content than most international gas fields. This is verified by regular gas composition analysis. Emission factors for 2022 from all fields, along with the production weighted average, are included in annex 5.</w:t>
      </w:r>
    </w:p>
    <w:p w14:paraId="6EBA2D0F" w14:textId="77777777" w:rsidR="00D97D6C" w:rsidRPr="009E06AA" w:rsidRDefault="00D97D6C" w:rsidP="00D97D6C">
      <w:pPr>
        <w:pStyle w:val="BodyText"/>
        <w:spacing w:before="100" w:after="100"/>
        <w:rPr>
          <w:rFonts w:cs="Calibri"/>
        </w:rPr>
      </w:pPr>
      <w:r w:rsidRPr="009E06AA">
        <w:rPr>
          <w:rFonts w:cs="Calibri"/>
        </w:rPr>
        <w:t>The annual gaseous fuel emission factor is calculated as an average of the emission factors of all natural gas fields in New Zealand, weighted by each field’s relative production for the year. This method provides increased accuracy because it takes into account trends in gas field’s production rates over time (e.g., the decline in production from both the Maui and Kapuni gas fields and their replacement by other new gas fields like Pohokura). This emission factor fluctuates slightly from year to year, mainly due to the relative production volume at different gas fields.</w:t>
      </w:r>
    </w:p>
    <w:p w14:paraId="775F962D" w14:textId="77777777" w:rsidR="00D97D6C" w:rsidRPr="009E06AA" w:rsidRDefault="00D97D6C" w:rsidP="00D97D6C">
      <w:pPr>
        <w:pStyle w:val="BodyText"/>
        <w:spacing w:before="100" w:after="100"/>
        <w:rPr>
          <w:rFonts w:cs="Calibri"/>
        </w:rPr>
      </w:pPr>
      <w:r w:rsidRPr="009E06AA">
        <w:rPr>
          <w:rFonts w:cs="Calibri"/>
        </w:rPr>
        <w:t>Natural gas from the Kapuni gas field has a particularly high CO</w:t>
      </w:r>
      <w:r w:rsidRPr="009E06AA">
        <w:rPr>
          <w:rFonts w:cs="Calibri"/>
          <w:vertAlign w:val="subscript"/>
          <w:lang w:eastAsia="en-GB"/>
        </w:rPr>
        <w:t xml:space="preserve">2 </w:t>
      </w:r>
      <w:r w:rsidRPr="009E06AA">
        <w:rPr>
          <w:rFonts w:cs="Calibri"/>
        </w:rPr>
        <w:t>content. Historically, this field has been valued by the petrochemicals industry as a feedstock. However, most of the gas from this field is now treated, and the excess CO</w:t>
      </w:r>
      <w:r w:rsidRPr="009E06AA">
        <w:rPr>
          <w:rFonts w:cs="Calibri"/>
          <w:vertAlign w:val="subscript"/>
          <w:lang w:eastAsia="en-GB"/>
        </w:rPr>
        <w:t>2</w:t>
      </w:r>
      <w:r w:rsidRPr="009E06AA">
        <w:rPr>
          <w:rFonts w:cs="Calibri"/>
        </w:rPr>
        <w:t xml:space="preserve"> is removed at the Kapuni Gas Treatment Plant. Consequently, separate emission factors were used to calculate emissions from Kapuni treated and untreated gas, due to the difference in carbon content (see annex 5). Carbon dioxide removed from raw Kapuni gas (which is then vented) is reported in 1.B.2.c </w:t>
      </w:r>
      <w:r w:rsidRPr="009E06AA">
        <w:rPr>
          <w:rFonts w:cs="Calibri"/>
          <w:i/>
          <w:iCs/>
          <w:lang w:eastAsia="en-GB"/>
        </w:rPr>
        <w:t>Venting and flaring</w:t>
      </w:r>
      <w:r w:rsidRPr="009E06AA">
        <w:rPr>
          <w:rFonts w:cs="Calibri"/>
        </w:rPr>
        <w:t>.</w:t>
      </w:r>
    </w:p>
    <w:p w14:paraId="291134C2" w14:textId="77777777" w:rsidR="00D97D6C" w:rsidRPr="009E06AA" w:rsidRDefault="00D97D6C" w:rsidP="00BF2A76">
      <w:pPr>
        <w:pStyle w:val="Heading5"/>
      </w:pPr>
      <w:r w:rsidRPr="009E06AA">
        <w:t>Biomass</w:t>
      </w:r>
    </w:p>
    <w:p w14:paraId="1421CC6C" w14:textId="77777777" w:rsidR="00D97D6C" w:rsidRPr="009E06AA" w:rsidRDefault="00D97D6C" w:rsidP="00D97D6C">
      <w:pPr>
        <w:pStyle w:val="BodyText"/>
        <w:spacing w:after="100"/>
        <w:rPr>
          <w:rFonts w:cs="Calibri"/>
        </w:rPr>
      </w:pPr>
      <w:r w:rsidRPr="009E06AA">
        <w:rPr>
          <w:rFonts w:cs="Calibri"/>
        </w:rPr>
        <w:t xml:space="preserve">Emission factors for wood combustion are calculated from the IPCC 2006 default emission factor and assume that the net calorific value is 20 per cent lower than the gross calorific value (IPCC, 2006). Carbon dioxide emissions from wood used for energy production are reported as a memo item and are not included in the estimate of New Zealand’s total greenhouse gas emissions (IPCC, 2006). Carbon dioxide emission factors for liquid biofuels are sourced from the </w:t>
      </w:r>
      <w:r w:rsidRPr="009E06AA">
        <w:rPr>
          <w:rFonts w:cs="Calibri"/>
          <w:i/>
          <w:iCs/>
          <w:lang w:eastAsia="en-GB"/>
        </w:rPr>
        <w:t xml:space="preserve">New Zealand Energy Information Handbook </w:t>
      </w:r>
      <w:r w:rsidRPr="009E06AA">
        <w:rPr>
          <w:rFonts w:cs="Calibri"/>
        </w:rPr>
        <w:t>(Baines, 1993), while CH</w:t>
      </w:r>
      <w:r w:rsidRPr="009E06AA">
        <w:rPr>
          <w:rFonts w:cs="Calibri"/>
          <w:vertAlign w:val="subscript"/>
        </w:rPr>
        <w:t>4</w:t>
      </w:r>
      <w:r w:rsidRPr="009E06AA">
        <w:rPr>
          <w:rFonts w:cs="Calibri"/>
        </w:rPr>
        <w:t xml:space="preserve"> and N</w:t>
      </w:r>
      <w:r w:rsidRPr="009E06AA">
        <w:rPr>
          <w:rFonts w:cs="Calibri"/>
          <w:vertAlign w:val="subscript"/>
        </w:rPr>
        <w:t>2</w:t>
      </w:r>
      <w:r w:rsidRPr="009E06AA">
        <w:rPr>
          <w:rFonts w:cs="Calibri"/>
        </w:rPr>
        <w:t>O emission factors are IPCC 2006 default emission factors.</w:t>
      </w:r>
    </w:p>
    <w:p w14:paraId="6FAC0BD2" w14:textId="77777777" w:rsidR="00D97D6C" w:rsidRPr="009E06AA" w:rsidRDefault="00D97D6C" w:rsidP="00D97D6C">
      <w:pPr>
        <w:pStyle w:val="Heading3"/>
        <w:spacing w:before="320"/>
        <w:rPr>
          <w:rFonts w:cs="Calibri"/>
        </w:rPr>
      </w:pPr>
      <w:r w:rsidRPr="009E06AA">
        <w:rPr>
          <w:rFonts w:cs="Calibri"/>
        </w:rPr>
        <w:t>3.2.3</w:t>
      </w:r>
      <w:r w:rsidRPr="009E06AA">
        <w:tab/>
      </w:r>
      <w:r w:rsidRPr="009E06AA">
        <w:rPr>
          <w:rFonts w:cs="Calibri"/>
        </w:rPr>
        <w:t>Uncertainty assessment and time-series consistency</w:t>
      </w:r>
    </w:p>
    <w:p w14:paraId="364E6728" w14:textId="77777777" w:rsidR="00D97D6C" w:rsidRPr="009E06AA" w:rsidRDefault="00D97D6C" w:rsidP="00D97D6C">
      <w:pPr>
        <w:pStyle w:val="BodyText"/>
        <w:spacing w:before="100" w:after="100"/>
        <w:rPr>
          <w:rFonts w:cs="Calibri"/>
          <w:lang w:eastAsia="en-GB"/>
        </w:rPr>
      </w:pPr>
      <w:r w:rsidRPr="009E06AA">
        <w:rPr>
          <w:rFonts w:cs="Calibri"/>
          <w:lang w:eastAsia="en-GB"/>
        </w:rPr>
        <w:t>Uncertainty in greenhouse gas emissions from fuel combustion varies depending on the type of greenhouse gas. The uncertainty in CO</w:t>
      </w:r>
      <w:r w:rsidRPr="009E06AA">
        <w:rPr>
          <w:rFonts w:cs="Calibri"/>
          <w:vertAlign w:val="subscript"/>
          <w:lang w:eastAsia="en-GB"/>
        </w:rPr>
        <w:t>2</w:t>
      </w:r>
      <w:r w:rsidRPr="009E06AA">
        <w:rPr>
          <w:rFonts w:cs="Calibri"/>
          <w:sz w:val="14"/>
          <w:szCs w:val="14"/>
          <w:lang w:eastAsia="en-GB"/>
        </w:rPr>
        <w:t xml:space="preserve"> </w:t>
      </w:r>
      <w:r w:rsidRPr="009E06AA">
        <w:rPr>
          <w:rFonts w:cs="Calibri"/>
          <w:lang w:eastAsia="en-GB"/>
        </w:rPr>
        <w:t>emissions is relatively low. This is important because CO</w:t>
      </w:r>
      <w:r w:rsidRPr="009E06AA">
        <w:rPr>
          <w:rFonts w:cs="Calibri"/>
          <w:vertAlign w:val="subscript"/>
          <w:lang w:eastAsia="en-GB"/>
        </w:rPr>
        <w:t>2</w:t>
      </w:r>
      <w:r w:rsidRPr="009E06AA">
        <w:rPr>
          <w:rFonts w:cs="Calibri"/>
          <w:lang w:eastAsia="en-GB"/>
        </w:rPr>
        <w:t xml:space="preserve"> emissions comprise around 96 per cent to 97 per cent of </w:t>
      </w:r>
      <w:r w:rsidRPr="009E06AA">
        <w:rPr>
          <w:rFonts w:cs="Calibri"/>
        </w:rPr>
        <w:t>CO</w:t>
      </w:r>
      <w:r w:rsidRPr="009E06AA">
        <w:rPr>
          <w:rFonts w:cs="Calibri"/>
          <w:vertAlign w:val="subscript"/>
        </w:rPr>
        <w:t>2</w:t>
      </w:r>
      <w:r w:rsidRPr="009E06AA">
        <w:rPr>
          <w:rFonts w:cs="Calibri"/>
        </w:rPr>
        <w:t>-e</w:t>
      </w:r>
      <w:r w:rsidRPr="009E06AA">
        <w:rPr>
          <w:rFonts w:cs="Calibri"/>
          <w:lang w:eastAsia="en-GB"/>
        </w:rPr>
        <w:t xml:space="preserve"> emissions from fuel combustion in </w:t>
      </w:r>
      <w:r w:rsidRPr="009E06AA">
        <w:rPr>
          <w:rFonts w:cs="Calibri"/>
        </w:rPr>
        <w:t>New Zealand</w:t>
      </w:r>
      <w:r w:rsidRPr="009E06AA">
        <w:rPr>
          <w:rFonts w:cs="Calibri"/>
          <w:lang w:eastAsia="en-GB"/>
        </w:rPr>
        <w:t>. By comparison, emissions of the non-</w:t>
      </w:r>
      <w:r w:rsidRPr="009E06AA">
        <w:rPr>
          <w:rFonts w:cs="Calibri"/>
        </w:rPr>
        <w:t>CO</w:t>
      </w:r>
      <w:r w:rsidRPr="009E06AA">
        <w:rPr>
          <w:rFonts w:cs="Calibri"/>
          <w:vertAlign w:val="subscript"/>
        </w:rPr>
        <w:t>2</w:t>
      </w:r>
      <w:r w:rsidRPr="009E06AA">
        <w:rPr>
          <w:rFonts w:cs="Calibri"/>
          <w:sz w:val="14"/>
          <w:szCs w:val="14"/>
          <w:lang w:eastAsia="en-GB"/>
        </w:rPr>
        <w:t xml:space="preserve"> </w:t>
      </w:r>
      <w:r w:rsidRPr="009E06AA">
        <w:rPr>
          <w:rFonts w:cs="Calibri"/>
          <w:lang w:eastAsia="en-GB"/>
        </w:rPr>
        <w:t xml:space="preserve">gases are much less certain because emissions of these gases vary with combustion conditions. Uncertainties for </w:t>
      </w:r>
      <w:r w:rsidRPr="009E06AA">
        <w:rPr>
          <w:rFonts w:cs="Calibri"/>
        </w:rPr>
        <w:t>CO</w:t>
      </w:r>
      <w:r w:rsidRPr="009E06AA">
        <w:rPr>
          <w:rFonts w:cs="Calibri"/>
          <w:vertAlign w:val="subscript"/>
        </w:rPr>
        <w:t>2</w:t>
      </w:r>
      <w:r w:rsidRPr="009E06AA">
        <w:rPr>
          <w:rFonts w:cs="Calibri"/>
          <w:lang w:eastAsia="en-GB"/>
        </w:rPr>
        <w:t xml:space="preserve">, </w:t>
      </w:r>
      <w:r w:rsidRPr="009E06AA">
        <w:rPr>
          <w:rFonts w:cs="Calibri"/>
        </w:rPr>
        <w:t>CH</w:t>
      </w:r>
      <w:r w:rsidRPr="009E06AA">
        <w:rPr>
          <w:rFonts w:cs="Calibri"/>
          <w:vertAlign w:val="subscript"/>
        </w:rPr>
        <w:t>4</w:t>
      </w:r>
      <w:r w:rsidRPr="009E06AA">
        <w:rPr>
          <w:rFonts w:cs="Calibri"/>
          <w:lang w:eastAsia="en-GB"/>
        </w:rPr>
        <w:t xml:space="preserve"> and </w:t>
      </w:r>
      <w:r w:rsidRPr="009E06AA">
        <w:rPr>
          <w:rFonts w:cs="Calibri"/>
        </w:rPr>
        <w:t>N</w:t>
      </w:r>
      <w:r w:rsidRPr="009E06AA">
        <w:rPr>
          <w:rFonts w:cs="Calibri"/>
          <w:vertAlign w:val="subscript"/>
        </w:rPr>
        <w:t>2</w:t>
      </w:r>
      <w:r w:rsidRPr="009E06AA">
        <w:rPr>
          <w:rFonts w:cs="Calibri"/>
        </w:rPr>
        <w:t>O</w:t>
      </w:r>
      <w:r w:rsidRPr="009E06AA">
        <w:rPr>
          <w:rFonts w:cs="Calibri"/>
          <w:lang w:eastAsia="en-GB"/>
        </w:rPr>
        <w:t xml:space="preserve"> activity data and emission factors are supplied in table 3.2.1. Many of the non</w:t>
      </w:r>
      <w:r w:rsidRPr="009E06AA">
        <w:rPr>
          <w:rFonts w:cs="Calibri"/>
          <w:lang w:eastAsia="en-GB"/>
        </w:rPr>
        <w:noBreakHyphen/>
      </w:r>
      <w:r w:rsidRPr="009E06AA">
        <w:rPr>
          <w:rFonts w:cs="Calibri"/>
        </w:rPr>
        <w:t>CO</w:t>
      </w:r>
      <w:r w:rsidRPr="009E06AA">
        <w:rPr>
          <w:rFonts w:cs="Calibri"/>
          <w:vertAlign w:val="subscript"/>
        </w:rPr>
        <w:t>2</w:t>
      </w:r>
      <w:r w:rsidRPr="009E06AA">
        <w:rPr>
          <w:rFonts w:cs="Calibri"/>
          <w:sz w:val="14"/>
          <w:szCs w:val="14"/>
          <w:lang w:eastAsia="en-GB"/>
        </w:rPr>
        <w:t xml:space="preserve"> </w:t>
      </w:r>
      <w:r w:rsidRPr="009E06AA">
        <w:rPr>
          <w:rFonts w:cs="Calibri"/>
          <w:lang w:eastAsia="en-GB"/>
        </w:rPr>
        <w:t xml:space="preserve">emission factors used by </w:t>
      </w:r>
      <w:r w:rsidRPr="009E06AA">
        <w:rPr>
          <w:rFonts w:cs="Calibri"/>
        </w:rPr>
        <w:t xml:space="preserve">New Zealand </w:t>
      </w:r>
      <w:r w:rsidRPr="009E06AA">
        <w:rPr>
          <w:rFonts w:cs="Calibri"/>
          <w:lang w:eastAsia="en-GB"/>
        </w:rPr>
        <w:t>are the IPCC default values. Further detailed information around uncertainties for each fuel type can be found in annex 5.</w:t>
      </w:r>
    </w:p>
    <w:p w14:paraId="78D84AB6" w14:textId="77777777" w:rsidR="00D97D6C" w:rsidRPr="009E06AA" w:rsidRDefault="00D97D6C" w:rsidP="00D97D6C">
      <w:pPr>
        <w:pStyle w:val="Table"/>
        <w:rPr>
          <w:rFonts w:cs="Calibri"/>
        </w:rPr>
      </w:pPr>
      <w:bookmarkStart w:id="296" w:name="_Toc384582169"/>
      <w:bookmarkStart w:id="297" w:name="_Toc443060845"/>
      <w:bookmarkStart w:id="298" w:name="_Toc451176061"/>
      <w:bookmarkStart w:id="299" w:name="_Toc481751487"/>
      <w:bookmarkStart w:id="300" w:name="_Toc507496590"/>
      <w:bookmarkStart w:id="301" w:name="_Toc36224524"/>
      <w:bookmarkStart w:id="302" w:name="_Toc68786405"/>
      <w:bookmarkStart w:id="303" w:name="_Toc164153804"/>
      <w:r w:rsidRPr="009E06AA">
        <w:rPr>
          <w:rFonts w:cs="Calibri"/>
        </w:rPr>
        <w:t>Table 3.2.1</w:t>
      </w:r>
      <w:r w:rsidRPr="009E06AA">
        <w:rPr>
          <w:rFonts w:cs="Calibri"/>
        </w:rPr>
        <w:tab/>
        <w:t>Uncertainty for New Zealand’s Energy sector emission estimates</w:t>
      </w:r>
      <w:bookmarkEnd w:id="296"/>
      <w:bookmarkEnd w:id="297"/>
      <w:bookmarkEnd w:id="298"/>
      <w:bookmarkEnd w:id="299"/>
      <w:bookmarkEnd w:id="300"/>
      <w:bookmarkEnd w:id="301"/>
      <w:r w:rsidRPr="009E06AA">
        <w:rPr>
          <w:rFonts w:cs="Calibri"/>
        </w:rPr>
        <w:t xml:space="preserve"> for </w:t>
      </w:r>
      <w:bookmarkEnd w:id="302"/>
      <w:r w:rsidRPr="009E06AA">
        <w:rPr>
          <w:rFonts w:cs="Calibri"/>
        </w:rPr>
        <w:t>2022</w:t>
      </w:r>
      <w:bookmarkEnd w:id="303"/>
    </w:p>
    <w:tbl>
      <w:tblPr>
        <w:tblW w:w="8505" w:type="dxa"/>
        <w:tblBorders>
          <w:top w:val="single" w:sz="4" w:space="0" w:color="1B556B"/>
          <w:bottom w:val="single" w:sz="4" w:space="0" w:color="1B556B"/>
          <w:insideH w:val="single" w:sz="4" w:space="0" w:color="1B556B"/>
          <w:insideV w:val="single" w:sz="4" w:space="0" w:color="1B556B"/>
        </w:tblBorders>
        <w:tblLook w:val="0420" w:firstRow="1" w:lastRow="0" w:firstColumn="0" w:lastColumn="0" w:noHBand="0" w:noVBand="1"/>
      </w:tblPr>
      <w:tblGrid>
        <w:gridCol w:w="544"/>
        <w:gridCol w:w="4584"/>
        <w:gridCol w:w="1657"/>
        <w:gridCol w:w="1720"/>
      </w:tblGrid>
      <w:tr w:rsidR="00D97D6C" w:rsidRPr="009E06AA" w14:paraId="2FC3B4C9" w14:textId="77777777" w:rsidTr="00B55F24">
        <w:trPr>
          <w:tblHeader/>
        </w:trPr>
        <w:tc>
          <w:tcPr>
            <w:tcW w:w="320" w:type="pct"/>
            <w:shd w:val="clear" w:color="auto" w:fill="1B556B"/>
            <w:noWrap/>
            <w:vAlign w:val="bottom"/>
            <w:hideMark/>
          </w:tcPr>
          <w:p w14:paraId="1CB71883" w14:textId="77777777" w:rsidR="00D97D6C" w:rsidRPr="009E06AA" w:rsidRDefault="00D97D6C" w:rsidP="00296D90">
            <w:pPr>
              <w:pStyle w:val="TableTextBold"/>
              <w:spacing w:before="40" w:after="40"/>
              <w:rPr>
                <w:rFonts w:cs="Calibri"/>
                <w:noProof w:val="0"/>
                <w:color w:val="FFFFFF"/>
              </w:rPr>
            </w:pPr>
          </w:p>
        </w:tc>
        <w:tc>
          <w:tcPr>
            <w:tcW w:w="2695" w:type="pct"/>
            <w:shd w:val="clear" w:color="auto" w:fill="1B556B"/>
            <w:noWrap/>
            <w:vAlign w:val="bottom"/>
            <w:hideMark/>
          </w:tcPr>
          <w:p w14:paraId="37341EC0" w14:textId="77777777" w:rsidR="00D97D6C" w:rsidRPr="009E06AA" w:rsidRDefault="00D97D6C" w:rsidP="00296D90">
            <w:pPr>
              <w:pStyle w:val="TableTextBold"/>
              <w:spacing w:before="40" w:after="40"/>
              <w:rPr>
                <w:rFonts w:cs="Calibri"/>
                <w:noProof w:val="0"/>
                <w:color w:val="FFFFFF"/>
              </w:rPr>
            </w:pPr>
            <w:r w:rsidRPr="009E06AA">
              <w:rPr>
                <w:rFonts w:cs="Calibri"/>
                <w:noProof w:val="0"/>
                <w:color w:val="FFFFFF"/>
              </w:rPr>
              <w:t xml:space="preserve">Category </w:t>
            </w:r>
          </w:p>
        </w:tc>
        <w:tc>
          <w:tcPr>
            <w:tcW w:w="974" w:type="pct"/>
            <w:shd w:val="clear" w:color="auto" w:fill="1B556B"/>
            <w:vAlign w:val="bottom"/>
            <w:hideMark/>
          </w:tcPr>
          <w:p w14:paraId="658C7853" w14:textId="77777777" w:rsidR="00D97D6C" w:rsidRPr="009E06AA" w:rsidRDefault="00D97D6C" w:rsidP="00B95F90">
            <w:pPr>
              <w:pStyle w:val="TableTextBold"/>
              <w:spacing w:before="40" w:after="40"/>
              <w:jc w:val="right"/>
              <w:rPr>
                <w:rFonts w:cs="Calibri"/>
                <w:noProof w:val="0"/>
                <w:color w:val="FFFFFF"/>
              </w:rPr>
            </w:pPr>
            <w:r w:rsidRPr="009E06AA">
              <w:rPr>
                <w:rFonts w:cs="Calibri"/>
                <w:noProof w:val="0"/>
                <w:color w:val="FFFFFF"/>
              </w:rPr>
              <w:t>Activity data uncertainty (%)</w:t>
            </w:r>
          </w:p>
        </w:tc>
        <w:tc>
          <w:tcPr>
            <w:tcW w:w="1011" w:type="pct"/>
            <w:shd w:val="clear" w:color="auto" w:fill="1B556B"/>
            <w:vAlign w:val="bottom"/>
            <w:hideMark/>
          </w:tcPr>
          <w:p w14:paraId="58F0FA6B" w14:textId="77777777" w:rsidR="00D97D6C" w:rsidRPr="009E06AA" w:rsidRDefault="00D97D6C" w:rsidP="00B95F90">
            <w:pPr>
              <w:pStyle w:val="TableTextBold"/>
              <w:spacing w:before="40" w:after="40"/>
              <w:jc w:val="right"/>
              <w:rPr>
                <w:rFonts w:cs="Calibri"/>
                <w:noProof w:val="0"/>
                <w:color w:val="FFFFFF"/>
              </w:rPr>
            </w:pPr>
            <w:r w:rsidRPr="009E06AA">
              <w:rPr>
                <w:rFonts w:cs="Calibri"/>
                <w:noProof w:val="0"/>
                <w:color w:val="FFFFFF"/>
              </w:rPr>
              <w:t>Emission factor uncertainty (%)</w:t>
            </w:r>
          </w:p>
        </w:tc>
      </w:tr>
      <w:tr w:rsidR="00D97D6C" w:rsidRPr="009E06AA" w14:paraId="23CCA4B4" w14:textId="77777777" w:rsidTr="00B55F24">
        <w:tc>
          <w:tcPr>
            <w:tcW w:w="320" w:type="pct"/>
            <w:vMerge w:val="restart"/>
            <w:shd w:val="clear" w:color="auto" w:fill="auto"/>
            <w:noWrap/>
            <w:vAlign w:val="center"/>
            <w:hideMark/>
          </w:tcPr>
          <w:p w14:paraId="01FB5BAA" w14:textId="77777777" w:rsidR="00D97D6C" w:rsidRPr="009E06AA" w:rsidRDefault="00D97D6C" w:rsidP="00296D90">
            <w:pPr>
              <w:pStyle w:val="TableText"/>
              <w:spacing w:before="40" w:after="40"/>
              <w:rPr>
                <w:rFonts w:cs="Calibri"/>
              </w:rPr>
            </w:pPr>
            <w:r w:rsidRPr="009E06AA">
              <w:rPr>
                <w:rFonts w:cs="Calibri"/>
              </w:rPr>
              <w:t>CO</w:t>
            </w:r>
            <w:r w:rsidRPr="009E06AA">
              <w:rPr>
                <w:rFonts w:cs="Calibri"/>
                <w:vertAlign w:val="subscript"/>
              </w:rPr>
              <w:t>2</w:t>
            </w:r>
          </w:p>
        </w:tc>
        <w:tc>
          <w:tcPr>
            <w:tcW w:w="2695" w:type="pct"/>
            <w:shd w:val="clear" w:color="auto" w:fill="auto"/>
            <w:noWrap/>
            <w:hideMark/>
          </w:tcPr>
          <w:p w14:paraId="22F837AA" w14:textId="77777777" w:rsidR="00D97D6C" w:rsidRPr="009E06AA" w:rsidRDefault="00D97D6C" w:rsidP="00296D90">
            <w:pPr>
              <w:pStyle w:val="TableText"/>
              <w:spacing w:before="40" w:after="40"/>
              <w:rPr>
                <w:rFonts w:cs="Calibri"/>
              </w:rPr>
            </w:pPr>
            <w:r w:rsidRPr="009E06AA">
              <w:rPr>
                <w:rFonts w:cs="Calibri"/>
              </w:rPr>
              <w:t>Liquid fuels</w:t>
            </w:r>
          </w:p>
        </w:tc>
        <w:tc>
          <w:tcPr>
            <w:tcW w:w="974" w:type="pct"/>
            <w:shd w:val="clear" w:color="auto" w:fill="auto"/>
            <w:noWrap/>
            <w:hideMark/>
          </w:tcPr>
          <w:p w14:paraId="277C435D" w14:textId="77777777" w:rsidR="00D97D6C" w:rsidRPr="009E06AA" w:rsidRDefault="00D97D6C" w:rsidP="00B95F90">
            <w:pPr>
              <w:pStyle w:val="TableText"/>
              <w:spacing w:before="40" w:after="40"/>
              <w:jc w:val="right"/>
              <w:rPr>
                <w:rFonts w:cs="Calibri"/>
              </w:rPr>
            </w:pPr>
            <w:r w:rsidRPr="009E06AA">
              <w:rPr>
                <w:rFonts w:cs="Calibri"/>
              </w:rPr>
              <w:t>0.7</w:t>
            </w:r>
          </w:p>
        </w:tc>
        <w:tc>
          <w:tcPr>
            <w:tcW w:w="1011" w:type="pct"/>
            <w:shd w:val="clear" w:color="auto" w:fill="auto"/>
            <w:noWrap/>
            <w:hideMark/>
          </w:tcPr>
          <w:p w14:paraId="6530FFA7" w14:textId="77777777" w:rsidR="00D97D6C" w:rsidRPr="009E06AA" w:rsidRDefault="00D97D6C" w:rsidP="00B95F90">
            <w:pPr>
              <w:pStyle w:val="TableText"/>
              <w:spacing w:before="40" w:after="40"/>
              <w:jc w:val="right"/>
              <w:rPr>
                <w:rFonts w:cs="Calibri"/>
              </w:rPr>
            </w:pPr>
            <w:r w:rsidRPr="009E06AA">
              <w:rPr>
                <w:rFonts w:cs="Calibri"/>
              </w:rPr>
              <w:t>±0.5</w:t>
            </w:r>
          </w:p>
        </w:tc>
      </w:tr>
      <w:tr w:rsidR="00D97D6C" w:rsidRPr="009E06AA" w14:paraId="5F96F3E9" w14:textId="77777777" w:rsidTr="00B55F24">
        <w:tc>
          <w:tcPr>
            <w:tcW w:w="320" w:type="pct"/>
            <w:vMerge/>
            <w:noWrap/>
            <w:hideMark/>
          </w:tcPr>
          <w:p w14:paraId="7CD74A9B" w14:textId="77777777" w:rsidR="00D97D6C" w:rsidRPr="009E06AA" w:rsidRDefault="00D97D6C" w:rsidP="00296D90">
            <w:pPr>
              <w:pStyle w:val="TableText"/>
              <w:spacing w:before="40" w:after="40"/>
              <w:rPr>
                <w:rFonts w:cs="Calibri"/>
              </w:rPr>
            </w:pPr>
          </w:p>
        </w:tc>
        <w:tc>
          <w:tcPr>
            <w:tcW w:w="2695" w:type="pct"/>
            <w:shd w:val="clear" w:color="auto" w:fill="auto"/>
            <w:noWrap/>
            <w:hideMark/>
          </w:tcPr>
          <w:p w14:paraId="6A560581" w14:textId="77777777" w:rsidR="00D97D6C" w:rsidRPr="009E06AA" w:rsidRDefault="00D97D6C" w:rsidP="00296D90">
            <w:pPr>
              <w:pStyle w:val="TableText"/>
              <w:spacing w:before="40" w:after="40"/>
              <w:rPr>
                <w:rFonts w:cs="Calibri"/>
              </w:rPr>
            </w:pPr>
            <w:r w:rsidRPr="009E06AA">
              <w:rPr>
                <w:rFonts w:cs="Calibri"/>
              </w:rPr>
              <w:t>Solid fuels</w:t>
            </w:r>
          </w:p>
        </w:tc>
        <w:tc>
          <w:tcPr>
            <w:tcW w:w="974" w:type="pct"/>
            <w:shd w:val="clear" w:color="auto" w:fill="auto"/>
            <w:noWrap/>
            <w:hideMark/>
          </w:tcPr>
          <w:p w14:paraId="011E26F8" w14:textId="77777777" w:rsidR="00D97D6C" w:rsidRPr="009E06AA" w:rsidRDefault="00D97D6C" w:rsidP="00B95F90">
            <w:pPr>
              <w:pStyle w:val="TableText"/>
              <w:spacing w:before="40" w:after="40"/>
              <w:jc w:val="right"/>
              <w:rPr>
                <w:rFonts w:cs="Calibri"/>
              </w:rPr>
            </w:pPr>
            <w:r w:rsidRPr="009E06AA">
              <w:rPr>
                <w:rFonts w:cs="Calibri"/>
              </w:rPr>
              <w:t>15.2</w:t>
            </w:r>
          </w:p>
        </w:tc>
        <w:tc>
          <w:tcPr>
            <w:tcW w:w="1011" w:type="pct"/>
            <w:shd w:val="clear" w:color="auto" w:fill="auto"/>
            <w:noWrap/>
            <w:hideMark/>
          </w:tcPr>
          <w:p w14:paraId="7CC9AA4B" w14:textId="77777777" w:rsidR="00D97D6C" w:rsidRPr="009E06AA" w:rsidRDefault="00D97D6C" w:rsidP="00B95F90">
            <w:pPr>
              <w:pStyle w:val="TableText"/>
              <w:spacing w:before="40" w:after="40"/>
              <w:jc w:val="right"/>
              <w:rPr>
                <w:rFonts w:cs="Calibri"/>
              </w:rPr>
            </w:pPr>
            <w:r w:rsidRPr="009E06AA">
              <w:rPr>
                <w:rFonts w:cs="Calibri"/>
              </w:rPr>
              <w:t>±2.2</w:t>
            </w:r>
          </w:p>
        </w:tc>
      </w:tr>
      <w:tr w:rsidR="00D97D6C" w:rsidRPr="009E06AA" w14:paraId="08C70D13" w14:textId="77777777" w:rsidTr="00B55F24">
        <w:tc>
          <w:tcPr>
            <w:tcW w:w="320" w:type="pct"/>
            <w:vMerge/>
            <w:noWrap/>
            <w:hideMark/>
          </w:tcPr>
          <w:p w14:paraId="3D180FFB" w14:textId="77777777" w:rsidR="00D97D6C" w:rsidRPr="009E06AA" w:rsidRDefault="00D97D6C" w:rsidP="00296D90">
            <w:pPr>
              <w:pStyle w:val="TableText"/>
              <w:spacing w:before="40" w:after="40"/>
              <w:rPr>
                <w:rFonts w:cs="Calibri"/>
              </w:rPr>
            </w:pPr>
          </w:p>
        </w:tc>
        <w:tc>
          <w:tcPr>
            <w:tcW w:w="2695" w:type="pct"/>
            <w:shd w:val="clear" w:color="auto" w:fill="auto"/>
            <w:noWrap/>
            <w:hideMark/>
          </w:tcPr>
          <w:p w14:paraId="5F29DDF5" w14:textId="77777777" w:rsidR="00D97D6C" w:rsidRPr="009E06AA" w:rsidRDefault="00D97D6C" w:rsidP="00296D90">
            <w:pPr>
              <w:pStyle w:val="TableText"/>
              <w:spacing w:before="40" w:after="40"/>
              <w:rPr>
                <w:rFonts w:cs="Calibri"/>
              </w:rPr>
            </w:pPr>
            <w:r w:rsidRPr="009E06AA">
              <w:rPr>
                <w:rFonts w:cs="Calibri"/>
              </w:rPr>
              <w:t>Gaseous fuels</w:t>
            </w:r>
          </w:p>
        </w:tc>
        <w:tc>
          <w:tcPr>
            <w:tcW w:w="974" w:type="pct"/>
            <w:shd w:val="clear" w:color="auto" w:fill="auto"/>
            <w:noWrap/>
            <w:hideMark/>
          </w:tcPr>
          <w:p w14:paraId="6434EEAC" w14:textId="77777777" w:rsidR="00D97D6C" w:rsidRPr="009E06AA" w:rsidRDefault="00D97D6C" w:rsidP="00B95F90">
            <w:pPr>
              <w:pStyle w:val="TableText"/>
              <w:spacing w:before="40" w:after="40"/>
              <w:jc w:val="right"/>
              <w:rPr>
                <w:rFonts w:cs="Calibri"/>
              </w:rPr>
            </w:pPr>
            <w:r w:rsidRPr="009E06AA">
              <w:rPr>
                <w:rFonts w:cs="Calibri"/>
              </w:rPr>
              <w:t>3.5</w:t>
            </w:r>
          </w:p>
        </w:tc>
        <w:tc>
          <w:tcPr>
            <w:tcW w:w="1011" w:type="pct"/>
            <w:shd w:val="clear" w:color="auto" w:fill="auto"/>
            <w:noWrap/>
            <w:hideMark/>
          </w:tcPr>
          <w:p w14:paraId="5DB52130" w14:textId="77777777" w:rsidR="00D97D6C" w:rsidRPr="009E06AA" w:rsidRDefault="00D97D6C" w:rsidP="00B95F90">
            <w:pPr>
              <w:pStyle w:val="TableText"/>
              <w:spacing w:before="40" w:after="40"/>
              <w:jc w:val="right"/>
              <w:rPr>
                <w:rFonts w:cs="Calibri"/>
              </w:rPr>
            </w:pPr>
            <w:r w:rsidRPr="009E06AA">
              <w:rPr>
                <w:rFonts w:cs="Calibri"/>
              </w:rPr>
              <w:t>±2.4</w:t>
            </w:r>
          </w:p>
        </w:tc>
      </w:tr>
      <w:tr w:rsidR="00D97D6C" w:rsidRPr="009E06AA" w14:paraId="68857CD2" w14:textId="77777777" w:rsidTr="00B55F24">
        <w:tc>
          <w:tcPr>
            <w:tcW w:w="320" w:type="pct"/>
            <w:vMerge/>
            <w:noWrap/>
            <w:hideMark/>
          </w:tcPr>
          <w:p w14:paraId="574D5530" w14:textId="77777777" w:rsidR="00D97D6C" w:rsidRPr="009E06AA" w:rsidRDefault="00D97D6C" w:rsidP="00296D90">
            <w:pPr>
              <w:pStyle w:val="TableText"/>
              <w:spacing w:before="40" w:after="40"/>
              <w:rPr>
                <w:rFonts w:cs="Calibri"/>
              </w:rPr>
            </w:pPr>
          </w:p>
        </w:tc>
        <w:tc>
          <w:tcPr>
            <w:tcW w:w="2695" w:type="pct"/>
            <w:shd w:val="clear" w:color="auto" w:fill="auto"/>
            <w:noWrap/>
            <w:hideMark/>
          </w:tcPr>
          <w:p w14:paraId="4CC9F09F" w14:textId="77777777" w:rsidR="00D97D6C" w:rsidRPr="009E06AA" w:rsidRDefault="00D97D6C" w:rsidP="00296D90">
            <w:pPr>
              <w:pStyle w:val="TableText"/>
              <w:spacing w:before="40" w:after="40"/>
              <w:rPr>
                <w:rFonts w:cs="Calibri"/>
              </w:rPr>
            </w:pPr>
            <w:r w:rsidRPr="009E06AA">
              <w:rPr>
                <w:rFonts w:cs="Calibri"/>
              </w:rPr>
              <w:t>Fugitive – Geothermal</w:t>
            </w:r>
          </w:p>
        </w:tc>
        <w:tc>
          <w:tcPr>
            <w:tcW w:w="974" w:type="pct"/>
            <w:shd w:val="clear" w:color="auto" w:fill="auto"/>
            <w:noWrap/>
            <w:hideMark/>
          </w:tcPr>
          <w:p w14:paraId="7A20E9F6" w14:textId="77777777" w:rsidR="00D97D6C" w:rsidRPr="009E06AA" w:rsidRDefault="00D97D6C" w:rsidP="00B95F90">
            <w:pPr>
              <w:pStyle w:val="TableText"/>
              <w:spacing w:before="40" w:after="40"/>
              <w:jc w:val="right"/>
              <w:rPr>
                <w:rFonts w:cs="Calibri"/>
              </w:rPr>
            </w:pPr>
            <w:r w:rsidRPr="009E06AA">
              <w:rPr>
                <w:rFonts w:cs="Calibri"/>
              </w:rPr>
              <w:t>5.0</w:t>
            </w:r>
          </w:p>
        </w:tc>
        <w:tc>
          <w:tcPr>
            <w:tcW w:w="1011" w:type="pct"/>
            <w:shd w:val="clear" w:color="auto" w:fill="auto"/>
            <w:noWrap/>
            <w:hideMark/>
          </w:tcPr>
          <w:p w14:paraId="5BBC7947" w14:textId="77777777" w:rsidR="00D97D6C" w:rsidRPr="009E06AA" w:rsidRDefault="00D97D6C" w:rsidP="00B95F90">
            <w:pPr>
              <w:pStyle w:val="TableText"/>
              <w:spacing w:before="40" w:after="40"/>
              <w:jc w:val="right"/>
              <w:rPr>
                <w:rFonts w:cs="Calibri"/>
              </w:rPr>
            </w:pPr>
            <w:r w:rsidRPr="009E06AA">
              <w:rPr>
                <w:rFonts w:cs="Calibri"/>
              </w:rPr>
              <w:t>±5.0</w:t>
            </w:r>
          </w:p>
        </w:tc>
      </w:tr>
      <w:tr w:rsidR="00D97D6C" w:rsidRPr="009E06AA" w14:paraId="23859856" w14:textId="77777777" w:rsidTr="00B55F24">
        <w:tc>
          <w:tcPr>
            <w:tcW w:w="320" w:type="pct"/>
            <w:vMerge/>
            <w:noWrap/>
            <w:hideMark/>
          </w:tcPr>
          <w:p w14:paraId="641270EF" w14:textId="77777777" w:rsidR="00D97D6C" w:rsidRPr="009E06AA" w:rsidRDefault="00D97D6C" w:rsidP="00296D90">
            <w:pPr>
              <w:pStyle w:val="TableText"/>
              <w:spacing w:before="40" w:after="40"/>
              <w:rPr>
                <w:rFonts w:cs="Calibri"/>
              </w:rPr>
            </w:pPr>
          </w:p>
        </w:tc>
        <w:tc>
          <w:tcPr>
            <w:tcW w:w="2695" w:type="pct"/>
            <w:shd w:val="clear" w:color="auto" w:fill="auto"/>
            <w:noWrap/>
            <w:hideMark/>
          </w:tcPr>
          <w:p w14:paraId="32836933" w14:textId="77777777" w:rsidR="00D97D6C" w:rsidRPr="009E06AA" w:rsidRDefault="00D97D6C" w:rsidP="00296D90">
            <w:pPr>
              <w:pStyle w:val="TableText"/>
              <w:spacing w:before="40" w:after="40"/>
              <w:rPr>
                <w:rFonts w:cs="Calibri"/>
              </w:rPr>
            </w:pPr>
            <w:r w:rsidRPr="009E06AA">
              <w:rPr>
                <w:rFonts w:cs="Calibri"/>
              </w:rPr>
              <w:t>Fugitive – Venting/flaring</w:t>
            </w:r>
          </w:p>
        </w:tc>
        <w:tc>
          <w:tcPr>
            <w:tcW w:w="974" w:type="pct"/>
            <w:shd w:val="clear" w:color="auto" w:fill="auto"/>
            <w:noWrap/>
            <w:hideMark/>
          </w:tcPr>
          <w:p w14:paraId="7667A456" w14:textId="77777777" w:rsidR="00D97D6C" w:rsidRPr="009E06AA" w:rsidRDefault="00D97D6C" w:rsidP="00B95F90">
            <w:pPr>
              <w:pStyle w:val="TableText"/>
              <w:spacing w:before="40" w:after="40"/>
              <w:jc w:val="right"/>
              <w:rPr>
                <w:rFonts w:cs="Calibri"/>
              </w:rPr>
            </w:pPr>
            <w:r w:rsidRPr="009E06AA">
              <w:rPr>
                <w:rFonts w:cs="Calibri"/>
              </w:rPr>
              <w:t>3.5</w:t>
            </w:r>
          </w:p>
        </w:tc>
        <w:tc>
          <w:tcPr>
            <w:tcW w:w="1011" w:type="pct"/>
            <w:shd w:val="clear" w:color="auto" w:fill="auto"/>
            <w:noWrap/>
            <w:hideMark/>
          </w:tcPr>
          <w:p w14:paraId="01187D25" w14:textId="77777777" w:rsidR="00D97D6C" w:rsidRPr="009E06AA" w:rsidRDefault="00D97D6C" w:rsidP="00B95F90">
            <w:pPr>
              <w:pStyle w:val="TableText"/>
              <w:spacing w:before="40" w:after="40"/>
              <w:jc w:val="right"/>
              <w:rPr>
                <w:rFonts w:cs="Calibri"/>
              </w:rPr>
            </w:pPr>
            <w:r w:rsidRPr="009E06AA">
              <w:rPr>
                <w:rFonts w:cs="Calibri"/>
              </w:rPr>
              <w:t>±2.4</w:t>
            </w:r>
          </w:p>
        </w:tc>
      </w:tr>
      <w:tr w:rsidR="00D97D6C" w:rsidRPr="009E06AA" w14:paraId="5271ED18" w14:textId="77777777" w:rsidTr="00B55F24">
        <w:tc>
          <w:tcPr>
            <w:tcW w:w="320" w:type="pct"/>
            <w:vMerge/>
            <w:noWrap/>
            <w:hideMark/>
          </w:tcPr>
          <w:p w14:paraId="5731CEF1" w14:textId="77777777" w:rsidR="00D97D6C" w:rsidRPr="009E06AA" w:rsidRDefault="00D97D6C" w:rsidP="00296D90">
            <w:pPr>
              <w:pStyle w:val="TableText"/>
              <w:spacing w:before="40" w:after="40"/>
              <w:rPr>
                <w:rFonts w:cs="Calibri"/>
              </w:rPr>
            </w:pPr>
          </w:p>
        </w:tc>
        <w:tc>
          <w:tcPr>
            <w:tcW w:w="2695" w:type="pct"/>
            <w:shd w:val="clear" w:color="auto" w:fill="auto"/>
            <w:noWrap/>
            <w:hideMark/>
          </w:tcPr>
          <w:p w14:paraId="2CDCE5A1" w14:textId="77777777" w:rsidR="00D97D6C" w:rsidRPr="009E06AA" w:rsidRDefault="00D97D6C" w:rsidP="00296D90">
            <w:pPr>
              <w:pStyle w:val="TableText"/>
              <w:spacing w:before="40" w:after="40"/>
              <w:rPr>
                <w:rFonts w:cs="Calibri"/>
              </w:rPr>
            </w:pPr>
            <w:r w:rsidRPr="009E06AA">
              <w:rPr>
                <w:rFonts w:cs="Calibri"/>
              </w:rPr>
              <w:t>Fugitive – Oil and gas production and transport</w:t>
            </w:r>
          </w:p>
        </w:tc>
        <w:tc>
          <w:tcPr>
            <w:tcW w:w="974" w:type="pct"/>
            <w:shd w:val="clear" w:color="auto" w:fill="auto"/>
            <w:noWrap/>
            <w:hideMark/>
          </w:tcPr>
          <w:p w14:paraId="31622D34" w14:textId="77777777" w:rsidR="00D97D6C" w:rsidRPr="009E06AA" w:rsidRDefault="00D97D6C" w:rsidP="00B95F90">
            <w:pPr>
              <w:pStyle w:val="TableText"/>
              <w:spacing w:before="40" w:after="40"/>
              <w:jc w:val="right"/>
              <w:rPr>
                <w:rFonts w:cs="Calibri"/>
              </w:rPr>
            </w:pPr>
            <w:r w:rsidRPr="009E06AA">
              <w:rPr>
                <w:rFonts w:cs="Calibri"/>
              </w:rPr>
              <w:t>0.7</w:t>
            </w:r>
          </w:p>
        </w:tc>
        <w:tc>
          <w:tcPr>
            <w:tcW w:w="1011" w:type="pct"/>
            <w:shd w:val="clear" w:color="auto" w:fill="auto"/>
            <w:noWrap/>
            <w:hideMark/>
          </w:tcPr>
          <w:p w14:paraId="1E6CE3F5" w14:textId="77777777" w:rsidR="00D97D6C" w:rsidRPr="009E06AA" w:rsidRDefault="00D97D6C" w:rsidP="00B95F90">
            <w:pPr>
              <w:pStyle w:val="TableText"/>
              <w:spacing w:before="40" w:after="40"/>
              <w:jc w:val="right"/>
              <w:rPr>
                <w:rFonts w:cs="Calibri"/>
              </w:rPr>
            </w:pPr>
            <w:r w:rsidRPr="009E06AA">
              <w:rPr>
                <w:rFonts w:cs="Calibri"/>
              </w:rPr>
              <w:t>±100.0</w:t>
            </w:r>
          </w:p>
        </w:tc>
      </w:tr>
      <w:tr w:rsidR="00D97D6C" w:rsidRPr="009E06AA" w14:paraId="24E48A60" w14:textId="77777777" w:rsidTr="00B55F24">
        <w:tc>
          <w:tcPr>
            <w:tcW w:w="320" w:type="pct"/>
            <w:vMerge/>
            <w:noWrap/>
            <w:hideMark/>
          </w:tcPr>
          <w:p w14:paraId="77A1894F" w14:textId="77777777" w:rsidR="00D97D6C" w:rsidRPr="009E06AA" w:rsidRDefault="00D97D6C" w:rsidP="00296D90">
            <w:pPr>
              <w:pStyle w:val="TableText"/>
              <w:spacing w:before="40" w:after="40"/>
              <w:rPr>
                <w:rFonts w:cs="Calibri"/>
              </w:rPr>
            </w:pPr>
          </w:p>
        </w:tc>
        <w:tc>
          <w:tcPr>
            <w:tcW w:w="2695" w:type="pct"/>
            <w:shd w:val="clear" w:color="auto" w:fill="auto"/>
            <w:noWrap/>
            <w:hideMark/>
          </w:tcPr>
          <w:p w14:paraId="0B1D8281" w14:textId="77777777" w:rsidR="00D97D6C" w:rsidRPr="009E06AA" w:rsidRDefault="00D97D6C" w:rsidP="00296D90">
            <w:pPr>
              <w:pStyle w:val="TableText"/>
              <w:spacing w:before="40" w:after="40"/>
              <w:rPr>
                <w:rFonts w:cs="Calibri"/>
              </w:rPr>
            </w:pPr>
            <w:r w:rsidRPr="009E06AA">
              <w:rPr>
                <w:rFonts w:cs="Calibri"/>
              </w:rPr>
              <w:t>Fugitive – Transmission and distribution</w:t>
            </w:r>
          </w:p>
        </w:tc>
        <w:tc>
          <w:tcPr>
            <w:tcW w:w="974" w:type="pct"/>
            <w:shd w:val="clear" w:color="auto" w:fill="auto"/>
            <w:noWrap/>
            <w:hideMark/>
          </w:tcPr>
          <w:p w14:paraId="06244A6F" w14:textId="77777777" w:rsidR="00D97D6C" w:rsidRPr="009E06AA" w:rsidRDefault="00D97D6C" w:rsidP="00B95F90">
            <w:pPr>
              <w:pStyle w:val="TableText"/>
              <w:spacing w:before="40" w:after="40"/>
              <w:jc w:val="right"/>
              <w:rPr>
                <w:rFonts w:cs="Calibri"/>
              </w:rPr>
            </w:pPr>
            <w:r w:rsidRPr="009E06AA">
              <w:rPr>
                <w:rFonts w:cs="Calibri"/>
              </w:rPr>
              <w:t>3.5</w:t>
            </w:r>
          </w:p>
        </w:tc>
        <w:tc>
          <w:tcPr>
            <w:tcW w:w="1011" w:type="pct"/>
            <w:shd w:val="clear" w:color="auto" w:fill="auto"/>
            <w:noWrap/>
            <w:hideMark/>
          </w:tcPr>
          <w:p w14:paraId="39484750" w14:textId="77777777" w:rsidR="00D97D6C" w:rsidRPr="009E06AA" w:rsidRDefault="00D97D6C" w:rsidP="00B95F90">
            <w:pPr>
              <w:pStyle w:val="TableText"/>
              <w:spacing w:before="40" w:after="40"/>
              <w:jc w:val="right"/>
              <w:rPr>
                <w:rFonts w:cs="Calibri"/>
              </w:rPr>
            </w:pPr>
            <w:r w:rsidRPr="009E06AA">
              <w:rPr>
                <w:rFonts w:cs="Calibri"/>
              </w:rPr>
              <w:t>±100.0</w:t>
            </w:r>
          </w:p>
        </w:tc>
      </w:tr>
      <w:tr w:rsidR="00D97D6C" w:rsidRPr="009E06AA" w14:paraId="3EC5D521" w14:textId="77777777" w:rsidTr="00B55F24">
        <w:tc>
          <w:tcPr>
            <w:tcW w:w="320" w:type="pct"/>
            <w:vMerge w:val="restart"/>
            <w:shd w:val="clear" w:color="auto" w:fill="C4D8E0"/>
            <w:noWrap/>
            <w:vAlign w:val="center"/>
            <w:hideMark/>
          </w:tcPr>
          <w:p w14:paraId="6E9D5532" w14:textId="77777777" w:rsidR="00D97D6C" w:rsidRPr="009E06AA" w:rsidRDefault="00D97D6C" w:rsidP="00296D90">
            <w:pPr>
              <w:pStyle w:val="TableText"/>
              <w:spacing w:before="40" w:after="40"/>
              <w:rPr>
                <w:rFonts w:cs="Calibri"/>
              </w:rPr>
            </w:pPr>
            <w:r w:rsidRPr="009E06AA">
              <w:rPr>
                <w:rFonts w:cs="Calibri"/>
              </w:rPr>
              <w:t>CH</w:t>
            </w:r>
            <w:r w:rsidRPr="009E06AA">
              <w:rPr>
                <w:rFonts w:cs="Calibri"/>
                <w:vertAlign w:val="subscript"/>
              </w:rPr>
              <w:t>4</w:t>
            </w:r>
          </w:p>
        </w:tc>
        <w:tc>
          <w:tcPr>
            <w:tcW w:w="2695" w:type="pct"/>
            <w:shd w:val="clear" w:color="auto" w:fill="C4D8E0"/>
            <w:noWrap/>
            <w:hideMark/>
          </w:tcPr>
          <w:p w14:paraId="24DA5494" w14:textId="77777777" w:rsidR="00D97D6C" w:rsidRPr="009E06AA" w:rsidRDefault="00D97D6C" w:rsidP="00296D90">
            <w:pPr>
              <w:pStyle w:val="TableText"/>
              <w:spacing w:before="40" w:after="40"/>
              <w:rPr>
                <w:rFonts w:cs="Calibri"/>
              </w:rPr>
            </w:pPr>
            <w:r w:rsidRPr="009E06AA">
              <w:rPr>
                <w:rFonts w:cs="Calibri"/>
              </w:rPr>
              <w:t>Liquid fuels</w:t>
            </w:r>
          </w:p>
        </w:tc>
        <w:tc>
          <w:tcPr>
            <w:tcW w:w="974" w:type="pct"/>
            <w:shd w:val="clear" w:color="auto" w:fill="C4D8E0"/>
            <w:noWrap/>
            <w:hideMark/>
          </w:tcPr>
          <w:p w14:paraId="66EB7D84" w14:textId="77777777" w:rsidR="00D97D6C" w:rsidRPr="009E06AA" w:rsidRDefault="00D97D6C" w:rsidP="00B95F90">
            <w:pPr>
              <w:pStyle w:val="TableText"/>
              <w:spacing w:before="40" w:after="40"/>
              <w:jc w:val="right"/>
              <w:rPr>
                <w:rFonts w:cs="Calibri"/>
              </w:rPr>
            </w:pPr>
            <w:r w:rsidRPr="009E06AA">
              <w:rPr>
                <w:rFonts w:cs="Calibri"/>
              </w:rPr>
              <w:t>0.7</w:t>
            </w:r>
          </w:p>
        </w:tc>
        <w:tc>
          <w:tcPr>
            <w:tcW w:w="1011" w:type="pct"/>
            <w:shd w:val="clear" w:color="auto" w:fill="C4D8E0"/>
            <w:noWrap/>
            <w:hideMark/>
          </w:tcPr>
          <w:p w14:paraId="733B234A" w14:textId="77777777" w:rsidR="00D97D6C" w:rsidRPr="009E06AA" w:rsidRDefault="00D97D6C" w:rsidP="00B95F90">
            <w:pPr>
              <w:pStyle w:val="TableText"/>
              <w:spacing w:before="40" w:after="40"/>
              <w:jc w:val="right"/>
              <w:rPr>
                <w:rFonts w:cs="Calibri"/>
              </w:rPr>
            </w:pPr>
            <w:r w:rsidRPr="009E06AA">
              <w:rPr>
                <w:rFonts w:cs="Calibri"/>
              </w:rPr>
              <w:t>±50.0</w:t>
            </w:r>
          </w:p>
        </w:tc>
      </w:tr>
      <w:tr w:rsidR="00D97D6C" w:rsidRPr="009E06AA" w14:paraId="02F54FF3" w14:textId="77777777" w:rsidTr="00B55F24">
        <w:tc>
          <w:tcPr>
            <w:tcW w:w="320" w:type="pct"/>
            <w:vMerge/>
            <w:noWrap/>
            <w:hideMark/>
          </w:tcPr>
          <w:p w14:paraId="468E2795" w14:textId="77777777" w:rsidR="00D97D6C" w:rsidRPr="009E06AA" w:rsidRDefault="00D97D6C" w:rsidP="00296D90">
            <w:pPr>
              <w:pStyle w:val="TableText"/>
              <w:spacing w:before="40" w:after="40"/>
              <w:rPr>
                <w:rFonts w:cs="Calibri"/>
              </w:rPr>
            </w:pPr>
          </w:p>
        </w:tc>
        <w:tc>
          <w:tcPr>
            <w:tcW w:w="2695" w:type="pct"/>
            <w:shd w:val="clear" w:color="auto" w:fill="C4D8E0"/>
            <w:noWrap/>
            <w:hideMark/>
          </w:tcPr>
          <w:p w14:paraId="56915BBD" w14:textId="77777777" w:rsidR="00D97D6C" w:rsidRPr="009E06AA" w:rsidRDefault="00D97D6C" w:rsidP="00296D90">
            <w:pPr>
              <w:pStyle w:val="TableText"/>
              <w:spacing w:before="40" w:after="40"/>
              <w:rPr>
                <w:rFonts w:cs="Calibri"/>
              </w:rPr>
            </w:pPr>
            <w:r w:rsidRPr="009E06AA">
              <w:rPr>
                <w:rFonts w:cs="Calibri"/>
              </w:rPr>
              <w:t>Solid fuels</w:t>
            </w:r>
          </w:p>
        </w:tc>
        <w:tc>
          <w:tcPr>
            <w:tcW w:w="974" w:type="pct"/>
            <w:shd w:val="clear" w:color="auto" w:fill="C4D8E0"/>
            <w:noWrap/>
            <w:hideMark/>
          </w:tcPr>
          <w:p w14:paraId="21794EFC" w14:textId="77777777" w:rsidR="00D97D6C" w:rsidRPr="009E06AA" w:rsidRDefault="00D97D6C" w:rsidP="00B95F90">
            <w:pPr>
              <w:pStyle w:val="TableText"/>
              <w:spacing w:before="40" w:after="40"/>
              <w:jc w:val="right"/>
              <w:rPr>
                <w:rFonts w:cs="Calibri"/>
              </w:rPr>
            </w:pPr>
            <w:r w:rsidRPr="009E06AA">
              <w:rPr>
                <w:rFonts w:cs="Calibri"/>
              </w:rPr>
              <w:t>15.2</w:t>
            </w:r>
          </w:p>
        </w:tc>
        <w:tc>
          <w:tcPr>
            <w:tcW w:w="1011" w:type="pct"/>
            <w:shd w:val="clear" w:color="auto" w:fill="C4D8E0"/>
            <w:noWrap/>
            <w:hideMark/>
          </w:tcPr>
          <w:p w14:paraId="45D7CD8C" w14:textId="77777777" w:rsidR="00D97D6C" w:rsidRPr="009E06AA" w:rsidRDefault="00D97D6C" w:rsidP="00B95F90">
            <w:pPr>
              <w:pStyle w:val="TableText"/>
              <w:spacing w:before="40" w:after="40"/>
              <w:jc w:val="right"/>
              <w:rPr>
                <w:rFonts w:cs="Calibri"/>
              </w:rPr>
            </w:pPr>
            <w:r w:rsidRPr="009E06AA">
              <w:rPr>
                <w:rFonts w:cs="Calibri"/>
              </w:rPr>
              <w:t>±50.0</w:t>
            </w:r>
          </w:p>
        </w:tc>
      </w:tr>
      <w:tr w:rsidR="00D97D6C" w:rsidRPr="009E06AA" w14:paraId="3C9B2B59" w14:textId="77777777" w:rsidTr="00B55F24">
        <w:tc>
          <w:tcPr>
            <w:tcW w:w="320" w:type="pct"/>
            <w:vMerge/>
            <w:noWrap/>
            <w:hideMark/>
          </w:tcPr>
          <w:p w14:paraId="1808D9D2" w14:textId="77777777" w:rsidR="00D97D6C" w:rsidRPr="009E06AA" w:rsidRDefault="00D97D6C" w:rsidP="00296D90">
            <w:pPr>
              <w:pStyle w:val="TableText"/>
              <w:spacing w:before="40" w:after="40"/>
              <w:rPr>
                <w:rFonts w:cs="Calibri"/>
              </w:rPr>
            </w:pPr>
          </w:p>
        </w:tc>
        <w:tc>
          <w:tcPr>
            <w:tcW w:w="2695" w:type="pct"/>
            <w:shd w:val="clear" w:color="auto" w:fill="C4D8E0"/>
            <w:noWrap/>
            <w:hideMark/>
          </w:tcPr>
          <w:p w14:paraId="26991E24" w14:textId="77777777" w:rsidR="00D97D6C" w:rsidRPr="009E06AA" w:rsidRDefault="00D97D6C" w:rsidP="00296D90">
            <w:pPr>
              <w:pStyle w:val="TableText"/>
              <w:spacing w:before="40" w:after="40"/>
              <w:rPr>
                <w:rFonts w:cs="Calibri"/>
              </w:rPr>
            </w:pPr>
            <w:r w:rsidRPr="009E06AA">
              <w:rPr>
                <w:rFonts w:cs="Calibri"/>
              </w:rPr>
              <w:t>Gaseous fuels</w:t>
            </w:r>
          </w:p>
        </w:tc>
        <w:tc>
          <w:tcPr>
            <w:tcW w:w="974" w:type="pct"/>
            <w:shd w:val="clear" w:color="auto" w:fill="C4D8E0"/>
            <w:noWrap/>
            <w:hideMark/>
          </w:tcPr>
          <w:p w14:paraId="5B26152E" w14:textId="77777777" w:rsidR="00D97D6C" w:rsidRPr="009E06AA" w:rsidRDefault="00D97D6C" w:rsidP="00B95F90">
            <w:pPr>
              <w:pStyle w:val="TableText"/>
              <w:spacing w:before="40" w:after="40"/>
              <w:jc w:val="right"/>
              <w:rPr>
                <w:rFonts w:cs="Calibri"/>
              </w:rPr>
            </w:pPr>
            <w:r w:rsidRPr="009E06AA">
              <w:rPr>
                <w:rFonts w:cs="Calibri"/>
              </w:rPr>
              <w:t>3.5</w:t>
            </w:r>
          </w:p>
        </w:tc>
        <w:tc>
          <w:tcPr>
            <w:tcW w:w="1011" w:type="pct"/>
            <w:shd w:val="clear" w:color="auto" w:fill="C4D8E0"/>
            <w:noWrap/>
            <w:hideMark/>
          </w:tcPr>
          <w:p w14:paraId="5F077833" w14:textId="77777777" w:rsidR="00D97D6C" w:rsidRPr="009E06AA" w:rsidRDefault="00D97D6C" w:rsidP="00B95F90">
            <w:pPr>
              <w:pStyle w:val="TableText"/>
              <w:spacing w:before="40" w:after="40"/>
              <w:jc w:val="right"/>
              <w:rPr>
                <w:rFonts w:cs="Calibri"/>
              </w:rPr>
            </w:pPr>
            <w:r w:rsidRPr="009E06AA">
              <w:rPr>
                <w:rFonts w:cs="Calibri"/>
              </w:rPr>
              <w:t>±50.0</w:t>
            </w:r>
          </w:p>
        </w:tc>
      </w:tr>
      <w:tr w:rsidR="00D97D6C" w:rsidRPr="009E06AA" w14:paraId="1F19DFD5" w14:textId="77777777" w:rsidTr="00B55F24">
        <w:tc>
          <w:tcPr>
            <w:tcW w:w="320" w:type="pct"/>
            <w:vMerge/>
            <w:noWrap/>
            <w:hideMark/>
          </w:tcPr>
          <w:p w14:paraId="27DAC19C" w14:textId="77777777" w:rsidR="00D97D6C" w:rsidRPr="009E06AA" w:rsidRDefault="00D97D6C" w:rsidP="00296D90">
            <w:pPr>
              <w:pStyle w:val="TableText"/>
              <w:spacing w:before="40" w:after="40"/>
              <w:rPr>
                <w:rFonts w:cs="Calibri"/>
              </w:rPr>
            </w:pPr>
          </w:p>
        </w:tc>
        <w:tc>
          <w:tcPr>
            <w:tcW w:w="2695" w:type="pct"/>
            <w:shd w:val="clear" w:color="auto" w:fill="C4D8E0"/>
            <w:noWrap/>
            <w:hideMark/>
          </w:tcPr>
          <w:p w14:paraId="0E425411" w14:textId="77777777" w:rsidR="00D97D6C" w:rsidRPr="009E06AA" w:rsidRDefault="00D97D6C" w:rsidP="00296D90">
            <w:pPr>
              <w:pStyle w:val="TableText"/>
              <w:spacing w:before="40" w:after="40"/>
              <w:rPr>
                <w:rFonts w:cs="Calibri"/>
              </w:rPr>
            </w:pPr>
            <w:r w:rsidRPr="009E06AA">
              <w:rPr>
                <w:rFonts w:cs="Calibri"/>
              </w:rPr>
              <w:t>Biomass</w:t>
            </w:r>
          </w:p>
        </w:tc>
        <w:tc>
          <w:tcPr>
            <w:tcW w:w="974" w:type="pct"/>
            <w:shd w:val="clear" w:color="auto" w:fill="C4D8E0"/>
            <w:noWrap/>
            <w:hideMark/>
          </w:tcPr>
          <w:p w14:paraId="219FD436" w14:textId="77777777" w:rsidR="00D97D6C" w:rsidRPr="009E06AA" w:rsidRDefault="00D97D6C" w:rsidP="00B95F90">
            <w:pPr>
              <w:pStyle w:val="TableText"/>
              <w:spacing w:before="40" w:after="40"/>
              <w:jc w:val="right"/>
              <w:rPr>
                <w:rFonts w:cs="Calibri"/>
              </w:rPr>
            </w:pPr>
            <w:r w:rsidRPr="009E06AA">
              <w:rPr>
                <w:rFonts w:cs="Calibri"/>
              </w:rPr>
              <w:t>50.0</w:t>
            </w:r>
          </w:p>
        </w:tc>
        <w:tc>
          <w:tcPr>
            <w:tcW w:w="1011" w:type="pct"/>
            <w:shd w:val="clear" w:color="auto" w:fill="C4D8E0"/>
            <w:noWrap/>
            <w:hideMark/>
          </w:tcPr>
          <w:p w14:paraId="0B9CF2C3" w14:textId="77777777" w:rsidR="00D97D6C" w:rsidRPr="009E06AA" w:rsidRDefault="00D97D6C" w:rsidP="00B95F90">
            <w:pPr>
              <w:pStyle w:val="TableText"/>
              <w:spacing w:before="40" w:after="40"/>
              <w:jc w:val="right"/>
              <w:rPr>
                <w:rFonts w:cs="Calibri"/>
              </w:rPr>
            </w:pPr>
            <w:r w:rsidRPr="009E06AA">
              <w:rPr>
                <w:rFonts w:cs="Calibri"/>
              </w:rPr>
              <w:t>±50.0</w:t>
            </w:r>
          </w:p>
        </w:tc>
      </w:tr>
      <w:tr w:rsidR="00D97D6C" w:rsidRPr="009E06AA" w14:paraId="48740B1C" w14:textId="77777777" w:rsidTr="00B55F24">
        <w:tc>
          <w:tcPr>
            <w:tcW w:w="320" w:type="pct"/>
            <w:vMerge/>
            <w:noWrap/>
            <w:hideMark/>
          </w:tcPr>
          <w:p w14:paraId="3EACC2AC" w14:textId="77777777" w:rsidR="00D97D6C" w:rsidRPr="009E06AA" w:rsidRDefault="00D97D6C" w:rsidP="00296D90">
            <w:pPr>
              <w:pStyle w:val="TableText"/>
              <w:spacing w:before="40" w:after="40"/>
              <w:rPr>
                <w:rFonts w:cs="Calibri"/>
              </w:rPr>
            </w:pPr>
          </w:p>
        </w:tc>
        <w:tc>
          <w:tcPr>
            <w:tcW w:w="2695" w:type="pct"/>
            <w:shd w:val="clear" w:color="auto" w:fill="C4D8E0"/>
            <w:noWrap/>
            <w:hideMark/>
          </w:tcPr>
          <w:p w14:paraId="04B52797" w14:textId="77777777" w:rsidR="00D97D6C" w:rsidRPr="009E06AA" w:rsidRDefault="00D97D6C" w:rsidP="00296D90">
            <w:pPr>
              <w:pStyle w:val="TableText"/>
              <w:spacing w:before="40" w:after="40"/>
              <w:rPr>
                <w:rFonts w:cs="Calibri"/>
              </w:rPr>
            </w:pPr>
            <w:r w:rsidRPr="009E06AA">
              <w:rPr>
                <w:rFonts w:cs="Calibri"/>
              </w:rPr>
              <w:t>Fugitive – Geothermal</w:t>
            </w:r>
          </w:p>
        </w:tc>
        <w:tc>
          <w:tcPr>
            <w:tcW w:w="974" w:type="pct"/>
            <w:shd w:val="clear" w:color="auto" w:fill="C4D8E0"/>
            <w:noWrap/>
            <w:hideMark/>
          </w:tcPr>
          <w:p w14:paraId="34BC7CEF" w14:textId="77777777" w:rsidR="00D97D6C" w:rsidRPr="009E06AA" w:rsidRDefault="00D97D6C" w:rsidP="00B95F90">
            <w:pPr>
              <w:pStyle w:val="TableText"/>
              <w:spacing w:before="40" w:after="40"/>
              <w:jc w:val="right"/>
              <w:rPr>
                <w:rFonts w:cs="Calibri"/>
              </w:rPr>
            </w:pPr>
            <w:r w:rsidRPr="009E06AA">
              <w:rPr>
                <w:rFonts w:cs="Calibri"/>
              </w:rPr>
              <w:t>5.0</w:t>
            </w:r>
          </w:p>
        </w:tc>
        <w:tc>
          <w:tcPr>
            <w:tcW w:w="1011" w:type="pct"/>
            <w:shd w:val="clear" w:color="auto" w:fill="C4D8E0"/>
            <w:noWrap/>
            <w:hideMark/>
          </w:tcPr>
          <w:p w14:paraId="3E11B5B1" w14:textId="77777777" w:rsidR="00D97D6C" w:rsidRPr="009E06AA" w:rsidRDefault="00D97D6C" w:rsidP="00B95F90">
            <w:pPr>
              <w:pStyle w:val="TableText"/>
              <w:spacing w:before="40" w:after="40"/>
              <w:jc w:val="right"/>
              <w:rPr>
                <w:rFonts w:cs="Calibri"/>
              </w:rPr>
            </w:pPr>
            <w:r w:rsidRPr="009E06AA">
              <w:rPr>
                <w:rFonts w:cs="Calibri"/>
              </w:rPr>
              <w:t>±5.0</w:t>
            </w:r>
          </w:p>
        </w:tc>
      </w:tr>
      <w:tr w:rsidR="00D97D6C" w:rsidRPr="009E06AA" w14:paraId="3E3C3CD7" w14:textId="77777777" w:rsidTr="00B55F24">
        <w:tc>
          <w:tcPr>
            <w:tcW w:w="320" w:type="pct"/>
            <w:vMerge/>
            <w:noWrap/>
            <w:hideMark/>
          </w:tcPr>
          <w:p w14:paraId="26DB19C6" w14:textId="77777777" w:rsidR="00D97D6C" w:rsidRPr="009E06AA" w:rsidRDefault="00D97D6C" w:rsidP="00296D90">
            <w:pPr>
              <w:pStyle w:val="TableText"/>
              <w:spacing w:before="40" w:after="40"/>
              <w:rPr>
                <w:rFonts w:cs="Calibri"/>
              </w:rPr>
            </w:pPr>
          </w:p>
        </w:tc>
        <w:tc>
          <w:tcPr>
            <w:tcW w:w="2695" w:type="pct"/>
            <w:shd w:val="clear" w:color="auto" w:fill="C4D8E0"/>
            <w:noWrap/>
            <w:hideMark/>
          </w:tcPr>
          <w:p w14:paraId="3E788A49" w14:textId="77777777" w:rsidR="00D97D6C" w:rsidRPr="009E06AA" w:rsidRDefault="00D97D6C" w:rsidP="00296D90">
            <w:pPr>
              <w:pStyle w:val="TableText"/>
              <w:spacing w:before="40" w:after="40"/>
              <w:rPr>
                <w:rFonts w:cs="Calibri"/>
              </w:rPr>
            </w:pPr>
            <w:r w:rsidRPr="009E06AA">
              <w:rPr>
                <w:rFonts w:cs="Calibri"/>
              </w:rPr>
              <w:t>Fugitive – Venting/flaring</w:t>
            </w:r>
          </w:p>
        </w:tc>
        <w:tc>
          <w:tcPr>
            <w:tcW w:w="974" w:type="pct"/>
            <w:shd w:val="clear" w:color="auto" w:fill="C4D8E0"/>
            <w:noWrap/>
            <w:hideMark/>
          </w:tcPr>
          <w:p w14:paraId="315DE5B1" w14:textId="77777777" w:rsidR="00D97D6C" w:rsidRPr="009E06AA" w:rsidRDefault="00D97D6C" w:rsidP="00B95F90">
            <w:pPr>
              <w:pStyle w:val="TableText"/>
              <w:spacing w:before="40" w:after="40"/>
              <w:jc w:val="right"/>
              <w:rPr>
                <w:rFonts w:cs="Calibri"/>
              </w:rPr>
            </w:pPr>
            <w:r w:rsidRPr="009E06AA">
              <w:rPr>
                <w:rFonts w:cs="Calibri"/>
              </w:rPr>
              <w:t>3.5</w:t>
            </w:r>
          </w:p>
        </w:tc>
        <w:tc>
          <w:tcPr>
            <w:tcW w:w="1011" w:type="pct"/>
            <w:shd w:val="clear" w:color="auto" w:fill="C4D8E0"/>
            <w:noWrap/>
            <w:hideMark/>
          </w:tcPr>
          <w:p w14:paraId="7A41829A" w14:textId="77777777" w:rsidR="00D97D6C" w:rsidRPr="009E06AA" w:rsidRDefault="00D97D6C" w:rsidP="00B95F90">
            <w:pPr>
              <w:pStyle w:val="TableText"/>
              <w:spacing w:before="40" w:after="40"/>
              <w:jc w:val="right"/>
              <w:rPr>
                <w:rFonts w:cs="Calibri"/>
              </w:rPr>
            </w:pPr>
            <w:r w:rsidRPr="009E06AA">
              <w:rPr>
                <w:rFonts w:cs="Calibri"/>
              </w:rPr>
              <w:t>±50.0</w:t>
            </w:r>
          </w:p>
        </w:tc>
      </w:tr>
      <w:tr w:rsidR="00D97D6C" w:rsidRPr="009E06AA" w14:paraId="3421D6CC" w14:textId="77777777" w:rsidTr="00B55F24">
        <w:tc>
          <w:tcPr>
            <w:tcW w:w="320" w:type="pct"/>
            <w:vMerge/>
            <w:noWrap/>
            <w:hideMark/>
          </w:tcPr>
          <w:p w14:paraId="27F6D75A" w14:textId="77777777" w:rsidR="00D97D6C" w:rsidRPr="009E06AA" w:rsidRDefault="00D97D6C" w:rsidP="00296D90">
            <w:pPr>
              <w:pStyle w:val="TableText"/>
              <w:spacing w:before="40" w:after="40"/>
              <w:rPr>
                <w:rFonts w:cs="Calibri"/>
              </w:rPr>
            </w:pPr>
          </w:p>
        </w:tc>
        <w:tc>
          <w:tcPr>
            <w:tcW w:w="2695" w:type="pct"/>
            <w:shd w:val="clear" w:color="auto" w:fill="C4D8E0"/>
            <w:noWrap/>
            <w:hideMark/>
          </w:tcPr>
          <w:p w14:paraId="43B069F7" w14:textId="77777777" w:rsidR="00D97D6C" w:rsidRPr="009E06AA" w:rsidRDefault="00D97D6C" w:rsidP="00296D90">
            <w:pPr>
              <w:pStyle w:val="TableText"/>
              <w:spacing w:before="40" w:after="40"/>
              <w:rPr>
                <w:rFonts w:cs="Calibri"/>
              </w:rPr>
            </w:pPr>
            <w:r w:rsidRPr="009E06AA">
              <w:rPr>
                <w:rFonts w:cs="Calibri"/>
              </w:rPr>
              <w:t>Fugitive – Coal mining and handling</w:t>
            </w:r>
          </w:p>
        </w:tc>
        <w:tc>
          <w:tcPr>
            <w:tcW w:w="974" w:type="pct"/>
            <w:shd w:val="clear" w:color="auto" w:fill="C4D8E0"/>
            <w:noWrap/>
            <w:hideMark/>
          </w:tcPr>
          <w:p w14:paraId="61DE1380" w14:textId="77777777" w:rsidR="00D97D6C" w:rsidRPr="009E06AA" w:rsidRDefault="00D97D6C" w:rsidP="00B95F90">
            <w:pPr>
              <w:pStyle w:val="TableText"/>
              <w:spacing w:before="40" w:after="40"/>
              <w:jc w:val="right"/>
              <w:rPr>
                <w:rFonts w:cs="Calibri"/>
              </w:rPr>
            </w:pPr>
            <w:r w:rsidRPr="009E06AA">
              <w:rPr>
                <w:rFonts w:cs="Calibri"/>
              </w:rPr>
              <w:t>15.2</w:t>
            </w:r>
          </w:p>
        </w:tc>
        <w:tc>
          <w:tcPr>
            <w:tcW w:w="1011" w:type="pct"/>
            <w:shd w:val="clear" w:color="auto" w:fill="C4D8E0"/>
            <w:noWrap/>
            <w:hideMark/>
          </w:tcPr>
          <w:p w14:paraId="1F9F0F7C" w14:textId="77777777" w:rsidR="00D97D6C" w:rsidRPr="009E06AA" w:rsidRDefault="00D97D6C" w:rsidP="00B95F90">
            <w:pPr>
              <w:pStyle w:val="TableText"/>
              <w:spacing w:before="40" w:after="40"/>
              <w:jc w:val="right"/>
              <w:rPr>
                <w:rFonts w:cs="Calibri"/>
              </w:rPr>
            </w:pPr>
            <w:r w:rsidRPr="009E06AA">
              <w:rPr>
                <w:rFonts w:cs="Calibri"/>
              </w:rPr>
              <w:t>±50.0</w:t>
            </w:r>
          </w:p>
        </w:tc>
      </w:tr>
      <w:tr w:rsidR="00D97D6C" w:rsidRPr="009E06AA" w14:paraId="52C81A01" w14:textId="77777777" w:rsidTr="00B55F24">
        <w:tc>
          <w:tcPr>
            <w:tcW w:w="320" w:type="pct"/>
            <w:vMerge/>
            <w:noWrap/>
            <w:hideMark/>
          </w:tcPr>
          <w:p w14:paraId="113A2648" w14:textId="77777777" w:rsidR="00D97D6C" w:rsidRPr="009E06AA" w:rsidRDefault="00D97D6C" w:rsidP="00296D90">
            <w:pPr>
              <w:pStyle w:val="TableText"/>
              <w:spacing w:before="40" w:after="40"/>
              <w:rPr>
                <w:rFonts w:cs="Calibri"/>
              </w:rPr>
            </w:pPr>
          </w:p>
        </w:tc>
        <w:tc>
          <w:tcPr>
            <w:tcW w:w="2695" w:type="pct"/>
            <w:shd w:val="clear" w:color="auto" w:fill="C4D8E0"/>
            <w:noWrap/>
            <w:hideMark/>
          </w:tcPr>
          <w:p w14:paraId="7EDB4748" w14:textId="77777777" w:rsidR="00D97D6C" w:rsidRPr="009E06AA" w:rsidRDefault="00D97D6C" w:rsidP="00296D90">
            <w:pPr>
              <w:pStyle w:val="TableText"/>
              <w:spacing w:before="40" w:after="40"/>
              <w:rPr>
                <w:rFonts w:cs="Calibri"/>
              </w:rPr>
            </w:pPr>
            <w:r w:rsidRPr="009E06AA">
              <w:rPr>
                <w:rFonts w:cs="Calibri"/>
              </w:rPr>
              <w:t>Fugitive – Transmission and distribution</w:t>
            </w:r>
          </w:p>
        </w:tc>
        <w:tc>
          <w:tcPr>
            <w:tcW w:w="974" w:type="pct"/>
            <w:shd w:val="clear" w:color="auto" w:fill="C4D8E0"/>
            <w:noWrap/>
            <w:hideMark/>
          </w:tcPr>
          <w:p w14:paraId="3D4A9F06" w14:textId="77777777" w:rsidR="00D97D6C" w:rsidRPr="009E06AA" w:rsidRDefault="00D97D6C" w:rsidP="00B95F90">
            <w:pPr>
              <w:pStyle w:val="TableText"/>
              <w:spacing w:before="40" w:after="40"/>
              <w:jc w:val="right"/>
              <w:rPr>
                <w:rFonts w:cs="Calibri"/>
              </w:rPr>
            </w:pPr>
            <w:r w:rsidRPr="009E06AA">
              <w:rPr>
                <w:rFonts w:cs="Calibri"/>
              </w:rPr>
              <w:t>3.5</w:t>
            </w:r>
          </w:p>
        </w:tc>
        <w:tc>
          <w:tcPr>
            <w:tcW w:w="1011" w:type="pct"/>
            <w:shd w:val="clear" w:color="auto" w:fill="C4D8E0"/>
            <w:noWrap/>
            <w:hideMark/>
          </w:tcPr>
          <w:p w14:paraId="72C38B68" w14:textId="77777777" w:rsidR="00D97D6C" w:rsidRPr="009E06AA" w:rsidRDefault="00D97D6C" w:rsidP="00B95F90">
            <w:pPr>
              <w:pStyle w:val="TableText"/>
              <w:spacing w:before="40" w:after="40"/>
              <w:jc w:val="right"/>
              <w:rPr>
                <w:rFonts w:cs="Calibri"/>
              </w:rPr>
            </w:pPr>
            <w:r w:rsidRPr="009E06AA">
              <w:rPr>
                <w:rFonts w:cs="Calibri"/>
              </w:rPr>
              <w:t>±100.0</w:t>
            </w:r>
          </w:p>
        </w:tc>
      </w:tr>
      <w:tr w:rsidR="00D97D6C" w:rsidRPr="009E06AA" w14:paraId="2F5083A5" w14:textId="77777777" w:rsidTr="00B55F24">
        <w:tc>
          <w:tcPr>
            <w:tcW w:w="320" w:type="pct"/>
            <w:vMerge/>
            <w:noWrap/>
            <w:hideMark/>
          </w:tcPr>
          <w:p w14:paraId="619A70B4" w14:textId="77777777" w:rsidR="00D97D6C" w:rsidRPr="009E06AA" w:rsidRDefault="00D97D6C" w:rsidP="00296D90">
            <w:pPr>
              <w:pStyle w:val="TableText"/>
              <w:spacing w:before="40" w:after="40"/>
              <w:rPr>
                <w:rFonts w:cs="Calibri"/>
              </w:rPr>
            </w:pPr>
          </w:p>
        </w:tc>
        <w:tc>
          <w:tcPr>
            <w:tcW w:w="2695" w:type="pct"/>
            <w:shd w:val="clear" w:color="auto" w:fill="C4D8E0"/>
            <w:noWrap/>
            <w:hideMark/>
          </w:tcPr>
          <w:p w14:paraId="7CE28925" w14:textId="77777777" w:rsidR="00D97D6C" w:rsidRPr="009E06AA" w:rsidRDefault="00D97D6C" w:rsidP="00296D90">
            <w:pPr>
              <w:pStyle w:val="TableText"/>
              <w:spacing w:before="40" w:after="40"/>
              <w:rPr>
                <w:rFonts w:cs="Calibri"/>
              </w:rPr>
            </w:pPr>
            <w:r w:rsidRPr="009E06AA">
              <w:rPr>
                <w:rFonts w:cs="Calibri"/>
              </w:rPr>
              <w:t>Fugitive – Oil and gas exploration and production</w:t>
            </w:r>
          </w:p>
        </w:tc>
        <w:tc>
          <w:tcPr>
            <w:tcW w:w="974" w:type="pct"/>
            <w:shd w:val="clear" w:color="auto" w:fill="C4D8E0"/>
            <w:noWrap/>
            <w:hideMark/>
          </w:tcPr>
          <w:p w14:paraId="19B455E4" w14:textId="77777777" w:rsidR="00D97D6C" w:rsidRPr="009E06AA" w:rsidRDefault="00D97D6C" w:rsidP="00B95F90">
            <w:pPr>
              <w:pStyle w:val="TableText"/>
              <w:spacing w:before="40" w:after="40"/>
              <w:jc w:val="right"/>
              <w:rPr>
                <w:rFonts w:cs="Calibri"/>
              </w:rPr>
            </w:pPr>
            <w:r w:rsidRPr="009E06AA">
              <w:rPr>
                <w:rFonts w:cs="Calibri"/>
              </w:rPr>
              <w:t>3.5</w:t>
            </w:r>
          </w:p>
        </w:tc>
        <w:tc>
          <w:tcPr>
            <w:tcW w:w="1011" w:type="pct"/>
            <w:shd w:val="clear" w:color="auto" w:fill="C4D8E0"/>
            <w:noWrap/>
            <w:hideMark/>
          </w:tcPr>
          <w:p w14:paraId="364FD2A3" w14:textId="77777777" w:rsidR="00D97D6C" w:rsidRPr="009E06AA" w:rsidRDefault="00D97D6C" w:rsidP="00B95F90">
            <w:pPr>
              <w:pStyle w:val="TableText"/>
              <w:spacing w:before="40" w:after="40"/>
              <w:jc w:val="right"/>
              <w:rPr>
                <w:rFonts w:cs="Calibri"/>
              </w:rPr>
            </w:pPr>
            <w:r w:rsidRPr="009E06AA">
              <w:rPr>
                <w:rFonts w:cs="Calibri"/>
              </w:rPr>
              <w:t>±100.0</w:t>
            </w:r>
          </w:p>
        </w:tc>
      </w:tr>
      <w:tr w:rsidR="00D97D6C" w:rsidRPr="009E06AA" w14:paraId="5B7BBEB6" w14:textId="77777777" w:rsidTr="00B55F24">
        <w:tc>
          <w:tcPr>
            <w:tcW w:w="320" w:type="pct"/>
            <w:vMerge/>
            <w:noWrap/>
            <w:hideMark/>
          </w:tcPr>
          <w:p w14:paraId="3ED70EE8" w14:textId="77777777" w:rsidR="00D97D6C" w:rsidRPr="009E06AA" w:rsidRDefault="00D97D6C" w:rsidP="00296D90">
            <w:pPr>
              <w:pStyle w:val="TableText"/>
              <w:spacing w:before="40" w:after="40"/>
              <w:rPr>
                <w:rFonts w:cs="Calibri"/>
              </w:rPr>
            </w:pPr>
          </w:p>
        </w:tc>
        <w:tc>
          <w:tcPr>
            <w:tcW w:w="2695" w:type="pct"/>
            <w:shd w:val="clear" w:color="auto" w:fill="C4D8E0"/>
            <w:noWrap/>
            <w:hideMark/>
          </w:tcPr>
          <w:p w14:paraId="5B63BC70" w14:textId="77777777" w:rsidR="00D97D6C" w:rsidRPr="009E06AA" w:rsidRDefault="00D97D6C" w:rsidP="00296D90">
            <w:pPr>
              <w:pStyle w:val="TableText"/>
              <w:spacing w:before="40" w:after="40"/>
              <w:rPr>
                <w:rFonts w:cs="Calibri"/>
              </w:rPr>
            </w:pPr>
            <w:r w:rsidRPr="009E06AA">
              <w:rPr>
                <w:rFonts w:cs="Calibri"/>
              </w:rPr>
              <w:t>Fugitive – Oil transportation</w:t>
            </w:r>
          </w:p>
        </w:tc>
        <w:tc>
          <w:tcPr>
            <w:tcW w:w="974" w:type="pct"/>
            <w:shd w:val="clear" w:color="auto" w:fill="C4D8E0"/>
            <w:noWrap/>
            <w:hideMark/>
          </w:tcPr>
          <w:p w14:paraId="1C40EC95" w14:textId="77777777" w:rsidR="00D97D6C" w:rsidRPr="009E06AA" w:rsidRDefault="00D97D6C" w:rsidP="00B95F90">
            <w:pPr>
              <w:pStyle w:val="TableText"/>
              <w:spacing w:before="40" w:after="40"/>
              <w:jc w:val="right"/>
              <w:rPr>
                <w:rFonts w:cs="Calibri"/>
              </w:rPr>
            </w:pPr>
            <w:r w:rsidRPr="009E06AA">
              <w:rPr>
                <w:rFonts w:cs="Calibri"/>
              </w:rPr>
              <w:t>0.7</w:t>
            </w:r>
          </w:p>
        </w:tc>
        <w:tc>
          <w:tcPr>
            <w:tcW w:w="1011" w:type="pct"/>
            <w:shd w:val="clear" w:color="auto" w:fill="C4D8E0"/>
            <w:noWrap/>
            <w:hideMark/>
          </w:tcPr>
          <w:p w14:paraId="01C0C615" w14:textId="77777777" w:rsidR="00D97D6C" w:rsidRPr="009E06AA" w:rsidRDefault="00D97D6C" w:rsidP="00B95F90">
            <w:pPr>
              <w:pStyle w:val="TableText"/>
              <w:spacing w:before="40" w:after="40"/>
              <w:jc w:val="right"/>
              <w:rPr>
                <w:rFonts w:cs="Calibri"/>
              </w:rPr>
            </w:pPr>
            <w:r w:rsidRPr="009E06AA">
              <w:rPr>
                <w:rFonts w:cs="Calibri"/>
              </w:rPr>
              <w:t>±50.0</w:t>
            </w:r>
          </w:p>
        </w:tc>
      </w:tr>
      <w:tr w:rsidR="00D97D6C" w:rsidRPr="009E06AA" w14:paraId="6C4C05BA" w14:textId="77777777" w:rsidTr="00B55F24">
        <w:tc>
          <w:tcPr>
            <w:tcW w:w="320" w:type="pct"/>
            <w:vMerge w:val="restart"/>
            <w:shd w:val="clear" w:color="auto" w:fill="auto"/>
            <w:noWrap/>
            <w:vAlign w:val="center"/>
            <w:hideMark/>
          </w:tcPr>
          <w:p w14:paraId="355036F8" w14:textId="77777777" w:rsidR="00D97D6C" w:rsidRPr="009E06AA" w:rsidRDefault="00D97D6C" w:rsidP="00296D90">
            <w:pPr>
              <w:pStyle w:val="TableText"/>
              <w:spacing w:before="40" w:after="40"/>
              <w:rPr>
                <w:rFonts w:cs="Calibri"/>
              </w:rPr>
            </w:pPr>
            <w:r w:rsidRPr="009E06AA">
              <w:rPr>
                <w:rFonts w:cs="Calibri"/>
              </w:rPr>
              <w:t>N</w:t>
            </w:r>
            <w:r w:rsidRPr="009E06AA">
              <w:rPr>
                <w:rFonts w:cs="Calibri"/>
                <w:vertAlign w:val="subscript"/>
              </w:rPr>
              <w:t>2</w:t>
            </w:r>
            <w:r w:rsidRPr="009E06AA">
              <w:rPr>
                <w:rFonts w:cs="Calibri"/>
              </w:rPr>
              <w:t>O</w:t>
            </w:r>
          </w:p>
        </w:tc>
        <w:tc>
          <w:tcPr>
            <w:tcW w:w="2695" w:type="pct"/>
            <w:shd w:val="clear" w:color="auto" w:fill="auto"/>
            <w:noWrap/>
            <w:hideMark/>
          </w:tcPr>
          <w:p w14:paraId="61599352" w14:textId="77777777" w:rsidR="00D97D6C" w:rsidRPr="009E06AA" w:rsidRDefault="00D97D6C" w:rsidP="00296D90">
            <w:pPr>
              <w:pStyle w:val="TableText"/>
              <w:spacing w:before="40" w:after="40"/>
              <w:rPr>
                <w:rFonts w:cs="Calibri"/>
              </w:rPr>
            </w:pPr>
            <w:r w:rsidRPr="009E06AA">
              <w:rPr>
                <w:rFonts w:cs="Calibri"/>
              </w:rPr>
              <w:t>Liquid fuels</w:t>
            </w:r>
          </w:p>
        </w:tc>
        <w:tc>
          <w:tcPr>
            <w:tcW w:w="974" w:type="pct"/>
            <w:shd w:val="clear" w:color="auto" w:fill="auto"/>
            <w:noWrap/>
            <w:hideMark/>
          </w:tcPr>
          <w:p w14:paraId="447598B7" w14:textId="77777777" w:rsidR="00D97D6C" w:rsidRPr="009E06AA" w:rsidRDefault="00D97D6C" w:rsidP="00B95F90">
            <w:pPr>
              <w:pStyle w:val="TableText"/>
              <w:spacing w:before="40" w:after="40"/>
              <w:jc w:val="right"/>
              <w:rPr>
                <w:rFonts w:cs="Calibri"/>
              </w:rPr>
            </w:pPr>
            <w:r w:rsidRPr="009E06AA">
              <w:rPr>
                <w:rFonts w:cs="Calibri"/>
              </w:rPr>
              <w:t>0.7</w:t>
            </w:r>
          </w:p>
        </w:tc>
        <w:tc>
          <w:tcPr>
            <w:tcW w:w="1011" w:type="pct"/>
            <w:shd w:val="clear" w:color="auto" w:fill="auto"/>
            <w:noWrap/>
            <w:hideMark/>
          </w:tcPr>
          <w:p w14:paraId="6E707BD8" w14:textId="77777777" w:rsidR="00D97D6C" w:rsidRPr="009E06AA" w:rsidRDefault="00D97D6C" w:rsidP="00B95F90">
            <w:pPr>
              <w:pStyle w:val="TableText"/>
              <w:spacing w:before="40" w:after="40"/>
              <w:jc w:val="right"/>
              <w:rPr>
                <w:rFonts w:cs="Calibri"/>
              </w:rPr>
            </w:pPr>
            <w:r w:rsidRPr="009E06AA">
              <w:rPr>
                <w:rFonts w:cs="Calibri"/>
              </w:rPr>
              <w:t>±50.0</w:t>
            </w:r>
          </w:p>
        </w:tc>
      </w:tr>
      <w:tr w:rsidR="00D97D6C" w:rsidRPr="009E06AA" w14:paraId="004C60BB" w14:textId="77777777" w:rsidTr="00B55F24">
        <w:tc>
          <w:tcPr>
            <w:tcW w:w="320" w:type="pct"/>
            <w:vMerge/>
            <w:noWrap/>
            <w:hideMark/>
          </w:tcPr>
          <w:p w14:paraId="3B849EF1" w14:textId="77777777" w:rsidR="00D97D6C" w:rsidRPr="009E06AA" w:rsidRDefault="00D97D6C" w:rsidP="00296D90">
            <w:pPr>
              <w:pStyle w:val="TableText"/>
              <w:spacing w:before="40" w:after="40"/>
              <w:rPr>
                <w:rFonts w:cs="Calibri"/>
              </w:rPr>
            </w:pPr>
          </w:p>
        </w:tc>
        <w:tc>
          <w:tcPr>
            <w:tcW w:w="2695" w:type="pct"/>
            <w:shd w:val="clear" w:color="auto" w:fill="auto"/>
            <w:noWrap/>
            <w:hideMark/>
          </w:tcPr>
          <w:p w14:paraId="69D24C74" w14:textId="77777777" w:rsidR="00D97D6C" w:rsidRPr="009E06AA" w:rsidRDefault="00D97D6C" w:rsidP="00296D90">
            <w:pPr>
              <w:pStyle w:val="TableText"/>
              <w:spacing w:before="40" w:after="40"/>
              <w:rPr>
                <w:rFonts w:cs="Calibri"/>
              </w:rPr>
            </w:pPr>
            <w:r w:rsidRPr="009E06AA">
              <w:rPr>
                <w:rFonts w:cs="Calibri"/>
              </w:rPr>
              <w:t>Solid fuels</w:t>
            </w:r>
          </w:p>
        </w:tc>
        <w:tc>
          <w:tcPr>
            <w:tcW w:w="974" w:type="pct"/>
            <w:shd w:val="clear" w:color="auto" w:fill="auto"/>
            <w:noWrap/>
            <w:hideMark/>
          </w:tcPr>
          <w:p w14:paraId="43CBF43A" w14:textId="77777777" w:rsidR="00D97D6C" w:rsidRPr="009E06AA" w:rsidRDefault="00D97D6C" w:rsidP="00B95F90">
            <w:pPr>
              <w:pStyle w:val="TableText"/>
              <w:spacing w:before="40" w:after="40"/>
              <w:jc w:val="right"/>
              <w:rPr>
                <w:rFonts w:cs="Calibri"/>
              </w:rPr>
            </w:pPr>
            <w:r w:rsidRPr="009E06AA">
              <w:rPr>
                <w:rFonts w:cs="Calibri"/>
              </w:rPr>
              <w:t>15.2</w:t>
            </w:r>
          </w:p>
        </w:tc>
        <w:tc>
          <w:tcPr>
            <w:tcW w:w="1011" w:type="pct"/>
            <w:shd w:val="clear" w:color="auto" w:fill="auto"/>
            <w:noWrap/>
            <w:hideMark/>
          </w:tcPr>
          <w:p w14:paraId="0265391B" w14:textId="77777777" w:rsidR="00D97D6C" w:rsidRPr="009E06AA" w:rsidRDefault="00D97D6C" w:rsidP="00B95F90">
            <w:pPr>
              <w:pStyle w:val="TableText"/>
              <w:spacing w:before="40" w:after="40"/>
              <w:jc w:val="right"/>
              <w:rPr>
                <w:rFonts w:cs="Calibri"/>
              </w:rPr>
            </w:pPr>
            <w:r w:rsidRPr="009E06AA">
              <w:rPr>
                <w:rFonts w:cs="Calibri"/>
              </w:rPr>
              <w:t>±50.0</w:t>
            </w:r>
          </w:p>
        </w:tc>
      </w:tr>
      <w:tr w:rsidR="00D97D6C" w:rsidRPr="009E06AA" w14:paraId="07AF8727" w14:textId="77777777" w:rsidTr="00B55F24">
        <w:tc>
          <w:tcPr>
            <w:tcW w:w="320" w:type="pct"/>
            <w:vMerge/>
            <w:noWrap/>
            <w:hideMark/>
          </w:tcPr>
          <w:p w14:paraId="0D27A7F4" w14:textId="77777777" w:rsidR="00D97D6C" w:rsidRPr="009E06AA" w:rsidRDefault="00D97D6C" w:rsidP="00296D90">
            <w:pPr>
              <w:pStyle w:val="TableText"/>
              <w:spacing w:before="40" w:after="40"/>
              <w:rPr>
                <w:rFonts w:cs="Calibri"/>
              </w:rPr>
            </w:pPr>
          </w:p>
        </w:tc>
        <w:tc>
          <w:tcPr>
            <w:tcW w:w="2695" w:type="pct"/>
            <w:shd w:val="clear" w:color="auto" w:fill="auto"/>
            <w:noWrap/>
            <w:hideMark/>
          </w:tcPr>
          <w:p w14:paraId="4562E0B9" w14:textId="77777777" w:rsidR="00D97D6C" w:rsidRPr="009E06AA" w:rsidRDefault="00D97D6C" w:rsidP="00296D90">
            <w:pPr>
              <w:pStyle w:val="TableText"/>
              <w:spacing w:before="40" w:after="40"/>
              <w:rPr>
                <w:rFonts w:cs="Calibri"/>
              </w:rPr>
            </w:pPr>
            <w:r w:rsidRPr="009E06AA">
              <w:rPr>
                <w:rFonts w:cs="Calibri"/>
              </w:rPr>
              <w:t>Gaseous fuels</w:t>
            </w:r>
          </w:p>
        </w:tc>
        <w:tc>
          <w:tcPr>
            <w:tcW w:w="974" w:type="pct"/>
            <w:shd w:val="clear" w:color="auto" w:fill="auto"/>
            <w:noWrap/>
            <w:hideMark/>
          </w:tcPr>
          <w:p w14:paraId="7D5405C9" w14:textId="77777777" w:rsidR="00D97D6C" w:rsidRPr="009E06AA" w:rsidRDefault="00D97D6C" w:rsidP="00B95F90">
            <w:pPr>
              <w:pStyle w:val="TableText"/>
              <w:spacing w:before="40" w:after="40"/>
              <w:jc w:val="right"/>
              <w:rPr>
                <w:rFonts w:cs="Calibri"/>
              </w:rPr>
            </w:pPr>
            <w:r w:rsidRPr="009E06AA">
              <w:rPr>
                <w:rFonts w:cs="Calibri"/>
              </w:rPr>
              <w:t>3.5</w:t>
            </w:r>
          </w:p>
        </w:tc>
        <w:tc>
          <w:tcPr>
            <w:tcW w:w="1011" w:type="pct"/>
            <w:shd w:val="clear" w:color="auto" w:fill="auto"/>
            <w:noWrap/>
            <w:hideMark/>
          </w:tcPr>
          <w:p w14:paraId="1B6EE0B7" w14:textId="77777777" w:rsidR="00D97D6C" w:rsidRPr="009E06AA" w:rsidRDefault="00D97D6C" w:rsidP="00B95F90">
            <w:pPr>
              <w:pStyle w:val="TableText"/>
              <w:spacing w:before="40" w:after="40"/>
              <w:jc w:val="right"/>
              <w:rPr>
                <w:rFonts w:cs="Calibri"/>
              </w:rPr>
            </w:pPr>
            <w:r w:rsidRPr="009E06AA">
              <w:rPr>
                <w:rFonts w:cs="Calibri"/>
              </w:rPr>
              <w:t>±50.0</w:t>
            </w:r>
          </w:p>
        </w:tc>
      </w:tr>
      <w:tr w:rsidR="00D97D6C" w:rsidRPr="009E06AA" w14:paraId="1EF2D7BB" w14:textId="77777777" w:rsidTr="00B55F24">
        <w:tc>
          <w:tcPr>
            <w:tcW w:w="320" w:type="pct"/>
            <w:vMerge/>
            <w:noWrap/>
          </w:tcPr>
          <w:p w14:paraId="73E09F42" w14:textId="77777777" w:rsidR="00D97D6C" w:rsidRPr="009E06AA" w:rsidRDefault="00D97D6C" w:rsidP="00296D90">
            <w:pPr>
              <w:pStyle w:val="TableText"/>
              <w:spacing w:before="40" w:after="40"/>
              <w:rPr>
                <w:rFonts w:cs="Calibri"/>
              </w:rPr>
            </w:pPr>
          </w:p>
        </w:tc>
        <w:tc>
          <w:tcPr>
            <w:tcW w:w="2695" w:type="pct"/>
            <w:shd w:val="clear" w:color="auto" w:fill="auto"/>
            <w:noWrap/>
          </w:tcPr>
          <w:p w14:paraId="0B4A9ABF" w14:textId="77777777" w:rsidR="00D97D6C" w:rsidRPr="009E06AA" w:rsidRDefault="00D97D6C" w:rsidP="00296D90">
            <w:pPr>
              <w:pStyle w:val="TableText"/>
              <w:spacing w:before="40" w:after="40"/>
              <w:rPr>
                <w:rFonts w:cs="Calibri"/>
                <w:b/>
              </w:rPr>
            </w:pPr>
            <w:r w:rsidRPr="009E06AA">
              <w:rPr>
                <w:rFonts w:cs="Calibri"/>
              </w:rPr>
              <w:t>Biomass</w:t>
            </w:r>
          </w:p>
        </w:tc>
        <w:tc>
          <w:tcPr>
            <w:tcW w:w="974" w:type="pct"/>
            <w:shd w:val="clear" w:color="auto" w:fill="auto"/>
            <w:noWrap/>
          </w:tcPr>
          <w:p w14:paraId="481F36ED" w14:textId="77777777" w:rsidR="00D97D6C" w:rsidRPr="009E06AA" w:rsidRDefault="00D97D6C" w:rsidP="00B95F90">
            <w:pPr>
              <w:pStyle w:val="TableText"/>
              <w:spacing w:before="40" w:after="40"/>
              <w:jc w:val="right"/>
              <w:rPr>
                <w:rFonts w:cs="Calibri"/>
              </w:rPr>
            </w:pPr>
            <w:r w:rsidRPr="009E06AA">
              <w:rPr>
                <w:rFonts w:cs="Calibri"/>
              </w:rPr>
              <w:t>50.0</w:t>
            </w:r>
          </w:p>
        </w:tc>
        <w:tc>
          <w:tcPr>
            <w:tcW w:w="1011" w:type="pct"/>
            <w:shd w:val="clear" w:color="auto" w:fill="auto"/>
            <w:noWrap/>
          </w:tcPr>
          <w:p w14:paraId="708AFC02" w14:textId="77777777" w:rsidR="00D97D6C" w:rsidRPr="009E06AA" w:rsidRDefault="00D97D6C" w:rsidP="00B95F90">
            <w:pPr>
              <w:pStyle w:val="TableText"/>
              <w:spacing w:before="40" w:after="40"/>
              <w:jc w:val="right"/>
              <w:rPr>
                <w:rFonts w:cs="Calibri"/>
              </w:rPr>
            </w:pPr>
            <w:r w:rsidRPr="009E06AA">
              <w:rPr>
                <w:rFonts w:cs="Calibri"/>
              </w:rPr>
              <w:t>±50.0</w:t>
            </w:r>
          </w:p>
        </w:tc>
      </w:tr>
      <w:tr w:rsidR="00D97D6C" w:rsidRPr="009E06AA" w14:paraId="3B7E3A35" w14:textId="77777777" w:rsidTr="00B55F24">
        <w:tc>
          <w:tcPr>
            <w:tcW w:w="320" w:type="pct"/>
            <w:vMerge/>
            <w:noWrap/>
          </w:tcPr>
          <w:p w14:paraId="654AF646" w14:textId="77777777" w:rsidR="00D97D6C" w:rsidRPr="009E06AA" w:rsidRDefault="00D97D6C" w:rsidP="00296D90">
            <w:pPr>
              <w:pStyle w:val="TableText"/>
              <w:spacing w:before="40" w:after="40"/>
              <w:rPr>
                <w:rFonts w:cs="Calibri"/>
              </w:rPr>
            </w:pPr>
          </w:p>
        </w:tc>
        <w:tc>
          <w:tcPr>
            <w:tcW w:w="2695" w:type="pct"/>
            <w:shd w:val="clear" w:color="auto" w:fill="auto"/>
            <w:noWrap/>
          </w:tcPr>
          <w:p w14:paraId="07D6D75D" w14:textId="77777777" w:rsidR="00D97D6C" w:rsidRPr="009E06AA" w:rsidRDefault="00D97D6C" w:rsidP="00296D90">
            <w:pPr>
              <w:pStyle w:val="TableText"/>
              <w:spacing w:before="40" w:after="40"/>
              <w:rPr>
                <w:rFonts w:cs="Calibri"/>
              </w:rPr>
            </w:pPr>
            <w:r w:rsidRPr="009E06AA">
              <w:rPr>
                <w:rFonts w:cs="Calibri"/>
              </w:rPr>
              <w:t>Fugitive – Venting/flaring</w:t>
            </w:r>
          </w:p>
        </w:tc>
        <w:tc>
          <w:tcPr>
            <w:tcW w:w="974" w:type="pct"/>
            <w:shd w:val="clear" w:color="auto" w:fill="auto"/>
            <w:noWrap/>
          </w:tcPr>
          <w:p w14:paraId="5810CEE5" w14:textId="77777777" w:rsidR="00D97D6C" w:rsidRPr="009E06AA" w:rsidRDefault="00D97D6C" w:rsidP="00B95F90">
            <w:pPr>
              <w:pStyle w:val="TableText"/>
              <w:spacing w:before="40" w:after="40"/>
              <w:jc w:val="right"/>
              <w:rPr>
                <w:rFonts w:cs="Calibri"/>
              </w:rPr>
            </w:pPr>
            <w:r w:rsidRPr="009E06AA">
              <w:rPr>
                <w:rFonts w:cs="Calibri"/>
              </w:rPr>
              <w:t>3.5</w:t>
            </w:r>
          </w:p>
        </w:tc>
        <w:tc>
          <w:tcPr>
            <w:tcW w:w="1011" w:type="pct"/>
            <w:shd w:val="clear" w:color="auto" w:fill="auto"/>
            <w:noWrap/>
          </w:tcPr>
          <w:p w14:paraId="17DE054E" w14:textId="77777777" w:rsidR="00D97D6C" w:rsidRPr="009E06AA" w:rsidRDefault="00D97D6C" w:rsidP="00B95F90">
            <w:pPr>
              <w:pStyle w:val="TableText"/>
              <w:spacing w:before="40" w:after="40"/>
              <w:jc w:val="right"/>
              <w:rPr>
                <w:rFonts w:cs="Calibri"/>
              </w:rPr>
            </w:pPr>
            <w:r w:rsidRPr="009E06AA">
              <w:rPr>
                <w:rFonts w:cs="Calibri"/>
              </w:rPr>
              <w:t>±100.0</w:t>
            </w:r>
          </w:p>
        </w:tc>
      </w:tr>
    </w:tbl>
    <w:p w14:paraId="748BD7EC" w14:textId="77777777" w:rsidR="00D97D6C" w:rsidRPr="009E06AA" w:rsidRDefault="00D97D6C" w:rsidP="00D97D6C">
      <w:pPr>
        <w:pStyle w:val="BodyText"/>
        <w:spacing w:before="240"/>
        <w:rPr>
          <w:rFonts w:cs="Calibri"/>
        </w:rPr>
      </w:pPr>
      <w:r w:rsidRPr="009E06AA">
        <w:rPr>
          <w:rFonts w:cs="Calibri"/>
          <w:lang w:eastAsia="en-GB"/>
        </w:rPr>
        <w:t>To estimate activity data uncertainty, we use the percentage difference between annual calculated consumer energy from supply-side surveys and annual observed consumer energy from demand-side surveys. As a result, activity data uncertainty can vary significantly from year to year.</w:t>
      </w:r>
    </w:p>
    <w:p w14:paraId="33E75C51" w14:textId="77777777" w:rsidR="00D97D6C" w:rsidRPr="009E06AA" w:rsidRDefault="00D97D6C" w:rsidP="00D97D6C">
      <w:pPr>
        <w:pStyle w:val="Heading3"/>
        <w:rPr>
          <w:rFonts w:cs="Calibri"/>
        </w:rPr>
      </w:pPr>
      <w:r w:rsidRPr="009E06AA">
        <w:rPr>
          <w:rFonts w:cs="Calibri"/>
        </w:rPr>
        <w:t>3.2.4</w:t>
      </w:r>
      <w:r w:rsidRPr="009E06AA">
        <w:rPr>
          <w:rFonts w:cs="Calibri"/>
        </w:rPr>
        <w:tab/>
        <w:t>Sector-wide QA/QC and verification</w:t>
      </w:r>
    </w:p>
    <w:p w14:paraId="4DCD5256" w14:textId="77777777" w:rsidR="00D97D6C" w:rsidRPr="009E06AA" w:rsidRDefault="00D97D6C" w:rsidP="00D97D6C">
      <w:pPr>
        <w:pStyle w:val="BodyText"/>
        <w:rPr>
          <w:rFonts w:cs="Calibri"/>
        </w:rPr>
      </w:pPr>
      <w:r w:rsidRPr="009E06AA">
        <w:rPr>
          <w:rFonts w:cs="Calibri"/>
          <w:lang w:eastAsia="en-GB"/>
        </w:rPr>
        <w:t xml:space="preserve">In the preparation of this inventory, the </w:t>
      </w:r>
      <w:r w:rsidRPr="009E06AA">
        <w:rPr>
          <w:rFonts w:cs="Calibri"/>
          <w:i/>
          <w:lang w:eastAsia="en-GB"/>
        </w:rPr>
        <w:t>Fugitive</w:t>
      </w:r>
      <w:r w:rsidRPr="009E06AA">
        <w:rPr>
          <w:rFonts w:cs="Calibri"/>
          <w:lang w:eastAsia="en-GB"/>
        </w:rPr>
        <w:t xml:space="preserve"> category underwent Tier 1 quality-assurance and quality-control checks, as recommended in the 2006 IPCC Guidelines. These include regular control sums throughout systems to verify system integrity, time-series consistency checks on activity data and consistency checks on implied emission factors at the industry–plant level, where possible. </w:t>
      </w:r>
      <w:r w:rsidRPr="009E06AA">
        <w:rPr>
          <w:rFonts w:cs="Calibri"/>
        </w:rPr>
        <w:t>Figure 3.2.2</w:t>
      </w:r>
      <w:r w:rsidRPr="009E06AA">
        <w:rPr>
          <w:rFonts w:cs="Calibri"/>
          <w:lang w:eastAsia="en-GB"/>
        </w:rPr>
        <w:t xml:space="preserve"> describes the quality control process map for the Energy sector.</w:t>
      </w:r>
    </w:p>
    <w:p w14:paraId="58DC8EF3" w14:textId="037684C2" w:rsidR="00D97D6C" w:rsidRPr="009E06AA" w:rsidRDefault="00D97D6C" w:rsidP="00D97D6C">
      <w:pPr>
        <w:pStyle w:val="Figure"/>
        <w:rPr>
          <w:rFonts w:cs="Calibri"/>
        </w:rPr>
      </w:pPr>
      <w:bookmarkStart w:id="304" w:name="_Ref442370883"/>
      <w:bookmarkStart w:id="305" w:name="_Toc384582852"/>
      <w:bookmarkStart w:id="306" w:name="_Ref442370874"/>
      <w:bookmarkStart w:id="307" w:name="_Toc443060812"/>
      <w:bookmarkStart w:id="308" w:name="_Toc447275669"/>
      <w:bookmarkStart w:id="309" w:name="_Toc481751987"/>
      <w:bookmarkStart w:id="310" w:name="_Toc36292771"/>
      <w:bookmarkStart w:id="311" w:name="_Toc68786636"/>
      <w:bookmarkStart w:id="312" w:name="_Toc95834071"/>
      <w:bookmarkStart w:id="313" w:name="_Toc164154007"/>
      <w:r w:rsidRPr="009E06AA">
        <w:rPr>
          <w:rFonts w:cs="Calibri"/>
        </w:rPr>
        <w:t>Figure 3.2.</w:t>
      </w:r>
      <w:r w:rsidRPr="009E06AA">
        <w:rPr>
          <w:rFonts w:cs="Calibri"/>
        </w:rPr>
        <w:fldChar w:fldCharType="begin"/>
      </w:r>
      <w:r w:rsidRPr="009E06AA">
        <w:rPr>
          <w:rFonts w:cs="Calibri"/>
        </w:rPr>
        <w:instrText xml:space="preserve"> SEQ Figure \* ARABIC \s 2 </w:instrText>
      </w:r>
      <w:r w:rsidRPr="009E06AA">
        <w:rPr>
          <w:rFonts w:cs="Calibri"/>
        </w:rPr>
        <w:fldChar w:fldCharType="separate"/>
      </w:r>
      <w:r w:rsidR="009E4901">
        <w:rPr>
          <w:rFonts w:cs="Calibri"/>
          <w:noProof/>
        </w:rPr>
        <w:t>2</w:t>
      </w:r>
      <w:r w:rsidRPr="009E06AA">
        <w:rPr>
          <w:rFonts w:cs="Calibri"/>
        </w:rPr>
        <w:fldChar w:fldCharType="end"/>
      </w:r>
      <w:bookmarkEnd w:id="304"/>
      <w:r w:rsidRPr="009E06AA">
        <w:rPr>
          <w:rFonts w:cs="Calibri"/>
        </w:rPr>
        <w:t xml:space="preserve"> </w:t>
      </w:r>
      <w:r w:rsidRPr="009E06AA">
        <w:rPr>
          <w:rFonts w:cs="Calibri"/>
        </w:rPr>
        <w:tab/>
        <w:t>Energy sector quality control process map</w:t>
      </w:r>
      <w:bookmarkEnd w:id="305"/>
      <w:bookmarkEnd w:id="306"/>
      <w:bookmarkEnd w:id="307"/>
      <w:bookmarkEnd w:id="308"/>
      <w:bookmarkEnd w:id="309"/>
      <w:bookmarkEnd w:id="310"/>
      <w:bookmarkEnd w:id="311"/>
      <w:bookmarkEnd w:id="312"/>
      <w:bookmarkEnd w:id="313"/>
    </w:p>
    <w:p w14:paraId="2064D4B9" w14:textId="77777777" w:rsidR="00D97D6C" w:rsidRPr="009E06AA" w:rsidRDefault="00D97D6C" w:rsidP="00296D90">
      <w:pPr>
        <w:pStyle w:val="BodyText"/>
        <w:jc w:val="center"/>
      </w:pPr>
      <w:r w:rsidRPr="009E06AA">
        <w:rPr>
          <w:noProof/>
        </w:rPr>
        <w:drawing>
          <wp:inline distT="0" distB="0" distL="0" distR="0" wp14:anchorId="37DCC045" wp14:editId="61EDB5C5">
            <wp:extent cx="5060865" cy="6948000"/>
            <wp:effectExtent l="0" t="0" r="6985" b="5715"/>
            <wp:docPr id="499227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227123" name="Picture 1"/>
                    <pic:cNvPicPr/>
                  </pic:nvPicPr>
                  <pic:blipFill rotWithShape="1">
                    <a:blip r:embed="rId58" cstate="print">
                      <a:extLst>
                        <a:ext uri="{28A0092B-C50C-407E-A947-70E740481C1C}">
                          <a14:useLocalDpi xmlns:a14="http://schemas.microsoft.com/office/drawing/2010/main" val="0"/>
                        </a:ext>
                      </a:extLst>
                    </a:blip>
                    <a:srcRect t="-481"/>
                    <a:stretch/>
                  </pic:blipFill>
                  <pic:spPr bwMode="auto">
                    <a:xfrm>
                      <a:off x="0" y="0"/>
                      <a:ext cx="5060865" cy="6948000"/>
                    </a:xfrm>
                    <a:prstGeom prst="rect">
                      <a:avLst/>
                    </a:prstGeom>
                    <a:ln>
                      <a:noFill/>
                    </a:ln>
                    <a:extLst>
                      <a:ext uri="{53640926-AAD7-44D8-BBD7-CCE9431645EC}">
                        <a14:shadowObscured xmlns:a14="http://schemas.microsoft.com/office/drawing/2010/main"/>
                      </a:ext>
                    </a:extLst>
                  </pic:spPr>
                </pic:pic>
              </a:graphicData>
            </a:graphic>
          </wp:inline>
        </w:drawing>
      </w:r>
    </w:p>
    <w:p w14:paraId="57418BE1" w14:textId="77777777" w:rsidR="00D97D6C" w:rsidRPr="009E06AA" w:rsidRDefault="00D97D6C" w:rsidP="00D97D6C">
      <w:pPr>
        <w:pStyle w:val="BodyText"/>
        <w:rPr>
          <w:rFonts w:cs="Calibri"/>
        </w:rPr>
      </w:pPr>
      <w:r w:rsidRPr="009E06AA">
        <w:rPr>
          <w:rFonts w:cs="Calibri"/>
          <w:lang w:eastAsia="en-GB"/>
        </w:rPr>
        <w:t xml:space="preserve">As discussed in section 3.1, the reference approach provides a good, high-level quality check for activity data. A significant deviation (greater than 5 per cent) indicates a likely issue. </w:t>
      </w:r>
    </w:p>
    <w:p w14:paraId="08A02C4E" w14:textId="77777777" w:rsidR="00D97D6C" w:rsidRPr="009E06AA" w:rsidRDefault="00D97D6C" w:rsidP="00D97D6C">
      <w:pPr>
        <w:pStyle w:val="BodyText"/>
        <w:rPr>
          <w:rFonts w:cs="Calibri"/>
          <w:lang w:eastAsia="en-GB"/>
        </w:rPr>
      </w:pPr>
      <w:r w:rsidRPr="009E06AA">
        <w:rPr>
          <w:rFonts w:cs="Calibri"/>
          <w:lang w:eastAsia="en-GB"/>
        </w:rPr>
        <w:t>Implied CO</w:t>
      </w:r>
      <w:r w:rsidRPr="009E06AA">
        <w:rPr>
          <w:rFonts w:cs="Calibri"/>
          <w:vertAlign w:val="subscript"/>
          <w:lang w:eastAsia="en-GB"/>
        </w:rPr>
        <w:t>2</w:t>
      </w:r>
      <w:r w:rsidRPr="009E06AA">
        <w:rPr>
          <w:rFonts w:cs="Calibri"/>
          <w:lang w:eastAsia="en-GB"/>
        </w:rPr>
        <w:t xml:space="preserve"> emission factors for combustion of liquid, solid and gaseous fuels from this inventory were compared with those in the IPCC Emission Factor Database and converted to gross values for comparability with the New Zealand energy system. </w:t>
      </w:r>
    </w:p>
    <w:p w14:paraId="03D05F97" w14:textId="77777777" w:rsidR="00D97D6C" w:rsidRPr="009E06AA" w:rsidRDefault="00D97D6C" w:rsidP="00D97D6C">
      <w:pPr>
        <w:pStyle w:val="BodyText"/>
        <w:rPr>
          <w:rFonts w:cs="Calibri"/>
          <w:lang w:eastAsia="en-GB"/>
        </w:rPr>
      </w:pPr>
      <w:r w:rsidRPr="009E06AA">
        <w:t>Figures 3.2.3, 3.2.4</w:t>
      </w:r>
      <w:r w:rsidRPr="009E06AA">
        <w:rPr>
          <w:lang w:eastAsia="en-GB"/>
        </w:rPr>
        <w:t xml:space="preserve"> </w:t>
      </w:r>
      <w:r w:rsidRPr="009E06AA">
        <w:t>and 3.2.5</w:t>
      </w:r>
      <w:r w:rsidRPr="009E06AA">
        <w:rPr>
          <w:lang w:eastAsia="en-GB"/>
        </w:rPr>
        <w:t xml:space="preserve"> show the upper, lower and middle IPCC 2006 emission factor ranges, and compare the implied emission factors according to observed </w:t>
      </w:r>
      <w:r w:rsidRPr="009E06AA">
        <w:t>fuel</w:t>
      </w:r>
      <w:r w:rsidRPr="009E06AA">
        <w:rPr>
          <w:lang w:eastAsia="en-GB"/>
        </w:rPr>
        <w:t xml:space="preserve"> consumption in </w:t>
      </w:r>
      <w:r w:rsidRPr="009E06AA">
        <w:rPr>
          <w:rFonts w:cs="Calibri"/>
          <w:lang w:eastAsia="en-GB"/>
        </w:rPr>
        <w:t>New Zealand</w:t>
      </w:r>
      <w:r w:rsidRPr="009E06AA">
        <w:rPr>
          <w:lang w:eastAsia="en-GB"/>
        </w:rPr>
        <w:t xml:space="preserve"> for the given year. </w:t>
      </w:r>
      <w:r w:rsidRPr="009E06AA">
        <w:rPr>
          <w:rFonts w:cs="Calibri"/>
          <w:lang w:eastAsia="en-GB"/>
        </w:rPr>
        <w:t xml:space="preserve">Each fuel type falls within the IPCC default range, except for gaseous fuels. This is because, as discussed in section 3.2.1, </w:t>
      </w:r>
      <w:r w:rsidRPr="009E06AA">
        <w:rPr>
          <w:rFonts w:cs="Calibri"/>
        </w:rPr>
        <w:t>CO</w:t>
      </w:r>
      <w:r w:rsidRPr="009E06AA">
        <w:rPr>
          <w:rFonts w:cs="Calibri"/>
          <w:vertAlign w:val="subscript"/>
        </w:rPr>
        <w:t>2</w:t>
      </w:r>
      <w:r w:rsidRPr="009E06AA">
        <w:rPr>
          <w:rFonts w:cs="Calibri"/>
        </w:rPr>
        <w:t xml:space="preserve"> emission factors for </w:t>
      </w:r>
      <w:r w:rsidRPr="009E06AA">
        <w:rPr>
          <w:rFonts w:cs="Calibri"/>
          <w:lang w:eastAsia="en-GB"/>
        </w:rPr>
        <w:t>New Zealand</w:t>
      </w:r>
      <w:r w:rsidRPr="009E06AA">
        <w:rPr>
          <w:rFonts w:cs="Calibri"/>
        </w:rPr>
        <w:t xml:space="preserve"> natural gas fields are established through gas composition analysis and are known to be high by international standards.</w:t>
      </w:r>
    </w:p>
    <w:p w14:paraId="6BEFE09F" w14:textId="46A80331" w:rsidR="00D97D6C" w:rsidRPr="009E06AA" w:rsidRDefault="00D97D6C" w:rsidP="00D97D6C">
      <w:pPr>
        <w:pStyle w:val="Figure"/>
        <w:rPr>
          <w:rFonts w:cs="Calibri"/>
        </w:rPr>
      </w:pPr>
      <w:bookmarkStart w:id="314" w:name="_Ref442369949"/>
      <w:bookmarkStart w:id="315" w:name="_Toc321399325"/>
      <w:bookmarkStart w:id="316" w:name="_Toc384582853"/>
      <w:bookmarkStart w:id="317" w:name="_Toc443060813"/>
      <w:bookmarkStart w:id="318" w:name="_Toc447275670"/>
      <w:bookmarkStart w:id="319" w:name="_Toc481751988"/>
      <w:bookmarkStart w:id="320" w:name="_Toc36292772"/>
      <w:bookmarkStart w:id="321" w:name="_Toc68786637"/>
      <w:bookmarkStart w:id="322" w:name="_Toc95834072"/>
      <w:bookmarkStart w:id="323" w:name="_Toc164154008"/>
      <w:r w:rsidRPr="009E06AA">
        <w:rPr>
          <w:rFonts w:cs="Calibri"/>
        </w:rPr>
        <w:t>Figure 3.2.</w:t>
      </w:r>
      <w:r w:rsidRPr="009E06AA">
        <w:rPr>
          <w:rFonts w:cs="Calibri"/>
        </w:rPr>
        <w:fldChar w:fldCharType="begin"/>
      </w:r>
      <w:r w:rsidRPr="009E06AA">
        <w:rPr>
          <w:rFonts w:cs="Calibri"/>
        </w:rPr>
        <w:instrText xml:space="preserve"> SEQ Figure \* ARABIC \s 2 </w:instrText>
      </w:r>
      <w:r w:rsidRPr="009E06AA">
        <w:rPr>
          <w:rFonts w:cs="Calibri"/>
        </w:rPr>
        <w:fldChar w:fldCharType="separate"/>
      </w:r>
      <w:r w:rsidR="009E4901">
        <w:rPr>
          <w:rFonts w:cs="Calibri"/>
          <w:noProof/>
        </w:rPr>
        <w:t>3</w:t>
      </w:r>
      <w:r w:rsidRPr="009E06AA">
        <w:rPr>
          <w:rFonts w:cs="Calibri"/>
        </w:rPr>
        <w:fldChar w:fldCharType="end"/>
      </w:r>
      <w:bookmarkEnd w:id="314"/>
      <w:r w:rsidRPr="009E06AA">
        <w:rPr>
          <w:rFonts w:cs="Calibri"/>
        </w:rPr>
        <w:t xml:space="preserve"> </w:t>
      </w:r>
      <w:r w:rsidRPr="009E06AA">
        <w:rPr>
          <w:rFonts w:cs="Calibri"/>
        </w:rPr>
        <w:tab/>
        <w:t>Carbon dioxide implied emission factor (IEF) – Liquid fuel combustion</w:t>
      </w:r>
      <w:bookmarkEnd w:id="315"/>
      <w:bookmarkEnd w:id="316"/>
      <w:bookmarkEnd w:id="317"/>
      <w:bookmarkEnd w:id="318"/>
      <w:bookmarkEnd w:id="319"/>
      <w:r w:rsidR="00636ED3" w:rsidRPr="009E06AA">
        <w:rPr>
          <w:rFonts w:cs="Calibri"/>
        </w:rPr>
        <w:t>,</w:t>
      </w:r>
      <w:r w:rsidRPr="009E06AA">
        <w:rPr>
          <w:rFonts w:cs="Calibri"/>
        </w:rPr>
        <w:t xml:space="preserve"> from 1990 to</w:t>
      </w:r>
      <w:bookmarkEnd w:id="320"/>
      <w:bookmarkEnd w:id="321"/>
      <w:bookmarkEnd w:id="322"/>
      <w:r w:rsidR="008549FF" w:rsidRPr="009E06AA">
        <w:rPr>
          <w:rFonts w:cs="Calibri"/>
        </w:rPr>
        <w:t> </w:t>
      </w:r>
      <w:r w:rsidRPr="009E06AA">
        <w:rPr>
          <w:rFonts w:cs="Calibri"/>
        </w:rPr>
        <w:t>2022</w:t>
      </w:r>
      <w:bookmarkEnd w:id="323"/>
    </w:p>
    <w:p w14:paraId="6C891983" w14:textId="77777777" w:rsidR="00D97D6C" w:rsidRPr="009E06AA" w:rsidRDefault="00D97D6C" w:rsidP="00D97D6C">
      <w:pPr>
        <w:pStyle w:val="BodyText"/>
        <w:rPr>
          <w:rFonts w:cs="Calibri"/>
        </w:rPr>
      </w:pPr>
      <w:r w:rsidRPr="009E06AA">
        <w:rPr>
          <w:noProof/>
        </w:rPr>
        <w:drawing>
          <wp:inline distT="0" distB="0" distL="0" distR="0" wp14:anchorId="79280D73" wp14:editId="286C6865">
            <wp:extent cx="5397549" cy="2536190"/>
            <wp:effectExtent l="0" t="0" r="1905" b="6985"/>
            <wp:docPr id="305166248" name="Picture 305166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5166248" name="Picture 305166248"/>
                    <pic:cNvPicPr/>
                  </pic:nvPicPr>
                  <pic:blipFill rotWithShape="1">
                    <a:blip r:embed="rId59" cstate="print">
                      <a:extLst>
                        <a:ext uri="{28A0092B-C50C-407E-A947-70E740481C1C}">
                          <a14:useLocalDpi xmlns:a14="http://schemas.microsoft.com/office/drawing/2010/main" val="0"/>
                        </a:ext>
                      </a:extLst>
                    </a:blip>
                    <a:srcRect/>
                    <a:stretch/>
                  </pic:blipFill>
                  <pic:spPr bwMode="auto">
                    <a:xfrm>
                      <a:off x="0" y="0"/>
                      <a:ext cx="5397549" cy="2536190"/>
                    </a:xfrm>
                    <a:prstGeom prst="rect">
                      <a:avLst/>
                    </a:prstGeom>
                    <a:ln>
                      <a:noFill/>
                    </a:ln>
                    <a:extLst>
                      <a:ext uri="{53640926-AAD7-44D8-BBD7-CCE9431645EC}">
                        <a14:shadowObscured xmlns:a14="http://schemas.microsoft.com/office/drawing/2010/main"/>
                      </a:ext>
                    </a:extLst>
                  </pic:spPr>
                </pic:pic>
              </a:graphicData>
            </a:graphic>
          </wp:inline>
        </w:drawing>
      </w:r>
    </w:p>
    <w:p w14:paraId="62A4AA34" w14:textId="119B7F1D" w:rsidR="00D97D6C" w:rsidRPr="009E06AA" w:rsidRDefault="00D97D6C" w:rsidP="00D97D6C">
      <w:pPr>
        <w:pStyle w:val="Figure"/>
        <w:spacing w:before="240"/>
        <w:rPr>
          <w:rFonts w:cs="Calibri"/>
        </w:rPr>
      </w:pPr>
      <w:bookmarkStart w:id="324" w:name="_Ref442369961"/>
      <w:bookmarkStart w:id="325" w:name="_Toc321399326"/>
      <w:bookmarkStart w:id="326" w:name="_Toc384582854"/>
      <w:bookmarkStart w:id="327" w:name="_Toc443060814"/>
      <w:bookmarkStart w:id="328" w:name="_Toc447275671"/>
      <w:bookmarkStart w:id="329" w:name="_Toc481751989"/>
      <w:bookmarkStart w:id="330" w:name="_Toc36292773"/>
      <w:bookmarkStart w:id="331" w:name="_Toc68786638"/>
      <w:bookmarkStart w:id="332" w:name="_Toc95834073"/>
      <w:bookmarkStart w:id="333" w:name="_Toc164154009"/>
      <w:r w:rsidRPr="009E06AA">
        <w:rPr>
          <w:rFonts w:cs="Calibri"/>
        </w:rPr>
        <w:t>Figure 3.2.</w:t>
      </w:r>
      <w:r w:rsidRPr="009E06AA">
        <w:rPr>
          <w:rFonts w:cs="Calibri"/>
        </w:rPr>
        <w:fldChar w:fldCharType="begin"/>
      </w:r>
      <w:r w:rsidRPr="009E06AA">
        <w:rPr>
          <w:rFonts w:cs="Calibri"/>
        </w:rPr>
        <w:instrText xml:space="preserve"> SEQ Figure \* ARABIC \s 2 </w:instrText>
      </w:r>
      <w:r w:rsidRPr="009E06AA">
        <w:rPr>
          <w:rFonts w:cs="Calibri"/>
        </w:rPr>
        <w:fldChar w:fldCharType="separate"/>
      </w:r>
      <w:r w:rsidR="009E4901">
        <w:rPr>
          <w:rFonts w:cs="Calibri"/>
          <w:noProof/>
        </w:rPr>
        <w:t>4</w:t>
      </w:r>
      <w:r w:rsidRPr="009E06AA">
        <w:rPr>
          <w:rFonts w:cs="Calibri"/>
        </w:rPr>
        <w:fldChar w:fldCharType="end"/>
      </w:r>
      <w:bookmarkEnd w:id="324"/>
      <w:r w:rsidRPr="009E06AA">
        <w:rPr>
          <w:rFonts w:cs="Calibri"/>
        </w:rPr>
        <w:t xml:space="preserve"> </w:t>
      </w:r>
      <w:r w:rsidRPr="009E06AA">
        <w:rPr>
          <w:rFonts w:cs="Calibri"/>
        </w:rPr>
        <w:tab/>
        <w:t>Carbon dioxide implied emission factor (IEF) – Solid fuel combustion</w:t>
      </w:r>
      <w:bookmarkEnd w:id="325"/>
      <w:bookmarkEnd w:id="326"/>
      <w:bookmarkEnd w:id="327"/>
      <w:bookmarkEnd w:id="328"/>
      <w:bookmarkEnd w:id="329"/>
      <w:r w:rsidR="00636ED3" w:rsidRPr="009E06AA">
        <w:rPr>
          <w:rFonts w:cs="Calibri"/>
        </w:rPr>
        <w:t>,</w:t>
      </w:r>
      <w:r w:rsidRPr="009E06AA">
        <w:rPr>
          <w:rFonts w:cs="Calibri"/>
        </w:rPr>
        <w:t xml:space="preserve"> from 1990 to</w:t>
      </w:r>
      <w:bookmarkEnd w:id="330"/>
      <w:bookmarkEnd w:id="331"/>
      <w:bookmarkEnd w:id="332"/>
      <w:r w:rsidR="008549FF" w:rsidRPr="009E06AA">
        <w:rPr>
          <w:rFonts w:cs="Calibri"/>
        </w:rPr>
        <w:t> </w:t>
      </w:r>
      <w:r w:rsidRPr="009E06AA">
        <w:rPr>
          <w:rFonts w:cs="Calibri"/>
        </w:rPr>
        <w:t>2022</w:t>
      </w:r>
      <w:bookmarkEnd w:id="333"/>
    </w:p>
    <w:p w14:paraId="62227138" w14:textId="77777777" w:rsidR="00D97D6C" w:rsidRPr="009E06AA" w:rsidRDefault="00D97D6C" w:rsidP="00D97D6C">
      <w:pPr>
        <w:pStyle w:val="BodyText"/>
      </w:pPr>
      <w:r w:rsidRPr="009E06AA">
        <w:rPr>
          <w:noProof/>
        </w:rPr>
        <w:drawing>
          <wp:inline distT="0" distB="0" distL="0" distR="0" wp14:anchorId="583D0472" wp14:editId="08E731C1">
            <wp:extent cx="5398135" cy="2528514"/>
            <wp:effectExtent l="0" t="0" r="0" b="5715"/>
            <wp:docPr id="1348477239" name="Picture 1348477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8477239" name="Picture 1348477239"/>
                    <pic:cNvPicPr/>
                  </pic:nvPicPr>
                  <pic:blipFill rotWithShape="1">
                    <a:blip r:embed="rId60" cstate="print">
                      <a:extLst>
                        <a:ext uri="{28A0092B-C50C-407E-A947-70E740481C1C}">
                          <a14:useLocalDpi xmlns:a14="http://schemas.microsoft.com/office/drawing/2010/main" val="0"/>
                        </a:ext>
                      </a:extLst>
                    </a:blip>
                    <a:srcRect/>
                    <a:stretch/>
                  </pic:blipFill>
                  <pic:spPr bwMode="auto">
                    <a:xfrm>
                      <a:off x="0" y="0"/>
                      <a:ext cx="5398135" cy="2528514"/>
                    </a:xfrm>
                    <a:prstGeom prst="rect">
                      <a:avLst/>
                    </a:prstGeom>
                    <a:ln>
                      <a:noFill/>
                    </a:ln>
                    <a:extLst>
                      <a:ext uri="{53640926-AAD7-44D8-BBD7-CCE9431645EC}">
                        <a14:shadowObscured xmlns:a14="http://schemas.microsoft.com/office/drawing/2010/main"/>
                      </a:ext>
                    </a:extLst>
                  </pic:spPr>
                </pic:pic>
              </a:graphicData>
            </a:graphic>
          </wp:inline>
        </w:drawing>
      </w:r>
    </w:p>
    <w:p w14:paraId="5E5E5380" w14:textId="45390F18" w:rsidR="00D97D6C" w:rsidRPr="009E06AA" w:rsidRDefault="00D97D6C" w:rsidP="00D97D6C">
      <w:pPr>
        <w:pStyle w:val="Figure"/>
        <w:rPr>
          <w:rFonts w:cs="Calibri"/>
          <w:lang w:eastAsia="en-GB"/>
        </w:rPr>
      </w:pPr>
      <w:bookmarkStart w:id="334" w:name="_Ref442369964"/>
      <w:bookmarkStart w:id="335" w:name="_Toc321399327"/>
      <w:bookmarkStart w:id="336" w:name="_Toc384582855"/>
      <w:bookmarkStart w:id="337" w:name="_Toc443060815"/>
      <w:bookmarkStart w:id="338" w:name="_Toc447275672"/>
      <w:bookmarkStart w:id="339" w:name="_Toc481751990"/>
      <w:bookmarkStart w:id="340" w:name="_Toc36292774"/>
      <w:bookmarkStart w:id="341" w:name="_Toc68786639"/>
      <w:bookmarkStart w:id="342" w:name="_Toc95834074"/>
      <w:bookmarkStart w:id="343" w:name="_Toc164154010"/>
      <w:r w:rsidRPr="009E06AA">
        <w:rPr>
          <w:rFonts w:cs="Calibri"/>
        </w:rPr>
        <w:t>Figure 3.2.</w:t>
      </w:r>
      <w:r w:rsidRPr="009E06AA">
        <w:rPr>
          <w:rFonts w:cs="Calibri"/>
        </w:rPr>
        <w:fldChar w:fldCharType="begin"/>
      </w:r>
      <w:r w:rsidRPr="009E06AA">
        <w:rPr>
          <w:rFonts w:cs="Calibri"/>
        </w:rPr>
        <w:instrText xml:space="preserve"> SEQ Figure \* ARABIC \s 2 </w:instrText>
      </w:r>
      <w:r w:rsidRPr="009E06AA">
        <w:rPr>
          <w:rFonts w:cs="Calibri"/>
        </w:rPr>
        <w:fldChar w:fldCharType="separate"/>
      </w:r>
      <w:r w:rsidR="009E4901">
        <w:rPr>
          <w:rFonts w:cs="Calibri"/>
          <w:noProof/>
        </w:rPr>
        <w:t>5</w:t>
      </w:r>
      <w:r w:rsidRPr="009E06AA">
        <w:rPr>
          <w:rFonts w:cs="Calibri"/>
        </w:rPr>
        <w:fldChar w:fldCharType="end"/>
      </w:r>
      <w:bookmarkEnd w:id="334"/>
      <w:r w:rsidRPr="009E06AA">
        <w:rPr>
          <w:rFonts w:cs="Calibri"/>
          <w:lang w:eastAsia="en-GB"/>
        </w:rPr>
        <w:tab/>
        <w:t xml:space="preserve">Carbon dioxide implied emission factor </w:t>
      </w:r>
      <w:r w:rsidRPr="009E06AA">
        <w:rPr>
          <w:rFonts w:cs="Calibri"/>
        </w:rPr>
        <w:t>(IEF)</w:t>
      </w:r>
      <w:r w:rsidRPr="009E06AA">
        <w:rPr>
          <w:rFonts w:cs="Calibri"/>
          <w:lang w:eastAsia="en-GB"/>
        </w:rPr>
        <w:t xml:space="preserve"> – Gaseous fuel combustion</w:t>
      </w:r>
      <w:bookmarkEnd w:id="335"/>
      <w:bookmarkEnd w:id="336"/>
      <w:bookmarkEnd w:id="337"/>
      <w:bookmarkEnd w:id="338"/>
      <w:bookmarkEnd w:id="339"/>
      <w:r w:rsidR="00636ED3" w:rsidRPr="009E06AA">
        <w:rPr>
          <w:rFonts w:cs="Calibri"/>
          <w:lang w:eastAsia="en-GB"/>
        </w:rPr>
        <w:t>,</w:t>
      </w:r>
      <w:r w:rsidRPr="009E06AA">
        <w:rPr>
          <w:rFonts w:cs="Calibri"/>
          <w:lang w:eastAsia="en-GB"/>
        </w:rPr>
        <w:t xml:space="preserve"> </w:t>
      </w:r>
      <w:r w:rsidRPr="009E06AA">
        <w:rPr>
          <w:rFonts w:cs="Calibri"/>
        </w:rPr>
        <w:t>from 1990 to</w:t>
      </w:r>
      <w:bookmarkEnd w:id="340"/>
      <w:bookmarkEnd w:id="341"/>
      <w:bookmarkEnd w:id="342"/>
      <w:r w:rsidR="008549FF" w:rsidRPr="009E06AA">
        <w:rPr>
          <w:rFonts w:cs="Calibri"/>
        </w:rPr>
        <w:t> </w:t>
      </w:r>
      <w:r w:rsidRPr="009E06AA">
        <w:rPr>
          <w:rFonts w:cs="Calibri"/>
        </w:rPr>
        <w:t>2022</w:t>
      </w:r>
      <w:bookmarkEnd w:id="343"/>
    </w:p>
    <w:p w14:paraId="63B62D64" w14:textId="77777777" w:rsidR="00D97D6C" w:rsidRPr="009E06AA" w:rsidRDefault="00D97D6C" w:rsidP="00D97D6C">
      <w:pPr>
        <w:pStyle w:val="BodyText"/>
      </w:pPr>
      <w:r w:rsidRPr="009E06AA">
        <w:rPr>
          <w:noProof/>
        </w:rPr>
        <w:drawing>
          <wp:inline distT="0" distB="0" distL="0" distR="0" wp14:anchorId="37189D1B" wp14:editId="36522877">
            <wp:extent cx="5398135" cy="2464435"/>
            <wp:effectExtent l="0" t="0" r="5080" b="0"/>
            <wp:docPr id="1842928179" name="Picture 1842928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2928179" name="Picture 1842928179"/>
                    <pic:cNvPicPr/>
                  </pic:nvPicPr>
                  <pic:blipFill rotWithShape="1">
                    <a:blip r:embed="rId61" cstate="print">
                      <a:extLst>
                        <a:ext uri="{28A0092B-C50C-407E-A947-70E740481C1C}">
                          <a14:useLocalDpi xmlns:a14="http://schemas.microsoft.com/office/drawing/2010/main" val="0"/>
                        </a:ext>
                      </a:extLst>
                    </a:blip>
                    <a:srcRect/>
                    <a:stretch/>
                  </pic:blipFill>
                  <pic:spPr bwMode="auto">
                    <a:xfrm>
                      <a:off x="0" y="0"/>
                      <a:ext cx="5398135" cy="2464435"/>
                    </a:xfrm>
                    <a:prstGeom prst="rect">
                      <a:avLst/>
                    </a:prstGeom>
                    <a:ln>
                      <a:noFill/>
                    </a:ln>
                    <a:extLst>
                      <a:ext uri="{53640926-AAD7-44D8-BBD7-CCE9431645EC}">
                        <a14:shadowObscured xmlns:a14="http://schemas.microsoft.com/office/drawing/2010/main"/>
                      </a:ext>
                    </a:extLst>
                  </pic:spPr>
                </pic:pic>
              </a:graphicData>
            </a:graphic>
          </wp:inline>
        </w:drawing>
      </w:r>
    </w:p>
    <w:p w14:paraId="5EF831A3" w14:textId="77777777" w:rsidR="00D97D6C" w:rsidRPr="009E06AA" w:rsidRDefault="00D97D6C" w:rsidP="00D97D6C">
      <w:pPr>
        <w:pStyle w:val="Noteundertable"/>
        <w:spacing w:after="0"/>
        <w:rPr>
          <w:rFonts w:cs="Calibri"/>
        </w:rPr>
      </w:pPr>
      <w:r w:rsidRPr="009E06AA">
        <w:rPr>
          <w:rFonts w:cs="Calibri"/>
          <w:b/>
        </w:rPr>
        <w:t>Note:</w:t>
      </w:r>
      <w:r w:rsidRPr="009E06AA">
        <w:rPr>
          <w:rFonts w:cs="Calibri"/>
        </w:rPr>
        <w:t xml:space="preserve"> </w:t>
      </w:r>
      <w:r w:rsidRPr="009E06AA">
        <w:tab/>
      </w:r>
      <w:r w:rsidRPr="009E06AA">
        <w:rPr>
          <w:rFonts w:cs="Calibri"/>
        </w:rPr>
        <w:t>As discussed in section 3.2.2 under ‘Emission factors’, carbon dioxide emission factors for New Zealand natural gas fields are established through gas composition analysis and are known to be high by international standards. t/TJ = tonnes per terajoule.</w:t>
      </w:r>
    </w:p>
    <w:p w14:paraId="72953206" w14:textId="77777777" w:rsidR="00D97D6C" w:rsidRPr="009E06AA" w:rsidRDefault="00D97D6C" w:rsidP="00D97D6C">
      <w:pPr>
        <w:pStyle w:val="Heading3"/>
        <w:rPr>
          <w:rFonts w:cs="Calibri"/>
        </w:rPr>
      </w:pPr>
      <w:r w:rsidRPr="009E06AA">
        <w:rPr>
          <w:rFonts w:cs="Calibri"/>
        </w:rPr>
        <w:t>3.2.5</w:t>
      </w:r>
      <w:r w:rsidRPr="009E06AA">
        <w:rPr>
          <w:rFonts w:cs="Calibri"/>
        </w:rPr>
        <w:tab/>
        <w:t>Sector-wide recalculations</w:t>
      </w:r>
    </w:p>
    <w:p w14:paraId="60ACFB07" w14:textId="77777777" w:rsidR="00D97D6C" w:rsidRPr="009E06AA" w:rsidRDefault="00D97D6C" w:rsidP="00D97D6C">
      <w:pPr>
        <w:pStyle w:val="BodyText"/>
      </w:pPr>
      <w:r w:rsidRPr="009E06AA">
        <w:rPr>
          <w:spacing w:val="-2"/>
        </w:rPr>
        <w:t>Throughout this chapter, recalculations are presented by applying 100-year time horizon global</w:t>
      </w:r>
      <w:r w:rsidRPr="009E06AA">
        <w:t xml:space="preserve"> warming potential values from the IPCC Fifth Assessment Report (IPCC, 2013) for both the </w:t>
      </w:r>
      <w:r w:rsidRPr="009E06AA">
        <w:rPr>
          <w:spacing w:val="-2"/>
        </w:rPr>
        <w:t>previous and current submission, to ensure a like-for-like comparison. The change from applying</w:t>
      </w:r>
      <w:r w:rsidRPr="009E06AA">
        <w:t xml:space="preserve"> the 100-year time horizon global warming potential values from the IPCC’s Fourth Assessment Report (IPCC, 2007) in the previous submission to applying the Fifth Assessment Report values in the current submission has not been considered as a recalculation to the inventory.</w:t>
      </w:r>
    </w:p>
    <w:p w14:paraId="67271647" w14:textId="77777777" w:rsidR="00D97D6C" w:rsidRPr="009E06AA" w:rsidRDefault="00D97D6C" w:rsidP="00D97D6C">
      <w:pPr>
        <w:pStyle w:val="BodyText"/>
      </w:pPr>
      <w:r w:rsidRPr="009E06AA">
        <w:t xml:space="preserve">There have been no sector-wide recalculations. Any category-specific recalculations are described in their relevant sections. </w:t>
      </w:r>
    </w:p>
    <w:p w14:paraId="618EA0B8" w14:textId="77777777" w:rsidR="00D97D6C" w:rsidRPr="009E06AA" w:rsidRDefault="00D97D6C" w:rsidP="00D97D6C">
      <w:pPr>
        <w:pStyle w:val="Heading3"/>
        <w:rPr>
          <w:rFonts w:cs="Calibri"/>
        </w:rPr>
      </w:pPr>
      <w:r w:rsidRPr="009E06AA">
        <w:rPr>
          <w:rFonts w:cs="Calibri"/>
        </w:rPr>
        <w:t>3.2.6</w:t>
      </w:r>
      <w:r w:rsidRPr="009E06AA">
        <w:rPr>
          <w:rFonts w:cs="Calibri"/>
        </w:rPr>
        <w:tab/>
        <w:t>Sector-wide planned improvements</w:t>
      </w:r>
    </w:p>
    <w:p w14:paraId="37B8A782" w14:textId="77777777" w:rsidR="00D97D6C" w:rsidRPr="009E06AA" w:rsidRDefault="00D97D6C" w:rsidP="00D97D6C">
      <w:pPr>
        <w:pStyle w:val="BodyText"/>
        <w:rPr>
          <w:rFonts w:cs="Calibri"/>
        </w:rPr>
      </w:pPr>
      <w:r w:rsidRPr="009E06AA">
        <w:rPr>
          <w:rFonts w:cs="Calibri"/>
        </w:rPr>
        <w:t>Work is progressing well on the construction of a new comprehensive fuel properties data management system. It is expected to be commissioned before New Zealand’s next submission.</w:t>
      </w:r>
    </w:p>
    <w:p w14:paraId="41FEF8F3" w14:textId="77777777" w:rsidR="00D97D6C" w:rsidRPr="009E06AA" w:rsidRDefault="00D97D6C" w:rsidP="00D97D6C">
      <w:pPr>
        <w:pStyle w:val="BodyText"/>
        <w:rPr>
          <w:rFonts w:cs="Calibri"/>
        </w:rPr>
      </w:pPr>
      <w:r w:rsidRPr="009E06AA">
        <w:rPr>
          <w:rFonts w:cs="Calibri"/>
        </w:rPr>
        <w:t xml:space="preserve">All category-specific planned improvements are discussed in their corresponding sections. </w:t>
      </w:r>
    </w:p>
    <w:p w14:paraId="6DA14A22" w14:textId="77777777" w:rsidR="00D97D6C" w:rsidRPr="009E06AA" w:rsidRDefault="00D97D6C" w:rsidP="00D97D6C">
      <w:pPr>
        <w:pStyle w:val="Heading3"/>
      </w:pPr>
      <w:r w:rsidRPr="009E06AA">
        <w:t>3.2.7</w:t>
      </w:r>
      <w:r w:rsidRPr="009E06AA">
        <w:tab/>
        <w:t>Fuel combustion: Energy industries (CRT 1.A.1)</w:t>
      </w:r>
    </w:p>
    <w:p w14:paraId="5FA5DB9B" w14:textId="77777777" w:rsidR="00D97D6C" w:rsidRPr="009E06AA" w:rsidRDefault="00D97D6C" w:rsidP="00D97D6C">
      <w:pPr>
        <w:pStyle w:val="Heading4"/>
      </w:pPr>
      <w:r w:rsidRPr="009E06AA">
        <w:t>Category description</w:t>
      </w:r>
    </w:p>
    <w:p w14:paraId="78E6C0D1" w14:textId="77777777" w:rsidR="00D97D6C" w:rsidRPr="009E06AA" w:rsidRDefault="00D97D6C" w:rsidP="00D97D6C">
      <w:pPr>
        <w:pStyle w:val="BodyText"/>
        <w:rPr>
          <w:rFonts w:cs="Calibri"/>
          <w:lang w:eastAsia="en-GB"/>
        </w:rPr>
      </w:pPr>
      <w:r w:rsidRPr="009E06AA">
        <w:rPr>
          <w:rFonts w:cs="Calibri"/>
          <w:lang w:eastAsia="en-GB"/>
        </w:rPr>
        <w:t xml:space="preserve">This category includes combustion for public electricity and heat production, petroleum refining, the manufacture of solid fuels and other energy industries. The latter category includes estimates for natural gas in oil and gas extraction and from natural gas used in synthetic gasoline production. The excess </w:t>
      </w:r>
      <w:r w:rsidRPr="009E06AA">
        <w:rPr>
          <w:rFonts w:cs="Calibri"/>
        </w:rPr>
        <w:t>CO</w:t>
      </w:r>
      <w:r w:rsidRPr="009E06AA">
        <w:rPr>
          <w:rFonts w:cs="Calibri"/>
          <w:vertAlign w:val="subscript"/>
        </w:rPr>
        <w:t>2</w:t>
      </w:r>
      <w:r w:rsidRPr="009E06AA">
        <w:rPr>
          <w:rFonts w:cs="Calibri"/>
          <w:sz w:val="14"/>
          <w:szCs w:val="14"/>
          <w:lang w:eastAsia="en-GB"/>
        </w:rPr>
        <w:t xml:space="preserve"> </w:t>
      </w:r>
      <w:r w:rsidRPr="009E06AA">
        <w:rPr>
          <w:rFonts w:cs="Calibri"/>
          <w:lang w:eastAsia="en-GB"/>
        </w:rPr>
        <w:t xml:space="preserve">removed from Kapuni gas at the Kapuni Gas Treatment Plant has also been reported in the </w:t>
      </w:r>
      <w:r w:rsidRPr="009E06AA">
        <w:rPr>
          <w:rFonts w:cs="Calibri"/>
          <w:i/>
          <w:lang w:eastAsia="en-GB"/>
        </w:rPr>
        <w:t>Manufacture of solid fuels and other energy industries</w:t>
      </w:r>
      <w:r w:rsidRPr="009E06AA">
        <w:rPr>
          <w:rFonts w:cs="Calibri"/>
          <w:lang w:eastAsia="en-GB"/>
        </w:rPr>
        <w:t xml:space="preserve"> category because of confidentiality concerns.</w:t>
      </w:r>
    </w:p>
    <w:p w14:paraId="47800743" w14:textId="77777777" w:rsidR="00D97D6C" w:rsidRPr="009E06AA" w:rsidRDefault="00D97D6C" w:rsidP="00D97D6C">
      <w:pPr>
        <w:pStyle w:val="BodyText"/>
        <w:rPr>
          <w:rFonts w:cs="Calibri"/>
          <w:lang w:eastAsia="en-GB"/>
        </w:rPr>
      </w:pPr>
      <w:r w:rsidRPr="009E06AA">
        <w:rPr>
          <w:rFonts w:cs="Calibri"/>
          <w:lang w:eastAsia="en-GB"/>
        </w:rPr>
        <w:t xml:space="preserve">In </w:t>
      </w:r>
      <w:r w:rsidRPr="009E06AA">
        <w:rPr>
          <w:rFonts w:cs="Calibri"/>
        </w:rPr>
        <w:t>2022</w:t>
      </w:r>
      <w:r w:rsidRPr="009E06AA">
        <w:rPr>
          <w:rFonts w:cs="Calibri"/>
          <w:lang w:eastAsia="en-GB"/>
        </w:rPr>
        <w:t xml:space="preserve">, emissions in category 1.A.1 </w:t>
      </w:r>
      <w:r w:rsidRPr="009E06AA">
        <w:rPr>
          <w:rFonts w:cs="Calibri"/>
          <w:i/>
          <w:lang w:eastAsia="en-GB"/>
        </w:rPr>
        <w:t>Energy industries</w:t>
      </w:r>
      <w:r w:rsidRPr="009E06AA">
        <w:rPr>
          <w:rFonts w:cs="Calibri"/>
          <w:lang w:eastAsia="en-GB"/>
        </w:rPr>
        <w:t xml:space="preserve"> totalled 3,124.4</w:t>
      </w:r>
      <w:r w:rsidRPr="009E06AA">
        <w:rPr>
          <w:rFonts w:cs="Calibri"/>
        </w:rPr>
        <w:t xml:space="preserve"> </w:t>
      </w:r>
      <w:r w:rsidRPr="009E06AA">
        <w:rPr>
          <w:rFonts w:cs="Calibri"/>
          <w:lang w:eastAsia="en-GB"/>
        </w:rPr>
        <w:t>kt CO</w:t>
      </w:r>
      <w:r w:rsidRPr="009E06AA">
        <w:rPr>
          <w:rFonts w:cs="Calibri"/>
          <w:vertAlign w:val="subscript"/>
          <w:lang w:eastAsia="en-GB"/>
        </w:rPr>
        <w:t>2</w:t>
      </w:r>
      <w:r w:rsidRPr="009E06AA">
        <w:rPr>
          <w:rFonts w:cs="Calibri"/>
          <w:lang w:eastAsia="en-GB"/>
        </w:rPr>
        <w:t>-e (</w:t>
      </w:r>
      <w:r w:rsidRPr="009E06AA">
        <w:rPr>
          <w:rFonts w:cs="Calibri"/>
        </w:rPr>
        <w:t>10.9 per cent</w:t>
      </w:r>
      <w:r w:rsidRPr="009E06AA">
        <w:rPr>
          <w:rFonts w:cs="Calibri"/>
          <w:lang w:eastAsia="en-GB"/>
        </w:rPr>
        <w:t xml:space="preserve"> </w:t>
      </w:r>
      <w:r w:rsidRPr="009E06AA">
        <w:rPr>
          <w:rFonts w:cs="Calibri"/>
          <w:spacing w:val="-2"/>
          <w:lang w:eastAsia="en-GB"/>
        </w:rPr>
        <w:t>of the Energy sector emissions). Emissions from energy industries in 2022 were</w:t>
      </w:r>
      <w:r w:rsidRPr="009E06AA">
        <w:rPr>
          <w:rFonts w:cs="Calibri"/>
          <w:spacing w:val="-2"/>
        </w:rPr>
        <w:t xml:space="preserve"> 2,862.2 </w:t>
      </w:r>
      <w:r w:rsidRPr="009E06AA">
        <w:rPr>
          <w:rFonts w:cs="Calibri"/>
          <w:spacing w:val="-2"/>
          <w:lang w:eastAsia="en-GB"/>
        </w:rPr>
        <w:t>kt CO</w:t>
      </w:r>
      <w:r w:rsidRPr="009E06AA">
        <w:rPr>
          <w:rFonts w:cs="Calibri"/>
          <w:spacing w:val="-2"/>
          <w:vertAlign w:val="subscript"/>
          <w:lang w:eastAsia="en-GB"/>
        </w:rPr>
        <w:t>2</w:t>
      </w:r>
      <w:r w:rsidRPr="009E06AA">
        <w:rPr>
          <w:rFonts w:cs="Calibri"/>
          <w:spacing w:val="-2"/>
          <w:lang w:eastAsia="en-GB"/>
        </w:rPr>
        <w:noBreakHyphen/>
        <w:t>e</w:t>
      </w:r>
      <w:r w:rsidRPr="009E06AA">
        <w:rPr>
          <w:rFonts w:cs="Calibri"/>
          <w:lang w:eastAsia="en-GB"/>
        </w:rPr>
        <w:t xml:space="preserve"> (47.8</w:t>
      </w:r>
      <w:r w:rsidRPr="009E06AA">
        <w:rPr>
          <w:rFonts w:cs="Calibri"/>
        </w:rPr>
        <w:t xml:space="preserve"> per cent</w:t>
      </w:r>
      <w:r w:rsidRPr="009E06AA">
        <w:rPr>
          <w:rFonts w:cs="Calibri"/>
          <w:lang w:eastAsia="en-GB"/>
        </w:rPr>
        <w:t xml:space="preserve">) lower than the 1990 level of </w:t>
      </w:r>
      <w:r w:rsidRPr="009E06AA">
        <w:rPr>
          <w:rFonts w:cs="Calibri"/>
        </w:rPr>
        <w:t xml:space="preserve">5,986.6 </w:t>
      </w:r>
      <w:r w:rsidRPr="009E06AA">
        <w:rPr>
          <w:rFonts w:cs="Calibri"/>
          <w:lang w:eastAsia="en-GB"/>
        </w:rPr>
        <w:t>kt CO</w:t>
      </w:r>
      <w:r w:rsidRPr="009E06AA">
        <w:rPr>
          <w:rFonts w:cs="Calibri"/>
          <w:vertAlign w:val="subscript"/>
          <w:lang w:eastAsia="en-GB"/>
        </w:rPr>
        <w:t>2</w:t>
      </w:r>
      <w:r w:rsidRPr="009E06AA">
        <w:rPr>
          <w:rFonts w:cs="Calibri"/>
          <w:lang w:eastAsia="en-GB"/>
        </w:rPr>
        <w:t xml:space="preserve">-e. Category 1.A.1.a </w:t>
      </w:r>
      <w:r w:rsidRPr="009E06AA">
        <w:rPr>
          <w:rFonts w:cs="Calibri"/>
          <w:i/>
          <w:lang w:eastAsia="en-GB"/>
        </w:rPr>
        <w:t>Public electricity and heat production</w:t>
      </w:r>
      <w:r w:rsidRPr="009E06AA">
        <w:rPr>
          <w:rFonts w:cs="Calibri"/>
          <w:lang w:eastAsia="en-GB"/>
        </w:rPr>
        <w:t xml:space="preserve"> was the largest contributor to this sector, accounting for </w:t>
      </w:r>
      <w:r w:rsidRPr="009E06AA">
        <w:rPr>
          <w:rFonts w:cs="Calibri"/>
          <w:spacing w:val="-2"/>
          <w:lang w:eastAsia="en-GB"/>
        </w:rPr>
        <w:t>2,704.7 kt CO</w:t>
      </w:r>
      <w:r w:rsidRPr="009E06AA">
        <w:rPr>
          <w:rFonts w:cs="Calibri"/>
          <w:spacing w:val="-2"/>
          <w:vertAlign w:val="subscript"/>
          <w:lang w:eastAsia="en-GB"/>
        </w:rPr>
        <w:t>2</w:t>
      </w:r>
      <w:r w:rsidRPr="009E06AA">
        <w:rPr>
          <w:rFonts w:cs="Calibri"/>
          <w:spacing w:val="-2"/>
          <w:lang w:eastAsia="en-GB"/>
        </w:rPr>
        <w:t xml:space="preserve">-e of emissions from the </w:t>
      </w:r>
      <w:r w:rsidRPr="009E06AA">
        <w:rPr>
          <w:rFonts w:cs="Calibri"/>
          <w:i/>
          <w:spacing w:val="-2"/>
          <w:lang w:eastAsia="en-GB"/>
        </w:rPr>
        <w:t>Energy industries</w:t>
      </w:r>
      <w:r w:rsidRPr="009E06AA">
        <w:rPr>
          <w:rFonts w:cs="Calibri"/>
          <w:spacing w:val="-2"/>
          <w:lang w:eastAsia="en-GB"/>
        </w:rPr>
        <w:t xml:space="preserve"> category in </w:t>
      </w:r>
      <w:r w:rsidRPr="009E06AA">
        <w:rPr>
          <w:rFonts w:cs="Calibri"/>
          <w:spacing w:val="-2"/>
        </w:rPr>
        <w:t>2022</w:t>
      </w:r>
      <w:r w:rsidRPr="009E06AA">
        <w:rPr>
          <w:rFonts w:cs="Calibri"/>
          <w:spacing w:val="-2"/>
          <w:lang w:eastAsia="en-GB"/>
        </w:rPr>
        <w:t>. This is 785.2</w:t>
      </w:r>
      <w:r w:rsidRPr="009E06AA">
        <w:rPr>
          <w:rFonts w:cs="Calibri"/>
          <w:spacing w:val="-2"/>
        </w:rPr>
        <w:t> </w:t>
      </w:r>
      <w:r w:rsidRPr="009E06AA">
        <w:rPr>
          <w:rFonts w:cs="Calibri"/>
          <w:spacing w:val="-2"/>
          <w:lang w:eastAsia="en-GB"/>
        </w:rPr>
        <w:t>kt CO</w:t>
      </w:r>
      <w:r w:rsidRPr="009E06AA">
        <w:rPr>
          <w:rFonts w:cs="Calibri"/>
          <w:spacing w:val="-2"/>
          <w:vertAlign w:val="subscript"/>
          <w:lang w:eastAsia="en-GB"/>
        </w:rPr>
        <w:t>2</w:t>
      </w:r>
      <w:r w:rsidRPr="009E06AA">
        <w:rPr>
          <w:rFonts w:cs="Calibri"/>
          <w:spacing w:val="-2"/>
          <w:lang w:eastAsia="en-GB"/>
        </w:rPr>
        <w:noBreakHyphen/>
        <w:t>e</w:t>
      </w:r>
      <w:r w:rsidRPr="009E06AA">
        <w:rPr>
          <w:rFonts w:cs="Calibri"/>
          <w:lang w:eastAsia="en-GB"/>
        </w:rPr>
        <w:t xml:space="preserve"> (22.5</w:t>
      </w:r>
      <w:r w:rsidRPr="009E06AA">
        <w:rPr>
          <w:rFonts w:cs="Calibri"/>
        </w:rPr>
        <w:t> per cent</w:t>
      </w:r>
      <w:r w:rsidRPr="009E06AA">
        <w:rPr>
          <w:rFonts w:cs="Calibri"/>
          <w:lang w:eastAsia="en-GB"/>
        </w:rPr>
        <w:t xml:space="preserve">) lower than the 1990 level of </w:t>
      </w:r>
      <w:r w:rsidRPr="009E06AA">
        <w:rPr>
          <w:rFonts w:cs="Calibri"/>
        </w:rPr>
        <w:t>3,489.9 </w:t>
      </w:r>
      <w:r w:rsidRPr="009E06AA">
        <w:rPr>
          <w:rFonts w:cs="Calibri"/>
          <w:lang w:eastAsia="en-GB"/>
        </w:rPr>
        <w:t>kt CO</w:t>
      </w:r>
      <w:r w:rsidRPr="009E06AA">
        <w:rPr>
          <w:rFonts w:cs="Calibri"/>
          <w:vertAlign w:val="subscript"/>
          <w:lang w:eastAsia="en-GB"/>
        </w:rPr>
        <w:t>2</w:t>
      </w:r>
      <w:r w:rsidRPr="009E06AA">
        <w:rPr>
          <w:rFonts w:cs="Calibri"/>
          <w:lang w:eastAsia="en-GB"/>
        </w:rPr>
        <w:t>-e.</w:t>
      </w:r>
    </w:p>
    <w:p w14:paraId="15A38091" w14:textId="77777777" w:rsidR="00D97D6C" w:rsidRPr="009E06AA" w:rsidRDefault="00D97D6C" w:rsidP="00D97D6C">
      <w:pPr>
        <w:pStyle w:val="Heading4"/>
      </w:pPr>
      <w:r w:rsidRPr="009E06AA">
        <w:rPr>
          <w:lang w:eastAsia="en-GB"/>
        </w:rPr>
        <w:t xml:space="preserve">Changes in emissions between </w:t>
      </w:r>
      <w:r w:rsidRPr="009E06AA">
        <w:t xml:space="preserve">2021 </w:t>
      </w:r>
      <w:r w:rsidRPr="009E06AA">
        <w:rPr>
          <w:lang w:eastAsia="en-GB"/>
        </w:rPr>
        <w:t xml:space="preserve">and </w:t>
      </w:r>
      <w:r w:rsidRPr="009E06AA">
        <w:t>2022</w:t>
      </w:r>
    </w:p>
    <w:p w14:paraId="3C87EB61" w14:textId="77777777" w:rsidR="00D97D6C" w:rsidRPr="009E06AA" w:rsidRDefault="00D97D6C" w:rsidP="00D97D6C">
      <w:pPr>
        <w:pStyle w:val="BodyText"/>
        <w:rPr>
          <w:rFonts w:cs="Calibri"/>
          <w:lang w:eastAsia="en-GB"/>
        </w:rPr>
      </w:pPr>
      <w:r w:rsidRPr="009E06AA">
        <w:rPr>
          <w:rFonts w:cs="Calibri"/>
          <w:lang w:eastAsia="en-GB"/>
        </w:rPr>
        <w:t xml:space="preserve">Between </w:t>
      </w:r>
      <w:r w:rsidRPr="009E06AA">
        <w:rPr>
          <w:rFonts w:cs="Calibri"/>
        </w:rPr>
        <w:t xml:space="preserve">2021 </w:t>
      </w:r>
      <w:r w:rsidRPr="009E06AA">
        <w:rPr>
          <w:rFonts w:cs="Calibri"/>
          <w:lang w:eastAsia="en-GB"/>
        </w:rPr>
        <w:t xml:space="preserve">and </w:t>
      </w:r>
      <w:r w:rsidRPr="009E06AA">
        <w:rPr>
          <w:rFonts w:cs="Calibri"/>
        </w:rPr>
        <w:t>2022</w:t>
      </w:r>
      <w:r w:rsidRPr="009E06AA">
        <w:rPr>
          <w:rFonts w:cs="Calibri"/>
          <w:lang w:eastAsia="en-GB"/>
        </w:rPr>
        <w:t xml:space="preserve">, emissions from 1.A.1.a </w:t>
      </w:r>
      <w:r w:rsidRPr="009E06AA">
        <w:rPr>
          <w:rFonts w:cs="Calibri"/>
          <w:i/>
          <w:lang w:eastAsia="en-GB"/>
        </w:rPr>
        <w:t>Public electricity and heat production</w:t>
      </w:r>
      <w:r w:rsidRPr="009E06AA">
        <w:rPr>
          <w:rFonts w:cs="Calibri"/>
          <w:lang w:eastAsia="en-GB"/>
        </w:rPr>
        <w:t xml:space="preserve"> </w:t>
      </w:r>
      <w:r w:rsidRPr="009E06AA">
        <w:rPr>
          <w:rFonts w:cs="Calibri"/>
        </w:rPr>
        <w:t xml:space="preserve">decreased by 1,710.8 </w:t>
      </w:r>
      <w:r w:rsidRPr="009E06AA">
        <w:rPr>
          <w:rFonts w:cs="Calibri"/>
          <w:lang w:eastAsia="en-GB"/>
        </w:rPr>
        <w:t>kt CO</w:t>
      </w:r>
      <w:r w:rsidRPr="009E06AA">
        <w:rPr>
          <w:rFonts w:cs="Calibri"/>
          <w:vertAlign w:val="subscript"/>
          <w:lang w:eastAsia="en-GB"/>
        </w:rPr>
        <w:t>2</w:t>
      </w:r>
      <w:r w:rsidRPr="009E06AA">
        <w:rPr>
          <w:rFonts w:cs="Calibri"/>
          <w:lang w:eastAsia="en-GB"/>
        </w:rPr>
        <w:t>-e (38.7</w:t>
      </w:r>
      <w:r w:rsidRPr="009E06AA">
        <w:rPr>
          <w:rFonts w:cs="Calibri"/>
        </w:rPr>
        <w:t xml:space="preserve"> per cent</w:t>
      </w:r>
      <w:r w:rsidRPr="009E06AA">
        <w:rPr>
          <w:rFonts w:cs="Calibri"/>
          <w:lang w:eastAsia="en-GB"/>
        </w:rPr>
        <w:t>). This was largely because the</w:t>
      </w:r>
      <w:r w:rsidRPr="009E06AA">
        <w:rPr>
          <w:rFonts w:cs="Calibri"/>
        </w:rPr>
        <w:t xml:space="preserve"> share of electricity generated from renewable energy sources increased from 82 per cent to 87 per cent over this period, due mainly to higher hydro generation as there were good hydro lake inflows throughout the year. The increased renewable generation displaced gas and coal-fired generation, which together </w:t>
      </w:r>
      <w:r w:rsidRPr="009E06AA">
        <w:rPr>
          <w:rFonts w:cs="Calibri"/>
          <w:lang w:eastAsia="en-GB"/>
        </w:rPr>
        <w:t xml:space="preserve">decreased 27.5 per cent from </w:t>
      </w:r>
      <w:r w:rsidRPr="009E06AA">
        <w:rPr>
          <w:rFonts w:cs="Calibri"/>
        </w:rPr>
        <w:t>2021</w:t>
      </w:r>
      <w:r w:rsidRPr="009E06AA">
        <w:rPr>
          <w:rFonts w:cs="Calibri"/>
          <w:lang w:eastAsia="en-GB"/>
        </w:rPr>
        <w:t>.</w:t>
      </w:r>
    </w:p>
    <w:p w14:paraId="455DC4A0" w14:textId="77777777" w:rsidR="00D97D6C" w:rsidRPr="009E06AA" w:rsidRDefault="00D97D6C" w:rsidP="00D97D6C">
      <w:pPr>
        <w:pStyle w:val="BodyText"/>
        <w:rPr>
          <w:rFonts w:cs="Calibri"/>
          <w:lang w:eastAsia="en-GB"/>
        </w:rPr>
      </w:pPr>
      <w:r w:rsidRPr="009E06AA">
        <w:rPr>
          <w:rFonts w:cs="Calibri"/>
          <w:spacing w:val="-2"/>
          <w:lang w:eastAsia="en-GB"/>
        </w:rPr>
        <w:t xml:space="preserve">Between </w:t>
      </w:r>
      <w:r w:rsidRPr="009E06AA">
        <w:rPr>
          <w:rFonts w:cs="Calibri"/>
          <w:spacing w:val="-2"/>
        </w:rPr>
        <w:t xml:space="preserve">2021 </w:t>
      </w:r>
      <w:r w:rsidRPr="009E06AA">
        <w:rPr>
          <w:rFonts w:cs="Calibri"/>
          <w:spacing w:val="-2"/>
          <w:lang w:eastAsia="en-GB"/>
        </w:rPr>
        <w:t xml:space="preserve">and </w:t>
      </w:r>
      <w:r w:rsidRPr="009E06AA">
        <w:rPr>
          <w:rFonts w:cs="Calibri"/>
          <w:spacing w:val="-2"/>
        </w:rPr>
        <w:t>2022</w:t>
      </w:r>
      <w:r w:rsidRPr="009E06AA">
        <w:rPr>
          <w:rFonts w:cs="Calibri"/>
          <w:spacing w:val="-2"/>
          <w:lang w:eastAsia="en-GB"/>
        </w:rPr>
        <w:t xml:space="preserve">, emissions from 1.A.1.b </w:t>
      </w:r>
      <w:r w:rsidRPr="009E06AA">
        <w:rPr>
          <w:rFonts w:cs="Calibri"/>
          <w:i/>
          <w:spacing w:val="-2"/>
          <w:lang w:eastAsia="en-GB"/>
        </w:rPr>
        <w:t xml:space="preserve">Petroleum refining </w:t>
      </w:r>
      <w:r w:rsidRPr="009E06AA">
        <w:rPr>
          <w:rFonts w:cs="Calibri"/>
          <w:spacing w:val="-2"/>
        </w:rPr>
        <w:t xml:space="preserve">decreased by 554.2 </w:t>
      </w:r>
      <w:r w:rsidRPr="009E06AA">
        <w:rPr>
          <w:rFonts w:cs="Calibri"/>
          <w:spacing w:val="-2"/>
          <w:lang w:eastAsia="en-GB"/>
        </w:rPr>
        <w:t>kt CO</w:t>
      </w:r>
      <w:r w:rsidRPr="009E06AA">
        <w:rPr>
          <w:rFonts w:cs="Calibri"/>
          <w:spacing w:val="-2"/>
          <w:vertAlign w:val="subscript"/>
          <w:lang w:eastAsia="en-GB"/>
        </w:rPr>
        <w:t>2</w:t>
      </w:r>
      <w:r w:rsidRPr="009E06AA">
        <w:rPr>
          <w:rFonts w:cs="Calibri"/>
          <w:spacing w:val="-2"/>
          <w:lang w:eastAsia="en-GB"/>
        </w:rPr>
        <w:noBreakHyphen/>
        <w:t>e</w:t>
      </w:r>
      <w:r w:rsidRPr="009E06AA">
        <w:rPr>
          <w:rFonts w:cs="Calibri"/>
          <w:lang w:eastAsia="en-GB"/>
        </w:rPr>
        <w:t xml:space="preserve"> (75.9</w:t>
      </w:r>
      <w:r w:rsidRPr="009E06AA">
        <w:rPr>
          <w:rFonts w:cs="Calibri"/>
        </w:rPr>
        <w:t xml:space="preserve"> per cent</w:t>
      </w:r>
      <w:r w:rsidRPr="009E06AA">
        <w:rPr>
          <w:rFonts w:cs="Calibri"/>
          <w:lang w:eastAsia="en-GB"/>
        </w:rPr>
        <w:t xml:space="preserve">). This was due to the closure of the Marsden Point Oil Refinery in March 2022. </w:t>
      </w:r>
    </w:p>
    <w:p w14:paraId="394D068B" w14:textId="77777777" w:rsidR="00D97D6C" w:rsidRPr="009E06AA" w:rsidRDefault="00D97D6C" w:rsidP="00D97D6C">
      <w:pPr>
        <w:pStyle w:val="BodyText"/>
        <w:rPr>
          <w:rFonts w:cs="Calibri"/>
        </w:rPr>
      </w:pPr>
      <w:r w:rsidRPr="009E06AA">
        <w:rPr>
          <w:rFonts w:cs="Calibri"/>
        </w:rPr>
        <w:t xml:space="preserve">Key categories identified in the 2022 level and trend assessment for the </w:t>
      </w:r>
      <w:r w:rsidRPr="009E06AA">
        <w:rPr>
          <w:rFonts w:cs="Calibri"/>
          <w:i/>
        </w:rPr>
        <w:t>Energy industries</w:t>
      </w:r>
      <w:r w:rsidRPr="009E06AA">
        <w:rPr>
          <w:rFonts w:cs="Calibri"/>
        </w:rPr>
        <w:t xml:space="preserve"> category are given in table 3.2.2.</w:t>
      </w:r>
    </w:p>
    <w:p w14:paraId="5B00C2DC" w14:textId="77777777" w:rsidR="00D97D6C" w:rsidRPr="009E06AA" w:rsidRDefault="00D97D6C" w:rsidP="00D97D6C">
      <w:pPr>
        <w:pStyle w:val="Table"/>
      </w:pPr>
      <w:bookmarkStart w:id="344" w:name="_Toc68786406"/>
      <w:bookmarkStart w:id="345" w:name="_Toc164153805"/>
      <w:r w:rsidRPr="009E06AA">
        <w:t>Table 3.2.2</w:t>
      </w:r>
      <w:r w:rsidRPr="009E06AA">
        <w:tab/>
        <w:t xml:space="preserve">Key categories for 1.A.1 </w:t>
      </w:r>
      <w:r w:rsidRPr="009E06AA">
        <w:rPr>
          <w:i/>
          <w:iCs/>
        </w:rPr>
        <w:t>Energy industries</w:t>
      </w:r>
      <w:bookmarkEnd w:id="344"/>
      <w:bookmarkEnd w:id="345"/>
    </w:p>
    <w:tbl>
      <w:tblPr>
        <w:tblW w:w="8505" w:type="dxa"/>
        <w:tblBorders>
          <w:top w:val="single" w:sz="4" w:space="0" w:color="1B556B"/>
          <w:bottom w:val="single" w:sz="4" w:space="0" w:color="1B556B"/>
          <w:insideH w:val="single" w:sz="4" w:space="0" w:color="1B556B"/>
          <w:insideV w:val="single" w:sz="4" w:space="0" w:color="1B556B"/>
        </w:tblBorders>
        <w:tblLayout w:type="fixed"/>
        <w:tblLook w:val="0420" w:firstRow="1" w:lastRow="0" w:firstColumn="0" w:lastColumn="0" w:noHBand="0" w:noVBand="1"/>
      </w:tblPr>
      <w:tblGrid>
        <w:gridCol w:w="4788"/>
        <w:gridCol w:w="1267"/>
        <w:gridCol w:w="1266"/>
        <w:gridCol w:w="1184"/>
      </w:tblGrid>
      <w:tr w:rsidR="00D97D6C" w:rsidRPr="009E06AA" w14:paraId="2F9A3C6F" w14:textId="77777777" w:rsidTr="00B55F24">
        <w:trPr>
          <w:tblHeader/>
        </w:trPr>
        <w:tc>
          <w:tcPr>
            <w:tcW w:w="2815" w:type="pct"/>
            <w:shd w:val="clear" w:color="auto" w:fill="1B556B"/>
            <w:noWrap/>
            <w:vAlign w:val="bottom"/>
            <w:hideMark/>
          </w:tcPr>
          <w:p w14:paraId="47404CE2" w14:textId="77777777" w:rsidR="00D97D6C" w:rsidRPr="009E06AA" w:rsidRDefault="00D97D6C" w:rsidP="00B55F24">
            <w:pPr>
              <w:pStyle w:val="TableTextBold"/>
              <w:rPr>
                <w:rFonts w:cs="Calibri"/>
                <w:noProof w:val="0"/>
                <w:color w:val="FFFFFF"/>
              </w:rPr>
            </w:pPr>
          </w:p>
        </w:tc>
        <w:tc>
          <w:tcPr>
            <w:tcW w:w="745" w:type="pct"/>
            <w:shd w:val="clear" w:color="auto" w:fill="1B556B"/>
            <w:noWrap/>
            <w:vAlign w:val="bottom"/>
            <w:hideMark/>
          </w:tcPr>
          <w:p w14:paraId="08D26793" w14:textId="77777777" w:rsidR="00D97D6C" w:rsidRPr="009E06AA" w:rsidRDefault="00D97D6C" w:rsidP="00B55F24">
            <w:pPr>
              <w:pStyle w:val="TableTextBold"/>
              <w:rPr>
                <w:rFonts w:cs="Calibri"/>
                <w:noProof w:val="0"/>
                <w:color w:val="FFFFFF"/>
              </w:rPr>
            </w:pPr>
            <w:r w:rsidRPr="009E06AA">
              <w:rPr>
                <w:rFonts w:cs="Calibri"/>
                <w:noProof w:val="0"/>
                <w:color w:val="FFFFFF"/>
              </w:rPr>
              <w:t>Liquid fuels</w:t>
            </w:r>
          </w:p>
        </w:tc>
        <w:tc>
          <w:tcPr>
            <w:tcW w:w="744" w:type="pct"/>
            <w:shd w:val="clear" w:color="auto" w:fill="1B556B"/>
            <w:vAlign w:val="bottom"/>
            <w:hideMark/>
          </w:tcPr>
          <w:p w14:paraId="0ADC3458" w14:textId="77777777" w:rsidR="00D97D6C" w:rsidRPr="009E06AA" w:rsidRDefault="00D97D6C" w:rsidP="00B55F24">
            <w:pPr>
              <w:pStyle w:val="TableTextBold"/>
              <w:rPr>
                <w:rFonts w:cs="Calibri"/>
                <w:noProof w:val="0"/>
                <w:color w:val="FFFFFF"/>
              </w:rPr>
            </w:pPr>
            <w:r w:rsidRPr="009E06AA">
              <w:rPr>
                <w:rFonts w:cs="Calibri"/>
                <w:noProof w:val="0"/>
                <w:color w:val="FFFFFF"/>
              </w:rPr>
              <w:t>Solid fuels</w:t>
            </w:r>
          </w:p>
        </w:tc>
        <w:tc>
          <w:tcPr>
            <w:tcW w:w="696" w:type="pct"/>
            <w:shd w:val="clear" w:color="auto" w:fill="1B556B"/>
            <w:vAlign w:val="bottom"/>
            <w:hideMark/>
          </w:tcPr>
          <w:p w14:paraId="3CD0C173" w14:textId="77777777" w:rsidR="00D97D6C" w:rsidRPr="009E06AA" w:rsidRDefault="00D97D6C" w:rsidP="00B55F24">
            <w:pPr>
              <w:pStyle w:val="TableTextBold"/>
              <w:rPr>
                <w:rFonts w:cs="Calibri"/>
                <w:noProof w:val="0"/>
                <w:color w:val="FFFFFF"/>
              </w:rPr>
            </w:pPr>
            <w:r w:rsidRPr="009E06AA">
              <w:rPr>
                <w:rFonts w:cs="Calibri"/>
                <w:noProof w:val="0"/>
                <w:color w:val="FFFFFF"/>
              </w:rPr>
              <w:t>Gaseous fuels</w:t>
            </w:r>
          </w:p>
        </w:tc>
      </w:tr>
      <w:tr w:rsidR="00D97D6C" w:rsidRPr="009E06AA" w14:paraId="3E011606" w14:textId="77777777" w:rsidTr="00B55F24">
        <w:tc>
          <w:tcPr>
            <w:tcW w:w="2815" w:type="pct"/>
            <w:shd w:val="clear" w:color="auto" w:fill="auto"/>
            <w:noWrap/>
            <w:hideMark/>
          </w:tcPr>
          <w:p w14:paraId="4B0D3821" w14:textId="77777777" w:rsidR="00D97D6C" w:rsidRPr="009E06AA" w:rsidRDefault="00D97D6C" w:rsidP="00B55F24">
            <w:pPr>
              <w:pStyle w:val="TableText"/>
              <w:spacing w:before="50" w:after="50"/>
              <w:rPr>
                <w:rFonts w:cs="Calibri"/>
              </w:rPr>
            </w:pPr>
            <w:r w:rsidRPr="009E06AA">
              <w:rPr>
                <w:rFonts w:cs="Calibri"/>
              </w:rPr>
              <w:t>Public electricity and heat production – CO</w:t>
            </w:r>
            <w:r w:rsidRPr="009E06AA">
              <w:rPr>
                <w:rFonts w:cs="Calibri"/>
                <w:vertAlign w:val="subscript"/>
              </w:rPr>
              <w:t>2</w:t>
            </w:r>
          </w:p>
        </w:tc>
        <w:tc>
          <w:tcPr>
            <w:tcW w:w="745" w:type="pct"/>
            <w:shd w:val="clear" w:color="auto" w:fill="auto"/>
            <w:noWrap/>
            <w:hideMark/>
          </w:tcPr>
          <w:p w14:paraId="552F209B" w14:textId="77777777" w:rsidR="00D97D6C" w:rsidRPr="009E06AA" w:rsidRDefault="00D97D6C" w:rsidP="00B55F24">
            <w:pPr>
              <w:pStyle w:val="TableText"/>
              <w:spacing w:before="50" w:after="50"/>
              <w:rPr>
                <w:rFonts w:cs="Calibri"/>
              </w:rPr>
            </w:pPr>
            <w:r w:rsidRPr="009E06AA">
              <w:rPr>
                <w:rFonts w:cs="Calibri"/>
              </w:rPr>
              <w:t>–</w:t>
            </w:r>
          </w:p>
        </w:tc>
        <w:tc>
          <w:tcPr>
            <w:tcW w:w="744" w:type="pct"/>
            <w:shd w:val="clear" w:color="auto" w:fill="auto"/>
            <w:noWrap/>
            <w:hideMark/>
          </w:tcPr>
          <w:p w14:paraId="0C02B341" w14:textId="77777777" w:rsidR="00D97D6C" w:rsidRPr="009E06AA" w:rsidRDefault="00D97D6C" w:rsidP="00B55F24">
            <w:pPr>
              <w:pStyle w:val="TableText"/>
              <w:spacing w:before="50" w:after="50"/>
              <w:rPr>
                <w:rFonts w:cs="Calibri"/>
              </w:rPr>
            </w:pPr>
            <w:r w:rsidRPr="009E06AA">
              <w:rPr>
                <w:rFonts w:cs="Calibri"/>
              </w:rPr>
              <w:t>Level, trend</w:t>
            </w:r>
          </w:p>
        </w:tc>
        <w:tc>
          <w:tcPr>
            <w:tcW w:w="696" w:type="pct"/>
            <w:shd w:val="clear" w:color="auto" w:fill="auto"/>
            <w:noWrap/>
            <w:hideMark/>
          </w:tcPr>
          <w:p w14:paraId="5EA36907" w14:textId="77777777" w:rsidR="00D97D6C" w:rsidRPr="009E06AA" w:rsidRDefault="00D97D6C" w:rsidP="00B55F24">
            <w:pPr>
              <w:pStyle w:val="TableText"/>
              <w:spacing w:before="50" w:after="50"/>
              <w:rPr>
                <w:rFonts w:cs="Calibri"/>
              </w:rPr>
            </w:pPr>
            <w:r w:rsidRPr="009E06AA">
              <w:rPr>
                <w:rFonts w:cs="Calibri"/>
              </w:rPr>
              <w:t>Level, trend</w:t>
            </w:r>
          </w:p>
        </w:tc>
      </w:tr>
      <w:tr w:rsidR="00D97D6C" w:rsidRPr="009E06AA" w14:paraId="50049372" w14:textId="77777777" w:rsidTr="00B55F24">
        <w:tc>
          <w:tcPr>
            <w:tcW w:w="2815" w:type="pct"/>
            <w:shd w:val="clear" w:color="auto" w:fill="auto"/>
            <w:noWrap/>
            <w:hideMark/>
          </w:tcPr>
          <w:p w14:paraId="4AB6ADE9" w14:textId="77777777" w:rsidR="00D97D6C" w:rsidRPr="009E06AA" w:rsidRDefault="00D97D6C" w:rsidP="00B55F24">
            <w:pPr>
              <w:pStyle w:val="TableText"/>
              <w:spacing w:before="50" w:after="50"/>
              <w:rPr>
                <w:rFonts w:cs="Calibri"/>
              </w:rPr>
            </w:pPr>
            <w:r w:rsidRPr="009E06AA">
              <w:rPr>
                <w:rFonts w:cs="Calibri"/>
              </w:rPr>
              <w:t>Petroleum refining – CO</w:t>
            </w:r>
            <w:r w:rsidRPr="009E06AA">
              <w:rPr>
                <w:rFonts w:cs="Calibri"/>
                <w:vertAlign w:val="subscript"/>
              </w:rPr>
              <w:t>2</w:t>
            </w:r>
          </w:p>
        </w:tc>
        <w:tc>
          <w:tcPr>
            <w:tcW w:w="745" w:type="pct"/>
            <w:shd w:val="clear" w:color="auto" w:fill="auto"/>
            <w:noWrap/>
            <w:hideMark/>
          </w:tcPr>
          <w:p w14:paraId="5D3A934B" w14:textId="77777777" w:rsidR="00D97D6C" w:rsidRPr="009E06AA" w:rsidRDefault="00D97D6C" w:rsidP="00B55F24">
            <w:pPr>
              <w:pStyle w:val="TableText"/>
              <w:spacing w:before="50" w:after="50"/>
              <w:rPr>
                <w:rFonts w:cs="Calibri"/>
              </w:rPr>
            </w:pPr>
            <w:r w:rsidRPr="009E06AA">
              <w:rPr>
                <w:rFonts w:cs="Calibri"/>
              </w:rPr>
              <w:t>Trend</w:t>
            </w:r>
          </w:p>
        </w:tc>
        <w:tc>
          <w:tcPr>
            <w:tcW w:w="744" w:type="pct"/>
            <w:shd w:val="clear" w:color="auto" w:fill="auto"/>
            <w:noWrap/>
          </w:tcPr>
          <w:p w14:paraId="2B31814F" w14:textId="77777777" w:rsidR="00D97D6C" w:rsidRPr="009E06AA" w:rsidRDefault="00D97D6C" w:rsidP="00B55F24">
            <w:pPr>
              <w:pStyle w:val="TableText"/>
              <w:spacing w:before="50" w:after="50"/>
              <w:rPr>
                <w:rFonts w:cs="Calibri"/>
              </w:rPr>
            </w:pPr>
            <w:r w:rsidRPr="009E06AA">
              <w:rPr>
                <w:rFonts w:cs="Calibri"/>
              </w:rPr>
              <w:t>–</w:t>
            </w:r>
          </w:p>
        </w:tc>
        <w:tc>
          <w:tcPr>
            <w:tcW w:w="696" w:type="pct"/>
            <w:shd w:val="clear" w:color="auto" w:fill="auto"/>
            <w:noWrap/>
            <w:hideMark/>
          </w:tcPr>
          <w:p w14:paraId="253A7E1B" w14:textId="77777777" w:rsidR="00D97D6C" w:rsidRPr="009E06AA" w:rsidRDefault="00D97D6C" w:rsidP="00B55F24">
            <w:pPr>
              <w:pStyle w:val="TableText"/>
              <w:spacing w:before="50" w:after="50"/>
              <w:rPr>
                <w:rFonts w:cs="Calibri"/>
              </w:rPr>
            </w:pPr>
            <w:r w:rsidRPr="009E06AA">
              <w:rPr>
                <w:rFonts w:cs="Calibri"/>
              </w:rPr>
              <w:t>–</w:t>
            </w:r>
          </w:p>
        </w:tc>
      </w:tr>
      <w:tr w:rsidR="00D97D6C" w:rsidRPr="009E06AA" w14:paraId="578A5AE7" w14:textId="77777777" w:rsidTr="00B55F24">
        <w:tc>
          <w:tcPr>
            <w:tcW w:w="2815" w:type="pct"/>
            <w:shd w:val="clear" w:color="auto" w:fill="auto"/>
            <w:noWrap/>
          </w:tcPr>
          <w:p w14:paraId="5A995ABF" w14:textId="77777777" w:rsidR="00D97D6C" w:rsidRPr="009E06AA" w:rsidRDefault="00D97D6C" w:rsidP="00B55F24">
            <w:pPr>
              <w:pStyle w:val="TableText"/>
              <w:spacing w:before="50" w:after="50"/>
              <w:rPr>
                <w:rFonts w:cs="Calibri"/>
              </w:rPr>
            </w:pPr>
            <w:r w:rsidRPr="009E06AA">
              <w:rPr>
                <w:rFonts w:cs="Calibri"/>
              </w:rPr>
              <w:t>Manufacture of solid fuels and other energy industries – CO</w:t>
            </w:r>
            <w:r w:rsidRPr="009E06AA">
              <w:rPr>
                <w:rFonts w:cs="Calibri"/>
                <w:vertAlign w:val="subscript"/>
              </w:rPr>
              <w:t>2</w:t>
            </w:r>
          </w:p>
        </w:tc>
        <w:tc>
          <w:tcPr>
            <w:tcW w:w="745" w:type="pct"/>
            <w:shd w:val="clear" w:color="auto" w:fill="auto"/>
            <w:noWrap/>
          </w:tcPr>
          <w:p w14:paraId="483B4587" w14:textId="77777777" w:rsidR="00D97D6C" w:rsidRPr="009E06AA" w:rsidRDefault="00D97D6C" w:rsidP="00B55F24">
            <w:pPr>
              <w:pStyle w:val="TableText"/>
              <w:spacing w:before="50" w:after="50"/>
              <w:rPr>
                <w:rFonts w:cs="Calibri"/>
              </w:rPr>
            </w:pPr>
            <w:r w:rsidRPr="009E06AA">
              <w:rPr>
                <w:rFonts w:cs="Calibri"/>
              </w:rPr>
              <w:t>–</w:t>
            </w:r>
          </w:p>
        </w:tc>
        <w:tc>
          <w:tcPr>
            <w:tcW w:w="744" w:type="pct"/>
            <w:shd w:val="clear" w:color="auto" w:fill="auto"/>
            <w:noWrap/>
          </w:tcPr>
          <w:p w14:paraId="24E7145A" w14:textId="77777777" w:rsidR="00D97D6C" w:rsidRPr="009E06AA" w:rsidRDefault="00D97D6C" w:rsidP="00B55F24">
            <w:pPr>
              <w:pStyle w:val="TableText"/>
              <w:spacing w:before="50" w:after="50"/>
              <w:rPr>
                <w:rFonts w:cs="Calibri"/>
              </w:rPr>
            </w:pPr>
            <w:r w:rsidRPr="009E06AA">
              <w:rPr>
                <w:rFonts w:cs="Calibri"/>
              </w:rPr>
              <w:t>–</w:t>
            </w:r>
          </w:p>
        </w:tc>
        <w:tc>
          <w:tcPr>
            <w:tcW w:w="696" w:type="pct"/>
            <w:shd w:val="clear" w:color="auto" w:fill="auto"/>
            <w:noWrap/>
          </w:tcPr>
          <w:p w14:paraId="50047F09" w14:textId="77777777" w:rsidR="00D97D6C" w:rsidRPr="009E06AA" w:rsidRDefault="00D97D6C" w:rsidP="00B55F24">
            <w:pPr>
              <w:pStyle w:val="TableText"/>
              <w:spacing w:before="50" w:after="50"/>
              <w:rPr>
                <w:rFonts w:cs="Calibri"/>
              </w:rPr>
            </w:pPr>
            <w:r w:rsidRPr="009E06AA">
              <w:rPr>
                <w:rFonts w:cs="Calibri"/>
              </w:rPr>
              <w:t>Level, trend</w:t>
            </w:r>
          </w:p>
        </w:tc>
      </w:tr>
    </w:tbl>
    <w:p w14:paraId="71CE3990" w14:textId="77777777" w:rsidR="00D97D6C" w:rsidRPr="009E06AA" w:rsidRDefault="00D97D6C" w:rsidP="00D97D6C">
      <w:pPr>
        <w:pStyle w:val="BodyText"/>
        <w:spacing w:before="240"/>
        <w:rPr>
          <w:rFonts w:ascii="Arial" w:hAnsi="Arial" w:cs="Arial"/>
        </w:rPr>
      </w:pPr>
      <w:r w:rsidRPr="009E06AA">
        <w:t>New Zealand’s electricity generation is dominated by hydroelectric generation. For the 2022 calendar year, hydro generation provided 59.8 per cent of New Zealand’s electricity generation. A further 18.5 per cent came from geothermal, 6.5 per cent from wind, 1.6 per cent from biomass and 0.6 per cent from solar. The remaining 12.8 per cent was provided by fossil fuel thermal generation plants using natural gas, coal and oil (MBIE, 2023).</w:t>
      </w:r>
    </w:p>
    <w:p w14:paraId="0F834DDD" w14:textId="77777777" w:rsidR="00D97D6C" w:rsidRPr="009E06AA" w:rsidRDefault="00D97D6C" w:rsidP="00D97D6C">
      <w:pPr>
        <w:pStyle w:val="BodyText"/>
        <w:rPr>
          <w:lang w:eastAsia="en-GB"/>
        </w:rPr>
      </w:pPr>
      <w:r w:rsidRPr="009E06AA">
        <w:rPr>
          <w:lang w:eastAsia="en-GB"/>
        </w:rPr>
        <w:t>Greenhouse</w:t>
      </w:r>
      <w:r w:rsidRPr="009E06AA">
        <w:t xml:space="preserve"> </w:t>
      </w:r>
      <w:r w:rsidRPr="009E06AA">
        <w:rPr>
          <w:lang w:eastAsia="en-GB"/>
        </w:rPr>
        <w:t xml:space="preserve">gas emissions </w:t>
      </w:r>
      <w:r w:rsidRPr="009E06AA">
        <w:t>from</w:t>
      </w:r>
      <w:r w:rsidRPr="009E06AA">
        <w:rPr>
          <w:lang w:eastAsia="en-GB"/>
        </w:rPr>
        <w:t xml:space="preserve"> the </w:t>
      </w:r>
      <w:r w:rsidRPr="009E06AA">
        <w:rPr>
          <w:i/>
          <w:lang w:eastAsia="en-GB"/>
        </w:rPr>
        <w:t>Public electricity and heat production</w:t>
      </w:r>
      <w:r w:rsidRPr="009E06AA">
        <w:rPr>
          <w:lang w:eastAsia="en-GB"/>
        </w:rPr>
        <w:t xml:space="preserve"> category show large year-to-year fluctuations between 1990 and </w:t>
      </w:r>
      <w:r w:rsidRPr="009E06AA">
        <w:t>2022</w:t>
      </w:r>
      <w:r w:rsidRPr="009E06AA">
        <w:rPr>
          <w:lang w:eastAsia="en-GB"/>
        </w:rPr>
        <w:t xml:space="preserve">. These fluctuations can also be seen over the time series for New Zealand’s gross emissions. The fluctuations are influenced by the close inverse relationship between thermal and renewable generation (see </w:t>
      </w:r>
      <w:r w:rsidRPr="009E06AA">
        <w:t>figure 3.2.6</w:t>
      </w:r>
      <w:r w:rsidRPr="009E06AA">
        <w:rPr>
          <w:lang w:eastAsia="en-GB"/>
        </w:rPr>
        <w:t xml:space="preserve">). In a dry year, when low rainfall affects most of New Zealand’s hydro lake levels, any shortfall in hydroelectric generation is made up by increased thermal electricity generation. </w:t>
      </w:r>
      <w:r w:rsidRPr="009E06AA">
        <w:rPr>
          <w:rFonts w:cs="Calibri"/>
          <w:lang w:eastAsia="en-GB"/>
        </w:rPr>
        <w:t>New Zealand’s</w:t>
      </w:r>
      <w:r w:rsidRPr="009E06AA">
        <w:rPr>
          <w:lang w:eastAsia="en-GB"/>
        </w:rPr>
        <w:t xml:space="preserve"> hydro resources have limited storage capacity; total reservoir storage is only around 10 per cent of New Zealand’s annual demand. Hence, regular rainfall throughout the year is needed to sustain a high level of hydro generation. Electricity generation in a ‘normal’ hydro year does not require significant use of natural gas and coal, while a ‘dry’ hydro year requires higher use of natural gas and coal.</w:t>
      </w:r>
    </w:p>
    <w:p w14:paraId="3B4ED733" w14:textId="59D3E165" w:rsidR="00D97D6C" w:rsidRPr="009E06AA" w:rsidRDefault="00D97D6C" w:rsidP="00D97D6C">
      <w:pPr>
        <w:pStyle w:val="Figure"/>
        <w:rPr>
          <w:rFonts w:cs="Calibri"/>
          <w:lang w:eastAsia="en-GB"/>
        </w:rPr>
      </w:pPr>
      <w:bookmarkStart w:id="346" w:name="_Ref442370451"/>
      <w:bookmarkStart w:id="347" w:name="_Toc321399328"/>
      <w:bookmarkStart w:id="348" w:name="_Toc384582856"/>
      <w:bookmarkStart w:id="349" w:name="_Toc443060816"/>
      <w:bookmarkStart w:id="350" w:name="_Toc447275673"/>
      <w:bookmarkStart w:id="351" w:name="_Toc481751991"/>
      <w:bookmarkStart w:id="352" w:name="_Toc36292775"/>
      <w:bookmarkStart w:id="353" w:name="_Toc68786640"/>
      <w:bookmarkStart w:id="354" w:name="_Toc95834075"/>
      <w:bookmarkStart w:id="355" w:name="_Toc164154011"/>
      <w:r w:rsidRPr="009E06AA">
        <w:rPr>
          <w:rFonts w:cs="Calibri"/>
        </w:rPr>
        <w:t>Figure 3.2.</w:t>
      </w:r>
      <w:r w:rsidRPr="009E06AA">
        <w:rPr>
          <w:rFonts w:cs="Calibri"/>
        </w:rPr>
        <w:fldChar w:fldCharType="begin"/>
      </w:r>
      <w:r w:rsidRPr="009E06AA">
        <w:rPr>
          <w:rFonts w:cs="Calibri"/>
        </w:rPr>
        <w:instrText xml:space="preserve"> SEQ Figure \* ARABIC \s 2 </w:instrText>
      </w:r>
      <w:r w:rsidRPr="009E06AA">
        <w:rPr>
          <w:rFonts w:cs="Calibri"/>
        </w:rPr>
        <w:fldChar w:fldCharType="separate"/>
      </w:r>
      <w:r w:rsidR="009E4901">
        <w:rPr>
          <w:rFonts w:cs="Calibri"/>
          <w:noProof/>
        </w:rPr>
        <w:t>6</w:t>
      </w:r>
      <w:r w:rsidRPr="009E06AA">
        <w:rPr>
          <w:rFonts w:cs="Calibri"/>
        </w:rPr>
        <w:fldChar w:fldCharType="end"/>
      </w:r>
      <w:bookmarkEnd w:id="346"/>
      <w:r w:rsidRPr="009E06AA">
        <w:rPr>
          <w:rFonts w:cs="Calibri"/>
          <w:lang w:eastAsia="en-GB"/>
        </w:rPr>
        <w:tab/>
        <w:t xml:space="preserve">New Zealand’s </w:t>
      </w:r>
      <w:r w:rsidRPr="009E06AA">
        <w:rPr>
          <w:rFonts w:cs="Calibri"/>
        </w:rPr>
        <w:t>electricity</w:t>
      </w:r>
      <w:r w:rsidRPr="009E06AA">
        <w:rPr>
          <w:rFonts w:cs="Calibri"/>
          <w:lang w:eastAsia="en-GB"/>
        </w:rPr>
        <w:t xml:space="preserve"> generation by source</w:t>
      </w:r>
      <w:bookmarkEnd w:id="347"/>
      <w:bookmarkEnd w:id="348"/>
      <w:bookmarkEnd w:id="349"/>
      <w:bookmarkEnd w:id="350"/>
      <w:bookmarkEnd w:id="351"/>
      <w:bookmarkEnd w:id="352"/>
      <w:r w:rsidR="00636ED3" w:rsidRPr="009E06AA">
        <w:rPr>
          <w:rFonts w:cs="Calibri"/>
          <w:lang w:eastAsia="en-GB"/>
        </w:rPr>
        <w:t>,</w:t>
      </w:r>
      <w:r w:rsidRPr="009E06AA">
        <w:rPr>
          <w:rFonts w:cs="Calibri"/>
          <w:lang w:eastAsia="en-GB"/>
        </w:rPr>
        <w:t xml:space="preserve"> from 1990 to </w:t>
      </w:r>
      <w:bookmarkEnd w:id="353"/>
      <w:bookmarkEnd w:id="354"/>
      <w:r w:rsidRPr="009E06AA">
        <w:rPr>
          <w:rFonts w:cs="Calibri"/>
          <w:lang w:eastAsia="en-GB"/>
        </w:rPr>
        <w:t>2022</w:t>
      </w:r>
      <w:bookmarkEnd w:id="355"/>
    </w:p>
    <w:p w14:paraId="5AA2970B" w14:textId="77777777" w:rsidR="00D97D6C" w:rsidRPr="009E06AA" w:rsidRDefault="00D97D6C" w:rsidP="00D97D6C">
      <w:pPr>
        <w:pStyle w:val="BodyText"/>
        <w:rPr>
          <w:rFonts w:cs="Calibri"/>
          <w:sz w:val="26"/>
        </w:rPr>
      </w:pPr>
      <w:r w:rsidRPr="009E06AA">
        <w:rPr>
          <w:noProof/>
        </w:rPr>
        <w:drawing>
          <wp:inline distT="0" distB="0" distL="0" distR="0" wp14:anchorId="7FD73243" wp14:editId="210E229A">
            <wp:extent cx="5398135" cy="2488758"/>
            <wp:effectExtent l="0" t="0" r="0" b="0"/>
            <wp:docPr id="249035901" name="Picture 2490359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9035901" name="Picture 249035901"/>
                    <pic:cNvPicPr/>
                  </pic:nvPicPr>
                  <pic:blipFill rotWithShape="1">
                    <a:blip r:embed="rId62" cstate="print">
                      <a:extLst>
                        <a:ext uri="{28A0092B-C50C-407E-A947-70E740481C1C}">
                          <a14:useLocalDpi xmlns:a14="http://schemas.microsoft.com/office/drawing/2010/main" val="0"/>
                        </a:ext>
                      </a:extLst>
                    </a:blip>
                    <a:srcRect/>
                    <a:stretch/>
                  </pic:blipFill>
                  <pic:spPr bwMode="auto">
                    <a:xfrm>
                      <a:off x="0" y="0"/>
                      <a:ext cx="5398135" cy="2488758"/>
                    </a:xfrm>
                    <a:prstGeom prst="rect">
                      <a:avLst/>
                    </a:prstGeom>
                    <a:ln>
                      <a:noFill/>
                    </a:ln>
                    <a:extLst>
                      <a:ext uri="{53640926-AAD7-44D8-BBD7-CCE9431645EC}">
                        <a14:shadowObscured xmlns:a14="http://schemas.microsoft.com/office/drawing/2010/main"/>
                      </a:ext>
                    </a:extLst>
                  </pic:spPr>
                </pic:pic>
              </a:graphicData>
            </a:graphic>
          </wp:inline>
        </w:drawing>
      </w:r>
    </w:p>
    <w:p w14:paraId="2A8960D5" w14:textId="77777777" w:rsidR="00D97D6C" w:rsidRPr="009E06AA" w:rsidRDefault="00D97D6C" w:rsidP="00D97D6C">
      <w:pPr>
        <w:pStyle w:val="Heading4"/>
      </w:pPr>
      <w:r w:rsidRPr="009E06AA">
        <w:t>Methodological issues</w:t>
      </w:r>
    </w:p>
    <w:p w14:paraId="73548B11" w14:textId="77777777" w:rsidR="00D97D6C" w:rsidRPr="009E06AA" w:rsidRDefault="00D97D6C" w:rsidP="00BF2A76">
      <w:pPr>
        <w:pStyle w:val="Heading5"/>
        <w:rPr>
          <w:sz w:val="26"/>
        </w:rPr>
      </w:pPr>
      <w:r w:rsidRPr="009E06AA">
        <w:rPr>
          <w:lang w:eastAsia="en-GB"/>
        </w:rPr>
        <w:t>1.A.1.c Manufacture of solid fuels and other energy industries</w:t>
      </w:r>
    </w:p>
    <w:p w14:paraId="0D67F427" w14:textId="77777777" w:rsidR="00D97D6C" w:rsidRPr="009E06AA" w:rsidRDefault="00D97D6C" w:rsidP="00D97D6C">
      <w:pPr>
        <w:pStyle w:val="BodyText"/>
        <w:rPr>
          <w:rFonts w:cs="Calibri"/>
          <w:lang w:eastAsia="en-GB"/>
        </w:rPr>
      </w:pPr>
      <w:r w:rsidRPr="009E06AA">
        <w:rPr>
          <w:rFonts w:cs="Calibri"/>
          <w:lang w:eastAsia="en-GB"/>
        </w:rPr>
        <w:t>Methanex New Zealand produced synthetic gasoline until 1997. A Tier 2 methodology was used to estimate CO</w:t>
      </w:r>
      <w:r w:rsidRPr="009E06AA">
        <w:rPr>
          <w:rFonts w:cs="Calibri"/>
          <w:vertAlign w:val="subscript"/>
          <w:lang w:eastAsia="en-GB"/>
        </w:rPr>
        <w:t>2</w:t>
      </w:r>
      <w:r w:rsidRPr="009E06AA">
        <w:rPr>
          <w:rFonts w:cs="Calibri"/>
          <w:lang w:eastAsia="en-GB"/>
        </w:rPr>
        <w:t xml:space="preserve"> emissions based on the annual weighted average gas emission factor. </w:t>
      </w:r>
    </w:p>
    <w:p w14:paraId="680E4213" w14:textId="77777777" w:rsidR="00D97D6C" w:rsidRPr="009E06AA" w:rsidRDefault="00D97D6C" w:rsidP="00D97D6C">
      <w:pPr>
        <w:pStyle w:val="Heading4"/>
        <w:rPr>
          <w:lang w:eastAsia="en-GB"/>
        </w:rPr>
      </w:pPr>
      <w:r w:rsidRPr="009E06AA">
        <w:rPr>
          <w:lang w:eastAsia="en-GB"/>
        </w:rPr>
        <w:t>Activity data</w:t>
      </w:r>
    </w:p>
    <w:p w14:paraId="0609BECE" w14:textId="77777777" w:rsidR="00D97D6C" w:rsidRPr="009E06AA" w:rsidRDefault="00D97D6C" w:rsidP="00BF2A76">
      <w:pPr>
        <w:pStyle w:val="Heading5"/>
        <w:rPr>
          <w:sz w:val="26"/>
        </w:rPr>
      </w:pPr>
      <w:r w:rsidRPr="009E06AA">
        <w:rPr>
          <w:lang w:eastAsia="en-GB"/>
        </w:rPr>
        <w:t>1.A.1.a Public electricity and heat production</w:t>
      </w:r>
    </w:p>
    <w:p w14:paraId="3EE98787" w14:textId="77777777" w:rsidR="00D97D6C" w:rsidRPr="009E06AA" w:rsidRDefault="00D97D6C" w:rsidP="00D97D6C">
      <w:pPr>
        <w:pStyle w:val="BodyText"/>
        <w:rPr>
          <w:rFonts w:cs="Calibri"/>
          <w:lang w:eastAsia="en-GB"/>
        </w:rPr>
      </w:pPr>
      <w:r w:rsidRPr="009E06AA">
        <w:rPr>
          <w:rFonts w:cs="Calibri"/>
          <w:lang w:eastAsia="en-GB"/>
        </w:rPr>
        <w:t xml:space="preserve">All thermal electricity generators provide figures to MBIE for the amount of coal, natural gas and oil used for electricity generation. Greenhouse gas emissions from geothermal electricity generation are reported in 1.B.2.d </w:t>
      </w:r>
      <w:r w:rsidRPr="009E06AA">
        <w:rPr>
          <w:rFonts w:cs="Calibri"/>
          <w:i/>
          <w:iCs/>
          <w:lang w:eastAsia="en-GB"/>
        </w:rPr>
        <w:t>Fugitive emissions – Geothermal</w:t>
      </w:r>
      <w:r w:rsidRPr="009E06AA">
        <w:rPr>
          <w:rFonts w:cs="Calibri"/>
          <w:lang w:eastAsia="en-GB"/>
        </w:rPr>
        <w:t>.</w:t>
      </w:r>
    </w:p>
    <w:p w14:paraId="200123B5" w14:textId="77777777" w:rsidR="00D97D6C" w:rsidRPr="009E06AA" w:rsidRDefault="00D97D6C" w:rsidP="00D97D6C">
      <w:pPr>
        <w:pStyle w:val="BodyText"/>
        <w:rPr>
          <w:rFonts w:cs="Calibri"/>
          <w:lang w:eastAsia="en-GB"/>
        </w:rPr>
      </w:pPr>
      <w:r w:rsidRPr="009E06AA">
        <w:rPr>
          <w:rFonts w:cs="Calibri"/>
          <w:lang w:eastAsia="en-GB"/>
        </w:rPr>
        <w:t xml:space="preserve">Around 5 per cent of New Zealand’s electricity is supplied by co-generation (also known as combined heat and power) (MBIE, 2023). Most major co-generation plants are attached to large industrial facilities that consume the majority of the generated electricity and heat. </w:t>
      </w:r>
    </w:p>
    <w:p w14:paraId="66C38C2D" w14:textId="77777777" w:rsidR="00D97D6C" w:rsidRPr="009E06AA" w:rsidRDefault="00D97D6C" w:rsidP="00D97D6C">
      <w:pPr>
        <w:pStyle w:val="BodyText"/>
        <w:rPr>
          <w:rFonts w:cs="Calibri"/>
          <w:lang w:eastAsia="en-GB"/>
        </w:rPr>
      </w:pPr>
      <w:r w:rsidRPr="009E06AA">
        <w:rPr>
          <w:rFonts w:cs="Calibri"/>
          <w:lang w:eastAsia="en-GB"/>
        </w:rPr>
        <w:t xml:space="preserve">Six co-generation plants that fit the IPCC 2006 definition of public electricity and heat production produce electricity as their primary purpose. The emissions from these plants are included in 1.A.1.a </w:t>
      </w:r>
      <w:r w:rsidRPr="009E06AA">
        <w:rPr>
          <w:rFonts w:cs="Calibri"/>
          <w:i/>
          <w:lang w:eastAsia="en-GB"/>
        </w:rPr>
        <w:t>Public electricity and heat production</w:t>
      </w:r>
      <w:r w:rsidRPr="009E06AA">
        <w:rPr>
          <w:rFonts w:cs="Calibri"/>
          <w:lang w:eastAsia="en-GB"/>
        </w:rPr>
        <w:t>, while emissions from other co</w:t>
      </w:r>
      <w:r w:rsidRPr="009E06AA">
        <w:rPr>
          <w:rFonts w:cs="Calibri"/>
          <w:lang w:eastAsia="en-GB"/>
        </w:rPr>
        <w:noBreakHyphen/>
        <w:t xml:space="preserve">generation plants are included in 1.A.2 </w:t>
      </w:r>
      <w:r w:rsidRPr="009E06AA">
        <w:rPr>
          <w:rFonts w:cs="Calibri"/>
          <w:i/>
          <w:lang w:eastAsia="en-GB"/>
        </w:rPr>
        <w:t>Manufacturing industries and construction</w:t>
      </w:r>
      <w:r w:rsidRPr="009E06AA">
        <w:rPr>
          <w:rFonts w:cs="Calibri"/>
          <w:lang w:eastAsia="en-GB"/>
        </w:rPr>
        <w:t xml:space="preserve"> (section 3.2.8). </w:t>
      </w:r>
    </w:p>
    <w:p w14:paraId="76E587BD" w14:textId="77777777" w:rsidR="00D97D6C" w:rsidRPr="009E06AA" w:rsidRDefault="00D97D6C" w:rsidP="00D97D6C">
      <w:pPr>
        <w:pStyle w:val="BodyText"/>
        <w:rPr>
          <w:rFonts w:cs="Calibri"/>
          <w:lang w:eastAsia="en-GB"/>
        </w:rPr>
      </w:pPr>
      <w:r w:rsidRPr="009E06AA">
        <w:rPr>
          <w:rFonts w:cs="Calibri"/>
          <w:lang w:eastAsia="en-GB"/>
        </w:rPr>
        <w:t>To establish a consistent approach to on-site generation, MBIE developed a decision tree to guide the allocation of associated fuel consumption and identify whether the plant is a main activity electricity generator or an autoproducer (see figure 3.2.7).</w:t>
      </w:r>
    </w:p>
    <w:p w14:paraId="5E95655B" w14:textId="65A2C4A3" w:rsidR="00D97D6C" w:rsidRPr="009E06AA" w:rsidRDefault="00D97D6C" w:rsidP="00D97D6C">
      <w:pPr>
        <w:pStyle w:val="Figure"/>
        <w:rPr>
          <w:rFonts w:cs="Calibri"/>
        </w:rPr>
      </w:pPr>
      <w:bookmarkStart w:id="356" w:name="_Ref442370479"/>
      <w:bookmarkStart w:id="357" w:name="_Toc321399329"/>
      <w:bookmarkStart w:id="358" w:name="_Toc384582857"/>
      <w:bookmarkStart w:id="359" w:name="_Toc443060817"/>
      <w:bookmarkStart w:id="360" w:name="_Toc447275674"/>
      <w:bookmarkStart w:id="361" w:name="_Toc481751992"/>
      <w:bookmarkStart w:id="362" w:name="_Toc36292776"/>
      <w:bookmarkStart w:id="363" w:name="_Toc68786641"/>
      <w:bookmarkStart w:id="364" w:name="_Toc95834076"/>
      <w:bookmarkStart w:id="365" w:name="_Toc164154012"/>
      <w:r w:rsidRPr="009E06AA">
        <w:rPr>
          <w:rFonts w:cs="Calibri"/>
        </w:rPr>
        <w:t>Figure 3.2.</w:t>
      </w:r>
      <w:r w:rsidRPr="009E06AA">
        <w:rPr>
          <w:rFonts w:cs="Calibri"/>
        </w:rPr>
        <w:fldChar w:fldCharType="begin"/>
      </w:r>
      <w:r w:rsidRPr="009E06AA">
        <w:rPr>
          <w:rFonts w:cs="Calibri"/>
        </w:rPr>
        <w:instrText xml:space="preserve"> SEQ Figure \* ARABIC \s 2 </w:instrText>
      </w:r>
      <w:r w:rsidRPr="009E06AA">
        <w:rPr>
          <w:rFonts w:cs="Calibri"/>
        </w:rPr>
        <w:fldChar w:fldCharType="separate"/>
      </w:r>
      <w:r w:rsidR="009E4901">
        <w:rPr>
          <w:rFonts w:cs="Calibri"/>
          <w:noProof/>
        </w:rPr>
        <w:t>7</w:t>
      </w:r>
      <w:r w:rsidRPr="009E06AA">
        <w:rPr>
          <w:rFonts w:cs="Calibri"/>
        </w:rPr>
        <w:fldChar w:fldCharType="end"/>
      </w:r>
      <w:bookmarkEnd w:id="356"/>
      <w:r w:rsidRPr="009E06AA">
        <w:rPr>
          <w:rFonts w:cs="Calibri"/>
          <w:lang w:eastAsia="en-GB"/>
        </w:rPr>
        <w:tab/>
        <w:t xml:space="preserve">Decision tree </w:t>
      </w:r>
      <w:bookmarkEnd w:id="357"/>
      <w:r w:rsidRPr="009E06AA">
        <w:rPr>
          <w:rFonts w:cs="Calibri"/>
          <w:lang w:eastAsia="en-GB"/>
        </w:rPr>
        <w:t>to identify a main activity electricity generator or an autoproducer</w:t>
      </w:r>
      <w:bookmarkEnd w:id="358"/>
      <w:bookmarkEnd w:id="359"/>
      <w:bookmarkEnd w:id="360"/>
      <w:bookmarkEnd w:id="361"/>
      <w:bookmarkEnd w:id="362"/>
      <w:bookmarkEnd w:id="363"/>
      <w:bookmarkEnd w:id="364"/>
      <w:bookmarkEnd w:id="365"/>
    </w:p>
    <w:p w14:paraId="245E2C1A" w14:textId="77777777" w:rsidR="00D97D6C" w:rsidRPr="009E06AA" w:rsidRDefault="00D97D6C" w:rsidP="00D97D6C">
      <w:pPr>
        <w:pStyle w:val="BodyText"/>
        <w:jc w:val="center"/>
      </w:pPr>
      <w:r w:rsidRPr="009E06AA">
        <w:rPr>
          <w:noProof/>
        </w:rPr>
        <w:drawing>
          <wp:inline distT="0" distB="0" distL="0" distR="0" wp14:anchorId="6C8622AF" wp14:editId="70ED9460">
            <wp:extent cx="3982219" cy="2964208"/>
            <wp:effectExtent l="0" t="0" r="0" b="7620"/>
            <wp:docPr id="6277308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730850" name="Picture 1"/>
                    <pic:cNvPicPr/>
                  </pic:nvPicPr>
                  <pic:blipFill>
                    <a:blip r:embed="rId63">
                      <a:extLst>
                        <a:ext uri="{28A0092B-C50C-407E-A947-70E740481C1C}">
                          <a14:useLocalDpi xmlns:a14="http://schemas.microsoft.com/office/drawing/2010/main" val="0"/>
                        </a:ext>
                      </a:extLst>
                    </a:blip>
                    <a:stretch>
                      <a:fillRect/>
                    </a:stretch>
                  </pic:blipFill>
                  <pic:spPr>
                    <a:xfrm>
                      <a:off x="0" y="0"/>
                      <a:ext cx="3982219" cy="2964208"/>
                    </a:xfrm>
                    <a:prstGeom prst="rect">
                      <a:avLst/>
                    </a:prstGeom>
                  </pic:spPr>
                </pic:pic>
              </a:graphicData>
            </a:graphic>
          </wp:inline>
        </w:drawing>
      </w:r>
    </w:p>
    <w:p w14:paraId="4BCEA554" w14:textId="77777777" w:rsidR="00D97D6C" w:rsidRPr="009E06AA" w:rsidRDefault="00D97D6C" w:rsidP="00BF2A76">
      <w:pPr>
        <w:pStyle w:val="Heading5"/>
        <w:rPr>
          <w:sz w:val="26"/>
        </w:rPr>
      </w:pPr>
      <w:r w:rsidRPr="009E06AA">
        <w:rPr>
          <w:lang w:eastAsia="en-GB"/>
        </w:rPr>
        <w:t xml:space="preserve">1.A.1.b </w:t>
      </w:r>
      <w:r w:rsidRPr="009E06AA">
        <w:t>Petroleum</w:t>
      </w:r>
      <w:r w:rsidRPr="009E06AA">
        <w:rPr>
          <w:lang w:eastAsia="en-GB"/>
        </w:rPr>
        <w:t xml:space="preserve"> refining</w:t>
      </w:r>
    </w:p>
    <w:p w14:paraId="51A97715" w14:textId="77777777" w:rsidR="00D97D6C" w:rsidRPr="009E06AA" w:rsidRDefault="00D97D6C" w:rsidP="00D97D6C">
      <w:pPr>
        <w:pStyle w:val="BodyText"/>
        <w:keepLines/>
        <w:rPr>
          <w:rFonts w:cs="Calibri"/>
          <w:lang w:eastAsia="en-GB"/>
        </w:rPr>
      </w:pPr>
      <w:r w:rsidRPr="009E06AA">
        <w:rPr>
          <w:rFonts w:cs="Calibri"/>
          <w:lang w:eastAsia="en-GB"/>
        </w:rPr>
        <w:t xml:space="preserve">Petroleum refining in New Zealand occurred up until March 2022 at only one site: the Marsden Point Oil Refinery, owned by Refining New Zealand. Refining New Zealand formerly provided annual activity data and emission factors for each type of fuel being consumed at the site. The fuel-type specific emission factors were adopted under the Government’s Projects to Reduce Emissions in 2003 (Ministry for the Environment, 2009). </w:t>
      </w:r>
    </w:p>
    <w:p w14:paraId="6D4A4C39" w14:textId="77777777" w:rsidR="00D97D6C" w:rsidRPr="009E06AA" w:rsidRDefault="00D97D6C" w:rsidP="00D97D6C">
      <w:pPr>
        <w:pStyle w:val="BodyText"/>
        <w:rPr>
          <w:rFonts w:cs="Calibri"/>
          <w:lang w:eastAsia="en-GB"/>
        </w:rPr>
      </w:pPr>
      <w:r w:rsidRPr="009E06AA">
        <w:rPr>
          <w:rFonts w:cs="Calibri"/>
          <w:lang w:eastAsia="en-GB"/>
        </w:rPr>
        <w:t xml:space="preserve">Refinery gas is obtained during the distillation of crude oil and production of oil products. As a result, emissions from its combustion are implicitly included under liquid fuels in the reference approach. </w:t>
      </w:r>
    </w:p>
    <w:p w14:paraId="565B209D" w14:textId="77777777" w:rsidR="00D97D6C" w:rsidRPr="009E06AA" w:rsidRDefault="00D97D6C" w:rsidP="00BF2A76">
      <w:pPr>
        <w:pStyle w:val="Heading5"/>
        <w:rPr>
          <w:lang w:eastAsia="en-GB"/>
        </w:rPr>
      </w:pPr>
      <w:r w:rsidRPr="009E06AA">
        <w:rPr>
          <w:lang w:eastAsia="en-GB"/>
        </w:rPr>
        <w:t>1.A.1.c.ii Manufacture of solid fuels and other energy industries – Other energy industries</w:t>
      </w:r>
    </w:p>
    <w:p w14:paraId="00FF1542" w14:textId="77777777" w:rsidR="00D97D6C" w:rsidRPr="009E06AA" w:rsidRDefault="00D97D6C" w:rsidP="00D97D6C">
      <w:pPr>
        <w:pStyle w:val="BodyText"/>
        <w:rPr>
          <w:rFonts w:cs="Calibri"/>
          <w:lang w:eastAsia="en-GB"/>
        </w:rPr>
      </w:pPr>
      <w:r w:rsidRPr="009E06AA">
        <w:rPr>
          <w:rFonts w:cs="Calibri"/>
          <w:lang w:eastAsia="en-GB"/>
        </w:rPr>
        <w:t xml:space="preserve">Activity data for the useful combustion (own use) of natural gas during oil and gas extraction are provided to MBIE by each individual gas and/or oil field operator. Some crude oil is also combusted (own use) during oil and gas extraction. The quantity is reported directly by the oil and/or gas field operator to MBIE. </w:t>
      </w:r>
    </w:p>
    <w:p w14:paraId="54DF3FDF" w14:textId="77777777" w:rsidR="00D97D6C" w:rsidRPr="009E06AA" w:rsidRDefault="00D97D6C" w:rsidP="00D97D6C">
      <w:pPr>
        <w:pStyle w:val="BodyText"/>
        <w:rPr>
          <w:rFonts w:cs="Calibri"/>
          <w:lang w:eastAsia="en-GB"/>
        </w:rPr>
      </w:pPr>
      <w:r w:rsidRPr="009E06AA">
        <w:rPr>
          <w:rFonts w:cs="Calibri"/>
          <w:lang w:eastAsia="en-GB"/>
        </w:rPr>
        <w:t>Emissions from natural gas combustion (own use) for the purpose of natural gas transmission are reported directly to MBIE by the transmission network operator. Emissions from natural gas combustion (own use) for the purpose of natural gas processing are reported directly to MBIE by the plant operator.</w:t>
      </w:r>
    </w:p>
    <w:p w14:paraId="13A21F03" w14:textId="77777777" w:rsidR="00D97D6C" w:rsidRPr="009E06AA" w:rsidRDefault="00D97D6C" w:rsidP="00D97D6C">
      <w:pPr>
        <w:pStyle w:val="BodyText"/>
        <w:rPr>
          <w:rFonts w:cs="Calibri"/>
          <w:lang w:eastAsia="en-GB"/>
        </w:rPr>
      </w:pPr>
      <w:r w:rsidRPr="009E06AA">
        <w:rPr>
          <w:rFonts w:cs="Calibri"/>
          <w:lang w:eastAsia="en-GB"/>
        </w:rPr>
        <w:t>Losses and own use of coal by coal mining entities are reported as a single item, so data on on</w:t>
      </w:r>
      <w:r w:rsidRPr="009E06AA">
        <w:rPr>
          <w:rFonts w:cs="Calibri"/>
          <w:lang w:eastAsia="en-GB"/>
        </w:rPr>
        <w:noBreakHyphen/>
        <w:t>site coal use are not available. Historically, coal mines would use their own coal to fuel on</w:t>
      </w:r>
      <w:r w:rsidRPr="009E06AA">
        <w:rPr>
          <w:rFonts w:cs="Calibri"/>
          <w:lang w:eastAsia="en-GB"/>
        </w:rPr>
        <w:noBreakHyphen/>
        <w:t>site water boilers. However, the last of these at the Stockton mine closed in the mid-1980s, and the expert opinion of coal industry specialists is that any water boilers on site are now fuelled by natural gas or electricity.</w:t>
      </w:r>
    </w:p>
    <w:p w14:paraId="4D8C8297" w14:textId="77777777" w:rsidR="00D97D6C" w:rsidRPr="009E06AA" w:rsidRDefault="00D97D6C" w:rsidP="00D97D6C">
      <w:pPr>
        <w:pStyle w:val="Heading4"/>
        <w:rPr>
          <w:rFonts w:cs="Calibri"/>
          <w:sz w:val="26"/>
        </w:rPr>
      </w:pPr>
      <w:r w:rsidRPr="009E06AA">
        <w:rPr>
          <w:lang w:eastAsia="en-GB"/>
        </w:rPr>
        <w:t>Emission factors</w:t>
      </w:r>
    </w:p>
    <w:p w14:paraId="227AC628" w14:textId="77777777" w:rsidR="00D97D6C" w:rsidRPr="009E06AA" w:rsidRDefault="00D97D6C" w:rsidP="00BF2A76">
      <w:pPr>
        <w:pStyle w:val="Heading5"/>
        <w:rPr>
          <w:sz w:val="26"/>
        </w:rPr>
      </w:pPr>
      <w:r w:rsidRPr="009E06AA">
        <w:rPr>
          <w:lang w:eastAsia="en-GB"/>
        </w:rPr>
        <w:t>Gaseous fuels</w:t>
      </w:r>
    </w:p>
    <w:p w14:paraId="5B10A434" w14:textId="77777777" w:rsidR="00D97D6C" w:rsidRPr="009E06AA" w:rsidRDefault="00D97D6C" w:rsidP="00D97D6C">
      <w:pPr>
        <w:pStyle w:val="BodyText"/>
        <w:rPr>
          <w:rFonts w:cs="Calibri"/>
          <w:sz w:val="16"/>
          <w:szCs w:val="16"/>
          <w:lang w:eastAsia="en-GB"/>
        </w:rPr>
      </w:pPr>
      <w:r w:rsidRPr="009E06AA">
        <w:rPr>
          <w:rFonts w:cs="Calibri"/>
          <w:lang w:eastAsia="en-GB"/>
        </w:rPr>
        <w:t>As mentioned in section 3.2.2, New Zealand’s CO</w:t>
      </w:r>
      <w:r w:rsidRPr="009E06AA">
        <w:rPr>
          <w:rFonts w:cs="Calibri"/>
          <w:vertAlign w:val="subscript"/>
          <w:lang w:eastAsia="en-GB"/>
        </w:rPr>
        <w:t>2</w:t>
      </w:r>
      <w:r w:rsidRPr="009E06AA">
        <w:rPr>
          <w:rFonts w:cs="Calibri"/>
          <w:lang w:eastAsia="en-GB"/>
        </w:rPr>
        <w:t xml:space="preserve"> emission factor for natural gas fluctuates from year to year, reflecting the relative amount of gas produced from the various gas fields in a given year. New Zealand gas fields also have higher CO</w:t>
      </w:r>
      <w:r w:rsidRPr="009E06AA">
        <w:rPr>
          <w:rFonts w:cs="Calibri"/>
          <w:vertAlign w:val="subscript"/>
          <w:lang w:eastAsia="en-GB"/>
        </w:rPr>
        <w:t>2</w:t>
      </w:r>
      <w:r w:rsidRPr="009E06AA">
        <w:rPr>
          <w:rFonts w:cs="Calibri"/>
          <w:lang w:eastAsia="en-GB"/>
        </w:rPr>
        <w:t xml:space="preserve"> content than most international gas fields. This is particularly evident in 1.A.1.a </w:t>
      </w:r>
      <w:r w:rsidRPr="009E06AA">
        <w:rPr>
          <w:rFonts w:cs="Calibri"/>
          <w:i/>
          <w:lang w:eastAsia="en-GB"/>
        </w:rPr>
        <w:t>Public electricity and heat production</w:t>
      </w:r>
      <w:r w:rsidRPr="009E06AA">
        <w:rPr>
          <w:rFonts w:cs="Calibri"/>
          <w:lang w:eastAsia="en-GB"/>
        </w:rPr>
        <w:t>.</w:t>
      </w:r>
      <w:r w:rsidRPr="009E06AA">
        <w:rPr>
          <w:rFonts w:cs="Calibri"/>
          <w:sz w:val="16"/>
          <w:szCs w:val="16"/>
          <w:lang w:eastAsia="en-GB"/>
        </w:rPr>
        <w:t xml:space="preserve"> </w:t>
      </w:r>
    </w:p>
    <w:p w14:paraId="28783728" w14:textId="77777777" w:rsidR="00D97D6C" w:rsidRPr="009E06AA" w:rsidRDefault="00D97D6C" w:rsidP="00D97D6C">
      <w:pPr>
        <w:pStyle w:val="Heading4"/>
      </w:pPr>
      <w:r w:rsidRPr="009E06AA">
        <w:t>Uncertainty assessment and time-series consistency</w:t>
      </w:r>
    </w:p>
    <w:p w14:paraId="26E8D253" w14:textId="77777777" w:rsidR="00D97D6C" w:rsidRPr="009E06AA" w:rsidRDefault="00D97D6C" w:rsidP="00D97D6C">
      <w:pPr>
        <w:pStyle w:val="BodyText"/>
        <w:rPr>
          <w:rFonts w:cs="Calibri"/>
          <w:lang w:eastAsia="en-GB"/>
        </w:rPr>
      </w:pPr>
      <w:r w:rsidRPr="009E06AA">
        <w:rPr>
          <w:rFonts w:cs="Calibri"/>
          <w:lang w:eastAsia="en-GB"/>
        </w:rPr>
        <w:t xml:space="preserve">Uncertainties in emissions and activity data estimates for this category are relevant to the entire </w:t>
      </w:r>
      <w:r w:rsidRPr="009E06AA">
        <w:rPr>
          <w:rFonts w:cs="Calibri"/>
          <w:i/>
          <w:lang w:eastAsia="en-GB"/>
        </w:rPr>
        <w:t>Fuel combustion</w:t>
      </w:r>
      <w:r w:rsidRPr="009E06AA">
        <w:rPr>
          <w:rFonts w:cs="Calibri"/>
          <w:lang w:eastAsia="en-GB"/>
        </w:rPr>
        <w:t xml:space="preserve"> category (see table 3.2.1).</w:t>
      </w:r>
    </w:p>
    <w:p w14:paraId="4CD976FE" w14:textId="77777777" w:rsidR="00D97D6C" w:rsidRPr="009E06AA" w:rsidRDefault="00D97D6C" w:rsidP="00D97D6C">
      <w:pPr>
        <w:pStyle w:val="Heading4"/>
      </w:pPr>
      <w:r w:rsidRPr="009E06AA">
        <w:t>Category-specific QA/QC and verification</w:t>
      </w:r>
    </w:p>
    <w:p w14:paraId="4DB6DAFE" w14:textId="77777777" w:rsidR="00D97D6C" w:rsidRPr="009E06AA" w:rsidRDefault="00D97D6C" w:rsidP="00D97D6C">
      <w:pPr>
        <w:pStyle w:val="BodyText"/>
        <w:rPr>
          <w:rFonts w:cs="Calibri"/>
          <w:lang w:eastAsia="en-GB"/>
        </w:rPr>
      </w:pPr>
      <w:r w:rsidRPr="009E06AA">
        <w:rPr>
          <w:rFonts w:cs="Calibri"/>
          <w:lang w:eastAsia="en-GB"/>
        </w:rPr>
        <w:t xml:space="preserve">In the preparation of this inventory, the </w:t>
      </w:r>
      <w:r w:rsidRPr="009E06AA">
        <w:rPr>
          <w:rFonts w:cs="Calibri"/>
          <w:i/>
          <w:lang w:eastAsia="en-GB"/>
        </w:rPr>
        <w:t>Energy industries</w:t>
      </w:r>
      <w:r w:rsidRPr="009E06AA">
        <w:rPr>
          <w:rFonts w:cs="Calibri"/>
          <w:lang w:eastAsia="en-GB"/>
        </w:rPr>
        <w:t xml:space="preserve"> category underwent Tier 1 quality-assurance and quality-control checks as recommended in the 2006 IPCC Guidelines. These include regular control sums throughout systems, to verify system integrity, and consistency checks on implied emission factors.</w:t>
      </w:r>
    </w:p>
    <w:p w14:paraId="7AFC319D" w14:textId="77777777" w:rsidR="00D97D6C" w:rsidRPr="009E06AA" w:rsidRDefault="00D97D6C" w:rsidP="00D97D6C">
      <w:pPr>
        <w:pStyle w:val="Heading4"/>
      </w:pPr>
      <w:r w:rsidRPr="009E06AA">
        <w:t>Category-specific recalculations</w:t>
      </w:r>
    </w:p>
    <w:p w14:paraId="38085117" w14:textId="77777777" w:rsidR="00D97D6C" w:rsidRPr="009E06AA" w:rsidRDefault="00D97D6C" w:rsidP="00D97D6C">
      <w:pPr>
        <w:pStyle w:val="BodyText"/>
        <w:rPr>
          <w:rFonts w:cs="Calibri"/>
          <w:lang w:eastAsia="en-GB"/>
        </w:rPr>
      </w:pPr>
      <w:r w:rsidRPr="009E06AA">
        <w:rPr>
          <w:rFonts w:cs="Calibri"/>
          <w:lang w:eastAsia="en-GB"/>
        </w:rPr>
        <w:t xml:space="preserve">Some historical data on fuel consumption for electricity generation may have been revised in the national energy balance tables. This may result in minor revisions to activity data and recalculations to the corresponding emissions for some recent years. </w:t>
      </w:r>
    </w:p>
    <w:p w14:paraId="321BBF57" w14:textId="77777777" w:rsidR="00D97D6C" w:rsidRPr="009E06AA" w:rsidRDefault="00D97D6C" w:rsidP="00D97D6C">
      <w:pPr>
        <w:pStyle w:val="Heading4"/>
      </w:pPr>
      <w:bookmarkStart w:id="366" w:name="_Ref442360713"/>
      <w:r w:rsidRPr="009E06AA">
        <w:t>Category-specific planned improvements</w:t>
      </w:r>
    </w:p>
    <w:p w14:paraId="6D883A3B" w14:textId="2EF9C03C" w:rsidR="00D97D6C" w:rsidRPr="009E06AA" w:rsidRDefault="00D97D6C" w:rsidP="00D97D6C">
      <w:pPr>
        <w:pStyle w:val="BodyText"/>
        <w:rPr>
          <w:rFonts w:cs="Calibri"/>
          <w:lang w:eastAsia="en-GB"/>
        </w:rPr>
      </w:pPr>
      <w:r w:rsidRPr="009E06AA">
        <w:rPr>
          <w:rFonts w:cs="Calibri"/>
          <w:lang w:eastAsia="en-GB"/>
        </w:rPr>
        <w:t xml:space="preserve">There </w:t>
      </w:r>
      <w:r w:rsidR="005B754B" w:rsidRPr="009E06AA">
        <w:rPr>
          <w:rFonts w:cs="Calibri"/>
          <w:lang w:eastAsia="en-GB"/>
        </w:rPr>
        <w:t xml:space="preserve">were </w:t>
      </w:r>
      <w:r w:rsidRPr="009E06AA">
        <w:rPr>
          <w:rFonts w:cs="Calibri"/>
          <w:lang w:eastAsia="en-GB"/>
        </w:rPr>
        <w:t>no planned improvements for this category.</w:t>
      </w:r>
    </w:p>
    <w:p w14:paraId="1E2ECA2B" w14:textId="77777777" w:rsidR="00D97D6C" w:rsidRPr="009E06AA" w:rsidRDefault="00D97D6C" w:rsidP="00D97D6C">
      <w:pPr>
        <w:pStyle w:val="Heading3"/>
      </w:pPr>
      <w:r w:rsidRPr="009E06AA">
        <w:t>3.2.8</w:t>
      </w:r>
      <w:r w:rsidRPr="009E06AA">
        <w:tab/>
        <w:t>Fuel combustion: Manufacturing industries and construction (CRT 1.A.2)</w:t>
      </w:r>
      <w:bookmarkEnd w:id="366"/>
    </w:p>
    <w:p w14:paraId="040E9A48" w14:textId="77777777" w:rsidR="00D97D6C" w:rsidRPr="009E06AA" w:rsidRDefault="00D97D6C" w:rsidP="00D97D6C">
      <w:pPr>
        <w:pStyle w:val="Heading4"/>
      </w:pPr>
      <w:r w:rsidRPr="009E06AA">
        <w:t>Category description</w:t>
      </w:r>
    </w:p>
    <w:p w14:paraId="3F417AA6" w14:textId="77777777" w:rsidR="00D97D6C" w:rsidRPr="009E06AA" w:rsidRDefault="00D97D6C" w:rsidP="00D97D6C">
      <w:pPr>
        <w:pStyle w:val="BodyText"/>
        <w:rPr>
          <w:rFonts w:cs="Calibri"/>
        </w:rPr>
      </w:pPr>
      <w:r w:rsidRPr="009E06AA">
        <w:rPr>
          <w:rFonts w:cs="Calibri"/>
        </w:rPr>
        <w:t>This category comprises emissions from fossil fuels combusted in the manufacture of iron and steel, other non</w:t>
      </w:r>
      <w:r w:rsidRPr="009E06AA">
        <w:rPr>
          <w:rFonts w:cs="Calibri"/>
        </w:rPr>
        <w:noBreakHyphen/>
        <w:t>ferrous metals, chemicals, pulp, paper and print, food processing, beverages and tobacco, and in other manufacturing-related activities. Emissions from co</w:t>
      </w:r>
      <w:r w:rsidRPr="009E06AA">
        <w:rPr>
          <w:rFonts w:cs="Calibri"/>
        </w:rPr>
        <w:noBreakHyphen/>
        <w:t>generation plants that do not meet the definition of co</w:t>
      </w:r>
      <w:r w:rsidRPr="009E06AA">
        <w:rPr>
          <w:rFonts w:cs="Calibri"/>
        </w:rPr>
        <w:noBreakHyphen/>
        <w:t>generation as provided in the 2006 IPCC Guidelines are included in this category.</w:t>
      </w:r>
    </w:p>
    <w:p w14:paraId="4E0AF883" w14:textId="77777777" w:rsidR="00D97D6C" w:rsidRPr="009E06AA" w:rsidRDefault="00D97D6C" w:rsidP="00D97D6C">
      <w:pPr>
        <w:pStyle w:val="BodyText"/>
        <w:rPr>
          <w:rFonts w:cs="Calibri"/>
        </w:rPr>
      </w:pPr>
      <w:r w:rsidRPr="009E06AA">
        <w:rPr>
          <w:rFonts w:cs="Calibri"/>
        </w:rPr>
        <w:t xml:space="preserve">In 2022, emissions from the 1.A.2 </w:t>
      </w:r>
      <w:r w:rsidRPr="009E06AA">
        <w:rPr>
          <w:rFonts w:cs="Calibri"/>
          <w:i/>
          <w:lang w:eastAsia="en-GB"/>
        </w:rPr>
        <w:t>Manufacturing industries and construction</w:t>
      </w:r>
      <w:r w:rsidRPr="009E06AA">
        <w:rPr>
          <w:rFonts w:cs="Calibri"/>
        </w:rPr>
        <w:t xml:space="preserve"> category accounted for 6,098.9 kt CO</w:t>
      </w:r>
      <w:r w:rsidRPr="009E06AA">
        <w:rPr>
          <w:rFonts w:cs="Calibri"/>
          <w:vertAlign w:val="subscript"/>
          <w:lang w:eastAsia="en-GB"/>
        </w:rPr>
        <w:t>2</w:t>
      </w:r>
      <w:r w:rsidRPr="009E06AA">
        <w:rPr>
          <w:rFonts w:cs="Calibri"/>
        </w:rPr>
        <w:t xml:space="preserve">-e (21.2 per cent) of emissions from the Energy sector. The largest contributors were </w:t>
      </w:r>
      <w:r w:rsidRPr="009E06AA">
        <w:rPr>
          <w:rFonts w:cs="Calibri"/>
          <w:i/>
          <w:iCs/>
          <w:lang w:eastAsia="en-GB"/>
        </w:rPr>
        <w:t>Food processing</w:t>
      </w:r>
      <w:r w:rsidRPr="009E06AA">
        <w:rPr>
          <w:rFonts w:cs="Calibri"/>
        </w:rPr>
        <w:t xml:space="preserve"> (2,684.9 kt CO</w:t>
      </w:r>
      <w:r w:rsidRPr="009E06AA">
        <w:rPr>
          <w:rFonts w:cs="Calibri"/>
          <w:vertAlign w:val="subscript"/>
          <w:lang w:eastAsia="en-GB"/>
        </w:rPr>
        <w:t>2</w:t>
      </w:r>
      <w:r w:rsidRPr="009E06AA">
        <w:rPr>
          <w:rFonts w:cs="Calibri"/>
        </w:rPr>
        <w:t xml:space="preserve">-e) and </w:t>
      </w:r>
      <w:r w:rsidRPr="009E06AA">
        <w:rPr>
          <w:rFonts w:cs="Calibri"/>
          <w:i/>
          <w:iCs/>
          <w:lang w:eastAsia="en-GB"/>
        </w:rPr>
        <w:t>Chemicals</w:t>
      </w:r>
      <w:r w:rsidRPr="009E06AA">
        <w:rPr>
          <w:rFonts w:cs="Calibri"/>
        </w:rPr>
        <w:t xml:space="preserve"> (1,264.7 kt CO</w:t>
      </w:r>
      <w:r w:rsidRPr="009E06AA">
        <w:rPr>
          <w:rFonts w:cs="Calibri"/>
          <w:vertAlign w:val="subscript"/>
          <w:lang w:eastAsia="en-GB"/>
        </w:rPr>
        <w:t>2</w:t>
      </w:r>
      <w:r w:rsidRPr="009E06AA">
        <w:rPr>
          <w:rFonts w:cs="Calibri"/>
        </w:rPr>
        <w:t xml:space="preserve">-e). </w:t>
      </w:r>
    </w:p>
    <w:p w14:paraId="15EC9B00" w14:textId="77777777" w:rsidR="00D97D6C" w:rsidRPr="009E06AA" w:rsidRDefault="00D97D6C" w:rsidP="00D97D6C">
      <w:pPr>
        <w:pStyle w:val="Heading4"/>
        <w:rPr>
          <w:lang w:eastAsia="en-GB"/>
        </w:rPr>
      </w:pPr>
      <w:r w:rsidRPr="009E06AA">
        <w:rPr>
          <w:lang w:eastAsia="en-GB"/>
        </w:rPr>
        <w:t xml:space="preserve">Changes in emissions between </w:t>
      </w:r>
      <w:r w:rsidRPr="009E06AA">
        <w:rPr>
          <w:rFonts w:cs="Calibri"/>
        </w:rPr>
        <w:t xml:space="preserve">1990 </w:t>
      </w:r>
      <w:r w:rsidRPr="009E06AA">
        <w:rPr>
          <w:lang w:eastAsia="en-GB"/>
        </w:rPr>
        <w:t xml:space="preserve">and </w:t>
      </w:r>
      <w:r w:rsidRPr="009E06AA">
        <w:rPr>
          <w:rFonts w:cs="Calibri"/>
        </w:rPr>
        <w:t>2022</w:t>
      </w:r>
    </w:p>
    <w:p w14:paraId="31030792" w14:textId="77777777" w:rsidR="00D97D6C" w:rsidRPr="009E06AA" w:rsidRDefault="00D97D6C" w:rsidP="00D97D6C">
      <w:pPr>
        <w:pStyle w:val="BodyText"/>
        <w:rPr>
          <w:rFonts w:cs="Calibri"/>
        </w:rPr>
      </w:pPr>
      <w:r w:rsidRPr="009E06AA">
        <w:rPr>
          <w:rFonts w:cs="Calibri"/>
        </w:rPr>
        <w:t>Emissions from this category are 1,343.1 kt CO</w:t>
      </w:r>
      <w:r w:rsidRPr="009E06AA">
        <w:rPr>
          <w:rFonts w:cs="Calibri"/>
          <w:vertAlign w:val="subscript"/>
          <w:lang w:eastAsia="en-GB"/>
        </w:rPr>
        <w:t>2</w:t>
      </w:r>
      <w:r w:rsidRPr="009E06AA">
        <w:rPr>
          <w:rFonts w:cs="Calibri"/>
        </w:rPr>
        <w:t>-e (28.2 per cent) higher than the 1990 level of 4,755.8 kt CO</w:t>
      </w:r>
      <w:r w:rsidRPr="009E06AA">
        <w:rPr>
          <w:rFonts w:cs="Calibri"/>
          <w:vertAlign w:val="subscript"/>
          <w:lang w:eastAsia="en-GB"/>
        </w:rPr>
        <w:t>2</w:t>
      </w:r>
      <w:r w:rsidRPr="009E06AA">
        <w:rPr>
          <w:rFonts w:cs="Calibri"/>
        </w:rPr>
        <w:t xml:space="preserve">-e. The most significant categories contributing to this increase were </w:t>
      </w:r>
      <w:r w:rsidRPr="009E06AA">
        <w:rPr>
          <w:rFonts w:cs="Calibri"/>
          <w:i/>
          <w:iCs/>
          <w:lang w:eastAsia="en-GB"/>
        </w:rPr>
        <w:t>Food processing</w:t>
      </w:r>
      <w:r w:rsidRPr="009E06AA">
        <w:rPr>
          <w:rFonts w:cs="Calibri"/>
        </w:rPr>
        <w:t xml:space="preserve"> (up 1,013.2 kt CO</w:t>
      </w:r>
      <w:r w:rsidRPr="009E06AA">
        <w:rPr>
          <w:rFonts w:cs="Calibri"/>
          <w:vertAlign w:val="subscript"/>
          <w:lang w:eastAsia="en-GB"/>
        </w:rPr>
        <w:t>2</w:t>
      </w:r>
      <w:r w:rsidRPr="009E06AA">
        <w:rPr>
          <w:rFonts w:cs="Calibri"/>
        </w:rPr>
        <w:t xml:space="preserve">-e or 60.6 per cent) and </w:t>
      </w:r>
      <w:r w:rsidRPr="009E06AA">
        <w:rPr>
          <w:rFonts w:cs="Calibri"/>
          <w:i/>
          <w:iCs/>
          <w:lang w:eastAsia="en-GB"/>
        </w:rPr>
        <w:t>Chemicals</w:t>
      </w:r>
      <w:r w:rsidRPr="009E06AA">
        <w:rPr>
          <w:rFonts w:cs="Calibri"/>
        </w:rPr>
        <w:t xml:space="preserve"> (up 728.7 kt CO</w:t>
      </w:r>
      <w:r w:rsidRPr="009E06AA">
        <w:rPr>
          <w:rFonts w:cs="Calibri"/>
          <w:vertAlign w:val="subscript"/>
          <w:lang w:eastAsia="en-GB"/>
        </w:rPr>
        <w:t>2</w:t>
      </w:r>
      <w:r w:rsidRPr="009E06AA">
        <w:rPr>
          <w:rFonts w:cs="Calibri"/>
        </w:rPr>
        <w:t>-e or 135.9 per cent).</w:t>
      </w:r>
    </w:p>
    <w:p w14:paraId="5C464B32" w14:textId="77777777" w:rsidR="00D97D6C" w:rsidRPr="009E06AA" w:rsidRDefault="00D97D6C" w:rsidP="00D97D6C">
      <w:pPr>
        <w:pStyle w:val="BodyText"/>
        <w:spacing w:after="100"/>
        <w:rPr>
          <w:rFonts w:cs="Calibri"/>
        </w:rPr>
      </w:pPr>
      <w:r w:rsidRPr="009E06AA">
        <w:rPr>
          <w:rFonts w:cs="Calibri"/>
        </w:rPr>
        <w:t xml:space="preserve">A decline in methanol production in 2003 to 2004 caused a significant reduction in emissions from this category. Methanol production is the largest source of emissions in category 1.A.2.c </w:t>
      </w:r>
      <w:r w:rsidRPr="009E06AA">
        <w:rPr>
          <w:rFonts w:cs="Calibri"/>
          <w:i/>
          <w:lang w:eastAsia="en-GB"/>
        </w:rPr>
        <w:t>Chemicals</w:t>
      </w:r>
      <w:r w:rsidRPr="009E06AA">
        <w:rPr>
          <w:rFonts w:cs="Calibri"/>
        </w:rPr>
        <w:t>. Methanex New Zealand restarted previously mothballed plants in 2012/13, but then mothballed the Waitara Valley plant again in early 2021.</w:t>
      </w:r>
    </w:p>
    <w:p w14:paraId="0FBFB13B" w14:textId="77777777" w:rsidR="00D97D6C" w:rsidRPr="009E06AA" w:rsidRDefault="00D97D6C" w:rsidP="00D97D6C">
      <w:pPr>
        <w:pStyle w:val="Heading4"/>
        <w:rPr>
          <w:lang w:eastAsia="en-GB"/>
        </w:rPr>
      </w:pPr>
      <w:r w:rsidRPr="009E06AA">
        <w:rPr>
          <w:lang w:eastAsia="en-GB"/>
        </w:rPr>
        <w:t xml:space="preserve">Changes in emissions between </w:t>
      </w:r>
      <w:r w:rsidRPr="009E06AA">
        <w:rPr>
          <w:rFonts w:cs="Calibri"/>
        </w:rPr>
        <w:t xml:space="preserve">2021 </w:t>
      </w:r>
      <w:r w:rsidRPr="009E06AA">
        <w:rPr>
          <w:lang w:eastAsia="en-GB"/>
        </w:rPr>
        <w:t xml:space="preserve">and </w:t>
      </w:r>
      <w:r w:rsidRPr="009E06AA">
        <w:rPr>
          <w:rFonts w:cs="Calibri"/>
        </w:rPr>
        <w:t>2022</w:t>
      </w:r>
    </w:p>
    <w:p w14:paraId="47FEE5C5" w14:textId="77777777" w:rsidR="00D97D6C" w:rsidRPr="009E06AA" w:rsidRDefault="00D97D6C" w:rsidP="00D97D6C">
      <w:pPr>
        <w:pStyle w:val="BodyText"/>
        <w:spacing w:before="100" w:after="100"/>
        <w:rPr>
          <w:lang w:eastAsia="en-GB"/>
        </w:rPr>
      </w:pPr>
      <w:r w:rsidRPr="009E06AA">
        <w:rPr>
          <w:lang w:eastAsia="en-GB"/>
        </w:rPr>
        <w:t xml:space="preserve">Between </w:t>
      </w:r>
      <w:r w:rsidRPr="009E06AA">
        <w:rPr>
          <w:rFonts w:cs="Calibri"/>
        </w:rPr>
        <w:t>2021</w:t>
      </w:r>
      <w:r w:rsidRPr="009E06AA">
        <w:rPr>
          <w:lang w:eastAsia="en-GB"/>
        </w:rPr>
        <w:t xml:space="preserve"> and </w:t>
      </w:r>
      <w:r w:rsidRPr="009E06AA">
        <w:rPr>
          <w:rFonts w:cs="Calibri"/>
        </w:rPr>
        <w:t>2022</w:t>
      </w:r>
      <w:r w:rsidRPr="009E06AA">
        <w:rPr>
          <w:lang w:eastAsia="en-GB"/>
        </w:rPr>
        <w:t xml:space="preserve">, </w:t>
      </w:r>
      <w:r w:rsidRPr="009E06AA">
        <w:rPr>
          <w:rFonts w:cs="Calibri"/>
        </w:rPr>
        <w:t>emissions</w:t>
      </w:r>
      <w:r w:rsidRPr="009E06AA">
        <w:rPr>
          <w:lang w:eastAsia="en-GB"/>
        </w:rPr>
        <w:t xml:space="preserve"> from the </w:t>
      </w:r>
      <w:r w:rsidRPr="009E06AA">
        <w:rPr>
          <w:i/>
          <w:lang w:eastAsia="en-GB"/>
        </w:rPr>
        <w:t>Manufacturing industries and construction</w:t>
      </w:r>
      <w:r w:rsidRPr="009E06AA">
        <w:rPr>
          <w:lang w:eastAsia="en-GB"/>
        </w:rPr>
        <w:t xml:space="preserve"> category decreased by </w:t>
      </w:r>
      <w:r w:rsidRPr="009E06AA">
        <w:rPr>
          <w:rFonts w:cs="Calibri"/>
        </w:rPr>
        <w:t xml:space="preserve">199.3 </w:t>
      </w:r>
      <w:r w:rsidRPr="009E06AA">
        <w:rPr>
          <w:lang w:eastAsia="en-GB"/>
        </w:rPr>
        <w:t>kt CO</w:t>
      </w:r>
      <w:r w:rsidRPr="009E06AA">
        <w:rPr>
          <w:vertAlign w:val="subscript"/>
          <w:lang w:eastAsia="en-GB"/>
        </w:rPr>
        <w:t>2</w:t>
      </w:r>
      <w:r w:rsidRPr="009E06AA">
        <w:rPr>
          <w:lang w:eastAsia="en-GB"/>
        </w:rPr>
        <w:t>-e (</w:t>
      </w:r>
      <w:r w:rsidRPr="009E06AA">
        <w:rPr>
          <w:rFonts w:cs="Calibri"/>
        </w:rPr>
        <w:t>3.2 per cent</w:t>
      </w:r>
      <w:r w:rsidRPr="009E06AA">
        <w:rPr>
          <w:lang w:eastAsia="en-GB"/>
        </w:rPr>
        <w:t xml:space="preserve">). This was driven chiefly by a decrease in emissions from the </w:t>
      </w:r>
      <w:r w:rsidRPr="009E06AA">
        <w:rPr>
          <w:i/>
          <w:lang w:eastAsia="en-GB"/>
        </w:rPr>
        <w:t>Food processing</w:t>
      </w:r>
      <w:r w:rsidRPr="009E06AA">
        <w:rPr>
          <w:lang w:eastAsia="en-GB"/>
        </w:rPr>
        <w:t xml:space="preserve"> category, down 120.6</w:t>
      </w:r>
      <w:r w:rsidRPr="009E06AA">
        <w:rPr>
          <w:rFonts w:cs="Calibri"/>
        </w:rPr>
        <w:t xml:space="preserve"> </w:t>
      </w:r>
      <w:r w:rsidRPr="009E06AA">
        <w:rPr>
          <w:lang w:eastAsia="en-GB"/>
        </w:rPr>
        <w:t>kt CO</w:t>
      </w:r>
      <w:r w:rsidRPr="009E06AA">
        <w:rPr>
          <w:vertAlign w:val="subscript"/>
          <w:lang w:eastAsia="en-GB"/>
        </w:rPr>
        <w:t>2</w:t>
      </w:r>
      <w:r w:rsidRPr="009E06AA">
        <w:rPr>
          <w:lang w:eastAsia="en-GB"/>
        </w:rPr>
        <w:t>-e (</w:t>
      </w:r>
      <w:r w:rsidRPr="009E06AA">
        <w:rPr>
          <w:rFonts w:cs="Calibri"/>
        </w:rPr>
        <w:t>4.3 per cent</w:t>
      </w:r>
      <w:r w:rsidRPr="009E06AA">
        <w:rPr>
          <w:lang w:eastAsia="en-GB"/>
        </w:rPr>
        <w:t>) from 2021. This drop is largely a result of a number of food processing facilities switching their source of energy from coal to electricity or biomass. For example, Fonterra’s Te Awamutu site started using biomass instead of coal to operate in 2022.</w:t>
      </w:r>
    </w:p>
    <w:p w14:paraId="18C19F65" w14:textId="77777777" w:rsidR="00D97D6C" w:rsidRPr="009E06AA" w:rsidRDefault="00D97D6C" w:rsidP="00D97D6C">
      <w:pPr>
        <w:pStyle w:val="BodyText"/>
        <w:spacing w:before="100" w:after="100"/>
        <w:rPr>
          <w:rFonts w:cs="Calibri"/>
        </w:rPr>
      </w:pPr>
      <w:r w:rsidRPr="009E06AA">
        <w:rPr>
          <w:rFonts w:cs="Calibri"/>
        </w:rPr>
        <w:t xml:space="preserve">Key categories identified in the 2022 level and trend assessment for the </w:t>
      </w:r>
      <w:r w:rsidRPr="009E06AA">
        <w:rPr>
          <w:rFonts w:cs="Calibri"/>
          <w:i/>
        </w:rPr>
        <w:t>Manufacturing industries and construction</w:t>
      </w:r>
      <w:r w:rsidRPr="009E06AA">
        <w:rPr>
          <w:rFonts w:cs="Calibri"/>
        </w:rPr>
        <w:t xml:space="preserve"> category are given in table 3.2.3.</w:t>
      </w:r>
    </w:p>
    <w:p w14:paraId="570C9D96" w14:textId="77777777" w:rsidR="00D97D6C" w:rsidRPr="009E06AA" w:rsidRDefault="00D97D6C" w:rsidP="00D97D6C">
      <w:pPr>
        <w:pStyle w:val="Table"/>
        <w:rPr>
          <w:rFonts w:cs="Calibri"/>
        </w:rPr>
      </w:pPr>
      <w:bookmarkStart w:id="367" w:name="_Toc68786407"/>
      <w:bookmarkStart w:id="368" w:name="_Toc164153806"/>
      <w:r w:rsidRPr="009E06AA">
        <w:rPr>
          <w:rFonts w:cs="Calibri"/>
        </w:rPr>
        <w:t>Table 3.2.3</w:t>
      </w:r>
      <w:r w:rsidRPr="009E06AA">
        <w:rPr>
          <w:rFonts w:cs="Calibri"/>
        </w:rPr>
        <w:tab/>
        <w:t xml:space="preserve">Key categories for 1.A.2 </w:t>
      </w:r>
      <w:r w:rsidRPr="009E06AA">
        <w:rPr>
          <w:i/>
          <w:iCs/>
        </w:rPr>
        <w:t>Manufacturing industries and construction</w:t>
      </w:r>
      <w:bookmarkEnd w:id="367"/>
      <w:bookmarkEnd w:id="368"/>
    </w:p>
    <w:tbl>
      <w:tblPr>
        <w:tblW w:w="8505" w:type="dxa"/>
        <w:tblBorders>
          <w:top w:val="single" w:sz="4" w:space="0" w:color="1B556B"/>
          <w:bottom w:val="single" w:sz="4" w:space="0" w:color="1B556B"/>
          <w:insideH w:val="single" w:sz="4" w:space="0" w:color="1B556B"/>
          <w:insideV w:val="single" w:sz="4" w:space="0" w:color="1B556B"/>
        </w:tblBorders>
        <w:tblLook w:val="0420" w:firstRow="1" w:lastRow="0" w:firstColumn="0" w:lastColumn="0" w:noHBand="0" w:noVBand="1"/>
      </w:tblPr>
      <w:tblGrid>
        <w:gridCol w:w="3740"/>
        <w:gridCol w:w="1242"/>
        <w:gridCol w:w="1082"/>
        <w:gridCol w:w="2441"/>
      </w:tblGrid>
      <w:tr w:rsidR="00D97D6C" w:rsidRPr="009E06AA" w14:paraId="6A4CC14A" w14:textId="77777777" w:rsidTr="00B55F24">
        <w:trPr>
          <w:tblHeader/>
        </w:trPr>
        <w:tc>
          <w:tcPr>
            <w:tcW w:w="2199" w:type="pct"/>
            <w:shd w:val="clear" w:color="auto" w:fill="1B556B"/>
            <w:noWrap/>
            <w:vAlign w:val="bottom"/>
            <w:hideMark/>
          </w:tcPr>
          <w:p w14:paraId="1A0670AA" w14:textId="77777777" w:rsidR="00D97D6C" w:rsidRPr="009E06AA" w:rsidRDefault="00D97D6C" w:rsidP="00B55F24">
            <w:pPr>
              <w:pStyle w:val="TableTextBold"/>
              <w:spacing w:before="40" w:after="40"/>
              <w:rPr>
                <w:rFonts w:cs="Calibri"/>
                <w:noProof w:val="0"/>
                <w:color w:val="FFFFFF"/>
              </w:rPr>
            </w:pPr>
            <w:r w:rsidRPr="009E06AA">
              <w:rPr>
                <w:rFonts w:cs="Calibri"/>
                <w:noProof w:val="0"/>
                <w:color w:val="FFFFFF"/>
              </w:rPr>
              <w:t xml:space="preserve">Category </w:t>
            </w:r>
          </w:p>
        </w:tc>
        <w:tc>
          <w:tcPr>
            <w:tcW w:w="730" w:type="pct"/>
            <w:shd w:val="clear" w:color="auto" w:fill="1B556B"/>
            <w:noWrap/>
            <w:vAlign w:val="bottom"/>
            <w:hideMark/>
          </w:tcPr>
          <w:p w14:paraId="041CF630" w14:textId="77777777" w:rsidR="00D97D6C" w:rsidRPr="009E06AA" w:rsidRDefault="00D97D6C" w:rsidP="00B55F24">
            <w:pPr>
              <w:pStyle w:val="TableTextBold"/>
              <w:spacing w:before="40" w:after="40"/>
              <w:rPr>
                <w:rFonts w:cs="Calibri"/>
                <w:noProof w:val="0"/>
                <w:color w:val="FFFFFF"/>
              </w:rPr>
            </w:pPr>
            <w:r w:rsidRPr="009E06AA">
              <w:rPr>
                <w:rFonts w:cs="Calibri"/>
                <w:noProof w:val="0"/>
                <w:color w:val="FFFFFF"/>
              </w:rPr>
              <w:t>Liquid fuels</w:t>
            </w:r>
          </w:p>
        </w:tc>
        <w:tc>
          <w:tcPr>
            <w:tcW w:w="636" w:type="pct"/>
            <w:shd w:val="clear" w:color="auto" w:fill="1B556B"/>
            <w:vAlign w:val="bottom"/>
            <w:hideMark/>
          </w:tcPr>
          <w:p w14:paraId="661D4D67" w14:textId="77777777" w:rsidR="00D97D6C" w:rsidRPr="009E06AA" w:rsidRDefault="00D97D6C" w:rsidP="00B55F24">
            <w:pPr>
              <w:pStyle w:val="TableTextBold"/>
              <w:spacing w:before="40" w:after="40"/>
              <w:rPr>
                <w:rFonts w:cs="Calibri"/>
                <w:noProof w:val="0"/>
                <w:color w:val="FFFFFF"/>
              </w:rPr>
            </w:pPr>
            <w:r w:rsidRPr="009E06AA">
              <w:rPr>
                <w:rFonts w:cs="Calibri"/>
                <w:noProof w:val="0"/>
                <w:color w:val="FFFFFF"/>
              </w:rPr>
              <w:t>Solid fuels</w:t>
            </w:r>
          </w:p>
        </w:tc>
        <w:tc>
          <w:tcPr>
            <w:tcW w:w="1435" w:type="pct"/>
            <w:shd w:val="clear" w:color="auto" w:fill="1B556B"/>
            <w:vAlign w:val="bottom"/>
            <w:hideMark/>
          </w:tcPr>
          <w:p w14:paraId="0D2F4A94" w14:textId="77777777" w:rsidR="00D97D6C" w:rsidRPr="009E06AA" w:rsidRDefault="00D97D6C" w:rsidP="00B55F24">
            <w:pPr>
              <w:pStyle w:val="TableTextBold"/>
              <w:spacing w:before="40" w:after="40"/>
              <w:rPr>
                <w:rFonts w:cs="Calibri"/>
                <w:noProof w:val="0"/>
                <w:color w:val="FFFFFF"/>
              </w:rPr>
            </w:pPr>
            <w:r w:rsidRPr="009E06AA">
              <w:rPr>
                <w:rFonts w:cs="Calibri"/>
                <w:noProof w:val="0"/>
                <w:color w:val="FFFFFF"/>
              </w:rPr>
              <w:t>Gaseous fuels</w:t>
            </w:r>
          </w:p>
        </w:tc>
      </w:tr>
      <w:tr w:rsidR="00D97D6C" w:rsidRPr="009E06AA" w14:paraId="3D8F71D6" w14:textId="77777777" w:rsidTr="00B55F24">
        <w:tc>
          <w:tcPr>
            <w:tcW w:w="2199" w:type="pct"/>
            <w:shd w:val="clear" w:color="auto" w:fill="auto"/>
            <w:noWrap/>
          </w:tcPr>
          <w:p w14:paraId="1DA0368F" w14:textId="77777777" w:rsidR="00D97D6C" w:rsidRPr="009E06AA" w:rsidRDefault="00D97D6C" w:rsidP="00B55F24">
            <w:pPr>
              <w:pStyle w:val="TableText"/>
              <w:spacing w:before="40" w:after="40"/>
              <w:rPr>
                <w:rFonts w:cs="Calibri"/>
              </w:rPr>
            </w:pPr>
            <w:r w:rsidRPr="009E06AA">
              <w:rPr>
                <w:rFonts w:cs="Calibri"/>
              </w:rPr>
              <w:t>Chemicals – CO</w:t>
            </w:r>
            <w:r w:rsidRPr="009E06AA">
              <w:rPr>
                <w:rFonts w:cs="Calibri"/>
                <w:vertAlign w:val="subscript"/>
              </w:rPr>
              <w:t>2</w:t>
            </w:r>
          </w:p>
        </w:tc>
        <w:tc>
          <w:tcPr>
            <w:tcW w:w="730" w:type="pct"/>
            <w:shd w:val="clear" w:color="auto" w:fill="auto"/>
            <w:noWrap/>
          </w:tcPr>
          <w:p w14:paraId="2659DD66" w14:textId="77777777" w:rsidR="00D97D6C" w:rsidRPr="009E06AA" w:rsidRDefault="00D97D6C" w:rsidP="00B55F24">
            <w:pPr>
              <w:pStyle w:val="TableText"/>
              <w:spacing w:before="40" w:after="40"/>
              <w:rPr>
                <w:rFonts w:cs="Calibri"/>
              </w:rPr>
            </w:pPr>
            <w:r w:rsidRPr="009E06AA">
              <w:rPr>
                <w:rFonts w:cs="Calibri"/>
              </w:rPr>
              <w:t>–</w:t>
            </w:r>
          </w:p>
        </w:tc>
        <w:tc>
          <w:tcPr>
            <w:tcW w:w="636" w:type="pct"/>
            <w:shd w:val="clear" w:color="auto" w:fill="auto"/>
            <w:noWrap/>
          </w:tcPr>
          <w:p w14:paraId="608F568A" w14:textId="77777777" w:rsidR="00D97D6C" w:rsidRPr="009E06AA" w:rsidRDefault="00D97D6C" w:rsidP="00B55F24">
            <w:pPr>
              <w:pStyle w:val="TableText"/>
              <w:spacing w:before="40" w:after="40"/>
              <w:rPr>
                <w:rFonts w:cs="Calibri"/>
              </w:rPr>
            </w:pPr>
            <w:r w:rsidRPr="009E06AA">
              <w:rPr>
                <w:rFonts w:cs="Calibri"/>
              </w:rPr>
              <w:t>–</w:t>
            </w:r>
          </w:p>
        </w:tc>
        <w:tc>
          <w:tcPr>
            <w:tcW w:w="1435" w:type="pct"/>
            <w:shd w:val="clear" w:color="auto" w:fill="auto"/>
            <w:noWrap/>
          </w:tcPr>
          <w:p w14:paraId="75F7C6B8" w14:textId="77777777" w:rsidR="00D97D6C" w:rsidRPr="009E06AA" w:rsidRDefault="00D97D6C" w:rsidP="00B55F24">
            <w:pPr>
              <w:pStyle w:val="TableText"/>
              <w:spacing w:before="40" w:after="40"/>
              <w:rPr>
                <w:rFonts w:cs="Calibri"/>
              </w:rPr>
            </w:pPr>
            <w:r w:rsidRPr="009E06AA">
              <w:rPr>
                <w:rFonts w:cs="Calibri"/>
              </w:rPr>
              <w:t>Level, trend</w:t>
            </w:r>
          </w:p>
        </w:tc>
      </w:tr>
      <w:tr w:rsidR="00D97D6C" w:rsidRPr="009E06AA" w14:paraId="170C2F1C" w14:textId="77777777" w:rsidTr="00B55F24">
        <w:tc>
          <w:tcPr>
            <w:tcW w:w="2199" w:type="pct"/>
            <w:shd w:val="clear" w:color="auto" w:fill="auto"/>
            <w:noWrap/>
            <w:hideMark/>
          </w:tcPr>
          <w:p w14:paraId="430EF549" w14:textId="77777777" w:rsidR="00D97D6C" w:rsidRPr="009E06AA" w:rsidRDefault="00D97D6C" w:rsidP="00B55F24">
            <w:pPr>
              <w:pStyle w:val="TableText"/>
              <w:spacing w:before="40" w:after="40"/>
              <w:rPr>
                <w:rFonts w:cs="Calibri"/>
              </w:rPr>
            </w:pPr>
            <w:r w:rsidRPr="009E06AA">
              <w:rPr>
                <w:rFonts w:cs="Calibri"/>
              </w:rPr>
              <w:t>Pulp, paper and print – CO</w:t>
            </w:r>
            <w:r w:rsidRPr="009E06AA">
              <w:rPr>
                <w:rFonts w:cs="Calibri"/>
                <w:vertAlign w:val="subscript"/>
              </w:rPr>
              <w:t>2</w:t>
            </w:r>
          </w:p>
        </w:tc>
        <w:tc>
          <w:tcPr>
            <w:tcW w:w="730" w:type="pct"/>
            <w:shd w:val="clear" w:color="auto" w:fill="auto"/>
            <w:noWrap/>
            <w:hideMark/>
          </w:tcPr>
          <w:p w14:paraId="2FE4C37E" w14:textId="77777777" w:rsidR="00D97D6C" w:rsidRPr="009E06AA" w:rsidRDefault="00D97D6C" w:rsidP="00B55F24">
            <w:pPr>
              <w:pStyle w:val="TableText"/>
              <w:spacing w:before="40" w:after="40"/>
              <w:rPr>
                <w:rFonts w:cs="Calibri"/>
              </w:rPr>
            </w:pPr>
            <w:r w:rsidRPr="009E06AA">
              <w:rPr>
                <w:rFonts w:cs="Calibri"/>
              </w:rPr>
              <w:t>–</w:t>
            </w:r>
          </w:p>
        </w:tc>
        <w:tc>
          <w:tcPr>
            <w:tcW w:w="636" w:type="pct"/>
            <w:shd w:val="clear" w:color="auto" w:fill="auto"/>
            <w:noWrap/>
          </w:tcPr>
          <w:p w14:paraId="762C87AC" w14:textId="77777777" w:rsidR="00D97D6C" w:rsidRPr="009E06AA" w:rsidRDefault="00D97D6C" w:rsidP="00B55F24">
            <w:pPr>
              <w:pStyle w:val="TableText"/>
              <w:spacing w:before="40" w:after="40"/>
              <w:rPr>
                <w:rFonts w:cs="Calibri"/>
              </w:rPr>
            </w:pPr>
            <w:r w:rsidRPr="009E06AA">
              <w:rPr>
                <w:rFonts w:cs="Calibri"/>
              </w:rPr>
              <w:t>Trend</w:t>
            </w:r>
          </w:p>
        </w:tc>
        <w:tc>
          <w:tcPr>
            <w:tcW w:w="1435" w:type="pct"/>
            <w:shd w:val="clear" w:color="auto" w:fill="auto"/>
            <w:noWrap/>
            <w:hideMark/>
          </w:tcPr>
          <w:p w14:paraId="255DB597" w14:textId="77777777" w:rsidR="00D97D6C" w:rsidRPr="009E06AA" w:rsidRDefault="00D97D6C" w:rsidP="00B55F24">
            <w:pPr>
              <w:pStyle w:val="TableText"/>
              <w:spacing w:before="40" w:after="40"/>
              <w:rPr>
                <w:rFonts w:cs="Calibri"/>
              </w:rPr>
            </w:pPr>
            <w:r w:rsidRPr="009E06AA">
              <w:rPr>
                <w:rFonts w:cs="Calibri"/>
              </w:rPr>
              <w:t>Trend</w:t>
            </w:r>
          </w:p>
        </w:tc>
      </w:tr>
      <w:tr w:rsidR="00D97D6C" w:rsidRPr="009E06AA" w14:paraId="71660882" w14:textId="77777777" w:rsidTr="00B55F24">
        <w:tc>
          <w:tcPr>
            <w:tcW w:w="2199" w:type="pct"/>
            <w:shd w:val="clear" w:color="auto" w:fill="auto"/>
            <w:noWrap/>
          </w:tcPr>
          <w:p w14:paraId="49780310" w14:textId="77777777" w:rsidR="00D97D6C" w:rsidRPr="009E06AA" w:rsidRDefault="00D97D6C" w:rsidP="00B55F24">
            <w:pPr>
              <w:pStyle w:val="TableText"/>
              <w:spacing w:before="40" w:after="40"/>
              <w:rPr>
                <w:rFonts w:cs="Calibri"/>
              </w:rPr>
            </w:pPr>
            <w:r w:rsidRPr="009E06AA">
              <w:rPr>
                <w:rFonts w:cs="Calibri"/>
              </w:rPr>
              <w:t>Food processing, beverages and tobacco – CO</w:t>
            </w:r>
            <w:r w:rsidRPr="009E06AA">
              <w:rPr>
                <w:rFonts w:cs="Calibri"/>
                <w:vertAlign w:val="subscript"/>
              </w:rPr>
              <w:t>2</w:t>
            </w:r>
          </w:p>
        </w:tc>
        <w:tc>
          <w:tcPr>
            <w:tcW w:w="730" w:type="pct"/>
            <w:shd w:val="clear" w:color="auto" w:fill="auto"/>
            <w:noWrap/>
          </w:tcPr>
          <w:p w14:paraId="1C1A5801" w14:textId="77777777" w:rsidR="00D97D6C" w:rsidRPr="009E06AA" w:rsidRDefault="00D97D6C" w:rsidP="00B55F24">
            <w:pPr>
              <w:pStyle w:val="TableText"/>
              <w:spacing w:before="40" w:after="40"/>
              <w:rPr>
                <w:rFonts w:cs="Calibri"/>
              </w:rPr>
            </w:pPr>
            <w:r w:rsidRPr="009E06AA">
              <w:rPr>
                <w:rFonts w:cs="Calibri"/>
              </w:rPr>
              <w:t>Level</w:t>
            </w:r>
          </w:p>
        </w:tc>
        <w:tc>
          <w:tcPr>
            <w:tcW w:w="636" w:type="pct"/>
            <w:shd w:val="clear" w:color="auto" w:fill="auto"/>
            <w:noWrap/>
          </w:tcPr>
          <w:p w14:paraId="39AED403" w14:textId="77777777" w:rsidR="00D97D6C" w:rsidRPr="009E06AA" w:rsidRDefault="00D97D6C" w:rsidP="00B55F24">
            <w:pPr>
              <w:pStyle w:val="TableText"/>
              <w:spacing w:before="40" w:after="40"/>
              <w:rPr>
                <w:rFonts w:cs="Calibri"/>
              </w:rPr>
            </w:pPr>
            <w:r w:rsidRPr="009E06AA">
              <w:rPr>
                <w:rFonts w:cs="Calibri"/>
              </w:rPr>
              <w:t>Level, trend</w:t>
            </w:r>
          </w:p>
        </w:tc>
        <w:tc>
          <w:tcPr>
            <w:tcW w:w="1435" w:type="pct"/>
            <w:shd w:val="clear" w:color="auto" w:fill="auto"/>
            <w:noWrap/>
          </w:tcPr>
          <w:p w14:paraId="03085308" w14:textId="77777777" w:rsidR="00D97D6C" w:rsidRPr="009E06AA" w:rsidRDefault="00D97D6C" w:rsidP="00B55F24">
            <w:pPr>
              <w:pStyle w:val="TableText"/>
              <w:spacing w:before="40" w:after="40"/>
              <w:rPr>
                <w:rFonts w:cs="Calibri"/>
              </w:rPr>
            </w:pPr>
            <w:r w:rsidRPr="009E06AA">
              <w:rPr>
                <w:rFonts w:cs="Calibri"/>
              </w:rPr>
              <w:t>Level, trend</w:t>
            </w:r>
          </w:p>
        </w:tc>
      </w:tr>
      <w:tr w:rsidR="00D97D6C" w:rsidRPr="009E06AA" w14:paraId="4619EBF4" w14:textId="77777777" w:rsidTr="00B55F24">
        <w:tc>
          <w:tcPr>
            <w:tcW w:w="2199" w:type="pct"/>
            <w:shd w:val="clear" w:color="auto" w:fill="auto"/>
            <w:noWrap/>
          </w:tcPr>
          <w:p w14:paraId="726162AE" w14:textId="77777777" w:rsidR="00D97D6C" w:rsidRPr="009E06AA" w:rsidRDefault="00D97D6C" w:rsidP="00B55F24">
            <w:pPr>
              <w:pStyle w:val="TableText"/>
              <w:spacing w:before="40" w:after="40"/>
              <w:rPr>
                <w:rFonts w:cs="Calibri"/>
              </w:rPr>
            </w:pPr>
            <w:r w:rsidRPr="009E06AA">
              <w:rPr>
                <w:rFonts w:cs="Calibri"/>
              </w:rPr>
              <w:t>Non-metallic minerals – CO</w:t>
            </w:r>
            <w:r w:rsidRPr="009E06AA">
              <w:rPr>
                <w:rFonts w:cs="Calibri"/>
                <w:vertAlign w:val="subscript"/>
              </w:rPr>
              <w:t>2</w:t>
            </w:r>
          </w:p>
        </w:tc>
        <w:tc>
          <w:tcPr>
            <w:tcW w:w="730" w:type="pct"/>
            <w:shd w:val="clear" w:color="auto" w:fill="auto"/>
            <w:noWrap/>
          </w:tcPr>
          <w:p w14:paraId="1D139CEE" w14:textId="77777777" w:rsidR="00D97D6C" w:rsidRPr="009E06AA" w:rsidRDefault="00D97D6C" w:rsidP="00B55F24">
            <w:pPr>
              <w:pStyle w:val="TableText"/>
              <w:spacing w:before="40" w:after="40"/>
              <w:rPr>
                <w:rFonts w:cs="Calibri"/>
              </w:rPr>
            </w:pPr>
            <w:r w:rsidRPr="009E06AA">
              <w:rPr>
                <w:rFonts w:cs="Calibri"/>
              </w:rPr>
              <w:t>–</w:t>
            </w:r>
          </w:p>
        </w:tc>
        <w:tc>
          <w:tcPr>
            <w:tcW w:w="636" w:type="pct"/>
            <w:shd w:val="clear" w:color="auto" w:fill="auto"/>
            <w:noWrap/>
          </w:tcPr>
          <w:p w14:paraId="147829B6" w14:textId="77777777" w:rsidR="00D97D6C" w:rsidRPr="009E06AA" w:rsidRDefault="00D97D6C" w:rsidP="00B55F24">
            <w:pPr>
              <w:pStyle w:val="TableText"/>
              <w:spacing w:before="40" w:after="40"/>
              <w:rPr>
                <w:rFonts w:cs="Calibri"/>
              </w:rPr>
            </w:pPr>
            <w:r w:rsidRPr="009E06AA">
              <w:rPr>
                <w:rFonts w:cs="Calibri"/>
              </w:rPr>
              <w:t>Level, trend</w:t>
            </w:r>
          </w:p>
        </w:tc>
        <w:tc>
          <w:tcPr>
            <w:tcW w:w="1435" w:type="pct"/>
            <w:shd w:val="clear" w:color="auto" w:fill="auto"/>
            <w:noWrap/>
          </w:tcPr>
          <w:p w14:paraId="60E4D706" w14:textId="77777777" w:rsidR="00D97D6C" w:rsidRPr="009E06AA" w:rsidRDefault="00D97D6C" w:rsidP="00B55F24">
            <w:pPr>
              <w:pStyle w:val="TableText"/>
              <w:spacing w:before="40" w:after="40"/>
              <w:rPr>
                <w:rFonts w:cs="Calibri"/>
              </w:rPr>
            </w:pPr>
            <w:r w:rsidRPr="009E06AA">
              <w:rPr>
                <w:rFonts w:cs="Calibri"/>
              </w:rPr>
              <w:t>–</w:t>
            </w:r>
          </w:p>
        </w:tc>
      </w:tr>
      <w:tr w:rsidR="00D97D6C" w:rsidRPr="009E06AA" w14:paraId="3B16DF61" w14:textId="77777777" w:rsidTr="00B55F24">
        <w:tc>
          <w:tcPr>
            <w:tcW w:w="2199" w:type="pct"/>
            <w:shd w:val="clear" w:color="auto" w:fill="auto"/>
            <w:noWrap/>
          </w:tcPr>
          <w:p w14:paraId="6B7DC342" w14:textId="77777777" w:rsidR="00D97D6C" w:rsidRPr="009E06AA" w:rsidRDefault="00D97D6C" w:rsidP="00B55F24">
            <w:pPr>
              <w:pStyle w:val="TableText"/>
              <w:spacing w:before="40" w:after="40"/>
              <w:rPr>
                <w:rFonts w:cs="Calibri"/>
              </w:rPr>
            </w:pPr>
            <w:r w:rsidRPr="009E06AA">
              <w:rPr>
                <w:rFonts w:cs="Calibri"/>
              </w:rPr>
              <w:t>Other – Mining and quarrying – CO</w:t>
            </w:r>
            <w:r w:rsidRPr="009E06AA">
              <w:rPr>
                <w:rFonts w:cs="Calibri"/>
                <w:vertAlign w:val="subscript"/>
              </w:rPr>
              <w:t>2</w:t>
            </w:r>
          </w:p>
        </w:tc>
        <w:tc>
          <w:tcPr>
            <w:tcW w:w="730" w:type="pct"/>
            <w:shd w:val="clear" w:color="auto" w:fill="auto"/>
            <w:noWrap/>
          </w:tcPr>
          <w:p w14:paraId="52B8B017" w14:textId="77777777" w:rsidR="00D97D6C" w:rsidRPr="009E06AA" w:rsidRDefault="00D97D6C" w:rsidP="00B55F24">
            <w:pPr>
              <w:pStyle w:val="TableText"/>
              <w:spacing w:before="40" w:after="40"/>
              <w:rPr>
                <w:rFonts w:cs="Calibri"/>
              </w:rPr>
            </w:pPr>
            <w:r w:rsidRPr="009E06AA">
              <w:rPr>
                <w:rFonts w:cs="Calibri"/>
              </w:rPr>
              <w:t>Level, trend</w:t>
            </w:r>
          </w:p>
        </w:tc>
        <w:tc>
          <w:tcPr>
            <w:tcW w:w="636" w:type="pct"/>
            <w:shd w:val="clear" w:color="auto" w:fill="auto"/>
            <w:noWrap/>
          </w:tcPr>
          <w:p w14:paraId="1248389A" w14:textId="77777777" w:rsidR="00D97D6C" w:rsidRPr="009E06AA" w:rsidRDefault="00D97D6C" w:rsidP="00B55F24">
            <w:pPr>
              <w:pStyle w:val="TableText"/>
              <w:spacing w:before="40" w:after="40"/>
              <w:rPr>
                <w:rFonts w:cs="Calibri"/>
              </w:rPr>
            </w:pPr>
            <w:r w:rsidRPr="009E06AA">
              <w:rPr>
                <w:rFonts w:cs="Calibri"/>
              </w:rPr>
              <w:t>–</w:t>
            </w:r>
          </w:p>
        </w:tc>
        <w:tc>
          <w:tcPr>
            <w:tcW w:w="1435" w:type="pct"/>
            <w:shd w:val="clear" w:color="auto" w:fill="auto"/>
            <w:noWrap/>
          </w:tcPr>
          <w:p w14:paraId="77B0220A" w14:textId="77777777" w:rsidR="00D97D6C" w:rsidRPr="009E06AA" w:rsidRDefault="00D97D6C" w:rsidP="00B55F24">
            <w:pPr>
              <w:pStyle w:val="TableText"/>
              <w:spacing w:before="40" w:after="40"/>
              <w:rPr>
                <w:rFonts w:cs="Calibri"/>
              </w:rPr>
            </w:pPr>
            <w:r w:rsidRPr="009E06AA">
              <w:rPr>
                <w:rFonts w:cs="Calibri"/>
              </w:rPr>
              <w:t>–</w:t>
            </w:r>
          </w:p>
        </w:tc>
      </w:tr>
      <w:tr w:rsidR="00D97D6C" w:rsidRPr="009E06AA" w14:paraId="3320F692" w14:textId="77777777" w:rsidTr="00B55F24">
        <w:tc>
          <w:tcPr>
            <w:tcW w:w="2199" w:type="pct"/>
            <w:shd w:val="clear" w:color="auto" w:fill="auto"/>
            <w:noWrap/>
          </w:tcPr>
          <w:p w14:paraId="77846EEA" w14:textId="77777777" w:rsidR="00D97D6C" w:rsidRPr="009E06AA" w:rsidRDefault="00D97D6C" w:rsidP="00B55F24">
            <w:pPr>
              <w:pStyle w:val="TableText"/>
              <w:spacing w:before="40" w:after="40"/>
              <w:rPr>
                <w:rFonts w:cs="Calibri"/>
              </w:rPr>
            </w:pPr>
            <w:r w:rsidRPr="009E06AA">
              <w:rPr>
                <w:rFonts w:cs="Calibri"/>
              </w:rPr>
              <w:t>Other – Construction – CO</w:t>
            </w:r>
            <w:r w:rsidRPr="009E06AA">
              <w:rPr>
                <w:rFonts w:cs="Calibri"/>
                <w:szCs w:val="16"/>
                <w:vertAlign w:val="subscript"/>
              </w:rPr>
              <w:t>2</w:t>
            </w:r>
            <w:r w:rsidRPr="009E06AA">
              <w:rPr>
                <w:rFonts w:cs="Calibri"/>
              </w:rPr>
              <w:t>*</w:t>
            </w:r>
          </w:p>
        </w:tc>
        <w:tc>
          <w:tcPr>
            <w:tcW w:w="730" w:type="pct"/>
            <w:shd w:val="clear" w:color="auto" w:fill="auto"/>
            <w:noWrap/>
          </w:tcPr>
          <w:p w14:paraId="2EA00FAE" w14:textId="77777777" w:rsidR="00D97D6C" w:rsidRPr="009E06AA" w:rsidRDefault="00D97D6C" w:rsidP="00B55F24">
            <w:pPr>
              <w:pStyle w:val="TableText"/>
              <w:spacing w:before="40" w:after="40"/>
              <w:rPr>
                <w:rFonts w:cs="Calibri"/>
              </w:rPr>
            </w:pPr>
            <w:r w:rsidRPr="009E06AA">
              <w:rPr>
                <w:rFonts w:cs="Calibri"/>
              </w:rPr>
              <w:t>Level, trend</w:t>
            </w:r>
          </w:p>
        </w:tc>
        <w:tc>
          <w:tcPr>
            <w:tcW w:w="636" w:type="pct"/>
            <w:shd w:val="clear" w:color="auto" w:fill="auto"/>
            <w:noWrap/>
          </w:tcPr>
          <w:p w14:paraId="4D8645AD" w14:textId="77777777" w:rsidR="00D97D6C" w:rsidRPr="009E06AA" w:rsidRDefault="00D97D6C" w:rsidP="00B55F24">
            <w:pPr>
              <w:pStyle w:val="TableText"/>
              <w:spacing w:before="40" w:after="40"/>
              <w:rPr>
                <w:rFonts w:cs="Calibri"/>
              </w:rPr>
            </w:pPr>
            <w:r w:rsidRPr="009E06AA">
              <w:rPr>
                <w:rFonts w:cs="Calibri"/>
              </w:rPr>
              <w:t>–</w:t>
            </w:r>
          </w:p>
        </w:tc>
        <w:tc>
          <w:tcPr>
            <w:tcW w:w="1435" w:type="pct"/>
            <w:shd w:val="clear" w:color="auto" w:fill="auto"/>
            <w:noWrap/>
          </w:tcPr>
          <w:p w14:paraId="332BD1EB" w14:textId="77777777" w:rsidR="00D97D6C" w:rsidRPr="009E06AA" w:rsidRDefault="00D97D6C" w:rsidP="00B55F24">
            <w:pPr>
              <w:pStyle w:val="TableText"/>
              <w:spacing w:before="40" w:after="40"/>
              <w:rPr>
                <w:rFonts w:cs="Calibri"/>
              </w:rPr>
            </w:pPr>
            <w:r w:rsidRPr="009E06AA">
              <w:rPr>
                <w:rFonts w:cs="Calibri"/>
              </w:rPr>
              <w:t>–</w:t>
            </w:r>
          </w:p>
        </w:tc>
      </w:tr>
      <w:tr w:rsidR="00D97D6C" w:rsidRPr="009E06AA" w14:paraId="138C4C8B" w14:textId="77777777" w:rsidTr="00B55F24">
        <w:tc>
          <w:tcPr>
            <w:tcW w:w="2199" w:type="pct"/>
            <w:shd w:val="clear" w:color="auto" w:fill="auto"/>
            <w:noWrap/>
          </w:tcPr>
          <w:p w14:paraId="129FFC7C" w14:textId="77777777" w:rsidR="00D97D6C" w:rsidRPr="009E06AA" w:rsidRDefault="00D97D6C" w:rsidP="00B55F24">
            <w:pPr>
              <w:pStyle w:val="TableText"/>
              <w:spacing w:before="40" w:after="40"/>
              <w:rPr>
                <w:rFonts w:cs="Calibri"/>
              </w:rPr>
            </w:pPr>
            <w:r w:rsidRPr="009E06AA">
              <w:rPr>
                <w:rFonts w:cs="Calibri"/>
              </w:rPr>
              <w:t>Other – Other non-specified – CO</w:t>
            </w:r>
            <w:r w:rsidRPr="009E06AA">
              <w:rPr>
                <w:rFonts w:cs="Calibri"/>
                <w:vertAlign w:val="subscript"/>
              </w:rPr>
              <w:t>2</w:t>
            </w:r>
          </w:p>
        </w:tc>
        <w:tc>
          <w:tcPr>
            <w:tcW w:w="730" w:type="pct"/>
            <w:shd w:val="clear" w:color="auto" w:fill="auto"/>
            <w:noWrap/>
          </w:tcPr>
          <w:p w14:paraId="1EA5D26D" w14:textId="77777777" w:rsidR="00D97D6C" w:rsidRPr="009E06AA" w:rsidRDefault="00D97D6C" w:rsidP="00B55F24">
            <w:pPr>
              <w:pStyle w:val="TableText"/>
              <w:spacing w:before="40" w:after="40"/>
              <w:rPr>
                <w:rFonts w:cs="Calibri"/>
              </w:rPr>
            </w:pPr>
            <w:r w:rsidRPr="009E06AA" w:rsidDel="00B177AC">
              <w:rPr>
                <w:rFonts w:cs="Calibri"/>
              </w:rPr>
              <w:t>Level, trend</w:t>
            </w:r>
          </w:p>
        </w:tc>
        <w:tc>
          <w:tcPr>
            <w:tcW w:w="636" w:type="pct"/>
            <w:shd w:val="clear" w:color="auto" w:fill="auto"/>
            <w:noWrap/>
          </w:tcPr>
          <w:p w14:paraId="5A866DF9" w14:textId="77777777" w:rsidR="00D97D6C" w:rsidRPr="009E06AA" w:rsidRDefault="00D97D6C" w:rsidP="00B55F24">
            <w:pPr>
              <w:pStyle w:val="TableText"/>
              <w:spacing w:before="40" w:after="40"/>
              <w:rPr>
                <w:rFonts w:cs="Calibri"/>
              </w:rPr>
            </w:pPr>
            <w:r w:rsidRPr="009E06AA">
              <w:rPr>
                <w:rFonts w:cs="Calibri"/>
              </w:rPr>
              <w:t>Trend</w:t>
            </w:r>
          </w:p>
        </w:tc>
        <w:tc>
          <w:tcPr>
            <w:tcW w:w="1435" w:type="pct"/>
            <w:shd w:val="clear" w:color="auto" w:fill="auto"/>
            <w:noWrap/>
          </w:tcPr>
          <w:p w14:paraId="7235C325" w14:textId="77777777" w:rsidR="00D97D6C" w:rsidRPr="009E06AA" w:rsidRDefault="00D97D6C" w:rsidP="00B55F24">
            <w:pPr>
              <w:pStyle w:val="TableText"/>
              <w:spacing w:before="40" w:after="40"/>
              <w:rPr>
                <w:rFonts w:cs="Calibri"/>
              </w:rPr>
            </w:pPr>
            <w:r w:rsidRPr="009E06AA">
              <w:rPr>
                <w:rFonts w:cs="Calibri"/>
              </w:rPr>
              <w:t>–</w:t>
            </w:r>
          </w:p>
        </w:tc>
      </w:tr>
    </w:tbl>
    <w:p w14:paraId="08612BC5" w14:textId="77777777" w:rsidR="00D97D6C" w:rsidRPr="009E06AA" w:rsidRDefault="00D97D6C" w:rsidP="00D97D6C">
      <w:pPr>
        <w:pStyle w:val="Noteundertable"/>
        <w:rPr>
          <w:lang w:eastAsia="en-GB"/>
        </w:rPr>
      </w:pPr>
      <w:r w:rsidRPr="009E06AA">
        <w:rPr>
          <w:b/>
          <w:bCs/>
          <w:lang w:eastAsia="en-GB"/>
        </w:rPr>
        <w:t>Note:</w:t>
      </w:r>
      <w:r w:rsidRPr="009E06AA">
        <w:rPr>
          <w:lang w:eastAsia="en-GB"/>
        </w:rPr>
        <w:tab/>
        <w:t>*</w:t>
      </w:r>
      <w:r w:rsidRPr="009E06AA">
        <w:rPr>
          <w:szCs w:val="19"/>
        </w:rPr>
        <w:t xml:space="preserve"> This key category is calculated using emissions that do not distinguish by fuel type; however, it is known to be primarily liquid fuels.</w:t>
      </w:r>
    </w:p>
    <w:p w14:paraId="12D8CBAF" w14:textId="77777777" w:rsidR="00D97D6C" w:rsidRPr="009E06AA" w:rsidRDefault="00D97D6C" w:rsidP="00D97D6C">
      <w:pPr>
        <w:pStyle w:val="Heading4"/>
      </w:pPr>
      <w:r w:rsidRPr="009E06AA">
        <w:t>Methodological issues</w:t>
      </w:r>
    </w:p>
    <w:p w14:paraId="220AA502" w14:textId="7DD62FBF" w:rsidR="00D97D6C" w:rsidRPr="009E06AA" w:rsidRDefault="00D97D6C" w:rsidP="00D97D6C">
      <w:pPr>
        <w:pStyle w:val="BodyText"/>
        <w:spacing w:before="100" w:after="100"/>
        <w:rPr>
          <w:rFonts w:cs="Calibri"/>
          <w:lang w:eastAsia="en-GB"/>
        </w:rPr>
      </w:pPr>
      <w:r w:rsidRPr="009E06AA">
        <w:rPr>
          <w:rFonts w:cs="Calibri"/>
          <w:lang w:eastAsia="en-GB"/>
        </w:rPr>
        <w:t xml:space="preserve">Some emissions from the use of solid fuels and gaseous fuels are excluded from the </w:t>
      </w:r>
      <w:r w:rsidRPr="009E06AA">
        <w:rPr>
          <w:rFonts w:cs="Calibri"/>
          <w:i/>
          <w:iCs/>
          <w:lang w:eastAsia="en-GB"/>
        </w:rPr>
        <w:t>Manufacturing industries and construction</w:t>
      </w:r>
      <w:r w:rsidRPr="009E06AA">
        <w:rPr>
          <w:rFonts w:cs="Calibri"/>
          <w:lang w:eastAsia="en-GB"/>
        </w:rPr>
        <w:t xml:space="preserve"> category because they are accounted for under the</w:t>
      </w:r>
      <w:r w:rsidR="004C0C49" w:rsidRPr="009E06AA">
        <w:rPr>
          <w:rFonts w:cs="Calibri"/>
          <w:lang w:eastAsia="en-GB"/>
        </w:rPr>
        <w:t> </w:t>
      </w:r>
      <w:r w:rsidRPr="009E06AA">
        <w:rPr>
          <w:rFonts w:cs="Calibri"/>
          <w:lang w:eastAsia="en-GB"/>
        </w:rPr>
        <w:t>IPPU sector, and include the following.</w:t>
      </w:r>
    </w:p>
    <w:p w14:paraId="0D690C8E" w14:textId="0E8320DC" w:rsidR="00D97D6C" w:rsidRPr="009E06AA" w:rsidRDefault="00D97D6C" w:rsidP="00D97D6C">
      <w:pPr>
        <w:pStyle w:val="Bullet"/>
        <w:spacing w:after="100"/>
        <w:rPr>
          <w:lang w:eastAsia="en-GB"/>
        </w:rPr>
      </w:pPr>
      <w:r w:rsidRPr="009E06AA">
        <w:rPr>
          <w:lang w:eastAsia="en-GB"/>
        </w:rPr>
        <w:t>New Zealand Steel Limited uses coal as a reducing agent in the steel-making process. In</w:t>
      </w:r>
      <w:r w:rsidR="004C0C49" w:rsidRPr="009E06AA">
        <w:rPr>
          <w:lang w:eastAsia="en-GB"/>
        </w:rPr>
        <w:t> </w:t>
      </w:r>
      <w:r w:rsidRPr="009E06AA">
        <w:rPr>
          <w:lang w:eastAsia="en-GB"/>
        </w:rPr>
        <w:t>accordance with 2006 IPCC Guidelines, the emissions from this are included under the</w:t>
      </w:r>
      <w:r w:rsidR="004C0C49" w:rsidRPr="009E06AA">
        <w:rPr>
          <w:lang w:eastAsia="en-GB"/>
        </w:rPr>
        <w:t> </w:t>
      </w:r>
      <w:r w:rsidRPr="009E06AA">
        <w:rPr>
          <w:lang w:eastAsia="en-GB"/>
        </w:rPr>
        <w:t>IPPU sector rather than the Energy sector.</w:t>
      </w:r>
    </w:p>
    <w:p w14:paraId="12135A5D" w14:textId="77777777" w:rsidR="00D97D6C" w:rsidRPr="009E06AA" w:rsidRDefault="00D97D6C" w:rsidP="00D97D6C">
      <w:pPr>
        <w:pStyle w:val="Bullet"/>
        <w:spacing w:after="100"/>
        <w:rPr>
          <w:lang w:eastAsia="en-GB"/>
        </w:rPr>
      </w:pPr>
      <w:r w:rsidRPr="009E06AA">
        <w:rPr>
          <w:lang w:eastAsia="en-GB"/>
        </w:rPr>
        <w:t xml:space="preserve">In several instances, natural gas is excluded from the </w:t>
      </w:r>
      <w:r w:rsidRPr="009E06AA">
        <w:rPr>
          <w:i/>
          <w:lang w:eastAsia="en-GB"/>
        </w:rPr>
        <w:t>Manufacturing industries and construction</w:t>
      </w:r>
      <w:r w:rsidRPr="009E06AA">
        <w:rPr>
          <w:lang w:eastAsia="en-GB"/>
        </w:rPr>
        <w:t xml:space="preserve"> category because it is accounted </w:t>
      </w:r>
      <w:r w:rsidRPr="009E06AA">
        <w:rPr>
          <w:spacing w:val="-2"/>
          <w:lang w:eastAsia="en-GB"/>
        </w:rPr>
        <w:t>for under the IPPU sector. This includes urea production, hydrogen production and some of the</w:t>
      </w:r>
      <w:r w:rsidRPr="009E06AA">
        <w:rPr>
          <w:lang w:eastAsia="en-GB"/>
        </w:rPr>
        <w:t xml:space="preserve"> </w:t>
      </w:r>
      <w:r w:rsidRPr="009E06AA">
        <w:rPr>
          <w:spacing w:val="-2"/>
          <w:lang w:eastAsia="en-GB"/>
        </w:rPr>
        <w:t>natural gas used by New Zealand Steel (New Zealand Steel separately reports its emissions from</w:t>
      </w:r>
      <w:r w:rsidRPr="009E06AA">
        <w:rPr>
          <w:lang w:eastAsia="en-GB"/>
        </w:rPr>
        <w:t xml:space="preserve"> natural gas as part of the combustion process and natural gas as part of the chemical process).</w:t>
      </w:r>
    </w:p>
    <w:p w14:paraId="0B7E4CCC" w14:textId="77777777" w:rsidR="00D97D6C" w:rsidRPr="009E06AA" w:rsidRDefault="00D97D6C" w:rsidP="00D97D6C">
      <w:pPr>
        <w:pStyle w:val="Heading4"/>
        <w:rPr>
          <w:lang w:eastAsia="en-GB"/>
        </w:rPr>
      </w:pPr>
      <w:r w:rsidRPr="009E06AA">
        <w:rPr>
          <w:lang w:eastAsia="en-GB"/>
        </w:rPr>
        <w:t>Activity data</w:t>
      </w:r>
    </w:p>
    <w:p w14:paraId="0754EBA1" w14:textId="77777777" w:rsidR="00D97D6C" w:rsidRPr="009E06AA" w:rsidRDefault="00D97D6C" w:rsidP="00D97D6C">
      <w:pPr>
        <w:pStyle w:val="BodyText"/>
        <w:spacing w:before="80"/>
        <w:rPr>
          <w:rFonts w:cs="Calibri"/>
          <w:spacing w:val="-2"/>
        </w:rPr>
      </w:pPr>
      <w:r w:rsidRPr="009E06AA">
        <w:rPr>
          <w:rFonts w:cs="Calibri"/>
          <w:spacing w:val="-2"/>
        </w:rPr>
        <w:t xml:space="preserve">Energy balance tables released with </w:t>
      </w:r>
      <w:r w:rsidRPr="009E06AA">
        <w:rPr>
          <w:rFonts w:cs="Calibri"/>
          <w:i/>
          <w:spacing w:val="-2"/>
        </w:rPr>
        <w:t>Energy in</w:t>
      </w:r>
      <w:r w:rsidRPr="009E06AA">
        <w:rPr>
          <w:rFonts w:cs="Calibri"/>
          <w:spacing w:val="-2"/>
        </w:rPr>
        <w:t xml:space="preserve"> </w:t>
      </w:r>
      <w:r w:rsidRPr="009E06AA">
        <w:rPr>
          <w:rFonts w:cs="Calibri"/>
          <w:i/>
          <w:spacing w:val="-2"/>
        </w:rPr>
        <w:t xml:space="preserve">New Zealand </w:t>
      </w:r>
      <w:r w:rsidRPr="009E06AA">
        <w:rPr>
          <w:rFonts w:cs="Calibri"/>
          <w:spacing w:val="-2"/>
        </w:rPr>
        <w:t xml:space="preserve">(MBIE, 2023) categorise industrial uses of energy using the Australian and New Zealand Standard Industrial Classification (ANZSIC) 2006. From 2009, MBIE started to collect more detailed information on the industry of fuel use in the various surveys used to compile its balance tables, and this has allowed MBIE to further disaggregate the </w:t>
      </w:r>
      <w:r w:rsidRPr="009E06AA">
        <w:rPr>
          <w:rFonts w:cs="Calibri"/>
          <w:i/>
          <w:spacing w:val="-2"/>
        </w:rPr>
        <w:t>Manufacturing industries and construction</w:t>
      </w:r>
      <w:r w:rsidRPr="009E06AA">
        <w:rPr>
          <w:rFonts w:cs="Calibri"/>
          <w:spacing w:val="-2"/>
        </w:rPr>
        <w:t xml:space="preserve"> category. Where actual survey data are not available at the required level, estimates of the energy use across these categories have been made to ensure time-series consistency. These are described in further detail below.</w:t>
      </w:r>
    </w:p>
    <w:p w14:paraId="5FE037D5" w14:textId="77777777" w:rsidR="00D97D6C" w:rsidRPr="009E06AA" w:rsidRDefault="00D97D6C" w:rsidP="00BF2A76">
      <w:pPr>
        <w:pStyle w:val="Heading5"/>
      </w:pPr>
      <w:r w:rsidRPr="009E06AA">
        <w:t>Solid fuels</w:t>
      </w:r>
    </w:p>
    <w:p w14:paraId="37CAD6FF" w14:textId="77777777" w:rsidR="00D97D6C" w:rsidRPr="009E06AA" w:rsidRDefault="00D97D6C" w:rsidP="00363D10">
      <w:pPr>
        <w:pStyle w:val="BodyText"/>
      </w:pPr>
      <w:r w:rsidRPr="009E06AA">
        <w:t xml:space="preserve">Prior to 2010, coal use in the </w:t>
      </w:r>
      <w:r w:rsidRPr="009E06AA">
        <w:rPr>
          <w:i/>
        </w:rPr>
        <w:t>Manufacturing industries and construction</w:t>
      </w:r>
      <w:r w:rsidRPr="009E06AA">
        <w:t xml:space="preserve"> category could not be further disaggregated, because no data existed to allow for more detailed categorisation. However, in 2010, MBIE implemented disaggregation for coal use in this category based on the improved industry use data mentioned above. This disaggregation was applied from 2009 onwards, and the percentage splits (based on 2009 data) were applied to activity data for the annual inventory submission across the whole time series (back to 1990). However, during 2014, the coal data system at MBIE was revised to internally disaggregate manufacturing industries based on a 2011 survey of major coal users. Therefore, applying the disaggregation procedure previously used within the greenhouse gas data system is no longer necessary. </w:t>
      </w:r>
    </w:p>
    <w:p w14:paraId="7BA6CEB2" w14:textId="77777777" w:rsidR="00D97D6C" w:rsidRPr="009E06AA" w:rsidRDefault="00D97D6C" w:rsidP="00363D10">
      <w:pPr>
        <w:pStyle w:val="BodyText"/>
      </w:pPr>
      <w:r w:rsidRPr="009E06AA">
        <w:t xml:space="preserve">From 2009 onwards, the coal sales survey conducted by MBIE provides data at a more disaggregated level. </w:t>
      </w:r>
    </w:p>
    <w:p w14:paraId="49548F9B" w14:textId="77777777" w:rsidR="00D97D6C" w:rsidRPr="009E06AA" w:rsidRDefault="00D97D6C" w:rsidP="00BF2A76">
      <w:pPr>
        <w:pStyle w:val="Heading5"/>
      </w:pPr>
      <w:r w:rsidRPr="009E06AA">
        <w:t>Solid biomass</w:t>
      </w:r>
    </w:p>
    <w:p w14:paraId="4C15FA69" w14:textId="4F2656C9" w:rsidR="00D97D6C" w:rsidRPr="009E06AA" w:rsidRDefault="00D97D6C" w:rsidP="00363D10">
      <w:pPr>
        <w:pStyle w:val="BodyText"/>
      </w:pPr>
      <w:r w:rsidRPr="009E06AA">
        <w:t xml:space="preserve">The Bioenergy Association of New Zealand conducted the 2006 Heat Plant Survey of </w:t>
      </w:r>
      <w:r w:rsidRPr="009E06AA">
        <w:rPr>
          <w:lang w:eastAsia="en-GB"/>
        </w:rPr>
        <w:t>New</w:t>
      </w:r>
      <w:r w:rsidR="004C0C49" w:rsidRPr="009E06AA">
        <w:rPr>
          <w:lang w:eastAsia="en-GB"/>
        </w:rPr>
        <w:t> </w:t>
      </w:r>
      <w:r w:rsidRPr="009E06AA">
        <w:rPr>
          <w:lang w:eastAsia="en-GB"/>
        </w:rPr>
        <w:t>Zealand (</w:t>
      </w:r>
      <w:r w:rsidRPr="009E06AA">
        <w:t>Bioenergy Association of New Zealand, 2011)</w:t>
      </w:r>
      <w:r w:rsidRPr="009E06AA">
        <w:rPr>
          <w:lang w:eastAsia="en-GB"/>
        </w:rPr>
        <w:t xml:space="preserve"> to gain information on heat plant</w:t>
      </w:r>
      <w:r w:rsidR="004C0C49" w:rsidRPr="009E06AA">
        <w:rPr>
          <w:lang w:eastAsia="en-GB"/>
        </w:rPr>
        <w:t> </w:t>
      </w:r>
      <w:r w:rsidRPr="009E06AA">
        <w:rPr>
          <w:lang w:eastAsia="en-GB"/>
        </w:rPr>
        <w:t xml:space="preserve">(boiler) capacity and use in New Zealand. One area this survey examined was solid biomass use in New Zealand industrial companies (see table 3.2.4). The survey shows that most solid biomass in New Zealand is used by the wood processing industry. The industrial allocations from the survey were used to separate out solid biomass activity data for the inventory. These splits were applied across the whole time series (back to 1990) for activity data and </w:t>
      </w:r>
      <w:r w:rsidRPr="009E06AA">
        <w:t>CO</w:t>
      </w:r>
      <w:r w:rsidRPr="009E06AA">
        <w:rPr>
          <w:vertAlign w:val="subscript"/>
        </w:rPr>
        <w:t>2</w:t>
      </w:r>
      <w:r w:rsidRPr="009E06AA">
        <w:t>, CH</w:t>
      </w:r>
      <w:r w:rsidRPr="009E06AA">
        <w:rPr>
          <w:vertAlign w:val="subscript"/>
        </w:rPr>
        <w:t>4</w:t>
      </w:r>
      <w:r w:rsidRPr="009E06AA">
        <w:t> and N</w:t>
      </w:r>
      <w:r w:rsidRPr="009E06AA">
        <w:rPr>
          <w:vertAlign w:val="subscript"/>
        </w:rPr>
        <w:t>2</w:t>
      </w:r>
      <w:r w:rsidRPr="009E06AA">
        <w:t>O emissions.</w:t>
      </w:r>
    </w:p>
    <w:p w14:paraId="02346477" w14:textId="77777777" w:rsidR="00D97D6C" w:rsidRPr="009E06AA" w:rsidRDefault="00D97D6C" w:rsidP="00D97D6C">
      <w:pPr>
        <w:pStyle w:val="Table"/>
        <w:rPr>
          <w:rFonts w:cs="Calibri"/>
        </w:rPr>
      </w:pPr>
      <w:bookmarkStart w:id="369" w:name="_Toc321399159"/>
      <w:bookmarkStart w:id="370" w:name="_Toc384582171"/>
      <w:bookmarkStart w:id="371" w:name="_Toc443060846"/>
      <w:bookmarkStart w:id="372" w:name="_Toc451176062"/>
      <w:bookmarkStart w:id="373" w:name="_Toc481751488"/>
      <w:bookmarkStart w:id="374" w:name="_Toc507496591"/>
      <w:bookmarkStart w:id="375" w:name="_Toc36224525"/>
      <w:bookmarkStart w:id="376" w:name="_Toc68786408"/>
      <w:bookmarkStart w:id="377" w:name="_Toc164153807"/>
      <w:r w:rsidRPr="009E06AA">
        <w:rPr>
          <w:rFonts w:cs="Calibri"/>
        </w:rPr>
        <w:t xml:space="preserve">Table 3.2.4 </w:t>
      </w:r>
      <w:r w:rsidRPr="009E06AA">
        <w:rPr>
          <w:rFonts w:cs="Calibri"/>
        </w:rPr>
        <w:tab/>
        <w:t xml:space="preserve">Solid biomass splits for 2006 that were used to disaggregate the </w:t>
      </w:r>
      <w:r w:rsidRPr="009E06AA">
        <w:rPr>
          <w:rFonts w:cs="Calibri"/>
          <w:i/>
          <w:iCs/>
        </w:rPr>
        <w:t>Manufacturing industries</w:t>
      </w:r>
      <w:r w:rsidRPr="009E06AA">
        <w:rPr>
          <w:rFonts w:cs="Calibri"/>
          <w:i/>
          <w:iCs/>
        </w:rPr>
        <w:br/>
        <w:t>and construction</w:t>
      </w:r>
      <w:r w:rsidRPr="009E06AA">
        <w:rPr>
          <w:rFonts w:cs="Calibri"/>
        </w:rPr>
        <w:t xml:space="preserve"> category between 1990 and </w:t>
      </w:r>
      <w:bookmarkEnd w:id="369"/>
      <w:bookmarkEnd w:id="370"/>
      <w:bookmarkEnd w:id="371"/>
      <w:bookmarkEnd w:id="372"/>
      <w:bookmarkEnd w:id="373"/>
      <w:bookmarkEnd w:id="374"/>
      <w:bookmarkEnd w:id="375"/>
      <w:bookmarkEnd w:id="376"/>
      <w:r w:rsidRPr="009E06AA">
        <w:rPr>
          <w:rFonts w:cs="Calibri"/>
        </w:rPr>
        <w:t>2022</w:t>
      </w:r>
      <w:bookmarkEnd w:id="377"/>
    </w:p>
    <w:tbl>
      <w:tblPr>
        <w:tblW w:w="8505" w:type="dxa"/>
        <w:tblBorders>
          <w:top w:val="single" w:sz="4" w:space="0" w:color="1B556B"/>
          <w:bottom w:val="single" w:sz="4" w:space="0" w:color="1B556B"/>
          <w:insideH w:val="single" w:sz="4" w:space="0" w:color="1B556B"/>
          <w:insideV w:val="single" w:sz="4" w:space="0" w:color="1B556B"/>
        </w:tblBorders>
        <w:tblLook w:val="04A0" w:firstRow="1" w:lastRow="0" w:firstColumn="1" w:lastColumn="0" w:noHBand="0" w:noVBand="1"/>
      </w:tblPr>
      <w:tblGrid>
        <w:gridCol w:w="1850"/>
        <w:gridCol w:w="4825"/>
        <w:gridCol w:w="1830"/>
      </w:tblGrid>
      <w:tr w:rsidR="00D97D6C" w:rsidRPr="009E06AA" w14:paraId="6C5E8562" w14:textId="77777777" w:rsidTr="00B55F24">
        <w:trPr>
          <w:tblHeader/>
        </w:trPr>
        <w:tc>
          <w:tcPr>
            <w:tcW w:w="1752" w:type="dxa"/>
            <w:shd w:val="clear" w:color="auto" w:fill="1B556B"/>
            <w:vAlign w:val="bottom"/>
          </w:tcPr>
          <w:p w14:paraId="2EFEE64C" w14:textId="77777777" w:rsidR="00D97D6C" w:rsidRPr="009E06AA" w:rsidRDefault="00D97D6C" w:rsidP="00B55F24">
            <w:pPr>
              <w:pStyle w:val="TableTextBold"/>
              <w:keepNext/>
              <w:spacing w:before="40" w:after="40"/>
              <w:rPr>
                <w:rFonts w:cs="Calibri"/>
                <w:bCs/>
                <w:noProof w:val="0"/>
                <w:color w:val="FFFFFF"/>
              </w:rPr>
            </w:pPr>
            <w:r w:rsidRPr="009E06AA">
              <w:rPr>
                <w:rFonts w:cs="Calibri"/>
                <w:bCs/>
                <w:noProof w:val="0"/>
                <w:color w:val="FFFFFF"/>
              </w:rPr>
              <w:t>CRT category code</w:t>
            </w:r>
          </w:p>
        </w:tc>
        <w:tc>
          <w:tcPr>
            <w:tcW w:w="4567" w:type="dxa"/>
            <w:shd w:val="clear" w:color="auto" w:fill="1B556B"/>
            <w:vAlign w:val="bottom"/>
          </w:tcPr>
          <w:p w14:paraId="03D5CCE1" w14:textId="77777777" w:rsidR="00D97D6C" w:rsidRPr="009E06AA" w:rsidRDefault="00D97D6C" w:rsidP="00B55F24">
            <w:pPr>
              <w:pStyle w:val="TableTextBold"/>
              <w:spacing w:before="40" w:after="40"/>
              <w:rPr>
                <w:rFonts w:cs="Calibri"/>
                <w:bCs/>
                <w:noProof w:val="0"/>
                <w:color w:val="FFFFFF"/>
              </w:rPr>
            </w:pPr>
            <w:r w:rsidRPr="009E06AA">
              <w:rPr>
                <w:rFonts w:cs="Calibri"/>
                <w:bCs/>
                <w:noProof w:val="0"/>
                <w:color w:val="FFFFFF"/>
              </w:rPr>
              <w:t>Manufacturing industries and construction category</w:t>
            </w:r>
          </w:p>
        </w:tc>
        <w:tc>
          <w:tcPr>
            <w:tcW w:w="1732" w:type="dxa"/>
            <w:shd w:val="clear" w:color="auto" w:fill="1B556B"/>
            <w:vAlign w:val="bottom"/>
          </w:tcPr>
          <w:p w14:paraId="3C2180FF" w14:textId="77777777" w:rsidR="00D97D6C" w:rsidRPr="009E06AA" w:rsidRDefault="00D97D6C" w:rsidP="00B95F90">
            <w:pPr>
              <w:pStyle w:val="TableTextBold"/>
              <w:spacing w:before="40" w:after="40"/>
              <w:jc w:val="right"/>
              <w:rPr>
                <w:rFonts w:cs="Calibri"/>
                <w:noProof w:val="0"/>
                <w:color w:val="FFFFFF"/>
              </w:rPr>
            </w:pPr>
            <w:r w:rsidRPr="009E06AA">
              <w:rPr>
                <w:rFonts w:cs="Calibri"/>
                <w:noProof w:val="0"/>
                <w:color w:val="FFFFFF"/>
              </w:rPr>
              <w:t>Per cent</w:t>
            </w:r>
          </w:p>
        </w:tc>
      </w:tr>
      <w:tr w:rsidR="00D97D6C" w:rsidRPr="009E06AA" w14:paraId="6979B4F8" w14:textId="77777777" w:rsidTr="00B55F24">
        <w:tc>
          <w:tcPr>
            <w:tcW w:w="1752" w:type="dxa"/>
            <w:shd w:val="clear" w:color="auto" w:fill="auto"/>
            <w:vAlign w:val="center"/>
          </w:tcPr>
          <w:p w14:paraId="012FFD23" w14:textId="77777777" w:rsidR="00D97D6C" w:rsidRPr="009E06AA" w:rsidRDefault="00D97D6C" w:rsidP="00B55F24">
            <w:pPr>
              <w:pStyle w:val="TableText"/>
              <w:keepNext/>
              <w:spacing w:before="40" w:after="40"/>
              <w:rPr>
                <w:rFonts w:cs="Calibri"/>
                <w:bCs/>
              </w:rPr>
            </w:pPr>
            <w:r w:rsidRPr="009E06AA">
              <w:rPr>
                <w:rFonts w:cs="Calibri"/>
                <w:bCs/>
              </w:rPr>
              <w:t>1.A.2.a</w:t>
            </w:r>
          </w:p>
        </w:tc>
        <w:tc>
          <w:tcPr>
            <w:tcW w:w="4567" w:type="dxa"/>
            <w:shd w:val="clear" w:color="auto" w:fill="auto"/>
            <w:vAlign w:val="center"/>
          </w:tcPr>
          <w:p w14:paraId="290ED6FF" w14:textId="77777777" w:rsidR="00D97D6C" w:rsidRPr="009E06AA" w:rsidRDefault="00D97D6C" w:rsidP="00B55F24">
            <w:pPr>
              <w:pStyle w:val="TableText"/>
              <w:spacing w:before="40" w:after="40"/>
              <w:rPr>
                <w:rFonts w:cs="Calibri"/>
                <w:lang w:eastAsia="en-GB"/>
              </w:rPr>
            </w:pPr>
            <w:r w:rsidRPr="009E06AA">
              <w:rPr>
                <w:rFonts w:cs="Calibri"/>
              </w:rPr>
              <w:t>Iron and steel</w:t>
            </w:r>
          </w:p>
        </w:tc>
        <w:tc>
          <w:tcPr>
            <w:tcW w:w="1732" w:type="dxa"/>
            <w:shd w:val="clear" w:color="auto" w:fill="auto"/>
            <w:vAlign w:val="center"/>
          </w:tcPr>
          <w:p w14:paraId="395ABFB7" w14:textId="77777777" w:rsidR="00D97D6C" w:rsidRPr="009E06AA" w:rsidRDefault="00D97D6C" w:rsidP="00B95F90">
            <w:pPr>
              <w:pStyle w:val="TableText"/>
              <w:spacing w:before="40" w:after="40"/>
              <w:jc w:val="right"/>
            </w:pPr>
            <w:r w:rsidRPr="009E06AA">
              <w:t>NO</w:t>
            </w:r>
          </w:p>
        </w:tc>
      </w:tr>
      <w:tr w:rsidR="00D97D6C" w:rsidRPr="009E06AA" w14:paraId="7B63627E" w14:textId="77777777" w:rsidTr="00B55F24">
        <w:tc>
          <w:tcPr>
            <w:tcW w:w="1752" w:type="dxa"/>
            <w:shd w:val="clear" w:color="auto" w:fill="auto"/>
            <w:vAlign w:val="center"/>
          </w:tcPr>
          <w:p w14:paraId="7D207C63" w14:textId="77777777" w:rsidR="00D97D6C" w:rsidRPr="009E06AA" w:rsidRDefault="00D97D6C" w:rsidP="00B55F24">
            <w:pPr>
              <w:pStyle w:val="TableText"/>
              <w:keepNext/>
              <w:spacing w:before="40" w:after="40"/>
              <w:rPr>
                <w:rFonts w:cs="Calibri"/>
                <w:bCs/>
              </w:rPr>
            </w:pPr>
            <w:r w:rsidRPr="009E06AA">
              <w:rPr>
                <w:rFonts w:cs="Calibri"/>
                <w:bCs/>
              </w:rPr>
              <w:t>1.A.2.b</w:t>
            </w:r>
          </w:p>
        </w:tc>
        <w:tc>
          <w:tcPr>
            <w:tcW w:w="4567" w:type="dxa"/>
            <w:shd w:val="clear" w:color="auto" w:fill="auto"/>
            <w:vAlign w:val="center"/>
          </w:tcPr>
          <w:p w14:paraId="6250CA30" w14:textId="77777777" w:rsidR="00D97D6C" w:rsidRPr="009E06AA" w:rsidRDefault="00D97D6C" w:rsidP="00B55F24">
            <w:pPr>
              <w:pStyle w:val="TableText"/>
              <w:spacing w:before="40" w:after="40"/>
              <w:rPr>
                <w:rFonts w:cs="Calibri"/>
              </w:rPr>
            </w:pPr>
            <w:r w:rsidRPr="009E06AA">
              <w:rPr>
                <w:rFonts w:cs="Calibri"/>
              </w:rPr>
              <w:t>Non-ferrous metals</w:t>
            </w:r>
          </w:p>
        </w:tc>
        <w:tc>
          <w:tcPr>
            <w:tcW w:w="1732" w:type="dxa"/>
            <w:shd w:val="clear" w:color="auto" w:fill="auto"/>
            <w:vAlign w:val="center"/>
          </w:tcPr>
          <w:p w14:paraId="506986C0" w14:textId="77777777" w:rsidR="00D97D6C" w:rsidRPr="009E06AA" w:rsidRDefault="00D97D6C" w:rsidP="00B95F90">
            <w:pPr>
              <w:pStyle w:val="TableText"/>
              <w:spacing w:before="40" w:after="40"/>
              <w:jc w:val="right"/>
            </w:pPr>
            <w:r w:rsidRPr="009E06AA">
              <w:t>NO</w:t>
            </w:r>
          </w:p>
        </w:tc>
      </w:tr>
      <w:tr w:rsidR="00D97D6C" w:rsidRPr="009E06AA" w14:paraId="1E8F89D1" w14:textId="77777777" w:rsidTr="00B55F24">
        <w:tc>
          <w:tcPr>
            <w:tcW w:w="1752" w:type="dxa"/>
            <w:shd w:val="clear" w:color="auto" w:fill="auto"/>
            <w:vAlign w:val="center"/>
          </w:tcPr>
          <w:p w14:paraId="2EC66772" w14:textId="77777777" w:rsidR="00D97D6C" w:rsidRPr="009E06AA" w:rsidRDefault="00D97D6C" w:rsidP="00B55F24">
            <w:pPr>
              <w:pStyle w:val="TableText"/>
              <w:spacing w:before="40" w:after="40"/>
              <w:rPr>
                <w:rFonts w:cs="Calibri"/>
                <w:bCs/>
              </w:rPr>
            </w:pPr>
            <w:r w:rsidRPr="009E06AA">
              <w:rPr>
                <w:rFonts w:cs="Calibri"/>
                <w:bCs/>
              </w:rPr>
              <w:t>1.A.2.c</w:t>
            </w:r>
          </w:p>
        </w:tc>
        <w:tc>
          <w:tcPr>
            <w:tcW w:w="4567" w:type="dxa"/>
            <w:shd w:val="clear" w:color="auto" w:fill="auto"/>
            <w:vAlign w:val="center"/>
          </w:tcPr>
          <w:p w14:paraId="0C7B5B01" w14:textId="77777777" w:rsidR="00D97D6C" w:rsidRPr="009E06AA" w:rsidRDefault="00D97D6C" w:rsidP="00B55F24">
            <w:pPr>
              <w:pStyle w:val="TableText"/>
              <w:spacing w:before="40" w:after="40"/>
              <w:rPr>
                <w:rFonts w:cs="Calibri"/>
                <w:lang w:eastAsia="en-GB"/>
              </w:rPr>
            </w:pPr>
            <w:r w:rsidRPr="009E06AA">
              <w:rPr>
                <w:rFonts w:cs="Calibri"/>
              </w:rPr>
              <w:t>Chemicals</w:t>
            </w:r>
          </w:p>
        </w:tc>
        <w:tc>
          <w:tcPr>
            <w:tcW w:w="1732" w:type="dxa"/>
            <w:shd w:val="clear" w:color="auto" w:fill="auto"/>
            <w:vAlign w:val="center"/>
          </w:tcPr>
          <w:p w14:paraId="735EFFFD" w14:textId="77777777" w:rsidR="00D97D6C" w:rsidRPr="009E06AA" w:rsidRDefault="00D97D6C" w:rsidP="00B95F90">
            <w:pPr>
              <w:pStyle w:val="TableText"/>
              <w:spacing w:before="40" w:after="40"/>
              <w:jc w:val="right"/>
            </w:pPr>
            <w:r w:rsidRPr="009E06AA">
              <w:t>NO</w:t>
            </w:r>
          </w:p>
        </w:tc>
      </w:tr>
      <w:tr w:rsidR="00D97D6C" w:rsidRPr="009E06AA" w14:paraId="1F147A58" w14:textId="77777777" w:rsidTr="00B55F24">
        <w:tc>
          <w:tcPr>
            <w:tcW w:w="1752" w:type="dxa"/>
            <w:shd w:val="clear" w:color="auto" w:fill="auto"/>
            <w:vAlign w:val="center"/>
          </w:tcPr>
          <w:p w14:paraId="03A6E8FA" w14:textId="77777777" w:rsidR="00D97D6C" w:rsidRPr="009E06AA" w:rsidRDefault="00D97D6C" w:rsidP="00B55F24">
            <w:pPr>
              <w:pStyle w:val="TableText"/>
              <w:spacing w:before="40" w:after="40"/>
              <w:rPr>
                <w:rFonts w:cs="Calibri"/>
                <w:bCs/>
              </w:rPr>
            </w:pPr>
            <w:r w:rsidRPr="009E06AA">
              <w:rPr>
                <w:rFonts w:cs="Calibri"/>
                <w:bCs/>
              </w:rPr>
              <w:t>1.A.2.d</w:t>
            </w:r>
          </w:p>
        </w:tc>
        <w:tc>
          <w:tcPr>
            <w:tcW w:w="4567" w:type="dxa"/>
            <w:shd w:val="clear" w:color="auto" w:fill="auto"/>
            <w:vAlign w:val="center"/>
          </w:tcPr>
          <w:p w14:paraId="35446E53" w14:textId="77777777" w:rsidR="00D97D6C" w:rsidRPr="009E06AA" w:rsidRDefault="00D97D6C" w:rsidP="00B55F24">
            <w:pPr>
              <w:pStyle w:val="TableText"/>
              <w:spacing w:before="40" w:after="40"/>
              <w:rPr>
                <w:rFonts w:cs="Calibri"/>
                <w:lang w:eastAsia="en-GB"/>
              </w:rPr>
            </w:pPr>
            <w:r w:rsidRPr="009E06AA">
              <w:rPr>
                <w:rFonts w:cs="Calibri"/>
              </w:rPr>
              <w:t>Pulp, paper and print</w:t>
            </w:r>
          </w:p>
        </w:tc>
        <w:tc>
          <w:tcPr>
            <w:tcW w:w="1732" w:type="dxa"/>
            <w:shd w:val="clear" w:color="auto" w:fill="auto"/>
            <w:vAlign w:val="center"/>
          </w:tcPr>
          <w:p w14:paraId="1D494623" w14:textId="77777777" w:rsidR="00D97D6C" w:rsidRPr="009E06AA" w:rsidRDefault="00D97D6C" w:rsidP="00B95F90">
            <w:pPr>
              <w:pStyle w:val="TableText"/>
              <w:spacing w:before="40" w:after="40"/>
              <w:jc w:val="right"/>
            </w:pPr>
            <w:r w:rsidRPr="009E06AA">
              <w:t>99.94</w:t>
            </w:r>
          </w:p>
        </w:tc>
      </w:tr>
      <w:tr w:rsidR="00D97D6C" w:rsidRPr="009E06AA" w14:paraId="7295E938" w14:textId="77777777" w:rsidTr="00B55F24">
        <w:tc>
          <w:tcPr>
            <w:tcW w:w="1752" w:type="dxa"/>
            <w:shd w:val="clear" w:color="auto" w:fill="auto"/>
            <w:vAlign w:val="center"/>
          </w:tcPr>
          <w:p w14:paraId="6FA63C56" w14:textId="77777777" w:rsidR="00D97D6C" w:rsidRPr="009E06AA" w:rsidRDefault="00D97D6C" w:rsidP="00B55F24">
            <w:pPr>
              <w:pStyle w:val="TableText"/>
              <w:spacing w:before="40" w:after="40"/>
              <w:rPr>
                <w:rFonts w:cs="Calibri"/>
                <w:bCs/>
              </w:rPr>
            </w:pPr>
            <w:r w:rsidRPr="009E06AA">
              <w:rPr>
                <w:rFonts w:cs="Calibri"/>
                <w:bCs/>
              </w:rPr>
              <w:t>1.A.2.e</w:t>
            </w:r>
          </w:p>
        </w:tc>
        <w:tc>
          <w:tcPr>
            <w:tcW w:w="4567" w:type="dxa"/>
            <w:shd w:val="clear" w:color="auto" w:fill="auto"/>
            <w:vAlign w:val="center"/>
          </w:tcPr>
          <w:p w14:paraId="57659C30" w14:textId="77777777" w:rsidR="00D97D6C" w:rsidRPr="009E06AA" w:rsidRDefault="00D97D6C" w:rsidP="00B55F24">
            <w:pPr>
              <w:pStyle w:val="TableText"/>
              <w:spacing w:before="40" w:after="40"/>
              <w:rPr>
                <w:rFonts w:cs="Calibri"/>
                <w:lang w:eastAsia="en-GB"/>
              </w:rPr>
            </w:pPr>
            <w:r w:rsidRPr="009E06AA">
              <w:rPr>
                <w:rFonts w:cs="Calibri"/>
              </w:rPr>
              <w:t>Food processing, beverages and tobacco</w:t>
            </w:r>
          </w:p>
        </w:tc>
        <w:tc>
          <w:tcPr>
            <w:tcW w:w="1732" w:type="dxa"/>
            <w:shd w:val="clear" w:color="auto" w:fill="auto"/>
            <w:vAlign w:val="center"/>
          </w:tcPr>
          <w:p w14:paraId="7025BB78" w14:textId="77777777" w:rsidR="00D97D6C" w:rsidRPr="009E06AA" w:rsidRDefault="00D97D6C" w:rsidP="00B95F90">
            <w:pPr>
              <w:pStyle w:val="TableText"/>
              <w:spacing w:before="40" w:after="40"/>
              <w:jc w:val="right"/>
            </w:pPr>
            <w:r w:rsidRPr="009E06AA">
              <w:t>0.05</w:t>
            </w:r>
          </w:p>
        </w:tc>
      </w:tr>
      <w:tr w:rsidR="00D97D6C" w:rsidRPr="009E06AA" w14:paraId="476152AA" w14:textId="77777777" w:rsidTr="00B55F24">
        <w:tc>
          <w:tcPr>
            <w:tcW w:w="1752" w:type="dxa"/>
            <w:shd w:val="clear" w:color="auto" w:fill="auto"/>
            <w:vAlign w:val="center"/>
          </w:tcPr>
          <w:p w14:paraId="7C2108A5" w14:textId="77777777" w:rsidR="00D97D6C" w:rsidRPr="009E06AA" w:rsidRDefault="00D97D6C" w:rsidP="00B55F24">
            <w:pPr>
              <w:pStyle w:val="TableText"/>
              <w:spacing w:before="40" w:after="40"/>
              <w:rPr>
                <w:rFonts w:cs="Calibri"/>
                <w:bCs/>
              </w:rPr>
            </w:pPr>
            <w:r w:rsidRPr="009E06AA">
              <w:rPr>
                <w:rFonts w:cs="Calibri"/>
                <w:bCs/>
              </w:rPr>
              <w:t>1.A.2.g</w:t>
            </w:r>
          </w:p>
        </w:tc>
        <w:tc>
          <w:tcPr>
            <w:tcW w:w="4567" w:type="dxa"/>
            <w:shd w:val="clear" w:color="auto" w:fill="auto"/>
            <w:vAlign w:val="center"/>
          </w:tcPr>
          <w:p w14:paraId="1A559329" w14:textId="77777777" w:rsidR="00D97D6C" w:rsidRPr="009E06AA" w:rsidRDefault="00D97D6C" w:rsidP="00B55F24">
            <w:pPr>
              <w:pStyle w:val="TableText"/>
              <w:spacing w:before="40" w:after="40"/>
              <w:rPr>
                <w:rFonts w:cs="Calibri"/>
                <w:lang w:eastAsia="en-GB"/>
              </w:rPr>
            </w:pPr>
            <w:r w:rsidRPr="009E06AA">
              <w:rPr>
                <w:rFonts w:cs="Calibri"/>
              </w:rPr>
              <w:t>Other – Mining and construction</w:t>
            </w:r>
          </w:p>
        </w:tc>
        <w:tc>
          <w:tcPr>
            <w:tcW w:w="1732" w:type="dxa"/>
            <w:shd w:val="clear" w:color="auto" w:fill="auto"/>
            <w:vAlign w:val="center"/>
          </w:tcPr>
          <w:p w14:paraId="5FFB510D" w14:textId="77777777" w:rsidR="00D97D6C" w:rsidRPr="009E06AA" w:rsidRDefault="00D97D6C" w:rsidP="00B95F90">
            <w:pPr>
              <w:pStyle w:val="TableText"/>
              <w:spacing w:before="40" w:after="40"/>
              <w:jc w:val="right"/>
            </w:pPr>
            <w:r w:rsidRPr="009E06AA">
              <w:t>NO</w:t>
            </w:r>
          </w:p>
        </w:tc>
      </w:tr>
      <w:tr w:rsidR="00D97D6C" w:rsidRPr="009E06AA" w14:paraId="2B5711E0" w14:textId="77777777" w:rsidTr="00B55F24">
        <w:tc>
          <w:tcPr>
            <w:tcW w:w="1752" w:type="dxa"/>
            <w:shd w:val="clear" w:color="auto" w:fill="auto"/>
            <w:vAlign w:val="center"/>
          </w:tcPr>
          <w:p w14:paraId="7BAD0FA8" w14:textId="77777777" w:rsidR="00D97D6C" w:rsidRPr="009E06AA" w:rsidRDefault="00D97D6C" w:rsidP="00B55F24">
            <w:pPr>
              <w:pStyle w:val="TableText"/>
              <w:spacing w:before="40" w:after="40"/>
              <w:rPr>
                <w:rFonts w:cs="Calibri"/>
                <w:bCs/>
              </w:rPr>
            </w:pPr>
            <w:r w:rsidRPr="009E06AA">
              <w:rPr>
                <w:rFonts w:cs="Calibri"/>
                <w:bCs/>
              </w:rPr>
              <w:t>1.A.2.g</w:t>
            </w:r>
          </w:p>
        </w:tc>
        <w:tc>
          <w:tcPr>
            <w:tcW w:w="4567" w:type="dxa"/>
            <w:shd w:val="clear" w:color="auto" w:fill="auto"/>
            <w:vAlign w:val="center"/>
          </w:tcPr>
          <w:p w14:paraId="393EA04F" w14:textId="77777777" w:rsidR="00D97D6C" w:rsidRPr="009E06AA" w:rsidRDefault="00D97D6C" w:rsidP="00B55F24">
            <w:pPr>
              <w:pStyle w:val="TableText"/>
              <w:spacing w:before="40" w:after="40"/>
              <w:rPr>
                <w:rFonts w:cs="Calibri"/>
                <w:lang w:eastAsia="en-GB"/>
              </w:rPr>
            </w:pPr>
            <w:r w:rsidRPr="009E06AA">
              <w:rPr>
                <w:rFonts w:cs="Calibri"/>
              </w:rPr>
              <w:t>Other – Textiles</w:t>
            </w:r>
          </w:p>
        </w:tc>
        <w:tc>
          <w:tcPr>
            <w:tcW w:w="1732" w:type="dxa"/>
            <w:shd w:val="clear" w:color="auto" w:fill="auto"/>
            <w:vAlign w:val="center"/>
          </w:tcPr>
          <w:p w14:paraId="3298CF57" w14:textId="77777777" w:rsidR="00D97D6C" w:rsidRPr="009E06AA" w:rsidRDefault="00D97D6C" w:rsidP="00B95F90">
            <w:pPr>
              <w:pStyle w:val="TableText"/>
              <w:spacing w:before="40" w:after="40"/>
              <w:jc w:val="right"/>
            </w:pPr>
            <w:r w:rsidRPr="009E06AA">
              <w:t>NO</w:t>
            </w:r>
          </w:p>
        </w:tc>
      </w:tr>
      <w:tr w:rsidR="00D97D6C" w:rsidRPr="009E06AA" w14:paraId="2F622E43" w14:textId="77777777" w:rsidTr="00B55F24">
        <w:tc>
          <w:tcPr>
            <w:tcW w:w="1752" w:type="dxa"/>
            <w:shd w:val="clear" w:color="auto" w:fill="auto"/>
            <w:vAlign w:val="center"/>
          </w:tcPr>
          <w:p w14:paraId="46558CFA" w14:textId="77777777" w:rsidR="00D97D6C" w:rsidRPr="009E06AA" w:rsidRDefault="00D97D6C" w:rsidP="00B55F24">
            <w:pPr>
              <w:pStyle w:val="TableText"/>
              <w:spacing w:before="40" w:after="40"/>
              <w:rPr>
                <w:rFonts w:cs="Calibri"/>
                <w:bCs/>
              </w:rPr>
            </w:pPr>
            <w:r w:rsidRPr="009E06AA">
              <w:rPr>
                <w:rFonts w:cs="Calibri"/>
                <w:bCs/>
              </w:rPr>
              <w:t>1.A.2.f</w:t>
            </w:r>
          </w:p>
        </w:tc>
        <w:tc>
          <w:tcPr>
            <w:tcW w:w="4567" w:type="dxa"/>
            <w:shd w:val="clear" w:color="auto" w:fill="auto"/>
            <w:vAlign w:val="center"/>
          </w:tcPr>
          <w:p w14:paraId="5B0E1B0D" w14:textId="77777777" w:rsidR="00D97D6C" w:rsidRPr="009E06AA" w:rsidRDefault="00D97D6C" w:rsidP="00B55F24">
            <w:pPr>
              <w:pStyle w:val="TableText"/>
              <w:spacing w:before="40" w:after="40"/>
              <w:rPr>
                <w:rFonts w:cs="Calibri"/>
                <w:lang w:eastAsia="en-GB"/>
              </w:rPr>
            </w:pPr>
            <w:r w:rsidRPr="009E06AA">
              <w:rPr>
                <w:rFonts w:cs="Calibri"/>
              </w:rPr>
              <w:t>Other – Non-metallic minerals</w:t>
            </w:r>
          </w:p>
        </w:tc>
        <w:tc>
          <w:tcPr>
            <w:tcW w:w="1732" w:type="dxa"/>
            <w:shd w:val="clear" w:color="auto" w:fill="auto"/>
            <w:vAlign w:val="center"/>
          </w:tcPr>
          <w:p w14:paraId="47309F75" w14:textId="77777777" w:rsidR="00D97D6C" w:rsidRPr="009E06AA" w:rsidRDefault="00D97D6C" w:rsidP="00B95F90">
            <w:pPr>
              <w:pStyle w:val="TableText"/>
              <w:spacing w:before="40" w:after="40"/>
              <w:jc w:val="right"/>
            </w:pPr>
            <w:r w:rsidRPr="009E06AA">
              <w:t>NO</w:t>
            </w:r>
          </w:p>
        </w:tc>
      </w:tr>
      <w:tr w:rsidR="00D97D6C" w:rsidRPr="009E06AA" w14:paraId="783F5073" w14:textId="77777777" w:rsidTr="00B55F24">
        <w:tc>
          <w:tcPr>
            <w:tcW w:w="1752" w:type="dxa"/>
            <w:shd w:val="clear" w:color="auto" w:fill="auto"/>
            <w:vAlign w:val="center"/>
          </w:tcPr>
          <w:p w14:paraId="64958340" w14:textId="77777777" w:rsidR="00D97D6C" w:rsidRPr="009E06AA" w:rsidRDefault="00D97D6C" w:rsidP="00B55F24">
            <w:pPr>
              <w:pStyle w:val="TableText"/>
              <w:spacing w:before="40" w:after="40"/>
              <w:rPr>
                <w:rFonts w:cs="Calibri"/>
                <w:bCs/>
              </w:rPr>
            </w:pPr>
            <w:r w:rsidRPr="009E06AA">
              <w:rPr>
                <w:rFonts w:cs="Calibri"/>
                <w:bCs/>
              </w:rPr>
              <w:t>1.A.2.f</w:t>
            </w:r>
          </w:p>
        </w:tc>
        <w:tc>
          <w:tcPr>
            <w:tcW w:w="4567" w:type="dxa"/>
            <w:shd w:val="clear" w:color="auto" w:fill="auto"/>
            <w:vAlign w:val="center"/>
          </w:tcPr>
          <w:p w14:paraId="56D90FF5" w14:textId="77777777" w:rsidR="00D97D6C" w:rsidRPr="009E06AA" w:rsidRDefault="00D97D6C" w:rsidP="00B55F24">
            <w:pPr>
              <w:pStyle w:val="TableText"/>
              <w:spacing w:before="40" w:after="40"/>
              <w:rPr>
                <w:rFonts w:cs="Calibri"/>
                <w:lang w:eastAsia="en-GB"/>
              </w:rPr>
            </w:pPr>
            <w:r w:rsidRPr="009E06AA">
              <w:rPr>
                <w:rFonts w:cs="Calibri"/>
              </w:rPr>
              <w:t xml:space="preserve">Other – Manufacturing of machinery </w:t>
            </w:r>
          </w:p>
        </w:tc>
        <w:tc>
          <w:tcPr>
            <w:tcW w:w="1732" w:type="dxa"/>
            <w:shd w:val="clear" w:color="auto" w:fill="auto"/>
            <w:vAlign w:val="center"/>
          </w:tcPr>
          <w:p w14:paraId="6045FE72" w14:textId="77777777" w:rsidR="00D97D6C" w:rsidRPr="009E06AA" w:rsidRDefault="00D97D6C" w:rsidP="00B95F90">
            <w:pPr>
              <w:pStyle w:val="TableText"/>
              <w:spacing w:before="40" w:after="40"/>
              <w:jc w:val="right"/>
            </w:pPr>
            <w:r w:rsidRPr="009E06AA">
              <w:t>NO</w:t>
            </w:r>
          </w:p>
        </w:tc>
      </w:tr>
      <w:tr w:rsidR="00D97D6C" w:rsidRPr="009E06AA" w14:paraId="6F53BC99" w14:textId="77777777" w:rsidTr="00B55F24">
        <w:tc>
          <w:tcPr>
            <w:tcW w:w="1752" w:type="dxa"/>
            <w:shd w:val="clear" w:color="auto" w:fill="auto"/>
            <w:vAlign w:val="center"/>
          </w:tcPr>
          <w:p w14:paraId="2FFE4157" w14:textId="77777777" w:rsidR="00D97D6C" w:rsidRPr="009E06AA" w:rsidRDefault="00D97D6C" w:rsidP="00B55F24">
            <w:pPr>
              <w:pStyle w:val="TableText"/>
              <w:spacing w:before="40" w:after="40"/>
              <w:rPr>
                <w:rFonts w:cs="Calibri"/>
                <w:bCs/>
              </w:rPr>
            </w:pPr>
            <w:r w:rsidRPr="009E06AA">
              <w:rPr>
                <w:rFonts w:cs="Calibri"/>
                <w:bCs/>
              </w:rPr>
              <w:t>1.A.2.g</w:t>
            </w:r>
          </w:p>
        </w:tc>
        <w:tc>
          <w:tcPr>
            <w:tcW w:w="4567" w:type="dxa"/>
            <w:shd w:val="clear" w:color="auto" w:fill="auto"/>
            <w:vAlign w:val="center"/>
          </w:tcPr>
          <w:p w14:paraId="481D804B" w14:textId="77777777" w:rsidR="00D97D6C" w:rsidRPr="009E06AA" w:rsidRDefault="00D97D6C" w:rsidP="00B55F24">
            <w:pPr>
              <w:pStyle w:val="TableText"/>
              <w:spacing w:before="40" w:after="40"/>
              <w:rPr>
                <w:rFonts w:cs="Calibri"/>
                <w:lang w:eastAsia="en-GB"/>
              </w:rPr>
            </w:pPr>
            <w:r w:rsidRPr="009E06AA">
              <w:rPr>
                <w:rFonts w:cs="Calibri"/>
              </w:rPr>
              <w:t>Other – Non-specified</w:t>
            </w:r>
          </w:p>
        </w:tc>
        <w:tc>
          <w:tcPr>
            <w:tcW w:w="1732" w:type="dxa"/>
            <w:shd w:val="clear" w:color="auto" w:fill="auto"/>
            <w:vAlign w:val="center"/>
          </w:tcPr>
          <w:p w14:paraId="2ECFA759" w14:textId="77777777" w:rsidR="00D97D6C" w:rsidRPr="009E06AA" w:rsidRDefault="00D97D6C" w:rsidP="00B95F90">
            <w:pPr>
              <w:pStyle w:val="TableText"/>
              <w:spacing w:before="40" w:after="40"/>
              <w:jc w:val="right"/>
            </w:pPr>
            <w:r w:rsidRPr="009E06AA">
              <w:t>0.01</w:t>
            </w:r>
          </w:p>
        </w:tc>
      </w:tr>
    </w:tbl>
    <w:p w14:paraId="7A772D6B" w14:textId="77777777" w:rsidR="00D97D6C" w:rsidRPr="009E06AA" w:rsidRDefault="00D97D6C" w:rsidP="00D97D6C">
      <w:pPr>
        <w:pStyle w:val="Noteundertable"/>
        <w:rPr>
          <w:rFonts w:cs="Calibri"/>
        </w:rPr>
      </w:pPr>
      <w:r w:rsidRPr="009E06AA">
        <w:rPr>
          <w:rFonts w:cs="Calibri"/>
          <w:b/>
        </w:rPr>
        <w:t>Note:</w:t>
      </w:r>
      <w:r w:rsidRPr="009E06AA">
        <w:rPr>
          <w:rFonts w:cs="Calibri"/>
        </w:rPr>
        <w:t xml:space="preserve"> </w:t>
      </w:r>
      <w:r w:rsidRPr="009E06AA">
        <w:rPr>
          <w:rFonts w:cs="Calibri"/>
        </w:rPr>
        <w:tab/>
        <w:t>NO = not occurring. Survey data indicate that solid biomass combustion does not occur in the sectors.</w:t>
      </w:r>
    </w:p>
    <w:p w14:paraId="49165B2E" w14:textId="77777777" w:rsidR="00D97D6C" w:rsidRPr="009E06AA" w:rsidRDefault="00D97D6C" w:rsidP="00BF2A76">
      <w:pPr>
        <w:pStyle w:val="Heading5"/>
      </w:pPr>
      <w:r w:rsidRPr="009E06AA">
        <w:t>Gas biomass</w:t>
      </w:r>
    </w:p>
    <w:p w14:paraId="79B4D08B" w14:textId="77777777" w:rsidR="00D97D6C" w:rsidRPr="009E06AA" w:rsidRDefault="00D97D6C" w:rsidP="00363D10">
      <w:pPr>
        <w:pStyle w:val="BodyText"/>
      </w:pPr>
      <w:r w:rsidRPr="009E06AA">
        <w:t xml:space="preserve">Sludge gas is produced at the Tirau dairy processing facility. Cattle effluent is used to produce sludge gas that is used to raise heat for the milk processing facility, which is open from </w:t>
      </w:r>
      <w:r w:rsidRPr="009E06AA">
        <w:rPr>
          <w:spacing w:val="-2"/>
        </w:rPr>
        <w:t>September through to December each year. See section 3.2.2 (Biomass) for further information.</w:t>
      </w:r>
    </w:p>
    <w:p w14:paraId="28B166B9" w14:textId="77777777" w:rsidR="00D97D6C" w:rsidRPr="009E06AA" w:rsidRDefault="00D97D6C" w:rsidP="00363D10">
      <w:pPr>
        <w:pStyle w:val="BodyText"/>
      </w:pPr>
      <w:r w:rsidRPr="009E06AA">
        <w:t>Sludge gas is not metered or analysed at the site but estimates of flow rate and CH</w:t>
      </w:r>
      <w:r w:rsidRPr="009E06AA">
        <w:rPr>
          <w:vertAlign w:val="subscript"/>
        </w:rPr>
        <w:t>4</w:t>
      </w:r>
      <w:r w:rsidRPr="009E06AA">
        <w:t xml:space="preserve"> content were obtained from the facility manager for the 2011 reporting year. MBIE then used these data to calculate an estimate of the total energy content, which was then confirmed by the facility manager. </w:t>
      </w:r>
    </w:p>
    <w:p w14:paraId="38BE955C" w14:textId="77777777" w:rsidR="00D97D6C" w:rsidRPr="009E06AA" w:rsidRDefault="00D97D6C" w:rsidP="00363D10">
      <w:pPr>
        <w:pStyle w:val="BodyText"/>
        <w:rPr>
          <w:rFonts w:cs="Calibri"/>
        </w:rPr>
      </w:pPr>
      <w:r w:rsidRPr="009E06AA">
        <w:rPr>
          <w:rFonts w:cs="Calibri"/>
        </w:rPr>
        <w:t>The facility has operated in the same fashion since its construction in the late 1980s. Therefore this estimate is assumed to be valid across the time series.</w:t>
      </w:r>
    </w:p>
    <w:p w14:paraId="0274AF36" w14:textId="77777777" w:rsidR="00D97D6C" w:rsidRPr="009E06AA" w:rsidRDefault="00D97D6C" w:rsidP="00BF2A76">
      <w:pPr>
        <w:pStyle w:val="Heading5"/>
      </w:pPr>
      <w:r w:rsidRPr="009E06AA">
        <w:t>Liquid fuels (diesel, gasoline and fuel oil)</w:t>
      </w:r>
    </w:p>
    <w:p w14:paraId="5172545A" w14:textId="77777777" w:rsidR="00D97D6C" w:rsidRPr="009E06AA" w:rsidRDefault="00D97D6C" w:rsidP="00D97D6C">
      <w:pPr>
        <w:pStyle w:val="BodyText"/>
        <w:spacing w:before="80"/>
        <w:rPr>
          <w:rFonts w:cs="Calibri"/>
        </w:rPr>
      </w:pPr>
      <w:r w:rsidRPr="009E06AA">
        <w:rPr>
          <w:rFonts w:cs="Calibri"/>
        </w:rPr>
        <w:t xml:space="preserve">As mentioned in section 3.2.2 (Liquid fuels), </w:t>
      </w:r>
      <w:r w:rsidRPr="009E06AA">
        <w:rPr>
          <w:rFonts w:cs="Calibri"/>
          <w:lang w:eastAsia="en-GB"/>
        </w:rPr>
        <w:t>New Zealand</w:t>
      </w:r>
      <w:r w:rsidRPr="009E06AA">
        <w:rPr>
          <w:rFonts w:cs="Calibri"/>
        </w:rPr>
        <w:t xml:space="preserve"> uses the </w:t>
      </w:r>
      <w:r w:rsidRPr="009E06AA">
        <w:rPr>
          <w:rFonts w:cs="Calibri"/>
          <w:iCs/>
        </w:rPr>
        <w:t xml:space="preserve">Annual Liquid Fuel Survey </w:t>
      </w:r>
      <w:r w:rsidRPr="009E06AA">
        <w:rPr>
          <w:rFonts w:cs="Calibri"/>
        </w:rPr>
        <w:t xml:space="preserve">to capture sales by independent distributors. With this information, some liquid fuel demand that </w:t>
      </w:r>
      <w:r w:rsidRPr="009E06AA">
        <w:rPr>
          <w:rFonts w:cs="Calibri"/>
          <w:spacing w:val="-2"/>
        </w:rPr>
        <w:t>would otherwise be allocated to national transport is reallocated to the correct sector.</w:t>
      </w:r>
      <w:r w:rsidRPr="009E06AA">
        <w:rPr>
          <w:rFonts w:cs="Calibri"/>
        </w:rPr>
        <w:t xml:space="preserve"> As a result of this reallocation, emissions attributed to category 1.A.3 </w:t>
      </w:r>
      <w:r w:rsidRPr="009E06AA">
        <w:rPr>
          <w:rFonts w:cs="Calibri"/>
          <w:i/>
        </w:rPr>
        <w:t>Transport</w:t>
      </w:r>
      <w:r w:rsidRPr="009E06AA">
        <w:rPr>
          <w:rFonts w:cs="Calibri"/>
        </w:rPr>
        <w:t xml:space="preserve"> decreased by around 20 per cent, and emissions </w:t>
      </w:r>
      <w:r w:rsidRPr="009E06AA">
        <w:rPr>
          <w:rFonts w:cs="Calibri"/>
          <w:spacing w:val="-2"/>
        </w:rPr>
        <w:t xml:space="preserve">attributed to other categories, such as 1.A.4.c </w:t>
      </w:r>
      <w:r w:rsidRPr="009E06AA">
        <w:rPr>
          <w:rFonts w:cs="Calibri"/>
          <w:i/>
          <w:spacing w:val="-2"/>
        </w:rPr>
        <w:t>Agriculture/forestry/fishing</w:t>
      </w:r>
      <w:r w:rsidRPr="009E06AA">
        <w:rPr>
          <w:rFonts w:cs="Calibri"/>
          <w:spacing w:val="-2"/>
        </w:rPr>
        <w:t>, increased significantly.</w:t>
      </w:r>
    </w:p>
    <w:p w14:paraId="2A1AE135" w14:textId="77777777" w:rsidR="00D97D6C" w:rsidRPr="009E06AA" w:rsidRDefault="00D97D6C" w:rsidP="00D97D6C">
      <w:pPr>
        <w:pStyle w:val="BodyText"/>
        <w:rPr>
          <w:rFonts w:cs="Calibri"/>
        </w:rPr>
      </w:pPr>
      <w:r w:rsidRPr="009E06AA">
        <w:rPr>
          <w:rFonts w:cs="Calibri"/>
        </w:rPr>
        <w:t xml:space="preserve">Following ERT recommendations (in the 2007 in-country review), </w:t>
      </w:r>
      <w:r w:rsidRPr="009E06AA">
        <w:rPr>
          <w:rFonts w:cs="Calibri"/>
          <w:lang w:eastAsia="en-GB"/>
        </w:rPr>
        <w:t>New Zealand</w:t>
      </w:r>
      <w:r w:rsidRPr="009E06AA">
        <w:rPr>
          <w:rFonts w:cs="Calibri"/>
        </w:rPr>
        <w:t xml:space="preserve"> began to disaggregate liquid fuel combustion in the 1.A.2 </w:t>
      </w:r>
      <w:r w:rsidRPr="009E06AA">
        <w:rPr>
          <w:rFonts w:cs="Calibri"/>
          <w:i/>
        </w:rPr>
        <w:t>Manufacturing industries and construction</w:t>
      </w:r>
      <w:r w:rsidRPr="009E06AA">
        <w:rPr>
          <w:rFonts w:cs="Calibri"/>
        </w:rPr>
        <w:t xml:space="preserve"> category for the 2011 inventory. Diesel and gasoline consumption were disaggregated for the 2012 submission, and the method was subsequently extended to include fuel oil.</w:t>
      </w:r>
    </w:p>
    <w:p w14:paraId="643E76EF" w14:textId="77777777" w:rsidR="00D97D6C" w:rsidRPr="009E06AA" w:rsidRDefault="00D97D6C" w:rsidP="00D97D6C">
      <w:pPr>
        <w:pStyle w:val="BodyText"/>
        <w:rPr>
          <w:rFonts w:cs="Calibri"/>
        </w:rPr>
      </w:pPr>
      <w:r w:rsidRPr="009E06AA">
        <w:rPr>
          <w:rFonts w:cs="Calibri"/>
        </w:rPr>
        <w:t xml:space="preserve">While data are not collected at this level of detail in energy surveys for liquid fuels, </w:t>
      </w:r>
      <w:r w:rsidRPr="009E06AA">
        <w:rPr>
          <w:rFonts w:cs="Calibri"/>
          <w:lang w:eastAsia="en-GB"/>
        </w:rPr>
        <w:t>New Zealand</w:t>
      </w:r>
      <w:r w:rsidRPr="009E06AA">
        <w:rPr>
          <w:rFonts w:cs="Calibri"/>
        </w:rPr>
        <w:t xml:space="preserve"> has produced estimates based on Stats NZ survey data. Stats NZ conducted an industrial and trade energy use survey (Stats NZ, 2018), which assessed energy consumption and end use across manufacturing industries for the 2016 calendar year. Proportions of liquid energy end use were then determined across the manufacturing industries. These proportions, along with category gross domestic product (GDP) data from Stats NZ for the period, were used to calculate implied energy intensities (PJ per unit of GDP) for each category for diesel, gasoline and fuel oil (see table 3.2.5). These intensities were then applied to Stats NZ GDP data across the time series and scaled to match the fuel sales reported for all manufacturing industries and construction, to estimate activity data for each category. </w:t>
      </w:r>
    </w:p>
    <w:p w14:paraId="4B659001" w14:textId="77777777" w:rsidR="00D97D6C" w:rsidRPr="009E06AA" w:rsidRDefault="00D97D6C" w:rsidP="00D97D6C">
      <w:pPr>
        <w:pStyle w:val="Table"/>
        <w:rPr>
          <w:rFonts w:cs="Calibri"/>
        </w:rPr>
      </w:pPr>
      <w:bookmarkStart w:id="378" w:name="_Toc68786409"/>
      <w:bookmarkStart w:id="379" w:name="_Toc164153808"/>
      <w:r w:rsidRPr="009E06AA">
        <w:rPr>
          <w:rFonts w:cs="Calibri"/>
        </w:rPr>
        <w:t xml:space="preserve">Table 3.2.5 </w:t>
      </w:r>
      <w:r w:rsidRPr="009E06AA">
        <w:rPr>
          <w:rFonts w:cs="Calibri"/>
        </w:rPr>
        <w:tab/>
        <w:t>Energy intensity values used to disaggregate liquid fuel use for manufacturing (gigajoules </w:t>
      </w:r>
      <w:r w:rsidRPr="009E06AA">
        <w:t>per </w:t>
      </w:r>
      <w:r w:rsidRPr="009E06AA">
        <w:rPr>
          <w:rFonts w:cs="Calibri"/>
        </w:rPr>
        <w:t>gross domestic product index)</w:t>
      </w:r>
      <w:bookmarkEnd w:id="378"/>
      <w:bookmarkEnd w:id="379"/>
    </w:p>
    <w:tbl>
      <w:tblPr>
        <w:tblW w:w="8505" w:type="dxa"/>
        <w:tblBorders>
          <w:top w:val="single" w:sz="4" w:space="0" w:color="1B556B"/>
          <w:bottom w:val="single" w:sz="4" w:space="0" w:color="1B556B"/>
          <w:insideH w:val="single" w:sz="4" w:space="0" w:color="1B556B"/>
          <w:insideV w:val="single" w:sz="4" w:space="0" w:color="1B556B"/>
        </w:tblBorders>
        <w:tblLook w:val="04A0" w:firstRow="1" w:lastRow="0" w:firstColumn="1" w:lastColumn="0" w:noHBand="0" w:noVBand="1"/>
      </w:tblPr>
      <w:tblGrid>
        <w:gridCol w:w="3131"/>
        <w:gridCol w:w="1629"/>
        <w:gridCol w:w="1791"/>
        <w:gridCol w:w="1954"/>
      </w:tblGrid>
      <w:tr w:rsidR="00D97D6C" w:rsidRPr="009E06AA" w14:paraId="7F6FAEF5" w14:textId="77777777" w:rsidTr="00B55F24">
        <w:trPr>
          <w:tblHeader/>
        </w:trPr>
        <w:tc>
          <w:tcPr>
            <w:tcW w:w="3131" w:type="dxa"/>
            <w:shd w:val="clear" w:color="auto" w:fill="1B556B"/>
          </w:tcPr>
          <w:p w14:paraId="125266C2" w14:textId="77777777" w:rsidR="00D97D6C" w:rsidRPr="009E06AA" w:rsidRDefault="00D97D6C" w:rsidP="00B11F53">
            <w:pPr>
              <w:pStyle w:val="TableTextBold"/>
              <w:spacing w:before="40" w:after="40"/>
              <w:rPr>
                <w:noProof w:val="0"/>
                <w:color w:val="FFFFFF"/>
              </w:rPr>
            </w:pPr>
            <w:r w:rsidRPr="009E06AA">
              <w:rPr>
                <w:noProof w:val="0"/>
                <w:color w:val="FFFFFF"/>
              </w:rPr>
              <w:t>Category</w:t>
            </w:r>
          </w:p>
        </w:tc>
        <w:tc>
          <w:tcPr>
            <w:tcW w:w="1629" w:type="dxa"/>
            <w:shd w:val="clear" w:color="auto" w:fill="1B556B"/>
          </w:tcPr>
          <w:p w14:paraId="7E3CE5A2" w14:textId="77777777" w:rsidR="00D97D6C" w:rsidRPr="009E06AA" w:rsidRDefault="00D97D6C" w:rsidP="00B95F90">
            <w:pPr>
              <w:pStyle w:val="TableTextBold"/>
              <w:spacing w:before="40" w:after="40"/>
              <w:jc w:val="right"/>
              <w:rPr>
                <w:noProof w:val="0"/>
                <w:color w:val="FFFFFF"/>
              </w:rPr>
            </w:pPr>
            <w:r w:rsidRPr="009E06AA">
              <w:rPr>
                <w:noProof w:val="0"/>
                <w:color w:val="FFFFFF" w:themeColor="background1"/>
              </w:rPr>
              <w:t>Gasoline</w:t>
            </w:r>
          </w:p>
        </w:tc>
        <w:tc>
          <w:tcPr>
            <w:tcW w:w="1791" w:type="dxa"/>
            <w:shd w:val="clear" w:color="auto" w:fill="1B556B"/>
          </w:tcPr>
          <w:p w14:paraId="01426ACC" w14:textId="77777777" w:rsidR="00D97D6C" w:rsidRPr="009E06AA" w:rsidRDefault="00D97D6C" w:rsidP="00B95F90">
            <w:pPr>
              <w:pStyle w:val="TableTextBold"/>
              <w:spacing w:before="40" w:after="40"/>
              <w:jc w:val="right"/>
              <w:rPr>
                <w:noProof w:val="0"/>
                <w:color w:val="FFFFFF"/>
              </w:rPr>
            </w:pPr>
            <w:r w:rsidRPr="009E06AA">
              <w:rPr>
                <w:noProof w:val="0"/>
                <w:color w:val="FFFFFF"/>
              </w:rPr>
              <w:t>Diesel</w:t>
            </w:r>
          </w:p>
        </w:tc>
        <w:tc>
          <w:tcPr>
            <w:tcW w:w="1954" w:type="dxa"/>
            <w:shd w:val="clear" w:color="auto" w:fill="1B556B"/>
          </w:tcPr>
          <w:p w14:paraId="6C07B9CC" w14:textId="77777777" w:rsidR="00D97D6C" w:rsidRPr="009E06AA" w:rsidRDefault="00D97D6C" w:rsidP="00B95F90">
            <w:pPr>
              <w:pStyle w:val="TableTextBold"/>
              <w:spacing w:before="40" w:after="40"/>
              <w:jc w:val="right"/>
              <w:rPr>
                <w:noProof w:val="0"/>
                <w:color w:val="FFFFFF"/>
              </w:rPr>
            </w:pPr>
            <w:r w:rsidRPr="009E06AA">
              <w:rPr>
                <w:noProof w:val="0"/>
                <w:color w:val="FFFFFF"/>
              </w:rPr>
              <w:t>Fuel oil</w:t>
            </w:r>
          </w:p>
        </w:tc>
      </w:tr>
      <w:tr w:rsidR="00D97D6C" w:rsidRPr="009E06AA" w14:paraId="3B179265" w14:textId="77777777" w:rsidTr="00B55F24">
        <w:tc>
          <w:tcPr>
            <w:tcW w:w="3131" w:type="dxa"/>
            <w:shd w:val="clear" w:color="auto" w:fill="auto"/>
          </w:tcPr>
          <w:p w14:paraId="7A97EF4D" w14:textId="77777777" w:rsidR="00D97D6C" w:rsidRPr="009E06AA" w:rsidRDefault="00D97D6C" w:rsidP="00B11F53">
            <w:pPr>
              <w:pStyle w:val="TableText"/>
              <w:spacing w:before="40" w:after="40"/>
            </w:pPr>
            <w:r w:rsidRPr="009E06AA">
              <w:t>Mining</w:t>
            </w:r>
          </w:p>
        </w:tc>
        <w:tc>
          <w:tcPr>
            <w:tcW w:w="1629" w:type="dxa"/>
            <w:shd w:val="clear" w:color="auto" w:fill="auto"/>
          </w:tcPr>
          <w:p w14:paraId="31C45861" w14:textId="77777777" w:rsidR="00D97D6C" w:rsidRPr="009E06AA" w:rsidRDefault="00D97D6C" w:rsidP="00B95F90">
            <w:pPr>
              <w:pStyle w:val="TableText"/>
              <w:tabs>
                <w:tab w:val="decimal" w:pos="27"/>
              </w:tabs>
              <w:spacing w:before="40" w:after="40"/>
              <w:jc w:val="right"/>
            </w:pPr>
            <w:r w:rsidRPr="009E06AA">
              <w:t>2.4</w:t>
            </w:r>
          </w:p>
        </w:tc>
        <w:tc>
          <w:tcPr>
            <w:tcW w:w="1791" w:type="dxa"/>
          </w:tcPr>
          <w:p w14:paraId="547F615F" w14:textId="77777777" w:rsidR="00D97D6C" w:rsidRPr="009E06AA" w:rsidRDefault="00D97D6C" w:rsidP="00B95F90">
            <w:pPr>
              <w:pStyle w:val="TableText"/>
              <w:tabs>
                <w:tab w:val="decimal" w:pos="244"/>
              </w:tabs>
              <w:spacing w:before="40" w:after="40"/>
              <w:jc w:val="right"/>
            </w:pPr>
            <w:r w:rsidRPr="009E06AA">
              <w:t>1,117.9</w:t>
            </w:r>
          </w:p>
        </w:tc>
        <w:tc>
          <w:tcPr>
            <w:tcW w:w="1954" w:type="dxa"/>
            <w:shd w:val="clear" w:color="auto" w:fill="auto"/>
          </w:tcPr>
          <w:p w14:paraId="35C75513" w14:textId="77777777" w:rsidR="00D97D6C" w:rsidRPr="009E06AA" w:rsidRDefault="00D97D6C" w:rsidP="00B95F90">
            <w:pPr>
              <w:pStyle w:val="TableText"/>
              <w:tabs>
                <w:tab w:val="decimal" w:pos="147"/>
              </w:tabs>
              <w:spacing w:before="40" w:after="40"/>
              <w:jc w:val="right"/>
            </w:pPr>
            <w:r w:rsidRPr="009E06AA">
              <w:t>19.6</w:t>
            </w:r>
          </w:p>
        </w:tc>
      </w:tr>
      <w:tr w:rsidR="00D97D6C" w:rsidRPr="009E06AA" w14:paraId="74A28F96" w14:textId="77777777" w:rsidTr="00B55F24">
        <w:tc>
          <w:tcPr>
            <w:tcW w:w="3131" w:type="dxa"/>
            <w:shd w:val="clear" w:color="auto" w:fill="auto"/>
          </w:tcPr>
          <w:p w14:paraId="1257F407" w14:textId="77777777" w:rsidR="00D97D6C" w:rsidRPr="009E06AA" w:rsidRDefault="00D97D6C" w:rsidP="00B11F53">
            <w:pPr>
              <w:pStyle w:val="TableText"/>
              <w:spacing w:before="40" w:after="40"/>
            </w:pPr>
            <w:r w:rsidRPr="009E06AA">
              <w:t xml:space="preserve">Building and construction </w:t>
            </w:r>
          </w:p>
        </w:tc>
        <w:tc>
          <w:tcPr>
            <w:tcW w:w="1629" w:type="dxa"/>
            <w:shd w:val="clear" w:color="auto" w:fill="auto"/>
          </w:tcPr>
          <w:p w14:paraId="53396105" w14:textId="77777777" w:rsidR="00D97D6C" w:rsidRPr="009E06AA" w:rsidRDefault="00D97D6C" w:rsidP="00B95F90">
            <w:pPr>
              <w:pStyle w:val="TableText"/>
              <w:tabs>
                <w:tab w:val="decimal" w:pos="27"/>
              </w:tabs>
              <w:spacing w:before="40" w:after="40"/>
              <w:jc w:val="right"/>
            </w:pPr>
            <w:r w:rsidRPr="009E06AA">
              <w:t>30.5</w:t>
            </w:r>
          </w:p>
        </w:tc>
        <w:tc>
          <w:tcPr>
            <w:tcW w:w="1791" w:type="dxa"/>
          </w:tcPr>
          <w:p w14:paraId="5B4BEAA9" w14:textId="77777777" w:rsidR="00D97D6C" w:rsidRPr="009E06AA" w:rsidRDefault="00D97D6C" w:rsidP="00B95F90">
            <w:pPr>
              <w:pStyle w:val="TableText"/>
              <w:tabs>
                <w:tab w:val="decimal" w:pos="244"/>
              </w:tabs>
              <w:spacing w:before="40" w:after="40"/>
              <w:jc w:val="right"/>
            </w:pPr>
            <w:r w:rsidRPr="009E06AA">
              <w:t>334.8</w:t>
            </w:r>
          </w:p>
        </w:tc>
        <w:tc>
          <w:tcPr>
            <w:tcW w:w="1954" w:type="dxa"/>
            <w:shd w:val="clear" w:color="auto" w:fill="auto"/>
          </w:tcPr>
          <w:p w14:paraId="0A763A2D" w14:textId="77777777" w:rsidR="00D97D6C" w:rsidRPr="009E06AA" w:rsidRDefault="00D97D6C" w:rsidP="00B95F90">
            <w:pPr>
              <w:pStyle w:val="TableText"/>
              <w:tabs>
                <w:tab w:val="decimal" w:pos="147"/>
              </w:tabs>
              <w:spacing w:before="40" w:after="40"/>
              <w:jc w:val="right"/>
            </w:pPr>
            <w:r w:rsidRPr="009E06AA">
              <w:t>2.7</w:t>
            </w:r>
          </w:p>
        </w:tc>
      </w:tr>
      <w:tr w:rsidR="00D97D6C" w:rsidRPr="009E06AA" w14:paraId="47120B9A" w14:textId="77777777" w:rsidTr="00B55F24">
        <w:tc>
          <w:tcPr>
            <w:tcW w:w="3131" w:type="dxa"/>
            <w:shd w:val="clear" w:color="auto" w:fill="auto"/>
          </w:tcPr>
          <w:p w14:paraId="1B6B5306" w14:textId="77777777" w:rsidR="00D97D6C" w:rsidRPr="009E06AA" w:rsidRDefault="00D97D6C" w:rsidP="00B11F53">
            <w:pPr>
              <w:pStyle w:val="TableText"/>
              <w:spacing w:before="40" w:after="40"/>
            </w:pPr>
            <w:r w:rsidRPr="009E06AA">
              <w:t>Food processing</w:t>
            </w:r>
          </w:p>
        </w:tc>
        <w:tc>
          <w:tcPr>
            <w:tcW w:w="1629" w:type="dxa"/>
            <w:shd w:val="clear" w:color="auto" w:fill="auto"/>
          </w:tcPr>
          <w:p w14:paraId="7F5CC573" w14:textId="77777777" w:rsidR="00D97D6C" w:rsidRPr="009E06AA" w:rsidRDefault="00D97D6C" w:rsidP="00B95F90">
            <w:pPr>
              <w:pStyle w:val="TableText"/>
              <w:tabs>
                <w:tab w:val="decimal" w:pos="27"/>
              </w:tabs>
              <w:spacing w:before="40" w:after="40"/>
              <w:jc w:val="right"/>
            </w:pPr>
            <w:r w:rsidRPr="009E06AA">
              <w:t>1.4</w:t>
            </w:r>
          </w:p>
        </w:tc>
        <w:tc>
          <w:tcPr>
            <w:tcW w:w="1791" w:type="dxa"/>
          </w:tcPr>
          <w:p w14:paraId="250FB66E" w14:textId="77777777" w:rsidR="00D97D6C" w:rsidRPr="009E06AA" w:rsidRDefault="00D97D6C" w:rsidP="00B95F90">
            <w:pPr>
              <w:pStyle w:val="TableText"/>
              <w:tabs>
                <w:tab w:val="decimal" w:pos="244"/>
              </w:tabs>
              <w:spacing w:before="40" w:after="40"/>
              <w:jc w:val="right"/>
            </w:pPr>
            <w:r w:rsidRPr="009E06AA">
              <w:t>475.6</w:t>
            </w:r>
          </w:p>
        </w:tc>
        <w:tc>
          <w:tcPr>
            <w:tcW w:w="1954" w:type="dxa"/>
            <w:shd w:val="clear" w:color="auto" w:fill="auto"/>
          </w:tcPr>
          <w:p w14:paraId="66D651EE" w14:textId="77777777" w:rsidR="00D97D6C" w:rsidRPr="009E06AA" w:rsidRDefault="00D97D6C" w:rsidP="00B95F90">
            <w:pPr>
              <w:pStyle w:val="TableText"/>
              <w:tabs>
                <w:tab w:val="decimal" w:pos="147"/>
              </w:tabs>
              <w:spacing w:before="40" w:after="40"/>
              <w:jc w:val="right"/>
            </w:pPr>
            <w:r w:rsidRPr="009E06AA">
              <w:t>243.5</w:t>
            </w:r>
          </w:p>
        </w:tc>
      </w:tr>
      <w:tr w:rsidR="00D97D6C" w:rsidRPr="009E06AA" w14:paraId="29B8A174" w14:textId="77777777" w:rsidTr="00B55F24">
        <w:tc>
          <w:tcPr>
            <w:tcW w:w="3131" w:type="dxa"/>
            <w:shd w:val="clear" w:color="auto" w:fill="auto"/>
          </w:tcPr>
          <w:p w14:paraId="1A53DB41" w14:textId="77777777" w:rsidR="00D97D6C" w:rsidRPr="009E06AA" w:rsidRDefault="00D97D6C" w:rsidP="00B11F53">
            <w:pPr>
              <w:pStyle w:val="TableText"/>
              <w:spacing w:before="40" w:after="40"/>
            </w:pPr>
            <w:r w:rsidRPr="009E06AA">
              <w:t>Textiles</w:t>
            </w:r>
          </w:p>
        </w:tc>
        <w:tc>
          <w:tcPr>
            <w:tcW w:w="1629" w:type="dxa"/>
            <w:shd w:val="clear" w:color="auto" w:fill="auto"/>
          </w:tcPr>
          <w:p w14:paraId="1E0F0AF5" w14:textId="77777777" w:rsidR="00D97D6C" w:rsidRPr="009E06AA" w:rsidRDefault="00D97D6C" w:rsidP="00B95F90">
            <w:pPr>
              <w:pStyle w:val="TableText"/>
              <w:tabs>
                <w:tab w:val="decimal" w:pos="27"/>
              </w:tabs>
              <w:spacing w:before="40" w:after="40"/>
              <w:jc w:val="right"/>
            </w:pPr>
            <w:r w:rsidRPr="009E06AA">
              <w:t>0.9</w:t>
            </w:r>
          </w:p>
        </w:tc>
        <w:tc>
          <w:tcPr>
            <w:tcW w:w="1791" w:type="dxa"/>
          </w:tcPr>
          <w:p w14:paraId="42241146" w14:textId="77777777" w:rsidR="00D97D6C" w:rsidRPr="009E06AA" w:rsidRDefault="00D97D6C" w:rsidP="00B95F90">
            <w:pPr>
              <w:pStyle w:val="TableText"/>
              <w:tabs>
                <w:tab w:val="decimal" w:pos="244"/>
              </w:tabs>
              <w:spacing w:before="40" w:after="40"/>
              <w:jc w:val="right"/>
            </w:pPr>
            <w:r w:rsidRPr="009E06AA">
              <w:t>12.8</w:t>
            </w:r>
          </w:p>
        </w:tc>
        <w:tc>
          <w:tcPr>
            <w:tcW w:w="1954" w:type="dxa"/>
            <w:shd w:val="clear" w:color="auto" w:fill="auto"/>
          </w:tcPr>
          <w:p w14:paraId="7CB79413" w14:textId="77777777" w:rsidR="00D97D6C" w:rsidRPr="009E06AA" w:rsidRDefault="00D97D6C" w:rsidP="00B95F90">
            <w:pPr>
              <w:pStyle w:val="TableText"/>
              <w:tabs>
                <w:tab w:val="decimal" w:pos="147"/>
              </w:tabs>
              <w:spacing w:before="40" w:after="40"/>
              <w:jc w:val="right"/>
            </w:pPr>
            <w:r w:rsidRPr="009E06AA">
              <w:t>158.6</w:t>
            </w:r>
          </w:p>
        </w:tc>
      </w:tr>
      <w:tr w:rsidR="00D97D6C" w:rsidRPr="009E06AA" w14:paraId="21CB3AF2" w14:textId="77777777" w:rsidTr="00B55F24">
        <w:tc>
          <w:tcPr>
            <w:tcW w:w="3131" w:type="dxa"/>
            <w:shd w:val="clear" w:color="auto" w:fill="auto"/>
          </w:tcPr>
          <w:p w14:paraId="2B169F0E" w14:textId="77777777" w:rsidR="00D97D6C" w:rsidRPr="009E06AA" w:rsidRDefault="00D97D6C" w:rsidP="00B11F53">
            <w:pPr>
              <w:pStyle w:val="TableText"/>
              <w:spacing w:before="40" w:after="40"/>
            </w:pPr>
            <w:r w:rsidRPr="009E06AA">
              <w:t>Wood, pulp, paper and printing</w:t>
            </w:r>
          </w:p>
        </w:tc>
        <w:tc>
          <w:tcPr>
            <w:tcW w:w="1629" w:type="dxa"/>
            <w:shd w:val="clear" w:color="auto" w:fill="auto"/>
          </w:tcPr>
          <w:p w14:paraId="1DE0B39B" w14:textId="77777777" w:rsidR="00D97D6C" w:rsidRPr="009E06AA" w:rsidRDefault="00D97D6C" w:rsidP="00B95F90">
            <w:pPr>
              <w:pStyle w:val="TableText"/>
              <w:tabs>
                <w:tab w:val="decimal" w:pos="27"/>
              </w:tabs>
              <w:spacing w:before="40" w:after="40"/>
              <w:jc w:val="right"/>
            </w:pPr>
            <w:r w:rsidRPr="009E06AA">
              <w:t>1.1</w:t>
            </w:r>
          </w:p>
        </w:tc>
        <w:tc>
          <w:tcPr>
            <w:tcW w:w="1791" w:type="dxa"/>
          </w:tcPr>
          <w:p w14:paraId="5056FAC7" w14:textId="77777777" w:rsidR="00D97D6C" w:rsidRPr="009E06AA" w:rsidRDefault="00D97D6C" w:rsidP="00B95F90">
            <w:pPr>
              <w:pStyle w:val="TableText"/>
              <w:tabs>
                <w:tab w:val="decimal" w:pos="244"/>
              </w:tabs>
              <w:spacing w:before="40" w:after="40"/>
              <w:jc w:val="right"/>
            </w:pPr>
            <w:r w:rsidRPr="009E06AA">
              <w:t>199.5</w:t>
            </w:r>
          </w:p>
        </w:tc>
        <w:tc>
          <w:tcPr>
            <w:tcW w:w="1954" w:type="dxa"/>
            <w:shd w:val="clear" w:color="auto" w:fill="auto"/>
          </w:tcPr>
          <w:p w14:paraId="33DF8A59" w14:textId="77777777" w:rsidR="00D97D6C" w:rsidRPr="009E06AA" w:rsidRDefault="00D97D6C" w:rsidP="00B95F90">
            <w:pPr>
              <w:pStyle w:val="TableText"/>
              <w:tabs>
                <w:tab w:val="decimal" w:pos="147"/>
              </w:tabs>
              <w:spacing w:before="40" w:after="40"/>
              <w:jc w:val="right"/>
            </w:pPr>
            <w:r w:rsidRPr="009E06AA">
              <w:t>43.7</w:t>
            </w:r>
          </w:p>
        </w:tc>
      </w:tr>
      <w:tr w:rsidR="00D97D6C" w:rsidRPr="009E06AA" w14:paraId="510252BE" w14:textId="77777777" w:rsidTr="00B55F24">
        <w:tc>
          <w:tcPr>
            <w:tcW w:w="3131" w:type="dxa"/>
            <w:shd w:val="clear" w:color="auto" w:fill="auto"/>
          </w:tcPr>
          <w:p w14:paraId="0CA11BC0" w14:textId="77777777" w:rsidR="00D97D6C" w:rsidRPr="009E06AA" w:rsidRDefault="00D97D6C" w:rsidP="00B11F53">
            <w:pPr>
              <w:pStyle w:val="TableText"/>
              <w:spacing w:before="40" w:after="40"/>
            </w:pPr>
            <w:r w:rsidRPr="009E06AA">
              <w:t>Chemicals</w:t>
            </w:r>
          </w:p>
        </w:tc>
        <w:tc>
          <w:tcPr>
            <w:tcW w:w="1629" w:type="dxa"/>
            <w:shd w:val="clear" w:color="auto" w:fill="auto"/>
          </w:tcPr>
          <w:p w14:paraId="1BB25351" w14:textId="77777777" w:rsidR="00D97D6C" w:rsidRPr="009E06AA" w:rsidRDefault="00D97D6C" w:rsidP="00B95F90">
            <w:pPr>
              <w:pStyle w:val="TableText"/>
              <w:tabs>
                <w:tab w:val="decimal" w:pos="27"/>
              </w:tabs>
              <w:spacing w:before="40" w:after="40"/>
              <w:jc w:val="right"/>
            </w:pPr>
            <w:r w:rsidRPr="009E06AA">
              <w:t>0.2</w:t>
            </w:r>
          </w:p>
        </w:tc>
        <w:tc>
          <w:tcPr>
            <w:tcW w:w="1791" w:type="dxa"/>
          </w:tcPr>
          <w:p w14:paraId="2333179B" w14:textId="77777777" w:rsidR="00D97D6C" w:rsidRPr="009E06AA" w:rsidRDefault="00D97D6C" w:rsidP="00B95F90">
            <w:pPr>
              <w:pStyle w:val="TableText"/>
              <w:tabs>
                <w:tab w:val="decimal" w:pos="244"/>
              </w:tabs>
              <w:spacing w:before="40" w:after="40"/>
              <w:jc w:val="right"/>
            </w:pPr>
            <w:r w:rsidRPr="009E06AA">
              <w:t>36.3</w:t>
            </w:r>
          </w:p>
        </w:tc>
        <w:tc>
          <w:tcPr>
            <w:tcW w:w="1954" w:type="dxa"/>
            <w:shd w:val="clear" w:color="auto" w:fill="auto"/>
          </w:tcPr>
          <w:p w14:paraId="7A1D4C3A" w14:textId="77777777" w:rsidR="00D97D6C" w:rsidRPr="009E06AA" w:rsidRDefault="00D97D6C" w:rsidP="00B95F90">
            <w:pPr>
              <w:pStyle w:val="TableText"/>
              <w:tabs>
                <w:tab w:val="decimal" w:pos="147"/>
              </w:tabs>
              <w:spacing w:before="40" w:after="40"/>
              <w:jc w:val="right"/>
            </w:pPr>
            <w:r w:rsidRPr="009E06AA">
              <w:t>2.0</w:t>
            </w:r>
          </w:p>
        </w:tc>
      </w:tr>
      <w:tr w:rsidR="00D97D6C" w:rsidRPr="009E06AA" w14:paraId="7DF9FAFA" w14:textId="77777777" w:rsidTr="00B55F24">
        <w:tc>
          <w:tcPr>
            <w:tcW w:w="3131" w:type="dxa"/>
            <w:shd w:val="clear" w:color="auto" w:fill="auto"/>
          </w:tcPr>
          <w:p w14:paraId="612D1EA9" w14:textId="77777777" w:rsidR="00D97D6C" w:rsidRPr="009E06AA" w:rsidRDefault="00D97D6C" w:rsidP="00B11F53">
            <w:pPr>
              <w:pStyle w:val="TableText"/>
              <w:spacing w:before="40" w:after="40"/>
            </w:pPr>
            <w:r w:rsidRPr="009E06AA">
              <w:t>Non-metallic minerals</w:t>
            </w:r>
          </w:p>
        </w:tc>
        <w:tc>
          <w:tcPr>
            <w:tcW w:w="1629" w:type="dxa"/>
            <w:shd w:val="clear" w:color="auto" w:fill="auto"/>
          </w:tcPr>
          <w:p w14:paraId="1AFE18DB" w14:textId="77777777" w:rsidR="00D97D6C" w:rsidRPr="009E06AA" w:rsidRDefault="00D97D6C" w:rsidP="00B95F90">
            <w:pPr>
              <w:pStyle w:val="TableText"/>
              <w:tabs>
                <w:tab w:val="decimal" w:pos="27"/>
              </w:tabs>
              <w:spacing w:before="40" w:after="40"/>
              <w:jc w:val="right"/>
            </w:pPr>
            <w:r w:rsidRPr="009E06AA">
              <w:t>0.7</w:t>
            </w:r>
          </w:p>
        </w:tc>
        <w:tc>
          <w:tcPr>
            <w:tcW w:w="1791" w:type="dxa"/>
          </w:tcPr>
          <w:p w14:paraId="210C4CC6" w14:textId="77777777" w:rsidR="00D97D6C" w:rsidRPr="009E06AA" w:rsidRDefault="00D97D6C" w:rsidP="00B95F90">
            <w:pPr>
              <w:pStyle w:val="TableText"/>
              <w:tabs>
                <w:tab w:val="decimal" w:pos="244"/>
              </w:tabs>
              <w:spacing w:before="40" w:after="40"/>
              <w:jc w:val="right"/>
            </w:pPr>
            <w:r w:rsidRPr="009E06AA">
              <w:t>587.4</w:t>
            </w:r>
          </w:p>
        </w:tc>
        <w:tc>
          <w:tcPr>
            <w:tcW w:w="1954" w:type="dxa"/>
            <w:shd w:val="clear" w:color="auto" w:fill="auto"/>
          </w:tcPr>
          <w:p w14:paraId="6FE9F8C8" w14:textId="77777777" w:rsidR="00D97D6C" w:rsidRPr="009E06AA" w:rsidRDefault="00D97D6C" w:rsidP="00B95F90">
            <w:pPr>
              <w:pStyle w:val="TableText"/>
              <w:tabs>
                <w:tab w:val="decimal" w:pos="147"/>
              </w:tabs>
              <w:spacing w:before="40" w:after="40"/>
              <w:jc w:val="right"/>
            </w:pPr>
            <w:r w:rsidRPr="009E06AA">
              <w:t>263.9</w:t>
            </w:r>
          </w:p>
        </w:tc>
      </w:tr>
      <w:tr w:rsidR="00D97D6C" w:rsidRPr="009E06AA" w14:paraId="57594154" w14:textId="77777777" w:rsidTr="00B55F24">
        <w:tc>
          <w:tcPr>
            <w:tcW w:w="3131" w:type="dxa"/>
            <w:shd w:val="clear" w:color="auto" w:fill="auto"/>
          </w:tcPr>
          <w:p w14:paraId="7A1E3F6E" w14:textId="77777777" w:rsidR="00D97D6C" w:rsidRPr="009E06AA" w:rsidRDefault="00D97D6C" w:rsidP="00B11F53">
            <w:pPr>
              <w:pStyle w:val="TableText"/>
              <w:spacing w:before="40" w:after="40"/>
            </w:pPr>
            <w:r w:rsidRPr="009E06AA">
              <w:t>Basic metals</w:t>
            </w:r>
          </w:p>
        </w:tc>
        <w:tc>
          <w:tcPr>
            <w:tcW w:w="1629" w:type="dxa"/>
            <w:shd w:val="clear" w:color="auto" w:fill="auto"/>
          </w:tcPr>
          <w:p w14:paraId="75744D7A" w14:textId="77777777" w:rsidR="00D97D6C" w:rsidRPr="009E06AA" w:rsidRDefault="00D97D6C" w:rsidP="00B95F90">
            <w:pPr>
              <w:pStyle w:val="TableText"/>
              <w:tabs>
                <w:tab w:val="decimal" w:pos="27"/>
              </w:tabs>
              <w:spacing w:before="40" w:after="40"/>
              <w:jc w:val="right"/>
            </w:pPr>
            <w:r w:rsidRPr="009E06AA">
              <w:t>1.2</w:t>
            </w:r>
          </w:p>
        </w:tc>
        <w:tc>
          <w:tcPr>
            <w:tcW w:w="1791" w:type="dxa"/>
          </w:tcPr>
          <w:p w14:paraId="09CD3E87" w14:textId="77777777" w:rsidR="00D97D6C" w:rsidRPr="009E06AA" w:rsidRDefault="00D97D6C" w:rsidP="00B95F90">
            <w:pPr>
              <w:pStyle w:val="TableText"/>
              <w:tabs>
                <w:tab w:val="decimal" w:pos="244"/>
              </w:tabs>
              <w:spacing w:before="40" w:after="40"/>
              <w:jc w:val="right"/>
            </w:pPr>
            <w:r w:rsidRPr="009E06AA">
              <w:t>88.1</w:t>
            </w:r>
          </w:p>
        </w:tc>
        <w:tc>
          <w:tcPr>
            <w:tcW w:w="1954" w:type="dxa"/>
            <w:shd w:val="clear" w:color="auto" w:fill="auto"/>
          </w:tcPr>
          <w:p w14:paraId="21E4889A" w14:textId="77777777" w:rsidR="00D97D6C" w:rsidRPr="009E06AA" w:rsidRDefault="00D97D6C" w:rsidP="00B95F90">
            <w:pPr>
              <w:pStyle w:val="TableText"/>
              <w:tabs>
                <w:tab w:val="decimal" w:pos="147"/>
              </w:tabs>
              <w:spacing w:before="40" w:after="40"/>
              <w:jc w:val="right"/>
            </w:pPr>
            <w:r w:rsidRPr="009E06AA">
              <w:t>0.4</w:t>
            </w:r>
          </w:p>
        </w:tc>
      </w:tr>
      <w:tr w:rsidR="00D97D6C" w:rsidRPr="009E06AA" w14:paraId="78A0A2C6" w14:textId="77777777" w:rsidTr="00B55F24">
        <w:tc>
          <w:tcPr>
            <w:tcW w:w="3131" w:type="dxa"/>
            <w:shd w:val="clear" w:color="auto" w:fill="auto"/>
          </w:tcPr>
          <w:p w14:paraId="162C1500" w14:textId="77777777" w:rsidR="00D97D6C" w:rsidRPr="009E06AA" w:rsidRDefault="00D97D6C" w:rsidP="00B11F53">
            <w:pPr>
              <w:pStyle w:val="TableText"/>
              <w:spacing w:before="40" w:after="40"/>
            </w:pPr>
            <w:r w:rsidRPr="009E06AA">
              <w:t>Mechanical/electrical equipment</w:t>
            </w:r>
          </w:p>
        </w:tc>
        <w:tc>
          <w:tcPr>
            <w:tcW w:w="1629" w:type="dxa"/>
            <w:shd w:val="clear" w:color="auto" w:fill="auto"/>
          </w:tcPr>
          <w:p w14:paraId="342E608A" w14:textId="77777777" w:rsidR="00D97D6C" w:rsidRPr="009E06AA" w:rsidRDefault="00D97D6C" w:rsidP="00B95F90">
            <w:pPr>
              <w:pStyle w:val="TableText"/>
              <w:tabs>
                <w:tab w:val="decimal" w:pos="27"/>
              </w:tabs>
              <w:spacing w:before="40" w:after="40"/>
              <w:jc w:val="right"/>
            </w:pPr>
            <w:r w:rsidRPr="009E06AA">
              <w:t>2.6</w:t>
            </w:r>
          </w:p>
        </w:tc>
        <w:tc>
          <w:tcPr>
            <w:tcW w:w="1791" w:type="dxa"/>
          </w:tcPr>
          <w:p w14:paraId="723A692B" w14:textId="77777777" w:rsidR="00D97D6C" w:rsidRPr="009E06AA" w:rsidRDefault="00D97D6C" w:rsidP="00B95F90">
            <w:pPr>
              <w:pStyle w:val="TableText"/>
              <w:tabs>
                <w:tab w:val="decimal" w:pos="244"/>
              </w:tabs>
              <w:spacing w:before="40" w:after="40"/>
              <w:jc w:val="right"/>
            </w:pPr>
            <w:r w:rsidRPr="009E06AA">
              <w:t>23.6</w:t>
            </w:r>
          </w:p>
        </w:tc>
        <w:tc>
          <w:tcPr>
            <w:tcW w:w="1954" w:type="dxa"/>
            <w:shd w:val="clear" w:color="auto" w:fill="auto"/>
          </w:tcPr>
          <w:p w14:paraId="45E18B0F" w14:textId="77777777" w:rsidR="00D97D6C" w:rsidRPr="009E06AA" w:rsidRDefault="00D97D6C" w:rsidP="00B95F90">
            <w:pPr>
              <w:pStyle w:val="TableText"/>
              <w:tabs>
                <w:tab w:val="decimal" w:pos="147"/>
              </w:tabs>
              <w:spacing w:before="40" w:after="40"/>
              <w:jc w:val="right"/>
            </w:pPr>
            <w:r w:rsidRPr="009E06AA">
              <w:t>0.9</w:t>
            </w:r>
          </w:p>
        </w:tc>
      </w:tr>
      <w:tr w:rsidR="00D97D6C" w:rsidRPr="009E06AA" w14:paraId="64B640A2" w14:textId="77777777" w:rsidTr="00B55F24">
        <w:tc>
          <w:tcPr>
            <w:tcW w:w="3131" w:type="dxa"/>
            <w:shd w:val="clear" w:color="auto" w:fill="auto"/>
          </w:tcPr>
          <w:p w14:paraId="45918E73" w14:textId="77777777" w:rsidR="00D97D6C" w:rsidRPr="009E06AA" w:rsidRDefault="00D97D6C" w:rsidP="00B11F53">
            <w:pPr>
              <w:pStyle w:val="TableText"/>
              <w:spacing w:before="40" w:after="40"/>
            </w:pPr>
            <w:r w:rsidRPr="009E06AA">
              <w:t>Industry unallocated</w:t>
            </w:r>
          </w:p>
        </w:tc>
        <w:tc>
          <w:tcPr>
            <w:tcW w:w="1629" w:type="dxa"/>
            <w:shd w:val="clear" w:color="auto" w:fill="auto"/>
          </w:tcPr>
          <w:p w14:paraId="7C12A9D1" w14:textId="77777777" w:rsidR="00D97D6C" w:rsidRPr="009E06AA" w:rsidRDefault="00D97D6C" w:rsidP="00B95F90">
            <w:pPr>
              <w:pStyle w:val="TableText"/>
              <w:tabs>
                <w:tab w:val="decimal" w:pos="27"/>
              </w:tabs>
              <w:spacing w:before="40" w:after="40"/>
              <w:jc w:val="right"/>
            </w:pPr>
            <w:r w:rsidRPr="009E06AA">
              <w:t>0.7</w:t>
            </w:r>
          </w:p>
        </w:tc>
        <w:tc>
          <w:tcPr>
            <w:tcW w:w="1791" w:type="dxa"/>
          </w:tcPr>
          <w:p w14:paraId="7309A12C" w14:textId="77777777" w:rsidR="00D97D6C" w:rsidRPr="009E06AA" w:rsidRDefault="00D97D6C" w:rsidP="00B95F90">
            <w:pPr>
              <w:pStyle w:val="TableText"/>
              <w:tabs>
                <w:tab w:val="decimal" w:pos="244"/>
              </w:tabs>
              <w:spacing w:before="40" w:after="40"/>
              <w:jc w:val="right"/>
            </w:pPr>
            <w:r w:rsidRPr="009E06AA">
              <w:t>2.7</w:t>
            </w:r>
          </w:p>
        </w:tc>
        <w:tc>
          <w:tcPr>
            <w:tcW w:w="1954" w:type="dxa"/>
            <w:shd w:val="clear" w:color="auto" w:fill="auto"/>
          </w:tcPr>
          <w:p w14:paraId="537904B4" w14:textId="77777777" w:rsidR="00D97D6C" w:rsidRPr="009E06AA" w:rsidRDefault="00D97D6C" w:rsidP="00B95F90">
            <w:pPr>
              <w:pStyle w:val="TableText"/>
              <w:tabs>
                <w:tab w:val="decimal" w:pos="147"/>
              </w:tabs>
              <w:spacing w:before="40" w:after="40"/>
              <w:jc w:val="right"/>
            </w:pPr>
            <w:r w:rsidRPr="009E06AA">
              <w:t>0.5</w:t>
            </w:r>
          </w:p>
        </w:tc>
      </w:tr>
    </w:tbl>
    <w:p w14:paraId="3EDA7F7D" w14:textId="77777777" w:rsidR="00D97D6C" w:rsidRPr="009E06AA" w:rsidRDefault="00D97D6C" w:rsidP="00D97D6C">
      <w:pPr>
        <w:pStyle w:val="BodyText"/>
        <w:spacing w:before="240"/>
        <w:rPr>
          <w:rFonts w:cs="Calibri"/>
        </w:rPr>
      </w:pPr>
      <w:r w:rsidRPr="009E06AA">
        <w:rPr>
          <w:rFonts w:cs="Calibri"/>
        </w:rPr>
        <w:t>By disaggregating into categories, more accurate estimates of stationary versus mobile combustion for diesel were also able to be made, resulting in small changes to the emissions from manufacturing industries and construction.</w:t>
      </w:r>
    </w:p>
    <w:p w14:paraId="5F59A2D1" w14:textId="55999AEC" w:rsidR="00D97D6C" w:rsidRPr="009E06AA" w:rsidRDefault="00D97D6C" w:rsidP="00D97D6C">
      <w:pPr>
        <w:pStyle w:val="BodyText"/>
        <w:rPr>
          <w:rFonts w:cs="Calibri"/>
        </w:rPr>
      </w:pPr>
      <w:r w:rsidRPr="009E06AA">
        <w:rPr>
          <w:rFonts w:cs="Calibri"/>
        </w:rPr>
        <w:t xml:space="preserve">Disaggregating the </w:t>
      </w:r>
      <w:r w:rsidRPr="009E06AA">
        <w:rPr>
          <w:rFonts w:cs="Calibri"/>
          <w:i/>
        </w:rPr>
        <w:t>Manufacturing industries and construction</w:t>
      </w:r>
      <w:r w:rsidRPr="009E06AA">
        <w:rPr>
          <w:rFonts w:cs="Calibri"/>
        </w:rPr>
        <w:t xml:space="preserve"> category for solid fuels, solid biomass, gasoline and diesel has led to a significant decrease in the </w:t>
      </w:r>
      <w:r w:rsidRPr="009E06AA">
        <w:rPr>
          <w:rFonts w:cs="Calibri"/>
          <w:i/>
        </w:rPr>
        <w:t>Other – not specified</w:t>
      </w:r>
      <w:r w:rsidRPr="009E06AA">
        <w:rPr>
          <w:rFonts w:cs="Calibri"/>
        </w:rPr>
        <w:t xml:space="preserve"> category (1.A.2.g) under </w:t>
      </w:r>
      <w:r w:rsidRPr="009E06AA">
        <w:rPr>
          <w:rFonts w:cs="Calibri"/>
          <w:i/>
        </w:rPr>
        <w:t>Manufacturing industries and construction</w:t>
      </w:r>
      <w:r w:rsidRPr="009E06AA">
        <w:rPr>
          <w:rFonts w:cs="Calibri"/>
        </w:rPr>
        <w:t>. The proportions are shown in </w:t>
      </w:r>
      <w:r w:rsidR="001C3E6B" w:rsidRPr="001C3E6B">
        <w:rPr>
          <w:rFonts w:cs="Calibri"/>
        </w:rPr>
        <w:t>figure 3.2.8 and figure 3.2.9</w:t>
      </w:r>
      <w:r w:rsidRPr="009E06AA">
        <w:rPr>
          <w:rFonts w:cs="Calibri"/>
        </w:rPr>
        <w:t>.</w:t>
      </w:r>
    </w:p>
    <w:p w14:paraId="0CC825EA" w14:textId="17E890B0" w:rsidR="00D97D6C" w:rsidRPr="009E06AA" w:rsidRDefault="00D97D6C" w:rsidP="00D97D6C">
      <w:pPr>
        <w:pStyle w:val="Figure"/>
        <w:rPr>
          <w:rFonts w:cs="Calibri"/>
        </w:rPr>
      </w:pPr>
      <w:bookmarkStart w:id="380" w:name="_Ref445300349"/>
      <w:bookmarkStart w:id="381" w:name="_Toc36292777"/>
      <w:bookmarkStart w:id="382" w:name="_Toc321399330"/>
      <w:bookmarkStart w:id="383" w:name="_Toc384582858"/>
      <w:bookmarkStart w:id="384" w:name="_Toc443060818"/>
      <w:bookmarkStart w:id="385" w:name="_Toc447275675"/>
      <w:bookmarkStart w:id="386" w:name="_Toc481751993"/>
      <w:bookmarkStart w:id="387" w:name="_Toc68786642"/>
      <w:bookmarkStart w:id="388" w:name="_Toc95834077"/>
      <w:bookmarkStart w:id="389" w:name="_Toc164154013"/>
      <w:r w:rsidRPr="009E06AA">
        <w:t>Figure 3.2.</w:t>
      </w:r>
      <w:r w:rsidRPr="009E06AA">
        <w:fldChar w:fldCharType="begin"/>
      </w:r>
      <w:r w:rsidRPr="009E06AA">
        <w:instrText xml:space="preserve"> SEQ Figure \* ARABIC \s 2 </w:instrText>
      </w:r>
      <w:r w:rsidRPr="009E06AA">
        <w:fldChar w:fldCharType="separate"/>
      </w:r>
      <w:r w:rsidR="009E4901">
        <w:rPr>
          <w:noProof/>
        </w:rPr>
        <w:t>8</w:t>
      </w:r>
      <w:r w:rsidRPr="009E06AA">
        <w:fldChar w:fldCharType="end"/>
      </w:r>
      <w:bookmarkEnd w:id="380"/>
      <w:r w:rsidRPr="009E06AA">
        <w:t xml:space="preserve"> </w:t>
      </w:r>
      <w:r w:rsidRPr="009E06AA">
        <w:tab/>
        <w:t xml:space="preserve">Proportions used for </w:t>
      </w:r>
      <w:r w:rsidRPr="009E06AA">
        <w:rPr>
          <w:i/>
          <w:iCs/>
        </w:rPr>
        <w:t>Manufacturing industries and construction</w:t>
      </w:r>
      <w:r w:rsidRPr="009E06AA">
        <w:t xml:space="preserve"> category – Gasoline</w:t>
      </w:r>
      <w:r w:rsidR="00636ED3" w:rsidRPr="009E06AA">
        <w:t>,</w:t>
      </w:r>
      <w:r w:rsidRPr="009E06AA">
        <w:t xml:space="preserve"> from</w:t>
      </w:r>
      <w:r w:rsidR="00636ED3" w:rsidRPr="009E06AA">
        <w:t> </w:t>
      </w:r>
      <w:r w:rsidRPr="009E06AA">
        <w:t xml:space="preserve">1990 to </w:t>
      </w:r>
      <w:bookmarkEnd w:id="381"/>
      <w:bookmarkEnd w:id="382"/>
      <w:bookmarkEnd w:id="383"/>
      <w:bookmarkEnd w:id="384"/>
      <w:bookmarkEnd w:id="385"/>
      <w:bookmarkEnd w:id="386"/>
      <w:bookmarkEnd w:id="387"/>
      <w:bookmarkEnd w:id="388"/>
      <w:r w:rsidRPr="009E06AA">
        <w:t>2022</w:t>
      </w:r>
      <w:bookmarkEnd w:id="389"/>
    </w:p>
    <w:p w14:paraId="75632A64" w14:textId="77777777" w:rsidR="00D97D6C" w:rsidRPr="009E06AA" w:rsidRDefault="00D97D6C" w:rsidP="00D97D6C">
      <w:pPr>
        <w:pStyle w:val="BodyText"/>
      </w:pPr>
      <w:r w:rsidRPr="009E06AA">
        <w:rPr>
          <w:noProof/>
        </w:rPr>
        <w:drawing>
          <wp:inline distT="0" distB="0" distL="0" distR="0" wp14:anchorId="65620A01" wp14:editId="15CE292B">
            <wp:extent cx="5301615" cy="2393343"/>
            <wp:effectExtent l="0" t="0" r="0" b="6985"/>
            <wp:docPr id="2103740989" name="Picture 21037409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3740989" name="Picture 2103740989"/>
                    <pic:cNvPicPr/>
                  </pic:nvPicPr>
                  <pic:blipFill rotWithShape="1">
                    <a:blip r:embed="rId64" cstate="print">
                      <a:extLst>
                        <a:ext uri="{28A0092B-C50C-407E-A947-70E740481C1C}">
                          <a14:useLocalDpi xmlns:a14="http://schemas.microsoft.com/office/drawing/2010/main" val="0"/>
                        </a:ext>
                      </a:extLst>
                    </a:blip>
                    <a:srcRect/>
                    <a:stretch/>
                  </pic:blipFill>
                  <pic:spPr bwMode="auto">
                    <a:xfrm>
                      <a:off x="0" y="0"/>
                      <a:ext cx="5302249" cy="2393629"/>
                    </a:xfrm>
                    <a:prstGeom prst="rect">
                      <a:avLst/>
                    </a:prstGeom>
                    <a:ln>
                      <a:noFill/>
                    </a:ln>
                    <a:extLst>
                      <a:ext uri="{53640926-AAD7-44D8-BBD7-CCE9431645EC}">
                        <a14:shadowObscured xmlns:a14="http://schemas.microsoft.com/office/drawing/2010/main"/>
                      </a:ext>
                    </a:extLst>
                  </pic:spPr>
                </pic:pic>
              </a:graphicData>
            </a:graphic>
          </wp:inline>
        </w:drawing>
      </w:r>
    </w:p>
    <w:p w14:paraId="785E3ADB" w14:textId="10BE6557" w:rsidR="00D97D6C" w:rsidRPr="009E06AA" w:rsidRDefault="00D97D6C" w:rsidP="00D97D6C">
      <w:pPr>
        <w:pStyle w:val="Figure"/>
        <w:spacing w:before="240" w:after="80"/>
      </w:pPr>
      <w:bookmarkStart w:id="390" w:name="_Ref445300362"/>
      <w:bookmarkStart w:id="391" w:name="_Toc321399331"/>
      <w:bookmarkStart w:id="392" w:name="_Toc384582859"/>
      <w:bookmarkStart w:id="393" w:name="_Toc443060819"/>
      <w:bookmarkStart w:id="394" w:name="_Toc447275676"/>
      <w:bookmarkStart w:id="395" w:name="_Toc481751994"/>
      <w:bookmarkStart w:id="396" w:name="_Toc36292778"/>
      <w:bookmarkStart w:id="397" w:name="_Toc68786643"/>
      <w:bookmarkStart w:id="398" w:name="_Toc95834078"/>
      <w:bookmarkStart w:id="399" w:name="_Toc164154014"/>
      <w:r w:rsidRPr="009E06AA">
        <w:t>Figure 3.2.</w:t>
      </w:r>
      <w:r w:rsidRPr="009E06AA">
        <w:fldChar w:fldCharType="begin"/>
      </w:r>
      <w:r w:rsidRPr="009E06AA">
        <w:instrText xml:space="preserve"> SEQ Figure \* ARABIC \s 2 </w:instrText>
      </w:r>
      <w:r w:rsidRPr="009E06AA">
        <w:fldChar w:fldCharType="separate"/>
      </w:r>
      <w:r w:rsidR="009E4901">
        <w:rPr>
          <w:noProof/>
        </w:rPr>
        <w:t>9</w:t>
      </w:r>
      <w:r w:rsidRPr="009E06AA">
        <w:fldChar w:fldCharType="end"/>
      </w:r>
      <w:bookmarkEnd w:id="390"/>
      <w:r w:rsidRPr="009E06AA">
        <w:t xml:space="preserve"> </w:t>
      </w:r>
      <w:r w:rsidRPr="009E06AA">
        <w:tab/>
      </w:r>
      <w:bookmarkStart w:id="400" w:name="_Hlk66695051"/>
      <w:r w:rsidRPr="009E06AA">
        <w:t xml:space="preserve">Proportions used for </w:t>
      </w:r>
      <w:r w:rsidRPr="009E06AA">
        <w:rPr>
          <w:i/>
          <w:iCs/>
        </w:rPr>
        <w:t>Manufacturing industries and construction</w:t>
      </w:r>
      <w:r w:rsidRPr="009E06AA">
        <w:t xml:space="preserve"> category – Diesel</w:t>
      </w:r>
      <w:r w:rsidR="00636ED3" w:rsidRPr="009E06AA">
        <w:t>,</w:t>
      </w:r>
      <w:r w:rsidRPr="009E06AA">
        <w:t xml:space="preserve"> </w:t>
      </w:r>
      <w:bookmarkEnd w:id="391"/>
      <w:bookmarkEnd w:id="392"/>
      <w:bookmarkEnd w:id="393"/>
      <w:bookmarkEnd w:id="394"/>
      <w:bookmarkEnd w:id="395"/>
      <w:r w:rsidRPr="009E06AA">
        <w:t>from</w:t>
      </w:r>
      <w:r w:rsidR="00636ED3" w:rsidRPr="009E06AA">
        <w:t> </w:t>
      </w:r>
      <w:r w:rsidRPr="009E06AA">
        <w:t>1990 to </w:t>
      </w:r>
      <w:bookmarkEnd w:id="396"/>
      <w:bookmarkEnd w:id="397"/>
      <w:bookmarkEnd w:id="398"/>
      <w:bookmarkEnd w:id="400"/>
      <w:r w:rsidRPr="009E06AA">
        <w:t>2022</w:t>
      </w:r>
      <w:bookmarkEnd w:id="399"/>
    </w:p>
    <w:p w14:paraId="5204DF90" w14:textId="77777777" w:rsidR="00D97D6C" w:rsidRPr="009E06AA" w:rsidRDefault="00D97D6C" w:rsidP="00D97D6C">
      <w:pPr>
        <w:pStyle w:val="BodyText"/>
        <w:rPr>
          <w:rFonts w:cs="Calibri"/>
        </w:rPr>
      </w:pPr>
      <w:r w:rsidRPr="009E06AA">
        <w:rPr>
          <w:noProof/>
        </w:rPr>
        <w:drawing>
          <wp:inline distT="0" distB="0" distL="0" distR="0" wp14:anchorId="4FF561DF" wp14:editId="60DCE871">
            <wp:extent cx="5374256" cy="2579298"/>
            <wp:effectExtent l="0" t="0" r="0" b="0"/>
            <wp:docPr id="821339483" name="Picture 8213394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1339483" name="Picture 821339483"/>
                    <pic:cNvPicPr/>
                  </pic:nvPicPr>
                  <pic:blipFill rotWithShape="1">
                    <a:blip r:embed="rId65" cstate="print">
                      <a:extLst>
                        <a:ext uri="{28A0092B-C50C-407E-A947-70E740481C1C}">
                          <a14:useLocalDpi xmlns:a14="http://schemas.microsoft.com/office/drawing/2010/main" val="0"/>
                        </a:ext>
                      </a:extLst>
                    </a:blip>
                    <a:srcRect/>
                    <a:stretch/>
                  </pic:blipFill>
                  <pic:spPr bwMode="auto">
                    <a:xfrm>
                      <a:off x="0" y="0"/>
                      <a:ext cx="5393081" cy="2588333"/>
                    </a:xfrm>
                    <a:prstGeom prst="rect">
                      <a:avLst/>
                    </a:prstGeom>
                    <a:ln>
                      <a:noFill/>
                    </a:ln>
                    <a:extLst>
                      <a:ext uri="{53640926-AAD7-44D8-BBD7-CCE9431645EC}">
                        <a14:shadowObscured xmlns:a14="http://schemas.microsoft.com/office/drawing/2010/main"/>
                      </a:ext>
                    </a:extLst>
                  </pic:spPr>
                </pic:pic>
              </a:graphicData>
            </a:graphic>
          </wp:inline>
        </w:drawing>
      </w:r>
    </w:p>
    <w:p w14:paraId="200188D5" w14:textId="77777777" w:rsidR="00D97D6C" w:rsidRPr="009E06AA" w:rsidRDefault="00D97D6C" w:rsidP="00BF2A76">
      <w:pPr>
        <w:pStyle w:val="Heading5"/>
      </w:pPr>
      <w:r w:rsidRPr="009E06AA">
        <w:t>Gaseous fuels</w:t>
      </w:r>
    </w:p>
    <w:p w14:paraId="75EB0DF8" w14:textId="77777777" w:rsidR="00D97D6C" w:rsidRPr="009E06AA" w:rsidRDefault="00D97D6C" w:rsidP="00D97D6C">
      <w:pPr>
        <w:pStyle w:val="BodyText"/>
      </w:pPr>
      <w:r w:rsidRPr="009E06AA">
        <w:t xml:space="preserve">Annual natural gas consumption statistics are published by MBIE. A review of the allocation of natural gas consumption data was undertaken in 2011 by MBIE. The purpose of this review was to address time-series discontinuities in the sectoral breakdown for some sectors before </w:t>
      </w:r>
      <w:r w:rsidRPr="009E06AA">
        <w:rPr>
          <w:spacing w:val="-2"/>
        </w:rPr>
        <w:t>2006. Several inconsistencies in sector reporting were found, along with a considerable amoun</w:t>
      </w:r>
      <w:r w:rsidRPr="009E06AA">
        <w:t xml:space="preserve">t </w:t>
      </w:r>
      <w:r w:rsidRPr="009E06AA">
        <w:rPr>
          <w:spacing w:val="-2"/>
        </w:rPr>
        <w:t>of missing data for sectoral breakdowns. Inconsistencies from 2003 to 2005 were due to change</w:t>
      </w:r>
      <w:r w:rsidRPr="009E06AA">
        <w:t>s in survey design over time. Inconsistencies or missing data before 2003 were re</w:t>
      </w:r>
      <w:r w:rsidRPr="009E06AA">
        <w:noBreakHyphen/>
        <w:t>worked and re-estimated. These missing data comprised around 40 per cent of total natural gas use (which was not altered at a total level but only reallocated by sector).</w:t>
      </w:r>
    </w:p>
    <w:p w14:paraId="5583E4F2" w14:textId="77777777" w:rsidR="00D97D6C" w:rsidRPr="009E06AA" w:rsidRDefault="00D97D6C" w:rsidP="00D97D6C">
      <w:pPr>
        <w:pStyle w:val="BodyText"/>
      </w:pPr>
      <w:r w:rsidRPr="009E06AA">
        <w:t>Where necessary, new estimates of gas consumption were made, depending on data availability. The chosen data source in order of preference was as follows.</w:t>
      </w:r>
    </w:p>
    <w:p w14:paraId="3FF2E983" w14:textId="77777777" w:rsidR="00D97D6C" w:rsidRPr="009E06AA" w:rsidRDefault="00D97D6C" w:rsidP="00D97D6C">
      <w:pPr>
        <w:pStyle w:val="Bullet"/>
      </w:pPr>
      <w:r w:rsidRPr="009E06AA">
        <w:t>Data from major consumers of natural gas were used if available because they are more reliable, accurate and easily classified by sector.</w:t>
      </w:r>
    </w:p>
    <w:p w14:paraId="64F51902" w14:textId="77777777" w:rsidR="00D97D6C" w:rsidRPr="009E06AA" w:rsidRDefault="00D97D6C" w:rsidP="00D97D6C">
      <w:pPr>
        <w:pStyle w:val="Bullet"/>
      </w:pPr>
      <w:r w:rsidRPr="009E06AA">
        <w:t>Where these data were not available, natural gas retailers’ reported sales by sector were used.</w:t>
      </w:r>
    </w:p>
    <w:p w14:paraId="29CD5A70" w14:textId="77777777" w:rsidR="00D97D6C" w:rsidRPr="009E06AA" w:rsidRDefault="00D97D6C" w:rsidP="00D97D6C">
      <w:pPr>
        <w:pStyle w:val="Bullet"/>
      </w:pPr>
      <w:r w:rsidRPr="009E06AA">
        <w:t xml:space="preserve">If these data were also not available, then estimates based on regressions using GDP data were used. GDP output and production data were used along with assumptions about energy intensity and consumption of categories (to as detailed a level as possible). </w:t>
      </w:r>
    </w:p>
    <w:p w14:paraId="46134611" w14:textId="77777777" w:rsidR="00D97D6C" w:rsidRPr="009E06AA" w:rsidRDefault="00D97D6C" w:rsidP="00D97D6C">
      <w:pPr>
        <w:pStyle w:val="BodyText"/>
      </w:pPr>
      <w:r w:rsidRPr="009E06AA">
        <w:t xml:space="preserve">Several categories are represented by only one or two major natural gas consumers: for some of these cases data from major consumers were directly used. Where there are industries with many major natural gas consumers, gas retailers’ reported sales by sector were used, though these can, at times, exhibit data quality issues. </w:t>
      </w:r>
    </w:p>
    <w:p w14:paraId="6C73C9AC" w14:textId="77777777" w:rsidR="00D97D6C" w:rsidRPr="009E06AA" w:rsidRDefault="00D97D6C" w:rsidP="00D97D6C">
      <w:pPr>
        <w:pStyle w:val="BodyText"/>
      </w:pPr>
      <w:r w:rsidRPr="009E06AA">
        <w:t>A review was also undertaken in 2014 by MBIE covering data going back to 1999. Several sales previously identified as wholesale sales (i.e., gas bought to be on-sold) were in fact sold to consumers, but at ‘wholesale’ (lower) prices. Work was done to correct the classifications of these sales, based on customer name, to their relevant sectors.</w:t>
      </w:r>
    </w:p>
    <w:p w14:paraId="310CC0F9" w14:textId="77777777" w:rsidR="00D97D6C" w:rsidRPr="009E06AA" w:rsidRDefault="00D97D6C" w:rsidP="00BF2A76">
      <w:pPr>
        <w:pStyle w:val="Heading5"/>
      </w:pPr>
      <w:r w:rsidRPr="009E06AA">
        <w:t>Other fossil fuels</w:t>
      </w:r>
    </w:p>
    <w:p w14:paraId="5153E31A" w14:textId="77777777" w:rsidR="00D97D6C" w:rsidRPr="009E06AA" w:rsidRDefault="00D97D6C" w:rsidP="00D97D6C">
      <w:pPr>
        <w:pStyle w:val="BodyText"/>
        <w:spacing w:before="100" w:after="100"/>
        <w:rPr>
          <w:rFonts w:cs="Calibri"/>
        </w:rPr>
      </w:pPr>
      <w:r w:rsidRPr="009E06AA">
        <w:rPr>
          <w:rFonts w:cs="Calibri"/>
          <w:spacing w:val="-2"/>
        </w:rPr>
        <w:t>This category includes waste oil and tyre-derived fuel. Activity data are sourced from the NZ ETS</w:t>
      </w:r>
      <w:r w:rsidRPr="009E06AA">
        <w:rPr>
          <w:rFonts w:cs="Calibri"/>
        </w:rPr>
        <w:t>.</w:t>
      </w:r>
    </w:p>
    <w:p w14:paraId="1A3C43B3" w14:textId="77777777" w:rsidR="00D97D6C" w:rsidRPr="009E06AA" w:rsidRDefault="00D97D6C" w:rsidP="00BF2A76">
      <w:pPr>
        <w:pStyle w:val="Heading5"/>
        <w:rPr>
          <w:lang w:eastAsia="en-GB"/>
        </w:rPr>
      </w:pPr>
      <w:r w:rsidRPr="009E06AA">
        <w:rPr>
          <w:lang w:eastAsia="en-GB"/>
        </w:rPr>
        <w:t>1.A.2.a Iron and steel</w:t>
      </w:r>
    </w:p>
    <w:p w14:paraId="14FDE90C" w14:textId="77777777" w:rsidR="00D97D6C" w:rsidRPr="009E06AA" w:rsidRDefault="00D97D6C" w:rsidP="00D97D6C">
      <w:pPr>
        <w:pStyle w:val="BodyText"/>
        <w:spacing w:before="100" w:after="100"/>
        <w:rPr>
          <w:rFonts w:cs="Calibri"/>
          <w:lang w:eastAsia="en-GB"/>
        </w:rPr>
      </w:pPr>
      <w:r w:rsidRPr="009E06AA">
        <w:rPr>
          <w:rFonts w:cs="Calibri"/>
          <w:lang w:eastAsia="en-GB"/>
        </w:rPr>
        <w:t xml:space="preserve">Activity data for coal used in iron and steel production are reported to MBIE by New Zealand Steel Limited. A considerable amount of coal is used in the production of iron. Most of the coal is used in the direct reduction process to remove oxygen from iron-sand. However, all emissions from the use of coal are included in the IPPU sector because the primary purpose of the coal is to produce iron (IPCC, 2006). A small amount of </w:t>
      </w:r>
      <w:r w:rsidRPr="009E06AA">
        <w:rPr>
          <w:rFonts w:cs="Calibri"/>
        </w:rPr>
        <w:t xml:space="preserve">natural </w:t>
      </w:r>
      <w:r w:rsidRPr="009E06AA">
        <w:rPr>
          <w:rFonts w:cs="Calibri"/>
          <w:lang w:eastAsia="en-GB"/>
        </w:rPr>
        <w:t xml:space="preserve">gas is used in the production of iron and steel to provide energy for the process: this is reported under the Energy sector in 1.A.2.a </w:t>
      </w:r>
      <w:r w:rsidRPr="009E06AA">
        <w:rPr>
          <w:rFonts w:cs="Calibri"/>
          <w:i/>
          <w:lang w:eastAsia="en-GB"/>
        </w:rPr>
        <w:t>Iron and steel</w:t>
      </w:r>
      <w:r w:rsidRPr="009E06AA">
        <w:rPr>
          <w:rFonts w:cs="Calibri"/>
          <w:lang w:eastAsia="en-GB"/>
        </w:rPr>
        <w:t>.</w:t>
      </w:r>
    </w:p>
    <w:p w14:paraId="6BE21B9E" w14:textId="77777777" w:rsidR="00D97D6C" w:rsidRPr="009E06AA" w:rsidRDefault="00D97D6C" w:rsidP="00BF2A76">
      <w:pPr>
        <w:pStyle w:val="Heading5"/>
        <w:rPr>
          <w:lang w:eastAsia="en-GB"/>
        </w:rPr>
      </w:pPr>
      <w:r w:rsidRPr="009E06AA">
        <w:rPr>
          <w:lang w:eastAsia="en-GB"/>
        </w:rPr>
        <w:t>1.A.2.c Chemicals</w:t>
      </w:r>
    </w:p>
    <w:p w14:paraId="5C4A6752" w14:textId="77777777" w:rsidR="00D97D6C" w:rsidRPr="009E06AA" w:rsidRDefault="00D97D6C" w:rsidP="00D97D6C">
      <w:pPr>
        <w:pStyle w:val="BodyText"/>
        <w:spacing w:after="100"/>
        <w:rPr>
          <w:lang w:eastAsia="en-GB"/>
        </w:rPr>
      </w:pPr>
      <w:r w:rsidRPr="009E06AA">
        <w:rPr>
          <w:lang w:eastAsia="en-GB"/>
        </w:rPr>
        <w:t xml:space="preserve">The </w:t>
      </w:r>
      <w:r w:rsidRPr="009E06AA">
        <w:rPr>
          <w:i/>
          <w:lang w:eastAsia="en-GB"/>
        </w:rPr>
        <w:t>Chemicals</w:t>
      </w:r>
      <w:r w:rsidRPr="009E06AA">
        <w:rPr>
          <w:lang w:eastAsia="en-GB"/>
        </w:rPr>
        <w:t xml:space="preserve"> category includes estimates from the following </w:t>
      </w:r>
      <w:r w:rsidRPr="009E06AA">
        <w:t>sub</w:t>
      </w:r>
      <w:r w:rsidRPr="009E06AA">
        <w:rPr>
          <w:lang w:eastAsia="en-GB"/>
        </w:rPr>
        <w:t>-industries:</w:t>
      </w:r>
    </w:p>
    <w:p w14:paraId="2D6A966C" w14:textId="77777777" w:rsidR="00D97D6C" w:rsidRPr="009E06AA" w:rsidRDefault="00D97D6C" w:rsidP="00D97D6C">
      <w:pPr>
        <w:pStyle w:val="Bullet"/>
        <w:spacing w:after="100"/>
      </w:pPr>
      <w:r w:rsidRPr="009E06AA">
        <w:t>industrial gases and synthetic resin</w:t>
      </w:r>
    </w:p>
    <w:p w14:paraId="6D197AB5" w14:textId="77777777" w:rsidR="00D97D6C" w:rsidRPr="009E06AA" w:rsidRDefault="00D97D6C" w:rsidP="00D97D6C">
      <w:pPr>
        <w:pStyle w:val="Bullet"/>
        <w:spacing w:after="100"/>
      </w:pPr>
      <w:r w:rsidRPr="009E06AA">
        <w:t>organic industrial chemicals</w:t>
      </w:r>
    </w:p>
    <w:p w14:paraId="05856AEB" w14:textId="77777777" w:rsidR="00D97D6C" w:rsidRPr="009E06AA" w:rsidRDefault="00D97D6C" w:rsidP="00D97D6C">
      <w:pPr>
        <w:pStyle w:val="Bullet"/>
        <w:spacing w:after="100"/>
      </w:pPr>
      <w:r w:rsidRPr="009E06AA">
        <w:t>inorganic industrial chemicals, other chemical production, rubber and plastic products.</w:t>
      </w:r>
    </w:p>
    <w:p w14:paraId="6A6361E8" w14:textId="77777777" w:rsidR="00D97D6C" w:rsidRPr="009E06AA" w:rsidRDefault="00D97D6C" w:rsidP="00D97D6C">
      <w:pPr>
        <w:pStyle w:val="BodyText"/>
        <w:spacing w:after="100"/>
      </w:pPr>
      <w:r w:rsidRPr="009E06AA">
        <w:t>The quantity of natural gas used for the production of methanol and ammonia (and, subsequently, urea) has been split into feedstock gas (which is included in 2.B.8.a and 2.B.1 respectively) and energy-use gas (which is included in 1.A.2.c Chemicals). Further details are included in chapter 4 (IPPU sector).</w:t>
      </w:r>
    </w:p>
    <w:p w14:paraId="01AFE564" w14:textId="77777777" w:rsidR="00D97D6C" w:rsidRPr="009E06AA" w:rsidRDefault="00D97D6C" w:rsidP="00D97D6C">
      <w:pPr>
        <w:pStyle w:val="BodyText"/>
        <w:spacing w:after="100"/>
      </w:pPr>
      <w:r w:rsidRPr="009E06AA">
        <w:t>Activity data for methanol production are supplied directly by Methanex New Zealand. Until 2004, methanol was produced at two plants by Methanex New Zealand. In November 2004, production at the Motunui plant was halted and the plant re-opened in late 2008. Methanex New Zealand exports most of this methanol.</w:t>
      </w:r>
    </w:p>
    <w:p w14:paraId="53FFD437" w14:textId="77777777" w:rsidR="00D97D6C" w:rsidRPr="009E06AA" w:rsidRDefault="00D97D6C" w:rsidP="00D97D6C">
      <w:pPr>
        <w:pStyle w:val="BodyText"/>
        <w:spacing w:after="100"/>
      </w:pPr>
      <w:r w:rsidRPr="009E06AA">
        <w:t xml:space="preserve">Methanex is the sole methanol producer in New Zealand and considers its natural gas </w:t>
      </w:r>
      <w:r w:rsidRPr="009E06AA">
        <w:rPr>
          <w:spacing w:val="-2"/>
        </w:rPr>
        <w:t xml:space="preserve">consumption to be commercially sensitive information. </w:t>
      </w:r>
      <w:r w:rsidRPr="009E06AA">
        <w:rPr>
          <w:spacing w:val="-2"/>
          <w:lang w:eastAsia="en-GB"/>
        </w:rPr>
        <w:t>New Zealand</w:t>
      </w:r>
      <w:r w:rsidRPr="009E06AA">
        <w:rPr>
          <w:spacing w:val="-2"/>
        </w:rPr>
        <w:t xml:space="preserve"> takes a Tier 2 (IPCC, 2006</w:t>
      </w:r>
      <w:r w:rsidRPr="009E06AA">
        <w:t xml:space="preserve">) approach to estimating emissions from methanol production. This approach uses natural gas consumption at the plant along with country- and field-specific emission factors to calculate potential emissions before deducting the carbon sequestered in the end product. </w:t>
      </w:r>
    </w:p>
    <w:p w14:paraId="187D263D" w14:textId="77777777" w:rsidR="00D97D6C" w:rsidRPr="009E06AA" w:rsidRDefault="00D97D6C" w:rsidP="00D97D6C">
      <w:pPr>
        <w:pStyle w:val="BodyText"/>
      </w:pPr>
      <w:r w:rsidRPr="009E06AA">
        <w:t>The major non-fuel-related emissions from the methanol process are CH</w:t>
      </w:r>
      <w:r w:rsidRPr="009E06AA">
        <w:rPr>
          <w:vertAlign w:val="subscript"/>
        </w:rPr>
        <w:t>4</w:t>
      </w:r>
      <w:r w:rsidRPr="009E06AA">
        <w:t xml:space="preserve"> (reported under the IPPU sector) and non-methane volatile organic compounds.</w:t>
      </w:r>
    </w:p>
    <w:p w14:paraId="1430BDFE" w14:textId="77777777" w:rsidR="00D97D6C" w:rsidRPr="009E06AA" w:rsidRDefault="00D97D6C" w:rsidP="00D97D6C">
      <w:pPr>
        <w:pStyle w:val="BodyText"/>
      </w:pPr>
      <w:r w:rsidRPr="009E06AA">
        <w:t xml:space="preserve">Superphosphate fertiliser is commonly used in </w:t>
      </w:r>
      <w:r w:rsidRPr="009E06AA">
        <w:rPr>
          <w:rFonts w:cs="Calibri"/>
          <w:lang w:eastAsia="en-GB"/>
        </w:rPr>
        <w:t>New Zealand</w:t>
      </w:r>
      <w:r w:rsidRPr="009E06AA">
        <w:t xml:space="preserve"> to ensure that soil has a sufficiently high phosphorous content. It is manufactured from the reaction between sulphuric acid and phosphate rock.</w:t>
      </w:r>
      <w:r w:rsidRPr="009E06AA">
        <w:rPr>
          <w:rStyle w:val="FootnoteReference"/>
          <w:rFonts w:cs="Calibri"/>
        </w:rPr>
        <w:footnoteReference w:id="23"/>
      </w:r>
      <w:r w:rsidRPr="009E06AA">
        <w:t xml:space="preserve"> During the process, the heat generated by the exothermic reaction between molten sulphur and oxygen is recovered in a waste-heat boiler to produce steam that is then used for process heating and to drive a steam turbine that produces electricity. The electricity is used on site and </w:t>
      </w:r>
      <w:r w:rsidRPr="009E06AA">
        <w:rPr>
          <w:bCs/>
        </w:rPr>
        <w:t>generally</w:t>
      </w:r>
      <w:r w:rsidRPr="009E06AA">
        <w:t xml:space="preserve"> any excess is exported to the local power supplier.</w:t>
      </w:r>
    </w:p>
    <w:p w14:paraId="2CF565DB" w14:textId="77777777" w:rsidR="00D97D6C" w:rsidRPr="009E06AA" w:rsidRDefault="00D97D6C" w:rsidP="00BF2A76">
      <w:pPr>
        <w:pStyle w:val="Heading5"/>
        <w:rPr>
          <w:lang w:eastAsia="en-GB"/>
        </w:rPr>
      </w:pPr>
      <w:r w:rsidRPr="009E06AA">
        <w:rPr>
          <w:lang w:eastAsia="en-GB"/>
        </w:rPr>
        <w:t>On-site electricity generation</w:t>
      </w:r>
    </w:p>
    <w:p w14:paraId="5D515F51" w14:textId="77777777" w:rsidR="00D97D6C" w:rsidRPr="009E06AA" w:rsidRDefault="00D97D6C" w:rsidP="00D97D6C">
      <w:pPr>
        <w:pStyle w:val="BodyText"/>
        <w:rPr>
          <w:lang w:eastAsia="en-GB"/>
        </w:rPr>
      </w:pPr>
      <w:r w:rsidRPr="009E06AA">
        <w:rPr>
          <w:lang w:eastAsia="en-GB"/>
        </w:rPr>
        <w:t xml:space="preserve">As mentioned in section </w:t>
      </w:r>
      <w:r w:rsidRPr="009E06AA">
        <w:t>3.2.2</w:t>
      </w:r>
      <w:r w:rsidRPr="009E06AA">
        <w:rPr>
          <w:lang w:eastAsia="en-GB"/>
        </w:rPr>
        <w:t xml:space="preserve">, on-site </w:t>
      </w:r>
      <w:r w:rsidRPr="009E06AA">
        <w:t>electricity</w:t>
      </w:r>
      <w:r w:rsidRPr="009E06AA">
        <w:rPr>
          <w:lang w:eastAsia="en-GB"/>
        </w:rPr>
        <w:t xml:space="preserve"> generation is allocated to either the </w:t>
      </w:r>
      <w:r w:rsidRPr="009E06AA">
        <w:rPr>
          <w:i/>
          <w:lang w:eastAsia="en-GB"/>
        </w:rPr>
        <w:t>Public electricity and heat production</w:t>
      </w:r>
      <w:r w:rsidRPr="009E06AA">
        <w:rPr>
          <w:lang w:eastAsia="en-GB"/>
        </w:rPr>
        <w:t xml:space="preserve"> category or the sector in which the associated plant operates, using the decision tree shown in figure</w:t>
      </w:r>
      <w:r w:rsidRPr="009E06AA">
        <w:t xml:space="preserve"> 3.2.7</w:t>
      </w:r>
      <w:r w:rsidRPr="009E06AA">
        <w:rPr>
          <w:lang w:eastAsia="en-GB"/>
        </w:rPr>
        <w:t xml:space="preserve">. </w:t>
      </w:r>
    </w:p>
    <w:p w14:paraId="15C2A1B0" w14:textId="77777777" w:rsidR="00D97D6C" w:rsidRPr="009E06AA" w:rsidRDefault="00D97D6C" w:rsidP="00D97D6C">
      <w:pPr>
        <w:pStyle w:val="Heading4"/>
        <w:rPr>
          <w:lang w:eastAsia="en-GB"/>
        </w:rPr>
      </w:pPr>
      <w:r w:rsidRPr="009E06AA">
        <w:rPr>
          <w:lang w:eastAsia="en-GB"/>
        </w:rPr>
        <w:t>Uncertainty assessment and time-series consistency</w:t>
      </w:r>
    </w:p>
    <w:p w14:paraId="66C188B2" w14:textId="77777777" w:rsidR="00D97D6C" w:rsidRPr="009E06AA" w:rsidRDefault="00D97D6C" w:rsidP="00D97D6C">
      <w:pPr>
        <w:pStyle w:val="BodyText"/>
        <w:rPr>
          <w:lang w:eastAsia="en-GB"/>
        </w:rPr>
      </w:pPr>
      <w:r w:rsidRPr="009E06AA">
        <w:rPr>
          <w:lang w:eastAsia="en-GB"/>
        </w:rPr>
        <w:t>Uncertainties in emission and activity data estimates are those relevant to the entire Energy sector (annex 5).</w:t>
      </w:r>
    </w:p>
    <w:p w14:paraId="29A5F180" w14:textId="77777777" w:rsidR="00D97D6C" w:rsidRPr="009E06AA" w:rsidRDefault="00D97D6C" w:rsidP="00D97D6C">
      <w:pPr>
        <w:pStyle w:val="Heading4"/>
        <w:rPr>
          <w:lang w:eastAsia="en-GB"/>
        </w:rPr>
      </w:pPr>
      <w:r w:rsidRPr="009E06AA">
        <w:rPr>
          <w:lang w:eastAsia="en-GB"/>
        </w:rPr>
        <w:t>Category-specific QA/QC and verification</w:t>
      </w:r>
    </w:p>
    <w:p w14:paraId="5E2E975C" w14:textId="77777777" w:rsidR="00D97D6C" w:rsidRPr="009E06AA" w:rsidRDefault="00D97D6C" w:rsidP="00D97D6C">
      <w:pPr>
        <w:pStyle w:val="BodyText"/>
        <w:rPr>
          <w:lang w:eastAsia="en-GB"/>
        </w:rPr>
      </w:pPr>
      <w:r w:rsidRPr="009E06AA">
        <w:rPr>
          <w:lang w:eastAsia="en-GB"/>
        </w:rPr>
        <w:t xml:space="preserve">In the preparation of this inventory, the </w:t>
      </w:r>
      <w:r w:rsidRPr="009E06AA">
        <w:rPr>
          <w:i/>
          <w:lang w:eastAsia="en-GB"/>
        </w:rPr>
        <w:t>Manufacturing industries and construction</w:t>
      </w:r>
      <w:r w:rsidRPr="009E06AA">
        <w:rPr>
          <w:lang w:eastAsia="en-GB"/>
        </w:rPr>
        <w:t xml:space="preserve"> category underwent Tier 1 quality-assurance and quality-control checks, as recommended in the 2006 IPCC Guidelines. These include regular control sums </w:t>
      </w:r>
      <w:r w:rsidRPr="009E06AA">
        <w:t>throughout</w:t>
      </w:r>
      <w:r w:rsidRPr="009E06AA">
        <w:rPr>
          <w:lang w:eastAsia="en-GB"/>
        </w:rPr>
        <w:t xml:space="preserve"> systems, to verify system integrity, and time-series consistency checks.</w:t>
      </w:r>
    </w:p>
    <w:p w14:paraId="3C7198C9" w14:textId="77777777" w:rsidR="00D97D6C" w:rsidRPr="009E06AA" w:rsidRDefault="00D97D6C" w:rsidP="00D97D6C">
      <w:pPr>
        <w:pStyle w:val="Heading4"/>
        <w:rPr>
          <w:lang w:eastAsia="en-GB"/>
        </w:rPr>
      </w:pPr>
      <w:r w:rsidRPr="009E06AA">
        <w:rPr>
          <w:lang w:eastAsia="en-GB"/>
        </w:rPr>
        <w:t>Category-specific recalculations</w:t>
      </w:r>
    </w:p>
    <w:p w14:paraId="6CFF343A" w14:textId="77777777" w:rsidR="00D97D6C" w:rsidRPr="009E06AA" w:rsidRDefault="00D97D6C" w:rsidP="00D97D6C">
      <w:pPr>
        <w:pStyle w:val="BodyText"/>
        <w:rPr>
          <w:lang w:eastAsia="en-GB"/>
        </w:rPr>
      </w:pPr>
      <w:r w:rsidRPr="009E06AA">
        <w:rPr>
          <w:lang w:eastAsia="en-GB"/>
        </w:rPr>
        <w:t xml:space="preserve">Historical energy demand data in the national energy balance tables are occasionally revised from year to year. This may result in minor revisions to activity data and recalculations to the corresponding emissions for some years in some categories. </w:t>
      </w:r>
    </w:p>
    <w:p w14:paraId="158393C7" w14:textId="77777777" w:rsidR="00D97D6C" w:rsidRPr="009E06AA" w:rsidRDefault="00D97D6C" w:rsidP="00D97D6C">
      <w:pPr>
        <w:pStyle w:val="Heading4"/>
        <w:rPr>
          <w:lang w:eastAsia="en-GB"/>
        </w:rPr>
      </w:pPr>
      <w:r w:rsidRPr="009E06AA">
        <w:rPr>
          <w:lang w:eastAsia="en-GB"/>
        </w:rPr>
        <w:t>Category-specific planned improvements</w:t>
      </w:r>
    </w:p>
    <w:p w14:paraId="73C8F2C3" w14:textId="77777777" w:rsidR="00D97D6C" w:rsidRPr="009E06AA" w:rsidRDefault="00D97D6C" w:rsidP="00D97D6C">
      <w:pPr>
        <w:pStyle w:val="BodyText"/>
        <w:rPr>
          <w:lang w:eastAsia="en-GB"/>
        </w:rPr>
      </w:pPr>
      <w:r w:rsidRPr="009E06AA">
        <w:rPr>
          <w:lang w:eastAsia="en-GB"/>
        </w:rPr>
        <w:t xml:space="preserve">For the 2023 submission, a new fuel type, tyre-derived fuel, was included under </w:t>
      </w:r>
      <w:r w:rsidRPr="009E06AA">
        <w:rPr>
          <w:i/>
          <w:iCs/>
          <w:lang w:eastAsia="en-GB"/>
        </w:rPr>
        <w:t>Other fossil fuels</w:t>
      </w:r>
      <w:r w:rsidRPr="009E06AA">
        <w:rPr>
          <w:lang w:eastAsia="en-GB"/>
        </w:rPr>
        <w:t>. A Tier 2 methodology was used to estimate CO</w:t>
      </w:r>
      <w:r w:rsidRPr="009E06AA">
        <w:rPr>
          <w:vertAlign w:val="subscript"/>
          <w:lang w:eastAsia="en-GB"/>
        </w:rPr>
        <w:t>2</w:t>
      </w:r>
      <w:r w:rsidRPr="009E06AA">
        <w:rPr>
          <w:lang w:eastAsia="en-GB"/>
        </w:rPr>
        <w:t xml:space="preserve"> emissions based on an emission factor of 1</w:t>
      </w:r>
      <w:r w:rsidRPr="009E06AA">
        <w:t>,668 kg CO</w:t>
      </w:r>
      <w:r w:rsidRPr="009E06AA">
        <w:rPr>
          <w:vertAlign w:val="subscript"/>
        </w:rPr>
        <w:t>2</w:t>
      </w:r>
      <w:r w:rsidRPr="009E06AA">
        <w:t xml:space="preserve"> per tonne (the Annex I average), while Tier 1 methodologies</w:t>
      </w:r>
      <w:r w:rsidRPr="009E06AA">
        <w:rPr>
          <w:lang w:eastAsia="en-GB"/>
        </w:rPr>
        <w:t xml:space="preserve"> were used for CH</w:t>
      </w:r>
      <w:r w:rsidRPr="009E06AA">
        <w:rPr>
          <w:vertAlign w:val="subscript"/>
          <w:lang w:eastAsia="en-GB"/>
        </w:rPr>
        <w:t>4</w:t>
      </w:r>
      <w:r w:rsidRPr="009E06AA">
        <w:rPr>
          <w:lang w:eastAsia="en-GB"/>
        </w:rPr>
        <w:t> and N</w:t>
      </w:r>
      <w:r w:rsidRPr="009E06AA">
        <w:rPr>
          <w:vertAlign w:val="subscript"/>
          <w:lang w:eastAsia="en-GB"/>
        </w:rPr>
        <w:t>2</w:t>
      </w:r>
      <w:r w:rsidRPr="009E06AA">
        <w:rPr>
          <w:lang w:eastAsia="en-GB"/>
        </w:rPr>
        <w:t>O based on default IPCC (2006) emission factors for industrial wastes.</w:t>
      </w:r>
    </w:p>
    <w:p w14:paraId="7F1608E3" w14:textId="6A98AFE0" w:rsidR="00D97D6C" w:rsidRPr="009E06AA" w:rsidRDefault="00D97D6C" w:rsidP="00CF77F4">
      <w:pPr>
        <w:pStyle w:val="Heading3"/>
      </w:pPr>
      <w:r w:rsidRPr="009E06AA">
        <w:t>3.2.9</w:t>
      </w:r>
      <w:r w:rsidR="00363D10" w:rsidRPr="009E06AA">
        <w:tab/>
      </w:r>
      <w:r w:rsidRPr="009E06AA">
        <w:t>Fuel combustion: Transport (CRT 1.A.3)</w:t>
      </w:r>
    </w:p>
    <w:p w14:paraId="0B5FFBF5" w14:textId="77777777" w:rsidR="00D97D6C" w:rsidRPr="009E06AA" w:rsidRDefault="00D97D6C" w:rsidP="00D97D6C">
      <w:pPr>
        <w:pStyle w:val="Heading4"/>
      </w:pPr>
      <w:r w:rsidRPr="009E06AA">
        <w:t>Category description</w:t>
      </w:r>
    </w:p>
    <w:p w14:paraId="7C51937B" w14:textId="77777777" w:rsidR="00D97D6C" w:rsidRPr="009E06AA" w:rsidRDefault="00D97D6C" w:rsidP="00D97D6C">
      <w:pPr>
        <w:pStyle w:val="BodyText"/>
        <w:rPr>
          <w:lang w:eastAsia="en-GB"/>
        </w:rPr>
      </w:pPr>
      <w:r w:rsidRPr="009E06AA">
        <w:rPr>
          <w:lang w:eastAsia="en-GB"/>
        </w:rPr>
        <w:t xml:space="preserve">This category includes emissions from fuels </w:t>
      </w:r>
      <w:r w:rsidRPr="009E06AA">
        <w:t>combusted</w:t>
      </w:r>
      <w:r w:rsidRPr="009E06AA">
        <w:rPr>
          <w:lang w:eastAsia="en-GB"/>
        </w:rPr>
        <w:t xml:space="preserve"> during domestic transportation, such as civil aviation, road, rail and domestic marine transport. Emissions from international marine and aviation bunkers are reported as memo items and are not included in </w:t>
      </w:r>
      <w:r w:rsidRPr="009E06AA">
        <w:rPr>
          <w:rFonts w:cs="Calibri"/>
          <w:lang w:eastAsia="en-GB"/>
        </w:rPr>
        <w:t>New Zealand’s</w:t>
      </w:r>
      <w:r w:rsidRPr="009E06AA">
        <w:rPr>
          <w:lang w:eastAsia="en-GB"/>
        </w:rPr>
        <w:t xml:space="preserve"> total emissions.</w:t>
      </w:r>
    </w:p>
    <w:p w14:paraId="6093DFB3" w14:textId="77777777" w:rsidR="00D97D6C" w:rsidRPr="009E06AA" w:rsidRDefault="00D97D6C" w:rsidP="00D97D6C">
      <w:pPr>
        <w:pStyle w:val="BodyText"/>
        <w:rPr>
          <w:rFonts w:cs="Calibri"/>
          <w:lang w:eastAsia="en-GB"/>
        </w:rPr>
      </w:pPr>
      <w:r w:rsidRPr="009E06AA">
        <w:rPr>
          <w:rFonts w:cs="Calibri"/>
          <w:lang w:eastAsia="en-GB"/>
        </w:rPr>
        <w:t xml:space="preserve">In </w:t>
      </w:r>
      <w:r w:rsidRPr="009E06AA">
        <w:rPr>
          <w:rFonts w:cs="Calibri"/>
        </w:rPr>
        <w:t>2022</w:t>
      </w:r>
      <w:r w:rsidRPr="009E06AA">
        <w:rPr>
          <w:rFonts w:cs="Calibri"/>
          <w:lang w:eastAsia="en-GB"/>
        </w:rPr>
        <w:t xml:space="preserve">, category 1.A.3 </w:t>
      </w:r>
      <w:r w:rsidRPr="009E06AA">
        <w:rPr>
          <w:rFonts w:cs="Calibri"/>
          <w:i/>
          <w:lang w:eastAsia="en-GB"/>
        </w:rPr>
        <w:t>Transport</w:t>
      </w:r>
      <w:r w:rsidRPr="009E06AA">
        <w:rPr>
          <w:rFonts w:cs="Calibri"/>
          <w:lang w:eastAsia="en-GB"/>
        </w:rPr>
        <w:t xml:space="preserve"> was responsible for 13,684.4</w:t>
      </w:r>
      <w:r w:rsidRPr="009E06AA">
        <w:rPr>
          <w:rFonts w:cs="Calibri"/>
        </w:rPr>
        <w:t xml:space="preserve"> </w:t>
      </w:r>
      <w:r w:rsidRPr="009E06AA">
        <w:rPr>
          <w:rFonts w:cs="Calibri"/>
          <w:lang w:eastAsia="en-GB"/>
        </w:rPr>
        <w:t>kt CO</w:t>
      </w:r>
      <w:r w:rsidRPr="009E06AA">
        <w:rPr>
          <w:rFonts w:cs="Calibri"/>
          <w:vertAlign w:val="subscript"/>
          <w:lang w:eastAsia="en-GB"/>
        </w:rPr>
        <w:t>2</w:t>
      </w:r>
      <w:r w:rsidRPr="009E06AA">
        <w:rPr>
          <w:rFonts w:cs="Calibri"/>
          <w:lang w:eastAsia="en-GB"/>
        </w:rPr>
        <w:t xml:space="preserve">-e (47.7 </w:t>
      </w:r>
      <w:r w:rsidRPr="009E06AA">
        <w:rPr>
          <w:rFonts w:cs="Calibri"/>
        </w:rPr>
        <w:t>per cent</w:t>
      </w:r>
      <w:r w:rsidRPr="009E06AA">
        <w:rPr>
          <w:rFonts w:cs="Calibri"/>
          <w:lang w:eastAsia="en-GB"/>
        </w:rPr>
        <w:t xml:space="preserve"> of emissions from the Energy sector). Emissions in 2022 were 5,561.8</w:t>
      </w:r>
      <w:r w:rsidRPr="009E06AA">
        <w:rPr>
          <w:rFonts w:cs="Calibri"/>
        </w:rPr>
        <w:t xml:space="preserve"> </w:t>
      </w:r>
      <w:r w:rsidRPr="009E06AA">
        <w:rPr>
          <w:rFonts w:cs="Calibri"/>
          <w:lang w:eastAsia="en-GB"/>
        </w:rPr>
        <w:t>kt CO</w:t>
      </w:r>
      <w:r w:rsidRPr="009E06AA">
        <w:rPr>
          <w:rFonts w:cs="Calibri"/>
          <w:vertAlign w:val="subscript"/>
          <w:lang w:eastAsia="en-GB"/>
        </w:rPr>
        <w:t>2</w:t>
      </w:r>
      <w:r w:rsidRPr="009E06AA">
        <w:rPr>
          <w:rFonts w:cs="Calibri"/>
          <w:lang w:eastAsia="en-GB"/>
        </w:rPr>
        <w:t>-e (68.5</w:t>
      </w:r>
      <w:r w:rsidRPr="009E06AA">
        <w:rPr>
          <w:rFonts w:cs="Calibri"/>
        </w:rPr>
        <w:t xml:space="preserve"> per cent</w:t>
      </w:r>
      <w:r w:rsidRPr="009E06AA">
        <w:rPr>
          <w:rFonts w:cs="Calibri"/>
          <w:lang w:eastAsia="en-GB"/>
        </w:rPr>
        <w:t xml:space="preserve">) higher than the </w:t>
      </w:r>
      <w:r w:rsidRPr="009E06AA">
        <w:rPr>
          <w:rFonts w:cs="Calibri"/>
        </w:rPr>
        <w:t xml:space="preserve">8,122.6 </w:t>
      </w:r>
      <w:r w:rsidRPr="009E06AA">
        <w:rPr>
          <w:rFonts w:cs="Calibri"/>
          <w:lang w:eastAsia="en-GB"/>
        </w:rPr>
        <w:t>kt CO</w:t>
      </w:r>
      <w:r w:rsidRPr="009E06AA">
        <w:rPr>
          <w:rFonts w:cs="Calibri"/>
          <w:vertAlign w:val="subscript"/>
          <w:lang w:eastAsia="en-GB"/>
        </w:rPr>
        <w:t>2</w:t>
      </w:r>
      <w:r w:rsidRPr="009E06AA">
        <w:rPr>
          <w:rFonts w:cs="Calibri"/>
          <w:lang w:eastAsia="en-GB"/>
        </w:rPr>
        <w:t xml:space="preserve">-e emitted from the transport sector in 1990. The transport emissions profile in </w:t>
      </w:r>
      <w:r w:rsidRPr="009E06AA">
        <w:rPr>
          <w:rFonts w:cs="Calibri"/>
        </w:rPr>
        <w:t>2022</w:t>
      </w:r>
      <w:r w:rsidRPr="009E06AA">
        <w:rPr>
          <w:rFonts w:cs="Calibri"/>
          <w:lang w:eastAsia="en-GB"/>
        </w:rPr>
        <w:t xml:space="preserve"> was dominated by emissions from category 1.A.3.b </w:t>
      </w:r>
      <w:r w:rsidRPr="009E06AA">
        <w:rPr>
          <w:rFonts w:cs="Calibri"/>
          <w:i/>
          <w:lang w:eastAsia="en-GB"/>
        </w:rPr>
        <w:t>Road transportation</w:t>
      </w:r>
      <w:r w:rsidRPr="009E06AA">
        <w:rPr>
          <w:rFonts w:cs="Calibri"/>
          <w:lang w:eastAsia="en-GB"/>
        </w:rPr>
        <w:t>, which accounted for 12,441.5</w:t>
      </w:r>
      <w:r w:rsidRPr="009E06AA">
        <w:rPr>
          <w:rFonts w:cs="Calibri"/>
        </w:rPr>
        <w:t> </w:t>
      </w:r>
      <w:r w:rsidRPr="009E06AA">
        <w:rPr>
          <w:rFonts w:cs="Calibri"/>
          <w:lang w:eastAsia="en-GB"/>
        </w:rPr>
        <w:t>kt CO</w:t>
      </w:r>
      <w:r w:rsidRPr="009E06AA">
        <w:rPr>
          <w:rFonts w:cs="Calibri"/>
          <w:vertAlign w:val="subscript"/>
          <w:lang w:eastAsia="en-GB"/>
        </w:rPr>
        <w:t>2</w:t>
      </w:r>
      <w:r w:rsidRPr="009E06AA">
        <w:rPr>
          <w:rFonts w:cs="Calibri"/>
          <w:lang w:eastAsia="en-GB"/>
        </w:rPr>
        <w:t>-e (</w:t>
      </w:r>
      <w:r w:rsidRPr="009E06AA">
        <w:rPr>
          <w:rFonts w:cs="Calibri"/>
        </w:rPr>
        <w:t>90.9 per cent</w:t>
      </w:r>
      <w:r w:rsidRPr="009E06AA">
        <w:rPr>
          <w:rFonts w:cs="Calibri"/>
          <w:lang w:eastAsia="en-GB"/>
        </w:rPr>
        <w:t xml:space="preserve">) of total transport emissions and has grown by </w:t>
      </w:r>
      <w:r w:rsidRPr="009E06AA">
        <w:rPr>
          <w:rFonts w:cs="Calibri"/>
        </w:rPr>
        <w:t xml:space="preserve">5,613.9 </w:t>
      </w:r>
      <w:r w:rsidRPr="009E06AA">
        <w:rPr>
          <w:rFonts w:cs="Calibri"/>
          <w:lang w:eastAsia="en-GB"/>
        </w:rPr>
        <w:t>kt CO</w:t>
      </w:r>
      <w:r w:rsidRPr="009E06AA">
        <w:rPr>
          <w:rFonts w:cs="Calibri"/>
          <w:vertAlign w:val="subscript"/>
          <w:lang w:eastAsia="en-GB"/>
        </w:rPr>
        <w:t>2</w:t>
      </w:r>
      <w:r w:rsidRPr="009E06AA">
        <w:rPr>
          <w:rFonts w:cs="Calibri"/>
          <w:lang w:eastAsia="en-GB"/>
        </w:rPr>
        <w:t>-e (</w:t>
      </w:r>
      <w:r w:rsidRPr="009E06AA">
        <w:rPr>
          <w:rFonts w:cs="Calibri"/>
        </w:rPr>
        <w:t>82.2 per cent</w:t>
      </w:r>
      <w:r w:rsidRPr="009E06AA">
        <w:rPr>
          <w:rFonts w:cs="Calibri"/>
          <w:lang w:eastAsia="en-GB"/>
        </w:rPr>
        <w:t xml:space="preserve">) since 1990. </w:t>
      </w:r>
      <w:r w:rsidRPr="009E06AA">
        <w:t>The underlying drivers of this increase are nuanced, but key factors include population growth and increased economic activity.</w:t>
      </w:r>
    </w:p>
    <w:p w14:paraId="23F9C659" w14:textId="77777777" w:rsidR="00D97D6C" w:rsidRPr="009E06AA" w:rsidRDefault="00D97D6C" w:rsidP="00D97D6C">
      <w:pPr>
        <w:pStyle w:val="Heading4"/>
        <w:rPr>
          <w:lang w:eastAsia="en-GB"/>
        </w:rPr>
      </w:pPr>
      <w:r w:rsidRPr="009E06AA">
        <w:rPr>
          <w:lang w:eastAsia="en-GB"/>
        </w:rPr>
        <w:t xml:space="preserve">Changes in emissions between </w:t>
      </w:r>
      <w:r w:rsidRPr="009E06AA">
        <w:t>2021</w:t>
      </w:r>
      <w:r w:rsidRPr="009E06AA">
        <w:rPr>
          <w:lang w:eastAsia="en-GB"/>
        </w:rPr>
        <w:t xml:space="preserve"> and </w:t>
      </w:r>
      <w:r w:rsidRPr="009E06AA">
        <w:t>2022</w:t>
      </w:r>
    </w:p>
    <w:p w14:paraId="403B0286" w14:textId="77777777" w:rsidR="00D97D6C" w:rsidRPr="009E06AA" w:rsidRDefault="00D97D6C" w:rsidP="00D97D6C">
      <w:pPr>
        <w:pStyle w:val="BodyText"/>
      </w:pPr>
      <w:r w:rsidRPr="009E06AA">
        <w:rPr>
          <w:rFonts w:cs="Calibri"/>
          <w:lang w:eastAsia="en-GB"/>
        </w:rPr>
        <w:t xml:space="preserve">Between </w:t>
      </w:r>
      <w:r w:rsidRPr="009E06AA">
        <w:rPr>
          <w:rFonts w:cs="Calibri"/>
        </w:rPr>
        <w:t>2021</w:t>
      </w:r>
      <w:r w:rsidRPr="009E06AA">
        <w:rPr>
          <w:rFonts w:cs="Calibri"/>
          <w:lang w:eastAsia="en-GB"/>
        </w:rPr>
        <w:t xml:space="preserve"> and </w:t>
      </w:r>
      <w:r w:rsidRPr="009E06AA">
        <w:rPr>
          <w:rFonts w:cs="Calibri"/>
        </w:rPr>
        <w:t>2022</w:t>
      </w:r>
      <w:r w:rsidRPr="009E06AA">
        <w:rPr>
          <w:rFonts w:cs="Calibri"/>
          <w:lang w:eastAsia="en-GB"/>
        </w:rPr>
        <w:t>, emissions from transport decreased by 161.7</w:t>
      </w:r>
      <w:r w:rsidRPr="009E06AA">
        <w:rPr>
          <w:rFonts w:cs="Calibri"/>
        </w:rPr>
        <w:t xml:space="preserve"> </w:t>
      </w:r>
      <w:r w:rsidRPr="009E06AA">
        <w:rPr>
          <w:rFonts w:cs="Calibri"/>
          <w:lang w:eastAsia="en-GB"/>
        </w:rPr>
        <w:t>kt CO</w:t>
      </w:r>
      <w:r w:rsidRPr="009E06AA">
        <w:rPr>
          <w:rFonts w:cs="Calibri"/>
          <w:vertAlign w:val="subscript"/>
          <w:lang w:eastAsia="en-GB"/>
        </w:rPr>
        <w:t>2</w:t>
      </w:r>
      <w:r w:rsidRPr="009E06AA">
        <w:rPr>
          <w:rFonts w:cs="Calibri"/>
          <w:lang w:eastAsia="en-GB"/>
        </w:rPr>
        <w:t>-e (</w:t>
      </w:r>
      <w:r w:rsidRPr="009E06AA">
        <w:rPr>
          <w:rFonts w:cs="Calibri"/>
        </w:rPr>
        <w:t>1.2 per cent</w:t>
      </w:r>
      <w:r w:rsidRPr="009E06AA">
        <w:rPr>
          <w:rFonts w:cs="Calibri"/>
          <w:lang w:eastAsia="en-GB"/>
        </w:rPr>
        <w:t>).</w:t>
      </w:r>
      <w:r w:rsidRPr="009E06AA" w:rsidDel="004B2054">
        <w:rPr>
          <w:rFonts w:cs="Calibri"/>
          <w:lang w:eastAsia="en-GB"/>
        </w:rPr>
        <w:t xml:space="preserve"> </w:t>
      </w:r>
      <w:r w:rsidRPr="009E06AA">
        <w:rPr>
          <w:spacing w:val="-2"/>
        </w:rPr>
        <w:t xml:space="preserve">This is primarily due to a decrease in </w:t>
      </w:r>
      <w:r w:rsidRPr="009E06AA">
        <w:rPr>
          <w:i/>
          <w:spacing w:val="-2"/>
        </w:rPr>
        <w:t xml:space="preserve">Road transportation </w:t>
      </w:r>
      <w:r w:rsidRPr="009E06AA">
        <w:rPr>
          <w:spacing w:val="-2"/>
        </w:rPr>
        <w:t>(down 206</w:t>
      </w:r>
      <w:r w:rsidRPr="009E06AA">
        <w:rPr>
          <w:rFonts w:cs="Calibri"/>
          <w:spacing w:val="-2"/>
        </w:rPr>
        <w:t>.0 kt CO</w:t>
      </w:r>
      <w:r w:rsidRPr="009E06AA">
        <w:rPr>
          <w:rFonts w:cs="Calibri"/>
          <w:spacing w:val="-2"/>
          <w:vertAlign w:val="subscript"/>
        </w:rPr>
        <w:t>2</w:t>
      </w:r>
      <w:r w:rsidRPr="009E06AA">
        <w:rPr>
          <w:rFonts w:cs="Calibri"/>
          <w:spacing w:val="-2"/>
        </w:rPr>
        <w:t>-e or 1.6 per cent)</w:t>
      </w:r>
      <w:r w:rsidRPr="009E06AA">
        <w:rPr>
          <w:rFonts w:cs="Calibri"/>
          <w:color w:val="000000"/>
          <w:spacing w:val="-2"/>
        </w:rPr>
        <w:t>.</w:t>
      </w:r>
      <w:r w:rsidRPr="009E06AA">
        <w:rPr>
          <w:rFonts w:cs="Calibri"/>
          <w:color w:val="000000"/>
        </w:rPr>
        <w:t xml:space="preserve"> </w:t>
      </w:r>
      <w:r w:rsidRPr="009E06AA">
        <w:t>This decrease was </w:t>
      </w:r>
      <w:r w:rsidRPr="009E06AA">
        <w:rPr>
          <w:iCs/>
        </w:rPr>
        <w:t>partially offset by category </w:t>
      </w:r>
      <w:r w:rsidRPr="009E06AA">
        <w:rPr>
          <w:rFonts w:cs="Calibri"/>
          <w:color w:val="000000"/>
        </w:rPr>
        <w:t>1.A.3.a</w:t>
      </w:r>
      <w:r w:rsidRPr="009E06AA">
        <w:rPr>
          <w:rFonts w:cs="Calibri"/>
          <w:i/>
          <w:iCs/>
          <w:color w:val="000000"/>
        </w:rPr>
        <w:t xml:space="preserve"> Domestic aviation</w:t>
      </w:r>
      <w:r w:rsidRPr="009E06AA">
        <w:t>, which increased by 199.7 kt CO</w:t>
      </w:r>
      <w:r w:rsidRPr="009E06AA">
        <w:rPr>
          <w:vertAlign w:val="subscript"/>
        </w:rPr>
        <w:t>2</w:t>
      </w:r>
      <w:r w:rsidRPr="009E06AA">
        <w:t xml:space="preserve">-e (24.2 per cent). </w:t>
      </w:r>
    </w:p>
    <w:p w14:paraId="32DC9F61" w14:textId="77777777" w:rsidR="00D97D6C" w:rsidRPr="009E06AA" w:rsidRDefault="00D97D6C" w:rsidP="00D97D6C">
      <w:pPr>
        <w:pStyle w:val="BodyText"/>
        <w:rPr>
          <w:rFonts w:cs="Calibri"/>
        </w:rPr>
      </w:pPr>
      <w:r w:rsidRPr="009E06AA">
        <w:rPr>
          <w:rFonts w:cs="Calibri"/>
        </w:rPr>
        <w:t xml:space="preserve">Key categories identified in the 2022 level and trend assessment for the </w:t>
      </w:r>
      <w:r w:rsidRPr="009E06AA">
        <w:rPr>
          <w:rFonts w:cs="Calibri"/>
          <w:i/>
          <w:lang w:eastAsia="en-GB"/>
        </w:rPr>
        <w:t>Transport</w:t>
      </w:r>
      <w:r w:rsidRPr="009E06AA">
        <w:rPr>
          <w:rFonts w:cs="Calibri"/>
        </w:rPr>
        <w:t xml:space="preserve"> category are given in table 3.2.6.</w:t>
      </w:r>
    </w:p>
    <w:p w14:paraId="54DB17C4" w14:textId="77777777" w:rsidR="00D97D6C" w:rsidRPr="009E06AA" w:rsidRDefault="00D97D6C" w:rsidP="00D97D6C">
      <w:pPr>
        <w:pStyle w:val="Table"/>
      </w:pPr>
      <w:bookmarkStart w:id="401" w:name="_Toc68786410"/>
      <w:bookmarkStart w:id="402" w:name="_Toc164153809"/>
      <w:r w:rsidRPr="009E06AA">
        <w:t>Table 3.2.6</w:t>
      </w:r>
      <w:r w:rsidRPr="009E06AA">
        <w:tab/>
        <w:t xml:space="preserve">Key categories for 1.A.3 </w:t>
      </w:r>
      <w:r w:rsidRPr="009E06AA">
        <w:rPr>
          <w:i/>
          <w:iCs/>
        </w:rPr>
        <w:t>Transport</w:t>
      </w:r>
      <w:bookmarkEnd w:id="401"/>
      <w:bookmarkEnd w:id="402"/>
    </w:p>
    <w:tbl>
      <w:tblPr>
        <w:tblW w:w="8505" w:type="dxa"/>
        <w:tblBorders>
          <w:top w:val="single" w:sz="4" w:space="0" w:color="1B556B"/>
          <w:bottom w:val="single" w:sz="4" w:space="0" w:color="1B556B"/>
          <w:insideH w:val="single" w:sz="4" w:space="0" w:color="1B556B"/>
          <w:insideV w:val="single" w:sz="4" w:space="0" w:color="1B556B"/>
        </w:tblBorders>
        <w:tblLayout w:type="fixed"/>
        <w:tblLook w:val="0420" w:firstRow="1" w:lastRow="0" w:firstColumn="0" w:lastColumn="0" w:noHBand="0" w:noVBand="1"/>
      </w:tblPr>
      <w:tblGrid>
        <w:gridCol w:w="3769"/>
        <w:gridCol w:w="1660"/>
        <w:gridCol w:w="1509"/>
        <w:gridCol w:w="1567"/>
      </w:tblGrid>
      <w:tr w:rsidR="00D97D6C" w:rsidRPr="009E06AA" w14:paraId="2A0DCE2C" w14:textId="77777777" w:rsidTr="00B55F24">
        <w:trPr>
          <w:cantSplit/>
          <w:tblHeader/>
        </w:trPr>
        <w:tc>
          <w:tcPr>
            <w:tcW w:w="2216" w:type="pct"/>
            <w:shd w:val="clear" w:color="auto" w:fill="1B556B"/>
            <w:noWrap/>
            <w:vAlign w:val="bottom"/>
            <w:hideMark/>
          </w:tcPr>
          <w:p w14:paraId="742B97A3" w14:textId="77777777" w:rsidR="00D97D6C" w:rsidRPr="009E06AA" w:rsidRDefault="00D97D6C" w:rsidP="00B55F24">
            <w:pPr>
              <w:pStyle w:val="TableTextBold"/>
              <w:spacing w:before="40" w:after="40"/>
              <w:rPr>
                <w:rFonts w:cs="Calibri"/>
                <w:noProof w:val="0"/>
                <w:color w:val="FFFFFF"/>
              </w:rPr>
            </w:pPr>
          </w:p>
        </w:tc>
        <w:tc>
          <w:tcPr>
            <w:tcW w:w="976" w:type="pct"/>
            <w:shd w:val="clear" w:color="auto" w:fill="1B556B"/>
            <w:noWrap/>
            <w:vAlign w:val="bottom"/>
            <w:hideMark/>
          </w:tcPr>
          <w:p w14:paraId="47653576" w14:textId="77777777" w:rsidR="00D97D6C" w:rsidRPr="009E06AA" w:rsidRDefault="00D97D6C" w:rsidP="00B55F24">
            <w:pPr>
              <w:pStyle w:val="TableTextBold"/>
              <w:spacing w:before="40" w:after="40"/>
              <w:rPr>
                <w:rFonts w:cs="Calibri"/>
                <w:noProof w:val="0"/>
                <w:color w:val="FFFFFF"/>
              </w:rPr>
            </w:pPr>
            <w:r w:rsidRPr="009E06AA">
              <w:rPr>
                <w:rFonts w:cs="Calibri"/>
                <w:noProof w:val="0"/>
                <w:color w:val="FFFFFF"/>
              </w:rPr>
              <w:t>Liquid fuels</w:t>
            </w:r>
          </w:p>
        </w:tc>
        <w:tc>
          <w:tcPr>
            <w:tcW w:w="887" w:type="pct"/>
            <w:shd w:val="clear" w:color="auto" w:fill="1B556B"/>
            <w:vAlign w:val="bottom"/>
            <w:hideMark/>
          </w:tcPr>
          <w:p w14:paraId="10C0C36A" w14:textId="77777777" w:rsidR="00D97D6C" w:rsidRPr="009E06AA" w:rsidRDefault="00D97D6C" w:rsidP="00B55F24">
            <w:pPr>
              <w:pStyle w:val="TableTextBold"/>
              <w:spacing w:before="40" w:after="40"/>
              <w:rPr>
                <w:rFonts w:cs="Calibri"/>
                <w:noProof w:val="0"/>
                <w:color w:val="FFFFFF"/>
              </w:rPr>
            </w:pPr>
            <w:r w:rsidRPr="009E06AA">
              <w:rPr>
                <w:rFonts w:cs="Calibri"/>
                <w:noProof w:val="0"/>
                <w:color w:val="FFFFFF"/>
              </w:rPr>
              <w:t>Solid fuels</w:t>
            </w:r>
          </w:p>
        </w:tc>
        <w:tc>
          <w:tcPr>
            <w:tcW w:w="921" w:type="pct"/>
            <w:shd w:val="clear" w:color="auto" w:fill="1B556B"/>
            <w:vAlign w:val="bottom"/>
            <w:hideMark/>
          </w:tcPr>
          <w:p w14:paraId="4E15814A" w14:textId="77777777" w:rsidR="00D97D6C" w:rsidRPr="009E06AA" w:rsidRDefault="00D97D6C" w:rsidP="00B55F24">
            <w:pPr>
              <w:pStyle w:val="TableTextBold"/>
              <w:spacing w:before="40" w:after="40"/>
              <w:rPr>
                <w:rFonts w:cs="Calibri"/>
                <w:noProof w:val="0"/>
                <w:color w:val="FFFFFF"/>
              </w:rPr>
            </w:pPr>
            <w:r w:rsidRPr="009E06AA">
              <w:rPr>
                <w:rFonts w:cs="Calibri"/>
                <w:noProof w:val="0"/>
                <w:color w:val="FFFFFF"/>
              </w:rPr>
              <w:t>Gaseous fuels</w:t>
            </w:r>
          </w:p>
        </w:tc>
      </w:tr>
      <w:tr w:rsidR="00D97D6C" w:rsidRPr="009E06AA" w14:paraId="5CA1409A" w14:textId="77777777" w:rsidTr="00B55F24">
        <w:trPr>
          <w:cantSplit/>
        </w:trPr>
        <w:tc>
          <w:tcPr>
            <w:tcW w:w="2216" w:type="pct"/>
            <w:shd w:val="clear" w:color="auto" w:fill="auto"/>
            <w:noWrap/>
            <w:hideMark/>
          </w:tcPr>
          <w:p w14:paraId="6EAB431A" w14:textId="77777777" w:rsidR="00D97D6C" w:rsidRPr="009E06AA" w:rsidRDefault="00D97D6C" w:rsidP="00B55F24">
            <w:pPr>
              <w:pStyle w:val="TableText"/>
              <w:spacing w:before="40" w:after="40"/>
              <w:rPr>
                <w:rFonts w:cs="Calibri"/>
              </w:rPr>
            </w:pPr>
            <w:r w:rsidRPr="009E06AA">
              <w:rPr>
                <w:rFonts w:cs="Calibri"/>
              </w:rPr>
              <w:t>Domestic aviation – CO</w:t>
            </w:r>
            <w:r w:rsidRPr="009E06AA">
              <w:rPr>
                <w:rFonts w:cs="Calibri"/>
                <w:vertAlign w:val="subscript"/>
              </w:rPr>
              <w:t>2</w:t>
            </w:r>
          </w:p>
        </w:tc>
        <w:tc>
          <w:tcPr>
            <w:tcW w:w="976" w:type="pct"/>
            <w:shd w:val="clear" w:color="auto" w:fill="auto"/>
            <w:noWrap/>
            <w:hideMark/>
          </w:tcPr>
          <w:p w14:paraId="3B3A2379" w14:textId="77777777" w:rsidR="00D97D6C" w:rsidRPr="009E06AA" w:rsidRDefault="00D97D6C" w:rsidP="00B55F24">
            <w:pPr>
              <w:pStyle w:val="TableText"/>
              <w:spacing w:before="40" w:after="40"/>
              <w:rPr>
                <w:rFonts w:cs="Calibri"/>
              </w:rPr>
            </w:pPr>
            <w:r w:rsidRPr="009E06AA">
              <w:rPr>
                <w:rFonts w:cs="Calibri"/>
              </w:rPr>
              <w:t>Level, trend</w:t>
            </w:r>
          </w:p>
        </w:tc>
        <w:tc>
          <w:tcPr>
            <w:tcW w:w="887" w:type="pct"/>
            <w:shd w:val="clear" w:color="auto" w:fill="auto"/>
            <w:noWrap/>
            <w:hideMark/>
          </w:tcPr>
          <w:p w14:paraId="406FA981" w14:textId="77777777" w:rsidR="00D97D6C" w:rsidRPr="009E06AA" w:rsidRDefault="00D97D6C" w:rsidP="00B55F24">
            <w:pPr>
              <w:pStyle w:val="TableText"/>
              <w:spacing w:before="40" w:after="40"/>
              <w:rPr>
                <w:rFonts w:cs="Calibri"/>
              </w:rPr>
            </w:pPr>
            <w:r w:rsidRPr="009E06AA">
              <w:rPr>
                <w:rFonts w:cs="Calibri"/>
              </w:rPr>
              <w:t>–</w:t>
            </w:r>
          </w:p>
        </w:tc>
        <w:tc>
          <w:tcPr>
            <w:tcW w:w="921" w:type="pct"/>
            <w:shd w:val="clear" w:color="auto" w:fill="auto"/>
            <w:noWrap/>
            <w:hideMark/>
          </w:tcPr>
          <w:p w14:paraId="16C69DD2" w14:textId="77777777" w:rsidR="00D97D6C" w:rsidRPr="009E06AA" w:rsidRDefault="00D97D6C" w:rsidP="00B55F24">
            <w:pPr>
              <w:pStyle w:val="TableText"/>
              <w:spacing w:before="40" w:after="40"/>
              <w:rPr>
                <w:rFonts w:cs="Calibri"/>
              </w:rPr>
            </w:pPr>
            <w:r w:rsidRPr="009E06AA">
              <w:rPr>
                <w:rFonts w:cs="Calibri"/>
              </w:rPr>
              <w:t>–</w:t>
            </w:r>
          </w:p>
        </w:tc>
      </w:tr>
      <w:tr w:rsidR="00D97D6C" w:rsidRPr="009E06AA" w14:paraId="51AF09AD" w14:textId="77777777" w:rsidTr="00B55F24">
        <w:trPr>
          <w:cantSplit/>
        </w:trPr>
        <w:tc>
          <w:tcPr>
            <w:tcW w:w="2216" w:type="pct"/>
            <w:shd w:val="clear" w:color="auto" w:fill="auto"/>
            <w:noWrap/>
            <w:hideMark/>
          </w:tcPr>
          <w:p w14:paraId="31384071" w14:textId="77777777" w:rsidR="00D97D6C" w:rsidRPr="009E06AA" w:rsidRDefault="00D97D6C" w:rsidP="00B55F24">
            <w:pPr>
              <w:pStyle w:val="TableText"/>
              <w:spacing w:before="40" w:after="40"/>
              <w:rPr>
                <w:rFonts w:cs="Calibri"/>
              </w:rPr>
            </w:pPr>
            <w:r w:rsidRPr="009E06AA">
              <w:rPr>
                <w:rFonts w:cs="Calibri"/>
              </w:rPr>
              <w:t>Road transportation – CO</w:t>
            </w:r>
            <w:r w:rsidRPr="009E06AA">
              <w:rPr>
                <w:rFonts w:cs="Calibri"/>
                <w:vertAlign w:val="subscript"/>
              </w:rPr>
              <w:t>2</w:t>
            </w:r>
          </w:p>
        </w:tc>
        <w:tc>
          <w:tcPr>
            <w:tcW w:w="976" w:type="pct"/>
            <w:shd w:val="clear" w:color="auto" w:fill="auto"/>
            <w:noWrap/>
            <w:hideMark/>
          </w:tcPr>
          <w:p w14:paraId="560D097D" w14:textId="77777777" w:rsidR="00D97D6C" w:rsidRPr="009E06AA" w:rsidRDefault="00D97D6C" w:rsidP="00B55F24">
            <w:pPr>
              <w:pStyle w:val="TableText"/>
              <w:spacing w:before="40" w:after="40"/>
              <w:rPr>
                <w:rFonts w:cs="Calibri"/>
              </w:rPr>
            </w:pPr>
            <w:r w:rsidRPr="009E06AA">
              <w:rPr>
                <w:rFonts w:cs="Calibri"/>
              </w:rPr>
              <w:t>Level, trend</w:t>
            </w:r>
          </w:p>
        </w:tc>
        <w:tc>
          <w:tcPr>
            <w:tcW w:w="887" w:type="pct"/>
            <w:shd w:val="clear" w:color="auto" w:fill="auto"/>
            <w:noWrap/>
          </w:tcPr>
          <w:p w14:paraId="4D31E377" w14:textId="77777777" w:rsidR="00D97D6C" w:rsidRPr="009E06AA" w:rsidRDefault="00D97D6C" w:rsidP="00B55F24">
            <w:pPr>
              <w:pStyle w:val="TableText"/>
              <w:spacing w:before="40" w:after="40"/>
              <w:rPr>
                <w:rFonts w:cs="Calibri"/>
              </w:rPr>
            </w:pPr>
            <w:r w:rsidRPr="009E06AA">
              <w:rPr>
                <w:rFonts w:cs="Calibri"/>
              </w:rPr>
              <w:t>–</w:t>
            </w:r>
          </w:p>
        </w:tc>
        <w:tc>
          <w:tcPr>
            <w:tcW w:w="921" w:type="pct"/>
            <w:shd w:val="clear" w:color="auto" w:fill="auto"/>
            <w:noWrap/>
            <w:hideMark/>
          </w:tcPr>
          <w:p w14:paraId="0DF02B05" w14:textId="77777777" w:rsidR="00D97D6C" w:rsidRPr="009E06AA" w:rsidRDefault="00D97D6C" w:rsidP="00B55F24">
            <w:pPr>
              <w:pStyle w:val="TableText"/>
              <w:spacing w:before="40" w:after="40"/>
              <w:rPr>
                <w:rFonts w:cs="Calibri"/>
              </w:rPr>
            </w:pPr>
            <w:r w:rsidRPr="009E06AA">
              <w:rPr>
                <w:rFonts w:cs="Calibri"/>
              </w:rPr>
              <w:t>Trend</w:t>
            </w:r>
          </w:p>
        </w:tc>
      </w:tr>
      <w:tr w:rsidR="00D97D6C" w:rsidRPr="009E06AA" w14:paraId="01E8EA34" w14:textId="77777777" w:rsidTr="00B55F24">
        <w:trPr>
          <w:cantSplit/>
        </w:trPr>
        <w:tc>
          <w:tcPr>
            <w:tcW w:w="2216" w:type="pct"/>
            <w:shd w:val="clear" w:color="auto" w:fill="auto"/>
            <w:noWrap/>
          </w:tcPr>
          <w:p w14:paraId="431307CA" w14:textId="77777777" w:rsidR="00D97D6C" w:rsidRPr="009E06AA" w:rsidRDefault="00D97D6C" w:rsidP="00B55F24">
            <w:pPr>
              <w:pStyle w:val="TableText"/>
              <w:spacing w:before="40" w:after="40"/>
              <w:rPr>
                <w:rFonts w:cs="Calibri"/>
              </w:rPr>
            </w:pPr>
            <w:r w:rsidRPr="009E06AA">
              <w:rPr>
                <w:rFonts w:cs="Calibri"/>
              </w:rPr>
              <w:t>Domestic navigation – CO</w:t>
            </w:r>
            <w:r w:rsidRPr="009E06AA">
              <w:rPr>
                <w:rFonts w:cs="Calibri"/>
                <w:vertAlign w:val="subscript"/>
              </w:rPr>
              <w:t>2</w:t>
            </w:r>
          </w:p>
        </w:tc>
        <w:tc>
          <w:tcPr>
            <w:tcW w:w="976" w:type="pct"/>
            <w:shd w:val="clear" w:color="auto" w:fill="auto"/>
            <w:noWrap/>
          </w:tcPr>
          <w:p w14:paraId="4C1EB755" w14:textId="77777777" w:rsidR="00D97D6C" w:rsidRPr="009E06AA" w:rsidRDefault="00D97D6C" w:rsidP="00B55F24">
            <w:pPr>
              <w:pStyle w:val="TableText"/>
              <w:spacing w:before="40" w:after="40"/>
              <w:rPr>
                <w:rFonts w:cs="Calibri"/>
              </w:rPr>
            </w:pPr>
            <w:r w:rsidRPr="009E06AA">
              <w:rPr>
                <w:rFonts w:cs="Calibri"/>
              </w:rPr>
              <w:t>Trend</w:t>
            </w:r>
          </w:p>
        </w:tc>
        <w:tc>
          <w:tcPr>
            <w:tcW w:w="887" w:type="pct"/>
            <w:shd w:val="clear" w:color="auto" w:fill="auto"/>
            <w:noWrap/>
          </w:tcPr>
          <w:p w14:paraId="516C27BF" w14:textId="77777777" w:rsidR="00D97D6C" w:rsidRPr="009E06AA" w:rsidRDefault="00D97D6C" w:rsidP="00B55F24">
            <w:pPr>
              <w:pStyle w:val="TableText"/>
              <w:spacing w:before="40" w:after="40"/>
              <w:rPr>
                <w:rFonts w:cs="Calibri"/>
              </w:rPr>
            </w:pPr>
            <w:r w:rsidRPr="009E06AA">
              <w:rPr>
                <w:rFonts w:cs="Calibri"/>
              </w:rPr>
              <w:t>–</w:t>
            </w:r>
          </w:p>
        </w:tc>
        <w:tc>
          <w:tcPr>
            <w:tcW w:w="921" w:type="pct"/>
            <w:shd w:val="clear" w:color="auto" w:fill="auto"/>
            <w:noWrap/>
          </w:tcPr>
          <w:p w14:paraId="3D3DAB7F" w14:textId="77777777" w:rsidR="00D97D6C" w:rsidRPr="009E06AA" w:rsidRDefault="00D97D6C" w:rsidP="00B55F24">
            <w:pPr>
              <w:pStyle w:val="TableText"/>
              <w:spacing w:before="40" w:after="40"/>
              <w:rPr>
                <w:rFonts w:cs="Calibri"/>
              </w:rPr>
            </w:pPr>
            <w:r w:rsidRPr="009E06AA">
              <w:rPr>
                <w:rFonts w:cs="Calibri"/>
              </w:rPr>
              <w:t>–</w:t>
            </w:r>
          </w:p>
        </w:tc>
      </w:tr>
    </w:tbl>
    <w:p w14:paraId="5F6D6FCE" w14:textId="77777777" w:rsidR="00D97D6C" w:rsidRPr="009E06AA" w:rsidRDefault="00D97D6C" w:rsidP="00D97D6C">
      <w:pPr>
        <w:pStyle w:val="Heading4"/>
        <w:spacing w:before="360"/>
      </w:pPr>
      <w:r w:rsidRPr="009E06AA">
        <w:t>Methodological issues</w:t>
      </w:r>
    </w:p>
    <w:p w14:paraId="04672468" w14:textId="77777777" w:rsidR="00D97D6C" w:rsidRPr="009E06AA" w:rsidRDefault="00D97D6C" w:rsidP="00BF2A76">
      <w:pPr>
        <w:pStyle w:val="Heading5"/>
      </w:pPr>
      <w:r w:rsidRPr="009E06AA">
        <w:rPr>
          <w:lang w:eastAsia="en-GB"/>
        </w:rPr>
        <w:t xml:space="preserve">1.A.3.a </w:t>
      </w:r>
      <w:r w:rsidRPr="009E06AA">
        <w:t>Civil</w:t>
      </w:r>
      <w:r w:rsidRPr="009E06AA">
        <w:rPr>
          <w:lang w:eastAsia="en-GB"/>
        </w:rPr>
        <w:t xml:space="preserve"> aviation</w:t>
      </w:r>
    </w:p>
    <w:p w14:paraId="03EC69D9" w14:textId="77777777" w:rsidR="00D97D6C" w:rsidRPr="009E06AA" w:rsidRDefault="00D97D6C" w:rsidP="00D97D6C">
      <w:pPr>
        <w:pStyle w:val="BodyText"/>
        <w:spacing w:before="100" w:after="100"/>
        <w:rPr>
          <w:rFonts w:cs="Calibri"/>
          <w:lang w:eastAsia="en-GB"/>
        </w:rPr>
      </w:pPr>
      <w:r w:rsidRPr="009E06AA">
        <w:rPr>
          <w:rFonts w:cs="Calibri"/>
          <w:lang w:eastAsia="en-GB"/>
        </w:rPr>
        <w:t xml:space="preserve">A Tier 1 approach (IPCC, 2006) that does not use landing and take-off cycles has been taken to estimate emissions from the </w:t>
      </w:r>
      <w:r w:rsidRPr="009E06AA">
        <w:rPr>
          <w:rFonts w:cs="Calibri"/>
          <w:i/>
          <w:lang w:eastAsia="en-GB"/>
        </w:rPr>
        <w:t>Civil aviation</w:t>
      </w:r>
      <w:r w:rsidRPr="009E06AA">
        <w:rPr>
          <w:rFonts w:cs="Calibri"/>
          <w:lang w:eastAsia="en-GB"/>
        </w:rPr>
        <w:t xml:space="preserve"> category. Given the uncertainty surrounding </w:t>
      </w:r>
      <w:r w:rsidRPr="009E06AA">
        <w:rPr>
          <w:rFonts w:cs="Calibri"/>
        </w:rPr>
        <w:t>CH</w:t>
      </w:r>
      <w:r w:rsidRPr="009E06AA">
        <w:rPr>
          <w:rFonts w:cs="Calibri"/>
          <w:vertAlign w:val="subscript"/>
        </w:rPr>
        <w:t>4</w:t>
      </w:r>
      <w:r w:rsidRPr="009E06AA">
        <w:rPr>
          <w:rFonts w:cs="Calibri"/>
          <w:lang w:eastAsia="en-GB"/>
        </w:rPr>
        <w:t xml:space="preserve"> and </w:t>
      </w:r>
      <w:r w:rsidRPr="009E06AA">
        <w:rPr>
          <w:rFonts w:cs="Calibri"/>
        </w:rPr>
        <w:t>N</w:t>
      </w:r>
      <w:r w:rsidRPr="009E06AA">
        <w:rPr>
          <w:rFonts w:cs="Calibri"/>
          <w:vertAlign w:val="subscript"/>
        </w:rPr>
        <w:t>2</w:t>
      </w:r>
      <w:r w:rsidRPr="009E06AA">
        <w:rPr>
          <w:rFonts w:cs="Calibri"/>
        </w:rPr>
        <w:t>O</w:t>
      </w:r>
      <w:r w:rsidRPr="009E06AA">
        <w:rPr>
          <w:rFonts w:cs="Calibri"/>
          <w:lang w:eastAsia="en-GB"/>
        </w:rPr>
        <w:t xml:space="preserve"> emission factors for landing and take-off cycles, a Tier 2 approach to estimating non-CO</w:t>
      </w:r>
      <w:r w:rsidRPr="009E06AA">
        <w:rPr>
          <w:rFonts w:cs="Calibri"/>
          <w:vertAlign w:val="subscript"/>
          <w:lang w:eastAsia="en-GB"/>
        </w:rPr>
        <w:t>2</w:t>
      </w:r>
      <w:r w:rsidRPr="009E06AA">
        <w:rPr>
          <w:rFonts w:cs="Calibri"/>
          <w:lang w:eastAsia="en-GB"/>
        </w:rPr>
        <w:t xml:space="preserve"> emissions would not necessarily reduce uncertainty (IPCC, 2006).</w:t>
      </w:r>
    </w:p>
    <w:p w14:paraId="1FA568ED" w14:textId="77777777" w:rsidR="00D97D6C" w:rsidRPr="009E06AA" w:rsidRDefault="00D97D6C" w:rsidP="00BF2A76">
      <w:pPr>
        <w:pStyle w:val="Heading5"/>
        <w:rPr>
          <w:lang w:eastAsia="en-GB"/>
        </w:rPr>
      </w:pPr>
      <w:r w:rsidRPr="009E06AA">
        <w:rPr>
          <w:szCs w:val="22"/>
        </w:rPr>
        <w:t xml:space="preserve">1.A.3.b </w:t>
      </w:r>
      <w:r w:rsidRPr="009E06AA">
        <w:rPr>
          <w:lang w:eastAsia="en-GB"/>
        </w:rPr>
        <w:t xml:space="preserve">Road </w:t>
      </w:r>
      <w:r w:rsidRPr="009E06AA">
        <w:t>transportation</w:t>
      </w:r>
    </w:p>
    <w:p w14:paraId="27B6FD54" w14:textId="77777777" w:rsidR="00D97D6C" w:rsidRPr="009E06AA" w:rsidRDefault="00D97D6C" w:rsidP="00D97D6C">
      <w:pPr>
        <w:pStyle w:val="BodyText"/>
        <w:spacing w:before="100" w:after="100"/>
        <w:rPr>
          <w:rFonts w:cs="Calibri"/>
          <w:lang w:eastAsia="en-GB"/>
        </w:rPr>
      </w:pPr>
      <w:r w:rsidRPr="009E06AA">
        <w:rPr>
          <w:rFonts w:cs="Calibri"/>
          <w:lang w:eastAsia="en-GB"/>
        </w:rPr>
        <w:t xml:space="preserve">The IPCC 2006 Tier 2 approach was used to calculate </w:t>
      </w:r>
      <w:r w:rsidRPr="009E06AA">
        <w:rPr>
          <w:rFonts w:cs="Calibri"/>
        </w:rPr>
        <w:t>CO</w:t>
      </w:r>
      <w:r w:rsidRPr="009E06AA">
        <w:rPr>
          <w:rFonts w:cs="Calibri"/>
          <w:vertAlign w:val="subscript"/>
        </w:rPr>
        <w:t>2</w:t>
      </w:r>
      <w:r w:rsidRPr="009E06AA">
        <w:rPr>
          <w:rFonts w:cs="Calibri"/>
          <w:sz w:val="14"/>
          <w:szCs w:val="14"/>
          <w:lang w:eastAsia="en-GB"/>
        </w:rPr>
        <w:t xml:space="preserve"> </w:t>
      </w:r>
      <w:r w:rsidRPr="009E06AA">
        <w:rPr>
          <w:rFonts w:cs="Calibri"/>
          <w:lang w:eastAsia="en-GB"/>
        </w:rPr>
        <w:t xml:space="preserve">emissions from </w:t>
      </w:r>
      <w:r w:rsidRPr="009E06AA">
        <w:rPr>
          <w:rFonts w:cs="Calibri"/>
          <w:i/>
          <w:lang w:eastAsia="en-GB"/>
        </w:rPr>
        <w:t>Road transportation</w:t>
      </w:r>
      <w:r w:rsidRPr="009E06AA">
        <w:rPr>
          <w:rFonts w:cs="Calibri"/>
          <w:lang w:eastAsia="en-GB"/>
        </w:rPr>
        <w:t xml:space="preserve"> using New Zealand-specific emission factors. The emission factors were calculated using data provided by New Zealand’s sole oil refinery (and fuel importers starting in 2022) for oil products and the weighted average emission factor of New Zealand </w:t>
      </w:r>
      <w:r w:rsidRPr="009E06AA">
        <w:rPr>
          <w:rFonts w:cs="Calibri"/>
        </w:rPr>
        <w:t xml:space="preserve">natural </w:t>
      </w:r>
      <w:r w:rsidRPr="009E06AA">
        <w:rPr>
          <w:rFonts w:cs="Calibri"/>
          <w:lang w:eastAsia="en-GB"/>
        </w:rPr>
        <w:t xml:space="preserve">gas fields for compressed natural gas (CNG). </w:t>
      </w:r>
    </w:p>
    <w:p w14:paraId="32213FF5" w14:textId="77777777" w:rsidR="00D97D6C" w:rsidRPr="009E06AA" w:rsidRDefault="00D97D6C" w:rsidP="00D97D6C">
      <w:pPr>
        <w:pStyle w:val="BodyText"/>
        <w:spacing w:before="100"/>
        <w:rPr>
          <w:rFonts w:cs="Calibri"/>
          <w:lang w:eastAsia="en-GB"/>
        </w:rPr>
      </w:pPr>
      <w:r w:rsidRPr="009E06AA">
        <w:rPr>
          <w:rFonts w:cs="Calibri"/>
          <w:lang w:eastAsia="en-GB"/>
        </w:rPr>
        <w:t xml:space="preserve">Since the 2012 submission, New Zealand has used a Tier 3 (IPCC, 2006) methodology to estimate </w:t>
      </w:r>
      <w:r w:rsidRPr="009E06AA">
        <w:rPr>
          <w:rFonts w:cs="Calibri"/>
        </w:rPr>
        <w:t>CH</w:t>
      </w:r>
      <w:r w:rsidRPr="009E06AA">
        <w:rPr>
          <w:rFonts w:cs="Calibri"/>
          <w:vertAlign w:val="subscript"/>
        </w:rPr>
        <w:t>4</w:t>
      </w:r>
      <w:r w:rsidRPr="009E06AA">
        <w:rPr>
          <w:rFonts w:cs="Calibri"/>
          <w:lang w:eastAsia="en-GB"/>
        </w:rPr>
        <w:t xml:space="preserve"> and </w:t>
      </w:r>
      <w:r w:rsidRPr="009E06AA">
        <w:rPr>
          <w:rFonts w:cs="Calibri"/>
        </w:rPr>
        <w:t>N</w:t>
      </w:r>
      <w:r w:rsidRPr="009E06AA">
        <w:rPr>
          <w:rFonts w:cs="Calibri"/>
          <w:vertAlign w:val="subscript"/>
        </w:rPr>
        <w:t>2</w:t>
      </w:r>
      <w:r w:rsidRPr="009E06AA">
        <w:rPr>
          <w:rFonts w:cs="Calibri"/>
        </w:rPr>
        <w:t>O</w:t>
      </w:r>
      <w:r w:rsidRPr="009E06AA">
        <w:rPr>
          <w:rFonts w:cs="Calibri"/>
          <w:lang w:eastAsia="en-GB"/>
        </w:rPr>
        <w:t xml:space="preserve"> emissions from road transport. </w:t>
      </w:r>
      <w:r w:rsidRPr="009E06AA">
        <w:rPr>
          <w:rFonts w:cs="Calibri"/>
        </w:rPr>
        <w:t>Information on non-CO</w:t>
      </w:r>
      <w:r w:rsidRPr="009E06AA">
        <w:rPr>
          <w:rFonts w:cs="Calibri"/>
          <w:vertAlign w:val="subscript"/>
        </w:rPr>
        <w:t>2</w:t>
      </w:r>
      <w:r w:rsidRPr="009E06AA">
        <w:rPr>
          <w:rFonts w:cs="Calibri"/>
        </w:rPr>
        <w:t xml:space="preserve"> emission factors can be found in annex 5.</w:t>
      </w:r>
    </w:p>
    <w:p w14:paraId="409F5592" w14:textId="77777777" w:rsidR="00D97D6C" w:rsidRPr="009E06AA" w:rsidRDefault="00D97D6C" w:rsidP="00D97D6C">
      <w:pPr>
        <w:pStyle w:val="BodyText"/>
        <w:spacing w:before="100"/>
        <w:rPr>
          <w:rFonts w:cs="Calibri"/>
          <w:lang w:eastAsia="en-GB"/>
        </w:rPr>
      </w:pPr>
      <w:r w:rsidRPr="009E06AA">
        <w:rPr>
          <w:rFonts w:cs="Calibri"/>
          <w:lang w:eastAsia="en-GB"/>
        </w:rPr>
        <w:t>Data collected by New Zealand’s Ministry of Transport provide comprehensive information on vehicle-kilometres-travelled by vehicle class and fuel type from 2001 to 20</w:t>
      </w:r>
      <w:r w:rsidRPr="009E06AA">
        <w:rPr>
          <w:rFonts w:cs="Calibri"/>
        </w:rPr>
        <w:t>16</w:t>
      </w:r>
      <w:r w:rsidRPr="009E06AA">
        <w:rPr>
          <w:rFonts w:cs="Calibri"/>
          <w:lang w:eastAsia="en-GB"/>
        </w:rPr>
        <w:t xml:space="preserve">. </w:t>
      </w:r>
      <w:r w:rsidRPr="009E06AA">
        <w:rPr>
          <w:rFonts w:cs="Calibri"/>
        </w:rPr>
        <w:t xml:space="preserve">Vehicle-kilometres-travelled were sourced from national six-monthly warrant of fitness inspections. </w:t>
      </w:r>
      <w:r w:rsidRPr="009E06AA">
        <w:rPr>
          <w:rFonts w:cs="Calibri"/>
          <w:spacing w:val="-2"/>
        </w:rPr>
        <w:t>These were further split into travel type (urban, rural, highway, motorway) using </w:t>
      </w:r>
      <w:r w:rsidRPr="009E06AA">
        <w:rPr>
          <w:rFonts w:cs="Calibri"/>
          <w:spacing w:val="-2"/>
          <w:lang w:eastAsia="en-GB"/>
        </w:rPr>
        <w:t>New Zealand’</w:t>
      </w:r>
      <w:r w:rsidRPr="009E06AA">
        <w:rPr>
          <w:rFonts w:cs="Calibri"/>
          <w:lang w:eastAsia="en-GB"/>
        </w:rPr>
        <w:t>s</w:t>
      </w:r>
      <w:r w:rsidRPr="009E06AA">
        <w:rPr>
          <w:rFonts w:cs="Calibri"/>
        </w:rPr>
        <w:t xml:space="preserve"> Road Assessment and Maintenance Management system. The New Zealand Travel Survey (Ministry of Transport, 2010) is used to further split the ‘urban’ travel type into cold and hot starts. This survey provides detailed trip-by-trip information on travel type. These data were used to establish the percentage of light-vehicle urban travel that comprise cold and hot starts. </w:t>
      </w:r>
      <w:r w:rsidRPr="009E06AA">
        <w:rPr>
          <w:rFonts w:cs="Calibri"/>
          <w:lang w:eastAsia="en-GB"/>
        </w:rPr>
        <w:t>Before 2001, insufficient data were available, so good practice guidance was used in choosing the splicing method to ensure time</w:t>
      </w:r>
      <w:r w:rsidRPr="009E06AA">
        <w:rPr>
          <w:rFonts w:cs="Calibri"/>
          <w:lang w:eastAsia="en-GB"/>
        </w:rPr>
        <w:noBreakHyphen/>
        <w:t>series consistency.</w:t>
      </w:r>
    </w:p>
    <w:p w14:paraId="3BA2AB64" w14:textId="77777777" w:rsidR="00D97D6C" w:rsidRPr="009E06AA" w:rsidRDefault="00D97D6C" w:rsidP="00D97D6C">
      <w:pPr>
        <w:pStyle w:val="BodyText"/>
      </w:pPr>
      <w:r w:rsidRPr="009E06AA">
        <w:t xml:space="preserve">The current </w:t>
      </w:r>
      <w:r w:rsidRPr="009E06AA">
        <w:rPr>
          <w:rFonts w:cs="Calibri"/>
          <w:lang w:eastAsia="en-GB"/>
        </w:rPr>
        <w:t xml:space="preserve">New </w:t>
      </w:r>
      <w:r w:rsidRPr="009E06AA">
        <w:t>Zealand vehicle fleet is split relatively evenly between vehicles:</w:t>
      </w:r>
    </w:p>
    <w:p w14:paraId="6A95DDA3" w14:textId="77777777" w:rsidR="00D97D6C" w:rsidRPr="009E06AA" w:rsidRDefault="00D97D6C" w:rsidP="00D97D6C">
      <w:pPr>
        <w:pStyle w:val="Bullet"/>
      </w:pPr>
      <w:r w:rsidRPr="009E06AA">
        <w:t>manufactured in New Zealand</w:t>
      </w:r>
      <w:r w:rsidRPr="009E06AA">
        <w:rPr>
          <w:vertAlign w:val="superscript"/>
        </w:rPr>
        <w:footnoteReference w:id="24"/>
      </w:r>
      <w:r w:rsidRPr="009E06AA">
        <w:t xml:space="preserve"> or imported for sale as new vehicles</w:t>
      </w:r>
    </w:p>
    <w:p w14:paraId="1264ACE8" w14:textId="77777777" w:rsidR="00D97D6C" w:rsidRPr="009E06AA" w:rsidRDefault="00D97D6C" w:rsidP="00D97D6C">
      <w:pPr>
        <w:pStyle w:val="Bullet"/>
      </w:pPr>
      <w:r w:rsidRPr="009E06AA">
        <w:t xml:space="preserve">produced and used in Japan and then imported into </w:t>
      </w:r>
      <w:r w:rsidRPr="009E06AA">
        <w:rPr>
          <w:rFonts w:cs="Calibri"/>
          <w:lang w:eastAsia="en-GB"/>
        </w:rPr>
        <w:t>New Zealand</w:t>
      </w:r>
      <w:r w:rsidRPr="009E06AA">
        <w:t>.</w:t>
      </w:r>
    </w:p>
    <w:p w14:paraId="3B49E8F8" w14:textId="77777777" w:rsidR="00D97D6C" w:rsidRPr="009E06AA" w:rsidRDefault="00D97D6C" w:rsidP="00D97D6C">
      <w:pPr>
        <w:pStyle w:val="BodyText"/>
        <w:spacing w:after="100"/>
      </w:pPr>
      <w:r w:rsidRPr="009E06AA">
        <w:t>This split has been relatively constant for the past nine years.</w:t>
      </w:r>
    </w:p>
    <w:p w14:paraId="1D7B3DC6" w14:textId="77777777" w:rsidR="00D97D6C" w:rsidRPr="009E06AA" w:rsidRDefault="00D97D6C" w:rsidP="00D97D6C">
      <w:pPr>
        <w:pStyle w:val="BodyText"/>
      </w:pPr>
      <w:r w:rsidRPr="009E06AA">
        <w:t xml:space="preserve">For this reason, when estimating emissions from road transport, the </w:t>
      </w:r>
      <w:r w:rsidRPr="009E06AA">
        <w:rPr>
          <w:rFonts w:cs="Calibri"/>
          <w:lang w:eastAsia="en-GB"/>
        </w:rPr>
        <w:t>New Zealand</w:t>
      </w:r>
      <w:r w:rsidRPr="009E06AA">
        <w:t xml:space="preserve"> vehicle fleet (and associated CH</w:t>
      </w:r>
      <w:r w:rsidRPr="009E06AA">
        <w:rPr>
          <w:vertAlign w:val="subscript"/>
        </w:rPr>
        <w:t>4</w:t>
      </w:r>
      <w:r w:rsidRPr="009E06AA">
        <w:t xml:space="preserve"> and N</w:t>
      </w:r>
      <w:r w:rsidRPr="009E06AA">
        <w:rPr>
          <w:vertAlign w:val="subscript"/>
        </w:rPr>
        <w:t>2</w:t>
      </w:r>
      <w:r w:rsidRPr="009E06AA">
        <w:t xml:space="preserve">O emissions) is split into sub-fleets: the ‘new vehicle fleet’ and the ‘used vehicle fleet’. This allocation is based on a vehicle’s year of manufacture rather than when it is first added to the </w:t>
      </w:r>
      <w:r w:rsidRPr="009E06AA">
        <w:rPr>
          <w:rFonts w:cs="Calibri"/>
          <w:lang w:eastAsia="en-GB"/>
        </w:rPr>
        <w:t>New Zealand</w:t>
      </w:r>
      <w:r w:rsidRPr="009E06AA">
        <w:t xml:space="preserve"> fleet. </w:t>
      </w:r>
    </w:p>
    <w:p w14:paraId="1BFD99F1" w14:textId="77777777" w:rsidR="00D97D6C" w:rsidRPr="009E06AA" w:rsidRDefault="00D97D6C" w:rsidP="00D97D6C">
      <w:pPr>
        <w:pStyle w:val="BodyText"/>
      </w:pPr>
      <w:r w:rsidRPr="009E06AA">
        <w:t>New vehicles are allocated an appropriate vehicle class from the COPERT 4 model (European Environment Agency, 2007), and used Japanese vehicles are allocated emission factors as per categories from the Japanese Ministry of the Environment. These emission factors are broken down by:</w:t>
      </w:r>
    </w:p>
    <w:p w14:paraId="6B077130" w14:textId="77777777" w:rsidR="00D97D6C" w:rsidRPr="009E06AA" w:rsidRDefault="00D97D6C" w:rsidP="00D97D6C">
      <w:pPr>
        <w:pStyle w:val="Bullet"/>
      </w:pPr>
      <w:r w:rsidRPr="009E06AA">
        <w:t>vehicle type</w:t>
      </w:r>
    </w:p>
    <w:p w14:paraId="178E38F3" w14:textId="77777777" w:rsidR="00D97D6C" w:rsidRPr="009E06AA" w:rsidRDefault="00D97D6C" w:rsidP="00D97D6C">
      <w:pPr>
        <w:pStyle w:val="Bullet"/>
      </w:pPr>
      <w:r w:rsidRPr="009E06AA">
        <w:t xml:space="preserve">fuel type </w:t>
      </w:r>
    </w:p>
    <w:p w14:paraId="462B7527" w14:textId="77777777" w:rsidR="00D97D6C" w:rsidRPr="009E06AA" w:rsidRDefault="00D97D6C" w:rsidP="00D97D6C">
      <w:pPr>
        <w:pStyle w:val="Bullet"/>
      </w:pPr>
      <w:r w:rsidRPr="009E06AA">
        <w:t xml:space="preserve">vehicle weight class </w:t>
      </w:r>
    </w:p>
    <w:p w14:paraId="0C3A3FD3" w14:textId="77777777" w:rsidR="00D97D6C" w:rsidRPr="009E06AA" w:rsidRDefault="00D97D6C" w:rsidP="00D97D6C">
      <w:pPr>
        <w:pStyle w:val="Bullet"/>
      </w:pPr>
      <w:r w:rsidRPr="009E06AA">
        <w:t>year of manufacture.</w:t>
      </w:r>
    </w:p>
    <w:p w14:paraId="31AF2F49" w14:textId="77777777" w:rsidR="00D97D6C" w:rsidRPr="009E06AA" w:rsidRDefault="00D97D6C" w:rsidP="00D97D6C">
      <w:pPr>
        <w:pStyle w:val="BodyText"/>
      </w:pPr>
      <w:r w:rsidRPr="009E06AA">
        <w:t xml:space="preserve">Due to the presence of expensive catalysts, many used vehicles imported into </w:t>
      </w:r>
      <w:r w:rsidRPr="009E06AA">
        <w:rPr>
          <w:lang w:eastAsia="en-GB"/>
        </w:rPr>
        <w:t>New Zealand</w:t>
      </w:r>
      <w:r w:rsidRPr="009E06AA">
        <w:t xml:space="preserve"> had their catalytic converters removed before being exported from Japan. The Ministry of Transport undertook several testing studies to determine the proportion of catalytic converters that are removed in Japan before export. </w:t>
      </w:r>
    </w:p>
    <w:p w14:paraId="28B5CEC0" w14:textId="77777777" w:rsidR="00D97D6C" w:rsidRPr="009E06AA" w:rsidRDefault="00D97D6C" w:rsidP="00D97D6C">
      <w:pPr>
        <w:pStyle w:val="BodyText"/>
      </w:pPr>
      <w:r w:rsidRPr="009E06AA">
        <w:rPr>
          <w:lang w:eastAsia="en-GB"/>
        </w:rPr>
        <w:t xml:space="preserve">MBIE </w:t>
      </w:r>
      <w:r w:rsidRPr="009E06AA">
        <w:t>and the Ministry for the Environment met with the Australian inventory reporting team in July 2011 to conduct a review of proposed methodologies for calculating emissions of CH</w:t>
      </w:r>
      <w:r w:rsidRPr="009E06AA">
        <w:rPr>
          <w:vertAlign w:val="subscript"/>
        </w:rPr>
        <w:t>4</w:t>
      </w:r>
      <w:r w:rsidRPr="009E06AA">
        <w:t xml:space="preserve"> and N</w:t>
      </w:r>
      <w:r w:rsidRPr="009E06AA">
        <w:rPr>
          <w:vertAlign w:val="subscript"/>
        </w:rPr>
        <w:t>2</w:t>
      </w:r>
      <w:r w:rsidRPr="009E06AA">
        <w:t xml:space="preserve">O associated with road transport. </w:t>
      </w:r>
      <w:r w:rsidRPr="009E06AA">
        <w:rPr>
          <w:lang w:eastAsia="en-GB"/>
        </w:rPr>
        <w:t>New Zealand’s</w:t>
      </w:r>
      <w:r w:rsidRPr="009E06AA">
        <w:t xml:space="preserve"> Tier 3 approach for road transport was presented, resulting in a recommendation from the Australian team that the new methodology be adopted for the 2012 submission, and that </w:t>
      </w:r>
      <w:r w:rsidRPr="009E06AA">
        <w:rPr>
          <w:lang w:eastAsia="en-GB"/>
        </w:rPr>
        <w:t>New Zealand</w:t>
      </w:r>
      <w:r w:rsidRPr="009E06AA">
        <w:t xml:space="preserve"> use the IPCC-recommended approach to selecting splicing techniques to choose an appropriate splicing method. In this, </w:t>
      </w:r>
      <w:r w:rsidRPr="009E06AA">
        <w:rPr>
          <w:lang w:eastAsia="en-GB"/>
        </w:rPr>
        <w:t>New Zealand</w:t>
      </w:r>
      <w:r w:rsidRPr="009E06AA">
        <w:t xml:space="preserve"> applied splicing techniques following the 2006 IPCC Guidelines on the method selection approach. </w:t>
      </w:r>
    </w:p>
    <w:p w14:paraId="61C95D4F" w14:textId="77777777" w:rsidR="00D97D6C" w:rsidRPr="009E06AA" w:rsidRDefault="00D97D6C" w:rsidP="00D97D6C">
      <w:pPr>
        <w:pStyle w:val="BodyText"/>
        <w:rPr>
          <w:lang w:eastAsia="en-US"/>
        </w:rPr>
      </w:pPr>
      <w:r w:rsidRPr="009E06AA">
        <w:rPr>
          <w:lang w:eastAsia="en-GB"/>
        </w:rPr>
        <w:t>For the 2018 submission, the Ministry of Transport implemented several improvements for its estimates of non-CO</w:t>
      </w:r>
      <w:r w:rsidRPr="009E06AA">
        <w:rPr>
          <w:vertAlign w:val="subscript"/>
          <w:lang w:eastAsia="en-GB"/>
        </w:rPr>
        <w:t>2</w:t>
      </w:r>
      <w:r w:rsidRPr="009E06AA">
        <w:rPr>
          <w:lang w:eastAsia="en-GB"/>
        </w:rPr>
        <w:t xml:space="preserve"> emissions from road transport. First, new emission factors for Euro 5 and 6 vehicles have been used, where previously these vehicles were treated as Euro 4/IV. Second, t</w:t>
      </w:r>
      <w:r w:rsidRPr="009E06AA">
        <w:t xml:space="preserve">he European Monitoring and Evaluation Programme/European Environment Agency emission inventory guidebook was updated in late 2016 (European Environment Agency, 2016). Some of the emission factors for Euro 4 and earlier vehicles were also updated in this version of the guidebook. Moreover, detailed emission factors were provided for heavy-duty trucks in different gross vehicle mass bands. </w:t>
      </w:r>
    </w:p>
    <w:p w14:paraId="050D9D6F" w14:textId="77777777" w:rsidR="00D97D6C" w:rsidRPr="009E06AA" w:rsidRDefault="00D97D6C" w:rsidP="00D97D6C">
      <w:pPr>
        <w:pStyle w:val="Heading4"/>
      </w:pPr>
      <w:r w:rsidRPr="009E06AA">
        <w:t>Time-series consistency</w:t>
      </w:r>
    </w:p>
    <w:p w14:paraId="765D56DB" w14:textId="7301DE4E" w:rsidR="00D97D6C" w:rsidRPr="009E06AA" w:rsidRDefault="00D97D6C" w:rsidP="00D97D6C">
      <w:pPr>
        <w:pStyle w:val="BodyText"/>
        <w:spacing w:before="100" w:after="100"/>
        <w:rPr>
          <w:rFonts w:cs="Calibri"/>
          <w:lang w:eastAsia="en-GB"/>
        </w:rPr>
      </w:pPr>
      <w:bookmarkStart w:id="403" w:name="_Toc321399334"/>
      <w:r w:rsidRPr="009E06AA">
        <w:rPr>
          <w:rFonts w:cs="Calibri"/>
          <w:lang w:eastAsia="en-GB"/>
        </w:rPr>
        <w:t xml:space="preserve">Insufficient data exists to apply the Tier 3 methodology between 1990 and 2000, so we have combined methods to form a complete time series (a technique referred to as ‘splicing’). To establish the most appropriate splicing method, emissions were calculated using the Tier 1 methodology for the period 2001 to 2016. These emissions were compared against those calculated using the Tier 3 methodology, to determine the relationship between the two series (see </w:t>
      </w:r>
      <w:r w:rsidRPr="009E06AA">
        <w:rPr>
          <w:rFonts w:cs="Calibri"/>
        </w:rPr>
        <w:t>figure 3.2.1</w:t>
      </w:r>
      <w:r w:rsidR="00747C8F" w:rsidRPr="009E06AA">
        <w:rPr>
          <w:rFonts w:cs="Calibri"/>
        </w:rPr>
        <w:t>0</w:t>
      </w:r>
      <w:r w:rsidRPr="009E06AA">
        <w:rPr>
          <w:rFonts w:cs="Calibri"/>
          <w:lang w:eastAsia="en-GB"/>
        </w:rPr>
        <w:t xml:space="preserve">). The guidance for the method selection process is provided in table 5.1 (volume 2) of the 2006 IPCC Guidelines. </w:t>
      </w:r>
    </w:p>
    <w:p w14:paraId="75D9FDDA" w14:textId="2339B217" w:rsidR="00D97D6C" w:rsidRPr="009E06AA" w:rsidRDefault="00D97D6C" w:rsidP="00D97D6C">
      <w:pPr>
        <w:pStyle w:val="Figure"/>
        <w:spacing w:after="80"/>
        <w:rPr>
          <w:rFonts w:cs="Calibri"/>
        </w:rPr>
      </w:pPr>
      <w:bookmarkStart w:id="404" w:name="_Ref442370701"/>
      <w:bookmarkStart w:id="405" w:name="_Toc384582863"/>
      <w:bookmarkStart w:id="406" w:name="_Toc443060823"/>
      <w:bookmarkStart w:id="407" w:name="_Toc447275680"/>
      <w:bookmarkStart w:id="408" w:name="_Toc481751998"/>
      <w:bookmarkStart w:id="409" w:name="_Toc36292780"/>
      <w:bookmarkStart w:id="410" w:name="_Toc68786645"/>
      <w:bookmarkStart w:id="411" w:name="_Toc95834080"/>
      <w:bookmarkStart w:id="412" w:name="_Toc164154015"/>
      <w:r w:rsidRPr="009E06AA">
        <w:rPr>
          <w:rFonts w:cs="Calibri"/>
        </w:rPr>
        <w:t>Figure 3.2.</w:t>
      </w:r>
      <w:r w:rsidRPr="009E06AA">
        <w:rPr>
          <w:rFonts w:cs="Calibri"/>
        </w:rPr>
        <w:fldChar w:fldCharType="begin"/>
      </w:r>
      <w:r w:rsidRPr="009E06AA">
        <w:rPr>
          <w:rFonts w:cs="Calibri"/>
        </w:rPr>
        <w:instrText xml:space="preserve"> SEQ Figure \* ARABIC \s 2 </w:instrText>
      </w:r>
      <w:r w:rsidRPr="009E06AA">
        <w:rPr>
          <w:rFonts w:cs="Calibri"/>
        </w:rPr>
        <w:fldChar w:fldCharType="separate"/>
      </w:r>
      <w:r w:rsidR="009E4901">
        <w:rPr>
          <w:rFonts w:cs="Calibri"/>
          <w:noProof/>
        </w:rPr>
        <w:t>10</w:t>
      </w:r>
      <w:r w:rsidRPr="009E06AA">
        <w:rPr>
          <w:rFonts w:cs="Calibri"/>
        </w:rPr>
        <w:fldChar w:fldCharType="end"/>
      </w:r>
      <w:bookmarkEnd w:id="404"/>
      <w:r w:rsidRPr="009E06AA">
        <w:rPr>
          <w:rFonts w:cs="Calibri"/>
          <w:lang w:eastAsia="en-GB"/>
        </w:rPr>
        <w:t xml:space="preserve"> </w:t>
      </w:r>
      <w:r w:rsidRPr="009E06AA">
        <w:rPr>
          <w:rFonts w:cs="Calibri"/>
          <w:lang w:eastAsia="en-GB"/>
        </w:rPr>
        <w:tab/>
        <w:t>Splicing method decision tree for gasoline emissions</w:t>
      </w:r>
      <w:bookmarkEnd w:id="403"/>
      <w:bookmarkEnd w:id="405"/>
      <w:bookmarkEnd w:id="406"/>
      <w:bookmarkEnd w:id="407"/>
      <w:bookmarkEnd w:id="408"/>
      <w:bookmarkEnd w:id="409"/>
      <w:bookmarkEnd w:id="410"/>
      <w:bookmarkEnd w:id="411"/>
      <w:bookmarkEnd w:id="412"/>
    </w:p>
    <w:p w14:paraId="46EC7C6C" w14:textId="77777777" w:rsidR="00D97D6C" w:rsidRPr="009E06AA" w:rsidRDefault="00D97D6C" w:rsidP="00D97D6C">
      <w:pPr>
        <w:pStyle w:val="BodyText"/>
        <w:spacing w:after="240"/>
      </w:pPr>
      <w:r w:rsidRPr="009E06AA">
        <w:rPr>
          <w:noProof/>
        </w:rPr>
        <w:drawing>
          <wp:inline distT="0" distB="0" distL="0" distR="0" wp14:anchorId="273AE6CD" wp14:editId="7A8C150A">
            <wp:extent cx="5191390" cy="4200994"/>
            <wp:effectExtent l="0" t="0" r="0" b="9525"/>
            <wp:docPr id="10255260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526065" name="Picture 1025526065"/>
                    <pic:cNvPicPr/>
                  </pic:nvPicPr>
                  <pic:blipFill rotWithShape="1">
                    <a:blip r:embed="rId66" cstate="print">
                      <a:extLst>
                        <a:ext uri="{28A0092B-C50C-407E-A947-70E740481C1C}">
                          <a14:useLocalDpi xmlns:a14="http://schemas.microsoft.com/office/drawing/2010/main" val="0"/>
                        </a:ext>
                      </a:extLst>
                    </a:blip>
                    <a:srcRect/>
                    <a:stretch/>
                  </pic:blipFill>
                  <pic:spPr bwMode="auto">
                    <a:xfrm>
                      <a:off x="0" y="0"/>
                      <a:ext cx="5193956" cy="4203070"/>
                    </a:xfrm>
                    <a:prstGeom prst="rect">
                      <a:avLst/>
                    </a:prstGeom>
                    <a:ln>
                      <a:noFill/>
                    </a:ln>
                    <a:extLst>
                      <a:ext uri="{53640926-AAD7-44D8-BBD7-CCE9431645EC}">
                        <a14:shadowObscured xmlns:a14="http://schemas.microsoft.com/office/drawing/2010/main"/>
                      </a:ext>
                    </a:extLst>
                  </pic:spPr>
                </pic:pic>
              </a:graphicData>
            </a:graphic>
          </wp:inline>
        </w:drawing>
      </w:r>
    </w:p>
    <w:p w14:paraId="796E082F" w14:textId="77777777" w:rsidR="00D97D6C" w:rsidRPr="009E06AA" w:rsidRDefault="00D97D6C" w:rsidP="00D97D6C">
      <w:pPr>
        <w:pStyle w:val="BodyText"/>
        <w:spacing w:before="100" w:after="100"/>
        <w:rPr>
          <w:rFonts w:cs="Calibri"/>
        </w:rPr>
      </w:pPr>
      <w:r w:rsidRPr="009E06AA">
        <w:rPr>
          <w:rFonts w:cs="Calibri"/>
          <w:lang w:eastAsia="en-GB"/>
        </w:rPr>
        <w:t>For all fuels, interpolation was considered inappropriate due to the size of the block of unavailable data and the lack of data from before the missing bloc</w:t>
      </w:r>
      <w:r w:rsidRPr="009E06AA">
        <w:rPr>
          <w:rFonts w:cs="Calibri"/>
        </w:rPr>
        <w:t xml:space="preserve">k (1990–2000). </w:t>
      </w:r>
    </w:p>
    <w:p w14:paraId="0D3CE1D2" w14:textId="77777777" w:rsidR="00D97D6C" w:rsidRPr="009E06AA" w:rsidRDefault="00D97D6C" w:rsidP="00D97D6C">
      <w:pPr>
        <w:pStyle w:val="BodyText"/>
        <w:spacing w:before="100" w:after="100"/>
        <w:rPr>
          <w:rFonts w:cs="Calibri"/>
        </w:rPr>
      </w:pPr>
      <w:r w:rsidRPr="009E06AA">
        <w:rPr>
          <w:rFonts w:cs="Calibri"/>
        </w:rPr>
        <w:t xml:space="preserve">For emission estimates from </w:t>
      </w:r>
      <w:r w:rsidRPr="009E06AA">
        <w:rPr>
          <w:rFonts w:cs="Calibri"/>
          <w:lang w:eastAsia="en-GB"/>
        </w:rPr>
        <w:t xml:space="preserve">LPG, the relationship between Tier 1 and Tier 3 appears nearly constant for both </w:t>
      </w:r>
      <w:r w:rsidRPr="009E06AA">
        <w:rPr>
          <w:rFonts w:cs="Calibri"/>
        </w:rPr>
        <w:t>N</w:t>
      </w:r>
      <w:r w:rsidRPr="009E06AA">
        <w:rPr>
          <w:rFonts w:cs="Calibri"/>
          <w:vertAlign w:val="subscript"/>
        </w:rPr>
        <w:t>2</w:t>
      </w:r>
      <w:r w:rsidRPr="009E06AA">
        <w:rPr>
          <w:rFonts w:cs="Calibri"/>
        </w:rPr>
        <w:t>O</w:t>
      </w:r>
      <w:r w:rsidRPr="009E06AA">
        <w:rPr>
          <w:rFonts w:cs="Calibri"/>
          <w:lang w:eastAsia="en-GB"/>
        </w:rPr>
        <w:t xml:space="preserve"> and </w:t>
      </w:r>
      <w:r w:rsidRPr="009E06AA">
        <w:rPr>
          <w:rFonts w:cs="Calibri"/>
        </w:rPr>
        <w:t>CH</w:t>
      </w:r>
      <w:r w:rsidRPr="009E06AA">
        <w:rPr>
          <w:rFonts w:cs="Calibri"/>
          <w:vertAlign w:val="subscript"/>
        </w:rPr>
        <w:t>4</w:t>
      </w:r>
      <w:r w:rsidRPr="009E06AA">
        <w:rPr>
          <w:rFonts w:cs="Calibri"/>
          <w:lang w:eastAsia="en-GB"/>
        </w:rPr>
        <w:t xml:space="preserve"> from 2001 until 2002. As a result, the overlap method was used (IPCC, 2006), with:</w:t>
      </w:r>
    </w:p>
    <w:p w14:paraId="73AFFABF" w14:textId="77777777" w:rsidR="00D97D6C" w:rsidRPr="009E06AA" w:rsidRDefault="008975BF" w:rsidP="00BE2857">
      <w:pPr>
        <w:pStyle w:val="BodyText"/>
        <w:spacing w:before="0" w:after="180"/>
        <w:jc w:val="center"/>
        <w:rPr>
          <w:rFonts w:cs="Calibri"/>
          <w:lang w:eastAsia="en-GB"/>
        </w:rPr>
      </w:pPr>
      <m:oMathPara>
        <m:oMath>
          <m:sSub>
            <m:sSubPr>
              <m:ctrlPr>
                <w:rPr>
                  <w:rFonts w:ascii="Cambria Math" w:hAnsi="Cambria Math" w:cs="Calibri"/>
                  <w:i/>
                  <w:iCs/>
                  <w:sz w:val="24"/>
                  <w:lang w:eastAsia="en-GB"/>
                </w:rPr>
              </m:ctrlPr>
            </m:sSubPr>
            <m:e>
              <m:r>
                <w:rPr>
                  <w:rFonts w:ascii="Cambria Math" w:hAnsi="Cambria Math" w:cs="Calibri"/>
                  <w:sz w:val="24"/>
                  <w:lang w:eastAsia="en-GB"/>
                </w:rPr>
                <m:t>y</m:t>
              </m:r>
            </m:e>
            <m:sub>
              <m:r>
                <w:rPr>
                  <w:rFonts w:ascii="Cambria Math" w:hAnsi="Cambria Math" w:cs="Calibri"/>
                  <w:sz w:val="24"/>
                  <w:lang w:eastAsia="en-GB"/>
                </w:rPr>
                <m:t>t</m:t>
              </m:r>
            </m:sub>
          </m:sSub>
          <m:r>
            <w:rPr>
              <w:rFonts w:ascii="Cambria Math" w:hAnsi="Cambria Math" w:cs="Calibri"/>
              <w:sz w:val="24"/>
              <w:lang w:eastAsia="en-GB"/>
            </w:rPr>
            <m:t>=</m:t>
          </m:r>
          <m:sSub>
            <m:sSubPr>
              <m:ctrlPr>
                <w:rPr>
                  <w:rFonts w:ascii="Cambria Math" w:hAnsi="Cambria Math" w:cs="Calibri"/>
                  <w:i/>
                  <w:iCs/>
                  <w:sz w:val="24"/>
                  <w:lang w:eastAsia="en-GB"/>
                </w:rPr>
              </m:ctrlPr>
            </m:sSubPr>
            <m:e>
              <m:r>
                <w:rPr>
                  <w:rFonts w:ascii="Cambria Math" w:hAnsi="Cambria Math" w:cs="Calibri"/>
                  <w:sz w:val="24"/>
                  <w:lang w:eastAsia="en-GB"/>
                </w:rPr>
                <m:t>x</m:t>
              </m:r>
            </m:e>
            <m:sub>
              <m:r>
                <w:rPr>
                  <w:rFonts w:ascii="Cambria Math" w:hAnsi="Cambria Math" w:cs="Calibri"/>
                  <w:sz w:val="24"/>
                  <w:lang w:eastAsia="en-GB"/>
                </w:rPr>
                <m:t>t</m:t>
              </m:r>
            </m:sub>
          </m:sSub>
          <m:d>
            <m:dPr>
              <m:ctrlPr>
                <w:rPr>
                  <w:rFonts w:ascii="Cambria Math" w:hAnsi="Cambria Math" w:cs="Calibri"/>
                  <w:i/>
                  <w:iCs/>
                  <w:sz w:val="24"/>
                  <w:lang w:eastAsia="en-GB"/>
                </w:rPr>
              </m:ctrlPr>
            </m:dPr>
            <m:e>
              <m:nary>
                <m:naryPr>
                  <m:chr m:val="∑"/>
                  <m:limLoc m:val="undOvr"/>
                  <m:ctrlPr>
                    <w:rPr>
                      <w:rFonts w:ascii="Cambria Math" w:hAnsi="Cambria Math" w:cs="Calibri"/>
                      <w:i/>
                      <w:iCs/>
                      <w:sz w:val="24"/>
                      <w:lang w:eastAsia="en-GB"/>
                    </w:rPr>
                  </m:ctrlPr>
                </m:naryPr>
                <m:sub>
                  <m:r>
                    <w:rPr>
                      <w:rFonts w:ascii="Cambria Math" w:hAnsi="Cambria Math" w:cs="Calibri"/>
                      <w:sz w:val="24"/>
                      <w:lang w:eastAsia="en-GB"/>
                    </w:rPr>
                    <m:t>i</m:t>
                  </m:r>
                  <m:r>
                    <w:rPr>
                      <w:rFonts w:ascii="Cambria Math" w:hAnsi="Cambria Math" w:cs="Calibri"/>
                      <w:sz w:val="24"/>
                      <w:lang w:eastAsia="en-GB"/>
                    </w:rPr>
                    <m:t>=</m:t>
                  </m:r>
                  <m:r>
                    <w:rPr>
                      <w:rFonts w:ascii="Cambria Math" w:hAnsi="Cambria Math" w:cs="Calibri"/>
                      <w:sz w:val="24"/>
                      <w:lang w:eastAsia="en-GB"/>
                    </w:rPr>
                    <m:t>m</m:t>
                  </m:r>
                </m:sub>
                <m:sup>
                  <m:r>
                    <w:rPr>
                      <w:rFonts w:ascii="Cambria Math" w:hAnsi="Cambria Math" w:cs="Calibri"/>
                      <w:sz w:val="24"/>
                      <w:lang w:eastAsia="en-GB"/>
                    </w:rPr>
                    <m:t>n</m:t>
                  </m:r>
                </m:sup>
                <m:e>
                  <m:sSub>
                    <m:sSubPr>
                      <m:ctrlPr>
                        <w:rPr>
                          <w:rFonts w:ascii="Cambria Math" w:hAnsi="Cambria Math" w:cs="Calibri"/>
                          <w:i/>
                          <w:iCs/>
                          <w:sz w:val="24"/>
                          <w:lang w:eastAsia="en-GB"/>
                        </w:rPr>
                      </m:ctrlPr>
                    </m:sSubPr>
                    <m:e>
                      <m:r>
                        <w:rPr>
                          <w:rFonts w:ascii="Cambria Math" w:hAnsi="Cambria Math" w:cs="Calibri"/>
                          <w:sz w:val="24"/>
                          <w:lang w:eastAsia="en-GB"/>
                        </w:rPr>
                        <m:t>y</m:t>
                      </m:r>
                    </m:e>
                    <m:sub>
                      <m:r>
                        <w:rPr>
                          <w:rFonts w:ascii="Cambria Math" w:hAnsi="Cambria Math" w:cs="Calibri"/>
                          <w:sz w:val="24"/>
                          <w:lang w:eastAsia="en-GB"/>
                        </w:rPr>
                        <m:t>i</m:t>
                      </m:r>
                    </m:sub>
                  </m:sSub>
                </m:e>
              </m:nary>
              <m:r>
                <w:rPr>
                  <w:rFonts w:ascii="Cambria Math" w:hAnsi="Cambria Math" w:cs="Calibri"/>
                  <w:sz w:val="24"/>
                  <w:lang w:eastAsia="en-GB"/>
                </w:rPr>
                <m:t>/</m:t>
              </m:r>
              <m:nary>
                <m:naryPr>
                  <m:chr m:val="∑"/>
                  <m:limLoc m:val="undOvr"/>
                  <m:ctrlPr>
                    <w:rPr>
                      <w:rFonts w:ascii="Cambria Math" w:hAnsi="Cambria Math" w:cs="Calibri"/>
                      <w:i/>
                      <w:iCs/>
                      <w:sz w:val="24"/>
                      <w:lang w:eastAsia="en-GB"/>
                    </w:rPr>
                  </m:ctrlPr>
                </m:naryPr>
                <m:sub>
                  <m:r>
                    <w:rPr>
                      <w:rFonts w:ascii="Cambria Math" w:hAnsi="Cambria Math" w:cs="Calibri"/>
                      <w:sz w:val="24"/>
                      <w:lang w:eastAsia="en-GB"/>
                    </w:rPr>
                    <m:t>i</m:t>
                  </m:r>
                  <m:r>
                    <w:rPr>
                      <w:rFonts w:ascii="Cambria Math" w:hAnsi="Cambria Math" w:cs="Calibri"/>
                      <w:sz w:val="24"/>
                      <w:lang w:eastAsia="en-GB"/>
                    </w:rPr>
                    <m:t>=</m:t>
                  </m:r>
                  <m:r>
                    <w:rPr>
                      <w:rFonts w:ascii="Cambria Math" w:hAnsi="Cambria Math" w:cs="Calibri"/>
                      <w:sz w:val="24"/>
                      <w:lang w:eastAsia="en-GB"/>
                    </w:rPr>
                    <m:t>m</m:t>
                  </m:r>
                </m:sub>
                <m:sup>
                  <m:r>
                    <w:rPr>
                      <w:rFonts w:ascii="Cambria Math" w:hAnsi="Cambria Math" w:cs="Calibri"/>
                      <w:sz w:val="24"/>
                      <w:lang w:eastAsia="en-GB"/>
                    </w:rPr>
                    <m:t>n</m:t>
                  </m:r>
                </m:sup>
                <m:e>
                  <m:sSub>
                    <m:sSubPr>
                      <m:ctrlPr>
                        <w:rPr>
                          <w:rFonts w:ascii="Cambria Math" w:hAnsi="Cambria Math" w:cs="Calibri"/>
                          <w:i/>
                          <w:iCs/>
                          <w:sz w:val="24"/>
                          <w:lang w:eastAsia="en-GB"/>
                        </w:rPr>
                      </m:ctrlPr>
                    </m:sSubPr>
                    <m:e>
                      <m:r>
                        <w:rPr>
                          <w:rFonts w:ascii="Cambria Math" w:hAnsi="Cambria Math" w:cs="Calibri"/>
                          <w:sz w:val="24"/>
                          <w:lang w:eastAsia="en-GB"/>
                        </w:rPr>
                        <m:t>x</m:t>
                      </m:r>
                    </m:e>
                    <m:sub>
                      <m:r>
                        <w:rPr>
                          <w:rFonts w:ascii="Cambria Math" w:hAnsi="Cambria Math" w:cs="Calibri"/>
                          <w:sz w:val="24"/>
                          <w:lang w:eastAsia="en-GB"/>
                        </w:rPr>
                        <m:t>i</m:t>
                      </m:r>
                    </m:sub>
                  </m:sSub>
                </m:e>
              </m:nary>
            </m:e>
          </m:d>
        </m:oMath>
      </m:oMathPara>
    </w:p>
    <w:p w14:paraId="413359D6" w14:textId="77777777" w:rsidR="00D97D6C" w:rsidRPr="009E06AA" w:rsidRDefault="00D97D6C" w:rsidP="00D97D6C">
      <w:pPr>
        <w:pStyle w:val="BodyText"/>
        <w:spacing w:after="0"/>
        <w:ind w:left="964" w:hanging="964"/>
        <w:rPr>
          <w:rFonts w:cs="Calibri"/>
        </w:rPr>
      </w:pPr>
      <w:r w:rsidRPr="009E06AA">
        <w:rPr>
          <w:rFonts w:cs="Calibri"/>
          <w:lang w:eastAsia="en-GB"/>
        </w:rPr>
        <w:t xml:space="preserve">Where: </w:t>
      </w:r>
      <w:r w:rsidRPr="009E06AA">
        <w:rPr>
          <w:rFonts w:cs="Calibri"/>
          <w:lang w:eastAsia="en-GB"/>
        </w:rPr>
        <w:tab/>
      </w:r>
      <w:r w:rsidRPr="009E06AA">
        <w:rPr>
          <w:rFonts w:cs="Calibri"/>
          <w:i/>
        </w:rPr>
        <w:t>y</w:t>
      </w:r>
      <w:r w:rsidRPr="009E06AA">
        <w:rPr>
          <w:rFonts w:cs="Calibri"/>
          <w:vertAlign w:val="subscript"/>
        </w:rPr>
        <w:t>t</w:t>
      </w:r>
      <w:r w:rsidRPr="009E06AA">
        <w:rPr>
          <w:rFonts w:cs="Calibri"/>
        </w:rPr>
        <w:t xml:space="preserve"> is the recalculated emission estimate computed using the overlap method</w:t>
      </w:r>
    </w:p>
    <w:p w14:paraId="6A0A48AC" w14:textId="77777777" w:rsidR="00D97D6C" w:rsidRPr="009E06AA" w:rsidRDefault="00D97D6C" w:rsidP="00D97D6C">
      <w:pPr>
        <w:pStyle w:val="BodyText"/>
        <w:spacing w:before="80" w:after="0"/>
        <w:ind w:left="993" w:hanging="993"/>
      </w:pPr>
      <w:r w:rsidRPr="009E06AA">
        <w:tab/>
      </w:r>
      <w:r w:rsidRPr="009E06AA">
        <w:rPr>
          <w:i/>
        </w:rPr>
        <w:t>x</w:t>
      </w:r>
      <w:r w:rsidRPr="009E06AA">
        <w:rPr>
          <w:vertAlign w:val="subscript"/>
        </w:rPr>
        <w:t>t</w:t>
      </w:r>
      <w:r w:rsidRPr="009E06AA">
        <w:t xml:space="preserve"> is the estimate developed using the previous method</w:t>
      </w:r>
    </w:p>
    <w:p w14:paraId="2792D7D6" w14:textId="77777777" w:rsidR="00D97D6C" w:rsidRPr="009E06AA" w:rsidRDefault="00D97D6C" w:rsidP="00D97D6C">
      <w:pPr>
        <w:pStyle w:val="BodyText"/>
        <w:spacing w:before="80"/>
        <w:ind w:left="993" w:hanging="993"/>
      </w:pPr>
      <w:r w:rsidRPr="009E06AA">
        <w:tab/>
      </w:r>
      <w:r w:rsidRPr="009E06AA">
        <w:rPr>
          <w:i/>
        </w:rPr>
        <w:t>y</w:t>
      </w:r>
      <w:r w:rsidRPr="009E06AA">
        <w:rPr>
          <w:i/>
          <w:vertAlign w:val="subscript"/>
        </w:rPr>
        <w:t>i</w:t>
      </w:r>
      <w:r w:rsidRPr="009E06AA">
        <w:t xml:space="preserve"> and </w:t>
      </w:r>
      <w:r w:rsidRPr="009E06AA">
        <w:rPr>
          <w:i/>
        </w:rPr>
        <w:t>x</w:t>
      </w:r>
      <w:r w:rsidRPr="009E06AA">
        <w:rPr>
          <w:i/>
          <w:vertAlign w:val="subscript"/>
        </w:rPr>
        <w:t>i</w:t>
      </w:r>
      <w:r w:rsidRPr="009E06AA">
        <w:t xml:space="preserve"> are the estimates prepared using the new and previously used methods during the period of overlap, as denoted by years </w:t>
      </w:r>
      <w:r w:rsidRPr="009E06AA">
        <w:rPr>
          <w:i/>
        </w:rPr>
        <w:t>m</w:t>
      </w:r>
      <w:r w:rsidRPr="009E06AA">
        <w:t xml:space="preserve"> through </w:t>
      </w:r>
      <w:r w:rsidRPr="009E06AA">
        <w:rPr>
          <w:i/>
        </w:rPr>
        <w:t>n</w:t>
      </w:r>
      <w:r w:rsidRPr="009E06AA">
        <w:t>.</w:t>
      </w:r>
    </w:p>
    <w:p w14:paraId="476EEF0E" w14:textId="77777777" w:rsidR="00D97D6C" w:rsidRPr="009E06AA" w:rsidRDefault="00D97D6C" w:rsidP="00D97D6C">
      <w:pPr>
        <w:pStyle w:val="BodyText"/>
        <w:keepLines/>
        <w:spacing w:after="0"/>
        <w:rPr>
          <w:rFonts w:cs="Calibri"/>
          <w:lang w:eastAsia="en-GB"/>
        </w:rPr>
      </w:pPr>
      <w:r w:rsidRPr="009E06AA">
        <w:rPr>
          <w:rFonts w:cs="Calibri"/>
          <w:lang w:eastAsia="en-GB"/>
        </w:rPr>
        <w:t>However, for gasoline and diesel vehicles, the ratio Tier 3:Tier 1 appears to change approximately linearly with time. While surrogates for Ministry of Transport data were available (fuel consumption), their use resulted in a step change that is unlikely to be representative of road transport emissions for the period. While the trend in emissions was not consistent over time, the trend of the Tier 3:Tier 1 ratio emission estimates showed a strong linear relationship with time. As a result, a hybrid method of overlap and trend extrapolation was chosen with:</w:t>
      </w:r>
    </w:p>
    <w:p w14:paraId="05D5BC6A" w14:textId="77777777" w:rsidR="00D97D6C" w:rsidRPr="009E06AA" w:rsidRDefault="008975BF" w:rsidP="00BE2857">
      <w:pPr>
        <w:pStyle w:val="BodyText"/>
        <w:spacing w:after="180"/>
        <w:jc w:val="center"/>
        <w:rPr>
          <w:i/>
          <w:sz w:val="24"/>
        </w:rPr>
      </w:pPr>
      <m:oMathPara>
        <m:oMath>
          <m:sSub>
            <m:sSubPr>
              <m:ctrlPr>
                <w:rPr>
                  <w:rFonts w:ascii="Cambria Math" w:hAnsi="Cambria Math"/>
                  <w:i/>
                  <w:iCs/>
                  <w:sz w:val="24"/>
                  <w:lang w:eastAsia="en-GB"/>
                </w:rPr>
              </m:ctrlPr>
            </m:sSubPr>
            <m:e>
              <m:r>
                <w:rPr>
                  <w:rFonts w:ascii="Cambria Math" w:hAnsi="Cambria Math"/>
                  <w:sz w:val="24"/>
                  <w:lang w:eastAsia="en-GB"/>
                </w:rPr>
                <m:t>y</m:t>
              </m:r>
            </m:e>
            <m:sub>
              <m:r>
                <w:rPr>
                  <w:rFonts w:ascii="Cambria Math" w:hAnsi="Cambria Math"/>
                  <w:sz w:val="24"/>
                  <w:lang w:eastAsia="en-GB"/>
                </w:rPr>
                <m:t>t</m:t>
              </m:r>
            </m:sub>
          </m:sSub>
          <m:r>
            <w:rPr>
              <w:rFonts w:ascii="Cambria Math" w:hAnsi="Cambria Math"/>
              <w:sz w:val="24"/>
              <w:lang w:eastAsia="en-GB"/>
            </w:rPr>
            <m:t>=(</m:t>
          </m:r>
          <m:r>
            <w:rPr>
              <w:rFonts w:ascii="Cambria Math" w:hAnsi="Cambria Math"/>
              <w:sz w:val="24"/>
              <w:lang w:eastAsia="en-GB"/>
            </w:rPr>
            <m:t>at</m:t>
          </m:r>
          <m:r>
            <w:rPr>
              <w:rFonts w:ascii="Cambria Math" w:hAnsi="Cambria Math"/>
              <w:sz w:val="24"/>
              <w:lang w:eastAsia="en-GB"/>
            </w:rPr>
            <m:t>+</m:t>
          </m:r>
          <m:r>
            <w:rPr>
              <w:rFonts w:ascii="Cambria Math" w:hAnsi="Cambria Math"/>
              <w:sz w:val="24"/>
              <w:lang w:eastAsia="en-GB"/>
            </w:rPr>
            <m:t>b</m:t>
          </m:r>
          <m:r>
            <w:rPr>
              <w:rFonts w:ascii="Cambria Math" w:hAnsi="Cambria Math"/>
              <w:sz w:val="24"/>
              <w:lang w:eastAsia="en-GB"/>
            </w:rPr>
            <m:t>)</m:t>
          </m:r>
          <m:sSub>
            <m:sSubPr>
              <m:ctrlPr>
                <w:rPr>
                  <w:rFonts w:ascii="Cambria Math" w:hAnsi="Cambria Math"/>
                  <w:i/>
                  <w:iCs/>
                  <w:sz w:val="24"/>
                  <w:lang w:eastAsia="en-GB"/>
                </w:rPr>
              </m:ctrlPr>
            </m:sSubPr>
            <m:e>
              <m:r>
                <w:rPr>
                  <w:rFonts w:ascii="Cambria Math" w:hAnsi="Cambria Math"/>
                  <w:sz w:val="24"/>
                  <w:lang w:eastAsia="en-GB"/>
                </w:rPr>
                <m:t>x</m:t>
              </m:r>
            </m:e>
            <m:sub>
              <m:r>
                <w:rPr>
                  <w:rFonts w:ascii="Cambria Math" w:hAnsi="Cambria Math"/>
                  <w:sz w:val="24"/>
                  <w:lang w:eastAsia="en-GB"/>
                </w:rPr>
                <m:t>t</m:t>
              </m:r>
            </m:sub>
          </m:sSub>
        </m:oMath>
      </m:oMathPara>
    </w:p>
    <w:p w14:paraId="73A9D731" w14:textId="77777777" w:rsidR="00D97D6C" w:rsidRPr="009E06AA" w:rsidRDefault="00D97D6C" w:rsidP="00D97D6C">
      <w:pPr>
        <w:pStyle w:val="BodyText"/>
        <w:spacing w:before="80" w:after="0"/>
        <w:ind w:left="993" w:hanging="993"/>
      </w:pPr>
      <w:r w:rsidRPr="009E06AA">
        <w:rPr>
          <w:lang w:eastAsia="en-GB"/>
        </w:rPr>
        <w:t xml:space="preserve">Where: </w:t>
      </w:r>
      <w:r w:rsidRPr="009E06AA">
        <w:rPr>
          <w:lang w:eastAsia="en-GB"/>
        </w:rPr>
        <w:tab/>
      </w:r>
      <w:r w:rsidRPr="009E06AA">
        <w:rPr>
          <w:i/>
        </w:rPr>
        <w:t>t</w:t>
      </w:r>
      <w:r w:rsidRPr="009E06AA">
        <w:t xml:space="preserve"> is the year for which a new estimate is required</w:t>
      </w:r>
    </w:p>
    <w:p w14:paraId="55B164D7" w14:textId="77777777" w:rsidR="00D97D6C" w:rsidRPr="009E06AA" w:rsidRDefault="00D97D6C" w:rsidP="00D97D6C">
      <w:pPr>
        <w:pStyle w:val="BodyText"/>
        <w:spacing w:before="80" w:after="0"/>
        <w:ind w:left="993" w:hanging="993"/>
      </w:pPr>
      <w:r w:rsidRPr="009E06AA">
        <w:rPr>
          <w:i/>
        </w:rPr>
        <w:tab/>
        <w:t>a</w:t>
      </w:r>
      <w:r w:rsidRPr="009E06AA">
        <w:t xml:space="preserve"> is the slope of the line achieved by regressing Tier 3:Tier 1 for the overlap period</w:t>
      </w:r>
    </w:p>
    <w:p w14:paraId="117677A1" w14:textId="77777777" w:rsidR="00D97D6C" w:rsidRPr="009E06AA" w:rsidRDefault="00D97D6C" w:rsidP="00D97D6C">
      <w:pPr>
        <w:pStyle w:val="BodyText"/>
        <w:spacing w:before="80" w:after="0"/>
        <w:ind w:left="993" w:hanging="993"/>
      </w:pPr>
      <w:r w:rsidRPr="009E06AA">
        <w:rPr>
          <w:i/>
        </w:rPr>
        <w:tab/>
        <w:t>b</w:t>
      </w:r>
      <w:r w:rsidRPr="009E06AA">
        <w:t xml:space="preserve"> is the intercept of the line achieved by regressing Tier 3:Tier 1 for the overlap period</w:t>
      </w:r>
    </w:p>
    <w:p w14:paraId="08D82812" w14:textId="77777777" w:rsidR="00D97D6C" w:rsidRPr="009E06AA" w:rsidRDefault="00D97D6C" w:rsidP="00D97D6C">
      <w:pPr>
        <w:pStyle w:val="BodyText"/>
        <w:spacing w:before="80"/>
        <w:ind w:left="993" w:hanging="993"/>
      </w:pPr>
      <w:r w:rsidRPr="009E06AA">
        <w:tab/>
      </w:r>
      <w:r w:rsidRPr="009E06AA">
        <w:rPr>
          <w:i/>
        </w:rPr>
        <w:t>x</w:t>
      </w:r>
      <w:r w:rsidRPr="009E06AA">
        <w:rPr>
          <w:i/>
          <w:vertAlign w:val="subscript"/>
        </w:rPr>
        <w:t>t</w:t>
      </w:r>
      <w:r w:rsidRPr="009E06AA">
        <w:t xml:space="preserve"> is the estimate for year </w:t>
      </w:r>
      <w:r w:rsidRPr="009E06AA">
        <w:rPr>
          <w:i/>
        </w:rPr>
        <w:t>t</w:t>
      </w:r>
      <w:r w:rsidRPr="009E06AA">
        <w:t xml:space="preserve"> using the previous methodology.</w:t>
      </w:r>
    </w:p>
    <w:p w14:paraId="6785E013" w14:textId="77777777" w:rsidR="00D97D6C" w:rsidRPr="009E06AA" w:rsidRDefault="00D97D6C" w:rsidP="00D97D6C">
      <w:pPr>
        <w:pStyle w:val="BodyText"/>
        <w:spacing w:before="100" w:after="100"/>
        <w:rPr>
          <w:rFonts w:cs="Calibri"/>
          <w:lang w:eastAsia="en-GB"/>
        </w:rPr>
      </w:pPr>
      <w:r w:rsidRPr="009E06AA">
        <w:rPr>
          <w:rFonts w:cs="Calibri"/>
          <w:lang w:eastAsia="en-GB"/>
        </w:rPr>
        <w:t>The relationship between Tier 3 and Tier 1 emissions is linear from 2001 to 2005 (inclusive) for both CH</w:t>
      </w:r>
      <w:r w:rsidRPr="009E06AA">
        <w:rPr>
          <w:rFonts w:cs="Calibri"/>
          <w:vertAlign w:val="subscript"/>
          <w:lang w:eastAsia="en-GB"/>
        </w:rPr>
        <w:t>4</w:t>
      </w:r>
      <w:r w:rsidRPr="009E06AA">
        <w:rPr>
          <w:rFonts w:cs="Calibri"/>
          <w:lang w:eastAsia="en-GB"/>
        </w:rPr>
        <w:t xml:space="preserve"> and N</w:t>
      </w:r>
      <w:r w:rsidRPr="009E06AA">
        <w:rPr>
          <w:rFonts w:cs="Calibri"/>
          <w:vertAlign w:val="subscript"/>
          <w:lang w:eastAsia="en-GB"/>
        </w:rPr>
        <w:t>2</w:t>
      </w:r>
      <w:r w:rsidRPr="009E06AA">
        <w:rPr>
          <w:rFonts w:cs="Calibri"/>
          <w:lang w:eastAsia="en-GB"/>
        </w:rPr>
        <w:t>O. This relationship was extrapolated back to the beginning of the time series to derive a factor by which to multiply the Tier 1 estimate for a given year.</w:t>
      </w:r>
    </w:p>
    <w:p w14:paraId="15F2392F" w14:textId="77777777" w:rsidR="00D97D6C" w:rsidRPr="009E06AA" w:rsidRDefault="00D97D6C" w:rsidP="008613C8">
      <w:pPr>
        <w:pStyle w:val="Heading6"/>
      </w:pPr>
      <w:r w:rsidRPr="009E06AA">
        <w:t>Dual-fuel vehicles</w:t>
      </w:r>
    </w:p>
    <w:p w14:paraId="0888725B" w14:textId="77777777" w:rsidR="00D97D6C" w:rsidRPr="009E06AA" w:rsidRDefault="00D97D6C" w:rsidP="00D97D6C">
      <w:pPr>
        <w:pStyle w:val="BodyText"/>
        <w:spacing w:before="100" w:after="100"/>
        <w:rPr>
          <w:rFonts w:cs="Calibri"/>
          <w:lang w:eastAsia="en-GB"/>
        </w:rPr>
      </w:pPr>
      <w:r w:rsidRPr="009E06AA">
        <w:rPr>
          <w:rFonts w:cs="Calibri"/>
        </w:rPr>
        <w:t xml:space="preserve">Historically, the </w:t>
      </w:r>
      <w:r w:rsidRPr="009E06AA">
        <w:rPr>
          <w:rFonts w:cs="Calibri"/>
          <w:lang w:eastAsia="en-GB"/>
        </w:rPr>
        <w:t xml:space="preserve">New Zealand </w:t>
      </w:r>
      <w:r w:rsidRPr="009E06AA">
        <w:rPr>
          <w:rFonts w:cs="Calibri"/>
        </w:rPr>
        <w:t xml:space="preserve">Government encouraged the production and use of dual fuels (CNG–gasoline and LPG–gasoline) in transport as a strategy to reduce </w:t>
      </w:r>
      <w:r w:rsidRPr="009E06AA">
        <w:rPr>
          <w:rFonts w:cs="Calibri"/>
          <w:lang w:eastAsia="en-GB"/>
        </w:rPr>
        <w:t>New Zealand’s</w:t>
      </w:r>
      <w:r w:rsidRPr="009E06AA">
        <w:rPr>
          <w:rFonts w:cs="Calibri"/>
        </w:rPr>
        <w:t xml:space="preserve"> dependence on imported oil. </w:t>
      </w:r>
      <w:r w:rsidRPr="009E06AA">
        <w:rPr>
          <w:rFonts w:cs="Calibri"/>
          <w:lang w:eastAsia="en-GB"/>
        </w:rPr>
        <w:t>New Zealand</w:t>
      </w:r>
      <w:r w:rsidRPr="009E06AA">
        <w:rPr>
          <w:rFonts w:cs="Calibri"/>
        </w:rPr>
        <w:t xml:space="preserve"> saw significant use of dual fuels in vehicles until 1987, when government subsidies were removed. Since then, dual fuel use has decreased, due both to the removal of subsidies and to falling oil prices. The last recorded use of dual fuels in </w:t>
      </w:r>
      <w:r w:rsidRPr="009E06AA">
        <w:rPr>
          <w:rFonts w:cs="Calibri"/>
          <w:lang w:eastAsia="en-GB"/>
        </w:rPr>
        <w:t>New Zealand</w:t>
      </w:r>
      <w:r w:rsidRPr="009E06AA">
        <w:rPr>
          <w:rFonts w:cs="Calibri"/>
        </w:rPr>
        <w:t xml:space="preserve"> was a Hamilton bus company, which continued using CNG in its bus fleet until 2017. Use of CNG or LPG for transport has not been recorded since.</w:t>
      </w:r>
    </w:p>
    <w:p w14:paraId="7597BBF6" w14:textId="301AC904" w:rsidR="00D97D6C" w:rsidRPr="009E06AA" w:rsidRDefault="00D97D6C" w:rsidP="00D97D6C">
      <w:pPr>
        <w:pStyle w:val="BodyText"/>
        <w:spacing w:before="100" w:after="100"/>
        <w:rPr>
          <w:rFonts w:cs="Calibri"/>
          <w:lang w:eastAsia="en-GB"/>
        </w:rPr>
      </w:pPr>
      <w:r w:rsidRPr="009E06AA">
        <w:rPr>
          <w:rFonts w:cs="Calibri"/>
          <w:lang w:eastAsia="en-GB"/>
        </w:rPr>
        <w:t xml:space="preserve">The vehicle-kilometres-travelled data provided by the Ministry of Transport allocates all vehicles using dual fuels (LPG–gasoline and CNG–gasoline) to the </w:t>
      </w:r>
      <w:r w:rsidRPr="009E06AA">
        <w:rPr>
          <w:rFonts w:cs="Calibri"/>
          <w:i/>
          <w:lang w:eastAsia="en-GB"/>
        </w:rPr>
        <w:t>Gasoline</w:t>
      </w:r>
      <w:r w:rsidRPr="009E06AA">
        <w:rPr>
          <w:rFonts w:cs="Calibri"/>
          <w:lang w:eastAsia="en-GB"/>
        </w:rPr>
        <w:t xml:space="preserve"> category. Historically, non-CO</w:t>
      </w:r>
      <w:r w:rsidRPr="009E06AA">
        <w:rPr>
          <w:rFonts w:cs="Calibri"/>
          <w:vertAlign w:val="subscript"/>
          <w:lang w:eastAsia="en-GB"/>
        </w:rPr>
        <w:t>2</w:t>
      </w:r>
      <w:r w:rsidRPr="009E06AA">
        <w:rPr>
          <w:rFonts w:cs="Calibri"/>
          <w:lang w:eastAsia="en-GB"/>
        </w:rPr>
        <w:t xml:space="preserve"> emission factors have been lower for LPG than for gasoline, and correctly allocating dual fuel activity data between gasoline and LPG would result in a slight decrease in overall emissions. As a result, activity data for LPG–gasoline dual-fuel vehicles was not reallocated due to a desire to be conservative when applying methods that would lead to net</w:t>
      </w:r>
      <w:r w:rsidR="00BE2857" w:rsidRPr="009E06AA">
        <w:rPr>
          <w:rFonts w:cs="Calibri"/>
          <w:lang w:eastAsia="en-GB"/>
        </w:rPr>
        <w:t> </w:t>
      </w:r>
      <w:r w:rsidRPr="009E06AA">
        <w:rPr>
          <w:rFonts w:cs="Calibri"/>
          <w:lang w:eastAsia="en-GB"/>
        </w:rPr>
        <w:t>emission reductions.</w:t>
      </w:r>
    </w:p>
    <w:p w14:paraId="5912C154" w14:textId="77777777" w:rsidR="00D97D6C" w:rsidRPr="009E06AA" w:rsidRDefault="00D97D6C" w:rsidP="00D97D6C">
      <w:pPr>
        <w:pStyle w:val="BodyText"/>
        <w:spacing w:before="100" w:after="100"/>
        <w:rPr>
          <w:rFonts w:cs="Calibri"/>
          <w:lang w:eastAsia="en-GB"/>
        </w:rPr>
      </w:pPr>
      <w:r w:rsidRPr="009E06AA">
        <w:rPr>
          <w:rFonts w:cs="Calibri"/>
          <w:lang w:eastAsia="en-GB"/>
        </w:rPr>
        <w:t>To ensure that emissions were not underestimated, an estimate of the fuel used in CNG buses was also made. The remaining natural gas was then assumed to be combusted in converted light passenger vehicles, and an IPCC default emission factor was used to estimate the associated emissions.</w:t>
      </w:r>
    </w:p>
    <w:p w14:paraId="3F8FA22F" w14:textId="77777777" w:rsidR="00D97D6C" w:rsidRPr="009E06AA" w:rsidRDefault="00D97D6C" w:rsidP="008613C8">
      <w:pPr>
        <w:pStyle w:val="Heading6"/>
      </w:pPr>
      <w:r w:rsidRPr="009E06AA">
        <w:t>Blended biofuels</w:t>
      </w:r>
    </w:p>
    <w:p w14:paraId="044DC9C8" w14:textId="77777777" w:rsidR="00D97D6C" w:rsidRPr="009E06AA" w:rsidRDefault="00D97D6C" w:rsidP="00D97D6C">
      <w:pPr>
        <w:pStyle w:val="BodyText"/>
        <w:spacing w:before="100"/>
        <w:rPr>
          <w:rFonts w:cs="Calibri"/>
          <w:lang w:eastAsia="en-GB"/>
        </w:rPr>
      </w:pPr>
      <w:r w:rsidRPr="009E06AA">
        <w:rPr>
          <w:rFonts w:cs="Calibri"/>
          <w:lang w:eastAsia="en-GB"/>
        </w:rPr>
        <w:t xml:space="preserve">Since 2007, some fuel retailers have sold small volumes of biogasoline and biodiesel blended with mineral oil products (data on these exists from 2007 onwards). These fuels are categorised under 1.A.3.b </w:t>
      </w:r>
      <w:r w:rsidRPr="009E06AA">
        <w:rPr>
          <w:rFonts w:cs="Calibri"/>
          <w:i/>
          <w:lang w:eastAsia="en-GB"/>
        </w:rPr>
        <w:t>Road transportation</w:t>
      </w:r>
      <w:r w:rsidRPr="009E06AA">
        <w:rPr>
          <w:rFonts w:cs="Calibri"/>
          <w:lang w:eastAsia="en-GB"/>
        </w:rPr>
        <w:t xml:space="preserve">. To ensure that liquid biofuel combustion is considered correctly in the inventory, the energy split (i.e., gasoline as a share of combined gasoline and biogasoline or mineral diesel as a share of mineral diesel and biodiesel) was first calculated, and then the new estimate was multiplied by this factor to account for the biofuel proportion of the fuel. The emissions from the combustion of biofuels were then estimated using a Tier 1 methodology, as in previous inventories. </w:t>
      </w:r>
    </w:p>
    <w:p w14:paraId="3742B5EE" w14:textId="77777777" w:rsidR="00D97D6C" w:rsidRPr="009E06AA" w:rsidRDefault="00D97D6C" w:rsidP="008613C8">
      <w:pPr>
        <w:pStyle w:val="Heading6"/>
      </w:pPr>
      <w:r w:rsidRPr="009E06AA">
        <w:t>Biodiesel</w:t>
      </w:r>
    </w:p>
    <w:p w14:paraId="154A2EC0" w14:textId="77777777" w:rsidR="00D97D6C" w:rsidRPr="009E06AA" w:rsidRDefault="00D97D6C" w:rsidP="00D97D6C">
      <w:pPr>
        <w:pStyle w:val="BodyText"/>
        <w:rPr>
          <w:rFonts w:cs="Calibri"/>
          <w:lang w:eastAsia="en-GB"/>
        </w:rPr>
      </w:pPr>
      <w:r w:rsidRPr="009E06AA">
        <w:rPr>
          <w:rFonts w:cs="Calibri"/>
          <w:lang w:eastAsia="en-GB"/>
        </w:rPr>
        <w:t xml:space="preserve">Blended biodiesel has been disaggregated into biogenic and fossil fractions in our reporting. The biodiesel biogenic fraction continues to be classified as </w:t>
      </w:r>
      <w:r w:rsidRPr="009E06AA">
        <w:rPr>
          <w:rFonts w:cs="Calibri"/>
          <w:i/>
          <w:lang w:eastAsia="en-GB"/>
        </w:rPr>
        <w:t>Biomass</w:t>
      </w:r>
      <w:r w:rsidRPr="009E06AA">
        <w:rPr>
          <w:rFonts w:cs="Calibri"/>
          <w:lang w:eastAsia="en-GB"/>
        </w:rPr>
        <w:t xml:space="preserve">, while the biodiesel fossil fraction is classified as </w:t>
      </w:r>
      <w:r w:rsidRPr="009E06AA">
        <w:rPr>
          <w:rFonts w:cs="Calibri"/>
          <w:i/>
          <w:lang w:eastAsia="en-GB"/>
        </w:rPr>
        <w:t>Other fossil fuels</w:t>
      </w:r>
      <w:r w:rsidRPr="009E06AA">
        <w:rPr>
          <w:rFonts w:cs="Calibri"/>
          <w:lang w:eastAsia="en-GB"/>
        </w:rPr>
        <w:t>.</w:t>
      </w:r>
    </w:p>
    <w:p w14:paraId="59F03392" w14:textId="77777777" w:rsidR="00D97D6C" w:rsidRPr="009E06AA" w:rsidRDefault="00D97D6C" w:rsidP="00D97D6C">
      <w:pPr>
        <w:pStyle w:val="BodyText"/>
        <w:rPr>
          <w:rFonts w:cs="Calibri"/>
          <w:lang w:eastAsia="en-GB"/>
        </w:rPr>
      </w:pPr>
      <w:r w:rsidRPr="009E06AA">
        <w:rPr>
          <w:rFonts w:cs="Calibri"/>
          <w:lang w:eastAsia="en-GB"/>
        </w:rPr>
        <w:t xml:space="preserve">Biodiesel produced and consumed in New Zealand is generally fatty acid methyl ester (FAME). </w:t>
      </w:r>
      <w:r w:rsidRPr="009E06AA">
        <w:rPr>
          <w:rFonts w:cs="Calibri"/>
          <w:spacing w:val="-2"/>
          <w:lang w:eastAsia="en-GB"/>
        </w:rPr>
        <w:t>To produce FAME, vegetable oil or animal fat is trans-esterified with methanol, which is assumed</w:t>
      </w:r>
      <w:r w:rsidRPr="009E06AA">
        <w:rPr>
          <w:rFonts w:cs="Calibri"/>
          <w:lang w:eastAsia="en-GB"/>
        </w:rPr>
        <w:t xml:space="preserve"> to be of fossil origin. Consequently, every single molecule of FAME contains one fossil carbon </w:t>
      </w:r>
      <w:r w:rsidRPr="009E06AA">
        <w:rPr>
          <w:rFonts w:cs="Calibri"/>
          <w:spacing w:val="-2"/>
          <w:lang w:eastAsia="en-GB"/>
        </w:rPr>
        <w:t>atom. While the exact fraction of fossil carbon in FAME depends on the nature of the feedstock</w:t>
      </w:r>
      <w:r w:rsidRPr="009E06AA">
        <w:rPr>
          <w:rFonts w:cs="Calibri"/>
          <w:lang w:eastAsia="en-GB"/>
        </w:rPr>
        <w:t xml:space="preserve"> oil, a value of 5.4 per cent is assumed based on measurements of a range of biodiesels from Reddy et al. (2008). As a result, part of the CO</w:t>
      </w:r>
      <w:r w:rsidRPr="009E06AA">
        <w:rPr>
          <w:rFonts w:cs="Calibri"/>
          <w:vertAlign w:val="subscript"/>
          <w:lang w:eastAsia="en-GB"/>
        </w:rPr>
        <w:t>2</w:t>
      </w:r>
      <w:r w:rsidRPr="009E06AA">
        <w:rPr>
          <w:rFonts w:cs="Calibri"/>
          <w:lang w:eastAsia="en-GB"/>
        </w:rPr>
        <w:t xml:space="preserve"> emissions previously reported as biomass memo items are now included in the national total emissions.</w:t>
      </w:r>
    </w:p>
    <w:p w14:paraId="6EF74E3D" w14:textId="77777777" w:rsidR="00D97D6C" w:rsidRPr="009E06AA" w:rsidRDefault="00D97D6C" w:rsidP="00BF2A76">
      <w:pPr>
        <w:pStyle w:val="Heading5"/>
      </w:pPr>
      <w:r w:rsidRPr="009E06AA">
        <w:rPr>
          <w:lang w:eastAsia="en-GB"/>
        </w:rPr>
        <w:t>1.A.3.c Railways</w:t>
      </w:r>
    </w:p>
    <w:p w14:paraId="20817113" w14:textId="77777777" w:rsidR="00D97D6C" w:rsidRPr="009E06AA" w:rsidRDefault="00D97D6C" w:rsidP="00D97D6C">
      <w:pPr>
        <w:pStyle w:val="BodyText"/>
        <w:rPr>
          <w:rFonts w:cs="Calibri"/>
          <w:lang w:eastAsia="en-GB"/>
        </w:rPr>
      </w:pPr>
      <w:r w:rsidRPr="009E06AA">
        <w:rPr>
          <w:rFonts w:cs="Calibri"/>
          <w:lang w:eastAsia="en-GB"/>
        </w:rPr>
        <w:t>Non-CO</w:t>
      </w:r>
      <w:r w:rsidRPr="009E06AA">
        <w:rPr>
          <w:rFonts w:cs="Calibri"/>
          <w:vertAlign w:val="subscript"/>
          <w:lang w:eastAsia="en-GB"/>
        </w:rPr>
        <w:t>2</w:t>
      </w:r>
      <w:r w:rsidRPr="009E06AA">
        <w:rPr>
          <w:rFonts w:cs="Calibri"/>
          <w:lang w:eastAsia="en-GB"/>
        </w:rPr>
        <w:t xml:space="preserve"> emissions from the </w:t>
      </w:r>
      <w:r w:rsidRPr="009E06AA">
        <w:rPr>
          <w:rFonts w:cs="Calibri"/>
          <w:i/>
          <w:lang w:eastAsia="en-GB"/>
        </w:rPr>
        <w:t>Railways</w:t>
      </w:r>
      <w:r w:rsidRPr="009E06AA">
        <w:rPr>
          <w:rFonts w:cs="Calibri"/>
          <w:lang w:eastAsia="en-GB"/>
        </w:rPr>
        <w:t xml:space="preserve"> category (including both liquid and solid fuels) were estimated using a Tier 1 approach (IPCC, 2006).</w:t>
      </w:r>
    </w:p>
    <w:p w14:paraId="20DBA392" w14:textId="77777777" w:rsidR="00D97D6C" w:rsidRPr="009E06AA" w:rsidRDefault="00D97D6C" w:rsidP="00BF2A76">
      <w:pPr>
        <w:pStyle w:val="Heading5"/>
        <w:rPr>
          <w:lang w:eastAsia="en-GB"/>
        </w:rPr>
      </w:pPr>
      <w:r w:rsidRPr="009E06AA">
        <w:rPr>
          <w:lang w:eastAsia="en-GB"/>
        </w:rPr>
        <w:t>1.A.3.d Navigation (domestic marine transport)</w:t>
      </w:r>
    </w:p>
    <w:p w14:paraId="251EDE53" w14:textId="77777777" w:rsidR="00D97D6C" w:rsidRPr="009E06AA" w:rsidRDefault="00D97D6C" w:rsidP="00D97D6C">
      <w:pPr>
        <w:pStyle w:val="BodyText"/>
        <w:rPr>
          <w:rFonts w:cs="Calibri"/>
          <w:lang w:eastAsia="en-GB"/>
        </w:rPr>
      </w:pPr>
      <w:r w:rsidRPr="009E06AA">
        <w:rPr>
          <w:rFonts w:cs="Calibri"/>
          <w:lang w:eastAsia="en-GB"/>
        </w:rPr>
        <w:t>Non-CO</w:t>
      </w:r>
      <w:r w:rsidRPr="009E06AA">
        <w:rPr>
          <w:rFonts w:cs="Calibri"/>
          <w:vertAlign w:val="subscript"/>
          <w:lang w:eastAsia="en-GB"/>
        </w:rPr>
        <w:t>2</w:t>
      </w:r>
      <w:r w:rsidRPr="009E06AA">
        <w:rPr>
          <w:rFonts w:cs="Calibri"/>
          <w:lang w:eastAsia="en-GB"/>
        </w:rPr>
        <w:t xml:space="preserve"> emissions from the </w:t>
      </w:r>
      <w:r w:rsidRPr="009E06AA">
        <w:rPr>
          <w:rFonts w:cs="Calibri"/>
          <w:i/>
          <w:lang w:eastAsia="en-GB"/>
        </w:rPr>
        <w:t>Navigation</w:t>
      </w:r>
      <w:r w:rsidRPr="009E06AA">
        <w:rPr>
          <w:rFonts w:cs="Calibri"/>
          <w:lang w:eastAsia="en-GB"/>
        </w:rPr>
        <w:t xml:space="preserve"> category in New Zealand were estimated using a Tier 1 approach (IPCC, 2006).</w:t>
      </w:r>
    </w:p>
    <w:p w14:paraId="2C43D82A" w14:textId="77777777" w:rsidR="00D97D6C" w:rsidRPr="009E06AA" w:rsidRDefault="00D97D6C" w:rsidP="00BF2A76">
      <w:pPr>
        <w:pStyle w:val="Heading5"/>
        <w:rPr>
          <w:lang w:eastAsia="en-GB"/>
        </w:rPr>
      </w:pPr>
      <w:r w:rsidRPr="009E06AA">
        <w:rPr>
          <w:lang w:eastAsia="en-GB"/>
        </w:rPr>
        <w:t>1.A.3.e Other transportation</w:t>
      </w:r>
    </w:p>
    <w:p w14:paraId="41C89E12" w14:textId="77777777" w:rsidR="00D97D6C" w:rsidRPr="009E06AA" w:rsidRDefault="00D97D6C" w:rsidP="00D97D6C">
      <w:pPr>
        <w:pStyle w:val="BodyText"/>
        <w:rPr>
          <w:rFonts w:cs="Calibri"/>
          <w:lang w:eastAsia="en-GB"/>
        </w:rPr>
      </w:pPr>
      <w:r w:rsidRPr="009E06AA">
        <w:rPr>
          <w:rFonts w:cs="Calibri"/>
          <w:lang w:eastAsia="en-GB"/>
        </w:rPr>
        <w:t xml:space="preserve">Combustion related to pipeline transport has been recategorised from 1.A.1.c </w:t>
      </w:r>
      <w:r w:rsidRPr="009E06AA">
        <w:rPr>
          <w:rFonts w:cs="Calibri"/>
          <w:i/>
          <w:iCs/>
          <w:lang w:eastAsia="en-GB"/>
        </w:rPr>
        <w:t>Manufacture of solid fuels and other energy industries</w:t>
      </w:r>
      <w:r w:rsidRPr="009E06AA">
        <w:rPr>
          <w:rFonts w:cs="Calibri"/>
          <w:lang w:eastAsia="en-GB"/>
        </w:rPr>
        <w:t xml:space="preserve"> to 1.A.3.e.i </w:t>
      </w:r>
      <w:r w:rsidRPr="009E06AA">
        <w:rPr>
          <w:rFonts w:cs="Calibri"/>
          <w:i/>
          <w:lang w:eastAsia="en-GB"/>
        </w:rPr>
        <w:t>Pipeline transport</w:t>
      </w:r>
      <w:r w:rsidRPr="009E06AA">
        <w:rPr>
          <w:rFonts w:cs="Calibri"/>
          <w:iCs/>
          <w:lang w:eastAsia="en-GB"/>
        </w:rPr>
        <w:t>,</w:t>
      </w:r>
      <w:r w:rsidRPr="009E06AA">
        <w:rPr>
          <w:rFonts w:cs="Calibri"/>
          <w:lang w:eastAsia="en-GB"/>
        </w:rPr>
        <w:t xml:space="preserve"> in response to feedback received from the ERT during the 2018 centralised review.</w:t>
      </w:r>
    </w:p>
    <w:p w14:paraId="4864F813" w14:textId="77777777" w:rsidR="00D97D6C" w:rsidRPr="009E06AA" w:rsidRDefault="00D97D6C" w:rsidP="00D97D6C">
      <w:pPr>
        <w:pStyle w:val="BodyText"/>
        <w:rPr>
          <w:rFonts w:cs="Calibri"/>
        </w:rPr>
      </w:pPr>
      <w:r w:rsidRPr="009E06AA">
        <w:rPr>
          <w:rFonts w:cs="Calibri"/>
        </w:rPr>
        <w:t xml:space="preserve">A recent development in </w:t>
      </w:r>
      <w:r w:rsidRPr="009E06AA">
        <w:rPr>
          <w:rFonts w:cs="Calibri"/>
          <w:lang w:eastAsia="en-GB"/>
        </w:rPr>
        <w:t>New Zealand</w:t>
      </w:r>
      <w:r w:rsidRPr="009E06AA">
        <w:rPr>
          <w:rFonts w:cs="Calibri"/>
        </w:rPr>
        <w:t xml:space="preserve"> is the emergence of a nascent aerospace industry. In </w:t>
      </w:r>
      <w:r w:rsidRPr="009E06AA">
        <w:rPr>
          <w:rFonts w:cs="Calibri"/>
          <w:lang w:eastAsia="en-GB"/>
        </w:rPr>
        <w:t>New Zealand</w:t>
      </w:r>
      <w:r w:rsidRPr="009E06AA">
        <w:rPr>
          <w:rFonts w:cs="Calibri"/>
        </w:rPr>
        <w:t>, space-related activities (launches into outer space, launch facilities, high-altitude vehicles and payloads) are overseen by the New Zealand Space Agency, based within MBIE, as regulated in legislation by the Outer Space and High-altitude Activities Act 2017. Currently, one private company is actively launching rockets from a launch complex on the Māhia Peninsula (on the east coast of</w:t>
      </w:r>
      <w:r w:rsidRPr="009E06AA">
        <w:rPr>
          <w:rFonts w:cs="Calibri"/>
          <w:lang w:eastAsia="en-GB"/>
        </w:rPr>
        <w:t xml:space="preserve"> New Zealand’s</w:t>
      </w:r>
      <w:r w:rsidRPr="009E06AA">
        <w:rPr>
          <w:rFonts w:cs="Calibri"/>
        </w:rPr>
        <w:t xml:space="preserve"> North Island) to put small satellites in orbit around Earth. The rockets use liquid oxygen and RP-1 (a form of highly-refined kerosene) as propellants.</w:t>
      </w:r>
    </w:p>
    <w:p w14:paraId="648DBB14" w14:textId="77777777" w:rsidR="00D97D6C" w:rsidRPr="009E06AA" w:rsidRDefault="00D97D6C" w:rsidP="00D97D6C">
      <w:pPr>
        <w:pStyle w:val="BodyText"/>
        <w:rPr>
          <w:rFonts w:cs="Calibri"/>
        </w:rPr>
      </w:pPr>
      <w:r w:rsidRPr="009E06AA">
        <w:rPr>
          <w:rFonts w:cs="Calibri"/>
          <w:spacing w:val="-2"/>
        </w:rPr>
        <w:t>The specific categorisation of aerospace activity within energy statistics is yet to be determined</w:t>
      </w:r>
      <w:r w:rsidRPr="009E06AA">
        <w:rPr>
          <w:rFonts w:cs="Calibri"/>
        </w:rPr>
        <w:t xml:space="preserve">, although this type of kerosene is likely classified as jet kerosene under ANZSIC code </w:t>
      </w:r>
      <w:r w:rsidRPr="009E06AA">
        <w:rPr>
          <w:rFonts w:cs="Calibri"/>
          <w:i/>
        </w:rPr>
        <w:t>I49 Air and Space Transport</w:t>
      </w:r>
      <w:r w:rsidRPr="009E06AA">
        <w:rPr>
          <w:rFonts w:cs="Calibri"/>
        </w:rPr>
        <w:t xml:space="preserve">, and so would be included within </w:t>
      </w:r>
      <w:r w:rsidRPr="009E06AA">
        <w:rPr>
          <w:rFonts w:cs="Calibri"/>
          <w:iCs/>
        </w:rPr>
        <w:t>1.A.3.a</w:t>
      </w:r>
      <w:r w:rsidRPr="009E06AA">
        <w:rPr>
          <w:rFonts w:cs="Calibri"/>
          <w:i/>
        </w:rPr>
        <w:t xml:space="preserve"> Civil aviation</w:t>
      </w:r>
      <w:r w:rsidRPr="009E06AA">
        <w:rPr>
          <w:rFonts w:cs="Calibri"/>
        </w:rPr>
        <w:t xml:space="preserve">. While the combustion characteristics of rocket engines are likely to differ somewhat from other jet-fuelled activities, no specific emission factors are provided in the 2006 IPCC Guidelines. </w:t>
      </w:r>
    </w:p>
    <w:p w14:paraId="2C4EE7BA" w14:textId="0DE34A88" w:rsidR="00D97D6C" w:rsidRPr="009E06AA" w:rsidRDefault="00D97D6C" w:rsidP="00D97D6C">
      <w:pPr>
        <w:pStyle w:val="BodyText"/>
        <w:rPr>
          <w:rFonts w:cs="Calibri"/>
        </w:rPr>
      </w:pPr>
      <w:r w:rsidRPr="009E06AA">
        <w:rPr>
          <w:rFonts w:cs="Calibri"/>
        </w:rPr>
        <w:t>The 2006 IPCC Guidelines cover emissions from civil aviation</w:t>
      </w:r>
      <w:r w:rsidR="00206328" w:rsidRPr="009E06AA">
        <w:rPr>
          <w:rFonts w:cs="Calibri"/>
        </w:rPr>
        <w:t xml:space="preserve"> </w:t>
      </w:r>
      <w:r w:rsidRPr="009E06AA">
        <w:rPr>
          <w:rFonts w:cs="Calibri"/>
        </w:rPr>
        <w:t xml:space="preserve">but do not specifically refer to aeronautics or aerospace. Ballistic vehicles, such as rockets, are usually considered to be included under aeronautics but not aviation. While the 2006 IPCC </w:t>
      </w:r>
      <w:r w:rsidRPr="009E06AA">
        <w:rPr>
          <w:rFonts w:cs="Calibri"/>
          <w:iCs/>
        </w:rPr>
        <w:t>Guidelines</w:t>
      </w:r>
      <w:r w:rsidRPr="009E06AA">
        <w:rPr>
          <w:rFonts w:cs="Calibri"/>
        </w:rPr>
        <w:t xml:space="preserve"> (volume 2, table 3.1.1) state that emissions from all remaining transport activities should be reported in </w:t>
      </w:r>
      <w:r w:rsidRPr="009E06AA">
        <w:rPr>
          <w:rFonts w:cs="Calibri"/>
          <w:iCs/>
        </w:rPr>
        <w:t>1.A.3.e</w:t>
      </w:r>
      <w:r w:rsidRPr="009E06AA">
        <w:rPr>
          <w:rFonts w:cs="Calibri"/>
          <w:i/>
        </w:rPr>
        <w:t xml:space="preserve"> Other transportation</w:t>
      </w:r>
      <w:r w:rsidRPr="009E06AA">
        <w:rPr>
          <w:rFonts w:cs="Calibri"/>
        </w:rPr>
        <w:t xml:space="preserve">, as mentioned above, the aerospace fuel activity data are currently included in </w:t>
      </w:r>
      <w:r w:rsidRPr="009E06AA">
        <w:rPr>
          <w:rFonts w:cs="Calibri"/>
          <w:iCs/>
        </w:rPr>
        <w:t xml:space="preserve">1.A.3.a </w:t>
      </w:r>
      <w:r w:rsidRPr="009E06AA">
        <w:rPr>
          <w:rFonts w:cs="Calibri"/>
          <w:i/>
        </w:rPr>
        <w:t>Civil aviation</w:t>
      </w:r>
      <w:r w:rsidRPr="009E06AA">
        <w:rPr>
          <w:rFonts w:cs="Calibri"/>
          <w:iCs/>
        </w:rPr>
        <w:t xml:space="preserve">. </w:t>
      </w:r>
      <w:r w:rsidRPr="009E06AA">
        <w:rPr>
          <w:rFonts w:cs="Calibri"/>
        </w:rPr>
        <w:t>Further justification for not disaggregating the category is commercial data confidentiality concerns due to the small number of companies operating in the sector.</w:t>
      </w:r>
    </w:p>
    <w:p w14:paraId="6A1C8EE7" w14:textId="77777777" w:rsidR="00D97D6C" w:rsidRPr="009E06AA" w:rsidRDefault="00D97D6C" w:rsidP="00D97D6C">
      <w:pPr>
        <w:pStyle w:val="Heading4"/>
        <w:rPr>
          <w:lang w:eastAsia="en-GB"/>
        </w:rPr>
      </w:pPr>
      <w:r w:rsidRPr="009E06AA">
        <w:t>Activity</w:t>
      </w:r>
      <w:r w:rsidRPr="009E06AA">
        <w:rPr>
          <w:lang w:eastAsia="en-GB"/>
        </w:rPr>
        <w:t xml:space="preserve"> data</w:t>
      </w:r>
    </w:p>
    <w:p w14:paraId="64A326EE" w14:textId="77777777" w:rsidR="00D97D6C" w:rsidRPr="009E06AA" w:rsidRDefault="00D97D6C" w:rsidP="00BF2A76">
      <w:pPr>
        <w:pStyle w:val="Heading5"/>
        <w:rPr>
          <w:lang w:eastAsia="en-GB"/>
        </w:rPr>
      </w:pPr>
      <w:r w:rsidRPr="009E06AA">
        <w:rPr>
          <w:lang w:eastAsia="en-GB"/>
        </w:rPr>
        <w:t>1.A.3.a Civil aviation</w:t>
      </w:r>
    </w:p>
    <w:p w14:paraId="621971B1" w14:textId="77777777" w:rsidR="00D97D6C" w:rsidRPr="009E06AA" w:rsidRDefault="00D97D6C" w:rsidP="00D97D6C">
      <w:pPr>
        <w:pStyle w:val="BodyText"/>
        <w:spacing w:before="100"/>
        <w:rPr>
          <w:rFonts w:cs="Calibri"/>
        </w:rPr>
      </w:pPr>
      <w:r w:rsidRPr="009E06AA">
        <w:rPr>
          <w:rFonts w:cs="Calibri"/>
          <w:lang w:eastAsia="en-GB"/>
        </w:rPr>
        <w:t xml:space="preserve">MBIE </w:t>
      </w:r>
      <w:r w:rsidRPr="009E06AA">
        <w:rPr>
          <w:rFonts w:cs="Calibri"/>
        </w:rPr>
        <w:t xml:space="preserve">currently collects data on domestic and international aviation fuel use through the </w:t>
      </w:r>
      <w:r w:rsidRPr="009E06AA">
        <w:rPr>
          <w:rFonts w:cs="Calibri"/>
          <w:iCs/>
          <w:spacing w:val="-2"/>
          <w:lang w:eastAsia="en-GB"/>
        </w:rPr>
        <w:t>DPFI</w:t>
      </w:r>
      <w:r w:rsidRPr="009E06AA">
        <w:rPr>
          <w:rFonts w:cs="Calibri"/>
        </w:rPr>
        <w:t xml:space="preserve">. The respondents to this survey are </w:t>
      </w:r>
      <w:r w:rsidRPr="009E06AA">
        <w:rPr>
          <w:rFonts w:cs="Calibri"/>
          <w:lang w:eastAsia="en-GB"/>
        </w:rPr>
        <w:t>New Zealand’s</w:t>
      </w:r>
      <w:r w:rsidRPr="009E06AA">
        <w:rPr>
          <w:rFonts w:cs="Calibri"/>
        </w:rPr>
        <w:t xml:space="preserve"> four main oil companies, namely: BP, Z Energy, ExxonMobil and Gull (Gull participates only in </w:t>
      </w:r>
      <w:r w:rsidRPr="009E06AA">
        <w:rPr>
          <w:rFonts w:cs="Calibri"/>
          <w:lang w:eastAsia="en-GB"/>
        </w:rPr>
        <w:t>gasoline</w:t>
      </w:r>
      <w:r w:rsidRPr="009E06AA">
        <w:rPr>
          <w:rFonts w:cs="Calibri"/>
        </w:rPr>
        <w:t xml:space="preserve"> and diesel sales). </w:t>
      </w:r>
    </w:p>
    <w:p w14:paraId="052B8F76" w14:textId="77777777" w:rsidR="00D97D6C" w:rsidRPr="009E06AA" w:rsidRDefault="00D97D6C" w:rsidP="00D97D6C">
      <w:pPr>
        <w:pStyle w:val="BodyText"/>
        <w:spacing w:before="100"/>
        <w:rPr>
          <w:rFonts w:cs="Calibri"/>
        </w:rPr>
      </w:pPr>
      <w:r w:rsidRPr="009E06AA">
        <w:rPr>
          <w:rFonts w:cs="Calibri"/>
          <w:lang w:eastAsia="en-GB"/>
        </w:rPr>
        <w:t xml:space="preserve">Our distinction between domestic and international flights is based on refuelling at the domestic and international terminals of New Zealand airports. </w:t>
      </w:r>
      <w:r w:rsidRPr="009E06AA">
        <w:rPr>
          <w:rFonts w:cs="Calibri"/>
        </w:rPr>
        <w:t>The allocation of aviation fuels between domestic and international segments has previously been raised by the ERT. A previous centralised review stated (UNFCCC, 2009):</w:t>
      </w:r>
    </w:p>
    <w:p w14:paraId="732B5484" w14:textId="77777777" w:rsidR="00D97D6C" w:rsidRPr="009E06AA" w:rsidRDefault="00D97D6C" w:rsidP="00550502">
      <w:pPr>
        <w:pStyle w:val="Quote"/>
        <w:spacing w:before="60" w:after="80"/>
        <w:rPr>
          <w:rFonts w:cs="Calibri"/>
        </w:rPr>
      </w:pPr>
      <w:r w:rsidRPr="009E06AA">
        <w:rPr>
          <w:rFonts w:cs="Calibri"/>
        </w:rPr>
        <w:t>The National Inventory Report (NIR) reports that the allocation of fuel consumption between domestic and international air transport is based on refuelling at the domestic and international terminals of New Zealand’s airports. Currently splitting the domestic and international components of fuels used for international flights with a domestic segment was not considered; however, the number of international flights with a domestic segment is considered to be negligible. The Expert Review Team (ERT) notes that in 2006, New Zealand began consultations with the airlines to clarify the situation and improve the relevant Activity Data (AD), and is currently working on a methodology that will allow for better international and domestic fuel use allocation. New Zealand is encouraged to adopt the new approach and report the outcome in its 2010 submissions.</w:t>
      </w:r>
    </w:p>
    <w:p w14:paraId="60564410" w14:textId="77777777" w:rsidR="00D97D6C" w:rsidRPr="009E06AA" w:rsidRDefault="00D97D6C" w:rsidP="00D97D6C">
      <w:pPr>
        <w:pStyle w:val="BodyText"/>
        <w:spacing w:before="100" w:after="100"/>
        <w:rPr>
          <w:rFonts w:cs="Calibri"/>
        </w:rPr>
      </w:pPr>
      <w:r w:rsidRPr="009E06AA">
        <w:rPr>
          <w:rFonts w:cs="Calibri"/>
        </w:rPr>
        <w:t xml:space="preserve">In the </w:t>
      </w:r>
      <w:r w:rsidRPr="009E06AA">
        <w:rPr>
          <w:rFonts w:cs="Calibri"/>
          <w:iCs/>
          <w:spacing w:val="-2"/>
          <w:lang w:eastAsia="en-GB"/>
        </w:rPr>
        <w:t>DPFI</w:t>
      </w:r>
      <w:r w:rsidRPr="009E06AA">
        <w:rPr>
          <w:rFonts w:cs="Calibri"/>
        </w:rPr>
        <w:t xml:space="preserve">, the oil companies report quantities of different fuels (jet A1, aviation gasoline and kerosene, among others) used for the purposes of international and domestic transport. The companies have indicated that they allocate the fuel to international or domestic transport based on whether or not they are legally required to charge goods and services tax (GST) on the activity; GST is not applied when the destination of a flight is outside of </w:t>
      </w:r>
      <w:r w:rsidRPr="009E06AA">
        <w:rPr>
          <w:rFonts w:cs="Calibri"/>
          <w:lang w:eastAsia="en-GB"/>
        </w:rPr>
        <w:t>New Zealand</w:t>
      </w:r>
      <w:r w:rsidRPr="009E06AA">
        <w:rPr>
          <w:rFonts w:cs="Calibri"/>
        </w:rPr>
        <w:t xml:space="preserve">. </w:t>
      </w:r>
    </w:p>
    <w:p w14:paraId="687DFA3E" w14:textId="77777777" w:rsidR="00D97D6C" w:rsidRPr="009E06AA" w:rsidRDefault="00D97D6C" w:rsidP="00D97D6C">
      <w:pPr>
        <w:pStyle w:val="BodyText"/>
        <w:spacing w:before="100" w:after="100"/>
        <w:rPr>
          <w:rFonts w:cs="Calibri"/>
        </w:rPr>
      </w:pPr>
      <w:r w:rsidRPr="009E06AA">
        <w:rPr>
          <w:rFonts w:cs="Calibri"/>
        </w:rPr>
        <w:t xml:space="preserve">Some international flights from </w:t>
      </w:r>
      <w:r w:rsidRPr="009E06AA">
        <w:rPr>
          <w:rFonts w:cs="Calibri"/>
          <w:lang w:eastAsia="en-GB"/>
        </w:rPr>
        <w:t>New Zealand</w:t>
      </w:r>
      <w:r w:rsidRPr="009E06AA">
        <w:rPr>
          <w:rFonts w:cs="Calibri"/>
        </w:rPr>
        <w:t xml:space="preserve"> contain a domestic leg, for example, Christchurch–Auckland–Tokyo. Industry practice is to refuel at both points with sufficient fuel to reach the next destination so that the domestic leg will be coded appropriately. By this logic, the domestic leg will attract GST so the fuel use will therefore be coded as domestic, and the international leg, which does not attract GST, will be coded as international.</w:t>
      </w:r>
    </w:p>
    <w:p w14:paraId="43F613F6" w14:textId="77777777" w:rsidR="00D97D6C" w:rsidRPr="009E06AA" w:rsidRDefault="00D97D6C" w:rsidP="00D97D6C">
      <w:pPr>
        <w:pStyle w:val="BodyText"/>
        <w:spacing w:before="100" w:after="100"/>
        <w:rPr>
          <w:rFonts w:cs="Calibri"/>
        </w:rPr>
      </w:pPr>
      <w:r w:rsidRPr="009E06AA">
        <w:rPr>
          <w:rFonts w:cs="Calibri"/>
        </w:rPr>
        <w:t xml:space="preserve">Although this is a supply-side approach, MBIE believes the split of international and domestic transport to be accurate because BP, Z Energy and ExxonMobil supply 100 per cent of the aviation fuels market in </w:t>
      </w:r>
      <w:r w:rsidRPr="009E06AA">
        <w:rPr>
          <w:rFonts w:cs="Calibri"/>
          <w:lang w:eastAsia="en-GB"/>
        </w:rPr>
        <w:t>New Zealand</w:t>
      </w:r>
      <w:r w:rsidRPr="009E06AA">
        <w:rPr>
          <w:rFonts w:cs="Calibri"/>
        </w:rPr>
        <w:t xml:space="preserve">. Based on the above findings and consultation, MBIE believes the current data-collection methodology is sufficiently robust to ensure all the domestic aviation fuels are reported accordingly and to avoid missing or misallocation of domestic fuel use. </w:t>
      </w:r>
    </w:p>
    <w:p w14:paraId="52688C5F" w14:textId="77777777" w:rsidR="00D97D6C" w:rsidRPr="009E06AA" w:rsidRDefault="00D97D6C" w:rsidP="00BF2A76">
      <w:pPr>
        <w:pStyle w:val="Heading5"/>
        <w:rPr>
          <w:lang w:eastAsia="en-GB"/>
        </w:rPr>
      </w:pPr>
      <w:r w:rsidRPr="009E06AA">
        <w:rPr>
          <w:lang w:eastAsia="en-GB"/>
        </w:rPr>
        <w:t>1.A.3.b Road transportation</w:t>
      </w:r>
    </w:p>
    <w:p w14:paraId="0FDE07B5" w14:textId="77777777" w:rsidR="00D97D6C" w:rsidRPr="009E06AA" w:rsidRDefault="00D97D6C" w:rsidP="00550502">
      <w:pPr>
        <w:pStyle w:val="BodyText"/>
        <w:spacing w:before="100" w:after="100"/>
        <w:rPr>
          <w:rFonts w:cs="Calibri"/>
          <w:lang w:eastAsia="en-GB"/>
        </w:rPr>
      </w:pPr>
      <w:r w:rsidRPr="009E06AA">
        <w:rPr>
          <w:rFonts w:cs="Calibri"/>
          <w:lang w:eastAsia="en-GB"/>
        </w:rPr>
        <w:t xml:space="preserve">Activity data for the </w:t>
      </w:r>
      <w:r w:rsidRPr="009E06AA">
        <w:rPr>
          <w:rFonts w:cs="Calibri"/>
          <w:i/>
          <w:lang w:eastAsia="en-GB"/>
        </w:rPr>
        <w:t>Road transportation</w:t>
      </w:r>
      <w:r w:rsidRPr="009E06AA">
        <w:rPr>
          <w:rFonts w:cs="Calibri"/>
          <w:lang w:eastAsia="en-GB"/>
        </w:rPr>
        <w:t xml:space="preserve"> category are provided by the Ministry of Transport’s six-monthly fleet data and MBIE’s national energy statistics. For more information on the use of vehicle fleet data for estimating non-CO</w:t>
      </w:r>
      <w:r w:rsidRPr="009E06AA">
        <w:rPr>
          <w:rFonts w:cs="Calibri"/>
          <w:vertAlign w:val="subscript"/>
          <w:lang w:eastAsia="en-GB"/>
        </w:rPr>
        <w:t xml:space="preserve">2 </w:t>
      </w:r>
      <w:r w:rsidRPr="009E06AA">
        <w:rPr>
          <w:rFonts w:cs="Calibri"/>
          <w:lang w:eastAsia="en-GB"/>
        </w:rPr>
        <w:t>emissions, see ‘Methodological issues’ above.</w:t>
      </w:r>
    </w:p>
    <w:p w14:paraId="53DA7382" w14:textId="77777777" w:rsidR="00D97D6C" w:rsidRPr="009E06AA" w:rsidRDefault="00D97D6C" w:rsidP="00550502">
      <w:pPr>
        <w:pStyle w:val="BodyText"/>
        <w:spacing w:before="100" w:after="100"/>
        <w:rPr>
          <w:rFonts w:cs="Calibri"/>
          <w:lang w:eastAsia="en-GB"/>
        </w:rPr>
      </w:pPr>
      <w:r w:rsidRPr="009E06AA">
        <w:rPr>
          <w:rFonts w:cs="Calibri"/>
          <w:lang w:eastAsia="en-GB"/>
        </w:rPr>
        <w:t xml:space="preserve">Activity data for the </w:t>
      </w:r>
      <w:r w:rsidRPr="009E06AA">
        <w:rPr>
          <w:rFonts w:cs="Calibri"/>
          <w:i/>
          <w:lang w:eastAsia="en-GB"/>
        </w:rPr>
        <w:t>Transport</w:t>
      </w:r>
      <w:r w:rsidRPr="009E06AA">
        <w:rPr>
          <w:rFonts w:cs="Calibri"/>
          <w:lang w:eastAsia="en-GB"/>
        </w:rPr>
        <w:t xml:space="preserve"> category were sourced from the </w:t>
      </w:r>
      <w:r w:rsidRPr="009E06AA">
        <w:rPr>
          <w:rFonts w:cs="Calibri"/>
          <w:iCs/>
          <w:spacing w:val="-2"/>
          <w:lang w:eastAsia="en-GB"/>
        </w:rPr>
        <w:t>DPFI</w:t>
      </w:r>
      <w:r w:rsidRPr="009E06AA">
        <w:rPr>
          <w:rFonts w:cs="Calibri"/>
          <w:iCs/>
          <w:lang w:eastAsia="en-GB"/>
        </w:rPr>
        <w:t xml:space="preserve"> </w:t>
      </w:r>
      <w:r w:rsidRPr="009E06AA">
        <w:rPr>
          <w:rFonts w:cs="Calibri"/>
          <w:lang w:eastAsia="en-GB"/>
        </w:rPr>
        <w:t xml:space="preserve">conducted by MBIE. LPG and CNG consumption figures are reported </w:t>
      </w:r>
      <w:r w:rsidRPr="009E06AA">
        <w:rPr>
          <w:rFonts w:cs="Calibri"/>
          <w:iCs/>
          <w:lang w:eastAsia="en-GB"/>
        </w:rPr>
        <w:t>online by</w:t>
      </w:r>
      <w:r w:rsidRPr="009E06AA">
        <w:rPr>
          <w:rFonts w:cs="Calibri"/>
        </w:rPr>
        <w:t> </w:t>
      </w:r>
      <w:r w:rsidRPr="009E06AA">
        <w:rPr>
          <w:rFonts w:cs="Calibri"/>
          <w:lang w:eastAsia="en-GB"/>
        </w:rPr>
        <w:t>MBIE.</w:t>
      </w:r>
    </w:p>
    <w:p w14:paraId="7E8E2A60" w14:textId="77777777" w:rsidR="00D97D6C" w:rsidRPr="009E06AA" w:rsidRDefault="00D97D6C" w:rsidP="00550502">
      <w:pPr>
        <w:pStyle w:val="BodyText"/>
        <w:spacing w:before="100" w:after="100"/>
        <w:rPr>
          <w:rFonts w:cs="Calibri"/>
        </w:rPr>
      </w:pPr>
      <w:r w:rsidRPr="009E06AA">
        <w:rPr>
          <w:rFonts w:cs="Calibri"/>
          <w:spacing w:val="-2"/>
        </w:rPr>
        <w:t xml:space="preserve">As mentioned in section 3.2.2, this inventory continues to use the results of the </w:t>
      </w:r>
      <w:r w:rsidRPr="009E06AA">
        <w:rPr>
          <w:rFonts w:cs="Calibri"/>
          <w:iCs/>
          <w:spacing w:val="-2"/>
        </w:rPr>
        <w:t>Annual Liquid Fuel Survey</w:t>
      </w:r>
      <w:r w:rsidRPr="009E06AA">
        <w:rPr>
          <w:rFonts w:cs="Calibri"/>
          <w:spacing w:val="-2"/>
        </w:rPr>
        <w:t xml:space="preserve"> that began in 2009. The purpose of this survey is to capture the allocation of fuel resold by small independent resellers. In recent years, these independent resellers have accounted for around 30 per cent of national diesel sales and around 8 per cent of national gasoline sales.</w:t>
      </w:r>
      <w:r w:rsidRPr="009E06AA">
        <w:rPr>
          <w:rFonts w:cs="Calibri"/>
        </w:rPr>
        <w:t xml:space="preserve"> As a result of resale data captured by this survey, emissions that would otherwise be reported in category 1.A.3.b </w:t>
      </w:r>
      <w:r w:rsidRPr="009E06AA">
        <w:rPr>
          <w:rFonts w:cs="Calibri"/>
          <w:i/>
        </w:rPr>
        <w:t>Road transportation</w:t>
      </w:r>
      <w:r w:rsidRPr="009E06AA">
        <w:rPr>
          <w:rFonts w:cs="Calibri"/>
        </w:rPr>
        <w:t xml:space="preserve"> are allocated to the correct category. For time-series consistency, these reallocations were also made from 1990 to 2008, before the collection of data on the resale of liquid fuel by independent distributors.</w:t>
      </w:r>
    </w:p>
    <w:p w14:paraId="2EFC9126" w14:textId="77777777" w:rsidR="00D97D6C" w:rsidRPr="009E06AA" w:rsidRDefault="00D97D6C" w:rsidP="00DA355E">
      <w:pPr>
        <w:pStyle w:val="BodyText"/>
        <w:spacing w:before="100" w:after="100"/>
        <w:rPr>
          <w:rFonts w:cs="Calibri"/>
        </w:rPr>
      </w:pPr>
      <w:r w:rsidRPr="009E06AA">
        <w:rPr>
          <w:rFonts w:cs="Calibri"/>
        </w:rPr>
        <w:t xml:space="preserve">The diesel activity data for the </w:t>
      </w:r>
      <w:r w:rsidRPr="009E06AA">
        <w:rPr>
          <w:rFonts w:cs="Calibri"/>
          <w:i/>
        </w:rPr>
        <w:t>Road transport</w:t>
      </w:r>
      <w:r w:rsidRPr="009E06AA">
        <w:rPr>
          <w:rFonts w:cs="Calibri"/>
        </w:rPr>
        <w:t xml:space="preserve"> category are assumed to be the diesel reported for domestic transport, less that reported by KiwiRail</w:t>
      </w:r>
      <w:r w:rsidRPr="009E06AA">
        <w:rPr>
          <w:rFonts w:cs="Calibri"/>
          <w:lang w:eastAsia="en-GB"/>
        </w:rPr>
        <w:t>, the operator of national rail services in New Zealand,</w:t>
      </w:r>
      <w:r w:rsidRPr="009E06AA">
        <w:rPr>
          <w:rFonts w:cs="Calibri"/>
        </w:rPr>
        <w:t xml:space="preserve"> in 1.A.3.c </w:t>
      </w:r>
      <w:r w:rsidRPr="009E06AA">
        <w:rPr>
          <w:rFonts w:cs="Calibri"/>
          <w:i/>
        </w:rPr>
        <w:t>Railways</w:t>
      </w:r>
      <w:r w:rsidRPr="009E06AA">
        <w:rPr>
          <w:rFonts w:cs="Calibri"/>
        </w:rPr>
        <w:t xml:space="preserve"> and 1.A.3.d </w:t>
      </w:r>
      <w:r w:rsidRPr="009E06AA">
        <w:rPr>
          <w:rFonts w:cs="Calibri"/>
          <w:i/>
        </w:rPr>
        <w:t>Domestic navigation</w:t>
      </w:r>
      <w:r w:rsidRPr="009E06AA">
        <w:rPr>
          <w:rFonts w:cs="Calibri"/>
        </w:rPr>
        <w:t xml:space="preserve">, discussed below. </w:t>
      </w:r>
    </w:p>
    <w:p w14:paraId="2A59246A" w14:textId="77777777" w:rsidR="00D97D6C" w:rsidRPr="009E06AA" w:rsidRDefault="00D97D6C" w:rsidP="00DA355E">
      <w:pPr>
        <w:pStyle w:val="BodyText"/>
        <w:spacing w:before="100" w:after="100"/>
        <w:rPr>
          <w:rFonts w:cs="Calibri"/>
        </w:rPr>
      </w:pPr>
      <w:r w:rsidRPr="009E06AA">
        <w:rPr>
          <w:rFonts w:cs="Calibri"/>
        </w:rPr>
        <w:t>The fuel sold data have been validated by estimating fuel consumption based on vehicle kilometres using a vehicle fleet model. Over the past decade, the fuel quantity from the fuel use data has been larger than that estimated using kilometres travelled. Several factors can contribute to differences between the two methods, for example, fuel sold by retailers that is then used for off-road purposes, and the real-world fuel efficiencies of vehicles differing from assumptions used in the vehicle fleet model. Across the time series (2001–15), the average difference is 1.5 per cent for gasoline and 4.8 per cent for diesel, which shows that the methods align very closely. This level of agreement compares favourably with the fuel data of other countries.</w:t>
      </w:r>
    </w:p>
    <w:p w14:paraId="38D6C688" w14:textId="77777777" w:rsidR="00D97D6C" w:rsidRPr="009E06AA" w:rsidRDefault="00D97D6C" w:rsidP="00DA355E">
      <w:pPr>
        <w:pStyle w:val="BodyText"/>
        <w:spacing w:before="100" w:after="100"/>
        <w:rPr>
          <w:rFonts w:cs="Calibri"/>
        </w:rPr>
      </w:pPr>
      <w:r w:rsidRPr="009E06AA">
        <w:t xml:space="preserve">MBIE receives import–export and excise data on liquid biofuels from the New Zealand Customs </w:t>
      </w:r>
      <w:r w:rsidRPr="009E06AA">
        <w:rPr>
          <w:spacing w:val="-2"/>
        </w:rPr>
        <w:t>Service and sales data from major fuel companies. In December 2012 the Biofuel Sales Obligation</w:t>
      </w:r>
      <w:r w:rsidRPr="009E06AA">
        <w:t xml:space="preserve"> was abolished and in June 2012 the Biodiesels Grant Scheme was removed. Following their removal, biodiesel use fell significantly and has remained relatively stagnant since.</w:t>
      </w:r>
    </w:p>
    <w:p w14:paraId="228B28F3" w14:textId="77777777" w:rsidR="00D97D6C" w:rsidRPr="009E06AA" w:rsidRDefault="00D97D6C" w:rsidP="00BF2A76">
      <w:pPr>
        <w:pStyle w:val="Heading5"/>
        <w:rPr>
          <w:lang w:eastAsia="en-GB"/>
        </w:rPr>
      </w:pPr>
      <w:r w:rsidRPr="009E06AA">
        <w:rPr>
          <w:lang w:eastAsia="en-GB"/>
        </w:rPr>
        <w:t>1.A.3.c Railways</w:t>
      </w:r>
    </w:p>
    <w:p w14:paraId="4FAEA813" w14:textId="77777777" w:rsidR="00D97D6C" w:rsidRPr="009E06AA" w:rsidRDefault="00D97D6C" w:rsidP="00DA355E">
      <w:pPr>
        <w:pStyle w:val="BodyText"/>
        <w:spacing w:before="100" w:after="100"/>
        <w:rPr>
          <w:rFonts w:cs="Calibri"/>
          <w:lang w:eastAsia="en-GB"/>
        </w:rPr>
      </w:pPr>
      <w:r w:rsidRPr="009E06AA">
        <w:rPr>
          <w:rFonts w:cs="Calibri"/>
          <w:lang w:eastAsia="en-GB"/>
        </w:rPr>
        <w:t xml:space="preserve">Activity data for fuel used in this category are obtained directly from KiwiRail. This also includes diesel sold to the metropolitan service operated by Veolia in Auckland. </w:t>
      </w:r>
    </w:p>
    <w:p w14:paraId="7A72CAC6" w14:textId="77777777" w:rsidR="00D97D6C" w:rsidRPr="009E06AA" w:rsidRDefault="00D97D6C" w:rsidP="00BF2A76">
      <w:pPr>
        <w:pStyle w:val="Heading5"/>
      </w:pPr>
      <w:r w:rsidRPr="009E06AA">
        <w:rPr>
          <w:lang w:eastAsia="en-GB"/>
        </w:rPr>
        <w:t xml:space="preserve">1.A.3.d Domestic navigation </w:t>
      </w:r>
    </w:p>
    <w:p w14:paraId="20DA0106" w14:textId="77777777" w:rsidR="00D97D6C" w:rsidRPr="009E06AA" w:rsidRDefault="00D97D6C" w:rsidP="00DA355E">
      <w:pPr>
        <w:pStyle w:val="BodyText"/>
        <w:spacing w:before="100" w:after="100"/>
        <w:rPr>
          <w:rFonts w:cs="Calibri"/>
          <w:lang w:eastAsia="en-GB"/>
        </w:rPr>
      </w:pPr>
      <w:r w:rsidRPr="009E06AA">
        <w:rPr>
          <w:rFonts w:cs="Calibri"/>
          <w:lang w:eastAsia="en-GB"/>
        </w:rPr>
        <w:t xml:space="preserve">Activity data for fuel oil use in domestic transport are sourced from the quarterly </w:t>
      </w:r>
      <w:r w:rsidRPr="009E06AA">
        <w:rPr>
          <w:rFonts w:cs="Calibri"/>
          <w:iCs/>
          <w:spacing w:val="-2"/>
          <w:lang w:eastAsia="en-GB"/>
        </w:rPr>
        <w:t>DPFI</w:t>
      </w:r>
      <w:r w:rsidRPr="009E06AA">
        <w:rPr>
          <w:rFonts w:cs="Calibri"/>
          <w:i/>
          <w:iCs/>
          <w:lang w:eastAsia="en-GB"/>
        </w:rPr>
        <w:t xml:space="preserve"> </w:t>
      </w:r>
      <w:r w:rsidRPr="009E06AA">
        <w:rPr>
          <w:rFonts w:cs="Calibri"/>
          <w:lang w:eastAsia="en-GB"/>
        </w:rPr>
        <w:t xml:space="preserve">conducted by MBIE. The DPFI provides monthly marine diesel supply figures that are added to diesel consumption data provided by KiwiRail (also the operator of the Interislander ferry service) to obtain total diesel consumption in the </w:t>
      </w:r>
      <w:r w:rsidRPr="009E06AA">
        <w:rPr>
          <w:rFonts w:cs="Calibri"/>
          <w:i/>
          <w:lang w:eastAsia="en-GB"/>
        </w:rPr>
        <w:t>Domestic navigation</w:t>
      </w:r>
      <w:r w:rsidRPr="009E06AA">
        <w:rPr>
          <w:rFonts w:cs="Calibri"/>
          <w:lang w:eastAsia="en-GB"/>
        </w:rPr>
        <w:t xml:space="preserve"> category. New Zealand-specific emission factors have been used to estimate </w:t>
      </w:r>
      <w:r w:rsidRPr="009E06AA">
        <w:rPr>
          <w:rFonts w:cs="Calibri"/>
        </w:rPr>
        <w:t>CO</w:t>
      </w:r>
      <w:r w:rsidRPr="009E06AA">
        <w:rPr>
          <w:rFonts w:cs="Calibri"/>
          <w:vertAlign w:val="subscript"/>
        </w:rPr>
        <w:t>2</w:t>
      </w:r>
      <w:r w:rsidRPr="009E06AA">
        <w:rPr>
          <w:rFonts w:cs="Calibri"/>
          <w:sz w:val="14"/>
          <w:szCs w:val="14"/>
          <w:lang w:eastAsia="en-GB"/>
        </w:rPr>
        <w:t xml:space="preserve"> </w:t>
      </w:r>
      <w:r w:rsidRPr="009E06AA">
        <w:rPr>
          <w:rFonts w:cs="Calibri"/>
          <w:lang w:eastAsia="en-GB"/>
        </w:rPr>
        <w:t xml:space="preserve">emissions and, because of insufficient </w:t>
      </w:r>
      <w:r w:rsidRPr="009E06AA">
        <w:rPr>
          <w:rFonts w:cs="Calibri"/>
          <w:spacing w:val="-2"/>
          <w:lang w:eastAsia="en-GB"/>
        </w:rPr>
        <w:t xml:space="preserve">data, the IPCC 2006 default emission factors have been used to estimate </w:t>
      </w:r>
      <w:r w:rsidRPr="009E06AA">
        <w:rPr>
          <w:rFonts w:cs="Calibri"/>
          <w:spacing w:val="-2"/>
        </w:rPr>
        <w:t>CH</w:t>
      </w:r>
      <w:r w:rsidRPr="009E06AA">
        <w:rPr>
          <w:rFonts w:cs="Calibri"/>
          <w:spacing w:val="-2"/>
          <w:vertAlign w:val="subscript"/>
        </w:rPr>
        <w:t>4</w:t>
      </w:r>
      <w:r w:rsidRPr="009E06AA">
        <w:rPr>
          <w:rFonts w:cs="Calibri"/>
          <w:spacing w:val="-2"/>
          <w:sz w:val="14"/>
          <w:szCs w:val="14"/>
          <w:lang w:eastAsia="en-GB"/>
        </w:rPr>
        <w:t xml:space="preserve"> </w:t>
      </w:r>
      <w:r w:rsidRPr="009E06AA">
        <w:rPr>
          <w:rFonts w:cs="Calibri"/>
          <w:spacing w:val="-2"/>
          <w:lang w:eastAsia="en-GB"/>
        </w:rPr>
        <w:t xml:space="preserve">and </w:t>
      </w:r>
      <w:r w:rsidRPr="009E06AA">
        <w:rPr>
          <w:rFonts w:cs="Calibri"/>
          <w:spacing w:val="-2"/>
        </w:rPr>
        <w:t>N</w:t>
      </w:r>
      <w:r w:rsidRPr="009E06AA">
        <w:rPr>
          <w:rFonts w:cs="Calibri"/>
          <w:spacing w:val="-2"/>
          <w:vertAlign w:val="subscript"/>
        </w:rPr>
        <w:t>2</w:t>
      </w:r>
      <w:r w:rsidRPr="009E06AA">
        <w:rPr>
          <w:rFonts w:cs="Calibri"/>
          <w:spacing w:val="-2"/>
        </w:rPr>
        <w:t>O</w:t>
      </w:r>
      <w:r w:rsidRPr="009E06AA">
        <w:rPr>
          <w:rFonts w:cs="Calibri"/>
          <w:spacing w:val="-2"/>
          <w:lang w:eastAsia="en-GB"/>
        </w:rPr>
        <w:t xml:space="preserve"> emissions</w:t>
      </w:r>
      <w:r w:rsidRPr="009E06AA">
        <w:rPr>
          <w:rFonts w:cs="Calibri"/>
          <w:lang w:eastAsia="en-GB"/>
        </w:rPr>
        <w:t>.</w:t>
      </w:r>
    </w:p>
    <w:p w14:paraId="6665F6A7" w14:textId="77777777" w:rsidR="00D97D6C" w:rsidRPr="009E06AA" w:rsidRDefault="00D97D6C" w:rsidP="00DA355E">
      <w:pPr>
        <w:pStyle w:val="BodyText"/>
        <w:spacing w:before="100" w:after="100"/>
        <w:rPr>
          <w:rFonts w:cs="Calibri"/>
        </w:rPr>
      </w:pPr>
      <w:r w:rsidRPr="009E06AA">
        <w:rPr>
          <w:rFonts w:cs="Calibri"/>
          <w:lang w:eastAsia="en-GB"/>
        </w:rPr>
        <w:t xml:space="preserve">Fuel sales to domestic navigation and international marine bunkers are reported separately in national energy data surveys. </w:t>
      </w:r>
    </w:p>
    <w:p w14:paraId="70B45CB3" w14:textId="77777777" w:rsidR="00D97D6C" w:rsidRPr="009E06AA" w:rsidRDefault="00D97D6C" w:rsidP="00DA355E">
      <w:pPr>
        <w:pStyle w:val="BodyText"/>
        <w:spacing w:before="100" w:after="100"/>
        <w:rPr>
          <w:rFonts w:cs="Calibri"/>
        </w:rPr>
      </w:pPr>
      <w:r w:rsidRPr="009E06AA">
        <w:rPr>
          <w:rFonts w:cs="Calibri"/>
        </w:rPr>
        <w:t xml:space="preserve">Historically, the Marsden Point Oil Refinery produced marine diesel oil (MDO). Production of </w:t>
      </w:r>
      <w:r w:rsidRPr="009E06AA">
        <w:rPr>
          <w:rFonts w:cs="Calibri"/>
          <w:spacing w:val="-2"/>
        </w:rPr>
        <w:t>MDO at the refinery stopped in late 2006. Data collected from the operators of the Interislander</w:t>
      </w:r>
      <w:r w:rsidRPr="009E06AA">
        <w:rPr>
          <w:rFonts w:cs="Calibri"/>
        </w:rPr>
        <w:t xml:space="preserve"> ferry service (KiwiRail) have not included MDO use since 2006. The end of the collection of these data coincided with this operator ceasing a ‘fast ferry’ service (which ran on MDO) between the North Island and South Island. In comparison, the remainder of its fleet runs on fuel oil.</w:t>
      </w:r>
    </w:p>
    <w:p w14:paraId="52553EC7" w14:textId="49B5341C" w:rsidR="00D97D6C" w:rsidRPr="009E06AA" w:rsidRDefault="00D97D6C" w:rsidP="00DA355E">
      <w:pPr>
        <w:pStyle w:val="BodyText"/>
        <w:spacing w:before="100" w:after="100"/>
        <w:rPr>
          <w:rFonts w:cs="Calibri"/>
          <w:lang w:eastAsia="en-GB"/>
        </w:rPr>
      </w:pPr>
      <w:r w:rsidRPr="009E06AA">
        <w:rPr>
          <w:rFonts w:cs="Calibri"/>
        </w:rPr>
        <w:t>No significant quantity of diesel is</w:t>
      </w:r>
      <w:r w:rsidR="00206328" w:rsidRPr="009E06AA">
        <w:rPr>
          <w:rFonts w:cs="Calibri"/>
        </w:rPr>
        <w:t xml:space="preserve"> </w:t>
      </w:r>
      <w:r w:rsidRPr="009E06AA">
        <w:rPr>
          <w:rFonts w:cs="Calibri"/>
        </w:rPr>
        <w:t xml:space="preserve">used for commercial domestic navigation in </w:t>
      </w:r>
      <w:r w:rsidRPr="009E06AA">
        <w:rPr>
          <w:rFonts w:cs="Calibri"/>
          <w:lang w:eastAsia="en-GB"/>
        </w:rPr>
        <w:t>New Zealand</w:t>
      </w:r>
      <w:r w:rsidRPr="009E06AA">
        <w:rPr>
          <w:rFonts w:cs="Calibri"/>
        </w:rPr>
        <w:t>. Smaller quantities of diesel may be used in private and/or recreational vessels, but this is difficult to estimate. The DPFI would capture these sales as road transport.</w:t>
      </w:r>
    </w:p>
    <w:p w14:paraId="2B564CF5" w14:textId="77777777" w:rsidR="00D97D6C" w:rsidRPr="009E06AA" w:rsidRDefault="00D97D6C" w:rsidP="00D97D6C">
      <w:pPr>
        <w:pStyle w:val="Heading4"/>
      </w:pPr>
      <w:r w:rsidRPr="009E06AA">
        <w:t>Uncertainty assessment and time-series consistency</w:t>
      </w:r>
    </w:p>
    <w:p w14:paraId="28D325BA" w14:textId="77777777" w:rsidR="00D97D6C" w:rsidRPr="009E06AA" w:rsidRDefault="00D97D6C" w:rsidP="00550502">
      <w:pPr>
        <w:pStyle w:val="BodyText"/>
        <w:rPr>
          <w:lang w:eastAsia="en-GB"/>
        </w:rPr>
      </w:pPr>
      <w:r w:rsidRPr="009E06AA">
        <w:rPr>
          <w:lang w:eastAsia="en-GB"/>
        </w:rPr>
        <w:t xml:space="preserve">Uncertainties in </w:t>
      </w:r>
      <w:r w:rsidRPr="009E06AA">
        <w:t>emission</w:t>
      </w:r>
      <w:r w:rsidRPr="009E06AA">
        <w:rPr>
          <w:lang w:eastAsia="en-GB"/>
        </w:rPr>
        <w:t xml:space="preserve"> estimates from the </w:t>
      </w:r>
      <w:r w:rsidRPr="009E06AA">
        <w:rPr>
          <w:i/>
          <w:lang w:eastAsia="en-GB"/>
        </w:rPr>
        <w:t>Transport</w:t>
      </w:r>
      <w:r w:rsidRPr="009E06AA">
        <w:rPr>
          <w:lang w:eastAsia="en-GB"/>
        </w:rPr>
        <w:t xml:space="preserve"> category are relevant to the entire </w:t>
      </w:r>
      <w:r w:rsidRPr="009E06AA">
        <w:rPr>
          <w:i/>
          <w:lang w:eastAsia="en-GB"/>
        </w:rPr>
        <w:t>Fuel combustion</w:t>
      </w:r>
      <w:r w:rsidRPr="009E06AA">
        <w:rPr>
          <w:lang w:eastAsia="en-GB"/>
        </w:rPr>
        <w:t xml:space="preserve"> sector (see table 3.2.1).</w:t>
      </w:r>
    </w:p>
    <w:p w14:paraId="475B186D" w14:textId="77777777" w:rsidR="00D97D6C" w:rsidRPr="009E06AA" w:rsidRDefault="00D97D6C" w:rsidP="00D97D6C">
      <w:pPr>
        <w:pStyle w:val="Heading4"/>
      </w:pPr>
      <w:r w:rsidRPr="009E06AA">
        <w:t>Category-specific QA/QC and verification</w:t>
      </w:r>
    </w:p>
    <w:p w14:paraId="0CC4EEDC" w14:textId="77777777" w:rsidR="00D97D6C" w:rsidRPr="009E06AA" w:rsidRDefault="00D97D6C" w:rsidP="00550502">
      <w:pPr>
        <w:pStyle w:val="BodyText"/>
      </w:pPr>
      <w:r w:rsidRPr="009E06AA">
        <w:rPr>
          <w:spacing w:val="-2"/>
          <w:lang w:eastAsia="en-GB"/>
        </w:rPr>
        <w:t xml:space="preserve">In the preparation of this inventory, the </w:t>
      </w:r>
      <w:r w:rsidRPr="009E06AA">
        <w:rPr>
          <w:i/>
          <w:spacing w:val="-2"/>
          <w:lang w:eastAsia="en-GB"/>
        </w:rPr>
        <w:t>Transport</w:t>
      </w:r>
      <w:r w:rsidRPr="009E06AA">
        <w:rPr>
          <w:spacing w:val="-2"/>
          <w:lang w:eastAsia="en-GB"/>
        </w:rPr>
        <w:t xml:space="preserve"> category underwent Tier 1 quality-assurance</w:t>
      </w:r>
      <w:r w:rsidRPr="009E06AA">
        <w:rPr>
          <w:lang w:eastAsia="en-GB"/>
        </w:rPr>
        <w:t xml:space="preserve"> and quality-control checks as recommended in the 2006 IPCC Guidelines. These include regular control sums throughout systems, to verify system integrity, and time-series consistency checks.</w:t>
      </w:r>
    </w:p>
    <w:p w14:paraId="7A0C188E" w14:textId="77777777" w:rsidR="00D97D6C" w:rsidRPr="009E06AA" w:rsidRDefault="00D97D6C" w:rsidP="00550502">
      <w:pPr>
        <w:pStyle w:val="BodyText"/>
        <w:rPr>
          <w:lang w:eastAsia="en-GB"/>
        </w:rPr>
      </w:pPr>
      <w:r w:rsidRPr="009E06AA">
        <w:rPr>
          <w:lang w:eastAsia="en-GB"/>
        </w:rPr>
        <w:t xml:space="preserve">Comparisons of international implied emission factors across the time series (1990–2012), and those resulting from the new Tier 3 methodology for </w:t>
      </w:r>
      <w:r w:rsidRPr="009E06AA">
        <w:t>CH</w:t>
      </w:r>
      <w:r w:rsidRPr="009E06AA">
        <w:rPr>
          <w:vertAlign w:val="subscript"/>
        </w:rPr>
        <w:t>4</w:t>
      </w:r>
      <w:r w:rsidRPr="009E06AA">
        <w:rPr>
          <w:lang w:eastAsia="en-GB"/>
        </w:rPr>
        <w:t xml:space="preserve"> and </w:t>
      </w:r>
      <w:r w:rsidRPr="009E06AA">
        <w:t>N</w:t>
      </w:r>
      <w:r w:rsidRPr="009E06AA">
        <w:rPr>
          <w:vertAlign w:val="subscript"/>
        </w:rPr>
        <w:t>2</w:t>
      </w:r>
      <w:r w:rsidRPr="009E06AA">
        <w:t>O</w:t>
      </w:r>
      <w:r w:rsidRPr="009E06AA">
        <w:rPr>
          <w:lang w:eastAsia="en-GB"/>
        </w:rPr>
        <w:t xml:space="preserve"> emissions from road transport, were made using data from the United Nations Framework Convention on Climate Change website. </w:t>
      </w:r>
    </w:p>
    <w:p w14:paraId="3D16E6FD" w14:textId="77777777" w:rsidR="00D97D6C" w:rsidRPr="009E06AA" w:rsidRDefault="00D97D6C" w:rsidP="00D97D6C">
      <w:pPr>
        <w:pStyle w:val="Heading4"/>
      </w:pPr>
      <w:r w:rsidRPr="009E06AA">
        <w:t>Category-specific recalculations</w:t>
      </w:r>
    </w:p>
    <w:p w14:paraId="32A844DD" w14:textId="77777777" w:rsidR="00D97D6C" w:rsidRPr="009E06AA" w:rsidRDefault="00D97D6C" w:rsidP="00550502">
      <w:pPr>
        <w:pStyle w:val="BodyText"/>
        <w:rPr>
          <w:lang w:eastAsia="en-GB"/>
        </w:rPr>
      </w:pPr>
      <w:r w:rsidRPr="009E06AA">
        <w:rPr>
          <w:lang w:eastAsia="en-GB"/>
        </w:rPr>
        <w:t xml:space="preserve">Historical energy demand data in the national energy balance tables are occasionally revised from year to year. This may result in minor revisions to activity data and recalculations to the corresponding emissions for some years in some categories. </w:t>
      </w:r>
    </w:p>
    <w:p w14:paraId="7C669AAA" w14:textId="77777777" w:rsidR="00D97D6C" w:rsidRPr="009E06AA" w:rsidRDefault="00D97D6C" w:rsidP="00D97D6C">
      <w:pPr>
        <w:pStyle w:val="Heading4"/>
      </w:pPr>
      <w:r w:rsidRPr="009E06AA">
        <w:t>Category-specific planned improvements</w:t>
      </w:r>
    </w:p>
    <w:p w14:paraId="0748576F" w14:textId="77777777" w:rsidR="00D97D6C" w:rsidRPr="009E06AA" w:rsidRDefault="00D97D6C" w:rsidP="00550502">
      <w:pPr>
        <w:pStyle w:val="BodyText"/>
      </w:pPr>
      <w:r w:rsidRPr="009E06AA">
        <w:rPr>
          <w:lang w:eastAsia="en-GB"/>
        </w:rPr>
        <w:t>MBIE and the Ministry of Transport are considering incorporating the results of a new aviation emissions model in the inventory estimates (for CH</w:t>
      </w:r>
      <w:r w:rsidRPr="009E06AA">
        <w:rPr>
          <w:vertAlign w:val="subscript"/>
          <w:lang w:eastAsia="en-GB"/>
        </w:rPr>
        <w:t>4</w:t>
      </w:r>
      <w:r w:rsidRPr="009E06AA">
        <w:rPr>
          <w:lang w:eastAsia="en-GB"/>
        </w:rPr>
        <w:t xml:space="preserve"> and N</w:t>
      </w:r>
      <w:r w:rsidRPr="009E06AA">
        <w:rPr>
          <w:vertAlign w:val="subscript"/>
          <w:lang w:eastAsia="en-GB"/>
        </w:rPr>
        <w:t>2</w:t>
      </w:r>
      <w:r w:rsidRPr="009E06AA">
        <w:rPr>
          <w:lang w:eastAsia="en-GB"/>
        </w:rPr>
        <w:t xml:space="preserve">O emissions). This will </w:t>
      </w:r>
      <w:r w:rsidRPr="009E06AA">
        <w:t>require</w:t>
      </w:r>
      <w:r w:rsidRPr="009E06AA">
        <w:rPr>
          <w:lang w:eastAsia="en-GB"/>
        </w:rPr>
        <w:t xml:space="preserve"> time and resources to progress if it is deemed to be a worthwhile improvement. </w:t>
      </w:r>
    </w:p>
    <w:p w14:paraId="7D4EF18C" w14:textId="68B28831" w:rsidR="00D97D6C" w:rsidRPr="009E06AA" w:rsidRDefault="00D97D6C" w:rsidP="00402C72">
      <w:pPr>
        <w:pStyle w:val="Heading3"/>
        <w:tabs>
          <w:tab w:val="clear" w:pos="851"/>
          <w:tab w:val="left" w:pos="993"/>
        </w:tabs>
      </w:pPr>
      <w:r w:rsidRPr="009E06AA">
        <w:t>3.2.10</w:t>
      </w:r>
      <w:r w:rsidR="00402C72" w:rsidRPr="009E06AA">
        <w:tab/>
      </w:r>
      <w:r w:rsidRPr="009E06AA">
        <w:t>Fuel combustion: Other sectors (CRT 1.A.4)</w:t>
      </w:r>
    </w:p>
    <w:p w14:paraId="589578DA" w14:textId="77777777" w:rsidR="00D97D6C" w:rsidRPr="009E06AA" w:rsidRDefault="00D97D6C" w:rsidP="00D97D6C">
      <w:pPr>
        <w:pStyle w:val="Heading4"/>
      </w:pPr>
      <w:r w:rsidRPr="009E06AA">
        <w:t>Category description</w:t>
      </w:r>
    </w:p>
    <w:p w14:paraId="794A19BC" w14:textId="77777777" w:rsidR="00D97D6C" w:rsidRPr="009E06AA" w:rsidRDefault="00D97D6C" w:rsidP="00550502">
      <w:pPr>
        <w:pStyle w:val="BodyText"/>
        <w:rPr>
          <w:lang w:eastAsia="en-GB"/>
        </w:rPr>
      </w:pPr>
      <w:r w:rsidRPr="009E06AA">
        <w:rPr>
          <w:lang w:eastAsia="en-GB"/>
        </w:rPr>
        <w:t xml:space="preserve">The category 1.A.4 </w:t>
      </w:r>
      <w:r w:rsidRPr="009E06AA">
        <w:rPr>
          <w:i/>
          <w:lang w:eastAsia="en-GB"/>
        </w:rPr>
        <w:t>Other sectors</w:t>
      </w:r>
      <w:r w:rsidRPr="009E06AA">
        <w:rPr>
          <w:lang w:eastAsia="en-GB"/>
        </w:rPr>
        <w:t xml:space="preserve"> comprises emissions from fuels combusted in the </w:t>
      </w:r>
      <w:r w:rsidRPr="009E06AA">
        <w:rPr>
          <w:i/>
          <w:lang w:eastAsia="en-GB"/>
        </w:rPr>
        <w:t>Commercial/institutional</w:t>
      </w:r>
      <w:r w:rsidRPr="009E06AA">
        <w:rPr>
          <w:lang w:eastAsia="en-GB"/>
        </w:rPr>
        <w:t xml:space="preserve">, </w:t>
      </w:r>
      <w:r w:rsidRPr="009E06AA">
        <w:rPr>
          <w:i/>
          <w:lang w:eastAsia="en-GB"/>
        </w:rPr>
        <w:t>Residential</w:t>
      </w:r>
      <w:r w:rsidRPr="009E06AA">
        <w:rPr>
          <w:lang w:eastAsia="en-GB"/>
        </w:rPr>
        <w:t xml:space="preserve"> and </w:t>
      </w:r>
      <w:r w:rsidRPr="009E06AA">
        <w:rPr>
          <w:i/>
          <w:lang w:eastAsia="en-GB"/>
        </w:rPr>
        <w:t>Agriculture/forestry/fishing</w:t>
      </w:r>
      <w:r w:rsidRPr="009E06AA">
        <w:rPr>
          <w:lang w:eastAsia="en-GB"/>
        </w:rPr>
        <w:t xml:space="preserve"> categories.</w:t>
      </w:r>
    </w:p>
    <w:p w14:paraId="2ACA39A2" w14:textId="781076EB" w:rsidR="00D97D6C" w:rsidRPr="009E06AA" w:rsidRDefault="00D97D6C" w:rsidP="00550502">
      <w:pPr>
        <w:pStyle w:val="BodyText"/>
      </w:pPr>
      <w:r w:rsidRPr="009E06AA">
        <w:rPr>
          <w:lang w:eastAsia="en-GB"/>
        </w:rPr>
        <w:t xml:space="preserve">In </w:t>
      </w:r>
      <w:r w:rsidRPr="009E06AA">
        <w:t>2022</w:t>
      </w:r>
      <w:r w:rsidRPr="009E06AA">
        <w:rPr>
          <w:lang w:eastAsia="en-GB"/>
        </w:rPr>
        <w:t xml:space="preserve">, the </w:t>
      </w:r>
      <w:r w:rsidRPr="009E06AA">
        <w:rPr>
          <w:i/>
          <w:lang w:eastAsia="en-GB"/>
        </w:rPr>
        <w:t>Fuel combustion – Other sectors</w:t>
      </w:r>
      <w:r w:rsidRPr="009E06AA">
        <w:rPr>
          <w:lang w:eastAsia="en-GB"/>
        </w:rPr>
        <w:t xml:space="preserve"> category accounted for 4,516.9</w:t>
      </w:r>
      <w:r w:rsidRPr="009E06AA">
        <w:t xml:space="preserve"> </w:t>
      </w:r>
      <w:r w:rsidRPr="009E06AA">
        <w:rPr>
          <w:lang w:eastAsia="en-GB"/>
        </w:rPr>
        <w:t>kt CO</w:t>
      </w:r>
      <w:r w:rsidRPr="009E06AA">
        <w:rPr>
          <w:vertAlign w:val="subscript"/>
          <w:lang w:eastAsia="en-GB"/>
        </w:rPr>
        <w:t>2</w:t>
      </w:r>
      <w:r w:rsidRPr="009E06AA">
        <w:rPr>
          <w:lang w:eastAsia="en-GB"/>
        </w:rPr>
        <w:t>-e (</w:t>
      </w:r>
      <w:r w:rsidRPr="009E06AA">
        <w:t>15.7 percent</w:t>
      </w:r>
      <w:r w:rsidRPr="009E06AA">
        <w:rPr>
          <w:lang w:eastAsia="en-GB"/>
        </w:rPr>
        <w:t xml:space="preserve"> of the emissions from the Energy sector). This is 933.0 kt CO</w:t>
      </w:r>
      <w:r w:rsidRPr="009E06AA">
        <w:rPr>
          <w:vertAlign w:val="subscript"/>
          <w:lang w:eastAsia="en-GB"/>
        </w:rPr>
        <w:t>2</w:t>
      </w:r>
      <w:r w:rsidRPr="009E06AA">
        <w:rPr>
          <w:lang w:eastAsia="en-GB"/>
        </w:rPr>
        <w:t>-e (</w:t>
      </w:r>
      <w:r w:rsidRPr="009E06AA">
        <w:t>26.0 per cent</w:t>
      </w:r>
      <w:r w:rsidRPr="009E06AA">
        <w:rPr>
          <w:lang w:eastAsia="en-GB"/>
        </w:rPr>
        <w:t xml:space="preserve">) higher than the 1990 value of </w:t>
      </w:r>
      <w:r w:rsidRPr="009E06AA">
        <w:t xml:space="preserve">3,583.9 </w:t>
      </w:r>
      <w:r w:rsidRPr="009E06AA">
        <w:rPr>
          <w:lang w:eastAsia="en-GB"/>
        </w:rPr>
        <w:t>kt CO</w:t>
      </w:r>
      <w:r w:rsidRPr="009E06AA">
        <w:rPr>
          <w:vertAlign w:val="subscript"/>
          <w:lang w:eastAsia="en-GB"/>
        </w:rPr>
        <w:t>2</w:t>
      </w:r>
      <w:r w:rsidRPr="009E06AA">
        <w:rPr>
          <w:lang w:eastAsia="en-GB"/>
        </w:rPr>
        <w:t xml:space="preserve">-e. The main contributors to this increase were </w:t>
      </w:r>
      <w:r w:rsidRPr="009E06AA">
        <w:rPr>
          <w:i/>
          <w:spacing w:val="-2"/>
          <w:lang w:eastAsia="en-GB"/>
        </w:rPr>
        <w:t>Commercial/institutional</w:t>
      </w:r>
      <w:r w:rsidRPr="009E06AA">
        <w:rPr>
          <w:spacing w:val="-2"/>
          <w:lang w:eastAsia="en-GB"/>
        </w:rPr>
        <w:t xml:space="preserve"> (up 451.1 kt CO</w:t>
      </w:r>
      <w:r w:rsidRPr="009E06AA">
        <w:rPr>
          <w:spacing w:val="-2"/>
          <w:vertAlign w:val="subscript"/>
          <w:lang w:eastAsia="en-GB"/>
        </w:rPr>
        <w:t>2</w:t>
      </w:r>
      <w:r w:rsidRPr="009E06AA">
        <w:rPr>
          <w:spacing w:val="-2"/>
          <w:lang w:eastAsia="en-GB"/>
        </w:rPr>
        <w:t xml:space="preserve">-e or 50.9 per cent) and </w:t>
      </w:r>
      <w:r w:rsidRPr="009E06AA">
        <w:rPr>
          <w:i/>
          <w:spacing w:val="-2"/>
          <w:lang w:eastAsia="en-GB"/>
        </w:rPr>
        <w:t>Residential</w:t>
      </w:r>
      <w:r w:rsidRPr="009E06AA">
        <w:rPr>
          <w:spacing w:val="-2"/>
          <w:lang w:eastAsia="en-GB"/>
        </w:rPr>
        <w:t xml:space="preserve"> (up 346.1 kt CO</w:t>
      </w:r>
      <w:r w:rsidRPr="009E06AA">
        <w:rPr>
          <w:spacing w:val="-2"/>
          <w:vertAlign w:val="subscript"/>
          <w:lang w:eastAsia="en-GB"/>
        </w:rPr>
        <w:t>2</w:t>
      </w:r>
      <w:r w:rsidRPr="009E06AA">
        <w:rPr>
          <w:spacing w:val="-2"/>
          <w:lang w:eastAsia="en-GB"/>
        </w:rPr>
        <w:noBreakHyphen/>
        <w:t>e</w:t>
      </w:r>
      <w:r w:rsidRPr="009E06AA">
        <w:rPr>
          <w:lang w:eastAsia="en-GB"/>
        </w:rPr>
        <w:t xml:space="preserve"> or 23.7 per cent).</w:t>
      </w:r>
    </w:p>
    <w:p w14:paraId="2B11CAE7" w14:textId="77777777" w:rsidR="00D97D6C" w:rsidRPr="009E06AA" w:rsidRDefault="00D97D6C" w:rsidP="00D97D6C">
      <w:pPr>
        <w:pStyle w:val="Heading4"/>
        <w:rPr>
          <w:lang w:eastAsia="en-GB"/>
        </w:rPr>
      </w:pPr>
      <w:r w:rsidRPr="009E06AA">
        <w:rPr>
          <w:lang w:eastAsia="en-GB"/>
        </w:rPr>
        <w:t xml:space="preserve">Changes in emissions between </w:t>
      </w:r>
      <w:r w:rsidRPr="009E06AA">
        <w:t>2021</w:t>
      </w:r>
      <w:r w:rsidRPr="009E06AA">
        <w:rPr>
          <w:lang w:eastAsia="en-GB"/>
        </w:rPr>
        <w:t xml:space="preserve"> and </w:t>
      </w:r>
      <w:r w:rsidRPr="009E06AA">
        <w:t>2022</w:t>
      </w:r>
    </w:p>
    <w:p w14:paraId="64A1CB98" w14:textId="77777777" w:rsidR="00D97D6C" w:rsidRPr="009E06AA" w:rsidRDefault="00D97D6C" w:rsidP="00550502">
      <w:pPr>
        <w:pStyle w:val="BodyText"/>
        <w:rPr>
          <w:lang w:eastAsia="en-GB"/>
        </w:rPr>
      </w:pPr>
      <w:r w:rsidRPr="009E06AA">
        <w:rPr>
          <w:lang w:eastAsia="en-GB"/>
        </w:rPr>
        <w:t xml:space="preserve">Between </w:t>
      </w:r>
      <w:r w:rsidRPr="009E06AA">
        <w:t xml:space="preserve">2021 </w:t>
      </w:r>
      <w:r w:rsidRPr="009E06AA">
        <w:rPr>
          <w:lang w:eastAsia="en-GB"/>
        </w:rPr>
        <w:t xml:space="preserve">and </w:t>
      </w:r>
      <w:r w:rsidRPr="009E06AA">
        <w:t>2022</w:t>
      </w:r>
      <w:r w:rsidRPr="009E06AA">
        <w:rPr>
          <w:lang w:eastAsia="en-GB"/>
        </w:rPr>
        <w:t xml:space="preserve">, emissions from 1.A.4 </w:t>
      </w:r>
      <w:r w:rsidRPr="009E06AA">
        <w:rPr>
          <w:i/>
          <w:lang w:eastAsia="en-GB"/>
        </w:rPr>
        <w:t>Other sectors</w:t>
      </w:r>
      <w:r w:rsidRPr="009E06AA">
        <w:rPr>
          <w:lang w:eastAsia="en-GB"/>
        </w:rPr>
        <w:t xml:space="preserve"> </w:t>
      </w:r>
      <w:r w:rsidRPr="009E06AA">
        <w:t>decreased by 23.6 </w:t>
      </w:r>
      <w:r w:rsidRPr="009E06AA">
        <w:rPr>
          <w:lang w:eastAsia="en-GB"/>
        </w:rPr>
        <w:t>kt CO</w:t>
      </w:r>
      <w:r w:rsidRPr="009E06AA">
        <w:rPr>
          <w:vertAlign w:val="subscript"/>
          <w:lang w:eastAsia="en-GB"/>
        </w:rPr>
        <w:t>2</w:t>
      </w:r>
      <w:r w:rsidRPr="009E06AA">
        <w:rPr>
          <w:lang w:eastAsia="en-GB"/>
        </w:rPr>
        <w:noBreakHyphen/>
        <w:t>e (0.5</w:t>
      </w:r>
      <w:r w:rsidRPr="009E06AA">
        <w:t> per cent</w:t>
      </w:r>
      <w:r w:rsidRPr="009E06AA">
        <w:rPr>
          <w:lang w:eastAsia="en-GB"/>
        </w:rPr>
        <w:t>). An increase of 144.3 kt CO</w:t>
      </w:r>
      <w:r w:rsidRPr="009E06AA">
        <w:rPr>
          <w:vertAlign w:val="subscript"/>
          <w:lang w:eastAsia="en-GB"/>
        </w:rPr>
        <w:t>2</w:t>
      </w:r>
      <w:r w:rsidRPr="009E06AA">
        <w:rPr>
          <w:lang w:eastAsia="en-GB"/>
        </w:rPr>
        <w:t xml:space="preserve">-e from </w:t>
      </w:r>
      <w:r w:rsidRPr="009E06AA">
        <w:rPr>
          <w:i/>
          <w:iCs/>
          <w:lang w:eastAsia="en-GB"/>
        </w:rPr>
        <w:t>Commercial/institutional</w:t>
      </w:r>
      <w:r w:rsidRPr="009E06AA">
        <w:rPr>
          <w:lang w:eastAsia="en-GB"/>
        </w:rPr>
        <w:t xml:space="preserve"> was offset by a 131.4 kt CO</w:t>
      </w:r>
      <w:r w:rsidRPr="009E06AA">
        <w:rPr>
          <w:vertAlign w:val="subscript"/>
          <w:lang w:eastAsia="en-GB"/>
        </w:rPr>
        <w:t>2</w:t>
      </w:r>
      <w:r w:rsidRPr="009E06AA">
        <w:rPr>
          <w:lang w:eastAsia="en-GB"/>
        </w:rPr>
        <w:t xml:space="preserve">-e decrease from </w:t>
      </w:r>
      <w:r w:rsidRPr="009E06AA">
        <w:rPr>
          <w:i/>
          <w:iCs/>
          <w:lang w:eastAsia="en-GB"/>
        </w:rPr>
        <w:t>Agriculture/forestry/fishing</w:t>
      </w:r>
      <w:r w:rsidRPr="009E06AA">
        <w:rPr>
          <w:lang w:eastAsia="en-GB"/>
        </w:rPr>
        <w:t>.</w:t>
      </w:r>
    </w:p>
    <w:p w14:paraId="2E0C7198" w14:textId="77777777" w:rsidR="00D97D6C" w:rsidRPr="009E06AA" w:rsidRDefault="00D97D6C" w:rsidP="00550502">
      <w:pPr>
        <w:pStyle w:val="BodyText"/>
      </w:pPr>
      <w:r w:rsidRPr="009E06AA">
        <w:t xml:space="preserve">Key categories identified in the 2022 level and trend assessment for the </w:t>
      </w:r>
      <w:r w:rsidRPr="009E06AA">
        <w:rPr>
          <w:i/>
        </w:rPr>
        <w:t>Other sectors</w:t>
      </w:r>
      <w:r w:rsidRPr="009E06AA">
        <w:t xml:space="preserve"> category are given in table 3.2.7.</w:t>
      </w:r>
    </w:p>
    <w:p w14:paraId="2E6E92DC" w14:textId="77777777" w:rsidR="00D97D6C" w:rsidRPr="009E06AA" w:rsidRDefault="00D97D6C" w:rsidP="00D97D6C">
      <w:pPr>
        <w:pStyle w:val="Table"/>
      </w:pPr>
      <w:bookmarkStart w:id="413" w:name="_Toc68786411"/>
      <w:bookmarkStart w:id="414" w:name="_Toc164153810"/>
      <w:r w:rsidRPr="009E06AA">
        <w:t>Table 3.2.7</w:t>
      </w:r>
      <w:r w:rsidRPr="009E06AA">
        <w:tab/>
        <w:t xml:space="preserve">Key categories for 1.A.4 </w:t>
      </w:r>
      <w:r w:rsidRPr="009E06AA">
        <w:rPr>
          <w:i/>
          <w:iCs/>
          <w:lang w:eastAsia="en-GB"/>
        </w:rPr>
        <w:t>Other sectors</w:t>
      </w:r>
      <w:bookmarkEnd w:id="413"/>
      <w:bookmarkEnd w:id="414"/>
    </w:p>
    <w:tbl>
      <w:tblPr>
        <w:tblW w:w="8505" w:type="dxa"/>
        <w:tblBorders>
          <w:top w:val="single" w:sz="4" w:space="0" w:color="1B556B"/>
          <w:bottom w:val="single" w:sz="4" w:space="0" w:color="1B556B"/>
          <w:insideH w:val="single" w:sz="4" w:space="0" w:color="1B556B"/>
          <w:insideV w:val="single" w:sz="4" w:space="0" w:color="1B556B"/>
        </w:tblBorders>
        <w:tblLayout w:type="fixed"/>
        <w:tblLook w:val="0420" w:firstRow="1" w:lastRow="0" w:firstColumn="0" w:lastColumn="0" w:noHBand="0" w:noVBand="1"/>
      </w:tblPr>
      <w:tblGrid>
        <w:gridCol w:w="3769"/>
        <w:gridCol w:w="1660"/>
        <w:gridCol w:w="1509"/>
        <w:gridCol w:w="1567"/>
      </w:tblGrid>
      <w:tr w:rsidR="00D97D6C" w:rsidRPr="009E06AA" w14:paraId="15D73DDB" w14:textId="77777777" w:rsidTr="00B55F24">
        <w:trPr>
          <w:tblHeader/>
        </w:trPr>
        <w:tc>
          <w:tcPr>
            <w:tcW w:w="2216" w:type="pct"/>
            <w:shd w:val="clear" w:color="auto" w:fill="1B556B"/>
            <w:noWrap/>
            <w:vAlign w:val="bottom"/>
            <w:hideMark/>
          </w:tcPr>
          <w:p w14:paraId="6304D611" w14:textId="77777777" w:rsidR="00D97D6C" w:rsidRPr="009E06AA" w:rsidRDefault="00D97D6C" w:rsidP="00B55F24">
            <w:pPr>
              <w:pStyle w:val="TableTextBold"/>
              <w:rPr>
                <w:rFonts w:cs="Calibri"/>
                <w:noProof w:val="0"/>
                <w:color w:val="FFFFFF"/>
              </w:rPr>
            </w:pPr>
          </w:p>
        </w:tc>
        <w:tc>
          <w:tcPr>
            <w:tcW w:w="976" w:type="pct"/>
            <w:shd w:val="clear" w:color="auto" w:fill="1B556B"/>
            <w:noWrap/>
            <w:vAlign w:val="bottom"/>
            <w:hideMark/>
          </w:tcPr>
          <w:p w14:paraId="4B952357" w14:textId="77777777" w:rsidR="00D97D6C" w:rsidRPr="009E06AA" w:rsidRDefault="00D97D6C" w:rsidP="00B55F24">
            <w:pPr>
              <w:pStyle w:val="TableTextBold"/>
              <w:rPr>
                <w:rFonts w:cs="Calibri"/>
                <w:noProof w:val="0"/>
                <w:color w:val="FFFFFF"/>
              </w:rPr>
            </w:pPr>
            <w:r w:rsidRPr="009E06AA">
              <w:rPr>
                <w:rFonts w:cs="Calibri"/>
                <w:noProof w:val="0"/>
                <w:color w:val="FFFFFF"/>
              </w:rPr>
              <w:t>Liquid fuels</w:t>
            </w:r>
          </w:p>
        </w:tc>
        <w:tc>
          <w:tcPr>
            <w:tcW w:w="887" w:type="pct"/>
            <w:shd w:val="clear" w:color="auto" w:fill="1B556B"/>
            <w:vAlign w:val="bottom"/>
            <w:hideMark/>
          </w:tcPr>
          <w:p w14:paraId="3379A04A" w14:textId="77777777" w:rsidR="00D97D6C" w:rsidRPr="009E06AA" w:rsidRDefault="00D97D6C" w:rsidP="00B55F24">
            <w:pPr>
              <w:pStyle w:val="TableTextBold"/>
              <w:rPr>
                <w:rFonts w:cs="Calibri"/>
                <w:noProof w:val="0"/>
                <w:color w:val="FFFFFF"/>
              </w:rPr>
            </w:pPr>
            <w:r w:rsidRPr="009E06AA">
              <w:rPr>
                <w:rFonts w:cs="Calibri"/>
                <w:noProof w:val="0"/>
                <w:color w:val="FFFFFF"/>
              </w:rPr>
              <w:t>Solid fuels</w:t>
            </w:r>
          </w:p>
        </w:tc>
        <w:tc>
          <w:tcPr>
            <w:tcW w:w="921" w:type="pct"/>
            <w:shd w:val="clear" w:color="auto" w:fill="1B556B"/>
            <w:vAlign w:val="bottom"/>
            <w:hideMark/>
          </w:tcPr>
          <w:p w14:paraId="5C070EFF" w14:textId="77777777" w:rsidR="00D97D6C" w:rsidRPr="009E06AA" w:rsidRDefault="00D97D6C" w:rsidP="00B55F24">
            <w:pPr>
              <w:pStyle w:val="TableTextBold"/>
              <w:rPr>
                <w:rFonts w:cs="Calibri"/>
                <w:noProof w:val="0"/>
                <w:color w:val="FFFFFF"/>
              </w:rPr>
            </w:pPr>
            <w:r w:rsidRPr="009E06AA">
              <w:rPr>
                <w:rFonts w:cs="Calibri"/>
                <w:noProof w:val="0"/>
                <w:color w:val="FFFFFF"/>
              </w:rPr>
              <w:t>Gaseous fuels</w:t>
            </w:r>
          </w:p>
        </w:tc>
      </w:tr>
      <w:tr w:rsidR="00D97D6C" w:rsidRPr="009E06AA" w14:paraId="61A020A6" w14:textId="77777777" w:rsidTr="00B55F24">
        <w:tc>
          <w:tcPr>
            <w:tcW w:w="2216" w:type="pct"/>
            <w:shd w:val="clear" w:color="auto" w:fill="auto"/>
            <w:noWrap/>
            <w:hideMark/>
          </w:tcPr>
          <w:p w14:paraId="7D6CBFA4" w14:textId="77777777" w:rsidR="00D97D6C" w:rsidRPr="009E06AA" w:rsidRDefault="00D97D6C" w:rsidP="00B55F24">
            <w:pPr>
              <w:pStyle w:val="TableText"/>
              <w:spacing w:before="50" w:after="50"/>
              <w:rPr>
                <w:rFonts w:cs="Calibri"/>
              </w:rPr>
            </w:pPr>
            <w:r w:rsidRPr="009E06AA">
              <w:rPr>
                <w:rFonts w:cs="Calibri"/>
              </w:rPr>
              <w:t>Commercial/institutional – CO</w:t>
            </w:r>
            <w:r w:rsidRPr="009E06AA">
              <w:rPr>
                <w:rFonts w:cs="Calibri"/>
                <w:vertAlign w:val="subscript"/>
              </w:rPr>
              <w:t>2</w:t>
            </w:r>
          </w:p>
        </w:tc>
        <w:tc>
          <w:tcPr>
            <w:tcW w:w="976" w:type="pct"/>
            <w:shd w:val="clear" w:color="auto" w:fill="auto"/>
            <w:noWrap/>
            <w:hideMark/>
          </w:tcPr>
          <w:p w14:paraId="5000E28D" w14:textId="77777777" w:rsidR="00D97D6C" w:rsidRPr="009E06AA" w:rsidRDefault="00D97D6C" w:rsidP="00B55F24">
            <w:pPr>
              <w:pStyle w:val="TableText"/>
              <w:spacing w:before="50" w:after="50"/>
              <w:rPr>
                <w:rFonts w:cs="Calibri"/>
              </w:rPr>
            </w:pPr>
            <w:r w:rsidRPr="009E06AA">
              <w:rPr>
                <w:rFonts w:cs="Calibri"/>
              </w:rPr>
              <w:t>Level, trend</w:t>
            </w:r>
          </w:p>
        </w:tc>
        <w:tc>
          <w:tcPr>
            <w:tcW w:w="887" w:type="pct"/>
            <w:shd w:val="clear" w:color="auto" w:fill="auto"/>
            <w:noWrap/>
            <w:hideMark/>
          </w:tcPr>
          <w:p w14:paraId="4D000B52" w14:textId="77777777" w:rsidR="00D97D6C" w:rsidRPr="009E06AA" w:rsidRDefault="00D97D6C" w:rsidP="00B55F24">
            <w:pPr>
              <w:pStyle w:val="TableText"/>
              <w:spacing w:before="50" w:after="50"/>
              <w:rPr>
                <w:rFonts w:cs="Calibri"/>
              </w:rPr>
            </w:pPr>
            <w:r w:rsidRPr="009E06AA">
              <w:rPr>
                <w:rFonts w:cs="Calibri"/>
              </w:rPr>
              <w:t>Trend</w:t>
            </w:r>
          </w:p>
        </w:tc>
        <w:tc>
          <w:tcPr>
            <w:tcW w:w="921" w:type="pct"/>
            <w:shd w:val="clear" w:color="auto" w:fill="auto"/>
            <w:noWrap/>
            <w:hideMark/>
          </w:tcPr>
          <w:p w14:paraId="15BF294D" w14:textId="77777777" w:rsidR="00D97D6C" w:rsidRPr="009E06AA" w:rsidRDefault="00D97D6C" w:rsidP="00B55F24">
            <w:pPr>
              <w:pStyle w:val="TableText"/>
              <w:spacing w:before="50" w:after="50"/>
              <w:rPr>
                <w:rFonts w:cs="Calibri"/>
              </w:rPr>
            </w:pPr>
            <w:r w:rsidRPr="009E06AA">
              <w:rPr>
                <w:rFonts w:cs="Calibri"/>
              </w:rPr>
              <w:t>Level, trend</w:t>
            </w:r>
          </w:p>
        </w:tc>
      </w:tr>
      <w:tr w:rsidR="00D97D6C" w:rsidRPr="009E06AA" w14:paraId="2B7C07B7" w14:textId="77777777" w:rsidTr="00B55F24">
        <w:tc>
          <w:tcPr>
            <w:tcW w:w="2216" w:type="pct"/>
            <w:shd w:val="clear" w:color="auto" w:fill="auto"/>
            <w:noWrap/>
            <w:hideMark/>
          </w:tcPr>
          <w:p w14:paraId="57116A8D" w14:textId="77777777" w:rsidR="00D97D6C" w:rsidRPr="009E06AA" w:rsidRDefault="00D97D6C" w:rsidP="00B55F24">
            <w:pPr>
              <w:pStyle w:val="TableText"/>
              <w:spacing w:before="50" w:after="50"/>
              <w:rPr>
                <w:rFonts w:cs="Calibri"/>
              </w:rPr>
            </w:pPr>
            <w:r w:rsidRPr="009E06AA">
              <w:rPr>
                <w:rFonts w:cs="Calibri"/>
              </w:rPr>
              <w:t>Residential – CO</w:t>
            </w:r>
            <w:r w:rsidRPr="009E06AA">
              <w:rPr>
                <w:rFonts w:cs="Calibri"/>
                <w:vertAlign w:val="subscript"/>
              </w:rPr>
              <w:t>2</w:t>
            </w:r>
          </w:p>
        </w:tc>
        <w:tc>
          <w:tcPr>
            <w:tcW w:w="976" w:type="pct"/>
            <w:shd w:val="clear" w:color="auto" w:fill="auto"/>
            <w:noWrap/>
            <w:hideMark/>
          </w:tcPr>
          <w:p w14:paraId="523192CA" w14:textId="77777777" w:rsidR="00D97D6C" w:rsidRPr="009E06AA" w:rsidRDefault="00D97D6C" w:rsidP="00B55F24">
            <w:pPr>
              <w:pStyle w:val="TableText"/>
              <w:spacing w:before="50" w:after="50"/>
              <w:rPr>
                <w:rFonts w:cs="Calibri"/>
              </w:rPr>
            </w:pPr>
            <w:r w:rsidRPr="009E06AA">
              <w:rPr>
                <w:rFonts w:cs="Calibri"/>
              </w:rPr>
              <w:t>Level, trend</w:t>
            </w:r>
          </w:p>
        </w:tc>
        <w:tc>
          <w:tcPr>
            <w:tcW w:w="887" w:type="pct"/>
            <w:shd w:val="clear" w:color="auto" w:fill="auto"/>
            <w:noWrap/>
          </w:tcPr>
          <w:p w14:paraId="52D93AFB" w14:textId="77777777" w:rsidR="00D97D6C" w:rsidRPr="009E06AA" w:rsidRDefault="00D97D6C" w:rsidP="00B55F24">
            <w:pPr>
              <w:pStyle w:val="TableText"/>
              <w:spacing w:before="50" w:after="50"/>
              <w:rPr>
                <w:rFonts w:cs="Calibri"/>
              </w:rPr>
            </w:pPr>
            <w:r w:rsidRPr="009E06AA">
              <w:rPr>
                <w:rFonts w:cs="Calibri"/>
              </w:rPr>
              <w:t>Trend</w:t>
            </w:r>
          </w:p>
        </w:tc>
        <w:tc>
          <w:tcPr>
            <w:tcW w:w="921" w:type="pct"/>
            <w:shd w:val="clear" w:color="auto" w:fill="auto"/>
            <w:noWrap/>
            <w:hideMark/>
          </w:tcPr>
          <w:p w14:paraId="72B882BA" w14:textId="77777777" w:rsidR="00D97D6C" w:rsidRPr="009E06AA" w:rsidRDefault="00D97D6C" w:rsidP="00B55F24">
            <w:pPr>
              <w:pStyle w:val="TableText"/>
              <w:spacing w:before="50" w:after="50"/>
              <w:rPr>
                <w:rFonts w:cs="Calibri"/>
              </w:rPr>
            </w:pPr>
            <w:r w:rsidRPr="009E06AA">
              <w:rPr>
                <w:rFonts w:cs="Calibri"/>
              </w:rPr>
              <w:t>Level, trend</w:t>
            </w:r>
          </w:p>
        </w:tc>
      </w:tr>
      <w:tr w:rsidR="00D97D6C" w:rsidRPr="009E06AA" w14:paraId="71BDEB98" w14:textId="77777777" w:rsidTr="00B55F24">
        <w:tc>
          <w:tcPr>
            <w:tcW w:w="2216" w:type="pct"/>
            <w:shd w:val="clear" w:color="auto" w:fill="auto"/>
            <w:noWrap/>
          </w:tcPr>
          <w:p w14:paraId="5040D1EB" w14:textId="77777777" w:rsidR="00D97D6C" w:rsidRPr="009E06AA" w:rsidRDefault="00D97D6C" w:rsidP="00B55F24">
            <w:pPr>
              <w:pStyle w:val="TableText"/>
              <w:spacing w:before="50" w:after="50"/>
              <w:rPr>
                <w:rFonts w:cs="Calibri"/>
              </w:rPr>
            </w:pPr>
            <w:r w:rsidRPr="009E06AA">
              <w:rPr>
                <w:rFonts w:cs="Calibri"/>
              </w:rPr>
              <w:t>Agriculture/forestry/fishing – CO</w:t>
            </w:r>
            <w:r w:rsidRPr="009E06AA">
              <w:rPr>
                <w:rFonts w:cs="Calibri"/>
                <w:vertAlign w:val="subscript"/>
              </w:rPr>
              <w:t>2</w:t>
            </w:r>
          </w:p>
        </w:tc>
        <w:tc>
          <w:tcPr>
            <w:tcW w:w="976" w:type="pct"/>
            <w:shd w:val="clear" w:color="auto" w:fill="auto"/>
            <w:noWrap/>
          </w:tcPr>
          <w:p w14:paraId="61C2076D" w14:textId="77777777" w:rsidR="00D97D6C" w:rsidRPr="009E06AA" w:rsidRDefault="00D97D6C" w:rsidP="00B55F24">
            <w:pPr>
              <w:pStyle w:val="TableText"/>
              <w:spacing w:before="50" w:after="50"/>
              <w:rPr>
                <w:rFonts w:cs="Calibri"/>
              </w:rPr>
            </w:pPr>
            <w:r w:rsidRPr="009E06AA">
              <w:rPr>
                <w:rFonts w:cs="Calibri"/>
              </w:rPr>
              <w:t>Level, trend</w:t>
            </w:r>
          </w:p>
        </w:tc>
        <w:tc>
          <w:tcPr>
            <w:tcW w:w="887" w:type="pct"/>
            <w:shd w:val="clear" w:color="auto" w:fill="auto"/>
            <w:noWrap/>
          </w:tcPr>
          <w:p w14:paraId="6BA3BF61" w14:textId="77777777" w:rsidR="00D97D6C" w:rsidRPr="009E06AA" w:rsidRDefault="00D97D6C" w:rsidP="00B55F24">
            <w:pPr>
              <w:pStyle w:val="TableText"/>
              <w:spacing w:before="50" w:after="50"/>
              <w:rPr>
                <w:rFonts w:cs="Calibri"/>
              </w:rPr>
            </w:pPr>
            <w:r w:rsidRPr="009E06AA">
              <w:rPr>
                <w:rFonts w:cs="Calibri"/>
              </w:rPr>
              <w:t>Trend</w:t>
            </w:r>
          </w:p>
        </w:tc>
        <w:tc>
          <w:tcPr>
            <w:tcW w:w="921" w:type="pct"/>
            <w:shd w:val="clear" w:color="auto" w:fill="auto"/>
            <w:noWrap/>
          </w:tcPr>
          <w:p w14:paraId="03F1E3D4" w14:textId="77777777" w:rsidR="00D97D6C" w:rsidRPr="009E06AA" w:rsidRDefault="00D97D6C" w:rsidP="00B55F24">
            <w:pPr>
              <w:pStyle w:val="TableText"/>
              <w:spacing w:before="50" w:after="50"/>
              <w:rPr>
                <w:rFonts w:cs="Calibri"/>
              </w:rPr>
            </w:pPr>
            <w:r w:rsidRPr="009E06AA">
              <w:rPr>
                <w:rFonts w:cs="Calibri"/>
              </w:rPr>
              <w:t>–</w:t>
            </w:r>
          </w:p>
        </w:tc>
      </w:tr>
    </w:tbl>
    <w:p w14:paraId="1E040D2C" w14:textId="77777777" w:rsidR="00D97D6C" w:rsidRPr="009E06AA" w:rsidRDefault="00D97D6C" w:rsidP="00D97D6C">
      <w:pPr>
        <w:pStyle w:val="Heading4"/>
        <w:spacing w:before="360"/>
      </w:pPr>
      <w:r w:rsidRPr="009E06AA">
        <w:t>Methodological issues</w:t>
      </w:r>
    </w:p>
    <w:p w14:paraId="1C7A1AA4" w14:textId="77777777" w:rsidR="00D97D6C" w:rsidRPr="009E06AA" w:rsidRDefault="00D97D6C" w:rsidP="00D97D6C">
      <w:pPr>
        <w:pStyle w:val="BodyText"/>
        <w:rPr>
          <w:lang w:eastAsia="en-GB"/>
        </w:rPr>
      </w:pPr>
      <w:r w:rsidRPr="009E06AA">
        <w:rPr>
          <w:lang w:eastAsia="en-GB"/>
        </w:rPr>
        <w:t>This category has no notable methodological issues.</w:t>
      </w:r>
    </w:p>
    <w:p w14:paraId="135CCE43" w14:textId="77777777" w:rsidR="00D97D6C" w:rsidRPr="009E06AA" w:rsidRDefault="00D97D6C" w:rsidP="00D97D6C">
      <w:pPr>
        <w:pStyle w:val="Heading4"/>
        <w:rPr>
          <w:lang w:eastAsia="en-GB"/>
        </w:rPr>
      </w:pPr>
      <w:r w:rsidRPr="009E06AA">
        <w:rPr>
          <w:lang w:eastAsia="en-GB"/>
        </w:rPr>
        <w:t>Activity data</w:t>
      </w:r>
    </w:p>
    <w:p w14:paraId="6A619B28" w14:textId="77777777" w:rsidR="00D97D6C" w:rsidRPr="009E06AA" w:rsidRDefault="00D97D6C" w:rsidP="00BF2A76">
      <w:pPr>
        <w:pStyle w:val="Heading5"/>
      </w:pPr>
      <w:r w:rsidRPr="009E06AA">
        <w:t>Liquid fuels</w:t>
      </w:r>
    </w:p>
    <w:p w14:paraId="3D8A3DED" w14:textId="77777777" w:rsidR="00D97D6C" w:rsidRPr="009E06AA" w:rsidRDefault="00D97D6C" w:rsidP="00D97D6C">
      <w:pPr>
        <w:pStyle w:val="BodyText"/>
        <w:spacing w:before="100" w:after="100"/>
        <w:rPr>
          <w:rFonts w:cs="Calibri"/>
        </w:rPr>
      </w:pPr>
      <w:r w:rsidRPr="009E06AA">
        <w:rPr>
          <w:rFonts w:cs="Calibri"/>
        </w:rPr>
        <w:t xml:space="preserve">As mentioned in section 3.2.2, this inventory continues to use the results of the </w:t>
      </w:r>
      <w:r w:rsidRPr="009E06AA">
        <w:rPr>
          <w:rFonts w:cs="Calibri"/>
          <w:iCs/>
        </w:rPr>
        <w:t>Annual Liquid Fuel Survey</w:t>
      </w:r>
      <w:r w:rsidRPr="009E06AA">
        <w:rPr>
          <w:rFonts w:cs="Calibri"/>
        </w:rPr>
        <w:t xml:space="preserve"> that began in 2009. The purpose of the Survey is to capture the allocation of fuel resold by small independent resellers. In recent years, these independent resellers accounted for around 30 per cent of national diesel deliveries and around 8 per cent of national gasoline deliveries. </w:t>
      </w:r>
    </w:p>
    <w:p w14:paraId="7B767241" w14:textId="77777777" w:rsidR="00D97D6C" w:rsidRPr="009E06AA" w:rsidRDefault="00D97D6C" w:rsidP="00D97D6C">
      <w:pPr>
        <w:pStyle w:val="BodyText"/>
        <w:rPr>
          <w:rFonts w:cs="Calibri"/>
        </w:rPr>
      </w:pPr>
      <w:r w:rsidRPr="009E06AA">
        <w:rPr>
          <w:rFonts w:cs="Calibri"/>
        </w:rPr>
        <w:t xml:space="preserve">As the result of resale data captured by the </w:t>
      </w:r>
      <w:r w:rsidRPr="009E06AA">
        <w:rPr>
          <w:rFonts w:cs="Calibri"/>
          <w:iCs/>
        </w:rPr>
        <w:t>Annual Liquid Fuel Survey</w:t>
      </w:r>
      <w:r w:rsidRPr="009E06AA">
        <w:rPr>
          <w:rFonts w:cs="Calibri"/>
        </w:rPr>
        <w:t xml:space="preserve">, emissions that would otherwise be reported in category 1.A.3.b </w:t>
      </w:r>
      <w:r w:rsidRPr="009E06AA">
        <w:rPr>
          <w:rFonts w:cs="Calibri"/>
          <w:i/>
        </w:rPr>
        <w:t>Road transportation</w:t>
      </w:r>
      <w:r w:rsidRPr="009E06AA">
        <w:rPr>
          <w:rFonts w:cs="Calibri"/>
        </w:rPr>
        <w:t xml:space="preserve"> are allocated to the correct category. For time-series consistency, these reallocations are also made from 1990 to 2008, before the collection of data on the resale of liquid fuel by small, independent distributors began.</w:t>
      </w:r>
    </w:p>
    <w:p w14:paraId="0A0A1A8F" w14:textId="77777777" w:rsidR="00D97D6C" w:rsidRPr="009E06AA" w:rsidRDefault="00D97D6C" w:rsidP="00D97D6C">
      <w:pPr>
        <w:pStyle w:val="BodyText"/>
        <w:rPr>
          <w:rFonts w:cs="Calibri"/>
        </w:rPr>
      </w:pPr>
      <w:r w:rsidRPr="009E06AA">
        <w:rPr>
          <w:rFonts w:cs="Calibri"/>
        </w:rPr>
        <w:t xml:space="preserve">Historical national energy sales surveys captured fuel use by mining operations under ‘other primary industry’. For consistency with the 2006 IPCC Guidelines, this inventory uses data provided by Stats NZ’s </w:t>
      </w:r>
      <w:r w:rsidRPr="009E06AA">
        <w:rPr>
          <w:rFonts w:cs="Calibri"/>
          <w:iCs/>
        </w:rPr>
        <w:t>Energy Use Survey</w:t>
      </w:r>
      <w:r w:rsidRPr="009E06AA">
        <w:rPr>
          <w:rFonts w:cs="Calibri"/>
        </w:rPr>
        <w:t xml:space="preserve"> (</w:t>
      </w:r>
      <w:r w:rsidRPr="009E06AA">
        <w:rPr>
          <w:rFonts w:cs="Calibri"/>
          <w:lang w:eastAsia="en-GB"/>
        </w:rPr>
        <w:t xml:space="preserve">Stats NZ, 2018) </w:t>
      </w:r>
      <w:r w:rsidRPr="009E06AA">
        <w:rPr>
          <w:rFonts w:cs="Calibri"/>
        </w:rPr>
        <w:t>to estimate the split of historical ‘other primary industry’ activity for fuel oil between forestry and logging, and mining (see table 3.2.8). The historical data are insufficient to extrapolate a historical trend for this split: instead, activity splits are interpolated between the two surveys and assumed to be constant for the period 1990 to 2008.</w:t>
      </w:r>
    </w:p>
    <w:p w14:paraId="40A985A3" w14:textId="77777777" w:rsidR="00D97D6C" w:rsidRPr="009E06AA" w:rsidRDefault="00D97D6C" w:rsidP="00D97D6C">
      <w:pPr>
        <w:pStyle w:val="Table"/>
      </w:pPr>
      <w:bookmarkStart w:id="415" w:name="_Toc321399160"/>
      <w:bookmarkStart w:id="416" w:name="_Toc384582867"/>
      <w:bookmarkStart w:id="417" w:name="_Toc443060847"/>
      <w:bookmarkStart w:id="418" w:name="_Toc451176063"/>
      <w:bookmarkStart w:id="419" w:name="_Toc481751489"/>
      <w:bookmarkStart w:id="420" w:name="_Toc507496592"/>
      <w:bookmarkStart w:id="421" w:name="_Toc36224526"/>
      <w:bookmarkStart w:id="422" w:name="_Toc68786412"/>
      <w:bookmarkStart w:id="423" w:name="_Toc164153811"/>
      <w:r w:rsidRPr="009E06AA">
        <w:t xml:space="preserve">Table 3.2.8 </w:t>
      </w:r>
      <w:r w:rsidRPr="009E06AA">
        <w:tab/>
        <w:t>Split of fuel oil activity for ‘other primary industry’</w:t>
      </w:r>
      <w:bookmarkEnd w:id="415"/>
      <w:bookmarkEnd w:id="416"/>
      <w:bookmarkEnd w:id="417"/>
      <w:bookmarkEnd w:id="418"/>
      <w:bookmarkEnd w:id="419"/>
      <w:bookmarkEnd w:id="420"/>
      <w:bookmarkEnd w:id="421"/>
      <w:bookmarkEnd w:id="422"/>
      <w:bookmarkEnd w:id="423"/>
      <w:r w:rsidRPr="009E06AA">
        <w:rPr>
          <w:color w:val="FFFFFF"/>
        </w:rPr>
        <w:t xml:space="preserve"> </w:t>
      </w:r>
    </w:p>
    <w:tbl>
      <w:tblPr>
        <w:tblW w:w="8505" w:type="dxa"/>
        <w:tblBorders>
          <w:top w:val="single" w:sz="4" w:space="0" w:color="1B556B"/>
          <w:bottom w:val="single" w:sz="4" w:space="0" w:color="1B556B"/>
          <w:insideH w:val="single" w:sz="4" w:space="0" w:color="1B556B"/>
        </w:tblBorders>
        <w:tblLayout w:type="fixed"/>
        <w:tblLook w:val="04A0" w:firstRow="1" w:lastRow="0" w:firstColumn="1" w:lastColumn="0" w:noHBand="0" w:noVBand="1"/>
      </w:tblPr>
      <w:tblGrid>
        <w:gridCol w:w="2296"/>
        <w:gridCol w:w="3086"/>
        <w:gridCol w:w="3123"/>
      </w:tblGrid>
      <w:tr w:rsidR="00D97D6C" w:rsidRPr="009E06AA" w14:paraId="3D9BB9CB" w14:textId="77777777" w:rsidTr="00B55F24">
        <w:trPr>
          <w:cantSplit/>
        </w:trPr>
        <w:tc>
          <w:tcPr>
            <w:tcW w:w="1350" w:type="pct"/>
            <w:shd w:val="clear" w:color="auto" w:fill="1B556B"/>
            <w:vAlign w:val="bottom"/>
          </w:tcPr>
          <w:p w14:paraId="4278A611" w14:textId="77777777" w:rsidR="00D97D6C" w:rsidRPr="009E06AA" w:rsidRDefault="00D97D6C" w:rsidP="00B55F24">
            <w:pPr>
              <w:pStyle w:val="TableTextBold"/>
              <w:keepNext/>
              <w:rPr>
                <w:rFonts w:cs="Calibri"/>
                <w:noProof w:val="0"/>
                <w:color w:val="FFFFFF"/>
              </w:rPr>
            </w:pPr>
            <w:r w:rsidRPr="009E06AA">
              <w:rPr>
                <w:rFonts w:cs="Calibri"/>
                <w:noProof w:val="0"/>
                <w:color w:val="FFFFFF"/>
              </w:rPr>
              <w:t>Activity</w:t>
            </w:r>
          </w:p>
        </w:tc>
        <w:tc>
          <w:tcPr>
            <w:tcW w:w="1814" w:type="pct"/>
            <w:shd w:val="clear" w:color="auto" w:fill="1B556B"/>
            <w:vAlign w:val="bottom"/>
          </w:tcPr>
          <w:p w14:paraId="2987AA93" w14:textId="77777777" w:rsidR="00D97D6C" w:rsidRPr="009E06AA" w:rsidRDefault="00D97D6C" w:rsidP="00A53C49">
            <w:pPr>
              <w:pStyle w:val="TableTextBold"/>
              <w:keepNext/>
              <w:jc w:val="right"/>
              <w:rPr>
                <w:rFonts w:cs="Calibri"/>
                <w:noProof w:val="0"/>
                <w:color w:val="FFFFFF"/>
              </w:rPr>
            </w:pPr>
            <w:r w:rsidRPr="009E06AA">
              <w:rPr>
                <w:rFonts w:cs="Calibri"/>
                <w:noProof w:val="0"/>
                <w:color w:val="FFFFFF"/>
              </w:rPr>
              <w:t>Energy Use Survey 2008 (%)</w:t>
            </w:r>
          </w:p>
        </w:tc>
        <w:tc>
          <w:tcPr>
            <w:tcW w:w="1836" w:type="pct"/>
            <w:shd w:val="clear" w:color="auto" w:fill="1B556B"/>
            <w:vAlign w:val="bottom"/>
          </w:tcPr>
          <w:p w14:paraId="54A79F6B" w14:textId="77777777" w:rsidR="00D97D6C" w:rsidRPr="009E06AA" w:rsidRDefault="00D97D6C" w:rsidP="00A53C49">
            <w:pPr>
              <w:pStyle w:val="TableTextBold"/>
              <w:keepNext/>
              <w:jc w:val="right"/>
              <w:rPr>
                <w:rFonts w:cs="Calibri"/>
                <w:noProof w:val="0"/>
                <w:color w:val="FFFFFF"/>
              </w:rPr>
            </w:pPr>
            <w:r w:rsidRPr="009E06AA">
              <w:rPr>
                <w:rFonts w:cs="Calibri"/>
                <w:noProof w:val="0"/>
                <w:color w:val="FFFFFF"/>
              </w:rPr>
              <w:t>Energy Use Survey 2016 (%)</w:t>
            </w:r>
          </w:p>
        </w:tc>
      </w:tr>
      <w:tr w:rsidR="00D97D6C" w:rsidRPr="009E06AA" w14:paraId="1E34492D" w14:textId="77777777" w:rsidTr="00B55F24">
        <w:trPr>
          <w:cantSplit/>
          <w:trHeight w:val="250"/>
        </w:trPr>
        <w:tc>
          <w:tcPr>
            <w:tcW w:w="1350" w:type="pct"/>
          </w:tcPr>
          <w:p w14:paraId="1A336622" w14:textId="77777777" w:rsidR="00D97D6C" w:rsidRPr="009E06AA" w:rsidRDefault="00D97D6C" w:rsidP="00B55F24">
            <w:pPr>
              <w:pStyle w:val="TableText"/>
              <w:rPr>
                <w:rFonts w:cs="Calibri"/>
              </w:rPr>
            </w:pPr>
            <w:r w:rsidRPr="009E06AA">
              <w:rPr>
                <w:rFonts w:cs="Calibri"/>
              </w:rPr>
              <w:t>Forestry and logging</w:t>
            </w:r>
          </w:p>
        </w:tc>
        <w:tc>
          <w:tcPr>
            <w:tcW w:w="1814" w:type="pct"/>
            <w:vAlign w:val="center"/>
          </w:tcPr>
          <w:p w14:paraId="40E1E178" w14:textId="77777777" w:rsidR="00D97D6C" w:rsidRPr="009E06AA" w:rsidRDefault="00D97D6C" w:rsidP="00A53C49">
            <w:pPr>
              <w:pStyle w:val="TableText"/>
              <w:jc w:val="right"/>
              <w:rPr>
                <w:rFonts w:cs="Calibri"/>
              </w:rPr>
            </w:pPr>
            <w:r w:rsidRPr="009E06AA">
              <w:rPr>
                <w:rFonts w:cs="Calibri"/>
              </w:rPr>
              <w:t>51.3</w:t>
            </w:r>
          </w:p>
        </w:tc>
        <w:tc>
          <w:tcPr>
            <w:tcW w:w="1836" w:type="pct"/>
            <w:vAlign w:val="center"/>
          </w:tcPr>
          <w:p w14:paraId="34939E7F" w14:textId="77777777" w:rsidR="00D97D6C" w:rsidRPr="009E06AA" w:rsidRDefault="00D97D6C" w:rsidP="00A53C49">
            <w:pPr>
              <w:pStyle w:val="TableText"/>
              <w:jc w:val="right"/>
              <w:rPr>
                <w:rFonts w:cs="Calibri"/>
              </w:rPr>
            </w:pPr>
            <w:r w:rsidRPr="009E06AA">
              <w:rPr>
                <w:rFonts w:cs="Calibri"/>
              </w:rPr>
              <w:t>9.1</w:t>
            </w:r>
          </w:p>
        </w:tc>
      </w:tr>
      <w:tr w:rsidR="00D97D6C" w:rsidRPr="009E06AA" w14:paraId="28461DB5" w14:textId="77777777" w:rsidTr="00B55F24">
        <w:trPr>
          <w:cantSplit/>
        </w:trPr>
        <w:tc>
          <w:tcPr>
            <w:tcW w:w="1350" w:type="pct"/>
          </w:tcPr>
          <w:p w14:paraId="56E8116C" w14:textId="77777777" w:rsidR="00D97D6C" w:rsidRPr="009E06AA" w:rsidRDefault="00D97D6C" w:rsidP="00B55F24">
            <w:pPr>
              <w:pStyle w:val="TableText"/>
              <w:rPr>
                <w:rFonts w:cs="Calibri"/>
              </w:rPr>
            </w:pPr>
            <w:r w:rsidRPr="009E06AA">
              <w:rPr>
                <w:rFonts w:cs="Calibri"/>
              </w:rPr>
              <w:t>Mining</w:t>
            </w:r>
          </w:p>
        </w:tc>
        <w:tc>
          <w:tcPr>
            <w:tcW w:w="1814" w:type="pct"/>
            <w:vAlign w:val="center"/>
          </w:tcPr>
          <w:p w14:paraId="1FF1406A" w14:textId="77777777" w:rsidR="00D97D6C" w:rsidRPr="009E06AA" w:rsidRDefault="00D97D6C" w:rsidP="00A53C49">
            <w:pPr>
              <w:pStyle w:val="TableText"/>
              <w:jc w:val="right"/>
              <w:rPr>
                <w:rFonts w:cs="Calibri"/>
              </w:rPr>
            </w:pPr>
            <w:r w:rsidRPr="009E06AA">
              <w:rPr>
                <w:rFonts w:cs="Calibri"/>
              </w:rPr>
              <w:t>48.7</w:t>
            </w:r>
          </w:p>
        </w:tc>
        <w:tc>
          <w:tcPr>
            <w:tcW w:w="1836" w:type="pct"/>
            <w:vAlign w:val="center"/>
          </w:tcPr>
          <w:p w14:paraId="0540F6BB" w14:textId="77777777" w:rsidR="00D97D6C" w:rsidRPr="009E06AA" w:rsidRDefault="00D97D6C" w:rsidP="00A53C49">
            <w:pPr>
              <w:pStyle w:val="TableText"/>
              <w:jc w:val="right"/>
              <w:rPr>
                <w:rFonts w:cs="Calibri"/>
              </w:rPr>
            </w:pPr>
            <w:r w:rsidRPr="009E06AA">
              <w:rPr>
                <w:rFonts w:cs="Calibri"/>
              </w:rPr>
              <w:t>90.9</w:t>
            </w:r>
          </w:p>
        </w:tc>
      </w:tr>
    </w:tbl>
    <w:p w14:paraId="24EE5DF4" w14:textId="77777777" w:rsidR="00D97D6C" w:rsidRPr="009E06AA" w:rsidRDefault="00D97D6C" w:rsidP="00A53C49">
      <w:pPr>
        <w:pStyle w:val="Heading5"/>
        <w:spacing w:before="320"/>
      </w:pPr>
      <w:r w:rsidRPr="009E06AA">
        <w:t>Solid fuels</w:t>
      </w:r>
    </w:p>
    <w:p w14:paraId="67973221" w14:textId="77777777" w:rsidR="00D97D6C" w:rsidRPr="009E06AA" w:rsidRDefault="00D97D6C" w:rsidP="00550502">
      <w:pPr>
        <w:pStyle w:val="BodyText"/>
      </w:pPr>
      <w:r w:rsidRPr="009E06AA">
        <w:t xml:space="preserve">In 2010, it was discovered that some coal reported as sold to the commercial sector was in fact being on-sold to resellers rather than directly to end users. As a result, some activity previously reported in the </w:t>
      </w:r>
      <w:r w:rsidRPr="009E06AA">
        <w:rPr>
          <w:i/>
        </w:rPr>
        <w:t xml:space="preserve">Commercial </w:t>
      </w:r>
      <w:r w:rsidRPr="009E06AA">
        <w:t>category has been reallocated to the Agriculture sector. This on-selling is assumed to continue across the time series 1990 to 2022.</w:t>
      </w:r>
    </w:p>
    <w:p w14:paraId="2E6B09AF" w14:textId="77777777" w:rsidR="00D97D6C" w:rsidRPr="009E06AA" w:rsidRDefault="00D97D6C" w:rsidP="00550502">
      <w:pPr>
        <w:pStyle w:val="BodyText"/>
      </w:pPr>
      <w:r w:rsidRPr="009E06AA">
        <w:t>Several synthetic solid fuels are used as lightweight cooking fuels by hikers and the military. Examples include hexamethylenetetramine, metaldehyde and trioxane, which are derived from chemical feedstocks such as aldehydes and ammonia, and hence contain fossil carbon. These fuels are not covered by the national energy balance, and the emissions associated with their combustion have not been estimated.</w:t>
      </w:r>
    </w:p>
    <w:p w14:paraId="5B5F556A" w14:textId="77777777" w:rsidR="00D97D6C" w:rsidRPr="009E06AA" w:rsidRDefault="00D97D6C" w:rsidP="00BF2A76">
      <w:pPr>
        <w:pStyle w:val="Heading5"/>
      </w:pPr>
      <w:r w:rsidRPr="009E06AA">
        <w:t>Solid biomass</w:t>
      </w:r>
    </w:p>
    <w:p w14:paraId="735CB15A" w14:textId="77777777" w:rsidR="00D97D6C" w:rsidRPr="009E06AA" w:rsidRDefault="00D97D6C" w:rsidP="00D97D6C">
      <w:pPr>
        <w:pStyle w:val="BodyText"/>
        <w:spacing w:before="80" w:after="100"/>
        <w:rPr>
          <w:rFonts w:cs="Calibri"/>
        </w:rPr>
      </w:pPr>
      <w:r w:rsidRPr="009E06AA">
        <w:rPr>
          <w:rFonts w:cs="Calibri"/>
        </w:rPr>
        <w:t xml:space="preserve">Residential combustion of biomass is estimated using household number estimates from Stats NZ, along with five-yearly census figures estimating the percentage of households using biomass for heating. Interpolation is used to estimate shares for intermediate years. The census data indicate that the popularity of woodburners is decreasing slowly over time. The energy content of biomass burned in each household was estimated by the study </w:t>
      </w:r>
      <w:r w:rsidRPr="009E06AA">
        <w:rPr>
          <w:rFonts w:cs="Calibri"/>
          <w:i/>
        </w:rPr>
        <w:t>Energy Use in New Zealand Households</w:t>
      </w:r>
      <w:r w:rsidRPr="009E06AA">
        <w:rPr>
          <w:rFonts w:cs="Calibri"/>
        </w:rPr>
        <w:t xml:space="preserve"> (BRANZ, 2002).</w:t>
      </w:r>
    </w:p>
    <w:p w14:paraId="460CAE79" w14:textId="77777777" w:rsidR="00D97D6C" w:rsidRPr="009E06AA" w:rsidRDefault="00D97D6C" w:rsidP="00D97D6C">
      <w:pPr>
        <w:pStyle w:val="BodyText"/>
        <w:spacing w:before="100" w:after="100"/>
        <w:rPr>
          <w:rFonts w:cs="Calibri"/>
        </w:rPr>
      </w:pPr>
      <w:r w:rsidRPr="009E06AA">
        <w:rPr>
          <w:rFonts w:cs="Calibri"/>
        </w:rPr>
        <w:t xml:space="preserve">Outdoor combustion of biomass (e.g., or bonfires, barbecues, campfires, pizza ovens, braziers, chimeneas, or in preparation for traditional methods of cooking food such as hāngī, umu and lovo) is common in </w:t>
      </w:r>
      <w:r w:rsidRPr="009E06AA">
        <w:rPr>
          <w:rFonts w:cs="Calibri"/>
          <w:lang w:eastAsia="en-GB"/>
        </w:rPr>
        <w:t>New Zealand</w:t>
      </w:r>
      <w:r w:rsidRPr="009E06AA">
        <w:rPr>
          <w:rFonts w:cs="Calibri"/>
        </w:rPr>
        <w:t>. These activities are distinct from open-burning of unwanted biomass that is not used for energy purposes, which would be reported under the Waste sector. While activity data are not available, expert opinion indicates that the likely level of activity is relatively minor compared with the indoor residential combustion of biomass; therefore, emissions associated with these outdoor activities have not been estimated.</w:t>
      </w:r>
    </w:p>
    <w:p w14:paraId="6F8E3DA2" w14:textId="77777777" w:rsidR="00D97D6C" w:rsidRPr="009E06AA" w:rsidRDefault="00D97D6C" w:rsidP="00BF2A76">
      <w:pPr>
        <w:pStyle w:val="Heading5"/>
      </w:pPr>
      <w:r w:rsidRPr="009E06AA">
        <w:t>Gaseous fuels</w:t>
      </w:r>
    </w:p>
    <w:p w14:paraId="3EDF5C59" w14:textId="77777777" w:rsidR="00D97D6C" w:rsidRPr="009E06AA" w:rsidRDefault="00D97D6C" w:rsidP="00D97D6C">
      <w:pPr>
        <w:pStyle w:val="BodyText"/>
        <w:spacing w:before="80" w:after="100"/>
        <w:rPr>
          <w:rFonts w:cs="Calibri"/>
        </w:rPr>
      </w:pPr>
      <w:r w:rsidRPr="009E06AA">
        <w:rPr>
          <w:rFonts w:cs="Calibri"/>
        </w:rPr>
        <w:t>Annual natural gas consumption statistics are published by MBIE. Reviews of all natural gas consumption data were undertaken in 2011 and 2014 by MBIE. For further information, see section 3.2.8 (Activity data, Gaseous fuels).</w:t>
      </w:r>
    </w:p>
    <w:p w14:paraId="19E69CC6" w14:textId="77777777" w:rsidR="00D97D6C" w:rsidRPr="009E06AA" w:rsidRDefault="00D97D6C" w:rsidP="00BF2A76">
      <w:pPr>
        <w:pStyle w:val="Heading5"/>
        <w:rPr>
          <w:lang w:eastAsia="en-GB"/>
        </w:rPr>
      </w:pPr>
      <w:r w:rsidRPr="009E06AA">
        <w:rPr>
          <w:lang w:eastAsia="en-GB"/>
        </w:rPr>
        <w:t>Other fossil fuels</w:t>
      </w:r>
    </w:p>
    <w:p w14:paraId="3F19149F" w14:textId="77777777" w:rsidR="00D97D6C" w:rsidRPr="009E06AA" w:rsidRDefault="00D97D6C" w:rsidP="00D97D6C">
      <w:pPr>
        <w:pStyle w:val="BodyText"/>
        <w:spacing w:before="80" w:after="100"/>
        <w:rPr>
          <w:rFonts w:cs="Calibri"/>
        </w:rPr>
      </w:pPr>
      <w:r w:rsidRPr="009E06AA">
        <w:rPr>
          <w:rFonts w:cs="Calibri"/>
        </w:rPr>
        <w:t xml:space="preserve">Mixtures of fossil fuels are combined with a wide range of metal, organic and non-organic compounds in the formulation of fireworks. In </w:t>
      </w:r>
      <w:r w:rsidRPr="009E06AA">
        <w:rPr>
          <w:rFonts w:cs="Calibri"/>
          <w:lang w:eastAsia="en-GB"/>
        </w:rPr>
        <w:t>New Zealand</w:t>
      </w:r>
      <w:r w:rsidRPr="009E06AA">
        <w:rPr>
          <w:rFonts w:cs="Calibri"/>
        </w:rPr>
        <w:t>, most towns and cities hold public fireworks displays for Guy Fawkes Night (5 November) and increasingly on other days to celebrate religious and cultural festivals, such as Diwali, Matariki and Lunar New Year, as well as at major sporting events. Fireworks are imported from overseas, generally China – there is no domestic production. Common fossil–carbon based fuels include carbon black, coal, asphaltum and gilsonite. In addition to CO</w:t>
      </w:r>
      <w:r w:rsidRPr="009E06AA">
        <w:rPr>
          <w:rFonts w:cs="Calibri"/>
          <w:vertAlign w:val="subscript"/>
        </w:rPr>
        <w:t>2</w:t>
      </w:r>
      <w:r w:rsidRPr="009E06AA">
        <w:rPr>
          <w:rFonts w:cs="Calibri"/>
        </w:rPr>
        <w:t>, greenhouse gas emissions also include CH</w:t>
      </w:r>
      <w:r w:rsidRPr="009E06AA">
        <w:rPr>
          <w:rFonts w:cs="Calibri"/>
          <w:vertAlign w:val="subscript"/>
        </w:rPr>
        <w:t>4</w:t>
      </w:r>
      <w:r w:rsidRPr="009E06AA">
        <w:rPr>
          <w:rFonts w:cs="Calibri"/>
        </w:rPr>
        <w:t> and N</w:t>
      </w:r>
      <w:r w:rsidRPr="009E06AA">
        <w:rPr>
          <w:rFonts w:cs="Calibri"/>
          <w:vertAlign w:val="subscript"/>
        </w:rPr>
        <w:t>2</w:t>
      </w:r>
      <w:r w:rsidRPr="009E06AA">
        <w:rPr>
          <w:rFonts w:cs="Calibri"/>
        </w:rPr>
        <w:t xml:space="preserve">O. </w:t>
      </w:r>
    </w:p>
    <w:p w14:paraId="4038F68C" w14:textId="6C234414" w:rsidR="00D97D6C" w:rsidRPr="009E06AA" w:rsidRDefault="00D97D6C" w:rsidP="00D97D6C">
      <w:pPr>
        <w:pStyle w:val="BodyText"/>
        <w:spacing w:before="100" w:after="100"/>
        <w:rPr>
          <w:rFonts w:cs="Calibri"/>
        </w:rPr>
      </w:pPr>
      <w:r w:rsidRPr="009E06AA">
        <w:rPr>
          <w:rFonts w:cs="Calibri"/>
        </w:rPr>
        <w:t>The annual gross weight of imported</w:t>
      </w:r>
      <w:r w:rsidR="00206328" w:rsidRPr="009E06AA">
        <w:rPr>
          <w:rFonts w:cs="Calibri"/>
        </w:rPr>
        <w:t xml:space="preserve"> </w:t>
      </w:r>
      <w:r w:rsidRPr="009E06AA">
        <w:rPr>
          <w:rFonts w:cs="Calibri"/>
        </w:rPr>
        <w:t xml:space="preserve">fireworks was used as activity data. Emission factors were sourced from the Danish NIR. </w:t>
      </w:r>
    </w:p>
    <w:p w14:paraId="64572A14" w14:textId="77777777" w:rsidR="00D97D6C" w:rsidRPr="009E06AA" w:rsidRDefault="00D97D6C" w:rsidP="00D97D6C">
      <w:pPr>
        <w:pStyle w:val="Heading4"/>
      </w:pPr>
      <w:r w:rsidRPr="009E06AA">
        <w:t>Uncertainty assessment and time-series consistency</w:t>
      </w:r>
    </w:p>
    <w:p w14:paraId="7EF63D91" w14:textId="77777777" w:rsidR="00D97D6C" w:rsidRPr="009E06AA" w:rsidRDefault="00D97D6C" w:rsidP="00D97D6C">
      <w:pPr>
        <w:pStyle w:val="BodyText"/>
        <w:rPr>
          <w:lang w:eastAsia="en-GB"/>
        </w:rPr>
      </w:pPr>
      <w:r w:rsidRPr="009E06AA">
        <w:rPr>
          <w:lang w:eastAsia="en-GB"/>
        </w:rPr>
        <w:t>Uncertainties in emission estimates for data from other sectors are relevant to the entire Energy sector (see table 3.2.1).</w:t>
      </w:r>
    </w:p>
    <w:p w14:paraId="47A4F0FE" w14:textId="77777777" w:rsidR="00D97D6C" w:rsidRPr="009E06AA" w:rsidRDefault="00D97D6C" w:rsidP="00D97D6C">
      <w:pPr>
        <w:pStyle w:val="Heading4"/>
      </w:pPr>
      <w:r w:rsidRPr="009E06AA">
        <w:t>Category-specific QA/QC and verification</w:t>
      </w:r>
    </w:p>
    <w:p w14:paraId="1DBE09EE" w14:textId="77777777" w:rsidR="00D97D6C" w:rsidRPr="009E06AA" w:rsidRDefault="00D97D6C" w:rsidP="00D97D6C">
      <w:pPr>
        <w:pStyle w:val="BodyText"/>
        <w:spacing w:before="100" w:after="100"/>
        <w:rPr>
          <w:lang w:eastAsia="en-GB"/>
        </w:rPr>
      </w:pPr>
      <w:r w:rsidRPr="009E06AA">
        <w:rPr>
          <w:lang w:eastAsia="en-GB"/>
        </w:rPr>
        <w:t xml:space="preserve">In the preparation of this inventory, the </w:t>
      </w:r>
      <w:r w:rsidRPr="009E06AA">
        <w:rPr>
          <w:rFonts w:cs="Calibri"/>
          <w:i/>
          <w:lang w:eastAsia="en-GB"/>
        </w:rPr>
        <w:t>Other sectors</w:t>
      </w:r>
      <w:r w:rsidRPr="009E06AA">
        <w:rPr>
          <w:lang w:eastAsia="en-GB"/>
        </w:rPr>
        <w:t xml:space="preserve"> category underwent Tier 1 quality-assurance and quality-control checks as recommended in the 2006 IPCC Guidelines. These include regular control sums throughout systems, to verify system integrity, and consistency checks of implied emission factors.</w:t>
      </w:r>
    </w:p>
    <w:p w14:paraId="1E8FB825" w14:textId="77777777" w:rsidR="00D97D6C" w:rsidRPr="009E06AA" w:rsidRDefault="00D97D6C" w:rsidP="00D97D6C">
      <w:pPr>
        <w:pStyle w:val="Heading4"/>
      </w:pPr>
      <w:r w:rsidRPr="009E06AA">
        <w:t>Category-specific recalculations</w:t>
      </w:r>
    </w:p>
    <w:p w14:paraId="0A981E44" w14:textId="77777777" w:rsidR="00D97D6C" w:rsidRPr="009E06AA" w:rsidRDefault="00D97D6C" w:rsidP="00D97D6C">
      <w:pPr>
        <w:pStyle w:val="BodyText"/>
        <w:spacing w:before="100" w:after="100"/>
        <w:rPr>
          <w:lang w:eastAsia="en-GB"/>
        </w:rPr>
      </w:pPr>
      <w:r w:rsidRPr="009E06AA">
        <w:rPr>
          <w:lang w:eastAsia="en-GB"/>
        </w:rPr>
        <w:t>Historical energy demand data in the national energy balance tables is occasionally revised from year to year. This may result in minor revisions to activity data and recalculations to the corresponding emissions for some years in some categories. Category-specific planned improvements.</w:t>
      </w:r>
    </w:p>
    <w:p w14:paraId="08CDBA5F" w14:textId="77777777" w:rsidR="00D97D6C" w:rsidRPr="009E06AA" w:rsidRDefault="00D97D6C" w:rsidP="00D97D6C">
      <w:pPr>
        <w:pStyle w:val="Heading4"/>
        <w:rPr>
          <w:lang w:eastAsia="en-GB"/>
        </w:rPr>
      </w:pPr>
      <w:r w:rsidRPr="009E06AA">
        <w:t>Category</w:t>
      </w:r>
      <w:r w:rsidRPr="009E06AA">
        <w:rPr>
          <w:lang w:eastAsia="en-GB"/>
        </w:rPr>
        <w:t>-specific planned improvements</w:t>
      </w:r>
    </w:p>
    <w:p w14:paraId="577393AB" w14:textId="77777777" w:rsidR="00D97D6C" w:rsidRPr="009E06AA" w:rsidRDefault="00D97D6C" w:rsidP="00D97D6C">
      <w:pPr>
        <w:pStyle w:val="BodyText"/>
        <w:rPr>
          <w:rFonts w:cs="Calibri"/>
          <w:b/>
          <w:bCs/>
          <w:szCs w:val="24"/>
          <w:lang w:eastAsia="en-GB"/>
        </w:rPr>
      </w:pPr>
      <w:r w:rsidRPr="009E06AA">
        <w:rPr>
          <w:rFonts w:cs="Calibri"/>
          <w:lang w:eastAsia="en-GB"/>
        </w:rPr>
        <w:t xml:space="preserve">No improvements are planned for this category. </w:t>
      </w:r>
    </w:p>
    <w:p w14:paraId="07F4FA11" w14:textId="77777777" w:rsidR="00D97D6C" w:rsidRPr="009E06AA" w:rsidRDefault="00D97D6C" w:rsidP="00D97D6C">
      <w:pPr>
        <w:pStyle w:val="Heading2"/>
        <w:rPr>
          <w:rFonts w:cs="Calibri"/>
        </w:rPr>
      </w:pPr>
      <w:bookmarkStart w:id="424" w:name="_Toc321398811"/>
      <w:bookmarkStart w:id="425" w:name="_Toc384581637"/>
      <w:bookmarkStart w:id="426" w:name="_Toc448321509"/>
      <w:bookmarkStart w:id="427" w:name="_Toc481751371"/>
      <w:bookmarkStart w:id="428" w:name="_Toc36224388"/>
      <w:bookmarkStart w:id="429" w:name="_Toc68786308"/>
      <w:bookmarkStart w:id="430" w:name="_Toc164154176"/>
      <w:r w:rsidRPr="009E06AA">
        <w:rPr>
          <w:rFonts w:cs="Calibri"/>
        </w:rPr>
        <w:t>3.3</w:t>
      </w:r>
      <w:r w:rsidRPr="009E06AA">
        <w:rPr>
          <w:rFonts w:cs="Calibri"/>
        </w:rPr>
        <w:tab/>
        <w:t>Fugitive emissions from solid fuels and oil and natural gas and other emissions from energy production (CRT 1.B)</w:t>
      </w:r>
      <w:bookmarkEnd w:id="424"/>
      <w:bookmarkEnd w:id="425"/>
      <w:bookmarkEnd w:id="426"/>
      <w:bookmarkEnd w:id="427"/>
      <w:bookmarkEnd w:id="428"/>
      <w:bookmarkEnd w:id="429"/>
      <w:bookmarkEnd w:id="430"/>
    </w:p>
    <w:p w14:paraId="5C2A03B7" w14:textId="77777777" w:rsidR="00D97D6C" w:rsidRPr="009E06AA" w:rsidRDefault="00D97D6C" w:rsidP="00D97D6C">
      <w:pPr>
        <w:pStyle w:val="Heading4"/>
      </w:pPr>
      <w:r w:rsidRPr="009E06AA">
        <w:t>Category description</w:t>
      </w:r>
    </w:p>
    <w:p w14:paraId="52DD5D65" w14:textId="77777777" w:rsidR="00D97D6C" w:rsidRPr="009E06AA" w:rsidRDefault="00D97D6C" w:rsidP="00D97D6C">
      <w:pPr>
        <w:pStyle w:val="BodyText"/>
        <w:spacing w:before="100" w:after="100"/>
        <w:rPr>
          <w:rFonts w:cs="Calibri"/>
          <w:lang w:eastAsia="en-GB"/>
        </w:rPr>
      </w:pPr>
      <w:r w:rsidRPr="009E06AA">
        <w:rPr>
          <w:rFonts w:cs="Calibri"/>
          <w:lang w:eastAsia="en-GB"/>
        </w:rPr>
        <w:t xml:space="preserve">Fugitive emissions arise from the production, processing, transmission, storage and use of fossil fuels, and from non-productive combustion. This category comprises two categories: </w:t>
      </w:r>
      <w:r w:rsidRPr="009E06AA">
        <w:rPr>
          <w:rFonts w:cs="Calibri"/>
          <w:i/>
          <w:lang w:eastAsia="en-GB"/>
        </w:rPr>
        <w:t>Solid fuels</w:t>
      </w:r>
      <w:r w:rsidRPr="009E06AA">
        <w:rPr>
          <w:rFonts w:cs="Calibri"/>
          <w:lang w:eastAsia="en-GB"/>
        </w:rPr>
        <w:t xml:space="preserve"> and </w:t>
      </w:r>
      <w:r w:rsidRPr="009E06AA">
        <w:rPr>
          <w:rFonts w:cs="Calibri"/>
          <w:i/>
          <w:lang w:eastAsia="en-GB"/>
        </w:rPr>
        <w:t>Oil and natural gas</w:t>
      </w:r>
      <w:r w:rsidRPr="009E06AA">
        <w:rPr>
          <w:rFonts w:cs="Calibri"/>
          <w:lang w:eastAsia="en-GB"/>
        </w:rPr>
        <w:t>.</w:t>
      </w:r>
    </w:p>
    <w:p w14:paraId="1154C456" w14:textId="77777777" w:rsidR="00D97D6C" w:rsidRPr="009E06AA" w:rsidRDefault="00D97D6C" w:rsidP="00D97D6C">
      <w:pPr>
        <w:pStyle w:val="BodyText"/>
        <w:spacing w:before="100" w:after="100"/>
        <w:rPr>
          <w:rFonts w:cs="Calibri"/>
          <w:lang w:eastAsia="en-GB"/>
        </w:rPr>
      </w:pPr>
      <w:r w:rsidRPr="009E06AA">
        <w:rPr>
          <w:rFonts w:cs="Calibri"/>
          <w:lang w:eastAsia="en-GB"/>
        </w:rPr>
        <w:t xml:space="preserve">In </w:t>
      </w:r>
      <w:r w:rsidRPr="009E06AA">
        <w:rPr>
          <w:rFonts w:cs="Calibri"/>
        </w:rPr>
        <w:t>2022</w:t>
      </w:r>
      <w:r w:rsidRPr="009E06AA">
        <w:rPr>
          <w:rFonts w:cs="Calibri"/>
          <w:lang w:eastAsia="en-GB"/>
        </w:rPr>
        <w:t xml:space="preserve">, </w:t>
      </w:r>
      <w:r w:rsidRPr="009E06AA">
        <w:rPr>
          <w:rFonts w:cs="Calibri"/>
          <w:i/>
          <w:iCs/>
          <w:lang w:eastAsia="en-GB"/>
        </w:rPr>
        <w:t>Fugitive</w:t>
      </w:r>
      <w:r w:rsidRPr="009E06AA">
        <w:rPr>
          <w:rFonts w:cs="Calibri"/>
          <w:lang w:eastAsia="en-GB"/>
        </w:rPr>
        <w:t xml:space="preserve"> emissions from fuels accounted for </w:t>
      </w:r>
      <w:r w:rsidRPr="009E06AA">
        <w:rPr>
          <w:rFonts w:cs="Calibri"/>
        </w:rPr>
        <w:t xml:space="preserve">1,291.5 </w:t>
      </w:r>
      <w:r w:rsidRPr="009E06AA">
        <w:rPr>
          <w:rFonts w:cs="Calibri"/>
          <w:lang w:eastAsia="en-GB"/>
        </w:rPr>
        <w:t>kt CO</w:t>
      </w:r>
      <w:r w:rsidRPr="009E06AA">
        <w:rPr>
          <w:rFonts w:cs="Calibri"/>
          <w:vertAlign w:val="subscript"/>
          <w:lang w:eastAsia="en-GB"/>
        </w:rPr>
        <w:t>2</w:t>
      </w:r>
      <w:r w:rsidRPr="009E06AA">
        <w:rPr>
          <w:rFonts w:cs="Calibri"/>
          <w:lang w:eastAsia="en-GB"/>
        </w:rPr>
        <w:t>-e (</w:t>
      </w:r>
      <w:r w:rsidRPr="009E06AA">
        <w:rPr>
          <w:rFonts w:cs="Calibri"/>
        </w:rPr>
        <w:t>4.5 per cent</w:t>
      </w:r>
      <w:r w:rsidRPr="009E06AA">
        <w:rPr>
          <w:rFonts w:cs="Calibri"/>
          <w:lang w:eastAsia="en-GB"/>
        </w:rPr>
        <w:t xml:space="preserve">) of emissions from the Energy sector. This is </w:t>
      </w:r>
      <w:r w:rsidRPr="009E06AA">
        <w:rPr>
          <w:rFonts w:cs="Calibri"/>
        </w:rPr>
        <w:t xml:space="preserve">257.9 </w:t>
      </w:r>
      <w:r w:rsidRPr="009E06AA">
        <w:rPr>
          <w:rFonts w:cs="Calibri"/>
          <w:lang w:eastAsia="en-GB"/>
        </w:rPr>
        <w:t>kt CO</w:t>
      </w:r>
      <w:r w:rsidRPr="009E06AA">
        <w:rPr>
          <w:rFonts w:cs="Calibri"/>
          <w:vertAlign w:val="subscript"/>
          <w:lang w:eastAsia="en-GB"/>
        </w:rPr>
        <w:t>2</w:t>
      </w:r>
      <w:r w:rsidRPr="009E06AA">
        <w:rPr>
          <w:rFonts w:cs="Calibri"/>
          <w:lang w:eastAsia="en-GB"/>
        </w:rPr>
        <w:t>-e (</w:t>
      </w:r>
      <w:r w:rsidRPr="009E06AA">
        <w:rPr>
          <w:rFonts w:cs="Calibri"/>
        </w:rPr>
        <w:t>16.6 per cent</w:t>
      </w:r>
      <w:r w:rsidRPr="009E06AA">
        <w:rPr>
          <w:rFonts w:cs="Calibri"/>
          <w:lang w:eastAsia="en-GB"/>
        </w:rPr>
        <w:t xml:space="preserve">) lower than the 1990 level of </w:t>
      </w:r>
      <w:r w:rsidRPr="009E06AA">
        <w:rPr>
          <w:rFonts w:cs="Calibri"/>
        </w:rPr>
        <w:t xml:space="preserve">1,549.4 </w:t>
      </w:r>
      <w:r w:rsidRPr="009E06AA">
        <w:rPr>
          <w:rFonts w:cs="Calibri"/>
          <w:lang w:eastAsia="en-GB"/>
        </w:rPr>
        <w:t>kt CO</w:t>
      </w:r>
      <w:r w:rsidRPr="009E06AA">
        <w:rPr>
          <w:rFonts w:cs="Calibri"/>
          <w:vertAlign w:val="subscript"/>
          <w:lang w:eastAsia="en-GB"/>
        </w:rPr>
        <w:t>2</w:t>
      </w:r>
      <w:r w:rsidRPr="009E06AA">
        <w:rPr>
          <w:rFonts w:cs="Calibri"/>
          <w:lang w:eastAsia="en-GB"/>
        </w:rPr>
        <w:t>-e.</w:t>
      </w:r>
    </w:p>
    <w:p w14:paraId="7BFCC625" w14:textId="77777777" w:rsidR="00D97D6C" w:rsidRPr="009E06AA" w:rsidRDefault="00D97D6C" w:rsidP="00D97D6C">
      <w:pPr>
        <w:pStyle w:val="Heading4"/>
        <w:rPr>
          <w:lang w:eastAsia="en-GB"/>
        </w:rPr>
      </w:pPr>
      <w:r w:rsidRPr="009E06AA">
        <w:rPr>
          <w:lang w:eastAsia="en-GB"/>
        </w:rPr>
        <w:t xml:space="preserve">Changes in emissions </w:t>
      </w:r>
      <w:r w:rsidRPr="009E06AA">
        <w:t>between</w:t>
      </w:r>
      <w:r w:rsidRPr="009E06AA">
        <w:rPr>
          <w:lang w:eastAsia="en-GB"/>
        </w:rPr>
        <w:t xml:space="preserve"> </w:t>
      </w:r>
      <w:r w:rsidRPr="009E06AA">
        <w:t xml:space="preserve">2021 </w:t>
      </w:r>
      <w:r w:rsidRPr="009E06AA">
        <w:rPr>
          <w:lang w:eastAsia="en-GB"/>
        </w:rPr>
        <w:t xml:space="preserve">and </w:t>
      </w:r>
      <w:r w:rsidRPr="009E06AA">
        <w:t>2022</w:t>
      </w:r>
    </w:p>
    <w:p w14:paraId="2B4A6E68" w14:textId="77777777" w:rsidR="00D97D6C" w:rsidRPr="009E06AA" w:rsidRDefault="00D97D6C" w:rsidP="00D97D6C">
      <w:pPr>
        <w:pStyle w:val="BodyText"/>
        <w:spacing w:before="100" w:after="100"/>
        <w:rPr>
          <w:rFonts w:cs="Calibri"/>
        </w:rPr>
      </w:pPr>
      <w:r w:rsidRPr="009E06AA">
        <w:rPr>
          <w:rFonts w:cs="Calibri"/>
          <w:lang w:eastAsia="en-GB"/>
        </w:rPr>
        <w:t xml:space="preserve">Between </w:t>
      </w:r>
      <w:r w:rsidRPr="009E06AA">
        <w:rPr>
          <w:rFonts w:cs="Calibri"/>
        </w:rPr>
        <w:t>2021</w:t>
      </w:r>
      <w:r w:rsidRPr="009E06AA">
        <w:rPr>
          <w:rFonts w:cs="Calibri"/>
          <w:lang w:eastAsia="en-GB"/>
        </w:rPr>
        <w:t xml:space="preserve"> and </w:t>
      </w:r>
      <w:r w:rsidRPr="009E06AA">
        <w:rPr>
          <w:rFonts w:cs="Calibri"/>
        </w:rPr>
        <w:t>2022</w:t>
      </w:r>
      <w:r w:rsidRPr="009E06AA">
        <w:rPr>
          <w:rFonts w:cs="Calibri"/>
          <w:lang w:eastAsia="en-GB"/>
        </w:rPr>
        <w:t xml:space="preserve">, </w:t>
      </w:r>
      <w:r w:rsidRPr="009E06AA">
        <w:rPr>
          <w:rFonts w:cs="Calibri"/>
          <w:i/>
          <w:iCs/>
          <w:lang w:eastAsia="en-GB"/>
        </w:rPr>
        <w:t>Fugitive</w:t>
      </w:r>
      <w:r w:rsidRPr="009E06AA">
        <w:rPr>
          <w:rFonts w:cs="Calibri"/>
          <w:lang w:eastAsia="en-GB"/>
        </w:rPr>
        <w:t xml:space="preserve"> emissions from fuels</w:t>
      </w:r>
      <w:r w:rsidRPr="009E06AA">
        <w:rPr>
          <w:rFonts w:cs="Calibri"/>
        </w:rPr>
        <w:t xml:space="preserve"> increased by 143.0 </w:t>
      </w:r>
      <w:r w:rsidRPr="009E06AA">
        <w:rPr>
          <w:rFonts w:cs="Calibri"/>
          <w:lang w:eastAsia="en-GB"/>
        </w:rPr>
        <w:t>kt CO</w:t>
      </w:r>
      <w:r w:rsidRPr="009E06AA">
        <w:rPr>
          <w:rFonts w:cs="Calibri"/>
          <w:szCs w:val="14"/>
          <w:vertAlign w:val="subscript"/>
          <w:lang w:eastAsia="en-GB"/>
        </w:rPr>
        <w:t>2</w:t>
      </w:r>
      <w:r w:rsidRPr="009E06AA">
        <w:rPr>
          <w:rFonts w:cs="Calibri"/>
          <w:lang w:eastAsia="en-GB"/>
        </w:rPr>
        <w:t>-e (</w:t>
      </w:r>
      <w:r w:rsidRPr="009E06AA">
        <w:rPr>
          <w:rFonts w:cs="Calibri"/>
        </w:rPr>
        <w:t>12.5 per cent</w:t>
      </w:r>
      <w:r w:rsidRPr="009E06AA">
        <w:rPr>
          <w:rFonts w:cs="Calibri"/>
          <w:lang w:eastAsia="en-GB"/>
        </w:rPr>
        <w:t xml:space="preserve">). This was primarily the result of increased activity in category 1.B.2.c. </w:t>
      </w:r>
      <w:r w:rsidRPr="009E06AA">
        <w:rPr>
          <w:rFonts w:cs="Calibri"/>
          <w:i/>
          <w:lang w:eastAsia="en-GB"/>
        </w:rPr>
        <w:t>Venting and flaring</w:t>
      </w:r>
      <w:r w:rsidRPr="009E06AA">
        <w:rPr>
          <w:rFonts w:cs="Calibri"/>
          <w:i/>
        </w:rPr>
        <w:t>.</w:t>
      </w:r>
    </w:p>
    <w:p w14:paraId="617A5416" w14:textId="77777777" w:rsidR="00D97D6C" w:rsidRPr="009E06AA" w:rsidRDefault="00D97D6C" w:rsidP="00D97D6C">
      <w:pPr>
        <w:pStyle w:val="BodyText"/>
        <w:spacing w:before="100" w:after="100"/>
        <w:rPr>
          <w:rFonts w:cs="Calibri"/>
        </w:rPr>
      </w:pPr>
      <w:r w:rsidRPr="009E06AA">
        <w:rPr>
          <w:rFonts w:cs="Calibri"/>
        </w:rPr>
        <w:t xml:space="preserve">Key categories identified in the 2022 level and trend assessment for the </w:t>
      </w:r>
      <w:r w:rsidRPr="009E06AA">
        <w:rPr>
          <w:rFonts w:cs="Calibri"/>
          <w:i/>
          <w:lang w:eastAsia="en-GB"/>
        </w:rPr>
        <w:t>Fugitive emissions</w:t>
      </w:r>
      <w:r w:rsidRPr="009E06AA">
        <w:rPr>
          <w:rFonts w:cs="Calibri"/>
        </w:rPr>
        <w:t xml:space="preserve"> category are given in table 3.3.1.</w:t>
      </w:r>
    </w:p>
    <w:p w14:paraId="2CF8B4B3" w14:textId="77777777" w:rsidR="00D97D6C" w:rsidRPr="009E06AA" w:rsidRDefault="00D97D6C" w:rsidP="00D97D6C">
      <w:pPr>
        <w:pStyle w:val="Table"/>
      </w:pPr>
      <w:bookmarkStart w:id="431" w:name="_Toc68786413"/>
      <w:bookmarkStart w:id="432" w:name="_Toc164153812"/>
      <w:r w:rsidRPr="009E06AA">
        <w:t>Table 3.3.1</w:t>
      </w:r>
      <w:r w:rsidRPr="009E06AA">
        <w:tab/>
        <w:t xml:space="preserve">Key categories for 1.B </w:t>
      </w:r>
      <w:r w:rsidRPr="009E06AA">
        <w:rPr>
          <w:i/>
          <w:iCs/>
        </w:rPr>
        <w:t>Fugitive emissions</w:t>
      </w:r>
      <w:bookmarkEnd w:id="431"/>
      <w:bookmarkEnd w:id="432"/>
    </w:p>
    <w:tbl>
      <w:tblPr>
        <w:tblW w:w="8505" w:type="dxa"/>
        <w:tblBorders>
          <w:top w:val="single" w:sz="4" w:space="0" w:color="1B556B"/>
          <w:bottom w:val="single" w:sz="4" w:space="0" w:color="1B556B"/>
          <w:insideH w:val="single" w:sz="4" w:space="0" w:color="1B556B"/>
          <w:insideV w:val="single" w:sz="4" w:space="0" w:color="1B556B"/>
        </w:tblBorders>
        <w:tblLayout w:type="fixed"/>
        <w:tblLook w:val="0420" w:firstRow="1" w:lastRow="0" w:firstColumn="0" w:lastColumn="0" w:noHBand="0" w:noVBand="1"/>
      </w:tblPr>
      <w:tblGrid>
        <w:gridCol w:w="4620"/>
        <w:gridCol w:w="2036"/>
        <w:gridCol w:w="1849"/>
      </w:tblGrid>
      <w:tr w:rsidR="00D97D6C" w:rsidRPr="009E06AA" w14:paraId="41E5A519" w14:textId="77777777" w:rsidTr="00B55F24">
        <w:trPr>
          <w:cantSplit/>
          <w:tblHeader/>
        </w:trPr>
        <w:tc>
          <w:tcPr>
            <w:tcW w:w="2716" w:type="pct"/>
            <w:shd w:val="clear" w:color="auto" w:fill="1B556B"/>
            <w:noWrap/>
            <w:vAlign w:val="bottom"/>
            <w:hideMark/>
          </w:tcPr>
          <w:p w14:paraId="5C38EF4C" w14:textId="77777777" w:rsidR="00D97D6C" w:rsidRPr="009E06AA" w:rsidRDefault="00D97D6C" w:rsidP="00B55F24">
            <w:pPr>
              <w:pStyle w:val="TableTextBold"/>
              <w:keepNext/>
              <w:spacing w:before="40" w:after="40"/>
              <w:rPr>
                <w:rFonts w:cs="Calibri"/>
                <w:noProof w:val="0"/>
                <w:color w:val="FFFFFF"/>
              </w:rPr>
            </w:pPr>
            <w:r w:rsidRPr="009E06AA">
              <w:rPr>
                <w:rFonts w:cs="Calibri"/>
                <w:noProof w:val="0"/>
                <w:color w:val="FFFFFF"/>
              </w:rPr>
              <w:t>Category</w:t>
            </w:r>
          </w:p>
        </w:tc>
        <w:tc>
          <w:tcPr>
            <w:tcW w:w="1197" w:type="pct"/>
            <w:shd w:val="clear" w:color="auto" w:fill="1B556B"/>
            <w:noWrap/>
            <w:vAlign w:val="bottom"/>
            <w:hideMark/>
          </w:tcPr>
          <w:p w14:paraId="0F412043" w14:textId="77777777" w:rsidR="00D97D6C" w:rsidRPr="009E06AA" w:rsidRDefault="00D97D6C" w:rsidP="00B55F24">
            <w:pPr>
              <w:pStyle w:val="TableTextBold"/>
              <w:keepNext/>
              <w:spacing w:before="40" w:after="40"/>
              <w:rPr>
                <w:rFonts w:cs="Calibri"/>
                <w:noProof w:val="0"/>
                <w:color w:val="FFFFFF"/>
              </w:rPr>
            </w:pPr>
            <w:r w:rsidRPr="009E06AA">
              <w:rPr>
                <w:rFonts w:cs="Calibri"/>
                <w:noProof w:val="0"/>
                <w:color w:val="FFFFFF"/>
              </w:rPr>
              <w:t>CO</w:t>
            </w:r>
            <w:r w:rsidRPr="009E06AA">
              <w:rPr>
                <w:rFonts w:cs="Calibri"/>
                <w:noProof w:val="0"/>
                <w:color w:val="FFFFFF"/>
                <w:vertAlign w:val="subscript"/>
              </w:rPr>
              <w:t>2</w:t>
            </w:r>
          </w:p>
        </w:tc>
        <w:tc>
          <w:tcPr>
            <w:tcW w:w="1087" w:type="pct"/>
            <w:shd w:val="clear" w:color="auto" w:fill="1B556B"/>
            <w:vAlign w:val="bottom"/>
            <w:hideMark/>
          </w:tcPr>
          <w:p w14:paraId="507F6229" w14:textId="77777777" w:rsidR="00D97D6C" w:rsidRPr="009E06AA" w:rsidRDefault="00D97D6C" w:rsidP="00B55F24">
            <w:pPr>
              <w:pStyle w:val="TableTextBold"/>
              <w:keepNext/>
              <w:spacing w:before="40" w:after="40"/>
              <w:rPr>
                <w:rFonts w:cs="Calibri"/>
                <w:noProof w:val="0"/>
                <w:color w:val="FFFFFF"/>
              </w:rPr>
            </w:pPr>
            <w:r w:rsidRPr="009E06AA">
              <w:rPr>
                <w:rFonts w:cs="Calibri"/>
                <w:noProof w:val="0"/>
                <w:color w:val="FFFFFF"/>
              </w:rPr>
              <w:t>CH</w:t>
            </w:r>
            <w:r w:rsidRPr="009E06AA">
              <w:rPr>
                <w:rFonts w:cs="Calibri"/>
                <w:noProof w:val="0"/>
                <w:color w:val="FFFFFF"/>
                <w:vertAlign w:val="subscript"/>
              </w:rPr>
              <w:t>4</w:t>
            </w:r>
          </w:p>
        </w:tc>
      </w:tr>
      <w:tr w:rsidR="00D97D6C" w:rsidRPr="009E06AA" w14:paraId="28647411" w14:textId="77777777" w:rsidTr="00B55F24">
        <w:trPr>
          <w:cantSplit/>
        </w:trPr>
        <w:tc>
          <w:tcPr>
            <w:tcW w:w="2716" w:type="pct"/>
            <w:shd w:val="clear" w:color="auto" w:fill="auto"/>
            <w:noWrap/>
            <w:hideMark/>
          </w:tcPr>
          <w:p w14:paraId="21FB80A2" w14:textId="77777777" w:rsidR="00D97D6C" w:rsidRPr="009E06AA" w:rsidRDefault="00D97D6C" w:rsidP="00B55F24">
            <w:pPr>
              <w:pStyle w:val="TableText"/>
              <w:spacing w:before="40" w:after="40"/>
              <w:rPr>
                <w:rFonts w:cs="Calibri"/>
              </w:rPr>
            </w:pPr>
            <w:r w:rsidRPr="009E06AA">
              <w:rPr>
                <w:rFonts w:cs="Calibri"/>
              </w:rPr>
              <w:t>Coal mining and handling – Underground mines</w:t>
            </w:r>
          </w:p>
        </w:tc>
        <w:tc>
          <w:tcPr>
            <w:tcW w:w="1197" w:type="pct"/>
            <w:shd w:val="clear" w:color="auto" w:fill="auto"/>
            <w:noWrap/>
            <w:hideMark/>
          </w:tcPr>
          <w:p w14:paraId="48828471" w14:textId="77777777" w:rsidR="00D97D6C" w:rsidRPr="009E06AA" w:rsidRDefault="00D97D6C" w:rsidP="00B55F24">
            <w:pPr>
              <w:pStyle w:val="TableText"/>
              <w:spacing w:before="40" w:after="40"/>
              <w:rPr>
                <w:rFonts w:cs="Calibri"/>
              </w:rPr>
            </w:pPr>
            <w:r w:rsidRPr="009E06AA">
              <w:rPr>
                <w:rFonts w:cs="Calibri"/>
              </w:rPr>
              <w:t>–</w:t>
            </w:r>
          </w:p>
        </w:tc>
        <w:tc>
          <w:tcPr>
            <w:tcW w:w="1087" w:type="pct"/>
            <w:shd w:val="clear" w:color="auto" w:fill="auto"/>
            <w:noWrap/>
            <w:hideMark/>
          </w:tcPr>
          <w:p w14:paraId="521FC8BA" w14:textId="77777777" w:rsidR="00D97D6C" w:rsidRPr="009E06AA" w:rsidRDefault="00D97D6C" w:rsidP="00B55F24">
            <w:pPr>
              <w:pStyle w:val="TableText"/>
              <w:spacing w:before="40" w:after="40"/>
              <w:rPr>
                <w:rFonts w:cs="Calibri"/>
              </w:rPr>
            </w:pPr>
            <w:r w:rsidRPr="009E06AA">
              <w:rPr>
                <w:rFonts w:cs="Calibri"/>
              </w:rPr>
              <w:t>Trend</w:t>
            </w:r>
          </w:p>
        </w:tc>
      </w:tr>
      <w:tr w:rsidR="00D97D6C" w:rsidRPr="009E06AA" w14:paraId="298A8F4D" w14:textId="77777777" w:rsidTr="00B55F24">
        <w:trPr>
          <w:cantSplit/>
        </w:trPr>
        <w:tc>
          <w:tcPr>
            <w:tcW w:w="2716" w:type="pct"/>
            <w:shd w:val="clear" w:color="auto" w:fill="auto"/>
            <w:noWrap/>
            <w:hideMark/>
          </w:tcPr>
          <w:p w14:paraId="30C58A9E" w14:textId="77777777" w:rsidR="00D97D6C" w:rsidRPr="009E06AA" w:rsidRDefault="00D97D6C" w:rsidP="00B55F24">
            <w:pPr>
              <w:pStyle w:val="TableText"/>
              <w:spacing w:before="40" w:after="40"/>
              <w:rPr>
                <w:rFonts w:cs="Calibri"/>
              </w:rPr>
            </w:pPr>
            <w:r w:rsidRPr="009E06AA">
              <w:rPr>
                <w:rFonts w:cs="Calibri"/>
              </w:rPr>
              <w:t>Natural gas – Distribution</w:t>
            </w:r>
          </w:p>
        </w:tc>
        <w:tc>
          <w:tcPr>
            <w:tcW w:w="1197" w:type="pct"/>
            <w:shd w:val="clear" w:color="auto" w:fill="auto"/>
            <w:noWrap/>
            <w:hideMark/>
          </w:tcPr>
          <w:p w14:paraId="25638C18" w14:textId="77777777" w:rsidR="00D97D6C" w:rsidRPr="009E06AA" w:rsidRDefault="00D97D6C" w:rsidP="00B55F24">
            <w:pPr>
              <w:pStyle w:val="TableText"/>
              <w:spacing w:before="40" w:after="40"/>
              <w:rPr>
                <w:rFonts w:cs="Calibri"/>
              </w:rPr>
            </w:pPr>
            <w:r w:rsidRPr="009E06AA">
              <w:rPr>
                <w:rFonts w:cs="Calibri"/>
              </w:rPr>
              <w:t>–</w:t>
            </w:r>
          </w:p>
        </w:tc>
        <w:tc>
          <w:tcPr>
            <w:tcW w:w="1087" w:type="pct"/>
            <w:shd w:val="clear" w:color="auto" w:fill="auto"/>
            <w:noWrap/>
          </w:tcPr>
          <w:p w14:paraId="77022D23" w14:textId="77777777" w:rsidR="00D97D6C" w:rsidRPr="009E06AA" w:rsidRDefault="00D97D6C" w:rsidP="00B55F24">
            <w:pPr>
              <w:pStyle w:val="TableText"/>
              <w:spacing w:before="40" w:after="40"/>
              <w:rPr>
                <w:rFonts w:cs="Calibri"/>
              </w:rPr>
            </w:pPr>
            <w:r w:rsidRPr="009E06AA">
              <w:rPr>
                <w:rFonts w:cs="Calibri"/>
              </w:rPr>
              <w:t>Trend</w:t>
            </w:r>
          </w:p>
        </w:tc>
      </w:tr>
      <w:tr w:rsidR="00D97D6C" w:rsidRPr="009E06AA" w14:paraId="4E39231E" w14:textId="77777777" w:rsidTr="00B55F24">
        <w:trPr>
          <w:cantSplit/>
        </w:trPr>
        <w:tc>
          <w:tcPr>
            <w:tcW w:w="2716" w:type="pct"/>
            <w:shd w:val="clear" w:color="auto" w:fill="auto"/>
            <w:noWrap/>
          </w:tcPr>
          <w:p w14:paraId="43A852EA" w14:textId="77777777" w:rsidR="00D97D6C" w:rsidRPr="009E06AA" w:rsidRDefault="00D97D6C" w:rsidP="00B55F24">
            <w:pPr>
              <w:pStyle w:val="TableText"/>
              <w:spacing w:before="40" w:after="40"/>
              <w:rPr>
                <w:rFonts w:cs="Calibri"/>
              </w:rPr>
            </w:pPr>
            <w:r w:rsidRPr="009E06AA">
              <w:rPr>
                <w:rFonts w:cs="Calibri"/>
              </w:rPr>
              <w:t>Venting – Gas</w:t>
            </w:r>
          </w:p>
        </w:tc>
        <w:tc>
          <w:tcPr>
            <w:tcW w:w="1197" w:type="pct"/>
            <w:shd w:val="clear" w:color="auto" w:fill="auto"/>
            <w:noWrap/>
          </w:tcPr>
          <w:p w14:paraId="2B81C1F6" w14:textId="77777777" w:rsidR="00D97D6C" w:rsidRPr="009E06AA" w:rsidRDefault="00D97D6C" w:rsidP="00B55F24">
            <w:pPr>
              <w:pStyle w:val="TableText"/>
              <w:spacing w:before="40" w:after="40"/>
              <w:rPr>
                <w:rFonts w:cs="Calibri"/>
              </w:rPr>
            </w:pPr>
            <w:r w:rsidRPr="009E06AA">
              <w:rPr>
                <w:rFonts w:cs="Calibri"/>
              </w:rPr>
              <w:t>Level, trend</w:t>
            </w:r>
          </w:p>
        </w:tc>
        <w:tc>
          <w:tcPr>
            <w:tcW w:w="1087" w:type="pct"/>
            <w:shd w:val="clear" w:color="auto" w:fill="auto"/>
            <w:noWrap/>
          </w:tcPr>
          <w:p w14:paraId="2BFAC3E0" w14:textId="77777777" w:rsidR="00D97D6C" w:rsidRPr="009E06AA" w:rsidRDefault="00D97D6C" w:rsidP="00B55F24">
            <w:pPr>
              <w:pStyle w:val="TableText"/>
              <w:spacing w:before="40" w:after="40"/>
              <w:rPr>
                <w:rFonts w:cs="Calibri"/>
              </w:rPr>
            </w:pPr>
            <w:r w:rsidRPr="009E06AA">
              <w:rPr>
                <w:rFonts w:cs="Calibri"/>
              </w:rPr>
              <w:t>–</w:t>
            </w:r>
          </w:p>
        </w:tc>
      </w:tr>
      <w:tr w:rsidR="00D97D6C" w:rsidRPr="009E06AA" w14:paraId="525A67EE" w14:textId="77777777" w:rsidTr="00B55F24">
        <w:trPr>
          <w:cantSplit/>
        </w:trPr>
        <w:tc>
          <w:tcPr>
            <w:tcW w:w="2716" w:type="pct"/>
            <w:shd w:val="clear" w:color="auto" w:fill="auto"/>
            <w:noWrap/>
          </w:tcPr>
          <w:p w14:paraId="01051F54" w14:textId="77777777" w:rsidR="00D97D6C" w:rsidRPr="009E06AA" w:rsidRDefault="00D97D6C" w:rsidP="00B55F24">
            <w:pPr>
              <w:pStyle w:val="TableText"/>
              <w:spacing w:before="40" w:after="40"/>
              <w:rPr>
                <w:rFonts w:cs="Calibri"/>
              </w:rPr>
            </w:pPr>
            <w:r w:rsidRPr="009E06AA">
              <w:rPr>
                <w:rFonts w:cs="Calibri"/>
                <w:color w:val="000000"/>
              </w:rPr>
              <w:t>Venting – Combined</w:t>
            </w:r>
          </w:p>
        </w:tc>
        <w:tc>
          <w:tcPr>
            <w:tcW w:w="1197" w:type="pct"/>
            <w:shd w:val="clear" w:color="auto" w:fill="auto"/>
            <w:noWrap/>
          </w:tcPr>
          <w:p w14:paraId="3C8F7C6F" w14:textId="77777777" w:rsidR="00D97D6C" w:rsidRPr="009E06AA" w:rsidRDefault="00D97D6C" w:rsidP="00B55F24">
            <w:pPr>
              <w:pStyle w:val="TableText"/>
              <w:spacing w:before="40" w:after="40"/>
              <w:rPr>
                <w:rFonts w:cs="Calibri"/>
              </w:rPr>
            </w:pPr>
            <w:r w:rsidRPr="009E06AA">
              <w:rPr>
                <w:rFonts w:cs="Calibri"/>
              </w:rPr>
              <w:t>–</w:t>
            </w:r>
          </w:p>
        </w:tc>
        <w:tc>
          <w:tcPr>
            <w:tcW w:w="1087" w:type="pct"/>
            <w:shd w:val="clear" w:color="auto" w:fill="auto"/>
            <w:noWrap/>
          </w:tcPr>
          <w:p w14:paraId="67A57A86" w14:textId="77777777" w:rsidR="00D97D6C" w:rsidRPr="009E06AA" w:rsidRDefault="00D97D6C" w:rsidP="00B55F24">
            <w:pPr>
              <w:pStyle w:val="TableText"/>
              <w:spacing w:before="40" w:after="40"/>
              <w:rPr>
                <w:rFonts w:cs="Calibri"/>
              </w:rPr>
            </w:pPr>
            <w:r w:rsidRPr="009E06AA">
              <w:rPr>
                <w:rFonts w:cs="Calibri"/>
              </w:rPr>
              <w:t>Trend</w:t>
            </w:r>
          </w:p>
        </w:tc>
      </w:tr>
      <w:tr w:rsidR="00D97D6C" w:rsidRPr="009E06AA" w14:paraId="1595E252" w14:textId="77777777" w:rsidTr="00B55F24">
        <w:trPr>
          <w:cantSplit/>
        </w:trPr>
        <w:tc>
          <w:tcPr>
            <w:tcW w:w="2716" w:type="pct"/>
            <w:shd w:val="clear" w:color="auto" w:fill="auto"/>
            <w:noWrap/>
          </w:tcPr>
          <w:p w14:paraId="7151FBF6" w14:textId="77777777" w:rsidR="00D97D6C" w:rsidRPr="009E06AA" w:rsidRDefault="00D97D6C" w:rsidP="00B55F24">
            <w:pPr>
              <w:pStyle w:val="TableText"/>
              <w:spacing w:before="40" w:after="40"/>
              <w:rPr>
                <w:rFonts w:cs="Calibri"/>
              </w:rPr>
            </w:pPr>
            <w:r w:rsidRPr="009E06AA">
              <w:rPr>
                <w:rFonts w:cs="Calibri"/>
                <w:color w:val="000000"/>
              </w:rPr>
              <w:t>Flaring – Combined</w:t>
            </w:r>
          </w:p>
        </w:tc>
        <w:tc>
          <w:tcPr>
            <w:tcW w:w="1197" w:type="pct"/>
            <w:shd w:val="clear" w:color="auto" w:fill="auto"/>
            <w:noWrap/>
          </w:tcPr>
          <w:p w14:paraId="713BF8C9" w14:textId="77777777" w:rsidR="00D97D6C" w:rsidRPr="009E06AA" w:rsidRDefault="00D97D6C" w:rsidP="00B55F24">
            <w:pPr>
              <w:pStyle w:val="TableText"/>
              <w:spacing w:before="40" w:after="40"/>
              <w:rPr>
                <w:rFonts w:cs="Calibri"/>
              </w:rPr>
            </w:pPr>
            <w:r w:rsidRPr="009E06AA">
              <w:rPr>
                <w:rFonts w:cs="Calibri"/>
              </w:rPr>
              <w:t>Trend</w:t>
            </w:r>
          </w:p>
        </w:tc>
        <w:tc>
          <w:tcPr>
            <w:tcW w:w="1087" w:type="pct"/>
            <w:shd w:val="clear" w:color="auto" w:fill="auto"/>
            <w:noWrap/>
          </w:tcPr>
          <w:p w14:paraId="24C430EE" w14:textId="77777777" w:rsidR="00D97D6C" w:rsidRPr="009E06AA" w:rsidRDefault="00D97D6C" w:rsidP="00B55F24">
            <w:pPr>
              <w:pStyle w:val="TableText"/>
              <w:spacing w:before="40" w:after="40"/>
              <w:rPr>
                <w:rFonts w:cs="Calibri"/>
              </w:rPr>
            </w:pPr>
            <w:r w:rsidRPr="009E06AA">
              <w:rPr>
                <w:rFonts w:cs="Calibri"/>
              </w:rPr>
              <w:t>–</w:t>
            </w:r>
          </w:p>
        </w:tc>
      </w:tr>
      <w:tr w:rsidR="00D97D6C" w:rsidRPr="009E06AA" w14:paraId="4661D401" w14:textId="77777777" w:rsidTr="00B55F24">
        <w:trPr>
          <w:cantSplit/>
        </w:trPr>
        <w:tc>
          <w:tcPr>
            <w:tcW w:w="2716" w:type="pct"/>
            <w:shd w:val="clear" w:color="auto" w:fill="auto"/>
            <w:noWrap/>
          </w:tcPr>
          <w:p w14:paraId="32181EAF" w14:textId="77777777" w:rsidR="00D97D6C" w:rsidRPr="009E06AA" w:rsidRDefault="00D97D6C" w:rsidP="00B55F24">
            <w:pPr>
              <w:pStyle w:val="TableText"/>
              <w:spacing w:before="40" w:after="40"/>
              <w:rPr>
                <w:rFonts w:cs="Calibri"/>
              </w:rPr>
            </w:pPr>
            <w:r w:rsidRPr="009E06AA">
              <w:rPr>
                <w:rFonts w:cs="Calibri"/>
              </w:rPr>
              <w:t>Other – Geothermal</w:t>
            </w:r>
          </w:p>
        </w:tc>
        <w:tc>
          <w:tcPr>
            <w:tcW w:w="1197" w:type="pct"/>
            <w:shd w:val="clear" w:color="auto" w:fill="auto"/>
            <w:noWrap/>
          </w:tcPr>
          <w:p w14:paraId="625DF092" w14:textId="77777777" w:rsidR="00D97D6C" w:rsidRPr="009E06AA" w:rsidRDefault="00D97D6C" w:rsidP="00B55F24">
            <w:pPr>
              <w:pStyle w:val="TableText"/>
              <w:spacing w:before="40" w:after="40"/>
              <w:rPr>
                <w:rFonts w:cs="Calibri"/>
              </w:rPr>
            </w:pPr>
            <w:r w:rsidRPr="009E06AA">
              <w:rPr>
                <w:rFonts w:cs="Calibri"/>
              </w:rPr>
              <w:t>Level, trend</w:t>
            </w:r>
          </w:p>
        </w:tc>
        <w:tc>
          <w:tcPr>
            <w:tcW w:w="1087" w:type="pct"/>
            <w:shd w:val="clear" w:color="auto" w:fill="auto"/>
            <w:noWrap/>
          </w:tcPr>
          <w:p w14:paraId="48E2F871" w14:textId="77777777" w:rsidR="00D97D6C" w:rsidRPr="009E06AA" w:rsidRDefault="00D97D6C" w:rsidP="00B55F24">
            <w:pPr>
              <w:pStyle w:val="TableText"/>
              <w:spacing w:before="40" w:after="40"/>
              <w:rPr>
                <w:rFonts w:cs="Calibri"/>
              </w:rPr>
            </w:pPr>
            <w:r w:rsidRPr="009E06AA">
              <w:rPr>
                <w:rFonts w:cs="Calibri"/>
              </w:rPr>
              <w:t>–</w:t>
            </w:r>
          </w:p>
        </w:tc>
      </w:tr>
    </w:tbl>
    <w:p w14:paraId="320EF2BF" w14:textId="77777777" w:rsidR="00D97D6C" w:rsidRPr="009E06AA" w:rsidRDefault="00D97D6C" w:rsidP="00D97D6C">
      <w:pPr>
        <w:pStyle w:val="Heading3"/>
        <w:spacing w:before="480"/>
      </w:pPr>
      <w:r w:rsidRPr="009E06AA">
        <w:t>3.3.1</w:t>
      </w:r>
      <w:r w:rsidRPr="009E06AA">
        <w:tab/>
        <w:t>Fugitive emissions from fuels: Solid fuels (CRT 1.B.1)</w:t>
      </w:r>
    </w:p>
    <w:p w14:paraId="02834EB3" w14:textId="77777777" w:rsidR="00D97D6C" w:rsidRPr="009E06AA" w:rsidRDefault="00D97D6C" w:rsidP="00D97D6C">
      <w:pPr>
        <w:pStyle w:val="Heading4"/>
      </w:pPr>
      <w:r w:rsidRPr="009E06AA">
        <w:t>Category description</w:t>
      </w:r>
    </w:p>
    <w:p w14:paraId="026EDD2E" w14:textId="77777777" w:rsidR="00D97D6C" w:rsidRPr="009E06AA" w:rsidRDefault="00D97D6C" w:rsidP="0032708F">
      <w:pPr>
        <w:pStyle w:val="BodyText"/>
        <w:rPr>
          <w:lang w:eastAsia="en-GB"/>
        </w:rPr>
      </w:pPr>
      <w:r w:rsidRPr="009E06AA">
        <w:rPr>
          <w:lang w:eastAsia="en-GB"/>
        </w:rPr>
        <w:t xml:space="preserve">In </w:t>
      </w:r>
      <w:r w:rsidRPr="009E06AA">
        <w:rPr>
          <w:rFonts w:cs="Calibri"/>
        </w:rPr>
        <w:t>2022</w:t>
      </w:r>
      <w:r w:rsidRPr="009E06AA">
        <w:rPr>
          <w:lang w:eastAsia="en-GB"/>
        </w:rPr>
        <w:t xml:space="preserve">, fugitive emissions from the </w:t>
      </w:r>
      <w:r w:rsidRPr="009E06AA">
        <w:rPr>
          <w:rFonts w:cs="Calibri"/>
          <w:i/>
          <w:lang w:eastAsia="en-GB"/>
        </w:rPr>
        <w:t>Solid fuels</w:t>
      </w:r>
      <w:r w:rsidRPr="009E06AA">
        <w:rPr>
          <w:lang w:eastAsia="en-GB"/>
        </w:rPr>
        <w:t xml:space="preserve"> category accounted for </w:t>
      </w:r>
      <w:r w:rsidRPr="009E06AA">
        <w:rPr>
          <w:rFonts w:cs="Calibri"/>
        </w:rPr>
        <w:t xml:space="preserve">64.3 </w:t>
      </w:r>
      <w:r w:rsidRPr="009E06AA">
        <w:rPr>
          <w:lang w:eastAsia="en-GB"/>
        </w:rPr>
        <w:t>kt CO</w:t>
      </w:r>
      <w:r w:rsidRPr="009E06AA">
        <w:rPr>
          <w:rFonts w:cs="Calibri"/>
          <w:vertAlign w:val="subscript"/>
          <w:lang w:eastAsia="en-GB"/>
        </w:rPr>
        <w:t>2</w:t>
      </w:r>
      <w:r w:rsidRPr="009E06AA">
        <w:rPr>
          <w:lang w:eastAsia="en-GB"/>
        </w:rPr>
        <w:t>-e (</w:t>
      </w:r>
      <w:r w:rsidRPr="009E06AA">
        <w:rPr>
          <w:rFonts w:cs="Calibri"/>
        </w:rPr>
        <w:t>5.0 per cent</w:t>
      </w:r>
      <w:r w:rsidRPr="009E06AA">
        <w:rPr>
          <w:lang w:eastAsia="en-GB"/>
        </w:rPr>
        <w:t xml:space="preserve">) of emissions from the </w:t>
      </w:r>
      <w:r w:rsidRPr="009E06AA">
        <w:rPr>
          <w:rFonts w:cs="Calibri"/>
          <w:i/>
          <w:lang w:eastAsia="en-GB"/>
        </w:rPr>
        <w:t>Fugitive emissions</w:t>
      </w:r>
      <w:r w:rsidRPr="009E06AA">
        <w:rPr>
          <w:lang w:eastAsia="en-GB"/>
        </w:rPr>
        <w:t xml:space="preserve"> category. This is 303.1 kt CO</w:t>
      </w:r>
      <w:r w:rsidRPr="009E06AA">
        <w:rPr>
          <w:rFonts w:cs="Calibri"/>
          <w:vertAlign w:val="subscript"/>
          <w:lang w:eastAsia="en-GB"/>
        </w:rPr>
        <w:t>2</w:t>
      </w:r>
      <w:r w:rsidRPr="009E06AA">
        <w:rPr>
          <w:lang w:eastAsia="en-GB"/>
        </w:rPr>
        <w:t>-e (</w:t>
      </w:r>
      <w:r w:rsidRPr="009E06AA">
        <w:rPr>
          <w:rFonts w:cs="Calibri"/>
        </w:rPr>
        <w:t>82.5 per cent</w:t>
      </w:r>
      <w:r w:rsidRPr="009E06AA">
        <w:rPr>
          <w:lang w:eastAsia="en-GB"/>
        </w:rPr>
        <w:t xml:space="preserve">) lower than the </w:t>
      </w:r>
      <w:r w:rsidRPr="009E06AA">
        <w:rPr>
          <w:rFonts w:cs="Calibri"/>
        </w:rPr>
        <w:t xml:space="preserve">367.4 </w:t>
      </w:r>
      <w:r w:rsidRPr="009E06AA">
        <w:rPr>
          <w:lang w:eastAsia="en-GB"/>
        </w:rPr>
        <w:t>kt CO</w:t>
      </w:r>
      <w:r w:rsidRPr="009E06AA">
        <w:rPr>
          <w:rFonts w:cs="Calibri"/>
          <w:vertAlign w:val="subscript"/>
          <w:lang w:eastAsia="en-GB"/>
        </w:rPr>
        <w:t>2</w:t>
      </w:r>
      <w:r w:rsidRPr="009E06AA">
        <w:rPr>
          <w:lang w:eastAsia="en-GB"/>
        </w:rPr>
        <w:t>-e reported for 1990. The factors behind this decrease include changes in the production volume of the different ranks of coal and changes in the production method.</w:t>
      </w:r>
    </w:p>
    <w:p w14:paraId="7227F15F" w14:textId="77777777" w:rsidR="00D97D6C" w:rsidRPr="009E06AA" w:rsidRDefault="00D97D6C" w:rsidP="0032708F">
      <w:pPr>
        <w:pStyle w:val="BodyText"/>
        <w:rPr>
          <w:lang w:eastAsia="en-GB"/>
        </w:rPr>
      </w:pPr>
      <w:r w:rsidRPr="009E06AA">
        <w:rPr>
          <w:lang w:eastAsia="en-GB"/>
        </w:rPr>
        <w:t xml:space="preserve">Between </w:t>
      </w:r>
      <w:r w:rsidRPr="009E06AA">
        <w:rPr>
          <w:rFonts w:cs="Calibri"/>
        </w:rPr>
        <w:t xml:space="preserve">2021 </w:t>
      </w:r>
      <w:r w:rsidRPr="009E06AA">
        <w:rPr>
          <w:lang w:eastAsia="en-GB"/>
        </w:rPr>
        <w:t xml:space="preserve">and </w:t>
      </w:r>
      <w:r w:rsidRPr="009E06AA">
        <w:rPr>
          <w:rFonts w:cs="Calibri"/>
        </w:rPr>
        <w:t>2022</w:t>
      </w:r>
      <w:r w:rsidRPr="009E06AA">
        <w:rPr>
          <w:lang w:eastAsia="en-GB"/>
        </w:rPr>
        <w:t xml:space="preserve">, fugitive emissions from the </w:t>
      </w:r>
      <w:r w:rsidRPr="009E06AA">
        <w:rPr>
          <w:rFonts w:cs="Calibri"/>
          <w:i/>
          <w:lang w:eastAsia="en-GB"/>
        </w:rPr>
        <w:t>Solid fuels</w:t>
      </w:r>
      <w:r w:rsidRPr="009E06AA">
        <w:rPr>
          <w:lang w:eastAsia="en-GB"/>
        </w:rPr>
        <w:t xml:space="preserve"> category </w:t>
      </w:r>
      <w:r w:rsidRPr="009E06AA">
        <w:rPr>
          <w:rFonts w:cs="Calibri"/>
        </w:rPr>
        <w:t>decreased by 5.6 </w:t>
      </w:r>
      <w:r w:rsidRPr="009E06AA">
        <w:rPr>
          <w:lang w:eastAsia="en-GB"/>
        </w:rPr>
        <w:t>kt CO</w:t>
      </w:r>
      <w:r w:rsidRPr="009E06AA">
        <w:rPr>
          <w:rFonts w:cs="Calibri"/>
          <w:vertAlign w:val="subscript"/>
          <w:lang w:eastAsia="en-GB"/>
        </w:rPr>
        <w:t>2</w:t>
      </w:r>
      <w:r w:rsidRPr="009E06AA">
        <w:rPr>
          <w:lang w:eastAsia="en-GB"/>
        </w:rPr>
        <w:t xml:space="preserve">-e (8.0 </w:t>
      </w:r>
      <w:r w:rsidRPr="009E06AA">
        <w:rPr>
          <w:rFonts w:cs="Calibri"/>
        </w:rPr>
        <w:t>per cent</w:t>
      </w:r>
      <w:r w:rsidRPr="009E06AA">
        <w:rPr>
          <w:lang w:eastAsia="en-GB"/>
        </w:rPr>
        <w:t>) due to decreased coal production.</w:t>
      </w:r>
    </w:p>
    <w:p w14:paraId="0163BB2D" w14:textId="77777777" w:rsidR="00D97D6C" w:rsidRPr="009E06AA" w:rsidRDefault="00D97D6C" w:rsidP="00D97D6C">
      <w:pPr>
        <w:pStyle w:val="BodyText"/>
        <w:rPr>
          <w:lang w:eastAsia="en-GB"/>
        </w:rPr>
      </w:pPr>
      <w:r w:rsidRPr="009E06AA">
        <w:rPr>
          <w:lang w:eastAsia="en-GB"/>
        </w:rPr>
        <w:t xml:space="preserve">New Zealand’s fugitive emissions from the </w:t>
      </w:r>
      <w:r w:rsidRPr="009E06AA">
        <w:rPr>
          <w:rFonts w:cs="Calibri"/>
          <w:i/>
          <w:lang w:eastAsia="en-GB"/>
        </w:rPr>
        <w:t>Solid fuels</w:t>
      </w:r>
      <w:r w:rsidRPr="009E06AA">
        <w:rPr>
          <w:lang w:eastAsia="en-GB"/>
        </w:rPr>
        <w:t xml:space="preserve"> category are a by-product of coal mining operations. Methane is created during coal formation and released when coal is mined. The amount of </w:t>
      </w:r>
      <w:r w:rsidRPr="009E06AA">
        <w:rPr>
          <w:rFonts w:cs="Calibri"/>
        </w:rPr>
        <w:t>CH</w:t>
      </w:r>
      <w:r w:rsidRPr="009E06AA">
        <w:rPr>
          <w:rFonts w:cs="Calibri"/>
          <w:vertAlign w:val="subscript"/>
        </w:rPr>
        <w:t>4</w:t>
      </w:r>
      <w:r w:rsidRPr="009E06AA">
        <w:rPr>
          <w:lang w:eastAsia="en-GB"/>
        </w:rPr>
        <w:t xml:space="preserve"> released </w:t>
      </w:r>
      <w:r w:rsidRPr="009E06AA">
        <w:t>during</w:t>
      </w:r>
      <w:r w:rsidRPr="009E06AA">
        <w:rPr>
          <w:lang w:eastAsia="en-GB"/>
        </w:rPr>
        <w:t xml:space="preserve"> coal mining is dependent on the coal grade and the depth of the coal seam. Emissions also occur due to post-underground mining activities, such as coal processing, transportation and use.</w:t>
      </w:r>
    </w:p>
    <w:p w14:paraId="6A106E4F" w14:textId="77777777" w:rsidR="00D97D6C" w:rsidRPr="009E06AA" w:rsidRDefault="00D97D6C" w:rsidP="00D97D6C">
      <w:pPr>
        <w:pStyle w:val="BodyText"/>
        <w:rPr>
          <w:lang w:eastAsia="en-GB"/>
        </w:rPr>
      </w:pPr>
      <w:r w:rsidRPr="009E06AA">
        <w:rPr>
          <w:lang w:eastAsia="en-GB"/>
        </w:rPr>
        <w:t xml:space="preserve">In </w:t>
      </w:r>
      <w:r w:rsidRPr="009E06AA">
        <w:rPr>
          <w:rFonts w:cs="Calibri"/>
        </w:rPr>
        <w:t>2022</w:t>
      </w:r>
      <w:r w:rsidRPr="009E06AA">
        <w:rPr>
          <w:lang w:eastAsia="en-GB"/>
        </w:rPr>
        <w:t>, New Zealand coal production was 2.6 million tonnes. F</w:t>
      </w:r>
      <w:r w:rsidRPr="009E06AA">
        <w:rPr>
          <w:rFonts w:cs="Calibri"/>
        </w:rPr>
        <w:t xml:space="preserve">ewer than 15 active coal mines are operating in </w:t>
      </w:r>
      <w:r w:rsidRPr="009E06AA">
        <w:rPr>
          <w:lang w:eastAsia="en-GB"/>
        </w:rPr>
        <w:t>New Zealand</w:t>
      </w:r>
      <w:r w:rsidRPr="009E06AA">
        <w:rPr>
          <w:rFonts w:cs="Calibri"/>
        </w:rPr>
        <w:t xml:space="preserve">, and as of 2022 none are underground. The two largest open-cast operations, at Stockton and Rotowaro, account for most national production. For further </w:t>
      </w:r>
      <w:r w:rsidRPr="009E06AA">
        <w:rPr>
          <w:rFonts w:cs="Calibri"/>
          <w:spacing w:val="-2"/>
        </w:rPr>
        <w:t xml:space="preserve">information and data on the coal mining industry, refer to </w:t>
      </w:r>
      <w:r w:rsidRPr="009E06AA">
        <w:rPr>
          <w:rFonts w:cs="Calibri"/>
          <w:i/>
          <w:spacing w:val="-2"/>
        </w:rPr>
        <w:t>Energy in New Zealand</w:t>
      </w:r>
      <w:r w:rsidRPr="009E06AA">
        <w:rPr>
          <w:rFonts w:cs="Calibri"/>
          <w:spacing w:val="-2"/>
        </w:rPr>
        <w:t xml:space="preserve"> (MBIE, 2023)</w:t>
      </w:r>
      <w:r w:rsidRPr="009E06AA">
        <w:rPr>
          <w:rFonts w:cs="Calibri"/>
        </w:rPr>
        <w:t>.</w:t>
      </w:r>
    </w:p>
    <w:p w14:paraId="1364B90D" w14:textId="77777777" w:rsidR="00D97D6C" w:rsidRPr="009E06AA" w:rsidRDefault="00D97D6C" w:rsidP="00D97D6C">
      <w:pPr>
        <w:pStyle w:val="BodyText"/>
        <w:rPr>
          <w:lang w:eastAsia="en-GB"/>
        </w:rPr>
      </w:pPr>
      <w:r w:rsidRPr="009E06AA">
        <w:rPr>
          <w:lang w:eastAsia="en-GB"/>
        </w:rPr>
        <w:t xml:space="preserve">At the end of </w:t>
      </w:r>
      <w:r w:rsidRPr="009E06AA">
        <w:rPr>
          <w:rFonts w:cs="Calibri"/>
        </w:rPr>
        <w:t>2022</w:t>
      </w:r>
      <w:r w:rsidRPr="009E06AA">
        <w:rPr>
          <w:lang w:eastAsia="en-GB"/>
        </w:rPr>
        <w:t xml:space="preserve">, no known flaring or capture of </w:t>
      </w:r>
      <w:r w:rsidRPr="009E06AA">
        <w:rPr>
          <w:rFonts w:cs="Calibri"/>
        </w:rPr>
        <w:t>CH</w:t>
      </w:r>
      <w:r w:rsidRPr="009E06AA">
        <w:rPr>
          <w:rFonts w:cs="Calibri"/>
          <w:vertAlign w:val="subscript"/>
        </w:rPr>
        <w:t>4</w:t>
      </w:r>
      <w:r w:rsidRPr="009E06AA">
        <w:rPr>
          <w:rFonts w:cs="Calibri"/>
        </w:rPr>
        <w:t xml:space="preserve"> was occurring </w:t>
      </w:r>
      <w:r w:rsidRPr="009E06AA">
        <w:rPr>
          <w:lang w:eastAsia="en-GB"/>
        </w:rPr>
        <w:t>at coal mines in New Zealand. Pilot schemes of both coal seam gas and underground coal gasification began in 2012, but these projects have not progressed.</w:t>
      </w:r>
    </w:p>
    <w:p w14:paraId="1A1BD954" w14:textId="77777777" w:rsidR="00D97D6C" w:rsidRPr="009E06AA" w:rsidRDefault="00D97D6C" w:rsidP="00D97D6C">
      <w:pPr>
        <w:pStyle w:val="Heading4"/>
      </w:pPr>
      <w:r w:rsidRPr="009E06AA">
        <w:t>Methodological issues</w:t>
      </w:r>
    </w:p>
    <w:p w14:paraId="396D286F" w14:textId="77777777" w:rsidR="00D97D6C" w:rsidRPr="009E06AA" w:rsidRDefault="00D97D6C" w:rsidP="00D97D6C">
      <w:pPr>
        <w:pStyle w:val="BodyText"/>
        <w:spacing w:after="100"/>
        <w:rPr>
          <w:rFonts w:cs="Calibri"/>
          <w:lang w:eastAsia="ko-KR"/>
        </w:rPr>
      </w:pPr>
      <w:r w:rsidRPr="009E06AA">
        <w:rPr>
          <w:lang w:eastAsia="en-GB"/>
        </w:rPr>
        <w:t xml:space="preserve">The New Zealand-specific emission factor for underground mining of sub-bituminous coal is used to calculate </w:t>
      </w:r>
      <w:r w:rsidRPr="009E06AA">
        <w:rPr>
          <w:rFonts w:cs="Calibri"/>
        </w:rPr>
        <w:t>CH</w:t>
      </w:r>
      <w:r w:rsidRPr="009E06AA">
        <w:rPr>
          <w:rFonts w:cs="Calibri"/>
          <w:vertAlign w:val="subscript"/>
        </w:rPr>
        <w:t>4</w:t>
      </w:r>
      <w:r w:rsidRPr="009E06AA">
        <w:rPr>
          <w:rFonts w:cs="Calibri"/>
          <w:sz w:val="14"/>
          <w:szCs w:val="14"/>
          <w:lang w:eastAsia="en-GB"/>
        </w:rPr>
        <w:t xml:space="preserve"> </w:t>
      </w:r>
      <w:r w:rsidRPr="009E06AA">
        <w:rPr>
          <w:lang w:eastAsia="en-GB"/>
        </w:rPr>
        <w:t>emissions (Beamish and Vance, 1992). T</w:t>
      </w:r>
      <w:r w:rsidRPr="009E06AA">
        <w:rPr>
          <w:rFonts w:cs="Calibri"/>
          <w:lang w:eastAsia="ko-KR"/>
        </w:rPr>
        <w:t>he sub-bituminous emission factor derived from Beamish and Vance is considered to be reliable because the emission factor (12.1 tonnes per kilotonne (t/kt)) is:</w:t>
      </w:r>
    </w:p>
    <w:p w14:paraId="2BB4F7A7" w14:textId="77777777" w:rsidR="00D97D6C" w:rsidRPr="009E06AA" w:rsidRDefault="00D97D6C" w:rsidP="00D97D6C">
      <w:pPr>
        <w:pStyle w:val="Bullet"/>
        <w:rPr>
          <w:lang w:eastAsia="en-GB"/>
        </w:rPr>
      </w:pPr>
      <w:r w:rsidRPr="009E06AA">
        <w:rPr>
          <w:lang w:eastAsia="en-GB"/>
        </w:rPr>
        <w:t>well within the 2006 IPCC default range of 6.7–16.75 t/kt</w:t>
      </w:r>
    </w:p>
    <w:p w14:paraId="588D8687" w14:textId="77777777" w:rsidR="00D97D6C" w:rsidRPr="009E06AA" w:rsidRDefault="00D97D6C" w:rsidP="00D97D6C">
      <w:pPr>
        <w:pStyle w:val="Bullet"/>
        <w:rPr>
          <w:lang w:eastAsia="en-GB"/>
        </w:rPr>
      </w:pPr>
      <w:r w:rsidRPr="009E06AA">
        <w:rPr>
          <w:lang w:eastAsia="en-GB"/>
        </w:rPr>
        <w:t>largely based on data for the most significant sub-bituminous coal mine in New Zealand (Huntly East mine), which was in continuous operation since 1988 and the most significant producing mine.</w:t>
      </w:r>
    </w:p>
    <w:p w14:paraId="486EC01C" w14:textId="77777777" w:rsidR="00D97D6C" w:rsidRPr="009E06AA" w:rsidRDefault="00D97D6C" w:rsidP="00D97D6C">
      <w:pPr>
        <w:pStyle w:val="BodyText"/>
        <w:rPr>
          <w:lang w:eastAsia="ko-KR"/>
        </w:rPr>
      </w:pPr>
      <w:r w:rsidRPr="009E06AA">
        <w:rPr>
          <w:lang w:eastAsia="ko-KR"/>
        </w:rPr>
        <w:t>The emission factor for underground mining of bituminous coal is taken from the 2006 IPCC Guidelines. It is noted that any bituminous emission factor derived from Beamish and Vance (1992) would not be reliable, and should not be used, for the following reasons.</w:t>
      </w:r>
    </w:p>
    <w:p w14:paraId="5BCCCE8F" w14:textId="77777777" w:rsidR="00D97D6C" w:rsidRPr="009E06AA" w:rsidRDefault="00D97D6C" w:rsidP="00363D10">
      <w:pPr>
        <w:pStyle w:val="Sub-lista"/>
        <w:numPr>
          <w:ilvl w:val="0"/>
          <w:numId w:val="34"/>
        </w:numPr>
        <w:spacing w:after="100"/>
        <w:rPr>
          <w:lang w:eastAsia="en-GB"/>
        </w:rPr>
      </w:pPr>
      <w:r w:rsidRPr="009E06AA">
        <w:rPr>
          <w:lang w:eastAsia="en-GB"/>
        </w:rPr>
        <w:t>The derived emission factor (35.28 t CH</w:t>
      </w:r>
      <w:r w:rsidRPr="009E06AA">
        <w:rPr>
          <w:vertAlign w:val="subscript"/>
        </w:rPr>
        <w:t>4</w:t>
      </w:r>
      <w:r w:rsidRPr="009E06AA">
        <w:rPr>
          <w:lang w:eastAsia="en-GB"/>
        </w:rPr>
        <w:t>/kt) is more than double the high default 2006 IPCC value. Using such an emission factor that is so far out of line with the default values would require a strong justification.</w:t>
      </w:r>
    </w:p>
    <w:p w14:paraId="5B1D1C5D" w14:textId="77777777" w:rsidR="00D97D6C" w:rsidRPr="009E06AA" w:rsidRDefault="00D97D6C" w:rsidP="00D97D6C">
      <w:pPr>
        <w:pStyle w:val="Sub-lista"/>
        <w:spacing w:after="100"/>
        <w:rPr>
          <w:lang w:eastAsia="en-GB"/>
        </w:rPr>
      </w:pPr>
      <w:r w:rsidRPr="009E06AA">
        <w:rPr>
          <w:lang w:eastAsia="en-GB"/>
        </w:rPr>
        <w:t>New Zealand already has the highest implied emission factor for underground mining among Annex I Parties. Dramatically increasing the emission factor further still would not be in the interests of comparability.</w:t>
      </w:r>
    </w:p>
    <w:p w14:paraId="06D60284" w14:textId="77777777" w:rsidR="00D97D6C" w:rsidRPr="009E06AA" w:rsidRDefault="00D97D6C" w:rsidP="00D97D6C">
      <w:pPr>
        <w:pStyle w:val="Sub-lista"/>
        <w:spacing w:after="100"/>
        <w:rPr>
          <w:lang w:eastAsia="en-GB"/>
        </w:rPr>
      </w:pPr>
      <w:r w:rsidRPr="009E06AA">
        <w:rPr>
          <w:lang w:eastAsia="en-GB"/>
        </w:rPr>
        <w:t>The bituminous data are based on production (in 1988) of only 125 kt and so represent a very small sample size (compared with the sub-bituminous mines, where the data are based on production of 655 kt). The small sample size significantly increases the uncertainty.</w:t>
      </w:r>
    </w:p>
    <w:p w14:paraId="5B2B368D" w14:textId="77777777" w:rsidR="00D97D6C" w:rsidRPr="009E06AA" w:rsidRDefault="00D97D6C" w:rsidP="00D97D6C">
      <w:pPr>
        <w:pStyle w:val="Sub-lista"/>
        <w:rPr>
          <w:lang w:eastAsia="en-GB"/>
        </w:rPr>
      </w:pPr>
      <w:r w:rsidRPr="009E06AA">
        <w:rPr>
          <w:lang w:eastAsia="en-GB"/>
        </w:rPr>
        <w:t>Beamish and Vance’s study is based on data from 1988, for just eight bituminous coal mines. These data are out of date because all of these mines are no longer producing, and bituminous coal production comes from entirely different underground mines, to which the suggested emission factors may not be applicable.</w:t>
      </w:r>
    </w:p>
    <w:p w14:paraId="23D8ACB2" w14:textId="77777777" w:rsidR="00D97D6C" w:rsidRPr="009E06AA" w:rsidRDefault="00D97D6C" w:rsidP="00D97D6C">
      <w:pPr>
        <w:pStyle w:val="BodyText"/>
        <w:rPr>
          <w:lang w:eastAsia="en-GB"/>
        </w:rPr>
      </w:pPr>
      <w:r w:rsidRPr="009E06AA">
        <w:rPr>
          <w:lang w:eastAsia="en-GB"/>
        </w:rPr>
        <w:t>Emission factors for the other categories, for example, surface mining, are sourced from the 2006 IPCC Guidelines.</w:t>
      </w:r>
    </w:p>
    <w:p w14:paraId="4A65EA9A" w14:textId="77777777" w:rsidR="00D97D6C" w:rsidRPr="009E06AA" w:rsidRDefault="00D97D6C" w:rsidP="00D97D6C">
      <w:pPr>
        <w:pStyle w:val="Heading4"/>
        <w:rPr>
          <w:lang w:eastAsia="en-GB"/>
        </w:rPr>
      </w:pPr>
      <w:r w:rsidRPr="009E06AA">
        <w:rPr>
          <w:lang w:eastAsia="en-GB"/>
        </w:rPr>
        <w:t>Activity data</w:t>
      </w:r>
    </w:p>
    <w:p w14:paraId="42E5E9CA" w14:textId="77777777" w:rsidR="00D97D6C" w:rsidRPr="009E06AA" w:rsidRDefault="00D97D6C" w:rsidP="00D97D6C">
      <w:pPr>
        <w:pStyle w:val="BodyText"/>
        <w:rPr>
          <w:lang w:eastAsia="en-GB"/>
        </w:rPr>
      </w:pPr>
      <w:r w:rsidRPr="009E06AA">
        <w:rPr>
          <w:lang w:eastAsia="en-GB"/>
        </w:rPr>
        <w:t>Activity data for this category are collected from MBIE’s coal production survey. This survey gathers quarterly data on coal production by mine type (underground and/or surface) and rank (coking, bituminous, sub-bituminous, lignite).</w:t>
      </w:r>
    </w:p>
    <w:p w14:paraId="0946CE0B" w14:textId="77777777" w:rsidR="00D97D6C" w:rsidRPr="009E06AA" w:rsidRDefault="00D97D6C" w:rsidP="00BF2A76">
      <w:pPr>
        <w:pStyle w:val="Heading5"/>
        <w:rPr>
          <w:lang w:eastAsia="en-GB"/>
        </w:rPr>
      </w:pPr>
      <w:r w:rsidRPr="009E06AA">
        <w:rPr>
          <w:lang w:eastAsia="en-GB"/>
        </w:rPr>
        <w:t>Abandoned underground mines (1.B.1.a.1.iii)</w:t>
      </w:r>
    </w:p>
    <w:p w14:paraId="7C5B1F6F" w14:textId="77777777" w:rsidR="00D97D6C" w:rsidRPr="009E06AA" w:rsidRDefault="00D97D6C" w:rsidP="00D97D6C">
      <w:pPr>
        <w:pStyle w:val="BodyText"/>
        <w:spacing w:before="100" w:after="100"/>
        <w:rPr>
          <w:lang w:eastAsia="en-GB"/>
        </w:rPr>
      </w:pPr>
      <w:r w:rsidRPr="009E06AA">
        <w:rPr>
          <w:lang w:eastAsia="en-GB"/>
        </w:rPr>
        <w:t xml:space="preserve">MBIE is currently investigating whether there was any activity in this category. According to the 2006 IPCC Guidelines, mines of only a few acres in size should be disregarded, and, additionally, non-gassy mines and flooded mines are presumed to have negligible emissions. Most New Zealand mines are small by European standards and can be disregarded. The first stage of the project was completed in 2016 and concluded that the activity is not occurring (NO) in the North Island: details are given in table 3.3.2. The second stage of the project, focusing on collating and digitising mine data for the South Island, commenced in December 2019 and is ongoing. A mine plans database has been made available </w:t>
      </w:r>
      <w:hyperlink r:id="rId67" w:history="1">
        <w:r w:rsidRPr="009E06AA">
          <w:rPr>
            <w:rStyle w:val="Hyperlink"/>
            <w:lang w:eastAsia="en-GB"/>
          </w:rPr>
          <w:t>online</w:t>
        </w:r>
      </w:hyperlink>
      <w:r w:rsidRPr="009E06AA">
        <w:rPr>
          <w:lang w:eastAsia="en-GB"/>
        </w:rPr>
        <w:t>, although this is still a work in progress. An online exploration database is also available (</w:t>
      </w:r>
      <w:hyperlink r:id="rId68" w:history="1">
        <w:r w:rsidRPr="009E06AA">
          <w:rPr>
            <w:rStyle w:val="Hyperlink"/>
          </w:rPr>
          <w:t>data.nzpam.govt.nz/GOLD/ system/mainframe.asp</w:t>
        </w:r>
      </w:hyperlink>
      <w:r w:rsidRPr="009E06AA">
        <w:rPr>
          <w:lang w:eastAsia="en-GB"/>
        </w:rPr>
        <w:t>).</w:t>
      </w:r>
    </w:p>
    <w:p w14:paraId="4ED1E24E" w14:textId="77777777" w:rsidR="00D97D6C" w:rsidRPr="009E06AA" w:rsidRDefault="00D97D6C" w:rsidP="00D97D6C">
      <w:pPr>
        <w:pStyle w:val="BodyText"/>
        <w:spacing w:before="100" w:after="100"/>
        <w:rPr>
          <w:lang w:eastAsia="en-GB"/>
        </w:rPr>
      </w:pPr>
      <w:r w:rsidRPr="009E06AA">
        <w:rPr>
          <w:lang w:eastAsia="en-GB"/>
        </w:rPr>
        <w:t>During 2021, a contractor was employed to review all the coal reports within MBIE’s online coal mine databases and record the following details:</w:t>
      </w:r>
    </w:p>
    <w:p w14:paraId="64E3A346" w14:textId="77777777" w:rsidR="00D97D6C" w:rsidRPr="009E06AA" w:rsidRDefault="00D97D6C" w:rsidP="00D97D6C">
      <w:pPr>
        <w:pStyle w:val="Bullet"/>
      </w:pPr>
      <w:r w:rsidRPr="009E06AA">
        <w:t>mine name</w:t>
      </w:r>
    </w:p>
    <w:p w14:paraId="0BFBA593" w14:textId="77777777" w:rsidR="00D97D6C" w:rsidRPr="009E06AA" w:rsidRDefault="00D97D6C" w:rsidP="00D97D6C">
      <w:pPr>
        <w:pStyle w:val="Bullet"/>
      </w:pPr>
      <w:r w:rsidRPr="009E06AA">
        <w:t>mine number</w:t>
      </w:r>
    </w:p>
    <w:p w14:paraId="500BB684" w14:textId="77777777" w:rsidR="00D97D6C" w:rsidRPr="009E06AA" w:rsidRDefault="00D97D6C" w:rsidP="00D97D6C">
      <w:pPr>
        <w:pStyle w:val="Bullet"/>
      </w:pPr>
      <w:r w:rsidRPr="009E06AA">
        <w:t>coalfield</w:t>
      </w:r>
    </w:p>
    <w:p w14:paraId="6C65D60B" w14:textId="77777777" w:rsidR="00D97D6C" w:rsidRPr="009E06AA" w:rsidRDefault="00D97D6C" w:rsidP="00D97D6C">
      <w:pPr>
        <w:pStyle w:val="Bullet"/>
      </w:pPr>
      <w:r w:rsidRPr="009E06AA">
        <w:t>mining method</w:t>
      </w:r>
    </w:p>
    <w:p w14:paraId="19D15A03" w14:textId="77777777" w:rsidR="00D97D6C" w:rsidRPr="009E06AA" w:rsidRDefault="00D97D6C" w:rsidP="00D97D6C">
      <w:pPr>
        <w:pStyle w:val="Bullet"/>
      </w:pPr>
      <w:r w:rsidRPr="009E06AA">
        <w:t>location of the mine (grid reference or coordinates)</w:t>
      </w:r>
    </w:p>
    <w:p w14:paraId="0F76DBDE" w14:textId="77777777" w:rsidR="00D97D6C" w:rsidRPr="009E06AA" w:rsidRDefault="00D97D6C" w:rsidP="00D97D6C">
      <w:pPr>
        <w:pStyle w:val="Bullet"/>
      </w:pPr>
      <w:r w:rsidRPr="009E06AA">
        <w:t>mine start year</w:t>
      </w:r>
    </w:p>
    <w:p w14:paraId="5DDD7EA8" w14:textId="77777777" w:rsidR="00D97D6C" w:rsidRPr="009E06AA" w:rsidRDefault="00D97D6C" w:rsidP="00D97D6C">
      <w:pPr>
        <w:pStyle w:val="Bullet"/>
      </w:pPr>
      <w:r w:rsidRPr="009E06AA">
        <w:t>mine closure year</w:t>
      </w:r>
    </w:p>
    <w:p w14:paraId="1550D6EA" w14:textId="77777777" w:rsidR="00D97D6C" w:rsidRPr="009E06AA" w:rsidRDefault="00D97D6C" w:rsidP="00D97D6C">
      <w:pPr>
        <w:pStyle w:val="Bullet"/>
      </w:pPr>
      <w:r w:rsidRPr="009E06AA">
        <w:t>details of production</w:t>
      </w:r>
    </w:p>
    <w:p w14:paraId="5951875A" w14:textId="77777777" w:rsidR="00D97D6C" w:rsidRPr="009E06AA" w:rsidRDefault="00D97D6C" w:rsidP="00D97D6C">
      <w:pPr>
        <w:pStyle w:val="Bullet"/>
      </w:pPr>
      <w:r w:rsidRPr="009E06AA">
        <w:t>whether the mine was gassy (mentions of problems with gas)</w:t>
      </w:r>
    </w:p>
    <w:p w14:paraId="27C27850" w14:textId="77777777" w:rsidR="00D97D6C" w:rsidRPr="009E06AA" w:rsidRDefault="00D97D6C" w:rsidP="00D97D6C">
      <w:pPr>
        <w:pStyle w:val="Bullet"/>
        <w:rPr>
          <w:lang w:eastAsia="en-GB"/>
        </w:rPr>
      </w:pPr>
      <w:r w:rsidRPr="009E06AA">
        <w:t>whether the mine wa</w:t>
      </w:r>
      <w:r w:rsidRPr="009E06AA">
        <w:rPr>
          <w:lang w:eastAsia="en-GB"/>
        </w:rPr>
        <w:t>s flooded or had water problems that would indicate it is now flooded.</w:t>
      </w:r>
    </w:p>
    <w:p w14:paraId="6A8E6F20" w14:textId="77777777" w:rsidR="00D97D6C" w:rsidRPr="009E06AA" w:rsidRDefault="00D97D6C" w:rsidP="00D97D6C">
      <w:pPr>
        <w:pStyle w:val="BodyText"/>
        <w:rPr>
          <w:rFonts w:cs="Arial"/>
        </w:rPr>
      </w:pPr>
      <w:r w:rsidRPr="009E06AA">
        <w:rPr>
          <w:lang w:eastAsia="en-GB"/>
        </w:rPr>
        <w:t xml:space="preserve">A long list of historical mines was collated. Only 63 mines had information on whether the mine is flooded and only 30 mines had information on whether the mine </w:t>
      </w:r>
      <w:r w:rsidRPr="009E06AA">
        <w:t>was</w:t>
      </w:r>
      <w:r w:rsidRPr="009E06AA">
        <w:rPr>
          <w:lang w:eastAsia="en-GB"/>
        </w:rPr>
        <w:t xml:space="preserve"> a gassy mine. Further data collection and processing is still required before we can make a meaningful assessment of fugitive emissions. In particular, we still need to collect:</w:t>
      </w:r>
    </w:p>
    <w:p w14:paraId="754A0533" w14:textId="77777777" w:rsidR="00D97D6C" w:rsidRPr="009E06AA" w:rsidRDefault="00D97D6C" w:rsidP="00D97D6C">
      <w:pPr>
        <w:pStyle w:val="Bullet"/>
        <w:rPr>
          <w:lang w:eastAsia="en-GB"/>
        </w:rPr>
      </w:pPr>
      <w:r w:rsidRPr="009E06AA">
        <w:rPr>
          <w:b/>
          <w:bCs/>
        </w:rPr>
        <w:t>elevation data</w:t>
      </w:r>
      <w:r w:rsidRPr="009E06AA">
        <w:rPr>
          <w:lang w:eastAsia="en-GB"/>
        </w:rPr>
        <w:t xml:space="preserve"> to determine likely flooded or unflooded status</w:t>
      </w:r>
    </w:p>
    <w:p w14:paraId="33B668EB" w14:textId="77777777" w:rsidR="00D97D6C" w:rsidRPr="009E06AA" w:rsidRDefault="00D97D6C" w:rsidP="00D97D6C">
      <w:pPr>
        <w:pStyle w:val="Bullet"/>
        <w:rPr>
          <w:lang w:eastAsia="en-GB"/>
        </w:rPr>
      </w:pPr>
      <w:r w:rsidRPr="009E06AA">
        <w:rPr>
          <w:lang w:eastAsia="en-GB"/>
        </w:rPr>
        <w:t xml:space="preserve">data on </w:t>
      </w:r>
      <w:r w:rsidRPr="009E06AA">
        <w:rPr>
          <w:b/>
          <w:bCs/>
        </w:rPr>
        <w:t>mine size</w:t>
      </w:r>
      <w:r w:rsidRPr="009E06AA">
        <w:rPr>
          <w:lang w:eastAsia="en-GB"/>
        </w:rPr>
        <w:t xml:space="preserve"> to be used in applying a cut-off threshold.</w:t>
      </w:r>
    </w:p>
    <w:p w14:paraId="77E3CEB8" w14:textId="77777777" w:rsidR="00D97D6C" w:rsidRPr="009E06AA" w:rsidRDefault="00D97D6C" w:rsidP="00D97D6C">
      <w:pPr>
        <w:pStyle w:val="BodyText"/>
        <w:rPr>
          <w:lang w:eastAsia="en-GB"/>
        </w:rPr>
      </w:pPr>
      <w:r w:rsidRPr="009E06AA">
        <w:rPr>
          <w:lang w:eastAsia="en-GB"/>
        </w:rPr>
        <w:t>Activity data in the form of CH</w:t>
      </w:r>
      <w:r w:rsidRPr="009E06AA">
        <w:rPr>
          <w:rFonts w:cs="Calibri"/>
          <w:vertAlign w:val="subscript"/>
          <w:lang w:eastAsia="en-GB"/>
        </w:rPr>
        <w:t>4</w:t>
      </w:r>
      <w:r w:rsidRPr="009E06AA">
        <w:rPr>
          <w:lang w:eastAsia="en-GB"/>
        </w:rPr>
        <w:t xml:space="preserve"> output derived from mine ventilation measurements have been obtained from mine operators for those mines where data exist. Those mines have now closed and are flooded. Category-specific details are not provided so as to </w:t>
      </w:r>
      <w:r w:rsidRPr="009E06AA">
        <w:t>maintain</w:t>
      </w:r>
      <w:r w:rsidRPr="009E06AA">
        <w:rPr>
          <w:lang w:eastAsia="en-GB"/>
        </w:rPr>
        <w:t xml:space="preserve"> confidentiality. Recovery and/or flaring of CH</w:t>
      </w:r>
      <w:r w:rsidRPr="009E06AA">
        <w:rPr>
          <w:rFonts w:cs="Calibri"/>
          <w:vertAlign w:val="subscript"/>
          <w:lang w:eastAsia="en-GB"/>
        </w:rPr>
        <w:t>4</w:t>
      </w:r>
      <w:r w:rsidRPr="009E06AA">
        <w:rPr>
          <w:lang w:eastAsia="en-GB"/>
        </w:rPr>
        <w:t xml:space="preserve"> from abandoned mines does not occur.</w:t>
      </w:r>
    </w:p>
    <w:p w14:paraId="797E5064" w14:textId="77777777" w:rsidR="00D97D6C" w:rsidRPr="009E06AA" w:rsidRDefault="00D97D6C" w:rsidP="00D97D6C">
      <w:pPr>
        <w:pStyle w:val="Table"/>
        <w:rPr>
          <w:lang w:eastAsia="en-GB"/>
        </w:rPr>
      </w:pPr>
      <w:bookmarkStart w:id="433" w:name="_Toc443060848"/>
      <w:bookmarkStart w:id="434" w:name="_Toc451176064"/>
      <w:bookmarkStart w:id="435" w:name="_Toc481751490"/>
      <w:bookmarkStart w:id="436" w:name="_Toc507496593"/>
      <w:bookmarkStart w:id="437" w:name="_Toc36224527"/>
      <w:bookmarkStart w:id="438" w:name="_Toc68786414"/>
      <w:bookmarkStart w:id="439" w:name="_Toc164153813"/>
      <w:r w:rsidRPr="009E06AA">
        <w:rPr>
          <w:rFonts w:cs="Calibri"/>
        </w:rPr>
        <w:t xml:space="preserve">Table 3.3.2 </w:t>
      </w:r>
      <w:r w:rsidRPr="009E06AA">
        <w:rPr>
          <w:rFonts w:cs="Calibri"/>
        </w:rPr>
        <w:tab/>
        <w:t>Details of abandoned underground mines in the North Island</w:t>
      </w:r>
      <w:bookmarkEnd w:id="433"/>
      <w:bookmarkEnd w:id="434"/>
      <w:bookmarkEnd w:id="435"/>
      <w:bookmarkEnd w:id="436"/>
      <w:bookmarkEnd w:id="437"/>
      <w:bookmarkEnd w:id="438"/>
      <w:bookmarkEnd w:id="439"/>
      <w:r w:rsidRPr="009E06AA">
        <w:rPr>
          <w:lang w:eastAsia="en-GB"/>
        </w:rPr>
        <w:t xml:space="preserve"> </w:t>
      </w:r>
    </w:p>
    <w:tbl>
      <w:tblPr>
        <w:tblW w:w="8505" w:type="dxa"/>
        <w:tblBorders>
          <w:top w:val="single" w:sz="4" w:space="0" w:color="365F91"/>
          <w:bottom w:val="single" w:sz="4" w:space="0" w:color="365F91"/>
          <w:insideH w:val="single" w:sz="4" w:space="0" w:color="365F91"/>
        </w:tblBorders>
        <w:tblLayout w:type="fixed"/>
        <w:tblCellMar>
          <w:right w:w="85" w:type="dxa"/>
        </w:tblCellMar>
        <w:tblLook w:val="04A0" w:firstRow="1" w:lastRow="0" w:firstColumn="1" w:lastColumn="0" w:noHBand="0" w:noVBand="1"/>
      </w:tblPr>
      <w:tblGrid>
        <w:gridCol w:w="1557"/>
        <w:gridCol w:w="1645"/>
        <w:gridCol w:w="5303"/>
      </w:tblGrid>
      <w:tr w:rsidR="00D97D6C" w:rsidRPr="009E06AA" w14:paraId="64790756" w14:textId="77777777" w:rsidTr="00B55F24">
        <w:trPr>
          <w:cantSplit/>
        </w:trPr>
        <w:tc>
          <w:tcPr>
            <w:tcW w:w="1474" w:type="dxa"/>
            <w:tcBorders>
              <w:top w:val="single" w:sz="4" w:space="0" w:color="1B556B"/>
              <w:bottom w:val="single" w:sz="4" w:space="0" w:color="1B556B"/>
            </w:tcBorders>
            <w:shd w:val="clear" w:color="auto" w:fill="1B556B"/>
            <w:vAlign w:val="bottom"/>
          </w:tcPr>
          <w:p w14:paraId="7DDF0DBA" w14:textId="77777777" w:rsidR="00D97D6C" w:rsidRPr="009E06AA" w:rsidRDefault="00D97D6C" w:rsidP="00B55F24">
            <w:pPr>
              <w:pStyle w:val="TableTextBold"/>
              <w:keepNext/>
              <w:spacing w:before="40" w:after="40"/>
              <w:rPr>
                <w:rFonts w:cs="Calibri"/>
                <w:noProof w:val="0"/>
                <w:color w:val="FFFFFF"/>
              </w:rPr>
            </w:pPr>
            <w:r w:rsidRPr="009E06AA">
              <w:rPr>
                <w:rFonts w:cs="Calibri"/>
                <w:noProof w:val="0"/>
                <w:color w:val="FFFFFF"/>
              </w:rPr>
              <w:t>Region/coalfield</w:t>
            </w:r>
          </w:p>
        </w:tc>
        <w:tc>
          <w:tcPr>
            <w:tcW w:w="1557" w:type="dxa"/>
            <w:tcBorders>
              <w:top w:val="single" w:sz="4" w:space="0" w:color="1B556B"/>
              <w:bottom w:val="single" w:sz="4" w:space="0" w:color="1B556B"/>
            </w:tcBorders>
            <w:shd w:val="clear" w:color="auto" w:fill="1B556B"/>
            <w:vAlign w:val="bottom"/>
          </w:tcPr>
          <w:p w14:paraId="711E8D15" w14:textId="77777777" w:rsidR="00D97D6C" w:rsidRPr="009E06AA" w:rsidRDefault="00D97D6C" w:rsidP="00B55F24">
            <w:pPr>
              <w:pStyle w:val="TableTextBold"/>
              <w:spacing w:before="40" w:after="40"/>
              <w:rPr>
                <w:rFonts w:cs="Calibri"/>
                <w:noProof w:val="0"/>
                <w:color w:val="FFFFFF"/>
              </w:rPr>
            </w:pPr>
            <w:r w:rsidRPr="009E06AA">
              <w:rPr>
                <w:rFonts w:cs="Calibri"/>
                <w:noProof w:val="0"/>
                <w:color w:val="FFFFFF"/>
              </w:rPr>
              <w:t>Significant mine</w:t>
            </w:r>
          </w:p>
        </w:tc>
        <w:tc>
          <w:tcPr>
            <w:tcW w:w="5019" w:type="dxa"/>
            <w:tcBorders>
              <w:top w:val="single" w:sz="4" w:space="0" w:color="1B556B"/>
              <w:bottom w:val="single" w:sz="4" w:space="0" w:color="1B556B"/>
            </w:tcBorders>
            <w:shd w:val="clear" w:color="auto" w:fill="1B556B"/>
            <w:vAlign w:val="bottom"/>
          </w:tcPr>
          <w:p w14:paraId="3C1749DA" w14:textId="77777777" w:rsidR="00D97D6C" w:rsidRPr="009E06AA" w:rsidRDefault="00D97D6C" w:rsidP="00B55F24">
            <w:pPr>
              <w:pStyle w:val="TableTextBold"/>
              <w:spacing w:before="40" w:after="40"/>
              <w:rPr>
                <w:rFonts w:cs="Calibri"/>
                <w:noProof w:val="0"/>
                <w:color w:val="FFFFFF"/>
              </w:rPr>
            </w:pPr>
            <w:r w:rsidRPr="009E06AA">
              <w:rPr>
                <w:rFonts w:cs="Calibri"/>
                <w:noProof w:val="0"/>
                <w:color w:val="FFFFFF"/>
              </w:rPr>
              <w:t>Status</w:t>
            </w:r>
          </w:p>
        </w:tc>
      </w:tr>
      <w:tr w:rsidR="00D97D6C" w:rsidRPr="009E06AA" w14:paraId="0930D5C4" w14:textId="77777777" w:rsidTr="00B55F24">
        <w:trPr>
          <w:cantSplit/>
          <w:trHeight w:val="250"/>
        </w:trPr>
        <w:tc>
          <w:tcPr>
            <w:tcW w:w="1474" w:type="dxa"/>
            <w:tcBorders>
              <w:top w:val="single" w:sz="4" w:space="0" w:color="1B556B"/>
              <w:bottom w:val="single" w:sz="4" w:space="0" w:color="1B556B"/>
            </w:tcBorders>
          </w:tcPr>
          <w:p w14:paraId="121B519A" w14:textId="77777777" w:rsidR="00D97D6C" w:rsidRPr="009E06AA" w:rsidRDefault="00D97D6C" w:rsidP="00B55F24">
            <w:pPr>
              <w:pStyle w:val="TableText"/>
              <w:keepNext/>
              <w:spacing w:before="40" w:after="40"/>
              <w:rPr>
                <w:rFonts w:cs="Calibri"/>
              </w:rPr>
            </w:pPr>
            <w:r w:rsidRPr="009E06AA">
              <w:rPr>
                <w:rFonts w:cs="Calibri"/>
              </w:rPr>
              <w:t>Northland</w:t>
            </w:r>
          </w:p>
        </w:tc>
        <w:tc>
          <w:tcPr>
            <w:tcW w:w="1557" w:type="dxa"/>
            <w:tcBorders>
              <w:top w:val="single" w:sz="4" w:space="0" w:color="1B556B"/>
              <w:bottom w:val="single" w:sz="4" w:space="0" w:color="1B556B"/>
            </w:tcBorders>
          </w:tcPr>
          <w:p w14:paraId="3D162EE0" w14:textId="77777777" w:rsidR="00D97D6C" w:rsidRPr="009E06AA" w:rsidRDefault="00D97D6C" w:rsidP="00B55F24">
            <w:pPr>
              <w:pStyle w:val="TableText"/>
              <w:spacing w:before="40" w:after="40"/>
              <w:rPr>
                <w:rFonts w:cs="Calibri"/>
              </w:rPr>
            </w:pPr>
            <w:r w:rsidRPr="009E06AA">
              <w:rPr>
                <w:rFonts w:cs="Calibri"/>
              </w:rPr>
              <w:t>Kamo</w:t>
            </w:r>
          </w:p>
        </w:tc>
        <w:tc>
          <w:tcPr>
            <w:tcW w:w="5019" w:type="dxa"/>
            <w:tcBorders>
              <w:top w:val="single" w:sz="4" w:space="0" w:color="1B556B"/>
              <w:bottom w:val="single" w:sz="4" w:space="0" w:color="1B556B"/>
            </w:tcBorders>
          </w:tcPr>
          <w:p w14:paraId="17112E7B" w14:textId="77777777" w:rsidR="00D97D6C" w:rsidRPr="009E06AA" w:rsidRDefault="00D97D6C" w:rsidP="00B55F24">
            <w:pPr>
              <w:pStyle w:val="TableText"/>
              <w:spacing w:before="40" w:after="40"/>
              <w:rPr>
                <w:rFonts w:cs="Calibri"/>
              </w:rPr>
            </w:pPr>
            <w:r w:rsidRPr="009E06AA">
              <w:rPr>
                <w:rFonts w:cs="Calibri"/>
              </w:rPr>
              <w:t>Only one significant mine; flooded</w:t>
            </w:r>
          </w:p>
        </w:tc>
      </w:tr>
      <w:tr w:rsidR="00D97D6C" w:rsidRPr="009E06AA" w14:paraId="65B25B5C" w14:textId="77777777" w:rsidTr="00B55F24">
        <w:trPr>
          <w:cantSplit/>
        </w:trPr>
        <w:tc>
          <w:tcPr>
            <w:tcW w:w="1474" w:type="dxa"/>
            <w:tcBorders>
              <w:top w:val="single" w:sz="4" w:space="0" w:color="1B556B"/>
              <w:bottom w:val="nil"/>
            </w:tcBorders>
          </w:tcPr>
          <w:p w14:paraId="318572B5" w14:textId="77777777" w:rsidR="00D97D6C" w:rsidRPr="009E06AA" w:rsidRDefault="00D97D6C" w:rsidP="00B55F24">
            <w:pPr>
              <w:pStyle w:val="TableText"/>
              <w:spacing w:before="40" w:after="40"/>
              <w:rPr>
                <w:rFonts w:cs="Calibri"/>
              </w:rPr>
            </w:pPr>
            <w:r w:rsidRPr="009E06AA">
              <w:rPr>
                <w:rFonts w:cs="Calibri"/>
              </w:rPr>
              <w:t>Waikato</w:t>
            </w:r>
          </w:p>
        </w:tc>
        <w:tc>
          <w:tcPr>
            <w:tcW w:w="1557" w:type="dxa"/>
            <w:tcBorders>
              <w:top w:val="single" w:sz="4" w:space="0" w:color="1B556B"/>
              <w:bottom w:val="single" w:sz="4" w:space="0" w:color="1B556B"/>
            </w:tcBorders>
          </w:tcPr>
          <w:p w14:paraId="678E4D90" w14:textId="77777777" w:rsidR="00D97D6C" w:rsidRPr="009E06AA" w:rsidRDefault="00D97D6C" w:rsidP="00B55F24">
            <w:pPr>
              <w:pStyle w:val="TableText"/>
              <w:spacing w:before="40" w:after="40"/>
              <w:rPr>
                <w:rFonts w:cs="Calibri"/>
              </w:rPr>
            </w:pPr>
            <w:r w:rsidRPr="009E06AA">
              <w:rPr>
                <w:rFonts w:cs="Calibri"/>
              </w:rPr>
              <w:t>Rotowaro mines</w:t>
            </w:r>
          </w:p>
        </w:tc>
        <w:tc>
          <w:tcPr>
            <w:tcW w:w="5019" w:type="dxa"/>
            <w:tcBorders>
              <w:top w:val="single" w:sz="4" w:space="0" w:color="1B556B"/>
              <w:bottom w:val="single" w:sz="4" w:space="0" w:color="1B556B"/>
            </w:tcBorders>
          </w:tcPr>
          <w:p w14:paraId="594275E9" w14:textId="77777777" w:rsidR="00D97D6C" w:rsidRPr="009E06AA" w:rsidRDefault="00D97D6C" w:rsidP="00B55F24">
            <w:pPr>
              <w:pStyle w:val="TableText"/>
              <w:spacing w:before="40" w:after="40"/>
              <w:rPr>
                <w:rFonts w:cs="Calibri"/>
              </w:rPr>
            </w:pPr>
            <w:r w:rsidRPr="009E06AA">
              <w:rPr>
                <w:rFonts w:cs="Calibri"/>
              </w:rPr>
              <w:t>Underground mines either flooded or subsequently open-cast mined</w:t>
            </w:r>
          </w:p>
        </w:tc>
      </w:tr>
      <w:tr w:rsidR="00D97D6C" w:rsidRPr="009E06AA" w14:paraId="7DC994AD" w14:textId="77777777" w:rsidTr="00B55F24">
        <w:trPr>
          <w:cantSplit/>
        </w:trPr>
        <w:tc>
          <w:tcPr>
            <w:tcW w:w="1474" w:type="dxa"/>
            <w:tcBorders>
              <w:top w:val="nil"/>
              <w:bottom w:val="nil"/>
            </w:tcBorders>
          </w:tcPr>
          <w:p w14:paraId="0667D1F6" w14:textId="77777777" w:rsidR="00D97D6C" w:rsidRPr="009E06AA" w:rsidRDefault="00D97D6C" w:rsidP="00B55F24">
            <w:pPr>
              <w:pStyle w:val="TableText"/>
              <w:spacing w:before="40" w:after="40"/>
              <w:rPr>
                <w:rFonts w:cs="Calibri"/>
              </w:rPr>
            </w:pPr>
          </w:p>
        </w:tc>
        <w:tc>
          <w:tcPr>
            <w:tcW w:w="1557" w:type="dxa"/>
            <w:tcBorders>
              <w:top w:val="single" w:sz="4" w:space="0" w:color="1B556B"/>
              <w:bottom w:val="single" w:sz="4" w:space="0" w:color="1B556B"/>
            </w:tcBorders>
          </w:tcPr>
          <w:p w14:paraId="57EE6F4E" w14:textId="77777777" w:rsidR="00D97D6C" w:rsidRPr="009E06AA" w:rsidRDefault="00D97D6C" w:rsidP="00B55F24">
            <w:pPr>
              <w:pStyle w:val="TableText"/>
              <w:spacing w:before="40" w:after="40"/>
              <w:rPr>
                <w:rFonts w:cs="Calibri"/>
              </w:rPr>
            </w:pPr>
            <w:r w:rsidRPr="009E06AA">
              <w:rPr>
                <w:rFonts w:cs="Calibri"/>
              </w:rPr>
              <w:t>Huntly West</w:t>
            </w:r>
          </w:p>
        </w:tc>
        <w:tc>
          <w:tcPr>
            <w:tcW w:w="5019" w:type="dxa"/>
            <w:tcBorders>
              <w:top w:val="single" w:sz="4" w:space="0" w:color="1B556B"/>
              <w:bottom w:val="single" w:sz="4" w:space="0" w:color="1B556B"/>
            </w:tcBorders>
          </w:tcPr>
          <w:p w14:paraId="7130F23A" w14:textId="77777777" w:rsidR="00D97D6C" w:rsidRPr="009E06AA" w:rsidRDefault="00D97D6C" w:rsidP="00B55F24">
            <w:pPr>
              <w:pStyle w:val="TableText"/>
              <w:spacing w:before="40" w:after="40"/>
              <w:rPr>
                <w:rFonts w:cs="Calibri"/>
              </w:rPr>
            </w:pPr>
            <w:r w:rsidRPr="009E06AA">
              <w:rPr>
                <w:rFonts w:cs="Calibri"/>
              </w:rPr>
              <w:t>Flooded</w:t>
            </w:r>
          </w:p>
        </w:tc>
      </w:tr>
      <w:tr w:rsidR="00D97D6C" w:rsidRPr="009E06AA" w14:paraId="356DEE78" w14:textId="77777777" w:rsidTr="00B55F24">
        <w:trPr>
          <w:cantSplit/>
        </w:trPr>
        <w:tc>
          <w:tcPr>
            <w:tcW w:w="1474" w:type="dxa"/>
            <w:tcBorders>
              <w:top w:val="nil"/>
              <w:bottom w:val="single" w:sz="4" w:space="0" w:color="1B556B"/>
            </w:tcBorders>
          </w:tcPr>
          <w:p w14:paraId="3959A98F" w14:textId="77777777" w:rsidR="00D97D6C" w:rsidRPr="009E06AA" w:rsidRDefault="00D97D6C" w:rsidP="00B55F24">
            <w:pPr>
              <w:pStyle w:val="TableText"/>
              <w:spacing w:before="40" w:after="40"/>
              <w:rPr>
                <w:rFonts w:cs="Calibri"/>
              </w:rPr>
            </w:pPr>
          </w:p>
        </w:tc>
        <w:tc>
          <w:tcPr>
            <w:tcW w:w="1557" w:type="dxa"/>
            <w:tcBorders>
              <w:top w:val="single" w:sz="4" w:space="0" w:color="1B556B"/>
              <w:bottom w:val="single" w:sz="4" w:space="0" w:color="1B556B"/>
            </w:tcBorders>
          </w:tcPr>
          <w:p w14:paraId="3FCA9E67" w14:textId="77777777" w:rsidR="00D97D6C" w:rsidRPr="009E06AA" w:rsidRDefault="00D97D6C" w:rsidP="00B55F24">
            <w:pPr>
              <w:pStyle w:val="TableText"/>
              <w:spacing w:before="40" w:after="40"/>
              <w:rPr>
                <w:rFonts w:cs="Calibri"/>
              </w:rPr>
            </w:pPr>
            <w:r w:rsidRPr="009E06AA">
              <w:rPr>
                <w:rFonts w:cs="Calibri"/>
              </w:rPr>
              <w:t>Taupiri/Ralphs</w:t>
            </w:r>
          </w:p>
        </w:tc>
        <w:tc>
          <w:tcPr>
            <w:tcW w:w="5019" w:type="dxa"/>
            <w:tcBorders>
              <w:top w:val="single" w:sz="4" w:space="0" w:color="1B556B"/>
              <w:bottom w:val="single" w:sz="4" w:space="0" w:color="1B556B"/>
            </w:tcBorders>
          </w:tcPr>
          <w:p w14:paraId="5B2BABE2" w14:textId="77777777" w:rsidR="00D97D6C" w:rsidRPr="009E06AA" w:rsidRDefault="00D97D6C" w:rsidP="00B55F24">
            <w:pPr>
              <w:pStyle w:val="TableText"/>
              <w:spacing w:before="40" w:after="40"/>
              <w:rPr>
                <w:rFonts w:cs="Calibri"/>
              </w:rPr>
            </w:pPr>
            <w:r w:rsidRPr="009E06AA">
              <w:rPr>
                <w:rFonts w:cs="Calibri"/>
              </w:rPr>
              <w:t>Mines under Huntly township; flooded</w:t>
            </w:r>
          </w:p>
        </w:tc>
      </w:tr>
      <w:tr w:rsidR="00D97D6C" w:rsidRPr="009E06AA" w14:paraId="0063EA52" w14:textId="77777777" w:rsidTr="00B55F24">
        <w:trPr>
          <w:cantSplit/>
        </w:trPr>
        <w:tc>
          <w:tcPr>
            <w:tcW w:w="1474" w:type="dxa"/>
            <w:tcBorders>
              <w:top w:val="single" w:sz="4" w:space="0" w:color="1B556B"/>
              <w:bottom w:val="single" w:sz="4" w:space="0" w:color="1B556B"/>
            </w:tcBorders>
          </w:tcPr>
          <w:p w14:paraId="5562449D" w14:textId="77777777" w:rsidR="00D97D6C" w:rsidRPr="009E06AA" w:rsidRDefault="00D97D6C" w:rsidP="00B55F24">
            <w:pPr>
              <w:pStyle w:val="TableText"/>
              <w:spacing w:before="40" w:after="40"/>
              <w:rPr>
                <w:rFonts w:cs="Calibri"/>
              </w:rPr>
            </w:pPr>
            <w:r w:rsidRPr="009E06AA">
              <w:rPr>
                <w:rFonts w:cs="Calibri"/>
              </w:rPr>
              <w:t>Taranaki</w:t>
            </w:r>
          </w:p>
        </w:tc>
        <w:tc>
          <w:tcPr>
            <w:tcW w:w="1557" w:type="dxa"/>
            <w:tcBorders>
              <w:top w:val="single" w:sz="4" w:space="0" w:color="1B556B"/>
              <w:bottom w:val="single" w:sz="4" w:space="0" w:color="1B556B"/>
            </w:tcBorders>
          </w:tcPr>
          <w:p w14:paraId="35EF1EC4" w14:textId="77777777" w:rsidR="00D97D6C" w:rsidRPr="009E06AA" w:rsidRDefault="00D97D6C" w:rsidP="00B55F24">
            <w:pPr>
              <w:pStyle w:val="TableText"/>
              <w:spacing w:before="40" w:after="40"/>
              <w:rPr>
                <w:rFonts w:cs="Calibri"/>
              </w:rPr>
            </w:pPr>
            <w:r w:rsidRPr="009E06AA">
              <w:rPr>
                <w:rFonts w:cs="Calibri"/>
              </w:rPr>
              <w:t>Tatu</w:t>
            </w:r>
          </w:p>
        </w:tc>
        <w:tc>
          <w:tcPr>
            <w:tcW w:w="5019" w:type="dxa"/>
            <w:tcBorders>
              <w:top w:val="single" w:sz="4" w:space="0" w:color="1B556B"/>
              <w:bottom w:val="single" w:sz="4" w:space="0" w:color="1B556B"/>
            </w:tcBorders>
          </w:tcPr>
          <w:p w14:paraId="317C15FA" w14:textId="77777777" w:rsidR="00D97D6C" w:rsidRPr="009E06AA" w:rsidRDefault="00D97D6C" w:rsidP="00B55F24">
            <w:pPr>
              <w:pStyle w:val="TableText"/>
              <w:spacing w:before="40" w:after="40"/>
              <w:rPr>
                <w:rFonts w:cs="Calibri"/>
              </w:rPr>
            </w:pPr>
            <w:r w:rsidRPr="009E06AA">
              <w:rPr>
                <w:rFonts w:cs="Calibri"/>
              </w:rPr>
              <w:t>Only one significant mine; flooded</w:t>
            </w:r>
          </w:p>
        </w:tc>
      </w:tr>
    </w:tbl>
    <w:p w14:paraId="1420FEBE" w14:textId="77777777" w:rsidR="00D97D6C" w:rsidRPr="009E06AA" w:rsidRDefault="00D97D6C" w:rsidP="00D97D6C">
      <w:pPr>
        <w:pStyle w:val="Heading4"/>
        <w:rPr>
          <w:lang w:eastAsia="en-GB"/>
        </w:rPr>
      </w:pPr>
      <w:r w:rsidRPr="009E06AA">
        <w:rPr>
          <w:lang w:eastAsia="en-GB"/>
        </w:rPr>
        <w:t>Uncertainty assessment and time-series consistency</w:t>
      </w:r>
    </w:p>
    <w:p w14:paraId="50D98648" w14:textId="77777777" w:rsidR="00D97D6C" w:rsidRPr="009E06AA" w:rsidRDefault="00D97D6C" w:rsidP="00D97D6C">
      <w:pPr>
        <w:pStyle w:val="BodyText"/>
        <w:rPr>
          <w:rFonts w:cs="Calibri"/>
          <w:spacing w:val="-2"/>
          <w:lang w:eastAsia="en-GB"/>
        </w:rPr>
      </w:pPr>
      <w:r w:rsidRPr="009E06AA">
        <w:rPr>
          <w:rFonts w:cs="Calibri"/>
          <w:spacing w:val="-2"/>
          <w:lang w:eastAsia="en-GB"/>
        </w:rPr>
        <w:t>Uncertainties in fugitive emissions are relevant to the entire Energy sector (see table 3.2.1).</w:t>
      </w:r>
    </w:p>
    <w:p w14:paraId="44015666" w14:textId="77777777" w:rsidR="00D97D6C" w:rsidRPr="009E06AA" w:rsidRDefault="00D97D6C" w:rsidP="00D97D6C">
      <w:pPr>
        <w:pStyle w:val="Heading4"/>
        <w:rPr>
          <w:lang w:eastAsia="en-GB"/>
        </w:rPr>
      </w:pPr>
      <w:r w:rsidRPr="009E06AA">
        <w:rPr>
          <w:lang w:eastAsia="en-GB"/>
        </w:rPr>
        <w:t>Category-specific QA/QC and verification</w:t>
      </w:r>
    </w:p>
    <w:p w14:paraId="025C55BC" w14:textId="77777777" w:rsidR="00D97D6C" w:rsidRPr="009E06AA" w:rsidRDefault="00D97D6C" w:rsidP="00D97D6C">
      <w:pPr>
        <w:pStyle w:val="BodyText"/>
        <w:spacing w:before="100" w:after="100"/>
        <w:rPr>
          <w:lang w:eastAsia="en-GB"/>
        </w:rPr>
      </w:pPr>
      <w:r w:rsidRPr="009E06AA">
        <w:rPr>
          <w:lang w:eastAsia="en-GB"/>
        </w:rPr>
        <w:t xml:space="preserve">In the preparation of this inventory, the </w:t>
      </w:r>
      <w:r w:rsidRPr="009E06AA">
        <w:rPr>
          <w:rFonts w:cs="Calibri"/>
          <w:i/>
          <w:lang w:eastAsia="en-GB"/>
        </w:rPr>
        <w:t>Fugitive emissions</w:t>
      </w:r>
      <w:r w:rsidRPr="009E06AA">
        <w:rPr>
          <w:lang w:eastAsia="en-GB"/>
        </w:rPr>
        <w:t xml:space="preserve"> category underwent Tier 1 quality-assurance and quality-control checks, as recommended in the 2006 IPCC Guidelines. These include regular control sums throughout systems, to verify system integrity, and consistency checks of implied emission factors.</w:t>
      </w:r>
    </w:p>
    <w:p w14:paraId="2B51B622" w14:textId="77777777" w:rsidR="00D97D6C" w:rsidRPr="009E06AA" w:rsidRDefault="00D97D6C" w:rsidP="00D97D6C">
      <w:pPr>
        <w:pStyle w:val="Heading4"/>
        <w:rPr>
          <w:lang w:eastAsia="en-GB"/>
        </w:rPr>
      </w:pPr>
      <w:r w:rsidRPr="009E06AA">
        <w:rPr>
          <w:lang w:eastAsia="en-GB"/>
        </w:rPr>
        <w:t>Category-specific recalculations</w:t>
      </w:r>
    </w:p>
    <w:p w14:paraId="78C50FF7" w14:textId="77777777" w:rsidR="00D97D6C" w:rsidRPr="009E06AA" w:rsidRDefault="00D97D6C" w:rsidP="00D97D6C">
      <w:pPr>
        <w:pStyle w:val="BodyText"/>
        <w:spacing w:before="100" w:after="100"/>
        <w:rPr>
          <w:lang w:eastAsia="en-GB"/>
        </w:rPr>
      </w:pPr>
      <w:r w:rsidRPr="009E06AA">
        <w:rPr>
          <w:lang w:eastAsia="en-GB"/>
        </w:rPr>
        <w:t xml:space="preserve">Some historical geothermal emissions data have been revised due to updated data provided by plant operators. This has resulted in minor recalculations to emissions for some years. </w:t>
      </w:r>
    </w:p>
    <w:p w14:paraId="3B0270DD" w14:textId="77777777" w:rsidR="00D97D6C" w:rsidRPr="009E06AA" w:rsidRDefault="00D97D6C" w:rsidP="00D97D6C">
      <w:pPr>
        <w:pStyle w:val="Heading4"/>
        <w:rPr>
          <w:lang w:eastAsia="en-GB"/>
        </w:rPr>
      </w:pPr>
      <w:r w:rsidRPr="009E06AA">
        <w:t>Category</w:t>
      </w:r>
      <w:r w:rsidRPr="009E06AA">
        <w:rPr>
          <w:lang w:eastAsia="en-GB"/>
        </w:rPr>
        <w:t>-specific planned improvements</w:t>
      </w:r>
    </w:p>
    <w:p w14:paraId="67B0AB1F" w14:textId="77777777" w:rsidR="00D97D6C" w:rsidRPr="009E06AA" w:rsidRDefault="00D97D6C" w:rsidP="00D97D6C">
      <w:pPr>
        <w:pStyle w:val="BodyText"/>
        <w:spacing w:before="100" w:after="100"/>
        <w:rPr>
          <w:rFonts w:cs="Calibri"/>
          <w:b/>
          <w:bCs/>
          <w:szCs w:val="24"/>
          <w:lang w:eastAsia="en-GB"/>
        </w:rPr>
      </w:pPr>
      <w:r w:rsidRPr="009E06AA">
        <w:rPr>
          <w:rFonts w:cs="Calibri"/>
          <w:lang w:eastAsia="en-GB"/>
        </w:rPr>
        <w:t xml:space="preserve">As described above, the project to enable the more accurate estimation of emissions associated with abandoned coal mines is under way, and results will be included in the next annual submission. </w:t>
      </w:r>
    </w:p>
    <w:p w14:paraId="7FA1A01F" w14:textId="77777777" w:rsidR="00D97D6C" w:rsidRPr="009E06AA" w:rsidRDefault="00D97D6C" w:rsidP="00D97D6C">
      <w:pPr>
        <w:pStyle w:val="Heading3"/>
      </w:pPr>
      <w:r w:rsidRPr="009E06AA">
        <w:t>3.3.2</w:t>
      </w:r>
      <w:r w:rsidRPr="009E06AA">
        <w:tab/>
        <w:t>Fugitive emissions from fuels: Oil and natural gas and other emissions from energy production (CRT 1.B.2)</w:t>
      </w:r>
    </w:p>
    <w:p w14:paraId="7688B99F" w14:textId="77777777" w:rsidR="00D97D6C" w:rsidRPr="009E06AA" w:rsidRDefault="00D97D6C" w:rsidP="00D97D6C">
      <w:pPr>
        <w:pStyle w:val="Heading4"/>
        <w:rPr>
          <w:lang w:eastAsia="en-GB"/>
        </w:rPr>
      </w:pPr>
      <w:r w:rsidRPr="009E06AA">
        <w:t>Category</w:t>
      </w:r>
      <w:r w:rsidRPr="009E06AA">
        <w:rPr>
          <w:lang w:eastAsia="en-GB"/>
        </w:rPr>
        <w:t xml:space="preserve"> description</w:t>
      </w:r>
    </w:p>
    <w:p w14:paraId="76460C68" w14:textId="77777777" w:rsidR="00D97D6C" w:rsidRPr="009E06AA" w:rsidRDefault="00D97D6C" w:rsidP="00D97D6C">
      <w:pPr>
        <w:pStyle w:val="BodyText"/>
        <w:spacing w:before="100" w:after="100"/>
        <w:rPr>
          <w:rFonts w:cs="Calibri"/>
        </w:rPr>
      </w:pPr>
      <w:r w:rsidRPr="009E06AA">
        <w:rPr>
          <w:lang w:eastAsia="en-GB"/>
        </w:rPr>
        <w:t xml:space="preserve">In </w:t>
      </w:r>
      <w:r w:rsidRPr="009E06AA">
        <w:rPr>
          <w:rFonts w:cs="Calibri"/>
        </w:rPr>
        <w:t>2022</w:t>
      </w:r>
      <w:r w:rsidRPr="009E06AA">
        <w:rPr>
          <w:lang w:eastAsia="en-GB"/>
        </w:rPr>
        <w:t xml:space="preserve">, fugitive emissions from the </w:t>
      </w:r>
      <w:r w:rsidRPr="009E06AA">
        <w:rPr>
          <w:rFonts w:cs="Calibri"/>
          <w:i/>
          <w:lang w:eastAsia="en-GB"/>
        </w:rPr>
        <w:t>Oil and natural gas</w:t>
      </w:r>
      <w:r w:rsidRPr="009E06AA">
        <w:rPr>
          <w:lang w:eastAsia="en-GB"/>
        </w:rPr>
        <w:t xml:space="preserve"> category contributed 1,227.2</w:t>
      </w:r>
      <w:r w:rsidRPr="009E06AA">
        <w:rPr>
          <w:rFonts w:cs="Calibri"/>
        </w:rPr>
        <w:t> </w:t>
      </w:r>
      <w:r w:rsidRPr="009E06AA">
        <w:rPr>
          <w:lang w:eastAsia="en-GB"/>
        </w:rPr>
        <w:t>kt CO</w:t>
      </w:r>
      <w:r w:rsidRPr="009E06AA">
        <w:rPr>
          <w:rFonts w:cs="Calibri"/>
          <w:vertAlign w:val="subscript"/>
          <w:lang w:eastAsia="en-GB"/>
        </w:rPr>
        <w:t>2</w:t>
      </w:r>
      <w:r w:rsidRPr="009E06AA">
        <w:rPr>
          <w:lang w:eastAsia="en-GB"/>
        </w:rPr>
        <w:t xml:space="preserve">-e (95.0 </w:t>
      </w:r>
      <w:r w:rsidRPr="009E06AA">
        <w:rPr>
          <w:rFonts w:cs="Calibri"/>
        </w:rPr>
        <w:t>per cent</w:t>
      </w:r>
      <w:r w:rsidRPr="009E06AA">
        <w:rPr>
          <w:lang w:eastAsia="en-GB"/>
        </w:rPr>
        <w:t xml:space="preserve">) to emissions from the </w:t>
      </w:r>
      <w:r w:rsidRPr="009E06AA">
        <w:rPr>
          <w:rFonts w:cs="Calibri"/>
          <w:i/>
          <w:lang w:eastAsia="en-GB"/>
        </w:rPr>
        <w:t>Fugitive emissions</w:t>
      </w:r>
      <w:r w:rsidRPr="009E06AA">
        <w:rPr>
          <w:lang w:eastAsia="en-GB"/>
        </w:rPr>
        <w:t xml:space="preserve"> category. This is 45.2</w:t>
      </w:r>
      <w:r w:rsidRPr="009E06AA">
        <w:rPr>
          <w:rFonts w:cs="Calibri"/>
        </w:rPr>
        <w:t xml:space="preserve"> </w:t>
      </w:r>
      <w:r w:rsidRPr="009E06AA">
        <w:rPr>
          <w:lang w:eastAsia="en-GB"/>
        </w:rPr>
        <w:t>kt CO</w:t>
      </w:r>
      <w:r w:rsidRPr="009E06AA">
        <w:rPr>
          <w:rFonts w:cs="Calibri"/>
          <w:vertAlign w:val="subscript"/>
          <w:lang w:eastAsia="en-GB"/>
        </w:rPr>
        <w:t>2</w:t>
      </w:r>
      <w:r w:rsidRPr="009E06AA">
        <w:rPr>
          <w:lang w:eastAsia="en-GB"/>
        </w:rPr>
        <w:t>-e (3.8</w:t>
      </w:r>
      <w:r w:rsidRPr="009E06AA">
        <w:rPr>
          <w:rFonts w:cs="Calibri"/>
        </w:rPr>
        <w:t> per cent</w:t>
      </w:r>
      <w:r w:rsidRPr="009E06AA">
        <w:rPr>
          <w:lang w:eastAsia="en-GB"/>
        </w:rPr>
        <w:t xml:space="preserve">) higher than the 1990 level of </w:t>
      </w:r>
      <w:r w:rsidRPr="009E06AA">
        <w:rPr>
          <w:rFonts w:cs="Calibri"/>
        </w:rPr>
        <w:t xml:space="preserve">1,182.0 </w:t>
      </w:r>
      <w:r w:rsidRPr="009E06AA">
        <w:rPr>
          <w:lang w:eastAsia="en-GB"/>
        </w:rPr>
        <w:t>kt CO</w:t>
      </w:r>
      <w:r w:rsidRPr="009E06AA">
        <w:rPr>
          <w:rFonts w:cs="Calibri"/>
          <w:vertAlign w:val="subscript"/>
          <w:lang w:eastAsia="en-GB"/>
        </w:rPr>
        <w:t>2</w:t>
      </w:r>
      <w:r w:rsidRPr="009E06AA">
        <w:rPr>
          <w:lang w:eastAsia="en-GB"/>
        </w:rPr>
        <w:t xml:space="preserve">-e. </w:t>
      </w:r>
    </w:p>
    <w:p w14:paraId="7856F786" w14:textId="7BBDAF35" w:rsidR="00D97D6C" w:rsidRPr="009E06AA" w:rsidRDefault="00D97D6C" w:rsidP="00D97D6C">
      <w:pPr>
        <w:pStyle w:val="BodyText"/>
        <w:spacing w:before="100" w:after="100"/>
        <w:rPr>
          <w:lang w:eastAsia="en-GB"/>
        </w:rPr>
      </w:pPr>
      <w:r w:rsidRPr="009E06AA">
        <w:rPr>
          <w:lang w:eastAsia="en-GB"/>
        </w:rPr>
        <w:t xml:space="preserve">A source of emissions from the production and processing of natural gas is the Kapuni Gas Treatment Plant. The plant removes </w:t>
      </w:r>
      <w:r w:rsidRPr="009E06AA">
        <w:rPr>
          <w:rFonts w:cs="Calibri"/>
        </w:rPr>
        <w:t>CO</w:t>
      </w:r>
      <w:r w:rsidRPr="009E06AA">
        <w:rPr>
          <w:rFonts w:cs="Calibri"/>
          <w:vertAlign w:val="subscript"/>
        </w:rPr>
        <w:t>2</w:t>
      </w:r>
      <w:r w:rsidRPr="009E06AA">
        <w:rPr>
          <w:rFonts w:cs="Calibri"/>
          <w:sz w:val="14"/>
          <w:szCs w:val="14"/>
          <w:lang w:eastAsia="en-GB"/>
        </w:rPr>
        <w:t xml:space="preserve"> </w:t>
      </w:r>
      <w:r w:rsidRPr="009E06AA">
        <w:rPr>
          <w:lang w:eastAsia="en-GB"/>
        </w:rPr>
        <w:t xml:space="preserve">from a portion of the Kapuni gas (a high </w:t>
      </w:r>
      <w:r w:rsidRPr="009E06AA">
        <w:rPr>
          <w:rFonts w:cs="Calibri"/>
        </w:rPr>
        <w:t>CO</w:t>
      </w:r>
      <w:r w:rsidRPr="009E06AA">
        <w:rPr>
          <w:rFonts w:cs="Calibri"/>
          <w:vertAlign w:val="subscript"/>
        </w:rPr>
        <w:t>2</w:t>
      </w:r>
      <w:r w:rsidRPr="009E06AA">
        <w:rPr>
          <w:lang w:eastAsia="en-GB"/>
        </w:rPr>
        <w:t xml:space="preserve"> gas when untreated) before it enters the national transmission network. This is reported in CRT 1.B.2.c.2.</w:t>
      </w:r>
    </w:p>
    <w:p w14:paraId="3B62D8B9" w14:textId="77777777" w:rsidR="00D97D6C" w:rsidRPr="009E06AA" w:rsidRDefault="00D97D6C" w:rsidP="00D97D6C">
      <w:pPr>
        <w:pStyle w:val="BodyText"/>
        <w:spacing w:before="100" w:after="100"/>
        <w:rPr>
          <w:lang w:eastAsia="en-GB"/>
        </w:rPr>
      </w:pPr>
      <w:r w:rsidRPr="009E06AA">
        <w:rPr>
          <w:lang w:eastAsia="en-GB"/>
        </w:rPr>
        <w:t xml:space="preserve">The large increase in </w:t>
      </w:r>
      <w:r w:rsidRPr="009E06AA">
        <w:rPr>
          <w:rFonts w:cs="Calibri"/>
        </w:rPr>
        <w:t>CO</w:t>
      </w:r>
      <w:r w:rsidRPr="009E06AA">
        <w:rPr>
          <w:rFonts w:cs="Calibri"/>
          <w:vertAlign w:val="subscript"/>
        </w:rPr>
        <w:t>2</w:t>
      </w:r>
      <w:r w:rsidRPr="009E06AA">
        <w:rPr>
          <w:rFonts w:cs="Calibri"/>
          <w:sz w:val="14"/>
          <w:szCs w:val="14"/>
          <w:lang w:eastAsia="en-GB"/>
        </w:rPr>
        <w:t xml:space="preserve"> </w:t>
      </w:r>
      <w:r w:rsidRPr="009E06AA">
        <w:rPr>
          <w:lang w:eastAsia="en-GB"/>
        </w:rPr>
        <w:t>emissions from the Kapuni plant between 2003 and 2004 and between 2004 and 2005 is related to the drop in methanol production. Carbon dioxide previously sequestered during this separation process was instead released as fugitive emissions from venting at the plant.</w:t>
      </w:r>
    </w:p>
    <w:p w14:paraId="5A211396" w14:textId="77777777" w:rsidR="00D97D6C" w:rsidRPr="009E06AA" w:rsidRDefault="00D97D6C" w:rsidP="00D97D6C">
      <w:pPr>
        <w:pStyle w:val="BodyText"/>
        <w:spacing w:before="100" w:after="100"/>
        <w:rPr>
          <w:lang w:eastAsia="en-GB"/>
        </w:rPr>
      </w:pPr>
      <w:r w:rsidRPr="009E06AA">
        <w:rPr>
          <w:lang w:eastAsia="en-GB"/>
        </w:rPr>
        <w:t>While emissions from the Kapuni plant may include traces of CH</w:t>
      </w:r>
      <w:r w:rsidRPr="009E06AA">
        <w:rPr>
          <w:rFonts w:cs="Calibri"/>
          <w:vertAlign w:val="subscript"/>
          <w:lang w:eastAsia="en-GB"/>
        </w:rPr>
        <w:t>4</w:t>
      </w:r>
      <w:r w:rsidRPr="009E06AA">
        <w:rPr>
          <w:lang w:eastAsia="en-GB"/>
        </w:rPr>
        <w:t>, the level of these emissions has been determined to be insignificant in comparison with national emissions: a conservative estimate (using default emission factors from the 2006 IPCC Guidelines) gives nearly 1.5 kt CO</w:t>
      </w:r>
      <w:r w:rsidRPr="009E06AA">
        <w:rPr>
          <w:rFonts w:cs="Calibri"/>
          <w:vertAlign w:val="subscript"/>
          <w:lang w:eastAsia="en-GB"/>
        </w:rPr>
        <w:t>2</w:t>
      </w:r>
      <w:r w:rsidRPr="009E06AA">
        <w:rPr>
          <w:lang w:eastAsia="en-GB"/>
        </w:rPr>
        <w:noBreakHyphen/>
        <w:t>e per year.</w:t>
      </w:r>
    </w:p>
    <w:p w14:paraId="41F94E4A" w14:textId="77777777" w:rsidR="00D97D6C" w:rsidRPr="009E06AA" w:rsidRDefault="00D97D6C" w:rsidP="00D97D6C">
      <w:pPr>
        <w:pStyle w:val="BodyText"/>
        <w:spacing w:before="100" w:after="100"/>
        <w:rPr>
          <w:lang w:eastAsia="en-GB"/>
        </w:rPr>
      </w:pPr>
      <w:r w:rsidRPr="009E06AA">
        <w:rPr>
          <w:lang w:eastAsia="en-GB"/>
        </w:rPr>
        <w:t xml:space="preserve">Carbon dioxide is also produced when natural gas is flared at the wellheads of other fields. The combustion efficiency of flaring is 95 per cent to 99 per cent, leaving some fugitive </w:t>
      </w:r>
      <w:r w:rsidRPr="009E06AA">
        <w:rPr>
          <w:rFonts w:cs="Calibri"/>
        </w:rPr>
        <w:t>CH</w:t>
      </w:r>
      <w:r w:rsidRPr="009E06AA">
        <w:rPr>
          <w:rFonts w:cs="Calibri"/>
          <w:vertAlign w:val="subscript"/>
        </w:rPr>
        <w:t>4</w:t>
      </w:r>
      <w:r w:rsidRPr="009E06AA">
        <w:rPr>
          <w:lang w:eastAsia="en-GB"/>
        </w:rPr>
        <w:t xml:space="preserve"> emissions due to incomplete combustion. </w:t>
      </w:r>
    </w:p>
    <w:p w14:paraId="143D3CD6" w14:textId="77777777" w:rsidR="00D97D6C" w:rsidRPr="009E06AA" w:rsidRDefault="00D97D6C" w:rsidP="00D97D6C">
      <w:pPr>
        <w:pStyle w:val="BodyText"/>
        <w:spacing w:before="100" w:after="100"/>
        <w:rPr>
          <w:lang w:eastAsia="en-GB"/>
        </w:rPr>
      </w:pPr>
      <w:r w:rsidRPr="009E06AA">
        <w:rPr>
          <w:lang w:eastAsia="en-GB"/>
        </w:rPr>
        <w:t xml:space="preserve">Fugitive emissions also occur in transmission and distribution within the </w:t>
      </w:r>
      <w:r w:rsidRPr="009E06AA">
        <w:rPr>
          <w:rFonts w:cs="Calibri"/>
        </w:rPr>
        <w:t xml:space="preserve">natural </w:t>
      </w:r>
      <w:r w:rsidRPr="009E06AA">
        <w:rPr>
          <w:lang w:eastAsia="en-GB"/>
        </w:rPr>
        <w:t>gas transmission pipeline system. However, these emissions are relatively minor compared with those from venting and flaring.</w:t>
      </w:r>
    </w:p>
    <w:p w14:paraId="0C5389F4" w14:textId="77777777" w:rsidR="00D97D6C" w:rsidRPr="009E06AA" w:rsidRDefault="00D97D6C" w:rsidP="00D97D6C">
      <w:pPr>
        <w:pStyle w:val="BodyText"/>
        <w:spacing w:before="100" w:after="100"/>
        <w:rPr>
          <w:lang w:eastAsia="en-GB"/>
        </w:rPr>
      </w:pPr>
      <w:r w:rsidRPr="009E06AA">
        <w:rPr>
          <w:lang w:eastAsia="en-GB"/>
        </w:rPr>
        <w:t xml:space="preserve">The </w:t>
      </w:r>
      <w:r w:rsidRPr="009E06AA">
        <w:rPr>
          <w:rFonts w:cs="Calibri"/>
          <w:i/>
          <w:lang w:eastAsia="en-GB"/>
        </w:rPr>
        <w:t>Oil and natural gas</w:t>
      </w:r>
      <w:r w:rsidRPr="009E06AA">
        <w:rPr>
          <w:lang w:eastAsia="en-GB"/>
        </w:rPr>
        <w:t xml:space="preserve"> category also includes estimates for emissions from geothermal operations. While some of the energy from geothermal fields is transformed into electricity, emissions from geothermal electricity generation are reported in the </w:t>
      </w:r>
      <w:r w:rsidRPr="009E06AA">
        <w:rPr>
          <w:rFonts w:cs="Calibri"/>
          <w:i/>
          <w:lang w:eastAsia="en-GB"/>
        </w:rPr>
        <w:t>Fugitive emissions</w:t>
      </w:r>
      <w:r w:rsidRPr="009E06AA">
        <w:rPr>
          <w:lang w:eastAsia="en-GB"/>
        </w:rPr>
        <w:t xml:space="preserve"> category because they are not the result of fuel combustion. Geothermal facilities supplying geothermal fluid for generating electricity or industrial heat are subject to the Climate Change (Stationary Energy and Industrial Processes) Regulations 2009 and are required to participate in the NZ ETS. Geothermal sites whose geothermal steam is not used for energy production have been excluded from the inventory. Operations falling outside the scope of the regulations are not included in the inventory due to a lack of data, methodology and emission factors. Besides this, such sites – rather than using high temperature geothermal steam – use low temperature hot water, which does not carry high levels of dissolved gases, and any emissions are considered insignificant. Naturally occurring sites do not contribute any anthropogenic emissions.</w:t>
      </w:r>
    </w:p>
    <w:p w14:paraId="7BE00F8F" w14:textId="77777777" w:rsidR="00D97D6C" w:rsidRPr="009E06AA" w:rsidRDefault="00D97D6C" w:rsidP="00D97D6C">
      <w:pPr>
        <w:pStyle w:val="BodyText"/>
        <w:spacing w:before="100" w:after="100"/>
        <w:rPr>
          <w:lang w:eastAsia="en-GB"/>
        </w:rPr>
      </w:pPr>
      <w:r w:rsidRPr="009E06AA">
        <w:rPr>
          <w:lang w:eastAsia="en-GB"/>
        </w:rPr>
        <w:t xml:space="preserve">In </w:t>
      </w:r>
      <w:r w:rsidRPr="009E06AA">
        <w:rPr>
          <w:rFonts w:cs="Calibri"/>
        </w:rPr>
        <w:t>2022</w:t>
      </w:r>
      <w:r w:rsidRPr="009E06AA">
        <w:rPr>
          <w:lang w:eastAsia="en-GB"/>
        </w:rPr>
        <w:t xml:space="preserve">, emissions from geothermal operations were </w:t>
      </w:r>
      <w:r w:rsidRPr="009E06AA">
        <w:rPr>
          <w:rFonts w:cs="Calibri"/>
        </w:rPr>
        <w:t xml:space="preserve">532.6 </w:t>
      </w:r>
      <w:r w:rsidRPr="009E06AA">
        <w:rPr>
          <w:lang w:eastAsia="en-GB"/>
        </w:rPr>
        <w:t>kt CO</w:t>
      </w:r>
      <w:r w:rsidRPr="009E06AA">
        <w:rPr>
          <w:rFonts w:cs="Calibri"/>
          <w:vertAlign w:val="subscript"/>
          <w:lang w:eastAsia="en-GB"/>
        </w:rPr>
        <w:t>2</w:t>
      </w:r>
      <w:r w:rsidRPr="009E06AA">
        <w:rPr>
          <w:lang w:eastAsia="en-GB"/>
        </w:rPr>
        <w:t xml:space="preserve">-e, which is </w:t>
      </w:r>
      <w:r w:rsidRPr="009E06AA">
        <w:rPr>
          <w:rFonts w:cs="Calibri"/>
        </w:rPr>
        <w:t>242.6 </w:t>
      </w:r>
      <w:r w:rsidRPr="009E06AA">
        <w:rPr>
          <w:lang w:eastAsia="en-GB"/>
        </w:rPr>
        <w:t>kt CO</w:t>
      </w:r>
      <w:r w:rsidRPr="009E06AA">
        <w:rPr>
          <w:rFonts w:cs="Calibri"/>
          <w:vertAlign w:val="subscript"/>
          <w:lang w:eastAsia="en-GB"/>
        </w:rPr>
        <w:t>2</w:t>
      </w:r>
      <w:r w:rsidRPr="009E06AA">
        <w:rPr>
          <w:lang w:eastAsia="en-GB"/>
        </w:rPr>
        <w:t>-e (83.7</w:t>
      </w:r>
      <w:r w:rsidRPr="009E06AA">
        <w:rPr>
          <w:rFonts w:cs="Calibri"/>
        </w:rPr>
        <w:t xml:space="preserve"> per cent</w:t>
      </w:r>
      <w:r w:rsidRPr="009E06AA">
        <w:rPr>
          <w:lang w:eastAsia="en-GB"/>
        </w:rPr>
        <w:t xml:space="preserve">) higher than the 1990 level of </w:t>
      </w:r>
      <w:r w:rsidRPr="009E06AA">
        <w:rPr>
          <w:rFonts w:cs="Calibri"/>
        </w:rPr>
        <w:t xml:space="preserve">289.9 </w:t>
      </w:r>
      <w:r w:rsidRPr="009E06AA">
        <w:rPr>
          <w:lang w:eastAsia="en-GB"/>
        </w:rPr>
        <w:t>kt CO</w:t>
      </w:r>
      <w:r w:rsidRPr="009E06AA">
        <w:rPr>
          <w:rFonts w:cs="Calibri"/>
          <w:vertAlign w:val="subscript"/>
          <w:lang w:eastAsia="en-GB"/>
        </w:rPr>
        <w:t>2</w:t>
      </w:r>
      <w:r w:rsidRPr="009E06AA">
        <w:rPr>
          <w:lang w:eastAsia="en-GB"/>
        </w:rPr>
        <w:t>-e. Over the same period electricity generation from geothermal energy quadrupled.</w:t>
      </w:r>
    </w:p>
    <w:p w14:paraId="5DC1CA72" w14:textId="77777777" w:rsidR="00D97D6C" w:rsidRPr="009E06AA" w:rsidRDefault="00D97D6C" w:rsidP="00D97D6C">
      <w:pPr>
        <w:pStyle w:val="BodyText"/>
        <w:spacing w:before="100" w:after="100"/>
        <w:rPr>
          <w:rFonts w:cs="Calibri"/>
        </w:rPr>
      </w:pPr>
      <w:r w:rsidRPr="009E06AA">
        <w:rPr>
          <w:rFonts w:cs="Calibri"/>
        </w:rPr>
        <w:t xml:space="preserve">Between 2021 and 2022, emissions from geothermal sources decreased by 2.5 per cent. A steady decline in emissions has occurred over the past seven years as the more recently developed fields have experienced degassing. Degassing is a commonly observed geothermal phenomenon akin to a freshly opened bottle of soft drink that is initially fizzy but gradually goes flat over time. Further information on degassing of </w:t>
      </w:r>
      <w:r w:rsidRPr="009E06AA">
        <w:rPr>
          <w:lang w:eastAsia="en-GB"/>
        </w:rPr>
        <w:t>New Zealand</w:t>
      </w:r>
      <w:r w:rsidRPr="009E06AA">
        <w:rPr>
          <w:rFonts w:cs="Calibri"/>
        </w:rPr>
        <w:t xml:space="preserve"> geothermal fields is available in McLean and </w:t>
      </w:r>
      <w:r w:rsidRPr="009E06AA">
        <w:t>Richardson</w:t>
      </w:r>
      <w:r w:rsidRPr="009E06AA">
        <w:rPr>
          <w:rFonts w:cs="Calibri"/>
        </w:rPr>
        <w:t xml:space="preserve"> (2019). </w:t>
      </w:r>
    </w:p>
    <w:p w14:paraId="6E806E06" w14:textId="77777777" w:rsidR="00D97D6C" w:rsidRPr="009E06AA" w:rsidRDefault="00D97D6C" w:rsidP="00D97D6C">
      <w:pPr>
        <w:pStyle w:val="Heading4"/>
        <w:rPr>
          <w:lang w:eastAsia="en-GB"/>
        </w:rPr>
      </w:pPr>
      <w:r w:rsidRPr="009E06AA">
        <w:t>Methodological</w:t>
      </w:r>
      <w:r w:rsidRPr="009E06AA">
        <w:rPr>
          <w:lang w:eastAsia="en-GB"/>
        </w:rPr>
        <w:t xml:space="preserve"> issues</w:t>
      </w:r>
    </w:p>
    <w:p w14:paraId="5009CAA0" w14:textId="77777777" w:rsidR="00D97D6C" w:rsidRPr="009E06AA" w:rsidRDefault="00D97D6C" w:rsidP="00D97D6C">
      <w:pPr>
        <w:pStyle w:val="BodyText"/>
        <w:spacing w:before="100" w:after="100"/>
        <w:rPr>
          <w:lang w:eastAsia="en-GB"/>
        </w:rPr>
      </w:pPr>
      <w:r w:rsidRPr="009E06AA">
        <w:rPr>
          <w:lang w:eastAsia="en-GB"/>
        </w:rPr>
        <w:t>Unless noted otherwise, CO</w:t>
      </w:r>
      <w:r w:rsidRPr="009E06AA">
        <w:rPr>
          <w:rFonts w:cs="Calibri"/>
          <w:vertAlign w:val="subscript"/>
          <w:lang w:eastAsia="en-GB"/>
        </w:rPr>
        <w:t>2</w:t>
      </w:r>
      <w:r w:rsidRPr="009E06AA">
        <w:rPr>
          <w:lang w:eastAsia="en-GB"/>
        </w:rPr>
        <w:t xml:space="preserve"> and CH</w:t>
      </w:r>
      <w:r w:rsidRPr="009E06AA">
        <w:rPr>
          <w:rFonts w:cs="Calibri"/>
          <w:vertAlign w:val="subscript"/>
          <w:lang w:eastAsia="en-GB"/>
        </w:rPr>
        <w:t>4</w:t>
      </w:r>
      <w:r w:rsidRPr="009E06AA">
        <w:rPr>
          <w:lang w:eastAsia="en-GB"/>
        </w:rPr>
        <w:t xml:space="preserve"> emissions from sources within this category have been calculated using the IPCC Tier 2 approach, and N</w:t>
      </w:r>
      <w:r w:rsidRPr="009E06AA">
        <w:rPr>
          <w:rFonts w:cs="Calibri"/>
          <w:vertAlign w:val="subscript"/>
          <w:lang w:eastAsia="en-GB"/>
        </w:rPr>
        <w:t>2</w:t>
      </w:r>
      <w:r w:rsidRPr="009E06AA">
        <w:rPr>
          <w:lang w:eastAsia="en-GB"/>
        </w:rPr>
        <w:t>O emissions were calculated using the default Tier 1 approach (IPCC, 2006).</w:t>
      </w:r>
    </w:p>
    <w:p w14:paraId="22AF2C13" w14:textId="77777777" w:rsidR="00D97D6C" w:rsidRPr="009E06AA" w:rsidRDefault="00D97D6C" w:rsidP="00BF2A76">
      <w:pPr>
        <w:pStyle w:val="Heading5"/>
        <w:rPr>
          <w:lang w:eastAsia="en-GB"/>
        </w:rPr>
      </w:pPr>
      <w:r w:rsidRPr="009E06AA">
        <w:rPr>
          <w:lang w:eastAsia="en-GB"/>
        </w:rPr>
        <w:t>Ozone precursors and sulphur dioxide from oil refining</w:t>
      </w:r>
    </w:p>
    <w:p w14:paraId="353AA779" w14:textId="77777777" w:rsidR="00D97D6C" w:rsidRPr="009E06AA" w:rsidRDefault="00D97D6C" w:rsidP="00D97D6C">
      <w:pPr>
        <w:pStyle w:val="BodyText"/>
        <w:spacing w:before="100" w:after="100"/>
        <w:rPr>
          <w:lang w:eastAsia="en-GB"/>
        </w:rPr>
      </w:pPr>
      <w:r w:rsidRPr="009E06AA">
        <w:rPr>
          <w:lang w:eastAsia="en-GB"/>
        </w:rPr>
        <w:t xml:space="preserve">New Zealand had only one oil refinery up until March 2022: this </w:t>
      </w:r>
      <w:r w:rsidRPr="009E06AA">
        <w:t>refinery</w:t>
      </w:r>
      <w:r w:rsidRPr="009E06AA">
        <w:rPr>
          <w:lang w:eastAsia="en-GB"/>
        </w:rPr>
        <w:t xml:space="preserve"> used a hydro cracker rather than a catalytic cracker. Therefore, no emissions came from fluid catalytic cracking. However, emissions were produced from sulphur recovery plants and storage and handling.</w:t>
      </w:r>
    </w:p>
    <w:p w14:paraId="2637AD3E" w14:textId="77777777" w:rsidR="00D97D6C" w:rsidRPr="009E06AA" w:rsidRDefault="00D97D6C" w:rsidP="00BF2A76">
      <w:pPr>
        <w:pStyle w:val="Heading5"/>
      </w:pPr>
      <w:r w:rsidRPr="009E06AA">
        <w:t>1.B.2.c Venting and flaring</w:t>
      </w:r>
    </w:p>
    <w:p w14:paraId="40FDE6A9" w14:textId="77777777" w:rsidR="00D97D6C" w:rsidRPr="009E06AA" w:rsidRDefault="00D97D6C" w:rsidP="00D97D6C">
      <w:pPr>
        <w:pStyle w:val="BodyText"/>
        <w:spacing w:before="100" w:after="100"/>
      </w:pPr>
      <w:r w:rsidRPr="009E06AA">
        <w:t xml:space="preserve">Oil and natural gas fields in </w:t>
      </w:r>
      <w:r w:rsidRPr="009E06AA">
        <w:rPr>
          <w:lang w:eastAsia="en-GB"/>
        </w:rPr>
        <w:t>New Zealand</w:t>
      </w:r>
      <w:r w:rsidRPr="009E06AA">
        <w:t xml:space="preserve"> produce a mixture consisting of variable ratios of natural gas, crude oil, condensate and natural gas liquids. Hence, emissions for this category are reported under ‘combined’. The activity data are directly reported by field operators.</w:t>
      </w:r>
    </w:p>
    <w:p w14:paraId="6786B1A4" w14:textId="77777777" w:rsidR="00D97D6C" w:rsidRPr="009E06AA" w:rsidRDefault="00D97D6C" w:rsidP="00D97D6C">
      <w:pPr>
        <w:pStyle w:val="BodyText"/>
        <w:spacing w:before="100" w:after="100"/>
        <w:rPr>
          <w:rFonts w:cs="Calibri"/>
        </w:rPr>
      </w:pPr>
      <w:r w:rsidRPr="009E06AA">
        <w:rPr>
          <w:rFonts w:cs="Calibri"/>
        </w:rPr>
        <w:t>Venting of CO</w:t>
      </w:r>
      <w:r w:rsidRPr="009E06AA">
        <w:rPr>
          <w:rFonts w:cs="Calibri"/>
          <w:vertAlign w:val="subscript"/>
        </w:rPr>
        <w:t>2</w:t>
      </w:r>
      <w:r w:rsidRPr="009E06AA">
        <w:rPr>
          <w:rFonts w:cs="Calibri"/>
        </w:rPr>
        <w:t xml:space="preserve"> resulting from hydrogen production at oil refineries is included under the IPPU sector so as to protect the confidentiality of individual companies (see chapter 4 for further information).</w:t>
      </w:r>
    </w:p>
    <w:p w14:paraId="3559CF06" w14:textId="77777777" w:rsidR="00D97D6C" w:rsidRPr="009E06AA" w:rsidRDefault="00D97D6C" w:rsidP="00BF2A76">
      <w:pPr>
        <w:pStyle w:val="Heading5"/>
        <w:rPr>
          <w:rFonts w:cs="Calibri"/>
        </w:rPr>
      </w:pPr>
      <w:r w:rsidRPr="009E06AA">
        <w:rPr>
          <w:rFonts w:cs="Calibri"/>
        </w:rPr>
        <w:t xml:space="preserve">1.B.2.d </w:t>
      </w:r>
      <w:r w:rsidRPr="009E06AA">
        <w:rPr>
          <w:lang w:eastAsia="en-GB"/>
        </w:rPr>
        <w:t>Geothermal</w:t>
      </w:r>
    </w:p>
    <w:p w14:paraId="5167E8FA" w14:textId="77777777" w:rsidR="00D97D6C" w:rsidRPr="009E06AA" w:rsidRDefault="00D97D6C" w:rsidP="00D97D6C">
      <w:pPr>
        <w:pStyle w:val="BodyText"/>
        <w:spacing w:before="100" w:after="100"/>
        <w:rPr>
          <w:rFonts w:cs="Calibri"/>
        </w:rPr>
      </w:pPr>
      <w:r w:rsidRPr="009E06AA">
        <w:rPr>
          <w:rFonts w:cs="Calibri"/>
        </w:rPr>
        <w:t>When geothermal fluid is discharged, some CO</w:t>
      </w:r>
      <w:r w:rsidRPr="009E06AA">
        <w:rPr>
          <w:rFonts w:cs="Calibri"/>
          <w:vertAlign w:val="subscript"/>
        </w:rPr>
        <w:t>2</w:t>
      </w:r>
      <w:r w:rsidRPr="009E06AA">
        <w:rPr>
          <w:rFonts w:cs="Calibri"/>
        </w:rPr>
        <w:t xml:space="preserve"> and small amounts of CH</w:t>
      </w:r>
      <w:r w:rsidRPr="009E06AA">
        <w:rPr>
          <w:rFonts w:cs="Calibri"/>
          <w:vertAlign w:val="subscript"/>
        </w:rPr>
        <w:t>4</w:t>
      </w:r>
      <w:r w:rsidRPr="009E06AA">
        <w:rPr>
          <w:rFonts w:cs="Calibri"/>
        </w:rPr>
        <w:t xml:space="preserve"> are also released. The emissions released during electricity generation using geothermal fluid are reported in this inventory. Figure 3.3.1 shows a schematic diagram of a typical </w:t>
      </w:r>
      <w:r w:rsidRPr="009E06AA">
        <w:rPr>
          <w:lang w:eastAsia="en-GB"/>
        </w:rPr>
        <w:t>New Zealand</w:t>
      </w:r>
      <w:r w:rsidRPr="009E06AA">
        <w:rPr>
          <w:rFonts w:cs="Calibri"/>
        </w:rPr>
        <w:t xml:space="preserve"> geothermal flash power station. </w:t>
      </w:r>
    </w:p>
    <w:p w14:paraId="1A61A9D2" w14:textId="77777777" w:rsidR="00D97D6C" w:rsidRPr="009E06AA" w:rsidRDefault="00D97D6C" w:rsidP="00D97D6C">
      <w:pPr>
        <w:pStyle w:val="BodyText"/>
        <w:spacing w:before="100" w:after="100"/>
        <w:rPr>
          <w:rFonts w:cs="Calibri"/>
        </w:rPr>
      </w:pPr>
      <w:r w:rsidRPr="009E06AA">
        <w:rPr>
          <w:rFonts w:cs="Calibri"/>
        </w:rPr>
        <w:t>Estimates of CO</w:t>
      </w:r>
      <w:r w:rsidRPr="009E06AA">
        <w:rPr>
          <w:rFonts w:cs="Calibri"/>
          <w:vertAlign w:val="subscript"/>
        </w:rPr>
        <w:t>2</w:t>
      </w:r>
      <w:r w:rsidRPr="009E06AA">
        <w:rPr>
          <w:rFonts w:cs="Calibri"/>
        </w:rPr>
        <w:t xml:space="preserve"> and CH</w:t>
      </w:r>
      <w:r w:rsidRPr="009E06AA">
        <w:rPr>
          <w:rFonts w:cs="Calibri"/>
          <w:vertAlign w:val="subscript"/>
        </w:rPr>
        <w:t>4</w:t>
      </w:r>
      <w:r w:rsidRPr="009E06AA">
        <w:rPr>
          <w:rFonts w:cs="Calibri"/>
        </w:rPr>
        <w:t xml:space="preserve"> emissions for the </w:t>
      </w:r>
      <w:r w:rsidRPr="009E06AA">
        <w:rPr>
          <w:rFonts w:cs="Calibri"/>
          <w:i/>
        </w:rPr>
        <w:t>Geothermal</w:t>
      </w:r>
      <w:r w:rsidRPr="009E06AA">
        <w:rPr>
          <w:rFonts w:cs="Calibri"/>
        </w:rPr>
        <w:t xml:space="preserve"> category are obtained directly from geothermal power companies. </w:t>
      </w:r>
      <w:r w:rsidRPr="009E06AA">
        <w:rPr>
          <w:lang w:eastAsia="en-GB"/>
        </w:rPr>
        <w:t>New Zealand</w:t>
      </w:r>
      <w:r w:rsidRPr="009E06AA">
        <w:rPr>
          <w:rFonts w:cs="Calibri"/>
        </w:rPr>
        <w:t xml:space="preserve"> has around 15 geothermal power stations and most of these are owned (or partly owned) by two major power companies. Two examples of methodologies used to estimate emissions by these companies are explained below.</w:t>
      </w:r>
    </w:p>
    <w:p w14:paraId="2FBC9F74" w14:textId="3E28300B" w:rsidR="00D97D6C" w:rsidRPr="009E06AA" w:rsidRDefault="00D97D6C" w:rsidP="00D97D6C">
      <w:pPr>
        <w:pStyle w:val="Figure"/>
        <w:spacing w:after="0"/>
        <w:rPr>
          <w:rFonts w:cs="Calibri"/>
        </w:rPr>
      </w:pPr>
      <w:bookmarkStart w:id="440" w:name="_Ref442370730"/>
      <w:bookmarkStart w:id="441" w:name="_Toc321399339"/>
      <w:bookmarkStart w:id="442" w:name="_Toc384582868"/>
      <w:bookmarkStart w:id="443" w:name="_Toc443060827"/>
      <w:bookmarkStart w:id="444" w:name="_Toc447275684"/>
      <w:bookmarkStart w:id="445" w:name="_Toc481752001"/>
      <w:bookmarkStart w:id="446" w:name="_Toc36292781"/>
      <w:bookmarkStart w:id="447" w:name="_Toc68786646"/>
      <w:bookmarkStart w:id="448" w:name="_Toc95834081"/>
      <w:bookmarkStart w:id="449" w:name="_Toc164154016"/>
      <w:r w:rsidRPr="009E06AA">
        <w:rPr>
          <w:rFonts w:cs="Calibri"/>
        </w:rPr>
        <w:t>Figure 3.3.</w:t>
      </w:r>
      <w:r w:rsidRPr="009E06AA">
        <w:rPr>
          <w:rFonts w:cs="Calibri"/>
        </w:rPr>
        <w:fldChar w:fldCharType="begin"/>
      </w:r>
      <w:r w:rsidRPr="009E06AA">
        <w:rPr>
          <w:rFonts w:cs="Calibri"/>
        </w:rPr>
        <w:instrText xml:space="preserve"> SEQ Figure \* ARABIC \s 2 </w:instrText>
      </w:r>
      <w:r w:rsidRPr="009E06AA">
        <w:rPr>
          <w:rFonts w:cs="Calibri"/>
        </w:rPr>
        <w:fldChar w:fldCharType="separate"/>
      </w:r>
      <w:r w:rsidR="009E4901">
        <w:rPr>
          <w:rFonts w:cs="Calibri"/>
          <w:noProof/>
        </w:rPr>
        <w:t>1</w:t>
      </w:r>
      <w:r w:rsidRPr="009E06AA">
        <w:rPr>
          <w:rFonts w:cs="Calibri"/>
        </w:rPr>
        <w:fldChar w:fldCharType="end"/>
      </w:r>
      <w:bookmarkEnd w:id="440"/>
      <w:r w:rsidRPr="009E06AA">
        <w:rPr>
          <w:rFonts w:cs="Calibri"/>
        </w:rPr>
        <w:t xml:space="preserve"> </w:t>
      </w:r>
      <w:r w:rsidRPr="009E06AA">
        <w:rPr>
          <w:rFonts w:cs="Calibri"/>
        </w:rPr>
        <w:tab/>
        <w:t>Schematic diagram of the use of geothermal fluid for electricity generation – as at Wairakei and Ohaaki geothermal stations (New Zealand Institute of Chemistry, 1998)</w:t>
      </w:r>
      <w:bookmarkEnd w:id="441"/>
      <w:bookmarkEnd w:id="442"/>
      <w:bookmarkEnd w:id="443"/>
      <w:bookmarkEnd w:id="444"/>
      <w:bookmarkEnd w:id="445"/>
      <w:bookmarkEnd w:id="446"/>
      <w:bookmarkEnd w:id="447"/>
      <w:bookmarkEnd w:id="448"/>
      <w:bookmarkEnd w:id="449"/>
    </w:p>
    <w:p w14:paraId="723DE786" w14:textId="77777777" w:rsidR="00D97D6C" w:rsidRPr="009E06AA" w:rsidRDefault="00D97D6C" w:rsidP="008F4423">
      <w:pPr>
        <w:pStyle w:val="BodyText"/>
        <w:spacing w:after="160"/>
        <w:jc w:val="center"/>
        <w:rPr>
          <w:rFonts w:cs="Calibri"/>
        </w:rPr>
      </w:pPr>
      <w:r w:rsidRPr="009E06AA">
        <w:rPr>
          <w:rFonts w:cs="Calibri"/>
        </w:rPr>
        <w:object w:dxaOrig="8557" w:dyaOrig="8011" w14:anchorId="7E0E6AC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3pt;height:302.25pt" o:ole="">
            <v:imagedata r:id="rId69" o:title=""/>
          </v:shape>
          <o:OLEObject Type="Embed" ProgID="Visio.Drawing.11" ShapeID="_x0000_i1025" DrawAspect="Content" ObjectID="_1775234100" r:id="rId70"/>
        </w:object>
      </w:r>
    </w:p>
    <w:p w14:paraId="4BE7FD56" w14:textId="7F2B1538" w:rsidR="00D97D6C" w:rsidRPr="009E06AA" w:rsidRDefault="00D97D6C" w:rsidP="008F4423">
      <w:pPr>
        <w:pStyle w:val="BodyText"/>
        <w:spacing w:after="100"/>
        <w:rPr>
          <w:rFonts w:cs="Calibri"/>
        </w:rPr>
      </w:pPr>
      <w:r w:rsidRPr="009E06AA">
        <w:rPr>
          <w:rFonts w:cs="Calibri"/>
        </w:rPr>
        <w:t xml:space="preserve">Emissions from geothermal activities have </w:t>
      </w:r>
      <w:r w:rsidR="00387826" w:rsidRPr="009E06AA">
        <w:rPr>
          <w:rFonts w:cs="Calibri"/>
        </w:rPr>
        <w:t>increased</w:t>
      </w:r>
      <w:r w:rsidRPr="009E06AA">
        <w:rPr>
          <w:rFonts w:cs="Calibri"/>
        </w:rPr>
        <w:t xml:space="preserve"> incrementally over time. These increases are driven by an increase in geothermal emissions related to electricity generation, particularly with the additions of the 100 MW Kawerau geothermal plant since late 2008, Nga Awa Purua and Te Huka since 2010, Ngatamariki since 2013 and Te Mihi since 2014.</w:t>
      </w:r>
    </w:p>
    <w:p w14:paraId="1DEE973F" w14:textId="77777777" w:rsidR="00D97D6C" w:rsidRPr="009E06AA" w:rsidRDefault="00D97D6C" w:rsidP="00D97D6C">
      <w:pPr>
        <w:pStyle w:val="BodyText"/>
        <w:spacing w:before="100" w:after="100"/>
        <w:rPr>
          <w:lang w:eastAsia="en-GB"/>
        </w:rPr>
      </w:pPr>
      <w:r w:rsidRPr="009E06AA">
        <w:rPr>
          <w:lang w:eastAsia="en-GB"/>
        </w:rPr>
        <w:t xml:space="preserve">The schedules to the Climate Change Response Act 2002 create obligations for people carrying out certain activities to report greenhouse gas emissions as part of the NZ ETS. The Climate Change (Stationary Energy and Industrial Processes) Regulations 2009 and Climate Change (Liquid Fossil Fuels) Amendment Regulations 2009 set out the data-collection requirements and methods for participants in those sectors to calculate their emissions, including prescribed default emission factors. </w:t>
      </w:r>
    </w:p>
    <w:p w14:paraId="652D1EE8" w14:textId="77777777" w:rsidR="00D97D6C" w:rsidRPr="009E06AA" w:rsidRDefault="00D97D6C" w:rsidP="00D97D6C">
      <w:pPr>
        <w:pStyle w:val="BodyText"/>
        <w:spacing w:before="100" w:after="100"/>
        <w:rPr>
          <w:lang w:eastAsia="en-GB"/>
        </w:rPr>
      </w:pPr>
      <w:r w:rsidRPr="009E06AA">
        <w:rPr>
          <w:lang w:eastAsia="en-GB"/>
        </w:rPr>
        <w:t xml:space="preserve">The Climate Change (Unique Emissions Factors) Regulations 2009 outline requirements for participants in certain sectors to calculate a unique emission factor (UEF) and apply for approval to use it in place of a default emission factor to calculate and report on emissions. Users of geothermal fluid are eligible to apply for a UEF. </w:t>
      </w:r>
    </w:p>
    <w:p w14:paraId="0F078E04" w14:textId="77777777" w:rsidR="00D97D6C" w:rsidRPr="009E06AA" w:rsidRDefault="00D97D6C" w:rsidP="00D97D6C">
      <w:pPr>
        <w:pStyle w:val="BodyText"/>
        <w:rPr>
          <w:lang w:eastAsia="en-GB"/>
        </w:rPr>
      </w:pPr>
      <w:r w:rsidRPr="009E06AA">
        <w:rPr>
          <w:lang w:eastAsia="en-GB"/>
        </w:rPr>
        <w:t xml:space="preserve">Operators could first apply for UEFs in 2010. MBIE received five applications relating to the use of UEFs for geothermal fluid for that calendar year. These five approved UEFs were then adopted for the inventory after careful assessment of the impact on the level of emissions and the time-series consistency. </w:t>
      </w:r>
    </w:p>
    <w:p w14:paraId="2FDFD9DD" w14:textId="204C2512" w:rsidR="00D97D6C" w:rsidRPr="009E06AA" w:rsidRDefault="00D97D6C" w:rsidP="00D97D6C">
      <w:pPr>
        <w:pStyle w:val="BodyText"/>
        <w:rPr>
          <w:lang w:eastAsia="en-GB"/>
        </w:rPr>
      </w:pPr>
      <w:r w:rsidRPr="009E06AA">
        <w:rPr>
          <w:lang w:eastAsia="en-GB"/>
        </w:rPr>
        <w:t xml:space="preserve">Because 2010 was the introduction year, MBIE </w:t>
      </w:r>
      <w:r w:rsidR="003E7147" w:rsidRPr="009E06AA">
        <w:rPr>
          <w:lang w:eastAsia="en-GB"/>
        </w:rPr>
        <w:t>decided</w:t>
      </w:r>
      <w:r w:rsidRPr="009E06AA">
        <w:rPr>
          <w:lang w:eastAsia="en-GB"/>
        </w:rPr>
        <w:t xml:space="preserve"> that the UEF would apply only to years for which sufficient data are available, that is, from 2010 onward. This submission continues with this approach. From 1990 to 2009, emissions are calculated using field-specific default emission factors. Emissions from 2010 onwards are calculated using UEFs where available and field-specific default emission factors otherwise.</w:t>
      </w:r>
    </w:p>
    <w:p w14:paraId="39B5C5C8" w14:textId="77777777" w:rsidR="00D97D6C" w:rsidRPr="009E06AA" w:rsidRDefault="00D97D6C" w:rsidP="00D97D6C">
      <w:pPr>
        <w:pStyle w:val="BodyText"/>
        <w:spacing w:after="240"/>
        <w:rPr>
          <w:lang w:eastAsia="en-GB"/>
        </w:rPr>
      </w:pPr>
      <w:r w:rsidRPr="009E06AA">
        <w:rPr>
          <w:lang w:eastAsia="en-GB"/>
        </w:rPr>
        <w:t>When several years of UEF data are available for comparison, the 1990 to 2009 emission factors for each affected field will be reviewed.</w:t>
      </w:r>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4A0" w:firstRow="1" w:lastRow="0" w:firstColumn="1" w:lastColumn="0" w:noHBand="0" w:noVBand="1"/>
      </w:tblPr>
      <w:tblGrid>
        <w:gridCol w:w="8505"/>
      </w:tblGrid>
      <w:tr w:rsidR="00D97D6C" w:rsidRPr="009E06AA" w14:paraId="6D163B01" w14:textId="77777777" w:rsidTr="00B55F24">
        <w:tc>
          <w:tcPr>
            <w:tcW w:w="7938" w:type="dxa"/>
            <w:shd w:val="clear" w:color="auto" w:fill="auto"/>
          </w:tcPr>
          <w:p w14:paraId="0D7162F9" w14:textId="77777777" w:rsidR="00D97D6C" w:rsidRPr="009E06AA" w:rsidRDefault="00D97D6C" w:rsidP="00B55F24">
            <w:pPr>
              <w:pStyle w:val="BodyText"/>
              <w:spacing w:before="240" w:after="0"/>
              <w:ind w:left="284"/>
              <w:rPr>
                <w:rFonts w:eastAsia="Calibri"/>
                <w:b/>
                <w:bCs/>
              </w:rPr>
            </w:pPr>
            <w:r w:rsidRPr="009E06AA">
              <w:rPr>
                <w:rFonts w:eastAsia="Calibri"/>
                <w:b/>
                <w:bCs/>
              </w:rPr>
              <w:t>Geothermal methodology for Company A</w:t>
            </w:r>
          </w:p>
          <w:p w14:paraId="51EEB1B7" w14:textId="77777777" w:rsidR="00D97D6C" w:rsidRPr="009E06AA" w:rsidRDefault="00D97D6C" w:rsidP="00B55F24">
            <w:pPr>
              <w:pStyle w:val="BodyText"/>
              <w:spacing w:before="100" w:after="80"/>
              <w:ind w:left="284" w:right="284"/>
              <w:rPr>
                <w:rFonts w:eastAsia="Calibri" w:cs="Calibri"/>
                <w:sz w:val="20"/>
              </w:rPr>
            </w:pPr>
            <w:r w:rsidRPr="009E06AA">
              <w:rPr>
                <w:rFonts w:eastAsia="Calibri" w:cs="Calibri"/>
                <w:sz w:val="20"/>
              </w:rPr>
              <w:t>At Company A, quarterly gas sampling analysis is conducted to measure the amount of carbon dioxide (</w:t>
            </w:r>
            <w:r w:rsidRPr="009E06AA">
              <w:rPr>
                <w:rFonts w:cs="Calibri"/>
                <w:sz w:val="20"/>
              </w:rPr>
              <w:t>CO</w:t>
            </w:r>
            <w:r w:rsidRPr="009E06AA">
              <w:rPr>
                <w:rFonts w:cs="Calibri"/>
                <w:sz w:val="20"/>
                <w:vertAlign w:val="subscript"/>
              </w:rPr>
              <w:t>2</w:t>
            </w:r>
            <w:r w:rsidRPr="009E06AA">
              <w:rPr>
                <w:rFonts w:cs="Calibri"/>
                <w:sz w:val="20"/>
              </w:rPr>
              <w:t>)</w:t>
            </w:r>
            <w:r w:rsidRPr="009E06AA">
              <w:rPr>
                <w:rFonts w:eastAsia="Calibri" w:cs="Calibri"/>
                <w:sz w:val="20"/>
              </w:rPr>
              <w:t xml:space="preserve"> and methane (</w:t>
            </w:r>
            <w:r w:rsidRPr="009E06AA">
              <w:rPr>
                <w:rFonts w:cs="Calibri"/>
                <w:sz w:val="20"/>
              </w:rPr>
              <w:t>CH</w:t>
            </w:r>
            <w:r w:rsidRPr="009E06AA">
              <w:rPr>
                <w:rFonts w:cs="Calibri"/>
                <w:sz w:val="20"/>
                <w:vertAlign w:val="subscript"/>
              </w:rPr>
              <w:t>4</w:t>
            </w:r>
            <w:r w:rsidRPr="009E06AA">
              <w:rPr>
                <w:rFonts w:cs="Calibri"/>
                <w:sz w:val="20"/>
              </w:rPr>
              <w:t>)</w:t>
            </w:r>
            <w:r w:rsidRPr="009E06AA">
              <w:rPr>
                <w:rFonts w:eastAsia="Calibri" w:cs="Calibri"/>
                <w:sz w:val="20"/>
              </w:rPr>
              <w:t xml:space="preserve"> in the steam. Gas samples are collected at the inlet to the electricity generation station and at the extraction process when gas is dissolved in the condensate (wastewater).</w:t>
            </w:r>
          </w:p>
          <w:p w14:paraId="4D24895B" w14:textId="77777777" w:rsidR="00D97D6C" w:rsidRPr="009E06AA" w:rsidRDefault="00D97D6C" w:rsidP="00B55F24">
            <w:pPr>
              <w:pStyle w:val="BodyText"/>
              <w:ind w:left="284" w:right="284"/>
              <w:rPr>
                <w:rFonts w:eastAsia="Calibri" w:cs="Calibri"/>
                <w:sz w:val="20"/>
              </w:rPr>
            </w:pPr>
            <w:r w:rsidRPr="009E06AA">
              <w:rPr>
                <w:rFonts w:eastAsia="Calibri" w:cs="Calibri"/>
                <w:sz w:val="20"/>
              </w:rPr>
              <w:t xml:space="preserve">The concentration of </w:t>
            </w:r>
            <w:r w:rsidRPr="009E06AA">
              <w:rPr>
                <w:rFonts w:cs="Calibri"/>
                <w:sz w:val="20"/>
              </w:rPr>
              <w:t>CO</w:t>
            </w:r>
            <w:r w:rsidRPr="009E06AA">
              <w:rPr>
                <w:rFonts w:cs="Calibri"/>
                <w:sz w:val="20"/>
                <w:vertAlign w:val="subscript"/>
              </w:rPr>
              <w:t>2</w:t>
            </w:r>
            <w:r w:rsidRPr="009E06AA">
              <w:rPr>
                <w:rFonts w:eastAsia="Calibri" w:cs="Calibri"/>
                <w:sz w:val="20"/>
              </w:rPr>
              <w:t xml:space="preserve"> (e.g., 0.612 per cent) and </w:t>
            </w:r>
            <w:r w:rsidRPr="009E06AA">
              <w:rPr>
                <w:rFonts w:cs="Calibri"/>
                <w:sz w:val="20"/>
              </w:rPr>
              <w:t>CH</w:t>
            </w:r>
            <w:r w:rsidRPr="009E06AA">
              <w:rPr>
                <w:rFonts w:cs="Calibri"/>
                <w:sz w:val="20"/>
                <w:vertAlign w:val="subscript"/>
              </w:rPr>
              <w:t>4</w:t>
            </w:r>
            <w:r w:rsidRPr="009E06AA">
              <w:rPr>
                <w:rFonts w:eastAsia="Calibri" w:cs="Calibri"/>
                <w:sz w:val="20"/>
              </w:rPr>
              <w:t xml:space="preserve"> (e.g., 0.0029 per cent) by weight of discharged steam is then calculated by carrying out a mass balance.</w:t>
            </w:r>
          </w:p>
          <w:p w14:paraId="0DB633AA" w14:textId="77777777" w:rsidR="00D97D6C" w:rsidRPr="009E06AA" w:rsidRDefault="00D97D6C" w:rsidP="00B55F24">
            <w:pPr>
              <w:spacing w:before="60"/>
              <w:ind w:left="284" w:right="284"/>
              <w:jc w:val="center"/>
              <w:rPr>
                <w:rFonts w:eastAsia="Calibri" w:cs="Calibri"/>
                <w:i/>
                <w:sz w:val="20"/>
              </w:rPr>
            </w:pPr>
            <w:r w:rsidRPr="009E06AA">
              <w:rPr>
                <w:rFonts w:eastAsia="Calibri" w:cs="Calibri"/>
                <w:i/>
                <w:sz w:val="20"/>
              </w:rPr>
              <w:t xml:space="preserve">‘Gas discharged to atmosphere’ = ‘Gas to electricity generation station’ </w:t>
            </w:r>
            <w:r w:rsidRPr="009E06AA">
              <w:rPr>
                <w:rFonts w:cs="Calibri"/>
                <w:sz w:val="20"/>
              </w:rPr>
              <w:t>–</w:t>
            </w:r>
            <w:r w:rsidRPr="009E06AA">
              <w:rPr>
                <w:rFonts w:eastAsia="Calibri" w:cs="Calibri"/>
                <w:i/>
                <w:sz w:val="20"/>
              </w:rPr>
              <w:t xml:space="preserve"> ‘Gas dissolved in condensate’</w:t>
            </w:r>
          </w:p>
          <w:p w14:paraId="21E8BECD" w14:textId="77777777" w:rsidR="00D97D6C" w:rsidRPr="009E06AA" w:rsidRDefault="00D97D6C" w:rsidP="00B55F24">
            <w:pPr>
              <w:pStyle w:val="BodyText"/>
              <w:spacing w:after="80"/>
              <w:ind w:left="284" w:right="284"/>
              <w:rPr>
                <w:rFonts w:eastAsia="Calibri" w:cs="Calibri"/>
                <w:sz w:val="20"/>
              </w:rPr>
            </w:pPr>
            <w:r w:rsidRPr="009E06AA">
              <w:rPr>
                <w:rFonts w:eastAsia="Calibri" w:cs="Calibri"/>
                <w:sz w:val="20"/>
              </w:rPr>
              <w:t xml:space="preserve">Company A also collects information on the average steam flow (tonnes of steam per hour) to the electricity generation station. This average steam flow is based on an annual average (e.g., 582.3 tonnes of steam per hour). </w:t>
            </w:r>
          </w:p>
          <w:p w14:paraId="78EC813B" w14:textId="77777777" w:rsidR="00D97D6C" w:rsidRPr="009E06AA" w:rsidRDefault="00D97D6C" w:rsidP="00B55F24">
            <w:pPr>
              <w:pStyle w:val="BodyText"/>
              <w:spacing w:before="80" w:after="80"/>
              <w:ind w:left="284" w:right="284"/>
              <w:rPr>
                <w:rFonts w:eastAsia="Calibri" w:cs="Calibri"/>
                <w:sz w:val="20"/>
              </w:rPr>
            </w:pPr>
            <w:r w:rsidRPr="009E06AA">
              <w:rPr>
                <w:rFonts w:eastAsia="Calibri" w:cs="Calibri"/>
                <w:sz w:val="20"/>
              </w:rPr>
              <w:t xml:space="preserve">Therefore, working out </w:t>
            </w:r>
            <w:r w:rsidRPr="009E06AA">
              <w:rPr>
                <w:rFonts w:cs="Calibri"/>
                <w:sz w:val="20"/>
              </w:rPr>
              <w:t>CO</w:t>
            </w:r>
            <w:r w:rsidRPr="009E06AA">
              <w:rPr>
                <w:rFonts w:cs="Calibri"/>
                <w:sz w:val="20"/>
                <w:vertAlign w:val="subscript"/>
              </w:rPr>
              <w:t>2</w:t>
            </w:r>
            <w:r w:rsidRPr="009E06AA">
              <w:rPr>
                <w:rFonts w:eastAsia="Calibri" w:cs="Calibri"/>
                <w:sz w:val="20"/>
              </w:rPr>
              <w:t xml:space="preserve"> emissions discharged to the atmosphere involves the following calculations.</w:t>
            </w:r>
          </w:p>
          <w:p w14:paraId="2426AE92" w14:textId="77777777" w:rsidR="00D97D6C" w:rsidRPr="009E06AA" w:rsidRDefault="00D97D6C" w:rsidP="00B55F24">
            <w:pPr>
              <w:pStyle w:val="BodyText"/>
              <w:keepNext/>
              <w:spacing w:before="80" w:after="80"/>
              <w:ind w:left="284" w:right="284"/>
              <w:rPr>
                <w:rFonts w:eastAsia="Calibri" w:cs="Calibri"/>
                <w:sz w:val="20"/>
              </w:rPr>
            </w:pPr>
            <w:r w:rsidRPr="009E06AA">
              <w:rPr>
                <w:rFonts w:eastAsia="Calibri" w:cs="Calibri"/>
                <w:sz w:val="20"/>
              </w:rPr>
              <w:t xml:space="preserve">Average discharge per hour is calculated as: </w:t>
            </w:r>
          </w:p>
          <w:p w14:paraId="7B03CD82" w14:textId="77777777" w:rsidR="00D97D6C" w:rsidRPr="001D1FF9" w:rsidRDefault="00D97D6C" w:rsidP="00B55F24">
            <w:pPr>
              <w:ind w:left="284" w:right="284"/>
              <w:jc w:val="center"/>
              <w:rPr>
                <w:rFonts w:eastAsia="Calibri"/>
                <w:sz w:val="20"/>
                <w:szCs w:val="20"/>
              </w:rPr>
            </w:pPr>
            <m:oMathPara>
              <m:oMath>
                <m:r>
                  <w:rPr>
                    <w:rFonts w:ascii="Cambria Math" w:hAnsi="Cambria Math"/>
                    <w:sz w:val="20"/>
                    <w:szCs w:val="20"/>
                  </w:rPr>
                  <m:t>582.3</m:t>
                </m:r>
                <m:f>
                  <m:fPr>
                    <m:ctrlPr>
                      <w:rPr>
                        <w:rFonts w:ascii="Cambria Math" w:hAnsi="Cambria Math"/>
                        <w:sz w:val="20"/>
                        <w:szCs w:val="20"/>
                      </w:rPr>
                    </m:ctrlPr>
                  </m:fPr>
                  <m:num>
                    <m:r>
                      <w:rPr>
                        <w:rFonts w:ascii="Cambria Math" w:hAnsi="Cambria Math"/>
                        <w:sz w:val="20"/>
                        <w:szCs w:val="20"/>
                      </w:rPr>
                      <m:t>tonnes of steam</m:t>
                    </m:r>
                  </m:num>
                  <m:den>
                    <m:r>
                      <w:rPr>
                        <w:rFonts w:ascii="Cambria Math" w:hAnsi="Cambria Math"/>
                        <w:sz w:val="20"/>
                        <w:szCs w:val="20"/>
                      </w:rPr>
                      <m:t>hour</m:t>
                    </m:r>
                  </m:den>
                </m:f>
                <m: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0.612</m:t>
                    </m:r>
                  </m:num>
                  <m:den>
                    <m:r>
                      <w:rPr>
                        <w:rFonts w:ascii="Cambria Math" w:hAnsi="Cambria Math"/>
                        <w:sz w:val="20"/>
                        <w:szCs w:val="20"/>
                      </w:rPr>
                      <m:t>100</m:t>
                    </m:r>
                  </m:den>
                </m:f>
                <m:f>
                  <m:fPr>
                    <m:ctrlPr>
                      <w:rPr>
                        <w:rFonts w:ascii="Cambria Math" w:hAnsi="Cambria Math"/>
                        <w:sz w:val="20"/>
                        <w:szCs w:val="20"/>
                      </w:rPr>
                    </m:ctrlPr>
                  </m:fPr>
                  <m:num>
                    <m:r>
                      <w:rPr>
                        <w:rFonts w:ascii="Cambria Math" w:hAnsi="Cambria Math"/>
                        <w:sz w:val="20"/>
                        <w:szCs w:val="20"/>
                      </w:rPr>
                      <m:t>tonnes of C</m:t>
                    </m:r>
                    <m:sSub>
                      <m:sSubPr>
                        <m:ctrlPr>
                          <w:rPr>
                            <w:rFonts w:ascii="Cambria Math" w:hAnsi="Cambria Math"/>
                            <w:sz w:val="20"/>
                            <w:szCs w:val="20"/>
                          </w:rPr>
                        </m:ctrlPr>
                      </m:sSubPr>
                      <m:e>
                        <m:r>
                          <w:rPr>
                            <w:rFonts w:ascii="Cambria Math" w:hAnsi="Cambria Math"/>
                            <w:sz w:val="20"/>
                            <w:szCs w:val="20"/>
                          </w:rPr>
                          <m:t>O</m:t>
                        </m:r>
                      </m:e>
                      <m:sub>
                        <m:r>
                          <w:rPr>
                            <w:rFonts w:ascii="Cambria Math" w:hAnsi="Cambria Math"/>
                            <w:sz w:val="20"/>
                            <w:szCs w:val="20"/>
                          </w:rPr>
                          <m:t>2</m:t>
                        </m:r>
                      </m:sub>
                    </m:sSub>
                  </m:num>
                  <m:den>
                    <m:r>
                      <w:rPr>
                        <w:rFonts w:ascii="Cambria Math" w:hAnsi="Cambria Math"/>
                        <w:sz w:val="20"/>
                        <w:szCs w:val="20"/>
                      </w:rPr>
                      <m:t>tonne of steam</m:t>
                    </m:r>
                  </m:den>
                </m:f>
                <m:r>
                  <w:rPr>
                    <w:rFonts w:ascii="Cambria Math" w:hAnsi="Cambria Math"/>
                    <w:sz w:val="20"/>
                    <w:szCs w:val="20"/>
                  </w:rPr>
                  <m:t>=3.565</m:t>
                </m:r>
                <m:f>
                  <m:fPr>
                    <m:ctrlPr>
                      <w:rPr>
                        <w:rFonts w:ascii="Cambria Math" w:hAnsi="Cambria Math"/>
                        <w:sz w:val="20"/>
                        <w:szCs w:val="20"/>
                      </w:rPr>
                    </m:ctrlPr>
                  </m:fPr>
                  <m:num>
                    <m:r>
                      <w:rPr>
                        <w:rFonts w:ascii="Cambria Math" w:hAnsi="Cambria Math"/>
                        <w:sz w:val="20"/>
                        <w:szCs w:val="20"/>
                      </w:rPr>
                      <m:t>tonnes of C</m:t>
                    </m:r>
                    <m:sSub>
                      <m:sSubPr>
                        <m:ctrlPr>
                          <w:rPr>
                            <w:rFonts w:ascii="Cambria Math" w:hAnsi="Cambria Math"/>
                            <w:sz w:val="20"/>
                            <w:szCs w:val="20"/>
                          </w:rPr>
                        </m:ctrlPr>
                      </m:sSubPr>
                      <m:e>
                        <m:r>
                          <w:rPr>
                            <w:rFonts w:ascii="Cambria Math" w:hAnsi="Cambria Math"/>
                            <w:sz w:val="20"/>
                            <w:szCs w:val="20"/>
                          </w:rPr>
                          <m:t>O</m:t>
                        </m:r>
                      </m:e>
                      <m:sub>
                        <m:r>
                          <w:rPr>
                            <w:rFonts w:ascii="Cambria Math" w:hAnsi="Cambria Math"/>
                            <w:sz w:val="20"/>
                            <w:szCs w:val="20"/>
                          </w:rPr>
                          <m:t>2</m:t>
                        </m:r>
                      </m:sub>
                    </m:sSub>
                  </m:num>
                  <m:den>
                    <m:r>
                      <w:rPr>
                        <w:rFonts w:ascii="Cambria Math" w:hAnsi="Cambria Math"/>
                        <w:sz w:val="20"/>
                        <w:szCs w:val="20"/>
                      </w:rPr>
                      <m:t>hour</m:t>
                    </m:r>
                  </m:den>
                </m:f>
              </m:oMath>
            </m:oMathPara>
          </w:p>
          <w:p w14:paraId="5BEFF673" w14:textId="77777777" w:rsidR="00D97D6C" w:rsidRPr="009E06AA" w:rsidRDefault="00D97D6C" w:rsidP="00B55F24">
            <w:pPr>
              <w:spacing w:before="120" w:after="120"/>
              <w:ind w:left="284" w:right="284"/>
              <w:rPr>
                <w:rFonts w:eastAsia="Calibri" w:cs="Calibri"/>
                <w:sz w:val="20"/>
              </w:rPr>
            </w:pPr>
            <w:r w:rsidRPr="009E06AA">
              <w:rPr>
                <w:rFonts w:eastAsia="Calibri" w:cs="Calibri"/>
                <w:sz w:val="20"/>
              </w:rPr>
              <w:t>And the total discharge per year is:</w:t>
            </w:r>
          </w:p>
          <w:p w14:paraId="1FCE8E4B" w14:textId="77777777" w:rsidR="00D97D6C" w:rsidRPr="001D1FF9" w:rsidRDefault="00D97D6C" w:rsidP="00B55F24">
            <w:pPr>
              <w:ind w:left="284" w:right="284"/>
              <w:jc w:val="center"/>
              <w:rPr>
                <w:rFonts w:eastAsia="Calibri" w:cs="Calibri"/>
                <w:sz w:val="18"/>
                <w:szCs w:val="18"/>
              </w:rPr>
            </w:pPr>
            <m:oMathPara>
              <m:oMath>
                <m:r>
                  <w:rPr>
                    <w:rFonts w:ascii="Cambria Math" w:hAnsi="Cambria Math"/>
                    <w:sz w:val="20"/>
                    <w:szCs w:val="20"/>
                  </w:rPr>
                  <m:t>3.565</m:t>
                </m:r>
                <m:f>
                  <m:fPr>
                    <m:ctrlPr>
                      <w:rPr>
                        <w:rFonts w:ascii="Cambria Math" w:hAnsi="Cambria Math"/>
                        <w:sz w:val="20"/>
                        <w:szCs w:val="20"/>
                      </w:rPr>
                    </m:ctrlPr>
                  </m:fPr>
                  <m:num>
                    <m:r>
                      <w:rPr>
                        <w:rFonts w:ascii="Cambria Math" w:hAnsi="Cambria Math"/>
                        <w:sz w:val="20"/>
                        <w:szCs w:val="20"/>
                      </w:rPr>
                      <m:t>tonnes of C</m:t>
                    </m:r>
                    <m:sSub>
                      <m:sSubPr>
                        <m:ctrlPr>
                          <w:rPr>
                            <w:rFonts w:ascii="Cambria Math" w:hAnsi="Cambria Math"/>
                            <w:sz w:val="20"/>
                            <w:szCs w:val="20"/>
                          </w:rPr>
                        </m:ctrlPr>
                      </m:sSubPr>
                      <m:e>
                        <m:r>
                          <w:rPr>
                            <w:rFonts w:ascii="Cambria Math" w:hAnsi="Cambria Math"/>
                            <w:sz w:val="20"/>
                            <w:szCs w:val="20"/>
                          </w:rPr>
                          <m:t>O</m:t>
                        </m:r>
                      </m:e>
                      <m:sub>
                        <m:r>
                          <w:rPr>
                            <w:rFonts w:ascii="Cambria Math" w:hAnsi="Cambria Math"/>
                            <w:sz w:val="20"/>
                            <w:szCs w:val="20"/>
                          </w:rPr>
                          <m:t>2</m:t>
                        </m:r>
                      </m:sub>
                    </m:sSub>
                  </m:num>
                  <m:den>
                    <m:r>
                      <w:rPr>
                        <w:rFonts w:ascii="Cambria Math" w:hAnsi="Cambria Math"/>
                        <w:sz w:val="20"/>
                        <w:szCs w:val="20"/>
                      </w:rPr>
                      <m:t>hour</m:t>
                    </m:r>
                  </m:den>
                </m:f>
                <m:r>
                  <w:rPr>
                    <w:rFonts w:ascii="Cambria Math" w:hAnsi="Cambria Math"/>
                    <w:sz w:val="20"/>
                    <w:szCs w:val="20"/>
                  </w:rPr>
                  <m:t>×</m:t>
                </m:r>
                <m:r>
                  <w:rPr>
                    <w:rFonts w:ascii="Cambria Math" w:eastAsia="Calibri" w:hAnsi="Cambria Math"/>
                    <w:sz w:val="20"/>
                    <w:szCs w:val="20"/>
                  </w:rPr>
                  <m:t>8760</m:t>
                </m:r>
                <m:f>
                  <m:fPr>
                    <m:ctrlPr>
                      <w:rPr>
                        <w:rFonts w:ascii="Cambria Math" w:hAnsi="Cambria Math"/>
                        <w:sz w:val="20"/>
                        <w:szCs w:val="20"/>
                      </w:rPr>
                    </m:ctrlPr>
                  </m:fPr>
                  <m:num>
                    <m:r>
                      <w:rPr>
                        <w:rFonts w:ascii="Cambria Math" w:eastAsia="Calibri" w:hAnsi="Cambria Math"/>
                        <w:sz w:val="20"/>
                        <w:szCs w:val="20"/>
                      </w:rPr>
                      <m:t>hours</m:t>
                    </m:r>
                  </m:num>
                  <m:den>
                    <m:r>
                      <w:rPr>
                        <w:rFonts w:ascii="Cambria Math" w:eastAsia="Calibri" w:hAnsi="Cambria Math"/>
                        <w:sz w:val="20"/>
                        <w:szCs w:val="20"/>
                      </w:rPr>
                      <m:t>year</m:t>
                    </m:r>
                  </m:den>
                </m:f>
                <m:r>
                  <w:rPr>
                    <w:rFonts w:ascii="Cambria Math" w:eastAsia="Calibri" w:hAnsi="Cambria Math"/>
                    <w:sz w:val="20"/>
                    <w:szCs w:val="20"/>
                  </w:rPr>
                  <m:t>=31,230</m:t>
                </m:r>
                <m:r>
                  <w:rPr>
                    <w:rFonts w:ascii="Cambria Math" w:hAnsi="Cambria Math"/>
                    <w:sz w:val="20"/>
                    <w:szCs w:val="20"/>
                  </w:rPr>
                  <m:t> </m:t>
                </m:r>
                <m:r>
                  <w:rPr>
                    <w:rFonts w:ascii="Cambria Math" w:eastAsia="Calibri" w:hAnsi="Cambria Math"/>
                    <w:sz w:val="20"/>
                    <w:szCs w:val="20"/>
                  </w:rPr>
                  <m:t>tonnes</m:t>
                </m:r>
                <m:r>
                  <w:rPr>
                    <w:rFonts w:ascii="Cambria Math" w:hAnsi="Cambria Math"/>
                    <w:sz w:val="20"/>
                    <w:szCs w:val="20"/>
                  </w:rPr>
                  <m:t> </m:t>
                </m:r>
                <m:r>
                  <w:rPr>
                    <w:rFonts w:ascii="Cambria Math" w:eastAsia="Calibri" w:hAnsi="Cambria Math"/>
                    <w:sz w:val="20"/>
                    <w:szCs w:val="20"/>
                  </w:rPr>
                  <m:t>of</m:t>
                </m:r>
                <m:r>
                  <w:rPr>
                    <w:rFonts w:ascii="Cambria Math" w:hAnsi="Cambria Math"/>
                    <w:sz w:val="20"/>
                    <w:szCs w:val="20"/>
                  </w:rPr>
                  <m:t> </m:t>
                </m:r>
                <m:r>
                  <w:rPr>
                    <w:rFonts w:ascii="Cambria Math" w:eastAsia="Calibri" w:hAnsi="Cambria Math"/>
                    <w:sz w:val="20"/>
                    <w:szCs w:val="20"/>
                  </w:rPr>
                  <m:t>C</m:t>
                </m:r>
                <m:sSub>
                  <m:sSubPr>
                    <m:ctrlPr>
                      <w:rPr>
                        <w:rFonts w:ascii="Cambria Math" w:hAnsi="Cambria Math"/>
                        <w:sz w:val="20"/>
                        <w:szCs w:val="20"/>
                      </w:rPr>
                    </m:ctrlPr>
                  </m:sSubPr>
                  <m:e>
                    <m:r>
                      <w:rPr>
                        <w:rFonts w:ascii="Cambria Math" w:eastAsia="Calibri" w:hAnsi="Cambria Math"/>
                        <w:sz w:val="20"/>
                        <w:szCs w:val="20"/>
                      </w:rPr>
                      <m:t>O</m:t>
                    </m:r>
                  </m:e>
                  <m:sub>
                    <m:r>
                      <w:rPr>
                        <w:rFonts w:ascii="Cambria Math" w:eastAsia="Calibri" w:hAnsi="Cambria Math"/>
                        <w:sz w:val="20"/>
                        <w:szCs w:val="20"/>
                      </w:rPr>
                      <m:t>2</m:t>
                    </m:r>
                  </m:sub>
                </m:sSub>
              </m:oMath>
            </m:oMathPara>
          </w:p>
          <w:p w14:paraId="52359808" w14:textId="77777777" w:rsidR="00D97D6C" w:rsidRPr="009E06AA" w:rsidRDefault="00D97D6C" w:rsidP="00B55F24">
            <w:pPr>
              <w:spacing w:before="120" w:after="180"/>
              <w:ind w:left="284" w:right="284"/>
              <w:rPr>
                <w:rFonts w:eastAsia="Calibri" w:cs="Calibri"/>
                <w:sz w:val="20"/>
                <w:highlight w:val="yellow"/>
              </w:rPr>
            </w:pPr>
            <w:r w:rsidRPr="009E06AA">
              <w:rPr>
                <w:rFonts w:eastAsia="Calibri" w:cs="Calibri"/>
                <w:sz w:val="20"/>
              </w:rPr>
              <w:t xml:space="preserve">Using the same methodology above will yield 149 tonnes of </w:t>
            </w:r>
            <w:r w:rsidRPr="009E06AA">
              <w:rPr>
                <w:rFonts w:cs="Calibri"/>
                <w:sz w:val="20"/>
              </w:rPr>
              <w:t>CH</w:t>
            </w:r>
            <w:r w:rsidRPr="009E06AA">
              <w:rPr>
                <w:rFonts w:cs="Calibri"/>
                <w:sz w:val="20"/>
                <w:vertAlign w:val="subscript"/>
              </w:rPr>
              <w:t>4</w:t>
            </w:r>
            <w:r w:rsidRPr="009E06AA">
              <w:rPr>
                <w:rFonts w:eastAsia="Calibri" w:cs="Calibri"/>
                <w:sz w:val="20"/>
              </w:rPr>
              <w:t xml:space="preserve">. The overall emission for Company A is therefore 35,402 tonnes of </w:t>
            </w:r>
            <w:r w:rsidRPr="009E06AA">
              <w:rPr>
                <w:rFonts w:cs="Calibri"/>
                <w:sz w:val="20"/>
              </w:rPr>
              <w:t>CO</w:t>
            </w:r>
            <w:r w:rsidRPr="009E06AA">
              <w:rPr>
                <w:rFonts w:cs="Calibri"/>
                <w:sz w:val="20"/>
                <w:vertAlign w:val="subscript"/>
              </w:rPr>
              <w:t>2</w:t>
            </w:r>
            <w:r w:rsidRPr="009E06AA">
              <w:rPr>
                <w:rFonts w:eastAsia="Calibri" w:cs="Calibri"/>
                <w:sz w:val="20"/>
              </w:rPr>
              <w:t xml:space="preserve">-e emissions. </w:t>
            </w:r>
          </w:p>
        </w:tc>
      </w:tr>
    </w:tbl>
    <w:p w14:paraId="08E275E0" w14:textId="77777777" w:rsidR="00D97D6C" w:rsidRPr="009E06AA" w:rsidRDefault="00D97D6C" w:rsidP="00D97D6C">
      <w:pPr>
        <w:pStyle w:val="BodyText"/>
        <w:spacing w:before="40" w:after="60"/>
        <w:rPr>
          <w:rFonts w:cs="Calibri"/>
        </w:rPr>
      </w:pPr>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4A0" w:firstRow="1" w:lastRow="0" w:firstColumn="1" w:lastColumn="0" w:noHBand="0" w:noVBand="1"/>
      </w:tblPr>
      <w:tblGrid>
        <w:gridCol w:w="8505"/>
      </w:tblGrid>
      <w:tr w:rsidR="00D97D6C" w:rsidRPr="009E06AA" w14:paraId="26DDE9D0" w14:textId="77777777" w:rsidTr="00B55F24">
        <w:tc>
          <w:tcPr>
            <w:tcW w:w="7938" w:type="dxa"/>
            <w:shd w:val="clear" w:color="auto" w:fill="auto"/>
          </w:tcPr>
          <w:p w14:paraId="72D0C40D" w14:textId="77777777" w:rsidR="00D97D6C" w:rsidRPr="009E06AA" w:rsidRDefault="00D97D6C" w:rsidP="00B55F24">
            <w:pPr>
              <w:pStyle w:val="BodyText"/>
              <w:spacing w:before="240" w:after="0"/>
              <w:ind w:left="284"/>
              <w:rPr>
                <w:rFonts w:eastAsia="Calibri"/>
                <w:b/>
                <w:bCs/>
              </w:rPr>
            </w:pPr>
            <w:r w:rsidRPr="009E06AA">
              <w:rPr>
                <w:rFonts w:eastAsia="Calibri"/>
                <w:b/>
                <w:bCs/>
              </w:rPr>
              <w:t>Geothermal methodology for Company B</w:t>
            </w:r>
          </w:p>
          <w:p w14:paraId="4DFE10F8" w14:textId="77777777" w:rsidR="00D97D6C" w:rsidRPr="009E06AA" w:rsidRDefault="00D97D6C" w:rsidP="00B55F24">
            <w:pPr>
              <w:pStyle w:val="BodyText"/>
              <w:spacing w:before="100" w:after="180"/>
              <w:ind w:left="284" w:right="284"/>
              <w:rPr>
                <w:rFonts w:eastAsia="Calibri" w:cs="Calibri"/>
                <w:sz w:val="20"/>
              </w:rPr>
            </w:pPr>
            <w:r w:rsidRPr="009E06AA">
              <w:rPr>
                <w:rFonts w:eastAsia="Calibri" w:cs="Calibri"/>
                <w:sz w:val="20"/>
              </w:rPr>
              <w:t xml:space="preserve">At Company B, spot measurements of both </w:t>
            </w:r>
            <w:r w:rsidRPr="009E06AA">
              <w:rPr>
                <w:rFonts w:cs="Calibri"/>
                <w:sz w:val="20"/>
              </w:rPr>
              <w:t>carbon dioxide</w:t>
            </w:r>
            <w:r w:rsidRPr="009E06AA">
              <w:rPr>
                <w:rFonts w:eastAsia="Calibri" w:cs="Calibri"/>
                <w:sz w:val="20"/>
              </w:rPr>
              <w:t xml:space="preserve"> and </w:t>
            </w:r>
            <w:r w:rsidRPr="009E06AA">
              <w:rPr>
                <w:rFonts w:cs="Calibri"/>
                <w:sz w:val="20"/>
              </w:rPr>
              <w:t xml:space="preserve">methane </w:t>
            </w:r>
            <w:r w:rsidRPr="009E06AA">
              <w:rPr>
                <w:rFonts w:eastAsia="Calibri" w:cs="Calibri"/>
                <w:sz w:val="20"/>
              </w:rPr>
              <w:t>concentrations are taken at the inlet steam when the power stations are operating normally. The net megawatt hours of electricity generated that day are then used to calculate the emission factor. This implied emission factor is then multiplied by the annual amount of electricity generated to work out the annual emissions for each power station.</w:t>
            </w:r>
          </w:p>
        </w:tc>
      </w:tr>
    </w:tbl>
    <w:p w14:paraId="2A5FA3BC" w14:textId="77777777" w:rsidR="00D97D6C" w:rsidRPr="009E06AA" w:rsidRDefault="00D97D6C" w:rsidP="00D97D6C">
      <w:pPr>
        <w:pStyle w:val="Heading4"/>
        <w:spacing w:before="320"/>
        <w:rPr>
          <w:lang w:eastAsia="en-GB"/>
        </w:rPr>
      </w:pPr>
      <w:r w:rsidRPr="009E06AA">
        <w:rPr>
          <w:lang w:eastAsia="en-GB"/>
        </w:rPr>
        <w:t>Activity data</w:t>
      </w:r>
    </w:p>
    <w:p w14:paraId="32192E9A" w14:textId="77777777" w:rsidR="00D97D6C" w:rsidRPr="009E06AA" w:rsidRDefault="00D97D6C" w:rsidP="00BF2A76">
      <w:pPr>
        <w:pStyle w:val="Heading5"/>
        <w:rPr>
          <w:lang w:eastAsia="en-GB"/>
        </w:rPr>
      </w:pPr>
      <w:r w:rsidRPr="009E06AA">
        <w:rPr>
          <w:lang w:eastAsia="en-GB"/>
        </w:rPr>
        <w:t>1.B.2.a.1 Exploration</w:t>
      </w:r>
    </w:p>
    <w:p w14:paraId="0B1D927B" w14:textId="77777777" w:rsidR="00D97D6C" w:rsidRPr="009E06AA" w:rsidRDefault="00D97D6C" w:rsidP="00D97D6C">
      <w:pPr>
        <w:pStyle w:val="BodyText"/>
        <w:spacing w:before="100" w:after="100"/>
        <w:rPr>
          <w:lang w:eastAsia="en-GB"/>
        </w:rPr>
      </w:pPr>
      <w:r w:rsidRPr="009E06AA">
        <w:rPr>
          <w:lang w:eastAsia="en-GB"/>
        </w:rPr>
        <w:t>Activity data are the number of wells drilled in each year as reported by New Zealand Petroleum and Minerals (MBIE, 2023). Data were only available for the years from 2001 onwards, so estimates were made by extrapolation for the years preceding 2001.</w:t>
      </w:r>
    </w:p>
    <w:p w14:paraId="08892592" w14:textId="77777777" w:rsidR="00D97D6C" w:rsidRPr="009E06AA" w:rsidRDefault="00D97D6C" w:rsidP="00E5102E">
      <w:pPr>
        <w:pStyle w:val="Heading5"/>
        <w:spacing w:before="220"/>
        <w:rPr>
          <w:lang w:eastAsia="en-GB"/>
        </w:rPr>
      </w:pPr>
      <w:r w:rsidRPr="009E06AA">
        <w:rPr>
          <w:lang w:eastAsia="en-GB"/>
        </w:rPr>
        <w:t>1.B.2.a.3 Transport</w:t>
      </w:r>
    </w:p>
    <w:p w14:paraId="1072FDF3" w14:textId="77777777" w:rsidR="00D97D6C" w:rsidRPr="009E06AA" w:rsidRDefault="00D97D6C" w:rsidP="00E5102E">
      <w:pPr>
        <w:pStyle w:val="BodyText"/>
        <w:spacing w:before="100" w:after="100"/>
        <w:rPr>
          <w:rFonts w:cs="Calibri"/>
        </w:rPr>
      </w:pPr>
      <w:r w:rsidRPr="009E06AA">
        <w:rPr>
          <w:lang w:eastAsia="en-GB"/>
        </w:rPr>
        <w:t xml:space="preserve">The activity data are New </w:t>
      </w:r>
      <w:r w:rsidRPr="009E06AA">
        <w:t>Zealand’s</w:t>
      </w:r>
      <w:r w:rsidRPr="009E06AA">
        <w:rPr>
          <w:lang w:eastAsia="en-GB"/>
        </w:rPr>
        <w:t xml:space="preserve"> total production of crude oil (MBIE, 2023). </w:t>
      </w:r>
    </w:p>
    <w:p w14:paraId="268517B0" w14:textId="77777777" w:rsidR="00D97D6C" w:rsidRPr="009E06AA" w:rsidRDefault="00D97D6C" w:rsidP="00E5102E">
      <w:pPr>
        <w:pStyle w:val="Heading5"/>
        <w:spacing w:before="220"/>
        <w:rPr>
          <w:lang w:eastAsia="en-GB"/>
        </w:rPr>
      </w:pPr>
      <w:r w:rsidRPr="009E06AA">
        <w:rPr>
          <w:lang w:eastAsia="en-GB"/>
        </w:rPr>
        <w:t>1.B.2.a.4 Refining</w:t>
      </w:r>
    </w:p>
    <w:p w14:paraId="5AEA8E8E" w14:textId="77777777" w:rsidR="00D97D6C" w:rsidRPr="009E06AA" w:rsidRDefault="00D97D6C" w:rsidP="00E5102E">
      <w:pPr>
        <w:pStyle w:val="BodyText"/>
        <w:spacing w:before="100" w:after="100"/>
        <w:rPr>
          <w:lang w:eastAsia="en-GB"/>
        </w:rPr>
      </w:pPr>
      <w:r w:rsidRPr="009E06AA">
        <w:rPr>
          <w:lang w:eastAsia="en-GB"/>
        </w:rPr>
        <w:t xml:space="preserve">Activity data are total intake at New </w:t>
      </w:r>
      <w:r w:rsidRPr="009E06AA">
        <w:t>Zealand’s</w:t>
      </w:r>
      <w:r w:rsidRPr="009E06AA">
        <w:rPr>
          <w:lang w:eastAsia="en-GB"/>
        </w:rPr>
        <w:t xml:space="preserve"> the Marsden Point Oil Refinery (MBIE, 2023). </w:t>
      </w:r>
    </w:p>
    <w:p w14:paraId="736BD2B2" w14:textId="77777777" w:rsidR="00D97D6C" w:rsidRPr="009E06AA" w:rsidRDefault="00D97D6C" w:rsidP="00E5102E">
      <w:pPr>
        <w:pStyle w:val="Heading5"/>
        <w:spacing w:before="220"/>
        <w:rPr>
          <w:lang w:eastAsia="en-GB"/>
        </w:rPr>
      </w:pPr>
      <w:r w:rsidRPr="009E06AA">
        <w:rPr>
          <w:lang w:eastAsia="en-GB"/>
        </w:rPr>
        <w:t>1.B.2.a.5 Distribution of oil products</w:t>
      </w:r>
    </w:p>
    <w:p w14:paraId="0A7EF333" w14:textId="77777777" w:rsidR="00D97D6C" w:rsidRPr="009E06AA" w:rsidRDefault="00D97D6C" w:rsidP="00E5102E">
      <w:pPr>
        <w:pStyle w:val="BodyText"/>
        <w:spacing w:before="100" w:after="100"/>
        <w:rPr>
          <w:lang w:eastAsia="en-GB"/>
        </w:rPr>
      </w:pPr>
      <w:r w:rsidRPr="009E06AA">
        <w:rPr>
          <w:lang w:eastAsia="en-GB"/>
        </w:rPr>
        <w:t xml:space="preserve">Activity data are New Zealand’s total consumption </w:t>
      </w:r>
      <w:r w:rsidRPr="009E06AA">
        <w:t>of</w:t>
      </w:r>
      <w:r w:rsidRPr="009E06AA">
        <w:rPr>
          <w:lang w:eastAsia="en-GB"/>
        </w:rPr>
        <w:t xml:space="preserve"> gasoline (MBIE, 2023).</w:t>
      </w:r>
    </w:p>
    <w:p w14:paraId="43449ACF" w14:textId="77777777" w:rsidR="00D97D6C" w:rsidRPr="009E06AA" w:rsidRDefault="00D97D6C" w:rsidP="00E5102E">
      <w:pPr>
        <w:pStyle w:val="Heading5"/>
        <w:spacing w:before="220"/>
        <w:rPr>
          <w:lang w:eastAsia="en-GB"/>
        </w:rPr>
      </w:pPr>
      <w:r w:rsidRPr="009E06AA">
        <w:rPr>
          <w:lang w:eastAsia="en-GB"/>
        </w:rPr>
        <w:t>1.B.2.b.3 Processing</w:t>
      </w:r>
    </w:p>
    <w:p w14:paraId="39F3C247" w14:textId="77777777" w:rsidR="00D97D6C" w:rsidRPr="009E06AA" w:rsidRDefault="00D97D6C" w:rsidP="00E5102E">
      <w:pPr>
        <w:pStyle w:val="BodyText"/>
        <w:spacing w:before="100" w:after="100"/>
        <w:rPr>
          <w:lang w:eastAsia="en-GB"/>
        </w:rPr>
      </w:pPr>
      <w:r w:rsidRPr="009E06AA">
        <w:rPr>
          <w:lang w:eastAsia="en-GB"/>
        </w:rPr>
        <w:t>Venting of CO</w:t>
      </w:r>
      <w:r w:rsidRPr="009E06AA">
        <w:rPr>
          <w:rFonts w:cs="Calibri"/>
          <w:vertAlign w:val="subscript"/>
          <w:lang w:eastAsia="en-GB"/>
        </w:rPr>
        <w:t>2</w:t>
      </w:r>
      <w:r w:rsidRPr="009E06AA">
        <w:rPr>
          <w:lang w:eastAsia="en-GB"/>
        </w:rPr>
        <w:t xml:space="preserve"> is reported in CRT category 1.B.2.c.2, in accordance with a previous ERT recommendation. No activity data are available.</w:t>
      </w:r>
    </w:p>
    <w:p w14:paraId="5770F7C8" w14:textId="77777777" w:rsidR="00D97D6C" w:rsidRPr="009E06AA" w:rsidRDefault="00D97D6C" w:rsidP="00E5102E">
      <w:pPr>
        <w:pStyle w:val="Heading5"/>
        <w:spacing w:before="220"/>
        <w:rPr>
          <w:lang w:eastAsia="en-GB"/>
        </w:rPr>
      </w:pPr>
      <w:r w:rsidRPr="009E06AA">
        <w:rPr>
          <w:lang w:eastAsia="en-GB"/>
        </w:rPr>
        <w:t>1.B.2.b.4 Transmission and 1.B.2.b.5 Distribution</w:t>
      </w:r>
    </w:p>
    <w:p w14:paraId="23DE9344" w14:textId="77777777" w:rsidR="00D97D6C" w:rsidRPr="009E06AA" w:rsidRDefault="00D97D6C" w:rsidP="00E5102E">
      <w:pPr>
        <w:pStyle w:val="BodyText"/>
        <w:spacing w:before="100" w:after="100"/>
        <w:rPr>
          <w:lang w:eastAsia="en-GB"/>
        </w:rPr>
      </w:pPr>
      <w:r w:rsidRPr="009E06AA">
        <w:rPr>
          <w:lang w:eastAsia="en-GB"/>
        </w:rPr>
        <w:t xml:space="preserve">Carbon dioxide and </w:t>
      </w:r>
      <w:r w:rsidRPr="009E06AA">
        <w:rPr>
          <w:rFonts w:cs="Calibri"/>
        </w:rPr>
        <w:t>CH</w:t>
      </w:r>
      <w:r w:rsidRPr="009E06AA">
        <w:rPr>
          <w:rFonts w:cs="Calibri"/>
          <w:vertAlign w:val="subscript"/>
        </w:rPr>
        <w:t>4</w:t>
      </w:r>
      <w:r w:rsidRPr="009E06AA">
        <w:rPr>
          <w:rFonts w:cs="Calibri"/>
          <w:sz w:val="14"/>
          <w:szCs w:val="14"/>
          <w:lang w:eastAsia="en-GB"/>
        </w:rPr>
        <w:t xml:space="preserve"> </w:t>
      </w:r>
      <w:r w:rsidRPr="009E06AA">
        <w:rPr>
          <w:lang w:eastAsia="en-GB"/>
        </w:rPr>
        <w:t xml:space="preserve">emissions from gas </w:t>
      </w:r>
      <w:r w:rsidRPr="009E06AA">
        <w:t>leakage</w:t>
      </w:r>
      <w:r w:rsidRPr="009E06AA">
        <w:rPr>
          <w:lang w:eastAsia="en-GB"/>
        </w:rPr>
        <w:t xml:space="preserve"> mainly occur from low-pressure distribution pipelines rather than from high-pressure transmission pipelines. Emissions from transmission and distribution are reported separately. </w:t>
      </w:r>
    </w:p>
    <w:p w14:paraId="2CC468DA" w14:textId="77777777" w:rsidR="00D97D6C" w:rsidRPr="009E06AA" w:rsidRDefault="00D97D6C" w:rsidP="00E5102E">
      <w:pPr>
        <w:pStyle w:val="BodyText"/>
        <w:spacing w:before="100" w:after="100"/>
      </w:pPr>
      <w:r w:rsidRPr="009E06AA">
        <w:rPr>
          <w:lang w:eastAsia="en-GB"/>
        </w:rPr>
        <w:t>Emissions from the high-pressure transmission system were provided by the system operator. N</w:t>
      </w:r>
      <w:r w:rsidRPr="009E06AA">
        <w:t>atural gas transmission losses included both direct leakage of CH</w:t>
      </w:r>
      <w:r w:rsidRPr="009E06AA">
        <w:rPr>
          <w:vertAlign w:val="subscript"/>
        </w:rPr>
        <w:t>4</w:t>
      </w:r>
      <w:r w:rsidRPr="009E06AA">
        <w:t xml:space="preserve"> and CO</w:t>
      </w:r>
      <w:r w:rsidRPr="009E06AA">
        <w:rPr>
          <w:vertAlign w:val="subscript"/>
        </w:rPr>
        <w:t>2</w:t>
      </w:r>
      <w:r w:rsidRPr="009E06AA">
        <w:t xml:space="preserve"> and gas lost and/or used when starting lines compressors. Data are provided for gigajoules (GJ) of CH</w:t>
      </w:r>
      <w:r w:rsidRPr="009E06AA">
        <w:rPr>
          <w:vertAlign w:val="subscript"/>
        </w:rPr>
        <w:t>4</w:t>
      </w:r>
      <w:r w:rsidRPr="009E06AA">
        <w:t xml:space="preserve"> and tonnes of CO</w:t>
      </w:r>
      <w:r w:rsidRPr="009E06AA">
        <w:rPr>
          <w:vertAlign w:val="subscript"/>
        </w:rPr>
        <w:t>2</w:t>
      </w:r>
      <w:r w:rsidRPr="009E06AA">
        <w:t>. Gigajoules of CH</w:t>
      </w:r>
      <w:r w:rsidRPr="009E06AA">
        <w:rPr>
          <w:vertAlign w:val="subscript"/>
        </w:rPr>
        <w:t>4</w:t>
      </w:r>
      <w:r w:rsidRPr="009E06AA">
        <w:t xml:space="preserve"> are converted to tonnes of CH</w:t>
      </w:r>
      <w:r w:rsidRPr="009E06AA">
        <w:rPr>
          <w:vertAlign w:val="subscript"/>
        </w:rPr>
        <w:t>4</w:t>
      </w:r>
      <w:r w:rsidRPr="009E06AA">
        <w:t xml:space="preserve"> using the conversion factor of 55.6 GJ/t. New Zealand has a high-pressure transmission network nearly 3,500 kilometres in length. It joins most North Island cities (reticulated natural gas is available only in </w:t>
      </w:r>
      <w:r w:rsidRPr="009E06AA">
        <w:rPr>
          <w:lang w:eastAsia="en-GB"/>
        </w:rPr>
        <w:t>New Zealand’s</w:t>
      </w:r>
      <w:r w:rsidRPr="009E06AA">
        <w:t xml:space="preserve"> North Island). No time series of the total length of the transmission lines is available; however, expert opinion is that it would have been nearly constant since 1990.</w:t>
      </w:r>
    </w:p>
    <w:p w14:paraId="05F7422C" w14:textId="77777777" w:rsidR="00D97D6C" w:rsidRPr="009E06AA" w:rsidRDefault="00D97D6C" w:rsidP="00E5102E">
      <w:pPr>
        <w:pStyle w:val="BodyText"/>
        <w:spacing w:before="100" w:after="100"/>
      </w:pPr>
      <w:r w:rsidRPr="009E06AA">
        <w:t>New Zealand bases distribution loss emissions on information about gas entering the distribution network, which is administrative data collected at the ‘gas gate’. It does not follow the alternative approach of using survey information collected from gas retailers on the amount of gas sold and metered at the individual customer (household, small business) level.</w:t>
      </w:r>
    </w:p>
    <w:p w14:paraId="79B256B1" w14:textId="77777777" w:rsidR="00D97D6C" w:rsidRPr="009E06AA" w:rsidRDefault="00D97D6C" w:rsidP="00E5102E">
      <w:pPr>
        <w:pStyle w:val="BodyText"/>
        <w:spacing w:before="100" w:after="100"/>
        <w:rPr>
          <w:lang w:eastAsia="en-GB"/>
        </w:rPr>
      </w:pPr>
      <w:r w:rsidRPr="009E06AA">
        <w:t>For the 2023 submission, New</w:t>
      </w:r>
      <w:r w:rsidRPr="009E06AA">
        <w:rPr>
          <w:lang w:eastAsia="en-GB"/>
        </w:rPr>
        <w:t xml:space="preserve"> Zealand implemented an improvement to the estimation of leakage from distribution networks, moving from a Tier 1 methodology to using more accurate industry data derived from models that represent a Tier 3 approach. Further details are given below under ‘Category-specific recalculations’.</w:t>
      </w:r>
    </w:p>
    <w:p w14:paraId="49B4B3CB" w14:textId="77777777" w:rsidR="00D97D6C" w:rsidRPr="009E06AA" w:rsidRDefault="00D97D6C" w:rsidP="00E5102E">
      <w:pPr>
        <w:pStyle w:val="Heading5"/>
        <w:spacing w:before="220"/>
        <w:rPr>
          <w:lang w:eastAsia="en-GB"/>
        </w:rPr>
      </w:pPr>
      <w:r w:rsidRPr="009E06AA">
        <w:rPr>
          <w:lang w:eastAsia="en-GB"/>
        </w:rPr>
        <w:t xml:space="preserve">1.B.2.b.4 Natural gas storage </w:t>
      </w:r>
    </w:p>
    <w:p w14:paraId="34625760" w14:textId="77777777" w:rsidR="00D97D6C" w:rsidRPr="009E06AA" w:rsidRDefault="00D97D6C" w:rsidP="00E5102E">
      <w:pPr>
        <w:pStyle w:val="BodyText"/>
        <w:spacing w:before="100" w:after="100"/>
      </w:pPr>
      <w:r w:rsidRPr="009E06AA">
        <w:t xml:space="preserve">Natural gas storage occurs at the Ahuroa gas storage facility. Ahuroa is a depleted gas field that can hold 5 PJ to 10 PJ of natural gas at any one point. A significant portion of this gas is used to run Contact Energy’s Stratford gas peaking plant, which consists of two 100 MW open cycle gas turbine units. </w:t>
      </w:r>
    </w:p>
    <w:p w14:paraId="3BBED58B" w14:textId="77777777" w:rsidR="00D97D6C" w:rsidRPr="009E06AA" w:rsidRDefault="00D97D6C" w:rsidP="00BF2A76">
      <w:pPr>
        <w:pStyle w:val="Heading5"/>
        <w:rPr>
          <w:lang w:eastAsia="en-GB"/>
        </w:rPr>
      </w:pPr>
      <w:r w:rsidRPr="009E06AA">
        <w:rPr>
          <w:lang w:eastAsia="en-GB"/>
        </w:rPr>
        <w:t>1.B.2.c Venting and fla</w:t>
      </w:r>
      <w:r w:rsidRPr="009E06AA">
        <w:rPr>
          <w:rFonts w:cs="Calibri"/>
        </w:rPr>
        <w:t>r</w:t>
      </w:r>
      <w:r w:rsidRPr="009E06AA">
        <w:rPr>
          <w:lang w:eastAsia="en-GB"/>
        </w:rPr>
        <w:t>ing</w:t>
      </w:r>
    </w:p>
    <w:p w14:paraId="2312FCE8" w14:textId="77777777" w:rsidR="00D97D6C" w:rsidRPr="009E06AA" w:rsidRDefault="00D97D6C" w:rsidP="00D97D6C">
      <w:pPr>
        <w:pStyle w:val="BodyText"/>
      </w:pPr>
      <w:r w:rsidRPr="009E06AA">
        <w:rPr>
          <w:lang w:eastAsia="en-GB"/>
        </w:rPr>
        <w:t xml:space="preserve">Data on </w:t>
      </w:r>
      <w:r w:rsidRPr="009E06AA">
        <w:rPr>
          <w:rFonts w:cs="Calibri"/>
        </w:rPr>
        <w:t xml:space="preserve">natural </w:t>
      </w:r>
      <w:r w:rsidRPr="009E06AA">
        <w:rPr>
          <w:lang w:eastAsia="en-GB"/>
        </w:rPr>
        <w:t xml:space="preserve">gas flaring, </w:t>
      </w:r>
      <w:r w:rsidRPr="009E06AA">
        <w:t xml:space="preserve">losses and own use are reported directly by gas field operators. </w:t>
      </w:r>
    </w:p>
    <w:p w14:paraId="2A7D07BB" w14:textId="77777777" w:rsidR="00D97D6C" w:rsidRPr="009E06AA" w:rsidRDefault="00D97D6C" w:rsidP="00D97D6C">
      <w:pPr>
        <w:pStyle w:val="BodyText"/>
        <w:rPr>
          <w:lang w:eastAsia="en-GB"/>
        </w:rPr>
      </w:pPr>
      <w:r w:rsidRPr="009E06AA">
        <w:t>The operator of the Kapuni Ga</w:t>
      </w:r>
      <w:r w:rsidRPr="009E06AA">
        <w:rPr>
          <w:lang w:eastAsia="en-GB"/>
        </w:rPr>
        <w:t xml:space="preserve">s Treatment Plant supplies estimates of </w:t>
      </w:r>
      <w:r w:rsidRPr="009E06AA">
        <w:rPr>
          <w:rFonts w:cs="Calibri"/>
        </w:rPr>
        <w:t>CO</w:t>
      </w:r>
      <w:r w:rsidRPr="009E06AA">
        <w:rPr>
          <w:rFonts w:cs="Calibri"/>
          <w:vertAlign w:val="subscript"/>
        </w:rPr>
        <w:t>2</w:t>
      </w:r>
      <w:r w:rsidRPr="009E06AA">
        <w:rPr>
          <w:lang w:eastAsia="en-GB"/>
        </w:rPr>
        <w:t xml:space="preserve"> vented during the processing of natural gas.</w:t>
      </w:r>
    </w:p>
    <w:p w14:paraId="199E544C" w14:textId="77777777" w:rsidR="00D97D6C" w:rsidRPr="009E06AA" w:rsidRDefault="00D97D6C" w:rsidP="00D97D6C">
      <w:pPr>
        <w:pStyle w:val="BodyText"/>
        <w:rPr>
          <w:lang w:eastAsia="en-GB"/>
        </w:rPr>
      </w:pPr>
      <w:r w:rsidRPr="009E06AA">
        <w:rPr>
          <w:lang w:eastAsia="en-GB"/>
        </w:rPr>
        <w:t xml:space="preserve">In response to an ERT </w:t>
      </w:r>
      <w:r w:rsidRPr="009E06AA">
        <w:t>recommendation</w:t>
      </w:r>
      <w:r w:rsidRPr="009E06AA">
        <w:rPr>
          <w:lang w:eastAsia="en-GB"/>
        </w:rPr>
        <w:t xml:space="preserve">, flaring of refinery gas has been reallocated from 1.B.2.a </w:t>
      </w:r>
      <w:r w:rsidRPr="009E06AA">
        <w:rPr>
          <w:i/>
          <w:iCs/>
          <w:lang w:eastAsia="en-GB"/>
        </w:rPr>
        <w:t>Oil</w:t>
      </w:r>
      <w:r w:rsidRPr="009E06AA">
        <w:rPr>
          <w:lang w:eastAsia="en-GB"/>
        </w:rPr>
        <w:t xml:space="preserve"> to 1.B.2.c </w:t>
      </w:r>
      <w:r w:rsidRPr="009E06AA">
        <w:rPr>
          <w:i/>
          <w:iCs/>
          <w:lang w:eastAsia="en-GB"/>
        </w:rPr>
        <w:t>Venting and flaring</w:t>
      </w:r>
      <w:r w:rsidRPr="009E06AA">
        <w:rPr>
          <w:lang w:eastAsia="en-GB"/>
        </w:rPr>
        <w:t>.</w:t>
      </w:r>
    </w:p>
    <w:p w14:paraId="6A14A666" w14:textId="77777777" w:rsidR="00D97D6C" w:rsidRPr="009E06AA" w:rsidRDefault="00D97D6C" w:rsidP="00D97D6C">
      <w:pPr>
        <w:pStyle w:val="Heading4"/>
        <w:rPr>
          <w:lang w:eastAsia="en-GB"/>
        </w:rPr>
      </w:pPr>
      <w:r w:rsidRPr="009E06AA">
        <w:rPr>
          <w:lang w:eastAsia="en-GB"/>
        </w:rPr>
        <w:t>Emission factors</w:t>
      </w:r>
    </w:p>
    <w:p w14:paraId="35407923" w14:textId="77777777" w:rsidR="00D97D6C" w:rsidRPr="009E06AA" w:rsidRDefault="00D97D6C" w:rsidP="00D97D6C">
      <w:pPr>
        <w:pStyle w:val="BodyText"/>
        <w:rPr>
          <w:lang w:eastAsia="en-GB"/>
        </w:rPr>
      </w:pPr>
      <w:r w:rsidRPr="009E06AA">
        <w:rPr>
          <w:lang w:eastAsia="en-GB"/>
        </w:rPr>
        <w:t xml:space="preserve">Unless noted </w:t>
      </w:r>
      <w:r w:rsidRPr="009E06AA">
        <w:t>otherwise</w:t>
      </w:r>
      <w:r w:rsidRPr="009E06AA">
        <w:rPr>
          <w:lang w:eastAsia="en-GB"/>
        </w:rPr>
        <w:t>, default IPCC emission factors have been used.</w:t>
      </w:r>
    </w:p>
    <w:p w14:paraId="057404A4" w14:textId="77777777" w:rsidR="00D97D6C" w:rsidRPr="009E06AA" w:rsidRDefault="00D97D6C" w:rsidP="00D97D6C">
      <w:pPr>
        <w:pStyle w:val="Heading4"/>
        <w:rPr>
          <w:lang w:eastAsia="en-GB"/>
        </w:rPr>
      </w:pPr>
      <w:r w:rsidRPr="009E06AA">
        <w:t>Uncertainty</w:t>
      </w:r>
      <w:r w:rsidRPr="009E06AA">
        <w:rPr>
          <w:lang w:eastAsia="en-GB"/>
        </w:rPr>
        <w:t xml:space="preserve"> assessment and time-series consistency</w:t>
      </w:r>
    </w:p>
    <w:p w14:paraId="4EE2C1A6" w14:textId="77777777" w:rsidR="00D97D6C" w:rsidRPr="009E06AA" w:rsidRDefault="00D97D6C" w:rsidP="00D97D6C">
      <w:pPr>
        <w:pStyle w:val="BodyText"/>
        <w:rPr>
          <w:lang w:eastAsia="en-GB"/>
        </w:rPr>
      </w:pPr>
      <w:r w:rsidRPr="009E06AA">
        <w:rPr>
          <w:lang w:eastAsia="en-GB"/>
        </w:rPr>
        <w:t>Time-series data from various geothermal fields vary in completeness, and some historical data are not available. Individual geothermal fields each produce varying levels of output and emissions so the overall implied emission factors display a certain amount of natural variation.</w:t>
      </w:r>
    </w:p>
    <w:p w14:paraId="6C2BCE60" w14:textId="77777777" w:rsidR="00D97D6C" w:rsidRPr="009E06AA" w:rsidRDefault="00D97D6C" w:rsidP="00D97D6C">
      <w:pPr>
        <w:pStyle w:val="Heading4"/>
        <w:rPr>
          <w:lang w:eastAsia="en-GB"/>
        </w:rPr>
      </w:pPr>
      <w:r w:rsidRPr="009E06AA">
        <w:t>Category</w:t>
      </w:r>
      <w:r w:rsidRPr="009E06AA">
        <w:rPr>
          <w:lang w:eastAsia="en-GB"/>
        </w:rPr>
        <w:t>-specific QA/QC and verification</w:t>
      </w:r>
    </w:p>
    <w:p w14:paraId="6799273E" w14:textId="77777777" w:rsidR="00D97D6C" w:rsidRPr="009E06AA" w:rsidRDefault="00D97D6C" w:rsidP="00D97D6C">
      <w:pPr>
        <w:pStyle w:val="BodyText"/>
        <w:rPr>
          <w:lang w:eastAsia="en-GB"/>
        </w:rPr>
      </w:pPr>
      <w:r w:rsidRPr="009E06AA">
        <w:rPr>
          <w:lang w:eastAsia="en-GB"/>
        </w:rPr>
        <w:t xml:space="preserve">In the preparation of this inventory, the </w:t>
      </w:r>
      <w:r w:rsidRPr="009E06AA">
        <w:rPr>
          <w:rFonts w:cs="Calibri"/>
          <w:i/>
          <w:lang w:eastAsia="en-GB"/>
        </w:rPr>
        <w:t>Fugitive emissions</w:t>
      </w:r>
      <w:r w:rsidRPr="009E06AA">
        <w:rPr>
          <w:lang w:eastAsia="en-GB"/>
        </w:rPr>
        <w:t xml:space="preserve"> category underwent Tier 1 quality</w:t>
      </w:r>
      <w:r w:rsidRPr="009E06AA">
        <w:rPr>
          <w:lang w:eastAsia="en-GB"/>
        </w:rPr>
        <w:noBreakHyphen/>
        <w:t>assurance and quality-control checks as recommended in the 2006 IPCC Guidelines. These include regular control sums throughout systems, to verify system integrity, and consistency checks of implied emission factors.</w:t>
      </w:r>
    </w:p>
    <w:p w14:paraId="798364CA" w14:textId="77777777" w:rsidR="00D97D6C" w:rsidRPr="009E06AA" w:rsidRDefault="00D97D6C" w:rsidP="00D97D6C">
      <w:pPr>
        <w:pStyle w:val="Heading4"/>
        <w:rPr>
          <w:lang w:eastAsia="en-GB"/>
        </w:rPr>
      </w:pPr>
      <w:r w:rsidRPr="009E06AA">
        <w:t>Category</w:t>
      </w:r>
      <w:r w:rsidRPr="009E06AA">
        <w:rPr>
          <w:lang w:eastAsia="en-GB"/>
        </w:rPr>
        <w:t>-specific recalculations</w:t>
      </w:r>
    </w:p>
    <w:p w14:paraId="40BE8F78" w14:textId="77777777" w:rsidR="00D97D6C" w:rsidRPr="009E06AA" w:rsidRDefault="00D97D6C" w:rsidP="00D97D6C">
      <w:pPr>
        <w:pStyle w:val="BodyText"/>
        <w:rPr>
          <w:lang w:eastAsia="en-GB"/>
        </w:rPr>
      </w:pPr>
      <w:r w:rsidRPr="009E06AA">
        <w:rPr>
          <w:lang w:eastAsia="en-GB"/>
        </w:rPr>
        <w:t xml:space="preserve">The methodology used to estimate fugitive emissions from natural gas distribution networks was revised for the 2023 submission. The former methodology (Tier 2) used an assumed constant leakage rate of 1.75 per cent of total reticulated natural gas. This figure was derived by the Natural Gas Corporation in the mid-1990s and was found to be out of date. Recent engagement with industry experts has revealed that the current estimate of the leakage rate from the modernised distribution pipelines in New Zealand averages 0.35 per cent over the period 2017 to 2021. </w:t>
      </w:r>
    </w:p>
    <w:p w14:paraId="6992D29F" w14:textId="77777777" w:rsidR="00D97D6C" w:rsidRPr="009E06AA" w:rsidRDefault="00D97D6C" w:rsidP="00D97D6C">
      <w:pPr>
        <w:pStyle w:val="BodyText"/>
        <w:rPr>
          <w:lang w:eastAsia="en-GB"/>
        </w:rPr>
      </w:pPr>
      <w:r w:rsidRPr="009E06AA">
        <w:rPr>
          <w:lang w:eastAsia="en-GB"/>
        </w:rPr>
        <w:t>The new estimates from industry represent a Tier 3 approach, using specific emission factors, assessed at the facility level. The industry emissions estimate model has been developed using a best practice MarcoGaz estimating template and uses internationally published emission rates (American Petroleum Institute Compendium of emissions rates) combined with company specific asset knowledge and information to provide a bottom-up approach. Further, the industry is now completing annual asset level leakage measurements to validate the emissions rates and estimates.</w:t>
      </w:r>
    </w:p>
    <w:p w14:paraId="40A70A68" w14:textId="77777777" w:rsidR="00D97D6C" w:rsidRPr="009E06AA" w:rsidRDefault="00D97D6C" w:rsidP="00D97D6C">
      <w:pPr>
        <w:pStyle w:val="BodyText"/>
        <w:rPr>
          <w:lang w:eastAsia="en-GB"/>
        </w:rPr>
      </w:pPr>
      <w:r w:rsidRPr="009E06AA">
        <w:rPr>
          <w:lang w:eastAsia="en-GB"/>
        </w:rPr>
        <w:t>The Tier 3 methodology detailed above only applies from 2017 onwards. To preserve time-series consistency and avoid a step change between this and the previous method, data splicing was employed: for previous years where estimates from the Tier 3 models are not yet available, the leakage rate is interpolated back to the 1990 value of 1.75 per cent.</w:t>
      </w:r>
    </w:p>
    <w:p w14:paraId="63472028" w14:textId="77777777" w:rsidR="00D97D6C" w:rsidRPr="009E06AA" w:rsidRDefault="00D97D6C" w:rsidP="00D97D6C">
      <w:pPr>
        <w:pStyle w:val="BodyText"/>
        <w:rPr>
          <w:lang w:eastAsia="en-GB"/>
        </w:rPr>
      </w:pPr>
      <w:r w:rsidRPr="009E06AA">
        <w:rPr>
          <w:lang w:eastAsia="en-GB"/>
        </w:rPr>
        <w:t xml:space="preserve">Updated data sourced from field operators have been used to improve the accuracy of emission estimates for geothermal activities. </w:t>
      </w:r>
    </w:p>
    <w:p w14:paraId="3AA97958" w14:textId="77777777" w:rsidR="00D97D6C" w:rsidRPr="009E06AA" w:rsidRDefault="00D97D6C" w:rsidP="00D97D6C">
      <w:pPr>
        <w:pStyle w:val="Heading4"/>
        <w:rPr>
          <w:lang w:eastAsia="en-GB"/>
        </w:rPr>
      </w:pPr>
      <w:r w:rsidRPr="009E06AA">
        <w:t>Category</w:t>
      </w:r>
      <w:r w:rsidRPr="009E06AA">
        <w:rPr>
          <w:lang w:eastAsia="en-GB"/>
        </w:rPr>
        <w:t>-specific planned improvements</w:t>
      </w:r>
    </w:p>
    <w:p w14:paraId="12A10481" w14:textId="77777777" w:rsidR="00D97D6C" w:rsidRPr="009E06AA" w:rsidRDefault="00D97D6C" w:rsidP="00D97D6C">
      <w:pPr>
        <w:pStyle w:val="BodyText"/>
        <w:rPr>
          <w:rFonts w:cs="Calibri"/>
          <w:lang w:eastAsia="en-GB"/>
        </w:rPr>
      </w:pPr>
      <w:r w:rsidRPr="009E06AA">
        <w:rPr>
          <w:rFonts w:cs="Calibri"/>
          <w:lang w:eastAsia="en-GB"/>
        </w:rPr>
        <w:t xml:space="preserve">Updated estimates of distribution losses will be incorporated as and when Tier 3 estimates from industry models become available. This is dependent on sufficiently detailed and disaggregated information on the historical state of distribution network infrastructure and assets. </w:t>
      </w:r>
    </w:p>
    <w:p w14:paraId="4636930B" w14:textId="77777777" w:rsidR="00D97D6C" w:rsidRPr="009E06AA" w:rsidRDefault="00D97D6C" w:rsidP="00D97D6C">
      <w:pPr>
        <w:pStyle w:val="BodyText"/>
        <w:rPr>
          <w:rFonts w:cs="Calibri"/>
          <w:lang w:eastAsia="en-GB"/>
        </w:rPr>
      </w:pPr>
      <w:r w:rsidRPr="009E06AA">
        <w:rPr>
          <w:rFonts w:cs="Calibri"/>
          <w:lang w:eastAsia="en-GB"/>
        </w:rPr>
        <w:t>As the data set of verified UEFs for individual geothermal fields and coal mines obtained from the NZ ETS grows, New Zealand will consider methods of incorporating these data to improve the accuracy of estimates.</w:t>
      </w:r>
    </w:p>
    <w:p w14:paraId="36B3E018" w14:textId="77777777" w:rsidR="00D97D6C" w:rsidRPr="009E06AA" w:rsidRDefault="00D97D6C" w:rsidP="00D97D6C">
      <w:pPr>
        <w:pStyle w:val="Heading2"/>
        <w:rPr>
          <w:rFonts w:cs="Calibri"/>
        </w:rPr>
      </w:pPr>
      <w:bookmarkStart w:id="450" w:name="_Toc164154177"/>
      <w:r w:rsidRPr="009E06AA">
        <w:rPr>
          <w:rFonts w:cs="Calibri"/>
        </w:rPr>
        <w:t>3.4</w:t>
      </w:r>
      <w:r w:rsidRPr="009E06AA">
        <w:rPr>
          <w:rFonts w:cs="Calibri"/>
        </w:rPr>
        <w:tab/>
        <w:t>Carbon dioxide transport and storage (CRT 1.C)</w:t>
      </w:r>
      <w:bookmarkEnd w:id="450"/>
    </w:p>
    <w:p w14:paraId="2DA8BD0E" w14:textId="77777777" w:rsidR="00D97D6C" w:rsidRPr="009E06AA" w:rsidRDefault="00D97D6C" w:rsidP="00D97D6C">
      <w:pPr>
        <w:pStyle w:val="BodyText"/>
        <w:rPr>
          <w:lang w:eastAsia="en-GB"/>
        </w:rPr>
      </w:pPr>
      <w:r w:rsidRPr="009E06AA">
        <w:rPr>
          <w:lang w:eastAsia="en-GB"/>
        </w:rPr>
        <w:t>No CO</w:t>
      </w:r>
      <w:r w:rsidRPr="009E06AA">
        <w:rPr>
          <w:vertAlign w:val="subscript"/>
          <w:lang w:eastAsia="en-GB"/>
        </w:rPr>
        <w:t>2</w:t>
      </w:r>
      <w:r w:rsidRPr="009E06AA">
        <w:rPr>
          <w:sz w:val="14"/>
          <w:szCs w:val="14"/>
          <w:lang w:eastAsia="en-GB"/>
        </w:rPr>
        <w:t xml:space="preserve"> </w:t>
      </w:r>
      <w:r w:rsidRPr="009E06AA">
        <w:rPr>
          <w:lang w:eastAsia="en-GB"/>
        </w:rPr>
        <w:t>capture from flue gases and subsequent CO</w:t>
      </w:r>
      <w:r w:rsidRPr="009E06AA">
        <w:rPr>
          <w:vertAlign w:val="subscript"/>
          <w:lang w:eastAsia="en-GB"/>
        </w:rPr>
        <w:t>2</w:t>
      </w:r>
      <w:r w:rsidRPr="009E06AA">
        <w:rPr>
          <w:sz w:val="14"/>
          <w:szCs w:val="14"/>
          <w:lang w:eastAsia="en-GB"/>
        </w:rPr>
        <w:t xml:space="preserve"> </w:t>
      </w:r>
      <w:r w:rsidRPr="009E06AA">
        <w:rPr>
          <w:lang w:eastAsia="en-GB"/>
        </w:rPr>
        <w:t xml:space="preserve">storage occurred in New Zealand between 1990 and </w:t>
      </w:r>
      <w:r w:rsidRPr="009E06AA">
        <w:t>2022</w:t>
      </w:r>
      <w:r w:rsidRPr="009E06AA">
        <w:rPr>
          <w:lang w:eastAsia="en-GB"/>
        </w:rPr>
        <w:t>. We are planning to include transport of CO</w:t>
      </w:r>
      <w:r w:rsidRPr="009E06AA">
        <w:rPr>
          <w:vertAlign w:val="subscript"/>
          <w:lang w:eastAsia="en-GB"/>
        </w:rPr>
        <w:t>2</w:t>
      </w:r>
      <w:r w:rsidRPr="009E06AA">
        <w:rPr>
          <w:lang w:eastAsia="en-GB"/>
        </w:rPr>
        <w:t xml:space="preserve"> and the associated emissions estimates in the next annual submission.</w:t>
      </w:r>
    </w:p>
    <w:p w14:paraId="3D698EBD" w14:textId="77777777" w:rsidR="00D97D6C" w:rsidRPr="009E06AA" w:rsidRDefault="00D97D6C" w:rsidP="00374637">
      <w:pPr>
        <w:pStyle w:val="Heading2"/>
        <w:spacing w:before="0" w:after="360"/>
        <w:rPr>
          <w:rFonts w:cs="Calibri"/>
          <w:b w:val="0"/>
        </w:rPr>
      </w:pPr>
      <w:r w:rsidRPr="009E06AA">
        <w:rPr>
          <w:rFonts w:cs="Calibri"/>
        </w:rPr>
        <w:br w:type="page"/>
      </w:r>
      <w:bookmarkStart w:id="451" w:name="_Toc384581638"/>
      <w:bookmarkStart w:id="452" w:name="_Toc448321510"/>
      <w:bookmarkStart w:id="453" w:name="_Toc481751372"/>
      <w:bookmarkStart w:id="454" w:name="_Toc36224389"/>
      <w:bookmarkStart w:id="455" w:name="_Toc68786309"/>
      <w:bookmarkStart w:id="456" w:name="_Toc164154178"/>
      <w:r w:rsidRPr="009E06AA">
        <w:rPr>
          <w:rStyle w:val="Heading2Char"/>
          <w:b/>
        </w:rPr>
        <w:t>Chapter 3: References</w:t>
      </w:r>
      <w:bookmarkEnd w:id="451"/>
      <w:bookmarkEnd w:id="452"/>
      <w:bookmarkEnd w:id="453"/>
      <w:bookmarkEnd w:id="454"/>
      <w:bookmarkEnd w:id="455"/>
      <w:bookmarkEnd w:id="456"/>
    </w:p>
    <w:p w14:paraId="1595BB89" w14:textId="77777777" w:rsidR="00D97D6C" w:rsidRPr="009E06AA" w:rsidRDefault="00D97D6C" w:rsidP="00D97D6C">
      <w:pPr>
        <w:pStyle w:val="References"/>
        <w:rPr>
          <w:rFonts w:cs="Calibri"/>
          <w:lang w:eastAsia="en-GB"/>
        </w:rPr>
      </w:pPr>
      <w:r w:rsidRPr="009E06AA">
        <w:rPr>
          <w:rFonts w:cs="Calibri"/>
          <w:lang w:eastAsia="en-GB"/>
        </w:rPr>
        <w:t xml:space="preserve">Australian Bureau of Statistics and Statistics New Zealand. 2006. </w:t>
      </w:r>
      <w:r w:rsidRPr="009E06AA">
        <w:rPr>
          <w:rFonts w:cs="Calibri"/>
          <w:i/>
          <w:iCs/>
          <w:lang w:eastAsia="en-GB"/>
        </w:rPr>
        <w:t xml:space="preserve">Australian and New Zealand Standard Industrial Classification Revision 1.0. </w:t>
      </w:r>
      <w:r w:rsidRPr="009E06AA">
        <w:rPr>
          <w:rFonts w:cs="Calibri"/>
          <w:lang w:eastAsia="en-GB"/>
        </w:rPr>
        <w:t>Canberra: Australian Bureau of Statistics.</w:t>
      </w:r>
    </w:p>
    <w:p w14:paraId="2C482633" w14:textId="77777777" w:rsidR="00D97D6C" w:rsidRPr="009E06AA" w:rsidRDefault="00D97D6C" w:rsidP="00D97D6C">
      <w:pPr>
        <w:pStyle w:val="References"/>
        <w:rPr>
          <w:rFonts w:cs="Calibri"/>
          <w:lang w:eastAsia="en-GB"/>
        </w:rPr>
      </w:pPr>
      <w:r w:rsidRPr="009E06AA">
        <w:rPr>
          <w:rFonts w:cs="Calibri"/>
          <w:lang w:eastAsia="en-GB"/>
        </w:rPr>
        <w:t xml:space="preserve">Baines JT. 1993. </w:t>
      </w:r>
      <w:r w:rsidRPr="009E06AA">
        <w:rPr>
          <w:rFonts w:cs="Calibri"/>
          <w:i/>
          <w:iCs/>
          <w:lang w:eastAsia="en-GB"/>
        </w:rPr>
        <w:t>New Zealand Energy Information Handbook</w:t>
      </w:r>
      <w:r w:rsidRPr="009E06AA">
        <w:rPr>
          <w:rFonts w:cs="Calibri"/>
          <w:lang w:eastAsia="en-GB"/>
        </w:rPr>
        <w:t>. Christchurch: Taylor Baines and Associates.</w:t>
      </w:r>
    </w:p>
    <w:p w14:paraId="66EE4B8A" w14:textId="77777777" w:rsidR="00D97D6C" w:rsidRPr="009E06AA" w:rsidRDefault="00D97D6C" w:rsidP="00D97D6C">
      <w:pPr>
        <w:pStyle w:val="References"/>
        <w:rPr>
          <w:rFonts w:cs="Calibri"/>
          <w:lang w:eastAsia="en-GB"/>
        </w:rPr>
      </w:pPr>
      <w:r w:rsidRPr="009E06AA">
        <w:rPr>
          <w:rFonts w:cs="Calibri"/>
          <w:lang w:eastAsia="en-GB"/>
        </w:rPr>
        <w:t xml:space="preserve">Beamish BB, Vance WE. 1992. Greenhouse Gas Contributions from Coal Mining in Australia and New Zealand. </w:t>
      </w:r>
      <w:r w:rsidRPr="009E06AA">
        <w:rPr>
          <w:rFonts w:cs="Calibri"/>
          <w:i/>
          <w:iCs/>
          <w:lang w:eastAsia="en-GB"/>
        </w:rPr>
        <w:t xml:space="preserve">Journal of the Royal Society of New Zealand </w:t>
      </w:r>
      <w:r w:rsidRPr="009E06AA">
        <w:rPr>
          <w:rFonts w:cs="Calibri"/>
          <w:lang w:eastAsia="en-GB"/>
        </w:rPr>
        <w:t>22(2).</w:t>
      </w:r>
    </w:p>
    <w:p w14:paraId="5ED4E53E" w14:textId="77777777" w:rsidR="00D97D6C" w:rsidRPr="009E06AA" w:rsidRDefault="00D97D6C" w:rsidP="00D97D6C">
      <w:pPr>
        <w:pStyle w:val="References"/>
        <w:rPr>
          <w:rFonts w:cs="Calibri"/>
          <w:lang w:eastAsia="en-GB"/>
        </w:rPr>
      </w:pPr>
      <w:r w:rsidRPr="009E06AA">
        <w:rPr>
          <w:rFonts w:cs="Calibri"/>
          <w:lang w:eastAsia="en-GB"/>
        </w:rPr>
        <w:t xml:space="preserve">Bioenergy Association of New Zealand. 2011. </w:t>
      </w:r>
      <w:hyperlink r:id="rId71" w:history="1">
        <w:r w:rsidRPr="009E06AA">
          <w:rPr>
            <w:rStyle w:val="Hyperlink"/>
            <w:rFonts w:cs="Calibri"/>
            <w:i/>
            <w:lang w:eastAsia="en-GB"/>
          </w:rPr>
          <w:t>Heat Plant in New Zealand</w:t>
        </w:r>
      </w:hyperlink>
      <w:r w:rsidRPr="009E06AA">
        <w:rPr>
          <w:rFonts w:cs="Calibri"/>
          <w:lang w:eastAsia="en-GB"/>
        </w:rPr>
        <w:t xml:space="preserve">. Retrieved </w:t>
      </w:r>
      <w:r w:rsidRPr="009E06AA">
        <w:rPr>
          <w:rFonts w:cs="Calibri"/>
        </w:rPr>
        <w:t xml:space="preserve">March 2018. </w:t>
      </w:r>
    </w:p>
    <w:p w14:paraId="286B5BE2" w14:textId="77777777" w:rsidR="00D97D6C" w:rsidRPr="009E06AA" w:rsidRDefault="00D97D6C" w:rsidP="00D97D6C">
      <w:pPr>
        <w:pStyle w:val="References"/>
        <w:rPr>
          <w:rFonts w:cs="Calibri"/>
          <w:lang w:eastAsia="en-GB"/>
        </w:rPr>
      </w:pPr>
      <w:r w:rsidRPr="009E06AA">
        <w:rPr>
          <w:rFonts w:cs="Calibri"/>
          <w:lang w:eastAsia="en-GB"/>
        </w:rPr>
        <w:t xml:space="preserve">BRANZ. 2002. </w:t>
      </w:r>
      <w:r w:rsidRPr="009E06AA">
        <w:rPr>
          <w:rFonts w:cs="Calibri"/>
          <w:i/>
          <w:iCs/>
          <w:lang w:eastAsia="en-GB"/>
        </w:rPr>
        <w:t>Energy Use in New Zealand Households</w:t>
      </w:r>
      <w:r w:rsidRPr="009E06AA">
        <w:rPr>
          <w:rFonts w:cs="Calibri"/>
          <w:lang w:eastAsia="en-GB"/>
        </w:rPr>
        <w:t>. Porirua, Wellington: Building Research Association of New Zealand.</w:t>
      </w:r>
    </w:p>
    <w:p w14:paraId="39B0B735" w14:textId="4B7E57C2" w:rsidR="00D97D6C" w:rsidRPr="009E06AA" w:rsidRDefault="00D97D6C" w:rsidP="00D97D6C">
      <w:pPr>
        <w:pStyle w:val="References"/>
        <w:rPr>
          <w:rFonts w:cs="Calibri"/>
          <w:lang w:eastAsia="en-GB"/>
        </w:rPr>
      </w:pPr>
      <w:r w:rsidRPr="009E06AA">
        <w:rPr>
          <w:rFonts w:cs="Calibri"/>
          <w:lang w:eastAsia="en-GB"/>
        </w:rPr>
        <w:t xml:space="preserve">CRL Energy Ltd. 2009. </w:t>
      </w:r>
      <w:hyperlink r:id="rId72" w:history="1">
        <w:r w:rsidRPr="009E06AA">
          <w:rPr>
            <w:rStyle w:val="Hyperlink"/>
            <w:rFonts w:cs="Calibri"/>
            <w:i/>
            <w:iCs/>
            <w:lang w:eastAsia="en-GB"/>
          </w:rPr>
          <w:t xml:space="preserve">Reviewing Default Emission Factors in Draft Stationary Energy and Industrial </w:t>
        </w:r>
        <w:r w:rsidRPr="009E06AA">
          <w:rPr>
            <w:rStyle w:val="Hyperlink"/>
          </w:rPr>
          <w:t>Processes</w:t>
        </w:r>
      </w:hyperlink>
      <w:r w:rsidRPr="009E06AA">
        <w:t xml:space="preserve">. Contract report prepared for the Ministry for the Environment. Wellington: Ministry for the Environment. Retrieved </w:t>
      </w:r>
      <w:r w:rsidRPr="009E06AA">
        <w:rPr>
          <w:rFonts w:cs="Calibri"/>
        </w:rPr>
        <w:t>Ma</w:t>
      </w:r>
      <w:r w:rsidRPr="009E06AA">
        <w:rPr>
          <w:rFonts w:cs="Calibri"/>
          <w:lang w:eastAsia="en-GB"/>
        </w:rPr>
        <w:t>rch 2018.</w:t>
      </w:r>
    </w:p>
    <w:p w14:paraId="4B713861" w14:textId="77777777" w:rsidR="00D97D6C" w:rsidRPr="009E06AA" w:rsidRDefault="00D97D6C" w:rsidP="00D97D6C">
      <w:pPr>
        <w:pStyle w:val="References"/>
        <w:rPr>
          <w:rFonts w:cs="Calibri"/>
          <w:lang w:eastAsia="en-GB"/>
        </w:rPr>
      </w:pPr>
      <w:r w:rsidRPr="009E06AA">
        <w:rPr>
          <w:rFonts w:cs="Calibri"/>
          <w:lang w:eastAsia="en-GB"/>
        </w:rPr>
        <w:t xml:space="preserve">European Environment Agency. 2007. </w:t>
      </w:r>
      <w:r w:rsidRPr="009E06AA">
        <w:rPr>
          <w:rFonts w:cs="Calibri"/>
          <w:i/>
          <w:iCs/>
          <w:lang w:eastAsia="en-GB"/>
        </w:rPr>
        <w:t>EMEP/CORINAIR Emission Inventory Guidebook – 2007</w:t>
      </w:r>
      <w:r w:rsidRPr="009E06AA">
        <w:rPr>
          <w:rFonts w:cs="Calibri"/>
          <w:iCs/>
          <w:lang w:eastAsia="en-GB"/>
        </w:rPr>
        <w:t>. Copenhagen:</w:t>
      </w:r>
      <w:r w:rsidRPr="009E06AA">
        <w:rPr>
          <w:rFonts w:cs="Calibri"/>
          <w:lang w:eastAsia="en-GB"/>
        </w:rPr>
        <w:t xml:space="preserve"> European Environment Agency.</w:t>
      </w:r>
    </w:p>
    <w:p w14:paraId="518CD00E" w14:textId="77777777" w:rsidR="00D97D6C" w:rsidRPr="009E06AA" w:rsidRDefault="00D97D6C" w:rsidP="00D97D6C">
      <w:pPr>
        <w:pStyle w:val="References"/>
        <w:rPr>
          <w:rFonts w:cs="Calibri"/>
          <w:lang w:eastAsia="en-GB"/>
        </w:rPr>
      </w:pPr>
      <w:r w:rsidRPr="009E06AA">
        <w:rPr>
          <w:rFonts w:cs="Calibri"/>
          <w:lang w:eastAsia="en-GB"/>
        </w:rPr>
        <w:t xml:space="preserve">European Environment Agency. 2016. </w:t>
      </w:r>
      <w:r w:rsidRPr="009E06AA">
        <w:rPr>
          <w:rFonts w:cs="Calibri"/>
          <w:i/>
          <w:lang w:eastAsia="en-GB"/>
        </w:rPr>
        <w:t>EMEP/EEA Air Pollutant Emission Inventory Guidebook 2016: Technical guidance to prepare national emission inventories</w:t>
      </w:r>
      <w:r w:rsidRPr="009E06AA">
        <w:rPr>
          <w:rFonts w:cs="Calibri"/>
          <w:lang w:eastAsia="en-GB"/>
        </w:rPr>
        <w:t xml:space="preserve">. </w:t>
      </w:r>
      <w:r w:rsidRPr="009E06AA">
        <w:rPr>
          <w:rFonts w:cs="Calibri"/>
          <w:iCs/>
          <w:lang w:eastAsia="en-GB"/>
        </w:rPr>
        <w:t>Copenhagen</w:t>
      </w:r>
      <w:r w:rsidRPr="009E06AA">
        <w:rPr>
          <w:rFonts w:cs="Calibri"/>
          <w:lang w:eastAsia="en-GB"/>
        </w:rPr>
        <w:t>: European Environment Agency.</w:t>
      </w:r>
    </w:p>
    <w:p w14:paraId="22169BBA" w14:textId="77777777" w:rsidR="00D97D6C" w:rsidRPr="009E06AA" w:rsidRDefault="00D97D6C" w:rsidP="00D97D6C">
      <w:pPr>
        <w:pStyle w:val="References"/>
        <w:rPr>
          <w:rFonts w:cs="Calibri"/>
        </w:rPr>
      </w:pPr>
      <w:r w:rsidRPr="009E06AA">
        <w:rPr>
          <w:rFonts w:cs="Calibri"/>
        </w:rPr>
        <w:t xml:space="preserve">IPCC. 2006. Eggleston HS, Buendia L, Miwa K, Ngara T, Tanabe K (eds). </w:t>
      </w:r>
      <w:r w:rsidRPr="009E06AA">
        <w:rPr>
          <w:rFonts w:cs="Calibri"/>
          <w:i/>
        </w:rPr>
        <w:t>2006 IPCC Guidelines for National Greenhouse Gas Inventories. Volume 2. Energy</w:t>
      </w:r>
      <w:r w:rsidRPr="009E06AA">
        <w:rPr>
          <w:rFonts w:cs="Calibri"/>
        </w:rPr>
        <w:t xml:space="preserve">. IPCC National Greenhouse Gas Inventories Programme. Japan: </w:t>
      </w:r>
      <w:r w:rsidRPr="009E06AA">
        <w:t xml:space="preserve">Published for the IPCC by the </w:t>
      </w:r>
      <w:r w:rsidRPr="009E06AA">
        <w:rPr>
          <w:rFonts w:cs="Calibri"/>
        </w:rPr>
        <w:t>Institute for Global Environmental Strategies for IPCC.</w:t>
      </w:r>
    </w:p>
    <w:p w14:paraId="586104F6" w14:textId="77777777" w:rsidR="00D97D6C" w:rsidRPr="009E06AA" w:rsidRDefault="00D97D6C" w:rsidP="00D97D6C">
      <w:pPr>
        <w:pStyle w:val="References"/>
        <w:rPr>
          <w:rFonts w:cs="Calibri"/>
        </w:rPr>
      </w:pPr>
      <w:r w:rsidRPr="009E06AA">
        <w:rPr>
          <w:rFonts w:cs="Calibri"/>
        </w:rPr>
        <w:t xml:space="preserve">IPCC. 2007. Forster P, Ramaswamy V, Artaxo P, Berntsen T, Betts R, Fahey DW, Haywood J, Lean J, Lowe DC, Myhre G, Nganga J, Prinn R, Raga G, Schulz M, Van Dorland R. Changes in Atmospheric Constituents and in Radiative Forcing. In: S Solomon, D Qin, M Manning, Z Chen, M Marquis, KB Avery, M Tignor and HL Miller (eds) </w:t>
      </w:r>
      <w:r w:rsidRPr="009E06AA">
        <w:rPr>
          <w:rFonts w:cs="Calibri"/>
          <w:i/>
          <w:iCs/>
        </w:rPr>
        <w:t>Climate Change 2007: The Physical Science Basis. Contribution of Working Group I to the Fourth Assessment Report of the Intergovernmental Panel on Climate Change</w:t>
      </w:r>
      <w:r w:rsidRPr="009E06AA">
        <w:rPr>
          <w:rFonts w:cs="Calibri"/>
        </w:rPr>
        <w:t xml:space="preserve">. Cambridge: Cambridge University Press. </w:t>
      </w:r>
    </w:p>
    <w:p w14:paraId="1D083BC5" w14:textId="77777777" w:rsidR="00D97D6C" w:rsidRPr="009E06AA" w:rsidRDefault="00D97D6C" w:rsidP="00D97D6C">
      <w:pPr>
        <w:pStyle w:val="References"/>
        <w:rPr>
          <w:rFonts w:cs="Calibri"/>
        </w:rPr>
      </w:pPr>
      <w:r w:rsidRPr="009E06AA">
        <w:rPr>
          <w:rFonts w:cs="Calibri"/>
        </w:rPr>
        <w:t xml:space="preserve">IPCC. 2013. </w:t>
      </w:r>
      <w:r w:rsidRPr="009E06AA">
        <w:rPr>
          <w:rFonts w:cs="Calibri"/>
          <w:i/>
          <w:iCs/>
        </w:rPr>
        <w:t>Climate Change 2013: The Physical Science Basis. Contribution of Working Group I to the Fifth Assessment Report of the Intergovernmental Panel on Climate Change</w:t>
      </w:r>
      <w:r w:rsidRPr="009E06AA">
        <w:rPr>
          <w:rFonts w:cs="Calibri"/>
        </w:rPr>
        <w:t xml:space="preserve">. Stocker TF, Qin D, Plattner G-K, Tignor M, Allen SK, Boschung J, Nauels A, Xia Y, Bex V, Midgley PM (eds). Cambridge: Cambridge University Press. </w:t>
      </w:r>
    </w:p>
    <w:p w14:paraId="5FE9A558" w14:textId="4C06EC69" w:rsidR="00D97D6C" w:rsidRPr="009E06AA" w:rsidRDefault="00D97D6C" w:rsidP="00D97D6C">
      <w:pPr>
        <w:pStyle w:val="References"/>
        <w:rPr>
          <w:rFonts w:cs="Calibri"/>
        </w:rPr>
      </w:pPr>
      <w:r w:rsidRPr="009E06AA">
        <w:rPr>
          <w:rFonts w:cs="Calibri"/>
        </w:rPr>
        <w:t xml:space="preserve">MBIE. 2008. </w:t>
      </w:r>
      <w:hyperlink r:id="rId73" w:history="1">
        <w:r w:rsidRPr="009E06AA">
          <w:rPr>
            <w:rStyle w:val="Hyperlink"/>
            <w:rFonts w:cs="Calibri"/>
            <w:i/>
            <w:iCs/>
          </w:rPr>
          <w:t>Liquid Fuel Use in New Zealand</w:t>
        </w:r>
      </w:hyperlink>
      <w:r w:rsidRPr="009E06AA">
        <w:rPr>
          <w:rFonts w:cs="Calibri"/>
        </w:rPr>
        <w:t xml:space="preserve">. </w:t>
      </w:r>
      <w:r w:rsidRPr="009E06AA">
        <w:rPr>
          <w:rFonts w:cs="Calibri"/>
          <w:lang w:eastAsia="en-GB"/>
        </w:rPr>
        <w:t xml:space="preserve">Wellington: </w:t>
      </w:r>
      <w:r w:rsidRPr="009E06AA">
        <w:rPr>
          <w:rFonts w:cs="Calibri"/>
        </w:rPr>
        <w:t>Ministry of Business, Innovation and Employment</w:t>
      </w:r>
      <w:r w:rsidRPr="009E06AA">
        <w:rPr>
          <w:rFonts w:cs="Calibri"/>
          <w:lang w:eastAsia="en-GB"/>
        </w:rPr>
        <w:t xml:space="preserve">. </w:t>
      </w:r>
      <w:r w:rsidRPr="009E06AA">
        <w:rPr>
          <w:rFonts w:cs="Calibri"/>
        </w:rPr>
        <w:t>Retrieved March 2013.</w:t>
      </w:r>
    </w:p>
    <w:p w14:paraId="21790453" w14:textId="4631B796" w:rsidR="00D97D6C" w:rsidRPr="009E06AA" w:rsidRDefault="00D97D6C" w:rsidP="00D97D6C">
      <w:pPr>
        <w:pStyle w:val="References"/>
        <w:rPr>
          <w:rFonts w:cs="Calibri"/>
        </w:rPr>
      </w:pPr>
      <w:r w:rsidRPr="009E06AA">
        <w:rPr>
          <w:rFonts w:cs="Calibri"/>
        </w:rPr>
        <w:t xml:space="preserve">MBIE. 2010. </w:t>
      </w:r>
      <w:hyperlink r:id="rId74" w:history="1">
        <w:r w:rsidRPr="009E06AA">
          <w:rPr>
            <w:rStyle w:val="Hyperlink"/>
            <w:rFonts w:cs="Calibri"/>
            <w:i/>
          </w:rPr>
          <w:t>Delivering the Diesel – Liquid Fuel Deliveries in New Zealand 1990–2008</w:t>
        </w:r>
      </w:hyperlink>
      <w:r w:rsidRPr="009E06AA">
        <w:rPr>
          <w:rFonts w:cs="Calibri"/>
        </w:rPr>
        <w:t xml:space="preserve">. </w:t>
      </w:r>
      <w:r w:rsidRPr="009E06AA">
        <w:rPr>
          <w:rFonts w:cs="Calibri"/>
          <w:lang w:eastAsia="en-GB"/>
        </w:rPr>
        <w:t xml:space="preserve">Wellington: </w:t>
      </w:r>
      <w:r w:rsidRPr="009E06AA">
        <w:t xml:space="preserve">Ministry of Business, Innovation and Employment. Retrieved </w:t>
      </w:r>
      <w:r w:rsidRPr="009E06AA">
        <w:rPr>
          <w:rFonts w:cs="Calibri"/>
        </w:rPr>
        <w:t>March 2013.</w:t>
      </w:r>
    </w:p>
    <w:p w14:paraId="3AA7B873" w14:textId="77777777" w:rsidR="00D97D6C" w:rsidRPr="009E06AA" w:rsidRDefault="00D97D6C" w:rsidP="00D97D6C">
      <w:pPr>
        <w:pStyle w:val="References"/>
      </w:pPr>
      <w:r w:rsidRPr="009E06AA">
        <w:rPr>
          <w:rFonts w:cs="Calibri"/>
          <w:lang w:eastAsia="en-GB"/>
        </w:rPr>
        <w:t>M</w:t>
      </w:r>
      <w:r w:rsidRPr="009E06AA">
        <w:rPr>
          <w:rFonts w:cs="Calibri"/>
        </w:rPr>
        <w:t>BIE</w:t>
      </w:r>
      <w:r w:rsidRPr="009E06AA">
        <w:rPr>
          <w:rFonts w:cs="Calibri"/>
          <w:lang w:eastAsia="en-GB"/>
        </w:rPr>
        <w:t xml:space="preserve">. 2023. </w:t>
      </w:r>
      <w:hyperlink r:id="rId75" w:history="1">
        <w:r w:rsidRPr="009E06AA">
          <w:rPr>
            <w:rStyle w:val="Hyperlink"/>
            <w:rFonts w:cs="Calibri"/>
            <w:i/>
            <w:iCs/>
            <w:lang w:eastAsia="en-GB"/>
          </w:rPr>
          <w:t>Energy in New Zealand</w:t>
        </w:r>
      </w:hyperlink>
      <w:r w:rsidRPr="009E06AA">
        <w:rPr>
          <w:rFonts w:cs="Calibri"/>
          <w:lang w:eastAsia="en-GB"/>
        </w:rPr>
        <w:t xml:space="preserve">. Wellington: </w:t>
      </w:r>
      <w:r w:rsidRPr="009E06AA">
        <w:rPr>
          <w:rFonts w:cs="Calibri"/>
        </w:rPr>
        <w:t>Ministry of Business, Innovation and Employment</w:t>
      </w:r>
      <w:r w:rsidRPr="009E06AA">
        <w:rPr>
          <w:rFonts w:cs="Calibri"/>
          <w:lang w:eastAsia="en-GB"/>
        </w:rPr>
        <w:t xml:space="preserve">. </w:t>
      </w:r>
      <w:r w:rsidRPr="009E06AA">
        <w:rPr>
          <w:rFonts w:cs="Calibri"/>
        </w:rPr>
        <w:t xml:space="preserve">Retrieved </w:t>
      </w:r>
      <w:r w:rsidRPr="009E06AA">
        <w:t>August 2023.</w:t>
      </w:r>
    </w:p>
    <w:p w14:paraId="4F5BD484" w14:textId="77777777" w:rsidR="00D97D6C" w:rsidRPr="009E06AA" w:rsidRDefault="00D97D6C" w:rsidP="00D97D6C">
      <w:pPr>
        <w:pStyle w:val="References"/>
      </w:pPr>
      <w:r w:rsidRPr="009E06AA">
        <w:t>McLean K, Richardson I. 2019. Greenhouse Gas Emissions from New Zealand Geothermal Power Generation in Context. In: Proceedings 41</w:t>
      </w:r>
      <w:r w:rsidRPr="009E06AA">
        <w:rPr>
          <w:vertAlign w:val="superscript"/>
        </w:rPr>
        <w:t>st</w:t>
      </w:r>
      <w:r w:rsidRPr="009E06AA">
        <w:t xml:space="preserve"> New Zealand Geothermal Workshop, 25–27 November 2019. Auckland, New Zealand. </w:t>
      </w:r>
    </w:p>
    <w:p w14:paraId="10F4A366" w14:textId="77777777" w:rsidR="00D97D6C" w:rsidRPr="009E06AA" w:rsidRDefault="00D97D6C" w:rsidP="00D97D6C">
      <w:pPr>
        <w:pStyle w:val="References"/>
        <w:rPr>
          <w:rFonts w:cs="Calibri"/>
        </w:rPr>
      </w:pPr>
      <w:r w:rsidRPr="009E06AA">
        <w:rPr>
          <w:rFonts w:cs="Calibri"/>
          <w:lang w:eastAsia="en-GB"/>
        </w:rPr>
        <w:t xml:space="preserve">Ministry for the Environment. 2009. </w:t>
      </w:r>
      <w:r w:rsidRPr="009E06AA">
        <w:rPr>
          <w:rFonts w:cs="Calibri"/>
          <w:i/>
          <w:iCs/>
          <w:lang w:eastAsia="en-GB"/>
        </w:rPr>
        <w:t>Projects to Reduce Emissions (PRE)</w:t>
      </w:r>
      <w:r w:rsidRPr="009E06AA">
        <w:rPr>
          <w:rFonts w:cs="Calibri"/>
          <w:iCs/>
          <w:lang w:eastAsia="en-GB"/>
        </w:rPr>
        <w:t xml:space="preserve">. </w:t>
      </w:r>
      <w:r w:rsidRPr="009E06AA">
        <w:rPr>
          <w:rFonts w:cs="Calibri"/>
          <w:lang w:eastAsia="en-GB"/>
        </w:rPr>
        <w:t xml:space="preserve">Wellington: </w:t>
      </w:r>
      <w:r w:rsidRPr="009E06AA">
        <w:rPr>
          <w:rFonts w:cs="Calibri"/>
        </w:rPr>
        <w:t>Ministry for the Environment</w:t>
      </w:r>
      <w:r w:rsidRPr="009E06AA">
        <w:rPr>
          <w:rFonts w:cs="Calibri"/>
          <w:lang w:eastAsia="en-GB"/>
        </w:rPr>
        <w:t xml:space="preserve">. </w:t>
      </w:r>
    </w:p>
    <w:p w14:paraId="142D328F" w14:textId="3F9A316D" w:rsidR="00D97D6C" w:rsidRPr="009E06AA" w:rsidRDefault="00D97D6C" w:rsidP="00D97D6C">
      <w:pPr>
        <w:pStyle w:val="References"/>
        <w:rPr>
          <w:rFonts w:cs="Calibri"/>
        </w:rPr>
      </w:pPr>
      <w:r w:rsidRPr="009E06AA">
        <w:rPr>
          <w:rFonts w:cs="Calibri"/>
        </w:rPr>
        <w:t xml:space="preserve">Ministry of Transport. 2010. </w:t>
      </w:r>
      <w:hyperlink r:id="rId76" w:history="1">
        <w:r w:rsidRPr="009E06AA">
          <w:rPr>
            <w:rStyle w:val="Hyperlink"/>
            <w:rFonts w:cs="Calibri"/>
            <w:i/>
          </w:rPr>
          <w:t>New Zealand Travel Survey</w:t>
        </w:r>
      </w:hyperlink>
      <w:r w:rsidRPr="009E06AA">
        <w:rPr>
          <w:rFonts w:cs="Calibri"/>
          <w:i/>
        </w:rPr>
        <w:t xml:space="preserve">. </w:t>
      </w:r>
      <w:r w:rsidRPr="009E06AA">
        <w:rPr>
          <w:rFonts w:cs="Calibri"/>
          <w:lang w:eastAsia="en-GB"/>
        </w:rPr>
        <w:t xml:space="preserve">Wellington: </w:t>
      </w:r>
      <w:r w:rsidRPr="009E06AA">
        <w:rPr>
          <w:rFonts w:cs="Calibri"/>
        </w:rPr>
        <w:t>Ministry of Transport. Retrieved March 2012.</w:t>
      </w:r>
    </w:p>
    <w:p w14:paraId="24F95BC3" w14:textId="77777777" w:rsidR="00D97D6C" w:rsidRPr="009E06AA" w:rsidRDefault="00D97D6C" w:rsidP="00D97D6C">
      <w:pPr>
        <w:pStyle w:val="References"/>
        <w:rPr>
          <w:rFonts w:cs="Calibri"/>
        </w:rPr>
      </w:pPr>
      <w:r w:rsidRPr="009E06AA">
        <w:rPr>
          <w:rFonts w:cs="Calibri"/>
        </w:rPr>
        <w:t xml:space="preserve">New Zealand Institute of Chemistry. 1998. </w:t>
      </w:r>
      <w:r w:rsidRPr="009E06AA">
        <w:rPr>
          <w:rFonts w:cs="Calibri"/>
          <w:i/>
        </w:rPr>
        <w:t>Chemical Processes in New Zealand Auckland</w:t>
      </w:r>
      <w:r w:rsidRPr="009E06AA">
        <w:rPr>
          <w:rFonts w:cs="Calibri"/>
        </w:rPr>
        <w:t>. Christchurch: New Zealand Institute of Chemistry.</w:t>
      </w:r>
    </w:p>
    <w:p w14:paraId="0D420A14" w14:textId="77777777" w:rsidR="00D97D6C" w:rsidRPr="009E06AA" w:rsidRDefault="00D97D6C" w:rsidP="00D97D6C">
      <w:pPr>
        <w:pStyle w:val="References"/>
        <w:rPr>
          <w:rFonts w:cs="Calibri"/>
        </w:rPr>
      </w:pPr>
      <w:r w:rsidRPr="009E06AA">
        <w:rPr>
          <w:rFonts w:cs="Calibri"/>
        </w:rPr>
        <w:t xml:space="preserve">Reddy CM, DeMello JA, Carmichael CA, Peacock EE, Xu L, Arey JS. 2008. Determination of biodiesel blending percentages using natural abundance radiocarbon analysis: Testing the accuracy of retail biodiesel blends. </w:t>
      </w:r>
      <w:r w:rsidRPr="009E06AA">
        <w:rPr>
          <w:rFonts w:cs="Calibri"/>
          <w:i/>
        </w:rPr>
        <w:t>Environmental Science Technology</w:t>
      </w:r>
      <w:r w:rsidRPr="009E06AA">
        <w:rPr>
          <w:rFonts w:cs="Calibri"/>
        </w:rPr>
        <w:t xml:space="preserve"> 42(7): 2476–2482.</w:t>
      </w:r>
    </w:p>
    <w:p w14:paraId="39896A9F" w14:textId="77777777" w:rsidR="00D97D6C" w:rsidRPr="009E06AA" w:rsidRDefault="00D97D6C" w:rsidP="00D97D6C">
      <w:pPr>
        <w:pStyle w:val="References"/>
        <w:rPr>
          <w:rFonts w:cs="Calibri"/>
          <w:lang w:eastAsia="en-GB"/>
        </w:rPr>
      </w:pPr>
      <w:r w:rsidRPr="009E06AA">
        <w:rPr>
          <w:rFonts w:cs="Calibri"/>
          <w:lang w:eastAsia="en-GB"/>
        </w:rPr>
        <w:t xml:space="preserve">Stats NZ. 2018. </w:t>
      </w:r>
      <w:hyperlink r:id="rId77" w:history="1">
        <w:r w:rsidRPr="009E06AA">
          <w:rPr>
            <w:rStyle w:val="Hyperlink"/>
            <w:rFonts w:cs="Calibri"/>
            <w:i/>
            <w:lang w:eastAsia="en-GB"/>
          </w:rPr>
          <w:t>Energy Use Survey</w:t>
        </w:r>
      </w:hyperlink>
      <w:r w:rsidRPr="009E06AA">
        <w:rPr>
          <w:rFonts w:cs="Calibri"/>
          <w:lang w:eastAsia="en-GB"/>
        </w:rPr>
        <w:t xml:space="preserve">. </w:t>
      </w:r>
      <w:r w:rsidRPr="009E06AA">
        <w:rPr>
          <w:rFonts w:cs="Calibri"/>
        </w:rPr>
        <w:t xml:space="preserve">Wellington: Stats NZ. </w:t>
      </w:r>
      <w:r w:rsidRPr="009E06AA">
        <w:rPr>
          <w:rFonts w:cs="Calibri"/>
          <w:lang w:eastAsia="en-GB"/>
        </w:rPr>
        <w:t>Retrieved February 2020.</w:t>
      </w:r>
    </w:p>
    <w:p w14:paraId="67CC28EE" w14:textId="77777777" w:rsidR="00D97D6C" w:rsidRPr="009E06AA" w:rsidRDefault="00D97D6C" w:rsidP="00D97D6C">
      <w:pPr>
        <w:pStyle w:val="References"/>
        <w:rPr>
          <w:rFonts w:cs="Calibri"/>
        </w:rPr>
      </w:pPr>
      <w:r w:rsidRPr="009E06AA">
        <w:rPr>
          <w:rFonts w:cs="Calibri"/>
        </w:rPr>
        <w:t xml:space="preserve">UNFCCC. 2009. FCCC/ARR/2008/NZL. </w:t>
      </w:r>
      <w:r w:rsidRPr="009E06AA">
        <w:rPr>
          <w:rFonts w:cs="Calibri"/>
          <w:i/>
        </w:rPr>
        <w:t>Report of the Individual Review of the Greenhouse Gas Inventories of New Zealand Submitted in 2007 and 2008</w:t>
      </w:r>
      <w:r w:rsidRPr="009E06AA">
        <w:rPr>
          <w:rFonts w:cs="Calibri"/>
        </w:rPr>
        <w:t>. Centralised Review.</w:t>
      </w:r>
    </w:p>
    <w:p w14:paraId="1E4B2421" w14:textId="77777777" w:rsidR="00D97D6C" w:rsidRPr="009E06AA" w:rsidRDefault="00D97D6C" w:rsidP="00D97D6C">
      <w:pPr>
        <w:rPr>
          <w:sz w:val="20"/>
          <w:szCs w:val="20"/>
        </w:rPr>
      </w:pPr>
      <w:r w:rsidRPr="009E06AA">
        <w:rPr>
          <w:rFonts w:cs="Calibri"/>
          <w:sz w:val="20"/>
          <w:szCs w:val="20"/>
        </w:rPr>
        <w:t xml:space="preserve">UNFCCC. 2014. FCCC/ARR/2013/NZL. </w:t>
      </w:r>
      <w:r w:rsidRPr="009E06AA">
        <w:rPr>
          <w:rFonts w:cs="Calibri"/>
          <w:i/>
          <w:sz w:val="20"/>
          <w:szCs w:val="20"/>
        </w:rPr>
        <w:t>Report of the individual review of the annual submission of New Zealand submitted in 2013</w:t>
      </w:r>
      <w:r w:rsidRPr="009E06AA">
        <w:rPr>
          <w:rFonts w:cs="Calibri"/>
          <w:sz w:val="20"/>
          <w:szCs w:val="20"/>
        </w:rPr>
        <w:t>. Centralised Review.</w:t>
      </w:r>
    </w:p>
    <w:p w14:paraId="71028BA5" w14:textId="77777777" w:rsidR="004A580A" w:rsidRPr="009E06AA" w:rsidRDefault="004A580A" w:rsidP="006F5D1B"/>
    <w:p w14:paraId="217688CC" w14:textId="77777777" w:rsidR="008C3829" w:rsidRPr="009E06AA" w:rsidRDefault="008C3829" w:rsidP="006F5D1B">
      <w:pPr>
        <w:sectPr w:rsidR="008C3829" w:rsidRPr="009E06AA" w:rsidSect="00F66BF9">
          <w:footerReference w:type="even" r:id="rId78"/>
          <w:footerReference w:type="default" r:id="rId79"/>
          <w:pgSz w:w="11907" w:h="16840" w:code="9"/>
          <w:pgMar w:top="1418" w:right="1701" w:bottom="1418" w:left="1701" w:header="567" w:footer="567" w:gutter="0"/>
          <w:cols w:space="720"/>
        </w:sectPr>
      </w:pPr>
    </w:p>
    <w:p w14:paraId="1051D73A" w14:textId="77777777" w:rsidR="001608E9" w:rsidRPr="009E06AA" w:rsidRDefault="001608E9" w:rsidP="001608E9">
      <w:pPr>
        <w:pStyle w:val="Heading1"/>
      </w:pPr>
      <w:bookmarkStart w:id="457" w:name="_Toc36224390"/>
      <w:bookmarkStart w:id="458" w:name="_Toc68786310"/>
      <w:bookmarkStart w:id="459" w:name="_Toc131591225"/>
      <w:bookmarkStart w:id="460" w:name="_Toc164154179"/>
      <w:r w:rsidRPr="009E06AA">
        <w:t>Chapter 4: Industrial Processes and Product Use (IPPU)</w:t>
      </w:r>
      <w:bookmarkEnd w:id="457"/>
      <w:bookmarkEnd w:id="458"/>
      <w:bookmarkEnd w:id="459"/>
      <w:bookmarkEnd w:id="460"/>
    </w:p>
    <w:p w14:paraId="2EBA8F48" w14:textId="77777777" w:rsidR="001608E9" w:rsidRPr="009E06AA" w:rsidRDefault="001608E9" w:rsidP="001608E9">
      <w:pPr>
        <w:pStyle w:val="Heading2"/>
        <w:spacing w:before="240"/>
      </w:pPr>
      <w:bookmarkStart w:id="461" w:name="_Toc448321512"/>
      <w:bookmarkStart w:id="462" w:name="_Toc5269351"/>
      <w:bookmarkStart w:id="463" w:name="_Toc36224391"/>
      <w:bookmarkStart w:id="464" w:name="_Toc68786311"/>
      <w:bookmarkStart w:id="465" w:name="_Toc131591226"/>
      <w:bookmarkStart w:id="466" w:name="_Toc158647320"/>
      <w:bookmarkStart w:id="467" w:name="_Toc164154180"/>
      <w:r w:rsidRPr="009E06AA">
        <w:t xml:space="preserve">4.1 </w:t>
      </w:r>
      <w:r w:rsidRPr="009E06AA">
        <w:tab/>
        <w:t>Sector overview</w:t>
      </w:r>
      <w:bookmarkEnd w:id="461"/>
      <w:bookmarkEnd w:id="462"/>
      <w:bookmarkEnd w:id="463"/>
      <w:bookmarkEnd w:id="464"/>
      <w:bookmarkEnd w:id="465"/>
      <w:bookmarkEnd w:id="466"/>
      <w:bookmarkEnd w:id="467"/>
    </w:p>
    <w:p w14:paraId="4617945F" w14:textId="77777777" w:rsidR="001608E9" w:rsidRPr="009E06AA" w:rsidRDefault="001608E9" w:rsidP="001608E9">
      <w:pPr>
        <w:pStyle w:val="BodyText"/>
      </w:pPr>
      <w:r w:rsidRPr="009E06AA">
        <w:t>The industrial processes and product use (IPPU) sector reports greenhouse gases emissions as by-products of chemical, metal and mineral productions; it also covers emissions of synthetic greenhouse gases used in products such as refrigerators and air conditioners and aerosols.</w:t>
      </w:r>
    </w:p>
    <w:p w14:paraId="11A3EAD7" w14:textId="77777777" w:rsidR="001608E9" w:rsidRPr="009E06AA" w:rsidRDefault="001608E9" w:rsidP="001608E9">
      <w:pPr>
        <w:pStyle w:val="Heading3"/>
        <w:spacing w:before="240"/>
      </w:pPr>
      <w:bookmarkStart w:id="468" w:name="_Toc158647321"/>
      <w:r w:rsidRPr="009E06AA">
        <w:t xml:space="preserve">4.1.1 </w:t>
      </w:r>
      <w:r w:rsidRPr="009E06AA">
        <w:tab/>
        <w:t>IPPU sector in New Zealand</w:t>
      </w:r>
      <w:bookmarkEnd w:id="468"/>
    </w:p>
    <w:p w14:paraId="5874E3EA" w14:textId="77777777" w:rsidR="001608E9" w:rsidRPr="009E06AA" w:rsidRDefault="001608E9" w:rsidP="001608E9">
      <w:pPr>
        <w:pStyle w:val="BodyText"/>
      </w:pPr>
      <w:r w:rsidRPr="009E06AA">
        <w:t>New Zealand has a relatively small number of industrial processing plants emitting non-energy related greenhouse gases. Carbon dioxide (CO</w:t>
      </w:r>
      <w:r w:rsidRPr="009E06AA">
        <w:rPr>
          <w:vertAlign w:val="subscript"/>
        </w:rPr>
        <w:t>2</w:t>
      </w:r>
      <w:r w:rsidRPr="009E06AA">
        <w:t>), methane (CH</w:t>
      </w:r>
      <w:r w:rsidRPr="009E06AA">
        <w:rPr>
          <w:vertAlign w:val="subscript"/>
        </w:rPr>
        <w:t>4</w:t>
      </w:r>
      <w:r w:rsidRPr="009E06AA">
        <w:t>) and nitrous oxide (N</w:t>
      </w:r>
      <w:r w:rsidRPr="009E06AA">
        <w:rPr>
          <w:vertAlign w:val="subscript"/>
        </w:rPr>
        <w:t>2</w:t>
      </w:r>
      <w:r w:rsidRPr="009E06AA">
        <w:t xml:space="preserve">O) emissions from eight distinct industrial processes in New Zealand are reported under the IPPU sector. These are: </w:t>
      </w:r>
    </w:p>
    <w:p w14:paraId="17586F7D" w14:textId="77777777" w:rsidR="001608E9" w:rsidRPr="009E06AA" w:rsidRDefault="001608E9" w:rsidP="001608E9">
      <w:pPr>
        <w:pStyle w:val="Bullet"/>
      </w:pPr>
      <w:r w:rsidRPr="009E06AA">
        <w:t xml:space="preserve">calcination of limestone in cement production </w:t>
      </w:r>
    </w:p>
    <w:p w14:paraId="36B9BBF8" w14:textId="77777777" w:rsidR="001608E9" w:rsidRPr="009E06AA" w:rsidRDefault="001608E9" w:rsidP="001608E9">
      <w:pPr>
        <w:pStyle w:val="Bullet"/>
      </w:pPr>
      <w:r w:rsidRPr="009E06AA">
        <w:t xml:space="preserve">calcination of limestone in burnt and slaked lime production </w:t>
      </w:r>
    </w:p>
    <w:p w14:paraId="0E6CDD5B" w14:textId="77777777" w:rsidR="001608E9" w:rsidRPr="009E06AA" w:rsidRDefault="001608E9" w:rsidP="001608E9">
      <w:pPr>
        <w:pStyle w:val="Bullet"/>
      </w:pPr>
      <w:r w:rsidRPr="009E06AA">
        <w:t xml:space="preserve">production of ammonia, which is further processed into urea </w:t>
      </w:r>
    </w:p>
    <w:p w14:paraId="0174B1BF" w14:textId="77777777" w:rsidR="001608E9" w:rsidRPr="009E06AA" w:rsidRDefault="001608E9" w:rsidP="001608E9">
      <w:pPr>
        <w:pStyle w:val="Bullet"/>
      </w:pPr>
      <w:r w:rsidRPr="009E06AA">
        <w:t xml:space="preserve">production of methanol </w:t>
      </w:r>
    </w:p>
    <w:p w14:paraId="74D39D03" w14:textId="77777777" w:rsidR="001608E9" w:rsidRPr="009E06AA" w:rsidRDefault="001608E9" w:rsidP="001608E9">
      <w:pPr>
        <w:pStyle w:val="Bullet"/>
      </w:pPr>
      <w:r w:rsidRPr="009E06AA">
        <w:t xml:space="preserve">production of hydrogen in oil refining and for making hydrogen peroxide </w:t>
      </w:r>
    </w:p>
    <w:p w14:paraId="753B77DF" w14:textId="77777777" w:rsidR="001608E9" w:rsidRPr="009E06AA" w:rsidRDefault="001608E9" w:rsidP="001608E9">
      <w:pPr>
        <w:pStyle w:val="Bullet"/>
      </w:pPr>
      <w:r w:rsidRPr="009E06AA">
        <w:t xml:space="preserve">production of steel, from iron sand and from scrap steel </w:t>
      </w:r>
    </w:p>
    <w:p w14:paraId="05728E17" w14:textId="77777777" w:rsidR="001608E9" w:rsidRPr="009E06AA" w:rsidRDefault="001608E9" w:rsidP="001608E9">
      <w:pPr>
        <w:pStyle w:val="Bullet"/>
      </w:pPr>
      <w:r w:rsidRPr="009E06AA">
        <w:t xml:space="preserve">oxidation of anodes in aluminium smelting </w:t>
      </w:r>
    </w:p>
    <w:p w14:paraId="16C1C75F" w14:textId="77777777" w:rsidR="001608E9" w:rsidRPr="009E06AA" w:rsidRDefault="001608E9" w:rsidP="00A57DDA">
      <w:pPr>
        <w:pStyle w:val="Bullet"/>
      </w:pPr>
      <w:r w:rsidRPr="009E06AA">
        <w:t xml:space="preserve">use of soda ash and limestone in glass making. </w:t>
      </w:r>
    </w:p>
    <w:p w14:paraId="230A5823" w14:textId="77777777" w:rsidR="001608E9" w:rsidRPr="009E06AA" w:rsidRDefault="001608E9" w:rsidP="001608E9">
      <w:pPr>
        <w:pStyle w:val="BodyText"/>
      </w:pPr>
      <w:r w:rsidRPr="009E06AA">
        <w:t>Hydrofluorocarbons (HFCs) and perfluorocarbons (PFCs) are used in many products including refrigeration and air conditioning equipment. Some recovered HFCs are exported for destruction. Perfluorocarbons are also emitted as a result of anode effects in aluminium smelting. Sulphur hexafluoride (SF</w:t>
      </w:r>
      <w:r w:rsidRPr="009E06AA">
        <w:rPr>
          <w:vertAlign w:val="subscript"/>
        </w:rPr>
        <w:t>6</w:t>
      </w:r>
      <w:r w:rsidRPr="009E06AA">
        <w:t>) is used in the electricity distribution sector and for small</w:t>
      </w:r>
      <w:r w:rsidRPr="009E06AA">
        <w:noBreakHyphen/>
        <w:t>scale medical and scientific applications. Historically, a very small amount of SF</w:t>
      </w:r>
      <w:r w:rsidRPr="009E06AA">
        <w:rPr>
          <w:vertAlign w:val="subscript"/>
        </w:rPr>
        <w:t>6</w:t>
      </w:r>
      <w:r w:rsidRPr="009E06AA">
        <w:t xml:space="preserve"> has been used for magnesium casting. No fluorinated chemicals are produced in New Zealand; they are all imported. </w:t>
      </w:r>
    </w:p>
    <w:p w14:paraId="5EE3FB46" w14:textId="77777777" w:rsidR="001608E9" w:rsidRPr="009E06AA" w:rsidRDefault="001608E9" w:rsidP="001608E9">
      <w:pPr>
        <w:pStyle w:val="BodyText"/>
      </w:pPr>
      <w:r w:rsidRPr="009E06AA">
        <w:t>Small amounts of CO</w:t>
      </w:r>
      <w:r w:rsidRPr="009E06AA">
        <w:rPr>
          <w:vertAlign w:val="subscript"/>
        </w:rPr>
        <w:t>2</w:t>
      </w:r>
      <w:r w:rsidRPr="009E06AA">
        <w:t xml:space="preserve"> are reported from the use of lubricants and paraffin wax, imported calcium carbide, carbonates in kaolin clay used for ceramics production, and secondary lead production (recycling of lead-acid batteries). No other emission sources for direct greenhouse gases are applicable to New Zealand and no other activity data are available. Some indirect greenhouse gas emissions are reported from fertiliser, formaldehyde and other industries. </w:t>
      </w:r>
    </w:p>
    <w:p w14:paraId="6B2B8DFC" w14:textId="59D6700F" w:rsidR="001608E9" w:rsidRPr="009E06AA" w:rsidRDefault="001608E9" w:rsidP="001608E9">
      <w:pPr>
        <w:pStyle w:val="BodyText"/>
      </w:pPr>
      <w:r w:rsidRPr="009E06AA">
        <w:t xml:space="preserve">New Zealand reports emissions from Tokelau, which is a dependent territory of New Zealand. Due to the application of different methods and the complexity of integrating emissions within the main sectors Tokelau emissions are reported for all activities under the ‘Other’ sector of the </w:t>
      </w:r>
      <w:r w:rsidR="00753230">
        <w:t>I</w:t>
      </w:r>
      <w:r w:rsidRPr="009E06AA">
        <w:t>nventory. Therefore, all emissions reported in this sector exclude Tokelau. Please refer to chapter 8 and annex 7 for details of methods applied and the emissions for Tokelau.</w:t>
      </w:r>
    </w:p>
    <w:p w14:paraId="00F2E96C" w14:textId="77777777" w:rsidR="001608E9" w:rsidRPr="009E06AA" w:rsidRDefault="001608E9" w:rsidP="001608E9">
      <w:pPr>
        <w:pStyle w:val="Heading3"/>
      </w:pPr>
      <w:bookmarkStart w:id="469" w:name="_Toc158647322"/>
      <w:r w:rsidRPr="009E06AA">
        <w:t xml:space="preserve">4.1.2 </w:t>
      </w:r>
      <w:r w:rsidRPr="009E06AA">
        <w:tab/>
        <w:t>Emissions summary</w:t>
      </w:r>
      <w:bookmarkEnd w:id="469"/>
    </w:p>
    <w:p w14:paraId="01F184DE" w14:textId="77777777" w:rsidR="001608E9" w:rsidRPr="009E06AA" w:rsidRDefault="001608E9" w:rsidP="001608E9">
      <w:pPr>
        <w:pStyle w:val="BodyText"/>
        <w:spacing w:before="80" w:after="100"/>
      </w:pPr>
      <w:r w:rsidRPr="009E06AA">
        <w:t>The IPPU sector in New Zealand produces CO</w:t>
      </w:r>
      <w:r w:rsidRPr="009E06AA">
        <w:rPr>
          <w:vertAlign w:val="subscript"/>
        </w:rPr>
        <w:t>2</w:t>
      </w:r>
      <w:r w:rsidRPr="009E06AA">
        <w:t xml:space="preserve"> emissions (61.0 per cent of total IPPU sector emissions), fluorinated gases (35.1 per cent) and smaller amounts of CH</w:t>
      </w:r>
      <w:r w:rsidRPr="009E06AA">
        <w:rPr>
          <w:vertAlign w:val="subscript"/>
        </w:rPr>
        <w:t>4</w:t>
      </w:r>
      <w:r w:rsidRPr="009E06AA">
        <w:t xml:space="preserve"> and N</w:t>
      </w:r>
      <w:r w:rsidRPr="009E06AA">
        <w:rPr>
          <w:vertAlign w:val="subscript"/>
        </w:rPr>
        <w:t>2</w:t>
      </w:r>
      <w:r w:rsidRPr="009E06AA">
        <w:t xml:space="preserve">O. The major categories in the IPPU sector are </w:t>
      </w:r>
      <w:r w:rsidRPr="009E06AA">
        <w:rPr>
          <w:i/>
          <w:iCs/>
        </w:rPr>
        <w:t>Iron and steel production</w:t>
      </w:r>
      <w:r w:rsidRPr="009E06AA">
        <w:t xml:space="preserve">, </w:t>
      </w:r>
      <w:r w:rsidRPr="009E06AA">
        <w:rPr>
          <w:i/>
          <w:iCs/>
        </w:rPr>
        <w:t>Refrigeration and air conditioning</w:t>
      </w:r>
      <w:r w:rsidRPr="009E06AA">
        <w:t xml:space="preserve">, </w:t>
      </w:r>
      <w:r w:rsidRPr="009E06AA">
        <w:rPr>
          <w:i/>
          <w:iCs/>
        </w:rPr>
        <w:t>Aluminium production</w:t>
      </w:r>
      <w:r w:rsidRPr="009E06AA">
        <w:t xml:space="preserve"> and </w:t>
      </w:r>
      <w:r w:rsidRPr="009E06AA">
        <w:rPr>
          <w:i/>
          <w:iCs/>
        </w:rPr>
        <w:t>Cement production</w:t>
      </w:r>
      <w:r w:rsidRPr="009E06AA">
        <w:t>. Coal and natural gas are also used on a significant scale for energy in the </w:t>
      </w:r>
      <w:r w:rsidRPr="009E06AA">
        <w:rPr>
          <w:i/>
          <w:iCs/>
        </w:rPr>
        <w:t>Mineral industry</w:t>
      </w:r>
      <w:r w:rsidRPr="009E06AA">
        <w:t xml:space="preserve">, </w:t>
      </w:r>
      <w:r w:rsidRPr="009E06AA">
        <w:rPr>
          <w:i/>
          <w:iCs/>
        </w:rPr>
        <w:t>Chemical industry</w:t>
      </w:r>
      <w:r w:rsidRPr="009E06AA">
        <w:t xml:space="preserve"> and </w:t>
      </w:r>
      <w:r w:rsidRPr="009E06AA">
        <w:rPr>
          <w:i/>
          <w:iCs/>
        </w:rPr>
        <w:t>Metal industry</w:t>
      </w:r>
      <w:r w:rsidRPr="009E06AA">
        <w:t xml:space="preserve"> categories. Carbon dioxide and any other emissions from combustion of fuels in these industries are reported under the Energy sector. </w:t>
      </w:r>
    </w:p>
    <w:p w14:paraId="2982E7B5" w14:textId="77777777" w:rsidR="001608E9" w:rsidRPr="009E06AA" w:rsidRDefault="001608E9" w:rsidP="001608E9">
      <w:pPr>
        <w:pStyle w:val="Heading4"/>
        <w:spacing w:before="200"/>
      </w:pPr>
      <w:r w:rsidRPr="009E06AA">
        <w:t>2022</w:t>
      </w:r>
    </w:p>
    <w:p w14:paraId="1DFFCC6E" w14:textId="77777777" w:rsidR="001608E9" w:rsidRPr="009E06AA" w:rsidRDefault="001608E9" w:rsidP="001608E9">
      <w:pPr>
        <w:pStyle w:val="BodyText"/>
        <w:spacing w:before="80" w:after="100"/>
      </w:pPr>
      <w:r w:rsidRPr="009E06AA">
        <w:t>In 2022, emissions in the IPPU sector contributed 4,469.2 kilotonnes carbon dioxide equivalent (kt CO</w:t>
      </w:r>
      <w:r w:rsidRPr="009E06AA">
        <w:rPr>
          <w:vertAlign w:val="subscript"/>
        </w:rPr>
        <w:t>2</w:t>
      </w:r>
      <w:r w:rsidRPr="009E06AA">
        <w:t xml:space="preserve">-e), or 5.7 per cent, of New Zealand’s gross greenhouse gas emissions. </w:t>
      </w:r>
    </w:p>
    <w:p w14:paraId="79524F98" w14:textId="77777777" w:rsidR="001608E9" w:rsidRPr="009E06AA" w:rsidRDefault="001608E9" w:rsidP="001608E9">
      <w:pPr>
        <w:pStyle w:val="BodyText"/>
        <w:spacing w:before="80" w:after="100"/>
      </w:pPr>
      <w:r w:rsidRPr="009E06AA">
        <w:t xml:space="preserve">The largest category is the </w:t>
      </w:r>
      <w:r w:rsidRPr="009E06AA">
        <w:rPr>
          <w:i/>
        </w:rPr>
        <w:t>Metal industry</w:t>
      </w:r>
      <w:r w:rsidRPr="009E06AA">
        <w:t xml:space="preserve"> category, with substantial CO</w:t>
      </w:r>
      <w:r w:rsidRPr="009E06AA">
        <w:rPr>
          <w:vertAlign w:val="subscript"/>
        </w:rPr>
        <w:t>2</w:t>
      </w:r>
      <w:r w:rsidRPr="009E06AA">
        <w:t xml:space="preserve"> emissions from the </w:t>
      </w:r>
      <w:r w:rsidRPr="009E06AA">
        <w:rPr>
          <w:i/>
        </w:rPr>
        <w:t>Iron and steel production</w:t>
      </w:r>
      <w:r w:rsidRPr="009E06AA">
        <w:t xml:space="preserve"> and </w:t>
      </w:r>
      <w:r w:rsidRPr="009E06AA">
        <w:rPr>
          <w:i/>
        </w:rPr>
        <w:t>Aluminium production</w:t>
      </w:r>
      <w:r w:rsidRPr="009E06AA">
        <w:t xml:space="preserve"> categories, as well as PFCs from the </w:t>
      </w:r>
      <w:r w:rsidRPr="009E06AA">
        <w:rPr>
          <w:i/>
        </w:rPr>
        <w:t>Aluminium production</w:t>
      </w:r>
      <w:r w:rsidRPr="009E06AA">
        <w:t xml:space="preserve"> category in earlier years. The </w:t>
      </w:r>
      <w:r w:rsidRPr="009E06AA">
        <w:rPr>
          <w:i/>
        </w:rPr>
        <w:t xml:space="preserve">Mineral industry </w:t>
      </w:r>
      <w:r w:rsidRPr="009E06AA">
        <w:t xml:space="preserve">and </w:t>
      </w:r>
      <w:r w:rsidRPr="009E06AA">
        <w:rPr>
          <w:i/>
        </w:rPr>
        <w:t>Chemical industry</w:t>
      </w:r>
      <w:r w:rsidRPr="009E06AA">
        <w:t xml:space="preserve"> categories also contribute significant CO</w:t>
      </w:r>
      <w:r w:rsidRPr="009E06AA">
        <w:rPr>
          <w:vertAlign w:val="subscript"/>
        </w:rPr>
        <w:t>2</w:t>
      </w:r>
      <w:r w:rsidRPr="009E06AA">
        <w:t xml:space="preserve"> emissions, and most of the non-CO</w:t>
      </w:r>
      <w:r w:rsidRPr="009E06AA">
        <w:rPr>
          <w:vertAlign w:val="subscript"/>
        </w:rPr>
        <w:t>2</w:t>
      </w:r>
      <w:r w:rsidRPr="009E06AA">
        <w:t xml:space="preserve"> emissions come from the </w:t>
      </w:r>
      <w:r w:rsidRPr="009E06AA">
        <w:rPr>
          <w:i/>
        </w:rPr>
        <w:t>Product uses as substitutes for ozone depleting substances (ODS)</w:t>
      </w:r>
      <w:r w:rsidRPr="009E06AA">
        <w:t xml:space="preserve"> category. </w:t>
      </w:r>
    </w:p>
    <w:p w14:paraId="65C4622E" w14:textId="77777777" w:rsidR="001608E9" w:rsidRPr="009E06AA" w:rsidRDefault="001608E9" w:rsidP="001608E9">
      <w:pPr>
        <w:pStyle w:val="BodyText"/>
        <w:spacing w:before="80" w:after="100"/>
      </w:pPr>
      <w:r w:rsidRPr="009E06AA">
        <w:t>The IPPU sector also produces smaller amounts of CH</w:t>
      </w:r>
      <w:r w:rsidRPr="009E06AA">
        <w:rPr>
          <w:vertAlign w:val="subscript"/>
        </w:rPr>
        <w:t>4</w:t>
      </w:r>
      <w:r w:rsidRPr="009E06AA">
        <w:t xml:space="preserve"> from methanol production and N</w:t>
      </w:r>
      <w:r w:rsidRPr="009E06AA">
        <w:rPr>
          <w:vertAlign w:val="subscript"/>
        </w:rPr>
        <w:t>2</w:t>
      </w:r>
      <w:r w:rsidRPr="009E06AA">
        <w:t xml:space="preserve">O used for medical applications in the </w:t>
      </w:r>
      <w:r w:rsidRPr="009E06AA">
        <w:rPr>
          <w:i/>
        </w:rPr>
        <w:t>Other product manufacture and use</w:t>
      </w:r>
      <w:r w:rsidRPr="009E06AA">
        <w:t xml:space="preserve"> category.</w:t>
      </w:r>
    </w:p>
    <w:p w14:paraId="39F76CC8" w14:textId="77777777" w:rsidR="001608E9" w:rsidRPr="009E06AA" w:rsidRDefault="001608E9" w:rsidP="001608E9">
      <w:pPr>
        <w:pStyle w:val="BodyText"/>
        <w:spacing w:before="80" w:after="100"/>
      </w:pPr>
      <w:r w:rsidRPr="009E06AA">
        <w:t xml:space="preserve">Coal and natural gas are also used on a significant scale for energy in these industries, and related emissions are reported under the Energy sector in the category </w:t>
      </w:r>
      <w:r w:rsidRPr="009E06AA">
        <w:rPr>
          <w:i/>
        </w:rPr>
        <w:t>Manufacturing industries and construction</w:t>
      </w:r>
      <w:r w:rsidRPr="009E06AA">
        <w:t>.</w:t>
      </w:r>
    </w:p>
    <w:p w14:paraId="641507FA" w14:textId="77777777" w:rsidR="001608E9" w:rsidRPr="009E06AA" w:rsidRDefault="001608E9" w:rsidP="001608E9">
      <w:pPr>
        <w:pStyle w:val="BodyText"/>
        <w:spacing w:before="80" w:after="100"/>
      </w:pPr>
      <w:r w:rsidRPr="009E06AA">
        <w:t>The emissions by category are shown in table 4.1.1.</w:t>
      </w:r>
    </w:p>
    <w:p w14:paraId="15DFDB10" w14:textId="77777777" w:rsidR="001608E9" w:rsidRPr="009E06AA" w:rsidRDefault="001608E9" w:rsidP="001608E9">
      <w:pPr>
        <w:pStyle w:val="Heading4"/>
        <w:spacing w:before="200"/>
      </w:pPr>
      <w:r w:rsidRPr="009E06AA">
        <w:t>1990–2022</w:t>
      </w:r>
    </w:p>
    <w:p w14:paraId="47E3B51A" w14:textId="77777777" w:rsidR="001608E9" w:rsidRPr="009E06AA" w:rsidRDefault="001608E9" w:rsidP="001608E9">
      <w:pPr>
        <w:pStyle w:val="BodyText"/>
        <w:spacing w:before="80" w:after="100"/>
      </w:pPr>
      <w:r w:rsidRPr="009E06AA">
        <w:t>Emissions from the IPPU sector in 2022 were 990.9 kt CO</w:t>
      </w:r>
      <w:r w:rsidRPr="009E06AA">
        <w:rPr>
          <w:vertAlign w:val="subscript"/>
        </w:rPr>
        <w:t>2</w:t>
      </w:r>
      <w:r w:rsidRPr="009E06AA">
        <w:t>-e (28.5 per cent) higher than emissions in 1990 (3,478.2 kt CO</w:t>
      </w:r>
      <w:r w:rsidRPr="009E06AA">
        <w:rPr>
          <w:vertAlign w:val="subscript"/>
        </w:rPr>
        <w:t>2</w:t>
      </w:r>
      <w:r w:rsidRPr="009E06AA">
        <w:t xml:space="preserve">-e). This increase was mainly driven by increasing emissions from the </w:t>
      </w:r>
      <w:r w:rsidRPr="009E06AA">
        <w:rPr>
          <w:i/>
        </w:rPr>
        <w:t xml:space="preserve">Product uses as substitutes for ODS </w:t>
      </w:r>
      <w:r w:rsidRPr="009E06AA">
        <w:t xml:space="preserve">category, due to the introduction of HFCs to replace ODS in refrigeration and air conditioning and the increased use of household and commercial air conditioning. </w:t>
      </w:r>
    </w:p>
    <w:p w14:paraId="05A77A72" w14:textId="77777777" w:rsidR="001608E9" w:rsidRPr="009E06AA" w:rsidRDefault="001608E9" w:rsidP="001608E9">
      <w:pPr>
        <w:pStyle w:val="BodyText"/>
        <w:spacing w:before="80" w:after="100"/>
      </w:pPr>
      <w:r w:rsidRPr="009E06AA">
        <w:t xml:space="preserve">Carbon dioxide emissions have also increased due to increased production of aluminium and lime, but at a slower rate. Between 2020 and 2022 the increase was offset by reduced emissions due to COVID-19 pandemic restrictions and the progressive shutdown of the Marsden Point Oil Refinery. There has been a substantial reduction in emissions of PFCs due to improved management of anode effects in the </w:t>
      </w:r>
      <w:r w:rsidRPr="009E06AA">
        <w:rPr>
          <w:i/>
        </w:rPr>
        <w:t>Aluminium production</w:t>
      </w:r>
      <w:r w:rsidRPr="009E06AA">
        <w:t xml:space="preserve"> category and some reduction in emissions of N</w:t>
      </w:r>
      <w:r w:rsidRPr="009E06AA">
        <w:rPr>
          <w:vertAlign w:val="subscript"/>
        </w:rPr>
        <w:t>2</w:t>
      </w:r>
      <w:r w:rsidRPr="009E06AA">
        <w:t xml:space="preserve">O used for medical applications in the </w:t>
      </w:r>
      <w:r w:rsidRPr="009E06AA">
        <w:rPr>
          <w:i/>
        </w:rPr>
        <w:t>Other product manufacture and use</w:t>
      </w:r>
      <w:r w:rsidRPr="009E06AA">
        <w:t xml:space="preserve"> category. The trends are shown in figure 4.1.1 and figure 4.1.2. </w:t>
      </w:r>
    </w:p>
    <w:p w14:paraId="05110C48" w14:textId="77777777" w:rsidR="001608E9" w:rsidRPr="009E06AA" w:rsidRDefault="001608E9" w:rsidP="001608E9">
      <w:pPr>
        <w:pStyle w:val="Heading4"/>
        <w:spacing w:before="200"/>
      </w:pPr>
      <w:r w:rsidRPr="009E06AA">
        <w:t>2021–2022</w:t>
      </w:r>
    </w:p>
    <w:p w14:paraId="7A10E7B7" w14:textId="77777777" w:rsidR="001608E9" w:rsidRPr="009E06AA" w:rsidRDefault="001608E9" w:rsidP="001608E9">
      <w:pPr>
        <w:pStyle w:val="BodyText"/>
        <w:spacing w:before="80" w:after="100"/>
      </w:pPr>
      <w:r w:rsidRPr="009E06AA">
        <w:t>Between 2021 and 2022 emissions from the IPPU sector decreased by 239.2 kt CO</w:t>
      </w:r>
      <w:r w:rsidRPr="009E06AA">
        <w:rPr>
          <w:vertAlign w:val="subscript"/>
        </w:rPr>
        <w:t>2</w:t>
      </w:r>
      <w:r w:rsidRPr="009E06AA">
        <w:t xml:space="preserve">-e (5.1 per cent). </w:t>
      </w:r>
    </w:p>
    <w:p w14:paraId="75965535" w14:textId="77777777" w:rsidR="001608E9" w:rsidRPr="009E06AA" w:rsidRDefault="001608E9" w:rsidP="001608E9">
      <w:pPr>
        <w:pStyle w:val="BodyText"/>
        <w:spacing w:before="100" w:after="100"/>
      </w:pPr>
      <w:r w:rsidRPr="009E06AA">
        <w:t xml:space="preserve">This change was mainly the result of a decreased level of steel production </w:t>
      </w:r>
      <w:r w:rsidRPr="009E06AA" w:rsidDel="0053467C">
        <w:t xml:space="preserve">in </w:t>
      </w:r>
      <w:r w:rsidRPr="009E06AA">
        <w:t xml:space="preserve">the </w:t>
      </w:r>
      <w:r w:rsidRPr="009E06AA">
        <w:rPr>
          <w:i/>
          <w:spacing w:val="-2"/>
        </w:rPr>
        <w:t>Metal industry</w:t>
      </w:r>
      <w:r w:rsidRPr="009E06AA">
        <w:rPr>
          <w:spacing w:val="-2"/>
        </w:rPr>
        <w:t>, decreased estimated emissions</w:t>
      </w:r>
      <w:r w:rsidRPr="009E06AA" w:rsidDel="0053467C">
        <w:rPr>
          <w:spacing w:val="-2"/>
        </w:rPr>
        <w:t xml:space="preserve"> </w:t>
      </w:r>
      <w:r w:rsidRPr="009E06AA">
        <w:rPr>
          <w:spacing w:val="-2"/>
        </w:rPr>
        <w:t xml:space="preserve">from the </w:t>
      </w:r>
      <w:r w:rsidRPr="009E06AA">
        <w:rPr>
          <w:i/>
          <w:spacing w:val="-2"/>
        </w:rPr>
        <w:t>Refrigeration and air conditioning</w:t>
      </w:r>
      <w:r w:rsidRPr="009E06AA">
        <w:rPr>
          <w:spacing w:val="-2"/>
        </w:rPr>
        <w:t xml:space="preserve"> category, and further decreased emissions in the </w:t>
      </w:r>
      <w:r w:rsidRPr="009E06AA">
        <w:rPr>
          <w:i/>
          <w:iCs/>
          <w:spacing w:val="-2"/>
        </w:rPr>
        <w:t>Chemical industry</w:t>
      </w:r>
      <w:r w:rsidRPr="009E06AA">
        <w:t xml:space="preserve"> due to the ceasing of hydrogen production from the Marsden Point Oil Refinery when the company shut the plant down in March 2022. </w:t>
      </w:r>
    </w:p>
    <w:p w14:paraId="234FCAAA" w14:textId="77777777" w:rsidR="001608E9" w:rsidRPr="009E06AA" w:rsidRDefault="001608E9" w:rsidP="001608E9">
      <w:pPr>
        <w:pStyle w:val="Table"/>
      </w:pPr>
      <w:bookmarkStart w:id="470" w:name="_Toc414531402"/>
      <w:bookmarkStart w:id="471" w:name="_Toc451176065"/>
      <w:bookmarkStart w:id="472" w:name="_Toc5269455"/>
      <w:bookmarkStart w:id="473" w:name="_Toc36224528"/>
      <w:bookmarkStart w:id="474" w:name="_Toc68786415"/>
      <w:bookmarkStart w:id="475" w:name="_Toc128042748"/>
      <w:bookmarkStart w:id="476" w:name="_Toc131591328"/>
      <w:bookmarkStart w:id="477" w:name="_Toc158647416"/>
      <w:bookmarkStart w:id="478" w:name="_Toc164153814"/>
      <w:r w:rsidRPr="009E06AA">
        <w:t xml:space="preserve">Table 4.1.1 </w:t>
      </w:r>
      <w:r w:rsidRPr="009E06AA">
        <w:tab/>
        <w:t>New Zealand’s greenhouse gas emissions for the IPPU sector by category</w:t>
      </w:r>
      <w:bookmarkEnd w:id="470"/>
      <w:r w:rsidRPr="009E06AA">
        <w:t xml:space="preserve"> in 1990 and </w:t>
      </w:r>
      <w:bookmarkEnd w:id="471"/>
      <w:bookmarkEnd w:id="472"/>
      <w:bookmarkEnd w:id="473"/>
      <w:bookmarkEnd w:id="474"/>
      <w:bookmarkEnd w:id="475"/>
      <w:r w:rsidRPr="009E06AA">
        <w:t>202</w:t>
      </w:r>
      <w:bookmarkEnd w:id="476"/>
      <w:r w:rsidRPr="009E06AA">
        <w:t>2</w:t>
      </w:r>
      <w:bookmarkEnd w:id="477"/>
      <w:bookmarkEnd w:id="478"/>
    </w:p>
    <w:tbl>
      <w:tblPr>
        <w:tblW w:w="8398" w:type="dxa"/>
        <w:tblBorders>
          <w:top w:val="single" w:sz="4" w:space="0" w:color="1B556B"/>
          <w:bottom w:val="single" w:sz="4" w:space="0" w:color="1B556B"/>
          <w:insideH w:val="single" w:sz="4" w:space="0" w:color="1B556B"/>
        </w:tblBorders>
        <w:tblLayout w:type="fixed"/>
        <w:tblLook w:val="04A0" w:firstRow="1" w:lastRow="0" w:firstColumn="1" w:lastColumn="0" w:noHBand="0" w:noVBand="1"/>
      </w:tblPr>
      <w:tblGrid>
        <w:gridCol w:w="3120"/>
        <w:gridCol w:w="852"/>
        <w:gridCol w:w="853"/>
        <w:gridCol w:w="994"/>
        <w:gridCol w:w="1135"/>
        <w:gridCol w:w="710"/>
        <w:gridCol w:w="734"/>
      </w:tblGrid>
      <w:tr w:rsidR="001608E9" w:rsidRPr="009E06AA" w14:paraId="42A82247" w14:textId="77777777" w:rsidTr="00B55F24">
        <w:trPr>
          <w:trHeight w:val="430"/>
        </w:trPr>
        <w:tc>
          <w:tcPr>
            <w:tcW w:w="1857" w:type="pct"/>
            <w:shd w:val="clear" w:color="auto" w:fill="1B556B"/>
            <w:vAlign w:val="bottom"/>
          </w:tcPr>
          <w:p w14:paraId="471EB1B3" w14:textId="77777777" w:rsidR="001608E9" w:rsidRPr="009E06AA" w:rsidRDefault="001608E9" w:rsidP="00B55F24">
            <w:pPr>
              <w:pStyle w:val="TableTextBold"/>
              <w:spacing w:after="0"/>
              <w:jc w:val="center"/>
              <w:rPr>
                <w:noProof w:val="0"/>
                <w:color w:val="FFFFFF"/>
              </w:rPr>
            </w:pPr>
          </w:p>
        </w:tc>
        <w:tc>
          <w:tcPr>
            <w:tcW w:w="1015" w:type="pct"/>
            <w:gridSpan w:val="2"/>
            <w:shd w:val="clear" w:color="auto" w:fill="1B556B"/>
            <w:vAlign w:val="bottom"/>
            <w:hideMark/>
          </w:tcPr>
          <w:p w14:paraId="7F9406FA" w14:textId="77777777" w:rsidR="001608E9" w:rsidRPr="009E06AA" w:rsidRDefault="001608E9" w:rsidP="002256B1">
            <w:pPr>
              <w:pStyle w:val="TableTextBold"/>
              <w:spacing w:after="0"/>
              <w:jc w:val="center"/>
              <w:rPr>
                <w:noProof w:val="0"/>
                <w:color w:val="FFFFFF"/>
              </w:rPr>
            </w:pPr>
            <w:r w:rsidRPr="009E06AA">
              <w:rPr>
                <w:noProof w:val="0"/>
                <w:color w:val="FFFFFF"/>
              </w:rPr>
              <w:t xml:space="preserve">Emissions </w:t>
            </w:r>
            <w:r w:rsidRPr="009E06AA">
              <w:rPr>
                <w:noProof w:val="0"/>
                <w:color w:val="FFFFFF"/>
              </w:rPr>
              <w:br/>
              <w:t>(kt CO</w:t>
            </w:r>
            <w:r w:rsidRPr="009E06AA">
              <w:rPr>
                <w:noProof w:val="0"/>
                <w:color w:val="FFFFFF"/>
                <w:vertAlign w:val="subscript"/>
              </w:rPr>
              <w:t>2</w:t>
            </w:r>
            <w:r w:rsidRPr="009E06AA">
              <w:rPr>
                <w:noProof w:val="0"/>
                <w:color w:val="FFFFFF"/>
              </w:rPr>
              <w:t>-e)</w:t>
            </w:r>
          </w:p>
        </w:tc>
        <w:tc>
          <w:tcPr>
            <w:tcW w:w="592" w:type="pct"/>
            <w:shd w:val="clear" w:color="auto" w:fill="1B556B"/>
            <w:vAlign w:val="bottom"/>
            <w:hideMark/>
          </w:tcPr>
          <w:p w14:paraId="6CDC94B0" w14:textId="77777777" w:rsidR="001608E9" w:rsidRPr="009E06AA" w:rsidRDefault="001608E9" w:rsidP="002256B1">
            <w:pPr>
              <w:pStyle w:val="TableTextBold"/>
              <w:spacing w:after="0"/>
              <w:jc w:val="center"/>
              <w:rPr>
                <w:noProof w:val="0"/>
                <w:color w:val="FFFFFF"/>
              </w:rPr>
            </w:pPr>
            <w:r w:rsidRPr="009E06AA">
              <w:rPr>
                <w:noProof w:val="0"/>
                <w:color w:val="FFFFFF"/>
              </w:rPr>
              <w:t>Difference (kt CO</w:t>
            </w:r>
            <w:r w:rsidRPr="009E06AA">
              <w:rPr>
                <w:noProof w:val="0"/>
                <w:color w:val="FFFFFF"/>
                <w:vertAlign w:val="subscript"/>
              </w:rPr>
              <w:t>2</w:t>
            </w:r>
            <w:r w:rsidRPr="009E06AA">
              <w:rPr>
                <w:noProof w:val="0"/>
                <w:color w:val="FFFFFF"/>
              </w:rPr>
              <w:noBreakHyphen/>
              <w:t>e)</w:t>
            </w:r>
          </w:p>
        </w:tc>
        <w:tc>
          <w:tcPr>
            <w:tcW w:w="676" w:type="pct"/>
            <w:shd w:val="clear" w:color="auto" w:fill="1B556B"/>
            <w:vAlign w:val="bottom"/>
            <w:hideMark/>
          </w:tcPr>
          <w:p w14:paraId="6541051E" w14:textId="77777777" w:rsidR="001608E9" w:rsidRPr="009E06AA" w:rsidRDefault="001608E9" w:rsidP="002256B1">
            <w:pPr>
              <w:pStyle w:val="TableTextBold"/>
              <w:spacing w:after="0"/>
              <w:jc w:val="right"/>
              <w:rPr>
                <w:noProof w:val="0"/>
                <w:color w:val="FFFFFF"/>
              </w:rPr>
            </w:pPr>
            <w:r w:rsidRPr="009E06AA">
              <w:rPr>
                <w:noProof w:val="0"/>
                <w:color w:val="FFFFFF"/>
              </w:rPr>
              <w:t>Change (%)</w:t>
            </w:r>
          </w:p>
        </w:tc>
        <w:tc>
          <w:tcPr>
            <w:tcW w:w="861" w:type="pct"/>
            <w:gridSpan w:val="2"/>
            <w:shd w:val="clear" w:color="auto" w:fill="1B556B"/>
            <w:vAlign w:val="bottom"/>
            <w:hideMark/>
          </w:tcPr>
          <w:p w14:paraId="0A6E405F" w14:textId="77777777" w:rsidR="001608E9" w:rsidRPr="009E06AA" w:rsidRDefault="001608E9" w:rsidP="002256B1">
            <w:pPr>
              <w:pStyle w:val="TableTextBold"/>
              <w:spacing w:after="0"/>
              <w:jc w:val="center"/>
              <w:rPr>
                <w:noProof w:val="0"/>
                <w:color w:val="FFFFFF"/>
              </w:rPr>
            </w:pPr>
            <w:r w:rsidRPr="009E06AA">
              <w:rPr>
                <w:noProof w:val="0"/>
                <w:color w:val="FFFFFF"/>
              </w:rPr>
              <w:t>Share (%)</w:t>
            </w:r>
          </w:p>
        </w:tc>
      </w:tr>
      <w:tr w:rsidR="001608E9" w:rsidRPr="009E06AA" w14:paraId="29DB2589" w14:textId="77777777" w:rsidTr="00B55F24">
        <w:trPr>
          <w:trHeight w:val="287"/>
        </w:trPr>
        <w:tc>
          <w:tcPr>
            <w:tcW w:w="1857" w:type="pct"/>
            <w:shd w:val="clear" w:color="auto" w:fill="1B556B"/>
            <w:vAlign w:val="bottom"/>
            <w:hideMark/>
          </w:tcPr>
          <w:p w14:paraId="4737C640" w14:textId="77777777" w:rsidR="001608E9" w:rsidRPr="009E06AA" w:rsidRDefault="001608E9" w:rsidP="00B55F24">
            <w:pPr>
              <w:pStyle w:val="TableTextBold"/>
              <w:rPr>
                <w:noProof w:val="0"/>
                <w:color w:val="FFFFFF"/>
              </w:rPr>
            </w:pPr>
            <w:r w:rsidRPr="009E06AA">
              <w:rPr>
                <w:noProof w:val="0"/>
                <w:color w:val="FFFFFF"/>
              </w:rPr>
              <w:t>Source category</w:t>
            </w:r>
          </w:p>
        </w:tc>
        <w:tc>
          <w:tcPr>
            <w:tcW w:w="507" w:type="pct"/>
            <w:shd w:val="clear" w:color="auto" w:fill="1B556B"/>
            <w:vAlign w:val="bottom"/>
            <w:hideMark/>
          </w:tcPr>
          <w:p w14:paraId="41BD5187" w14:textId="77777777" w:rsidR="001608E9" w:rsidRPr="009E06AA" w:rsidRDefault="001608E9" w:rsidP="002256B1">
            <w:pPr>
              <w:pStyle w:val="TableTextBold"/>
              <w:jc w:val="right"/>
              <w:rPr>
                <w:noProof w:val="0"/>
                <w:color w:val="FFFFFF"/>
              </w:rPr>
            </w:pPr>
            <w:r w:rsidRPr="009E06AA">
              <w:rPr>
                <w:noProof w:val="0"/>
                <w:color w:val="FFFFFF"/>
              </w:rPr>
              <w:t>1990</w:t>
            </w:r>
          </w:p>
        </w:tc>
        <w:tc>
          <w:tcPr>
            <w:tcW w:w="508" w:type="pct"/>
            <w:shd w:val="clear" w:color="auto" w:fill="1B556B"/>
            <w:vAlign w:val="bottom"/>
            <w:hideMark/>
          </w:tcPr>
          <w:p w14:paraId="16ED7E70" w14:textId="77777777" w:rsidR="001608E9" w:rsidRPr="009E06AA" w:rsidRDefault="001608E9" w:rsidP="002256B1">
            <w:pPr>
              <w:pStyle w:val="TableTextBold"/>
              <w:jc w:val="right"/>
              <w:rPr>
                <w:noProof w:val="0"/>
                <w:color w:val="FFFFFF"/>
              </w:rPr>
            </w:pPr>
            <w:r w:rsidRPr="009E06AA">
              <w:rPr>
                <w:noProof w:val="0"/>
                <w:color w:val="FFFFFF"/>
              </w:rPr>
              <w:t>2022</w:t>
            </w:r>
          </w:p>
        </w:tc>
        <w:tc>
          <w:tcPr>
            <w:tcW w:w="592" w:type="pct"/>
            <w:shd w:val="clear" w:color="auto" w:fill="1B556B"/>
            <w:vAlign w:val="bottom"/>
            <w:hideMark/>
          </w:tcPr>
          <w:p w14:paraId="301852B9" w14:textId="77777777" w:rsidR="001608E9" w:rsidRPr="009E06AA" w:rsidRDefault="001608E9" w:rsidP="002256B1">
            <w:pPr>
              <w:pStyle w:val="TableTextBold"/>
              <w:jc w:val="right"/>
              <w:rPr>
                <w:noProof w:val="0"/>
                <w:color w:val="FFFFFF"/>
              </w:rPr>
            </w:pPr>
            <w:r w:rsidRPr="009E06AA">
              <w:rPr>
                <w:noProof w:val="0"/>
                <w:color w:val="FFFFFF"/>
              </w:rPr>
              <w:t>1990–2022</w:t>
            </w:r>
          </w:p>
        </w:tc>
        <w:tc>
          <w:tcPr>
            <w:tcW w:w="676" w:type="pct"/>
            <w:shd w:val="clear" w:color="auto" w:fill="1B556B"/>
            <w:vAlign w:val="bottom"/>
            <w:hideMark/>
          </w:tcPr>
          <w:p w14:paraId="302A5A5A" w14:textId="77777777" w:rsidR="001608E9" w:rsidRPr="009E06AA" w:rsidRDefault="001608E9" w:rsidP="002256B1">
            <w:pPr>
              <w:pStyle w:val="TableTextBold"/>
              <w:jc w:val="right"/>
              <w:rPr>
                <w:noProof w:val="0"/>
                <w:color w:val="FFFFFF"/>
              </w:rPr>
            </w:pPr>
            <w:r w:rsidRPr="009E06AA">
              <w:rPr>
                <w:noProof w:val="0"/>
                <w:color w:val="FFFFFF"/>
              </w:rPr>
              <w:t>1990–2022</w:t>
            </w:r>
          </w:p>
        </w:tc>
        <w:tc>
          <w:tcPr>
            <w:tcW w:w="423" w:type="pct"/>
            <w:shd w:val="clear" w:color="auto" w:fill="1B556B"/>
            <w:vAlign w:val="bottom"/>
            <w:hideMark/>
          </w:tcPr>
          <w:p w14:paraId="63D8EBAF" w14:textId="77777777" w:rsidR="001608E9" w:rsidRPr="009E06AA" w:rsidRDefault="001608E9" w:rsidP="002256B1">
            <w:pPr>
              <w:pStyle w:val="TableTextBold"/>
              <w:jc w:val="right"/>
              <w:rPr>
                <w:noProof w:val="0"/>
                <w:color w:val="FFFFFF"/>
              </w:rPr>
            </w:pPr>
            <w:r w:rsidRPr="009E06AA">
              <w:rPr>
                <w:noProof w:val="0"/>
                <w:color w:val="FFFFFF"/>
              </w:rPr>
              <w:t>1990</w:t>
            </w:r>
          </w:p>
        </w:tc>
        <w:tc>
          <w:tcPr>
            <w:tcW w:w="438" w:type="pct"/>
            <w:shd w:val="clear" w:color="auto" w:fill="1B556B"/>
            <w:vAlign w:val="bottom"/>
            <w:hideMark/>
          </w:tcPr>
          <w:p w14:paraId="13D6933C" w14:textId="77777777" w:rsidR="001608E9" w:rsidRPr="009E06AA" w:rsidRDefault="001608E9" w:rsidP="002256B1">
            <w:pPr>
              <w:pStyle w:val="TableTextBold"/>
              <w:jc w:val="right"/>
              <w:rPr>
                <w:noProof w:val="0"/>
                <w:color w:val="FFFFFF"/>
              </w:rPr>
            </w:pPr>
            <w:r w:rsidRPr="009E06AA">
              <w:rPr>
                <w:noProof w:val="0"/>
                <w:color w:val="FFFFFF"/>
              </w:rPr>
              <w:t>2022</w:t>
            </w:r>
          </w:p>
        </w:tc>
      </w:tr>
      <w:tr w:rsidR="001608E9" w:rsidRPr="009E06AA" w14:paraId="5FE0FAA9" w14:textId="77777777" w:rsidTr="00B55F24">
        <w:trPr>
          <w:trHeight w:val="239"/>
        </w:trPr>
        <w:tc>
          <w:tcPr>
            <w:tcW w:w="1857" w:type="pct"/>
            <w:hideMark/>
          </w:tcPr>
          <w:p w14:paraId="573BD036" w14:textId="77777777" w:rsidR="001608E9" w:rsidRPr="009E06AA" w:rsidRDefault="001608E9" w:rsidP="00B55F24">
            <w:pPr>
              <w:pStyle w:val="TableText"/>
              <w:spacing w:before="50" w:after="50"/>
            </w:pPr>
            <w:r w:rsidRPr="009E06AA">
              <w:t>Mineral industry (2.A)</w:t>
            </w:r>
          </w:p>
        </w:tc>
        <w:tc>
          <w:tcPr>
            <w:tcW w:w="507" w:type="pct"/>
            <w:hideMark/>
          </w:tcPr>
          <w:p w14:paraId="2CAF807C" w14:textId="77777777" w:rsidR="001608E9" w:rsidRPr="009E06AA" w:rsidRDefault="001608E9" w:rsidP="002256B1">
            <w:pPr>
              <w:pStyle w:val="TableText"/>
              <w:spacing w:before="50" w:after="50"/>
              <w:jc w:val="right"/>
            </w:pPr>
            <w:r w:rsidRPr="009E06AA">
              <w:t>561.9</w:t>
            </w:r>
          </w:p>
        </w:tc>
        <w:tc>
          <w:tcPr>
            <w:tcW w:w="508" w:type="pct"/>
            <w:hideMark/>
          </w:tcPr>
          <w:p w14:paraId="63E0D8DB" w14:textId="77777777" w:rsidR="001608E9" w:rsidRPr="009E06AA" w:rsidRDefault="001608E9" w:rsidP="002256B1">
            <w:pPr>
              <w:pStyle w:val="TableText"/>
              <w:spacing w:before="50" w:after="50"/>
              <w:jc w:val="right"/>
            </w:pPr>
            <w:r w:rsidRPr="009E06AA">
              <w:t>565.6</w:t>
            </w:r>
          </w:p>
        </w:tc>
        <w:tc>
          <w:tcPr>
            <w:tcW w:w="592" w:type="pct"/>
            <w:hideMark/>
          </w:tcPr>
          <w:p w14:paraId="43EC3229" w14:textId="77777777" w:rsidR="001608E9" w:rsidRPr="009E06AA" w:rsidRDefault="001608E9" w:rsidP="002256B1">
            <w:pPr>
              <w:pStyle w:val="TableText"/>
              <w:spacing w:before="50" w:after="50"/>
              <w:jc w:val="right"/>
            </w:pPr>
            <w:r w:rsidRPr="009E06AA">
              <w:t>3.7</w:t>
            </w:r>
          </w:p>
        </w:tc>
        <w:tc>
          <w:tcPr>
            <w:tcW w:w="676" w:type="pct"/>
            <w:hideMark/>
          </w:tcPr>
          <w:p w14:paraId="574D1840" w14:textId="77777777" w:rsidR="001608E9" w:rsidRPr="009E06AA" w:rsidRDefault="001608E9" w:rsidP="002256B1">
            <w:pPr>
              <w:pStyle w:val="TableText"/>
              <w:spacing w:before="50" w:after="50"/>
              <w:jc w:val="right"/>
            </w:pPr>
            <w:r w:rsidRPr="009E06AA">
              <w:t>0.7</w:t>
            </w:r>
          </w:p>
        </w:tc>
        <w:tc>
          <w:tcPr>
            <w:tcW w:w="423" w:type="pct"/>
            <w:hideMark/>
          </w:tcPr>
          <w:p w14:paraId="43A8226C" w14:textId="77777777" w:rsidR="001608E9" w:rsidRPr="009E06AA" w:rsidRDefault="001608E9" w:rsidP="002256B1">
            <w:pPr>
              <w:pStyle w:val="TableText"/>
              <w:spacing w:before="50" w:after="50"/>
              <w:jc w:val="right"/>
            </w:pPr>
            <w:r w:rsidRPr="009E06AA">
              <w:t>16.2</w:t>
            </w:r>
          </w:p>
        </w:tc>
        <w:tc>
          <w:tcPr>
            <w:tcW w:w="438" w:type="pct"/>
            <w:hideMark/>
          </w:tcPr>
          <w:p w14:paraId="243D548A" w14:textId="77777777" w:rsidR="001608E9" w:rsidRPr="009E06AA" w:rsidRDefault="001608E9" w:rsidP="002256B1">
            <w:pPr>
              <w:pStyle w:val="TableText"/>
              <w:spacing w:before="50" w:after="50"/>
              <w:jc w:val="right"/>
            </w:pPr>
            <w:r w:rsidRPr="009E06AA">
              <w:t>12.7</w:t>
            </w:r>
          </w:p>
        </w:tc>
      </w:tr>
      <w:tr w:rsidR="001608E9" w:rsidRPr="009E06AA" w14:paraId="7170C889" w14:textId="77777777" w:rsidTr="00B55F24">
        <w:trPr>
          <w:trHeight w:val="272"/>
        </w:trPr>
        <w:tc>
          <w:tcPr>
            <w:tcW w:w="1857" w:type="pct"/>
            <w:hideMark/>
          </w:tcPr>
          <w:p w14:paraId="54FD1F01" w14:textId="77777777" w:rsidR="001608E9" w:rsidRPr="009E06AA" w:rsidRDefault="001608E9" w:rsidP="00B55F24">
            <w:pPr>
              <w:pStyle w:val="TableText"/>
              <w:spacing w:before="50" w:after="50"/>
            </w:pPr>
            <w:r w:rsidRPr="009E06AA">
              <w:t>Chemical industry (2.B)</w:t>
            </w:r>
          </w:p>
        </w:tc>
        <w:tc>
          <w:tcPr>
            <w:tcW w:w="507" w:type="pct"/>
            <w:hideMark/>
          </w:tcPr>
          <w:p w14:paraId="0D9B3BA3" w14:textId="77777777" w:rsidR="001608E9" w:rsidRPr="009E06AA" w:rsidRDefault="001608E9" w:rsidP="002256B1">
            <w:pPr>
              <w:pStyle w:val="TableText"/>
              <w:spacing w:before="50" w:after="50"/>
              <w:jc w:val="right"/>
            </w:pPr>
            <w:r w:rsidRPr="009E06AA">
              <w:t>206.3</w:t>
            </w:r>
          </w:p>
        </w:tc>
        <w:tc>
          <w:tcPr>
            <w:tcW w:w="508" w:type="pct"/>
            <w:hideMark/>
          </w:tcPr>
          <w:p w14:paraId="174BA0A1" w14:textId="77777777" w:rsidR="001608E9" w:rsidRPr="009E06AA" w:rsidRDefault="001608E9" w:rsidP="002256B1">
            <w:pPr>
              <w:pStyle w:val="TableText"/>
              <w:spacing w:before="50" w:after="50"/>
              <w:jc w:val="right"/>
            </w:pPr>
            <w:r w:rsidRPr="009E06AA">
              <w:t>113.5</w:t>
            </w:r>
          </w:p>
        </w:tc>
        <w:tc>
          <w:tcPr>
            <w:tcW w:w="592" w:type="pct"/>
            <w:hideMark/>
          </w:tcPr>
          <w:p w14:paraId="4B5DEDBF" w14:textId="77777777" w:rsidR="001608E9" w:rsidRPr="009E06AA" w:rsidRDefault="001608E9" w:rsidP="002256B1">
            <w:pPr>
              <w:pStyle w:val="TableText"/>
              <w:spacing w:before="50" w:after="50"/>
              <w:jc w:val="right"/>
            </w:pPr>
            <w:r w:rsidRPr="009E06AA">
              <w:t>-92.8</w:t>
            </w:r>
          </w:p>
        </w:tc>
        <w:tc>
          <w:tcPr>
            <w:tcW w:w="676" w:type="pct"/>
            <w:hideMark/>
          </w:tcPr>
          <w:p w14:paraId="6D768722" w14:textId="77777777" w:rsidR="001608E9" w:rsidRPr="009E06AA" w:rsidRDefault="001608E9" w:rsidP="002256B1">
            <w:pPr>
              <w:pStyle w:val="TableText"/>
              <w:spacing w:before="50" w:after="50"/>
              <w:jc w:val="right"/>
            </w:pPr>
            <w:r w:rsidRPr="009E06AA">
              <w:t>-45.0</w:t>
            </w:r>
          </w:p>
        </w:tc>
        <w:tc>
          <w:tcPr>
            <w:tcW w:w="423" w:type="pct"/>
            <w:hideMark/>
          </w:tcPr>
          <w:p w14:paraId="772B1FE1" w14:textId="77777777" w:rsidR="001608E9" w:rsidRPr="009E06AA" w:rsidRDefault="001608E9" w:rsidP="002256B1">
            <w:pPr>
              <w:pStyle w:val="TableText"/>
              <w:spacing w:before="50" w:after="50"/>
              <w:jc w:val="right"/>
            </w:pPr>
            <w:r w:rsidRPr="009E06AA">
              <w:t>5.9</w:t>
            </w:r>
          </w:p>
        </w:tc>
        <w:tc>
          <w:tcPr>
            <w:tcW w:w="438" w:type="pct"/>
            <w:hideMark/>
          </w:tcPr>
          <w:p w14:paraId="4C72F6BF" w14:textId="77777777" w:rsidR="001608E9" w:rsidRPr="009E06AA" w:rsidRDefault="001608E9" w:rsidP="002256B1">
            <w:pPr>
              <w:pStyle w:val="TableText"/>
              <w:spacing w:before="50" w:after="50"/>
              <w:jc w:val="right"/>
            </w:pPr>
            <w:r w:rsidRPr="009E06AA">
              <w:t>2.5</w:t>
            </w:r>
          </w:p>
        </w:tc>
      </w:tr>
      <w:tr w:rsidR="001608E9" w:rsidRPr="009E06AA" w14:paraId="31104E93" w14:textId="77777777" w:rsidTr="00B55F24">
        <w:trPr>
          <w:trHeight w:val="272"/>
        </w:trPr>
        <w:tc>
          <w:tcPr>
            <w:tcW w:w="1857" w:type="pct"/>
            <w:hideMark/>
          </w:tcPr>
          <w:p w14:paraId="0ECA3718" w14:textId="77777777" w:rsidR="001608E9" w:rsidRPr="009E06AA" w:rsidRDefault="001608E9" w:rsidP="00B55F24">
            <w:pPr>
              <w:pStyle w:val="TableText"/>
              <w:spacing w:before="50" w:after="50"/>
            </w:pPr>
            <w:r w:rsidRPr="009E06AA">
              <w:t>Metal industry (2.C)</w:t>
            </w:r>
          </w:p>
        </w:tc>
        <w:tc>
          <w:tcPr>
            <w:tcW w:w="507" w:type="pct"/>
            <w:hideMark/>
          </w:tcPr>
          <w:p w14:paraId="7EB048FD" w14:textId="77777777" w:rsidR="001608E9" w:rsidRPr="009E06AA" w:rsidRDefault="001608E9" w:rsidP="002256B1">
            <w:pPr>
              <w:pStyle w:val="TableText"/>
              <w:spacing w:before="50" w:after="50"/>
              <w:jc w:val="right"/>
            </w:pPr>
            <w:r w:rsidRPr="009E06AA">
              <w:t>2,578.3</w:t>
            </w:r>
          </w:p>
        </w:tc>
        <w:tc>
          <w:tcPr>
            <w:tcW w:w="508" w:type="pct"/>
            <w:hideMark/>
          </w:tcPr>
          <w:p w14:paraId="4BED17BB" w14:textId="77777777" w:rsidR="001608E9" w:rsidRPr="009E06AA" w:rsidRDefault="001608E9" w:rsidP="002256B1">
            <w:pPr>
              <w:pStyle w:val="TableText"/>
              <w:spacing w:before="50" w:after="50"/>
              <w:jc w:val="right"/>
            </w:pPr>
            <w:r w:rsidRPr="009E06AA">
              <w:t>2,136.4</w:t>
            </w:r>
          </w:p>
        </w:tc>
        <w:tc>
          <w:tcPr>
            <w:tcW w:w="592" w:type="pct"/>
            <w:hideMark/>
          </w:tcPr>
          <w:p w14:paraId="61B44AA8" w14:textId="77777777" w:rsidR="001608E9" w:rsidRPr="009E06AA" w:rsidRDefault="001608E9" w:rsidP="002256B1">
            <w:pPr>
              <w:pStyle w:val="TableText"/>
              <w:spacing w:before="50" w:after="50"/>
              <w:jc w:val="right"/>
            </w:pPr>
            <w:r w:rsidRPr="009E06AA">
              <w:t>-441.9</w:t>
            </w:r>
          </w:p>
        </w:tc>
        <w:tc>
          <w:tcPr>
            <w:tcW w:w="676" w:type="pct"/>
            <w:hideMark/>
          </w:tcPr>
          <w:p w14:paraId="5CA0F42F" w14:textId="77777777" w:rsidR="001608E9" w:rsidRPr="009E06AA" w:rsidRDefault="001608E9" w:rsidP="002256B1">
            <w:pPr>
              <w:pStyle w:val="TableText"/>
              <w:spacing w:before="50" w:after="50"/>
              <w:jc w:val="right"/>
            </w:pPr>
            <w:r w:rsidRPr="009E06AA">
              <w:t>-17.1</w:t>
            </w:r>
          </w:p>
        </w:tc>
        <w:tc>
          <w:tcPr>
            <w:tcW w:w="423" w:type="pct"/>
            <w:hideMark/>
          </w:tcPr>
          <w:p w14:paraId="25C49128" w14:textId="77777777" w:rsidR="001608E9" w:rsidRPr="009E06AA" w:rsidRDefault="001608E9" w:rsidP="002256B1">
            <w:pPr>
              <w:pStyle w:val="TableText"/>
              <w:spacing w:before="50" w:after="50"/>
              <w:jc w:val="right"/>
            </w:pPr>
            <w:r w:rsidRPr="009E06AA">
              <w:t>74.1</w:t>
            </w:r>
          </w:p>
        </w:tc>
        <w:tc>
          <w:tcPr>
            <w:tcW w:w="438" w:type="pct"/>
            <w:hideMark/>
          </w:tcPr>
          <w:p w14:paraId="01017C75" w14:textId="77777777" w:rsidR="001608E9" w:rsidRPr="009E06AA" w:rsidRDefault="001608E9" w:rsidP="002256B1">
            <w:pPr>
              <w:pStyle w:val="TableText"/>
              <w:spacing w:before="50" w:after="50"/>
              <w:jc w:val="right"/>
            </w:pPr>
            <w:r w:rsidRPr="009E06AA">
              <w:t>47.8</w:t>
            </w:r>
          </w:p>
        </w:tc>
      </w:tr>
      <w:tr w:rsidR="001608E9" w:rsidRPr="009E06AA" w14:paraId="425A28A7" w14:textId="77777777" w:rsidTr="00B55F24">
        <w:trPr>
          <w:trHeight w:val="473"/>
        </w:trPr>
        <w:tc>
          <w:tcPr>
            <w:tcW w:w="1857" w:type="pct"/>
            <w:hideMark/>
          </w:tcPr>
          <w:p w14:paraId="59A32E7A" w14:textId="77777777" w:rsidR="001608E9" w:rsidRPr="009E06AA" w:rsidRDefault="001608E9" w:rsidP="00B55F24">
            <w:pPr>
              <w:pStyle w:val="TableText"/>
              <w:spacing w:before="50" w:after="50"/>
            </w:pPr>
            <w:r w:rsidRPr="009E06AA">
              <w:t>Non-energy products from fuels and solvent use (2.D)</w:t>
            </w:r>
          </w:p>
        </w:tc>
        <w:tc>
          <w:tcPr>
            <w:tcW w:w="507" w:type="pct"/>
            <w:hideMark/>
          </w:tcPr>
          <w:p w14:paraId="643AD1D3" w14:textId="77777777" w:rsidR="001608E9" w:rsidRPr="009E06AA" w:rsidRDefault="001608E9" w:rsidP="002256B1">
            <w:pPr>
              <w:pStyle w:val="TableText"/>
              <w:spacing w:before="50" w:after="50"/>
              <w:jc w:val="right"/>
            </w:pPr>
            <w:r w:rsidRPr="009E06AA">
              <w:t>25.2</w:t>
            </w:r>
          </w:p>
        </w:tc>
        <w:tc>
          <w:tcPr>
            <w:tcW w:w="508" w:type="pct"/>
            <w:hideMark/>
          </w:tcPr>
          <w:p w14:paraId="3F908988" w14:textId="77777777" w:rsidR="001608E9" w:rsidRPr="009E06AA" w:rsidRDefault="001608E9" w:rsidP="002256B1">
            <w:pPr>
              <w:pStyle w:val="TableText"/>
              <w:spacing w:before="50" w:after="50"/>
              <w:jc w:val="right"/>
            </w:pPr>
            <w:r w:rsidRPr="009E06AA">
              <w:t>41.2</w:t>
            </w:r>
          </w:p>
        </w:tc>
        <w:tc>
          <w:tcPr>
            <w:tcW w:w="592" w:type="pct"/>
            <w:hideMark/>
          </w:tcPr>
          <w:p w14:paraId="26F9063E" w14:textId="77777777" w:rsidR="001608E9" w:rsidRPr="009E06AA" w:rsidRDefault="001608E9" w:rsidP="002256B1">
            <w:pPr>
              <w:pStyle w:val="TableText"/>
              <w:spacing w:before="50" w:after="50"/>
              <w:jc w:val="right"/>
            </w:pPr>
            <w:r w:rsidRPr="009E06AA">
              <w:t>16.1</w:t>
            </w:r>
          </w:p>
        </w:tc>
        <w:tc>
          <w:tcPr>
            <w:tcW w:w="676" w:type="pct"/>
            <w:hideMark/>
          </w:tcPr>
          <w:p w14:paraId="3A713837" w14:textId="77777777" w:rsidR="001608E9" w:rsidRPr="009E06AA" w:rsidRDefault="001608E9" w:rsidP="002256B1">
            <w:pPr>
              <w:pStyle w:val="TableText"/>
              <w:spacing w:before="50" w:after="50"/>
              <w:jc w:val="right"/>
            </w:pPr>
            <w:r w:rsidRPr="009E06AA">
              <w:t>63.8</w:t>
            </w:r>
          </w:p>
        </w:tc>
        <w:tc>
          <w:tcPr>
            <w:tcW w:w="423" w:type="pct"/>
            <w:hideMark/>
          </w:tcPr>
          <w:p w14:paraId="24865898" w14:textId="77777777" w:rsidR="001608E9" w:rsidRPr="009E06AA" w:rsidRDefault="001608E9" w:rsidP="002256B1">
            <w:pPr>
              <w:pStyle w:val="TableText"/>
              <w:spacing w:before="50" w:after="50"/>
              <w:jc w:val="right"/>
            </w:pPr>
            <w:r w:rsidRPr="009E06AA">
              <w:t>0.7</w:t>
            </w:r>
          </w:p>
        </w:tc>
        <w:tc>
          <w:tcPr>
            <w:tcW w:w="438" w:type="pct"/>
            <w:hideMark/>
          </w:tcPr>
          <w:p w14:paraId="5101850D" w14:textId="77777777" w:rsidR="001608E9" w:rsidRPr="009E06AA" w:rsidRDefault="001608E9" w:rsidP="002256B1">
            <w:pPr>
              <w:pStyle w:val="TableText"/>
              <w:spacing w:before="50" w:after="50"/>
              <w:jc w:val="right"/>
            </w:pPr>
            <w:r w:rsidRPr="009E06AA">
              <w:t>0.9</w:t>
            </w:r>
          </w:p>
        </w:tc>
      </w:tr>
      <w:tr w:rsidR="001608E9" w:rsidRPr="009E06AA" w14:paraId="7E7095EF" w14:textId="77777777" w:rsidTr="00B55F24">
        <w:trPr>
          <w:trHeight w:val="272"/>
        </w:trPr>
        <w:tc>
          <w:tcPr>
            <w:tcW w:w="1857" w:type="pct"/>
            <w:hideMark/>
          </w:tcPr>
          <w:p w14:paraId="17D65BD9" w14:textId="77777777" w:rsidR="001608E9" w:rsidRPr="009E06AA" w:rsidRDefault="001608E9" w:rsidP="00B55F24">
            <w:pPr>
              <w:pStyle w:val="TableText"/>
              <w:spacing w:before="50" w:after="50"/>
            </w:pPr>
            <w:r w:rsidRPr="009E06AA">
              <w:t>Product uses as substitutes for ODS (2.F)</w:t>
            </w:r>
          </w:p>
        </w:tc>
        <w:tc>
          <w:tcPr>
            <w:tcW w:w="507" w:type="pct"/>
            <w:hideMark/>
          </w:tcPr>
          <w:p w14:paraId="158E4AC2" w14:textId="77777777" w:rsidR="001608E9" w:rsidRPr="009E06AA" w:rsidRDefault="001608E9" w:rsidP="002256B1">
            <w:pPr>
              <w:pStyle w:val="TableText"/>
              <w:spacing w:before="50" w:after="50"/>
              <w:jc w:val="right"/>
            </w:pPr>
            <w:r w:rsidRPr="009E06AA">
              <w:t>–</w:t>
            </w:r>
          </w:p>
        </w:tc>
        <w:tc>
          <w:tcPr>
            <w:tcW w:w="508" w:type="pct"/>
            <w:hideMark/>
          </w:tcPr>
          <w:p w14:paraId="0ED6AD6D" w14:textId="77777777" w:rsidR="001608E9" w:rsidRPr="009E06AA" w:rsidRDefault="001608E9" w:rsidP="002256B1">
            <w:pPr>
              <w:pStyle w:val="TableText"/>
              <w:spacing w:before="50" w:after="50"/>
              <w:jc w:val="right"/>
            </w:pPr>
            <w:r w:rsidRPr="009E06AA">
              <w:t>1,498.3</w:t>
            </w:r>
          </w:p>
        </w:tc>
        <w:tc>
          <w:tcPr>
            <w:tcW w:w="592" w:type="pct"/>
            <w:hideMark/>
          </w:tcPr>
          <w:p w14:paraId="5CC7E3DF" w14:textId="77777777" w:rsidR="001608E9" w:rsidRPr="009E06AA" w:rsidRDefault="001608E9" w:rsidP="002256B1">
            <w:pPr>
              <w:pStyle w:val="TableText"/>
              <w:spacing w:before="50" w:after="50"/>
              <w:jc w:val="right"/>
            </w:pPr>
            <w:r w:rsidRPr="009E06AA">
              <w:t>1,498.3</w:t>
            </w:r>
          </w:p>
        </w:tc>
        <w:tc>
          <w:tcPr>
            <w:tcW w:w="676" w:type="pct"/>
            <w:hideMark/>
          </w:tcPr>
          <w:p w14:paraId="7B7DC178" w14:textId="77777777" w:rsidR="001608E9" w:rsidRPr="009E06AA" w:rsidRDefault="001608E9" w:rsidP="002256B1">
            <w:pPr>
              <w:pStyle w:val="TableText"/>
              <w:spacing w:before="50" w:after="50"/>
              <w:jc w:val="right"/>
            </w:pPr>
            <w:r w:rsidRPr="009E06AA">
              <w:t>–</w:t>
            </w:r>
          </w:p>
        </w:tc>
        <w:tc>
          <w:tcPr>
            <w:tcW w:w="423" w:type="pct"/>
            <w:hideMark/>
          </w:tcPr>
          <w:p w14:paraId="2274022B" w14:textId="77777777" w:rsidR="001608E9" w:rsidRPr="009E06AA" w:rsidRDefault="001608E9" w:rsidP="002256B1">
            <w:pPr>
              <w:pStyle w:val="TableText"/>
              <w:spacing w:before="50" w:after="50"/>
              <w:jc w:val="right"/>
            </w:pPr>
            <w:r w:rsidRPr="009E06AA">
              <w:t>–</w:t>
            </w:r>
          </w:p>
        </w:tc>
        <w:tc>
          <w:tcPr>
            <w:tcW w:w="438" w:type="pct"/>
            <w:hideMark/>
          </w:tcPr>
          <w:p w14:paraId="578402E9" w14:textId="77777777" w:rsidR="001608E9" w:rsidRPr="009E06AA" w:rsidRDefault="001608E9" w:rsidP="002256B1">
            <w:pPr>
              <w:pStyle w:val="TableText"/>
              <w:spacing w:before="50" w:after="50"/>
              <w:jc w:val="right"/>
            </w:pPr>
            <w:r w:rsidRPr="009E06AA">
              <w:t>33.5</w:t>
            </w:r>
          </w:p>
        </w:tc>
      </w:tr>
      <w:tr w:rsidR="001608E9" w:rsidRPr="009E06AA" w14:paraId="1F48A770" w14:textId="77777777" w:rsidTr="00B55F24">
        <w:trPr>
          <w:trHeight w:val="287"/>
        </w:trPr>
        <w:tc>
          <w:tcPr>
            <w:tcW w:w="1857" w:type="pct"/>
            <w:hideMark/>
          </w:tcPr>
          <w:p w14:paraId="4034E43D" w14:textId="77777777" w:rsidR="001608E9" w:rsidRPr="009E06AA" w:rsidRDefault="001608E9" w:rsidP="00B55F24">
            <w:pPr>
              <w:pStyle w:val="TableText"/>
              <w:spacing w:before="50" w:after="50"/>
            </w:pPr>
            <w:r w:rsidRPr="009E06AA">
              <w:t>Other product manufacture and use (2.G)</w:t>
            </w:r>
          </w:p>
        </w:tc>
        <w:tc>
          <w:tcPr>
            <w:tcW w:w="507" w:type="pct"/>
            <w:hideMark/>
          </w:tcPr>
          <w:p w14:paraId="4824E016" w14:textId="77777777" w:rsidR="001608E9" w:rsidRPr="009E06AA" w:rsidRDefault="001608E9" w:rsidP="002256B1">
            <w:pPr>
              <w:pStyle w:val="TableText"/>
              <w:spacing w:before="50" w:after="50"/>
              <w:jc w:val="right"/>
            </w:pPr>
            <w:r w:rsidRPr="009E06AA">
              <w:t>106.50</w:t>
            </w:r>
          </w:p>
        </w:tc>
        <w:tc>
          <w:tcPr>
            <w:tcW w:w="508" w:type="pct"/>
            <w:hideMark/>
          </w:tcPr>
          <w:p w14:paraId="49B5835C" w14:textId="77777777" w:rsidR="001608E9" w:rsidRPr="009E06AA" w:rsidRDefault="001608E9" w:rsidP="002256B1">
            <w:pPr>
              <w:pStyle w:val="TableText"/>
              <w:spacing w:before="50" w:after="50"/>
              <w:jc w:val="right"/>
            </w:pPr>
            <w:r w:rsidRPr="009E06AA">
              <w:t>114.2</w:t>
            </w:r>
          </w:p>
        </w:tc>
        <w:tc>
          <w:tcPr>
            <w:tcW w:w="592" w:type="pct"/>
            <w:hideMark/>
          </w:tcPr>
          <w:p w14:paraId="537D3251" w14:textId="77777777" w:rsidR="001608E9" w:rsidRPr="009E06AA" w:rsidRDefault="001608E9" w:rsidP="002256B1">
            <w:pPr>
              <w:pStyle w:val="TableText"/>
              <w:spacing w:before="50" w:after="50"/>
              <w:jc w:val="right"/>
            </w:pPr>
            <w:r w:rsidRPr="009E06AA">
              <w:t>7.6</w:t>
            </w:r>
          </w:p>
        </w:tc>
        <w:tc>
          <w:tcPr>
            <w:tcW w:w="676" w:type="pct"/>
            <w:hideMark/>
          </w:tcPr>
          <w:p w14:paraId="05003BB9" w14:textId="77777777" w:rsidR="001608E9" w:rsidRPr="009E06AA" w:rsidRDefault="001608E9" w:rsidP="002256B1">
            <w:pPr>
              <w:pStyle w:val="TableText"/>
              <w:spacing w:before="50" w:after="50"/>
              <w:jc w:val="right"/>
            </w:pPr>
            <w:r w:rsidRPr="009E06AA">
              <w:t>7.2</w:t>
            </w:r>
          </w:p>
        </w:tc>
        <w:tc>
          <w:tcPr>
            <w:tcW w:w="423" w:type="pct"/>
            <w:hideMark/>
          </w:tcPr>
          <w:p w14:paraId="74FFEA11" w14:textId="77777777" w:rsidR="001608E9" w:rsidRPr="009E06AA" w:rsidRDefault="001608E9" w:rsidP="002256B1">
            <w:pPr>
              <w:pStyle w:val="TableText"/>
              <w:spacing w:before="50" w:after="50"/>
              <w:jc w:val="right"/>
            </w:pPr>
            <w:r w:rsidRPr="009E06AA">
              <w:t>3.1</w:t>
            </w:r>
          </w:p>
        </w:tc>
        <w:tc>
          <w:tcPr>
            <w:tcW w:w="438" w:type="pct"/>
            <w:hideMark/>
          </w:tcPr>
          <w:p w14:paraId="18C3816B" w14:textId="77777777" w:rsidR="001608E9" w:rsidRPr="009E06AA" w:rsidRDefault="001608E9" w:rsidP="002256B1">
            <w:pPr>
              <w:pStyle w:val="TableText"/>
              <w:spacing w:before="50" w:after="50"/>
              <w:jc w:val="right"/>
            </w:pPr>
            <w:r w:rsidRPr="009E06AA">
              <w:t>2.6</w:t>
            </w:r>
          </w:p>
        </w:tc>
      </w:tr>
      <w:tr w:rsidR="001608E9" w:rsidRPr="009E06AA" w14:paraId="33CCE32C" w14:textId="77777777" w:rsidTr="00B55F24">
        <w:trPr>
          <w:trHeight w:val="287"/>
        </w:trPr>
        <w:tc>
          <w:tcPr>
            <w:tcW w:w="1857" w:type="pct"/>
            <w:hideMark/>
          </w:tcPr>
          <w:p w14:paraId="414C24B1" w14:textId="77777777" w:rsidR="001608E9" w:rsidRPr="009E06AA" w:rsidRDefault="001608E9" w:rsidP="00B55F24">
            <w:pPr>
              <w:pStyle w:val="Tableboldblue"/>
              <w:jc w:val="right"/>
            </w:pPr>
            <w:r w:rsidRPr="009E06AA">
              <w:t>Total</w:t>
            </w:r>
          </w:p>
        </w:tc>
        <w:tc>
          <w:tcPr>
            <w:tcW w:w="507" w:type="pct"/>
            <w:hideMark/>
          </w:tcPr>
          <w:p w14:paraId="21286C33" w14:textId="77777777" w:rsidR="001608E9" w:rsidRPr="009E06AA" w:rsidRDefault="001608E9" w:rsidP="002256B1">
            <w:pPr>
              <w:pStyle w:val="Tableboldblue"/>
              <w:jc w:val="right"/>
            </w:pPr>
            <w:r w:rsidRPr="009E06AA">
              <w:t>3,478.2</w:t>
            </w:r>
          </w:p>
        </w:tc>
        <w:tc>
          <w:tcPr>
            <w:tcW w:w="508" w:type="pct"/>
            <w:hideMark/>
          </w:tcPr>
          <w:p w14:paraId="26CBA876" w14:textId="77777777" w:rsidR="001608E9" w:rsidRPr="009E06AA" w:rsidRDefault="001608E9" w:rsidP="002256B1">
            <w:pPr>
              <w:pStyle w:val="Tableboldblue"/>
              <w:jc w:val="right"/>
            </w:pPr>
            <w:r w:rsidRPr="009E06AA">
              <w:t>4,469.2</w:t>
            </w:r>
          </w:p>
        </w:tc>
        <w:tc>
          <w:tcPr>
            <w:tcW w:w="592" w:type="pct"/>
            <w:hideMark/>
          </w:tcPr>
          <w:p w14:paraId="6E0A78BA" w14:textId="77777777" w:rsidR="001608E9" w:rsidRPr="009E06AA" w:rsidRDefault="001608E9" w:rsidP="002256B1">
            <w:pPr>
              <w:pStyle w:val="Tableboldblue"/>
              <w:jc w:val="right"/>
            </w:pPr>
            <w:r w:rsidRPr="009E06AA">
              <w:t>990.9</w:t>
            </w:r>
          </w:p>
        </w:tc>
        <w:tc>
          <w:tcPr>
            <w:tcW w:w="676" w:type="pct"/>
            <w:hideMark/>
          </w:tcPr>
          <w:p w14:paraId="22C66AD0" w14:textId="77777777" w:rsidR="001608E9" w:rsidRPr="009E06AA" w:rsidRDefault="001608E9" w:rsidP="002256B1">
            <w:pPr>
              <w:pStyle w:val="Tableboldblue"/>
              <w:jc w:val="right"/>
            </w:pPr>
            <w:r w:rsidRPr="009E06AA">
              <w:t>28.5</w:t>
            </w:r>
          </w:p>
        </w:tc>
        <w:tc>
          <w:tcPr>
            <w:tcW w:w="423" w:type="pct"/>
            <w:hideMark/>
          </w:tcPr>
          <w:p w14:paraId="30FC6F20" w14:textId="77777777" w:rsidR="001608E9" w:rsidRPr="009E06AA" w:rsidRDefault="001608E9" w:rsidP="002256B1">
            <w:pPr>
              <w:pStyle w:val="Tableboldblue"/>
              <w:jc w:val="right"/>
            </w:pPr>
            <w:r w:rsidRPr="009E06AA">
              <w:t>–</w:t>
            </w:r>
          </w:p>
        </w:tc>
        <w:tc>
          <w:tcPr>
            <w:tcW w:w="438" w:type="pct"/>
            <w:hideMark/>
          </w:tcPr>
          <w:p w14:paraId="5F3FF5FD" w14:textId="77777777" w:rsidR="001608E9" w:rsidRPr="009E06AA" w:rsidRDefault="001608E9" w:rsidP="002256B1">
            <w:pPr>
              <w:pStyle w:val="Tableboldblue"/>
              <w:jc w:val="right"/>
            </w:pPr>
            <w:r w:rsidRPr="009E06AA">
              <w:t>–</w:t>
            </w:r>
          </w:p>
        </w:tc>
      </w:tr>
    </w:tbl>
    <w:p w14:paraId="5633D6EA" w14:textId="77777777" w:rsidR="001608E9" w:rsidRPr="009E06AA" w:rsidRDefault="001608E9" w:rsidP="001608E9">
      <w:pPr>
        <w:pStyle w:val="Noteundertable"/>
      </w:pPr>
      <w:r w:rsidRPr="009E06AA">
        <w:rPr>
          <w:b/>
        </w:rPr>
        <w:t>Note:</w:t>
      </w:r>
      <w:r w:rsidRPr="009E06AA">
        <w:tab/>
        <w:t>Columns may not sum to total due to rounding.</w:t>
      </w:r>
    </w:p>
    <w:p w14:paraId="1DC8B73C" w14:textId="2525D187" w:rsidR="001608E9" w:rsidRPr="009E06AA" w:rsidRDefault="001608E9" w:rsidP="001608E9">
      <w:pPr>
        <w:pStyle w:val="Figure"/>
        <w:spacing w:after="0"/>
      </w:pPr>
      <w:bookmarkStart w:id="479" w:name="_Toc447275685"/>
      <w:bookmarkStart w:id="480" w:name="_Toc414531599"/>
      <w:bookmarkStart w:id="481" w:name="_Toc378853331"/>
      <w:bookmarkStart w:id="482" w:name="_Toc5269679"/>
      <w:bookmarkStart w:id="483" w:name="_Toc36292782"/>
      <w:bookmarkStart w:id="484" w:name="_Toc68786647"/>
      <w:bookmarkStart w:id="485" w:name="_Toc131591549"/>
      <w:bookmarkStart w:id="486" w:name="_Toc164154017"/>
      <w:r w:rsidRPr="009E06AA">
        <w:t>Figure 4.1.1</w:t>
      </w:r>
      <w:r w:rsidRPr="009E06AA">
        <w:tab/>
        <w:t>New Zealand’s annual emissions from the IPPU sector</w:t>
      </w:r>
      <w:r w:rsidR="00285D4A" w:rsidRPr="009E06AA">
        <w:t>,</w:t>
      </w:r>
      <w:r w:rsidRPr="009E06AA">
        <w:t xml:space="preserve"> from 1990 to </w:t>
      </w:r>
      <w:bookmarkEnd w:id="479"/>
      <w:bookmarkEnd w:id="480"/>
      <w:bookmarkEnd w:id="481"/>
      <w:bookmarkEnd w:id="482"/>
      <w:bookmarkEnd w:id="483"/>
      <w:bookmarkEnd w:id="484"/>
      <w:r w:rsidRPr="009E06AA">
        <w:t>202</w:t>
      </w:r>
      <w:bookmarkEnd w:id="485"/>
      <w:r w:rsidRPr="009E06AA">
        <w:t>2</w:t>
      </w:r>
      <w:bookmarkEnd w:id="486"/>
    </w:p>
    <w:p w14:paraId="382A45AD" w14:textId="77777777" w:rsidR="001608E9" w:rsidRPr="009E06AA" w:rsidRDefault="001608E9" w:rsidP="001608E9">
      <w:pPr>
        <w:pStyle w:val="BodyText"/>
      </w:pPr>
      <w:r w:rsidRPr="009E06AA">
        <w:rPr>
          <w:noProof/>
        </w:rPr>
        <w:drawing>
          <wp:inline distT="0" distB="0" distL="0" distR="0" wp14:anchorId="7D245E09" wp14:editId="77387128">
            <wp:extent cx="5396784" cy="2518913"/>
            <wp:effectExtent l="0" t="0" r="0" b="0"/>
            <wp:docPr id="1242650091" name="Picture 1242650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79994" cy="2557751"/>
                    </a:xfrm>
                    <a:prstGeom prst="rect">
                      <a:avLst/>
                    </a:prstGeom>
                    <a:noFill/>
                  </pic:spPr>
                </pic:pic>
              </a:graphicData>
            </a:graphic>
          </wp:inline>
        </w:drawing>
      </w:r>
    </w:p>
    <w:p w14:paraId="48BFBF43" w14:textId="77777777" w:rsidR="001608E9" w:rsidRPr="009E06AA" w:rsidRDefault="001608E9" w:rsidP="001608E9">
      <w:pPr>
        <w:pStyle w:val="Figure"/>
        <w:spacing w:before="240" w:after="0"/>
      </w:pPr>
      <w:bookmarkStart w:id="487" w:name="_Toc447275686"/>
      <w:bookmarkStart w:id="488" w:name="_Toc414531600"/>
      <w:bookmarkStart w:id="489" w:name="_Toc378853332"/>
      <w:bookmarkStart w:id="490" w:name="_Toc5269680"/>
      <w:bookmarkStart w:id="491" w:name="_Toc36292783"/>
      <w:bookmarkStart w:id="492" w:name="_Toc68786648"/>
      <w:bookmarkStart w:id="493" w:name="_Toc131591550"/>
      <w:bookmarkStart w:id="494" w:name="_Toc164154018"/>
      <w:r w:rsidRPr="009E06AA">
        <w:t>Figure 4.1.2</w:t>
      </w:r>
      <w:r w:rsidRPr="009E06AA">
        <w:tab/>
        <w:t>New Zealand’s emissions from the IPPU sector in 1990 </w:t>
      </w:r>
      <w:bookmarkEnd w:id="487"/>
      <w:bookmarkEnd w:id="488"/>
      <w:bookmarkEnd w:id="489"/>
      <w:bookmarkEnd w:id="490"/>
      <w:bookmarkEnd w:id="491"/>
      <w:bookmarkEnd w:id="492"/>
      <w:r w:rsidRPr="009E06AA">
        <w:t>and 202</w:t>
      </w:r>
      <w:bookmarkEnd w:id="493"/>
      <w:r w:rsidRPr="009E06AA">
        <w:t>2</w:t>
      </w:r>
      <w:bookmarkEnd w:id="494"/>
    </w:p>
    <w:p w14:paraId="7F1936C4" w14:textId="77777777" w:rsidR="001608E9" w:rsidRPr="009E06AA" w:rsidRDefault="001608E9" w:rsidP="001608E9">
      <w:pPr>
        <w:pStyle w:val="BodyText"/>
      </w:pPr>
      <w:r w:rsidRPr="009E06AA">
        <w:rPr>
          <w:noProof/>
        </w:rPr>
        <w:drawing>
          <wp:inline distT="0" distB="0" distL="0" distR="0" wp14:anchorId="4B5A0F54" wp14:editId="590AF6D6">
            <wp:extent cx="5452090" cy="2428646"/>
            <wp:effectExtent l="0" t="0" r="0" b="0"/>
            <wp:docPr id="504520190" name="Picture 504520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12688" b="4218"/>
                    <a:stretch/>
                  </pic:blipFill>
                  <pic:spPr bwMode="auto">
                    <a:xfrm>
                      <a:off x="0" y="0"/>
                      <a:ext cx="5560037" cy="2476731"/>
                    </a:xfrm>
                    <a:prstGeom prst="rect">
                      <a:avLst/>
                    </a:prstGeom>
                    <a:noFill/>
                    <a:ln>
                      <a:noFill/>
                    </a:ln>
                    <a:extLst>
                      <a:ext uri="{53640926-AAD7-44D8-BBD7-CCE9431645EC}">
                        <a14:shadowObscured xmlns:a14="http://schemas.microsoft.com/office/drawing/2010/main"/>
                      </a:ext>
                    </a:extLst>
                  </pic:spPr>
                </pic:pic>
              </a:graphicData>
            </a:graphic>
          </wp:inline>
        </w:drawing>
      </w:r>
    </w:p>
    <w:p w14:paraId="0556FDB6" w14:textId="77777777" w:rsidR="001608E9" w:rsidRPr="009E06AA" w:rsidRDefault="001608E9" w:rsidP="001608E9">
      <w:pPr>
        <w:pStyle w:val="Noteundertable"/>
      </w:pPr>
      <w:r w:rsidRPr="009E06AA">
        <w:rPr>
          <w:rFonts w:cs="Arial"/>
          <w:b/>
        </w:rPr>
        <w:t>Note:</w:t>
      </w:r>
      <w:r w:rsidRPr="009E06AA">
        <w:rPr>
          <w:rFonts w:cs="Arial"/>
        </w:rPr>
        <w:tab/>
      </w:r>
      <w:r w:rsidRPr="009E06AA">
        <w:t xml:space="preserve">Emissions from the </w:t>
      </w:r>
      <w:r w:rsidRPr="009E06AA">
        <w:rPr>
          <w:i/>
        </w:rPr>
        <w:t>Electronics industry</w:t>
      </w:r>
      <w:r w:rsidRPr="009E06AA">
        <w:t xml:space="preserve"> are not occurring (NO).</w:t>
      </w:r>
    </w:p>
    <w:p w14:paraId="754FD002" w14:textId="77777777" w:rsidR="001608E9" w:rsidRPr="009E06AA" w:rsidRDefault="001608E9" w:rsidP="001608E9">
      <w:pPr>
        <w:pStyle w:val="Heading3"/>
      </w:pPr>
      <w:bookmarkStart w:id="495" w:name="_Toc158647323"/>
      <w:r w:rsidRPr="009E06AA">
        <w:t>4.1.3</w:t>
      </w:r>
      <w:r w:rsidRPr="009E06AA">
        <w:tab/>
        <w:t>Key categories for IPPU sector emissions</w:t>
      </w:r>
      <w:bookmarkEnd w:id="495"/>
    </w:p>
    <w:p w14:paraId="11EBD2F7" w14:textId="77777777" w:rsidR="001608E9" w:rsidRPr="009E06AA" w:rsidRDefault="001608E9" w:rsidP="001608E9">
      <w:pPr>
        <w:pStyle w:val="BodyText"/>
      </w:pPr>
      <w:r w:rsidRPr="009E06AA">
        <w:t xml:space="preserve">Details of New Zealand’s key category analysis are in chapter 1, section 1.4. The key categories in the IPPU sector are listed in table 4.1.2. </w:t>
      </w:r>
    </w:p>
    <w:p w14:paraId="1F09197C" w14:textId="77777777" w:rsidR="001608E9" w:rsidRPr="009E06AA" w:rsidRDefault="001608E9" w:rsidP="001608E9">
      <w:pPr>
        <w:pStyle w:val="Table"/>
      </w:pPr>
      <w:bookmarkStart w:id="496" w:name="_Toc451176066"/>
      <w:bookmarkStart w:id="497" w:name="_Toc5269456"/>
      <w:bookmarkStart w:id="498" w:name="_Toc36224529"/>
      <w:bookmarkStart w:id="499" w:name="_Toc68786416"/>
      <w:bookmarkStart w:id="500" w:name="_Toc131591329"/>
      <w:bookmarkStart w:id="501" w:name="_Toc158647417"/>
      <w:bookmarkStart w:id="502" w:name="_Toc164153815"/>
      <w:bookmarkStart w:id="503" w:name="_Toc128042749"/>
      <w:r w:rsidRPr="009E06AA">
        <w:t xml:space="preserve">Table 4.1.2 </w:t>
      </w:r>
      <w:r w:rsidRPr="009E06AA">
        <w:tab/>
        <w:t>Key categories in the IPPU sector</w:t>
      </w:r>
      <w:bookmarkEnd w:id="496"/>
      <w:bookmarkEnd w:id="497"/>
      <w:bookmarkEnd w:id="498"/>
      <w:bookmarkEnd w:id="499"/>
      <w:bookmarkEnd w:id="500"/>
      <w:bookmarkEnd w:id="501"/>
      <w:bookmarkEnd w:id="502"/>
      <w:r w:rsidRPr="009E06AA">
        <w:t xml:space="preserve"> </w:t>
      </w:r>
      <w:bookmarkEnd w:id="503"/>
    </w:p>
    <w:tbl>
      <w:tblPr>
        <w:tblW w:w="8505" w:type="dxa"/>
        <w:tblBorders>
          <w:top w:val="single" w:sz="4" w:space="0" w:color="1B556B"/>
          <w:bottom w:val="single" w:sz="4" w:space="0" w:color="1B556B"/>
          <w:insideH w:val="single" w:sz="4" w:space="0" w:color="1B556B"/>
        </w:tblBorders>
        <w:tblCellMar>
          <w:right w:w="85" w:type="dxa"/>
        </w:tblCellMar>
        <w:tblLook w:val="04A0" w:firstRow="1" w:lastRow="0" w:firstColumn="1" w:lastColumn="0" w:noHBand="0" w:noVBand="1"/>
      </w:tblPr>
      <w:tblGrid>
        <w:gridCol w:w="1426"/>
        <w:gridCol w:w="5056"/>
        <w:gridCol w:w="748"/>
        <w:gridCol w:w="1275"/>
      </w:tblGrid>
      <w:tr w:rsidR="001608E9" w:rsidRPr="009E06AA" w14:paraId="1E07ACC3" w14:textId="77777777" w:rsidTr="00B55F24">
        <w:trPr>
          <w:trHeight w:val="462"/>
          <w:tblHeader/>
        </w:trPr>
        <w:tc>
          <w:tcPr>
            <w:tcW w:w="1426" w:type="dxa"/>
            <w:shd w:val="clear" w:color="auto" w:fill="1B556B"/>
            <w:vAlign w:val="bottom"/>
            <w:hideMark/>
          </w:tcPr>
          <w:p w14:paraId="3B237606" w14:textId="77777777" w:rsidR="001608E9" w:rsidRPr="009E06AA" w:rsidRDefault="001608E9" w:rsidP="00B55F24">
            <w:pPr>
              <w:pStyle w:val="TableTextBold"/>
              <w:spacing w:before="40" w:after="40"/>
              <w:rPr>
                <w:noProof w:val="0"/>
                <w:color w:val="FFFFFF"/>
              </w:rPr>
            </w:pPr>
            <w:r w:rsidRPr="009E06AA">
              <w:rPr>
                <w:noProof w:val="0"/>
                <w:color w:val="FFFFFF"/>
              </w:rPr>
              <w:t>CRT category code</w:t>
            </w:r>
          </w:p>
        </w:tc>
        <w:tc>
          <w:tcPr>
            <w:tcW w:w="5056" w:type="dxa"/>
            <w:shd w:val="clear" w:color="auto" w:fill="1B556B"/>
            <w:vAlign w:val="bottom"/>
            <w:hideMark/>
          </w:tcPr>
          <w:p w14:paraId="5A73A510" w14:textId="77777777" w:rsidR="001608E9" w:rsidRPr="009E06AA" w:rsidRDefault="001608E9" w:rsidP="00B55F24">
            <w:pPr>
              <w:pStyle w:val="TableTextBold"/>
              <w:spacing w:before="40" w:after="40"/>
              <w:rPr>
                <w:noProof w:val="0"/>
                <w:color w:val="FFFFFF"/>
              </w:rPr>
            </w:pPr>
            <w:r w:rsidRPr="009E06AA">
              <w:rPr>
                <w:noProof w:val="0"/>
                <w:color w:val="FFFFFF"/>
              </w:rPr>
              <w:t>IPCC categories</w:t>
            </w:r>
          </w:p>
        </w:tc>
        <w:tc>
          <w:tcPr>
            <w:tcW w:w="748" w:type="dxa"/>
            <w:shd w:val="clear" w:color="auto" w:fill="1B556B"/>
            <w:vAlign w:val="bottom"/>
            <w:hideMark/>
          </w:tcPr>
          <w:p w14:paraId="21902B55" w14:textId="77777777" w:rsidR="001608E9" w:rsidRPr="009E06AA" w:rsidRDefault="001608E9" w:rsidP="00B55F24">
            <w:pPr>
              <w:pStyle w:val="TableTextBold"/>
              <w:spacing w:before="40" w:after="40"/>
              <w:rPr>
                <w:noProof w:val="0"/>
                <w:color w:val="FFFFFF"/>
              </w:rPr>
            </w:pPr>
            <w:r w:rsidRPr="009E06AA">
              <w:rPr>
                <w:noProof w:val="0"/>
                <w:color w:val="FFFFFF"/>
              </w:rPr>
              <w:t>Gas</w:t>
            </w:r>
          </w:p>
        </w:tc>
        <w:tc>
          <w:tcPr>
            <w:tcW w:w="1275" w:type="dxa"/>
            <w:shd w:val="clear" w:color="auto" w:fill="1B556B"/>
            <w:vAlign w:val="bottom"/>
            <w:hideMark/>
          </w:tcPr>
          <w:p w14:paraId="32DB3186" w14:textId="77777777" w:rsidR="001608E9" w:rsidRPr="009E06AA" w:rsidRDefault="001608E9" w:rsidP="00B55F24">
            <w:pPr>
              <w:pStyle w:val="TableTextBold"/>
              <w:spacing w:before="40" w:after="40"/>
              <w:rPr>
                <w:noProof w:val="0"/>
                <w:color w:val="FFFFFF"/>
              </w:rPr>
            </w:pPr>
            <w:r w:rsidRPr="009E06AA">
              <w:rPr>
                <w:noProof w:val="0"/>
                <w:color w:val="FFFFFF"/>
              </w:rPr>
              <w:t>Criteria for identification</w:t>
            </w:r>
          </w:p>
        </w:tc>
      </w:tr>
      <w:tr w:rsidR="001608E9" w:rsidRPr="009E06AA" w14:paraId="5AEEBE90" w14:textId="77777777" w:rsidTr="00B55F24">
        <w:trPr>
          <w:trHeight w:val="250"/>
        </w:trPr>
        <w:tc>
          <w:tcPr>
            <w:tcW w:w="1426" w:type="dxa"/>
            <w:shd w:val="clear" w:color="auto" w:fill="FFFFFF"/>
          </w:tcPr>
          <w:p w14:paraId="277B6878" w14:textId="77777777" w:rsidR="001608E9" w:rsidRPr="009E06AA" w:rsidRDefault="001608E9" w:rsidP="00B55F24">
            <w:pPr>
              <w:pStyle w:val="TableText"/>
              <w:spacing w:before="50" w:after="50"/>
            </w:pPr>
            <w:r w:rsidRPr="009E06AA">
              <w:rPr>
                <w:rFonts w:cs="Calibri"/>
                <w:color w:val="000000"/>
              </w:rPr>
              <w:t>2.A.1</w:t>
            </w:r>
          </w:p>
        </w:tc>
        <w:tc>
          <w:tcPr>
            <w:tcW w:w="5056" w:type="dxa"/>
            <w:shd w:val="clear" w:color="auto" w:fill="FFFFFF"/>
          </w:tcPr>
          <w:p w14:paraId="44637CD7" w14:textId="77777777" w:rsidR="001608E9" w:rsidRPr="009E06AA" w:rsidRDefault="001608E9" w:rsidP="00B55F24">
            <w:pPr>
              <w:pStyle w:val="TableText"/>
              <w:spacing w:before="50" w:after="50"/>
              <w:rPr>
                <w:color w:val="000000"/>
                <w:szCs w:val="16"/>
              </w:rPr>
            </w:pPr>
            <w:r w:rsidRPr="009E06AA">
              <w:rPr>
                <w:rFonts w:cs="Calibri"/>
                <w:color w:val="000000"/>
              </w:rPr>
              <w:t>Mineral Industry – Cement Production</w:t>
            </w:r>
          </w:p>
        </w:tc>
        <w:tc>
          <w:tcPr>
            <w:tcW w:w="748" w:type="dxa"/>
            <w:shd w:val="clear" w:color="auto" w:fill="FFFFFF"/>
          </w:tcPr>
          <w:p w14:paraId="37B91541" w14:textId="77777777" w:rsidR="001608E9" w:rsidRPr="009E06AA" w:rsidRDefault="001608E9" w:rsidP="00B55F24">
            <w:pPr>
              <w:pStyle w:val="TableText"/>
              <w:spacing w:before="50" w:after="50"/>
              <w:rPr>
                <w:color w:val="000000"/>
                <w:szCs w:val="16"/>
              </w:rPr>
            </w:pPr>
            <w:r w:rsidRPr="009E06AA">
              <w:rPr>
                <w:rFonts w:cs="Calibri"/>
                <w:color w:val="000000"/>
              </w:rPr>
              <w:t>CO</w:t>
            </w:r>
            <w:r w:rsidRPr="009E06AA">
              <w:rPr>
                <w:rFonts w:cs="Calibri"/>
                <w:color w:val="000000"/>
                <w:vertAlign w:val="subscript"/>
              </w:rPr>
              <w:t>2</w:t>
            </w:r>
          </w:p>
        </w:tc>
        <w:tc>
          <w:tcPr>
            <w:tcW w:w="1275" w:type="dxa"/>
            <w:shd w:val="clear" w:color="auto" w:fill="FFFFFF"/>
          </w:tcPr>
          <w:p w14:paraId="52712D96" w14:textId="77777777" w:rsidR="001608E9" w:rsidRPr="009E06AA" w:rsidRDefault="001608E9" w:rsidP="00B55F24">
            <w:pPr>
              <w:pStyle w:val="TableText"/>
              <w:spacing w:before="50" w:after="50"/>
              <w:rPr>
                <w:color w:val="000000"/>
                <w:szCs w:val="16"/>
              </w:rPr>
            </w:pPr>
            <w:r w:rsidRPr="009E06AA">
              <w:rPr>
                <w:rFonts w:cs="Calibri"/>
                <w:color w:val="000000"/>
              </w:rPr>
              <w:t>L1, T1</w:t>
            </w:r>
          </w:p>
        </w:tc>
      </w:tr>
      <w:tr w:rsidR="001608E9" w:rsidRPr="009E06AA" w14:paraId="4448B4EB" w14:textId="77777777" w:rsidTr="00B55F24">
        <w:trPr>
          <w:trHeight w:val="250"/>
        </w:trPr>
        <w:tc>
          <w:tcPr>
            <w:tcW w:w="1426" w:type="dxa"/>
            <w:shd w:val="clear" w:color="auto" w:fill="FFFFFF"/>
          </w:tcPr>
          <w:p w14:paraId="141189CF" w14:textId="77777777" w:rsidR="001608E9" w:rsidRPr="009E06AA" w:rsidRDefault="001608E9" w:rsidP="00B55F24">
            <w:pPr>
              <w:pStyle w:val="TableText"/>
              <w:spacing w:before="50" w:after="50"/>
            </w:pPr>
            <w:r w:rsidRPr="009E06AA">
              <w:rPr>
                <w:rFonts w:cs="Calibri"/>
                <w:color w:val="000000"/>
              </w:rPr>
              <w:t>2.B.10</w:t>
            </w:r>
          </w:p>
        </w:tc>
        <w:tc>
          <w:tcPr>
            <w:tcW w:w="5056" w:type="dxa"/>
            <w:shd w:val="clear" w:color="auto" w:fill="FFFFFF"/>
          </w:tcPr>
          <w:p w14:paraId="7FE08876" w14:textId="77777777" w:rsidR="001608E9" w:rsidRPr="009E06AA" w:rsidRDefault="001608E9" w:rsidP="00B55F24">
            <w:pPr>
              <w:pStyle w:val="TableText"/>
              <w:spacing w:before="50" w:after="50"/>
              <w:rPr>
                <w:color w:val="000000"/>
                <w:szCs w:val="16"/>
              </w:rPr>
            </w:pPr>
            <w:r w:rsidRPr="009E06AA">
              <w:rPr>
                <w:rFonts w:cs="Calibri"/>
                <w:color w:val="000000"/>
              </w:rPr>
              <w:t>Chemical Industry – Other (please specify)</w:t>
            </w:r>
          </w:p>
        </w:tc>
        <w:tc>
          <w:tcPr>
            <w:tcW w:w="748" w:type="dxa"/>
            <w:shd w:val="clear" w:color="auto" w:fill="FFFFFF"/>
          </w:tcPr>
          <w:p w14:paraId="63E014E5" w14:textId="77777777" w:rsidR="001608E9" w:rsidRPr="009E06AA" w:rsidRDefault="001608E9" w:rsidP="00B55F24">
            <w:pPr>
              <w:pStyle w:val="TableText"/>
              <w:spacing w:before="50" w:after="50"/>
              <w:rPr>
                <w:color w:val="000000"/>
                <w:szCs w:val="16"/>
              </w:rPr>
            </w:pPr>
            <w:r w:rsidRPr="009E06AA">
              <w:rPr>
                <w:rFonts w:cs="Calibri"/>
                <w:color w:val="000000"/>
              </w:rPr>
              <w:t>CO</w:t>
            </w:r>
            <w:r w:rsidRPr="009E06AA">
              <w:rPr>
                <w:rFonts w:cs="Calibri"/>
                <w:color w:val="000000"/>
                <w:vertAlign w:val="subscript"/>
              </w:rPr>
              <w:t>2</w:t>
            </w:r>
          </w:p>
        </w:tc>
        <w:tc>
          <w:tcPr>
            <w:tcW w:w="1275" w:type="dxa"/>
            <w:shd w:val="clear" w:color="auto" w:fill="FFFFFF"/>
          </w:tcPr>
          <w:p w14:paraId="268E831D" w14:textId="77777777" w:rsidR="001608E9" w:rsidRPr="009E06AA" w:rsidRDefault="001608E9" w:rsidP="00B55F24">
            <w:pPr>
              <w:pStyle w:val="TableText"/>
              <w:spacing w:before="50" w:after="50"/>
              <w:rPr>
                <w:color w:val="000000"/>
                <w:szCs w:val="16"/>
              </w:rPr>
            </w:pPr>
            <w:r w:rsidRPr="009E06AA">
              <w:rPr>
                <w:rFonts w:cs="Calibri"/>
                <w:color w:val="000000"/>
              </w:rPr>
              <w:t>T1</w:t>
            </w:r>
          </w:p>
        </w:tc>
      </w:tr>
      <w:tr w:rsidR="001608E9" w:rsidRPr="009E06AA" w14:paraId="12D38993" w14:textId="77777777" w:rsidTr="00B55F24">
        <w:trPr>
          <w:trHeight w:val="305"/>
        </w:trPr>
        <w:tc>
          <w:tcPr>
            <w:tcW w:w="1426" w:type="dxa"/>
            <w:shd w:val="clear" w:color="auto" w:fill="FFFFFF"/>
          </w:tcPr>
          <w:p w14:paraId="34517CDB" w14:textId="77777777" w:rsidR="001608E9" w:rsidRPr="009E06AA" w:rsidRDefault="001608E9" w:rsidP="00B55F24">
            <w:pPr>
              <w:pStyle w:val="TableText"/>
              <w:spacing w:before="50" w:after="50"/>
            </w:pPr>
            <w:r w:rsidRPr="009E06AA">
              <w:rPr>
                <w:rFonts w:cs="Calibri"/>
                <w:color w:val="000000"/>
              </w:rPr>
              <w:t>2.C.1</w:t>
            </w:r>
          </w:p>
        </w:tc>
        <w:tc>
          <w:tcPr>
            <w:tcW w:w="5056" w:type="dxa"/>
            <w:shd w:val="clear" w:color="auto" w:fill="FFFFFF"/>
          </w:tcPr>
          <w:p w14:paraId="352F9D19" w14:textId="77777777" w:rsidR="001608E9" w:rsidRPr="009E06AA" w:rsidRDefault="001608E9" w:rsidP="00B55F24">
            <w:pPr>
              <w:pStyle w:val="TableText"/>
              <w:spacing w:before="50" w:after="50"/>
              <w:rPr>
                <w:color w:val="000000"/>
                <w:szCs w:val="16"/>
              </w:rPr>
            </w:pPr>
            <w:r w:rsidRPr="009E06AA">
              <w:rPr>
                <w:rFonts w:cs="Calibri"/>
                <w:color w:val="000000"/>
              </w:rPr>
              <w:t>Metal Industry – Iron and Steel Production</w:t>
            </w:r>
          </w:p>
        </w:tc>
        <w:tc>
          <w:tcPr>
            <w:tcW w:w="748" w:type="dxa"/>
            <w:shd w:val="clear" w:color="auto" w:fill="FFFFFF"/>
          </w:tcPr>
          <w:p w14:paraId="7EAAA31E" w14:textId="77777777" w:rsidR="001608E9" w:rsidRPr="009E06AA" w:rsidRDefault="001608E9" w:rsidP="00B55F24">
            <w:pPr>
              <w:pStyle w:val="TableText"/>
              <w:spacing w:before="50" w:after="50"/>
              <w:rPr>
                <w:color w:val="000000"/>
                <w:szCs w:val="16"/>
              </w:rPr>
            </w:pPr>
            <w:r w:rsidRPr="009E06AA">
              <w:rPr>
                <w:rFonts w:cs="Calibri"/>
                <w:color w:val="000000"/>
              </w:rPr>
              <w:t>CO</w:t>
            </w:r>
            <w:r w:rsidRPr="009E06AA">
              <w:rPr>
                <w:rFonts w:cs="Calibri"/>
                <w:color w:val="000000"/>
                <w:vertAlign w:val="subscript"/>
              </w:rPr>
              <w:t>2</w:t>
            </w:r>
          </w:p>
        </w:tc>
        <w:tc>
          <w:tcPr>
            <w:tcW w:w="1275" w:type="dxa"/>
            <w:shd w:val="clear" w:color="auto" w:fill="FFFFFF"/>
          </w:tcPr>
          <w:p w14:paraId="7340AA56" w14:textId="77777777" w:rsidR="001608E9" w:rsidRPr="009E06AA" w:rsidRDefault="001608E9" w:rsidP="00B55F24">
            <w:pPr>
              <w:pStyle w:val="TableText"/>
              <w:spacing w:before="50" w:after="50"/>
              <w:rPr>
                <w:color w:val="000000"/>
                <w:szCs w:val="16"/>
              </w:rPr>
            </w:pPr>
            <w:r w:rsidRPr="009E06AA">
              <w:rPr>
                <w:rFonts w:cs="Calibri"/>
                <w:color w:val="000000"/>
              </w:rPr>
              <w:t>L1, T1</w:t>
            </w:r>
          </w:p>
        </w:tc>
      </w:tr>
      <w:tr w:rsidR="001608E9" w:rsidRPr="009E06AA" w14:paraId="704F75B7" w14:textId="77777777" w:rsidTr="00B55F24">
        <w:trPr>
          <w:trHeight w:val="305"/>
        </w:trPr>
        <w:tc>
          <w:tcPr>
            <w:tcW w:w="1426" w:type="dxa"/>
            <w:shd w:val="clear" w:color="auto" w:fill="FFFFFF"/>
          </w:tcPr>
          <w:p w14:paraId="58518845" w14:textId="77777777" w:rsidR="001608E9" w:rsidRPr="009E06AA" w:rsidRDefault="001608E9" w:rsidP="00B55F24">
            <w:pPr>
              <w:pStyle w:val="TableText"/>
              <w:spacing w:before="50" w:after="50"/>
            </w:pPr>
            <w:r w:rsidRPr="009E06AA">
              <w:rPr>
                <w:rFonts w:cs="Calibri"/>
                <w:color w:val="000000"/>
              </w:rPr>
              <w:t>2.C.3</w:t>
            </w:r>
          </w:p>
        </w:tc>
        <w:tc>
          <w:tcPr>
            <w:tcW w:w="5056" w:type="dxa"/>
            <w:shd w:val="clear" w:color="auto" w:fill="FFFFFF"/>
          </w:tcPr>
          <w:p w14:paraId="4AE59DED" w14:textId="77777777" w:rsidR="001608E9" w:rsidRPr="009E06AA" w:rsidRDefault="001608E9" w:rsidP="00B55F24">
            <w:pPr>
              <w:pStyle w:val="TableText"/>
              <w:spacing w:before="50" w:after="50"/>
              <w:rPr>
                <w:color w:val="000000"/>
                <w:szCs w:val="16"/>
              </w:rPr>
            </w:pPr>
            <w:r w:rsidRPr="009E06AA">
              <w:rPr>
                <w:rFonts w:cs="Calibri"/>
                <w:color w:val="000000"/>
              </w:rPr>
              <w:t>Metal Industry – Aluminium Production</w:t>
            </w:r>
          </w:p>
        </w:tc>
        <w:tc>
          <w:tcPr>
            <w:tcW w:w="748" w:type="dxa"/>
            <w:shd w:val="clear" w:color="auto" w:fill="FFFFFF"/>
          </w:tcPr>
          <w:p w14:paraId="65E86549" w14:textId="77777777" w:rsidR="001608E9" w:rsidRPr="009E06AA" w:rsidRDefault="001608E9" w:rsidP="00B55F24">
            <w:pPr>
              <w:pStyle w:val="TableText"/>
              <w:spacing w:before="50" w:after="50"/>
              <w:rPr>
                <w:color w:val="000000"/>
                <w:szCs w:val="16"/>
              </w:rPr>
            </w:pPr>
            <w:r w:rsidRPr="009E06AA">
              <w:rPr>
                <w:rFonts w:cs="Calibri"/>
                <w:color w:val="000000"/>
              </w:rPr>
              <w:t>CO</w:t>
            </w:r>
            <w:r w:rsidRPr="009E06AA">
              <w:rPr>
                <w:rFonts w:cs="Calibri"/>
                <w:color w:val="000000"/>
                <w:vertAlign w:val="subscript"/>
              </w:rPr>
              <w:t>2</w:t>
            </w:r>
          </w:p>
        </w:tc>
        <w:tc>
          <w:tcPr>
            <w:tcW w:w="1275" w:type="dxa"/>
            <w:shd w:val="clear" w:color="auto" w:fill="FFFFFF"/>
          </w:tcPr>
          <w:p w14:paraId="1F8299B5" w14:textId="77777777" w:rsidR="001608E9" w:rsidRPr="009E06AA" w:rsidRDefault="001608E9" w:rsidP="00B55F24">
            <w:pPr>
              <w:pStyle w:val="TableText"/>
              <w:spacing w:before="50" w:after="50"/>
              <w:rPr>
                <w:color w:val="000000"/>
                <w:szCs w:val="16"/>
              </w:rPr>
            </w:pPr>
            <w:r w:rsidRPr="009E06AA">
              <w:rPr>
                <w:rFonts w:cs="Calibri"/>
                <w:color w:val="000000"/>
              </w:rPr>
              <w:t>L1</w:t>
            </w:r>
          </w:p>
        </w:tc>
      </w:tr>
      <w:tr w:rsidR="001608E9" w:rsidRPr="009E06AA" w14:paraId="69047330" w14:textId="77777777" w:rsidTr="00B55F24">
        <w:trPr>
          <w:trHeight w:val="305"/>
        </w:trPr>
        <w:tc>
          <w:tcPr>
            <w:tcW w:w="1426" w:type="dxa"/>
            <w:shd w:val="clear" w:color="auto" w:fill="FFFFFF"/>
          </w:tcPr>
          <w:p w14:paraId="3363D9D4" w14:textId="77777777" w:rsidR="001608E9" w:rsidRPr="009E06AA" w:rsidRDefault="001608E9" w:rsidP="00B55F24">
            <w:pPr>
              <w:pStyle w:val="TableText"/>
              <w:spacing w:before="50" w:after="50"/>
            </w:pPr>
            <w:r w:rsidRPr="009E06AA">
              <w:rPr>
                <w:rFonts w:cs="Calibri"/>
                <w:color w:val="000000"/>
              </w:rPr>
              <w:t>2.C.3</w:t>
            </w:r>
          </w:p>
        </w:tc>
        <w:tc>
          <w:tcPr>
            <w:tcW w:w="5056" w:type="dxa"/>
            <w:shd w:val="clear" w:color="auto" w:fill="FFFFFF"/>
          </w:tcPr>
          <w:p w14:paraId="18A866AC" w14:textId="77777777" w:rsidR="001608E9" w:rsidRPr="009E06AA" w:rsidRDefault="001608E9" w:rsidP="00B55F24">
            <w:pPr>
              <w:pStyle w:val="TableText"/>
              <w:spacing w:before="50" w:after="50"/>
              <w:rPr>
                <w:color w:val="000000"/>
                <w:szCs w:val="16"/>
              </w:rPr>
            </w:pPr>
            <w:r w:rsidRPr="009E06AA">
              <w:rPr>
                <w:rFonts w:cs="Calibri"/>
                <w:color w:val="000000"/>
              </w:rPr>
              <w:t>Metal Industry – Aluminium Production</w:t>
            </w:r>
          </w:p>
        </w:tc>
        <w:tc>
          <w:tcPr>
            <w:tcW w:w="748" w:type="dxa"/>
            <w:shd w:val="clear" w:color="auto" w:fill="FFFFFF"/>
          </w:tcPr>
          <w:p w14:paraId="0F7780FF" w14:textId="77777777" w:rsidR="001608E9" w:rsidRPr="009E06AA" w:rsidRDefault="001608E9" w:rsidP="00B55F24">
            <w:pPr>
              <w:pStyle w:val="TableText"/>
              <w:spacing w:before="50" w:after="50"/>
              <w:rPr>
                <w:color w:val="000000"/>
                <w:szCs w:val="16"/>
              </w:rPr>
            </w:pPr>
            <w:r w:rsidRPr="009E06AA">
              <w:rPr>
                <w:rFonts w:cs="Calibri"/>
                <w:color w:val="000000"/>
              </w:rPr>
              <w:t>PFCs</w:t>
            </w:r>
          </w:p>
        </w:tc>
        <w:tc>
          <w:tcPr>
            <w:tcW w:w="1275" w:type="dxa"/>
            <w:shd w:val="clear" w:color="auto" w:fill="FFFFFF"/>
          </w:tcPr>
          <w:p w14:paraId="769C6610" w14:textId="77777777" w:rsidR="001608E9" w:rsidRPr="009E06AA" w:rsidRDefault="001608E9" w:rsidP="00B55F24">
            <w:pPr>
              <w:pStyle w:val="TableText"/>
              <w:spacing w:before="50" w:after="50"/>
              <w:rPr>
                <w:color w:val="000000"/>
                <w:szCs w:val="16"/>
              </w:rPr>
            </w:pPr>
            <w:r w:rsidRPr="009E06AA">
              <w:rPr>
                <w:rFonts w:cs="Calibri"/>
                <w:color w:val="000000"/>
              </w:rPr>
              <w:t>T1</w:t>
            </w:r>
          </w:p>
        </w:tc>
      </w:tr>
      <w:tr w:rsidR="001608E9" w:rsidRPr="009E06AA" w14:paraId="1E044C9C" w14:textId="77777777" w:rsidTr="00B55F24">
        <w:trPr>
          <w:trHeight w:val="305"/>
        </w:trPr>
        <w:tc>
          <w:tcPr>
            <w:tcW w:w="1426" w:type="dxa"/>
            <w:shd w:val="clear" w:color="auto" w:fill="FFFFFF"/>
          </w:tcPr>
          <w:p w14:paraId="6AC3F08C" w14:textId="77777777" w:rsidR="001608E9" w:rsidRPr="009E06AA" w:rsidRDefault="001608E9" w:rsidP="00B55F24">
            <w:pPr>
              <w:pStyle w:val="TableText"/>
              <w:spacing w:before="50" w:after="50"/>
            </w:pPr>
            <w:r w:rsidRPr="009E06AA">
              <w:rPr>
                <w:rFonts w:cs="Calibri"/>
                <w:color w:val="000000"/>
              </w:rPr>
              <w:t>2.F.1</w:t>
            </w:r>
          </w:p>
        </w:tc>
        <w:tc>
          <w:tcPr>
            <w:tcW w:w="5056" w:type="dxa"/>
            <w:shd w:val="clear" w:color="auto" w:fill="FFFFFF"/>
          </w:tcPr>
          <w:p w14:paraId="79F00B37" w14:textId="77777777" w:rsidR="001608E9" w:rsidRPr="009E06AA" w:rsidRDefault="001608E9" w:rsidP="00B55F24">
            <w:pPr>
              <w:pStyle w:val="TableText"/>
              <w:spacing w:before="50" w:after="50"/>
              <w:rPr>
                <w:color w:val="000000"/>
                <w:szCs w:val="16"/>
              </w:rPr>
            </w:pPr>
            <w:r w:rsidRPr="009E06AA">
              <w:rPr>
                <w:rFonts w:cs="Calibri"/>
                <w:color w:val="000000"/>
              </w:rPr>
              <w:t>Product Uses as Substitutes for ODS – Refrigeration and Air conditioning</w:t>
            </w:r>
          </w:p>
        </w:tc>
        <w:tc>
          <w:tcPr>
            <w:tcW w:w="748" w:type="dxa"/>
            <w:shd w:val="clear" w:color="auto" w:fill="FFFFFF"/>
          </w:tcPr>
          <w:p w14:paraId="08EB2D74" w14:textId="77777777" w:rsidR="001608E9" w:rsidRPr="009E06AA" w:rsidRDefault="001608E9" w:rsidP="00B55F24">
            <w:pPr>
              <w:pStyle w:val="TableText"/>
              <w:spacing w:before="50" w:after="50"/>
              <w:rPr>
                <w:color w:val="000000"/>
                <w:szCs w:val="16"/>
              </w:rPr>
            </w:pPr>
            <w:r w:rsidRPr="009E06AA">
              <w:rPr>
                <w:rFonts w:cs="Calibri"/>
                <w:color w:val="000000"/>
              </w:rPr>
              <w:t>HFCs</w:t>
            </w:r>
          </w:p>
        </w:tc>
        <w:tc>
          <w:tcPr>
            <w:tcW w:w="1275" w:type="dxa"/>
            <w:shd w:val="clear" w:color="auto" w:fill="FFFFFF"/>
          </w:tcPr>
          <w:p w14:paraId="413B60FB" w14:textId="77777777" w:rsidR="001608E9" w:rsidRPr="009E06AA" w:rsidRDefault="001608E9" w:rsidP="00B55F24">
            <w:pPr>
              <w:pStyle w:val="TableText"/>
              <w:spacing w:before="50" w:after="50"/>
              <w:rPr>
                <w:color w:val="000000"/>
                <w:szCs w:val="16"/>
              </w:rPr>
            </w:pPr>
            <w:r w:rsidRPr="009E06AA">
              <w:rPr>
                <w:rFonts w:cs="Calibri"/>
                <w:color w:val="000000"/>
              </w:rPr>
              <w:t>L1, T1</w:t>
            </w:r>
          </w:p>
        </w:tc>
      </w:tr>
    </w:tbl>
    <w:p w14:paraId="25FBC4D4" w14:textId="2346EAE6" w:rsidR="001608E9" w:rsidRPr="009E06AA" w:rsidRDefault="001608E9" w:rsidP="001608E9">
      <w:pPr>
        <w:pStyle w:val="Noteundertable"/>
      </w:pPr>
      <w:r w:rsidRPr="009E06AA">
        <w:rPr>
          <w:rFonts w:cs="Arial"/>
          <w:b/>
        </w:rPr>
        <w:t>Note:</w:t>
      </w:r>
      <w:r w:rsidRPr="009E06AA">
        <w:rPr>
          <w:rFonts w:cs="Arial"/>
        </w:rPr>
        <w:tab/>
      </w:r>
      <w:r w:rsidRPr="009E06AA">
        <w:t xml:space="preserve">L1 means a key category is identified under the level analysis – approach 1 and T1 is trend analysis </w:t>
      </w:r>
      <w:r w:rsidRPr="009E06AA">
        <w:br/>
        <w:t>– approach 1. Refer to chapter 1</w:t>
      </w:r>
      <w:r w:rsidR="003A42BD" w:rsidRPr="009E06AA">
        <w:t xml:space="preserve">, section </w:t>
      </w:r>
      <w:r w:rsidR="00BF5F5F" w:rsidRPr="009E06AA">
        <w:t>1.4,</w:t>
      </w:r>
      <w:r w:rsidRPr="009E06AA">
        <w:t xml:space="preserve"> for more information.</w:t>
      </w:r>
    </w:p>
    <w:p w14:paraId="46BACFC8" w14:textId="77777777" w:rsidR="001608E9" w:rsidRPr="009E06AA" w:rsidRDefault="001608E9" w:rsidP="001608E9">
      <w:pPr>
        <w:pStyle w:val="Heading3"/>
        <w:spacing w:before="240"/>
      </w:pPr>
      <w:bookmarkStart w:id="504" w:name="_Toc158647324"/>
      <w:r w:rsidRPr="009E06AA">
        <w:t>4.1.4</w:t>
      </w:r>
      <w:r w:rsidRPr="009E06AA">
        <w:tab/>
        <w:t>Methodological issues for the IPPU sector</w:t>
      </w:r>
      <w:bookmarkEnd w:id="504"/>
    </w:p>
    <w:p w14:paraId="07C21289" w14:textId="77777777" w:rsidR="001608E9" w:rsidRPr="009E06AA" w:rsidRDefault="001608E9" w:rsidP="001608E9">
      <w:pPr>
        <w:pStyle w:val="BodyText"/>
        <w:rPr>
          <w:rFonts w:eastAsia="+mn-ea"/>
        </w:rPr>
      </w:pPr>
      <w:r w:rsidRPr="009E06AA">
        <w:rPr>
          <w:rFonts w:eastAsia="+mn-ea"/>
        </w:rPr>
        <w:t xml:space="preserve">Activity data in the IPPU sector have been derived from a variety of sources. In the </w:t>
      </w:r>
      <w:r w:rsidRPr="009E06AA">
        <w:rPr>
          <w:rFonts w:eastAsia="+mn-ea"/>
          <w:i/>
        </w:rPr>
        <w:t>Mineral industry</w:t>
      </w:r>
      <w:r w:rsidRPr="009E06AA">
        <w:rPr>
          <w:rFonts w:eastAsia="+mn-ea"/>
        </w:rPr>
        <w:t xml:space="preserve"> category, the primary data source is emissions data reported under the New Zealand Emissions Trading Scheme (NZ ETS). For the </w:t>
      </w:r>
      <w:r w:rsidRPr="009E06AA">
        <w:rPr>
          <w:rFonts w:eastAsia="+mn-ea"/>
          <w:i/>
        </w:rPr>
        <w:t>Chemical industry</w:t>
      </w:r>
      <w:r w:rsidRPr="009E06AA">
        <w:rPr>
          <w:rFonts w:eastAsia="+mn-ea"/>
        </w:rPr>
        <w:t xml:space="preserve"> and </w:t>
      </w:r>
      <w:r w:rsidRPr="009E06AA">
        <w:rPr>
          <w:rFonts w:eastAsia="+mn-ea"/>
          <w:i/>
        </w:rPr>
        <w:t>Metal industry</w:t>
      </w:r>
      <w:r w:rsidRPr="009E06AA">
        <w:rPr>
          <w:rFonts w:eastAsia="+mn-ea"/>
        </w:rPr>
        <w:t xml:space="preserve"> categories, data (including activity data) are provided to the Ministry of Business, Innovation and Employment (MBIE) in response to an annual survey. </w:t>
      </w:r>
    </w:p>
    <w:p w14:paraId="3B4DD44E" w14:textId="77777777" w:rsidR="001608E9" w:rsidRPr="009E06AA" w:rsidRDefault="001608E9" w:rsidP="001608E9">
      <w:pPr>
        <w:pStyle w:val="BodyText"/>
        <w:rPr>
          <w:rFonts w:eastAsia="+mn-ea"/>
        </w:rPr>
      </w:pPr>
      <w:r w:rsidRPr="009E06AA">
        <w:rPr>
          <w:rFonts w:eastAsia="+mn-ea"/>
        </w:rPr>
        <w:t xml:space="preserve">The small scale of New Zealand’s industry sector means some activities are carried out by only one or two companies. As a result, the data and emissions information supplied by these companies, in response to surveys, are frequently bound by confidentiality obligations, preventing the publication of their specific activity. The implications for reporting of activity data and emissions are as follows: </w:t>
      </w:r>
    </w:p>
    <w:p w14:paraId="33D69991" w14:textId="36F76B6E" w:rsidR="001608E9" w:rsidRPr="009E06AA" w:rsidRDefault="001608E9" w:rsidP="001608E9">
      <w:pPr>
        <w:pStyle w:val="Bullet"/>
      </w:pPr>
      <w:r w:rsidRPr="009E06AA">
        <w:t>activity data for cement, steel and glass production are reported as confidential in the</w:t>
      </w:r>
      <w:r w:rsidR="00206328" w:rsidRPr="009E06AA">
        <w:t> </w:t>
      </w:r>
      <w:r w:rsidRPr="009E06AA">
        <w:t>CRT</w:t>
      </w:r>
      <w:r w:rsidR="001433D8" w:rsidRPr="009E06AA">
        <w:t>s</w:t>
      </w:r>
    </w:p>
    <w:p w14:paraId="4ACE125D" w14:textId="77777777" w:rsidR="001608E9" w:rsidRPr="009E06AA" w:rsidRDefault="001608E9" w:rsidP="001608E9">
      <w:pPr>
        <w:pStyle w:val="Bullet"/>
      </w:pPr>
      <w:r w:rsidRPr="009E06AA">
        <w:t xml:space="preserve">emissions data for glass production (2.A.3) are reported in </w:t>
      </w:r>
      <w:r w:rsidRPr="009E06AA">
        <w:rPr>
          <w:i/>
          <w:iCs/>
        </w:rPr>
        <w:t>Other process uses of carbonates</w:t>
      </w:r>
      <w:r w:rsidRPr="009E06AA">
        <w:t xml:space="preserve"> category (2.A.4) </w:t>
      </w:r>
    </w:p>
    <w:p w14:paraId="5EA34696" w14:textId="77777777" w:rsidR="001608E9" w:rsidRPr="009E06AA" w:rsidRDefault="001608E9" w:rsidP="001608E9">
      <w:pPr>
        <w:pStyle w:val="Bullet"/>
      </w:pPr>
      <w:r w:rsidRPr="009E06AA">
        <w:t xml:space="preserve">emissions from gas used for energy purposes in ammonia production are reported in the </w:t>
      </w:r>
      <w:r w:rsidRPr="009E06AA">
        <w:rPr>
          <w:i/>
          <w:iCs/>
        </w:rPr>
        <w:t xml:space="preserve">Manufacturing industries and construction </w:t>
      </w:r>
      <w:r w:rsidRPr="009E06AA">
        <w:t xml:space="preserve">category in the Energy sector (1.A.2.c) where this information can be aggregated with other companies. Only chemical feedstock gas is reported in the </w:t>
      </w:r>
      <w:r w:rsidRPr="009E06AA">
        <w:rPr>
          <w:i/>
          <w:iCs/>
        </w:rPr>
        <w:t>Chemical industry</w:t>
      </w:r>
      <w:r w:rsidRPr="009E06AA">
        <w:t xml:space="preserve"> category. Total energy use for the ammonia–urea plant is not disclosed</w:t>
      </w:r>
    </w:p>
    <w:p w14:paraId="38D7C94D" w14:textId="77777777" w:rsidR="001608E9" w:rsidRPr="009E06AA" w:rsidRDefault="001608E9" w:rsidP="001608E9">
      <w:pPr>
        <w:pStyle w:val="Bullet"/>
      </w:pPr>
      <w:r w:rsidRPr="009E06AA">
        <w:t xml:space="preserve">fuel-related emissions from ammonia production are reported under the Energy sector. </w:t>
      </w:r>
    </w:p>
    <w:p w14:paraId="49525C86" w14:textId="77777777" w:rsidR="001608E9" w:rsidRPr="009E06AA" w:rsidRDefault="001608E9" w:rsidP="001608E9">
      <w:pPr>
        <w:pStyle w:val="BodyText"/>
      </w:pPr>
      <w:r w:rsidRPr="009E06AA">
        <w:t xml:space="preserve">For the </w:t>
      </w:r>
      <w:r w:rsidRPr="009E06AA">
        <w:rPr>
          <w:i/>
          <w:iCs/>
        </w:rPr>
        <w:t>Product uses as substitutes for ODS</w:t>
      </w:r>
      <w:r w:rsidRPr="009E06AA">
        <w:t xml:space="preserve"> category, updated activity data were obtained through a detailed annual survey covering the electrical, refrigeration and other industry participants (CRL Energy Ltd, unpublished(a)), as well as importers of HFCs and other substances in this category. </w:t>
      </w:r>
    </w:p>
    <w:p w14:paraId="77B45A71" w14:textId="77777777" w:rsidR="001608E9" w:rsidRPr="009E06AA" w:rsidRDefault="001608E9" w:rsidP="001608E9">
      <w:pPr>
        <w:pStyle w:val="BodyText"/>
      </w:pPr>
      <w:r w:rsidRPr="009E06AA">
        <w:t xml:space="preserve">For small amounts of indirect greenhouse gas emissions reported in the </w:t>
      </w:r>
      <w:r w:rsidRPr="009E06AA">
        <w:rPr>
          <w:i/>
        </w:rPr>
        <w:t>Chemical industry</w:t>
      </w:r>
      <w:r w:rsidRPr="009E06AA">
        <w:t xml:space="preserve"> category and the </w:t>
      </w:r>
      <w:r w:rsidRPr="009E06AA">
        <w:rPr>
          <w:i/>
        </w:rPr>
        <w:t>Other product manufacture and use</w:t>
      </w:r>
      <w:r w:rsidRPr="009E06AA">
        <w:t xml:space="preserve"> category, data were obtained by a detailed industry survey and analysed in 2006 (CRL Energy, unpublished(a)). Emissions and activity data have been extrapolated for the years since that time. </w:t>
      </w:r>
    </w:p>
    <w:p w14:paraId="5CFE921E" w14:textId="77777777" w:rsidR="001608E9" w:rsidRPr="009E06AA" w:rsidRDefault="001608E9" w:rsidP="001608E9">
      <w:pPr>
        <w:pStyle w:val="BodyText"/>
      </w:pPr>
      <w:r w:rsidRPr="009E06AA">
        <w:t>New Zealand uses a combination of Intergovernmental Panel on Climate Change (IPCC) Tier 1 and Tier 2 methods for the IPPU sector. Tier 2 methods are used for all key categories. Country-specific emission factors have been used where available, including for emissions of indirect greenhouse gases.</w:t>
      </w:r>
    </w:p>
    <w:p w14:paraId="2D38667C" w14:textId="77777777" w:rsidR="001608E9" w:rsidRPr="009E06AA" w:rsidRDefault="001608E9" w:rsidP="001608E9">
      <w:pPr>
        <w:pStyle w:val="Heading3"/>
      </w:pPr>
      <w:bookmarkStart w:id="505" w:name="_Toc158647325"/>
      <w:r w:rsidRPr="009E06AA">
        <w:t>4.1.5</w:t>
      </w:r>
      <w:r w:rsidRPr="009E06AA">
        <w:tab/>
        <w:t>Uncertainties</w:t>
      </w:r>
      <w:bookmarkEnd w:id="505"/>
    </w:p>
    <w:p w14:paraId="67C077DD" w14:textId="77777777" w:rsidR="001608E9" w:rsidRPr="009E06AA" w:rsidRDefault="001608E9" w:rsidP="001608E9">
      <w:pPr>
        <w:pStyle w:val="BodyText"/>
      </w:pPr>
      <w:r w:rsidRPr="009E06AA">
        <w:t>Each category addresses specific uncertainties, with the default uncertainties from the IPCC being applied in almost all instances.</w:t>
      </w:r>
    </w:p>
    <w:p w14:paraId="5DC34ACD" w14:textId="77777777" w:rsidR="001608E9" w:rsidRPr="009E06AA" w:rsidRDefault="001608E9" w:rsidP="001608E9">
      <w:pPr>
        <w:pStyle w:val="BodyText"/>
      </w:pPr>
      <w:r w:rsidRPr="009E06AA">
        <w:t xml:space="preserve">Country-specific estimates of uncertainty have been made in the </w:t>
      </w:r>
      <w:r w:rsidRPr="009E06AA">
        <w:rPr>
          <w:rFonts w:eastAsia="+mn-ea"/>
          <w:i/>
        </w:rPr>
        <w:t>Product uses as substitutes for ODS</w:t>
      </w:r>
      <w:r w:rsidRPr="009E06AA">
        <w:rPr>
          <w:rFonts w:eastAsia="+mn-ea"/>
        </w:rPr>
        <w:t xml:space="preserve"> category, reflecting the quality of data provided by survey respondents, and have been updated as needed for this submission</w:t>
      </w:r>
      <w:r w:rsidRPr="009E06AA">
        <w:t xml:space="preserve">. </w:t>
      </w:r>
    </w:p>
    <w:p w14:paraId="28197B6F" w14:textId="77777777" w:rsidR="001608E9" w:rsidRPr="009E06AA" w:rsidRDefault="001608E9" w:rsidP="001608E9">
      <w:pPr>
        <w:pStyle w:val="Heading3"/>
      </w:pPr>
      <w:bookmarkStart w:id="506" w:name="_Toc158647326"/>
      <w:r w:rsidRPr="009E06AA">
        <w:t>4.1.6</w:t>
      </w:r>
      <w:r w:rsidRPr="009E06AA">
        <w:tab/>
        <w:t>Verification</w:t>
      </w:r>
      <w:bookmarkEnd w:id="506"/>
    </w:p>
    <w:p w14:paraId="74A10672" w14:textId="77777777" w:rsidR="001608E9" w:rsidRPr="009E06AA" w:rsidRDefault="001608E9" w:rsidP="001608E9">
      <w:pPr>
        <w:pStyle w:val="BodyText"/>
      </w:pPr>
      <w:r w:rsidRPr="009E06AA">
        <w:t>The inventory agency (the Ministry for the Environment) verified information on CO</w:t>
      </w:r>
      <w:r w:rsidRPr="009E06AA">
        <w:rPr>
          <w:vertAlign w:val="subscript"/>
        </w:rPr>
        <w:t>2</w:t>
      </w:r>
      <w:r w:rsidRPr="009E06AA">
        <w:t xml:space="preserve"> emissions reported in the </w:t>
      </w:r>
      <w:r w:rsidRPr="009E06AA">
        <w:rPr>
          <w:i/>
        </w:rPr>
        <w:t>Iron and steel production</w:t>
      </w:r>
      <w:r w:rsidRPr="009E06AA">
        <w:t xml:space="preserve"> category against information provided by these industries as participants in the NZ ETS. </w:t>
      </w:r>
    </w:p>
    <w:p w14:paraId="60813B4C" w14:textId="77777777" w:rsidR="001608E9" w:rsidRPr="009E06AA" w:rsidRDefault="001608E9" w:rsidP="001608E9">
      <w:pPr>
        <w:pStyle w:val="BodyText"/>
      </w:pPr>
      <w:r w:rsidRPr="009E06AA">
        <w:t xml:space="preserve">For PFCs in the </w:t>
      </w:r>
      <w:r w:rsidRPr="009E06AA">
        <w:rPr>
          <w:i/>
        </w:rPr>
        <w:t>Aluminium production</w:t>
      </w:r>
      <w:r w:rsidRPr="009E06AA">
        <w:t xml:space="preserve"> category and for CO</w:t>
      </w:r>
      <w:r w:rsidRPr="009E06AA">
        <w:rPr>
          <w:vertAlign w:val="subscript"/>
        </w:rPr>
        <w:t>2</w:t>
      </w:r>
      <w:r w:rsidRPr="009E06AA">
        <w:t xml:space="preserve"> in the </w:t>
      </w:r>
      <w:r w:rsidRPr="009E06AA">
        <w:rPr>
          <w:i/>
        </w:rPr>
        <w:t>Mineral industry</w:t>
      </w:r>
      <w:r w:rsidRPr="009E06AA">
        <w:t xml:space="preserve"> category, the NZ ETS is used as the primary data source. Verification is done over time as ETS returns are verified by the Environmental Protection Authority (EPA), the agency that administers the NZ ETS. </w:t>
      </w:r>
    </w:p>
    <w:p w14:paraId="58CCC46D" w14:textId="77777777" w:rsidR="001608E9" w:rsidRPr="009E06AA" w:rsidRDefault="001608E9" w:rsidP="001608E9">
      <w:pPr>
        <w:pStyle w:val="BodyText"/>
      </w:pPr>
      <w:r w:rsidRPr="009E06AA">
        <w:t xml:space="preserve">All data supplied in response to annual surveys (for the </w:t>
      </w:r>
      <w:r w:rsidRPr="009E06AA">
        <w:rPr>
          <w:i/>
        </w:rPr>
        <w:t>Chemical industry</w:t>
      </w:r>
      <w:r w:rsidRPr="009E06AA">
        <w:t xml:space="preserve">, </w:t>
      </w:r>
      <w:r w:rsidRPr="009E06AA">
        <w:rPr>
          <w:i/>
        </w:rPr>
        <w:t>Metal industry</w:t>
      </w:r>
      <w:r w:rsidRPr="009E06AA">
        <w:t xml:space="preserve"> and </w:t>
      </w:r>
      <w:r w:rsidRPr="009E06AA">
        <w:rPr>
          <w:i/>
        </w:rPr>
        <w:t>Product uses as substitutes for ODS</w:t>
      </w:r>
      <w:r w:rsidRPr="009E06AA">
        <w:t xml:space="preserve"> categories) were verified against national totals or other publicly available information. Where possible, anomalous data were followed up and checked. </w:t>
      </w:r>
    </w:p>
    <w:p w14:paraId="42986011" w14:textId="77777777" w:rsidR="001608E9" w:rsidRPr="009E06AA" w:rsidRDefault="001608E9" w:rsidP="001608E9">
      <w:pPr>
        <w:pStyle w:val="Heading3"/>
      </w:pPr>
      <w:bookmarkStart w:id="507" w:name="_Toc158647327"/>
      <w:r w:rsidRPr="009E06AA">
        <w:t>4.1.7</w:t>
      </w:r>
      <w:r w:rsidRPr="009E06AA">
        <w:tab/>
        <w:t>Recalculations and improvements</w:t>
      </w:r>
      <w:bookmarkEnd w:id="507"/>
    </w:p>
    <w:p w14:paraId="6AAA372D" w14:textId="17176D2B" w:rsidR="001608E9" w:rsidRPr="009E06AA" w:rsidRDefault="001608E9" w:rsidP="001608E9">
      <w:pPr>
        <w:pStyle w:val="BodyText"/>
      </w:pPr>
      <w:r w:rsidRPr="009E06AA">
        <w:t>Throughout this chapter, recalculations are presented by applying 100-year time horizon global warming potential values from the IPCC Fifth Assessment Report (IPCC, 2013) for both the previous and current submission, to ensure a like-for-like comparison. The change from applying the 100-year time horizon global warming potential values from the IPCC’s Fourth Assessment Report (IPCC, 2007) in the previous submission to applying the Fifth Assessment Report values in the current submission has not been considered as a recalculation to the inventory.</w:t>
      </w:r>
    </w:p>
    <w:p w14:paraId="1F13B2BC" w14:textId="77777777" w:rsidR="001608E9" w:rsidRPr="009E06AA" w:rsidRDefault="001608E9" w:rsidP="001608E9">
      <w:pPr>
        <w:pStyle w:val="BodyText"/>
        <w:spacing w:before="100" w:after="100"/>
      </w:pPr>
      <w:r w:rsidRPr="009E06AA">
        <w:t xml:space="preserve">For this submission, the following factors in the </w:t>
      </w:r>
      <w:r w:rsidRPr="009E06AA">
        <w:rPr>
          <w:i/>
        </w:rPr>
        <w:t>Refrigeration and air conditioning</w:t>
      </w:r>
      <w:r w:rsidRPr="009E06AA">
        <w:t xml:space="preserve"> category were re-estimated to better account for changes in stocks held by importers and users (e.g., reduced early retirement of heat pumps; reduced amount of refrigerant recycling; reassessment of historical emissions between 2014–20; and increased additional early retirement with a consequent spike in the air conditioning disposal emissions trend). </w:t>
      </w:r>
    </w:p>
    <w:p w14:paraId="51BC93AA" w14:textId="77777777" w:rsidR="001608E9" w:rsidRPr="009E06AA" w:rsidRDefault="001608E9" w:rsidP="001608E9">
      <w:pPr>
        <w:pStyle w:val="Heading3"/>
        <w:spacing w:before="280" w:line="360" w:lineRule="atLeast"/>
      </w:pPr>
      <w:bookmarkStart w:id="508" w:name="_Toc158647328"/>
      <w:r w:rsidRPr="009E06AA">
        <w:t>4.1.8</w:t>
      </w:r>
      <w:r w:rsidRPr="009E06AA">
        <w:tab/>
        <w:t>Quality-assurance and quality-control (QA/QC) processes</w:t>
      </w:r>
      <w:bookmarkEnd w:id="508"/>
    </w:p>
    <w:p w14:paraId="4A79B188" w14:textId="77777777" w:rsidR="001608E9" w:rsidRPr="009E06AA" w:rsidRDefault="001608E9" w:rsidP="001608E9">
      <w:pPr>
        <w:pStyle w:val="BodyText"/>
        <w:keepLines/>
        <w:spacing w:before="100" w:after="100"/>
      </w:pPr>
      <w:bookmarkStart w:id="509" w:name="_Toc447275687"/>
      <w:bookmarkStart w:id="510" w:name="_Toc414531601"/>
      <w:r w:rsidRPr="009E06AA">
        <w:t xml:space="preserve">Tier 1 quality checks were carried out on all data collected for this sector, with minor exceptions where data did not require updating. Figure 4.1.3 describes the quality control process map for the IPPU sector. Verification against independent data sources was possible only in specific cases, such as the comparison of NZ ETS returns against data submitted in response to surveys. </w:t>
      </w:r>
    </w:p>
    <w:p w14:paraId="399C80E7" w14:textId="77777777" w:rsidR="001608E9" w:rsidRPr="009E06AA" w:rsidRDefault="001608E9" w:rsidP="001608E9">
      <w:pPr>
        <w:pStyle w:val="Figure"/>
      </w:pPr>
      <w:bookmarkStart w:id="511" w:name="_Toc5269681"/>
      <w:bookmarkStart w:id="512" w:name="_Toc36292784"/>
      <w:bookmarkStart w:id="513" w:name="_Toc68786649"/>
      <w:bookmarkStart w:id="514" w:name="_Toc131591551"/>
      <w:bookmarkStart w:id="515" w:name="_Toc164154019"/>
      <w:r w:rsidRPr="009E06AA">
        <w:t xml:space="preserve">Figure 4.1.3 </w:t>
      </w:r>
      <w:r w:rsidRPr="009E06AA">
        <w:tab/>
        <w:t>Example: Tier 1 quality checks for the IPPU sector</w:t>
      </w:r>
      <w:bookmarkEnd w:id="509"/>
      <w:bookmarkEnd w:id="510"/>
      <w:bookmarkEnd w:id="511"/>
      <w:bookmarkEnd w:id="512"/>
      <w:bookmarkEnd w:id="513"/>
      <w:bookmarkEnd w:id="514"/>
      <w:bookmarkEnd w:id="515"/>
    </w:p>
    <w:p w14:paraId="4409F73C" w14:textId="740D6ABD" w:rsidR="001608E9" w:rsidRPr="009E06AA" w:rsidRDefault="00CB5EEC" w:rsidP="001608E9">
      <w:pPr>
        <w:pStyle w:val="BodyText"/>
      </w:pPr>
      <w:r w:rsidRPr="009E06AA">
        <w:rPr>
          <w:noProof/>
        </w:rPr>
        <w:drawing>
          <wp:inline distT="0" distB="0" distL="0" distR="0" wp14:anchorId="41C4DB88" wp14:editId="4EA9AE21">
            <wp:extent cx="5018600" cy="6463210"/>
            <wp:effectExtent l="0" t="0" r="0" b="0"/>
            <wp:docPr id="898492539" name="Picture 1" descr="A diagram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492539" name="Picture 1" descr="A diagram of a company&#10;&#10;Description automatically generated"/>
                    <pic:cNvPicPr/>
                  </pic:nvPicPr>
                  <pic:blipFill rotWithShape="1">
                    <a:blip r:embed="rId82" cstate="print">
                      <a:extLst>
                        <a:ext uri="{28A0092B-C50C-407E-A947-70E740481C1C}">
                          <a14:useLocalDpi xmlns:a14="http://schemas.microsoft.com/office/drawing/2010/main" val="0"/>
                        </a:ext>
                      </a:extLst>
                    </a:blip>
                    <a:srcRect t="11365" b="11349"/>
                    <a:stretch/>
                  </pic:blipFill>
                  <pic:spPr bwMode="auto">
                    <a:xfrm>
                      <a:off x="0" y="0"/>
                      <a:ext cx="5018600" cy="6463210"/>
                    </a:xfrm>
                    <a:prstGeom prst="rect">
                      <a:avLst/>
                    </a:prstGeom>
                    <a:ln>
                      <a:noFill/>
                    </a:ln>
                    <a:extLst>
                      <a:ext uri="{53640926-AAD7-44D8-BBD7-CCE9431645EC}">
                        <a14:shadowObscured xmlns:a14="http://schemas.microsoft.com/office/drawing/2010/main"/>
                      </a:ext>
                    </a:extLst>
                  </pic:spPr>
                </pic:pic>
              </a:graphicData>
            </a:graphic>
          </wp:inline>
        </w:drawing>
      </w:r>
    </w:p>
    <w:p w14:paraId="4D5E800E" w14:textId="74853035" w:rsidR="001608E9" w:rsidRPr="009E06AA" w:rsidRDefault="001608E9" w:rsidP="001608E9">
      <w:pPr>
        <w:pStyle w:val="Noteundertable"/>
      </w:pPr>
      <w:r w:rsidRPr="009E06AA">
        <w:rPr>
          <w:b/>
          <w:bCs/>
        </w:rPr>
        <w:t>Note</w:t>
      </w:r>
      <w:r w:rsidRPr="009E06AA">
        <w:t xml:space="preserve">: </w:t>
      </w:r>
      <w:r w:rsidR="005E4A58" w:rsidRPr="009E06AA">
        <w:tab/>
      </w:r>
      <w:r w:rsidRPr="009E06AA">
        <w:t>IPCC = Intergovernmental Panel on Climate Change.</w:t>
      </w:r>
    </w:p>
    <w:p w14:paraId="3D6368F6" w14:textId="77777777" w:rsidR="001608E9" w:rsidRPr="009E06AA" w:rsidRDefault="001608E9" w:rsidP="001608E9">
      <w:pPr>
        <w:pStyle w:val="Heading2"/>
        <w:spacing w:before="280"/>
      </w:pPr>
      <w:bookmarkStart w:id="516" w:name="_Toc448321513"/>
      <w:bookmarkStart w:id="517" w:name="_Toc414531293"/>
      <w:bookmarkStart w:id="518" w:name="_Toc5269352"/>
      <w:bookmarkStart w:id="519" w:name="_Toc36224392"/>
      <w:bookmarkStart w:id="520" w:name="_Toc68786312"/>
      <w:bookmarkStart w:id="521" w:name="_Toc131591227"/>
      <w:bookmarkStart w:id="522" w:name="_Toc158647329"/>
      <w:bookmarkStart w:id="523" w:name="_Toc164154181"/>
      <w:r w:rsidRPr="009E06AA">
        <w:t>4.2</w:t>
      </w:r>
      <w:r w:rsidRPr="009E06AA">
        <w:tab/>
        <w:t>Mineral industry (2.A)</w:t>
      </w:r>
      <w:bookmarkEnd w:id="516"/>
      <w:bookmarkEnd w:id="517"/>
      <w:bookmarkEnd w:id="518"/>
      <w:bookmarkEnd w:id="519"/>
      <w:bookmarkEnd w:id="520"/>
      <w:bookmarkEnd w:id="521"/>
      <w:bookmarkEnd w:id="522"/>
      <w:bookmarkEnd w:id="523"/>
    </w:p>
    <w:p w14:paraId="29BE70F9" w14:textId="77777777" w:rsidR="001608E9" w:rsidRPr="009E06AA" w:rsidRDefault="001608E9" w:rsidP="001608E9">
      <w:pPr>
        <w:pStyle w:val="Heading3"/>
        <w:spacing w:before="240"/>
      </w:pPr>
      <w:bookmarkStart w:id="524" w:name="_Toc158647330"/>
      <w:r w:rsidRPr="009E06AA">
        <w:t>4.2.1</w:t>
      </w:r>
      <w:r w:rsidRPr="009E06AA">
        <w:tab/>
        <w:t>Description</w:t>
      </w:r>
      <w:bookmarkEnd w:id="524"/>
    </w:p>
    <w:p w14:paraId="0A00BE80" w14:textId="77777777" w:rsidR="001608E9" w:rsidRPr="009E06AA" w:rsidRDefault="001608E9" w:rsidP="001608E9">
      <w:pPr>
        <w:pStyle w:val="BodyText"/>
        <w:spacing w:before="100"/>
      </w:pPr>
      <w:r w:rsidRPr="009E06AA">
        <w:t xml:space="preserve">Emissions from the </w:t>
      </w:r>
      <w:r w:rsidRPr="009E06AA">
        <w:rPr>
          <w:i/>
        </w:rPr>
        <w:t>Mineral industry</w:t>
      </w:r>
      <w:r w:rsidRPr="009E06AA">
        <w:t xml:space="preserve"> category include CO</w:t>
      </w:r>
      <w:r w:rsidRPr="009E06AA">
        <w:rPr>
          <w:vertAlign w:val="subscript"/>
        </w:rPr>
        <w:t>2</w:t>
      </w:r>
      <w:r w:rsidRPr="009E06AA">
        <w:t xml:space="preserve"> from the calcination of limestone for cement and lime, and from the use of soda ash and limestone in the production of glass, aluminium, and iron and steel. Only CO</w:t>
      </w:r>
      <w:r w:rsidRPr="009E06AA">
        <w:rPr>
          <w:vertAlign w:val="subscript"/>
        </w:rPr>
        <w:t>2</w:t>
      </w:r>
      <w:r w:rsidRPr="009E06AA">
        <w:t xml:space="preserve"> from calcination is reported here. Any emissions from the combustion of fuel to provide heat for these activities are reported </w:t>
      </w:r>
      <w:r w:rsidRPr="009E06AA">
        <w:rPr>
          <w:rFonts w:eastAsia="+mn-ea"/>
        </w:rPr>
        <w:t>under</w:t>
      </w:r>
      <w:r w:rsidRPr="009E06AA">
        <w:t xml:space="preserve"> the Energy sector. </w:t>
      </w:r>
    </w:p>
    <w:p w14:paraId="5998F743" w14:textId="77777777" w:rsidR="001608E9" w:rsidRPr="009E06AA" w:rsidRDefault="001608E9" w:rsidP="001608E9">
      <w:pPr>
        <w:pStyle w:val="BodyText"/>
      </w:pPr>
      <w:r w:rsidRPr="009E06AA">
        <w:t>Only one cement production facility is now operating in New Zealand, a dry-process plant operated by Golden Bay Cement Ltd near Whangārei. Holcim New Zealand Ltd operated a wet</w:t>
      </w:r>
      <w:r w:rsidRPr="009E06AA">
        <w:noBreakHyphen/>
        <w:t xml:space="preserve">process cement plant at Cape Foulwind, on the West Coast of the South Island, but this plant was closed at the end of June 2016 and Holcim is now marketing cement made from imported clinker. Another smaller cement company (Lee Cement Ltd) operated only from 1995 to 1998. The New Zealand cement industry produces clinker from the calcination of limestone and processes it into Portland cement or general-purpose cement. </w:t>
      </w:r>
    </w:p>
    <w:p w14:paraId="5C52991C" w14:textId="77777777" w:rsidR="001608E9" w:rsidRPr="009E06AA" w:rsidRDefault="001608E9" w:rsidP="001608E9">
      <w:pPr>
        <w:pStyle w:val="BodyText"/>
      </w:pPr>
      <w:r w:rsidRPr="009E06AA">
        <w:t xml:space="preserve">Three companies (McDonald’s Lime Ltd, Websters Hydrated Lime Company and Perry Resources Ltd) have a history of making burnt and slaked lime at five different facilities in New Zealand. The industry has been consolidated over time and two companies (Graymont New Zealand and Websters Hydrated Lime Company) now produce most of New Zealand’s burnt and slaked lime. Another company (Lee Processors Limited) reported a small amount of emissions for the 2022 year. </w:t>
      </w:r>
    </w:p>
    <w:p w14:paraId="67C8A3DB" w14:textId="77777777" w:rsidR="001608E9" w:rsidRPr="009E06AA" w:rsidRDefault="001608E9" w:rsidP="001608E9">
      <w:pPr>
        <w:pStyle w:val="BodyText"/>
      </w:pPr>
      <w:r w:rsidRPr="009E06AA">
        <w:t>Small amounts of indirect emissions (sulphur dioxide (SO</w:t>
      </w:r>
      <w:r w:rsidRPr="009E06AA">
        <w:rPr>
          <w:vertAlign w:val="subscript"/>
        </w:rPr>
        <w:t>2</w:t>
      </w:r>
      <w:r w:rsidRPr="009E06AA">
        <w:t xml:space="preserve">) only) from the </w:t>
      </w:r>
      <w:r w:rsidRPr="009E06AA">
        <w:rPr>
          <w:i/>
        </w:rPr>
        <w:t>Cement production</w:t>
      </w:r>
      <w:r w:rsidRPr="009E06AA">
        <w:t xml:space="preserve"> category are also reported. Some emissions of SO</w:t>
      </w:r>
      <w:r w:rsidRPr="009E06AA">
        <w:rPr>
          <w:vertAlign w:val="subscript"/>
        </w:rPr>
        <w:t>2</w:t>
      </w:r>
      <w:r w:rsidRPr="009E06AA">
        <w:t xml:space="preserve"> from the </w:t>
      </w:r>
      <w:r w:rsidRPr="009E06AA">
        <w:rPr>
          <w:i/>
        </w:rPr>
        <w:t>Lime production</w:t>
      </w:r>
      <w:r w:rsidRPr="009E06AA">
        <w:t xml:space="preserve"> category were estimated in 2006 (CRL Energy, </w:t>
      </w:r>
      <w:r w:rsidRPr="009E06AA">
        <w:rPr>
          <w:rFonts w:eastAsia="+mn-ea"/>
        </w:rPr>
        <w:t>unpublished(a)</w:t>
      </w:r>
      <w:r w:rsidRPr="009E06AA">
        <w:t>), but there is currently no provision in the CRTs to report this. Some additional SO</w:t>
      </w:r>
      <w:r w:rsidRPr="009E06AA">
        <w:rPr>
          <w:vertAlign w:val="subscript"/>
        </w:rPr>
        <w:t>2</w:t>
      </w:r>
      <w:r w:rsidRPr="009E06AA">
        <w:t xml:space="preserve"> is derived from sulphur in coal or waste oil used as fuel in cement and lime kilns, and this is reported </w:t>
      </w:r>
      <w:r w:rsidRPr="009E06AA">
        <w:rPr>
          <w:rFonts w:eastAsia="+mn-ea"/>
        </w:rPr>
        <w:t>under</w:t>
      </w:r>
      <w:r w:rsidRPr="009E06AA">
        <w:t xml:space="preserve"> the Energy sector. </w:t>
      </w:r>
    </w:p>
    <w:p w14:paraId="1742FCDA" w14:textId="77777777" w:rsidR="001608E9" w:rsidRPr="009E06AA" w:rsidRDefault="001608E9" w:rsidP="001608E9">
      <w:pPr>
        <w:pStyle w:val="BodyText"/>
      </w:pPr>
      <w:r w:rsidRPr="009E06AA">
        <w:t xml:space="preserve">Two companies make glass in New Zealand, with emissions from the use of soda ash and limestone generated in the process. VISY Glass (formerly O-I) New Zealand makes container glass and Comfort Tech (formerly Tasman Insulation New Zealand Ltd) makes smaller amounts of glass for building insulation products. </w:t>
      </w:r>
    </w:p>
    <w:p w14:paraId="7FEAE712" w14:textId="77777777" w:rsidR="001608E9" w:rsidRPr="009E06AA" w:rsidRDefault="001608E9" w:rsidP="001608E9">
      <w:pPr>
        <w:pStyle w:val="BodyText"/>
      </w:pPr>
      <w:r w:rsidRPr="009E06AA">
        <w:rPr>
          <w:spacing w:val="-2"/>
        </w:rPr>
        <w:t>Limestone and soda ash are also used in the steel and aluminium industries and would normally</w:t>
      </w:r>
      <w:r w:rsidRPr="009E06AA">
        <w:t xml:space="preserve"> be reported in the </w:t>
      </w:r>
      <w:r w:rsidRPr="009E06AA">
        <w:rPr>
          <w:i/>
        </w:rPr>
        <w:t>Metal industry</w:t>
      </w:r>
      <w:r w:rsidRPr="009E06AA">
        <w:t xml:space="preserve"> category. Emissions from this use of mineral inputs are reported in the </w:t>
      </w:r>
      <w:r w:rsidRPr="009E06AA">
        <w:rPr>
          <w:i/>
        </w:rPr>
        <w:t xml:space="preserve">Mineral industry </w:t>
      </w:r>
      <w:r w:rsidRPr="009E06AA">
        <w:t xml:space="preserve">category (see section 4.2.2); the </w:t>
      </w:r>
      <w:r w:rsidRPr="009E06AA" w:rsidDel="00862998">
        <w:t xml:space="preserve">data </w:t>
      </w:r>
      <w:r w:rsidRPr="009E06AA">
        <w:t xml:space="preserve">are aggregated to protect the confidentiality of data provided by these two glass companies. </w:t>
      </w:r>
    </w:p>
    <w:p w14:paraId="71AFA05C" w14:textId="77777777" w:rsidR="001608E9" w:rsidRPr="009E06AA" w:rsidRDefault="001608E9" w:rsidP="001608E9">
      <w:pPr>
        <w:pStyle w:val="BodyText"/>
      </w:pPr>
      <w:r w:rsidRPr="009E06AA">
        <w:t>A very small amount of CO</w:t>
      </w:r>
      <w:r w:rsidRPr="009E06AA">
        <w:rPr>
          <w:vertAlign w:val="subscript"/>
        </w:rPr>
        <w:t>2</w:t>
      </w:r>
      <w:r w:rsidRPr="009E06AA">
        <w:t xml:space="preserve"> is reported from the use of kaolin clays in ceramics production. </w:t>
      </w:r>
    </w:p>
    <w:p w14:paraId="79A7EF51" w14:textId="77777777" w:rsidR="001608E9" w:rsidRPr="009E06AA" w:rsidRDefault="001608E9" w:rsidP="001608E9">
      <w:pPr>
        <w:pStyle w:val="BodyText"/>
      </w:pPr>
      <w:r w:rsidRPr="009E06AA">
        <w:t>The only key category is CO</w:t>
      </w:r>
      <w:r w:rsidRPr="009E06AA">
        <w:rPr>
          <w:vertAlign w:val="subscript"/>
        </w:rPr>
        <w:t>2</w:t>
      </w:r>
      <w:r w:rsidRPr="009E06AA">
        <w:t xml:space="preserve"> emissions from the </w:t>
      </w:r>
      <w:r w:rsidRPr="009E06AA">
        <w:rPr>
          <w:i/>
        </w:rPr>
        <w:t>Cement production</w:t>
      </w:r>
      <w:r w:rsidRPr="009E06AA">
        <w:t xml:space="preserve"> category (level and trend assessment). </w:t>
      </w:r>
    </w:p>
    <w:p w14:paraId="3A94E70B" w14:textId="77777777" w:rsidR="001608E9" w:rsidRPr="009E06AA" w:rsidRDefault="001608E9" w:rsidP="001608E9">
      <w:pPr>
        <w:pStyle w:val="BodyText"/>
      </w:pPr>
      <w:r w:rsidRPr="009E06AA">
        <w:rPr>
          <w:spacing w:val="-2"/>
        </w:rPr>
        <w:t xml:space="preserve">In 2022, the </w:t>
      </w:r>
      <w:r w:rsidRPr="009E06AA">
        <w:rPr>
          <w:i/>
          <w:spacing w:val="-2"/>
        </w:rPr>
        <w:t>Mineral industry</w:t>
      </w:r>
      <w:r w:rsidRPr="009E06AA">
        <w:rPr>
          <w:spacing w:val="-2"/>
        </w:rPr>
        <w:t xml:space="preserve"> category accounted for 565.6 kt CO</w:t>
      </w:r>
      <w:r w:rsidRPr="009E06AA">
        <w:rPr>
          <w:spacing w:val="-2"/>
          <w:vertAlign w:val="subscript"/>
        </w:rPr>
        <w:t>2</w:t>
      </w:r>
      <w:r w:rsidRPr="009E06AA">
        <w:rPr>
          <w:spacing w:val="-2"/>
        </w:rPr>
        <w:t>-e (12.7 per cent) of emissions</w:t>
      </w:r>
      <w:r w:rsidRPr="009E06AA">
        <w:t xml:space="preserve"> from the IPPU sector. This is 3.7 kt (0.7 per cent) above the 1990 emissions. Production of cement, lime and glass containers had previously increased over time, with a peak in 2015 of 869.3 kt CO</w:t>
      </w:r>
      <w:r w:rsidRPr="009E06AA">
        <w:rPr>
          <w:vertAlign w:val="subscript"/>
        </w:rPr>
        <w:t>2</w:t>
      </w:r>
      <w:r w:rsidRPr="009E06AA">
        <w:t xml:space="preserve">-e. Emissions decreased after 2015 due to the closure of the Holcim cement plant. </w:t>
      </w:r>
    </w:p>
    <w:p w14:paraId="7D706B22" w14:textId="77777777" w:rsidR="001608E9" w:rsidRPr="009E06AA" w:rsidRDefault="001608E9" w:rsidP="001608E9">
      <w:pPr>
        <w:pStyle w:val="Heading3"/>
      </w:pPr>
      <w:bookmarkStart w:id="525" w:name="_Toc158647331"/>
      <w:r w:rsidRPr="009E06AA">
        <w:t xml:space="preserve">4.2.2 </w:t>
      </w:r>
      <w:r w:rsidRPr="009E06AA">
        <w:tab/>
        <w:t>Methodological issues</w:t>
      </w:r>
      <w:bookmarkEnd w:id="525"/>
    </w:p>
    <w:p w14:paraId="5CCAE4E5" w14:textId="77777777" w:rsidR="001608E9" w:rsidRPr="009E06AA" w:rsidRDefault="001608E9" w:rsidP="001608E9">
      <w:pPr>
        <w:pStyle w:val="Heading4"/>
        <w:spacing w:before="180"/>
        <w:rPr>
          <w:bCs/>
          <w:iCs/>
        </w:rPr>
      </w:pPr>
      <w:r w:rsidRPr="009E06AA">
        <w:t>Choice of activity data</w:t>
      </w:r>
    </w:p>
    <w:p w14:paraId="6EBC149B" w14:textId="77777777" w:rsidR="001608E9" w:rsidRPr="009E06AA" w:rsidRDefault="001608E9" w:rsidP="00BF2A76">
      <w:pPr>
        <w:pStyle w:val="Heading5"/>
      </w:pPr>
      <w:r w:rsidRPr="009E06AA">
        <w:t>Use of NZ ETS data</w:t>
      </w:r>
    </w:p>
    <w:p w14:paraId="406F8255" w14:textId="77777777" w:rsidR="001608E9" w:rsidRPr="009E06AA" w:rsidRDefault="001608E9" w:rsidP="001608E9">
      <w:pPr>
        <w:pStyle w:val="BodyText"/>
        <w:spacing w:before="100" w:after="100"/>
      </w:pPr>
      <w:r w:rsidRPr="009E06AA">
        <w:t>Firms that use limestone or soda ash in the production of clinker, cement, burnt or slaked lime, or glass have had emission reporting obligations under the NZ ETS since 2010. The emission returns submitted by participants in the NZ ETS are the primary source of data for CO</w:t>
      </w:r>
      <w:r w:rsidRPr="009E06AA">
        <w:rPr>
          <w:vertAlign w:val="subscript"/>
        </w:rPr>
        <w:t>2</w:t>
      </w:r>
      <w:r w:rsidRPr="009E06AA">
        <w:t xml:space="preserve"> emissions from these categories. </w:t>
      </w:r>
    </w:p>
    <w:p w14:paraId="10E7D2D2" w14:textId="77777777" w:rsidR="001608E9" w:rsidRPr="009E06AA" w:rsidRDefault="001608E9" w:rsidP="001608E9">
      <w:pPr>
        <w:pStyle w:val="BodyText"/>
        <w:spacing w:before="100" w:after="100"/>
      </w:pPr>
      <w:r w:rsidRPr="009E06AA">
        <w:t xml:space="preserve">The EPA administers and audits the emission returns submitted by participants. Data submitted by NZ ETS participants are protected by stringent provisions relating to commercial confidentiality. However, under section 32 and section 149 of the Climate Change Response Act 2002, the inventory agency may request information from the EPA for the purpose of compiling New Zealand’s annual National Inventory Report. </w:t>
      </w:r>
    </w:p>
    <w:p w14:paraId="288F70E5" w14:textId="77777777" w:rsidR="001608E9" w:rsidRPr="009E06AA" w:rsidRDefault="001608E9" w:rsidP="001608E9">
      <w:pPr>
        <w:pStyle w:val="BodyText"/>
        <w:spacing w:before="100" w:after="100"/>
      </w:pPr>
      <w:r w:rsidRPr="009E06AA">
        <w:t xml:space="preserve">All ETS participants have to report their emissions in the calendar year but not all receive or apply for ETS units. This encompasses production of clinker, container glass and burnt lime, including any burnt lime that is subsequently made into slaked lime (calcium hydroxide). </w:t>
      </w:r>
    </w:p>
    <w:p w14:paraId="21EADA49" w14:textId="77777777" w:rsidR="001608E9" w:rsidRPr="009E06AA" w:rsidRDefault="001608E9" w:rsidP="00BF2A76">
      <w:pPr>
        <w:pStyle w:val="Heading5"/>
      </w:pPr>
      <w:r w:rsidRPr="009E06AA">
        <w:t>Cement production (2.A.1)</w:t>
      </w:r>
    </w:p>
    <w:p w14:paraId="49C4D4DF" w14:textId="77777777" w:rsidR="001608E9" w:rsidRPr="009E06AA" w:rsidRDefault="001608E9" w:rsidP="001608E9">
      <w:pPr>
        <w:pStyle w:val="BodyText"/>
        <w:spacing w:before="100" w:after="100"/>
      </w:pPr>
      <w:r w:rsidRPr="009E06AA">
        <w:t xml:space="preserve">In 2022, the </w:t>
      </w:r>
      <w:r w:rsidRPr="009E06AA">
        <w:rPr>
          <w:i/>
        </w:rPr>
        <w:t>Cement production</w:t>
      </w:r>
      <w:r w:rsidRPr="009E06AA">
        <w:t xml:space="preserve"> category accounted for 408.4 kt CO</w:t>
      </w:r>
      <w:r w:rsidRPr="009E06AA">
        <w:rPr>
          <w:vertAlign w:val="subscript"/>
        </w:rPr>
        <w:t>2</w:t>
      </w:r>
      <w:r w:rsidRPr="009E06AA">
        <w:t xml:space="preserve">-e (72.2 per cent) of emissions from the </w:t>
      </w:r>
      <w:r w:rsidRPr="009E06AA">
        <w:rPr>
          <w:i/>
        </w:rPr>
        <w:t>Mineral industry</w:t>
      </w:r>
      <w:r w:rsidRPr="009E06AA">
        <w:t xml:space="preserve"> category. The activity data used are the amounts of clinker produced by the cement plants. Calculation of emissions from clinker production is done on a plant-specific basis by the companies in preparing their ETS returns. Because historically there have been only two companies making cement in New Zealand, and now there is only one, the activity data for the </w:t>
      </w:r>
      <w:r w:rsidRPr="009E06AA">
        <w:rPr>
          <w:i/>
        </w:rPr>
        <w:t>Cement production</w:t>
      </w:r>
      <w:r w:rsidRPr="009E06AA">
        <w:t xml:space="preserve"> category are not reported and have been shown as confidential in the CRTs. For the years up to 2009, activity and emissions data were supplied by the cement companies to MBIE. From 2010, the companies’ ETS returns have been used as the data source.</w:t>
      </w:r>
    </w:p>
    <w:p w14:paraId="1F274B40" w14:textId="77777777" w:rsidR="001608E9" w:rsidRPr="009E06AA" w:rsidRDefault="001608E9" w:rsidP="00BF2A76">
      <w:pPr>
        <w:pStyle w:val="Heading5"/>
      </w:pPr>
      <w:r w:rsidRPr="009E06AA">
        <w:t>Lime production (2.A.2)</w:t>
      </w:r>
    </w:p>
    <w:p w14:paraId="417EA0BB" w14:textId="77777777" w:rsidR="001608E9" w:rsidRPr="009E06AA" w:rsidRDefault="001608E9" w:rsidP="001608E9">
      <w:pPr>
        <w:pStyle w:val="BodyText"/>
        <w:spacing w:before="100" w:after="100"/>
      </w:pPr>
      <w:r w:rsidRPr="009E06AA">
        <w:t xml:space="preserve">In 2022, the </w:t>
      </w:r>
      <w:r w:rsidRPr="009E06AA">
        <w:rPr>
          <w:i/>
        </w:rPr>
        <w:t>Lime production</w:t>
      </w:r>
      <w:r w:rsidRPr="009E06AA">
        <w:t xml:space="preserve"> category accounted for 101.5 kt CO</w:t>
      </w:r>
      <w:r w:rsidRPr="009E06AA">
        <w:rPr>
          <w:vertAlign w:val="subscript"/>
        </w:rPr>
        <w:t>2</w:t>
      </w:r>
      <w:r w:rsidRPr="009E06AA">
        <w:t xml:space="preserve">-e (17.9 per cent) of emissions from the </w:t>
      </w:r>
      <w:r w:rsidRPr="009E06AA">
        <w:rPr>
          <w:i/>
        </w:rPr>
        <w:t>Mineral industry</w:t>
      </w:r>
      <w:r w:rsidRPr="009E06AA">
        <w:t xml:space="preserve"> category. The activity data used are the amounts of burnt lime produced, reported as tonnes of pure</w:t>
      </w:r>
      <w:r w:rsidRPr="009E06AA" w:rsidDel="00FB6AE3">
        <w:t xml:space="preserve"> </w:t>
      </w:r>
      <w:r w:rsidRPr="009E06AA">
        <w:t>calcium oxide (CaO),</w:t>
      </w:r>
      <w:r w:rsidRPr="009E06AA" w:rsidDel="00FB6AE3">
        <w:t xml:space="preserve"> </w:t>
      </w:r>
      <w:r w:rsidRPr="009E06AA">
        <w:t>as required in NZ ETS returns. This measure is used regardless of whether the lime is subsequently hydrated to make calcium hydroxide (Ca(OH)</w:t>
      </w:r>
      <w:r w:rsidRPr="009E06AA">
        <w:rPr>
          <w:vertAlign w:val="subscript"/>
        </w:rPr>
        <w:t>2</w:t>
      </w:r>
      <w:r w:rsidRPr="009E06AA">
        <w:t xml:space="preserve">). </w:t>
      </w:r>
    </w:p>
    <w:p w14:paraId="31E8EE8A" w14:textId="77777777" w:rsidR="001608E9" w:rsidRPr="009E06AA" w:rsidRDefault="001608E9" w:rsidP="001608E9">
      <w:pPr>
        <w:pStyle w:val="BodyText"/>
        <w:spacing w:before="100" w:after="100"/>
      </w:pPr>
      <w:r w:rsidRPr="009E06AA">
        <w:t>Activity and emissions data were supplied annually by the lime companies to MBIE until 2009. This included the amount of burnt lime produced each year. From 2010, lime companies have reported CO</w:t>
      </w:r>
      <w:r w:rsidRPr="009E06AA">
        <w:rPr>
          <w:vertAlign w:val="subscript"/>
        </w:rPr>
        <w:t>2</w:t>
      </w:r>
      <w:r w:rsidRPr="009E06AA">
        <w:t xml:space="preserve"> emissions and the amounts of pure CaO in the lime that they produce in their reporting to the NZ ETS regulator. </w:t>
      </w:r>
    </w:p>
    <w:p w14:paraId="5013FE59" w14:textId="77777777" w:rsidR="001608E9" w:rsidRPr="009E06AA" w:rsidRDefault="001608E9" w:rsidP="00BF2A76">
      <w:pPr>
        <w:pStyle w:val="Heading5"/>
      </w:pPr>
      <w:r w:rsidRPr="009E06AA">
        <w:t xml:space="preserve">Glass production (2.A.3) </w:t>
      </w:r>
    </w:p>
    <w:p w14:paraId="2A116A7C" w14:textId="77777777" w:rsidR="001608E9" w:rsidRPr="009E06AA" w:rsidRDefault="001608E9" w:rsidP="001608E9">
      <w:pPr>
        <w:pStyle w:val="BodyText"/>
        <w:spacing w:before="100"/>
      </w:pPr>
      <w:r w:rsidRPr="009E06AA">
        <w:t xml:space="preserve">Activity and emissions data for the </w:t>
      </w:r>
      <w:r w:rsidRPr="009E06AA">
        <w:rPr>
          <w:i/>
        </w:rPr>
        <w:t>Glass production</w:t>
      </w:r>
      <w:r w:rsidRPr="009E06AA">
        <w:t xml:space="preserve"> category are provided on a confidential basis by the two companies that produce glass in New Zealand and are not reported in 2.A.3. Instead, emissions from the use of soda ash and limestone in glass making are reported in the </w:t>
      </w:r>
      <w:r w:rsidRPr="009E06AA">
        <w:rPr>
          <w:i/>
        </w:rPr>
        <w:t>Other process uses of carbonates</w:t>
      </w:r>
      <w:r w:rsidRPr="009E06AA">
        <w:t xml:space="preserve"> (2.A.4) category. These are aggregated with other relatively small amounts of CO</w:t>
      </w:r>
      <w:r w:rsidRPr="009E06AA">
        <w:rPr>
          <w:vertAlign w:val="subscript"/>
        </w:rPr>
        <w:t>2</w:t>
      </w:r>
      <w:r w:rsidRPr="009E06AA">
        <w:t xml:space="preserve"> emissions that derive from the calcination of limestone and soda ash. </w:t>
      </w:r>
    </w:p>
    <w:p w14:paraId="792EDBD4" w14:textId="77777777" w:rsidR="001608E9" w:rsidRPr="009E06AA" w:rsidRDefault="001608E9" w:rsidP="00BF2A76">
      <w:pPr>
        <w:pStyle w:val="Heading5"/>
      </w:pPr>
      <w:r w:rsidRPr="009E06AA">
        <w:t>Other process uses of carbonates (2.A.4)</w:t>
      </w:r>
    </w:p>
    <w:p w14:paraId="15B44A7B" w14:textId="77777777" w:rsidR="001608E9" w:rsidRPr="009E06AA" w:rsidRDefault="001608E9" w:rsidP="001608E9">
      <w:pPr>
        <w:pStyle w:val="BodyText"/>
        <w:spacing w:after="80"/>
      </w:pPr>
      <w:r w:rsidRPr="009E06AA">
        <w:t xml:space="preserve">To preserve the confidentiality of data provided by the two glass companies, the data reported in the </w:t>
      </w:r>
      <w:r w:rsidRPr="009E06AA">
        <w:rPr>
          <w:i/>
        </w:rPr>
        <w:t>Glass production</w:t>
      </w:r>
      <w:r w:rsidRPr="009E06AA">
        <w:t xml:space="preserve"> category have been aggregated as follows and reported in the </w:t>
      </w:r>
      <w:r w:rsidRPr="009E06AA">
        <w:rPr>
          <w:i/>
        </w:rPr>
        <w:t>Other process uses of carbonates</w:t>
      </w:r>
      <w:r w:rsidRPr="009E06AA">
        <w:t xml:space="preserve"> category.</w:t>
      </w:r>
    </w:p>
    <w:p w14:paraId="409A0AE7" w14:textId="77777777" w:rsidR="001608E9" w:rsidRPr="009E06AA" w:rsidRDefault="001608E9" w:rsidP="001608E9">
      <w:pPr>
        <w:pStyle w:val="Bullet"/>
      </w:pPr>
      <w:r w:rsidRPr="009E06AA">
        <w:t>Emissions from a relatively small amount of soda ash used by New Zealand Aluminium Smelters Ltd at the Tiwai Point smelter are reported in 2.A.4.b (</w:t>
      </w:r>
      <w:r w:rsidRPr="009E06AA">
        <w:rPr>
          <w:i/>
        </w:rPr>
        <w:t>Other uses of soda ash</w:t>
      </w:r>
      <w:r w:rsidRPr="009E06AA">
        <w:t>) and aggregated with the CO</w:t>
      </w:r>
      <w:r w:rsidRPr="009E06AA">
        <w:rPr>
          <w:vertAlign w:val="subscript"/>
        </w:rPr>
        <w:t>2</w:t>
      </w:r>
      <w:r w:rsidRPr="009E06AA">
        <w:t xml:space="preserve"> emissions from soda ash used in glass making.</w:t>
      </w:r>
    </w:p>
    <w:p w14:paraId="70A11EED" w14:textId="77777777" w:rsidR="001608E9" w:rsidRPr="009E06AA" w:rsidRDefault="001608E9" w:rsidP="001608E9">
      <w:pPr>
        <w:pStyle w:val="Bullet"/>
        <w:numPr>
          <w:ilvl w:val="0"/>
          <w:numId w:val="25"/>
        </w:numPr>
      </w:pPr>
      <w:r w:rsidRPr="009E06AA">
        <w:t>Emissions from a relatively small amount of limestone used by New Zealand Steel Limited are reported in 2.A.4.d (</w:t>
      </w:r>
      <w:r w:rsidRPr="009E06AA">
        <w:rPr>
          <w:i/>
        </w:rPr>
        <w:t>Other</w:t>
      </w:r>
      <w:r w:rsidRPr="009E06AA">
        <w:t xml:space="preserve">) and aggregated with emissions from limestone used in glass making. </w:t>
      </w:r>
    </w:p>
    <w:p w14:paraId="702C5039" w14:textId="77777777" w:rsidR="001608E9" w:rsidRPr="009E06AA" w:rsidRDefault="001608E9" w:rsidP="001608E9">
      <w:pPr>
        <w:pStyle w:val="BodyText"/>
        <w:spacing w:before="100" w:after="100"/>
      </w:pPr>
      <w:r w:rsidRPr="009E06AA">
        <w:t>The amounts of soda ash and limestone used are reported as activity data in these two tables. Also, because the limestone emissions cannot be fully disaggregated in early data provided by New Zealand Steel, an extremely small amount of CO</w:t>
      </w:r>
      <w:r w:rsidRPr="009E06AA">
        <w:rPr>
          <w:vertAlign w:val="subscript"/>
        </w:rPr>
        <w:t>2</w:t>
      </w:r>
      <w:r w:rsidRPr="009E06AA">
        <w:t xml:space="preserve"> from coke and electrode use at the steel plant is also included (see section 4.4.2). </w:t>
      </w:r>
    </w:p>
    <w:p w14:paraId="6F0E8AB9" w14:textId="77777777" w:rsidR="001608E9" w:rsidRPr="009E06AA" w:rsidRDefault="001608E9" w:rsidP="001608E9">
      <w:pPr>
        <w:pStyle w:val="BodyText"/>
        <w:spacing w:before="100" w:after="100"/>
      </w:pPr>
      <w:r w:rsidRPr="009E06AA">
        <w:t xml:space="preserve">Data on glass making for the years up to 2006 were provided by the companies and updated for the years 2007 to 2009 by survey requests from MBIE. Data on limestone and soda ash use were based on the companies’ records where available. In the case of one glass-making facility, some historical emissions data had to be estimated based only on glass production rates, because actual limestone and soda ash use was not recorded before 2006. </w:t>
      </w:r>
    </w:p>
    <w:p w14:paraId="1BECCA54" w14:textId="77777777" w:rsidR="001608E9" w:rsidRPr="009E06AA" w:rsidRDefault="001608E9" w:rsidP="001608E9">
      <w:pPr>
        <w:pStyle w:val="BodyText"/>
        <w:spacing w:before="100" w:after="100"/>
      </w:pPr>
      <w:r w:rsidRPr="009E06AA">
        <w:t xml:space="preserve">From 2010 to 2022, the glass companies’ NZ ETS returns are used. </w:t>
      </w:r>
    </w:p>
    <w:p w14:paraId="661ABA60" w14:textId="77777777" w:rsidR="001608E9" w:rsidRPr="009E06AA" w:rsidRDefault="001608E9" w:rsidP="001608E9">
      <w:pPr>
        <w:pStyle w:val="BodyText"/>
      </w:pPr>
      <w:r w:rsidRPr="009E06AA">
        <w:t>A very small amount of CO</w:t>
      </w:r>
      <w:r w:rsidRPr="009E06AA">
        <w:rPr>
          <w:vertAlign w:val="subscript"/>
        </w:rPr>
        <w:t>2</w:t>
      </w:r>
      <w:r w:rsidRPr="009E06AA">
        <w:t xml:space="preserve"> is reported from the use of kaolin clays in ceramics production (2.A.4.a). The activity data used are the approximate amount of kaolin clay produced for this purpose (Christie et al., 1999). In the absence of better data, the rate of production is assumed constant for the whole time series. Emissions from ground limestone used in liming agricultural soils are reported under the Agriculture sector. </w:t>
      </w:r>
    </w:p>
    <w:p w14:paraId="2A6CE81E" w14:textId="77777777" w:rsidR="001608E9" w:rsidRPr="009E06AA" w:rsidRDefault="001608E9" w:rsidP="001608E9">
      <w:pPr>
        <w:pStyle w:val="Heading4"/>
      </w:pPr>
      <w:r w:rsidRPr="009E06AA">
        <w:t>Choice of methods</w:t>
      </w:r>
    </w:p>
    <w:p w14:paraId="2F118850" w14:textId="77777777" w:rsidR="001608E9" w:rsidRPr="009E06AA" w:rsidRDefault="001608E9" w:rsidP="001608E9">
      <w:pPr>
        <w:pStyle w:val="BodyText"/>
      </w:pPr>
      <w:r w:rsidRPr="009E06AA">
        <w:t xml:space="preserve">For the years up to 2009, cement emissions were calculated using the methodology specified in the </w:t>
      </w:r>
      <w:r w:rsidRPr="009E06AA">
        <w:rPr>
          <w:i/>
        </w:rPr>
        <w:t>Cement CO</w:t>
      </w:r>
      <w:r w:rsidRPr="009E06AA">
        <w:rPr>
          <w:i/>
          <w:vertAlign w:val="subscript"/>
        </w:rPr>
        <w:t>2</w:t>
      </w:r>
      <w:r w:rsidRPr="009E06AA">
        <w:rPr>
          <w:i/>
        </w:rPr>
        <w:t xml:space="preserve"> Protocol</w:t>
      </w:r>
      <w:r w:rsidRPr="009E06AA">
        <w:t xml:space="preserve"> (World Business Council for Sustainable Development, 2005), which uses plant-specific emission factors based on the CaO and magnesium oxide (MgO) content of clinker produced. This also includes an adjustment for emissions due to cement kiln dust. This calculation is consistent with the IPCC Tier 2 method (IPCC, 2006a). </w:t>
      </w:r>
    </w:p>
    <w:p w14:paraId="4EA72E7E" w14:textId="77777777" w:rsidR="001608E9" w:rsidRPr="009E06AA" w:rsidRDefault="001608E9" w:rsidP="001608E9">
      <w:pPr>
        <w:pStyle w:val="BodyText"/>
      </w:pPr>
      <w:r w:rsidRPr="009E06AA">
        <w:t>Emissions for lime up to 2009 were calculated using the IPCC Tier 1 method and the default emission factor of 0.75 tonnes CO</w:t>
      </w:r>
      <w:r w:rsidRPr="009E06AA">
        <w:rPr>
          <w:vertAlign w:val="subscript"/>
        </w:rPr>
        <w:t>2</w:t>
      </w:r>
      <w:r w:rsidRPr="009E06AA">
        <w:t xml:space="preserve"> per tonne of burnt lime produced. For glass making, the IPCC Tier 1 method and default emission factors were also used for the years up to 2009. </w:t>
      </w:r>
    </w:p>
    <w:p w14:paraId="7EAF71E9" w14:textId="77777777" w:rsidR="001608E9" w:rsidRPr="009E06AA" w:rsidRDefault="001608E9" w:rsidP="001608E9">
      <w:pPr>
        <w:pStyle w:val="BodyText"/>
      </w:pPr>
      <w:r w:rsidRPr="009E06AA">
        <w:t xml:space="preserve">For NZ ETS reporting in the </w:t>
      </w:r>
      <w:r w:rsidRPr="009E06AA">
        <w:rPr>
          <w:i/>
        </w:rPr>
        <w:t>Mineral industry</w:t>
      </w:r>
      <w:r w:rsidRPr="009E06AA">
        <w:t xml:space="preserve"> category (from 2010), the methods used are specified in the Climate Change (Stationary Energy and Industrial Processes) Regulations 2009. These methods require firms making clinker or burnt lime to report CO</w:t>
      </w:r>
      <w:r w:rsidRPr="009E06AA">
        <w:rPr>
          <w:vertAlign w:val="subscript"/>
        </w:rPr>
        <w:t>2</w:t>
      </w:r>
      <w:r w:rsidRPr="009E06AA">
        <w:t xml:space="preserve"> emissions calculated from the amount of pure product made from calcination. In calculating their emissions, NZ ETS participants who make clinker or lime are required to determine and report the amounts of pure CaO and MgO in the clinker or burnt lime produced, and in kiln dust if relevant. The emissions are calculated from this chemical composition. The calculation of total emissions can be summarised as: </w:t>
      </w:r>
    </w:p>
    <w:p w14:paraId="2BB1E531" w14:textId="77777777" w:rsidR="001608E9" w:rsidRPr="009E06AA" w:rsidRDefault="001608E9" w:rsidP="001608E9">
      <w:pPr>
        <w:pStyle w:val="BodyText"/>
        <w:spacing w:before="80"/>
        <w:jc w:val="center"/>
        <w:rPr>
          <w:rFonts w:ascii="Cambria Math" w:hAnsi="Cambria Math"/>
          <w:i/>
          <w:sz w:val="24"/>
        </w:rPr>
      </w:pPr>
      <w:r w:rsidRPr="009E06AA">
        <w:rPr>
          <w:rFonts w:ascii="Cambria Math" w:hAnsi="Cambria Math"/>
          <w:i/>
          <w:sz w:val="24"/>
        </w:rPr>
        <w:t>TE = 0.7848 × A + 1.0919 × B + 0.7848 × C</w:t>
      </w:r>
    </w:p>
    <w:p w14:paraId="62B251DB" w14:textId="77777777" w:rsidR="001608E9" w:rsidRPr="009E06AA" w:rsidRDefault="001608E9" w:rsidP="001608E9">
      <w:pPr>
        <w:pStyle w:val="BodyText"/>
        <w:keepNext/>
        <w:spacing w:after="20"/>
        <w:ind w:left="992" w:hanging="992"/>
      </w:pPr>
      <w:r w:rsidRPr="009E06AA">
        <w:t xml:space="preserve">Where: </w:t>
      </w:r>
      <w:r w:rsidRPr="009E06AA">
        <w:tab/>
        <w:t>A is the amount of CaO produced</w:t>
      </w:r>
    </w:p>
    <w:p w14:paraId="6DFB1C37" w14:textId="77777777" w:rsidR="001608E9" w:rsidRPr="009E06AA" w:rsidRDefault="001608E9" w:rsidP="001608E9">
      <w:pPr>
        <w:pStyle w:val="BodyText"/>
        <w:spacing w:before="60" w:after="20"/>
        <w:ind w:left="992" w:firstLine="1"/>
      </w:pPr>
      <w:r w:rsidRPr="009E06AA">
        <w:t>B is the amount of MgO produced</w:t>
      </w:r>
    </w:p>
    <w:p w14:paraId="55766C21" w14:textId="77777777" w:rsidR="001608E9" w:rsidRPr="009E06AA" w:rsidRDefault="001608E9" w:rsidP="001608E9">
      <w:pPr>
        <w:pStyle w:val="BodyText"/>
        <w:spacing w:before="80"/>
        <w:ind w:left="992" w:firstLine="1"/>
      </w:pPr>
      <w:r w:rsidRPr="009E06AA">
        <w:t>C is the amount of kiln dust produced.</w:t>
      </w:r>
    </w:p>
    <w:p w14:paraId="3B1F1B76" w14:textId="77777777" w:rsidR="001608E9" w:rsidRPr="009E06AA" w:rsidRDefault="001608E9" w:rsidP="001608E9">
      <w:pPr>
        <w:pStyle w:val="BodyText"/>
      </w:pPr>
      <w:r w:rsidRPr="009E06AA">
        <w:t xml:space="preserve">Similarly, based on the Climate Change (Stationary Energy and Industrial Processes) Regulations 2009, NZ ETS participants that make glass report the amounts of pure limestone, dolomite and soda ash that they use in the process. This is consistent with the Tier 3 methods in volume 3, </w:t>
      </w:r>
      <w:r w:rsidRPr="009E06AA">
        <w:rPr>
          <w:i/>
        </w:rPr>
        <w:t>Industrial Processes and Product Use</w:t>
      </w:r>
      <w:r w:rsidRPr="009E06AA">
        <w:t xml:space="preserve">, of the 2006 IPCC Guidelines (IPCC, 2006a) but is described as country specific in the CRT because of a minor discrepancy: NZ ETS participants are not required to report separately very small amounts of kiln dust or MgO. </w:t>
      </w:r>
    </w:p>
    <w:p w14:paraId="336D3FCE" w14:textId="77777777" w:rsidR="001608E9" w:rsidRPr="009E06AA" w:rsidRDefault="001608E9" w:rsidP="001608E9">
      <w:pPr>
        <w:pStyle w:val="BodyText"/>
      </w:pPr>
      <w:r w:rsidRPr="009E06AA">
        <w:t xml:space="preserve">NZ ETS participants in this category are not required to report annually on the specific methods that they have used to determine the amounts of pure CaO, MgO and other compounds that they report in their NZ ETS returns. They are required to keep this information available and it is verified regularly by the EPA. </w:t>
      </w:r>
    </w:p>
    <w:p w14:paraId="013595AF" w14:textId="77777777" w:rsidR="001608E9" w:rsidRPr="009E06AA" w:rsidRDefault="001608E9" w:rsidP="001608E9">
      <w:pPr>
        <w:pStyle w:val="BodyText"/>
      </w:pPr>
      <w:r w:rsidRPr="009E06AA">
        <w:t>All other emissions use Tier 1 methods. This includes the small amount of SO</w:t>
      </w:r>
      <w:r w:rsidRPr="009E06AA">
        <w:rPr>
          <w:vertAlign w:val="subscript"/>
        </w:rPr>
        <w:t>2</w:t>
      </w:r>
      <w:r w:rsidRPr="009E06AA">
        <w:t xml:space="preserve"> emissions reported for cement production. Emissions of SO</w:t>
      </w:r>
      <w:r w:rsidRPr="009E06AA">
        <w:rPr>
          <w:vertAlign w:val="subscript"/>
        </w:rPr>
        <w:t>2</w:t>
      </w:r>
      <w:r w:rsidRPr="009E06AA">
        <w:t xml:space="preserve"> from lime production were also estimated (CRL Energy, </w:t>
      </w:r>
      <w:r w:rsidRPr="009E06AA">
        <w:rPr>
          <w:rFonts w:eastAsia="+mn-ea"/>
        </w:rPr>
        <w:t>unpublished(a)</w:t>
      </w:r>
      <w:r w:rsidRPr="009E06AA">
        <w:t>). These used a country-specific emission factor of 0.5 kilograms SO</w:t>
      </w:r>
      <w:r w:rsidRPr="009E06AA">
        <w:rPr>
          <w:vertAlign w:val="subscript"/>
        </w:rPr>
        <w:t>2</w:t>
      </w:r>
      <w:r w:rsidRPr="009E06AA">
        <w:t xml:space="preserve"> per tonne of burnt lime produced, derived from plant measurements carried out in earlier years. There is no provision in the CRT to report these emissions, however. </w:t>
      </w:r>
    </w:p>
    <w:p w14:paraId="7FBC17DD" w14:textId="77777777" w:rsidR="001608E9" w:rsidRPr="009E06AA" w:rsidRDefault="001608E9" w:rsidP="001608E9">
      <w:pPr>
        <w:pStyle w:val="Heading4"/>
        <w:rPr>
          <w:bCs/>
          <w:iCs/>
        </w:rPr>
      </w:pPr>
      <w:r w:rsidRPr="009E06AA">
        <w:t>Choice of emission factors</w:t>
      </w:r>
    </w:p>
    <w:p w14:paraId="6DEC6974" w14:textId="77777777" w:rsidR="001608E9" w:rsidRPr="009E06AA" w:rsidRDefault="001608E9" w:rsidP="001608E9">
      <w:pPr>
        <w:pStyle w:val="BodyText"/>
      </w:pPr>
      <w:r w:rsidRPr="009E06AA">
        <w:t xml:space="preserve">All calculations made for NZ ETS reporting and used in the </w:t>
      </w:r>
      <w:r w:rsidRPr="009E06AA">
        <w:rPr>
          <w:i/>
        </w:rPr>
        <w:t>Mineral industry</w:t>
      </w:r>
      <w:r w:rsidRPr="009E06AA">
        <w:t xml:space="preserve"> category are based on plant-specific analysis. </w:t>
      </w:r>
    </w:p>
    <w:p w14:paraId="21966960" w14:textId="77777777" w:rsidR="001608E9" w:rsidRPr="009E06AA" w:rsidRDefault="001608E9" w:rsidP="001608E9">
      <w:pPr>
        <w:pStyle w:val="BodyText"/>
      </w:pPr>
      <w:r w:rsidRPr="009E06AA">
        <w:t>The small amounts of SO</w:t>
      </w:r>
      <w:r w:rsidRPr="009E06AA">
        <w:rPr>
          <w:vertAlign w:val="subscript"/>
        </w:rPr>
        <w:t>2</w:t>
      </w:r>
      <w:r w:rsidRPr="009E06AA">
        <w:t xml:space="preserve"> emitted in the </w:t>
      </w:r>
      <w:r w:rsidRPr="009E06AA">
        <w:rPr>
          <w:i/>
        </w:rPr>
        <w:t>Cement production</w:t>
      </w:r>
      <w:r w:rsidRPr="009E06AA">
        <w:t xml:space="preserve"> category are estimated using plant-specific emission factors taken from mass balance data derived for the two cement plants in 2002 and 2005 (CRL Energy, </w:t>
      </w:r>
      <w:r w:rsidRPr="009E06AA">
        <w:rPr>
          <w:rFonts w:eastAsia="+mn-ea"/>
        </w:rPr>
        <w:t>unpublished(a)</w:t>
      </w:r>
      <w:r w:rsidRPr="009E06AA">
        <w:t xml:space="preserve">). </w:t>
      </w:r>
    </w:p>
    <w:p w14:paraId="22554073" w14:textId="77777777" w:rsidR="001608E9" w:rsidRPr="009E06AA" w:rsidRDefault="001608E9" w:rsidP="001608E9">
      <w:pPr>
        <w:pStyle w:val="BodyText"/>
      </w:pPr>
      <w:r w:rsidRPr="009E06AA">
        <w:t>For the very small emissions of CO</w:t>
      </w:r>
      <w:r w:rsidRPr="009E06AA">
        <w:rPr>
          <w:vertAlign w:val="subscript"/>
        </w:rPr>
        <w:t>2</w:t>
      </w:r>
      <w:r w:rsidRPr="009E06AA">
        <w:t xml:space="preserve"> from the </w:t>
      </w:r>
      <w:r w:rsidRPr="009E06AA">
        <w:rPr>
          <w:i/>
        </w:rPr>
        <w:t>Ceramics</w:t>
      </w:r>
      <w:r w:rsidRPr="009E06AA">
        <w:t xml:space="preserve"> (2.A.4.a) category, a country-specific emission factor of 0.1 per cent of carbonates (as equivalent calcium carbonate) in local kaolin clay is used. </w:t>
      </w:r>
    </w:p>
    <w:p w14:paraId="3B963493" w14:textId="77777777" w:rsidR="001608E9" w:rsidRPr="009E06AA" w:rsidRDefault="001608E9" w:rsidP="001608E9">
      <w:pPr>
        <w:pStyle w:val="BodyText"/>
      </w:pPr>
      <w:r w:rsidRPr="009E06AA">
        <w:t xml:space="preserve">Other emission factors used are IPCC defaults. </w:t>
      </w:r>
    </w:p>
    <w:p w14:paraId="0C6BB91B" w14:textId="77777777" w:rsidR="001608E9" w:rsidRPr="009E06AA" w:rsidRDefault="001608E9" w:rsidP="001608E9">
      <w:pPr>
        <w:pStyle w:val="Heading3"/>
      </w:pPr>
      <w:bookmarkStart w:id="526" w:name="_Toc158647332"/>
      <w:r w:rsidRPr="009E06AA">
        <w:t xml:space="preserve">4.2.3 </w:t>
      </w:r>
      <w:r w:rsidRPr="009E06AA">
        <w:tab/>
        <w:t>Uncertainty assessment and time-series consistency</w:t>
      </w:r>
      <w:bookmarkEnd w:id="526"/>
    </w:p>
    <w:p w14:paraId="1BA90226" w14:textId="77777777" w:rsidR="001608E9" w:rsidRPr="009E06AA" w:rsidRDefault="001608E9" w:rsidP="001608E9">
      <w:pPr>
        <w:pStyle w:val="Heading4"/>
        <w:rPr>
          <w:bCs/>
          <w:iCs/>
        </w:rPr>
      </w:pPr>
      <w:r w:rsidRPr="009E06AA">
        <w:t>Uncertainties</w:t>
      </w:r>
    </w:p>
    <w:p w14:paraId="3DC42E44" w14:textId="77777777" w:rsidR="001608E9" w:rsidRPr="009E06AA" w:rsidRDefault="001608E9" w:rsidP="001608E9">
      <w:pPr>
        <w:pStyle w:val="BodyText"/>
      </w:pPr>
      <w:r w:rsidRPr="009E06AA">
        <w:t>IPCC default uncertainties have been used for all CO</w:t>
      </w:r>
      <w:r w:rsidRPr="009E06AA">
        <w:rPr>
          <w:vertAlign w:val="subscript"/>
        </w:rPr>
        <w:t>2</w:t>
      </w:r>
      <w:r w:rsidRPr="009E06AA">
        <w:t xml:space="preserve"> emissions from the </w:t>
      </w:r>
      <w:r w:rsidRPr="009E06AA">
        <w:rPr>
          <w:i/>
        </w:rPr>
        <w:t>Mineral industry</w:t>
      </w:r>
      <w:r w:rsidRPr="009E06AA">
        <w:t xml:space="preserve"> category (see table 4.2.1), except ceramics for which there is substantial uncertainty in the activity data and in the composition of clay. Cement kiln dust is not relevant for 2017 to 2022 because the cement plant now operating reports no significant kiln dust produced. For SO</w:t>
      </w:r>
      <w:r w:rsidRPr="009E06AA">
        <w:rPr>
          <w:vertAlign w:val="subscript"/>
        </w:rPr>
        <w:t>2</w:t>
      </w:r>
      <w:r w:rsidRPr="009E06AA">
        <w:t xml:space="preserve"> emissions in the </w:t>
      </w:r>
      <w:r w:rsidRPr="009E06AA">
        <w:rPr>
          <w:i/>
        </w:rPr>
        <w:t>Cement production</w:t>
      </w:r>
      <w:r w:rsidRPr="009E06AA">
        <w:t xml:space="preserve"> category, an uncertainty of ±40 per cent was estimated based on the variance between surveys when these emissions were determined (CRL Energy, </w:t>
      </w:r>
      <w:r w:rsidRPr="009E06AA">
        <w:rPr>
          <w:rFonts w:eastAsia="+mn-ea"/>
        </w:rPr>
        <w:t>unpublished(a)</w:t>
      </w:r>
      <w:r w:rsidRPr="009E06AA">
        <w:t xml:space="preserve">). </w:t>
      </w:r>
    </w:p>
    <w:p w14:paraId="2A2FC4F7" w14:textId="77777777" w:rsidR="001608E9" w:rsidRPr="009E06AA" w:rsidRDefault="001608E9" w:rsidP="001608E9">
      <w:pPr>
        <w:pStyle w:val="Table"/>
      </w:pPr>
      <w:bookmarkStart w:id="527" w:name="_Toc451176067"/>
      <w:bookmarkStart w:id="528" w:name="_Toc414531404"/>
      <w:bookmarkStart w:id="529" w:name="_Toc5269457"/>
      <w:bookmarkStart w:id="530" w:name="_Toc36224530"/>
      <w:bookmarkStart w:id="531" w:name="_Toc68786417"/>
      <w:bookmarkStart w:id="532" w:name="_Toc128042750"/>
      <w:bookmarkStart w:id="533" w:name="_Toc131591330"/>
      <w:bookmarkStart w:id="534" w:name="_Toc158647418"/>
      <w:bookmarkStart w:id="535" w:name="_Toc164153816"/>
      <w:r w:rsidRPr="009E06AA">
        <w:t>Table 4.2.1</w:t>
      </w:r>
      <w:r w:rsidRPr="009E06AA">
        <w:tab/>
        <w:t>Uncertainty in emissions from mineral products</w:t>
      </w:r>
      <w:bookmarkEnd w:id="527"/>
      <w:bookmarkEnd w:id="528"/>
      <w:bookmarkEnd w:id="529"/>
      <w:bookmarkEnd w:id="530"/>
      <w:bookmarkEnd w:id="531"/>
      <w:bookmarkEnd w:id="532"/>
      <w:bookmarkEnd w:id="533"/>
      <w:bookmarkEnd w:id="534"/>
      <w:bookmarkEnd w:id="535"/>
    </w:p>
    <w:tbl>
      <w:tblPr>
        <w:tblW w:w="8505" w:type="dxa"/>
        <w:tblBorders>
          <w:top w:val="single" w:sz="6" w:space="0" w:color="365F91"/>
          <w:bottom w:val="single" w:sz="6" w:space="0" w:color="365F91"/>
          <w:insideH w:val="single" w:sz="6" w:space="0" w:color="365F91"/>
        </w:tblBorders>
        <w:tblLook w:val="04A0" w:firstRow="1" w:lastRow="0" w:firstColumn="1" w:lastColumn="0" w:noHBand="0" w:noVBand="1"/>
      </w:tblPr>
      <w:tblGrid>
        <w:gridCol w:w="2675"/>
        <w:gridCol w:w="2817"/>
        <w:gridCol w:w="3013"/>
      </w:tblGrid>
      <w:tr w:rsidR="001608E9" w:rsidRPr="009E06AA" w14:paraId="2DBA1007" w14:textId="77777777" w:rsidTr="00B55F24">
        <w:trPr>
          <w:tblHeader/>
        </w:trPr>
        <w:tc>
          <w:tcPr>
            <w:tcW w:w="2694" w:type="dxa"/>
            <w:tcBorders>
              <w:top w:val="single" w:sz="4" w:space="0" w:color="1B556B"/>
              <w:left w:val="nil"/>
              <w:bottom w:val="single" w:sz="4" w:space="0" w:color="1B556B"/>
              <w:right w:val="nil"/>
            </w:tcBorders>
            <w:shd w:val="clear" w:color="auto" w:fill="1B556B"/>
            <w:hideMark/>
          </w:tcPr>
          <w:p w14:paraId="05A3FE8B" w14:textId="77777777" w:rsidR="001608E9" w:rsidRPr="009E06AA" w:rsidRDefault="001608E9" w:rsidP="00966C4F">
            <w:pPr>
              <w:pStyle w:val="TableTextBold"/>
              <w:keepNext/>
              <w:spacing w:before="40" w:after="40"/>
              <w:rPr>
                <w:noProof w:val="0"/>
                <w:color w:val="FFFFFF"/>
              </w:rPr>
            </w:pPr>
            <w:r w:rsidRPr="009E06AA">
              <w:rPr>
                <w:noProof w:val="0"/>
                <w:color w:val="FFFFFF"/>
              </w:rPr>
              <w:t>Mineral product</w:t>
            </w:r>
          </w:p>
        </w:tc>
        <w:tc>
          <w:tcPr>
            <w:tcW w:w="2835" w:type="dxa"/>
            <w:tcBorders>
              <w:top w:val="single" w:sz="4" w:space="0" w:color="1B556B"/>
              <w:left w:val="nil"/>
              <w:bottom w:val="single" w:sz="4" w:space="0" w:color="1B556B"/>
              <w:right w:val="nil"/>
            </w:tcBorders>
            <w:shd w:val="clear" w:color="auto" w:fill="1B556B"/>
            <w:hideMark/>
          </w:tcPr>
          <w:p w14:paraId="7F68C08E" w14:textId="77777777" w:rsidR="001608E9" w:rsidRPr="009E06AA" w:rsidRDefault="001608E9" w:rsidP="00833836">
            <w:pPr>
              <w:pStyle w:val="TableTextBold"/>
              <w:spacing w:before="40" w:after="40"/>
              <w:jc w:val="right"/>
              <w:rPr>
                <w:noProof w:val="0"/>
                <w:color w:val="FFFFFF"/>
              </w:rPr>
            </w:pPr>
            <w:r w:rsidRPr="009E06AA">
              <w:rPr>
                <w:noProof w:val="0"/>
                <w:color w:val="FFFFFF"/>
              </w:rPr>
              <w:t>Uncertainty in activity data (%)</w:t>
            </w:r>
          </w:p>
        </w:tc>
        <w:tc>
          <w:tcPr>
            <w:tcW w:w="3033" w:type="dxa"/>
            <w:tcBorders>
              <w:top w:val="single" w:sz="4" w:space="0" w:color="1B556B"/>
              <w:left w:val="nil"/>
              <w:bottom w:val="single" w:sz="4" w:space="0" w:color="1B556B"/>
              <w:right w:val="nil"/>
            </w:tcBorders>
            <w:shd w:val="clear" w:color="auto" w:fill="1B556B"/>
            <w:hideMark/>
          </w:tcPr>
          <w:p w14:paraId="70B01247" w14:textId="77777777" w:rsidR="001608E9" w:rsidRPr="009E06AA" w:rsidRDefault="001608E9" w:rsidP="00833836">
            <w:pPr>
              <w:pStyle w:val="TableTextBold"/>
              <w:spacing w:before="40" w:after="40"/>
              <w:jc w:val="right"/>
              <w:rPr>
                <w:noProof w:val="0"/>
                <w:color w:val="FFFFFF"/>
              </w:rPr>
            </w:pPr>
            <w:r w:rsidRPr="009E06AA">
              <w:rPr>
                <w:noProof w:val="0"/>
                <w:color w:val="FFFFFF"/>
              </w:rPr>
              <w:t>Uncertainty in emission factors (%)</w:t>
            </w:r>
          </w:p>
        </w:tc>
      </w:tr>
      <w:tr w:rsidR="001608E9" w:rsidRPr="009E06AA" w14:paraId="2D31417D" w14:textId="77777777" w:rsidTr="00B55F24">
        <w:tc>
          <w:tcPr>
            <w:tcW w:w="2694" w:type="dxa"/>
            <w:tcBorders>
              <w:top w:val="single" w:sz="4" w:space="0" w:color="1B556B"/>
              <w:left w:val="nil"/>
              <w:bottom w:val="single" w:sz="4" w:space="0" w:color="1B556B"/>
              <w:right w:val="nil"/>
            </w:tcBorders>
            <w:shd w:val="clear" w:color="auto" w:fill="FFFFFF"/>
            <w:hideMark/>
          </w:tcPr>
          <w:p w14:paraId="5605951D" w14:textId="77777777" w:rsidR="001608E9" w:rsidRPr="009E06AA" w:rsidRDefault="001608E9" w:rsidP="00966C4F">
            <w:pPr>
              <w:pStyle w:val="TableText"/>
              <w:keepNext/>
              <w:spacing w:before="40" w:after="40"/>
            </w:pPr>
            <w:r w:rsidRPr="009E06AA">
              <w:t>Cement (CO</w:t>
            </w:r>
            <w:r w:rsidRPr="009E06AA">
              <w:rPr>
                <w:vertAlign w:val="subscript"/>
              </w:rPr>
              <w:t>2</w:t>
            </w:r>
            <w:r w:rsidRPr="009E06AA">
              <w:t>)</w:t>
            </w:r>
          </w:p>
        </w:tc>
        <w:tc>
          <w:tcPr>
            <w:tcW w:w="2835" w:type="dxa"/>
            <w:tcBorders>
              <w:top w:val="single" w:sz="4" w:space="0" w:color="1B556B"/>
              <w:left w:val="nil"/>
              <w:bottom w:val="single" w:sz="4" w:space="0" w:color="1B556B"/>
              <w:right w:val="nil"/>
            </w:tcBorders>
            <w:shd w:val="clear" w:color="auto" w:fill="FFFFFF"/>
            <w:hideMark/>
          </w:tcPr>
          <w:p w14:paraId="2F3658B2" w14:textId="77777777" w:rsidR="001608E9" w:rsidRPr="009E06AA" w:rsidRDefault="001608E9" w:rsidP="00833836">
            <w:pPr>
              <w:pStyle w:val="TableText"/>
              <w:spacing w:before="40" w:after="40"/>
              <w:jc w:val="right"/>
            </w:pPr>
            <w:r w:rsidRPr="009E06AA">
              <w:t>±1</w:t>
            </w:r>
          </w:p>
        </w:tc>
        <w:tc>
          <w:tcPr>
            <w:tcW w:w="3033" w:type="dxa"/>
            <w:tcBorders>
              <w:top w:val="single" w:sz="4" w:space="0" w:color="1B556B"/>
              <w:left w:val="nil"/>
              <w:bottom w:val="single" w:sz="4" w:space="0" w:color="1B556B"/>
              <w:right w:val="nil"/>
            </w:tcBorders>
            <w:shd w:val="clear" w:color="auto" w:fill="FFFFFF"/>
            <w:hideMark/>
          </w:tcPr>
          <w:p w14:paraId="52F5725D" w14:textId="77777777" w:rsidR="001608E9" w:rsidRPr="009E06AA" w:rsidRDefault="001608E9" w:rsidP="00833836">
            <w:pPr>
              <w:pStyle w:val="TableText"/>
              <w:spacing w:before="40" w:after="40"/>
              <w:jc w:val="right"/>
            </w:pPr>
            <w:r w:rsidRPr="009E06AA">
              <w:t>±1</w:t>
            </w:r>
          </w:p>
        </w:tc>
      </w:tr>
      <w:tr w:rsidR="001608E9" w:rsidRPr="009E06AA" w14:paraId="5F8077A9" w14:textId="77777777" w:rsidTr="00B55F24">
        <w:tc>
          <w:tcPr>
            <w:tcW w:w="2694" w:type="dxa"/>
            <w:tcBorders>
              <w:top w:val="single" w:sz="4" w:space="0" w:color="1B556B"/>
              <w:left w:val="nil"/>
              <w:bottom w:val="single" w:sz="4" w:space="0" w:color="1B556B"/>
              <w:right w:val="nil"/>
            </w:tcBorders>
            <w:shd w:val="clear" w:color="auto" w:fill="FFFFFF"/>
            <w:hideMark/>
          </w:tcPr>
          <w:p w14:paraId="55AA1ADF" w14:textId="77777777" w:rsidR="001608E9" w:rsidRPr="009E06AA" w:rsidRDefault="001608E9" w:rsidP="00966C4F">
            <w:pPr>
              <w:pStyle w:val="TableText"/>
              <w:spacing w:before="40" w:after="40"/>
            </w:pPr>
            <w:r w:rsidRPr="009E06AA">
              <w:t>Cement kiln dust (CO</w:t>
            </w:r>
            <w:r w:rsidRPr="009E06AA">
              <w:rPr>
                <w:vertAlign w:val="subscript"/>
              </w:rPr>
              <w:t>2</w:t>
            </w:r>
            <w:r w:rsidRPr="009E06AA">
              <w:t>)</w:t>
            </w:r>
          </w:p>
        </w:tc>
        <w:tc>
          <w:tcPr>
            <w:tcW w:w="2835" w:type="dxa"/>
            <w:tcBorders>
              <w:top w:val="single" w:sz="4" w:space="0" w:color="1B556B"/>
              <w:left w:val="nil"/>
              <w:bottom w:val="single" w:sz="4" w:space="0" w:color="1B556B"/>
              <w:right w:val="nil"/>
            </w:tcBorders>
            <w:shd w:val="clear" w:color="auto" w:fill="FFFFFF"/>
            <w:hideMark/>
          </w:tcPr>
          <w:p w14:paraId="79D5BB45" w14:textId="77777777" w:rsidR="001608E9" w:rsidRPr="009E06AA" w:rsidRDefault="001608E9" w:rsidP="00833836">
            <w:pPr>
              <w:pStyle w:val="TableText"/>
              <w:spacing w:before="40" w:after="40"/>
              <w:jc w:val="right"/>
            </w:pPr>
            <w:r w:rsidRPr="009E06AA">
              <w:t>±1</w:t>
            </w:r>
          </w:p>
        </w:tc>
        <w:tc>
          <w:tcPr>
            <w:tcW w:w="3033" w:type="dxa"/>
            <w:tcBorders>
              <w:top w:val="single" w:sz="4" w:space="0" w:color="1B556B"/>
              <w:left w:val="nil"/>
              <w:bottom w:val="single" w:sz="4" w:space="0" w:color="1B556B"/>
              <w:right w:val="nil"/>
            </w:tcBorders>
            <w:shd w:val="clear" w:color="auto" w:fill="FFFFFF"/>
            <w:hideMark/>
          </w:tcPr>
          <w:p w14:paraId="177E333D" w14:textId="77777777" w:rsidR="001608E9" w:rsidRPr="009E06AA" w:rsidRDefault="001608E9" w:rsidP="00833836">
            <w:pPr>
              <w:pStyle w:val="TableText"/>
              <w:spacing w:before="40" w:after="40"/>
              <w:jc w:val="right"/>
            </w:pPr>
            <w:r w:rsidRPr="009E06AA">
              <w:t>±5</w:t>
            </w:r>
          </w:p>
        </w:tc>
      </w:tr>
      <w:tr w:rsidR="001608E9" w:rsidRPr="009E06AA" w14:paraId="51EE2404" w14:textId="77777777" w:rsidTr="00B55F24">
        <w:tc>
          <w:tcPr>
            <w:tcW w:w="2694" w:type="dxa"/>
            <w:tcBorders>
              <w:top w:val="single" w:sz="4" w:space="0" w:color="1B556B"/>
              <w:left w:val="nil"/>
              <w:bottom w:val="single" w:sz="4" w:space="0" w:color="1B556B"/>
              <w:right w:val="nil"/>
            </w:tcBorders>
            <w:shd w:val="clear" w:color="auto" w:fill="FFFFFF"/>
            <w:hideMark/>
          </w:tcPr>
          <w:p w14:paraId="5E7B79B1" w14:textId="77777777" w:rsidR="001608E9" w:rsidRPr="009E06AA" w:rsidRDefault="001608E9" w:rsidP="00966C4F">
            <w:pPr>
              <w:pStyle w:val="TableText"/>
              <w:spacing w:before="40" w:after="40"/>
            </w:pPr>
            <w:r w:rsidRPr="009E06AA">
              <w:t>Cement (SO</w:t>
            </w:r>
            <w:r w:rsidRPr="009E06AA">
              <w:rPr>
                <w:vertAlign w:val="subscript"/>
              </w:rPr>
              <w:t>2</w:t>
            </w:r>
            <w:r w:rsidRPr="009E06AA">
              <w:t>)</w:t>
            </w:r>
          </w:p>
        </w:tc>
        <w:tc>
          <w:tcPr>
            <w:tcW w:w="2835" w:type="dxa"/>
            <w:tcBorders>
              <w:top w:val="single" w:sz="4" w:space="0" w:color="1B556B"/>
              <w:left w:val="nil"/>
              <w:bottom w:val="single" w:sz="4" w:space="0" w:color="1B556B"/>
              <w:right w:val="nil"/>
            </w:tcBorders>
            <w:shd w:val="clear" w:color="auto" w:fill="FFFFFF"/>
            <w:hideMark/>
          </w:tcPr>
          <w:p w14:paraId="41F85956" w14:textId="77777777" w:rsidR="001608E9" w:rsidRPr="009E06AA" w:rsidRDefault="001608E9" w:rsidP="00833836">
            <w:pPr>
              <w:pStyle w:val="TableText"/>
              <w:spacing w:before="40" w:after="40"/>
              <w:jc w:val="right"/>
            </w:pPr>
            <w:r w:rsidRPr="009E06AA">
              <w:t>±1</w:t>
            </w:r>
          </w:p>
        </w:tc>
        <w:tc>
          <w:tcPr>
            <w:tcW w:w="3033" w:type="dxa"/>
            <w:tcBorders>
              <w:top w:val="single" w:sz="4" w:space="0" w:color="1B556B"/>
              <w:left w:val="nil"/>
              <w:bottom w:val="single" w:sz="4" w:space="0" w:color="1B556B"/>
              <w:right w:val="nil"/>
            </w:tcBorders>
            <w:shd w:val="clear" w:color="auto" w:fill="FFFFFF"/>
            <w:hideMark/>
          </w:tcPr>
          <w:p w14:paraId="6F881081" w14:textId="77777777" w:rsidR="001608E9" w:rsidRPr="009E06AA" w:rsidRDefault="001608E9" w:rsidP="00833836">
            <w:pPr>
              <w:pStyle w:val="TableText"/>
              <w:spacing w:before="40" w:after="40"/>
              <w:jc w:val="right"/>
            </w:pPr>
            <w:r w:rsidRPr="009E06AA">
              <w:t>±40</w:t>
            </w:r>
          </w:p>
        </w:tc>
      </w:tr>
      <w:tr w:rsidR="001608E9" w:rsidRPr="009E06AA" w14:paraId="3DCAF1B0" w14:textId="77777777" w:rsidTr="00B55F24">
        <w:tc>
          <w:tcPr>
            <w:tcW w:w="2694" w:type="dxa"/>
            <w:tcBorders>
              <w:top w:val="single" w:sz="4" w:space="0" w:color="1B556B"/>
              <w:left w:val="nil"/>
              <w:bottom w:val="single" w:sz="4" w:space="0" w:color="1B556B"/>
              <w:right w:val="nil"/>
            </w:tcBorders>
            <w:shd w:val="clear" w:color="auto" w:fill="FFFFFF"/>
            <w:hideMark/>
          </w:tcPr>
          <w:p w14:paraId="37E890BC" w14:textId="77777777" w:rsidR="001608E9" w:rsidRPr="009E06AA" w:rsidRDefault="001608E9" w:rsidP="00966C4F">
            <w:pPr>
              <w:pStyle w:val="TableText"/>
              <w:spacing w:before="40" w:after="40"/>
            </w:pPr>
            <w:r w:rsidRPr="009E06AA">
              <w:t>Lime (CO</w:t>
            </w:r>
            <w:r w:rsidRPr="009E06AA">
              <w:rPr>
                <w:vertAlign w:val="subscript"/>
              </w:rPr>
              <w:t>2</w:t>
            </w:r>
            <w:r w:rsidRPr="009E06AA">
              <w:t>)</w:t>
            </w:r>
          </w:p>
        </w:tc>
        <w:tc>
          <w:tcPr>
            <w:tcW w:w="2835" w:type="dxa"/>
            <w:tcBorders>
              <w:top w:val="single" w:sz="4" w:space="0" w:color="1B556B"/>
              <w:left w:val="nil"/>
              <w:bottom w:val="single" w:sz="4" w:space="0" w:color="1B556B"/>
              <w:right w:val="nil"/>
            </w:tcBorders>
            <w:shd w:val="clear" w:color="auto" w:fill="FFFFFF"/>
            <w:hideMark/>
          </w:tcPr>
          <w:p w14:paraId="7005499F" w14:textId="77777777" w:rsidR="001608E9" w:rsidRPr="009E06AA" w:rsidRDefault="001608E9" w:rsidP="00833836">
            <w:pPr>
              <w:pStyle w:val="TableText"/>
              <w:spacing w:before="40" w:after="40"/>
              <w:jc w:val="right"/>
            </w:pPr>
            <w:r w:rsidRPr="009E06AA">
              <w:t>±2</w:t>
            </w:r>
          </w:p>
        </w:tc>
        <w:tc>
          <w:tcPr>
            <w:tcW w:w="3033" w:type="dxa"/>
            <w:tcBorders>
              <w:top w:val="single" w:sz="4" w:space="0" w:color="1B556B"/>
              <w:left w:val="nil"/>
              <w:bottom w:val="single" w:sz="4" w:space="0" w:color="1B556B"/>
              <w:right w:val="nil"/>
            </w:tcBorders>
            <w:shd w:val="clear" w:color="auto" w:fill="FFFFFF"/>
            <w:hideMark/>
          </w:tcPr>
          <w:p w14:paraId="15E643FD" w14:textId="77777777" w:rsidR="001608E9" w:rsidRPr="009E06AA" w:rsidRDefault="001608E9" w:rsidP="00833836">
            <w:pPr>
              <w:pStyle w:val="TableText"/>
              <w:spacing w:before="40" w:after="40"/>
              <w:jc w:val="right"/>
            </w:pPr>
            <w:r w:rsidRPr="009E06AA">
              <w:t>±2</w:t>
            </w:r>
          </w:p>
        </w:tc>
      </w:tr>
      <w:tr w:rsidR="001608E9" w:rsidRPr="009E06AA" w14:paraId="529B5F3D" w14:textId="77777777" w:rsidTr="00B55F24">
        <w:tc>
          <w:tcPr>
            <w:tcW w:w="2694" w:type="dxa"/>
            <w:tcBorders>
              <w:top w:val="single" w:sz="4" w:space="0" w:color="1B556B"/>
              <w:left w:val="nil"/>
              <w:bottom w:val="single" w:sz="4" w:space="0" w:color="1B556B"/>
              <w:right w:val="nil"/>
            </w:tcBorders>
            <w:shd w:val="clear" w:color="auto" w:fill="FFFFFF"/>
            <w:hideMark/>
          </w:tcPr>
          <w:p w14:paraId="2DA6D04B" w14:textId="77777777" w:rsidR="001608E9" w:rsidRPr="009E06AA" w:rsidRDefault="001608E9" w:rsidP="00966C4F">
            <w:pPr>
              <w:pStyle w:val="TableText"/>
              <w:spacing w:before="40" w:after="40"/>
            </w:pPr>
            <w:r w:rsidRPr="009E06AA">
              <w:t>Glass (SO</w:t>
            </w:r>
            <w:r w:rsidRPr="009E06AA">
              <w:rPr>
                <w:vertAlign w:val="subscript"/>
              </w:rPr>
              <w:t>2</w:t>
            </w:r>
            <w:r w:rsidRPr="009E06AA">
              <w:t>)</w:t>
            </w:r>
          </w:p>
        </w:tc>
        <w:tc>
          <w:tcPr>
            <w:tcW w:w="2835" w:type="dxa"/>
            <w:tcBorders>
              <w:top w:val="single" w:sz="4" w:space="0" w:color="1B556B"/>
              <w:left w:val="nil"/>
              <w:bottom w:val="single" w:sz="4" w:space="0" w:color="1B556B"/>
              <w:right w:val="nil"/>
            </w:tcBorders>
            <w:shd w:val="clear" w:color="auto" w:fill="FFFFFF"/>
            <w:hideMark/>
          </w:tcPr>
          <w:p w14:paraId="7391A18A" w14:textId="77777777" w:rsidR="001608E9" w:rsidRPr="009E06AA" w:rsidRDefault="001608E9" w:rsidP="00833836">
            <w:pPr>
              <w:pStyle w:val="TableText"/>
              <w:spacing w:before="40" w:after="40"/>
              <w:jc w:val="right"/>
            </w:pPr>
            <w:r w:rsidRPr="009E06AA">
              <w:t>±5</w:t>
            </w:r>
          </w:p>
        </w:tc>
        <w:tc>
          <w:tcPr>
            <w:tcW w:w="3033" w:type="dxa"/>
            <w:tcBorders>
              <w:top w:val="single" w:sz="4" w:space="0" w:color="1B556B"/>
              <w:left w:val="nil"/>
              <w:bottom w:val="single" w:sz="4" w:space="0" w:color="1B556B"/>
              <w:right w:val="nil"/>
            </w:tcBorders>
            <w:shd w:val="clear" w:color="auto" w:fill="FFFFFF"/>
            <w:hideMark/>
          </w:tcPr>
          <w:p w14:paraId="34EF123C" w14:textId="77777777" w:rsidR="001608E9" w:rsidRPr="009E06AA" w:rsidRDefault="001608E9" w:rsidP="00833836">
            <w:pPr>
              <w:pStyle w:val="TableText"/>
              <w:spacing w:before="40" w:after="40"/>
              <w:jc w:val="right"/>
            </w:pPr>
            <w:r w:rsidRPr="009E06AA">
              <w:t>±10</w:t>
            </w:r>
          </w:p>
        </w:tc>
      </w:tr>
      <w:tr w:rsidR="001608E9" w:rsidRPr="009E06AA" w14:paraId="0F3CADF8" w14:textId="77777777" w:rsidTr="00B55F24">
        <w:tc>
          <w:tcPr>
            <w:tcW w:w="2694" w:type="dxa"/>
            <w:tcBorders>
              <w:top w:val="single" w:sz="4" w:space="0" w:color="1B556B"/>
              <w:left w:val="nil"/>
              <w:bottom w:val="single" w:sz="4" w:space="0" w:color="1B556B"/>
              <w:right w:val="nil"/>
            </w:tcBorders>
            <w:shd w:val="clear" w:color="auto" w:fill="FFFFFF"/>
            <w:hideMark/>
          </w:tcPr>
          <w:p w14:paraId="2DA18007" w14:textId="77777777" w:rsidR="001608E9" w:rsidRPr="009E06AA" w:rsidRDefault="001608E9" w:rsidP="00966C4F">
            <w:pPr>
              <w:pStyle w:val="TableText"/>
              <w:spacing w:before="40" w:after="40"/>
            </w:pPr>
            <w:r w:rsidRPr="009E06AA">
              <w:t>Glass (NMVOC)</w:t>
            </w:r>
          </w:p>
        </w:tc>
        <w:tc>
          <w:tcPr>
            <w:tcW w:w="2835" w:type="dxa"/>
            <w:tcBorders>
              <w:top w:val="single" w:sz="4" w:space="0" w:color="1B556B"/>
              <w:left w:val="nil"/>
              <w:bottom w:val="single" w:sz="4" w:space="0" w:color="1B556B"/>
              <w:right w:val="nil"/>
            </w:tcBorders>
            <w:shd w:val="clear" w:color="auto" w:fill="FFFFFF"/>
            <w:hideMark/>
          </w:tcPr>
          <w:p w14:paraId="27B9505B" w14:textId="77777777" w:rsidR="001608E9" w:rsidRPr="009E06AA" w:rsidRDefault="001608E9" w:rsidP="00833836">
            <w:pPr>
              <w:pStyle w:val="TableText"/>
              <w:spacing w:before="40" w:after="40"/>
              <w:jc w:val="right"/>
            </w:pPr>
            <w:r w:rsidRPr="009E06AA">
              <w:t>±5</w:t>
            </w:r>
          </w:p>
        </w:tc>
        <w:tc>
          <w:tcPr>
            <w:tcW w:w="3033" w:type="dxa"/>
            <w:tcBorders>
              <w:top w:val="single" w:sz="4" w:space="0" w:color="1B556B"/>
              <w:left w:val="nil"/>
              <w:bottom w:val="single" w:sz="4" w:space="0" w:color="1B556B"/>
              <w:right w:val="nil"/>
            </w:tcBorders>
            <w:shd w:val="clear" w:color="auto" w:fill="FFFFFF"/>
            <w:hideMark/>
          </w:tcPr>
          <w:p w14:paraId="0B4C754C" w14:textId="77777777" w:rsidR="001608E9" w:rsidRPr="009E06AA" w:rsidRDefault="001608E9" w:rsidP="00833836">
            <w:pPr>
              <w:pStyle w:val="TableText"/>
              <w:spacing w:before="40" w:after="40"/>
              <w:jc w:val="right"/>
            </w:pPr>
            <w:r w:rsidRPr="009E06AA">
              <w:t>±50</w:t>
            </w:r>
          </w:p>
        </w:tc>
      </w:tr>
      <w:tr w:rsidR="001608E9" w:rsidRPr="009E06AA" w14:paraId="1F32FA68" w14:textId="77777777" w:rsidTr="00B55F24">
        <w:tc>
          <w:tcPr>
            <w:tcW w:w="2694" w:type="dxa"/>
            <w:tcBorders>
              <w:top w:val="single" w:sz="4" w:space="0" w:color="1B556B"/>
              <w:left w:val="nil"/>
              <w:bottom w:val="single" w:sz="4" w:space="0" w:color="1B556B"/>
              <w:right w:val="nil"/>
            </w:tcBorders>
            <w:shd w:val="clear" w:color="auto" w:fill="FFFFFF"/>
          </w:tcPr>
          <w:p w14:paraId="25EAAFE7" w14:textId="77777777" w:rsidR="001608E9" w:rsidRPr="009E06AA" w:rsidRDefault="001608E9" w:rsidP="00966C4F">
            <w:pPr>
              <w:pStyle w:val="TableText"/>
              <w:spacing w:before="40" w:after="40"/>
            </w:pPr>
            <w:r w:rsidRPr="009E06AA">
              <w:t>Ceramics (CO</w:t>
            </w:r>
            <w:r w:rsidRPr="009E06AA">
              <w:rPr>
                <w:vertAlign w:val="subscript"/>
              </w:rPr>
              <w:t>2</w:t>
            </w:r>
            <w:r w:rsidRPr="009E06AA">
              <w:t>)</w:t>
            </w:r>
          </w:p>
        </w:tc>
        <w:tc>
          <w:tcPr>
            <w:tcW w:w="2835" w:type="dxa"/>
            <w:tcBorders>
              <w:top w:val="single" w:sz="4" w:space="0" w:color="1B556B"/>
              <w:left w:val="nil"/>
              <w:bottom w:val="single" w:sz="4" w:space="0" w:color="1B556B"/>
              <w:right w:val="nil"/>
            </w:tcBorders>
            <w:shd w:val="clear" w:color="auto" w:fill="FFFFFF"/>
          </w:tcPr>
          <w:p w14:paraId="376AFC39" w14:textId="77777777" w:rsidR="001608E9" w:rsidRPr="009E06AA" w:rsidRDefault="001608E9" w:rsidP="00833836">
            <w:pPr>
              <w:pStyle w:val="TableText"/>
              <w:spacing w:before="40" w:after="40"/>
              <w:jc w:val="right"/>
            </w:pPr>
            <w:r w:rsidRPr="009E06AA">
              <w:t>±50</w:t>
            </w:r>
          </w:p>
        </w:tc>
        <w:tc>
          <w:tcPr>
            <w:tcW w:w="3033" w:type="dxa"/>
            <w:tcBorders>
              <w:top w:val="single" w:sz="4" w:space="0" w:color="1B556B"/>
              <w:left w:val="nil"/>
              <w:bottom w:val="single" w:sz="4" w:space="0" w:color="1B556B"/>
              <w:right w:val="nil"/>
            </w:tcBorders>
            <w:shd w:val="clear" w:color="auto" w:fill="FFFFFF"/>
          </w:tcPr>
          <w:p w14:paraId="1E5ADF3D" w14:textId="77777777" w:rsidR="001608E9" w:rsidRPr="009E06AA" w:rsidRDefault="001608E9" w:rsidP="00833836">
            <w:pPr>
              <w:pStyle w:val="TableText"/>
              <w:spacing w:before="40" w:after="40"/>
              <w:jc w:val="right"/>
            </w:pPr>
            <w:r w:rsidRPr="009E06AA">
              <w:t>±20</w:t>
            </w:r>
          </w:p>
        </w:tc>
      </w:tr>
      <w:tr w:rsidR="001608E9" w:rsidRPr="009E06AA" w14:paraId="77152E3A" w14:textId="77777777" w:rsidTr="00B55F24">
        <w:tc>
          <w:tcPr>
            <w:tcW w:w="2694" w:type="dxa"/>
            <w:tcBorders>
              <w:top w:val="single" w:sz="4" w:space="0" w:color="1B556B"/>
              <w:left w:val="nil"/>
              <w:bottom w:val="single" w:sz="4" w:space="0" w:color="1B556B"/>
              <w:right w:val="nil"/>
            </w:tcBorders>
            <w:shd w:val="clear" w:color="auto" w:fill="FFFFFF"/>
          </w:tcPr>
          <w:p w14:paraId="01BD3A0F" w14:textId="77777777" w:rsidR="001608E9" w:rsidRPr="009E06AA" w:rsidRDefault="001608E9" w:rsidP="00966C4F">
            <w:pPr>
              <w:pStyle w:val="TableText"/>
              <w:spacing w:before="40" w:after="40"/>
            </w:pPr>
            <w:r w:rsidRPr="009E06AA">
              <w:t>Other uses of soda ash (CO</w:t>
            </w:r>
            <w:r w:rsidRPr="009E06AA">
              <w:rPr>
                <w:vertAlign w:val="subscript"/>
              </w:rPr>
              <w:t>2</w:t>
            </w:r>
            <w:r w:rsidRPr="009E06AA">
              <w:t>)</w:t>
            </w:r>
          </w:p>
        </w:tc>
        <w:tc>
          <w:tcPr>
            <w:tcW w:w="2835" w:type="dxa"/>
            <w:tcBorders>
              <w:top w:val="single" w:sz="4" w:space="0" w:color="1B556B"/>
              <w:left w:val="nil"/>
              <w:bottom w:val="single" w:sz="4" w:space="0" w:color="1B556B"/>
              <w:right w:val="nil"/>
            </w:tcBorders>
            <w:shd w:val="clear" w:color="auto" w:fill="FFFFFF"/>
          </w:tcPr>
          <w:p w14:paraId="5368EF7F" w14:textId="77777777" w:rsidR="001608E9" w:rsidRPr="009E06AA" w:rsidRDefault="001608E9" w:rsidP="00833836">
            <w:pPr>
              <w:pStyle w:val="TableText"/>
              <w:spacing w:before="40" w:after="40"/>
              <w:jc w:val="right"/>
            </w:pPr>
            <w:r w:rsidRPr="009E06AA">
              <w:t>±3</w:t>
            </w:r>
          </w:p>
        </w:tc>
        <w:tc>
          <w:tcPr>
            <w:tcW w:w="3033" w:type="dxa"/>
            <w:tcBorders>
              <w:top w:val="single" w:sz="4" w:space="0" w:color="1B556B"/>
              <w:left w:val="nil"/>
              <w:bottom w:val="single" w:sz="4" w:space="0" w:color="1B556B"/>
              <w:right w:val="nil"/>
            </w:tcBorders>
            <w:shd w:val="clear" w:color="auto" w:fill="FFFFFF"/>
          </w:tcPr>
          <w:p w14:paraId="7BB8AEC1" w14:textId="77777777" w:rsidR="001608E9" w:rsidRPr="009E06AA" w:rsidRDefault="001608E9" w:rsidP="00833836">
            <w:pPr>
              <w:pStyle w:val="TableText"/>
              <w:spacing w:before="40" w:after="40"/>
              <w:jc w:val="right"/>
            </w:pPr>
            <w:r w:rsidRPr="009E06AA">
              <w:t>±2</w:t>
            </w:r>
          </w:p>
        </w:tc>
      </w:tr>
      <w:tr w:rsidR="001608E9" w:rsidRPr="009E06AA" w14:paraId="76C8CECB" w14:textId="77777777" w:rsidTr="00B55F24">
        <w:tc>
          <w:tcPr>
            <w:tcW w:w="2694" w:type="dxa"/>
            <w:tcBorders>
              <w:top w:val="single" w:sz="4" w:space="0" w:color="1B556B"/>
              <w:left w:val="nil"/>
              <w:bottom w:val="single" w:sz="4" w:space="0" w:color="1B556B"/>
              <w:right w:val="nil"/>
            </w:tcBorders>
            <w:shd w:val="clear" w:color="auto" w:fill="FFFFFF"/>
          </w:tcPr>
          <w:p w14:paraId="029B5AB0" w14:textId="77777777" w:rsidR="001608E9" w:rsidRPr="009E06AA" w:rsidRDefault="001608E9" w:rsidP="00966C4F">
            <w:pPr>
              <w:pStyle w:val="TableText"/>
              <w:spacing w:before="40" w:after="40"/>
            </w:pPr>
            <w:r w:rsidRPr="009E06AA">
              <w:t>Other uses of limestone (CO</w:t>
            </w:r>
            <w:r w:rsidRPr="009E06AA">
              <w:rPr>
                <w:vertAlign w:val="subscript"/>
              </w:rPr>
              <w:t>2</w:t>
            </w:r>
            <w:r w:rsidRPr="009E06AA">
              <w:t>)</w:t>
            </w:r>
          </w:p>
        </w:tc>
        <w:tc>
          <w:tcPr>
            <w:tcW w:w="2835" w:type="dxa"/>
            <w:tcBorders>
              <w:top w:val="single" w:sz="4" w:space="0" w:color="1B556B"/>
              <w:left w:val="nil"/>
              <w:bottom w:val="single" w:sz="4" w:space="0" w:color="1B556B"/>
              <w:right w:val="nil"/>
            </w:tcBorders>
            <w:shd w:val="clear" w:color="auto" w:fill="FFFFFF"/>
          </w:tcPr>
          <w:p w14:paraId="1CF2CFE8" w14:textId="77777777" w:rsidR="001608E9" w:rsidRPr="009E06AA" w:rsidRDefault="001608E9" w:rsidP="00833836">
            <w:pPr>
              <w:pStyle w:val="TableText"/>
              <w:spacing w:before="40" w:after="40"/>
              <w:jc w:val="right"/>
            </w:pPr>
            <w:r w:rsidRPr="009E06AA">
              <w:t>±3</w:t>
            </w:r>
          </w:p>
        </w:tc>
        <w:tc>
          <w:tcPr>
            <w:tcW w:w="3033" w:type="dxa"/>
            <w:tcBorders>
              <w:top w:val="single" w:sz="4" w:space="0" w:color="1B556B"/>
              <w:left w:val="nil"/>
              <w:bottom w:val="single" w:sz="4" w:space="0" w:color="1B556B"/>
              <w:right w:val="nil"/>
            </w:tcBorders>
            <w:shd w:val="clear" w:color="auto" w:fill="FFFFFF"/>
          </w:tcPr>
          <w:p w14:paraId="2A1EB314" w14:textId="77777777" w:rsidR="001608E9" w:rsidRPr="009E06AA" w:rsidRDefault="001608E9" w:rsidP="00833836">
            <w:pPr>
              <w:pStyle w:val="TableText"/>
              <w:spacing w:before="40" w:after="40"/>
              <w:jc w:val="right"/>
            </w:pPr>
            <w:r w:rsidRPr="009E06AA">
              <w:t>±2</w:t>
            </w:r>
          </w:p>
        </w:tc>
      </w:tr>
    </w:tbl>
    <w:p w14:paraId="10B23B5C" w14:textId="77777777" w:rsidR="001608E9" w:rsidRPr="009E06AA" w:rsidRDefault="001608E9" w:rsidP="001608E9">
      <w:pPr>
        <w:pStyle w:val="Heading4"/>
        <w:spacing w:before="400"/>
        <w:rPr>
          <w:bCs/>
          <w:iCs/>
        </w:rPr>
      </w:pPr>
      <w:r w:rsidRPr="009E06AA">
        <w:t>Time-series consistency</w:t>
      </w:r>
    </w:p>
    <w:p w14:paraId="209BE468" w14:textId="77777777" w:rsidR="001608E9" w:rsidRPr="009E06AA" w:rsidRDefault="001608E9" w:rsidP="001608E9">
      <w:pPr>
        <w:pStyle w:val="BodyText"/>
      </w:pPr>
      <w:r w:rsidRPr="009E06AA">
        <w:t xml:space="preserve">In previous inventory submissions, the reported activity data for lime production have not been fully consistent through the time series because of the change to using NZ ETS data and the use of different calculation methods for these emissions. A consistent approach, based on the methods that companies are required to use for NZ ETS reporting, is now applied for the entire time series. </w:t>
      </w:r>
    </w:p>
    <w:p w14:paraId="17963529" w14:textId="77777777" w:rsidR="001608E9" w:rsidRPr="009E06AA" w:rsidRDefault="001608E9" w:rsidP="001608E9">
      <w:pPr>
        <w:pStyle w:val="Heading3"/>
      </w:pPr>
      <w:bookmarkStart w:id="536" w:name="_Toc158647333"/>
      <w:r w:rsidRPr="009E06AA">
        <w:t>4.2.4</w:t>
      </w:r>
      <w:r w:rsidRPr="009E06AA">
        <w:tab/>
        <w:t>Category-specific QA/QC and verification</w:t>
      </w:r>
      <w:bookmarkEnd w:id="536"/>
    </w:p>
    <w:p w14:paraId="78823564" w14:textId="77777777" w:rsidR="001608E9" w:rsidRPr="009E06AA" w:rsidRDefault="001608E9" w:rsidP="001608E9">
      <w:pPr>
        <w:pStyle w:val="BodyText"/>
      </w:pPr>
      <w:r w:rsidRPr="009E06AA">
        <w:t>For this submission, data for all CO</w:t>
      </w:r>
      <w:r w:rsidRPr="009E06AA">
        <w:rPr>
          <w:vertAlign w:val="subscript"/>
        </w:rPr>
        <w:t>2</w:t>
      </w:r>
      <w:r w:rsidRPr="009E06AA">
        <w:t xml:space="preserve"> emissions in the </w:t>
      </w:r>
      <w:r w:rsidRPr="009E06AA">
        <w:rPr>
          <w:i/>
        </w:rPr>
        <w:t>Mineral industry</w:t>
      </w:r>
      <w:r w:rsidRPr="009E06AA">
        <w:t xml:space="preserve"> category underwent Tier 1 quality checks in the preparation of this inventory. The only key category is CO</w:t>
      </w:r>
      <w:r w:rsidRPr="009E06AA">
        <w:rPr>
          <w:vertAlign w:val="subscript"/>
        </w:rPr>
        <w:t>2</w:t>
      </w:r>
      <w:r w:rsidRPr="009E06AA">
        <w:t xml:space="preserve"> emissions from </w:t>
      </w:r>
      <w:r w:rsidRPr="009E06AA">
        <w:rPr>
          <w:i/>
        </w:rPr>
        <w:t>Cement production</w:t>
      </w:r>
      <w:r w:rsidRPr="009E06AA">
        <w:rPr>
          <w:iCs/>
        </w:rPr>
        <w:t xml:space="preserve"> (level and trend assessment)</w:t>
      </w:r>
      <w:r w:rsidRPr="009E06AA">
        <w:t xml:space="preserve">. </w:t>
      </w:r>
    </w:p>
    <w:p w14:paraId="364732D1" w14:textId="018B1F77" w:rsidR="001608E9" w:rsidRPr="009E06AA" w:rsidRDefault="001608E9" w:rsidP="001608E9">
      <w:pPr>
        <w:pStyle w:val="BodyText"/>
      </w:pPr>
      <w:r w:rsidRPr="009E06AA">
        <w:t>Verification of activity data from independent sources is not currently possible. The EPA carries out verification of NZ ETS participants’ submitted data on a rotating basis and, as these verifications occur, the inventory agency (the Ministry for the Environment) will make</w:t>
      </w:r>
      <w:r w:rsidR="00144A70" w:rsidRPr="009E06AA">
        <w:t> </w:t>
      </w:r>
      <w:r w:rsidRPr="009E06AA">
        <w:t xml:space="preserve">use of the resulting information to verify the emissions data where possible. </w:t>
      </w:r>
    </w:p>
    <w:p w14:paraId="64754E92" w14:textId="77777777" w:rsidR="001608E9" w:rsidRPr="009E06AA" w:rsidRDefault="001608E9" w:rsidP="001608E9">
      <w:pPr>
        <w:pStyle w:val="Heading3"/>
      </w:pPr>
      <w:bookmarkStart w:id="537" w:name="_Toc158647334"/>
      <w:r w:rsidRPr="009E06AA">
        <w:t>4.2.5</w:t>
      </w:r>
      <w:r w:rsidRPr="009E06AA">
        <w:tab/>
        <w:t>Category-specific recalculations</w:t>
      </w:r>
      <w:bookmarkEnd w:id="537"/>
    </w:p>
    <w:p w14:paraId="03541E4B" w14:textId="77777777" w:rsidR="001608E9" w:rsidRPr="009E06AA" w:rsidRDefault="001608E9" w:rsidP="001608E9">
      <w:pPr>
        <w:pStyle w:val="BodyText"/>
      </w:pPr>
      <w:r w:rsidRPr="009E06AA">
        <w:t>There are some minor recalculations for soda ash and limestone related emissions. The impact of the recalculations across the time series ranged from -4.0 megatonnes (Mt) CO</w:t>
      </w:r>
      <w:r w:rsidRPr="009E06AA">
        <w:rPr>
          <w:vertAlign w:val="subscript"/>
        </w:rPr>
        <w:t>2</w:t>
      </w:r>
      <w:r w:rsidRPr="009E06AA">
        <w:t xml:space="preserve"> to +7.0 Mt CO</w:t>
      </w:r>
      <w:r w:rsidRPr="009E06AA">
        <w:rPr>
          <w:vertAlign w:val="subscript"/>
        </w:rPr>
        <w:t>2</w:t>
      </w:r>
      <w:r w:rsidRPr="009E06AA">
        <w:t xml:space="preserve"> per year. The years affected are 2015, 2016, 2018, 2019 and 2020. </w:t>
      </w:r>
    </w:p>
    <w:p w14:paraId="4D1AE243" w14:textId="77777777" w:rsidR="001608E9" w:rsidRPr="009E06AA" w:rsidRDefault="001608E9" w:rsidP="001608E9">
      <w:pPr>
        <w:pStyle w:val="Heading3"/>
      </w:pPr>
      <w:bookmarkStart w:id="538" w:name="_Toc158647335"/>
      <w:r w:rsidRPr="009E06AA">
        <w:t>4.2.6</w:t>
      </w:r>
      <w:r w:rsidRPr="009E06AA">
        <w:tab/>
        <w:t>Category-specific planned improvements</w:t>
      </w:r>
      <w:bookmarkEnd w:id="538"/>
    </w:p>
    <w:p w14:paraId="1B66F4F8" w14:textId="77777777" w:rsidR="001608E9" w:rsidRPr="009E06AA" w:rsidRDefault="001608E9" w:rsidP="001608E9">
      <w:pPr>
        <w:pStyle w:val="BodyText"/>
      </w:pPr>
      <w:r w:rsidRPr="009E06AA">
        <w:t xml:space="preserve">The inventory agency has worked with the companies in the </w:t>
      </w:r>
      <w:r w:rsidRPr="009E06AA">
        <w:rPr>
          <w:i/>
        </w:rPr>
        <w:t>Mineral industry</w:t>
      </w:r>
      <w:r w:rsidRPr="009E06AA">
        <w:t xml:space="preserve"> category to improve transparency and robustness in the data provided. Concerns about the confidentiality of data provided by the glass industry remain a barrier to improving transparency further. </w:t>
      </w:r>
    </w:p>
    <w:p w14:paraId="57D0834B" w14:textId="77777777" w:rsidR="001608E9" w:rsidRPr="009E06AA" w:rsidRDefault="001608E9" w:rsidP="001608E9">
      <w:pPr>
        <w:pStyle w:val="Heading2"/>
      </w:pPr>
      <w:bookmarkStart w:id="539" w:name="_Toc448321514"/>
      <w:bookmarkStart w:id="540" w:name="_Toc5269353"/>
      <w:bookmarkStart w:id="541" w:name="_Toc36224393"/>
      <w:bookmarkStart w:id="542" w:name="_Toc68786313"/>
      <w:bookmarkStart w:id="543" w:name="_Toc131591228"/>
      <w:bookmarkStart w:id="544" w:name="_Toc158647336"/>
      <w:bookmarkStart w:id="545" w:name="_Toc164154182"/>
      <w:r w:rsidRPr="009E06AA">
        <w:t>4.3</w:t>
      </w:r>
      <w:r w:rsidRPr="009E06AA">
        <w:tab/>
        <w:t>Chemical industry (2.B)</w:t>
      </w:r>
      <w:bookmarkEnd w:id="539"/>
      <w:bookmarkEnd w:id="540"/>
      <w:bookmarkEnd w:id="541"/>
      <w:bookmarkEnd w:id="542"/>
      <w:bookmarkEnd w:id="543"/>
      <w:bookmarkEnd w:id="544"/>
      <w:bookmarkEnd w:id="545"/>
    </w:p>
    <w:p w14:paraId="7549ACBC" w14:textId="77777777" w:rsidR="001608E9" w:rsidRPr="009E06AA" w:rsidRDefault="001608E9" w:rsidP="001608E9">
      <w:pPr>
        <w:pStyle w:val="Heading3"/>
        <w:spacing w:before="160"/>
      </w:pPr>
      <w:bookmarkStart w:id="546" w:name="_Toc158647337"/>
      <w:r w:rsidRPr="009E06AA">
        <w:t>4.3.1</w:t>
      </w:r>
      <w:r w:rsidRPr="009E06AA">
        <w:tab/>
        <w:t>Description</w:t>
      </w:r>
      <w:bookmarkEnd w:id="546"/>
    </w:p>
    <w:p w14:paraId="267495FE" w14:textId="4F19B170" w:rsidR="001608E9" w:rsidRPr="009E06AA" w:rsidRDefault="001608E9" w:rsidP="00144A70">
      <w:pPr>
        <w:pStyle w:val="BodyText"/>
      </w:pPr>
      <w:r w:rsidRPr="009E06AA">
        <w:t>The significant chemical processes occurring in New Zealand are the production of urea, methanol, superphosphate fertiliser, hydrogen peroxide, formaldehyde and ethanol. In addition, a substantial amount of hydrogen was made at the Marsden Point Oil Refinery until</w:t>
      </w:r>
      <w:r w:rsidR="00144A70" w:rsidRPr="009E06AA">
        <w:t> </w:t>
      </w:r>
      <w:r w:rsidRPr="009E06AA">
        <w:t>the refinery closed in March 2022. C</w:t>
      </w:r>
      <w:r w:rsidRPr="009E06AA">
        <w:rPr>
          <w:rFonts w:eastAsia="Calibri" w:cs="Calibri"/>
        </w:rPr>
        <w:t>arbon dioxide</w:t>
      </w:r>
      <w:r w:rsidRPr="009E06AA">
        <w:t xml:space="preserve"> emissions from this process are reported in the </w:t>
      </w:r>
      <w:r w:rsidRPr="009E06AA">
        <w:rPr>
          <w:i/>
        </w:rPr>
        <w:t>Chemical industry</w:t>
      </w:r>
      <w:r w:rsidRPr="009E06AA">
        <w:t xml:space="preserve"> category. No other relevant chemical products (such as nitric</w:t>
      </w:r>
      <w:r w:rsidR="00144A70" w:rsidRPr="009E06AA">
        <w:t> </w:t>
      </w:r>
      <w:r w:rsidRPr="009E06AA">
        <w:t xml:space="preserve">acid, adipic acid or ethylene) are produced in New Zealand. </w:t>
      </w:r>
    </w:p>
    <w:p w14:paraId="61AB081D" w14:textId="77777777" w:rsidR="001608E9" w:rsidRPr="009E06AA" w:rsidRDefault="001608E9" w:rsidP="00144A70">
      <w:pPr>
        <w:pStyle w:val="BodyText"/>
      </w:pPr>
      <w:r w:rsidRPr="009E06AA">
        <w:t>Ammonia is made at one site in Taranaki by the catalytic steam reforming of natural gas. The ammonia produced is further processed into urea. The emissions of CO</w:t>
      </w:r>
      <w:r w:rsidRPr="009E06AA">
        <w:rPr>
          <w:vertAlign w:val="subscript"/>
        </w:rPr>
        <w:t>2</w:t>
      </w:r>
      <w:r w:rsidRPr="009E06AA">
        <w:t xml:space="preserve"> reported in this category arise from the fraction of chemical feedstock CO</w:t>
      </w:r>
      <w:r w:rsidRPr="009E06AA">
        <w:rPr>
          <w:vertAlign w:val="subscript"/>
        </w:rPr>
        <w:t>2</w:t>
      </w:r>
      <w:r w:rsidRPr="009E06AA">
        <w:t xml:space="preserve"> that is not recovered for urea production. Emissions from combustion at this site are reported separately under the Energy sector (1.A.2.c). Nearly all of the urea product is used as a fertiliser in New Zealand. The emissions associated with agricultural use of urea (both manufactured in New Zealand and imported) are reported under the Agriculture sector </w:t>
      </w:r>
      <w:r w:rsidRPr="009E06AA">
        <w:rPr>
          <w:spacing w:val="-2"/>
        </w:rPr>
        <w:t>(3.H). A small amount of urea is also used for catalytic reduction of diesel exhaust emissions.</w:t>
      </w:r>
      <w:r w:rsidRPr="009E06AA">
        <w:t xml:space="preserve"> The emissions of CO</w:t>
      </w:r>
      <w:r w:rsidRPr="009E06AA">
        <w:rPr>
          <w:vertAlign w:val="subscript"/>
        </w:rPr>
        <w:t>2</w:t>
      </w:r>
      <w:r w:rsidRPr="009E06AA">
        <w:t xml:space="preserve"> from this use of urea are reported in the </w:t>
      </w:r>
      <w:r w:rsidRPr="009E06AA">
        <w:rPr>
          <w:i/>
        </w:rPr>
        <w:t xml:space="preserve">Non-energy products from fuels and solvent use </w:t>
      </w:r>
      <w:r w:rsidRPr="009E06AA">
        <w:t xml:space="preserve">category (2.D.3). </w:t>
      </w:r>
    </w:p>
    <w:p w14:paraId="79632E60" w14:textId="77777777" w:rsidR="001608E9" w:rsidRPr="009E06AA" w:rsidRDefault="001608E9" w:rsidP="00144A70">
      <w:pPr>
        <w:pStyle w:val="BodyText"/>
      </w:pPr>
      <w:r w:rsidRPr="009E06AA">
        <w:t xml:space="preserve">Methane emissions are reported from the production of methanol, which is made from natural gas feedstock at two sites in Taranaki. From 1990 to 1997, a large proportion of the methanol made in New Zealand was processed into synthetic gasoline for transport use. All emissions associated with the production of gasoline, including the synthetic gasoline produced from 1990 to 1997, are reported under the Energy sector (1.A.1). From 1998, all methanol made in New Zealand has been chemical methanol for export and, therefore, all process emissions from the methanol plants have been reported under the IPPU sector. </w:t>
      </w:r>
    </w:p>
    <w:p w14:paraId="6CF72404" w14:textId="77777777" w:rsidR="001608E9" w:rsidRPr="009E06AA" w:rsidRDefault="001608E9" w:rsidP="00144A70">
      <w:pPr>
        <w:pStyle w:val="BodyText"/>
      </w:pPr>
      <w:r w:rsidRPr="009E06AA">
        <w:t>A small amount of CO</w:t>
      </w:r>
      <w:r w:rsidRPr="009E06AA">
        <w:rPr>
          <w:vertAlign w:val="subscript"/>
        </w:rPr>
        <w:t>2</w:t>
      </w:r>
      <w:r w:rsidRPr="009E06AA">
        <w:t xml:space="preserve"> is reported from the use of imported calcium carbide, which is used to produce acetylene for welding. No carbides are manufactured in New Zealand. </w:t>
      </w:r>
    </w:p>
    <w:p w14:paraId="602D9321" w14:textId="77777777" w:rsidR="001608E9" w:rsidRPr="009E06AA" w:rsidRDefault="001608E9" w:rsidP="00144A70">
      <w:pPr>
        <w:pStyle w:val="BodyText"/>
      </w:pPr>
      <w:r w:rsidRPr="009E06AA">
        <w:t>Some indirect emissions (oxides of nitrogen (NO</w:t>
      </w:r>
      <w:r w:rsidRPr="009E06AA">
        <w:rPr>
          <w:vertAlign w:val="subscript"/>
        </w:rPr>
        <w:t>x</w:t>
      </w:r>
      <w:r w:rsidRPr="009E06AA">
        <w:t>), carbon monoxide (CO), non-methane volatile organic compounds (NMVOCs) and SO</w:t>
      </w:r>
      <w:r w:rsidRPr="009E06AA">
        <w:rPr>
          <w:vertAlign w:val="subscript"/>
        </w:rPr>
        <w:t>2</w:t>
      </w:r>
      <w:r w:rsidRPr="009E06AA">
        <w:t xml:space="preserve">) are reported from methanol, formaldehyde, ethanol and superphosphate fertiliser production. </w:t>
      </w:r>
    </w:p>
    <w:p w14:paraId="4F72458F" w14:textId="77777777" w:rsidR="001608E9" w:rsidRPr="009E06AA" w:rsidRDefault="001608E9" w:rsidP="00144A70">
      <w:pPr>
        <w:pStyle w:val="BodyText"/>
      </w:pPr>
      <w:r w:rsidRPr="009E06AA">
        <w:t xml:space="preserve">Emissions from the </w:t>
      </w:r>
      <w:r w:rsidRPr="009E06AA">
        <w:rPr>
          <w:i/>
        </w:rPr>
        <w:t>Chemical industry</w:t>
      </w:r>
      <w:r w:rsidRPr="009E06AA">
        <w:t xml:space="preserve"> category in 2022 were 113.5 kt CO</w:t>
      </w:r>
      <w:r w:rsidRPr="009E06AA">
        <w:rPr>
          <w:vertAlign w:val="subscript"/>
        </w:rPr>
        <w:t>2</w:t>
      </w:r>
      <w:r w:rsidRPr="009E06AA">
        <w:t>-e (2.5 per cent) of emissions from the IPPU sector. This is 92.8 kt CO</w:t>
      </w:r>
      <w:r w:rsidRPr="009E06AA">
        <w:rPr>
          <w:vertAlign w:val="subscript"/>
        </w:rPr>
        <w:t>2</w:t>
      </w:r>
      <w:r w:rsidRPr="009E06AA">
        <w:t>-e (45.0 per cent) below the 1990 level. The</w:t>
      </w:r>
      <w:r w:rsidRPr="009E06AA" w:rsidDel="00A3051A">
        <w:t xml:space="preserve"> </w:t>
      </w:r>
      <w:r w:rsidRPr="009E06AA">
        <w:t>reduction occurred from 2020 and was driven by a</w:t>
      </w:r>
      <w:r w:rsidRPr="009E06AA" w:rsidDel="002A08A0">
        <w:t xml:space="preserve"> </w:t>
      </w:r>
      <w:r w:rsidRPr="009E06AA">
        <w:t xml:space="preserve">decrease in emissions from the Marsden Point Oil Refinery. The refinery company outputs remained low as it prepared for its closure in March 2022 and due to COVID-19 pandemic restrictions. </w:t>
      </w:r>
    </w:p>
    <w:p w14:paraId="6DE3605B" w14:textId="77777777" w:rsidR="001608E9" w:rsidRPr="009E06AA" w:rsidRDefault="001608E9" w:rsidP="00144A70">
      <w:pPr>
        <w:pStyle w:val="BodyText"/>
      </w:pPr>
      <w:r w:rsidRPr="009E06AA">
        <w:t>The only key category is CO</w:t>
      </w:r>
      <w:r w:rsidRPr="009E06AA">
        <w:rPr>
          <w:vertAlign w:val="subscript"/>
        </w:rPr>
        <w:t>2</w:t>
      </w:r>
      <w:r w:rsidRPr="009E06AA">
        <w:t xml:space="preserve"> emissions from the </w:t>
      </w:r>
      <w:r w:rsidRPr="009E06AA">
        <w:rPr>
          <w:i/>
        </w:rPr>
        <w:t xml:space="preserve">Other </w:t>
      </w:r>
      <w:r w:rsidRPr="009E06AA">
        <w:t xml:space="preserve">category (trend assessment). </w:t>
      </w:r>
    </w:p>
    <w:p w14:paraId="46F461FE" w14:textId="77777777" w:rsidR="001608E9" w:rsidRPr="009E06AA" w:rsidRDefault="001608E9" w:rsidP="001608E9">
      <w:pPr>
        <w:pStyle w:val="Heading3"/>
        <w:spacing w:before="240"/>
      </w:pPr>
      <w:bookmarkStart w:id="547" w:name="_Toc158647338"/>
      <w:r w:rsidRPr="009E06AA">
        <w:t xml:space="preserve">4.3.2 </w:t>
      </w:r>
      <w:r w:rsidRPr="009E06AA">
        <w:tab/>
        <w:t>Methodological issues</w:t>
      </w:r>
      <w:bookmarkEnd w:id="547"/>
    </w:p>
    <w:p w14:paraId="28602C82" w14:textId="77777777" w:rsidR="001608E9" w:rsidRPr="009E06AA" w:rsidRDefault="001608E9" w:rsidP="001608E9">
      <w:pPr>
        <w:pStyle w:val="Heading4"/>
        <w:spacing w:before="180"/>
        <w:rPr>
          <w:bCs/>
          <w:iCs/>
        </w:rPr>
      </w:pPr>
      <w:r w:rsidRPr="009E06AA">
        <w:t>Choice of activity data</w:t>
      </w:r>
    </w:p>
    <w:p w14:paraId="0C984BE6" w14:textId="77777777" w:rsidR="001608E9" w:rsidRPr="009E06AA" w:rsidRDefault="001608E9" w:rsidP="00BF2A76">
      <w:pPr>
        <w:pStyle w:val="Heading5"/>
      </w:pPr>
      <w:r w:rsidRPr="009E06AA">
        <w:t>Ammonia and urea (2.B.1)</w:t>
      </w:r>
    </w:p>
    <w:p w14:paraId="49A473C5" w14:textId="77777777" w:rsidR="001608E9" w:rsidRPr="009E06AA" w:rsidRDefault="001608E9" w:rsidP="00144A70">
      <w:pPr>
        <w:pStyle w:val="BodyText"/>
      </w:pPr>
      <w:r w:rsidRPr="009E06AA">
        <w:t>Data on the production of urea are supplied to MBIE by Ballance Agri-Nutrients Limited, which operates the ammonia–urea production plant. The activity data reported are the production of ammonia, which is back-estimated from the amount of urea produced on the basis of a site</w:t>
      </w:r>
      <w:r w:rsidRPr="009E06AA">
        <w:noBreakHyphen/>
        <w:t xml:space="preserve">specific conversion factor that reflects the actual rate of conversion of ammonia to urea achieved in this plant. </w:t>
      </w:r>
    </w:p>
    <w:p w14:paraId="44FA35C4" w14:textId="77777777" w:rsidR="001608E9" w:rsidRPr="009E06AA" w:rsidRDefault="001608E9" w:rsidP="00BF2A76">
      <w:pPr>
        <w:pStyle w:val="Heading5"/>
      </w:pPr>
      <w:r w:rsidRPr="009E06AA">
        <w:t>Calcium carbide (2.B.5.b)</w:t>
      </w:r>
    </w:p>
    <w:p w14:paraId="4DED7AF1" w14:textId="77777777" w:rsidR="001608E9" w:rsidRPr="009E06AA" w:rsidRDefault="001608E9" w:rsidP="00144A70">
      <w:pPr>
        <w:pStyle w:val="BodyText"/>
      </w:pPr>
      <w:r w:rsidRPr="009E06AA">
        <w:t xml:space="preserve">A small amount of calcium carbide is imported to New Zealand and used to produce acetylene gas for welding. The approximate amount of calcium carbide imported is used as activity data. </w:t>
      </w:r>
    </w:p>
    <w:p w14:paraId="2A92481E" w14:textId="77777777" w:rsidR="001608E9" w:rsidRPr="009E06AA" w:rsidRDefault="001608E9" w:rsidP="00BF2A76">
      <w:pPr>
        <w:pStyle w:val="Heading5"/>
      </w:pPr>
      <w:r w:rsidRPr="009E06AA">
        <w:t>Methanol (2.B.8.a)</w:t>
      </w:r>
    </w:p>
    <w:p w14:paraId="48E57533" w14:textId="77777777" w:rsidR="001608E9" w:rsidRPr="009E06AA" w:rsidRDefault="001608E9" w:rsidP="001608E9">
      <w:pPr>
        <w:pStyle w:val="BodyText"/>
      </w:pPr>
      <w:r w:rsidRPr="009E06AA">
        <w:t xml:space="preserve">Data on methanol production (chemical methanol produced for export) are supplied to MBIE by Methanex, which operates the two methanol plants. </w:t>
      </w:r>
    </w:p>
    <w:p w14:paraId="25CDF840" w14:textId="77777777" w:rsidR="001608E9" w:rsidRPr="009E06AA" w:rsidRDefault="001608E9" w:rsidP="00BF2A76">
      <w:pPr>
        <w:pStyle w:val="Heading5"/>
      </w:pPr>
      <w:r w:rsidRPr="009E06AA">
        <w:t>Hydrogen (2.B.10)</w:t>
      </w:r>
    </w:p>
    <w:p w14:paraId="69B9771B" w14:textId="77777777" w:rsidR="001608E9" w:rsidRPr="009E06AA" w:rsidRDefault="001608E9" w:rsidP="001608E9">
      <w:pPr>
        <w:pStyle w:val="BodyText"/>
      </w:pPr>
      <w:r w:rsidRPr="009E06AA">
        <w:t>With the closure of Refining New Zealand Ltd at the Marsden Point Oil Refinery in March 2022, Evonik Limited becomes the only company that produces a small amount of hydrogen, which is converted to hydrogen peroxide. The hydrogen is produced from CH</w:t>
      </w:r>
      <w:r w:rsidRPr="009E06AA">
        <w:rPr>
          <w:vertAlign w:val="subscript"/>
        </w:rPr>
        <w:t>4</w:t>
      </w:r>
      <w:r w:rsidRPr="009E06AA">
        <w:t xml:space="preserve"> (from refinery gas and natural gas) and steam. Carbon dioxide is a by-product of the reaction and is vented to the atmosphere. </w:t>
      </w:r>
    </w:p>
    <w:p w14:paraId="0B1B2812" w14:textId="77777777" w:rsidR="001608E9" w:rsidRPr="009E06AA" w:rsidRDefault="001608E9" w:rsidP="001608E9">
      <w:pPr>
        <w:pStyle w:val="BodyText"/>
      </w:pPr>
      <w:r w:rsidRPr="009E06AA">
        <w:t xml:space="preserve">The activity data reported are the amounts of hydrogen produced, as reported to MBIE by the plant operators. </w:t>
      </w:r>
    </w:p>
    <w:p w14:paraId="2BDCE52D" w14:textId="77777777" w:rsidR="001608E9" w:rsidRPr="009E06AA" w:rsidRDefault="001608E9" w:rsidP="00BF2A76">
      <w:pPr>
        <w:pStyle w:val="Heading5"/>
      </w:pPr>
      <w:r w:rsidRPr="009E06AA">
        <w:t xml:space="preserve">Fertiliser, formaldehyde and ethanol (2.B.10) </w:t>
      </w:r>
    </w:p>
    <w:p w14:paraId="5450B062" w14:textId="77777777" w:rsidR="001608E9" w:rsidRPr="009E06AA" w:rsidRDefault="001608E9" w:rsidP="001608E9">
      <w:pPr>
        <w:pStyle w:val="BodyText"/>
      </w:pPr>
      <w:r w:rsidRPr="009E06AA">
        <w:t>Some indirect emissions (SO</w:t>
      </w:r>
      <w:r w:rsidRPr="009E06AA">
        <w:rPr>
          <w:vertAlign w:val="subscript"/>
        </w:rPr>
        <w:t>2</w:t>
      </w:r>
      <w:r w:rsidRPr="009E06AA">
        <w:t xml:space="preserve"> and NMVOCs) are also reported from the production of ethanol for purposes other than food and drink, superphosphate fertiliser and formaldehyde. </w:t>
      </w:r>
    </w:p>
    <w:p w14:paraId="368B92EB" w14:textId="77777777" w:rsidR="001608E9" w:rsidRPr="009E06AA" w:rsidRDefault="001608E9" w:rsidP="001608E9">
      <w:pPr>
        <w:pStyle w:val="Heading4"/>
        <w:rPr>
          <w:bCs/>
          <w:iCs/>
        </w:rPr>
      </w:pPr>
      <w:r w:rsidRPr="009E06AA">
        <w:t>Choice of methods</w:t>
      </w:r>
    </w:p>
    <w:p w14:paraId="239009C1" w14:textId="77777777" w:rsidR="001608E9" w:rsidRPr="009E06AA" w:rsidRDefault="001608E9" w:rsidP="00BF2A76">
      <w:pPr>
        <w:pStyle w:val="Heading5"/>
      </w:pPr>
      <w:r w:rsidRPr="009E06AA">
        <w:t>Ammonia and urea (2.B.1)</w:t>
      </w:r>
    </w:p>
    <w:p w14:paraId="67D2F66B" w14:textId="77777777" w:rsidR="001608E9" w:rsidRPr="009E06AA" w:rsidRDefault="001608E9" w:rsidP="001608E9">
      <w:pPr>
        <w:pStyle w:val="BodyText"/>
      </w:pPr>
      <w:r w:rsidRPr="009E06AA">
        <w:rPr>
          <w:spacing w:val="-2"/>
        </w:rPr>
        <w:t>The CO</w:t>
      </w:r>
      <w:r w:rsidRPr="009E06AA">
        <w:rPr>
          <w:spacing w:val="-2"/>
          <w:vertAlign w:val="subscript"/>
        </w:rPr>
        <w:t>2</w:t>
      </w:r>
      <w:r w:rsidRPr="009E06AA">
        <w:rPr>
          <w:spacing w:val="-2"/>
        </w:rPr>
        <w:t xml:space="preserve"> emissions are estimated from a Tier 2 carbon balance, based on the feedstock gas used</w:t>
      </w:r>
      <w:r w:rsidRPr="009E06AA">
        <w:t>. The emissions are derived from all carbon in the feedstock gas used, less carbon recovered for urea production and remaining in the urea product (IPCC, 2006a). Note that only gas used as feedstock is included in this calculation. There are also significant CO</w:t>
      </w:r>
      <w:r w:rsidRPr="009E06AA">
        <w:rPr>
          <w:vertAlign w:val="subscript"/>
        </w:rPr>
        <w:t xml:space="preserve">2 </w:t>
      </w:r>
      <w:r w:rsidRPr="009E06AA">
        <w:t xml:space="preserve">emissions </w:t>
      </w:r>
      <w:r w:rsidRPr="009E06AA">
        <w:rPr>
          <w:spacing w:val="-2"/>
        </w:rPr>
        <w:t xml:space="preserve">from gas used for combustion, which are reported under the Energy sector in the </w:t>
      </w:r>
      <w:r w:rsidRPr="009E06AA">
        <w:rPr>
          <w:i/>
          <w:spacing w:val="-2"/>
        </w:rPr>
        <w:t>Manufacturing</w:t>
      </w:r>
      <w:r w:rsidRPr="009E06AA">
        <w:rPr>
          <w:i/>
        </w:rPr>
        <w:t xml:space="preserve"> industries and construction</w:t>
      </w:r>
      <w:r w:rsidRPr="009E06AA">
        <w:t xml:space="preserve"> category (1.A.2.c) and aggregated with other data. This method has been used to allow data on the total gas used at the plant to remain confidential. </w:t>
      </w:r>
    </w:p>
    <w:p w14:paraId="234467C0" w14:textId="77777777" w:rsidR="001608E9" w:rsidRPr="009E06AA" w:rsidRDefault="001608E9" w:rsidP="00BF2A76">
      <w:pPr>
        <w:pStyle w:val="Heading5"/>
      </w:pPr>
      <w:r w:rsidRPr="009E06AA">
        <w:t>Calcium carbide (2.B.5.b)</w:t>
      </w:r>
    </w:p>
    <w:p w14:paraId="124CF46A" w14:textId="1295E311" w:rsidR="001608E9" w:rsidRPr="009E06AA" w:rsidRDefault="001608E9" w:rsidP="001608E9">
      <w:pPr>
        <w:pStyle w:val="BodyText"/>
      </w:pPr>
      <w:r w:rsidRPr="009E06AA">
        <w:t xml:space="preserve">The Tier 1 method </w:t>
      </w:r>
      <w:r w:rsidR="007E156B" w:rsidRPr="009E06AA">
        <w:t>was</w:t>
      </w:r>
      <w:r w:rsidRPr="009E06AA">
        <w:t xml:space="preserve"> used. </w:t>
      </w:r>
    </w:p>
    <w:p w14:paraId="2D493ACF" w14:textId="77777777" w:rsidR="001608E9" w:rsidRPr="009E06AA" w:rsidRDefault="001608E9" w:rsidP="00BF2A76">
      <w:pPr>
        <w:pStyle w:val="Heading5"/>
      </w:pPr>
      <w:r w:rsidRPr="009E06AA">
        <w:t>Methanol (2.B.8 and 2.B.8.a)</w:t>
      </w:r>
    </w:p>
    <w:p w14:paraId="6D61E8CB" w14:textId="77777777" w:rsidR="001608E9" w:rsidRPr="009E06AA" w:rsidRDefault="001608E9" w:rsidP="001608E9">
      <w:pPr>
        <w:pStyle w:val="BodyText"/>
      </w:pPr>
      <w:r w:rsidRPr="009E06AA">
        <w:t>Data on the natural gas used for methanol production are also supplied to MBIE by the plant operators. However, the available data on gas supplied to the methanol plants do not allow for any separate feedstock to be clearly distinguished from gas used for combustion. Also, close to 100 percent of the carbon in feedstock gas is converted to methanol. Therefore, no significant CO</w:t>
      </w:r>
      <w:r w:rsidRPr="009E06AA">
        <w:rPr>
          <w:vertAlign w:val="subscript"/>
        </w:rPr>
        <w:t>2</w:t>
      </w:r>
      <w:r w:rsidRPr="009E06AA">
        <w:t xml:space="preserve"> emissions can be clearly related to the process. The 2006 IPCC Guidelines do not provide a method for estimation of any CO</w:t>
      </w:r>
      <w:r w:rsidRPr="009E06AA">
        <w:rPr>
          <w:vertAlign w:val="subscript"/>
        </w:rPr>
        <w:t>2</w:t>
      </w:r>
      <w:r w:rsidRPr="009E06AA">
        <w:t xml:space="preserve"> emissions from this process (IPCC, 2006a). Any small amounts of chemical process CO</w:t>
      </w:r>
      <w:r w:rsidRPr="009E06AA">
        <w:rPr>
          <w:vertAlign w:val="subscript"/>
        </w:rPr>
        <w:t>2</w:t>
      </w:r>
      <w:r w:rsidRPr="009E06AA">
        <w:t xml:space="preserve"> emissions from the methanol production process are included under the Energy sector (1.A.2), along with the much larger amount of combustion-related emissions from the methanol plants. </w:t>
      </w:r>
    </w:p>
    <w:p w14:paraId="602CAC87" w14:textId="77777777" w:rsidR="001608E9" w:rsidRPr="009E06AA" w:rsidRDefault="001608E9" w:rsidP="001608E9">
      <w:pPr>
        <w:pStyle w:val="BodyText"/>
      </w:pPr>
      <w:r w:rsidRPr="009E06AA">
        <w:t>Fugitive CH</w:t>
      </w:r>
      <w:r w:rsidRPr="009E06AA">
        <w:rPr>
          <w:vertAlign w:val="subscript"/>
        </w:rPr>
        <w:t>4</w:t>
      </w:r>
      <w:r w:rsidRPr="009E06AA">
        <w:t xml:space="preserve"> from the methanol manufacturing process is estimated using the Tier 1 method. Emissions of NO</w:t>
      </w:r>
      <w:r w:rsidRPr="009E06AA">
        <w:rPr>
          <w:vertAlign w:val="subscript"/>
        </w:rPr>
        <w:t>x</w:t>
      </w:r>
      <w:r w:rsidRPr="009E06AA">
        <w:t xml:space="preserve">, CO and NMVOC are also reported. </w:t>
      </w:r>
    </w:p>
    <w:p w14:paraId="2CE3AFC1" w14:textId="77777777" w:rsidR="001608E9" w:rsidRPr="009E06AA" w:rsidRDefault="001608E9" w:rsidP="00BF2A76">
      <w:pPr>
        <w:pStyle w:val="Heading5"/>
      </w:pPr>
      <w:r w:rsidRPr="009E06AA">
        <w:t>Hydrogen (2.B.10)</w:t>
      </w:r>
    </w:p>
    <w:p w14:paraId="35DA4A7E" w14:textId="77777777" w:rsidR="001608E9" w:rsidRPr="009E06AA" w:rsidRDefault="001608E9" w:rsidP="001608E9">
      <w:pPr>
        <w:pStyle w:val="BodyText"/>
      </w:pPr>
      <w:r w:rsidRPr="009E06AA">
        <w:t>Emissions of CO</w:t>
      </w:r>
      <w:r w:rsidRPr="009E06AA">
        <w:rPr>
          <w:vertAlign w:val="subscript"/>
        </w:rPr>
        <w:t>2</w:t>
      </w:r>
      <w:r w:rsidRPr="009E06AA">
        <w:t xml:space="preserve"> from hydrogen production are calculated using the Tier 2 methodology, based on feedstock composition (IPCC, 2006a). The required data are supplied by MBIE. </w:t>
      </w:r>
    </w:p>
    <w:p w14:paraId="12689347" w14:textId="77777777" w:rsidR="001608E9" w:rsidRPr="009E06AA" w:rsidRDefault="001608E9" w:rsidP="001608E9">
      <w:pPr>
        <w:pStyle w:val="Heading4"/>
      </w:pPr>
      <w:r w:rsidRPr="009E06AA">
        <w:t>Choice of emission factors</w:t>
      </w:r>
    </w:p>
    <w:p w14:paraId="50E6B38E" w14:textId="77777777" w:rsidR="001608E9" w:rsidRPr="009E06AA" w:rsidRDefault="001608E9" w:rsidP="00BF2A76">
      <w:pPr>
        <w:pStyle w:val="Heading5"/>
      </w:pPr>
      <w:r w:rsidRPr="009E06AA">
        <w:t>Carbon dioxide and methane</w:t>
      </w:r>
    </w:p>
    <w:p w14:paraId="3D83213B" w14:textId="77777777" w:rsidR="001608E9" w:rsidRPr="009E06AA" w:rsidRDefault="001608E9" w:rsidP="001608E9">
      <w:pPr>
        <w:pStyle w:val="BodyText"/>
      </w:pPr>
      <w:r w:rsidRPr="009E06AA">
        <w:t>For ammonia production, the carbon content of each type of natural gas (up to three types taken from different natural gas fields, and mixed pipeline gas) used as feedstock determines country-specific CO</w:t>
      </w:r>
      <w:r w:rsidRPr="009E06AA">
        <w:rPr>
          <w:vertAlign w:val="subscript"/>
        </w:rPr>
        <w:t>2</w:t>
      </w:r>
      <w:r w:rsidRPr="009E06AA">
        <w:t xml:space="preserve"> emission factors. </w:t>
      </w:r>
    </w:p>
    <w:p w14:paraId="6A9EBBAF" w14:textId="77777777" w:rsidR="001608E9" w:rsidRPr="009E06AA" w:rsidRDefault="001608E9" w:rsidP="001608E9">
      <w:pPr>
        <w:pStyle w:val="BodyText"/>
        <w:rPr>
          <w:spacing w:val="-2"/>
        </w:rPr>
      </w:pPr>
      <w:r w:rsidRPr="009E06AA">
        <w:rPr>
          <w:spacing w:val="-2"/>
        </w:rPr>
        <w:t>In some years, these emission factors are higher than Tier 1 default emission factors, due to the use of untreated high-CO</w:t>
      </w:r>
      <w:r w:rsidRPr="009E06AA">
        <w:rPr>
          <w:spacing w:val="-2"/>
          <w:vertAlign w:val="subscript"/>
        </w:rPr>
        <w:t>2</w:t>
      </w:r>
      <w:r w:rsidRPr="009E06AA">
        <w:rPr>
          <w:spacing w:val="-2"/>
        </w:rPr>
        <w:t xml:space="preserve"> gas from the Kapuni field as part of the feedstock at this plant. This gas has a carbon content factor (CCF</w:t>
      </w:r>
      <w:r w:rsidRPr="009E06AA">
        <w:rPr>
          <w:spacing w:val="-2"/>
          <w:vertAlign w:val="subscript"/>
        </w:rPr>
        <w:t>i</w:t>
      </w:r>
      <w:r w:rsidRPr="009E06AA">
        <w:rPr>
          <w:spacing w:val="-2"/>
        </w:rPr>
        <w:t xml:space="preserve">) of approximately 22.5 kilograms per gigajoule in comparison with the default of 15.3 kilograms per gigajoule. Kapuni gas has not been used since 2014. </w:t>
      </w:r>
    </w:p>
    <w:p w14:paraId="66930DF3" w14:textId="77777777" w:rsidR="001608E9" w:rsidRPr="009E06AA" w:rsidRDefault="001608E9" w:rsidP="001608E9">
      <w:pPr>
        <w:pStyle w:val="BodyText"/>
        <w:rPr>
          <w:spacing w:val="-2"/>
        </w:rPr>
      </w:pPr>
      <w:r w:rsidRPr="009E06AA">
        <w:rPr>
          <w:spacing w:val="-2"/>
        </w:rPr>
        <w:t>For hydrogen production, site-specific (for refinery gas) and field-specific (for natural gas) emission factors are used to determine the CO</w:t>
      </w:r>
      <w:r w:rsidRPr="009E06AA">
        <w:rPr>
          <w:spacing w:val="-2"/>
          <w:vertAlign w:val="subscript"/>
        </w:rPr>
        <w:t>2</w:t>
      </w:r>
      <w:r w:rsidRPr="009E06AA">
        <w:rPr>
          <w:spacing w:val="-2"/>
        </w:rPr>
        <w:t xml:space="preserve"> emissions from the feedstock gas streams used. </w:t>
      </w:r>
    </w:p>
    <w:p w14:paraId="328B1A44" w14:textId="77777777" w:rsidR="001608E9" w:rsidRPr="009E06AA" w:rsidRDefault="001608E9" w:rsidP="001608E9">
      <w:pPr>
        <w:pStyle w:val="BodyText"/>
      </w:pPr>
      <w:r w:rsidRPr="009E06AA">
        <w:t>IPCC default emission factors are used to estimate emissions of CH</w:t>
      </w:r>
      <w:r w:rsidRPr="009E06AA">
        <w:rPr>
          <w:vertAlign w:val="subscript"/>
        </w:rPr>
        <w:t>4</w:t>
      </w:r>
      <w:r w:rsidRPr="009E06AA">
        <w:t xml:space="preserve"> from methanol manufacture and CO</w:t>
      </w:r>
      <w:r w:rsidRPr="009E06AA">
        <w:rPr>
          <w:vertAlign w:val="subscript"/>
        </w:rPr>
        <w:t>2</w:t>
      </w:r>
      <w:r w:rsidRPr="009E06AA">
        <w:t xml:space="preserve"> from calcium carbide use (IPCC, 2006a). No other information on these emission sources is available. </w:t>
      </w:r>
    </w:p>
    <w:p w14:paraId="1D7B6744" w14:textId="77777777" w:rsidR="001608E9" w:rsidRPr="009E06AA" w:rsidRDefault="001608E9" w:rsidP="00BF2A76">
      <w:pPr>
        <w:pStyle w:val="Heading5"/>
      </w:pPr>
      <w:r w:rsidRPr="009E06AA">
        <w:t>Indirect emissions</w:t>
      </w:r>
    </w:p>
    <w:p w14:paraId="223556E6" w14:textId="77777777" w:rsidR="001608E9" w:rsidRPr="009E06AA" w:rsidRDefault="001608E9" w:rsidP="001608E9">
      <w:pPr>
        <w:pStyle w:val="BodyText"/>
      </w:pPr>
      <w:r w:rsidRPr="009E06AA">
        <w:t>Indirect emissions of NO</w:t>
      </w:r>
      <w:r w:rsidRPr="009E06AA">
        <w:rPr>
          <w:vertAlign w:val="subscript"/>
        </w:rPr>
        <w:t>x</w:t>
      </w:r>
      <w:r w:rsidRPr="009E06AA">
        <w:t xml:space="preserve">, CO and NMVOC from methanol production are reported (2.B.8) with emission factors estimated by Methanex (CRL Energy, </w:t>
      </w:r>
      <w:r w:rsidRPr="009E06AA">
        <w:rPr>
          <w:rFonts w:eastAsia="+mn-ea"/>
        </w:rPr>
        <w:t>unpublished(a)</w:t>
      </w:r>
      <w:r w:rsidRPr="009E06AA">
        <w:t>). The emission factors for NO</w:t>
      </w:r>
      <w:r w:rsidRPr="009E06AA">
        <w:rPr>
          <w:vertAlign w:val="subscript"/>
        </w:rPr>
        <w:t>x</w:t>
      </w:r>
      <w:r w:rsidRPr="009E06AA">
        <w:t xml:space="preserve"> and CO were derived from site measurements, and the emission factor for NMVOC is based on American Petroleum Institute methods for estimating vapour emissions from storage tanks. </w:t>
      </w:r>
    </w:p>
    <w:p w14:paraId="73537C0F" w14:textId="77777777" w:rsidR="001608E9" w:rsidRPr="009E06AA" w:rsidRDefault="001608E9" w:rsidP="001608E9">
      <w:pPr>
        <w:pStyle w:val="BodyText"/>
      </w:pPr>
      <w:r w:rsidRPr="009E06AA">
        <w:t xml:space="preserve">Some indirect greenhouse gas emissions are also reported for superphosphate fertiliser, formaldehyde and ethanol production (2.B.10). The emission factors used are country specific (CRL Energy </w:t>
      </w:r>
      <w:r w:rsidRPr="009E06AA">
        <w:rPr>
          <w:rFonts w:eastAsia="+mn-ea"/>
        </w:rPr>
        <w:t>unpublished(a)</w:t>
      </w:r>
      <w:r w:rsidRPr="009E06AA">
        <w:t xml:space="preserve">) and are as shown in table 4.3.1. </w:t>
      </w:r>
    </w:p>
    <w:p w14:paraId="64CB48BA" w14:textId="77777777" w:rsidR="001608E9" w:rsidRPr="009E06AA" w:rsidRDefault="001608E9" w:rsidP="001608E9">
      <w:pPr>
        <w:pStyle w:val="Table"/>
      </w:pPr>
      <w:bookmarkStart w:id="548" w:name="_Toc451176068"/>
      <w:bookmarkStart w:id="549" w:name="_Toc5269458"/>
      <w:bookmarkStart w:id="550" w:name="_Toc36224531"/>
      <w:bookmarkStart w:id="551" w:name="_Toc68786418"/>
      <w:bookmarkStart w:id="552" w:name="_Toc128042751"/>
      <w:bookmarkStart w:id="553" w:name="_Toc131591331"/>
      <w:bookmarkStart w:id="554" w:name="_Toc158647419"/>
      <w:bookmarkStart w:id="555" w:name="_Toc164153817"/>
      <w:r w:rsidRPr="009E06AA">
        <w:t>Table 4.3.1</w:t>
      </w:r>
      <w:r w:rsidRPr="009E06AA">
        <w:tab/>
        <w:t>Country-specific emission factors for indirect emissions</w:t>
      </w:r>
      <w:bookmarkEnd w:id="548"/>
      <w:bookmarkEnd w:id="549"/>
      <w:bookmarkEnd w:id="550"/>
      <w:bookmarkEnd w:id="551"/>
      <w:bookmarkEnd w:id="552"/>
      <w:bookmarkEnd w:id="553"/>
      <w:bookmarkEnd w:id="554"/>
      <w:bookmarkEnd w:id="555"/>
    </w:p>
    <w:tbl>
      <w:tblPr>
        <w:tblW w:w="8505" w:type="dxa"/>
        <w:tblBorders>
          <w:top w:val="single" w:sz="4" w:space="0" w:color="1B556B"/>
          <w:bottom w:val="single" w:sz="4" w:space="0" w:color="1B556B"/>
          <w:insideH w:val="single" w:sz="4" w:space="0" w:color="1B556B"/>
        </w:tblBorders>
        <w:tblLook w:val="04A0" w:firstRow="1" w:lastRow="0" w:firstColumn="1" w:lastColumn="0" w:noHBand="0" w:noVBand="1"/>
      </w:tblPr>
      <w:tblGrid>
        <w:gridCol w:w="2959"/>
        <w:gridCol w:w="2224"/>
        <w:gridCol w:w="3322"/>
      </w:tblGrid>
      <w:tr w:rsidR="001608E9" w:rsidRPr="009E06AA" w14:paraId="239C73B9" w14:textId="77777777" w:rsidTr="00B55F24">
        <w:tc>
          <w:tcPr>
            <w:tcW w:w="2977" w:type="dxa"/>
            <w:shd w:val="clear" w:color="auto" w:fill="1B556B"/>
            <w:hideMark/>
          </w:tcPr>
          <w:p w14:paraId="65B1FC62" w14:textId="77777777" w:rsidR="001608E9" w:rsidRPr="009E06AA" w:rsidRDefault="001608E9" w:rsidP="00B55F24">
            <w:pPr>
              <w:pStyle w:val="TableTextBold"/>
              <w:spacing w:before="50" w:after="50"/>
              <w:rPr>
                <w:noProof w:val="0"/>
                <w:color w:val="FFFFFF"/>
              </w:rPr>
            </w:pPr>
            <w:r w:rsidRPr="009E06AA">
              <w:rPr>
                <w:noProof w:val="0"/>
                <w:color w:val="FFFFFF"/>
              </w:rPr>
              <w:t>Activity</w:t>
            </w:r>
          </w:p>
        </w:tc>
        <w:tc>
          <w:tcPr>
            <w:tcW w:w="2239" w:type="dxa"/>
            <w:shd w:val="clear" w:color="auto" w:fill="1B556B"/>
            <w:hideMark/>
          </w:tcPr>
          <w:p w14:paraId="782C1C42" w14:textId="77777777" w:rsidR="001608E9" w:rsidRPr="009E06AA" w:rsidRDefault="001608E9" w:rsidP="00B55F24">
            <w:pPr>
              <w:pStyle w:val="TableTextBold"/>
              <w:spacing w:before="50" w:after="50"/>
              <w:rPr>
                <w:noProof w:val="0"/>
                <w:color w:val="FFFFFF"/>
              </w:rPr>
            </w:pPr>
            <w:r w:rsidRPr="009E06AA">
              <w:rPr>
                <w:noProof w:val="0"/>
                <w:color w:val="FFFFFF"/>
              </w:rPr>
              <w:t>Type of gas</w:t>
            </w:r>
          </w:p>
        </w:tc>
        <w:tc>
          <w:tcPr>
            <w:tcW w:w="3346" w:type="dxa"/>
            <w:shd w:val="clear" w:color="auto" w:fill="1B556B"/>
            <w:hideMark/>
          </w:tcPr>
          <w:p w14:paraId="4F44F5F4" w14:textId="77777777" w:rsidR="001608E9" w:rsidRPr="009E06AA" w:rsidRDefault="001608E9" w:rsidP="00B55F24">
            <w:pPr>
              <w:pStyle w:val="TableTextBold"/>
              <w:spacing w:before="50" w:after="50"/>
              <w:rPr>
                <w:noProof w:val="0"/>
                <w:color w:val="FFFFFF"/>
              </w:rPr>
            </w:pPr>
            <w:r w:rsidRPr="009E06AA">
              <w:rPr>
                <w:noProof w:val="0"/>
                <w:color w:val="FFFFFF"/>
              </w:rPr>
              <w:t>Emission factor</w:t>
            </w:r>
          </w:p>
        </w:tc>
      </w:tr>
      <w:tr w:rsidR="001608E9" w:rsidRPr="009E06AA" w14:paraId="304315B5" w14:textId="77777777" w:rsidTr="00B55F24">
        <w:tc>
          <w:tcPr>
            <w:tcW w:w="2977" w:type="dxa"/>
            <w:shd w:val="clear" w:color="auto" w:fill="FFFFFF"/>
            <w:hideMark/>
          </w:tcPr>
          <w:p w14:paraId="44105121" w14:textId="77777777" w:rsidR="001608E9" w:rsidRPr="009E06AA" w:rsidRDefault="001608E9" w:rsidP="00B55F24">
            <w:pPr>
              <w:pStyle w:val="TableText"/>
              <w:spacing w:before="50" w:after="50"/>
            </w:pPr>
            <w:r w:rsidRPr="009E06AA">
              <w:t>Superphosphate fertiliser production</w:t>
            </w:r>
          </w:p>
        </w:tc>
        <w:tc>
          <w:tcPr>
            <w:tcW w:w="2239" w:type="dxa"/>
            <w:shd w:val="clear" w:color="auto" w:fill="FFFFFF"/>
            <w:hideMark/>
          </w:tcPr>
          <w:p w14:paraId="41053F6C" w14:textId="77777777" w:rsidR="001608E9" w:rsidRPr="009E06AA" w:rsidRDefault="001608E9" w:rsidP="00B55F24">
            <w:pPr>
              <w:pStyle w:val="TableText"/>
              <w:spacing w:before="50" w:after="50"/>
            </w:pPr>
            <w:r w:rsidRPr="009E06AA">
              <w:t>SO</w:t>
            </w:r>
            <w:r w:rsidRPr="009E06AA">
              <w:rPr>
                <w:vertAlign w:val="subscript"/>
              </w:rPr>
              <w:t>2</w:t>
            </w:r>
          </w:p>
        </w:tc>
        <w:tc>
          <w:tcPr>
            <w:tcW w:w="3346" w:type="dxa"/>
            <w:shd w:val="clear" w:color="auto" w:fill="FFFFFF"/>
            <w:hideMark/>
          </w:tcPr>
          <w:p w14:paraId="015EE350" w14:textId="77777777" w:rsidR="001608E9" w:rsidRPr="009E06AA" w:rsidRDefault="001608E9" w:rsidP="00B55F24">
            <w:pPr>
              <w:pStyle w:val="TableText"/>
              <w:spacing w:before="50" w:after="50"/>
            </w:pPr>
            <w:r w:rsidRPr="009E06AA">
              <w:t>1.5 kg per tonne of H</w:t>
            </w:r>
            <w:r w:rsidRPr="009E06AA">
              <w:rPr>
                <w:vertAlign w:val="subscript"/>
              </w:rPr>
              <w:t>2</w:t>
            </w:r>
            <w:r w:rsidRPr="009E06AA">
              <w:t>SO</w:t>
            </w:r>
            <w:r w:rsidRPr="009E06AA">
              <w:rPr>
                <w:vertAlign w:val="subscript"/>
              </w:rPr>
              <w:t>4</w:t>
            </w:r>
          </w:p>
        </w:tc>
      </w:tr>
      <w:tr w:rsidR="001608E9" w:rsidRPr="009E06AA" w14:paraId="280060CC" w14:textId="77777777" w:rsidTr="00B55F24">
        <w:tc>
          <w:tcPr>
            <w:tcW w:w="2977" w:type="dxa"/>
            <w:shd w:val="clear" w:color="auto" w:fill="FFFFFF"/>
            <w:hideMark/>
          </w:tcPr>
          <w:p w14:paraId="18A48997" w14:textId="77777777" w:rsidR="001608E9" w:rsidRPr="009E06AA" w:rsidRDefault="001608E9" w:rsidP="00B55F24">
            <w:pPr>
              <w:pStyle w:val="TableText"/>
              <w:spacing w:before="50" w:after="50"/>
            </w:pPr>
            <w:r w:rsidRPr="009E06AA">
              <w:t xml:space="preserve">Formaldehyde production </w:t>
            </w:r>
          </w:p>
        </w:tc>
        <w:tc>
          <w:tcPr>
            <w:tcW w:w="2239" w:type="dxa"/>
            <w:shd w:val="clear" w:color="auto" w:fill="FFFFFF"/>
            <w:hideMark/>
          </w:tcPr>
          <w:p w14:paraId="7B3F13BF" w14:textId="77777777" w:rsidR="001608E9" w:rsidRPr="009E06AA" w:rsidRDefault="001608E9" w:rsidP="00B55F24">
            <w:pPr>
              <w:pStyle w:val="TableText"/>
              <w:spacing w:before="50" w:after="50"/>
            </w:pPr>
            <w:r w:rsidRPr="009E06AA">
              <w:t>NMVOCs</w:t>
            </w:r>
          </w:p>
        </w:tc>
        <w:tc>
          <w:tcPr>
            <w:tcW w:w="3346" w:type="dxa"/>
            <w:shd w:val="clear" w:color="auto" w:fill="FFFFFF"/>
            <w:hideMark/>
          </w:tcPr>
          <w:p w14:paraId="3DE57D30" w14:textId="77777777" w:rsidR="001608E9" w:rsidRPr="009E06AA" w:rsidRDefault="001608E9" w:rsidP="00B55F24">
            <w:pPr>
              <w:pStyle w:val="TableText"/>
              <w:spacing w:before="50" w:after="50"/>
            </w:pPr>
            <w:r w:rsidRPr="009E06AA">
              <w:t>1.5 kg per tonne of formaldehyde</w:t>
            </w:r>
          </w:p>
        </w:tc>
      </w:tr>
      <w:tr w:rsidR="001608E9" w:rsidRPr="009E06AA" w14:paraId="108111BA" w14:textId="77777777" w:rsidTr="00B55F24">
        <w:tc>
          <w:tcPr>
            <w:tcW w:w="2977" w:type="dxa"/>
            <w:shd w:val="clear" w:color="auto" w:fill="FFFFFF"/>
            <w:hideMark/>
          </w:tcPr>
          <w:p w14:paraId="318E3B17" w14:textId="77777777" w:rsidR="001608E9" w:rsidRPr="009E06AA" w:rsidRDefault="001608E9" w:rsidP="00B55F24">
            <w:pPr>
              <w:pStyle w:val="TableText"/>
              <w:spacing w:before="50" w:after="50"/>
            </w:pPr>
            <w:r w:rsidRPr="009E06AA">
              <w:t>Ethanol production</w:t>
            </w:r>
          </w:p>
        </w:tc>
        <w:tc>
          <w:tcPr>
            <w:tcW w:w="2239" w:type="dxa"/>
            <w:shd w:val="clear" w:color="auto" w:fill="FFFFFF"/>
            <w:hideMark/>
          </w:tcPr>
          <w:p w14:paraId="387DB80C" w14:textId="77777777" w:rsidR="001608E9" w:rsidRPr="009E06AA" w:rsidRDefault="001608E9" w:rsidP="00B55F24">
            <w:pPr>
              <w:pStyle w:val="TableText"/>
              <w:spacing w:before="50" w:after="50"/>
            </w:pPr>
            <w:r w:rsidRPr="009E06AA">
              <w:t>NMVOCs</w:t>
            </w:r>
          </w:p>
        </w:tc>
        <w:tc>
          <w:tcPr>
            <w:tcW w:w="3346" w:type="dxa"/>
            <w:shd w:val="clear" w:color="auto" w:fill="FFFFFF"/>
            <w:hideMark/>
          </w:tcPr>
          <w:p w14:paraId="4A0A8444" w14:textId="77777777" w:rsidR="001608E9" w:rsidRPr="009E06AA" w:rsidRDefault="001608E9" w:rsidP="00B55F24">
            <w:pPr>
              <w:pStyle w:val="TableText"/>
              <w:spacing w:before="50" w:after="50"/>
            </w:pPr>
            <w:r w:rsidRPr="009E06AA">
              <w:t>6 g NMVOC per litre of ethanol</w:t>
            </w:r>
          </w:p>
        </w:tc>
      </w:tr>
    </w:tbl>
    <w:p w14:paraId="4291CB10" w14:textId="77777777" w:rsidR="001608E9" w:rsidRPr="009E06AA" w:rsidRDefault="001608E9" w:rsidP="001608E9">
      <w:pPr>
        <w:pStyle w:val="Heading3"/>
        <w:spacing w:before="400"/>
      </w:pPr>
      <w:bookmarkStart w:id="556" w:name="_Toc158647339"/>
      <w:r w:rsidRPr="009E06AA">
        <w:t xml:space="preserve">4.3.3 </w:t>
      </w:r>
      <w:r w:rsidRPr="009E06AA">
        <w:tab/>
        <w:t>Uncertainty assessment and time-series consistency</w:t>
      </w:r>
      <w:bookmarkEnd w:id="556"/>
    </w:p>
    <w:p w14:paraId="6E27EB05" w14:textId="77777777" w:rsidR="001608E9" w:rsidRPr="009E06AA" w:rsidRDefault="001608E9" w:rsidP="001608E9">
      <w:pPr>
        <w:pStyle w:val="Heading4"/>
        <w:spacing w:before="180"/>
        <w:rPr>
          <w:bCs/>
          <w:iCs/>
        </w:rPr>
      </w:pPr>
      <w:r w:rsidRPr="009E06AA">
        <w:t>Uncertainties</w:t>
      </w:r>
    </w:p>
    <w:p w14:paraId="0C70003A" w14:textId="77777777" w:rsidR="001608E9" w:rsidRPr="009E06AA" w:rsidRDefault="001608E9" w:rsidP="001608E9">
      <w:pPr>
        <w:pStyle w:val="BodyText"/>
      </w:pPr>
      <w:r w:rsidRPr="009E06AA">
        <w:t>The IPCC default uncertainties have been used for CO</w:t>
      </w:r>
      <w:r w:rsidRPr="009E06AA">
        <w:rPr>
          <w:vertAlign w:val="subscript"/>
        </w:rPr>
        <w:t>2</w:t>
      </w:r>
      <w:r w:rsidRPr="009E06AA">
        <w:t xml:space="preserve"> and most non-CO</w:t>
      </w:r>
      <w:r w:rsidRPr="009E06AA">
        <w:rPr>
          <w:vertAlign w:val="subscript"/>
        </w:rPr>
        <w:t>2</w:t>
      </w:r>
      <w:r w:rsidRPr="009E06AA">
        <w:t xml:space="preserve"> emissions from this category, as shown in table 4.3.2. </w:t>
      </w:r>
    </w:p>
    <w:p w14:paraId="3FC569A4" w14:textId="77777777" w:rsidR="001608E9" w:rsidRPr="009E06AA" w:rsidRDefault="001608E9" w:rsidP="001608E9">
      <w:pPr>
        <w:pStyle w:val="Table"/>
      </w:pPr>
      <w:bookmarkStart w:id="557" w:name="_Toc451176069"/>
      <w:bookmarkStart w:id="558" w:name="_Toc5269459"/>
      <w:bookmarkStart w:id="559" w:name="_Toc36224532"/>
      <w:bookmarkStart w:id="560" w:name="_Toc68786419"/>
      <w:bookmarkStart w:id="561" w:name="_Toc128042752"/>
      <w:bookmarkStart w:id="562" w:name="_Toc131591332"/>
      <w:bookmarkStart w:id="563" w:name="_Toc158647420"/>
      <w:bookmarkStart w:id="564" w:name="_Toc164153818"/>
      <w:r w:rsidRPr="009E06AA">
        <w:t>Table 4.3.2</w:t>
      </w:r>
      <w:r w:rsidRPr="009E06AA">
        <w:tab/>
        <w:t xml:space="preserve">Uncertainty in emissions from the </w:t>
      </w:r>
      <w:r w:rsidRPr="009E06AA">
        <w:rPr>
          <w:i/>
        </w:rPr>
        <w:t>Chemical industry</w:t>
      </w:r>
      <w:r w:rsidRPr="009E06AA">
        <w:t xml:space="preserve"> category</w:t>
      </w:r>
      <w:bookmarkEnd w:id="557"/>
      <w:bookmarkEnd w:id="558"/>
      <w:bookmarkEnd w:id="559"/>
      <w:bookmarkEnd w:id="560"/>
      <w:bookmarkEnd w:id="561"/>
      <w:bookmarkEnd w:id="562"/>
      <w:bookmarkEnd w:id="563"/>
      <w:bookmarkEnd w:id="564"/>
    </w:p>
    <w:tbl>
      <w:tblPr>
        <w:tblW w:w="8505" w:type="dxa"/>
        <w:tblBorders>
          <w:top w:val="single" w:sz="4" w:space="0" w:color="1B556B"/>
          <w:bottom w:val="single" w:sz="4" w:space="0" w:color="1B556B"/>
          <w:insideH w:val="single" w:sz="4" w:space="0" w:color="1B556B"/>
        </w:tblBorders>
        <w:tblLook w:val="04A0" w:firstRow="1" w:lastRow="0" w:firstColumn="1" w:lastColumn="0" w:noHBand="0" w:noVBand="1"/>
      </w:tblPr>
      <w:tblGrid>
        <w:gridCol w:w="2475"/>
        <w:gridCol w:w="2929"/>
        <w:gridCol w:w="3101"/>
      </w:tblGrid>
      <w:tr w:rsidR="001608E9" w:rsidRPr="009E06AA" w14:paraId="5628EE16" w14:textId="77777777" w:rsidTr="00CA08AC">
        <w:trPr>
          <w:tblHeader/>
        </w:trPr>
        <w:tc>
          <w:tcPr>
            <w:tcW w:w="2036" w:type="dxa"/>
            <w:shd w:val="clear" w:color="auto" w:fill="1B556B"/>
            <w:hideMark/>
          </w:tcPr>
          <w:p w14:paraId="137297BD" w14:textId="77777777" w:rsidR="001608E9" w:rsidRPr="009E06AA" w:rsidRDefault="001608E9" w:rsidP="00CA08AC">
            <w:pPr>
              <w:pStyle w:val="TableTextBold"/>
              <w:keepNext/>
              <w:spacing w:before="50" w:after="50"/>
              <w:rPr>
                <w:noProof w:val="0"/>
                <w:color w:val="FFFFFF"/>
              </w:rPr>
            </w:pPr>
            <w:r w:rsidRPr="009E06AA">
              <w:rPr>
                <w:noProof w:val="0"/>
                <w:color w:val="FFFFFF"/>
              </w:rPr>
              <w:t>Product</w:t>
            </w:r>
          </w:p>
        </w:tc>
        <w:tc>
          <w:tcPr>
            <w:tcW w:w="2410" w:type="dxa"/>
            <w:shd w:val="clear" w:color="auto" w:fill="1B556B"/>
            <w:hideMark/>
          </w:tcPr>
          <w:p w14:paraId="2E33FB5D" w14:textId="77777777" w:rsidR="001608E9" w:rsidRPr="009E06AA" w:rsidRDefault="001608E9" w:rsidP="0071011B">
            <w:pPr>
              <w:pStyle w:val="TableTextBold"/>
              <w:keepNext/>
              <w:spacing w:before="50" w:after="50"/>
              <w:jc w:val="right"/>
              <w:rPr>
                <w:noProof w:val="0"/>
                <w:color w:val="FFFFFF"/>
              </w:rPr>
            </w:pPr>
            <w:r w:rsidRPr="009E06AA">
              <w:rPr>
                <w:noProof w:val="0"/>
                <w:color w:val="FFFFFF"/>
              </w:rPr>
              <w:t>Uncertainty in activity data (%)</w:t>
            </w:r>
          </w:p>
        </w:tc>
        <w:tc>
          <w:tcPr>
            <w:tcW w:w="2551" w:type="dxa"/>
            <w:shd w:val="clear" w:color="auto" w:fill="1B556B"/>
            <w:hideMark/>
          </w:tcPr>
          <w:p w14:paraId="1B3EE020" w14:textId="77777777" w:rsidR="001608E9" w:rsidRPr="009E06AA" w:rsidRDefault="001608E9" w:rsidP="0071011B">
            <w:pPr>
              <w:pStyle w:val="TableTextBold"/>
              <w:keepNext/>
              <w:spacing w:before="50" w:after="50"/>
              <w:jc w:val="right"/>
              <w:rPr>
                <w:noProof w:val="0"/>
                <w:color w:val="FFFFFF"/>
              </w:rPr>
            </w:pPr>
            <w:r w:rsidRPr="009E06AA">
              <w:rPr>
                <w:noProof w:val="0"/>
                <w:color w:val="FFFFFF"/>
              </w:rPr>
              <w:t>Uncertainty in emission factors (%)</w:t>
            </w:r>
          </w:p>
        </w:tc>
      </w:tr>
      <w:tr w:rsidR="001608E9" w:rsidRPr="009E06AA" w14:paraId="77610A97" w14:textId="77777777" w:rsidTr="00B55F24">
        <w:tc>
          <w:tcPr>
            <w:tcW w:w="2036" w:type="dxa"/>
            <w:shd w:val="clear" w:color="auto" w:fill="FFFFFF"/>
            <w:hideMark/>
          </w:tcPr>
          <w:p w14:paraId="7B42A040" w14:textId="77777777" w:rsidR="001608E9" w:rsidRPr="009E06AA" w:rsidRDefault="001608E9" w:rsidP="00CA08AC">
            <w:pPr>
              <w:pStyle w:val="TableText"/>
              <w:keepNext/>
              <w:spacing w:before="50" w:after="50"/>
            </w:pPr>
            <w:r w:rsidRPr="009E06AA">
              <w:t>Ammonia</w:t>
            </w:r>
          </w:p>
        </w:tc>
        <w:tc>
          <w:tcPr>
            <w:tcW w:w="2410" w:type="dxa"/>
            <w:shd w:val="clear" w:color="auto" w:fill="FFFFFF"/>
            <w:hideMark/>
          </w:tcPr>
          <w:p w14:paraId="460AA46C" w14:textId="77777777" w:rsidR="001608E9" w:rsidRPr="009E06AA" w:rsidRDefault="001608E9" w:rsidP="0071011B">
            <w:pPr>
              <w:pStyle w:val="TableText"/>
              <w:keepNext/>
              <w:spacing w:before="50" w:after="50"/>
              <w:jc w:val="right"/>
            </w:pPr>
            <w:r w:rsidRPr="009E06AA">
              <w:t>±2</w:t>
            </w:r>
          </w:p>
        </w:tc>
        <w:tc>
          <w:tcPr>
            <w:tcW w:w="2551" w:type="dxa"/>
            <w:shd w:val="clear" w:color="auto" w:fill="FFFFFF"/>
            <w:hideMark/>
          </w:tcPr>
          <w:p w14:paraId="21528FBD" w14:textId="77777777" w:rsidR="001608E9" w:rsidRPr="009E06AA" w:rsidRDefault="001608E9" w:rsidP="0071011B">
            <w:pPr>
              <w:pStyle w:val="TableText"/>
              <w:keepNext/>
              <w:spacing w:before="50" w:after="50"/>
              <w:jc w:val="right"/>
            </w:pPr>
            <w:r w:rsidRPr="009E06AA">
              <w:t>±6 (CO</w:t>
            </w:r>
            <w:r w:rsidRPr="009E06AA">
              <w:rPr>
                <w:vertAlign w:val="subscript"/>
              </w:rPr>
              <w:t>2</w:t>
            </w:r>
            <w:r w:rsidRPr="009E06AA">
              <w:t>)</w:t>
            </w:r>
          </w:p>
        </w:tc>
      </w:tr>
      <w:tr w:rsidR="001608E9" w:rsidRPr="009E06AA" w14:paraId="0F473824" w14:textId="77777777" w:rsidTr="00B55F24">
        <w:tc>
          <w:tcPr>
            <w:tcW w:w="2036" w:type="dxa"/>
            <w:shd w:val="clear" w:color="auto" w:fill="FFFFFF"/>
            <w:hideMark/>
          </w:tcPr>
          <w:p w14:paraId="60E04741" w14:textId="77777777" w:rsidR="001608E9" w:rsidRPr="009E06AA" w:rsidRDefault="001608E9" w:rsidP="00B55F24">
            <w:pPr>
              <w:pStyle w:val="TableText"/>
              <w:spacing w:before="50" w:after="50"/>
            </w:pPr>
            <w:r w:rsidRPr="009E06AA">
              <w:t>Calcium carbide</w:t>
            </w:r>
          </w:p>
        </w:tc>
        <w:tc>
          <w:tcPr>
            <w:tcW w:w="2410" w:type="dxa"/>
            <w:shd w:val="clear" w:color="auto" w:fill="FFFFFF"/>
            <w:hideMark/>
          </w:tcPr>
          <w:p w14:paraId="171A60F5" w14:textId="77777777" w:rsidR="001608E9" w:rsidRPr="009E06AA" w:rsidRDefault="001608E9" w:rsidP="0071011B">
            <w:pPr>
              <w:pStyle w:val="TableText"/>
              <w:spacing w:before="50" w:after="50"/>
              <w:jc w:val="right"/>
            </w:pPr>
            <w:r w:rsidRPr="009E06AA">
              <w:t>±50</w:t>
            </w:r>
          </w:p>
        </w:tc>
        <w:tc>
          <w:tcPr>
            <w:tcW w:w="2551" w:type="dxa"/>
            <w:shd w:val="clear" w:color="auto" w:fill="FFFFFF"/>
            <w:hideMark/>
          </w:tcPr>
          <w:p w14:paraId="6A065066" w14:textId="77777777" w:rsidR="001608E9" w:rsidRPr="009E06AA" w:rsidRDefault="001608E9" w:rsidP="0071011B">
            <w:pPr>
              <w:pStyle w:val="TableText"/>
              <w:spacing w:before="50" w:after="50"/>
              <w:jc w:val="right"/>
            </w:pPr>
            <w:r w:rsidRPr="009E06AA">
              <w:t>±50</w:t>
            </w:r>
          </w:p>
        </w:tc>
      </w:tr>
      <w:tr w:rsidR="001608E9" w:rsidRPr="009E06AA" w14:paraId="5609E2A2" w14:textId="77777777" w:rsidTr="00B55F24">
        <w:tc>
          <w:tcPr>
            <w:tcW w:w="2036" w:type="dxa"/>
            <w:shd w:val="clear" w:color="auto" w:fill="FFFFFF"/>
            <w:hideMark/>
          </w:tcPr>
          <w:p w14:paraId="3A4183D0" w14:textId="77777777" w:rsidR="001608E9" w:rsidRPr="009E06AA" w:rsidRDefault="001608E9" w:rsidP="00B55F24">
            <w:pPr>
              <w:pStyle w:val="TableText"/>
              <w:spacing w:before="50" w:after="50"/>
            </w:pPr>
            <w:r w:rsidRPr="009E06AA">
              <w:t>Formaldehyde</w:t>
            </w:r>
          </w:p>
        </w:tc>
        <w:tc>
          <w:tcPr>
            <w:tcW w:w="2410" w:type="dxa"/>
            <w:shd w:val="clear" w:color="auto" w:fill="FFFFFF"/>
            <w:hideMark/>
          </w:tcPr>
          <w:p w14:paraId="7E6A8804" w14:textId="77777777" w:rsidR="001608E9" w:rsidRPr="009E06AA" w:rsidRDefault="001608E9" w:rsidP="0071011B">
            <w:pPr>
              <w:pStyle w:val="TableText"/>
              <w:spacing w:before="50" w:after="50"/>
              <w:jc w:val="right"/>
            </w:pPr>
            <w:r w:rsidRPr="009E06AA">
              <w:t>±2</w:t>
            </w:r>
          </w:p>
        </w:tc>
        <w:tc>
          <w:tcPr>
            <w:tcW w:w="2551" w:type="dxa"/>
            <w:shd w:val="clear" w:color="auto" w:fill="FFFFFF"/>
            <w:hideMark/>
          </w:tcPr>
          <w:p w14:paraId="57F11044" w14:textId="77777777" w:rsidR="001608E9" w:rsidRPr="009E06AA" w:rsidRDefault="001608E9" w:rsidP="0071011B">
            <w:pPr>
              <w:pStyle w:val="TableText"/>
              <w:spacing w:before="50" w:after="50"/>
              <w:jc w:val="right"/>
            </w:pPr>
            <w:r w:rsidRPr="009E06AA">
              <w:t>±50 (NMVOCs)</w:t>
            </w:r>
          </w:p>
        </w:tc>
      </w:tr>
      <w:tr w:rsidR="001608E9" w:rsidRPr="009E06AA" w14:paraId="40088308" w14:textId="77777777" w:rsidTr="00B55F24">
        <w:tc>
          <w:tcPr>
            <w:tcW w:w="2036" w:type="dxa"/>
            <w:shd w:val="clear" w:color="auto" w:fill="FFFFFF"/>
            <w:hideMark/>
          </w:tcPr>
          <w:p w14:paraId="54484A33" w14:textId="77777777" w:rsidR="001608E9" w:rsidRPr="009E06AA" w:rsidRDefault="001608E9" w:rsidP="00B55F24">
            <w:pPr>
              <w:pStyle w:val="TableText"/>
              <w:spacing w:before="50" w:after="50"/>
            </w:pPr>
            <w:r w:rsidRPr="009E06AA">
              <w:t>Hydrogen</w:t>
            </w:r>
          </w:p>
        </w:tc>
        <w:tc>
          <w:tcPr>
            <w:tcW w:w="2410" w:type="dxa"/>
            <w:shd w:val="clear" w:color="auto" w:fill="FFFFFF"/>
            <w:hideMark/>
          </w:tcPr>
          <w:p w14:paraId="74536F33" w14:textId="77777777" w:rsidR="001608E9" w:rsidRPr="009E06AA" w:rsidRDefault="001608E9" w:rsidP="0071011B">
            <w:pPr>
              <w:pStyle w:val="TableText"/>
              <w:spacing w:before="50" w:after="50"/>
              <w:jc w:val="right"/>
            </w:pPr>
            <w:r w:rsidRPr="009E06AA">
              <w:t>±2</w:t>
            </w:r>
          </w:p>
        </w:tc>
        <w:tc>
          <w:tcPr>
            <w:tcW w:w="2551" w:type="dxa"/>
            <w:shd w:val="clear" w:color="auto" w:fill="FFFFFF"/>
            <w:hideMark/>
          </w:tcPr>
          <w:p w14:paraId="3FDDEE37" w14:textId="77777777" w:rsidR="001608E9" w:rsidRPr="009E06AA" w:rsidRDefault="001608E9" w:rsidP="0071011B">
            <w:pPr>
              <w:pStyle w:val="TableText"/>
              <w:spacing w:before="50" w:after="50"/>
              <w:jc w:val="right"/>
            </w:pPr>
            <w:r w:rsidRPr="009E06AA">
              <w:t>±6</w:t>
            </w:r>
          </w:p>
        </w:tc>
      </w:tr>
      <w:tr w:rsidR="001608E9" w:rsidRPr="009E06AA" w14:paraId="71267001" w14:textId="77777777" w:rsidTr="00B55F24">
        <w:tc>
          <w:tcPr>
            <w:tcW w:w="2036" w:type="dxa"/>
            <w:shd w:val="clear" w:color="auto" w:fill="FFFFFF"/>
            <w:hideMark/>
          </w:tcPr>
          <w:p w14:paraId="21979596" w14:textId="77777777" w:rsidR="001608E9" w:rsidRPr="009E06AA" w:rsidRDefault="001608E9" w:rsidP="00B55F24">
            <w:pPr>
              <w:pStyle w:val="TableText"/>
              <w:spacing w:before="50" w:after="50"/>
            </w:pPr>
            <w:r w:rsidRPr="009E06AA">
              <w:t>Methanol</w:t>
            </w:r>
          </w:p>
        </w:tc>
        <w:tc>
          <w:tcPr>
            <w:tcW w:w="2410" w:type="dxa"/>
            <w:shd w:val="clear" w:color="auto" w:fill="FFFFFF"/>
            <w:hideMark/>
          </w:tcPr>
          <w:p w14:paraId="4F526080" w14:textId="77777777" w:rsidR="001608E9" w:rsidRPr="009E06AA" w:rsidRDefault="001608E9" w:rsidP="0071011B">
            <w:pPr>
              <w:pStyle w:val="TableText"/>
              <w:spacing w:before="50" w:after="50"/>
              <w:jc w:val="right"/>
            </w:pPr>
            <w:r w:rsidRPr="009E06AA">
              <w:t>±2</w:t>
            </w:r>
          </w:p>
        </w:tc>
        <w:tc>
          <w:tcPr>
            <w:tcW w:w="2551" w:type="dxa"/>
            <w:shd w:val="clear" w:color="auto" w:fill="FFFFFF"/>
            <w:hideMark/>
          </w:tcPr>
          <w:p w14:paraId="264CF381" w14:textId="77777777" w:rsidR="001608E9" w:rsidRPr="009E06AA" w:rsidRDefault="001608E9" w:rsidP="0071011B">
            <w:pPr>
              <w:pStyle w:val="TableText"/>
              <w:spacing w:before="50" w:after="50"/>
              <w:jc w:val="right"/>
            </w:pPr>
            <w:r w:rsidRPr="009E06AA">
              <w:t>±50 (NO</w:t>
            </w:r>
            <w:r w:rsidRPr="009E06AA">
              <w:rPr>
                <w:vertAlign w:val="subscript"/>
              </w:rPr>
              <w:t>x</w:t>
            </w:r>
            <w:r w:rsidRPr="009E06AA">
              <w:t xml:space="preserve"> and CO)</w:t>
            </w:r>
            <w:r w:rsidRPr="009E06AA">
              <w:br/>
              <w:t>±30 (NMVOCs)</w:t>
            </w:r>
            <w:r w:rsidRPr="009E06AA">
              <w:br/>
              <w:t>±80 (CH</w:t>
            </w:r>
            <w:r w:rsidRPr="009E06AA">
              <w:rPr>
                <w:vertAlign w:val="subscript"/>
              </w:rPr>
              <w:t>4</w:t>
            </w:r>
            <w:r w:rsidRPr="009E06AA">
              <w:t>)</w:t>
            </w:r>
          </w:p>
        </w:tc>
      </w:tr>
      <w:tr w:rsidR="001608E9" w:rsidRPr="009E06AA" w14:paraId="4F62B663" w14:textId="77777777" w:rsidTr="00B55F24">
        <w:tc>
          <w:tcPr>
            <w:tcW w:w="2036" w:type="dxa"/>
            <w:shd w:val="clear" w:color="auto" w:fill="FFFFFF"/>
            <w:hideMark/>
          </w:tcPr>
          <w:p w14:paraId="6AA3D5E4" w14:textId="77777777" w:rsidR="001608E9" w:rsidRPr="009E06AA" w:rsidRDefault="001608E9" w:rsidP="00B55F24">
            <w:pPr>
              <w:pStyle w:val="TableText"/>
              <w:spacing w:before="50" w:after="50"/>
            </w:pPr>
            <w:r w:rsidRPr="009E06AA">
              <w:t>Superphosphate</w:t>
            </w:r>
          </w:p>
        </w:tc>
        <w:tc>
          <w:tcPr>
            <w:tcW w:w="2410" w:type="dxa"/>
            <w:shd w:val="clear" w:color="auto" w:fill="FFFFFF"/>
            <w:hideMark/>
          </w:tcPr>
          <w:p w14:paraId="2A516BAA" w14:textId="77777777" w:rsidR="001608E9" w:rsidRPr="009E06AA" w:rsidRDefault="001608E9" w:rsidP="0071011B">
            <w:pPr>
              <w:pStyle w:val="TableText"/>
              <w:spacing w:before="50" w:after="50"/>
              <w:jc w:val="right"/>
            </w:pPr>
            <w:r w:rsidRPr="009E06AA">
              <w:t>±10</w:t>
            </w:r>
          </w:p>
        </w:tc>
        <w:tc>
          <w:tcPr>
            <w:tcW w:w="2551" w:type="dxa"/>
            <w:shd w:val="clear" w:color="auto" w:fill="FFFFFF"/>
            <w:hideMark/>
          </w:tcPr>
          <w:p w14:paraId="109C1873" w14:textId="77777777" w:rsidR="001608E9" w:rsidRPr="009E06AA" w:rsidRDefault="001608E9" w:rsidP="0071011B">
            <w:pPr>
              <w:pStyle w:val="TableText"/>
              <w:spacing w:before="50" w:after="50"/>
              <w:jc w:val="right"/>
            </w:pPr>
            <w:r w:rsidRPr="009E06AA">
              <w:t>±25–60 (varies by site)</w:t>
            </w:r>
          </w:p>
        </w:tc>
      </w:tr>
      <w:tr w:rsidR="001608E9" w:rsidRPr="009E06AA" w14:paraId="7CB3F24C" w14:textId="77777777" w:rsidTr="00B55F24">
        <w:tc>
          <w:tcPr>
            <w:tcW w:w="2036" w:type="dxa"/>
            <w:shd w:val="clear" w:color="auto" w:fill="FFFFFF"/>
            <w:hideMark/>
          </w:tcPr>
          <w:p w14:paraId="18FBE02A" w14:textId="77777777" w:rsidR="001608E9" w:rsidRPr="009E06AA" w:rsidRDefault="001608E9" w:rsidP="00B55F24">
            <w:pPr>
              <w:pStyle w:val="TableText"/>
              <w:spacing w:before="50" w:after="50"/>
            </w:pPr>
            <w:r w:rsidRPr="009E06AA">
              <w:t>Sulphuric acid</w:t>
            </w:r>
          </w:p>
        </w:tc>
        <w:tc>
          <w:tcPr>
            <w:tcW w:w="2410" w:type="dxa"/>
            <w:shd w:val="clear" w:color="auto" w:fill="FFFFFF"/>
            <w:hideMark/>
          </w:tcPr>
          <w:p w14:paraId="11D369D3" w14:textId="77777777" w:rsidR="001608E9" w:rsidRPr="009E06AA" w:rsidRDefault="001608E9" w:rsidP="0071011B">
            <w:pPr>
              <w:pStyle w:val="TableText"/>
              <w:spacing w:before="50" w:after="50"/>
              <w:jc w:val="right"/>
            </w:pPr>
            <w:r w:rsidRPr="009E06AA">
              <w:t>±10</w:t>
            </w:r>
          </w:p>
        </w:tc>
        <w:tc>
          <w:tcPr>
            <w:tcW w:w="2551" w:type="dxa"/>
            <w:shd w:val="clear" w:color="auto" w:fill="FFFFFF"/>
            <w:hideMark/>
          </w:tcPr>
          <w:p w14:paraId="768F90D3" w14:textId="77777777" w:rsidR="001608E9" w:rsidRPr="009E06AA" w:rsidRDefault="001608E9" w:rsidP="0071011B">
            <w:pPr>
              <w:pStyle w:val="TableText"/>
              <w:spacing w:before="50" w:after="50"/>
              <w:jc w:val="right"/>
            </w:pPr>
            <w:r w:rsidRPr="009E06AA">
              <w:t>±15</w:t>
            </w:r>
          </w:p>
        </w:tc>
      </w:tr>
    </w:tbl>
    <w:p w14:paraId="1E63535C" w14:textId="77777777" w:rsidR="001608E9" w:rsidRPr="009E06AA" w:rsidRDefault="001608E9" w:rsidP="001608E9">
      <w:pPr>
        <w:pStyle w:val="Heading4"/>
        <w:spacing w:before="360"/>
      </w:pPr>
      <w:r w:rsidRPr="009E06AA">
        <w:t>Time-series consistency</w:t>
      </w:r>
    </w:p>
    <w:p w14:paraId="6381ACBD" w14:textId="77777777" w:rsidR="001608E9" w:rsidRPr="009E06AA" w:rsidRDefault="001608E9" w:rsidP="001608E9">
      <w:pPr>
        <w:pStyle w:val="BodyText"/>
        <w:spacing w:before="100" w:after="100"/>
      </w:pPr>
      <w:r w:rsidRPr="009E06AA">
        <w:t>The implied emission factor for CO</w:t>
      </w:r>
      <w:r w:rsidRPr="009E06AA">
        <w:rPr>
          <w:vertAlign w:val="subscript"/>
        </w:rPr>
        <w:t>2</w:t>
      </w:r>
      <w:r w:rsidRPr="009E06AA">
        <w:t xml:space="preserve"> in ammonia production has reduced by about 5.0 per cent through the time series, reflecting higher plant utilisation and some improvements in plant efficiency. Because ammonia is made at a single site in New Zealand, the implied emission factor may also vary from year to year as a result of maintenance shutdowns and other events that affect plant performance. </w:t>
      </w:r>
    </w:p>
    <w:p w14:paraId="00CCB0F8" w14:textId="77777777" w:rsidR="001608E9" w:rsidRPr="009E06AA" w:rsidRDefault="001608E9" w:rsidP="001608E9">
      <w:pPr>
        <w:pStyle w:val="BodyText"/>
        <w:spacing w:before="100" w:after="100"/>
      </w:pPr>
      <w:r w:rsidRPr="009E06AA">
        <w:t xml:space="preserve">The implied emission factor for hydrogen production (2.B.10) also varies from year to year mainly due to changes in refinery gas composition. Other implied emission factors in this category only reflect the default emission factors used. </w:t>
      </w:r>
    </w:p>
    <w:p w14:paraId="47ADD98F" w14:textId="77777777" w:rsidR="001608E9" w:rsidRPr="009E06AA" w:rsidRDefault="001608E9" w:rsidP="001608E9">
      <w:pPr>
        <w:pStyle w:val="Heading3"/>
        <w:spacing w:before="320"/>
      </w:pPr>
      <w:bookmarkStart w:id="565" w:name="_Toc158647340"/>
      <w:r w:rsidRPr="009E06AA">
        <w:t>4.3.4</w:t>
      </w:r>
      <w:r w:rsidRPr="009E06AA">
        <w:tab/>
        <w:t>Category-specific QA/QC and verification</w:t>
      </w:r>
      <w:bookmarkEnd w:id="565"/>
    </w:p>
    <w:p w14:paraId="73801704" w14:textId="77777777" w:rsidR="001608E9" w:rsidRPr="009E06AA" w:rsidRDefault="001608E9" w:rsidP="001608E9">
      <w:pPr>
        <w:pStyle w:val="BodyText"/>
        <w:spacing w:before="100" w:after="100"/>
      </w:pPr>
      <w:r w:rsidRPr="009E06AA">
        <w:t>For this submission, data for all CO</w:t>
      </w:r>
      <w:r w:rsidRPr="009E06AA">
        <w:rPr>
          <w:vertAlign w:val="subscript"/>
        </w:rPr>
        <w:t>2</w:t>
      </w:r>
      <w:r w:rsidRPr="009E06AA">
        <w:t xml:space="preserve"> emissions in the </w:t>
      </w:r>
      <w:r w:rsidRPr="009E06AA">
        <w:rPr>
          <w:i/>
          <w:iCs/>
        </w:rPr>
        <w:t>Chemical industry</w:t>
      </w:r>
      <w:r w:rsidRPr="009E06AA">
        <w:t xml:space="preserve"> category underwent Tier 1 quality checks in the preparation of this inventory. The only key category is CO</w:t>
      </w:r>
      <w:r w:rsidRPr="009E06AA">
        <w:rPr>
          <w:vertAlign w:val="subscript"/>
        </w:rPr>
        <w:t>2</w:t>
      </w:r>
      <w:r w:rsidRPr="009E06AA">
        <w:t xml:space="preserve"> emissions from </w:t>
      </w:r>
      <w:r w:rsidRPr="009E06AA">
        <w:rPr>
          <w:i/>
          <w:iCs/>
        </w:rPr>
        <w:t xml:space="preserve">Other </w:t>
      </w:r>
      <w:r w:rsidRPr="009E06AA">
        <w:t xml:space="preserve">(hydrogen production) (trend assessment). </w:t>
      </w:r>
    </w:p>
    <w:p w14:paraId="13FFF87B" w14:textId="77777777" w:rsidR="001608E9" w:rsidRPr="009E06AA" w:rsidRDefault="001608E9" w:rsidP="001608E9">
      <w:pPr>
        <w:pStyle w:val="Heading3"/>
        <w:spacing w:before="320"/>
      </w:pPr>
      <w:bookmarkStart w:id="566" w:name="_Toc158647341"/>
      <w:r w:rsidRPr="009E06AA">
        <w:t>4.3.5</w:t>
      </w:r>
      <w:r w:rsidRPr="009E06AA">
        <w:tab/>
        <w:t>Category-specific recalculations</w:t>
      </w:r>
      <w:bookmarkEnd w:id="566"/>
    </w:p>
    <w:p w14:paraId="5DEC3C41" w14:textId="1B34C112" w:rsidR="001608E9" w:rsidRPr="009E06AA" w:rsidRDefault="001608E9" w:rsidP="001608E9">
      <w:pPr>
        <w:pStyle w:val="BodyText"/>
      </w:pPr>
      <w:r w:rsidRPr="009E06AA">
        <w:t xml:space="preserve">There </w:t>
      </w:r>
      <w:r w:rsidR="005B754B" w:rsidRPr="009E06AA">
        <w:t>were</w:t>
      </w:r>
      <w:r w:rsidRPr="009E06AA">
        <w:t xml:space="preserve"> no recalculations for this category. </w:t>
      </w:r>
    </w:p>
    <w:p w14:paraId="4AD084F2" w14:textId="77777777" w:rsidR="001608E9" w:rsidRPr="009E06AA" w:rsidRDefault="001608E9" w:rsidP="001608E9">
      <w:pPr>
        <w:pStyle w:val="Heading3"/>
        <w:spacing w:before="320"/>
      </w:pPr>
      <w:bookmarkStart w:id="567" w:name="_Toc158647342"/>
      <w:r w:rsidRPr="009E06AA">
        <w:t>4.3.6</w:t>
      </w:r>
      <w:r w:rsidRPr="009E06AA">
        <w:tab/>
        <w:t>Category-specific planned improvements</w:t>
      </w:r>
      <w:bookmarkEnd w:id="567"/>
    </w:p>
    <w:p w14:paraId="3C891101" w14:textId="51DF845D" w:rsidR="001608E9" w:rsidRPr="009E06AA" w:rsidRDefault="001608E9" w:rsidP="001608E9">
      <w:pPr>
        <w:pStyle w:val="BodyText"/>
      </w:pPr>
      <w:r w:rsidRPr="009E06AA">
        <w:t xml:space="preserve">There </w:t>
      </w:r>
      <w:r w:rsidR="005B754B" w:rsidRPr="009E06AA">
        <w:t xml:space="preserve">were </w:t>
      </w:r>
      <w:r w:rsidRPr="009E06AA">
        <w:t>no planned improvements for this category.</w:t>
      </w:r>
    </w:p>
    <w:p w14:paraId="715E2C13" w14:textId="77777777" w:rsidR="001608E9" w:rsidRPr="009E06AA" w:rsidRDefault="001608E9" w:rsidP="001608E9">
      <w:pPr>
        <w:pStyle w:val="Heading2"/>
      </w:pPr>
      <w:bookmarkStart w:id="568" w:name="_Toc448321515"/>
      <w:bookmarkStart w:id="569" w:name="_Toc5269354"/>
      <w:bookmarkStart w:id="570" w:name="_Toc36224394"/>
      <w:bookmarkStart w:id="571" w:name="_Toc68786314"/>
      <w:bookmarkStart w:id="572" w:name="_Toc131591229"/>
      <w:bookmarkStart w:id="573" w:name="_Toc158647343"/>
      <w:bookmarkStart w:id="574" w:name="_Toc164154183"/>
      <w:r w:rsidRPr="009E06AA">
        <w:t>4.4</w:t>
      </w:r>
      <w:r w:rsidRPr="009E06AA">
        <w:tab/>
        <w:t>Metal industry (2.C)</w:t>
      </w:r>
      <w:bookmarkEnd w:id="568"/>
      <w:bookmarkEnd w:id="569"/>
      <w:bookmarkEnd w:id="570"/>
      <w:bookmarkEnd w:id="571"/>
      <w:bookmarkEnd w:id="572"/>
      <w:bookmarkEnd w:id="573"/>
      <w:bookmarkEnd w:id="574"/>
    </w:p>
    <w:p w14:paraId="44CDD781" w14:textId="77777777" w:rsidR="001608E9" w:rsidRPr="009E06AA" w:rsidRDefault="001608E9" w:rsidP="001608E9">
      <w:pPr>
        <w:pStyle w:val="Heading3"/>
        <w:spacing w:before="240"/>
      </w:pPr>
      <w:bookmarkStart w:id="575" w:name="_Toc158647344"/>
      <w:r w:rsidRPr="009E06AA">
        <w:t>4.4.1</w:t>
      </w:r>
      <w:r w:rsidRPr="009E06AA">
        <w:tab/>
        <w:t>Description</w:t>
      </w:r>
      <w:bookmarkEnd w:id="575"/>
    </w:p>
    <w:p w14:paraId="27D13A6B" w14:textId="77777777" w:rsidR="001608E9" w:rsidRPr="009E06AA" w:rsidRDefault="001608E9" w:rsidP="001608E9">
      <w:pPr>
        <w:pStyle w:val="BodyText"/>
      </w:pPr>
      <w:r w:rsidRPr="009E06AA">
        <w:t xml:space="preserve">The main emissions in the </w:t>
      </w:r>
      <w:r w:rsidRPr="009E06AA">
        <w:rPr>
          <w:i/>
        </w:rPr>
        <w:t>Metal industry</w:t>
      </w:r>
      <w:r w:rsidRPr="009E06AA">
        <w:t xml:space="preserve"> category in New Zealand are from iron and steel production (from iron sand and historically from recycled scrap steel) and from aluminium production. New Zealand has no production of coke, sinter or ferroalloys. </w:t>
      </w:r>
    </w:p>
    <w:p w14:paraId="20BAEA72" w14:textId="77777777" w:rsidR="001608E9" w:rsidRPr="009E06AA" w:rsidRDefault="001608E9" w:rsidP="001608E9">
      <w:pPr>
        <w:pStyle w:val="BodyText"/>
      </w:pPr>
      <w:r w:rsidRPr="009E06AA">
        <w:t>New Zealand Steel Limited produces iron using an ‘alternative iron-making process’, from titanomagnetite iron sand (Ure, 2000). This iron</w:t>
      </w:r>
      <w:r w:rsidRPr="009E06AA">
        <w:noBreakHyphen/>
        <w:t xml:space="preserve">making process involves the direct reduction of iron oxide contained in the sand, with sub-bituminous coal (which forms a reactive char) as the reductant. There is no coke production and no use of blast furnaces. The iron produced is then processed into steel. </w:t>
      </w:r>
    </w:p>
    <w:p w14:paraId="3DC0ED82" w14:textId="77777777" w:rsidR="001608E9" w:rsidRPr="009E06AA" w:rsidRDefault="001608E9" w:rsidP="001608E9">
      <w:pPr>
        <w:pStyle w:val="BodyText"/>
      </w:pPr>
      <w:r w:rsidRPr="009E06AA">
        <w:t xml:space="preserve">Until 2015, Pacific Steel Limited operated an electric arc furnace at a separate site to process recycled scrap steel. The owners of New Zealand Steel Limited bought the Pacific Steel Limited production assets in 2015, and all of New Zealand’s steel-making capacity is now integrated at the New Zealand Steel site. Steel billet production at the Pacific Steel plant, using recycled scrap, stopped in October 2015. As a result, production in New Zealand is now focused on newly produced iron rather than recycled steel scrap. </w:t>
      </w:r>
    </w:p>
    <w:p w14:paraId="2D6462C1" w14:textId="77777777" w:rsidR="001608E9" w:rsidRPr="009E06AA" w:rsidRDefault="001608E9" w:rsidP="001608E9">
      <w:pPr>
        <w:pStyle w:val="BodyText"/>
      </w:pPr>
      <w:r w:rsidRPr="009E06AA">
        <w:rPr>
          <w:spacing w:val="-2"/>
        </w:rPr>
        <w:t>Limestone and soda ash are also used in the steel and aluminium industries and would normally</w:t>
      </w:r>
      <w:r w:rsidRPr="009E06AA">
        <w:t xml:space="preserve"> be reported in the </w:t>
      </w:r>
      <w:r w:rsidRPr="009E06AA">
        <w:rPr>
          <w:i/>
        </w:rPr>
        <w:t>Metal industry</w:t>
      </w:r>
      <w:r w:rsidRPr="009E06AA">
        <w:t xml:space="preserve"> category. Emissions from this use of mineral inputs are reported in the </w:t>
      </w:r>
      <w:r w:rsidRPr="009E06AA">
        <w:rPr>
          <w:i/>
        </w:rPr>
        <w:t xml:space="preserve">Mineral industry </w:t>
      </w:r>
      <w:r w:rsidRPr="009E06AA">
        <w:t xml:space="preserve">category (see section 4.2.2); the data have been aggregated to protect the confidentiality of data provided by these two glass companies. </w:t>
      </w:r>
    </w:p>
    <w:p w14:paraId="7F2D475F" w14:textId="77777777" w:rsidR="001608E9" w:rsidRPr="009E06AA" w:rsidRDefault="001608E9" w:rsidP="001608E9">
      <w:pPr>
        <w:pStyle w:val="BodyText"/>
      </w:pPr>
      <w:r w:rsidRPr="009E06AA">
        <w:t>There is one aluminium smelter in New Zealand, operated by New Zealand Aluminium Smelters Limited (NZAS). The plant produces aluminium by smelting imported bauxite using centre-work prebake technology, resulting in CO</w:t>
      </w:r>
      <w:r w:rsidRPr="009E06AA">
        <w:rPr>
          <w:vertAlign w:val="subscript"/>
        </w:rPr>
        <w:t>2</w:t>
      </w:r>
      <w:r w:rsidRPr="009E06AA">
        <w:t xml:space="preserve"> and PFC emissions. </w:t>
      </w:r>
    </w:p>
    <w:p w14:paraId="07180FBC" w14:textId="77777777" w:rsidR="001608E9" w:rsidRPr="009E06AA" w:rsidRDefault="001608E9" w:rsidP="001608E9">
      <w:pPr>
        <w:pStyle w:val="BodyText"/>
      </w:pPr>
      <w:r w:rsidRPr="009E06AA">
        <w:t>Very small amounts of emissions are also reported from secondary lead production (from the recycling of lead-acid batteries) from 1990 to 2015 and from use of SF</w:t>
      </w:r>
      <w:r w:rsidRPr="009E06AA">
        <w:rPr>
          <w:vertAlign w:val="subscript"/>
        </w:rPr>
        <w:t>6</w:t>
      </w:r>
      <w:r w:rsidRPr="009E06AA">
        <w:t xml:space="preserve"> in a magnesium foundry from 1990 to 1999. </w:t>
      </w:r>
    </w:p>
    <w:p w14:paraId="41205B77" w14:textId="77777777" w:rsidR="001608E9" w:rsidRPr="009E06AA" w:rsidRDefault="001608E9" w:rsidP="001608E9">
      <w:pPr>
        <w:pStyle w:val="BodyText"/>
      </w:pPr>
      <w:r w:rsidRPr="009E06AA">
        <w:t xml:space="preserve">Key categories in the </w:t>
      </w:r>
      <w:r w:rsidRPr="009E06AA">
        <w:rPr>
          <w:i/>
        </w:rPr>
        <w:t>Metal industry</w:t>
      </w:r>
      <w:r w:rsidRPr="009E06AA">
        <w:t xml:space="preserve"> category are CO</w:t>
      </w:r>
      <w:r w:rsidRPr="009E06AA">
        <w:rPr>
          <w:vertAlign w:val="subscript"/>
        </w:rPr>
        <w:t>2</w:t>
      </w:r>
      <w:r w:rsidRPr="009E06AA">
        <w:t xml:space="preserve"> emissions from </w:t>
      </w:r>
      <w:r w:rsidRPr="009E06AA">
        <w:rPr>
          <w:i/>
        </w:rPr>
        <w:t>Iron and steel production</w:t>
      </w:r>
      <w:r w:rsidRPr="009E06AA">
        <w:rPr>
          <w:iCs/>
        </w:rPr>
        <w:t xml:space="preserve"> (level and trend assessment)</w:t>
      </w:r>
      <w:r w:rsidRPr="009E06AA">
        <w:rPr>
          <w:i/>
        </w:rPr>
        <w:t xml:space="preserve"> </w:t>
      </w:r>
      <w:r w:rsidRPr="009E06AA">
        <w:t xml:space="preserve">and from </w:t>
      </w:r>
      <w:r w:rsidRPr="009E06AA">
        <w:rPr>
          <w:i/>
        </w:rPr>
        <w:t>Aluminium production</w:t>
      </w:r>
      <w:r w:rsidRPr="009E06AA">
        <w:rPr>
          <w:iCs/>
        </w:rPr>
        <w:t xml:space="preserve"> (level assessment)</w:t>
      </w:r>
      <w:r w:rsidRPr="009E06AA">
        <w:t xml:space="preserve">, and PFCs from </w:t>
      </w:r>
      <w:r w:rsidRPr="009E06AA">
        <w:rPr>
          <w:i/>
        </w:rPr>
        <w:t xml:space="preserve">Aluminium production </w:t>
      </w:r>
      <w:r w:rsidRPr="009E06AA">
        <w:rPr>
          <w:iCs/>
        </w:rPr>
        <w:t>(trend assessment)</w:t>
      </w:r>
      <w:r w:rsidRPr="009E06AA">
        <w:t xml:space="preserve">. </w:t>
      </w:r>
    </w:p>
    <w:p w14:paraId="1161B89A" w14:textId="77777777" w:rsidR="001608E9" w:rsidRPr="009E06AA" w:rsidRDefault="001608E9" w:rsidP="001608E9">
      <w:pPr>
        <w:pStyle w:val="BodyText"/>
      </w:pPr>
      <w:r w:rsidRPr="009E06AA">
        <w:t xml:space="preserve">Emissions from the </w:t>
      </w:r>
      <w:r w:rsidRPr="009E06AA">
        <w:rPr>
          <w:i/>
        </w:rPr>
        <w:t>Metal industry</w:t>
      </w:r>
      <w:r w:rsidRPr="009E06AA">
        <w:t xml:space="preserve"> category in 2022 were 2,136.4 kt CO</w:t>
      </w:r>
      <w:r w:rsidRPr="009E06AA">
        <w:rPr>
          <w:vertAlign w:val="subscript"/>
        </w:rPr>
        <w:t>2</w:t>
      </w:r>
      <w:r w:rsidRPr="009E06AA">
        <w:t>-e (47.8 per cent) of emissions from the IPPU sector. This is 441.9 kt CO</w:t>
      </w:r>
      <w:r w:rsidRPr="009E06AA">
        <w:rPr>
          <w:vertAlign w:val="subscript"/>
        </w:rPr>
        <w:t>2</w:t>
      </w:r>
      <w:r w:rsidRPr="009E06AA">
        <w:t>-e (17.1 per cent) below the 1990 level. The decrease was driven by a reduction in emissions of PFCs in aluminium smelting, which has been partly offset by increasing CO</w:t>
      </w:r>
      <w:r w:rsidRPr="009E06AA">
        <w:rPr>
          <w:vertAlign w:val="subscript"/>
        </w:rPr>
        <w:t>2</w:t>
      </w:r>
      <w:r w:rsidRPr="009E06AA">
        <w:t xml:space="preserve"> emissions due to increasing production of steel and aluminium. A small decrease in emissions occurred in 2016 due to the closure of the Pacific Steel plant and the cessation of lead battery recycling. </w:t>
      </w:r>
    </w:p>
    <w:p w14:paraId="6CF3B3A6" w14:textId="77777777" w:rsidR="001608E9" w:rsidRPr="009E06AA" w:rsidRDefault="001608E9" w:rsidP="001608E9">
      <w:pPr>
        <w:pStyle w:val="BodyText"/>
      </w:pPr>
      <w:r w:rsidRPr="009E06AA">
        <w:t xml:space="preserve">The New Zealand Steel site was closed from 26 March to 27 April 2020, due to COVID-19 pandemic restrictions. Aluminium production in 2021 and 2022 was approximately 5 per cent lower than 2019. </w:t>
      </w:r>
    </w:p>
    <w:p w14:paraId="5C3FE0FD" w14:textId="77777777" w:rsidR="001608E9" w:rsidRPr="009E06AA" w:rsidRDefault="001608E9" w:rsidP="001608E9">
      <w:pPr>
        <w:pStyle w:val="Heading3"/>
      </w:pPr>
      <w:bookmarkStart w:id="576" w:name="_Toc158647345"/>
      <w:r w:rsidRPr="009E06AA">
        <w:t xml:space="preserve">4.4.2 </w:t>
      </w:r>
      <w:r w:rsidRPr="009E06AA">
        <w:tab/>
        <w:t>Methodological issues</w:t>
      </w:r>
      <w:bookmarkEnd w:id="576"/>
    </w:p>
    <w:p w14:paraId="19A72327" w14:textId="77777777" w:rsidR="001608E9" w:rsidRPr="009E06AA" w:rsidRDefault="001608E9" w:rsidP="001608E9">
      <w:pPr>
        <w:pStyle w:val="Heading4"/>
        <w:rPr>
          <w:bCs/>
          <w:iCs/>
        </w:rPr>
      </w:pPr>
      <w:r w:rsidRPr="009E06AA">
        <w:t>Choice of activity data</w:t>
      </w:r>
    </w:p>
    <w:p w14:paraId="3BFC4F75" w14:textId="77777777" w:rsidR="001608E9" w:rsidRPr="009E06AA" w:rsidRDefault="001608E9" w:rsidP="00BF2A76">
      <w:pPr>
        <w:pStyle w:val="Heading5"/>
      </w:pPr>
      <w:r w:rsidRPr="009E06AA">
        <w:t>Iron and steel production (2.C.1 and 2.C.1.a)</w:t>
      </w:r>
    </w:p>
    <w:p w14:paraId="59810F7F" w14:textId="77777777" w:rsidR="001608E9" w:rsidRPr="009E06AA" w:rsidRDefault="001608E9" w:rsidP="001608E9">
      <w:pPr>
        <w:pStyle w:val="BodyText"/>
      </w:pPr>
      <w:r w:rsidRPr="009E06AA">
        <w:t xml:space="preserve">In 2022, the </w:t>
      </w:r>
      <w:r w:rsidRPr="009E06AA">
        <w:rPr>
          <w:i/>
        </w:rPr>
        <w:t>Iron and steel production</w:t>
      </w:r>
      <w:r w:rsidRPr="009E06AA">
        <w:t xml:space="preserve"> category accounted for 1,541.6 kt CO</w:t>
      </w:r>
      <w:r w:rsidRPr="009E06AA">
        <w:rPr>
          <w:vertAlign w:val="subscript"/>
        </w:rPr>
        <w:t>2</w:t>
      </w:r>
      <w:r w:rsidRPr="009E06AA">
        <w:t xml:space="preserve">-e (72.2 per cent) of emissions from the </w:t>
      </w:r>
      <w:r w:rsidRPr="009E06AA">
        <w:rPr>
          <w:i/>
        </w:rPr>
        <w:t>Metal industry</w:t>
      </w:r>
      <w:r w:rsidRPr="009E06AA">
        <w:t xml:space="preserve"> category. The activity data (tonnes of steel produced) provided to MBIE came from two steel producers up to 2015 and now come from one; they are regarded as commercially confidential and are reported as confidential in the CRT. </w:t>
      </w:r>
    </w:p>
    <w:p w14:paraId="473C6CBA" w14:textId="77777777" w:rsidR="001608E9" w:rsidRPr="009E06AA" w:rsidRDefault="001608E9" w:rsidP="001608E9">
      <w:pPr>
        <w:pStyle w:val="BodyText"/>
      </w:pPr>
      <w:r w:rsidRPr="009E06AA">
        <w:t>Most of the CO</w:t>
      </w:r>
      <w:r w:rsidRPr="009E06AA">
        <w:rPr>
          <w:vertAlign w:val="subscript"/>
        </w:rPr>
        <w:t>2</w:t>
      </w:r>
      <w:r w:rsidRPr="009E06AA">
        <w:t xml:space="preserve"> emissions from the </w:t>
      </w:r>
      <w:r w:rsidRPr="009E06AA">
        <w:rPr>
          <w:i/>
        </w:rPr>
        <w:t>Iron and steel production</w:t>
      </w:r>
      <w:r w:rsidRPr="009E06AA">
        <w:t xml:space="preserve"> category are produced through the production of iron from titanomagnetite iron sand. Nearly all of the emissions in this process come from the use of sub-bituminous coal as a reducing agent. There is no carbon in the iron sand used by New Zealand Steel Limited (see table 4.4.1). </w:t>
      </w:r>
    </w:p>
    <w:p w14:paraId="7424037E" w14:textId="77777777" w:rsidR="001608E9" w:rsidRPr="009E06AA" w:rsidRDefault="001608E9" w:rsidP="001608E9">
      <w:pPr>
        <w:pStyle w:val="Table"/>
      </w:pPr>
      <w:bookmarkStart w:id="577" w:name="_Toc451176070"/>
      <w:bookmarkStart w:id="578" w:name="_Toc352504954"/>
      <w:bookmarkStart w:id="579" w:name="_Toc5269460"/>
      <w:bookmarkStart w:id="580" w:name="_Toc36224533"/>
      <w:bookmarkStart w:id="581" w:name="_Toc68786420"/>
      <w:bookmarkStart w:id="582" w:name="_Toc128042753"/>
      <w:bookmarkStart w:id="583" w:name="_Toc131591333"/>
      <w:bookmarkStart w:id="584" w:name="_Toc158647421"/>
      <w:bookmarkStart w:id="585" w:name="_Toc164153819"/>
      <w:r w:rsidRPr="009E06AA">
        <w:t>Table 4.4.1</w:t>
      </w:r>
      <w:r w:rsidRPr="009E06AA">
        <w:tab/>
        <w:t>Typical analysis from New Zealand Steel Limited of the primary concentrate</w:t>
      </w:r>
      <w:r w:rsidRPr="009E06AA">
        <w:br/>
        <w:t>(provided by New Zealand Steel Limited)</w:t>
      </w:r>
      <w:bookmarkEnd w:id="577"/>
      <w:bookmarkEnd w:id="578"/>
      <w:bookmarkEnd w:id="579"/>
      <w:bookmarkEnd w:id="580"/>
      <w:bookmarkEnd w:id="581"/>
      <w:bookmarkEnd w:id="582"/>
      <w:bookmarkEnd w:id="583"/>
      <w:bookmarkEnd w:id="584"/>
      <w:bookmarkEnd w:id="585"/>
    </w:p>
    <w:tbl>
      <w:tblPr>
        <w:tblW w:w="0" w:type="auto"/>
        <w:jc w:val="center"/>
        <w:tblBorders>
          <w:top w:val="single" w:sz="4" w:space="0" w:color="1B556B"/>
          <w:bottom w:val="single" w:sz="4" w:space="0" w:color="1B556B"/>
          <w:insideH w:val="single" w:sz="4" w:space="0" w:color="1B556B"/>
          <w:insideV w:val="single" w:sz="4" w:space="0" w:color="1B556B"/>
        </w:tblBorders>
        <w:tblLayout w:type="fixed"/>
        <w:tblLook w:val="04A0" w:firstRow="1" w:lastRow="0" w:firstColumn="1" w:lastColumn="0" w:noHBand="0" w:noVBand="1"/>
      </w:tblPr>
      <w:tblGrid>
        <w:gridCol w:w="1242"/>
        <w:gridCol w:w="1448"/>
      </w:tblGrid>
      <w:tr w:rsidR="001608E9" w:rsidRPr="009E06AA" w14:paraId="5036B483" w14:textId="77777777" w:rsidTr="00B55F24">
        <w:trPr>
          <w:tblHeader/>
          <w:jc w:val="center"/>
        </w:trPr>
        <w:tc>
          <w:tcPr>
            <w:tcW w:w="1242" w:type="dxa"/>
            <w:shd w:val="clear" w:color="auto" w:fill="1B556B"/>
            <w:hideMark/>
          </w:tcPr>
          <w:p w14:paraId="24A6F681" w14:textId="77777777" w:rsidR="001608E9" w:rsidRPr="009E06AA" w:rsidRDefault="001608E9" w:rsidP="003405C7">
            <w:pPr>
              <w:pStyle w:val="TableTextBold"/>
              <w:keepNext/>
              <w:spacing w:before="40" w:after="40"/>
              <w:rPr>
                <w:noProof w:val="0"/>
                <w:color w:val="FFFFFF"/>
              </w:rPr>
            </w:pPr>
            <w:r w:rsidRPr="009E06AA">
              <w:rPr>
                <w:noProof w:val="0"/>
                <w:color w:val="FFFFFF"/>
              </w:rPr>
              <w:t>Element</w:t>
            </w:r>
          </w:p>
        </w:tc>
        <w:tc>
          <w:tcPr>
            <w:tcW w:w="1448" w:type="dxa"/>
            <w:shd w:val="clear" w:color="auto" w:fill="1B556B"/>
            <w:hideMark/>
          </w:tcPr>
          <w:p w14:paraId="344B84E9" w14:textId="77777777" w:rsidR="001608E9" w:rsidRPr="009E06AA" w:rsidRDefault="001608E9" w:rsidP="003405C7">
            <w:pPr>
              <w:pStyle w:val="TableTextBold"/>
              <w:keepNext/>
              <w:spacing w:before="40" w:after="40"/>
              <w:jc w:val="right"/>
              <w:rPr>
                <w:noProof w:val="0"/>
                <w:color w:val="FFFFFF"/>
              </w:rPr>
            </w:pPr>
            <w:r w:rsidRPr="009E06AA">
              <w:rPr>
                <w:noProof w:val="0"/>
                <w:color w:val="FFFFFF"/>
              </w:rPr>
              <w:t>Result (%)</w:t>
            </w:r>
          </w:p>
        </w:tc>
      </w:tr>
      <w:tr w:rsidR="001608E9" w:rsidRPr="009E06AA" w14:paraId="56C71B46" w14:textId="77777777" w:rsidTr="00B55F24">
        <w:trPr>
          <w:jc w:val="center"/>
        </w:trPr>
        <w:tc>
          <w:tcPr>
            <w:tcW w:w="1242" w:type="dxa"/>
            <w:vAlign w:val="center"/>
            <w:hideMark/>
          </w:tcPr>
          <w:p w14:paraId="5DB7E592" w14:textId="77777777" w:rsidR="001608E9" w:rsidRPr="009E06AA" w:rsidRDefault="001608E9" w:rsidP="003405C7">
            <w:pPr>
              <w:pStyle w:val="TableText"/>
              <w:keepNext/>
              <w:spacing w:before="40" w:after="40"/>
              <w:rPr>
                <w:i/>
                <w:vertAlign w:val="subscript"/>
              </w:rPr>
            </w:pPr>
            <w:r w:rsidRPr="009E06AA">
              <w:t>Fe</w:t>
            </w:r>
            <w:r w:rsidRPr="009E06AA">
              <w:rPr>
                <w:vertAlign w:val="subscript"/>
              </w:rPr>
              <w:t>3</w:t>
            </w:r>
            <w:r w:rsidRPr="009E06AA">
              <w:t>O</w:t>
            </w:r>
            <w:r w:rsidRPr="009E06AA">
              <w:rPr>
                <w:vertAlign w:val="subscript"/>
              </w:rPr>
              <w:t>4</w:t>
            </w:r>
          </w:p>
        </w:tc>
        <w:tc>
          <w:tcPr>
            <w:tcW w:w="1448" w:type="dxa"/>
            <w:vAlign w:val="center"/>
            <w:hideMark/>
          </w:tcPr>
          <w:p w14:paraId="72EF0606" w14:textId="77777777" w:rsidR="001608E9" w:rsidRPr="009E06AA" w:rsidRDefault="001608E9" w:rsidP="003405C7">
            <w:pPr>
              <w:pStyle w:val="TableText"/>
              <w:keepNext/>
              <w:spacing w:before="40" w:after="40"/>
              <w:ind w:right="27"/>
              <w:jc w:val="right"/>
              <w:rPr>
                <w:i/>
              </w:rPr>
            </w:pPr>
            <w:r w:rsidRPr="009E06AA">
              <w:t>81.4</w:t>
            </w:r>
          </w:p>
        </w:tc>
      </w:tr>
      <w:tr w:rsidR="001608E9" w:rsidRPr="009E06AA" w14:paraId="12766E10" w14:textId="77777777" w:rsidTr="00B55F24">
        <w:trPr>
          <w:jc w:val="center"/>
        </w:trPr>
        <w:tc>
          <w:tcPr>
            <w:tcW w:w="1242" w:type="dxa"/>
            <w:vAlign w:val="center"/>
            <w:hideMark/>
          </w:tcPr>
          <w:p w14:paraId="2F6E3974" w14:textId="77777777" w:rsidR="001608E9" w:rsidRPr="009E06AA" w:rsidRDefault="001608E9" w:rsidP="003405C7">
            <w:pPr>
              <w:pStyle w:val="TableText"/>
              <w:keepNext/>
              <w:spacing w:before="40" w:after="40"/>
              <w:rPr>
                <w:i/>
                <w:vertAlign w:val="subscript"/>
              </w:rPr>
            </w:pPr>
            <w:r w:rsidRPr="009E06AA">
              <w:t>TiO</w:t>
            </w:r>
            <w:r w:rsidRPr="009E06AA">
              <w:rPr>
                <w:vertAlign w:val="subscript"/>
              </w:rPr>
              <w:t>2</w:t>
            </w:r>
          </w:p>
        </w:tc>
        <w:tc>
          <w:tcPr>
            <w:tcW w:w="1448" w:type="dxa"/>
            <w:vAlign w:val="center"/>
            <w:hideMark/>
          </w:tcPr>
          <w:p w14:paraId="329ED5A2" w14:textId="77777777" w:rsidR="001608E9" w:rsidRPr="009E06AA" w:rsidRDefault="001608E9" w:rsidP="003405C7">
            <w:pPr>
              <w:pStyle w:val="TableText"/>
              <w:keepNext/>
              <w:spacing w:before="40" w:after="40"/>
              <w:ind w:right="27"/>
              <w:jc w:val="right"/>
              <w:rPr>
                <w:i/>
              </w:rPr>
            </w:pPr>
            <w:r w:rsidRPr="009E06AA">
              <w:t>7.9</w:t>
            </w:r>
          </w:p>
        </w:tc>
      </w:tr>
      <w:tr w:rsidR="001608E9" w:rsidRPr="009E06AA" w14:paraId="1898F6EF" w14:textId="77777777" w:rsidTr="00B55F24">
        <w:trPr>
          <w:jc w:val="center"/>
        </w:trPr>
        <w:tc>
          <w:tcPr>
            <w:tcW w:w="1242" w:type="dxa"/>
            <w:vAlign w:val="center"/>
            <w:hideMark/>
          </w:tcPr>
          <w:p w14:paraId="646916DB" w14:textId="77777777" w:rsidR="001608E9" w:rsidRPr="009E06AA" w:rsidRDefault="001608E9" w:rsidP="003405C7">
            <w:pPr>
              <w:pStyle w:val="TableText"/>
              <w:spacing w:before="40" w:after="40"/>
              <w:rPr>
                <w:i/>
                <w:vertAlign w:val="subscript"/>
              </w:rPr>
            </w:pPr>
            <w:r w:rsidRPr="009E06AA">
              <w:t>Al</w:t>
            </w:r>
            <w:r w:rsidRPr="009E06AA">
              <w:rPr>
                <w:vertAlign w:val="subscript"/>
              </w:rPr>
              <w:t>2</w:t>
            </w:r>
            <w:r w:rsidRPr="009E06AA">
              <w:t>O</w:t>
            </w:r>
            <w:r w:rsidRPr="009E06AA">
              <w:rPr>
                <w:vertAlign w:val="subscript"/>
              </w:rPr>
              <w:t>3</w:t>
            </w:r>
          </w:p>
        </w:tc>
        <w:tc>
          <w:tcPr>
            <w:tcW w:w="1448" w:type="dxa"/>
            <w:vAlign w:val="center"/>
            <w:hideMark/>
          </w:tcPr>
          <w:p w14:paraId="2E9EAE7E" w14:textId="77777777" w:rsidR="001608E9" w:rsidRPr="009E06AA" w:rsidRDefault="001608E9" w:rsidP="003405C7">
            <w:pPr>
              <w:pStyle w:val="TableText"/>
              <w:spacing w:before="40" w:after="40"/>
              <w:ind w:right="27"/>
              <w:jc w:val="right"/>
              <w:rPr>
                <w:i/>
              </w:rPr>
            </w:pPr>
            <w:r w:rsidRPr="009E06AA">
              <w:t>3.7</w:t>
            </w:r>
          </w:p>
        </w:tc>
      </w:tr>
      <w:tr w:rsidR="001608E9" w:rsidRPr="009E06AA" w14:paraId="387DDA10" w14:textId="77777777" w:rsidTr="00B55F24">
        <w:trPr>
          <w:jc w:val="center"/>
        </w:trPr>
        <w:tc>
          <w:tcPr>
            <w:tcW w:w="1242" w:type="dxa"/>
            <w:vAlign w:val="center"/>
            <w:hideMark/>
          </w:tcPr>
          <w:p w14:paraId="3F45FC86" w14:textId="77777777" w:rsidR="001608E9" w:rsidRPr="009E06AA" w:rsidRDefault="001608E9" w:rsidP="003405C7">
            <w:pPr>
              <w:pStyle w:val="TableText"/>
              <w:spacing w:before="40" w:after="40"/>
              <w:rPr>
                <w:i/>
              </w:rPr>
            </w:pPr>
            <w:r w:rsidRPr="009E06AA">
              <w:t>MgO</w:t>
            </w:r>
          </w:p>
        </w:tc>
        <w:tc>
          <w:tcPr>
            <w:tcW w:w="1448" w:type="dxa"/>
            <w:vAlign w:val="center"/>
            <w:hideMark/>
          </w:tcPr>
          <w:p w14:paraId="7AF58861" w14:textId="77777777" w:rsidR="001608E9" w:rsidRPr="009E06AA" w:rsidRDefault="001608E9" w:rsidP="003405C7">
            <w:pPr>
              <w:pStyle w:val="TableText"/>
              <w:spacing w:before="40" w:after="40"/>
              <w:ind w:right="27"/>
              <w:jc w:val="right"/>
              <w:rPr>
                <w:i/>
              </w:rPr>
            </w:pPr>
            <w:r w:rsidRPr="009E06AA">
              <w:t>2.9</w:t>
            </w:r>
          </w:p>
        </w:tc>
      </w:tr>
      <w:tr w:rsidR="001608E9" w:rsidRPr="009E06AA" w14:paraId="0AAAE570" w14:textId="77777777" w:rsidTr="00B55F24">
        <w:trPr>
          <w:jc w:val="center"/>
        </w:trPr>
        <w:tc>
          <w:tcPr>
            <w:tcW w:w="1242" w:type="dxa"/>
            <w:vAlign w:val="center"/>
            <w:hideMark/>
          </w:tcPr>
          <w:p w14:paraId="4F237626" w14:textId="77777777" w:rsidR="001608E9" w:rsidRPr="009E06AA" w:rsidRDefault="001608E9" w:rsidP="003405C7">
            <w:pPr>
              <w:pStyle w:val="TableText"/>
              <w:spacing w:before="40" w:after="40"/>
              <w:rPr>
                <w:i/>
                <w:vertAlign w:val="subscript"/>
              </w:rPr>
            </w:pPr>
            <w:r w:rsidRPr="009E06AA">
              <w:t>SiO</w:t>
            </w:r>
            <w:r w:rsidRPr="009E06AA">
              <w:rPr>
                <w:vertAlign w:val="subscript"/>
              </w:rPr>
              <w:t>2</w:t>
            </w:r>
          </w:p>
        </w:tc>
        <w:tc>
          <w:tcPr>
            <w:tcW w:w="1448" w:type="dxa"/>
            <w:vAlign w:val="center"/>
            <w:hideMark/>
          </w:tcPr>
          <w:p w14:paraId="1E785D95" w14:textId="77777777" w:rsidR="001608E9" w:rsidRPr="009E06AA" w:rsidRDefault="001608E9" w:rsidP="003405C7">
            <w:pPr>
              <w:pStyle w:val="TableText"/>
              <w:spacing w:before="40" w:after="40"/>
              <w:ind w:right="27"/>
              <w:jc w:val="right"/>
              <w:rPr>
                <w:i/>
              </w:rPr>
            </w:pPr>
            <w:r w:rsidRPr="009E06AA">
              <w:t>2.3</w:t>
            </w:r>
          </w:p>
        </w:tc>
      </w:tr>
      <w:tr w:rsidR="001608E9" w:rsidRPr="009E06AA" w14:paraId="471C7EFF" w14:textId="77777777" w:rsidTr="00B55F24">
        <w:trPr>
          <w:jc w:val="center"/>
        </w:trPr>
        <w:tc>
          <w:tcPr>
            <w:tcW w:w="1242" w:type="dxa"/>
            <w:vAlign w:val="center"/>
            <w:hideMark/>
          </w:tcPr>
          <w:p w14:paraId="5930B807" w14:textId="77777777" w:rsidR="001608E9" w:rsidRPr="009E06AA" w:rsidRDefault="001608E9" w:rsidP="003405C7">
            <w:pPr>
              <w:pStyle w:val="TableText"/>
              <w:spacing w:before="40" w:after="40"/>
              <w:rPr>
                <w:i/>
              </w:rPr>
            </w:pPr>
            <w:r w:rsidRPr="009E06AA">
              <w:t>MnO</w:t>
            </w:r>
          </w:p>
        </w:tc>
        <w:tc>
          <w:tcPr>
            <w:tcW w:w="1448" w:type="dxa"/>
            <w:vAlign w:val="center"/>
            <w:hideMark/>
          </w:tcPr>
          <w:p w14:paraId="3D10C32E" w14:textId="77777777" w:rsidR="001608E9" w:rsidRPr="009E06AA" w:rsidRDefault="001608E9" w:rsidP="003405C7">
            <w:pPr>
              <w:pStyle w:val="TableText"/>
              <w:spacing w:before="40" w:after="40"/>
              <w:ind w:right="27"/>
              <w:jc w:val="right"/>
              <w:rPr>
                <w:i/>
              </w:rPr>
            </w:pPr>
            <w:r w:rsidRPr="009E06AA">
              <w:t>0.6</w:t>
            </w:r>
          </w:p>
        </w:tc>
      </w:tr>
      <w:tr w:rsidR="001608E9" w:rsidRPr="009E06AA" w14:paraId="0D0F0253" w14:textId="77777777" w:rsidTr="00B55F24">
        <w:trPr>
          <w:jc w:val="center"/>
        </w:trPr>
        <w:tc>
          <w:tcPr>
            <w:tcW w:w="1242" w:type="dxa"/>
            <w:vAlign w:val="center"/>
            <w:hideMark/>
          </w:tcPr>
          <w:p w14:paraId="2B40DAD3" w14:textId="77777777" w:rsidR="001608E9" w:rsidRPr="009E06AA" w:rsidRDefault="001608E9" w:rsidP="003405C7">
            <w:pPr>
              <w:pStyle w:val="TableText"/>
              <w:spacing w:before="40" w:after="40"/>
              <w:rPr>
                <w:i/>
              </w:rPr>
            </w:pPr>
            <w:r w:rsidRPr="009E06AA">
              <w:t>CaO</w:t>
            </w:r>
          </w:p>
        </w:tc>
        <w:tc>
          <w:tcPr>
            <w:tcW w:w="1448" w:type="dxa"/>
            <w:vAlign w:val="center"/>
            <w:hideMark/>
          </w:tcPr>
          <w:p w14:paraId="7217907D" w14:textId="77777777" w:rsidR="001608E9" w:rsidRPr="009E06AA" w:rsidRDefault="001608E9" w:rsidP="003405C7">
            <w:pPr>
              <w:pStyle w:val="TableText"/>
              <w:spacing w:before="40" w:after="40"/>
              <w:ind w:right="27"/>
              <w:jc w:val="right"/>
              <w:rPr>
                <w:i/>
              </w:rPr>
            </w:pPr>
            <w:r w:rsidRPr="009E06AA">
              <w:t>0.5</w:t>
            </w:r>
          </w:p>
        </w:tc>
      </w:tr>
      <w:tr w:rsidR="001608E9" w:rsidRPr="009E06AA" w14:paraId="1C41AE6B" w14:textId="77777777" w:rsidTr="00B55F24">
        <w:trPr>
          <w:jc w:val="center"/>
        </w:trPr>
        <w:tc>
          <w:tcPr>
            <w:tcW w:w="1242" w:type="dxa"/>
            <w:vAlign w:val="center"/>
            <w:hideMark/>
          </w:tcPr>
          <w:p w14:paraId="13D8E7D2" w14:textId="77777777" w:rsidR="001608E9" w:rsidRPr="009E06AA" w:rsidRDefault="001608E9" w:rsidP="003405C7">
            <w:pPr>
              <w:pStyle w:val="TableText"/>
              <w:spacing w:before="40" w:after="40"/>
              <w:rPr>
                <w:i/>
                <w:vertAlign w:val="subscript"/>
              </w:rPr>
            </w:pPr>
            <w:r w:rsidRPr="009E06AA">
              <w:t>V</w:t>
            </w:r>
            <w:r w:rsidRPr="009E06AA">
              <w:rPr>
                <w:vertAlign w:val="subscript"/>
              </w:rPr>
              <w:t>2</w:t>
            </w:r>
            <w:r w:rsidRPr="009E06AA">
              <w:t>O</w:t>
            </w:r>
            <w:r w:rsidRPr="009E06AA">
              <w:rPr>
                <w:vertAlign w:val="subscript"/>
              </w:rPr>
              <w:t>3</w:t>
            </w:r>
          </w:p>
        </w:tc>
        <w:tc>
          <w:tcPr>
            <w:tcW w:w="1448" w:type="dxa"/>
            <w:vAlign w:val="center"/>
            <w:hideMark/>
          </w:tcPr>
          <w:p w14:paraId="03422993" w14:textId="77777777" w:rsidR="001608E9" w:rsidRPr="009E06AA" w:rsidRDefault="001608E9" w:rsidP="003405C7">
            <w:pPr>
              <w:pStyle w:val="TableText"/>
              <w:spacing w:before="40" w:after="40"/>
              <w:ind w:right="27"/>
              <w:jc w:val="right"/>
              <w:rPr>
                <w:i/>
              </w:rPr>
            </w:pPr>
            <w:r w:rsidRPr="009E06AA">
              <w:t>0.5</w:t>
            </w:r>
          </w:p>
        </w:tc>
      </w:tr>
      <w:tr w:rsidR="001608E9" w:rsidRPr="009E06AA" w14:paraId="7E1762A0" w14:textId="77777777" w:rsidTr="00B55F24">
        <w:trPr>
          <w:jc w:val="center"/>
        </w:trPr>
        <w:tc>
          <w:tcPr>
            <w:tcW w:w="1242" w:type="dxa"/>
            <w:vAlign w:val="center"/>
            <w:hideMark/>
          </w:tcPr>
          <w:p w14:paraId="1ECCF353" w14:textId="77777777" w:rsidR="001608E9" w:rsidRPr="009E06AA" w:rsidRDefault="001608E9" w:rsidP="003405C7">
            <w:pPr>
              <w:pStyle w:val="TableText"/>
              <w:spacing w:before="40" w:after="40"/>
              <w:rPr>
                <w:i/>
              </w:rPr>
            </w:pPr>
            <w:r w:rsidRPr="009E06AA">
              <w:t>Zn</w:t>
            </w:r>
          </w:p>
        </w:tc>
        <w:tc>
          <w:tcPr>
            <w:tcW w:w="1448" w:type="dxa"/>
            <w:vAlign w:val="center"/>
            <w:hideMark/>
          </w:tcPr>
          <w:p w14:paraId="379F8754" w14:textId="77777777" w:rsidR="001608E9" w:rsidRPr="009E06AA" w:rsidRDefault="001608E9" w:rsidP="003405C7">
            <w:pPr>
              <w:pStyle w:val="TableText"/>
              <w:spacing w:before="40" w:after="40"/>
              <w:ind w:right="27"/>
              <w:jc w:val="right"/>
              <w:rPr>
                <w:i/>
              </w:rPr>
            </w:pPr>
            <w:r w:rsidRPr="009E06AA">
              <w:t>0.1</w:t>
            </w:r>
          </w:p>
        </w:tc>
      </w:tr>
      <w:tr w:rsidR="001608E9" w:rsidRPr="009E06AA" w14:paraId="54A35977" w14:textId="77777777" w:rsidTr="00B55F24">
        <w:trPr>
          <w:jc w:val="center"/>
        </w:trPr>
        <w:tc>
          <w:tcPr>
            <w:tcW w:w="1242" w:type="dxa"/>
            <w:vAlign w:val="center"/>
            <w:hideMark/>
          </w:tcPr>
          <w:p w14:paraId="622F8E68" w14:textId="77777777" w:rsidR="001608E9" w:rsidRPr="009E06AA" w:rsidRDefault="001608E9" w:rsidP="003405C7">
            <w:pPr>
              <w:pStyle w:val="TableText"/>
              <w:spacing w:before="40" w:after="40"/>
              <w:rPr>
                <w:i/>
              </w:rPr>
            </w:pPr>
            <w:r w:rsidRPr="009E06AA">
              <w:t>Na</w:t>
            </w:r>
            <w:r w:rsidRPr="009E06AA">
              <w:rPr>
                <w:vertAlign w:val="subscript"/>
              </w:rPr>
              <w:t>2</w:t>
            </w:r>
            <w:r w:rsidRPr="009E06AA">
              <w:t>O</w:t>
            </w:r>
          </w:p>
        </w:tc>
        <w:tc>
          <w:tcPr>
            <w:tcW w:w="1448" w:type="dxa"/>
            <w:vAlign w:val="center"/>
            <w:hideMark/>
          </w:tcPr>
          <w:p w14:paraId="55771667" w14:textId="77777777" w:rsidR="001608E9" w:rsidRPr="009E06AA" w:rsidRDefault="001608E9" w:rsidP="003405C7">
            <w:pPr>
              <w:pStyle w:val="TableText"/>
              <w:spacing w:before="40" w:after="40"/>
              <w:ind w:right="27"/>
              <w:jc w:val="right"/>
              <w:rPr>
                <w:i/>
              </w:rPr>
            </w:pPr>
            <w:r w:rsidRPr="009E06AA">
              <w:t>0.1</w:t>
            </w:r>
          </w:p>
        </w:tc>
      </w:tr>
      <w:tr w:rsidR="001608E9" w:rsidRPr="009E06AA" w14:paraId="01DF512A" w14:textId="77777777" w:rsidTr="00B55F24">
        <w:trPr>
          <w:jc w:val="center"/>
        </w:trPr>
        <w:tc>
          <w:tcPr>
            <w:tcW w:w="1242" w:type="dxa"/>
            <w:vAlign w:val="center"/>
            <w:hideMark/>
          </w:tcPr>
          <w:p w14:paraId="19AC013A" w14:textId="77777777" w:rsidR="001608E9" w:rsidRPr="009E06AA" w:rsidRDefault="001608E9" w:rsidP="003405C7">
            <w:pPr>
              <w:pStyle w:val="TableText"/>
              <w:spacing w:before="40" w:after="40"/>
              <w:rPr>
                <w:i/>
              </w:rPr>
            </w:pPr>
            <w:r w:rsidRPr="009E06AA">
              <w:t>Cr</w:t>
            </w:r>
          </w:p>
        </w:tc>
        <w:tc>
          <w:tcPr>
            <w:tcW w:w="1448" w:type="dxa"/>
            <w:vAlign w:val="center"/>
            <w:hideMark/>
          </w:tcPr>
          <w:p w14:paraId="76B7BD1F" w14:textId="77777777" w:rsidR="001608E9" w:rsidRPr="009E06AA" w:rsidRDefault="001608E9" w:rsidP="003405C7">
            <w:pPr>
              <w:pStyle w:val="TableText"/>
              <w:spacing w:before="40" w:after="40"/>
              <w:ind w:right="27"/>
              <w:jc w:val="right"/>
              <w:rPr>
                <w:i/>
              </w:rPr>
            </w:pPr>
            <w:r w:rsidRPr="009E06AA">
              <w:t>0.0</w:t>
            </w:r>
          </w:p>
        </w:tc>
      </w:tr>
      <w:tr w:rsidR="001608E9" w:rsidRPr="009E06AA" w14:paraId="79ED8430" w14:textId="77777777" w:rsidTr="00B55F24">
        <w:trPr>
          <w:jc w:val="center"/>
        </w:trPr>
        <w:tc>
          <w:tcPr>
            <w:tcW w:w="1242" w:type="dxa"/>
            <w:vAlign w:val="center"/>
            <w:hideMark/>
          </w:tcPr>
          <w:p w14:paraId="6F397852" w14:textId="77777777" w:rsidR="001608E9" w:rsidRPr="009E06AA" w:rsidRDefault="001608E9" w:rsidP="003405C7">
            <w:pPr>
              <w:pStyle w:val="TableText"/>
              <w:spacing w:before="40" w:after="40"/>
              <w:rPr>
                <w:i/>
              </w:rPr>
            </w:pPr>
            <w:r w:rsidRPr="009E06AA">
              <w:t>P</w:t>
            </w:r>
          </w:p>
        </w:tc>
        <w:tc>
          <w:tcPr>
            <w:tcW w:w="1448" w:type="dxa"/>
            <w:vAlign w:val="center"/>
            <w:hideMark/>
          </w:tcPr>
          <w:p w14:paraId="0AC9C73F" w14:textId="77777777" w:rsidR="001608E9" w:rsidRPr="009E06AA" w:rsidRDefault="001608E9" w:rsidP="003405C7">
            <w:pPr>
              <w:pStyle w:val="TableText"/>
              <w:spacing w:before="40" w:after="40"/>
              <w:ind w:right="27"/>
              <w:jc w:val="right"/>
              <w:rPr>
                <w:i/>
              </w:rPr>
            </w:pPr>
            <w:r w:rsidRPr="009E06AA">
              <w:t>0.0</w:t>
            </w:r>
          </w:p>
        </w:tc>
      </w:tr>
      <w:tr w:rsidR="001608E9" w:rsidRPr="009E06AA" w14:paraId="715728C8" w14:textId="77777777" w:rsidTr="00B55F24">
        <w:trPr>
          <w:jc w:val="center"/>
        </w:trPr>
        <w:tc>
          <w:tcPr>
            <w:tcW w:w="1242" w:type="dxa"/>
            <w:vAlign w:val="center"/>
            <w:hideMark/>
          </w:tcPr>
          <w:p w14:paraId="27F53082" w14:textId="77777777" w:rsidR="001608E9" w:rsidRPr="009E06AA" w:rsidRDefault="001608E9" w:rsidP="003405C7">
            <w:pPr>
              <w:pStyle w:val="TableText"/>
              <w:spacing w:before="40" w:after="40"/>
              <w:rPr>
                <w:i/>
              </w:rPr>
            </w:pPr>
            <w:r w:rsidRPr="009E06AA">
              <w:t>K</w:t>
            </w:r>
            <w:r w:rsidRPr="009E06AA">
              <w:rPr>
                <w:vertAlign w:val="subscript"/>
              </w:rPr>
              <w:t>2</w:t>
            </w:r>
            <w:r w:rsidRPr="009E06AA">
              <w:t>O</w:t>
            </w:r>
          </w:p>
        </w:tc>
        <w:tc>
          <w:tcPr>
            <w:tcW w:w="1448" w:type="dxa"/>
            <w:vAlign w:val="center"/>
            <w:hideMark/>
          </w:tcPr>
          <w:p w14:paraId="0452A380" w14:textId="77777777" w:rsidR="001608E9" w:rsidRPr="009E06AA" w:rsidRDefault="001608E9" w:rsidP="003405C7">
            <w:pPr>
              <w:pStyle w:val="TableText"/>
              <w:spacing w:before="40" w:after="40"/>
              <w:ind w:right="27"/>
              <w:jc w:val="right"/>
              <w:rPr>
                <w:i/>
              </w:rPr>
            </w:pPr>
            <w:r w:rsidRPr="009E06AA">
              <w:t>0.0</w:t>
            </w:r>
          </w:p>
        </w:tc>
      </w:tr>
      <w:tr w:rsidR="001608E9" w:rsidRPr="009E06AA" w14:paraId="1E5B0324" w14:textId="77777777" w:rsidTr="00B55F24">
        <w:trPr>
          <w:jc w:val="center"/>
        </w:trPr>
        <w:tc>
          <w:tcPr>
            <w:tcW w:w="1242" w:type="dxa"/>
            <w:vAlign w:val="center"/>
            <w:hideMark/>
          </w:tcPr>
          <w:p w14:paraId="37C48535" w14:textId="77777777" w:rsidR="001608E9" w:rsidRPr="009E06AA" w:rsidRDefault="001608E9" w:rsidP="003405C7">
            <w:pPr>
              <w:pStyle w:val="TableText"/>
              <w:spacing w:before="40" w:after="40"/>
              <w:rPr>
                <w:i/>
              </w:rPr>
            </w:pPr>
            <w:r w:rsidRPr="009E06AA">
              <w:t>Cu</w:t>
            </w:r>
          </w:p>
        </w:tc>
        <w:tc>
          <w:tcPr>
            <w:tcW w:w="1448" w:type="dxa"/>
            <w:vAlign w:val="center"/>
            <w:hideMark/>
          </w:tcPr>
          <w:p w14:paraId="0937022C" w14:textId="77777777" w:rsidR="001608E9" w:rsidRPr="009E06AA" w:rsidRDefault="001608E9" w:rsidP="003405C7">
            <w:pPr>
              <w:pStyle w:val="TableText"/>
              <w:spacing w:before="40" w:after="40"/>
              <w:ind w:right="27"/>
              <w:jc w:val="right"/>
              <w:rPr>
                <w:i/>
              </w:rPr>
            </w:pPr>
            <w:r w:rsidRPr="009E06AA">
              <w:t>0.0</w:t>
            </w:r>
          </w:p>
        </w:tc>
      </w:tr>
      <w:tr w:rsidR="001608E9" w:rsidRPr="009E06AA" w14:paraId="2C3CD09F" w14:textId="77777777" w:rsidTr="00B55F24">
        <w:trPr>
          <w:jc w:val="center"/>
        </w:trPr>
        <w:tc>
          <w:tcPr>
            <w:tcW w:w="1242" w:type="dxa"/>
            <w:vAlign w:val="center"/>
            <w:hideMark/>
          </w:tcPr>
          <w:p w14:paraId="2494358D" w14:textId="77777777" w:rsidR="001608E9" w:rsidRPr="009E06AA" w:rsidRDefault="001608E9" w:rsidP="003405C7">
            <w:pPr>
              <w:pStyle w:val="TableText"/>
              <w:spacing w:before="40" w:after="40"/>
              <w:rPr>
                <w:b/>
                <w:bCs/>
                <w:i/>
              </w:rPr>
            </w:pPr>
            <w:r w:rsidRPr="009E06AA">
              <w:rPr>
                <w:b/>
                <w:bCs/>
              </w:rPr>
              <w:t>Total</w:t>
            </w:r>
          </w:p>
        </w:tc>
        <w:tc>
          <w:tcPr>
            <w:tcW w:w="1448" w:type="dxa"/>
            <w:vAlign w:val="center"/>
            <w:hideMark/>
          </w:tcPr>
          <w:p w14:paraId="64D721E9" w14:textId="77777777" w:rsidR="001608E9" w:rsidRPr="009E06AA" w:rsidRDefault="001608E9" w:rsidP="003405C7">
            <w:pPr>
              <w:pStyle w:val="TableText"/>
              <w:spacing w:before="40" w:after="40"/>
              <w:ind w:right="27"/>
              <w:jc w:val="right"/>
              <w:rPr>
                <w:b/>
                <w:bCs/>
                <w:i/>
              </w:rPr>
            </w:pPr>
            <w:r w:rsidRPr="009E06AA">
              <w:rPr>
                <w:b/>
                <w:bCs/>
              </w:rPr>
              <w:t>100.0</w:t>
            </w:r>
          </w:p>
        </w:tc>
      </w:tr>
    </w:tbl>
    <w:p w14:paraId="341C2999" w14:textId="77777777" w:rsidR="001608E9" w:rsidRPr="009E06AA" w:rsidRDefault="001608E9" w:rsidP="001608E9">
      <w:pPr>
        <w:pStyle w:val="BodyText"/>
        <w:spacing w:before="360"/>
      </w:pPr>
      <w:r w:rsidRPr="009E06AA">
        <w:t>Figure 4.4.1 shows a simplified illustration of steel production in New Zealand.</w:t>
      </w:r>
    </w:p>
    <w:p w14:paraId="37749126" w14:textId="77777777" w:rsidR="001608E9" w:rsidRPr="009E06AA" w:rsidRDefault="001608E9" w:rsidP="001608E9">
      <w:pPr>
        <w:pStyle w:val="Figure"/>
      </w:pPr>
      <w:bookmarkStart w:id="586" w:name="_Toc5269682"/>
      <w:bookmarkStart w:id="587" w:name="_Toc36292785"/>
      <w:bookmarkStart w:id="588" w:name="_Toc68786650"/>
      <w:bookmarkStart w:id="589" w:name="_Toc131591552"/>
      <w:bookmarkStart w:id="590" w:name="_Toc164154020"/>
      <w:r w:rsidRPr="009E06AA">
        <w:t xml:space="preserve">Figure 4.4.1 </w:t>
      </w:r>
      <w:r w:rsidRPr="009E06AA">
        <w:tab/>
        <w:t>Simplified schematic of iron and steel production in New Zealand</w:t>
      </w:r>
      <w:bookmarkEnd w:id="586"/>
      <w:bookmarkEnd w:id="587"/>
      <w:bookmarkEnd w:id="588"/>
      <w:bookmarkEnd w:id="589"/>
      <w:bookmarkEnd w:id="590"/>
    </w:p>
    <w:p w14:paraId="0DF12BFC" w14:textId="77777777" w:rsidR="001608E9" w:rsidRPr="009E06AA" w:rsidRDefault="001608E9" w:rsidP="001608E9">
      <w:pPr>
        <w:pStyle w:val="BodyText"/>
      </w:pPr>
      <w:r w:rsidRPr="009E06AA">
        <w:rPr>
          <w:noProof/>
        </w:rPr>
        <w:drawing>
          <wp:inline distT="0" distB="0" distL="0" distR="0" wp14:anchorId="16853919" wp14:editId="6EB0D808">
            <wp:extent cx="5281296" cy="3206115"/>
            <wp:effectExtent l="0" t="0" r="0" b="0"/>
            <wp:docPr id="1922151953" name="Picture 1922151953" title="Diagram&#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22151953"/>
                    <pic:cNvPicPr/>
                  </pic:nvPicPr>
                  <pic:blipFill>
                    <a:blip r:embed="rId83" cstate="print">
                      <a:extLst>
                        <a:ext uri="{28A0092B-C50C-407E-A947-70E740481C1C}">
                          <a14:useLocalDpi xmlns:a14="http://schemas.microsoft.com/office/drawing/2010/main" val="0"/>
                        </a:ext>
                      </a:extLst>
                    </a:blip>
                    <a:srcRect/>
                    <a:stretch>
                      <a:fillRect/>
                    </a:stretch>
                  </pic:blipFill>
                  <pic:spPr>
                    <a:xfrm>
                      <a:off x="0" y="0"/>
                      <a:ext cx="5281296" cy="3206115"/>
                    </a:xfrm>
                    <a:prstGeom prst="rect">
                      <a:avLst/>
                    </a:prstGeom>
                  </pic:spPr>
                </pic:pic>
              </a:graphicData>
            </a:graphic>
          </wp:inline>
        </w:drawing>
      </w:r>
    </w:p>
    <w:p w14:paraId="78311977" w14:textId="77777777" w:rsidR="001608E9" w:rsidRPr="009E06AA" w:rsidRDefault="001608E9" w:rsidP="001608E9">
      <w:pPr>
        <w:pStyle w:val="BodyText"/>
      </w:pPr>
      <w:r w:rsidRPr="009E06AA">
        <w:t>Nearly all the carbon entering the process is from coal used as a reductant in the iron-making process, and nearly all of this is emitted as CO</w:t>
      </w:r>
      <w:r w:rsidRPr="009E06AA">
        <w:rPr>
          <w:vertAlign w:val="subscript"/>
        </w:rPr>
        <w:t>2</w:t>
      </w:r>
      <w:r w:rsidRPr="009E06AA">
        <w:t xml:space="preserve"> in two waste gas streams: </w:t>
      </w:r>
    </w:p>
    <w:p w14:paraId="0EAAEFE8" w14:textId="77777777" w:rsidR="001608E9" w:rsidRPr="009E06AA" w:rsidRDefault="001608E9" w:rsidP="001608E9">
      <w:pPr>
        <w:pStyle w:val="Bullet"/>
      </w:pPr>
      <w:r w:rsidRPr="009E06AA">
        <w:t>gas generated in multi-hearth furnaces used to heat and dry concentrated iron sand and coal – this gas contains excess volatiles from the coal</w:t>
      </w:r>
    </w:p>
    <w:p w14:paraId="4EC24C8E" w14:textId="77777777" w:rsidR="001608E9" w:rsidRPr="009E06AA" w:rsidRDefault="001608E9" w:rsidP="001608E9">
      <w:pPr>
        <w:pStyle w:val="Bullet"/>
      </w:pPr>
      <w:r w:rsidRPr="009E06AA">
        <w:t xml:space="preserve">gas generated in rotary reduction kilns used to convert oxide in the iron sand to iron </w:t>
      </w:r>
      <w:r w:rsidRPr="009E06AA">
        <w:br/>
        <w:t xml:space="preserve">– this gas is rich in CO. </w:t>
      </w:r>
    </w:p>
    <w:p w14:paraId="0EFFC30C" w14:textId="77777777" w:rsidR="001608E9" w:rsidRPr="009E06AA" w:rsidRDefault="001608E9" w:rsidP="001608E9">
      <w:pPr>
        <w:pStyle w:val="BodyText"/>
      </w:pPr>
      <w:r w:rsidRPr="009E06AA">
        <w:t xml:space="preserve">All this waste gas is combusted in ‘afterburners’ and used for electricity production. It would </w:t>
      </w:r>
      <w:r w:rsidRPr="009E06AA">
        <w:rPr>
          <w:spacing w:val="-2"/>
        </w:rPr>
        <w:t>not be acceptable for gas containing coal volatiles or CO to be emitted without this combustion</w:t>
      </w:r>
      <w:r w:rsidRPr="009E06AA">
        <w:t xml:space="preserve"> stage. There is no other flaring or disposal mode for the waste gases. Emissions from supplementary natural gas used in this plant are reported under the Energy sector (1.A.2.a). New Zealand Steel reported in the past (CRL Energy Ltd unpublished(b)) that there were no detectable CH</w:t>
      </w:r>
      <w:r w:rsidRPr="009E06AA">
        <w:rPr>
          <w:vertAlign w:val="subscript"/>
        </w:rPr>
        <w:t>4</w:t>
      </w:r>
      <w:r w:rsidRPr="009E06AA">
        <w:t xml:space="preserve"> emissions from this plant. No updated information is currently available. </w:t>
      </w:r>
    </w:p>
    <w:p w14:paraId="04EA6693" w14:textId="77777777" w:rsidR="001608E9" w:rsidRPr="009E06AA" w:rsidRDefault="001608E9" w:rsidP="001608E9">
      <w:pPr>
        <w:pStyle w:val="BodyText"/>
      </w:pPr>
      <w:r w:rsidRPr="009E06AA">
        <w:t>Much smaller amounts of CO</w:t>
      </w:r>
      <w:r w:rsidRPr="009E06AA">
        <w:rPr>
          <w:vertAlign w:val="subscript"/>
        </w:rPr>
        <w:t>2</w:t>
      </w:r>
      <w:r w:rsidRPr="009E06AA">
        <w:t xml:space="preserve"> are derived from limestone added to the multi-hearth furnaces, and from additives and natural gas used in melters and steel making. </w:t>
      </w:r>
    </w:p>
    <w:p w14:paraId="2F6DC642" w14:textId="77777777" w:rsidR="001608E9" w:rsidRPr="009E06AA" w:rsidRDefault="001608E9" w:rsidP="00BF2A76">
      <w:pPr>
        <w:pStyle w:val="Heading5"/>
      </w:pPr>
      <w:r w:rsidRPr="009E06AA">
        <w:t>Aluminium production (2.C.3)</w:t>
      </w:r>
    </w:p>
    <w:p w14:paraId="215B95F0" w14:textId="77777777" w:rsidR="001608E9" w:rsidRPr="009E06AA" w:rsidRDefault="001608E9" w:rsidP="001608E9">
      <w:pPr>
        <w:pStyle w:val="BodyText"/>
      </w:pPr>
      <w:r w:rsidRPr="009E06AA">
        <w:t>Carbon dioxide is emitted during the oxidation of carbon anodes. The two PFCs perfluoromethane (CF</w:t>
      </w:r>
      <w:r w:rsidRPr="009E06AA">
        <w:rPr>
          <w:vertAlign w:val="subscript"/>
        </w:rPr>
        <w:t>4</w:t>
      </w:r>
      <w:r w:rsidRPr="009E06AA">
        <w:t>) and perfluoroethane (C</w:t>
      </w:r>
      <w:r w:rsidRPr="009E06AA">
        <w:rPr>
          <w:vertAlign w:val="subscript"/>
        </w:rPr>
        <w:t>2</w:t>
      </w:r>
      <w:r w:rsidRPr="009E06AA">
        <w:t>F</w:t>
      </w:r>
      <w:r w:rsidRPr="009E06AA">
        <w:rPr>
          <w:vertAlign w:val="subscript"/>
        </w:rPr>
        <w:t>6</w:t>
      </w:r>
      <w:r w:rsidRPr="009E06AA">
        <w:t xml:space="preserve">) are emitted from the reduction cells used for smelting during anode effects. An anode effect occurs when the aluminium oxide concentration in the cell is low. The emissions from combustion of various fuels used in aluminium production (heavy fuel oil, liquefied petroleum gas, petrol and diesel) are reported under the Energy sector. </w:t>
      </w:r>
    </w:p>
    <w:p w14:paraId="5193E85C" w14:textId="77777777" w:rsidR="001608E9" w:rsidRPr="009E06AA" w:rsidRDefault="001608E9" w:rsidP="001608E9">
      <w:pPr>
        <w:pStyle w:val="BodyText"/>
      </w:pPr>
      <w:r w:rsidRPr="009E06AA">
        <w:t xml:space="preserve">In 2022, the </w:t>
      </w:r>
      <w:r w:rsidRPr="009E06AA">
        <w:rPr>
          <w:i/>
        </w:rPr>
        <w:t>Aluminium production</w:t>
      </w:r>
      <w:r w:rsidRPr="009E06AA">
        <w:t xml:space="preserve"> category accounted for 543.9 kt CO</w:t>
      </w:r>
      <w:r w:rsidRPr="009E06AA">
        <w:rPr>
          <w:vertAlign w:val="subscript"/>
        </w:rPr>
        <w:t>2</w:t>
      </w:r>
      <w:r w:rsidRPr="009E06AA">
        <w:t xml:space="preserve">-e (25.5 per cent) of emissions from the </w:t>
      </w:r>
      <w:r w:rsidRPr="009E06AA">
        <w:rPr>
          <w:i/>
        </w:rPr>
        <w:t>Metal industry</w:t>
      </w:r>
      <w:r w:rsidRPr="009E06AA">
        <w:t xml:space="preserve"> category. Activity data (production of hot metal aluminium from the smelter) and estimates of CO</w:t>
      </w:r>
      <w:r w:rsidRPr="009E06AA">
        <w:rPr>
          <w:vertAlign w:val="subscript"/>
        </w:rPr>
        <w:t xml:space="preserve">2 </w:t>
      </w:r>
      <w:r w:rsidRPr="009E06AA">
        <w:t>and PFC emissions were supplied by NZAS to MBIE until 2010. From 2011 to 2022, the CO</w:t>
      </w:r>
      <w:r w:rsidRPr="009E06AA">
        <w:rPr>
          <w:vertAlign w:val="subscript"/>
        </w:rPr>
        <w:t>2</w:t>
      </w:r>
      <w:r w:rsidRPr="009E06AA">
        <w:t xml:space="preserve"> and PFC emissions data and activity data were sourced from the company’s NZ ETS reporting. </w:t>
      </w:r>
    </w:p>
    <w:p w14:paraId="3245F8E6" w14:textId="77777777" w:rsidR="001608E9" w:rsidRPr="009E06AA" w:rsidRDefault="001608E9" w:rsidP="00BF2A76">
      <w:pPr>
        <w:pStyle w:val="Heading5"/>
      </w:pPr>
      <w:r w:rsidRPr="009E06AA">
        <w:t>Magnesium and other metal production</w:t>
      </w:r>
    </w:p>
    <w:p w14:paraId="416A637A" w14:textId="77777777" w:rsidR="001608E9" w:rsidRPr="009E06AA" w:rsidRDefault="001608E9" w:rsidP="001608E9">
      <w:pPr>
        <w:pStyle w:val="BodyText"/>
      </w:pPr>
      <w:r w:rsidRPr="009E06AA">
        <w:t>From 1990 to 1999 a very small amount of SF</w:t>
      </w:r>
      <w:r w:rsidRPr="009E06AA">
        <w:rPr>
          <w:vertAlign w:val="subscript"/>
        </w:rPr>
        <w:t>6</w:t>
      </w:r>
      <w:r w:rsidRPr="009E06AA">
        <w:t xml:space="preserve"> was used as a cover gas in a magnesium foundry. Emissions are estimated based on an approximate estimate of the amount of SF</w:t>
      </w:r>
      <w:r w:rsidRPr="009E06AA">
        <w:rPr>
          <w:vertAlign w:val="subscript"/>
        </w:rPr>
        <w:t>6</w:t>
      </w:r>
      <w:r w:rsidRPr="009E06AA">
        <w:t xml:space="preserve"> that was used (2.C.4). No other activity data are available (CRL Energy, </w:t>
      </w:r>
      <w:r w:rsidRPr="009E06AA">
        <w:rPr>
          <w:rFonts w:eastAsia="+mn-ea"/>
        </w:rPr>
        <w:t>unpublished(b)</w:t>
      </w:r>
      <w:r w:rsidRPr="009E06AA">
        <w:t xml:space="preserve">). </w:t>
      </w:r>
    </w:p>
    <w:p w14:paraId="29770395" w14:textId="77777777" w:rsidR="001608E9" w:rsidRPr="009E06AA" w:rsidRDefault="001608E9" w:rsidP="001608E9">
      <w:pPr>
        <w:pStyle w:val="BodyText"/>
      </w:pPr>
      <w:r w:rsidRPr="009E06AA">
        <w:t>A very small amount of CO</w:t>
      </w:r>
      <w:r w:rsidRPr="009E06AA">
        <w:rPr>
          <w:vertAlign w:val="subscript"/>
        </w:rPr>
        <w:t>2</w:t>
      </w:r>
      <w:r w:rsidRPr="009E06AA">
        <w:t xml:space="preserve"> emissions was also reported from secondary lead production between 1990 and 2015, with the approximate recycled lead output as the activity data. This production has now stopped. The only other metal production that occurs in New Zealand is gold and silver mining. No emissions are reported from these activities. </w:t>
      </w:r>
    </w:p>
    <w:p w14:paraId="55D130D0" w14:textId="77777777" w:rsidR="001608E9" w:rsidRPr="009E06AA" w:rsidRDefault="001608E9" w:rsidP="001608E9">
      <w:pPr>
        <w:pStyle w:val="Heading4"/>
      </w:pPr>
      <w:r w:rsidRPr="009E06AA">
        <w:t>Choice of methods</w:t>
      </w:r>
    </w:p>
    <w:p w14:paraId="554A728E" w14:textId="77777777" w:rsidR="001608E9" w:rsidRPr="009E06AA" w:rsidRDefault="001608E9" w:rsidP="00BF2A76">
      <w:pPr>
        <w:pStyle w:val="Heading5"/>
      </w:pPr>
      <w:r w:rsidRPr="009E06AA">
        <w:t>Iron and steel production (2.C.1 and 2.C.1.a)</w:t>
      </w:r>
    </w:p>
    <w:p w14:paraId="24198702" w14:textId="77777777" w:rsidR="001608E9" w:rsidRPr="009E06AA" w:rsidRDefault="001608E9" w:rsidP="001608E9">
      <w:pPr>
        <w:pStyle w:val="BodyText"/>
      </w:pPr>
      <w:r w:rsidRPr="009E06AA">
        <w:t>The IPCC Tier 2 approach is used for calculating CO</w:t>
      </w:r>
      <w:r w:rsidRPr="009E06AA">
        <w:rPr>
          <w:vertAlign w:val="subscript"/>
        </w:rPr>
        <w:t>2</w:t>
      </w:r>
      <w:r w:rsidRPr="009E06AA">
        <w:t xml:space="preserve"> emissions from the iron and steel plant operated by New Zealand Steel Limited. Emissions from pig iron and steel production are not estimated separately because all of the iron made is processed into steel. This is a mass balance approach in which all carbon in inputs is assumed to be emitted, except the small amount sequestered in the steel produced. </w:t>
      </w:r>
    </w:p>
    <w:p w14:paraId="025D0DE7" w14:textId="77777777" w:rsidR="001608E9" w:rsidRPr="009E06AA" w:rsidRDefault="001608E9" w:rsidP="001608E9">
      <w:pPr>
        <w:pStyle w:val="BodyText"/>
      </w:pPr>
      <w:r w:rsidRPr="009E06AA">
        <w:t>Most of the input carbon comes from the coal used as a reductant. There are also some CO</w:t>
      </w:r>
      <w:r w:rsidRPr="009E06AA">
        <w:rPr>
          <w:vertAlign w:val="subscript"/>
        </w:rPr>
        <w:t>2</w:t>
      </w:r>
      <w:r w:rsidRPr="009E06AA">
        <w:t xml:space="preserve"> emissions from the use of limestone in iron and steel production. These emissions are reported in the </w:t>
      </w:r>
      <w:r w:rsidRPr="009E06AA">
        <w:rPr>
          <w:i/>
        </w:rPr>
        <w:t>Mineral industry</w:t>
      </w:r>
      <w:r w:rsidRPr="009E06AA">
        <w:t xml:space="preserve"> category (2.A.4.d), to preserve the confidentiality of data on limestone use supplied by companies in the </w:t>
      </w:r>
      <w:r w:rsidRPr="009E06AA">
        <w:rPr>
          <w:i/>
        </w:rPr>
        <w:t>Glass production</w:t>
      </w:r>
      <w:r w:rsidRPr="009E06AA">
        <w:t xml:space="preserve"> category. A very small amount of CO</w:t>
      </w:r>
      <w:r w:rsidRPr="009E06AA">
        <w:rPr>
          <w:vertAlign w:val="subscript"/>
        </w:rPr>
        <w:t>2</w:t>
      </w:r>
      <w:r w:rsidRPr="009E06AA">
        <w:t xml:space="preserve"> from other carbon-containing inputs (coke and electrodes) is also included, and the carbon in steel produced is subtracted. </w:t>
      </w:r>
    </w:p>
    <w:p w14:paraId="46EB16E8" w14:textId="77777777" w:rsidR="001608E9" w:rsidRPr="009E06AA" w:rsidRDefault="001608E9" w:rsidP="001608E9">
      <w:pPr>
        <w:pStyle w:val="BodyText"/>
      </w:pPr>
      <w:r w:rsidRPr="009E06AA">
        <w:t xml:space="preserve">Emissions from the production of steel by Pacific Steel Limited were also estimated using a Tier 2 mass balance approach. The average carbon content (0.2 per cent by mass) in the finished product is subtracted from the total carbon in inputs to obtain the amount of carbon emitted. Due to limited process data collected and retained by Pacific Steel Limited in the past, emissions for the years 1990 to 1999 were calculated using the average of the implied emission factors for 2000 to 2008 based on production volume. </w:t>
      </w:r>
    </w:p>
    <w:p w14:paraId="43DAA0C5" w14:textId="77777777" w:rsidR="001608E9" w:rsidRPr="009E06AA" w:rsidRDefault="001608E9" w:rsidP="00BF2A76">
      <w:pPr>
        <w:pStyle w:val="Heading5"/>
      </w:pPr>
      <w:r w:rsidRPr="009E06AA">
        <w:t>Aluminium production (2.C.3)</w:t>
      </w:r>
    </w:p>
    <w:p w14:paraId="355671EB" w14:textId="77777777" w:rsidR="001608E9" w:rsidRPr="009E06AA" w:rsidRDefault="001608E9" w:rsidP="001608E9">
      <w:pPr>
        <w:pStyle w:val="BodyText"/>
      </w:pPr>
      <w:r w:rsidRPr="009E06AA">
        <w:t>NZAS calculates the process CO</w:t>
      </w:r>
      <w:r w:rsidRPr="009E06AA">
        <w:rPr>
          <w:vertAlign w:val="subscript"/>
        </w:rPr>
        <w:t>2</w:t>
      </w:r>
      <w:r w:rsidRPr="009E06AA">
        <w:t xml:space="preserve"> emissions using the International Aluminium Institute’s Tier 3 method (International Aluminium Institute, 2006, equations 1–3), which is compliant with the IPCC Tier 2 method (IPPC, 2006a). The same method is used in NZ ETS reporting for aluminium smelting. This method breaks the prebake anode process into three stages: baked anode consumption, pitch volatiles consumption and packing coke consumption. </w:t>
      </w:r>
    </w:p>
    <w:p w14:paraId="505D21BB" w14:textId="77777777" w:rsidR="001608E9" w:rsidRPr="009E06AA" w:rsidRDefault="001608E9" w:rsidP="001608E9">
      <w:pPr>
        <w:pStyle w:val="BodyText"/>
      </w:pPr>
      <w:r w:rsidRPr="009E06AA">
        <w:t>Also, NZAS adds soda ash to the reduction cells to maintain the electrolyte chemical composition. This results in CO</w:t>
      </w:r>
      <w:r w:rsidRPr="009E06AA">
        <w:rPr>
          <w:vertAlign w:val="subscript"/>
        </w:rPr>
        <w:t>2</w:t>
      </w:r>
      <w:r w:rsidRPr="009E06AA">
        <w:t xml:space="preserve"> emissions as a by-product. These emissions are reported in the </w:t>
      </w:r>
      <w:r w:rsidRPr="009E06AA">
        <w:rPr>
          <w:i/>
        </w:rPr>
        <w:t>Mineral industry</w:t>
      </w:r>
      <w:r w:rsidRPr="009E06AA">
        <w:t xml:space="preserve"> category (2.A.4.b) to preserve the confidentiality of data on soda ash use supplied by companies in the </w:t>
      </w:r>
      <w:r w:rsidRPr="009E06AA">
        <w:rPr>
          <w:i/>
        </w:rPr>
        <w:t>Glass production</w:t>
      </w:r>
      <w:r w:rsidRPr="009E06AA">
        <w:t xml:space="preserve"> category. </w:t>
      </w:r>
    </w:p>
    <w:p w14:paraId="1FE3E937" w14:textId="77777777" w:rsidR="001608E9" w:rsidRPr="009E06AA" w:rsidRDefault="001608E9" w:rsidP="001608E9">
      <w:pPr>
        <w:pStyle w:val="BodyText"/>
      </w:pPr>
      <w:r w:rsidRPr="009E06AA">
        <w:t>Data on the duration of anode effects at the smelter are available for 1993 and later years. Perfluorocarbon (CF</w:t>
      </w:r>
      <w:r w:rsidRPr="009E06AA">
        <w:rPr>
          <w:vertAlign w:val="subscript"/>
        </w:rPr>
        <w:t>4</w:t>
      </w:r>
      <w:r w:rsidRPr="009E06AA">
        <w:t xml:space="preserve"> and C</w:t>
      </w:r>
      <w:r w:rsidRPr="009E06AA">
        <w:rPr>
          <w:vertAlign w:val="subscript"/>
        </w:rPr>
        <w:t>2</w:t>
      </w:r>
      <w:r w:rsidRPr="009E06AA">
        <w:t>F</w:t>
      </w:r>
      <w:r w:rsidRPr="009E06AA">
        <w:rPr>
          <w:vertAlign w:val="subscript"/>
        </w:rPr>
        <w:t>6</w:t>
      </w:r>
      <w:r w:rsidRPr="009E06AA">
        <w:t xml:space="preserve">) emissions from aluminium production are estimated using: </w:t>
      </w:r>
    </w:p>
    <w:p w14:paraId="05769423" w14:textId="77777777" w:rsidR="001608E9" w:rsidRPr="009E06AA" w:rsidRDefault="001608E9" w:rsidP="001608E9">
      <w:pPr>
        <w:pStyle w:val="Bullet"/>
      </w:pPr>
      <w:r w:rsidRPr="009E06AA">
        <w:t xml:space="preserve">the IPCC Tier 1 method for the years 1990 and 1991. The data needed to apply a Tier 2 method are not available </w:t>
      </w:r>
    </w:p>
    <w:p w14:paraId="311DBC30" w14:textId="77777777" w:rsidR="001608E9" w:rsidRPr="009E06AA" w:rsidRDefault="001608E9" w:rsidP="001608E9">
      <w:pPr>
        <w:pStyle w:val="Bullet"/>
      </w:pPr>
      <w:r w:rsidRPr="009E06AA">
        <w:t xml:space="preserve">interpolation for 1992; at this time, there was still no recording of anode effect duration </w:t>
      </w:r>
    </w:p>
    <w:p w14:paraId="5CC93D20" w14:textId="77777777" w:rsidR="001608E9" w:rsidRPr="009E06AA" w:rsidRDefault="001608E9" w:rsidP="001608E9">
      <w:pPr>
        <w:pStyle w:val="Bullet"/>
      </w:pPr>
      <w:r w:rsidRPr="009E06AA">
        <w:t xml:space="preserve">the IPCC Tier 2 method (using slope coefficients) from 1993 to 2022. This method is applied in the reporting requirements the company now uses in its NZ ETS returns. </w:t>
      </w:r>
    </w:p>
    <w:p w14:paraId="2F3ADD9A" w14:textId="77777777" w:rsidR="001608E9" w:rsidRPr="009E06AA" w:rsidRDefault="001608E9" w:rsidP="001608E9">
      <w:pPr>
        <w:pStyle w:val="BodyText"/>
        <w:rPr>
          <w:spacing w:val="-2"/>
        </w:rPr>
      </w:pPr>
      <w:r w:rsidRPr="009E06AA">
        <w:rPr>
          <w:spacing w:val="-2"/>
        </w:rPr>
        <w:t xml:space="preserve">There is no history of direct measurement of PFC emissions at the smelter, so site-specific slope coefficients (required for the use of Tier 3) are not currently available. </w:t>
      </w:r>
    </w:p>
    <w:p w14:paraId="005422C8" w14:textId="77777777" w:rsidR="001608E9" w:rsidRPr="009E06AA" w:rsidRDefault="001608E9" w:rsidP="00BF2A76">
      <w:pPr>
        <w:pStyle w:val="Heading5"/>
      </w:pPr>
      <w:r w:rsidRPr="009E06AA">
        <w:t>Magnesium production (2.C.4)</w:t>
      </w:r>
    </w:p>
    <w:p w14:paraId="36C71139" w14:textId="77777777" w:rsidR="001608E9" w:rsidRPr="009E06AA" w:rsidRDefault="001608E9" w:rsidP="001608E9">
      <w:pPr>
        <w:pStyle w:val="BodyText"/>
      </w:pPr>
      <w:r w:rsidRPr="009E06AA">
        <w:t>Emissions are estimated based on an approximate estimate of the amount of SF</w:t>
      </w:r>
      <w:r w:rsidRPr="009E06AA">
        <w:rPr>
          <w:vertAlign w:val="subscript"/>
        </w:rPr>
        <w:t>6</w:t>
      </w:r>
      <w:r w:rsidRPr="009E06AA">
        <w:t xml:space="preserve"> that was used as cover gas and on the basis that all SF</w:t>
      </w:r>
      <w:r w:rsidRPr="009E06AA">
        <w:rPr>
          <w:vertAlign w:val="subscript"/>
        </w:rPr>
        <w:t>6</w:t>
      </w:r>
      <w:r w:rsidRPr="009E06AA">
        <w:t xml:space="preserve"> used is emitted. The method is Tier 1. </w:t>
      </w:r>
    </w:p>
    <w:p w14:paraId="0DEC84E3" w14:textId="77777777" w:rsidR="001608E9" w:rsidRPr="009E06AA" w:rsidRDefault="001608E9" w:rsidP="00BF2A76">
      <w:pPr>
        <w:pStyle w:val="Heading5"/>
      </w:pPr>
      <w:r w:rsidRPr="009E06AA">
        <w:t>Lead production (2.C.5)</w:t>
      </w:r>
    </w:p>
    <w:p w14:paraId="45B2BDC6" w14:textId="06E5BFCD" w:rsidR="001608E9" w:rsidRPr="009E06AA" w:rsidRDefault="001608E9" w:rsidP="001608E9">
      <w:pPr>
        <w:pStyle w:val="BodyText"/>
      </w:pPr>
      <w:r w:rsidRPr="009E06AA">
        <w:t xml:space="preserve">The Tier 1 method </w:t>
      </w:r>
      <w:r w:rsidR="00755E20" w:rsidRPr="009E06AA">
        <w:t>was</w:t>
      </w:r>
      <w:r w:rsidRPr="009E06AA">
        <w:t xml:space="preserve"> used. </w:t>
      </w:r>
    </w:p>
    <w:p w14:paraId="75272F71" w14:textId="77777777" w:rsidR="001608E9" w:rsidRPr="009E06AA" w:rsidRDefault="001608E9" w:rsidP="001608E9">
      <w:pPr>
        <w:pStyle w:val="Heading4"/>
      </w:pPr>
      <w:r w:rsidRPr="009E06AA">
        <w:t>Choice of emission factors</w:t>
      </w:r>
    </w:p>
    <w:p w14:paraId="7B53EC12" w14:textId="77777777" w:rsidR="001608E9" w:rsidRPr="009E06AA" w:rsidRDefault="001608E9" w:rsidP="00BF2A76">
      <w:pPr>
        <w:pStyle w:val="Heading5"/>
      </w:pPr>
      <w:r w:rsidRPr="009E06AA">
        <w:t>Carbon dioxide</w:t>
      </w:r>
    </w:p>
    <w:p w14:paraId="5D946FA4" w14:textId="77777777" w:rsidR="001608E9" w:rsidRPr="009E06AA" w:rsidRDefault="001608E9" w:rsidP="001608E9">
      <w:pPr>
        <w:pStyle w:val="BodyText"/>
      </w:pPr>
      <w:r w:rsidRPr="009E06AA">
        <w:t>Plant-specific emission factors are applied for the sub-bituminous coal used as a reducing agent in iron and steel production. For the early years, the coal emission factor was 0.0937 tonnes of CO</w:t>
      </w:r>
      <w:r w:rsidRPr="009E06AA">
        <w:rPr>
          <w:vertAlign w:val="subscript"/>
        </w:rPr>
        <w:t>2</w:t>
      </w:r>
      <w:r w:rsidRPr="009E06AA">
        <w:t xml:space="preserve"> per gigajoule, as supplied by the steel company. Plant-specific emission factors are also used for other carbon-containing inputs in both the </w:t>
      </w:r>
      <w:r w:rsidRPr="009E06AA">
        <w:rPr>
          <w:i/>
        </w:rPr>
        <w:t>Iron and steel production</w:t>
      </w:r>
      <w:r w:rsidRPr="009E06AA">
        <w:t xml:space="preserve"> and </w:t>
      </w:r>
      <w:r w:rsidRPr="009E06AA">
        <w:rPr>
          <w:i/>
        </w:rPr>
        <w:t>Aluminium production</w:t>
      </w:r>
      <w:r w:rsidRPr="009E06AA">
        <w:t xml:space="preserve"> categories. </w:t>
      </w:r>
    </w:p>
    <w:p w14:paraId="228BBF38" w14:textId="77777777" w:rsidR="001608E9" w:rsidRPr="009E06AA" w:rsidRDefault="001608E9" w:rsidP="001608E9">
      <w:pPr>
        <w:pStyle w:val="BodyText"/>
      </w:pPr>
      <w:r w:rsidRPr="009E06AA">
        <w:t>For secondary lead production, the IPCC default emission factor (0.2 tonnes of CO</w:t>
      </w:r>
      <w:r w:rsidRPr="009E06AA">
        <w:rPr>
          <w:vertAlign w:val="subscript"/>
        </w:rPr>
        <w:t>2</w:t>
      </w:r>
      <w:r w:rsidRPr="009E06AA">
        <w:t xml:space="preserve"> per tonne of lead recycled) is used. </w:t>
      </w:r>
    </w:p>
    <w:p w14:paraId="66339C9C" w14:textId="77777777" w:rsidR="001608E9" w:rsidRPr="009E06AA" w:rsidRDefault="001608E9" w:rsidP="00BF2A76">
      <w:pPr>
        <w:pStyle w:val="Heading5"/>
      </w:pPr>
      <w:r w:rsidRPr="009E06AA">
        <w:t>Perfluorocarbons and SF</w:t>
      </w:r>
      <w:r w:rsidRPr="009E06AA">
        <w:rPr>
          <w:vertAlign w:val="subscript"/>
        </w:rPr>
        <w:t>6</w:t>
      </w:r>
    </w:p>
    <w:p w14:paraId="650C01A2" w14:textId="77777777" w:rsidR="001608E9" w:rsidRPr="009E06AA" w:rsidRDefault="001608E9" w:rsidP="001608E9">
      <w:pPr>
        <w:pStyle w:val="BodyText"/>
      </w:pPr>
      <w:r w:rsidRPr="009E06AA">
        <w:t>Default emission factors (slope coefficients) are used for emissions of CF</w:t>
      </w:r>
      <w:r w:rsidRPr="009E06AA">
        <w:rPr>
          <w:vertAlign w:val="subscript"/>
        </w:rPr>
        <w:t>4</w:t>
      </w:r>
      <w:r w:rsidRPr="009E06AA">
        <w:t xml:space="preserve"> and C</w:t>
      </w:r>
      <w:r w:rsidRPr="009E06AA">
        <w:rPr>
          <w:vertAlign w:val="subscript"/>
        </w:rPr>
        <w:t>2</w:t>
      </w:r>
      <w:r w:rsidRPr="009E06AA">
        <w:t>F</w:t>
      </w:r>
      <w:r w:rsidRPr="009E06AA">
        <w:rPr>
          <w:vertAlign w:val="subscript"/>
        </w:rPr>
        <w:t>6</w:t>
      </w:r>
      <w:r w:rsidRPr="009E06AA">
        <w:t xml:space="preserve"> from aluminium production. Data on the duration of anode effects are not available for the years 1990 to 1992 and for those years a Tier 1 method is used, with the default emission factors of 0.4 kilograms CF</w:t>
      </w:r>
      <w:r w:rsidRPr="009E06AA">
        <w:rPr>
          <w:vertAlign w:val="subscript"/>
        </w:rPr>
        <w:t>4</w:t>
      </w:r>
      <w:r w:rsidRPr="009E06AA">
        <w:t xml:space="preserve"> and 0.04 kilograms C</w:t>
      </w:r>
      <w:r w:rsidRPr="009E06AA">
        <w:rPr>
          <w:vertAlign w:val="subscript"/>
        </w:rPr>
        <w:t>2</w:t>
      </w:r>
      <w:r w:rsidRPr="009E06AA">
        <w:t>F</w:t>
      </w:r>
      <w:r w:rsidRPr="009E06AA">
        <w:rPr>
          <w:vertAlign w:val="subscript"/>
        </w:rPr>
        <w:t>6</w:t>
      </w:r>
      <w:r w:rsidRPr="009E06AA">
        <w:t xml:space="preserve"> per tonne of aluminium. </w:t>
      </w:r>
    </w:p>
    <w:p w14:paraId="18A79273" w14:textId="77777777" w:rsidR="001608E9" w:rsidRPr="009E06AA" w:rsidRDefault="001608E9" w:rsidP="001608E9">
      <w:pPr>
        <w:pStyle w:val="BodyText"/>
      </w:pPr>
      <w:r w:rsidRPr="009E06AA">
        <w:t>Emissions of SF</w:t>
      </w:r>
      <w:r w:rsidRPr="009E06AA">
        <w:rPr>
          <w:vertAlign w:val="subscript"/>
        </w:rPr>
        <w:t>6</w:t>
      </w:r>
      <w:r w:rsidRPr="009E06AA">
        <w:t xml:space="preserve"> used in magnesium casting are immediate. </w:t>
      </w:r>
    </w:p>
    <w:p w14:paraId="6FA9FD26" w14:textId="77777777" w:rsidR="001608E9" w:rsidRPr="009E06AA" w:rsidRDefault="001608E9" w:rsidP="00BF2A76">
      <w:pPr>
        <w:pStyle w:val="Heading5"/>
      </w:pPr>
      <w:r w:rsidRPr="009E06AA">
        <w:t>Indirect emissions</w:t>
      </w:r>
    </w:p>
    <w:p w14:paraId="67617D8F" w14:textId="77777777" w:rsidR="001608E9" w:rsidRPr="009E06AA" w:rsidRDefault="001608E9" w:rsidP="001608E9">
      <w:pPr>
        <w:pStyle w:val="BodyText"/>
      </w:pPr>
      <w:r w:rsidRPr="009E06AA">
        <w:t>Emissions of indirect greenhouse gases (CO, SO</w:t>
      </w:r>
      <w:r w:rsidRPr="009E06AA">
        <w:rPr>
          <w:vertAlign w:val="subscript"/>
        </w:rPr>
        <w:t>2</w:t>
      </w:r>
      <w:r w:rsidRPr="009E06AA">
        <w:t xml:space="preserve"> and NO</w:t>
      </w:r>
      <w:r w:rsidRPr="009E06AA">
        <w:rPr>
          <w:vertAlign w:val="subscript"/>
        </w:rPr>
        <w:t>x</w:t>
      </w:r>
      <w:r w:rsidRPr="009E06AA">
        <w:t xml:space="preserve">) are reported for the </w:t>
      </w:r>
      <w:r w:rsidRPr="009E06AA">
        <w:rPr>
          <w:i/>
        </w:rPr>
        <w:t>Iron and steel</w:t>
      </w:r>
      <w:r w:rsidRPr="009E06AA">
        <w:t> </w:t>
      </w:r>
      <w:r w:rsidRPr="009E06AA">
        <w:rPr>
          <w:i/>
        </w:rPr>
        <w:t>production</w:t>
      </w:r>
      <w:r w:rsidRPr="009E06AA">
        <w:t xml:space="preserve"> and </w:t>
      </w:r>
      <w:r w:rsidRPr="009E06AA">
        <w:rPr>
          <w:i/>
        </w:rPr>
        <w:t>Aluminium production</w:t>
      </w:r>
      <w:r w:rsidRPr="009E06AA">
        <w:t xml:space="preserve"> categories. These are based on a mass balance calculation (for SO</w:t>
      </w:r>
      <w:r w:rsidRPr="009E06AA">
        <w:rPr>
          <w:vertAlign w:val="subscript"/>
        </w:rPr>
        <w:t>2</w:t>
      </w:r>
      <w:r w:rsidRPr="009E06AA">
        <w:t xml:space="preserve">) and a mix of plant-specific emission factors and IPCC defaults for other gases (CRL Energy, </w:t>
      </w:r>
      <w:r w:rsidRPr="009E06AA">
        <w:rPr>
          <w:rFonts w:eastAsia="+mn-ea"/>
        </w:rPr>
        <w:t>unpublished(a)</w:t>
      </w:r>
      <w:r w:rsidRPr="009E06AA">
        <w:t xml:space="preserve">). </w:t>
      </w:r>
    </w:p>
    <w:p w14:paraId="221AC060" w14:textId="77777777" w:rsidR="001608E9" w:rsidRPr="009E06AA" w:rsidRDefault="001608E9" w:rsidP="001608E9">
      <w:pPr>
        <w:pStyle w:val="Heading3"/>
      </w:pPr>
      <w:bookmarkStart w:id="591" w:name="_Toc158647346"/>
      <w:r w:rsidRPr="009E06AA">
        <w:t xml:space="preserve">4.4.3 </w:t>
      </w:r>
      <w:r w:rsidRPr="009E06AA">
        <w:tab/>
        <w:t>Uncertainty assessment and time-series consistency</w:t>
      </w:r>
      <w:bookmarkEnd w:id="591"/>
    </w:p>
    <w:p w14:paraId="7752EC27" w14:textId="77777777" w:rsidR="001608E9" w:rsidRPr="009E06AA" w:rsidRDefault="001608E9" w:rsidP="001608E9">
      <w:pPr>
        <w:pStyle w:val="Heading4"/>
        <w:rPr>
          <w:bCs/>
          <w:iCs/>
        </w:rPr>
      </w:pPr>
      <w:r w:rsidRPr="009E06AA">
        <w:t>Uncertainties</w:t>
      </w:r>
    </w:p>
    <w:p w14:paraId="433A86BC" w14:textId="77777777" w:rsidR="001608E9" w:rsidRPr="009E06AA" w:rsidRDefault="001608E9" w:rsidP="001608E9">
      <w:pPr>
        <w:pStyle w:val="BodyText"/>
      </w:pPr>
      <w:r w:rsidRPr="009E06AA">
        <w:t>IPCC default uncertainties have been used for activity data (see table 4.4.2). For the CO</w:t>
      </w:r>
      <w:r w:rsidRPr="009E06AA">
        <w:rPr>
          <w:vertAlign w:val="subscript"/>
        </w:rPr>
        <w:t>2</w:t>
      </w:r>
      <w:r w:rsidRPr="009E06AA">
        <w:t xml:space="preserve"> emission factors in the </w:t>
      </w:r>
      <w:r w:rsidRPr="009E06AA">
        <w:rPr>
          <w:i/>
        </w:rPr>
        <w:t>Iron and steel production</w:t>
      </w:r>
      <w:r w:rsidRPr="009E06AA">
        <w:t xml:space="preserve"> category, an uncertainty of ±7 per cent was assessed to reflect some uncertainty in the carbon content of the product. An uncertainty of ±30 per cent was assessed for PFCs reflecting the use of Tier 1 methods for the first three years. The uncertainties for indirect gases were assessed on a site-specific basis at the time the data were collected (CRL Energy, </w:t>
      </w:r>
      <w:r w:rsidRPr="009E06AA">
        <w:rPr>
          <w:rFonts w:eastAsia="+mn-ea"/>
        </w:rPr>
        <w:t>unpublished(a)</w:t>
      </w:r>
      <w:r w:rsidRPr="009E06AA">
        <w:t>). For magnesium casting, the uncertainty of ±100 per cent represents the very approximate activity data (SF</w:t>
      </w:r>
      <w:r w:rsidRPr="009E06AA">
        <w:rPr>
          <w:vertAlign w:val="subscript"/>
        </w:rPr>
        <w:t>6</w:t>
      </w:r>
      <w:r w:rsidRPr="009E06AA">
        <w:t xml:space="preserve"> usage) available. This activity was already historical when the data were collected. </w:t>
      </w:r>
    </w:p>
    <w:p w14:paraId="374FA9CC" w14:textId="77777777" w:rsidR="001608E9" w:rsidRPr="009E06AA" w:rsidRDefault="001608E9" w:rsidP="001608E9">
      <w:pPr>
        <w:pStyle w:val="Table"/>
      </w:pPr>
      <w:bookmarkStart w:id="592" w:name="_Toc451176071"/>
      <w:bookmarkStart w:id="593" w:name="_Toc5269461"/>
      <w:bookmarkStart w:id="594" w:name="_Toc36224534"/>
      <w:bookmarkStart w:id="595" w:name="_Toc68786421"/>
      <w:bookmarkStart w:id="596" w:name="_Toc128042754"/>
      <w:bookmarkStart w:id="597" w:name="_Toc131591334"/>
      <w:bookmarkStart w:id="598" w:name="_Toc158647422"/>
      <w:bookmarkStart w:id="599" w:name="_Toc164153820"/>
      <w:r w:rsidRPr="009E06AA">
        <w:t>Table 4.4.2</w:t>
      </w:r>
      <w:r w:rsidRPr="009E06AA">
        <w:tab/>
        <w:t>Uncertainty in emissions from the metal industry</w:t>
      </w:r>
      <w:bookmarkEnd w:id="592"/>
      <w:bookmarkEnd w:id="593"/>
      <w:bookmarkEnd w:id="594"/>
      <w:bookmarkEnd w:id="595"/>
      <w:bookmarkEnd w:id="596"/>
      <w:bookmarkEnd w:id="597"/>
      <w:bookmarkEnd w:id="598"/>
      <w:bookmarkEnd w:id="599"/>
    </w:p>
    <w:tbl>
      <w:tblPr>
        <w:tblW w:w="8505" w:type="dxa"/>
        <w:tblBorders>
          <w:top w:val="single" w:sz="4" w:space="0" w:color="1B556B"/>
          <w:bottom w:val="single" w:sz="4" w:space="0" w:color="1B556B"/>
          <w:insideH w:val="single" w:sz="4" w:space="0" w:color="1B556B"/>
        </w:tblBorders>
        <w:tblLook w:val="04A0" w:firstRow="1" w:lastRow="0" w:firstColumn="1" w:lastColumn="0" w:noHBand="0" w:noVBand="1"/>
      </w:tblPr>
      <w:tblGrid>
        <w:gridCol w:w="2420"/>
        <w:gridCol w:w="2956"/>
        <w:gridCol w:w="3129"/>
      </w:tblGrid>
      <w:tr w:rsidR="001608E9" w:rsidRPr="009E06AA" w14:paraId="250C5B5A" w14:textId="77777777" w:rsidTr="00B55F24">
        <w:tc>
          <w:tcPr>
            <w:tcW w:w="2435" w:type="dxa"/>
            <w:shd w:val="clear" w:color="auto" w:fill="1B556B"/>
            <w:hideMark/>
          </w:tcPr>
          <w:p w14:paraId="0631C63D" w14:textId="77777777" w:rsidR="001608E9" w:rsidRPr="009E06AA" w:rsidRDefault="001608E9" w:rsidP="00B55F24">
            <w:pPr>
              <w:pStyle w:val="TableTextBold"/>
              <w:keepNext/>
              <w:spacing w:before="50" w:after="50"/>
              <w:rPr>
                <w:noProof w:val="0"/>
                <w:color w:val="FFFFFF"/>
              </w:rPr>
            </w:pPr>
            <w:r w:rsidRPr="009E06AA">
              <w:rPr>
                <w:noProof w:val="0"/>
                <w:color w:val="FFFFFF"/>
              </w:rPr>
              <w:t>Category</w:t>
            </w:r>
          </w:p>
        </w:tc>
        <w:tc>
          <w:tcPr>
            <w:tcW w:w="2976" w:type="dxa"/>
            <w:shd w:val="clear" w:color="auto" w:fill="1B556B"/>
            <w:hideMark/>
          </w:tcPr>
          <w:p w14:paraId="3E8EBE71" w14:textId="77777777" w:rsidR="001608E9" w:rsidRPr="009E06AA" w:rsidRDefault="001608E9" w:rsidP="00937A43">
            <w:pPr>
              <w:pStyle w:val="TableTextBold"/>
              <w:keepNext/>
              <w:spacing w:before="50" w:after="50"/>
              <w:jc w:val="right"/>
              <w:rPr>
                <w:noProof w:val="0"/>
                <w:color w:val="FFFFFF"/>
              </w:rPr>
            </w:pPr>
            <w:r w:rsidRPr="009E06AA">
              <w:rPr>
                <w:noProof w:val="0"/>
                <w:color w:val="FFFFFF"/>
              </w:rPr>
              <w:t>Uncertainty in activity data (%)</w:t>
            </w:r>
          </w:p>
        </w:tc>
        <w:tc>
          <w:tcPr>
            <w:tcW w:w="3151" w:type="dxa"/>
            <w:shd w:val="clear" w:color="auto" w:fill="1B556B"/>
            <w:hideMark/>
          </w:tcPr>
          <w:p w14:paraId="052CDC4E" w14:textId="77777777" w:rsidR="001608E9" w:rsidRPr="009E06AA" w:rsidRDefault="001608E9" w:rsidP="00937A43">
            <w:pPr>
              <w:pStyle w:val="TableTextBold"/>
              <w:keepNext/>
              <w:spacing w:before="50" w:after="50"/>
              <w:jc w:val="right"/>
              <w:rPr>
                <w:noProof w:val="0"/>
                <w:color w:val="FFFFFF"/>
              </w:rPr>
            </w:pPr>
            <w:r w:rsidRPr="009E06AA">
              <w:rPr>
                <w:noProof w:val="0"/>
                <w:color w:val="FFFFFF"/>
              </w:rPr>
              <w:t>Uncertainty in emission factors (%)</w:t>
            </w:r>
          </w:p>
        </w:tc>
      </w:tr>
      <w:tr w:rsidR="001608E9" w:rsidRPr="009E06AA" w14:paraId="323FB67D" w14:textId="77777777" w:rsidTr="00B55F24">
        <w:tc>
          <w:tcPr>
            <w:tcW w:w="2435" w:type="dxa"/>
            <w:shd w:val="clear" w:color="auto" w:fill="FFFFFF" w:themeFill="background1"/>
            <w:hideMark/>
          </w:tcPr>
          <w:p w14:paraId="66195C51" w14:textId="77777777" w:rsidR="001608E9" w:rsidRPr="009E06AA" w:rsidRDefault="001608E9" w:rsidP="00B55F24">
            <w:pPr>
              <w:pStyle w:val="TableText"/>
              <w:keepNext/>
              <w:spacing w:before="50" w:after="50"/>
            </w:pPr>
            <w:r w:rsidRPr="009E06AA">
              <w:t>Iron and steel (CO</w:t>
            </w:r>
            <w:r w:rsidRPr="009E06AA">
              <w:rPr>
                <w:vertAlign w:val="subscript"/>
              </w:rPr>
              <w:t>2</w:t>
            </w:r>
            <w:r w:rsidRPr="009E06AA">
              <w:t>)</w:t>
            </w:r>
          </w:p>
        </w:tc>
        <w:tc>
          <w:tcPr>
            <w:tcW w:w="2976" w:type="dxa"/>
            <w:shd w:val="clear" w:color="auto" w:fill="FFFFFF" w:themeFill="background1"/>
            <w:hideMark/>
          </w:tcPr>
          <w:p w14:paraId="75F77A58" w14:textId="77777777" w:rsidR="001608E9" w:rsidRPr="009E06AA" w:rsidRDefault="001608E9" w:rsidP="00937A43">
            <w:pPr>
              <w:pStyle w:val="TableText"/>
              <w:spacing w:before="50" w:after="50"/>
              <w:jc w:val="right"/>
            </w:pPr>
            <w:r w:rsidRPr="009E06AA">
              <w:t>±5</w:t>
            </w:r>
          </w:p>
        </w:tc>
        <w:tc>
          <w:tcPr>
            <w:tcW w:w="3151" w:type="dxa"/>
            <w:shd w:val="clear" w:color="auto" w:fill="FFFFFF" w:themeFill="background1"/>
            <w:hideMark/>
          </w:tcPr>
          <w:p w14:paraId="321D89E4" w14:textId="77777777" w:rsidR="001608E9" w:rsidRPr="009E06AA" w:rsidRDefault="001608E9" w:rsidP="00937A43">
            <w:pPr>
              <w:pStyle w:val="TableText"/>
              <w:spacing w:before="50" w:after="50"/>
              <w:jc w:val="right"/>
            </w:pPr>
            <w:r w:rsidRPr="009E06AA">
              <w:t>±7</w:t>
            </w:r>
          </w:p>
        </w:tc>
      </w:tr>
      <w:tr w:rsidR="001608E9" w:rsidRPr="009E06AA" w14:paraId="429461D7" w14:textId="77777777" w:rsidTr="00B55F24">
        <w:tc>
          <w:tcPr>
            <w:tcW w:w="2435" w:type="dxa"/>
            <w:shd w:val="clear" w:color="auto" w:fill="FFFFFF" w:themeFill="background1"/>
            <w:hideMark/>
          </w:tcPr>
          <w:p w14:paraId="514897E6" w14:textId="77777777" w:rsidR="001608E9" w:rsidRPr="009E06AA" w:rsidRDefault="001608E9" w:rsidP="00B55F24">
            <w:pPr>
              <w:pStyle w:val="TableText"/>
              <w:keepNext/>
              <w:spacing w:before="50" w:after="50"/>
            </w:pPr>
            <w:r w:rsidRPr="009E06AA">
              <w:t>Iron and steel (CO)</w:t>
            </w:r>
          </w:p>
        </w:tc>
        <w:tc>
          <w:tcPr>
            <w:tcW w:w="2976" w:type="dxa"/>
            <w:shd w:val="clear" w:color="auto" w:fill="FFFFFF" w:themeFill="background1"/>
            <w:hideMark/>
          </w:tcPr>
          <w:p w14:paraId="68F83F20" w14:textId="77777777" w:rsidR="001608E9" w:rsidRPr="009E06AA" w:rsidRDefault="001608E9" w:rsidP="00937A43">
            <w:pPr>
              <w:pStyle w:val="TableText"/>
              <w:spacing w:before="50" w:after="50"/>
              <w:jc w:val="right"/>
            </w:pPr>
            <w:r w:rsidRPr="009E06AA">
              <w:t>±5</w:t>
            </w:r>
          </w:p>
        </w:tc>
        <w:tc>
          <w:tcPr>
            <w:tcW w:w="3151" w:type="dxa"/>
            <w:shd w:val="clear" w:color="auto" w:fill="FFFFFF" w:themeFill="background1"/>
            <w:hideMark/>
          </w:tcPr>
          <w:p w14:paraId="169A9009" w14:textId="77777777" w:rsidR="001608E9" w:rsidRPr="009E06AA" w:rsidRDefault="001608E9" w:rsidP="00937A43">
            <w:pPr>
              <w:pStyle w:val="TableText"/>
              <w:spacing w:before="50" w:after="50"/>
              <w:jc w:val="right"/>
            </w:pPr>
            <w:r w:rsidRPr="009E06AA">
              <w:t>±30</w:t>
            </w:r>
          </w:p>
        </w:tc>
      </w:tr>
      <w:tr w:rsidR="001608E9" w:rsidRPr="009E06AA" w14:paraId="4EDE14B9" w14:textId="77777777" w:rsidTr="00B55F24">
        <w:tc>
          <w:tcPr>
            <w:tcW w:w="2435" w:type="dxa"/>
            <w:shd w:val="clear" w:color="auto" w:fill="FFFFFF" w:themeFill="background1"/>
            <w:hideMark/>
          </w:tcPr>
          <w:p w14:paraId="517A5443" w14:textId="77777777" w:rsidR="001608E9" w:rsidRPr="009E06AA" w:rsidRDefault="001608E9" w:rsidP="00B55F24">
            <w:pPr>
              <w:pStyle w:val="TableText"/>
              <w:spacing w:before="50" w:after="50"/>
            </w:pPr>
            <w:r w:rsidRPr="009E06AA">
              <w:t>Iron and steel (NO</w:t>
            </w:r>
            <w:r w:rsidRPr="009E06AA">
              <w:rPr>
                <w:vertAlign w:val="subscript"/>
              </w:rPr>
              <w:t>x</w:t>
            </w:r>
            <w:r w:rsidRPr="009E06AA">
              <w:t>)</w:t>
            </w:r>
          </w:p>
        </w:tc>
        <w:tc>
          <w:tcPr>
            <w:tcW w:w="2976" w:type="dxa"/>
            <w:shd w:val="clear" w:color="auto" w:fill="FFFFFF" w:themeFill="background1"/>
            <w:hideMark/>
          </w:tcPr>
          <w:p w14:paraId="5CFF8267" w14:textId="77777777" w:rsidR="001608E9" w:rsidRPr="009E06AA" w:rsidRDefault="001608E9" w:rsidP="00937A43">
            <w:pPr>
              <w:pStyle w:val="TableText"/>
              <w:spacing w:before="50" w:after="50"/>
              <w:jc w:val="right"/>
            </w:pPr>
            <w:r w:rsidRPr="009E06AA">
              <w:t>±5</w:t>
            </w:r>
          </w:p>
        </w:tc>
        <w:tc>
          <w:tcPr>
            <w:tcW w:w="3151" w:type="dxa"/>
            <w:shd w:val="clear" w:color="auto" w:fill="FFFFFF" w:themeFill="background1"/>
            <w:hideMark/>
          </w:tcPr>
          <w:p w14:paraId="513A911E" w14:textId="77777777" w:rsidR="001608E9" w:rsidRPr="009E06AA" w:rsidRDefault="001608E9" w:rsidP="00937A43">
            <w:pPr>
              <w:pStyle w:val="TableText"/>
              <w:spacing w:before="50" w:after="50"/>
              <w:jc w:val="right"/>
            </w:pPr>
            <w:r w:rsidRPr="009E06AA">
              <w:t>±70</w:t>
            </w:r>
          </w:p>
        </w:tc>
      </w:tr>
      <w:tr w:rsidR="001608E9" w:rsidRPr="009E06AA" w14:paraId="53AE4ACC" w14:textId="77777777" w:rsidTr="00B55F24">
        <w:tc>
          <w:tcPr>
            <w:tcW w:w="2435" w:type="dxa"/>
            <w:shd w:val="clear" w:color="auto" w:fill="FFFFFF" w:themeFill="background1"/>
            <w:hideMark/>
          </w:tcPr>
          <w:p w14:paraId="38CDDB78" w14:textId="77777777" w:rsidR="001608E9" w:rsidRPr="009E06AA" w:rsidRDefault="001608E9" w:rsidP="00B55F24">
            <w:pPr>
              <w:pStyle w:val="TableText"/>
              <w:spacing w:before="50" w:after="50"/>
            </w:pPr>
            <w:r w:rsidRPr="009E06AA">
              <w:t>Aluminium (CO</w:t>
            </w:r>
            <w:r w:rsidRPr="009E06AA">
              <w:rPr>
                <w:vertAlign w:val="subscript"/>
              </w:rPr>
              <w:t>2</w:t>
            </w:r>
            <w:r w:rsidRPr="009E06AA">
              <w:t>)</w:t>
            </w:r>
          </w:p>
        </w:tc>
        <w:tc>
          <w:tcPr>
            <w:tcW w:w="2976" w:type="dxa"/>
            <w:shd w:val="clear" w:color="auto" w:fill="FFFFFF" w:themeFill="background1"/>
            <w:hideMark/>
          </w:tcPr>
          <w:p w14:paraId="4C695167" w14:textId="77777777" w:rsidR="001608E9" w:rsidRPr="009E06AA" w:rsidRDefault="001608E9" w:rsidP="00937A43">
            <w:pPr>
              <w:pStyle w:val="TableText"/>
              <w:spacing w:before="50" w:after="50"/>
              <w:jc w:val="right"/>
            </w:pPr>
            <w:r w:rsidRPr="009E06AA">
              <w:t>±5</w:t>
            </w:r>
          </w:p>
        </w:tc>
        <w:tc>
          <w:tcPr>
            <w:tcW w:w="3151" w:type="dxa"/>
            <w:shd w:val="clear" w:color="auto" w:fill="FFFFFF" w:themeFill="background1"/>
            <w:hideMark/>
          </w:tcPr>
          <w:p w14:paraId="7F64A8D7" w14:textId="77777777" w:rsidR="001608E9" w:rsidRPr="009E06AA" w:rsidRDefault="001608E9" w:rsidP="00937A43">
            <w:pPr>
              <w:pStyle w:val="TableText"/>
              <w:spacing w:before="50" w:after="50"/>
              <w:jc w:val="right"/>
            </w:pPr>
            <w:r w:rsidRPr="009E06AA">
              <w:t>±2</w:t>
            </w:r>
          </w:p>
        </w:tc>
      </w:tr>
      <w:tr w:rsidR="001608E9" w:rsidRPr="009E06AA" w14:paraId="4A18B00E" w14:textId="77777777" w:rsidTr="00B55F24">
        <w:tc>
          <w:tcPr>
            <w:tcW w:w="2435" w:type="dxa"/>
            <w:shd w:val="clear" w:color="auto" w:fill="FFFFFF" w:themeFill="background1"/>
            <w:hideMark/>
          </w:tcPr>
          <w:p w14:paraId="60785657" w14:textId="77777777" w:rsidR="001608E9" w:rsidRPr="009E06AA" w:rsidRDefault="001608E9" w:rsidP="00B55F24">
            <w:pPr>
              <w:pStyle w:val="TableText"/>
              <w:spacing w:before="50" w:after="50"/>
            </w:pPr>
            <w:r w:rsidRPr="009E06AA">
              <w:t>Aluminium (PFCs)</w:t>
            </w:r>
          </w:p>
        </w:tc>
        <w:tc>
          <w:tcPr>
            <w:tcW w:w="2976" w:type="dxa"/>
            <w:shd w:val="clear" w:color="auto" w:fill="FFFFFF" w:themeFill="background1"/>
            <w:hideMark/>
          </w:tcPr>
          <w:p w14:paraId="03952678" w14:textId="77777777" w:rsidR="001608E9" w:rsidRPr="009E06AA" w:rsidRDefault="001608E9" w:rsidP="00937A43">
            <w:pPr>
              <w:pStyle w:val="TableText"/>
              <w:spacing w:before="50" w:after="50"/>
              <w:jc w:val="right"/>
            </w:pPr>
            <w:r w:rsidRPr="009E06AA">
              <w:t>±5</w:t>
            </w:r>
          </w:p>
        </w:tc>
        <w:tc>
          <w:tcPr>
            <w:tcW w:w="3151" w:type="dxa"/>
            <w:shd w:val="clear" w:color="auto" w:fill="FFFFFF" w:themeFill="background1"/>
            <w:hideMark/>
          </w:tcPr>
          <w:p w14:paraId="0BF17B6D" w14:textId="77777777" w:rsidR="001608E9" w:rsidRPr="009E06AA" w:rsidRDefault="001608E9" w:rsidP="00937A43">
            <w:pPr>
              <w:pStyle w:val="TableText"/>
              <w:spacing w:before="50" w:after="50"/>
              <w:jc w:val="right"/>
            </w:pPr>
            <w:r w:rsidRPr="009E06AA">
              <w:t>±30</w:t>
            </w:r>
          </w:p>
        </w:tc>
      </w:tr>
      <w:tr w:rsidR="001608E9" w:rsidRPr="009E06AA" w14:paraId="1F3836BB" w14:textId="77777777" w:rsidTr="00B55F24">
        <w:tc>
          <w:tcPr>
            <w:tcW w:w="2435" w:type="dxa"/>
            <w:shd w:val="clear" w:color="auto" w:fill="FFFFFF" w:themeFill="background1"/>
            <w:hideMark/>
          </w:tcPr>
          <w:p w14:paraId="3026F06A" w14:textId="77777777" w:rsidR="001608E9" w:rsidRPr="009E06AA" w:rsidRDefault="001608E9" w:rsidP="00B55F24">
            <w:pPr>
              <w:pStyle w:val="TableText"/>
              <w:spacing w:before="50" w:after="50"/>
            </w:pPr>
            <w:r w:rsidRPr="009E06AA">
              <w:t>Aluminium (SO</w:t>
            </w:r>
            <w:r w:rsidRPr="009E06AA">
              <w:rPr>
                <w:vertAlign w:val="subscript"/>
              </w:rPr>
              <w:t>2</w:t>
            </w:r>
            <w:r w:rsidRPr="009E06AA">
              <w:t>)</w:t>
            </w:r>
          </w:p>
        </w:tc>
        <w:tc>
          <w:tcPr>
            <w:tcW w:w="2976" w:type="dxa"/>
            <w:shd w:val="clear" w:color="auto" w:fill="FFFFFF" w:themeFill="background1"/>
            <w:hideMark/>
          </w:tcPr>
          <w:p w14:paraId="60E1D87D" w14:textId="77777777" w:rsidR="001608E9" w:rsidRPr="009E06AA" w:rsidRDefault="001608E9" w:rsidP="00937A43">
            <w:pPr>
              <w:pStyle w:val="TableText"/>
              <w:spacing w:before="50" w:after="50"/>
              <w:jc w:val="right"/>
            </w:pPr>
            <w:r w:rsidRPr="009E06AA">
              <w:t>±5</w:t>
            </w:r>
          </w:p>
        </w:tc>
        <w:tc>
          <w:tcPr>
            <w:tcW w:w="3151" w:type="dxa"/>
            <w:shd w:val="clear" w:color="auto" w:fill="FFFFFF" w:themeFill="background1"/>
            <w:hideMark/>
          </w:tcPr>
          <w:p w14:paraId="533B2646" w14:textId="77777777" w:rsidR="001608E9" w:rsidRPr="009E06AA" w:rsidRDefault="001608E9" w:rsidP="00937A43">
            <w:pPr>
              <w:pStyle w:val="TableText"/>
              <w:spacing w:before="50" w:after="50"/>
              <w:jc w:val="right"/>
            </w:pPr>
            <w:r w:rsidRPr="009E06AA">
              <w:t>±5</w:t>
            </w:r>
          </w:p>
        </w:tc>
      </w:tr>
      <w:tr w:rsidR="001608E9" w:rsidRPr="009E06AA" w14:paraId="7FAD8401" w14:textId="77777777" w:rsidTr="00B55F24">
        <w:tc>
          <w:tcPr>
            <w:tcW w:w="2435" w:type="dxa"/>
            <w:shd w:val="clear" w:color="auto" w:fill="FFFFFF" w:themeFill="background1"/>
            <w:hideMark/>
          </w:tcPr>
          <w:p w14:paraId="4A985B9B" w14:textId="77777777" w:rsidR="001608E9" w:rsidRPr="009E06AA" w:rsidRDefault="001608E9" w:rsidP="00B55F24">
            <w:pPr>
              <w:pStyle w:val="TableText"/>
              <w:spacing w:before="50" w:after="50"/>
            </w:pPr>
            <w:r w:rsidRPr="009E06AA">
              <w:t>Aluminium (CO)</w:t>
            </w:r>
          </w:p>
        </w:tc>
        <w:tc>
          <w:tcPr>
            <w:tcW w:w="2976" w:type="dxa"/>
            <w:shd w:val="clear" w:color="auto" w:fill="FFFFFF" w:themeFill="background1"/>
            <w:hideMark/>
          </w:tcPr>
          <w:p w14:paraId="51FF2193" w14:textId="77777777" w:rsidR="001608E9" w:rsidRPr="009E06AA" w:rsidRDefault="001608E9" w:rsidP="00937A43">
            <w:pPr>
              <w:pStyle w:val="TableText"/>
              <w:spacing w:before="50" w:after="50"/>
              <w:jc w:val="right"/>
            </w:pPr>
            <w:r w:rsidRPr="009E06AA">
              <w:t>±5</w:t>
            </w:r>
          </w:p>
        </w:tc>
        <w:tc>
          <w:tcPr>
            <w:tcW w:w="3151" w:type="dxa"/>
            <w:shd w:val="clear" w:color="auto" w:fill="FFFFFF" w:themeFill="background1"/>
            <w:hideMark/>
          </w:tcPr>
          <w:p w14:paraId="43B7DD31" w14:textId="77777777" w:rsidR="001608E9" w:rsidRPr="009E06AA" w:rsidRDefault="001608E9" w:rsidP="00937A43">
            <w:pPr>
              <w:pStyle w:val="TableText"/>
              <w:spacing w:before="50" w:after="50"/>
              <w:jc w:val="right"/>
            </w:pPr>
            <w:r w:rsidRPr="009E06AA">
              <w:t>±40</w:t>
            </w:r>
          </w:p>
        </w:tc>
      </w:tr>
      <w:tr w:rsidR="001608E9" w:rsidRPr="009E06AA" w14:paraId="5A9CFD9A" w14:textId="77777777" w:rsidTr="00B55F24">
        <w:tc>
          <w:tcPr>
            <w:tcW w:w="2435" w:type="dxa"/>
            <w:shd w:val="clear" w:color="auto" w:fill="FFFFFF" w:themeFill="background1"/>
            <w:hideMark/>
          </w:tcPr>
          <w:p w14:paraId="3EAE0716" w14:textId="77777777" w:rsidR="001608E9" w:rsidRPr="009E06AA" w:rsidRDefault="001608E9" w:rsidP="00B55F24">
            <w:pPr>
              <w:pStyle w:val="TableText"/>
              <w:spacing w:before="50" w:after="50"/>
            </w:pPr>
            <w:r w:rsidRPr="009E06AA">
              <w:t>Aluminium (NO</w:t>
            </w:r>
            <w:r w:rsidRPr="009E06AA">
              <w:rPr>
                <w:vertAlign w:val="subscript"/>
              </w:rPr>
              <w:t>x</w:t>
            </w:r>
            <w:r w:rsidRPr="009E06AA">
              <w:t>)</w:t>
            </w:r>
          </w:p>
        </w:tc>
        <w:tc>
          <w:tcPr>
            <w:tcW w:w="2976" w:type="dxa"/>
            <w:shd w:val="clear" w:color="auto" w:fill="FFFFFF" w:themeFill="background1"/>
            <w:hideMark/>
          </w:tcPr>
          <w:p w14:paraId="3552A00C" w14:textId="77777777" w:rsidR="001608E9" w:rsidRPr="009E06AA" w:rsidRDefault="001608E9" w:rsidP="00937A43">
            <w:pPr>
              <w:pStyle w:val="TableText"/>
              <w:spacing w:before="50" w:after="50"/>
              <w:jc w:val="right"/>
            </w:pPr>
            <w:r w:rsidRPr="009E06AA">
              <w:t>±5</w:t>
            </w:r>
          </w:p>
        </w:tc>
        <w:tc>
          <w:tcPr>
            <w:tcW w:w="3151" w:type="dxa"/>
            <w:shd w:val="clear" w:color="auto" w:fill="FFFFFF" w:themeFill="background1"/>
            <w:hideMark/>
          </w:tcPr>
          <w:p w14:paraId="3DD2CA05" w14:textId="77777777" w:rsidR="001608E9" w:rsidRPr="009E06AA" w:rsidRDefault="001608E9" w:rsidP="00937A43">
            <w:pPr>
              <w:pStyle w:val="TableText"/>
              <w:spacing w:before="50" w:after="50"/>
              <w:jc w:val="right"/>
            </w:pPr>
            <w:r w:rsidRPr="009E06AA">
              <w:t>±50</w:t>
            </w:r>
          </w:p>
        </w:tc>
      </w:tr>
      <w:tr w:rsidR="001608E9" w:rsidRPr="009E06AA" w14:paraId="79143A72" w14:textId="77777777" w:rsidTr="00B55F24">
        <w:tc>
          <w:tcPr>
            <w:tcW w:w="2435" w:type="dxa"/>
            <w:shd w:val="clear" w:color="auto" w:fill="FFFFFF" w:themeFill="background1"/>
            <w:hideMark/>
          </w:tcPr>
          <w:p w14:paraId="53B9EA57" w14:textId="77777777" w:rsidR="001608E9" w:rsidRPr="009E06AA" w:rsidRDefault="001608E9" w:rsidP="00B55F24">
            <w:pPr>
              <w:pStyle w:val="TableText"/>
              <w:spacing w:before="50" w:after="50"/>
            </w:pPr>
            <w:r w:rsidRPr="009E06AA">
              <w:t>Magnesium (SF</w:t>
            </w:r>
            <w:r w:rsidRPr="009E06AA">
              <w:rPr>
                <w:vertAlign w:val="subscript"/>
              </w:rPr>
              <w:t>6</w:t>
            </w:r>
            <w:r w:rsidRPr="009E06AA">
              <w:t>)</w:t>
            </w:r>
          </w:p>
        </w:tc>
        <w:tc>
          <w:tcPr>
            <w:tcW w:w="2976" w:type="dxa"/>
            <w:shd w:val="clear" w:color="auto" w:fill="FFFFFF" w:themeFill="background1"/>
            <w:hideMark/>
          </w:tcPr>
          <w:p w14:paraId="1E5FECF1" w14:textId="77777777" w:rsidR="001608E9" w:rsidRPr="009E06AA" w:rsidRDefault="001608E9" w:rsidP="00937A43">
            <w:pPr>
              <w:pStyle w:val="TableText"/>
              <w:spacing w:before="50" w:after="50"/>
              <w:jc w:val="right"/>
            </w:pPr>
            <w:r w:rsidRPr="009E06AA">
              <w:t>±100</w:t>
            </w:r>
          </w:p>
        </w:tc>
        <w:tc>
          <w:tcPr>
            <w:tcW w:w="3151" w:type="dxa"/>
            <w:shd w:val="clear" w:color="auto" w:fill="FFFFFF" w:themeFill="background1"/>
            <w:hideMark/>
          </w:tcPr>
          <w:p w14:paraId="61118B27" w14:textId="77777777" w:rsidR="001608E9" w:rsidRPr="009E06AA" w:rsidRDefault="001608E9" w:rsidP="00937A43">
            <w:pPr>
              <w:pStyle w:val="TableText"/>
              <w:spacing w:before="50" w:after="50"/>
              <w:jc w:val="right"/>
            </w:pPr>
            <w:r w:rsidRPr="009E06AA">
              <w:t>±30</w:t>
            </w:r>
          </w:p>
        </w:tc>
      </w:tr>
      <w:tr w:rsidR="001608E9" w:rsidRPr="009E06AA" w14:paraId="2DF21FD3" w14:textId="77777777" w:rsidTr="00B55F24">
        <w:tc>
          <w:tcPr>
            <w:tcW w:w="2435" w:type="dxa"/>
            <w:shd w:val="clear" w:color="auto" w:fill="FFFFFF" w:themeFill="background1"/>
            <w:hideMark/>
          </w:tcPr>
          <w:p w14:paraId="18131B1B" w14:textId="77777777" w:rsidR="001608E9" w:rsidRPr="009E06AA" w:rsidRDefault="001608E9" w:rsidP="00B55F24">
            <w:pPr>
              <w:pStyle w:val="TableText"/>
              <w:spacing w:before="50" w:after="50"/>
            </w:pPr>
            <w:r w:rsidRPr="009E06AA">
              <w:t>Lead (CO</w:t>
            </w:r>
            <w:r w:rsidRPr="009E06AA">
              <w:rPr>
                <w:vertAlign w:val="subscript"/>
              </w:rPr>
              <w:t>2</w:t>
            </w:r>
            <w:r w:rsidRPr="009E06AA">
              <w:t>)</w:t>
            </w:r>
          </w:p>
        </w:tc>
        <w:tc>
          <w:tcPr>
            <w:tcW w:w="2976" w:type="dxa"/>
            <w:shd w:val="clear" w:color="auto" w:fill="FFFFFF" w:themeFill="background1"/>
            <w:hideMark/>
          </w:tcPr>
          <w:p w14:paraId="30039FAB" w14:textId="77777777" w:rsidR="001608E9" w:rsidRPr="009E06AA" w:rsidRDefault="001608E9" w:rsidP="00937A43">
            <w:pPr>
              <w:pStyle w:val="TableText"/>
              <w:spacing w:before="50" w:after="50"/>
              <w:jc w:val="right"/>
            </w:pPr>
            <w:r w:rsidRPr="009E06AA">
              <w:t>±50</w:t>
            </w:r>
          </w:p>
        </w:tc>
        <w:tc>
          <w:tcPr>
            <w:tcW w:w="3151" w:type="dxa"/>
            <w:shd w:val="clear" w:color="auto" w:fill="FFFFFF" w:themeFill="background1"/>
            <w:hideMark/>
          </w:tcPr>
          <w:p w14:paraId="16113A31" w14:textId="77777777" w:rsidR="001608E9" w:rsidRPr="009E06AA" w:rsidRDefault="001608E9" w:rsidP="00937A43">
            <w:pPr>
              <w:pStyle w:val="TableText"/>
              <w:spacing w:before="50" w:after="50"/>
              <w:jc w:val="right"/>
            </w:pPr>
            <w:r w:rsidRPr="009E06AA">
              <w:t>±50</w:t>
            </w:r>
          </w:p>
        </w:tc>
      </w:tr>
    </w:tbl>
    <w:p w14:paraId="3CBBBA11" w14:textId="77777777" w:rsidR="001608E9" w:rsidRPr="009E06AA" w:rsidRDefault="001608E9" w:rsidP="001608E9">
      <w:pPr>
        <w:pStyle w:val="Heading4"/>
        <w:spacing w:before="360"/>
        <w:rPr>
          <w:bCs/>
          <w:iCs/>
        </w:rPr>
      </w:pPr>
      <w:r w:rsidRPr="009E06AA">
        <w:t>Time-series consistency</w:t>
      </w:r>
    </w:p>
    <w:p w14:paraId="08DE04E8" w14:textId="77777777" w:rsidR="001608E9" w:rsidRPr="009E06AA" w:rsidRDefault="001608E9" w:rsidP="001608E9">
      <w:pPr>
        <w:pStyle w:val="BodyText"/>
        <w:spacing w:before="100" w:after="100"/>
      </w:pPr>
      <w:r w:rsidRPr="009E06AA">
        <w:t>The implied emission factors for PFC emissions from aluminium production fluctuated over the time series between 1990 and 1998. The introduction of monitoring at the aluminium smelter in 1993 contributed to process and management improvements that reduced the frequency and duration of anode effects. This improvement process continued until about 1998. Since that time emissions have been lower and relatively stable, due to the much better control of anode effects (see table 4.4.3).</w:t>
      </w:r>
    </w:p>
    <w:p w14:paraId="486EECE1" w14:textId="77777777" w:rsidR="001608E9" w:rsidRPr="009E06AA" w:rsidRDefault="001608E9" w:rsidP="001608E9">
      <w:pPr>
        <w:pStyle w:val="Table"/>
      </w:pPr>
      <w:bookmarkStart w:id="600" w:name="_Toc451176072"/>
      <w:bookmarkStart w:id="601" w:name="_Toc5269462"/>
      <w:bookmarkStart w:id="602" w:name="_Toc36224535"/>
      <w:bookmarkStart w:id="603" w:name="_Toc68786422"/>
      <w:bookmarkStart w:id="604" w:name="_Toc128042755"/>
      <w:bookmarkStart w:id="605" w:name="_Toc131591335"/>
      <w:bookmarkStart w:id="606" w:name="_Toc158647423"/>
      <w:bookmarkStart w:id="607" w:name="_Toc164153821"/>
      <w:r w:rsidRPr="009E06AA">
        <w:t>Table 4.4.3</w:t>
      </w:r>
      <w:r w:rsidRPr="009E06AA">
        <w:tab/>
        <w:t>Explanation of variations in New Zealand’s aluminium emissions</w:t>
      </w:r>
      <w:bookmarkEnd w:id="600"/>
      <w:bookmarkEnd w:id="601"/>
      <w:bookmarkEnd w:id="602"/>
      <w:bookmarkEnd w:id="603"/>
      <w:bookmarkEnd w:id="604"/>
      <w:bookmarkEnd w:id="605"/>
      <w:bookmarkEnd w:id="606"/>
      <w:bookmarkEnd w:id="607"/>
      <w:r w:rsidRPr="009E06AA">
        <w:t xml:space="preserve"> </w:t>
      </w:r>
    </w:p>
    <w:tbl>
      <w:tblPr>
        <w:tblW w:w="8505" w:type="dxa"/>
        <w:tblLayout w:type="fixed"/>
        <w:tblLook w:val="04A0" w:firstRow="1" w:lastRow="0" w:firstColumn="1" w:lastColumn="0" w:noHBand="0" w:noVBand="1"/>
      </w:tblPr>
      <w:tblGrid>
        <w:gridCol w:w="3240"/>
        <w:gridCol w:w="5265"/>
      </w:tblGrid>
      <w:tr w:rsidR="001608E9" w:rsidRPr="009E06AA" w14:paraId="02E6196F" w14:textId="77777777" w:rsidTr="00B55F24">
        <w:trPr>
          <w:tblHeader/>
        </w:trPr>
        <w:tc>
          <w:tcPr>
            <w:tcW w:w="3261" w:type="dxa"/>
            <w:tcBorders>
              <w:top w:val="single" w:sz="4" w:space="0" w:color="1B556B"/>
              <w:left w:val="nil"/>
              <w:bottom w:val="single" w:sz="4" w:space="0" w:color="1B556B"/>
              <w:right w:val="nil"/>
            </w:tcBorders>
            <w:shd w:val="clear" w:color="auto" w:fill="1B556B"/>
            <w:hideMark/>
          </w:tcPr>
          <w:p w14:paraId="62826135" w14:textId="77777777" w:rsidR="001608E9" w:rsidRPr="009E06AA" w:rsidRDefault="001608E9" w:rsidP="00B55F24">
            <w:pPr>
              <w:pStyle w:val="TableTextBold"/>
              <w:keepNext/>
              <w:spacing w:before="50" w:after="50"/>
              <w:rPr>
                <w:noProof w:val="0"/>
                <w:color w:val="FFFFFF"/>
                <w:szCs w:val="16"/>
              </w:rPr>
            </w:pPr>
            <w:r w:rsidRPr="009E06AA">
              <w:rPr>
                <w:noProof w:val="0"/>
                <w:color w:val="FFFFFF"/>
                <w:szCs w:val="16"/>
              </w:rPr>
              <w:t>Variation in emissions</w:t>
            </w:r>
          </w:p>
        </w:tc>
        <w:tc>
          <w:tcPr>
            <w:tcW w:w="5301" w:type="dxa"/>
            <w:tcBorders>
              <w:top w:val="single" w:sz="4" w:space="0" w:color="1B556B"/>
              <w:left w:val="nil"/>
              <w:bottom w:val="single" w:sz="4" w:space="0" w:color="1B556B"/>
              <w:right w:val="nil"/>
            </w:tcBorders>
            <w:shd w:val="clear" w:color="auto" w:fill="1B556B"/>
            <w:hideMark/>
          </w:tcPr>
          <w:p w14:paraId="3ED8168E" w14:textId="77777777" w:rsidR="001608E9" w:rsidRPr="009E06AA" w:rsidRDefault="001608E9" w:rsidP="00B55F24">
            <w:pPr>
              <w:pStyle w:val="TableTextBold"/>
              <w:spacing w:before="50" w:after="50"/>
              <w:rPr>
                <w:noProof w:val="0"/>
                <w:color w:val="FFFFFF"/>
                <w:szCs w:val="16"/>
              </w:rPr>
            </w:pPr>
            <w:r w:rsidRPr="009E06AA">
              <w:rPr>
                <w:noProof w:val="0"/>
                <w:color w:val="FFFFFF"/>
                <w:szCs w:val="16"/>
              </w:rPr>
              <w:t>Reason for variation</w:t>
            </w:r>
          </w:p>
        </w:tc>
      </w:tr>
      <w:tr w:rsidR="001608E9" w:rsidRPr="009E06AA" w14:paraId="28370783" w14:textId="77777777" w:rsidTr="00B55F24">
        <w:tc>
          <w:tcPr>
            <w:tcW w:w="3261" w:type="dxa"/>
            <w:tcBorders>
              <w:top w:val="single" w:sz="4" w:space="0" w:color="1B556B"/>
              <w:left w:val="nil"/>
              <w:bottom w:val="single" w:sz="4" w:space="0" w:color="1B556B"/>
              <w:right w:val="nil"/>
            </w:tcBorders>
            <w:hideMark/>
          </w:tcPr>
          <w:p w14:paraId="506A749D" w14:textId="77777777" w:rsidR="001608E9" w:rsidRPr="009E06AA" w:rsidRDefault="001608E9" w:rsidP="00B55F24">
            <w:pPr>
              <w:pStyle w:val="TableText"/>
              <w:spacing w:before="50" w:after="50"/>
              <w:rPr>
                <w:szCs w:val="16"/>
              </w:rPr>
            </w:pPr>
            <w:r w:rsidRPr="009E06AA">
              <w:rPr>
                <w:szCs w:val="16"/>
              </w:rPr>
              <w:t>Increase in CO</w:t>
            </w:r>
            <w:r w:rsidRPr="009E06AA">
              <w:rPr>
                <w:szCs w:val="16"/>
                <w:vertAlign w:val="subscript"/>
              </w:rPr>
              <w:t>2</w:t>
            </w:r>
            <w:r w:rsidRPr="009E06AA">
              <w:rPr>
                <w:szCs w:val="16"/>
              </w:rPr>
              <w:t xml:space="preserve"> and PFC emissions in 1996</w:t>
            </w:r>
          </w:p>
        </w:tc>
        <w:tc>
          <w:tcPr>
            <w:tcW w:w="5301" w:type="dxa"/>
            <w:tcBorders>
              <w:top w:val="single" w:sz="4" w:space="0" w:color="1B556B"/>
              <w:left w:val="nil"/>
              <w:bottom w:val="single" w:sz="4" w:space="0" w:color="1B556B"/>
              <w:right w:val="nil"/>
            </w:tcBorders>
            <w:hideMark/>
          </w:tcPr>
          <w:p w14:paraId="1F089B35" w14:textId="77777777" w:rsidR="001608E9" w:rsidRPr="009E06AA" w:rsidRDefault="001608E9" w:rsidP="00B55F24">
            <w:pPr>
              <w:pStyle w:val="TableText"/>
              <w:spacing w:before="50" w:after="50"/>
              <w:rPr>
                <w:szCs w:val="16"/>
              </w:rPr>
            </w:pPr>
            <w:r w:rsidRPr="009E06AA">
              <w:rPr>
                <w:szCs w:val="16"/>
              </w:rPr>
              <w:t>Commissioning of Line 4 cells</w:t>
            </w:r>
          </w:p>
        </w:tc>
      </w:tr>
      <w:tr w:rsidR="001608E9" w:rsidRPr="009E06AA" w14:paraId="1B7DCBC9" w14:textId="77777777" w:rsidTr="00B55F24">
        <w:tc>
          <w:tcPr>
            <w:tcW w:w="3261" w:type="dxa"/>
            <w:tcBorders>
              <w:top w:val="single" w:sz="4" w:space="0" w:color="1B556B"/>
              <w:left w:val="nil"/>
              <w:bottom w:val="nil"/>
              <w:right w:val="nil"/>
            </w:tcBorders>
            <w:hideMark/>
          </w:tcPr>
          <w:p w14:paraId="6227FC76" w14:textId="77777777" w:rsidR="001608E9" w:rsidRPr="009E06AA" w:rsidRDefault="001608E9" w:rsidP="00B55F24">
            <w:pPr>
              <w:pStyle w:val="TableText"/>
              <w:spacing w:before="50" w:after="50"/>
              <w:rPr>
                <w:szCs w:val="16"/>
              </w:rPr>
            </w:pPr>
            <w:r w:rsidRPr="009E06AA">
              <w:rPr>
                <w:szCs w:val="16"/>
              </w:rPr>
              <w:t>Decrease in CO</w:t>
            </w:r>
            <w:r w:rsidRPr="009E06AA">
              <w:rPr>
                <w:szCs w:val="16"/>
                <w:vertAlign w:val="subscript"/>
              </w:rPr>
              <w:t xml:space="preserve">2 </w:t>
            </w:r>
            <w:r w:rsidRPr="009E06AA">
              <w:rPr>
                <w:szCs w:val="16"/>
              </w:rPr>
              <w:t>emissions in 1995</w:t>
            </w:r>
          </w:p>
        </w:tc>
        <w:tc>
          <w:tcPr>
            <w:tcW w:w="5301" w:type="dxa"/>
            <w:tcBorders>
              <w:top w:val="single" w:sz="4" w:space="0" w:color="1B556B"/>
              <w:left w:val="nil"/>
              <w:bottom w:val="nil"/>
              <w:right w:val="nil"/>
            </w:tcBorders>
            <w:hideMark/>
          </w:tcPr>
          <w:p w14:paraId="330D2CD6" w14:textId="77777777" w:rsidR="001608E9" w:rsidRPr="009E06AA" w:rsidRDefault="001608E9" w:rsidP="00B55F24">
            <w:pPr>
              <w:pStyle w:val="TableText"/>
              <w:spacing w:before="50" w:after="50"/>
              <w:rPr>
                <w:szCs w:val="16"/>
              </w:rPr>
            </w:pPr>
            <w:r w:rsidRPr="009E06AA">
              <w:rPr>
                <w:szCs w:val="16"/>
              </w:rPr>
              <w:t>Good anode performance, compared with 1994 and 1996</w:t>
            </w:r>
          </w:p>
        </w:tc>
      </w:tr>
      <w:tr w:rsidR="001608E9" w:rsidRPr="009E06AA" w14:paraId="50C5EE49" w14:textId="77777777" w:rsidTr="00B55F24">
        <w:tc>
          <w:tcPr>
            <w:tcW w:w="3261" w:type="dxa"/>
            <w:hideMark/>
          </w:tcPr>
          <w:p w14:paraId="43FFA0C8" w14:textId="77777777" w:rsidR="001608E9" w:rsidRPr="009E06AA" w:rsidRDefault="001608E9" w:rsidP="00B55F24">
            <w:pPr>
              <w:pStyle w:val="TableText"/>
              <w:spacing w:before="50" w:after="50"/>
              <w:rPr>
                <w:szCs w:val="16"/>
              </w:rPr>
            </w:pPr>
            <w:r w:rsidRPr="009E06AA">
              <w:rPr>
                <w:szCs w:val="16"/>
              </w:rPr>
              <w:t>Decrease in CO</w:t>
            </w:r>
            <w:r w:rsidRPr="009E06AA">
              <w:rPr>
                <w:szCs w:val="16"/>
                <w:vertAlign w:val="subscript"/>
              </w:rPr>
              <w:t xml:space="preserve">2 </w:t>
            </w:r>
            <w:r w:rsidRPr="009E06AA">
              <w:rPr>
                <w:szCs w:val="16"/>
              </w:rPr>
              <w:t>emissions in 1998</w:t>
            </w:r>
          </w:p>
        </w:tc>
        <w:tc>
          <w:tcPr>
            <w:tcW w:w="5301" w:type="dxa"/>
            <w:hideMark/>
          </w:tcPr>
          <w:p w14:paraId="40C7EC6D" w14:textId="77777777" w:rsidR="001608E9" w:rsidRPr="009E06AA" w:rsidRDefault="001608E9" w:rsidP="00B55F24">
            <w:pPr>
              <w:pStyle w:val="TableText"/>
              <w:spacing w:before="50" w:after="50"/>
              <w:rPr>
                <w:szCs w:val="16"/>
              </w:rPr>
            </w:pPr>
            <w:r w:rsidRPr="009E06AA">
              <w:rPr>
                <w:szCs w:val="16"/>
              </w:rPr>
              <w:t>Good anode performance</w:t>
            </w:r>
          </w:p>
        </w:tc>
      </w:tr>
      <w:tr w:rsidR="001608E9" w:rsidRPr="009E06AA" w14:paraId="549E3C7E" w14:textId="77777777" w:rsidTr="00B55F24">
        <w:tc>
          <w:tcPr>
            <w:tcW w:w="3261" w:type="dxa"/>
            <w:hideMark/>
          </w:tcPr>
          <w:p w14:paraId="54533472" w14:textId="77777777" w:rsidR="001608E9" w:rsidRPr="009E06AA" w:rsidRDefault="001608E9" w:rsidP="00B55F24">
            <w:pPr>
              <w:pStyle w:val="TableText"/>
              <w:spacing w:before="50" w:after="50"/>
              <w:rPr>
                <w:szCs w:val="16"/>
              </w:rPr>
            </w:pPr>
            <w:r w:rsidRPr="009E06AA">
              <w:rPr>
                <w:szCs w:val="16"/>
              </w:rPr>
              <w:t>Decrease in CO</w:t>
            </w:r>
            <w:r w:rsidRPr="009E06AA">
              <w:rPr>
                <w:szCs w:val="16"/>
                <w:vertAlign w:val="subscript"/>
              </w:rPr>
              <w:t>2</w:t>
            </w:r>
            <w:r w:rsidRPr="009E06AA">
              <w:rPr>
                <w:szCs w:val="16"/>
              </w:rPr>
              <w:t xml:space="preserve"> emissions in 2001, 2003 and 2006</w:t>
            </w:r>
          </w:p>
        </w:tc>
        <w:tc>
          <w:tcPr>
            <w:tcW w:w="5301" w:type="dxa"/>
            <w:hideMark/>
          </w:tcPr>
          <w:p w14:paraId="170FCFA9" w14:textId="77777777" w:rsidR="001608E9" w:rsidRPr="009E06AA" w:rsidRDefault="001608E9" w:rsidP="00B55F24">
            <w:pPr>
              <w:pStyle w:val="TableText"/>
              <w:spacing w:before="50" w:after="50"/>
              <w:rPr>
                <w:szCs w:val="16"/>
              </w:rPr>
            </w:pPr>
            <w:r w:rsidRPr="009E06AA">
              <w:rPr>
                <w:szCs w:val="16"/>
              </w:rPr>
              <w:t>Fewer cells operating from reduced aluminium production due to reduced electricity supply</w:t>
            </w:r>
          </w:p>
        </w:tc>
      </w:tr>
      <w:tr w:rsidR="001608E9" w:rsidRPr="009E06AA" w14:paraId="34B68C0E" w14:textId="77777777" w:rsidTr="00B55F24">
        <w:tc>
          <w:tcPr>
            <w:tcW w:w="3261" w:type="dxa"/>
          </w:tcPr>
          <w:p w14:paraId="55838D28" w14:textId="77777777" w:rsidR="001608E9" w:rsidRPr="009E06AA" w:rsidRDefault="001608E9" w:rsidP="00B55F24">
            <w:pPr>
              <w:pStyle w:val="TableText"/>
              <w:spacing w:before="50" w:after="50"/>
              <w:rPr>
                <w:szCs w:val="16"/>
              </w:rPr>
            </w:pPr>
          </w:p>
        </w:tc>
        <w:tc>
          <w:tcPr>
            <w:tcW w:w="5301" w:type="dxa"/>
            <w:hideMark/>
          </w:tcPr>
          <w:p w14:paraId="32CB1A23" w14:textId="77777777" w:rsidR="001608E9" w:rsidRPr="009E06AA" w:rsidRDefault="001608E9" w:rsidP="00B55F24">
            <w:pPr>
              <w:pStyle w:val="TableText"/>
            </w:pPr>
            <w:r w:rsidRPr="009E06AA">
              <w:t>Good anode performance contributed in 2001</w:t>
            </w:r>
          </w:p>
        </w:tc>
      </w:tr>
      <w:tr w:rsidR="001608E9" w:rsidRPr="009E06AA" w14:paraId="16FD246F" w14:textId="77777777" w:rsidTr="00B55F24">
        <w:tc>
          <w:tcPr>
            <w:tcW w:w="3261" w:type="dxa"/>
            <w:hideMark/>
          </w:tcPr>
          <w:p w14:paraId="5A27B8AC" w14:textId="77777777" w:rsidR="001608E9" w:rsidRPr="009E06AA" w:rsidRDefault="001608E9" w:rsidP="00B55F24">
            <w:pPr>
              <w:pStyle w:val="TableText"/>
              <w:spacing w:before="50" w:after="50"/>
              <w:rPr>
                <w:szCs w:val="16"/>
              </w:rPr>
            </w:pPr>
            <w:r w:rsidRPr="009E06AA">
              <w:rPr>
                <w:szCs w:val="16"/>
              </w:rPr>
              <w:t>Increase in CO</w:t>
            </w:r>
            <w:r w:rsidRPr="009E06AA">
              <w:rPr>
                <w:szCs w:val="16"/>
                <w:vertAlign w:val="subscript"/>
              </w:rPr>
              <w:t xml:space="preserve">2 </w:t>
            </w:r>
            <w:r w:rsidRPr="009E06AA">
              <w:rPr>
                <w:szCs w:val="16"/>
              </w:rPr>
              <w:t>emissions in 1996</w:t>
            </w:r>
          </w:p>
        </w:tc>
        <w:tc>
          <w:tcPr>
            <w:tcW w:w="5301" w:type="dxa"/>
            <w:hideMark/>
          </w:tcPr>
          <w:p w14:paraId="40E4722E" w14:textId="77777777" w:rsidR="001608E9" w:rsidRPr="009E06AA" w:rsidRDefault="001608E9" w:rsidP="00B55F24">
            <w:pPr>
              <w:pStyle w:val="TableText"/>
              <w:spacing w:before="50" w:after="50"/>
              <w:rPr>
                <w:szCs w:val="16"/>
              </w:rPr>
            </w:pPr>
            <w:r w:rsidRPr="009E06AA">
              <w:rPr>
                <w:szCs w:val="16"/>
              </w:rPr>
              <w:t>All cells operating, including introduction of additional cells</w:t>
            </w:r>
          </w:p>
        </w:tc>
      </w:tr>
      <w:tr w:rsidR="001608E9" w:rsidRPr="009E06AA" w14:paraId="639EF333" w14:textId="77777777" w:rsidTr="00B55F24">
        <w:tc>
          <w:tcPr>
            <w:tcW w:w="3261" w:type="dxa"/>
            <w:tcBorders>
              <w:top w:val="nil"/>
              <w:left w:val="nil"/>
              <w:bottom w:val="single" w:sz="4" w:space="0" w:color="1B556B"/>
              <w:right w:val="nil"/>
            </w:tcBorders>
          </w:tcPr>
          <w:p w14:paraId="086B6203" w14:textId="77777777" w:rsidR="001608E9" w:rsidRPr="009E06AA" w:rsidRDefault="001608E9" w:rsidP="00B55F24">
            <w:pPr>
              <w:pStyle w:val="TableText"/>
              <w:spacing w:before="50" w:after="50"/>
              <w:rPr>
                <w:szCs w:val="16"/>
              </w:rPr>
            </w:pPr>
          </w:p>
        </w:tc>
        <w:tc>
          <w:tcPr>
            <w:tcW w:w="5301" w:type="dxa"/>
            <w:tcBorders>
              <w:top w:val="nil"/>
              <w:left w:val="nil"/>
              <w:bottom w:val="single" w:sz="4" w:space="0" w:color="1B556B"/>
              <w:right w:val="nil"/>
            </w:tcBorders>
            <w:hideMark/>
          </w:tcPr>
          <w:p w14:paraId="1A9BBC99" w14:textId="77777777" w:rsidR="001608E9" w:rsidRPr="009E06AA" w:rsidRDefault="001608E9" w:rsidP="00B55F24">
            <w:pPr>
              <w:pStyle w:val="TableText"/>
              <w:spacing w:before="50" w:after="50"/>
              <w:rPr>
                <w:szCs w:val="16"/>
              </w:rPr>
            </w:pPr>
            <w:r w:rsidRPr="009E06AA">
              <w:rPr>
                <w:szCs w:val="16"/>
              </w:rPr>
              <w:t>Increasing aluminium production rate from the cells</w:t>
            </w:r>
          </w:p>
        </w:tc>
      </w:tr>
      <w:tr w:rsidR="001608E9" w:rsidRPr="009E06AA" w14:paraId="174A4586" w14:textId="77777777" w:rsidTr="00B55F24">
        <w:tc>
          <w:tcPr>
            <w:tcW w:w="3261" w:type="dxa"/>
            <w:tcBorders>
              <w:top w:val="single" w:sz="4" w:space="0" w:color="1B556B"/>
              <w:left w:val="nil"/>
              <w:bottom w:val="nil"/>
              <w:right w:val="nil"/>
            </w:tcBorders>
            <w:hideMark/>
          </w:tcPr>
          <w:p w14:paraId="63E4DF84" w14:textId="77777777" w:rsidR="001608E9" w:rsidRPr="009E06AA" w:rsidRDefault="001608E9" w:rsidP="00B55F24">
            <w:pPr>
              <w:pStyle w:val="TableText"/>
              <w:rPr>
                <w:szCs w:val="16"/>
              </w:rPr>
            </w:pPr>
            <w:r w:rsidRPr="009E06AA">
              <w:rPr>
                <w:szCs w:val="16"/>
              </w:rPr>
              <w:t>Decrease in PFC emissions in 1995</w:t>
            </w:r>
          </w:p>
        </w:tc>
        <w:tc>
          <w:tcPr>
            <w:tcW w:w="5301" w:type="dxa"/>
            <w:tcBorders>
              <w:top w:val="single" w:sz="4" w:space="0" w:color="1B556B"/>
              <w:left w:val="nil"/>
              <w:bottom w:val="nil"/>
              <w:right w:val="nil"/>
            </w:tcBorders>
            <w:hideMark/>
          </w:tcPr>
          <w:p w14:paraId="5E5FABAF" w14:textId="77777777" w:rsidR="001608E9" w:rsidRPr="009E06AA" w:rsidRDefault="001608E9" w:rsidP="00B55F24">
            <w:pPr>
              <w:pStyle w:val="TableText"/>
              <w:rPr>
                <w:szCs w:val="16"/>
              </w:rPr>
            </w:pPr>
            <w:r w:rsidRPr="009E06AA">
              <w:rPr>
                <w:szCs w:val="16"/>
              </w:rPr>
              <w:t xml:space="preserve">Reduced anode frequencies </w:t>
            </w:r>
          </w:p>
        </w:tc>
      </w:tr>
      <w:tr w:rsidR="001608E9" w:rsidRPr="009E06AA" w14:paraId="1064EB61" w14:textId="77777777" w:rsidTr="00B55F24">
        <w:tc>
          <w:tcPr>
            <w:tcW w:w="3261" w:type="dxa"/>
          </w:tcPr>
          <w:p w14:paraId="1759DD34" w14:textId="77777777" w:rsidR="001608E9" w:rsidRPr="009E06AA" w:rsidRDefault="001608E9" w:rsidP="00B55F24">
            <w:pPr>
              <w:pStyle w:val="TableText"/>
              <w:rPr>
                <w:szCs w:val="16"/>
              </w:rPr>
            </w:pPr>
          </w:p>
        </w:tc>
        <w:tc>
          <w:tcPr>
            <w:tcW w:w="5301" w:type="dxa"/>
            <w:hideMark/>
          </w:tcPr>
          <w:p w14:paraId="6D87DE38" w14:textId="77777777" w:rsidR="001608E9" w:rsidRPr="009E06AA" w:rsidRDefault="001608E9" w:rsidP="00B55F24">
            <w:pPr>
              <w:pStyle w:val="TableText"/>
              <w:rPr>
                <w:szCs w:val="16"/>
              </w:rPr>
            </w:pPr>
            <w:r w:rsidRPr="009E06AA">
              <w:rPr>
                <w:szCs w:val="16"/>
              </w:rPr>
              <w:t>The implementation of the change control strategy to all reduction cells</w:t>
            </w:r>
          </w:p>
        </w:tc>
      </w:tr>
      <w:tr w:rsidR="001608E9" w:rsidRPr="009E06AA" w14:paraId="6C0BE5DF" w14:textId="77777777" w:rsidTr="00B55F24">
        <w:tc>
          <w:tcPr>
            <w:tcW w:w="3261" w:type="dxa"/>
          </w:tcPr>
          <w:p w14:paraId="0AA6A469" w14:textId="77777777" w:rsidR="001608E9" w:rsidRPr="009E06AA" w:rsidRDefault="001608E9" w:rsidP="00B55F24">
            <w:pPr>
              <w:pStyle w:val="TableText"/>
              <w:rPr>
                <w:szCs w:val="16"/>
              </w:rPr>
            </w:pPr>
          </w:p>
        </w:tc>
        <w:tc>
          <w:tcPr>
            <w:tcW w:w="5301" w:type="dxa"/>
            <w:hideMark/>
          </w:tcPr>
          <w:p w14:paraId="35FDFE27" w14:textId="77777777" w:rsidR="001608E9" w:rsidRPr="009E06AA" w:rsidRDefault="001608E9" w:rsidP="00B55F24">
            <w:pPr>
              <w:pStyle w:val="TableText"/>
              <w:rPr>
                <w:szCs w:val="16"/>
              </w:rPr>
            </w:pPr>
            <w:r w:rsidRPr="009E06AA">
              <w:rPr>
                <w:szCs w:val="16"/>
              </w:rPr>
              <w:t>Repairs made to cells exerting higher frequencies</w:t>
            </w:r>
          </w:p>
        </w:tc>
      </w:tr>
      <w:tr w:rsidR="001608E9" w:rsidRPr="009E06AA" w14:paraId="2FACD292" w14:textId="77777777" w:rsidTr="00B55F24">
        <w:tc>
          <w:tcPr>
            <w:tcW w:w="3261" w:type="dxa"/>
            <w:hideMark/>
          </w:tcPr>
          <w:p w14:paraId="1F7E95B3" w14:textId="77777777" w:rsidR="001608E9" w:rsidRPr="009E06AA" w:rsidRDefault="001608E9" w:rsidP="00B55F24">
            <w:pPr>
              <w:pStyle w:val="TableText"/>
              <w:rPr>
                <w:szCs w:val="16"/>
              </w:rPr>
            </w:pPr>
            <w:r w:rsidRPr="009E06AA">
              <w:rPr>
                <w:szCs w:val="16"/>
              </w:rPr>
              <w:t>PFC emissions remained high in 1997</w:t>
            </w:r>
          </w:p>
        </w:tc>
        <w:tc>
          <w:tcPr>
            <w:tcW w:w="5301" w:type="dxa"/>
            <w:hideMark/>
          </w:tcPr>
          <w:p w14:paraId="5641A6E7" w14:textId="77777777" w:rsidR="001608E9" w:rsidRPr="009E06AA" w:rsidRDefault="001608E9" w:rsidP="00B55F24">
            <w:pPr>
              <w:pStyle w:val="TableText"/>
              <w:rPr>
                <w:szCs w:val="16"/>
              </w:rPr>
            </w:pPr>
            <w:r w:rsidRPr="009E06AA">
              <w:rPr>
                <w:szCs w:val="16"/>
              </w:rPr>
              <w:t>Instability over the whole plant as the operating parameters were tuned for the material coming from the newly commissioned dry scrubbing equipment (removes the fluoride and particulate from the main stack discharge)</w:t>
            </w:r>
          </w:p>
        </w:tc>
      </w:tr>
      <w:tr w:rsidR="001608E9" w:rsidRPr="009E06AA" w14:paraId="09EC3B11" w14:textId="77777777" w:rsidTr="00B55F24">
        <w:tc>
          <w:tcPr>
            <w:tcW w:w="3261" w:type="dxa"/>
            <w:hideMark/>
          </w:tcPr>
          <w:p w14:paraId="1416FF09" w14:textId="77777777" w:rsidR="001608E9" w:rsidRPr="009E06AA" w:rsidRDefault="001608E9" w:rsidP="00B55F24">
            <w:pPr>
              <w:pStyle w:val="TableText"/>
              <w:rPr>
                <w:szCs w:val="16"/>
              </w:rPr>
            </w:pPr>
            <w:r w:rsidRPr="009E06AA">
              <w:rPr>
                <w:szCs w:val="16"/>
              </w:rPr>
              <w:t>Decrease in PFC emissions in 1998</w:t>
            </w:r>
          </w:p>
        </w:tc>
        <w:tc>
          <w:tcPr>
            <w:tcW w:w="5301" w:type="dxa"/>
            <w:hideMark/>
          </w:tcPr>
          <w:p w14:paraId="5142C77F" w14:textId="77777777" w:rsidR="001608E9" w:rsidRPr="009E06AA" w:rsidRDefault="001608E9" w:rsidP="00B55F24">
            <w:pPr>
              <w:pStyle w:val="TableText"/>
              <w:rPr>
                <w:szCs w:val="16"/>
              </w:rPr>
            </w:pPr>
            <w:r w:rsidRPr="009E06AA">
              <w:rPr>
                <w:szCs w:val="16"/>
              </w:rPr>
              <w:t xml:space="preserve">Cell operating parameter control from the introduction of modified software. This software has improved the detection of an anode-effect onset and will initiate actions to prevent the anode effect </w:t>
            </w:r>
          </w:p>
        </w:tc>
      </w:tr>
      <w:tr w:rsidR="001608E9" w:rsidRPr="009E06AA" w14:paraId="4106529A" w14:textId="77777777" w:rsidTr="00B55F24">
        <w:tc>
          <w:tcPr>
            <w:tcW w:w="3261" w:type="dxa"/>
            <w:tcBorders>
              <w:top w:val="nil"/>
              <w:left w:val="nil"/>
              <w:bottom w:val="single" w:sz="4" w:space="0" w:color="1B556B"/>
              <w:right w:val="nil"/>
            </w:tcBorders>
            <w:hideMark/>
          </w:tcPr>
          <w:p w14:paraId="46A2AC2E" w14:textId="77777777" w:rsidR="001608E9" w:rsidRPr="009E06AA" w:rsidRDefault="001608E9" w:rsidP="00B55F24">
            <w:pPr>
              <w:pStyle w:val="TableText"/>
              <w:rPr>
                <w:szCs w:val="16"/>
              </w:rPr>
            </w:pPr>
            <w:r w:rsidRPr="009E06AA">
              <w:rPr>
                <w:szCs w:val="16"/>
              </w:rPr>
              <w:t>PFCs remain relatively static in 2001, 2003 and 2006</w:t>
            </w:r>
          </w:p>
        </w:tc>
        <w:tc>
          <w:tcPr>
            <w:tcW w:w="5301" w:type="dxa"/>
            <w:tcBorders>
              <w:top w:val="nil"/>
              <w:left w:val="nil"/>
              <w:bottom w:val="single" w:sz="4" w:space="0" w:color="1B556B"/>
              <w:right w:val="nil"/>
            </w:tcBorders>
            <w:hideMark/>
          </w:tcPr>
          <w:p w14:paraId="69B4329B" w14:textId="77777777" w:rsidR="001608E9" w:rsidRPr="009E06AA" w:rsidRDefault="001608E9" w:rsidP="00B55F24">
            <w:pPr>
              <w:pStyle w:val="TableText"/>
              <w:rPr>
                <w:szCs w:val="16"/>
              </w:rPr>
            </w:pPr>
            <w:r w:rsidRPr="009E06AA">
              <w:rPr>
                <w:szCs w:val="16"/>
              </w:rPr>
              <w:t>Increased emissions from restarting the cells</w:t>
            </w:r>
          </w:p>
        </w:tc>
      </w:tr>
    </w:tbl>
    <w:p w14:paraId="2A9BC62C" w14:textId="77777777" w:rsidR="001608E9" w:rsidRPr="009E06AA" w:rsidRDefault="001608E9" w:rsidP="001608E9">
      <w:pPr>
        <w:pStyle w:val="BodyText"/>
        <w:spacing w:before="280"/>
      </w:pPr>
      <w:r w:rsidRPr="009E06AA">
        <w:t>The activities of lead-acid battery recycling and use of SF</w:t>
      </w:r>
      <w:r w:rsidRPr="009E06AA">
        <w:rPr>
          <w:vertAlign w:val="subscript"/>
        </w:rPr>
        <w:t>6</w:t>
      </w:r>
      <w:r w:rsidRPr="009E06AA">
        <w:t xml:space="preserve"> in a magnesium foundry ceased during the time series resulting in zero emissions after 1999 and 2015 respectively. </w:t>
      </w:r>
    </w:p>
    <w:p w14:paraId="350E52DD" w14:textId="77777777" w:rsidR="001608E9" w:rsidRPr="009E06AA" w:rsidRDefault="001608E9" w:rsidP="001608E9">
      <w:pPr>
        <w:pStyle w:val="Heading3"/>
      </w:pPr>
      <w:bookmarkStart w:id="608" w:name="_Toc158647347"/>
      <w:r w:rsidRPr="009E06AA">
        <w:t>4.4.4</w:t>
      </w:r>
      <w:r w:rsidRPr="009E06AA">
        <w:tab/>
        <w:t>Category-specific QA/QC and verification</w:t>
      </w:r>
      <w:bookmarkEnd w:id="608"/>
    </w:p>
    <w:p w14:paraId="018DA9B4" w14:textId="77777777" w:rsidR="001608E9" w:rsidRPr="009E06AA" w:rsidRDefault="001608E9" w:rsidP="001608E9">
      <w:pPr>
        <w:pStyle w:val="BodyText"/>
      </w:pPr>
      <w:r w:rsidRPr="009E06AA">
        <w:t xml:space="preserve">The three key categories in the </w:t>
      </w:r>
      <w:r w:rsidRPr="009E06AA">
        <w:rPr>
          <w:i/>
        </w:rPr>
        <w:t>Metal industry</w:t>
      </w:r>
      <w:r w:rsidRPr="009E06AA">
        <w:t xml:space="preserve"> category are CO</w:t>
      </w:r>
      <w:r w:rsidRPr="009E06AA">
        <w:rPr>
          <w:vertAlign w:val="subscript"/>
        </w:rPr>
        <w:t>2</w:t>
      </w:r>
      <w:r w:rsidRPr="009E06AA">
        <w:t xml:space="preserve"> emissions from </w:t>
      </w:r>
      <w:r w:rsidRPr="009E06AA">
        <w:rPr>
          <w:i/>
        </w:rPr>
        <w:t>Iron and steel production</w:t>
      </w:r>
      <w:r w:rsidRPr="009E06AA">
        <w:t xml:space="preserve"> (level and trend assessment), </w:t>
      </w:r>
      <w:r w:rsidRPr="009E06AA">
        <w:rPr>
          <w:i/>
        </w:rPr>
        <w:t xml:space="preserve">Aluminium production </w:t>
      </w:r>
      <w:r w:rsidRPr="009E06AA">
        <w:rPr>
          <w:iCs/>
        </w:rPr>
        <w:t>(level assessment)</w:t>
      </w:r>
      <w:r w:rsidRPr="009E06AA">
        <w:t xml:space="preserve"> and PFCs from </w:t>
      </w:r>
      <w:r w:rsidRPr="009E06AA">
        <w:rPr>
          <w:i/>
        </w:rPr>
        <w:t>Aluminium production</w:t>
      </w:r>
      <w:r w:rsidRPr="009E06AA">
        <w:rPr>
          <w:iCs/>
        </w:rPr>
        <w:t xml:space="preserve"> (trend assessment)</w:t>
      </w:r>
      <w:r w:rsidRPr="009E06AA">
        <w:t xml:space="preserve">. The data for all direct emissions in this category underwent Tier 1 quality checks in the preparation of this inventory. </w:t>
      </w:r>
    </w:p>
    <w:p w14:paraId="32B40175" w14:textId="77777777" w:rsidR="001608E9" w:rsidRPr="009E06AA" w:rsidRDefault="001608E9" w:rsidP="001608E9">
      <w:pPr>
        <w:pStyle w:val="Heading3"/>
      </w:pPr>
      <w:bookmarkStart w:id="609" w:name="_Toc158647348"/>
      <w:r w:rsidRPr="009E06AA">
        <w:t>4.4.5</w:t>
      </w:r>
      <w:r w:rsidRPr="009E06AA">
        <w:tab/>
        <w:t>Category-specific recalculations</w:t>
      </w:r>
      <w:bookmarkEnd w:id="609"/>
    </w:p>
    <w:p w14:paraId="3EA8BFA5" w14:textId="36FBD10C" w:rsidR="001608E9" w:rsidRPr="009E06AA" w:rsidRDefault="001608E9" w:rsidP="001608E9">
      <w:pPr>
        <w:pStyle w:val="BodyText"/>
      </w:pPr>
      <w:r w:rsidRPr="009E06AA">
        <w:t xml:space="preserve">There </w:t>
      </w:r>
      <w:r w:rsidR="00387CF1" w:rsidRPr="009E06AA">
        <w:t xml:space="preserve">were </w:t>
      </w:r>
      <w:r w:rsidRPr="009E06AA">
        <w:t xml:space="preserve">no recalculations for this category. </w:t>
      </w:r>
    </w:p>
    <w:p w14:paraId="6ACCEF9F" w14:textId="77777777" w:rsidR="001608E9" w:rsidRPr="009E06AA" w:rsidRDefault="001608E9" w:rsidP="001608E9">
      <w:pPr>
        <w:pStyle w:val="Heading3"/>
      </w:pPr>
      <w:bookmarkStart w:id="610" w:name="_Toc158647349"/>
      <w:r w:rsidRPr="009E06AA">
        <w:t>4.4.6</w:t>
      </w:r>
      <w:r w:rsidRPr="009E06AA">
        <w:tab/>
        <w:t>Category-specific planned improvements</w:t>
      </w:r>
      <w:bookmarkEnd w:id="610"/>
    </w:p>
    <w:p w14:paraId="5311A4A4" w14:textId="758F8E53" w:rsidR="001608E9" w:rsidRPr="009E06AA" w:rsidRDefault="001608E9" w:rsidP="001608E9">
      <w:pPr>
        <w:pStyle w:val="BodyText"/>
      </w:pPr>
      <w:r w:rsidRPr="009E06AA">
        <w:t xml:space="preserve">There </w:t>
      </w:r>
      <w:r w:rsidR="00387CF1" w:rsidRPr="009E06AA">
        <w:t>were</w:t>
      </w:r>
      <w:r w:rsidRPr="009E06AA">
        <w:t xml:space="preserve"> no planned improvements for this category. </w:t>
      </w:r>
    </w:p>
    <w:p w14:paraId="66E60769" w14:textId="77777777" w:rsidR="001608E9" w:rsidRPr="009E06AA" w:rsidRDefault="001608E9" w:rsidP="001608E9">
      <w:pPr>
        <w:pStyle w:val="Heading2"/>
        <w:spacing w:line="380" w:lineRule="atLeast"/>
      </w:pPr>
      <w:bookmarkStart w:id="611" w:name="_Toc448321516"/>
      <w:bookmarkStart w:id="612" w:name="_Toc5269355"/>
      <w:bookmarkStart w:id="613" w:name="_Toc36224395"/>
      <w:bookmarkStart w:id="614" w:name="_Toc68786315"/>
      <w:bookmarkStart w:id="615" w:name="_Toc131591230"/>
      <w:bookmarkStart w:id="616" w:name="_Toc158647350"/>
      <w:bookmarkStart w:id="617" w:name="_Toc164154184"/>
      <w:r w:rsidRPr="009E06AA">
        <w:t>4.5</w:t>
      </w:r>
      <w:r w:rsidRPr="009E06AA">
        <w:tab/>
        <w:t>Non-energy products from fuels and solvent use (2.D)</w:t>
      </w:r>
      <w:bookmarkEnd w:id="611"/>
      <w:bookmarkEnd w:id="612"/>
      <w:bookmarkEnd w:id="613"/>
      <w:bookmarkEnd w:id="614"/>
      <w:bookmarkEnd w:id="615"/>
      <w:bookmarkEnd w:id="616"/>
      <w:bookmarkEnd w:id="617"/>
    </w:p>
    <w:p w14:paraId="21B72D33" w14:textId="77777777" w:rsidR="001608E9" w:rsidRPr="009E06AA" w:rsidRDefault="001608E9" w:rsidP="001608E9">
      <w:pPr>
        <w:pStyle w:val="Heading3"/>
        <w:spacing w:before="240"/>
      </w:pPr>
      <w:bookmarkStart w:id="618" w:name="_Toc158647351"/>
      <w:r w:rsidRPr="009E06AA">
        <w:t>4.5.1</w:t>
      </w:r>
      <w:r w:rsidRPr="009E06AA">
        <w:tab/>
        <w:t>Description</w:t>
      </w:r>
      <w:bookmarkEnd w:id="618"/>
    </w:p>
    <w:p w14:paraId="0B4DC024" w14:textId="77777777" w:rsidR="001608E9" w:rsidRPr="009E06AA" w:rsidRDefault="001608E9" w:rsidP="001608E9">
      <w:pPr>
        <w:pStyle w:val="BodyText"/>
      </w:pPr>
      <w:r w:rsidRPr="009E06AA">
        <w:t xml:space="preserve">The emissions reported in the </w:t>
      </w:r>
      <w:r w:rsidRPr="009E06AA">
        <w:rPr>
          <w:i/>
        </w:rPr>
        <w:t>Non-energy products from fuels and solvent use</w:t>
      </w:r>
      <w:r w:rsidRPr="009E06AA">
        <w:t xml:space="preserve"> category include CO</w:t>
      </w:r>
      <w:r w:rsidRPr="009E06AA">
        <w:rPr>
          <w:vertAlign w:val="subscript"/>
        </w:rPr>
        <w:t>2</w:t>
      </w:r>
      <w:r w:rsidRPr="009E06AA">
        <w:t xml:space="preserve"> from the use of lubricants and a very small amount from the use of paraffin wax, some of which is likely to be used for candles. </w:t>
      </w:r>
    </w:p>
    <w:p w14:paraId="40D0EAE9" w14:textId="77777777" w:rsidR="001608E9" w:rsidRPr="009E06AA" w:rsidRDefault="001608E9" w:rsidP="001608E9">
      <w:pPr>
        <w:pStyle w:val="BodyText"/>
      </w:pPr>
      <w:r w:rsidRPr="009E06AA">
        <w:t>In addition, a small amount of CO</w:t>
      </w:r>
      <w:r w:rsidRPr="009E06AA">
        <w:rPr>
          <w:vertAlign w:val="subscript"/>
        </w:rPr>
        <w:t>2</w:t>
      </w:r>
      <w:r w:rsidRPr="009E06AA">
        <w:t xml:space="preserve"> is reported from the use of urea-based catalysts in diesel exhaust fluid (DEF) for control of NO</w:t>
      </w:r>
      <w:r w:rsidRPr="009E06AA">
        <w:rPr>
          <w:vertAlign w:val="subscript"/>
        </w:rPr>
        <w:t>x</w:t>
      </w:r>
      <w:r w:rsidRPr="009E06AA">
        <w:t xml:space="preserve"> emissions in diesel engine exhaust gas. These emissions are associated with transport, and the method used is given in volume 2, </w:t>
      </w:r>
      <w:r w:rsidRPr="009E06AA">
        <w:rPr>
          <w:i/>
          <w:iCs/>
        </w:rPr>
        <w:t>Energy</w:t>
      </w:r>
      <w:r w:rsidRPr="009E06AA">
        <w:t xml:space="preserve">, of the 2006 IPCC Guidelines (IPCC, 2006b); however, the CRT does not appear to allow for them to be reported under the Energy sector, so they are placed in 2.D.3. </w:t>
      </w:r>
    </w:p>
    <w:p w14:paraId="29D0D193" w14:textId="77777777" w:rsidR="001608E9" w:rsidRPr="009E06AA" w:rsidRDefault="001608E9" w:rsidP="001608E9">
      <w:pPr>
        <w:pStyle w:val="BodyText"/>
      </w:pPr>
      <w:r w:rsidRPr="009E06AA">
        <w:t xml:space="preserve">Some emissions of indirect greenhouse gases (mainly NMVOCs) are estimated and reported from: </w:t>
      </w:r>
    </w:p>
    <w:p w14:paraId="4B04C194" w14:textId="77777777" w:rsidR="001608E9" w:rsidRPr="009E06AA" w:rsidRDefault="001608E9" w:rsidP="001608E9">
      <w:pPr>
        <w:pStyle w:val="Bullet"/>
      </w:pPr>
      <w:r w:rsidRPr="009E06AA">
        <w:t xml:space="preserve">the use of asphalt in road paving and roofing applications </w:t>
      </w:r>
    </w:p>
    <w:p w14:paraId="1083280E" w14:textId="77777777" w:rsidR="001608E9" w:rsidRPr="009E06AA" w:rsidRDefault="001608E9" w:rsidP="001608E9">
      <w:pPr>
        <w:pStyle w:val="Bullet"/>
      </w:pPr>
      <w:r w:rsidRPr="009E06AA">
        <w:t xml:space="preserve">painting </w:t>
      </w:r>
    </w:p>
    <w:p w14:paraId="12A45A09" w14:textId="77777777" w:rsidR="001608E9" w:rsidRPr="009E06AA" w:rsidRDefault="001608E9" w:rsidP="001608E9">
      <w:pPr>
        <w:pStyle w:val="Bullet"/>
      </w:pPr>
      <w:r w:rsidRPr="009E06AA">
        <w:t>degreasing and dry cleaning</w:t>
      </w:r>
    </w:p>
    <w:p w14:paraId="461EC08B" w14:textId="77777777" w:rsidR="001608E9" w:rsidRPr="009E06AA" w:rsidRDefault="001608E9" w:rsidP="001608E9">
      <w:pPr>
        <w:pStyle w:val="Bullet"/>
      </w:pPr>
      <w:r w:rsidRPr="009E06AA">
        <w:t>use of solvents in printing</w:t>
      </w:r>
    </w:p>
    <w:p w14:paraId="24CD73F5" w14:textId="77777777" w:rsidR="001608E9" w:rsidRPr="009E06AA" w:rsidRDefault="001608E9" w:rsidP="001608E9">
      <w:pPr>
        <w:pStyle w:val="Bullet"/>
      </w:pPr>
      <w:r w:rsidRPr="009E06AA">
        <w:t xml:space="preserve">general domestic and commercial use of solvents. </w:t>
      </w:r>
    </w:p>
    <w:p w14:paraId="78E64136" w14:textId="77777777" w:rsidR="001608E9" w:rsidRPr="009E06AA" w:rsidRDefault="001608E9" w:rsidP="001608E9">
      <w:pPr>
        <w:pStyle w:val="BodyText"/>
      </w:pPr>
      <w:r w:rsidRPr="009E06AA">
        <w:t xml:space="preserve">Emissions from the </w:t>
      </w:r>
      <w:r w:rsidRPr="009E06AA">
        <w:rPr>
          <w:i/>
        </w:rPr>
        <w:t>Non-energy products from fuels and solvent use</w:t>
      </w:r>
      <w:r w:rsidRPr="009E06AA">
        <w:t xml:space="preserve"> category in 2022 were 41.2 kt CO</w:t>
      </w:r>
      <w:r w:rsidRPr="009E06AA">
        <w:rPr>
          <w:vertAlign w:val="subscript"/>
        </w:rPr>
        <w:t>2</w:t>
      </w:r>
      <w:r w:rsidRPr="009E06AA">
        <w:t xml:space="preserve">-e (0.9 per cent) of emissions from the IPPU sector. </w:t>
      </w:r>
    </w:p>
    <w:p w14:paraId="3460B233" w14:textId="1F54059C" w:rsidR="001608E9" w:rsidRPr="009E06AA" w:rsidRDefault="001608E9" w:rsidP="001608E9">
      <w:pPr>
        <w:pStyle w:val="BodyText"/>
      </w:pPr>
      <w:r w:rsidRPr="009E06AA">
        <w:t xml:space="preserve">There </w:t>
      </w:r>
      <w:r w:rsidR="00387CF1" w:rsidRPr="009E06AA">
        <w:t>were</w:t>
      </w:r>
      <w:r w:rsidRPr="009E06AA">
        <w:t xml:space="preserve"> no key categories. </w:t>
      </w:r>
    </w:p>
    <w:p w14:paraId="7CA1127C" w14:textId="77777777" w:rsidR="001608E9" w:rsidRPr="009E06AA" w:rsidRDefault="001608E9" w:rsidP="001608E9">
      <w:pPr>
        <w:pStyle w:val="Heading3"/>
      </w:pPr>
      <w:bookmarkStart w:id="619" w:name="_Toc158647352"/>
      <w:r w:rsidRPr="009E06AA">
        <w:t xml:space="preserve">4.5.2 </w:t>
      </w:r>
      <w:r w:rsidRPr="009E06AA">
        <w:tab/>
        <w:t>Methodological issues</w:t>
      </w:r>
      <w:bookmarkEnd w:id="619"/>
    </w:p>
    <w:p w14:paraId="4A4F1595" w14:textId="77777777" w:rsidR="001608E9" w:rsidRPr="009E06AA" w:rsidRDefault="001608E9" w:rsidP="001608E9">
      <w:pPr>
        <w:pStyle w:val="Heading4"/>
        <w:rPr>
          <w:bCs/>
          <w:iCs/>
        </w:rPr>
      </w:pPr>
      <w:r w:rsidRPr="009E06AA">
        <w:t>Choice of activity data</w:t>
      </w:r>
    </w:p>
    <w:p w14:paraId="56FBDCC1" w14:textId="77777777" w:rsidR="001608E9" w:rsidRPr="009E06AA" w:rsidRDefault="001608E9" w:rsidP="00BF2A76">
      <w:pPr>
        <w:pStyle w:val="Heading5"/>
      </w:pPr>
      <w:r w:rsidRPr="009E06AA">
        <w:t>Lubricant use (2.D.1)</w:t>
      </w:r>
    </w:p>
    <w:p w14:paraId="1750B9F9" w14:textId="77777777" w:rsidR="001608E9" w:rsidRPr="009E06AA" w:rsidRDefault="001608E9" w:rsidP="001608E9">
      <w:pPr>
        <w:pStyle w:val="BodyText"/>
      </w:pPr>
      <w:r w:rsidRPr="009E06AA">
        <w:t xml:space="preserve">Data reported to MBIE by the industry provide estimates of the amount of lubricants imported into New Zealand in each calendar year and the amounts in stock at the start and end of the year. This allows the amount of lubricants used in the year to be estimated. </w:t>
      </w:r>
    </w:p>
    <w:p w14:paraId="0EFB417A" w14:textId="77777777" w:rsidR="001608E9" w:rsidRPr="009E06AA" w:rsidRDefault="001608E9" w:rsidP="001608E9">
      <w:pPr>
        <w:pStyle w:val="BodyText"/>
      </w:pPr>
      <w:r w:rsidRPr="009E06AA">
        <w:t>However, this information is not available for the years before 2011 and is considered to be unreliable for 2011 to 2014 due to under-reporting of imports. For earlier years, the activity data have been estimated by assuming that the amount of lubricant used was proportional to the amount of transport fuel used in New Zealand in the year. Also, because apparent use fluctuates from year to year, and it is unlikely such variations are reflected in actual lubricant use and emissions, averaging is used to estimate emissions for 2015 to 2022.</w:t>
      </w:r>
    </w:p>
    <w:p w14:paraId="580BABC0" w14:textId="77777777" w:rsidR="001608E9" w:rsidRPr="009E06AA" w:rsidRDefault="001608E9" w:rsidP="00BF2A76">
      <w:pPr>
        <w:pStyle w:val="Heading5"/>
      </w:pPr>
      <w:r w:rsidRPr="009E06AA">
        <w:t>Paraffin wax use (2.D.2)</w:t>
      </w:r>
    </w:p>
    <w:p w14:paraId="52C8DB10" w14:textId="7567E418" w:rsidR="001608E9" w:rsidRPr="009E06AA" w:rsidRDefault="001608E9" w:rsidP="001608E9">
      <w:pPr>
        <w:pStyle w:val="BodyText"/>
      </w:pPr>
      <w:r w:rsidRPr="009E06AA">
        <w:t xml:space="preserve">A small amount of paraffin wax is imported into New Zealand. There </w:t>
      </w:r>
      <w:r w:rsidR="00387CF1" w:rsidRPr="009E06AA">
        <w:t>were</w:t>
      </w:r>
      <w:r w:rsidRPr="009E06AA">
        <w:t xml:space="preserve"> no reliable data on import volumes, so the activity data have been estimated from an estimate of the value of imports. This is only available for 2005 to 2011, and the activity data for other years have been assumed to be the same. </w:t>
      </w:r>
    </w:p>
    <w:p w14:paraId="7E88C761" w14:textId="77777777" w:rsidR="001608E9" w:rsidRPr="009E06AA" w:rsidRDefault="001608E9" w:rsidP="00BF2A76">
      <w:pPr>
        <w:pStyle w:val="Heading5"/>
      </w:pPr>
      <w:r w:rsidRPr="009E06AA">
        <w:t>Use of urea-based catalysts in transport (2.D.3)</w:t>
      </w:r>
    </w:p>
    <w:p w14:paraId="6055DAE2" w14:textId="77777777" w:rsidR="001608E9" w:rsidRPr="009E06AA" w:rsidRDefault="001608E9" w:rsidP="001608E9">
      <w:pPr>
        <w:pStyle w:val="BodyText"/>
      </w:pPr>
      <w:r w:rsidRPr="009E06AA">
        <w:t xml:space="preserve">The activity data (quantity of DEF used) are estimated from total sales of diesel, with the assessment that 33 per cent of fuel is used in heavy vehicles and 51 per cent of the heavy vehicle fleet currently uses DEF. The amounts for years up to 2016 are estimated by back casting the uptake of vehicles that require DEF over time. There was no use of urea catalysts before 2008. </w:t>
      </w:r>
    </w:p>
    <w:p w14:paraId="58BAF9AD" w14:textId="77777777" w:rsidR="001608E9" w:rsidRPr="009E06AA" w:rsidRDefault="001608E9" w:rsidP="00BF2A76">
      <w:pPr>
        <w:pStyle w:val="Heading5"/>
      </w:pPr>
      <w:r w:rsidRPr="009E06AA">
        <w:t>Asphalt paving and roofing and solvent use (2.D.3)</w:t>
      </w:r>
    </w:p>
    <w:p w14:paraId="18093911" w14:textId="77777777" w:rsidR="001608E9" w:rsidRPr="009E06AA" w:rsidRDefault="001608E9" w:rsidP="001608E9">
      <w:pPr>
        <w:pStyle w:val="BodyText"/>
        <w:spacing w:before="100" w:after="100"/>
      </w:pPr>
      <w:r w:rsidRPr="009E06AA">
        <w:t xml:space="preserve">Three main bitumen production companies that provide materials for road paving are operating in New Zealand. Data on bitumen production and emission rates were provided by these companies (CRL Energy, </w:t>
      </w:r>
      <w:r w:rsidRPr="009E06AA">
        <w:rPr>
          <w:rFonts w:eastAsia="+mn-ea"/>
        </w:rPr>
        <w:t>unpublished(a)</w:t>
      </w:r>
      <w:r w:rsidRPr="009E06AA">
        <w:t xml:space="preserve">). One company is also manufacturing asphalt roofing in New Zealand. </w:t>
      </w:r>
    </w:p>
    <w:p w14:paraId="34DF0523" w14:textId="77777777" w:rsidR="001608E9" w:rsidRPr="009E06AA" w:rsidRDefault="001608E9" w:rsidP="001608E9">
      <w:pPr>
        <w:pStyle w:val="BodyText"/>
        <w:spacing w:before="100" w:after="100"/>
      </w:pPr>
      <w:r w:rsidRPr="009E06AA">
        <w:t xml:space="preserve">Solvent use was estimated in 2006 (CRL Energy, </w:t>
      </w:r>
      <w:r w:rsidRPr="009E06AA">
        <w:rPr>
          <w:rFonts w:eastAsia="+mn-ea"/>
        </w:rPr>
        <w:t>unpublished(a)</w:t>
      </w:r>
      <w:r w:rsidRPr="009E06AA">
        <w:t xml:space="preserve">) and, for all of these sources, activity data for the years up to 2005 have been extrapolated for 2006 to 2022 in the absence of any updated information. </w:t>
      </w:r>
    </w:p>
    <w:p w14:paraId="6AD4DFE3" w14:textId="77777777" w:rsidR="001608E9" w:rsidRPr="009E06AA" w:rsidRDefault="001608E9" w:rsidP="00096D3F">
      <w:pPr>
        <w:pStyle w:val="Heading4"/>
        <w:spacing w:before="220"/>
      </w:pPr>
      <w:r w:rsidRPr="009E06AA">
        <w:t>Choice of methods</w:t>
      </w:r>
    </w:p>
    <w:p w14:paraId="039DEEF2" w14:textId="77777777" w:rsidR="001608E9" w:rsidRPr="009E06AA" w:rsidRDefault="001608E9" w:rsidP="001608E9">
      <w:pPr>
        <w:pStyle w:val="BodyText"/>
        <w:spacing w:before="100" w:after="100"/>
      </w:pPr>
      <w:r w:rsidRPr="009E06AA">
        <w:t xml:space="preserve">Tier 1 methods (IPCC, 2006a, 2006b) are used to estimate all emissions in this category. Only approximate activity data are available, with no country-specific information on the amounts of lubricant and paraffin wax used for specific applications. </w:t>
      </w:r>
    </w:p>
    <w:p w14:paraId="5CE4678B" w14:textId="77777777" w:rsidR="001608E9" w:rsidRPr="009E06AA" w:rsidRDefault="001608E9" w:rsidP="00096D3F">
      <w:pPr>
        <w:pStyle w:val="Heading4"/>
        <w:spacing w:before="220"/>
        <w:rPr>
          <w:bCs/>
          <w:iCs/>
        </w:rPr>
      </w:pPr>
      <w:r w:rsidRPr="009E06AA">
        <w:t>Choice of emission factors</w:t>
      </w:r>
    </w:p>
    <w:p w14:paraId="41653116" w14:textId="77777777" w:rsidR="001608E9" w:rsidRPr="009E06AA" w:rsidRDefault="001608E9" w:rsidP="00096D3F">
      <w:pPr>
        <w:pStyle w:val="Heading5"/>
        <w:spacing w:before="180"/>
      </w:pPr>
      <w:r w:rsidRPr="009E06AA">
        <w:t>Lubricant use (2.D.1) and paraffin wax use (2.D.2)</w:t>
      </w:r>
    </w:p>
    <w:p w14:paraId="621900EA" w14:textId="77777777" w:rsidR="001608E9" w:rsidRPr="009E06AA" w:rsidRDefault="001608E9" w:rsidP="001608E9">
      <w:pPr>
        <w:pStyle w:val="BodyText"/>
        <w:spacing w:before="100" w:after="100"/>
      </w:pPr>
      <w:r w:rsidRPr="009E06AA">
        <w:t xml:space="preserve">Default emission factors (carbon content and ‘oxidised during use’ factor) are used for these categories. </w:t>
      </w:r>
    </w:p>
    <w:p w14:paraId="74450EBC" w14:textId="77777777" w:rsidR="001608E9" w:rsidRPr="009E06AA" w:rsidRDefault="001608E9" w:rsidP="00096D3F">
      <w:pPr>
        <w:pStyle w:val="Heading5"/>
        <w:spacing w:before="220"/>
      </w:pPr>
      <w:r w:rsidRPr="009E06AA">
        <w:t>Use of urea-based catalysts in transport (2.D.3)</w:t>
      </w:r>
    </w:p>
    <w:p w14:paraId="18533A8F" w14:textId="77777777" w:rsidR="001608E9" w:rsidRPr="009E06AA" w:rsidRDefault="001608E9" w:rsidP="001608E9">
      <w:pPr>
        <w:pStyle w:val="BodyText"/>
        <w:spacing w:before="100"/>
      </w:pPr>
      <w:r w:rsidRPr="009E06AA">
        <w:t xml:space="preserve">Default emission factors are used. DEF sold in New Zealand conforms with international norms and contains 32.5 per cent urea, which is the default value. </w:t>
      </w:r>
    </w:p>
    <w:p w14:paraId="4BFA47F4" w14:textId="77777777" w:rsidR="001608E9" w:rsidRPr="009E06AA" w:rsidRDefault="001608E9" w:rsidP="00096D3F">
      <w:pPr>
        <w:pStyle w:val="Heading5"/>
        <w:spacing w:before="220"/>
      </w:pPr>
      <w:r w:rsidRPr="009E06AA">
        <w:t>Asphalt paving and roofing and solvent use (2.D.3)</w:t>
      </w:r>
    </w:p>
    <w:p w14:paraId="5BA74AD5" w14:textId="77777777" w:rsidR="001608E9" w:rsidRPr="009E06AA" w:rsidRDefault="001608E9" w:rsidP="001608E9">
      <w:pPr>
        <w:pStyle w:val="BodyText"/>
        <w:spacing w:before="100" w:after="100"/>
      </w:pPr>
      <w:r w:rsidRPr="009E06AA">
        <w:t xml:space="preserve">The bitumen content of road paving used in New Zealand is about 6 per cent, which is lower than commonly used in most countries. The NMVOC emissions from road paving are calculated using a country-specific method based on the fraction of bitumen in asphalt used in road paving material, the fraction of solvent added to bitumen and an assessment that 75 per cent of the solvent added will be emitted (see table 4.5.1). </w:t>
      </w:r>
    </w:p>
    <w:p w14:paraId="3BEEBC80" w14:textId="77777777" w:rsidR="001608E9" w:rsidRPr="009E06AA" w:rsidRDefault="001608E9" w:rsidP="001608E9">
      <w:pPr>
        <w:pStyle w:val="Table"/>
      </w:pPr>
      <w:bookmarkStart w:id="620" w:name="_Toc451176073"/>
      <w:bookmarkStart w:id="621" w:name="_Toc5269463"/>
      <w:bookmarkStart w:id="622" w:name="_Toc36224536"/>
      <w:bookmarkStart w:id="623" w:name="_Toc68786423"/>
      <w:bookmarkStart w:id="624" w:name="_Toc128042756"/>
      <w:bookmarkStart w:id="625" w:name="_Toc131591336"/>
      <w:bookmarkStart w:id="626" w:name="_Toc158647424"/>
      <w:bookmarkStart w:id="627" w:name="_Toc164153822"/>
      <w:r w:rsidRPr="009E06AA">
        <w:t xml:space="preserve">Table 4.5.1 </w:t>
      </w:r>
      <w:r w:rsidRPr="009E06AA">
        <w:tab/>
        <w:t>Calculation of NMVOC emissions from road paving</w:t>
      </w:r>
      <w:bookmarkEnd w:id="620"/>
      <w:bookmarkEnd w:id="621"/>
      <w:bookmarkEnd w:id="622"/>
      <w:bookmarkEnd w:id="623"/>
      <w:bookmarkEnd w:id="624"/>
      <w:bookmarkEnd w:id="625"/>
      <w:bookmarkEnd w:id="626"/>
      <w:bookmarkEnd w:id="627"/>
    </w:p>
    <w:tbl>
      <w:tblPr>
        <w:tblW w:w="8505" w:type="dxa"/>
        <w:tblBorders>
          <w:top w:val="single" w:sz="4" w:space="0" w:color="1B556B"/>
          <w:bottom w:val="single" w:sz="4" w:space="0" w:color="1B556B"/>
          <w:insideH w:val="single" w:sz="4" w:space="0" w:color="1B556B"/>
          <w:insideV w:val="single" w:sz="4" w:space="0" w:color="365F91"/>
        </w:tblBorders>
        <w:tblLook w:val="04A0" w:firstRow="1" w:lastRow="0" w:firstColumn="1" w:lastColumn="0" w:noHBand="0" w:noVBand="1"/>
      </w:tblPr>
      <w:tblGrid>
        <w:gridCol w:w="8505"/>
      </w:tblGrid>
      <w:tr w:rsidR="001608E9" w:rsidRPr="009E06AA" w14:paraId="468FA8CA" w14:textId="77777777" w:rsidTr="00B55F24">
        <w:tc>
          <w:tcPr>
            <w:tcW w:w="4565" w:type="dxa"/>
            <w:shd w:val="clear" w:color="auto" w:fill="1B556B"/>
            <w:hideMark/>
          </w:tcPr>
          <w:p w14:paraId="50C23C49" w14:textId="77777777" w:rsidR="001608E9" w:rsidRPr="009E06AA" w:rsidRDefault="001608E9" w:rsidP="00B55F24">
            <w:pPr>
              <w:pStyle w:val="TableTextBold"/>
              <w:keepNext/>
              <w:rPr>
                <w:noProof w:val="0"/>
                <w:color w:val="FFFFFF"/>
                <w:sz w:val="18"/>
                <w:szCs w:val="18"/>
              </w:rPr>
            </w:pPr>
            <w:r w:rsidRPr="009E06AA">
              <w:rPr>
                <w:noProof w:val="0"/>
                <w:color w:val="FFFFFF"/>
              </w:rPr>
              <w:t>Calculation of NMVOC emissions from road paving</w:t>
            </w:r>
          </w:p>
        </w:tc>
      </w:tr>
      <w:tr w:rsidR="001608E9" w:rsidRPr="009E06AA" w14:paraId="7E2E1208" w14:textId="77777777" w:rsidTr="00B55F24">
        <w:tc>
          <w:tcPr>
            <w:tcW w:w="4565" w:type="dxa"/>
            <w:hideMark/>
          </w:tcPr>
          <w:p w14:paraId="104B3948" w14:textId="77777777" w:rsidR="001608E9" w:rsidRPr="009E06AA" w:rsidRDefault="001608E9" w:rsidP="00B55F24">
            <w:pPr>
              <w:pStyle w:val="TableText"/>
              <w:spacing w:before="40" w:after="40"/>
            </w:pPr>
            <w:r w:rsidRPr="009E06AA">
              <w:t xml:space="preserve">NMVOC emitted = A × B × C × D </w:t>
            </w:r>
          </w:p>
          <w:p w14:paraId="30E14836" w14:textId="77777777" w:rsidR="001608E9" w:rsidRPr="009E06AA" w:rsidRDefault="001608E9" w:rsidP="00B55F24">
            <w:pPr>
              <w:pStyle w:val="TableText"/>
              <w:keepNext/>
              <w:spacing w:before="40" w:after="40"/>
            </w:pPr>
            <w:r w:rsidRPr="009E06AA">
              <w:t xml:space="preserve">Where: </w:t>
            </w:r>
          </w:p>
          <w:p w14:paraId="4D9C1D47" w14:textId="77777777" w:rsidR="001608E9" w:rsidRPr="009E06AA" w:rsidRDefault="001608E9" w:rsidP="00B55F24">
            <w:pPr>
              <w:pStyle w:val="TableText"/>
              <w:keepNext/>
              <w:spacing w:before="40" w:after="40"/>
              <w:rPr>
                <w:rFonts w:cs="Calibri"/>
              </w:rPr>
            </w:pPr>
            <w:r w:rsidRPr="009E06AA">
              <w:t>A = road paving material used (kilotonnes)</w:t>
            </w:r>
          </w:p>
          <w:p w14:paraId="791C0894" w14:textId="77777777" w:rsidR="001608E9" w:rsidRPr="009E06AA" w:rsidRDefault="001608E9" w:rsidP="00B55F24">
            <w:pPr>
              <w:pStyle w:val="TableText"/>
              <w:keepNext/>
              <w:spacing w:before="40" w:after="40"/>
            </w:pPr>
            <w:r w:rsidRPr="009E06AA">
              <w:t>B = fraction by weight of bitumen in asphalt</w:t>
            </w:r>
          </w:p>
          <w:p w14:paraId="43820329" w14:textId="77777777" w:rsidR="001608E9" w:rsidRPr="009E06AA" w:rsidRDefault="001608E9" w:rsidP="00B55F24">
            <w:pPr>
              <w:pStyle w:val="TableText"/>
              <w:keepNext/>
              <w:spacing w:before="40" w:after="40"/>
            </w:pPr>
            <w:r w:rsidRPr="009E06AA">
              <w:t>C = fraction of solvent added to bitumen (0.04)</w:t>
            </w:r>
          </w:p>
          <w:p w14:paraId="6DC01D39" w14:textId="77777777" w:rsidR="001608E9" w:rsidRPr="009E06AA" w:rsidRDefault="001608E9" w:rsidP="00B55F24">
            <w:pPr>
              <w:pStyle w:val="TableText"/>
              <w:keepNext/>
              <w:spacing w:before="50" w:after="50"/>
            </w:pPr>
            <w:r w:rsidRPr="009E06AA">
              <w:t>D = fraction of solvent emitted (0.75)</w:t>
            </w:r>
          </w:p>
        </w:tc>
      </w:tr>
    </w:tbl>
    <w:p w14:paraId="4876C6B3" w14:textId="77777777" w:rsidR="001608E9" w:rsidRPr="009E06AA" w:rsidRDefault="001608E9" w:rsidP="00096D3F">
      <w:pPr>
        <w:pStyle w:val="BodyText"/>
        <w:spacing w:before="220"/>
      </w:pPr>
      <w:r w:rsidRPr="009E06AA">
        <w:t xml:space="preserve">The fraction of bitumen in asphalt used in road paving materials was reduced over time as methods of laying roading improved (see table 4.5.2). </w:t>
      </w:r>
    </w:p>
    <w:p w14:paraId="0FB19C5E" w14:textId="77777777" w:rsidR="001608E9" w:rsidRPr="009E06AA" w:rsidRDefault="001608E9" w:rsidP="001608E9">
      <w:pPr>
        <w:pStyle w:val="Table"/>
      </w:pPr>
      <w:bookmarkStart w:id="628" w:name="_Toc451176074"/>
      <w:bookmarkStart w:id="629" w:name="_Toc5269464"/>
      <w:bookmarkStart w:id="630" w:name="_Toc36224537"/>
      <w:bookmarkStart w:id="631" w:name="_Toc68786424"/>
      <w:bookmarkStart w:id="632" w:name="_Toc128042757"/>
      <w:bookmarkStart w:id="633" w:name="_Toc131591337"/>
      <w:bookmarkStart w:id="634" w:name="_Toc158647425"/>
      <w:bookmarkStart w:id="635" w:name="_Toc164153823"/>
      <w:r w:rsidRPr="009E06AA">
        <w:t xml:space="preserve">Table 4.5.2 </w:t>
      </w:r>
      <w:r w:rsidRPr="009E06AA">
        <w:tab/>
        <w:t>Fraction of bitumen in road paving material</w:t>
      </w:r>
      <w:bookmarkEnd w:id="628"/>
      <w:bookmarkEnd w:id="629"/>
      <w:bookmarkEnd w:id="630"/>
      <w:bookmarkEnd w:id="631"/>
      <w:bookmarkEnd w:id="632"/>
      <w:bookmarkEnd w:id="633"/>
      <w:bookmarkEnd w:id="634"/>
      <w:bookmarkEnd w:id="635"/>
    </w:p>
    <w:tbl>
      <w:tblPr>
        <w:tblW w:w="8505" w:type="dxa"/>
        <w:tblLook w:val="04A0" w:firstRow="1" w:lastRow="0" w:firstColumn="1" w:lastColumn="0" w:noHBand="0" w:noVBand="1"/>
      </w:tblPr>
      <w:tblGrid>
        <w:gridCol w:w="3394"/>
        <w:gridCol w:w="5111"/>
      </w:tblGrid>
      <w:tr w:rsidR="001608E9" w:rsidRPr="009E06AA" w14:paraId="3492F5FE" w14:textId="77777777" w:rsidTr="00B55F24">
        <w:tc>
          <w:tcPr>
            <w:tcW w:w="2263" w:type="dxa"/>
            <w:tcBorders>
              <w:top w:val="single" w:sz="4" w:space="0" w:color="1B556B"/>
              <w:left w:val="nil"/>
              <w:bottom w:val="single" w:sz="4" w:space="0" w:color="1B556B"/>
              <w:right w:val="nil"/>
            </w:tcBorders>
            <w:shd w:val="clear" w:color="auto" w:fill="1B556B"/>
            <w:hideMark/>
          </w:tcPr>
          <w:p w14:paraId="2BC885BC" w14:textId="77777777" w:rsidR="001608E9" w:rsidRPr="009E06AA" w:rsidRDefault="001608E9" w:rsidP="00B55F24">
            <w:pPr>
              <w:pStyle w:val="TableTextBold"/>
              <w:keepNext/>
              <w:spacing w:before="40" w:after="40"/>
              <w:rPr>
                <w:bCs/>
                <w:noProof w:val="0"/>
                <w:color w:val="FFFFFF"/>
              </w:rPr>
            </w:pPr>
            <w:r w:rsidRPr="009E06AA">
              <w:rPr>
                <w:noProof w:val="0"/>
                <w:color w:val="FFFFFF"/>
              </w:rPr>
              <w:t>Reporting years</w:t>
            </w:r>
          </w:p>
        </w:tc>
        <w:tc>
          <w:tcPr>
            <w:tcW w:w="3407" w:type="dxa"/>
            <w:tcBorders>
              <w:top w:val="single" w:sz="4" w:space="0" w:color="1B556B"/>
              <w:left w:val="nil"/>
              <w:bottom w:val="single" w:sz="4" w:space="0" w:color="1B556B"/>
              <w:right w:val="nil"/>
            </w:tcBorders>
            <w:shd w:val="clear" w:color="auto" w:fill="1B556B"/>
            <w:hideMark/>
          </w:tcPr>
          <w:p w14:paraId="46BF50FE" w14:textId="77777777" w:rsidR="001608E9" w:rsidRPr="009E06AA" w:rsidRDefault="001608E9" w:rsidP="00FF5E51">
            <w:pPr>
              <w:pStyle w:val="TableTextBold"/>
              <w:keepNext/>
              <w:spacing w:before="40" w:after="40"/>
              <w:jc w:val="right"/>
              <w:rPr>
                <w:bCs/>
                <w:noProof w:val="0"/>
                <w:color w:val="FFFFFF"/>
              </w:rPr>
            </w:pPr>
            <w:r w:rsidRPr="009E06AA">
              <w:rPr>
                <w:noProof w:val="0"/>
                <w:color w:val="FFFFFF"/>
              </w:rPr>
              <w:t>Fraction by weight of bitumen in asphalt (B above)</w:t>
            </w:r>
          </w:p>
        </w:tc>
      </w:tr>
      <w:tr w:rsidR="001608E9" w:rsidRPr="009E06AA" w14:paraId="7CF48B03" w14:textId="77777777" w:rsidTr="00B55F24">
        <w:tc>
          <w:tcPr>
            <w:tcW w:w="2263" w:type="dxa"/>
            <w:tcBorders>
              <w:top w:val="single" w:sz="4" w:space="0" w:color="1B556B"/>
              <w:left w:val="nil"/>
              <w:bottom w:val="nil"/>
              <w:right w:val="nil"/>
            </w:tcBorders>
            <w:hideMark/>
          </w:tcPr>
          <w:p w14:paraId="04F3E353" w14:textId="77777777" w:rsidR="001608E9" w:rsidRPr="009E06AA" w:rsidRDefault="001608E9" w:rsidP="00B55F24">
            <w:pPr>
              <w:pStyle w:val="TableText"/>
              <w:keepNext/>
              <w:spacing w:before="40" w:after="40"/>
            </w:pPr>
            <w:r w:rsidRPr="009E06AA">
              <w:t xml:space="preserve">1990–2001 </w:t>
            </w:r>
          </w:p>
        </w:tc>
        <w:tc>
          <w:tcPr>
            <w:tcW w:w="3407" w:type="dxa"/>
            <w:tcBorders>
              <w:top w:val="single" w:sz="4" w:space="0" w:color="1B556B"/>
              <w:left w:val="nil"/>
              <w:bottom w:val="nil"/>
              <w:right w:val="nil"/>
            </w:tcBorders>
            <w:hideMark/>
          </w:tcPr>
          <w:p w14:paraId="1B6496A9" w14:textId="77777777" w:rsidR="001608E9" w:rsidRPr="009E06AA" w:rsidRDefault="001608E9" w:rsidP="00FF5E51">
            <w:pPr>
              <w:pStyle w:val="TableText"/>
              <w:keepNext/>
              <w:spacing w:before="40" w:after="40"/>
              <w:jc w:val="right"/>
            </w:pPr>
            <w:r w:rsidRPr="009E06AA">
              <w:t>0.80</w:t>
            </w:r>
          </w:p>
        </w:tc>
      </w:tr>
      <w:tr w:rsidR="001608E9" w:rsidRPr="009E06AA" w14:paraId="5500BC95" w14:textId="77777777" w:rsidTr="00B55F24">
        <w:tc>
          <w:tcPr>
            <w:tcW w:w="2263" w:type="dxa"/>
            <w:hideMark/>
          </w:tcPr>
          <w:p w14:paraId="4C85E614" w14:textId="77777777" w:rsidR="001608E9" w:rsidRPr="009E06AA" w:rsidRDefault="001608E9" w:rsidP="00B55F24">
            <w:pPr>
              <w:pStyle w:val="TableText"/>
              <w:spacing w:before="40" w:after="40"/>
            </w:pPr>
            <w:r w:rsidRPr="009E06AA">
              <w:t>2002–2003</w:t>
            </w:r>
          </w:p>
        </w:tc>
        <w:tc>
          <w:tcPr>
            <w:tcW w:w="3407" w:type="dxa"/>
            <w:hideMark/>
          </w:tcPr>
          <w:p w14:paraId="47D86DFF" w14:textId="77777777" w:rsidR="001608E9" w:rsidRPr="009E06AA" w:rsidRDefault="001608E9" w:rsidP="00FF5E51">
            <w:pPr>
              <w:pStyle w:val="TableText"/>
              <w:spacing w:before="40" w:after="40"/>
              <w:jc w:val="right"/>
            </w:pPr>
            <w:r w:rsidRPr="009E06AA">
              <w:t>0.65</w:t>
            </w:r>
          </w:p>
        </w:tc>
      </w:tr>
      <w:tr w:rsidR="001608E9" w:rsidRPr="009E06AA" w14:paraId="3429BEB0" w14:textId="77777777" w:rsidTr="00B55F24">
        <w:tc>
          <w:tcPr>
            <w:tcW w:w="2263" w:type="dxa"/>
            <w:tcBorders>
              <w:top w:val="nil"/>
              <w:left w:val="nil"/>
              <w:bottom w:val="single" w:sz="4" w:space="0" w:color="1B556B"/>
              <w:right w:val="nil"/>
            </w:tcBorders>
            <w:hideMark/>
          </w:tcPr>
          <w:p w14:paraId="184F7E04" w14:textId="77777777" w:rsidR="001608E9" w:rsidRPr="009E06AA" w:rsidRDefault="001608E9" w:rsidP="00B55F24">
            <w:pPr>
              <w:pStyle w:val="TableText"/>
              <w:spacing w:before="40" w:after="40"/>
            </w:pPr>
            <w:r w:rsidRPr="009E06AA">
              <w:t>2004–2018</w:t>
            </w:r>
          </w:p>
        </w:tc>
        <w:tc>
          <w:tcPr>
            <w:tcW w:w="3407" w:type="dxa"/>
            <w:tcBorders>
              <w:top w:val="nil"/>
              <w:left w:val="nil"/>
              <w:bottom w:val="single" w:sz="4" w:space="0" w:color="1B556B"/>
              <w:right w:val="nil"/>
            </w:tcBorders>
            <w:hideMark/>
          </w:tcPr>
          <w:p w14:paraId="3CA229C8" w14:textId="77777777" w:rsidR="001608E9" w:rsidRPr="009E06AA" w:rsidRDefault="001608E9" w:rsidP="00FF5E51">
            <w:pPr>
              <w:pStyle w:val="TableText"/>
              <w:spacing w:before="40" w:after="40"/>
              <w:jc w:val="right"/>
            </w:pPr>
            <w:r w:rsidRPr="009E06AA">
              <w:t>0.60</w:t>
            </w:r>
          </w:p>
        </w:tc>
      </w:tr>
    </w:tbl>
    <w:p w14:paraId="40854865" w14:textId="77777777" w:rsidR="001608E9" w:rsidRPr="009E06AA" w:rsidRDefault="001608E9" w:rsidP="001608E9">
      <w:pPr>
        <w:pStyle w:val="BodyText"/>
        <w:spacing w:before="240"/>
      </w:pPr>
      <w:r w:rsidRPr="009E06AA">
        <w:t xml:space="preserve">For asphalt used as roofing material, IPCC default emission factors of 0.05 kilograms NMVOC and 0.0095 kilograms CO per tonne of product have been used. </w:t>
      </w:r>
    </w:p>
    <w:p w14:paraId="54371817" w14:textId="77777777" w:rsidR="001608E9" w:rsidRPr="009E06AA" w:rsidRDefault="001608E9" w:rsidP="001608E9">
      <w:pPr>
        <w:pStyle w:val="Heading3"/>
      </w:pPr>
      <w:bookmarkStart w:id="636" w:name="_Toc158647353"/>
      <w:r w:rsidRPr="009E06AA">
        <w:t xml:space="preserve">4.5.3 </w:t>
      </w:r>
      <w:r w:rsidRPr="009E06AA">
        <w:tab/>
        <w:t>Uncertainty assessment and time-series consistency</w:t>
      </w:r>
      <w:bookmarkEnd w:id="636"/>
    </w:p>
    <w:p w14:paraId="60A41C8B" w14:textId="77777777" w:rsidR="001608E9" w:rsidRPr="009E06AA" w:rsidRDefault="001608E9" w:rsidP="001608E9">
      <w:pPr>
        <w:pStyle w:val="Heading4"/>
        <w:rPr>
          <w:bCs/>
          <w:iCs/>
        </w:rPr>
      </w:pPr>
      <w:r w:rsidRPr="009E06AA">
        <w:t>Uncertainties</w:t>
      </w:r>
    </w:p>
    <w:p w14:paraId="12E7F9CF" w14:textId="77777777" w:rsidR="001608E9" w:rsidRPr="009E06AA" w:rsidRDefault="001608E9" w:rsidP="001608E9">
      <w:pPr>
        <w:pStyle w:val="BodyText"/>
      </w:pPr>
      <w:r w:rsidRPr="009E06AA">
        <w:t>IPCC default uncertainty is estimated for CO</w:t>
      </w:r>
      <w:r w:rsidRPr="009E06AA">
        <w:rPr>
          <w:vertAlign w:val="subscript"/>
        </w:rPr>
        <w:t>2</w:t>
      </w:r>
      <w:r w:rsidRPr="009E06AA">
        <w:t xml:space="preserve"> from lubricant use. The uncertainties used for indirect emissions in this category are a mix of defaults and country specific. These uncertainties are shown in table 4.5.3. </w:t>
      </w:r>
    </w:p>
    <w:p w14:paraId="68673098" w14:textId="77777777" w:rsidR="001608E9" w:rsidRPr="009E06AA" w:rsidRDefault="001608E9" w:rsidP="001608E9">
      <w:pPr>
        <w:pStyle w:val="Table"/>
      </w:pPr>
      <w:bookmarkStart w:id="637" w:name="_Toc451176075"/>
      <w:bookmarkStart w:id="638" w:name="_Toc5269465"/>
      <w:bookmarkStart w:id="639" w:name="_Toc36224538"/>
      <w:bookmarkStart w:id="640" w:name="_Toc68786425"/>
      <w:bookmarkStart w:id="641" w:name="_Toc128042758"/>
      <w:bookmarkStart w:id="642" w:name="_Toc131591338"/>
      <w:bookmarkStart w:id="643" w:name="_Toc158647426"/>
      <w:bookmarkStart w:id="644" w:name="_Toc164153824"/>
      <w:r w:rsidRPr="009E06AA">
        <w:t>Table 4.5.3</w:t>
      </w:r>
      <w:r w:rsidRPr="009E06AA">
        <w:tab/>
        <w:t>Uncertainty in emissions in non-energy products from fuels and solvent use</w:t>
      </w:r>
      <w:bookmarkEnd w:id="637"/>
      <w:bookmarkEnd w:id="638"/>
      <w:bookmarkEnd w:id="639"/>
      <w:bookmarkEnd w:id="640"/>
      <w:bookmarkEnd w:id="641"/>
      <w:bookmarkEnd w:id="642"/>
      <w:bookmarkEnd w:id="643"/>
      <w:bookmarkEnd w:id="644"/>
    </w:p>
    <w:tbl>
      <w:tblPr>
        <w:tblW w:w="8505" w:type="dxa"/>
        <w:tblBorders>
          <w:top w:val="single" w:sz="4" w:space="0" w:color="1B556B"/>
          <w:bottom w:val="single" w:sz="4" w:space="0" w:color="1B556B"/>
          <w:insideH w:val="single" w:sz="4" w:space="0" w:color="1B556B"/>
        </w:tblBorders>
        <w:tblCellMar>
          <w:left w:w="85" w:type="dxa"/>
          <w:right w:w="85" w:type="dxa"/>
        </w:tblCellMar>
        <w:tblLook w:val="04A0" w:firstRow="1" w:lastRow="0" w:firstColumn="1" w:lastColumn="0" w:noHBand="0" w:noVBand="1"/>
      </w:tblPr>
      <w:tblGrid>
        <w:gridCol w:w="2994"/>
        <w:gridCol w:w="2696"/>
        <w:gridCol w:w="2815"/>
      </w:tblGrid>
      <w:tr w:rsidR="001608E9" w:rsidRPr="009E06AA" w14:paraId="26920354" w14:textId="77777777" w:rsidTr="00B55F24">
        <w:trPr>
          <w:tblHeader/>
        </w:trPr>
        <w:tc>
          <w:tcPr>
            <w:tcW w:w="2835" w:type="dxa"/>
            <w:shd w:val="clear" w:color="auto" w:fill="1B556B"/>
            <w:hideMark/>
          </w:tcPr>
          <w:p w14:paraId="59C03279" w14:textId="77777777" w:rsidR="001608E9" w:rsidRPr="009E06AA" w:rsidRDefault="001608E9" w:rsidP="00F44F77">
            <w:pPr>
              <w:pStyle w:val="TableTextBold"/>
              <w:keepNext/>
              <w:spacing w:before="40" w:after="40"/>
              <w:rPr>
                <w:noProof w:val="0"/>
                <w:color w:val="FFFFFF"/>
              </w:rPr>
            </w:pPr>
            <w:r w:rsidRPr="009E06AA">
              <w:rPr>
                <w:noProof w:val="0"/>
                <w:color w:val="FFFFFF"/>
              </w:rPr>
              <w:t>Category</w:t>
            </w:r>
          </w:p>
        </w:tc>
        <w:tc>
          <w:tcPr>
            <w:tcW w:w="2552" w:type="dxa"/>
            <w:shd w:val="clear" w:color="auto" w:fill="1B556B"/>
            <w:hideMark/>
          </w:tcPr>
          <w:p w14:paraId="3D5D4471" w14:textId="77777777" w:rsidR="001608E9" w:rsidRPr="009E06AA" w:rsidRDefault="001608E9" w:rsidP="00FF5E51">
            <w:pPr>
              <w:pStyle w:val="TableTextBold"/>
              <w:keepNext/>
              <w:spacing w:before="40" w:after="40"/>
              <w:jc w:val="right"/>
              <w:rPr>
                <w:noProof w:val="0"/>
                <w:color w:val="FFFFFF"/>
              </w:rPr>
            </w:pPr>
            <w:r w:rsidRPr="009E06AA">
              <w:rPr>
                <w:noProof w:val="0"/>
                <w:color w:val="FFFFFF"/>
              </w:rPr>
              <w:t>Uncertainty in activity data (%)</w:t>
            </w:r>
          </w:p>
        </w:tc>
        <w:tc>
          <w:tcPr>
            <w:tcW w:w="2665" w:type="dxa"/>
            <w:shd w:val="clear" w:color="auto" w:fill="1B556B"/>
            <w:tcMar>
              <w:right w:w="57" w:type="dxa"/>
            </w:tcMar>
            <w:hideMark/>
          </w:tcPr>
          <w:p w14:paraId="3E177FE3" w14:textId="77777777" w:rsidR="001608E9" w:rsidRPr="009E06AA" w:rsidRDefault="001608E9" w:rsidP="00FF5E51">
            <w:pPr>
              <w:pStyle w:val="TableTextBold"/>
              <w:keepNext/>
              <w:spacing w:before="40" w:after="40"/>
              <w:jc w:val="right"/>
              <w:rPr>
                <w:noProof w:val="0"/>
                <w:color w:val="FFFFFF"/>
              </w:rPr>
            </w:pPr>
            <w:r w:rsidRPr="009E06AA">
              <w:rPr>
                <w:noProof w:val="0"/>
                <w:color w:val="FFFFFF"/>
              </w:rPr>
              <w:t>Uncertainty in emission factors (%)</w:t>
            </w:r>
          </w:p>
        </w:tc>
      </w:tr>
      <w:tr w:rsidR="001608E9" w:rsidRPr="009E06AA" w14:paraId="2FC47857" w14:textId="77777777" w:rsidTr="00B55F24">
        <w:tc>
          <w:tcPr>
            <w:tcW w:w="2835" w:type="dxa"/>
            <w:shd w:val="clear" w:color="auto" w:fill="FFFFFF"/>
            <w:hideMark/>
          </w:tcPr>
          <w:p w14:paraId="4A967B84" w14:textId="77777777" w:rsidR="001608E9" w:rsidRPr="009E06AA" w:rsidRDefault="001608E9" w:rsidP="00F44F77">
            <w:pPr>
              <w:pStyle w:val="TableText"/>
              <w:spacing w:before="40" w:after="40"/>
            </w:pPr>
            <w:r w:rsidRPr="009E06AA">
              <w:t>Lubricant use</w:t>
            </w:r>
          </w:p>
        </w:tc>
        <w:tc>
          <w:tcPr>
            <w:tcW w:w="2552" w:type="dxa"/>
            <w:shd w:val="clear" w:color="auto" w:fill="FFFFFF"/>
            <w:hideMark/>
          </w:tcPr>
          <w:p w14:paraId="0A0D542B" w14:textId="77777777" w:rsidR="001608E9" w:rsidRPr="009E06AA" w:rsidRDefault="001608E9" w:rsidP="00FF5E51">
            <w:pPr>
              <w:pStyle w:val="TableText"/>
              <w:spacing w:before="40" w:after="40"/>
              <w:jc w:val="right"/>
            </w:pPr>
            <w:r w:rsidRPr="009E06AA">
              <w:t>±20</w:t>
            </w:r>
          </w:p>
        </w:tc>
        <w:tc>
          <w:tcPr>
            <w:tcW w:w="2665" w:type="dxa"/>
            <w:shd w:val="clear" w:color="auto" w:fill="FFFFFF"/>
            <w:tcMar>
              <w:right w:w="57" w:type="dxa"/>
            </w:tcMar>
            <w:hideMark/>
          </w:tcPr>
          <w:p w14:paraId="3C62A799" w14:textId="77777777" w:rsidR="001608E9" w:rsidRPr="009E06AA" w:rsidRDefault="001608E9" w:rsidP="00FF5E51">
            <w:pPr>
              <w:pStyle w:val="TableText"/>
              <w:spacing w:before="40" w:after="40"/>
              <w:jc w:val="right"/>
            </w:pPr>
            <w:r w:rsidRPr="009E06AA">
              <w:t>±50</w:t>
            </w:r>
          </w:p>
        </w:tc>
      </w:tr>
      <w:tr w:rsidR="001608E9" w:rsidRPr="009E06AA" w14:paraId="58E1A305" w14:textId="77777777" w:rsidTr="00B55F24">
        <w:tc>
          <w:tcPr>
            <w:tcW w:w="2835" w:type="dxa"/>
            <w:shd w:val="clear" w:color="auto" w:fill="FFFFFF"/>
            <w:hideMark/>
          </w:tcPr>
          <w:p w14:paraId="1F4980B1" w14:textId="77777777" w:rsidR="001608E9" w:rsidRPr="009E06AA" w:rsidRDefault="001608E9" w:rsidP="00F44F77">
            <w:pPr>
              <w:pStyle w:val="TableText"/>
              <w:spacing w:before="40" w:after="40"/>
            </w:pPr>
            <w:r w:rsidRPr="009E06AA">
              <w:t>Paraffin wax use</w:t>
            </w:r>
          </w:p>
        </w:tc>
        <w:tc>
          <w:tcPr>
            <w:tcW w:w="2552" w:type="dxa"/>
            <w:shd w:val="clear" w:color="auto" w:fill="FFFFFF"/>
            <w:hideMark/>
          </w:tcPr>
          <w:p w14:paraId="61DACD08" w14:textId="77777777" w:rsidR="001608E9" w:rsidRPr="009E06AA" w:rsidRDefault="001608E9" w:rsidP="00FF5E51">
            <w:pPr>
              <w:pStyle w:val="TableText"/>
              <w:spacing w:before="40" w:after="40"/>
              <w:jc w:val="right"/>
            </w:pPr>
            <w:r w:rsidRPr="009E06AA">
              <w:t>±20</w:t>
            </w:r>
          </w:p>
        </w:tc>
        <w:tc>
          <w:tcPr>
            <w:tcW w:w="2665" w:type="dxa"/>
            <w:shd w:val="clear" w:color="auto" w:fill="FFFFFF"/>
            <w:tcMar>
              <w:right w:w="57" w:type="dxa"/>
            </w:tcMar>
            <w:hideMark/>
          </w:tcPr>
          <w:p w14:paraId="21F897BB" w14:textId="77777777" w:rsidR="001608E9" w:rsidRPr="009E06AA" w:rsidRDefault="001608E9" w:rsidP="00FF5E51">
            <w:pPr>
              <w:pStyle w:val="TableText"/>
              <w:spacing w:before="40" w:after="40"/>
              <w:jc w:val="right"/>
            </w:pPr>
            <w:r w:rsidRPr="009E06AA">
              <w:t>±100</w:t>
            </w:r>
          </w:p>
        </w:tc>
      </w:tr>
      <w:tr w:rsidR="001608E9" w:rsidRPr="009E06AA" w14:paraId="1958C474" w14:textId="77777777" w:rsidTr="00B55F24">
        <w:tc>
          <w:tcPr>
            <w:tcW w:w="2835" w:type="dxa"/>
            <w:shd w:val="clear" w:color="auto" w:fill="FFFFFF"/>
          </w:tcPr>
          <w:p w14:paraId="6337D899" w14:textId="77777777" w:rsidR="001608E9" w:rsidRPr="009E06AA" w:rsidRDefault="001608E9" w:rsidP="00F44F77">
            <w:pPr>
              <w:pStyle w:val="TableText"/>
              <w:spacing w:before="40" w:after="40"/>
            </w:pPr>
            <w:r w:rsidRPr="009E06AA">
              <w:t xml:space="preserve">Use of urea-based catalysts in transport </w:t>
            </w:r>
          </w:p>
        </w:tc>
        <w:tc>
          <w:tcPr>
            <w:tcW w:w="2552" w:type="dxa"/>
            <w:shd w:val="clear" w:color="auto" w:fill="FFFFFF"/>
          </w:tcPr>
          <w:p w14:paraId="707D40FE" w14:textId="77777777" w:rsidR="001608E9" w:rsidRPr="009E06AA" w:rsidRDefault="001608E9" w:rsidP="00FF5E51">
            <w:pPr>
              <w:pStyle w:val="TableText"/>
              <w:spacing w:before="40" w:after="40"/>
              <w:jc w:val="right"/>
            </w:pPr>
            <w:r w:rsidRPr="009E06AA">
              <w:t>±50</w:t>
            </w:r>
          </w:p>
        </w:tc>
        <w:tc>
          <w:tcPr>
            <w:tcW w:w="2665" w:type="dxa"/>
            <w:shd w:val="clear" w:color="auto" w:fill="FFFFFF"/>
            <w:tcMar>
              <w:right w:w="57" w:type="dxa"/>
            </w:tcMar>
          </w:tcPr>
          <w:p w14:paraId="10334132" w14:textId="77777777" w:rsidR="001608E9" w:rsidRPr="009E06AA" w:rsidRDefault="001608E9" w:rsidP="00FF5E51">
            <w:pPr>
              <w:pStyle w:val="TableText"/>
              <w:spacing w:before="40" w:after="40"/>
              <w:jc w:val="right"/>
            </w:pPr>
            <w:r w:rsidRPr="009E06AA">
              <w:t>±10</w:t>
            </w:r>
          </w:p>
        </w:tc>
      </w:tr>
      <w:tr w:rsidR="001608E9" w:rsidRPr="009E06AA" w14:paraId="0E097447" w14:textId="77777777" w:rsidTr="00B55F24">
        <w:tc>
          <w:tcPr>
            <w:tcW w:w="2835" w:type="dxa"/>
            <w:shd w:val="clear" w:color="auto" w:fill="FFFFFF"/>
            <w:hideMark/>
          </w:tcPr>
          <w:p w14:paraId="7D754CD6" w14:textId="77777777" w:rsidR="001608E9" w:rsidRPr="009E06AA" w:rsidRDefault="001608E9" w:rsidP="00F44F77">
            <w:pPr>
              <w:pStyle w:val="TableText"/>
              <w:spacing w:before="40" w:after="40"/>
            </w:pPr>
            <w:r w:rsidRPr="009E06AA">
              <w:t>Asphalt road paving</w:t>
            </w:r>
          </w:p>
        </w:tc>
        <w:tc>
          <w:tcPr>
            <w:tcW w:w="2552" w:type="dxa"/>
            <w:shd w:val="clear" w:color="auto" w:fill="FFFFFF"/>
            <w:hideMark/>
          </w:tcPr>
          <w:p w14:paraId="18119E83" w14:textId="77777777" w:rsidR="001608E9" w:rsidRPr="009E06AA" w:rsidRDefault="001608E9" w:rsidP="00FF5E51">
            <w:pPr>
              <w:pStyle w:val="TableText"/>
              <w:spacing w:before="40" w:after="40"/>
              <w:jc w:val="right"/>
            </w:pPr>
            <w:r w:rsidRPr="009E06AA">
              <w:t>±40</w:t>
            </w:r>
          </w:p>
        </w:tc>
        <w:tc>
          <w:tcPr>
            <w:tcW w:w="2665" w:type="dxa"/>
            <w:shd w:val="clear" w:color="auto" w:fill="FFFFFF"/>
            <w:tcMar>
              <w:right w:w="57" w:type="dxa"/>
            </w:tcMar>
            <w:hideMark/>
          </w:tcPr>
          <w:p w14:paraId="76FAC94D" w14:textId="77777777" w:rsidR="001608E9" w:rsidRPr="009E06AA" w:rsidRDefault="001608E9" w:rsidP="00FF5E51">
            <w:pPr>
              <w:pStyle w:val="TableText"/>
              <w:spacing w:before="40" w:after="40"/>
              <w:jc w:val="right"/>
            </w:pPr>
            <w:r w:rsidRPr="009E06AA">
              <w:t>±40</w:t>
            </w:r>
          </w:p>
        </w:tc>
      </w:tr>
      <w:tr w:rsidR="001608E9" w:rsidRPr="009E06AA" w14:paraId="574F480A" w14:textId="77777777" w:rsidTr="00B55F24">
        <w:tc>
          <w:tcPr>
            <w:tcW w:w="2835" w:type="dxa"/>
            <w:shd w:val="clear" w:color="auto" w:fill="FFFFFF"/>
            <w:hideMark/>
          </w:tcPr>
          <w:p w14:paraId="1BBE9173" w14:textId="77777777" w:rsidR="001608E9" w:rsidRPr="009E06AA" w:rsidRDefault="001608E9" w:rsidP="00F44F77">
            <w:pPr>
              <w:pStyle w:val="TableText"/>
              <w:spacing w:before="40" w:after="40"/>
            </w:pPr>
            <w:r w:rsidRPr="009E06AA">
              <w:t>Asphalt roofing</w:t>
            </w:r>
          </w:p>
        </w:tc>
        <w:tc>
          <w:tcPr>
            <w:tcW w:w="2552" w:type="dxa"/>
            <w:shd w:val="clear" w:color="auto" w:fill="FFFFFF"/>
            <w:hideMark/>
          </w:tcPr>
          <w:p w14:paraId="78DEB174" w14:textId="77777777" w:rsidR="001608E9" w:rsidRPr="009E06AA" w:rsidRDefault="001608E9" w:rsidP="00FF5E51">
            <w:pPr>
              <w:pStyle w:val="TableText"/>
              <w:spacing w:before="40" w:after="40"/>
              <w:jc w:val="right"/>
            </w:pPr>
            <w:r w:rsidRPr="009E06AA">
              <w:t>±50</w:t>
            </w:r>
          </w:p>
        </w:tc>
        <w:tc>
          <w:tcPr>
            <w:tcW w:w="2665" w:type="dxa"/>
            <w:shd w:val="clear" w:color="auto" w:fill="FFFFFF"/>
            <w:tcMar>
              <w:right w:w="57" w:type="dxa"/>
            </w:tcMar>
            <w:hideMark/>
          </w:tcPr>
          <w:p w14:paraId="124AB6B0" w14:textId="77777777" w:rsidR="001608E9" w:rsidRPr="009E06AA" w:rsidRDefault="001608E9" w:rsidP="00FF5E51">
            <w:pPr>
              <w:pStyle w:val="TableText"/>
              <w:spacing w:before="40" w:after="40"/>
              <w:jc w:val="right"/>
            </w:pPr>
            <w:r w:rsidRPr="009E06AA">
              <w:t>±40</w:t>
            </w:r>
          </w:p>
        </w:tc>
      </w:tr>
      <w:tr w:rsidR="001608E9" w:rsidRPr="009E06AA" w14:paraId="68DB5DAC" w14:textId="77777777" w:rsidTr="00B55F24">
        <w:tc>
          <w:tcPr>
            <w:tcW w:w="2835" w:type="dxa"/>
            <w:shd w:val="clear" w:color="auto" w:fill="FFFFFF"/>
            <w:hideMark/>
          </w:tcPr>
          <w:p w14:paraId="178B9A20" w14:textId="77777777" w:rsidR="001608E9" w:rsidRPr="009E06AA" w:rsidRDefault="001608E9" w:rsidP="00F44F77">
            <w:pPr>
              <w:pStyle w:val="TableText"/>
              <w:spacing w:before="40" w:after="40"/>
            </w:pPr>
            <w:r w:rsidRPr="009E06AA">
              <w:t>Paint application</w:t>
            </w:r>
          </w:p>
        </w:tc>
        <w:tc>
          <w:tcPr>
            <w:tcW w:w="2552" w:type="dxa"/>
            <w:shd w:val="clear" w:color="auto" w:fill="FFFFFF"/>
            <w:hideMark/>
          </w:tcPr>
          <w:p w14:paraId="61A48614" w14:textId="77777777" w:rsidR="001608E9" w:rsidRPr="009E06AA" w:rsidRDefault="001608E9" w:rsidP="00FF5E51">
            <w:pPr>
              <w:pStyle w:val="TableText"/>
              <w:spacing w:before="40" w:after="40"/>
              <w:jc w:val="right"/>
            </w:pPr>
            <w:r w:rsidRPr="009E06AA">
              <w:t>±40</w:t>
            </w:r>
          </w:p>
        </w:tc>
        <w:tc>
          <w:tcPr>
            <w:tcW w:w="2665" w:type="dxa"/>
            <w:shd w:val="clear" w:color="auto" w:fill="FFFFFF"/>
            <w:tcMar>
              <w:right w:w="57" w:type="dxa"/>
            </w:tcMar>
            <w:hideMark/>
          </w:tcPr>
          <w:p w14:paraId="7FB89FE7" w14:textId="77777777" w:rsidR="001608E9" w:rsidRPr="009E06AA" w:rsidRDefault="001608E9" w:rsidP="00FF5E51">
            <w:pPr>
              <w:pStyle w:val="TableText"/>
              <w:spacing w:before="40" w:after="40"/>
              <w:jc w:val="right"/>
            </w:pPr>
            <w:r w:rsidRPr="009E06AA">
              <w:t>±50</w:t>
            </w:r>
          </w:p>
        </w:tc>
      </w:tr>
      <w:tr w:rsidR="001608E9" w:rsidRPr="009E06AA" w14:paraId="6D47AF3C" w14:textId="77777777" w:rsidTr="00B55F24">
        <w:tc>
          <w:tcPr>
            <w:tcW w:w="2835" w:type="dxa"/>
            <w:shd w:val="clear" w:color="auto" w:fill="FFFFFF"/>
            <w:hideMark/>
          </w:tcPr>
          <w:p w14:paraId="42A579F5" w14:textId="77777777" w:rsidR="001608E9" w:rsidRPr="009E06AA" w:rsidRDefault="001608E9" w:rsidP="00F44F77">
            <w:pPr>
              <w:pStyle w:val="TableText"/>
              <w:spacing w:before="40" w:after="40"/>
            </w:pPr>
            <w:r w:rsidRPr="009E06AA">
              <w:t>Degreasing and dry cleaning</w:t>
            </w:r>
          </w:p>
        </w:tc>
        <w:tc>
          <w:tcPr>
            <w:tcW w:w="2552" w:type="dxa"/>
            <w:shd w:val="clear" w:color="auto" w:fill="FFFFFF"/>
            <w:hideMark/>
          </w:tcPr>
          <w:p w14:paraId="61448A1D" w14:textId="77777777" w:rsidR="001608E9" w:rsidRPr="009E06AA" w:rsidRDefault="001608E9" w:rsidP="00FF5E51">
            <w:pPr>
              <w:pStyle w:val="TableText"/>
              <w:spacing w:before="40" w:after="40"/>
              <w:jc w:val="right"/>
            </w:pPr>
            <w:r w:rsidRPr="009E06AA">
              <w:t>±40</w:t>
            </w:r>
          </w:p>
        </w:tc>
        <w:tc>
          <w:tcPr>
            <w:tcW w:w="2665" w:type="dxa"/>
            <w:shd w:val="clear" w:color="auto" w:fill="FFFFFF"/>
            <w:tcMar>
              <w:right w:w="57" w:type="dxa"/>
            </w:tcMar>
            <w:hideMark/>
          </w:tcPr>
          <w:p w14:paraId="1D7359C5" w14:textId="77777777" w:rsidR="001608E9" w:rsidRPr="009E06AA" w:rsidRDefault="001608E9" w:rsidP="00FF5E51">
            <w:pPr>
              <w:pStyle w:val="TableText"/>
              <w:spacing w:before="40" w:after="40"/>
              <w:jc w:val="right"/>
            </w:pPr>
            <w:r w:rsidRPr="009E06AA">
              <w:t>±60</w:t>
            </w:r>
          </w:p>
        </w:tc>
      </w:tr>
      <w:tr w:rsidR="001608E9" w:rsidRPr="009E06AA" w14:paraId="5763ACFB" w14:textId="77777777" w:rsidTr="00B55F24">
        <w:tc>
          <w:tcPr>
            <w:tcW w:w="2835" w:type="dxa"/>
            <w:shd w:val="clear" w:color="auto" w:fill="FFFFFF"/>
            <w:hideMark/>
          </w:tcPr>
          <w:p w14:paraId="721A7460" w14:textId="77777777" w:rsidR="001608E9" w:rsidRPr="009E06AA" w:rsidRDefault="001608E9" w:rsidP="00F44F77">
            <w:pPr>
              <w:pStyle w:val="TableText"/>
              <w:spacing w:before="40" w:after="40"/>
            </w:pPr>
            <w:r w:rsidRPr="009E06AA">
              <w:t>Printing</w:t>
            </w:r>
          </w:p>
        </w:tc>
        <w:tc>
          <w:tcPr>
            <w:tcW w:w="2552" w:type="dxa"/>
            <w:shd w:val="clear" w:color="auto" w:fill="FFFFFF"/>
            <w:hideMark/>
          </w:tcPr>
          <w:p w14:paraId="7BEF7025" w14:textId="77777777" w:rsidR="001608E9" w:rsidRPr="009E06AA" w:rsidRDefault="001608E9" w:rsidP="00FF5E51">
            <w:pPr>
              <w:pStyle w:val="TableText"/>
              <w:spacing w:before="40" w:after="40"/>
              <w:jc w:val="right"/>
            </w:pPr>
            <w:r w:rsidRPr="009E06AA">
              <w:t>±50</w:t>
            </w:r>
          </w:p>
        </w:tc>
        <w:tc>
          <w:tcPr>
            <w:tcW w:w="2665" w:type="dxa"/>
            <w:shd w:val="clear" w:color="auto" w:fill="FFFFFF"/>
            <w:tcMar>
              <w:right w:w="57" w:type="dxa"/>
            </w:tcMar>
            <w:hideMark/>
          </w:tcPr>
          <w:p w14:paraId="2BAE4396" w14:textId="77777777" w:rsidR="001608E9" w:rsidRPr="009E06AA" w:rsidRDefault="001608E9" w:rsidP="00FF5E51">
            <w:pPr>
              <w:pStyle w:val="TableText"/>
              <w:spacing w:before="40" w:after="40"/>
              <w:jc w:val="right"/>
            </w:pPr>
            <w:r w:rsidRPr="009E06AA">
              <w:t>±50</w:t>
            </w:r>
          </w:p>
        </w:tc>
      </w:tr>
      <w:tr w:rsidR="001608E9" w:rsidRPr="009E06AA" w14:paraId="3194E436" w14:textId="77777777" w:rsidTr="00B55F24">
        <w:tc>
          <w:tcPr>
            <w:tcW w:w="2835" w:type="dxa"/>
            <w:shd w:val="clear" w:color="auto" w:fill="FFFFFF"/>
            <w:hideMark/>
          </w:tcPr>
          <w:p w14:paraId="25EFEAB5" w14:textId="77777777" w:rsidR="001608E9" w:rsidRPr="009E06AA" w:rsidRDefault="001608E9" w:rsidP="00F44F77">
            <w:pPr>
              <w:pStyle w:val="TableText"/>
              <w:spacing w:before="40" w:after="40"/>
            </w:pPr>
            <w:r w:rsidRPr="009E06AA">
              <w:t>Domestic and commercial solvent use</w:t>
            </w:r>
          </w:p>
        </w:tc>
        <w:tc>
          <w:tcPr>
            <w:tcW w:w="2552" w:type="dxa"/>
            <w:shd w:val="clear" w:color="auto" w:fill="FFFFFF"/>
            <w:hideMark/>
          </w:tcPr>
          <w:p w14:paraId="000BED36" w14:textId="77777777" w:rsidR="001608E9" w:rsidRPr="009E06AA" w:rsidRDefault="001608E9" w:rsidP="00FF5E51">
            <w:pPr>
              <w:pStyle w:val="TableText"/>
              <w:spacing w:before="40" w:after="40"/>
              <w:jc w:val="right"/>
            </w:pPr>
            <w:r w:rsidRPr="009E06AA">
              <w:t>±50</w:t>
            </w:r>
          </w:p>
        </w:tc>
        <w:tc>
          <w:tcPr>
            <w:tcW w:w="2665" w:type="dxa"/>
            <w:shd w:val="clear" w:color="auto" w:fill="FFFFFF"/>
            <w:tcMar>
              <w:right w:w="57" w:type="dxa"/>
            </w:tcMar>
            <w:hideMark/>
          </w:tcPr>
          <w:p w14:paraId="6497E0B8" w14:textId="77777777" w:rsidR="001608E9" w:rsidRPr="009E06AA" w:rsidRDefault="001608E9" w:rsidP="00FF5E51">
            <w:pPr>
              <w:pStyle w:val="TableText"/>
              <w:spacing w:before="40" w:after="40"/>
              <w:jc w:val="right"/>
            </w:pPr>
            <w:r w:rsidRPr="009E06AA">
              <w:t>±60</w:t>
            </w:r>
          </w:p>
        </w:tc>
      </w:tr>
    </w:tbl>
    <w:p w14:paraId="3803CC47" w14:textId="77777777" w:rsidR="001608E9" w:rsidRPr="009E06AA" w:rsidRDefault="001608E9" w:rsidP="001608E9">
      <w:pPr>
        <w:pStyle w:val="Heading4"/>
        <w:spacing w:before="360"/>
        <w:rPr>
          <w:bCs/>
          <w:iCs/>
        </w:rPr>
      </w:pPr>
      <w:r w:rsidRPr="009E06AA">
        <w:t>Time-series consistency</w:t>
      </w:r>
    </w:p>
    <w:p w14:paraId="04C07F69" w14:textId="77777777" w:rsidR="001608E9" w:rsidRPr="009E06AA" w:rsidRDefault="001608E9" w:rsidP="001608E9">
      <w:pPr>
        <w:pStyle w:val="BodyText"/>
      </w:pPr>
      <w:r w:rsidRPr="009E06AA">
        <w:t>For CO</w:t>
      </w:r>
      <w:r w:rsidRPr="009E06AA">
        <w:rPr>
          <w:vertAlign w:val="subscript"/>
        </w:rPr>
        <w:t>2</w:t>
      </w:r>
      <w:r w:rsidRPr="009E06AA">
        <w:t xml:space="preserve"> emissions in this category, the activity data have been extrapolated and emission factors are defaults. The implied emission factors and time-series consistency reflect this. </w:t>
      </w:r>
    </w:p>
    <w:p w14:paraId="67E49AC9" w14:textId="77777777" w:rsidR="001608E9" w:rsidRPr="009E06AA" w:rsidRDefault="001608E9" w:rsidP="001608E9">
      <w:pPr>
        <w:pStyle w:val="Heading3"/>
      </w:pPr>
      <w:bookmarkStart w:id="645" w:name="_Toc158647354"/>
      <w:r w:rsidRPr="009E06AA">
        <w:t>4.5.4</w:t>
      </w:r>
      <w:r w:rsidRPr="009E06AA">
        <w:tab/>
        <w:t>Category-specific QA/QC and verification</w:t>
      </w:r>
      <w:bookmarkEnd w:id="645"/>
    </w:p>
    <w:p w14:paraId="48130156" w14:textId="77777777" w:rsidR="001608E9" w:rsidRPr="009E06AA" w:rsidRDefault="001608E9" w:rsidP="001608E9">
      <w:pPr>
        <w:pStyle w:val="BodyText"/>
      </w:pPr>
      <w:r w:rsidRPr="009E06AA">
        <w:rPr>
          <w:i/>
        </w:rPr>
        <w:t>Non-energy products from fuels and solvent use</w:t>
      </w:r>
      <w:r w:rsidRPr="009E06AA">
        <w:t xml:space="preserve"> is a non-key category. Verification of the data from independent sources was not feasible.</w:t>
      </w:r>
    </w:p>
    <w:p w14:paraId="1C2724CC" w14:textId="77777777" w:rsidR="001608E9" w:rsidRPr="009E06AA" w:rsidRDefault="001608E9" w:rsidP="001608E9">
      <w:pPr>
        <w:pStyle w:val="Heading3"/>
      </w:pPr>
      <w:bookmarkStart w:id="646" w:name="_Toc158647355"/>
      <w:r w:rsidRPr="009E06AA">
        <w:t>4.5.5</w:t>
      </w:r>
      <w:r w:rsidRPr="009E06AA">
        <w:tab/>
        <w:t>Category-specific recalculations</w:t>
      </w:r>
      <w:bookmarkEnd w:id="646"/>
    </w:p>
    <w:p w14:paraId="24BB76CF" w14:textId="2DA6764A" w:rsidR="001608E9" w:rsidRPr="009E06AA" w:rsidRDefault="001608E9" w:rsidP="001608E9">
      <w:pPr>
        <w:pStyle w:val="BodyText"/>
      </w:pPr>
      <w:r w:rsidRPr="009E06AA">
        <w:t xml:space="preserve">There </w:t>
      </w:r>
      <w:r w:rsidR="00387CF1" w:rsidRPr="009E06AA">
        <w:t>were</w:t>
      </w:r>
      <w:r w:rsidRPr="009E06AA">
        <w:t xml:space="preserve"> no recalculations for this submission. </w:t>
      </w:r>
    </w:p>
    <w:p w14:paraId="46C9AEBA" w14:textId="77777777" w:rsidR="001608E9" w:rsidRPr="009E06AA" w:rsidRDefault="001608E9" w:rsidP="001608E9">
      <w:pPr>
        <w:pStyle w:val="Heading3"/>
      </w:pPr>
      <w:bookmarkStart w:id="647" w:name="_Toc158647356"/>
      <w:r w:rsidRPr="009E06AA">
        <w:t>4.5.6</w:t>
      </w:r>
      <w:r w:rsidRPr="009E06AA">
        <w:tab/>
        <w:t>Category-specific planned improvements</w:t>
      </w:r>
      <w:bookmarkEnd w:id="647"/>
    </w:p>
    <w:p w14:paraId="4240F302" w14:textId="77777777" w:rsidR="001608E9" w:rsidRPr="009E06AA" w:rsidRDefault="001608E9" w:rsidP="001608E9">
      <w:pPr>
        <w:pStyle w:val="BodyText"/>
      </w:pPr>
      <w:r w:rsidRPr="009E06AA">
        <w:t xml:space="preserve">This category is not a priority for improvement, due to the small scale of emissions. The inventory agency will make use of improved activity data where possible, particularly for lubricants and urea-based catalysts. </w:t>
      </w:r>
    </w:p>
    <w:p w14:paraId="50B75A9C" w14:textId="77777777" w:rsidR="001608E9" w:rsidRPr="009E06AA" w:rsidRDefault="001608E9" w:rsidP="001608E9">
      <w:pPr>
        <w:pStyle w:val="Heading2"/>
      </w:pPr>
      <w:bookmarkStart w:id="648" w:name="_Toc448321517"/>
      <w:bookmarkStart w:id="649" w:name="_Toc5269356"/>
      <w:bookmarkStart w:id="650" w:name="_Toc36224396"/>
      <w:bookmarkStart w:id="651" w:name="_Toc68786316"/>
      <w:bookmarkStart w:id="652" w:name="_Toc131591231"/>
      <w:bookmarkStart w:id="653" w:name="_Toc158647357"/>
      <w:bookmarkStart w:id="654" w:name="_Toc164154185"/>
      <w:r w:rsidRPr="009E06AA">
        <w:t>4.6</w:t>
      </w:r>
      <w:r w:rsidRPr="009E06AA">
        <w:tab/>
        <w:t>Electronics industry (2.E)</w:t>
      </w:r>
      <w:bookmarkEnd w:id="648"/>
      <w:bookmarkEnd w:id="649"/>
      <w:bookmarkEnd w:id="650"/>
      <w:bookmarkEnd w:id="651"/>
      <w:bookmarkEnd w:id="652"/>
      <w:bookmarkEnd w:id="653"/>
      <w:bookmarkEnd w:id="654"/>
    </w:p>
    <w:p w14:paraId="251BE612" w14:textId="77777777" w:rsidR="001608E9" w:rsidRPr="009E06AA" w:rsidRDefault="001608E9" w:rsidP="001608E9">
      <w:pPr>
        <w:pStyle w:val="BodyText"/>
      </w:pPr>
      <w:r w:rsidRPr="009E06AA">
        <w:t xml:space="preserve">New Zealand has no significant industry engaged in the manufacture of electronic products, and no emissions are reported in this category. </w:t>
      </w:r>
    </w:p>
    <w:p w14:paraId="3A55FA62" w14:textId="77777777" w:rsidR="001608E9" w:rsidRPr="009E06AA" w:rsidRDefault="001608E9" w:rsidP="001608E9">
      <w:pPr>
        <w:pStyle w:val="Heading2"/>
      </w:pPr>
      <w:bookmarkStart w:id="655" w:name="_Toc448321518"/>
      <w:bookmarkStart w:id="656" w:name="_Toc5269357"/>
      <w:bookmarkStart w:id="657" w:name="_Toc36224397"/>
      <w:bookmarkStart w:id="658" w:name="_Toc68786317"/>
      <w:bookmarkStart w:id="659" w:name="_Toc131591232"/>
      <w:bookmarkStart w:id="660" w:name="_Toc158647358"/>
      <w:bookmarkStart w:id="661" w:name="_Toc164154186"/>
      <w:r w:rsidRPr="009E06AA">
        <w:t>4.7</w:t>
      </w:r>
      <w:r w:rsidRPr="009E06AA">
        <w:tab/>
        <w:t>Product uses as substitutes for ODS (2.F)</w:t>
      </w:r>
      <w:bookmarkEnd w:id="655"/>
      <w:bookmarkEnd w:id="656"/>
      <w:bookmarkEnd w:id="657"/>
      <w:bookmarkEnd w:id="658"/>
      <w:bookmarkEnd w:id="659"/>
      <w:bookmarkEnd w:id="660"/>
      <w:bookmarkEnd w:id="661"/>
    </w:p>
    <w:p w14:paraId="0F736423" w14:textId="77777777" w:rsidR="001608E9" w:rsidRPr="009E06AA" w:rsidRDefault="001608E9" w:rsidP="001608E9">
      <w:pPr>
        <w:pStyle w:val="Heading3"/>
        <w:spacing w:before="240"/>
      </w:pPr>
      <w:bookmarkStart w:id="662" w:name="_Toc158647359"/>
      <w:r w:rsidRPr="009E06AA">
        <w:t>4.7.1</w:t>
      </w:r>
      <w:r w:rsidRPr="009E06AA">
        <w:tab/>
        <w:t>Description</w:t>
      </w:r>
      <w:bookmarkEnd w:id="662"/>
    </w:p>
    <w:p w14:paraId="58D540B8" w14:textId="77777777" w:rsidR="001608E9" w:rsidRPr="009E06AA" w:rsidRDefault="001608E9" w:rsidP="001608E9">
      <w:pPr>
        <w:pStyle w:val="BodyText"/>
      </w:pPr>
      <w:r w:rsidRPr="009E06AA">
        <w:t xml:space="preserve">Hydrofluorocarbons are used in a wide range of equipment and products, including refrigeration and air conditioning systems and aerosols. Small amounts of PFCs have also been used in these applications in some years. No HFCs or PFCs are manufactured in New Zealand. Perfluorocarbons are also emitted from the aluminium-smelting process and these emissions are reported in the </w:t>
      </w:r>
      <w:r w:rsidRPr="009E06AA">
        <w:rPr>
          <w:i/>
        </w:rPr>
        <w:t>Metal industry</w:t>
      </w:r>
      <w:r w:rsidRPr="009E06AA">
        <w:t xml:space="preserve"> category (2.C.3.b). </w:t>
      </w:r>
    </w:p>
    <w:p w14:paraId="0820C0EB" w14:textId="796779F2" w:rsidR="001608E9" w:rsidRPr="009E06AA" w:rsidRDefault="001608E9" w:rsidP="001608E9">
      <w:pPr>
        <w:pStyle w:val="BodyText"/>
      </w:pPr>
      <w:r w:rsidRPr="009E06AA">
        <w:t>The use of HFCs in New Zealand began in 1992 and has increased since the mid-1990s when</w:t>
      </w:r>
      <w:r w:rsidR="00F72889" w:rsidRPr="009E06AA">
        <w:t xml:space="preserve"> </w:t>
      </w:r>
      <w:r w:rsidRPr="009E06AA">
        <w:t xml:space="preserve">chlorofluorocarbons (CFCs) and hydrochlorofluorocarbons (HCFCs) began to be phased out under the Montreal Protocol. The Ozone Layer Protection Act 1996 set out a programme for phasing out the use of ODS in New Zealand. New Zealand is a signatory to the Kigali Amendment to the Montreal Protocol and is now phasing down the consumption of HFCs. The phase-down is being implemented through a permitting system for imports, which began on 1 January 2020. </w:t>
      </w:r>
    </w:p>
    <w:p w14:paraId="6B95A453" w14:textId="77777777" w:rsidR="001608E9" w:rsidRPr="009E06AA" w:rsidRDefault="001608E9" w:rsidP="001608E9">
      <w:pPr>
        <w:pStyle w:val="BodyText"/>
      </w:pPr>
      <w:r w:rsidRPr="009E06AA">
        <w:t xml:space="preserve">In 2022, emissions in the </w:t>
      </w:r>
      <w:r w:rsidRPr="009E06AA">
        <w:rPr>
          <w:i/>
        </w:rPr>
        <w:t>Product uses as substitutes for ODS</w:t>
      </w:r>
      <w:r w:rsidRPr="009E06AA">
        <w:t xml:space="preserve"> category were 1,498.3 kt CO</w:t>
      </w:r>
      <w:r w:rsidRPr="009E06AA">
        <w:rPr>
          <w:vertAlign w:val="subscript"/>
        </w:rPr>
        <w:t>2</w:t>
      </w:r>
      <w:r w:rsidRPr="009E06AA">
        <w:t>-e or 33.5 per cent of emissions from the IPPU sector. This was a decrease of 86.7 kt CO</w:t>
      </w:r>
      <w:r w:rsidRPr="009E06AA">
        <w:rPr>
          <w:vertAlign w:val="subscript"/>
        </w:rPr>
        <w:t>2</w:t>
      </w:r>
      <w:r w:rsidRPr="009E06AA">
        <w:t>-e (5.5 per cent) from the 2021 level of 1,585.0 kt CO</w:t>
      </w:r>
      <w:r w:rsidRPr="009E06AA">
        <w:rPr>
          <w:vertAlign w:val="subscript"/>
        </w:rPr>
        <w:t>2</w:t>
      </w:r>
      <w:r w:rsidRPr="009E06AA">
        <w:t xml:space="preserve">-e. No HFCs or PFCs were used in 1990. The first consumption of HFCs in New Zealand was reported in 1992 and the first consumption of PFCs in 1995. </w:t>
      </w:r>
    </w:p>
    <w:p w14:paraId="66CE03C1" w14:textId="77777777" w:rsidR="001608E9" w:rsidRPr="009E06AA" w:rsidRDefault="001608E9" w:rsidP="001608E9">
      <w:pPr>
        <w:pStyle w:val="BodyText"/>
      </w:pPr>
      <w:r w:rsidRPr="009E06AA">
        <w:t xml:space="preserve">Most of these emissions come from the use of HFCs in the </w:t>
      </w:r>
      <w:r w:rsidRPr="009E06AA">
        <w:rPr>
          <w:i/>
        </w:rPr>
        <w:t>Refrigeration and air conditioning</w:t>
      </w:r>
      <w:r w:rsidRPr="009E06AA">
        <w:t xml:space="preserve"> category. Emissions from the use of HFCs in the </w:t>
      </w:r>
      <w:r w:rsidRPr="009E06AA">
        <w:rPr>
          <w:i/>
        </w:rPr>
        <w:t>Refrigeration and air conditioning</w:t>
      </w:r>
      <w:r w:rsidRPr="009E06AA">
        <w:t xml:space="preserve"> category (level and trend assessment) were identified as a key category.</w:t>
      </w:r>
    </w:p>
    <w:p w14:paraId="0872E9D8" w14:textId="77777777" w:rsidR="001608E9" w:rsidRPr="009E06AA" w:rsidRDefault="001608E9" w:rsidP="001608E9">
      <w:pPr>
        <w:pStyle w:val="Heading3"/>
      </w:pPr>
      <w:bookmarkStart w:id="663" w:name="_Toc158647360"/>
      <w:r w:rsidRPr="009E06AA">
        <w:t xml:space="preserve">4.7.2 </w:t>
      </w:r>
      <w:r w:rsidRPr="009E06AA">
        <w:tab/>
        <w:t>Methodological issues</w:t>
      </w:r>
      <w:bookmarkEnd w:id="663"/>
    </w:p>
    <w:p w14:paraId="3B81B812" w14:textId="77777777" w:rsidR="001608E9" w:rsidRPr="009E06AA" w:rsidRDefault="001608E9" w:rsidP="001608E9">
      <w:pPr>
        <w:pStyle w:val="Heading4"/>
        <w:spacing w:before="180"/>
        <w:rPr>
          <w:bCs/>
          <w:iCs/>
        </w:rPr>
      </w:pPr>
      <w:r w:rsidRPr="009E06AA">
        <w:t>Choice of activity data</w:t>
      </w:r>
    </w:p>
    <w:p w14:paraId="7A7F51A5" w14:textId="77777777" w:rsidR="001608E9" w:rsidRPr="009E06AA" w:rsidRDefault="001608E9" w:rsidP="001608E9">
      <w:pPr>
        <w:pStyle w:val="BodyText"/>
      </w:pPr>
      <w:r w:rsidRPr="009E06AA">
        <w:t xml:space="preserve">New Zealand imports substantial amounts of new HFCs, mainly for use as refrigerants, both in bulk and in factory-charged equipment. Both bulk chemical and equipment charged in New Zealand are exported, but on a much smaller scale. </w:t>
      </w:r>
    </w:p>
    <w:p w14:paraId="016C0F3F" w14:textId="77777777" w:rsidR="001608E9" w:rsidRPr="009E06AA" w:rsidRDefault="001608E9" w:rsidP="001608E9">
      <w:pPr>
        <w:pStyle w:val="BodyText"/>
        <w:rPr>
          <w:rFonts w:eastAsia="+mn-ea"/>
        </w:rPr>
      </w:pPr>
      <w:r w:rsidRPr="009E06AA">
        <w:t xml:space="preserve">Most of the activity data for the </w:t>
      </w:r>
      <w:r w:rsidRPr="009E06AA">
        <w:rPr>
          <w:i/>
        </w:rPr>
        <w:t>Product uses as substitutes for ODS</w:t>
      </w:r>
      <w:r w:rsidRPr="009E06AA">
        <w:t xml:space="preserve"> category are collected using annual surveys of companies that import, distribute and export refrigerants and other synthetic gases, manufacture or import products containing them or use them on a significant scale (Verum Group, </w:t>
      </w:r>
      <w:r w:rsidRPr="009E06AA">
        <w:rPr>
          <w:rFonts w:eastAsia="+mn-ea"/>
        </w:rPr>
        <w:t>unpublished</w:t>
      </w:r>
      <w:r w:rsidRPr="009E06AA">
        <w:t xml:space="preserve">). </w:t>
      </w:r>
    </w:p>
    <w:p w14:paraId="2991915F" w14:textId="77777777" w:rsidR="001608E9" w:rsidRPr="009E06AA" w:rsidRDefault="001608E9" w:rsidP="001608E9">
      <w:pPr>
        <w:pStyle w:val="BodyText"/>
      </w:pPr>
      <w:r w:rsidRPr="009E06AA">
        <w:t>Data on bulk imports and exports of refrigerant, and factory-charged imported and exported equipment, were obtained using a survey. Detailed information on the supplies and banks of chemical in each sub</w:t>
      </w:r>
      <w:r w:rsidRPr="009E06AA">
        <w:noBreakHyphen/>
        <w:t xml:space="preserve">application was obtained from survey questionnaires and follow-up calls to request specific data. The survey included: </w:t>
      </w:r>
    </w:p>
    <w:p w14:paraId="5082A6CE" w14:textId="77777777" w:rsidR="001608E9" w:rsidRPr="009E06AA" w:rsidRDefault="001608E9" w:rsidP="006F59D3">
      <w:pPr>
        <w:pStyle w:val="Bullet"/>
      </w:pPr>
      <w:r w:rsidRPr="006F59D3">
        <w:t>15</w:t>
      </w:r>
      <w:r w:rsidRPr="009E06AA">
        <w:t xml:space="preserve"> companies known to be significant importers and distributors of HFCs and PFCs</w:t>
      </w:r>
    </w:p>
    <w:p w14:paraId="3F460224" w14:textId="77777777" w:rsidR="001608E9" w:rsidRPr="009E06AA" w:rsidRDefault="001608E9" w:rsidP="001608E9">
      <w:pPr>
        <w:pStyle w:val="Bullet"/>
      </w:pPr>
      <w:r w:rsidRPr="009E06AA">
        <w:t>approximately 70 manufacturers, exporters, importers and significant users of air conditioning and refrigeration systems and equipment</w:t>
      </w:r>
    </w:p>
    <w:p w14:paraId="7BCD0461" w14:textId="77777777" w:rsidR="001608E9" w:rsidRPr="009E06AA" w:rsidRDefault="001608E9" w:rsidP="001608E9">
      <w:pPr>
        <w:pStyle w:val="Bullet"/>
      </w:pPr>
      <w:r w:rsidRPr="009E06AA">
        <w:t>importers, service agents and installers of vehicle air conditioners, and their trade association</w:t>
      </w:r>
    </w:p>
    <w:p w14:paraId="032DED43" w14:textId="77777777" w:rsidR="001608E9" w:rsidRPr="009E06AA" w:rsidRDefault="001608E9" w:rsidP="001608E9">
      <w:pPr>
        <w:pStyle w:val="Bullet"/>
      </w:pPr>
      <w:r w:rsidRPr="009E06AA">
        <w:t>the three companies that supply fire protection equipment</w:t>
      </w:r>
    </w:p>
    <w:p w14:paraId="13F3C5BC" w14:textId="77777777" w:rsidR="001608E9" w:rsidRPr="009E06AA" w:rsidRDefault="001608E9" w:rsidP="001608E9">
      <w:pPr>
        <w:pStyle w:val="Bullet"/>
      </w:pPr>
      <w:r w:rsidRPr="009E06AA">
        <w:t>five foam blowing companies and their suppliers</w:t>
      </w:r>
    </w:p>
    <w:p w14:paraId="09F57F17" w14:textId="77777777" w:rsidR="001608E9" w:rsidRPr="009E06AA" w:rsidRDefault="001608E9" w:rsidP="001608E9">
      <w:pPr>
        <w:pStyle w:val="Bullet"/>
      </w:pPr>
      <w:r w:rsidRPr="009E06AA">
        <w:t xml:space="preserve">the government pharmaceutical purchasing agency (Pharmac) </w:t>
      </w:r>
    </w:p>
    <w:p w14:paraId="2A194BE8" w14:textId="77777777" w:rsidR="001608E9" w:rsidRPr="009E06AA" w:rsidRDefault="001608E9" w:rsidP="001608E9">
      <w:pPr>
        <w:pStyle w:val="Bullet"/>
      </w:pPr>
      <w:r w:rsidRPr="009E06AA">
        <w:t xml:space="preserve">aerosol importers. </w:t>
      </w:r>
    </w:p>
    <w:p w14:paraId="2781BFC0" w14:textId="77777777" w:rsidR="001608E9" w:rsidRPr="009E06AA" w:rsidRDefault="001608E9" w:rsidP="001608E9">
      <w:pPr>
        <w:pStyle w:val="BodyText"/>
      </w:pPr>
      <w:r w:rsidRPr="009E06AA">
        <w:t xml:space="preserve">Equipment sales data are also sourced from the Energy Efficiency and Conservation Authority for equipment reported under New Zealand’s mandatory energy efficiency labelling scheme. Import data are sourced from Stats NZ and the EPA for information derived from the NZ ETS and climate change levy. </w:t>
      </w:r>
    </w:p>
    <w:p w14:paraId="37A5F2A1" w14:textId="77777777" w:rsidR="001608E9" w:rsidRPr="009E06AA" w:rsidRDefault="001608E9" w:rsidP="00BF2A76">
      <w:pPr>
        <w:pStyle w:val="Heading5"/>
      </w:pPr>
      <w:r w:rsidRPr="009E06AA">
        <w:t>Refrigeration and air conditioning (2.F.1)</w:t>
      </w:r>
    </w:p>
    <w:p w14:paraId="7459E812" w14:textId="77777777" w:rsidR="001608E9" w:rsidRPr="009E06AA" w:rsidRDefault="001608E9" w:rsidP="001608E9">
      <w:pPr>
        <w:pStyle w:val="BodyText"/>
      </w:pPr>
      <w:r w:rsidRPr="009E06AA">
        <w:t xml:space="preserve">Data are used to estimate the annual sales of new refrigerant and the total charge of new equipment, for input into the mass balance equation used to estimate emissions of each compound for each sub-application. </w:t>
      </w:r>
    </w:p>
    <w:p w14:paraId="3828F5B9" w14:textId="77777777" w:rsidR="001608E9" w:rsidRPr="009E06AA" w:rsidRDefault="001608E9" w:rsidP="001608E9">
      <w:pPr>
        <w:pStyle w:val="BodyText"/>
      </w:pPr>
      <w:r w:rsidRPr="009E06AA">
        <w:t xml:space="preserve">This information has been used to assess the mass balance for each sub-application. However, the attribution of bulk chemical to individual sub-applications is less accurate than the data on total amounts of each chemical imported. It is consistently challenging to attribute bulk chemical accurately to each of the six specific sub-applications. </w:t>
      </w:r>
    </w:p>
    <w:p w14:paraId="1667855D" w14:textId="77777777" w:rsidR="001608E9" w:rsidRPr="009E06AA" w:rsidRDefault="001608E9" w:rsidP="001608E9">
      <w:pPr>
        <w:pStyle w:val="BodyText"/>
      </w:pPr>
      <w:r w:rsidRPr="009E06AA">
        <w:t>The accurate attribution of bulk chemical to a specific year of use is also challenging, due to large year-to-year variations in the amounts imported. Imports to New Zealand are variable at any time, due to the small amounts of some refrigerants that are used. In addition, import volumes have fluctuated at various times. Significant stockpiling of refrigerant gases occurred in anticipation of NZ ETS obligations in 2013. Stockpiling also appears to have occurred in other years, in response to various price and policy changes. Stock changes are an important factor in applying the mass balance approach to calculate emissions.</w:t>
      </w:r>
    </w:p>
    <w:p w14:paraId="1C73FB62" w14:textId="77777777" w:rsidR="001608E9" w:rsidRPr="009E06AA" w:rsidRDefault="001608E9" w:rsidP="001608E9">
      <w:pPr>
        <w:pStyle w:val="BodyText"/>
      </w:pPr>
      <w:r w:rsidRPr="009E06AA">
        <w:t xml:space="preserve">Care is also needed to avoid double counting of chemical that is sold more than once by wholesalers and other owners before it is used. </w:t>
      </w:r>
    </w:p>
    <w:p w14:paraId="287F93BA" w14:textId="77777777" w:rsidR="001608E9" w:rsidRPr="009E06AA" w:rsidRDefault="001608E9" w:rsidP="001608E9">
      <w:pPr>
        <w:pStyle w:val="BodyText"/>
      </w:pPr>
      <w:r w:rsidRPr="009E06AA">
        <w:t>Additionally, the data on the imports of refrigerant in pre-charged equipment are incomplete and inaccurate. Total reported imports do not appear to fully account for the quantities in equipment that is sold, as indicated by New Zealand’s mandatory product labelling scheme. The number of vehicles imported is known accurately (</w:t>
      </w:r>
      <w:r w:rsidRPr="009E06AA">
        <w:rPr>
          <w:i/>
          <w:iCs/>
        </w:rPr>
        <w:t>Mobile air conditioning</w:t>
      </w:r>
      <w:r w:rsidRPr="009E06AA">
        <w:t xml:space="preserve">) but there is significant uncertainty in the quantities of refrigerant in each vehicle due to the variety of new and second-hand models imported. </w:t>
      </w:r>
    </w:p>
    <w:p w14:paraId="41531818" w14:textId="77777777" w:rsidR="001608E9" w:rsidRPr="009E06AA" w:rsidRDefault="001608E9" w:rsidP="001608E9">
      <w:pPr>
        <w:pStyle w:val="BodyText"/>
      </w:pPr>
      <w:r w:rsidRPr="009E06AA">
        <w:t xml:space="preserve">As a result of these challenges, several expert judgements were made to attribute activity data for each HFC over time and across sub-applications. These are documented in the report by Verum Group (unpublished) and in the stock models used to calculate emissions. </w:t>
      </w:r>
    </w:p>
    <w:p w14:paraId="2BD01C2C" w14:textId="77777777" w:rsidR="001608E9" w:rsidRPr="009E06AA" w:rsidRDefault="001608E9" w:rsidP="001608E9">
      <w:pPr>
        <w:pStyle w:val="BodyText"/>
      </w:pPr>
      <w:r w:rsidRPr="009E06AA">
        <w:t xml:space="preserve">For the </w:t>
      </w:r>
      <w:r w:rsidRPr="009E06AA">
        <w:rPr>
          <w:i/>
        </w:rPr>
        <w:t>Mobile air conditioning</w:t>
      </w:r>
      <w:r w:rsidRPr="009E06AA">
        <w:t xml:space="preserve"> sub-application, only HFC-134a is used in New Zealand and has been since 1994. Data on vehicle registrations and fleet numbers are provided by the New Zealand Transport Agency. Estimates of the annual amount added to the bank, and first</w:t>
      </w:r>
      <w:r w:rsidRPr="009E06AA">
        <w:noBreakHyphen/>
        <w:t xml:space="preserve">fill emissions, are based on information on the number of new cars, trucks and buses with air conditioning added to the fleet each year. The results of the survey of bulk importers and distributors were also used to help determine the amount of HFC-134a sold for mobile air conditioning. </w:t>
      </w:r>
    </w:p>
    <w:p w14:paraId="69D59A73" w14:textId="77777777" w:rsidR="001608E9" w:rsidRPr="009E06AA" w:rsidRDefault="001608E9" w:rsidP="001608E9">
      <w:pPr>
        <w:pStyle w:val="BodyText"/>
      </w:pPr>
      <w:r w:rsidRPr="009E06AA">
        <w:t>In 2009,</w:t>
      </w:r>
      <w:r w:rsidRPr="009E06AA">
        <w:rPr>
          <w:spacing w:val="-2"/>
        </w:rPr>
        <w:t xml:space="preserve"> the average charge of HFC-134a in vehicle air conditioning systems added to the bank at that time was estimated to be as</w:t>
      </w:r>
      <w:r w:rsidRPr="009E06AA">
        <w:t xml:space="preserve"> shown in table 4.7.1, based on IPCC defaults and information from the industry. </w:t>
      </w:r>
    </w:p>
    <w:p w14:paraId="42931F25" w14:textId="77777777" w:rsidR="001608E9" w:rsidRPr="009E06AA" w:rsidRDefault="001608E9" w:rsidP="001608E9">
      <w:pPr>
        <w:pStyle w:val="Table"/>
      </w:pPr>
      <w:bookmarkStart w:id="664" w:name="_Toc451176076"/>
      <w:bookmarkStart w:id="665" w:name="_Toc5269466"/>
      <w:bookmarkStart w:id="666" w:name="_Toc36224539"/>
      <w:bookmarkStart w:id="667" w:name="_Toc68786426"/>
      <w:bookmarkStart w:id="668" w:name="_Toc128042759"/>
      <w:bookmarkStart w:id="669" w:name="_Toc131591339"/>
      <w:bookmarkStart w:id="670" w:name="_Toc158647427"/>
      <w:bookmarkStart w:id="671" w:name="_Toc164153825"/>
      <w:r w:rsidRPr="009E06AA">
        <w:t>Table 4.7.1</w:t>
      </w:r>
      <w:r w:rsidRPr="009E06AA">
        <w:tab/>
        <w:t>Average charge of HFC-134a in mobile air conditioners, 2009</w:t>
      </w:r>
      <w:bookmarkEnd w:id="664"/>
      <w:bookmarkEnd w:id="665"/>
      <w:bookmarkEnd w:id="666"/>
      <w:bookmarkEnd w:id="667"/>
      <w:bookmarkEnd w:id="668"/>
      <w:bookmarkEnd w:id="669"/>
      <w:bookmarkEnd w:id="670"/>
      <w:bookmarkEnd w:id="671"/>
    </w:p>
    <w:tbl>
      <w:tblPr>
        <w:tblW w:w="8505" w:type="dxa"/>
        <w:tblBorders>
          <w:top w:val="single" w:sz="4" w:space="0" w:color="1B556B"/>
          <w:bottom w:val="single" w:sz="4" w:space="0" w:color="1B556B"/>
          <w:insideH w:val="single" w:sz="4" w:space="0" w:color="1B556B"/>
        </w:tblBorders>
        <w:tblLook w:val="04A0" w:firstRow="1" w:lastRow="0" w:firstColumn="1" w:lastColumn="0" w:noHBand="0" w:noVBand="1"/>
      </w:tblPr>
      <w:tblGrid>
        <w:gridCol w:w="2721"/>
        <w:gridCol w:w="2892"/>
        <w:gridCol w:w="2892"/>
      </w:tblGrid>
      <w:tr w:rsidR="001608E9" w:rsidRPr="009E06AA" w14:paraId="5676428E" w14:textId="77777777" w:rsidTr="00B55F24">
        <w:tc>
          <w:tcPr>
            <w:tcW w:w="2540" w:type="dxa"/>
            <w:shd w:val="clear" w:color="auto" w:fill="1B556B"/>
            <w:hideMark/>
          </w:tcPr>
          <w:p w14:paraId="211EA177" w14:textId="77777777" w:rsidR="001608E9" w:rsidRPr="009E06AA" w:rsidRDefault="001608E9" w:rsidP="00B55F24">
            <w:pPr>
              <w:pStyle w:val="TableTextBold"/>
              <w:spacing w:before="50" w:after="50"/>
              <w:rPr>
                <w:noProof w:val="0"/>
                <w:color w:val="FFFFFF"/>
              </w:rPr>
            </w:pPr>
            <w:r w:rsidRPr="009E06AA">
              <w:rPr>
                <w:noProof w:val="0"/>
                <w:color w:val="FFFFFF"/>
              </w:rPr>
              <w:t>Charge for cars and vans (g)</w:t>
            </w:r>
          </w:p>
        </w:tc>
        <w:tc>
          <w:tcPr>
            <w:tcW w:w="2699" w:type="dxa"/>
            <w:shd w:val="clear" w:color="auto" w:fill="1B556B"/>
            <w:hideMark/>
          </w:tcPr>
          <w:p w14:paraId="2F250F99" w14:textId="77777777" w:rsidR="001608E9" w:rsidRPr="009E06AA" w:rsidRDefault="001608E9" w:rsidP="0008598D">
            <w:pPr>
              <w:pStyle w:val="TableTextBold"/>
              <w:spacing w:before="50" w:after="50"/>
              <w:jc w:val="right"/>
              <w:rPr>
                <w:noProof w:val="0"/>
                <w:color w:val="FFFFFF"/>
              </w:rPr>
            </w:pPr>
            <w:r w:rsidRPr="009E06AA">
              <w:rPr>
                <w:noProof w:val="0"/>
                <w:color w:val="FFFFFF"/>
              </w:rPr>
              <w:t>Charge for heavy trucks (g)</w:t>
            </w:r>
          </w:p>
        </w:tc>
        <w:tc>
          <w:tcPr>
            <w:tcW w:w="2699" w:type="dxa"/>
            <w:shd w:val="clear" w:color="auto" w:fill="1B556B"/>
            <w:hideMark/>
          </w:tcPr>
          <w:p w14:paraId="3BD4315B" w14:textId="77777777" w:rsidR="001608E9" w:rsidRPr="009E06AA" w:rsidRDefault="001608E9" w:rsidP="0008598D">
            <w:pPr>
              <w:pStyle w:val="TableTextBold"/>
              <w:spacing w:before="50" w:after="50"/>
              <w:jc w:val="right"/>
              <w:rPr>
                <w:noProof w:val="0"/>
                <w:color w:val="FFFFFF"/>
              </w:rPr>
            </w:pPr>
            <w:r w:rsidRPr="009E06AA">
              <w:rPr>
                <w:noProof w:val="0"/>
                <w:color w:val="FFFFFF"/>
              </w:rPr>
              <w:t>Charge for buses (g)</w:t>
            </w:r>
          </w:p>
        </w:tc>
      </w:tr>
      <w:tr w:rsidR="001608E9" w:rsidRPr="009E06AA" w14:paraId="04CFBB77" w14:textId="77777777" w:rsidTr="00B55F24">
        <w:tc>
          <w:tcPr>
            <w:tcW w:w="2540" w:type="dxa"/>
            <w:shd w:val="clear" w:color="auto" w:fill="FFFFFF"/>
            <w:hideMark/>
          </w:tcPr>
          <w:p w14:paraId="11E41AE7" w14:textId="77777777" w:rsidR="001608E9" w:rsidRPr="009E06AA" w:rsidRDefault="001608E9" w:rsidP="00B55F24">
            <w:pPr>
              <w:pStyle w:val="TableText"/>
              <w:spacing w:before="50" w:after="50"/>
            </w:pPr>
            <w:r w:rsidRPr="009E06AA">
              <w:t>600</w:t>
            </w:r>
          </w:p>
        </w:tc>
        <w:tc>
          <w:tcPr>
            <w:tcW w:w="2699" w:type="dxa"/>
            <w:shd w:val="clear" w:color="auto" w:fill="FFFFFF"/>
            <w:hideMark/>
          </w:tcPr>
          <w:p w14:paraId="76E8D72C" w14:textId="77777777" w:rsidR="001608E9" w:rsidRPr="009E06AA" w:rsidRDefault="001608E9" w:rsidP="0008598D">
            <w:pPr>
              <w:pStyle w:val="TableText"/>
              <w:spacing w:before="50" w:after="50"/>
              <w:jc w:val="right"/>
            </w:pPr>
            <w:r w:rsidRPr="009E06AA">
              <w:t>800</w:t>
            </w:r>
          </w:p>
        </w:tc>
        <w:tc>
          <w:tcPr>
            <w:tcW w:w="2699" w:type="dxa"/>
            <w:shd w:val="clear" w:color="auto" w:fill="FFFFFF"/>
            <w:hideMark/>
          </w:tcPr>
          <w:p w14:paraId="5D93A938" w14:textId="77777777" w:rsidR="001608E9" w:rsidRPr="009E06AA" w:rsidRDefault="001608E9" w:rsidP="0008598D">
            <w:pPr>
              <w:pStyle w:val="TableText"/>
              <w:spacing w:before="50" w:after="50"/>
              <w:jc w:val="right"/>
            </w:pPr>
            <w:r w:rsidRPr="009E06AA">
              <w:t>4,000</w:t>
            </w:r>
          </w:p>
        </w:tc>
      </w:tr>
    </w:tbl>
    <w:p w14:paraId="305769D9" w14:textId="77777777" w:rsidR="001608E9" w:rsidRPr="009E06AA" w:rsidRDefault="001608E9" w:rsidP="001608E9">
      <w:pPr>
        <w:pStyle w:val="BodyText"/>
        <w:spacing w:before="240"/>
      </w:pPr>
      <w:r w:rsidRPr="009E06AA">
        <w:t xml:space="preserve">These amounts were higher in earlier years, with the charge in a car air conditioner at approximately 700 grams in 2000. New Zealand imports a wide variety of vehicles, many of them used cars, and it is not feasible to obtain accurate and up-to-date statistics on their refrigerant charge. Based on this earlier trend, the average charges in new vehicles added to the fleet were assessed to reduce by 2.0 per cent per year for 2010 to 2022. Discussion with importers in 2018 indicated that the ongoing trend to reduce these charges has continued (Verum Group, unpublished). </w:t>
      </w:r>
    </w:p>
    <w:p w14:paraId="2484645A" w14:textId="77777777" w:rsidR="001608E9" w:rsidRPr="009E06AA" w:rsidRDefault="001608E9" w:rsidP="00BF2A76">
      <w:pPr>
        <w:pStyle w:val="Heading5"/>
      </w:pPr>
      <w:r w:rsidRPr="009E06AA">
        <w:t>Foam blowing agents (2.F.2)</w:t>
      </w:r>
    </w:p>
    <w:p w14:paraId="060AA538" w14:textId="77777777" w:rsidR="001608E9" w:rsidRPr="009E06AA" w:rsidRDefault="001608E9" w:rsidP="001608E9">
      <w:pPr>
        <w:pStyle w:val="BodyText"/>
      </w:pPr>
      <w:r w:rsidRPr="009E06AA">
        <w:t xml:space="preserve">Only closed-cell foams are produced in New Zealand. Companies importing and using HFCs for foam blowing have provided data on the gas imported and used, in response to the annual survey. Survey data showed a growing trend in the utilisation of commercial HFC blends up until 2019. During 2021 and 2022, foam companies have moved to the increasing use of hydrofluoroolefin (HFO) blowing agents. Small quantities of HFC-245fa are estimated to be contained in insulating foam in refrigerators and freezers that are imported from Mexico and the United States of America. Imported items from other source countries are unlikely to contain HFCs. </w:t>
      </w:r>
    </w:p>
    <w:p w14:paraId="6171049F" w14:textId="77777777" w:rsidR="001608E9" w:rsidRPr="009E06AA" w:rsidRDefault="001608E9" w:rsidP="00BF2A76">
      <w:pPr>
        <w:pStyle w:val="Heading5"/>
      </w:pPr>
      <w:r w:rsidRPr="009E06AA">
        <w:t>Fire protection (2.F.3)</w:t>
      </w:r>
    </w:p>
    <w:p w14:paraId="47CB3934" w14:textId="77777777" w:rsidR="001608E9" w:rsidRPr="009E06AA" w:rsidRDefault="001608E9" w:rsidP="001608E9">
      <w:pPr>
        <w:pStyle w:val="BodyText"/>
      </w:pPr>
      <w:r w:rsidRPr="009E06AA">
        <w:t>Three companies in New Zealand have imported and supplied fire protection equipment that contains HFC</w:t>
      </w:r>
      <w:r w:rsidRPr="009E06AA">
        <w:noBreakHyphen/>
        <w:t xml:space="preserve">227ea, with two other firms installing small amounts in marine fire protection systems. This gas has been used since 1994 as a substitute for ODS. No other HFCs or PFCs are used. The companies have provided data on the amount imported in equipment, in response to the annual survey. There have been no new installations in recent years. Current stocks and recovered chemical are used to replace leakage. </w:t>
      </w:r>
    </w:p>
    <w:p w14:paraId="5A5E59E1" w14:textId="77777777" w:rsidR="001608E9" w:rsidRPr="009E06AA" w:rsidRDefault="001608E9" w:rsidP="00BF2A76">
      <w:pPr>
        <w:pStyle w:val="Heading5"/>
      </w:pPr>
      <w:r w:rsidRPr="009E06AA">
        <w:t>Aerosols (2.F.4)</w:t>
      </w:r>
    </w:p>
    <w:p w14:paraId="70AAEC58" w14:textId="77777777" w:rsidR="001608E9" w:rsidRPr="009E06AA" w:rsidRDefault="001608E9" w:rsidP="001608E9">
      <w:pPr>
        <w:pStyle w:val="BodyText"/>
      </w:pPr>
      <w:r w:rsidRPr="009E06AA">
        <w:t xml:space="preserve">Most of the HFC use and emissions in this category are for medical use in metered dose inhalers (MDIs). MDIs that use HFC-134a were introduced in 1995, and all MDIs sold in New Zealand from 2012, if they have used any propellant, have used HFCs. Most of the MDIs imported and sold in New Zealand contain either 200 or 120 doses and either 15 grams or 9.5 grams of HFC-134a propellant per inhaler. A small proportion use HFC-227ea. Also, approximately 12.0 per cent of MDIs now sold do not use a propellant at all. </w:t>
      </w:r>
    </w:p>
    <w:p w14:paraId="6839E37A" w14:textId="77777777" w:rsidR="001608E9" w:rsidRPr="009E06AA" w:rsidRDefault="001608E9" w:rsidP="001608E9">
      <w:pPr>
        <w:pStyle w:val="BodyText"/>
        <w:spacing w:after="100"/>
      </w:pPr>
      <w:r w:rsidRPr="009E06AA">
        <w:t xml:space="preserve">All MDIs used in New Zealand are imported. Pharmac supplies annual data on the sales of MDIs, measured as millions of doses for HFC and non-propellant inhalers. </w:t>
      </w:r>
    </w:p>
    <w:p w14:paraId="0FD8B4BC" w14:textId="77777777" w:rsidR="001608E9" w:rsidRPr="009E06AA" w:rsidRDefault="001608E9" w:rsidP="001608E9">
      <w:pPr>
        <w:pStyle w:val="BodyText"/>
        <w:spacing w:after="100"/>
      </w:pPr>
      <w:r w:rsidRPr="009E06AA">
        <w:t xml:space="preserve">An approximate weighted average is used to estimate emissions per dose for each propellant. This average amount of propellant per dose has changed over time due to a changing mix of inhaler types (120 and 200 dose inhalers) as shown in table 4.7.2. </w:t>
      </w:r>
    </w:p>
    <w:p w14:paraId="079A5BFA" w14:textId="77777777" w:rsidR="001608E9" w:rsidRPr="009E06AA" w:rsidRDefault="001608E9" w:rsidP="001608E9">
      <w:pPr>
        <w:pStyle w:val="Table"/>
      </w:pPr>
      <w:bookmarkStart w:id="672" w:name="_Toc128042760"/>
      <w:bookmarkStart w:id="673" w:name="_Toc131591340"/>
      <w:bookmarkStart w:id="674" w:name="_Toc158647428"/>
      <w:bookmarkStart w:id="675" w:name="_Toc164153826"/>
      <w:r w:rsidRPr="009E06AA">
        <w:t>Table 4.7.2</w:t>
      </w:r>
      <w:r w:rsidRPr="009E06AA">
        <w:tab/>
        <w:t>Average emissions per dose in metered dose inhalers (milligrams)</w:t>
      </w:r>
      <w:bookmarkEnd w:id="672"/>
      <w:bookmarkEnd w:id="673"/>
      <w:bookmarkEnd w:id="674"/>
      <w:bookmarkEnd w:id="675"/>
    </w:p>
    <w:tbl>
      <w:tblPr>
        <w:tblW w:w="8505" w:type="dxa"/>
        <w:tblBorders>
          <w:top w:val="single" w:sz="4" w:space="0" w:color="1B556B"/>
          <w:bottom w:val="single" w:sz="4" w:space="0" w:color="1B556B"/>
          <w:insideH w:val="single" w:sz="4" w:space="0" w:color="1B556B"/>
        </w:tblBorders>
        <w:tblLook w:val="04A0" w:firstRow="1" w:lastRow="0" w:firstColumn="1" w:lastColumn="0" w:noHBand="0" w:noVBand="1"/>
      </w:tblPr>
      <w:tblGrid>
        <w:gridCol w:w="2721"/>
        <w:gridCol w:w="2892"/>
        <w:gridCol w:w="2892"/>
      </w:tblGrid>
      <w:tr w:rsidR="001608E9" w:rsidRPr="009E06AA" w14:paraId="2F3A0989" w14:textId="77777777" w:rsidTr="00B55F24">
        <w:tc>
          <w:tcPr>
            <w:tcW w:w="2540" w:type="dxa"/>
            <w:shd w:val="clear" w:color="auto" w:fill="1B556B"/>
            <w:hideMark/>
          </w:tcPr>
          <w:p w14:paraId="47C74AD4" w14:textId="77777777" w:rsidR="001608E9" w:rsidRPr="009E06AA" w:rsidRDefault="001608E9" w:rsidP="00B55F24">
            <w:pPr>
              <w:pStyle w:val="TableTextBold"/>
              <w:spacing w:before="50" w:after="50"/>
              <w:rPr>
                <w:noProof w:val="0"/>
                <w:color w:val="FFFFFF"/>
              </w:rPr>
            </w:pPr>
            <w:r w:rsidRPr="009E06AA">
              <w:rPr>
                <w:noProof w:val="0"/>
                <w:color w:val="FFFFFF"/>
              </w:rPr>
              <w:t>Propellant</w:t>
            </w:r>
          </w:p>
        </w:tc>
        <w:tc>
          <w:tcPr>
            <w:tcW w:w="2699" w:type="dxa"/>
            <w:shd w:val="clear" w:color="auto" w:fill="1B556B"/>
            <w:hideMark/>
          </w:tcPr>
          <w:p w14:paraId="438E8C05" w14:textId="77777777" w:rsidR="001608E9" w:rsidRPr="009E06AA" w:rsidRDefault="001608E9" w:rsidP="0008598D">
            <w:pPr>
              <w:pStyle w:val="TableTextBold"/>
              <w:spacing w:before="50" w:after="50"/>
              <w:jc w:val="right"/>
              <w:rPr>
                <w:noProof w:val="0"/>
                <w:color w:val="FFFFFF"/>
              </w:rPr>
            </w:pPr>
            <w:r w:rsidRPr="009E06AA">
              <w:rPr>
                <w:noProof w:val="0"/>
                <w:color w:val="FFFFFF"/>
              </w:rPr>
              <w:t>Inhalers using HFC-134a</w:t>
            </w:r>
          </w:p>
        </w:tc>
        <w:tc>
          <w:tcPr>
            <w:tcW w:w="2699" w:type="dxa"/>
            <w:shd w:val="clear" w:color="auto" w:fill="1B556B"/>
            <w:hideMark/>
          </w:tcPr>
          <w:p w14:paraId="4E9E6FF6" w14:textId="77777777" w:rsidR="001608E9" w:rsidRPr="009E06AA" w:rsidRDefault="001608E9" w:rsidP="0008598D">
            <w:pPr>
              <w:pStyle w:val="TableTextBold"/>
              <w:spacing w:before="50" w:after="50"/>
              <w:jc w:val="right"/>
              <w:rPr>
                <w:noProof w:val="0"/>
                <w:color w:val="FFFFFF"/>
              </w:rPr>
            </w:pPr>
            <w:r w:rsidRPr="009E06AA">
              <w:rPr>
                <w:noProof w:val="0"/>
                <w:color w:val="FFFFFF"/>
              </w:rPr>
              <w:t>Inhalers using HFC-227ea</w:t>
            </w:r>
          </w:p>
        </w:tc>
      </w:tr>
      <w:tr w:rsidR="001608E9" w:rsidRPr="009E06AA" w14:paraId="264A64A6" w14:textId="77777777" w:rsidTr="00B55F24">
        <w:tc>
          <w:tcPr>
            <w:tcW w:w="2540" w:type="dxa"/>
            <w:shd w:val="clear" w:color="auto" w:fill="FFFFFF"/>
            <w:hideMark/>
          </w:tcPr>
          <w:p w14:paraId="608C8617" w14:textId="77777777" w:rsidR="001608E9" w:rsidRPr="009E06AA" w:rsidRDefault="001608E9" w:rsidP="00B55F24">
            <w:pPr>
              <w:pStyle w:val="TableText"/>
              <w:spacing w:before="50" w:after="50"/>
            </w:pPr>
            <w:r w:rsidRPr="009E06AA">
              <w:t>1995–2015</w:t>
            </w:r>
          </w:p>
        </w:tc>
        <w:tc>
          <w:tcPr>
            <w:tcW w:w="2699" w:type="dxa"/>
            <w:shd w:val="clear" w:color="auto" w:fill="FFFFFF"/>
            <w:hideMark/>
          </w:tcPr>
          <w:p w14:paraId="0A00F87A" w14:textId="77777777" w:rsidR="001608E9" w:rsidRPr="009E06AA" w:rsidRDefault="001608E9" w:rsidP="0008598D">
            <w:pPr>
              <w:pStyle w:val="TableText"/>
              <w:spacing w:before="50" w:after="50"/>
              <w:jc w:val="right"/>
            </w:pPr>
            <w:r w:rsidRPr="009E06AA">
              <w:t>81.4</w:t>
            </w:r>
          </w:p>
        </w:tc>
        <w:tc>
          <w:tcPr>
            <w:tcW w:w="2699" w:type="dxa"/>
            <w:shd w:val="clear" w:color="auto" w:fill="FFFFFF"/>
            <w:hideMark/>
          </w:tcPr>
          <w:p w14:paraId="624904CF" w14:textId="77777777" w:rsidR="001608E9" w:rsidRPr="009E06AA" w:rsidRDefault="001608E9" w:rsidP="0008598D">
            <w:pPr>
              <w:pStyle w:val="TableText"/>
              <w:spacing w:before="50" w:after="50"/>
              <w:jc w:val="right"/>
            </w:pPr>
            <w:r w:rsidRPr="009E06AA">
              <w:t>66.9</w:t>
            </w:r>
          </w:p>
        </w:tc>
      </w:tr>
      <w:tr w:rsidR="001608E9" w:rsidRPr="009E06AA" w14:paraId="3650D394" w14:textId="77777777" w:rsidTr="00B55F24">
        <w:tc>
          <w:tcPr>
            <w:tcW w:w="2540" w:type="dxa"/>
            <w:shd w:val="clear" w:color="auto" w:fill="FFFFFF"/>
          </w:tcPr>
          <w:p w14:paraId="0F03F9EB" w14:textId="77777777" w:rsidR="001608E9" w:rsidRPr="009E06AA" w:rsidRDefault="001608E9" w:rsidP="00B55F24">
            <w:pPr>
              <w:pStyle w:val="TableText"/>
              <w:spacing w:before="50" w:after="50"/>
            </w:pPr>
            <w:r w:rsidRPr="009E06AA">
              <w:t>2016</w:t>
            </w:r>
          </w:p>
        </w:tc>
        <w:tc>
          <w:tcPr>
            <w:tcW w:w="2699" w:type="dxa"/>
            <w:shd w:val="clear" w:color="auto" w:fill="FFFFFF"/>
          </w:tcPr>
          <w:p w14:paraId="26975608" w14:textId="77777777" w:rsidR="001608E9" w:rsidRPr="009E06AA" w:rsidRDefault="001608E9" w:rsidP="0008598D">
            <w:pPr>
              <w:pStyle w:val="TableText"/>
              <w:spacing w:before="50" w:after="50"/>
              <w:jc w:val="right"/>
            </w:pPr>
            <w:r w:rsidRPr="009E06AA">
              <w:t>80.2</w:t>
            </w:r>
          </w:p>
        </w:tc>
        <w:tc>
          <w:tcPr>
            <w:tcW w:w="2699" w:type="dxa"/>
            <w:shd w:val="clear" w:color="auto" w:fill="FFFFFF"/>
          </w:tcPr>
          <w:p w14:paraId="16CC4A73" w14:textId="77777777" w:rsidR="001608E9" w:rsidRPr="009E06AA" w:rsidRDefault="001608E9" w:rsidP="0008598D">
            <w:pPr>
              <w:pStyle w:val="TableText"/>
              <w:spacing w:before="50" w:after="50"/>
              <w:jc w:val="right"/>
            </w:pPr>
            <w:r w:rsidRPr="009E06AA">
              <w:t>68.1</w:t>
            </w:r>
          </w:p>
        </w:tc>
      </w:tr>
      <w:tr w:rsidR="001608E9" w:rsidRPr="009E06AA" w14:paraId="2A9A6034" w14:textId="77777777" w:rsidTr="00B55F24">
        <w:tc>
          <w:tcPr>
            <w:tcW w:w="2540" w:type="dxa"/>
            <w:shd w:val="clear" w:color="auto" w:fill="FFFFFF"/>
          </w:tcPr>
          <w:p w14:paraId="55D19846" w14:textId="77777777" w:rsidR="001608E9" w:rsidRPr="009E06AA" w:rsidRDefault="001608E9" w:rsidP="00B55F24">
            <w:pPr>
              <w:pStyle w:val="TableText"/>
              <w:spacing w:before="50" w:after="50"/>
            </w:pPr>
            <w:r w:rsidRPr="009E06AA">
              <w:t>2017</w:t>
            </w:r>
          </w:p>
        </w:tc>
        <w:tc>
          <w:tcPr>
            <w:tcW w:w="2699" w:type="dxa"/>
            <w:shd w:val="clear" w:color="auto" w:fill="FFFFFF"/>
          </w:tcPr>
          <w:p w14:paraId="64CBA885" w14:textId="77777777" w:rsidR="001608E9" w:rsidRPr="009E06AA" w:rsidRDefault="001608E9" w:rsidP="0008598D">
            <w:pPr>
              <w:pStyle w:val="TableText"/>
              <w:spacing w:before="50" w:after="50"/>
              <w:jc w:val="right"/>
            </w:pPr>
            <w:r w:rsidRPr="009E06AA">
              <w:t>79.5</w:t>
            </w:r>
          </w:p>
        </w:tc>
        <w:tc>
          <w:tcPr>
            <w:tcW w:w="2699" w:type="dxa"/>
            <w:shd w:val="clear" w:color="auto" w:fill="FFFFFF"/>
          </w:tcPr>
          <w:p w14:paraId="740CD027" w14:textId="77777777" w:rsidR="001608E9" w:rsidRPr="009E06AA" w:rsidRDefault="001608E9" w:rsidP="0008598D">
            <w:pPr>
              <w:pStyle w:val="TableText"/>
              <w:spacing w:before="50" w:after="50"/>
              <w:jc w:val="right"/>
            </w:pPr>
            <w:r w:rsidRPr="009E06AA">
              <w:t>68.5</w:t>
            </w:r>
          </w:p>
        </w:tc>
      </w:tr>
      <w:tr w:rsidR="001608E9" w:rsidRPr="009E06AA" w14:paraId="5FE46A2E" w14:textId="77777777" w:rsidTr="00B55F24">
        <w:tc>
          <w:tcPr>
            <w:tcW w:w="2540" w:type="dxa"/>
            <w:shd w:val="clear" w:color="auto" w:fill="FFFFFF"/>
          </w:tcPr>
          <w:p w14:paraId="7F69846D" w14:textId="77777777" w:rsidR="001608E9" w:rsidRPr="009E06AA" w:rsidRDefault="001608E9" w:rsidP="00B55F24">
            <w:pPr>
              <w:pStyle w:val="TableText"/>
              <w:spacing w:before="50" w:after="50"/>
            </w:pPr>
            <w:r w:rsidRPr="009E06AA">
              <w:t>2018</w:t>
            </w:r>
          </w:p>
        </w:tc>
        <w:tc>
          <w:tcPr>
            <w:tcW w:w="2699" w:type="dxa"/>
            <w:shd w:val="clear" w:color="auto" w:fill="FFFFFF"/>
          </w:tcPr>
          <w:p w14:paraId="0E0A4C20" w14:textId="77777777" w:rsidR="001608E9" w:rsidRPr="009E06AA" w:rsidRDefault="001608E9" w:rsidP="0008598D">
            <w:pPr>
              <w:pStyle w:val="TableText"/>
              <w:spacing w:before="50" w:after="50"/>
              <w:jc w:val="right"/>
            </w:pPr>
            <w:r w:rsidRPr="009E06AA">
              <w:t>78.3</w:t>
            </w:r>
          </w:p>
        </w:tc>
        <w:tc>
          <w:tcPr>
            <w:tcW w:w="2699" w:type="dxa"/>
            <w:shd w:val="clear" w:color="auto" w:fill="FFFFFF"/>
          </w:tcPr>
          <w:p w14:paraId="3C172B49" w14:textId="77777777" w:rsidR="001608E9" w:rsidRPr="009E06AA" w:rsidRDefault="001608E9" w:rsidP="0008598D">
            <w:pPr>
              <w:pStyle w:val="TableText"/>
              <w:spacing w:before="50" w:after="50"/>
              <w:jc w:val="right"/>
            </w:pPr>
            <w:r w:rsidRPr="009E06AA">
              <w:t>70.3</w:t>
            </w:r>
          </w:p>
        </w:tc>
      </w:tr>
      <w:tr w:rsidR="001608E9" w:rsidRPr="009E06AA" w14:paraId="129B97DF" w14:textId="77777777" w:rsidTr="00B55F24">
        <w:tc>
          <w:tcPr>
            <w:tcW w:w="2540" w:type="dxa"/>
            <w:shd w:val="clear" w:color="auto" w:fill="FFFFFF"/>
          </w:tcPr>
          <w:p w14:paraId="58CA5EAC" w14:textId="77777777" w:rsidR="001608E9" w:rsidRPr="009E06AA" w:rsidRDefault="001608E9" w:rsidP="00B55F24">
            <w:pPr>
              <w:pStyle w:val="TableText"/>
              <w:spacing w:before="50" w:after="50"/>
            </w:pPr>
            <w:r w:rsidRPr="009E06AA">
              <w:t>2019</w:t>
            </w:r>
          </w:p>
        </w:tc>
        <w:tc>
          <w:tcPr>
            <w:tcW w:w="2699" w:type="dxa"/>
            <w:shd w:val="clear" w:color="auto" w:fill="FFFFFF"/>
          </w:tcPr>
          <w:p w14:paraId="669EBEE7" w14:textId="77777777" w:rsidR="001608E9" w:rsidRPr="009E06AA" w:rsidRDefault="001608E9" w:rsidP="0008598D">
            <w:pPr>
              <w:pStyle w:val="TableText"/>
              <w:spacing w:before="50" w:after="50"/>
              <w:jc w:val="right"/>
            </w:pPr>
            <w:r w:rsidRPr="009E06AA">
              <w:t>77.9</w:t>
            </w:r>
          </w:p>
        </w:tc>
        <w:tc>
          <w:tcPr>
            <w:tcW w:w="2699" w:type="dxa"/>
            <w:shd w:val="clear" w:color="auto" w:fill="FFFFFF"/>
          </w:tcPr>
          <w:p w14:paraId="730E9CA0" w14:textId="77777777" w:rsidR="001608E9" w:rsidRPr="009E06AA" w:rsidRDefault="001608E9" w:rsidP="0008598D">
            <w:pPr>
              <w:pStyle w:val="TableText"/>
              <w:spacing w:before="50" w:after="50"/>
              <w:jc w:val="right"/>
            </w:pPr>
            <w:r w:rsidRPr="009E06AA">
              <w:t>73.5</w:t>
            </w:r>
          </w:p>
        </w:tc>
      </w:tr>
      <w:tr w:rsidR="001608E9" w:rsidRPr="009E06AA" w14:paraId="4D2EE748" w14:textId="77777777" w:rsidTr="00B55F24">
        <w:tc>
          <w:tcPr>
            <w:tcW w:w="2540" w:type="dxa"/>
            <w:shd w:val="clear" w:color="auto" w:fill="FFFFFF"/>
          </w:tcPr>
          <w:p w14:paraId="761DEF4B" w14:textId="77777777" w:rsidR="001608E9" w:rsidRPr="009E06AA" w:rsidRDefault="001608E9" w:rsidP="00B55F24">
            <w:pPr>
              <w:pStyle w:val="TableText"/>
              <w:spacing w:before="50" w:after="50"/>
            </w:pPr>
            <w:r w:rsidRPr="009E06AA">
              <w:t>2020</w:t>
            </w:r>
          </w:p>
        </w:tc>
        <w:tc>
          <w:tcPr>
            <w:tcW w:w="2699" w:type="dxa"/>
            <w:shd w:val="clear" w:color="auto" w:fill="FFFFFF"/>
          </w:tcPr>
          <w:p w14:paraId="757213AB" w14:textId="77777777" w:rsidR="001608E9" w:rsidRPr="009E06AA" w:rsidRDefault="001608E9" w:rsidP="0008598D">
            <w:pPr>
              <w:pStyle w:val="TableText"/>
              <w:spacing w:before="50" w:after="50"/>
              <w:jc w:val="right"/>
            </w:pPr>
            <w:r w:rsidRPr="009E06AA">
              <w:t>77.5</w:t>
            </w:r>
          </w:p>
        </w:tc>
        <w:tc>
          <w:tcPr>
            <w:tcW w:w="2699" w:type="dxa"/>
            <w:shd w:val="clear" w:color="auto" w:fill="FFFFFF"/>
          </w:tcPr>
          <w:p w14:paraId="3469780A" w14:textId="77777777" w:rsidR="001608E9" w:rsidRPr="009E06AA" w:rsidRDefault="001608E9" w:rsidP="0008598D">
            <w:pPr>
              <w:pStyle w:val="TableText"/>
              <w:spacing w:before="50" w:after="50"/>
              <w:jc w:val="right"/>
            </w:pPr>
            <w:r w:rsidRPr="009E06AA">
              <w:t>83.2</w:t>
            </w:r>
          </w:p>
        </w:tc>
      </w:tr>
      <w:tr w:rsidR="001608E9" w:rsidRPr="009E06AA" w14:paraId="44FCB74D" w14:textId="77777777" w:rsidTr="00B55F24">
        <w:tc>
          <w:tcPr>
            <w:tcW w:w="2540" w:type="dxa"/>
            <w:shd w:val="clear" w:color="auto" w:fill="FFFFFF"/>
          </w:tcPr>
          <w:p w14:paraId="1B6B9238" w14:textId="77777777" w:rsidR="001608E9" w:rsidRPr="009E06AA" w:rsidRDefault="001608E9" w:rsidP="00B55F24">
            <w:pPr>
              <w:pStyle w:val="TableText"/>
              <w:spacing w:before="50" w:after="50"/>
            </w:pPr>
            <w:r w:rsidRPr="009E06AA">
              <w:t>2021</w:t>
            </w:r>
          </w:p>
        </w:tc>
        <w:tc>
          <w:tcPr>
            <w:tcW w:w="2699" w:type="dxa"/>
            <w:shd w:val="clear" w:color="auto" w:fill="FFFFFF"/>
          </w:tcPr>
          <w:p w14:paraId="08D538C0" w14:textId="77777777" w:rsidR="001608E9" w:rsidRPr="009E06AA" w:rsidRDefault="001608E9" w:rsidP="0008598D">
            <w:pPr>
              <w:pStyle w:val="TableText"/>
              <w:spacing w:before="50" w:after="50"/>
              <w:jc w:val="right"/>
            </w:pPr>
            <w:r w:rsidRPr="009E06AA">
              <w:t>76.9</w:t>
            </w:r>
          </w:p>
        </w:tc>
        <w:tc>
          <w:tcPr>
            <w:tcW w:w="2699" w:type="dxa"/>
            <w:shd w:val="clear" w:color="auto" w:fill="FFFFFF"/>
          </w:tcPr>
          <w:p w14:paraId="76EEDF62" w14:textId="77777777" w:rsidR="001608E9" w:rsidRPr="009E06AA" w:rsidRDefault="001608E9" w:rsidP="0008598D">
            <w:pPr>
              <w:pStyle w:val="TableText"/>
              <w:spacing w:before="50" w:after="50"/>
              <w:jc w:val="right"/>
            </w:pPr>
            <w:r w:rsidRPr="009E06AA">
              <w:t>87.8</w:t>
            </w:r>
          </w:p>
        </w:tc>
      </w:tr>
    </w:tbl>
    <w:p w14:paraId="2E10D2D3" w14:textId="77777777" w:rsidR="001608E9" w:rsidRPr="009E06AA" w:rsidRDefault="001608E9" w:rsidP="001608E9">
      <w:pPr>
        <w:pStyle w:val="BodyText"/>
        <w:spacing w:before="240" w:after="100"/>
      </w:pPr>
      <w:r w:rsidRPr="009E06AA">
        <w:t xml:space="preserve">HFC-134a is the predominant HFC propellant used in non-medical aerosols in New Zealand. A small amount of HFC-152a has been used from 2015. A very small amount of HFC-43-10mee was reported between 2020 and 2022, mixed with HFC-134a in a specialised aerosol product. </w:t>
      </w:r>
    </w:p>
    <w:p w14:paraId="5674B7ED" w14:textId="77777777" w:rsidR="001608E9" w:rsidRPr="009E06AA" w:rsidRDefault="001608E9" w:rsidP="001608E9">
      <w:pPr>
        <w:pStyle w:val="BodyText"/>
      </w:pPr>
      <w:r w:rsidRPr="009E06AA">
        <w:t xml:space="preserve">All non-MDI aerosols used in New Zealand now are imported, with the propellant charge already in place. Up until 2014, one company loaded specialised aerosols in New Zealand with HFC-134a as the propellant. This activity is no longer carried out. </w:t>
      </w:r>
    </w:p>
    <w:p w14:paraId="56C0DFAE" w14:textId="77777777" w:rsidR="001608E9" w:rsidRPr="009E06AA" w:rsidRDefault="001608E9" w:rsidP="001608E9">
      <w:pPr>
        <w:pStyle w:val="BodyText"/>
      </w:pPr>
      <w:r w:rsidRPr="009E06AA">
        <w:t xml:space="preserve">Nearly </w:t>
      </w:r>
      <w:r w:rsidRPr="009E06AA" w:rsidDel="00C00B8E">
        <w:t>all</w:t>
      </w:r>
      <w:r w:rsidRPr="009E06AA">
        <w:t xml:space="preserve"> the aerosol cans that are imported and sold in New Zealand use hydrocarbon propellants, while only a few specialised applications use HFCs. </w:t>
      </w:r>
    </w:p>
    <w:p w14:paraId="4051F538" w14:textId="77777777" w:rsidR="001608E9" w:rsidRPr="009E06AA" w:rsidRDefault="001608E9" w:rsidP="001608E9">
      <w:pPr>
        <w:pStyle w:val="BodyText"/>
      </w:pPr>
      <w:r w:rsidRPr="009E06AA">
        <w:t xml:space="preserve">Information on the importation, manufacture and use of non-MDI aerosol products has been </w:t>
      </w:r>
      <w:r w:rsidRPr="009E06AA">
        <w:rPr>
          <w:spacing w:val="-2"/>
        </w:rPr>
        <w:t>sourced from the survey data, which has been supplied by importers, from the one New Zealand</w:t>
      </w:r>
      <w:r w:rsidRPr="009E06AA">
        <w:t xml:space="preserve"> aerosol manufacturer that previously used HFC</w:t>
      </w:r>
      <w:r w:rsidRPr="009E06AA">
        <w:noBreakHyphen/>
        <w:t xml:space="preserve">134a and from their industry association. </w:t>
      </w:r>
    </w:p>
    <w:p w14:paraId="23394B79" w14:textId="77777777" w:rsidR="001608E9" w:rsidRPr="009E06AA" w:rsidRDefault="001608E9" w:rsidP="001608E9">
      <w:pPr>
        <w:pStyle w:val="BodyText"/>
      </w:pPr>
      <w:r w:rsidRPr="009E06AA">
        <w:t>Import data, irrespective of the source, are not complete or reliable due to the diffuse nature of the aerosol market. The available data do not clearly differentiate aerosols containing HFCs from the significantly larger number that contain hydrocarbons.</w:t>
      </w:r>
    </w:p>
    <w:p w14:paraId="68112A89" w14:textId="77777777" w:rsidR="001608E9" w:rsidRPr="009E06AA" w:rsidRDefault="001608E9" w:rsidP="001608E9">
      <w:pPr>
        <w:pStyle w:val="BodyText"/>
      </w:pPr>
      <w:r w:rsidRPr="009E06AA">
        <w:t xml:space="preserve">Survey data have provided some incomplete estimates of imports containing HFCs, for example, they accounted for 6.6 tonnes of HFC-134a in 2006. By combining this information with data from the New Zealand manufacturer, an assessment has been made of the proportions of HFC-134a in aerosol products sold in New Zealand: </w:t>
      </w:r>
    </w:p>
    <w:p w14:paraId="7599B1D8" w14:textId="77777777" w:rsidR="001608E9" w:rsidRPr="009E06AA" w:rsidRDefault="001608E9" w:rsidP="001608E9">
      <w:pPr>
        <w:pStyle w:val="Bullet"/>
      </w:pPr>
      <w:r w:rsidRPr="009E06AA">
        <w:t xml:space="preserve">zero from 1990 to 1995, when HFC propellant had not yet been introduced </w:t>
      </w:r>
    </w:p>
    <w:p w14:paraId="244890C6" w14:textId="77777777" w:rsidR="001608E9" w:rsidRPr="009E06AA" w:rsidRDefault="001608E9" w:rsidP="001608E9">
      <w:pPr>
        <w:pStyle w:val="Bullet"/>
      </w:pPr>
      <w:r w:rsidRPr="009E06AA">
        <w:t xml:space="preserve">phased in from 1996 to 2000, reaching 1 per cent in 2000 </w:t>
      </w:r>
    </w:p>
    <w:p w14:paraId="0EE6C596" w14:textId="77777777" w:rsidR="001608E9" w:rsidRPr="009E06AA" w:rsidRDefault="001608E9" w:rsidP="001608E9">
      <w:pPr>
        <w:pStyle w:val="Bullet"/>
      </w:pPr>
      <w:r w:rsidRPr="009E06AA">
        <w:t>1 per cent (approximately 17 tonnes of HFC-134a annually) from 2001 to 2016</w:t>
      </w:r>
    </w:p>
    <w:p w14:paraId="4636D42C" w14:textId="77777777" w:rsidR="001608E9" w:rsidRPr="009E06AA" w:rsidRDefault="001608E9" w:rsidP="001608E9">
      <w:pPr>
        <w:pStyle w:val="Bullet"/>
      </w:pPr>
      <w:r w:rsidRPr="009E06AA">
        <w:t>phasing down by 0.1 per cent each year from 2017 to 2019, driven by introduction of HFOs</w:t>
      </w:r>
    </w:p>
    <w:p w14:paraId="40767D2B" w14:textId="77777777" w:rsidR="001608E9" w:rsidRPr="009E06AA" w:rsidRDefault="001608E9" w:rsidP="001608E9">
      <w:pPr>
        <w:pStyle w:val="Bullet"/>
      </w:pPr>
      <w:r w:rsidRPr="009E06AA">
        <w:t>remaining at 0.7 per cent for 2020</w:t>
      </w:r>
    </w:p>
    <w:p w14:paraId="1CACA4A7" w14:textId="77777777" w:rsidR="001608E9" w:rsidRPr="009E06AA" w:rsidRDefault="001608E9" w:rsidP="001608E9">
      <w:pPr>
        <w:pStyle w:val="Bullet"/>
      </w:pPr>
      <w:r w:rsidRPr="009E06AA">
        <w:t xml:space="preserve">0.6 per cent in 2022 due to a further increase in the use of HFOs. </w:t>
      </w:r>
    </w:p>
    <w:p w14:paraId="26355FD4" w14:textId="77777777" w:rsidR="001608E9" w:rsidRPr="009E06AA" w:rsidRDefault="001608E9" w:rsidP="001608E9">
      <w:pPr>
        <w:pStyle w:val="BodyText"/>
      </w:pPr>
      <w:r w:rsidRPr="009E06AA">
        <w:t>For all non-MDI aerosol products using HFC-134a as the propellant, the average propellant charge is assessed to be 84 grams.</w:t>
      </w:r>
    </w:p>
    <w:p w14:paraId="68AA1497" w14:textId="77777777" w:rsidR="001608E9" w:rsidRPr="009E06AA" w:rsidRDefault="001608E9" w:rsidP="001608E9">
      <w:pPr>
        <w:pStyle w:val="Heading4"/>
      </w:pPr>
      <w:r w:rsidRPr="009E06AA">
        <w:t>Choice of methods</w:t>
      </w:r>
    </w:p>
    <w:p w14:paraId="5FE4D71F" w14:textId="77777777" w:rsidR="001608E9" w:rsidRPr="009E06AA" w:rsidRDefault="001608E9" w:rsidP="00BF2A76">
      <w:pPr>
        <w:pStyle w:val="Heading5"/>
      </w:pPr>
      <w:r w:rsidRPr="009E06AA">
        <w:t>Refrigeration and air conditioning (2.F.1)</w:t>
      </w:r>
    </w:p>
    <w:p w14:paraId="691D9A2C" w14:textId="77777777" w:rsidR="001608E9" w:rsidRPr="009E06AA" w:rsidRDefault="001608E9" w:rsidP="001608E9">
      <w:pPr>
        <w:pStyle w:val="BodyText"/>
      </w:pPr>
      <w:r w:rsidRPr="009E06AA">
        <w:t xml:space="preserve">The Tier 2b mass balance approach is used to estimate emissions from the </w:t>
      </w:r>
      <w:r w:rsidRPr="009E06AA">
        <w:rPr>
          <w:i/>
        </w:rPr>
        <w:t>Refrigeration and air conditioning</w:t>
      </w:r>
      <w:r w:rsidRPr="009E06AA">
        <w:t xml:space="preserve"> category. This method is used because complete and accurate data are available on bulk imports of the refrigerants used for these applications. The alternative Tier 2a approach would require bottom-up data on the charges, leakage rates and population of a great variety of equipment items. This information is not available. </w:t>
      </w:r>
    </w:p>
    <w:p w14:paraId="2FB088FD" w14:textId="77777777" w:rsidR="001608E9" w:rsidRPr="009E06AA" w:rsidRDefault="001608E9" w:rsidP="001608E9">
      <w:pPr>
        <w:pStyle w:val="BodyText"/>
      </w:pPr>
      <w:r w:rsidRPr="009E06AA">
        <w:t xml:space="preserve">Annual sales and the charge in new equipment are calculated as shown in box 7.3 in the 2006 IPCC Guidelines (IPCC, 2006a) (see box 4.1). Total charge of new equipment includes equipment that is later exported. </w:t>
      </w:r>
    </w:p>
    <w:p w14:paraId="2284272E" w14:textId="77777777" w:rsidR="001608E9" w:rsidRPr="009E06AA" w:rsidRDefault="001608E9" w:rsidP="001608E9">
      <w:pPr>
        <w:pStyle w:val="BodyText"/>
        <w:keepNext/>
        <w:rPr>
          <w:b/>
          <w:szCs w:val="24"/>
        </w:rPr>
      </w:pPr>
      <w:r w:rsidRPr="009E06AA">
        <w:rPr>
          <w:rFonts w:cs="Arial"/>
          <w:b/>
          <w:i/>
          <w:sz w:val="20"/>
          <w:szCs w:val="24"/>
        </w:rPr>
        <w:t>Box 4.1</w:t>
      </w:r>
    </w:p>
    <w:p w14:paraId="42DFDE50" w14:textId="77777777" w:rsidR="001608E9" w:rsidRPr="009357BD" w:rsidRDefault="001608E9" w:rsidP="001608E9">
      <w:pPr>
        <w:pStyle w:val="BoxHeading"/>
        <w:keepNext/>
        <w:pBdr>
          <w:top w:val="single" w:sz="6" w:space="10" w:color="auto"/>
          <w:left w:val="single" w:sz="6" w:space="12" w:color="auto"/>
          <w:bottom w:val="single" w:sz="6" w:space="10" w:color="auto"/>
          <w:right w:val="single" w:sz="6" w:space="12" w:color="auto"/>
        </w:pBdr>
        <w:spacing w:after="120"/>
        <w:ind w:left="284"/>
        <w:jc w:val="center"/>
        <w:rPr>
          <w:i/>
          <w:sz w:val="20"/>
          <w:szCs w:val="20"/>
        </w:rPr>
      </w:pPr>
      <w:r w:rsidRPr="009357BD">
        <w:rPr>
          <w:i/>
          <w:sz w:val="20"/>
          <w:szCs w:val="20"/>
        </w:rPr>
        <w:t>IPCC (2006a) first equation in box 7.3</w:t>
      </w:r>
    </w:p>
    <w:p w14:paraId="21606B4C" w14:textId="77777777" w:rsidR="001608E9" w:rsidRPr="009357BD" w:rsidRDefault="001608E9" w:rsidP="001608E9">
      <w:pPr>
        <w:pStyle w:val="Box"/>
        <w:keepNext/>
        <w:pBdr>
          <w:top w:val="single" w:sz="6" w:space="10" w:color="auto"/>
          <w:left w:val="single" w:sz="6" w:space="12" w:color="auto"/>
          <w:bottom w:val="single" w:sz="6" w:space="10" w:color="auto"/>
          <w:right w:val="single" w:sz="6" w:space="12" w:color="auto"/>
        </w:pBdr>
        <w:spacing w:after="100"/>
        <w:ind w:left="284"/>
        <w:jc w:val="center"/>
        <w:rPr>
          <w:rFonts w:ascii="Cambria Math" w:hAnsi="Cambria Math"/>
          <w:b/>
          <w:i/>
          <w:szCs w:val="20"/>
        </w:rPr>
      </w:pPr>
      <w:r w:rsidRPr="009357BD">
        <w:rPr>
          <w:rFonts w:ascii="Cambria Math" w:hAnsi="Cambria Math"/>
          <w:b/>
          <w:i/>
          <w:szCs w:val="20"/>
        </w:rPr>
        <w:t xml:space="preserve">Annual Sales of New Refrigerant </w:t>
      </w:r>
    </w:p>
    <w:p w14:paraId="0B00F9FC" w14:textId="77777777" w:rsidR="001608E9" w:rsidRPr="009357BD" w:rsidRDefault="001608E9" w:rsidP="001608E9">
      <w:pPr>
        <w:pStyle w:val="Box"/>
        <w:pBdr>
          <w:top w:val="single" w:sz="6" w:space="10" w:color="auto"/>
          <w:left w:val="single" w:sz="6" w:space="12" w:color="auto"/>
          <w:bottom w:val="single" w:sz="6" w:space="10" w:color="auto"/>
          <w:right w:val="single" w:sz="6" w:space="12" w:color="auto"/>
        </w:pBdr>
        <w:spacing w:after="100"/>
        <w:ind w:left="284"/>
        <w:jc w:val="center"/>
        <w:rPr>
          <w:rFonts w:ascii="Cambria Math" w:hAnsi="Cambria Math"/>
          <w:i/>
          <w:szCs w:val="20"/>
        </w:rPr>
      </w:pPr>
      <w:r w:rsidRPr="009357BD">
        <w:rPr>
          <w:rFonts w:ascii="Cambria Math" w:hAnsi="Cambria Math"/>
          <w:i/>
          <w:szCs w:val="20"/>
        </w:rPr>
        <w:t>= Domestically Manufactured Chemical</w:t>
      </w:r>
    </w:p>
    <w:p w14:paraId="3F82F4F0" w14:textId="77777777" w:rsidR="001608E9" w:rsidRPr="009357BD" w:rsidRDefault="001608E9" w:rsidP="001608E9">
      <w:pPr>
        <w:pStyle w:val="Box"/>
        <w:pBdr>
          <w:top w:val="single" w:sz="6" w:space="10" w:color="auto"/>
          <w:left w:val="single" w:sz="6" w:space="12" w:color="auto"/>
          <w:bottom w:val="single" w:sz="6" w:space="10" w:color="auto"/>
          <w:right w:val="single" w:sz="6" w:space="12" w:color="auto"/>
        </w:pBdr>
        <w:spacing w:after="100"/>
        <w:ind w:left="284"/>
        <w:jc w:val="center"/>
        <w:rPr>
          <w:rFonts w:ascii="Cambria Math" w:hAnsi="Cambria Math"/>
          <w:i/>
          <w:szCs w:val="20"/>
        </w:rPr>
      </w:pPr>
      <w:r w:rsidRPr="009357BD">
        <w:rPr>
          <w:rFonts w:ascii="Cambria Math" w:hAnsi="Cambria Math"/>
          <w:i/>
          <w:szCs w:val="20"/>
        </w:rPr>
        <w:t>+ Imported Bulk Chemical ― Exported Bulk Chemical</w:t>
      </w:r>
    </w:p>
    <w:p w14:paraId="1DFB8477" w14:textId="77777777" w:rsidR="001608E9" w:rsidRPr="009357BD" w:rsidRDefault="001608E9" w:rsidP="001608E9">
      <w:pPr>
        <w:pStyle w:val="Box"/>
        <w:pBdr>
          <w:top w:val="single" w:sz="6" w:space="10" w:color="auto"/>
          <w:left w:val="single" w:sz="6" w:space="12" w:color="auto"/>
          <w:bottom w:val="single" w:sz="6" w:space="10" w:color="auto"/>
          <w:right w:val="single" w:sz="6" w:space="12" w:color="auto"/>
        </w:pBdr>
        <w:spacing w:after="100"/>
        <w:ind w:left="284"/>
        <w:jc w:val="center"/>
        <w:rPr>
          <w:rFonts w:ascii="Cambria Math" w:hAnsi="Cambria Math"/>
          <w:i/>
          <w:szCs w:val="20"/>
        </w:rPr>
      </w:pPr>
      <w:r w:rsidRPr="009357BD">
        <w:rPr>
          <w:rFonts w:ascii="Cambria Math" w:hAnsi="Cambria Math"/>
          <w:i/>
          <w:szCs w:val="20"/>
        </w:rPr>
        <w:t>+ Chemical Contained in Factory Charged Imported Equipment</w:t>
      </w:r>
    </w:p>
    <w:p w14:paraId="55158493" w14:textId="77777777" w:rsidR="001608E9" w:rsidRPr="009357BD" w:rsidRDefault="001608E9" w:rsidP="001608E9">
      <w:pPr>
        <w:pStyle w:val="Box"/>
        <w:pBdr>
          <w:top w:val="single" w:sz="6" w:space="10" w:color="auto"/>
          <w:left w:val="single" w:sz="6" w:space="12" w:color="auto"/>
          <w:bottom w:val="single" w:sz="6" w:space="10" w:color="auto"/>
          <w:right w:val="single" w:sz="6" w:space="12" w:color="auto"/>
        </w:pBdr>
        <w:spacing w:after="120"/>
        <w:ind w:left="284"/>
        <w:jc w:val="center"/>
        <w:rPr>
          <w:rFonts w:ascii="Cambria Math" w:hAnsi="Cambria Math"/>
          <w:i/>
          <w:szCs w:val="20"/>
        </w:rPr>
      </w:pPr>
      <w:r w:rsidRPr="009357BD">
        <w:rPr>
          <w:rFonts w:ascii="Cambria Math" w:hAnsi="Cambria Math"/>
          <w:i/>
          <w:szCs w:val="20"/>
        </w:rPr>
        <w:t>– Chemical Contained in Factory Charged Exported Equipment.</w:t>
      </w:r>
    </w:p>
    <w:p w14:paraId="358BCFD9" w14:textId="77777777" w:rsidR="001608E9" w:rsidRPr="009357BD" w:rsidRDefault="001608E9" w:rsidP="001608E9">
      <w:pPr>
        <w:pStyle w:val="Box"/>
        <w:pBdr>
          <w:top w:val="single" w:sz="6" w:space="10" w:color="auto"/>
          <w:left w:val="single" w:sz="6" w:space="12" w:color="auto"/>
          <w:bottom w:val="single" w:sz="6" w:space="10" w:color="auto"/>
          <w:right w:val="single" w:sz="6" w:space="12" w:color="auto"/>
        </w:pBdr>
        <w:spacing w:before="120" w:after="100"/>
        <w:ind w:left="284"/>
        <w:jc w:val="center"/>
        <w:rPr>
          <w:rFonts w:ascii="Cambria Math" w:hAnsi="Cambria Math"/>
          <w:b/>
          <w:bCs/>
          <w:szCs w:val="20"/>
          <w:lang w:eastAsia="en-GB"/>
        </w:rPr>
      </w:pPr>
      <w:r w:rsidRPr="009357BD">
        <w:rPr>
          <w:rFonts w:ascii="Cambria Math" w:hAnsi="Cambria Math"/>
          <w:b/>
          <w:bCs/>
          <w:szCs w:val="20"/>
          <w:lang w:eastAsia="en-GB"/>
        </w:rPr>
        <w:t xml:space="preserve">Total Charge of New Equipment </w:t>
      </w:r>
    </w:p>
    <w:p w14:paraId="4FB18682" w14:textId="77777777" w:rsidR="001608E9" w:rsidRPr="009357BD" w:rsidRDefault="001608E9" w:rsidP="001608E9">
      <w:pPr>
        <w:pStyle w:val="Box"/>
        <w:pBdr>
          <w:top w:val="single" w:sz="6" w:space="10" w:color="auto"/>
          <w:left w:val="single" w:sz="6" w:space="12" w:color="auto"/>
          <w:bottom w:val="single" w:sz="6" w:space="10" w:color="auto"/>
          <w:right w:val="single" w:sz="6" w:space="12" w:color="auto"/>
        </w:pBdr>
        <w:spacing w:after="100"/>
        <w:ind w:left="284"/>
        <w:jc w:val="center"/>
        <w:rPr>
          <w:rFonts w:ascii="Cambria Math" w:hAnsi="Cambria Math"/>
          <w:i/>
          <w:szCs w:val="20"/>
        </w:rPr>
      </w:pPr>
      <w:r w:rsidRPr="009357BD">
        <w:rPr>
          <w:rFonts w:ascii="Cambria Math" w:hAnsi="Cambria Math"/>
          <w:i/>
          <w:szCs w:val="20"/>
        </w:rPr>
        <w:t>= Chemical to Charge Domestically Manufactured Equipment that is not Factory Charged</w:t>
      </w:r>
    </w:p>
    <w:p w14:paraId="6881F86C" w14:textId="77777777" w:rsidR="001608E9" w:rsidRPr="009357BD" w:rsidRDefault="001608E9" w:rsidP="001608E9">
      <w:pPr>
        <w:pStyle w:val="Box"/>
        <w:pBdr>
          <w:top w:val="single" w:sz="6" w:space="10" w:color="auto"/>
          <w:left w:val="single" w:sz="6" w:space="12" w:color="auto"/>
          <w:bottom w:val="single" w:sz="6" w:space="10" w:color="auto"/>
          <w:right w:val="single" w:sz="6" w:space="12" w:color="auto"/>
        </w:pBdr>
        <w:spacing w:after="100"/>
        <w:ind w:left="284"/>
        <w:jc w:val="center"/>
        <w:rPr>
          <w:rFonts w:ascii="Cambria Math" w:hAnsi="Cambria Math"/>
          <w:i/>
          <w:szCs w:val="20"/>
        </w:rPr>
      </w:pPr>
      <w:r w:rsidRPr="009357BD">
        <w:rPr>
          <w:rFonts w:ascii="Cambria Math" w:hAnsi="Cambria Math"/>
          <w:i/>
          <w:szCs w:val="20"/>
        </w:rPr>
        <w:t xml:space="preserve">+ Chemical to Charge Domestically Manufactured Equipment that is Factory Charged </w:t>
      </w:r>
    </w:p>
    <w:p w14:paraId="5D244736" w14:textId="77777777" w:rsidR="001608E9" w:rsidRPr="009357BD" w:rsidRDefault="001608E9" w:rsidP="001608E9">
      <w:pPr>
        <w:pStyle w:val="Box"/>
        <w:pBdr>
          <w:top w:val="single" w:sz="6" w:space="10" w:color="auto"/>
          <w:left w:val="single" w:sz="6" w:space="12" w:color="auto"/>
          <w:bottom w:val="single" w:sz="6" w:space="10" w:color="auto"/>
          <w:right w:val="single" w:sz="6" w:space="12" w:color="auto"/>
        </w:pBdr>
        <w:spacing w:after="100"/>
        <w:ind w:left="284"/>
        <w:jc w:val="center"/>
        <w:rPr>
          <w:rFonts w:ascii="Cambria Math" w:hAnsi="Cambria Math"/>
          <w:i/>
          <w:szCs w:val="20"/>
        </w:rPr>
      </w:pPr>
      <w:r w:rsidRPr="009357BD">
        <w:rPr>
          <w:rFonts w:ascii="Cambria Math" w:hAnsi="Cambria Math"/>
          <w:i/>
          <w:szCs w:val="20"/>
        </w:rPr>
        <w:t>+ Chemical to Charge Imported Equipment that is not Factory Charged</w:t>
      </w:r>
    </w:p>
    <w:p w14:paraId="53CCC5BF" w14:textId="77777777" w:rsidR="001608E9" w:rsidRPr="009357BD" w:rsidRDefault="001608E9" w:rsidP="001608E9">
      <w:pPr>
        <w:pStyle w:val="Box"/>
        <w:pBdr>
          <w:top w:val="single" w:sz="6" w:space="10" w:color="auto"/>
          <w:left w:val="single" w:sz="6" w:space="12" w:color="auto"/>
          <w:bottom w:val="single" w:sz="6" w:space="10" w:color="auto"/>
          <w:right w:val="single" w:sz="6" w:space="12" w:color="auto"/>
        </w:pBdr>
        <w:spacing w:after="100"/>
        <w:ind w:left="284"/>
        <w:jc w:val="center"/>
        <w:rPr>
          <w:rFonts w:ascii="Cambria Math" w:hAnsi="Cambria Math"/>
          <w:i/>
          <w:szCs w:val="20"/>
        </w:rPr>
      </w:pPr>
      <w:r w:rsidRPr="009357BD">
        <w:rPr>
          <w:rFonts w:ascii="Cambria Math" w:hAnsi="Cambria Math"/>
          <w:i/>
          <w:szCs w:val="20"/>
        </w:rPr>
        <w:t xml:space="preserve">+ Chemical Contained in Factory Charged Imported Equipment </w:t>
      </w:r>
    </w:p>
    <w:p w14:paraId="71CB1623" w14:textId="77777777" w:rsidR="001608E9" w:rsidRPr="009357BD" w:rsidRDefault="001608E9" w:rsidP="001608E9">
      <w:pPr>
        <w:pStyle w:val="Box"/>
        <w:pBdr>
          <w:top w:val="single" w:sz="6" w:space="10" w:color="auto"/>
          <w:left w:val="single" w:sz="6" w:space="12" w:color="auto"/>
          <w:bottom w:val="single" w:sz="6" w:space="10" w:color="auto"/>
          <w:right w:val="single" w:sz="6" w:space="12" w:color="auto"/>
        </w:pBdr>
        <w:spacing w:after="120"/>
        <w:ind w:left="284"/>
        <w:jc w:val="center"/>
        <w:rPr>
          <w:rFonts w:ascii="Cambria Math" w:hAnsi="Cambria Math"/>
          <w:i/>
          <w:szCs w:val="20"/>
        </w:rPr>
      </w:pPr>
      <w:r w:rsidRPr="009357BD">
        <w:rPr>
          <w:rFonts w:ascii="Cambria Math" w:hAnsi="Cambria Math"/>
          <w:i/>
          <w:szCs w:val="20"/>
        </w:rPr>
        <w:t>– Chemical Contained in Factory Charged Exported Equipment.</w:t>
      </w:r>
    </w:p>
    <w:p w14:paraId="171D302F" w14:textId="77777777" w:rsidR="001608E9" w:rsidRPr="009E06AA" w:rsidRDefault="001608E9" w:rsidP="001608E9">
      <w:pPr>
        <w:pStyle w:val="BodyText"/>
      </w:pPr>
      <w:r w:rsidRPr="009E06AA">
        <w:t xml:space="preserve">The mass balance approach uses equation 7.9 in the 2006 IPCC Guidelines (IPCC, 2006a) (box 4.2). </w:t>
      </w:r>
    </w:p>
    <w:p w14:paraId="55CE2B1A" w14:textId="77777777" w:rsidR="001608E9" w:rsidRPr="009E06AA" w:rsidRDefault="001608E9" w:rsidP="001608E9">
      <w:pPr>
        <w:pStyle w:val="BodyText"/>
        <w:keepNext/>
        <w:rPr>
          <w:rFonts w:cs="Calibri"/>
          <w:i/>
          <w:szCs w:val="24"/>
        </w:rPr>
      </w:pPr>
      <w:r w:rsidRPr="009E06AA">
        <w:rPr>
          <w:rFonts w:cs="Calibri"/>
          <w:b/>
          <w:i/>
          <w:sz w:val="20"/>
          <w:szCs w:val="20"/>
        </w:rPr>
        <w:t>Box 4.2</w:t>
      </w:r>
    </w:p>
    <w:p w14:paraId="61586ED7" w14:textId="77777777" w:rsidR="001608E9" w:rsidRPr="009357BD" w:rsidRDefault="001608E9" w:rsidP="001608E9">
      <w:pPr>
        <w:pStyle w:val="BoxHeading"/>
        <w:keepNext/>
        <w:pBdr>
          <w:top w:val="single" w:sz="6" w:space="10" w:color="auto"/>
          <w:bottom w:val="single" w:sz="6" w:space="10" w:color="auto"/>
        </w:pBdr>
        <w:spacing w:after="120"/>
        <w:ind w:left="284"/>
        <w:jc w:val="center"/>
        <w:rPr>
          <w:i/>
          <w:sz w:val="20"/>
          <w:szCs w:val="20"/>
        </w:rPr>
      </w:pPr>
      <w:r w:rsidRPr="009357BD">
        <w:rPr>
          <w:i/>
          <w:sz w:val="20"/>
          <w:szCs w:val="20"/>
        </w:rPr>
        <w:t>IPCC (2006a) equation 7.9</w:t>
      </w:r>
    </w:p>
    <w:p w14:paraId="18A12B9D" w14:textId="77777777" w:rsidR="001608E9" w:rsidRPr="009357BD" w:rsidRDefault="001608E9" w:rsidP="001608E9">
      <w:pPr>
        <w:pStyle w:val="Box"/>
        <w:pBdr>
          <w:top w:val="single" w:sz="6" w:space="10" w:color="auto"/>
          <w:bottom w:val="single" w:sz="6" w:space="10" w:color="auto"/>
        </w:pBdr>
        <w:ind w:left="284"/>
        <w:jc w:val="center"/>
        <w:rPr>
          <w:rFonts w:ascii="Cambria Math" w:hAnsi="Cambria Math"/>
          <w:i/>
          <w:szCs w:val="20"/>
        </w:rPr>
      </w:pPr>
      <w:r w:rsidRPr="009357BD">
        <w:rPr>
          <w:rFonts w:ascii="Cambria Math" w:hAnsi="Cambria Math"/>
          <w:b/>
          <w:i/>
          <w:szCs w:val="20"/>
        </w:rPr>
        <w:t xml:space="preserve">Emissions </w:t>
      </w:r>
      <w:r w:rsidRPr="009357BD">
        <w:rPr>
          <w:rFonts w:ascii="Cambria Math" w:hAnsi="Cambria Math"/>
          <w:i/>
          <w:szCs w:val="20"/>
        </w:rPr>
        <w:t>= Annual Sales of New Refrigerant ― Total Charge of New Equipment + Original Total Charge of Retiring Equipment ― Amount of Intentional Destruction</w:t>
      </w:r>
    </w:p>
    <w:p w14:paraId="7A12E306" w14:textId="77777777" w:rsidR="001608E9" w:rsidRPr="009E06AA" w:rsidRDefault="001608E9" w:rsidP="001608E9">
      <w:pPr>
        <w:pStyle w:val="BodyText"/>
        <w:keepLines/>
        <w:spacing w:before="240"/>
      </w:pPr>
      <w:r w:rsidRPr="009E06AA">
        <w:t xml:space="preserve">Spreadsheet models have been used to represent the refrigerant consumption and banks. Estimates have been made for the six sub-applications: </w:t>
      </w:r>
      <w:r w:rsidRPr="009E06AA">
        <w:rPr>
          <w:i/>
        </w:rPr>
        <w:t>Household refrigeration</w:t>
      </w:r>
      <w:r w:rsidRPr="009E06AA">
        <w:t xml:space="preserve">, </w:t>
      </w:r>
      <w:r w:rsidRPr="009E06AA">
        <w:rPr>
          <w:i/>
        </w:rPr>
        <w:t>Commercial refrigeration</w:t>
      </w:r>
      <w:r w:rsidRPr="009E06AA">
        <w:t xml:space="preserve">, </w:t>
      </w:r>
      <w:r w:rsidRPr="009E06AA">
        <w:rPr>
          <w:i/>
        </w:rPr>
        <w:t>Industrial refrigeration</w:t>
      </w:r>
      <w:r w:rsidRPr="009E06AA">
        <w:t xml:space="preserve">, </w:t>
      </w:r>
      <w:r w:rsidRPr="009E06AA">
        <w:rPr>
          <w:i/>
        </w:rPr>
        <w:t>Transport refrigeration</w:t>
      </w:r>
      <w:r w:rsidRPr="009E06AA">
        <w:t xml:space="preserve">, </w:t>
      </w:r>
      <w:r w:rsidRPr="009E06AA">
        <w:rPr>
          <w:i/>
        </w:rPr>
        <w:t>Stationary air conditioning</w:t>
      </w:r>
      <w:r w:rsidRPr="009E06AA">
        <w:t xml:space="preserve"> and </w:t>
      </w:r>
      <w:r w:rsidRPr="009E06AA">
        <w:rPr>
          <w:i/>
        </w:rPr>
        <w:t>Mobile air conditioning</w:t>
      </w:r>
      <w:r w:rsidRPr="009E06AA">
        <w:t xml:space="preserve">. For commercial and industrial refrigeration, where the required data are available, the models distinguish and calculate separately: </w:t>
      </w:r>
    </w:p>
    <w:p w14:paraId="419C57D6" w14:textId="77777777" w:rsidR="001608E9" w:rsidRPr="009E06AA" w:rsidRDefault="001608E9" w:rsidP="001608E9">
      <w:pPr>
        <w:pStyle w:val="Bullet"/>
      </w:pPr>
      <w:r w:rsidRPr="009E06AA">
        <w:t>recovery for destruction</w:t>
      </w:r>
    </w:p>
    <w:p w14:paraId="25E293EC" w14:textId="77777777" w:rsidR="001608E9" w:rsidRPr="009E06AA" w:rsidRDefault="001608E9" w:rsidP="001608E9">
      <w:pPr>
        <w:pStyle w:val="Bullet"/>
      </w:pPr>
      <w:r w:rsidRPr="009E06AA">
        <w:t xml:space="preserve">recovery for reuse of the refrigerant. </w:t>
      </w:r>
    </w:p>
    <w:p w14:paraId="00517CC9" w14:textId="77777777" w:rsidR="001608E9" w:rsidRPr="009E06AA" w:rsidRDefault="001608E9" w:rsidP="001608E9">
      <w:pPr>
        <w:pStyle w:val="BodyText"/>
        <w:spacing w:before="100" w:after="100"/>
      </w:pPr>
      <w:r w:rsidRPr="009E06AA">
        <w:t xml:space="preserve">Country-specific assessments for the lifetime of equipment have been made to calculate the ‘original total charge of retiring equipment’. These assessments include progressive retirement of air conditioning equipment in years 8 to 19, and dehumidifiers in years 6 to 15. The analysis also takes into account the impact of the 2011 Canterbury earthquake, which resulted in emissions from demolition of damaged buildings in the following years. </w:t>
      </w:r>
    </w:p>
    <w:p w14:paraId="512CD966" w14:textId="77777777" w:rsidR="001608E9" w:rsidRPr="009E06AA" w:rsidRDefault="001608E9" w:rsidP="001608E9">
      <w:pPr>
        <w:pStyle w:val="BodyText"/>
        <w:spacing w:before="100" w:after="100"/>
      </w:pPr>
      <w:r w:rsidRPr="009E06AA">
        <w:t xml:space="preserve">There is no facility for the intentional destruction of HFCs or PFCs from this application in New Zealand. Some HFCs are exported for destruction in Australia, and the amounts recovered for destruction are reported. </w:t>
      </w:r>
    </w:p>
    <w:p w14:paraId="409D089B" w14:textId="77777777" w:rsidR="001608E9" w:rsidRPr="009E06AA" w:rsidRDefault="001608E9" w:rsidP="001608E9">
      <w:pPr>
        <w:pStyle w:val="BodyText"/>
        <w:spacing w:before="100" w:after="100"/>
      </w:pPr>
      <w:r w:rsidRPr="009E06AA">
        <w:t xml:space="preserve">Table 4.7.3 summarises the methodological tiers that are used for each sub-application. </w:t>
      </w:r>
    </w:p>
    <w:p w14:paraId="635FEF68" w14:textId="77777777" w:rsidR="001608E9" w:rsidRPr="009E06AA" w:rsidRDefault="001608E9" w:rsidP="001608E9">
      <w:pPr>
        <w:pStyle w:val="Table"/>
      </w:pPr>
      <w:bookmarkStart w:id="676" w:name="_Toc36224540"/>
      <w:bookmarkStart w:id="677" w:name="_Toc68786427"/>
      <w:bookmarkStart w:id="678" w:name="_Toc128042761"/>
      <w:bookmarkStart w:id="679" w:name="_Toc131591341"/>
      <w:bookmarkStart w:id="680" w:name="_Toc158647429"/>
      <w:bookmarkStart w:id="681" w:name="_Toc164153827"/>
      <w:r w:rsidRPr="009E06AA">
        <w:t>Table 4.7.3</w:t>
      </w:r>
      <w:r w:rsidRPr="009E06AA">
        <w:tab/>
        <w:t>Summary of methodological tiers by sub-application</w:t>
      </w:r>
      <w:bookmarkEnd w:id="676"/>
      <w:bookmarkEnd w:id="677"/>
      <w:bookmarkEnd w:id="678"/>
      <w:bookmarkEnd w:id="679"/>
      <w:bookmarkEnd w:id="680"/>
      <w:bookmarkEnd w:id="681"/>
    </w:p>
    <w:tbl>
      <w:tblPr>
        <w:tblW w:w="8505" w:type="dxa"/>
        <w:tblBorders>
          <w:top w:val="single" w:sz="6" w:space="0" w:color="365F91"/>
          <w:bottom w:val="single" w:sz="6" w:space="0" w:color="365F91"/>
          <w:insideH w:val="single" w:sz="6" w:space="0" w:color="365F91"/>
        </w:tblBorders>
        <w:tblLook w:val="04A0" w:firstRow="1" w:lastRow="0" w:firstColumn="1" w:lastColumn="0" w:noHBand="0" w:noVBand="1"/>
      </w:tblPr>
      <w:tblGrid>
        <w:gridCol w:w="3240"/>
        <w:gridCol w:w="2375"/>
        <w:gridCol w:w="2890"/>
      </w:tblGrid>
      <w:tr w:rsidR="001608E9" w:rsidRPr="009E06AA" w14:paraId="21184EDD" w14:textId="77777777" w:rsidTr="00B55F24">
        <w:trPr>
          <w:tblHeader/>
        </w:trPr>
        <w:tc>
          <w:tcPr>
            <w:tcW w:w="3261" w:type="dxa"/>
            <w:tcBorders>
              <w:top w:val="single" w:sz="4" w:space="0" w:color="1B556B"/>
              <w:left w:val="nil"/>
              <w:bottom w:val="single" w:sz="4" w:space="0" w:color="1B556B"/>
              <w:right w:val="nil"/>
            </w:tcBorders>
            <w:shd w:val="clear" w:color="auto" w:fill="1B556B"/>
            <w:hideMark/>
          </w:tcPr>
          <w:p w14:paraId="72706576" w14:textId="77777777" w:rsidR="001608E9" w:rsidRPr="009E06AA" w:rsidRDefault="001608E9" w:rsidP="00B55F24">
            <w:pPr>
              <w:pStyle w:val="TableTextBold"/>
              <w:spacing w:before="40" w:after="40"/>
              <w:rPr>
                <w:noProof w:val="0"/>
                <w:color w:val="FFFFFF"/>
              </w:rPr>
            </w:pPr>
            <w:r w:rsidRPr="009E06AA">
              <w:rPr>
                <w:noProof w:val="0"/>
                <w:color w:val="FFFFFF"/>
              </w:rPr>
              <w:t>Sub-application</w:t>
            </w:r>
          </w:p>
        </w:tc>
        <w:tc>
          <w:tcPr>
            <w:tcW w:w="2390" w:type="dxa"/>
            <w:tcBorders>
              <w:top w:val="single" w:sz="4" w:space="0" w:color="1B556B"/>
              <w:left w:val="nil"/>
              <w:bottom w:val="single" w:sz="4" w:space="0" w:color="1B556B"/>
              <w:right w:val="nil"/>
            </w:tcBorders>
            <w:shd w:val="clear" w:color="auto" w:fill="1B556B"/>
            <w:hideMark/>
          </w:tcPr>
          <w:p w14:paraId="5CF1434C" w14:textId="77777777" w:rsidR="001608E9" w:rsidRPr="009E06AA" w:rsidRDefault="001608E9" w:rsidP="00B55F24">
            <w:pPr>
              <w:pStyle w:val="TableTextBold"/>
              <w:spacing w:before="40" w:after="40"/>
              <w:rPr>
                <w:noProof w:val="0"/>
                <w:color w:val="FFFFFF"/>
              </w:rPr>
            </w:pPr>
            <w:r w:rsidRPr="009E06AA">
              <w:rPr>
                <w:noProof w:val="0"/>
                <w:color w:val="FFFFFF"/>
              </w:rPr>
              <w:t>Chemical</w:t>
            </w:r>
          </w:p>
        </w:tc>
        <w:tc>
          <w:tcPr>
            <w:tcW w:w="2911" w:type="dxa"/>
            <w:tcBorders>
              <w:top w:val="single" w:sz="4" w:space="0" w:color="1B556B"/>
              <w:left w:val="nil"/>
              <w:bottom w:val="single" w:sz="4" w:space="0" w:color="1B556B"/>
              <w:right w:val="nil"/>
            </w:tcBorders>
            <w:shd w:val="clear" w:color="auto" w:fill="1B556B"/>
            <w:hideMark/>
          </w:tcPr>
          <w:p w14:paraId="2EAF95F3" w14:textId="77777777" w:rsidR="001608E9" w:rsidRPr="009E06AA" w:rsidRDefault="001608E9" w:rsidP="00B55F24">
            <w:pPr>
              <w:pStyle w:val="TableTextBold"/>
              <w:spacing w:before="40" w:after="40"/>
              <w:rPr>
                <w:noProof w:val="0"/>
                <w:color w:val="FFFFFF"/>
              </w:rPr>
            </w:pPr>
            <w:r w:rsidRPr="009E06AA">
              <w:rPr>
                <w:noProof w:val="0"/>
                <w:color w:val="FFFFFF"/>
              </w:rPr>
              <w:t>Method used (Tier)</w:t>
            </w:r>
          </w:p>
        </w:tc>
      </w:tr>
      <w:tr w:rsidR="001608E9" w:rsidRPr="009E06AA" w14:paraId="481411AC" w14:textId="77777777" w:rsidTr="00B55F24">
        <w:tc>
          <w:tcPr>
            <w:tcW w:w="3261" w:type="dxa"/>
            <w:tcBorders>
              <w:top w:val="single" w:sz="4" w:space="0" w:color="1B556B"/>
              <w:left w:val="nil"/>
              <w:bottom w:val="single" w:sz="4" w:space="0" w:color="1B556B"/>
              <w:right w:val="nil"/>
            </w:tcBorders>
            <w:shd w:val="clear" w:color="auto" w:fill="FFFFFF"/>
            <w:hideMark/>
          </w:tcPr>
          <w:p w14:paraId="3C9647FB" w14:textId="77777777" w:rsidR="001608E9" w:rsidRPr="009E06AA" w:rsidRDefault="001608E9" w:rsidP="00B55F24">
            <w:pPr>
              <w:pStyle w:val="TableText"/>
              <w:spacing w:before="40" w:after="40"/>
            </w:pPr>
            <w:r w:rsidRPr="009E06AA">
              <w:t>Household refrigeration</w:t>
            </w:r>
          </w:p>
        </w:tc>
        <w:tc>
          <w:tcPr>
            <w:tcW w:w="2390" w:type="dxa"/>
            <w:tcBorders>
              <w:top w:val="single" w:sz="4" w:space="0" w:color="1B556B"/>
              <w:left w:val="nil"/>
              <w:bottom w:val="single" w:sz="4" w:space="0" w:color="1B556B"/>
              <w:right w:val="nil"/>
            </w:tcBorders>
            <w:shd w:val="clear" w:color="auto" w:fill="FFFFFF"/>
            <w:hideMark/>
          </w:tcPr>
          <w:p w14:paraId="6C543DE6" w14:textId="77777777" w:rsidR="001608E9" w:rsidRPr="009E06AA" w:rsidRDefault="001608E9" w:rsidP="00B55F24">
            <w:pPr>
              <w:pStyle w:val="TableText"/>
              <w:spacing w:before="40" w:after="40"/>
            </w:pPr>
            <w:r w:rsidRPr="009E06AA">
              <w:t>HFC-134a</w:t>
            </w:r>
          </w:p>
        </w:tc>
        <w:tc>
          <w:tcPr>
            <w:tcW w:w="2911" w:type="dxa"/>
            <w:tcBorders>
              <w:top w:val="single" w:sz="4" w:space="0" w:color="1B556B"/>
              <w:left w:val="nil"/>
              <w:bottom w:val="single" w:sz="4" w:space="0" w:color="1B556B"/>
              <w:right w:val="nil"/>
            </w:tcBorders>
            <w:shd w:val="clear" w:color="auto" w:fill="FFFFFF"/>
            <w:hideMark/>
          </w:tcPr>
          <w:p w14:paraId="76D798F6" w14:textId="77777777" w:rsidR="001608E9" w:rsidRPr="009E06AA" w:rsidRDefault="001608E9" w:rsidP="00B55F24">
            <w:pPr>
              <w:pStyle w:val="TableText"/>
              <w:spacing w:before="40" w:after="40"/>
            </w:pPr>
            <w:r w:rsidRPr="009E06AA">
              <w:t>2a</w:t>
            </w:r>
          </w:p>
        </w:tc>
      </w:tr>
      <w:tr w:rsidR="001608E9" w:rsidRPr="009E06AA" w14:paraId="634839E8" w14:textId="77777777" w:rsidTr="00B55F24">
        <w:tc>
          <w:tcPr>
            <w:tcW w:w="3261" w:type="dxa"/>
            <w:vMerge w:val="restart"/>
            <w:tcBorders>
              <w:top w:val="single" w:sz="4" w:space="0" w:color="1B556B"/>
              <w:left w:val="nil"/>
              <w:right w:val="nil"/>
            </w:tcBorders>
            <w:shd w:val="clear" w:color="auto" w:fill="FFFFFF"/>
          </w:tcPr>
          <w:p w14:paraId="44F6DA83" w14:textId="77777777" w:rsidR="001608E9" w:rsidRPr="009E06AA" w:rsidRDefault="001608E9" w:rsidP="00B55F24">
            <w:pPr>
              <w:pStyle w:val="TableText"/>
              <w:spacing w:before="40" w:after="40"/>
            </w:pPr>
            <w:r w:rsidRPr="009E06AA">
              <w:t>Commercial refrigeration</w:t>
            </w:r>
          </w:p>
        </w:tc>
        <w:tc>
          <w:tcPr>
            <w:tcW w:w="2390" w:type="dxa"/>
            <w:tcBorders>
              <w:top w:val="single" w:sz="4" w:space="0" w:color="1B556B"/>
              <w:left w:val="nil"/>
              <w:bottom w:val="single" w:sz="4" w:space="0" w:color="1B556B"/>
              <w:right w:val="nil"/>
            </w:tcBorders>
            <w:shd w:val="clear" w:color="auto" w:fill="FFFFFF"/>
          </w:tcPr>
          <w:p w14:paraId="4D29A410" w14:textId="77777777" w:rsidR="001608E9" w:rsidRPr="009E06AA" w:rsidRDefault="001608E9" w:rsidP="00B55F24">
            <w:pPr>
              <w:pStyle w:val="TableText"/>
              <w:spacing w:before="40" w:after="40"/>
            </w:pPr>
            <w:r w:rsidRPr="009E06AA">
              <w:t>HFC-32</w:t>
            </w:r>
          </w:p>
        </w:tc>
        <w:tc>
          <w:tcPr>
            <w:tcW w:w="2911" w:type="dxa"/>
            <w:tcBorders>
              <w:top w:val="single" w:sz="4" w:space="0" w:color="1B556B"/>
              <w:left w:val="nil"/>
              <w:bottom w:val="single" w:sz="4" w:space="0" w:color="1B556B"/>
              <w:right w:val="nil"/>
            </w:tcBorders>
            <w:shd w:val="clear" w:color="auto" w:fill="FFFFFF"/>
          </w:tcPr>
          <w:p w14:paraId="5187D6CC" w14:textId="77777777" w:rsidR="001608E9" w:rsidRPr="009E06AA" w:rsidRDefault="001608E9" w:rsidP="00B55F24">
            <w:pPr>
              <w:pStyle w:val="TableText"/>
              <w:spacing w:before="40" w:after="40"/>
            </w:pPr>
            <w:r w:rsidRPr="009E06AA">
              <w:t>2a</w:t>
            </w:r>
          </w:p>
        </w:tc>
      </w:tr>
      <w:tr w:rsidR="001608E9" w:rsidRPr="009E06AA" w14:paraId="3AD284AE" w14:textId="77777777" w:rsidTr="00B55F24">
        <w:tc>
          <w:tcPr>
            <w:tcW w:w="3261" w:type="dxa"/>
            <w:vMerge/>
            <w:tcBorders>
              <w:left w:val="nil"/>
              <w:right w:val="nil"/>
            </w:tcBorders>
            <w:shd w:val="clear" w:color="auto" w:fill="FFFFFF"/>
          </w:tcPr>
          <w:p w14:paraId="64E26567" w14:textId="77777777" w:rsidR="001608E9" w:rsidRPr="009E06AA" w:rsidRDefault="001608E9" w:rsidP="00B55F24">
            <w:pPr>
              <w:pStyle w:val="TableText"/>
              <w:keepNext/>
              <w:spacing w:before="40" w:after="40"/>
            </w:pPr>
          </w:p>
        </w:tc>
        <w:tc>
          <w:tcPr>
            <w:tcW w:w="2390" w:type="dxa"/>
            <w:tcBorders>
              <w:top w:val="single" w:sz="4" w:space="0" w:color="1B556B"/>
              <w:left w:val="nil"/>
              <w:bottom w:val="single" w:sz="4" w:space="0" w:color="1B556B"/>
              <w:right w:val="nil"/>
            </w:tcBorders>
            <w:shd w:val="clear" w:color="auto" w:fill="FFFFFF"/>
          </w:tcPr>
          <w:p w14:paraId="5C58FE60" w14:textId="77777777" w:rsidR="001608E9" w:rsidRPr="009E06AA" w:rsidRDefault="001608E9" w:rsidP="00B55F24">
            <w:pPr>
              <w:pStyle w:val="TableText"/>
              <w:keepNext/>
              <w:spacing w:before="40" w:after="40"/>
            </w:pPr>
            <w:r w:rsidRPr="009E06AA">
              <w:t>HFC-125</w:t>
            </w:r>
          </w:p>
        </w:tc>
        <w:tc>
          <w:tcPr>
            <w:tcW w:w="2911" w:type="dxa"/>
            <w:tcBorders>
              <w:top w:val="single" w:sz="4" w:space="0" w:color="1B556B"/>
              <w:left w:val="nil"/>
              <w:bottom w:val="single" w:sz="4" w:space="0" w:color="1B556B"/>
              <w:right w:val="nil"/>
            </w:tcBorders>
            <w:shd w:val="clear" w:color="auto" w:fill="FFFFFF"/>
          </w:tcPr>
          <w:p w14:paraId="5D23A089" w14:textId="77777777" w:rsidR="001608E9" w:rsidRPr="009E06AA" w:rsidRDefault="001608E9" w:rsidP="00B55F24">
            <w:pPr>
              <w:pStyle w:val="TableText"/>
              <w:keepNext/>
              <w:spacing w:before="40" w:after="40"/>
            </w:pPr>
            <w:r w:rsidRPr="009E06AA">
              <w:t xml:space="preserve">2b to 2006, 2a for 2007–2021 </w:t>
            </w:r>
          </w:p>
        </w:tc>
      </w:tr>
      <w:tr w:rsidR="001608E9" w:rsidRPr="009E06AA" w14:paraId="09986131" w14:textId="77777777" w:rsidTr="00B55F24">
        <w:tc>
          <w:tcPr>
            <w:tcW w:w="3261" w:type="dxa"/>
            <w:vMerge/>
            <w:tcBorders>
              <w:left w:val="nil"/>
              <w:right w:val="nil"/>
            </w:tcBorders>
            <w:shd w:val="clear" w:color="auto" w:fill="FFFFFF"/>
          </w:tcPr>
          <w:p w14:paraId="3938EA0B" w14:textId="77777777" w:rsidR="001608E9" w:rsidRPr="009E06AA" w:rsidRDefault="001608E9" w:rsidP="00B55F24">
            <w:pPr>
              <w:pStyle w:val="TableText"/>
              <w:spacing w:before="40" w:after="40"/>
            </w:pPr>
          </w:p>
        </w:tc>
        <w:tc>
          <w:tcPr>
            <w:tcW w:w="2390" w:type="dxa"/>
            <w:tcBorders>
              <w:top w:val="single" w:sz="4" w:space="0" w:color="1B556B"/>
              <w:left w:val="nil"/>
              <w:bottom w:val="single" w:sz="4" w:space="0" w:color="1B556B"/>
              <w:right w:val="nil"/>
            </w:tcBorders>
            <w:shd w:val="clear" w:color="auto" w:fill="FFFFFF"/>
          </w:tcPr>
          <w:p w14:paraId="577771E0" w14:textId="77777777" w:rsidR="001608E9" w:rsidRPr="009E06AA" w:rsidRDefault="001608E9" w:rsidP="00B55F24">
            <w:pPr>
              <w:pStyle w:val="TableText"/>
              <w:spacing w:before="40" w:after="40"/>
            </w:pPr>
            <w:r w:rsidRPr="009E06AA">
              <w:t>HFC-134a</w:t>
            </w:r>
          </w:p>
        </w:tc>
        <w:tc>
          <w:tcPr>
            <w:tcW w:w="2911" w:type="dxa"/>
            <w:tcBorders>
              <w:top w:val="single" w:sz="4" w:space="0" w:color="1B556B"/>
              <w:left w:val="nil"/>
              <w:bottom w:val="single" w:sz="4" w:space="0" w:color="1B556B"/>
              <w:right w:val="nil"/>
            </w:tcBorders>
            <w:shd w:val="clear" w:color="auto" w:fill="FFFFFF"/>
          </w:tcPr>
          <w:p w14:paraId="1C587BF7" w14:textId="77777777" w:rsidR="001608E9" w:rsidRPr="009E06AA" w:rsidRDefault="001608E9" w:rsidP="00B55F24">
            <w:pPr>
              <w:pStyle w:val="TableText"/>
              <w:spacing w:before="40" w:after="40"/>
            </w:pPr>
            <w:r w:rsidRPr="009E06AA">
              <w:t>2a</w:t>
            </w:r>
          </w:p>
        </w:tc>
      </w:tr>
      <w:tr w:rsidR="001608E9" w:rsidRPr="009E06AA" w14:paraId="63E6B53E" w14:textId="77777777" w:rsidTr="00B55F24">
        <w:tc>
          <w:tcPr>
            <w:tcW w:w="3261" w:type="dxa"/>
            <w:vMerge/>
            <w:tcBorders>
              <w:left w:val="nil"/>
              <w:bottom w:val="single" w:sz="4" w:space="0" w:color="1B556B"/>
              <w:right w:val="nil"/>
            </w:tcBorders>
            <w:shd w:val="clear" w:color="auto" w:fill="FFFFFF"/>
          </w:tcPr>
          <w:p w14:paraId="35D53997" w14:textId="77777777" w:rsidR="001608E9" w:rsidRPr="009E06AA" w:rsidRDefault="001608E9" w:rsidP="00B55F24">
            <w:pPr>
              <w:pStyle w:val="TableText"/>
              <w:spacing w:before="40" w:after="40"/>
            </w:pPr>
          </w:p>
        </w:tc>
        <w:tc>
          <w:tcPr>
            <w:tcW w:w="2390" w:type="dxa"/>
            <w:tcBorders>
              <w:top w:val="single" w:sz="4" w:space="0" w:color="1B556B"/>
              <w:left w:val="nil"/>
              <w:bottom w:val="single" w:sz="4" w:space="0" w:color="1B556B"/>
              <w:right w:val="nil"/>
            </w:tcBorders>
            <w:shd w:val="clear" w:color="auto" w:fill="FFFFFF"/>
          </w:tcPr>
          <w:p w14:paraId="500F36D0" w14:textId="77777777" w:rsidR="001608E9" w:rsidRPr="009E06AA" w:rsidRDefault="001608E9" w:rsidP="00B55F24">
            <w:pPr>
              <w:pStyle w:val="TableText"/>
              <w:spacing w:before="40" w:after="40"/>
            </w:pPr>
            <w:r w:rsidRPr="009E06AA">
              <w:t>HFC-143a</w:t>
            </w:r>
          </w:p>
        </w:tc>
        <w:tc>
          <w:tcPr>
            <w:tcW w:w="2911" w:type="dxa"/>
            <w:tcBorders>
              <w:top w:val="single" w:sz="4" w:space="0" w:color="1B556B"/>
              <w:left w:val="nil"/>
              <w:bottom w:val="single" w:sz="4" w:space="0" w:color="1B556B"/>
              <w:right w:val="nil"/>
            </w:tcBorders>
            <w:shd w:val="clear" w:color="auto" w:fill="FFFFFF"/>
          </w:tcPr>
          <w:p w14:paraId="72B6A50C" w14:textId="77777777" w:rsidR="001608E9" w:rsidRPr="009E06AA" w:rsidRDefault="001608E9" w:rsidP="00B55F24">
            <w:pPr>
              <w:pStyle w:val="TableText"/>
              <w:spacing w:before="40" w:after="40"/>
            </w:pPr>
            <w:r w:rsidRPr="009E06AA">
              <w:t>2b</w:t>
            </w:r>
          </w:p>
        </w:tc>
      </w:tr>
      <w:tr w:rsidR="001608E9" w:rsidRPr="009E06AA" w14:paraId="203C9F4E" w14:textId="77777777" w:rsidTr="00B55F24">
        <w:tc>
          <w:tcPr>
            <w:tcW w:w="3261" w:type="dxa"/>
            <w:vMerge w:val="restart"/>
            <w:tcBorders>
              <w:top w:val="single" w:sz="4" w:space="0" w:color="1B556B"/>
              <w:left w:val="nil"/>
              <w:right w:val="nil"/>
            </w:tcBorders>
            <w:shd w:val="clear" w:color="auto" w:fill="FFFFFF"/>
          </w:tcPr>
          <w:p w14:paraId="24C3FD57" w14:textId="77777777" w:rsidR="001608E9" w:rsidRPr="009E06AA" w:rsidRDefault="001608E9" w:rsidP="00B55F24">
            <w:pPr>
              <w:pStyle w:val="TableText"/>
              <w:spacing w:before="40" w:after="40"/>
            </w:pPr>
            <w:r w:rsidRPr="009E06AA">
              <w:t>Industrial refrigeration</w:t>
            </w:r>
          </w:p>
        </w:tc>
        <w:tc>
          <w:tcPr>
            <w:tcW w:w="2390" w:type="dxa"/>
            <w:tcBorders>
              <w:top w:val="single" w:sz="4" w:space="0" w:color="1B556B"/>
              <w:left w:val="nil"/>
              <w:bottom w:val="single" w:sz="4" w:space="0" w:color="1B556B"/>
              <w:right w:val="nil"/>
            </w:tcBorders>
            <w:shd w:val="clear" w:color="auto" w:fill="FFFFFF"/>
          </w:tcPr>
          <w:p w14:paraId="0DDAC913" w14:textId="77777777" w:rsidR="001608E9" w:rsidRPr="009E06AA" w:rsidRDefault="001608E9" w:rsidP="00B55F24">
            <w:pPr>
              <w:pStyle w:val="TableText"/>
              <w:spacing w:before="40" w:after="40"/>
            </w:pPr>
            <w:r w:rsidRPr="009E06AA">
              <w:t>HFC-32</w:t>
            </w:r>
          </w:p>
        </w:tc>
        <w:tc>
          <w:tcPr>
            <w:tcW w:w="2911" w:type="dxa"/>
            <w:tcBorders>
              <w:top w:val="single" w:sz="4" w:space="0" w:color="1B556B"/>
              <w:left w:val="nil"/>
              <w:bottom w:val="single" w:sz="4" w:space="0" w:color="1B556B"/>
              <w:right w:val="nil"/>
            </w:tcBorders>
            <w:shd w:val="clear" w:color="auto" w:fill="FFFFFF"/>
          </w:tcPr>
          <w:p w14:paraId="1D60A8E8" w14:textId="77777777" w:rsidR="001608E9" w:rsidRPr="009E06AA" w:rsidRDefault="001608E9" w:rsidP="00B55F24">
            <w:pPr>
              <w:pStyle w:val="TableText"/>
              <w:spacing w:before="40" w:after="40"/>
            </w:pPr>
            <w:r w:rsidRPr="009E06AA">
              <w:t>2a</w:t>
            </w:r>
          </w:p>
        </w:tc>
      </w:tr>
      <w:tr w:rsidR="001608E9" w:rsidRPr="009E06AA" w14:paraId="38E1D86E" w14:textId="77777777" w:rsidTr="00B55F24">
        <w:tc>
          <w:tcPr>
            <w:tcW w:w="3261" w:type="dxa"/>
            <w:vMerge/>
            <w:tcBorders>
              <w:left w:val="nil"/>
              <w:right w:val="nil"/>
            </w:tcBorders>
            <w:shd w:val="clear" w:color="auto" w:fill="FFFFFF"/>
          </w:tcPr>
          <w:p w14:paraId="50B830B4" w14:textId="77777777" w:rsidR="001608E9" w:rsidRPr="009E06AA" w:rsidRDefault="001608E9" w:rsidP="00B55F24">
            <w:pPr>
              <w:pStyle w:val="TableText"/>
              <w:spacing w:before="40" w:after="40"/>
            </w:pPr>
          </w:p>
        </w:tc>
        <w:tc>
          <w:tcPr>
            <w:tcW w:w="2390" w:type="dxa"/>
            <w:tcBorders>
              <w:top w:val="single" w:sz="4" w:space="0" w:color="1B556B"/>
              <w:left w:val="nil"/>
              <w:bottom w:val="single" w:sz="4" w:space="0" w:color="1B556B"/>
              <w:right w:val="nil"/>
            </w:tcBorders>
            <w:shd w:val="clear" w:color="auto" w:fill="FFFFFF"/>
          </w:tcPr>
          <w:p w14:paraId="45313A2A" w14:textId="77777777" w:rsidR="001608E9" w:rsidRPr="009E06AA" w:rsidRDefault="001608E9" w:rsidP="00B55F24">
            <w:pPr>
              <w:pStyle w:val="TableText"/>
              <w:spacing w:before="40" w:after="40"/>
            </w:pPr>
            <w:r w:rsidRPr="009E06AA">
              <w:t>HFC-125</w:t>
            </w:r>
          </w:p>
        </w:tc>
        <w:tc>
          <w:tcPr>
            <w:tcW w:w="2911" w:type="dxa"/>
            <w:tcBorders>
              <w:top w:val="single" w:sz="4" w:space="0" w:color="1B556B"/>
              <w:left w:val="nil"/>
              <w:bottom w:val="single" w:sz="4" w:space="0" w:color="1B556B"/>
              <w:right w:val="nil"/>
            </w:tcBorders>
            <w:shd w:val="clear" w:color="auto" w:fill="FFFFFF"/>
          </w:tcPr>
          <w:p w14:paraId="0C912FC2" w14:textId="77777777" w:rsidR="001608E9" w:rsidRPr="009E06AA" w:rsidRDefault="001608E9" w:rsidP="00B55F24">
            <w:pPr>
              <w:pStyle w:val="TableText"/>
              <w:spacing w:before="40" w:after="40"/>
            </w:pPr>
            <w:r w:rsidRPr="009E06AA">
              <w:t>2a</w:t>
            </w:r>
          </w:p>
        </w:tc>
      </w:tr>
      <w:tr w:rsidR="001608E9" w:rsidRPr="009E06AA" w14:paraId="391AB652" w14:textId="77777777" w:rsidTr="00B55F24">
        <w:tc>
          <w:tcPr>
            <w:tcW w:w="3261" w:type="dxa"/>
            <w:vMerge/>
            <w:tcBorders>
              <w:left w:val="nil"/>
              <w:right w:val="nil"/>
            </w:tcBorders>
            <w:shd w:val="clear" w:color="auto" w:fill="FFFFFF"/>
          </w:tcPr>
          <w:p w14:paraId="4B38BB38" w14:textId="77777777" w:rsidR="001608E9" w:rsidRPr="009E06AA" w:rsidRDefault="001608E9" w:rsidP="00B55F24">
            <w:pPr>
              <w:pStyle w:val="TableText"/>
              <w:spacing w:before="40" w:after="40"/>
            </w:pPr>
          </w:p>
        </w:tc>
        <w:tc>
          <w:tcPr>
            <w:tcW w:w="2390" w:type="dxa"/>
            <w:tcBorders>
              <w:top w:val="single" w:sz="4" w:space="0" w:color="1B556B"/>
              <w:left w:val="nil"/>
              <w:bottom w:val="single" w:sz="4" w:space="0" w:color="1B556B"/>
              <w:right w:val="nil"/>
            </w:tcBorders>
            <w:shd w:val="clear" w:color="auto" w:fill="FFFFFF"/>
          </w:tcPr>
          <w:p w14:paraId="5A732337" w14:textId="77777777" w:rsidR="001608E9" w:rsidRPr="009E06AA" w:rsidRDefault="001608E9" w:rsidP="00B55F24">
            <w:pPr>
              <w:pStyle w:val="TableText"/>
              <w:spacing w:before="40" w:after="40"/>
            </w:pPr>
            <w:r w:rsidRPr="009E06AA">
              <w:t>HFC-134a</w:t>
            </w:r>
          </w:p>
        </w:tc>
        <w:tc>
          <w:tcPr>
            <w:tcW w:w="2911" w:type="dxa"/>
            <w:tcBorders>
              <w:top w:val="single" w:sz="4" w:space="0" w:color="1B556B"/>
              <w:left w:val="nil"/>
              <w:bottom w:val="single" w:sz="4" w:space="0" w:color="1B556B"/>
              <w:right w:val="nil"/>
            </w:tcBorders>
            <w:shd w:val="clear" w:color="auto" w:fill="FFFFFF"/>
          </w:tcPr>
          <w:p w14:paraId="0E1AE6F3" w14:textId="77777777" w:rsidR="001608E9" w:rsidRPr="009E06AA" w:rsidRDefault="001608E9" w:rsidP="00B55F24">
            <w:pPr>
              <w:pStyle w:val="TableText"/>
              <w:spacing w:before="40" w:after="40"/>
            </w:pPr>
            <w:r w:rsidRPr="009E06AA">
              <w:t>2b</w:t>
            </w:r>
          </w:p>
        </w:tc>
      </w:tr>
      <w:tr w:rsidR="001608E9" w:rsidRPr="009E06AA" w14:paraId="116BCD4C" w14:textId="77777777" w:rsidTr="00B55F24">
        <w:tc>
          <w:tcPr>
            <w:tcW w:w="3261" w:type="dxa"/>
            <w:vMerge/>
            <w:tcBorders>
              <w:left w:val="nil"/>
              <w:bottom w:val="single" w:sz="4" w:space="0" w:color="1B556B"/>
              <w:right w:val="nil"/>
            </w:tcBorders>
            <w:shd w:val="clear" w:color="auto" w:fill="FFFFFF"/>
          </w:tcPr>
          <w:p w14:paraId="50D12A8D" w14:textId="77777777" w:rsidR="001608E9" w:rsidRPr="009E06AA" w:rsidRDefault="001608E9" w:rsidP="00B55F24">
            <w:pPr>
              <w:pStyle w:val="TableText"/>
              <w:spacing w:before="40" w:after="40"/>
            </w:pPr>
          </w:p>
        </w:tc>
        <w:tc>
          <w:tcPr>
            <w:tcW w:w="2390" w:type="dxa"/>
            <w:tcBorders>
              <w:top w:val="single" w:sz="4" w:space="0" w:color="1B556B"/>
              <w:left w:val="nil"/>
              <w:bottom w:val="single" w:sz="4" w:space="0" w:color="1B556B"/>
              <w:right w:val="nil"/>
            </w:tcBorders>
            <w:shd w:val="clear" w:color="auto" w:fill="FFFFFF"/>
          </w:tcPr>
          <w:p w14:paraId="035A36FF" w14:textId="77777777" w:rsidR="001608E9" w:rsidRPr="009E06AA" w:rsidRDefault="001608E9" w:rsidP="00B55F24">
            <w:pPr>
              <w:pStyle w:val="TableText"/>
              <w:spacing w:before="40" w:after="40"/>
            </w:pPr>
            <w:r w:rsidRPr="009E06AA">
              <w:t>HFC-143a</w:t>
            </w:r>
          </w:p>
        </w:tc>
        <w:tc>
          <w:tcPr>
            <w:tcW w:w="2911" w:type="dxa"/>
            <w:tcBorders>
              <w:top w:val="single" w:sz="4" w:space="0" w:color="1B556B"/>
              <w:left w:val="nil"/>
              <w:bottom w:val="single" w:sz="4" w:space="0" w:color="1B556B"/>
              <w:right w:val="nil"/>
            </w:tcBorders>
            <w:shd w:val="clear" w:color="auto" w:fill="FFFFFF"/>
          </w:tcPr>
          <w:p w14:paraId="36FC8AF6" w14:textId="77777777" w:rsidR="001608E9" w:rsidRPr="009E06AA" w:rsidRDefault="001608E9" w:rsidP="00B55F24">
            <w:pPr>
              <w:pStyle w:val="TableText"/>
              <w:spacing w:before="40" w:after="40"/>
            </w:pPr>
            <w:r w:rsidRPr="009E06AA">
              <w:t>2a</w:t>
            </w:r>
          </w:p>
        </w:tc>
      </w:tr>
      <w:tr w:rsidR="001608E9" w:rsidRPr="009E06AA" w14:paraId="5904F20A" w14:textId="77777777" w:rsidTr="00B55F24">
        <w:tc>
          <w:tcPr>
            <w:tcW w:w="3261" w:type="dxa"/>
            <w:vMerge w:val="restart"/>
            <w:tcBorders>
              <w:top w:val="single" w:sz="4" w:space="0" w:color="1B556B"/>
              <w:left w:val="nil"/>
              <w:right w:val="nil"/>
            </w:tcBorders>
            <w:shd w:val="clear" w:color="auto" w:fill="FFFFFF"/>
          </w:tcPr>
          <w:p w14:paraId="6FAF8C7C" w14:textId="77777777" w:rsidR="001608E9" w:rsidRPr="009E06AA" w:rsidRDefault="001608E9" w:rsidP="00B55F24">
            <w:pPr>
              <w:pStyle w:val="TableText"/>
              <w:spacing w:before="40" w:after="40"/>
            </w:pPr>
            <w:r w:rsidRPr="009E06AA">
              <w:t>Transport refrigeration</w:t>
            </w:r>
          </w:p>
        </w:tc>
        <w:tc>
          <w:tcPr>
            <w:tcW w:w="2390" w:type="dxa"/>
            <w:tcBorders>
              <w:top w:val="single" w:sz="4" w:space="0" w:color="1B556B"/>
              <w:left w:val="nil"/>
              <w:bottom w:val="single" w:sz="4" w:space="0" w:color="1B556B"/>
              <w:right w:val="nil"/>
            </w:tcBorders>
            <w:shd w:val="clear" w:color="auto" w:fill="FFFFFF"/>
          </w:tcPr>
          <w:p w14:paraId="3CAD73DF" w14:textId="77777777" w:rsidR="001608E9" w:rsidRPr="009E06AA" w:rsidRDefault="001608E9" w:rsidP="00B55F24">
            <w:pPr>
              <w:pStyle w:val="TableText"/>
              <w:spacing w:before="40" w:after="40"/>
            </w:pPr>
            <w:r w:rsidRPr="009E06AA">
              <w:t>HFC-32</w:t>
            </w:r>
          </w:p>
        </w:tc>
        <w:tc>
          <w:tcPr>
            <w:tcW w:w="2911" w:type="dxa"/>
            <w:tcBorders>
              <w:top w:val="single" w:sz="4" w:space="0" w:color="1B556B"/>
              <w:left w:val="nil"/>
              <w:bottom w:val="single" w:sz="4" w:space="0" w:color="1B556B"/>
              <w:right w:val="nil"/>
            </w:tcBorders>
            <w:shd w:val="clear" w:color="auto" w:fill="FFFFFF"/>
          </w:tcPr>
          <w:p w14:paraId="6543118B" w14:textId="77777777" w:rsidR="001608E9" w:rsidRPr="009E06AA" w:rsidRDefault="001608E9" w:rsidP="00B55F24">
            <w:pPr>
              <w:pStyle w:val="TableText"/>
              <w:spacing w:before="40" w:after="40"/>
            </w:pPr>
            <w:r w:rsidRPr="009E06AA">
              <w:t>2a</w:t>
            </w:r>
          </w:p>
        </w:tc>
      </w:tr>
      <w:tr w:rsidR="001608E9" w:rsidRPr="009E06AA" w14:paraId="3FA9E2B7" w14:textId="77777777" w:rsidTr="00B55F24">
        <w:tc>
          <w:tcPr>
            <w:tcW w:w="3261" w:type="dxa"/>
            <w:vMerge/>
            <w:tcBorders>
              <w:left w:val="nil"/>
              <w:right w:val="nil"/>
            </w:tcBorders>
            <w:shd w:val="clear" w:color="auto" w:fill="FFFFFF"/>
          </w:tcPr>
          <w:p w14:paraId="2DC63CBB" w14:textId="77777777" w:rsidR="001608E9" w:rsidRPr="009E06AA" w:rsidRDefault="001608E9" w:rsidP="00B55F24">
            <w:pPr>
              <w:pStyle w:val="TableText"/>
              <w:spacing w:before="40" w:after="40"/>
            </w:pPr>
          </w:p>
        </w:tc>
        <w:tc>
          <w:tcPr>
            <w:tcW w:w="2390" w:type="dxa"/>
            <w:tcBorders>
              <w:top w:val="single" w:sz="4" w:space="0" w:color="1B556B"/>
              <w:left w:val="nil"/>
              <w:bottom w:val="single" w:sz="4" w:space="0" w:color="1B556B"/>
              <w:right w:val="nil"/>
            </w:tcBorders>
            <w:shd w:val="clear" w:color="auto" w:fill="FFFFFF"/>
          </w:tcPr>
          <w:p w14:paraId="29149645" w14:textId="77777777" w:rsidR="001608E9" w:rsidRPr="009E06AA" w:rsidRDefault="001608E9" w:rsidP="00B55F24">
            <w:pPr>
              <w:pStyle w:val="TableText"/>
              <w:spacing w:before="40" w:after="40"/>
            </w:pPr>
            <w:r w:rsidRPr="009E06AA">
              <w:t>HFC-125</w:t>
            </w:r>
          </w:p>
        </w:tc>
        <w:tc>
          <w:tcPr>
            <w:tcW w:w="2911" w:type="dxa"/>
            <w:tcBorders>
              <w:top w:val="single" w:sz="4" w:space="0" w:color="1B556B"/>
              <w:left w:val="nil"/>
              <w:bottom w:val="single" w:sz="4" w:space="0" w:color="1B556B"/>
              <w:right w:val="nil"/>
            </w:tcBorders>
            <w:shd w:val="clear" w:color="auto" w:fill="FFFFFF"/>
          </w:tcPr>
          <w:p w14:paraId="15D5A1B9" w14:textId="77777777" w:rsidR="001608E9" w:rsidRPr="009E06AA" w:rsidRDefault="001608E9" w:rsidP="00B55F24">
            <w:pPr>
              <w:pStyle w:val="TableText"/>
              <w:spacing w:before="40" w:after="40"/>
            </w:pPr>
            <w:r w:rsidRPr="009E06AA">
              <w:t>2a</w:t>
            </w:r>
          </w:p>
        </w:tc>
      </w:tr>
      <w:tr w:rsidR="001608E9" w:rsidRPr="009E06AA" w14:paraId="04034255" w14:textId="77777777" w:rsidTr="00B55F24">
        <w:tc>
          <w:tcPr>
            <w:tcW w:w="3261" w:type="dxa"/>
            <w:vMerge/>
            <w:tcBorders>
              <w:left w:val="nil"/>
              <w:right w:val="nil"/>
            </w:tcBorders>
            <w:shd w:val="clear" w:color="auto" w:fill="FFFFFF"/>
          </w:tcPr>
          <w:p w14:paraId="736B5C45" w14:textId="77777777" w:rsidR="001608E9" w:rsidRPr="009E06AA" w:rsidRDefault="001608E9" w:rsidP="00B55F24">
            <w:pPr>
              <w:pStyle w:val="TableText"/>
              <w:spacing w:before="40" w:after="40"/>
            </w:pPr>
          </w:p>
        </w:tc>
        <w:tc>
          <w:tcPr>
            <w:tcW w:w="2390" w:type="dxa"/>
            <w:tcBorders>
              <w:top w:val="single" w:sz="4" w:space="0" w:color="1B556B"/>
              <w:left w:val="nil"/>
              <w:bottom w:val="single" w:sz="4" w:space="0" w:color="1B556B"/>
              <w:right w:val="nil"/>
            </w:tcBorders>
            <w:shd w:val="clear" w:color="auto" w:fill="FFFFFF"/>
          </w:tcPr>
          <w:p w14:paraId="78BFC271" w14:textId="77777777" w:rsidR="001608E9" w:rsidRPr="009E06AA" w:rsidRDefault="001608E9" w:rsidP="00B55F24">
            <w:pPr>
              <w:pStyle w:val="TableText"/>
              <w:spacing w:before="40" w:after="40"/>
            </w:pPr>
            <w:r w:rsidRPr="009E06AA">
              <w:t>HFC-134a</w:t>
            </w:r>
          </w:p>
        </w:tc>
        <w:tc>
          <w:tcPr>
            <w:tcW w:w="2911" w:type="dxa"/>
            <w:tcBorders>
              <w:top w:val="single" w:sz="4" w:space="0" w:color="1B556B"/>
              <w:left w:val="nil"/>
              <w:bottom w:val="single" w:sz="4" w:space="0" w:color="1B556B"/>
              <w:right w:val="nil"/>
            </w:tcBorders>
            <w:shd w:val="clear" w:color="auto" w:fill="FFFFFF"/>
          </w:tcPr>
          <w:p w14:paraId="6F936129" w14:textId="77777777" w:rsidR="001608E9" w:rsidRPr="009E06AA" w:rsidRDefault="001608E9" w:rsidP="00B55F24">
            <w:pPr>
              <w:pStyle w:val="TableText"/>
              <w:spacing w:before="40" w:after="40"/>
            </w:pPr>
            <w:r w:rsidRPr="009E06AA">
              <w:t>2a</w:t>
            </w:r>
          </w:p>
        </w:tc>
      </w:tr>
      <w:tr w:rsidR="001608E9" w:rsidRPr="009E06AA" w14:paraId="74170FDB" w14:textId="77777777" w:rsidTr="00B55F24">
        <w:tc>
          <w:tcPr>
            <w:tcW w:w="3261" w:type="dxa"/>
            <w:vMerge/>
            <w:tcBorders>
              <w:left w:val="nil"/>
              <w:bottom w:val="single" w:sz="4" w:space="0" w:color="1B556B"/>
              <w:right w:val="nil"/>
            </w:tcBorders>
            <w:shd w:val="clear" w:color="auto" w:fill="FFFFFF"/>
          </w:tcPr>
          <w:p w14:paraId="0C1461AB" w14:textId="77777777" w:rsidR="001608E9" w:rsidRPr="009E06AA" w:rsidRDefault="001608E9" w:rsidP="00B55F24">
            <w:pPr>
              <w:pStyle w:val="TableText"/>
              <w:spacing w:before="40" w:after="40"/>
            </w:pPr>
          </w:p>
        </w:tc>
        <w:tc>
          <w:tcPr>
            <w:tcW w:w="2390" w:type="dxa"/>
            <w:tcBorders>
              <w:top w:val="single" w:sz="4" w:space="0" w:color="1B556B"/>
              <w:left w:val="nil"/>
              <w:bottom w:val="single" w:sz="4" w:space="0" w:color="1B556B"/>
              <w:right w:val="nil"/>
            </w:tcBorders>
            <w:shd w:val="clear" w:color="auto" w:fill="FFFFFF"/>
          </w:tcPr>
          <w:p w14:paraId="04F385BC" w14:textId="77777777" w:rsidR="001608E9" w:rsidRPr="009E06AA" w:rsidRDefault="001608E9" w:rsidP="00B55F24">
            <w:pPr>
              <w:pStyle w:val="TableText"/>
              <w:spacing w:before="40" w:after="40"/>
            </w:pPr>
            <w:r w:rsidRPr="009E06AA">
              <w:t>HFC-143a</w:t>
            </w:r>
          </w:p>
        </w:tc>
        <w:tc>
          <w:tcPr>
            <w:tcW w:w="2911" w:type="dxa"/>
            <w:tcBorders>
              <w:top w:val="single" w:sz="4" w:space="0" w:color="1B556B"/>
              <w:left w:val="nil"/>
              <w:bottom w:val="single" w:sz="4" w:space="0" w:color="1B556B"/>
              <w:right w:val="nil"/>
            </w:tcBorders>
            <w:shd w:val="clear" w:color="auto" w:fill="FFFFFF"/>
          </w:tcPr>
          <w:p w14:paraId="0D5E4202" w14:textId="77777777" w:rsidR="001608E9" w:rsidRPr="009E06AA" w:rsidRDefault="001608E9" w:rsidP="00B55F24">
            <w:pPr>
              <w:pStyle w:val="TableText"/>
              <w:spacing w:before="40" w:after="40"/>
            </w:pPr>
            <w:r w:rsidRPr="009E06AA">
              <w:t>2a</w:t>
            </w:r>
          </w:p>
        </w:tc>
      </w:tr>
      <w:tr w:rsidR="001608E9" w:rsidRPr="009E06AA" w14:paraId="501B0AAE" w14:textId="77777777" w:rsidTr="00B55F24">
        <w:tc>
          <w:tcPr>
            <w:tcW w:w="3261" w:type="dxa"/>
            <w:vMerge w:val="restart"/>
            <w:tcBorders>
              <w:top w:val="single" w:sz="4" w:space="0" w:color="1B556B"/>
              <w:left w:val="nil"/>
              <w:bottom w:val="single" w:sz="4" w:space="0" w:color="1B556B"/>
              <w:right w:val="nil"/>
            </w:tcBorders>
            <w:shd w:val="clear" w:color="auto" w:fill="FFFFFF"/>
          </w:tcPr>
          <w:p w14:paraId="33C82930" w14:textId="77777777" w:rsidR="001608E9" w:rsidRPr="009E06AA" w:rsidRDefault="001608E9" w:rsidP="00B55F24">
            <w:pPr>
              <w:pStyle w:val="TableText"/>
              <w:spacing w:before="40" w:after="40"/>
            </w:pPr>
            <w:r w:rsidRPr="009E06AA">
              <w:t>Stationary air conditioning</w:t>
            </w:r>
          </w:p>
        </w:tc>
        <w:tc>
          <w:tcPr>
            <w:tcW w:w="2390" w:type="dxa"/>
            <w:tcBorders>
              <w:top w:val="single" w:sz="4" w:space="0" w:color="1B556B"/>
              <w:left w:val="nil"/>
              <w:bottom w:val="single" w:sz="4" w:space="0" w:color="1B556B"/>
              <w:right w:val="nil"/>
            </w:tcBorders>
            <w:shd w:val="clear" w:color="auto" w:fill="FFFFFF"/>
          </w:tcPr>
          <w:p w14:paraId="20E0EE2E" w14:textId="77777777" w:rsidR="001608E9" w:rsidRPr="009E06AA" w:rsidRDefault="001608E9" w:rsidP="00B55F24">
            <w:pPr>
              <w:pStyle w:val="TableText"/>
              <w:spacing w:before="40" w:after="40"/>
            </w:pPr>
            <w:r w:rsidRPr="009E06AA">
              <w:t>HFC-32</w:t>
            </w:r>
          </w:p>
        </w:tc>
        <w:tc>
          <w:tcPr>
            <w:tcW w:w="2911" w:type="dxa"/>
            <w:tcBorders>
              <w:top w:val="single" w:sz="4" w:space="0" w:color="1B556B"/>
              <w:left w:val="nil"/>
              <w:bottom w:val="single" w:sz="4" w:space="0" w:color="1B556B"/>
              <w:right w:val="nil"/>
            </w:tcBorders>
            <w:shd w:val="clear" w:color="auto" w:fill="FFFFFF"/>
          </w:tcPr>
          <w:p w14:paraId="701E2915" w14:textId="77777777" w:rsidR="001608E9" w:rsidRPr="009E06AA" w:rsidRDefault="001608E9" w:rsidP="00B55F24">
            <w:pPr>
              <w:pStyle w:val="TableText"/>
              <w:spacing w:before="40" w:after="40"/>
            </w:pPr>
            <w:r w:rsidRPr="009E06AA">
              <w:t>2b</w:t>
            </w:r>
          </w:p>
        </w:tc>
      </w:tr>
      <w:tr w:rsidR="001608E9" w:rsidRPr="009E06AA" w14:paraId="1AEE7B0F" w14:textId="77777777" w:rsidTr="00B55F24">
        <w:tc>
          <w:tcPr>
            <w:tcW w:w="3261" w:type="dxa"/>
            <w:vMerge/>
            <w:tcBorders>
              <w:top w:val="single" w:sz="4" w:space="0" w:color="1B556B"/>
              <w:left w:val="nil"/>
              <w:right w:val="nil"/>
            </w:tcBorders>
            <w:shd w:val="clear" w:color="auto" w:fill="FFFFFF"/>
          </w:tcPr>
          <w:p w14:paraId="38759F63" w14:textId="77777777" w:rsidR="001608E9" w:rsidRPr="009E06AA" w:rsidRDefault="001608E9" w:rsidP="00B55F24">
            <w:pPr>
              <w:pStyle w:val="TableText"/>
              <w:spacing w:before="40" w:after="40"/>
            </w:pPr>
          </w:p>
        </w:tc>
        <w:tc>
          <w:tcPr>
            <w:tcW w:w="2390" w:type="dxa"/>
            <w:tcBorders>
              <w:top w:val="single" w:sz="4" w:space="0" w:color="1B556B"/>
              <w:left w:val="nil"/>
              <w:bottom w:val="single" w:sz="4" w:space="0" w:color="365F91"/>
              <w:right w:val="nil"/>
            </w:tcBorders>
            <w:shd w:val="clear" w:color="auto" w:fill="FFFFFF"/>
          </w:tcPr>
          <w:p w14:paraId="13705B34" w14:textId="77777777" w:rsidR="001608E9" w:rsidRPr="009E06AA" w:rsidRDefault="001608E9" w:rsidP="00B55F24">
            <w:pPr>
              <w:pStyle w:val="TableText"/>
              <w:spacing w:before="40" w:after="40"/>
            </w:pPr>
            <w:r w:rsidRPr="009E06AA">
              <w:t>HFC-125</w:t>
            </w:r>
          </w:p>
        </w:tc>
        <w:tc>
          <w:tcPr>
            <w:tcW w:w="2911" w:type="dxa"/>
            <w:tcBorders>
              <w:top w:val="single" w:sz="4" w:space="0" w:color="1B556B"/>
              <w:left w:val="nil"/>
              <w:bottom w:val="single" w:sz="4" w:space="0" w:color="365F91"/>
              <w:right w:val="nil"/>
            </w:tcBorders>
            <w:shd w:val="clear" w:color="auto" w:fill="FFFFFF"/>
          </w:tcPr>
          <w:p w14:paraId="5867A33F" w14:textId="77777777" w:rsidR="001608E9" w:rsidRPr="009E06AA" w:rsidRDefault="001608E9" w:rsidP="00B55F24">
            <w:pPr>
              <w:pStyle w:val="TableText"/>
              <w:spacing w:before="40" w:after="40"/>
            </w:pPr>
            <w:r w:rsidRPr="009E06AA">
              <w:t xml:space="preserve">2a to 2006, 2b for 2007–2021 </w:t>
            </w:r>
          </w:p>
        </w:tc>
      </w:tr>
      <w:tr w:rsidR="001608E9" w:rsidRPr="009E06AA" w14:paraId="49932DB5" w14:textId="77777777" w:rsidTr="00B55F24">
        <w:tc>
          <w:tcPr>
            <w:tcW w:w="3261" w:type="dxa"/>
            <w:vMerge/>
            <w:tcBorders>
              <w:left w:val="nil"/>
              <w:bottom w:val="single" w:sz="4" w:space="0" w:color="1B556B"/>
              <w:right w:val="nil"/>
            </w:tcBorders>
            <w:shd w:val="clear" w:color="auto" w:fill="FFFFFF"/>
          </w:tcPr>
          <w:p w14:paraId="49F3B9C0" w14:textId="77777777" w:rsidR="001608E9" w:rsidRPr="009E06AA" w:rsidRDefault="001608E9" w:rsidP="00B55F24">
            <w:pPr>
              <w:pStyle w:val="TableText"/>
              <w:spacing w:before="40" w:after="40"/>
            </w:pPr>
          </w:p>
        </w:tc>
        <w:tc>
          <w:tcPr>
            <w:tcW w:w="2390" w:type="dxa"/>
            <w:tcBorders>
              <w:top w:val="single" w:sz="4" w:space="0" w:color="365F91"/>
              <w:left w:val="nil"/>
              <w:bottom w:val="single" w:sz="4" w:space="0" w:color="1B556B"/>
              <w:right w:val="nil"/>
            </w:tcBorders>
            <w:shd w:val="clear" w:color="auto" w:fill="FFFFFF"/>
          </w:tcPr>
          <w:p w14:paraId="2629E9A5" w14:textId="77777777" w:rsidR="001608E9" w:rsidRPr="009E06AA" w:rsidRDefault="001608E9" w:rsidP="00B55F24">
            <w:pPr>
              <w:pStyle w:val="TableText"/>
              <w:spacing w:before="40" w:after="40"/>
            </w:pPr>
            <w:r w:rsidRPr="009E06AA">
              <w:t>HFC 134a</w:t>
            </w:r>
          </w:p>
        </w:tc>
        <w:tc>
          <w:tcPr>
            <w:tcW w:w="2911" w:type="dxa"/>
            <w:tcBorders>
              <w:top w:val="single" w:sz="4" w:space="0" w:color="365F91"/>
              <w:left w:val="nil"/>
              <w:bottom w:val="single" w:sz="4" w:space="0" w:color="1B556B"/>
              <w:right w:val="nil"/>
            </w:tcBorders>
            <w:shd w:val="clear" w:color="auto" w:fill="FFFFFF"/>
          </w:tcPr>
          <w:p w14:paraId="30F53230" w14:textId="77777777" w:rsidR="001608E9" w:rsidRPr="009E06AA" w:rsidRDefault="001608E9" w:rsidP="00B55F24">
            <w:pPr>
              <w:pStyle w:val="TableText"/>
              <w:spacing w:before="40" w:after="40"/>
            </w:pPr>
            <w:r w:rsidRPr="009E06AA">
              <w:t>2a</w:t>
            </w:r>
          </w:p>
        </w:tc>
      </w:tr>
      <w:tr w:rsidR="001608E9" w:rsidRPr="009E06AA" w14:paraId="42DD6665" w14:textId="77777777" w:rsidTr="00B55F24">
        <w:tc>
          <w:tcPr>
            <w:tcW w:w="3261" w:type="dxa"/>
            <w:tcBorders>
              <w:top w:val="single" w:sz="4" w:space="0" w:color="1B556B"/>
              <w:left w:val="nil"/>
              <w:bottom w:val="single" w:sz="4" w:space="0" w:color="1B556B"/>
              <w:right w:val="nil"/>
            </w:tcBorders>
            <w:shd w:val="clear" w:color="auto" w:fill="FFFFFF"/>
          </w:tcPr>
          <w:p w14:paraId="2E4D6387" w14:textId="77777777" w:rsidR="001608E9" w:rsidRPr="009E06AA" w:rsidRDefault="001608E9" w:rsidP="00B55F24">
            <w:pPr>
              <w:pStyle w:val="TableText"/>
              <w:spacing w:before="40" w:after="40"/>
            </w:pPr>
            <w:r w:rsidRPr="009E06AA">
              <w:t>Mobile air conditioning</w:t>
            </w:r>
          </w:p>
        </w:tc>
        <w:tc>
          <w:tcPr>
            <w:tcW w:w="2390" w:type="dxa"/>
            <w:tcBorders>
              <w:top w:val="single" w:sz="4" w:space="0" w:color="1B556B"/>
              <w:left w:val="nil"/>
              <w:bottom w:val="single" w:sz="4" w:space="0" w:color="1B556B"/>
              <w:right w:val="nil"/>
            </w:tcBorders>
            <w:shd w:val="clear" w:color="auto" w:fill="FFFFFF"/>
          </w:tcPr>
          <w:p w14:paraId="69F005A9" w14:textId="77777777" w:rsidR="001608E9" w:rsidRPr="009E06AA" w:rsidRDefault="001608E9" w:rsidP="00B55F24">
            <w:pPr>
              <w:pStyle w:val="TableText"/>
              <w:spacing w:before="40" w:after="40"/>
            </w:pPr>
            <w:r w:rsidRPr="009E06AA">
              <w:t>HFC-134a</w:t>
            </w:r>
          </w:p>
        </w:tc>
        <w:tc>
          <w:tcPr>
            <w:tcW w:w="2911" w:type="dxa"/>
            <w:tcBorders>
              <w:top w:val="single" w:sz="4" w:space="0" w:color="1B556B"/>
              <w:left w:val="nil"/>
              <w:bottom w:val="single" w:sz="4" w:space="0" w:color="1B556B"/>
              <w:right w:val="nil"/>
            </w:tcBorders>
            <w:shd w:val="clear" w:color="auto" w:fill="FFFFFF"/>
          </w:tcPr>
          <w:p w14:paraId="38161982" w14:textId="77777777" w:rsidR="001608E9" w:rsidRPr="009E06AA" w:rsidRDefault="001608E9" w:rsidP="00B55F24">
            <w:pPr>
              <w:pStyle w:val="TableText"/>
              <w:spacing w:before="40" w:after="40"/>
            </w:pPr>
            <w:r w:rsidRPr="009E06AA">
              <w:t>2b</w:t>
            </w:r>
          </w:p>
        </w:tc>
      </w:tr>
    </w:tbl>
    <w:p w14:paraId="42AE062F" w14:textId="77777777" w:rsidR="001608E9" w:rsidRPr="009E06AA" w:rsidRDefault="001608E9" w:rsidP="007E04C8">
      <w:pPr>
        <w:pStyle w:val="Heading5"/>
        <w:spacing w:before="360"/>
      </w:pPr>
      <w:r w:rsidRPr="009E06AA">
        <w:t>Other (2.F.2, 2.F.3 and 2.F.4)</w:t>
      </w:r>
    </w:p>
    <w:p w14:paraId="29301C95" w14:textId="6614BB3D" w:rsidR="001608E9" w:rsidRPr="009E06AA" w:rsidRDefault="001608E9" w:rsidP="001608E9">
      <w:pPr>
        <w:pStyle w:val="BodyText"/>
      </w:pPr>
      <w:r w:rsidRPr="009E06AA">
        <w:t xml:space="preserve">The IPCC Tier 1a method </w:t>
      </w:r>
      <w:r w:rsidR="007E156B" w:rsidRPr="009E06AA">
        <w:t>was</w:t>
      </w:r>
      <w:r w:rsidRPr="009E06AA">
        <w:t xml:space="preserve"> used for foam blowing agents and fire protection equipment. </w:t>
      </w:r>
    </w:p>
    <w:p w14:paraId="35C53BFF" w14:textId="77777777" w:rsidR="001608E9" w:rsidRPr="009E06AA" w:rsidRDefault="001608E9" w:rsidP="001608E9">
      <w:pPr>
        <w:pStyle w:val="BodyText"/>
      </w:pPr>
      <w:r w:rsidRPr="009E06AA">
        <w:t xml:space="preserve">Aerosol emissions are calculated using the IPCC Tier 1a/2a method (IPCC, 2006a, equation 7.6). Tier 2a requires subdividing these emissions by sub-application. In this submission, emissions from MDIs are reported separately as a sub-application (2.F.4.a). Insufficient data are available to further subdivide aerosol products by sub-application and all other aerosol products are reported together (2.F.4.b). </w:t>
      </w:r>
    </w:p>
    <w:p w14:paraId="6A9B847E" w14:textId="77777777" w:rsidR="001608E9" w:rsidRPr="009E06AA" w:rsidRDefault="001608E9" w:rsidP="001608E9">
      <w:pPr>
        <w:pStyle w:val="Heading4"/>
        <w:rPr>
          <w:bCs/>
          <w:iCs/>
        </w:rPr>
      </w:pPr>
      <w:r w:rsidRPr="009E06AA">
        <w:t>Choice of emission factors</w:t>
      </w:r>
    </w:p>
    <w:p w14:paraId="6B36D453" w14:textId="77777777" w:rsidR="001608E9" w:rsidRPr="009E06AA" w:rsidRDefault="001608E9" w:rsidP="007E04C8">
      <w:pPr>
        <w:pStyle w:val="Heading5"/>
        <w:spacing w:before="180"/>
      </w:pPr>
      <w:r w:rsidRPr="009E06AA">
        <w:t>Refrigeration and air conditioning (2.F.1)</w:t>
      </w:r>
    </w:p>
    <w:p w14:paraId="317C6C57" w14:textId="77777777" w:rsidR="001608E9" w:rsidRPr="009E06AA" w:rsidRDefault="001608E9" w:rsidP="001C2601">
      <w:pPr>
        <w:pStyle w:val="BodyText"/>
        <w:spacing w:before="100" w:after="100"/>
      </w:pPr>
      <w:r w:rsidRPr="009E06AA">
        <w:t xml:space="preserve">The emission factors used in each sub-application (other than </w:t>
      </w:r>
      <w:r w:rsidRPr="009E06AA">
        <w:rPr>
          <w:i/>
        </w:rPr>
        <w:t>Mobile air conditioning</w:t>
      </w:r>
      <w:r w:rsidRPr="009E06AA">
        <w:t xml:space="preserve">) were assessed using a combination of IPCC defaults, information from the New Zealand industry and expert judgement. </w:t>
      </w:r>
    </w:p>
    <w:p w14:paraId="0D550692" w14:textId="77777777" w:rsidR="001608E9" w:rsidRPr="009E06AA" w:rsidRDefault="001608E9" w:rsidP="001C2601">
      <w:pPr>
        <w:pStyle w:val="BodyText"/>
        <w:spacing w:before="100" w:after="100"/>
      </w:pPr>
      <w:r w:rsidRPr="009E06AA">
        <w:t>In addition, the annual leakage rates were adjusted in some cases, to ensure that the total results for all sub-applications were consistent with the much more complete and accurate data available to estimate the total mass balance (for all five sub-applications) for each chemical. For each chemical, use of the Tier 2b method means that emission factors only affect the attribution of emissions among these five sub</w:t>
      </w:r>
      <w:r w:rsidRPr="009E06AA">
        <w:noBreakHyphen/>
        <w:t>applications, not the total emissions. Attribution to any one sub-application is subject to high uncertainties and may, consequently, be subject to significant apparent year</w:t>
      </w:r>
      <w:r w:rsidRPr="009E06AA">
        <w:noBreakHyphen/>
        <w:t>to</w:t>
      </w:r>
      <w:r w:rsidRPr="009E06AA">
        <w:noBreakHyphen/>
        <w:t xml:space="preserve">year variations. </w:t>
      </w:r>
    </w:p>
    <w:p w14:paraId="11E9D506" w14:textId="77777777" w:rsidR="001608E9" w:rsidRPr="009E06AA" w:rsidRDefault="001608E9" w:rsidP="001C2601">
      <w:pPr>
        <w:pStyle w:val="BodyText"/>
        <w:spacing w:before="100" w:after="100"/>
      </w:pPr>
      <w:r w:rsidRPr="009E06AA">
        <w:t>These emission factors are detailed in the report by Verum Group (</w:t>
      </w:r>
      <w:r w:rsidRPr="009E06AA">
        <w:rPr>
          <w:rFonts w:eastAsia="+mn-ea"/>
        </w:rPr>
        <w:t>unpublished</w:t>
      </w:r>
      <w:r w:rsidRPr="009E06AA">
        <w:t xml:space="preserve">) and in the stock models used to calculate emissions. </w:t>
      </w:r>
    </w:p>
    <w:p w14:paraId="529E13AE" w14:textId="77777777" w:rsidR="001608E9" w:rsidRPr="009E06AA" w:rsidRDefault="001608E9" w:rsidP="001C2601">
      <w:pPr>
        <w:pStyle w:val="BodyText"/>
        <w:spacing w:before="100" w:after="100"/>
      </w:pPr>
      <w:r w:rsidRPr="009E06AA">
        <w:t xml:space="preserve">For </w:t>
      </w:r>
      <w:r w:rsidRPr="009E06AA">
        <w:rPr>
          <w:i/>
        </w:rPr>
        <w:t>Mobile air conditioning</w:t>
      </w:r>
      <w:r w:rsidRPr="009E06AA">
        <w:t>, the model distinguishes between leakage that is replaced in regular servicing (3.0 per cent of the bank each year) and refrigerant that leaks but is not replaced because owners do not have the air conditioning units serviced. The overall average amount of loss for the fleet is assessed to be 15</w:t>
      </w:r>
      <w:r w:rsidRPr="009E06AA">
        <w:rPr>
          <w:rFonts w:cs="Calibri"/>
        </w:rPr>
        <w:t>±</w:t>
      </w:r>
      <w:r w:rsidRPr="009E06AA">
        <w:t>10 per cent;</w:t>
      </w:r>
      <w:r w:rsidRPr="009E06AA" w:rsidDel="00787B0F">
        <w:t xml:space="preserve"> </w:t>
      </w:r>
      <w:r w:rsidRPr="009E06AA">
        <w:t>that is, at any time a notional ‘average vehicle’ will have 85</w:t>
      </w:r>
      <w:r w:rsidRPr="009E06AA">
        <w:rPr>
          <w:rFonts w:cs="Calibri"/>
        </w:rPr>
        <w:t>±</w:t>
      </w:r>
      <w:r w:rsidRPr="009E06AA">
        <w:t xml:space="preserve">10 per cent of the charge that it would have if there was no leakage. There is also some uncertainty in the proportion of bulk imports of HFC-134 used in </w:t>
      </w:r>
      <w:r w:rsidRPr="009E06AA">
        <w:rPr>
          <w:i/>
          <w:iCs/>
        </w:rPr>
        <w:t>Mobile air conditioning</w:t>
      </w:r>
      <w:r w:rsidRPr="009E06AA">
        <w:t xml:space="preserve"> as opposed to the other sub-applications. </w:t>
      </w:r>
    </w:p>
    <w:p w14:paraId="1565E583" w14:textId="77777777" w:rsidR="001608E9" w:rsidRPr="009E06AA" w:rsidRDefault="001608E9" w:rsidP="00BF2A76">
      <w:pPr>
        <w:pStyle w:val="Heading5"/>
      </w:pPr>
      <w:r w:rsidRPr="009E06AA">
        <w:t>Foam blowing agents (2.F.2)</w:t>
      </w:r>
    </w:p>
    <w:p w14:paraId="01228A44" w14:textId="77777777" w:rsidR="001608E9" w:rsidRPr="009E06AA" w:rsidRDefault="001608E9" w:rsidP="001C2601">
      <w:pPr>
        <w:pStyle w:val="BodyText"/>
        <w:spacing w:before="100" w:after="100"/>
      </w:pPr>
      <w:r w:rsidRPr="009E06AA">
        <w:t xml:space="preserve">The IPCC default emission factors for closed-cell foam are used, that is, assuming 10.0 per cent loss in the first year of use and 4.5 per cent in each of the following 20 years. </w:t>
      </w:r>
    </w:p>
    <w:p w14:paraId="251F049B" w14:textId="77777777" w:rsidR="001608E9" w:rsidRPr="009E06AA" w:rsidRDefault="001608E9" w:rsidP="00BF2A76">
      <w:pPr>
        <w:pStyle w:val="Heading5"/>
      </w:pPr>
      <w:r w:rsidRPr="009E06AA">
        <w:t>Fire protection (2.F.3)</w:t>
      </w:r>
    </w:p>
    <w:p w14:paraId="3200871A" w14:textId="77777777" w:rsidR="001608E9" w:rsidRPr="009E06AA" w:rsidRDefault="001608E9" w:rsidP="001608E9">
      <w:pPr>
        <w:pStyle w:val="BodyText"/>
      </w:pPr>
      <w:r w:rsidRPr="009E06AA">
        <w:t xml:space="preserve">For fire protection equipment, a country-specific emission factor of 0.015 (1.5 per cent of the charge lost in leakage each year (Verum Group (unpublished) is used. This estimate is based on information from one major supplier of these systems, which was able to supply records of the amount of HFC-227ea it used to replace leakage and accidental discharges. Fire protection systems have a long life and retirements are rare. Based on information from the system suppliers, it is assessed that all refrigerant present on decommissioning is recovered. </w:t>
      </w:r>
    </w:p>
    <w:p w14:paraId="594BB8CA" w14:textId="77777777" w:rsidR="001608E9" w:rsidRPr="009E06AA" w:rsidRDefault="001608E9" w:rsidP="00BF2A76">
      <w:pPr>
        <w:pStyle w:val="Heading5"/>
      </w:pPr>
      <w:r w:rsidRPr="009E06AA">
        <w:t>Aerosols (2.F.4)</w:t>
      </w:r>
    </w:p>
    <w:p w14:paraId="48FCF264" w14:textId="77777777" w:rsidR="001608E9" w:rsidRPr="009E06AA" w:rsidRDefault="001608E9" w:rsidP="001C2601">
      <w:pPr>
        <w:pStyle w:val="BodyText"/>
        <w:spacing w:before="100" w:after="100"/>
      </w:pPr>
      <w:r w:rsidRPr="009E06AA">
        <w:t xml:space="preserve">Aerosol emissions are considered to be prompt (emitted in the first year or two after manufacture or import) and so the default emission factor of 50.0 per cent of the initial charge emitted per year is applied. </w:t>
      </w:r>
    </w:p>
    <w:p w14:paraId="2AEBAFC2" w14:textId="77777777" w:rsidR="001608E9" w:rsidRPr="009E06AA" w:rsidRDefault="001608E9" w:rsidP="001608E9">
      <w:pPr>
        <w:pStyle w:val="Heading3"/>
      </w:pPr>
      <w:bookmarkStart w:id="682" w:name="_Toc158647361"/>
      <w:r w:rsidRPr="009E06AA">
        <w:t xml:space="preserve">4.7.3 </w:t>
      </w:r>
      <w:r w:rsidRPr="009E06AA">
        <w:tab/>
        <w:t>Uncertainty assessment and time-series consistency</w:t>
      </w:r>
      <w:bookmarkEnd w:id="682"/>
    </w:p>
    <w:p w14:paraId="2EC27F9E" w14:textId="77777777" w:rsidR="001608E9" w:rsidRPr="009E06AA" w:rsidRDefault="001608E9" w:rsidP="001608E9">
      <w:pPr>
        <w:pStyle w:val="Heading4"/>
        <w:spacing w:before="160"/>
        <w:rPr>
          <w:bCs/>
          <w:iCs/>
        </w:rPr>
      </w:pPr>
      <w:r w:rsidRPr="009E06AA">
        <w:t>Uncertainties</w:t>
      </w:r>
    </w:p>
    <w:p w14:paraId="76A69794" w14:textId="77777777" w:rsidR="001608E9" w:rsidRPr="009E06AA" w:rsidRDefault="001608E9" w:rsidP="001C2601">
      <w:pPr>
        <w:pStyle w:val="BodyText"/>
        <w:spacing w:before="100" w:after="100"/>
      </w:pPr>
      <w:r w:rsidRPr="009E06AA">
        <w:t xml:space="preserve">Data on bulk imports of refrigerant gases in the </w:t>
      </w:r>
      <w:r w:rsidRPr="009E06AA">
        <w:rPr>
          <w:i/>
        </w:rPr>
        <w:t>Refrigeration and air conditioning</w:t>
      </w:r>
      <w:r w:rsidRPr="009E06AA">
        <w:t xml:space="preserve"> category are complete and accurate, with uncertainty of ±5 per cent. Data on the amount imported in factory-charged equipment, and the amount in retired equipment, are much less accurate, and uncertainties are estimated with some use of expert judgement. </w:t>
      </w:r>
    </w:p>
    <w:p w14:paraId="7011F808" w14:textId="77777777" w:rsidR="001608E9" w:rsidRPr="009E06AA" w:rsidRDefault="001608E9" w:rsidP="001608E9">
      <w:pPr>
        <w:pStyle w:val="BodyText"/>
        <w:spacing w:before="100" w:after="100"/>
      </w:pPr>
      <w:r w:rsidRPr="009E06AA">
        <w:t xml:space="preserve">Table 4.7.4 summarises the uncertainties for each category. For the </w:t>
      </w:r>
      <w:r w:rsidRPr="009E06AA">
        <w:rPr>
          <w:i/>
        </w:rPr>
        <w:t>Refrigeration and air conditioning</w:t>
      </w:r>
      <w:r w:rsidRPr="009E06AA">
        <w:t xml:space="preserve"> category, uncertainty is attributed only to the activity data and is updated annually to reflect the share of different equipment types in the latest reported year. Uncertainties in this category have also been estimated for each sub-application. However, these reflect the uncertain attribution of emissions between sub-applications, which does not contribute to the overall uncertainty given for this category. </w:t>
      </w:r>
    </w:p>
    <w:p w14:paraId="7C654111" w14:textId="77777777" w:rsidR="001608E9" w:rsidRPr="009E06AA" w:rsidRDefault="001608E9" w:rsidP="001608E9">
      <w:pPr>
        <w:pStyle w:val="Table"/>
      </w:pPr>
      <w:bookmarkStart w:id="683" w:name="_Toc128042762"/>
      <w:bookmarkStart w:id="684" w:name="_Toc451176078"/>
      <w:bookmarkStart w:id="685" w:name="_Toc5269468"/>
      <w:bookmarkStart w:id="686" w:name="_Toc36224542"/>
      <w:bookmarkStart w:id="687" w:name="_Toc68786428"/>
      <w:bookmarkStart w:id="688" w:name="_Toc131591342"/>
      <w:bookmarkStart w:id="689" w:name="_Toc158647430"/>
      <w:bookmarkStart w:id="690" w:name="_Toc164153828"/>
      <w:r w:rsidRPr="009E06AA">
        <w:t xml:space="preserve">Table 4.7.4 </w:t>
      </w:r>
      <w:r w:rsidRPr="009E06AA">
        <w:tab/>
        <w:t xml:space="preserve">New Zealand’s uncertainties in product uses as substitutes for ozone depleting </w:t>
      </w:r>
      <w:bookmarkEnd w:id="683"/>
      <w:bookmarkEnd w:id="684"/>
      <w:bookmarkEnd w:id="685"/>
      <w:bookmarkEnd w:id="686"/>
      <w:bookmarkEnd w:id="687"/>
      <w:r w:rsidRPr="009E06AA">
        <w:t>substances</w:t>
      </w:r>
      <w:bookmarkEnd w:id="688"/>
      <w:bookmarkEnd w:id="689"/>
      <w:bookmarkEnd w:id="690"/>
    </w:p>
    <w:tbl>
      <w:tblPr>
        <w:tblW w:w="8505" w:type="dxa"/>
        <w:tblLook w:val="04A0" w:firstRow="1" w:lastRow="0" w:firstColumn="1" w:lastColumn="0" w:noHBand="0" w:noVBand="1"/>
      </w:tblPr>
      <w:tblGrid>
        <w:gridCol w:w="2873"/>
        <w:gridCol w:w="2660"/>
        <w:gridCol w:w="2972"/>
      </w:tblGrid>
      <w:tr w:rsidR="001608E9" w:rsidRPr="009E06AA" w14:paraId="7B20E334" w14:textId="77777777" w:rsidTr="00B55F24">
        <w:trPr>
          <w:trHeight w:val="309"/>
        </w:trPr>
        <w:tc>
          <w:tcPr>
            <w:tcW w:w="2603" w:type="dxa"/>
            <w:tcBorders>
              <w:top w:val="single" w:sz="4" w:space="0" w:color="1B556B"/>
              <w:left w:val="nil"/>
              <w:bottom w:val="single" w:sz="4" w:space="0" w:color="1B556B"/>
              <w:right w:val="nil"/>
            </w:tcBorders>
            <w:shd w:val="clear" w:color="auto" w:fill="1B556B"/>
            <w:hideMark/>
          </w:tcPr>
          <w:p w14:paraId="537E143F" w14:textId="77777777" w:rsidR="001608E9" w:rsidRPr="009E06AA" w:rsidRDefault="001608E9" w:rsidP="00B55F24">
            <w:pPr>
              <w:pStyle w:val="TableTextBold"/>
              <w:keepNext/>
              <w:spacing w:before="50" w:after="50"/>
              <w:rPr>
                <w:bCs/>
                <w:noProof w:val="0"/>
                <w:color w:val="FFFFFF"/>
              </w:rPr>
            </w:pPr>
            <w:r w:rsidRPr="009E06AA">
              <w:rPr>
                <w:noProof w:val="0"/>
                <w:color w:val="FFFFFF"/>
              </w:rPr>
              <w:t>Category</w:t>
            </w:r>
          </w:p>
        </w:tc>
        <w:tc>
          <w:tcPr>
            <w:tcW w:w="2410" w:type="dxa"/>
            <w:tcBorders>
              <w:top w:val="single" w:sz="4" w:space="0" w:color="1B556B"/>
              <w:left w:val="nil"/>
              <w:bottom w:val="single" w:sz="4" w:space="0" w:color="1B556B"/>
              <w:right w:val="nil"/>
            </w:tcBorders>
            <w:shd w:val="clear" w:color="auto" w:fill="1B556B"/>
            <w:hideMark/>
          </w:tcPr>
          <w:p w14:paraId="26DBA475" w14:textId="77777777" w:rsidR="001608E9" w:rsidRPr="009E06AA" w:rsidRDefault="001608E9" w:rsidP="005F6BB6">
            <w:pPr>
              <w:pStyle w:val="TableTextBold"/>
              <w:keepNext/>
              <w:spacing w:before="50" w:after="50"/>
              <w:jc w:val="right"/>
              <w:rPr>
                <w:bCs/>
                <w:noProof w:val="0"/>
                <w:color w:val="FFFFFF"/>
              </w:rPr>
            </w:pPr>
            <w:r w:rsidRPr="009E06AA">
              <w:rPr>
                <w:noProof w:val="0"/>
                <w:color w:val="FFFFFF"/>
              </w:rPr>
              <w:t>Uncertainty in activity data (%)</w:t>
            </w:r>
          </w:p>
        </w:tc>
        <w:tc>
          <w:tcPr>
            <w:tcW w:w="2693" w:type="dxa"/>
            <w:tcBorders>
              <w:top w:val="single" w:sz="4" w:space="0" w:color="1B556B"/>
              <w:left w:val="nil"/>
              <w:bottom w:val="single" w:sz="4" w:space="0" w:color="1B556B"/>
              <w:right w:val="nil"/>
            </w:tcBorders>
            <w:shd w:val="clear" w:color="auto" w:fill="1B556B"/>
            <w:hideMark/>
          </w:tcPr>
          <w:p w14:paraId="5340E1BD" w14:textId="77777777" w:rsidR="001608E9" w:rsidRPr="009E06AA" w:rsidRDefault="001608E9" w:rsidP="005F6BB6">
            <w:pPr>
              <w:pStyle w:val="TableTextBold"/>
              <w:keepNext/>
              <w:spacing w:before="50" w:after="50"/>
              <w:jc w:val="right"/>
              <w:rPr>
                <w:noProof w:val="0"/>
                <w:color w:val="FFFFFF"/>
              </w:rPr>
            </w:pPr>
            <w:r w:rsidRPr="009E06AA">
              <w:rPr>
                <w:noProof w:val="0"/>
                <w:color w:val="FFFFFF"/>
              </w:rPr>
              <w:t>Uncertainty in emission factors (%)</w:t>
            </w:r>
          </w:p>
        </w:tc>
      </w:tr>
      <w:tr w:rsidR="001608E9" w:rsidRPr="009E06AA" w14:paraId="03EB98FD" w14:textId="77777777" w:rsidTr="00B55F24">
        <w:tc>
          <w:tcPr>
            <w:tcW w:w="2603" w:type="dxa"/>
            <w:tcBorders>
              <w:top w:val="single" w:sz="4" w:space="0" w:color="1B556B"/>
              <w:left w:val="nil"/>
              <w:bottom w:val="nil"/>
              <w:right w:val="nil"/>
            </w:tcBorders>
            <w:hideMark/>
          </w:tcPr>
          <w:p w14:paraId="37B93009" w14:textId="77777777" w:rsidR="001608E9" w:rsidRPr="009E06AA" w:rsidRDefault="001608E9" w:rsidP="00B55F24">
            <w:pPr>
              <w:pStyle w:val="TableText"/>
              <w:spacing w:before="40" w:after="40"/>
            </w:pPr>
            <w:r w:rsidRPr="009E06AA">
              <w:t>Refrigeration and air conditioning</w:t>
            </w:r>
          </w:p>
        </w:tc>
        <w:tc>
          <w:tcPr>
            <w:tcW w:w="2410" w:type="dxa"/>
            <w:tcBorders>
              <w:top w:val="single" w:sz="4" w:space="0" w:color="1B556B"/>
              <w:left w:val="nil"/>
              <w:bottom w:val="nil"/>
              <w:right w:val="nil"/>
            </w:tcBorders>
            <w:hideMark/>
          </w:tcPr>
          <w:p w14:paraId="5674A3B5" w14:textId="77777777" w:rsidR="001608E9" w:rsidRPr="009E06AA" w:rsidRDefault="001608E9" w:rsidP="005F6BB6">
            <w:pPr>
              <w:pStyle w:val="TableText"/>
              <w:spacing w:before="40" w:after="40"/>
              <w:jc w:val="right"/>
            </w:pPr>
            <w:r w:rsidRPr="009E06AA">
              <w:t>±24</w:t>
            </w:r>
          </w:p>
        </w:tc>
        <w:tc>
          <w:tcPr>
            <w:tcW w:w="2693" w:type="dxa"/>
            <w:tcBorders>
              <w:top w:val="single" w:sz="4" w:space="0" w:color="1B556B"/>
              <w:left w:val="nil"/>
              <w:bottom w:val="nil"/>
              <w:right w:val="nil"/>
            </w:tcBorders>
            <w:hideMark/>
          </w:tcPr>
          <w:p w14:paraId="53B939CF" w14:textId="77777777" w:rsidR="001608E9" w:rsidRPr="009E06AA" w:rsidRDefault="001608E9" w:rsidP="005F6BB6">
            <w:pPr>
              <w:pStyle w:val="TableText"/>
              <w:spacing w:before="40" w:after="40"/>
              <w:jc w:val="right"/>
            </w:pPr>
            <w:r w:rsidRPr="009E06AA">
              <w:t>NA</w:t>
            </w:r>
          </w:p>
        </w:tc>
      </w:tr>
      <w:tr w:rsidR="001608E9" w:rsidRPr="009E06AA" w14:paraId="47EFC59A" w14:textId="77777777" w:rsidTr="00B55F24">
        <w:tc>
          <w:tcPr>
            <w:tcW w:w="2603" w:type="dxa"/>
            <w:hideMark/>
          </w:tcPr>
          <w:p w14:paraId="0058CCC6" w14:textId="77777777" w:rsidR="001608E9" w:rsidRPr="009E06AA" w:rsidRDefault="001608E9" w:rsidP="00B55F24">
            <w:pPr>
              <w:pStyle w:val="TableText"/>
              <w:spacing w:before="40" w:after="40"/>
            </w:pPr>
            <w:r w:rsidRPr="009E06AA">
              <w:t>Foam blowing agents</w:t>
            </w:r>
          </w:p>
        </w:tc>
        <w:tc>
          <w:tcPr>
            <w:tcW w:w="2410" w:type="dxa"/>
            <w:hideMark/>
          </w:tcPr>
          <w:p w14:paraId="69B47782" w14:textId="77777777" w:rsidR="001608E9" w:rsidRPr="009E06AA" w:rsidRDefault="001608E9" w:rsidP="005F6BB6">
            <w:pPr>
              <w:pStyle w:val="TableText"/>
              <w:spacing w:before="40" w:after="40"/>
              <w:jc w:val="right"/>
            </w:pPr>
            <w:r w:rsidRPr="009E06AA">
              <w:t>±12</w:t>
            </w:r>
          </w:p>
        </w:tc>
        <w:tc>
          <w:tcPr>
            <w:tcW w:w="2693" w:type="dxa"/>
            <w:hideMark/>
          </w:tcPr>
          <w:p w14:paraId="4B599D2E" w14:textId="77777777" w:rsidR="001608E9" w:rsidRPr="009E06AA" w:rsidRDefault="001608E9" w:rsidP="005F6BB6">
            <w:pPr>
              <w:pStyle w:val="TableText"/>
              <w:spacing w:before="40" w:after="40"/>
              <w:jc w:val="right"/>
            </w:pPr>
            <w:r w:rsidRPr="009E06AA">
              <w:t>±50</w:t>
            </w:r>
          </w:p>
        </w:tc>
      </w:tr>
      <w:tr w:rsidR="001608E9" w:rsidRPr="009E06AA" w14:paraId="182A1438" w14:textId="77777777" w:rsidTr="00B55F24">
        <w:tc>
          <w:tcPr>
            <w:tcW w:w="2603" w:type="dxa"/>
            <w:hideMark/>
          </w:tcPr>
          <w:p w14:paraId="547C8142" w14:textId="77777777" w:rsidR="001608E9" w:rsidRPr="009E06AA" w:rsidRDefault="001608E9" w:rsidP="00B55F24">
            <w:pPr>
              <w:pStyle w:val="TableText"/>
              <w:spacing w:before="40" w:after="40"/>
            </w:pPr>
            <w:r w:rsidRPr="009E06AA">
              <w:t>Aerosols</w:t>
            </w:r>
          </w:p>
        </w:tc>
        <w:tc>
          <w:tcPr>
            <w:tcW w:w="2410" w:type="dxa"/>
            <w:hideMark/>
          </w:tcPr>
          <w:p w14:paraId="4777926C" w14:textId="77777777" w:rsidR="001608E9" w:rsidRPr="009E06AA" w:rsidRDefault="001608E9" w:rsidP="005F6BB6">
            <w:pPr>
              <w:pStyle w:val="TableText"/>
              <w:spacing w:before="40" w:after="40"/>
              <w:jc w:val="right"/>
            </w:pPr>
            <w:r w:rsidRPr="009E06AA">
              <w:t>±25</w:t>
            </w:r>
          </w:p>
        </w:tc>
        <w:tc>
          <w:tcPr>
            <w:tcW w:w="2693" w:type="dxa"/>
            <w:hideMark/>
          </w:tcPr>
          <w:p w14:paraId="51392415" w14:textId="77777777" w:rsidR="001608E9" w:rsidRPr="009E06AA" w:rsidRDefault="001608E9" w:rsidP="005F6BB6">
            <w:pPr>
              <w:pStyle w:val="TableText"/>
              <w:spacing w:before="40" w:after="40"/>
              <w:jc w:val="right"/>
            </w:pPr>
            <w:r w:rsidRPr="009E06AA">
              <w:t>±10</w:t>
            </w:r>
          </w:p>
        </w:tc>
      </w:tr>
      <w:tr w:rsidR="001608E9" w:rsidRPr="009E06AA" w14:paraId="75CBE55B" w14:textId="77777777" w:rsidTr="00B55F24">
        <w:tc>
          <w:tcPr>
            <w:tcW w:w="2603" w:type="dxa"/>
            <w:tcBorders>
              <w:top w:val="nil"/>
              <w:left w:val="nil"/>
              <w:bottom w:val="single" w:sz="4" w:space="0" w:color="1B556B"/>
              <w:right w:val="nil"/>
            </w:tcBorders>
            <w:hideMark/>
          </w:tcPr>
          <w:p w14:paraId="215672F9" w14:textId="77777777" w:rsidR="001608E9" w:rsidRPr="009E06AA" w:rsidRDefault="001608E9" w:rsidP="00B55F24">
            <w:pPr>
              <w:pStyle w:val="TableText"/>
              <w:spacing w:before="40" w:after="40"/>
            </w:pPr>
            <w:r w:rsidRPr="009E06AA">
              <w:t>Fire protection</w:t>
            </w:r>
          </w:p>
        </w:tc>
        <w:tc>
          <w:tcPr>
            <w:tcW w:w="2410" w:type="dxa"/>
            <w:tcBorders>
              <w:top w:val="nil"/>
              <w:left w:val="nil"/>
              <w:bottom w:val="single" w:sz="4" w:space="0" w:color="1B556B"/>
              <w:right w:val="nil"/>
            </w:tcBorders>
            <w:hideMark/>
          </w:tcPr>
          <w:p w14:paraId="0C859101" w14:textId="77777777" w:rsidR="001608E9" w:rsidRPr="009E06AA" w:rsidRDefault="001608E9" w:rsidP="005F6BB6">
            <w:pPr>
              <w:pStyle w:val="TableText"/>
              <w:spacing w:before="40" w:after="40"/>
              <w:jc w:val="right"/>
            </w:pPr>
            <w:r w:rsidRPr="009E06AA">
              <w:t>±30</w:t>
            </w:r>
          </w:p>
        </w:tc>
        <w:tc>
          <w:tcPr>
            <w:tcW w:w="2693" w:type="dxa"/>
            <w:tcBorders>
              <w:top w:val="nil"/>
              <w:left w:val="nil"/>
              <w:bottom w:val="single" w:sz="4" w:space="0" w:color="1B556B"/>
              <w:right w:val="nil"/>
            </w:tcBorders>
            <w:hideMark/>
          </w:tcPr>
          <w:p w14:paraId="7B187EF8" w14:textId="77777777" w:rsidR="001608E9" w:rsidRPr="009E06AA" w:rsidRDefault="001608E9" w:rsidP="005F6BB6">
            <w:pPr>
              <w:pStyle w:val="TableText"/>
              <w:spacing w:before="40" w:after="40"/>
              <w:jc w:val="right"/>
            </w:pPr>
            <w:r w:rsidRPr="009E06AA">
              <w:t>±30</w:t>
            </w:r>
          </w:p>
        </w:tc>
      </w:tr>
    </w:tbl>
    <w:p w14:paraId="2A2AB83D" w14:textId="77777777" w:rsidR="001608E9" w:rsidRPr="009E06AA" w:rsidRDefault="001608E9" w:rsidP="001608E9">
      <w:pPr>
        <w:pStyle w:val="Noteundertable"/>
        <w:spacing w:after="0"/>
      </w:pPr>
      <w:r w:rsidRPr="009E06AA">
        <w:rPr>
          <w:b/>
        </w:rPr>
        <w:t>Note:</w:t>
      </w:r>
      <w:r w:rsidRPr="009E06AA">
        <w:tab/>
        <w:t xml:space="preserve">NA = not applicable. </w:t>
      </w:r>
    </w:p>
    <w:p w14:paraId="43EAD074" w14:textId="77777777" w:rsidR="001608E9" w:rsidRPr="009E06AA" w:rsidRDefault="001608E9" w:rsidP="001608E9">
      <w:pPr>
        <w:pStyle w:val="Heading4"/>
      </w:pPr>
      <w:r w:rsidRPr="009E06AA">
        <w:t>Time-series consistency</w:t>
      </w:r>
    </w:p>
    <w:p w14:paraId="224BD93E" w14:textId="77777777" w:rsidR="001608E9" w:rsidRPr="009E06AA" w:rsidRDefault="001608E9" w:rsidP="001608E9">
      <w:pPr>
        <w:pStyle w:val="BodyText"/>
        <w:spacing w:before="100" w:after="100"/>
      </w:pPr>
      <w:r w:rsidRPr="009E06AA">
        <w:t xml:space="preserve">There is substantial variation over the time series due to the introduction and increasing use of HFCs as replacements for CFCs and HCFCs. In previous submissions, year-to-year variation in the calculated emissions from refrigeration and air conditioning has been driven by changes in stocks from year to year. Recalculations made for this submission have reduced this apparent variance. </w:t>
      </w:r>
    </w:p>
    <w:p w14:paraId="52D9F6F7" w14:textId="77777777" w:rsidR="001608E9" w:rsidRPr="009E06AA" w:rsidRDefault="001608E9" w:rsidP="001608E9">
      <w:pPr>
        <w:pStyle w:val="BodyText"/>
        <w:spacing w:before="100" w:after="100"/>
      </w:pPr>
      <w:r w:rsidRPr="009E06AA">
        <w:t>Calculated annual HFC emissions have increased at a consistent rate from 1,010.5 kt CO</w:t>
      </w:r>
      <w:r w:rsidRPr="009E06AA">
        <w:rPr>
          <w:vertAlign w:val="subscript"/>
        </w:rPr>
        <w:t>2</w:t>
      </w:r>
      <w:r w:rsidRPr="009E06AA">
        <w:t>-e in 2010 to 1,498.3 kt CO</w:t>
      </w:r>
      <w:r w:rsidRPr="009E06AA">
        <w:rPr>
          <w:vertAlign w:val="subscript"/>
        </w:rPr>
        <w:t>2</w:t>
      </w:r>
      <w:r w:rsidRPr="009E06AA">
        <w:t xml:space="preserve">-e in 2022. The banks of HFCs in operating equipment are also increasing over time, particularly in air conditioners. Future emissions will depend on the maintenance and eventual retirement of this equipment. </w:t>
      </w:r>
    </w:p>
    <w:p w14:paraId="0EE43A99" w14:textId="77777777" w:rsidR="001608E9" w:rsidRPr="009E06AA" w:rsidRDefault="001608E9" w:rsidP="001608E9">
      <w:pPr>
        <w:pStyle w:val="Heading3"/>
        <w:spacing w:before="320"/>
      </w:pPr>
      <w:bookmarkStart w:id="691" w:name="_Toc158647362"/>
      <w:r w:rsidRPr="009E06AA">
        <w:t>4.7.4</w:t>
      </w:r>
      <w:r w:rsidRPr="009E06AA">
        <w:tab/>
        <w:t>Category-specific QA/QC and verification</w:t>
      </w:r>
      <w:bookmarkEnd w:id="691"/>
    </w:p>
    <w:p w14:paraId="64A8C364" w14:textId="77777777" w:rsidR="001608E9" w:rsidRPr="009E06AA" w:rsidRDefault="001608E9" w:rsidP="001608E9">
      <w:pPr>
        <w:pStyle w:val="Heading4"/>
        <w:spacing w:before="180"/>
      </w:pPr>
      <w:r w:rsidRPr="009E06AA">
        <w:t>Refrigeration and air conditioning (2.F.1)</w:t>
      </w:r>
    </w:p>
    <w:p w14:paraId="395CBBEE" w14:textId="77777777" w:rsidR="001608E9" w:rsidRPr="009E06AA" w:rsidRDefault="001608E9" w:rsidP="001608E9">
      <w:pPr>
        <w:pStyle w:val="BodyText"/>
        <w:spacing w:before="100" w:after="100"/>
      </w:pPr>
      <w:r w:rsidRPr="009E06AA">
        <w:t xml:space="preserve">Use of HFCs in </w:t>
      </w:r>
      <w:r w:rsidRPr="009E06AA">
        <w:rPr>
          <w:i/>
        </w:rPr>
        <w:t>Refrigeration and air conditioning</w:t>
      </w:r>
      <w:r w:rsidRPr="009E06AA">
        <w:t xml:space="preserve"> was a key category (level and trend assessment). In the preparation of this inventory, the data on HFCs underwent Tier 1 quality checks. During data collection and calculation, activity data provided by industry were verified against national totals where possible, and unreturned questionnaires and anomalous data were followed up and verified to ensure a complete and accurate record of activity data. </w:t>
      </w:r>
    </w:p>
    <w:p w14:paraId="35A262D1" w14:textId="77777777" w:rsidR="001608E9" w:rsidRPr="009E06AA" w:rsidRDefault="001608E9" w:rsidP="001608E9">
      <w:pPr>
        <w:pStyle w:val="BodyText"/>
        <w:spacing w:before="100" w:after="100"/>
      </w:pPr>
      <w:r w:rsidRPr="009E06AA">
        <w:t xml:space="preserve">For the years up to 2001, the survey data supplied by importers on bulk HFC imports were verified by comparison with import data supplied by Stats NZ. The former Ministry of Economic Development compiled a detailed breakdown of bulk HFCs using these data and information from import licences for a range of mixtures, such as HFCs and HCFCs. This analysis has not been carried out since 2001, due to restricted access to commercially sensitive import data. Consequently, this independent check on the total imports reported by bulk chemical suppliers became unavailable after that year. </w:t>
      </w:r>
    </w:p>
    <w:p w14:paraId="31B5BF19" w14:textId="77777777" w:rsidR="001608E9" w:rsidRPr="009E06AA" w:rsidRDefault="001608E9" w:rsidP="001608E9">
      <w:pPr>
        <w:pStyle w:val="BodyText"/>
        <w:spacing w:before="100" w:after="100"/>
      </w:pPr>
      <w:r w:rsidRPr="009E06AA">
        <w:t xml:space="preserve">Survey data provided by Fisher and Paykel Limited (the largest importer and manufacturer) were used to compare with total import data where possible. In addition, bulk importers now submit NZ ETS returns, which are used to verify survey information on import volumes where possible. </w:t>
      </w:r>
    </w:p>
    <w:p w14:paraId="2470ED63" w14:textId="44600281" w:rsidR="001608E9" w:rsidRPr="009E06AA" w:rsidRDefault="001608E9" w:rsidP="001608E9">
      <w:pPr>
        <w:pStyle w:val="BodyText"/>
        <w:spacing w:before="100" w:after="100"/>
      </w:pPr>
      <w:r w:rsidRPr="009E06AA">
        <w:t xml:space="preserve">There </w:t>
      </w:r>
      <w:r w:rsidR="00C071F3" w:rsidRPr="009E06AA">
        <w:t xml:space="preserve">were </w:t>
      </w:r>
      <w:r w:rsidRPr="009E06AA">
        <w:t xml:space="preserve">no other key categories. </w:t>
      </w:r>
      <w:r w:rsidR="00471B91" w:rsidRPr="009E06AA">
        <w:t>The d</w:t>
      </w:r>
      <w:r w:rsidRPr="009E06AA">
        <w:t xml:space="preserve">ata underwent Tier 1 quality checks. </w:t>
      </w:r>
    </w:p>
    <w:p w14:paraId="1B4FB77F" w14:textId="77777777" w:rsidR="001608E9" w:rsidRPr="009E06AA" w:rsidRDefault="001608E9" w:rsidP="001608E9">
      <w:pPr>
        <w:pStyle w:val="Heading3"/>
        <w:spacing w:before="320"/>
      </w:pPr>
      <w:bookmarkStart w:id="692" w:name="_Toc158647363"/>
      <w:r w:rsidRPr="009E06AA">
        <w:t>4.7.5</w:t>
      </w:r>
      <w:r w:rsidRPr="009E06AA">
        <w:tab/>
        <w:t>Category-specific recalculations</w:t>
      </w:r>
      <w:bookmarkEnd w:id="692"/>
    </w:p>
    <w:p w14:paraId="5C3F5661" w14:textId="77777777" w:rsidR="001608E9" w:rsidRPr="009E06AA" w:rsidRDefault="001608E9" w:rsidP="001608E9">
      <w:pPr>
        <w:pStyle w:val="BodyText"/>
        <w:spacing w:before="100"/>
      </w:pPr>
      <w:r w:rsidRPr="009E06AA">
        <w:t>In the 2023 submission, the following was recalculated.</w:t>
      </w:r>
    </w:p>
    <w:p w14:paraId="04E1BFE0" w14:textId="77777777" w:rsidR="001608E9" w:rsidRPr="009E06AA" w:rsidRDefault="001608E9" w:rsidP="00053418">
      <w:pPr>
        <w:pStyle w:val="Sub-lista"/>
        <w:numPr>
          <w:ilvl w:val="0"/>
          <w:numId w:val="28"/>
        </w:numPr>
      </w:pPr>
      <w:r w:rsidRPr="009E06AA">
        <w:t xml:space="preserve">Two tonnes of total bulk R410A imports were added, which were previously omitted. Because </w:t>
      </w:r>
      <w:r w:rsidRPr="009E06AA">
        <w:rPr>
          <w:i/>
          <w:iCs/>
        </w:rPr>
        <w:t>Stationary air conditioning</w:t>
      </w:r>
      <w:r w:rsidRPr="009E06AA">
        <w:t xml:space="preserve"> operating emissions are calculated by difference between net bulk R410A imports and all other sub-application emissions of HFC-32 and HFC-125, those emissions should either have been 0.7 kt CO</w:t>
      </w:r>
      <w:r w:rsidRPr="009E06AA">
        <w:rPr>
          <w:vertAlign w:val="subscript"/>
        </w:rPr>
        <w:t>2</w:t>
      </w:r>
      <w:r w:rsidRPr="009E06AA">
        <w:t>-e and 3.5 kt CO</w:t>
      </w:r>
      <w:r w:rsidRPr="009E06AA">
        <w:rPr>
          <w:vertAlign w:val="subscript"/>
        </w:rPr>
        <w:t>2</w:t>
      </w:r>
      <w:r w:rsidRPr="009E06AA">
        <w:t>-e respectively higher than previous estimates, or more likely bulk R410A stocks would have been increased by 2 tonnes (with no emissions change).</w:t>
      </w:r>
    </w:p>
    <w:p w14:paraId="638AB8C8" w14:textId="77777777" w:rsidR="001608E9" w:rsidRPr="009E06AA" w:rsidRDefault="001608E9" w:rsidP="001608E9">
      <w:pPr>
        <w:pStyle w:val="Sub-lista"/>
      </w:pPr>
      <w:r w:rsidRPr="009E06AA">
        <w:t xml:space="preserve">The CRT </w:t>
      </w:r>
      <w:r w:rsidRPr="009E06AA">
        <w:rPr>
          <w:i/>
          <w:iCs/>
        </w:rPr>
        <w:t>Transport refrigeration</w:t>
      </w:r>
      <w:r w:rsidRPr="009E06AA">
        <w:t xml:space="preserve"> sector operations emission factors were amended from 50 per cent to 35 per cent annual leakage, to be more consistent with IPCC (2006a) mid</w:t>
      </w:r>
      <w:r w:rsidRPr="009E06AA">
        <w:noBreakHyphen/>
        <w:t>ranges. While the total emissions for each HFC were unaffected, each Stationary Refrigeration and Air Conditioning (SRAC) sub-application was affected.</w:t>
      </w:r>
    </w:p>
    <w:p w14:paraId="5BDFCAA3" w14:textId="77777777" w:rsidR="001608E9" w:rsidRPr="009E06AA" w:rsidRDefault="001608E9" w:rsidP="001608E9">
      <w:pPr>
        <w:pStyle w:val="Sub-lista"/>
      </w:pPr>
      <w:r w:rsidRPr="009E06AA">
        <w:t>The 2021 emissions calculations error of 288 (not 277) tonnes was corrected for total exported HFCs, which had the impact of reducing net bulk HFC supply by a further 11 tonnes in a record low supply year.</w:t>
      </w:r>
    </w:p>
    <w:p w14:paraId="336DC454" w14:textId="77777777" w:rsidR="001608E9" w:rsidRPr="009E06AA" w:rsidRDefault="001608E9" w:rsidP="001608E9">
      <w:pPr>
        <w:pStyle w:val="Sub-lista"/>
      </w:pPr>
      <w:r w:rsidRPr="009E06AA">
        <w:t>For the modelling of supermarket and industrial cool-store refrigerants, large quantities of reused R134a, R404A and R407F from 2016 to 2021 (totalling 228 tonnes across both sectors) were estimated. After stakeholder consultation, anecdotal evidence indicated that these proposed quantities were excessive so they were approximately halved (to a total of 115 tonnes) for that projections study and the current inventory modelling. This contributed to a total 19.2 kt CO</w:t>
      </w:r>
      <w:r w:rsidRPr="009E06AA">
        <w:rPr>
          <w:vertAlign w:val="subscript"/>
        </w:rPr>
        <w:t>2</w:t>
      </w:r>
      <w:r w:rsidRPr="009E06AA">
        <w:t>-e increase in HFC emissions for these sectors (the sum of HFC-32 -0.6 kt CO</w:t>
      </w:r>
      <w:r w:rsidRPr="009E06AA">
        <w:rPr>
          <w:vertAlign w:val="subscript"/>
        </w:rPr>
        <w:t>2</w:t>
      </w:r>
      <w:r w:rsidRPr="009E06AA">
        <w:t>-e, HFC-125 +12.3 kt CO</w:t>
      </w:r>
      <w:r w:rsidRPr="009E06AA">
        <w:rPr>
          <w:vertAlign w:val="subscript"/>
        </w:rPr>
        <w:t>2</w:t>
      </w:r>
      <w:r w:rsidRPr="009E06AA">
        <w:t>-e, HFC-134a -6.5 kt CO</w:t>
      </w:r>
      <w:r w:rsidRPr="009E06AA">
        <w:rPr>
          <w:vertAlign w:val="subscript"/>
        </w:rPr>
        <w:t>2</w:t>
      </w:r>
      <w:r w:rsidRPr="009E06AA">
        <w:t>-e and HFC-143a +14.0 kt CO</w:t>
      </w:r>
      <w:r w:rsidRPr="009E06AA">
        <w:rPr>
          <w:vertAlign w:val="subscript"/>
        </w:rPr>
        <w:t>2</w:t>
      </w:r>
      <w:r w:rsidRPr="009E06AA">
        <w:t>-e).</w:t>
      </w:r>
    </w:p>
    <w:p w14:paraId="1511A0B0" w14:textId="77777777" w:rsidR="001608E9" w:rsidRPr="009E06AA" w:rsidRDefault="001608E9" w:rsidP="001608E9">
      <w:pPr>
        <w:pStyle w:val="Sub-lista"/>
      </w:pPr>
      <w:r w:rsidRPr="009E06AA">
        <w:t>One year (rather than two years previously) of early retirement of R410A heat pumps (representing replacement of about half of the increased refrigerant amounts, the other half increasing equipment stocks). The modelling approach taken reduced 2021 air conditioning disposal emissions of HFC-32 and HFC-125 by 1.0 kt CO</w:t>
      </w:r>
      <w:r w:rsidRPr="009E06AA">
        <w:rPr>
          <w:vertAlign w:val="subscript"/>
        </w:rPr>
        <w:t>2</w:t>
      </w:r>
      <w:r w:rsidRPr="009E06AA">
        <w:t>-e and 5.1 kt CO</w:t>
      </w:r>
      <w:r w:rsidRPr="009E06AA">
        <w:rPr>
          <w:vertAlign w:val="subscript"/>
        </w:rPr>
        <w:t>2</w:t>
      </w:r>
      <w:r w:rsidRPr="009E06AA">
        <w:t>-e respectively.</w:t>
      </w:r>
    </w:p>
    <w:p w14:paraId="604E2F11" w14:textId="77777777" w:rsidR="001608E9" w:rsidRPr="009E06AA" w:rsidRDefault="001608E9" w:rsidP="001608E9">
      <w:pPr>
        <w:pStyle w:val="Sub-lista"/>
      </w:pPr>
      <w:r w:rsidRPr="009E06AA">
        <w:t>Based on consultation, 1.25 tonnes of recycled R410A over 2020 and 2021 instead of 90 tonnes was used in the model. This has increased disposal emissions of the HFC-32 and HFC-125 components by 46.9 kt CO</w:t>
      </w:r>
      <w:r w:rsidRPr="009E06AA">
        <w:rPr>
          <w:vertAlign w:val="subscript"/>
        </w:rPr>
        <w:t>2</w:t>
      </w:r>
      <w:r w:rsidRPr="009E06AA">
        <w:t>-e and 243.2 kt CO</w:t>
      </w:r>
      <w:r w:rsidRPr="009E06AA">
        <w:rPr>
          <w:vertAlign w:val="subscript"/>
        </w:rPr>
        <w:t>2</w:t>
      </w:r>
      <w:r w:rsidRPr="009E06AA">
        <w:t>-e respectively in 2021.</w:t>
      </w:r>
    </w:p>
    <w:p w14:paraId="327082AF" w14:textId="77777777" w:rsidR="001608E9" w:rsidRPr="009E06AA" w:rsidRDefault="001608E9" w:rsidP="001608E9">
      <w:pPr>
        <w:pStyle w:val="Sub-lista"/>
      </w:pPr>
      <w:r w:rsidRPr="009E06AA">
        <w:t>Reassessment was done of reduced historical emissions of the HFC-32 and HFC-125 components of R410A over 2014 to 2020 to instead build up sufficient additional theoretical stocks of that bulk R410A refrigerant to provide for new installations and leakage replacement. This had the consequence of reducing 2021 SRAC HFC-32 and HFC</w:t>
      </w:r>
      <w:r w:rsidRPr="009E06AA">
        <w:noBreakHyphen/>
        <w:t>125 emissions by 58.8 kt CO</w:t>
      </w:r>
      <w:r w:rsidRPr="009E06AA">
        <w:rPr>
          <w:vertAlign w:val="subscript"/>
        </w:rPr>
        <w:t>2</w:t>
      </w:r>
      <w:r w:rsidRPr="009E06AA">
        <w:t>-e and 276.6 kt CO</w:t>
      </w:r>
      <w:r w:rsidRPr="009E06AA">
        <w:rPr>
          <w:vertAlign w:val="subscript"/>
        </w:rPr>
        <w:t>2</w:t>
      </w:r>
      <w:r w:rsidRPr="009E06AA">
        <w:t>-e respectively, compared with the previous inventory report. In a similar way, minor HFC-134a and HFC-143a historical emissions reassessments resulted from other refrigerant stock changes (0.16 kt CO</w:t>
      </w:r>
      <w:r w:rsidRPr="009E06AA">
        <w:rPr>
          <w:vertAlign w:val="subscript"/>
        </w:rPr>
        <w:t>2</w:t>
      </w:r>
      <w:r w:rsidRPr="009E06AA">
        <w:t>-e and 0.40 kt CO</w:t>
      </w:r>
      <w:r w:rsidRPr="009E06AA">
        <w:rPr>
          <w:vertAlign w:val="subscript"/>
        </w:rPr>
        <w:t>2</w:t>
      </w:r>
      <w:r w:rsidRPr="009E06AA">
        <w:t>-e in 2021 respectively).</w:t>
      </w:r>
    </w:p>
    <w:p w14:paraId="21522F72" w14:textId="77777777" w:rsidR="001608E9" w:rsidRPr="009E06AA" w:rsidRDefault="001608E9" w:rsidP="001608E9">
      <w:pPr>
        <w:pStyle w:val="Sub-lista"/>
      </w:pPr>
      <w:r w:rsidRPr="009E06AA">
        <w:t>To reflect the size of the air conditioning sales anomaly more realistically in both 2021 and 2022, estimates have been made of additional early retirement with a consequent spike in the air conditioning disposal emissions trend composed of 38.5 kt CO</w:t>
      </w:r>
      <w:r w:rsidRPr="009E06AA">
        <w:rPr>
          <w:vertAlign w:val="subscript"/>
        </w:rPr>
        <w:t>2</w:t>
      </w:r>
      <w:r w:rsidRPr="009E06AA">
        <w:t>-e and 199.5 kt CO</w:t>
      </w:r>
      <w:r w:rsidRPr="009E06AA">
        <w:rPr>
          <w:vertAlign w:val="subscript"/>
        </w:rPr>
        <w:t>2</w:t>
      </w:r>
      <w:r w:rsidRPr="009E06AA">
        <w:t>-e of HFC-32 and HFC-125 for 2021. The impact of this major change (combined with (d) to (g) changes above) was an increase in 2021 SRAC emissions of 206.4 kt CO</w:t>
      </w:r>
      <w:r w:rsidRPr="009E06AA">
        <w:rPr>
          <w:vertAlign w:val="subscript"/>
        </w:rPr>
        <w:t>2</w:t>
      </w:r>
      <w:r w:rsidRPr="009E06AA">
        <w:t>-e, compared with Verum Group (unpublished).</w:t>
      </w:r>
    </w:p>
    <w:p w14:paraId="68F2E0E8" w14:textId="77777777" w:rsidR="001608E9" w:rsidRPr="009E06AA" w:rsidRDefault="001608E9" w:rsidP="001608E9">
      <w:pPr>
        <w:pStyle w:val="Heading3"/>
      </w:pPr>
      <w:bookmarkStart w:id="693" w:name="_Toc158647364"/>
      <w:r w:rsidRPr="009E06AA">
        <w:t>4.7.6</w:t>
      </w:r>
      <w:r w:rsidRPr="009E06AA">
        <w:tab/>
        <w:t>Category-specific planned improvements</w:t>
      </w:r>
      <w:bookmarkEnd w:id="693"/>
    </w:p>
    <w:p w14:paraId="48AB22D6" w14:textId="77777777" w:rsidR="001608E9" w:rsidRPr="009E06AA" w:rsidRDefault="001608E9" w:rsidP="001608E9">
      <w:pPr>
        <w:pStyle w:val="BodyText"/>
      </w:pPr>
      <w:r w:rsidRPr="009E06AA">
        <w:t>No specific improvements are planned for this category. There are still some unexplained year</w:t>
      </w:r>
      <w:r w:rsidRPr="009E06AA">
        <w:noBreakHyphen/>
        <w:t xml:space="preserve">to-year variations in emissions from the </w:t>
      </w:r>
      <w:r w:rsidRPr="009E06AA">
        <w:rPr>
          <w:i/>
        </w:rPr>
        <w:t xml:space="preserve">Refrigeration and air conditioning </w:t>
      </w:r>
      <w:r w:rsidRPr="009E06AA">
        <w:t xml:space="preserve">category, which is an indication that further improvements can be made by better accounting for stockpiling of bulk chemical. Future submissions will continue to address this issue. </w:t>
      </w:r>
    </w:p>
    <w:p w14:paraId="68643D90" w14:textId="77777777" w:rsidR="001608E9" w:rsidRPr="009E06AA" w:rsidRDefault="001608E9" w:rsidP="00D66501">
      <w:pPr>
        <w:pStyle w:val="Heading2"/>
        <w:spacing w:before="320"/>
      </w:pPr>
      <w:bookmarkStart w:id="694" w:name="_Toc448321519"/>
      <w:bookmarkStart w:id="695" w:name="_Toc5269358"/>
      <w:bookmarkStart w:id="696" w:name="_Toc36224398"/>
      <w:bookmarkStart w:id="697" w:name="_Toc68786318"/>
      <w:bookmarkStart w:id="698" w:name="_Toc131591233"/>
      <w:bookmarkStart w:id="699" w:name="_Toc158647365"/>
      <w:bookmarkStart w:id="700" w:name="_Toc164154187"/>
      <w:r w:rsidRPr="009E06AA">
        <w:t>4.8</w:t>
      </w:r>
      <w:r w:rsidRPr="009E06AA">
        <w:tab/>
        <w:t>Other product manufacture and use (2.G)</w:t>
      </w:r>
      <w:bookmarkEnd w:id="694"/>
      <w:bookmarkEnd w:id="695"/>
      <w:bookmarkEnd w:id="696"/>
      <w:bookmarkEnd w:id="697"/>
      <w:bookmarkEnd w:id="698"/>
      <w:bookmarkEnd w:id="699"/>
      <w:bookmarkEnd w:id="700"/>
    </w:p>
    <w:p w14:paraId="689AA4A3" w14:textId="77777777" w:rsidR="001608E9" w:rsidRPr="009E06AA" w:rsidRDefault="001608E9" w:rsidP="001608E9">
      <w:pPr>
        <w:pStyle w:val="Heading3"/>
        <w:spacing w:before="240"/>
      </w:pPr>
      <w:bookmarkStart w:id="701" w:name="_Toc158647366"/>
      <w:r w:rsidRPr="009E06AA">
        <w:t>4.8.1</w:t>
      </w:r>
      <w:r w:rsidRPr="009E06AA">
        <w:tab/>
        <w:t>Description</w:t>
      </w:r>
      <w:bookmarkEnd w:id="701"/>
    </w:p>
    <w:p w14:paraId="0FAAED90" w14:textId="77777777" w:rsidR="001608E9" w:rsidRPr="009E06AA" w:rsidRDefault="001608E9" w:rsidP="00D66501">
      <w:pPr>
        <w:pStyle w:val="BodyText"/>
        <w:spacing w:after="100"/>
      </w:pPr>
      <w:r w:rsidRPr="009E06AA">
        <w:t xml:space="preserve">The </w:t>
      </w:r>
      <w:r w:rsidRPr="009E06AA">
        <w:rPr>
          <w:i/>
        </w:rPr>
        <w:t>Other product manufacture and use</w:t>
      </w:r>
      <w:r w:rsidRPr="009E06AA">
        <w:t xml:space="preserve"> category in New Zealand comprises emissions from: </w:t>
      </w:r>
    </w:p>
    <w:p w14:paraId="2B6879D1" w14:textId="77777777" w:rsidR="001608E9" w:rsidRPr="009E06AA" w:rsidRDefault="001608E9" w:rsidP="00D66501">
      <w:pPr>
        <w:pStyle w:val="Bullet"/>
        <w:spacing w:after="100"/>
      </w:pPr>
      <w:r w:rsidRPr="009E06AA">
        <w:t>use of SF</w:t>
      </w:r>
      <w:r w:rsidRPr="009E06AA">
        <w:rPr>
          <w:vertAlign w:val="subscript"/>
        </w:rPr>
        <w:t>6</w:t>
      </w:r>
      <w:r w:rsidRPr="009E06AA">
        <w:t xml:space="preserve"> as an insulant and arc-extinguishing agent in electrical switchgear </w:t>
      </w:r>
    </w:p>
    <w:p w14:paraId="62160BDC" w14:textId="77777777" w:rsidR="001608E9" w:rsidRPr="009E06AA" w:rsidRDefault="001608E9" w:rsidP="00D66501">
      <w:pPr>
        <w:pStyle w:val="Bullet"/>
        <w:spacing w:after="100"/>
      </w:pPr>
      <w:r w:rsidRPr="009E06AA">
        <w:t>use of SF</w:t>
      </w:r>
      <w:r w:rsidRPr="009E06AA">
        <w:rPr>
          <w:vertAlign w:val="subscript"/>
        </w:rPr>
        <w:t>6</w:t>
      </w:r>
      <w:r w:rsidRPr="009E06AA">
        <w:t xml:space="preserve"> in eye surgery </w:t>
      </w:r>
    </w:p>
    <w:p w14:paraId="02D1D4F6" w14:textId="77777777" w:rsidR="001608E9" w:rsidRPr="009E06AA" w:rsidRDefault="001608E9" w:rsidP="00D66501">
      <w:pPr>
        <w:pStyle w:val="Bullet"/>
        <w:spacing w:after="100"/>
      </w:pPr>
      <w:r w:rsidRPr="009E06AA">
        <w:t>use of PFCs (C</w:t>
      </w:r>
      <w:r w:rsidRPr="009E06AA">
        <w:rPr>
          <w:vertAlign w:val="subscript"/>
        </w:rPr>
        <w:t>2</w:t>
      </w:r>
      <w:r w:rsidRPr="009E06AA">
        <w:t>F</w:t>
      </w:r>
      <w:r w:rsidRPr="009E06AA">
        <w:rPr>
          <w:vertAlign w:val="subscript"/>
        </w:rPr>
        <w:t>6</w:t>
      </w:r>
      <w:r w:rsidRPr="009E06AA">
        <w:t xml:space="preserve"> and perfluoropropane (C</w:t>
      </w:r>
      <w:r w:rsidRPr="009E06AA">
        <w:rPr>
          <w:vertAlign w:val="subscript"/>
        </w:rPr>
        <w:t>3</w:t>
      </w:r>
      <w:r w:rsidRPr="009E06AA">
        <w:t>F</w:t>
      </w:r>
      <w:r w:rsidRPr="009E06AA">
        <w:rPr>
          <w:vertAlign w:val="subscript"/>
        </w:rPr>
        <w:t>8</w:t>
      </w:r>
      <w:r w:rsidRPr="009E06AA">
        <w:t xml:space="preserve">)) in eye surgery </w:t>
      </w:r>
    </w:p>
    <w:p w14:paraId="46E39345" w14:textId="77777777" w:rsidR="001608E9" w:rsidRPr="009E06AA" w:rsidRDefault="001608E9" w:rsidP="00D66501">
      <w:pPr>
        <w:pStyle w:val="Bullet"/>
        <w:spacing w:after="100"/>
      </w:pPr>
      <w:r w:rsidRPr="009E06AA">
        <w:t>use of SF</w:t>
      </w:r>
      <w:r w:rsidRPr="009E06AA">
        <w:rPr>
          <w:vertAlign w:val="subscript"/>
        </w:rPr>
        <w:t>6</w:t>
      </w:r>
      <w:r w:rsidRPr="009E06AA">
        <w:t xml:space="preserve"> as a tracer gas in scientific experiments </w:t>
      </w:r>
    </w:p>
    <w:p w14:paraId="239596DC" w14:textId="77777777" w:rsidR="001608E9" w:rsidRPr="009E06AA" w:rsidRDefault="001608E9" w:rsidP="00D66501">
      <w:pPr>
        <w:pStyle w:val="Bullet"/>
        <w:spacing w:after="100"/>
      </w:pPr>
      <w:r w:rsidRPr="009E06AA">
        <w:t>possible other uses of SF</w:t>
      </w:r>
      <w:r w:rsidRPr="009E06AA">
        <w:rPr>
          <w:vertAlign w:val="subscript"/>
        </w:rPr>
        <w:t>6</w:t>
      </w:r>
      <w:r w:rsidRPr="009E06AA">
        <w:t>, such as in vehicle tyres and industrial equipment</w:t>
      </w:r>
    </w:p>
    <w:p w14:paraId="3CC949C4" w14:textId="77777777" w:rsidR="001608E9" w:rsidRPr="009E06AA" w:rsidRDefault="001608E9" w:rsidP="00D66501">
      <w:pPr>
        <w:pStyle w:val="Bullet"/>
        <w:spacing w:after="100"/>
      </w:pPr>
      <w:r w:rsidRPr="009E06AA">
        <w:t>medical uses of N</w:t>
      </w:r>
      <w:r w:rsidRPr="009E06AA">
        <w:rPr>
          <w:vertAlign w:val="subscript"/>
        </w:rPr>
        <w:t>2</w:t>
      </w:r>
      <w:r w:rsidRPr="009E06AA">
        <w:t xml:space="preserve">O. </w:t>
      </w:r>
    </w:p>
    <w:p w14:paraId="111FC7DC" w14:textId="324CE58E" w:rsidR="001608E9" w:rsidRPr="009E06AA" w:rsidRDefault="001608E9" w:rsidP="00D66501">
      <w:pPr>
        <w:pStyle w:val="BodyText"/>
        <w:spacing w:after="100"/>
      </w:pPr>
      <w:r w:rsidRPr="009E06AA">
        <w:t xml:space="preserve">There </w:t>
      </w:r>
      <w:r w:rsidR="00387CF1" w:rsidRPr="009E06AA">
        <w:t>were</w:t>
      </w:r>
      <w:r w:rsidRPr="009E06AA">
        <w:t xml:space="preserve"> no emissions of nitrogen trifluoride (NF</w:t>
      </w:r>
      <w:r w:rsidRPr="009E06AA">
        <w:rPr>
          <w:vertAlign w:val="subscript"/>
        </w:rPr>
        <w:t>3</w:t>
      </w:r>
      <w:r w:rsidRPr="009E06AA">
        <w:t>) in New Zealand. Small amounts of indirect emissions (NMVOC and SO</w:t>
      </w:r>
      <w:r w:rsidRPr="009E06AA">
        <w:rPr>
          <w:vertAlign w:val="subscript"/>
        </w:rPr>
        <w:t>2</w:t>
      </w:r>
      <w:r w:rsidRPr="009E06AA">
        <w:t xml:space="preserve">) are reported from the manufacture of food and drink, pulp and paper, and board products (fibreboard and particleboard). </w:t>
      </w:r>
    </w:p>
    <w:p w14:paraId="0B430CBB" w14:textId="4B0F587E" w:rsidR="001608E9" w:rsidRPr="009E06AA" w:rsidRDefault="001608E9" w:rsidP="00D66501">
      <w:pPr>
        <w:pStyle w:val="BodyText"/>
        <w:spacing w:after="100"/>
      </w:pPr>
      <w:r w:rsidRPr="009E06AA">
        <w:t xml:space="preserve">There </w:t>
      </w:r>
      <w:r w:rsidR="00387CF1" w:rsidRPr="009E06AA">
        <w:t>were</w:t>
      </w:r>
      <w:r w:rsidRPr="009E06AA">
        <w:t xml:space="preserve"> no key categories. </w:t>
      </w:r>
    </w:p>
    <w:p w14:paraId="264C1230" w14:textId="77777777" w:rsidR="001608E9" w:rsidRPr="009E06AA" w:rsidRDefault="001608E9" w:rsidP="00D66501">
      <w:pPr>
        <w:pStyle w:val="BodyText"/>
        <w:spacing w:after="100"/>
      </w:pPr>
      <w:r w:rsidRPr="009E06AA">
        <w:rPr>
          <w:spacing w:val="-2"/>
        </w:rPr>
        <w:t>In 2022,</w:t>
      </w:r>
      <w:r w:rsidRPr="009E06AA" w:rsidDel="00BE193D">
        <w:rPr>
          <w:spacing w:val="-2"/>
        </w:rPr>
        <w:t xml:space="preserve"> </w:t>
      </w:r>
      <w:r w:rsidRPr="009E06AA">
        <w:rPr>
          <w:spacing w:val="-2"/>
        </w:rPr>
        <w:t xml:space="preserve">emissions from the </w:t>
      </w:r>
      <w:r w:rsidRPr="009E06AA">
        <w:rPr>
          <w:i/>
          <w:spacing w:val="-2"/>
        </w:rPr>
        <w:t>Other product manufacture and use</w:t>
      </w:r>
      <w:r w:rsidRPr="009E06AA">
        <w:rPr>
          <w:spacing w:val="-2"/>
        </w:rPr>
        <w:t xml:space="preserve"> category totalled 114.2 kt CO</w:t>
      </w:r>
      <w:r w:rsidRPr="009E06AA">
        <w:rPr>
          <w:spacing w:val="-2"/>
          <w:vertAlign w:val="subscript"/>
        </w:rPr>
        <w:t>2</w:t>
      </w:r>
      <w:r w:rsidRPr="009E06AA">
        <w:rPr>
          <w:spacing w:val="-2"/>
        </w:rPr>
        <w:t>-e</w:t>
      </w:r>
      <w:r w:rsidRPr="009E06AA">
        <w:t xml:space="preserve"> </w:t>
      </w:r>
      <w:r w:rsidRPr="009E06AA">
        <w:rPr>
          <w:spacing w:val="-2"/>
        </w:rPr>
        <w:t>or 2.6 per cent of emissions from the IPPU sector. This is an increase of 7.6 kt (7.2 per cent) from the emissions in 1990, driven by a slight increase in the importation and use of N</w:t>
      </w:r>
      <w:r w:rsidRPr="009E06AA">
        <w:rPr>
          <w:spacing w:val="-2"/>
          <w:vertAlign w:val="subscript"/>
        </w:rPr>
        <w:t>2</w:t>
      </w:r>
      <w:r w:rsidRPr="009E06AA">
        <w:rPr>
          <w:spacing w:val="-2"/>
        </w:rPr>
        <w:t>O in 2022</w:t>
      </w:r>
      <w:r w:rsidRPr="009E06AA">
        <w:t>.</w:t>
      </w:r>
    </w:p>
    <w:p w14:paraId="4F629460" w14:textId="77777777" w:rsidR="001608E9" w:rsidRPr="009E06AA" w:rsidRDefault="001608E9" w:rsidP="001608E9">
      <w:pPr>
        <w:pStyle w:val="Heading3"/>
      </w:pPr>
      <w:bookmarkStart w:id="702" w:name="_Toc158647367"/>
      <w:r w:rsidRPr="009E06AA">
        <w:t xml:space="preserve">4.8.2 </w:t>
      </w:r>
      <w:r w:rsidRPr="009E06AA">
        <w:tab/>
        <w:t>Methodological issues</w:t>
      </w:r>
      <w:bookmarkEnd w:id="702"/>
    </w:p>
    <w:p w14:paraId="13E31805" w14:textId="77777777" w:rsidR="001608E9" w:rsidRPr="009E06AA" w:rsidRDefault="001608E9" w:rsidP="001608E9">
      <w:pPr>
        <w:pStyle w:val="Heading4"/>
      </w:pPr>
      <w:r w:rsidRPr="009E06AA">
        <w:t>Choice of activity data</w:t>
      </w:r>
    </w:p>
    <w:p w14:paraId="0A1D35F0" w14:textId="77777777" w:rsidR="001608E9" w:rsidRPr="009E06AA" w:rsidRDefault="001608E9" w:rsidP="00D66501">
      <w:pPr>
        <w:pStyle w:val="BodyText"/>
        <w:spacing w:before="100" w:after="100"/>
      </w:pPr>
      <w:r w:rsidRPr="009E06AA">
        <w:t>Companies importing or using SF</w:t>
      </w:r>
      <w:r w:rsidRPr="009E06AA">
        <w:rPr>
          <w:vertAlign w:val="subscript"/>
        </w:rPr>
        <w:t>6</w:t>
      </w:r>
      <w:r w:rsidRPr="009E06AA">
        <w:t xml:space="preserve"> and N</w:t>
      </w:r>
      <w:r w:rsidRPr="009E06AA">
        <w:rPr>
          <w:vertAlign w:val="subscript"/>
        </w:rPr>
        <w:t>2</w:t>
      </w:r>
      <w:r w:rsidRPr="009E06AA">
        <w:t>O provided data on their imports and holdings in response to an annual survey. This included all significant electricity companies, equipment manufacturers and industrial electricity users. In addition, companies that use SF</w:t>
      </w:r>
      <w:r w:rsidRPr="009E06AA">
        <w:rPr>
          <w:vertAlign w:val="subscript"/>
        </w:rPr>
        <w:t>6</w:t>
      </w:r>
      <w:r w:rsidRPr="009E06AA">
        <w:t xml:space="preserve"> in electrical equipment and have more than 1 tonne of the gas in operating equipment report their holdings and emissions in NZ ETS returns. </w:t>
      </w:r>
    </w:p>
    <w:p w14:paraId="1DAADB8E" w14:textId="77777777" w:rsidR="001608E9" w:rsidRPr="009E06AA" w:rsidRDefault="001608E9" w:rsidP="00BF2A76">
      <w:pPr>
        <w:pStyle w:val="Heading5"/>
      </w:pPr>
      <w:r w:rsidRPr="009E06AA">
        <w:t>Electrical equipment (2.G.1)</w:t>
      </w:r>
    </w:p>
    <w:p w14:paraId="3EB5A63C" w14:textId="77777777" w:rsidR="001608E9" w:rsidRPr="009E06AA" w:rsidRDefault="001608E9" w:rsidP="00D66501">
      <w:pPr>
        <w:pStyle w:val="BodyText"/>
        <w:spacing w:before="100" w:after="100"/>
      </w:pPr>
      <w:r w:rsidRPr="009E06AA">
        <w:t>Data on bulk imports of SF</w:t>
      </w:r>
      <w:r w:rsidRPr="009E06AA">
        <w:rPr>
          <w:vertAlign w:val="subscript"/>
        </w:rPr>
        <w:t>6</w:t>
      </w:r>
      <w:r w:rsidRPr="009E06AA">
        <w:t xml:space="preserve"> and the charge in installed equipment were supplied by New Zealand’s only manufacturer of relevant electrical equipment (ABB Limited) and by the electricity transmission and generation companies. The transmission and generation companies import SF</w:t>
      </w:r>
      <w:r w:rsidRPr="009E06AA">
        <w:rPr>
          <w:vertAlign w:val="subscript"/>
        </w:rPr>
        <w:t>6</w:t>
      </w:r>
      <w:r w:rsidRPr="009E06AA">
        <w:t xml:space="preserve"> for their own use. </w:t>
      </w:r>
    </w:p>
    <w:p w14:paraId="59B728DB" w14:textId="77777777" w:rsidR="001608E9" w:rsidRPr="009E06AA" w:rsidRDefault="001608E9" w:rsidP="00BF2A76">
      <w:pPr>
        <w:pStyle w:val="Heading5"/>
      </w:pPr>
      <w:r w:rsidRPr="009E06AA">
        <w:t>Sulphur hexafluoride and PFCs from other product use (2.G.2)</w:t>
      </w:r>
    </w:p>
    <w:p w14:paraId="62A74A53" w14:textId="77777777" w:rsidR="001608E9" w:rsidRPr="009E06AA" w:rsidRDefault="001608E9" w:rsidP="00D66501">
      <w:pPr>
        <w:pStyle w:val="BodyText"/>
        <w:spacing w:before="100"/>
      </w:pPr>
      <w:r w:rsidRPr="009E06AA">
        <w:t>One company (BOC Limited) imported SF</w:t>
      </w:r>
      <w:r w:rsidRPr="009E06AA">
        <w:rPr>
          <w:vertAlign w:val="subscript"/>
        </w:rPr>
        <w:t>6</w:t>
      </w:r>
      <w:r w:rsidRPr="009E06AA">
        <w:t xml:space="preserve"> into New Zealand (for uses other than electrical switchgear) until 2012. There is no other known importer, and some users appear to have been using previously imported supplies since that time. The current usage rate is assessed (from earlier importation rates) to be approximately 120 kilograms per year. This is made up of 30 kilograms for medical use, 50 kilograms for scientific use and 40 kilograms for other uses. </w:t>
      </w:r>
    </w:p>
    <w:p w14:paraId="46DB3A27" w14:textId="77777777" w:rsidR="001608E9" w:rsidRPr="009E06AA" w:rsidRDefault="001608E9" w:rsidP="00D66501">
      <w:pPr>
        <w:pStyle w:val="BodyText"/>
        <w:spacing w:before="100" w:after="100"/>
      </w:pPr>
      <w:r w:rsidRPr="009E06AA">
        <w:t>Extremely small amounts of C</w:t>
      </w:r>
      <w:r w:rsidRPr="009E06AA">
        <w:rPr>
          <w:vertAlign w:val="subscript"/>
        </w:rPr>
        <w:t>2</w:t>
      </w:r>
      <w:r w:rsidRPr="009E06AA">
        <w:t>F</w:t>
      </w:r>
      <w:r w:rsidRPr="009E06AA">
        <w:rPr>
          <w:vertAlign w:val="subscript"/>
        </w:rPr>
        <w:t>6</w:t>
      </w:r>
      <w:r w:rsidRPr="009E06AA">
        <w:t xml:space="preserve"> and C</w:t>
      </w:r>
      <w:r w:rsidRPr="009E06AA">
        <w:rPr>
          <w:vertAlign w:val="subscript"/>
        </w:rPr>
        <w:t>3</w:t>
      </w:r>
      <w:r w:rsidRPr="009E06AA">
        <w:t>F</w:t>
      </w:r>
      <w:r w:rsidRPr="009E06AA">
        <w:rPr>
          <w:vertAlign w:val="subscript"/>
        </w:rPr>
        <w:t>8</w:t>
      </w:r>
      <w:r w:rsidRPr="009E06AA">
        <w:t xml:space="preserve"> have been imported into New Zealand from 2011, for use in a specialised type of eye surgery. The importer provided information on the amount imported: between 0.1 kilograms and 0.3 kilograms per year. </w:t>
      </w:r>
    </w:p>
    <w:p w14:paraId="6352C880" w14:textId="77777777" w:rsidR="001608E9" w:rsidRPr="009E06AA" w:rsidRDefault="001608E9" w:rsidP="00D66501">
      <w:pPr>
        <w:pStyle w:val="BodyText"/>
        <w:spacing w:before="100" w:after="100"/>
      </w:pPr>
      <w:r w:rsidRPr="009E06AA">
        <w:t>Enquiries to importers and the tyre industry have indicated that there is no use of SF</w:t>
      </w:r>
      <w:r w:rsidRPr="009E06AA">
        <w:rPr>
          <w:vertAlign w:val="subscript"/>
        </w:rPr>
        <w:t>6</w:t>
      </w:r>
      <w:r w:rsidRPr="009E06AA">
        <w:t xml:space="preserve"> in New Zealand for other applications such as double-glazed windows, tyres and shoes. </w:t>
      </w:r>
    </w:p>
    <w:p w14:paraId="79E2CAA3" w14:textId="77777777" w:rsidR="001608E9" w:rsidRPr="009E06AA" w:rsidRDefault="001608E9" w:rsidP="00BF2A76">
      <w:pPr>
        <w:pStyle w:val="Heading5"/>
      </w:pPr>
      <w:r w:rsidRPr="009E06AA">
        <w:t>Nitrous oxide from product uses (2.G.3)</w:t>
      </w:r>
    </w:p>
    <w:p w14:paraId="0C84BDE3" w14:textId="77777777" w:rsidR="001608E9" w:rsidRPr="009E06AA" w:rsidRDefault="001608E9" w:rsidP="00D66501">
      <w:pPr>
        <w:pStyle w:val="BodyText"/>
        <w:spacing w:before="100" w:after="100"/>
      </w:pPr>
      <w:r w:rsidRPr="009E06AA">
        <w:t>Data on the import quantities of N</w:t>
      </w:r>
      <w:r w:rsidRPr="009E06AA">
        <w:rPr>
          <w:vertAlign w:val="subscript"/>
        </w:rPr>
        <w:t>2</w:t>
      </w:r>
      <w:r w:rsidRPr="009E06AA">
        <w:t>O were available from the New Zealand Customs Service and Stats NZ from 2005, but some of these are considered unreliable due to classification errors by importers. Survey responses from companies that sell N</w:t>
      </w:r>
      <w:r w:rsidRPr="009E06AA">
        <w:rPr>
          <w:vertAlign w:val="subscript"/>
        </w:rPr>
        <w:t>2</w:t>
      </w:r>
      <w:r w:rsidRPr="009E06AA">
        <w:t xml:space="preserve">O and import data have been assessed together to estimate the total imports, which vary between 181 tonnes and 205 tonnes per year (CRL Energy, </w:t>
      </w:r>
      <w:r w:rsidRPr="009E06AA">
        <w:rPr>
          <w:rFonts w:eastAsia="+mn-ea"/>
        </w:rPr>
        <w:t>unpublished(b)</w:t>
      </w:r>
      <w:r w:rsidRPr="009E06AA">
        <w:t xml:space="preserve">). </w:t>
      </w:r>
    </w:p>
    <w:p w14:paraId="5B756BE1" w14:textId="77777777" w:rsidR="001608E9" w:rsidRPr="009E06AA" w:rsidRDefault="001608E9" w:rsidP="001608E9">
      <w:pPr>
        <w:pStyle w:val="Heading4"/>
        <w:rPr>
          <w:bCs/>
          <w:iCs/>
        </w:rPr>
      </w:pPr>
      <w:r w:rsidRPr="009E06AA">
        <w:t>Choice of methods</w:t>
      </w:r>
    </w:p>
    <w:p w14:paraId="42B87C57" w14:textId="77777777" w:rsidR="001608E9" w:rsidRPr="009E06AA" w:rsidRDefault="001608E9" w:rsidP="00BF2A76">
      <w:pPr>
        <w:pStyle w:val="Heading5"/>
      </w:pPr>
      <w:r w:rsidRPr="009E06AA">
        <w:t>Electrical equipment (2.G.1)</w:t>
      </w:r>
    </w:p>
    <w:p w14:paraId="3A86FB22" w14:textId="77777777" w:rsidR="001608E9" w:rsidRPr="009E06AA" w:rsidRDefault="001608E9" w:rsidP="001608E9">
      <w:pPr>
        <w:pStyle w:val="BodyText"/>
      </w:pPr>
      <w:r w:rsidRPr="009E06AA">
        <w:t xml:space="preserve">The national grid company, Transpower, and several of the larger electricity generation companies have supplied stocks and usage data that are detailed enough to allow the use of a Tier 3 approach for the years 2003 to 2019. This uses a mass balance calculation for closed pressure equipment and an emission factor calculation for sealed pressure equipment. </w:t>
      </w:r>
    </w:p>
    <w:p w14:paraId="675D25E9" w14:textId="77777777" w:rsidR="001608E9" w:rsidRPr="009E06AA" w:rsidRDefault="001608E9" w:rsidP="001608E9">
      <w:pPr>
        <w:pStyle w:val="BodyText"/>
      </w:pPr>
      <w:r w:rsidRPr="009E06AA">
        <w:t xml:space="preserve">For all data prior to 2003, and for the other distribution companies that do not have ETS reporting obligations and have not provided detailed data, a Tier 1 approach is used. </w:t>
      </w:r>
    </w:p>
    <w:p w14:paraId="7B843E52" w14:textId="77777777" w:rsidR="001608E9" w:rsidRPr="009E06AA" w:rsidRDefault="001608E9" w:rsidP="001608E9">
      <w:pPr>
        <w:pStyle w:val="BodyText"/>
      </w:pPr>
      <w:r w:rsidRPr="009E06AA">
        <w:t xml:space="preserve">Both approaches account for emissions from the operation and disposal of equipment. </w:t>
      </w:r>
    </w:p>
    <w:p w14:paraId="1B57D876" w14:textId="77777777" w:rsidR="001608E9" w:rsidRPr="009E06AA" w:rsidRDefault="001608E9" w:rsidP="00BF2A76">
      <w:pPr>
        <w:pStyle w:val="Heading5"/>
      </w:pPr>
      <w:r w:rsidRPr="009E06AA">
        <w:t xml:space="preserve">Other </w:t>
      </w:r>
    </w:p>
    <w:p w14:paraId="1417E656" w14:textId="77777777" w:rsidR="001608E9" w:rsidRPr="009E06AA" w:rsidRDefault="001608E9" w:rsidP="001608E9">
      <w:pPr>
        <w:pStyle w:val="BodyText"/>
      </w:pPr>
      <w:r w:rsidRPr="009E06AA">
        <w:t>Because the quantities are small and the emissions are all considered to be prompt, Tier 1 methods are used for all other emissions in this category. All SF</w:t>
      </w:r>
      <w:r w:rsidRPr="009E06AA">
        <w:rPr>
          <w:vertAlign w:val="subscript"/>
        </w:rPr>
        <w:t>6</w:t>
      </w:r>
      <w:r w:rsidRPr="009E06AA">
        <w:t xml:space="preserve"> or N</w:t>
      </w:r>
      <w:r w:rsidRPr="009E06AA">
        <w:rPr>
          <w:vertAlign w:val="subscript"/>
        </w:rPr>
        <w:t>2</w:t>
      </w:r>
      <w:r w:rsidRPr="009E06AA">
        <w:t xml:space="preserve">O that is imported is assumed to be sold and emitted. </w:t>
      </w:r>
    </w:p>
    <w:p w14:paraId="73EC1EF2" w14:textId="77777777" w:rsidR="001608E9" w:rsidRPr="009E06AA" w:rsidRDefault="001608E9" w:rsidP="001608E9">
      <w:pPr>
        <w:pStyle w:val="Heading4"/>
        <w:rPr>
          <w:bCs/>
          <w:iCs/>
        </w:rPr>
      </w:pPr>
      <w:r w:rsidRPr="009E06AA">
        <w:t>Choice of emission factors</w:t>
      </w:r>
    </w:p>
    <w:p w14:paraId="446C2279" w14:textId="77777777" w:rsidR="001608E9" w:rsidRPr="009E06AA" w:rsidRDefault="001608E9" w:rsidP="007E04C8">
      <w:pPr>
        <w:pStyle w:val="Heading5"/>
        <w:spacing w:before="180"/>
      </w:pPr>
      <w:r w:rsidRPr="009E06AA">
        <w:t>Electrical equipment (2.G.1)</w:t>
      </w:r>
    </w:p>
    <w:p w14:paraId="03735FD7" w14:textId="77777777" w:rsidR="001608E9" w:rsidRPr="009E06AA" w:rsidRDefault="001608E9" w:rsidP="001608E9">
      <w:pPr>
        <w:pStyle w:val="BodyText"/>
      </w:pPr>
      <w:r w:rsidRPr="009E06AA">
        <w:t xml:space="preserve">Default loss rates have been used, where required, for sealed pressure equipment and where a Tier 1 method has had to be used. Factors based on Europe have been used, because these are based on a study that distinguished between sealed and closed equipment types (IPCC, 2006a). </w:t>
      </w:r>
    </w:p>
    <w:p w14:paraId="7C307373" w14:textId="77777777" w:rsidR="001608E9" w:rsidRPr="009E06AA" w:rsidRDefault="001608E9" w:rsidP="001608E9">
      <w:pPr>
        <w:pStyle w:val="BodyText"/>
      </w:pPr>
      <w:r w:rsidRPr="009E06AA">
        <w:rPr>
          <w:spacing w:val="-2"/>
        </w:rPr>
        <w:t>Improved information from surveys has allowed the use of these two different equipment types</w:t>
      </w:r>
      <w:r w:rsidRPr="009E06AA">
        <w:t xml:space="preserve"> in New Zealand to be better disaggregated over time, and the choice of emission factors has become progressively more accurate (Verum Group, </w:t>
      </w:r>
      <w:r w:rsidRPr="009E06AA">
        <w:rPr>
          <w:rFonts w:eastAsia="+mn-ea"/>
        </w:rPr>
        <w:t>unpublished)</w:t>
      </w:r>
      <w:r w:rsidRPr="009E06AA">
        <w:t>. However, this distinction is not always clear and remains a source of uncertainty. Units that are described as sealed can sometimes be topped up with SF</w:t>
      </w:r>
      <w:r w:rsidRPr="009E06AA">
        <w:rPr>
          <w:vertAlign w:val="subscript"/>
        </w:rPr>
        <w:t>6</w:t>
      </w:r>
      <w:r w:rsidRPr="009E06AA">
        <w:t xml:space="preserve"> in service. </w:t>
      </w:r>
    </w:p>
    <w:p w14:paraId="69C9F364" w14:textId="77777777" w:rsidR="001608E9" w:rsidRPr="009E06AA" w:rsidRDefault="001608E9" w:rsidP="001608E9">
      <w:pPr>
        <w:pStyle w:val="BodyText"/>
      </w:pPr>
      <w:r w:rsidRPr="009E06AA">
        <w:t>Losses on disposal are assessed as 95.0 per cent if a service agent is not used, and 5.0 per cent when service agents carry out the disposal and implement good recovery practices. No recovery of SF</w:t>
      </w:r>
      <w:r w:rsidRPr="009E06AA">
        <w:rPr>
          <w:vertAlign w:val="subscript"/>
        </w:rPr>
        <w:t>6</w:t>
      </w:r>
      <w:r w:rsidRPr="009E06AA">
        <w:t xml:space="preserve"> was reported before the year 2000. </w:t>
      </w:r>
    </w:p>
    <w:p w14:paraId="038B43D6" w14:textId="77777777" w:rsidR="001608E9" w:rsidRPr="009E06AA" w:rsidRDefault="001608E9" w:rsidP="00BF2A76">
      <w:pPr>
        <w:pStyle w:val="Heading5"/>
      </w:pPr>
      <w:r w:rsidRPr="009E06AA">
        <w:t xml:space="preserve">Other </w:t>
      </w:r>
    </w:p>
    <w:p w14:paraId="10B60990" w14:textId="77777777" w:rsidR="001608E9" w:rsidRPr="009E06AA" w:rsidRDefault="001608E9" w:rsidP="001608E9">
      <w:pPr>
        <w:pStyle w:val="BodyText"/>
      </w:pPr>
      <w:r w:rsidRPr="009E06AA">
        <w:t>Emissions of SF</w:t>
      </w:r>
      <w:r w:rsidRPr="009E06AA">
        <w:rPr>
          <w:vertAlign w:val="subscript"/>
        </w:rPr>
        <w:t>6</w:t>
      </w:r>
      <w:r w:rsidRPr="009E06AA">
        <w:t xml:space="preserve"> and other gases for all other applications are assumed to be prompt, and an emission factor of either 50.0 per cent or 100.0 per cent is used, as appropriate. </w:t>
      </w:r>
    </w:p>
    <w:p w14:paraId="3299A238" w14:textId="77777777" w:rsidR="001608E9" w:rsidRPr="009E06AA" w:rsidRDefault="001608E9" w:rsidP="001608E9">
      <w:pPr>
        <w:pStyle w:val="Heading3"/>
      </w:pPr>
      <w:bookmarkStart w:id="703" w:name="_Toc158647368"/>
      <w:r w:rsidRPr="009E06AA">
        <w:t xml:space="preserve">4.8.3 </w:t>
      </w:r>
      <w:r w:rsidRPr="009E06AA">
        <w:tab/>
        <w:t>Uncertainty assessment and time-series consistency</w:t>
      </w:r>
      <w:bookmarkEnd w:id="703"/>
    </w:p>
    <w:p w14:paraId="4AF10E11" w14:textId="77777777" w:rsidR="001608E9" w:rsidRPr="009E06AA" w:rsidRDefault="001608E9" w:rsidP="001608E9">
      <w:pPr>
        <w:pStyle w:val="Heading4"/>
        <w:spacing w:before="180"/>
        <w:rPr>
          <w:bCs/>
          <w:iCs/>
        </w:rPr>
      </w:pPr>
      <w:r w:rsidRPr="009E06AA">
        <w:t>Uncertainties</w:t>
      </w:r>
    </w:p>
    <w:p w14:paraId="1CB58635" w14:textId="77777777" w:rsidR="001608E9" w:rsidRPr="009E06AA" w:rsidRDefault="001608E9" w:rsidP="001608E9">
      <w:pPr>
        <w:pStyle w:val="BodyText"/>
      </w:pPr>
      <w:r w:rsidRPr="009E06AA">
        <w:t>A mix of expert judgement and IPCC default uncertainties has been used for emissions in this category (see table 4.8.1). IPCC (2006a) recommends the use of expert judgement for sources such as N</w:t>
      </w:r>
      <w:r w:rsidRPr="009E06AA">
        <w:rPr>
          <w:vertAlign w:val="subscript"/>
        </w:rPr>
        <w:t>2</w:t>
      </w:r>
      <w:r w:rsidRPr="009E06AA">
        <w:t xml:space="preserve">O from product uses, because the uncertainties vary from country to country. For categories other than </w:t>
      </w:r>
      <w:r w:rsidRPr="009E06AA">
        <w:rPr>
          <w:i/>
        </w:rPr>
        <w:t>Electrical equipment</w:t>
      </w:r>
      <w:r w:rsidRPr="009E06AA">
        <w:t xml:space="preserve">, there is no uncertainty in emission factors because emissions are immediate. </w:t>
      </w:r>
    </w:p>
    <w:p w14:paraId="7AEA6589" w14:textId="77777777" w:rsidR="001608E9" w:rsidRPr="009E06AA" w:rsidRDefault="001608E9" w:rsidP="001608E9">
      <w:pPr>
        <w:pStyle w:val="Table"/>
      </w:pPr>
      <w:bookmarkStart w:id="704" w:name="_Toc451176079"/>
      <w:bookmarkStart w:id="705" w:name="_Toc5269469"/>
      <w:bookmarkStart w:id="706" w:name="_Toc36224543"/>
      <w:bookmarkStart w:id="707" w:name="_Toc68786429"/>
      <w:bookmarkStart w:id="708" w:name="_Toc128042763"/>
      <w:bookmarkStart w:id="709" w:name="_Toc131591343"/>
      <w:bookmarkStart w:id="710" w:name="_Toc158647431"/>
      <w:bookmarkStart w:id="711" w:name="_Toc164153829"/>
      <w:r w:rsidRPr="009E06AA">
        <w:t>Table 4.8.1</w:t>
      </w:r>
      <w:r w:rsidRPr="009E06AA">
        <w:tab/>
        <w:t>Uncertainty in emissions from other product manufacture and use</w:t>
      </w:r>
      <w:bookmarkEnd w:id="704"/>
      <w:bookmarkEnd w:id="705"/>
      <w:bookmarkEnd w:id="706"/>
      <w:bookmarkEnd w:id="707"/>
      <w:bookmarkEnd w:id="708"/>
      <w:bookmarkEnd w:id="709"/>
      <w:bookmarkEnd w:id="710"/>
      <w:bookmarkEnd w:id="711"/>
    </w:p>
    <w:tbl>
      <w:tblPr>
        <w:tblW w:w="8505" w:type="dxa"/>
        <w:tblBorders>
          <w:top w:val="single" w:sz="4" w:space="0" w:color="1B556B"/>
          <w:bottom w:val="single" w:sz="4" w:space="0" w:color="1B556B"/>
          <w:insideH w:val="single" w:sz="4" w:space="0" w:color="1B556B"/>
        </w:tblBorders>
        <w:tblLook w:val="04A0" w:firstRow="1" w:lastRow="0" w:firstColumn="1" w:lastColumn="0" w:noHBand="0" w:noVBand="1"/>
      </w:tblPr>
      <w:tblGrid>
        <w:gridCol w:w="2981"/>
        <w:gridCol w:w="2535"/>
        <w:gridCol w:w="2989"/>
      </w:tblGrid>
      <w:tr w:rsidR="001608E9" w:rsidRPr="009E06AA" w14:paraId="6BC4A9DF" w14:textId="77777777" w:rsidTr="00B55F24">
        <w:tc>
          <w:tcPr>
            <w:tcW w:w="3002" w:type="dxa"/>
            <w:shd w:val="clear" w:color="auto" w:fill="1B556B"/>
            <w:hideMark/>
          </w:tcPr>
          <w:p w14:paraId="0D462126" w14:textId="77777777" w:rsidR="001608E9" w:rsidRPr="009E06AA" w:rsidRDefault="001608E9" w:rsidP="00D66501">
            <w:pPr>
              <w:pStyle w:val="TableTextBold"/>
              <w:keepNext/>
              <w:spacing w:before="40" w:after="40"/>
              <w:rPr>
                <w:noProof w:val="0"/>
                <w:color w:val="FFFFFF"/>
              </w:rPr>
            </w:pPr>
            <w:r w:rsidRPr="009E06AA">
              <w:rPr>
                <w:noProof w:val="0"/>
                <w:color w:val="FFFFFF"/>
              </w:rPr>
              <w:t>Category</w:t>
            </w:r>
          </w:p>
        </w:tc>
        <w:tc>
          <w:tcPr>
            <w:tcW w:w="2551" w:type="dxa"/>
            <w:shd w:val="clear" w:color="auto" w:fill="1B556B"/>
            <w:hideMark/>
          </w:tcPr>
          <w:p w14:paraId="56726354" w14:textId="77777777" w:rsidR="001608E9" w:rsidRPr="009E06AA" w:rsidRDefault="001608E9" w:rsidP="00081DEE">
            <w:pPr>
              <w:pStyle w:val="TableTextBold"/>
              <w:keepNext/>
              <w:spacing w:before="40" w:after="40"/>
              <w:jc w:val="right"/>
              <w:rPr>
                <w:noProof w:val="0"/>
                <w:color w:val="FFFFFF"/>
              </w:rPr>
            </w:pPr>
            <w:r w:rsidRPr="009E06AA">
              <w:rPr>
                <w:noProof w:val="0"/>
                <w:color w:val="FFFFFF"/>
              </w:rPr>
              <w:t>Uncertainty in activity data (%)</w:t>
            </w:r>
          </w:p>
        </w:tc>
        <w:tc>
          <w:tcPr>
            <w:tcW w:w="3009" w:type="dxa"/>
            <w:shd w:val="clear" w:color="auto" w:fill="1B556B"/>
            <w:hideMark/>
          </w:tcPr>
          <w:p w14:paraId="7D597404" w14:textId="77777777" w:rsidR="001608E9" w:rsidRPr="009E06AA" w:rsidRDefault="001608E9" w:rsidP="00081DEE">
            <w:pPr>
              <w:pStyle w:val="TableTextBold"/>
              <w:keepNext/>
              <w:spacing w:before="40" w:after="40"/>
              <w:jc w:val="right"/>
              <w:rPr>
                <w:noProof w:val="0"/>
                <w:color w:val="FFFFFF"/>
              </w:rPr>
            </w:pPr>
            <w:r w:rsidRPr="009E06AA">
              <w:rPr>
                <w:noProof w:val="0"/>
                <w:color w:val="FFFFFF"/>
              </w:rPr>
              <w:t>Uncertainty in emission factors (%)</w:t>
            </w:r>
          </w:p>
        </w:tc>
      </w:tr>
      <w:tr w:rsidR="001608E9" w:rsidRPr="009E06AA" w14:paraId="28F93D68" w14:textId="77777777" w:rsidTr="00B55F24">
        <w:tc>
          <w:tcPr>
            <w:tcW w:w="3002" w:type="dxa"/>
            <w:shd w:val="clear" w:color="auto" w:fill="FFFFFF"/>
            <w:hideMark/>
          </w:tcPr>
          <w:p w14:paraId="72B5C9EB" w14:textId="77777777" w:rsidR="001608E9" w:rsidRPr="009E06AA" w:rsidRDefault="001608E9" w:rsidP="00D66501">
            <w:pPr>
              <w:pStyle w:val="TableText"/>
              <w:spacing w:before="40" w:after="40"/>
            </w:pPr>
            <w:r w:rsidRPr="009E06AA">
              <w:t>Electrical equipment</w:t>
            </w:r>
          </w:p>
        </w:tc>
        <w:tc>
          <w:tcPr>
            <w:tcW w:w="2551" w:type="dxa"/>
            <w:shd w:val="clear" w:color="auto" w:fill="FFFFFF"/>
            <w:hideMark/>
          </w:tcPr>
          <w:p w14:paraId="43102A97" w14:textId="77777777" w:rsidR="001608E9" w:rsidRPr="009E06AA" w:rsidRDefault="001608E9" w:rsidP="00081DEE">
            <w:pPr>
              <w:pStyle w:val="TableText"/>
              <w:spacing w:before="40" w:after="40"/>
              <w:jc w:val="right"/>
            </w:pPr>
            <w:r w:rsidRPr="009E06AA">
              <w:t>±20</w:t>
            </w:r>
          </w:p>
        </w:tc>
        <w:tc>
          <w:tcPr>
            <w:tcW w:w="3009" w:type="dxa"/>
            <w:shd w:val="clear" w:color="auto" w:fill="FFFFFF"/>
            <w:hideMark/>
          </w:tcPr>
          <w:p w14:paraId="5E3EC430" w14:textId="77777777" w:rsidR="001608E9" w:rsidRPr="009E06AA" w:rsidRDefault="001608E9" w:rsidP="00081DEE">
            <w:pPr>
              <w:pStyle w:val="TableText"/>
              <w:spacing w:before="40" w:after="40"/>
              <w:jc w:val="right"/>
            </w:pPr>
            <w:r w:rsidRPr="009E06AA">
              <w:t>±30</w:t>
            </w:r>
          </w:p>
        </w:tc>
      </w:tr>
      <w:tr w:rsidR="001608E9" w:rsidRPr="009E06AA" w14:paraId="6AF1806F" w14:textId="77777777" w:rsidTr="00B55F24">
        <w:tc>
          <w:tcPr>
            <w:tcW w:w="3002" w:type="dxa"/>
            <w:shd w:val="clear" w:color="auto" w:fill="FFFFFF"/>
            <w:hideMark/>
          </w:tcPr>
          <w:p w14:paraId="7CB57BB2" w14:textId="77777777" w:rsidR="001608E9" w:rsidRPr="009E06AA" w:rsidRDefault="001608E9" w:rsidP="00D66501">
            <w:pPr>
              <w:pStyle w:val="TableText"/>
              <w:spacing w:before="40" w:after="40"/>
            </w:pPr>
            <w:r w:rsidRPr="009E06AA">
              <w:t>Medical and other product use (SF</w:t>
            </w:r>
            <w:r w:rsidRPr="009E06AA">
              <w:rPr>
                <w:vertAlign w:val="subscript"/>
              </w:rPr>
              <w:t>6</w:t>
            </w:r>
            <w:r w:rsidRPr="009E06AA">
              <w:t>)</w:t>
            </w:r>
          </w:p>
        </w:tc>
        <w:tc>
          <w:tcPr>
            <w:tcW w:w="2551" w:type="dxa"/>
            <w:shd w:val="clear" w:color="auto" w:fill="FFFFFF"/>
            <w:hideMark/>
          </w:tcPr>
          <w:p w14:paraId="59574F5A" w14:textId="77777777" w:rsidR="001608E9" w:rsidRPr="009E06AA" w:rsidRDefault="001608E9" w:rsidP="00081DEE">
            <w:pPr>
              <w:pStyle w:val="TableText"/>
              <w:spacing w:before="40" w:after="40"/>
              <w:jc w:val="right"/>
            </w:pPr>
            <w:r w:rsidRPr="009E06AA">
              <w:t>±80</w:t>
            </w:r>
          </w:p>
        </w:tc>
        <w:tc>
          <w:tcPr>
            <w:tcW w:w="3009" w:type="dxa"/>
            <w:shd w:val="clear" w:color="auto" w:fill="FFFFFF"/>
            <w:hideMark/>
          </w:tcPr>
          <w:p w14:paraId="058C1AEC" w14:textId="77777777" w:rsidR="001608E9" w:rsidRPr="009E06AA" w:rsidRDefault="001608E9" w:rsidP="00081DEE">
            <w:pPr>
              <w:pStyle w:val="TableText"/>
              <w:spacing w:before="40" w:after="40"/>
              <w:jc w:val="right"/>
            </w:pPr>
            <w:r w:rsidRPr="009E06AA">
              <w:t>–</w:t>
            </w:r>
          </w:p>
        </w:tc>
      </w:tr>
      <w:tr w:rsidR="001608E9" w:rsidRPr="009E06AA" w14:paraId="26127106" w14:textId="77777777" w:rsidTr="00B55F24">
        <w:tc>
          <w:tcPr>
            <w:tcW w:w="3002" w:type="dxa"/>
            <w:shd w:val="clear" w:color="auto" w:fill="FFFFFF"/>
            <w:hideMark/>
          </w:tcPr>
          <w:p w14:paraId="4DD92513" w14:textId="77777777" w:rsidR="001608E9" w:rsidRPr="009E06AA" w:rsidRDefault="001608E9" w:rsidP="00D66501">
            <w:pPr>
              <w:pStyle w:val="TableText"/>
              <w:spacing w:before="40" w:after="40"/>
            </w:pPr>
            <w:r w:rsidRPr="009E06AA">
              <w:t>Medical and other product use (PFCs)</w:t>
            </w:r>
          </w:p>
        </w:tc>
        <w:tc>
          <w:tcPr>
            <w:tcW w:w="2551" w:type="dxa"/>
            <w:shd w:val="clear" w:color="auto" w:fill="FFFFFF"/>
            <w:hideMark/>
          </w:tcPr>
          <w:p w14:paraId="1E702265" w14:textId="77777777" w:rsidR="001608E9" w:rsidRPr="009E06AA" w:rsidRDefault="001608E9" w:rsidP="00081DEE">
            <w:pPr>
              <w:pStyle w:val="TableText"/>
              <w:spacing w:before="40" w:after="40"/>
              <w:jc w:val="right"/>
            </w:pPr>
            <w:r w:rsidRPr="009E06AA">
              <w:t>±80</w:t>
            </w:r>
          </w:p>
        </w:tc>
        <w:tc>
          <w:tcPr>
            <w:tcW w:w="3009" w:type="dxa"/>
            <w:shd w:val="clear" w:color="auto" w:fill="FFFFFF"/>
            <w:hideMark/>
          </w:tcPr>
          <w:p w14:paraId="4EE44406" w14:textId="77777777" w:rsidR="001608E9" w:rsidRPr="009E06AA" w:rsidRDefault="001608E9" w:rsidP="00081DEE">
            <w:pPr>
              <w:pStyle w:val="TableText"/>
              <w:spacing w:before="40" w:after="40"/>
              <w:jc w:val="right"/>
            </w:pPr>
            <w:r w:rsidRPr="009E06AA">
              <w:t>–</w:t>
            </w:r>
          </w:p>
        </w:tc>
      </w:tr>
      <w:tr w:rsidR="001608E9" w:rsidRPr="009E06AA" w14:paraId="14116306" w14:textId="77777777" w:rsidTr="00B55F24">
        <w:tc>
          <w:tcPr>
            <w:tcW w:w="3002" w:type="dxa"/>
            <w:shd w:val="clear" w:color="auto" w:fill="FFFFFF"/>
            <w:hideMark/>
          </w:tcPr>
          <w:p w14:paraId="2C86BAAA" w14:textId="77777777" w:rsidR="001608E9" w:rsidRPr="009E06AA" w:rsidRDefault="001608E9" w:rsidP="00D66501">
            <w:pPr>
              <w:pStyle w:val="TableText"/>
              <w:spacing w:before="40" w:after="40"/>
            </w:pPr>
            <w:r w:rsidRPr="009E06AA">
              <w:t>N</w:t>
            </w:r>
            <w:r w:rsidRPr="009E06AA">
              <w:rPr>
                <w:vertAlign w:val="subscript"/>
              </w:rPr>
              <w:t>2</w:t>
            </w:r>
            <w:r w:rsidRPr="009E06AA">
              <w:t>O from other product uses</w:t>
            </w:r>
          </w:p>
        </w:tc>
        <w:tc>
          <w:tcPr>
            <w:tcW w:w="2551" w:type="dxa"/>
            <w:shd w:val="clear" w:color="auto" w:fill="FFFFFF"/>
            <w:hideMark/>
          </w:tcPr>
          <w:p w14:paraId="47B3CA2C" w14:textId="77777777" w:rsidR="001608E9" w:rsidRPr="009E06AA" w:rsidRDefault="001608E9" w:rsidP="00081DEE">
            <w:pPr>
              <w:pStyle w:val="TableText"/>
              <w:spacing w:before="40" w:after="40"/>
              <w:jc w:val="right"/>
            </w:pPr>
            <w:r w:rsidRPr="009E06AA">
              <w:t>±15</w:t>
            </w:r>
          </w:p>
        </w:tc>
        <w:tc>
          <w:tcPr>
            <w:tcW w:w="3009" w:type="dxa"/>
            <w:shd w:val="clear" w:color="auto" w:fill="FFFFFF"/>
            <w:hideMark/>
          </w:tcPr>
          <w:p w14:paraId="575FDF96" w14:textId="77777777" w:rsidR="001608E9" w:rsidRPr="009E06AA" w:rsidRDefault="001608E9" w:rsidP="00081DEE">
            <w:pPr>
              <w:pStyle w:val="TableText"/>
              <w:spacing w:before="40" w:after="40"/>
              <w:jc w:val="right"/>
            </w:pPr>
            <w:r w:rsidRPr="009E06AA">
              <w:t>–</w:t>
            </w:r>
          </w:p>
        </w:tc>
      </w:tr>
    </w:tbl>
    <w:p w14:paraId="7A10955F" w14:textId="77777777" w:rsidR="001608E9" w:rsidRPr="009E06AA" w:rsidRDefault="001608E9" w:rsidP="001608E9">
      <w:pPr>
        <w:pStyle w:val="Heading4"/>
        <w:spacing w:before="360"/>
        <w:rPr>
          <w:bCs/>
          <w:iCs/>
        </w:rPr>
      </w:pPr>
      <w:r w:rsidRPr="009E06AA">
        <w:t>Time-series consistency</w:t>
      </w:r>
    </w:p>
    <w:p w14:paraId="693F668E" w14:textId="77777777" w:rsidR="001608E9" w:rsidRPr="009E06AA" w:rsidRDefault="001608E9" w:rsidP="001608E9">
      <w:pPr>
        <w:pStyle w:val="BodyText"/>
      </w:pPr>
      <w:r w:rsidRPr="009E06AA">
        <w:t xml:space="preserve">The implied emission factors for the </w:t>
      </w:r>
      <w:r w:rsidRPr="009E06AA">
        <w:rPr>
          <w:i/>
        </w:rPr>
        <w:t>Electrical equipment</w:t>
      </w:r>
      <w:r w:rsidRPr="009E06AA">
        <w:t xml:space="preserve"> category have declined, due to improvements both in data quality and in the actual management of SF</w:t>
      </w:r>
      <w:r w:rsidRPr="009E06AA">
        <w:rPr>
          <w:vertAlign w:val="subscript"/>
        </w:rPr>
        <w:t>6</w:t>
      </w:r>
      <w:r w:rsidRPr="009E06AA">
        <w:t xml:space="preserve"> utilisation and recovery by Transpower and other users over time. Recovery did not occur before 2000. Imports of SF</w:t>
      </w:r>
      <w:r w:rsidRPr="009E06AA">
        <w:rPr>
          <w:vertAlign w:val="subscript"/>
        </w:rPr>
        <w:t>6</w:t>
      </w:r>
      <w:r w:rsidRPr="009E06AA">
        <w:t xml:space="preserve"> and N</w:t>
      </w:r>
      <w:r w:rsidRPr="009E06AA">
        <w:rPr>
          <w:vertAlign w:val="subscript"/>
        </w:rPr>
        <w:t>2</w:t>
      </w:r>
      <w:r w:rsidRPr="009E06AA">
        <w:t xml:space="preserve">O for other purposes have varied over time. </w:t>
      </w:r>
    </w:p>
    <w:p w14:paraId="404E37F8" w14:textId="77777777" w:rsidR="001608E9" w:rsidRPr="009E06AA" w:rsidRDefault="001608E9" w:rsidP="001608E9">
      <w:pPr>
        <w:pStyle w:val="Heading3"/>
      </w:pPr>
      <w:bookmarkStart w:id="712" w:name="_Toc158647369"/>
      <w:r w:rsidRPr="009E06AA">
        <w:t>4.8.4</w:t>
      </w:r>
      <w:r w:rsidRPr="009E06AA">
        <w:tab/>
        <w:t>Category-specific QA/QC and verification</w:t>
      </w:r>
      <w:bookmarkEnd w:id="712"/>
    </w:p>
    <w:p w14:paraId="13C5EB88" w14:textId="77777777" w:rsidR="001608E9" w:rsidRPr="009E06AA" w:rsidRDefault="001608E9" w:rsidP="001608E9">
      <w:pPr>
        <w:pStyle w:val="BodyText"/>
      </w:pPr>
      <w:r w:rsidRPr="009E06AA">
        <w:rPr>
          <w:i/>
        </w:rPr>
        <w:t xml:space="preserve">Other product manufacture and use </w:t>
      </w:r>
      <w:r w:rsidRPr="009E06AA">
        <w:t xml:space="preserve">was a non-key category. </w:t>
      </w:r>
    </w:p>
    <w:p w14:paraId="2AE969FE" w14:textId="77777777" w:rsidR="001608E9" w:rsidRPr="009E06AA" w:rsidRDefault="001608E9" w:rsidP="001608E9">
      <w:pPr>
        <w:pStyle w:val="Heading3"/>
      </w:pPr>
      <w:bookmarkStart w:id="713" w:name="_Toc158647370"/>
      <w:r w:rsidRPr="009E06AA">
        <w:t>4.8.5</w:t>
      </w:r>
      <w:r w:rsidRPr="009E06AA">
        <w:tab/>
        <w:t>Category-specific recalculations</w:t>
      </w:r>
      <w:bookmarkEnd w:id="713"/>
    </w:p>
    <w:p w14:paraId="579407D8" w14:textId="26C2C6CC" w:rsidR="001608E9" w:rsidRPr="009E06AA" w:rsidRDefault="001608E9" w:rsidP="001608E9">
      <w:pPr>
        <w:pStyle w:val="BodyText"/>
      </w:pPr>
      <w:r w:rsidRPr="009E06AA">
        <w:t xml:space="preserve">There </w:t>
      </w:r>
      <w:r w:rsidR="00387CF1" w:rsidRPr="009E06AA">
        <w:t>were</w:t>
      </w:r>
      <w:r w:rsidRPr="009E06AA">
        <w:t xml:space="preserve"> no recalculations for the 2024 submission.</w:t>
      </w:r>
    </w:p>
    <w:p w14:paraId="64FDC9C0" w14:textId="77777777" w:rsidR="001608E9" w:rsidRPr="009E06AA" w:rsidRDefault="001608E9" w:rsidP="001608E9">
      <w:pPr>
        <w:pStyle w:val="Heading3"/>
      </w:pPr>
      <w:bookmarkStart w:id="714" w:name="_Toc158647371"/>
      <w:r w:rsidRPr="009E06AA">
        <w:t>4.8.6</w:t>
      </w:r>
      <w:r w:rsidRPr="009E06AA">
        <w:tab/>
        <w:t>Category-specific planned improvements</w:t>
      </w:r>
      <w:bookmarkEnd w:id="714"/>
    </w:p>
    <w:p w14:paraId="7731B43F" w14:textId="77777777" w:rsidR="001608E9" w:rsidRPr="009E06AA" w:rsidRDefault="001608E9" w:rsidP="001608E9">
      <w:pPr>
        <w:pStyle w:val="BodyText"/>
      </w:pPr>
      <w:r w:rsidRPr="009E06AA">
        <w:t xml:space="preserve">For the </w:t>
      </w:r>
      <w:r w:rsidRPr="009E06AA">
        <w:rPr>
          <w:i/>
        </w:rPr>
        <w:t>Electrical equipment</w:t>
      </w:r>
      <w:r w:rsidRPr="009E06AA">
        <w:t xml:space="preserve"> category, it is expected that further improved activity data and more detailed reporting on stocks of SF</w:t>
      </w:r>
      <w:r w:rsidRPr="009E06AA">
        <w:rPr>
          <w:vertAlign w:val="subscript"/>
        </w:rPr>
        <w:t>6</w:t>
      </w:r>
      <w:r w:rsidRPr="009E06AA">
        <w:t xml:space="preserve"> will become available over time from NZ ETS reporting and from surveys, as SF</w:t>
      </w:r>
      <w:r w:rsidRPr="009E06AA">
        <w:rPr>
          <w:vertAlign w:val="subscript"/>
        </w:rPr>
        <w:t>6</w:t>
      </w:r>
      <w:r w:rsidRPr="009E06AA">
        <w:t xml:space="preserve"> handling practices in the industry improve. Better information</w:t>
      </w:r>
      <w:r w:rsidRPr="009E06AA" w:rsidDel="00AD0C3D">
        <w:t xml:space="preserve"> </w:t>
      </w:r>
      <w:r w:rsidRPr="009E06AA">
        <w:t xml:space="preserve">may enable the consistent use of Tier 2 or Tier 3 methods for this category in future submissions. </w:t>
      </w:r>
    </w:p>
    <w:p w14:paraId="48DCCB7F" w14:textId="77777777" w:rsidR="001608E9" w:rsidRPr="009E06AA" w:rsidRDefault="001608E9" w:rsidP="001608E9">
      <w:pPr>
        <w:pStyle w:val="BodyText"/>
      </w:pPr>
      <w:bookmarkStart w:id="715" w:name="_Toc448321520"/>
      <w:bookmarkStart w:id="716" w:name="_Toc5269359"/>
      <w:bookmarkStart w:id="717" w:name="_Toc36224399"/>
      <w:bookmarkStart w:id="718" w:name="_Toc68786319"/>
      <w:r w:rsidRPr="009E06AA">
        <w:br w:type="page"/>
      </w:r>
    </w:p>
    <w:p w14:paraId="5977B5A8" w14:textId="77777777" w:rsidR="001608E9" w:rsidRPr="009E06AA" w:rsidRDefault="001608E9" w:rsidP="001608E9">
      <w:pPr>
        <w:pStyle w:val="Heading2"/>
        <w:spacing w:before="0" w:after="480"/>
      </w:pPr>
      <w:bookmarkStart w:id="719" w:name="_Toc131591234"/>
      <w:bookmarkStart w:id="720" w:name="_Toc158647372"/>
      <w:bookmarkStart w:id="721" w:name="_Toc164154188"/>
      <w:r w:rsidRPr="009E06AA">
        <w:t>Chapter 4: References</w:t>
      </w:r>
      <w:bookmarkEnd w:id="715"/>
      <w:bookmarkEnd w:id="716"/>
      <w:bookmarkEnd w:id="717"/>
      <w:bookmarkEnd w:id="718"/>
      <w:bookmarkEnd w:id="719"/>
      <w:bookmarkEnd w:id="720"/>
      <w:bookmarkEnd w:id="721"/>
    </w:p>
    <w:p w14:paraId="6080C4CC" w14:textId="77777777" w:rsidR="001608E9" w:rsidRPr="009E06AA" w:rsidRDefault="001608E9" w:rsidP="001608E9">
      <w:pPr>
        <w:pStyle w:val="References"/>
      </w:pPr>
      <w:r w:rsidRPr="009E06AA">
        <w:t xml:space="preserve">Christie T, Thompson B, Brathwaite B. 1999. </w:t>
      </w:r>
      <w:r w:rsidRPr="009E06AA">
        <w:rPr>
          <w:i/>
        </w:rPr>
        <w:t>Mineral Commodity Report 20 – Clays</w:t>
      </w:r>
      <w:r w:rsidRPr="009E06AA">
        <w:t>.</w:t>
      </w:r>
      <w:r w:rsidRPr="009E06AA">
        <w:rPr>
          <w:i/>
        </w:rPr>
        <w:t xml:space="preserve"> </w:t>
      </w:r>
      <w:r w:rsidRPr="009E06AA">
        <w:t xml:space="preserve">Wellington: Institute of Geological and Nuclear Sciences. </w:t>
      </w:r>
    </w:p>
    <w:p w14:paraId="470AACFC" w14:textId="77777777" w:rsidR="001608E9" w:rsidRPr="009E06AA" w:rsidRDefault="001608E9" w:rsidP="001608E9">
      <w:pPr>
        <w:pStyle w:val="References"/>
      </w:pPr>
      <w:r w:rsidRPr="009E06AA">
        <w:t>CRL Energy Ltd. Unpublished(a). Hennessy W, Maxwell D. Inventory of HFC, PFC and SF</w:t>
      </w:r>
      <w:r w:rsidRPr="009E06AA">
        <w:rPr>
          <w:vertAlign w:val="subscript"/>
        </w:rPr>
        <w:t>6</w:t>
      </w:r>
      <w:r w:rsidRPr="009E06AA">
        <w:t xml:space="preserve"> Emissions for New Zealand 2004–2005. A report by CRL Energy Ltd to the Ministry for the Environment in 2006.</w:t>
      </w:r>
    </w:p>
    <w:p w14:paraId="7F9B2871" w14:textId="77777777" w:rsidR="001608E9" w:rsidRPr="009E06AA" w:rsidRDefault="001608E9" w:rsidP="001608E9">
      <w:pPr>
        <w:pStyle w:val="References"/>
      </w:pPr>
      <w:r w:rsidRPr="009E06AA">
        <w:t>CRL Energy Ltd. Unpublished(b). Hennessy W, Maxwell D. Inventory of Non-CO</w:t>
      </w:r>
      <w:r w:rsidRPr="009E06AA">
        <w:rPr>
          <w:vertAlign w:val="subscript"/>
        </w:rPr>
        <w:t>2</w:t>
      </w:r>
      <w:r w:rsidRPr="009E06AA">
        <w:t xml:space="preserve"> Greenhouse Gas Emissions from Industrial Sources and Solvents for New Zealand 2004–2005. A report by CRL Energy Ltd to the Ministry for the Environment in 2006.</w:t>
      </w:r>
    </w:p>
    <w:p w14:paraId="7E6B82A4" w14:textId="77777777" w:rsidR="001608E9" w:rsidRPr="009E06AA" w:rsidRDefault="001608E9" w:rsidP="001608E9">
      <w:pPr>
        <w:pStyle w:val="References"/>
      </w:pPr>
      <w:r w:rsidRPr="009E06AA">
        <w:t xml:space="preserve">International Aluminium Institute. 2006. </w:t>
      </w:r>
      <w:r w:rsidRPr="009E06AA">
        <w:rPr>
          <w:i/>
        </w:rPr>
        <w:t>The Aluminium Sector Greenhouse Gas Protocol</w:t>
      </w:r>
      <w:r w:rsidRPr="009E06AA">
        <w:t xml:space="preserve">. London: International Aluminium Institute. </w:t>
      </w:r>
    </w:p>
    <w:p w14:paraId="7D7FB6B3" w14:textId="77777777" w:rsidR="001608E9" w:rsidRPr="009E06AA" w:rsidRDefault="001608E9" w:rsidP="001608E9">
      <w:pPr>
        <w:pStyle w:val="References"/>
      </w:pPr>
      <w:r w:rsidRPr="009E06AA">
        <w:t xml:space="preserve">IPCC. 2006a. Eggleston HS, Buendia L, Miwa K, Ngara T, Tanabe K (eds). </w:t>
      </w:r>
      <w:r w:rsidRPr="009E06AA">
        <w:rPr>
          <w:i/>
        </w:rPr>
        <w:t>2006 IPCC</w:t>
      </w:r>
      <w:r w:rsidRPr="009E06AA">
        <w:t xml:space="preserve"> </w:t>
      </w:r>
      <w:r w:rsidRPr="009E06AA">
        <w:rPr>
          <w:i/>
        </w:rPr>
        <w:t>Guidelines for National Greenhouse Gas Inventories. Volume 3. Industrial Processes and Product Use</w:t>
      </w:r>
      <w:r w:rsidRPr="009E06AA">
        <w:t>. IPCC National Greenhouse Gas Inventories Programme. Japan: Institute for Global Environmental Strategies for IPCC.</w:t>
      </w:r>
    </w:p>
    <w:p w14:paraId="2790EB3D" w14:textId="77777777" w:rsidR="001608E9" w:rsidRPr="009E06AA" w:rsidRDefault="001608E9" w:rsidP="001608E9">
      <w:pPr>
        <w:pStyle w:val="References"/>
      </w:pPr>
      <w:r w:rsidRPr="009E06AA">
        <w:t xml:space="preserve">IPCC. 2006b. Eggleston HS, Buendia L, Miwa K, Ngara T, Tanabe K (eds). </w:t>
      </w:r>
      <w:r w:rsidRPr="009E06AA">
        <w:rPr>
          <w:i/>
          <w:iCs/>
        </w:rPr>
        <w:t>2006 IPCC Guidelines for National Greenhouse Gas Inventories. Volume 2. Energy</w:t>
      </w:r>
      <w:r w:rsidRPr="009E06AA">
        <w:t>. IPCC National Greenhouse Gas Inventories Programme. Japan: Institute for Global Environmental Strategies for IPCC.</w:t>
      </w:r>
    </w:p>
    <w:p w14:paraId="7D9D4086" w14:textId="77777777" w:rsidR="001608E9" w:rsidRPr="009E06AA" w:rsidRDefault="001608E9" w:rsidP="001608E9">
      <w:pPr>
        <w:pStyle w:val="References"/>
      </w:pPr>
      <w:r w:rsidRPr="009E06AA">
        <w:t xml:space="preserve">IPCC. 2007. Forster P, Ramaswamy V, Artaxo P, Berntsen T, Betts R, Fahey DW, Haywood J, Lean J, Lowe DC, Myhre G, Nganga J, Prinn R, Raga G, Schulz M, Van Dorland R. Changes in Atmospheric Constituents and in Radiative Forcing. In: S Solomon, D Qin, M Manning, Z Chen, M Marquis, KB Avery, M Tignor and HL Miller (eds) </w:t>
      </w:r>
      <w:r w:rsidRPr="009E06AA">
        <w:rPr>
          <w:i/>
          <w:iCs/>
        </w:rPr>
        <w:t>Climate Change 2007: The Physical Science Basis. Contribution of Working Group I to the Fourth Assessment Report of the Intergovernmental Panel on Climate Change</w:t>
      </w:r>
      <w:r w:rsidRPr="009E06AA">
        <w:t xml:space="preserve">. Cambridge: Cambridge University Press. </w:t>
      </w:r>
    </w:p>
    <w:p w14:paraId="14C14BD2" w14:textId="77777777" w:rsidR="001608E9" w:rsidRPr="009E06AA" w:rsidRDefault="001608E9" w:rsidP="001608E9">
      <w:pPr>
        <w:pStyle w:val="References"/>
      </w:pPr>
      <w:r w:rsidRPr="009E06AA">
        <w:t xml:space="preserve">IPCC. 2013. Stocker TF, Qin D, Plattner G-K, Tignor M, Allen SK, Boschung J, Nauels A, Xia Y, Bex V, Midgley PM (eds). </w:t>
      </w:r>
      <w:r w:rsidRPr="009E06AA">
        <w:rPr>
          <w:i/>
          <w:iCs/>
        </w:rPr>
        <w:t>Climate Change 2013: The Physical Science Basis. Contribution of Working Group I to the Fifth Assessment Report of the Intergovernmental Panel on Climate Change</w:t>
      </w:r>
      <w:r w:rsidRPr="009E06AA">
        <w:t xml:space="preserve">. Cambridge: Cambridge University Press. </w:t>
      </w:r>
    </w:p>
    <w:p w14:paraId="56866392" w14:textId="77777777" w:rsidR="001608E9" w:rsidRPr="009E06AA" w:rsidRDefault="001608E9" w:rsidP="001608E9">
      <w:pPr>
        <w:pStyle w:val="References"/>
      </w:pPr>
      <w:r w:rsidRPr="009E06AA">
        <w:t>Ure CR. 2000. Alternative Iron-making at BHP New Zealand Steel</w:t>
      </w:r>
      <w:r w:rsidRPr="009E06AA">
        <w:rPr>
          <w:i/>
        </w:rPr>
        <w:t>.</w:t>
      </w:r>
      <w:r w:rsidRPr="009E06AA">
        <w:t xml:space="preserve"> In: </w:t>
      </w:r>
      <w:r w:rsidRPr="009E06AA">
        <w:rPr>
          <w:i/>
        </w:rPr>
        <w:t>58th Electric Furnace Conference and 17th Process Technology Conference Proceedings</w:t>
      </w:r>
      <w:r w:rsidRPr="009E06AA">
        <w:t xml:space="preserve">. Orlando, FL: Iron and Steel Society. </w:t>
      </w:r>
      <w:r w:rsidRPr="009E06AA">
        <w:br/>
        <w:t xml:space="preserve">12–15 November 2000. pp 535–546. </w:t>
      </w:r>
    </w:p>
    <w:p w14:paraId="7CA6BF49" w14:textId="77777777" w:rsidR="001608E9" w:rsidRPr="009E06AA" w:rsidRDefault="001608E9" w:rsidP="001608E9">
      <w:pPr>
        <w:pStyle w:val="References"/>
        <w:ind w:right="141"/>
      </w:pPr>
      <w:r w:rsidRPr="009E06AA">
        <w:t>Verum Group Ltd. Unpublished. Hennessy W. Inventory of HFC, SF</w:t>
      </w:r>
      <w:r w:rsidRPr="009E06AA">
        <w:rPr>
          <w:vertAlign w:val="subscript"/>
        </w:rPr>
        <w:t>6</w:t>
      </w:r>
      <w:r w:rsidRPr="009E06AA">
        <w:t xml:space="preserve"> and Other Industrial Process Emissions for New Zealand 2023. A report by Verum Group Ltd to the Ministry for the Environment in 2023.</w:t>
      </w:r>
    </w:p>
    <w:p w14:paraId="24055F43" w14:textId="77777777" w:rsidR="001608E9" w:rsidRPr="009E06AA" w:rsidRDefault="001608E9" w:rsidP="001608E9">
      <w:pPr>
        <w:pStyle w:val="References"/>
      </w:pPr>
      <w:r w:rsidRPr="009E06AA">
        <w:t xml:space="preserve">World Business Council for Sustainable Development. 2005. </w:t>
      </w:r>
      <w:r w:rsidRPr="009E06AA">
        <w:rPr>
          <w:i/>
        </w:rPr>
        <w:t>The Cement CO</w:t>
      </w:r>
      <w:r w:rsidRPr="009E06AA">
        <w:rPr>
          <w:i/>
          <w:vertAlign w:val="subscript"/>
        </w:rPr>
        <w:t>2</w:t>
      </w:r>
      <w:r w:rsidRPr="009E06AA">
        <w:rPr>
          <w:i/>
        </w:rPr>
        <w:t xml:space="preserve"> Protocol: CO</w:t>
      </w:r>
      <w:r w:rsidRPr="009E06AA">
        <w:rPr>
          <w:i/>
          <w:vertAlign w:val="subscript"/>
        </w:rPr>
        <w:t>2</w:t>
      </w:r>
      <w:r w:rsidRPr="009E06AA">
        <w:rPr>
          <w:i/>
        </w:rPr>
        <w:t xml:space="preserve"> Accounting and Reporting Standard for the Cement Industry</w:t>
      </w:r>
      <w:r w:rsidRPr="009E06AA">
        <w:t xml:space="preserve">. Switzerland: World Business Council for Sustainable Development. </w:t>
      </w:r>
    </w:p>
    <w:p w14:paraId="2B1438E0" w14:textId="77777777" w:rsidR="00BF17BF" w:rsidRPr="009E06AA" w:rsidRDefault="00BF17BF" w:rsidP="006F5D1B"/>
    <w:p w14:paraId="3415478E" w14:textId="77777777" w:rsidR="008E5DEE" w:rsidRPr="009E06AA" w:rsidRDefault="008E5DEE" w:rsidP="006F5D1B">
      <w:pPr>
        <w:sectPr w:rsidR="008E5DEE" w:rsidRPr="009E06AA" w:rsidSect="00F66BF9">
          <w:footerReference w:type="even" r:id="rId84"/>
          <w:footerReference w:type="default" r:id="rId85"/>
          <w:pgSz w:w="11907" w:h="16840" w:code="9"/>
          <w:pgMar w:top="1418" w:right="1701" w:bottom="1418" w:left="1701" w:header="567" w:footer="567" w:gutter="0"/>
          <w:cols w:space="720"/>
        </w:sectPr>
      </w:pPr>
    </w:p>
    <w:p w14:paraId="66608EE1" w14:textId="77777777" w:rsidR="007523B8" w:rsidRPr="009E06AA" w:rsidRDefault="007523B8" w:rsidP="007523B8">
      <w:pPr>
        <w:pStyle w:val="Heading1"/>
      </w:pPr>
      <w:bookmarkStart w:id="722" w:name="_Toc36224400"/>
      <w:bookmarkStart w:id="723" w:name="_Toc68786320"/>
      <w:bookmarkStart w:id="724" w:name="_Toc131591235"/>
      <w:bookmarkStart w:id="725" w:name="_Toc164154189"/>
      <w:bookmarkStart w:id="726" w:name="_Toc481751384"/>
      <w:bookmarkStart w:id="727" w:name="_Toc511116599"/>
      <w:bookmarkStart w:id="728" w:name="_Toc5269361"/>
      <w:bookmarkStart w:id="729" w:name="_Toc32570642"/>
      <w:bookmarkStart w:id="730" w:name="_Toc36224401"/>
      <w:bookmarkStart w:id="731" w:name="_Toc68786321"/>
      <w:bookmarkStart w:id="732" w:name="_Toc131591236"/>
      <w:r w:rsidRPr="009E06AA">
        <w:t>Chapter 5: Agriculture</w:t>
      </w:r>
      <w:bookmarkEnd w:id="722"/>
      <w:bookmarkEnd w:id="723"/>
      <w:bookmarkEnd w:id="724"/>
      <w:bookmarkEnd w:id="725"/>
    </w:p>
    <w:p w14:paraId="21564AB9" w14:textId="77777777" w:rsidR="007523B8" w:rsidRPr="009E06AA" w:rsidRDefault="007523B8" w:rsidP="007523B8">
      <w:pPr>
        <w:pStyle w:val="Heading2"/>
        <w:spacing w:before="240"/>
      </w:pPr>
      <w:bookmarkStart w:id="733" w:name="_Toc164154190"/>
      <w:bookmarkEnd w:id="726"/>
      <w:bookmarkEnd w:id="727"/>
      <w:bookmarkEnd w:id="728"/>
      <w:bookmarkEnd w:id="729"/>
      <w:bookmarkEnd w:id="730"/>
      <w:bookmarkEnd w:id="731"/>
      <w:bookmarkEnd w:id="732"/>
      <w:r w:rsidRPr="009E06AA">
        <w:t xml:space="preserve">5.1 </w:t>
      </w:r>
      <w:r w:rsidRPr="009E06AA">
        <w:tab/>
        <w:t>Sector overview</w:t>
      </w:r>
      <w:bookmarkEnd w:id="733"/>
    </w:p>
    <w:p w14:paraId="067D4DCA" w14:textId="77777777" w:rsidR="007523B8" w:rsidRPr="009E06AA" w:rsidRDefault="007523B8" w:rsidP="007523B8">
      <w:pPr>
        <w:pStyle w:val="Heading4"/>
        <w:spacing w:before="200"/>
      </w:pPr>
      <w:r w:rsidRPr="009E06AA">
        <w:t xml:space="preserve">Emissions summary </w:t>
      </w:r>
    </w:p>
    <w:p w14:paraId="101DE2CD" w14:textId="77777777" w:rsidR="007523B8" w:rsidRPr="009E06AA" w:rsidRDefault="007523B8" w:rsidP="007E04C8">
      <w:pPr>
        <w:pStyle w:val="Heading5"/>
        <w:spacing w:before="180"/>
      </w:pPr>
      <w:r w:rsidRPr="009E06AA">
        <w:t>2022</w:t>
      </w:r>
    </w:p>
    <w:p w14:paraId="65929096" w14:textId="77777777" w:rsidR="007523B8" w:rsidRPr="009E06AA" w:rsidRDefault="007523B8" w:rsidP="007523B8">
      <w:pPr>
        <w:pStyle w:val="BodyText"/>
      </w:pPr>
      <w:r w:rsidRPr="009E06AA">
        <w:t>In 2022, emissions from the Agriculture sector totalled 41,712.7 kilotonnes carbon dioxide equivalent (kt CO</w:t>
      </w:r>
      <w:r w:rsidRPr="009E06AA">
        <w:rPr>
          <w:vertAlign w:val="subscript"/>
        </w:rPr>
        <w:t>2</w:t>
      </w:r>
      <w:r w:rsidRPr="009E06AA">
        <w:t xml:space="preserve">-e), representing 53.2 per cent of New Zealand’s gross emissions in 2022. </w:t>
      </w:r>
    </w:p>
    <w:p w14:paraId="42C1BA96" w14:textId="77777777" w:rsidR="007523B8" w:rsidRPr="009E06AA" w:rsidRDefault="007523B8" w:rsidP="007523B8">
      <w:pPr>
        <w:pStyle w:val="BodyText"/>
      </w:pPr>
      <w:r w:rsidRPr="009E06AA">
        <w:rPr>
          <w:i/>
          <w:iCs/>
        </w:rPr>
        <w:t>Enteric fermentation</w:t>
      </w:r>
      <w:r w:rsidRPr="009E06AA">
        <w:t xml:space="preserve"> was the main source of Agriculture emissions, contributing 78.2 per cent (32,617.2 kt CO</w:t>
      </w:r>
      <w:r w:rsidRPr="009E06AA">
        <w:rPr>
          <w:vertAlign w:val="subscript"/>
        </w:rPr>
        <w:t>2</w:t>
      </w:r>
      <w:r w:rsidRPr="009E06AA">
        <w:t xml:space="preserve">-e) of the sector’s emissions. </w:t>
      </w:r>
      <w:r w:rsidRPr="009E06AA">
        <w:rPr>
          <w:i/>
          <w:iCs/>
        </w:rPr>
        <w:t xml:space="preserve">Agricultural soils </w:t>
      </w:r>
      <w:r w:rsidRPr="009E06AA">
        <w:t xml:space="preserve">(15.2 per cent) were the second largest source followed by </w:t>
      </w:r>
      <w:r w:rsidRPr="009E06AA">
        <w:rPr>
          <w:i/>
          <w:iCs/>
        </w:rPr>
        <w:t xml:space="preserve">Manure management </w:t>
      </w:r>
      <w:r w:rsidRPr="009E06AA">
        <w:t xml:space="preserve">(4.6 per cent). </w:t>
      </w:r>
      <w:r w:rsidRPr="009E06AA">
        <w:rPr>
          <w:i/>
          <w:iCs/>
        </w:rPr>
        <w:t xml:space="preserve">Urea application </w:t>
      </w:r>
      <w:r w:rsidRPr="009E06AA">
        <w:t xml:space="preserve">and </w:t>
      </w:r>
      <w:r w:rsidRPr="009E06AA">
        <w:rPr>
          <w:i/>
          <w:iCs/>
        </w:rPr>
        <w:t>Liming</w:t>
      </w:r>
      <w:r w:rsidRPr="009E06AA">
        <w:t xml:space="preserve"> contributed 1.0 per cent and 1.1 per cent respectivel</w:t>
      </w:r>
      <w:bookmarkStart w:id="734" w:name="statsNZref"/>
      <w:bookmarkEnd w:id="734"/>
      <w:r w:rsidRPr="009E06AA">
        <w:t xml:space="preserve">y. </w:t>
      </w:r>
      <w:r w:rsidRPr="009E06AA">
        <w:rPr>
          <w:i/>
          <w:iCs/>
        </w:rPr>
        <w:t>Field burning of agricultural residues</w:t>
      </w:r>
      <w:r w:rsidRPr="009E06AA">
        <w:t xml:space="preserve"> contributed the remaining 0.1 per cent. </w:t>
      </w:r>
    </w:p>
    <w:p w14:paraId="1D1FDC25" w14:textId="77777777" w:rsidR="007523B8" w:rsidRPr="009E06AA" w:rsidRDefault="007523B8" w:rsidP="007523B8">
      <w:pPr>
        <w:pStyle w:val="BodyText"/>
      </w:pPr>
      <w:r w:rsidRPr="009E06AA">
        <w:rPr>
          <w:spacing w:val="-2"/>
        </w:rPr>
        <w:t>Methane (CH</w:t>
      </w:r>
      <w:r w:rsidRPr="009E06AA">
        <w:rPr>
          <w:spacing w:val="-2"/>
          <w:vertAlign w:val="subscript"/>
        </w:rPr>
        <w:t>4</w:t>
      </w:r>
      <w:r w:rsidRPr="009E06AA">
        <w:rPr>
          <w:spacing w:val="-2"/>
        </w:rPr>
        <w:t xml:space="preserve">) emissions from </w:t>
      </w:r>
      <w:r w:rsidRPr="009E06AA">
        <w:rPr>
          <w:i/>
          <w:iCs/>
          <w:spacing w:val="-2"/>
        </w:rPr>
        <w:t>Enteric fermentation</w:t>
      </w:r>
      <w:r w:rsidRPr="009E06AA">
        <w:rPr>
          <w:spacing w:val="-2"/>
        </w:rPr>
        <w:t xml:space="preserve"> contributed 41.6 per cent of </w:t>
      </w:r>
      <w:r w:rsidRPr="009E06AA">
        <w:t>New Zealand’s gross emissions, and nitrous oxide (N</w:t>
      </w:r>
      <w:r w:rsidRPr="009E06AA">
        <w:rPr>
          <w:vertAlign w:val="subscript"/>
        </w:rPr>
        <w:t>2</w:t>
      </w:r>
      <w:r w:rsidRPr="009E06AA">
        <w:t xml:space="preserve">O) emissions from the </w:t>
      </w:r>
      <w:r w:rsidRPr="009E06AA">
        <w:rPr>
          <w:i/>
          <w:iCs/>
        </w:rPr>
        <w:t>Agricultural soils</w:t>
      </w:r>
      <w:r w:rsidRPr="009E06AA">
        <w:t xml:space="preserve"> category contributed 8.1 per cent of New Zealand’s gross emissions.</w:t>
      </w:r>
    </w:p>
    <w:p w14:paraId="6A4D2E23" w14:textId="19513E9A" w:rsidR="007523B8" w:rsidRPr="009E06AA" w:rsidRDefault="007523B8" w:rsidP="007523B8">
      <w:pPr>
        <w:pStyle w:val="BodyText"/>
      </w:pPr>
      <w:r w:rsidRPr="009E06AA">
        <w:t xml:space="preserve">New Zealand reports emissions from Tokelau, which is a dependent territory of New Zealand. Due to the application of different methods and the complexity of integrating emissions within the main sectors, Tokelau emissions are reported for all activities under the ‘Other’ sector of the </w:t>
      </w:r>
      <w:r w:rsidR="002E7D8B">
        <w:t>I</w:t>
      </w:r>
      <w:r w:rsidRPr="009E06AA">
        <w:t>nventory. Therefore, all emissions reported in this sector exclude Tokelau. Please refer to chapter 8 and annex 7 for details of methods applied and the emissions for Tokelau.</w:t>
      </w:r>
    </w:p>
    <w:p w14:paraId="2DEFE57C" w14:textId="77777777" w:rsidR="007523B8" w:rsidRPr="009E06AA" w:rsidRDefault="007523B8" w:rsidP="00BF2A76">
      <w:pPr>
        <w:pStyle w:val="Heading5"/>
      </w:pPr>
      <w:r w:rsidRPr="009E06AA">
        <w:t>1990–2022</w:t>
      </w:r>
    </w:p>
    <w:p w14:paraId="674387AF" w14:textId="77777777" w:rsidR="007523B8" w:rsidRPr="009E06AA" w:rsidRDefault="007523B8" w:rsidP="007523B8">
      <w:pPr>
        <w:pStyle w:val="BodyText"/>
      </w:pPr>
      <w:r w:rsidRPr="009E06AA">
        <w:t xml:space="preserve">In 2022, New Zealand’s Agriculture sector emissions were 12.4 per cent (4,591.2 kt </w:t>
      </w:r>
      <w:r w:rsidRPr="009E06AA">
        <w:rPr>
          <w:spacing w:val="-2"/>
        </w:rPr>
        <w:t>CO</w:t>
      </w:r>
      <w:r w:rsidRPr="009E06AA">
        <w:rPr>
          <w:spacing w:val="-2"/>
          <w:vertAlign w:val="subscript"/>
        </w:rPr>
        <w:t>2</w:t>
      </w:r>
      <w:r w:rsidRPr="009E06AA">
        <w:rPr>
          <w:spacing w:val="-2"/>
        </w:rPr>
        <w:t>-e</w:t>
      </w:r>
      <w:r w:rsidRPr="009E06AA">
        <w:t xml:space="preserve">) above the 1990 level (37,121.5 kt </w:t>
      </w:r>
      <w:r w:rsidRPr="009E06AA">
        <w:rPr>
          <w:spacing w:val="-2"/>
        </w:rPr>
        <w:t>CO</w:t>
      </w:r>
      <w:r w:rsidRPr="009E06AA">
        <w:rPr>
          <w:spacing w:val="-2"/>
          <w:vertAlign w:val="subscript"/>
        </w:rPr>
        <w:t>2</w:t>
      </w:r>
      <w:r w:rsidRPr="009E06AA">
        <w:rPr>
          <w:spacing w:val="-2"/>
        </w:rPr>
        <w:t>-e</w:t>
      </w:r>
      <w:r w:rsidRPr="009E06AA">
        <w:t>) (table 5.1.1).</w:t>
      </w:r>
    </w:p>
    <w:p w14:paraId="24B922E9" w14:textId="77777777" w:rsidR="007523B8" w:rsidRPr="009E06AA" w:rsidRDefault="007523B8" w:rsidP="007523B8">
      <w:pPr>
        <w:pStyle w:val="Table"/>
        <w:rPr>
          <w:rFonts w:cs="Calibri"/>
        </w:rPr>
      </w:pPr>
      <w:bookmarkStart w:id="735" w:name="_Toc32570909"/>
      <w:bookmarkStart w:id="736" w:name="_Toc36224544"/>
      <w:bookmarkStart w:id="737" w:name="_Toc68786430"/>
      <w:bookmarkStart w:id="738" w:name="_Toc95574065"/>
      <w:bookmarkStart w:id="739" w:name="_Toc127458248"/>
      <w:bookmarkStart w:id="740" w:name="_Toc131591344"/>
      <w:bookmarkStart w:id="741" w:name="_Toc160114434"/>
      <w:bookmarkStart w:id="742" w:name="_Toc164153830"/>
      <w:r w:rsidRPr="009E06AA">
        <w:rPr>
          <w:rFonts w:cs="Calibri"/>
        </w:rPr>
        <w:t xml:space="preserve">Table 5.1.1 </w:t>
      </w:r>
      <w:r w:rsidRPr="009E06AA">
        <w:rPr>
          <w:rFonts w:cs="Calibri"/>
        </w:rPr>
        <w:tab/>
        <w:t xml:space="preserve">Trends and relative contribution of </w:t>
      </w:r>
      <w:r w:rsidRPr="009E06AA">
        <w:t>New Zealand’s</w:t>
      </w:r>
      <w:r w:rsidRPr="009E06AA">
        <w:rPr>
          <w:rFonts w:cs="Calibri"/>
        </w:rPr>
        <w:t xml:space="preserve"> agricultural greenhouse gas emissions by category between 1990 and </w:t>
      </w:r>
      <w:bookmarkEnd w:id="735"/>
      <w:bookmarkEnd w:id="736"/>
      <w:bookmarkEnd w:id="737"/>
      <w:bookmarkEnd w:id="738"/>
      <w:r w:rsidRPr="009E06AA">
        <w:rPr>
          <w:rFonts w:cs="Calibri"/>
        </w:rPr>
        <w:t>202</w:t>
      </w:r>
      <w:bookmarkEnd w:id="739"/>
      <w:bookmarkEnd w:id="740"/>
      <w:r w:rsidRPr="009E06AA">
        <w:rPr>
          <w:rFonts w:cs="Calibri"/>
        </w:rPr>
        <w:t>2</w:t>
      </w:r>
      <w:bookmarkEnd w:id="741"/>
      <w:bookmarkEnd w:id="742"/>
    </w:p>
    <w:tbl>
      <w:tblPr>
        <w:tblW w:w="8437" w:type="dxa"/>
        <w:tblBorders>
          <w:top w:val="single" w:sz="4" w:space="0" w:color="1B556B"/>
          <w:bottom w:val="single" w:sz="4" w:space="0" w:color="1B556B"/>
          <w:insideH w:val="single" w:sz="4" w:space="0" w:color="1B556B"/>
        </w:tblBorders>
        <w:tblLayout w:type="fixed"/>
        <w:tblCellMar>
          <w:right w:w="85" w:type="dxa"/>
        </w:tblCellMar>
        <w:tblLook w:val="04A0" w:firstRow="1" w:lastRow="0" w:firstColumn="1" w:lastColumn="0" w:noHBand="0" w:noVBand="1"/>
      </w:tblPr>
      <w:tblGrid>
        <w:gridCol w:w="3206"/>
        <w:gridCol w:w="796"/>
        <w:gridCol w:w="894"/>
        <w:gridCol w:w="1002"/>
        <w:gridCol w:w="989"/>
        <w:gridCol w:w="824"/>
        <w:gridCol w:w="726"/>
      </w:tblGrid>
      <w:tr w:rsidR="007523B8" w:rsidRPr="009E06AA" w14:paraId="3A21C3D4" w14:textId="77777777" w:rsidTr="00B55F24">
        <w:tc>
          <w:tcPr>
            <w:tcW w:w="3206" w:type="dxa"/>
            <w:shd w:val="clear" w:color="auto" w:fill="1B556B"/>
            <w:vAlign w:val="bottom"/>
          </w:tcPr>
          <w:p w14:paraId="6D7D126B" w14:textId="77777777" w:rsidR="007523B8" w:rsidRPr="009E06AA" w:rsidRDefault="007523B8" w:rsidP="00B55F24">
            <w:pPr>
              <w:pStyle w:val="TableTextBold"/>
              <w:rPr>
                <w:noProof w:val="0"/>
                <w:color w:val="FFFFFF" w:themeColor="background1"/>
                <w:szCs w:val="16"/>
              </w:rPr>
            </w:pPr>
            <w:bookmarkStart w:id="743" w:name="_Hlk153455080"/>
          </w:p>
        </w:tc>
        <w:tc>
          <w:tcPr>
            <w:tcW w:w="1690" w:type="dxa"/>
            <w:gridSpan w:val="2"/>
            <w:shd w:val="clear" w:color="auto" w:fill="1B556B"/>
            <w:vAlign w:val="bottom"/>
          </w:tcPr>
          <w:p w14:paraId="7238818A" w14:textId="77777777" w:rsidR="007523B8" w:rsidRPr="009E06AA" w:rsidRDefault="007523B8" w:rsidP="00B55F24">
            <w:pPr>
              <w:pStyle w:val="TableTextBold"/>
              <w:spacing w:after="0"/>
              <w:jc w:val="center"/>
              <w:rPr>
                <w:noProof w:val="0"/>
                <w:color w:val="FFFFFF" w:themeColor="background1"/>
                <w:szCs w:val="16"/>
              </w:rPr>
            </w:pPr>
            <w:r w:rsidRPr="009E06AA">
              <w:rPr>
                <w:noProof w:val="0"/>
                <w:color w:val="FFFFFF" w:themeColor="background1"/>
                <w:szCs w:val="16"/>
              </w:rPr>
              <w:t>Emissions</w:t>
            </w:r>
            <w:r w:rsidRPr="009E06AA">
              <w:rPr>
                <w:noProof w:val="0"/>
                <w:color w:val="FFFFFF" w:themeColor="background1"/>
                <w:szCs w:val="16"/>
              </w:rPr>
              <w:br/>
              <w:t>(kt CO</w:t>
            </w:r>
            <w:r w:rsidRPr="009E06AA">
              <w:rPr>
                <w:noProof w:val="0"/>
                <w:color w:val="FFFFFF" w:themeColor="background1"/>
                <w:szCs w:val="16"/>
                <w:vertAlign w:val="subscript"/>
              </w:rPr>
              <w:t>2</w:t>
            </w:r>
            <w:r w:rsidRPr="009E06AA">
              <w:rPr>
                <w:noProof w:val="0"/>
                <w:color w:val="FFFFFF" w:themeColor="background1"/>
                <w:szCs w:val="16"/>
              </w:rPr>
              <w:t>-e)</w:t>
            </w:r>
          </w:p>
        </w:tc>
        <w:tc>
          <w:tcPr>
            <w:tcW w:w="1002" w:type="dxa"/>
            <w:shd w:val="clear" w:color="auto" w:fill="1B556B"/>
            <w:vAlign w:val="bottom"/>
          </w:tcPr>
          <w:p w14:paraId="7CCE6FE8" w14:textId="77777777" w:rsidR="007523B8" w:rsidRPr="009E06AA" w:rsidRDefault="007523B8" w:rsidP="00B55F24">
            <w:pPr>
              <w:pStyle w:val="TableTextBold"/>
              <w:spacing w:after="0"/>
              <w:jc w:val="center"/>
              <w:rPr>
                <w:noProof w:val="0"/>
                <w:color w:val="FFFFFF" w:themeColor="background1"/>
                <w:szCs w:val="16"/>
              </w:rPr>
            </w:pPr>
            <w:r w:rsidRPr="009E06AA">
              <w:rPr>
                <w:noProof w:val="0"/>
                <w:color w:val="FFFFFF" w:themeColor="background1"/>
                <w:szCs w:val="16"/>
              </w:rPr>
              <w:t>Change</w:t>
            </w:r>
            <w:r w:rsidRPr="009E06AA">
              <w:rPr>
                <w:noProof w:val="0"/>
                <w:color w:val="FFFFFF" w:themeColor="background1"/>
                <w:szCs w:val="16"/>
              </w:rPr>
              <w:br/>
              <w:t>(%)</w:t>
            </w:r>
          </w:p>
        </w:tc>
        <w:tc>
          <w:tcPr>
            <w:tcW w:w="989" w:type="dxa"/>
            <w:shd w:val="clear" w:color="auto" w:fill="1B556B"/>
            <w:vAlign w:val="bottom"/>
          </w:tcPr>
          <w:p w14:paraId="16A82353" w14:textId="77777777" w:rsidR="007523B8" w:rsidRPr="009E06AA" w:rsidRDefault="007523B8" w:rsidP="00B55F24">
            <w:pPr>
              <w:pStyle w:val="TableTextBold"/>
              <w:spacing w:after="0"/>
              <w:jc w:val="center"/>
              <w:rPr>
                <w:noProof w:val="0"/>
                <w:color w:val="FFFFFF" w:themeColor="background1"/>
                <w:szCs w:val="16"/>
              </w:rPr>
            </w:pPr>
            <w:r w:rsidRPr="009E06AA">
              <w:rPr>
                <w:noProof w:val="0"/>
                <w:color w:val="FFFFFF" w:themeColor="background1"/>
                <w:szCs w:val="16"/>
              </w:rPr>
              <w:t>Difference</w:t>
            </w:r>
            <w:r w:rsidRPr="009E06AA">
              <w:rPr>
                <w:noProof w:val="0"/>
                <w:color w:val="FFFFFF" w:themeColor="background1"/>
                <w:szCs w:val="16"/>
              </w:rPr>
              <w:br/>
              <w:t>(kt CO</w:t>
            </w:r>
            <w:r w:rsidRPr="009E06AA">
              <w:rPr>
                <w:noProof w:val="0"/>
                <w:color w:val="FFFFFF" w:themeColor="background1"/>
                <w:szCs w:val="16"/>
                <w:vertAlign w:val="subscript"/>
              </w:rPr>
              <w:t>2</w:t>
            </w:r>
            <w:r w:rsidRPr="009E06AA">
              <w:rPr>
                <w:noProof w:val="0"/>
                <w:color w:val="FFFFFF" w:themeColor="background1"/>
                <w:szCs w:val="16"/>
              </w:rPr>
              <w:t>-e)</w:t>
            </w:r>
          </w:p>
        </w:tc>
        <w:tc>
          <w:tcPr>
            <w:tcW w:w="1550" w:type="dxa"/>
            <w:gridSpan w:val="2"/>
            <w:shd w:val="clear" w:color="auto" w:fill="1B556B"/>
            <w:vAlign w:val="bottom"/>
          </w:tcPr>
          <w:p w14:paraId="4B5FED5C" w14:textId="77777777" w:rsidR="007523B8" w:rsidRPr="009E06AA" w:rsidRDefault="007523B8" w:rsidP="00B55F24">
            <w:pPr>
              <w:pStyle w:val="TableTextBold"/>
              <w:spacing w:after="0"/>
              <w:jc w:val="center"/>
              <w:rPr>
                <w:noProof w:val="0"/>
                <w:color w:val="FFFFFF" w:themeColor="background1"/>
                <w:szCs w:val="16"/>
              </w:rPr>
            </w:pPr>
            <w:r w:rsidRPr="009E06AA">
              <w:rPr>
                <w:noProof w:val="0"/>
                <w:color w:val="FFFFFF" w:themeColor="background1"/>
                <w:szCs w:val="16"/>
              </w:rPr>
              <w:t>Share (%) of sector</w:t>
            </w:r>
          </w:p>
        </w:tc>
      </w:tr>
      <w:tr w:rsidR="007523B8" w:rsidRPr="009E06AA" w14:paraId="21121BE3" w14:textId="77777777" w:rsidTr="00B55F24">
        <w:tc>
          <w:tcPr>
            <w:tcW w:w="3206" w:type="dxa"/>
            <w:shd w:val="clear" w:color="auto" w:fill="1B556B"/>
          </w:tcPr>
          <w:p w14:paraId="3C627AF3" w14:textId="77777777" w:rsidR="007523B8" w:rsidRPr="009E06AA" w:rsidRDefault="007523B8" w:rsidP="00B55F24">
            <w:pPr>
              <w:pStyle w:val="TableTextBold"/>
              <w:rPr>
                <w:noProof w:val="0"/>
                <w:color w:val="FFFFFF" w:themeColor="background1"/>
                <w:szCs w:val="16"/>
              </w:rPr>
            </w:pPr>
            <w:r w:rsidRPr="009E06AA">
              <w:rPr>
                <w:noProof w:val="0"/>
                <w:color w:val="FFFFFF" w:themeColor="background1"/>
                <w:szCs w:val="16"/>
              </w:rPr>
              <w:t>Category</w:t>
            </w:r>
          </w:p>
        </w:tc>
        <w:tc>
          <w:tcPr>
            <w:tcW w:w="796" w:type="dxa"/>
            <w:shd w:val="clear" w:color="auto" w:fill="1B556B"/>
            <w:vAlign w:val="bottom"/>
          </w:tcPr>
          <w:p w14:paraId="29139B70" w14:textId="77777777" w:rsidR="007523B8" w:rsidRPr="009E06AA" w:rsidRDefault="007523B8" w:rsidP="009357BD">
            <w:pPr>
              <w:pStyle w:val="TableTextBold"/>
              <w:jc w:val="right"/>
              <w:rPr>
                <w:noProof w:val="0"/>
                <w:color w:val="FFFFFF" w:themeColor="background1"/>
                <w:szCs w:val="16"/>
              </w:rPr>
            </w:pPr>
            <w:r w:rsidRPr="009E06AA">
              <w:rPr>
                <w:noProof w:val="0"/>
                <w:color w:val="FFFFFF" w:themeColor="background1"/>
                <w:szCs w:val="16"/>
              </w:rPr>
              <w:t>1990</w:t>
            </w:r>
          </w:p>
        </w:tc>
        <w:tc>
          <w:tcPr>
            <w:tcW w:w="894" w:type="dxa"/>
            <w:shd w:val="clear" w:color="auto" w:fill="1B556B"/>
            <w:vAlign w:val="bottom"/>
          </w:tcPr>
          <w:p w14:paraId="703EE563" w14:textId="77777777" w:rsidR="007523B8" w:rsidRPr="009E06AA" w:rsidRDefault="007523B8" w:rsidP="009357BD">
            <w:pPr>
              <w:pStyle w:val="TableTextBold"/>
              <w:jc w:val="right"/>
              <w:rPr>
                <w:noProof w:val="0"/>
                <w:color w:val="FFFFFF" w:themeColor="background1"/>
                <w:szCs w:val="16"/>
              </w:rPr>
            </w:pPr>
            <w:r w:rsidRPr="009E06AA">
              <w:rPr>
                <w:noProof w:val="0"/>
                <w:color w:val="FFFFFF" w:themeColor="background1"/>
              </w:rPr>
              <w:t>2022</w:t>
            </w:r>
          </w:p>
        </w:tc>
        <w:tc>
          <w:tcPr>
            <w:tcW w:w="1002" w:type="dxa"/>
            <w:shd w:val="clear" w:color="auto" w:fill="1B556B"/>
            <w:vAlign w:val="bottom"/>
          </w:tcPr>
          <w:p w14:paraId="37F2EEAB" w14:textId="77777777" w:rsidR="007523B8" w:rsidRPr="009E06AA" w:rsidRDefault="007523B8" w:rsidP="009357BD">
            <w:pPr>
              <w:pStyle w:val="TableTextBold"/>
              <w:jc w:val="right"/>
              <w:rPr>
                <w:noProof w:val="0"/>
                <w:color w:val="FFFFFF" w:themeColor="background1"/>
                <w:szCs w:val="16"/>
              </w:rPr>
            </w:pPr>
            <w:r w:rsidRPr="009E06AA">
              <w:rPr>
                <w:noProof w:val="0"/>
                <w:color w:val="FFFFFF" w:themeColor="background1"/>
                <w:szCs w:val="16"/>
              </w:rPr>
              <w:t>1990–2022</w:t>
            </w:r>
          </w:p>
        </w:tc>
        <w:tc>
          <w:tcPr>
            <w:tcW w:w="989" w:type="dxa"/>
            <w:shd w:val="clear" w:color="auto" w:fill="1B556B"/>
            <w:vAlign w:val="bottom"/>
          </w:tcPr>
          <w:p w14:paraId="7DBAD894" w14:textId="77777777" w:rsidR="007523B8" w:rsidRPr="009E06AA" w:rsidRDefault="007523B8" w:rsidP="009357BD">
            <w:pPr>
              <w:pStyle w:val="TableTextBold"/>
              <w:jc w:val="right"/>
              <w:rPr>
                <w:noProof w:val="0"/>
                <w:color w:val="FFFFFF" w:themeColor="background1"/>
                <w:szCs w:val="16"/>
              </w:rPr>
            </w:pPr>
            <w:r w:rsidRPr="009E06AA">
              <w:rPr>
                <w:noProof w:val="0"/>
                <w:color w:val="FFFFFF" w:themeColor="background1"/>
                <w:szCs w:val="16"/>
              </w:rPr>
              <w:t>1990–2022</w:t>
            </w:r>
          </w:p>
        </w:tc>
        <w:tc>
          <w:tcPr>
            <w:tcW w:w="824" w:type="dxa"/>
            <w:shd w:val="clear" w:color="auto" w:fill="1B556B"/>
            <w:tcMar>
              <w:right w:w="85" w:type="dxa"/>
            </w:tcMar>
          </w:tcPr>
          <w:p w14:paraId="0413AA65" w14:textId="77777777" w:rsidR="007523B8" w:rsidRPr="009E06AA" w:rsidRDefault="007523B8" w:rsidP="009357BD">
            <w:pPr>
              <w:pStyle w:val="TableTextBold"/>
              <w:jc w:val="right"/>
              <w:rPr>
                <w:noProof w:val="0"/>
                <w:color w:val="FFFFFF" w:themeColor="background1"/>
                <w:szCs w:val="16"/>
              </w:rPr>
            </w:pPr>
            <w:r w:rsidRPr="009E06AA">
              <w:rPr>
                <w:noProof w:val="0"/>
                <w:color w:val="FFFFFF" w:themeColor="background1"/>
                <w:szCs w:val="16"/>
              </w:rPr>
              <w:t>1990</w:t>
            </w:r>
          </w:p>
        </w:tc>
        <w:tc>
          <w:tcPr>
            <w:tcW w:w="726" w:type="dxa"/>
            <w:shd w:val="clear" w:color="auto" w:fill="1B556B"/>
            <w:tcMar>
              <w:right w:w="85" w:type="dxa"/>
            </w:tcMar>
          </w:tcPr>
          <w:p w14:paraId="017C854A" w14:textId="77777777" w:rsidR="007523B8" w:rsidRPr="009E06AA" w:rsidRDefault="007523B8" w:rsidP="009357BD">
            <w:pPr>
              <w:pStyle w:val="TableTextBold"/>
              <w:jc w:val="right"/>
              <w:rPr>
                <w:noProof w:val="0"/>
                <w:color w:val="FFFFFF" w:themeColor="background1"/>
                <w:szCs w:val="16"/>
              </w:rPr>
            </w:pPr>
            <w:r w:rsidRPr="009E06AA">
              <w:rPr>
                <w:noProof w:val="0"/>
                <w:color w:val="FFFFFF" w:themeColor="background1"/>
              </w:rPr>
              <w:t>2022</w:t>
            </w:r>
          </w:p>
        </w:tc>
      </w:tr>
      <w:tr w:rsidR="007523B8" w:rsidRPr="009E06AA" w14:paraId="7BC7F81F" w14:textId="77777777" w:rsidTr="00B55F24">
        <w:tc>
          <w:tcPr>
            <w:tcW w:w="3206" w:type="dxa"/>
            <w:shd w:val="clear" w:color="auto" w:fill="auto"/>
            <w:vAlign w:val="bottom"/>
          </w:tcPr>
          <w:p w14:paraId="4EC48930" w14:textId="77777777" w:rsidR="007523B8" w:rsidRPr="009E06AA" w:rsidRDefault="007523B8" w:rsidP="00B55F24">
            <w:pPr>
              <w:pStyle w:val="TableText"/>
              <w:spacing w:before="50" w:after="50"/>
              <w:rPr>
                <w:rFonts w:cs="Calibri"/>
                <w:szCs w:val="16"/>
              </w:rPr>
            </w:pPr>
            <w:r w:rsidRPr="009E06AA">
              <w:rPr>
                <w:rFonts w:cs="Calibri"/>
                <w:szCs w:val="16"/>
              </w:rPr>
              <w:t>Enteric fermentation (3.A)</w:t>
            </w:r>
          </w:p>
        </w:tc>
        <w:tc>
          <w:tcPr>
            <w:tcW w:w="796" w:type="dxa"/>
            <w:shd w:val="clear" w:color="auto" w:fill="auto"/>
            <w:vAlign w:val="bottom"/>
          </w:tcPr>
          <w:p w14:paraId="64CFE4D8" w14:textId="77777777" w:rsidR="007523B8" w:rsidRPr="009E06AA" w:rsidRDefault="007523B8" w:rsidP="009357BD">
            <w:pPr>
              <w:pStyle w:val="TableText"/>
              <w:spacing w:before="50" w:after="50"/>
              <w:jc w:val="right"/>
              <w:rPr>
                <w:rFonts w:cs="Calibri"/>
                <w:szCs w:val="16"/>
              </w:rPr>
            </w:pPr>
            <w:r w:rsidRPr="009E06AA">
              <w:rPr>
                <w:rFonts w:cs="Calibri"/>
                <w:szCs w:val="16"/>
              </w:rPr>
              <w:t>31,212.5</w:t>
            </w:r>
          </w:p>
        </w:tc>
        <w:tc>
          <w:tcPr>
            <w:tcW w:w="894" w:type="dxa"/>
            <w:shd w:val="clear" w:color="auto" w:fill="auto"/>
            <w:vAlign w:val="bottom"/>
          </w:tcPr>
          <w:p w14:paraId="168B11EE" w14:textId="77777777" w:rsidR="007523B8" w:rsidRPr="009E06AA" w:rsidRDefault="007523B8" w:rsidP="009357BD">
            <w:pPr>
              <w:pStyle w:val="TableText"/>
              <w:spacing w:before="50" w:after="50"/>
              <w:jc w:val="right"/>
              <w:rPr>
                <w:rFonts w:cs="Calibri"/>
                <w:szCs w:val="16"/>
              </w:rPr>
            </w:pPr>
            <w:r w:rsidRPr="009E06AA">
              <w:rPr>
                <w:rFonts w:cs="Calibri"/>
                <w:szCs w:val="16"/>
              </w:rPr>
              <w:t>32,617.2</w:t>
            </w:r>
          </w:p>
        </w:tc>
        <w:tc>
          <w:tcPr>
            <w:tcW w:w="1002" w:type="dxa"/>
            <w:shd w:val="clear" w:color="auto" w:fill="auto"/>
          </w:tcPr>
          <w:p w14:paraId="703B9AAB" w14:textId="77777777" w:rsidR="007523B8" w:rsidRPr="009E06AA" w:rsidRDefault="007523B8" w:rsidP="009357BD">
            <w:pPr>
              <w:pStyle w:val="TableText"/>
              <w:spacing w:before="50" w:after="50"/>
              <w:jc w:val="right"/>
              <w:rPr>
                <w:rFonts w:cs="Calibri"/>
                <w:szCs w:val="16"/>
              </w:rPr>
            </w:pPr>
            <w:r w:rsidRPr="009E06AA">
              <w:t>4.5</w:t>
            </w:r>
          </w:p>
        </w:tc>
        <w:tc>
          <w:tcPr>
            <w:tcW w:w="989" w:type="dxa"/>
            <w:shd w:val="clear" w:color="auto" w:fill="auto"/>
            <w:vAlign w:val="bottom"/>
          </w:tcPr>
          <w:p w14:paraId="39A98FB4" w14:textId="77777777" w:rsidR="007523B8" w:rsidRPr="009E06AA" w:rsidRDefault="007523B8" w:rsidP="009357BD">
            <w:pPr>
              <w:pStyle w:val="TableText"/>
              <w:spacing w:before="50" w:after="50"/>
              <w:jc w:val="right"/>
              <w:rPr>
                <w:rFonts w:cs="Calibri"/>
                <w:szCs w:val="16"/>
              </w:rPr>
            </w:pPr>
            <w:r w:rsidRPr="009E06AA">
              <w:rPr>
                <w:rFonts w:cs="Calibri"/>
                <w:szCs w:val="16"/>
              </w:rPr>
              <w:t>1,404.7</w:t>
            </w:r>
          </w:p>
        </w:tc>
        <w:tc>
          <w:tcPr>
            <w:tcW w:w="824" w:type="dxa"/>
            <w:shd w:val="clear" w:color="auto" w:fill="auto"/>
            <w:vAlign w:val="bottom"/>
          </w:tcPr>
          <w:p w14:paraId="38FAB05A" w14:textId="77777777" w:rsidR="007523B8" w:rsidRPr="009E06AA" w:rsidRDefault="007523B8" w:rsidP="009357BD">
            <w:pPr>
              <w:pStyle w:val="TableText"/>
              <w:spacing w:before="50" w:after="50"/>
              <w:jc w:val="right"/>
              <w:rPr>
                <w:rFonts w:cs="Calibri"/>
                <w:szCs w:val="16"/>
              </w:rPr>
            </w:pPr>
            <w:r w:rsidRPr="009E06AA">
              <w:rPr>
                <w:rFonts w:cs="Calibri"/>
                <w:szCs w:val="16"/>
              </w:rPr>
              <w:t>84.1</w:t>
            </w:r>
          </w:p>
        </w:tc>
        <w:tc>
          <w:tcPr>
            <w:tcW w:w="726" w:type="dxa"/>
            <w:shd w:val="clear" w:color="auto" w:fill="auto"/>
            <w:vAlign w:val="bottom"/>
          </w:tcPr>
          <w:p w14:paraId="044C3CDF" w14:textId="77777777" w:rsidR="007523B8" w:rsidRPr="009E06AA" w:rsidRDefault="007523B8" w:rsidP="009357BD">
            <w:pPr>
              <w:pStyle w:val="TableText"/>
              <w:spacing w:before="50" w:after="50"/>
              <w:jc w:val="right"/>
              <w:rPr>
                <w:rFonts w:cs="Calibri"/>
                <w:szCs w:val="16"/>
              </w:rPr>
            </w:pPr>
            <w:r w:rsidRPr="009E06AA">
              <w:rPr>
                <w:rFonts w:cs="Calibri"/>
                <w:szCs w:val="16"/>
              </w:rPr>
              <w:t>78.2</w:t>
            </w:r>
          </w:p>
        </w:tc>
      </w:tr>
      <w:tr w:rsidR="007523B8" w:rsidRPr="009E06AA" w14:paraId="6F1F143D" w14:textId="77777777" w:rsidTr="00B55F24">
        <w:tc>
          <w:tcPr>
            <w:tcW w:w="3206" w:type="dxa"/>
            <w:shd w:val="clear" w:color="auto" w:fill="auto"/>
            <w:vAlign w:val="bottom"/>
          </w:tcPr>
          <w:p w14:paraId="4186B78B" w14:textId="77777777" w:rsidR="007523B8" w:rsidRPr="009E06AA" w:rsidRDefault="007523B8" w:rsidP="00B55F24">
            <w:pPr>
              <w:pStyle w:val="TableText"/>
              <w:spacing w:before="50" w:after="50"/>
              <w:rPr>
                <w:rFonts w:cs="Calibri"/>
                <w:szCs w:val="16"/>
              </w:rPr>
            </w:pPr>
            <w:r w:rsidRPr="009E06AA">
              <w:rPr>
                <w:rFonts w:cs="Calibri"/>
                <w:szCs w:val="16"/>
              </w:rPr>
              <w:t>Manure management (3.B)</w:t>
            </w:r>
          </w:p>
        </w:tc>
        <w:tc>
          <w:tcPr>
            <w:tcW w:w="796" w:type="dxa"/>
            <w:shd w:val="clear" w:color="auto" w:fill="auto"/>
          </w:tcPr>
          <w:p w14:paraId="683C3A1E" w14:textId="77777777" w:rsidR="007523B8" w:rsidRPr="009E06AA" w:rsidRDefault="007523B8" w:rsidP="009357BD">
            <w:pPr>
              <w:pStyle w:val="TableText"/>
              <w:spacing w:before="50" w:after="50"/>
              <w:jc w:val="right"/>
              <w:rPr>
                <w:rFonts w:cs="Calibri"/>
                <w:szCs w:val="16"/>
              </w:rPr>
            </w:pPr>
            <w:r w:rsidRPr="009E06AA">
              <w:t>874.8</w:t>
            </w:r>
          </w:p>
        </w:tc>
        <w:tc>
          <w:tcPr>
            <w:tcW w:w="894" w:type="dxa"/>
            <w:shd w:val="clear" w:color="auto" w:fill="auto"/>
          </w:tcPr>
          <w:p w14:paraId="698E7CF1" w14:textId="77777777" w:rsidR="007523B8" w:rsidRPr="009E06AA" w:rsidRDefault="007523B8" w:rsidP="009357BD">
            <w:pPr>
              <w:pStyle w:val="TableText"/>
              <w:spacing w:before="50" w:after="50"/>
              <w:jc w:val="right"/>
              <w:rPr>
                <w:rFonts w:cs="Calibri"/>
                <w:szCs w:val="16"/>
              </w:rPr>
            </w:pPr>
            <w:r w:rsidRPr="009E06AA">
              <w:t>1,901.6</w:t>
            </w:r>
          </w:p>
        </w:tc>
        <w:tc>
          <w:tcPr>
            <w:tcW w:w="1002" w:type="dxa"/>
            <w:shd w:val="clear" w:color="auto" w:fill="auto"/>
          </w:tcPr>
          <w:p w14:paraId="1A5C26E9" w14:textId="77777777" w:rsidR="007523B8" w:rsidRPr="009E06AA" w:rsidRDefault="007523B8" w:rsidP="009357BD">
            <w:pPr>
              <w:pStyle w:val="TableText"/>
              <w:spacing w:before="50" w:after="50"/>
              <w:jc w:val="right"/>
              <w:rPr>
                <w:rFonts w:cs="Calibri"/>
                <w:szCs w:val="16"/>
              </w:rPr>
            </w:pPr>
            <w:r w:rsidRPr="009E06AA">
              <w:t>117.4</w:t>
            </w:r>
          </w:p>
        </w:tc>
        <w:tc>
          <w:tcPr>
            <w:tcW w:w="989" w:type="dxa"/>
            <w:shd w:val="clear" w:color="auto" w:fill="auto"/>
          </w:tcPr>
          <w:p w14:paraId="5C4D67B3" w14:textId="77777777" w:rsidR="007523B8" w:rsidRPr="009E06AA" w:rsidRDefault="007523B8" w:rsidP="009357BD">
            <w:pPr>
              <w:pStyle w:val="TableText"/>
              <w:spacing w:before="50" w:after="50"/>
              <w:jc w:val="right"/>
              <w:rPr>
                <w:rFonts w:cs="Calibri"/>
                <w:szCs w:val="16"/>
              </w:rPr>
            </w:pPr>
            <w:r w:rsidRPr="009E06AA">
              <w:t>1,026.8</w:t>
            </w:r>
          </w:p>
        </w:tc>
        <w:tc>
          <w:tcPr>
            <w:tcW w:w="824" w:type="dxa"/>
            <w:shd w:val="clear" w:color="auto" w:fill="auto"/>
          </w:tcPr>
          <w:p w14:paraId="20901A91" w14:textId="77777777" w:rsidR="007523B8" w:rsidRPr="009E06AA" w:rsidRDefault="007523B8" w:rsidP="009357BD">
            <w:pPr>
              <w:pStyle w:val="TableText"/>
              <w:spacing w:before="50" w:after="50"/>
              <w:jc w:val="right"/>
              <w:rPr>
                <w:rFonts w:cs="Calibri"/>
                <w:szCs w:val="16"/>
              </w:rPr>
            </w:pPr>
            <w:r w:rsidRPr="009E06AA">
              <w:t>2.4</w:t>
            </w:r>
          </w:p>
        </w:tc>
        <w:tc>
          <w:tcPr>
            <w:tcW w:w="726" w:type="dxa"/>
            <w:shd w:val="clear" w:color="auto" w:fill="auto"/>
          </w:tcPr>
          <w:p w14:paraId="5357ECAA" w14:textId="77777777" w:rsidR="007523B8" w:rsidRPr="009E06AA" w:rsidRDefault="007523B8" w:rsidP="009357BD">
            <w:pPr>
              <w:pStyle w:val="TableText"/>
              <w:spacing w:before="50" w:after="50"/>
              <w:jc w:val="right"/>
              <w:rPr>
                <w:rFonts w:cs="Calibri"/>
                <w:szCs w:val="16"/>
              </w:rPr>
            </w:pPr>
            <w:r w:rsidRPr="009E06AA">
              <w:t>4.6</w:t>
            </w:r>
          </w:p>
        </w:tc>
      </w:tr>
      <w:tr w:rsidR="007523B8" w:rsidRPr="009E06AA" w14:paraId="5F6D531C" w14:textId="77777777" w:rsidTr="00B55F24">
        <w:tc>
          <w:tcPr>
            <w:tcW w:w="3206" w:type="dxa"/>
            <w:shd w:val="clear" w:color="auto" w:fill="auto"/>
            <w:vAlign w:val="bottom"/>
          </w:tcPr>
          <w:p w14:paraId="16586A3D" w14:textId="77777777" w:rsidR="007523B8" w:rsidRPr="009E06AA" w:rsidRDefault="007523B8" w:rsidP="00B55F24">
            <w:pPr>
              <w:pStyle w:val="TableText"/>
              <w:spacing w:before="50" w:after="50"/>
              <w:rPr>
                <w:rFonts w:cs="Calibri"/>
                <w:szCs w:val="16"/>
              </w:rPr>
            </w:pPr>
            <w:r w:rsidRPr="009E06AA">
              <w:rPr>
                <w:rFonts w:cs="Calibri"/>
                <w:szCs w:val="16"/>
              </w:rPr>
              <w:t>Rice cultivation (3.C)</w:t>
            </w:r>
          </w:p>
        </w:tc>
        <w:tc>
          <w:tcPr>
            <w:tcW w:w="796" w:type="dxa"/>
            <w:shd w:val="clear" w:color="auto" w:fill="auto"/>
            <w:vAlign w:val="bottom"/>
          </w:tcPr>
          <w:p w14:paraId="58F06639" w14:textId="77777777" w:rsidR="007523B8" w:rsidRPr="009E06AA" w:rsidRDefault="007523B8" w:rsidP="009357BD">
            <w:pPr>
              <w:pStyle w:val="TableText"/>
              <w:spacing w:before="50" w:after="50"/>
              <w:jc w:val="right"/>
              <w:rPr>
                <w:rFonts w:cs="Calibri"/>
                <w:szCs w:val="16"/>
              </w:rPr>
            </w:pPr>
            <w:r w:rsidRPr="009E06AA">
              <w:rPr>
                <w:rFonts w:cs="Calibri"/>
                <w:szCs w:val="16"/>
              </w:rPr>
              <w:t>NO</w:t>
            </w:r>
          </w:p>
        </w:tc>
        <w:tc>
          <w:tcPr>
            <w:tcW w:w="894" w:type="dxa"/>
            <w:shd w:val="clear" w:color="auto" w:fill="auto"/>
            <w:vAlign w:val="bottom"/>
          </w:tcPr>
          <w:p w14:paraId="198E7E2A" w14:textId="77777777" w:rsidR="007523B8" w:rsidRPr="009E06AA" w:rsidRDefault="007523B8" w:rsidP="009357BD">
            <w:pPr>
              <w:pStyle w:val="TableText"/>
              <w:spacing w:before="50" w:after="50"/>
              <w:jc w:val="right"/>
              <w:rPr>
                <w:rFonts w:cs="Calibri"/>
                <w:szCs w:val="16"/>
              </w:rPr>
            </w:pPr>
            <w:r w:rsidRPr="009E06AA">
              <w:rPr>
                <w:rFonts w:cs="Calibri"/>
                <w:szCs w:val="16"/>
              </w:rPr>
              <w:t>NO</w:t>
            </w:r>
          </w:p>
        </w:tc>
        <w:tc>
          <w:tcPr>
            <w:tcW w:w="1002" w:type="dxa"/>
            <w:shd w:val="clear" w:color="auto" w:fill="auto"/>
            <w:vAlign w:val="bottom"/>
          </w:tcPr>
          <w:p w14:paraId="0A8AC27D" w14:textId="77777777" w:rsidR="007523B8" w:rsidRPr="009E06AA" w:rsidRDefault="007523B8" w:rsidP="009357BD">
            <w:pPr>
              <w:pStyle w:val="TableText"/>
              <w:spacing w:before="50" w:after="50"/>
              <w:jc w:val="right"/>
              <w:rPr>
                <w:rFonts w:cs="Calibri"/>
                <w:szCs w:val="16"/>
              </w:rPr>
            </w:pPr>
            <w:r w:rsidRPr="009E06AA">
              <w:rPr>
                <w:rFonts w:cs="Calibri"/>
                <w:szCs w:val="16"/>
              </w:rPr>
              <w:t>–</w:t>
            </w:r>
          </w:p>
        </w:tc>
        <w:tc>
          <w:tcPr>
            <w:tcW w:w="989" w:type="dxa"/>
            <w:shd w:val="clear" w:color="auto" w:fill="auto"/>
            <w:vAlign w:val="bottom"/>
          </w:tcPr>
          <w:p w14:paraId="0853F5DA" w14:textId="77777777" w:rsidR="007523B8" w:rsidRPr="009E06AA" w:rsidRDefault="007523B8" w:rsidP="009357BD">
            <w:pPr>
              <w:pStyle w:val="TableText"/>
              <w:spacing w:before="50" w:after="50"/>
              <w:jc w:val="right"/>
              <w:rPr>
                <w:rFonts w:cs="Calibri"/>
                <w:szCs w:val="16"/>
              </w:rPr>
            </w:pPr>
            <w:r w:rsidRPr="009E06AA">
              <w:rPr>
                <w:rFonts w:cs="Calibri"/>
                <w:szCs w:val="16"/>
              </w:rPr>
              <w:t>–</w:t>
            </w:r>
          </w:p>
        </w:tc>
        <w:tc>
          <w:tcPr>
            <w:tcW w:w="824" w:type="dxa"/>
            <w:shd w:val="clear" w:color="auto" w:fill="auto"/>
            <w:vAlign w:val="bottom"/>
          </w:tcPr>
          <w:p w14:paraId="180B67C4" w14:textId="77777777" w:rsidR="007523B8" w:rsidRPr="009E06AA" w:rsidRDefault="007523B8" w:rsidP="009357BD">
            <w:pPr>
              <w:pStyle w:val="TableText"/>
              <w:spacing w:before="50" w:after="50"/>
              <w:jc w:val="right"/>
              <w:rPr>
                <w:rFonts w:cs="Calibri"/>
                <w:szCs w:val="16"/>
              </w:rPr>
            </w:pPr>
            <w:r w:rsidRPr="009E06AA">
              <w:rPr>
                <w:rFonts w:cs="Calibri"/>
                <w:szCs w:val="16"/>
              </w:rPr>
              <w:t>–</w:t>
            </w:r>
          </w:p>
        </w:tc>
        <w:tc>
          <w:tcPr>
            <w:tcW w:w="726" w:type="dxa"/>
            <w:shd w:val="clear" w:color="auto" w:fill="auto"/>
            <w:vAlign w:val="bottom"/>
          </w:tcPr>
          <w:p w14:paraId="08988D31" w14:textId="77777777" w:rsidR="007523B8" w:rsidRPr="009E06AA" w:rsidRDefault="007523B8" w:rsidP="009357BD">
            <w:pPr>
              <w:pStyle w:val="TableText"/>
              <w:spacing w:before="50" w:after="50"/>
              <w:jc w:val="right"/>
              <w:rPr>
                <w:rFonts w:cs="Calibri"/>
                <w:szCs w:val="16"/>
              </w:rPr>
            </w:pPr>
            <w:r w:rsidRPr="009E06AA">
              <w:rPr>
                <w:rFonts w:cs="Calibri"/>
                <w:szCs w:val="16"/>
              </w:rPr>
              <w:t>–</w:t>
            </w:r>
          </w:p>
        </w:tc>
      </w:tr>
      <w:tr w:rsidR="007523B8" w:rsidRPr="009E06AA" w14:paraId="777826E5" w14:textId="77777777" w:rsidTr="00B55F24">
        <w:tc>
          <w:tcPr>
            <w:tcW w:w="3206" w:type="dxa"/>
            <w:shd w:val="clear" w:color="auto" w:fill="auto"/>
            <w:vAlign w:val="bottom"/>
          </w:tcPr>
          <w:p w14:paraId="001A4FDD" w14:textId="77777777" w:rsidR="007523B8" w:rsidRPr="009E06AA" w:rsidRDefault="007523B8" w:rsidP="00B55F24">
            <w:pPr>
              <w:pStyle w:val="TableText"/>
              <w:spacing w:before="50" w:after="50"/>
              <w:rPr>
                <w:rFonts w:cs="Calibri"/>
                <w:szCs w:val="16"/>
              </w:rPr>
            </w:pPr>
            <w:r w:rsidRPr="009E06AA">
              <w:rPr>
                <w:rFonts w:cs="Calibri"/>
                <w:szCs w:val="16"/>
              </w:rPr>
              <w:t>Agricultural soils (3.D)</w:t>
            </w:r>
          </w:p>
        </w:tc>
        <w:tc>
          <w:tcPr>
            <w:tcW w:w="796" w:type="dxa"/>
            <w:shd w:val="clear" w:color="auto" w:fill="auto"/>
          </w:tcPr>
          <w:p w14:paraId="0C7679FA" w14:textId="77777777" w:rsidR="007523B8" w:rsidRPr="009E06AA" w:rsidRDefault="007523B8" w:rsidP="009357BD">
            <w:pPr>
              <w:pStyle w:val="TableText"/>
              <w:spacing w:before="50" w:after="50"/>
              <w:jc w:val="right"/>
              <w:rPr>
                <w:rFonts w:cs="Calibri"/>
                <w:szCs w:val="16"/>
              </w:rPr>
            </w:pPr>
            <w:r w:rsidRPr="009E06AA">
              <w:t>4,669.0</w:t>
            </w:r>
          </w:p>
        </w:tc>
        <w:tc>
          <w:tcPr>
            <w:tcW w:w="894" w:type="dxa"/>
            <w:shd w:val="clear" w:color="auto" w:fill="auto"/>
          </w:tcPr>
          <w:p w14:paraId="38321123" w14:textId="77777777" w:rsidR="007523B8" w:rsidRPr="009E06AA" w:rsidRDefault="007523B8" w:rsidP="009357BD">
            <w:pPr>
              <w:pStyle w:val="TableText"/>
              <w:spacing w:before="50" w:after="50"/>
              <w:jc w:val="right"/>
              <w:rPr>
                <w:rFonts w:cs="Calibri"/>
                <w:szCs w:val="16"/>
              </w:rPr>
            </w:pPr>
            <w:r w:rsidRPr="009E06AA">
              <w:t>6,322.5</w:t>
            </w:r>
          </w:p>
        </w:tc>
        <w:tc>
          <w:tcPr>
            <w:tcW w:w="1002" w:type="dxa"/>
            <w:shd w:val="clear" w:color="auto" w:fill="auto"/>
          </w:tcPr>
          <w:p w14:paraId="73C83F19" w14:textId="77777777" w:rsidR="007523B8" w:rsidRPr="009E06AA" w:rsidRDefault="007523B8" w:rsidP="009357BD">
            <w:pPr>
              <w:pStyle w:val="TableText"/>
              <w:spacing w:before="50" w:after="50"/>
              <w:jc w:val="right"/>
              <w:rPr>
                <w:rFonts w:cs="Calibri"/>
                <w:szCs w:val="16"/>
              </w:rPr>
            </w:pPr>
            <w:r w:rsidRPr="009E06AA">
              <w:t>35.4</w:t>
            </w:r>
          </w:p>
        </w:tc>
        <w:tc>
          <w:tcPr>
            <w:tcW w:w="989" w:type="dxa"/>
            <w:shd w:val="clear" w:color="auto" w:fill="auto"/>
          </w:tcPr>
          <w:p w14:paraId="6429995E" w14:textId="77777777" w:rsidR="007523B8" w:rsidRPr="009E06AA" w:rsidRDefault="007523B8" w:rsidP="009357BD">
            <w:pPr>
              <w:pStyle w:val="TableText"/>
              <w:spacing w:before="50" w:after="50"/>
              <w:jc w:val="right"/>
              <w:rPr>
                <w:rFonts w:cs="Calibri"/>
                <w:szCs w:val="16"/>
              </w:rPr>
            </w:pPr>
            <w:r w:rsidRPr="009E06AA">
              <w:t>1,653.5</w:t>
            </w:r>
          </w:p>
        </w:tc>
        <w:tc>
          <w:tcPr>
            <w:tcW w:w="824" w:type="dxa"/>
            <w:shd w:val="clear" w:color="auto" w:fill="auto"/>
          </w:tcPr>
          <w:p w14:paraId="2AED8B95" w14:textId="77777777" w:rsidR="007523B8" w:rsidRPr="009E06AA" w:rsidRDefault="007523B8" w:rsidP="009357BD">
            <w:pPr>
              <w:pStyle w:val="TableText"/>
              <w:spacing w:before="50" w:after="50"/>
              <w:jc w:val="right"/>
              <w:rPr>
                <w:rFonts w:cs="Calibri"/>
                <w:szCs w:val="16"/>
              </w:rPr>
            </w:pPr>
            <w:r w:rsidRPr="009E06AA">
              <w:t>12.6</w:t>
            </w:r>
          </w:p>
        </w:tc>
        <w:tc>
          <w:tcPr>
            <w:tcW w:w="726" w:type="dxa"/>
            <w:shd w:val="clear" w:color="auto" w:fill="auto"/>
          </w:tcPr>
          <w:p w14:paraId="7610A433" w14:textId="77777777" w:rsidR="007523B8" w:rsidRPr="009E06AA" w:rsidRDefault="007523B8" w:rsidP="009357BD">
            <w:pPr>
              <w:pStyle w:val="TableText"/>
              <w:spacing w:before="50" w:after="50"/>
              <w:jc w:val="right"/>
              <w:rPr>
                <w:rFonts w:cs="Calibri"/>
                <w:szCs w:val="16"/>
              </w:rPr>
            </w:pPr>
            <w:r w:rsidRPr="009E06AA">
              <w:t>15.2</w:t>
            </w:r>
          </w:p>
        </w:tc>
      </w:tr>
      <w:tr w:rsidR="007523B8" w:rsidRPr="009E06AA" w14:paraId="019A536E" w14:textId="77777777" w:rsidTr="00B55F24">
        <w:tc>
          <w:tcPr>
            <w:tcW w:w="3206" w:type="dxa"/>
            <w:shd w:val="clear" w:color="auto" w:fill="auto"/>
            <w:vAlign w:val="bottom"/>
          </w:tcPr>
          <w:p w14:paraId="57790E75" w14:textId="77777777" w:rsidR="007523B8" w:rsidRPr="009E06AA" w:rsidRDefault="007523B8" w:rsidP="00B55F24">
            <w:pPr>
              <w:pStyle w:val="TableText"/>
              <w:spacing w:before="50" w:after="50"/>
              <w:rPr>
                <w:rFonts w:cs="Calibri"/>
                <w:szCs w:val="16"/>
              </w:rPr>
            </w:pPr>
            <w:r w:rsidRPr="009E06AA">
              <w:rPr>
                <w:rFonts w:cs="Calibri"/>
                <w:szCs w:val="16"/>
              </w:rPr>
              <w:t>Field burning of agricultural residues (3.F)</w:t>
            </w:r>
          </w:p>
        </w:tc>
        <w:tc>
          <w:tcPr>
            <w:tcW w:w="796" w:type="dxa"/>
            <w:shd w:val="clear" w:color="auto" w:fill="auto"/>
          </w:tcPr>
          <w:p w14:paraId="5A2C94AA" w14:textId="77777777" w:rsidR="007523B8" w:rsidRPr="009E06AA" w:rsidRDefault="007523B8" w:rsidP="009357BD">
            <w:pPr>
              <w:pStyle w:val="TableText"/>
              <w:spacing w:before="50" w:after="50"/>
              <w:jc w:val="right"/>
              <w:rPr>
                <w:rFonts w:cs="Calibri"/>
                <w:szCs w:val="16"/>
              </w:rPr>
            </w:pPr>
            <w:r w:rsidRPr="009E06AA">
              <w:t>29.6</w:t>
            </w:r>
          </w:p>
        </w:tc>
        <w:tc>
          <w:tcPr>
            <w:tcW w:w="894" w:type="dxa"/>
            <w:shd w:val="clear" w:color="auto" w:fill="auto"/>
          </w:tcPr>
          <w:p w14:paraId="7B5028C1" w14:textId="77777777" w:rsidR="007523B8" w:rsidRPr="009E06AA" w:rsidRDefault="007523B8" w:rsidP="009357BD">
            <w:pPr>
              <w:pStyle w:val="TableText"/>
              <w:spacing w:before="50" w:after="50"/>
              <w:jc w:val="right"/>
              <w:rPr>
                <w:rFonts w:cs="Calibri"/>
                <w:szCs w:val="16"/>
              </w:rPr>
            </w:pPr>
            <w:r w:rsidRPr="009E06AA">
              <w:t>20.9</w:t>
            </w:r>
          </w:p>
        </w:tc>
        <w:tc>
          <w:tcPr>
            <w:tcW w:w="1002" w:type="dxa"/>
            <w:shd w:val="clear" w:color="auto" w:fill="auto"/>
          </w:tcPr>
          <w:p w14:paraId="4D385CA3" w14:textId="77777777" w:rsidR="007523B8" w:rsidRPr="009E06AA" w:rsidRDefault="007523B8" w:rsidP="009357BD">
            <w:pPr>
              <w:pStyle w:val="TableText"/>
              <w:spacing w:before="50" w:after="50"/>
              <w:jc w:val="right"/>
              <w:rPr>
                <w:rFonts w:cs="Calibri"/>
                <w:szCs w:val="16"/>
              </w:rPr>
            </w:pPr>
            <w:r w:rsidRPr="009E06AA">
              <w:t>-29.4</w:t>
            </w:r>
          </w:p>
        </w:tc>
        <w:tc>
          <w:tcPr>
            <w:tcW w:w="989" w:type="dxa"/>
            <w:shd w:val="clear" w:color="auto" w:fill="auto"/>
          </w:tcPr>
          <w:p w14:paraId="0646C20B" w14:textId="77777777" w:rsidR="007523B8" w:rsidRPr="009E06AA" w:rsidRDefault="007523B8" w:rsidP="009357BD">
            <w:pPr>
              <w:pStyle w:val="TableText"/>
              <w:spacing w:before="50" w:after="50"/>
              <w:jc w:val="right"/>
              <w:rPr>
                <w:rFonts w:cs="Calibri"/>
                <w:szCs w:val="16"/>
              </w:rPr>
            </w:pPr>
            <w:r w:rsidRPr="009E06AA">
              <w:t>-8.7</w:t>
            </w:r>
          </w:p>
        </w:tc>
        <w:tc>
          <w:tcPr>
            <w:tcW w:w="824" w:type="dxa"/>
            <w:shd w:val="clear" w:color="auto" w:fill="auto"/>
          </w:tcPr>
          <w:p w14:paraId="638ED7E4" w14:textId="77777777" w:rsidR="007523B8" w:rsidRPr="009E06AA" w:rsidRDefault="007523B8" w:rsidP="009357BD">
            <w:pPr>
              <w:pStyle w:val="TableText"/>
              <w:spacing w:before="50" w:after="50"/>
              <w:jc w:val="right"/>
              <w:rPr>
                <w:rFonts w:cs="Calibri"/>
                <w:szCs w:val="16"/>
              </w:rPr>
            </w:pPr>
            <w:r w:rsidRPr="009E06AA">
              <w:t>0.1</w:t>
            </w:r>
          </w:p>
        </w:tc>
        <w:tc>
          <w:tcPr>
            <w:tcW w:w="726" w:type="dxa"/>
            <w:shd w:val="clear" w:color="auto" w:fill="auto"/>
          </w:tcPr>
          <w:p w14:paraId="79FD32FF" w14:textId="77777777" w:rsidR="007523B8" w:rsidRPr="009E06AA" w:rsidRDefault="007523B8" w:rsidP="009357BD">
            <w:pPr>
              <w:pStyle w:val="TableText"/>
              <w:spacing w:before="50" w:after="50"/>
              <w:jc w:val="right"/>
              <w:rPr>
                <w:rFonts w:cs="Calibri"/>
                <w:szCs w:val="16"/>
              </w:rPr>
            </w:pPr>
            <w:r w:rsidRPr="009E06AA">
              <w:t>0.1</w:t>
            </w:r>
          </w:p>
        </w:tc>
      </w:tr>
      <w:tr w:rsidR="007523B8" w:rsidRPr="009E06AA" w14:paraId="4942EFA7" w14:textId="77777777" w:rsidTr="00B55F24">
        <w:tc>
          <w:tcPr>
            <w:tcW w:w="3206" w:type="dxa"/>
            <w:shd w:val="clear" w:color="auto" w:fill="auto"/>
            <w:vAlign w:val="bottom"/>
          </w:tcPr>
          <w:p w14:paraId="187F60EE" w14:textId="77777777" w:rsidR="007523B8" w:rsidRPr="009E06AA" w:rsidRDefault="007523B8" w:rsidP="00B55F24">
            <w:pPr>
              <w:pStyle w:val="TableText"/>
              <w:spacing w:before="50" w:after="50"/>
              <w:rPr>
                <w:rFonts w:cs="Calibri"/>
                <w:szCs w:val="16"/>
              </w:rPr>
            </w:pPr>
            <w:r w:rsidRPr="009E06AA">
              <w:rPr>
                <w:rFonts w:cs="Calibri"/>
                <w:szCs w:val="16"/>
              </w:rPr>
              <w:t>Liming CO</w:t>
            </w:r>
            <w:r w:rsidRPr="009E06AA">
              <w:rPr>
                <w:rFonts w:cs="Calibri"/>
                <w:szCs w:val="16"/>
                <w:vertAlign w:val="subscript"/>
              </w:rPr>
              <w:t>2</w:t>
            </w:r>
            <w:r w:rsidRPr="009E06AA">
              <w:rPr>
                <w:rFonts w:cs="Calibri"/>
                <w:szCs w:val="16"/>
              </w:rPr>
              <w:t xml:space="preserve"> emissions (3.G)</w:t>
            </w:r>
          </w:p>
        </w:tc>
        <w:tc>
          <w:tcPr>
            <w:tcW w:w="796" w:type="dxa"/>
            <w:shd w:val="clear" w:color="auto" w:fill="auto"/>
          </w:tcPr>
          <w:p w14:paraId="69B64641" w14:textId="77777777" w:rsidR="007523B8" w:rsidRPr="009E06AA" w:rsidRDefault="007523B8" w:rsidP="009357BD">
            <w:pPr>
              <w:pStyle w:val="TableText"/>
              <w:spacing w:before="50" w:after="50"/>
              <w:jc w:val="right"/>
              <w:rPr>
                <w:rFonts w:cs="Calibri"/>
                <w:szCs w:val="16"/>
              </w:rPr>
            </w:pPr>
            <w:r w:rsidRPr="009E06AA">
              <w:t>296.5</w:t>
            </w:r>
          </w:p>
        </w:tc>
        <w:tc>
          <w:tcPr>
            <w:tcW w:w="894" w:type="dxa"/>
            <w:shd w:val="clear" w:color="auto" w:fill="auto"/>
          </w:tcPr>
          <w:p w14:paraId="10B20F02" w14:textId="77777777" w:rsidR="007523B8" w:rsidRPr="009E06AA" w:rsidRDefault="007523B8" w:rsidP="009357BD">
            <w:pPr>
              <w:pStyle w:val="TableText"/>
              <w:spacing w:before="50" w:after="50"/>
              <w:jc w:val="right"/>
              <w:rPr>
                <w:rFonts w:cs="Calibri"/>
                <w:szCs w:val="16"/>
              </w:rPr>
            </w:pPr>
            <w:bookmarkStart w:id="744" w:name="_Hlk153783673"/>
            <w:r w:rsidRPr="009E06AA">
              <w:t>445.6</w:t>
            </w:r>
            <w:bookmarkEnd w:id="744"/>
          </w:p>
        </w:tc>
        <w:tc>
          <w:tcPr>
            <w:tcW w:w="1002" w:type="dxa"/>
            <w:shd w:val="clear" w:color="auto" w:fill="auto"/>
          </w:tcPr>
          <w:p w14:paraId="19F6845D" w14:textId="77777777" w:rsidR="007523B8" w:rsidRPr="009E06AA" w:rsidRDefault="007523B8" w:rsidP="009357BD">
            <w:pPr>
              <w:pStyle w:val="TableText"/>
              <w:spacing w:before="50" w:after="50"/>
              <w:jc w:val="right"/>
              <w:rPr>
                <w:rFonts w:cs="Calibri"/>
                <w:szCs w:val="16"/>
              </w:rPr>
            </w:pPr>
            <w:r w:rsidRPr="009E06AA">
              <w:t>50.3</w:t>
            </w:r>
          </w:p>
        </w:tc>
        <w:tc>
          <w:tcPr>
            <w:tcW w:w="989" w:type="dxa"/>
            <w:shd w:val="clear" w:color="auto" w:fill="auto"/>
          </w:tcPr>
          <w:p w14:paraId="2140A5F3" w14:textId="77777777" w:rsidR="007523B8" w:rsidRPr="009E06AA" w:rsidRDefault="007523B8" w:rsidP="009357BD">
            <w:pPr>
              <w:pStyle w:val="TableText"/>
              <w:spacing w:before="50" w:after="50"/>
              <w:jc w:val="right"/>
              <w:rPr>
                <w:rFonts w:cs="Calibri"/>
                <w:szCs w:val="16"/>
              </w:rPr>
            </w:pPr>
            <w:r w:rsidRPr="009E06AA">
              <w:t>149.1</w:t>
            </w:r>
          </w:p>
        </w:tc>
        <w:tc>
          <w:tcPr>
            <w:tcW w:w="824" w:type="dxa"/>
            <w:shd w:val="clear" w:color="auto" w:fill="auto"/>
          </w:tcPr>
          <w:p w14:paraId="482B1DAA" w14:textId="77777777" w:rsidR="007523B8" w:rsidRPr="009E06AA" w:rsidRDefault="007523B8" w:rsidP="009357BD">
            <w:pPr>
              <w:pStyle w:val="TableText"/>
              <w:spacing w:before="50" w:after="50"/>
              <w:jc w:val="right"/>
              <w:rPr>
                <w:rFonts w:cs="Calibri"/>
                <w:szCs w:val="16"/>
              </w:rPr>
            </w:pPr>
            <w:r w:rsidRPr="009E06AA">
              <w:t>0.8</w:t>
            </w:r>
          </w:p>
        </w:tc>
        <w:tc>
          <w:tcPr>
            <w:tcW w:w="726" w:type="dxa"/>
            <w:shd w:val="clear" w:color="auto" w:fill="auto"/>
          </w:tcPr>
          <w:p w14:paraId="391DDA0D" w14:textId="77777777" w:rsidR="007523B8" w:rsidRPr="009E06AA" w:rsidRDefault="007523B8" w:rsidP="009357BD">
            <w:pPr>
              <w:pStyle w:val="TableText"/>
              <w:spacing w:before="50" w:after="50"/>
              <w:jc w:val="right"/>
              <w:rPr>
                <w:rFonts w:cs="Calibri"/>
                <w:szCs w:val="16"/>
              </w:rPr>
            </w:pPr>
            <w:r w:rsidRPr="009E06AA">
              <w:t>1.1</w:t>
            </w:r>
          </w:p>
        </w:tc>
      </w:tr>
      <w:tr w:rsidR="007523B8" w:rsidRPr="009E06AA" w14:paraId="07CFBB39" w14:textId="77777777" w:rsidTr="00B55F24">
        <w:tc>
          <w:tcPr>
            <w:tcW w:w="3206" w:type="dxa"/>
            <w:shd w:val="clear" w:color="auto" w:fill="auto"/>
            <w:vAlign w:val="bottom"/>
          </w:tcPr>
          <w:p w14:paraId="27F0A5B9" w14:textId="77777777" w:rsidR="007523B8" w:rsidRPr="009E06AA" w:rsidRDefault="007523B8" w:rsidP="00B55F24">
            <w:pPr>
              <w:pStyle w:val="TableText"/>
              <w:spacing w:before="50" w:after="50"/>
              <w:rPr>
                <w:rFonts w:cs="Calibri"/>
                <w:szCs w:val="16"/>
              </w:rPr>
            </w:pPr>
            <w:r w:rsidRPr="009E06AA">
              <w:rPr>
                <w:rFonts w:cs="Calibri"/>
                <w:szCs w:val="16"/>
              </w:rPr>
              <w:t>Urea application CO</w:t>
            </w:r>
            <w:r w:rsidRPr="009E06AA">
              <w:rPr>
                <w:rFonts w:cs="Calibri"/>
                <w:szCs w:val="16"/>
                <w:vertAlign w:val="subscript"/>
              </w:rPr>
              <w:t>2</w:t>
            </w:r>
            <w:r w:rsidRPr="009E06AA">
              <w:rPr>
                <w:rFonts w:cs="Calibri"/>
                <w:szCs w:val="16"/>
              </w:rPr>
              <w:t xml:space="preserve"> emissions (3.H)</w:t>
            </w:r>
          </w:p>
        </w:tc>
        <w:tc>
          <w:tcPr>
            <w:tcW w:w="796" w:type="dxa"/>
            <w:shd w:val="clear" w:color="auto" w:fill="auto"/>
          </w:tcPr>
          <w:p w14:paraId="56126BB1" w14:textId="77777777" w:rsidR="007523B8" w:rsidRPr="009E06AA" w:rsidRDefault="007523B8" w:rsidP="009357BD">
            <w:pPr>
              <w:pStyle w:val="TableText"/>
              <w:spacing w:before="50" w:after="50"/>
              <w:jc w:val="right"/>
              <w:rPr>
                <w:rFonts w:cs="Calibri"/>
                <w:szCs w:val="16"/>
              </w:rPr>
            </w:pPr>
            <w:r w:rsidRPr="009E06AA">
              <w:t>39.2</w:t>
            </w:r>
          </w:p>
        </w:tc>
        <w:tc>
          <w:tcPr>
            <w:tcW w:w="894" w:type="dxa"/>
            <w:shd w:val="clear" w:color="auto" w:fill="auto"/>
          </w:tcPr>
          <w:p w14:paraId="1BBA5C11" w14:textId="77777777" w:rsidR="007523B8" w:rsidRPr="009E06AA" w:rsidRDefault="007523B8" w:rsidP="009357BD">
            <w:pPr>
              <w:pStyle w:val="TableText"/>
              <w:spacing w:before="50" w:after="50"/>
              <w:jc w:val="right"/>
              <w:rPr>
                <w:rFonts w:cs="Calibri"/>
                <w:szCs w:val="16"/>
              </w:rPr>
            </w:pPr>
            <w:r w:rsidRPr="009E06AA">
              <w:t>404.9</w:t>
            </w:r>
          </w:p>
        </w:tc>
        <w:tc>
          <w:tcPr>
            <w:tcW w:w="1002" w:type="dxa"/>
            <w:shd w:val="clear" w:color="auto" w:fill="auto"/>
          </w:tcPr>
          <w:p w14:paraId="576AA7D4" w14:textId="77777777" w:rsidR="007523B8" w:rsidRPr="009E06AA" w:rsidRDefault="007523B8" w:rsidP="009357BD">
            <w:pPr>
              <w:pStyle w:val="TableText"/>
              <w:spacing w:before="50" w:after="50"/>
              <w:jc w:val="right"/>
              <w:rPr>
                <w:rFonts w:cs="Calibri"/>
                <w:szCs w:val="16"/>
              </w:rPr>
            </w:pPr>
            <w:r w:rsidRPr="009E06AA">
              <w:t>933.1</w:t>
            </w:r>
          </w:p>
        </w:tc>
        <w:tc>
          <w:tcPr>
            <w:tcW w:w="989" w:type="dxa"/>
            <w:shd w:val="clear" w:color="auto" w:fill="auto"/>
          </w:tcPr>
          <w:p w14:paraId="31B55DF0" w14:textId="77777777" w:rsidR="007523B8" w:rsidRPr="009E06AA" w:rsidRDefault="007523B8" w:rsidP="009357BD">
            <w:pPr>
              <w:pStyle w:val="TableText"/>
              <w:spacing w:before="50" w:after="50"/>
              <w:jc w:val="right"/>
              <w:rPr>
                <w:rFonts w:cs="Calibri"/>
                <w:szCs w:val="16"/>
              </w:rPr>
            </w:pPr>
            <w:r w:rsidRPr="009E06AA">
              <w:t>365.7</w:t>
            </w:r>
          </w:p>
        </w:tc>
        <w:tc>
          <w:tcPr>
            <w:tcW w:w="824" w:type="dxa"/>
            <w:shd w:val="clear" w:color="auto" w:fill="auto"/>
          </w:tcPr>
          <w:p w14:paraId="15E18593" w14:textId="77777777" w:rsidR="007523B8" w:rsidRPr="009E06AA" w:rsidRDefault="007523B8" w:rsidP="009357BD">
            <w:pPr>
              <w:pStyle w:val="TableText"/>
              <w:spacing w:before="50" w:after="50"/>
              <w:jc w:val="right"/>
              <w:rPr>
                <w:rFonts w:cs="Calibri"/>
                <w:szCs w:val="16"/>
              </w:rPr>
            </w:pPr>
            <w:r w:rsidRPr="009E06AA">
              <w:t>0.1</w:t>
            </w:r>
          </w:p>
        </w:tc>
        <w:tc>
          <w:tcPr>
            <w:tcW w:w="726" w:type="dxa"/>
            <w:shd w:val="clear" w:color="auto" w:fill="auto"/>
          </w:tcPr>
          <w:p w14:paraId="07CE1386" w14:textId="77777777" w:rsidR="007523B8" w:rsidRPr="009E06AA" w:rsidRDefault="007523B8" w:rsidP="009357BD">
            <w:pPr>
              <w:pStyle w:val="TableText"/>
              <w:spacing w:before="50" w:after="50"/>
              <w:jc w:val="right"/>
              <w:rPr>
                <w:rFonts w:cs="Calibri"/>
                <w:szCs w:val="16"/>
              </w:rPr>
            </w:pPr>
            <w:r w:rsidRPr="009E06AA">
              <w:t>1.0</w:t>
            </w:r>
          </w:p>
        </w:tc>
      </w:tr>
      <w:tr w:rsidR="007523B8" w:rsidRPr="009E06AA" w14:paraId="110C9C13" w14:textId="77777777" w:rsidTr="00B55F24">
        <w:tc>
          <w:tcPr>
            <w:tcW w:w="3206" w:type="dxa"/>
            <w:shd w:val="clear" w:color="auto" w:fill="auto"/>
            <w:vAlign w:val="bottom"/>
          </w:tcPr>
          <w:p w14:paraId="474E2E62" w14:textId="77777777" w:rsidR="007523B8" w:rsidRPr="009E06AA" w:rsidRDefault="007523B8" w:rsidP="00B55F24">
            <w:pPr>
              <w:pStyle w:val="TableText"/>
              <w:spacing w:before="50" w:after="50"/>
              <w:rPr>
                <w:rFonts w:cs="Calibri"/>
                <w:szCs w:val="16"/>
              </w:rPr>
            </w:pPr>
            <w:r w:rsidRPr="009E06AA">
              <w:rPr>
                <w:rFonts w:cs="Calibri"/>
                <w:szCs w:val="16"/>
              </w:rPr>
              <w:t>Other carbon-containing fertilisers (3.i)</w:t>
            </w:r>
          </w:p>
        </w:tc>
        <w:tc>
          <w:tcPr>
            <w:tcW w:w="796" w:type="dxa"/>
            <w:shd w:val="clear" w:color="auto" w:fill="auto"/>
            <w:vAlign w:val="bottom"/>
          </w:tcPr>
          <w:p w14:paraId="1D5633AE" w14:textId="77777777" w:rsidR="007523B8" w:rsidRPr="009E06AA" w:rsidRDefault="007523B8" w:rsidP="009357BD">
            <w:pPr>
              <w:pStyle w:val="TableText"/>
              <w:spacing w:before="50" w:after="50"/>
              <w:jc w:val="right"/>
              <w:rPr>
                <w:rFonts w:cs="Calibri"/>
                <w:szCs w:val="16"/>
              </w:rPr>
            </w:pPr>
            <w:r w:rsidRPr="009E06AA">
              <w:rPr>
                <w:rFonts w:cs="Calibri"/>
                <w:szCs w:val="16"/>
              </w:rPr>
              <w:t>NE</w:t>
            </w:r>
          </w:p>
        </w:tc>
        <w:tc>
          <w:tcPr>
            <w:tcW w:w="894" w:type="dxa"/>
            <w:shd w:val="clear" w:color="auto" w:fill="auto"/>
            <w:vAlign w:val="bottom"/>
          </w:tcPr>
          <w:p w14:paraId="0F095808" w14:textId="77777777" w:rsidR="007523B8" w:rsidRPr="009E06AA" w:rsidRDefault="007523B8" w:rsidP="009357BD">
            <w:pPr>
              <w:pStyle w:val="TableText"/>
              <w:spacing w:before="50" w:after="50"/>
              <w:jc w:val="right"/>
              <w:rPr>
                <w:rFonts w:cs="Calibri"/>
                <w:szCs w:val="16"/>
              </w:rPr>
            </w:pPr>
            <w:r w:rsidRPr="009E06AA">
              <w:rPr>
                <w:rFonts w:cs="Calibri"/>
                <w:szCs w:val="16"/>
              </w:rPr>
              <w:t>NE</w:t>
            </w:r>
          </w:p>
        </w:tc>
        <w:tc>
          <w:tcPr>
            <w:tcW w:w="1002" w:type="dxa"/>
            <w:shd w:val="clear" w:color="auto" w:fill="auto"/>
            <w:vAlign w:val="bottom"/>
          </w:tcPr>
          <w:p w14:paraId="7482D8C2" w14:textId="77777777" w:rsidR="007523B8" w:rsidRPr="009E06AA" w:rsidRDefault="007523B8" w:rsidP="009357BD">
            <w:pPr>
              <w:pStyle w:val="TableText"/>
              <w:spacing w:before="50" w:after="50"/>
              <w:jc w:val="right"/>
              <w:rPr>
                <w:rFonts w:cs="Calibri"/>
                <w:szCs w:val="16"/>
              </w:rPr>
            </w:pPr>
            <w:r w:rsidRPr="009E06AA">
              <w:rPr>
                <w:rFonts w:cs="Calibri"/>
                <w:szCs w:val="16"/>
              </w:rPr>
              <w:t>–</w:t>
            </w:r>
          </w:p>
        </w:tc>
        <w:tc>
          <w:tcPr>
            <w:tcW w:w="989" w:type="dxa"/>
            <w:shd w:val="clear" w:color="auto" w:fill="auto"/>
            <w:vAlign w:val="bottom"/>
          </w:tcPr>
          <w:p w14:paraId="5AC290F9" w14:textId="77777777" w:rsidR="007523B8" w:rsidRPr="009E06AA" w:rsidRDefault="007523B8" w:rsidP="009357BD">
            <w:pPr>
              <w:pStyle w:val="TableText"/>
              <w:spacing w:before="50" w:after="50"/>
              <w:jc w:val="right"/>
              <w:rPr>
                <w:rFonts w:cs="Calibri"/>
                <w:szCs w:val="16"/>
              </w:rPr>
            </w:pPr>
            <w:r w:rsidRPr="009E06AA">
              <w:rPr>
                <w:rFonts w:cs="Calibri"/>
                <w:szCs w:val="16"/>
              </w:rPr>
              <w:t>–</w:t>
            </w:r>
          </w:p>
        </w:tc>
        <w:tc>
          <w:tcPr>
            <w:tcW w:w="824" w:type="dxa"/>
            <w:shd w:val="clear" w:color="auto" w:fill="auto"/>
            <w:vAlign w:val="bottom"/>
          </w:tcPr>
          <w:p w14:paraId="75407C17" w14:textId="77777777" w:rsidR="007523B8" w:rsidRPr="009E06AA" w:rsidRDefault="007523B8" w:rsidP="009357BD">
            <w:pPr>
              <w:pStyle w:val="TableText"/>
              <w:spacing w:before="50" w:after="50"/>
              <w:jc w:val="right"/>
              <w:rPr>
                <w:rFonts w:cs="Calibri"/>
                <w:szCs w:val="16"/>
              </w:rPr>
            </w:pPr>
            <w:r w:rsidRPr="009E06AA">
              <w:rPr>
                <w:rFonts w:cs="Calibri"/>
                <w:szCs w:val="16"/>
              </w:rPr>
              <w:t>–</w:t>
            </w:r>
          </w:p>
        </w:tc>
        <w:tc>
          <w:tcPr>
            <w:tcW w:w="726" w:type="dxa"/>
            <w:shd w:val="clear" w:color="auto" w:fill="auto"/>
            <w:vAlign w:val="bottom"/>
          </w:tcPr>
          <w:p w14:paraId="45E5842D" w14:textId="77777777" w:rsidR="007523B8" w:rsidRPr="009E06AA" w:rsidRDefault="007523B8" w:rsidP="009357BD">
            <w:pPr>
              <w:pStyle w:val="TableText"/>
              <w:spacing w:before="50" w:after="50"/>
              <w:jc w:val="right"/>
              <w:rPr>
                <w:rFonts w:cs="Calibri"/>
                <w:szCs w:val="16"/>
              </w:rPr>
            </w:pPr>
            <w:r w:rsidRPr="009E06AA">
              <w:rPr>
                <w:rFonts w:cs="Calibri"/>
                <w:szCs w:val="16"/>
              </w:rPr>
              <w:t>–</w:t>
            </w:r>
          </w:p>
        </w:tc>
      </w:tr>
      <w:tr w:rsidR="007523B8" w:rsidRPr="009E06AA" w14:paraId="7A220BF3" w14:textId="77777777" w:rsidTr="00B55F24">
        <w:tc>
          <w:tcPr>
            <w:tcW w:w="3206" w:type="dxa"/>
            <w:shd w:val="clear" w:color="auto" w:fill="auto"/>
            <w:vAlign w:val="bottom"/>
          </w:tcPr>
          <w:p w14:paraId="2BCC43B2" w14:textId="77777777" w:rsidR="007523B8" w:rsidRPr="009E06AA" w:rsidRDefault="007523B8" w:rsidP="00B55F24">
            <w:pPr>
              <w:pStyle w:val="TableText"/>
              <w:spacing w:before="50" w:after="50"/>
              <w:rPr>
                <w:rFonts w:cs="Calibri"/>
                <w:b/>
                <w:bCs/>
                <w:color w:val="1B556B"/>
                <w:szCs w:val="16"/>
              </w:rPr>
            </w:pPr>
            <w:r w:rsidRPr="009E06AA">
              <w:rPr>
                <w:rFonts w:cs="Calibri"/>
                <w:b/>
                <w:bCs/>
                <w:color w:val="1B556B"/>
                <w:szCs w:val="16"/>
              </w:rPr>
              <w:t>Total</w:t>
            </w:r>
          </w:p>
        </w:tc>
        <w:tc>
          <w:tcPr>
            <w:tcW w:w="796" w:type="dxa"/>
            <w:shd w:val="clear" w:color="auto" w:fill="auto"/>
          </w:tcPr>
          <w:p w14:paraId="564DBF62" w14:textId="77777777" w:rsidR="007523B8" w:rsidRPr="009E06AA" w:rsidRDefault="007523B8" w:rsidP="009357BD">
            <w:pPr>
              <w:pStyle w:val="TableText"/>
              <w:spacing w:before="50" w:after="50"/>
              <w:jc w:val="right"/>
              <w:rPr>
                <w:rFonts w:cs="Calibri"/>
                <w:b/>
                <w:color w:val="1B556B"/>
                <w:szCs w:val="16"/>
              </w:rPr>
            </w:pPr>
            <w:r w:rsidRPr="009E06AA">
              <w:t>37,121.5</w:t>
            </w:r>
          </w:p>
        </w:tc>
        <w:tc>
          <w:tcPr>
            <w:tcW w:w="894" w:type="dxa"/>
            <w:shd w:val="clear" w:color="auto" w:fill="auto"/>
          </w:tcPr>
          <w:p w14:paraId="7FB3E385" w14:textId="77777777" w:rsidR="007523B8" w:rsidRPr="009E06AA" w:rsidRDefault="007523B8" w:rsidP="009357BD">
            <w:pPr>
              <w:pStyle w:val="TableText"/>
              <w:spacing w:before="50" w:after="50"/>
              <w:jc w:val="right"/>
              <w:rPr>
                <w:rFonts w:cs="Calibri"/>
                <w:b/>
                <w:color w:val="1B556B"/>
                <w:szCs w:val="16"/>
              </w:rPr>
            </w:pPr>
            <w:r w:rsidRPr="009E06AA">
              <w:t>41,712.7</w:t>
            </w:r>
          </w:p>
        </w:tc>
        <w:tc>
          <w:tcPr>
            <w:tcW w:w="1002" w:type="dxa"/>
            <w:shd w:val="clear" w:color="auto" w:fill="auto"/>
          </w:tcPr>
          <w:p w14:paraId="332C6C1D" w14:textId="77777777" w:rsidR="007523B8" w:rsidRPr="009E06AA" w:rsidRDefault="007523B8" w:rsidP="009357BD">
            <w:pPr>
              <w:pStyle w:val="TableText"/>
              <w:spacing w:before="50" w:after="50"/>
              <w:jc w:val="right"/>
              <w:rPr>
                <w:rFonts w:cs="Calibri"/>
                <w:b/>
                <w:color w:val="1B556B"/>
                <w:szCs w:val="16"/>
              </w:rPr>
            </w:pPr>
            <w:r w:rsidRPr="009E06AA">
              <w:t>12.4</w:t>
            </w:r>
          </w:p>
        </w:tc>
        <w:tc>
          <w:tcPr>
            <w:tcW w:w="989" w:type="dxa"/>
            <w:shd w:val="clear" w:color="auto" w:fill="auto"/>
          </w:tcPr>
          <w:p w14:paraId="4A3C65AF" w14:textId="77777777" w:rsidR="007523B8" w:rsidRPr="009E06AA" w:rsidRDefault="007523B8" w:rsidP="009357BD">
            <w:pPr>
              <w:pStyle w:val="TableText"/>
              <w:spacing w:before="50" w:after="50"/>
              <w:jc w:val="right"/>
              <w:rPr>
                <w:rFonts w:cs="Calibri"/>
                <w:b/>
                <w:color w:val="1B556B"/>
                <w:szCs w:val="16"/>
              </w:rPr>
            </w:pPr>
            <w:r w:rsidRPr="009E06AA">
              <w:t>4,591.2</w:t>
            </w:r>
          </w:p>
        </w:tc>
        <w:tc>
          <w:tcPr>
            <w:tcW w:w="824" w:type="dxa"/>
            <w:shd w:val="clear" w:color="auto" w:fill="auto"/>
          </w:tcPr>
          <w:p w14:paraId="0A15B98D" w14:textId="77777777" w:rsidR="007523B8" w:rsidRPr="009E06AA" w:rsidRDefault="007523B8" w:rsidP="009357BD">
            <w:pPr>
              <w:pStyle w:val="TableText"/>
              <w:spacing w:before="50" w:after="50"/>
              <w:jc w:val="right"/>
              <w:rPr>
                <w:rFonts w:cs="Calibri"/>
                <w:b/>
                <w:color w:val="1B556B"/>
                <w:szCs w:val="16"/>
              </w:rPr>
            </w:pPr>
            <w:r w:rsidRPr="009E06AA">
              <w:t>100.0</w:t>
            </w:r>
          </w:p>
        </w:tc>
        <w:tc>
          <w:tcPr>
            <w:tcW w:w="726" w:type="dxa"/>
            <w:shd w:val="clear" w:color="auto" w:fill="auto"/>
          </w:tcPr>
          <w:p w14:paraId="7E7C1AEE" w14:textId="77777777" w:rsidR="007523B8" w:rsidRPr="009E06AA" w:rsidRDefault="007523B8" w:rsidP="009357BD">
            <w:pPr>
              <w:pStyle w:val="TableText"/>
              <w:spacing w:before="50" w:after="50"/>
              <w:jc w:val="right"/>
              <w:rPr>
                <w:rFonts w:cs="Calibri"/>
                <w:b/>
                <w:color w:val="1B556B"/>
                <w:szCs w:val="16"/>
              </w:rPr>
            </w:pPr>
            <w:r w:rsidRPr="009E06AA">
              <w:t>100.0</w:t>
            </w:r>
          </w:p>
        </w:tc>
      </w:tr>
    </w:tbl>
    <w:bookmarkEnd w:id="743"/>
    <w:p w14:paraId="07317446" w14:textId="77777777" w:rsidR="007523B8" w:rsidRPr="009E06AA" w:rsidRDefault="007523B8" w:rsidP="007523B8">
      <w:pPr>
        <w:pStyle w:val="Noteundertable"/>
        <w:rPr>
          <w:rFonts w:cs="Calibri"/>
        </w:rPr>
      </w:pPr>
      <w:r w:rsidRPr="009E06AA">
        <w:rPr>
          <w:rFonts w:cs="Calibri"/>
          <w:b/>
          <w:bCs/>
        </w:rPr>
        <w:t>Note:</w:t>
      </w:r>
      <w:r w:rsidRPr="009E06AA">
        <w:rPr>
          <w:rFonts w:cs="Calibri"/>
        </w:rPr>
        <w:t xml:space="preserve"> </w:t>
      </w:r>
      <w:r w:rsidRPr="009E06AA">
        <w:rPr>
          <w:rFonts w:cs="Calibri"/>
        </w:rPr>
        <w:tab/>
        <w:t>NO = not occurring, NE = not estimated. Columns may not sum due to rounding. Percentages presented are calculated from unrounded values.</w:t>
      </w:r>
    </w:p>
    <w:p w14:paraId="0F4652D0" w14:textId="77777777" w:rsidR="007523B8" w:rsidRPr="009E06AA" w:rsidRDefault="007523B8" w:rsidP="007523B8">
      <w:pPr>
        <w:pStyle w:val="BodyText"/>
        <w:rPr>
          <w:rFonts w:cs="Calibri"/>
          <w:spacing w:val="-2"/>
        </w:rPr>
      </w:pPr>
      <w:r w:rsidRPr="009E06AA">
        <w:rPr>
          <w:rFonts w:cs="Calibri"/>
        </w:rPr>
        <w:t xml:space="preserve">The greatest absolute contributions to the increase since 1990 are a 1,653.5 kt </w:t>
      </w:r>
      <w:r w:rsidRPr="009E06AA">
        <w:rPr>
          <w:rFonts w:cs="Calibri"/>
          <w:spacing w:val="-2"/>
        </w:rPr>
        <w:t>CO</w:t>
      </w:r>
      <w:r w:rsidRPr="009E06AA">
        <w:rPr>
          <w:rFonts w:cs="Calibri"/>
          <w:spacing w:val="-2"/>
          <w:vertAlign w:val="subscript"/>
        </w:rPr>
        <w:t>2</w:t>
      </w:r>
      <w:r w:rsidRPr="009E06AA">
        <w:rPr>
          <w:rFonts w:cs="Calibri"/>
          <w:spacing w:val="-2"/>
        </w:rPr>
        <w:t>-e (35.4</w:t>
      </w:r>
      <w:r w:rsidRPr="009E06AA">
        <w:rPr>
          <w:spacing w:val="-2"/>
        </w:rPr>
        <w:t xml:space="preserve"> per cent</w:t>
      </w:r>
      <w:r w:rsidRPr="009E06AA">
        <w:rPr>
          <w:rFonts w:cs="Calibri"/>
          <w:spacing w:val="-2"/>
        </w:rPr>
        <w:t xml:space="preserve">) increase in emissions from </w:t>
      </w:r>
      <w:r w:rsidRPr="009E06AA">
        <w:rPr>
          <w:rFonts w:cs="Calibri"/>
          <w:i/>
          <w:spacing w:val="-2"/>
        </w:rPr>
        <w:t>Agricultural soils</w:t>
      </w:r>
      <w:r w:rsidRPr="009E06AA">
        <w:rPr>
          <w:rFonts w:cs="Calibri"/>
        </w:rPr>
        <w:t xml:space="preserve"> </w:t>
      </w:r>
      <w:r w:rsidRPr="009E06AA">
        <w:rPr>
          <w:rFonts w:cs="Calibri"/>
          <w:spacing w:val="-2"/>
        </w:rPr>
        <w:t>and a 1,404</w:t>
      </w:r>
      <w:r w:rsidRPr="009E06AA">
        <w:rPr>
          <w:spacing w:val="-2"/>
        </w:rPr>
        <w:t xml:space="preserve">.7 </w:t>
      </w:r>
      <w:r w:rsidRPr="009E06AA">
        <w:rPr>
          <w:rFonts w:cs="Calibri"/>
          <w:spacing w:val="-2"/>
        </w:rPr>
        <w:t>kt CO</w:t>
      </w:r>
      <w:r w:rsidRPr="009E06AA">
        <w:rPr>
          <w:rFonts w:cs="Calibri"/>
          <w:spacing w:val="-2"/>
          <w:vertAlign w:val="subscript"/>
        </w:rPr>
        <w:t>2</w:t>
      </w:r>
      <w:r w:rsidRPr="009E06AA">
        <w:rPr>
          <w:rFonts w:cs="Calibri"/>
          <w:spacing w:val="-2"/>
        </w:rPr>
        <w:t xml:space="preserve">-e </w:t>
      </w:r>
      <w:r w:rsidRPr="009E06AA">
        <w:t xml:space="preserve">(4.5 per cent) increase in emissions from </w:t>
      </w:r>
      <w:r w:rsidRPr="009E06AA">
        <w:rPr>
          <w:i/>
        </w:rPr>
        <w:t>Enteric fermentation</w:t>
      </w:r>
      <w:r w:rsidRPr="009E06AA">
        <w:t xml:space="preserve"> </w:t>
      </w:r>
      <w:r w:rsidRPr="009E06AA">
        <w:rPr>
          <w:rFonts w:cs="Calibri"/>
        </w:rPr>
        <w:t xml:space="preserve">(table 5.1.1 and figure 5.1.1). </w:t>
      </w:r>
    </w:p>
    <w:p w14:paraId="17E39D94" w14:textId="77777777" w:rsidR="007523B8" w:rsidRPr="009E06AA" w:rsidRDefault="007523B8" w:rsidP="007523B8">
      <w:pPr>
        <w:pStyle w:val="BodyText"/>
        <w:rPr>
          <w:rFonts w:cs="Calibri"/>
        </w:rPr>
      </w:pPr>
      <w:r w:rsidRPr="009E06AA">
        <w:rPr>
          <w:rFonts w:cs="Calibri"/>
          <w:spacing w:val="-2"/>
        </w:rPr>
        <w:t>The increase in N</w:t>
      </w:r>
      <w:r w:rsidRPr="009E06AA">
        <w:rPr>
          <w:rFonts w:cs="Calibri"/>
          <w:spacing w:val="-2"/>
          <w:vertAlign w:val="subscript"/>
        </w:rPr>
        <w:t>2</w:t>
      </w:r>
      <w:r w:rsidRPr="009E06AA">
        <w:rPr>
          <w:rFonts w:cs="Calibri"/>
          <w:spacing w:val="-2"/>
        </w:rPr>
        <w:t xml:space="preserve">O emissions from </w:t>
      </w:r>
      <w:r w:rsidRPr="009E06AA">
        <w:rPr>
          <w:rFonts w:cs="Calibri"/>
          <w:i/>
          <w:iCs/>
          <w:spacing w:val="-2"/>
        </w:rPr>
        <w:t>Agricultural soils</w:t>
      </w:r>
      <w:r w:rsidRPr="009E06AA">
        <w:rPr>
          <w:rFonts w:cs="Calibri"/>
          <w:spacing w:val="-2"/>
        </w:rPr>
        <w:t xml:space="preserve"> is primarily a result of increased application</w:t>
      </w:r>
      <w:r w:rsidRPr="009E06AA">
        <w:rPr>
          <w:rFonts w:cs="Calibri"/>
        </w:rPr>
        <w:t xml:space="preserve"> of synthetic nitrogen fertiliser by 465 per cent</w:t>
      </w:r>
      <w:r w:rsidRPr="009E06AA" w:rsidDel="00721C02">
        <w:rPr>
          <w:rFonts w:cs="Calibri"/>
        </w:rPr>
        <w:t xml:space="preserve"> </w:t>
      </w:r>
      <w:r w:rsidRPr="009E06AA">
        <w:rPr>
          <w:rFonts w:cs="Calibri"/>
        </w:rPr>
        <w:t>since 1990. This is partly due to an increase in dairy farming, as w</w:t>
      </w:r>
      <w:bookmarkStart w:id="745" w:name="xxxxx"/>
      <w:bookmarkEnd w:id="745"/>
      <w:r w:rsidRPr="009E06AA">
        <w:rPr>
          <w:rFonts w:cs="Calibri"/>
        </w:rPr>
        <w:t>ell as increased use on other farm types.</w:t>
      </w:r>
      <w:r w:rsidRPr="009E06AA">
        <w:t xml:space="preserve"> The emissions from synthetic nitrogen fertiliser use (N</w:t>
      </w:r>
      <w:r w:rsidRPr="009E06AA">
        <w:rPr>
          <w:vertAlign w:val="subscript"/>
        </w:rPr>
        <w:t>2</w:t>
      </w:r>
      <w:r w:rsidRPr="009E06AA">
        <w:t xml:space="preserve">O) increased by 915.8 </w:t>
      </w:r>
      <w:r w:rsidRPr="009E06AA">
        <w:rPr>
          <w:rFonts w:cs="Calibri"/>
        </w:rPr>
        <w:t xml:space="preserve">kt </w:t>
      </w:r>
      <w:r w:rsidRPr="009E06AA">
        <w:rPr>
          <w:rFonts w:cs="Calibri"/>
          <w:spacing w:val="-2"/>
        </w:rPr>
        <w:t>CO</w:t>
      </w:r>
      <w:r w:rsidRPr="009E06AA">
        <w:rPr>
          <w:rFonts w:cs="Calibri"/>
          <w:spacing w:val="-2"/>
          <w:vertAlign w:val="subscript"/>
        </w:rPr>
        <w:t>2</w:t>
      </w:r>
      <w:r w:rsidRPr="009E06AA">
        <w:rPr>
          <w:rFonts w:cs="Calibri"/>
          <w:spacing w:val="-2"/>
        </w:rPr>
        <w:t xml:space="preserve">-e between 1990 and 2022. This is 55.4 per cent of the total increase in emissions from </w:t>
      </w:r>
      <w:r w:rsidRPr="009E06AA">
        <w:rPr>
          <w:rFonts w:cs="Calibri"/>
          <w:i/>
          <w:spacing w:val="-2"/>
        </w:rPr>
        <w:t xml:space="preserve">Agricultural soils. </w:t>
      </w:r>
    </w:p>
    <w:p w14:paraId="1220EA18" w14:textId="77777777" w:rsidR="007523B8" w:rsidRPr="009E06AA" w:rsidRDefault="007523B8" w:rsidP="007523B8">
      <w:pPr>
        <w:pStyle w:val="BodyText"/>
        <w:rPr>
          <w:strike/>
        </w:rPr>
      </w:pPr>
      <w:r w:rsidRPr="009E06AA">
        <w:rPr>
          <w:rFonts w:cs="Calibri"/>
        </w:rPr>
        <w:t xml:space="preserve">The increase in emissions from </w:t>
      </w:r>
      <w:r w:rsidRPr="009E06AA">
        <w:rPr>
          <w:rFonts w:cs="Calibri"/>
          <w:i/>
          <w:iCs/>
        </w:rPr>
        <w:t>Enteric fermentation</w:t>
      </w:r>
      <w:r w:rsidRPr="009E06AA">
        <w:rPr>
          <w:rFonts w:cs="Calibri"/>
        </w:rPr>
        <w:t xml:space="preserve"> is driven by an increase in dairy cattle </w:t>
      </w:r>
      <w:r w:rsidRPr="009E06AA">
        <w:rPr>
          <w:rFonts w:cs="Calibri"/>
          <w:spacing w:val="-2"/>
        </w:rPr>
        <w:t>numbers, which is partially offset by a decrease in non-dairy (beef) cattle and a decline in sheep numbers. The</w:t>
      </w:r>
      <w:r w:rsidRPr="009E06AA">
        <w:rPr>
          <w:rFonts w:cs="Calibri"/>
        </w:rPr>
        <w:t xml:space="preserve"> change in animal populations since 1990 reflects the relative financial returns in each sector (it has been more profitable to farm dairy cattle than non-dairy cattle or sheep in </w:t>
      </w:r>
      <w:r w:rsidRPr="009E06AA">
        <w:t>New Zealand</w:t>
      </w:r>
      <w:r w:rsidRPr="009E06AA">
        <w:rPr>
          <w:rFonts w:cs="Calibri"/>
        </w:rPr>
        <w:t xml:space="preserve"> over the reporting period). </w:t>
      </w:r>
    </w:p>
    <w:p w14:paraId="13C15E75" w14:textId="72A6EF50" w:rsidR="007523B8" w:rsidRPr="009E06AA" w:rsidRDefault="007523B8" w:rsidP="007523B8">
      <w:pPr>
        <w:pStyle w:val="Figure"/>
      </w:pPr>
      <w:bookmarkStart w:id="746" w:name="_Toc32570956"/>
      <w:bookmarkStart w:id="747" w:name="_Toc36292786"/>
      <w:bookmarkStart w:id="748" w:name="_Toc68786651"/>
      <w:bookmarkStart w:id="749" w:name="_Toc95574112"/>
      <w:bookmarkStart w:id="750" w:name="_Toc127458551"/>
      <w:bookmarkStart w:id="751" w:name="_Toc131591553"/>
      <w:bookmarkStart w:id="752" w:name="_Toc164154021"/>
      <w:r w:rsidRPr="009E06AA">
        <w:t>Figure 5.1.1</w:t>
      </w:r>
      <w:r w:rsidRPr="009E06AA">
        <w:tab/>
        <w:t>New Zealand’s emissions from the Agriculture sector</w:t>
      </w:r>
      <w:r w:rsidR="00285D4A" w:rsidRPr="009E06AA">
        <w:t>,</w:t>
      </w:r>
      <w:r w:rsidRPr="009E06AA">
        <w:t xml:space="preserve"> from 1990 to </w:t>
      </w:r>
      <w:bookmarkEnd w:id="746"/>
      <w:bookmarkEnd w:id="747"/>
      <w:bookmarkEnd w:id="748"/>
      <w:r w:rsidRPr="009E06AA">
        <w:t>202</w:t>
      </w:r>
      <w:bookmarkEnd w:id="749"/>
      <w:bookmarkEnd w:id="750"/>
      <w:bookmarkEnd w:id="751"/>
      <w:r w:rsidRPr="009E06AA">
        <w:t>2</w:t>
      </w:r>
      <w:bookmarkEnd w:id="752"/>
    </w:p>
    <w:p w14:paraId="7C5169C5" w14:textId="77777777" w:rsidR="007523B8" w:rsidRPr="009E06AA" w:rsidRDefault="007523B8" w:rsidP="007523B8">
      <w:pPr>
        <w:pStyle w:val="BodyText"/>
        <w:spacing w:before="0"/>
      </w:pPr>
      <w:r w:rsidRPr="009E06AA">
        <w:rPr>
          <w:noProof/>
        </w:rPr>
        <w:drawing>
          <wp:inline distT="0" distB="0" distL="0" distR="0" wp14:anchorId="0433B3DF" wp14:editId="69A37868">
            <wp:extent cx="5236460" cy="3021874"/>
            <wp:effectExtent l="0" t="0" r="2540" b="7620"/>
            <wp:docPr id="393107447" name="Picture 393107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256776" cy="3033598"/>
                    </a:xfrm>
                    <a:prstGeom prst="rect">
                      <a:avLst/>
                    </a:prstGeom>
                  </pic:spPr>
                </pic:pic>
              </a:graphicData>
            </a:graphic>
          </wp:inline>
        </w:drawing>
      </w:r>
    </w:p>
    <w:p w14:paraId="5A539E67" w14:textId="77777777" w:rsidR="007523B8" w:rsidRPr="009E06AA" w:rsidRDefault="007523B8" w:rsidP="007523B8">
      <w:pPr>
        <w:pStyle w:val="Noteundertable"/>
        <w:spacing w:before="0"/>
        <w:rPr>
          <w:rFonts w:cs="Calibri"/>
        </w:rPr>
      </w:pPr>
      <w:r w:rsidRPr="009E06AA">
        <w:rPr>
          <w:rFonts w:cs="Calibri"/>
          <w:b/>
          <w:bCs/>
        </w:rPr>
        <w:t>Note:</w:t>
      </w:r>
      <w:r w:rsidRPr="009E06AA">
        <w:rPr>
          <w:rFonts w:cs="Calibri"/>
        </w:rPr>
        <w:t xml:space="preserve"> </w:t>
      </w:r>
      <w:r w:rsidRPr="009E06AA">
        <w:rPr>
          <w:rFonts w:cs="Calibri"/>
        </w:rPr>
        <w:tab/>
        <w:t xml:space="preserve">Rice cultivation does not occur (NO) in New Zealand. Emissions from other carbon-containing fertilisers are not estimated (NE). </w:t>
      </w:r>
    </w:p>
    <w:p w14:paraId="54F0CEBA" w14:textId="77777777" w:rsidR="007523B8" w:rsidRPr="009E06AA" w:rsidRDefault="007523B8" w:rsidP="007523B8">
      <w:pPr>
        <w:pStyle w:val="BodyText"/>
        <w:rPr>
          <w:rFonts w:cs="Calibri"/>
        </w:rPr>
      </w:pPr>
      <w:r w:rsidRPr="009E06AA">
        <w:rPr>
          <w:rFonts w:cs="Calibri"/>
        </w:rPr>
        <w:t xml:space="preserve">Agriculture emissions most recently peaked at 43,281.9 kt </w:t>
      </w:r>
      <w:r w:rsidRPr="009E06AA">
        <w:t>CO</w:t>
      </w:r>
      <w:r w:rsidRPr="009E06AA">
        <w:rPr>
          <w:vertAlign w:val="subscript"/>
        </w:rPr>
        <w:t>2</w:t>
      </w:r>
      <w:r w:rsidRPr="009E06AA">
        <w:t xml:space="preserve">-e in 2014, corresponding with a peak in overall cattle numbers. Prior to 2014, </w:t>
      </w:r>
      <w:r w:rsidRPr="009E06AA">
        <w:rPr>
          <w:iCs/>
        </w:rPr>
        <w:t>Agriculture</w:t>
      </w:r>
      <w:r w:rsidRPr="009E06AA">
        <w:rPr>
          <w:i/>
        </w:rPr>
        <w:t xml:space="preserve"> </w:t>
      </w:r>
      <w:r w:rsidRPr="009E06AA">
        <w:t>emissions were at their highest in 2005 (43,125.9 kt CO</w:t>
      </w:r>
      <w:r w:rsidRPr="009E06AA">
        <w:rPr>
          <w:vertAlign w:val="subscript"/>
        </w:rPr>
        <w:t>2</w:t>
      </w:r>
      <w:r w:rsidRPr="009E06AA">
        <w:t>-e) but dropped by around 1,200 kt CO</w:t>
      </w:r>
      <w:r w:rsidRPr="009E06AA">
        <w:rPr>
          <w:vertAlign w:val="subscript"/>
        </w:rPr>
        <w:t>2</w:t>
      </w:r>
      <w:r w:rsidRPr="009E06AA">
        <w:t>-e during the Global Financial Crisis (2007–08) and another 900 kt CO</w:t>
      </w:r>
      <w:r w:rsidRPr="009E06AA">
        <w:rPr>
          <w:vertAlign w:val="subscript"/>
        </w:rPr>
        <w:t>2</w:t>
      </w:r>
      <w:r w:rsidRPr="009E06AA">
        <w:t>-e during the 2008 nationwide drought. Agriculture</w:t>
      </w:r>
      <w:r w:rsidRPr="009E06AA">
        <w:rPr>
          <w:iCs/>
        </w:rPr>
        <w:t xml:space="preserve"> </w:t>
      </w:r>
      <w:r w:rsidRPr="009E06AA">
        <w:t>emissions have remained slightly below the 2014 peak in the years 2015 to 2022 (figure 5.1.2).</w:t>
      </w:r>
    </w:p>
    <w:p w14:paraId="35379255" w14:textId="2BFFD63B" w:rsidR="007523B8" w:rsidRPr="009E06AA" w:rsidRDefault="007523B8" w:rsidP="007523B8">
      <w:pPr>
        <w:pStyle w:val="Figure"/>
      </w:pPr>
      <w:bookmarkStart w:id="753" w:name="_Toc32570957"/>
      <w:bookmarkStart w:id="754" w:name="_Toc36292787"/>
      <w:bookmarkStart w:id="755" w:name="_Toc68786652"/>
      <w:bookmarkStart w:id="756" w:name="_Toc95574113"/>
      <w:bookmarkStart w:id="757" w:name="_Toc127458552"/>
      <w:bookmarkStart w:id="758" w:name="_Toc131591554"/>
      <w:bookmarkStart w:id="759" w:name="_Toc164154022"/>
      <w:r w:rsidRPr="009E06AA">
        <w:t>Figure 5.1.2</w:t>
      </w:r>
      <w:r w:rsidRPr="009E06AA">
        <w:tab/>
        <w:t>New Zealand’s Agriculture sector emissions</w:t>
      </w:r>
      <w:r w:rsidR="00BB59D3" w:rsidRPr="009E06AA">
        <w:t>,</w:t>
      </w:r>
      <w:r w:rsidRPr="009E06AA">
        <w:t xml:space="preserve"> from 1990 to </w:t>
      </w:r>
      <w:bookmarkEnd w:id="753"/>
      <w:bookmarkEnd w:id="754"/>
      <w:bookmarkEnd w:id="755"/>
      <w:bookmarkEnd w:id="756"/>
      <w:bookmarkEnd w:id="757"/>
      <w:bookmarkEnd w:id="758"/>
      <w:r w:rsidRPr="009E06AA">
        <w:t>2022</w:t>
      </w:r>
      <w:bookmarkEnd w:id="759"/>
    </w:p>
    <w:p w14:paraId="2FF59BC6" w14:textId="77777777" w:rsidR="007523B8" w:rsidRPr="009E06AA" w:rsidRDefault="007523B8" w:rsidP="007523B8">
      <w:pPr>
        <w:pStyle w:val="BodyText"/>
        <w:spacing w:before="0" w:after="0"/>
        <w:rPr>
          <w:rFonts w:cs="Calibri"/>
        </w:rPr>
      </w:pPr>
      <w:r w:rsidRPr="009E06AA">
        <w:rPr>
          <w:noProof/>
        </w:rPr>
        <w:drawing>
          <wp:inline distT="0" distB="0" distL="0" distR="0" wp14:anchorId="553E9EAC" wp14:editId="5E5A0892">
            <wp:extent cx="5032800" cy="294250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045644" cy="2950016"/>
                    </a:xfrm>
                    <a:prstGeom prst="rect">
                      <a:avLst/>
                    </a:prstGeom>
                    <a:noFill/>
                    <a:ln>
                      <a:noFill/>
                    </a:ln>
                  </pic:spPr>
                </pic:pic>
              </a:graphicData>
            </a:graphic>
          </wp:inline>
        </w:drawing>
      </w:r>
    </w:p>
    <w:p w14:paraId="7C65CD0C" w14:textId="77777777" w:rsidR="007523B8" w:rsidRPr="009E06AA" w:rsidRDefault="007523B8" w:rsidP="00BF2A76">
      <w:pPr>
        <w:pStyle w:val="Heading5"/>
      </w:pPr>
      <w:r w:rsidRPr="009E06AA">
        <w:t xml:space="preserve">2021–2022 </w:t>
      </w:r>
    </w:p>
    <w:p w14:paraId="6878488F" w14:textId="77777777" w:rsidR="007523B8" w:rsidRPr="009E06AA" w:rsidRDefault="007523B8" w:rsidP="007523B8">
      <w:pPr>
        <w:pStyle w:val="BodyText"/>
      </w:pPr>
      <w:r w:rsidRPr="009E06AA">
        <w:t>Between 2021 and 2022, total Agriculture emissions decreased 1.4 per cent (607.9 kt CO</w:t>
      </w:r>
      <w:r w:rsidRPr="009E06AA">
        <w:rPr>
          <w:vertAlign w:val="subscript"/>
        </w:rPr>
        <w:t>2</w:t>
      </w:r>
      <w:r w:rsidRPr="009E06AA">
        <w:noBreakHyphen/>
        <w:t>e), largely due to a decrease in emissions from synthetic fertiliser use, non-dairy cattle and sheep. Specifically:</w:t>
      </w:r>
    </w:p>
    <w:p w14:paraId="698471E2" w14:textId="77777777" w:rsidR="007523B8" w:rsidRPr="009E06AA" w:rsidRDefault="007523B8" w:rsidP="007523B8">
      <w:pPr>
        <w:pStyle w:val="Bullet"/>
      </w:pPr>
      <w:r w:rsidRPr="009E06AA">
        <w:t>the combined emissions from synthetic nitrogen fertiliser use (N</w:t>
      </w:r>
      <w:r w:rsidRPr="009E06AA">
        <w:rPr>
          <w:vertAlign w:val="subscript"/>
        </w:rPr>
        <w:t>2</w:t>
      </w:r>
      <w:r w:rsidRPr="009E06AA">
        <w:t xml:space="preserve">O) and </w:t>
      </w:r>
      <w:r w:rsidRPr="009E06AA">
        <w:rPr>
          <w:i/>
          <w:iCs/>
        </w:rPr>
        <w:t>Urea</w:t>
      </w:r>
      <w:r w:rsidRPr="009E06AA">
        <w:rPr>
          <w:i/>
        </w:rPr>
        <w:t xml:space="preserve"> application</w:t>
      </w:r>
      <w:r w:rsidRPr="009E06AA">
        <w:t xml:space="preserve"> (CO</w:t>
      </w:r>
      <w:r w:rsidRPr="009E06AA">
        <w:rPr>
          <w:vertAlign w:val="subscript"/>
        </w:rPr>
        <w:t>2</w:t>
      </w:r>
      <w:r w:rsidRPr="009E06AA">
        <w:t>) decreased by 24.1 per cent (495.8 kt CO</w:t>
      </w:r>
      <w:r w:rsidRPr="009E06AA">
        <w:rPr>
          <w:vertAlign w:val="subscript"/>
        </w:rPr>
        <w:t>2</w:t>
      </w:r>
      <w:r w:rsidRPr="009E06AA">
        <w:t xml:space="preserve">-e) due to a decrease in nitrogen fertiliser use primarily as a result of increasing costs </w:t>
      </w:r>
    </w:p>
    <w:p w14:paraId="1911E670" w14:textId="77777777" w:rsidR="007523B8" w:rsidRPr="009E06AA" w:rsidRDefault="007523B8" w:rsidP="007523B8">
      <w:pPr>
        <w:pStyle w:val="Bullet"/>
      </w:pPr>
      <w:r w:rsidRPr="009E06AA">
        <w:t>non-dairy cattle emissions decreased by 2.8 per cent (234.4 kt CO</w:t>
      </w:r>
      <w:r w:rsidRPr="009E06AA">
        <w:rPr>
          <w:vertAlign w:val="subscript"/>
        </w:rPr>
        <w:t>2</w:t>
      </w:r>
      <w:r w:rsidRPr="009E06AA">
        <w:t>-e) due to a decrease in the beef cattle population</w:t>
      </w:r>
    </w:p>
    <w:p w14:paraId="5EC2096A" w14:textId="77777777" w:rsidR="007523B8" w:rsidRPr="009E06AA" w:rsidRDefault="007523B8" w:rsidP="007523B8">
      <w:pPr>
        <w:pStyle w:val="Bullet"/>
      </w:pPr>
      <w:r w:rsidRPr="009E06AA">
        <w:t>sheep emissions decreased by 1.2 per cent (118.4 kt CO</w:t>
      </w:r>
      <w:r w:rsidRPr="009E06AA">
        <w:rPr>
          <w:vertAlign w:val="subscript"/>
        </w:rPr>
        <w:t>2</w:t>
      </w:r>
      <w:r w:rsidRPr="009E06AA">
        <w:t xml:space="preserve">-e) due to </w:t>
      </w:r>
      <w:r w:rsidRPr="009E06AA" w:rsidDel="008E6959">
        <w:t xml:space="preserve">a </w:t>
      </w:r>
      <w:r w:rsidRPr="009E06AA">
        <w:t>continuing decrease in the sheep population.</w:t>
      </w:r>
    </w:p>
    <w:p w14:paraId="54F00039" w14:textId="77777777" w:rsidR="007523B8" w:rsidRPr="009E06AA" w:rsidRDefault="007523B8" w:rsidP="007523B8">
      <w:pPr>
        <w:pStyle w:val="BodyText"/>
      </w:pPr>
      <w:r w:rsidRPr="009E06AA">
        <w:t>Emissions from some other activities increased but were not enough to offset the overall decrease in agricultural emissions. Some of these increases include:</w:t>
      </w:r>
    </w:p>
    <w:p w14:paraId="164566F2" w14:textId="77777777" w:rsidR="007523B8" w:rsidRPr="009E06AA" w:rsidRDefault="007523B8" w:rsidP="007523B8">
      <w:pPr>
        <w:pStyle w:val="Bullet"/>
      </w:pPr>
      <w:r w:rsidRPr="009E06AA">
        <w:t>dairy emissions, which increased by 1.0 per cent (196.8 kt CO</w:t>
      </w:r>
      <w:r w:rsidRPr="009E06AA">
        <w:rPr>
          <w:vertAlign w:val="subscript"/>
        </w:rPr>
        <w:t>2</w:t>
      </w:r>
      <w:r w:rsidRPr="009E06AA">
        <w:t>-e) due to an increase in average dairy cattle weights and milksolids produced</w:t>
      </w:r>
    </w:p>
    <w:p w14:paraId="7F8B1C64" w14:textId="77777777" w:rsidR="007523B8" w:rsidRPr="009E06AA" w:rsidRDefault="007523B8" w:rsidP="007523B8">
      <w:pPr>
        <w:pStyle w:val="Bullet"/>
      </w:pPr>
      <w:r w:rsidRPr="009E06AA">
        <w:t>lime and dolomite emissions, which increased by 25.3 per cent (90.0 kt CO</w:t>
      </w:r>
      <w:r w:rsidRPr="009E06AA">
        <w:rPr>
          <w:vertAlign w:val="subscript"/>
        </w:rPr>
        <w:t>2</w:t>
      </w:r>
      <w:r w:rsidRPr="009E06AA">
        <w:t>-e) due to an increase in application.</w:t>
      </w:r>
    </w:p>
    <w:p w14:paraId="16CD174D" w14:textId="77777777" w:rsidR="007523B8" w:rsidRPr="009E06AA" w:rsidRDefault="007523B8" w:rsidP="007523B8">
      <w:pPr>
        <w:pStyle w:val="Heading3"/>
      </w:pPr>
      <w:bookmarkStart w:id="760" w:name="_Toc32570643"/>
      <w:r w:rsidRPr="009E06AA">
        <w:t>5.1.1</w:t>
      </w:r>
      <w:r w:rsidRPr="009E06AA">
        <w:tab/>
        <w:t>New Zealand farming practices and trends</w:t>
      </w:r>
      <w:bookmarkEnd w:id="760"/>
      <w:r w:rsidRPr="009E06AA">
        <w:t xml:space="preserve"> </w:t>
      </w:r>
    </w:p>
    <w:p w14:paraId="550398E6" w14:textId="77777777" w:rsidR="007523B8" w:rsidRPr="009E06AA" w:rsidRDefault="007523B8" w:rsidP="007523B8">
      <w:pPr>
        <w:pStyle w:val="BodyText"/>
        <w:rPr>
          <w:rFonts w:cs="Calibri"/>
        </w:rPr>
      </w:pPr>
      <w:r w:rsidRPr="009E06AA">
        <w:rPr>
          <w:rFonts w:cs="Calibri"/>
        </w:rPr>
        <w:t xml:space="preserve">Agriculture is a major component of the </w:t>
      </w:r>
      <w:r w:rsidRPr="009E06AA">
        <w:t>New Zealand</w:t>
      </w:r>
      <w:r w:rsidRPr="009E06AA" w:rsidDel="007E7C77">
        <w:rPr>
          <w:rFonts w:cs="Calibri"/>
        </w:rPr>
        <w:t xml:space="preserve"> </w:t>
      </w:r>
      <w:r w:rsidRPr="009E06AA">
        <w:rPr>
          <w:rFonts w:cs="Calibri"/>
        </w:rPr>
        <w:t xml:space="preserve">economy, and exports from food and fibre products comprised around </w:t>
      </w:r>
      <w:r w:rsidRPr="009E06AA">
        <w:t xml:space="preserve">82 per cent of New Zealand’s merchandise exports and delivered $57.4 billion in export earnings in the year to 30 June 2023 (MPI, 2023). </w:t>
      </w:r>
      <w:r w:rsidRPr="009E06AA">
        <w:rPr>
          <w:rFonts w:cs="Calibri"/>
        </w:rPr>
        <w:t xml:space="preserve">The production of agricultural products in </w:t>
      </w:r>
      <w:r w:rsidRPr="009E06AA" w:rsidDel="00AD2AA8">
        <w:t xml:space="preserve">New </w:t>
      </w:r>
      <w:r w:rsidRPr="009E06AA">
        <w:t>Zealand</w:t>
      </w:r>
      <w:r w:rsidRPr="009E06AA">
        <w:rPr>
          <w:rFonts w:cs="Calibri"/>
        </w:rPr>
        <w:t xml:space="preserve"> is helped by the favourable temperate climate and access to abundant freshwater and highly productive soils. Typical farming practices in </w:t>
      </w:r>
      <w:r w:rsidRPr="009E06AA" w:rsidDel="00224057">
        <w:t xml:space="preserve">New </w:t>
      </w:r>
      <w:r w:rsidRPr="009E06AA">
        <w:t>Zealand</w:t>
      </w:r>
      <w:r w:rsidRPr="009E06AA">
        <w:rPr>
          <w:rFonts w:cs="Calibri"/>
        </w:rPr>
        <w:t xml:space="preserve"> include the use of year-round outdoor pastoral grazing systems and nitrogen inputs through nitrogen fixation by legumes, particularly white clover, complemented (if required) by synthetic nitrogen fertiliser and supplementary feeds. The</w:t>
      </w:r>
      <w:r w:rsidRPr="009E06AA" w:rsidDel="008E6959">
        <w:rPr>
          <w:rFonts w:cs="Calibri"/>
        </w:rPr>
        <w:t xml:space="preserve"> </w:t>
      </w:r>
      <w:r w:rsidRPr="009E06AA">
        <w:rPr>
          <w:rFonts w:cs="Calibri"/>
        </w:rPr>
        <w:t xml:space="preserve">widespread use of outdoor pastoral grazing systems means </w:t>
      </w:r>
      <w:r w:rsidRPr="009E06AA">
        <w:t>New Zealand’s</w:t>
      </w:r>
      <w:r w:rsidRPr="009E06AA">
        <w:rPr>
          <w:rFonts w:cs="Calibri"/>
        </w:rPr>
        <w:t xml:space="preserve"> agricultural production is more sensitive to climatic variation affecting feed production than countries that use intensive grain</w:t>
      </w:r>
      <w:r w:rsidRPr="009E06AA">
        <w:rPr>
          <w:rFonts w:cs="Calibri"/>
        </w:rPr>
        <w:noBreakHyphen/>
        <w:t xml:space="preserve">fed systems and/or indoor feedlots. </w:t>
      </w:r>
    </w:p>
    <w:p w14:paraId="060D84AD" w14:textId="77777777" w:rsidR="007523B8" w:rsidRPr="009E06AA" w:rsidRDefault="007523B8" w:rsidP="007523B8">
      <w:pPr>
        <w:pStyle w:val="BodyText"/>
      </w:pPr>
      <w:r w:rsidRPr="009E06AA">
        <w:t xml:space="preserve">Intensive housing of major ruminant livestock species rarely occurs in </w:t>
      </w:r>
      <w:r w:rsidRPr="009E06AA" w:rsidDel="00DF24B0">
        <w:t>New</w:t>
      </w:r>
      <w:r w:rsidRPr="009E06AA">
        <w:t xml:space="preserve"> Zealand. Farmers may temporarily take animals off regular grazing areas to prevent damage to soils and limit any subsequent loss in pasture growth, although most off-paddock sites are also outdoors. This means </w:t>
      </w:r>
      <w:r w:rsidRPr="009E06AA" w:rsidDel="00DF24B0">
        <w:t xml:space="preserve">New </w:t>
      </w:r>
      <w:r w:rsidRPr="009E06AA">
        <w:t xml:space="preserve">Zealand has a much lower proportion of agricultural emissions from </w:t>
      </w:r>
      <w:r w:rsidRPr="009E06AA">
        <w:rPr>
          <w:i/>
          <w:iCs/>
        </w:rPr>
        <w:t>Manure</w:t>
      </w:r>
      <w:r w:rsidRPr="009E06AA">
        <w:rPr>
          <w:i/>
        </w:rPr>
        <w:t xml:space="preserve"> management</w:t>
      </w:r>
      <w:r w:rsidRPr="009E06AA">
        <w:t xml:space="preserve">, compared with other Annex I Parties, because most manure is deposited directly onto pastures. For further information about New Zealand’s agricultural farming conditions, see section 2.9 (National circumstances, Agriculture) of New Zealand’s Eighth National Communication (MfE, 2022). </w:t>
      </w:r>
    </w:p>
    <w:p w14:paraId="4FA7A183" w14:textId="77777777" w:rsidR="007523B8" w:rsidRPr="009E06AA" w:rsidRDefault="007523B8" w:rsidP="007523B8">
      <w:pPr>
        <w:pStyle w:val="BodyText"/>
        <w:rPr>
          <w:rFonts w:cs="Calibri"/>
        </w:rPr>
      </w:pPr>
      <w:r w:rsidRPr="009E06AA">
        <w:rPr>
          <w:rFonts w:cs="Calibri"/>
        </w:rPr>
        <w:t xml:space="preserve">Trends in emissions from the Agriculture sector are largely driven by the populations of the ruminant livestock categories (dairy cattle, non-dairy cattle, sheep and deer). In 1990 and 2022 respectively, 95.0 per cent and 92.7 per cent of agricultural emissions originated from these ruminant livestock categories. </w:t>
      </w:r>
    </w:p>
    <w:p w14:paraId="6CEBEF0F" w14:textId="77777777" w:rsidR="007523B8" w:rsidRPr="009E06AA" w:rsidRDefault="007523B8" w:rsidP="007523B8">
      <w:pPr>
        <w:pStyle w:val="BodyText"/>
      </w:pPr>
      <w:r w:rsidRPr="009E06AA">
        <w:t xml:space="preserve">Agricultural livestock activities use around 36 per cent of New Zealand’s total land area (Stats NZ, 2023). Since 1990, the proportions of the main livestock categories farmed in </w:t>
      </w:r>
      <w:r w:rsidRPr="009E06AA" w:rsidDel="007A3905">
        <w:t>New</w:t>
      </w:r>
      <w:r w:rsidRPr="009E06AA">
        <w:t> Zealand have changed (see figure 5.1.3a and figure 5.1.3b). The</w:t>
      </w:r>
      <w:r w:rsidRPr="009E06AA" w:rsidDel="00BA6D59">
        <w:t xml:space="preserve"> </w:t>
      </w:r>
      <w:r w:rsidRPr="009E06AA">
        <w:t>population of dairy cattle has increased while the population of sheep, non-dairy cattle, and deer has decreased.</w:t>
      </w:r>
      <w:r w:rsidRPr="009E06AA">
        <w:rPr>
          <w:color w:val="FF0000"/>
        </w:rPr>
        <w:t xml:space="preserve"> </w:t>
      </w:r>
      <w:r w:rsidRPr="009E06AA">
        <w:t>Between 1990 and 2022, the land area used for sheep and non-dairy cattle grazing has decreased by 34.4 per cent (4.3 million hectares) from 12.5 million hectares to 8.2 million hectares (Beef + Lamb New Zealand Ltd, 2022), while the area used for dairy farming has increased by 62.1 per cent (635,885 hectares) (LIC and Dairy NZ, 2023). Dairy farming has also intensified over this period, with the average number of cows per hectare increasing by 20.9 per cent.</w:t>
      </w:r>
      <w:r w:rsidRPr="009E06AA" w:rsidDel="00103073">
        <w:t xml:space="preserve"> </w:t>
      </w:r>
      <w:r w:rsidRPr="009E06AA">
        <w:t>However, since 2015, both the total land under dairy production and the national herd size have decreased season to season. These have decreased 5.3 per cent and 6.5 per cent respectively since 2015 (LIC and Dairy NZ, 2023).</w:t>
      </w:r>
    </w:p>
    <w:p w14:paraId="323F15CD" w14:textId="77777777" w:rsidR="007523B8" w:rsidRPr="009E06AA" w:rsidRDefault="007523B8" w:rsidP="007523B8">
      <w:pPr>
        <w:pStyle w:val="BodyText"/>
      </w:pPr>
      <w:r w:rsidRPr="009E06AA">
        <w:t>The use of synthetic nitrogen fertiliser in the Agriculture sector has increased by 465 per cent since 1990, although total use has decreased in recent years. Total emissions from synthetic nitrogen fertiliser (including CO</w:t>
      </w:r>
      <w:r w:rsidRPr="009E06AA">
        <w:rPr>
          <w:vertAlign w:val="subscript"/>
        </w:rPr>
        <w:t>2</w:t>
      </w:r>
      <w:r w:rsidRPr="009E06AA">
        <w:t xml:space="preserve"> from urea) have increased from 0.8 per cent of agricultural emissions in 1990 to a peak of 5.2 per cent in 2020. Since 2020, synthetic nitrogen fertiliser use has decreased. Total emissions from synthetic nitrogen fertiliser (including CO</w:t>
      </w:r>
      <w:r w:rsidRPr="009E06AA">
        <w:rPr>
          <w:vertAlign w:val="subscript"/>
        </w:rPr>
        <w:t>2</w:t>
      </w:r>
      <w:r w:rsidRPr="009E06AA">
        <w:t xml:space="preserve"> from urea) contributed 3.8 per cent of agricultural emissions in 2022. </w:t>
      </w:r>
    </w:p>
    <w:p w14:paraId="39341CFC" w14:textId="04F8A94F" w:rsidR="007523B8" w:rsidRPr="009E06AA" w:rsidRDefault="007523B8" w:rsidP="007523B8">
      <w:pPr>
        <w:pStyle w:val="Figure"/>
      </w:pPr>
      <w:bookmarkStart w:id="761" w:name="_Toc507158462"/>
      <w:bookmarkStart w:id="762" w:name="_Toc511116955"/>
      <w:bookmarkStart w:id="763" w:name="_Toc5269685"/>
      <w:bookmarkStart w:id="764" w:name="_Toc32570958"/>
      <w:bookmarkStart w:id="765" w:name="_Toc36292788"/>
      <w:bookmarkStart w:id="766" w:name="_Toc68786653"/>
      <w:bookmarkStart w:id="767" w:name="_Toc95574114"/>
      <w:bookmarkStart w:id="768" w:name="_Toc127458553"/>
      <w:bookmarkStart w:id="769" w:name="_Toc131591555"/>
      <w:bookmarkStart w:id="770" w:name="_Toc164154023"/>
      <w:r w:rsidRPr="009E06AA">
        <w:t>Figure 5.1.3</w:t>
      </w:r>
      <w:r w:rsidR="00043F61">
        <w:t>(</w:t>
      </w:r>
      <w:r w:rsidRPr="009E06AA">
        <w:t>a</w:t>
      </w:r>
      <w:r w:rsidR="00043F61">
        <w:t>)</w:t>
      </w:r>
      <w:r w:rsidRPr="009E06AA">
        <w:t xml:space="preserve"> </w:t>
      </w:r>
      <w:r w:rsidRPr="009E06AA">
        <w:tab/>
        <w:t>Populations of New Zealand’s dairy cattle, non-dairy cattle and deer</w:t>
      </w:r>
      <w:r w:rsidR="00BB59D3" w:rsidRPr="009E06AA">
        <w:t>,</w:t>
      </w:r>
      <w:r w:rsidRPr="009E06AA">
        <w:t xml:space="preserve"> from 1990 to 2022 </w:t>
      </w:r>
      <w:r w:rsidRPr="009E06AA">
        <w:br/>
        <w:t>(June year ending)</w:t>
      </w:r>
      <w:bookmarkEnd w:id="761"/>
      <w:bookmarkEnd w:id="762"/>
      <w:bookmarkEnd w:id="763"/>
      <w:bookmarkEnd w:id="764"/>
      <w:bookmarkEnd w:id="765"/>
      <w:bookmarkEnd w:id="766"/>
      <w:bookmarkEnd w:id="767"/>
      <w:bookmarkEnd w:id="768"/>
      <w:bookmarkEnd w:id="769"/>
      <w:bookmarkEnd w:id="770"/>
      <w:r w:rsidRPr="009E06AA">
        <w:t xml:space="preserve"> </w:t>
      </w:r>
    </w:p>
    <w:p w14:paraId="1F48BC47" w14:textId="77777777" w:rsidR="007523B8" w:rsidRPr="009E06AA" w:rsidRDefault="007523B8" w:rsidP="007523B8">
      <w:pPr>
        <w:pStyle w:val="BodyText"/>
        <w:jc w:val="center"/>
      </w:pPr>
      <w:r w:rsidRPr="009E06AA">
        <w:rPr>
          <w:noProof/>
        </w:rPr>
        <w:drawing>
          <wp:inline distT="0" distB="0" distL="0" distR="0" wp14:anchorId="3F07ABF2" wp14:editId="245C33C4">
            <wp:extent cx="4882101" cy="2917280"/>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r="6105" b="4036"/>
                    <a:stretch/>
                  </pic:blipFill>
                  <pic:spPr bwMode="auto">
                    <a:xfrm>
                      <a:off x="0" y="0"/>
                      <a:ext cx="4882101" cy="2917280"/>
                    </a:xfrm>
                    <a:prstGeom prst="rect">
                      <a:avLst/>
                    </a:prstGeom>
                    <a:noFill/>
                    <a:ln>
                      <a:noFill/>
                    </a:ln>
                    <a:extLst>
                      <a:ext uri="{53640926-AAD7-44D8-BBD7-CCE9431645EC}">
                        <a14:shadowObscured xmlns:a14="http://schemas.microsoft.com/office/drawing/2010/main"/>
                      </a:ext>
                    </a:extLst>
                  </pic:spPr>
                </pic:pic>
              </a:graphicData>
            </a:graphic>
          </wp:inline>
        </w:drawing>
      </w:r>
    </w:p>
    <w:p w14:paraId="446BA345" w14:textId="6D6C1E02" w:rsidR="007523B8" w:rsidRPr="009E06AA" w:rsidRDefault="007523B8" w:rsidP="00523487">
      <w:pPr>
        <w:pStyle w:val="Source"/>
        <w:spacing w:before="80" w:after="120"/>
      </w:pPr>
      <w:r w:rsidRPr="009E06AA">
        <w:t>Source:</w:t>
      </w:r>
      <w:r w:rsidRPr="009E06AA">
        <w:rPr>
          <w:b/>
          <w:bCs/>
        </w:rPr>
        <w:tab/>
      </w:r>
      <w:r w:rsidR="002C7D9A" w:rsidRPr="009E06AA">
        <w:rPr>
          <w:b/>
          <w:bCs/>
        </w:rPr>
        <w:t xml:space="preserve"> </w:t>
      </w:r>
      <w:r w:rsidRPr="009E06AA">
        <w:t>Stats NZ</w:t>
      </w:r>
    </w:p>
    <w:p w14:paraId="70635FBC" w14:textId="6F72FAE8" w:rsidR="007523B8" w:rsidRPr="009E06AA" w:rsidRDefault="007523B8" w:rsidP="007523B8">
      <w:pPr>
        <w:pStyle w:val="Figure"/>
        <w:spacing w:after="0"/>
      </w:pPr>
      <w:bookmarkStart w:id="771" w:name="_Toc507158463"/>
      <w:bookmarkStart w:id="772" w:name="_Toc511116956"/>
      <w:bookmarkStart w:id="773" w:name="_Toc5269686"/>
      <w:bookmarkStart w:id="774" w:name="_Toc32570959"/>
      <w:bookmarkStart w:id="775" w:name="_Toc36292789"/>
      <w:bookmarkStart w:id="776" w:name="_Toc68786654"/>
      <w:bookmarkStart w:id="777" w:name="_Toc95574115"/>
      <w:bookmarkStart w:id="778" w:name="_Toc127458554"/>
      <w:bookmarkStart w:id="779" w:name="_Toc131591556"/>
      <w:bookmarkStart w:id="780" w:name="_Toc164154024"/>
      <w:r w:rsidRPr="009E06AA">
        <w:t>Figure 5.1.3</w:t>
      </w:r>
      <w:r w:rsidR="00043F61">
        <w:t>(</w:t>
      </w:r>
      <w:r w:rsidRPr="009E06AA">
        <w:t>b</w:t>
      </w:r>
      <w:r w:rsidR="00043F61">
        <w:t>)</w:t>
      </w:r>
      <w:r w:rsidRPr="009E06AA">
        <w:t xml:space="preserve"> </w:t>
      </w:r>
      <w:r w:rsidRPr="009E06AA">
        <w:tab/>
        <w:t>Population of New Zealand’s sheep</w:t>
      </w:r>
      <w:r w:rsidR="00BB59D3" w:rsidRPr="009E06AA">
        <w:t>,</w:t>
      </w:r>
      <w:r w:rsidRPr="009E06AA">
        <w:t xml:space="preserve"> from 1990 to 2022 (June year ending)</w:t>
      </w:r>
      <w:bookmarkEnd w:id="771"/>
      <w:bookmarkEnd w:id="772"/>
      <w:bookmarkEnd w:id="773"/>
      <w:bookmarkEnd w:id="774"/>
      <w:bookmarkEnd w:id="775"/>
      <w:bookmarkEnd w:id="776"/>
      <w:bookmarkEnd w:id="777"/>
      <w:bookmarkEnd w:id="778"/>
      <w:bookmarkEnd w:id="779"/>
      <w:bookmarkEnd w:id="780"/>
    </w:p>
    <w:p w14:paraId="2F5CAF0D" w14:textId="77777777" w:rsidR="007523B8" w:rsidRPr="009E06AA" w:rsidRDefault="007523B8" w:rsidP="007523B8">
      <w:pPr>
        <w:pStyle w:val="BodyText"/>
        <w:jc w:val="center"/>
      </w:pPr>
      <w:bookmarkStart w:id="781" w:name="_Toc507158464"/>
      <w:bookmarkStart w:id="782" w:name="_MON_1606658001"/>
      <w:bookmarkStart w:id="783" w:name="_Toc507158465"/>
      <w:bookmarkEnd w:id="781"/>
      <w:bookmarkEnd w:id="782"/>
      <w:r w:rsidRPr="009E06AA">
        <w:rPr>
          <w:noProof/>
        </w:rPr>
        <w:drawing>
          <wp:inline distT="0" distB="0" distL="0" distR="0" wp14:anchorId="003A994F" wp14:editId="63181A87">
            <wp:extent cx="4842345" cy="301688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r="6156"/>
                    <a:stretch/>
                  </pic:blipFill>
                  <pic:spPr bwMode="auto">
                    <a:xfrm>
                      <a:off x="0" y="0"/>
                      <a:ext cx="4842345" cy="3016882"/>
                    </a:xfrm>
                    <a:prstGeom prst="rect">
                      <a:avLst/>
                    </a:prstGeom>
                    <a:noFill/>
                    <a:ln>
                      <a:noFill/>
                    </a:ln>
                    <a:extLst>
                      <a:ext uri="{53640926-AAD7-44D8-BBD7-CCE9431645EC}">
                        <a14:shadowObscured xmlns:a14="http://schemas.microsoft.com/office/drawing/2010/main"/>
                      </a:ext>
                    </a:extLst>
                  </pic:spPr>
                </pic:pic>
              </a:graphicData>
            </a:graphic>
          </wp:inline>
        </w:drawing>
      </w:r>
    </w:p>
    <w:p w14:paraId="11B45407" w14:textId="77777777" w:rsidR="007523B8" w:rsidRPr="009E06AA" w:rsidRDefault="007523B8" w:rsidP="00523487">
      <w:pPr>
        <w:pStyle w:val="Source"/>
        <w:spacing w:before="80" w:after="120"/>
        <w:rPr>
          <w:szCs w:val="24"/>
        </w:rPr>
      </w:pPr>
      <w:r w:rsidRPr="009E06AA">
        <w:rPr>
          <w:szCs w:val="24"/>
        </w:rPr>
        <w:t>Source:</w:t>
      </w:r>
      <w:r w:rsidRPr="009E06AA">
        <w:rPr>
          <w:b/>
          <w:bCs/>
          <w:szCs w:val="24"/>
        </w:rPr>
        <w:tab/>
      </w:r>
      <w:r w:rsidRPr="009E06AA">
        <w:rPr>
          <w:szCs w:val="24"/>
        </w:rPr>
        <w:t>Stats NZ</w:t>
      </w:r>
      <w:bookmarkEnd w:id="783"/>
      <w:r w:rsidRPr="009E06AA">
        <w:rPr>
          <w:szCs w:val="24"/>
        </w:rPr>
        <w:t xml:space="preserve"> </w:t>
      </w:r>
    </w:p>
    <w:p w14:paraId="4E083CE6" w14:textId="77777777" w:rsidR="007523B8" w:rsidRPr="009E06AA" w:rsidRDefault="007523B8" w:rsidP="007523B8">
      <w:pPr>
        <w:pStyle w:val="Heading4"/>
        <w:rPr>
          <w:bCs/>
          <w:i/>
          <w:iCs/>
        </w:rPr>
      </w:pPr>
      <w:r w:rsidRPr="009E06AA">
        <w:t>Effect of productivity improvements and climatic events on implied emission factors</w:t>
      </w:r>
    </w:p>
    <w:p w14:paraId="2D1531C7" w14:textId="77777777" w:rsidR="007523B8" w:rsidRPr="009E06AA" w:rsidRDefault="007523B8" w:rsidP="007523B8">
      <w:pPr>
        <w:pStyle w:val="BodyText"/>
        <w:spacing w:before="80" w:after="100"/>
        <w:rPr>
          <w:rFonts w:cs="Calibri"/>
        </w:rPr>
      </w:pPr>
      <w:r w:rsidRPr="009E06AA">
        <w:rPr>
          <w:rFonts w:cs="Calibri"/>
        </w:rPr>
        <w:t>A gradual increase has occurred in the implied CH</w:t>
      </w:r>
      <w:r w:rsidRPr="009E06AA">
        <w:rPr>
          <w:rFonts w:cs="Calibri"/>
          <w:vertAlign w:val="subscript"/>
        </w:rPr>
        <w:t>4</w:t>
      </w:r>
      <w:r w:rsidRPr="009E06AA">
        <w:rPr>
          <w:rFonts w:cs="Calibri"/>
        </w:rPr>
        <w:t xml:space="preserve"> and N</w:t>
      </w:r>
      <w:r w:rsidRPr="009E06AA">
        <w:rPr>
          <w:rFonts w:cs="Calibri"/>
          <w:vertAlign w:val="subscript"/>
        </w:rPr>
        <w:t>2</w:t>
      </w:r>
      <w:r w:rsidRPr="009E06AA">
        <w:rPr>
          <w:rFonts w:cs="Calibri"/>
        </w:rPr>
        <w:t>O emission factors</w:t>
      </w:r>
      <w:r w:rsidRPr="009E06AA">
        <w:rPr>
          <w:rStyle w:val="FootnoteReference"/>
          <w:rFonts w:cs="Calibri"/>
        </w:rPr>
        <w:footnoteReference w:id="25"/>
      </w:r>
      <w:r w:rsidRPr="009E06AA">
        <w:rPr>
          <w:rFonts w:cs="Calibri"/>
        </w:rPr>
        <w:t xml:space="preserve"> per head of the major livestock species and types farmed in </w:t>
      </w:r>
      <w:r w:rsidRPr="009E06AA" w:rsidDel="00F3790D">
        <w:t xml:space="preserve">New </w:t>
      </w:r>
      <w:r w:rsidRPr="009E06AA">
        <w:t>Zealand</w:t>
      </w:r>
      <w:r w:rsidRPr="009E06AA">
        <w:rPr>
          <w:rFonts w:cs="Calibri"/>
        </w:rPr>
        <w:t xml:space="preserve">. This trend reflects the increased levels of productivity (milk and meat yield per head) achieved by </w:t>
      </w:r>
      <w:r w:rsidRPr="009E06AA" w:rsidDel="000131D9">
        <w:t xml:space="preserve">New </w:t>
      </w:r>
      <w:r w:rsidRPr="009E06AA">
        <w:t>Zealand</w:t>
      </w:r>
      <w:r w:rsidRPr="009E06AA">
        <w:rPr>
          <w:rFonts w:cs="Calibri"/>
        </w:rPr>
        <w:t xml:space="preserve"> farmers between 1990 and 2022. Increases in animal liveweight and milk yield per animal require increased feed intake to meet higher energy demands, which results in higher CH</w:t>
      </w:r>
      <w:r w:rsidRPr="009E06AA">
        <w:rPr>
          <w:rFonts w:cs="Calibri"/>
          <w:vertAlign w:val="subscript"/>
        </w:rPr>
        <w:t>4</w:t>
      </w:r>
      <w:r w:rsidRPr="009E06AA">
        <w:rPr>
          <w:rFonts w:cs="Calibri"/>
        </w:rPr>
        <w:t xml:space="preserve"> and N</w:t>
      </w:r>
      <w:r w:rsidRPr="009E06AA">
        <w:rPr>
          <w:rFonts w:cs="Calibri"/>
          <w:vertAlign w:val="subscript"/>
        </w:rPr>
        <w:t>2</w:t>
      </w:r>
      <w:r w:rsidRPr="009E06AA">
        <w:rPr>
          <w:rFonts w:cs="Calibri"/>
        </w:rPr>
        <w:t>O emissions per animal (i.e., higher implied emission factors (IEFs)). The increased levels of productivity have also caused emissions per unit of product (i.e., milk and meat emissions intensity) to steadily decrease since 1990.</w:t>
      </w:r>
    </w:p>
    <w:p w14:paraId="21235A30" w14:textId="77777777" w:rsidR="007523B8" w:rsidRPr="009E06AA" w:rsidRDefault="007523B8" w:rsidP="007523B8">
      <w:pPr>
        <w:pStyle w:val="BodyText"/>
        <w:spacing w:before="100" w:after="100"/>
        <w:rPr>
          <w:rFonts w:cs="Calibri"/>
        </w:rPr>
      </w:pPr>
      <w:r w:rsidRPr="009E06AA">
        <w:rPr>
          <w:rFonts w:cs="Calibri"/>
        </w:rPr>
        <w:t xml:space="preserve">The use of year-round outdoor pastoral grazing systems means </w:t>
      </w:r>
      <w:r w:rsidRPr="009E06AA">
        <w:t>New Zealand</w:t>
      </w:r>
      <w:r w:rsidRPr="009E06AA">
        <w:rPr>
          <w:rFonts w:cs="Calibri"/>
        </w:rPr>
        <w:t xml:space="preserve"> production is dependent on the quantity and quality of pasture grown on land managed by farmers, as well as the use and/or availability of any supplementary feeds and fertiliser inputs. Pasture growth is strongly influenced by weather and climatic events, such as droughts and floods, however, the temperate maritime climate is generally favourable for pastoral agriculture. These factors can cause changes in per-animal productivity and mean that IEFs can be noticeably different in adjacent years. For example, in 2008, a major nationwide drought affected both livestock numbers and animal performance, resulting in lower livestock emissions and overall agricultural emissions (see figure 5.1.2). The livestock population and IEFs started to increase after the drought, once seasonal growing conditions improved, and farmers restored herd and flock numbers. </w:t>
      </w:r>
    </w:p>
    <w:p w14:paraId="6447B46F" w14:textId="77777777" w:rsidR="007523B8" w:rsidRPr="009E06AA" w:rsidRDefault="007523B8" w:rsidP="007523B8">
      <w:pPr>
        <w:pStyle w:val="BodyText"/>
      </w:pPr>
      <w:r w:rsidRPr="009E06AA">
        <w:t>An example of this is included in figure 5.1.4, which overlays milk production per milking dairy cow with the IEFs (enteric fermentation) for all dairy cattle from 1990 to 2022. The figure shows that, while per cow productivity has trended upward, there is a large amount of inter-annual variability (influenced by climatic conditions and international product prices). It also shows that the IEFs are affected by these changes in productivity.</w:t>
      </w:r>
    </w:p>
    <w:p w14:paraId="2DE1EDBA" w14:textId="5633B26E" w:rsidR="007523B8" w:rsidRPr="009E06AA" w:rsidRDefault="007523B8" w:rsidP="007523B8">
      <w:pPr>
        <w:pStyle w:val="Figure"/>
        <w:spacing w:after="0"/>
      </w:pPr>
      <w:bookmarkStart w:id="785" w:name="_Toc507158466"/>
      <w:bookmarkStart w:id="786" w:name="_Toc511116957"/>
      <w:bookmarkStart w:id="787" w:name="_Toc5269687"/>
      <w:bookmarkStart w:id="788" w:name="_Toc32570960"/>
      <w:bookmarkStart w:id="789" w:name="_Toc36292790"/>
      <w:bookmarkStart w:id="790" w:name="_Toc68786655"/>
      <w:bookmarkStart w:id="791" w:name="_Toc95574116"/>
      <w:bookmarkStart w:id="792" w:name="_Toc127458555"/>
      <w:bookmarkStart w:id="793" w:name="_Toc131591557"/>
      <w:bookmarkStart w:id="794" w:name="_Toc164154025"/>
      <w:r w:rsidRPr="009E06AA">
        <w:t>Figure 5.1.4</w:t>
      </w:r>
      <w:r w:rsidRPr="009E06AA">
        <w:tab/>
        <w:t>Dairy milk productivity and implied enteric fermentation methane emission factors for all dairy cows</w:t>
      </w:r>
      <w:r w:rsidR="00BB59D3" w:rsidRPr="009E06AA">
        <w:t>,</w:t>
      </w:r>
      <w:r w:rsidRPr="009E06AA">
        <w:t xml:space="preserve"> from 1990 to </w:t>
      </w:r>
      <w:bookmarkEnd w:id="785"/>
      <w:bookmarkEnd w:id="786"/>
      <w:bookmarkEnd w:id="787"/>
      <w:bookmarkEnd w:id="788"/>
      <w:bookmarkEnd w:id="789"/>
      <w:bookmarkEnd w:id="790"/>
      <w:r w:rsidRPr="009E06AA">
        <w:t>202</w:t>
      </w:r>
      <w:bookmarkEnd w:id="791"/>
      <w:bookmarkEnd w:id="792"/>
      <w:bookmarkEnd w:id="793"/>
      <w:r w:rsidRPr="009E06AA">
        <w:t>2</w:t>
      </w:r>
      <w:bookmarkEnd w:id="794"/>
    </w:p>
    <w:p w14:paraId="4F69C585" w14:textId="77777777" w:rsidR="007523B8" w:rsidRPr="009E06AA" w:rsidRDefault="007523B8" w:rsidP="007523B8">
      <w:pPr>
        <w:pStyle w:val="BodyText"/>
        <w:jc w:val="center"/>
      </w:pPr>
      <w:r w:rsidRPr="009E06AA">
        <w:rPr>
          <w:noProof/>
        </w:rPr>
        <w:drawing>
          <wp:inline distT="0" distB="0" distL="0" distR="0" wp14:anchorId="2EBE9B0A" wp14:editId="614EA95F">
            <wp:extent cx="4937760" cy="3315335"/>
            <wp:effectExtent l="0" t="0" r="0" b="0"/>
            <wp:docPr id="122563485" name="Picture 122563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cstate="print">
                      <a:extLst>
                        <a:ext uri="{28A0092B-C50C-407E-A947-70E740481C1C}">
                          <a14:useLocalDpi xmlns:a14="http://schemas.microsoft.com/office/drawing/2010/main" val="0"/>
                        </a:ext>
                      </a:extLst>
                    </a:blip>
                    <a:srcRect r="8664" b="3804"/>
                    <a:stretch/>
                  </pic:blipFill>
                  <pic:spPr bwMode="auto">
                    <a:xfrm>
                      <a:off x="0" y="0"/>
                      <a:ext cx="4939023" cy="3316183"/>
                    </a:xfrm>
                    <a:prstGeom prst="rect">
                      <a:avLst/>
                    </a:prstGeom>
                    <a:ln>
                      <a:noFill/>
                    </a:ln>
                    <a:extLst>
                      <a:ext uri="{53640926-AAD7-44D8-BBD7-CCE9431645EC}">
                        <a14:shadowObscured xmlns:a14="http://schemas.microsoft.com/office/drawing/2010/main"/>
                      </a:ext>
                    </a:extLst>
                  </pic:spPr>
                </pic:pic>
              </a:graphicData>
            </a:graphic>
          </wp:inline>
        </w:drawing>
      </w:r>
    </w:p>
    <w:p w14:paraId="27CB6E10" w14:textId="77777777" w:rsidR="007523B8" w:rsidRPr="009E06AA" w:rsidRDefault="007523B8" w:rsidP="007523B8">
      <w:pPr>
        <w:pStyle w:val="Noteundertable"/>
      </w:pPr>
      <w:r w:rsidRPr="009E06AA">
        <w:rPr>
          <w:b/>
          <w:bCs/>
        </w:rPr>
        <w:t>Note:</w:t>
      </w:r>
      <w:r w:rsidRPr="009E06AA">
        <w:t xml:space="preserve"> </w:t>
      </w:r>
      <w:r w:rsidRPr="009E06AA">
        <w:tab/>
        <w:t>Milk production per cow is calculated by dividing total milk production by the milking dairy cattle population (i.e., excluding replacements and breeding bull numbers).</w:t>
      </w:r>
    </w:p>
    <w:p w14:paraId="424A211F" w14:textId="77777777" w:rsidR="007523B8" w:rsidRPr="009E06AA" w:rsidRDefault="007523B8" w:rsidP="007523B8">
      <w:pPr>
        <w:pStyle w:val="Heading3"/>
      </w:pPr>
      <w:bookmarkStart w:id="795" w:name="_Toc32570644"/>
      <w:r w:rsidRPr="009E06AA">
        <w:t xml:space="preserve">5.1.2 </w:t>
      </w:r>
      <w:r w:rsidRPr="009E06AA">
        <w:tab/>
        <w:t>Key categories for Agriculture sector emissions</w:t>
      </w:r>
      <w:bookmarkEnd w:id="795"/>
      <w:r w:rsidRPr="009E06AA">
        <w:t xml:space="preserve"> </w:t>
      </w:r>
    </w:p>
    <w:p w14:paraId="30E57CC7" w14:textId="264325A2" w:rsidR="007523B8" w:rsidRPr="009E06AA" w:rsidRDefault="007523B8" w:rsidP="007523B8">
      <w:pPr>
        <w:pStyle w:val="BodyText"/>
      </w:pPr>
      <w:r w:rsidRPr="009E06AA">
        <w:t>Details of New Zealand’s analysis of key categories are in chapter 1, section 1.</w:t>
      </w:r>
      <w:r w:rsidR="001A1903" w:rsidRPr="009E06AA">
        <w:t>4</w:t>
      </w:r>
      <w:r w:rsidRPr="009E06AA">
        <w:t xml:space="preserve">. The key categories in the Agriculture sector are listed in table 5.1.2. </w:t>
      </w:r>
    </w:p>
    <w:p w14:paraId="6EF0A1F3" w14:textId="77777777" w:rsidR="007523B8" w:rsidRPr="009E06AA" w:rsidRDefault="007523B8" w:rsidP="007523B8">
      <w:pPr>
        <w:pStyle w:val="Table"/>
      </w:pPr>
      <w:bookmarkStart w:id="796" w:name="_Toc481751507"/>
      <w:bookmarkStart w:id="797" w:name="_Toc507158597"/>
      <w:bookmarkStart w:id="798" w:name="_Toc511116731"/>
      <w:bookmarkStart w:id="799" w:name="_Toc5269471"/>
      <w:bookmarkStart w:id="800" w:name="_Toc32570910"/>
      <w:bookmarkStart w:id="801" w:name="_Toc36224545"/>
      <w:bookmarkStart w:id="802" w:name="_Toc68786431"/>
      <w:bookmarkStart w:id="803" w:name="_Toc95574066"/>
      <w:bookmarkStart w:id="804" w:name="_Toc127458249"/>
      <w:bookmarkStart w:id="805" w:name="_Toc131591345"/>
      <w:bookmarkStart w:id="806" w:name="_Toc160114435"/>
      <w:bookmarkStart w:id="807" w:name="_Toc164153831"/>
      <w:r w:rsidRPr="009E06AA">
        <w:t xml:space="preserve">Table 5.1.2 </w:t>
      </w:r>
      <w:r w:rsidRPr="009E06AA">
        <w:tab/>
        <w:t>Key categories in the Agriculture sector</w:t>
      </w:r>
      <w:bookmarkEnd w:id="796"/>
      <w:bookmarkEnd w:id="797"/>
      <w:bookmarkEnd w:id="798"/>
      <w:bookmarkEnd w:id="799"/>
      <w:bookmarkEnd w:id="800"/>
      <w:bookmarkEnd w:id="801"/>
      <w:bookmarkEnd w:id="802"/>
      <w:bookmarkEnd w:id="803"/>
      <w:bookmarkEnd w:id="804"/>
      <w:bookmarkEnd w:id="805"/>
      <w:bookmarkEnd w:id="806"/>
      <w:bookmarkEnd w:id="807"/>
    </w:p>
    <w:tbl>
      <w:tblPr>
        <w:tblW w:w="8505" w:type="dxa"/>
        <w:tblBorders>
          <w:top w:val="single" w:sz="4" w:space="0" w:color="1B556B"/>
          <w:bottom w:val="single" w:sz="4" w:space="0" w:color="1B556B"/>
          <w:insideH w:val="single" w:sz="4" w:space="0" w:color="1B556B"/>
        </w:tblBorders>
        <w:tblLook w:val="04A0" w:firstRow="1" w:lastRow="0" w:firstColumn="1" w:lastColumn="0" w:noHBand="0" w:noVBand="1"/>
      </w:tblPr>
      <w:tblGrid>
        <w:gridCol w:w="1169"/>
        <w:gridCol w:w="5210"/>
        <w:gridCol w:w="852"/>
        <w:gridCol w:w="1274"/>
      </w:tblGrid>
      <w:tr w:rsidR="007523B8" w:rsidRPr="009E06AA" w14:paraId="72E6A894" w14:textId="77777777" w:rsidTr="00B55F24">
        <w:trPr>
          <w:trHeight w:val="462"/>
          <w:tblHeader/>
        </w:trPr>
        <w:tc>
          <w:tcPr>
            <w:tcW w:w="687" w:type="pct"/>
            <w:shd w:val="clear" w:color="auto" w:fill="1B556B"/>
            <w:vAlign w:val="bottom"/>
          </w:tcPr>
          <w:p w14:paraId="2081E84E" w14:textId="77777777" w:rsidR="007523B8" w:rsidRPr="009E06AA" w:rsidRDefault="007523B8" w:rsidP="00B55F24">
            <w:pPr>
              <w:pStyle w:val="TableTextBold"/>
              <w:rPr>
                <w:noProof w:val="0"/>
                <w:color w:val="FFFFFF" w:themeColor="background1"/>
              </w:rPr>
            </w:pPr>
            <w:r w:rsidRPr="009E06AA">
              <w:rPr>
                <w:noProof w:val="0"/>
                <w:color w:val="FFFFFF" w:themeColor="background1"/>
              </w:rPr>
              <w:t>CRT category code</w:t>
            </w:r>
          </w:p>
        </w:tc>
        <w:tc>
          <w:tcPr>
            <w:tcW w:w="3063" w:type="pct"/>
            <w:shd w:val="clear" w:color="auto" w:fill="1B556B"/>
            <w:vAlign w:val="bottom"/>
          </w:tcPr>
          <w:p w14:paraId="32B9CA15" w14:textId="77777777" w:rsidR="007523B8" w:rsidRPr="009E06AA" w:rsidRDefault="007523B8" w:rsidP="00B55F24">
            <w:pPr>
              <w:pStyle w:val="TableTextBold"/>
              <w:rPr>
                <w:noProof w:val="0"/>
                <w:color w:val="FFFFFF" w:themeColor="background1"/>
              </w:rPr>
            </w:pPr>
            <w:r w:rsidRPr="009E06AA">
              <w:rPr>
                <w:noProof w:val="0"/>
                <w:color w:val="FFFFFF" w:themeColor="background1"/>
              </w:rPr>
              <w:t>IPCC categories</w:t>
            </w:r>
          </w:p>
        </w:tc>
        <w:tc>
          <w:tcPr>
            <w:tcW w:w="501" w:type="pct"/>
            <w:shd w:val="clear" w:color="auto" w:fill="1B556B"/>
            <w:vAlign w:val="bottom"/>
          </w:tcPr>
          <w:p w14:paraId="1C8A67FD" w14:textId="77777777" w:rsidR="007523B8" w:rsidRPr="009E06AA" w:rsidRDefault="007523B8" w:rsidP="006A5971">
            <w:pPr>
              <w:pStyle w:val="TableTextBold"/>
              <w:rPr>
                <w:noProof w:val="0"/>
                <w:color w:val="FFFFFF" w:themeColor="background1"/>
              </w:rPr>
            </w:pPr>
            <w:r w:rsidRPr="009E06AA">
              <w:rPr>
                <w:noProof w:val="0"/>
                <w:color w:val="FFFFFF" w:themeColor="background1"/>
              </w:rPr>
              <w:t>Gas</w:t>
            </w:r>
          </w:p>
        </w:tc>
        <w:tc>
          <w:tcPr>
            <w:tcW w:w="749" w:type="pct"/>
            <w:shd w:val="clear" w:color="auto" w:fill="1B556B"/>
            <w:vAlign w:val="bottom"/>
          </w:tcPr>
          <w:p w14:paraId="04C41F05" w14:textId="77777777" w:rsidR="007523B8" w:rsidRPr="009E06AA" w:rsidRDefault="007523B8" w:rsidP="006A5971">
            <w:pPr>
              <w:pStyle w:val="TableTextBold"/>
              <w:rPr>
                <w:noProof w:val="0"/>
                <w:color w:val="FFFFFF" w:themeColor="background1"/>
              </w:rPr>
            </w:pPr>
            <w:r w:rsidRPr="009E06AA">
              <w:rPr>
                <w:noProof w:val="0"/>
                <w:color w:val="FFFFFF" w:themeColor="background1"/>
              </w:rPr>
              <w:t>Criteria for identification</w:t>
            </w:r>
          </w:p>
        </w:tc>
      </w:tr>
      <w:tr w:rsidR="007523B8" w:rsidRPr="009E06AA" w14:paraId="5EFE48C3" w14:textId="77777777" w:rsidTr="00B55F24">
        <w:trPr>
          <w:trHeight w:val="250"/>
        </w:trPr>
        <w:tc>
          <w:tcPr>
            <w:tcW w:w="687" w:type="pct"/>
            <w:shd w:val="clear" w:color="auto" w:fill="FFFFFF"/>
          </w:tcPr>
          <w:p w14:paraId="15DE2496" w14:textId="77777777" w:rsidR="007523B8" w:rsidRPr="009E06AA" w:rsidRDefault="007523B8" w:rsidP="00B55F24">
            <w:pPr>
              <w:pStyle w:val="TableText"/>
              <w:spacing w:before="50" w:after="50"/>
              <w:rPr>
                <w:rFonts w:cs="Calibri"/>
              </w:rPr>
            </w:pPr>
            <w:r w:rsidRPr="009E06AA">
              <w:rPr>
                <w:rFonts w:cs="Calibri"/>
                <w:color w:val="000000"/>
              </w:rPr>
              <w:t>3.A.1</w:t>
            </w:r>
          </w:p>
        </w:tc>
        <w:tc>
          <w:tcPr>
            <w:tcW w:w="3063" w:type="pct"/>
            <w:shd w:val="clear" w:color="auto" w:fill="FFFFFF"/>
          </w:tcPr>
          <w:p w14:paraId="062E5AD9" w14:textId="77777777" w:rsidR="007523B8" w:rsidRPr="009E06AA" w:rsidRDefault="007523B8" w:rsidP="00B55F24">
            <w:pPr>
              <w:pStyle w:val="TableText"/>
              <w:spacing w:before="50" w:after="50"/>
              <w:rPr>
                <w:rFonts w:cs="Calibri"/>
              </w:rPr>
            </w:pPr>
            <w:r w:rsidRPr="009E06AA">
              <w:rPr>
                <w:rFonts w:cs="Calibri"/>
                <w:color w:val="000000"/>
              </w:rPr>
              <w:t>Option A – Dairy Cattle</w:t>
            </w:r>
          </w:p>
        </w:tc>
        <w:tc>
          <w:tcPr>
            <w:tcW w:w="501" w:type="pct"/>
            <w:shd w:val="clear" w:color="auto" w:fill="FFFFFF"/>
          </w:tcPr>
          <w:p w14:paraId="3B5FEDD4" w14:textId="77777777" w:rsidR="007523B8" w:rsidRPr="009E06AA" w:rsidRDefault="007523B8" w:rsidP="006A5971">
            <w:pPr>
              <w:pStyle w:val="TableText"/>
              <w:spacing w:before="50" w:after="50"/>
              <w:rPr>
                <w:rFonts w:cs="Calibri"/>
              </w:rPr>
            </w:pPr>
            <w:r w:rsidRPr="009E06AA">
              <w:rPr>
                <w:rFonts w:cs="Calibri"/>
                <w:color w:val="000000"/>
              </w:rPr>
              <w:t>CH</w:t>
            </w:r>
            <w:r w:rsidRPr="009E06AA">
              <w:rPr>
                <w:rFonts w:cs="Calibri"/>
                <w:color w:val="000000"/>
                <w:vertAlign w:val="subscript"/>
              </w:rPr>
              <w:t>4</w:t>
            </w:r>
          </w:p>
        </w:tc>
        <w:tc>
          <w:tcPr>
            <w:tcW w:w="749" w:type="pct"/>
            <w:shd w:val="clear" w:color="auto" w:fill="FFFFFF"/>
          </w:tcPr>
          <w:p w14:paraId="6A33C44A" w14:textId="77777777" w:rsidR="007523B8" w:rsidRPr="009E06AA" w:rsidRDefault="007523B8" w:rsidP="006A5971">
            <w:pPr>
              <w:pStyle w:val="TableText"/>
              <w:spacing w:before="50" w:after="50"/>
              <w:rPr>
                <w:rFonts w:cs="Calibri"/>
              </w:rPr>
            </w:pPr>
            <w:r w:rsidRPr="009E06AA">
              <w:rPr>
                <w:rFonts w:cs="Calibri"/>
                <w:color w:val="000000"/>
              </w:rPr>
              <w:t>L1, T1</w:t>
            </w:r>
          </w:p>
        </w:tc>
      </w:tr>
      <w:tr w:rsidR="007523B8" w:rsidRPr="009E06AA" w14:paraId="687D8645" w14:textId="77777777" w:rsidTr="00B55F24">
        <w:tc>
          <w:tcPr>
            <w:tcW w:w="687" w:type="pct"/>
            <w:shd w:val="clear" w:color="auto" w:fill="FFFFFF"/>
          </w:tcPr>
          <w:p w14:paraId="5C3A40AC" w14:textId="77777777" w:rsidR="007523B8" w:rsidRPr="009E06AA" w:rsidRDefault="007523B8" w:rsidP="00B55F24">
            <w:pPr>
              <w:pStyle w:val="TableText"/>
              <w:spacing w:before="50" w:after="50"/>
              <w:rPr>
                <w:rFonts w:cs="Calibri"/>
              </w:rPr>
            </w:pPr>
            <w:r w:rsidRPr="009E06AA">
              <w:rPr>
                <w:rFonts w:cs="Calibri"/>
                <w:color w:val="000000"/>
              </w:rPr>
              <w:t>3.A.1</w:t>
            </w:r>
          </w:p>
        </w:tc>
        <w:tc>
          <w:tcPr>
            <w:tcW w:w="3063" w:type="pct"/>
            <w:shd w:val="clear" w:color="auto" w:fill="FFFFFF"/>
          </w:tcPr>
          <w:p w14:paraId="41CFEC89" w14:textId="77777777" w:rsidR="007523B8" w:rsidRPr="009E06AA" w:rsidRDefault="007523B8" w:rsidP="00B55F24">
            <w:pPr>
              <w:pStyle w:val="TableText"/>
              <w:spacing w:before="50" w:after="50"/>
              <w:rPr>
                <w:rFonts w:cs="Calibri"/>
              </w:rPr>
            </w:pPr>
            <w:r w:rsidRPr="009E06AA">
              <w:rPr>
                <w:rFonts w:cs="Calibri"/>
                <w:color w:val="000000"/>
              </w:rPr>
              <w:t>Option A – Non-Dairy Cattle</w:t>
            </w:r>
          </w:p>
        </w:tc>
        <w:tc>
          <w:tcPr>
            <w:tcW w:w="501" w:type="pct"/>
            <w:shd w:val="clear" w:color="auto" w:fill="FFFFFF"/>
          </w:tcPr>
          <w:p w14:paraId="60B22CBE" w14:textId="77777777" w:rsidR="007523B8" w:rsidRPr="009E06AA" w:rsidRDefault="007523B8" w:rsidP="006A5971">
            <w:pPr>
              <w:pStyle w:val="TableText"/>
              <w:spacing w:before="50" w:after="50"/>
              <w:rPr>
                <w:rFonts w:cs="Calibri"/>
              </w:rPr>
            </w:pPr>
            <w:r w:rsidRPr="009E06AA">
              <w:rPr>
                <w:rFonts w:cs="Calibri"/>
                <w:color w:val="000000"/>
              </w:rPr>
              <w:t>CH</w:t>
            </w:r>
            <w:r w:rsidRPr="009E06AA">
              <w:rPr>
                <w:rFonts w:cs="Calibri"/>
                <w:color w:val="000000"/>
                <w:vertAlign w:val="subscript"/>
              </w:rPr>
              <w:t>4</w:t>
            </w:r>
          </w:p>
        </w:tc>
        <w:tc>
          <w:tcPr>
            <w:tcW w:w="749" w:type="pct"/>
            <w:shd w:val="clear" w:color="auto" w:fill="FFFFFF"/>
          </w:tcPr>
          <w:p w14:paraId="2E6B6139" w14:textId="77777777" w:rsidR="007523B8" w:rsidRPr="009E06AA" w:rsidRDefault="007523B8" w:rsidP="006A5971">
            <w:pPr>
              <w:pStyle w:val="TableText"/>
              <w:spacing w:before="50" w:after="50"/>
              <w:rPr>
                <w:rFonts w:cs="Calibri"/>
              </w:rPr>
            </w:pPr>
            <w:r w:rsidRPr="009E06AA">
              <w:rPr>
                <w:rFonts w:cs="Calibri"/>
                <w:color w:val="000000"/>
              </w:rPr>
              <w:t>L1, T1</w:t>
            </w:r>
          </w:p>
        </w:tc>
      </w:tr>
      <w:tr w:rsidR="007523B8" w:rsidRPr="009E06AA" w14:paraId="440E31AB" w14:textId="77777777" w:rsidTr="00B55F24">
        <w:tc>
          <w:tcPr>
            <w:tcW w:w="687" w:type="pct"/>
            <w:shd w:val="clear" w:color="auto" w:fill="FFFFFF"/>
          </w:tcPr>
          <w:p w14:paraId="3294F89B" w14:textId="77777777" w:rsidR="007523B8" w:rsidRPr="009E06AA" w:rsidRDefault="007523B8" w:rsidP="00B55F24">
            <w:pPr>
              <w:pStyle w:val="TableText"/>
              <w:spacing w:before="50" w:after="50"/>
              <w:rPr>
                <w:rFonts w:cs="Calibri"/>
              </w:rPr>
            </w:pPr>
            <w:r w:rsidRPr="009E06AA">
              <w:rPr>
                <w:rFonts w:cs="Calibri"/>
                <w:color w:val="000000"/>
              </w:rPr>
              <w:t>3.A.2</w:t>
            </w:r>
          </w:p>
        </w:tc>
        <w:tc>
          <w:tcPr>
            <w:tcW w:w="3063" w:type="pct"/>
            <w:shd w:val="clear" w:color="auto" w:fill="FFFFFF"/>
          </w:tcPr>
          <w:p w14:paraId="18122F99" w14:textId="77777777" w:rsidR="007523B8" w:rsidRPr="009E06AA" w:rsidRDefault="007523B8" w:rsidP="00B55F24">
            <w:pPr>
              <w:pStyle w:val="TableText"/>
              <w:spacing w:before="50" w:after="50"/>
              <w:rPr>
                <w:rFonts w:cs="Calibri"/>
              </w:rPr>
            </w:pPr>
            <w:r w:rsidRPr="009E06AA">
              <w:rPr>
                <w:rFonts w:cs="Calibri"/>
                <w:color w:val="000000"/>
              </w:rPr>
              <w:t>Other (please specify) – Sheep</w:t>
            </w:r>
          </w:p>
        </w:tc>
        <w:tc>
          <w:tcPr>
            <w:tcW w:w="501" w:type="pct"/>
            <w:shd w:val="clear" w:color="auto" w:fill="FFFFFF"/>
          </w:tcPr>
          <w:p w14:paraId="0CB8B988" w14:textId="77777777" w:rsidR="007523B8" w:rsidRPr="009E06AA" w:rsidRDefault="007523B8" w:rsidP="006A5971">
            <w:pPr>
              <w:pStyle w:val="TableText"/>
              <w:spacing w:before="50" w:after="50"/>
              <w:rPr>
                <w:rFonts w:cs="Calibri"/>
              </w:rPr>
            </w:pPr>
            <w:r w:rsidRPr="009E06AA">
              <w:rPr>
                <w:rFonts w:cs="Calibri"/>
                <w:color w:val="000000"/>
              </w:rPr>
              <w:t>CH</w:t>
            </w:r>
            <w:r w:rsidRPr="009E06AA">
              <w:rPr>
                <w:rFonts w:cs="Calibri"/>
                <w:color w:val="000000"/>
                <w:vertAlign w:val="subscript"/>
              </w:rPr>
              <w:t>4</w:t>
            </w:r>
          </w:p>
        </w:tc>
        <w:tc>
          <w:tcPr>
            <w:tcW w:w="749" w:type="pct"/>
            <w:shd w:val="clear" w:color="auto" w:fill="FFFFFF"/>
          </w:tcPr>
          <w:p w14:paraId="25B24BAF" w14:textId="77777777" w:rsidR="007523B8" w:rsidRPr="009E06AA" w:rsidRDefault="007523B8" w:rsidP="006A5971">
            <w:pPr>
              <w:pStyle w:val="TableText"/>
              <w:spacing w:before="50" w:after="50"/>
              <w:rPr>
                <w:rFonts w:cs="Calibri"/>
              </w:rPr>
            </w:pPr>
            <w:r w:rsidRPr="009E06AA">
              <w:rPr>
                <w:rFonts w:cs="Calibri"/>
                <w:color w:val="000000"/>
              </w:rPr>
              <w:t>L1, T1</w:t>
            </w:r>
          </w:p>
        </w:tc>
      </w:tr>
      <w:tr w:rsidR="007523B8" w:rsidRPr="009E06AA" w14:paraId="3A9FE306" w14:textId="77777777" w:rsidTr="00B55F24">
        <w:tc>
          <w:tcPr>
            <w:tcW w:w="687" w:type="pct"/>
            <w:shd w:val="clear" w:color="auto" w:fill="FFFFFF"/>
          </w:tcPr>
          <w:p w14:paraId="6F9456B1" w14:textId="77777777" w:rsidR="007523B8" w:rsidRPr="009E06AA" w:rsidRDefault="007523B8" w:rsidP="00B55F24">
            <w:pPr>
              <w:pStyle w:val="TableText"/>
              <w:spacing w:before="50" w:after="50"/>
              <w:rPr>
                <w:rFonts w:cs="Calibri"/>
              </w:rPr>
            </w:pPr>
            <w:r w:rsidRPr="009E06AA">
              <w:rPr>
                <w:rFonts w:cs="Calibri"/>
                <w:color w:val="000000"/>
              </w:rPr>
              <w:t>3.A.4</w:t>
            </w:r>
          </w:p>
        </w:tc>
        <w:tc>
          <w:tcPr>
            <w:tcW w:w="3063" w:type="pct"/>
            <w:shd w:val="clear" w:color="auto" w:fill="FFFFFF"/>
          </w:tcPr>
          <w:p w14:paraId="28CEC1E2" w14:textId="77777777" w:rsidR="007523B8" w:rsidRPr="009E06AA" w:rsidRDefault="007523B8" w:rsidP="00B55F24">
            <w:pPr>
              <w:pStyle w:val="TableText"/>
              <w:spacing w:before="50" w:after="50"/>
              <w:rPr>
                <w:rFonts w:cs="Calibri"/>
              </w:rPr>
            </w:pPr>
            <w:r w:rsidRPr="009E06AA">
              <w:rPr>
                <w:rFonts w:cs="Calibri"/>
                <w:color w:val="000000"/>
              </w:rPr>
              <w:t>Other livestock – Deer</w:t>
            </w:r>
          </w:p>
        </w:tc>
        <w:tc>
          <w:tcPr>
            <w:tcW w:w="501" w:type="pct"/>
            <w:shd w:val="clear" w:color="auto" w:fill="FFFFFF"/>
          </w:tcPr>
          <w:p w14:paraId="1EF0BF10" w14:textId="77777777" w:rsidR="007523B8" w:rsidRPr="009E06AA" w:rsidRDefault="007523B8" w:rsidP="006A5971">
            <w:pPr>
              <w:pStyle w:val="TableText"/>
              <w:spacing w:before="50" w:after="50"/>
              <w:rPr>
                <w:rFonts w:cs="Calibri"/>
              </w:rPr>
            </w:pPr>
            <w:r w:rsidRPr="009E06AA">
              <w:rPr>
                <w:rFonts w:cs="Calibri"/>
                <w:color w:val="000000"/>
              </w:rPr>
              <w:t>CH</w:t>
            </w:r>
            <w:r w:rsidRPr="009E06AA">
              <w:rPr>
                <w:rFonts w:cs="Calibri"/>
                <w:color w:val="000000"/>
                <w:vertAlign w:val="subscript"/>
              </w:rPr>
              <w:t>4</w:t>
            </w:r>
          </w:p>
        </w:tc>
        <w:tc>
          <w:tcPr>
            <w:tcW w:w="749" w:type="pct"/>
            <w:shd w:val="clear" w:color="auto" w:fill="FFFFFF"/>
          </w:tcPr>
          <w:p w14:paraId="14DE98FD" w14:textId="77777777" w:rsidR="007523B8" w:rsidRPr="009E06AA" w:rsidRDefault="007523B8" w:rsidP="006A5971">
            <w:pPr>
              <w:pStyle w:val="TableText"/>
              <w:spacing w:before="50" w:after="50"/>
              <w:rPr>
                <w:rFonts w:cs="Calibri"/>
              </w:rPr>
            </w:pPr>
            <w:r w:rsidRPr="009E06AA">
              <w:rPr>
                <w:rFonts w:cs="Calibri"/>
                <w:color w:val="000000"/>
              </w:rPr>
              <w:t>L1, T1</w:t>
            </w:r>
          </w:p>
        </w:tc>
      </w:tr>
      <w:tr w:rsidR="007523B8" w:rsidRPr="009E06AA" w14:paraId="2906C6A2" w14:textId="77777777" w:rsidTr="00B55F24">
        <w:tc>
          <w:tcPr>
            <w:tcW w:w="687" w:type="pct"/>
            <w:shd w:val="clear" w:color="auto" w:fill="FFFFFF"/>
          </w:tcPr>
          <w:p w14:paraId="22D5311A" w14:textId="77777777" w:rsidR="007523B8" w:rsidRPr="009E06AA" w:rsidRDefault="007523B8" w:rsidP="00B55F24">
            <w:pPr>
              <w:pStyle w:val="TableText"/>
              <w:spacing w:before="50" w:after="50"/>
              <w:rPr>
                <w:rFonts w:cs="Calibri"/>
              </w:rPr>
            </w:pPr>
            <w:r w:rsidRPr="009E06AA">
              <w:rPr>
                <w:rFonts w:cs="Calibri"/>
                <w:color w:val="000000"/>
              </w:rPr>
              <w:t>3.A.4</w:t>
            </w:r>
          </w:p>
        </w:tc>
        <w:tc>
          <w:tcPr>
            <w:tcW w:w="3063" w:type="pct"/>
            <w:shd w:val="clear" w:color="auto" w:fill="FFFFFF"/>
          </w:tcPr>
          <w:p w14:paraId="67C976B4" w14:textId="77777777" w:rsidR="007523B8" w:rsidRPr="009E06AA" w:rsidRDefault="007523B8" w:rsidP="00B55F24">
            <w:pPr>
              <w:pStyle w:val="TableText"/>
              <w:spacing w:before="50" w:after="50"/>
              <w:rPr>
                <w:rFonts w:cs="Calibri"/>
              </w:rPr>
            </w:pPr>
            <w:r w:rsidRPr="009E06AA">
              <w:rPr>
                <w:rFonts w:cs="Calibri"/>
                <w:color w:val="000000"/>
              </w:rPr>
              <w:t>Other livestock – Goats</w:t>
            </w:r>
          </w:p>
        </w:tc>
        <w:tc>
          <w:tcPr>
            <w:tcW w:w="501" w:type="pct"/>
            <w:shd w:val="clear" w:color="auto" w:fill="FFFFFF"/>
          </w:tcPr>
          <w:p w14:paraId="36DBC370" w14:textId="77777777" w:rsidR="007523B8" w:rsidRPr="009E06AA" w:rsidRDefault="007523B8" w:rsidP="006A5971">
            <w:pPr>
              <w:pStyle w:val="TableText"/>
              <w:spacing w:before="50" w:after="50"/>
              <w:rPr>
                <w:rFonts w:cs="Calibri"/>
              </w:rPr>
            </w:pPr>
            <w:r w:rsidRPr="009E06AA">
              <w:rPr>
                <w:rFonts w:cs="Calibri"/>
                <w:color w:val="000000"/>
              </w:rPr>
              <w:t>CH</w:t>
            </w:r>
            <w:r w:rsidRPr="009E06AA">
              <w:rPr>
                <w:rFonts w:cs="Calibri"/>
                <w:color w:val="000000"/>
                <w:vertAlign w:val="subscript"/>
              </w:rPr>
              <w:t>4</w:t>
            </w:r>
          </w:p>
        </w:tc>
        <w:tc>
          <w:tcPr>
            <w:tcW w:w="749" w:type="pct"/>
            <w:shd w:val="clear" w:color="auto" w:fill="FFFFFF"/>
          </w:tcPr>
          <w:p w14:paraId="27E576AE" w14:textId="77777777" w:rsidR="007523B8" w:rsidRPr="009E06AA" w:rsidRDefault="007523B8" w:rsidP="006A5971">
            <w:pPr>
              <w:pStyle w:val="TableText"/>
              <w:spacing w:before="50" w:after="50"/>
              <w:rPr>
                <w:rFonts w:cs="Calibri"/>
              </w:rPr>
            </w:pPr>
            <w:r w:rsidRPr="009E06AA">
              <w:rPr>
                <w:rFonts w:cs="Calibri"/>
                <w:color w:val="000000"/>
              </w:rPr>
              <w:t>T1</w:t>
            </w:r>
          </w:p>
        </w:tc>
      </w:tr>
      <w:tr w:rsidR="007523B8" w:rsidRPr="009E06AA" w14:paraId="7608108F" w14:textId="77777777" w:rsidTr="00B55F24">
        <w:tc>
          <w:tcPr>
            <w:tcW w:w="687" w:type="pct"/>
            <w:shd w:val="clear" w:color="auto" w:fill="FFFFFF"/>
          </w:tcPr>
          <w:p w14:paraId="03FEEB07" w14:textId="77777777" w:rsidR="007523B8" w:rsidRPr="009E06AA" w:rsidRDefault="007523B8" w:rsidP="00B55F24">
            <w:pPr>
              <w:pStyle w:val="TableText"/>
              <w:spacing w:before="50" w:after="50"/>
              <w:rPr>
                <w:rFonts w:cs="Calibri"/>
              </w:rPr>
            </w:pPr>
            <w:r w:rsidRPr="009E06AA">
              <w:rPr>
                <w:rFonts w:cs="Calibri"/>
                <w:color w:val="000000"/>
              </w:rPr>
              <w:t>3.B.1.1</w:t>
            </w:r>
          </w:p>
        </w:tc>
        <w:tc>
          <w:tcPr>
            <w:tcW w:w="3063" w:type="pct"/>
            <w:shd w:val="clear" w:color="auto" w:fill="FFFFFF"/>
          </w:tcPr>
          <w:p w14:paraId="658B2B88" w14:textId="77777777" w:rsidR="007523B8" w:rsidRPr="009E06AA" w:rsidRDefault="007523B8" w:rsidP="00B55F24">
            <w:pPr>
              <w:pStyle w:val="TableText"/>
              <w:spacing w:before="50" w:after="50"/>
              <w:rPr>
                <w:rFonts w:cs="Calibri"/>
              </w:rPr>
            </w:pPr>
            <w:r w:rsidRPr="009E06AA">
              <w:rPr>
                <w:rFonts w:cs="Calibri"/>
                <w:color w:val="000000"/>
              </w:rPr>
              <w:t>Option A – Dairy Cattle</w:t>
            </w:r>
          </w:p>
        </w:tc>
        <w:tc>
          <w:tcPr>
            <w:tcW w:w="501" w:type="pct"/>
            <w:shd w:val="clear" w:color="auto" w:fill="FFFFFF"/>
          </w:tcPr>
          <w:p w14:paraId="2711DEE5" w14:textId="77777777" w:rsidR="007523B8" w:rsidRPr="009E06AA" w:rsidRDefault="007523B8" w:rsidP="006A5971">
            <w:pPr>
              <w:pStyle w:val="TableText"/>
              <w:spacing w:before="50" w:after="50"/>
              <w:rPr>
                <w:rFonts w:cs="Calibri"/>
              </w:rPr>
            </w:pPr>
            <w:r w:rsidRPr="009E06AA">
              <w:rPr>
                <w:rFonts w:cs="Calibri"/>
                <w:color w:val="000000"/>
              </w:rPr>
              <w:t>CH</w:t>
            </w:r>
            <w:r w:rsidRPr="009E06AA">
              <w:rPr>
                <w:rFonts w:cs="Calibri"/>
                <w:color w:val="000000"/>
                <w:vertAlign w:val="subscript"/>
              </w:rPr>
              <w:t>4</w:t>
            </w:r>
          </w:p>
        </w:tc>
        <w:tc>
          <w:tcPr>
            <w:tcW w:w="749" w:type="pct"/>
            <w:shd w:val="clear" w:color="auto" w:fill="FFFFFF"/>
          </w:tcPr>
          <w:p w14:paraId="73A0AC8A" w14:textId="77777777" w:rsidR="007523B8" w:rsidRPr="009E06AA" w:rsidRDefault="007523B8" w:rsidP="006A5971">
            <w:pPr>
              <w:pStyle w:val="TableText"/>
              <w:spacing w:before="50" w:after="50"/>
              <w:rPr>
                <w:rFonts w:cs="Calibri"/>
              </w:rPr>
            </w:pPr>
            <w:r w:rsidRPr="009E06AA">
              <w:rPr>
                <w:rFonts w:cs="Calibri"/>
                <w:color w:val="000000"/>
              </w:rPr>
              <w:t>L1, T1</w:t>
            </w:r>
          </w:p>
        </w:tc>
      </w:tr>
      <w:tr w:rsidR="007523B8" w:rsidRPr="009E06AA" w14:paraId="7EF98E73" w14:textId="77777777" w:rsidTr="00B55F24">
        <w:tc>
          <w:tcPr>
            <w:tcW w:w="687" w:type="pct"/>
            <w:shd w:val="clear" w:color="auto" w:fill="FFFFFF"/>
          </w:tcPr>
          <w:p w14:paraId="2E70237A" w14:textId="77777777" w:rsidR="007523B8" w:rsidRPr="009E06AA" w:rsidRDefault="007523B8" w:rsidP="00B55F24">
            <w:pPr>
              <w:pStyle w:val="TableText"/>
              <w:spacing w:before="50" w:after="50"/>
              <w:rPr>
                <w:rFonts w:cs="Calibri"/>
              </w:rPr>
            </w:pPr>
            <w:r w:rsidRPr="009E06AA">
              <w:rPr>
                <w:rFonts w:cs="Calibri"/>
                <w:color w:val="000000"/>
              </w:rPr>
              <w:t>3.B.1.2</w:t>
            </w:r>
          </w:p>
        </w:tc>
        <w:tc>
          <w:tcPr>
            <w:tcW w:w="3063" w:type="pct"/>
            <w:shd w:val="clear" w:color="auto" w:fill="FFFFFF"/>
          </w:tcPr>
          <w:p w14:paraId="1F0DDDF5" w14:textId="77777777" w:rsidR="007523B8" w:rsidRPr="009E06AA" w:rsidRDefault="007523B8" w:rsidP="00B55F24">
            <w:pPr>
              <w:pStyle w:val="TableText"/>
              <w:spacing w:before="50" w:after="50"/>
              <w:rPr>
                <w:rFonts w:cs="Calibri"/>
              </w:rPr>
            </w:pPr>
            <w:r w:rsidRPr="009E06AA">
              <w:rPr>
                <w:rFonts w:cs="Calibri"/>
                <w:color w:val="000000"/>
              </w:rPr>
              <w:t>CH</w:t>
            </w:r>
            <w:r w:rsidRPr="009E06AA">
              <w:rPr>
                <w:rFonts w:cs="Calibri"/>
                <w:color w:val="000000"/>
                <w:vertAlign w:val="subscript"/>
              </w:rPr>
              <w:t>4</w:t>
            </w:r>
            <w:r w:rsidRPr="009E06AA">
              <w:rPr>
                <w:rFonts w:cs="Calibri"/>
                <w:color w:val="000000"/>
              </w:rPr>
              <w:t xml:space="preserve"> Emissions – Sheep</w:t>
            </w:r>
          </w:p>
        </w:tc>
        <w:tc>
          <w:tcPr>
            <w:tcW w:w="501" w:type="pct"/>
            <w:shd w:val="clear" w:color="auto" w:fill="FFFFFF"/>
          </w:tcPr>
          <w:p w14:paraId="7208C349" w14:textId="77777777" w:rsidR="007523B8" w:rsidRPr="009E06AA" w:rsidRDefault="007523B8" w:rsidP="006A5971">
            <w:pPr>
              <w:pStyle w:val="TableText"/>
              <w:spacing w:before="50" w:after="50"/>
              <w:rPr>
                <w:rFonts w:cs="Calibri"/>
              </w:rPr>
            </w:pPr>
            <w:r w:rsidRPr="009E06AA">
              <w:rPr>
                <w:rFonts w:cs="Calibri"/>
                <w:color w:val="000000"/>
              </w:rPr>
              <w:t>CH</w:t>
            </w:r>
            <w:r w:rsidRPr="009E06AA">
              <w:rPr>
                <w:rFonts w:cs="Calibri"/>
                <w:color w:val="000000"/>
                <w:vertAlign w:val="subscript"/>
              </w:rPr>
              <w:t>4</w:t>
            </w:r>
          </w:p>
        </w:tc>
        <w:tc>
          <w:tcPr>
            <w:tcW w:w="749" w:type="pct"/>
            <w:shd w:val="clear" w:color="auto" w:fill="FFFFFF"/>
          </w:tcPr>
          <w:p w14:paraId="5538CC11" w14:textId="77777777" w:rsidR="007523B8" w:rsidRPr="009E06AA" w:rsidRDefault="007523B8" w:rsidP="006A5971">
            <w:pPr>
              <w:pStyle w:val="TableText"/>
              <w:spacing w:before="50" w:after="50"/>
              <w:rPr>
                <w:rFonts w:cs="Calibri"/>
              </w:rPr>
            </w:pPr>
            <w:r w:rsidRPr="009E06AA">
              <w:rPr>
                <w:rFonts w:cs="Calibri"/>
                <w:color w:val="000000"/>
              </w:rPr>
              <w:t>T1</w:t>
            </w:r>
          </w:p>
        </w:tc>
      </w:tr>
      <w:tr w:rsidR="007523B8" w:rsidRPr="009E06AA" w14:paraId="7ADBA52C" w14:textId="77777777" w:rsidTr="00B55F24">
        <w:tc>
          <w:tcPr>
            <w:tcW w:w="687" w:type="pct"/>
            <w:shd w:val="clear" w:color="auto" w:fill="FFFFFF"/>
          </w:tcPr>
          <w:p w14:paraId="46DACFA8" w14:textId="77777777" w:rsidR="007523B8" w:rsidRPr="009E06AA" w:rsidRDefault="007523B8" w:rsidP="00B55F24">
            <w:pPr>
              <w:pStyle w:val="TableText"/>
              <w:spacing w:before="50" w:after="50"/>
              <w:rPr>
                <w:rFonts w:cs="Calibri"/>
              </w:rPr>
            </w:pPr>
            <w:r w:rsidRPr="009E06AA">
              <w:rPr>
                <w:rFonts w:cs="Calibri"/>
                <w:color w:val="000000"/>
              </w:rPr>
              <w:t>3.D.1.1</w:t>
            </w:r>
          </w:p>
        </w:tc>
        <w:tc>
          <w:tcPr>
            <w:tcW w:w="3063" w:type="pct"/>
            <w:shd w:val="clear" w:color="auto" w:fill="FFFFFF"/>
          </w:tcPr>
          <w:p w14:paraId="535D3FDD" w14:textId="77777777" w:rsidR="007523B8" w:rsidRPr="009E06AA" w:rsidRDefault="007523B8" w:rsidP="00B55F24">
            <w:pPr>
              <w:pStyle w:val="TableText"/>
              <w:spacing w:before="50" w:after="50"/>
              <w:rPr>
                <w:rFonts w:cs="Calibri"/>
              </w:rPr>
            </w:pPr>
            <w:r w:rsidRPr="009E06AA">
              <w:rPr>
                <w:rFonts w:cs="Calibri"/>
                <w:color w:val="000000"/>
              </w:rPr>
              <w:t>Direct N</w:t>
            </w:r>
            <w:r w:rsidRPr="009E06AA">
              <w:rPr>
                <w:rFonts w:cs="Calibri"/>
                <w:color w:val="000000"/>
                <w:vertAlign w:val="subscript"/>
              </w:rPr>
              <w:t>2</w:t>
            </w:r>
            <w:r w:rsidRPr="009E06AA">
              <w:rPr>
                <w:rFonts w:cs="Calibri"/>
                <w:color w:val="000000"/>
              </w:rPr>
              <w:t>O Emissions From Managed Soils – Inorganic N Fertilizers</w:t>
            </w:r>
          </w:p>
        </w:tc>
        <w:tc>
          <w:tcPr>
            <w:tcW w:w="501" w:type="pct"/>
            <w:shd w:val="clear" w:color="auto" w:fill="FFFFFF"/>
          </w:tcPr>
          <w:p w14:paraId="3B67E757" w14:textId="77777777" w:rsidR="007523B8" w:rsidRPr="009E06AA" w:rsidRDefault="007523B8" w:rsidP="006A5971">
            <w:pPr>
              <w:pStyle w:val="TableText"/>
              <w:spacing w:before="50" w:after="50"/>
              <w:rPr>
                <w:rFonts w:cs="Calibri"/>
              </w:rPr>
            </w:pPr>
            <w:r w:rsidRPr="009E06AA">
              <w:rPr>
                <w:rFonts w:cs="Calibri"/>
                <w:color w:val="000000"/>
              </w:rPr>
              <w:t>N</w:t>
            </w:r>
            <w:r w:rsidRPr="009E06AA">
              <w:rPr>
                <w:rFonts w:cs="Calibri"/>
                <w:color w:val="000000"/>
                <w:vertAlign w:val="subscript"/>
              </w:rPr>
              <w:t>2</w:t>
            </w:r>
            <w:r w:rsidRPr="009E06AA">
              <w:rPr>
                <w:rFonts w:cs="Calibri"/>
                <w:color w:val="000000"/>
              </w:rPr>
              <w:t>O</w:t>
            </w:r>
          </w:p>
        </w:tc>
        <w:tc>
          <w:tcPr>
            <w:tcW w:w="749" w:type="pct"/>
            <w:shd w:val="clear" w:color="auto" w:fill="FFFFFF"/>
          </w:tcPr>
          <w:p w14:paraId="1C22B738" w14:textId="77777777" w:rsidR="007523B8" w:rsidRPr="009E06AA" w:rsidRDefault="007523B8" w:rsidP="006A5971">
            <w:pPr>
              <w:pStyle w:val="TableText"/>
              <w:spacing w:before="50" w:after="50"/>
              <w:rPr>
                <w:rFonts w:cs="Calibri"/>
              </w:rPr>
            </w:pPr>
            <w:r w:rsidRPr="009E06AA">
              <w:rPr>
                <w:rFonts w:cs="Calibri"/>
                <w:color w:val="000000"/>
              </w:rPr>
              <w:t>L1, T1</w:t>
            </w:r>
          </w:p>
        </w:tc>
      </w:tr>
      <w:tr w:rsidR="007523B8" w:rsidRPr="009E06AA" w14:paraId="445B71B3" w14:textId="77777777" w:rsidTr="00B55F24">
        <w:tc>
          <w:tcPr>
            <w:tcW w:w="687" w:type="pct"/>
            <w:shd w:val="clear" w:color="auto" w:fill="FFFFFF"/>
          </w:tcPr>
          <w:p w14:paraId="575C9446" w14:textId="77777777" w:rsidR="007523B8" w:rsidRPr="009E06AA" w:rsidRDefault="007523B8" w:rsidP="00B55F24">
            <w:pPr>
              <w:pStyle w:val="TableText"/>
              <w:spacing w:before="50" w:after="50"/>
              <w:rPr>
                <w:rFonts w:cs="Calibri"/>
              </w:rPr>
            </w:pPr>
            <w:r w:rsidRPr="009E06AA">
              <w:rPr>
                <w:rFonts w:cs="Calibri"/>
                <w:color w:val="000000"/>
              </w:rPr>
              <w:t>3.D.1.3</w:t>
            </w:r>
          </w:p>
        </w:tc>
        <w:tc>
          <w:tcPr>
            <w:tcW w:w="3063" w:type="pct"/>
            <w:shd w:val="clear" w:color="auto" w:fill="FFFFFF"/>
          </w:tcPr>
          <w:p w14:paraId="15B1350C" w14:textId="77777777" w:rsidR="007523B8" w:rsidRPr="009E06AA" w:rsidRDefault="007523B8" w:rsidP="00B55F24">
            <w:pPr>
              <w:pStyle w:val="TableText"/>
              <w:spacing w:before="50" w:after="50"/>
              <w:rPr>
                <w:rFonts w:cs="Calibri"/>
              </w:rPr>
            </w:pPr>
            <w:r w:rsidRPr="009E06AA">
              <w:rPr>
                <w:rFonts w:cs="Calibri"/>
                <w:color w:val="000000"/>
              </w:rPr>
              <w:t>Direct N</w:t>
            </w:r>
            <w:r w:rsidRPr="009E06AA">
              <w:rPr>
                <w:rFonts w:cs="Calibri"/>
                <w:color w:val="000000"/>
                <w:vertAlign w:val="subscript"/>
              </w:rPr>
              <w:t>2</w:t>
            </w:r>
            <w:r w:rsidRPr="009E06AA">
              <w:rPr>
                <w:rFonts w:cs="Calibri"/>
                <w:color w:val="000000"/>
              </w:rPr>
              <w:t>O Emissions From Managed Soils – Urine and Dung Deposited by Grazing Animals</w:t>
            </w:r>
          </w:p>
        </w:tc>
        <w:tc>
          <w:tcPr>
            <w:tcW w:w="501" w:type="pct"/>
            <w:shd w:val="clear" w:color="auto" w:fill="FFFFFF"/>
          </w:tcPr>
          <w:p w14:paraId="4A4CCB40" w14:textId="77777777" w:rsidR="007523B8" w:rsidRPr="009E06AA" w:rsidRDefault="007523B8" w:rsidP="006A5971">
            <w:pPr>
              <w:pStyle w:val="TableText"/>
              <w:spacing w:before="50" w:after="50"/>
              <w:rPr>
                <w:rFonts w:cs="Calibri"/>
              </w:rPr>
            </w:pPr>
            <w:r w:rsidRPr="009E06AA">
              <w:rPr>
                <w:rFonts w:cs="Calibri"/>
                <w:color w:val="000000"/>
              </w:rPr>
              <w:t>N</w:t>
            </w:r>
            <w:r w:rsidRPr="009E06AA">
              <w:rPr>
                <w:rFonts w:cs="Calibri"/>
                <w:color w:val="000000"/>
                <w:vertAlign w:val="subscript"/>
              </w:rPr>
              <w:t>2</w:t>
            </w:r>
            <w:r w:rsidRPr="009E06AA">
              <w:rPr>
                <w:rFonts w:cs="Calibri"/>
                <w:color w:val="000000"/>
              </w:rPr>
              <w:t>O</w:t>
            </w:r>
          </w:p>
        </w:tc>
        <w:tc>
          <w:tcPr>
            <w:tcW w:w="749" w:type="pct"/>
            <w:shd w:val="clear" w:color="auto" w:fill="FFFFFF"/>
          </w:tcPr>
          <w:p w14:paraId="7F1E316F" w14:textId="77777777" w:rsidR="007523B8" w:rsidRPr="009E06AA" w:rsidRDefault="007523B8" w:rsidP="006A5971">
            <w:pPr>
              <w:pStyle w:val="TableText"/>
              <w:spacing w:before="50" w:after="50"/>
              <w:rPr>
                <w:rFonts w:cs="Calibri"/>
              </w:rPr>
            </w:pPr>
            <w:r w:rsidRPr="009E06AA">
              <w:rPr>
                <w:rFonts w:cs="Calibri"/>
                <w:color w:val="000000"/>
              </w:rPr>
              <w:t>L1, T1</w:t>
            </w:r>
          </w:p>
        </w:tc>
      </w:tr>
      <w:tr w:rsidR="007523B8" w:rsidRPr="009E06AA" w14:paraId="17B36592" w14:textId="77777777" w:rsidTr="00B55F24">
        <w:tc>
          <w:tcPr>
            <w:tcW w:w="687" w:type="pct"/>
            <w:shd w:val="clear" w:color="auto" w:fill="FFFFFF"/>
          </w:tcPr>
          <w:p w14:paraId="0325BBF8" w14:textId="77777777" w:rsidR="007523B8" w:rsidRPr="009E06AA" w:rsidRDefault="007523B8" w:rsidP="00B55F24">
            <w:pPr>
              <w:pStyle w:val="TableText"/>
              <w:spacing w:before="50" w:after="50"/>
              <w:rPr>
                <w:rFonts w:cs="Calibri"/>
              </w:rPr>
            </w:pPr>
            <w:r w:rsidRPr="009E06AA">
              <w:rPr>
                <w:rFonts w:cs="Calibri"/>
                <w:color w:val="000000"/>
              </w:rPr>
              <w:t>3.D.1.4</w:t>
            </w:r>
          </w:p>
        </w:tc>
        <w:tc>
          <w:tcPr>
            <w:tcW w:w="3063" w:type="pct"/>
            <w:shd w:val="clear" w:color="auto" w:fill="FFFFFF"/>
          </w:tcPr>
          <w:p w14:paraId="59A8C7B3" w14:textId="77777777" w:rsidR="007523B8" w:rsidRPr="009E06AA" w:rsidRDefault="007523B8" w:rsidP="00B55F24">
            <w:pPr>
              <w:pStyle w:val="TableText"/>
              <w:spacing w:before="50" w:after="50"/>
              <w:rPr>
                <w:rFonts w:cs="Calibri"/>
              </w:rPr>
            </w:pPr>
            <w:r w:rsidRPr="009E06AA">
              <w:rPr>
                <w:rFonts w:cs="Calibri"/>
                <w:color w:val="000000"/>
              </w:rPr>
              <w:t>Direct N</w:t>
            </w:r>
            <w:r w:rsidRPr="009E06AA">
              <w:rPr>
                <w:rFonts w:cs="Calibri"/>
                <w:color w:val="000000"/>
                <w:vertAlign w:val="subscript"/>
              </w:rPr>
              <w:t>2</w:t>
            </w:r>
            <w:r w:rsidRPr="009E06AA">
              <w:rPr>
                <w:rFonts w:cs="Calibri"/>
                <w:color w:val="000000"/>
              </w:rPr>
              <w:t>O Emissions From Managed Soils – Crop Residues</w:t>
            </w:r>
          </w:p>
        </w:tc>
        <w:tc>
          <w:tcPr>
            <w:tcW w:w="501" w:type="pct"/>
            <w:shd w:val="clear" w:color="auto" w:fill="FFFFFF"/>
          </w:tcPr>
          <w:p w14:paraId="3B01F71F" w14:textId="77777777" w:rsidR="007523B8" w:rsidRPr="009E06AA" w:rsidRDefault="007523B8" w:rsidP="006A5971">
            <w:pPr>
              <w:pStyle w:val="TableText"/>
              <w:spacing w:before="50" w:after="50"/>
              <w:rPr>
                <w:rFonts w:cs="Calibri"/>
              </w:rPr>
            </w:pPr>
            <w:r w:rsidRPr="009E06AA">
              <w:rPr>
                <w:rFonts w:cs="Calibri"/>
                <w:color w:val="000000"/>
              </w:rPr>
              <w:t>N</w:t>
            </w:r>
            <w:r w:rsidRPr="009E06AA">
              <w:rPr>
                <w:rFonts w:cs="Calibri"/>
                <w:color w:val="000000"/>
                <w:vertAlign w:val="subscript"/>
              </w:rPr>
              <w:t>2</w:t>
            </w:r>
            <w:r w:rsidRPr="009E06AA">
              <w:rPr>
                <w:rFonts w:cs="Calibri"/>
                <w:color w:val="000000"/>
              </w:rPr>
              <w:t>O</w:t>
            </w:r>
          </w:p>
        </w:tc>
        <w:tc>
          <w:tcPr>
            <w:tcW w:w="749" w:type="pct"/>
            <w:shd w:val="clear" w:color="auto" w:fill="FFFFFF"/>
          </w:tcPr>
          <w:p w14:paraId="5572299E" w14:textId="77777777" w:rsidR="007523B8" w:rsidRPr="009E06AA" w:rsidRDefault="007523B8" w:rsidP="006A5971">
            <w:pPr>
              <w:pStyle w:val="TableText"/>
              <w:spacing w:before="50" w:after="50"/>
              <w:rPr>
                <w:rFonts w:cs="Calibri"/>
              </w:rPr>
            </w:pPr>
            <w:r w:rsidRPr="009E06AA">
              <w:rPr>
                <w:rFonts w:cs="Calibri"/>
                <w:color w:val="000000"/>
              </w:rPr>
              <w:t>L1</w:t>
            </w:r>
          </w:p>
        </w:tc>
      </w:tr>
      <w:tr w:rsidR="007523B8" w:rsidRPr="009E06AA" w14:paraId="74DCB2CD" w14:textId="77777777" w:rsidTr="00B55F24">
        <w:tc>
          <w:tcPr>
            <w:tcW w:w="687" w:type="pct"/>
            <w:shd w:val="clear" w:color="auto" w:fill="FFFFFF"/>
          </w:tcPr>
          <w:p w14:paraId="584C5D57" w14:textId="77777777" w:rsidR="007523B8" w:rsidRPr="009E06AA" w:rsidRDefault="007523B8" w:rsidP="00B55F24">
            <w:pPr>
              <w:pStyle w:val="TableText"/>
              <w:spacing w:before="50" w:after="50"/>
              <w:rPr>
                <w:rFonts w:cs="Calibri"/>
              </w:rPr>
            </w:pPr>
            <w:r w:rsidRPr="009E06AA">
              <w:rPr>
                <w:rFonts w:cs="Calibri"/>
                <w:color w:val="000000"/>
              </w:rPr>
              <w:t>3.D.1.6</w:t>
            </w:r>
          </w:p>
        </w:tc>
        <w:tc>
          <w:tcPr>
            <w:tcW w:w="3063" w:type="pct"/>
            <w:shd w:val="clear" w:color="auto" w:fill="FFFFFF"/>
          </w:tcPr>
          <w:p w14:paraId="04A5C181" w14:textId="77777777" w:rsidR="007523B8" w:rsidRPr="009E06AA" w:rsidRDefault="007523B8" w:rsidP="00B55F24">
            <w:pPr>
              <w:pStyle w:val="TableText"/>
              <w:spacing w:before="50" w:after="50"/>
              <w:rPr>
                <w:rFonts w:cs="Calibri"/>
              </w:rPr>
            </w:pPr>
            <w:r w:rsidRPr="009E06AA">
              <w:rPr>
                <w:rFonts w:cs="Calibri"/>
                <w:color w:val="000000"/>
              </w:rPr>
              <w:t>Direct N</w:t>
            </w:r>
            <w:r w:rsidRPr="009E06AA">
              <w:rPr>
                <w:rFonts w:cs="Calibri"/>
                <w:color w:val="000000"/>
                <w:vertAlign w:val="subscript"/>
              </w:rPr>
              <w:t>2</w:t>
            </w:r>
            <w:r w:rsidRPr="009E06AA">
              <w:rPr>
                <w:rFonts w:cs="Calibri"/>
                <w:color w:val="000000"/>
              </w:rPr>
              <w:t>O Emissions From Managed Soils – Cultivation of Organic Soils</w:t>
            </w:r>
          </w:p>
        </w:tc>
        <w:tc>
          <w:tcPr>
            <w:tcW w:w="501" w:type="pct"/>
            <w:shd w:val="clear" w:color="auto" w:fill="FFFFFF"/>
          </w:tcPr>
          <w:p w14:paraId="65FD1EBE" w14:textId="77777777" w:rsidR="007523B8" w:rsidRPr="009E06AA" w:rsidRDefault="007523B8" w:rsidP="006A5971">
            <w:pPr>
              <w:pStyle w:val="TableText"/>
              <w:spacing w:before="50" w:after="50"/>
              <w:rPr>
                <w:rFonts w:cs="Calibri"/>
              </w:rPr>
            </w:pPr>
            <w:r w:rsidRPr="009E06AA">
              <w:rPr>
                <w:rFonts w:cs="Calibri"/>
                <w:color w:val="000000"/>
              </w:rPr>
              <w:t>N</w:t>
            </w:r>
            <w:r w:rsidRPr="009E06AA">
              <w:rPr>
                <w:rFonts w:cs="Calibri"/>
                <w:color w:val="000000"/>
                <w:vertAlign w:val="subscript"/>
              </w:rPr>
              <w:t>2</w:t>
            </w:r>
            <w:r w:rsidRPr="009E06AA">
              <w:rPr>
                <w:rFonts w:cs="Calibri"/>
                <w:color w:val="000000"/>
              </w:rPr>
              <w:t>O</w:t>
            </w:r>
          </w:p>
        </w:tc>
        <w:tc>
          <w:tcPr>
            <w:tcW w:w="749" w:type="pct"/>
            <w:shd w:val="clear" w:color="auto" w:fill="FFFFFF"/>
          </w:tcPr>
          <w:p w14:paraId="3A9157A9" w14:textId="77777777" w:rsidR="007523B8" w:rsidRPr="009E06AA" w:rsidRDefault="007523B8" w:rsidP="006A5971">
            <w:pPr>
              <w:pStyle w:val="TableText"/>
              <w:spacing w:before="50" w:after="50"/>
              <w:rPr>
                <w:rFonts w:cs="Calibri"/>
              </w:rPr>
            </w:pPr>
            <w:r w:rsidRPr="009E06AA">
              <w:rPr>
                <w:rFonts w:cs="Calibri"/>
                <w:color w:val="000000"/>
              </w:rPr>
              <w:t>L1, T1</w:t>
            </w:r>
          </w:p>
        </w:tc>
      </w:tr>
      <w:tr w:rsidR="007523B8" w:rsidRPr="009E06AA" w14:paraId="235C650E" w14:textId="77777777" w:rsidTr="00B55F24">
        <w:tc>
          <w:tcPr>
            <w:tcW w:w="687" w:type="pct"/>
            <w:shd w:val="clear" w:color="auto" w:fill="FFFFFF"/>
          </w:tcPr>
          <w:p w14:paraId="51C45C75" w14:textId="77777777" w:rsidR="007523B8" w:rsidRPr="009E06AA" w:rsidRDefault="007523B8" w:rsidP="00B55F24">
            <w:pPr>
              <w:pStyle w:val="TableText"/>
              <w:spacing w:before="50" w:after="50"/>
              <w:rPr>
                <w:rFonts w:cs="Calibri"/>
              </w:rPr>
            </w:pPr>
            <w:r w:rsidRPr="009E06AA">
              <w:rPr>
                <w:rFonts w:cs="Calibri"/>
                <w:color w:val="000000"/>
              </w:rPr>
              <w:t>3.D.2.1</w:t>
            </w:r>
          </w:p>
        </w:tc>
        <w:tc>
          <w:tcPr>
            <w:tcW w:w="3063" w:type="pct"/>
            <w:shd w:val="clear" w:color="auto" w:fill="FFFFFF"/>
          </w:tcPr>
          <w:p w14:paraId="751BC340" w14:textId="77777777" w:rsidR="007523B8" w:rsidRPr="009E06AA" w:rsidRDefault="007523B8" w:rsidP="00B55F24">
            <w:pPr>
              <w:pStyle w:val="TableText"/>
              <w:spacing w:before="50" w:after="50"/>
              <w:rPr>
                <w:rFonts w:cs="Calibri"/>
              </w:rPr>
            </w:pPr>
            <w:r w:rsidRPr="009E06AA">
              <w:rPr>
                <w:rFonts w:cs="Calibri"/>
                <w:color w:val="000000"/>
              </w:rPr>
              <w:t>Indirect N</w:t>
            </w:r>
            <w:r w:rsidRPr="009E06AA">
              <w:rPr>
                <w:rFonts w:cs="Calibri"/>
                <w:color w:val="000000"/>
                <w:vertAlign w:val="subscript"/>
              </w:rPr>
              <w:t>2</w:t>
            </w:r>
            <w:r w:rsidRPr="009E06AA">
              <w:rPr>
                <w:rFonts w:cs="Calibri"/>
                <w:color w:val="000000"/>
              </w:rPr>
              <w:t>O Emissions From Managed Soils – Atmospheric Deposition</w:t>
            </w:r>
          </w:p>
        </w:tc>
        <w:tc>
          <w:tcPr>
            <w:tcW w:w="501" w:type="pct"/>
            <w:shd w:val="clear" w:color="auto" w:fill="FFFFFF"/>
          </w:tcPr>
          <w:p w14:paraId="451E6AC8" w14:textId="77777777" w:rsidR="007523B8" w:rsidRPr="009E06AA" w:rsidRDefault="007523B8" w:rsidP="006A5971">
            <w:pPr>
              <w:pStyle w:val="TableText"/>
              <w:spacing w:before="50" w:after="50"/>
              <w:rPr>
                <w:rFonts w:cs="Calibri"/>
              </w:rPr>
            </w:pPr>
            <w:r w:rsidRPr="009E06AA">
              <w:rPr>
                <w:rFonts w:cs="Calibri"/>
                <w:color w:val="000000"/>
              </w:rPr>
              <w:t>N</w:t>
            </w:r>
            <w:r w:rsidRPr="009E06AA">
              <w:rPr>
                <w:rFonts w:cs="Calibri"/>
                <w:color w:val="000000"/>
                <w:vertAlign w:val="subscript"/>
              </w:rPr>
              <w:t>2</w:t>
            </w:r>
            <w:r w:rsidRPr="009E06AA">
              <w:rPr>
                <w:rFonts w:cs="Calibri"/>
                <w:color w:val="000000"/>
              </w:rPr>
              <w:t>O</w:t>
            </w:r>
          </w:p>
        </w:tc>
        <w:tc>
          <w:tcPr>
            <w:tcW w:w="749" w:type="pct"/>
            <w:shd w:val="clear" w:color="auto" w:fill="FFFFFF"/>
          </w:tcPr>
          <w:p w14:paraId="3AF3504D" w14:textId="77777777" w:rsidR="007523B8" w:rsidRPr="009E06AA" w:rsidRDefault="007523B8" w:rsidP="006A5971">
            <w:pPr>
              <w:pStyle w:val="TableText"/>
              <w:spacing w:before="50" w:after="50"/>
              <w:rPr>
                <w:rFonts w:cs="Calibri"/>
              </w:rPr>
            </w:pPr>
            <w:r w:rsidRPr="009E06AA">
              <w:rPr>
                <w:rFonts w:cs="Calibri"/>
                <w:color w:val="000000"/>
              </w:rPr>
              <w:t>L1</w:t>
            </w:r>
          </w:p>
        </w:tc>
      </w:tr>
      <w:tr w:rsidR="007523B8" w:rsidRPr="009E06AA" w14:paraId="4FB14FF1" w14:textId="77777777" w:rsidTr="00B55F24">
        <w:tc>
          <w:tcPr>
            <w:tcW w:w="687" w:type="pct"/>
            <w:shd w:val="clear" w:color="auto" w:fill="FFFFFF"/>
          </w:tcPr>
          <w:p w14:paraId="2A9D7DB7" w14:textId="77777777" w:rsidR="007523B8" w:rsidRPr="009E06AA" w:rsidRDefault="007523B8" w:rsidP="00B55F24">
            <w:pPr>
              <w:pStyle w:val="TableText"/>
              <w:spacing w:before="50" w:after="50"/>
              <w:rPr>
                <w:rFonts w:cs="Calibri"/>
                <w:color w:val="000000"/>
              </w:rPr>
            </w:pPr>
            <w:r w:rsidRPr="009E06AA">
              <w:rPr>
                <w:rFonts w:cs="Calibri"/>
                <w:color w:val="000000"/>
              </w:rPr>
              <w:t>3.D.2.2</w:t>
            </w:r>
          </w:p>
        </w:tc>
        <w:tc>
          <w:tcPr>
            <w:tcW w:w="3063" w:type="pct"/>
            <w:shd w:val="clear" w:color="auto" w:fill="FFFFFF"/>
          </w:tcPr>
          <w:p w14:paraId="76EC8EB9" w14:textId="77777777" w:rsidR="007523B8" w:rsidRPr="009E06AA" w:rsidRDefault="007523B8" w:rsidP="00B55F24">
            <w:pPr>
              <w:pStyle w:val="TableText"/>
              <w:spacing w:before="50" w:after="50"/>
              <w:rPr>
                <w:rFonts w:cs="Calibri"/>
                <w:color w:val="000000"/>
              </w:rPr>
            </w:pPr>
            <w:r w:rsidRPr="009E06AA">
              <w:rPr>
                <w:rFonts w:cs="Calibri"/>
                <w:color w:val="000000"/>
              </w:rPr>
              <w:t>Indirect N</w:t>
            </w:r>
            <w:r w:rsidRPr="009E06AA">
              <w:rPr>
                <w:rFonts w:cs="Calibri"/>
                <w:color w:val="000000"/>
                <w:vertAlign w:val="subscript"/>
              </w:rPr>
              <w:t>2</w:t>
            </w:r>
            <w:r w:rsidRPr="009E06AA">
              <w:rPr>
                <w:rFonts w:cs="Calibri"/>
                <w:color w:val="000000"/>
              </w:rPr>
              <w:t>O Emissions From Managed Soils – Nitrogen Leaching and Run-off</w:t>
            </w:r>
          </w:p>
        </w:tc>
        <w:tc>
          <w:tcPr>
            <w:tcW w:w="501" w:type="pct"/>
            <w:shd w:val="clear" w:color="auto" w:fill="FFFFFF"/>
          </w:tcPr>
          <w:p w14:paraId="6C2C46B7" w14:textId="77777777" w:rsidR="007523B8" w:rsidRPr="009E06AA" w:rsidRDefault="007523B8" w:rsidP="006A5971">
            <w:pPr>
              <w:pStyle w:val="TableText"/>
              <w:spacing w:before="50" w:after="50"/>
              <w:rPr>
                <w:rFonts w:cs="Calibri"/>
                <w:color w:val="000000"/>
              </w:rPr>
            </w:pPr>
            <w:r w:rsidRPr="009E06AA">
              <w:rPr>
                <w:rFonts w:cs="Calibri"/>
                <w:color w:val="000000"/>
              </w:rPr>
              <w:t>N</w:t>
            </w:r>
            <w:r w:rsidRPr="009E06AA">
              <w:rPr>
                <w:rFonts w:cs="Calibri"/>
                <w:color w:val="000000"/>
                <w:vertAlign w:val="subscript"/>
              </w:rPr>
              <w:t>2</w:t>
            </w:r>
            <w:r w:rsidRPr="009E06AA">
              <w:rPr>
                <w:rFonts w:cs="Calibri"/>
                <w:color w:val="000000"/>
              </w:rPr>
              <w:t>O</w:t>
            </w:r>
          </w:p>
        </w:tc>
        <w:tc>
          <w:tcPr>
            <w:tcW w:w="749" w:type="pct"/>
            <w:shd w:val="clear" w:color="auto" w:fill="FFFFFF"/>
          </w:tcPr>
          <w:p w14:paraId="79A1CFE4" w14:textId="77777777" w:rsidR="007523B8" w:rsidRPr="009E06AA" w:rsidRDefault="007523B8" w:rsidP="006A5971">
            <w:pPr>
              <w:pStyle w:val="TableText"/>
              <w:spacing w:before="50" w:after="50"/>
              <w:rPr>
                <w:rFonts w:cs="Calibri"/>
                <w:color w:val="000000"/>
              </w:rPr>
            </w:pPr>
            <w:r w:rsidRPr="009E06AA">
              <w:rPr>
                <w:rFonts w:cs="Calibri"/>
                <w:color w:val="000000"/>
              </w:rPr>
              <w:t>L1</w:t>
            </w:r>
          </w:p>
        </w:tc>
      </w:tr>
      <w:tr w:rsidR="007523B8" w:rsidRPr="009E06AA" w14:paraId="3295975F" w14:textId="77777777" w:rsidTr="00B55F24">
        <w:tc>
          <w:tcPr>
            <w:tcW w:w="687" w:type="pct"/>
            <w:shd w:val="clear" w:color="auto" w:fill="FFFFFF"/>
          </w:tcPr>
          <w:p w14:paraId="6054C2F7" w14:textId="77777777" w:rsidR="007523B8" w:rsidRPr="009E06AA" w:rsidRDefault="007523B8" w:rsidP="00B55F24">
            <w:pPr>
              <w:pStyle w:val="TableText"/>
              <w:spacing w:before="50" w:after="50"/>
              <w:rPr>
                <w:rFonts w:cs="Calibri"/>
                <w:color w:val="000000"/>
              </w:rPr>
            </w:pPr>
            <w:r w:rsidRPr="009E06AA">
              <w:rPr>
                <w:rFonts w:cs="Calibri"/>
                <w:color w:val="000000"/>
              </w:rPr>
              <w:t>3.G</w:t>
            </w:r>
          </w:p>
        </w:tc>
        <w:tc>
          <w:tcPr>
            <w:tcW w:w="3063" w:type="pct"/>
            <w:shd w:val="clear" w:color="auto" w:fill="FFFFFF"/>
          </w:tcPr>
          <w:p w14:paraId="2EC86595" w14:textId="77777777" w:rsidR="007523B8" w:rsidRPr="009E06AA" w:rsidRDefault="007523B8" w:rsidP="00B55F24">
            <w:pPr>
              <w:pStyle w:val="TableText"/>
              <w:spacing w:before="50" w:after="50"/>
              <w:rPr>
                <w:rFonts w:cs="Calibri"/>
                <w:color w:val="000000"/>
              </w:rPr>
            </w:pPr>
            <w:r w:rsidRPr="009E06AA">
              <w:rPr>
                <w:rFonts w:cs="Calibri"/>
                <w:color w:val="000000"/>
              </w:rPr>
              <w:t>Agriculture – Liming</w:t>
            </w:r>
          </w:p>
        </w:tc>
        <w:tc>
          <w:tcPr>
            <w:tcW w:w="501" w:type="pct"/>
            <w:shd w:val="clear" w:color="auto" w:fill="FFFFFF"/>
          </w:tcPr>
          <w:p w14:paraId="58EDD587" w14:textId="77777777" w:rsidR="007523B8" w:rsidRPr="009E06AA" w:rsidRDefault="007523B8" w:rsidP="006A5971">
            <w:pPr>
              <w:pStyle w:val="TableText"/>
              <w:spacing w:before="50" w:after="50"/>
              <w:rPr>
                <w:rFonts w:cs="Calibri"/>
                <w:color w:val="000000"/>
              </w:rPr>
            </w:pPr>
            <w:r w:rsidRPr="009E06AA">
              <w:rPr>
                <w:rFonts w:cs="Calibri"/>
                <w:color w:val="000000"/>
              </w:rPr>
              <w:t>CO</w:t>
            </w:r>
            <w:r w:rsidRPr="009E06AA">
              <w:rPr>
                <w:rFonts w:cs="Calibri"/>
                <w:color w:val="000000"/>
                <w:vertAlign w:val="subscript"/>
              </w:rPr>
              <w:t>2</w:t>
            </w:r>
          </w:p>
        </w:tc>
        <w:tc>
          <w:tcPr>
            <w:tcW w:w="749" w:type="pct"/>
            <w:shd w:val="clear" w:color="auto" w:fill="FFFFFF"/>
          </w:tcPr>
          <w:p w14:paraId="37257210" w14:textId="77777777" w:rsidR="007523B8" w:rsidRPr="009E06AA" w:rsidRDefault="007523B8" w:rsidP="006A5971">
            <w:pPr>
              <w:pStyle w:val="TableText"/>
              <w:spacing w:before="50" w:after="50"/>
              <w:rPr>
                <w:rFonts w:cs="Calibri"/>
                <w:color w:val="000000"/>
              </w:rPr>
            </w:pPr>
            <w:r w:rsidRPr="009E06AA">
              <w:rPr>
                <w:rFonts w:cs="Calibri"/>
                <w:color w:val="000000"/>
              </w:rPr>
              <w:t>L1, T1</w:t>
            </w:r>
          </w:p>
        </w:tc>
      </w:tr>
      <w:tr w:rsidR="007523B8" w:rsidRPr="009E06AA" w14:paraId="4F8AE370" w14:textId="77777777" w:rsidTr="00B55F24">
        <w:tc>
          <w:tcPr>
            <w:tcW w:w="687" w:type="pct"/>
            <w:shd w:val="clear" w:color="auto" w:fill="FFFFFF"/>
          </w:tcPr>
          <w:p w14:paraId="2FDCDCE6" w14:textId="77777777" w:rsidR="007523B8" w:rsidRPr="009E06AA" w:rsidRDefault="007523B8" w:rsidP="00B55F24">
            <w:pPr>
              <w:pStyle w:val="TableText"/>
              <w:spacing w:before="50" w:after="50"/>
              <w:rPr>
                <w:rFonts w:cs="Calibri"/>
                <w:color w:val="000000"/>
              </w:rPr>
            </w:pPr>
            <w:r w:rsidRPr="009E06AA">
              <w:rPr>
                <w:rFonts w:cs="Calibri"/>
                <w:color w:val="000000"/>
              </w:rPr>
              <w:t>3.H</w:t>
            </w:r>
          </w:p>
        </w:tc>
        <w:tc>
          <w:tcPr>
            <w:tcW w:w="3063" w:type="pct"/>
            <w:shd w:val="clear" w:color="auto" w:fill="FFFFFF"/>
          </w:tcPr>
          <w:p w14:paraId="47131EAC" w14:textId="77777777" w:rsidR="007523B8" w:rsidRPr="009E06AA" w:rsidRDefault="007523B8" w:rsidP="00B55F24">
            <w:pPr>
              <w:pStyle w:val="TableText"/>
              <w:spacing w:before="50" w:after="50"/>
              <w:rPr>
                <w:rFonts w:cs="Calibri"/>
                <w:color w:val="000000"/>
              </w:rPr>
            </w:pPr>
            <w:r w:rsidRPr="009E06AA">
              <w:rPr>
                <w:rFonts w:cs="Calibri"/>
                <w:color w:val="000000"/>
              </w:rPr>
              <w:t>Agriculture – Urea Application</w:t>
            </w:r>
          </w:p>
        </w:tc>
        <w:tc>
          <w:tcPr>
            <w:tcW w:w="501" w:type="pct"/>
            <w:shd w:val="clear" w:color="auto" w:fill="FFFFFF"/>
          </w:tcPr>
          <w:p w14:paraId="438C9263" w14:textId="77777777" w:rsidR="007523B8" w:rsidRPr="009E06AA" w:rsidRDefault="007523B8" w:rsidP="006A5971">
            <w:pPr>
              <w:pStyle w:val="TableText"/>
              <w:spacing w:before="50" w:after="50"/>
              <w:rPr>
                <w:rFonts w:cs="Calibri"/>
                <w:color w:val="000000"/>
              </w:rPr>
            </w:pPr>
            <w:r w:rsidRPr="009E06AA">
              <w:rPr>
                <w:rFonts w:cs="Calibri"/>
                <w:color w:val="000000"/>
              </w:rPr>
              <w:t>CO</w:t>
            </w:r>
            <w:r w:rsidRPr="009E06AA">
              <w:rPr>
                <w:rFonts w:cs="Calibri"/>
                <w:color w:val="000000"/>
                <w:vertAlign w:val="subscript"/>
              </w:rPr>
              <w:t>2</w:t>
            </w:r>
          </w:p>
        </w:tc>
        <w:tc>
          <w:tcPr>
            <w:tcW w:w="749" w:type="pct"/>
            <w:shd w:val="clear" w:color="auto" w:fill="FFFFFF"/>
          </w:tcPr>
          <w:p w14:paraId="02D8BB02" w14:textId="77777777" w:rsidR="007523B8" w:rsidRPr="009E06AA" w:rsidRDefault="007523B8" w:rsidP="006A5971">
            <w:pPr>
              <w:pStyle w:val="TableText"/>
              <w:spacing w:before="50" w:after="50"/>
              <w:rPr>
                <w:rFonts w:cs="Calibri"/>
                <w:color w:val="000000"/>
              </w:rPr>
            </w:pPr>
            <w:r w:rsidRPr="009E06AA">
              <w:rPr>
                <w:rFonts w:cs="Calibri"/>
                <w:color w:val="000000"/>
              </w:rPr>
              <w:t>L1, T1</w:t>
            </w:r>
          </w:p>
        </w:tc>
      </w:tr>
    </w:tbl>
    <w:p w14:paraId="1E4423DF" w14:textId="77777777" w:rsidR="007523B8" w:rsidRPr="009E06AA" w:rsidRDefault="007523B8" w:rsidP="007523B8">
      <w:pPr>
        <w:pStyle w:val="Noteundertable"/>
        <w:spacing w:before="100"/>
        <w:rPr>
          <w:rFonts w:cs="Calibri"/>
        </w:rPr>
      </w:pPr>
      <w:r w:rsidRPr="009E06AA">
        <w:rPr>
          <w:rFonts w:cs="Calibri"/>
          <w:b/>
          <w:bCs/>
        </w:rPr>
        <w:t>Note</w:t>
      </w:r>
      <w:r w:rsidRPr="009E06AA">
        <w:rPr>
          <w:rFonts w:cs="Calibri"/>
        </w:rPr>
        <w:t xml:space="preserve">: </w:t>
      </w:r>
      <w:r w:rsidRPr="009E06AA">
        <w:rPr>
          <w:rFonts w:cs="Calibri"/>
        </w:rPr>
        <w:tab/>
        <w:t xml:space="preserve">L1 means a key category is identified under the level analysis – approach 1 and T1 is trend analysis </w:t>
      </w:r>
      <w:r w:rsidRPr="009E06AA">
        <w:rPr>
          <w:rFonts w:cs="Calibri"/>
        </w:rPr>
        <w:br/>
        <w:t>– approach 1. See chapter 1 for more information.</w:t>
      </w:r>
    </w:p>
    <w:p w14:paraId="3720E6DF" w14:textId="77777777" w:rsidR="007523B8" w:rsidRPr="009E06AA" w:rsidRDefault="007523B8" w:rsidP="007523B8">
      <w:pPr>
        <w:pStyle w:val="Heading3"/>
      </w:pPr>
      <w:bookmarkStart w:id="808" w:name="_Toc32570645"/>
      <w:r w:rsidRPr="009E06AA">
        <w:t xml:space="preserve">5.1.3 </w:t>
      </w:r>
      <w:r w:rsidRPr="009E06AA">
        <w:tab/>
        <w:t>Methodological issues for the Agriculture sector</w:t>
      </w:r>
      <w:bookmarkEnd w:id="808"/>
      <w:r w:rsidRPr="009E06AA">
        <w:t xml:space="preserve"> </w:t>
      </w:r>
    </w:p>
    <w:p w14:paraId="0445D015" w14:textId="77777777" w:rsidR="007523B8" w:rsidRPr="009E06AA" w:rsidRDefault="007523B8" w:rsidP="007523B8">
      <w:pPr>
        <w:pStyle w:val="BodyText"/>
        <w:spacing w:before="100" w:after="100"/>
        <w:rPr>
          <w:rFonts w:cs="Calibri"/>
        </w:rPr>
      </w:pPr>
      <w:r w:rsidRPr="009E06AA">
        <w:rPr>
          <w:rFonts w:cs="Calibri"/>
        </w:rPr>
        <w:t>The Agriculture</w:t>
      </w:r>
      <w:r w:rsidRPr="009E06AA">
        <w:rPr>
          <w:rFonts w:cs="Calibri"/>
          <w:i/>
        </w:rPr>
        <w:t xml:space="preserve"> </w:t>
      </w:r>
      <w:r w:rsidRPr="009E06AA">
        <w:rPr>
          <w:rFonts w:cs="Calibri"/>
        </w:rPr>
        <w:t>sector includes emissions of CH</w:t>
      </w:r>
      <w:r w:rsidRPr="009E06AA">
        <w:rPr>
          <w:rFonts w:cs="Calibri"/>
          <w:vertAlign w:val="subscript"/>
        </w:rPr>
        <w:t>4</w:t>
      </w:r>
      <w:r w:rsidRPr="009E06AA">
        <w:rPr>
          <w:rFonts w:cs="Calibri"/>
        </w:rPr>
        <w:t xml:space="preserve"> and N</w:t>
      </w:r>
      <w:r w:rsidRPr="009E06AA">
        <w:rPr>
          <w:rFonts w:cs="Calibri"/>
          <w:vertAlign w:val="subscript"/>
        </w:rPr>
        <w:t>2</w:t>
      </w:r>
      <w:r w:rsidRPr="009E06AA">
        <w:rPr>
          <w:rFonts w:cs="Calibri"/>
        </w:rPr>
        <w:t xml:space="preserve">O from livestock industries (estimated in </w:t>
      </w:r>
      <w:r w:rsidRPr="009E06AA">
        <w:rPr>
          <w:rFonts w:cs="Calibri"/>
          <w:i/>
        </w:rPr>
        <w:t xml:space="preserve">Enteric fermentation </w:t>
      </w:r>
      <w:r w:rsidRPr="009E06AA">
        <w:rPr>
          <w:rFonts w:cs="Calibri"/>
        </w:rPr>
        <w:t>(CH</w:t>
      </w:r>
      <w:r w:rsidRPr="009E06AA">
        <w:rPr>
          <w:rFonts w:cs="Calibri"/>
          <w:vertAlign w:val="subscript"/>
        </w:rPr>
        <w:t>4</w:t>
      </w:r>
      <w:r w:rsidRPr="009E06AA">
        <w:rPr>
          <w:rFonts w:cs="Calibri"/>
        </w:rPr>
        <w:t xml:space="preserve">) and </w:t>
      </w:r>
      <w:r w:rsidRPr="009E06AA">
        <w:rPr>
          <w:rFonts w:cs="Calibri"/>
          <w:i/>
        </w:rPr>
        <w:t xml:space="preserve">Manure management </w:t>
      </w:r>
      <w:r w:rsidRPr="009E06AA">
        <w:rPr>
          <w:rFonts w:cs="Calibri"/>
        </w:rPr>
        <w:t>(CH</w:t>
      </w:r>
      <w:r w:rsidRPr="009E06AA">
        <w:rPr>
          <w:rFonts w:cs="Calibri"/>
          <w:vertAlign w:val="subscript"/>
        </w:rPr>
        <w:t>4</w:t>
      </w:r>
      <w:r w:rsidRPr="009E06AA">
        <w:rPr>
          <w:rFonts w:cs="Calibri"/>
        </w:rPr>
        <w:t xml:space="preserve"> and N</w:t>
      </w:r>
      <w:r w:rsidRPr="009E06AA">
        <w:rPr>
          <w:rFonts w:cs="Calibri"/>
          <w:vertAlign w:val="subscript"/>
        </w:rPr>
        <w:t>2</w:t>
      </w:r>
      <w:r w:rsidRPr="009E06AA">
        <w:rPr>
          <w:rFonts w:cs="Calibri"/>
        </w:rPr>
        <w:t>O)).</w:t>
      </w:r>
      <w:r w:rsidRPr="009E06AA">
        <w:rPr>
          <w:rFonts w:cs="Calibri"/>
          <w:i/>
        </w:rPr>
        <w:t xml:space="preserve"> </w:t>
      </w:r>
      <w:r w:rsidRPr="009E06AA">
        <w:rPr>
          <w:rFonts w:cs="Calibri"/>
        </w:rPr>
        <w:t xml:space="preserve">In </w:t>
      </w:r>
      <w:r w:rsidRPr="009E06AA">
        <w:t>New Zealand</w:t>
      </w:r>
      <w:r w:rsidRPr="009E06AA">
        <w:rPr>
          <w:rFonts w:cs="Calibri"/>
        </w:rPr>
        <w:t xml:space="preserve">, the predominant species (in terms of population) are sheep, followed by dairy cattle, non-dairy cattle and deer. The majority of </w:t>
      </w:r>
      <w:r w:rsidRPr="009E06AA" w:rsidDel="00586F76">
        <w:t xml:space="preserve">New </w:t>
      </w:r>
      <w:r w:rsidRPr="009E06AA">
        <w:t>Zealand</w:t>
      </w:r>
      <w:r w:rsidRPr="009E06AA">
        <w:rPr>
          <w:rFonts w:cs="Calibri"/>
        </w:rPr>
        <w:t xml:space="preserve"> animals are selected to perform under outdoor pastoral farming systems. </w:t>
      </w:r>
    </w:p>
    <w:p w14:paraId="054C6BA8" w14:textId="77777777" w:rsidR="007523B8" w:rsidRPr="009E06AA" w:rsidRDefault="007523B8" w:rsidP="007523B8">
      <w:pPr>
        <w:pStyle w:val="BodyText"/>
        <w:spacing w:before="100" w:after="100"/>
        <w:rPr>
          <w:rFonts w:cs="Calibri"/>
        </w:rPr>
      </w:pPr>
      <w:r w:rsidRPr="009E06AA">
        <w:rPr>
          <w:rFonts w:cs="Calibri"/>
        </w:rPr>
        <w:t>Other agricultural emission sources include N</w:t>
      </w:r>
      <w:r w:rsidRPr="009E06AA">
        <w:rPr>
          <w:rFonts w:cs="Calibri"/>
          <w:vertAlign w:val="subscript"/>
        </w:rPr>
        <w:t>2</w:t>
      </w:r>
      <w:r w:rsidRPr="009E06AA">
        <w:rPr>
          <w:rFonts w:cs="Calibri"/>
        </w:rPr>
        <w:t xml:space="preserve">O from </w:t>
      </w:r>
      <w:r w:rsidRPr="009E06AA">
        <w:rPr>
          <w:rFonts w:cs="Calibri"/>
          <w:i/>
          <w:iCs/>
        </w:rPr>
        <w:t>Agricultural soils</w:t>
      </w:r>
      <w:r w:rsidRPr="009E06AA">
        <w:rPr>
          <w:rFonts w:cs="Calibri"/>
        </w:rPr>
        <w:t>, CH</w:t>
      </w:r>
      <w:r w:rsidRPr="009E06AA">
        <w:rPr>
          <w:rFonts w:cs="Calibri"/>
          <w:vertAlign w:val="subscript"/>
        </w:rPr>
        <w:t>4</w:t>
      </w:r>
      <w:r w:rsidRPr="009E06AA">
        <w:rPr>
          <w:rFonts w:cs="Calibri"/>
        </w:rPr>
        <w:t xml:space="preserve"> and N</w:t>
      </w:r>
      <w:r w:rsidRPr="009E06AA">
        <w:rPr>
          <w:rFonts w:cs="Calibri"/>
          <w:vertAlign w:val="subscript"/>
        </w:rPr>
        <w:t>2</w:t>
      </w:r>
      <w:r w:rsidRPr="009E06AA">
        <w:rPr>
          <w:rFonts w:cs="Calibri"/>
        </w:rPr>
        <w:t>O from </w:t>
      </w:r>
      <w:r w:rsidRPr="009E06AA">
        <w:rPr>
          <w:rFonts w:cs="Calibri"/>
          <w:i/>
          <w:iCs/>
        </w:rPr>
        <w:t>Field burning of agricultural residues</w:t>
      </w:r>
      <w:r w:rsidRPr="009E06AA">
        <w:rPr>
          <w:rFonts w:cs="Calibri"/>
        </w:rPr>
        <w:t xml:space="preserve"> and CO</w:t>
      </w:r>
      <w:r w:rsidRPr="009E06AA">
        <w:rPr>
          <w:rFonts w:cs="Calibri"/>
          <w:vertAlign w:val="subscript"/>
        </w:rPr>
        <w:t>2</w:t>
      </w:r>
      <w:r w:rsidRPr="009E06AA">
        <w:rPr>
          <w:rFonts w:cs="Calibri"/>
        </w:rPr>
        <w:t xml:space="preserve"> from </w:t>
      </w:r>
      <w:r w:rsidRPr="009E06AA">
        <w:rPr>
          <w:rFonts w:cs="Calibri"/>
          <w:i/>
          <w:iCs/>
        </w:rPr>
        <w:t>Liming</w:t>
      </w:r>
      <w:r w:rsidRPr="009E06AA">
        <w:rPr>
          <w:rFonts w:cs="Calibri"/>
        </w:rPr>
        <w:t xml:space="preserve"> and </w:t>
      </w:r>
      <w:r w:rsidRPr="009E06AA">
        <w:rPr>
          <w:rFonts w:cs="Calibri"/>
          <w:i/>
          <w:iCs/>
        </w:rPr>
        <w:t>Urea application</w:t>
      </w:r>
      <w:r w:rsidRPr="009E06AA">
        <w:rPr>
          <w:rFonts w:cs="Calibri"/>
        </w:rPr>
        <w:t>.</w:t>
      </w:r>
    </w:p>
    <w:p w14:paraId="5FCABE15" w14:textId="77777777" w:rsidR="007523B8" w:rsidRPr="009E06AA" w:rsidRDefault="007523B8" w:rsidP="007523B8">
      <w:pPr>
        <w:pStyle w:val="BodyText"/>
        <w:spacing w:before="100" w:after="100"/>
        <w:rPr>
          <w:rFonts w:cs="Calibri"/>
        </w:rPr>
      </w:pPr>
      <w:r w:rsidRPr="009E06AA">
        <w:t>New Zealand</w:t>
      </w:r>
      <w:r w:rsidRPr="009E06AA">
        <w:rPr>
          <w:rFonts w:cs="Calibri"/>
        </w:rPr>
        <w:t xml:space="preserve"> uses a range of models and tiers appropriate to the size of the different emission categories for calculating emissions. For example, 92.7 per cent of </w:t>
      </w:r>
      <w:r w:rsidRPr="009E06AA">
        <w:t>New Zealand’s</w:t>
      </w:r>
      <w:r w:rsidRPr="009E06AA">
        <w:rPr>
          <w:rFonts w:cs="Calibri"/>
        </w:rPr>
        <w:t xml:space="preserve"> livestock emissions come from </w:t>
      </w:r>
      <w:r w:rsidRPr="009E06AA">
        <w:rPr>
          <w:rFonts w:cs="Calibri"/>
          <w:i/>
          <w:iCs/>
        </w:rPr>
        <w:t>Dairy cattle</w:t>
      </w:r>
      <w:r w:rsidRPr="009E06AA">
        <w:rPr>
          <w:rFonts w:cs="Calibri"/>
        </w:rPr>
        <w:t xml:space="preserve">, </w:t>
      </w:r>
      <w:r w:rsidRPr="009E06AA">
        <w:rPr>
          <w:rFonts w:cs="Calibri"/>
          <w:i/>
          <w:iCs/>
        </w:rPr>
        <w:t>Non-dairy cattle</w:t>
      </w:r>
      <w:r w:rsidRPr="009E06AA">
        <w:rPr>
          <w:rFonts w:cs="Calibri"/>
        </w:rPr>
        <w:t>,</w:t>
      </w:r>
      <w:r w:rsidRPr="009E06AA">
        <w:rPr>
          <w:rFonts w:cs="Calibri"/>
          <w:i/>
          <w:iCs/>
        </w:rPr>
        <w:t xml:space="preserve"> Sheep</w:t>
      </w:r>
      <w:r w:rsidRPr="009E06AA">
        <w:rPr>
          <w:rFonts w:cs="Calibri"/>
        </w:rPr>
        <w:t xml:space="preserve"> and </w:t>
      </w:r>
      <w:r w:rsidRPr="009E06AA">
        <w:rPr>
          <w:rFonts w:cs="Calibri"/>
          <w:i/>
          <w:iCs/>
        </w:rPr>
        <w:t>Deer</w:t>
      </w:r>
      <w:r w:rsidRPr="009E06AA">
        <w:rPr>
          <w:rFonts w:cs="Calibri"/>
        </w:rPr>
        <w:t xml:space="preserve"> (‘major’ livestock </w:t>
      </w:r>
      <w:r w:rsidRPr="009E06AA">
        <w:rPr>
          <w:rFonts w:cs="Calibri"/>
          <w:spacing w:val="-2"/>
        </w:rPr>
        <w:t xml:space="preserve">categories). Emissions from major livestock categories are estimated using </w:t>
      </w:r>
      <w:r w:rsidRPr="009E06AA">
        <w:t xml:space="preserve">Intergovernmental </w:t>
      </w:r>
      <w:r w:rsidRPr="009E06AA">
        <w:rPr>
          <w:spacing w:val="-2"/>
        </w:rPr>
        <w:t xml:space="preserve">Panel on Climate Change (IPCC) </w:t>
      </w:r>
      <w:r w:rsidRPr="009E06AA">
        <w:rPr>
          <w:rFonts w:cs="Calibri"/>
          <w:spacing w:val="-2"/>
        </w:rPr>
        <w:t>Tier 2 methodologies.</w:t>
      </w:r>
      <w:r w:rsidRPr="009E06AA">
        <w:rPr>
          <w:rFonts w:cs="Calibri"/>
        </w:rPr>
        <w:t xml:space="preserve"> Other livestock species, including </w:t>
      </w:r>
      <w:r w:rsidRPr="009E06AA">
        <w:rPr>
          <w:rFonts w:cs="Calibri"/>
          <w:i/>
          <w:iCs/>
        </w:rPr>
        <w:t>Swine</w:t>
      </w:r>
      <w:r w:rsidRPr="009E06AA">
        <w:rPr>
          <w:rFonts w:cs="Calibri"/>
        </w:rPr>
        <w:t>,</w:t>
      </w:r>
      <w:r w:rsidRPr="009E06AA">
        <w:rPr>
          <w:rFonts w:cs="Calibri"/>
          <w:i/>
          <w:iCs/>
        </w:rPr>
        <w:t xml:space="preserve"> Goats</w:t>
      </w:r>
      <w:r w:rsidRPr="009E06AA">
        <w:rPr>
          <w:rFonts w:cs="Calibri"/>
        </w:rPr>
        <w:t>,</w:t>
      </w:r>
      <w:r w:rsidRPr="009E06AA">
        <w:rPr>
          <w:rFonts w:cs="Calibri"/>
          <w:i/>
          <w:iCs/>
        </w:rPr>
        <w:t xml:space="preserve"> Horses</w:t>
      </w:r>
      <w:r w:rsidRPr="009E06AA">
        <w:rPr>
          <w:rFonts w:cs="Calibri"/>
        </w:rPr>
        <w:t>,</w:t>
      </w:r>
      <w:r w:rsidRPr="009E06AA">
        <w:rPr>
          <w:rFonts w:cs="Calibri"/>
          <w:i/>
          <w:iCs/>
        </w:rPr>
        <w:t xml:space="preserve"> </w:t>
      </w:r>
      <w:r w:rsidRPr="009E06AA">
        <w:rPr>
          <w:rFonts w:cs="Calibri"/>
          <w:i/>
        </w:rPr>
        <w:t>Llamas</w:t>
      </w:r>
      <w:r w:rsidRPr="009E06AA">
        <w:rPr>
          <w:i/>
        </w:rPr>
        <w:t xml:space="preserve"> and alpaca</w:t>
      </w:r>
      <w:r w:rsidRPr="009E06AA">
        <w:rPr>
          <w:rFonts w:cs="Calibri"/>
          <w:i/>
        </w:rPr>
        <w:t>s</w:t>
      </w:r>
      <w:r w:rsidRPr="009E06AA">
        <w:rPr>
          <w:rFonts w:cs="Calibri"/>
        </w:rPr>
        <w:t>,</w:t>
      </w:r>
      <w:r w:rsidRPr="009E06AA">
        <w:rPr>
          <w:rFonts w:cs="Calibri"/>
          <w:i/>
          <w:iCs/>
        </w:rPr>
        <w:t xml:space="preserve"> Mules and asses</w:t>
      </w:r>
      <w:r w:rsidRPr="009E06AA">
        <w:rPr>
          <w:rFonts w:cs="Calibri"/>
        </w:rPr>
        <w:t xml:space="preserve"> </w:t>
      </w:r>
      <w:r w:rsidRPr="009E06AA">
        <w:rPr>
          <w:rFonts w:cs="Calibri"/>
          <w:spacing w:val="-2"/>
        </w:rPr>
        <w:t xml:space="preserve">and </w:t>
      </w:r>
      <w:r w:rsidRPr="009E06AA">
        <w:rPr>
          <w:rFonts w:cs="Calibri"/>
          <w:i/>
          <w:iCs/>
          <w:spacing w:val="-2"/>
        </w:rPr>
        <w:t xml:space="preserve">Poultry </w:t>
      </w:r>
      <w:r w:rsidRPr="009E06AA">
        <w:rPr>
          <w:rFonts w:cs="Calibri"/>
          <w:spacing w:val="-2"/>
        </w:rPr>
        <w:t>(‘minor’ livestock categories) account for only 0.4 per cent of Agriculture emissions,</w:t>
      </w:r>
      <w:r w:rsidRPr="009E06AA">
        <w:rPr>
          <w:rFonts w:cs="Calibri"/>
        </w:rPr>
        <w:t xml:space="preserve"> and are estimated using Tier 1 methodologies with some Tier 2 components. As such, most of </w:t>
      </w:r>
      <w:r w:rsidRPr="009E06AA">
        <w:t>New Zealand’s</w:t>
      </w:r>
      <w:r w:rsidRPr="009E06AA">
        <w:rPr>
          <w:rFonts w:cs="Calibri"/>
        </w:rPr>
        <w:t xml:space="preserve"> reported agricultural emissions are calculated using a Tier 2 </w:t>
      </w:r>
      <w:r w:rsidRPr="009E06AA">
        <w:rPr>
          <w:rFonts w:cs="Calibri"/>
          <w:spacing w:val="-2"/>
        </w:rPr>
        <w:t>methodology. Table 5.1.3 summarises methods and emission factors for Agriculture categories.</w:t>
      </w:r>
    </w:p>
    <w:p w14:paraId="7FEB125A" w14:textId="77777777" w:rsidR="007523B8" w:rsidRPr="009E06AA" w:rsidRDefault="007523B8" w:rsidP="007523B8">
      <w:pPr>
        <w:pStyle w:val="Table"/>
        <w:rPr>
          <w:rFonts w:cs="Calibri"/>
        </w:rPr>
      </w:pPr>
      <w:bookmarkStart w:id="809" w:name="_Toc32570911"/>
      <w:bookmarkStart w:id="810" w:name="_Toc36224546"/>
      <w:bookmarkStart w:id="811" w:name="_Toc68786432"/>
      <w:bookmarkStart w:id="812" w:name="_Toc95574067"/>
      <w:bookmarkStart w:id="813" w:name="_Toc127458250"/>
      <w:bookmarkStart w:id="814" w:name="_Toc131591346"/>
      <w:bookmarkStart w:id="815" w:name="_Toc160114436"/>
      <w:bookmarkStart w:id="816" w:name="_Toc164153832"/>
      <w:r w:rsidRPr="009E06AA">
        <w:rPr>
          <w:rFonts w:cs="Calibri"/>
        </w:rPr>
        <w:t xml:space="preserve">Table 5.1.3 </w:t>
      </w:r>
      <w:r w:rsidRPr="009E06AA">
        <w:rPr>
          <w:rFonts w:cs="Calibri"/>
        </w:rPr>
        <w:tab/>
        <w:t>Methods and emission factors in the Agriculture sector</w:t>
      </w:r>
      <w:bookmarkEnd w:id="809"/>
      <w:bookmarkEnd w:id="810"/>
      <w:bookmarkEnd w:id="811"/>
      <w:bookmarkEnd w:id="812"/>
      <w:bookmarkEnd w:id="813"/>
      <w:bookmarkEnd w:id="814"/>
      <w:bookmarkEnd w:id="815"/>
      <w:bookmarkEnd w:id="816"/>
    </w:p>
    <w:tbl>
      <w:tblPr>
        <w:tblW w:w="8514" w:type="dxa"/>
        <w:tblLayout w:type="fixed"/>
        <w:tblCellMar>
          <w:left w:w="85" w:type="dxa"/>
          <w:right w:w="85" w:type="dxa"/>
        </w:tblCellMar>
        <w:tblLook w:val="04A0" w:firstRow="1" w:lastRow="0" w:firstColumn="1" w:lastColumn="0" w:noHBand="0" w:noVBand="1"/>
      </w:tblPr>
      <w:tblGrid>
        <w:gridCol w:w="320"/>
        <w:gridCol w:w="3366"/>
        <w:gridCol w:w="850"/>
        <w:gridCol w:w="851"/>
        <w:gridCol w:w="709"/>
        <w:gridCol w:w="794"/>
        <w:gridCol w:w="812"/>
        <w:gridCol w:w="812"/>
      </w:tblGrid>
      <w:tr w:rsidR="007523B8" w:rsidRPr="009E06AA" w14:paraId="2B18234E" w14:textId="77777777" w:rsidTr="00B55F24">
        <w:trPr>
          <w:tblHeader/>
        </w:trPr>
        <w:tc>
          <w:tcPr>
            <w:tcW w:w="3686" w:type="dxa"/>
            <w:gridSpan w:val="2"/>
            <w:vMerge w:val="restart"/>
            <w:tcBorders>
              <w:top w:val="single" w:sz="4" w:space="0" w:color="1B556B" w:themeColor="text2"/>
              <w:left w:val="nil"/>
              <w:right w:val="nil"/>
            </w:tcBorders>
            <w:shd w:val="clear" w:color="auto" w:fill="1B556B"/>
            <w:vAlign w:val="bottom"/>
          </w:tcPr>
          <w:p w14:paraId="782C0805" w14:textId="77777777" w:rsidR="007523B8" w:rsidRPr="009E06AA" w:rsidRDefault="007523B8" w:rsidP="00B55F24">
            <w:pPr>
              <w:pStyle w:val="TableTextBold"/>
              <w:keepNext/>
              <w:spacing w:before="40" w:after="40"/>
              <w:rPr>
                <w:noProof w:val="0"/>
                <w:color w:val="FFFFFF" w:themeColor="background1"/>
                <w:szCs w:val="16"/>
              </w:rPr>
            </w:pPr>
            <w:r w:rsidRPr="009E06AA">
              <w:rPr>
                <w:noProof w:val="0"/>
                <w:color w:val="FFFFFF" w:themeColor="background1"/>
                <w:szCs w:val="16"/>
              </w:rPr>
              <w:t>Source category</w:t>
            </w:r>
          </w:p>
        </w:tc>
        <w:tc>
          <w:tcPr>
            <w:tcW w:w="1701" w:type="dxa"/>
            <w:gridSpan w:val="2"/>
            <w:tcBorders>
              <w:top w:val="single" w:sz="4" w:space="0" w:color="1B556B" w:themeColor="text2"/>
              <w:left w:val="nil"/>
              <w:right w:val="nil"/>
            </w:tcBorders>
            <w:shd w:val="clear" w:color="auto" w:fill="1B556B"/>
            <w:vAlign w:val="center"/>
          </w:tcPr>
          <w:p w14:paraId="4C3C9570" w14:textId="77777777" w:rsidR="007523B8" w:rsidRPr="009E06AA" w:rsidRDefault="007523B8" w:rsidP="00B55F24">
            <w:pPr>
              <w:pStyle w:val="TableTextBold"/>
              <w:keepNext/>
              <w:spacing w:before="40" w:after="0"/>
              <w:jc w:val="center"/>
              <w:rPr>
                <w:noProof w:val="0"/>
                <w:color w:val="FFFFFF" w:themeColor="background1"/>
                <w:szCs w:val="16"/>
              </w:rPr>
            </w:pPr>
            <w:r w:rsidRPr="009E06AA">
              <w:rPr>
                <w:noProof w:val="0"/>
                <w:color w:val="FFFFFF" w:themeColor="background1"/>
                <w:szCs w:val="16"/>
              </w:rPr>
              <w:t>CH</w:t>
            </w:r>
            <w:r w:rsidRPr="009E06AA">
              <w:rPr>
                <w:noProof w:val="0"/>
                <w:color w:val="FFFFFF" w:themeColor="background1"/>
                <w:szCs w:val="16"/>
                <w:vertAlign w:val="subscript"/>
              </w:rPr>
              <w:t>4</w:t>
            </w:r>
          </w:p>
        </w:tc>
        <w:tc>
          <w:tcPr>
            <w:tcW w:w="1503" w:type="dxa"/>
            <w:gridSpan w:val="2"/>
            <w:tcBorders>
              <w:top w:val="single" w:sz="4" w:space="0" w:color="1B556B" w:themeColor="text2"/>
              <w:left w:val="nil"/>
              <w:right w:val="nil"/>
            </w:tcBorders>
            <w:shd w:val="clear" w:color="auto" w:fill="1B556B"/>
            <w:vAlign w:val="center"/>
          </w:tcPr>
          <w:p w14:paraId="4B3DB9A3" w14:textId="77777777" w:rsidR="007523B8" w:rsidRPr="009E06AA" w:rsidRDefault="007523B8" w:rsidP="00B55F24">
            <w:pPr>
              <w:pStyle w:val="TableTextBold"/>
              <w:keepNext/>
              <w:spacing w:before="40" w:after="0"/>
              <w:jc w:val="center"/>
              <w:rPr>
                <w:noProof w:val="0"/>
                <w:color w:val="FFFFFF" w:themeColor="background1"/>
                <w:szCs w:val="16"/>
              </w:rPr>
            </w:pPr>
            <w:r w:rsidRPr="009E06AA">
              <w:rPr>
                <w:noProof w:val="0"/>
                <w:color w:val="FFFFFF" w:themeColor="background1"/>
                <w:szCs w:val="16"/>
              </w:rPr>
              <w:t>N</w:t>
            </w:r>
            <w:r w:rsidRPr="009E06AA">
              <w:rPr>
                <w:noProof w:val="0"/>
                <w:color w:val="FFFFFF" w:themeColor="background1"/>
                <w:szCs w:val="16"/>
                <w:vertAlign w:val="subscript"/>
              </w:rPr>
              <w:t>2</w:t>
            </w:r>
            <w:r w:rsidRPr="009E06AA">
              <w:rPr>
                <w:noProof w:val="0"/>
                <w:color w:val="FFFFFF" w:themeColor="background1"/>
                <w:szCs w:val="16"/>
              </w:rPr>
              <w:t>O</w:t>
            </w:r>
          </w:p>
        </w:tc>
        <w:tc>
          <w:tcPr>
            <w:tcW w:w="1624" w:type="dxa"/>
            <w:gridSpan w:val="2"/>
            <w:tcBorders>
              <w:top w:val="single" w:sz="4" w:space="0" w:color="1B556B" w:themeColor="text2"/>
              <w:left w:val="nil"/>
              <w:right w:val="nil"/>
            </w:tcBorders>
            <w:shd w:val="clear" w:color="auto" w:fill="1B556B"/>
            <w:vAlign w:val="center"/>
          </w:tcPr>
          <w:p w14:paraId="1A0774CA" w14:textId="77777777" w:rsidR="007523B8" w:rsidRPr="009E06AA" w:rsidRDefault="007523B8" w:rsidP="00B55F24">
            <w:pPr>
              <w:pStyle w:val="TableTextBold"/>
              <w:keepNext/>
              <w:spacing w:before="40" w:after="0"/>
              <w:jc w:val="center"/>
              <w:rPr>
                <w:noProof w:val="0"/>
                <w:color w:val="FFFFFF" w:themeColor="background1"/>
                <w:szCs w:val="16"/>
              </w:rPr>
            </w:pPr>
            <w:r w:rsidRPr="009E06AA">
              <w:rPr>
                <w:noProof w:val="0"/>
                <w:color w:val="FFFFFF" w:themeColor="background1"/>
                <w:szCs w:val="16"/>
              </w:rPr>
              <w:t>CO</w:t>
            </w:r>
            <w:r w:rsidRPr="009E06AA">
              <w:rPr>
                <w:noProof w:val="0"/>
                <w:color w:val="FFFFFF" w:themeColor="background1"/>
                <w:szCs w:val="16"/>
                <w:vertAlign w:val="subscript"/>
              </w:rPr>
              <w:t>2</w:t>
            </w:r>
          </w:p>
        </w:tc>
      </w:tr>
      <w:tr w:rsidR="007523B8" w:rsidRPr="009E06AA" w14:paraId="3C3FBD66" w14:textId="77777777" w:rsidTr="00B55F24">
        <w:trPr>
          <w:tblHeader/>
        </w:trPr>
        <w:tc>
          <w:tcPr>
            <w:tcW w:w="3686" w:type="dxa"/>
            <w:gridSpan w:val="2"/>
            <w:vMerge/>
            <w:tcBorders>
              <w:left w:val="nil"/>
              <w:bottom w:val="single" w:sz="4" w:space="0" w:color="1B556B" w:themeColor="text2"/>
              <w:right w:val="nil"/>
            </w:tcBorders>
            <w:shd w:val="clear" w:color="auto" w:fill="1B556B"/>
            <w:vAlign w:val="center"/>
            <w:hideMark/>
          </w:tcPr>
          <w:p w14:paraId="580F2A78" w14:textId="77777777" w:rsidR="007523B8" w:rsidRPr="009E06AA" w:rsidRDefault="007523B8" w:rsidP="00B55F24">
            <w:pPr>
              <w:pStyle w:val="TableTextBold"/>
              <w:keepNext/>
              <w:jc w:val="center"/>
              <w:rPr>
                <w:noProof w:val="0"/>
                <w:color w:val="FFFFFF" w:themeColor="background1"/>
                <w:szCs w:val="16"/>
              </w:rPr>
            </w:pPr>
          </w:p>
        </w:tc>
        <w:tc>
          <w:tcPr>
            <w:tcW w:w="850" w:type="dxa"/>
            <w:tcBorders>
              <w:left w:val="nil"/>
              <w:bottom w:val="single" w:sz="4" w:space="0" w:color="1B556B" w:themeColor="text2"/>
              <w:right w:val="nil"/>
            </w:tcBorders>
            <w:shd w:val="clear" w:color="auto" w:fill="1B556B"/>
            <w:vAlign w:val="center"/>
            <w:hideMark/>
          </w:tcPr>
          <w:p w14:paraId="58DD3434" w14:textId="77777777" w:rsidR="007523B8" w:rsidRPr="009E06AA" w:rsidRDefault="007523B8" w:rsidP="00204D2F">
            <w:pPr>
              <w:pStyle w:val="TableTextBold"/>
              <w:keepNext/>
              <w:spacing w:before="40" w:after="40"/>
              <w:rPr>
                <w:noProof w:val="0"/>
                <w:color w:val="FFFFFF" w:themeColor="background1"/>
                <w:szCs w:val="16"/>
              </w:rPr>
            </w:pPr>
            <w:r w:rsidRPr="009E06AA">
              <w:rPr>
                <w:noProof w:val="0"/>
                <w:color w:val="FFFFFF" w:themeColor="background1"/>
                <w:szCs w:val="16"/>
              </w:rPr>
              <w:t>Method applied</w:t>
            </w:r>
          </w:p>
        </w:tc>
        <w:tc>
          <w:tcPr>
            <w:tcW w:w="851" w:type="dxa"/>
            <w:tcBorders>
              <w:left w:val="nil"/>
              <w:bottom w:val="single" w:sz="4" w:space="0" w:color="1B556B" w:themeColor="text2"/>
              <w:right w:val="nil"/>
            </w:tcBorders>
            <w:shd w:val="clear" w:color="auto" w:fill="1B556B"/>
            <w:vAlign w:val="center"/>
            <w:hideMark/>
          </w:tcPr>
          <w:p w14:paraId="39289D56" w14:textId="77777777" w:rsidR="007523B8" w:rsidRPr="009E06AA" w:rsidRDefault="007523B8" w:rsidP="00204D2F">
            <w:pPr>
              <w:pStyle w:val="TableTextBold"/>
              <w:keepNext/>
              <w:spacing w:before="40" w:after="40"/>
              <w:rPr>
                <w:noProof w:val="0"/>
                <w:color w:val="FFFFFF" w:themeColor="background1"/>
                <w:szCs w:val="16"/>
              </w:rPr>
            </w:pPr>
            <w:r w:rsidRPr="009E06AA">
              <w:rPr>
                <w:noProof w:val="0"/>
                <w:color w:val="FFFFFF" w:themeColor="background1"/>
                <w:szCs w:val="16"/>
              </w:rPr>
              <w:t>Emission factor</w:t>
            </w:r>
          </w:p>
        </w:tc>
        <w:tc>
          <w:tcPr>
            <w:tcW w:w="709" w:type="dxa"/>
            <w:tcBorders>
              <w:left w:val="nil"/>
              <w:bottom w:val="single" w:sz="4" w:space="0" w:color="1B556B" w:themeColor="text2"/>
              <w:right w:val="nil"/>
            </w:tcBorders>
            <w:shd w:val="clear" w:color="auto" w:fill="1B556B"/>
            <w:vAlign w:val="center"/>
            <w:hideMark/>
          </w:tcPr>
          <w:p w14:paraId="6628BC0A" w14:textId="77777777" w:rsidR="007523B8" w:rsidRPr="009E06AA" w:rsidRDefault="007523B8" w:rsidP="00204D2F">
            <w:pPr>
              <w:pStyle w:val="TableTextBold"/>
              <w:keepNext/>
              <w:spacing w:before="40" w:after="40"/>
              <w:rPr>
                <w:noProof w:val="0"/>
                <w:color w:val="FFFFFF" w:themeColor="background1"/>
                <w:szCs w:val="16"/>
              </w:rPr>
            </w:pPr>
            <w:r w:rsidRPr="009E06AA">
              <w:rPr>
                <w:noProof w:val="0"/>
                <w:color w:val="FFFFFF" w:themeColor="background1"/>
                <w:szCs w:val="16"/>
              </w:rPr>
              <w:t>Method applied</w:t>
            </w:r>
          </w:p>
        </w:tc>
        <w:tc>
          <w:tcPr>
            <w:tcW w:w="794" w:type="dxa"/>
            <w:tcBorders>
              <w:left w:val="nil"/>
              <w:bottom w:val="single" w:sz="4" w:space="0" w:color="1B556B" w:themeColor="text2"/>
              <w:right w:val="nil"/>
            </w:tcBorders>
            <w:shd w:val="clear" w:color="auto" w:fill="1B556B"/>
            <w:vAlign w:val="center"/>
            <w:hideMark/>
          </w:tcPr>
          <w:p w14:paraId="43C2B6A1" w14:textId="77777777" w:rsidR="007523B8" w:rsidRPr="009E06AA" w:rsidRDefault="007523B8" w:rsidP="00204D2F">
            <w:pPr>
              <w:pStyle w:val="TableTextBold"/>
              <w:keepNext/>
              <w:spacing w:before="40" w:after="40"/>
              <w:rPr>
                <w:noProof w:val="0"/>
                <w:color w:val="FFFFFF" w:themeColor="background1"/>
                <w:szCs w:val="16"/>
              </w:rPr>
            </w:pPr>
            <w:r w:rsidRPr="009E06AA">
              <w:rPr>
                <w:noProof w:val="0"/>
                <w:color w:val="FFFFFF" w:themeColor="background1"/>
                <w:szCs w:val="16"/>
              </w:rPr>
              <w:t>Emission factor</w:t>
            </w:r>
          </w:p>
        </w:tc>
        <w:tc>
          <w:tcPr>
            <w:tcW w:w="812" w:type="dxa"/>
            <w:tcBorders>
              <w:left w:val="nil"/>
              <w:bottom w:val="single" w:sz="4" w:space="0" w:color="1B556B" w:themeColor="text2"/>
              <w:right w:val="nil"/>
            </w:tcBorders>
            <w:shd w:val="clear" w:color="auto" w:fill="1B556B"/>
            <w:vAlign w:val="center"/>
            <w:hideMark/>
          </w:tcPr>
          <w:p w14:paraId="1FE52704" w14:textId="77777777" w:rsidR="007523B8" w:rsidRPr="009E06AA" w:rsidRDefault="007523B8" w:rsidP="00204D2F">
            <w:pPr>
              <w:pStyle w:val="TableTextBold"/>
              <w:keepNext/>
              <w:spacing w:before="40" w:after="40"/>
              <w:rPr>
                <w:noProof w:val="0"/>
                <w:color w:val="FFFFFF" w:themeColor="background1"/>
                <w:szCs w:val="16"/>
              </w:rPr>
            </w:pPr>
            <w:r w:rsidRPr="009E06AA">
              <w:rPr>
                <w:noProof w:val="0"/>
                <w:color w:val="FFFFFF" w:themeColor="background1"/>
                <w:szCs w:val="16"/>
              </w:rPr>
              <w:t>Method applied</w:t>
            </w:r>
          </w:p>
        </w:tc>
        <w:tc>
          <w:tcPr>
            <w:tcW w:w="812" w:type="dxa"/>
            <w:tcBorders>
              <w:left w:val="nil"/>
              <w:bottom w:val="single" w:sz="4" w:space="0" w:color="1B556B" w:themeColor="text2"/>
              <w:right w:val="nil"/>
            </w:tcBorders>
            <w:shd w:val="clear" w:color="auto" w:fill="1B556B"/>
            <w:vAlign w:val="center"/>
            <w:hideMark/>
          </w:tcPr>
          <w:p w14:paraId="351686D7" w14:textId="77777777" w:rsidR="007523B8" w:rsidRPr="009E06AA" w:rsidRDefault="007523B8" w:rsidP="00204D2F">
            <w:pPr>
              <w:pStyle w:val="TableTextBold"/>
              <w:keepNext/>
              <w:spacing w:before="40" w:after="40"/>
              <w:rPr>
                <w:noProof w:val="0"/>
                <w:color w:val="FFFFFF" w:themeColor="background1"/>
                <w:szCs w:val="16"/>
              </w:rPr>
            </w:pPr>
            <w:r w:rsidRPr="009E06AA">
              <w:rPr>
                <w:noProof w:val="0"/>
                <w:color w:val="FFFFFF" w:themeColor="background1"/>
                <w:szCs w:val="16"/>
              </w:rPr>
              <w:t>Emission factor</w:t>
            </w:r>
          </w:p>
        </w:tc>
      </w:tr>
      <w:tr w:rsidR="007523B8" w:rsidRPr="00204D2F" w14:paraId="1107701C" w14:textId="77777777" w:rsidTr="00417017">
        <w:tc>
          <w:tcPr>
            <w:tcW w:w="320" w:type="dxa"/>
            <w:tcBorders>
              <w:top w:val="single" w:sz="4" w:space="0" w:color="1B556B" w:themeColor="text2"/>
              <w:left w:val="nil"/>
              <w:bottom w:val="single" w:sz="4" w:space="0" w:color="1B556B"/>
              <w:right w:val="nil"/>
            </w:tcBorders>
            <w:shd w:val="clear" w:color="auto" w:fill="auto"/>
            <w:noWrap/>
            <w:vAlign w:val="center"/>
            <w:hideMark/>
          </w:tcPr>
          <w:p w14:paraId="7451BCFB" w14:textId="77777777" w:rsidR="007523B8" w:rsidRPr="00204D2F" w:rsidRDefault="007523B8" w:rsidP="00B55F24">
            <w:pPr>
              <w:pStyle w:val="TableText"/>
              <w:keepNext/>
              <w:spacing w:before="30" w:after="30"/>
              <w:rPr>
                <w:b/>
                <w:bCs/>
              </w:rPr>
            </w:pPr>
            <w:r w:rsidRPr="00204D2F">
              <w:rPr>
                <w:b/>
                <w:bCs/>
              </w:rPr>
              <w:t>A</w:t>
            </w:r>
          </w:p>
        </w:tc>
        <w:tc>
          <w:tcPr>
            <w:tcW w:w="3366" w:type="dxa"/>
            <w:tcBorders>
              <w:top w:val="single" w:sz="4" w:space="0" w:color="1B556B" w:themeColor="text2"/>
              <w:left w:val="nil"/>
              <w:bottom w:val="single" w:sz="4" w:space="0" w:color="1B556B"/>
              <w:right w:val="nil"/>
            </w:tcBorders>
            <w:shd w:val="clear" w:color="auto" w:fill="auto"/>
            <w:vAlign w:val="center"/>
            <w:hideMark/>
          </w:tcPr>
          <w:p w14:paraId="7ECBDB98" w14:textId="77777777" w:rsidR="007523B8" w:rsidRPr="00204D2F" w:rsidRDefault="007523B8" w:rsidP="00B55F24">
            <w:pPr>
              <w:pStyle w:val="TableText"/>
              <w:keepNext/>
              <w:spacing w:before="30" w:after="30"/>
              <w:rPr>
                <w:b/>
                <w:bCs/>
              </w:rPr>
            </w:pPr>
            <w:r w:rsidRPr="00204D2F">
              <w:rPr>
                <w:b/>
                <w:bCs/>
              </w:rPr>
              <w:t>Enteric Fermentation</w:t>
            </w:r>
          </w:p>
        </w:tc>
        <w:tc>
          <w:tcPr>
            <w:tcW w:w="850" w:type="dxa"/>
            <w:tcBorders>
              <w:top w:val="single" w:sz="4" w:space="0" w:color="1B556B" w:themeColor="text2"/>
              <w:left w:val="nil"/>
              <w:bottom w:val="single" w:sz="4" w:space="0" w:color="1B556B"/>
              <w:right w:val="nil"/>
            </w:tcBorders>
            <w:shd w:val="clear" w:color="auto" w:fill="auto"/>
            <w:noWrap/>
            <w:vAlign w:val="center"/>
            <w:hideMark/>
          </w:tcPr>
          <w:p w14:paraId="6DB46481" w14:textId="5CDB6027" w:rsidR="007523B8" w:rsidRPr="00204D2F" w:rsidRDefault="007523B8" w:rsidP="00204D2F">
            <w:pPr>
              <w:pStyle w:val="TableText"/>
              <w:keepNext/>
              <w:spacing w:before="30" w:after="30"/>
              <w:rPr>
                <w:b/>
                <w:bCs/>
              </w:rPr>
            </w:pPr>
          </w:p>
        </w:tc>
        <w:tc>
          <w:tcPr>
            <w:tcW w:w="851" w:type="dxa"/>
            <w:tcBorders>
              <w:top w:val="single" w:sz="4" w:space="0" w:color="1B556B" w:themeColor="text2"/>
              <w:left w:val="nil"/>
              <w:bottom w:val="single" w:sz="4" w:space="0" w:color="1B556B"/>
              <w:right w:val="nil"/>
            </w:tcBorders>
            <w:shd w:val="clear" w:color="auto" w:fill="auto"/>
            <w:noWrap/>
            <w:vAlign w:val="center"/>
            <w:hideMark/>
          </w:tcPr>
          <w:p w14:paraId="3C80A6AB" w14:textId="67049993" w:rsidR="007523B8" w:rsidRPr="00204D2F" w:rsidRDefault="007523B8" w:rsidP="00204D2F">
            <w:pPr>
              <w:pStyle w:val="TableText"/>
              <w:keepNext/>
              <w:spacing w:before="30" w:after="30"/>
              <w:rPr>
                <w:b/>
                <w:bCs/>
              </w:rPr>
            </w:pPr>
          </w:p>
        </w:tc>
        <w:tc>
          <w:tcPr>
            <w:tcW w:w="709" w:type="dxa"/>
            <w:tcBorders>
              <w:top w:val="single" w:sz="4" w:space="0" w:color="1B556B" w:themeColor="text2"/>
              <w:left w:val="nil"/>
              <w:bottom w:val="single" w:sz="4" w:space="0" w:color="1B556B"/>
              <w:right w:val="nil"/>
            </w:tcBorders>
            <w:shd w:val="clear" w:color="auto" w:fill="auto"/>
            <w:noWrap/>
            <w:vAlign w:val="center"/>
          </w:tcPr>
          <w:p w14:paraId="2E86C710" w14:textId="36847B56" w:rsidR="007523B8" w:rsidRPr="00204D2F" w:rsidRDefault="007523B8" w:rsidP="00204D2F">
            <w:pPr>
              <w:pStyle w:val="TableText"/>
              <w:keepNext/>
              <w:spacing w:before="30" w:after="30"/>
              <w:rPr>
                <w:b/>
                <w:bCs/>
              </w:rPr>
            </w:pPr>
          </w:p>
        </w:tc>
        <w:tc>
          <w:tcPr>
            <w:tcW w:w="794" w:type="dxa"/>
            <w:tcBorders>
              <w:top w:val="single" w:sz="4" w:space="0" w:color="1B556B" w:themeColor="text2"/>
              <w:left w:val="nil"/>
              <w:bottom w:val="single" w:sz="4" w:space="0" w:color="1B556B"/>
              <w:right w:val="nil"/>
            </w:tcBorders>
            <w:shd w:val="clear" w:color="auto" w:fill="auto"/>
            <w:noWrap/>
            <w:vAlign w:val="center"/>
          </w:tcPr>
          <w:p w14:paraId="038F7B98" w14:textId="137C7167" w:rsidR="007523B8" w:rsidRPr="00204D2F" w:rsidRDefault="007523B8" w:rsidP="00204D2F">
            <w:pPr>
              <w:pStyle w:val="TableText"/>
              <w:keepNext/>
              <w:spacing w:before="30" w:after="30"/>
              <w:rPr>
                <w:b/>
                <w:bCs/>
              </w:rPr>
            </w:pPr>
          </w:p>
        </w:tc>
        <w:tc>
          <w:tcPr>
            <w:tcW w:w="812" w:type="dxa"/>
            <w:tcBorders>
              <w:top w:val="single" w:sz="4" w:space="0" w:color="1B556B" w:themeColor="text2"/>
              <w:left w:val="nil"/>
              <w:bottom w:val="single" w:sz="4" w:space="0" w:color="1B556B"/>
              <w:right w:val="nil"/>
            </w:tcBorders>
            <w:shd w:val="clear" w:color="auto" w:fill="auto"/>
            <w:noWrap/>
            <w:vAlign w:val="center"/>
          </w:tcPr>
          <w:p w14:paraId="32853456" w14:textId="28174A1F" w:rsidR="007523B8" w:rsidRPr="00204D2F" w:rsidRDefault="007523B8" w:rsidP="00204D2F">
            <w:pPr>
              <w:pStyle w:val="TableText"/>
              <w:keepNext/>
              <w:spacing w:before="30" w:after="30"/>
              <w:rPr>
                <w:b/>
                <w:bCs/>
              </w:rPr>
            </w:pPr>
          </w:p>
        </w:tc>
        <w:tc>
          <w:tcPr>
            <w:tcW w:w="812" w:type="dxa"/>
            <w:tcBorders>
              <w:top w:val="single" w:sz="4" w:space="0" w:color="1B556B" w:themeColor="text2"/>
              <w:left w:val="nil"/>
              <w:bottom w:val="single" w:sz="4" w:space="0" w:color="1B556B"/>
              <w:right w:val="nil"/>
            </w:tcBorders>
            <w:shd w:val="clear" w:color="auto" w:fill="auto"/>
            <w:noWrap/>
            <w:vAlign w:val="center"/>
          </w:tcPr>
          <w:p w14:paraId="3B3590F9" w14:textId="6784FE68" w:rsidR="007523B8" w:rsidRPr="00204D2F" w:rsidRDefault="007523B8" w:rsidP="00204D2F">
            <w:pPr>
              <w:pStyle w:val="TableText"/>
              <w:keepNext/>
              <w:spacing w:before="30" w:after="30"/>
              <w:rPr>
                <w:b/>
                <w:bCs/>
              </w:rPr>
            </w:pPr>
          </w:p>
        </w:tc>
      </w:tr>
      <w:tr w:rsidR="007523B8" w:rsidRPr="009E06AA" w14:paraId="48E18B34" w14:textId="77777777" w:rsidTr="00B55F24">
        <w:tc>
          <w:tcPr>
            <w:tcW w:w="320" w:type="dxa"/>
            <w:vMerge w:val="restart"/>
            <w:tcBorders>
              <w:top w:val="single" w:sz="4" w:space="0" w:color="1B556B"/>
              <w:left w:val="nil"/>
              <w:bottom w:val="single" w:sz="8" w:space="0" w:color="365F91"/>
              <w:right w:val="nil"/>
            </w:tcBorders>
            <w:shd w:val="clear" w:color="auto" w:fill="auto"/>
            <w:noWrap/>
            <w:vAlign w:val="center"/>
            <w:hideMark/>
          </w:tcPr>
          <w:p w14:paraId="656498DE" w14:textId="77777777" w:rsidR="007523B8" w:rsidRPr="009E06AA" w:rsidRDefault="007523B8" w:rsidP="00B55F24">
            <w:pPr>
              <w:pStyle w:val="TableText"/>
              <w:keepNext/>
              <w:spacing w:before="30" w:after="30"/>
              <w:rPr>
                <w:rFonts w:cs="Calibri"/>
                <w:szCs w:val="16"/>
              </w:rPr>
            </w:pPr>
            <w:r w:rsidRPr="009E06AA">
              <w:rPr>
                <w:rFonts w:cs="Calibri"/>
                <w:szCs w:val="16"/>
              </w:rPr>
              <w:t>1</w:t>
            </w:r>
          </w:p>
        </w:tc>
        <w:tc>
          <w:tcPr>
            <w:tcW w:w="3366" w:type="dxa"/>
            <w:tcBorders>
              <w:top w:val="single" w:sz="4" w:space="0" w:color="1B556B"/>
              <w:left w:val="nil"/>
              <w:bottom w:val="nil"/>
              <w:right w:val="nil"/>
            </w:tcBorders>
            <w:shd w:val="clear" w:color="auto" w:fill="auto"/>
            <w:vAlign w:val="center"/>
            <w:hideMark/>
          </w:tcPr>
          <w:p w14:paraId="5F496D6A" w14:textId="77777777" w:rsidR="007523B8" w:rsidRPr="009E06AA" w:rsidRDefault="007523B8" w:rsidP="00B55F24">
            <w:pPr>
              <w:pStyle w:val="TableText"/>
              <w:keepNext/>
              <w:spacing w:before="30" w:after="30"/>
              <w:rPr>
                <w:rFonts w:cs="Calibri"/>
                <w:szCs w:val="16"/>
              </w:rPr>
            </w:pPr>
            <w:r w:rsidRPr="009E06AA">
              <w:rPr>
                <w:rFonts w:cs="Calibri"/>
                <w:szCs w:val="16"/>
              </w:rPr>
              <w:t>Cattle</w:t>
            </w:r>
          </w:p>
        </w:tc>
        <w:tc>
          <w:tcPr>
            <w:tcW w:w="850" w:type="dxa"/>
            <w:tcBorders>
              <w:top w:val="single" w:sz="4" w:space="0" w:color="1B556B"/>
              <w:left w:val="nil"/>
              <w:bottom w:val="nil"/>
              <w:right w:val="nil"/>
            </w:tcBorders>
            <w:shd w:val="clear" w:color="auto" w:fill="auto"/>
            <w:noWrap/>
            <w:vAlign w:val="center"/>
            <w:hideMark/>
          </w:tcPr>
          <w:p w14:paraId="1EF76383" w14:textId="77777777" w:rsidR="007523B8" w:rsidRPr="009E06AA" w:rsidRDefault="007523B8" w:rsidP="00204D2F">
            <w:pPr>
              <w:pStyle w:val="TableText"/>
              <w:keepNext/>
              <w:spacing w:before="30" w:after="30"/>
              <w:rPr>
                <w:rFonts w:cs="Calibri"/>
                <w:color w:val="FFFFFF"/>
                <w:szCs w:val="16"/>
              </w:rPr>
            </w:pPr>
            <w:r w:rsidRPr="009E06AA">
              <w:rPr>
                <w:rFonts w:cs="Calibri"/>
                <w:color w:val="FFFFFF"/>
                <w:szCs w:val="16"/>
              </w:rPr>
              <w:t>-</w:t>
            </w:r>
          </w:p>
        </w:tc>
        <w:tc>
          <w:tcPr>
            <w:tcW w:w="851" w:type="dxa"/>
            <w:tcBorders>
              <w:top w:val="single" w:sz="4" w:space="0" w:color="1B556B"/>
              <w:left w:val="nil"/>
              <w:bottom w:val="nil"/>
              <w:right w:val="nil"/>
            </w:tcBorders>
            <w:shd w:val="clear" w:color="auto" w:fill="auto"/>
            <w:noWrap/>
            <w:vAlign w:val="center"/>
            <w:hideMark/>
          </w:tcPr>
          <w:p w14:paraId="13B15090" w14:textId="77777777" w:rsidR="007523B8" w:rsidRPr="009E06AA" w:rsidRDefault="007523B8" w:rsidP="00204D2F">
            <w:pPr>
              <w:pStyle w:val="TableText"/>
              <w:keepNext/>
              <w:spacing w:before="30" w:after="30"/>
              <w:rPr>
                <w:rFonts w:cs="Calibri"/>
                <w:color w:val="FFFFFF"/>
                <w:szCs w:val="16"/>
              </w:rPr>
            </w:pPr>
            <w:r w:rsidRPr="009E06AA">
              <w:rPr>
                <w:rFonts w:cs="Calibri"/>
                <w:color w:val="FFFFFF"/>
                <w:szCs w:val="16"/>
              </w:rPr>
              <w:t>-</w:t>
            </w:r>
          </w:p>
        </w:tc>
        <w:tc>
          <w:tcPr>
            <w:tcW w:w="709" w:type="dxa"/>
            <w:tcBorders>
              <w:top w:val="single" w:sz="4" w:space="0" w:color="1B556B"/>
              <w:left w:val="nil"/>
              <w:bottom w:val="nil"/>
              <w:right w:val="nil"/>
            </w:tcBorders>
            <w:shd w:val="clear" w:color="auto" w:fill="auto"/>
            <w:vAlign w:val="center"/>
            <w:hideMark/>
          </w:tcPr>
          <w:p w14:paraId="146C7217" w14:textId="77777777" w:rsidR="007523B8" w:rsidRPr="009E06AA" w:rsidRDefault="007523B8" w:rsidP="00204D2F">
            <w:pPr>
              <w:pStyle w:val="TableText"/>
              <w:keepNext/>
              <w:spacing w:before="30" w:after="30"/>
              <w:rPr>
                <w:rFonts w:cs="Calibri"/>
                <w:color w:val="FFFFFF"/>
                <w:szCs w:val="16"/>
              </w:rPr>
            </w:pPr>
            <w:r w:rsidRPr="009E06AA">
              <w:rPr>
                <w:rFonts w:cs="Calibri"/>
                <w:color w:val="FFFFFF"/>
                <w:szCs w:val="16"/>
              </w:rPr>
              <w:t>-</w:t>
            </w:r>
          </w:p>
        </w:tc>
        <w:tc>
          <w:tcPr>
            <w:tcW w:w="794" w:type="dxa"/>
            <w:tcBorders>
              <w:top w:val="single" w:sz="4" w:space="0" w:color="1B556B"/>
              <w:left w:val="nil"/>
              <w:bottom w:val="nil"/>
              <w:right w:val="nil"/>
            </w:tcBorders>
            <w:shd w:val="clear" w:color="auto" w:fill="auto"/>
            <w:noWrap/>
            <w:vAlign w:val="center"/>
            <w:hideMark/>
          </w:tcPr>
          <w:p w14:paraId="1F61A4AA" w14:textId="77777777" w:rsidR="007523B8" w:rsidRPr="009E06AA" w:rsidRDefault="007523B8" w:rsidP="00204D2F">
            <w:pPr>
              <w:pStyle w:val="TableText"/>
              <w:keepNext/>
              <w:spacing w:before="30" w:after="30"/>
              <w:rPr>
                <w:rFonts w:cs="Calibri"/>
                <w:color w:val="FFFFFF"/>
                <w:szCs w:val="16"/>
              </w:rPr>
            </w:pPr>
            <w:r w:rsidRPr="009E06AA">
              <w:rPr>
                <w:rFonts w:cs="Calibri"/>
                <w:color w:val="FFFFFF"/>
                <w:szCs w:val="16"/>
              </w:rPr>
              <w:t>-</w:t>
            </w:r>
          </w:p>
        </w:tc>
        <w:tc>
          <w:tcPr>
            <w:tcW w:w="812" w:type="dxa"/>
            <w:tcBorders>
              <w:top w:val="single" w:sz="4" w:space="0" w:color="1B556B"/>
              <w:left w:val="nil"/>
              <w:bottom w:val="nil"/>
              <w:right w:val="nil"/>
            </w:tcBorders>
            <w:shd w:val="clear" w:color="auto" w:fill="auto"/>
            <w:noWrap/>
            <w:vAlign w:val="center"/>
            <w:hideMark/>
          </w:tcPr>
          <w:p w14:paraId="7FF6CC18" w14:textId="77777777" w:rsidR="007523B8" w:rsidRPr="009E06AA" w:rsidRDefault="007523B8" w:rsidP="00204D2F">
            <w:pPr>
              <w:pStyle w:val="TableText"/>
              <w:keepNext/>
              <w:spacing w:before="30" w:after="30"/>
              <w:rPr>
                <w:rFonts w:cs="Calibri"/>
                <w:color w:val="FFFFFF"/>
                <w:szCs w:val="16"/>
              </w:rPr>
            </w:pPr>
            <w:r w:rsidRPr="009E06AA">
              <w:rPr>
                <w:rFonts w:cs="Calibri"/>
                <w:color w:val="FFFFFF"/>
                <w:szCs w:val="16"/>
              </w:rPr>
              <w:t>-</w:t>
            </w:r>
          </w:p>
        </w:tc>
        <w:tc>
          <w:tcPr>
            <w:tcW w:w="812" w:type="dxa"/>
            <w:tcBorders>
              <w:top w:val="single" w:sz="4" w:space="0" w:color="1B556B"/>
              <w:left w:val="nil"/>
              <w:bottom w:val="nil"/>
              <w:right w:val="nil"/>
            </w:tcBorders>
            <w:shd w:val="clear" w:color="auto" w:fill="auto"/>
            <w:vAlign w:val="center"/>
            <w:hideMark/>
          </w:tcPr>
          <w:p w14:paraId="3A00B9B8" w14:textId="77777777" w:rsidR="007523B8" w:rsidRPr="009E06AA" w:rsidRDefault="007523B8" w:rsidP="00204D2F">
            <w:pPr>
              <w:pStyle w:val="TableText"/>
              <w:keepNext/>
              <w:spacing w:before="30" w:after="30"/>
              <w:rPr>
                <w:rFonts w:cs="Calibri"/>
                <w:color w:val="FFFFFF"/>
                <w:szCs w:val="16"/>
              </w:rPr>
            </w:pPr>
            <w:r w:rsidRPr="009E06AA">
              <w:rPr>
                <w:rFonts w:cs="Calibri"/>
                <w:color w:val="FFFFFF"/>
                <w:szCs w:val="16"/>
              </w:rPr>
              <w:t>-</w:t>
            </w:r>
          </w:p>
        </w:tc>
      </w:tr>
      <w:tr w:rsidR="007523B8" w:rsidRPr="009E06AA" w14:paraId="637B9080" w14:textId="77777777" w:rsidTr="00B55F24">
        <w:tc>
          <w:tcPr>
            <w:tcW w:w="320" w:type="dxa"/>
            <w:vMerge/>
            <w:tcBorders>
              <w:top w:val="nil"/>
              <w:left w:val="nil"/>
              <w:bottom w:val="single" w:sz="8" w:space="0" w:color="365F91"/>
              <w:right w:val="nil"/>
            </w:tcBorders>
            <w:vAlign w:val="center"/>
            <w:hideMark/>
          </w:tcPr>
          <w:p w14:paraId="0FA62F0C" w14:textId="77777777" w:rsidR="007523B8" w:rsidRPr="009E06AA" w:rsidRDefault="007523B8" w:rsidP="00B55F24">
            <w:pPr>
              <w:pStyle w:val="TableText"/>
              <w:keepNext/>
              <w:spacing w:before="30" w:after="30"/>
              <w:rPr>
                <w:rFonts w:cs="Calibri"/>
                <w:szCs w:val="16"/>
              </w:rPr>
            </w:pPr>
          </w:p>
        </w:tc>
        <w:tc>
          <w:tcPr>
            <w:tcW w:w="3366" w:type="dxa"/>
            <w:tcBorders>
              <w:top w:val="nil"/>
              <w:left w:val="nil"/>
              <w:bottom w:val="nil"/>
              <w:right w:val="nil"/>
            </w:tcBorders>
            <w:shd w:val="clear" w:color="auto" w:fill="auto"/>
            <w:vAlign w:val="center"/>
            <w:hideMark/>
          </w:tcPr>
          <w:p w14:paraId="75679B13" w14:textId="77777777" w:rsidR="007523B8" w:rsidRPr="009E06AA" w:rsidRDefault="007523B8" w:rsidP="00B55F24">
            <w:pPr>
              <w:pStyle w:val="TableText"/>
              <w:keepNext/>
              <w:spacing w:before="30" w:after="30"/>
              <w:rPr>
                <w:rFonts w:cs="Calibri"/>
                <w:szCs w:val="16"/>
              </w:rPr>
            </w:pPr>
            <w:r w:rsidRPr="009E06AA">
              <w:rPr>
                <w:rFonts w:cs="Calibri"/>
                <w:szCs w:val="16"/>
              </w:rPr>
              <w:t>Dairy Cattle</w:t>
            </w:r>
          </w:p>
        </w:tc>
        <w:tc>
          <w:tcPr>
            <w:tcW w:w="850" w:type="dxa"/>
            <w:tcBorders>
              <w:top w:val="nil"/>
              <w:left w:val="nil"/>
              <w:bottom w:val="nil"/>
              <w:right w:val="nil"/>
            </w:tcBorders>
            <w:shd w:val="clear" w:color="auto" w:fill="auto"/>
            <w:noWrap/>
            <w:vAlign w:val="center"/>
            <w:hideMark/>
          </w:tcPr>
          <w:p w14:paraId="22B51F31" w14:textId="77777777" w:rsidR="007523B8" w:rsidRPr="009E06AA" w:rsidRDefault="007523B8" w:rsidP="00204D2F">
            <w:pPr>
              <w:pStyle w:val="TableText"/>
              <w:keepNext/>
              <w:spacing w:before="30" w:after="30"/>
              <w:rPr>
                <w:rFonts w:cs="Calibri"/>
                <w:szCs w:val="16"/>
              </w:rPr>
            </w:pPr>
            <w:r w:rsidRPr="009E06AA">
              <w:rPr>
                <w:rFonts w:cs="Calibri"/>
                <w:szCs w:val="16"/>
              </w:rPr>
              <w:t>T2</w:t>
            </w:r>
          </w:p>
        </w:tc>
        <w:tc>
          <w:tcPr>
            <w:tcW w:w="851" w:type="dxa"/>
            <w:tcBorders>
              <w:top w:val="nil"/>
              <w:left w:val="nil"/>
              <w:bottom w:val="nil"/>
              <w:right w:val="nil"/>
            </w:tcBorders>
            <w:shd w:val="clear" w:color="auto" w:fill="auto"/>
            <w:noWrap/>
            <w:vAlign w:val="center"/>
            <w:hideMark/>
          </w:tcPr>
          <w:p w14:paraId="197A54DF" w14:textId="77777777" w:rsidR="007523B8" w:rsidRPr="009E06AA" w:rsidRDefault="007523B8" w:rsidP="00204D2F">
            <w:pPr>
              <w:pStyle w:val="TableText"/>
              <w:keepNext/>
              <w:spacing w:before="30" w:after="30"/>
              <w:rPr>
                <w:rFonts w:cs="Calibri"/>
                <w:szCs w:val="16"/>
              </w:rPr>
            </w:pPr>
            <w:r w:rsidRPr="009E06AA">
              <w:rPr>
                <w:rFonts w:cs="Calibri"/>
                <w:szCs w:val="16"/>
              </w:rPr>
              <w:t>CS</w:t>
            </w:r>
          </w:p>
        </w:tc>
        <w:tc>
          <w:tcPr>
            <w:tcW w:w="709" w:type="dxa"/>
            <w:tcBorders>
              <w:top w:val="nil"/>
              <w:left w:val="nil"/>
              <w:bottom w:val="nil"/>
              <w:right w:val="nil"/>
            </w:tcBorders>
            <w:shd w:val="clear" w:color="auto" w:fill="auto"/>
            <w:vAlign w:val="center"/>
            <w:hideMark/>
          </w:tcPr>
          <w:p w14:paraId="0516C017" w14:textId="288A6265" w:rsidR="007523B8" w:rsidRPr="009E06AA" w:rsidRDefault="007523B8" w:rsidP="00204D2F">
            <w:pPr>
              <w:pStyle w:val="TableText"/>
              <w:keepNext/>
              <w:spacing w:before="30" w:after="30"/>
              <w:rPr>
                <w:rFonts w:cs="Calibri"/>
                <w:color w:val="FFFFFF"/>
                <w:szCs w:val="16"/>
              </w:rPr>
            </w:pPr>
            <w:r w:rsidRPr="009E06AA">
              <w:rPr>
                <w:rFonts w:cs="Calibri"/>
                <w:color w:val="FFFFFF"/>
                <w:szCs w:val="16"/>
              </w:rPr>
              <w:t>-</w:t>
            </w:r>
            <w:r w:rsidR="00964278" w:rsidRPr="00204D2F">
              <w:rPr>
                <w:b/>
                <w:bCs/>
              </w:rPr>
              <w:t>–</w:t>
            </w:r>
          </w:p>
        </w:tc>
        <w:tc>
          <w:tcPr>
            <w:tcW w:w="794" w:type="dxa"/>
            <w:tcBorders>
              <w:top w:val="nil"/>
              <w:left w:val="nil"/>
              <w:bottom w:val="nil"/>
              <w:right w:val="nil"/>
            </w:tcBorders>
            <w:shd w:val="clear" w:color="auto" w:fill="auto"/>
            <w:noWrap/>
            <w:vAlign w:val="center"/>
            <w:hideMark/>
          </w:tcPr>
          <w:p w14:paraId="54D3D3FF" w14:textId="100051F7" w:rsidR="007523B8" w:rsidRPr="009E06AA" w:rsidRDefault="007523B8" w:rsidP="00204D2F">
            <w:pPr>
              <w:pStyle w:val="TableText"/>
              <w:keepNext/>
              <w:spacing w:before="30" w:after="30"/>
              <w:rPr>
                <w:rFonts w:cs="Calibri"/>
                <w:color w:val="FFFFFF"/>
                <w:szCs w:val="16"/>
              </w:rPr>
            </w:pPr>
            <w:r w:rsidRPr="009E06AA">
              <w:rPr>
                <w:rFonts w:cs="Calibri"/>
                <w:color w:val="FFFFFF"/>
                <w:szCs w:val="16"/>
              </w:rPr>
              <w:t>-</w:t>
            </w:r>
            <w:r w:rsidR="00964278" w:rsidRPr="00204D2F">
              <w:rPr>
                <w:b/>
                <w:bCs/>
              </w:rPr>
              <w:t>–</w:t>
            </w:r>
          </w:p>
        </w:tc>
        <w:tc>
          <w:tcPr>
            <w:tcW w:w="812" w:type="dxa"/>
            <w:tcBorders>
              <w:top w:val="nil"/>
              <w:left w:val="nil"/>
              <w:bottom w:val="nil"/>
              <w:right w:val="nil"/>
            </w:tcBorders>
            <w:shd w:val="clear" w:color="auto" w:fill="auto"/>
            <w:noWrap/>
            <w:vAlign w:val="center"/>
            <w:hideMark/>
          </w:tcPr>
          <w:p w14:paraId="5D78CCD4" w14:textId="7B09F625" w:rsidR="007523B8" w:rsidRPr="009E06AA" w:rsidRDefault="007523B8" w:rsidP="00204D2F">
            <w:pPr>
              <w:pStyle w:val="TableText"/>
              <w:keepNext/>
              <w:spacing w:before="30" w:after="30"/>
              <w:rPr>
                <w:rFonts w:cs="Calibri"/>
                <w:color w:val="FFFFFF"/>
                <w:szCs w:val="16"/>
              </w:rPr>
            </w:pPr>
            <w:r w:rsidRPr="009E06AA">
              <w:rPr>
                <w:rFonts w:cs="Calibri"/>
                <w:color w:val="FFFFFF"/>
                <w:szCs w:val="16"/>
              </w:rPr>
              <w:t>-</w:t>
            </w:r>
            <w:r w:rsidR="00964278" w:rsidRPr="00204D2F">
              <w:rPr>
                <w:b/>
                <w:bCs/>
              </w:rPr>
              <w:t>–</w:t>
            </w:r>
          </w:p>
        </w:tc>
        <w:tc>
          <w:tcPr>
            <w:tcW w:w="812" w:type="dxa"/>
            <w:tcBorders>
              <w:top w:val="nil"/>
              <w:left w:val="nil"/>
              <w:bottom w:val="nil"/>
              <w:right w:val="nil"/>
            </w:tcBorders>
            <w:shd w:val="clear" w:color="auto" w:fill="auto"/>
            <w:vAlign w:val="center"/>
            <w:hideMark/>
          </w:tcPr>
          <w:p w14:paraId="7E56D021" w14:textId="3AB1B7CF" w:rsidR="007523B8" w:rsidRPr="009E06AA" w:rsidRDefault="007523B8" w:rsidP="00204D2F">
            <w:pPr>
              <w:pStyle w:val="TableText"/>
              <w:keepNext/>
              <w:spacing w:before="30" w:after="30"/>
              <w:rPr>
                <w:rFonts w:cs="Calibri"/>
                <w:color w:val="FFFFFF"/>
                <w:szCs w:val="16"/>
              </w:rPr>
            </w:pPr>
            <w:r w:rsidRPr="009E06AA">
              <w:rPr>
                <w:rFonts w:cs="Calibri"/>
                <w:color w:val="FFFFFF"/>
                <w:szCs w:val="16"/>
              </w:rPr>
              <w:t>-</w:t>
            </w:r>
            <w:r w:rsidR="00964278" w:rsidRPr="00204D2F">
              <w:rPr>
                <w:b/>
                <w:bCs/>
              </w:rPr>
              <w:t>–</w:t>
            </w:r>
          </w:p>
        </w:tc>
      </w:tr>
      <w:tr w:rsidR="00964278" w:rsidRPr="009E06AA" w14:paraId="76B29BE7" w14:textId="77777777" w:rsidTr="00B55F24">
        <w:tc>
          <w:tcPr>
            <w:tcW w:w="320" w:type="dxa"/>
            <w:vMerge/>
            <w:tcBorders>
              <w:top w:val="nil"/>
              <w:left w:val="nil"/>
              <w:bottom w:val="single" w:sz="4" w:space="0" w:color="1B556B"/>
              <w:right w:val="nil"/>
            </w:tcBorders>
            <w:vAlign w:val="center"/>
            <w:hideMark/>
          </w:tcPr>
          <w:p w14:paraId="16636AED" w14:textId="77777777" w:rsidR="00964278" w:rsidRPr="009E06AA" w:rsidRDefault="00964278" w:rsidP="00964278">
            <w:pPr>
              <w:pStyle w:val="TableText"/>
              <w:keepNext/>
              <w:spacing w:before="30" w:after="30"/>
              <w:rPr>
                <w:rFonts w:cs="Calibri"/>
                <w:szCs w:val="16"/>
              </w:rPr>
            </w:pPr>
          </w:p>
        </w:tc>
        <w:tc>
          <w:tcPr>
            <w:tcW w:w="3366" w:type="dxa"/>
            <w:tcBorders>
              <w:top w:val="nil"/>
              <w:left w:val="nil"/>
              <w:bottom w:val="single" w:sz="4" w:space="0" w:color="1B556B"/>
              <w:right w:val="nil"/>
            </w:tcBorders>
            <w:shd w:val="clear" w:color="auto" w:fill="auto"/>
            <w:vAlign w:val="center"/>
            <w:hideMark/>
          </w:tcPr>
          <w:p w14:paraId="7F09B333" w14:textId="77777777" w:rsidR="00964278" w:rsidRPr="009E06AA" w:rsidRDefault="00964278" w:rsidP="00964278">
            <w:pPr>
              <w:pStyle w:val="TableText"/>
              <w:keepNext/>
              <w:spacing w:before="30" w:after="30"/>
              <w:rPr>
                <w:rFonts w:cs="Calibri"/>
                <w:szCs w:val="16"/>
              </w:rPr>
            </w:pPr>
            <w:r w:rsidRPr="009E06AA">
              <w:rPr>
                <w:rFonts w:cs="Calibri"/>
                <w:szCs w:val="16"/>
              </w:rPr>
              <w:t>Non-Dairy Cattle</w:t>
            </w:r>
          </w:p>
        </w:tc>
        <w:tc>
          <w:tcPr>
            <w:tcW w:w="850" w:type="dxa"/>
            <w:tcBorders>
              <w:top w:val="nil"/>
              <w:left w:val="nil"/>
              <w:bottom w:val="single" w:sz="4" w:space="0" w:color="1B556B"/>
              <w:right w:val="nil"/>
            </w:tcBorders>
            <w:shd w:val="clear" w:color="auto" w:fill="auto"/>
            <w:noWrap/>
            <w:vAlign w:val="center"/>
            <w:hideMark/>
          </w:tcPr>
          <w:p w14:paraId="322CB911" w14:textId="77777777" w:rsidR="00964278" w:rsidRPr="009E06AA" w:rsidRDefault="00964278" w:rsidP="00964278">
            <w:pPr>
              <w:pStyle w:val="TableText"/>
              <w:keepNext/>
              <w:spacing w:before="30" w:after="30"/>
              <w:rPr>
                <w:rFonts w:cs="Calibri"/>
                <w:szCs w:val="16"/>
              </w:rPr>
            </w:pPr>
            <w:r w:rsidRPr="009E06AA">
              <w:rPr>
                <w:rFonts w:cs="Calibri"/>
                <w:szCs w:val="16"/>
              </w:rPr>
              <w:t>T2</w:t>
            </w:r>
          </w:p>
        </w:tc>
        <w:tc>
          <w:tcPr>
            <w:tcW w:w="851" w:type="dxa"/>
            <w:tcBorders>
              <w:top w:val="nil"/>
              <w:left w:val="nil"/>
              <w:bottom w:val="single" w:sz="4" w:space="0" w:color="1B556B"/>
              <w:right w:val="nil"/>
            </w:tcBorders>
            <w:shd w:val="clear" w:color="auto" w:fill="auto"/>
            <w:noWrap/>
            <w:vAlign w:val="center"/>
            <w:hideMark/>
          </w:tcPr>
          <w:p w14:paraId="78C49FA8" w14:textId="77777777" w:rsidR="00964278" w:rsidRPr="009E06AA" w:rsidRDefault="00964278" w:rsidP="00964278">
            <w:pPr>
              <w:pStyle w:val="TableText"/>
              <w:keepNext/>
              <w:spacing w:before="30" w:after="30"/>
              <w:rPr>
                <w:rFonts w:cs="Calibri"/>
                <w:szCs w:val="16"/>
              </w:rPr>
            </w:pPr>
            <w:r w:rsidRPr="009E06AA">
              <w:rPr>
                <w:rFonts w:cs="Calibri"/>
                <w:szCs w:val="16"/>
              </w:rPr>
              <w:t>CS</w:t>
            </w:r>
          </w:p>
        </w:tc>
        <w:tc>
          <w:tcPr>
            <w:tcW w:w="709" w:type="dxa"/>
            <w:tcBorders>
              <w:top w:val="nil"/>
              <w:left w:val="nil"/>
              <w:bottom w:val="single" w:sz="4" w:space="0" w:color="1B556B"/>
              <w:right w:val="nil"/>
            </w:tcBorders>
            <w:shd w:val="clear" w:color="auto" w:fill="auto"/>
            <w:vAlign w:val="center"/>
            <w:hideMark/>
          </w:tcPr>
          <w:p w14:paraId="2A2DF21C" w14:textId="7420BA0A" w:rsidR="00964278" w:rsidRPr="009E06AA" w:rsidRDefault="00964278" w:rsidP="00964278">
            <w:pPr>
              <w:pStyle w:val="TableText"/>
              <w:keepNext/>
              <w:spacing w:before="30" w:after="30"/>
              <w:rPr>
                <w:rFonts w:cs="Calibri"/>
                <w:color w:val="FFFFFF"/>
                <w:szCs w:val="16"/>
              </w:rPr>
            </w:pPr>
            <w:r w:rsidRPr="009E06AA">
              <w:rPr>
                <w:rFonts w:cs="Calibri"/>
                <w:color w:val="FFFFFF"/>
                <w:szCs w:val="16"/>
              </w:rPr>
              <w:t>-</w:t>
            </w:r>
            <w:r w:rsidRPr="00204D2F">
              <w:rPr>
                <w:b/>
                <w:bCs/>
              </w:rPr>
              <w:t>–</w:t>
            </w:r>
          </w:p>
        </w:tc>
        <w:tc>
          <w:tcPr>
            <w:tcW w:w="794" w:type="dxa"/>
            <w:tcBorders>
              <w:top w:val="nil"/>
              <w:left w:val="nil"/>
              <w:bottom w:val="single" w:sz="4" w:space="0" w:color="1B556B"/>
              <w:right w:val="nil"/>
            </w:tcBorders>
            <w:shd w:val="clear" w:color="auto" w:fill="auto"/>
            <w:noWrap/>
            <w:vAlign w:val="center"/>
            <w:hideMark/>
          </w:tcPr>
          <w:p w14:paraId="3FADDC3C" w14:textId="268DFECE" w:rsidR="00964278" w:rsidRPr="009E06AA" w:rsidRDefault="00964278" w:rsidP="00964278">
            <w:pPr>
              <w:pStyle w:val="TableText"/>
              <w:keepNext/>
              <w:spacing w:before="30" w:after="30"/>
              <w:rPr>
                <w:rFonts w:cs="Calibri"/>
                <w:color w:val="FFFFFF"/>
                <w:szCs w:val="16"/>
              </w:rPr>
            </w:pPr>
            <w:r w:rsidRPr="009E06AA">
              <w:rPr>
                <w:rFonts w:cs="Calibri"/>
                <w:color w:val="FFFFFF"/>
                <w:szCs w:val="16"/>
              </w:rPr>
              <w:t>-</w:t>
            </w:r>
            <w:r w:rsidRPr="00204D2F">
              <w:rPr>
                <w:b/>
                <w:bCs/>
              </w:rPr>
              <w:t>–</w:t>
            </w:r>
          </w:p>
        </w:tc>
        <w:tc>
          <w:tcPr>
            <w:tcW w:w="812" w:type="dxa"/>
            <w:tcBorders>
              <w:top w:val="nil"/>
              <w:left w:val="nil"/>
              <w:bottom w:val="single" w:sz="4" w:space="0" w:color="1B556B"/>
              <w:right w:val="nil"/>
            </w:tcBorders>
            <w:shd w:val="clear" w:color="auto" w:fill="auto"/>
            <w:noWrap/>
            <w:vAlign w:val="center"/>
            <w:hideMark/>
          </w:tcPr>
          <w:p w14:paraId="0BE6CF41" w14:textId="3074F157" w:rsidR="00964278" w:rsidRPr="009E06AA" w:rsidRDefault="00964278" w:rsidP="00964278">
            <w:pPr>
              <w:pStyle w:val="TableText"/>
              <w:keepNext/>
              <w:spacing w:before="30" w:after="30"/>
              <w:rPr>
                <w:rFonts w:cs="Calibri"/>
                <w:color w:val="FFFFFF"/>
                <w:szCs w:val="16"/>
              </w:rPr>
            </w:pPr>
            <w:r w:rsidRPr="009E06AA">
              <w:rPr>
                <w:rFonts w:cs="Calibri"/>
                <w:color w:val="FFFFFF"/>
                <w:szCs w:val="16"/>
              </w:rPr>
              <w:t>-</w:t>
            </w:r>
            <w:r w:rsidRPr="00204D2F">
              <w:rPr>
                <w:b/>
                <w:bCs/>
              </w:rPr>
              <w:t>–</w:t>
            </w:r>
          </w:p>
        </w:tc>
        <w:tc>
          <w:tcPr>
            <w:tcW w:w="812" w:type="dxa"/>
            <w:tcBorders>
              <w:top w:val="nil"/>
              <w:left w:val="nil"/>
              <w:bottom w:val="single" w:sz="4" w:space="0" w:color="1B556B"/>
              <w:right w:val="nil"/>
            </w:tcBorders>
            <w:shd w:val="clear" w:color="auto" w:fill="auto"/>
            <w:vAlign w:val="center"/>
            <w:hideMark/>
          </w:tcPr>
          <w:p w14:paraId="30A9A1D8" w14:textId="115B5B8B" w:rsidR="00964278" w:rsidRPr="009E06AA" w:rsidRDefault="00964278" w:rsidP="00964278">
            <w:pPr>
              <w:pStyle w:val="TableText"/>
              <w:keepNext/>
              <w:spacing w:before="30" w:after="30"/>
              <w:rPr>
                <w:rFonts w:cs="Calibri"/>
                <w:color w:val="FFFFFF"/>
                <w:szCs w:val="16"/>
              </w:rPr>
            </w:pPr>
            <w:r w:rsidRPr="009E06AA">
              <w:rPr>
                <w:rFonts w:cs="Calibri"/>
                <w:color w:val="FFFFFF"/>
                <w:szCs w:val="16"/>
              </w:rPr>
              <w:t>-</w:t>
            </w:r>
            <w:r w:rsidRPr="00204D2F">
              <w:rPr>
                <w:b/>
                <w:bCs/>
              </w:rPr>
              <w:t>–</w:t>
            </w:r>
          </w:p>
        </w:tc>
      </w:tr>
      <w:tr w:rsidR="00964278" w:rsidRPr="009E06AA" w14:paraId="58F3160C" w14:textId="77777777" w:rsidTr="00B55F24">
        <w:tc>
          <w:tcPr>
            <w:tcW w:w="320" w:type="dxa"/>
            <w:tcBorders>
              <w:top w:val="single" w:sz="4" w:space="0" w:color="1B556B"/>
              <w:left w:val="nil"/>
              <w:bottom w:val="single" w:sz="4" w:space="0" w:color="1B556B"/>
              <w:right w:val="nil"/>
            </w:tcBorders>
            <w:shd w:val="clear" w:color="auto" w:fill="auto"/>
            <w:noWrap/>
            <w:vAlign w:val="center"/>
            <w:hideMark/>
          </w:tcPr>
          <w:p w14:paraId="3D13F537" w14:textId="77777777" w:rsidR="00964278" w:rsidRPr="009E06AA" w:rsidRDefault="00964278" w:rsidP="00964278">
            <w:pPr>
              <w:pStyle w:val="TableText"/>
              <w:spacing w:before="30" w:after="30"/>
              <w:rPr>
                <w:rFonts w:cs="Calibri"/>
                <w:szCs w:val="16"/>
              </w:rPr>
            </w:pPr>
            <w:r w:rsidRPr="009E06AA">
              <w:rPr>
                <w:rFonts w:cs="Calibri"/>
                <w:szCs w:val="16"/>
              </w:rPr>
              <w:t>2</w:t>
            </w:r>
          </w:p>
        </w:tc>
        <w:tc>
          <w:tcPr>
            <w:tcW w:w="3366" w:type="dxa"/>
            <w:tcBorders>
              <w:top w:val="single" w:sz="4" w:space="0" w:color="1B556B"/>
              <w:left w:val="nil"/>
              <w:bottom w:val="single" w:sz="4" w:space="0" w:color="1B556B"/>
              <w:right w:val="nil"/>
            </w:tcBorders>
            <w:shd w:val="clear" w:color="auto" w:fill="auto"/>
            <w:vAlign w:val="center"/>
            <w:hideMark/>
          </w:tcPr>
          <w:p w14:paraId="41B3020B" w14:textId="77777777" w:rsidR="00964278" w:rsidRPr="009E06AA" w:rsidRDefault="00964278" w:rsidP="00964278">
            <w:pPr>
              <w:pStyle w:val="TableText"/>
              <w:spacing w:before="30" w:after="30"/>
              <w:rPr>
                <w:rFonts w:cs="Calibri"/>
                <w:szCs w:val="16"/>
              </w:rPr>
            </w:pPr>
            <w:r w:rsidRPr="009E06AA">
              <w:rPr>
                <w:rFonts w:cs="Calibri"/>
                <w:szCs w:val="16"/>
              </w:rPr>
              <w:t xml:space="preserve">Sheep </w:t>
            </w:r>
          </w:p>
        </w:tc>
        <w:tc>
          <w:tcPr>
            <w:tcW w:w="850" w:type="dxa"/>
            <w:tcBorders>
              <w:top w:val="single" w:sz="4" w:space="0" w:color="1B556B"/>
              <w:left w:val="nil"/>
              <w:bottom w:val="single" w:sz="4" w:space="0" w:color="1B556B"/>
              <w:right w:val="nil"/>
            </w:tcBorders>
            <w:shd w:val="clear" w:color="auto" w:fill="auto"/>
            <w:noWrap/>
            <w:vAlign w:val="center"/>
            <w:hideMark/>
          </w:tcPr>
          <w:p w14:paraId="0B622948" w14:textId="77777777" w:rsidR="00964278" w:rsidRPr="009E06AA" w:rsidRDefault="008975BF" w:rsidP="00964278">
            <w:pPr>
              <w:pStyle w:val="TableText"/>
              <w:spacing w:before="30" w:after="30"/>
              <w:rPr>
                <w:rFonts w:cs="Calibri"/>
                <w:szCs w:val="16"/>
              </w:rPr>
            </w:pPr>
            <w:hyperlink r:id="rId91" w:history="1">
              <w:r w:rsidR="00964278" w:rsidRPr="009E06AA">
                <w:rPr>
                  <w:rFonts w:cs="Calibri"/>
                  <w:szCs w:val="16"/>
                </w:rPr>
                <w:t>T2</w:t>
              </w:r>
            </w:hyperlink>
          </w:p>
        </w:tc>
        <w:tc>
          <w:tcPr>
            <w:tcW w:w="851" w:type="dxa"/>
            <w:tcBorders>
              <w:top w:val="single" w:sz="4" w:space="0" w:color="1B556B"/>
              <w:left w:val="nil"/>
              <w:bottom w:val="single" w:sz="4" w:space="0" w:color="1B556B"/>
              <w:right w:val="nil"/>
            </w:tcBorders>
            <w:shd w:val="clear" w:color="auto" w:fill="auto"/>
            <w:noWrap/>
            <w:vAlign w:val="center"/>
            <w:hideMark/>
          </w:tcPr>
          <w:p w14:paraId="4FD654FF" w14:textId="77777777" w:rsidR="00964278" w:rsidRPr="009E06AA" w:rsidRDefault="00964278" w:rsidP="00964278">
            <w:pPr>
              <w:pStyle w:val="TableText"/>
              <w:spacing w:before="30" w:after="30"/>
              <w:rPr>
                <w:rFonts w:cs="Calibri"/>
                <w:szCs w:val="16"/>
              </w:rPr>
            </w:pPr>
            <w:r w:rsidRPr="009E06AA">
              <w:rPr>
                <w:rFonts w:cs="Calibri"/>
                <w:szCs w:val="16"/>
              </w:rPr>
              <w:t>CS</w:t>
            </w:r>
          </w:p>
        </w:tc>
        <w:tc>
          <w:tcPr>
            <w:tcW w:w="709" w:type="dxa"/>
            <w:tcBorders>
              <w:top w:val="single" w:sz="4" w:space="0" w:color="1B556B"/>
              <w:left w:val="nil"/>
              <w:bottom w:val="single" w:sz="4" w:space="0" w:color="1B556B"/>
              <w:right w:val="nil"/>
            </w:tcBorders>
            <w:shd w:val="clear" w:color="auto" w:fill="auto"/>
            <w:noWrap/>
            <w:vAlign w:val="center"/>
            <w:hideMark/>
          </w:tcPr>
          <w:p w14:paraId="6C878A0F" w14:textId="78D39B2A" w:rsidR="00964278" w:rsidRPr="009E06AA" w:rsidRDefault="00964278" w:rsidP="00964278">
            <w:pPr>
              <w:pStyle w:val="TableText"/>
              <w:spacing w:before="30" w:after="30"/>
              <w:rPr>
                <w:rFonts w:cs="Calibri"/>
                <w:color w:val="FFFFFF"/>
                <w:szCs w:val="16"/>
              </w:rPr>
            </w:pPr>
            <w:r w:rsidRPr="009E06AA">
              <w:rPr>
                <w:rFonts w:cs="Calibri"/>
                <w:color w:val="FFFFFF"/>
                <w:szCs w:val="16"/>
              </w:rPr>
              <w:t>-</w:t>
            </w:r>
            <w:r w:rsidRPr="00204D2F">
              <w:rPr>
                <w:b/>
                <w:bCs/>
              </w:rPr>
              <w:t>–</w:t>
            </w:r>
          </w:p>
        </w:tc>
        <w:tc>
          <w:tcPr>
            <w:tcW w:w="794" w:type="dxa"/>
            <w:tcBorders>
              <w:top w:val="single" w:sz="4" w:space="0" w:color="1B556B"/>
              <w:left w:val="nil"/>
              <w:bottom w:val="single" w:sz="4" w:space="0" w:color="1B556B"/>
              <w:right w:val="nil"/>
            </w:tcBorders>
            <w:shd w:val="clear" w:color="auto" w:fill="auto"/>
            <w:noWrap/>
            <w:vAlign w:val="center"/>
            <w:hideMark/>
          </w:tcPr>
          <w:p w14:paraId="26C84FF8" w14:textId="68F498E2" w:rsidR="00964278" w:rsidRPr="009E06AA" w:rsidRDefault="00964278" w:rsidP="00964278">
            <w:pPr>
              <w:pStyle w:val="TableText"/>
              <w:spacing w:before="30" w:after="30"/>
              <w:rPr>
                <w:rFonts w:cs="Calibri"/>
                <w:color w:val="FFFFFF"/>
                <w:szCs w:val="16"/>
              </w:rPr>
            </w:pPr>
            <w:r w:rsidRPr="009E06AA">
              <w:rPr>
                <w:rFonts w:cs="Calibri"/>
                <w:color w:val="FFFFFF"/>
                <w:szCs w:val="16"/>
              </w:rPr>
              <w:t>-</w:t>
            </w:r>
            <w:r w:rsidRPr="00204D2F">
              <w:rPr>
                <w:b/>
                <w:bCs/>
              </w:rPr>
              <w:t>–</w:t>
            </w:r>
          </w:p>
        </w:tc>
        <w:tc>
          <w:tcPr>
            <w:tcW w:w="812" w:type="dxa"/>
            <w:tcBorders>
              <w:top w:val="single" w:sz="4" w:space="0" w:color="1B556B"/>
              <w:left w:val="nil"/>
              <w:bottom w:val="single" w:sz="4" w:space="0" w:color="1B556B"/>
              <w:right w:val="nil"/>
            </w:tcBorders>
            <w:shd w:val="clear" w:color="auto" w:fill="auto"/>
            <w:noWrap/>
            <w:vAlign w:val="center"/>
            <w:hideMark/>
          </w:tcPr>
          <w:p w14:paraId="6DB0B3EF" w14:textId="0A9A1569" w:rsidR="00964278" w:rsidRPr="009E06AA" w:rsidRDefault="00964278" w:rsidP="00964278">
            <w:pPr>
              <w:pStyle w:val="TableText"/>
              <w:spacing w:before="30" w:after="30"/>
              <w:rPr>
                <w:rFonts w:cs="Calibri"/>
                <w:color w:val="FFFFFF"/>
                <w:szCs w:val="16"/>
              </w:rPr>
            </w:pPr>
            <w:r w:rsidRPr="009E06AA">
              <w:rPr>
                <w:rFonts w:cs="Calibri"/>
                <w:color w:val="FFFFFF"/>
                <w:szCs w:val="16"/>
              </w:rPr>
              <w:t>-</w:t>
            </w:r>
            <w:r w:rsidRPr="00204D2F">
              <w:rPr>
                <w:b/>
                <w:bCs/>
              </w:rPr>
              <w:t>–</w:t>
            </w:r>
          </w:p>
        </w:tc>
        <w:tc>
          <w:tcPr>
            <w:tcW w:w="812" w:type="dxa"/>
            <w:tcBorders>
              <w:top w:val="single" w:sz="4" w:space="0" w:color="1B556B"/>
              <w:left w:val="nil"/>
              <w:bottom w:val="single" w:sz="4" w:space="0" w:color="1B556B"/>
              <w:right w:val="nil"/>
            </w:tcBorders>
            <w:shd w:val="clear" w:color="auto" w:fill="auto"/>
            <w:noWrap/>
            <w:vAlign w:val="center"/>
            <w:hideMark/>
          </w:tcPr>
          <w:p w14:paraId="2EF3C5AC" w14:textId="5434018F" w:rsidR="00964278" w:rsidRPr="009E06AA" w:rsidRDefault="00964278" w:rsidP="00964278">
            <w:pPr>
              <w:pStyle w:val="TableText"/>
              <w:spacing w:before="30" w:after="30"/>
              <w:rPr>
                <w:rFonts w:cs="Calibri"/>
                <w:color w:val="FFFFFF"/>
                <w:szCs w:val="16"/>
              </w:rPr>
            </w:pPr>
            <w:r w:rsidRPr="009E06AA">
              <w:rPr>
                <w:rFonts w:cs="Calibri"/>
                <w:color w:val="FFFFFF"/>
                <w:szCs w:val="16"/>
              </w:rPr>
              <w:t>-</w:t>
            </w:r>
            <w:r w:rsidRPr="00204D2F">
              <w:rPr>
                <w:b/>
                <w:bCs/>
              </w:rPr>
              <w:t>–</w:t>
            </w:r>
          </w:p>
        </w:tc>
      </w:tr>
      <w:tr w:rsidR="00964278" w:rsidRPr="009E06AA" w14:paraId="3F1BC59F" w14:textId="77777777" w:rsidTr="00B55F24">
        <w:tc>
          <w:tcPr>
            <w:tcW w:w="320" w:type="dxa"/>
            <w:tcBorders>
              <w:top w:val="single" w:sz="4" w:space="0" w:color="1B556B"/>
              <w:left w:val="nil"/>
              <w:bottom w:val="single" w:sz="4" w:space="0" w:color="1B556B"/>
              <w:right w:val="nil"/>
            </w:tcBorders>
            <w:shd w:val="clear" w:color="auto" w:fill="auto"/>
            <w:noWrap/>
            <w:vAlign w:val="center"/>
            <w:hideMark/>
          </w:tcPr>
          <w:p w14:paraId="00A1BDE7" w14:textId="77777777" w:rsidR="00964278" w:rsidRPr="009E06AA" w:rsidRDefault="00964278" w:rsidP="00964278">
            <w:pPr>
              <w:pStyle w:val="TableText"/>
              <w:spacing w:before="30" w:after="30"/>
              <w:rPr>
                <w:rFonts w:cs="Calibri"/>
                <w:szCs w:val="16"/>
              </w:rPr>
            </w:pPr>
            <w:r w:rsidRPr="009E06AA">
              <w:rPr>
                <w:rFonts w:cs="Calibri"/>
                <w:szCs w:val="16"/>
              </w:rPr>
              <w:t>3</w:t>
            </w:r>
          </w:p>
        </w:tc>
        <w:tc>
          <w:tcPr>
            <w:tcW w:w="3366" w:type="dxa"/>
            <w:tcBorders>
              <w:top w:val="single" w:sz="4" w:space="0" w:color="1B556B"/>
              <w:left w:val="nil"/>
              <w:bottom w:val="single" w:sz="4" w:space="0" w:color="1B556B"/>
              <w:right w:val="nil"/>
            </w:tcBorders>
            <w:shd w:val="clear" w:color="auto" w:fill="auto"/>
            <w:vAlign w:val="center"/>
            <w:hideMark/>
          </w:tcPr>
          <w:p w14:paraId="57FEFDD7" w14:textId="77777777" w:rsidR="00964278" w:rsidRPr="009E06AA" w:rsidRDefault="00964278" w:rsidP="00964278">
            <w:pPr>
              <w:pStyle w:val="TableText"/>
              <w:spacing w:before="30" w:after="30"/>
              <w:rPr>
                <w:rFonts w:cs="Calibri"/>
                <w:szCs w:val="16"/>
              </w:rPr>
            </w:pPr>
            <w:r w:rsidRPr="009E06AA">
              <w:rPr>
                <w:rFonts w:cs="Calibri"/>
                <w:szCs w:val="16"/>
              </w:rPr>
              <w:t>Swine</w:t>
            </w:r>
          </w:p>
        </w:tc>
        <w:tc>
          <w:tcPr>
            <w:tcW w:w="850" w:type="dxa"/>
            <w:tcBorders>
              <w:top w:val="single" w:sz="4" w:space="0" w:color="1B556B"/>
              <w:left w:val="nil"/>
              <w:bottom w:val="single" w:sz="4" w:space="0" w:color="1B556B"/>
              <w:right w:val="nil"/>
            </w:tcBorders>
            <w:shd w:val="clear" w:color="auto" w:fill="auto"/>
            <w:noWrap/>
            <w:vAlign w:val="center"/>
            <w:hideMark/>
          </w:tcPr>
          <w:p w14:paraId="6C5D006A" w14:textId="77777777" w:rsidR="00964278" w:rsidRPr="009E06AA" w:rsidRDefault="00964278" w:rsidP="00964278">
            <w:pPr>
              <w:pStyle w:val="TableText"/>
              <w:spacing w:before="30" w:after="30"/>
              <w:rPr>
                <w:rFonts w:cs="Calibri"/>
                <w:szCs w:val="16"/>
              </w:rPr>
            </w:pPr>
            <w:r w:rsidRPr="009E06AA">
              <w:rPr>
                <w:rFonts w:cs="Calibri"/>
                <w:szCs w:val="16"/>
              </w:rPr>
              <w:t>T1</w:t>
            </w:r>
          </w:p>
        </w:tc>
        <w:tc>
          <w:tcPr>
            <w:tcW w:w="851" w:type="dxa"/>
            <w:tcBorders>
              <w:top w:val="single" w:sz="4" w:space="0" w:color="1B556B"/>
              <w:left w:val="nil"/>
              <w:bottom w:val="single" w:sz="4" w:space="0" w:color="1B556B"/>
              <w:right w:val="nil"/>
            </w:tcBorders>
            <w:shd w:val="clear" w:color="auto" w:fill="auto"/>
            <w:noWrap/>
            <w:vAlign w:val="center"/>
            <w:hideMark/>
          </w:tcPr>
          <w:p w14:paraId="46E5C99C" w14:textId="77777777" w:rsidR="00964278" w:rsidRPr="009E06AA" w:rsidRDefault="00964278" w:rsidP="00964278">
            <w:pPr>
              <w:pStyle w:val="TableText"/>
              <w:spacing w:before="30" w:after="30"/>
              <w:rPr>
                <w:rFonts w:cs="Calibri"/>
                <w:szCs w:val="16"/>
              </w:rPr>
            </w:pPr>
            <w:r w:rsidRPr="009E06AA">
              <w:rPr>
                <w:rFonts w:cs="Calibri"/>
                <w:szCs w:val="16"/>
              </w:rPr>
              <w:t>CS</w:t>
            </w:r>
          </w:p>
        </w:tc>
        <w:tc>
          <w:tcPr>
            <w:tcW w:w="709" w:type="dxa"/>
            <w:tcBorders>
              <w:top w:val="single" w:sz="4" w:space="0" w:color="1B556B"/>
              <w:left w:val="nil"/>
              <w:bottom w:val="single" w:sz="4" w:space="0" w:color="1B556B"/>
              <w:right w:val="nil"/>
            </w:tcBorders>
            <w:shd w:val="clear" w:color="auto" w:fill="auto"/>
            <w:noWrap/>
            <w:vAlign w:val="center"/>
            <w:hideMark/>
          </w:tcPr>
          <w:p w14:paraId="78743D1C" w14:textId="6A2CAF6D" w:rsidR="00964278" w:rsidRPr="009E06AA" w:rsidRDefault="00964278" w:rsidP="00964278">
            <w:pPr>
              <w:pStyle w:val="TableText"/>
              <w:spacing w:before="30" w:after="30"/>
              <w:rPr>
                <w:rFonts w:cs="Calibri"/>
                <w:color w:val="FFFFFF"/>
                <w:szCs w:val="16"/>
              </w:rPr>
            </w:pPr>
            <w:r w:rsidRPr="009E06AA">
              <w:rPr>
                <w:rFonts w:cs="Calibri"/>
                <w:color w:val="FFFFFF"/>
                <w:szCs w:val="16"/>
              </w:rPr>
              <w:t>-</w:t>
            </w:r>
            <w:r w:rsidRPr="00204D2F">
              <w:rPr>
                <w:b/>
                <w:bCs/>
              </w:rPr>
              <w:t>–</w:t>
            </w:r>
          </w:p>
        </w:tc>
        <w:tc>
          <w:tcPr>
            <w:tcW w:w="794" w:type="dxa"/>
            <w:tcBorders>
              <w:top w:val="single" w:sz="4" w:space="0" w:color="1B556B"/>
              <w:left w:val="nil"/>
              <w:bottom w:val="single" w:sz="4" w:space="0" w:color="1B556B"/>
              <w:right w:val="nil"/>
            </w:tcBorders>
            <w:shd w:val="clear" w:color="auto" w:fill="auto"/>
            <w:noWrap/>
            <w:vAlign w:val="center"/>
            <w:hideMark/>
          </w:tcPr>
          <w:p w14:paraId="1E595A67" w14:textId="4F52D8B1" w:rsidR="00964278" w:rsidRPr="009E06AA" w:rsidRDefault="00964278" w:rsidP="00964278">
            <w:pPr>
              <w:pStyle w:val="TableText"/>
              <w:spacing w:before="30" w:after="30"/>
              <w:rPr>
                <w:rFonts w:cs="Calibri"/>
                <w:color w:val="FFFFFF"/>
                <w:szCs w:val="16"/>
              </w:rPr>
            </w:pPr>
            <w:r w:rsidRPr="009E06AA">
              <w:rPr>
                <w:rFonts w:cs="Calibri"/>
                <w:color w:val="FFFFFF"/>
                <w:szCs w:val="16"/>
              </w:rPr>
              <w:t>-</w:t>
            </w:r>
            <w:r w:rsidRPr="00204D2F">
              <w:rPr>
                <w:b/>
                <w:bCs/>
              </w:rPr>
              <w:t>–</w:t>
            </w:r>
          </w:p>
        </w:tc>
        <w:tc>
          <w:tcPr>
            <w:tcW w:w="812" w:type="dxa"/>
            <w:tcBorders>
              <w:top w:val="single" w:sz="4" w:space="0" w:color="1B556B"/>
              <w:left w:val="nil"/>
              <w:bottom w:val="single" w:sz="4" w:space="0" w:color="1B556B"/>
              <w:right w:val="nil"/>
            </w:tcBorders>
            <w:shd w:val="clear" w:color="auto" w:fill="auto"/>
            <w:noWrap/>
            <w:vAlign w:val="center"/>
            <w:hideMark/>
          </w:tcPr>
          <w:p w14:paraId="64EDE560" w14:textId="384FCDF3" w:rsidR="00964278" w:rsidRPr="009E06AA" w:rsidRDefault="00964278" w:rsidP="00964278">
            <w:pPr>
              <w:pStyle w:val="TableText"/>
              <w:spacing w:before="30" w:after="30"/>
              <w:rPr>
                <w:rFonts w:cs="Calibri"/>
                <w:color w:val="FFFFFF"/>
                <w:szCs w:val="16"/>
              </w:rPr>
            </w:pPr>
            <w:r w:rsidRPr="009E06AA">
              <w:rPr>
                <w:rFonts w:cs="Calibri"/>
                <w:color w:val="FFFFFF"/>
                <w:szCs w:val="16"/>
              </w:rPr>
              <w:t>-</w:t>
            </w:r>
            <w:r w:rsidRPr="00204D2F">
              <w:rPr>
                <w:b/>
                <w:bCs/>
              </w:rPr>
              <w:t>–</w:t>
            </w:r>
          </w:p>
        </w:tc>
        <w:tc>
          <w:tcPr>
            <w:tcW w:w="812" w:type="dxa"/>
            <w:tcBorders>
              <w:top w:val="single" w:sz="4" w:space="0" w:color="1B556B"/>
              <w:left w:val="nil"/>
              <w:bottom w:val="single" w:sz="4" w:space="0" w:color="1B556B"/>
              <w:right w:val="nil"/>
            </w:tcBorders>
            <w:shd w:val="clear" w:color="auto" w:fill="auto"/>
            <w:noWrap/>
            <w:vAlign w:val="center"/>
            <w:hideMark/>
          </w:tcPr>
          <w:p w14:paraId="15858A6A" w14:textId="689CC056" w:rsidR="00964278" w:rsidRPr="009E06AA" w:rsidRDefault="00964278" w:rsidP="00964278">
            <w:pPr>
              <w:pStyle w:val="TableText"/>
              <w:spacing w:before="30" w:after="30"/>
              <w:rPr>
                <w:rFonts w:cs="Calibri"/>
                <w:color w:val="FFFFFF"/>
                <w:szCs w:val="16"/>
              </w:rPr>
            </w:pPr>
            <w:r w:rsidRPr="009E06AA">
              <w:rPr>
                <w:rFonts w:cs="Calibri"/>
                <w:color w:val="FFFFFF"/>
                <w:szCs w:val="16"/>
              </w:rPr>
              <w:t>-</w:t>
            </w:r>
            <w:r w:rsidRPr="00204D2F">
              <w:rPr>
                <w:b/>
                <w:bCs/>
              </w:rPr>
              <w:t>–</w:t>
            </w:r>
          </w:p>
        </w:tc>
      </w:tr>
      <w:tr w:rsidR="00964278" w:rsidRPr="009E06AA" w14:paraId="03C8AF10" w14:textId="77777777" w:rsidTr="00B55F24">
        <w:tc>
          <w:tcPr>
            <w:tcW w:w="320" w:type="dxa"/>
            <w:tcBorders>
              <w:top w:val="single" w:sz="4" w:space="0" w:color="1B556B"/>
              <w:left w:val="nil"/>
              <w:bottom w:val="single" w:sz="4" w:space="0" w:color="1B556B"/>
              <w:right w:val="nil"/>
            </w:tcBorders>
            <w:shd w:val="clear" w:color="auto" w:fill="auto"/>
            <w:noWrap/>
            <w:vAlign w:val="center"/>
            <w:hideMark/>
          </w:tcPr>
          <w:p w14:paraId="277938AF" w14:textId="77777777" w:rsidR="00964278" w:rsidRPr="009E06AA" w:rsidRDefault="00964278" w:rsidP="00964278">
            <w:pPr>
              <w:pStyle w:val="TableText"/>
              <w:spacing w:before="30" w:after="30"/>
              <w:rPr>
                <w:rFonts w:cs="Calibri"/>
                <w:szCs w:val="16"/>
              </w:rPr>
            </w:pPr>
            <w:r w:rsidRPr="009E06AA">
              <w:rPr>
                <w:rFonts w:cs="Calibri"/>
                <w:szCs w:val="16"/>
              </w:rPr>
              <w:t>4</w:t>
            </w:r>
          </w:p>
        </w:tc>
        <w:tc>
          <w:tcPr>
            <w:tcW w:w="3366" w:type="dxa"/>
            <w:tcBorders>
              <w:top w:val="single" w:sz="4" w:space="0" w:color="1B556B"/>
              <w:left w:val="nil"/>
              <w:bottom w:val="single" w:sz="4" w:space="0" w:color="1B556B"/>
              <w:right w:val="nil"/>
            </w:tcBorders>
            <w:shd w:val="clear" w:color="auto" w:fill="auto"/>
            <w:vAlign w:val="center"/>
            <w:hideMark/>
          </w:tcPr>
          <w:p w14:paraId="708055D5" w14:textId="77777777" w:rsidR="00964278" w:rsidRPr="009E06AA" w:rsidRDefault="00964278" w:rsidP="00964278">
            <w:pPr>
              <w:pStyle w:val="TableText"/>
              <w:spacing w:before="30" w:after="30"/>
              <w:rPr>
                <w:rFonts w:cs="Calibri"/>
                <w:szCs w:val="16"/>
              </w:rPr>
            </w:pPr>
            <w:r w:rsidRPr="009E06AA">
              <w:rPr>
                <w:rFonts w:cs="Calibri"/>
                <w:szCs w:val="16"/>
              </w:rPr>
              <w:t>Other Livestock (Buffalo, Camels, Deer, Goats, Horses, Mules and Asses, Poultry)</w:t>
            </w:r>
          </w:p>
        </w:tc>
        <w:tc>
          <w:tcPr>
            <w:tcW w:w="850" w:type="dxa"/>
            <w:tcBorders>
              <w:top w:val="single" w:sz="4" w:space="0" w:color="1B556B"/>
              <w:left w:val="nil"/>
              <w:bottom w:val="single" w:sz="4" w:space="0" w:color="1B556B"/>
              <w:right w:val="nil"/>
            </w:tcBorders>
            <w:shd w:val="clear" w:color="auto" w:fill="auto"/>
            <w:noWrap/>
            <w:vAlign w:val="center"/>
            <w:hideMark/>
          </w:tcPr>
          <w:p w14:paraId="0669B86E" w14:textId="77777777" w:rsidR="00964278" w:rsidRPr="009E06AA" w:rsidRDefault="00964278" w:rsidP="00964278">
            <w:pPr>
              <w:pStyle w:val="TableText"/>
              <w:spacing w:before="30" w:after="30"/>
              <w:rPr>
                <w:rFonts w:cs="Calibri"/>
                <w:szCs w:val="16"/>
              </w:rPr>
            </w:pPr>
            <w:r w:rsidRPr="009E06AA">
              <w:rPr>
                <w:rFonts w:cs="Calibri"/>
                <w:szCs w:val="16"/>
              </w:rPr>
              <w:t>T1, T2</w:t>
            </w:r>
          </w:p>
        </w:tc>
        <w:tc>
          <w:tcPr>
            <w:tcW w:w="851" w:type="dxa"/>
            <w:tcBorders>
              <w:top w:val="single" w:sz="4" w:space="0" w:color="1B556B"/>
              <w:left w:val="nil"/>
              <w:bottom w:val="single" w:sz="4" w:space="0" w:color="1B556B"/>
              <w:right w:val="nil"/>
            </w:tcBorders>
            <w:shd w:val="clear" w:color="auto" w:fill="auto"/>
            <w:noWrap/>
            <w:vAlign w:val="center"/>
            <w:hideMark/>
          </w:tcPr>
          <w:p w14:paraId="20D504BE" w14:textId="77777777" w:rsidR="00964278" w:rsidRPr="009E06AA" w:rsidRDefault="00964278" w:rsidP="00964278">
            <w:pPr>
              <w:pStyle w:val="TableText"/>
              <w:spacing w:before="30" w:after="30"/>
              <w:rPr>
                <w:rFonts w:cs="Calibri"/>
                <w:szCs w:val="16"/>
              </w:rPr>
            </w:pPr>
            <w:r w:rsidRPr="009E06AA">
              <w:rPr>
                <w:rFonts w:cs="Calibri"/>
                <w:szCs w:val="16"/>
              </w:rPr>
              <w:t>CS, D</w:t>
            </w:r>
          </w:p>
        </w:tc>
        <w:tc>
          <w:tcPr>
            <w:tcW w:w="709" w:type="dxa"/>
            <w:tcBorders>
              <w:top w:val="single" w:sz="4" w:space="0" w:color="1B556B"/>
              <w:left w:val="nil"/>
              <w:bottom w:val="single" w:sz="4" w:space="0" w:color="1B556B"/>
              <w:right w:val="nil"/>
            </w:tcBorders>
            <w:shd w:val="clear" w:color="auto" w:fill="auto"/>
            <w:noWrap/>
            <w:vAlign w:val="center"/>
            <w:hideMark/>
          </w:tcPr>
          <w:p w14:paraId="2723AA04" w14:textId="608B9402" w:rsidR="00964278" w:rsidRPr="009E06AA" w:rsidRDefault="00964278" w:rsidP="00964278">
            <w:pPr>
              <w:pStyle w:val="TableText"/>
              <w:spacing w:before="30" w:after="30"/>
              <w:rPr>
                <w:rFonts w:cs="Calibri"/>
                <w:color w:val="FFFFFF"/>
                <w:szCs w:val="16"/>
              </w:rPr>
            </w:pPr>
            <w:r w:rsidRPr="009E06AA">
              <w:rPr>
                <w:rFonts w:cs="Calibri"/>
                <w:color w:val="FFFFFF"/>
                <w:szCs w:val="16"/>
              </w:rPr>
              <w:t>-</w:t>
            </w:r>
            <w:r w:rsidRPr="00204D2F">
              <w:rPr>
                <w:b/>
                <w:bCs/>
              </w:rPr>
              <w:t>–</w:t>
            </w:r>
          </w:p>
        </w:tc>
        <w:tc>
          <w:tcPr>
            <w:tcW w:w="794" w:type="dxa"/>
            <w:tcBorders>
              <w:top w:val="single" w:sz="4" w:space="0" w:color="1B556B"/>
              <w:left w:val="nil"/>
              <w:bottom w:val="single" w:sz="4" w:space="0" w:color="1B556B"/>
              <w:right w:val="nil"/>
            </w:tcBorders>
            <w:shd w:val="clear" w:color="auto" w:fill="auto"/>
            <w:noWrap/>
            <w:vAlign w:val="center"/>
            <w:hideMark/>
          </w:tcPr>
          <w:p w14:paraId="1E3E2FC0" w14:textId="65B9F8BA" w:rsidR="00964278" w:rsidRPr="009E06AA" w:rsidRDefault="00964278" w:rsidP="00964278">
            <w:pPr>
              <w:pStyle w:val="TableText"/>
              <w:spacing w:before="30" w:after="30"/>
              <w:rPr>
                <w:rFonts w:cs="Calibri"/>
                <w:color w:val="FFFFFF"/>
                <w:szCs w:val="16"/>
              </w:rPr>
            </w:pPr>
            <w:r w:rsidRPr="009E06AA">
              <w:rPr>
                <w:rFonts w:cs="Calibri"/>
                <w:color w:val="FFFFFF"/>
                <w:szCs w:val="16"/>
              </w:rPr>
              <w:t>-</w:t>
            </w:r>
            <w:r w:rsidRPr="00204D2F">
              <w:rPr>
                <w:b/>
                <w:bCs/>
              </w:rPr>
              <w:t>–</w:t>
            </w:r>
          </w:p>
        </w:tc>
        <w:tc>
          <w:tcPr>
            <w:tcW w:w="812" w:type="dxa"/>
            <w:tcBorders>
              <w:top w:val="single" w:sz="4" w:space="0" w:color="1B556B"/>
              <w:left w:val="nil"/>
              <w:bottom w:val="single" w:sz="4" w:space="0" w:color="1B556B"/>
              <w:right w:val="nil"/>
            </w:tcBorders>
            <w:shd w:val="clear" w:color="auto" w:fill="auto"/>
            <w:noWrap/>
            <w:vAlign w:val="center"/>
            <w:hideMark/>
          </w:tcPr>
          <w:p w14:paraId="52BA997D" w14:textId="2A87D5E8" w:rsidR="00964278" w:rsidRPr="009E06AA" w:rsidRDefault="00964278" w:rsidP="00964278">
            <w:pPr>
              <w:pStyle w:val="TableText"/>
              <w:spacing w:before="30" w:after="30"/>
              <w:rPr>
                <w:rFonts w:cs="Calibri"/>
                <w:color w:val="FFFFFF"/>
                <w:szCs w:val="16"/>
              </w:rPr>
            </w:pPr>
            <w:r w:rsidRPr="009E06AA">
              <w:rPr>
                <w:rFonts w:cs="Calibri"/>
                <w:color w:val="FFFFFF"/>
                <w:szCs w:val="16"/>
              </w:rPr>
              <w:t>-</w:t>
            </w:r>
            <w:r w:rsidRPr="00204D2F">
              <w:rPr>
                <w:b/>
                <w:bCs/>
              </w:rPr>
              <w:t>–</w:t>
            </w:r>
          </w:p>
        </w:tc>
        <w:tc>
          <w:tcPr>
            <w:tcW w:w="812" w:type="dxa"/>
            <w:tcBorders>
              <w:top w:val="single" w:sz="4" w:space="0" w:color="1B556B"/>
              <w:left w:val="nil"/>
              <w:bottom w:val="single" w:sz="4" w:space="0" w:color="1B556B"/>
              <w:right w:val="nil"/>
            </w:tcBorders>
            <w:shd w:val="clear" w:color="auto" w:fill="auto"/>
            <w:noWrap/>
            <w:vAlign w:val="center"/>
            <w:hideMark/>
          </w:tcPr>
          <w:p w14:paraId="5B9F27DA" w14:textId="3825F30F" w:rsidR="00964278" w:rsidRPr="009E06AA" w:rsidRDefault="00964278" w:rsidP="00964278">
            <w:pPr>
              <w:pStyle w:val="TableText"/>
              <w:spacing w:before="30" w:after="30"/>
              <w:rPr>
                <w:rFonts w:cs="Calibri"/>
                <w:color w:val="FFFFFF"/>
                <w:szCs w:val="16"/>
              </w:rPr>
            </w:pPr>
            <w:r w:rsidRPr="009E06AA">
              <w:rPr>
                <w:rFonts w:cs="Calibri"/>
                <w:color w:val="FFFFFF"/>
                <w:szCs w:val="16"/>
              </w:rPr>
              <w:t>-</w:t>
            </w:r>
            <w:r w:rsidRPr="00204D2F">
              <w:rPr>
                <w:b/>
                <w:bCs/>
              </w:rPr>
              <w:t>–</w:t>
            </w:r>
          </w:p>
        </w:tc>
      </w:tr>
      <w:tr w:rsidR="007523B8" w:rsidRPr="009E06AA" w14:paraId="7AA23B2C" w14:textId="77777777" w:rsidTr="00B55F24">
        <w:tc>
          <w:tcPr>
            <w:tcW w:w="320" w:type="dxa"/>
            <w:tcBorders>
              <w:top w:val="single" w:sz="4" w:space="0" w:color="1B556B"/>
              <w:left w:val="nil"/>
              <w:bottom w:val="single" w:sz="4" w:space="0" w:color="1B556B"/>
              <w:right w:val="nil"/>
            </w:tcBorders>
            <w:shd w:val="clear" w:color="auto" w:fill="auto"/>
            <w:noWrap/>
            <w:vAlign w:val="center"/>
            <w:hideMark/>
          </w:tcPr>
          <w:p w14:paraId="44F0BC9F" w14:textId="77777777" w:rsidR="007523B8" w:rsidRPr="009E06AA" w:rsidRDefault="007523B8" w:rsidP="00B55F24">
            <w:pPr>
              <w:pStyle w:val="TableText"/>
              <w:spacing w:before="30" w:after="30"/>
              <w:rPr>
                <w:rFonts w:cs="Calibri"/>
                <w:b/>
                <w:bCs/>
                <w:szCs w:val="16"/>
              </w:rPr>
            </w:pPr>
            <w:r w:rsidRPr="009E06AA">
              <w:rPr>
                <w:rFonts w:cs="Calibri"/>
                <w:b/>
                <w:bCs/>
                <w:szCs w:val="16"/>
              </w:rPr>
              <w:t>B</w:t>
            </w:r>
          </w:p>
        </w:tc>
        <w:tc>
          <w:tcPr>
            <w:tcW w:w="3366" w:type="dxa"/>
            <w:tcBorders>
              <w:top w:val="single" w:sz="4" w:space="0" w:color="1B556B"/>
              <w:left w:val="nil"/>
              <w:bottom w:val="single" w:sz="4" w:space="0" w:color="1B556B"/>
              <w:right w:val="nil"/>
            </w:tcBorders>
            <w:shd w:val="clear" w:color="auto" w:fill="auto"/>
            <w:vAlign w:val="center"/>
            <w:hideMark/>
          </w:tcPr>
          <w:p w14:paraId="6281085C" w14:textId="77777777" w:rsidR="007523B8" w:rsidRPr="009E06AA" w:rsidRDefault="007523B8" w:rsidP="00B55F24">
            <w:pPr>
              <w:pStyle w:val="TableText"/>
              <w:spacing w:before="30" w:after="30"/>
              <w:rPr>
                <w:rFonts w:cs="Calibri"/>
                <w:b/>
                <w:bCs/>
                <w:szCs w:val="16"/>
              </w:rPr>
            </w:pPr>
            <w:r w:rsidRPr="009E06AA">
              <w:rPr>
                <w:rFonts w:cs="Calibri"/>
                <w:b/>
                <w:bCs/>
                <w:szCs w:val="16"/>
              </w:rPr>
              <w:t>Manure Management</w:t>
            </w:r>
          </w:p>
        </w:tc>
        <w:tc>
          <w:tcPr>
            <w:tcW w:w="850" w:type="dxa"/>
            <w:tcBorders>
              <w:top w:val="single" w:sz="4" w:space="0" w:color="1B556B"/>
              <w:left w:val="nil"/>
              <w:bottom w:val="single" w:sz="4" w:space="0" w:color="1B556B"/>
              <w:right w:val="nil"/>
            </w:tcBorders>
            <w:shd w:val="clear" w:color="auto" w:fill="auto"/>
            <w:noWrap/>
            <w:vAlign w:val="center"/>
            <w:hideMark/>
          </w:tcPr>
          <w:p w14:paraId="0B2AA125" w14:textId="77777777" w:rsidR="007523B8" w:rsidRPr="009E06AA" w:rsidRDefault="007523B8" w:rsidP="00204D2F">
            <w:pPr>
              <w:pStyle w:val="TableText"/>
              <w:spacing w:before="30" w:after="30"/>
              <w:rPr>
                <w:rFonts w:cs="Calibri"/>
                <w:color w:val="FFFFFF"/>
                <w:szCs w:val="16"/>
              </w:rPr>
            </w:pPr>
            <w:r w:rsidRPr="009E06AA">
              <w:rPr>
                <w:rFonts w:cs="Calibri"/>
                <w:color w:val="FFFFFF"/>
                <w:szCs w:val="16"/>
              </w:rPr>
              <w:t>-</w:t>
            </w:r>
          </w:p>
        </w:tc>
        <w:tc>
          <w:tcPr>
            <w:tcW w:w="851" w:type="dxa"/>
            <w:tcBorders>
              <w:top w:val="single" w:sz="4" w:space="0" w:color="1B556B"/>
              <w:left w:val="nil"/>
              <w:bottom w:val="single" w:sz="4" w:space="0" w:color="1B556B"/>
              <w:right w:val="nil"/>
            </w:tcBorders>
            <w:shd w:val="clear" w:color="auto" w:fill="auto"/>
            <w:noWrap/>
            <w:vAlign w:val="center"/>
            <w:hideMark/>
          </w:tcPr>
          <w:p w14:paraId="7D74B53F" w14:textId="77777777" w:rsidR="007523B8" w:rsidRPr="009E06AA" w:rsidRDefault="007523B8" w:rsidP="00204D2F">
            <w:pPr>
              <w:pStyle w:val="TableText"/>
              <w:spacing w:before="30" w:after="30"/>
              <w:rPr>
                <w:rFonts w:cs="Calibri"/>
                <w:color w:val="FFFFFF"/>
                <w:szCs w:val="16"/>
              </w:rPr>
            </w:pPr>
            <w:r w:rsidRPr="009E06AA">
              <w:rPr>
                <w:rFonts w:cs="Calibri"/>
                <w:color w:val="FFFFFF"/>
                <w:szCs w:val="16"/>
              </w:rPr>
              <w:t>-</w:t>
            </w:r>
          </w:p>
        </w:tc>
        <w:tc>
          <w:tcPr>
            <w:tcW w:w="709" w:type="dxa"/>
            <w:tcBorders>
              <w:top w:val="single" w:sz="4" w:space="0" w:color="1B556B"/>
              <w:left w:val="nil"/>
              <w:bottom w:val="single" w:sz="4" w:space="0" w:color="1B556B"/>
              <w:right w:val="nil"/>
            </w:tcBorders>
            <w:shd w:val="clear" w:color="auto" w:fill="auto"/>
            <w:noWrap/>
            <w:vAlign w:val="center"/>
            <w:hideMark/>
          </w:tcPr>
          <w:p w14:paraId="015A238F" w14:textId="77777777" w:rsidR="007523B8" w:rsidRPr="009E06AA" w:rsidRDefault="007523B8" w:rsidP="00204D2F">
            <w:pPr>
              <w:pStyle w:val="TableText"/>
              <w:spacing w:before="30" w:after="30"/>
              <w:rPr>
                <w:rFonts w:cs="Calibri"/>
                <w:color w:val="FFFFFF"/>
                <w:szCs w:val="16"/>
              </w:rPr>
            </w:pPr>
            <w:r w:rsidRPr="009E06AA">
              <w:rPr>
                <w:rFonts w:cs="Calibri"/>
                <w:color w:val="FFFFFF"/>
                <w:szCs w:val="16"/>
              </w:rPr>
              <w:t>-</w:t>
            </w:r>
          </w:p>
        </w:tc>
        <w:tc>
          <w:tcPr>
            <w:tcW w:w="794" w:type="dxa"/>
            <w:tcBorders>
              <w:top w:val="single" w:sz="4" w:space="0" w:color="1B556B"/>
              <w:left w:val="nil"/>
              <w:bottom w:val="single" w:sz="4" w:space="0" w:color="1B556B"/>
              <w:right w:val="nil"/>
            </w:tcBorders>
            <w:shd w:val="clear" w:color="auto" w:fill="auto"/>
            <w:noWrap/>
            <w:vAlign w:val="center"/>
            <w:hideMark/>
          </w:tcPr>
          <w:p w14:paraId="7A12C730" w14:textId="77777777" w:rsidR="007523B8" w:rsidRPr="009E06AA" w:rsidRDefault="007523B8" w:rsidP="00204D2F">
            <w:pPr>
              <w:pStyle w:val="TableText"/>
              <w:spacing w:before="30" w:after="30"/>
              <w:rPr>
                <w:rFonts w:cs="Calibri"/>
                <w:color w:val="FFFFFF"/>
                <w:szCs w:val="16"/>
              </w:rPr>
            </w:pPr>
            <w:r w:rsidRPr="009E06AA">
              <w:rPr>
                <w:rFonts w:cs="Calibri"/>
                <w:color w:val="FFFFFF"/>
                <w:szCs w:val="16"/>
              </w:rPr>
              <w:t>-</w:t>
            </w:r>
          </w:p>
        </w:tc>
        <w:tc>
          <w:tcPr>
            <w:tcW w:w="812" w:type="dxa"/>
            <w:tcBorders>
              <w:top w:val="single" w:sz="4" w:space="0" w:color="1B556B"/>
              <w:left w:val="nil"/>
              <w:bottom w:val="single" w:sz="4" w:space="0" w:color="1B556B"/>
              <w:right w:val="nil"/>
            </w:tcBorders>
            <w:shd w:val="clear" w:color="auto" w:fill="auto"/>
            <w:noWrap/>
            <w:vAlign w:val="center"/>
            <w:hideMark/>
          </w:tcPr>
          <w:p w14:paraId="3D707D04" w14:textId="77777777" w:rsidR="007523B8" w:rsidRPr="009E06AA" w:rsidRDefault="007523B8" w:rsidP="00204D2F">
            <w:pPr>
              <w:pStyle w:val="TableText"/>
              <w:spacing w:before="30" w:after="30"/>
              <w:rPr>
                <w:rFonts w:cs="Calibri"/>
                <w:color w:val="FFFFFF"/>
                <w:szCs w:val="16"/>
              </w:rPr>
            </w:pPr>
            <w:r w:rsidRPr="009E06AA">
              <w:rPr>
                <w:rFonts w:cs="Calibri"/>
                <w:color w:val="FFFFFF"/>
                <w:szCs w:val="16"/>
              </w:rPr>
              <w:t>-</w:t>
            </w:r>
          </w:p>
        </w:tc>
        <w:tc>
          <w:tcPr>
            <w:tcW w:w="812" w:type="dxa"/>
            <w:tcBorders>
              <w:top w:val="single" w:sz="4" w:space="0" w:color="1B556B"/>
              <w:left w:val="nil"/>
              <w:bottom w:val="single" w:sz="4" w:space="0" w:color="1B556B"/>
              <w:right w:val="nil"/>
            </w:tcBorders>
            <w:shd w:val="clear" w:color="auto" w:fill="auto"/>
            <w:noWrap/>
            <w:vAlign w:val="center"/>
            <w:hideMark/>
          </w:tcPr>
          <w:p w14:paraId="1F78DC25" w14:textId="77777777" w:rsidR="007523B8" w:rsidRPr="009E06AA" w:rsidRDefault="007523B8" w:rsidP="00204D2F">
            <w:pPr>
              <w:pStyle w:val="TableText"/>
              <w:spacing w:before="30" w:after="30"/>
              <w:rPr>
                <w:rFonts w:cs="Calibri"/>
                <w:color w:val="FFFFFF"/>
                <w:szCs w:val="16"/>
              </w:rPr>
            </w:pPr>
            <w:r w:rsidRPr="009E06AA">
              <w:rPr>
                <w:rFonts w:cs="Calibri"/>
                <w:color w:val="FFFFFF"/>
                <w:szCs w:val="16"/>
              </w:rPr>
              <w:t>-</w:t>
            </w:r>
          </w:p>
        </w:tc>
      </w:tr>
      <w:tr w:rsidR="007523B8" w:rsidRPr="009E06AA" w14:paraId="754E5765" w14:textId="77777777" w:rsidTr="00B55F24">
        <w:tc>
          <w:tcPr>
            <w:tcW w:w="320" w:type="dxa"/>
            <w:vMerge w:val="restart"/>
            <w:tcBorders>
              <w:top w:val="single" w:sz="4" w:space="0" w:color="1B556B"/>
              <w:left w:val="nil"/>
              <w:bottom w:val="single" w:sz="8" w:space="0" w:color="365F91"/>
              <w:right w:val="nil"/>
            </w:tcBorders>
            <w:shd w:val="clear" w:color="auto" w:fill="auto"/>
            <w:noWrap/>
            <w:vAlign w:val="center"/>
            <w:hideMark/>
          </w:tcPr>
          <w:p w14:paraId="3CC50EFB" w14:textId="77777777" w:rsidR="007523B8" w:rsidRPr="009E06AA" w:rsidRDefault="007523B8" w:rsidP="00B55F24">
            <w:pPr>
              <w:pStyle w:val="TableText"/>
              <w:spacing w:before="30" w:after="30"/>
              <w:rPr>
                <w:rFonts w:cs="Calibri"/>
                <w:szCs w:val="16"/>
              </w:rPr>
            </w:pPr>
            <w:r w:rsidRPr="009E06AA">
              <w:rPr>
                <w:rFonts w:cs="Calibri"/>
                <w:szCs w:val="16"/>
              </w:rPr>
              <w:t>1</w:t>
            </w:r>
          </w:p>
        </w:tc>
        <w:tc>
          <w:tcPr>
            <w:tcW w:w="3366" w:type="dxa"/>
            <w:tcBorders>
              <w:top w:val="single" w:sz="4" w:space="0" w:color="1B556B"/>
              <w:left w:val="nil"/>
              <w:bottom w:val="nil"/>
              <w:right w:val="nil"/>
            </w:tcBorders>
            <w:shd w:val="clear" w:color="auto" w:fill="auto"/>
            <w:vAlign w:val="center"/>
            <w:hideMark/>
          </w:tcPr>
          <w:p w14:paraId="6EDC80BB" w14:textId="77777777" w:rsidR="007523B8" w:rsidRPr="009E06AA" w:rsidRDefault="007523B8" w:rsidP="00B55F24">
            <w:pPr>
              <w:pStyle w:val="TableText"/>
              <w:spacing w:before="30" w:after="30"/>
              <w:rPr>
                <w:rFonts w:cs="Calibri"/>
                <w:szCs w:val="16"/>
              </w:rPr>
            </w:pPr>
            <w:r w:rsidRPr="009E06AA">
              <w:rPr>
                <w:rFonts w:cs="Calibri"/>
                <w:szCs w:val="16"/>
              </w:rPr>
              <w:t>Cattle</w:t>
            </w:r>
          </w:p>
        </w:tc>
        <w:tc>
          <w:tcPr>
            <w:tcW w:w="850" w:type="dxa"/>
            <w:tcBorders>
              <w:top w:val="single" w:sz="4" w:space="0" w:color="1B556B"/>
              <w:left w:val="nil"/>
              <w:bottom w:val="nil"/>
              <w:right w:val="nil"/>
            </w:tcBorders>
            <w:shd w:val="clear" w:color="auto" w:fill="auto"/>
            <w:noWrap/>
            <w:vAlign w:val="center"/>
            <w:hideMark/>
          </w:tcPr>
          <w:p w14:paraId="1C438610" w14:textId="77777777" w:rsidR="007523B8" w:rsidRPr="009E06AA" w:rsidRDefault="007523B8" w:rsidP="00204D2F">
            <w:pPr>
              <w:pStyle w:val="TableText"/>
              <w:spacing w:before="30" w:after="30"/>
              <w:rPr>
                <w:rFonts w:cs="Calibri"/>
                <w:color w:val="FFFFFF"/>
                <w:szCs w:val="16"/>
              </w:rPr>
            </w:pPr>
            <w:r w:rsidRPr="009E06AA">
              <w:rPr>
                <w:rFonts w:cs="Calibri"/>
                <w:color w:val="FFFFFF"/>
                <w:szCs w:val="16"/>
              </w:rPr>
              <w:t>-</w:t>
            </w:r>
          </w:p>
        </w:tc>
        <w:tc>
          <w:tcPr>
            <w:tcW w:w="851" w:type="dxa"/>
            <w:tcBorders>
              <w:top w:val="single" w:sz="4" w:space="0" w:color="1B556B"/>
              <w:left w:val="nil"/>
              <w:bottom w:val="nil"/>
              <w:right w:val="nil"/>
            </w:tcBorders>
            <w:shd w:val="clear" w:color="auto" w:fill="auto"/>
            <w:noWrap/>
            <w:vAlign w:val="center"/>
            <w:hideMark/>
          </w:tcPr>
          <w:p w14:paraId="657ADEAA" w14:textId="77777777" w:rsidR="007523B8" w:rsidRPr="009E06AA" w:rsidRDefault="007523B8" w:rsidP="00204D2F">
            <w:pPr>
              <w:pStyle w:val="TableText"/>
              <w:spacing w:before="30" w:after="30"/>
              <w:rPr>
                <w:rFonts w:cs="Calibri"/>
                <w:color w:val="FFFFFF"/>
                <w:szCs w:val="16"/>
              </w:rPr>
            </w:pPr>
            <w:r w:rsidRPr="009E06AA">
              <w:rPr>
                <w:rFonts w:cs="Calibri"/>
                <w:color w:val="FFFFFF"/>
                <w:szCs w:val="16"/>
              </w:rPr>
              <w:t>-</w:t>
            </w:r>
          </w:p>
        </w:tc>
        <w:tc>
          <w:tcPr>
            <w:tcW w:w="709" w:type="dxa"/>
            <w:tcBorders>
              <w:top w:val="single" w:sz="4" w:space="0" w:color="1B556B"/>
              <w:left w:val="nil"/>
              <w:bottom w:val="nil"/>
              <w:right w:val="nil"/>
            </w:tcBorders>
            <w:shd w:val="clear" w:color="auto" w:fill="auto"/>
            <w:noWrap/>
            <w:vAlign w:val="center"/>
            <w:hideMark/>
          </w:tcPr>
          <w:p w14:paraId="35BD0B35" w14:textId="77777777" w:rsidR="007523B8" w:rsidRPr="009E06AA" w:rsidRDefault="007523B8" w:rsidP="00204D2F">
            <w:pPr>
              <w:pStyle w:val="TableText"/>
              <w:spacing w:before="30" w:after="30"/>
              <w:rPr>
                <w:rFonts w:cs="Calibri"/>
                <w:color w:val="FFFFFF"/>
                <w:szCs w:val="16"/>
              </w:rPr>
            </w:pPr>
            <w:r w:rsidRPr="009E06AA">
              <w:rPr>
                <w:rFonts w:cs="Calibri"/>
                <w:color w:val="FFFFFF"/>
                <w:szCs w:val="16"/>
              </w:rPr>
              <w:t>-</w:t>
            </w:r>
          </w:p>
        </w:tc>
        <w:tc>
          <w:tcPr>
            <w:tcW w:w="794" w:type="dxa"/>
            <w:tcBorders>
              <w:top w:val="single" w:sz="4" w:space="0" w:color="1B556B"/>
              <w:left w:val="nil"/>
              <w:bottom w:val="nil"/>
              <w:right w:val="nil"/>
            </w:tcBorders>
            <w:shd w:val="clear" w:color="auto" w:fill="auto"/>
            <w:noWrap/>
            <w:vAlign w:val="center"/>
            <w:hideMark/>
          </w:tcPr>
          <w:p w14:paraId="3063B5DD" w14:textId="77777777" w:rsidR="007523B8" w:rsidRPr="009E06AA" w:rsidRDefault="007523B8" w:rsidP="00204D2F">
            <w:pPr>
              <w:pStyle w:val="TableText"/>
              <w:spacing w:before="30" w:after="30"/>
              <w:rPr>
                <w:rFonts w:cs="Calibri"/>
                <w:color w:val="FFFFFF"/>
                <w:szCs w:val="16"/>
              </w:rPr>
            </w:pPr>
            <w:r w:rsidRPr="009E06AA">
              <w:rPr>
                <w:rFonts w:cs="Calibri"/>
                <w:color w:val="FFFFFF"/>
                <w:szCs w:val="16"/>
              </w:rPr>
              <w:t>-</w:t>
            </w:r>
          </w:p>
        </w:tc>
        <w:tc>
          <w:tcPr>
            <w:tcW w:w="812" w:type="dxa"/>
            <w:tcBorders>
              <w:top w:val="single" w:sz="4" w:space="0" w:color="1B556B"/>
              <w:left w:val="nil"/>
              <w:bottom w:val="nil"/>
              <w:right w:val="nil"/>
            </w:tcBorders>
            <w:shd w:val="clear" w:color="auto" w:fill="auto"/>
            <w:noWrap/>
            <w:vAlign w:val="center"/>
            <w:hideMark/>
          </w:tcPr>
          <w:p w14:paraId="7C44AF4E" w14:textId="77777777" w:rsidR="007523B8" w:rsidRPr="009E06AA" w:rsidRDefault="007523B8" w:rsidP="00204D2F">
            <w:pPr>
              <w:pStyle w:val="TableText"/>
              <w:spacing w:before="30" w:after="30"/>
              <w:rPr>
                <w:rFonts w:cs="Calibri"/>
                <w:color w:val="FFFFFF"/>
                <w:szCs w:val="16"/>
              </w:rPr>
            </w:pPr>
            <w:r w:rsidRPr="009E06AA">
              <w:rPr>
                <w:rFonts w:cs="Calibri"/>
                <w:color w:val="FFFFFF"/>
                <w:szCs w:val="16"/>
              </w:rPr>
              <w:t>-</w:t>
            </w:r>
          </w:p>
        </w:tc>
        <w:tc>
          <w:tcPr>
            <w:tcW w:w="812" w:type="dxa"/>
            <w:tcBorders>
              <w:top w:val="single" w:sz="4" w:space="0" w:color="1B556B"/>
              <w:left w:val="nil"/>
              <w:bottom w:val="nil"/>
              <w:right w:val="nil"/>
            </w:tcBorders>
            <w:shd w:val="clear" w:color="auto" w:fill="auto"/>
            <w:noWrap/>
            <w:vAlign w:val="center"/>
            <w:hideMark/>
          </w:tcPr>
          <w:p w14:paraId="7206433C" w14:textId="77777777" w:rsidR="007523B8" w:rsidRPr="009E06AA" w:rsidRDefault="007523B8" w:rsidP="00204D2F">
            <w:pPr>
              <w:pStyle w:val="TableText"/>
              <w:spacing w:before="30" w:after="30"/>
              <w:rPr>
                <w:rFonts w:cs="Calibri"/>
                <w:color w:val="FFFFFF"/>
                <w:szCs w:val="16"/>
              </w:rPr>
            </w:pPr>
            <w:r w:rsidRPr="009E06AA">
              <w:rPr>
                <w:rFonts w:cs="Calibri"/>
                <w:color w:val="FFFFFF"/>
                <w:szCs w:val="16"/>
              </w:rPr>
              <w:t>-</w:t>
            </w:r>
          </w:p>
        </w:tc>
      </w:tr>
      <w:tr w:rsidR="007523B8" w:rsidRPr="009E06AA" w14:paraId="4E887D6C" w14:textId="77777777" w:rsidTr="00B55F24">
        <w:tc>
          <w:tcPr>
            <w:tcW w:w="320" w:type="dxa"/>
            <w:vMerge/>
            <w:tcBorders>
              <w:top w:val="nil"/>
              <w:left w:val="nil"/>
              <w:bottom w:val="single" w:sz="8" w:space="0" w:color="365F91"/>
              <w:right w:val="nil"/>
            </w:tcBorders>
            <w:vAlign w:val="center"/>
            <w:hideMark/>
          </w:tcPr>
          <w:p w14:paraId="597BAE9B" w14:textId="77777777" w:rsidR="007523B8" w:rsidRPr="009E06AA" w:rsidRDefault="007523B8" w:rsidP="00B55F24">
            <w:pPr>
              <w:pStyle w:val="TableText"/>
              <w:spacing w:before="30" w:after="30"/>
              <w:rPr>
                <w:rFonts w:cs="Calibri"/>
                <w:szCs w:val="16"/>
              </w:rPr>
            </w:pPr>
          </w:p>
        </w:tc>
        <w:tc>
          <w:tcPr>
            <w:tcW w:w="3366" w:type="dxa"/>
            <w:tcBorders>
              <w:top w:val="nil"/>
              <w:left w:val="nil"/>
              <w:bottom w:val="nil"/>
              <w:right w:val="nil"/>
            </w:tcBorders>
            <w:shd w:val="clear" w:color="auto" w:fill="auto"/>
            <w:vAlign w:val="center"/>
            <w:hideMark/>
          </w:tcPr>
          <w:p w14:paraId="78E66651" w14:textId="77777777" w:rsidR="007523B8" w:rsidRPr="009E06AA" w:rsidRDefault="007523B8" w:rsidP="00B55F24">
            <w:pPr>
              <w:pStyle w:val="TableText"/>
              <w:spacing w:before="30" w:after="30"/>
              <w:rPr>
                <w:rFonts w:cs="Calibri"/>
                <w:szCs w:val="16"/>
              </w:rPr>
            </w:pPr>
            <w:r w:rsidRPr="009E06AA">
              <w:rPr>
                <w:rFonts w:cs="Calibri"/>
                <w:szCs w:val="16"/>
              </w:rPr>
              <w:t>Dairy Cattle</w:t>
            </w:r>
          </w:p>
        </w:tc>
        <w:tc>
          <w:tcPr>
            <w:tcW w:w="850" w:type="dxa"/>
            <w:tcBorders>
              <w:top w:val="nil"/>
              <w:left w:val="nil"/>
              <w:bottom w:val="nil"/>
              <w:right w:val="nil"/>
            </w:tcBorders>
            <w:shd w:val="clear" w:color="auto" w:fill="auto"/>
            <w:noWrap/>
            <w:vAlign w:val="center"/>
            <w:hideMark/>
          </w:tcPr>
          <w:p w14:paraId="39F034DA" w14:textId="77777777" w:rsidR="007523B8" w:rsidRPr="009E06AA" w:rsidRDefault="007523B8" w:rsidP="00204D2F">
            <w:pPr>
              <w:pStyle w:val="TableText"/>
              <w:spacing w:before="30" w:after="30"/>
              <w:rPr>
                <w:rFonts w:cs="Calibri"/>
                <w:szCs w:val="16"/>
              </w:rPr>
            </w:pPr>
            <w:r w:rsidRPr="009E06AA">
              <w:rPr>
                <w:rFonts w:cs="Calibri"/>
                <w:szCs w:val="16"/>
              </w:rPr>
              <w:t>T2</w:t>
            </w:r>
          </w:p>
        </w:tc>
        <w:tc>
          <w:tcPr>
            <w:tcW w:w="851" w:type="dxa"/>
            <w:tcBorders>
              <w:top w:val="nil"/>
              <w:left w:val="nil"/>
              <w:bottom w:val="nil"/>
              <w:right w:val="nil"/>
            </w:tcBorders>
            <w:shd w:val="clear" w:color="auto" w:fill="auto"/>
            <w:noWrap/>
            <w:vAlign w:val="center"/>
            <w:hideMark/>
          </w:tcPr>
          <w:p w14:paraId="4F2859C0" w14:textId="77777777" w:rsidR="007523B8" w:rsidRPr="009E06AA" w:rsidRDefault="007523B8" w:rsidP="00204D2F">
            <w:pPr>
              <w:pStyle w:val="TableText"/>
              <w:spacing w:before="30" w:after="30"/>
              <w:rPr>
                <w:rFonts w:cs="Calibri"/>
                <w:szCs w:val="16"/>
              </w:rPr>
            </w:pPr>
            <w:r w:rsidRPr="009E06AA">
              <w:rPr>
                <w:rFonts w:cs="Calibri"/>
                <w:szCs w:val="16"/>
              </w:rPr>
              <w:t>CS</w:t>
            </w:r>
          </w:p>
        </w:tc>
        <w:tc>
          <w:tcPr>
            <w:tcW w:w="709" w:type="dxa"/>
            <w:tcBorders>
              <w:top w:val="nil"/>
              <w:left w:val="nil"/>
              <w:bottom w:val="nil"/>
              <w:right w:val="nil"/>
            </w:tcBorders>
            <w:shd w:val="clear" w:color="auto" w:fill="auto"/>
            <w:noWrap/>
            <w:vAlign w:val="center"/>
            <w:hideMark/>
          </w:tcPr>
          <w:p w14:paraId="5A07EA53" w14:textId="77777777" w:rsidR="007523B8" w:rsidRPr="009E06AA" w:rsidRDefault="007523B8" w:rsidP="00204D2F">
            <w:pPr>
              <w:pStyle w:val="TableText"/>
              <w:spacing w:before="30" w:after="30"/>
              <w:rPr>
                <w:rFonts w:cs="Calibri"/>
                <w:szCs w:val="16"/>
              </w:rPr>
            </w:pPr>
            <w:r w:rsidRPr="009E06AA">
              <w:rPr>
                <w:rFonts w:cs="Calibri"/>
                <w:szCs w:val="16"/>
              </w:rPr>
              <w:t>T2</w:t>
            </w:r>
          </w:p>
        </w:tc>
        <w:tc>
          <w:tcPr>
            <w:tcW w:w="794" w:type="dxa"/>
            <w:tcBorders>
              <w:top w:val="nil"/>
              <w:left w:val="nil"/>
              <w:bottom w:val="nil"/>
              <w:right w:val="nil"/>
            </w:tcBorders>
            <w:shd w:val="clear" w:color="auto" w:fill="auto"/>
            <w:noWrap/>
            <w:vAlign w:val="center"/>
            <w:hideMark/>
          </w:tcPr>
          <w:p w14:paraId="7CB5483E" w14:textId="77777777" w:rsidR="007523B8" w:rsidRPr="009E06AA" w:rsidRDefault="007523B8" w:rsidP="00204D2F">
            <w:pPr>
              <w:pStyle w:val="TableText"/>
              <w:spacing w:before="30" w:after="30"/>
              <w:rPr>
                <w:rFonts w:cs="Calibri"/>
                <w:szCs w:val="16"/>
              </w:rPr>
            </w:pPr>
            <w:r w:rsidRPr="009E06AA">
              <w:rPr>
                <w:rFonts w:cs="Calibri"/>
                <w:szCs w:val="16"/>
              </w:rPr>
              <w:t>CS</w:t>
            </w:r>
          </w:p>
        </w:tc>
        <w:tc>
          <w:tcPr>
            <w:tcW w:w="812" w:type="dxa"/>
            <w:tcBorders>
              <w:top w:val="nil"/>
              <w:left w:val="nil"/>
              <w:bottom w:val="nil"/>
              <w:right w:val="nil"/>
            </w:tcBorders>
            <w:shd w:val="clear" w:color="auto" w:fill="auto"/>
            <w:noWrap/>
            <w:vAlign w:val="center"/>
            <w:hideMark/>
          </w:tcPr>
          <w:p w14:paraId="51A16769" w14:textId="42BC4DE3" w:rsidR="007523B8" w:rsidRPr="009E06AA" w:rsidRDefault="007523B8" w:rsidP="00204D2F">
            <w:pPr>
              <w:pStyle w:val="TableText"/>
              <w:spacing w:before="30" w:after="30"/>
              <w:rPr>
                <w:rFonts w:cs="Calibri"/>
                <w:color w:val="FFFFFF"/>
                <w:szCs w:val="16"/>
              </w:rPr>
            </w:pPr>
            <w:r w:rsidRPr="009E06AA">
              <w:rPr>
                <w:rFonts w:cs="Calibri"/>
                <w:color w:val="FFFFFF"/>
                <w:szCs w:val="16"/>
              </w:rPr>
              <w:t>-</w:t>
            </w:r>
            <w:r w:rsidR="00964278" w:rsidRPr="00204D2F">
              <w:rPr>
                <w:b/>
                <w:bCs/>
              </w:rPr>
              <w:t>–</w:t>
            </w:r>
          </w:p>
        </w:tc>
        <w:tc>
          <w:tcPr>
            <w:tcW w:w="812" w:type="dxa"/>
            <w:tcBorders>
              <w:top w:val="nil"/>
              <w:left w:val="nil"/>
              <w:bottom w:val="nil"/>
              <w:right w:val="nil"/>
            </w:tcBorders>
            <w:shd w:val="clear" w:color="auto" w:fill="auto"/>
            <w:noWrap/>
            <w:vAlign w:val="center"/>
            <w:hideMark/>
          </w:tcPr>
          <w:p w14:paraId="38090EC5" w14:textId="05953215" w:rsidR="007523B8" w:rsidRPr="009E06AA" w:rsidRDefault="007523B8" w:rsidP="00204D2F">
            <w:pPr>
              <w:pStyle w:val="TableText"/>
              <w:spacing w:before="30" w:after="30"/>
              <w:rPr>
                <w:rFonts w:cs="Calibri"/>
                <w:color w:val="FFFFFF"/>
                <w:szCs w:val="16"/>
              </w:rPr>
            </w:pPr>
            <w:r w:rsidRPr="009E06AA">
              <w:rPr>
                <w:rFonts w:cs="Calibri"/>
                <w:color w:val="FFFFFF"/>
                <w:szCs w:val="16"/>
              </w:rPr>
              <w:t>-</w:t>
            </w:r>
            <w:r w:rsidR="00964278" w:rsidRPr="00204D2F">
              <w:rPr>
                <w:b/>
                <w:bCs/>
              </w:rPr>
              <w:t>–</w:t>
            </w:r>
          </w:p>
        </w:tc>
      </w:tr>
      <w:tr w:rsidR="00465555" w:rsidRPr="009E06AA" w14:paraId="12AA576F" w14:textId="77777777" w:rsidTr="00B55F24">
        <w:tc>
          <w:tcPr>
            <w:tcW w:w="320" w:type="dxa"/>
            <w:vMerge/>
            <w:tcBorders>
              <w:top w:val="nil"/>
              <w:left w:val="nil"/>
              <w:bottom w:val="single" w:sz="4" w:space="0" w:color="1B556B"/>
              <w:right w:val="nil"/>
            </w:tcBorders>
            <w:vAlign w:val="center"/>
            <w:hideMark/>
          </w:tcPr>
          <w:p w14:paraId="65407A9D" w14:textId="77777777" w:rsidR="00465555" w:rsidRPr="009E06AA" w:rsidRDefault="00465555" w:rsidP="00465555">
            <w:pPr>
              <w:pStyle w:val="TableText"/>
              <w:spacing w:before="30" w:after="30"/>
              <w:rPr>
                <w:rFonts w:cs="Calibri"/>
                <w:szCs w:val="16"/>
              </w:rPr>
            </w:pPr>
          </w:p>
        </w:tc>
        <w:tc>
          <w:tcPr>
            <w:tcW w:w="3366" w:type="dxa"/>
            <w:tcBorders>
              <w:top w:val="nil"/>
              <w:left w:val="nil"/>
              <w:bottom w:val="single" w:sz="4" w:space="0" w:color="1B556B"/>
              <w:right w:val="nil"/>
            </w:tcBorders>
            <w:shd w:val="clear" w:color="auto" w:fill="auto"/>
            <w:vAlign w:val="center"/>
            <w:hideMark/>
          </w:tcPr>
          <w:p w14:paraId="75ACC5D4" w14:textId="77777777" w:rsidR="00465555" w:rsidRPr="009E06AA" w:rsidRDefault="00465555" w:rsidP="00465555">
            <w:pPr>
              <w:pStyle w:val="TableText"/>
              <w:spacing w:before="30" w:after="30"/>
              <w:rPr>
                <w:rFonts w:cs="Calibri"/>
                <w:szCs w:val="16"/>
              </w:rPr>
            </w:pPr>
            <w:r w:rsidRPr="009E06AA">
              <w:rPr>
                <w:rFonts w:cs="Calibri"/>
                <w:szCs w:val="16"/>
              </w:rPr>
              <w:t>Non-Dairy Cattle</w:t>
            </w:r>
          </w:p>
        </w:tc>
        <w:tc>
          <w:tcPr>
            <w:tcW w:w="850" w:type="dxa"/>
            <w:tcBorders>
              <w:top w:val="nil"/>
              <w:left w:val="nil"/>
              <w:bottom w:val="single" w:sz="4" w:space="0" w:color="1B556B"/>
              <w:right w:val="nil"/>
            </w:tcBorders>
            <w:shd w:val="clear" w:color="auto" w:fill="auto"/>
            <w:noWrap/>
            <w:vAlign w:val="center"/>
            <w:hideMark/>
          </w:tcPr>
          <w:p w14:paraId="002E4C55" w14:textId="77777777" w:rsidR="00465555" w:rsidRPr="009E06AA" w:rsidRDefault="00465555" w:rsidP="00465555">
            <w:pPr>
              <w:pStyle w:val="TableText"/>
              <w:spacing w:before="30" w:after="30"/>
              <w:rPr>
                <w:rFonts w:cs="Calibri"/>
                <w:szCs w:val="16"/>
              </w:rPr>
            </w:pPr>
            <w:r w:rsidRPr="009E06AA">
              <w:rPr>
                <w:rFonts w:cs="Calibri"/>
                <w:szCs w:val="16"/>
              </w:rPr>
              <w:t>T2</w:t>
            </w:r>
          </w:p>
        </w:tc>
        <w:tc>
          <w:tcPr>
            <w:tcW w:w="851" w:type="dxa"/>
            <w:tcBorders>
              <w:top w:val="nil"/>
              <w:left w:val="nil"/>
              <w:bottom w:val="single" w:sz="4" w:space="0" w:color="1B556B"/>
              <w:right w:val="nil"/>
            </w:tcBorders>
            <w:shd w:val="clear" w:color="auto" w:fill="auto"/>
            <w:noWrap/>
            <w:vAlign w:val="center"/>
            <w:hideMark/>
          </w:tcPr>
          <w:p w14:paraId="0B33052A" w14:textId="77777777" w:rsidR="00465555" w:rsidRPr="009E06AA" w:rsidRDefault="00465555" w:rsidP="00465555">
            <w:pPr>
              <w:pStyle w:val="TableText"/>
              <w:spacing w:before="30" w:after="30"/>
              <w:rPr>
                <w:rFonts w:cs="Calibri"/>
                <w:szCs w:val="16"/>
              </w:rPr>
            </w:pPr>
            <w:r w:rsidRPr="009E06AA">
              <w:rPr>
                <w:rFonts w:cs="Calibri"/>
                <w:szCs w:val="16"/>
              </w:rPr>
              <w:t>CS</w:t>
            </w:r>
          </w:p>
        </w:tc>
        <w:tc>
          <w:tcPr>
            <w:tcW w:w="709" w:type="dxa"/>
            <w:tcBorders>
              <w:top w:val="nil"/>
              <w:left w:val="nil"/>
              <w:bottom w:val="single" w:sz="4" w:space="0" w:color="1B556B"/>
              <w:right w:val="nil"/>
            </w:tcBorders>
            <w:shd w:val="clear" w:color="auto" w:fill="auto"/>
            <w:noWrap/>
            <w:vAlign w:val="center"/>
            <w:hideMark/>
          </w:tcPr>
          <w:p w14:paraId="3F59DD26" w14:textId="77777777" w:rsidR="00465555" w:rsidRPr="009E06AA" w:rsidRDefault="00465555" w:rsidP="00465555">
            <w:pPr>
              <w:pStyle w:val="TableText"/>
              <w:spacing w:before="30" w:after="30"/>
              <w:rPr>
                <w:rFonts w:cs="Calibri"/>
                <w:szCs w:val="16"/>
              </w:rPr>
            </w:pPr>
            <w:r w:rsidRPr="009E06AA">
              <w:rPr>
                <w:rFonts w:cs="Calibri"/>
                <w:szCs w:val="16"/>
              </w:rPr>
              <w:t>NA</w:t>
            </w:r>
          </w:p>
        </w:tc>
        <w:tc>
          <w:tcPr>
            <w:tcW w:w="794" w:type="dxa"/>
            <w:tcBorders>
              <w:top w:val="nil"/>
              <w:left w:val="nil"/>
              <w:bottom w:val="single" w:sz="4" w:space="0" w:color="1B556B"/>
              <w:right w:val="nil"/>
            </w:tcBorders>
            <w:shd w:val="clear" w:color="auto" w:fill="auto"/>
            <w:noWrap/>
            <w:vAlign w:val="center"/>
            <w:hideMark/>
          </w:tcPr>
          <w:p w14:paraId="7585C831" w14:textId="77777777" w:rsidR="00465555" w:rsidRPr="009E06AA" w:rsidRDefault="00465555" w:rsidP="00465555">
            <w:pPr>
              <w:pStyle w:val="TableText"/>
              <w:spacing w:before="30" w:after="30"/>
              <w:rPr>
                <w:rFonts w:cs="Calibri"/>
                <w:szCs w:val="16"/>
              </w:rPr>
            </w:pPr>
            <w:r w:rsidRPr="009E06AA">
              <w:rPr>
                <w:rFonts w:cs="Calibri"/>
                <w:szCs w:val="16"/>
              </w:rPr>
              <w:t>NA</w:t>
            </w:r>
          </w:p>
        </w:tc>
        <w:tc>
          <w:tcPr>
            <w:tcW w:w="812" w:type="dxa"/>
            <w:tcBorders>
              <w:top w:val="nil"/>
              <w:left w:val="nil"/>
              <w:bottom w:val="single" w:sz="4" w:space="0" w:color="1B556B"/>
              <w:right w:val="nil"/>
            </w:tcBorders>
            <w:shd w:val="clear" w:color="auto" w:fill="auto"/>
            <w:noWrap/>
            <w:vAlign w:val="center"/>
            <w:hideMark/>
          </w:tcPr>
          <w:p w14:paraId="285E0912" w14:textId="22EA4EC2" w:rsidR="00465555" w:rsidRPr="009E06AA" w:rsidRDefault="00465555" w:rsidP="00465555">
            <w:pPr>
              <w:pStyle w:val="TableText"/>
              <w:spacing w:before="30" w:after="30"/>
              <w:rPr>
                <w:rFonts w:cs="Calibri"/>
                <w:color w:val="FFFFFF"/>
                <w:szCs w:val="16"/>
              </w:rPr>
            </w:pPr>
            <w:r w:rsidRPr="009E06AA">
              <w:rPr>
                <w:rFonts w:cs="Calibri"/>
                <w:color w:val="FFFFFF"/>
                <w:szCs w:val="16"/>
              </w:rPr>
              <w:t>-</w:t>
            </w:r>
            <w:r w:rsidRPr="00204D2F">
              <w:rPr>
                <w:b/>
                <w:bCs/>
              </w:rPr>
              <w:t>–</w:t>
            </w:r>
          </w:p>
        </w:tc>
        <w:tc>
          <w:tcPr>
            <w:tcW w:w="812" w:type="dxa"/>
            <w:tcBorders>
              <w:top w:val="nil"/>
              <w:left w:val="nil"/>
              <w:bottom w:val="single" w:sz="4" w:space="0" w:color="1B556B"/>
              <w:right w:val="nil"/>
            </w:tcBorders>
            <w:shd w:val="clear" w:color="auto" w:fill="auto"/>
            <w:noWrap/>
            <w:vAlign w:val="center"/>
            <w:hideMark/>
          </w:tcPr>
          <w:p w14:paraId="3A8EC863" w14:textId="11DC26D2" w:rsidR="00465555" w:rsidRPr="009E06AA" w:rsidRDefault="00465555" w:rsidP="00465555">
            <w:pPr>
              <w:pStyle w:val="TableText"/>
              <w:spacing w:before="30" w:after="30"/>
              <w:rPr>
                <w:rFonts w:cs="Calibri"/>
                <w:color w:val="FFFFFF"/>
                <w:szCs w:val="16"/>
              </w:rPr>
            </w:pPr>
            <w:r w:rsidRPr="009E06AA">
              <w:rPr>
                <w:rFonts w:cs="Calibri"/>
                <w:color w:val="FFFFFF"/>
                <w:szCs w:val="16"/>
              </w:rPr>
              <w:t>-</w:t>
            </w:r>
            <w:r w:rsidRPr="00204D2F">
              <w:rPr>
                <w:b/>
                <w:bCs/>
              </w:rPr>
              <w:t>–</w:t>
            </w:r>
          </w:p>
        </w:tc>
      </w:tr>
      <w:tr w:rsidR="00465555" w:rsidRPr="009E06AA" w14:paraId="3DC8D617" w14:textId="77777777" w:rsidTr="00B55F24">
        <w:tc>
          <w:tcPr>
            <w:tcW w:w="320" w:type="dxa"/>
            <w:tcBorders>
              <w:top w:val="single" w:sz="4" w:space="0" w:color="1B556B"/>
              <w:left w:val="nil"/>
              <w:right w:val="nil"/>
            </w:tcBorders>
            <w:shd w:val="clear" w:color="auto" w:fill="auto"/>
            <w:noWrap/>
            <w:vAlign w:val="center"/>
            <w:hideMark/>
          </w:tcPr>
          <w:p w14:paraId="2BE8EC28" w14:textId="77777777" w:rsidR="00465555" w:rsidRPr="009E06AA" w:rsidRDefault="00465555" w:rsidP="00465555">
            <w:pPr>
              <w:pStyle w:val="TableText"/>
              <w:spacing w:before="30" w:after="30"/>
              <w:rPr>
                <w:rFonts w:cs="Calibri"/>
                <w:szCs w:val="16"/>
              </w:rPr>
            </w:pPr>
            <w:r w:rsidRPr="009E06AA">
              <w:rPr>
                <w:rFonts w:cs="Calibri"/>
                <w:szCs w:val="16"/>
              </w:rPr>
              <w:t>2</w:t>
            </w:r>
          </w:p>
        </w:tc>
        <w:tc>
          <w:tcPr>
            <w:tcW w:w="3366" w:type="dxa"/>
            <w:tcBorders>
              <w:top w:val="single" w:sz="4" w:space="0" w:color="1B556B"/>
              <w:left w:val="nil"/>
              <w:right w:val="nil"/>
            </w:tcBorders>
            <w:shd w:val="clear" w:color="auto" w:fill="auto"/>
            <w:vAlign w:val="center"/>
            <w:hideMark/>
          </w:tcPr>
          <w:p w14:paraId="21B8822A" w14:textId="77777777" w:rsidR="00465555" w:rsidRPr="009E06AA" w:rsidRDefault="00465555" w:rsidP="00465555">
            <w:pPr>
              <w:pStyle w:val="TableText"/>
              <w:spacing w:before="30" w:after="30"/>
              <w:rPr>
                <w:rFonts w:cs="Calibri"/>
                <w:szCs w:val="16"/>
              </w:rPr>
            </w:pPr>
            <w:r w:rsidRPr="009E06AA">
              <w:rPr>
                <w:rFonts w:cs="Calibri"/>
                <w:szCs w:val="16"/>
              </w:rPr>
              <w:t xml:space="preserve">Sheep </w:t>
            </w:r>
          </w:p>
        </w:tc>
        <w:tc>
          <w:tcPr>
            <w:tcW w:w="850" w:type="dxa"/>
            <w:tcBorders>
              <w:top w:val="single" w:sz="4" w:space="0" w:color="1B556B"/>
              <w:left w:val="nil"/>
              <w:right w:val="nil"/>
            </w:tcBorders>
            <w:shd w:val="clear" w:color="auto" w:fill="auto"/>
            <w:noWrap/>
            <w:vAlign w:val="center"/>
            <w:hideMark/>
          </w:tcPr>
          <w:p w14:paraId="3E66519C" w14:textId="77777777" w:rsidR="00465555" w:rsidRPr="009E06AA" w:rsidRDefault="00465555" w:rsidP="00465555">
            <w:pPr>
              <w:pStyle w:val="TableText"/>
              <w:spacing w:before="30" w:after="30"/>
              <w:rPr>
                <w:rFonts w:cs="Calibri"/>
                <w:szCs w:val="16"/>
              </w:rPr>
            </w:pPr>
            <w:r w:rsidRPr="009E06AA">
              <w:rPr>
                <w:rFonts w:cs="Calibri"/>
                <w:szCs w:val="16"/>
              </w:rPr>
              <w:t>T2</w:t>
            </w:r>
          </w:p>
        </w:tc>
        <w:tc>
          <w:tcPr>
            <w:tcW w:w="851" w:type="dxa"/>
            <w:tcBorders>
              <w:top w:val="single" w:sz="4" w:space="0" w:color="1B556B"/>
              <w:left w:val="nil"/>
              <w:right w:val="nil"/>
            </w:tcBorders>
            <w:shd w:val="clear" w:color="auto" w:fill="auto"/>
            <w:noWrap/>
            <w:vAlign w:val="center"/>
            <w:hideMark/>
          </w:tcPr>
          <w:p w14:paraId="7655AB08" w14:textId="77777777" w:rsidR="00465555" w:rsidRPr="009E06AA" w:rsidRDefault="00465555" w:rsidP="00465555">
            <w:pPr>
              <w:pStyle w:val="TableText"/>
              <w:spacing w:before="30" w:after="30"/>
              <w:rPr>
                <w:rFonts w:cs="Calibri"/>
                <w:szCs w:val="16"/>
              </w:rPr>
            </w:pPr>
            <w:r w:rsidRPr="009E06AA">
              <w:rPr>
                <w:rFonts w:cs="Calibri"/>
                <w:szCs w:val="16"/>
              </w:rPr>
              <w:t>CS</w:t>
            </w:r>
          </w:p>
        </w:tc>
        <w:tc>
          <w:tcPr>
            <w:tcW w:w="709" w:type="dxa"/>
            <w:tcBorders>
              <w:top w:val="single" w:sz="4" w:space="0" w:color="1B556B"/>
              <w:left w:val="nil"/>
              <w:right w:val="nil"/>
            </w:tcBorders>
            <w:shd w:val="clear" w:color="auto" w:fill="auto"/>
            <w:noWrap/>
            <w:vAlign w:val="center"/>
            <w:hideMark/>
          </w:tcPr>
          <w:p w14:paraId="4F8F382F" w14:textId="77777777" w:rsidR="00465555" w:rsidRPr="009E06AA" w:rsidRDefault="00465555" w:rsidP="00465555">
            <w:pPr>
              <w:pStyle w:val="TableText"/>
              <w:spacing w:before="30" w:after="30"/>
              <w:rPr>
                <w:rFonts w:cs="Calibri"/>
                <w:szCs w:val="16"/>
              </w:rPr>
            </w:pPr>
            <w:r w:rsidRPr="009E06AA">
              <w:rPr>
                <w:rFonts w:cs="Calibri"/>
                <w:szCs w:val="16"/>
              </w:rPr>
              <w:t>NA</w:t>
            </w:r>
          </w:p>
        </w:tc>
        <w:tc>
          <w:tcPr>
            <w:tcW w:w="794" w:type="dxa"/>
            <w:tcBorders>
              <w:top w:val="single" w:sz="4" w:space="0" w:color="1B556B"/>
              <w:left w:val="nil"/>
              <w:right w:val="nil"/>
            </w:tcBorders>
            <w:shd w:val="clear" w:color="auto" w:fill="auto"/>
            <w:noWrap/>
            <w:vAlign w:val="center"/>
            <w:hideMark/>
          </w:tcPr>
          <w:p w14:paraId="446B3AAA" w14:textId="77777777" w:rsidR="00465555" w:rsidRPr="009E06AA" w:rsidRDefault="00465555" w:rsidP="00465555">
            <w:pPr>
              <w:pStyle w:val="TableText"/>
              <w:spacing w:before="30" w:after="30"/>
              <w:rPr>
                <w:rFonts w:cs="Calibri"/>
                <w:szCs w:val="16"/>
              </w:rPr>
            </w:pPr>
            <w:r w:rsidRPr="009E06AA">
              <w:rPr>
                <w:rFonts w:cs="Calibri"/>
                <w:szCs w:val="16"/>
              </w:rPr>
              <w:t>NA</w:t>
            </w:r>
          </w:p>
        </w:tc>
        <w:tc>
          <w:tcPr>
            <w:tcW w:w="812" w:type="dxa"/>
            <w:tcBorders>
              <w:top w:val="single" w:sz="4" w:space="0" w:color="1B556B"/>
              <w:left w:val="nil"/>
              <w:right w:val="nil"/>
            </w:tcBorders>
            <w:shd w:val="clear" w:color="auto" w:fill="auto"/>
            <w:noWrap/>
            <w:vAlign w:val="center"/>
            <w:hideMark/>
          </w:tcPr>
          <w:p w14:paraId="60B6728F" w14:textId="45C9FE8F" w:rsidR="00465555" w:rsidRPr="009E06AA" w:rsidRDefault="00465555" w:rsidP="00465555">
            <w:pPr>
              <w:pStyle w:val="TableText"/>
              <w:spacing w:before="30" w:after="30"/>
              <w:rPr>
                <w:rFonts w:cs="Calibri"/>
                <w:color w:val="FFFFFF"/>
                <w:szCs w:val="16"/>
              </w:rPr>
            </w:pPr>
            <w:r w:rsidRPr="009E06AA">
              <w:rPr>
                <w:rFonts w:cs="Calibri"/>
                <w:color w:val="FFFFFF"/>
                <w:szCs w:val="16"/>
              </w:rPr>
              <w:t>-</w:t>
            </w:r>
            <w:r w:rsidRPr="00204D2F">
              <w:rPr>
                <w:b/>
                <w:bCs/>
              </w:rPr>
              <w:t>–</w:t>
            </w:r>
          </w:p>
        </w:tc>
        <w:tc>
          <w:tcPr>
            <w:tcW w:w="812" w:type="dxa"/>
            <w:tcBorders>
              <w:top w:val="single" w:sz="4" w:space="0" w:color="1B556B"/>
              <w:left w:val="nil"/>
              <w:right w:val="nil"/>
            </w:tcBorders>
            <w:shd w:val="clear" w:color="auto" w:fill="auto"/>
            <w:noWrap/>
            <w:vAlign w:val="center"/>
            <w:hideMark/>
          </w:tcPr>
          <w:p w14:paraId="5255B9E1" w14:textId="71379D98" w:rsidR="00465555" w:rsidRPr="009E06AA" w:rsidRDefault="00465555" w:rsidP="00465555">
            <w:pPr>
              <w:pStyle w:val="TableText"/>
              <w:spacing w:before="30" w:after="30"/>
              <w:rPr>
                <w:rFonts w:cs="Calibri"/>
                <w:color w:val="FFFFFF"/>
                <w:szCs w:val="16"/>
              </w:rPr>
            </w:pPr>
            <w:r w:rsidRPr="009E06AA">
              <w:rPr>
                <w:rFonts w:cs="Calibri"/>
                <w:color w:val="FFFFFF"/>
                <w:szCs w:val="16"/>
              </w:rPr>
              <w:t>-</w:t>
            </w:r>
            <w:r w:rsidRPr="00204D2F">
              <w:rPr>
                <w:b/>
                <w:bCs/>
              </w:rPr>
              <w:t>–</w:t>
            </w:r>
          </w:p>
        </w:tc>
      </w:tr>
      <w:tr w:rsidR="00465555" w:rsidRPr="009E06AA" w14:paraId="79286138" w14:textId="77777777" w:rsidTr="00B55F24">
        <w:tc>
          <w:tcPr>
            <w:tcW w:w="320" w:type="dxa"/>
            <w:tcBorders>
              <w:left w:val="nil"/>
              <w:bottom w:val="single" w:sz="4" w:space="0" w:color="1B556B"/>
              <w:right w:val="nil"/>
            </w:tcBorders>
            <w:shd w:val="clear" w:color="auto" w:fill="auto"/>
            <w:noWrap/>
            <w:vAlign w:val="center"/>
            <w:hideMark/>
          </w:tcPr>
          <w:p w14:paraId="5CC9F2AA" w14:textId="77777777" w:rsidR="00465555" w:rsidRPr="009E06AA" w:rsidRDefault="00465555" w:rsidP="00465555">
            <w:pPr>
              <w:pStyle w:val="TableText"/>
              <w:spacing w:before="30" w:after="30"/>
              <w:rPr>
                <w:rFonts w:cs="Calibri"/>
                <w:szCs w:val="16"/>
              </w:rPr>
            </w:pPr>
            <w:r w:rsidRPr="009E06AA">
              <w:rPr>
                <w:rFonts w:cs="Calibri"/>
                <w:szCs w:val="16"/>
              </w:rPr>
              <w:t>3</w:t>
            </w:r>
          </w:p>
        </w:tc>
        <w:tc>
          <w:tcPr>
            <w:tcW w:w="3366" w:type="dxa"/>
            <w:tcBorders>
              <w:left w:val="nil"/>
              <w:bottom w:val="single" w:sz="4" w:space="0" w:color="1B556B"/>
              <w:right w:val="nil"/>
            </w:tcBorders>
            <w:shd w:val="clear" w:color="auto" w:fill="auto"/>
            <w:vAlign w:val="center"/>
            <w:hideMark/>
          </w:tcPr>
          <w:p w14:paraId="4A6F5A72" w14:textId="77777777" w:rsidR="00465555" w:rsidRPr="009E06AA" w:rsidRDefault="00465555" w:rsidP="00465555">
            <w:pPr>
              <w:pStyle w:val="TableText"/>
              <w:spacing w:before="30" w:after="30"/>
              <w:rPr>
                <w:rFonts w:cs="Calibri"/>
                <w:szCs w:val="16"/>
              </w:rPr>
            </w:pPr>
            <w:r w:rsidRPr="009E06AA">
              <w:rPr>
                <w:rFonts w:cs="Calibri"/>
                <w:szCs w:val="16"/>
              </w:rPr>
              <w:t>Swine</w:t>
            </w:r>
          </w:p>
        </w:tc>
        <w:tc>
          <w:tcPr>
            <w:tcW w:w="850" w:type="dxa"/>
            <w:tcBorders>
              <w:left w:val="nil"/>
              <w:bottom w:val="single" w:sz="4" w:space="0" w:color="1B556B"/>
              <w:right w:val="nil"/>
            </w:tcBorders>
            <w:shd w:val="clear" w:color="auto" w:fill="auto"/>
            <w:noWrap/>
            <w:vAlign w:val="center"/>
            <w:hideMark/>
          </w:tcPr>
          <w:p w14:paraId="2CED9677" w14:textId="77777777" w:rsidR="00465555" w:rsidRPr="009E06AA" w:rsidRDefault="00465555" w:rsidP="00465555">
            <w:pPr>
              <w:pStyle w:val="TableText"/>
              <w:spacing w:before="30" w:after="30"/>
              <w:rPr>
                <w:rFonts w:cs="Calibri"/>
                <w:szCs w:val="16"/>
              </w:rPr>
            </w:pPr>
            <w:r w:rsidRPr="009E06AA">
              <w:rPr>
                <w:rFonts w:cs="Calibri"/>
                <w:szCs w:val="16"/>
              </w:rPr>
              <w:t>T1</w:t>
            </w:r>
          </w:p>
        </w:tc>
        <w:tc>
          <w:tcPr>
            <w:tcW w:w="851" w:type="dxa"/>
            <w:tcBorders>
              <w:left w:val="nil"/>
              <w:bottom w:val="single" w:sz="4" w:space="0" w:color="1B556B"/>
              <w:right w:val="nil"/>
            </w:tcBorders>
            <w:shd w:val="clear" w:color="auto" w:fill="auto"/>
            <w:noWrap/>
            <w:vAlign w:val="center"/>
            <w:hideMark/>
          </w:tcPr>
          <w:p w14:paraId="31B21EE9" w14:textId="77777777" w:rsidR="00465555" w:rsidRPr="009E06AA" w:rsidRDefault="00465555" w:rsidP="00465555">
            <w:pPr>
              <w:pStyle w:val="TableText"/>
              <w:spacing w:before="30" w:after="30"/>
              <w:rPr>
                <w:rFonts w:cs="Calibri"/>
                <w:szCs w:val="16"/>
              </w:rPr>
            </w:pPr>
            <w:r w:rsidRPr="009E06AA">
              <w:rPr>
                <w:rFonts w:cs="Calibri"/>
                <w:szCs w:val="16"/>
              </w:rPr>
              <w:t>CS</w:t>
            </w:r>
          </w:p>
        </w:tc>
        <w:tc>
          <w:tcPr>
            <w:tcW w:w="709" w:type="dxa"/>
            <w:tcBorders>
              <w:left w:val="nil"/>
              <w:bottom w:val="single" w:sz="4" w:space="0" w:color="1B556B"/>
              <w:right w:val="nil"/>
            </w:tcBorders>
            <w:shd w:val="clear" w:color="auto" w:fill="auto"/>
            <w:noWrap/>
            <w:vAlign w:val="center"/>
            <w:hideMark/>
          </w:tcPr>
          <w:p w14:paraId="195895A8" w14:textId="77777777" w:rsidR="00465555" w:rsidRPr="009E06AA" w:rsidRDefault="00465555" w:rsidP="00465555">
            <w:pPr>
              <w:pStyle w:val="TableText"/>
              <w:spacing w:before="30" w:after="30"/>
              <w:rPr>
                <w:rFonts w:cs="Calibri"/>
                <w:szCs w:val="16"/>
              </w:rPr>
            </w:pPr>
            <w:r w:rsidRPr="009E06AA">
              <w:rPr>
                <w:rFonts w:cs="Calibri"/>
                <w:szCs w:val="16"/>
              </w:rPr>
              <w:t>T1</w:t>
            </w:r>
          </w:p>
        </w:tc>
        <w:tc>
          <w:tcPr>
            <w:tcW w:w="794" w:type="dxa"/>
            <w:tcBorders>
              <w:left w:val="nil"/>
              <w:bottom w:val="single" w:sz="4" w:space="0" w:color="1B556B"/>
              <w:right w:val="nil"/>
            </w:tcBorders>
            <w:shd w:val="clear" w:color="auto" w:fill="auto"/>
            <w:noWrap/>
            <w:vAlign w:val="center"/>
            <w:hideMark/>
          </w:tcPr>
          <w:p w14:paraId="76720CAB" w14:textId="77777777" w:rsidR="00465555" w:rsidRPr="009E06AA" w:rsidRDefault="00465555" w:rsidP="00465555">
            <w:pPr>
              <w:pStyle w:val="TableText"/>
              <w:spacing w:before="30" w:after="30"/>
              <w:rPr>
                <w:rFonts w:cs="Calibri"/>
                <w:szCs w:val="16"/>
              </w:rPr>
            </w:pPr>
            <w:r w:rsidRPr="009E06AA">
              <w:rPr>
                <w:rFonts w:cs="Calibri"/>
                <w:szCs w:val="16"/>
              </w:rPr>
              <w:t>CS</w:t>
            </w:r>
          </w:p>
        </w:tc>
        <w:tc>
          <w:tcPr>
            <w:tcW w:w="812" w:type="dxa"/>
            <w:tcBorders>
              <w:left w:val="nil"/>
              <w:bottom w:val="single" w:sz="4" w:space="0" w:color="1B556B"/>
              <w:right w:val="nil"/>
            </w:tcBorders>
            <w:shd w:val="clear" w:color="auto" w:fill="auto"/>
            <w:noWrap/>
            <w:vAlign w:val="center"/>
            <w:hideMark/>
          </w:tcPr>
          <w:p w14:paraId="105CF6A2" w14:textId="7DA5D4C3" w:rsidR="00465555" w:rsidRPr="009E06AA" w:rsidRDefault="00465555" w:rsidP="00465555">
            <w:pPr>
              <w:pStyle w:val="TableText"/>
              <w:spacing w:before="30" w:after="30"/>
              <w:rPr>
                <w:rFonts w:cs="Calibri"/>
                <w:color w:val="FFFFFF"/>
                <w:szCs w:val="16"/>
              </w:rPr>
            </w:pPr>
            <w:r w:rsidRPr="009E06AA">
              <w:rPr>
                <w:rFonts w:cs="Calibri"/>
                <w:color w:val="FFFFFF"/>
                <w:szCs w:val="16"/>
              </w:rPr>
              <w:t>-</w:t>
            </w:r>
            <w:r w:rsidRPr="00204D2F">
              <w:rPr>
                <w:b/>
                <w:bCs/>
              </w:rPr>
              <w:t>–</w:t>
            </w:r>
          </w:p>
        </w:tc>
        <w:tc>
          <w:tcPr>
            <w:tcW w:w="812" w:type="dxa"/>
            <w:tcBorders>
              <w:left w:val="nil"/>
              <w:bottom w:val="single" w:sz="4" w:space="0" w:color="1B556B"/>
              <w:right w:val="nil"/>
            </w:tcBorders>
            <w:shd w:val="clear" w:color="auto" w:fill="auto"/>
            <w:noWrap/>
            <w:vAlign w:val="center"/>
            <w:hideMark/>
          </w:tcPr>
          <w:p w14:paraId="596E57BA" w14:textId="5DE0497B" w:rsidR="00465555" w:rsidRPr="009E06AA" w:rsidRDefault="00465555" w:rsidP="00465555">
            <w:pPr>
              <w:pStyle w:val="TableText"/>
              <w:spacing w:before="30" w:after="30"/>
              <w:rPr>
                <w:rFonts w:cs="Calibri"/>
                <w:color w:val="FFFFFF"/>
                <w:szCs w:val="16"/>
              </w:rPr>
            </w:pPr>
            <w:r w:rsidRPr="009E06AA">
              <w:rPr>
                <w:rFonts w:cs="Calibri"/>
                <w:color w:val="FFFFFF"/>
                <w:szCs w:val="16"/>
              </w:rPr>
              <w:t>-</w:t>
            </w:r>
            <w:r w:rsidRPr="00204D2F">
              <w:rPr>
                <w:b/>
                <w:bCs/>
              </w:rPr>
              <w:t>–</w:t>
            </w:r>
          </w:p>
        </w:tc>
      </w:tr>
      <w:tr w:rsidR="00465555" w:rsidRPr="009E06AA" w14:paraId="5812262A" w14:textId="77777777" w:rsidTr="00B55F24">
        <w:tc>
          <w:tcPr>
            <w:tcW w:w="320" w:type="dxa"/>
            <w:vMerge w:val="restart"/>
            <w:tcBorders>
              <w:top w:val="single" w:sz="4" w:space="0" w:color="1B556B"/>
              <w:left w:val="nil"/>
              <w:bottom w:val="single" w:sz="8" w:space="0" w:color="365F91"/>
              <w:right w:val="nil"/>
            </w:tcBorders>
            <w:shd w:val="clear" w:color="auto" w:fill="auto"/>
            <w:noWrap/>
            <w:vAlign w:val="center"/>
            <w:hideMark/>
          </w:tcPr>
          <w:p w14:paraId="1D269BB4" w14:textId="77777777" w:rsidR="00465555" w:rsidRPr="009E06AA" w:rsidRDefault="00465555" w:rsidP="00465555">
            <w:pPr>
              <w:pStyle w:val="TableText"/>
              <w:spacing w:before="30" w:after="30"/>
              <w:rPr>
                <w:rFonts w:cs="Calibri"/>
                <w:szCs w:val="16"/>
              </w:rPr>
            </w:pPr>
            <w:r w:rsidRPr="009E06AA">
              <w:rPr>
                <w:rFonts w:cs="Calibri"/>
                <w:szCs w:val="16"/>
              </w:rPr>
              <w:t>4</w:t>
            </w:r>
          </w:p>
        </w:tc>
        <w:tc>
          <w:tcPr>
            <w:tcW w:w="3366" w:type="dxa"/>
            <w:tcBorders>
              <w:top w:val="single" w:sz="4" w:space="0" w:color="1B556B"/>
              <w:left w:val="nil"/>
              <w:bottom w:val="nil"/>
              <w:right w:val="nil"/>
            </w:tcBorders>
            <w:shd w:val="clear" w:color="auto" w:fill="auto"/>
            <w:vAlign w:val="center"/>
            <w:hideMark/>
          </w:tcPr>
          <w:p w14:paraId="6D3013B1" w14:textId="77777777" w:rsidR="00465555" w:rsidRPr="009E06AA" w:rsidRDefault="00465555" w:rsidP="00465555">
            <w:pPr>
              <w:pStyle w:val="TableText"/>
              <w:spacing w:before="30" w:after="30"/>
              <w:rPr>
                <w:rFonts w:cs="Calibri"/>
                <w:szCs w:val="16"/>
              </w:rPr>
            </w:pPr>
            <w:r w:rsidRPr="009E06AA">
              <w:rPr>
                <w:rFonts w:cs="Calibri"/>
                <w:szCs w:val="16"/>
              </w:rPr>
              <w:t>Poultry</w:t>
            </w:r>
          </w:p>
        </w:tc>
        <w:tc>
          <w:tcPr>
            <w:tcW w:w="850" w:type="dxa"/>
            <w:tcBorders>
              <w:top w:val="single" w:sz="4" w:space="0" w:color="1B556B"/>
              <w:left w:val="nil"/>
              <w:bottom w:val="nil"/>
              <w:right w:val="nil"/>
            </w:tcBorders>
            <w:shd w:val="clear" w:color="auto" w:fill="auto"/>
            <w:noWrap/>
            <w:vAlign w:val="center"/>
            <w:hideMark/>
          </w:tcPr>
          <w:p w14:paraId="68705C31" w14:textId="77777777" w:rsidR="00465555" w:rsidRPr="009E06AA" w:rsidRDefault="00465555" w:rsidP="00465555">
            <w:pPr>
              <w:pStyle w:val="TableText"/>
              <w:spacing w:before="30" w:after="30"/>
              <w:rPr>
                <w:rFonts w:cs="Calibri"/>
                <w:szCs w:val="16"/>
              </w:rPr>
            </w:pPr>
            <w:r w:rsidRPr="009E06AA">
              <w:rPr>
                <w:rFonts w:cs="Calibri"/>
                <w:szCs w:val="16"/>
              </w:rPr>
              <w:t>T1</w:t>
            </w:r>
          </w:p>
        </w:tc>
        <w:tc>
          <w:tcPr>
            <w:tcW w:w="851" w:type="dxa"/>
            <w:tcBorders>
              <w:top w:val="single" w:sz="4" w:space="0" w:color="1B556B"/>
              <w:left w:val="nil"/>
              <w:bottom w:val="nil"/>
              <w:right w:val="nil"/>
            </w:tcBorders>
            <w:shd w:val="clear" w:color="auto" w:fill="auto"/>
            <w:noWrap/>
            <w:vAlign w:val="center"/>
            <w:hideMark/>
          </w:tcPr>
          <w:p w14:paraId="398DBD69" w14:textId="77777777" w:rsidR="00465555" w:rsidRPr="009E06AA" w:rsidRDefault="00465555" w:rsidP="00465555">
            <w:pPr>
              <w:pStyle w:val="TableText"/>
              <w:spacing w:before="30" w:after="30"/>
              <w:rPr>
                <w:rFonts w:cs="Calibri"/>
                <w:szCs w:val="16"/>
              </w:rPr>
            </w:pPr>
            <w:r w:rsidRPr="009E06AA">
              <w:rPr>
                <w:rFonts w:cs="Calibri"/>
                <w:szCs w:val="16"/>
              </w:rPr>
              <w:t>D</w:t>
            </w:r>
          </w:p>
        </w:tc>
        <w:tc>
          <w:tcPr>
            <w:tcW w:w="709" w:type="dxa"/>
            <w:tcBorders>
              <w:top w:val="single" w:sz="4" w:space="0" w:color="1B556B"/>
              <w:left w:val="nil"/>
              <w:bottom w:val="nil"/>
              <w:right w:val="nil"/>
            </w:tcBorders>
            <w:shd w:val="clear" w:color="auto" w:fill="auto"/>
            <w:noWrap/>
            <w:vAlign w:val="center"/>
            <w:hideMark/>
          </w:tcPr>
          <w:p w14:paraId="0DA8376B" w14:textId="77777777" w:rsidR="00465555" w:rsidRPr="009E06AA" w:rsidRDefault="00465555" w:rsidP="00465555">
            <w:pPr>
              <w:pStyle w:val="TableText"/>
              <w:spacing w:before="30" w:after="30"/>
              <w:rPr>
                <w:rFonts w:cs="Calibri"/>
                <w:szCs w:val="16"/>
              </w:rPr>
            </w:pPr>
            <w:r w:rsidRPr="009E06AA">
              <w:rPr>
                <w:rFonts w:cs="Calibri"/>
                <w:szCs w:val="16"/>
              </w:rPr>
              <w:t>T1</w:t>
            </w:r>
          </w:p>
        </w:tc>
        <w:tc>
          <w:tcPr>
            <w:tcW w:w="794" w:type="dxa"/>
            <w:tcBorders>
              <w:top w:val="single" w:sz="4" w:space="0" w:color="1B556B"/>
              <w:left w:val="nil"/>
              <w:bottom w:val="nil"/>
              <w:right w:val="nil"/>
            </w:tcBorders>
            <w:shd w:val="clear" w:color="auto" w:fill="auto"/>
            <w:noWrap/>
            <w:vAlign w:val="center"/>
            <w:hideMark/>
          </w:tcPr>
          <w:p w14:paraId="0962C849" w14:textId="77777777" w:rsidR="00465555" w:rsidRPr="009E06AA" w:rsidRDefault="00465555" w:rsidP="00465555">
            <w:pPr>
              <w:pStyle w:val="TableText"/>
              <w:spacing w:before="30" w:after="30"/>
              <w:rPr>
                <w:rFonts w:cs="Calibri"/>
                <w:szCs w:val="16"/>
              </w:rPr>
            </w:pPr>
            <w:r w:rsidRPr="009E06AA">
              <w:rPr>
                <w:rFonts w:cs="Calibri"/>
                <w:szCs w:val="16"/>
              </w:rPr>
              <w:t>CS</w:t>
            </w:r>
          </w:p>
        </w:tc>
        <w:tc>
          <w:tcPr>
            <w:tcW w:w="812" w:type="dxa"/>
            <w:tcBorders>
              <w:top w:val="single" w:sz="4" w:space="0" w:color="1B556B"/>
              <w:left w:val="nil"/>
              <w:bottom w:val="nil"/>
              <w:right w:val="nil"/>
            </w:tcBorders>
            <w:shd w:val="clear" w:color="auto" w:fill="auto"/>
            <w:noWrap/>
            <w:vAlign w:val="center"/>
            <w:hideMark/>
          </w:tcPr>
          <w:p w14:paraId="2DAA45C7" w14:textId="006FCB47" w:rsidR="00465555" w:rsidRPr="009E06AA" w:rsidRDefault="00465555" w:rsidP="00465555">
            <w:pPr>
              <w:pStyle w:val="TableText"/>
              <w:spacing w:before="30" w:after="30"/>
              <w:rPr>
                <w:rFonts w:cs="Calibri"/>
                <w:color w:val="FFFFFF"/>
                <w:szCs w:val="16"/>
              </w:rPr>
            </w:pPr>
            <w:r w:rsidRPr="009E06AA">
              <w:rPr>
                <w:rFonts w:cs="Calibri"/>
                <w:color w:val="FFFFFF"/>
                <w:szCs w:val="16"/>
              </w:rPr>
              <w:t>-</w:t>
            </w:r>
            <w:r w:rsidRPr="00204D2F">
              <w:rPr>
                <w:b/>
                <w:bCs/>
              </w:rPr>
              <w:t>–</w:t>
            </w:r>
          </w:p>
        </w:tc>
        <w:tc>
          <w:tcPr>
            <w:tcW w:w="812" w:type="dxa"/>
            <w:tcBorders>
              <w:top w:val="single" w:sz="4" w:space="0" w:color="1B556B"/>
              <w:left w:val="nil"/>
              <w:bottom w:val="nil"/>
              <w:right w:val="nil"/>
            </w:tcBorders>
            <w:shd w:val="clear" w:color="auto" w:fill="auto"/>
            <w:noWrap/>
            <w:vAlign w:val="center"/>
            <w:hideMark/>
          </w:tcPr>
          <w:p w14:paraId="7843B20A" w14:textId="5BD6233B" w:rsidR="00465555" w:rsidRPr="009E06AA" w:rsidRDefault="00465555" w:rsidP="00465555">
            <w:pPr>
              <w:pStyle w:val="TableText"/>
              <w:spacing w:before="30" w:after="30"/>
              <w:rPr>
                <w:rFonts w:cs="Calibri"/>
                <w:color w:val="FFFFFF"/>
                <w:szCs w:val="16"/>
              </w:rPr>
            </w:pPr>
            <w:r w:rsidRPr="009E06AA">
              <w:rPr>
                <w:rFonts w:cs="Calibri"/>
                <w:color w:val="FFFFFF"/>
                <w:szCs w:val="16"/>
              </w:rPr>
              <w:t>-</w:t>
            </w:r>
            <w:r w:rsidRPr="00204D2F">
              <w:rPr>
                <w:b/>
                <w:bCs/>
              </w:rPr>
              <w:t>–</w:t>
            </w:r>
          </w:p>
        </w:tc>
      </w:tr>
      <w:tr w:rsidR="00465555" w:rsidRPr="009E06AA" w14:paraId="1E2D7A79" w14:textId="77777777" w:rsidTr="00B55F24">
        <w:tc>
          <w:tcPr>
            <w:tcW w:w="320" w:type="dxa"/>
            <w:vMerge/>
            <w:tcBorders>
              <w:top w:val="nil"/>
              <w:left w:val="nil"/>
              <w:bottom w:val="single" w:sz="4" w:space="0" w:color="1B556B"/>
              <w:right w:val="nil"/>
            </w:tcBorders>
            <w:vAlign w:val="center"/>
            <w:hideMark/>
          </w:tcPr>
          <w:p w14:paraId="4B4EEEE7" w14:textId="77777777" w:rsidR="00465555" w:rsidRPr="009E06AA" w:rsidRDefault="00465555" w:rsidP="00465555">
            <w:pPr>
              <w:pStyle w:val="TableText"/>
              <w:spacing w:before="30" w:after="30"/>
              <w:rPr>
                <w:rFonts w:cs="Calibri"/>
                <w:szCs w:val="16"/>
              </w:rPr>
            </w:pPr>
          </w:p>
        </w:tc>
        <w:tc>
          <w:tcPr>
            <w:tcW w:w="3366" w:type="dxa"/>
            <w:tcBorders>
              <w:top w:val="nil"/>
              <w:left w:val="nil"/>
              <w:bottom w:val="single" w:sz="4" w:space="0" w:color="1B556B"/>
              <w:right w:val="nil"/>
            </w:tcBorders>
            <w:shd w:val="clear" w:color="auto" w:fill="auto"/>
            <w:vAlign w:val="center"/>
            <w:hideMark/>
          </w:tcPr>
          <w:p w14:paraId="2E2FDEFF" w14:textId="77777777" w:rsidR="00465555" w:rsidRPr="009E06AA" w:rsidRDefault="00465555" w:rsidP="00465555">
            <w:pPr>
              <w:pStyle w:val="TableText"/>
              <w:spacing w:before="30" w:after="30"/>
              <w:rPr>
                <w:rFonts w:cs="Calibri"/>
                <w:szCs w:val="16"/>
              </w:rPr>
            </w:pPr>
            <w:r w:rsidRPr="009E06AA">
              <w:rPr>
                <w:rFonts w:cs="Calibri"/>
                <w:szCs w:val="16"/>
              </w:rPr>
              <w:t>Other Livestock (Buffalo, Camels, Deer, Goats, Horses, Mules and Asses)</w:t>
            </w:r>
          </w:p>
        </w:tc>
        <w:tc>
          <w:tcPr>
            <w:tcW w:w="850" w:type="dxa"/>
            <w:tcBorders>
              <w:top w:val="nil"/>
              <w:left w:val="nil"/>
              <w:bottom w:val="single" w:sz="4" w:space="0" w:color="1B556B"/>
              <w:right w:val="nil"/>
            </w:tcBorders>
            <w:shd w:val="clear" w:color="auto" w:fill="auto"/>
            <w:noWrap/>
            <w:vAlign w:val="center"/>
            <w:hideMark/>
          </w:tcPr>
          <w:p w14:paraId="7D8AB69F" w14:textId="77777777" w:rsidR="00465555" w:rsidRPr="009E06AA" w:rsidRDefault="00465555" w:rsidP="00465555">
            <w:pPr>
              <w:pStyle w:val="TableText"/>
              <w:spacing w:before="30" w:after="30"/>
              <w:rPr>
                <w:rFonts w:cs="Calibri"/>
                <w:szCs w:val="16"/>
              </w:rPr>
            </w:pPr>
            <w:r w:rsidRPr="009E06AA">
              <w:rPr>
                <w:rFonts w:cs="Calibri"/>
                <w:szCs w:val="16"/>
              </w:rPr>
              <w:t>T1, T2</w:t>
            </w:r>
          </w:p>
        </w:tc>
        <w:tc>
          <w:tcPr>
            <w:tcW w:w="851" w:type="dxa"/>
            <w:tcBorders>
              <w:top w:val="nil"/>
              <w:left w:val="nil"/>
              <w:bottom w:val="single" w:sz="4" w:space="0" w:color="1B556B"/>
              <w:right w:val="nil"/>
            </w:tcBorders>
            <w:shd w:val="clear" w:color="auto" w:fill="auto"/>
            <w:noWrap/>
            <w:vAlign w:val="center"/>
            <w:hideMark/>
          </w:tcPr>
          <w:p w14:paraId="4D8CF7BC" w14:textId="77777777" w:rsidR="00465555" w:rsidRPr="009E06AA" w:rsidRDefault="00465555" w:rsidP="00465555">
            <w:pPr>
              <w:pStyle w:val="TableText"/>
              <w:spacing w:before="30" w:after="30"/>
              <w:rPr>
                <w:rFonts w:cs="Calibri"/>
                <w:szCs w:val="16"/>
              </w:rPr>
            </w:pPr>
            <w:r w:rsidRPr="009E06AA">
              <w:rPr>
                <w:rFonts w:cs="Calibri"/>
                <w:szCs w:val="16"/>
              </w:rPr>
              <w:t>CS, D</w:t>
            </w:r>
          </w:p>
        </w:tc>
        <w:tc>
          <w:tcPr>
            <w:tcW w:w="709" w:type="dxa"/>
            <w:tcBorders>
              <w:top w:val="nil"/>
              <w:left w:val="nil"/>
              <w:bottom w:val="single" w:sz="4" w:space="0" w:color="1B556B"/>
              <w:right w:val="nil"/>
            </w:tcBorders>
            <w:shd w:val="clear" w:color="auto" w:fill="auto"/>
            <w:noWrap/>
            <w:vAlign w:val="center"/>
            <w:hideMark/>
          </w:tcPr>
          <w:p w14:paraId="3408B872" w14:textId="77777777" w:rsidR="00465555" w:rsidRPr="009E06AA" w:rsidRDefault="00465555" w:rsidP="00465555">
            <w:pPr>
              <w:pStyle w:val="TableText"/>
              <w:spacing w:before="30" w:after="30"/>
              <w:rPr>
                <w:rFonts w:cs="Calibri"/>
                <w:szCs w:val="16"/>
              </w:rPr>
            </w:pPr>
            <w:r w:rsidRPr="009E06AA">
              <w:rPr>
                <w:rFonts w:cs="Calibri"/>
                <w:szCs w:val="16"/>
              </w:rPr>
              <w:t>NA</w:t>
            </w:r>
          </w:p>
        </w:tc>
        <w:tc>
          <w:tcPr>
            <w:tcW w:w="794" w:type="dxa"/>
            <w:tcBorders>
              <w:top w:val="nil"/>
              <w:left w:val="nil"/>
              <w:bottom w:val="single" w:sz="4" w:space="0" w:color="1B556B"/>
              <w:right w:val="nil"/>
            </w:tcBorders>
            <w:shd w:val="clear" w:color="auto" w:fill="auto"/>
            <w:noWrap/>
            <w:vAlign w:val="center"/>
            <w:hideMark/>
          </w:tcPr>
          <w:p w14:paraId="4D98BC63" w14:textId="77777777" w:rsidR="00465555" w:rsidRPr="009E06AA" w:rsidRDefault="00465555" w:rsidP="00465555">
            <w:pPr>
              <w:pStyle w:val="TableText"/>
              <w:spacing w:before="30" w:after="30"/>
              <w:rPr>
                <w:rFonts w:cs="Calibri"/>
                <w:szCs w:val="16"/>
              </w:rPr>
            </w:pPr>
            <w:r w:rsidRPr="009E06AA">
              <w:rPr>
                <w:rFonts w:cs="Calibri"/>
                <w:szCs w:val="16"/>
              </w:rPr>
              <w:t>NA</w:t>
            </w:r>
          </w:p>
        </w:tc>
        <w:tc>
          <w:tcPr>
            <w:tcW w:w="812" w:type="dxa"/>
            <w:tcBorders>
              <w:top w:val="nil"/>
              <w:left w:val="nil"/>
              <w:bottom w:val="single" w:sz="4" w:space="0" w:color="1B556B"/>
              <w:right w:val="nil"/>
            </w:tcBorders>
            <w:shd w:val="clear" w:color="auto" w:fill="auto"/>
            <w:noWrap/>
            <w:vAlign w:val="center"/>
            <w:hideMark/>
          </w:tcPr>
          <w:p w14:paraId="77800D09" w14:textId="4112705E" w:rsidR="00465555" w:rsidRPr="00417017" w:rsidRDefault="00465555" w:rsidP="00465555">
            <w:pPr>
              <w:pStyle w:val="TableText"/>
              <w:spacing w:before="30" w:after="30"/>
              <w:rPr>
                <w:rFonts w:cs="Calibri"/>
                <w:b/>
                <w:bCs/>
                <w:color w:val="FFFFFF"/>
                <w:szCs w:val="16"/>
              </w:rPr>
            </w:pPr>
            <w:r w:rsidRPr="009E06AA">
              <w:rPr>
                <w:rFonts w:cs="Calibri"/>
                <w:color w:val="FFFFFF"/>
                <w:szCs w:val="16"/>
              </w:rPr>
              <w:t>-</w:t>
            </w:r>
            <w:r w:rsidRPr="00204D2F">
              <w:rPr>
                <w:b/>
                <w:bCs/>
              </w:rPr>
              <w:t>–</w:t>
            </w:r>
          </w:p>
        </w:tc>
        <w:tc>
          <w:tcPr>
            <w:tcW w:w="812" w:type="dxa"/>
            <w:tcBorders>
              <w:top w:val="nil"/>
              <w:left w:val="nil"/>
              <w:bottom w:val="single" w:sz="4" w:space="0" w:color="1B556B"/>
              <w:right w:val="nil"/>
            </w:tcBorders>
            <w:shd w:val="clear" w:color="auto" w:fill="auto"/>
            <w:noWrap/>
            <w:vAlign w:val="center"/>
            <w:hideMark/>
          </w:tcPr>
          <w:p w14:paraId="068101C4" w14:textId="7B6D9498" w:rsidR="00465555" w:rsidRPr="009E06AA" w:rsidRDefault="00465555" w:rsidP="00465555">
            <w:pPr>
              <w:pStyle w:val="TableText"/>
              <w:spacing w:before="30" w:after="30"/>
              <w:rPr>
                <w:rFonts w:cs="Calibri"/>
                <w:color w:val="FFFFFF"/>
                <w:szCs w:val="16"/>
              </w:rPr>
            </w:pPr>
            <w:r w:rsidRPr="009E06AA">
              <w:rPr>
                <w:rFonts w:cs="Calibri"/>
                <w:color w:val="FFFFFF"/>
                <w:szCs w:val="16"/>
              </w:rPr>
              <w:t>-</w:t>
            </w:r>
            <w:r w:rsidRPr="00204D2F">
              <w:rPr>
                <w:b/>
                <w:bCs/>
              </w:rPr>
              <w:t>–</w:t>
            </w:r>
          </w:p>
        </w:tc>
      </w:tr>
      <w:tr w:rsidR="00465555" w:rsidRPr="009E06AA" w14:paraId="406ABC1E" w14:textId="77777777" w:rsidTr="00B55F24">
        <w:tc>
          <w:tcPr>
            <w:tcW w:w="320" w:type="dxa"/>
            <w:tcBorders>
              <w:top w:val="single" w:sz="4" w:space="0" w:color="1B556B"/>
              <w:left w:val="nil"/>
              <w:bottom w:val="single" w:sz="4" w:space="0" w:color="1B556B"/>
              <w:right w:val="nil"/>
            </w:tcBorders>
            <w:shd w:val="clear" w:color="auto" w:fill="auto"/>
            <w:noWrap/>
            <w:vAlign w:val="center"/>
            <w:hideMark/>
          </w:tcPr>
          <w:p w14:paraId="51C02542" w14:textId="77777777" w:rsidR="00465555" w:rsidRPr="009E06AA" w:rsidRDefault="00465555" w:rsidP="00465555">
            <w:pPr>
              <w:pStyle w:val="TableText"/>
              <w:spacing w:before="30" w:after="30"/>
              <w:rPr>
                <w:rFonts w:cs="Calibri"/>
                <w:b/>
                <w:bCs/>
                <w:szCs w:val="16"/>
              </w:rPr>
            </w:pPr>
            <w:r w:rsidRPr="009E06AA">
              <w:rPr>
                <w:rFonts w:cs="Calibri"/>
                <w:b/>
                <w:bCs/>
                <w:szCs w:val="16"/>
              </w:rPr>
              <w:t>C</w:t>
            </w:r>
          </w:p>
        </w:tc>
        <w:tc>
          <w:tcPr>
            <w:tcW w:w="3366" w:type="dxa"/>
            <w:tcBorders>
              <w:top w:val="single" w:sz="4" w:space="0" w:color="1B556B"/>
              <w:left w:val="nil"/>
              <w:bottom w:val="single" w:sz="4" w:space="0" w:color="1B556B"/>
              <w:right w:val="nil"/>
            </w:tcBorders>
            <w:shd w:val="clear" w:color="auto" w:fill="auto"/>
            <w:vAlign w:val="center"/>
            <w:hideMark/>
          </w:tcPr>
          <w:p w14:paraId="536242BF" w14:textId="77777777" w:rsidR="00465555" w:rsidRPr="009E06AA" w:rsidRDefault="00465555" w:rsidP="00465555">
            <w:pPr>
              <w:pStyle w:val="TableText"/>
              <w:spacing w:before="30" w:after="30"/>
              <w:rPr>
                <w:rFonts w:cs="Calibri"/>
                <w:b/>
                <w:bCs/>
                <w:szCs w:val="16"/>
              </w:rPr>
            </w:pPr>
            <w:r w:rsidRPr="009E06AA">
              <w:rPr>
                <w:rFonts w:cs="Calibri"/>
                <w:b/>
                <w:bCs/>
                <w:szCs w:val="16"/>
              </w:rPr>
              <w:t>Rice Cultivation</w:t>
            </w:r>
          </w:p>
        </w:tc>
        <w:tc>
          <w:tcPr>
            <w:tcW w:w="850" w:type="dxa"/>
            <w:tcBorders>
              <w:top w:val="single" w:sz="4" w:space="0" w:color="1B556B"/>
              <w:left w:val="nil"/>
              <w:bottom w:val="single" w:sz="4" w:space="0" w:color="1B556B"/>
              <w:right w:val="nil"/>
            </w:tcBorders>
            <w:shd w:val="clear" w:color="auto" w:fill="auto"/>
            <w:noWrap/>
            <w:vAlign w:val="center"/>
            <w:hideMark/>
          </w:tcPr>
          <w:p w14:paraId="7BA77732" w14:textId="77777777" w:rsidR="00465555" w:rsidRPr="009E06AA" w:rsidRDefault="00465555" w:rsidP="00465555">
            <w:pPr>
              <w:pStyle w:val="TableText"/>
              <w:spacing w:before="30" w:after="30"/>
              <w:rPr>
                <w:rFonts w:cs="Calibri"/>
                <w:szCs w:val="16"/>
              </w:rPr>
            </w:pPr>
            <w:r w:rsidRPr="009E06AA">
              <w:rPr>
                <w:rFonts w:cs="Calibri"/>
                <w:szCs w:val="16"/>
              </w:rPr>
              <w:t>NA</w:t>
            </w:r>
          </w:p>
        </w:tc>
        <w:tc>
          <w:tcPr>
            <w:tcW w:w="851" w:type="dxa"/>
            <w:tcBorders>
              <w:top w:val="single" w:sz="4" w:space="0" w:color="1B556B"/>
              <w:left w:val="nil"/>
              <w:bottom w:val="single" w:sz="4" w:space="0" w:color="1B556B"/>
              <w:right w:val="nil"/>
            </w:tcBorders>
            <w:shd w:val="clear" w:color="auto" w:fill="auto"/>
            <w:noWrap/>
            <w:vAlign w:val="center"/>
            <w:hideMark/>
          </w:tcPr>
          <w:p w14:paraId="6294A2E3" w14:textId="77777777" w:rsidR="00465555" w:rsidRPr="009E06AA" w:rsidRDefault="00465555" w:rsidP="00465555">
            <w:pPr>
              <w:pStyle w:val="TableText"/>
              <w:spacing w:before="30" w:after="30"/>
              <w:rPr>
                <w:rFonts w:cs="Calibri"/>
                <w:szCs w:val="16"/>
              </w:rPr>
            </w:pPr>
            <w:r w:rsidRPr="009E06AA">
              <w:rPr>
                <w:rFonts w:cs="Calibri"/>
                <w:szCs w:val="16"/>
              </w:rPr>
              <w:t>NA</w:t>
            </w:r>
          </w:p>
        </w:tc>
        <w:tc>
          <w:tcPr>
            <w:tcW w:w="709" w:type="dxa"/>
            <w:tcBorders>
              <w:top w:val="single" w:sz="4" w:space="0" w:color="1B556B"/>
              <w:left w:val="nil"/>
              <w:bottom w:val="single" w:sz="4" w:space="0" w:color="1B556B"/>
              <w:right w:val="nil"/>
            </w:tcBorders>
            <w:shd w:val="clear" w:color="auto" w:fill="auto"/>
            <w:noWrap/>
            <w:vAlign w:val="center"/>
            <w:hideMark/>
          </w:tcPr>
          <w:p w14:paraId="7B39C3B1" w14:textId="35EA923E" w:rsidR="00465555" w:rsidRPr="009E06AA" w:rsidRDefault="00465555" w:rsidP="00465555">
            <w:pPr>
              <w:pStyle w:val="TableText"/>
              <w:spacing w:before="30" w:after="30"/>
              <w:rPr>
                <w:rFonts w:cs="Calibri"/>
                <w:color w:val="FFFFFF"/>
                <w:szCs w:val="16"/>
              </w:rPr>
            </w:pPr>
            <w:r w:rsidRPr="009E06AA">
              <w:rPr>
                <w:rFonts w:cs="Calibri"/>
                <w:color w:val="FFFFFF"/>
                <w:szCs w:val="16"/>
              </w:rPr>
              <w:t>-</w:t>
            </w:r>
            <w:r w:rsidRPr="00204D2F">
              <w:rPr>
                <w:b/>
                <w:bCs/>
              </w:rPr>
              <w:t>–</w:t>
            </w:r>
          </w:p>
        </w:tc>
        <w:tc>
          <w:tcPr>
            <w:tcW w:w="794" w:type="dxa"/>
            <w:tcBorders>
              <w:top w:val="single" w:sz="4" w:space="0" w:color="1B556B"/>
              <w:left w:val="nil"/>
              <w:bottom w:val="single" w:sz="4" w:space="0" w:color="1B556B"/>
              <w:right w:val="nil"/>
            </w:tcBorders>
            <w:shd w:val="clear" w:color="auto" w:fill="auto"/>
            <w:noWrap/>
            <w:vAlign w:val="center"/>
            <w:hideMark/>
          </w:tcPr>
          <w:p w14:paraId="72154659" w14:textId="02F9144B" w:rsidR="00465555" w:rsidRPr="009E06AA" w:rsidRDefault="00465555" w:rsidP="00465555">
            <w:pPr>
              <w:pStyle w:val="TableText"/>
              <w:spacing w:before="30" w:after="30"/>
              <w:rPr>
                <w:rFonts w:cs="Calibri"/>
                <w:color w:val="FFFFFF"/>
                <w:szCs w:val="16"/>
              </w:rPr>
            </w:pPr>
            <w:r w:rsidRPr="009E06AA">
              <w:rPr>
                <w:rFonts w:cs="Calibri"/>
                <w:color w:val="FFFFFF"/>
                <w:szCs w:val="16"/>
              </w:rPr>
              <w:t>-</w:t>
            </w:r>
            <w:r w:rsidRPr="00204D2F">
              <w:rPr>
                <w:b/>
                <w:bCs/>
              </w:rPr>
              <w:t>–</w:t>
            </w:r>
          </w:p>
        </w:tc>
        <w:tc>
          <w:tcPr>
            <w:tcW w:w="812" w:type="dxa"/>
            <w:tcBorders>
              <w:top w:val="single" w:sz="4" w:space="0" w:color="1B556B"/>
              <w:left w:val="nil"/>
              <w:bottom w:val="single" w:sz="4" w:space="0" w:color="1B556B"/>
              <w:right w:val="nil"/>
            </w:tcBorders>
            <w:shd w:val="clear" w:color="auto" w:fill="auto"/>
            <w:noWrap/>
            <w:vAlign w:val="center"/>
            <w:hideMark/>
          </w:tcPr>
          <w:p w14:paraId="3538B7A6" w14:textId="288C2477" w:rsidR="00465555" w:rsidRPr="009E06AA" w:rsidRDefault="00465555" w:rsidP="00465555">
            <w:pPr>
              <w:pStyle w:val="TableText"/>
              <w:spacing w:before="30" w:after="30"/>
              <w:rPr>
                <w:rFonts w:cs="Calibri"/>
                <w:color w:val="FFFFFF"/>
                <w:szCs w:val="16"/>
              </w:rPr>
            </w:pPr>
            <w:r w:rsidRPr="009E06AA">
              <w:rPr>
                <w:rFonts w:cs="Calibri"/>
                <w:color w:val="FFFFFF"/>
                <w:szCs w:val="16"/>
              </w:rPr>
              <w:t>-</w:t>
            </w:r>
            <w:r w:rsidRPr="00204D2F">
              <w:rPr>
                <w:b/>
                <w:bCs/>
              </w:rPr>
              <w:t>–</w:t>
            </w:r>
          </w:p>
        </w:tc>
        <w:tc>
          <w:tcPr>
            <w:tcW w:w="812" w:type="dxa"/>
            <w:tcBorders>
              <w:top w:val="single" w:sz="4" w:space="0" w:color="1B556B"/>
              <w:left w:val="nil"/>
              <w:bottom w:val="single" w:sz="4" w:space="0" w:color="1B556B"/>
              <w:right w:val="nil"/>
            </w:tcBorders>
            <w:shd w:val="clear" w:color="auto" w:fill="auto"/>
            <w:noWrap/>
            <w:vAlign w:val="center"/>
            <w:hideMark/>
          </w:tcPr>
          <w:p w14:paraId="5BEA23C2" w14:textId="235FAAF2" w:rsidR="00465555" w:rsidRPr="009E06AA" w:rsidRDefault="00465555" w:rsidP="00465555">
            <w:pPr>
              <w:pStyle w:val="TableText"/>
              <w:spacing w:before="30" w:after="30"/>
              <w:rPr>
                <w:rFonts w:cs="Calibri"/>
                <w:color w:val="FFFFFF"/>
                <w:szCs w:val="16"/>
              </w:rPr>
            </w:pPr>
            <w:r w:rsidRPr="009E06AA">
              <w:rPr>
                <w:rFonts w:cs="Calibri"/>
                <w:color w:val="FFFFFF"/>
                <w:szCs w:val="16"/>
              </w:rPr>
              <w:t>-</w:t>
            </w:r>
            <w:r w:rsidRPr="00204D2F">
              <w:rPr>
                <w:b/>
                <w:bCs/>
              </w:rPr>
              <w:t>–</w:t>
            </w:r>
          </w:p>
        </w:tc>
      </w:tr>
      <w:tr w:rsidR="00465555" w:rsidRPr="009E06AA" w14:paraId="5A948C96" w14:textId="77777777" w:rsidTr="00B55F24">
        <w:tc>
          <w:tcPr>
            <w:tcW w:w="320" w:type="dxa"/>
            <w:tcBorders>
              <w:top w:val="single" w:sz="4" w:space="0" w:color="1B556B"/>
              <w:left w:val="nil"/>
              <w:bottom w:val="single" w:sz="4" w:space="0" w:color="1B556B"/>
              <w:right w:val="nil"/>
            </w:tcBorders>
            <w:shd w:val="clear" w:color="auto" w:fill="auto"/>
            <w:noWrap/>
            <w:vAlign w:val="center"/>
            <w:hideMark/>
          </w:tcPr>
          <w:p w14:paraId="59BFA14A" w14:textId="77777777" w:rsidR="00465555" w:rsidRPr="009E06AA" w:rsidRDefault="00465555" w:rsidP="00465555">
            <w:pPr>
              <w:pStyle w:val="TableText"/>
              <w:spacing w:before="30" w:after="30"/>
              <w:rPr>
                <w:rFonts w:cs="Calibri"/>
                <w:b/>
                <w:bCs/>
                <w:szCs w:val="16"/>
              </w:rPr>
            </w:pPr>
            <w:r w:rsidRPr="009E06AA">
              <w:rPr>
                <w:rFonts w:cs="Calibri"/>
                <w:b/>
                <w:bCs/>
                <w:szCs w:val="16"/>
              </w:rPr>
              <w:t>D</w:t>
            </w:r>
          </w:p>
        </w:tc>
        <w:tc>
          <w:tcPr>
            <w:tcW w:w="3366" w:type="dxa"/>
            <w:tcBorders>
              <w:top w:val="single" w:sz="4" w:space="0" w:color="1B556B"/>
              <w:left w:val="nil"/>
              <w:bottom w:val="single" w:sz="4" w:space="0" w:color="1B556B"/>
              <w:right w:val="nil"/>
            </w:tcBorders>
            <w:shd w:val="clear" w:color="auto" w:fill="auto"/>
            <w:vAlign w:val="center"/>
            <w:hideMark/>
          </w:tcPr>
          <w:p w14:paraId="279B7E48" w14:textId="77777777" w:rsidR="00465555" w:rsidRPr="009E06AA" w:rsidRDefault="00465555" w:rsidP="00465555">
            <w:pPr>
              <w:pStyle w:val="TableText"/>
              <w:spacing w:before="30" w:after="30"/>
              <w:rPr>
                <w:rFonts w:cs="Calibri"/>
                <w:b/>
                <w:bCs/>
                <w:szCs w:val="16"/>
              </w:rPr>
            </w:pPr>
            <w:r w:rsidRPr="009E06AA">
              <w:rPr>
                <w:rFonts w:cs="Calibri"/>
                <w:b/>
                <w:bCs/>
                <w:szCs w:val="16"/>
              </w:rPr>
              <w:t>Agricultural Soils</w:t>
            </w:r>
          </w:p>
        </w:tc>
        <w:tc>
          <w:tcPr>
            <w:tcW w:w="850" w:type="dxa"/>
            <w:tcBorders>
              <w:top w:val="single" w:sz="4" w:space="0" w:color="1B556B"/>
              <w:left w:val="nil"/>
              <w:bottom w:val="single" w:sz="4" w:space="0" w:color="1B556B"/>
              <w:right w:val="nil"/>
            </w:tcBorders>
            <w:shd w:val="clear" w:color="auto" w:fill="auto"/>
            <w:noWrap/>
            <w:vAlign w:val="center"/>
            <w:hideMark/>
          </w:tcPr>
          <w:p w14:paraId="1348674D" w14:textId="77777777" w:rsidR="00465555" w:rsidRPr="009E06AA" w:rsidRDefault="00465555" w:rsidP="00465555">
            <w:pPr>
              <w:pStyle w:val="TableText"/>
              <w:spacing w:before="30" w:after="30"/>
              <w:rPr>
                <w:rFonts w:cs="Calibri"/>
                <w:color w:val="FFFFFF"/>
                <w:szCs w:val="16"/>
              </w:rPr>
            </w:pPr>
            <w:r w:rsidRPr="009E06AA">
              <w:rPr>
                <w:rFonts w:cs="Calibri"/>
                <w:color w:val="FFFFFF"/>
                <w:szCs w:val="16"/>
              </w:rPr>
              <w:t>-</w:t>
            </w:r>
          </w:p>
        </w:tc>
        <w:tc>
          <w:tcPr>
            <w:tcW w:w="851" w:type="dxa"/>
            <w:tcBorders>
              <w:top w:val="single" w:sz="4" w:space="0" w:color="1B556B"/>
              <w:left w:val="nil"/>
              <w:bottom w:val="single" w:sz="4" w:space="0" w:color="1B556B"/>
              <w:right w:val="nil"/>
            </w:tcBorders>
            <w:shd w:val="clear" w:color="auto" w:fill="auto"/>
            <w:noWrap/>
            <w:vAlign w:val="center"/>
            <w:hideMark/>
          </w:tcPr>
          <w:p w14:paraId="5BAFB1F7" w14:textId="77777777" w:rsidR="00465555" w:rsidRPr="009E06AA" w:rsidRDefault="00465555" w:rsidP="00465555">
            <w:pPr>
              <w:pStyle w:val="TableText"/>
              <w:spacing w:before="30" w:after="30"/>
              <w:rPr>
                <w:rFonts w:cs="Calibri"/>
                <w:color w:val="FFFFFF"/>
                <w:szCs w:val="16"/>
              </w:rPr>
            </w:pPr>
            <w:r w:rsidRPr="009E06AA">
              <w:rPr>
                <w:rFonts w:cs="Calibri"/>
                <w:color w:val="FFFFFF"/>
                <w:szCs w:val="16"/>
              </w:rPr>
              <w:t>-</w:t>
            </w:r>
          </w:p>
        </w:tc>
        <w:tc>
          <w:tcPr>
            <w:tcW w:w="709" w:type="dxa"/>
            <w:tcBorders>
              <w:top w:val="single" w:sz="4" w:space="0" w:color="1B556B"/>
              <w:left w:val="nil"/>
              <w:bottom w:val="single" w:sz="4" w:space="0" w:color="1B556B"/>
              <w:right w:val="nil"/>
            </w:tcBorders>
            <w:shd w:val="clear" w:color="auto" w:fill="auto"/>
            <w:noWrap/>
            <w:vAlign w:val="center"/>
            <w:hideMark/>
          </w:tcPr>
          <w:p w14:paraId="7E4B2505" w14:textId="77777777" w:rsidR="00465555" w:rsidRPr="009E06AA" w:rsidRDefault="00465555" w:rsidP="00465555">
            <w:pPr>
              <w:pStyle w:val="TableText"/>
              <w:spacing w:before="30" w:after="30"/>
              <w:rPr>
                <w:rFonts w:cs="Calibri"/>
                <w:color w:val="FFFFFF"/>
                <w:szCs w:val="16"/>
              </w:rPr>
            </w:pPr>
            <w:r w:rsidRPr="009E06AA">
              <w:rPr>
                <w:rFonts w:cs="Calibri"/>
                <w:color w:val="FFFFFF"/>
                <w:szCs w:val="16"/>
              </w:rPr>
              <w:t>-</w:t>
            </w:r>
          </w:p>
        </w:tc>
        <w:tc>
          <w:tcPr>
            <w:tcW w:w="794" w:type="dxa"/>
            <w:tcBorders>
              <w:top w:val="single" w:sz="4" w:space="0" w:color="1B556B"/>
              <w:left w:val="nil"/>
              <w:bottom w:val="single" w:sz="4" w:space="0" w:color="1B556B"/>
              <w:right w:val="nil"/>
            </w:tcBorders>
            <w:shd w:val="clear" w:color="auto" w:fill="auto"/>
            <w:noWrap/>
            <w:vAlign w:val="center"/>
            <w:hideMark/>
          </w:tcPr>
          <w:p w14:paraId="23D83E48" w14:textId="77777777" w:rsidR="00465555" w:rsidRPr="009E06AA" w:rsidRDefault="00465555" w:rsidP="00465555">
            <w:pPr>
              <w:pStyle w:val="TableText"/>
              <w:spacing w:before="30" w:after="30"/>
              <w:rPr>
                <w:rFonts w:cs="Calibri"/>
                <w:color w:val="FFFFFF"/>
                <w:szCs w:val="16"/>
              </w:rPr>
            </w:pPr>
            <w:r w:rsidRPr="009E06AA">
              <w:rPr>
                <w:rFonts w:cs="Calibri"/>
                <w:color w:val="FFFFFF"/>
                <w:szCs w:val="16"/>
              </w:rPr>
              <w:t>-</w:t>
            </w:r>
          </w:p>
        </w:tc>
        <w:tc>
          <w:tcPr>
            <w:tcW w:w="812" w:type="dxa"/>
            <w:tcBorders>
              <w:top w:val="single" w:sz="4" w:space="0" w:color="1B556B"/>
              <w:left w:val="nil"/>
              <w:bottom w:val="single" w:sz="4" w:space="0" w:color="1B556B"/>
              <w:right w:val="nil"/>
            </w:tcBorders>
            <w:shd w:val="clear" w:color="auto" w:fill="auto"/>
            <w:noWrap/>
            <w:vAlign w:val="center"/>
            <w:hideMark/>
          </w:tcPr>
          <w:p w14:paraId="39DA2799" w14:textId="77777777" w:rsidR="00465555" w:rsidRPr="009E06AA" w:rsidRDefault="00465555" w:rsidP="00465555">
            <w:pPr>
              <w:pStyle w:val="TableText"/>
              <w:spacing w:before="30" w:after="30"/>
              <w:rPr>
                <w:rFonts w:cs="Calibri"/>
                <w:color w:val="FFFFFF"/>
                <w:szCs w:val="16"/>
              </w:rPr>
            </w:pPr>
            <w:r w:rsidRPr="009E06AA">
              <w:rPr>
                <w:rFonts w:cs="Calibri"/>
                <w:color w:val="FFFFFF"/>
                <w:szCs w:val="16"/>
              </w:rPr>
              <w:t>-</w:t>
            </w:r>
          </w:p>
        </w:tc>
        <w:tc>
          <w:tcPr>
            <w:tcW w:w="812" w:type="dxa"/>
            <w:tcBorders>
              <w:top w:val="single" w:sz="4" w:space="0" w:color="1B556B"/>
              <w:left w:val="nil"/>
              <w:bottom w:val="single" w:sz="4" w:space="0" w:color="1B556B"/>
              <w:right w:val="nil"/>
            </w:tcBorders>
            <w:shd w:val="clear" w:color="auto" w:fill="auto"/>
            <w:noWrap/>
            <w:vAlign w:val="center"/>
            <w:hideMark/>
          </w:tcPr>
          <w:p w14:paraId="012DF173" w14:textId="77777777" w:rsidR="00465555" w:rsidRPr="009E06AA" w:rsidRDefault="00465555" w:rsidP="00465555">
            <w:pPr>
              <w:pStyle w:val="TableText"/>
              <w:spacing w:before="30" w:after="30"/>
              <w:rPr>
                <w:rFonts w:cs="Calibri"/>
                <w:color w:val="FFFFFF"/>
                <w:szCs w:val="16"/>
              </w:rPr>
            </w:pPr>
            <w:r w:rsidRPr="009E06AA">
              <w:rPr>
                <w:rFonts w:cs="Calibri"/>
                <w:color w:val="FFFFFF"/>
                <w:szCs w:val="16"/>
              </w:rPr>
              <w:t>-</w:t>
            </w:r>
          </w:p>
        </w:tc>
      </w:tr>
      <w:tr w:rsidR="00465555" w:rsidRPr="009E06AA" w14:paraId="40E15432" w14:textId="77777777" w:rsidTr="00B55F24">
        <w:tc>
          <w:tcPr>
            <w:tcW w:w="320" w:type="dxa"/>
            <w:vMerge w:val="restart"/>
            <w:tcBorders>
              <w:top w:val="single" w:sz="4" w:space="0" w:color="1B556B"/>
              <w:left w:val="nil"/>
              <w:right w:val="nil"/>
            </w:tcBorders>
            <w:shd w:val="clear" w:color="auto" w:fill="auto"/>
            <w:noWrap/>
            <w:vAlign w:val="center"/>
            <w:hideMark/>
          </w:tcPr>
          <w:p w14:paraId="0FE23F19" w14:textId="77777777" w:rsidR="00465555" w:rsidRPr="009E06AA" w:rsidRDefault="00465555" w:rsidP="00465555">
            <w:pPr>
              <w:pStyle w:val="TableText"/>
              <w:spacing w:before="30" w:after="30"/>
              <w:rPr>
                <w:rFonts w:cs="Calibri"/>
                <w:szCs w:val="16"/>
              </w:rPr>
            </w:pPr>
            <w:r w:rsidRPr="009E06AA">
              <w:rPr>
                <w:rFonts w:cs="Calibri"/>
                <w:szCs w:val="16"/>
              </w:rPr>
              <w:t>1</w:t>
            </w:r>
          </w:p>
        </w:tc>
        <w:tc>
          <w:tcPr>
            <w:tcW w:w="3366" w:type="dxa"/>
            <w:tcBorders>
              <w:top w:val="single" w:sz="4" w:space="0" w:color="1B556B"/>
              <w:left w:val="nil"/>
              <w:bottom w:val="nil"/>
              <w:right w:val="nil"/>
            </w:tcBorders>
            <w:shd w:val="clear" w:color="auto" w:fill="auto"/>
            <w:vAlign w:val="center"/>
            <w:hideMark/>
          </w:tcPr>
          <w:p w14:paraId="759B5089" w14:textId="77777777" w:rsidR="00465555" w:rsidRPr="009E06AA" w:rsidRDefault="00465555" w:rsidP="00465555">
            <w:pPr>
              <w:pStyle w:val="TableText"/>
              <w:spacing w:before="30" w:after="30"/>
              <w:rPr>
                <w:rFonts w:cs="Calibri"/>
                <w:szCs w:val="16"/>
              </w:rPr>
            </w:pPr>
            <w:r w:rsidRPr="009E06AA">
              <w:rPr>
                <w:rFonts w:cs="Calibri"/>
                <w:szCs w:val="16"/>
              </w:rPr>
              <w:t xml:space="preserve">Direct Emissions </w:t>
            </w:r>
          </w:p>
        </w:tc>
        <w:tc>
          <w:tcPr>
            <w:tcW w:w="850" w:type="dxa"/>
            <w:tcBorders>
              <w:top w:val="single" w:sz="4" w:space="0" w:color="1B556B"/>
              <w:left w:val="nil"/>
              <w:bottom w:val="nil"/>
              <w:right w:val="nil"/>
            </w:tcBorders>
            <w:shd w:val="clear" w:color="auto" w:fill="auto"/>
            <w:noWrap/>
            <w:vAlign w:val="center"/>
            <w:hideMark/>
          </w:tcPr>
          <w:p w14:paraId="626D8949" w14:textId="77777777" w:rsidR="00465555" w:rsidRPr="009E06AA" w:rsidRDefault="00465555" w:rsidP="00465555">
            <w:pPr>
              <w:pStyle w:val="TableText"/>
              <w:spacing w:before="30" w:after="30"/>
              <w:rPr>
                <w:rFonts w:cs="Calibri"/>
                <w:color w:val="FFFFFF"/>
                <w:szCs w:val="16"/>
              </w:rPr>
            </w:pPr>
            <w:r w:rsidRPr="009E06AA">
              <w:rPr>
                <w:rFonts w:cs="Calibri"/>
                <w:color w:val="FFFFFF"/>
                <w:szCs w:val="16"/>
              </w:rPr>
              <w:t>-</w:t>
            </w:r>
          </w:p>
        </w:tc>
        <w:tc>
          <w:tcPr>
            <w:tcW w:w="851" w:type="dxa"/>
            <w:tcBorders>
              <w:top w:val="single" w:sz="4" w:space="0" w:color="1B556B"/>
              <w:left w:val="nil"/>
              <w:bottom w:val="nil"/>
              <w:right w:val="nil"/>
            </w:tcBorders>
            <w:shd w:val="clear" w:color="auto" w:fill="auto"/>
            <w:noWrap/>
            <w:vAlign w:val="center"/>
            <w:hideMark/>
          </w:tcPr>
          <w:p w14:paraId="1F38968E" w14:textId="77777777" w:rsidR="00465555" w:rsidRPr="009E06AA" w:rsidRDefault="00465555" w:rsidP="00465555">
            <w:pPr>
              <w:pStyle w:val="TableText"/>
              <w:spacing w:before="30" w:after="30"/>
              <w:rPr>
                <w:rFonts w:cs="Calibri"/>
                <w:color w:val="FFFFFF"/>
                <w:szCs w:val="16"/>
              </w:rPr>
            </w:pPr>
            <w:r w:rsidRPr="009E06AA">
              <w:rPr>
                <w:rFonts w:cs="Calibri"/>
                <w:color w:val="FFFFFF"/>
                <w:szCs w:val="16"/>
              </w:rPr>
              <w:t>-</w:t>
            </w:r>
          </w:p>
        </w:tc>
        <w:tc>
          <w:tcPr>
            <w:tcW w:w="709" w:type="dxa"/>
            <w:tcBorders>
              <w:top w:val="single" w:sz="4" w:space="0" w:color="1B556B"/>
              <w:left w:val="nil"/>
              <w:bottom w:val="nil"/>
              <w:right w:val="nil"/>
            </w:tcBorders>
            <w:shd w:val="clear" w:color="auto" w:fill="auto"/>
            <w:noWrap/>
            <w:vAlign w:val="center"/>
            <w:hideMark/>
          </w:tcPr>
          <w:p w14:paraId="58F481AD" w14:textId="77777777" w:rsidR="00465555" w:rsidRPr="009E06AA" w:rsidRDefault="00465555" w:rsidP="00465555">
            <w:pPr>
              <w:pStyle w:val="TableText"/>
              <w:spacing w:before="30" w:after="30"/>
              <w:rPr>
                <w:rFonts w:cs="Calibri"/>
                <w:color w:val="FFFFFF"/>
                <w:szCs w:val="16"/>
              </w:rPr>
            </w:pPr>
            <w:r w:rsidRPr="009E06AA">
              <w:rPr>
                <w:rFonts w:cs="Calibri"/>
                <w:color w:val="FFFFFF"/>
                <w:szCs w:val="16"/>
              </w:rPr>
              <w:t>-</w:t>
            </w:r>
          </w:p>
        </w:tc>
        <w:tc>
          <w:tcPr>
            <w:tcW w:w="794" w:type="dxa"/>
            <w:tcBorders>
              <w:top w:val="single" w:sz="4" w:space="0" w:color="1B556B"/>
              <w:left w:val="nil"/>
              <w:bottom w:val="nil"/>
              <w:right w:val="nil"/>
            </w:tcBorders>
            <w:shd w:val="clear" w:color="auto" w:fill="auto"/>
            <w:noWrap/>
            <w:vAlign w:val="center"/>
            <w:hideMark/>
          </w:tcPr>
          <w:p w14:paraId="371FBD9D" w14:textId="77777777" w:rsidR="00465555" w:rsidRPr="009E06AA" w:rsidRDefault="00465555" w:rsidP="00465555">
            <w:pPr>
              <w:pStyle w:val="TableText"/>
              <w:spacing w:before="30" w:after="30"/>
              <w:rPr>
                <w:rFonts w:cs="Calibri"/>
                <w:color w:val="FFFFFF"/>
                <w:szCs w:val="16"/>
              </w:rPr>
            </w:pPr>
            <w:r w:rsidRPr="009E06AA">
              <w:rPr>
                <w:rFonts w:cs="Calibri"/>
                <w:color w:val="FFFFFF"/>
                <w:szCs w:val="16"/>
              </w:rPr>
              <w:t>-</w:t>
            </w:r>
          </w:p>
        </w:tc>
        <w:tc>
          <w:tcPr>
            <w:tcW w:w="812" w:type="dxa"/>
            <w:tcBorders>
              <w:top w:val="single" w:sz="4" w:space="0" w:color="1B556B"/>
              <w:left w:val="nil"/>
              <w:bottom w:val="nil"/>
              <w:right w:val="nil"/>
            </w:tcBorders>
            <w:shd w:val="clear" w:color="auto" w:fill="auto"/>
            <w:noWrap/>
            <w:vAlign w:val="center"/>
            <w:hideMark/>
          </w:tcPr>
          <w:p w14:paraId="57B9FBDD" w14:textId="77777777" w:rsidR="00465555" w:rsidRPr="009E06AA" w:rsidRDefault="00465555" w:rsidP="00465555">
            <w:pPr>
              <w:pStyle w:val="TableText"/>
              <w:spacing w:before="30" w:after="30"/>
              <w:rPr>
                <w:rFonts w:cs="Calibri"/>
                <w:color w:val="FFFFFF"/>
                <w:szCs w:val="16"/>
              </w:rPr>
            </w:pPr>
            <w:r w:rsidRPr="009E06AA">
              <w:rPr>
                <w:rFonts w:cs="Calibri"/>
                <w:color w:val="FFFFFF"/>
                <w:szCs w:val="16"/>
              </w:rPr>
              <w:t>-</w:t>
            </w:r>
          </w:p>
        </w:tc>
        <w:tc>
          <w:tcPr>
            <w:tcW w:w="812" w:type="dxa"/>
            <w:tcBorders>
              <w:top w:val="single" w:sz="4" w:space="0" w:color="1B556B"/>
              <w:left w:val="nil"/>
              <w:bottom w:val="nil"/>
              <w:right w:val="nil"/>
            </w:tcBorders>
            <w:shd w:val="clear" w:color="auto" w:fill="auto"/>
            <w:noWrap/>
            <w:vAlign w:val="center"/>
            <w:hideMark/>
          </w:tcPr>
          <w:p w14:paraId="1500203C" w14:textId="77777777" w:rsidR="00465555" w:rsidRPr="009E06AA" w:rsidRDefault="00465555" w:rsidP="00465555">
            <w:pPr>
              <w:pStyle w:val="TableText"/>
              <w:spacing w:before="30" w:after="30"/>
              <w:rPr>
                <w:rFonts w:cs="Calibri"/>
                <w:color w:val="FFFFFF"/>
                <w:szCs w:val="16"/>
              </w:rPr>
            </w:pPr>
            <w:r w:rsidRPr="009E06AA">
              <w:rPr>
                <w:rFonts w:cs="Calibri"/>
                <w:color w:val="FFFFFF"/>
                <w:szCs w:val="16"/>
              </w:rPr>
              <w:t>-</w:t>
            </w:r>
          </w:p>
        </w:tc>
      </w:tr>
      <w:tr w:rsidR="00186AD2" w:rsidRPr="009E06AA" w14:paraId="5A0F6732" w14:textId="77777777" w:rsidTr="00B55F24">
        <w:tc>
          <w:tcPr>
            <w:tcW w:w="320" w:type="dxa"/>
            <w:vMerge/>
            <w:tcBorders>
              <w:top w:val="single" w:sz="8" w:space="0" w:color="365F91"/>
              <w:left w:val="nil"/>
              <w:right w:val="nil"/>
            </w:tcBorders>
            <w:vAlign w:val="center"/>
            <w:hideMark/>
          </w:tcPr>
          <w:p w14:paraId="1F67D70F" w14:textId="77777777" w:rsidR="00186AD2" w:rsidRPr="009E06AA" w:rsidRDefault="00186AD2" w:rsidP="00186AD2">
            <w:pPr>
              <w:pStyle w:val="TableText"/>
              <w:spacing w:before="30" w:after="30"/>
              <w:rPr>
                <w:rFonts w:cs="Calibri"/>
                <w:szCs w:val="16"/>
              </w:rPr>
            </w:pPr>
          </w:p>
        </w:tc>
        <w:tc>
          <w:tcPr>
            <w:tcW w:w="3366" w:type="dxa"/>
            <w:tcBorders>
              <w:top w:val="nil"/>
              <w:left w:val="nil"/>
              <w:bottom w:val="nil"/>
              <w:right w:val="nil"/>
            </w:tcBorders>
            <w:shd w:val="clear" w:color="auto" w:fill="auto"/>
            <w:vAlign w:val="center"/>
            <w:hideMark/>
          </w:tcPr>
          <w:p w14:paraId="6DB22C91" w14:textId="77777777" w:rsidR="00186AD2" w:rsidRPr="009E06AA" w:rsidRDefault="00186AD2" w:rsidP="00186AD2">
            <w:pPr>
              <w:pStyle w:val="TableText"/>
              <w:spacing w:before="30" w:after="30"/>
              <w:rPr>
                <w:rFonts w:cs="Calibri"/>
                <w:szCs w:val="16"/>
              </w:rPr>
            </w:pPr>
            <w:r w:rsidRPr="009E06AA">
              <w:rPr>
                <w:rFonts w:cs="Calibri"/>
                <w:szCs w:val="16"/>
              </w:rPr>
              <w:t>Synthetic Fertilisers</w:t>
            </w:r>
          </w:p>
        </w:tc>
        <w:tc>
          <w:tcPr>
            <w:tcW w:w="850" w:type="dxa"/>
            <w:tcBorders>
              <w:top w:val="nil"/>
              <w:left w:val="nil"/>
              <w:bottom w:val="nil"/>
              <w:right w:val="nil"/>
            </w:tcBorders>
            <w:shd w:val="clear" w:color="auto" w:fill="auto"/>
            <w:noWrap/>
            <w:vAlign w:val="center"/>
            <w:hideMark/>
          </w:tcPr>
          <w:p w14:paraId="6764B9E0" w14:textId="77777777" w:rsidR="00186AD2" w:rsidRPr="009E06AA" w:rsidRDefault="00186AD2" w:rsidP="00186AD2">
            <w:pPr>
              <w:pStyle w:val="TableText"/>
              <w:spacing w:before="30" w:after="30"/>
              <w:rPr>
                <w:rFonts w:cs="Calibri"/>
                <w:color w:val="FFFFFF"/>
                <w:szCs w:val="16"/>
              </w:rPr>
            </w:pPr>
            <w:r w:rsidRPr="009E06AA">
              <w:rPr>
                <w:rFonts w:cs="Calibri"/>
                <w:color w:val="FFFFFF"/>
                <w:szCs w:val="16"/>
              </w:rPr>
              <w:t>-</w:t>
            </w:r>
          </w:p>
        </w:tc>
        <w:tc>
          <w:tcPr>
            <w:tcW w:w="851" w:type="dxa"/>
            <w:tcBorders>
              <w:top w:val="nil"/>
              <w:left w:val="nil"/>
              <w:bottom w:val="nil"/>
              <w:right w:val="nil"/>
            </w:tcBorders>
            <w:shd w:val="clear" w:color="auto" w:fill="auto"/>
            <w:noWrap/>
            <w:vAlign w:val="center"/>
            <w:hideMark/>
          </w:tcPr>
          <w:p w14:paraId="1E3BA250" w14:textId="77777777" w:rsidR="00186AD2" w:rsidRPr="009E06AA" w:rsidRDefault="00186AD2" w:rsidP="00186AD2">
            <w:pPr>
              <w:pStyle w:val="TableText"/>
              <w:spacing w:before="30" w:after="30"/>
              <w:rPr>
                <w:rFonts w:cs="Calibri"/>
                <w:color w:val="FFFFFF"/>
                <w:szCs w:val="16"/>
              </w:rPr>
            </w:pPr>
            <w:r w:rsidRPr="009E06AA">
              <w:rPr>
                <w:rFonts w:cs="Calibri"/>
                <w:color w:val="FFFFFF"/>
                <w:szCs w:val="16"/>
              </w:rPr>
              <w:t>-</w:t>
            </w:r>
          </w:p>
        </w:tc>
        <w:tc>
          <w:tcPr>
            <w:tcW w:w="709" w:type="dxa"/>
            <w:tcBorders>
              <w:top w:val="nil"/>
              <w:left w:val="nil"/>
              <w:bottom w:val="nil"/>
              <w:right w:val="nil"/>
            </w:tcBorders>
            <w:shd w:val="clear" w:color="auto" w:fill="auto"/>
            <w:noWrap/>
            <w:vAlign w:val="center"/>
            <w:hideMark/>
          </w:tcPr>
          <w:p w14:paraId="70CEAC07" w14:textId="77777777" w:rsidR="00186AD2" w:rsidRPr="009E06AA" w:rsidRDefault="008975BF" w:rsidP="00186AD2">
            <w:pPr>
              <w:pStyle w:val="TableText"/>
              <w:spacing w:before="30" w:after="30"/>
              <w:rPr>
                <w:rFonts w:cs="Calibri"/>
                <w:szCs w:val="16"/>
              </w:rPr>
            </w:pPr>
            <w:hyperlink r:id="rId92" w:history="1">
              <w:r w:rsidR="00186AD2" w:rsidRPr="009E06AA">
                <w:rPr>
                  <w:rFonts w:cs="Calibri"/>
                  <w:szCs w:val="16"/>
                </w:rPr>
                <w:t>T2</w:t>
              </w:r>
            </w:hyperlink>
          </w:p>
        </w:tc>
        <w:tc>
          <w:tcPr>
            <w:tcW w:w="794" w:type="dxa"/>
            <w:tcBorders>
              <w:top w:val="nil"/>
              <w:left w:val="nil"/>
              <w:bottom w:val="nil"/>
              <w:right w:val="nil"/>
            </w:tcBorders>
            <w:shd w:val="clear" w:color="auto" w:fill="auto"/>
            <w:noWrap/>
            <w:vAlign w:val="center"/>
            <w:hideMark/>
          </w:tcPr>
          <w:p w14:paraId="43AA87FF" w14:textId="77777777" w:rsidR="00186AD2" w:rsidRPr="009E06AA" w:rsidRDefault="00186AD2" w:rsidP="00186AD2">
            <w:pPr>
              <w:pStyle w:val="TableText"/>
              <w:spacing w:before="30" w:after="30"/>
              <w:rPr>
                <w:rFonts w:cs="Calibri"/>
                <w:szCs w:val="16"/>
              </w:rPr>
            </w:pPr>
            <w:r w:rsidRPr="009E06AA">
              <w:rPr>
                <w:rFonts w:cs="Calibri"/>
                <w:szCs w:val="16"/>
              </w:rPr>
              <w:t>CS</w:t>
            </w:r>
          </w:p>
        </w:tc>
        <w:tc>
          <w:tcPr>
            <w:tcW w:w="812" w:type="dxa"/>
            <w:tcBorders>
              <w:top w:val="nil"/>
              <w:left w:val="nil"/>
              <w:bottom w:val="nil"/>
              <w:right w:val="nil"/>
            </w:tcBorders>
            <w:shd w:val="clear" w:color="auto" w:fill="auto"/>
            <w:noWrap/>
            <w:vAlign w:val="center"/>
            <w:hideMark/>
          </w:tcPr>
          <w:p w14:paraId="00301A6E" w14:textId="282DDBDC" w:rsidR="00186AD2" w:rsidRPr="009E06AA" w:rsidRDefault="00186AD2" w:rsidP="00186AD2">
            <w:pPr>
              <w:pStyle w:val="TableText"/>
              <w:spacing w:before="30" w:after="30"/>
              <w:rPr>
                <w:rFonts w:cs="Calibri"/>
                <w:color w:val="FFFFFF"/>
                <w:szCs w:val="16"/>
              </w:rPr>
            </w:pPr>
            <w:r w:rsidRPr="009E06AA">
              <w:rPr>
                <w:rFonts w:cs="Calibri"/>
                <w:color w:val="FFFFFF"/>
                <w:szCs w:val="16"/>
              </w:rPr>
              <w:t>-</w:t>
            </w:r>
            <w:r w:rsidRPr="00204D2F">
              <w:rPr>
                <w:b/>
                <w:bCs/>
              </w:rPr>
              <w:t>–</w:t>
            </w:r>
          </w:p>
        </w:tc>
        <w:tc>
          <w:tcPr>
            <w:tcW w:w="812" w:type="dxa"/>
            <w:tcBorders>
              <w:top w:val="nil"/>
              <w:left w:val="nil"/>
              <w:bottom w:val="nil"/>
              <w:right w:val="nil"/>
            </w:tcBorders>
            <w:shd w:val="clear" w:color="auto" w:fill="auto"/>
            <w:noWrap/>
            <w:vAlign w:val="center"/>
            <w:hideMark/>
          </w:tcPr>
          <w:p w14:paraId="5072AACD" w14:textId="02584784" w:rsidR="00186AD2" w:rsidRPr="009E06AA" w:rsidRDefault="00186AD2" w:rsidP="00186AD2">
            <w:pPr>
              <w:pStyle w:val="TableText"/>
              <w:spacing w:before="30" w:after="30"/>
              <w:rPr>
                <w:rFonts w:cs="Calibri"/>
                <w:color w:val="FFFFFF"/>
                <w:szCs w:val="16"/>
              </w:rPr>
            </w:pPr>
            <w:r w:rsidRPr="009E06AA">
              <w:rPr>
                <w:rFonts w:cs="Calibri"/>
                <w:color w:val="FFFFFF"/>
                <w:szCs w:val="16"/>
              </w:rPr>
              <w:t>-</w:t>
            </w:r>
            <w:r w:rsidRPr="00204D2F">
              <w:rPr>
                <w:b/>
                <w:bCs/>
              </w:rPr>
              <w:t>–</w:t>
            </w:r>
          </w:p>
        </w:tc>
      </w:tr>
      <w:tr w:rsidR="00F5563F" w:rsidRPr="009E06AA" w14:paraId="3D977D08" w14:textId="77777777" w:rsidTr="00B55F24">
        <w:tc>
          <w:tcPr>
            <w:tcW w:w="320" w:type="dxa"/>
            <w:vMerge/>
            <w:tcBorders>
              <w:top w:val="single" w:sz="8" w:space="0" w:color="365F91"/>
              <w:left w:val="nil"/>
              <w:right w:val="nil"/>
            </w:tcBorders>
            <w:vAlign w:val="center"/>
            <w:hideMark/>
          </w:tcPr>
          <w:p w14:paraId="1BF6C088" w14:textId="77777777" w:rsidR="00F5563F" w:rsidRPr="009E06AA" w:rsidRDefault="00F5563F" w:rsidP="00F5563F">
            <w:pPr>
              <w:pStyle w:val="TableText"/>
              <w:spacing w:before="30" w:after="30"/>
              <w:rPr>
                <w:rFonts w:cs="Calibri"/>
                <w:szCs w:val="16"/>
              </w:rPr>
            </w:pPr>
          </w:p>
        </w:tc>
        <w:tc>
          <w:tcPr>
            <w:tcW w:w="3366" w:type="dxa"/>
            <w:tcBorders>
              <w:top w:val="nil"/>
              <w:left w:val="nil"/>
              <w:bottom w:val="nil"/>
              <w:right w:val="nil"/>
            </w:tcBorders>
            <w:shd w:val="clear" w:color="auto" w:fill="auto"/>
            <w:vAlign w:val="center"/>
            <w:hideMark/>
          </w:tcPr>
          <w:p w14:paraId="6444F34D" w14:textId="77777777" w:rsidR="00F5563F" w:rsidRPr="009E06AA" w:rsidRDefault="00F5563F" w:rsidP="00F5563F">
            <w:pPr>
              <w:pStyle w:val="TableText"/>
              <w:spacing w:before="30" w:after="30"/>
              <w:rPr>
                <w:rFonts w:cs="Calibri"/>
                <w:szCs w:val="16"/>
              </w:rPr>
            </w:pPr>
            <w:r w:rsidRPr="009E06AA">
              <w:rPr>
                <w:rFonts w:cs="Calibri"/>
                <w:szCs w:val="16"/>
              </w:rPr>
              <w:t>Animal Manure Applied to Soils</w:t>
            </w:r>
          </w:p>
        </w:tc>
        <w:tc>
          <w:tcPr>
            <w:tcW w:w="850" w:type="dxa"/>
            <w:tcBorders>
              <w:top w:val="nil"/>
              <w:left w:val="nil"/>
              <w:bottom w:val="nil"/>
              <w:right w:val="nil"/>
            </w:tcBorders>
            <w:shd w:val="clear" w:color="auto" w:fill="auto"/>
            <w:noWrap/>
            <w:vAlign w:val="center"/>
            <w:hideMark/>
          </w:tcPr>
          <w:p w14:paraId="4436BF44" w14:textId="77777777" w:rsidR="00F5563F" w:rsidRPr="009E06AA" w:rsidRDefault="00F5563F" w:rsidP="00F5563F">
            <w:pPr>
              <w:pStyle w:val="TableText"/>
              <w:spacing w:before="30" w:after="30"/>
              <w:rPr>
                <w:rFonts w:cs="Calibri"/>
                <w:color w:val="FFFFFF"/>
                <w:szCs w:val="16"/>
              </w:rPr>
            </w:pPr>
            <w:r w:rsidRPr="009E06AA">
              <w:rPr>
                <w:rFonts w:cs="Calibri"/>
                <w:color w:val="FFFFFF"/>
                <w:szCs w:val="16"/>
              </w:rPr>
              <w:t>-</w:t>
            </w:r>
          </w:p>
        </w:tc>
        <w:tc>
          <w:tcPr>
            <w:tcW w:w="851" w:type="dxa"/>
            <w:tcBorders>
              <w:top w:val="nil"/>
              <w:left w:val="nil"/>
              <w:bottom w:val="nil"/>
              <w:right w:val="nil"/>
            </w:tcBorders>
            <w:shd w:val="clear" w:color="auto" w:fill="auto"/>
            <w:noWrap/>
            <w:vAlign w:val="center"/>
            <w:hideMark/>
          </w:tcPr>
          <w:p w14:paraId="03547BEF" w14:textId="77777777" w:rsidR="00F5563F" w:rsidRPr="009E06AA" w:rsidRDefault="00F5563F" w:rsidP="00F5563F">
            <w:pPr>
              <w:pStyle w:val="TableText"/>
              <w:spacing w:before="30" w:after="30"/>
              <w:rPr>
                <w:rFonts w:cs="Calibri"/>
                <w:color w:val="FFFFFF"/>
                <w:szCs w:val="16"/>
              </w:rPr>
            </w:pPr>
            <w:r w:rsidRPr="009E06AA">
              <w:rPr>
                <w:rFonts w:cs="Calibri"/>
                <w:color w:val="FFFFFF"/>
                <w:szCs w:val="16"/>
              </w:rPr>
              <w:t>-</w:t>
            </w:r>
          </w:p>
        </w:tc>
        <w:tc>
          <w:tcPr>
            <w:tcW w:w="709" w:type="dxa"/>
            <w:tcBorders>
              <w:top w:val="nil"/>
              <w:left w:val="nil"/>
              <w:bottom w:val="nil"/>
              <w:right w:val="nil"/>
            </w:tcBorders>
            <w:shd w:val="clear" w:color="auto" w:fill="auto"/>
            <w:noWrap/>
            <w:vAlign w:val="center"/>
            <w:hideMark/>
          </w:tcPr>
          <w:p w14:paraId="5B232656" w14:textId="77777777" w:rsidR="00F5563F" w:rsidRPr="009E06AA" w:rsidRDefault="00F5563F" w:rsidP="00F5563F">
            <w:pPr>
              <w:pStyle w:val="TableText"/>
              <w:spacing w:before="30" w:after="30"/>
              <w:rPr>
                <w:rFonts w:cs="Calibri"/>
                <w:szCs w:val="16"/>
              </w:rPr>
            </w:pPr>
            <w:r w:rsidRPr="009E06AA">
              <w:rPr>
                <w:rFonts w:cs="Calibri"/>
                <w:szCs w:val="16"/>
              </w:rPr>
              <w:t>T1, T2</w:t>
            </w:r>
          </w:p>
        </w:tc>
        <w:tc>
          <w:tcPr>
            <w:tcW w:w="794" w:type="dxa"/>
            <w:tcBorders>
              <w:top w:val="nil"/>
              <w:left w:val="nil"/>
              <w:bottom w:val="nil"/>
              <w:right w:val="nil"/>
            </w:tcBorders>
            <w:shd w:val="clear" w:color="auto" w:fill="auto"/>
            <w:noWrap/>
            <w:vAlign w:val="center"/>
            <w:hideMark/>
          </w:tcPr>
          <w:p w14:paraId="6E829905" w14:textId="77777777" w:rsidR="00F5563F" w:rsidRPr="009E06AA" w:rsidRDefault="00F5563F" w:rsidP="00F5563F">
            <w:pPr>
              <w:pStyle w:val="TableText"/>
              <w:spacing w:before="30" w:after="30"/>
              <w:rPr>
                <w:rFonts w:cs="Calibri"/>
                <w:szCs w:val="16"/>
              </w:rPr>
            </w:pPr>
            <w:r w:rsidRPr="009E06AA">
              <w:rPr>
                <w:rFonts w:cs="Calibri"/>
                <w:szCs w:val="16"/>
              </w:rPr>
              <w:t>CS</w:t>
            </w:r>
          </w:p>
        </w:tc>
        <w:tc>
          <w:tcPr>
            <w:tcW w:w="812" w:type="dxa"/>
            <w:tcBorders>
              <w:top w:val="nil"/>
              <w:left w:val="nil"/>
              <w:bottom w:val="nil"/>
              <w:right w:val="nil"/>
            </w:tcBorders>
            <w:shd w:val="clear" w:color="auto" w:fill="auto"/>
            <w:noWrap/>
            <w:vAlign w:val="center"/>
            <w:hideMark/>
          </w:tcPr>
          <w:p w14:paraId="23353540" w14:textId="0FBC3619" w:rsidR="00F5563F" w:rsidRPr="009E06AA" w:rsidRDefault="00F5563F" w:rsidP="00F5563F">
            <w:pPr>
              <w:pStyle w:val="TableText"/>
              <w:spacing w:before="30" w:after="30"/>
              <w:rPr>
                <w:rFonts w:cs="Calibri"/>
                <w:color w:val="FFFFFF"/>
                <w:szCs w:val="16"/>
              </w:rPr>
            </w:pPr>
            <w:r w:rsidRPr="009E06AA">
              <w:rPr>
                <w:rFonts w:cs="Calibri"/>
                <w:color w:val="FFFFFF"/>
                <w:szCs w:val="16"/>
              </w:rPr>
              <w:t>-</w:t>
            </w:r>
            <w:r w:rsidRPr="00204D2F">
              <w:rPr>
                <w:b/>
                <w:bCs/>
              </w:rPr>
              <w:t>–</w:t>
            </w:r>
          </w:p>
        </w:tc>
        <w:tc>
          <w:tcPr>
            <w:tcW w:w="812" w:type="dxa"/>
            <w:tcBorders>
              <w:top w:val="nil"/>
              <w:left w:val="nil"/>
              <w:bottom w:val="nil"/>
              <w:right w:val="nil"/>
            </w:tcBorders>
            <w:shd w:val="clear" w:color="auto" w:fill="auto"/>
            <w:noWrap/>
            <w:vAlign w:val="center"/>
            <w:hideMark/>
          </w:tcPr>
          <w:p w14:paraId="4B48A966" w14:textId="427417D4" w:rsidR="00F5563F" w:rsidRPr="009E06AA" w:rsidRDefault="00F5563F" w:rsidP="00F5563F">
            <w:pPr>
              <w:pStyle w:val="TableText"/>
              <w:spacing w:before="30" w:after="30"/>
              <w:rPr>
                <w:rFonts w:cs="Calibri"/>
                <w:color w:val="FFFFFF"/>
                <w:szCs w:val="16"/>
              </w:rPr>
            </w:pPr>
            <w:r w:rsidRPr="009E06AA">
              <w:rPr>
                <w:rFonts w:cs="Calibri"/>
                <w:color w:val="FFFFFF"/>
                <w:szCs w:val="16"/>
              </w:rPr>
              <w:t>-</w:t>
            </w:r>
            <w:r w:rsidRPr="00204D2F">
              <w:rPr>
                <w:b/>
                <w:bCs/>
              </w:rPr>
              <w:t>–</w:t>
            </w:r>
          </w:p>
        </w:tc>
      </w:tr>
      <w:tr w:rsidR="00F5563F" w:rsidRPr="009E06AA" w14:paraId="724A1976" w14:textId="77777777" w:rsidTr="00B55F24">
        <w:tc>
          <w:tcPr>
            <w:tcW w:w="320" w:type="dxa"/>
            <w:vMerge/>
            <w:tcBorders>
              <w:top w:val="single" w:sz="8" w:space="0" w:color="365F91"/>
              <w:left w:val="nil"/>
              <w:right w:val="nil"/>
            </w:tcBorders>
            <w:vAlign w:val="center"/>
            <w:hideMark/>
          </w:tcPr>
          <w:p w14:paraId="77A4609D" w14:textId="77777777" w:rsidR="00F5563F" w:rsidRPr="009E06AA" w:rsidRDefault="00F5563F" w:rsidP="00F5563F">
            <w:pPr>
              <w:pStyle w:val="TableText"/>
              <w:spacing w:before="30" w:after="30"/>
              <w:rPr>
                <w:rFonts w:cs="Calibri"/>
                <w:szCs w:val="16"/>
              </w:rPr>
            </w:pPr>
          </w:p>
        </w:tc>
        <w:tc>
          <w:tcPr>
            <w:tcW w:w="3366" w:type="dxa"/>
            <w:tcBorders>
              <w:top w:val="nil"/>
              <w:left w:val="nil"/>
              <w:bottom w:val="nil"/>
              <w:right w:val="nil"/>
            </w:tcBorders>
            <w:shd w:val="clear" w:color="auto" w:fill="auto"/>
            <w:vAlign w:val="center"/>
            <w:hideMark/>
          </w:tcPr>
          <w:p w14:paraId="781B5686" w14:textId="77777777" w:rsidR="00F5563F" w:rsidRPr="009E06AA" w:rsidRDefault="00F5563F" w:rsidP="00F5563F">
            <w:pPr>
              <w:pStyle w:val="TableText"/>
              <w:spacing w:before="30" w:after="30"/>
              <w:rPr>
                <w:rFonts w:cs="Calibri"/>
                <w:szCs w:val="16"/>
              </w:rPr>
            </w:pPr>
            <w:r w:rsidRPr="009E06AA">
              <w:rPr>
                <w:rFonts w:cs="Calibri"/>
                <w:szCs w:val="16"/>
              </w:rPr>
              <w:t>Sewage Sludge Applied to Soils</w:t>
            </w:r>
          </w:p>
        </w:tc>
        <w:tc>
          <w:tcPr>
            <w:tcW w:w="850" w:type="dxa"/>
            <w:tcBorders>
              <w:top w:val="nil"/>
              <w:left w:val="nil"/>
              <w:bottom w:val="nil"/>
              <w:right w:val="nil"/>
            </w:tcBorders>
            <w:shd w:val="clear" w:color="auto" w:fill="auto"/>
            <w:noWrap/>
            <w:vAlign w:val="center"/>
            <w:hideMark/>
          </w:tcPr>
          <w:p w14:paraId="4BD35DAC" w14:textId="77777777" w:rsidR="00F5563F" w:rsidRPr="009E06AA" w:rsidRDefault="00F5563F" w:rsidP="00F5563F">
            <w:pPr>
              <w:pStyle w:val="TableText"/>
              <w:spacing w:before="30" w:after="30"/>
              <w:rPr>
                <w:rFonts w:cs="Calibri"/>
                <w:color w:val="FFFFFF"/>
                <w:szCs w:val="16"/>
              </w:rPr>
            </w:pPr>
            <w:r w:rsidRPr="009E06AA">
              <w:rPr>
                <w:rFonts w:cs="Calibri"/>
                <w:color w:val="FFFFFF"/>
                <w:szCs w:val="16"/>
              </w:rPr>
              <w:t>-</w:t>
            </w:r>
          </w:p>
        </w:tc>
        <w:tc>
          <w:tcPr>
            <w:tcW w:w="851" w:type="dxa"/>
            <w:tcBorders>
              <w:top w:val="nil"/>
              <w:left w:val="nil"/>
              <w:bottom w:val="nil"/>
              <w:right w:val="nil"/>
            </w:tcBorders>
            <w:shd w:val="clear" w:color="auto" w:fill="auto"/>
            <w:noWrap/>
            <w:vAlign w:val="center"/>
            <w:hideMark/>
          </w:tcPr>
          <w:p w14:paraId="06BD673B" w14:textId="77777777" w:rsidR="00F5563F" w:rsidRPr="009E06AA" w:rsidRDefault="00F5563F" w:rsidP="00F5563F">
            <w:pPr>
              <w:pStyle w:val="TableText"/>
              <w:spacing w:before="30" w:after="30"/>
              <w:rPr>
                <w:rFonts w:cs="Calibri"/>
                <w:color w:val="FFFFFF"/>
                <w:szCs w:val="16"/>
              </w:rPr>
            </w:pPr>
            <w:r w:rsidRPr="009E06AA">
              <w:rPr>
                <w:rFonts w:cs="Calibri"/>
                <w:color w:val="FFFFFF"/>
                <w:szCs w:val="16"/>
              </w:rPr>
              <w:t>-</w:t>
            </w:r>
          </w:p>
        </w:tc>
        <w:tc>
          <w:tcPr>
            <w:tcW w:w="709" w:type="dxa"/>
            <w:tcBorders>
              <w:top w:val="nil"/>
              <w:left w:val="nil"/>
              <w:bottom w:val="nil"/>
              <w:right w:val="nil"/>
            </w:tcBorders>
            <w:shd w:val="clear" w:color="auto" w:fill="auto"/>
            <w:noWrap/>
            <w:vAlign w:val="center"/>
            <w:hideMark/>
          </w:tcPr>
          <w:p w14:paraId="2B2DEA72" w14:textId="77777777" w:rsidR="00F5563F" w:rsidRPr="009E06AA" w:rsidRDefault="00F5563F" w:rsidP="00F5563F">
            <w:pPr>
              <w:pStyle w:val="TableText"/>
              <w:spacing w:before="30" w:after="30"/>
              <w:rPr>
                <w:rFonts w:cs="Calibri"/>
                <w:szCs w:val="16"/>
              </w:rPr>
            </w:pPr>
            <w:r w:rsidRPr="009E06AA">
              <w:rPr>
                <w:rFonts w:cs="Calibri"/>
                <w:szCs w:val="16"/>
              </w:rPr>
              <w:t>NA</w:t>
            </w:r>
          </w:p>
        </w:tc>
        <w:tc>
          <w:tcPr>
            <w:tcW w:w="794" w:type="dxa"/>
            <w:tcBorders>
              <w:top w:val="nil"/>
              <w:left w:val="nil"/>
              <w:bottom w:val="nil"/>
              <w:right w:val="nil"/>
            </w:tcBorders>
            <w:shd w:val="clear" w:color="auto" w:fill="auto"/>
            <w:noWrap/>
            <w:vAlign w:val="center"/>
            <w:hideMark/>
          </w:tcPr>
          <w:p w14:paraId="1B87F11B" w14:textId="77777777" w:rsidR="00F5563F" w:rsidRPr="009E06AA" w:rsidRDefault="00F5563F" w:rsidP="00F5563F">
            <w:pPr>
              <w:pStyle w:val="TableText"/>
              <w:spacing w:before="30" w:after="30"/>
              <w:rPr>
                <w:rFonts w:cs="Calibri"/>
                <w:szCs w:val="16"/>
              </w:rPr>
            </w:pPr>
            <w:r w:rsidRPr="009E06AA">
              <w:rPr>
                <w:rFonts w:cs="Calibri"/>
                <w:szCs w:val="16"/>
              </w:rPr>
              <w:t>NA</w:t>
            </w:r>
          </w:p>
        </w:tc>
        <w:tc>
          <w:tcPr>
            <w:tcW w:w="812" w:type="dxa"/>
            <w:tcBorders>
              <w:top w:val="nil"/>
              <w:left w:val="nil"/>
              <w:bottom w:val="nil"/>
              <w:right w:val="nil"/>
            </w:tcBorders>
            <w:shd w:val="clear" w:color="auto" w:fill="auto"/>
            <w:noWrap/>
            <w:vAlign w:val="center"/>
            <w:hideMark/>
          </w:tcPr>
          <w:p w14:paraId="49395C8B" w14:textId="7AC2FA13" w:rsidR="00F5563F" w:rsidRPr="009E06AA" w:rsidRDefault="00F5563F" w:rsidP="00F5563F">
            <w:pPr>
              <w:pStyle w:val="TableText"/>
              <w:spacing w:before="30" w:after="30"/>
              <w:rPr>
                <w:rFonts w:cs="Calibri"/>
                <w:color w:val="FFFFFF"/>
                <w:szCs w:val="16"/>
              </w:rPr>
            </w:pPr>
            <w:r w:rsidRPr="009E06AA">
              <w:rPr>
                <w:rFonts w:cs="Calibri"/>
                <w:color w:val="FFFFFF"/>
                <w:szCs w:val="16"/>
              </w:rPr>
              <w:t>-</w:t>
            </w:r>
            <w:r w:rsidRPr="00204D2F">
              <w:rPr>
                <w:b/>
                <w:bCs/>
              </w:rPr>
              <w:t>–</w:t>
            </w:r>
          </w:p>
        </w:tc>
        <w:tc>
          <w:tcPr>
            <w:tcW w:w="812" w:type="dxa"/>
            <w:tcBorders>
              <w:top w:val="nil"/>
              <w:left w:val="nil"/>
              <w:bottom w:val="nil"/>
              <w:right w:val="nil"/>
            </w:tcBorders>
            <w:shd w:val="clear" w:color="auto" w:fill="auto"/>
            <w:noWrap/>
            <w:vAlign w:val="center"/>
            <w:hideMark/>
          </w:tcPr>
          <w:p w14:paraId="38A02221" w14:textId="2500B7D8" w:rsidR="00F5563F" w:rsidRPr="009E06AA" w:rsidRDefault="00F5563F" w:rsidP="00F5563F">
            <w:pPr>
              <w:pStyle w:val="TableText"/>
              <w:spacing w:before="30" w:after="30"/>
              <w:rPr>
                <w:rFonts w:cs="Calibri"/>
                <w:color w:val="FFFFFF"/>
                <w:szCs w:val="16"/>
              </w:rPr>
            </w:pPr>
            <w:r w:rsidRPr="009E06AA">
              <w:rPr>
                <w:rFonts w:cs="Calibri"/>
                <w:color w:val="FFFFFF"/>
                <w:szCs w:val="16"/>
              </w:rPr>
              <w:t>-</w:t>
            </w:r>
            <w:r w:rsidRPr="00204D2F">
              <w:rPr>
                <w:b/>
                <w:bCs/>
              </w:rPr>
              <w:t>–</w:t>
            </w:r>
          </w:p>
        </w:tc>
      </w:tr>
      <w:tr w:rsidR="00F5563F" w:rsidRPr="009E06AA" w14:paraId="71A92F8A" w14:textId="77777777" w:rsidTr="00B55F24">
        <w:tc>
          <w:tcPr>
            <w:tcW w:w="320" w:type="dxa"/>
            <w:vMerge/>
            <w:tcBorders>
              <w:top w:val="single" w:sz="8" w:space="0" w:color="365F91"/>
              <w:left w:val="nil"/>
              <w:right w:val="nil"/>
            </w:tcBorders>
            <w:vAlign w:val="center"/>
            <w:hideMark/>
          </w:tcPr>
          <w:p w14:paraId="1FBFBD07" w14:textId="77777777" w:rsidR="00F5563F" w:rsidRPr="009E06AA" w:rsidRDefault="00F5563F" w:rsidP="00F5563F">
            <w:pPr>
              <w:pStyle w:val="TableText"/>
              <w:spacing w:before="30" w:after="30"/>
              <w:rPr>
                <w:rFonts w:cs="Calibri"/>
                <w:szCs w:val="16"/>
              </w:rPr>
            </w:pPr>
          </w:p>
        </w:tc>
        <w:tc>
          <w:tcPr>
            <w:tcW w:w="3366" w:type="dxa"/>
            <w:tcBorders>
              <w:top w:val="nil"/>
              <w:left w:val="nil"/>
              <w:bottom w:val="nil"/>
              <w:right w:val="nil"/>
            </w:tcBorders>
            <w:shd w:val="clear" w:color="auto" w:fill="auto"/>
            <w:vAlign w:val="center"/>
            <w:hideMark/>
          </w:tcPr>
          <w:p w14:paraId="19C38472" w14:textId="77777777" w:rsidR="00F5563F" w:rsidRPr="009E06AA" w:rsidRDefault="00F5563F" w:rsidP="00F5563F">
            <w:pPr>
              <w:pStyle w:val="TableText"/>
              <w:spacing w:before="30" w:after="30"/>
              <w:rPr>
                <w:rFonts w:cs="Calibri"/>
                <w:szCs w:val="16"/>
              </w:rPr>
            </w:pPr>
            <w:r w:rsidRPr="009E06AA">
              <w:rPr>
                <w:rFonts w:cs="Calibri"/>
                <w:szCs w:val="16"/>
              </w:rPr>
              <w:t>Other Organic Fertilisers Applied to Soils</w:t>
            </w:r>
          </w:p>
        </w:tc>
        <w:tc>
          <w:tcPr>
            <w:tcW w:w="850" w:type="dxa"/>
            <w:tcBorders>
              <w:top w:val="nil"/>
              <w:left w:val="nil"/>
              <w:bottom w:val="nil"/>
              <w:right w:val="nil"/>
            </w:tcBorders>
            <w:shd w:val="clear" w:color="auto" w:fill="auto"/>
            <w:noWrap/>
            <w:vAlign w:val="center"/>
            <w:hideMark/>
          </w:tcPr>
          <w:p w14:paraId="7CBCC727" w14:textId="77777777" w:rsidR="00F5563F" w:rsidRPr="009E06AA" w:rsidRDefault="00F5563F" w:rsidP="00F5563F">
            <w:pPr>
              <w:pStyle w:val="TableText"/>
              <w:spacing w:before="30" w:after="30"/>
              <w:rPr>
                <w:rFonts w:cs="Calibri"/>
                <w:color w:val="FFFFFF"/>
                <w:szCs w:val="16"/>
              </w:rPr>
            </w:pPr>
            <w:r w:rsidRPr="009E06AA">
              <w:rPr>
                <w:rFonts w:cs="Calibri"/>
                <w:color w:val="FFFFFF"/>
                <w:szCs w:val="16"/>
              </w:rPr>
              <w:t>-</w:t>
            </w:r>
          </w:p>
        </w:tc>
        <w:tc>
          <w:tcPr>
            <w:tcW w:w="851" w:type="dxa"/>
            <w:tcBorders>
              <w:top w:val="nil"/>
              <w:left w:val="nil"/>
              <w:bottom w:val="nil"/>
              <w:right w:val="nil"/>
            </w:tcBorders>
            <w:shd w:val="clear" w:color="auto" w:fill="auto"/>
            <w:noWrap/>
            <w:vAlign w:val="center"/>
            <w:hideMark/>
          </w:tcPr>
          <w:p w14:paraId="713116C8" w14:textId="77777777" w:rsidR="00F5563F" w:rsidRPr="009E06AA" w:rsidRDefault="00F5563F" w:rsidP="00F5563F">
            <w:pPr>
              <w:pStyle w:val="TableText"/>
              <w:spacing w:before="30" w:after="30"/>
              <w:rPr>
                <w:rFonts w:cs="Calibri"/>
                <w:color w:val="FFFFFF"/>
                <w:szCs w:val="16"/>
              </w:rPr>
            </w:pPr>
            <w:r w:rsidRPr="009E06AA">
              <w:rPr>
                <w:rFonts w:cs="Calibri"/>
                <w:color w:val="FFFFFF"/>
                <w:szCs w:val="16"/>
              </w:rPr>
              <w:t>-</w:t>
            </w:r>
          </w:p>
        </w:tc>
        <w:tc>
          <w:tcPr>
            <w:tcW w:w="709" w:type="dxa"/>
            <w:tcBorders>
              <w:top w:val="nil"/>
              <w:left w:val="nil"/>
              <w:bottom w:val="nil"/>
              <w:right w:val="nil"/>
            </w:tcBorders>
            <w:shd w:val="clear" w:color="auto" w:fill="auto"/>
            <w:noWrap/>
            <w:vAlign w:val="center"/>
            <w:hideMark/>
          </w:tcPr>
          <w:p w14:paraId="0343DAFD" w14:textId="77777777" w:rsidR="00F5563F" w:rsidRPr="009E06AA" w:rsidRDefault="00F5563F" w:rsidP="00F5563F">
            <w:pPr>
              <w:pStyle w:val="TableText"/>
              <w:spacing w:before="30" w:after="30"/>
              <w:rPr>
                <w:rFonts w:cs="Calibri"/>
                <w:szCs w:val="16"/>
              </w:rPr>
            </w:pPr>
            <w:r w:rsidRPr="009E06AA">
              <w:rPr>
                <w:rFonts w:cs="Calibri"/>
                <w:szCs w:val="16"/>
              </w:rPr>
              <w:t>NA</w:t>
            </w:r>
          </w:p>
        </w:tc>
        <w:tc>
          <w:tcPr>
            <w:tcW w:w="794" w:type="dxa"/>
            <w:tcBorders>
              <w:top w:val="nil"/>
              <w:left w:val="nil"/>
              <w:bottom w:val="nil"/>
              <w:right w:val="nil"/>
            </w:tcBorders>
            <w:shd w:val="clear" w:color="auto" w:fill="auto"/>
            <w:noWrap/>
            <w:vAlign w:val="center"/>
            <w:hideMark/>
          </w:tcPr>
          <w:p w14:paraId="5D34D7C7" w14:textId="77777777" w:rsidR="00F5563F" w:rsidRPr="009E06AA" w:rsidRDefault="00F5563F" w:rsidP="00F5563F">
            <w:pPr>
              <w:pStyle w:val="TableText"/>
              <w:spacing w:before="30" w:after="30"/>
              <w:rPr>
                <w:rFonts w:cs="Calibri"/>
                <w:szCs w:val="16"/>
              </w:rPr>
            </w:pPr>
            <w:r w:rsidRPr="009E06AA">
              <w:rPr>
                <w:rFonts w:cs="Calibri"/>
                <w:szCs w:val="16"/>
              </w:rPr>
              <w:t>NA</w:t>
            </w:r>
          </w:p>
        </w:tc>
        <w:tc>
          <w:tcPr>
            <w:tcW w:w="812" w:type="dxa"/>
            <w:tcBorders>
              <w:top w:val="nil"/>
              <w:left w:val="nil"/>
              <w:bottom w:val="nil"/>
              <w:right w:val="nil"/>
            </w:tcBorders>
            <w:shd w:val="clear" w:color="auto" w:fill="auto"/>
            <w:noWrap/>
            <w:vAlign w:val="center"/>
            <w:hideMark/>
          </w:tcPr>
          <w:p w14:paraId="4F46CC27" w14:textId="2799A692" w:rsidR="00F5563F" w:rsidRPr="009E06AA" w:rsidRDefault="00F5563F" w:rsidP="00F5563F">
            <w:pPr>
              <w:pStyle w:val="TableText"/>
              <w:spacing w:before="30" w:after="30"/>
              <w:rPr>
                <w:rFonts w:cs="Calibri"/>
                <w:color w:val="FFFFFF"/>
                <w:szCs w:val="16"/>
              </w:rPr>
            </w:pPr>
            <w:r w:rsidRPr="009E06AA">
              <w:rPr>
                <w:rFonts w:cs="Calibri"/>
                <w:color w:val="FFFFFF"/>
                <w:szCs w:val="16"/>
              </w:rPr>
              <w:t>-</w:t>
            </w:r>
            <w:r w:rsidRPr="00204D2F">
              <w:rPr>
                <w:b/>
                <w:bCs/>
              </w:rPr>
              <w:t>–</w:t>
            </w:r>
          </w:p>
        </w:tc>
        <w:tc>
          <w:tcPr>
            <w:tcW w:w="812" w:type="dxa"/>
            <w:tcBorders>
              <w:top w:val="nil"/>
              <w:left w:val="nil"/>
              <w:bottom w:val="nil"/>
              <w:right w:val="nil"/>
            </w:tcBorders>
            <w:shd w:val="clear" w:color="auto" w:fill="auto"/>
            <w:noWrap/>
            <w:vAlign w:val="center"/>
            <w:hideMark/>
          </w:tcPr>
          <w:p w14:paraId="6A12E35C" w14:textId="4C98055B" w:rsidR="00F5563F" w:rsidRPr="009E06AA" w:rsidRDefault="00F5563F" w:rsidP="00F5563F">
            <w:pPr>
              <w:pStyle w:val="TableText"/>
              <w:spacing w:before="30" w:after="30"/>
              <w:rPr>
                <w:rFonts w:cs="Calibri"/>
                <w:color w:val="FFFFFF"/>
                <w:szCs w:val="16"/>
              </w:rPr>
            </w:pPr>
            <w:r w:rsidRPr="009E06AA">
              <w:rPr>
                <w:rFonts w:cs="Calibri"/>
                <w:color w:val="FFFFFF"/>
                <w:szCs w:val="16"/>
              </w:rPr>
              <w:t>-</w:t>
            </w:r>
            <w:r w:rsidRPr="00204D2F">
              <w:rPr>
                <w:b/>
                <w:bCs/>
              </w:rPr>
              <w:t>–</w:t>
            </w:r>
          </w:p>
        </w:tc>
      </w:tr>
      <w:tr w:rsidR="00F5563F" w:rsidRPr="009E06AA" w14:paraId="608E3050" w14:textId="77777777" w:rsidTr="00B55F24">
        <w:tc>
          <w:tcPr>
            <w:tcW w:w="320" w:type="dxa"/>
            <w:vMerge/>
            <w:tcBorders>
              <w:top w:val="single" w:sz="8" w:space="0" w:color="365F91"/>
              <w:left w:val="nil"/>
              <w:right w:val="nil"/>
            </w:tcBorders>
            <w:vAlign w:val="center"/>
            <w:hideMark/>
          </w:tcPr>
          <w:p w14:paraId="0291A94A" w14:textId="77777777" w:rsidR="00F5563F" w:rsidRPr="009E06AA" w:rsidRDefault="00F5563F" w:rsidP="00F5563F">
            <w:pPr>
              <w:pStyle w:val="TableText"/>
              <w:spacing w:before="30" w:after="30"/>
              <w:rPr>
                <w:rFonts w:cs="Calibri"/>
                <w:szCs w:val="16"/>
              </w:rPr>
            </w:pPr>
          </w:p>
        </w:tc>
        <w:tc>
          <w:tcPr>
            <w:tcW w:w="3366" w:type="dxa"/>
            <w:tcBorders>
              <w:top w:val="nil"/>
              <w:left w:val="nil"/>
              <w:bottom w:val="nil"/>
              <w:right w:val="nil"/>
            </w:tcBorders>
            <w:shd w:val="clear" w:color="auto" w:fill="auto"/>
            <w:vAlign w:val="center"/>
            <w:hideMark/>
          </w:tcPr>
          <w:p w14:paraId="29181B94" w14:textId="77777777" w:rsidR="00F5563F" w:rsidRPr="009E06AA" w:rsidRDefault="00F5563F" w:rsidP="00F5563F">
            <w:pPr>
              <w:pStyle w:val="TableText"/>
              <w:spacing w:before="30" w:after="30"/>
              <w:rPr>
                <w:rFonts w:cs="Calibri"/>
                <w:szCs w:val="16"/>
              </w:rPr>
            </w:pPr>
            <w:r w:rsidRPr="009E06AA">
              <w:rPr>
                <w:rFonts w:cs="Calibri"/>
                <w:szCs w:val="16"/>
              </w:rPr>
              <w:t>Urine and Dung Deposited by Grazing Animals</w:t>
            </w:r>
          </w:p>
        </w:tc>
        <w:tc>
          <w:tcPr>
            <w:tcW w:w="850" w:type="dxa"/>
            <w:tcBorders>
              <w:top w:val="nil"/>
              <w:left w:val="nil"/>
              <w:bottom w:val="nil"/>
              <w:right w:val="nil"/>
            </w:tcBorders>
            <w:shd w:val="clear" w:color="auto" w:fill="auto"/>
            <w:noWrap/>
            <w:vAlign w:val="center"/>
            <w:hideMark/>
          </w:tcPr>
          <w:p w14:paraId="1CE6D03E" w14:textId="77777777" w:rsidR="00F5563F" w:rsidRPr="009E06AA" w:rsidRDefault="00F5563F" w:rsidP="00F5563F">
            <w:pPr>
              <w:pStyle w:val="TableText"/>
              <w:spacing w:before="30" w:after="30"/>
              <w:rPr>
                <w:rFonts w:cs="Calibri"/>
                <w:color w:val="FFFFFF"/>
                <w:szCs w:val="16"/>
              </w:rPr>
            </w:pPr>
            <w:r w:rsidRPr="009E06AA">
              <w:rPr>
                <w:rFonts w:cs="Calibri"/>
                <w:color w:val="FFFFFF"/>
                <w:szCs w:val="16"/>
              </w:rPr>
              <w:t>-</w:t>
            </w:r>
          </w:p>
        </w:tc>
        <w:tc>
          <w:tcPr>
            <w:tcW w:w="851" w:type="dxa"/>
            <w:tcBorders>
              <w:top w:val="nil"/>
              <w:left w:val="nil"/>
              <w:bottom w:val="nil"/>
              <w:right w:val="nil"/>
            </w:tcBorders>
            <w:shd w:val="clear" w:color="auto" w:fill="auto"/>
            <w:noWrap/>
            <w:vAlign w:val="center"/>
            <w:hideMark/>
          </w:tcPr>
          <w:p w14:paraId="5DCF8BFA" w14:textId="77777777" w:rsidR="00F5563F" w:rsidRPr="009E06AA" w:rsidRDefault="00F5563F" w:rsidP="00F5563F">
            <w:pPr>
              <w:pStyle w:val="TableText"/>
              <w:spacing w:before="30" w:after="30"/>
              <w:rPr>
                <w:rFonts w:cs="Calibri"/>
                <w:color w:val="FFFFFF"/>
                <w:szCs w:val="16"/>
              </w:rPr>
            </w:pPr>
            <w:r w:rsidRPr="009E06AA">
              <w:rPr>
                <w:rFonts w:cs="Calibri"/>
                <w:color w:val="FFFFFF"/>
                <w:szCs w:val="16"/>
              </w:rPr>
              <w:t>-</w:t>
            </w:r>
          </w:p>
        </w:tc>
        <w:tc>
          <w:tcPr>
            <w:tcW w:w="709" w:type="dxa"/>
            <w:tcBorders>
              <w:top w:val="nil"/>
              <w:left w:val="nil"/>
              <w:bottom w:val="nil"/>
              <w:right w:val="nil"/>
            </w:tcBorders>
            <w:shd w:val="clear" w:color="auto" w:fill="auto"/>
            <w:noWrap/>
            <w:vAlign w:val="center"/>
            <w:hideMark/>
          </w:tcPr>
          <w:p w14:paraId="7E39CB29" w14:textId="77777777" w:rsidR="00F5563F" w:rsidRPr="009E06AA" w:rsidRDefault="00F5563F" w:rsidP="00F5563F">
            <w:pPr>
              <w:pStyle w:val="TableText"/>
              <w:spacing w:before="30" w:after="30"/>
              <w:rPr>
                <w:rFonts w:cs="Calibri"/>
                <w:szCs w:val="16"/>
              </w:rPr>
            </w:pPr>
            <w:r w:rsidRPr="009E06AA">
              <w:rPr>
                <w:rFonts w:cs="Calibri"/>
                <w:szCs w:val="16"/>
              </w:rPr>
              <w:t>T1, T2</w:t>
            </w:r>
          </w:p>
        </w:tc>
        <w:tc>
          <w:tcPr>
            <w:tcW w:w="794" w:type="dxa"/>
            <w:tcBorders>
              <w:top w:val="nil"/>
              <w:left w:val="nil"/>
              <w:bottom w:val="nil"/>
              <w:right w:val="nil"/>
            </w:tcBorders>
            <w:shd w:val="clear" w:color="auto" w:fill="auto"/>
            <w:noWrap/>
            <w:vAlign w:val="center"/>
            <w:hideMark/>
          </w:tcPr>
          <w:p w14:paraId="0A33DFD4" w14:textId="77777777" w:rsidR="00F5563F" w:rsidRPr="009E06AA" w:rsidRDefault="00F5563F" w:rsidP="00F5563F">
            <w:pPr>
              <w:pStyle w:val="TableText"/>
              <w:spacing w:before="30" w:after="30"/>
              <w:rPr>
                <w:rFonts w:cs="Calibri"/>
                <w:szCs w:val="16"/>
              </w:rPr>
            </w:pPr>
            <w:r w:rsidRPr="009E06AA">
              <w:rPr>
                <w:rFonts w:cs="Calibri"/>
                <w:szCs w:val="16"/>
              </w:rPr>
              <w:t>CS</w:t>
            </w:r>
          </w:p>
        </w:tc>
        <w:tc>
          <w:tcPr>
            <w:tcW w:w="812" w:type="dxa"/>
            <w:tcBorders>
              <w:top w:val="nil"/>
              <w:left w:val="nil"/>
              <w:bottom w:val="nil"/>
              <w:right w:val="nil"/>
            </w:tcBorders>
            <w:shd w:val="clear" w:color="auto" w:fill="auto"/>
            <w:noWrap/>
            <w:vAlign w:val="center"/>
            <w:hideMark/>
          </w:tcPr>
          <w:p w14:paraId="031E8C48" w14:textId="7F12577C" w:rsidR="00F5563F" w:rsidRPr="009E06AA" w:rsidRDefault="00F5563F" w:rsidP="00F5563F">
            <w:pPr>
              <w:pStyle w:val="TableText"/>
              <w:spacing w:before="30" w:after="30"/>
              <w:rPr>
                <w:rFonts w:cs="Calibri"/>
                <w:color w:val="FFFFFF"/>
                <w:szCs w:val="16"/>
              </w:rPr>
            </w:pPr>
            <w:r w:rsidRPr="009E06AA">
              <w:rPr>
                <w:rFonts w:cs="Calibri"/>
                <w:color w:val="FFFFFF"/>
                <w:szCs w:val="16"/>
              </w:rPr>
              <w:t>-</w:t>
            </w:r>
            <w:r w:rsidRPr="00204D2F">
              <w:rPr>
                <w:b/>
                <w:bCs/>
              </w:rPr>
              <w:t>–</w:t>
            </w:r>
          </w:p>
        </w:tc>
        <w:tc>
          <w:tcPr>
            <w:tcW w:w="812" w:type="dxa"/>
            <w:tcBorders>
              <w:top w:val="nil"/>
              <w:left w:val="nil"/>
              <w:bottom w:val="nil"/>
              <w:right w:val="nil"/>
            </w:tcBorders>
            <w:shd w:val="clear" w:color="auto" w:fill="auto"/>
            <w:noWrap/>
            <w:vAlign w:val="center"/>
            <w:hideMark/>
          </w:tcPr>
          <w:p w14:paraId="45F8457A" w14:textId="7DB331AB" w:rsidR="00F5563F" w:rsidRPr="009E06AA" w:rsidRDefault="00F5563F" w:rsidP="00F5563F">
            <w:pPr>
              <w:pStyle w:val="TableText"/>
              <w:spacing w:before="30" w:after="30"/>
              <w:rPr>
                <w:rFonts w:cs="Calibri"/>
                <w:color w:val="FFFFFF"/>
                <w:szCs w:val="16"/>
              </w:rPr>
            </w:pPr>
            <w:r w:rsidRPr="009E06AA">
              <w:rPr>
                <w:rFonts w:cs="Calibri"/>
                <w:color w:val="FFFFFF"/>
                <w:szCs w:val="16"/>
              </w:rPr>
              <w:t>-</w:t>
            </w:r>
            <w:r w:rsidRPr="00204D2F">
              <w:rPr>
                <w:b/>
                <w:bCs/>
              </w:rPr>
              <w:t>–</w:t>
            </w:r>
          </w:p>
        </w:tc>
      </w:tr>
      <w:tr w:rsidR="00F5563F" w:rsidRPr="009E06AA" w14:paraId="5C89F181" w14:textId="77777777" w:rsidTr="00B55F24">
        <w:tc>
          <w:tcPr>
            <w:tcW w:w="320" w:type="dxa"/>
            <w:vMerge/>
            <w:tcBorders>
              <w:top w:val="single" w:sz="8" w:space="0" w:color="365F91"/>
              <w:left w:val="nil"/>
              <w:right w:val="nil"/>
            </w:tcBorders>
            <w:vAlign w:val="center"/>
            <w:hideMark/>
          </w:tcPr>
          <w:p w14:paraId="49E0597C" w14:textId="77777777" w:rsidR="00F5563F" w:rsidRPr="009E06AA" w:rsidRDefault="00F5563F" w:rsidP="00F5563F">
            <w:pPr>
              <w:pStyle w:val="TableText"/>
              <w:spacing w:before="30" w:after="30"/>
              <w:rPr>
                <w:rFonts w:cs="Calibri"/>
                <w:szCs w:val="16"/>
              </w:rPr>
            </w:pPr>
          </w:p>
        </w:tc>
        <w:tc>
          <w:tcPr>
            <w:tcW w:w="3366" w:type="dxa"/>
            <w:tcBorders>
              <w:top w:val="nil"/>
              <w:left w:val="nil"/>
              <w:bottom w:val="nil"/>
              <w:right w:val="nil"/>
            </w:tcBorders>
            <w:shd w:val="clear" w:color="auto" w:fill="auto"/>
            <w:vAlign w:val="center"/>
            <w:hideMark/>
          </w:tcPr>
          <w:p w14:paraId="3ED5BD84" w14:textId="77777777" w:rsidR="00F5563F" w:rsidRPr="009E06AA" w:rsidRDefault="00F5563F" w:rsidP="00F5563F">
            <w:pPr>
              <w:pStyle w:val="TableText"/>
              <w:spacing w:before="30" w:after="30"/>
              <w:rPr>
                <w:rFonts w:cs="Calibri"/>
                <w:szCs w:val="16"/>
              </w:rPr>
            </w:pPr>
            <w:r w:rsidRPr="009E06AA">
              <w:rPr>
                <w:rFonts w:cs="Calibri"/>
                <w:szCs w:val="16"/>
              </w:rPr>
              <w:t>Crop Residues</w:t>
            </w:r>
          </w:p>
        </w:tc>
        <w:tc>
          <w:tcPr>
            <w:tcW w:w="850" w:type="dxa"/>
            <w:tcBorders>
              <w:top w:val="nil"/>
              <w:left w:val="nil"/>
              <w:bottom w:val="nil"/>
              <w:right w:val="nil"/>
            </w:tcBorders>
            <w:shd w:val="clear" w:color="auto" w:fill="auto"/>
            <w:noWrap/>
            <w:vAlign w:val="center"/>
            <w:hideMark/>
          </w:tcPr>
          <w:p w14:paraId="28D45822" w14:textId="77777777" w:rsidR="00F5563F" w:rsidRPr="009E06AA" w:rsidRDefault="00F5563F" w:rsidP="00F5563F">
            <w:pPr>
              <w:pStyle w:val="TableText"/>
              <w:spacing w:before="30" w:after="30"/>
              <w:rPr>
                <w:rFonts w:cs="Calibri"/>
                <w:color w:val="FFFFFF"/>
                <w:szCs w:val="16"/>
              </w:rPr>
            </w:pPr>
            <w:r w:rsidRPr="009E06AA">
              <w:rPr>
                <w:rFonts w:cs="Calibri"/>
                <w:color w:val="FFFFFF"/>
                <w:szCs w:val="16"/>
              </w:rPr>
              <w:t>-</w:t>
            </w:r>
          </w:p>
        </w:tc>
        <w:tc>
          <w:tcPr>
            <w:tcW w:w="851" w:type="dxa"/>
            <w:tcBorders>
              <w:top w:val="nil"/>
              <w:left w:val="nil"/>
              <w:bottom w:val="nil"/>
              <w:right w:val="nil"/>
            </w:tcBorders>
            <w:shd w:val="clear" w:color="auto" w:fill="auto"/>
            <w:noWrap/>
            <w:vAlign w:val="center"/>
            <w:hideMark/>
          </w:tcPr>
          <w:p w14:paraId="7545C865" w14:textId="77777777" w:rsidR="00F5563F" w:rsidRPr="009E06AA" w:rsidRDefault="00F5563F" w:rsidP="00F5563F">
            <w:pPr>
              <w:pStyle w:val="TableText"/>
              <w:spacing w:before="30" w:after="30"/>
              <w:rPr>
                <w:rFonts w:cs="Calibri"/>
                <w:color w:val="FFFFFF"/>
                <w:szCs w:val="16"/>
              </w:rPr>
            </w:pPr>
            <w:r w:rsidRPr="009E06AA">
              <w:rPr>
                <w:rFonts w:cs="Calibri"/>
                <w:color w:val="FFFFFF"/>
                <w:szCs w:val="16"/>
              </w:rPr>
              <w:t>-</w:t>
            </w:r>
          </w:p>
        </w:tc>
        <w:tc>
          <w:tcPr>
            <w:tcW w:w="709" w:type="dxa"/>
            <w:tcBorders>
              <w:top w:val="nil"/>
              <w:left w:val="nil"/>
              <w:bottom w:val="nil"/>
              <w:right w:val="nil"/>
            </w:tcBorders>
            <w:shd w:val="clear" w:color="auto" w:fill="auto"/>
            <w:noWrap/>
            <w:vAlign w:val="center"/>
            <w:hideMark/>
          </w:tcPr>
          <w:p w14:paraId="1125C5CD" w14:textId="77777777" w:rsidR="00F5563F" w:rsidRPr="009E06AA" w:rsidRDefault="00F5563F" w:rsidP="00F5563F">
            <w:pPr>
              <w:pStyle w:val="TableText"/>
              <w:spacing w:before="30" w:after="30"/>
              <w:rPr>
                <w:rFonts w:cs="Calibri"/>
                <w:szCs w:val="16"/>
              </w:rPr>
            </w:pPr>
            <w:r w:rsidRPr="009E06AA">
              <w:rPr>
                <w:rFonts w:cs="Calibri"/>
                <w:szCs w:val="16"/>
              </w:rPr>
              <w:t>T2</w:t>
            </w:r>
          </w:p>
        </w:tc>
        <w:tc>
          <w:tcPr>
            <w:tcW w:w="794" w:type="dxa"/>
            <w:tcBorders>
              <w:top w:val="nil"/>
              <w:left w:val="nil"/>
              <w:bottom w:val="nil"/>
              <w:right w:val="nil"/>
            </w:tcBorders>
            <w:shd w:val="clear" w:color="auto" w:fill="auto"/>
            <w:noWrap/>
            <w:vAlign w:val="center"/>
            <w:hideMark/>
          </w:tcPr>
          <w:p w14:paraId="71220DBB" w14:textId="77777777" w:rsidR="00F5563F" w:rsidRPr="009E06AA" w:rsidRDefault="00F5563F" w:rsidP="00F5563F">
            <w:pPr>
              <w:pStyle w:val="TableText"/>
              <w:spacing w:before="30" w:after="30"/>
              <w:rPr>
                <w:rFonts w:cs="Calibri"/>
                <w:szCs w:val="16"/>
              </w:rPr>
            </w:pPr>
            <w:r w:rsidRPr="009E06AA">
              <w:rPr>
                <w:rFonts w:cs="Calibri"/>
                <w:szCs w:val="16"/>
              </w:rPr>
              <w:t>CS</w:t>
            </w:r>
          </w:p>
        </w:tc>
        <w:tc>
          <w:tcPr>
            <w:tcW w:w="812" w:type="dxa"/>
            <w:tcBorders>
              <w:top w:val="nil"/>
              <w:left w:val="nil"/>
              <w:bottom w:val="nil"/>
              <w:right w:val="nil"/>
            </w:tcBorders>
            <w:shd w:val="clear" w:color="auto" w:fill="auto"/>
            <w:noWrap/>
            <w:vAlign w:val="center"/>
            <w:hideMark/>
          </w:tcPr>
          <w:p w14:paraId="4275AAFB" w14:textId="5E85769D" w:rsidR="00F5563F" w:rsidRPr="009E06AA" w:rsidRDefault="00F5563F" w:rsidP="00F5563F">
            <w:pPr>
              <w:pStyle w:val="TableText"/>
              <w:spacing w:before="30" w:after="30"/>
              <w:rPr>
                <w:rFonts w:cs="Calibri"/>
                <w:color w:val="FFFFFF"/>
                <w:szCs w:val="16"/>
              </w:rPr>
            </w:pPr>
            <w:r w:rsidRPr="009E06AA">
              <w:rPr>
                <w:rFonts w:cs="Calibri"/>
                <w:color w:val="FFFFFF"/>
                <w:szCs w:val="16"/>
              </w:rPr>
              <w:t>-</w:t>
            </w:r>
            <w:r w:rsidRPr="00204D2F">
              <w:rPr>
                <w:b/>
                <w:bCs/>
              </w:rPr>
              <w:t>–</w:t>
            </w:r>
          </w:p>
        </w:tc>
        <w:tc>
          <w:tcPr>
            <w:tcW w:w="812" w:type="dxa"/>
            <w:tcBorders>
              <w:top w:val="nil"/>
              <w:left w:val="nil"/>
              <w:bottom w:val="nil"/>
              <w:right w:val="nil"/>
            </w:tcBorders>
            <w:shd w:val="clear" w:color="auto" w:fill="auto"/>
            <w:noWrap/>
            <w:vAlign w:val="center"/>
            <w:hideMark/>
          </w:tcPr>
          <w:p w14:paraId="372D3653" w14:textId="41244ADD" w:rsidR="00F5563F" w:rsidRPr="009E06AA" w:rsidRDefault="00F5563F" w:rsidP="00F5563F">
            <w:pPr>
              <w:pStyle w:val="TableText"/>
              <w:spacing w:before="30" w:after="30"/>
              <w:rPr>
                <w:rFonts w:cs="Calibri"/>
                <w:color w:val="FFFFFF"/>
                <w:szCs w:val="16"/>
              </w:rPr>
            </w:pPr>
            <w:r w:rsidRPr="009E06AA">
              <w:rPr>
                <w:rFonts w:cs="Calibri"/>
                <w:color w:val="FFFFFF"/>
                <w:szCs w:val="16"/>
              </w:rPr>
              <w:t>-</w:t>
            </w:r>
            <w:r w:rsidRPr="00204D2F">
              <w:rPr>
                <w:b/>
                <w:bCs/>
              </w:rPr>
              <w:t>–</w:t>
            </w:r>
          </w:p>
        </w:tc>
      </w:tr>
      <w:tr w:rsidR="00F5563F" w:rsidRPr="009E06AA" w14:paraId="0DA7DC14" w14:textId="77777777" w:rsidTr="00B55F24">
        <w:tc>
          <w:tcPr>
            <w:tcW w:w="320" w:type="dxa"/>
            <w:vMerge/>
            <w:tcBorders>
              <w:top w:val="single" w:sz="8" w:space="0" w:color="365F91"/>
              <w:left w:val="nil"/>
              <w:right w:val="nil"/>
            </w:tcBorders>
            <w:vAlign w:val="center"/>
            <w:hideMark/>
          </w:tcPr>
          <w:p w14:paraId="3302DC86" w14:textId="77777777" w:rsidR="00F5563F" w:rsidRPr="009E06AA" w:rsidRDefault="00F5563F" w:rsidP="00F5563F">
            <w:pPr>
              <w:pStyle w:val="TableText"/>
              <w:spacing w:before="50" w:after="50"/>
              <w:rPr>
                <w:rFonts w:cs="Calibri"/>
                <w:szCs w:val="16"/>
              </w:rPr>
            </w:pPr>
          </w:p>
        </w:tc>
        <w:tc>
          <w:tcPr>
            <w:tcW w:w="3366" w:type="dxa"/>
            <w:tcBorders>
              <w:top w:val="nil"/>
              <w:left w:val="nil"/>
              <w:bottom w:val="nil"/>
              <w:right w:val="nil"/>
            </w:tcBorders>
            <w:shd w:val="clear" w:color="auto" w:fill="auto"/>
            <w:vAlign w:val="center"/>
            <w:hideMark/>
          </w:tcPr>
          <w:p w14:paraId="0FD2C16C" w14:textId="77777777" w:rsidR="00F5563F" w:rsidRPr="009E06AA" w:rsidRDefault="00F5563F" w:rsidP="00F5563F">
            <w:pPr>
              <w:pStyle w:val="TableText"/>
              <w:spacing w:before="30" w:after="30"/>
              <w:rPr>
                <w:rFonts w:cs="Calibri"/>
                <w:szCs w:val="16"/>
              </w:rPr>
            </w:pPr>
            <w:r w:rsidRPr="009E06AA">
              <w:rPr>
                <w:rFonts w:cs="Calibri"/>
                <w:szCs w:val="16"/>
              </w:rPr>
              <w:t>Mineralisation associated with Loss of Soil Organic Matter</w:t>
            </w:r>
          </w:p>
        </w:tc>
        <w:tc>
          <w:tcPr>
            <w:tcW w:w="850" w:type="dxa"/>
            <w:tcBorders>
              <w:top w:val="nil"/>
              <w:left w:val="nil"/>
              <w:bottom w:val="nil"/>
              <w:right w:val="nil"/>
            </w:tcBorders>
            <w:shd w:val="clear" w:color="auto" w:fill="auto"/>
            <w:noWrap/>
            <w:vAlign w:val="center"/>
            <w:hideMark/>
          </w:tcPr>
          <w:p w14:paraId="2352FD51" w14:textId="77777777" w:rsidR="00F5563F" w:rsidRPr="009E06AA" w:rsidRDefault="00F5563F" w:rsidP="00F5563F">
            <w:pPr>
              <w:pStyle w:val="TableText"/>
              <w:spacing w:before="30" w:after="30"/>
              <w:rPr>
                <w:rFonts w:cs="Calibri"/>
                <w:color w:val="FFFFFF"/>
                <w:szCs w:val="16"/>
              </w:rPr>
            </w:pPr>
            <w:r w:rsidRPr="009E06AA">
              <w:rPr>
                <w:rFonts w:cs="Calibri"/>
                <w:color w:val="FFFFFF"/>
                <w:szCs w:val="16"/>
              </w:rPr>
              <w:t>-</w:t>
            </w:r>
          </w:p>
        </w:tc>
        <w:tc>
          <w:tcPr>
            <w:tcW w:w="851" w:type="dxa"/>
            <w:tcBorders>
              <w:top w:val="nil"/>
              <w:left w:val="nil"/>
              <w:bottom w:val="nil"/>
              <w:right w:val="nil"/>
            </w:tcBorders>
            <w:shd w:val="clear" w:color="auto" w:fill="auto"/>
            <w:noWrap/>
            <w:vAlign w:val="center"/>
            <w:hideMark/>
          </w:tcPr>
          <w:p w14:paraId="41CCBEED" w14:textId="77777777" w:rsidR="00F5563F" w:rsidRPr="009E06AA" w:rsidRDefault="00F5563F" w:rsidP="00F5563F">
            <w:pPr>
              <w:pStyle w:val="TableText"/>
              <w:spacing w:before="30" w:after="30"/>
              <w:rPr>
                <w:rFonts w:cs="Calibri"/>
                <w:color w:val="FFFFFF"/>
                <w:szCs w:val="16"/>
              </w:rPr>
            </w:pPr>
            <w:r w:rsidRPr="009E06AA">
              <w:rPr>
                <w:rFonts w:cs="Calibri"/>
                <w:color w:val="FFFFFF"/>
                <w:szCs w:val="16"/>
              </w:rPr>
              <w:t>-</w:t>
            </w:r>
          </w:p>
        </w:tc>
        <w:tc>
          <w:tcPr>
            <w:tcW w:w="709" w:type="dxa"/>
            <w:tcBorders>
              <w:top w:val="nil"/>
              <w:left w:val="nil"/>
              <w:bottom w:val="nil"/>
              <w:right w:val="nil"/>
            </w:tcBorders>
            <w:shd w:val="clear" w:color="auto" w:fill="auto"/>
            <w:noWrap/>
            <w:vAlign w:val="center"/>
            <w:hideMark/>
          </w:tcPr>
          <w:p w14:paraId="66C57445" w14:textId="77777777" w:rsidR="00F5563F" w:rsidRPr="009E06AA" w:rsidRDefault="00F5563F" w:rsidP="00F5563F">
            <w:pPr>
              <w:pStyle w:val="TableText"/>
              <w:spacing w:before="30" w:after="30"/>
              <w:rPr>
                <w:rFonts w:cs="Calibri"/>
                <w:szCs w:val="16"/>
              </w:rPr>
            </w:pPr>
            <w:r w:rsidRPr="009E06AA">
              <w:rPr>
                <w:rFonts w:cs="Calibri"/>
                <w:szCs w:val="16"/>
              </w:rPr>
              <w:t>T1</w:t>
            </w:r>
          </w:p>
        </w:tc>
        <w:tc>
          <w:tcPr>
            <w:tcW w:w="794" w:type="dxa"/>
            <w:tcBorders>
              <w:top w:val="nil"/>
              <w:left w:val="nil"/>
              <w:bottom w:val="nil"/>
              <w:right w:val="nil"/>
            </w:tcBorders>
            <w:shd w:val="clear" w:color="auto" w:fill="auto"/>
            <w:noWrap/>
            <w:vAlign w:val="center"/>
            <w:hideMark/>
          </w:tcPr>
          <w:p w14:paraId="400A63AB" w14:textId="77777777" w:rsidR="00F5563F" w:rsidRPr="009E06AA" w:rsidRDefault="00F5563F" w:rsidP="00F5563F">
            <w:pPr>
              <w:pStyle w:val="TableText"/>
              <w:spacing w:before="30" w:after="30"/>
              <w:rPr>
                <w:rFonts w:cs="Calibri"/>
                <w:szCs w:val="16"/>
              </w:rPr>
            </w:pPr>
            <w:r w:rsidRPr="009E06AA">
              <w:rPr>
                <w:rFonts w:cs="Calibri"/>
                <w:szCs w:val="16"/>
              </w:rPr>
              <w:t>D</w:t>
            </w:r>
          </w:p>
        </w:tc>
        <w:tc>
          <w:tcPr>
            <w:tcW w:w="812" w:type="dxa"/>
            <w:tcBorders>
              <w:top w:val="nil"/>
              <w:left w:val="nil"/>
              <w:bottom w:val="nil"/>
              <w:right w:val="nil"/>
            </w:tcBorders>
            <w:shd w:val="clear" w:color="auto" w:fill="auto"/>
            <w:noWrap/>
            <w:vAlign w:val="center"/>
            <w:hideMark/>
          </w:tcPr>
          <w:p w14:paraId="699E6079" w14:textId="2858D45B" w:rsidR="00F5563F" w:rsidRPr="009E06AA" w:rsidRDefault="00F5563F" w:rsidP="00F5563F">
            <w:pPr>
              <w:pStyle w:val="TableText"/>
              <w:spacing w:before="30" w:after="30"/>
              <w:rPr>
                <w:rFonts w:cs="Calibri"/>
                <w:color w:val="FFFFFF"/>
                <w:szCs w:val="16"/>
              </w:rPr>
            </w:pPr>
            <w:r w:rsidRPr="009E06AA">
              <w:rPr>
                <w:rFonts w:cs="Calibri"/>
                <w:color w:val="FFFFFF"/>
                <w:szCs w:val="16"/>
              </w:rPr>
              <w:t>-</w:t>
            </w:r>
            <w:r w:rsidRPr="00204D2F">
              <w:rPr>
                <w:b/>
                <w:bCs/>
              </w:rPr>
              <w:t>–</w:t>
            </w:r>
          </w:p>
        </w:tc>
        <w:tc>
          <w:tcPr>
            <w:tcW w:w="812" w:type="dxa"/>
            <w:tcBorders>
              <w:top w:val="nil"/>
              <w:left w:val="nil"/>
              <w:bottom w:val="nil"/>
              <w:right w:val="nil"/>
            </w:tcBorders>
            <w:shd w:val="clear" w:color="auto" w:fill="auto"/>
            <w:noWrap/>
            <w:vAlign w:val="center"/>
            <w:hideMark/>
          </w:tcPr>
          <w:p w14:paraId="7BE7FB7D" w14:textId="72D77941" w:rsidR="00F5563F" w:rsidRPr="009E06AA" w:rsidRDefault="00F5563F" w:rsidP="00F5563F">
            <w:pPr>
              <w:pStyle w:val="TableText"/>
              <w:spacing w:before="30" w:after="30"/>
              <w:rPr>
                <w:rFonts w:cs="Calibri"/>
                <w:color w:val="FFFFFF"/>
                <w:szCs w:val="16"/>
              </w:rPr>
            </w:pPr>
            <w:r w:rsidRPr="009E06AA">
              <w:rPr>
                <w:rFonts w:cs="Calibri"/>
                <w:color w:val="FFFFFF"/>
                <w:szCs w:val="16"/>
              </w:rPr>
              <w:t>-</w:t>
            </w:r>
            <w:r w:rsidRPr="00204D2F">
              <w:rPr>
                <w:b/>
                <w:bCs/>
              </w:rPr>
              <w:t>–</w:t>
            </w:r>
          </w:p>
        </w:tc>
      </w:tr>
      <w:tr w:rsidR="00F5563F" w:rsidRPr="009E06AA" w14:paraId="04F89B84" w14:textId="77777777" w:rsidTr="00B55F24">
        <w:tc>
          <w:tcPr>
            <w:tcW w:w="320" w:type="dxa"/>
            <w:vMerge/>
            <w:tcBorders>
              <w:top w:val="single" w:sz="8" w:space="0" w:color="365F91"/>
              <w:left w:val="nil"/>
              <w:bottom w:val="single" w:sz="4" w:space="0" w:color="1B556B"/>
              <w:right w:val="nil"/>
            </w:tcBorders>
            <w:vAlign w:val="center"/>
            <w:hideMark/>
          </w:tcPr>
          <w:p w14:paraId="7BB2B3DE" w14:textId="77777777" w:rsidR="00F5563F" w:rsidRPr="009E06AA" w:rsidRDefault="00F5563F" w:rsidP="00F5563F">
            <w:pPr>
              <w:pStyle w:val="TableText"/>
              <w:spacing w:before="50" w:after="50"/>
              <w:rPr>
                <w:rFonts w:cs="Calibri"/>
                <w:szCs w:val="16"/>
              </w:rPr>
            </w:pPr>
          </w:p>
        </w:tc>
        <w:tc>
          <w:tcPr>
            <w:tcW w:w="3366" w:type="dxa"/>
            <w:tcBorders>
              <w:top w:val="nil"/>
              <w:left w:val="nil"/>
              <w:bottom w:val="single" w:sz="4" w:space="0" w:color="1B556B"/>
              <w:right w:val="nil"/>
            </w:tcBorders>
            <w:shd w:val="clear" w:color="auto" w:fill="auto"/>
            <w:vAlign w:val="center"/>
            <w:hideMark/>
          </w:tcPr>
          <w:p w14:paraId="11AB4C3B" w14:textId="77777777" w:rsidR="00F5563F" w:rsidRPr="009E06AA" w:rsidRDefault="00F5563F" w:rsidP="00F5563F">
            <w:pPr>
              <w:pStyle w:val="TableText"/>
              <w:spacing w:before="30" w:after="30"/>
              <w:rPr>
                <w:rFonts w:cs="Calibri"/>
                <w:szCs w:val="16"/>
              </w:rPr>
            </w:pPr>
            <w:r w:rsidRPr="009E06AA">
              <w:rPr>
                <w:rFonts w:cs="Calibri"/>
                <w:szCs w:val="16"/>
              </w:rPr>
              <w:t>Cultivation of Organic Soils</w:t>
            </w:r>
          </w:p>
        </w:tc>
        <w:tc>
          <w:tcPr>
            <w:tcW w:w="850" w:type="dxa"/>
            <w:tcBorders>
              <w:top w:val="nil"/>
              <w:left w:val="nil"/>
              <w:bottom w:val="single" w:sz="4" w:space="0" w:color="1B556B"/>
              <w:right w:val="nil"/>
            </w:tcBorders>
            <w:shd w:val="clear" w:color="auto" w:fill="auto"/>
            <w:noWrap/>
            <w:vAlign w:val="center"/>
            <w:hideMark/>
          </w:tcPr>
          <w:p w14:paraId="73981B38" w14:textId="77777777" w:rsidR="00F5563F" w:rsidRPr="009E06AA" w:rsidRDefault="00F5563F" w:rsidP="00F5563F">
            <w:pPr>
              <w:pStyle w:val="TableText"/>
              <w:spacing w:before="30" w:after="30"/>
              <w:rPr>
                <w:rFonts w:cs="Calibri"/>
                <w:color w:val="FFFFFF"/>
                <w:szCs w:val="16"/>
              </w:rPr>
            </w:pPr>
            <w:r w:rsidRPr="009E06AA">
              <w:rPr>
                <w:rFonts w:cs="Calibri"/>
                <w:color w:val="FFFFFF"/>
                <w:szCs w:val="16"/>
              </w:rPr>
              <w:t>-</w:t>
            </w:r>
          </w:p>
        </w:tc>
        <w:tc>
          <w:tcPr>
            <w:tcW w:w="851" w:type="dxa"/>
            <w:tcBorders>
              <w:top w:val="nil"/>
              <w:left w:val="nil"/>
              <w:bottom w:val="single" w:sz="4" w:space="0" w:color="1B556B"/>
              <w:right w:val="nil"/>
            </w:tcBorders>
            <w:shd w:val="clear" w:color="auto" w:fill="auto"/>
            <w:noWrap/>
            <w:vAlign w:val="center"/>
            <w:hideMark/>
          </w:tcPr>
          <w:p w14:paraId="2D591E7E" w14:textId="77777777" w:rsidR="00F5563F" w:rsidRPr="009E06AA" w:rsidRDefault="00F5563F" w:rsidP="00F5563F">
            <w:pPr>
              <w:pStyle w:val="TableText"/>
              <w:spacing w:before="30" w:after="30"/>
              <w:rPr>
                <w:rFonts w:cs="Calibri"/>
                <w:color w:val="FFFFFF"/>
                <w:szCs w:val="16"/>
              </w:rPr>
            </w:pPr>
            <w:r w:rsidRPr="009E06AA">
              <w:rPr>
                <w:rFonts w:cs="Calibri"/>
                <w:color w:val="FFFFFF"/>
                <w:szCs w:val="16"/>
              </w:rPr>
              <w:t>-</w:t>
            </w:r>
          </w:p>
        </w:tc>
        <w:tc>
          <w:tcPr>
            <w:tcW w:w="709" w:type="dxa"/>
            <w:tcBorders>
              <w:top w:val="nil"/>
              <w:left w:val="nil"/>
              <w:bottom w:val="single" w:sz="4" w:space="0" w:color="1B556B"/>
              <w:right w:val="nil"/>
            </w:tcBorders>
            <w:shd w:val="clear" w:color="auto" w:fill="auto"/>
            <w:noWrap/>
            <w:vAlign w:val="center"/>
            <w:hideMark/>
          </w:tcPr>
          <w:p w14:paraId="4EF39805" w14:textId="77777777" w:rsidR="00F5563F" w:rsidRPr="009E06AA" w:rsidRDefault="00F5563F" w:rsidP="00F5563F">
            <w:pPr>
              <w:pStyle w:val="TableText"/>
              <w:spacing w:before="30" w:after="30"/>
              <w:rPr>
                <w:rFonts w:cs="Calibri"/>
                <w:szCs w:val="16"/>
              </w:rPr>
            </w:pPr>
            <w:r w:rsidRPr="009E06AA">
              <w:rPr>
                <w:rFonts w:cs="Calibri"/>
                <w:szCs w:val="16"/>
              </w:rPr>
              <w:t>T1</w:t>
            </w:r>
          </w:p>
        </w:tc>
        <w:tc>
          <w:tcPr>
            <w:tcW w:w="794" w:type="dxa"/>
            <w:tcBorders>
              <w:top w:val="nil"/>
              <w:left w:val="nil"/>
              <w:bottom w:val="single" w:sz="4" w:space="0" w:color="1B556B"/>
              <w:right w:val="nil"/>
            </w:tcBorders>
            <w:shd w:val="clear" w:color="auto" w:fill="auto"/>
            <w:noWrap/>
            <w:vAlign w:val="center"/>
            <w:hideMark/>
          </w:tcPr>
          <w:p w14:paraId="721BE642" w14:textId="77777777" w:rsidR="00F5563F" w:rsidRPr="009E06AA" w:rsidRDefault="00F5563F" w:rsidP="00F5563F">
            <w:pPr>
              <w:pStyle w:val="TableText"/>
              <w:spacing w:before="30" w:after="30"/>
              <w:rPr>
                <w:rFonts w:cs="Calibri"/>
                <w:szCs w:val="16"/>
              </w:rPr>
            </w:pPr>
            <w:r w:rsidRPr="009E06AA">
              <w:rPr>
                <w:rFonts w:cs="Calibri"/>
                <w:szCs w:val="16"/>
              </w:rPr>
              <w:t>D</w:t>
            </w:r>
          </w:p>
        </w:tc>
        <w:tc>
          <w:tcPr>
            <w:tcW w:w="812" w:type="dxa"/>
            <w:tcBorders>
              <w:top w:val="nil"/>
              <w:left w:val="nil"/>
              <w:bottom w:val="single" w:sz="4" w:space="0" w:color="1B556B"/>
              <w:right w:val="nil"/>
            </w:tcBorders>
            <w:shd w:val="clear" w:color="auto" w:fill="auto"/>
            <w:noWrap/>
            <w:vAlign w:val="center"/>
            <w:hideMark/>
          </w:tcPr>
          <w:p w14:paraId="335D6824" w14:textId="4F53966B" w:rsidR="00F5563F" w:rsidRPr="009E06AA" w:rsidRDefault="00F5563F" w:rsidP="00F5563F">
            <w:pPr>
              <w:pStyle w:val="TableText"/>
              <w:spacing w:before="30" w:after="30"/>
              <w:rPr>
                <w:rFonts w:cs="Calibri"/>
                <w:color w:val="FFFFFF"/>
                <w:szCs w:val="16"/>
              </w:rPr>
            </w:pPr>
            <w:r w:rsidRPr="009E06AA">
              <w:rPr>
                <w:rFonts w:cs="Calibri"/>
                <w:color w:val="FFFFFF"/>
                <w:szCs w:val="16"/>
              </w:rPr>
              <w:t>-</w:t>
            </w:r>
            <w:r w:rsidRPr="00204D2F">
              <w:rPr>
                <w:b/>
                <w:bCs/>
              </w:rPr>
              <w:t>–</w:t>
            </w:r>
          </w:p>
        </w:tc>
        <w:tc>
          <w:tcPr>
            <w:tcW w:w="812" w:type="dxa"/>
            <w:tcBorders>
              <w:top w:val="nil"/>
              <w:left w:val="nil"/>
              <w:bottom w:val="single" w:sz="4" w:space="0" w:color="1B556B"/>
              <w:right w:val="nil"/>
            </w:tcBorders>
            <w:shd w:val="clear" w:color="auto" w:fill="auto"/>
            <w:noWrap/>
            <w:vAlign w:val="center"/>
            <w:hideMark/>
          </w:tcPr>
          <w:p w14:paraId="2170F1CA" w14:textId="54BE5E9C" w:rsidR="00F5563F" w:rsidRPr="009E06AA" w:rsidRDefault="00F5563F" w:rsidP="00F5563F">
            <w:pPr>
              <w:pStyle w:val="TableText"/>
              <w:spacing w:before="30" w:after="30"/>
              <w:rPr>
                <w:rFonts w:cs="Calibri"/>
                <w:color w:val="FFFFFF"/>
                <w:szCs w:val="16"/>
              </w:rPr>
            </w:pPr>
            <w:r w:rsidRPr="009E06AA">
              <w:rPr>
                <w:rFonts w:cs="Calibri"/>
                <w:color w:val="FFFFFF"/>
                <w:szCs w:val="16"/>
              </w:rPr>
              <w:t>-</w:t>
            </w:r>
            <w:r w:rsidRPr="00204D2F">
              <w:rPr>
                <w:b/>
                <w:bCs/>
              </w:rPr>
              <w:t>–</w:t>
            </w:r>
          </w:p>
        </w:tc>
      </w:tr>
      <w:tr w:rsidR="00465555" w:rsidRPr="009E06AA" w14:paraId="4AD476B2" w14:textId="77777777" w:rsidTr="00B55F24">
        <w:tc>
          <w:tcPr>
            <w:tcW w:w="320" w:type="dxa"/>
            <w:vMerge w:val="restart"/>
            <w:tcBorders>
              <w:top w:val="single" w:sz="4" w:space="0" w:color="1B556B"/>
              <w:left w:val="nil"/>
              <w:bottom w:val="single" w:sz="4" w:space="0" w:color="365F91"/>
              <w:right w:val="nil"/>
            </w:tcBorders>
            <w:shd w:val="clear" w:color="auto" w:fill="auto"/>
            <w:noWrap/>
            <w:vAlign w:val="center"/>
            <w:hideMark/>
          </w:tcPr>
          <w:p w14:paraId="5072D538" w14:textId="77777777" w:rsidR="00465555" w:rsidRPr="009E06AA" w:rsidRDefault="00465555" w:rsidP="00465555">
            <w:pPr>
              <w:pStyle w:val="TableText"/>
              <w:spacing w:before="50" w:after="50"/>
              <w:rPr>
                <w:rFonts w:cs="Calibri"/>
                <w:szCs w:val="16"/>
              </w:rPr>
            </w:pPr>
            <w:r w:rsidRPr="009E06AA">
              <w:rPr>
                <w:rFonts w:cs="Calibri"/>
                <w:szCs w:val="16"/>
              </w:rPr>
              <w:t>2</w:t>
            </w:r>
          </w:p>
        </w:tc>
        <w:tc>
          <w:tcPr>
            <w:tcW w:w="3366" w:type="dxa"/>
            <w:tcBorders>
              <w:top w:val="single" w:sz="4" w:space="0" w:color="1B556B"/>
              <w:left w:val="nil"/>
              <w:bottom w:val="nil"/>
              <w:right w:val="nil"/>
            </w:tcBorders>
            <w:shd w:val="clear" w:color="auto" w:fill="auto"/>
            <w:vAlign w:val="center"/>
            <w:hideMark/>
          </w:tcPr>
          <w:p w14:paraId="606A9D02" w14:textId="77777777" w:rsidR="00465555" w:rsidRPr="009E06AA" w:rsidRDefault="00465555" w:rsidP="00465555">
            <w:pPr>
              <w:pStyle w:val="TableText"/>
              <w:spacing w:before="40" w:after="0"/>
              <w:rPr>
                <w:rFonts w:cs="Calibri"/>
                <w:szCs w:val="16"/>
              </w:rPr>
            </w:pPr>
            <w:r w:rsidRPr="009E06AA">
              <w:rPr>
                <w:rFonts w:cs="Calibri"/>
                <w:szCs w:val="16"/>
              </w:rPr>
              <w:t>Indirect Emissions</w:t>
            </w:r>
          </w:p>
        </w:tc>
        <w:tc>
          <w:tcPr>
            <w:tcW w:w="850" w:type="dxa"/>
            <w:tcBorders>
              <w:top w:val="single" w:sz="4" w:space="0" w:color="1B556B"/>
              <w:left w:val="nil"/>
              <w:bottom w:val="nil"/>
              <w:right w:val="nil"/>
            </w:tcBorders>
            <w:shd w:val="clear" w:color="auto" w:fill="auto"/>
            <w:noWrap/>
            <w:vAlign w:val="center"/>
            <w:hideMark/>
          </w:tcPr>
          <w:p w14:paraId="7516437E" w14:textId="77777777" w:rsidR="00465555" w:rsidRPr="009E06AA" w:rsidRDefault="00465555" w:rsidP="00465555">
            <w:pPr>
              <w:pStyle w:val="TableText"/>
              <w:spacing w:before="40" w:after="0"/>
              <w:rPr>
                <w:rFonts w:cs="Calibri"/>
                <w:color w:val="FFFFFF"/>
                <w:szCs w:val="16"/>
              </w:rPr>
            </w:pPr>
            <w:r w:rsidRPr="009E06AA">
              <w:rPr>
                <w:rFonts w:cs="Calibri"/>
                <w:color w:val="FFFFFF"/>
                <w:szCs w:val="16"/>
              </w:rPr>
              <w:t>-</w:t>
            </w:r>
          </w:p>
        </w:tc>
        <w:tc>
          <w:tcPr>
            <w:tcW w:w="851" w:type="dxa"/>
            <w:tcBorders>
              <w:top w:val="single" w:sz="4" w:space="0" w:color="1B556B"/>
              <w:left w:val="nil"/>
              <w:bottom w:val="nil"/>
              <w:right w:val="nil"/>
            </w:tcBorders>
            <w:shd w:val="clear" w:color="auto" w:fill="auto"/>
            <w:noWrap/>
            <w:vAlign w:val="center"/>
            <w:hideMark/>
          </w:tcPr>
          <w:p w14:paraId="72283CF2" w14:textId="77777777" w:rsidR="00465555" w:rsidRPr="009E06AA" w:rsidRDefault="00465555" w:rsidP="00465555">
            <w:pPr>
              <w:pStyle w:val="TableText"/>
              <w:spacing w:before="40" w:after="0"/>
              <w:rPr>
                <w:rFonts w:cs="Calibri"/>
                <w:color w:val="FFFFFF"/>
                <w:szCs w:val="16"/>
              </w:rPr>
            </w:pPr>
            <w:r w:rsidRPr="009E06AA">
              <w:rPr>
                <w:rFonts w:cs="Calibri"/>
                <w:color w:val="FFFFFF"/>
                <w:szCs w:val="16"/>
              </w:rPr>
              <w:t>-</w:t>
            </w:r>
          </w:p>
        </w:tc>
        <w:tc>
          <w:tcPr>
            <w:tcW w:w="709" w:type="dxa"/>
            <w:tcBorders>
              <w:top w:val="single" w:sz="4" w:space="0" w:color="1B556B"/>
              <w:left w:val="nil"/>
              <w:bottom w:val="nil"/>
              <w:right w:val="nil"/>
            </w:tcBorders>
            <w:shd w:val="clear" w:color="auto" w:fill="auto"/>
            <w:noWrap/>
            <w:vAlign w:val="center"/>
            <w:hideMark/>
          </w:tcPr>
          <w:p w14:paraId="0CB6F9A4" w14:textId="77777777" w:rsidR="00465555" w:rsidRPr="009E06AA" w:rsidRDefault="00465555" w:rsidP="00465555">
            <w:pPr>
              <w:pStyle w:val="TableText"/>
              <w:spacing w:before="40" w:after="0"/>
              <w:rPr>
                <w:rFonts w:cs="Calibri"/>
                <w:color w:val="FFFFFF"/>
                <w:szCs w:val="16"/>
              </w:rPr>
            </w:pPr>
            <w:r w:rsidRPr="009E06AA">
              <w:rPr>
                <w:rFonts w:cs="Calibri"/>
                <w:color w:val="FFFFFF"/>
                <w:szCs w:val="16"/>
              </w:rPr>
              <w:t>-</w:t>
            </w:r>
          </w:p>
        </w:tc>
        <w:tc>
          <w:tcPr>
            <w:tcW w:w="794" w:type="dxa"/>
            <w:tcBorders>
              <w:top w:val="single" w:sz="4" w:space="0" w:color="1B556B"/>
              <w:left w:val="nil"/>
              <w:bottom w:val="nil"/>
              <w:right w:val="nil"/>
            </w:tcBorders>
            <w:shd w:val="clear" w:color="auto" w:fill="auto"/>
            <w:noWrap/>
            <w:vAlign w:val="center"/>
            <w:hideMark/>
          </w:tcPr>
          <w:p w14:paraId="6293C771" w14:textId="77777777" w:rsidR="00465555" w:rsidRPr="009E06AA" w:rsidRDefault="00465555" w:rsidP="00465555">
            <w:pPr>
              <w:pStyle w:val="TableText"/>
              <w:spacing w:before="40" w:after="0"/>
              <w:rPr>
                <w:rFonts w:cs="Calibri"/>
                <w:color w:val="FFFFFF"/>
                <w:szCs w:val="16"/>
              </w:rPr>
            </w:pPr>
            <w:r w:rsidRPr="009E06AA">
              <w:rPr>
                <w:rFonts w:cs="Calibri"/>
                <w:color w:val="FFFFFF"/>
                <w:szCs w:val="16"/>
              </w:rPr>
              <w:t>-</w:t>
            </w:r>
          </w:p>
        </w:tc>
        <w:tc>
          <w:tcPr>
            <w:tcW w:w="812" w:type="dxa"/>
            <w:tcBorders>
              <w:top w:val="single" w:sz="4" w:space="0" w:color="1B556B"/>
              <w:left w:val="nil"/>
              <w:bottom w:val="nil"/>
              <w:right w:val="nil"/>
            </w:tcBorders>
            <w:shd w:val="clear" w:color="auto" w:fill="auto"/>
            <w:noWrap/>
            <w:vAlign w:val="center"/>
            <w:hideMark/>
          </w:tcPr>
          <w:p w14:paraId="5A572319" w14:textId="77777777" w:rsidR="00465555" w:rsidRPr="009E06AA" w:rsidRDefault="00465555" w:rsidP="00465555">
            <w:pPr>
              <w:pStyle w:val="TableText"/>
              <w:spacing w:before="40" w:after="0"/>
              <w:rPr>
                <w:rFonts w:cs="Calibri"/>
                <w:color w:val="FFFFFF"/>
                <w:szCs w:val="16"/>
              </w:rPr>
            </w:pPr>
            <w:r w:rsidRPr="009E06AA">
              <w:rPr>
                <w:rFonts w:cs="Calibri"/>
                <w:color w:val="FFFFFF"/>
                <w:szCs w:val="16"/>
              </w:rPr>
              <w:t>-</w:t>
            </w:r>
          </w:p>
        </w:tc>
        <w:tc>
          <w:tcPr>
            <w:tcW w:w="812" w:type="dxa"/>
            <w:tcBorders>
              <w:top w:val="single" w:sz="4" w:space="0" w:color="1B556B"/>
              <w:left w:val="nil"/>
              <w:bottom w:val="nil"/>
              <w:right w:val="nil"/>
            </w:tcBorders>
            <w:shd w:val="clear" w:color="auto" w:fill="auto"/>
            <w:noWrap/>
            <w:vAlign w:val="center"/>
            <w:hideMark/>
          </w:tcPr>
          <w:p w14:paraId="5BEA693F" w14:textId="77777777" w:rsidR="00465555" w:rsidRPr="009E06AA" w:rsidRDefault="00465555" w:rsidP="00465555">
            <w:pPr>
              <w:pStyle w:val="TableText"/>
              <w:spacing w:before="40" w:after="40"/>
              <w:rPr>
                <w:rFonts w:cs="Calibri"/>
                <w:color w:val="FFFFFF"/>
                <w:szCs w:val="16"/>
              </w:rPr>
            </w:pPr>
            <w:r w:rsidRPr="009E06AA">
              <w:rPr>
                <w:rFonts w:cs="Calibri"/>
                <w:color w:val="FFFFFF"/>
                <w:szCs w:val="16"/>
              </w:rPr>
              <w:t>-</w:t>
            </w:r>
          </w:p>
        </w:tc>
      </w:tr>
      <w:tr w:rsidR="00F5563F" w:rsidRPr="009E06AA" w14:paraId="2BF29D6F" w14:textId="77777777" w:rsidTr="00B55F24">
        <w:tc>
          <w:tcPr>
            <w:tcW w:w="320" w:type="dxa"/>
            <w:vMerge/>
            <w:tcBorders>
              <w:top w:val="single" w:sz="8" w:space="0" w:color="365F91"/>
              <w:left w:val="nil"/>
              <w:bottom w:val="single" w:sz="4" w:space="0" w:color="365F91"/>
              <w:right w:val="nil"/>
            </w:tcBorders>
            <w:vAlign w:val="center"/>
            <w:hideMark/>
          </w:tcPr>
          <w:p w14:paraId="53DA5837" w14:textId="77777777" w:rsidR="00F5563F" w:rsidRPr="009E06AA" w:rsidRDefault="00F5563F" w:rsidP="00F5563F">
            <w:pPr>
              <w:pStyle w:val="TableText"/>
              <w:spacing w:before="50" w:after="50"/>
              <w:rPr>
                <w:rFonts w:cs="Calibri"/>
                <w:szCs w:val="16"/>
              </w:rPr>
            </w:pPr>
          </w:p>
        </w:tc>
        <w:tc>
          <w:tcPr>
            <w:tcW w:w="3366" w:type="dxa"/>
            <w:tcBorders>
              <w:top w:val="nil"/>
              <w:left w:val="nil"/>
              <w:bottom w:val="nil"/>
              <w:right w:val="nil"/>
            </w:tcBorders>
            <w:shd w:val="clear" w:color="auto" w:fill="auto"/>
            <w:vAlign w:val="center"/>
            <w:hideMark/>
          </w:tcPr>
          <w:p w14:paraId="7A770FBE" w14:textId="77777777" w:rsidR="00F5563F" w:rsidRPr="009E06AA" w:rsidRDefault="00F5563F" w:rsidP="00F5563F">
            <w:pPr>
              <w:pStyle w:val="TableText"/>
              <w:spacing w:before="0" w:after="0"/>
              <w:rPr>
                <w:rFonts w:cs="Calibri"/>
                <w:szCs w:val="16"/>
              </w:rPr>
            </w:pPr>
            <w:r w:rsidRPr="009E06AA">
              <w:rPr>
                <w:rFonts w:cs="Calibri"/>
                <w:szCs w:val="16"/>
              </w:rPr>
              <w:t>Atmospheric Deposition</w:t>
            </w:r>
          </w:p>
        </w:tc>
        <w:tc>
          <w:tcPr>
            <w:tcW w:w="850" w:type="dxa"/>
            <w:tcBorders>
              <w:top w:val="nil"/>
              <w:left w:val="nil"/>
              <w:bottom w:val="nil"/>
              <w:right w:val="nil"/>
            </w:tcBorders>
            <w:shd w:val="clear" w:color="auto" w:fill="auto"/>
            <w:noWrap/>
            <w:vAlign w:val="center"/>
            <w:hideMark/>
          </w:tcPr>
          <w:p w14:paraId="44A3DD17" w14:textId="77777777" w:rsidR="00F5563F" w:rsidRPr="009E06AA" w:rsidRDefault="00F5563F" w:rsidP="00F5563F">
            <w:pPr>
              <w:pStyle w:val="TableText"/>
              <w:spacing w:before="0" w:after="0"/>
              <w:rPr>
                <w:rFonts w:cs="Calibri"/>
                <w:color w:val="FFFFFF"/>
                <w:szCs w:val="16"/>
              </w:rPr>
            </w:pPr>
            <w:r w:rsidRPr="009E06AA">
              <w:rPr>
                <w:rFonts w:cs="Calibri"/>
                <w:color w:val="FFFFFF"/>
                <w:szCs w:val="16"/>
              </w:rPr>
              <w:t>-</w:t>
            </w:r>
          </w:p>
        </w:tc>
        <w:tc>
          <w:tcPr>
            <w:tcW w:w="851" w:type="dxa"/>
            <w:tcBorders>
              <w:top w:val="nil"/>
              <w:left w:val="nil"/>
              <w:bottom w:val="nil"/>
              <w:right w:val="nil"/>
            </w:tcBorders>
            <w:shd w:val="clear" w:color="auto" w:fill="auto"/>
            <w:noWrap/>
            <w:vAlign w:val="center"/>
            <w:hideMark/>
          </w:tcPr>
          <w:p w14:paraId="5D6598F0" w14:textId="77777777" w:rsidR="00F5563F" w:rsidRPr="009E06AA" w:rsidRDefault="00F5563F" w:rsidP="00F5563F">
            <w:pPr>
              <w:pStyle w:val="TableText"/>
              <w:spacing w:before="0" w:after="0"/>
              <w:rPr>
                <w:rFonts w:cs="Calibri"/>
                <w:color w:val="FFFFFF"/>
                <w:szCs w:val="16"/>
              </w:rPr>
            </w:pPr>
            <w:r w:rsidRPr="009E06AA">
              <w:rPr>
                <w:rFonts w:cs="Calibri"/>
                <w:color w:val="FFFFFF"/>
                <w:szCs w:val="16"/>
              </w:rPr>
              <w:t>-</w:t>
            </w:r>
          </w:p>
        </w:tc>
        <w:tc>
          <w:tcPr>
            <w:tcW w:w="709" w:type="dxa"/>
            <w:tcBorders>
              <w:top w:val="nil"/>
              <w:left w:val="nil"/>
              <w:bottom w:val="nil"/>
              <w:right w:val="nil"/>
            </w:tcBorders>
            <w:shd w:val="clear" w:color="auto" w:fill="auto"/>
            <w:noWrap/>
            <w:vAlign w:val="center"/>
            <w:hideMark/>
          </w:tcPr>
          <w:p w14:paraId="1DA92A5F" w14:textId="77777777" w:rsidR="00F5563F" w:rsidRPr="009E06AA" w:rsidRDefault="00F5563F" w:rsidP="00F5563F">
            <w:pPr>
              <w:pStyle w:val="TableText"/>
              <w:spacing w:before="0" w:after="0"/>
              <w:rPr>
                <w:rFonts w:cs="Calibri"/>
                <w:szCs w:val="16"/>
              </w:rPr>
            </w:pPr>
            <w:r w:rsidRPr="009E06AA">
              <w:rPr>
                <w:rFonts w:cs="Calibri"/>
                <w:szCs w:val="16"/>
              </w:rPr>
              <w:t>T1, T2</w:t>
            </w:r>
          </w:p>
        </w:tc>
        <w:tc>
          <w:tcPr>
            <w:tcW w:w="794" w:type="dxa"/>
            <w:tcBorders>
              <w:top w:val="nil"/>
              <w:left w:val="nil"/>
              <w:bottom w:val="nil"/>
              <w:right w:val="nil"/>
            </w:tcBorders>
            <w:shd w:val="clear" w:color="auto" w:fill="auto"/>
            <w:noWrap/>
            <w:vAlign w:val="center"/>
            <w:hideMark/>
          </w:tcPr>
          <w:p w14:paraId="7DCB49A9" w14:textId="77777777" w:rsidR="00F5563F" w:rsidRPr="009E06AA" w:rsidRDefault="00F5563F" w:rsidP="00F5563F">
            <w:pPr>
              <w:pStyle w:val="TableText"/>
              <w:spacing w:before="0" w:after="0"/>
              <w:rPr>
                <w:rFonts w:cs="Calibri"/>
                <w:szCs w:val="16"/>
              </w:rPr>
            </w:pPr>
            <w:r w:rsidRPr="009E06AA">
              <w:rPr>
                <w:rFonts w:cs="Calibri"/>
                <w:szCs w:val="16"/>
              </w:rPr>
              <w:t>D</w:t>
            </w:r>
          </w:p>
        </w:tc>
        <w:tc>
          <w:tcPr>
            <w:tcW w:w="812" w:type="dxa"/>
            <w:tcBorders>
              <w:top w:val="nil"/>
              <w:left w:val="nil"/>
              <w:bottom w:val="nil"/>
              <w:right w:val="nil"/>
            </w:tcBorders>
            <w:shd w:val="clear" w:color="auto" w:fill="auto"/>
            <w:noWrap/>
            <w:vAlign w:val="center"/>
            <w:hideMark/>
          </w:tcPr>
          <w:p w14:paraId="7AD5DFB6" w14:textId="26407B69" w:rsidR="00F5563F" w:rsidRPr="009E06AA" w:rsidRDefault="00F5563F" w:rsidP="00F5563F">
            <w:pPr>
              <w:pStyle w:val="TableText"/>
              <w:spacing w:before="40" w:after="0"/>
              <w:rPr>
                <w:rFonts w:cs="Calibri"/>
                <w:color w:val="FFFFFF"/>
                <w:szCs w:val="16"/>
              </w:rPr>
            </w:pPr>
            <w:r w:rsidRPr="009E06AA">
              <w:rPr>
                <w:rFonts w:cs="Calibri"/>
                <w:color w:val="FFFFFF"/>
                <w:szCs w:val="16"/>
              </w:rPr>
              <w:t>-</w:t>
            </w:r>
            <w:r w:rsidRPr="00204D2F">
              <w:rPr>
                <w:b/>
                <w:bCs/>
              </w:rPr>
              <w:t>–</w:t>
            </w:r>
          </w:p>
        </w:tc>
        <w:tc>
          <w:tcPr>
            <w:tcW w:w="812" w:type="dxa"/>
            <w:tcBorders>
              <w:top w:val="nil"/>
              <w:left w:val="nil"/>
              <w:bottom w:val="nil"/>
              <w:right w:val="nil"/>
            </w:tcBorders>
            <w:shd w:val="clear" w:color="auto" w:fill="auto"/>
            <w:noWrap/>
            <w:vAlign w:val="center"/>
            <w:hideMark/>
          </w:tcPr>
          <w:p w14:paraId="79F44B1D" w14:textId="12CB44D6" w:rsidR="00F5563F" w:rsidRPr="009E06AA" w:rsidRDefault="00F5563F" w:rsidP="00F5563F">
            <w:pPr>
              <w:pStyle w:val="TableText"/>
              <w:spacing w:before="40" w:after="40"/>
              <w:rPr>
                <w:rFonts w:cs="Calibri"/>
                <w:color w:val="FFFFFF"/>
                <w:szCs w:val="16"/>
              </w:rPr>
            </w:pPr>
            <w:r w:rsidRPr="009E06AA">
              <w:rPr>
                <w:rFonts w:cs="Calibri"/>
                <w:color w:val="FFFFFF"/>
                <w:szCs w:val="16"/>
              </w:rPr>
              <w:t>-</w:t>
            </w:r>
            <w:r w:rsidRPr="00204D2F">
              <w:rPr>
                <w:b/>
                <w:bCs/>
              </w:rPr>
              <w:t>–</w:t>
            </w:r>
          </w:p>
        </w:tc>
      </w:tr>
      <w:tr w:rsidR="00F5563F" w:rsidRPr="009E06AA" w14:paraId="53273DE4" w14:textId="77777777" w:rsidTr="00B55F24">
        <w:tc>
          <w:tcPr>
            <w:tcW w:w="320" w:type="dxa"/>
            <w:vMerge/>
            <w:tcBorders>
              <w:top w:val="single" w:sz="8" w:space="0" w:color="365F91"/>
              <w:left w:val="nil"/>
              <w:bottom w:val="single" w:sz="4" w:space="0" w:color="1B556B"/>
              <w:right w:val="nil"/>
            </w:tcBorders>
            <w:vAlign w:val="center"/>
            <w:hideMark/>
          </w:tcPr>
          <w:p w14:paraId="158E7595" w14:textId="77777777" w:rsidR="00F5563F" w:rsidRPr="009E06AA" w:rsidRDefault="00F5563F" w:rsidP="00F5563F">
            <w:pPr>
              <w:pStyle w:val="TableText"/>
              <w:spacing w:before="50" w:after="50"/>
              <w:rPr>
                <w:rFonts w:cs="Calibri"/>
                <w:szCs w:val="16"/>
              </w:rPr>
            </w:pPr>
          </w:p>
        </w:tc>
        <w:tc>
          <w:tcPr>
            <w:tcW w:w="3366" w:type="dxa"/>
            <w:tcBorders>
              <w:top w:val="nil"/>
              <w:left w:val="nil"/>
              <w:bottom w:val="single" w:sz="4" w:space="0" w:color="1B556B"/>
              <w:right w:val="nil"/>
            </w:tcBorders>
            <w:shd w:val="clear" w:color="auto" w:fill="auto"/>
            <w:vAlign w:val="center"/>
            <w:hideMark/>
          </w:tcPr>
          <w:p w14:paraId="154188D5" w14:textId="77777777" w:rsidR="00F5563F" w:rsidRPr="009E06AA" w:rsidRDefault="00F5563F" w:rsidP="00F5563F">
            <w:pPr>
              <w:pStyle w:val="TableText"/>
              <w:spacing w:before="0" w:after="40"/>
              <w:rPr>
                <w:rFonts w:cs="Calibri"/>
                <w:szCs w:val="16"/>
              </w:rPr>
            </w:pPr>
            <w:r w:rsidRPr="009E06AA">
              <w:rPr>
                <w:rFonts w:cs="Calibri"/>
                <w:szCs w:val="16"/>
              </w:rPr>
              <w:t>Nitrogen Leaching and Run-off</w:t>
            </w:r>
          </w:p>
        </w:tc>
        <w:tc>
          <w:tcPr>
            <w:tcW w:w="850" w:type="dxa"/>
            <w:tcBorders>
              <w:top w:val="nil"/>
              <w:left w:val="nil"/>
              <w:bottom w:val="single" w:sz="4" w:space="0" w:color="1B556B"/>
              <w:right w:val="nil"/>
            </w:tcBorders>
            <w:shd w:val="clear" w:color="auto" w:fill="auto"/>
            <w:noWrap/>
            <w:vAlign w:val="center"/>
            <w:hideMark/>
          </w:tcPr>
          <w:p w14:paraId="0E2B1399" w14:textId="77777777" w:rsidR="00F5563F" w:rsidRPr="009E06AA" w:rsidRDefault="00F5563F" w:rsidP="00F5563F">
            <w:pPr>
              <w:pStyle w:val="TableText"/>
              <w:spacing w:before="0" w:after="40"/>
              <w:rPr>
                <w:rFonts w:cs="Calibri"/>
                <w:color w:val="FFFFFF"/>
                <w:szCs w:val="16"/>
              </w:rPr>
            </w:pPr>
            <w:r w:rsidRPr="009E06AA">
              <w:rPr>
                <w:rFonts w:cs="Calibri"/>
                <w:color w:val="FFFFFF"/>
                <w:szCs w:val="16"/>
              </w:rPr>
              <w:t>-</w:t>
            </w:r>
          </w:p>
        </w:tc>
        <w:tc>
          <w:tcPr>
            <w:tcW w:w="851" w:type="dxa"/>
            <w:tcBorders>
              <w:top w:val="nil"/>
              <w:left w:val="nil"/>
              <w:bottom w:val="single" w:sz="4" w:space="0" w:color="1B556B"/>
              <w:right w:val="nil"/>
            </w:tcBorders>
            <w:shd w:val="clear" w:color="auto" w:fill="auto"/>
            <w:noWrap/>
            <w:vAlign w:val="center"/>
            <w:hideMark/>
          </w:tcPr>
          <w:p w14:paraId="259B7B3F" w14:textId="77777777" w:rsidR="00F5563F" w:rsidRPr="009E06AA" w:rsidRDefault="00F5563F" w:rsidP="00F5563F">
            <w:pPr>
              <w:pStyle w:val="TableText"/>
              <w:spacing w:before="0" w:after="40"/>
              <w:rPr>
                <w:rFonts w:cs="Calibri"/>
                <w:color w:val="FFFFFF"/>
                <w:szCs w:val="16"/>
              </w:rPr>
            </w:pPr>
            <w:r w:rsidRPr="009E06AA">
              <w:rPr>
                <w:rFonts w:cs="Calibri"/>
                <w:color w:val="FFFFFF"/>
                <w:szCs w:val="16"/>
              </w:rPr>
              <w:t>-</w:t>
            </w:r>
          </w:p>
        </w:tc>
        <w:tc>
          <w:tcPr>
            <w:tcW w:w="709" w:type="dxa"/>
            <w:tcBorders>
              <w:top w:val="nil"/>
              <w:left w:val="nil"/>
              <w:bottom w:val="single" w:sz="4" w:space="0" w:color="1B556B"/>
              <w:right w:val="nil"/>
            </w:tcBorders>
            <w:shd w:val="clear" w:color="auto" w:fill="auto"/>
            <w:noWrap/>
            <w:vAlign w:val="center"/>
            <w:hideMark/>
          </w:tcPr>
          <w:p w14:paraId="58D3EF3C" w14:textId="77777777" w:rsidR="00F5563F" w:rsidRPr="009E06AA" w:rsidRDefault="00F5563F" w:rsidP="00F5563F">
            <w:pPr>
              <w:pStyle w:val="TableText"/>
              <w:spacing w:before="0" w:after="40"/>
              <w:rPr>
                <w:rFonts w:cs="Calibri"/>
                <w:szCs w:val="16"/>
              </w:rPr>
            </w:pPr>
            <w:r w:rsidRPr="009E06AA">
              <w:rPr>
                <w:rFonts w:cs="Calibri"/>
                <w:szCs w:val="16"/>
              </w:rPr>
              <w:t>T1, T2</w:t>
            </w:r>
          </w:p>
        </w:tc>
        <w:tc>
          <w:tcPr>
            <w:tcW w:w="794" w:type="dxa"/>
            <w:tcBorders>
              <w:top w:val="nil"/>
              <w:left w:val="nil"/>
              <w:bottom w:val="single" w:sz="4" w:space="0" w:color="1B556B"/>
              <w:right w:val="nil"/>
            </w:tcBorders>
            <w:shd w:val="clear" w:color="auto" w:fill="auto"/>
            <w:noWrap/>
            <w:vAlign w:val="center"/>
            <w:hideMark/>
          </w:tcPr>
          <w:p w14:paraId="558DB859" w14:textId="77777777" w:rsidR="00F5563F" w:rsidRPr="009E06AA" w:rsidRDefault="00F5563F" w:rsidP="00F5563F">
            <w:pPr>
              <w:pStyle w:val="TableText"/>
              <w:spacing w:before="0" w:after="40"/>
              <w:rPr>
                <w:rFonts w:cs="Calibri"/>
                <w:szCs w:val="16"/>
              </w:rPr>
            </w:pPr>
            <w:r w:rsidRPr="009E06AA">
              <w:rPr>
                <w:rFonts w:cs="Calibri"/>
                <w:szCs w:val="16"/>
              </w:rPr>
              <w:t>CS</w:t>
            </w:r>
          </w:p>
        </w:tc>
        <w:tc>
          <w:tcPr>
            <w:tcW w:w="812" w:type="dxa"/>
            <w:tcBorders>
              <w:top w:val="nil"/>
              <w:left w:val="nil"/>
              <w:bottom w:val="single" w:sz="4" w:space="0" w:color="1B556B"/>
              <w:right w:val="nil"/>
            </w:tcBorders>
            <w:shd w:val="clear" w:color="auto" w:fill="auto"/>
            <w:noWrap/>
            <w:vAlign w:val="center"/>
            <w:hideMark/>
          </w:tcPr>
          <w:p w14:paraId="38E60939" w14:textId="1B1C897B" w:rsidR="00F5563F" w:rsidRPr="009E06AA" w:rsidRDefault="00F5563F" w:rsidP="00F5563F">
            <w:pPr>
              <w:pStyle w:val="TableText"/>
              <w:spacing w:before="40" w:after="40"/>
              <w:rPr>
                <w:rFonts w:cs="Calibri"/>
                <w:color w:val="FFFFFF"/>
                <w:szCs w:val="16"/>
              </w:rPr>
            </w:pPr>
            <w:r w:rsidRPr="009E06AA">
              <w:rPr>
                <w:rFonts w:cs="Calibri"/>
                <w:color w:val="FFFFFF"/>
                <w:szCs w:val="16"/>
              </w:rPr>
              <w:t>-</w:t>
            </w:r>
            <w:r w:rsidRPr="00204D2F">
              <w:rPr>
                <w:b/>
                <w:bCs/>
              </w:rPr>
              <w:t>–</w:t>
            </w:r>
          </w:p>
        </w:tc>
        <w:tc>
          <w:tcPr>
            <w:tcW w:w="812" w:type="dxa"/>
            <w:tcBorders>
              <w:top w:val="nil"/>
              <w:left w:val="nil"/>
              <w:bottom w:val="single" w:sz="4" w:space="0" w:color="1B556B"/>
              <w:right w:val="nil"/>
            </w:tcBorders>
            <w:shd w:val="clear" w:color="auto" w:fill="auto"/>
            <w:noWrap/>
            <w:vAlign w:val="center"/>
            <w:hideMark/>
          </w:tcPr>
          <w:p w14:paraId="6BFC8FD8" w14:textId="30D2EEF4" w:rsidR="00F5563F" w:rsidRPr="009E06AA" w:rsidRDefault="00F5563F" w:rsidP="00F5563F">
            <w:pPr>
              <w:pStyle w:val="TableText"/>
              <w:spacing w:before="40" w:after="40"/>
              <w:rPr>
                <w:rFonts w:cs="Calibri"/>
                <w:color w:val="FFFFFF"/>
                <w:szCs w:val="16"/>
              </w:rPr>
            </w:pPr>
            <w:r w:rsidRPr="009E06AA">
              <w:rPr>
                <w:rFonts w:cs="Calibri"/>
                <w:color w:val="FFFFFF"/>
                <w:szCs w:val="16"/>
              </w:rPr>
              <w:t>-</w:t>
            </w:r>
            <w:r w:rsidRPr="00204D2F">
              <w:rPr>
                <w:b/>
                <w:bCs/>
              </w:rPr>
              <w:t>–</w:t>
            </w:r>
          </w:p>
        </w:tc>
      </w:tr>
      <w:tr w:rsidR="00B0713A" w:rsidRPr="009E06AA" w14:paraId="4DE55DF3" w14:textId="77777777" w:rsidTr="00B55F24">
        <w:tc>
          <w:tcPr>
            <w:tcW w:w="320" w:type="dxa"/>
            <w:tcBorders>
              <w:top w:val="single" w:sz="4" w:space="0" w:color="1B556B"/>
              <w:left w:val="nil"/>
              <w:bottom w:val="single" w:sz="4" w:space="0" w:color="1B556B"/>
              <w:right w:val="nil"/>
            </w:tcBorders>
            <w:shd w:val="clear" w:color="auto" w:fill="auto"/>
            <w:noWrap/>
            <w:vAlign w:val="center"/>
            <w:hideMark/>
          </w:tcPr>
          <w:p w14:paraId="237E2760" w14:textId="77777777" w:rsidR="00B0713A" w:rsidRPr="009E06AA" w:rsidRDefault="00B0713A" w:rsidP="00B0713A">
            <w:pPr>
              <w:spacing w:before="50" w:after="50"/>
              <w:rPr>
                <w:rFonts w:cs="Calibri"/>
                <w:b/>
                <w:bCs/>
                <w:color w:val="000000"/>
                <w:sz w:val="16"/>
                <w:szCs w:val="16"/>
              </w:rPr>
            </w:pPr>
            <w:r w:rsidRPr="009E06AA">
              <w:rPr>
                <w:rFonts w:cs="Calibri"/>
                <w:b/>
                <w:bCs/>
                <w:color w:val="000000"/>
                <w:sz w:val="16"/>
                <w:szCs w:val="16"/>
              </w:rPr>
              <w:t>E</w:t>
            </w:r>
          </w:p>
        </w:tc>
        <w:tc>
          <w:tcPr>
            <w:tcW w:w="3366" w:type="dxa"/>
            <w:tcBorders>
              <w:top w:val="single" w:sz="4" w:space="0" w:color="1B556B"/>
              <w:left w:val="nil"/>
              <w:bottom w:val="single" w:sz="4" w:space="0" w:color="1B556B"/>
              <w:right w:val="nil"/>
            </w:tcBorders>
            <w:shd w:val="clear" w:color="auto" w:fill="auto"/>
            <w:vAlign w:val="center"/>
            <w:hideMark/>
          </w:tcPr>
          <w:p w14:paraId="39B955A8" w14:textId="77777777" w:rsidR="00B0713A" w:rsidRPr="009E06AA" w:rsidRDefault="00B0713A" w:rsidP="00B0713A">
            <w:pPr>
              <w:spacing w:before="40" w:after="40"/>
              <w:rPr>
                <w:rFonts w:cs="Calibri"/>
                <w:b/>
                <w:bCs/>
                <w:color w:val="000000"/>
                <w:sz w:val="16"/>
                <w:szCs w:val="16"/>
              </w:rPr>
            </w:pPr>
            <w:r w:rsidRPr="009E06AA">
              <w:rPr>
                <w:rFonts w:cs="Calibri"/>
                <w:b/>
                <w:bCs/>
                <w:color w:val="000000"/>
                <w:sz w:val="16"/>
                <w:szCs w:val="16"/>
              </w:rPr>
              <w:t xml:space="preserve">Prescribed Burning of Savannas </w:t>
            </w:r>
          </w:p>
        </w:tc>
        <w:tc>
          <w:tcPr>
            <w:tcW w:w="850" w:type="dxa"/>
            <w:tcBorders>
              <w:top w:val="single" w:sz="4" w:space="0" w:color="1B556B"/>
              <w:left w:val="nil"/>
              <w:bottom w:val="single" w:sz="4" w:space="0" w:color="1B556B"/>
              <w:right w:val="nil"/>
            </w:tcBorders>
            <w:shd w:val="clear" w:color="auto" w:fill="auto"/>
            <w:noWrap/>
            <w:vAlign w:val="center"/>
            <w:hideMark/>
          </w:tcPr>
          <w:p w14:paraId="1617E853" w14:textId="77777777" w:rsidR="00B0713A" w:rsidRPr="009E06AA" w:rsidRDefault="00B0713A" w:rsidP="00B0713A">
            <w:pPr>
              <w:spacing w:before="40" w:after="40"/>
              <w:rPr>
                <w:rFonts w:cs="Calibri"/>
                <w:color w:val="000000"/>
                <w:sz w:val="16"/>
                <w:szCs w:val="16"/>
              </w:rPr>
            </w:pPr>
            <w:r w:rsidRPr="009E06AA">
              <w:rPr>
                <w:rFonts w:cs="Calibri"/>
                <w:color w:val="000000"/>
                <w:sz w:val="16"/>
                <w:szCs w:val="16"/>
              </w:rPr>
              <w:t>NA</w:t>
            </w:r>
          </w:p>
        </w:tc>
        <w:tc>
          <w:tcPr>
            <w:tcW w:w="851" w:type="dxa"/>
            <w:tcBorders>
              <w:top w:val="single" w:sz="4" w:space="0" w:color="1B556B"/>
              <w:left w:val="nil"/>
              <w:bottom w:val="single" w:sz="4" w:space="0" w:color="1B556B"/>
              <w:right w:val="nil"/>
            </w:tcBorders>
            <w:shd w:val="clear" w:color="auto" w:fill="auto"/>
            <w:noWrap/>
            <w:vAlign w:val="center"/>
            <w:hideMark/>
          </w:tcPr>
          <w:p w14:paraId="2E3866E9" w14:textId="77777777" w:rsidR="00B0713A" w:rsidRPr="009E06AA" w:rsidRDefault="00B0713A" w:rsidP="00B0713A">
            <w:pPr>
              <w:spacing w:before="40" w:after="40"/>
              <w:rPr>
                <w:rFonts w:cs="Calibri"/>
                <w:color w:val="000000"/>
                <w:sz w:val="16"/>
                <w:szCs w:val="16"/>
              </w:rPr>
            </w:pPr>
            <w:r w:rsidRPr="009E06AA">
              <w:rPr>
                <w:rFonts w:cs="Calibri"/>
                <w:color w:val="000000"/>
                <w:sz w:val="16"/>
                <w:szCs w:val="16"/>
              </w:rPr>
              <w:t>NA</w:t>
            </w:r>
          </w:p>
        </w:tc>
        <w:tc>
          <w:tcPr>
            <w:tcW w:w="709" w:type="dxa"/>
            <w:tcBorders>
              <w:top w:val="single" w:sz="4" w:space="0" w:color="1B556B"/>
              <w:left w:val="nil"/>
              <w:bottom w:val="single" w:sz="4" w:space="0" w:color="1B556B"/>
              <w:right w:val="nil"/>
            </w:tcBorders>
            <w:shd w:val="clear" w:color="auto" w:fill="auto"/>
            <w:noWrap/>
            <w:vAlign w:val="center"/>
            <w:hideMark/>
          </w:tcPr>
          <w:p w14:paraId="44D0B94F" w14:textId="77777777" w:rsidR="00B0713A" w:rsidRPr="009E06AA" w:rsidRDefault="00B0713A" w:rsidP="00B0713A">
            <w:pPr>
              <w:spacing w:before="40" w:after="40"/>
              <w:rPr>
                <w:rFonts w:cs="Calibri"/>
                <w:color w:val="000000"/>
                <w:sz w:val="16"/>
                <w:szCs w:val="16"/>
              </w:rPr>
            </w:pPr>
            <w:r w:rsidRPr="009E06AA">
              <w:rPr>
                <w:rFonts w:cs="Calibri"/>
                <w:color w:val="000000"/>
                <w:sz w:val="16"/>
                <w:szCs w:val="16"/>
              </w:rPr>
              <w:t>NA</w:t>
            </w:r>
          </w:p>
        </w:tc>
        <w:tc>
          <w:tcPr>
            <w:tcW w:w="794" w:type="dxa"/>
            <w:tcBorders>
              <w:top w:val="single" w:sz="4" w:space="0" w:color="1B556B"/>
              <w:left w:val="nil"/>
              <w:bottom w:val="single" w:sz="4" w:space="0" w:color="1B556B"/>
              <w:right w:val="nil"/>
            </w:tcBorders>
            <w:shd w:val="clear" w:color="auto" w:fill="auto"/>
            <w:noWrap/>
            <w:vAlign w:val="center"/>
            <w:hideMark/>
          </w:tcPr>
          <w:p w14:paraId="1661DC2D" w14:textId="77777777" w:rsidR="00B0713A" w:rsidRPr="009E06AA" w:rsidRDefault="00B0713A" w:rsidP="00B0713A">
            <w:pPr>
              <w:spacing w:before="40" w:after="40"/>
              <w:rPr>
                <w:rFonts w:cs="Calibri"/>
                <w:color w:val="000000"/>
                <w:sz w:val="16"/>
                <w:szCs w:val="16"/>
              </w:rPr>
            </w:pPr>
            <w:r w:rsidRPr="009E06AA">
              <w:rPr>
                <w:rFonts w:cs="Calibri"/>
                <w:color w:val="000000"/>
                <w:sz w:val="16"/>
                <w:szCs w:val="16"/>
              </w:rPr>
              <w:t>NA</w:t>
            </w:r>
          </w:p>
        </w:tc>
        <w:tc>
          <w:tcPr>
            <w:tcW w:w="812" w:type="dxa"/>
            <w:tcBorders>
              <w:top w:val="single" w:sz="4" w:space="0" w:color="1B556B"/>
              <w:left w:val="nil"/>
              <w:bottom w:val="single" w:sz="4" w:space="0" w:color="1B556B"/>
              <w:right w:val="nil"/>
            </w:tcBorders>
            <w:shd w:val="clear" w:color="auto" w:fill="auto"/>
            <w:noWrap/>
            <w:vAlign w:val="center"/>
            <w:hideMark/>
          </w:tcPr>
          <w:p w14:paraId="434860F8" w14:textId="2725D41E" w:rsidR="00B0713A" w:rsidRPr="009E06AA" w:rsidRDefault="00B0713A" w:rsidP="00B0713A">
            <w:pPr>
              <w:spacing w:before="40" w:after="40"/>
              <w:rPr>
                <w:rFonts w:cs="Calibri"/>
                <w:color w:val="FFFFFF"/>
                <w:sz w:val="16"/>
                <w:szCs w:val="16"/>
              </w:rPr>
            </w:pPr>
            <w:r w:rsidRPr="009E06AA">
              <w:rPr>
                <w:rFonts w:cs="Calibri"/>
                <w:color w:val="FFFFFF"/>
                <w:szCs w:val="16"/>
              </w:rPr>
              <w:t>-</w:t>
            </w:r>
            <w:r w:rsidRPr="00204D2F">
              <w:rPr>
                <w:b/>
                <w:bCs/>
              </w:rPr>
              <w:t>–</w:t>
            </w:r>
          </w:p>
        </w:tc>
        <w:tc>
          <w:tcPr>
            <w:tcW w:w="812" w:type="dxa"/>
            <w:tcBorders>
              <w:top w:val="single" w:sz="4" w:space="0" w:color="1B556B"/>
              <w:left w:val="nil"/>
              <w:bottom w:val="single" w:sz="4" w:space="0" w:color="1B556B"/>
              <w:right w:val="nil"/>
            </w:tcBorders>
            <w:shd w:val="clear" w:color="auto" w:fill="auto"/>
            <w:noWrap/>
            <w:vAlign w:val="center"/>
            <w:hideMark/>
          </w:tcPr>
          <w:p w14:paraId="4ABCF3E4" w14:textId="714755B1" w:rsidR="00B0713A" w:rsidRPr="009E06AA" w:rsidRDefault="00B0713A" w:rsidP="00B0713A">
            <w:pPr>
              <w:spacing w:before="40" w:after="40"/>
              <w:rPr>
                <w:rFonts w:cs="Calibri"/>
                <w:color w:val="FFFFFF"/>
                <w:sz w:val="16"/>
                <w:szCs w:val="16"/>
              </w:rPr>
            </w:pPr>
            <w:r w:rsidRPr="009E06AA">
              <w:rPr>
                <w:rFonts w:cs="Calibri"/>
                <w:color w:val="FFFFFF"/>
                <w:szCs w:val="16"/>
              </w:rPr>
              <w:t>-</w:t>
            </w:r>
            <w:r w:rsidRPr="00204D2F">
              <w:rPr>
                <w:b/>
                <w:bCs/>
              </w:rPr>
              <w:t>–</w:t>
            </w:r>
          </w:p>
        </w:tc>
      </w:tr>
      <w:tr w:rsidR="00B0713A" w:rsidRPr="009E06AA" w14:paraId="18315333" w14:textId="77777777" w:rsidTr="00B55F24">
        <w:tc>
          <w:tcPr>
            <w:tcW w:w="320" w:type="dxa"/>
            <w:tcBorders>
              <w:top w:val="single" w:sz="4" w:space="0" w:color="1B556B"/>
              <w:left w:val="nil"/>
              <w:bottom w:val="single" w:sz="4" w:space="0" w:color="1B556B"/>
              <w:right w:val="nil"/>
            </w:tcBorders>
            <w:shd w:val="clear" w:color="auto" w:fill="auto"/>
            <w:noWrap/>
            <w:vAlign w:val="center"/>
            <w:hideMark/>
          </w:tcPr>
          <w:p w14:paraId="7352113C" w14:textId="77777777" w:rsidR="00B0713A" w:rsidRPr="009E06AA" w:rsidRDefault="00B0713A" w:rsidP="00B0713A">
            <w:pPr>
              <w:spacing w:before="50" w:after="50"/>
              <w:rPr>
                <w:rFonts w:cs="Calibri"/>
                <w:b/>
                <w:bCs/>
                <w:color w:val="000000"/>
                <w:sz w:val="16"/>
                <w:szCs w:val="16"/>
              </w:rPr>
            </w:pPr>
            <w:r w:rsidRPr="009E06AA">
              <w:rPr>
                <w:rFonts w:cs="Calibri"/>
                <w:b/>
                <w:bCs/>
                <w:color w:val="000000"/>
                <w:sz w:val="16"/>
                <w:szCs w:val="16"/>
              </w:rPr>
              <w:t>F</w:t>
            </w:r>
          </w:p>
        </w:tc>
        <w:tc>
          <w:tcPr>
            <w:tcW w:w="3366" w:type="dxa"/>
            <w:tcBorders>
              <w:top w:val="single" w:sz="4" w:space="0" w:color="1B556B"/>
              <w:left w:val="nil"/>
              <w:bottom w:val="single" w:sz="4" w:space="0" w:color="1B556B"/>
              <w:right w:val="nil"/>
            </w:tcBorders>
            <w:shd w:val="clear" w:color="auto" w:fill="auto"/>
            <w:vAlign w:val="center"/>
            <w:hideMark/>
          </w:tcPr>
          <w:p w14:paraId="2E6C2275" w14:textId="77777777" w:rsidR="00B0713A" w:rsidRPr="009E06AA" w:rsidRDefault="00B0713A" w:rsidP="00B0713A">
            <w:pPr>
              <w:spacing w:before="40" w:after="40"/>
              <w:rPr>
                <w:rFonts w:cs="Calibri"/>
                <w:b/>
                <w:bCs/>
                <w:color w:val="000000"/>
                <w:sz w:val="16"/>
                <w:szCs w:val="16"/>
              </w:rPr>
            </w:pPr>
            <w:r w:rsidRPr="009E06AA">
              <w:rPr>
                <w:rFonts w:cs="Calibri"/>
                <w:b/>
                <w:bCs/>
                <w:color w:val="000000"/>
                <w:sz w:val="16"/>
                <w:szCs w:val="16"/>
              </w:rPr>
              <w:t>Field Burning of Agricultural Residues</w:t>
            </w:r>
          </w:p>
        </w:tc>
        <w:tc>
          <w:tcPr>
            <w:tcW w:w="850" w:type="dxa"/>
            <w:tcBorders>
              <w:top w:val="single" w:sz="4" w:space="0" w:color="1B556B"/>
              <w:left w:val="nil"/>
              <w:bottom w:val="single" w:sz="4" w:space="0" w:color="1B556B"/>
              <w:right w:val="nil"/>
            </w:tcBorders>
            <w:shd w:val="clear" w:color="auto" w:fill="auto"/>
            <w:noWrap/>
            <w:vAlign w:val="center"/>
            <w:hideMark/>
          </w:tcPr>
          <w:p w14:paraId="0572BF7E" w14:textId="77777777" w:rsidR="00B0713A" w:rsidRPr="009E06AA" w:rsidRDefault="00B0713A" w:rsidP="00B0713A">
            <w:pPr>
              <w:spacing w:before="40" w:after="40"/>
              <w:rPr>
                <w:rFonts w:cs="Calibri"/>
                <w:color w:val="000000"/>
                <w:sz w:val="16"/>
                <w:szCs w:val="16"/>
              </w:rPr>
            </w:pPr>
            <w:r w:rsidRPr="009E06AA">
              <w:rPr>
                <w:rFonts w:cs="Calibri"/>
                <w:color w:val="000000"/>
                <w:sz w:val="16"/>
                <w:szCs w:val="16"/>
              </w:rPr>
              <w:t>T2</w:t>
            </w:r>
          </w:p>
        </w:tc>
        <w:tc>
          <w:tcPr>
            <w:tcW w:w="851" w:type="dxa"/>
            <w:tcBorders>
              <w:top w:val="single" w:sz="4" w:space="0" w:color="1B556B"/>
              <w:left w:val="nil"/>
              <w:bottom w:val="single" w:sz="4" w:space="0" w:color="1B556B"/>
              <w:right w:val="nil"/>
            </w:tcBorders>
            <w:shd w:val="clear" w:color="auto" w:fill="auto"/>
            <w:noWrap/>
            <w:vAlign w:val="center"/>
            <w:hideMark/>
          </w:tcPr>
          <w:p w14:paraId="1E290836" w14:textId="77777777" w:rsidR="00B0713A" w:rsidRPr="009E06AA" w:rsidRDefault="00B0713A" w:rsidP="00B0713A">
            <w:pPr>
              <w:spacing w:before="40" w:after="40"/>
              <w:rPr>
                <w:rFonts w:cs="Calibri"/>
                <w:color w:val="000000"/>
                <w:sz w:val="16"/>
                <w:szCs w:val="16"/>
              </w:rPr>
            </w:pPr>
            <w:r w:rsidRPr="009E06AA">
              <w:rPr>
                <w:rFonts w:cs="Calibri"/>
                <w:color w:val="000000"/>
                <w:sz w:val="16"/>
                <w:szCs w:val="16"/>
              </w:rPr>
              <w:t>CS</w:t>
            </w:r>
          </w:p>
        </w:tc>
        <w:tc>
          <w:tcPr>
            <w:tcW w:w="709" w:type="dxa"/>
            <w:tcBorders>
              <w:top w:val="single" w:sz="4" w:space="0" w:color="1B556B"/>
              <w:left w:val="nil"/>
              <w:bottom w:val="single" w:sz="4" w:space="0" w:color="1B556B"/>
              <w:right w:val="nil"/>
            </w:tcBorders>
            <w:shd w:val="clear" w:color="auto" w:fill="auto"/>
            <w:noWrap/>
            <w:vAlign w:val="center"/>
            <w:hideMark/>
          </w:tcPr>
          <w:p w14:paraId="272CC561" w14:textId="77777777" w:rsidR="00B0713A" w:rsidRPr="009E06AA" w:rsidRDefault="00B0713A" w:rsidP="00B0713A">
            <w:pPr>
              <w:spacing w:before="40" w:after="40"/>
              <w:rPr>
                <w:rFonts w:cs="Calibri"/>
                <w:color w:val="000000"/>
                <w:sz w:val="16"/>
                <w:szCs w:val="16"/>
              </w:rPr>
            </w:pPr>
            <w:r w:rsidRPr="009E06AA">
              <w:rPr>
                <w:rFonts w:cs="Calibri"/>
                <w:color w:val="000000"/>
                <w:sz w:val="16"/>
                <w:szCs w:val="16"/>
              </w:rPr>
              <w:t>T2</w:t>
            </w:r>
          </w:p>
        </w:tc>
        <w:tc>
          <w:tcPr>
            <w:tcW w:w="794" w:type="dxa"/>
            <w:tcBorders>
              <w:top w:val="single" w:sz="4" w:space="0" w:color="1B556B"/>
              <w:left w:val="nil"/>
              <w:bottom w:val="single" w:sz="4" w:space="0" w:color="1B556B"/>
              <w:right w:val="nil"/>
            </w:tcBorders>
            <w:shd w:val="clear" w:color="auto" w:fill="auto"/>
            <w:noWrap/>
            <w:vAlign w:val="center"/>
            <w:hideMark/>
          </w:tcPr>
          <w:p w14:paraId="7B9CD1D5" w14:textId="77777777" w:rsidR="00B0713A" w:rsidRPr="009E06AA" w:rsidRDefault="00B0713A" w:rsidP="00B0713A">
            <w:pPr>
              <w:spacing w:before="40" w:after="40"/>
              <w:rPr>
                <w:rFonts w:cs="Calibri"/>
                <w:color w:val="000000"/>
                <w:sz w:val="16"/>
                <w:szCs w:val="16"/>
              </w:rPr>
            </w:pPr>
            <w:r w:rsidRPr="009E06AA">
              <w:rPr>
                <w:rFonts w:cs="Calibri"/>
                <w:color w:val="000000"/>
                <w:sz w:val="16"/>
                <w:szCs w:val="16"/>
              </w:rPr>
              <w:t>CS</w:t>
            </w:r>
          </w:p>
        </w:tc>
        <w:tc>
          <w:tcPr>
            <w:tcW w:w="812" w:type="dxa"/>
            <w:tcBorders>
              <w:top w:val="single" w:sz="4" w:space="0" w:color="1B556B"/>
              <w:left w:val="nil"/>
              <w:bottom w:val="single" w:sz="4" w:space="0" w:color="1B556B"/>
              <w:right w:val="nil"/>
            </w:tcBorders>
            <w:shd w:val="clear" w:color="auto" w:fill="auto"/>
            <w:noWrap/>
            <w:vAlign w:val="center"/>
            <w:hideMark/>
          </w:tcPr>
          <w:p w14:paraId="4A2AD00A" w14:textId="58AF5C7D" w:rsidR="00B0713A" w:rsidRPr="009E06AA" w:rsidRDefault="00B0713A" w:rsidP="00B0713A">
            <w:pPr>
              <w:spacing w:before="40" w:after="40"/>
              <w:rPr>
                <w:rFonts w:cs="Calibri"/>
                <w:color w:val="FFFFFF"/>
                <w:sz w:val="16"/>
                <w:szCs w:val="16"/>
              </w:rPr>
            </w:pPr>
            <w:r w:rsidRPr="009E06AA">
              <w:rPr>
                <w:rFonts w:cs="Calibri"/>
                <w:color w:val="FFFFFF"/>
                <w:szCs w:val="16"/>
              </w:rPr>
              <w:t>-</w:t>
            </w:r>
            <w:r w:rsidRPr="00204D2F">
              <w:rPr>
                <w:b/>
                <w:bCs/>
              </w:rPr>
              <w:t>–</w:t>
            </w:r>
          </w:p>
        </w:tc>
        <w:tc>
          <w:tcPr>
            <w:tcW w:w="812" w:type="dxa"/>
            <w:tcBorders>
              <w:top w:val="single" w:sz="4" w:space="0" w:color="1B556B"/>
              <w:left w:val="nil"/>
              <w:bottom w:val="single" w:sz="4" w:space="0" w:color="1B556B"/>
              <w:right w:val="nil"/>
            </w:tcBorders>
            <w:shd w:val="clear" w:color="auto" w:fill="auto"/>
            <w:noWrap/>
            <w:vAlign w:val="center"/>
            <w:hideMark/>
          </w:tcPr>
          <w:p w14:paraId="677BEC9E" w14:textId="5A7C048B" w:rsidR="00B0713A" w:rsidRPr="009E06AA" w:rsidRDefault="00B0713A" w:rsidP="00B0713A">
            <w:pPr>
              <w:spacing w:before="40" w:after="40"/>
              <w:rPr>
                <w:rFonts w:cs="Calibri"/>
                <w:color w:val="FFFFFF"/>
                <w:sz w:val="16"/>
                <w:szCs w:val="16"/>
              </w:rPr>
            </w:pPr>
            <w:r w:rsidRPr="009E06AA">
              <w:rPr>
                <w:rFonts w:cs="Calibri"/>
                <w:color w:val="FFFFFF"/>
                <w:szCs w:val="16"/>
              </w:rPr>
              <w:t>-</w:t>
            </w:r>
            <w:r w:rsidRPr="00204D2F">
              <w:rPr>
                <w:b/>
                <w:bCs/>
              </w:rPr>
              <w:t>–</w:t>
            </w:r>
          </w:p>
        </w:tc>
      </w:tr>
      <w:tr w:rsidR="00465555" w:rsidRPr="009E06AA" w14:paraId="7DA4E9ED" w14:textId="77777777" w:rsidTr="00B55F24">
        <w:tc>
          <w:tcPr>
            <w:tcW w:w="320" w:type="dxa"/>
            <w:tcBorders>
              <w:top w:val="single" w:sz="4" w:space="0" w:color="1B556B"/>
              <w:left w:val="nil"/>
              <w:bottom w:val="single" w:sz="4" w:space="0" w:color="1B556B"/>
              <w:right w:val="nil"/>
            </w:tcBorders>
            <w:shd w:val="clear" w:color="auto" w:fill="auto"/>
            <w:noWrap/>
            <w:vAlign w:val="center"/>
            <w:hideMark/>
          </w:tcPr>
          <w:p w14:paraId="37519149" w14:textId="77777777" w:rsidR="00465555" w:rsidRPr="009E06AA" w:rsidRDefault="00465555" w:rsidP="00465555">
            <w:pPr>
              <w:spacing w:before="50" w:after="50"/>
              <w:rPr>
                <w:rFonts w:cs="Calibri"/>
                <w:b/>
                <w:bCs/>
                <w:color w:val="000000"/>
                <w:sz w:val="16"/>
                <w:szCs w:val="16"/>
              </w:rPr>
            </w:pPr>
            <w:r w:rsidRPr="009E06AA">
              <w:rPr>
                <w:rFonts w:cs="Calibri"/>
                <w:b/>
                <w:bCs/>
                <w:color w:val="000000"/>
                <w:sz w:val="16"/>
                <w:szCs w:val="16"/>
              </w:rPr>
              <w:t>G</w:t>
            </w:r>
          </w:p>
        </w:tc>
        <w:tc>
          <w:tcPr>
            <w:tcW w:w="3366" w:type="dxa"/>
            <w:tcBorders>
              <w:top w:val="single" w:sz="4" w:space="0" w:color="1B556B"/>
              <w:left w:val="nil"/>
              <w:bottom w:val="single" w:sz="4" w:space="0" w:color="1B556B"/>
              <w:right w:val="nil"/>
            </w:tcBorders>
            <w:shd w:val="clear" w:color="auto" w:fill="auto"/>
            <w:vAlign w:val="center"/>
            <w:hideMark/>
          </w:tcPr>
          <w:p w14:paraId="4F3F7B7B" w14:textId="77777777" w:rsidR="00465555" w:rsidRPr="009E06AA" w:rsidRDefault="00465555" w:rsidP="00465555">
            <w:pPr>
              <w:spacing w:before="40" w:after="40"/>
              <w:rPr>
                <w:rFonts w:cs="Calibri"/>
                <w:b/>
                <w:bCs/>
                <w:color w:val="000000"/>
                <w:sz w:val="16"/>
                <w:szCs w:val="16"/>
              </w:rPr>
            </w:pPr>
            <w:r w:rsidRPr="009E06AA">
              <w:rPr>
                <w:rFonts w:cs="Calibri"/>
                <w:b/>
                <w:bCs/>
                <w:color w:val="000000"/>
                <w:sz w:val="16"/>
                <w:szCs w:val="16"/>
              </w:rPr>
              <w:t>Liming</w:t>
            </w:r>
          </w:p>
        </w:tc>
        <w:tc>
          <w:tcPr>
            <w:tcW w:w="850" w:type="dxa"/>
            <w:tcBorders>
              <w:top w:val="single" w:sz="4" w:space="0" w:color="1B556B"/>
              <w:left w:val="nil"/>
              <w:bottom w:val="single" w:sz="4" w:space="0" w:color="1B556B"/>
              <w:right w:val="nil"/>
            </w:tcBorders>
            <w:shd w:val="clear" w:color="auto" w:fill="auto"/>
            <w:noWrap/>
            <w:vAlign w:val="center"/>
            <w:hideMark/>
          </w:tcPr>
          <w:p w14:paraId="5170EEFB" w14:textId="57014757" w:rsidR="00465555" w:rsidRPr="009E06AA" w:rsidRDefault="00465555" w:rsidP="00465555">
            <w:pPr>
              <w:spacing w:before="40" w:after="40"/>
              <w:rPr>
                <w:rFonts w:cs="Calibri"/>
                <w:color w:val="FFFFFF"/>
                <w:sz w:val="16"/>
                <w:szCs w:val="16"/>
              </w:rPr>
            </w:pPr>
            <w:r w:rsidRPr="009E06AA">
              <w:rPr>
                <w:rFonts w:cs="Calibri"/>
                <w:color w:val="FFFFFF"/>
                <w:sz w:val="16"/>
                <w:szCs w:val="16"/>
              </w:rPr>
              <w:t>-</w:t>
            </w:r>
            <w:r w:rsidR="00B0713A" w:rsidRPr="00204D2F">
              <w:rPr>
                <w:b/>
                <w:bCs/>
              </w:rPr>
              <w:t>–</w:t>
            </w:r>
          </w:p>
        </w:tc>
        <w:tc>
          <w:tcPr>
            <w:tcW w:w="851" w:type="dxa"/>
            <w:tcBorders>
              <w:top w:val="single" w:sz="4" w:space="0" w:color="1B556B"/>
              <w:left w:val="nil"/>
              <w:bottom w:val="single" w:sz="4" w:space="0" w:color="1B556B"/>
              <w:right w:val="nil"/>
            </w:tcBorders>
            <w:shd w:val="clear" w:color="auto" w:fill="auto"/>
            <w:noWrap/>
            <w:vAlign w:val="center"/>
            <w:hideMark/>
          </w:tcPr>
          <w:p w14:paraId="748CF017" w14:textId="7B85AD89" w:rsidR="00465555" w:rsidRPr="009E06AA" w:rsidRDefault="00465555" w:rsidP="00465555">
            <w:pPr>
              <w:spacing w:before="40" w:after="40"/>
              <w:rPr>
                <w:rFonts w:cs="Calibri"/>
                <w:color w:val="FFFFFF"/>
                <w:sz w:val="16"/>
                <w:szCs w:val="16"/>
              </w:rPr>
            </w:pPr>
            <w:r w:rsidRPr="009E06AA">
              <w:rPr>
                <w:rFonts w:cs="Calibri"/>
                <w:color w:val="FFFFFF"/>
                <w:sz w:val="16"/>
                <w:szCs w:val="16"/>
              </w:rPr>
              <w:t>-</w:t>
            </w:r>
            <w:r w:rsidR="00B0713A" w:rsidRPr="00204D2F">
              <w:rPr>
                <w:b/>
                <w:bCs/>
              </w:rPr>
              <w:t>–</w:t>
            </w:r>
          </w:p>
        </w:tc>
        <w:tc>
          <w:tcPr>
            <w:tcW w:w="709" w:type="dxa"/>
            <w:tcBorders>
              <w:top w:val="single" w:sz="4" w:space="0" w:color="1B556B"/>
              <w:left w:val="nil"/>
              <w:bottom w:val="single" w:sz="4" w:space="0" w:color="1B556B"/>
              <w:right w:val="nil"/>
            </w:tcBorders>
            <w:shd w:val="clear" w:color="auto" w:fill="auto"/>
            <w:noWrap/>
            <w:vAlign w:val="center"/>
            <w:hideMark/>
          </w:tcPr>
          <w:p w14:paraId="5DE3AB8C" w14:textId="4456C282" w:rsidR="00465555" w:rsidRPr="009E06AA" w:rsidRDefault="00465555" w:rsidP="00465555">
            <w:pPr>
              <w:spacing w:before="40" w:after="40"/>
              <w:rPr>
                <w:rFonts w:cs="Calibri"/>
                <w:color w:val="FFFFFF"/>
                <w:sz w:val="16"/>
                <w:szCs w:val="16"/>
              </w:rPr>
            </w:pPr>
            <w:r w:rsidRPr="009E06AA">
              <w:rPr>
                <w:rFonts w:cs="Calibri"/>
                <w:color w:val="FFFFFF"/>
                <w:sz w:val="16"/>
                <w:szCs w:val="16"/>
              </w:rPr>
              <w:t>-</w:t>
            </w:r>
            <w:r w:rsidR="00B0713A" w:rsidRPr="00204D2F">
              <w:rPr>
                <w:b/>
                <w:bCs/>
              </w:rPr>
              <w:t>–</w:t>
            </w:r>
          </w:p>
        </w:tc>
        <w:tc>
          <w:tcPr>
            <w:tcW w:w="794" w:type="dxa"/>
            <w:tcBorders>
              <w:top w:val="single" w:sz="4" w:space="0" w:color="1B556B"/>
              <w:left w:val="nil"/>
              <w:bottom w:val="single" w:sz="4" w:space="0" w:color="1B556B"/>
              <w:right w:val="nil"/>
            </w:tcBorders>
            <w:shd w:val="clear" w:color="auto" w:fill="auto"/>
            <w:noWrap/>
            <w:vAlign w:val="center"/>
            <w:hideMark/>
          </w:tcPr>
          <w:p w14:paraId="02390A2E" w14:textId="7B3D7898" w:rsidR="00465555" w:rsidRPr="009E06AA" w:rsidRDefault="00465555" w:rsidP="00465555">
            <w:pPr>
              <w:spacing w:before="40" w:after="40"/>
              <w:rPr>
                <w:rFonts w:cs="Calibri"/>
                <w:color w:val="FFFFFF"/>
                <w:sz w:val="16"/>
                <w:szCs w:val="16"/>
              </w:rPr>
            </w:pPr>
            <w:r w:rsidRPr="009E06AA">
              <w:rPr>
                <w:rFonts w:cs="Calibri"/>
                <w:color w:val="FFFFFF"/>
                <w:sz w:val="16"/>
                <w:szCs w:val="16"/>
              </w:rPr>
              <w:t>-</w:t>
            </w:r>
            <w:r w:rsidR="00B0713A" w:rsidRPr="00204D2F">
              <w:rPr>
                <w:b/>
                <w:bCs/>
              </w:rPr>
              <w:t>–</w:t>
            </w:r>
          </w:p>
        </w:tc>
        <w:tc>
          <w:tcPr>
            <w:tcW w:w="812" w:type="dxa"/>
            <w:tcBorders>
              <w:top w:val="single" w:sz="4" w:space="0" w:color="1B556B"/>
              <w:left w:val="nil"/>
              <w:bottom w:val="single" w:sz="4" w:space="0" w:color="1B556B"/>
              <w:right w:val="nil"/>
            </w:tcBorders>
            <w:shd w:val="clear" w:color="auto" w:fill="auto"/>
            <w:noWrap/>
            <w:vAlign w:val="center"/>
            <w:hideMark/>
          </w:tcPr>
          <w:p w14:paraId="614844E6" w14:textId="77777777" w:rsidR="00465555" w:rsidRPr="009E06AA" w:rsidRDefault="00465555" w:rsidP="00465555">
            <w:pPr>
              <w:spacing w:before="40" w:after="40"/>
              <w:rPr>
                <w:rFonts w:cs="Calibri"/>
                <w:color w:val="000000"/>
                <w:sz w:val="16"/>
                <w:szCs w:val="16"/>
              </w:rPr>
            </w:pPr>
            <w:r w:rsidRPr="009E06AA">
              <w:rPr>
                <w:rFonts w:cs="Calibri"/>
                <w:color w:val="000000"/>
                <w:sz w:val="16"/>
                <w:szCs w:val="16"/>
              </w:rPr>
              <w:t>T1</w:t>
            </w:r>
          </w:p>
        </w:tc>
        <w:tc>
          <w:tcPr>
            <w:tcW w:w="812" w:type="dxa"/>
            <w:tcBorders>
              <w:top w:val="single" w:sz="4" w:space="0" w:color="1B556B"/>
              <w:left w:val="nil"/>
              <w:bottom w:val="single" w:sz="4" w:space="0" w:color="1B556B"/>
              <w:right w:val="nil"/>
            </w:tcBorders>
            <w:shd w:val="clear" w:color="auto" w:fill="auto"/>
            <w:noWrap/>
            <w:vAlign w:val="center"/>
            <w:hideMark/>
          </w:tcPr>
          <w:p w14:paraId="2C88229F" w14:textId="77777777" w:rsidR="00465555" w:rsidRPr="009E06AA" w:rsidRDefault="00465555" w:rsidP="00465555">
            <w:pPr>
              <w:spacing w:before="40" w:after="40"/>
              <w:rPr>
                <w:rFonts w:cs="Calibri"/>
                <w:color w:val="000000"/>
                <w:sz w:val="16"/>
                <w:szCs w:val="16"/>
              </w:rPr>
            </w:pPr>
            <w:r w:rsidRPr="009E06AA">
              <w:rPr>
                <w:rFonts w:cs="Calibri"/>
                <w:color w:val="000000"/>
                <w:sz w:val="16"/>
                <w:szCs w:val="16"/>
              </w:rPr>
              <w:t>D</w:t>
            </w:r>
          </w:p>
        </w:tc>
      </w:tr>
      <w:tr w:rsidR="00B0713A" w:rsidRPr="009E06AA" w14:paraId="04400E46" w14:textId="77777777" w:rsidTr="00B55F24">
        <w:tc>
          <w:tcPr>
            <w:tcW w:w="320" w:type="dxa"/>
            <w:tcBorders>
              <w:top w:val="single" w:sz="4" w:space="0" w:color="1B556B"/>
              <w:left w:val="nil"/>
              <w:bottom w:val="single" w:sz="4" w:space="0" w:color="1B556B"/>
              <w:right w:val="nil"/>
            </w:tcBorders>
            <w:shd w:val="clear" w:color="auto" w:fill="auto"/>
            <w:noWrap/>
            <w:vAlign w:val="center"/>
            <w:hideMark/>
          </w:tcPr>
          <w:p w14:paraId="3AAF23D5" w14:textId="77777777" w:rsidR="00B0713A" w:rsidRPr="009E06AA" w:rsidRDefault="00B0713A" w:rsidP="00B0713A">
            <w:pPr>
              <w:spacing w:before="50" w:after="50"/>
              <w:rPr>
                <w:rFonts w:cs="Calibri"/>
                <w:b/>
                <w:bCs/>
                <w:color w:val="000000"/>
                <w:sz w:val="16"/>
                <w:szCs w:val="16"/>
              </w:rPr>
            </w:pPr>
            <w:r w:rsidRPr="009E06AA">
              <w:rPr>
                <w:rFonts w:cs="Calibri"/>
                <w:b/>
                <w:bCs/>
                <w:color w:val="000000"/>
                <w:sz w:val="16"/>
                <w:szCs w:val="16"/>
              </w:rPr>
              <w:t>H</w:t>
            </w:r>
          </w:p>
        </w:tc>
        <w:tc>
          <w:tcPr>
            <w:tcW w:w="3366" w:type="dxa"/>
            <w:tcBorders>
              <w:top w:val="single" w:sz="4" w:space="0" w:color="1B556B"/>
              <w:left w:val="nil"/>
              <w:bottom w:val="single" w:sz="4" w:space="0" w:color="1B556B"/>
              <w:right w:val="nil"/>
            </w:tcBorders>
            <w:shd w:val="clear" w:color="auto" w:fill="auto"/>
            <w:vAlign w:val="center"/>
            <w:hideMark/>
          </w:tcPr>
          <w:p w14:paraId="6BFE6A3C" w14:textId="77777777" w:rsidR="00B0713A" w:rsidRPr="009E06AA" w:rsidRDefault="00B0713A" w:rsidP="00B0713A">
            <w:pPr>
              <w:spacing w:before="40" w:after="40"/>
              <w:rPr>
                <w:rFonts w:cs="Calibri"/>
                <w:b/>
                <w:bCs/>
                <w:color w:val="000000"/>
                <w:sz w:val="16"/>
                <w:szCs w:val="16"/>
              </w:rPr>
            </w:pPr>
            <w:r w:rsidRPr="009E06AA">
              <w:rPr>
                <w:rFonts w:cs="Calibri"/>
                <w:b/>
                <w:bCs/>
                <w:color w:val="000000"/>
                <w:sz w:val="16"/>
                <w:szCs w:val="16"/>
              </w:rPr>
              <w:t>Urea Application</w:t>
            </w:r>
          </w:p>
        </w:tc>
        <w:tc>
          <w:tcPr>
            <w:tcW w:w="850" w:type="dxa"/>
            <w:tcBorders>
              <w:top w:val="single" w:sz="4" w:space="0" w:color="1B556B"/>
              <w:left w:val="nil"/>
              <w:bottom w:val="single" w:sz="4" w:space="0" w:color="1B556B"/>
              <w:right w:val="nil"/>
            </w:tcBorders>
            <w:shd w:val="clear" w:color="auto" w:fill="auto"/>
            <w:noWrap/>
            <w:vAlign w:val="center"/>
            <w:hideMark/>
          </w:tcPr>
          <w:p w14:paraId="1A3E610E" w14:textId="62C7403B" w:rsidR="00B0713A" w:rsidRPr="009E06AA" w:rsidRDefault="00B0713A" w:rsidP="00B0713A">
            <w:pPr>
              <w:spacing w:before="40" w:after="40"/>
              <w:rPr>
                <w:rFonts w:cs="Calibri"/>
                <w:color w:val="FFFFFF"/>
                <w:sz w:val="16"/>
                <w:szCs w:val="16"/>
              </w:rPr>
            </w:pPr>
            <w:r w:rsidRPr="009E06AA">
              <w:rPr>
                <w:rFonts w:cs="Calibri"/>
                <w:color w:val="FFFFFF"/>
                <w:sz w:val="16"/>
                <w:szCs w:val="16"/>
              </w:rPr>
              <w:t>-</w:t>
            </w:r>
            <w:r w:rsidRPr="00204D2F">
              <w:rPr>
                <w:b/>
                <w:bCs/>
              </w:rPr>
              <w:t>–</w:t>
            </w:r>
          </w:p>
        </w:tc>
        <w:tc>
          <w:tcPr>
            <w:tcW w:w="851" w:type="dxa"/>
            <w:tcBorders>
              <w:top w:val="single" w:sz="4" w:space="0" w:color="1B556B"/>
              <w:left w:val="nil"/>
              <w:bottom w:val="single" w:sz="4" w:space="0" w:color="1B556B"/>
              <w:right w:val="nil"/>
            </w:tcBorders>
            <w:shd w:val="clear" w:color="auto" w:fill="auto"/>
            <w:noWrap/>
            <w:vAlign w:val="center"/>
            <w:hideMark/>
          </w:tcPr>
          <w:p w14:paraId="661E273B" w14:textId="10F7FB51" w:rsidR="00B0713A" w:rsidRPr="009E06AA" w:rsidRDefault="00B0713A" w:rsidP="00B0713A">
            <w:pPr>
              <w:spacing w:before="40" w:after="40"/>
              <w:rPr>
                <w:rFonts w:cs="Calibri"/>
                <w:color w:val="FFFFFF"/>
                <w:sz w:val="16"/>
                <w:szCs w:val="16"/>
              </w:rPr>
            </w:pPr>
            <w:r w:rsidRPr="009E06AA">
              <w:rPr>
                <w:rFonts w:cs="Calibri"/>
                <w:color w:val="FFFFFF"/>
                <w:sz w:val="16"/>
                <w:szCs w:val="16"/>
              </w:rPr>
              <w:t>-</w:t>
            </w:r>
            <w:r w:rsidRPr="00204D2F">
              <w:rPr>
                <w:b/>
                <w:bCs/>
              </w:rPr>
              <w:t>–</w:t>
            </w:r>
          </w:p>
        </w:tc>
        <w:tc>
          <w:tcPr>
            <w:tcW w:w="709" w:type="dxa"/>
            <w:tcBorders>
              <w:top w:val="single" w:sz="4" w:space="0" w:color="1B556B"/>
              <w:left w:val="nil"/>
              <w:bottom w:val="single" w:sz="4" w:space="0" w:color="1B556B"/>
              <w:right w:val="nil"/>
            </w:tcBorders>
            <w:shd w:val="clear" w:color="auto" w:fill="auto"/>
            <w:noWrap/>
            <w:vAlign w:val="center"/>
            <w:hideMark/>
          </w:tcPr>
          <w:p w14:paraId="2DD3F7C6" w14:textId="14710AC6" w:rsidR="00B0713A" w:rsidRPr="009E06AA" w:rsidRDefault="00B0713A" w:rsidP="00B0713A">
            <w:pPr>
              <w:spacing w:before="40" w:after="40"/>
              <w:rPr>
                <w:rFonts w:cs="Calibri"/>
                <w:color w:val="FFFFFF"/>
                <w:sz w:val="16"/>
                <w:szCs w:val="16"/>
              </w:rPr>
            </w:pPr>
            <w:r w:rsidRPr="009E06AA">
              <w:rPr>
                <w:rFonts w:cs="Calibri"/>
                <w:color w:val="FFFFFF"/>
                <w:sz w:val="16"/>
                <w:szCs w:val="16"/>
              </w:rPr>
              <w:t>-</w:t>
            </w:r>
            <w:r w:rsidRPr="00204D2F">
              <w:rPr>
                <w:b/>
                <w:bCs/>
              </w:rPr>
              <w:t>–</w:t>
            </w:r>
          </w:p>
        </w:tc>
        <w:tc>
          <w:tcPr>
            <w:tcW w:w="794" w:type="dxa"/>
            <w:tcBorders>
              <w:top w:val="single" w:sz="4" w:space="0" w:color="1B556B"/>
              <w:left w:val="nil"/>
              <w:bottom w:val="single" w:sz="4" w:space="0" w:color="1B556B"/>
              <w:right w:val="nil"/>
            </w:tcBorders>
            <w:shd w:val="clear" w:color="auto" w:fill="auto"/>
            <w:noWrap/>
            <w:vAlign w:val="center"/>
            <w:hideMark/>
          </w:tcPr>
          <w:p w14:paraId="37D52BA4" w14:textId="4FB7182F" w:rsidR="00B0713A" w:rsidRPr="009E06AA" w:rsidRDefault="00B0713A" w:rsidP="00B0713A">
            <w:pPr>
              <w:spacing w:before="40" w:after="40"/>
              <w:rPr>
                <w:rFonts w:cs="Calibri"/>
                <w:color w:val="FFFFFF"/>
                <w:sz w:val="16"/>
                <w:szCs w:val="16"/>
              </w:rPr>
            </w:pPr>
            <w:r w:rsidRPr="009E06AA">
              <w:rPr>
                <w:rFonts w:cs="Calibri"/>
                <w:color w:val="FFFFFF"/>
                <w:sz w:val="16"/>
                <w:szCs w:val="16"/>
              </w:rPr>
              <w:t>-</w:t>
            </w:r>
            <w:r w:rsidRPr="00204D2F">
              <w:rPr>
                <w:b/>
                <w:bCs/>
              </w:rPr>
              <w:t>–</w:t>
            </w:r>
          </w:p>
        </w:tc>
        <w:tc>
          <w:tcPr>
            <w:tcW w:w="812" w:type="dxa"/>
            <w:tcBorders>
              <w:top w:val="single" w:sz="4" w:space="0" w:color="1B556B"/>
              <w:left w:val="nil"/>
              <w:bottom w:val="single" w:sz="4" w:space="0" w:color="1B556B"/>
              <w:right w:val="nil"/>
            </w:tcBorders>
            <w:shd w:val="clear" w:color="auto" w:fill="auto"/>
            <w:noWrap/>
            <w:vAlign w:val="center"/>
            <w:hideMark/>
          </w:tcPr>
          <w:p w14:paraId="07F7FBB6" w14:textId="77777777" w:rsidR="00B0713A" w:rsidRPr="009E06AA" w:rsidRDefault="00B0713A" w:rsidP="00B0713A">
            <w:pPr>
              <w:spacing w:before="40" w:after="40"/>
              <w:rPr>
                <w:rFonts w:cs="Calibri"/>
                <w:color w:val="000000"/>
                <w:sz w:val="16"/>
                <w:szCs w:val="16"/>
              </w:rPr>
            </w:pPr>
            <w:r w:rsidRPr="009E06AA">
              <w:rPr>
                <w:rFonts w:cs="Calibri"/>
                <w:color w:val="000000"/>
                <w:sz w:val="16"/>
                <w:szCs w:val="16"/>
              </w:rPr>
              <w:t>T1</w:t>
            </w:r>
          </w:p>
        </w:tc>
        <w:tc>
          <w:tcPr>
            <w:tcW w:w="812" w:type="dxa"/>
            <w:tcBorders>
              <w:top w:val="single" w:sz="4" w:space="0" w:color="1B556B"/>
              <w:left w:val="nil"/>
              <w:bottom w:val="single" w:sz="4" w:space="0" w:color="1B556B"/>
              <w:right w:val="nil"/>
            </w:tcBorders>
            <w:shd w:val="clear" w:color="auto" w:fill="auto"/>
            <w:noWrap/>
            <w:vAlign w:val="center"/>
            <w:hideMark/>
          </w:tcPr>
          <w:p w14:paraId="4F803362" w14:textId="77777777" w:rsidR="00B0713A" w:rsidRPr="009E06AA" w:rsidRDefault="00B0713A" w:rsidP="00B0713A">
            <w:pPr>
              <w:spacing w:before="40" w:after="40"/>
              <w:rPr>
                <w:rFonts w:cs="Calibri"/>
                <w:color w:val="000000"/>
                <w:sz w:val="16"/>
                <w:szCs w:val="16"/>
              </w:rPr>
            </w:pPr>
            <w:r w:rsidRPr="009E06AA">
              <w:rPr>
                <w:rFonts w:cs="Calibri"/>
                <w:color w:val="000000"/>
                <w:sz w:val="16"/>
                <w:szCs w:val="16"/>
              </w:rPr>
              <w:t>D</w:t>
            </w:r>
          </w:p>
        </w:tc>
      </w:tr>
      <w:tr w:rsidR="00B0713A" w:rsidRPr="009E06AA" w14:paraId="43A42CD7" w14:textId="77777777" w:rsidTr="00B55F24">
        <w:tc>
          <w:tcPr>
            <w:tcW w:w="320" w:type="dxa"/>
            <w:tcBorders>
              <w:top w:val="single" w:sz="4" w:space="0" w:color="1B556B"/>
              <w:left w:val="nil"/>
              <w:bottom w:val="single" w:sz="4" w:space="0" w:color="1B556B"/>
              <w:right w:val="nil"/>
            </w:tcBorders>
            <w:shd w:val="clear" w:color="auto" w:fill="auto"/>
            <w:noWrap/>
            <w:vAlign w:val="center"/>
            <w:hideMark/>
          </w:tcPr>
          <w:p w14:paraId="2870347A" w14:textId="77777777" w:rsidR="00B0713A" w:rsidRPr="009E06AA" w:rsidRDefault="00B0713A" w:rsidP="00B0713A">
            <w:pPr>
              <w:spacing w:before="50" w:after="50"/>
              <w:rPr>
                <w:rFonts w:cs="Calibri"/>
                <w:b/>
                <w:bCs/>
                <w:color w:val="000000"/>
                <w:sz w:val="16"/>
                <w:szCs w:val="16"/>
              </w:rPr>
            </w:pPr>
            <w:r w:rsidRPr="009E06AA">
              <w:rPr>
                <w:rFonts w:cs="Calibri"/>
                <w:b/>
                <w:bCs/>
                <w:color w:val="000000"/>
                <w:sz w:val="16"/>
                <w:szCs w:val="16"/>
              </w:rPr>
              <w:t>I</w:t>
            </w:r>
          </w:p>
        </w:tc>
        <w:tc>
          <w:tcPr>
            <w:tcW w:w="3366" w:type="dxa"/>
            <w:tcBorders>
              <w:top w:val="single" w:sz="4" w:space="0" w:color="1B556B"/>
              <w:left w:val="nil"/>
              <w:bottom w:val="single" w:sz="4" w:space="0" w:color="1B556B"/>
              <w:right w:val="nil"/>
            </w:tcBorders>
            <w:shd w:val="clear" w:color="auto" w:fill="auto"/>
            <w:vAlign w:val="center"/>
            <w:hideMark/>
          </w:tcPr>
          <w:p w14:paraId="7399E3C4" w14:textId="77777777" w:rsidR="00B0713A" w:rsidRPr="009E06AA" w:rsidRDefault="00B0713A" w:rsidP="00B0713A">
            <w:pPr>
              <w:spacing w:before="40" w:after="40"/>
              <w:rPr>
                <w:rFonts w:cs="Calibri"/>
                <w:b/>
                <w:bCs/>
                <w:color w:val="000000"/>
                <w:sz w:val="16"/>
                <w:szCs w:val="16"/>
              </w:rPr>
            </w:pPr>
            <w:r w:rsidRPr="009E06AA">
              <w:rPr>
                <w:rFonts w:cs="Calibri"/>
                <w:b/>
                <w:bCs/>
                <w:color w:val="000000"/>
                <w:sz w:val="16"/>
                <w:szCs w:val="16"/>
              </w:rPr>
              <w:t>Other Carbon-containing Fertilisers</w:t>
            </w:r>
          </w:p>
        </w:tc>
        <w:tc>
          <w:tcPr>
            <w:tcW w:w="850" w:type="dxa"/>
            <w:tcBorders>
              <w:top w:val="single" w:sz="4" w:space="0" w:color="1B556B"/>
              <w:left w:val="nil"/>
              <w:bottom w:val="single" w:sz="4" w:space="0" w:color="1B556B"/>
              <w:right w:val="nil"/>
            </w:tcBorders>
            <w:shd w:val="clear" w:color="auto" w:fill="auto"/>
            <w:noWrap/>
            <w:vAlign w:val="center"/>
            <w:hideMark/>
          </w:tcPr>
          <w:p w14:paraId="71C3BFED" w14:textId="3E279D23" w:rsidR="00B0713A" w:rsidRPr="009E06AA" w:rsidRDefault="00B0713A" w:rsidP="00B0713A">
            <w:pPr>
              <w:spacing w:before="40" w:after="40"/>
              <w:rPr>
                <w:rFonts w:cs="Calibri"/>
                <w:color w:val="FFFFFF"/>
                <w:sz w:val="16"/>
                <w:szCs w:val="16"/>
              </w:rPr>
            </w:pPr>
            <w:r w:rsidRPr="009E06AA">
              <w:rPr>
                <w:rFonts w:cs="Calibri"/>
                <w:color w:val="FFFFFF"/>
                <w:sz w:val="16"/>
                <w:szCs w:val="16"/>
              </w:rPr>
              <w:t>-</w:t>
            </w:r>
            <w:r w:rsidRPr="00204D2F">
              <w:rPr>
                <w:b/>
                <w:bCs/>
              </w:rPr>
              <w:t>–</w:t>
            </w:r>
          </w:p>
        </w:tc>
        <w:tc>
          <w:tcPr>
            <w:tcW w:w="851" w:type="dxa"/>
            <w:tcBorders>
              <w:top w:val="single" w:sz="4" w:space="0" w:color="1B556B"/>
              <w:left w:val="nil"/>
              <w:bottom w:val="single" w:sz="4" w:space="0" w:color="1B556B"/>
              <w:right w:val="nil"/>
            </w:tcBorders>
            <w:shd w:val="clear" w:color="auto" w:fill="auto"/>
            <w:noWrap/>
            <w:vAlign w:val="center"/>
            <w:hideMark/>
          </w:tcPr>
          <w:p w14:paraId="7DA6CC53" w14:textId="10C42E4B" w:rsidR="00B0713A" w:rsidRPr="009E06AA" w:rsidRDefault="00B0713A" w:rsidP="00B0713A">
            <w:pPr>
              <w:spacing w:before="40" w:after="40"/>
              <w:rPr>
                <w:rFonts w:cs="Calibri"/>
                <w:color w:val="FFFFFF"/>
                <w:sz w:val="16"/>
                <w:szCs w:val="16"/>
              </w:rPr>
            </w:pPr>
            <w:r w:rsidRPr="009E06AA">
              <w:rPr>
                <w:rFonts w:cs="Calibri"/>
                <w:color w:val="FFFFFF"/>
                <w:sz w:val="16"/>
                <w:szCs w:val="16"/>
              </w:rPr>
              <w:t>-</w:t>
            </w:r>
            <w:r w:rsidRPr="00204D2F">
              <w:rPr>
                <w:b/>
                <w:bCs/>
              </w:rPr>
              <w:t>–</w:t>
            </w:r>
          </w:p>
        </w:tc>
        <w:tc>
          <w:tcPr>
            <w:tcW w:w="709" w:type="dxa"/>
            <w:tcBorders>
              <w:top w:val="single" w:sz="4" w:space="0" w:color="1B556B"/>
              <w:left w:val="nil"/>
              <w:bottom w:val="single" w:sz="4" w:space="0" w:color="1B556B"/>
              <w:right w:val="nil"/>
            </w:tcBorders>
            <w:shd w:val="clear" w:color="auto" w:fill="auto"/>
            <w:noWrap/>
            <w:vAlign w:val="center"/>
            <w:hideMark/>
          </w:tcPr>
          <w:p w14:paraId="02F97548" w14:textId="5130C046" w:rsidR="00B0713A" w:rsidRPr="009E06AA" w:rsidRDefault="00B0713A" w:rsidP="00B0713A">
            <w:pPr>
              <w:spacing w:before="40" w:after="40"/>
              <w:rPr>
                <w:rFonts w:cs="Calibri"/>
                <w:color w:val="FFFFFF"/>
                <w:sz w:val="16"/>
                <w:szCs w:val="16"/>
              </w:rPr>
            </w:pPr>
            <w:r w:rsidRPr="009E06AA">
              <w:rPr>
                <w:rFonts w:cs="Calibri"/>
                <w:color w:val="FFFFFF"/>
                <w:sz w:val="16"/>
                <w:szCs w:val="16"/>
              </w:rPr>
              <w:t>-</w:t>
            </w:r>
            <w:r w:rsidRPr="00204D2F">
              <w:rPr>
                <w:b/>
                <w:bCs/>
              </w:rPr>
              <w:t>–</w:t>
            </w:r>
          </w:p>
        </w:tc>
        <w:tc>
          <w:tcPr>
            <w:tcW w:w="794" w:type="dxa"/>
            <w:tcBorders>
              <w:top w:val="single" w:sz="4" w:space="0" w:color="1B556B"/>
              <w:left w:val="nil"/>
              <w:bottom w:val="single" w:sz="4" w:space="0" w:color="1B556B"/>
              <w:right w:val="nil"/>
            </w:tcBorders>
            <w:shd w:val="clear" w:color="auto" w:fill="auto"/>
            <w:noWrap/>
            <w:vAlign w:val="center"/>
            <w:hideMark/>
          </w:tcPr>
          <w:p w14:paraId="3714F8A3" w14:textId="564D0CC7" w:rsidR="00B0713A" w:rsidRPr="009E06AA" w:rsidRDefault="00B0713A" w:rsidP="00B0713A">
            <w:pPr>
              <w:spacing w:before="40" w:after="40"/>
              <w:rPr>
                <w:rFonts w:cs="Calibri"/>
                <w:color w:val="FFFFFF"/>
                <w:sz w:val="16"/>
                <w:szCs w:val="16"/>
              </w:rPr>
            </w:pPr>
            <w:r w:rsidRPr="009E06AA">
              <w:rPr>
                <w:rFonts w:cs="Calibri"/>
                <w:color w:val="FFFFFF"/>
                <w:sz w:val="16"/>
                <w:szCs w:val="16"/>
              </w:rPr>
              <w:t>-</w:t>
            </w:r>
            <w:r w:rsidRPr="00204D2F">
              <w:rPr>
                <w:b/>
                <w:bCs/>
              </w:rPr>
              <w:t>–</w:t>
            </w:r>
          </w:p>
        </w:tc>
        <w:tc>
          <w:tcPr>
            <w:tcW w:w="812" w:type="dxa"/>
            <w:tcBorders>
              <w:top w:val="single" w:sz="4" w:space="0" w:color="1B556B"/>
              <w:left w:val="nil"/>
              <w:bottom w:val="single" w:sz="4" w:space="0" w:color="1B556B"/>
              <w:right w:val="nil"/>
            </w:tcBorders>
            <w:shd w:val="clear" w:color="auto" w:fill="auto"/>
            <w:noWrap/>
            <w:vAlign w:val="center"/>
            <w:hideMark/>
          </w:tcPr>
          <w:p w14:paraId="3A9368DF" w14:textId="77777777" w:rsidR="00B0713A" w:rsidRPr="009E06AA" w:rsidRDefault="00B0713A" w:rsidP="00B0713A">
            <w:pPr>
              <w:spacing w:before="40" w:after="40"/>
              <w:rPr>
                <w:rFonts w:cs="Calibri"/>
                <w:color w:val="000000"/>
                <w:sz w:val="16"/>
                <w:szCs w:val="16"/>
              </w:rPr>
            </w:pPr>
            <w:r w:rsidRPr="009E06AA">
              <w:rPr>
                <w:rFonts w:cs="Calibri"/>
                <w:color w:val="000000"/>
                <w:sz w:val="16"/>
                <w:szCs w:val="16"/>
              </w:rPr>
              <w:t>NA</w:t>
            </w:r>
          </w:p>
        </w:tc>
        <w:tc>
          <w:tcPr>
            <w:tcW w:w="812" w:type="dxa"/>
            <w:tcBorders>
              <w:top w:val="single" w:sz="4" w:space="0" w:color="1B556B"/>
              <w:left w:val="nil"/>
              <w:bottom w:val="single" w:sz="4" w:space="0" w:color="1B556B"/>
              <w:right w:val="nil"/>
            </w:tcBorders>
            <w:shd w:val="clear" w:color="auto" w:fill="auto"/>
            <w:noWrap/>
            <w:vAlign w:val="center"/>
            <w:hideMark/>
          </w:tcPr>
          <w:p w14:paraId="442B13D2" w14:textId="77777777" w:rsidR="00B0713A" w:rsidRPr="009E06AA" w:rsidRDefault="00B0713A" w:rsidP="00B0713A">
            <w:pPr>
              <w:spacing w:before="40" w:after="40"/>
              <w:rPr>
                <w:rFonts w:cs="Calibri"/>
                <w:color w:val="000000"/>
                <w:sz w:val="16"/>
                <w:szCs w:val="16"/>
              </w:rPr>
            </w:pPr>
            <w:r w:rsidRPr="009E06AA">
              <w:rPr>
                <w:rFonts w:cs="Calibri"/>
                <w:color w:val="000000"/>
                <w:sz w:val="16"/>
                <w:szCs w:val="16"/>
              </w:rPr>
              <w:t>NA</w:t>
            </w:r>
          </w:p>
        </w:tc>
      </w:tr>
    </w:tbl>
    <w:p w14:paraId="0C590DDF" w14:textId="77777777" w:rsidR="007523B8" w:rsidRPr="009E06AA" w:rsidRDefault="007523B8" w:rsidP="007523B8">
      <w:pPr>
        <w:pStyle w:val="Noteundertable"/>
        <w:rPr>
          <w:rFonts w:cs="Calibri"/>
        </w:rPr>
      </w:pPr>
      <w:r w:rsidRPr="009E06AA">
        <w:rPr>
          <w:rFonts w:cs="Calibri"/>
          <w:b/>
          <w:bCs/>
        </w:rPr>
        <w:t>Note:</w:t>
      </w:r>
      <w:r w:rsidRPr="009E06AA">
        <w:rPr>
          <w:rFonts w:cs="Calibri"/>
        </w:rPr>
        <w:t xml:space="preserve"> </w:t>
      </w:r>
      <w:r w:rsidRPr="009E06AA">
        <w:rPr>
          <w:rFonts w:cs="Calibri"/>
        </w:rPr>
        <w:tab/>
        <w:t>CS = country specific; D = IPCC Guidelines (2006) default; NA = not applicable; T1 = Tier 1; T2 = Tier 2.</w:t>
      </w:r>
    </w:p>
    <w:p w14:paraId="4F75EEB7" w14:textId="77777777" w:rsidR="007523B8" w:rsidRPr="009E06AA" w:rsidRDefault="007523B8" w:rsidP="007523B8">
      <w:pPr>
        <w:pStyle w:val="BodyText"/>
      </w:pPr>
      <w:r w:rsidRPr="009E06AA">
        <w:t>Further technical details on emissions calculations are provided in the Agriculture inventory methodology document on the Ministry for Primary Industries (MPI) website (</w:t>
      </w:r>
      <w:hyperlink r:id="rId93" w:history="1">
        <w:r w:rsidRPr="009E06AA">
          <w:rPr>
            <w:rStyle w:val="Hyperlink"/>
          </w:rPr>
          <w:t>www.mpi.govt.nz/ dmsdocument/13906-detailed-methodologies-for-agricultural-greenhouse-gas-emission-calculation</w:t>
        </w:r>
      </w:hyperlink>
      <w:r w:rsidRPr="009E06AA">
        <w:t xml:space="preserve">) and in the methodological issues section for each category in this document. The approach for determining livestock nutritional and energy requirements, which is required to calculate </w:t>
      </w:r>
      <w:r w:rsidRPr="009E06AA">
        <w:rPr>
          <w:i/>
          <w:iCs/>
        </w:rPr>
        <w:t>Enteric fermentation</w:t>
      </w:r>
      <w:r w:rsidRPr="009E06AA">
        <w:t xml:space="preserve"> emissions and nitrogen excreted by livestock as the precursor for calculating </w:t>
      </w:r>
      <w:r w:rsidRPr="009E06AA">
        <w:rPr>
          <w:i/>
          <w:iCs/>
        </w:rPr>
        <w:t>Manure management</w:t>
      </w:r>
      <w:r w:rsidRPr="009E06AA">
        <w:t xml:space="preserve"> (and some </w:t>
      </w:r>
      <w:r w:rsidRPr="009E06AA">
        <w:rPr>
          <w:i/>
          <w:iCs/>
        </w:rPr>
        <w:t xml:space="preserve">Agricultural soils </w:t>
      </w:r>
      <w:r w:rsidRPr="009E06AA">
        <w:t>emissions), is described in the following paragraphs.</w:t>
      </w:r>
    </w:p>
    <w:p w14:paraId="7A53BFFD" w14:textId="77777777" w:rsidR="007523B8" w:rsidRPr="009E06AA" w:rsidRDefault="007523B8" w:rsidP="007523B8">
      <w:pPr>
        <w:pStyle w:val="Heading4"/>
      </w:pPr>
      <w:r w:rsidRPr="009E06AA">
        <w:t xml:space="preserve">Description of the Tier 2 model for determining emissions from energy requirements for major ruminant livestock categories </w:t>
      </w:r>
    </w:p>
    <w:p w14:paraId="79F9411F" w14:textId="77777777" w:rsidR="007523B8" w:rsidRPr="009E06AA" w:rsidRDefault="007523B8" w:rsidP="007523B8">
      <w:pPr>
        <w:pStyle w:val="BodyText"/>
      </w:pPr>
      <w:r w:rsidRPr="009E06AA">
        <w:t xml:space="preserve">New Zealand uses a Tier 2, process-based model to calculate emissions from the major livestock categories (Clark et al., 2003). Components of the national Agriculture inventory model are constantly being improved through findings from new international and commissioned domestic research. The thoroughly researched country-specific emission factors and monthly data for livestock populations, animal productivity and feed quality mean New Zealand’s model is close to a Tier 3 inventory. However, data that informs pasture and non-pasture feed quality are not as comprehensive as would be required to report at a Tier 3 level. Figure 5.1.5 outlines the current Tier 2 methodology used to estimate emissions for the four major livestock categories. </w:t>
      </w:r>
    </w:p>
    <w:p w14:paraId="6A4437F9" w14:textId="77777777" w:rsidR="007523B8" w:rsidRPr="009E06AA" w:rsidRDefault="007523B8" w:rsidP="007523B8">
      <w:pPr>
        <w:pStyle w:val="BodyText"/>
      </w:pPr>
      <w:r w:rsidRPr="009E06AA">
        <w:t>Agricultural production (meat, milk and wool) and livestock population data are combined in the model with data on the total metabolisable energy (ME) content of the animal’s diet. To calculate CH</w:t>
      </w:r>
      <w:r w:rsidRPr="009E06AA">
        <w:rPr>
          <w:vertAlign w:val="subscript"/>
        </w:rPr>
        <w:t>4</w:t>
      </w:r>
      <w:r w:rsidRPr="009E06AA">
        <w:t xml:space="preserve"> emissions from enteric fermentation, the production data are used to determine the dry-matter intake (DMI) required to meet total annual productivity levels for each of the livestock categories and are then multiplied by a country-specific CH</w:t>
      </w:r>
      <w:r w:rsidRPr="009E06AA">
        <w:rPr>
          <w:vertAlign w:val="subscript"/>
        </w:rPr>
        <w:t>4</w:t>
      </w:r>
      <w:r w:rsidRPr="009E06AA">
        <w:t xml:space="preserve"> emission factor per unit of DMI. </w:t>
      </w:r>
      <w:r w:rsidRPr="009E06AA">
        <w:rPr>
          <w:i/>
        </w:rPr>
        <w:t>Manure management</w:t>
      </w:r>
      <w:r w:rsidRPr="009E06AA">
        <w:t xml:space="preserve"> emissions are primarily CH</w:t>
      </w:r>
      <w:r w:rsidRPr="009E06AA">
        <w:rPr>
          <w:vertAlign w:val="subscript"/>
        </w:rPr>
        <w:t>4</w:t>
      </w:r>
      <w:r w:rsidRPr="009E06AA">
        <w:t xml:space="preserve"> from manure deposited directly onto pasture, but also N</w:t>
      </w:r>
      <w:r w:rsidRPr="009E06AA">
        <w:rPr>
          <w:vertAlign w:val="subscript"/>
        </w:rPr>
        <w:t>2</w:t>
      </w:r>
      <w:r w:rsidRPr="009E06AA">
        <w:t>O as that manure breaks down due to the processes of nitrification, denitrification, volatilisation and leaching. Information on the nitrogen content of feed is multiplied with the DMI previously calculated to determine quantity of animal nitrogen intake and subsequent nitrogen excretion after allowing for nitrogen in growth and milk production.</w:t>
      </w:r>
    </w:p>
    <w:p w14:paraId="56243315" w14:textId="77777777" w:rsidR="007523B8" w:rsidRPr="009E06AA" w:rsidRDefault="007523B8" w:rsidP="007523B8">
      <w:pPr>
        <w:pStyle w:val="Figure"/>
        <w:spacing w:after="0"/>
      </w:pPr>
      <w:bookmarkStart w:id="817" w:name="_Toc481752010"/>
      <w:bookmarkStart w:id="818" w:name="_Toc507158469"/>
      <w:bookmarkStart w:id="819" w:name="_Toc511116960"/>
      <w:bookmarkStart w:id="820" w:name="_Toc5269690"/>
      <w:bookmarkStart w:id="821" w:name="_Toc32570961"/>
      <w:bookmarkStart w:id="822" w:name="_Toc36292791"/>
      <w:bookmarkStart w:id="823" w:name="_Toc68786656"/>
      <w:bookmarkStart w:id="824" w:name="_Toc95574117"/>
      <w:bookmarkStart w:id="825" w:name="_Toc127458556"/>
      <w:bookmarkStart w:id="826" w:name="_Toc131591558"/>
      <w:bookmarkStart w:id="827" w:name="_Toc164154026"/>
      <w:r w:rsidRPr="009E06AA">
        <w:t xml:space="preserve">Figure 5.1.5 </w:t>
      </w:r>
      <w:r w:rsidRPr="009E06AA">
        <w:tab/>
        <w:t>Simplified methodology for calculating emissions for major ruminant livestock categories</w:t>
      </w:r>
      <w:bookmarkEnd w:id="817"/>
      <w:bookmarkEnd w:id="818"/>
      <w:bookmarkEnd w:id="819"/>
      <w:bookmarkEnd w:id="820"/>
      <w:bookmarkEnd w:id="821"/>
      <w:bookmarkEnd w:id="822"/>
      <w:bookmarkEnd w:id="823"/>
      <w:bookmarkEnd w:id="824"/>
      <w:bookmarkEnd w:id="825"/>
      <w:bookmarkEnd w:id="826"/>
      <w:bookmarkEnd w:id="827"/>
    </w:p>
    <w:p w14:paraId="45C88E7C" w14:textId="77777777" w:rsidR="007523B8" w:rsidRPr="009E06AA" w:rsidRDefault="007523B8" w:rsidP="007523B8">
      <w:pPr>
        <w:pStyle w:val="BodyText"/>
        <w:jc w:val="center"/>
      </w:pPr>
      <w:r w:rsidRPr="009E06AA">
        <w:rPr>
          <w:rFonts w:eastAsia="Calibri"/>
        </w:rPr>
        <w:object w:dxaOrig="14670" w:dyaOrig="13470" w14:anchorId="51C8AEAC">
          <v:shape id="_x0000_i1026" type="#_x0000_t75" style="width:294.75pt;height:324pt" o:ole="">
            <v:imagedata r:id="rId94" o:title="" cropbottom="2082f" cropright="12005f"/>
          </v:shape>
          <o:OLEObject Type="Embed" ProgID="Visio.Drawing.15" ShapeID="_x0000_i1026" DrawAspect="Content" ObjectID="_1775234101" r:id="rId95"/>
        </w:object>
      </w:r>
    </w:p>
    <w:p w14:paraId="3A0F0D6E" w14:textId="77777777" w:rsidR="007523B8" w:rsidRPr="009E06AA" w:rsidRDefault="007523B8" w:rsidP="007523B8">
      <w:pPr>
        <w:pStyle w:val="Noteundertable"/>
        <w:spacing w:before="0" w:after="60"/>
        <w:rPr>
          <w:rFonts w:cs="Calibri"/>
        </w:rPr>
      </w:pPr>
      <w:r w:rsidRPr="009E06AA">
        <w:rPr>
          <w:rFonts w:cs="Calibri"/>
          <w:b/>
          <w:bCs/>
        </w:rPr>
        <w:t xml:space="preserve">Note: </w:t>
      </w:r>
      <w:r w:rsidRPr="009E06AA">
        <w:tab/>
      </w:r>
      <w:r w:rsidRPr="009E06AA">
        <w:rPr>
          <w:rFonts w:cs="Calibri"/>
        </w:rPr>
        <w:t>CH</w:t>
      </w:r>
      <w:r w:rsidRPr="009E06AA">
        <w:rPr>
          <w:rFonts w:cs="Calibri"/>
          <w:vertAlign w:val="subscript"/>
        </w:rPr>
        <w:t>4</w:t>
      </w:r>
      <w:r w:rsidRPr="009E06AA">
        <w:rPr>
          <w:rFonts w:cs="Calibri"/>
        </w:rPr>
        <w:t xml:space="preserve"> = methane; DMI = dry-matter intake; kg = kilogram; MJ = megajoule; N</w:t>
      </w:r>
      <w:r w:rsidRPr="009E06AA">
        <w:rPr>
          <w:rFonts w:cs="Calibri"/>
          <w:vertAlign w:val="subscript"/>
        </w:rPr>
        <w:t>2</w:t>
      </w:r>
      <w:r w:rsidRPr="009E06AA">
        <w:rPr>
          <w:rFonts w:cs="Calibri"/>
        </w:rPr>
        <w:t>O = nitrous oxide; NZ = New Zealand.</w:t>
      </w:r>
    </w:p>
    <w:p w14:paraId="6E82FB64" w14:textId="77777777" w:rsidR="007523B8" w:rsidRPr="009E06AA" w:rsidRDefault="007523B8" w:rsidP="007523B8">
      <w:pPr>
        <w:pStyle w:val="BodyText"/>
        <w:spacing w:before="80" w:after="60"/>
      </w:pPr>
      <w:r w:rsidRPr="009E06AA">
        <w:t>The main emissions from ruminant livestock are CH</w:t>
      </w:r>
      <w:r w:rsidRPr="009E06AA">
        <w:rPr>
          <w:vertAlign w:val="subscript"/>
        </w:rPr>
        <w:t>4</w:t>
      </w:r>
      <w:r w:rsidRPr="009E06AA">
        <w:t xml:space="preserve"> from enteric fermentation and N</w:t>
      </w:r>
      <w:r w:rsidRPr="009E06AA">
        <w:rPr>
          <w:vertAlign w:val="subscript"/>
        </w:rPr>
        <w:t>2</w:t>
      </w:r>
      <w:r w:rsidRPr="009E06AA">
        <w:t xml:space="preserve">O from manure (urine and dung). The quantity of livestock emissions has a linear relationship with DMI, which is a function of livestock energy requirements and the energy concentration of the feed: </w:t>
      </w:r>
    </w:p>
    <w:p w14:paraId="31F321A4" w14:textId="77777777" w:rsidR="007523B8" w:rsidRPr="009E06AA" w:rsidRDefault="007523B8" w:rsidP="007523B8">
      <w:pPr>
        <w:spacing w:after="120"/>
        <w:jc w:val="center"/>
        <w:rPr>
          <w:sz w:val="24"/>
        </w:rPr>
      </w:pPr>
      <m:oMathPara>
        <m:oMath>
          <m:r>
            <w:rPr>
              <w:rFonts w:ascii="Cambria Math" w:hAnsi="Cambria Math"/>
              <w:sz w:val="24"/>
            </w:rPr>
            <m:t>DMI=</m:t>
          </m:r>
          <m:f>
            <m:fPr>
              <m:ctrlPr>
                <w:rPr>
                  <w:rFonts w:ascii="Cambria Math" w:hAnsi="Cambria Math"/>
                  <w:i/>
                  <w:sz w:val="24"/>
                </w:rPr>
              </m:ctrlPr>
            </m:fPr>
            <m:num>
              <m:r>
                <w:rPr>
                  <w:rFonts w:ascii="Cambria Math" w:hAnsi="Cambria Math"/>
                  <w:sz w:val="24"/>
                </w:rPr>
                <m:t>M</m:t>
              </m:r>
              <m:sSub>
                <m:sSubPr>
                  <m:ctrlPr>
                    <w:rPr>
                      <w:rFonts w:ascii="Cambria Math" w:hAnsi="Cambria Math"/>
                      <w:i/>
                      <w:sz w:val="24"/>
                    </w:rPr>
                  </m:ctrlPr>
                </m:sSubPr>
                <m:e>
                  <m:r>
                    <w:rPr>
                      <w:rFonts w:ascii="Cambria Math" w:hAnsi="Cambria Math"/>
                      <w:sz w:val="24"/>
                    </w:rPr>
                    <m:t>E</m:t>
                  </m:r>
                </m:e>
                <m:sub>
                  <m:r>
                    <w:rPr>
                      <w:rFonts w:ascii="Cambria Math" w:hAnsi="Cambria Math"/>
                      <w:sz w:val="24"/>
                    </w:rPr>
                    <m:t>TOTAL</m:t>
                  </m:r>
                </m:sub>
              </m:sSub>
            </m:num>
            <m:den>
              <m:r>
                <w:rPr>
                  <w:rFonts w:ascii="Cambria Math" w:hAnsi="Cambria Math"/>
                  <w:sz w:val="24"/>
                </w:rPr>
                <m:t>E</m:t>
              </m:r>
            </m:den>
          </m:f>
        </m:oMath>
      </m:oMathPara>
    </w:p>
    <w:p w14:paraId="575E6339" w14:textId="77777777" w:rsidR="007523B8" w:rsidRPr="009E06AA" w:rsidRDefault="007523B8" w:rsidP="007523B8">
      <w:pPr>
        <w:spacing w:before="80" w:after="60"/>
        <w:ind w:left="993" w:hanging="993"/>
        <w:rPr>
          <w:rFonts w:cs="Calibri"/>
        </w:rPr>
      </w:pPr>
      <w:r w:rsidRPr="009E06AA">
        <w:rPr>
          <w:rFonts w:cs="Calibri"/>
        </w:rPr>
        <w:t>Where:</w:t>
      </w:r>
      <w:r w:rsidRPr="009E06AA">
        <w:rPr>
          <w:rFonts w:cs="Calibri"/>
        </w:rPr>
        <w:tab/>
        <w:t>DMI is the dry-matter intake (kg year</w:t>
      </w:r>
      <w:r w:rsidRPr="009E06AA">
        <w:rPr>
          <w:rFonts w:cs="Calibri"/>
          <w:vertAlign w:val="superscript"/>
        </w:rPr>
        <w:t>-1</w:t>
      </w:r>
      <w:r w:rsidRPr="009E06AA">
        <w:rPr>
          <w:rFonts w:cs="Calibri"/>
        </w:rPr>
        <w:t>)</w:t>
      </w:r>
    </w:p>
    <w:p w14:paraId="5B1168F5" w14:textId="77777777" w:rsidR="007523B8" w:rsidRPr="009E06AA" w:rsidRDefault="007523B8" w:rsidP="007523B8">
      <w:pPr>
        <w:spacing w:before="40" w:after="60"/>
        <w:ind w:left="993" w:hanging="993"/>
        <w:rPr>
          <w:rFonts w:cs="Calibri"/>
        </w:rPr>
      </w:pPr>
      <w:r w:rsidRPr="009E06AA">
        <w:rPr>
          <w:rFonts w:cs="Calibri"/>
        </w:rPr>
        <w:tab/>
        <w:t>ME</w:t>
      </w:r>
      <w:r w:rsidRPr="009E06AA">
        <w:rPr>
          <w:rFonts w:cs="Calibri"/>
          <w:vertAlign w:val="subscript"/>
        </w:rPr>
        <w:t>TOTAL</w:t>
      </w:r>
      <w:r w:rsidRPr="009E06AA">
        <w:rPr>
          <w:rFonts w:cs="Calibri"/>
        </w:rPr>
        <w:t xml:space="preserve"> is the total metabolisable energy requirement of the animal (kJ), and</w:t>
      </w:r>
    </w:p>
    <w:p w14:paraId="45F46462" w14:textId="77777777" w:rsidR="007523B8" w:rsidRPr="009E06AA" w:rsidRDefault="007523B8" w:rsidP="007523B8">
      <w:pPr>
        <w:spacing w:before="40" w:after="80"/>
        <w:ind w:left="993" w:hanging="993"/>
        <w:rPr>
          <w:rFonts w:cs="Calibri"/>
        </w:rPr>
      </w:pPr>
      <w:r w:rsidRPr="009E06AA">
        <w:rPr>
          <w:rFonts w:cs="Calibri"/>
        </w:rPr>
        <w:tab/>
        <w:t>E is the energy concentration in the feed (kJ/kg DMI).</w:t>
      </w:r>
    </w:p>
    <w:p w14:paraId="4BBBD439" w14:textId="77777777" w:rsidR="007523B8" w:rsidRPr="009E06AA" w:rsidRDefault="007523B8" w:rsidP="00BF2A76">
      <w:pPr>
        <w:pStyle w:val="Heading5"/>
      </w:pPr>
      <w:r w:rsidRPr="009E06AA">
        <w:t>Calculating metabolisable energy requirements (ME</w:t>
      </w:r>
      <w:r w:rsidRPr="009E06AA">
        <w:rPr>
          <w:vertAlign w:val="subscript"/>
        </w:rPr>
        <w:t>TOTAL</w:t>
      </w:r>
      <w:r w:rsidRPr="009E06AA">
        <w:t xml:space="preserve">) </w:t>
      </w:r>
    </w:p>
    <w:p w14:paraId="7FC979A0" w14:textId="77777777" w:rsidR="007523B8" w:rsidRPr="009E06AA" w:rsidRDefault="007523B8" w:rsidP="007523B8">
      <w:pPr>
        <w:pStyle w:val="BodyText"/>
        <w:spacing w:before="100" w:after="100"/>
      </w:pPr>
      <w:r w:rsidRPr="009E06AA">
        <w:t xml:space="preserve">For dairy cattle, non-dairy cattle and sheep, the approach for calculating total ME requirements </w:t>
      </w:r>
      <w:r w:rsidRPr="009E06AA">
        <w:rPr>
          <w:spacing w:val="-2"/>
        </w:rPr>
        <w:t>was developed in Australia by the Commonwealth Scientific and Industrial Research Organisation</w:t>
      </w:r>
      <w:r w:rsidRPr="009E06AA">
        <w:t xml:space="preserve"> (CSIRO, 1990). The CSIRO algorithms have been chosen because they specifically include methods to estimate the energy requirements of grazing ruminants, which is the predominant feeding method used in </w:t>
      </w:r>
      <w:r w:rsidRPr="009E06AA" w:rsidDel="00A41A77">
        <w:t xml:space="preserve">New </w:t>
      </w:r>
      <w:r w:rsidRPr="009E06AA">
        <w:t xml:space="preserve">Zealand. Further, </w:t>
      </w:r>
      <w:r w:rsidRPr="009E06AA">
        <w:rPr>
          <w:spacing w:val="-2"/>
        </w:rPr>
        <w:t xml:space="preserve">the CSIRO algorithms consider animal liveweight and production requirements based on the rate of liveweight gain, gender, milk yield and physiological state. </w:t>
      </w:r>
      <w:r w:rsidRPr="009E06AA">
        <w:t xml:space="preserve">All calculations are performed monthly. The equation below is derived from the general equation used in the Australian feeding standards and adjusted to suit </w:t>
      </w:r>
      <w:r w:rsidRPr="009E06AA" w:rsidDel="00ED534A">
        <w:t>New</w:t>
      </w:r>
      <w:r w:rsidRPr="009E06AA">
        <w:t xml:space="preserve"> Zealand conditions. </w:t>
      </w:r>
    </w:p>
    <w:p w14:paraId="6F4BF70B" w14:textId="77777777" w:rsidR="007523B8" w:rsidRPr="009E06AA" w:rsidRDefault="007523B8" w:rsidP="007523B8">
      <w:pPr>
        <w:pStyle w:val="BodyText"/>
        <w:spacing w:before="100" w:after="80"/>
      </w:pPr>
      <w:r w:rsidRPr="009E06AA">
        <w:t>The total energy required (ME</w:t>
      </w:r>
      <w:r w:rsidRPr="009E06AA">
        <w:rPr>
          <w:vertAlign w:val="subscript"/>
        </w:rPr>
        <w:t>TOTAL</w:t>
      </w:r>
      <w:r w:rsidRPr="009E06AA">
        <w:t>) is made up of:</w:t>
      </w:r>
    </w:p>
    <w:p w14:paraId="50514E04" w14:textId="77777777" w:rsidR="007523B8" w:rsidRPr="009E06AA" w:rsidRDefault="007523B8" w:rsidP="007523B8">
      <w:pPr>
        <w:pStyle w:val="Bullet"/>
      </w:pPr>
      <w:r w:rsidRPr="009E06AA">
        <w:t>energy required to maintain animal weight, which is a function of the animal’s liveweight, gender, breed, stage of maturity and physiological state (e.g., growing or lactating) (ME</w:t>
      </w:r>
      <w:r w:rsidRPr="009E06AA">
        <w:rPr>
          <w:vertAlign w:val="subscript"/>
        </w:rPr>
        <w:t>m</w:t>
      </w:r>
      <w:r w:rsidRPr="009E06AA">
        <w:t>)</w:t>
      </w:r>
    </w:p>
    <w:p w14:paraId="5A2AD461" w14:textId="77777777" w:rsidR="007523B8" w:rsidRPr="009E06AA" w:rsidRDefault="007523B8" w:rsidP="007523B8">
      <w:pPr>
        <w:pStyle w:val="Bullet"/>
      </w:pPr>
      <w:r w:rsidRPr="009E06AA">
        <w:t>energy required for the production of milk, wool, velvet, and live weight gain</w:t>
      </w:r>
      <w:r w:rsidRPr="009E06AA" w:rsidDel="00E37BE3">
        <w:t xml:space="preserve"> </w:t>
      </w:r>
      <w:r w:rsidRPr="009E06AA">
        <w:t>(ME</w:t>
      </w:r>
      <w:r w:rsidRPr="009E06AA">
        <w:rPr>
          <w:vertAlign w:val="subscript"/>
        </w:rPr>
        <w:t>p</w:t>
      </w:r>
      <w:r w:rsidRPr="009E06AA">
        <w:t>)</w:t>
      </w:r>
    </w:p>
    <w:p w14:paraId="382280C7" w14:textId="77777777" w:rsidR="007523B8" w:rsidRPr="009E06AA" w:rsidRDefault="007523B8" w:rsidP="007523B8">
      <w:pPr>
        <w:pStyle w:val="Bullet"/>
      </w:pPr>
      <w:r w:rsidRPr="009E06AA">
        <w:t>energy required for gestation or growth of the conceptus at any given time during pregnancy (ME</w:t>
      </w:r>
      <w:r w:rsidRPr="009E06AA">
        <w:rPr>
          <w:vertAlign w:val="subscript"/>
        </w:rPr>
        <w:t>c</w:t>
      </w:r>
      <w:r w:rsidRPr="009E06AA">
        <w:t>)</w:t>
      </w:r>
    </w:p>
    <w:p w14:paraId="1EB32F95" w14:textId="77777777" w:rsidR="007523B8" w:rsidRPr="009E06AA" w:rsidRDefault="007523B8" w:rsidP="007523B8">
      <w:pPr>
        <w:pStyle w:val="Bullet"/>
      </w:pPr>
      <w:r w:rsidRPr="009E06AA">
        <w:t>the additional amount of energy expended during grazing, compared with similar housed animals (ME</w:t>
      </w:r>
      <w:r w:rsidRPr="009E06AA">
        <w:rPr>
          <w:vertAlign w:val="subscript"/>
        </w:rPr>
        <w:t>GRAZE</w:t>
      </w:r>
      <w:r w:rsidRPr="009E06AA">
        <w:t>).</w:t>
      </w:r>
    </w:p>
    <w:p w14:paraId="5B352013" w14:textId="77777777" w:rsidR="007523B8" w:rsidRPr="009E06AA" w:rsidRDefault="007523B8" w:rsidP="007523B8">
      <w:pPr>
        <w:spacing w:before="80" w:after="120"/>
        <w:jc w:val="center"/>
        <w:rPr>
          <w:i/>
          <w:sz w:val="24"/>
        </w:rPr>
      </w:pPr>
      <m:oMathPara>
        <m:oMath>
          <m:r>
            <w:rPr>
              <w:rFonts w:ascii="Cambria Math" w:hAnsi="Cambria Math" w:cs="Calibri"/>
              <w:sz w:val="24"/>
              <w:szCs w:val="24"/>
            </w:rPr>
            <m:t>M</m:t>
          </m:r>
          <m:sSub>
            <m:sSubPr>
              <m:ctrlPr>
                <w:rPr>
                  <w:rFonts w:ascii="Cambria Math" w:hAnsi="Cambria Math"/>
                  <w:i/>
                  <w:sz w:val="24"/>
                </w:rPr>
              </m:ctrlPr>
            </m:sSubPr>
            <m:e>
              <m:r>
                <w:rPr>
                  <w:rFonts w:ascii="Cambria Math" w:hAnsi="Cambria Math" w:cs="Calibri"/>
                  <w:sz w:val="24"/>
                  <w:szCs w:val="24"/>
                </w:rPr>
                <m:t>E</m:t>
              </m:r>
            </m:e>
            <m:sub>
              <m:r>
                <w:rPr>
                  <w:rFonts w:ascii="Cambria Math" w:hAnsi="Cambria Math" w:cs="Calibri"/>
                  <w:sz w:val="24"/>
                  <w:szCs w:val="24"/>
                </w:rPr>
                <m:t>TOTAL</m:t>
              </m:r>
            </m:sub>
          </m:sSub>
          <m:r>
            <w:rPr>
              <w:rFonts w:ascii="Cambria Math" w:hAnsi="Cambria Math"/>
              <w:sz w:val="24"/>
            </w:rPr>
            <m:t>=</m:t>
          </m:r>
          <m:sSub>
            <m:sSubPr>
              <m:ctrlPr>
                <w:rPr>
                  <w:rFonts w:ascii="Cambria Math" w:hAnsi="Cambria Math" w:cs="Calibri"/>
                  <w:i/>
                  <w:sz w:val="24"/>
                  <w:szCs w:val="24"/>
                </w:rPr>
              </m:ctrlPr>
            </m:sSubPr>
            <m:e>
              <m:r>
                <w:rPr>
                  <w:rFonts w:ascii="Cambria Math" w:hAnsi="Cambria Math" w:cs="Calibri"/>
                  <w:sz w:val="24"/>
                  <w:szCs w:val="24"/>
                </w:rPr>
                <m:t>ME</m:t>
              </m:r>
            </m:e>
            <m:sub>
              <m:r>
                <w:rPr>
                  <w:rFonts w:ascii="Cambria Math" w:hAnsi="Cambria Math" w:cs="Calibri"/>
                  <w:sz w:val="24"/>
                  <w:szCs w:val="24"/>
                </w:rPr>
                <m:t>m</m:t>
              </m:r>
            </m:sub>
          </m:sSub>
          <m:r>
            <w:rPr>
              <w:rFonts w:ascii="Cambria Math" w:hAnsi="Cambria Math" w:cs="Calibri"/>
              <w:sz w:val="24"/>
              <w:szCs w:val="24"/>
            </w:rPr>
            <m:t>+</m:t>
          </m:r>
          <m:sSub>
            <m:sSubPr>
              <m:ctrlPr>
                <w:rPr>
                  <w:rFonts w:ascii="Cambria Math" w:hAnsi="Cambria Math" w:cs="Calibri"/>
                  <w:i/>
                  <w:sz w:val="24"/>
                  <w:szCs w:val="24"/>
                </w:rPr>
              </m:ctrlPr>
            </m:sSubPr>
            <m:e>
              <m:r>
                <w:rPr>
                  <w:rFonts w:ascii="Cambria Math" w:hAnsi="Cambria Math" w:cs="Calibri"/>
                  <w:sz w:val="24"/>
                  <w:szCs w:val="24"/>
                </w:rPr>
                <m:t>ME</m:t>
              </m:r>
              <m:ctrlPr>
                <w:rPr>
                  <w:rFonts w:ascii="Cambria Math" w:hAnsi="Cambria Math"/>
                  <w:i/>
                  <w:sz w:val="24"/>
                </w:rPr>
              </m:ctrlPr>
            </m:e>
            <m:sub>
              <m:r>
                <w:rPr>
                  <w:rFonts w:ascii="Cambria Math" w:hAnsi="Cambria Math" w:cs="Calibri"/>
                  <w:sz w:val="24"/>
                  <w:szCs w:val="24"/>
                </w:rPr>
                <m:t>P</m:t>
              </m:r>
              <m:ctrlPr>
                <w:rPr>
                  <w:rFonts w:ascii="Cambria Math" w:hAnsi="Cambria Math"/>
                  <w:i/>
                  <w:sz w:val="24"/>
                </w:rPr>
              </m:ctrlPr>
            </m:sub>
          </m:sSub>
          <m:r>
            <w:rPr>
              <w:rFonts w:ascii="Cambria Math" w:hAnsi="Cambria Math"/>
              <w:sz w:val="24"/>
            </w:rPr>
            <m:t>+</m:t>
          </m:r>
          <m:sSub>
            <m:sSubPr>
              <m:ctrlPr>
                <w:rPr>
                  <w:rFonts w:ascii="Cambria Math" w:hAnsi="Cambria Math"/>
                  <w:i/>
                  <w:sz w:val="24"/>
                </w:rPr>
              </m:ctrlPr>
            </m:sSubPr>
            <m:e>
              <m:r>
                <w:rPr>
                  <w:rFonts w:ascii="Cambria Math" w:hAnsi="Cambria Math" w:cs="Calibri"/>
                  <w:sz w:val="24"/>
                  <w:szCs w:val="24"/>
                </w:rPr>
                <m:t>ME</m:t>
              </m:r>
            </m:e>
            <m:sub>
              <m:r>
                <w:rPr>
                  <w:rFonts w:ascii="Cambria Math" w:hAnsi="Cambria Math" w:cs="Calibri"/>
                  <w:sz w:val="24"/>
                  <w:szCs w:val="24"/>
                </w:rPr>
                <m:t>GRAZE</m:t>
              </m:r>
            </m:sub>
          </m:sSub>
          <m:r>
            <w:rPr>
              <w:rFonts w:ascii="Cambria Math" w:hAnsi="Cambria Math" w:cs="Calibri"/>
              <w:sz w:val="24"/>
              <w:szCs w:val="24"/>
            </w:rPr>
            <m:t>+</m:t>
          </m:r>
          <m:sSub>
            <m:sSubPr>
              <m:ctrlPr>
                <w:rPr>
                  <w:rFonts w:ascii="Cambria Math" w:hAnsi="Cambria Math" w:cs="Calibri"/>
                  <w:i/>
                  <w:sz w:val="24"/>
                  <w:szCs w:val="24"/>
                </w:rPr>
              </m:ctrlPr>
            </m:sSubPr>
            <m:e>
              <m:r>
                <w:rPr>
                  <w:rFonts w:ascii="Cambria Math" w:hAnsi="Cambria Math" w:cs="Calibri"/>
                  <w:sz w:val="24"/>
                  <w:szCs w:val="24"/>
                </w:rPr>
                <m:t>ME</m:t>
              </m:r>
            </m:e>
            <m:sub>
              <m:r>
                <w:rPr>
                  <w:rFonts w:ascii="Cambria Math" w:hAnsi="Cambria Math" w:cs="Calibri"/>
                  <w:sz w:val="24"/>
                  <w:szCs w:val="24"/>
                </w:rPr>
                <m:t>c</m:t>
              </m:r>
            </m:sub>
          </m:sSub>
        </m:oMath>
      </m:oMathPara>
    </w:p>
    <w:p w14:paraId="201C548B" w14:textId="77777777" w:rsidR="007523B8" w:rsidRPr="009E06AA" w:rsidRDefault="007523B8" w:rsidP="009A123C">
      <w:pPr>
        <w:pStyle w:val="BodyText"/>
        <w:tabs>
          <w:tab w:val="left" w:pos="964"/>
        </w:tabs>
        <w:spacing w:after="40"/>
      </w:pPr>
      <w:r w:rsidRPr="009E06AA">
        <w:t>Where:</w:t>
      </w:r>
      <w:r w:rsidRPr="009E06AA">
        <w:tab/>
        <w:t>ME</w:t>
      </w:r>
      <w:r w:rsidRPr="009E06AA">
        <w:rPr>
          <w:vertAlign w:val="subscript"/>
        </w:rPr>
        <w:t>m</w:t>
      </w:r>
      <w:r w:rsidRPr="009E06AA">
        <w:t xml:space="preserve"> is the energy requirement for maintenance</w:t>
      </w:r>
    </w:p>
    <w:p w14:paraId="79E41197" w14:textId="77777777" w:rsidR="007523B8" w:rsidRPr="009E06AA" w:rsidRDefault="007523B8" w:rsidP="009A123C">
      <w:pPr>
        <w:pStyle w:val="BodyText"/>
        <w:tabs>
          <w:tab w:val="left" w:pos="964"/>
        </w:tabs>
        <w:spacing w:before="40" w:after="40"/>
      </w:pPr>
      <w:r w:rsidRPr="009E06AA">
        <w:tab/>
        <w:t>ME</w:t>
      </w:r>
      <w:r w:rsidRPr="009E06AA">
        <w:rPr>
          <w:vertAlign w:val="subscript"/>
        </w:rPr>
        <w:t>P</w:t>
      </w:r>
      <w:r w:rsidRPr="009E06AA">
        <w:t xml:space="preserve"> is the energy used directly for production (meat, milk, wool and so on) </w:t>
      </w:r>
    </w:p>
    <w:p w14:paraId="3D83B76E" w14:textId="77777777" w:rsidR="007523B8" w:rsidRPr="009E06AA" w:rsidRDefault="007523B8" w:rsidP="009A123C">
      <w:pPr>
        <w:pStyle w:val="BodyText"/>
        <w:tabs>
          <w:tab w:val="left" w:pos="964"/>
        </w:tabs>
        <w:spacing w:before="40" w:after="40"/>
      </w:pPr>
      <w:r w:rsidRPr="009E06AA">
        <w:tab/>
        <w:t>ME</w:t>
      </w:r>
      <w:r w:rsidRPr="009E06AA">
        <w:rPr>
          <w:vertAlign w:val="subscript"/>
        </w:rPr>
        <w:t>GRAZE</w:t>
      </w:r>
      <w:r w:rsidRPr="009E06AA">
        <w:t xml:space="preserve"> is the additional energy required by grazing livestock, and</w:t>
      </w:r>
    </w:p>
    <w:p w14:paraId="0120CE42" w14:textId="77777777" w:rsidR="007523B8" w:rsidRPr="009E06AA" w:rsidRDefault="007523B8" w:rsidP="007523B8">
      <w:pPr>
        <w:pStyle w:val="BodyText"/>
        <w:tabs>
          <w:tab w:val="left" w:pos="964"/>
        </w:tabs>
        <w:spacing w:before="40"/>
      </w:pPr>
      <w:r w:rsidRPr="009E06AA">
        <w:tab/>
        <w:t>ME</w:t>
      </w:r>
      <w:r w:rsidRPr="009E06AA">
        <w:rPr>
          <w:vertAlign w:val="subscript"/>
        </w:rPr>
        <w:t>c</w:t>
      </w:r>
      <w:r w:rsidRPr="009E06AA">
        <w:t xml:space="preserve"> is the energy used for gestation or growth of the conceptus (MJ day</w:t>
      </w:r>
      <w:r w:rsidRPr="009E06AA">
        <w:rPr>
          <w:vertAlign w:val="superscript"/>
        </w:rPr>
        <w:t>-1</w:t>
      </w:r>
      <w:r w:rsidRPr="009E06AA">
        <w:t>).</w:t>
      </w:r>
    </w:p>
    <w:p w14:paraId="62955E8A" w14:textId="77777777" w:rsidR="007523B8" w:rsidRPr="009E06AA" w:rsidRDefault="007523B8" w:rsidP="007523B8">
      <w:pPr>
        <w:pStyle w:val="BodyText"/>
      </w:pPr>
      <w:r w:rsidRPr="009E06AA">
        <w:t>The ME</w:t>
      </w:r>
      <w:r w:rsidRPr="009E06AA">
        <w:rPr>
          <w:vertAlign w:val="subscript"/>
        </w:rPr>
        <w:t>m</w:t>
      </w:r>
      <w:r w:rsidRPr="009E06AA">
        <w:t xml:space="preserve"> requirement for an animal of a defined weight is not constant and will vary with energy costs of production. Increased productivity requires higher feed intakes and this affects the proportion of viscera and costs associated with respiration, cardiac output and so on. The Agriculture inventory model accounts for this by adding 10 per cent of the dietary ME allocated to production (ME</w:t>
      </w:r>
      <w:r w:rsidRPr="009E06AA">
        <w:rPr>
          <w:vertAlign w:val="subscript"/>
        </w:rPr>
        <w:t>p</w:t>
      </w:r>
      <w:r w:rsidRPr="009E06AA">
        <w:t>) to ME</w:t>
      </w:r>
      <w:r w:rsidRPr="009E06AA">
        <w:rPr>
          <w:vertAlign w:val="subscript"/>
        </w:rPr>
        <w:t>m</w:t>
      </w:r>
      <w:r w:rsidRPr="009E06AA">
        <w:t xml:space="preserve"> (CSIRO, 1990). The addition of the term </w:t>
      </w:r>
      <w:r w:rsidRPr="009E06AA">
        <w:rPr>
          <w:i/>
        </w:rPr>
        <w:t>0.1 × ME</w:t>
      </w:r>
      <w:r w:rsidRPr="009E06AA">
        <w:rPr>
          <w:i/>
          <w:vertAlign w:val="subscript"/>
        </w:rPr>
        <w:t>p</w:t>
      </w:r>
      <w:r w:rsidRPr="009E06AA">
        <w:t xml:space="preserve"> is used to account for this. </w:t>
      </w:r>
    </w:p>
    <w:p w14:paraId="1758C68D" w14:textId="77777777" w:rsidR="007523B8" w:rsidRPr="009E06AA" w:rsidRDefault="007523B8" w:rsidP="007523B8">
      <w:pPr>
        <w:pStyle w:val="BodyText"/>
      </w:pPr>
      <w:r w:rsidRPr="009E06AA">
        <w:t>The Agriculture inventory model uses a generic equation to calculate ME</w:t>
      </w:r>
      <w:r w:rsidRPr="009E06AA">
        <w:rPr>
          <w:vertAlign w:val="subscript"/>
        </w:rPr>
        <w:t>m</w:t>
      </w:r>
      <w:r w:rsidRPr="009E06AA">
        <w:t xml:space="preserve"> for dairy and beef cattle, sheep and deer, but equations used to calculate ME</w:t>
      </w:r>
      <w:r w:rsidRPr="009E06AA">
        <w:rPr>
          <w:vertAlign w:val="subscript"/>
        </w:rPr>
        <w:t xml:space="preserve">p </w:t>
      </w:r>
      <w:r w:rsidRPr="009E06AA">
        <w:t>and ME</w:t>
      </w:r>
      <w:r w:rsidRPr="009E06AA">
        <w:rPr>
          <w:i/>
          <w:vertAlign w:val="subscript"/>
        </w:rPr>
        <w:t>GRAZE</w:t>
      </w:r>
      <w:r w:rsidRPr="009E06AA">
        <w:t xml:space="preserve"> differ for each animal category: </w:t>
      </w:r>
    </w:p>
    <w:p w14:paraId="43C5DC2D" w14:textId="77777777" w:rsidR="007523B8" w:rsidRPr="009E06AA" w:rsidRDefault="008975BF" w:rsidP="007523B8">
      <w:pPr>
        <w:rPr>
          <w:i/>
          <w:sz w:val="24"/>
          <w:szCs w:val="24"/>
        </w:rPr>
      </w:pPr>
      <m:oMathPara>
        <m:oMathParaPr>
          <m:jc m:val="center"/>
        </m:oMathParaPr>
        <m:oMath>
          <m:sSub>
            <m:sSubPr>
              <m:ctrlPr>
                <w:rPr>
                  <w:rFonts w:ascii="Cambria Math" w:hAnsi="Cambria Math"/>
                  <w:i/>
                  <w:sz w:val="24"/>
                  <w:szCs w:val="24"/>
                </w:rPr>
              </m:ctrlPr>
            </m:sSubPr>
            <m:e>
              <m:r>
                <w:rPr>
                  <w:rFonts w:ascii="Cambria Math" w:hAnsi="Cambria Math"/>
                  <w:sz w:val="24"/>
                  <w:szCs w:val="24"/>
                </w:rPr>
                <m:t>ME</m:t>
              </m:r>
            </m:e>
            <m:sub>
              <m:r>
                <w:rPr>
                  <w:rFonts w:ascii="Cambria Math" w:hAnsi="Cambria Math"/>
                  <w:sz w:val="24"/>
                  <w:szCs w:val="24"/>
                </w:rPr>
                <m:t>m</m:t>
              </m:r>
            </m:sub>
          </m:sSub>
          <m:r>
            <w:rPr>
              <w:rFonts w:ascii="Cambria Math" w:hAnsi="Cambria Math"/>
              <w:sz w:val="24"/>
              <w:szCs w:val="24"/>
            </w:rPr>
            <m:t>=</m:t>
          </m:r>
          <m:r>
            <w:rPr>
              <w:rFonts w:ascii="Cambria Math" w:hAnsi="Cambria Math"/>
              <w:sz w:val="24"/>
              <w:szCs w:val="24"/>
            </w:rPr>
            <m:t>K</m:t>
          </m:r>
          <m:r>
            <w:rPr>
              <w:rFonts w:ascii="Cambria Math" w:hAnsi="Cambria Math"/>
              <w:sz w:val="24"/>
              <w:szCs w:val="24"/>
            </w:rPr>
            <m:t>×</m:t>
          </m:r>
          <m:r>
            <w:rPr>
              <w:rFonts w:ascii="Cambria Math" w:hAnsi="Cambria Math"/>
              <w:sz w:val="24"/>
              <w:szCs w:val="24"/>
            </w:rPr>
            <m:t>S</m:t>
          </m:r>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0.28</m:t>
              </m:r>
              <m:r>
                <w:rPr>
                  <w:rFonts w:ascii="Cambria Math" w:hAnsi="Cambria Math"/>
                  <w:sz w:val="24"/>
                  <w:szCs w:val="24"/>
                </w:rPr>
                <m:t>L</m:t>
              </m:r>
              <m:sSup>
                <m:sSupPr>
                  <m:ctrlPr>
                    <w:rPr>
                      <w:rFonts w:ascii="Cambria Math" w:hAnsi="Cambria Math"/>
                      <w:i/>
                      <w:sz w:val="24"/>
                      <w:szCs w:val="24"/>
                    </w:rPr>
                  </m:ctrlPr>
                </m:sSupPr>
                <m:e>
                  <m:r>
                    <w:rPr>
                      <w:rFonts w:ascii="Cambria Math" w:hAnsi="Cambria Math"/>
                      <w:sz w:val="24"/>
                      <w:szCs w:val="24"/>
                    </w:rPr>
                    <m:t>W</m:t>
                  </m:r>
                </m:e>
                <m:sup>
                  <m:r>
                    <w:rPr>
                      <w:rFonts w:ascii="Cambria Math" w:hAnsi="Cambria Math"/>
                      <w:sz w:val="24"/>
                      <w:szCs w:val="24"/>
                    </w:rPr>
                    <m:t>0.75</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m:t>
                  </m:r>
                  <m:r>
                    <w:rPr>
                      <w:rFonts w:ascii="Cambria Math" w:hAnsi="Cambria Math"/>
                      <w:sz w:val="24"/>
                      <w:szCs w:val="24"/>
                    </w:rPr>
                    <m:t>0.03</m:t>
                  </m:r>
                  <m:r>
                    <w:rPr>
                      <w:rFonts w:ascii="Cambria Math" w:hAnsi="Cambria Math"/>
                      <w:sz w:val="24"/>
                      <w:szCs w:val="24"/>
                    </w:rPr>
                    <m:t>A</m:t>
                  </m:r>
                </m:sup>
              </m:sSup>
            </m:num>
            <m:den>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m</m:t>
                  </m:r>
                </m:sub>
              </m:sSub>
            </m:den>
          </m:f>
          <m:r>
            <w:rPr>
              <w:rFonts w:ascii="Cambria Math" w:hAnsi="Cambria Math"/>
              <w:sz w:val="24"/>
              <w:szCs w:val="24"/>
            </w:rPr>
            <m:t>+0.1×</m:t>
          </m:r>
          <m:sSub>
            <m:sSubPr>
              <m:ctrlPr>
                <w:rPr>
                  <w:rFonts w:ascii="Cambria Math" w:hAnsi="Cambria Math"/>
                  <w:i/>
                  <w:sz w:val="24"/>
                  <w:szCs w:val="24"/>
                </w:rPr>
              </m:ctrlPr>
            </m:sSubPr>
            <m:e>
              <m:r>
                <w:rPr>
                  <w:rFonts w:ascii="Cambria Math" w:hAnsi="Cambria Math"/>
                  <w:sz w:val="24"/>
                  <w:szCs w:val="24"/>
                </w:rPr>
                <m:t>ME</m:t>
              </m:r>
            </m:e>
            <m:sub>
              <m:r>
                <w:rPr>
                  <w:rFonts w:ascii="Cambria Math" w:hAnsi="Cambria Math"/>
                  <w:sz w:val="24"/>
                  <w:szCs w:val="24"/>
                </w:rPr>
                <m:t>p</m:t>
              </m:r>
            </m:sub>
          </m:sSub>
        </m:oMath>
      </m:oMathPara>
    </w:p>
    <w:p w14:paraId="189C72BB" w14:textId="77777777" w:rsidR="007523B8" w:rsidRPr="009E06AA" w:rsidRDefault="007523B8" w:rsidP="007523B8"/>
    <w:p w14:paraId="44EA353E" w14:textId="77777777" w:rsidR="007523B8" w:rsidRPr="009E06AA" w:rsidRDefault="007523B8" w:rsidP="007E04C8">
      <w:pPr>
        <w:pStyle w:val="BodyText"/>
        <w:spacing w:before="0" w:after="20"/>
        <w:ind w:left="964" w:hanging="964"/>
      </w:pPr>
      <w:r w:rsidRPr="009E06AA">
        <w:t>Where:</w:t>
      </w:r>
      <w:r w:rsidRPr="009E06AA">
        <w:tab/>
        <w:t>ME</w:t>
      </w:r>
      <w:r w:rsidRPr="009E06AA">
        <w:rPr>
          <w:vertAlign w:val="subscript"/>
        </w:rPr>
        <w:t>m</w:t>
      </w:r>
      <w:r w:rsidRPr="009E06AA">
        <w:t xml:space="preserve"> = metabolisable energy required to maintain animal weight (MJ/d)</w:t>
      </w:r>
    </w:p>
    <w:p w14:paraId="68096609" w14:textId="77777777" w:rsidR="007523B8" w:rsidRPr="009E06AA" w:rsidRDefault="007523B8" w:rsidP="007E04C8">
      <w:pPr>
        <w:pStyle w:val="BodyText"/>
        <w:spacing w:before="30" w:after="40"/>
        <w:ind w:left="964" w:hanging="964"/>
      </w:pPr>
      <w:r w:rsidRPr="009E06AA">
        <w:tab/>
        <w:t xml:space="preserve">K = coefficient that accounts for differences in fasting heat production across species (CSIRO, 1990, p 22). This value is 1.0 for sheep and 1.4 for cattle and deer (CSIRO, 2007) </w:t>
      </w:r>
    </w:p>
    <w:p w14:paraId="4B9C514B" w14:textId="77777777" w:rsidR="007523B8" w:rsidRPr="009E06AA" w:rsidRDefault="007523B8" w:rsidP="007E04C8">
      <w:pPr>
        <w:pStyle w:val="BodyText"/>
        <w:spacing w:before="30" w:after="40"/>
        <w:ind w:left="964" w:hanging="964"/>
      </w:pPr>
      <w:r w:rsidRPr="009E06AA">
        <w:tab/>
        <w:t xml:space="preserve">S = coefficient that accounts for differences in basal metabolic rate between males and females. This value is 1.0 for mature females and castrates or 1.15 for entire mature males (CSIRO, 2007) </w:t>
      </w:r>
    </w:p>
    <w:p w14:paraId="46E784E9" w14:textId="77777777" w:rsidR="007523B8" w:rsidRPr="009E06AA" w:rsidRDefault="007523B8" w:rsidP="007E04C8">
      <w:pPr>
        <w:pStyle w:val="BodyText"/>
        <w:spacing w:before="30" w:after="40"/>
        <w:ind w:left="964" w:hanging="964"/>
      </w:pPr>
      <w:r w:rsidRPr="009E06AA">
        <w:tab/>
        <w:t xml:space="preserve">LW = live weight of animal (kg) </w:t>
      </w:r>
    </w:p>
    <w:p w14:paraId="3AE2B03E" w14:textId="77777777" w:rsidR="007523B8" w:rsidRPr="009E06AA" w:rsidRDefault="007523B8" w:rsidP="007E04C8">
      <w:pPr>
        <w:pStyle w:val="BodyText"/>
        <w:spacing w:before="30" w:after="40"/>
        <w:ind w:left="964" w:hanging="964"/>
      </w:pPr>
      <w:r w:rsidRPr="009E06AA">
        <w:tab/>
        <w:t>A = age in years</w:t>
      </w:r>
    </w:p>
    <w:p w14:paraId="25900CF2" w14:textId="77777777" w:rsidR="007523B8" w:rsidRPr="009E06AA" w:rsidRDefault="007523B8" w:rsidP="007E04C8">
      <w:pPr>
        <w:pStyle w:val="BodyText"/>
        <w:spacing w:before="30" w:after="40"/>
        <w:ind w:left="964" w:hanging="964"/>
      </w:pPr>
      <w:r w:rsidRPr="009E06AA">
        <w:tab/>
        <w:t>k</w:t>
      </w:r>
      <w:r w:rsidRPr="009E06AA">
        <w:rPr>
          <w:vertAlign w:val="subscript"/>
        </w:rPr>
        <w:t>m</w:t>
      </w:r>
      <w:r w:rsidRPr="009E06AA">
        <w:t xml:space="preserve"> = efficiency of utilisation of ME for maintenance, or the factor used to convert ME to NE for maintenance</w:t>
      </w:r>
    </w:p>
    <w:p w14:paraId="224D7243" w14:textId="77777777" w:rsidR="007523B8" w:rsidRPr="009E06AA" w:rsidRDefault="007523B8" w:rsidP="007E04C8">
      <w:pPr>
        <w:pStyle w:val="BodyText"/>
        <w:spacing w:before="30" w:after="80"/>
        <w:ind w:left="964" w:hanging="964"/>
      </w:pPr>
      <w:r w:rsidRPr="009E06AA">
        <w:tab/>
        <w:t>ME</w:t>
      </w:r>
      <w:r w:rsidRPr="009E06AA">
        <w:rPr>
          <w:vertAlign w:val="subscript"/>
        </w:rPr>
        <w:t>p</w:t>
      </w:r>
      <w:r w:rsidRPr="009E06AA">
        <w:t xml:space="preserve"> = ME required for production (MJ/d).</w:t>
      </w:r>
    </w:p>
    <w:p w14:paraId="10253FB9" w14:textId="77777777" w:rsidR="007523B8" w:rsidRPr="009E06AA" w:rsidRDefault="007523B8" w:rsidP="007E04C8">
      <w:pPr>
        <w:pStyle w:val="BodyText"/>
        <w:spacing w:after="100"/>
      </w:pPr>
      <w:r w:rsidRPr="009E06AA">
        <w:t>For further details, see the Agriculture inventory methodology document on the MPI website (</w:t>
      </w:r>
      <w:hyperlink r:id="rId96" w:history="1">
        <w:r w:rsidRPr="009E06AA">
          <w:rPr>
            <w:rStyle w:val="Hyperlink"/>
            <w:rFonts w:cs="Calibri"/>
            <w:spacing w:val="-2"/>
          </w:rPr>
          <w:t>www.mpi.govt.nz/dmsdocument/13906-detailed-methodologies-for-agricultural-greenhouse-gas-emission-calculation</w:t>
        </w:r>
      </w:hyperlink>
      <w:r w:rsidRPr="009E06AA">
        <w:t>).</w:t>
      </w:r>
    </w:p>
    <w:p w14:paraId="000A4559" w14:textId="77777777" w:rsidR="007523B8" w:rsidRPr="009E06AA" w:rsidRDefault="007523B8" w:rsidP="007E04C8">
      <w:pPr>
        <w:pStyle w:val="Heading5"/>
        <w:spacing w:before="200"/>
      </w:pPr>
      <w:r w:rsidRPr="009E06AA">
        <w:t xml:space="preserve">Monthly diet energy (E) concentration </w:t>
      </w:r>
    </w:p>
    <w:p w14:paraId="25131018" w14:textId="77777777" w:rsidR="007523B8" w:rsidRPr="009E06AA" w:rsidRDefault="007523B8" w:rsidP="007E04C8">
      <w:pPr>
        <w:pStyle w:val="BodyText"/>
        <w:spacing w:before="100" w:after="100"/>
        <w:rPr>
          <w:strike/>
        </w:rPr>
      </w:pPr>
      <w:r w:rsidRPr="009E06AA">
        <w:t xml:space="preserve">In New Zealand, dairy cattle, beef cattle, sheep and deer are predominantly fed on pasture all year round. Data sets of estimated monthly energy concentrations of pasture consumed by different livestock species are used in the Agriculture inventory model. This diet is typically supplemented with feeds of various types, such as hay and silage, and a range of different crops and crop wastes. Data on the concentration of pasture are reported in the Agriculture inventory methodology document (Pickering et al., 2022, appendices 3, 9 and 19) and are derived from published and unpublished research trial data and </w:t>
      </w:r>
      <w:r w:rsidRPr="009E06AA" w:rsidDel="00574888">
        <w:t xml:space="preserve">supplemented </w:t>
      </w:r>
      <w:r w:rsidRPr="009E06AA">
        <w:t>with additional data from farm surveys on commercial cattle and sheep farms.</w:t>
      </w:r>
    </w:p>
    <w:p w14:paraId="675D3B5D" w14:textId="77777777" w:rsidR="007523B8" w:rsidRPr="009E06AA" w:rsidRDefault="007523B8" w:rsidP="007E04C8">
      <w:pPr>
        <w:pStyle w:val="BodyText"/>
        <w:spacing w:before="100" w:after="100"/>
      </w:pPr>
      <w:r w:rsidRPr="009E06AA">
        <w:t>To ensure consistency across the livestock emission source categories, a single enhanced livestock population characterisation and DMI estimate is produced by the Tier 2 model for each livestock class. The enhanced livestock characterisation and DMI are used to estimate CH</w:t>
      </w:r>
      <w:r w:rsidRPr="009E06AA">
        <w:rPr>
          <w:vertAlign w:val="subscript"/>
        </w:rPr>
        <w:t>4</w:t>
      </w:r>
      <w:r w:rsidRPr="009E06AA">
        <w:t xml:space="preserve"> emissions for the </w:t>
      </w:r>
      <w:r w:rsidRPr="009E06AA">
        <w:rPr>
          <w:i/>
          <w:iCs/>
        </w:rPr>
        <w:t xml:space="preserve">Enteric fermentation </w:t>
      </w:r>
      <w:r w:rsidRPr="009E06AA">
        <w:t>category, CH</w:t>
      </w:r>
      <w:r w:rsidRPr="009E06AA">
        <w:rPr>
          <w:vertAlign w:val="subscript"/>
        </w:rPr>
        <w:t>4</w:t>
      </w:r>
      <w:r w:rsidRPr="009E06AA">
        <w:t xml:space="preserve"> and N</w:t>
      </w:r>
      <w:r w:rsidRPr="009E06AA">
        <w:rPr>
          <w:vertAlign w:val="subscript"/>
        </w:rPr>
        <w:t>2</w:t>
      </w:r>
      <w:r w:rsidRPr="009E06AA">
        <w:t>O</w:t>
      </w:r>
      <w:r w:rsidRPr="009E06AA" w:rsidDel="00574888">
        <w:t xml:space="preserve"> </w:t>
      </w:r>
      <w:r w:rsidRPr="009E06AA">
        <w:t xml:space="preserve">emissions, derived from nitrogen concentration of the feed DMI, for the </w:t>
      </w:r>
      <w:r w:rsidRPr="009E06AA">
        <w:rPr>
          <w:i/>
          <w:iCs/>
        </w:rPr>
        <w:t>Manure management</w:t>
      </w:r>
      <w:r w:rsidRPr="009E06AA">
        <w:t xml:space="preserve"> category and N</w:t>
      </w:r>
      <w:r w:rsidRPr="009E06AA">
        <w:rPr>
          <w:vertAlign w:val="subscript"/>
        </w:rPr>
        <w:t>2</w:t>
      </w:r>
      <w:r w:rsidRPr="009E06AA">
        <w:t xml:space="preserve">O emissions for urine and dung deposited by grazing animals onto pasture in the </w:t>
      </w:r>
      <w:r w:rsidRPr="009E06AA">
        <w:rPr>
          <w:i/>
          <w:iCs/>
        </w:rPr>
        <w:t>Agricultural soils</w:t>
      </w:r>
      <w:r w:rsidRPr="009E06AA">
        <w:t xml:space="preserve"> category.</w:t>
      </w:r>
    </w:p>
    <w:p w14:paraId="7EBB53AB" w14:textId="77777777" w:rsidR="007523B8" w:rsidRPr="009E06AA" w:rsidRDefault="007523B8" w:rsidP="007523B8">
      <w:pPr>
        <w:pStyle w:val="Heading3"/>
        <w:spacing w:before="240"/>
      </w:pPr>
      <w:bookmarkStart w:id="828" w:name="_Toc32570646"/>
      <w:r w:rsidRPr="009E06AA">
        <w:t xml:space="preserve">5.1.4 </w:t>
      </w:r>
      <w:r w:rsidRPr="009E06AA">
        <w:tab/>
        <w:t>Activity data</w:t>
      </w:r>
      <w:bookmarkEnd w:id="828"/>
    </w:p>
    <w:p w14:paraId="7385D51B" w14:textId="77777777" w:rsidR="007523B8" w:rsidRPr="009E06AA" w:rsidRDefault="007523B8" w:rsidP="007523B8">
      <w:pPr>
        <w:pStyle w:val="Heading4"/>
        <w:spacing w:before="180"/>
      </w:pPr>
      <w:r w:rsidRPr="009E06AA">
        <w:t xml:space="preserve">Major livestock categories </w:t>
      </w:r>
    </w:p>
    <w:p w14:paraId="704D751A" w14:textId="77777777" w:rsidR="007523B8" w:rsidRPr="009E06AA" w:rsidRDefault="007523B8" w:rsidP="007E04C8">
      <w:pPr>
        <w:pStyle w:val="BodyText"/>
        <w:spacing w:before="80"/>
      </w:pPr>
      <w:r w:rsidRPr="009E06AA">
        <w:t xml:space="preserve">The Tier 2 methodology developed by </w:t>
      </w:r>
      <w:r w:rsidRPr="009E06AA" w:rsidDel="00A71F3E">
        <w:t xml:space="preserve">New </w:t>
      </w:r>
      <w:r w:rsidRPr="009E06AA">
        <w:t xml:space="preserve">Zealand uses data on livestock population and productivity to calculate livestock energy requirements and DMI. Animal population data are collected by Stats NZ, New Zealand’s official data agency. Productivity data for dairy are provided jointly by the Livestock Improvement Corporation (LIC, a farmer-owned cooperative genetics improvement organisation) and DairyNZ (an industry good dairy research, statistics and advisory body), with other data provided by industry organisations such Beef + Lamb New Zealand Ltd (an industry good non-dairy and sheep research, survey and advisory body) and Deer Industry New Zealand, which regularly collects animal sector statistics. Statistics on animal carcass weights are collected by MPI from all major meat processors and are used to derive inventory liveweights. </w:t>
      </w:r>
    </w:p>
    <w:p w14:paraId="66924FDE" w14:textId="77777777" w:rsidR="007523B8" w:rsidRPr="009E06AA" w:rsidRDefault="007523B8" w:rsidP="007523B8">
      <w:pPr>
        <w:pStyle w:val="BodyText"/>
        <w:spacing w:before="100" w:after="100"/>
      </w:pPr>
      <w:r w:rsidRPr="009E06AA">
        <w:t xml:space="preserve">A challenge for </w:t>
      </w:r>
      <w:r w:rsidRPr="009E06AA" w:rsidDel="002028BE">
        <w:t xml:space="preserve">New </w:t>
      </w:r>
      <w:r w:rsidRPr="009E06AA">
        <w:t xml:space="preserve">Zealand activity data is that the inventory is calculated on a calendar year basis for international comparability purposes, while the </w:t>
      </w:r>
      <w:r w:rsidRPr="009E06AA" w:rsidDel="009A6E24">
        <w:t xml:space="preserve">New </w:t>
      </w:r>
      <w:r w:rsidRPr="009E06AA">
        <w:t>Zealand agricultural sector uses a June year end basis for animal statistics because this reflects the natural biological cycle for animals in the southern hemisphere. New Zealand developed a Tier 2 model that estimates livestock emissions on a monthly time step, beginning on 1 July of one calendar year and ending on 30 June of the next year. To calculate emissions for a single calendar year (January–December), the calculated emissions data from the last six months of a July–June year are combined with the first six months’ emissions of the next July–June year. This approach enables comparisons with the agricultural inventories of other countries.</w:t>
      </w:r>
    </w:p>
    <w:p w14:paraId="160EE75F" w14:textId="77777777" w:rsidR="007523B8" w:rsidRPr="009E06AA" w:rsidRDefault="007523B8" w:rsidP="007523B8">
      <w:pPr>
        <w:pStyle w:val="BodyText"/>
        <w:spacing w:before="100" w:after="100"/>
      </w:pPr>
      <w:r w:rsidRPr="009E06AA">
        <w:rPr>
          <w:iCs/>
        </w:rPr>
        <w:t>Dairy cattle</w:t>
      </w:r>
      <w:r w:rsidRPr="009E06AA">
        <w:t xml:space="preserve"> are the only livestock type where emissions are currently calculated on a sub-national regional area basis represented by regional council areas. This allows the Agriculture inventory model to take into account </w:t>
      </w:r>
      <w:r w:rsidRPr="009E06AA">
        <w:rPr>
          <w:spacing w:val="-2"/>
        </w:rPr>
        <w:t xml:space="preserve">regional differences in productivity for dairy livestock as a result of </w:t>
      </w:r>
      <w:r w:rsidRPr="009E06AA">
        <w:t>New Zealand’s</w:t>
      </w:r>
      <w:r w:rsidRPr="009E06AA">
        <w:rPr>
          <w:spacing w:val="-2"/>
        </w:rPr>
        <w:t xml:space="preserve"> different climatic conditions </w:t>
      </w:r>
      <w:r w:rsidRPr="009E06AA">
        <w:t xml:space="preserve">and management systems (Clark, 2008a). A regional emissions assessment is not carried out </w:t>
      </w:r>
      <w:r w:rsidRPr="009E06AA">
        <w:rPr>
          <w:spacing w:val="-2"/>
        </w:rPr>
        <w:t>for other livestock types because regional productivity data are currently unable to be accurately</w:t>
      </w:r>
      <w:r w:rsidRPr="009E06AA">
        <w:t xml:space="preserve"> collected at the sub-national level and integrated into the national population data. </w:t>
      </w:r>
    </w:p>
    <w:p w14:paraId="54CED451" w14:textId="77777777" w:rsidR="007523B8" w:rsidRPr="009E06AA" w:rsidRDefault="007523B8" w:rsidP="00BF2A76">
      <w:pPr>
        <w:pStyle w:val="Heading5"/>
      </w:pPr>
      <w:r w:rsidRPr="009E06AA">
        <w:t xml:space="preserve">Animal population data </w:t>
      </w:r>
    </w:p>
    <w:p w14:paraId="1DB41918" w14:textId="77777777" w:rsidR="007523B8" w:rsidRPr="009E06AA" w:rsidRDefault="007523B8" w:rsidP="007523B8">
      <w:pPr>
        <w:pStyle w:val="BodyText"/>
        <w:spacing w:before="80" w:after="100"/>
      </w:pPr>
      <w:r w:rsidRPr="009E06AA">
        <w:t>Stats NZ collects animal population data on a sub-national territorial authority basis. Animal population data are collected on an annual basis through the Agricultural Production Census and Agricultural Production Survey. The census occurs every five years (the most recent occurred in 2022) and the survey is conducted in the interim years. The only difference between these two processes is the sample size. The Census attempts to gather information from the entire target population, and the Survey attempts to gather information from a representative random sample of that population. Further details about the scope and accuracy of the Stats NZ Agricultural Production data collection are provided in annex 5, section 5.1.</w:t>
      </w:r>
    </w:p>
    <w:p w14:paraId="21337640" w14:textId="77777777" w:rsidR="007523B8" w:rsidRPr="009E06AA" w:rsidRDefault="007523B8" w:rsidP="007523B8">
      <w:pPr>
        <w:pStyle w:val="BodyText"/>
        <w:spacing w:before="100" w:after="100"/>
      </w:pPr>
      <w:r w:rsidRPr="009E06AA">
        <w:t xml:space="preserve">Livestock population data for 2023 are needed to estimate emissions for the 2022 year. The timing of Stats NZ final data releases (June the year after the survey) and the inventory submission deadlines mean that actual 2023 population data are not available. Projections based on </w:t>
      </w:r>
      <w:r w:rsidRPr="009E06AA">
        <w:rPr>
          <w:i/>
        </w:rPr>
        <w:t>New Zealand’s projected greenhouse gas emissions to 2050</w:t>
      </w:r>
      <w:r w:rsidRPr="009E06AA">
        <w:t xml:space="preserve"> (MfE, 2023) have been used as a replacement for 2023 data.</w:t>
      </w:r>
    </w:p>
    <w:p w14:paraId="4E4C487F" w14:textId="6CD54A82" w:rsidR="007523B8" w:rsidRPr="009E06AA" w:rsidRDefault="007523B8" w:rsidP="007523B8">
      <w:pPr>
        <w:pStyle w:val="BodyText"/>
        <w:spacing w:before="100" w:after="100"/>
      </w:pPr>
      <w:r w:rsidRPr="009E06AA">
        <w:t xml:space="preserve">The New Zealand Agriculture inventory model uses a country-specific population characterisation for pasture-based livestock compared with the default recommended by the </w:t>
      </w:r>
      <w:r w:rsidRPr="009E06AA">
        <w:rPr>
          <w:spacing w:val="-2"/>
        </w:rPr>
        <w:t>IPCC for Tier 2 inventories (IPCC, 2000, 2006). The full list of categories</w:t>
      </w:r>
      <w:r w:rsidRPr="009E06AA">
        <w:t xml:space="preserve"> for the major livestock populations can be found in annex </w:t>
      </w:r>
      <w:r w:rsidR="0096199C" w:rsidRPr="009E06AA">
        <w:t>5</w:t>
      </w:r>
      <w:r w:rsidRPr="009E06AA">
        <w:t>, table A</w:t>
      </w:r>
      <w:r w:rsidR="002A1939" w:rsidRPr="009E06AA">
        <w:t>5</w:t>
      </w:r>
      <w:r w:rsidRPr="009E06AA">
        <w:t>.1.2, and in the Agriculture inventory methodology document on the MPI website (</w:t>
      </w:r>
      <w:hyperlink r:id="rId97" w:history="1">
        <w:r w:rsidRPr="009E06AA">
          <w:rPr>
            <w:rStyle w:val="Hyperlink"/>
          </w:rPr>
          <w:t>www.mpi.govt.nz/dmsdocument/13906-detailed-methodologies-for-agricultural-greenhouse-gas-emission-calculation</w:t>
        </w:r>
      </w:hyperlink>
      <w:r w:rsidRPr="009E06AA">
        <w:t xml:space="preserve">). </w:t>
      </w:r>
    </w:p>
    <w:p w14:paraId="5F860268" w14:textId="77777777" w:rsidR="007523B8" w:rsidRPr="009E06AA" w:rsidRDefault="007523B8" w:rsidP="007523B8">
      <w:pPr>
        <w:pStyle w:val="BodyText"/>
      </w:pPr>
      <w:r w:rsidRPr="009E06AA">
        <w:t xml:space="preserve">For the purposes of emissions data reporting, dairy cattle encompasses all cattle that support the milking dairy herd. In addition to dairy heifers, this includes calves, young growing non-lactating heifers, dry cows and dairy bulls. All other cattle in New Zealand are characterised as </w:t>
      </w:r>
      <w:r w:rsidRPr="009E06AA" w:rsidDel="00160A68">
        <w:t>n</w:t>
      </w:r>
      <w:r w:rsidRPr="009E06AA">
        <w:t>on-dairy cattle. These include non-dairy breeding lactating cows used for producing slaughter animals, such as calves, dry cows, bulls and all slaughter classes. A proportion of male and female dairy calves not required for dairy replacements are transferred into the non-dairy herd and are slaughtered for meat consumption, generally at 24 to 36 months of age.</w:t>
      </w:r>
    </w:p>
    <w:p w14:paraId="33173A8E" w14:textId="63446C9B" w:rsidR="007523B8" w:rsidRPr="009E06AA" w:rsidRDefault="007523B8" w:rsidP="007523B8">
      <w:pPr>
        <w:pStyle w:val="BodyText"/>
      </w:pPr>
      <w:r w:rsidRPr="009E06AA">
        <w:t xml:space="preserve">A detailed livestock population model is used to calculate monthly populations for dairy cattle, non-dairy cattle, sheep and deer (see annex </w:t>
      </w:r>
      <w:r w:rsidR="004D074D" w:rsidRPr="009E06AA">
        <w:t>5</w:t>
      </w:r>
      <w:r w:rsidRPr="009E06AA">
        <w:t>, table A</w:t>
      </w:r>
      <w:r w:rsidR="004D074D" w:rsidRPr="009E06AA">
        <w:t>5</w:t>
      </w:r>
      <w:r w:rsidRPr="009E06AA">
        <w:t>.1.2, for the full list of categories).</w:t>
      </w:r>
    </w:p>
    <w:p w14:paraId="1D2E2D35" w14:textId="77777777" w:rsidR="007523B8" w:rsidRPr="009E06AA" w:rsidRDefault="007523B8" w:rsidP="007523B8">
      <w:pPr>
        <w:pStyle w:val="BodyText"/>
      </w:pPr>
      <w:r w:rsidRPr="009E06AA">
        <w:t xml:space="preserve">This monthly population delineation has been developed by using industry knowledge and assumptions as detailed in Burggraaf et al. (2022), Clark (2008b), </w:t>
      </w:r>
      <w:r w:rsidRPr="009E06AA">
        <w:rPr>
          <w:rFonts w:cs="Arial"/>
        </w:rPr>
        <w:t>Stevens et al. (2022),</w:t>
      </w:r>
      <w:r w:rsidRPr="009E06AA">
        <w:t xml:space="preserve"> Suttie (2012) and Thomson et al. (2010). Populations within a given year are adjusted on a monthly basis to account for births, deaths and transfers between age groups. For example, because most lambs are born and slaughtered between August and May, their numbers do not appear in the June census or survey data. Additionally, male and female dairy calves not necessary for replacements are usually slaughtered at four days of age or transferred to the non-dairy herd. The monthly population model ensures that the calculated feed demand more accurately reflects the status of each livestock category at a particular time of the year. Average national estimates of monthly birth and death dates </w:t>
      </w:r>
      <w:r w:rsidRPr="009E06AA" w:rsidDel="00376970">
        <w:t xml:space="preserve">and rates </w:t>
      </w:r>
      <w:r w:rsidRPr="009E06AA">
        <w:t>are used, which are based on expert opinion and limited published data. In reality, these vary across the country, between farming species, climates and farming systems.</w:t>
      </w:r>
    </w:p>
    <w:p w14:paraId="0F891902" w14:textId="77777777" w:rsidR="007523B8" w:rsidRPr="009E06AA" w:rsidRDefault="007523B8" w:rsidP="00BF2A76">
      <w:pPr>
        <w:pStyle w:val="Heading5"/>
      </w:pPr>
      <w:r w:rsidRPr="009E06AA">
        <w:t xml:space="preserve">Animal productivity data </w:t>
      </w:r>
    </w:p>
    <w:p w14:paraId="19911189" w14:textId="77777777" w:rsidR="007523B8" w:rsidRPr="009E06AA" w:rsidRDefault="007523B8" w:rsidP="007523B8">
      <w:pPr>
        <w:pStyle w:val="BodyText"/>
      </w:pPr>
      <w:r w:rsidRPr="009E06AA">
        <w:t xml:space="preserve">Animal productivity data are obtained from LIC and DairyNZ, Beef + Lamb New Zealand Ltd and Deer Industry New Zealand. </w:t>
      </w:r>
      <w:r w:rsidRPr="009E06AA">
        <w:rPr>
          <w:rFonts w:cs="Calibri"/>
        </w:rPr>
        <w:t xml:space="preserve">Slaughter statistics are collected by MPI and used as a proxy to establish changes in animal </w:t>
      </w:r>
      <w:r w:rsidRPr="009E06AA">
        <w:t>liveweight over time (</w:t>
      </w:r>
      <w:hyperlink r:id="rId98" w:history="1">
        <w:r w:rsidRPr="009E06AA">
          <w:rPr>
            <w:rStyle w:val="Hyperlink"/>
          </w:rPr>
          <w:t>www.mpi.govt.nz/resources-and-forms/economic-intelligence/data</w:t>
        </w:r>
      </w:hyperlink>
      <w:r w:rsidRPr="009E06AA">
        <w:t>). Animal liveweight is derived from published slaughter-weight statistics and general nationally derived killing-out percentages (Clark et al., 2003; Muir et al., 2008; Muir</w:t>
      </w:r>
      <w:r w:rsidRPr="009E06AA">
        <w:rPr>
          <w:rFonts w:cs="Calibri"/>
        </w:rPr>
        <w:t xml:space="preserve"> and Thomson, 2010). </w:t>
      </w:r>
    </w:p>
    <w:p w14:paraId="6D5A63E6" w14:textId="77777777" w:rsidR="007523B8" w:rsidRPr="009E06AA" w:rsidRDefault="007523B8" w:rsidP="007523B8">
      <w:pPr>
        <w:pStyle w:val="BodyText"/>
      </w:pPr>
      <w:r w:rsidRPr="009E06AA">
        <w:t xml:space="preserve">The same data sources are used each year to ensure consistency. Other information, such as the liveweight of non-dairy cattle and breeding bulls, is collected at irregular intervals from small survey populations. For years when data are not available, expert opinion and extrapolation from existing data are used. </w:t>
      </w:r>
    </w:p>
    <w:p w14:paraId="3FB7520F" w14:textId="77777777" w:rsidR="007523B8" w:rsidRPr="009E06AA" w:rsidRDefault="007523B8" w:rsidP="007523B8">
      <w:pPr>
        <w:pStyle w:val="BodyText"/>
      </w:pPr>
      <w:r w:rsidRPr="009E06AA">
        <w:rPr>
          <w:b/>
          <w:bCs/>
          <w:i/>
          <w:iCs/>
        </w:rPr>
        <w:t>Dairy cattle – milk production:</w:t>
      </w:r>
      <w:r w:rsidRPr="009E06AA">
        <w:t xml:space="preserve"> Regional data on milk production, proportions of dairy cattle breeds and animal liveweights are provided in the New Zealand dairy statistics reports. These data are collectively compiled by LIC and DairyNZ.</w:t>
      </w:r>
    </w:p>
    <w:p w14:paraId="76D3EBAD" w14:textId="77777777" w:rsidR="007523B8" w:rsidRPr="009E06AA" w:rsidRDefault="007523B8" w:rsidP="007523B8">
      <w:pPr>
        <w:pStyle w:val="BodyText"/>
      </w:pPr>
      <w:r w:rsidRPr="009E06AA">
        <w:t xml:space="preserve">Data on New Zealand’s total milk production are taken from the amount of milk processed through </w:t>
      </w:r>
      <w:r w:rsidRPr="009E06AA" w:rsidDel="00092D2D">
        <w:t xml:space="preserve">New </w:t>
      </w:r>
      <w:r w:rsidRPr="009E06AA">
        <w:t>Zealand dairy factories for both the export and domestic markets. Data on individual animal production are sourced from the Dairy Industry Good Animal Database (DIGAD), maintained by DairyNZ. Dairy farmers are paid on total kilograms of milk solids (fat and protein) collected. Tankers that collect the milk also meter the milk collected from individual farms. These meters are regularly calibrated and audited. Each time a tanker picks up milk (daily or every other day depending on the season; B Bills, pers. comm., 2024),</w:t>
      </w:r>
      <w:r w:rsidRPr="009E06AA" w:rsidDel="0036115A">
        <w:t xml:space="preserve"> </w:t>
      </w:r>
      <w:r w:rsidRPr="009E06AA">
        <w:t xml:space="preserve">samples from individual farms are independently tested for milk solids, milk fat percentage and protein content. </w:t>
      </w:r>
    </w:p>
    <w:p w14:paraId="3B055112" w14:textId="3C66733D" w:rsidR="007523B8" w:rsidRPr="009E06AA" w:rsidRDefault="007523B8" w:rsidP="007523B8">
      <w:pPr>
        <w:pStyle w:val="BodyText"/>
      </w:pPr>
      <w:r w:rsidRPr="009E06AA">
        <w:t xml:space="preserve">LIC and DairyNZ provide annual milk production data (milk yield and composition), but the Tier 2 livestock model operates on a monthly time step. Monthly milk production is determined by multiplying the assessed proportion of annual milk production for each month by the total annual milk production (see annex </w:t>
      </w:r>
      <w:r w:rsidR="004D074D" w:rsidRPr="009E06AA">
        <w:t>5</w:t>
      </w:r>
      <w:r w:rsidRPr="009E06AA">
        <w:t>, table A</w:t>
      </w:r>
      <w:r w:rsidR="00513552" w:rsidRPr="009E06AA">
        <w:t>5</w:t>
      </w:r>
      <w:r w:rsidRPr="009E06AA">
        <w:t xml:space="preserve">.1.3). Milk production commences from mid-July to early August every year, peaking around October–November and declines during autumn (April–May in the southern hemisphere). Milk production is low to non-existent in June and July in most herds (see figure 5.1.6), representing the seasonal nature of forage growth. Some farms may milk during June–July to provide fresh milk for </w:t>
      </w:r>
      <w:r w:rsidR="00FE261C">
        <w:t>a</w:t>
      </w:r>
      <w:r w:rsidRPr="009E06AA">
        <w:t>domestic consumers in winter.</w:t>
      </w:r>
    </w:p>
    <w:p w14:paraId="5603F7E1" w14:textId="77777777" w:rsidR="007523B8" w:rsidRPr="009E06AA" w:rsidRDefault="007523B8" w:rsidP="007523B8">
      <w:pPr>
        <w:pStyle w:val="BodyText"/>
      </w:pPr>
      <w:r w:rsidRPr="009E06AA">
        <w:t xml:space="preserve">New Zealand’s dairy production per animal is lower than in other developed countries. This is because </w:t>
      </w:r>
      <w:r w:rsidRPr="009E06AA" w:rsidDel="00FF3DAF">
        <w:t xml:space="preserve">New </w:t>
      </w:r>
      <w:r w:rsidRPr="009E06AA">
        <w:t xml:space="preserve">Zealand has predominantly pasture-based dairy systems rather than the housed grain-fed systems used in Europe and North America. </w:t>
      </w:r>
    </w:p>
    <w:p w14:paraId="7149527E" w14:textId="77777777" w:rsidR="007523B8" w:rsidRPr="009E06AA" w:rsidRDefault="007523B8" w:rsidP="007523B8">
      <w:pPr>
        <w:pStyle w:val="BodyText"/>
      </w:pPr>
      <w:r w:rsidRPr="009E06AA">
        <w:t xml:space="preserve">Annual milk yields per animal have been obtained and reported as additional data in the CRT for Annex I country inventories by dividing the total milk produced by the total number of milking dairy cows and heifers. </w:t>
      </w:r>
    </w:p>
    <w:p w14:paraId="24EEB139" w14:textId="1850FC6E" w:rsidR="007523B8" w:rsidRPr="009E06AA" w:rsidRDefault="007523B8" w:rsidP="007523B8">
      <w:pPr>
        <w:pStyle w:val="Figure"/>
      </w:pPr>
      <w:bookmarkStart w:id="829" w:name="_Toc481752011"/>
      <w:bookmarkStart w:id="830" w:name="_Toc507158470"/>
      <w:bookmarkStart w:id="831" w:name="_Toc511116961"/>
      <w:bookmarkStart w:id="832" w:name="_Toc5269691"/>
      <w:bookmarkStart w:id="833" w:name="_Toc32570962"/>
      <w:bookmarkStart w:id="834" w:name="_Toc36292792"/>
      <w:bookmarkStart w:id="835" w:name="_Toc68786657"/>
      <w:bookmarkStart w:id="836" w:name="_Toc95574118"/>
      <w:bookmarkStart w:id="837" w:name="_Toc127458557"/>
      <w:bookmarkStart w:id="838" w:name="_Toc131591559"/>
      <w:bookmarkStart w:id="839" w:name="_Toc164154027"/>
      <w:r w:rsidRPr="009E06AA">
        <w:t xml:space="preserve">Figure 5.1.6 </w:t>
      </w:r>
      <w:r w:rsidRPr="009E06AA">
        <w:tab/>
        <w:t>National monthly milk production in New Zealand</w:t>
      </w:r>
      <w:r w:rsidR="00BB59D3" w:rsidRPr="009E06AA">
        <w:t>,</w:t>
      </w:r>
      <w:r w:rsidRPr="009E06AA">
        <w:t xml:space="preserve"> from 2019 to </w:t>
      </w:r>
      <w:bookmarkEnd w:id="829"/>
      <w:bookmarkEnd w:id="830"/>
      <w:bookmarkEnd w:id="831"/>
      <w:bookmarkEnd w:id="832"/>
      <w:bookmarkEnd w:id="833"/>
      <w:bookmarkEnd w:id="834"/>
      <w:bookmarkEnd w:id="835"/>
      <w:bookmarkEnd w:id="836"/>
      <w:bookmarkEnd w:id="837"/>
      <w:bookmarkEnd w:id="838"/>
      <w:r w:rsidRPr="009E06AA">
        <w:t>2022</w:t>
      </w:r>
      <w:bookmarkEnd w:id="839"/>
    </w:p>
    <w:p w14:paraId="74119E83" w14:textId="77777777" w:rsidR="007523B8" w:rsidRPr="009E06AA" w:rsidRDefault="007523B8" w:rsidP="007523B8">
      <w:pPr>
        <w:pStyle w:val="BodyText"/>
        <w:spacing w:before="80"/>
        <w:jc w:val="center"/>
      </w:pPr>
      <w:r w:rsidRPr="009E06AA">
        <w:rPr>
          <w:noProof/>
        </w:rPr>
        <w:drawing>
          <wp:inline distT="0" distB="0" distL="0" distR="0" wp14:anchorId="21C47A14" wp14:editId="14D3C4CB">
            <wp:extent cx="4847590" cy="2838188"/>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r="4432" b="4299"/>
                    <a:stretch/>
                  </pic:blipFill>
                  <pic:spPr bwMode="auto">
                    <a:xfrm>
                      <a:off x="0" y="0"/>
                      <a:ext cx="4853948" cy="2841910"/>
                    </a:xfrm>
                    <a:prstGeom prst="rect">
                      <a:avLst/>
                    </a:prstGeom>
                    <a:noFill/>
                    <a:ln>
                      <a:noFill/>
                    </a:ln>
                    <a:extLst>
                      <a:ext uri="{53640926-AAD7-44D8-BBD7-CCE9431645EC}">
                        <a14:shadowObscured xmlns:a14="http://schemas.microsoft.com/office/drawing/2010/main"/>
                      </a:ext>
                    </a:extLst>
                  </pic:spPr>
                </pic:pic>
              </a:graphicData>
            </a:graphic>
          </wp:inline>
        </w:drawing>
      </w:r>
    </w:p>
    <w:p w14:paraId="62FAFA61" w14:textId="77777777" w:rsidR="007523B8" w:rsidRPr="009E06AA" w:rsidRDefault="007523B8" w:rsidP="007523B8">
      <w:pPr>
        <w:pStyle w:val="Source"/>
        <w:spacing w:before="0" w:after="120"/>
        <w:rPr>
          <w:rFonts w:cs="Calibri"/>
          <w:b/>
          <w:bCs/>
          <w:szCs w:val="24"/>
        </w:rPr>
      </w:pPr>
      <w:r w:rsidRPr="009E06AA">
        <w:rPr>
          <w:rFonts w:cs="Calibri"/>
          <w:szCs w:val="24"/>
        </w:rPr>
        <w:t>Source:</w:t>
      </w:r>
      <w:r w:rsidRPr="009E06AA">
        <w:rPr>
          <w:rFonts w:cs="Calibri"/>
          <w:szCs w:val="24"/>
        </w:rPr>
        <w:tab/>
        <w:t>Dairy Companies Association of New Zealand (2022)</w:t>
      </w:r>
    </w:p>
    <w:p w14:paraId="51643F91" w14:textId="77777777" w:rsidR="007523B8" w:rsidRPr="009E06AA" w:rsidRDefault="007523B8" w:rsidP="008A1D32">
      <w:pPr>
        <w:pStyle w:val="BodyText"/>
        <w:rPr>
          <w:rFonts w:cs="Calibri"/>
          <w:spacing w:val="-2"/>
        </w:rPr>
      </w:pPr>
      <w:r w:rsidRPr="009E06AA">
        <w:rPr>
          <w:rFonts w:cs="Calibri"/>
          <w:spacing w:val="-2"/>
        </w:rPr>
        <w:t xml:space="preserve">Before 1993, no productivity data were collected at a territorial authority level, so pre-1993 data have been estimated by extrapolating from the trends observed in existing data from 1994 to 2008. </w:t>
      </w:r>
    </w:p>
    <w:p w14:paraId="0DE77FD6" w14:textId="77777777" w:rsidR="007523B8" w:rsidRPr="009E06AA" w:rsidRDefault="007523B8" w:rsidP="007523B8">
      <w:pPr>
        <w:pStyle w:val="BodyText"/>
        <w:spacing w:after="80"/>
        <w:rPr>
          <w:rFonts w:cs="Calibri"/>
        </w:rPr>
      </w:pPr>
      <w:r w:rsidRPr="009E06AA">
        <w:rPr>
          <w:rFonts w:cs="Calibri"/>
        </w:rPr>
        <w:t>Before 2004, not all productivity data required could be collected from LIC at a territorial authority level. From 1993 to 2003, annual milk yield per cow was determined by the following equation:</w:t>
      </w:r>
    </w:p>
    <w:p w14:paraId="051FE646" w14:textId="77777777" w:rsidR="007523B8" w:rsidRPr="009E06AA" w:rsidRDefault="007523B8" w:rsidP="007523B8">
      <w:pPr>
        <w:pStyle w:val="BodyText"/>
        <w:spacing w:before="0" w:after="80"/>
        <w:jc w:val="center"/>
        <w:rPr>
          <w:rFonts w:ascii="Cambria Math" w:hAnsi="Cambria Math" w:cs="Calibri"/>
          <w:sz w:val="24"/>
          <w:szCs w:val="24"/>
        </w:rPr>
      </w:pPr>
      <m:oMathPara>
        <m:oMath>
          <m:r>
            <w:rPr>
              <w:rFonts w:ascii="Cambria Math" w:hAnsi="Cambria Math" w:cs="Calibri"/>
              <w:sz w:val="24"/>
              <w:szCs w:val="24"/>
            </w:rPr>
            <m:t xml:space="preserve">Litres per cow= </m:t>
          </m:r>
          <m:f>
            <m:fPr>
              <m:ctrlPr>
                <w:rPr>
                  <w:rFonts w:ascii="Cambria Math" w:hAnsi="Cambria Math" w:cs="Calibri"/>
                  <w:i/>
                  <w:sz w:val="24"/>
                  <w:szCs w:val="24"/>
                </w:rPr>
              </m:ctrlPr>
            </m:fPr>
            <m:num>
              <m:r>
                <w:rPr>
                  <w:rFonts w:ascii="Cambria Math" w:hAnsi="Cambria Math" w:cs="Calibri"/>
                  <w:sz w:val="24"/>
                  <w:szCs w:val="24"/>
                </w:rPr>
                <m:t xml:space="preserve">mean milk fat </m:t>
              </m:r>
              <m:d>
                <m:dPr>
                  <m:ctrlPr>
                    <w:rPr>
                      <w:rFonts w:ascii="Cambria Math" w:hAnsi="Cambria Math" w:cs="Calibri"/>
                      <w:i/>
                      <w:sz w:val="24"/>
                      <w:szCs w:val="24"/>
                    </w:rPr>
                  </m:ctrlPr>
                </m:dPr>
                <m:e>
                  <m:f>
                    <m:fPr>
                      <m:ctrlPr>
                        <w:rPr>
                          <w:rFonts w:ascii="Cambria Math" w:hAnsi="Cambria Math" w:cs="Calibri"/>
                          <w:i/>
                          <w:sz w:val="24"/>
                          <w:szCs w:val="24"/>
                        </w:rPr>
                      </m:ctrlPr>
                    </m:fPr>
                    <m:num>
                      <m:r>
                        <w:rPr>
                          <w:rFonts w:ascii="Cambria Math" w:hAnsi="Cambria Math" w:cs="Calibri"/>
                          <w:sz w:val="24"/>
                          <w:szCs w:val="24"/>
                        </w:rPr>
                        <m:t>kg</m:t>
                      </m:r>
                    </m:num>
                    <m:den>
                      <m:r>
                        <w:rPr>
                          <w:rFonts w:ascii="Cambria Math" w:hAnsi="Cambria Math" w:cs="Calibri"/>
                          <w:sz w:val="24"/>
                          <w:szCs w:val="24"/>
                        </w:rPr>
                        <m:t>cow</m:t>
                      </m:r>
                    </m:den>
                  </m:f>
                </m:e>
              </m:d>
              <m:r>
                <w:rPr>
                  <w:rFonts w:ascii="Cambria Math" w:hAnsi="Cambria Math" w:cs="Calibri"/>
                  <w:sz w:val="24"/>
                  <w:szCs w:val="24"/>
                </w:rPr>
                <m:t>×100</m:t>
              </m:r>
            </m:num>
            <m:den>
              <m:r>
                <w:rPr>
                  <w:rFonts w:ascii="Cambria Math" w:hAnsi="Cambria Math" w:cs="Calibri"/>
                  <w:sz w:val="24"/>
                  <w:szCs w:val="24"/>
                </w:rPr>
                <m:t>%milk fat</m:t>
              </m:r>
            </m:den>
          </m:f>
        </m:oMath>
      </m:oMathPara>
    </w:p>
    <w:p w14:paraId="33D1C161" w14:textId="77777777" w:rsidR="007523B8" w:rsidRPr="009E06AA" w:rsidRDefault="007523B8" w:rsidP="007523B8">
      <w:pPr>
        <w:pStyle w:val="BodyText"/>
        <w:spacing w:after="100"/>
        <w:rPr>
          <w:rFonts w:cs="Calibri"/>
        </w:rPr>
      </w:pPr>
      <w:r w:rsidRPr="009E06AA">
        <w:rPr>
          <w:rFonts w:cs="Calibri"/>
        </w:rPr>
        <w:t>From 2004 onwards, productivity data have been collected by LIC and DairyNZ at a similar regional level as the livestock population data collected by Stats NZ. In some instances, the regional level data provided by LIC and DairyNZ are disaggregated more than required. MPI officials allocate this to other regions so that it lines up with the population data, for example, districts identified under the region ‘Central Plateau’ are allocated to the ‘Bay of Plenty’. This is a straightforward process because the districts provided by LIC and DairyNZ clearly fall within the specified regional boundaries that the Stats NZ data are based upon.</w:t>
      </w:r>
    </w:p>
    <w:p w14:paraId="10F477B0" w14:textId="77777777" w:rsidR="007523B8" w:rsidRPr="009E06AA" w:rsidRDefault="007523B8" w:rsidP="007523B8">
      <w:pPr>
        <w:pStyle w:val="BodyText"/>
        <w:spacing w:before="100" w:after="100"/>
      </w:pPr>
      <w:r w:rsidRPr="009E06AA">
        <w:t xml:space="preserve">In the 2022/23 season, 81.1 per cent of all dairy cattle in milk were tested by LIC for milk production, along with milk fat and protein levels (LIC and DairyNZ, 2023). LIC also does genetic testing to identify superior breeding stock and their genetic background. Genetic improvement has contributed to the productivity improvements in the </w:t>
      </w:r>
      <w:r w:rsidRPr="009E06AA" w:rsidDel="008431A0">
        <w:t xml:space="preserve">New </w:t>
      </w:r>
      <w:r w:rsidRPr="009E06AA">
        <w:t xml:space="preserve">Zealand dairy cattle herd (LIC, 2009). </w:t>
      </w:r>
    </w:p>
    <w:p w14:paraId="0DA05F6D" w14:textId="77777777" w:rsidR="007523B8" w:rsidRPr="009E06AA" w:rsidRDefault="007523B8" w:rsidP="007523B8">
      <w:pPr>
        <w:pStyle w:val="BodyText"/>
        <w:spacing w:before="100" w:after="100"/>
      </w:pPr>
      <w:r w:rsidRPr="009E06AA">
        <w:rPr>
          <w:b/>
          <w:bCs/>
          <w:i/>
          <w:iCs/>
        </w:rPr>
        <w:t xml:space="preserve">Dairy cattle – liveweight: </w:t>
      </w:r>
      <w:r w:rsidRPr="009E06AA">
        <w:t>Average liveweight data for dairy cows are obtained by considering</w:t>
      </w:r>
      <w:r w:rsidRPr="009E06AA">
        <w:rPr>
          <w:spacing w:val="-2"/>
        </w:rPr>
        <w:t xml:space="preserve"> the proportion of each breed in the national herd and its age structure based on LIC and DairyNZ data. Dairy cow liveweight data are only available from LIC and DairyNZ from 1996 onwards and</w:t>
      </w:r>
      <w:r w:rsidRPr="009E06AA">
        <w:t xml:space="preserve"> have been </w:t>
      </w:r>
      <w:r w:rsidRPr="009E06AA">
        <w:rPr>
          <w:spacing w:val="-2"/>
        </w:rPr>
        <w:t xml:space="preserve">disaggregated into eight regions, some of which comprise several regional council </w:t>
      </w:r>
      <w:r w:rsidRPr="009E06AA">
        <w:t>regions</w:t>
      </w:r>
      <w:r w:rsidRPr="009E06AA">
        <w:rPr>
          <w:spacing w:val="-2"/>
        </w:rPr>
        <w:t>.</w:t>
      </w:r>
      <w:r w:rsidRPr="009E06AA">
        <w:t xml:space="preserve"> Data from the livestock improvement regions were appropriately apportioned to regional council areas. Liveweights before 1996 were estimated using the trend in liveweights </w:t>
      </w:r>
      <w:r w:rsidRPr="009E06AA">
        <w:rPr>
          <w:spacing w:val="-2"/>
        </w:rPr>
        <w:t>from 1996 to 2008, together with data on the breed composition of the national herd (LIC, 2009).</w:t>
      </w:r>
      <w:r w:rsidRPr="009E06AA">
        <w:t xml:space="preserve"> </w:t>
      </w:r>
    </w:p>
    <w:p w14:paraId="5C798CD2" w14:textId="77777777" w:rsidR="007523B8" w:rsidRPr="009E06AA" w:rsidRDefault="007523B8" w:rsidP="007523B8">
      <w:pPr>
        <w:pStyle w:val="BodyText"/>
        <w:spacing w:before="100" w:after="100"/>
      </w:pPr>
      <w:r w:rsidRPr="009E06AA">
        <w:t xml:space="preserve">In the Agriculture inventory model, replacement dairy animals (calves) are assumed to be about 9 per cent of the weight of the average cow at birth and to reach the weight of the average adult cow at calving (at two years of age) (Clark et al., 2003). Growth between birth and calving is divided into two periods: birth to weaning (two months of age) and weaning to calving. Higher growth rates are applied in the model between birth and weaning when animals receive milk as part of their diet. Within each period, the same daily growth rate is applied for the entire length of the period and applied nationally. </w:t>
      </w:r>
    </w:p>
    <w:p w14:paraId="3E1C4548" w14:textId="77777777" w:rsidR="007523B8" w:rsidRPr="009E06AA" w:rsidRDefault="007523B8" w:rsidP="007523B8">
      <w:pPr>
        <w:pStyle w:val="BodyText"/>
        <w:spacing w:before="100" w:after="100"/>
      </w:pPr>
      <w:r w:rsidRPr="009E06AA">
        <w:t xml:space="preserve">No data are available on the liveweights and performance of most breeding dairy bulls, which can range from the small Jersey breeds through to larger European non-dairy breeds. It is assumed, based on expert opinion and industry data (Clark et al., 2003), that the average mature weight of a breeding dairy bull is 500 kilograms as of 1 January and that they grow at 0.5 kilograms per day. This gives an average weight (at the mid-point of the year) of 592 kilograms. This is almost 25 per cent higher than the average weight of a </w:t>
      </w:r>
      <w:r w:rsidRPr="009E06AA" w:rsidDel="00FB166F">
        <w:t xml:space="preserve">New </w:t>
      </w:r>
      <w:r w:rsidRPr="009E06AA">
        <w:t xml:space="preserve">Zealand breeding dairy cow but is supported by expert opinion, given that some of the bulls will be of a heavier breed (e.g., Friesian and some non-dairy breeds). Total emissions are not sensitive to these assumed liveweight values because breeding bulls in the dairy herd are low in number and contribute less than 0.1 per cent of emissions to the dairy sector. </w:t>
      </w:r>
    </w:p>
    <w:p w14:paraId="5D9AB1B2" w14:textId="77777777" w:rsidR="007523B8" w:rsidRPr="009E06AA" w:rsidRDefault="007523B8" w:rsidP="007523B8">
      <w:pPr>
        <w:pStyle w:val="BodyText"/>
        <w:spacing w:before="100" w:after="100"/>
      </w:pPr>
      <w:r w:rsidRPr="009E06AA">
        <w:t xml:space="preserve">LIC and DairyNZ (2023) reported the proportions of different breeds in the </w:t>
      </w:r>
      <w:r w:rsidRPr="009E06AA" w:rsidDel="0090362E">
        <w:t xml:space="preserve">New </w:t>
      </w:r>
      <w:r w:rsidRPr="009E06AA">
        <w:t>Zealand dairy herd in 2022 as:</w:t>
      </w:r>
    </w:p>
    <w:p w14:paraId="129FF201" w14:textId="77777777" w:rsidR="007523B8" w:rsidRPr="009E06AA" w:rsidRDefault="007523B8" w:rsidP="007523B8">
      <w:pPr>
        <w:pStyle w:val="Bullet"/>
        <w:spacing w:after="100"/>
      </w:pPr>
      <w:r w:rsidRPr="009E06AA">
        <w:t xml:space="preserve">Holstein–Friesian/Jersey crossbreed (59.9 per cent) </w:t>
      </w:r>
    </w:p>
    <w:p w14:paraId="1D13B8E7" w14:textId="77777777" w:rsidR="007523B8" w:rsidRPr="009E06AA" w:rsidRDefault="007523B8" w:rsidP="007523B8">
      <w:pPr>
        <w:pStyle w:val="Bullet"/>
        <w:spacing w:after="100"/>
      </w:pPr>
      <w:r w:rsidRPr="009E06AA">
        <w:t xml:space="preserve">Holstein–Friesian (24.4 per cent) </w:t>
      </w:r>
    </w:p>
    <w:p w14:paraId="18A933A9" w14:textId="77777777" w:rsidR="007523B8" w:rsidRPr="009E06AA" w:rsidRDefault="007523B8" w:rsidP="007523B8">
      <w:pPr>
        <w:pStyle w:val="Bullet"/>
        <w:spacing w:after="100"/>
      </w:pPr>
      <w:r w:rsidRPr="009E06AA">
        <w:t xml:space="preserve">Jersey (7.6 per cent) </w:t>
      </w:r>
    </w:p>
    <w:p w14:paraId="2E2FA7A6" w14:textId="77777777" w:rsidR="007523B8" w:rsidRPr="009E06AA" w:rsidRDefault="007523B8" w:rsidP="007523B8">
      <w:pPr>
        <w:pStyle w:val="Bullet"/>
        <w:spacing w:after="100"/>
      </w:pPr>
      <w:r w:rsidRPr="009E06AA">
        <w:t xml:space="preserve">Ayrshire (0.4 per cent) </w:t>
      </w:r>
    </w:p>
    <w:p w14:paraId="753F4931" w14:textId="77777777" w:rsidR="007523B8" w:rsidRPr="009E06AA" w:rsidRDefault="007523B8" w:rsidP="007523B8">
      <w:pPr>
        <w:pStyle w:val="Bullet"/>
      </w:pPr>
      <w:r w:rsidRPr="009E06AA">
        <w:t>other breeds (7.7 per cent).</w:t>
      </w:r>
    </w:p>
    <w:p w14:paraId="17E7DE5B" w14:textId="77777777" w:rsidR="007523B8" w:rsidRPr="009E06AA" w:rsidRDefault="007523B8" w:rsidP="007523B8">
      <w:pPr>
        <w:pStyle w:val="BodyText"/>
        <w:keepLines/>
      </w:pPr>
      <w:r w:rsidRPr="009E06AA">
        <w:t xml:space="preserve">The Holstein–Friesian/Jersey crossbreed has been developed specifically for New Zealand’s pasture-based systems. This breed is 7.9 per cent lighter on average than a Holstein–Friesian cow (LIC and DairyNZ, 2023) and has lower maintenance feed requirements. It does less damage to pasture during wet periods due to its lower liveweight. It also has higher milk volumes than the Jersey breed while maintaining a high percentage of milk solids. </w:t>
      </w:r>
    </w:p>
    <w:p w14:paraId="3549FEC8" w14:textId="77777777" w:rsidR="007523B8" w:rsidRPr="009E06AA" w:rsidRDefault="007523B8" w:rsidP="007523B8">
      <w:pPr>
        <w:pStyle w:val="BodyText"/>
        <w:rPr>
          <w:rFonts w:cs="Calibri"/>
        </w:rPr>
      </w:pPr>
      <w:r w:rsidRPr="009E06AA">
        <w:rPr>
          <w:rFonts w:cs="Calibri"/>
          <w:b/>
          <w:bCs/>
          <w:i/>
          <w:iCs/>
        </w:rPr>
        <w:t>Non-dairy</w:t>
      </w:r>
      <w:r w:rsidRPr="009E06AA">
        <w:rPr>
          <w:rFonts w:cs="Calibri"/>
          <w:b/>
          <w:bCs/>
        </w:rPr>
        <w:t xml:space="preserve"> </w:t>
      </w:r>
      <w:r w:rsidRPr="009E06AA">
        <w:rPr>
          <w:rFonts w:cs="Calibri"/>
          <w:b/>
          <w:bCs/>
          <w:i/>
          <w:iCs/>
        </w:rPr>
        <w:t>cattle:</w:t>
      </w:r>
      <w:r w:rsidRPr="009E06AA">
        <w:rPr>
          <w:rFonts w:cs="Calibri"/>
        </w:rPr>
        <w:t xml:space="preserve"> The principal source of information for estimating productivity for non-dairy cattle is livestock slaughter statistics provided to MPI by meat processors, which are also used to estimate the liveweight of non-dairy cattle at slaughter, assuming killing-out percentages</w:t>
      </w:r>
      <w:r w:rsidRPr="009E06AA">
        <w:rPr>
          <w:rStyle w:val="FootnoteReference"/>
          <w:rFonts w:cs="Calibri"/>
        </w:rPr>
        <w:footnoteReference w:id="26"/>
      </w:r>
      <w:r w:rsidRPr="009E06AA">
        <w:rPr>
          <w:rFonts w:cs="Calibri"/>
        </w:rPr>
        <w:t xml:space="preserve"> of 55 per cent. Non-dairy cattle are assumed to be slaughtered at various ages depending on the sex and reproductive status of the animal (Stevens et al., 2022). Liveweights at birth are assumed to be around 9 per cent of an adult cow weight for heifers and 10 per cent for steers and bulls (Clark et al., 2003). As with dairy cattle, growth rates of all growing animals are divided into two periods in the model: birth to weaning and weaning to slaughter. Higher growth rates are applied before weaning when animals receive milk as part of their diet. Within each period, the same daily growth rate is applied for the entire period. </w:t>
      </w:r>
    </w:p>
    <w:p w14:paraId="72C0218F" w14:textId="77777777" w:rsidR="007523B8" w:rsidRPr="009E06AA" w:rsidRDefault="007523B8" w:rsidP="007523B8">
      <w:pPr>
        <w:pStyle w:val="BodyText"/>
        <w:rPr>
          <w:rFonts w:cs="Calibri"/>
        </w:rPr>
      </w:pPr>
      <w:r w:rsidRPr="009E06AA">
        <w:rPr>
          <w:rFonts w:cs="Calibri"/>
        </w:rPr>
        <w:t>MPI slaughter statistics only began to separate carcass weights of adult dairy cows and adult non-dairy cows in 2016 (MPI, 2022). Therefore, several assumptions</w:t>
      </w:r>
      <w:r w:rsidRPr="009E06AA">
        <w:rPr>
          <w:rStyle w:val="FootnoteReference"/>
          <w:rFonts w:cs="Calibri"/>
        </w:rPr>
        <w:footnoteReference w:id="27"/>
      </w:r>
      <w:r w:rsidRPr="009E06AA">
        <w:rPr>
          <w:rFonts w:cs="Calibri"/>
        </w:rPr>
        <w:t xml:space="preserve"> are made to estimate the </w:t>
      </w:r>
      <w:r w:rsidRPr="009E06AA">
        <w:rPr>
          <w:rFonts w:cs="Calibri"/>
          <w:spacing w:val="-2"/>
        </w:rPr>
        <w:t>liveweights of breeding non-dairy cows. A total milk yield of 800 litres is assumed to be produced</w:t>
      </w:r>
      <w:r w:rsidRPr="009E06AA">
        <w:rPr>
          <w:rFonts w:cs="Calibri"/>
        </w:rPr>
        <w:t xml:space="preserve"> per breeding non-dairy cow, which is then consumed by non-dairy calves (Clark et al., 2003). </w:t>
      </w:r>
    </w:p>
    <w:p w14:paraId="4FD46229" w14:textId="77777777" w:rsidR="007523B8" w:rsidRPr="009E06AA" w:rsidRDefault="007523B8" w:rsidP="007523B8">
      <w:pPr>
        <w:pStyle w:val="BodyText"/>
      </w:pPr>
      <w:r w:rsidRPr="009E06AA">
        <w:rPr>
          <w:b/>
          <w:bCs/>
          <w:i/>
          <w:iCs/>
        </w:rPr>
        <w:t>Sheep:</w:t>
      </w:r>
      <w:r w:rsidRPr="009E06AA">
        <w:t xml:space="preserve"> Livestock slaughter statistics provided to MPI by meat processors are used to estimate the liveweights of adult sheep and lambs at slaughter, assuming killing-out percentages of </w:t>
      </w:r>
      <w:r w:rsidRPr="009E06AA">
        <w:rPr>
          <w:spacing w:val="-2"/>
        </w:rPr>
        <w:t>around 40 per cent for ewes and 45 per cent for lambs (Thomson et al., 2010). Lamb liveweights</w:t>
      </w:r>
      <w:r w:rsidRPr="009E06AA">
        <w:t xml:space="preserve"> at birth are assumed to be 9 per cent of the adult ewe weight, with all lambs assumed to be born on 11 September (Thomson et al., 2010). Growing breeding and non</w:t>
      </w:r>
      <w:r w:rsidRPr="009E06AA">
        <w:noBreakHyphen/>
        <w:t xml:space="preserve">breeding ewe hoggets are assumed to reach full adult size when subsequently mated at an age of 20 months. Adult wethers (castrated male sheep) are assumed to be the same weight as adult breeding females. No within-year pattern of liveweight change is assumed for either adult wethers or adult ewes. All ewes rearing a lamb are assumed to have a total milk yield of 100 litres. Breeding rams are assumed to weigh 40 per cent more than adult ewes (Clark et al., 2003). Wool growth </w:t>
      </w:r>
      <w:r w:rsidRPr="009E06AA" w:rsidDel="002B3828">
        <w:t xml:space="preserve">(greasy fleece) </w:t>
      </w:r>
      <w:r w:rsidRPr="009E06AA">
        <w:t xml:space="preserve">is assumed to be 5 kilograms per annum in mature sheep (ewes, rams and wethers) and 2.5 kilograms per annum in growing sheep and lambs. Beef + Lamb New Zealand Ltd provides estimates of the total wool production from 1990 to 2022 from which the individual fleece weight is estimated (Beef + Lamb New Zealand Ltd, 2022). </w:t>
      </w:r>
    </w:p>
    <w:p w14:paraId="21C69870" w14:textId="77777777" w:rsidR="007523B8" w:rsidRPr="009E06AA" w:rsidRDefault="007523B8" w:rsidP="007523B8">
      <w:pPr>
        <w:pStyle w:val="BodyText"/>
        <w:spacing w:after="100"/>
        <w:rPr>
          <w:rFonts w:cs="Calibri"/>
        </w:rPr>
      </w:pPr>
      <w:r w:rsidRPr="009E06AA">
        <w:rPr>
          <w:rFonts w:cs="Calibri"/>
          <w:b/>
          <w:bCs/>
          <w:i/>
          <w:iCs/>
        </w:rPr>
        <w:t>Deer</w:t>
      </w:r>
      <w:r w:rsidRPr="009E06AA">
        <w:rPr>
          <w:rFonts w:cs="Calibri"/>
          <w:b/>
          <w:bCs/>
        </w:rPr>
        <w:t>:</w:t>
      </w:r>
      <w:r w:rsidRPr="009E06AA">
        <w:rPr>
          <w:rFonts w:cs="Calibri"/>
        </w:rPr>
        <w:t xml:space="preserve"> Liveweights of growing hinds and stags are estimated from Deer Industry New Zealand statistics, assuming a killing-out percentage of 55 per cent. A fawn birth weight of 9 per cent of the adult female weight and a common birth date of mid-November are assumed. Liveweights of breeding stags and hinds are based on a report by Suttie (2012). It is assumed there is no pattern of liveweight change within any given year. The lactation assumptions are 204 litres of milk over 120 days, an average daily lactation yield of 1.7 litres of milk per day (Suttie, 2012). </w:t>
      </w:r>
    </w:p>
    <w:p w14:paraId="5AD2B67C" w14:textId="77777777" w:rsidR="007523B8" w:rsidRPr="009E06AA" w:rsidRDefault="007523B8" w:rsidP="007523B8">
      <w:pPr>
        <w:pStyle w:val="Heading4"/>
      </w:pPr>
      <w:r w:rsidRPr="009E06AA">
        <w:t xml:space="preserve">Minor livestock categories </w:t>
      </w:r>
    </w:p>
    <w:p w14:paraId="60AF9CEB" w14:textId="09B9EC14" w:rsidR="007523B8" w:rsidRPr="009E06AA" w:rsidRDefault="007523B8" w:rsidP="007523B8">
      <w:pPr>
        <w:pStyle w:val="BodyText"/>
      </w:pPr>
      <w:r w:rsidRPr="009E06AA">
        <w:t>Tier 1 methodology is used for goats, horses, mules and asses, swine, poultry, and alpacas (IPCC, 2006), using a combination of country-specific and IPCC default emission factors (annex </w:t>
      </w:r>
      <w:r w:rsidR="00513552" w:rsidRPr="009E06AA">
        <w:t>5</w:t>
      </w:r>
      <w:r w:rsidRPr="009E06AA">
        <w:t>, section A</w:t>
      </w:r>
      <w:r w:rsidR="00513552" w:rsidRPr="009E06AA">
        <w:t>5</w:t>
      </w:r>
      <w:r w:rsidRPr="009E06AA">
        <w:t>.1.2, table A</w:t>
      </w:r>
      <w:r w:rsidR="00DE4EAE" w:rsidRPr="009E06AA">
        <w:t>5</w:t>
      </w:r>
      <w:r w:rsidRPr="009E06AA">
        <w:t xml:space="preserve">.1.4). </w:t>
      </w:r>
    </w:p>
    <w:p w14:paraId="4C23D676" w14:textId="77777777" w:rsidR="007523B8" w:rsidRPr="009E06AA" w:rsidRDefault="007523B8" w:rsidP="007523B8">
      <w:pPr>
        <w:pStyle w:val="BodyText"/>
        <w:spacing w:after="100"/>
        <w:rPr>
          <w:rFonts w:cs="Calibri"/>
        </w:rPr>
      </w:pPr>
      <w:r w:rsidRPr="009E06AA">
        <w:rPr>
          <w:rFonts w:cs="Calibri"/>
        </w:rPr>
        <w:t>The populations of goats, horses and swine are reported using data from the Stats NZ Agricultural Production Census and the inter-census Agricultural Production Survey. Data on the population of alpacas before 2010 are provided by Henderson and Cameron (unpublished) based on data from the Alpaca Association New Zealand. Alpaca population data from 2010 onwards are provided by Stats NZ.</w:t>
      </w:r>
    </w:p>
    <w:p w14:paraId="15E746B6" w14:textId="77777777" w:rsidR="007523B8" w:rsidRPr="009E06AA" w:rsidRDefault="007523B8" w:rsidP="007523B8">
      <w:pPr>
        <w:pStyle w:val="BodyText"/>
      </w:pPr>
      <w:r w:rsidRPr="009E06AA">
        <w:t xml:space="preserve">A small number of buffalo are farmed in New Zealand with at least 270 animals being reported (Stats NZ, 2023). Because the buffalo livestock are used for producing milk, they are reported within the dairy herd, so the notation key ‘IE’ (included elsewhere) is used. </w:t>
      </w:r>
    </w:p>
    <w:p w14:paraId="64905F6D" w14:textId="77777777" w:rsidR="007523B8" w:rsidRPr="009E06AA" w:rsidRDefault="007523B8" w:rsidP="007523B8">
      <w:pPr>
        <w:pStyle w:val="BodyText"/>
        <w:spacing w:before="100" w:after="100"/>
      </w:pPr>
      <w:r w:rsidRPr="009E06AA">
        <w:t xml:space="preserve">Mules and asses are not farmed commercially or used as working animals in </w:t>
      </w:r>
      <w:r w:rsidRPr="009E06AA" w:rsidDel="00216995">
        <w:t xml:space="preserve">New </w:t>
      </w:r>
      <w:r w:rsidRPr="009E06AA">
        <w:t xml:space="preserve">Zealand. A constant population of 141 donkeys has been included in the Agriculture inventory model under mules and asses. The emissions from these populations of animals are extremely small relative to the major livestock categories. </w:t>
      </w:r>
    </w:p>
    <w:p w14:paraId="11A9B1FE" w14:textId="77777777" w:rsidR="007523B8" w:rsidRPr="009E06AA" w:rsidRDefault="007523B8" w:rsidP="007523B8">
      <w:pPr>
        <w:pStyle w:val="BodyText"/>
        <w:spacing w:before="100" w:after="100"/>
      </w:pPr>
      <w:r w:rsidRPr="009E06AA">
        <w:t>Poultry is further classified into three categories: broiler chicken,</w:t>
      </w:r>
      <w:r w:rsidRPr="009E06AA">
        <w:rPr>
          <w:rStyle w:val="FootnoteReference"/>
        </w:rPr>
        <w:footnoteReference w:id="28"/>
      </w:r>
      <w:r w:rsidRPr="009E06AA">
        <w:t xml:space="preserve"> layer hens and other poultry. Stats NZ provides estimates of average annual broiler chicken flock sizes using industry data on the numbers of broilers processed every year since 1990. Mortality rates and days alive are used as suggested by Fick (2010). Stats NZ also obtains estimates of the number of layer hens and other poultry (e.g., ducks, turkeys, </w:t>
      </w:r>
      <w:r w:rsidRPr="009E06AA" w:rsidDel="00DA50CC">
        <w:t>emus</w:t>
      </w:r>
      <w:r w:rsidRPr="009E06AA">
        <w:t xml:space="preserve"> and ostriches) from the Agricultural Production Census and Survey. Ostrich and emu farming in </w:t>
      </w:r>
      <w:r w:rsidRPr="009E06AA" w:rsidDel="00912A03">
        <w:t xml:space="preserve">New </w:t>
      </w:r>
      <w:r w:rsidRPr="009E06AA">
        <w:t>Zealand is extremely rare. In 2015, it was estimated only 739 ostriches were in the country. Other poultry manure management emissions are included and calculated. Enteric fermentation is negligible and therefore not estimated.</w:t>
      </w:r>
    </w:p>
    <w:p w14:paraId="361E0523" w14:textId="77777777" w:rsidR="007523B8" w:rsidRPr="009E06AA" w:rsidRDefault="007523B8" w:rsidP="007523B8">
      <w:pPr>
        <w:pStyle w:val="BodyText"/>
        <w:spacing w:before="100" w:after="100"/>
      </w:pPr>
      <w:r w:rsidRPr="009E06AA">
        <w:t xml:space="preserve">The average annual flock size of chickens is determined by the following equation: </w:t>
      </w:r>
    </w:p>
    <w:p w14:paraId="38B7DB78" w14:textId="28B3D8E8" w:rsidR="007523B8" w:rsidRPr="009E06AA" w:rsidRDefault="007523B8" w:rsidP="007523B8">
      <w:pPr>
        <w:pStyle w:val="BodyText"/>
        <w:spacing w:before="80" w:after="80"/>
        <w:rPr>
          <w:sz w:val="18"/>
          <w:szCs w:val="18"/>
        </w:rPr>
      </w:pPr>
      <m:oMathPara>
        <m:oMathParaPr>
          <m:jc m:val="left"/>
        </m:oMathParaPr>
        <m:oMath>
          <m:r>
            <w:rPr>
              <w:rFonts w:ascii="Cambria Math" w:hAnsi="Cambria Math"/>
              <w:sz w:val="18"/>
              <w:szCs w:val="18"/>
            </w:rPr>
            <m:t xml:space="preserve">Average annual flock size= </m:t>
          </m:r>
          <m:f>
            <m:fPr>
              <m:ctrlPr>
                <w:rPr>
                  <w:rFonts w:ascii="Cambria Math" w:hAnsi="Cambria Math"/>
                  <w:i/>
                  <w:sz w:val="18"/>
                  <w:szCs w:val="18"/>
                </w:rPr>
              </m:ctrlPr>
            </m:fPr>
            <m:num>
              <m:r>
                <w:rPr>
                  <w:rFonts w:ascii="Cambria Math" w:hAnsi="Cambria Math"/>
                  <w:sz w:val="18"/>
                  <w:szCs w:val="18"/>
                </w:rPr>
                <m:t>days alive</m:t>
              </m:r>
            </m:num>
            <m:den>
              <m:r>
                <w:rPr>
                  <w:rFonts w:ascii="Cambria Math" w:hAnsi="Cambria Math"/>
                  <w:sz w:val="18"/>
                  <w:szCs w:val="18"/>
                </w:rPr>
                <m:t>365</m:t>
              </m:r>
            </m:den>
          </m:f>
          <m:r>
            <w:rPr>
              <w:rFonts w:ascii="Cambria Math" w:hAnsi="Cambria Math"/>
              <w:sz w:val="18"/>
              <w:szCs w:val="18"/>
            </w:rPr>
            <m:t xml:space="preserve"> ×annual number of birds processed ×(1-mortality rate)</m:t>
          </m:r>
        </m:oMath>
      </m:oMathPara>
    </w:p>
    <w:p w14:paraId="006B5693" w14:textId="77777777" w:rsidR="007523B8" w:rsidRPr="009E06AA" w:rsidRDefault="007523B8" w:rsidP="007523B8">
      <w:pPr>
        <w:pStyle w:val="BodyText"/>
        <w:spacing w:before="100" w:after="100"/>
      </w:pPr>
      <w:r w:rsidRPr="009E06AA">
        <w:t xml:space="preserve">Rabbits are considered an agricultural pest, and only a very small number are farmed in the country (R. Sanson, pers. comm., 2019). Because of this, emissions from farmed rabbits are reported as ‘not estimated’ (NE) because their emissions are insignificant. There is no known farming of other fur-bearing animals. </w:t>
      </w:r>
    </w:p>
    <w:p w14:paraId="30E4FFEC" w14:textId="77777777" w:rsidR="007523B8" w:rsidRPr="009E06AA" w:rsidRDefault="007523B8" w:rsidP="007523B8">
      <w:pPr>
        <w:pStyle w:val="Heading3"/>
        <w:spacing w:before="280"/>
      </w:pPr>
      <w:bookmarkStart w:id="840" w:name="_Toc32570647"/>
      <w:r w:rsidRPr="009E06AA">
        <w:t xml:space="preserve">5.1.5 </w:t>
      </w:r>
      <w:r w:rsidRPr="009E06AA">
        <w:tab/>
        <w:t>Recalculations</w:t>
      </w:r>
      <w:bookmarkEnd w:id="840"/>
      <w:r w:rsidRPr="009E06AA">
        <w:t xml:space="preserve"> </w:t>
      </w:r>
    </w:p>
    <w:p w14:paraId="5C3AD541" w14:textId="6AFA1099" w:rsidR="007523B8" w:rsidRPr="009E06AA" w:rsidRDefault="007523B8" w:rsidP="007523B8">
      <w:pPr>
        <w:pStyle w:val="BodyText"/>
        <w:spacing w:before="100" w:after="100"/>
      </w:pPr>
      <w:r w:rsidRPr="009E06AA">
        <w:t>Throughout this chapter, recalculations are presented by applying 100-year time horizon global warming potential values from the Intergovernmental Panel on Climate Change (IPCC) Fifth Assessment Report (IPCC, 2013) for both the previous and current submission to ensure a like-for-like comparison. The change from applying the 100-year time horizon global warming potential values from the IPCC’s Fourth Assessment Report (IPCC, 2007) in the previous submission to applying the Fifth Assessment Report values in the current submission has not been considered as a recalculation to the inventory.</w:t>
      </w:r>
    </w:p>
    <w:p w14:paraId="5813FFC2" w14:textId="77777777" w:rsidR="007523B8" w:rsidRPr="009E06AA" w:rsidRDefault="007523B8" w:rsidP="007523B8">
      <w:pPr>
        <w:pStyle w:val="Heading4"/>
        <w:spacing w:before="180"/>
      </w:pPr>
      <w:r w:rsidRPr="009E06AA">
        <w:t xml:space="preserve">Agricultural emissions research </w:t>
      </w:r>
    </w:p>
    <w:p w14:paraId="12478F3E" w14:textId="77777777" w:rsidR="007523B8" w:rsidRPr="009E06AA" w:rsidRDefault="007523B8" w:rsidP="007523B8">
      <w:pPr>
        <w:pStyle w:val="BodyText"/>
        <w:spacing w:after="100"/>
      </w:pPr>
      <w:r w:rsidRPr="009E06AA">
        <w:t>New Zealand invests in a comprehensive research programme to develop technologies and practices to reduce biological greenhouse gas emissions from Agriculture. This is facilitated through the following.</w:t>
      </w:r>
    </w:p>
    <w:p w14:paraId="5E4F083A" w14:textId="77777777" w:rsidR="007523B8" w:rsidRPr="009E06AA" w:rsidRDefault="007523B8" w:rsidP="007523B8">
      <w:pPr>
        <w:pStyle w:val="Bullet"/>
        <w:spacing w:after="100"/>
      </w:pPr>
      <w:r w:rsidRPr="009E06AA">
        <w:t xml:space="preserve">The New Zealand Agricultural Greenhouse Gas Research Centre (NZAGRC), which was </w:t>
      </w:r>
      <w:r w:rsidRPr="009E06AA">
        <w:rPr>
          <w:spacing w:val="-2"/>
        </w:rPr>
        <w:t xml:space="preserve">established in 2009. It aims to contribute to agricultural greenhouse gas </w:t>
      </w:r>
      <w:r w:rsidRPr="009E06AA">
        <w:t>understanding and mitigation through research programmes and international collaboration, and to enhance New Zealand’s research capability and infrastructure in this area.</w:t>
      </w:r>
    </w:p>
    <w:p w14:paraId="18FB7695" w14:textId="77777777" w:rsidR="007523B8" w:rsidRPr="009E06AA" w:rsidRDefault="007523B8" w:rsidP="007523B8">
      <w:pPr>
        <w:pStyle w:val="Bullet"/>
        <w:spacing w:after="100"/>
      </w:pPr>
      <w:r w:rsidRPr="009E06AA">
        <w:rPr>
          <w:spacing w:val="-2"/>
        </w:rPr>
        <w:t>The Pastoral Greenhouse Gas Research Consortium (PGgRc), which was established in 2003 by New Zealand agricultural sector organisations and private companies in partnership</w:t>
      </w:r>
      <w:r w:rsidRPr="009E06AA">
        <w:t xml:space="preserve"> </w:t>
      </w:r>
      <w:r w:rsidRPr="009E06AA">
        <w:rPr>
          <w:spacing w:val="-2"/>
        </w:rPr>
        <w:t>with the Government. It funds research, primarily into mitigation technologies and management</w:t>
      </w:r>
      <w:r w:rsidRPr="009E06AA">
        <w:t xml:space="preserve"> practices for ruminants but also to provide information to improve on</w:t>
      </w:r>
      <w:r w:rsidRPr="009E06AA">
        <w:noBreakHyphen/>
        <w:t>farm greenhouse gas inventories. The PGgRc was funded in partnership between the Government, through the Ministry of Business, Innovation and Employment and Agriculture sector parties. Funding from the Ministry of Business, Innovation and Employment has since ceased and the PGgRc now largely operates on funding from industry.</w:t>
      </w:r>
    </w:p>
    <w:p w14:paraId="0200FFFC" w14:textId="77777777" w:rsidR="007523B8" w:rsidRPr="009E06AA" w:rsidRDefault="007523B8" w:rsidP="007523B8">
      <w:pPr>
        <w:pStyle w:val="Bullet"/>
        <w:spacing w:after="100"/>
      </w:pPr>
      <w:r w:rsidRPr="009E06AA">
        <w:rPr>
          <w:spacing w:val="-2"/>
        </w:rPr>
        <w:t>New Zealand</w:t>
      </w:r>
      <w:r w:rsidRPr="009E06AA">
        <w:t xml:space="preserve"> is one of the founding members of the Global Research Alliance on Agricultural Greenhouse Gases (GRA), which facilitates international research collaboration to study means of increasing global food production while reducing agricultural greenhouse gas emissions. This includes building capability, improving greenhouse gas inventories in developing countries, and facilitating the transfer of technologies and knowledge between members. </w:t>
      </w:r>
      <w:r w:rsidRPr="009E06AA">
        <w:rPr>
          <w:spacing w:val="-2"/>
        </w:rPr>
        <w:t>New Zealand</w:t>
      </w:r>
      <w:r w:rsidRPr="009E06AA">
        <w:t xml:space="preserve"> has hosted the GRA Secretariat since its establishment in 2009 and coordinates </w:t>
      </w:r>
      <w:r w:rsidRPr="009E06AA">
        <w:rPr>
          <w:spacing w:val="-2"/>
        </w:rPr>
        <w:t>New Zealand’s</w:t>
      </w:r>
      <w:r w:rsidRPr="009E06AA">
        <w:t xml:space="preserve"> contribution, largely through the NZAGRC.</w:t>
      </w:r>
    </w:p>
    <w:p w14:paraId="7B690F74" w14:textId="77777777" w:rsidR="007523B8" w:rsidRPr="009E06AA" w:rsidRDefault="007523B8" w:rsidP="007523B8">
      <w:pPr>
        <w:pStyle w:val="Bullet"/>
        <w:spacing w:after="100"/>
      </w:pPr>
      <w:r w:rsidRPr="009E06AA">
        <w:t>New Zealand’s Greenhouse Gas Inventory Research Fund aims to support continuous improvement of the Agricultural Greenhouse Gas Inventory to improve the accuracy and reduce uncertainty of emissions reporting and forecasting. This follows the IPCC’s guidelines for the preparation and continuous improvement of national greenhouse gas inventories (IPCC, 2000, 2006). It has supported greenhouse gas agricultural inventory research since 2004.</w:t>
      </w:r>
    </w:p>
    <w:p w14:paraId="0882DC18" w14:textId="77777777" w:rsidR="007523B8" w:rsidRPr="009E06AA" w:rsidRDefault="007523B8" w:rsidP="007523B8">
      <w:pPr>
        <w:pStyle w:val="Bullet"/>
        <w:spacing w:after="100"/>
      </w:pPr>
      <w:r w:rsidRPr="009E06AA">
        <w:t>The Centre for Climate Action on Agricultural Emissions was established in 2022 to accelerate the research, development and commercialisation of tools and technology to reduce emissions. It aims to achieve this via two main components:</w:t>
      </w:r>
    </w:p>
    <w:p w14:paraId="1F422E02" w14:textId="77777777" w:rsidR="007523B8" w:rsidRPr="009E06AA" w:rsidRDefault="007523B8" w:rsidP="007523B8">
      <w:pPr>
        <w:pStyle w:val="Sub-bullet"/>
        <w:spacing w:after="100"/>
      </w:pPr>
      <w:r w:rsidRPr="009E06AA">
        <w:t>Centre for Climate Action joint venture, a long-term partnership between the Government and industry partners to drive a targeted research programme and support the pathway and uptake of new tools and technologies</w:t>
      </w:r>
    </w:p>
    <w:p w14:paraId="48EBB96D" w14:textId="77777777" w:rsidR="007523B8" w:rsidRPr="009E06AA" w:rsidRDefault="007523B8" w:rsidP="007523B8">
      <w:pPr>
        <w:pStyle w:val="Sub-bullet"/>
        <w:spacing w:after="100"/>
      </w:pPr>
      <w:r w:rsidRPr="009E06AA">
        <w:t>enhancing the NZAGRC via additional investment.</w:t>
      </w:r>
    </w:p>
    <w:p w14:paraId="16355501" w14:textId="77777777" w:rsidR="007523B8" w:rsidRPr="009E06AA" w:rsidRDefault="007523B8" w:rsidP="007523B8">
      <w:pPr>
        <w:pStyle w:val="BodyText"/>
        <w:spacing w:before="100" w:after="100"/>
      </w:pPr>
      <w:r w:rsidRPr="009E06AA">
        <w:t xml:space="preserve">Research and data from these sources feed into </w:t>
      </w:r>
      <w:r w:rsidRPr="009E06AA">
        <w:rPr>
          <w:spacing w:val="-2"/>
        </w:rPr>
        <w:t>New Zealand’s</w:t>
      </w:r>
      <w:r w:rsidRPr="009E06AA">
        <w:t xml:space="preserve"> improvement of the Agriculture inventory sector, and these research activities allow </w:t>
      </w:r>
      <w:r w:rsidRPr="009E06AA" w:rsidDel="001A126F">
        <w:rPr>
          <w:spacing w:val="-2"/>
        </w:rPr>
        <w:t xml:space="preserve">New </w:t>
      </w:r>
      <w:r w:rsidRPr="009E06AA">
        <w:rPr>
          <w:spacing w:val="-2"/>
        </w:rPr>
        <w:t>Zealand</w:t>
      </w:r>
      <w:r w:rsidRPr="009E06AA">
        <w:t xml:space="preserve"> to share technical skills and expertise internationally.</w:t>
      </w:r>
    </w:p>
    <w:p w14:paraId="170AC901" w14:textId="77777777" w:rsidR="007523B8" w:rsidRPr="009E06AA" w:rsidRDefault="007523B8" w:rsidP="007523B8">
      <w:pPr>
        <w:pStyle w:val="Heading4"/>
        <w:spacing w:before="180"/>
      </w:pPr>
      <w:r w:rsidRPr="009E06AA">
        <w:t>Recalculation and improvement approval process in the Agriculture inventory sector</w:t>
      </w:r>
    </w:p>
    <w:p w14:paraId="13CDE356" w14:textId="77777777" w:rsidR="007523B8" w:rsidRPr="009E06AA" w:rsidRDefault="007523B8" w:rsidP="007523B8">
      <w:pPr>
        <w:pStyle w:val="BodyText"/>
        <w:spacing w:before="100" w:after="100"/>
      </w:pPr>
      <w:r w:rsidRPr="009E06AA">
        <w:t xml:space="preserve">The process for developing improvements and agreeing methodological changes to the Agriculture inventory sector is shown in figure 5.1.7. </w:t>
      </w:r>
    </w:p>
    <w:p w14:paraId="5C972804" w14:textId="77777777" w:rsidR="007523B8" w:rsidRPr="009E06AA" w:rsidRDefault="007523B8" w:rsidP="007523B8">
      <w:pPr>
        <w:pStyle w:val="BodyText"/>
        <w:spacing w:before="100" w:after="100"/>
      </w:pPr>
      <w:r w:rsidRPr="009E06AA">
        <w:t xml:space="preserve">Domestically, </w:t>
      </w:r>
      <w:r w:rsidRPr="009E06AA">
        <w:rPr>
          <w:spacing w:val="-2"/>
        </w:rPr>
        <w:t>New Zealand</w:t>
      </w:r>
      <w:r w:rsidRPr="009E06AA">
        <w:t xml:space="preserve"> has a network of scientific experts in the fields of CO</w:t>
      </w:r>
      <w:r w:rsidRPr="009E06AA">
        <w:rPr>
          <w:vertAlign w:val="subscript"/>
        </w:rPr>
        <w:t>2</w:t>
      </w:r>
      <w:r w:rsidRPr="009E06AA">
        <w:t>, CH</w:t>
      </w:r>
      <w:r w:rsidRPr="009E06AA">
        <w:rPr>
          <w:vertAlign w:val="subscript"/>
        </w:rPr>
        <w:t>4</w:t>
      </w:r>
      <w:r w:rsidRPr="009E06AA">
        <w:t> and N</w:t>
      </w:r>
      <w:r w:rsidRPr="009E06AA">
        <w:rPr>
          <w:vertAlign w:val="subscript"/>
        </w:rPr>
        <w:t>2</w:t>
      </w:r>
      <w:r w:rsidRPr="009E06AA">
        <w:t>O emissions. Research findings are presented annually at the Greenhouse Gas Inventory Research Workshop. New inventory research ideas raised by the research community inform decisions for future inventory research. Final decisions on research priorities are made by MPI, following discussions between the network leaders and Ministry for the Environment (MfE) staff. Research is contracted to address specific questions relating to gaps in </w:t>
      </w:r>
      <w:r w:rsidRPr="009E06AA">
        <w:rPr>
          <w:spacing w:val="-2"/>
        </w:rPr>
        <w:t>New Zealand’s</w:t>
      </w:r>
      <w:r w:rsidRPr="009E06AA">
        <w:t xml:space="preserve"> knowledge and to review, test and improve current model parameters used. Draft research reports are peer reviewed by at least one external independent expert with knowledge in the field and are assessed for their scientific robustness and suitability to be included in the Agriculture inventory model. A standard peer review report template is used.</w:t>
      </w:r>
    </w:p>
    <w:p w14:paraId="2DE71020" w14:textId="77777777" w:rsidR="007523B8" w:rsidRPr="009E06AA" w:rsidRDefault="007523B8" w:rsidP="007523B8">
      <w:pPr>
        <w:pStyle w:val="BodyText"/>
        <w:spacing w:before="100" w:after="100"/>
      </w:pPr>
      <w:r w:rsidRPr="009E06AA">
        <w:t>If the report recommends changes are made to the Agriculture inventory model, a briefing and the final report are sent to the Agriculture Inventory Advisory Panel, which currently meets annually to review proposed changes to the Agriculture inventory model. The Panel comprises expert representatives from MPI and MfE, nominated science representatives from the Royal Society of New Zealand and the Methanet and NzOnet expert advisory groups.</w:t>
      </w:r>
      <w:r w:rsidRPr="009E06AA">
        <w:rPr>
          <w:rStyle w:val="FootnoteReference"/>
          <w:rFonts w:cs="Calibri"/>
        </w:rPr>
        <w:footnoteReference w:id="29"/>
      </w:r>
      <w:r w:rsidRPr="009E06AA">
        <w:t xml:space="preserve"> The Panel is </w:t>
      </w:r>
      <w:r w:rsidRPr="009E06AA">
        <w:rPr>
          <w:spacing w:val="-2"/>
        </w:rPr>
        <w:t>independent of policy and industry influences and has been formed to give independent advice</w:t>
      </w:r>
      <w:r w:rsidRPr="009E06AA">
        <w:t xml:space="preserve"> </w:t>
      </w:r>
      <w:r w:rsidRPr="009E06AA">
        <w:rPr>
          <w:spacing w:val="-2"/>
        </w:rPr>
        <w:t>on whether changes to the Agriculture section of the National Inventory Report are scientifically</w:t>
      </w:r>
      <w:r w:rsidRPr="009E06AA">
        <w:t xml:space="preserve"> robust, justifiable and internationally defensible. The Panel assesses if the proposed changes have been appropriately researched, using recognised scientific principles and practices, and if there is sufficient scientific evidence to support any recommended changes. </w:t>
      </w:r>
    </w:p>
    <w:p w14:paraId="146259F8" w14:textId="77777777" w:rsidR="007523B8" w:rsidRPr="009E06AA" w:rsidRDefault="007523B8" w:rsidP="007523B8">
      <w:pPr>
        <w:pStyle w:val="BodyText"/>
        <w:spacing w:before="100" w:after="100"/>
      </w:pPr>
      <w:r w:rsidRPr="009E06AA">
        <w:t xml:space="preserve">Changes recommended by the Panel must be approved by the Deputy Director-General (Policy and Trade) at MPI, as well as the Reporting Governance Group (RGG), which is chaired by MfE and leads the reporting, modelling and projections of emissions and removals across government and all sectors. Further details of the RGG are provided in chapter 1, section 1.2.2. </w:t>
      </w:r>
    </w:p>
    <w:p w14:paraId="1C22375E" w14:textId="77777777" w:rsidR="007523B8" w:rsidRPr="009E06AA" w:rsidRDefault="007523B8" w:rsidP="007523B8">
      <w:pPr>
        <w:pStyle w:val="Figure"/>
      </w:pPr>
      <w:bookmarkStart w:id="841" w:name="_Toc447275694"/>
      <w:bookmarkStart w:id="842" w:name="_Toc481752012"/>
      <w:bookmarkStart w:id="843" w:name="_Toc507158471"/>
      <w:bookmarkStart w:id="844" w:name="_Toc511116962"/>
      <w:bookmarkStart w:id="845" w:name="_Toc5269692"/>
      <w:bookmarkStart w:id="846" w:name="_Toc32570963"/>
      <w:bookmarkStart w:id="847" w:name="_Toc36292793"/>
      <w:bookmarkStart w:id="848" w:name="_Toc68786658"/>
      <w:bookmarkStart w:id="849" w:name="_Toc95574119"/>
      <w:bookmarkStart w:id="850" w:name="_Toc127458558"/>
      <w:bookmarkStart w:id="851" w:name="_Toc131591560"/>
      <w:bookmarkStart w:id="852" w:name="_Toc164154028"/>
      <w:r w:rsidRPr="009E06AA">
        <w:t xml:space="preserve">Figure 5.1.7 </w:t>
      </w:r>
      <w:r w:rsidRPr="009E06AA">
        <w:tab/>
        <w:t>Agriculture sectoral approval process for inventory recalculations and improvements</w:t>
      </w:r>
      <w:bookmarkEnd w:id="841"/>
      <w:bookmarkEnd w:id="842"/>
      <w:bookmarkEnd w:id="843"/>
      <w:bookmarkEnd w:id="844"/>
      <w:bookmarkEnd w:id="845"/>
      <w:bookmarkEnd w:id="846"/>
      <w:bookmarkEnd w:id="847"/>
      <w:bookmarkEnd w:id="848"/>
      <w:bookmarkEnd w:id="849"/>
      <w:bookmarkEnd w:id="850"/>
      <w:bookmarkEnd w:id="851"/>
      <w:bookmarkEnd w:id="852"/>
    </w:p>
    <w:p w14:paraId="67B2D46F" w14:textId="77777777" w:rsidR="007523B8" w:rsidRPr="009E06AA" w:rsidRDefault="007523B8" w:rsidP="000B7215">
      <w:pPr>
        <w:pStyle w:val="BodyText"/>
        <w:jc w:val="center"/>
        <w:rPr>
          <w:rFonts w:eastAsia="Calibri" w:cs="Calibri"/>
        </w:rPr>
      </w:pPr>
      <w:r w:rsidRPr="009E06AA">
        <w:rPr>
          <w:noProof/>
        </w:rPr>
        <w:drawing>
          <wp:inline distT="0" distB="0" distL="0" distR="0" wp14:anchorId="5FA3D065" wp14:editId="15D07E5B">
            <wp:extent cx="3781869" cy="5826035"/>
            <wp:effectExtent l="0" t="0" r="9525" b="3810"/>
            <wp:docPr id="1782600054" name="Picture 1782600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600054" name="Picture 1782600054"/>
                    <pic:cNvPicPr/>
                  </pic:nvPicPr>
                  <pic:blipFill rotWithShape="1">
                    <a:blip r:embed="rId100" cstate="print">
                      <a:extLst>
                        <a:ext uri="{28A0092B-C50C-407E-A947-70E740481C1C}">
                          <a14:useLocalDpi xmlns:a14="http://schemas.microsoft.com/office/drawing/2010/main" val="0"/>
                        </a:ext>
                      </a:extLst>
                    </a:blip>
                    <a:srcRect/>
                    <a:stretch/>
                  </pic:blipFill>
                  <pic:spPr bwMode="auto">
                    <a:xfrm>
                      <a:off x="0" y="0"/>
                      <a:ext cx="3824021" cy="5890971"/>
                    </a:xfrm>
                    <a:prstGeom prst="rect">
                      <a:avLst/>
                    </a:prstGeom>
                    <a:ln>
                      <a:noFill/>
                    </a:ln>
                    <a:extLst>
                      <a:ext uri="{53640926-AAD7-44D8-BBD7-CCE9431645EC}">
                        <a14:shadowObscured xmlns:a14="http://schemas.microsoft.com/office/drawing/2010/main"/>
                      </a:ext>
                    </a:extLst>
                  </pic:spPr>
                </pic:pic>
              </a:graphicData>
            </a:graphic>
          </wp:inline>
        </w:drawing>
      </w:r>
    </w:p>
    <w:p w14:paraId="528C8482" w14:textId="77777777" w:rsidR="007523B8" w:rsidRPr="009E06AA" w:rsidRDefault="007523B8" w:rsidP="00BF2A76">
      <w:pPr>
        <w:pStyle w:val="Heading5"/>
      </w:pPr>
      <w:r w:rsidRPr="009E06AA">
        <w:t>Agriculture Inventory Advisory Panel meeting – October 2023</w:t>
      </w:r>
    </w:p>
    <w:p w14:paraId="73C4556D" w14:textId="77777777" w:rsidR="007523B8" w:rsidRPr="009E06AA" w:rsidRDefault="007523B8" w:rsidP="007523B8">
      <w:pPr>
        <w:pStyle w:val="BodyText"/>
        <w:rPr>
          <w:rFonts w:cs="Calibri"/>
        </w:rPr>
      </w:pPr>
      <w:r w:rsidRPr="009E06AA">
        <w:rPr>
          <w:rFonts w:cs="Calibri"/>
        </w:rPr>
        <w:t xml:space="preserve">The Panel meeting was held on 17 October 2023 and considered the following potential inventory changes: </w:t>
      </w:r>
    </w:p>
    <w:p w14:paraId="4E0E2D82" w14:textId="77777777" w:rsidR="007523B8" w:rsidRPr="009E06AA" w:rsidRDefault="007523B8" w:rsidP="007523B8">
      <w:pPr>
        <w:pStyle w:val="Bullet"/>
      </w:pPr>
      <w:r w:rsidRPr="009E06AA">
        <w:t>improvements to non-dairy cattle population and liveweight estimates</w:t>
      </w:r>
    </w:p>
    <w:p w14:paraId="10F4B842" w14:textId="77777777" w:rsidR="007523B8" w:rsidRPr="009E06AA" w:rsidRDefault="007523B8" w:rsidP="007523B8">
      <w:pPr>
        <w:pStyle w:val="Bullet"/>
      </w:pPr>
      <w:r w:rsidRPr="009E06AA">
        <w:t>changing the assumed proportion of lambs held over to a second slaughter date</w:t>
      </w:r>
    </w:p>
    <w:p w14:paraId="174D8243" w14:textId="77777777" w:rsidR="007523B8" w:rsidRPr="009E06AA" w:rsidRDefault="007523B8" w:rsidP="007523B8">
      <w:pPr>
        <w:pStyle w:val="Bullet"/>
      </w:pPr>
      <w:r w:rsidRPr="009E06AA">
        <w:t>improvements and corrections to model code and migration from Excel to R</w:t>
      </w:r>
      <w:r w:rsidRPr="009E06AA">
        <w:rPr>
          <w:rStyle w:val="FootnoteReference"/>
        </w:rPr>
        <w:footnoteReference w:id="30"/>
      </w:r>
    </w:p>
    <w:p w14:paraId="138B065B" w14:textId="77777777" w:rsidR="007523B8" w:rsidRPr="009E06AA" w:rsidRDefault="007523B8" w:rsidP="007523B8">
      <w:pPr>
        <w:pStyle w:val="Bullet"/>
      </w:pPr>
      <w:r w:rsidRPr="009E06AA">
        <w:t>inclusion of the EcoPond mitigation technology for dairy cattle</w:t>
      </w:r>
    </w:p>
    <w:p w14:paraId="577F8582" w14:textId="77777777" w:rsidR="007523B8" w:rsidRPr="009E06AA" w:rsidRDefault="007523B8" w:rsidP="007523B8">
      <w:pPr>
        <w:pStyle w:val="Bullet"/>
      </w:pPr>
      <w:r w:rsidRPr="009E06AA">
        <w:t>updating emission calculations for swine.</w:t>
      </w:r>
    </w:p>
    <w:p w14:paraId="5231ABC2" w14:textId="77777777" w:rsidR="007523B8" w:rsidRPr="009E06AA" w:rsidRDefault="007523B8" w:rsidP="00B71C61">
      <w:pPr>
        <w:pStyle w:val="BodyText"/>
        <w:spacing w:before="100" w:after="100"/>
      </w:pPr>
      <w:r w:rsidRPr="009E06AA">
        <w:t xml:space="preserve">The Panel recommended that improvements to calculations for within-year non-dairy cattle population and liveweight estimates are implemented based on the work of Stevens et al. (2022). These changes included several improvements to assumptions and methods used to estimate population dynamics between annual data points for individual classes of cattle. </w:t>
      </w:r>
      <w:r w:rsidRPr="009E06AA">
        <w:rPr>
          <w:spacing w:val="-2"/>
        </w:rPr>
        <w:t>These changes increase total annual agricultural emissions reported in 2021 by 1,092.1 kt CO</w:t>
      </w:r>
      <w:r w:rsidRPr="009E06AA">
        <w:rPr>
          <w:spacing w:val="-2"/>
          <w:vertAlign w:val="subscript"/>
        </w:rPr>
        <w:t>2</w:t>
      </w:r>
      <w:r w:rsidRPr="009E06AA">
        <w:rPr>
          <w:spacing w:val="-2"/>
        </w:rPr>
        <w:noBreakHyphen/>
        <w:t>e</w:t>
      </w:r>
      <w:r w:rsidRPr="009E06AA">
        <w:t xml:space="preserve">, or around 2.7 per cent of total agricultural emissions. </w:t>
      </w:r>
    </w:p>
    <w:p w14:paraId="56972205" w14:textId="77777777" w:rsidR="007523B8" w:rsidRPr="009E06AA" w:rsidRDefault="007523B8" w:rsidP="00B71C61">
      <w:pPr>
        <w:pStyle w:val="BodyText"/>
        <w:spacing w:before="100" w:after="100"/>
      </w:pPr>
      <w:r w:rsidRPr="009E06AA">
        <w:t xml:space="preserve">The Panel also recommended changing the assumed proportion of lambs held over to a second slaughter date to better reflect industry data collected by </w:t>
      </w:r>
      <w:bookmarkStart w:id="853" w:name="_Hlk155618636"/>
      <w:r w:rsidRPr="009E06AA">
        <w:t xml:space="preserve">Stevens et al. (2022) </w:t>
      </w:r>
      <w:bookmarkEnd w:id="853"/>
      <w:r w:rsidRPr="009E06AA">
        <w:t>under the same report. This change results in a relatively small impact, increasing reported emissions by 0.1 per cent (40.8 kt CO</w:t>
      </w:r>
      <w:r w:rsidRPr="009E06AA">
        <w:rPr>
          <w:vertAlign w:val="subscript"/>
        </w:rPr>
        <w:t>2</w:t>
      </w:r>
      <w:r w:rsidRPr="009E06AA">
        <w:t xml:space="preserve">-e) of emissions reported in 2021. </w:t>
      </w:r>
    </w:p>
    <w:p w14:paraId="7F00ECE9" w14:textId="77777777" w:rsidR="007523B8" w:rsidRPr="009E06AA" w:rsidRDefault="007523B8" w:rsidP="00B71C61">
      <w:pPr>
        <w:pStyle w:val="BodyText"/>
        <w:spacing w:before="100" w:after="100"/>
        <w:rPr>
          <w:rFonts w:cs="Arial"/>
        </w:rPr>
      </w:pPr>
      <w:r w:rsidRPr="009E06AA">
        <w:rPr>
          <w:rFonts w:cs="Calibri"/>
        </w:rPr>
        <w:t xml:space="preserve">For the third set of changes, the Panel recommended the implementation of several improvements and corrections to the agricultural inventory model code. Issues with the existing code were identified through several parallel processes with the overall intent to improve alignment between the model code and written methodology documentation for the agricultural inventory. </w:t>
      </w:r>
      <w:r w:rsidRPr="009E06AA">
        <w:rPr>
          <w:rFonts w:cs="Arial"/>
        </w:rPr>
        <w:t xml:space="preserve">The total impact of these changes is an increase in reported emissions of </w:t>
      </w:r>
      <w:r w:rsidRPr="009E06AA">
        <w:t>916.5 kt CO</w:t>
      </w:r>
      <w:r w:rsidRPr="009E06AA">
        <w:rPr>
          <w:vertAlign w:val="subscript"/>
        </w:rPr>
        <w:t>2</w:t>
      </w:r>
      <w:r w:rsidRPr="009E06AA">
        <w:t>-e</w:t>
      </w:r>
      <w:r w:rsidRPr="009E06AA">
        <w:rPr>
          <w:rFonts w:cs="Arial"/>
        </w:rPr>
        <w:t xml:space="preserve"> of emissions reported in 2021, or around </w:t>
      </w:r>
      <w:r w:rsidRPr="009E06AA">
        <w:t>2.3 per cent of total agricultural emissions.</w:t>
      </w:r>
    </w:p>
    <w:p w14:paraId="618D9157" w14:textId="7C101173" w:rsidR="007523B8" w:rsidRPr="009E06AA" w:rsidRDefault="007523B8" w:rsidP="00B71C61">
      <w:pPr>
        <w:pStyle w:val="BodyText"/>
        <w:spacing w:before="100" w:after="100"/>
        <w:rPr>
          <w:rFonts w:cs="Calibri"/>
        </w:rPr>
      </w:pPr>
      <w:r w:rsidRPr="009E06AA">
        <w:rPr>
          <w:rFonts w:cs="Calibri"/>
        </w:rPr>
        <w:t>Related to</w:t>
      </w:r>
      <w:r w:rsidRPr="009E06AA" w:rsidDel="0053206E">
        <w:rPr>
          <w:rFonts w:cs="Calibri"/>
        </w:rPr>
        <w:t xml:space="preserve"> </w:t>
      </w:r>
      <w:r w:rsidRPr="009E06AA">
        <w:rPr>
          <w:rFonts w:cs="Calibri"/>
        </w:rPr>
        <w:t xml:space="preserve">the code improvements, </w:t>
      </w:r>
      <w:r w:rsidRPr="009E06AA">
        <w:t>the</w:t>
      </w:r>
      <w:r w:rsidRPr="009E06AA">
        <w:rPr>
          <w:rFonts w:cs="Calibri"/>
        </w:rPr>
        <w:t xml:space="preserve"> Panel was also updated on the completion of the process to migrate the model from </w:t>
      </w:r>
      <w:r w:rsidRPr="009E06AA">
        <w:t>a Microsoft Excel-based system combined with Visual Basic</w:t>
      </w:r>
      <w:r w:rsidR="000B7215" w:rsidRPr="009E06AA">
        <w:t> </w:t>
      </w:r>
      <w:r w:rsidRPr="009E06AA">
        <w:t>for Applications code (used for the 2023 submission) to an R-based system (used for the 2024 submission). The two models are well aligned with some minor differences in emissions estimates. Migrating the model to the R-based system caused estimated emissions to decrease by 0.2 per cent (-63.7 kt CO</w:t>
      </w:r>
      <w:r w:rsidRPr="009E06AA">
        <w:rPr>
          <w:vertAlign w:val="subscript"/>
        </w:rPr>
        <w:t>2</w:t>
      </w:r>
      <w:r w:rsidRPr="009E06AA">
        <w:t>-e) in 1990 and decrease by 0.1 per cent (-37.4 kt CO</w:t>
      </w:r>
      <w:r w:rsidRPr="009E06AA">
        <w:rPr>
          <w:vertAlign w:val="subscript"/>
        </w:rPr>
        <w:t>2</w:t>
      </w:r>
      <w:r w:rsidRPr="009E06AA">
        <w:t xml:space="preserve">-e) in 2021. </w:t>
      </w:r>
    </w:p>
    <w:p w14:paraId="0F0DA9A0" w14:textId="77777777" w:rsidR="007523B8" w:rsidRPr="009E06AA" w:rsidRDefault="007523B8" w:rsidP="00B71C61">
      <w:pPr>
        <w:pStyle w:val="BodyText"/>
        <w:spacing w:before="100" w:after="100"/>
        <w:rPr>
          <w:rFonts w:cs="Calibri"/>
        </w:rPr>
      </w:pPr>
      <w:r w:rsidRPr="009E06AA">
        <w:rPr>
          <w:rFonts w:cs="Calibri"/>
        </w:rPr>
        <w:t>The Panel considered the inclusion of EcoPond for dairy cattle. EcoPond is an effluent treatment system intended to reduce CH</w:t>
      </w:r>
      <w:r w:rsidRPr="009E06AA">
        <w:rPr>
          <w:rFonts w:cs="Calibri"/>
          <w:vertAlign w:val="subscript"/>
        </w:rPr>
        <w:t>4</w:t>
      </w:r>
      <w:r w:rsidRPr="009E06AA">
        <w:rPr>
          <w:rFonts w:cs="Calibri"/>
        </w:rPr>
        <w:t xml:space="preserve"> emissions from dairy effluent ponds. The Panel approved a proposed methodological approach for estimating the effect of the use of EcoPond </w:t>
      </w:r>
      <w:r w:rsidRPr="009E06AA">
        <w:rPr>
          <w:rFonts w:cs="Calibri"/>
          <w:spacing w:val="-2"/>
        </w:rPr>
        <w:t>on emissions in principle based on a report by Clough (2023). However, the Panel recommended</w:t>
      </w:r>
      <w:r w:rsidRPr="009E06AA">
        <w:rPr>
          <w:rFonts w:cs="Calibri"/>
        </w:rPr>
        <w:t xml:space="preserve"> that more data to reflect common New Zealand farm situations are gathered before including EcoPond in the </w:t>
      </w:r>
      <w:r w:rsidRPr="009E06AA">
        <w:t>Agriculture</w:t>
      </w:r>
      <w:r w:rsidRPr="009E06AA">
        <w:rPr>
          <w:rFonts w:cs="Calibri"/>
        </w:rPr>
        <w:t xml:space="preserve"> inventory model, such as an open lagoon trial. As of 2023, the proposed change would have little impact on emissions because the EcoPond technology is not currently being used on a significant number of commercial farms.</w:t>
      </w:r>
    </w:p>
    <w:p w14:paraId="1A310BA3" w14:textId="77777777" w:rsidR="007523B8" w:rsidRPr="009E06AA" w:rsidRDefault="007523B8" w:rsidP="00B71C61">
      <w:pPr>
        <w:pStyle w:val="BodyText"/>
        <w:spacing w:before="100" w:after="100"/>
        <w:rPr>
          <w:rFonts w:cs="Calibri"/>
        </w:rPr>
      </w:pPr>
      <w:r w:rsidRPr="009E06AA">
        <w:rPr>
          <w:rFonts w:cs="Calibri"/>
        </w:rPr>
        <w:t xml:space="preserve">Finally, the Panel also considered </w:t>
      </w:r>
      <w:r w:rsidRPr="009E06AA">
        <w:rPr>
          <w:rFonts w:cs="Arial"/>
        </w:rPr>
        <w:t xml:space="preserve">several improvements to </w:t>
      </w:r>
      <w:r w:rsidRPr="009E06AA">
        <w:t xml:space="preserve">activity data and emission factors used in the calculation of emissions from pigs based on recently completed research (unpublished) </w:t>
      </w:r>
      <w:bookmarkStart w:id="854" w:name="_Hlk155618816"/>
      <w:r w:rsidRPr="009E06AA">
        <w:t>by Ritchie (2022)</w:t>
      </w:r>
      <w:bookmarkEnd w:id="854"/>
      <w:r w:rsidRPr="009E06AA">
        <w:rPr>
          <w:rFonts w:cs="Arial"/>
        </w:rPr>
        <w:t xml:space="preserve">. The Panel </w:t>
      </w:r>
      <w:r w:rsidRPr="009E06AA">
        <w:rPr>
          <w:rFonts w:cs="Calibri"/>
        </w:rPr>
        <w:t xml:space="preserve">noted that the proposals presented would likely represent an </w:t>
      </w:r>
      <w:r w:rsidRPr="009E06AA">
        <w:t>improvement</w:t>
      </w:r>
      <w:r w:rsidRPr="009E06AA">
        <w:rPr>
          <w:rFonts w:cs="Calibri"/>
        </w:rPr>
        <w:t xml:space="preserve"> to the current methodology but recommended additional work to verify the robustness of proposed updated emission factors. </w:t>
      </w:r>
    </w:p>
    <w:p w14:paraId="66981BA4" w14:textId="77777777" w:rsidR="007523B8" w:rsidRPr="009E06AA" w:rsidRDefault="007523B8" w:rsidP="00B71C61">
      <w:pPr>
        <w:pStyle w:val="BodyText"/>
        <w:spacing w:before="100" w:after="100"/>
      </w:pPr>
      <w:r w:rsidRPr="009E06AA">
        <w:t xml:space="preserve">All of the changes made have been backdated to the 1990 baseline. Further details on these changes are outlined in sections 5.2.5 and 5.5.5 (category-specific recalculations), as well as chapter 10 (all recalculations). </w:t>
      </w:r>
    </w:p>
    <w:p w14:paraId="746961F4" w14:textId="77777777" w:rsidR="007523B8" w:rsidRPr="009E06AA" w:rsidRDefault="007523B8" w:rsidP="00B71C61">
      <w:pPr>
        <w:pStyle w:val="BodyText"/>
        <w:spacing w:before="100" w:after="100"/>
      </w:pPr>
      <w:r w:rsidRPr="009E06AA">
        <w:t>The Panel also considered the following items that did not result in recommended changes that impact emissions estimates.</w:t>
      </w:r>
    </w:p>
    <w:p w14:paraId="09DFC5C1" w14:textId="77777777" w:rsidR="007523B8" w:rsidRPr="009E06AA" w:rsidRDefault="007523B8" w:rsidP="001331A9">
      <w:pPr>
        <w:pStyle w:val="Bullet"/>
        <w:spacing w:after="100"/>
      </w:pPr>
      <w:r w:rsidRPr="009E06AA">
        <w:rPr>
          <w:i/>
          <w:iCs/>
        </w:rPr>
        <w:t>Improvements to the conflict of interest process for the Panel</w:t>
      </w:r>
      <w:r w:rsidRPr="009E06AA">
        <w:t>. The Panel recommended an improved process that will be implemented for the upcoming Panel meeting in 2024.</w:t>
      </w:r>
    </w:p>
    <w:p w14:paraId="68B2372E" w14:textId="77777777" w:rsidR="007523B8" w:rsidRPr="009E06AA" w:rsidRDefault="007523B8" w:rsidP="001331A9">
      <w:pPr>
        <w:pStyle w:val="Bullet"/>
        <w:spacing w:after="100"/>
      </w:pPr>
      <w:r w:rsidRPr="009E06AA">
        <w:rPr>
          <w:i/>
          <w:iCs/>
        </w:rPr>
        <w:t>Update on research on emission factors (EF</w:t>
      </w:r>
      <w:r w:rsidRPr="009E06AA">
        <w:rPr>
          <w:i/>
          <w:iCs/>
          <w:vertAlign w:val="subscript"/>
        </w:rPr>
        <w:t>1</w:t>
      </w:r>
      <w:r w:rsidRPr="009E06AA">
        <w:rPr>
          <w:i/>
          <w:iCs/>
        </w:rPr>
        <w:t>) for non-urea fertilisers</w:t>
      </w:r>
      <w:r w:rsidRPr="009E06AA">
        <w:t>. Results from initial unpublished research from Luo et al. (2023) indicate that some EF values could be improved, however, further research that aims to better reflect typical real-world climatic conditions is currently under way that may lead to proposed changes. Additionally, there is work under way to look at the needs and implications of implementing a process-based N</w:t>
      </w:r>
      <w:r w:rsidRPr="009E06AA">
        <w:rPr>
          <w:vertAlign w:val="subscript"/>
        </w:rPr>
        <w:t>2</w:t>
      </w:r>
      <w:r w:rsidRPr="009E06AA">
        <w:t>O emissions model.</w:t>
      </w:r>
    </w:p>
    <w:p w14:paraId="17FBD726" w14:textId="77777777" w:rsidR="007523B8" w:rsidRPr="009E06AA" w:rsidRDefault="007523B8" w:rsidP="001331A9">
      <w:pPr>
        <w:pStyle w:val="BodyText"/>
        <w:spacing w:before="100" w:after="100"/>
      </w:pPr>
      <w:r w:rsidRPr="009E06AA">
        <w:rPr>
          <w:rFonts w:cs="Calibri"/>
        </w:rPr>
        <w:t xml:space="preserve">The briefings, reports, supporting documentation and minutes of the 2023 Panel meeting (as well as Panel meetings </w:t>
      </w:r>
      <w:r w:rsidRPr="009E06AA">
        <w:t>for previous years) are available on the MPI website (</w:t>
      </w:r>
      <w:hyperlink r:id="rId101" w:history="1">
        <w:r w:rsidRPr="009E06AA">
          <w:rPr>
            <w:rStyle w:val="Hyperlink"/>
          </w:rPr>
          <w:t>www.mpi.govt.nz/news-and-resources/statistics-and-forecasting/greenhouse-gas-reporting/agricultural-inventory-advisory-panel</w:t>
        </w:r>
      </w:hyperlink>
      <w:r w:rsidRPr="009E06AA">
        <w:t xml:space="preserve">). </w:t>
      </w:r>
    </w:p>
    <w:p w14:paraId="337994D0" w14:textId="77777777" w:rsidR="007523B8" w:rsidRPr="009E06AA" w:rsidRDefault="007523B8" w:rsidP="007523B8">
      <w:pPr>
        <w:pStyle w:val="Heading4"/>
      </w:pPr>
      <w:r w:rsidRPr="009E06AA">
        <w:t xml:space="preserve">Recalculations approved for the 2024 National Inventory Report submission in the Agriculture sector </w:t>
      </w:r>
    </w:p>
    <w:p w14:paraId="5A4EB864" w14:textId="77777777" w:rsidR="007523B8" w:rsidRPr="009E06AA" w:rsidRDefault="007523B8" w:rsidP="001331A9">
      <w:pPr>
        <w:pStyle w:val="BodyText"/>
        <w:spacing w:before="80" w:after="100"/>
        <w:rPr>
          <w:rFonts w:cs="Calibri"/>
          <w:spacing w:val="-2"/>
        </w:rPr>
      </w:pPr>
      <w:r w:rsidRPr="009E06AA">
        <w:rPr>
          <w:rFonts w:cs="Calibri"/>
          <w:spacing w:val="-2"/>
        </w:rPr>
        <w:t>Following the recommendations from the</w:t>
      </w:r>
      <w:r w:rsidRPr="009E06AA">
        <w:rPr>
          <w:rFonts w:cs="Calibri"/>
        </w:rPr>
        <w:t xml:space="preserve"> </w:t>
      </w:r>
      <w:r w:rsidRPr="009E06AA">
        <w:rPr>
          <w:rFonts w:cs="Calibri"/>
          <w:spacing w:val="-2"/>
        </w:rPr>
        <w:t>Agriculture Inventory Advisory Panel and approval from the Deputy Director-General (Policy and Trade) at MPI and the RGG, New Zealand has implemented all of the recommendations in its 2024</w:t>
      </w:r>
      <w:r w:rsidRPr="009E06AA">
        <w:rPr>
          <w:rFonts w:cs="Calibri"/>
        </w:rPr>
        <w:t xml:space="preserve"> </w:t>
      </w:r>
      <w:r w:rsidRPr="009E06AA">
        <w:rPr>
          <w:rFonts w:cs="Calibri"/>
          <w:spacing w:val="-2"/>
        </w:rPr>
        <w:t>annual inventory submission.</w:t>
      </w:r>
    </w:p>
    <w:p w14:paraId="1904C373" w14:textId="77777777" w:rsidR="007523B8" w:rsidRPr="009E06AA" w:rsidRDefault="007523B8" w:rsidP="007523B8">
      <w:pPr>
        <w:pStyle w:val="BodyText"/>
        <w:spacing w:before="100" w:after="100"/>
      </w:pPr>
      <w:r w:rsidRPr="009E06AA">
        <w:t>The implementation of these improvements has resulted in the estimate of Agriculture sector emissions in 2021 being 4.5 per cent higher in the 2024 submission than they would otherwise be without the changes. See chapter 10, section 10.1.5 for more detail on the implemented improvements for the Agriculture sector.</w:t>
      </w:r>
    </w:p>
    <w:p w14:paraId="66CAD490" w14:textId="77777777" w:rsidR="007523B8" w:rsidRPr="009E06AA" w:rsidRDefault="007523B8" w:rsidP="001331A9">
      <w:pPr>
        <w:pStyle w:val="Heading3"/>
        <w:spacing w:before="320"/>
      </w:pPr>
      <w:bookmarkStart w:id="855" w:name="_Toc32570648"/>
      <w:r w:rsidRPr="009E06AA">
        <w:t xml:space="preserve">5.1.6 </w:t>
      </w:r>
      <w:r w:rsidRPr="009E06AA">
        <w:tab/>
        <w:t>Quality assurance and quality control (QA/QC)</w:t>
      </w:r>
      <w:bookmarkEnd w:id="855"/>
    </w:p>
    <w:p w14:paraId="0E498496" w14:textId="77777777" w:rsidR="007523B8" w:rsidRPr="009E06AA" w:rsidRDefault="007523B8" w:rsidP="001331A9">
      <w:pPr>
        <w:pStyle w:val="BodyText"/>
        <w:spacing w:before="100" w:after="100"/>
      </w:pPr>
      <w:r w:rsidRPr="009E06AA">
        <w:t xml:space="preserve">The team responsible for the Agriculture inventory sector preparation within MPI maintains close contact with the teams responsible for the collation of primary industries (agriculture, horticulture, forestry and fishing) data. These teams liaise with Stats NZ and provide analysis and forecasts of primary industries’ activity and performance. This arrangement ensures that the inventory preparation team has a good understanding of activity data and agricultural performance. </w:t>
      </w:r>
    </w:p>
    <w:p w14:paraId="35703407" w14:textId="77777777" w:rsidR="007523B8" w:rsidRPr="009E06AA" w:rsidRDefault="007523B8" w:rsidP="001331A9">
      <w:pPr>
        <w:pStyle w:val="BodyText"/>
        <w:spacing w:before="100" w:after="100"/>
      </w:pPr>
      <w:r w:rsidRPr="009E06AA">
        <w:t>The connection with Stats NZ ensures that statistical data are aligned with changes in agricultural management practices in the primary industries sector. Capturing this data is required to be able to track changes in emissions as a result of mitigation and shifts in farm management in the Agriculture inventory model.</w:t>
      </w:r>
    </w:p>
    <w:p w14:paraId="2C88B999" w14:textId="77777777" w:rsidR="007523B8" w:rsidRPr="009E06AA" w:rsidRDefault="007523B8" w:rsidP="001331A9">
      <w:pPr>
        <w:pStyle w:val="BodyText"/>
        <w:spacing w:before="100" w:after="100"/>
      </w:pPr>
      <w:r w:rsidRPr="009E06AA">
        <w:t>The team responsible for the Agriculture inventory sector preparation also maintains relationships with industry bodies that provide additional data, such as Beef + Lamb New Zealand Ltd, DairyNZ, LIC, Deer Industry New Zealand, the Poultry Industry Association New Zealand and the Fertiliser Association of New Zealand.</w:t>
      </w:r>
    </w:p>
    <w:p w14:paraId="1445003F" w14:textId="77777777" w:rsidR="007523B8" w:rsidRPr="009E06AA" w:rsidRDefault="007523B8" w:rsidP="001331A9">
      <w:pPr>
        <w:pStyle w:val="BodyText"/>
        <w:spacing w:after="100"/>
      </w:pPr>
      <w:r w:rsidRPr="009E06AA">
        <w:t xml:space="preserve">As part of the quality-control procedures, the Agriculture inventory sector is reviewed by MPI personnel with expertise in climate change policy, international policy, climate change science and livestock farming policy. The review ensures that the Agriculture inventory sector clearly explains the sources of agricultural emissions in New Zealand as well as the trends in emissions from year to year. The results from the Agriculture inventory sector also inform domestic and international climate change policy. </w:t>
      </w:r>
    </w:p>
    <w:p w14:paraId="36272650" w14:textId="77777777" w:rsidR="007523B8" w:rsidRPr="009E06AA" w:rsidRDefault="007523B8" w:rsidP="007523B8">
      <w:pPr>
        <w:pStyle w:val="BodyText"/>
      </w:pPr>
      <w:r w:rsidRPr="009E06AA">
        <w:t xml:space="preserve">MPI’s Agriculture inventory sector experts meet regularly with the team at MfE that is responsible for coordinating the annual national inventory submission. MfE monitors MPI progress in implementing recommendations from previous expert review reports and on meeting timelines during the year. </w:t>
      </w:r>
    </w:p>
    <w:p w14:paraId="16F59219" w14:textId="77777777" w:rsidR="007523B8" w:rsidRPr="009E06AA" w:rsidRDefault="007523B8" w:rsidP="007523B8">
      <w:pPr>
        <w:pStyle w:val="BodyText"/>
      </w:pPr>
      <w:r w:rsidRPr="009E06AA">
        <w:t xml:space="preserve">MPI participates in the annual inventory debrief coordinated by MfE, to ensure the National Inventory Compiler and each sector lead understand what is working well and where improvements could be made. </w:t>
      </w:r>
    </w:p>
    <w:p w14:paraId="65F2840C" w14:textId="77777777" w:rsidR="007523B8" w:rsidRPr="009E06AA" w:rsidRDefault="007523B8" w:rsidP="007523B8">
      <w:pPr>
        <w:pStyle w:val="BodyText"/>
      </w:pPr>
      <w:r w:rsidRPr="009E06AA">
        <w:t>In 2016, an external audit firm (Deloitte), with specialist skills in quality-assurance and quality</w:t>
      </w:r>
      <w:r w:rsidRPr="009E06AA">
        <w:noBreakHyphen/>
        <w:t xml:space="preserve">control management, was engaged to evaluate and improve quality-assurance and quality-control processes for the Agriculture inventory sector. New Zealand has used this feedback to update and improve the quality-assurance and quality-control methodology. </w:t>
      </w:r>
    </w:p>
    <w:p w14:paraId="23C0BEB1" w14:textId="77777777" w:rsidR="007523B8" w:rsidRPr="009E06AA" w:rsidRDefault="007523B8" w:rsidP="007523B8">
      <w:pPr>
        <w:pStyle w:val="BodyText"/>
      </w:pPr>
      <w:r w:rsidRPr="009E06AA">
        <w:t xml:space="preserve">A process of quality-control checks is mandated in the </w:t>
      </w:r>
      <w:r w:rsidRPr="009E06AA">
        <w:rPr>
          <w:i/>
          <w:iCs/>
        </w:rPr>
        <w:t>2006 IPCC Guidelines for National Greenhouse Gas Inventories</w:t>
      </w:r>
      <w:r w:rsidRPr="009E06AA">
        <w:t xml:space="preserve"> (IPCC, 2006) and the internal compilation process is provided in table 5.1.4. </w:t>
      </w:r>
    </w:p>
    <w:p w14:paraId="34604938" w14:textId="77777777" w:rsidR="007523B8" w:rsidRPr="009E06AA" w:rsidRDefault="007523B8" w:rsidP="007523B8">
      <w:pPr>
        <w:pStyle w:val="Table"/>
        <w:rPr>
          <w:rFonts w:cs="Calibri"/>
        </w:rPr>
      </w:pPr>
      <w:bookmarkStart w:id="856" w:name="_Toc32570912"/>
      <w:bookmarkStart w:id="857" w:name="_Toc36224547"/>
      <w:bookmarkStart w:id="858" w:name="_Toc68786433"/>
      <w:bookmarkStart w:id="859" w:name="_Toc95574068"/>
      <w:bookmarkStart w:id="860" w:name="_Toc127458251"/>
      <w:bookmarkStart w:id="861" w:name="_Toc131591347"/>
      <w:bookmarkStart w:id="862" w:name="_Toc160114437"/>
      <w:bookmarkStart w:id="863" w:name="_Toc164153833"/>
      <w:r w:rsidRPr="009E06AA">
        <w:t xml:space="preserve">Table 5.1.4 </w:t>
      </w:r>
      <w:r w:rsidRPr="009E06AA">
        <w:tab/>
        <w:t>Agriculture sectoral approval process for inventory recalculations and improvements</w:t>
      </w:r>
      <w:bookmarkEnd w:id="856"/>
      <w:bookmarkEnd w:id="857"/>
      <w:bookmarkEnd w:id="858"/>
      <w:bookmarkEnd w:id="859"/>
      <w:bookmarkEnd w:id="860"/>
      <w:bookmarkEnd w:id="861"/>
      <w:bookmarkEnd w:id="862"/>
      <w:bookmarkEnd w:id="863"/>
    </w:p>
    <w:tbl>
      <w:tblPr>
        <w:tblW w:w="8505" w:type="dxa"/>
        <w:tblBorders>
          <w:top w:val="single" w:sz="4" w:space="0" w:color="1B556B" w:themeColor="text2"/>
          <w:bottom w:val="single" w:sz="4" w:space="0" w:color="1B556B" w:themeColor="text2"/>
          <w:insideH w:val="single" w:sz="4" w:space="0" w:color="1B556B" w:themeColor="text2"/>
          <w:insideV w:val="single" w:sz="4" w:space="0" w:color="1B556B" w:themeColor="text2"/>
        </w:tblBorders>
        <w:tblLook w:val="04A0" w:firstRow="1" w:lastRow="0" w:firstColumn="1" w:lastColumn="0" w:noHBand="0" w:noVBand="1"/>
      </w:tblPr>
      <w:tblGrid>
        <w:gridCol w:w="1324"/>
        <w:gridCol w:w="7181"/>
      </w:tblGrid>
      <w:tr w:rsidR="007523B8" w:rsidRPr="009E06AA" w14:paraId="12766C1D" w14:textId="77777777" w:rsidTr="00B55F24">
        <w:trPr>
          <w:tblHeader/>
        </w:trPr>
        <w:tc>
          <w:tcPr>
            <w:tcW w:w="1324" w:type="dxa"/>
            <w:shd w:val="clear" w:color="auto" w:fill="1B556B"/>
            <w:vAlign w:val="bottom"/>
          </w:tcPr>
          <w:p w14:paraId="6CE5B6AB" w14:textId="77777777" w:rsidR="007523B8" w:rsidRPr="009E06AA" w:rsidRDefault="007523B8" w:rsidP="00B55F24">
            <w:pPr>
              <w:pStyle w:val="TableTextBold"/>
              <w:keepNext/>
              <w:rPr>
                <w:noProof w:val="0"/>
                <w:color w:val="FFFFFF" w:themeColor="background1"/>
              </w:rPr>
            </w:pPr>
            <w:r w:rsidRPr="009E06AA">
              <w:rPr>
                <w:noProof w:val="0"/>
                <w:color w:val="FFFFFF" w:themeColor="background1"/>
              </w:rPr>
              <w:t>QA/QC area</w:t>
            </w:r>
          </w:p>
        </w:tc>
        <w:tc>
          <w:tcPr>
            <w:tcW w:w="7181" w:type="dxa"/>
            <w:shd w:val="clear" w:color="auto" w:fill="1B556B"/>
            <w:vAlign w:val="bottom"/>
          </w:tcPr>
          <w:p w14:paraId="439DA958" w14:textId="77777777" w:rsidR="007523B8" w:rsidRPr="009E06AA" w:rsidRDefault="007523B8" w:rsidP="00B55F24">
            <w:pPr>
              <w:pStyle w:val="TableTextBold"/>
              <w:keepNext/>
              <w:rPr>
                <w:noProof w:val="0"/>
                <w:color w:val="FFFFFF" w:themeColor="background1"/>
              </w:rPr>
            </w:pPr>
            <w:r w:rsidRPr="009E06AA">
              <w:rPr>
                <w:noProof w:val="0"/>
                <w:color w:val="FFFFFF" w:themeColor="background1"/>
              </w:rPr>
              <w:t>Details of QA/QC procedure</w:t>
            </w:r>
          </w:p>
        </w:tc>
      </w:tr>
      <w:tr w:rsidR="007523B8" w:rsidRPr="009E06AA" w14:paraId="6A0C04E6" w14:textId="77777777" w:rsidTr="00B55F24">
        <w:tc>
          <w:tcPr>
            <w:tcW w:w="1324" w:type="dxa"/>
            <w:shd w:val="clear" w:color="auto" w:fill="auto"/>
          </w:tcPr>
          <w:p w14:paraId="641E5186" w14:textId="77777777" w:rsidR="007523B8" w:rsidRPr="009E06AA" w:rsidRDefault="007523B8" w:rsidP="00B55F24">
            <w:pPr>
              <w:pStyle w:val="TableText"/>
            </w:pPr>
            <w:r w:rsidRPr="009E06AA">
              <w:t xml:space="preserve">Activity data </w:t>
            </w:r>
          </w:p>
        </w:tc>
        <w:tc>
          <w:tcPr>
            <w:tcW w:w="7181" w:type="dxa"/>
            <w:shd w:val="clear" w:color="auto" w:fill="auto"/>
          </w:tcPr>
          <w:p w14:paraId="7A2A7C56" w14:textId="77777777" w:rsidR="007523B8" w:rsidRPr="009E06AA" w:rsidRDefault="007523B8" w:rsidP="005219A0">
            <w:pPr>
              <w:pStyle w:val="TableBullet"/>
              <w:spacing w:after="50"/>
            </w:pPr>
            <w:r w:rsidRPr="009E06AA">
              <w:t xml:space="preserve">Data collection, requests, inputs and checks are recorded in a data check table, which is signed by the individual staff members performing the data input and checks. </w:t>
            </w:r>
          </w:p>
          <w:p w14:paraId="4AF0D658" w14:textId="77777777" w:rsidR="007523B8" w:rsidRPr="009E06AA" w:rsidRDefault="007523B8" w:rsidP="005219A0">
            <w:pPr>
              <w:pStyle w:val="TableBullet"/>
              <w:spacing w:before="0" w:after="50"/>
            </w:pPr>
            <w:r w:rsidRPr="009E06AA">
              <w:t xml:space="preserve">A comprehensive list of all external data to be collected annually from internal and external sources is included as a part of the data check sheet. </w:t>
            </w:r>
          </w:p>
          <w:p w14:paraId="145BC56A" w14:textId="77777777" w:rsidR="007523B8" w:rsidRPr="009E06AA" w:rsidRDefault="007523B8" w:rsidP="005219A0">
            <w:pPr>
              <w:pStyle w:val="TableBullet"/>
              <w:spacing w:before="0" w:after="50"/>
            </w:pPr>
            <w:r w:rsidRPr="009E06AA">
              <w:t xml:space="preserve">New activity data and a sample of historical data are cross checked for accuracy and completeness by someone who did not input that data. </w:t>
            </w:r>
          </w:p>
          <w:p w14:paraId="1FB12603" w14:textId="77777777" w:rsidR="007523B8" w:rsidRPr="009E06AA" w:rsidRDefault="007523B8" w:rsidP="007523B8">
            <w:pPr>
              <w:pStyle w:val="TableBullet"/>
              <w:spacing w:before="0"/>
            </w:pPr>
            <w:r w:rsidRPr="009E06AA">
              <w:t xml:space="preserve">The data check table is included with the managerial sign-off materials before delivery to the Ministry for the Environment (MfE). </w:t>
            </w:r>
          </w:p>
        </w:tc>
      </w:tr>
      <w:tr w:rsidR="007523B8" w:rsidRPr="009E06AA" w14:paraId="28B73BF3" w14:textId="77777777" w:rsidTr="00B55F24">
        <w:tc>
          <w:tcPr>
            <w:tcW w:w="1324" w:type="dxa"/>
            <w:shd w:val="clear" w:color="auto" w:fill="auto"/>
          </w:tcPr>
          <w:p w14:paraId="6A24D427" w14:textId="77777777" w:rsidR="007523B8" w:rsidRPr="009E06AA" w:rsidRDefault="007523B8" w:rsidP="00B55F24">
            <w:pPr>
              <w:pStyle w:val="TableText"/>
              <w:spacing w:before="50" w:after="50"/>
              <w:rPr>
                <w:rFonts w:cs="Calibri"/>
                <w:color w:val="000000"/>
              </w:rPr>
            </w:pPr>
            <w:r w:rsidRPr="009E06AA">
              <w:rPr>
                <w:rFonts w:cs="Calibri"/>
                <w:color w:val="000000"/>
              </w:rPr>
              <w:t xml:space="preserve">Emissions </w:t>
            </w:r>
          </w:p>
        </w:tc>
        <w:tc>
          <w:tcPr>
            <w:tcW w:w="7181" w:type="dxa"/>
            <w:shd w:val="clear" w:color="auto" w:fill="auto"/>
          </w:tcPr>
          <w:p w14:paraId="21EBCBE3" w14:textId="77777777" w:rsidR="007523B8" w:rsidRPr="009E06AA" w:rsidRDefault="007523B8" w:rsidP="005219A0">
            <w:pPr>
              <w:pStyle w:val="TableBullet"/>
              <w:spacing w:after="50"/>
            </w:pPr>
            <w:r w:rsidRPr="009E06AA">
              <w:t xml:space="preserve">Implied emission factors are checked over time (1990 to most recent year) and against previous submissions. Any anomalies are investigated. </w:t>
            </w:r>
          </w:p>
          <w:p w14:paraId="6DF996A2" w14:textId="77777777" w:rsidR="007523B8" w:rsidRPr="009E06AA" w:rsidRDefault="007523B8" w:rsidP="005219A0">
            <w:pPr>
              <w:pStyle w:val="TableBullet"/>
              <w:spacing w:before="0" w:after="50"/>
            </w:pPr>
            <w:r w:rsidRPr="009E06AA">
              <w:t xml:space="preserve">Some key category emissions are compared against Tier 1 default methodologies and against similar parties, particularly Australia. A challenge for New Zealand is the lack of countries with similar agricultural circumstances and management practices. For example, New Zealand’s major livestock types are almost all kept outdoors on pasture in all seasons. </w:t>
            </w:r>
          </w:p>
          <w:p w14:paraId="1B14B685" w14:textId="77777777" w:rsidR="007523B8" w:rsidRPr="009E06AA" w:rsidRDefault="007523B8" w:rsidP="005219A0">
            <w:pPr>
              <w:pStyle w:val="TableBullet"/>
              <w:spacing w:before="0" w:after="50"/>
            </w:pPr>
            <w:r w:rsidRPr="009E06AA">
              <w:t>Total emissions and each row of activity data from the common reporting tables are checked for accuracy against total emissions and activity outputs from the model. Category totals are also checked. Latest data points (2022) as well as 1990 and a random sample of years are checked.</w:t>
            </w:r>
          </w:p>
          <w:p w14:paraId="04AAD4ED" w14:textId="77777777" w:rsidR="007523B8" w:rsidRPr="009E06AA" w:rsidRDefault="007523B8" w:rsidP="007523B8">
            <w:pPr>
              <w:pStyle w:val="TableBullet"/>
              <w:spacing w:before="0"/>
            </w:pPr>
            <w:r w:rsidRPr="009E06AA">
              <w:t xml:space="preserve">An automated tool is run on the common reporting tables that identifies blank inputs, duplicates, changes in data type, implied emission factor time-series consistency, included elsewhere (IE) and not estimated (NE) inputs and instances where a country-specific emission factor is used with a Tier 1 methodology. Each resulting occurrence is investigated to determine if there is an issue or error, and a justification is provided if the result is expected. </w:t>
            </w:r>
          </w:p>
        </w:tc>
      </w:tr>
      <w:tr w:rsidR="007523B8" w:rsidRPr="009E06AA" w14:paraId="0828CE15" w14:textId="77777777" w:rsidTr="00B55F24">
        <w:tc>
          <w:tcPr>
            <w:tcW w:w="1324" w:type="dxa"/>
            <w:shd w:val="clear" w:color="auto" w:fill="auto"/>
          </w:tcPr>
          <w:p w14:paraId="1883A76E" w14:textId="77777777" w:rsidR="007523B8" w:rsidRPr="009E06AA" w:rsidRDefault="007523B8" w:rsidP="00B55F24">
            <w:pPr>
              <w:pStyle w:val="TableText"/>
              <w:keepNext/>
              <w:spacing w:before="50" w:after="50"/>
              <w:rPr>
                <w:rFonts w:cs="Calibri"/>
                <w:color w:val="000000"/>
              </w:rPr>
            </w:pPr>
            <w:r w:rsidRPr="009E06AA">
              <w:rPr>
                <w:rFonts w:cs="Calibri"/>
                <w:color w:val="000000"/>
              </w:rPr>
              <w:t xml:space="preserve">Recalculations </w:t>
            </w:r>
          </w:p>
        </w:tc>
        <w:tc>
          <w:tcPr>
            <w:tcW w:w="7181" w:type="dxa"/>
            <w:shd w:val="clear" w:color="auto" w:fill="auto"/>
          </w:tcPr>
          <w:p w14:paraId="0DBAEBC0" w14:textId="77777777" w:rsidR="007523B8" w:rsidRPr="009E06AA" w:rsidRDefault="007523B8" w:rsidP="005219A0">
            <w:pPr>
              <w:pStyle w:val="TableBullet"/>
              <w:spacing w:after="50"/>
            </w:pPr>
            <w:r w:rsidRPr="009E06AA">
              <w:t xml:space="preserve">Recalculations are agreed with the Ministry for the Environment and the Reporting Governance Group every year before the Agriculture inventory sectoral compilation commences. </w:t>
            </w:r>
          </w:p>
          <w:p w14:paraId="56F2CE7C" w14:textId="77777777" w:rsidR="007523B8" w:rsidRPr="009E06AA" w:rsidRDefault="007523B8" w:rsidP="005219A0">
            <w:pPr>
              <w:pStyle w:val="TableBullet"/>
              <w:spacing w:before="0" w:after="50"/>
            </w:pPr>
            <w:r w:rsidRPr="009E06AA">
              <w:t>Recalculations are compared with previous submissions and, as far as possible, explained and confirmed by the changes in method or activity data.</w:t>
            </w:r>
          </w:p>
          <w:p w14:paraId="3BE84B8E" w14:textId="77777777" w:rsidR="007523B8" w:rsidRPr="009E06AA" w:rsidRDefault="007523B8" w:rsidP="005219A0">
            <w:pPr>
              <w:pStyle w:val="TableBullet"/>
              <w:spacing w:before="0" w:after="50"/>
            </w:pPr>
            <w:r w:rsidRPr="009E06AA">
              <w:t xml:space="preserve">The cumulative effect of any recalculations is investigated (the impact will not always be the sum of the impact of the changes, due to interactions between changes) and the level of interaction between changes is assessed. </w:t>
            </w:r>
          </w:p>
          <w:p w14:paraId="59A75EA0" w14:textId="77777777" w:rsidR="007523B8" w:rsidRPr="009E06AA" w:rsidRDefault="007523B8" w:rsidP="005219A0">
            <w:pPr>
              <w:pStyle w:val="TableBullet"/>
              <w:spacing w:before="0" w:after="50"/>
            </w:pPr>
            <w:r w:rsidRPr="009E06AA">
              <w:t xml:space="preserve">Anomalous results from recalculations are checked and corrected, if necessary. </w:t>
            </w:r>
          </w:p>
          <w:p w14:paraId="04E60A61" w14:textId="77777777" w:rsidR="007523B8" w:rsidRPr="009E06AA" w:rsidRDefault="007523B8" w:rsidP="007523B8">
            <w:pPr>
              <w:pStyle w:val="TableBullet"/>
              <w:spacing w:before="0"/>
            </w:pPr>
            <w:r w:rsidRPr="009E06AA">
              <w:t xml:space="preserve">The Agriculture inventory sector compiler completes recalculation forms, signs the forms and forwards them to the Ministry for the Environment. </w:t>
            </w:r>
          </w:p>
        </w:tc>
      </w:tr>
      <w:tr w:rsidR="007523B8" w:rsidRPr="009E06AA" w14:paraId="01BBD659" w14:textId="77777777" w:rsidTr="00B55F24">
        <w:tc>
          <w:tcPr>
            <w:tcW w:w="1324" w:type="dxa"/>
            <w:shd w:val="clear" w:color="auto" w:fill="auto"/>
          </w:tcPr>
          <w:p w14:paraId="2076C0DD" w14:textId="77777777" w:rsidR="007523B8" w:rsidRPr="009E06AA" w:rsidRDefault="007523B8" w:rsidP="00B55F24">
            <w:pPr>
              <w:pStyle w:val="TableText"/>
              <w:spacing w:before="50" w:after="50"/>
              <w:rPr>
                <w:rFonts w:cs="Calibri"/>
                <w:color w:val="000000"/>
              </w:rPr>
            </w:pPr>
            <w:r w:rsidRPr="009E06AA">
              <w:rPr>
                <w:rFonts w:cs="Calibri"/>
                <w:color w:val="000000"/>
              </w:rPr>
              <w:t xml:space="preserve">Periodic reviews </w:t>
            </w:r>
          </w:p>
        </w:tc>
        <w:tc>
          <w:tcPr>
            <w:tcW w:w="7181" w:type="dxa"/>
            <w:shd w:val="clear" w:color="auto" w:fill="auto"/>
          </w:tcPr>
          <w:p w14:paraId="06D1B1D6" w14:textId="77777777" w:rsidR="007523B8" w:rsidRPr="009E06AA" w:rsidRDefault="007523B8" w:rsidP="00B55F24">
            <w:pPr>
              <w:pStyle w:val="TableBullet"/>
            </w:pPr>
            <w:r w:rsidRPr="009E06AA">
              <w:t>Periodic reviews are completed on different aspects of the Agriculture inventory sector. Examples of these reviews are below.</w:t>
            </w:r>
          </w:p>
          <w:p w14:paraId="35A00029" w14:textId="77777777" w:rsidR="007523B8" w:rsidRPr="009E06AA" w:rsidRDefault="007523B8" w:rsidP="007523B8">
            <w:pPr>
              <w:pStyle w:val="TableDash"/>
              <w:spacing w:before="0" w:after="60"/>
            </w:pPr>
            <w:r w:rsidRPr="009E06AA">
              <w:t xml:space="preserve">The livestock population models and productivity parameters have been reviewed (e.g., Thomson et al., 2010). These reviews have also been used to update and improve the Tier 2 model. </w:t>
            </w:r>
          </w:p>
          <w:p w14:paraId="5632FF2F" w14:textId="77777777" w:rsidR="007523B8" w:rsidRPr="009E06AA" w:rsidRDefault="007523B8" w:rsidP="007523B8">
            <w:pPr>
              <w:pStyle w:val="TableDash"/>
              <w:spacing w:before="0" w:after="60"/>
            </w:pPr>
            <w:r w:rsidRPr="009E06AA">
              <w:t xml:space="preserve">During the 2012 submission, new crops were included in the National Inventory Report and a new complex methodology was implemented. For the 2013 submission, Plant and Food Research, a Crown research institute that has expertise in this area, was hired to review the workbooks, check the formulae, and model parameters. </w:t>
            </w:r>
          </w:p>
          <w:p w14:paraId="7D748330" w14:textId="77777777" w:rsidR="007523B8" w:rsidRPr="009E06AA" w:rsidRDefault="007523B8" w:rsidP="007523B8">
            <w:pPr>
              <w:pStyle w:val="TableDash"/>
              <w:spacing w:before="0" w:after="60"/>
            </w:pPr>
            <w:r w:rsidRPr="009E06AA">
              <w:t xml:space="preserve">During the 2015 submission, a mutual bilateral greenhouse gas inventory review was held between Australia and New Zealand, which included the Agriculture sector (Australian Government, 2014). </w:t>
            </w:r>
          </w:p>
          <w:p w14:paraId="79D9D5D3" w14:textId="77777777" w:rsidR="007523B8" w:rsidRPr="009E06AA" w:rsidRDefault="007523B8" w:rsidP="00AB798D">
            <w:pPr>
              <w:pStyle w:val="TableDash"/>
              <w:spacing w:before="60" w:after="60"/>
            </w:pPr>
            <w:r w:rsidRPr="009E06AA">
              <w:t xml:space="preserve">In 2018, the population models in the Agriculture inventory model were reviewed. Small errors in the implementation of the population equations in the inventory model were found and corrected for in the 2019 (1990–2017) submission. </w:t>
            </w:r>
          </w:p>
          <w:p w14:paraId="34ECF691" w14:textId="77777777" w:rsidR="007523B8" w:rsidRPr="009E06AA" w:rsidRDefault="007523B8" w:rsidP="007523B8">
            <w:pPr>
              <w:pStyle w:val="TableDash"/>
              <w:spacing w:before="0" w:after="60"/>
            </w:pPr>
            <w:r w:rsidRPr="009E06AA">
              <w:t>From 2022 to 2023, the Agriculture inventory model was migrated from Excel to R. For the 2023 (1990–2021) submission, the R model was run in parallel with the Excel model. During this process, the results between the two models were reviewed in detail. Some differences were identified and resulted in corrections of errors in the workings of the original model. The R model is now the active working model and was used for the 2024 (1990–2022) submission.</w:t>
            </w:r>
          </w:p>
        </w:tc>
      </w:tr>
      <w:tr w:rsidR="007523B8" w:rsidRPr="009E06AA" w14:paraId="406B2C5C" w14:textId="77777777" w:rsidTr="00B55F24">
        <w:tc>
          <w:tcPr>
            <w:tcW w:w="1324" w:type="dxa"/>
            <w:shd w:val="clear" w:color="auto" w:fill="auto"/>
          </w:tcPr>
          <w:p w14:paraId="1E1AB441" w14:textId="77777777" w:rsidR="007523B8" w:rsidRPr="009E06AA" w:rsidRDefault="007523B8" w:rsidP="00B55F24">
            <w:pPr>
              <w:pStyle w:val="TableText"/>
              <w:spacing w:before="50" w:after="50"/>
              <w:rPr>
                <w:rFonts w:cs="Calibri"/>
                <w:color w:val="000000"/>
              </w:rPr>
            </w:pPr>
            <w:r w:rsidRPr="009E06AA">
              <w:rPr>
                <w:rFonts w:cs="Calibri"/>
                <w:color w:val="000000"/>
              </w:rPr>
              <w:t xml:space="preserve">Error checking and reporting </w:t>
            </w:r>
          </w:p>
        </w:tc>
        <w:tc>
          <w:tcPr>
            <w:tcW w:w="7181" w:type="dxa"/>
            <w:shd w:val="clear" w:color="auto" w:fill="auto"/>
          </w:tcPr>
          <w:p w14:paraId="0181E3A2" w14:textId="77777777" w:rsidR="007523B8" w:rsidRPr="009E06AA" w:rsidRDefault="007523B8" w:rsidP="00B55F24">
            <w:pPr>
              <w:pStyle w:val="TableBullet"/>
            </w:pPr>
            <w:r w:rsidRPr="009E06AA">
              <w:t xml:space="preserve">Errors confirmed during the year are recorded, and the National Inventory Compiler is notified. The factors contributing to the error are assessed. </w:t>
            </w:r>
          </w:p>
          <w:p w14:paraId="6F0662F0" w14:textId="77777777" w:rsidR="007523B8" w:rsidRPr="009E06AA" w:rsidRDefault="007523B8" w:rsidP="007523B8">
            <w:pPr>
              <w:pStyle w:val="TableBullet"/>
              <w:spacing w:before="0"/>
            </w:pPr>
            <w:r w:rsidRPr="009E06AA">
              <w:t xml:space="preserve">A checklist of quality-control activities is followed during data collection and entry into the model, data upload to the Greenhouse Gas Inventory Reporting Tool and National Inventory Report chapter preparation. </w:t>
            </w:r>
          </w:p>
          <w:p w14:paraId="630E8E04" w14:textId="77777777" w:rsidR="007523B8" w:rsidRPr="009E06AA" w:rsidRDefault="007523B8" w:rsidP="007523B8">
            <w:pPr>
              <w:pStyle w:val="TableBullet"/>
              <w:spacing w:before="0"/>
            </w:pPr>
            <w:r w:rsidRPr="009E06AA">
              <w:t xml:space="preserve">The Agriculture chapter of the National Inventory Report and the data exported to the Greenhouse Gas Inventory Reporting Tool are signed off by the chapter compiler, people involved in data checking and the responsible manager. </w:t>
            </w:r>
          </w:p>
        </w:tc>
      </w:tr>
      <w:tr w:rsidR="007523B8" w:rsidRPr="009E06AA" w14:paraId="07BD08BB" w14:textId="77777777" w:rsidTr="00B55F24">
        <w:tc>
          <w:tcPr>
            <w:tcW w:w="1324" w:type="dxa"/>
            <w:shd w:val="clear" w:color="auto" w:fill="auto"/>
          </w:tcPr>
          <w:p w14:paraId="6A919764" w14:textId="77777777" w:rsidR="007523B8" w:rsidRPr="009E06AA" w:rsidRDefault="007523B8" w:rsidP="00B55F24">
            <w:pPr>
              <w:pStyle w:val="TableText"/>
              <w:spacing w:before="50" w:after="50"/>
              <w:rPr>
                <w:rFonts w:cs="Calibri"/>
                <w:color w:val="000000"/>
              </w:rPr>
            </w:pPr>
            <w:r w:rsidRPr="009E06AA">
              <w:rPr>
                <w:rFonts w:cs="Calibri"/>
                <w:color w:val="000000"/>
              </w:rPr>
              <w:t xml:space="preserve">Documentation </w:t>
            </w:r>
          </w:p>
        </w:tc>
        <w:tc>
          <w:tcPr>
            <w:tcW w:w="7181" w:type="dxa"/>
            <w:shd w:val="clear" w:color="auto" w:fill="auto"/>
          </w:tcPr>
          <w:p w14:paraId="6E69CC97" w14:textId="77777777" w:rsidR="007523B8" w:rsidRPr="009E06AA" w:rsidRDefault="007523B8" w:rsidP="00B55F24">
            <w:pPr>
              <w:pStyle w:val="TableBullet"/>
            </w:pPr>
            <w:r w:rsidRPr="009E06AA">
              <w:t xml:space="preserve">Internal working instructions are maintained, to allow for staff movements. </w:t>
            </w:r>
          </w:p>
          <w:p w14:paraId="6BDAA0F5" w14:textId="77777777" w:rsidR="007523B8" w:rsidRPr="009E06AA" w:rsidRDefault="007523B8" w:rsidP="007523B8">
            <w:pPr>
              <w:pStyle w:val="TableBullet"/>
              <w:spacing w:before="0"/>
            </w:pPr>
            <w:r w:rsidRPr="009E06AA">
              <w:t xml:space="preserve">Workbooks and calculations are kept on an electronic archiving and management system, enabling wider team access to all workbooks. </w:t>
            </w:r>
          </w:p>
          <w:p w14:paraId="3D5DCA9E" w14:textId="77777777" w:rsidR="007523B8" w:rsidRPr="009E06AA" w:rsidRDefault="007523B8" w:rsidP="007523B8">
            <w:pPr>
              <w:pStyle w:val="TableBullet"/>
              <w:spacing w:before="0"/>
            </w:pPr>
            <w:r w:rsidRPr="009E06AA">
              <w:t>The R model is stored in a git repository, code commits (updates) are accompanied by descriptions of changes, and good comment etiquette is followed, which allows for effective version management, change control and diagnostic testing.</w:t>
            </w:r>
          </w:p>
          <w:p w14:paraId="5232F3BA" w14:textId="77777777" w:rsidR="007523B8" w:rsidRPr="009E06AA" w:rsidRDefault="007523B8" w:rsidP="007523B8">
            <w:pPr>
              <w:pStyle w:val="TableBullet"/>
              <w:spacing w:before="0"/>
            </w:pPr>
            <w:r w:rsidRPr="009E06AA">
              <w:t xml:space="preserve">Hyperlinks between check sheets, sign-off documents and workbooks are used to link relevant files on the document management system. </w:t>
            </w:r>
          </w:p>
        </w:tc>
      </w:tr>
    </w:tbl>
    <w:p w14:paraId="7A049F75" w14:textId="77777777" w:rsidR="007523B8" w:rsidRPr="009E06AA" w:rsidRDefault="007523B8" w:rsidP="007523B8">
      <w:pPr>
        <w:pStyle w:val="Heading3"/>
        <w:spacing w:before="400"/>
      </w:pPr>
      <w:bookmarkStart w:id="864" w:name="_Toc32570649"/>
      <w:r w:rsidRPr="009E06AA">
        <w:t>5.1.7</w:t>
      </w:r>
      <w:r w:rsidRPr="009E06AA">
        <w:tab/>
        <w:t>Planned improvements</w:t>
      </w:r>
      <w:bookmarkEnd w:id="864"/>
      <w:r w:rsidRPr="009E06AA">
        <w:t xml:space="preserve"> and research</w:t>
      </w:r>
    </w:p>
    <w:p w14:paraId="1E664E2E" w14:textId="77777777" w:rsidR="007523B8" w:rsidRPr="009E06AA" w:rsidRDefault="007523B8" w:rsidP="00AB798D">
      <w:pPr>
        <w:pStyle w:val="BodyText"/>
        <w:spacing w:after="100"/>
        <w:rPr>
          <w:rFonts w:cs="Calibri"/>
        </w:rPr>
      </w:pPr>
      <w:r w:rsidRPr="009E06AA">
        <w:rPr>
          <w:rFonts w:cs="Calibri"/>
        </w:rPr>
        <w:t xml:space="preserve">MPI has planned and commissioned several projects aimed at further improving New Zealand’s Agriculture inventory sector. </w:t>
      </w:r>
    </w:p>
    <w:p w14:paraId="55D20C28" w14:textId="77777777" w:rsidR="007523B8" w:rsidRPr="009E06AA" w:rsidRDefault="007523B8" w:rsidP="00AB798D">
      <w:pPr>
        <w:pStyle w:val="BodyText"/>
        <w:spacing w:after="100"/>
        <w:ind w:left="567" w:hanging="567"/>
        <w:rPr>
          <w:rFonts w:cs="Calibri"/>
        </w:rPr>
      </w:pPr>
      <w:r w:rsidRPr="009E06AA">
        <w:rPr>
          <w:rFonts w:cs="Calibri"/>
        </w:rPr>
        <w:t>Short-term studies (around one year) currently under way or recently completed include:</w:t>
      </w:r>
    </w:p>
    <w:p w14:paraId="76294560" w14:textId="77777777" w:rsidR="007523B8" w:rsidRPr="009E06AA" w:rsidRDefault="007523B8" w:rsidP="00AB798D">
      <w:pPr>
        <w:pStyle w:val="Bullet"/>
        <w:spacing w:after="100"/>
      </w:pPr>
      <w:r w:rsidRPr="009E06AA">
        <w:t>developing a gene flow sub-model for sheep, to account for CH</w:t>
      </w:r>
      <w:r w:rsidRPr="009E06AA">
        <w:rPr>
          <w:vertAlign w:val="subscript"/>
        </w:rPr>
        <w:t>4</w:t>
      </w:r>
      <w:r w:rsidRPr="009E06AA">
        <w:t xml:space="preserve"> reductions in the national flock due to the introduction of low-CH</w:t>
      </w:r>
      <w:r w:rsidRPr="009E06AA">
        <w:rPr>
          <w:vertAlign w:val="subscript"/>
        </w:rPr>
        <w:t>4</w:t>
      </w:r>
      <w:r w:rsidRPr="009E06AA">
        <w:t xml:space="preserve"> rams (see section 5.2.6)</w:t>
      </w:r>
    </w:p>
    <w:p w14:paraId="285774D4" w14:textId="77777777" w:rsidR="007523B8" w:rsidRPr="009E06AA" w:rsidRDefault="007523B8" w:rsidP="00AB798D">
      <w:pPr>
        <w:pStyle w:val="Bullet"/>
        <w:spacing w:after="100"/>
      </w:pPr>
      <w:r w:rsidRPr="009E06AA">
        <w:t>developing a national repository of relative genetic merit of New Zealand sheep (see section 5.2.6)</w:t>
      </w:r>
    </w:p>
    <w:p w14:paraId="3E29B3B8" w14:textId="77777777" w:rsidR="007523B8" w:rsidRPr="009E06AA" w:rsidRDefault="007523B8" w:rsidP="00AB798D">
      <w:pPr>
        <w:pStyle w:val="Bullet"/>
        <w:spacing w:after="100"/>
      </w:pPr>
      <w:r w:rsidRPr="009E06AA">
        <w:t>improving emissions estimates from minor animal categories (see section 5.2.6)</w:t>
      </w:r>
    </w:p>
    <w:p w14:paraId="60E0775A" w14:textId="77777777" w:rsidR="007523B8" w:rsidRPr="009E06AA" w:rsidRDefault="007523B8" w:rsidP="00AB798D">
      <w:pPr>
        <w:pStyle w:val="Bullet"/>
        <w:tabs>
          <w:tab w:val="num" w:pos="567"/>
        </w:tabs>
        <w:spacing w:after="100"/>
      </w:pPr>
      <w:r w:rsidRPr="009E06AA">
        <w:t>undertaking a pork industry survey of manure management systems (see section 5.3.6)</w:t>
      </w:r>
    </w:p>
    <w:p w14:paraId="1E4FABE9" w14:textId="77777777" w:rsidR="007523B8" w:rsidRPr="009E06AA" w:rsidRDefault="007523B8" w:rsidP="00AB798D">
      <w:pPr>
        <w:pStyle w:val="Bullet"/>
        <w:tabs>
          <w:tab w:val="num" w:pos="567"/>
        </w:tabs>
        <w:spacing w:after="100"/>
      </w:pPr>
      <w:r w:rsidRPr="009E06AA">
        <w:t>examining inventory methodology for the incorporation of CO</w:t>
      </w:r>
      <w:r w:rsidRPr="009E06AA">
        <w:rPr>
          <w:vertAlign w:val="subscript"/>
        </w:rPr>
        <w:t>2</w:t>
      </w:r>
      <w:r w:rsidRPr="009E06AA">
        <w:t xml:space="preserve"> absorption through enhanced rock weathering (see section 5.5.6)</w:t>
      </w:r>
    </w:p>
    <w:p w14:paraId="7182D8EA" w14:textId="77777777" w:rsidR="007523B8" w:rsidRPr="009E06AA" w:rsidRDefault="007523B8" w:rsidP="00AB798D">
      <w:pPr>
        <w:pStyle w:val="Bullet"/>
        <w:tabs>
          <w:tab w:val="num" w:pos="567"/>
        </w:tabs>
        <w:spacing w:after="100"/>
      </w:pPr>
      <w:r w:rsidRPr="009E06AA">
        <w:t>reviewing N</w:t>
      </w:r>
      <w:r w:rsidRPr="009E06AA">
        <w:rPr>
          <w:vertAlign w:val="subscript"/>
        </w:rPr>
        <w:t>2</w:t>
      </w:r>
      <w:r w:rsidRPr="009E06AA">
        <w:t>O emissions from non-manure components of organic fertilisers (see section 5.5.6)</w:t>
      </w:r>
    </w:p>
    <w:p w14:paraId="43C88FF4" w14:textId="77777777" w:rsidR="007523B8" w:rsidRPr="009E06AA" w:rsidRDefault="007523B8" w:rsidP="00AB798D">
      <w:pPr>
        <w:pStyle w:val="Bullet"/>
        <w:tabs>
          <w:tab w:val="num" w:pos="567"/>
        </w:tabs>
        <w:spacing w:after="100"/>
      </w:pPr>
      <w:r w:rsidRPr="009E06AA">
        <w:t>undertaking measurements of N</w:t>
      </w:r>
      <w:r w:rsidRPr="009E06AA">
        <w:rPr>
          <w:vertAlign w:val="subscript"/>
        </w:rPr>
        <w:t>2</w:t>
      </w:r>
      <w:r w:rsidRPr="009E06AA">
        <w:t>O emissions from nitrogen fertilisers (see section 5.5.6)</w:t>
      </w:r>
    </w:p>
    <w:p w14:paraId="004762BB" w14:textId="77777777" w:rsidR="007523B8" w:rsidRPr="009E06AA" w:rsidRDefault="007523B8" w:rsidP="007523B8">
      <w:pPr>
        <w:pStyle w:val="Bullet"/>
        <w:tabs>
          <w:tab w:val="num" w:pos="567"/>
        </w:tabs>
        <w:spacing w:after="100"/>
      </w:pPr>
      <w:r w:rsidRPr="009E06AA">
        <w:t>improving accounting for emissions attributed to venison and velvet from deer (below).</w:t>
      </w:r>
    </w:p>
    <w:p w14:paraId="4DA3404D" w14:textId="77777777" w:rsidR="007523B8" w:rsidRPr="009E06AA" w:rsidRDefault="007523B8" w:rsidP="00AB798D">
      <w:pPr>
        <w:pStyle w:val="BodyText"/>
        <w:keepNext/>
        <w:spacing w:after="100"/>
        <w:rPr>
          <w:rFonts w:cs="Calibri"/>
        </w:rPr>
      </w:pPr>
      <w:r w:rsidRPr="009E06AA">
        <w:rPr>
          <w:rFonts w:cs="Calibri"/>
        </w:rPr>
        <w:t>Longer-term studies (more than one year) include:</w:t>
      </w:r>
    </w:p>
    <w:p w14:paraId="0AE6B5CD" w14:textId="77777777" w:rsidR="007523B8" w:rsidRPr="009E06AA" w:rsidRDefault="007523B8" w:rsidP="00AB798D">
      <w:pPr>
        <w:pStyle w:val="Bullet"/>
        <w:numPr>
          <w:ilvl w:val="0"/>
          <w:numId w:val="25"/>
        </w:numPr>
        <w:spacing w:after="100"/>
      </w:pPr>
      <w:r w:rsidRPr="009E06AA">
        <w:t>measuring the CH</w:t>
      </w:r>
      <w:r w:rsidRPr="009E06AA">
        <w:rPr>
          <w:vertAlign w:val="subscript"/>
        </w:rPr>
        <w:t>4</w:t>
      </w:r>
      <w:r w:rsidRPr="009E06AA">
        <w:t xml:space="preserve"> emissions from feed supplemented dairy cows (see section 5.2.6)</w:t>
      </w:r>
    </w:p>
    <w:p w14:paraId="4FD92395" w14:textId="77777777" w:rsidR="007523B8" w:rsidRPr="009E06AA" w:rsidRDefault="007523B8" w:rsidP="00AB798D">
      <w:pPr>
        <w:pStyle w:val="Bullet"/>
        <w:numPr>
          <w:ilvl w:val="0"/>
          <w:numId w:val="25"/>
        </w:numPr>
        <w:spacing w:after="100"/>
      </w:pPr>
      <w:r w:rsidRPr="009E06AA">
        <w:t>undertaking integrative greenhouse gas evaluation of forages (see section 5.2.6)</w:t>
      </w:r>
    </w:p>
    <w:p w14:paraId="5836E81D" w14:textId="77777777" w:rsidR="007523B8" w:rsidRPr="009E06AA" w:rsidRDefault="007523B8" w:rsidP="00AB798D">
      <w:pPr>
        <w:pStyle w:val="Bullet"/>
        <w:numPr>
          <w:ilvl w:val="0"/>
          <w:numId w:val="25"/>
        </w:numPr>
        <w:spacing w:after="100"/>
      </w:pPr>
      <w:r w:rsidRPr="009E06AA">
        <w:t>improving information on feeding practices in dairy farming systems (see section 5.2.6)</w:t>
      </w:r>
    </w:p>
    <w:p w14:paraId="4D738A55" w14:textId="77777777" w:rsidR="007523B8" w:rsidRPr="009E06AA" w:rsidRDefault="007523B8" w:rsidP="007523B8">
      <w:pPr>
        <w:pStyle w:val="Bullet"/>
        <w:numPr>
          <w:ilvl w:val="0"/>
          <w:numId w:val="25"/>
        </w:numPr>
      </w:pPr>
      <w:r w:rsidRPr="009E06AA">
        <w:t xml:space="preserve">updating data on the use of different manure and effluent management systems in </w:t>
      </w:r>
      <w:r w:rsidRPr="009E06AA" w:rsidDel="00937384">
        <w:t>New</w:t>
      </w:r>
      <w:r w:rsidRPr="009E06AA">
        <w:t> Zealand dairy farms (see section 5.3.6)</w:t>
      </w:r>
    </w:p>
    <w:p w14:paraId="648ECB00" w14:textId="77777777" w:rsidR="007523B8" w:rsidRPr="009E06AA" w:rsidRDefault="007523B8" w:rsidP="007523B8">
      <w:pPr>
        <w:pStyle w:val="Bullet"/>
        <w:numPr>
          <w:ilvl w:val="0"/>
          <w:numId w:val="25"/>
        </w:numPr>
      </w:pPr>
      <w:r w:rsidRPr="009E06AA">
        <w:t xml:space="preserve">improving organic soils activity data and providing for the implementation of the IPCC 2013 Wetland Supplement (IPCC, 2014) (see section 5.5.6) </w:t>
      </w:r>
    </w:p>
    <w:p w14:paraId="550E9CF6" w14:textId="77777777" w:rsidR="007523B8" w:rsidRPr="009E06AA" w:rsidRDefault="007523B8" w:rsidP="007523B8">
      <w:pPr>
        <w:pStyle w:val="Bullet"/>
        <w:numPr>
          <w:ilvl w:val="0"/>
          <w:numId w:val="25"/>
        </w:numPr>
      </w:pPr>
      <w:r w:rsidRPr="009E06AA">
        <w:t>increasing measurements of N</w:t>
      </w:r>
      <w:r w:rsidRPr="009E06AA">
        <w:rPr>
          <w:vertAlign w:val="subscript"/>
        </w:rPr>
        <w:t>2</w:t>
      </w:r>
      <w:r w:rsidRPr="009E06AA">
        <w:t>O in spring and summer to develop N</w:t>
      </w:r>
      <w:r w:rsidRPr="009E06AA">
        <w:rPr>
          <w:vertAlign w:val="subscript"/>
        </w:rPr>
        <w:t>2</w:t>
      </w:r>
      <w:r w:rsidRPr="009E06AA">
        <w:t>O emission factors for dung and urine (EF</w:t>
      </w:r>
      <w:r w:rsidRPr="009E06AA">
        <w:rPr>
          <w:vertAlign w:val="subscript"/>
        </w:rPr>
        <w:t>3</w:t>
      </w:r>
      <w:r w:rsidRPr="009E06AA">
        <w:t>), which vary by season (see section 5.5.6)</w:t>
      </w:r>
    </w:p>
    <w:p w14:paraId="2CA85AAA" w14:textId="77777777" w:rsidR="007523B8" w:rsidRPr="009E06AA" w:rsidRDefault="007523B8" w:rsidP="007523B8">
      <w:pPr>
        <w:pStyle w:val="Bullet"/>
        <w:numPr>
          <w:ilvl w:val="0"/>
          <w:numId w:val="25"/>
        </w:numPr>
      </w:pPr>
      <w:r w:rsidRPr="009E06AA">
        <w:t>modelling pasture quality data using hyperspectral imaging (below)</w:t>
      </w:r>
    </w:p>
    <w:p w14:paraId="51AB08AB" w14:textId="77777777" w:rsidR="007523B8" w:rsidRPr="009E06AA" w:rsidRDefault="007523B8" w:rsidP="007523B8">
      <w:pPr>
        <w:pStyle w:val="Bullet"/>
        <w:numPr>
          <w:ilvl w:val="0"/>
          <w:numId w:val="25"/>
        </w:numPr>
      </w:pPr>
      <w:r w:rsidRPr="009E06AA">
        <w:t>developing a database of greenhouse gas activity data for whenua Māori (below)</w:t>
      </w:r>
    </w:p>
    <w:p w14:paraId="29786AF4" w14:textId="77777777" w:rsidR="007523B8" w:rsidRPr="009E06AA" w:rsidRDefault="007523B8" w:rsidP="007523B8">
      <w:pPr>
        <w:pStyle w:val="Bullet"/>
        <w:numPr>
          <w:ilvl w:val="0"/>
          <w:numId w:val="25"/>
        </w:numPr>
      </w:pPr>
      <w:r w:rsidRPr="009E06AA">
        <w:t>top-down measuring and modelling of CH</w:t>
      </w:r>
      <w:r w:rsidRPr="009E06AA">
        <w:rPr>
          <w:vertAlign w:val="subscript"/>
        </w:rPr>
        <w:t>4</w:t>
      </w:r>
      <w:r w:rsidRPr="009E06AA">
        <w:t xml:space="preserve"> emissions as a verification tool (below)</w:t>
      </w:r>
    </w:p>
    <w:p w14:paraId="0BABDC86" w14:textId="77777777" w:rsidR="007523B8" w:rsidRPr="009E06AA" w:rsidRDefault="007523B8" w:rsidP="007523B8">
      <w:pPr>
        <w:pStyle w:val="Bullet"/>
        <w:numPr>
          <w:ilvl w:val="0"/>
          <w:numId w:val="25"/>
        </w:numPr>
      </w:pPr>
      <w:r w:rsidRPr="009E06AA">
        <w:t>modelling body weight change in growing heifers and dairy cows due to seasonality or disease (below)</w:t>
      </w:r>
    </w:p>
    <w:p w14:paraId="5B37B7E7" w14:textId="77777777" w:rsidR="007523B8" w:rsidRPr="009E06AA" w:rsidRDefault="007523B8" w:rsidP="007523B8">
      <w:pPr>
        <w:pStyle w:val="Bullet"/>
        <w:numPr>
          <w:ilvl w:val="0"/>
          <w:numId w:val="25"/>
        </w:numPr>
      </w:pPr>
      <w:r w:rsidRPr="009E06AA">
        <w:t>improving liveweight estimates for dairy cattle across their lifespans, from birth to first calving, within lactation, and across lactations (below)</w:t>
      </w:r>
    </w:p>
    <w:p w14:paraId="0396EDBE" w14:textId="77777777" w:rsidR="007523B8" w:rsidRPr="009E06AA" w:rsidRDefault="007523B8" w:rsidP="007523B8">
      <w:pPr>
        <w:pStyle w:val="Bullet"/>
        <w:numPr>
          <w:ilvl w:val="0"/>
          <w:numId w:val="25"/>
        </w:numPr>
      </w:pPr>
      <w:r w:rsidRPr="009E06AA">
        <w:t>developing a process-based N</w:t>
      </w:r>
      <w:r w:rsidRPr="009E06AA">
        <w:rPr>
          <w:vertAlign w:val="subscript"/>
        </w:rPr>
        <w:t>2</w:t>
      </w:r>
      <w:r w:rsidRPr="009E06AA">
        <w:t>O emissions model (see section 5.5.6)</w:t>
      </w:r>
    </w:p>
    <w:p w14:paraId="502B36D0" w14:textId="77777777" w:rsidR="007523B8" w:rsidRPr="009E06AA" w:rsidRDefault="007523B8" w:rsidP="007523B8">
      <w:pPr>
        <w:pStyle w:val="Bullet"/>
        <w:numPr>
          <w:ilvl w:val="0"/>
          <w:numId w:val="25"/>
        </w:numPr>
      </w:pPr>
      <w:r w:rsidRPr="009E06AA">
        <w:t>quantifying greenhouse gas emissions in cropland, and grassland biomass carbon stock dynamics (below)</w:t>
      </w:r>
    </w:p>
    <w:p w14:paraId="24E2AA86" w14:textId="77777777" w:rsidR="007523B8" w:rsidRPr="009E06AA" w:rsidRDefault="007523B8" w:rsidP="007523B8">
      <w:pPr>
        <w:pStyle w:val="Bullet"/>
        <w:numPr>
          <w:ilvl w:val="0"/>
          <w:numId w:val="25"/>
        </w:numPr>
      </w:pPr>
      <w:r w:rsidRPr="009E06AA">
        <w:t xml:space="preserve">continuing work to improve activity data, including through the annual collection of agricultural data by Stats NZ. </w:t>
      </w:r>
    </w:p>
    <w:p w14:paraId="26B48BCE" w14:textId="77777777" w:rsidR="007523B8" w:rsidRPr="009E06AA" w:rsidRDefault="007523B8" w:rsidP="007523B8">
      <w:pPr>
        <w:pStyle w:val="BodyText"/>
      </w:pPr>
      <w:r w:rsidRPr="009E06AA">
        <w:t xml:space="preserve">New Zealand also intends to review the recent publication of the </w:t>
      </w:r>
      <w:r w:rsidRPr="009E06AA">
        <w:rPr>
          <w:i/>
          <w:iCs/>
        </w:rPr>
        <w:t>2019 Refinement to the 2006 IPCC Guidelines for National Greenhouse Gas Inventories</w:t>
      </w:r>
      <w:r w:rsidRPr="009E06AA">
        <w:t xml:space="preserve"> (IPCC, 2019) and investigate changes to methodology and emission factors for Agriculture, where appropriate. Meanwhile, any recalculations considered for implementation have included the relevant changes detailed in the 2006 refinement. Ongoing research into organic soils is being conducted, with the aim of enabling the implementation of the IPCC 2013 Wetland Supplement</w:t>
      </w:r>
      <w:r w:rsidRPr="009E06AA">
        <w:rPr>
          <w:i/>
          <w:iCs/>
        </w:rPr>
        <w:t xml:space="preserve"> </w:t>
      </w:r>
      <w:r w:rsidRPr="009E06AA">
        <w:t>(IPCC, 2014).</w:t>
      </w:r>
    </w:p>
    <w:p w14:paraId="77642F5B" w14:textId="77777777" w:rsidR="007523B8" w:rsidRPr="009E06AA" w:rsidRDefault="007523B8" w:rsidP="007523B8">
      <w:pPr>
        <w:pStyle w:val="BodyText"/>
        <w:rPr>
          <w:rFonts w:cs="Calibri"/>
        </w:rPr>
      </w:pPr>
      <w:r w:rsidRPr="009E06AA">
        <w:rPr>
          <w:rFonts w:cs="Calibri"/>
        </w:rPr>
        <w:t>Some of this research and potential improvements cover multiple categories of the Agriculture inventory sector and are described further below. The remaining improvements relate only to a single Agriculture inventory sector category and are discussed in further detail in the relevant planned improvement sections 5.2.6 (</w:t>
      </w:r>
      <w:r w:rsidRPr="009E06AA">
        <w:rPr>
          <w:rFonts w:cs="Calibri"/>
          <w:i/>
          <w:iCs/>
        </w:rPr>
        <w:t xml:space="preserve">Enteric fermentation </w:t>
      </w:r>
      <w:r w:rsidRPr="009E06AA">
        <w:rPr>
          <w:rFonts w:cs="Calibri"/>
        </w:rPr>
        <w:t>(3.A)), 5.3.6 (</w:t>
      </w:r>
      <w:r w:rsidRPr="009E06AA">
        <w:rPr>
          <w:rFonts w:cs="Calibri"/>
          <w:i/>
        </w:rPr>
        <w:t>Manure management</w:t>
      </w:r>
      <w:r w:rsidRPr="009E06AA">
        <w:rPr>
          <w:rFonts w:cs="Calibri"/>
        </w:rPr>
        <w:t xml:space="preserve"> (3.B)) and 5.5.6 (</w:t>
      </w:r>
      <w:r w:rsidRPr="009E06AA">
        <w:rPr>
          <w:rFonts w:cs="Calibri"/>
          <w:i/>
        </w:rPr>
        <w:t>Agricultural soils</w:t>
      </w:r>
      <w:r w:rsidRPr="009E06AA">
        <w:rPr>
          <w:rFonts w:cs="Calibri"/>
        </w:rPr>
        <w:t xml:space="preserve"> (3.D)). </w:t>
      </w:r>
    </w:p>
    <w:p w14:paraId="5979A7E0" w14:textId="77777777" w:rsidR="007523B8" w:rsidRPr="009E06AA" w:rsidRDefault="007523B8" w:rsidP="00BF2A76">
      <w:pPr>
        <w:pStyle w:val="Heading5"/>
      </w:pPr>
      <w:r w:rsidRPr="009E06AA">
        <w:t xml:space="preserve">Modelling pasture quality through hyperspectral imaging </w:t>
      </w:r>
    </w:p>
    <w:p w14:paraId="2B2A12EB" w14:textId="77777777" w:rsidR="007523B8" w:rsidRPr="009E06AA" w:rsidRDefault="007523B8" w:rsidP="007523B8">
      <w:pPr>
        <w:pStyle w:val="BodyText"/>
        <w:spacing w:before="100" w:after="100"/>
        <w:rPr>
          <w:highlight w:val="yellow"/>
        </w:rPr>
      </w:pPr>
      <w:r w:rsidRPr="009E06AA">
        <w:rPr>
          <w:rFonts w:cs="Calibri"/>
        </w:rPr>
        <w:t xml:space="preserve">This project has used airborne hyperspectral images to estimate pasture quality (i.e., </w:t>
      </w:r>
      <w:r w:rsidRPr="009E06AA">
        <w:rPr>
          <w:rFonts w:cs="Calibri"/>
          <w:spacing w:val="-2"/>
        </w:rPr>
        <w:t>metabolisable energy, nitrogen content and digestibility). Physical sampling of sites is expensiv</w:t>
      </w:r>
      <w:r w:rsidRPr="009E06AA">
        <w:rPr>
          <w:rFonts w:cs="Calibri"/>
        </w:rPr>
        <w:t xml:space="preserve">e and time consuming. This limits the amount of comprehensive farm-scale data that are available throughout </w:t>
      </w:r>
      <w:r w:rsidRPr="009E06AA" w:rsidDel="003C1DAD">
        <w:t xml:space="preserve">New </w:t>
      </w:r>
      <w:r w:rsidRPr="009E06AA">
        <w:t>Zealand</w:t>
      </w:r>
      <w:r w:rsidRPr="009E06AA">
        <w:rPr>
          <w:rFonts w:cs="Calibri"/>
        </w:rPr>
        <w:t>. This project has provided a proof-of-concept to illustrate efficacy of mapping farm-scale pasture quality data compared with traditional methods.</w:t>
      </w:r>
    </w:p>
    <w:p w14:paraId="08249359" w14:textId="77777777" w:rsidR="007523B8" w:rsidRPr="009E06AA" w:rsidRDefault="007523B8" w:rsidP="00BF2A76">
      <w:pPr>
        <w:pStyle w:val="Heading5"/>
      </w:pPr>
      <w:r w:rsidRPr="009E06AA">
        <w:t>Splitting emissions between venison and velvet in the deer industry</w:t>
      </w:r>
    </w:p>
    <w:p w14:paraId="7E3565DD" w14:textId="77777777" w:rsidR="007523B8" w:rsidRPr="009E06AA" w:rsidRDefault="007523B8" w:rsidP="007523B8">
      <w:pPr>
        <w:pStyle w:val="BodyText"/>
        <w:spacing w:before="100" w:after="100"/>
      </w:pPr>
      <w:r w:rsidRPr="009E06AA">
        <w:rPr>
          <w:rFonts w:cs="Calibri"/>
        </w:rPr>
        <w:t>Current</w:t>
      </w:r>
      <w:r w:rsidRPr="009E06AA">
        <w:t xml:space="preserve"> deer industry emissions intensity values attribute all greenhouse gas emissions to venison production. Population statistics suggest that between 25 per cent and 35 per cent of the current deer population now directly supports velvet production. This project is conducting a population-based study, including reassessment of liveweight of various stock classes, and developing a methodology to allocate deer industry emissions to the production of velvet and venison. The project</w:t>
      </w:r>
      <w:r w:rsidRPr="009E06AA" w:rsidDel="00397FE6">
        <w:t xml:space="preserve"> </w:t>
      </w:r>
      <w:r w:rsidRPr="009E06AA">
        <w:t xml:space="preserve">is also reviewing population and productivity assumptions used in the model and is evaluating these against industry data. </w:t>
      </w:r>
    </w:p>
    <w:p w14:paraId="6191D9C0" w14:textId="77777777" w:rsidR="007523B8" w:rsidRPr="009E06AA" w:rsidRDefault="007523B8" w:rsidP="00BF2A76">
      <w:pPr>
        <w:pStyle w:val="Heading5"/>
      </w:pPr>
      <w:r w:rsidRPr="009E06AA">
        <w:t>Greenhouse gas activity data for whenua Māori</w:t>
      </w:r>
    </w:p>
    <w:p w14:paraId="335B8E5E" w14:textId="77777777" w:rsidR="007523B8" w:rsidRPr="009E06AA" w:rsidRDefault="007523B8" w:rsidP="007523B8">
      <w:pPr>
        <w:pStyle w:val="BodyText"/>
        <w:spacing w:before="100" w:after="100"/>
        <w:rPr>
          <w:rFonts w:cs="Calibri"/>
        </w:rPr>
      </w:pPr>
      <w:r w:rsidRPr="009E06AA">
        <w:rPr>
          <w:rFonts w:cs="Calibri"/>
        </w:rPr>
        <w:t>This project will work to develop a database of activity and emission data</w:t>
      </w:r>
      <w:r w:rsidRPr="009E06AA">
        <w:t xml:space="preserve"> for </w:t>
      </w:r>
      <w:r w:rsidRPr="009E06AA">
        <w:rPr>
          <w:rFonts w:cs="Calibri"/>
        </w:rPr>
        <w:t>whenua Māori (Māori land). Māori have significant</w:t>
      </w:r>
      <w:r w:rsidRPr="009E06AA">
        <w:t xml:space="preserve"> agricultural </w:t>
      </w:r>
      <w:r w:rsidRPr="009E06AA">
        <w:rPr>
          <w:rFonts w:cs="Calibri"/>
        </w:rPr>
        <w:t xml:space="preserve">interests across </w:t>
      </w:r>
      <w:r w:rsidRPr="009E06AA" w:rsidDel="00637664">
        <w:t xml:space="preserve">New </w:t>
      </w:r>
      <w:r w:rsidRPr="009E06AA">
        <w:t>Zealand</w:t>
      </w:r>
      <w:r w:rsidRPr="009E06AA">
        <w:rPr>
          <w:rFonts w:cs="Calibri"/>
        </w:rPr>
        <w:t xml:space="preserve"> and current calculations of emissions are applied across the country, irrespective of land ownership and management differences. This will allow </w:t>
      </w:r>
      <w:r w:rsidRPr="009E06AA" w:rsidDel="006553B8">
        <w:t xml:space="preserve">New </w:t>
      </w:r>
      <w:r w:rsidRPr="009E06AA">
        <w:t>Zealand</w:t>
      </w:r>
      <w:r w:rsidRPr="009E06AA">
        <w:rPr>
          <w:rFonts w:cs="Calibri"/>
        </w:rPr>
        <w:t xml:space="preserve"> to account for agricultural greenhouse gas emissions more accurately at a national level, while also helping to understand the implications of domestic policies on Māori landowners. </w:t>
      </w:r>
    </w:p>
    <w:p w14:paraId="5A716A0A" w14:textId="77777777" w:rsidR="007523B8" w:rsidRPr="009E06AA" w:rsidRDefault="007523B8" w:rsidP="00534BBC">
      <w:pPr>
        <w:pStyle w:val="Heading5"/>
        <w:spacing w:before="200"/>
      </w:pPr>
      <w:r w:rsidRPr="009E06AA">
        <w:t>Top-down measuring and modelling of methane emissions as a verification tool</w:t>
      </w:r>
    </w:p>
    <w:p w14:paraId="4BFDDCD2" w14:textId="77777777" w:rsidR="007523B8" w:rsidRPr="009E06AA" w:rsidRDefault="007523B8" w:rsidP="007523B8">
      <w:pPr>
        <w:pStyle w:val="BodyText"/>
        <w:spacing w:before="100" w:after="100"/>
        <w:rPr>
          <w:rFonts w:cs="Calibri"/>
        </w:rPr>
      </w:pPr>
      <w:r w:rsidRPr="009E06AA">
        <w:rPr>
          <w:rFonts w:cs="Calibri"/>
        </w:rPr>
        <w:t>Accurate and regular reporting of CH</w:t>
      </w:r>
      <w:r w:rsidRPr="009E06AA">
        <w:rPr>
          <w:rFonts w:cs="Calibri"/>
          <w:vertAlign w:val="subscript"/>
        </w:rPr>
        <w:t>4</w:t>
      </w:r>
      <w:r w:rsidRPr="009E06AA">
        <w:rPr>
          <w:rFonts w:cs="Calibri"/>
        </w:rPr>
        <w:t xml:space="preserve"> is vital to </w:t>
      </w:r>
      <w:r w:rsidRPr="009E06AA">
        <w:t>New Zealand’s</w:t>
      </w:r>
      <w:r w:rsidRPr="009E06AA">
        <w:rPr>
          <w:rFonts w:cs="Calibri"/>
        </w:rPr>
        <w:t xml:space="preserve"> efforts to monitor and reduce anthropogenic greenhouse gas emissions. This research aims to provide regular reporting of regional CH</w:t>
      </w:r>
      <w:r w:rsidRPr="009E06AA">
        <w:rPr>
          <w:rFonts w:cs="Calibri"/>
          <w:vertAlign w:val="subscript"/>
        </w:rPr>
        <w:t xml:space="preserve">4 </w:t>
      </w:r>
      <w:r w:rsidRPr="009E06AA">
        <w:rPr>
          <w:rFonts w:cs="Calibri"/>
        </w:rPr>
        <w:t xml:space="preserve">emissions using both ground-based observations and observations from satellites. This will be valuable as a verification tool for the current bottom-up methodology, while also </w:t>
      </w:r>
      <w:r w:rsidRPr="009E06AA">
        <w:rPr>
          <w:rFonts w:cs="Calibri"/>
          <w:spacing w:val="-2"/>
        </w:rPr>
        <w:t>providing a more up-to-date reporting mechanism that could be provided to other stakeholders</w:t>
      </w:r>
      <w:r w:rsidRPr="009E06AA">
        <w:rPr>
          <w:rFonts w:cs="Calibri"/>
        </w:rPr>
        <w:t xml:space="preserve"> across </w:t>
      </w:r>
      <w:r w:rsidRPr="009E06AA" w:rsidDel="009E6A14">
        <w:t xml:space="preserve">New </w:t>
      </w:r>
      <w:r w:rsidRPr="009E06AA">
        <w:t>Zealand</w:t>
      </w:r>
      <w:r w:rsidRPr="009E06AA">
        <w:rPr>
          <w:rFonts w:cs="Calibri"/>
        </w:rPr>
        <w:t>.</w:t>
      </w:r>
    </w:p>
    <w:p w14:paraId="650D404D" w14:textId="77777777" w:rsidR="007523B8" w:rsidRPr="009E06AA" w:rsidRDefault="007523B8" w:rsidP="00534BBC">
      <w:pPr>
        <w:pStyle w:val="Heading5"/>
        <w:spacing w:before="200"/>
      </w:pPr>
      <w:r w:rsidRPr="009E06AA">
        <w:t>Modelling body weight change in growing heifers and dairy cows</w:t>
      </w:r>
    </w:p>
    <w:p w14:paraId="4868A5E9" w14:textId="77777777" w:rsidR="007523B8" w:rsidRPr="009E06AA" w:rsidRDefault="007523B8" w:rsidP="007523B8">
      <w:pPr>
        <w:pStyle w:val="BodyText"/>
        <w:spacing w:before="100" w:after="100"/>
      </w:pPr>
      <w:r w:rsidRPr="009E06AA">
        <w:t>Currently, the Greenhouse Gas Inventory has relatively simple assumptions about dairy cattle liveweight and liveweight change. With additional data and modelling, these estimates can be made more accurate, accounting for key genetic and environmental factors, and time of year. The primary objective of this project is to improve liveweight estimates for dairy cattle, from birth to first calving, within lactation and across lactations. This work will allow for regional and genetic (breed, genetic potential) differences and will consider differences in environment and management, such as feeding level, which correlate with farm systems. The long history of data in the Dairy Industry Good Animal Database should allow robust estimates from 1990 to the present with appropriate documentation to allow for transparency and consistency for updating future inventory years.</w:t>
      </w:r>
    </w:p>
    <w:p w14:paraId="71B1B09C" w14:textId="77777777" w:rsidR="007523B8" w:rsidRPr="009E06AA" w:rsidRDefault="007523B8" w:rsidP="00534BBC">
      <w:pPr>
        <w:pStyle w:val="Heading5"/>
        <w:spacing w:before="200"/>
      </w:pPr>
      <w:r w:rsidRPr="009E06AA">
        <w:t>Improving liveweight estimates for dairy cattle across their lifespans</w:t>
      </w:r>
    </w:p>
    <w:p w14:paraId="48D15020" w14:textId="77777777" w:rsidR="007523B8" w:rsidRPr="009E06AA" w:rsidRDefault="007523B8" w:rsidP="00534BBC">
      <w:pPr>
        <w:pStyle w:val="BodyText"/>
        <w:spacing w:before="100" w:after="100"/>
      </w:pPr>
      <w:r w:rsidRPr="009E06AA">
        <w:t>The current New Zealand inventory model assumes that dairy heifers grow linearly</w:t>
      </w:r>
      <w:r w:rsidRPr="009E06AA" w:rsidDel="00E36527">
        <w:t xml:space="preserve"> </w:t>
      </w:r>
      <w:r w:rsidRPr="009E06AA">
        <w:t xml:space="preserve">and dairy cows have a constant weight throughout the year. However, growing and lactating cattle have a non-linear growth curve affected by life stage, season and health of animals. This project aims to determine typical body weight change patterns for growing heifers and dairy cows. The project will also investigate liveweight change for cattle during a disease event and determine their impact on predicted greenhouse gas emissions. </w:t>
      </w:r>
    </w:p>
    <w:p w14:paraId="20FBB46B" w14:textId="77777777" w:rsidR="007523B8" w:rsidRPr="009E06AA" w:rsidRDefault="007523B8" w:rsidP="00534BBC">
      <w:pPr>
        <w:pStyle w:val="Heading5"/>
        <w:spacing w:before="200"/>
      </w:pPr>
      <w:r w:rsidRPr="009E06AA">
        <w:t>Quantifying greenhouse gas emissions in cropland, and grassland biomass carbon stock dynamics</w:t>
      </w:r>
    </w:p>
    <w:p w14:paraId="734529B6" w14:textId="77777777" w:rsidR="007523B8" w:rsidRPr="009E06AA" w:rsidRDefault="007523B8" w:rsidP="00534BBC">
      <w:pPr>
        <w:pStyle w:val="BodyText"/>
        <w:spacing w:before="100" w:after="100"/>
      </w:pPr>
      <w:r w:rsidRPr="009E06AA">
        <w:t>This work has two contributing projects. The first project will provide a meta-analysis of estimates of the vegetation biomass carbon stocks for grassland types and the impacts of environment and management. This project will use a combination of literature, databases and modelling to better represent the way in which grassland biomass carbon stocks vary in space and time, and respond to management manipulations (e.g., grazing intensity, irrigation and fertiliser). This will allow a more accurate assessment of the impact of land use change within the grassland biome on carbon stocks for the purpose of inventory monitoring.</w:t>
      </w:r>
    </w:p>
    <w:p w14:paraId="3F5E17D7" w14:textId="77777777" w:rsidR="007523B8" w:rsidRPr="009E06AA" w:rsidRDefault="007523B8" w:rsidP="00534BBC">
      <w:pPr>
        <w:pStyle w:val="BodyText"/>
        <w:spacing w:before="100" w:after="100"/>
      </w:pPr>
      <w:r w:rsidRPr="009E06AA">
        <w:t>The second project aims to review estimates of biomass carbon stocks for croplands. Outcomes will include updated methods, revised parameters, and improved data sources and emission factors tailored to estimate emissions from cropland burning and vegetable and arable systems.</w:t>
      </w:r>
    </w:p>
    <w:p w14:paraId="17C55C2A" w14:textId="77777777" w:rsidR="007523B8" w:rsidRPr="009E06AA" w:rsidRDefault="007523B8" w:rsidP="00BF2A76">
      <w:pPr>
        <w:pStyle w:val="Heading5"/>
      </w:pPr>
      <w:r w:rsidRPr="009E06AA">
        <w:t>Completed research and research priorities</w:t>
      </w:r>
    </w:p>
    <w:p w14:paraId="096D6E8F" w14:textId="77777777" w:rsidR="007523B8" w:rsidRPr="009E06AA" w:rsidRDefault="007523B8" w:rsidP="007523B8">
      <w:pPr>
        <w:pStyle w:val="BodyText"/>
        <w:rPr>
          <w:rFonts w:cs="Calibri"/>
        </w:rPr>
      </w:pPr>
      <w:r w:rsidRPr="009E06AA">
        <w:rPr>
          <w:rFonts w:cs="Calibri"/>
        </w:rPr>
        <w:t>Refer to MPI’s website for published reports on completed Agricultural Greenhouse Gas Inventory-related research projects (</w:t>
      </w:r>
      <w:hyperlink r:id="rId102" w:history="1">
        <w:r w:rsidRPr="009E06AA">
          <w:rPr>
            <w:rStyle w:val="Hyperlink"/>
            <w:rFonts w:cs="Calibri"/>
          </w:rPr>
          <w:t>www.mpi.govt.nz/science/open-data-and-forecasting/greenhouse-gas-reporting/agricultural-greenhouse-gas-inventory-reports</w:t>
        </w:r>
      </w:hyperlink>
      <w:r w:rsidRPr="009E06AA">
        <w:rPr>
          <w:rFonts w:cs="Calibri"/>
        </w:rPr>
        <w:t>). On the page for Greenhouse Gas Inventory Research fund (</w:t>
      </w:r>
      <w:hyperlink r:id="rId103" w:history="1">
        <w:r w:rsidRPr="009E06AA">
          <w:rPr>
            <w:rStyle w:val="Hyperlink"/>
            <w:rFonts w:cs="Calibri"/>
          </w:rPr>
          <w:t>www.mpi.govt.nz/funding-rural-support/environment-and-natural-resources/greenhouse-gas-inventory-research-fund</w:t>
        </w:r>
      </w:hyperlink>
      <w:r w:rsidRPr="009E06AA">
        <w:rPr>
          <w:rFonts w:cs="Calibri"/>
        </w:rPr>
        <w:t xml:space="preserve">) there is a document outlining current research priorities for the fund as well as a list of projects approved from the most recent funding round. </w:t>
      </w:r>
    </w:p>
    <w:p w14:paraId="4637195F" w14:textId="77777777" w:rsidR="007523B8" w:rsidRPr="009E06AA" w:rsidRDefault="007523B8" w:rsidP="007523B8">
      <w:pPr>
        <w:pStyle w:val="Heading2"/>
      </w:pPr>
      <w:bookmarkStart w:id="865" w:name="_Toc352504860"/>
      <w:bookmarkStart w:id="866" w:name="_Toc448321523"/>
      <w:bookmarkStart w:id="867" w:name="_Toc481751385"/>
      <w:bookmarkStart w:id="868" w:name="_Toc511116600"/>
      <w:bookmarkStart w:id="869" w:name="_Toc5269362"/>
      <w:bookmarkStart w:id="870" w:name="_Toc32570650"/>
      <w:bookmarkStart w:id="871" w:name="_Toc36224402"/>
      <w:bookmarkStart w:id="872" w:name="_Toc68786322"/>
      <w:bookmarkStart w:id="873" w:name="_Toc131591237"/>
      <w:bookmarkStart w:id="874" w:name="_Toc164154191"/>
      <w:r w:rsidRPr="009E06AA">
        <w:t>5.2</w:t>
      </w:r>
      <w:r w:rsidRPr="009E06AA">
        <w:tab/>
        <w:t>Enteric fermentation (3.A)</w:t>
      </w:r>
      <w:bookmarkEnd w:id="865"/>
      <w:bookmarkEnd w:id="866"/>
      <w:bookmarkEnd w:id="867"/>
      <w:bookmarkEnd w:id="868"/>
      <w:bookmarkEnd w:id="869"/>
      <w:bookmarkEnd w:id="870"/>
      <w:bookmarkEnd w:id="871"/>
      <w:bookmarkEnd w:id="872"/>
      <w:bookmarkEnd w:id="873"/>
      <w:bookmarkEnd w:id="874"/>
    </w:p>
    <w:p w14:paraId="4AD53EE8" w14:textId="77777777" w:rsidR="007523B8" w:rsidRPr="009E06AA" w:rsidRDefault="007523B8" w:rsidP="007523B8">
      <w:pPr>
        <w:pStyle w:val="Heading3"/>
        <w:spacing w:before="240"/>
      </w:pPr>
      <w:bookmarkStart w:id="875" w:name="_Toc139253917"/>
      <w:bookmarkStart w:id="876" w:name="_Toc32570651"/>
      <w:r w:rsidRPr="009E06AA">
        <w:t>5.2.1</w:t>
      </w:r>
      <w:r w:rsidRPr="009E06AA">
        <w:tab/>
      </w:r>
      <w:bookmarkStart w:id="877" w:name="_Hlk154135479"/>
      <w:r w:rsidRPr="009E06AA">
        <w:t>Category description</w:t>
      </w:r>
      <w:bookmarkEnd w:id="875"/>
      <w:bookmarkEnd w:id="876"/>
      <w:bookmarkEnd w:id="877"/>
    </w:p>
    <w:p w14:paraId="71DB2B9C" w14:textId="77777777" w:rsidR="007523B8" w:rsidRPr="009E06AA" w:rsidRDefault="007523B8" w:rsidP="007523B8">
      <w:pPr>
        <w:pStyle w:val="BodyText"/>
      </w:pPr>
      <w:r w:rsidRPr="009E06AA">
        <w:t>Methane is produced predominantly by ruminants as a by-product of enteric fermentation, which is the digestive process that breaks down consumed plant material in the rumen under anaerobic conditions. A portion of the plant material is fermented in the rumen to simple fatty acids, hydrogen, CO</w:t>
      </w:r>
      <w:r w:rsidRPr="009E06AA">
        <w:rPr>
          <w:vertAlign w:val="subscript"/>
        </w:rPr>
        <w:t>2</w:t>
      </w:r>
      <w:r w:rsidRPr="009E06AA">
        <w:t xml:space="preserve"> and CH</w:t>
      </w:r>
      <w:r w:rsidRPr="009E06AA">
        <w:rPr>
          <w:vertAlign w:val="subscript"/>
        </w:rPr>
        <w:t>4</w:t>
      </w:r>
      <w:r w:rsidRPr="009E06AA">
        <w:t>. The gases from this process are released by eructation (burping) and exhalation by the animal. The amount of CH</w:t>
      </w:r>
      <w:r w:rsidRPr="009E06AA">
        <w:rPr>
          <w:vertAlign w:val="subscript"/>
        </w:rPr>
        <w:t>4</w:t>
      </w:r>
      <w:r w:rsidRPr="009E06AA">
        <w:t xml:space="preserve"> released is dependent on the type, quality and quantity of feed consumed, and energy expenditure of the animal. Energy expenditure depends on the type, age, weight, health and production of the animal, as well as whether the animal is pregnant (and the stage of pregnancy).</w:t>
      </w:r>
    </w:p>
    <w:p w14:paraId="0024FE01" w14:textId="77777777" w:rsidR="007523B8" w:rsidRPr="009E06AA" w:rsidRDefault="007523B8" w:rsidP="007523B8">
      <w:pPr>
        <w:pStyle w:val="BodyText"/>
      </w:pPr>
      <w:r w:rsidRPr="009E06AA">
        <w:t xml:space="preserve">Methane emissions from the </w:t>
      </w:r>
      <w:r w:rsidRPr="009E06AA">
        <w:rPr>
          <w:i/>
          <w:iCs/>
        </w:rPr>
        <w:t>Enteric fermentation</w:t>
      </w:r>
      <w:r w:rsidRPr="009E06AA">
        <w:t xml:space="preserve"> category from </w:t>
      </w:r>
      <w:r w:rsidRPr="009E06AA">
        <w:rPr>
          <w:i/>
          <w:iCs/>
        </w:rPr>
        <w:t>Dairy</w:t>
      </w:r>
      <w:r w:rsidRPr="009E06AA">
        <w:rPr>
          <w:i/>
        </w:rPr>
        <w:t xml:space="preserve"> cattle, </w:t>
      </w:r>
      <w:r w:rsidRPr="009E06AA">
        <w:rPr>
          <w:i/>
          <w:iCs/>
        </w:rPr>
        <w:t xml:space="preserve">Non-dairy </w:t>
      </w:r>
      <w:r w:rsidRPr="009E06AA">
        <w:t xml:space="preserve">(beef) </w:t>
      </w:r>
      <w:r w:rsidRPr="009E06AA">
        <w:rPr>
          <w:i/>
        </w:rPr>
        <w:t xml:space="preserve">cattle, </w:t>
      </w:r>
      <w:r w:rsidRPr="009E06AA">
        <w:rPr>
          <w:i/>
          <w:iCs/>
        </w:rPr>
        <w:t>Sheep</w:t>
      </w:r>
      <w:r w:rsidRPr="009E06AA">
        <w:rPr>
          <w:i/>
        </w:rPr>
        <w:t xml:space="preserve"> </w:t>
      </w:r>
      <w:r w:rsidRPr="009E06AA">
        <w:t xml:space="preserve">and </w:t>
      </w:r>
      <w:r w:rsidRPr="009E06AA">
        <w:rPr>
          <w:i/>
          <w:iCs/>
        </w:rPr>
        <w:t>Deer</w:t>
      </w:r>
      <w:r w:rsidRPr="009E06AA">
        <w:t xml:space="preserve"> were identified as among the largest key categories for </w:t>
      </w:r>
      <w:r w:rsidRPr="009E06AA" w:rsidDel="006B7EB7">
        <w:t xml:space="preserve">New </w:t>
      </w:r>
      <w:r w:rsidRPr="009E06AA">
        <w:t xml:space="preserve">Zealand in the 2024 level assessment, and were also assessed as key categories in the trend assessment. The </w:t>
      </w:r>
      <w:r w:rsidRPr="009E06AA">
        <w:rPr>
          <w:i/>
          <w:iCs/>
        </w:rPr>
        <w:t>Enteric fermentation</w:t>
      </w:r>
      <w:r w:rsidRPr="009E06AA">
        <w:t xml:space="preserve"> category from </w:t>
      </w:r>
      <w:r w:rsidRPr="009E06AA">
        <w:rPr>
          <w:i/>
          <w:iCs/>
        </w:rPr>
        <w:t>Goats</w:t>
      </w:r>
      <w:r w:rsidRPr="009E06AA">
        <w:t xml:space="preserve"> was also assessed as an additional key category in the trend assessment. The methodology used by </w:t>
      </w:r>
      <w:r w:rsidRPr="009E06AA" w:rsidDel="00635147">
        <w:t xml:space="preserve">New </w:t>
      </w:r>
      <w:r w:rsidRPr="009E06AA">
        <w:t>Zealand for calculating CH</w:t>
      </w:r>
      <w:r w:rsidRPr="009E06AA">
        <w:rPr>
          <w:vertAlign w:val="subscript"/>
        </w:rPr>
        <w:t>4</w:t>
      </w:r>
      <w:r w:rsidRPr="009E06AA">
        <w:t xml:space="preserve"> emissions from enteric fermentation in domestic livestock is a Tier 2 modelling approach. </w:t>
      </w:r>
    </w:p>
    <w:p w14:paraId="2631296F" w14:textId="77777777" w:rsidR="007523B8" w:rsidRPr="009E06AA" w:rsidRDefault="007523B8" w:rsidP="007523B8">
      <w:pPr>
        <w:pStyle w:val="BodyText"/>
      </w:pPr>
      <w:r w:rsidRPr="009E06AA">
        <w:rPr>
          <w:i/>
          <w:iCs/>
        </w:rPr>
        <w:t>Enteric fermentation</w:t>
      </w:r>
      <w:r w:rsidRPr="009E06AA">
        <w:t xml:space="preserve"> contributed an estimated 32,617.2 kt CO</w:t>
      </w:r>
      <w:r w:rsidRPr="009E06AA">
        <w:rPr>
          <w:vertAlign w:val="subscript"/>
        </w:rPr>
        <w:t>2</w:t>
      </w:r>
      <w:r w:rsidRPr="009E06AA">
        <w:t xml:space="preserve">-e, representing 41.6 per cent of New Zealand’s gross emissions and 78.2 per cent of Agriculture emissions in 2022. The major livestock categories contributing to </w:t>
      </w:r>
      <w:r w:rsidRPr="009E06AA">
        <w:rPr>
          <w:i/>
          <w:iCs/>
        </w:rPr>
        <w:t>Enteric fermentation</w:t>
      </w:r>
      <w:r w:rsidRPr="009E06AA">
        <w:t xml:space="preserve"> are:</w:t>
      </w:r>
    </w:p>
    <w:p w14:paraId="470F3C3A" w14:textId="77777777" w:rsidR="007523B8" w:rsidRPr="009E06AA" w:rsidRDefault="007523B8" w:rsidP="007523B8">
      <w:pPr>
        <w:pStyle w:val="Bullet"/>
        <w:numPr>
          <w:ilvl w:val="0"/>
          <w:numId w:val="25"/>
        </w:numPr>
      </w:pPr>
      <w:r w:rsidRPr="009E06AA">
        <w:rPr>
          <w:i/>
          <w:iCs/>
        </w:rPr>
        <w:t>Dairy cattle</w:t>
      </w:r>
      <w:r w:rsidRPr="009E06AA">
        <w:t xml:space="preserve"> (49.0 per cent of </w:t>
      </w:r>
      <w:r w:rsidRPr="009E06AA">
        <w:rPr>
          <w:i/>
          <w:iCs/>
        </w:rPr>
        <w:t>Enteric fermentation</w:t>
      </w:r>
      <w:r w:rsidRPr="009E06AA">
        <w:t>)</w:t>
      </w:r>
    </w:p>
    <w:p w14:paraId="2E864813" w14:textId="77777777" w:rsidR="007523B8" w:rsidRPr="009E06AA" w:rsidRDefault="007523B8" w:rsidP="007523B8">
      <w:pPr>
        <w:pStyle w:val="Bullet"/>
        <w:numPr>
          <w:ilvl w:val="0"/>
          <w:numId w:val="25"/>
        </w:numPr>
      </w:pPr>
      <w:r w:rsidRPr="009E06AA">
        <w:rPr>
          <w:i/>
          <w:iCs/>
        </w:rPr>
        <w:t>Sheep</w:t>
      </w:r>
      <w:r w:rsidRPr="009E06AA">
        <w:t xml:space="preserve"> (27.2 per cent of </w:t>
      </w:r>
      <w:r w:rsidRPr="009E06AA">
        <w:rPr>
          <w:i/>
          <w:iCs/>
        </w:rPr>
        <w:t>Enteric fermentation</w:t>
      </w:r>
      <w:r w:rsidRPr="009E06AA">
        <w:t>)</w:t>
      </w:r>
    </w:p>
    <w:p w14:paraId="7087D3EC" w14:textId="77777777" w:rsidR="007523B8" w:rsidRPr="009E06AA" w:rsidRDefault="007523B8" w:rsidP="007523B8">
      <w:pPr>
        <w:pStyle w:val="Bullet"/>
        <w:numPr>
          <w:ilvl w:val="0"/>
          <w:numId w:val="25"/>
        </w:numPr>
      </w:pPr>
      <w:r w:rsidRPr="009E06AA">
        <w:rPr>
          <w:i/>
          <w:iCs/>
        </w:rPr>
        <w:t>Non-dairy cattle</w:t>
      </w:r>
      <w:r w:rsidRPr="009E06AA">
        <w:t xml:space="preserve"> (22.1 per cent of </w:t>
      </w:r>
      <w:r w:rsidRPr="009E06AA">
        <w:rPr>
          <w:i/>
          <w:iCs/>
        </w:rPr>
        <w:t>Enteric fermentation</w:t>
      </w:r>
      <w:r w:rsidRPr="009E06AA">
        <w:t>)</w:t>
      </w:r>
    </w:p>
    <w:p w14:paraId="25D9E877" w14:textId="77777777" w:rsidR="007523B8" w:rsidRPr="009E06AA" w:rsidRDefault="007523B8" w:rsidP="007523B8">
      <w:pPr>
        <w:pStyle w:val="Bullet"/>
        <w:numPr>
          <w:ilvl w:val="0"/>
          <w:numId w:val="25"/>
        </w:numPr>
      </w:pPr>
      <w:r w:rsidRPr="009E06AA">
        <w:rPr>
          <w:i/>
          <w:iCs/>
        </w:rPr>
        <w:t>Deer</w:t>
      </w:r>
      <w:r w:rsidRPr="009E06AA">
        <w:t xml:space="preserve"> (1.6 per cent of </w:t>
      </w:r>
      <w:r w:rsidRPr="009E06AA">
        <w:rPr>
          <w:i/>
          <w:iCs/>
        </w:rPr>
        <w:t>Enteric fermentation</w:t>
      </w:r>
      <w:r w:rsidRPr="009E06AA">
        <w:t>).</w:t>
      </w:r>
    </w:p>
    <w:p w14:paraId="33B7EE14" w14:textId="77777777" w:rsidR="007523B8" w:rsidRPr="009E06AA" w:rsidRDefault="007523B8" w:rsidP="00BF2A76">
      <w:pPr>
        <w:pStyle w:val="Heading5"/>
      </w:pPr>
      <w:r w:rsidRPr="009E06AA">
        <w:t>Trends</w:t>
      </w:r>
    </w:p>
    <w:p w14:paraId="32354EBB" w14:textId="77777777" w:rsidR="007523B8" w:rsidRPr="009E06AA" w:rsidRDefault="007523B8" w:rsidP="007523B8">
      <w:pPr>
        <w:pStyle w:val="BodyText"/>
        <w:rPr>
          <w:rFonts w:cs="Calibri"/>
        </w:rPr>
      </w:pPr>
      <w:r w:rsidRPr="009E06AA">
        <w:rPr>
          <w:rFonts w:cs="Calibri"/>
        </w:rPr>
        <w:t xml:space="preserve">Emissions from </w:t>
      </w:r>
      <w:r w:rsidRPr="009E06AA">
        <w:rPr>
          <w:rFonts w:cs="Calibri"/>
          <w:i/>
          <w:iCs/>
        </w:rPr>
        <w:t xml:space="preserve">Enteric fermentation </w:t>
      </w:r>
      <w:r w:rsidRPr="009E06AA">
        <w:rPr>
          <w:rFonts w:cs="Calibri"/>
        </w:rPr>
        <w:t>increased 4.5 per cent (1,404.7 kt CO</w:t>
      </w:r>
      <w:r w:rsidRPr="009E06AA">
        <w:rPr>
          <w:rFonts w:cs="Calibri"/>
          <w:vertAlign w:val="subscript"/>
        </w:rPr>
        <w:t>2</w:t>
      </w:r>
      <w:r w:rsidRPr="009E06AA">
        <w:rPr>
          <w:rFonts w:cs="Calibri"/>
        </w:rPr>
        <w:t xml:space="preserve">-e) between 1990 and 2022. Since 1990, there have been changes in the relative sources of emissions within the </w:t>
      </w:r>
      <w:r w:rsidRPr="009E06AA">
        <w:rPr>
          <w:rFonts w:cs="Calibri"/>
          <w:i/>
          <w:iCs/>
        </w:rPr>
        <w:t>Enteric fermentation</w:t>
      </w:r>
      <w:r w:rsidRPr="009E06AA">
        <w:rPr>
          <w:rFonts w:cs="Calibri"/>
        </w:rPr>
        <w:t xml:space="preserve"> category (see table 5.2.1). Large increases in CH</w:t>
      </w:r>
      <w:r w:rsidRPr="009E06AA">
        <w:rPr>
          <w:rFonts w:cs="Calibri"/>
          <w:vertAlign w:val="subscript"/>
        </w:rPr>
        <w:t>4</w:t>
      </w:r>
      <w:r w:rsidRPr="009E06AA">
        <w:rPr>
          <w:rFonts w:cs="Calibri"/>
        </w:rPr>
        <w:t xml:space="preserve"> emissions from </w:t>
      </w:r>
      <w:r w:rsidRPr="009E06AA">
        <w:rPr>
          <w:rFonts w:cs="Calibri"/>
          <w:i/>
          <w:iCs/>
        </w:rPr>
        <w:t>Dairy cattle</w:t>
      </w:r>
      <w:r w:rsidRPr="009E06AA">
        <w:rPr>
          <w:rFonts w:cs="Calibri"/>
        </w:rPr>
        <w:t xml:space="preserve"> (129.3 per cent increase in </w:t>
      </w:r>
      <w:r w:rsidRPr="009E06AA">
        <w:rPr>
          <w:rFonts w:cs="Calibri"/>
          <w:i/>
          <w:iCs/>
        </w:rPr>
        <w:t>Enteric fermentation</w:t>
      </w:r>
      <w:r w:rsidRPr="009E06AA">
        <w:rPr>
          <w:rFonts w:cs="Calibri"/>
        </w:rPr>
        <w:t xml:space="preserve"> emissions between 1990 and 2022) have been partially offset by decreases in emissions from </w:t>
      </w:r>
      <w:r w:rsidRPr="009E06AA">
        <w:rPr>
          <w:rFonts w:cs="Calibri"/>
          <w:i/>
          <w:iCs/>
        </w:rPr>
        <w:t>Non-dairy</w:t>
      </w:r>
      <w:r w:rsidRPr="009E06AA">
        <w:rPr>
          <w:rFonts w:cs="Calibri"/>
        </w:rPr>
        <w:t xml:space="preserve"> </w:t>
      </w:r>
      <w:r w:rsidRPr="009E06AA">
        <w:rPr>
          <w:rFonts w:cs="Calibri"/>
          <w:i/>
          <w:iCs/>
        </w:rPr>
        <w:t>cattle</w:t>
      </w:r>
      <w:r w:rsidRPr="009E06AA">
        <w:rPr>
          <w:rFonts w:cs="Calibri"/>
        </w:rPr>
        <w:t xml:space="preserve">, </w:t>
      </w:r>
      <w:r w:rsidRPr="009E06AA">
        <w:rPr>
          <w:rFonts w:cs="Calibri"/>
          <w:i/>
          <w:iCs/>
        </w:rPr>
        <w:t>Sheep</w:t>
      </w:r>
      <w:r w:rsidRPr="009E06AA">
        <w:rPr>
          <w:rFonts w:cs="Calibri"/>
        </w:rPr>
        <w:t xml:space="preserve"> and minor livestock species, such as </w:t>
      </w:r>
      <w:r w:rsidRPr="009E06AA">
        <w:rPr>
          <w:rFonts w:cs="Calibri"/>
          <w:i/>
          <w:iCs/>
        </w:rPr>
        <w:t>Goats</w:t>
      </w:r>
      <w:r w:rsidRPr="009E06AA">
        <w:rPr>
          <w:rFonts w:cs="Calibri"/>
        </w:rPr>
        <w:t xml:space="preserve">, </w:t>
      </w:r>
      <w:r w:rsidRPr="009E06AA">
        <w:rPr>
          <w:rFonts w:cs="Calibri"/>
          <w:i/>
          <w:iCs/>
        </w:rPr>
        <w:t>Horses</w:t>
      </w:r>
      <w:r w:rsidRPr="009E06AA">
        <w:rPr>
          <w:rFonts w:cs="Calibri"/>
        </w:rPr>
        <w:t xml:space="preserve"> and </w:t>
      </w:r>
      <w:r w:rsidRPr="009E06AA">
        <w:rPr>
          <w:rFonts w:cs="Calibri"/>
          <w:i/>
          <w:iCs/>
        </w:rPr>
        <w:t>Swine</w:t>
      </w:r>
      <w:r w:rsidRPr="009E06AA">
        <w:rPr>
          <w:rFonts w:cs="Calibri"/>
        </w:rPr>
        <w:t>.</w:t>
      </w:r>
    </w:p>
    <w:p w14:paraId="421A3121" w14:textId="77777777" w:rsidR="007523B8" w:rsidRPr="009E06AA" w:rsidRDefault="007523B8" w:rsidP="007523B8">
      <w:pPr>
        <w:pStyle w:val="Table"/>
        <w:tabs>
          <w:tab w:val="left" w:pos="709"/>
        </w:tabs>
        <w:rPr>
          <w:rFonts w:cs="Calibri"/>
        </w:rPr>
      </w:pPr>
      <w:bookmarkStart w:id="878" w:name="_Toc441830868"/>
      <w:bookmarkStart w:id="879" w:name="_Toc451176082"/>
      <w:bookmarkStart w:id="880" w:name="_Toc481751508"/>
      <w:bookmarkStart w:id="881" w:name="_Toc507158598"/>
      <w:bookmarkStart w:id="882" w:name="_Toc511116732"/>
      <w:bookmarkStart w:id="883" w:name="_Toc5269472"/>
      <w:bookmarkStart w:id="884" w:name="_Toc32570913"/>
      <w:bookmarkStart w:id="885" w:name="_Toc36224548"/>
      <w:bookmarkStart w:id="886" w:name="_Toc68786434"/>
      <w:bookmarkStart w:id="887" w:name="_Toc95574069"/>
      <w:bookmarkStart w:id="888" w:name="_Toc127458252"/>
      <w:bookmarkStart w:id="889" w:name="_Toc131591348"/>
      <w:bookmarkStart w:id="890" w:name="_Toc160114438"/>
      <w:bookmarkStart w:id="891" w:name="_Toc164153834"/>
      <w:bookmarkStart w:id="892" w:name="_Toc139253918"/>
      <w:r w:rsidRPr="009E06AA">
        <w:rPr>
          <w:rFonts w:cs="Calibri"/>
        </w:rPr>
        <w:t>Table 5.2.1</w:t>
      </w:r>
      <w:r w:rsidRPr="009E06AA">
        <w:rPr>
          <w:rFonts w:cs="Calibri"/>
        </w:rPr>
        <w:tab/>
        <w:t>Trends and relative contribution of enteric fermentation (methane expressed in kt CO</w:t>
      </w:r>
      <w:r w:rsidRPr="009E06AA">
        <w:rPr>
          <w:rFonts w:cs="Calibri"/>
          <w:vertAlign w:val="subscript"/>
        </w:rPr>
        <w:t>2</w:t>
      </w:r>
      <w:r w:rsidRPr="009E06AA">
        <w:rPr>
          <w:rFonts w:cs="Calibri"/>
        </w:rPr>
        <w:t xml:space="preserve">-e) from livestock categories between 1990 and </w:t>
      </w:r>
      <w:bookmarkEnd w:id="878"/>
      <w:bookmarkEnd w:id="879"/>
      <w:bookmarkEnd w:id="880"/>
      <w:bookmarkEnd w:id="881"/>
      <w:bookmarkEnd w:id="882"/>
      <w:bookmarkEnd w:id="883"/>
      <w:bookmarkEnd w:id="884"/>
      <w:bookmarkEnd w:id="885"/>
      <w:bookmarkEnd w:id="886"/>
      <w:r w:rsidRPr="009E06AA">
        <w:rPr>
          <w:rFonts w:cs="Calibri"/>
        </w:rPr>
        <w:t>202</w:t>
      </w:r>
      <w:bookmarkEnd w:id="887"/>
      <w:bookmarkEnd w:id="888"/>
      <w:bookmarkEnd w:id="889"/>
      <w:r w:rsidRPr="009E06AA">
        <w:rPr>
          <w:rFonts w:cs="Calibri"/>
        </w:rPr>
        <w:t>2</w:t>
      </w:r>
      <w:bookmarkEnd w:id="890"/>
      <w:bookmarkEnd w:id="891"/>
    </w:p>
    <w:tbl>
      <w:tblPr>
        <w:tblW w:w="8505" w:type="dxa"/>
        <w:tblBorders>
          <w:top w:val="single" w:sz="4" w:space="0" w:color="1B556B" w:themeColor="text2"/>
          <w:bottom w:val="single" w:sz="4" w:space="0" w:color="1B556B" w:themeColor="text2"/>
          <w:insideH w:val="single" w:sz="4" w:space="0" w:color="1B556B" w:themeColor="text2"/>
        </w:tblBorders>
        <w:tblLayout w:type="fixed"/>
        <w:tblCellMar>
          <w:left w:w="85" w:type="dxa"/>
          <w:right w:w="85" w:type="dxa"/>
        </w:tblCellMar>
        <w:tblLook w:val="04A0" w:firstRow="1" w:lastRow="0" w:firstColumn="1" w:lastColumn="0" w:noHBand="0" w:noVBand="1"/>
      </w:tblPr>
      <w:tblGrid>
        <w:gridCol w:w="1638"/>
        <w:gridCol w:w="914"/>
        <w:gridCol w:w="850"/>
        <w:gridCol w:w="631"/>
        <w:gridCol w:w="1070"/>
        <w:gridCol w:w="993"/>
        <w:gridCol w:w="714"/>
        <w:gridCol w:w="837"/>
        <w:gridCol w:w="858"/>
      </w:tblGrid>
      <w:tr w:rsidR="007523B8" w:rsidRPr="009E06AA" w14:paraId="135B9B71" w14:textId="77777777" w:rsidTr="00B55F24">
        <w:tc>
          <w:tcPr>
            <w:tcW w:w="1638" w:type="dxa"/>
            <w:tcBorders>
              <w:bottom w:val="nil"/>
            </w:tcBorders>
            <w:shd w:val="clear" w:color="auto" w:fill="1B556B"/>
            <w:vAlign w:val="bottom"/>
          </w:tcPr>
          <w:p w14:paraId="01DB86A0" w14:textId="77777777" w:rsidR="007523B8" w:rsidRPr="009E06AA" w:rsidRDefault="007523B8" w:rsidP="00B55F24">
            <w:pPr>
              <w:pStyle w:val="TableTextBold"/>
              <w:keepNext/>
              <w:spacing w:after="0"/>
              <w:rPr>
                <w:noProof w:val="0"/>
                <w:color w:val="FFFFFF" w:themeColor="background1"/>
                <w:szCs w:val="16"/>
              </w:rPr>
            </w:pPr>
          </w:p>
        </w:tc>
        <w:tc>
          <w:tcPr>
            <w:tcW w:w="1764" w:type="dxa"/>
            <w:gridSpan w:val="2"/>
            <w:tcBorders>
              <w:bottom w:val="nil"/>
            </w:tcBorders>
            <w:shd w:val="clear" w:color="auto" w:fill="1B556B"/>
            <w:vAlign w:val="bottom"/>
          </w:tcPr>
          <w:p w14:paraId="5DC84E1D" w14:textId="77777777" w:rsidR="007523B8" w:rsidRPr="009E06AA" w:rsidRDefault="007523B8" w:rsidP="00E247AF">
            <w:pPr>
              <w:pStyle w:val="TableTextBold"/>
              <w:keepNext/>
              <w:tabs>
                <w:tab w:val="left" w:pos="241"/>
                <w:tab w:val="left" w:pos="1062"/>
              </w:tabs>
              <w:spacing w:after="20"/>
              <w:jc w:val="right"/>
              <w:rPr>
                <w:noProof w:val="0"/>
                <w:color w:val="FFFFFF" w:themeColor="background1"/>
                <w:szCs w:val="16"/>
              </w:rPr>
            </w:pPr>
            <w:r w:rsidRPr="009E06AA">
              <w:rPr>
                <w:noProof w:val="0"/>
                <w:color w:val="FFFFFF" w:themeColor="background1"/>
                <w:szCs w:val="16"/>
              </w:rPr>
              <w:t>Emissions (kt CO</w:t>
            </w:r>
            <w:r w:rsidRPr="009E06AA">
              <w:rPr>
                <w:noProof w:val="0"/>
                <w:color w:val="FFFFFF" w:themeColor="background1"/>
                <w:szCs w:val="16"/>
                <w:vertAlign w:val="subscript"/>
              </w:rPr>
              <w:t>2</w:t>
            </w:r>
            <w:r w:rsidRPr="009E06AA">
              <w:rPr>
                <w:noProof w:val="0"/>
                <w:color w:val="FFFFFF" w:themeColor="background1"/>
                <w:szCs w:val="16"/>
              </w:rPr>
              <w:t>-e)</w:t>
            </w:r>
          </w:p>
        </w:tc>
        <w:tc>
          <w:tcPr>
            <w:tcW w:w="1701" w:type="dxa"/>
            <w:gridSpan w:val="2"/>
            <w:tcBorders>
              <w:bottom w:val="nil"/>
            </w:tcBorders>
            <w:shd w:val="clear" w:color="auto" w:fill="1B556B"/>
            <w:vAlign w:val="bottom"/>
          </w:tcPr>
          <w:p w14:paraId="68698BE5" w14:textId="77777777" w:rsidR="007523B8" w:rsidRPr="009E06AA" w:rsidRDefault="007523B8" w:rsidP="00E247AF">
            <w:pPr>
              <w:pStyle w:val="TableTextBold"/>
              <w:keepNext/>
              <w:spacing w:after="20"/>
              <w:jc w:val="right"/>
              <w:rPr>
                <w:noProof w:val="0"/>
                <w:color w:val="FFFFFF" w:themeColor="background1"/>
                <w:szCs w:val="16"/>
              </w:rPr>
            </w:pPr>
            <w:r w:rsidRPr="009E06AA">
              <w:rPr>
                <w:noProof w:val="0"/>
                <w:color w:val="FFFFFF" w:themeColor="background1"/>
                <w:szCs w:val="16"/>
              </w:rPr>
              <w:t>Change from 1990</w:t>
            </w:r>
          </w:p>
        </w:tc>
        <w:tc>
          <w:tcPr>
            <w:tcW w:w="1707" w:type="dxa"/>
            <w:gridSpan w:val="2"/>
            <w:tcBorders>
              <w:bottom w:val="nil"/>
            </w:tcBorders>
            <w:shd w:val="clear" w:color="auto" w:fill="1B556B"/>
            <w:vAlign w:val="bottom"/>
          </w:tcPr>
          <w:p w14:paraId="3428CD79" w14:textId="77777777" w:rsidR="007523B8" w:rsidRPr="009E06AA" w:rsidRDefault="007523B8" w:rsidP="00E247AF">
            <w:pPr>
              <w:pStyle w:val="TableTextBold"/>
              <w:keepNext/>
              <w:spacing w:after="20"/>
              <w:jc w:val="right"/>
              <w:rPr>
                <w:noProof w:val="0"/>
                <w:color w:val="FFFFFF" w:themeColor="background1"/>
                <w:szCs w:val="16"/>
              </w:rPr>
            </w:pPr>
            <w:r w:rsidRPr="009E06AA">
              <w:rPr>
                <w:noProof w:val="0"/>
                <w:color w:val="FFFFFF" w:themeColor="background1"/>
                <w:szCs w:val="16"/>
              </w:rPr>
              <w:t>Share of Enteric fermentation category (%)</w:t>
            </w:r>
          </w:p>
        </w:tc>
        <w:tc>
          <w:tcPr>
            <w:tcW w:w="1695" w:type="dxa"/>
            <w:gridSpan w:val="2"/>
            <w:tcBorders>
              <w:bottom w:val="nil"/>
            </w:tcBorders>
            <w:shd w:val="clear" w:color="auto" w:fill="1B556B"/>
            <w:vAlign w:val="bottom"/>
          </w:tcPr>
          <w:p w14:paraId="1C5F6969" w14:textId="77777777" w:rsidR="007523B8" w:rsidRPr="009E06AA" w:rsidRDefault="007523B8" w:rsidP="00E247AF">
            <w:pPr>
              <w:pStyle w:val="TableTextBold"/>
              <w:keepNext/>
              <w:spacing w:after="20"/>
              <w:jc w:val="right"/>
              <w:rPr>
                <w:noProof w:val="0"/>
                <w:color w:val="FFFFFF" w:themeColor="background1"/>
                <w:szCs w:val="16"/>
              </w:rPr>
            </w:pPr>
            <w:r w:rsidRPr="009E06AA">
              <w:rPr>
                <w:noProof w:val="0"/>
                <w:color w:val="FFFFFF" w:themeColor="background1"/>
                <w:szCs w:val="16"/>
              </w:rPr>
              <w:t>Share of total Agriculture sector (%)</w:t>
            </w:r>
          </w:p>
        </w:tc>
      </w:tr>
      <w:tr w:rsidR="007523B8" w:rsidRPr="009E06AA" w14:paraId="188FA7FB" w14:textId="77777777" w:rsidTr="00B55F24">
        <w:tc>
          <w:tcPr>
            <w:tcW w:w="1638" w:type="dxa"/>
            <w:tcBorders>
              <w:top w:val="nil"/>
              <w:bottom w:val="single" w:sz="2" w:space="0" w:color="1B556B" w:themeColor="text2"/>
            </w:tcBorders>
            <w:shd w:val="clear" w:color="auto" w:fill="1B556B"/>
            <w:vAlign w:val="bottom"/>
          </w:tcPr>
          <w:p w14:paraId="3C66FDAA" w14:textId="77777777" w:rsidR="007523B8" w:rsidRPr="009E06AA" w:rsidRDefault="007523B8" w:rsidP="00B55F24">
            <w:pPr>
              <w:pStyle w:val="TableTextBold"/>
              <w:keepNext/>
              <w:spacing w:before="0"/>
              <w:rPr>
                <w:noProof w:val="0"/>
                <w:color w:val="FFFFFF" w:themeColor="background1"/>
                <w:szCs w:val="16"/>
              </w:rPr>
            </w:pPr>
            <w:r w:rsidRPr="009E06AA">
              <w:rPr>
                <w:noProof w:val="0"/>
                <w:color w:val="FFFFFF" w:themeColor="background1"/>
                <w:szCs w:val="16"/>
              </w:rPr>
              <w:t>Livestock category</w:t>
            </w:r>
          </w:p>
        </w:tc>
        <w:tc>
          <w:tcPr>
            <w:tcW w:w="914" w:type="dxa"/>
            <w:tcBorders>
              <w:top w:val="nil"/>
              <w:bottom w:val="single" w:sz="2" w:space="0" w:color="1B556B" w:themeColor="text2"/>
            </w:tcBorders>
            <w:shd w:val="clear" w:color="auto" w:fill="1B556B"/>
            <w:vAlign w:val="bottom"/>
          </w:tcPr>
          <w:p w14:paraId="561E44C3" w14:textId="77777777" w:rsidR="007523B8" w:rsidRPr="009E06AA" w:rsidRDefault="007523B8" w:rsidP="00E247AF">
            <w:pPr>
              <w:pStyle w:val="TableTextBold"/>
              <w:keepNext/>
              <w:spacing w:before="0"/>
              <w:jc w:val="right"/>
              <w:rPr>
                <w:bCs/>
                <w:noProof w:val="0"/>
                <w:color w:val="FFFFFF" w:themeColor="background1"/>
                <w:szCs w:val="16"/>
              </w:rPr>
            </w:pPr>
            <w:r w:rsidRPr="009E06AA">
              <w:rPr>
                <w:bCs/>
                <w:noProof w:val="0"/>
                <w:color w:val="FFFFFF" w:themeColor="background1"/>
              </w:rPr>
              <w:t>1990</w:t>
            </w:r>
          </w:p>
        </w:tc>
        <w:tc>
          <w:tcPr>
            <w:tcW w:w="850" w:type="dxa"/>
            <w:tcBorders>
              <w:top w:val="nil"/>
              <w:bottom w:val="single" w:sz="2" w:space="0" w:color="1B556B" w:themeColor="text2"/>
            </w:tcBorders>
            <w:shd w:val="clear" w:color="auto" w:fill="1B556B"/>
            <w:vAlign w:val="bottom"/>
          </w:tcPr>
          <w:p w14:paraId="6240DD28" w14:textId="77777777" w:rsidR="007523B8" w:rsidRPr="009E06AA" w:rsidRDefault="007523B8" w:rsidP="00E247AF">
            <w:pPr>
              <w:pStyle w:val="TableTextBold"/>
              <w:keepNext/>
              <w:spacing w:before="0"/>
              <w:jc w:val="right"/>
              <w:rPr>
                <w:noProof w:val="0"/>
                <w:color w:val="FFFFFF" w:themeColor="background1"/>
                <w:highlight w:val="yellow"/>
              </w:rPr>
            </w:pPr>
            <w:r w:rsidRPr="009E06AA">
              <w:rPr>
                <w:noProof w:val="0"/>
                <w:color w:val="FFFFFF" w:themeColor="background1"/>
              </w:rPr>
              <w:t>2022</w:t>
            </w:r>
          </w:p>
        </w:tc>
        <w:tc>
          <w:tcPr>
            <w:tcW w:w="631" w:type="dxa"/>
            <w:tcBorders>
              <w:top w:val="nil"/>
              <w:bottom w:val="single" w:sz="2" w:space="0" w:color="1B556B" w:themeColor="text2"/>
            </w:tcBorders>
            <w:shd w:val="clear" w:color="auto" w:fill="1B556B"/>
            <w:vAlign w:val="bottom"/>
          </w:tcPr>
          <w:p w14:paraId="6D712C15" w14:textId="77777777" w:rsidR="007523B8" w:rsidRPr="009E06AA" w:rsidRDefault="007523B8" w:rsidP="00E247AF">
            <w:pPr>
              <w:pStyle w:val="TableTextBold"/>
              <w:keepNext/>
              <w:spacing w:before="0"/>
              <w:jc w:val="right"/>
              <w:rPr>
                <w:bCs/>
                <w:noProof w:val="0"/>
                <w:color w:val="FFFFFF" w:themeColor="background1"/>
                <w:szCs w:val="16"/>
              </w:rPr>
            </w:pPr>
            <w:r w:rsidRPr="009E06AA">
              <w:rPr>
                <w:bCs/>
                <w:noProof w:val="0"/>
                <w:color w:val="FFFFFF" w:themeColor="background1"/>
              </w:rPr>
              <w:t>%</w:t>
            </w:r>
          </w:p>
        </w:tc>
        <w:tc>
          <w:tcPr>
            <w:tcW w:w="1070" w:type="dxa"/>
            <w:tcBorders>
              <w:top w:val="nil"/>
              <w:bottom w:val="single" w:sz="2" w:space="0" w:color="1B556B" w:themeColor="text2"/>
            </w:tcBorders>
            <w:shd w:val="clear" w:color="auto" w:fill="1B556B"/>
            <w:vAlign w:val="bottom"/>
          </w:tcPr>
          <w:p w14:paraId="29B518B1" w14:textId="77777777" w:rsidR="007523B8" w:rsidRPr="009E06AA" w:rsidRDefault="007523B8" w:rsidP="00E247AF">
            <w:pPr>
              <w:pStyle w:val="TableTextBold"/>
              <w:keepNext/>
              <w:spacing w:before="0"/>
              <w:jc w:val="right"/>
              <w:rPr>
                <w:bCs/>
                <w:noProof w:val="0"/>
                <w:color w:val="FFFFFF" w:themeColor="background1"/>
                <w:szCs w:val="16"/>
              </w:rPr>
            </w:pPr>
            <w:r w:rsidRPr="009E06AA">
              <w:rPr>
                <w:bCs/>
                <w:noProof w:val="0"/>
                <w:color w:val="FFFFFF" w:themeColor="background1"/>
              </w:rPr>
              <w:t>kt CO</w:t>
            </w:r>
            <w:r w:rsidRPr="009E06AA">
              <w:rPr>
                <w:bCs/>
                <w:noProof w:val="0"/>
                <w:color w:val="FFFFFF"/>
                <w:vertAlign w:val="subscript"/>
              </w:rPr>
              <w:t>2</w:t>
            </w:r>
            <w:r w:rsidRPr="009E06AA">
              <w:rPr>
                <w:bCs/>
                <w:noProof w:val="0"/>
                <w:color w:val="FFFFFF"/>
              </w:rPr>
              <w:t>-e</w:t>
            </w:r>
          </w:p>
        </w:tc>
        <w:tc>
          <w:tcPr>
            <w:tcW w:w="993" w:type="dxa"/>
            <w:tcBorders>
              <w:top w:val="nil"/>
              <w:bottom w:val="single" w:sz="2" w:space="0" w:color="1B556B" w:themeColor="text2"/>
            </w:tcBorders>
            <w:shd w:val="clear" w:color="auto" w:fill="1B556B"/>
            <w:vAlign w:val="bottom"/>
          </w:tcPr>
          <w:p w14:paraId="238109E8" w14:textId="77777777" w:rsidR="007523B8" w:rsidRPr="009E06AA" w:rsidRDefault="007523B8" w:rsidP="00E247AF">
            <w:pPr>
              <w:pStyle w:val="TableTextBold"/>
              <w:keepNext/>
              <w:spacing w:before="0"/>
              <w:jc w:val="right"/>
              <w:rPr>
                <w:bCs/>
                <w:noProof w:val="0"/>
                <w:color w:val="FFFFFF" w:themeColor="background1"/>
                <w:szCs w:val="16"/>
              </w:rPr>
            </w:pPr>
            <w:r w:rsidRPr="009E06AA">
              <w:rPr>
                <w:bCs/>
                <w:noProof w:val="0"/>
                <w:color w:val="FFFFFF" w:themeColor="background1"/>
              </w:rPr>
              <w:t>1990</w:t>
            </w:r>
          </w:p>
        </w:tc>
        <w:tc>
          <w:tcPr>
            <w:tcW w:w="714" w:type="dxa"/>
            <w:tcBorders>
              <w:top w:val="nil"/>
              <w:bottom w:val="single" w:sz="2" w:space="0" w:color="1B556B" w:themeColor="text2"/>
            </w:tcBorders>
            <w:shd w:val="clear" w:color="auto" w:fill="1B556B"/>
            <w:vAlign w:val="bottom"/>
          </w:tcPr>
          <w:p w14:paraId="2865C753" w14:textId="77777777" w:rsidR="007523B8" w:rsidRPr="009E06AA" w:rsidRDefault="007523B8" w:rsidP="00E247AF">
            <w:pPr>
              <w:pStyle w:val="TableTextBold"/>
              <w:keepNext/>
              <w:spacing w:before="0"/>
              <w:jc w:val="right"/>
              <w:rPr>
                <w:noProof w:val="0"/>
                <w:color w:val="FFFFFF" w:themeColor="background1"/>
                <w:highlight w:val="yellow"/>
              </w:rPr>
            </w:pPr>
            <w:r w:rsidRPr="009E06AA">
              <w:rPr>
                <w:noProof w:val="0"/>
                <w:color w:val="FFFFFF" w:themeColor="background1"/>
              </w:rPr>
              <w:t>2022</w:t>
            </w:r>
          </w:p>
        </w:tc>
        <w:tc>
          <w:tcPr>
            <w:tcW w:w="837" w:type="dxa"/>
            <w:tcBorders>
              <w:top w:val="nil"/>
              <w:bottom w:val="single" w:sz="2" w:space="0" w:color="1B556B" w:themeColor="text2"/>
            </w:tcBorders>
            <w:shd w:val="clear" w:color="auto" w:fill="1B556B"/>
            <w:vAlign w:val="bottom"/>
          </w:tcPr>
          <w:p w14:paraId="639C7DE9" w14:textId="77777777" w:rsidR="007523B8" w:rsidRPr="009E06AA" w:rsidRDefault="007523B8" w:rsidP="00E247AF">
            <w:pPr>
              <w:pStyle w:val="TableTextBold"/>
              <w:keepNext/>
              <w:spacing w:before="0"/>
              <w:jc w:val="right"/>
              <w:rPr>
                <w:bCs/>
                <w:noProof w:val="0"/>
                <w:color w:val="FFFFFF" w:themeColor="background1"/>
                <w:szCs w:val="16"/>
              </w:rPr>
            </w:pPr>
            <w:r w:rsidRPr="009E06AA">
              <w:rPr>
                <w:bCs/>
                <w:noProof w:val="0"/>
                <w:color w:val="FFFFFF" w:themeColor="background1"/>
              </w:rPr>
              <w:t>1990</w:t>
            </w:r>
          </w:p>
        </w:tc>
        <w:tc>
          <w:tcPr>
            <w:tcW w:w="858" w:type="dxa"/>
            <w:tcBorders>
              <w:top w:val="nil"/>
              <w:bottom w:val="single" w:sz="2" w:space="0" w:color="1B556B" w:themeColor="text2"/>
            </w:tcBorders>
            <w:shd w:val="clear" w:color="auto" w:fill="1B556B"/>
            <w:vAlign w:val="bottom"/>
          </w:tcPr>
          <w:p w14:paraId="05974DC8" w14:textId="77777777" w:rsidR="007523B8" w:rsidRPr="009E06AA" w:rsidRDefault="007523B8" w:rsidP="00E247AF">
            <w:pPr>
              <w:pStyle w:val="TableTextBold"/>
              <w:keepNext/>
              <w:spacing w:before="0"/>
              <w:jc w:val="right"/>
              <w:rPr>
                <w:noProof w:val="0"/>
                <w:color w:val="FFFFFF" w:themeColor="background1"/>
                <w:highlight w:val="yellow"/>
              </w:rPr>
            </w:pPr>
            <w:r w:rsidRPr="009E06AA">
              <w:rPr>
                <w:noProof w:val="0"/>
                <w:color w:val="FFFFFF" w:themeColor="background1"/>
              </w:rPr>
              <w:t>2022</w:t>
            </w:r>
          </w:p>
        </w:tc>
      </w:tr>
      <w:tr w:rsidR="007523B8" w:rsidRPr="009E06AA" w14:paraId="51A955CC" w14:textId="77777777" w:rsidTr="00B55F24">
        <w:tc>
          <w:tcPr>
            <w:tcW w:w="1638" w:type="dxa"/>
            <w:tcBorders>
              <w:top w:val="single" w:sz="2" w:space="0" w:color="1B556B" w:themeColor="text2"/>
            </w:tcBorders>
            <w:shd w:val="clear" w:color="auto" w:fill="auto"/>
          </w:tcPr>
          <w:p w14:paraId="5A2C161C" w14:textId="77777777" w:rsidR="007523B8" w:rsidRPr="009E06AA" w:rsidRDefault="007523B8" w:rsidP="00B55F24">
            <w:pPr>
              <w:pStyle w:val="TableText"/>
              <w:rPr>
                <w:rFonts w:cs="Calibri"/>
                <w:szCs w:val="16"/>
              </w:rPr>
            </w:pPr>
            <w:r w:rsidRPr="009E06AA">
              <w:rPr>
                <w:rFonts w:cs="Calibri"/>
                <w:szCs w:val="16"/>
              </w:rPr>
              <w:t>Dairy cattle</w:t>
            </w:r>
          </w:p>
        </w:tc>
        <w:tc>
          <w:tcPr>
            <w:tcW w:w="914" w:type="dxa"/>
            <w:tcBorders>
              <w:top w:val="single" w:sz="2" w:space="0" w:color="1B556B" w:themeColor="text2"/>
            </w:tcBorders>
            <w:shd w:val="clear" w:color="auto" w:fill="auto"/>
            <w:vAlign w:val="center"/>
          </w:tcPr>
          <w:p w14:paraId="6859066A" w14:textId="77777777" w:rsidR="007523B8" w:rsidRPr="009E06AA" w:rsidRDefault="007523B8" w:rsidP="00E247AF">
            <w:pPr>
              <w:pStyle w:val="TableText"/>
              <w:jc w:val="right"/>
              <w:rPr>
                <w:rFonts w:cs="Calibri"/>
                <w:szCs w:val="16"/>
              </w:rPr>
            </w:pPr>
            <w:r w:rsidRPr="009E06AA">
              <w:rPr>
                <w:rFonts w:cs="Calibri"/>
                <w:color w:val="000000"/>
                <w:szCs w:val="16"/>
              </w:rPr>
              <w:t>6,974.4</w:t>
            </w:r>
          </w:p>
        </w:tc>
        <w:tc>
          <w:tcPr>
            <w:tcW w:w="850" w:type="dxa"/>
            <w:tcBorders>
              <w:top w:val="single" w:sz="2" w:space="0" w:color="1B556B" w:themeColor="text2"/>
            </w:tcBorders>
            <w:shd w:val="clear" w:color="auto" w:fill="auto"/>
            <w:vAlign w:val="center"/>
          </w:tcPr>
          <w:p w14:paraId="3A57ECF8" w14:textId="77777777" w:rsidR="007523B8" w:rsidRPr="009E06AA" w:rsidRDefault="007523B8" w:rsidP="00E247AF">
            <w:pPr>
              <w:pStyle w:val="TableText"/>
              <w:jc w:val="right"/>
              <w:rPr>
                <w:rFonts w:cs="Calibri"/>
                <w:szCs w:val="16"/>
              </w:rPr>
            </w:pPr>
            <w:r w:rsidRPr="009E06AA">
              <w:rPr>
                <w:rFonts w:cs="Calibri"/>
                <w:color w:val="000000"/>
                <w:szCs w:val="16"/>
              </w:rPr>
              <w:t>15,992.6</w:t>
            </w:r>
          </w:p>
        </w:tc>
        <w:tc>
          <w:tcPr>
            <w:tcW w:w="631" w:type="dxa"/>
            <w:tcBorders>
              <w:top w:val="single" w:sz="2" w:space="0" w:color="1B556B" w:themeColor="text2"/>
            </w:tcBorders>
            <w:shd w:val="clear" w:color="auto" w:fill="auto"/>
            <w:vAlign w:val="center"/>
          </w:tcPr>
          <w:p w14:paraId="5A2AC57A" w14:textId="77777777" w:rsidR="007523B8" w:rsidRPr="009E06AA" w:rsidRDefault="007523B8" w:rsidP="00E247AF">
            <w:pPr>
              <w:pStyle w:val="TableText"/>
              <w:jc w:val="right"/>
              <w:rPr>
                <w:rFonts w:cs="Calibri"/>
                <w:szCs w:val="16"/>
              </w:rPr>
            </w:pPr>
            <w:r w:rsidRPr="009E06AA">
              <w:rPr>
                <w:rFonts w:cs="Calibri"/>
                <w:color w:val="000000"/>
                <w:szCs w:val="16"/>
              </w:rPr>
              <w:t>129.3</w:t>
            </w:r>
          </w:p>
        </w:tc>
        <w:tc>
          <w:tcPr>
            <w:tcW w:w="1070" w:type="dxa"/>
            <w:tcBorders>
              <w:top w:val="single" w:sz="2" w:space="0" w:color="1B556B" w:themeColor="text2"/>
            </w:tcBorders>
            <w:shd w:val="clear" w:color="auto" w:fill="auto"/>
            <w:vAlign w:val="center"/>
          </w:tcPr>
          <w:p w14:paraId="35E6BBED" w14:textId="77777777" w:rsidR="007523B8" w:rsidRPr="009E06AA" w:rsidRDefault="007523B8" w:rsidP="00E247AF">
            <w:pPr>
              <w:pStyle w:val="TableText"/>
              <w:jc w:val="right"/>
              <w:rPr>
                <w:rFonts w:cs="Calibri"/>
                <w:szCs w:val="16"/>
              </w:rPr>
            </w:pPr>
            <w:r w:rsidRPr="009E06AA">
              <w:rPr>
                <w:rFonts w:cs="Calibri"/>
                <w:color w:val="000000"/>
                <w:szCs w:val="16"/>
              </w:rPr>
              <w:t>9,018.2</w:t>
            </w:r>
          </w:p>
        </w:tc>
        <w:tc>
          <w:tcPr>
            <w:tcW w:w="993" w:type="dxa"/>
            <w:tcBorders>
              <w:top w:val="single" w:sz="2" w:space="0" w:color="1B556B" w:themeColor="text2"/>
            </w:tcBorders>
            <w:shd w:val="clear" w:color="auto" w:fill="auto"/>
            <w:vAlign w:val="center"/>
          </w:tcPr>
          <w:p w14:paraId="6FC44E6F" w14:textId="77777777" w:rsidR="007523B8" w:rsidRPr="009E06AA" w:rsidRDefault="007523B8" w:rsidP="00E247AF">
            <w:pPr>
              <w:pStyle w:val="TableText"/>
              <w:jc w:val="right"/>
              <w:rPr>
                <w:rFonts w:cs="Calibri"/>
                <w:szCs w:val="16"/>
              </w:rPr>
            </w:pPr>
            <w:r w:rsidRPr="009E06AA">
              <w:rPr>
                <w:rFonts w:cs="Calibri"/>
                <w:color w:val="000000"/>
                <w:szCs w:val="16"/>
              </w:rPr>
              <w:t>22.3</w:t>
            </w:r>
          </w:p>
        </w:tc>
        <w:tc>
          <w:tcPr>
            <w:tcW w:w="714" w:type="dxa"/>
            <w:tcBorders>
              <w:top w:val="single" w:sz="2" w:space="0" w:color="1B556B" w:themeColor="text2"/>
            </w:tcBorders>
            <w:shd w:val="clear" w:color="auto" w:fill="auto"/>
            <w:vAlign w:val="center"/>
          </w:tcPr>
          <w:p w14:paraId="5901E246" w14:textId="77777777" w:rsidR="007523B8" w:rsidRPr="009E06AA" w:rsidRDefault="007523B8" w:rsidP="00E247AF">
            <w:pPr>
              <w:pStyle w:val="TableText"/>
              <w:jc w:val="right"/>
              <w:rPr>
                <w:rFonts w:cs="Calibri"/>
                <w:szCs w:val="16"/>
              </w:rPr>
            </w:pPr>
            <w:r w:rsidRPr="009E06AA">
              <w:rPr>
                <w:rFonts w:cs="Calibri"/>
                <w:color w:val="000000"/>
                <w:szCs w:val="16"/>
              </w:rPr>
              <w:t>49.0</w:t>
            </w:r>
          </w:p>
        </w:tc>
        <w:tc>
          <w:tcPr>
            <w:tcW w:w="837" w:type="dxa"/>
            <w:tcBorders>
              <w:top w:val="single" w:sz="2" w:space="0" w:color="1B556B" w:themeColor="text2"/>
            </w:tcBorders>
            <w:shd w:val="clear" w:color="auto" w:fill="auto"/>
            <w:vAlign w:val="center"/>
          </w:tcPr>
          <w:p w14:paraId="38526B46" w14:textId="77777777" w:rsidR="007523B8" w:rsidRPr="009E06AA" w:rsidRDefault="007523B8" w:rsidP="00E247AF">
            <w:pPr>
              <w:pStyle w:val="TableText"/>
              <w:jc w:val="right"/>
              <w:rPr>
                <w:rFonts w:cs="Calibri"/>
                <w:szCs w:val="16"/>
              </w:rPr>
            </w:pPr>
            <w:r w:rsidRPr="009E06AA">
              <w:rPr>
                <w:rFonts w:cs="Calibri"/>
                <w:color w:val="000000"/>
                <w:szCs w:val="16"/>
              </w:rPr>
              <w:t>18.8</w:t>
            </w:r>
          </w:p>
        </w:tc>
        <w:tc>
          <w:tcPr>
            <w:tcW w:w="858" w:type="dxa"/>
            <w:tcBorders>
              <w:top w:val="single" w:sz="2" w:space="0" w:color="1B556B" w:themeColor="text2"/>
            </w:tcBorders>
            <w:shd w:val="clear" w:color="auto" w:fill="auto"/>
            <w:vAlign w:val="center"/>
          </w:tcPr>
          <w:p w14:paraId="4CEA4015" w14:textId="77777777" w:rsidR="007523B8" w:rsidRPr="009E06AA" w:rsidRDefault="007523B8" w:rsidP="00E247AF">
            <w:pPr>
              <w:pStyle w:val="TableText"/>
              <w:jc w:val="right"/>
              <w:rPr>
                <w:rFonts w:cs="Calibri"/>
                <w:szCs w:val="16"/>
              </w:rPr>
            </w:pPr>
            <w:r w:rsidRPr="009E06AA">
              <w:rPr>
                <w:rFonts w:cs="Calibri"/>
                <w:color w:val="000000"/>
                <w:szCs w:val="16"/>
              </w:rPr>
              <w:t>38.3</w:t>
            </w:r>
          </w:p>
        </w:tc>
      </w:tr>
      <w:tr w:rsidR="007523B8" w:rsidRPr="009E06AA" w14:paraId="59E29A1A" w14:textId="77777777" w:rsidTr="00B55F24">
        <w:tc>
          <w:tcPr>
            <w:tcW w:w="1638" w:type="dxa"/>
            <w:shd w:val="clear" w:color="auto" w:fill="auto"/>
          </w:tcPr>
          <w:p w14:paraId="684D49B9" w14:textId="77777777" w:rsidR="007523B8" w:rsidRPr="009E06AA" w:rsidRDefault="007523B8" w:rsidP="00B55F24">
            <w:pPr>
              <w:pStyle w:val="TableText"/>
              <w:rPr>
                <w:rFonts w:cs="Calibri"/>
                <w:szCs w:val="16"/>
              </w:rPr>
            </w:pPr>
            <w:r w:rsidRPr="009E06AA">
              <w:rPr>
                <w:rFonts w:cs="Calibri"/>
                <w:szCs w:val="16"/>
              </w:rPr>
              <w:t>Non-dairy cattle</w:t>
            </w:r>
          </w:p>
        </w:tc>
        <w:tc>
          <w:tcPr>
            <w:tcW w:w="914" w:type="dxa"/>
            <w:shd w:val="clear" w:color="auto" w:fill="auto"/>
            <w:vAlign w:val="center"/>
          </w:tcPr>
          <w:p w14:paraId="78123D82" w14:textId="77777777" w:rsidR="007523B8" w:rsidRPr="009E06AA" w:rsidRDefault="007523B8" w:rsidP="00E247AF">
            <w:pPr>
              <w:pStyle w:val="TableText"/>
              <w:jc w:val="right"/>
              <w:rPr>
                <w:rFonts w:cs="Calibri"/>
                <w:szCs w:val="16"/>
              </w:rPr>
            </w:pPr>
            <w:r w:rsidRPr="009E06AA">
              <w:rPr>
                <w:rFonts w:cs="Calibri"/>
                <w:color w:val="000000"/>
                <w:szCs w:val="16"/>
              </w:rPr>
              <w:t>7,359.1</w:t>
            </w:r>
          </w:p>
        </w:tc>
        <w:tc>
          <w:tcPr>
            <w:tcW w:w="850" w:type="dxa"/>
            <w:shd w:val="clear" w:color="auto" w:fill="auto"/>
            <w:vAlign w:val="center"/>
          </w:tcPr>
          <w:p w14:paraId="6ECE955E" w14:textId="77777777" w:rsidR="007523B8" w:rsidRPr="009E06AA" w:rsidRDefault="007523B8" w:rsidP="00E247AF">
            <w:pPr>
              <w:pStyle w:val="TableText"/>
              <w:jc w:val="right"/>
              <w:rPr>
                <w:rFonts w:cs="Calibri"/>
                <w:szCs w:val="16"/>
              </w:rPr>
            </w:pPr>
            <w:r w:rsidRPr="009E06AA">
              <w:rPr>
                <w:rFonts w:cs="Calibri"/>
                <w:color w:val="000000"/>
                <w:szCs w:val="16"/>
              </w:rPr>
              <w:t>7,203.1</w:t>
            </w:r>
          </w:p>
        </w:tc>
        <w:tc>
          <w:tcPr>
            <w:tcW w:w="631" w:type="dxa"/>
            <w:shd w:val="clear" w:color="auto" w:fill="auto"/>
            <w:vAlign w:val="center"/>
          </w:tcPr>
          <w:p w14:paraId="06451BC8" w14:textId="77777777" w:rsidR="007523B8" w:rsidRPr="009E06AA" w:rsidRDefault="007523B8" w:rsidP="00E247AF">
            <w:pPr>
              <w:pStyle w:val="TableText"/>
              <w:jc w:val="right"/>
              <w:rPr>
                <w:rFonts w:cs="Calibri"/>
                <w:szCs w:val="16"/>
              </w:rPr>
            </w:pPr>
            <w:r w:rsidRPr="009E06AA">
              <w:rPr>
                <w:rFonts w:cs="Calibri"/>
                <w:color w:val="000000"/>
                <w:szCs w:val="16"/>
              </w:rPr>
              <w:t>-2.1</w:t>
            </w:r>
          </w:p>
        </w:tc>
        <w:tc>
          <w:tcPr>
            <w:tcW w:w="1070" w:type="dxa"/>
            <w:shd w:val="clear" w:color="auto" w:fill="auto"/>
            <w:vAlign w:val="center"/>
          </w:tcPr>
          <w:p w14:paraId="24477909" w14:textId="77777777" w:rsidR="007523B8" w:rsidRPr="009E06AA" w:rsidRDefault="007523B8" w:rsidP="00E247AF">
            <w:pPr>
              <w:pStyle w:val="TableText"/>
              <w:jc w:val="right"/>
              <w:rPr>
                <w:rFonts w:cs="Calibri"/>
                <w:szCs w:val="16"/>
              </w:rPr>
            </w:pPr>
            <w:r w:rsidRPr="009E06AA">
              <w:rPr>
                <w:rFonts w:cs="Calibri"/>
                <w:color w:val="000000"/>
                <w:szCs w:val="16"/>
              </w:rPr>
              <w:t>-156.0</w:t>
            </w:r>
          </w:p>
        </w:tc>
        <w:tc>
          <w:tcPr>
            <w:tcW w:w="993" w:type="dxa"/>
            <w:shd w:val="clear" w:color="auto" w:fill="auto"/>
            <w:vAlign w:val="center"/>
          </w:tcPr>
          <w:p w14:paraId="64FB1CA5" w14:textId="77777777" w:rsidR="007523B8" w:rsidRPr="009E06AA" w:rsidRDefault="007523B8" w:rsidP="00E247AF">
            <w:pPr>
              <w:pStyle w:val="TableText"/>
              <w:jc w:val="right"/>
              <w:rPr>
                <w:rFonts w:cs="Calibri"/>
                <w:szCs w:val="16"/>
              </w:rPr>
            </w:pPr>
            <w:r w:rsidRPr="009E06AA">
              <w:rPr>
                <w:rFonts w:cs="Calibri"/>
                <w:color w:val="000000"/>
                <w:szCs w:val="16"/>
              </w:rPr>
              <w:t>23.6</w:t>
            </w:r>
          </w:p>
        </w:tc>
        <w:tc>
          <w:tcPr>
            <w:tcW w:w="714" w:type="dxa"/>
            <w:shd w:val="clear" w:color="auto" w:fill="auto"/>
            <w:vAlign w:val="center"/>
          </w:tcPr>
          <w:p w14:paraId="1086BFA2" w14:textId="77777777" w:rsidR="007523B8" w:rsidRPr="009E06AA" w:rsidRDefault="007523B8" w:rsidP="00E247AF">
            <w:pPr>
              <w:pStyle w:val="TableText"/>
              <w:jc w:val="right"/>
              <w:rPr>
                <w:rFonts w:cs="Calibri"/>
                <w:szCs w:val="16"/>
              </w:rPr>
            </w:pPr>
            <w:r w:rsidRPr="009E06AA">
              <w:rPr>
                <w:rFonts w:cs="Calibri"/>
                <w:color w:val="000000"/>
                <w:szCs w:val="16"/>
              </w:rPr>
              <w:t>22.1</w:t>
            </w:r>
          </w:p>
        </w:tc>
        <w:tc>
          <w:tcPr>
            <w:tcW w:w="837" w:type="dxa"/>
            <w:shd w:val="clear" w:color="auto" w:fill="auto"/>
            <w:vAlign w:val="center"/>
          </w:tcPr>
          <w:p w14:paraId="1C726D97" w14:textId="77777777" w:rsidR="007523B8" w:rsidRPr="009E06AA" w:rsidRDefault="007523B8" w:rsidP="00E247AF">
            <w:pPr>
              <w:pStyle w:val="TableText"/>
              <w:jc w:val="right"/>
              <w:rPr>
                <w:rFonts w:cs="Calibri"/>
                <w:szCs w:val="16"/>
              </w:rPr>
            </w:pPr>
            <w:r w:rsidRPr="009E06AA">
              <w:rPr>
                <w:rFonts w:cs="Calibri"/>
                <w:color w:val="000000"/>
                <w:szCs w:val="16"/>
              </w:rPr>
              <w:t>19.8</w:t>
            </w:r>
          </w:p>
        </w:tc>
        <w:tc>
          <w:tcPr>
            <w:tcW w:w="858" w:type="dxa"/>
            <w:shd w:val="clear" w:color="auto" w:fill="auto"/>
            <w:vAlign w:val="center"/>
          </w:tcPr>
          <w:p w14:paraId="6CE2F51F" w14:textId="77777777" w:rsidR="007523B8" w:rsidRPr="009E06AA" w:rsidRDefault="007523B8" w:rsidP="00E247AF">
            <w:pPr>
              <w:pStyle w:val="TableText"/>
              <w:jc w:val="right"/>
              <w:rPr>
                <w:rFonts w:cs="Calibri"/>
                <w:szCs w:val="16"/>
              </w:rPr>
            </w:pPr>
            <w:r w:rsidRPr="009E06AA">
              <w:rPr>
                <w:rFonts w:cs="Calibri"/>
                <w:color w:val="000000"/>
                <w:szCs w:val="16"/>
              </w:rPr>
              <w:t>17.3</w:t>
            </w:r>
          </w:p>
        </w:tc>
      </w:tr>
      <w:tr w:rsidR="007523B8" w:rsidRPr="009E06AA" w14:paraId="49E3C195" w14:textId="77777777" w:rsidTr="00B55F24">
        <w:tc>
          <w:tcPr>
            <w:tcW w:w="1638" w:type="dxa"/>
            <w:shd w:val="clear" w:color="auto" w:fill="auto"/>
          </w:tcPr>
          <w:p w14:paraId="653EAA64" w14:textId="77777777" w:rsidR="007523B8" w:rsidRPr="009E06AA" w:rsidRDefault="007523B8" w:rsidP="00B55F24">
            <w:pPr>
              <w:pStyle w:val="TableText"/>
              <w:rPr>
                <w:rFonts w:cs="Calibri"/>
                <w:szCs w:val="16"/>
              </w:rPr>
            </w:pPr>
            <w:r w:rsidRPr="009E06AA">
              <w:rPr>
                <w:rFonts w:cs="Calibri"/>
                <w:szCs w:val="16"/>
              </w:rPr>
              <w:t>Sheep</w:t>
            </w:r>
          </w:p>
        </w:tc>
        <w:tc>
          <w:tcPr>
            <w:tcW w:w="914" w:type="dxa"/>
            <w:shd w:val="clear" w:color="auto" w:fill="auto"/>
            <w:vAlign w:val="center"/>
          </w:tcPr>
          <w:p w14:paraId="301B9B17" w14:textId="77777777" w:rsidR="007523B8" w:rsidRPr="009E06AA" w:rsidRDefault="007523B8" w:rsidP="00E247AF">
            <w:pPr>
              <w:pStyle w:val="TableText"/>
              <w:jc w:val="right"/>
              <w:rPr>
                <w:rFonts w:cs="Calibri"/>
                <w:szCs w:val="16"/>
              </w:rPr>
            </w:pPr>
            <w:r w:rsidRPr="009E06AA">
              <w:rPr>
                <w:rFonts w:cs="Calibri"/>
                <w:color w:val="000000"/>
                <w:szCs w:val="16"/>
              </w:rPr>
              <w:t>16,118.8</w:t>
            </w:r>
          </w:p>
        </w:tc>
        <w:tc>
          <w:tcPr>
            <w:tcW w:w="850" w:type="dxa"/>
            <w:shd w:val="clear" w:color="auto" w:fill="auto"/>
            <w:vAlign w:val="center"/>
          </w:tcPr>
          <w:p w14:paraId="2E199640" w14:textId="77777777" w:rsidR="007523B8" w:rsidRPr="009E06AA" w:rsidRDefault="007523B8" w:rsidP="00E247AF">
            <w:pPr>
              <w:pStyle w:val="TableText"/>
              <w:jc w:val="right"/>
              <w:rPr>
                <w:rFonts w:cs="Calibri"/>
                <w:szCs w:val="16"/>
              </w:rPr>
            </w:pPr>
            <w:r w:rsidRPr="009E06AA">
              <w:rPr>
                <w:rFonts w:cs="Calibri"/>
                <w:color w:val="000000"/>
                <w:szCs w:val="16"/>
              </w:rPr>
              <w:t>8,865.5</w:t>
            </w:r>
          </w:p>
        </w:tc>
        <w:tc>
          <w:tcPr>
            <w:tcW w:w="631" w:type="dxa"/>
            <w:shd w:val="clear" w:color="auto" w:fill="auto"/>
            <w:vAlign w:val="center"/>
          </w:tcPr>
          <w:p w14:paraId="26A5E760" w14:textId="77777777" w:rsidR="007523B8" w:rsidRPr="009E06AA" w:rsidRDefault="007523B8" w:rsidP="00E247AF">
            <w:pPr>
              <w:pStyle w:val="TableText"/>
              <w:jc w:val="right"/>
              <w:rPr>
                <w:rFonts w:cs="Calibri"/>
                <w:szCs w:val="16"/>
              </w:rPr>
            </w:pPr>
            <w:r w:rsidRPr="009E06AA">
              <w:rPr>
                <w:rFonts w:cs="Calibri"/>
                <w:color w:val="000000"/>
                <w:szCs w:val="16"/>
              </w:rPr>
              <w:t>-45.0</w:t>
            </w:r>
          </w:p>
        </w:tc>
        <w:tc>
          <w:tcPr>
            <w:tcW w:w="1070" w:type="dxa"/>
            <w:shd w:val="clear" w:color="auto" w:fill="auto"/>
            <w:vAlign w:val="center"/>
          </w:tcPr>
          <w:p w14:paraId="45AA0459" w14:textId="77777777" w:rsidR="007523B8" w:rsidRPr="009E06AA" w:rsidRDefault="007523B8" w:rsidP="00E247AF">
            <w:pPr>
              <w:pStyle w:val="TableText"/>
              <w:jc w:val="right"/>
              <w:rPr>
                <w:rFonts w:cs="Calibri"/>
                <w:szCs w:val="16"/>
              </w:rPr>
            </w:pPr>
            <w:r w:rsidRPr="009E06AA">
              <w:rPr>
                <w:rFonts w:cs="Calibri"/>
                <w:color w:val="000000"/>
                <w:szCs w:val="16"/>
              </w:rPr>
              <w:t>-7,253.3</w:t>
            </w:r>
          </w:p>
        </w:tc>
        <w:tc>
          <w:tcPr>
            <w:tcW w:w="993" w:type="dxa"/>
            <w:shd w:val="clear" w:color="auto" w:fill="auto"/>
            <w:vAlign w:val="center"/>
          </w:tcPr>
          <w:p w14:paraId="2675A632" w14:textId="77777777" w:rsidR="007523B8" w:rsidRPr="009E06AA" w:rsidRDefault="007523B8" w:rsidP="00E247AF">
            <w:pPr>
              <w:pStyle w:val="TableText"/>
              <w:jc w:val="right"/>
              <w:rPr>
                <w:rFonts w:cs="Calibri"/>
                <w:szCs w:val="16"/>
              </w:rPr>
            </w:pPr>
            <w:r w:rsidRPr="009E06AA">
              <w:rPr>
                <w:rFonts w:cs="Calibri"/>
                <w:color w:val="000000"/>
                <w:szCs w:val="16"/>
              </w:rPr>
              <w:t>51.6</w:t>
            </w:r>
          </w:p>
        </w:tc>
        <w:tc>
          <w:tcPr>
            <w:tcW w:w="714" w:type="dxa"/>
            <w:shd w:val="clear" w:color="auto" w:fill="auto"/>
            <w:vAlign w:val="center"/>
          </w:tcPr>
          <w:p w14:paraId="0A759A2B" w14:textId="77777777" w:rsidR="007523B8" w:rsidRPr="009E06AA" w:rsidRDefault="007523B8" w:rsidP="00E247AF">
            <w:pPr>
              <w:pStyle w:val="TableText"/>
              <w:jc w:val="right"/>
              <w:rPr>
                <w:rFonts w:cs="Calibri"/>
                <w:szCs w:val="16"/>
              </w:rPr>
            </w:pPr>
            <w:r w:rsidRPr="009E06AA">
              <w:rPr>
                <w:rFonts w:cs="Calibri"/>
                <w:color w:val="000000"/>
                <w:szCs w:val="16"/>
              </w:rPr>
              <w:t>27.2</w:t>
            </w:r>
          </w:p>
        </w:tc>
        <w:tc>
          <w:tcPr>
            <w:tcW w:w="837" w:type="dxa"/>
            <w:shd w:val="clear" w:color="auto" w:fill="auto"/>
            <w:vAlign w:val="center"/>
          </w:tcPr>
          <w:p w14:paraId="5CA81A78" w14:textId="77777777" w:rsidR="007523B8" w:rsidRPr="009E06AA" w:rsidRDefault="007523B8" w:rsidP="00E247AF">
            <w:pPr>
              <w:pStyle w:val="TableText"/>
              <w:jc w:val="right"/>
              <w:rPr>
                <w:rFonts w:cs="Calibri"/>
                <w:szCs w:val="16"/>
              </w:rPr>
            </w:pPr>
            <w:r w:rsidRPr="009E06AA">
              <w:rPr>
                <w:rFonts w:cs="Calibri"/>
                <w:color w:val="000000"/>
                <w:szCs w:val="16"/>
              </w:rPr>
              <w:t>43.4</w:t>
            </w:r>
          </w:p>
        </w:tc>
        <w:tc>
          <w:tcPr>
            <w:tcW w:w="858" w:type="dxa"/>
            <w:shd w:val="clear" w:color="auto" w:fill="auto"/>
            <w:vAlign w:val="center"/>
          </w:tcPr>
          <w:p w14:paraId="380C45EF" w14:textId="77777777" w:rsidR="007523B8" w:rsidRPr="009E06AA" w:rsidRDefault="007523B8" w:rsidP="00E247AF">
            <w:pPr>
              <w:pStyle w:val="TableText"/>
              <w:jc w:val="right"/>
              <w:rPr>
                <w:rFonts w:cs="Calibri"/>
                <w:szCs w:val="16"/>
              </w:rPr>
            </w:pPr>
            <w:r w:rsidRPr="009E06AA">
              <w:rPr>
                <w:rFonts w:cs="Calibri"/>
                <w:color w:val="000000"/>
                <w:szCs w:val="16"/>
              </w:rPr>
              <w:t>21.3</w:t>
            </w:r>
          </w:p>
        </w:tc>
      </w:tr>
      <w:tr w:rsidR="007523B8" w:rsidRPr="009E06AA" w14:paraId="61F6190C" w14:textId="77777777" w:rsidTr="00B55F24">
        <w:tc>
          <w:tcPr>
            <w:tcW w:w="1638" w:type="dxa"/>
            <w:shd w:val="clear" w:color="auto" w:fill="auto"/>
          </w:tcPr>
          <w:p w14:paraId="41865037" w14:textId="77777777" w:rsidR="007523B8" w:rsidRPr="009E06AA" w:rsidRDefault="007523B8" w:rsidP="00B55F24">
            <w:pPr>
              <w:pStyle w:val="TableText"/>
              <w:rPr>
                <w:rFonts w:cs="Calibri"/>
                <w:szCs w:val="16"/>
              </w:rPr>
            </w:pPr>
            <w:r w:rsidRPr="009E06AA">
              <w:rPr>
                <w:rFonts w:cs="Calibri"/>
                <w:szCs w:val="16"/>
              </w:rPr>
              <w:t>Deer</w:t>
            </w:r>
          </w:p>
        </w:tc>
        <w:tc>
          <w:tcPr>
            <w:tcW w:w="914" w:type="dxa"/>
            <w:shd w:val="clear" w:color="auto" w:fill="auto"/>
            <w:vAlign w:val="center"/>
          </w:tcPr>
          <w:p w14:paraId="58C014B6" w14:textId="77777777" w:rsidR="007523B8" w:rsidRPr="009E06AA" w:rsidRDefault="007523B8" w:rsidP="00E247AF">
            <w:pPr>
              <w:pStyle w:val="TableText"/>
              <w:jc w:val="right"/>
              <w:rPr>
                <w:rFonts w:cs="Calibri"/>
                <w:szCs w:val="16"/>
              </w:rPr>
            </w:pPr>
            <w:r w:rsidRPr="009E06AA">
              <w:rPr>
                <w:rFonts w:cs="Calibri"/>
                <w:color w:val="000000"/>
                <w:szCs w:val="16"/>
              </w:rPr>
              <w:t>480.8</w:t>
            </w:r>
          </w:p>
        </w:tc>
        <w:tc>
          <w:tcPr>
            <w:tcW w:w="850" w:type="dxa"/>
            <w:shd w:val="clear" w:color="auto" w:fill="auto"/>
            <w:vAlign w:val="center"/>
          </w:tcPr>
          <w:p w14:paraId="5BE775F0" w14:textId="77777777" w:rsidR="007523B8" w:rsidRPr="009E06AA" w:rsidRDefault="007523B8" w:rsidP="00E247AF">
            <w:pPr>
              <w:pStyle w:val="TableText"/>
              <w:jc w:val="right"/>
              <w:rPr>
                <w:rFonts w:cs="Calibri"/>
                <w:szCs w:val="16"/>
              </w:rPr>
            </w:pPr>
            <w:r w:rsidRPr="009E06AA">
              <w:rPr>
                <w:rFonts w:cs="Calibri"/>
                <w:color w:val="000000"/>
                <w:szCs w:val="16"/>
              </w:rPr>
              <w:t>508.0</w:t>
            </w:r>
          </w:p>
        </w:tc>
        <w:tc>
          <w:tcPr>
            <w:tcW w:w="631" w:type="dxa"/>
            <w:shd w:val="clear" w:color="auto" w:fill="auto"/>
            <w:vAlign w:val="center"/>
          </w:tcPr>
          <w:p w14:paraId="59A460A3" w14:textId="77777777" w:rsidR="007523B8" w:rsidRPr="009E06AA" w:rsidRDefault="007523B8" w:rsidP="00E247AF">
            <w:pPr>
              <w:pStyle w:val="TableText"/>
              <w:jc w:val="right"/>
              <w:rPr>
                <w:rFonts w:cs="Calibri"/>
                <w:szCs w:val="16"/>
              </w:rPr>
            </w:pPr>
            <w:r w:rsidRPr="009E06AA">
              <w:rPr>
                <w:rFonts w:cs="Calibri"/>
                <w:color w:val="000000"/>
                <w:szCs w:val="16"/>
              </w:rPr>
              <w:t>5.7</w:t>
            </w:r>
          </w:p>
        </w:tc>
        <w:tc>
          <w:tcPr>
            <w:tcW w:w="1070" w:type="dxa"/>
            <w:shd w:val="clear" w:color="auto" w:fill="auto"/>
            <w:vAlign w:val="center"/>
          </w:tcPr>
          <w:p w14:paraId="121C2F00" w14:textId="77777777" w:rsidR="007523B8" w:rsidRPr="009E06AA" w:rsidRDefault="007523B8" w:rsidP="00E247AF">
            <w:pPr>
              <w:pStyle w:val="TableText"/>
              <w:jc w:val="right"/>
              <w:rPr>
                <w:rFonts w:cs="Calibri"/>
                <w:szCs w:val="16"/>
              </w:rPr>
            </w:pPr>
            <w:r w:rsidRPr="009E06AA">
              <w:rPr>
                <w:rFonts w:cs="Calibri"/>
                <w:color w:val="000000"/>
                <w:szCs w:val="16"/>
              </w:rPr>
              <w:t>27.2</w:t>
            </w:r>
          </w:p>
        </w:tc>
        <w:tc>
          <w:tcPr>
            <w:tcW w:w="993" w:type="dxa"/>
            <w:shd w:val="clear" w:color="auto" w:fill="auto"/>
            <w:vAlign w:val="center"/>
          </w:tcPr>
          <w:p w14:paraId="5E43C80C" w14:textId="77777777" w:rsidR="007523B8" w:rsidRPr="009E06AA" w:rsidRDefault="007523B8" w:rsidP="00E247AF">
            <w:pPr>
              <w:pStyle w:val="TableText"/>
              <w:jc w:val="right"/>
              <w:rPr>
                <w:rFonts w:cs="Calibri"/>
                <w:szCs w:val="16"/>
              </w:rPr>
            </w:pPr>
            <w:r w:rsidRPr="009E06AA">
              <w:rPr>
                <w:rFonts w:cs="Calibri"/>
                <w:color w:val="000000"/>
                <w:szCs w:val="16"/>
              </w:rPr>
              <w:t>1.5</w:t>
            </w:r>
          </w:p>
        </w:tc>
        <w:tc>
          <w:tcPr>
            <w:tcW w:w="714" w:type="dxa"/>
            <w:shd w:val="clear" w:color="auto" w:fill="auto"/>
            <w:vAlign w:val="center"/>
          </w:tcPr>
          <w:p w14:paraId="695E6546" w14:textId="77777777" w:rsidR="007523B8" w:rsidRPr="009E06AA" w:rsidRDefault="007523B8" w:rsidP="00E247AF">
            <w:pPr>
              <w:pStyle w:val="TableText"/>
              <w:jc w:val="right"/>
              <w:rPr>
                <w:rFonts w:cs="Calibri"/>
                <w:szCs w:val="16"/>
              </w:rPr>
            </w:pPr>
            <w:r w:rsidRPr="009E06AA">
              <w:rPr>
                <w:rFonts w:cs="Calibri"/>
                <w:color w:val="000000"/>
                <w:szCs w:val="16"/>
              </w:rPr>
              <w:t>1.6</w:t>
            </w:r>
          </w:p>
        </w:tc>
        <w:tc>
          <w:tcPr>
            <w:tcW w:w="837" w:type="dxa"/>
            <w:shd w:val="clear" w:color="auto" w:fill="auto"/>
            <w:vAlign w:val="center"/>
          </w:tcPr>
          <w:p w14:paraId="6560245D" w14:textId="77777777" w:rsidR="007523B8" w:rsidRPr="009E06AA" w:rsidRDefault="007523B8" w:rsidP="00E247AF">
            <w:pPr>
              <w:pStyle w:val="TableText"/>
              <w:jc w:val="right"/>
              <w:rPr>
                <w:rFonts w:cs="Calibri"/>
                <w:szCs w:val="16"/>
              </w:rPr>
            </w:pPr>
            <w:r w:rsidRPr="009E06AA">
              <w:rPr>
                <w:rFonts w:cs="Calibri"/>
                <w:color w:val="000000"/>
                <w:szCs w:val="16"/>
              </w:rPr>
              <w:t>1.3</w:t>
            </w:r>
          </w:p>
        </w:tc>
        <w:tc>
          <w:tcPr>
            <w:tcW w:w="858" w:type="dxa"/>
            <w:shd w:val="clear" w:color="auto" w:fill="auto"/>
            <w:vAlign w:val="center"/>
          </w:tcPr>
          <w:p w14:paraId="3460003E" w14:textId="77777777" w:rsidR="007523B8" w:rsidRPr="009E06AA" w:rsidRDefault="007523B8" w:rsidP="00E247AF">
            <w:pPr>
              <w:pStyle w:val="TableText"/>
              <w:jc w:val="right"/>
              <w:rPr>
                <w:rFonts w:cs="Calibri"/>
                <w:szCs w:val="16"/>
              </w:rPr>
            </w:pPr>
            <w:r w:rsidRPr="009E06AA">
              <w:rPr>
                <w:rFonts w:cs="Calibri"/>
                <w:color w:val="000000"/>
                <w:szCs w:val="16"/>
              </w:rPr>
              <w:t>1.2</w:t>
            </w:r>
          </w:p>
        </w:tc>
      </w:tr>
      <w:tr w:rsidR="007523B8" w:rsidRPr="009E06AA" w14:paraId="28A39C76" w14:textId="77777777" w:rsidTr="00B55F24">
        <w:tc>
          <w:tcPr>
            <w:tcW w:w="1638" w:type="dxa"/>
            <w:shd w:val="clear" w:color="auto" w:fill="auto"/>
          </w:tcPr>
          <w:p w14:paraId="392BC8FC" w14:textId="77777777" w:rsidR="007523B8" w:rsidRPr="009E06AA" w:rsidRDefault="007523B8" w:rsidP="00B55F24">
            <w:pPr>
              <w:pStyle w:val="TableText"/>
              <w:rPr>
                <w:rFonts w:cs="Calibri"/>
                <w:szCs w:val="16"/>
              </w:rPr>
            </w:pPr>
            <w:r w:rsidRPr="009E06AA">
              <w:rPr>
                <w:rFonts w:cs="Calibri"/>
                <w:szCs w:val="16"/>
              </w:rPr>
              <w:t>Minor livestock</w:t>
            </w:r>
          </w:p>
        </w:tc>
        <w:tc>
          <w:tcPr>
            <w:tcW w:w="914" w:type="dxa"/>
            <w:shd w:val="clear" w:color="auto" w:fill="auto"/>
            <w:vAlign w:val="center"/>
          </w:tcPr>
          <w:p w14:paraId="5FCA4D67" w14:textId="77777777" w:rsidR="007523B8" w:rsidRPr="009E06AA" w:rsidRDefault="007523B8" w:rsidP="00E247AF">
            <w:pPr>
              <w:pStyle w:val="TableText"/>
              <w:jc w:val="right"/>
              <w:rPr>
                <w:rFonts w:cs="Calibri"/>
                <w:szCs w:val="16"/>
              </w:rPr>
            </w:pPr>
            <w:r w:rsidRPr="009E06AA">
              <w:rPr>
                <w:rFonts w:cs="Calibri"/>
                <w:color w:val="000000"/>
                <w:szCs w:val="16"/>
              </w:rPr>
              <w:t>279.5</w:t>
            </w:r>
          </w:p>
        </w:tc>
        <w:tc>
          <w:tcPr>
            <w:tcW w:w="850" w:type="dxa"/>
            <w:shd w:val="clear" w:color="auto" w:fill="auto"/>
            <w:vAlign w:val="center"/>
          </w:tcPr>
          <w:p w14:paraId="6F084ACC" w14:textId="77777777" w:rsidR="007523B8" w:rsidRPr="009E06AA" w:rsidRDefault="007523B8" w:rsidP="00E247AF">
            <w:pPr>
              <w:pStyle w:val="TableText"/>
              <w:jc w:val="right"/>
              <w:rPr>
                <w:rFonts w:cs="Calibri"/>
                <w:szCs w:val="16"/>
              </w:rPr>
            </w:pPr>
            <w:r w:rsidRPr="009E06AA">
              <w:rPr>
                <w:rFonts w:cs="Calibri"/>
                <w:color w:val="000000"/>
                <w:szCs w:val="16"/>
              </w:rPr>
              <w:t>48.0</w:t>
            </w:r>
          </w:p>
        </w:tc>
        <w:tc>
          <w:tcPr>
            <w:tcW w:w="631" w:type="dxa"/>
            <w:shd w:val="clear" w:color="auto" w:fill="auto"/>
            <w:vAlign w:val="center"/>
          </w:tcPr>
          <w:p w14:paraId="2C2A60E8" w14:textId="77777777" w:rsidR="007523B8" w:rsidRPr="009E06AA" w:rsidRDefault="007523B8" w:rsidP="00E247AF">
            <w:pPr>
              <w:pStyle w:val="TableText"/>
              <w:jc w:val="right"/>
              <w:rPr>
                <w:rFonts w:cs="Calibri"/>
                <w:szCs w:val="16"/>
              </w:rPr>
            </w:pPr>
            <w:r w:rsidRPr="009E06AA">
              <w:rPr>
                <w:rFonts w:cs="Calibri"/>
                <w:color w:val="000000"/>
                <w:szCs w:val="16"/>
              </w:rPr>
              <w:t>-82.8</w:t>
            </w:r>
          </w:p>
        </w:tc>
        <w:tc>
          <w:tcPr>
            <w:tcW w:w="1070" w:type="dxa"/>
            <w:shd w:val="clear" w:color="auto" w:fill="auto"/>
            <w:vAlign w:val="center"/>
          </w:tcPr>
          <w:p w14:paraId="70D4743A" w14:textId="77777777" w:rsidR="007523B8" w:rsidRPr="009E06AA" w:rsidRDefault="007523B8" w:rsidP="00E247AF">
            <w:pPr>
              <w:pStyle w:val="TableText"/>
              <w:jc w:val="right"/>
              <w:rPr>
                <w:rFonts w:cs="Calibri"/>
                <w:szCs w:val="16"/>
              </w:rPr>
            </w:pPr>
            <w:r w:rsidRPr="009E06AA">
              <w:rPr>
                <w:rFonts w:cs="Calibri"/>
                <w:color w:val="000000"/>
                <w:szCs w:val="16"/>
              </w:rPr>
              <w:t>-231.5</w:t>
            </w:r>
          </w:p>
        </w:tc>
        <w:tc>
          <w:tcPr>
            <w:tcW w:w="993" w:type="dxa"/>
            <w:shd w:val="clear" w:color="auto" w:fill="auto"/>
            <w:vAlign w:val="center"/>
          </w:tcPr>
          <w:p w14:paraId="217BCE02" w14:textId="77777777" w:rsidR="007523B8" w:rsidRPr="009E06AA" w:rsidRDefault="007523B8" w:rsidP="00E247AF">
            <w:pPr>
              <w:pStyle w:val="TableText"/>
              <w:jc w:val="right"/>
              <w:rPr>
                <w:rFonts w:cs="Calibri"/>
                <w:szCs w:val="16"/>
              </w:rPr>
            </w:pPr>
            <w:r w:rsidRPr="009E06AA">
              <w:rPr>
                <w:rFonts w:cs="Calibri"/>
                <w:color w:val="000000"/>
                <w:szCs w:val="16"/>
              </w:rPr>
              <w:t>0.9</w:t>
            </w:r>
          </w:p>
        </w:tc>
        <w:tc>
          <w:tcPr>
            <w:tcW w:w="714" w:type="dxa"/>
            <w:shd w:val="clear" w:color="auto" w:fill="auto"/>
            <w:vAlign w:val="center"/>
          </w:tcPr>
          <w:p w14:paraId="259ADCCC" w14:textId="77777777" w:rsidR="007523B8" w:rsidRPr="009E06AA" w:rsidRDefault="007523B8" w:rsidP="00E247AF">
            <w:pPr>
              <w:pStyle w:val="TableText"/>
              <w:jc w:val="right"/>
              <w:rPr>
                <w:rFonts w:cs="Calibri"/>
                <w:szCs w:val="16"/>
              </w:rPr>
            </w:pPr>
            <w:r w:rsidRPr="009E06AA">
              <w:rPr>
                <w:rFonts w:cs="Calibri"/>
                <w:color w:val="000000"/>
                <w:szCs w:val="16"/>
              </w:rPr>
              <w:t>0.2</w:t>
            </w:r>
          </w:p>
        </w:tc>
        <w:tc>
          <w:tcPr>
            <w:tcW w:w="837" w:type="dxa"/>
            <w:shd w:val="clear" w:color="auto" w:fill="auto"/>
            <w:vAlign w:val="center"/>
          </w:tcPr>
          <w:p w14:paraId="41154F2F" w14:textId="77777777" w:rsidR="007523B8" w:rsidRPr="009E06AA" w:rsidRDefault="007523B8" w:rsidP="00E247AF">
            <w:pPr>
              <w:pStyle w:val="TableText"/>
              <w:jc w:val="right"/>
              <w:rPr>
                <w:rFonts w:cs="Calibri"/>
                <w:szCs w:val="16"/>
              </w:rPr>
            </w:pPr>
            <w:r w:rsidRPr="009E06AA">
              <w:rPr>
                <w:rFonts w:cs="Calibri"/>
                <w:color w:val="000000"/>
                <w:szCs w:val="16"/>
              </w:rPr>
              <w:t>0.8</w:t>
            </w:r>
          </w:p>
        </w:tc>
        <w:tc>
          <w:tcPr>
            <w:tcW w:w="858" w:type="dxa"/>
            <w:shd w:val="clear" w:color="auto" w:fill="auto"/>
            <w:vAlign w:val="center"/>
          </w:tcPr>
          <w:p w14:paraId="698B8614" w14:textId="77777777" w:rsidR="007523B8" w:rsidRPr="009E06AA" w:rsidRDefault="007523B8" w:rsidP="00E247AF">
            <w:pPr>
              <w:pStyle w:val="TableText"/>
              <w:jc w:val="right"/>
              <w:rPr>
                <w:rFonts w:cs="Calibri"/>
                <w:szCs w:val="16"/>
              </w:rPr>
            </w:pPr>
            <w:r w:rsidRPr="009E06AA">
              <w:rPr>
                <w:rFonts w:cs="Calibri"/>
                <w:color w:val="000000"/>
                <w:szCs w:val="16"/>
              </w:rPr>
              <w:t>0.1</w:t>
            </w:r>
          </w:p>
        </w:tc>
      </w:tr>
      <w:tr w:rsidR="007523B8" w:rsidRPr="009E06AA" w14:paraId="70C74407" w14:textId="77777777" w:rsidTr="00B55F24">
        <w:tc>
          <w:tcPr>
            <w:tcW w:w="1638" w:type="dxa"/>
            <w:shd w:val="clear" w:color="auto" w:fill="auto"/>
          </w:tcPr>
          <w:p w14:paraId="27B623A0" w14:textId="77777777" w:rsidR="007523B8" w:rsidRPr="009E06AA" w:rsidRDefault="007523B8" w:rsidP="00B55F24">
            <w:pPr>
              <w:pStyle w:val="TableText"/>
              <w:rPr>
                <w:rFonts w:cs="Calibri"/>
                <w:b/>
                <w:bCs/>
                <w:color w:val="1B556B"/>
                <w:szCs w:val="16"/>
              </w:rPr>
            </w:pPr>
            <w:r w:rsidRPr="009E06AA">
              <w:rPr>
                <w:rFonts w:cs="Calibri"/>
                <w:b/>
                <w:bCs/>
                <w:color w:val="1B556B"/>
                <w:szCs w:val="16"/>
              </w:rPr>
              <w:t>Total</w:t>
            </w:r>
          </w:p>
        </w:tc>
        <w:tc>
          <w:tcPr>
            <w:tcW w:w="914" w:type="dxa"/>
            <w:shd w:val="clear" w:color="auto" w:fill="auto"/>
            <w:vAlign w:val="center"/>
          </w:tcPr>
          <w:p w14:paraId="118172EA" w14:textId="77777777" w:rsidR="007523B8" w:rsidRPr="009E06AA" w:rsidRDefault="007523B8" w:rsidP="00E247AF">
            <w:pPr>
              <w:pStyle w:val="TableText"/>
              <w:jc w:val="right"/>
              <w:rPr>
                <w:rFonts w:cs="Calibri"/>
                <w:b/>
                <w:color w:val="1B556B"/>
                <w:szCs w:val="16"/>
              </w:rPr>
            </w:pPr>
            <w:r w:rsidRPr="009E06AA">
              <w:rPr>
                <w:rFonts w:cs="Calibri"/>
                <w:color w:val="000000"/>
                <w:szCs w:val="16"/>
              </w:rPr>
              <w:t>31,212.5</w:t>
            </w:r>
          </w:p>
        </w:tc>
        <w:tc>
          <w:tcPr>
            <w:tcW w:w="850" w:type="dxa"/>
            <w:shd w:val="clear" w:color="auto" w:fill="auto"/>
            <w:vAlign w:val="center"/>
          </w:tcPr>
          <w:p w14:paraId="2E2240EB" w14:textId="77777777" w:rsidR="007523B8" w:rsidRPr="009E06AA" w:rsidRDefault="007523B8" w:rsidP="00E247AF">
            <w:pPr>
              <w:pStyle w:val="TableText"/>
              <w:jc w:val="right"/>
              <w:rPr>
                <w:rFonts w:cs="Calibri"/>
                <w:b/>
                <w:color w:val="1B556B"/>
                <w:szCs w:val="16"/>
              </w:rPr>
            </w:pPr>
            <w:r w:rsidRPr="009E06AA">
              <w:rPr>
                <w:rFonts w:cs="Calibri"/>
                <w:color w:val="000000"/>
                <w:szCs w:val="16"/>
              </w:rPr>
              <w:t>32,617.2</w:t>
            </w:r>
          </w:p>
        </w:tc>
        <w:tc>
          <w:tcPr>
            <w:tcW w:w="631" w:type="dxa"/>
            <w:shd w:val="clear" w:color="auto" w:fill="auto"/>
            <w:vAlign w:val="center"/>
          </w:tcPr>
          <w:p w14:paraId="73213CE7" w14:textId="77777777" w:rsidR="007523B8" w:rsidRPr="009E06AA" w:rsidRDefault="007523B8" w:rsidP="00E247AF">
            <w:pPr>
              <w:pStyle w:val="TableText"/>
              <w:jc w:val="right"/>
              <w:rPr>
                <w:rFonts w:cs="Calibri"/>
                <w:b/>
                <w:color w:val="1B556B"/>
                <w:szCs w:val="16"/>
              </w:rPr>
            </w:pPr>
            <w:r w:rsidRPr="009E06AA">
              <w:rPr>
                <w:rFonts w:cs="Calibri"/>
                <w:color w:val="000000"/>
                <w:szCs w:val="16"/>
              </w:rPr>
              <w:t>4.5</w:t>
            </w:r>
          </w:p>
        </w:tc>
        <w:tc>
          <w:tcPr>
            <w:tcW w:w="1070" w:type="dxa"/>
            <w:shd w:val="clear" w:color="auto" w:fill="auto"/>
            <w:vAlign w:val="center"/>
          </w:tcPr>
          <w:p w14:paraId="5D2A5956" w14:textId="77777777" w:rsidR="007523B8" w:rsidRPr="009E06AA" w:rsidRDefault="007523B8" w:rsidP="00E247AF">
            <w:pPr>
              <w:pStyle w:val="TableText"/>
              <w:jc w:val="right"/>
              <w:rPr>
                <w:rFonts w:cs="Calibri"/>
                <w:b/>
                <w:color w:val="1B556B"/>
                <w:szCs w:val="16"/>
              </w:rPr>
            </w:pPr>
            <w:r w:rsidRPr="009E06AA">
              <w:rPr>
                <w:rFonts w:cs="Calibri"/>
                <w:color w:val="000000"/>
                <w:szCs w:val="16"/>
              </w:rPr>
              <w:t>1,404.7</w:t>
            </w:r>
          </w:p>
        </w:tc>
        <w:tc>
          <w:tcPr>
            <w:tcW w:w="993" w:type="dxa"/>
            <w:shd w:val="clear" w:color="auto" w:fill="auto"/>
            <w:vAlign w:val="center"/>
          </w:tcPr>
          <w:p w14:paraId="3CB215FA" w14:textId="77777777" w:rsidR="007523B8" w:rsidRPr="009E06AA" w:rsidRDefault="007523B8" w:rsidP="00E247AF">
            <w:pPr>
              <w:pStyle w:val="TableText"/>
              <w:jc w:val="right"/>
              <w:rPr>
                <w:rFonts w:cs="Calibri"/>
                <w:b/>
                <w:color w:val="1B556B"/>
                <w:szCs w:val="16"/>
              </w:rPr>
            </w:pPr>
            <w:r w:rsidRPr="009E06AA">
              <w:rPr>
                <w:color w:val="000000"/>
              </w:rPr>
              <w:t>100</w:t>
            </w:r>
            <w:r w:rsidRPr="009E06AA">
              <w:rPr>
                <w:rFonts w:cs="Calibri"/>
                <w:color w:val="000000"/>
                <w:szCs w:val="16"/>
              </w:rPr>
              <w:t>.0</w:t>
            </w:r>
          </w:p>
        </w:tc>
        <w:tc>
          <w:tcPr>
            <w:tcW w:w="714" w:type="dxa"/>
            <w:shd w:val="clear" w:color="auto" w:fill="auto"/>
            <w:vAlign w:val="center"/>
          </w:tcPr>
          <w:p w14:paraId="1701FA94" w14:textId="77777777" w:rsidR="007523B8" w:rsidRPr="009E06AA" w:rsidRDefault="007523B8" w:rsidP="00E247AF">
            <w:pPr>
              <w:pStyle w:val="TableText"/>
              <w:jc w:val="right"/>
              <w:rPr>
                <w:rFonts w:cs="Calibri"/>
                <w:b/>
                <w:color w:val="1B556B"/>
                <w:szCs w:val="16"/>
              </w:rPr>
            </w:pPr>
            <w:r w:rsidRPr="009E06AA">
              <w:rPr>
                <w:color w:val="000000"/>
              </w:rPr>
              <w:t>100</w:t>
            </w:r>
            <w:r w:rsidRPr="009E06AA">
              <w:rPr>
                <w:rFonts w:cs="Calibri"/>
                <w:color w:val="000000"/>
                <w:szCs w:val="16"/>
              </w:rPr>
              <w:t>.0</w:t>
            </w:r>
          </w:p>
        </w:tc>
        <w:tc>
          <w:tcPr>
            <w:tcW w:w="837" w:type="dxa"/>
            <w:shd w:val="clear" w:color="auto" w:fill="auto"/>
            <w:vAlign w:val="center"/>
          </w:tcPr>
          <w:p w14:paraId="41F6C2AD" w14:textId="77777777" w:rsidR="007523B8" w:rsidRPr="009E06AA" w:rsidRDefault="007523B8" w:rsidP="00E247AF">
            <w:pPr>
              <w:pStyle w:val="TableText"/>
              <w:jc w:val="right"/>
              <w:rPr>
                <w:rFonts w:cs="Calibri"/>
                <w:b/>
                <w:color w:val="1B556B"/>
                <w:szCs w:val="16"/>
              </w:rPr>
            </w:pPr>
            <w:r w:rsidRPr="009E06AA">
              <w:rPr>
                <w:rFonts w:cs="Calibri"/>
                <w:color w:val="000000"/>
                <w:szCs w:val="16"/>
              </w:rPr>
              <w:t>84.1</w:t>
            </w:r>
          </w:p>
        </w:tc>
        <w:tc>
          <w:tcPr>
            <w:tcW w:w="858" w:type="dxa"/>
            <w:shd w:val="clear" w:color="auto" w:fill="auto"/>
            <w:vAlign w:val="center"/>
          </w:tcPr>
          <w:p w14:paraId="3297488E" w14:textId="77777777" w:rsidR="007523B8" w:rsidRPr="009E06AA" w:rsidRDefault="007523B8" w:rsidP="00E247AF">
            <w:pPr>
              <w:pStyle w:val="TableText"/>
              <w:jc w:val="right"/>
              <w:rPr>
                <w:rFonts w:cs="Calibri"/>
                <w:b/>
                <w:color w:val="1B556B"/>
                <w:szCs w:val="16"/>
              </w:rPr>
            </w:pPr>
            <w:r w:rsidRPr="009E06AA">
              <w:rPr>
                <w:rFonts w:cs="Calibri"/>
                <w:color w:val="000000"/>
                <w:szCs w:val="16"/>
              </w:rPr>
              <w:t>78.2</w:t>
            </w:r>
          </w:p>
        </w:tc>
      </w:tr>
    </w:tbl>
    <w:p w14:paraId="2789B595" w14:textId="77777777" w:rsidR="007523B8" w:rsidRPr="009E06AA" w:rsidRDefault="007523B8" w:rsidP="007523B8">
      <w:pPr>
        <w:pStyle w:val="Noteundertable"/>
        <w:rPr>
          <w:rFonts w:cs="Calibri"/>
        </w:rPr>
      </w:pPr>
      <w:r w:rsidRPr="009E06AA">
        <w:rPr>
          <w:rFonts w:cs="Calibri"/>
          <w:b/>
          <w:bCs/>
        </w:rPr>
        <w:t>Note</w:t>
      </w:r>
      <w:r w:rsidRPr="009E06AA">
        <w:rPr>
          <w:rFonts w:cs="Calibri"/>
        </w:rPr>
        <w:t>:</w:t>
      </w:r>
      <w:r w:rsidRPr="009E06AA">
        <w:rPr>
          <w:rFonts w:cs="Calibri"/>
        </w:rPr>
        <w:tab/>
        <w:t>Percentages presented are calculated from unrounded values.</w:t>
      </w:r>
    </w:p>
    <w:p w14:paraId="6907E47A" w14:textId="77777777" w:rsidR="007523B8" w:rsidRPr="009E06AA" w:rsidRDefault="007523B8" w:rsidP="007523B8">
      <w:pPr>
        <w:pStyle w:val="Heading3"/>
      </w:pPr>
      <w:bookmarkStart w:id="893" w:name="_Toc32570652"/>
      <w:r w:rsidRPr="009E06AA">
        <w:t>5.2.2</w:t>
      </w:r>
      <w:r w:rsidRPr="009E06AA">
        <w:tab/>
      </w:r>
      <w:bookmarkStart w:id="894" w:name="_Hlk154135484"/>
      <w:r w:rsidRPr="009E06AA">
        <w:t>Methodological issues</w:t>
      </w:r>
      <w:bookmarkEnd w:id="892"/>
      <w:bookmarkEnd w:id="893"/>
      <w:r w:rsidRPr="009E06AA">
        <w:t xml:space="preserve"> </w:t>
      </w:r>
      <w:bookmarkEnd w:id="894"/>
    </w:p>
    <w:p w14:paraId="6ED503DE" w14:textId="77777777" w:rsidR="007523B8" w:rsidRPr="009E06AA" w:rsidRDefault="007523B8" w:rsidP="007523B8">
      <w:pPr>
        <w:pStyle w:val="Heading4"/>
        <w:spacing w:before="160"/>
      </w:pPr>
      <w:r w:rsidRPr="009E06AA">
        <w:t>Emissions from Non-dairy cattle, Dairy cattle and Deer</w:t>
      </w:r>
    </w:p>
    <w:p w14:paraId="7D025CE5" w14:textId="77777777" w:rsidR="007523B8" w:rsidRPr="009E06AA" w:rsidRDefault="007523B8" w:rsidP="007523B8">
      <w:pPr>
        <w:pStyle w:val="BodyText"/>
        <w:rPr>
          <w:rFonts w:cs="Calibri"/>
        </w:rPr>
      </w:pPr>
      <w:r w:rsidRPr="009E06AA">
        <w:rPr>
          <w:rFonts w:cs="Calibri"/>
        </w:rPr>
        <w:t>The total amount of enteric CH</w:t>
      </w:r>
      <w:r w:rsidRPr="009E06AA">
        <w:rPr>
          <w:rFonts w:cs="Calibri"/>
          <w:vertAlign w:val="subscript"/>
        </w:rPr>
        <w:t>4</w:t>
      </w:r>
      <w:r w:rsidRPr="009E06AA">
        <w:rPr>
          <w:rFonts w:cs="Calibri"/>
        </w:rPr>
        <w:t xml:space="preserve"> emitted by </w:t>
      </w:r>
      <w:r w:rsidRPr="009E06AA">
        <w:rPr>
          <w:rFonts w:cs="Calibri"/>
          <w:i/>
          <w:iCs/>
        </w:rPr>
        <w:t>Non-dairy cattle, Dairy cattle</w:t>
      </w:r>
      <w:r w:rsidRPr="009E06AA">
        <w:rPr>
          <w:rFonts w:cs="Calibri"/>
        </w:rPr>
        <w:t xml:space="preserve"> and </w:t>
      </w:r>
      <w:r w:rsidRPr="009E06AA">
        <w:rPr>
          <w:rFonts w:cs="Calibri"/>
          <w:i/>
          <w:iCs/>
        </w:rPr>
        <w:t>Deer</w:t>
      </w:r>
      <w:r w:rsidRPr="009E06AA">
        <w:rPr>
          <w:rFonts w:cs="Calibri"/>
        </w:rPr>
        <w:t xml:space="preserve"> is calculated using a CH</w:t>
      </w:r>
      <w:r w:rsidRPr="009E06AA">
        <w:rPr>
          <w:rFonts w:cs="Calibri"/>
          <w:vertAlign w:val="subscript"/>
        </w:rPr>
        <w:t>4</w:t>
      </w:r>
      <w:r w:rsidRPr="009E06AA">
        <w:rPr>
          <w:rFonts w:cs="Calibri"/>
        </w:rPr>
        <w:t xml:space="preserve"> conversion factor for emissions per unit of dry matter feed intake in kilograms of DMI per livestock category (see figure 5.2.1). The enhanced livestock population characterisation and DMI per head is calculated by New Zealand’s Tier 2 inventory model (see section 5.1.3).</w:t>
      </w:r>
      <w:r w:rsidRPr="009E06AA">
        <w:rPr>
          <w:rFonts w:cs="Calibri"/>
          <w:i/>
        </w:rPr>
        <w:t xml:space="preserve"> </w:t>
      </w:r>
      <w:r w:rsidRPr="009E06AA">
        <w:rPr>
          <w:rFonts w:cs="Calibri"/>
        </w:rPr>
        <w:t>A more complex algorithm has been used to calculate enteric CH</w:t>
      </w:r>
      <w:r w:rsidRPr="009E06AA">
        <w:rPr>
          <w:rFonts w:cs="Calibri"/>
          <w:vertAlign w:val="subscript"/>
        </w:rPr>
        <w:t>4</w:t>
      </w:r>
      <w:r w:rsidRPr="009E06AA">
        <w:rPr>
          <w:rFonts w:cs="Calibri"/>
        </w:rPr>
        <w:t xml:space="preserve"> emissions for </w:t>
      </w:r>
      <w:r w:rsidRPr="009E06AA">
        <w:rPr>
          <w:rFonts w:cs="Calibri"/>
          <w:i/>
          <w:iCs/>
        </w:rPr>
        <w:t>Sheep</w:t>
      </w:r>
      <w:r w:rsidRPr="009E06AA">
        <w:rPr>
          <w:rFonts w:cs="Calibri"/>
        </w:rPr>
        <w:t xml:space="preserve"> and is discussed in the next section.</w:t>
      </w:r>
    </w:p>
    <w:p w14:paraId="5EB2CA21" w14:textId="77777777" w:rsidR="007523B8" w:rsidRPr="009E06AA" w:rsidRDefault="007523B8" w:rsidP="007523B8">
      <w:pPr>
        <w:pStyle w:val="Figure"/>
      </w:pPr>
      <w:bookmarkStart w:id="895" w:name="_Toc447275695"/>
      <w:bookmarkStart w:id="896" w:name="_Toc481752013"/>
      <w:bookmarkStart w:id="897" w:name="_Toc507158472"/>
      <w:bookmarkStart w:id="898" w:name="_Toc511116963"/>
      <w:bookmarkStart w:id="899" w:name="_Toc5269693"/>
      <w:bookmarkStart w:id="900" w:name="_Toc32570964"/>
      <w:bookmarkStart w:id="901" w:name="_Toc36292794"/>
      <w:bookmarkStart w:id="902" w:name="_Toc68786659"/>
      <w:bookmarkStart w:id="903" w:name="_Toc95574120"/>
      <w:bookmarkStart w:id="904" w:name="_Toc127458559"/>
      <w:bookmarkStart w:id="905" w:name="_Toc131591561"/>
      <w:bookmarkStart w:id="906" w:name="_Toc164154029"/>
      <w:bookmarkStart w:id="907" w:name="_Toc288316894"/>
      <w:bookmarkStart w:id="908" w:name="_Toc352505149"/>
      <w:r w:rsidRPr="009E06AA">
        <w:t>Figure 5.2.1</w:t>
      </w:r>
      <w:r w:rsidRPr="009E06AA">
        <w:tab/>
        <w:t>Schematic diagram showing how New Zealand’s emissions from enteric fermentation for cattle and deer are calculated</w:t>
      </w:r>
      <w:bookmarkEnd w:id="895"/>
      <w:bookmarkEnd w:id="896"/>
      <w:bookmarkEnd w:id="897"/>
      <w:bookmarkEnd w:id="898"/>
      <w:bookmarkEnd w:id="899"/>
      <w:bookmarkEnd w:id="900"/>
      <w:bookmarkEnd w:id="901"/>
      <w:bookmarkEnd w:id="902"/>
      <w:bookmarkEnd w:id="903"/>
      <w:bookmarkEnd w:id="904"/>
      <w:bookmarkEnd w:id="905"/>
      <w:bookmarkEnd w:id="906"/>
    </w:p>
    <w:p w14:paraId="0C014775" w14:textId="77777777" w:rsidR="007523B8" w:rsidRPr="009E06AA" w:rsidRDefault="007523B8" w:rsidP="007523B8">
      <w:pPr>
        <w:pStyle w:val="BodyText"/>
        <w:jc w:val="center"/>
        <w:rPr>
          <w:rFonts w:cs="Calibri"/>
        </w:rPr>
      </w:pPr>
      <w:r w:rsidRPr="009E06AA">
        <w:rPr>
          <w:rFonts w:eastAsia="Calibri" w:cs="Calibri"/>
        </w:rPr>
        <w:object w:dxaOrig="17777" w:dyaOrig="9203" w14:anchorId="1AE1E024">
          <v:shape id="_x0000_i1027" type="#_x0000_t75" style="width:390pt;height:210.75pt" o:ole="">
            <v:imagedata r:id="rId104" o:title="" cropright="6980f"/>
          </v:shape>
          <o:OLEObject Type="Embed" ProgID="Visio.Drawing.15" ShapeID="_x0000_i1027" DrawAspect="Content" ObjectID="_1775234102" r:id="rId105"/>
        </w:object>
      </w:r>
    </w:p>
    <w:bookmarkEnd w:id="907"/>
    <w:bookmarkEnd w:id="908"/>
    <w:p w14:paraId="281F0376" w14:textId="77777777" w:rsidR="007523B8" w:rsidRPr="009E06AA" w:rsidRDefault="007523B8" w:rsidP="007523B8">
      <w:pPr>
        <w:pStyle w:val="Noteundertable"/>
        <w:rPr>
          <w:rFonts w:cs="Calibri"/>
        </w:rPr>
      </w:pPr>
      <w:r w:rsidRPr="009E06AA">
        <w:rPr>
          <w:rFonts w:cs="Calibri"/>
          <w:b/>
          <w:bCs/>
        </w:rPr>
        <w:t>Note:</w:t>
      </w:r>
      <w:r w:rsidRPr="009E06AA">
        <w:rPr>
          <w:rFonts w:cs="Calibri"/>
        </w:rPr>
        <w:t xml:space="preserve"> </w:t>
      </w:r>
      <w:r w:rsidRPr="009E06AA">
        <w:rPr>
          <w:rFonts w:cs="Calibri"/>
        </w:rPr>
        <w:tab/>
        <w:t>CH</w:t>
      </w:r>
      <w:r w:rsidRPr="009E06AA">
        <w:rPr>
          <w:rFonts w:cs="Calibri"/>
          <w:vertAlign w:val="subscript"/>
        </w:rPr>
        <w:t>4</w:t>
      </w:r>
      <w:r w:rsidRPr="009E06AA">
        <w:rPr>
          <w:rFonts w:cs="Calibri"/>
        </w:rPr>
        <w:t xml:space="preserve"> = methane; DMI = dry-matter intake; GEI = gross energy intake.</w:t>
      </w:r>
    </w:p>
    <w:p w14:paraId="48D482EF" w14:textId="77777777" w:rsidR="007523B8" w:rsidRPr="009E06AA" w:rsidRDefault="007523B8" w:rsidP="007523B8">
      <w:pPr>
        <w:pStyle w:val="BodyText"/>
        <w:keepNext/>
      </w:pPr>
      <w:r w:rsidRPr="009E06AA">
        <w:t>The equation for the production of enteric CH</w:t>
      </w:r>
      <w:r w:rsidRPr="009E06AA">
        <w:rPr>
          <w:vertAlign w:val="subscript"/>
        </w:rPr>
        <w:t>4</w:t>
      </w:r>
      <w:r w:rsidRPr="009E06AA">
        <w:t xml:space="preserve"> for cattle and deer is:</w:t>
      </w:r>
    </w:p>
    <w:p w14:paraId="1BAFE617" w14:textId="77777777" w:rsidR="007523B8" w:rsidRPr="009E06AA" w:rsidRDefault="008975BF" w:rsidP="002124BD">
      <w:pPr>
        <w:spacing w:before="120" w:after="120"/>
        <w:rPr>
          <w:sz w:val="24"/>
          <w:szCs w:val="24"/>
        </w:rPr>
      </w:pPr>
      <m:oMathPara>
        <m:oMathParaPr>
          <m:jc m:val="center"/>
        </m:oMathParaPr>
        <m:oMath>
          <m:sSub>
            <m:sSubPr>
              <m:ctrlPr>
                <w:rPr>
                  <w:rFonts w:ascii="Cambria Math" w:hAnsi="Cambria Math"/>
                  <w:i/>
                  <w:sz w:val="24"/>
                  <w:szCs w:val="24"/>
                </w:rPr>
              </m:ctrlPr>
            </m:sSubPr>
            <m:e>
              <m:r>
                <w:rPr>
                  <w:rFonts w:ascii="Cambria Math" w:hAnsi="Cambria Math"/>
                  <w:sz w:val="24"/>
                  <w:szCs w:val="24"/>
                </w:rPr>
                <m:t>CH</m:t>
              </m:r>
            </m:e>
            <m:sub>
              <m:r>
                <w:rPr>
                  <w:rFonts w:ascii="Cambria Math" w:hAnsi="Cambria Math"/>
                  <w:sz w:val="24"/>
                  <w:szCs w:val="24"/>
                </w:rPr>
                <m:t>4-</m:t>
              </m:r>
              <m:r>
                <w:rPr>
                  <w:rFonts w:ascii="Cambria Math" w:hAnsi="Cambria Math"/>
                  <w:sz w:val="24"/>
                  <w:szCs w:val="24"/>
                </w:rPr>
                <m:t>enteric</m:t>
              </m:r>
            </m:sub>
          </m:sSub>
          <m:r>
            <w:rPr>
              <w:rFonts w:ascii="Cambria Math" w:hAnsi="Cambria Math"/>
              <w:sz w:val="24"/>
              <w:szCs w:val="24"/>
            </w:rPr>
            <m:t>=</m:t>
          </m:r>
          <m:nary>
            <m:naryPr>
              <m:chr m:val="∑"/>
              <m:limLoc m:val="undOvr"/>
              <m:supHide m:val="1"/>
              <m:ctrlPr>
                <w:rPr>
                  <w:rFonts w:ascii="Cambria Math" w:hAnsi="Cambria Math"/>
                  <w:i/>
                  <w:sz w:val="24"/>
                  <w:szCs w:val="24"/>
                </w:rPr>
              </m:ctrlPr>
            </m:naryPr>
            <m:sub>
              <m:r>
                <w:rPr>
                  <w:rFonts w:ascii="Cambria Math" w:hAnsi="Cambria Math"/>
                  <w:sz w:val="24"/>
                  <w:szCs w:val="24"/>
                </w:rPr>
                <m:t>livestock</m:t>
              </m:r>
              <m:r>
                <w:rPr>
                  <w:rFonts w:ascii="Cambria Math" w:hAnsi="Cambria Math"/>
                  <w:sz w:val="24"/>
                  <w:szCs w:val="24"/>
                </w:rPr>
                <m:t xml:space="preserve"> </m:t>
              </m:r>
              <m:r>
                <w:rPr>
                  <w:rFonts w:ascii="Cambria Math" w:hAnsi="Cambria Math"/>
                  <w:sz w:val="24"/>
                  <w:szCs w:val="24"/>
                </w:rPr>
                <m:t>type</m:t>
              </m:r>
            </m:sub>
            <m:sup/>
            <m:e>
              <m:sSub>
                <m:sSubPr>
                  <m:ctrlPr>
                    <w:rPr>
                      <w:rFonts w:ascii="Cambria Math" w:hAnsi="Cambria Math"/>
                      <w:i/>
                      <w:sz w:val="24"/>
                      <w:szCs w:val="24"/>
                    </w:rPr>
                  </m:ctrlPr>
                </m:sSubPr>
                <m:e>
                  <m:r>
                    <w:rPr>
                      <w:rFonts w:ascii="Cambria Math" w:hAnsi="Cambria Math"/>
                      <w:sz w:val="24"/>
                      <w:szCs w:val="24"/>
                    </w:rPr>
                    <m:t>Pop</m:t>
                  </m:r>
                </m:e>
                <m:sub>
                  <m:r>
                    <w:rPr>
                      <w:rFonts w:ascii="Cambria Math" w:hAnsi="Cambria Math"/>
                      <w:sz w:val="24"/>
                      <w:szCs w:val="24"/>
                    </w:rPr>
                    <m:t>livestock</m:t>
                  </m:r>
                  <m:r>
                    <w:rPr>
                      <w:rFonts w:ascii="Cambria Math" w:hAnsi="Cambria Math"/>
                      <w:sz w:val="24"/>
                      <w:szCs w:val="24"/>
                    </w:rPr>
                    <m:t xml:space="preserve"> </m:t>
                  </m:r>
                  <m:r>
                    <w:rPr>
                      <w:rFonts w:ascii="Cambria Math" w:hAnsi="Cambria Math"/>
                      <w:sz w:val="24"/>
                      <w:szCs w:val="24"/>
                    </w:rPr>
                    <m:t>type</m:t>
                  </m:r>
                </m:sub>
              </m:sSub>
              <m:r>
                <w:rPr>
                  <w:rFonts w:ascii="Cambria Math" w:hAnsi="Cambria Math"/>
                  <w:sz w:val="24"/>
                  <w:szCs w:val="24"/>
                </w:rPr>
                <m:t xml:space="preserve"> ×</m:t>
              </m:r>
            </m:e>
          </m:nary>
          <m:r>
            <w:rPr>
              <w:rFonts w:ascii="Cambria Math" w:hAnsi="Cambria Math"/>
              <w:sz w:val="24"/>
              <w:szCs w:val="24"/>
            </w:rPr>
            <m:t xml:space="preserve"> </m:t>
          </m:r>
          <m:r>
            <w:rPr>
              <w:rFonts w:ascii="Cambria Math" w:hAnsi="Cambria Math"/>
              <w:sz w:val="24"/>
              <w:szCs w:val="24"/>
            </w:rPr>
            <m:t>DMI</m:t>
          </m:r>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MCR</m:t>
              </m:r>
            </m:num>
            <m:den>
              <m:r>
                <w:rPr>
                  <w:rFonts w:ascii="Cambria Math" w:hAnsi="Cambria Math"/>
                  <w:sz w:val="24"/>
                  <w:szCs w:val="24"/>
                </w:rPr>
                <m:t>1000</m:t>
              </m:r>
            </m:den>
          </m:f>
        </m:oMath>
      </m:oMathPara>
    </w:p>
    <w:p w14:paraId="461ABCF9" w14:textId="77777777" w:rsidR="007523B8" w:rsidRPr="009E06AA" w:rsidRDefault="007523B8" w:rsidP="002124BD">
      <w:pPr>
        <w:pStyle w:val="BodyText"/>
        <w:spacing w:after="40"/>
        <w:ind w:left="851" w:hanging="851"/>
      </w:pPr>
      <w:r w:rsidRPr="009E06AA">
        <w:t>Where:</w:t>
      </w:r>
      <w:r w:rsidRPr="009E06AA">
        <w:tab/>
        <w:t>CH</w:t>
      </w:r>
      <w:r w:rsidRPr="009E06AA">
        <w:rPr>
          <w:vertAlign w:val="subscript"/>
        </w:rPr>
        <w:t>4-enteric</w:t>
      </w:r>
      <w:r w:rsidRPr="009E06AA">
        <w:t xml:space="preserve"> </w:t>
      </w:r>
      <w:r w:rsidRPr="009E06AA">
        <w:rPr>
          <w:rFonts w:cstheme="minorHAnsi"/>
        </w:rPr>
        <w:t>=</w:t>
      </w:r>
      <w:r w:rsidRPr="009E06AA">
        <w:t xml:space="preserve"> enteric </w:t>
      </w:r>
      <w:r w:rsidRPr="009E06AA">
        <w:rPr>
          <w:rFonts w:cstheme="minorHAnsi"/>
        </w:rPr>
        <w:t>methane emissions per day</w:t>
      </w:r>
      <w:r w:rsidRPr="009E06AA">
        <w:t xml:space="preserve"> (kg)</w:t>
      </w:r>
    </w:p>
    <w:p w14:paraId="0AD07447" w14:textId="77777777" w:rsidR="007523B8" w:rsidRPr="009E06AA" w:rsidRDefault="007523B8" w:rsidP="002124BD">
      <w:pPr>
        <w:pStyle w:val="BodyText"/>
        <w:spacing w:before="40" w:after="40"/>
        <w:ind w:left="851" w:hanging="851"/>
      </w:pPr>
      <w:r w:rsidRPr="009E06AA">
        <w:tab/>
      </w:r>
      <w:r w:rsidRPr="009E06AA">
        <w:rPr>
          <w:rFonts w:cstheme="minorHAnsi"/>
        </w:rPr>
        <w:t>Pop</w:t>
      </w:r>
      <w:r w:rsidRPr="009E06AA">
        <w:rPr>
          <w:rFonts w:cstheme="minorHAnsi"/>
          <w:vertAlign w:val="subscript"/>
        </w:rPr>
        <w:t>livestock</w:t>
      </w:r>
      <w:r w:rsidRPr="009E06AA">
        <w:rPr>
          <w:vertAlign w:val="subscript"/>
        </w:rPr>
        <w:t xml:space="preserve"> type</w:t>
      </w:r>
      <w:r w:rsidRPr="009E06AA">
        <w:t xml:space="preserve"> </w:t>
      </w:r>
      <w:r w:rsidRPr="009E06AA">
        <w:rPr>
          <w:rFonts w:cstheme="minorHAnsi"/>
        </w:rPr>
        <w:t>=</w:t>
      </w:r>
      <w:r w:rsidRPr="009E06AA">
        <w:t xml:space="preserve"> population of each livestock category (head)</w:t>
      </w:r>
    </w:p>
    <w:p w14:paraId="7A0976C5" w14:textId="77777777" w:rsidR="007523B8" w:rsidRPr="009E06AA" w:rsidRDefault="007523B8" w:rsidP="002124BD">
      <w:pPr>
        <w:pStyle w:val="BodyText"/>
        <w:spacing w:before="40" w:after="40"/>
        <w:ind w:left="851" w:hanging="851"/>
      </w:pPr>
      <w:r w:rsidRPr="009E06AA">
        <w:tab/>
        <w:t xml:space="preserve">DMI = dry-matter intake (kg per animal per day) </w:t>
      </w:r>
    </w:p>
    <w:p w14:paraId="581E5F7F" w14:textId="0FB21FBB" w:rsidR="007523B8" w:rsidRPr="009E06AA" w:rsidRDefault="007523B8" w:rsidP="002124BD">
      <w:pPr>
        <w:pStyle w:val="BodyText"/>
        <w:spacing w:before="40" w:after="0"/>
        <w:ind w:left="851" w:hanging="851"/>
      </w:pPr>
      <w:r w:rsidRPr="009E06AA">
        <w:tab/>
        <w:t>MCR = Methane conversion rate (21.6 grams of CH</w:t>
      </w:r>
      <w:r w:rsidRPr="009E06AA">
        <w:rPr>
          <w:vertAlign w:val="subscript"/>
        </w:rPr>
        <w:t>4</w:t>
      </w:r>
      <w:r w:rsidRPr="009E06AA">
        <w:t xml:space="preserve"> per kg of DMI for dairy cattle and</w:t>
      </w:r>
      <w:r w:rsidR="002124BD" w:rsidRPr="009E06AA">
        <w:t> </w:t>
      </w:r>
      <w:r w:rsidRPr="009E06AA">
        <w:t>non-dairy cattle and 21.25 grams of CH</w:t>
      </w:r>
      <w:r w:rsidRPr="009E06AA">
        <w:rPr>
          <w:vertAlign w:val="subscript"/>
        </w:rPr>
        <w:t>4</w:t>
      </w:r>
      <w:r w:rsidRPr="009E06AA">
        <w:t xml:space="preserve"> per kg of DMI for deer).</w:t>
      </w:r>
    </w:p>
    <w:p w14:paraId="204275C3" w14:textId="77777777" w:rsidR="007523B8" w:rsidRPr="009E06AA" w:rsidRDefault="007523B8" w:rsidP="007523B8">
      <w:pPr>
        <w:pStyle w:val="Heading4"/>
      </w:pPr>
      <w:r w:rsidRPr="009E06AA">
        <w:t>Emissions from Sheep</w:t>
      </w:r>
    </w:p>
    <w:p w14:paraId="30AC7F86" w14:textId="77777777" w:rsidR="007523B8" w:rsidRPr="009E06AA" w:rsidRDefault="007523B8" w:rsidP="007523B8">
      <w:pPr>
        <w:pStyle w:val="BodyText"/>
        <w:spacing w:before="80"/>
        <w:rPr>
          <w:rFonts w:cs="Calibri"/>
        </w:rPr>
      </w:pPr>
      <w:r w:rsidRPr="009E06AA">
        <w:rPr>
          <w:rFonts w:cs="Calibri"/>
        </w:rPr>
        <w:t>Enteric CH</w:t>
      </w:r>
      <w:r w:rsidRPr="009E06AA">
        <w:rPr>
          <w:rFonts w:cs="Calibri"/>
          <w:vertAlign w:val="subscript"/>
        </w:rPr>
        <w:t>4</w:t>
      </w:r>
      <w:r w:rsidRPr="009E06AA">
        <w:rPr>
          <w:rFonts w:cs="Calibri"/>
        </w:rPr>
        <w:t xml:space="preserve"> emissions from </w:t>
      </w:r>
      <w:r w:rsidRPr="009E06AA">
        <w:rPr>
          <w:rFonts w:cs="Calibri"/>
          <w:i/>
          <w:iCs/>
        </w:rPr>
        <w:t>Sheep</w:t>
      </w:r>
      <w:r w:rsidRPr="009E06AA">
        <w:rPr>
          <w:rFonts w:cs="Calibri"/>
        </w:rPr>
        <w:t xml:space="preserve"> are calculated using the methodology outlined in a peer reviewed paper published by Swainson et al. (2016). The study confirmed that DMI alone has the largest influence on CH</w:t>
      </w:r>
      <w:r w:rsidRPr="009E06AA">
        <w:rPr>
          <w:rFonts w:cs="Calibri"/>
          <w:vertAlign w:val="subscript"/>
        </w:rPr>
        <w:t>4</w:t>
      </w:r>
      <w:r w:rsidRPr="009E06AA">
        <w:rPr>
          <w:rFonts w:cs="Calibri"/>
        </w:rPr>
        <w:t xml:space="preserve"> emissions and that pasture quality (as measured by the ME content) has a small but statistically significant effect on emissions from sheep less than one year of age.</w:t>
      </w:r>
    </w:p>
    <w:p w14:paraId="64A50EAB" w14:textId="77777777" w:rsidR="007523B8" w:rsidRPr="009E06AA" w:rsidRDefault="007523B8" w:rsidP="007523B8">
      <w:pPr>
        <w:pStyle w:val="BodyText"/>
        <w:spacing w:before="80"/>
        <w:rPr>
          <w:rFonts w:cs="Calibri"/>
        </w:rPr>
      </w:pPr>
      <w:r w:rsidRPr="009E06AA">
        <w:rPr>
          <w:rFonts w:cs="Calibri"/>
        </w:rPr>
        <w:t>Swainson et al. (2016) concluded that two log-transformed linear regressions (one for sheep less than one year of age and one for sheep greater than one year of age) provided the best fit for the data and recommended that these equations be used in the National Inventory Report.</w:t>
      </w:r>
      <w:r w:rsidRPr="009E06AA" w:rsidDel="00970856">
        <w:rPr>
          <w:rFonts w:cs="Calibri"/>
        </w:rPr>
        <w:t xml:space="preserve"> </w:t>
      </w:r>
    </w:p>
    <w:p w14:paraId="2B30B1E7" w14:textId="77777777" w:rsidR="007523B8" w:rsidRPr="009E06AA" w:rsidRDefault="007523B8" w:rsidP="007523B8">
      <w:pPr>
        <w:pStyle w:val="BodyText"/>
        <w:spacing w:before="80"/>
      </w:pPr>
      <w:r w:rsidRPr="009E06AA">
        <w:t>The equation</w:t>
      </w:r>
      <w:r w:rsidRPr="009E06AA">
        <w:rPr>
          <w:rStyle w:val="FootnoteReference"/>
          <w:rFonts w:cs="Calibri"/>
        </w:rPr>
        <w:footnoteReference w:id="31"/>
      </w:r>
      <w:r w:rsidRPr="009E06AA">
        <w:t xml:space="preserve"> for the total production of enteric CH</w:t>
      </w:r>
      <w:r w:rsidRPr="009E06AA">
        <w:rPr>
          <w:vertAlign w:val="subscript"/>
        </w:rPr>
        <w:t>4</w:t>
      </w:r>
      <w:r w:rsidRPr="009E06AA">
        <w:t xml:space="preserve"> for sheep less than one year of age is:</w:t>
      </w:r>
    </w:p>
    <w:p w14:paraId="0625C775" w14:textId="77777777" w:rsidR="007523B8" w:rsidRPr="009E06AA" w:rsidRDefault="008975BF" w:rsidP="007523B8">
      <w:pPr>
        <w:pStyle w:val="BodyText"/>
        <w:rPr>
          <w:i/>
          <w:sz w:val="24"/>
        </w:rPr>
      </w:pPr>
      <m:oMathPara>
        <m:oMathParaPr>
          <m:jc m:val="center"/>
        </m:oMathParaPr>
        <m:oMath>
          <m:sSub>
            <m:sSubPr>
              <m:ctrlPr>
                <w:rPr>
                  <w:rFonts w:ascii="Cambria Math" w:hAnsi="Cambria Math"/>
                  <w:i/>
                  <w:sz w:val="24"/>
                </w:rPr>
              </m:ctrlPr>
            </m:sSubPr>
            <m:e>
              <m:r>
                <w:rPr>
                  <w:rFonts w:ascii="Cambria Math" w:hAnsi="Cambria Math"/>
                  <w:sz w:val="24"/>
                </w:rPr>
                <m:t>CH</m:t>
              </m:r>
            </m:e>
            <m:sub>
              <m:r>
                <w:rPr>
                  <w:rFonts w:ascii="Cambria Math" w:hAnsi="Cambria Math"/>
                  <w:sz w:val="24"/>
                </w:rPr>
                <m:t>4-</m:t>
              </m:r>
              <m:r>
                <w:rPr>
                  <w:rFonts w:ascii="Cambria Math" w:hAnsi="Cambria Math"/>
                  <w:sz w:val="24"/>
                </w:rPr>
                <m:t>enteric</m:t>
              </m:r>
            </m:sub>
          </m:sSub>
          <m:r>
            <w:rPr>
              <w:rFonts w:ascii="Cambria Math" w:hAnsi="Cambria Math"/>
              <w:sz w:val="24"/>
            </w:rPr>
            <m:t xml:space="preserve">= </m:t>
          </m:r>
          <m:nary>
            <m:naryPr>
              <m:chr m:val="∑"/>
              <m:limLoc m:val="undOvr"/>
              <m:supHide m:val="1"/>
              <m:ctrlPr>
                <w:rPr>
                  <w:rFonts w:ascii="Cambria Math" w:hAnsi="Cambria Math"/>
                  <w:i/>
                  <w:sz w:val="24"/>
                </w:rPr>
              </m:ctrlPr>
            </m:naryPr>
            <m:sub>
              <m:r>
                <w:rPr>
                  <w:rFonts w:ascii="Cambria Math" w:hAnsi="Cambria Math"/>
                  <w:sz w:val="24"/>
                </w:rPr>
                <m:t>class</m:t>
              </m:r>
              <m:r>
                <w:rPr>
                  <w:rFonts w:ascii="Cambria Math" w:hAnsi="Cambria Math"/>
                  <w:sz w:val="24"/>
                </w:rPr>
                <m:t xml:space="preserve"> </m:t>
              </m:r>
            </m:sub>
            <m:sup/>
            <m:e>
              <m:nary>
                <m:naryPr>
                  <m:chr m:val="∑"/>
                  <m:limLoc m:val="undOvr"/>
                  <m:supHide m:val="1"/>
                  <m:ctrlPr>
                    <w:rPr>
                      <w:rFonts w:ascii="Cambria Math" w:hAnsi="Cambria Math"/>
                      <w:i/>
                      <w:sz w:val="24"/>
                    </w:rPr>
                  </m:ctrlPr>
                </m:naryPr>
                <m:sub>
                  <m:r>
                    <w:rPr>
                      <w:rFonts w:ascii="Cambria Math" w:hAnsi="Cambria Math"/>
                      <w:sz w:val="24"/>
                    </w:rPr>
                    <m:t>mont</m:t>
                  </m:r>
                  <m:r>
                    <w:rPr>
                      <w:rFonts w:ascii="Cambria Math" w:hAnsi="Cambria Math"/>
                      <w:sz w:val="24"/>
                    </w:rPr>
                    <m:t>h</m:t>
                  </m:r>
                </m:sub>
                <m:sup/>
                <m:e>
                  <m:sSub>
                    <m:sSubPr>
                      <m:ctrlPr>
                        <w:rPr>
                          <w:rFonts w:ascii="Cambria Math" w:hAnsi="Cambria Math"/>
                          <w:i/>
                          <w:sz w:val="24"/>
                        </w:rPr>
                      </m:ctrlPr>
                    </m:sSubPr>
                    <m:e>
                      <m:r>
                        <w:rPr>
                          <w:rFonts w:ascii="Cambria Math" w:hAnsi="Cambria Math"/>
                          <w:sz w:val="24"/>
                        </w:rPr>
                        <m:t>d</m:t>
                      </m:r>
                    </m:e>
                    <m:sub>
                      <m:r>
                        <w:rPr>
                          <w:rFonts w:ascii="Cambria Math" w:hAnsi="Cambria Math"/>
                          <w:sz w:val="24"/>
                        </w:rPr>
                        <m:t>m</m:t>
                      </m:r>
                    </m:sub>
                  </m:sSub>
                </m:e>
              </m:nary>
              <m:sSub>
                <m:sSubPr>
                  <m:ctrlPr>
                    <w:rPr>
                      <w:rFonts w:ascii="Cambria Math" w:hAnsi="Cambria Math"/>
                      <w:i/>
                      <w:sz w:val="24"/>
                    </w:rPr>
                  </m:ctrlPr>
                </m:sSubPr>
                <m:e>
                  <m:r>
                    <w:rPr>
                      <w:rFonts w:ascii="Cambria Math" w:hAnsi="Cambria Math"/>
                      <w:sz w:val="24"/>
                    </w:rPr>
                    <m:t>Lamb</m:t>
                  </m:r>
                </m:e>
                <m:sub>
                  <m:r>
                    <w:rPr>
                      <w:rFonts w:ascii="Cambria Math" w:hAnsi="Cambria Math"/>
                      <w:sz w:val="24"/>
                    </w:rPr>
                    <m:t>cm</m:t>
                  </m:r>
                </m:sub>
              </m:sSub>
              <m:f>
                <m:fPr>
                  <m:ctrlPr>
                    <w:rPr>
                      <w:rFonts w:ascii="Cambria Math" w:hAnsi="Cambria Math"/>
                      <w:i/>
                      <w:sz w:val="24"/>
                    </w:rPr>
                  </m:ctrlPr>
                </m:fPr>
                <m:num>
                  <m:r>
                    <w:rPr>
                      <w:rFonts w:ascii="Cambria Math" w:hAnsi="Cambria Math"/>
                      <w:sz w:val="24"/>
                    </w:rPr>
                    <m:t>11.705</m:t>
                  </m:r>
                </m:num>
                <m:den>
                  <m:r>
                    <w:rPr>
                      <w:rFonts w:ascii="Cambria Math" w:hAnsi="Cambria Math"/>
                      <w:sz w:val="24"/>
                    </w:rPr>
                    <m:t>1000</m:t>
                  </m:r>
                </m:den>
              </m:f>
            </m:e>
          </m:nary>
          <m:sSup>
            <m:sSupPr>
              <m:ctrlPr>
                <w:rPr>
                  <w:rFonts w:ascii="Cambria Math" w:hAnsi="Cambria Math"/>
                  <w:i/>
                  <w:sz w:val="24"/>
                </w:rPr>
              </m:ctrlPr>
            </m:sSupPr>
            <m:e>
              <m:sSup>
                <m:sSupPr>
                  <m:ctrlPr>
                    <w:rPr>
                      <w:rFonts w:ascii="Cambria Math" w:hAnsi="Cambria Math"/>
                      <w:i/>
                      <w:sz w:val="24"/>
                    </w:rPr>
                  </m:ctrlPr>
                </m:sSupPr>
                <m:e>
                  <m:r>
                    <w:rPr>
                      <w:rFonts w:ascii="Cambria Math" w:hAnsi="Cambria Math"/>
                      <w:sz w:val="24"/>
                    </w:rPr>
                    <m:t>e</m:t>
                  </m:r>
                </m:e>
                <m:sup>
                  <m:r>
                    <w:rPr>
                      <w:rFonts w:ascii="Cambria Math" w:hAnsi="Cambria Math"/>
                      <w:sz w:val="24"/>
                    </w:rPr>
                    <m:t>0.05×</m:t>
                  </m:r>
                  <m:r>
                    <w:rPr>
                      <w:rFonts w:ascii="Cambria Math" w:hAnsi="Cambria Math"/>
                      <w:sz w:val="24"/>
                    </w:rPr>
                    <m:t>ME</m:t>
                  </m:r>
                </m:sup>
              </m:sSup>
              <m:r>
                <w:rPr>
                  <w:rFonts w:ascii="Cambria Math" w:hAnsi="Cambria Math"/>
                  <w:sz w:val="24"/>
                </w:rPr>
                <m:t>DMI</m:t>
              </m:r>
            </m:e>
            <m:sup>
              <m:r>
                <w:rPr>
                  <w:rFonts w:ascii="Cambria Math" w:hAnsi="Cambria Math"/>
                  <w:sz w:val="24"/>
                </w:rPr>
                <m:t>0.734</m:t>
              </m:r>
            </m:sup>
          </m:sSup>
        </m:oMath>
      </m:oMathPara>
    </w:p>
    <w:p w14:paraId="7261937D" w14:textId="77777777" w:rsidR="007523B8" w:rsidRPr="009E06AA" w:rsidRDefault="007523B8" w:rsidP="007523B8">
      <w:pPr>
        <w:pStyle w:val="BodyText"/>
      </w:pPr>
      <w:r w:rsidRPr="009E06AA">
        <w:t>The equation</w:t>
      </w:r>
      <w:r w:rsidRPr="009E06AA">
        <w:rPr>
          <w:rStyle w:val="FootnoteReference"/>
          <w:rFonts w:cs="Calibri"/>
        </w:rPr>
        <w:footnoteReference w:id="32"/>
      </w:r>
      <w:r w:rsidRPr="009E06AA">
        <w:t xml:space="preserve"> for the total production of enteric CH</w:t>
      </w:r>
      <w:r w:rsidRPr="009E06AA">
        <w:rPr>
          <w:vertAlign w:val="subscript"/>
        </w:rPr>
        <w:t>4</w:t>
      </w:r>
      <w:r w:rsidRPr="009E06AA">
        <w:t xml:space="preserve"> for sheep greater than one year of age is:</w:t>
      </w:r>
    </w:p>
    <w:p w14:paraId="24642743" w14:textId="77777777" w:rsidR="007523B8" w:rsidRPr="009E06AA" w:rsidRDefault="008975BF" w:rsidP="007523B8">
      <w:pPr>
        <w:pStyle w:val="BodyText"/>
        <w:rPr>
          <w:i/>
          <w:sz w:val="24"/>
        </w:rPr>
      </w:pPr>
      <m:oMathPara>
        <m:oMathParaPr>
          <m:jc m:val="center"/>
        </m:oMathParaPr>
        <m:oMath>
          <m:sSub>
            <m:sSubPr>
              <m:ctrlPr>
                <w:rPr>
                  <w:rFonts w:ascii="Cambria Math" w:hAnsi="Cambria Math"/>
                  <w:i/>
                  <w:sz w:val="24"/>
                </w:rPr>
              </m:ctrlPr>
            </m:sSubPr>
            <m:e>
              <m:r>
                <w:rPr>
                  <w:rFonts w:ascii="Cambria Math" w:hAnsi="Cambria Math"/>
                  <w:sz w:val="24"/>
                </w:rPr>
                <m:t>CH</m:t>
              </m:r>
            </m:e>
            <m:sub>
              <m:r>
                <w:rPr>
                  <w:rFonts w:ascii="Cambria Math" w:hAnsi="Cambria Math"/>
                  <w:sz w:val="24"/>
                </w:rPr>
                <m:t>4-</m:t>
              </m:r>
              <m:r>
                <w:rPr>
                  <w:rFonts w:ascii="Cambria Math" w:hAnsi="Cambria Math"/>
                  <w:sz w:val="24"/>
                </w:rPr>
                <m:t>enteric</m:t>
              </m:r>
            </m:sub>
          </m:sSub>
          <m:r>
            <w:rPr>
              <w:rFonts w:ascii="Cambria Math" w:hAnsi="Cambria Math"/>
              <w:sz w:val="24"/>
            </w:rPr>
            <m:t xml:space="preserve">= </m:t>
          </m:r>
          <m:nary>
            <m:naryPr>
              <m:chr m:val="∑"/>
              <m:limLoc m:val="undOvr"/>
              <m:supHide m:val="1"/>
              <m:ctrlPr>
                <w:rPr>
                  <w:rFonts w:ascii="Cambria Math" w:hAnsi="Cambria Math"/>
                  <w:i/>
                  <w:sz w:val="24"/>
                </w:rPr>
              </m:ctrlPr>
            </m:naryPr>
            <m:sub>
              <m:r>
                <w:rPr>
                  <w:rFonts w:ascii="Cambria Math" w:hAnsi="Cambria Math"/>
                  <w:sz w:val="24"/>
                </w:rPr>
                <m:t>class</m:t>
              </m:r>
              <m:r>
                <w:rPr>
                  <w:rFonts w:ascii="Cambria Math" w:hAnsi="Cambria Math"/>
                  <w:sz w:val="24"/>
                </w:rPr>
                <m:t xml:space="preserve"> </m:t>
              </m:r>
            </m:sub>
            <m:sup/>
            <m:e>
              <m:nary>
                <m:naryPr>
                  <m:chr m:val="∑"/>
                  <m:limLoc m:val="undOvr"/>
                  <m:supHide m:val="1"/>
                  <m:ctrlPr>
                    <w:rPr>
                      <w:rFonts w:ascii="Cambria Math" w:hAnsi="Cambria Math"/>
                      <w:i/>
                      <w:sz w:val="24"/>
                    </w:rPr>
                  </m:ctrlPr>
                </m:naryPr>
                <m:sub>
                  <m:r>
                    <w:rPr>
                      <w:rFonts w:ascii="Cambria Math" w:hAnsi="Cambria Math"/>
                      <w:sz w:val="24"/>
                    </w:rPr>
                    <m:t>mont</m:t>
                  </m:r>
                  <m:r>
                    <w:rPr>
                      <w:rFonts w:ascii="Cambria Math" w:hAnsi="Cambria Math"/>
                      <w:sz w:val="24"/>
                    </w:rPr>
                    <m:t>h</m:t>
                  </m:r>
                </m:sub>
                <m:sup/>
                <m:e>
                  <m:sSub>
                    <m:sSubPr>
                      <m:ctrlPr>
                        <w:rPr>
                          <w:rFonts w:ascii="Cambria Math" w:hAnsi="Cambria Math"/>
                          <w:i/>
                          <w:sz w:val="24"/>
                        </w:rPr>
                      </m:ctrlPr>
                    </m:sSubPr>
                    <m:e>
                      <m:r>
                        <w:rPr>
                          <w:rFonts w:ascii="Cambria Math" w:hAnsi="Cambria Math"/>
                          <w:sz w:val="24"/>
                        </w:rPr>
                        <m:t>d</m:t>
                      </m:r>
                    </m:e>
                    <m:sub>
                      <m:r>
                        <w:rPr>
                          <w:rFonts w:ascii="Cambria Math" w:hAnsi="Cambria Math"/>
                          <w:sz w:val="24"/>
                        </w:rPr>
                        <m:t>m</m:t>
                      </m:r>
                    </m:sub>
                  </m:sSub>
                </m:e>
              </m:nary>
              <m:sSub>
                <m:sSubPr>
                  <m:ctrlPr>
                    <w:rPr>
                      <w:rFonts w:ascii="Cambria Math" w:hAnsi="Cambria Math"/>
                      <w:i/>
                      <w:sz w:val="24"/>
                    </w:rPr>
                  </m:ctrlPr>
                </m:sSubPr>
                <m:e>
                  <m:r>
                    <w:rPr>
                      <w:rFonts w:ascii="Cambria Math" w:hAnsi="Cambria Math"/>
                      <w:sz w:val="24"/>
                    </w:rPr>
                    <m:t>S</m:t>
                  </m:r>
                  <m:r>
                    <w:rPr>
                      <w:rFonts w:ascii="Cambria Math" w:hAnsi="Cambria Math"/>
                      <w:sz w:val="24"/>
                    </w:rPr>
                    <m:t>h</m:t>
                  </m:r>
                  <m:r>
                    <w:rPr>
                      <w:rFonts w:ascii="Cambria Math" w:hAnsi="Cambria Math"/>
                      <w:sz w:val="24"/>
                    </w:rPr>
                    <m:t>eep</m:t>
                  </m:r>
                </m:e>
                <m:sub>
                  <m:r>
                    <w:rPr>
                      <w:rFonts w:ascii="Cambria Math" w:hAnsi="Cambria Math"/>
                      <w:sz w:val="24"/>
                    </w:rPr>
                    <m:t>cm</m:t>
                  </m:r>
                </m:sub>
              </m:sSub>
              <m:f>
                <m:fPr>
                  <m:ctrlPr>
                    <w:rPr>
                      <w:rFonts w:ascii="Cambria Math" w:hAnsi="Cambria Math"/>
                      <w:i/>
                      <w:sz w:val="24"/>
                    </w:rPr>
                  </m:ctrlPr>
                </m:fPr>
                <m:num>
                  <m:r>
                    <w:rPr>
                      <w:rFonts w:ascii="Cambria Math" w:hAnsi="Cambria Math"/>
                      <w:sz w:val="24"/>
                    </w:rPr>
                    <m:t>21.977</m:t>
                  </m:r>
                </m:num>
                <m:den>
                  <m:r>
                    <w:rPr>
                      <w:rFonts w:ascii="Cambria Math" w:hAnsi="Cambria Math"/>
                      <w:sz w:val="24"/>
                    </w:rPr>
                    <m:t>1000</m:t>
                  </m:r>
                </m:den>
              </m:f>
            </m:e>
          </m:nary>
          <m:sSup>
            <m:sSupPr>
              <m:ctrlPr>
                <w:rPr>
                  <w:rFonts w:ascii="Cambria Math" w:hAnsi="Cambria Math"/>
                  <w:i/>
                  <w:sz w:val="24"/>
                </w:rPr>
              </m:ctrlPr>
            </m:sSupPr>
            <m:e>
              <m:r>
                <w:rPr>
                  <w:rFonts w:ascii="Cambria Math" w:hAnsi="Cambria Math"/>
                  <w:sz w:val="24"/>
                </w:rPr>
                <m:t>DMI</m:t>
              </m:r>
            </m:e>
            <m:sup>
              <m:r>
                <w:rPr>
                  <w:rFonts w:ascii="Cambria Math" w:hAnsi="Cambria Math"/>
                  <w:sz w:val="24"/>
                </w:rPr>
                <m:t>0.765</m:t>
              </m:r>
            </m:sup>
          </m:sSup>
        </m:oMath>
      </m:oMathPara>
    </w:p>
    <w:p w14:paraId="3142EAC4" w14:textId="77777777" w:rsidR="007523B8" w:rsidRPr="009E06AA" w:rsidRDefault="007523B8" w:rsidP="002124BD">
      <w:pPr>
        <w:pStyle w:val="BodyText"/>
        <w:tabs>
          <w:tab w:val="left" w:pos="964"/>
        </w:tabs>
        <w:spacing w:after="40"/>
        <w:ind w:left="964" w:hanging="964"/>
        <w:rPr>
          <w:rFonts w:cs="Calibri"/>
        </w:rPr>
      </w:pPr>
      <w:r w:rsidRPr="009E06AA">
        <w:rPr>
          <w:rFonts w:cs="Calibri"/>
        </w:rPr>
        <w:t xml:space="preserve">Where: </w:t>
      </w:r>
      <w:r w:rsidRPr="009E06AA">
        <w:rPr>
          <w:rFonts w:cs="Calibri"/>
        </w:rPr>
        <w:tab/>
        <w:t>CH</w:t>
      </w:r>
      <w:r w:rsidRPr="009E06AA">
        <w:rPr>
          <w:rFonts w:cs="Calibri"/>
          <w:vertAlign w:val="subscript"/>
        </w:rPr>
        <w:t>4-enteric</w:t>
      </w:r>
      <w:r w:rsidRPr="009E06AA">
        <w:rPr>
          <w:rFonts w:cs="Calibri"/>
        </w:rPr>
        <w:t xml:space="preserve"> = total CH</w:t>
      </w:r>
      <w:r w:rsidRPr="009E06AA">
        <w:rPr>
          <w:rFonts w:cs="Calibri"/>
          <w:vertAlign w:val="subscript"/>
        </w:rPr>
        <w:t>4</w:t>
      </w:r>
      <w:r w:rsidRPr="009E06AA">
        <w:rPr>
          <w:rFonts w:cs="Calibri"/>
        </w:rPr>
        <w:t xml:space="preserve"> from enteric fermentation (kg CH</w:t>
      </w:r>
      <w:r w:rsidRPr="009E06AA">
        <w:rPr>
          <w:rFonts w:cs="Calibri"/>
          <w:vertAlign w:val="subscript"/>
        </w:rPr>
        <w:t>4</w:t>
      </w:r>
      <w:r w:rsidRPr="009E06AA">
        <w:rPr>
          <w:rFonts w:cs="Calibri"/>
        </w:rPr>
        <w:t>/year)</w:t>
      </w:r>
    </w:p>
    <w:p w14:paraId="6F35283C" w14:textId="77777777" w:rsidR="007523B8" w:rsidRPr="009E06AA" w:rsidRDefault="007523B8" w:rsidP="002124BD">
      <w:pPr>
        <w:pStyle w:val="BodyText"/>
        <w:tabs>
          <w:tab w:val="left" w:pos="964"/>
        </w:tabs>
        <w:spacing w:before="40" w:after="40"/>
        <w:ind w:left="964" w:hanging="964"/>
        <w:rPr>
          <w:rFonts w:cs="Calibri"/>
        </w:rPr>
      </w:pPr>
      <w:r w:rsidRPr="009E06AA">
        <w:rPr>
          <w:rFonts w:cs="Calibri"/>
        </w:rPr>
        <w:tab/>
        <w:t>d</w:t>
      </w:r>
      <w:r w:rsidRPr="009E06AA">
        <w:rPr>
          <w:rFonts w:cs="Calibri"/>
          <w:vertAlign w:val="subscript"/>
        </w:rPr>
        <w:t>m</w:t>
      </w:r>
      <w:r w:rsidRPr="009E06AA">
        <w:rPr>
          <w:rFonts w:cs="Calibri"/>
        </w:rPr>
        <w:t xml:space="preserve"> = number of days in month m</w:t>
      </w:r>
    </w:p>
    <w:p w14:paraId="65556720" w14:textId="77777777" w:rsidR="007523B8" w:rsidRPr="009E06AA" w:rsidRDefault="007523B8" w:rsidP="002124BD">
      <w:pPr>
        <w:pStyle w:val="BodyText"/>
        <w:tabs>
          <w:tab w:val="left" w:pos="964"/>
        </w:tabs>
        <w:spacing w:before="40" w:after="40"/>
        <w:ind w:left="964" w:hanging="964"/>
        <w:rPr>
          <w:rFonts w:cs="Calibri"/>
        </w:rPr>
      </w:pPr>
      <w:r w:rsidRPr="009E06AA">
        <w:rPr>
          <w:rFonts w:cs="Calibri"/>
        </w:rPr>
        <w:tab/>
        <w:t>Lamb</w:t>
      </w:r>
      <w:r w:rsidRPr="009E06AA">
        <w:rPr>
          <w:rFonts w:cs="Calibri"/>
          <w:vertAlign w:val="subscript"/>
        </w:rPr>
        <w:t xml:space="preserve">cm </w:t>
      </w:r>
      <w:r w:rsidRPr="009E06AA">
        <w:rPr>
          <w:rFonts w:cs="Calibri"/>
        </w:rPr>
        <w:t>= population of sheep in class c during month m (head), less than one year of age (i.e., lambs)</w:t>
      </w:r>
    </w:p>
    <w:p w14:paraId="18623508" w14:textId="77777777" w:rsidR="007523B8" w:rsidRPr="009E06AA" w:rsidRDefault="007523B8" w:rsidP="002124BD">
      <w:pPr>
        <w:pStyle w:val="BodyText"/>
        <w:tabs>
          <w:tab w:val="left" w:pos="964"/>
        </w:tabs>
        <w:spacing w:before="40" w:after="40"/>
        <w:ind w:left="964" w:hanging="964"/>
        <w:rPr>
          <w:rFonts w:cs="Calibri"/>
        </w:rPr>
      </w:pPr>
      <w:r w:rsidRPr="009E06AA">
        <w:rPr>
          <w:rFonts w:cs="Calibri"/>
        </w:rPr>
        <w:tab/>
        <w:t>Sheep</w:t>
      </w:r>
      <w:r w:rsidRPr="009E06AA">
        <w:rPr>
          <w:rFonts w:cs="Calibri"/>
          <w:vertAlign w:val="subscript"/>
        </w:rPr>
        <w:t xml:space="preserve">cm </w:t>
      </w:r>
      <w:r w:rsidRPr="009E06AA">
        <w:rPr>
          <w:rFonts w:cs="Calibri"/>
        </w:rPr>
        <w:t xml:space="preserve">= population of sheep in class c during month m (head), greater than one year of age </w:t>
      </w:r>
    </w:p>
    <w:p w14:paraId="0A9937CB" w14:textId="77777777" w:rsidR="007523B8" w:rsidRPr="009E06AA" w:rsidRDefault="007523B8" w:rsidP="002124BD">
      <w:pPr>
        <w:pStyle w:val="BodyText"/>
        <w:tabs>
          <w:tab w:val="left" w:pos="964"/>
        </w:tabs>
        <w:spacing w:before="40" w:after="40"/>
        <w:ind w:left="964" w:hanging="964"/>
        <w:rPr>
          <w:rFonts w:cs="Calibri"/>
        </w:rPr>
      </w:pPr>
      <w:r w:rsidRPr="009E06AA">
        <w:rPr>
          <w:rFonts w:cs="Calibri"/>
        </w:rPr>
        <w:tab/>
        <w:t>ME = metabolisable energy concentration of diet during month m (megajoules of metabolisable energy per kg of dry matter)</w:t>
      </w:r>
    </w:p>
    <w:p w14:paraId="32FE2FF4" w14:textId="77777777" w:rsidR="007523B8" w:rsidRPr="009E06AA" w:rsidRDefault="007523B8" w:rsidP="002124BD">
      <w:pPr>
        <w:pStyle w:val="BodyText"/>
        <w:tabs>
          <w:tab w:val="left" w:pos="964"/>
        </w:tabs>
        <w:spacing w:before="40" w:after="40"/>
        <w:ind w:left="964" w:hanging="964"/>
        <w:rPr>
          <w:rFonts w:cs="Calibri"/>
        </w:rPr>
      </w:pPr>
      <w:r w:rsidRPr="009E06AA">
        <w:rPr>
          <w:rFonts w:cs="Calibri"/>
        </w:rPr>
        <w:tab/>
        <w:t>DMI = daily dry-matter intake of an individual sheep of class c in month m (kg dry matter/head/day)</w:t>
      </w:r>
    </w:p>
    <w:p w14:paraId="5C8268DF" w14:textId="77777777" w:rsidR="007523B8" w:rsidRPr="009E06AA" w:rsidRDefault="007523B8" w:rsidP="002124BD">
      <w:pPr>
        <w:pStyle w:val="BodyText"/>
        <w:tabs>
          <w:tab w:val="left" w:pos="964"/>
        </w:tabs>
        <w:spacing w:before="40" w:after="40"/>
        <w:ind w:left="964" w:hanging="964"/>
        <w:rPr>
          <w:rFonts w:cs="Calibri"/>
        </w:rPr>
      </w:pPr>
      <w:r w:rsidRPr="009E06AA">
        <w:rPr>
          <w:rFonts w:cs="Calibri"/>
        </w:rPr>
        <w:tab/>
        <w:t>class refers to the different categories of sheep greater than one year of age (e.g., dry ewes, wethers, rams) used in the Agriculture inventory model, and</w:t>
      </w:r>
    </w:p>
    <w:p w14:paraId="11FE2CEC" w14:textId="77777777" w:rsidR="007523B8" w:rsidRPr="009E06AA" w:rsidRDefault="007523B8" w:rsidP="002124BD">
      <w:pPr>
        <w:pStyle w:val="BodyText"/>
        <w:tabs>
          <w:tab w:val="left" w:pos="964"/>
        </w:tabs>
        <w:spacing w:before="40"/>
        <w:ind w:left="964" w:hanging="964"/>
        <w:rPr>
          <w:rFonts w:cs="Calibri"/>
        </w:rPr>
      </w:pPr>
      <w:r w:rsidRPr="009E06AA">
        <w:rPr>
          <w:rFonts w:cs="Calibri"/>
        </w:rPr>
        <w:tab/>
        <w:t>month refers to the 12 months of the calendar year.</w:t>
      </w:r>
    </w:p>
    <w:p w14:paraId="5F0E2184" w14:textId="77777777" w:rsidR="007523B8" w:rsidRPr="009E06AA" w:rsidRDefault="007523B8" w:rsidP="007523B8">
      <w:pPr>
        <w:pStyle w:val="BodyText"/>
      </w:pPr>
      <w:r w:rsidRPr="009E06AA">
        <w:t xml:space="preserve">Dry-matter intake per sheep per day is calculated by New Zealand’s Tier 2 inventory model (see section 5.1.3). Monthly values of ME concentration for total diet (pasture and non-pasture feed) are calculated using New Zealand’s Tier 2 inventory model (see section 5.1.3). </w:t>
      </w:r>
    </w:p>
    <w:p w14:paraId="3C289F3E" w14:textId="77777777" w:rsidR="007523B8" w:rsidRPr="009E06AA" w:rsidRDefault="007523B8" w:rsidP="007523B8">
      <w:pPr>
        <w:pStyle w:val="Heading4"/>
        <w:spacing w:before="200"/>
      </w:pPr>
      <w:r w:rsidRPr="009E06AA">
        <w:t>Methane measurement and modelling</w:t>
      </w:r>
    </w:p>
    <w:p w14:paraId="7D71E2A3" w14:textId="77777777" w:rsidR="007523B8" w:rsidRPr="009E06AA" w:rsidRDefault="007523B8" w:rsidP="007523B8">
      <w:pPr>
        <w:pStyle w:val="BodyText"/>
      </w:pPr>
      <w:r w:rsidRPr="009E06AA">
        <w:t>New Zealand uses country-specific methodology and emission factors for estimating enteric fermentation CH</w:t>
      </w:r>
      <w:r w:rsidRPr="009E06AA">
        <w:rPr>
          <w:vertAlign w:val="subscript"/>
        </w:rPr>
        <w:t>4</w:t>
      </w:r>
      <w:r w:rsidRPr="009E06AA">
        <w:t xml:space="preserve"> emissions per kilogram of dry matter feed intake (i.e., DMI) for several reasons. First, the data requirements for existing digestion models</w:t>
      </w:r>
      <w:r w:rsidRPr="009E06AA">
        <w:rPr>
          <w:rStyle w:val="FootnoteReference"/>
          <w:rFonts w:cs="Calibri"/>
        </w:rPr>
        <w:footnoteReference w:id="33"/>
      </w:r>
      <w:r w:rsidRPr="009E06AA">
        <w:t xml:space="preserve"> are less relevant to New Zealand’s predominantly pasture-based systems. Existing digestion models have been largely derived from animals fed indoors on diets unlike the grass-based diets fed to </w:t>
      </w:r>
      <w:r w:rsidRPr="009E06AA" w:rsidDel="00FD2CA9">
        <w:t xml:space="preserve">New </w:t>
      </w:r>
      <w:r w:rsidRPr="009E06AA">
        <w:t xml:space="preserve">Zealand livestock. Further, these existing models have a lower predictive power when compared with empirical experimental data derived from </w:t>
      </w:r>
      <w:r w:rsidRPr="009E06AA" w:rsidDel="0017066B">
        <w:t xml:space="preserve">New </w:t>
      </w:r>
      <w:r w:rsidRPr="009E06AA">
        <w:t>Zealand research (Clark et al., 2003).</w:t>
      </w:r>
    </w:p>
    <w:p w14:paraId="1510949C" w14:textId="77777777" w:rsidR="007523B8" w:rsidRPr="009E06AA" w:rsidRDefault="007523B8" w:rsidP="007523B8">
      <w:pPr>
        <w:pStyle w:val="BodyText"/>
      </w:pPr>
      <w:r w:rsidRPr="009E06AA">
        <w:t xml:space="preserve">Since 1996, </w:t>
      </w:r>
      <w:r w:rsidRPr="009E06AA" w:rsidDel="002531F0">
        <w:t xml:space="preserve">New </w:t>
      </w:r>
      <w:r w:rsidRPr="009E06AA">
        <w:t>Zealand scientists have been measuring CH</w:t>
      </w:r>
      <w:r w:rsidRPr="009E06AA">
        <w:rPr>
          <w:vertAlign w:val="subscript"/>
        </w:rPr>
        <w:t>4</w:t>
      </w:r>
      <w:r w:rsidRPr="009E06AA">
        <w:t xml:space="preserve"> emissions from grazing (non</w:t>
      </w:r>
      <w:r w:rsidRPr="009E06AA">
        <w:noBreakHyphen/>
        <w:t>housed) cattle and sheep initially using the sulphur hexafluoride (SF</w:t>
      </w:r>
      <w:r w:rsidRPr="009E06AA">
        <w:rPr>
          <w:vertAlign w:val="subscript"/>
        </w:rPr>
        <w:t>6</w:t>
      </w:r>
      <w:r w:rsidRPr="009E06AA">
        <w:t xml:space="preserve">) tracer technique (Lassey et al., 1997; Ulyatt et al., 1999). In recent years, </w:t>
      </w:r>
      <w:r w:rsidRPr="009E06AA" w:rsidDel="002F5109">
        <w:t xml:space="preserve">New </w:t>
      </w:r>
      <w:r w:rsidRPr="009E06AA">
        <w:t>Zealand-based research has used closed-circuit respiration chambers, which are considered the benchmark for assessing CH</w:t>
      </w:r>
      <w:r w:rsidRPr="009E06AA">
        <w:rPr>
          <w:vertAlign w:val="subscript"/>
        </w:rPr>
        <w:t>4</w:t>
      </w:r>
      <w:r w:rsidRPr="009E06AA">
        <w:t xml:space="preserve"> emissions from livestock. These have been used to derive respiration-chamber-based measurements of CH</w:t>
      </w:r>
      <w:r w:rsidRPr="009E06AA">
        <w:rPr>
          <w:vertAlign w:val="subscript"/>
        </w:rPr>
        <w:t>4</w:t>
      </w:r>
      <w:r w:rsidRPr="009E06AA">
        <w:t xml:space="preserve"> emissions for sheep and, more recently, an expanded programme for dairy and non-dairy cattle. </w:t>
      </w:r>
    </w:p>
    <w:p w14:paraId="3821CEDB" w14:textId="77777777" w:rsidR="007523B8" w:rsidRPr="009E06AA" w:rsidRDefault="007523B8" w:rsidP="007523B8">
      <w:pPr>
        <w:pStyle w:val="BodyText"/>
      </w:pPr>
      <w:r w:rsidRPr="009E06AA">
        <w:t xml:space="preserve">To obtain </w:t>
      </w:r>
      <w:r w:rsidRPr="009E06AA" w:rsidDel="007B0600">
        <w:t>New</w:t>
      </w:r>
      <w:r w:rsidRPr="009E06AA">
        <w:t xml:space="preserve"> Zealand-specific values (or algorithms for sheep emissions), all relevant published and unpublished </w:t>
      </w:r>
      <w:r w:rsidRPr="009E06AA" w:rsidDel="007B0600">
        <w:t xml:space="preserve">New </w:t>
      </w:r>
      <w:r w:rsidRPr="009E06AA">
        <w:t>Zealand-specific data were collated and used to derive average values for CH</w:t>
      </w:r>
      <w:r w:rsidRPr="009E06AA">
        <w:rPr>
          <w:vertAlign w:val="subscript"/>
        </w:rPr>
        <w:t>4</w:t>
      </w:r>
      <w:r w:rsidRPr="009E06AA">
        <w:t xml:space="preserve"> emissions from different categories of livestock </w:t>
      </w:r>
      <w:r w:rsidRPr="009E06AA">
        <w:rPr>
          <w:spacing w:val="-2"/>
        </w:rPr>
        <w:t xml:space="preserve">(Clark et al., 2003; </w:t>
      </w:r>
      <w:r w:rsidRPr="009E06AA">
        <w:t>Swainson et al., 2016). The associated data are presented in table 5.2.2 together with the IPCC (2006, tables 10.12 and 10.13) default values for per cent gross energy intake (GEI) used to calculate CH</w:t>
      </w:r>
      <w:r w:rsidRPr="009E06AA">
        <w:rPr>
          <w:vertAlign w:val="subscript"/>
        </w:rPr>
        <w:t>4</w:t>
      </w:r>
      <w:r w:rsidRPr="009E06AA">
        <w:t xml:space="preserve">. The New Zealand values for cattle fall within the IPCC range and are applied in this submission. </w:t>
      </w:r>
    </w:p>
    <w:p w14:paraId="04098B84" w14:textId="77777777" w:rsidR="007523B8" w:rsidRPr="009E06AA" w:rsidRDefault="007523B8" w:rsidP="007523B8">
      <w:pPr>
        <w:pStyle w:val="Table"/>
        <w:rPr>
          <w:rFonts w:cs="Calibri"/>
        </w:rPr>
      </w:pPr>
      <w:bookmarkStart w:id="909" w:name="_Toc441830869"/>
      <w:bookmarkStart w:id="910" w:name="_Toc451176083"/>
      <w:bookmarkStart w:id="911" w:name="_Toc481751509"/>
      <w:bookmarkStart w:id="912" w:name="_Toc507158599"/>
      <w:bookmarkStart w:id="913" w:name="_Toc511116733"/>
      <w:bookmarkStart w:id="914" w:name="_Toc5269473"/>
      <w:bookmarkStart w:id="915" w:name="_Toc32570914"/>
      <w:bookmarkStart w:id="916" w:name="_Toc36224549"/>
      <w:bookmarkStart w:id="917" w:name="_Toc68786435"/>
      <w:bookmarkStart w:id="918" w:name="_Toc95574070"/>
      <w:bookmarkStart w:id="919" w:name="_Toc127458253"/>
      <w:bookmarkStart w:id="920" w:name="_Toc131591349"/>
      <w:bookmarkStart w:id="921" w:name="_Toc160114439"/>
      <w:bookmarkStart w:id="922" w:name="_Toc164153835"/>
      <w:r w:rsidRPr="009E06AA">
        <w:rPr>
          <w:rFonts w:cs="Calibri"/>
        </w:rPr>
        <w:t>Table 5.2.2</w:t>
      </w:r>
      <w:r w:rsidRPr="009E06AA">
        <w:rPr>
          <w:rFonts w:cs="Calibri"/>
        </w:rPr>
        <w:tab/>
        <w:t>Methane (CH</w:t>
      </w:r>
      <w:r w:rsidRPr="009E06AA">
        <w:rPr>
          <w:rFonts w:cs="Calibri"/>
          <w:vertAlign w:val="subscript"/>
        </w:rPr>
        <w:t>4</w:t>
      </w:r>
      <w:r w:rsidRPr="009E06AA">
        <w:rPr>
          <w:rFonts w:cs="Calibri"/>
        </w:rPr>
        <w:t>) emissions and gross energy intake (GEI) from New Zealand measurements and IPCC (2006) default values</w:t>
      </w:r>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p>
    <w:tbl>
      <w:tblPr>
        <w:tblW w:w="8505" w:type="dxa"/>
        <w:tblBorders>
          <w:top w:val="single" w:sz="4" w:space="0" w:color="1B556B" w:themeColor="text2"/>
          <w:bottom w:val="single" w:sz="4" w:space="0" w:color="1B556B" w:themeColor="text2"/>
          <w:insideH w:val="single" w:sz="4" w:space="0" w:color="1B556B" w:themeColor="text2"/>
        </w:tblBorders>
        <w:tblLayout w:type="fixed"/>
        <w:tblLook w:val="0000" w:firstRow="0" w:lastRow="0" w:firstColumn="0" w:lastColumn="0" w:noHBand="0" w:noVBand="0"/>
      </w:tblPr>
      <w:tblGrid>
        <w:gridCol w:w="3402"/>
        <w:gridCol w:w="1418"/>
        <w:gridCol w:w="1701"/>
        <w:gridCol w:w="1984"/>
      </w:tblGrid>
      <w:tr w:rsidR="007523B8" w:rsidRPr="009E06AA" w14:paraId="1C70F0CE" w14:textId="77777777" w:rsidTr="00B55F24">
        <w:trPr>
          <w:tblHeader/>
        </w:trPr>
        <w:tc>
          <w:tcPr>
            <w:tcW w:w="3402" w:type="dxa"/>
            <w:shd w:val="clear" w:color="auto" w:fill="1B556B"/>
            <w:vAlign w:val="bottom"/>
          </w:tcPr>
          <w:p w14:paraId="7D3A0644" w14:textId="77777777" w:rsidR="007523B8" w:rsidRPr="009E06AA" w:rsidRDefault="007523B8" w:rsidP="00B55F24">
            <w:pPr>
              <w:pStyle w:val="TableTextBold"/>
              <w:keepNext/>
              <w:rPr>
                <w:noProof w:val="0"/>
                <w:color w:val="FFFFFF" w:themeColor="background1"/>
              </w:rPr>
            </w:pPr>
          </w:p>
        </w:tc>
        <w:tc>
          <w:tcPr>
            <w:tcW w:w="1418" w:type="dxa"/>
            <w:shd w:val="clear" w:color="auto" w:fill="1B556B"/>
            <w:vAlign w:val="bottom"/>
          </w:tcPr>
          <w:p w14:paraId="360F4B33" w14:textId="77777777" w:rsidR="007523B8" w:rsidRPr="009E06AA" w:rsidRDefault="007523B8" w:rsidP="00E247AF">
            <w:pPr>
              <w:pStyle w:val="TableTextBold"/>
              <w:keepNext/>
              <w:jc w:val="right"/>
              <w:rPr>
                <w:noProof w:val="0"/>
                <w:color w:val="FFFFFF" w:themeColor="background1"/>
              </w:rPr>
            </w:pPr>
            <w:r w:rsidRPr="009E06AA">
              <w:rPr>
                <w:noProof w:val="0"/>
                <w:color w:val="FFFFFF" w:themeColor="background1"/>
              </w:rPr>
              <w:t>Adult cattle</w:t>
            </w:r>
          </w:p>
        </w:tc>
        <w:tc>
          <w:tcPr>
            <w:tcW w:w="1701" w:type="dxa"/>
            <w:shd w:val="clear" w:color="auto" w:fill="1B556B"/>
            <w:vAlign w:val="bottom"/>
          </w:tcPr>
          <w:p w14:paraId="03C4BDF8" w14:textId="77777777" w:rsidR="007523B8" w:rsidRPr="009E06AA" w:rsidRDefault="007523B8" w:rsidP="00E247AF">
            <w:pPr>
              <w:pStyle w:val="TableTextBold"/>
              <w:keepNext/>
              <w:jc w:val="right"/>
              <w:rPr>
                <w:noProof w:val="0"/>
                <w:color w:val="FFFFFF" w:themeColor="background1"/>
              </w:rPr>
            </w:pPr>
            <w:r w:rsidRPr="009E06AA">
              <w:rPr>
                <w:noProof w:val="0"/>
                <w:color w:val="FFFFFF" w:themeColor="background1"/>
              </w:rPr>
              <w:t>Adult sheep (&gt; 1 year)</w:t>
            </w:r>
          </w:p>
        </w:tc>
        <w:tc>
          <w:tcPr>
            <w:tcW w:w="1984" w:type="dxa"/>
            <w:shd w:val="clear" w:color="auto" w:fill="1B556B"/>
            <w:vAlign w:val="bottom"/>
          </w:tcPr>
          <w:p w14:paraId="2DB88FCA" w14:textId="77777777" w:rsidR="007523B8" w:rsidRPr="009E06AA" w:rsidRDefault="007523B8" w:rsidP="00E247AF">
            <w:pPr>
              <w:pStyle w:val="TableTextBold"/>
              <w:keepNext/>
              <w:jc w:val="right"/>
              <w:rPr>
                <w:noProof w:val="0"/>
                <w:color w:val="FFFFFF" w:themeColor="background1"/>
              </w:rPr>
            </w:pPr>
            <w:r w:rsidRPr="009E06AA">
              <w:rPr>
                <w:noProof w:val="0"/>
                <w:color w:val="FFFFFF" w:themeColor="background1"/>
              </w:rPr>
              <w:t>Young sheep (&lt; 1 year)</w:t>
            </w:r>
          </w:p>
        </w:tc>
      </w:tr>
      <w:tr w:rsidR="007523B8" w:rsidRPr="009E06AA" w14:paraId="75011F80" w14:textId="77777777" w:rsidTr="00B55F24">
        <w:tc>
          <w:tcPr>
            <w:tcW w:w="3402" w:type="dxa"/>
            <w:vAlign w:val="bottom"/>
          </w:tcPr>
          <w:p w14:paraId="33D2E00F" w14:textId="77777777" w:rsidR="007523B8" w:rsidRPr="009E06AA" w:rsidRDefault="007523B8" w:rsidP="00B55F24">
            <w:pPr>
              <w:pStyle w:val="TableText"/>
              <w:keepNext/>
              <w:spacing w:before="50" w:after="50"/>
              <w:rPr>
                <w:rFonts w:cs="Calibri"/>
              </w:rPr>
            </w:pPr>
            <w:r w:rsidRPr="009E06AA">
              <w:rPr>
                <w:rFonts w:cs="Calibri"/>
              </w:rPr>
              <w:t>New Zealand CH</w:t>
            </w:r>
            <w:r w:rsidRPr="009E06AA">
              <w:rPr>
                <w:rFonts w:cs="Calibri"/>
                <w:vertAlign w:val="subscript"/>
              </w:rPr>
              <w:t>4</w:t>
            </w:r>
            <w:r w:rsidRPr="009E06AA">
              <w:rPr>
                <w:rFonts w:cs="Calibri"/>
              </w:rPr>
              <w:t xml:space="preserve"> emission rates from Clark et al. (2003) and Swainson et al. (2016) (g CH</w:t>
            </w:r>
            <w:r w:rsidRPr="009E06AA">
              <w:rPr>
                <w:rFonts w:cs="Calibri"/>
                <w:vertAlign w:val="subscript"/>
              </w:rPr>
              <w:t>4</w:t>
            </w:r>
            <w:r w:rsidRPr="009E06AA">
              <w:rPr>
                <w:rFonts w:cs="Calibri"/>
              </w:rPr>
              <w:t>/kg DMI)</w:t>
            </w:r>
          </w:p>
        </w:tc>
        <w:tc>
          <w:tcPr>
            <w:tcW w:w="1418" w:type="dxa"/>
            <w:vAlign w:val="bottom"/>
          </w:tcPr>
          <w:p w14:paraId="3BEA7564" w14:textId="77777777" w:rsidR="007523B8" w:rsidRPr="009E06AA" w:rsidRDefault="007523B8" w:rsidP="00E247AF">
            <w:pPr>
              <w:pStyle w:val="TableText"/>
              <w:keepNext/>
              <w:spacing w:before="50" w:after="50"/>
              <w:jc w:val="right"/>
              <w:rPr>
                <w:rFonts w:cs="Calibri"/>
              </w:rPr>
            </w:pPr>
            <w:r w:rsidRPr="009E06AA">
              <w:rPr>
                <w:rFonts w:cs="Calibri"/>
              </w:rPr>
              <w:t>21.6 × DMI</w:t>
            </w:r>
          </w:p>
        </w:tc>
        <w:tc>
          <w:tcPr>
            <w:tcW w:w="1701" w:type="dxa"/>
            <w:vAlign w:val="bottom"/>
          </w:tcPr>
          <w:p w14:paraId="2CA66448" w14:textId="77777777" w:rsidR="007523B8" w:rsidRPr="009E06AA" w:rsidRDefault="007523B8" w:rsidP="00E247AF">
            <w:pPr>
              <w:pStyle w:val="TableText"/>
              <w:keepNext/>
              <w:spacing w:before="50" w:after="50"/>
              <w:jc w:val="right"/>
              <w:rPr>
                <w:rFonts w:cs="Calibri"/>
              </w:rPr>
            </w:pPr>
            <w:r w:rsidRPr="009E06AA">
              <w:rPr>
                <w:rFonts w:cs="Calibri"/>
              </w:rPr>
              <w:t>21.977 × DM</w:t>
            </w:r>
            <w:r w:rsidRPr="009E06AA">
              <w:rPr>
                <w:rFonts w:cs="Calibri"/>
                <w:vertAlign w:val="superscript"/>
              </w:rPr>
              <w:t>0.765</w:t>
            </w:r>
          </w:p>
        </w:tc>
        <w:tc>
          <w:tcPr>
            <w:tcW w:w="1984" w:type="dxa"/>
            <w:vAlign w:val="bottom"/>
          </w:tcPr>
          <w:p w14:paraId="0661E7AA" w14:textId="77777777" w:rsidR="007523B8" w:rsidRPr="009E06AA" w:rsidRDefault="007523B8" w:rsidP="00E247AF">
            <w:pPr>
              <w:pStyle w:val="TableText"/>
              <w:keepNext/>
              <w:spacing w:before="50" w:after="50"/>
              <w:jc w:val="right"/>
              <w:rPr>
                <w:rFonts w:cs="Calibri"/>
              </w:rPr>
            </w:pPr>
            <w:r w:rsidRPr="009E06AA">
              <w:rPr>
                <w:rFonts w:cs="Calibri"/>
              </w:rPr>
              <w:t>11.705 × e</w:t>
            </w:r>
            <w:r w:rsidRPr="009E06AA">
              <w:rPr>
                <w:rFonts w:cs="Calibri"/>
                <w:vertAlign w:val="superscript"/>
              </w:rPr>
              <w:t>0.5ME</w:t>
            </w:r>
            <w:r w:rsidRPr="009E06AA">
              <w:rPr>
                <w:rFonts w:cs="Calibri"/>
              </w:rPr>
              <w:t xml:space="preserve"> × DMI</w:t>
            </w:r>
            <w:r w:rsidRPr="009E06AA">
              <w:rPr>
                <w:rFonts w:cs="Calibri"/>
                <w:vertAlign w:val="superscript"/>
              </w:rPr>
              <w:t>0.734</w:t>
            </w:r>
          </w:p>
        </w:tc>
      </w:tr>
      <w:tr w:rsidR="007523B8" w:rsidRPr="009E06AA" w14:paraId="23FF1EAE" w14:textId="77777777" w:rsidTr="00B55F24">
        <w:tc>
          <w:tcPr>
            <w:tcW w:w="3402" w:type="dxa"/>
            <w:shd w:val="clear" w:color="auto" w:fill="auto"/>
            <w:vAlign w:val="bottom"/>
          </w:tcPr>
          <w:p w14:paraId="47225AED" w14:textId="77777777" w:rsidR="007523B8" w:rsidRPr="009E06AA" w:rsidRDefault="007523B8" w:rsidP="00B55F24">
            <w:pPr>
              <w:pStyle w:val="TableText"/>
              <w:spacing w:before="50" w:after="50"/>
              <w:rPr>
                <w:rFonts w:cs="Calibri"/>
              </w:rPr>
            </w:pPr>
            <w:r w:rsidRPr="009E06AA" w:rsidDel="005204FA">
              <w:rPr>
                <w:rFonts w:cs="Calibri"/>
              </w:rPr>
              <w:t xml:space="preserve">New </w:t>
            </w:r>
            <w:r w:rsidRPr="009E06AA">
              <w:rPr>
                <w:rFonts w:cs="Calibri"/>
              </w:rPr>
              <w:t>Zealand data (GEI, %)</w:t>
            </w:r>
          </w:p>
        </w:tc>
        <w:tc>
          <w:tcPr>
            <w:tcW w:w="1418" w:type="dxa"/>
            <w:shd w:val="clear" w:color="auto" w:fill="auto"/>
            <w:vAlign w:val="bottom"/>
          </w:tcPr>
          <w:p w14:paraId="0C06FF75" w14:textId="77777777" w:rsidR="007523B8" w:rsidRPr="009E06AA" w:rsidRDefault="007523B8" w:rsidP="00E247AF">
            <w:pPr>
              <w:pStyle w:val="TableText"/>
              <w:spacing w:before="50" w:after="50"/>
              <w:jc w:val="right"/>
              <w:rPr>
                <w:rFonts w:cs="Calibri"/>
              </w:rPr>
            </w:pPr>
            <w:r w:rsidRPr="009E06AA">
              <w:rPr>
                <w:rFonts w:cs="Calibri"/>
              </w:rPr>
              <w:t>6.5</w:t>
            </w:r>
          </w:p>
        </w:tc>
        <w:tc>
          <w:tcPr>
            <w:tcW w:w="1701" w:type="dxa"/>
            <w:shd w:val="clear" w:color="auto" w:fill="auto"/>
            <w:vAlign w:val="bottom"/>
          </w:tcPr>
          <w:p w14:paraId="0382D851" w14:textId="77777777" w:rsidR="007523B8" w:rsidRPr="009E06AA" w:rsidRDefault="007523B8" w:rsidP="00E247AF">
            <w:pPr>
              <w:pStyle w:val="TableText"/>
              <w:spacing w:before="50" w:after="50"/>
              <w:jc w:val="right"/>
              <w:rPr>
                <w:rFonts w:cs="Calibri"/>
              </w:rPr>
            </w:pPr>
            <w:r w:rsidRPr="009E06AA">
              <w:rPr>
                <w:rFonts w:cs="Calibri"/>
              </w:rPr>
              <w:t>–</w:t>
            </w:r>
          </w:p>
        </w:tc>
        <w:tc>
          <w:tcPr>
            <w:tcW w:w="1984" w:type="dxa"/>
            <w:shd w:val="clear" w:color="auto" w:fill="auto"/>
            <w:vAlign w:val="bottom"/>
          </w:tcPr>
          <w:p w14:paraId="4DB1405D" w14:textId="77777777" w:rsidR="007523B8" w:rsidRPr="009E06AA" w:rsidRDefault="007523B8" w:rsidP="00E247AF">
            <w:pPr>
              <w:pStyle w:val="TableText"/>
              <w:spacing w:before="50" w:after="50"/>
              <w:jc w:val="right"/>
              <w:rPr>
                <w:rFonts w:cs="Calibri"/>
              </w:rPr>
            </w:pPr>
            <w:r w:rsidRPr="009E06AA">
              <w:rPr>
                <w:rFonts w:cs="Calibri"/>
              </w:rPr>
              <w:t>–</w:t>
            </w:r>
          </w:p>
        </w:tc>
      </w:tr>
      <w:tr w:rsidR="007523B8" w:rsidRPr="009E06AA" w14:paraId="1E88CED8" w14:textId="77777777" w:rsidTr="00B55F24">
        <w:tc>
          <w:tcPr>
            <w:tcW w:w="3402" w:type="dxa"/>
            <w:vAlign w:val="bottom"/>
          </w:tcPr>
          <w:p w14:paraId="0D48CC76" w14:textId="77777777" w:rsidR="007523B8" w:rsidRPr="009E06AA" w:rsidRDefault="007523B8" w:rsidP="00B55F24">
            <w:pPr>
              <w:pStyle w:val="TableText"/>
              <w:spacing w:before="50" w:after="50"/>
              <w:rPr>
                <w:rFonts w:cs="Calibri"/>
              </w:rPr>
            </w:pPr>
            <w:r w:rsidRPr="009E06AA">
              <w:rPr>
                <w:rFonts w:cs="Calibri"/>
              </w:rPr>
              <w:t>IPCC (2006) default Y</w:t>
            </w:r>
            <w:r w:rsidRPr="009E06AA">
              <w:rPr>
                <w:rFonts w:cs="Calibri"/>
                <w:vertAlign w:val="subscript"/>
              </w:rPr>
              <w:t>m</w:t>
            </w:r>
            <w:r w:rsidRPr="009E06AA">
              <w:rPr>
                <w:rFonts w:cs="Calibri"/>
              </w:rPr>
              <w:t xml:space="preserve"> values (GEI, %)</w:t>
            </w:r>
          </w:p>
        </w:tc>
        <w:tc>
          <w:tcPr>
            <w:tcW w:w="1418" w:type="dxa"/>
            <w:vAlign w:val="bottom"/>
          </w:tcPr>
          <w:p w14:paraId="3CD876C7" w14:textId="77777777" w:rsidR="007523B8" w:rsidRPr="009E06AA" w:rsidRDefault="007523B8" w:rsidP="00E247AF">
            <w:pPr>
              <w:pStyle w:val="TableText"/>
              <w:spacing w:before="50" w:after="50"/>
              <w:jc w:val="right"/>
              <w:rPr>
                <w:rFonts w:cs="Calibri"/>
              </w:rPr>
            </w:pPr>
            <w:r w:rsidRPr="009E06AA">
              <w:rPr>
                <w:rFonts w:cs="Calibri"/>
              </w:rPr>
              <w:t>6.5 ± 1.0</w:t>
            </w:r>
          </w:p>
        </w:tc>
        <w:tc>
          <w:tcPr>
            <w:tcW w:w="1701" w:type="dxa"/>
            <w:vAlign w:val="bottom"/>
          </w:tcPr>
          <w:p w14:paraId="575174B4" w14:textId="77777777" w:rsidR="007523B8" w:rsidRPr="009E06AA" w:rsidRDefault="007523B8" w:rsidP="00E247AF">
            <w:pPr>
              <w:pStyle w:val="TableText"/>
              <w:spacing w:before="50" w:after="50"/>
              <w:jc w:val="right"/>
              <w:rPr>
                <w:rFonts w:cs="Calibri"/>
              </w:rPr>
            </w:pPr>
            <w:r w:rsidRPr="009E06AA">
              <w:rPr>
                <w:rFonts w:cs="Calibri"/>
              </w:rPr>
              <w:t>6.5 ± 1.0</w:t>
            </w:r>
          </w:p>
        </w:tc>
        <w:tc>
          <w:tcPr>
            <w:tcW w:w="1984" w:type="dxa"/>
            <w:vAlign w:val="bottom"/>
          </w:tcPr>
          <w:p w14:paraId="6AF6F102" w14:textId="77777777" w:rsidR="007523B8" w:rsidRPr="009E06AA" w:rsidRDefault="007523B8" w:rsidP="00E247AF">
            <w:pPr>
              <w:pStyle w:val="TableText"/>
              <w:spacing w:before="50" w:after="50"/>
              <w:jc w:val="right"/>
              <w:rPr>
                <w:rFonts w:cs="Calibri"/>
              </w:rPr>
            </w:pPr>
            <w:r w:rsidRPr="009E06AA">
              <w:rPr>
                <w:rFonts w:cs="Calibri"/>
              </w:rPr>
              <w:t>4.5 ± 1.0</w:t>
            </w:r>
          </w:p>
        </w:tc>
      </w:tr>
    </w:tbl>
    <w:p w14:paraId="0173E45A" w14:textId="77777777" w:rsidR="007523B8" w:rsidRPr="009E06AA" w:rsidRDefault="007523B8" w:rsidP="007523B8">
      <w:pPr>
        <w:pStyle w:val="Noteundertable"/>
        <w:rPr>
          <w:rFonts w:cs="Calibri"/>
        </w:rPr>
      </w:pPr>
      <w:r w:rsidRPr="009E06AA">
        <w:rPr>
          <w:rFonts w:cs="Calibri"/>
          <w:b/>
          <w:bCs/>
        </w:rPr>
        <w:t xml:space="preserve">Note: </w:t>
      </w:r>
      <w:r w:rsidRPr="009E06AA">
        <w:rPr>
          <w:rFonts w:cs="Calibri"/>
        </w:rPr>
        <w:tab/>
        <w:t>DMI = dry-matter intake; Y</w:t>
      </w:r>
      <w:r w:rsidRPr="009E06AA">
        <w:rPr>
          <w:rFonts w:cs="Calibri"/>
          <w:vertAlign w:val="subscript"/>
        </w:rPr>
        <w:t>m</w:t>
      </w:r>
      <w:r w:rsidRPr="009E06AA">
        <w:rPr>
          <w:rFonts w:cs="Calibri"/>
        </w:rPr>
        <w:t xml:space="preserve"> = methane yield, ME = metabolisable energy.</w:t>
      </w:r>
    </w:p>
    <w:p w14:paraId="560C06CB" w14:textId="77777777" w:rsidR="007523B8" w:rsidRPr="009E06AA" w:rsidRDefault="007523B8" w:rsidP="007523B8">
      <w:pPr>
        <w:pStyle w:val="BodyText"/>
        <w:rPr>
          <w:rFonts w:cs="Calibri"/>
        </w:rPr>
      </w:pPr>
      <w:r w:rsidRPr="009E06AA">
        <w:rPr>
          <w:rFonts w:cs="Calibri"/>
        </w:rPr>
        <w:t>The adult cattle value is applied to all dairy and non-dairy cattle, irrespective of age. The value for deer is calculated based on the average value for adult cows and the (now defunct) CH</w:t>
      </w:r>
      <w:r w:rsidRPr="009E06AA">
        <w:rPr>
          <w:rFonts w:cs="Calibri"/>
          <w:vertAlign w:val="subscript"/>
        </w:rPr>
        <w:t>4</w:t>
      </w:r>
      <w:r w:rsidRPr="009E06AA">
        <w:rPr>
          <w:rFonts w:cs="Calibri"/>
        </w:rPr>
        <w:t xml:space="preserve"> emission rate for adult ewes</w:t>
      </w:r>
      <w:r w:rsidRPr="009E06AA">
        <w:rPr>
          <w:rStyle w:val="FootnoteReference"/>
          <w:rFonts w:cs="Calibri"/>
        </w:rPr>
        <w:footnoteReference w:id="34"/>
      </w:r>
      <w:r w:rsidRPr="009E06AA">
        <w:rPr>
          <w:rFonts w:cs="Calibri"/>
        </w:rPr>
        <w:t xml:space="preserve"> (Clark et al., 2003). This is due to: (i) a lack of country-specific data for deer and (ii) that their liveweights are around halfway between cattle and sheep, both of which have emission factors based on robust, country-specific research. No CH</w:t>
      </w:r>
      <w:r w:rsidRPr="009E06AA">
        <w:rPr>
          <w:rFonts w:cs="Calibri"/>
          <w:vertAlign w:val="subscript"/>
        </w:rPr>
        <w:t>4</w:t>
      </w:r>
      <w:r w:rsidRPr="009E06AA">
        <w:rPr>
          <w:rFonts w:cs="Calibri"/>
        </w:rPr>
        <w:t xml:space="preserve"> emissions are assumed to arise from very young animals during the time that their diet only consists of milk.</w:t>
      </w:r>
    </w:p>
    <w:p w14:paraId="266D7922" w14:textId="77777777" w:rsidR="007523B8" w:rsidRPr="009E06AA" w:rsidRDefault="007523B8" w:rsidP="007523B8">
      <w:pPr>
        <w:pStyle w:val="BodyText"/>
        <w:rPr>
          <w:rFonts w:cs="Calibri"/>
        </w:rPr>
      </w:pPr>
      <w:r w:rsidRPr="009E06AA">
        <w:rPr>
          <w:rFonts w:cs="Calibri"/>
        </w:rPr>
        <w:t>Table 5.2.3 shows a time series of CH</w:t>
      </w:r>
      <w:r w:rsidRPr="009E06AA">
        <w:rPr>
          <w:rFonts w:cs="Calibri"/>
          <w:vertAlign w:val="subscript"/>
        </w:rPr>
        <w:t>4</w:t>
      </w:r>
      <w:r w:rsidRPr="009E06AA">
        <w:rPr>
          <w:rFonts w:cs="Calibri"/>
        </w:rPr>
        <w:t xml:space="preserve"> IEFs (total emissions produced per animal type divided by the population of animals for each category) for dairy cattle, non-dairy cattle, sheep and deer. </w:t>
      </w:r>
      <w:r w:rsidRPr="009E06AA">
        <w:t>New Zealand</w:t>
      </w:r>
      <w:r w:rsidRPr="009E06AA">
        <w:rPr>
          <w:rFonts w:cs="Calibri"/>
        </w:rPr>
        <w:t xml:space="preserve"> experiences large inter-annual variability in these IEFs, which is explained further in section 5.1.1. In table 5.2.3, </w:t>
      </w:r>
      <w:r w:rsidRPr="009E06AA">
        <w:rPr>
          <w:rFonts w:cs="Calibri"/>
          <w:i/>
          <w:iCs/>
        </w:rPr>
        <w:t>Milking dairy cattle</w:t>
      </w:r>
      <w:r w:rsidRPr="009E06AA">
        <w:rPr>
          <w:rFonts w:cs="Calibri"/>
        </w:rPr>
        <w:t xml:space="preserve"> is a subset of </w:t>
      </w:r>
      <w:r w:rsidRPr="009E06AA">
        <w:rPr>
          <w:rFonts w:cs="Calibri"/>
          <w:i/>
          <w:iCs/>
        </w:rPr>
        <w:t>All dairy cattle</w:t>
      </w:r>
      <w:r w:rsidRPr="009E06AA">
        <w:rPr>
          <w:rFonts w:cs="Calibri"/>
        </w:rPr>
        <w:t xml:space="preserve"> and only includes mature dairy cows that are being milked. </w:t>
      </w:r>
      <w:r w:rsidRPr="009E06AA">
        <w:rPr>
          <w:rFonts w:cs="Calibri"/>
          <w:i/>
          <w:iCs/>
        </w:rPr>
        <w:t>All dairy cattle</w:t>
      </w:r>
      <w:r w:rsidRPr="009E06AA">
        <w:rPr>
          <w:rFonts w:cs="Calibri"/>
        </w:rPr>
        <w:t xml:space="preserve"> includes milking cows as well as calves, dairy bulls and other dairy cattle not being milked.</w:t>
      </w:r>
    </w:p>
    <w:p w14:paraId="50CCD50F" w14:textId="02263F1C" w:rsidR="007523B8" w:rsidRPr="009E06AA" w:rsidRDefault="007523B8" w:rsidP="007523B8">
      <w:pPr>
        <w:pStyle w:val="Table"/>
        <w:rPr>
          <w:rFonts w:cs="Calibri"/>
        </w:rPr>
      </w:pPr>
      <w:bookmarkStart w:id="923" w:name="_Toc441830870"/>
      <w:bookmarkStart w:id="924" w:name="_Toc451176084"/>
      <w:bookmarkStart w:id="925" w:name="_Toc481751510"/>
      <w:bookmarkStart w:id="926" w:name="_Toc507158600"/>
      <w:bookmarkStart w:id="927" w:name="_Toc511116734"/>
      <w:bookmarkStart w:id="928" w:name="_Toc5269474"/>
      <w:bookmarkStart w:id="929" w:name="_Toc32570915"/>
      <w:bookmarkStart w:id="930" w:name="_Toc36224550"/>
      <w:bookmarkStart w:id="931" w:name="_Toc68786436"/>
      <w:bookmarkStart w:id="932" w:name="_Toc95574071"/>
      <w:bookmarkStart w:id="933" w:name="_Toc127458254"/>
      <w:bookmarkStart w:id="934" w:name="_Toc131591350"/>
      <w:bookmarkStart w:id="935" w:name="_Toc160114440"/>
      <w:bookmarkStart w:id="936" w:name="_Toc164153836"/>
      <w:r w:rsidRPr="009E06AA">
        <w:rPr>
          <w:rFonts w:cs="Calibri"/>
        </w:rPr>
        <w:t>Table 5.2.3</w:t>
      </w:r>
      <w:r w:rsidRPr="009E06AA">
        <w:rPr>
          <w:rFonts w:cs="Calibri"/>
        </w:rPr>
        <w:tab/>
      </w:r>
      <w:r w:rsidRPr="009E06AA">
        <w:t>New Zealand’s</w:t>
      </w:r>
      <w:r w:rsidRPr="009E06AA">
        <w:rPr>
          <w:rFonts w:cs="Calibri"/>
        </w:rPr>
        <w:t xml:space="preserve"> implied emission factors for enteric fermentation</w:t>
      </w:r>
      <w:r w:rsidR="0049793F" w:rsidRPr="009E06AA">
        <w:rPr>
          <w:rFonts w:cs="Calibri"/>
        </w:rPr>
        <w:t>,</w:t>
      </w:r>
      <w:r w:rsidRPr="009E06AA">
        <w:rPr>
          <w:rFonts w:cs="Calibri"/>
        </w:rPr>
        <w:t xml:space="preserve"> from</w:t>
      </w:r>
      <w:r w:rsidR="0049793F" w:rsidRPr="009E06AA">
        <w:rPr>
          <w:rFonts w:cs="Calibri"/>
        </w:rPr>
        <w:t xml:space="preserve"> </w:t>
      </w:r>
      <w:r w:rsidRPr="009E06AA">
        <w:rPr>
          <w:rFonts w:cs="Calibri"/>
        </w:rPr>
        <w:t>1990</w:t>
      </w:r>
      <w:r w:rsidR="0049793F" w:rsidRPr="009E06AA">
        <w:rPr>
          <w:rFonts w:cs="Calibri"/>
        </w:rPr>
        <w:t xml:space="preserve"> </w:t>
      </w:r>
      <w:r w:rsidRPr="009E06AA">
        <w:rPr>
          <w:rFonts w:cs="Calibri"/>
        </w:rPr>
        <w:t>to</w:t>
      </w:r>
      <w:bookmarkEnd w:id="923"/>
      <w:bookmarkEnd w:id="924"/>
      <w:bookmarkEnd w:id="925"/>
      <w:r w:rsidRPr="009E06AA">
        <w:rPr>
          <w:rFonts w:cs="Calibri"/>
        </w:rPr>
        <w:t> </w:t>
      </w:r>
      <w:bookmarkEnd w:id="926"/>
      <w:bookmarkEnd w:id="927"/>
      <w:bookmarkEnd w:id="928"/>
      <w:bookmarkEnd w:id="929"/>
      <w:bookmarkEnd w:id="930"/>
      <w:bookmarkEnd w:id="931"/>
      <w:bookmarkEnd w:id="932"/>
      <w:r w:rsidRPr="009E06AA">
        <w:rPr>
          <w:rFonts w:cs="Calibri"/>
        </w:rPr>
        <w:t>202</w:t>
      </w:r>
      <w:bookmarkEnd w:id="933"/>
      <w:bookmarkEnd w:id="934"/>
      <w:r w:rsidRPr="009E06AA">
        <w:rPr>
          <w:rFonts w:cs="Calibri"/>
        </w:rPr>
        <w:t>2</w:t>
      </w:r>
      <w:bookmarkEnd w:id="935"/>
      <w:bookmarkEnd w:id="936"/>
    </w:p>
    <w:tbl>
      <w:tblPr>
        <w:tblW w:w="8505" w:type="dxa"/>
        <w:tblBorders>
          <w:top w:val="single" w:sz="4" w:space="0" w:color="1B556B" w:themeColor="text2"/>
          <w:bottom w:val="single" w:sz="4" w:space="0" w:color="1B556B" w:themeColor="text2"/>
          <w:insideH w:val="single" w:sz="4" w:space="0" w:color="1B556B" w:themeColor="text2"/>
        </w:tblBorders>
        <w:tblLayout w:type="fixed"/>
        <w:tblLook w:val="0000" w:firstRow="0" w:lastRow="0" w:firstColumn="0" w:lastColumn="0" w:noHBand="0" w:noVBand="0"/>
      </w:tblPr>
      <w:tblGrid>
        <w:gridCol w:w="988"/>
        <w:gridCol w:w="1489"/>
        <w:gridCol w:w="1487"/>
        <w:gridCol w:w="1487"/>
        <w:gridCol w:w="1536"/>
        <w:gridCol w:w="1518"/>
      </w:tblGrid>
      <w:tr w:rsidR="007523B8" w:rsidRPr="009E06AA" w14:paraId="32C5CC09" w14:textId="77777777" w:rsidTr="00B55F24">
        <w:trPr>
          <w:trHeight w:val="623"/>
          <w:tblHeader/>
        </w:trPr>
        <w:tc>
          <w:tcPr>
            <w:tcW w:w="988" w:type="dxa"/>
            <w:shd w:val="clear" w:color="auto" w:fill="1B556B"/>
            <w:vAlign w:val="bottom"/>
          </w:tcPr>
          <w:p w14:paraId="5D1673C5" w14:textId="77777777" w:rsidR="007523B8" w:rsidRPr="009E06AA" w:rsidRDefault="007523B8" w:rsidP="00B55F24">
            <w:pPr>
              <w:pStyle w:val="TableTextBold"/>
              <w:keepNext/>
              <w:spacing w:before="40" w:after="40"/>
              <w:rPr>
                <w:noProof w:val="0"/>
                <w:color w:val="FFFFFF" w:themeColor="background1"/>
                <w:szCs w:val="16"/>
              </w:rPr>
            </w:pPr>
            <w:r w:rsidRPr="009E06AA">
              <w:rPr>
                <w:noProof w:val="0"/>
                <w:color w:val="FFFFFF" w:themeColor="background1"/>
                <w:szCs w:val="16"/>
              </w:rPr>
              <w:t>Year</w:t>
            </w:r>
          </w:p>
        </w:tc>
        <w:tc>
          <w:tcPr>
            <w:tcW w:w="1489" w:type="dxa"/>
            <w:shd w:val="clear" w:color="auto" w:fill="1B556B"/>
            <w:vAlign w:val="bottom"/>
          </w:tcPr>
          <w:p w14:paraId="416425CE" w14:textId="77777777" w:rsidR="007523B8" w:rsidRPr="009E06AA" w:rsidRDefault="007523B8" w:rsidP="00E247AF">
            <w:pPr>
              <w:pStyle w:val="TableTextBold"/>
              <w:spacing w:before="40" w:after="40"/>
              <w:jc w:val="right"/>
              <w:rPr>
                <w:noProof w:val="0"/>
                <w:color w:val="FFFFFF" w:themeColor="background1"/>
                <w:szCs w:val="16"/>
              </w:rPr>
            </w:pPr>
            <w:r w:rsidRPr="009E06AA">
              <w:rPr>
                <w:noProof w:val="0"/>
                <w:color w:val="FFFFFF" w:themeColor="background1"/>
                <w:szCs w:val="16"/>
              </w:rPr>
              <w:t>All dairy cattle</w:t>
            </w:r>
            <w:r w:rsidRPr="009E06AA">
              <w:rPr>
                <w:noProof w:val="0"/>
                <w:color w:val="FFFFFF" w:themeColor="background1"/>
                <w:szCs w:val="16"/>
              </w:rPr>
              <w:br/>
              <w:t>(kg CH</w:t>
            </w:r>
            <w:r w:rsidRPr="009E06AA">
              <w:rPr>
                <w:noProof w:val="0"/>
                <w:color w:val="FFFFFF" w:themeColor="background1"/>
                <w:szCs w:val="16"/>
                <w:vertAlign w:val="subscript"/>
              </w:rPr>
              <w:t>4</w:t>
            </w:r>
            <w:r w:rsidRPr="009E06AA">
              <w:rPr>
                <w:noProof w:val="0"/>
                <w:color w:val="FFFFFF" w:themeColor="background1"/>
                <w:szCs w:val="16"/>
              </w:rPr>
              <w:t xml:space="preserve"> per animal per annum)</w:t>
            </w:r>
          </w:p>
        </w:tc>
        <w:tc>
          <w:tcPr>
            <w:tcW w:w="1487" w:type="dxa"/>
            <w:shd w:val="clear" w:color="auto" w:fill="1B556B"/>
          </w:tcPr>
          <w:p w14:paraId="3A0B367D" w14:textId="77777777" w:rsidR="007523B8" w:rsidRPr="009E06AA" w:rsidRDefault="007523B8" w:rsidP="00E247AF">
            <w:pPr>
              <w:pStyle w:val="TableTextBold"/>
              <w:spacing w:before="40" w:after="40"/>
              <w:jc w:val="right"/>
              <w:rPr>
                <w:noProof w:val="0"/>
                <w:color w:val="FFFFFF" w:themeColor="background1"/>
                <w:szCs w:val="16"/>
              </w:rPr>
            </w:pPr>
            <w:r w:rsidRPr="009E06AA">
              <w:rPr>
                <w:noProof w:val="0"/>
                <w:color w:val="FFFFFF" w:themeColor="background1"/>
                <w:szCs w:val="16"/>
              </w:rPr>
              <w:t>Milking dairy cattle (kg CH</w:t>
            </w:r>
            <w:r w:rsidRPr="009E06AA">
              <w:rPr>
                <w:noProof w:val="0"/>
                <w:color w:val="FFFFFF" w:themeColor="background1"/>
                <w:szCs w:val="16"/>
                <w:vertAlign w:val="subscript"/>
              </w:rPr>
              <w:t>4</w:t>
            </w:r>
            <w:r w:rsidRPr="009E06AA">
              <w:rPr>
                <w:noProof w:val="0"/>
                <w:color w:val="FFFFFF" w:themeColor="background1"/>
                <w:szCs w:val="16"/>
              </w:rPr>
              <w:t xml:space="preserve"> per animal per annum)</w:t>
            </w:r>
          </w:p>
        </w:tc>
        <w:tc>
          <w:tcPr>
            <w:tcW w:w="1487" w:type="dxa"/>
            <w:shd w:val="clear" w:color="auto" w:fill="1B556B"/>
            <w:vAlign w:val="bottom"/>
          </w:tcPr>
          <w:p w14:paraId="5B362D67" w14:textId="77777777" w:rsidR="007523B8" w:rsidRPr="009E06AA" w:rsidRDefault="007523B8" w:rsidP="00E247AF">
            <w:pPr>
              <w:pStyle w:val="TableTextBold"/>
              <w:spacing w:before="40" w:after="40"/>
              <w:jc w:val="right"/>
              <w:rPr>
                <w:noProof w:val="0"/>
                <w:color w:val="FFFFFF" w:themeColor="background1"/>
                <w:szCs w:val="16"/>
              </w:rPr>
            </w:pPr>
            <w:r w:rsidRPr="009E06AA">
              <w:rPr>
                <w:noProof w:val="0"/>
                <w:color w:val="FFFFFF" w:themeColor="background1"/>
                <w:szCs w:val="16"/>
              </w:rPr>
              <w:t>Non-dairy cattle (kg CH</w:t>
            </w:r>
            <w:r w:rsidRPr="009E06AA">
              <w:rPr>
                <w:noProof w:val="0"/>
                <w:color w:val="FFFFFF" w:themeColor="background1"/>
                <w:szCs w:val="16"/>
                <w:vertAlign w:val="subscript"/>
              </w:rPr>
              <w:t>4</w:t>
            </w:r>
            <w:r w:rsidRPr="009E06AA">
              <w:rPr>
                <w:noProof w:val="0"/>
                <w:color w:val="FFFFFF" w:themeColor="background1"/>
                <w:szCs w:val="16"/>
              </w:rPr>
              <w:t xml:space="preserve"> per animal per annum)</w:t>
            </w:r>
          </w:p>
        </w:tc>
        <w:tc>
          <w:tcPr>
            <w:tcW w:w="1536" w:type="dxa"/>
            <w:shd w:val="clear" w:color="auto" w:fill="1B556B"/>
            <w:vAlign w:val="bottom"/>
          </w:tcPr>
          <w:p w14:paraId="4878BA02" w14:textId="77777777" w:rsidR="007523B8" w:rsidRPr="009E06AA" w:rsidRDefault="007523B8" w:rsidP="00E247AF">
            <w:pPr>
              <w:pStyle w:val="TableText"/>
              <w:spacing w:before="40" w:after="40"/>
              <w:jc w:val="right"/>
              <w:rPr>
                <w:b/>
                <w:bCs/>
                <w:color w:val="FFFFFF" w:themeColor="background1"/>
              </w:rPr>
            </w:pPr>
            <w:r w:rsidRPr="009E06AA">
              <w:rPr>
                <w:b/>
                <w:bCs/>
                <w:color w:val="FFFFFF" w:themeColor="background1"/>
              </w:rPr>
              <w:t>Sheep, all</w:t>
            </w:r>
            <w:r w:rsidRPr="009E06AA">
              <w:rPr>
                <w:b/>
                <w:bCs/>
                <w:color w:val="FFFFFF" w:themeColor="background1"/>
              </w:rPr>
              <w:br/>
              <w:t>(kg CH</w:t>
            </w:r>
            <w:r w:rsidRPr="009E06AA">
              <w:rPr>
                <w:b/>
                <w:bCs/>
                <w:color w:val="FFFFFF" w:themeColor="background1"/>
                <w:vertAlign w:val="subscript"/>
              </w:rPr>
              <w:t>4</w:t>
            </w:r>
            <w:r w:rsidRPr="009E06AA">
              <w:rPr>
                <w:b/>
                <w:bCs/>
                <w:color w:val="FFFFFF" w:themeColor="background1"/>
              </w:rPr>
              <w:t xml:space="preserve"> per animal per annum)</w:t>
            </w:r>
          </w:p>
        </w:tc>
        <w:tc>
          <w:tcPr>
            <w:tcW w:w="1518" w:type="dxa"/>
            <w:shd w:val="clear" w:color="auto" w:fill="1B556B"/>
            <w:vAlign w:val="bottom"/>
          </w:tcPr>
          <w:p w14:paraId="5A84C6A7" w14:textId="77777777" w:rsidR="007523B8" w:rsidRPr="009E06AA" w:rsidRDefault="007523B8" w:rsidP="00E247AF">
            <w:pPr>
              <w:pStyle w:val="TableTextBold"/>
              <w:spacing w:before="40" w:after="40"/>
              <w:jc w:val="right"/>
              <w:rPr>
                <w:bCs/>
                <w:noProof w:val="0"/>
                <w:color w:val="FFFFFF" w:themeColor="background1"/>
                <w:szCs w:val="16"/>
              </w:rPr>
            </w:pPr>
            <w:r w:rsidRPr="009E06AA">
              <w:rPr>
                <w:bCs/>
                <w:noProof w:val="0"/>
                <w:color w:val="FFFFFF" w:themeColor="background1"/>
                <w:szCs w:val="16"/>
              </w:rPr>
              <w:t>Deer (kg CH</w:t>
            </w:r>
            <w:r w:rsidRPr="009E06AA">
              <w:rPr>
                <w:bCs/>
                <w:noProof w:val="0"/>
                <w:color w:val="FFFFFF" w:themeColor="background1"/>
                <w:szCs w:val="16"/>
                <w:vertAlign w:val="subscript"/>
              </w:rPr>
              <w:t>4</w:t>
            </w:r>
            <w:r w:rsidRPr="009E06AA">
              <w:rPr>
                <w:bCs/>
                <w:noProof w:val="0"/>
                <w:color w:val="FFFFFF" w:themeColor="background1"/>
                <w:szCs w:val="16"/>
              </w:rPr>
              <w:t xml:space="preserve"> per animal per annum)</w:t>
            </w:r>
          </w:p>
        </w:tc>
      </w:tr>
      <w:tr w:rsidR="007523B8" w:rsidRPr="009E06AA" w14:paraId="74DEF19B" w14:textId="77777777" w:rsidTr="00B55F24">
        <w:trPr>
          <w:trHeight w:val="239"/>
        </w:trPr>
        <w:tc>
          <w:tcPr>
            <w:tcW w:w="988" w:type="dxa"/>
          </w:tcPr>
          <w:p w14:paraId="6931472A" w14:textId="77777777" w:rsidR="007523B8" w:rsidRPr="009E06AA" w:rsidRDefault="007523B8" w:rsidP="00B55F24">
            <w:pPr>
              <w:pStyle w:val="TableText"/>
              <w:keepNext/>
              <w:spacing w:before="40" w:after="40"/>
              <w:rPr>
                <w:rFonts w:cs="Calibri"/>
                <w:szCs w:val="16"/>
              </w:rPr>
            </w:pPr>
            <w:r w:rsidRPr="009E06AA">
              <w:rPr>
                <w:rFonts w:cs="Calibri"/>
                <w:szCs w:val="16"/>
              </w:rPr>
              <w:t>1990</w:t>
            </w:r>
          </w:p>
        </w:tc>
        <w:tc>
          <w:tcPr>
            <w:tcW w:w="1489" w:type="dxa"/>
            <w:vAlign w:val="center"/>
          </w:tcPr>
          <w:p w14:paraId="2284048E" w14:textId="77777777" w:rsidR="007523B8" w:rsidRPr="009E06AA" w:rsidRDefault="007523B8" w:rsidP="00E247AF">
            <w:pPr>
              <w:pStyle w:val="TableText"/>
              <w:spacing w:before="40" w:after="40"/>
              <w:jc w:val="right"/>
              <w:rPr>
                <w:highlight w:val="yellow"/>
              </w:rPr>
            </w:pPr>
            <w:r w:rsidRPr="009E06AA">
              <w:rPr>
                <w:rFonts w:cs="Calibri"/>
                <w:color w:val="000000"/>
                <w:szCs w:val="16"/>
              </w:rPr>
              <w:t>73.0</w:t>
            </w:r>
          </w:p>
        </w:tc>
        <w:tc>
          <w:tcPr>
            <w:tcW w:w="1487" w:type="dxa"/>
            <w:vAlign w:val="center"/>
          </w:tcPr>
          <w:p w14:paraId="3DAF7D73" w14:textId="77777777" w:rsidR="007523B8" w:rsidRPr="009E06AA" w:rsidRDefault="007523B8" w:rsidP="00E247AF">
            <w:pPr>
              <w:pStyle w:val="TableText"/>
              <w:spacing w:before="40" w:after="40"/>
              <w:jc w:val="right"/>
              <w:rPr>
                <w:highlight w:val="yellow"/>
              </w:rPr>
            </w:pPr>
            <w:r w:rsidRPr="009E06AA">
              <w:rPr>
                <w:rFonts w:cs="Calibri"/>
                <w:color w:val="000000"/>
                <w:szCs w:val="16"/>
              </w:rPr>
              <w:t>76.7</w:t>
            </w:r>
          </w:p>
        </w:tc>
        <w:tc>
          <w:tcPr>
            <w:tcW w:w="1487" w:type="dxa"/>
            <w:vAlign w:val="center"/>
          </w:tcPr>
          <w:p w14:paraId="106C71A8" w14:textId="77777777" w:rsidR="007523B8" w:rsidRPr="009E06AA" w:rsidRDefault="007523B8" w:rsidP="00E247AF">
            <w:pPr>
              <w:pStyle w:val="TableText"/>
              <w:spacing w:before="40" w:after="40"/>
              <w:jc w:val="right"/>
              <w:rPr>
                <w:highlight w:val="yellow"/>
              </w:rPr>
            </w:pPr>
            <w:r w:rsidRPr="009E06AA">
              <w:rPr>
                <w:rFonts w:cs="Calibri"/>
                <w:color w:val="000000"/>
                <w:szCs w:val="16"/>
              </w:rPr>
              <w:t>57.3</w:t>
            </w:r>
          </w:p>
        </w:tc>
        <w:tc>
          <w:tcPr>
            <w:tcW w:w="1536" w:type="dxa"/>
            <w:vAlign w:val="center"/>
          </w:tcPr>
          <w:p w14:paraId="2B50FB72" w14:textId="77777777" w:rsidR="007523B8" w:rsidRPr="009E06AA" w:rsidRDefault="007523B8" w:rsidP="00E247AF">
            <w:pPr>
              <w:pStyle w:val="TableText"/>
              <w:spacing w:before="40" w:after="40"/>
              <w:jc w:val="right"/>
              <w:rPr>
                <w:highlight w:val="yellow"/>
              </w:rPr>
            </w:pPr>
            <w:r w:rsidRPr="009E06AA">
              <w:rPr>
                <w:color w:val="000000"/>
              </w:rPr>
              <w:t>10.0</w:t>
            </w:r>
          </w:p>
        </w:tc>
        <w:tc>
          <w:tcPr>
            <w:tcW w:w="1518" w:type="dxa"/>
            <w:vAlign w:val="center"/>
          </w:tcPr>
          <w:p w14:paraId="5CCB0DD8" w14:textId="77777777" w:rsidR="007523B8" w:rsidRPr="009E06AA" w:rsidRDefault="007523B8" w:rsidP="00E247AF">
            <w:pPr>
              <w:pStyle w:val="TableText"/>
              <w:spacing w:before="40" w:after="40"/>
              <w:jc w:val="right"/>
              <w:rPr>
                <w:highlight w:val="yellow"/>
              </w:rPr>
            </w:pPr>
            <w:r w:rsidRPr="009E06AA">
              <w:rPr>
                <w:rFonts w:cs="Calibri"/>
                <w:color w:val="000000"/>
                <w:szCs w:val="16"/>
              </w:rPr>
              <w:t>17.6</w:t>
            </w:r>
          </w:p>
        </w:tc>
      </w:tr>
      <w:tr w:rsidR="007523B8" w:rsidRPr="009E06AA" w14:paraId="3D1E7D8F" w14:textId="77777777" w:rsidTr="00B55F24">
        <w:trPr>
          <w:trHeight w:val="239"/>
        </w:trPr>
        <w:tc>
          <w:tcPr>
            <w:tcW w:w="988" w:type="dxa"/>
          </w:tcPr>
          <w:p w14:paraId="27E7B4DB" w14:textId="77777777" w:rsidR="007523B8" w:rsidRPr="009E06AA" w:rsidRDefault="007523B8" w:rsidP="00B55F24">
            <w:pPr>
              <w:pStyle w:val="TableText"/>
              <w:spacing w:before="40" w:after="40"/>
              <w:rPr>
                <w:rFonts w:cs="Calibri"/>
                <w:szCs w:val="16"/>
              </w:rPr>
            </w:pPr>
            <w:r w:rsidRPr="009E06AA">
              <w:rPr>
                <w:rFonts w:cs="Calibri"/>
                <w:szCs w:val="16"/>
              </w:rPr>
              <w:t>1991</w:t>
            </w:r>
          </w:p>
        </w:tc>
        <w:tc>
          <w:tcPr>
            <w:tcW w:w="1489" w:type="dxa"/>
            <w:vAlign w:val="center"/>
          </w:tcPr>
          <w:p w14:paraId="7F11FE9C" w14:textId="77777777" w:rsidR="007523B8" w:rsidRPr="009E06AA" w:rsidRDefault="007523B8" w:rsidP="00E247AF">
            <w:pPr>
              <w:pStyle w:val="TableText"/>
              <w:spacing w:before="40" w:after="40"/>
              <w:jc w:val="right"/>
              <w:rPr>
                <w:highlight w:val="yellow"/>
              </w:rPr>
            </w:pPr>
            <w:r w:rsidRPr="009E06AA">
              <w:rPr>
                <w:rFonts w:cs="Calibri"/>
                <w:color w:val="000000"/>
                <w:szCs w:val="16"/>
              </w:rPr>
              <w:t>76.7</w:t>
            </w:r>
          </w:p>
        </w:tc>
        <w:tc>
          <w:tcPr>
            <w:tcW w:w="1487" w:type="dxa"/>
            <w:vAlign w:val="center"/>
          </w:tcPr>
          <w:p w14:paraId="7061AAB1" w14:textId="77777777" w:rsidR="007523B8" w:rsidRPr="009E06AA" w:rsidRDefault="007523B8" w:rsidP="00E247AF">
            <w:pPr>
              <w:pStyle w:val="TableText"/>
              <w:spacing w:before="40" w:after="40"/>
              <w:jc w:val="right"/>
              <w:rPr>
                <w:highlight w:val="yellow"/>
              </w:rPr>
            </w:pPr>
            <w:r w:rsidRPr="009E06AA">
              <w:rPr>
                <w:rFonts w:cs="Calibri"/>
                <w:color w:val="000000"/>
                <w:szCs w:val="16"/>
              </w:rPr>
              <w:t>76.5</w:t>
            </w:r>
          </w:p>
        </w:tc>
        <w:tc>
          <w:tcPr>
            <w:tcW w:w="1487" w:type="dxa"/>
            <w:vAlign w:val="center"/>
          </w:tcPr>
          <w:p w14:paraId="6DDE4A99" w14:textId="77777777" w:rsidR="007523B8" w:rsidRPr="009E06AA" w:rsidRDefault="007523B8" w:rsidP="00E247AF">
            <w:pPr>
              <w:pStyle w:val="TableText"/>
              <w:spacing w:before="40" w:after="40"/>
              <w:jc w:val="right"/>
              <w:rPr>
                <w:highlight w:val="yellow"/>
              </w:rPr>
            </w:pPr>
            <w:r w:rsidRPr="009E06AA">
              <w:rPr>
                <w:rFonts w:cs="Calibri"/>
                <w:color w:val="000000"/>
                <w:szCs w:val="16"/>
              </w:rPr>
              <w:t>58.0</w:t>
            </w:r>
          </w:p>
        </w:tc>
        <w:tc>
          <w:tcPr>
            <w:tcW w:w="1536" w:type="dxa"/>
            <w:vAlign w:val="center"/>
          </w:tcPr>
          <w:p w14:paraId="03E0CAFE" w14:textId="77777777" w:rsidR="007523B8" w:rsidRPr="009E06AA" w:rsidRDefault="007523B8" w:rsidP="00E247AF">
            <w:pPr>
              <w:pStyle w:val="TableText"/>
              <w:spacing w:before="40" w:after="40"/>
              <w:jc w:val="right"/>
              <w:rPr>
                <w:highlight w:val="yellow"/>
              </w:rPr>
            </w:pPr>
            <w:r w:rsidRPr="009E06AA">
              <w:rPr>
                <w:color w:val="000000"/>
              </w:rPr>
              <w:t>10.1</w:t>
            </w:r>
          </w:p>
        </w:tc>
        <w:tc>
          <w:tcPr>
            <w:tcW w:w="1518" w:type="dxa"/>
            <w:vAlign w:val="center"/>
          </w:tcPr>
          <w:p w14:paraId="61D82C0B" w14:textId="77777777" w:rsidR="007523B8" w:rsidRPr="009E06AA" w:rsidRDefault="007523B8" w:rsidP="00E247AF">
            <w:pPr>
              <w:pStyle w:val="TableText"/>
              <w:spacing w:before="40" w:after="40"/>
              <w:jc w:val="right"/>
              <w:rPr>
                <w:highlight w:val="yellow"/>
              </w:rPr>
            </w:pPr>
            <w:r w:rsidRPr="009E06AA">
              <w:rPr>
                <w:rFonts w:cs="Calibri"/>
                <w:color w:val="000000"/>
                <w:szCs w:val="16"/>
              </w:rPr>
              <w:t>18.1</w:t>
            </w:r>
          </w:p>
        </w:tc>
      </w:tr>
      <w:tr w:rsidR="007523B8" w:rsidRPr="009E06AA" w14:paraId="350FE931" w14:textId="77777777" w:rsidTr="00B55F24">
        <w:trPr>
          <w:trHeight w:val="239"/>
        </w:trPr>
        <w:tc>
          <w:tcPr>
            <w:tcW w:w="988" w:type="dxa"/>
          </w:tcPr>
          <w:p w14:paraId="55C3AF70" w14:textId="77777777" w:rsidR="007523B8" w:rsidRPr="009E06AA" w:rsidRDefault="007523B8" w:rsidP="00B55F24">
            <w:pPr>
              <w:pStyle w:val="TableText"/>
              <w:spacing w:before="40" w:after="40"/>
              <w:rPr>
                <w:rFonts w:cs="Calibri"/>
                <w:szCs w:val="16"/>
              </w:rPr>
            </w:pPr>
            <w:r w:rsidRPr="009E06AA">
              <w:rPr>
                <w:rFonts w:cs="Calibri"/>
                <w:szCs w:val="16"/>
              </w:rPr>
              <w:t>1992</w:t>
            </w:r>
          </w:p>
        </w:tc>
        <w:tc>
          <w:tcPr>
            <w:tcW w:w="1489" w:type="dxa"/>
            <w:vAlign w:val="center"/>
          </w:tcPr>
          <w:p w14:paraId="4F2E4962" w14:textId="77777777" w:rsidR="007523B8" w:rsidRPr="009E06AA" w:rsidRDefault="007523B8" w:rsidP="00E247AF">
            <w:pPr>
              <w:pStyle w:val="TableText"/>
              <w:spacing w:before="40" w:after="40"/>
              <w:jc w:val="right"/>
              <w:rPr>
                <w:highlight w:val="yellow"/>
              </w:rPr>
            </w:pPr>
            <w:r w:rsidRPr="009E06AA">
              <w:rPr>
                <w:rFonts w:cs="Calibri"/>
                <w:color w:val="000000"/>
                <w:szCs w:val="16"/>
              </w:rPr>
              <w:t>77.2</w:t>
            </w:r>
          </w:p>
        </w:tc>
        <w:tc>
          <w:tcPr>
            <w:tcW w:w="1487" w:type="dxa"/>
            <w:vAlign w:val="center"/>
          </w:tcPr>
          <w:p w14:paraId="3DC20B72" w14:textId="77777777" w:rsidR="007523B8" w:rsidRPr="009E06AA" w:rsidRDefault="007523B8" w:rsidP="00E247AF">
            <w:pPr>
              <w:pStyle w:val="TableText"/>
              <w:spacing w:before="40" w:after="40"/>
              <w:jc w:val="right"/>
              <w:rPr>
                <w:highlight w:val="yellow"/>
              </w:rPr>
            </w:pPr>
            <w:r w:rsidRPr="009E06AA">
              <w:rPr>
                <w:rFonts w:cs="Calibri"/>
                <w:color w:val="000000"/>
                <w:szCs w:val="16"/>
              </w:rPr>
              <w:t>80.6</w:t>
            </w:r>
          </w:p>
        </w:tc>
        <w:tc>
          <w:tcPr>
            <w:tcW w:w="1487" w:type="dxa"/>
            <w:vAlign w:val="center"/>
          </w:tcPr>
          <w:p w14:paraId="583DDBE5" w14:textId="77777777" w:rsidR="007523B8" w:rsidRPr="009E06AA" w:rsidRDefault="007523B8" w:rsidP="00E247AF">
            <w:pPr>
              <w:pStyle w:val="TableText"/>
              <w:spacing w:before="40" w:after="40"/>
              <w:jc w:val="right"/>
              <w:rPr>
                <w:highlight w:val="yellow"/>
              </w:rPr>
            </w:pPr>
            <w:r w:rsidRPr="009E06AA">
              <w:rPr>
                <w:rFonts w:cs="Calibri"/>
                <w:color w:val="000000"/>
                <w:szCs w:val="16"/>
              </w:rPr>
              <w:t>59.3</w:t>
            </w:r>
          </w:p>
        </w:tc>
        <w:tc>
          <w:tcPr>
            <w:tcW w:w="1536" w:type="dxa"/>
            <w:vAlign w:val="center"/>
          </w:tcPr>
          <w:p w14:paraId="5829C4F8" w14:textId="77777777" w:rsidR="007523B8" w:rsidRPr="009E06AA" w:rsidRDefault="007523B8" w:rsidP="00E247AF">
            <w:pPr>
              <w:pStyle w:val="TableText"/>
              <w:spacing w:before="40" w:after="40"/>
              <w:jc w:val="right"/>
              <w:rPr>
                <w:highlight w:val="yellow"/>
              </w:rPr>
            </w:pPr>
            <w:r w:rsidRPr="009E06AA">
              <w:rPr>
                <w:color w:val="000000"/>
              </w:rPr>
              <w:t>10.1</w:t>
            </w:r>
          </w:p>
        </w:tc>
        <w:tc>
          <w:tcPr>
            <w:tcW w:w="1518" w:type="dxa"/>
            <w:vAlign w:val="center"/>
          </w:tcPr>
          <w:p w14:paraId="557643B2" w14:textId="77777777" w:rsidR="007523B8" w:rsidRPr="009E06AA" w:rsidRDefault="007523B8" w:rsidP="00E247AF">
            <w:pPr>
              <w:pStyle w:val="TableText"/>
              <w:spacing w:before="40" w:after="40"/>
              <w:jc w:val="right"/>
              <w:rPr>
                <w:highlight w:val="yellow"/>
              </w:rPr>
            </w:pPr>
            <w:r w:rsidRPr="009E06AA">
              <w:rPr>
                <w:rFonts w:cs="Calibri"/>
                <w:color w:val="000000"/>
                <w:szCs w:val="16"/>
              </w:rPr>
              <w:t>18.9</w:t>
            </w:r>
          </w:p>
        </w:tc>
      </w:tr>
      <w:tr w:rsidR="007523B8" w:rsidRPr="009E06AA" w14:paraId="40A587FE" w14:textId="77777777" w:rsidTr="00B55F24">
        <w:trPr>
          <w:trHeight w:val="239"/>
        </w:trPr>
        <w:tc>
          <w:tcPr>
            <w:tcW w:w="988" w:type="dxa"/>
          </w:tcPr>
          <w:p w14:paraId="3E71DB5C" w14:textId="77777777" w:rsidR="007523B8" w:rsidRPr="009E06AA" w:rsidRDefault="007523B8" w:rsidP="00B55F24">
            <w:pPr>
              <w:pStyle w:val="TableText"/>
              <w:spacing w:before="40" w:after="40"/>
              <w:rPr>
                <w:rFonts w:cs="Calibri"/>
                <w:szCs w:val="16"/>
              </w:rPr>
            </w:pPr>
            <w:r w:rsidRPr="009E06AA">
              <w:rPr>
                <w:rFonts w:cs="Calibri"/>
                <w:szCs w:val="16"/>
              </w:rPr>
              <w:t>1993</w:t>
            </w:r>
          </w:p>
        </w:tc>
        <w:tc>
          <w:tcPr>
            <w:tcW w:w="1489" w:type="dxa"/>
            <w:vAlign w:val="center"/>
          </w:tcPr>
          <w:p w14:paraId="30F93B1B" w14:textId="77777777" w:rsidR="007523B8" w:rsidRPr="009E06AA" w:rsidRDefault="007523B8" w:rsidP="00E247AF">
            <w:pPr>
              <w:pStyle w:val="TableText"/>
              <w:spacing w:before="40" w:after="40"/>
              <w:jc w:val="right"/>
              <w:rPr>
                <w:highlight w:val="yellow"/>
              </w:rPr>
            </w:pPr>
            <w:r w:rsidRPr="009E06AA">
              <w:rPr>
                <w:rFonts w:cs="Calibri"/>
                <w:color w:val="000000"/>
                <w:szCs w:val="16"/>
              </w:rPr>
              <w:t>77.7</w:t>
            </w:r>
          </w:p>
        </w:tc>
        <w:tc>
          <w:tcPr>
            <w:tcW w:w="1487" w:type="dxa"/>
            <w:vAlign w:val="center"/>
          </w:tcPr>
          <w:p w14:paraId="645D36C0" w14:textId="77777777" w:rsidR="007523B8" w:rsidRPr="009E06AA" w:rsidRDefault="007523B8" w:rsidP="00E247AF">
            <w:pPr>
              <w:pStyle w:val="TableText"/>
              <w:spacing w:before="40" w:after="40"/>
              <w:jc w:val="right"/>
              <w:rPr>
                <w:highlight w:val="yellow"/>
              </w:rPr>
            </w:pPr>
            <w:r w:rsidRPr="009E06AA">
              <w:rPr>
                <w:rFonts w:cs="Calibri"/>
                <w:color w:val="000000"/>
                <w:szCs w:val="16"/>
              </w:rPr>
              <w:t>81.6</w:t>
            </w:r>
          </w:p>
        </w:tc>
        <w:tc>
          <w:tcPr>
            <w:tcW w:w="1487" w:type="dxa"/>
            <w:vAlign w:val="center"/>
          </w:tcPr>
          <w:p w14:paraId="670A4993" w14:textId="77777777" w:rsidR="007523B8" w:rsidRPr="009E06AA" w:rsidRDefault="007523B8" w:rsidP="00E247AF">
            <w:pPr>
              <w:pStyle w:val="TableText"/>
              <w:spacing w:before="40" w:after="40"/>
              <w:jc w:val="right"/>
              <w:rPr>
                <w:highlight w:val="yellow"/>
              </w:rPr>
            </w:pPr>
            <w:r w:rsidRPr="009E06AA">
              <w:rPr>
                <w:rFonts w:cs="Calibri"/>
                <w:color w:val="000000"/>
                <w:szCs w:val="16"/>
              </w:rPr>
              <w:t>60.4</w:t>
            </w:r>
          </w:p>
        </w:tc>
        <w:tc>
          <w:tcPr>
            <w:tcW w:w="1536" w:type="dxa"/>
            <w:vAlign w:val="center"/>
          </w:tcPr>
          <w:p w14:paraId="10B586D7" w14:textId="77777777" w:rsidR="007523B8" w:rsidRPr="009E06AA" w:rsidRDefault="007523B8" w:rsidP="00E247AF">
            <w:pPr>
              <w:pStyle w:val="TableText"/>
              <w:spacing w:before="40" w:after="40"/>
              <w:jc w:val="right"/>
              <w:rPr>
                <w:highlight w:val="yellow"/>
              </w:rPr>
            </w:pPr>
            <w:r w:rsidRPr="009E06AA">
              <w:rPr>
                <w:color w:val="000000"/>
              </w:rPr>
              <w:t>10.3</w:t>
            </w:r>
          </w:p>
        </w:tc>
        <w:tc>
          <w:tcPr>
            <w:tcW w:w="1518" w:type="dxa"/>
            <w:vAlign w:val="center"/>
          </w:tcPr>
          <w:p w14:paraId="1F0291F1" w14:textId="77777777" w:rsidR="007523B8" w:rsidRPr="009E06AA" w:rsidRDefault="007523B8" w:rsidP="00E247AF">
            <w:pPr>
              <w:pStyle w:val="TableText"/>
              <w:spacing w:before="40" w:after="40"/>
              <w:jc w:val="right"/>
              <w:rPr>
                <w:highlight w:val="yellow"/>
              </w:rPr>
            </w:pPr>
            <w:r w:rsidRPr="009E06AA">
              <w:rPr>
                <w:rFonts w:cs="Calibri"/>
                <w:color w:val="000000"/>
                <w:szCs w:val="16"/>
              </w:rPr>
              <w:t>19.3</w:t>
            </w:r>
          </w:p>
        </w:tc>
      </w:tr>
      <w:tr w:rsidR="007523B8" w:rsidRPr="009E06AA" w14:paraId="5B0C83C0" w14:textId="77777777" w:rsidTr="00B55F24">
        <w:trPr>
          <w:trHeight w:val="239"/>
        </w:trPr>
        <w:tc>
          <w:tcPr>
            <w:tcW w:w="988" w:type="dxa"/>
          </w:tcPr>
          <w:p w14:paraId="295EF304" w14:textId="77777777" w:rsidR="007523B8" w:rsidRPr="009E06AA" w:rsidRDefault="007523B8" w:rsidP="00B55F24">
            <w:pPr>
              <w:pStyle w:val="TableText"/>
              <w:spacing w:before="40" w:after="40"/>
              <w:rPr>
                <w:rFonts w:cs="Calibri"/>
                <w:szCs w:val="16"/>
              </w:rPr>
            </w:pPr>
            <w:r w:rsidRPr="009E06AA">
              <w:rPr>
                <w:rFonts w:cs="Calibri"/>
                <w:szCs w:val="16"/>
              </w:rPr>
              <w:t>1994</w:t>
            </w:r>
          </w:p>
        </w:tc>
        <w:tc>
          <w:tcPr>
            <w:tcW w:w="1489" w:type="dxa"/>
            <w:vAlign w:val="center"/>
          </w:tcPr>
          <w:p w14:paraId="3A9DAED4" w14:textId="77777777" w:rsidR="007523B8" w:rsidRPr="009E06AA" w:rsidRDefault="007523B8" w:rsidP="00E247AF">
            <w:pPr>
              <w:pStyle w:val="TableText"/>
              <w:spacing w:before="40" w:after="40"/>
              <w:jc w:val="right"/>
              <w:rPr>
                <w:highlight w:val="yellow"/>
              </w:rPr>
            </w:pPr>
            <w:r w:rsidRPr="009E06AA">
              <w:rPr>
                <w:rFonts w:cs="Calibri"/>
                <w:color w:val="000000"/>
                <w:szCs w:val="16"/>
              </w:rPr>
              <w:t>76.1</w:t>
            </w:r>
          </w:p>
        </w:tc>
        <w:tc>
          <w:tcPr>
            <w:tcW w:w="1487" w:type="dxa"/>
            <w:vAlign w:val="center"/>
          </w:tcPr>
          <w:p w14:paraId="4E48D4B4" w14:textId="77777777" w:rsidR="007523B8" w:rsidRPr="009E06AA" w:rsidRDefault="007523B8" w:rsidP="00E247AF">
            <w:pPr>
              <w:pStyle w:val="TableText"/>
              <w:spacing w:before="40" w:after="40"/>
              <w:jc w:val="right"/>
              <w:rPr>
                <w:highlight w:val="yellow"/>
              </w:rPr>
            </w:pPr>
            <w:r w:rsidRPr="009E06AA">
              <w:rPr>
                <w:rFonts w:cs="Calibri"/>
                <w:color w:val="000000"/>
                <w:szCs w:val="16"/>
              </w:rPr>
              <w:t>83.4</w:t>
            </w:r>
          </w:p>
        </w:tc>
        <w:tc>
          <w:tcPr>
            <w:tcW w:w="1487" w:type="dxa"/>
            <w:vAlign w:val="center"/>
          </w:tcPr>
          <w:p w14:paraId="5B14E77D" w14:textId="77777777" w:rsidR="007523B8" w:rsidRPr="009E06AA" w:rsidRDefault="007523B8" w:rsidP="00E247AF">
            <w:pPr>
              <w:pStyle w:val="TableText"/>
              <w:spacing w:before="40" w:after="40"/>
              <w:jc w:val="right"/>
              <w:rPr>
                <w:highlight w:val="yellow"/>
              </w:rPr>
            </w:pPr>
            <w:r w:rsidRPr="009E06AA">
              <w:rPr>
                <w:rFonts w:cs="Calibri"/>
                <w:color w:val="000000"/>
                <w:szCs w:val="16"/>
              </w:rPr>
              <w:t>61.1</w:t>
            </w:r>
          </w:p>
        </w:tc>
        <w:tc>
          <w:tcPr>
            <w:tcW w:w="1536" w:type="dxa"/>
            <w:vAlign w:val="center"/>
          </w:tcPr>
          <w:p w14:paraId="4C01880B" w14:textId="77777777" w:rsidR="007523B8" w:rsidRPr="009E06AA" w:rsidRDefault="007523B8" w:rsidP="00E247AF">
            <w:pPr>
              <w:pStyle w:val="TableText"/>
              <w:spacing w:before="40" w:after="40"/>
              <w:jc w:val="right"/>
              <w:rPr>
                <w:highlight w:val="yellow"/>
              </w:rPr>
            </w:pPr>
            <w:r w:rsidRPr="009E06AA">
              <w:rPr>
                <w:color w:val="000000"/>
              </w:rPr>
              <w:t>10.5</w:t>
            </w:r>
          </w:p>
        </w:tc>
        <w:tc>
          <w:tcPr>
            <w:tcW w:w="1518" w:type="dxa"/>
            <w:vAlign w:val="center"/>
          </w:tcPr>
          <w:p w14:paraId="71CCDB78" w14:textId="77777777" w:rsidR="007523B8" w:rsidRPr="009E06AA" w:rsidRDefault="007523B8" w:rsidP="00E247AF">
            <w:pPr>
              <w:pStyle w:val="TableText"/>
              <w:spacing w:before="40" w:after="40"/>
              <w:jc w:val="right"/>
              <w:rPr>
                <w:highlight w:val="yellow"/>
              </w:rPr>
            </w:pPr>
            <w:r w:rsidRPr="009E06AA">
              <w:rPr>
                <w:rFonts w:cs="Calibri"/>
                <w:color w:val="000000"/>
                <w:szCs w:val="16"/>
              </w:rPr>
              <w:t>19.1</w:t>
            </w:r>
          </w:p>
        </w:tc>
      </w:tr>
      <w:tr w:rsidR="007523B8" w:rsidRPr="009E06AA" w14:paraId="2E22A578" w14:textId="77777777" w:rsidTr="00B55F24">
        <w:trPr>
          <w:trHeight w:val="239"/>
        </w:trPr>
        <w:tc>
          <w:tcPr>
            <w:tcW w:w="988" w:type="dxa"/>
          </w:tcPr>
          <w:p w14:paraId="0A275204" w14:textId="77777777" w:rsidR="007523B8" w:rsidRPr="009E06AA" w:rsidRDefault="007523B8" w:rsidP="00B55F24">
            <w:pPr>
              <w:pStyle w:val="TableText"/>
              <w:spacing w:before="40" w:after="40"/>
              <w:rPr>
                <w:rFonts w:cs="Calibri"/>
                <w:szCs w:val="16"/>
              </w:rPr>
            </w:pPr>
            <w:r w:rsidRPr="009E06AA">
              <w:rPr>
                <w:rFonts w:cs="Calibri"/>
                <w:szCs w:val="16"/>
              </w:rPr>
              <w:t>1995</w:t>
            </w:r>
          </w:p>
        </w:tc>
        <w:tc>
          <w:tcPr>
            <w:tcW w:w="1489" w:type="dxa"/>
            <w:vAlign w:val="center"/>
          </w:tcPr>
          <w:p w14:paraId="21822132" w14:textId="77777777" w:rsidR="007523B8" w:rsidRPr="009E06AA" w:rsidRDefault="007523B8" w:rsidP="00E247AF">
            <w:pPr>
              <w:pStyle w:val="TableText"/>
              <w:spacing w:before="40" w:after="40"/>
              <w:jc w:val="right"/>
              <w:rPr>
                <w:highlight w:val="yellow"/>
              </w:rPr>
            </w:pPr>
            <w:r w:rsidRPr="009E06AA">
              <w:rPr>
                <w:color w:val="000000"/>
              </w:rPr>
              <w:t>76.4</w:t>
            </w:r>
          </w:p>
        </w:tc>
        <w:tc>
          <w:tcPr>
            <w:tcW w:w="1487" w:type="dxa"/>
            <w:vAlign w:val="center"/>
          </w:tcPr>
          <w:p w14:paraId="1840486B" w14:textId="77777777" w:rsidR="007523B8" w:rsidRPr="009E06AA" w:rsidRDefault="007523B8" w:rsidP="00E247AF">
            <w:pPr>
              <w:pStyle w:val="TableText"/>
              <w:spacing w:before="40" w:after="40"/>
              <w:jc w:val="right"/>
              <w:rPr>
                <w:highlight w:val="yellow"/>
              </w:rPr>
            </w:pPr>
            <w:r w:rsidRPr="009E06AA">
              <w:rPr>
                <w:rFonts w:cs="Calibri"/>
                <w:color w:val="000000"/>
                <w:szCs w:val="16"/>
              </w:rPr>
              <w:t>83.1</w:t>
            </w:r>
          </w:p>
        </w:tc>
        <w:tc>
          <w:tcPr>
            <w:tcW w:w="1487" w:type="dxa"/>
            <w:vAlign w:val="center"/>
          </w:tcPr>
          <w:p w14:paraId="7526EEC2" w14:textId="77777777" w:rsidR="007523B8" w:rsidRPr="009E06AA" w:rsidRDefault="007523B8" w:rsidP="00E247AF">
            <w:pPr>
              <w:pStyle w:val="TableText"/>
              <w:spacing w:before="40" w:after="40"/>
              <w:jc w:val="right"/>
              <w:rPr>
                <w:highlight w:val="yellow"/>
              </w:rPr>
            </w:pPr>
            <w:r w:rsidRPr="009E06AA">
              <w:rPr>
                <w:rFonts w:cs="Calibri"/>
                <w:color w:val="000000"/>
                <w:szCs w:val="16"/>
              </w:rPr>
              <w:t>60.0</w:t>
            </w:r>
          </w:p>
        </w:tc>
        <w:tc>
          <w:tcPr>
            <w:tcW w:w="1536" w:type="dxa"/>
            <w:vAlign w:val="center"/>
          </w:tcPr>
          <w:p w14:paraId="71A28A06" w14:textId="77777777" w:rsidR="007523B8" w:rsidRPr="009E06AA" w:rsidRDefault="007523B8" w:rsidP="00E247AF">
            <w:pPr>
              <w:pStyle w:val="TableText"/>
              <w:spacing w:before="40" w:after="40"/>
              <w:jc w:val="right"/>
              <w:rPr>
                <w:highlight w:val="yellow"/>
              </w:rPr>
            </w:pPr>
            <w:r w:rsidRPr="009E06AA">
              <w:rPr>
                <w:color w:val="000000"/>
              </w:rPr>
              <w:t>10.4</w:t>
            </w:r>
          </w:p>
        </w:tc>
        <w:tc>
          <w:tcPr>
            <w:tcW w:w="1518" w:type="dxa"/>
            <w:vAlign w:val="center"/>
          </w:tcPr>
          <w:p w14:paraId="03960AA2" w14:textId="77777777" w:rsidR="007523B8" w:rsidRPr="009E06AA" w:rsidRDefault="007523B8" w:rsidP="00E247AF">
            <w:pPr>
              <w:pStyle w:val="TableText"/>
              <w:spacing w:before="40" w:after="40"/>
              <w:jc w:val="right"/>
              <w:rPr>
                <w:highlight w:val="yellow"/>
              </w:rPr>
            </w:pPr>
            <w:r w:rsidRPr="009E06AA">
              <w:rPr>
                <w:rFonts w:cs="Calibri"/>
                <w:color w:val="000000"/>
                <w:szCs w:val="16"/>
              </w:rPr>
              <w:t>19.8</w:t>
            </w:r>
          </w:p>
        </w:tc>
      </w:tr>
      <w:tr w:rsidR="007523B8" w:rsidRPr="009E06AA" w14:paraId="2C4DD35E" w14:textId="77777777" w:rsidTr="00B55F24">
        <w:trPr>
          <w:trHeight w:val="239"/>
        </w:trPr>
        <w:tc>
          <w:tcPr>
            <w:tcW w:w="988" w:type="dxa"/>
          </w:tcPr>
          <w:p w14:paraId="0232C46A" w14:textId="77777777" w:rsidR="007523B8" w:rsidRPr="009E06AA" w:rsidRDefault="007523B8" w:rsidP="00B55F24">
            <w:pPr>
              <w:pStyle w:val="TableText"/>
              <w:spacing w:before="40" w:after="40"/>
              <w:rPr>
                <w:rFonts w:cs="Calibri"/>
                <w:szCs w:val="16"/>
              </w:rPr>
            </w:pPr>
            <w:r w:rsidRPr="009E06AA">
              <w:rPr>
                <w:rFonts w:cs="Calibri"/>
                <w:szCs w:val="16"/>
              </w:rPr>
              <w:t>1996</w:t>
            </w:r>
          </w:p>
        </w:tc>
        <w:tc>
          <w:tcPr>
            <w:tcW w:w="1489" w:type="dxa"/>
            <w:vAlign w:val="center"/>
          </w:tcPr>
          <w:p w14:paraId="70A5C57C" w14:textId="77777777" w:rsidR="007523B8" w:rsidRPr="009E06AA" w:rsidRDefault="007523B8" w:rsidP="00E247AF">
            <w:pPr>
              <w:pStyle w:val="TableText"/>
              <w:spacing w:before="40" w:after="40"/>
              <w:jc w:val="right"/>
              <w:rPr>
                <w:highlight w:val="yellow"/>
              </w:rPr>
            </w:pPr>
            <w:r w:rsidRPr="009E06AA">
              <w:rPr>
                <w:rFonts w:cs="Calibri"/>
                <w:color w:val="000000"/>
                <w:szCs w:val="16"/>
              </w:rPr>
              <w:t>79.6</w:t>
            </w:r>
          </w:p>
        </w:tc>
        <w:tc>
          <w:tcPr>
            <w:tcW w:w="1487" w:type="dxa"/>
            <w:vAlign w:val="center"/>
          </w:tcPr>
          <w:p w14:paraId="229621FC" w14:textId="77777777" w:rsidR="007523B8" w:rsidRPr="009E06AA" w:rsidRDefault="007523B8" w:rsidP="00E247AF">
            <w:pPr>
              <w:pStyle w:val="TableText"/>
              <w:spacing w:before="40" w:after="40"/>
              <w:jc w:val="right"/>
              <w:rPr>
                <w:highlight w:val="yellow"/>
              </w:rPr>
            </w:pPr>
            <w:r w:rsidRPr="009E06AA">
              <w:rPr>
                <w:rFonts w:cs="Calibri"/>
                <w:color w:val="000000"/>
                <w:szCs w:val="16"/>
              </w:rPr>
              <w:t>84.5</w:t>
            </w:r>
          </w:p>
        </w:tc>
        <w:tc>
          <w:tcPr>
            <w:tcW w:w="1487" w:type="dxa"/>
            <w:vAlign w:val="center"/>
          </w:tcPr>
          <w:p w14:paraId="74A2755E" w14:textId="77777777" w:rsidR="007523B8" w:rsidRPr="009E06AA" w:rsidRDefault="007523B8" w:rsidP="00E247AF">
            <w:pPr>
              <w:pStyle w:val="TableText"/>
              <w:spacing w:before="40" w:after="40"/>
              <w:jc w:val="right"/>
              <w:rPr>
                <w:highlight w:val="yellow"/>
              </w:rPr>
            </w:pPr>
            <w:r w:rsidRPr="009E06AA">
              <w:rPr>
                <w:rFonts w:cs="Calibri"/>
                <w:color w:val="000000"/>
                <w:szCs w:val="16"/>
              </w:rPr>
              <w:t>63.4</w:t>
            </w:r>
          </w:p>
        </w:tc>
        <w:tc>
          <w:tcPr>
            <w:tcW w:w="1536" w:type="dxa"/>
            <w:vAlign w:val="center"/>
          </w:tcPr>
          <w:p w14:paraId="177D9987" w14:textId="77777777" w:rsidR="007523B8" w:rsidRPr="009E06AA" w:rsidRDefault="007523B8" w:rsidP="00E247AF">
            <w:pPr>
              <w:pStyle w:val="TableText"/>
              <w:spacing w:before="40" w:after="40"/>
              <w:jc w:val="right"/>
              <w:rPr>
                <w:highlight w:val="yellow"/>
              </w:rPr>
            </w:pPr>
            <w:r w:rsidRPr="009E06AA">
              <w:rPr>
                <w:color w:val="000000"/>
              </w:rPr>
              <w:t>10.</w:t>
            </w:r>
            <w:r w:rsidRPr="009E06AA">
              <w:rPr>
                <w:rFonts w:cs="Calibri"/>
                <w:color w:val="000000"/>
                <w:szCs w:val="16"/>
              </w:rPr>
              <w:t>8</w:t>
            </w:r>
          </w:p>
        </w:tc>
        <w:tc>
          <w:tcPr>
            <w:tcW w:w="1518" w:type="dxa"/>
            <w:vAlign w:val="center"/>
          </w:tcPr>
          <w:p w14:paraId="4877859E" w14:textId="77777777" w:rsidR="007523B8" w:rsidRPr="009E06AA" w:rsidRDefault="007523B8" w:rsidP="00E247AF">
            <w:pPr>
              <w:pStyle w:val="TableText"/>
              <w:spacing w:before="40" w:after="40"/>
              <w:jc w:val="right"/>
              <w:rPr>
                <w:highlight w:val="yellow"/>
              </w:rPr>
            </w:pPr>
            <w:r w:rsidRPr="009E06AA">
              <w:rPr>
                <w:color w:val="000000"/>
              </w:rPr>
              <w:t>20.0</w:t>
            </w:r>
          </w:p>
        </w:tc>
      </w:tr>
      <w:tr w:rsidR="007523B8" w:rsidRPr="009E06AA" w14:paraId="5692D568" w14:textId="77777777" w:rsidTr="00B55F24">
        <w:trPr>
          <w:trHeight w:val="251"/>
        </w:trPr>
        <w:tc>
          <w:tcPr>
            <w:tcW w:w="988" w:type="dxa"/>
          </w:tcPr>
          <w:p w14:paraId="40B2963D" w14:textId="77777777" w:rsidR="007523B8" w:rsidRPr="009E06AA" w:rsidRDefault="007523B8" w:rsidP="00B55F24">
            <w:pPr>
              <w:pStyle w:val="TableText"/>
              <w:spacing w:before="40" w:after="40"/>
              <w:rPr>
                <w:rFonts w:cs="Calibri"/>
                <w:szCs w:val="16"/>
              </w:rPr>
            </w:pPr>
            <w:r w:rsidRPr="009E06AA">
              <w:rPr>
                <w:rFonts w:cs="Calibri"/>
                <w:szCs w:val="16"/>
              </w:rPr>
              <w:t>1997</w:t>
            </w:r>
          </w:p>
        </w:tc>
        <w:tc>
          <w:tcPr>
            <w:tcW w:w="1489" w:type="dxa"/>
            <w:vAlign w:val="center"/>
          </w:tcPr>
          <w:p w14:paraId="1E3A7AE1" w14:textId="77777777" w:rsidR="007523B8" w:rsidRPr="009E06AA" w:rsidRDefault="007523B8" w:rsidP="00E247AF">
            <w:pPr>
              <w:pStyle w:val="TableText"/>
              <w:spacing w:before="40" w:after="40"/>
              <w:jc w:val="right"/>
              <w:rPr>
                <w:highlight w:val="yellow"/>
              </w:rPr>
            </w:pPr>
            <w:r w:rsidRPr="009E06AA">
              <w:rPr>
                <w:rFonts w:cs="Calibri"/>
                <w:color w:val="000000"/>
                <w:szCs w:val="16"/>
              </w:rPr>
              <w:t>79.7</w:t>
            </w:r>
          </w:p>
        </w:tc>
        <w:tc>
          <w:tcPr>
            <w:tcW w:w="1487" w:type="dxa"/>
            <w:vAlign w:val="center"/>
          </w:tcPr>
          <w:p w14:paraId="4488BF9D" w14:textId="77777777" w:rsidR="007523B8" w:rsidRPr="009E06AA" w:rsidRDefault="007523B8" w:rsidP="00E247AF">
            <w:pPr>
              <w:pStyle w:val="TableText"/>
              <w:spacing w:before="40" w:after="40"/>
              <w:jc w:val="right"/>
              <w:rPr>
                <w:highlight w:val="yellow"/>
              </w:rPr>
            </w:pPr>
            <w:r w:rsidRPr="009E06AA">
              <w:rPr>
                <w:color w:val="000000"/>
              </w:rPr>
              <w:t>85.8</w:t>
            </w:r>
          </w:p>
        </w:tc>
        <w:tc>
          <w:tcPr>
            <w:tcW w:w="1487" w:type="dxa"/>
            <w:vAlign w:val="center"/>
          </w:tcPr>
          <w:p w14:paraId="4D2BB483" w14:textId="77777777" w:rsidR="007523B8" w:rsidRPr="009E06AA" w:rsidRDefault="007523B8" w:rsidP="00E247AF">
            <w:pPr>
              <w:pStyle w:val="TableText"/>
              <w:spacing w:before="40" w:after="40"/>
              <w:jc w:val="right"/>
              <w:rPr>
                <w:highlight w:val="yellow"/>
              </w:rPr>
            </w:pPr>
            <w:r w:rsidRPr="009E06AA">
              <w:rPr>
                <w:rFonts w:cs="Calibri"/>
                <w:color w:val="000000"/>
                <w:szCs w:val="16"/>
              </w:rPr>
              <w:t>63.7</w:t>
            </w:r>
          </w:p>
        </w:tc>
        <w:tc>
          <w:tcPr>
            <w:tcW w:w="1536" w:type="dxa"/>
            <w:vAlign w:val="center"/>
          </w:tcPr>
          <w:p w14:paraId="20B8F490" w14:textId="77777777" w:rsidR="007523B8" w:rsidRPr="009E06AA" w:rsidRDefault="007523B8" w:rsidP="00E247AF">
            <w:pPr>
              <w:pStyle w:val="TableText"/>
              <w:spacing w:before="40" w:after="40"/>
              <w:jc w:val="right"/>
              <w:rPr>
                <w:highlight w:val="yellow"/>
              </w:rPr>
            </w:pPr>
            <w:r w:rsidRPr="009E06AA">
              <w:rPr>
                <w:color w:val="000000"/>
              </w:rPr>
              <w:t>11.1</w:t>
            </w:r>
          </w:p>
        </w:tc>
        <w:tc>
          <w:tcPr>
            <w:tcW w:w="1518" w:type="dxa"/>
            <w:vAlign w:val="center"/>
          </w:tcPr>
          <w:p w14:paraId="728AEC29" w14:textId="77777777" w:rsidR="007523B8" w:rsidRPr="009E06AA" w:rsidRDefault="007523B8" w:rsidP="00E247AF">
            <w:pPr>
              <w:pStyle w:val="TableText"/>
              <w:spacing w:before="40" w:after="40"/>
              <w:jc w:val="right"/>
              <w:rPr>
                <w:highlight w:val="yellow"/>
              </w:rPr>
            </w:pPr>
            <w:r w:rsidRPr="009E06AA">
              <w:rPr>
                <w:rFonts w:cs="Calibri"/>
                <w:color w:val="000000"/>
                <w:szCs w:val="16"/>
              </w:rPr>
              <w:t>20.3</w:t>
            </w:r>
          </w:p>
        </w:tc>
      </w:tr>
      <w:tr w:rsidR="007523B8" w:rsidRPr="009E06AA" w14:paraId="15C70BD0" w14:textId="77777777" w:rsidTr="00B55F24">
        <w:trPr>
          <w:trHeight w:val="239"/>
        </w:trPr>
        <w:tc>
          <w:tcPr>
            <w:tcW w:w="988" w:type="dxa"/>
          </w:tcPr>
          <w:p w14:paraId="5A11E201" w14:textId="77777777" w:rsidR="007523B8" w:rsidRPr="009E06AA" w:rsidRDefault="007523B8" w:rsidP="00B55F24">
            <w:pPr>
              <w:pStyle w:val="TableText"/>
              <w:spacing w:before="40" w:after="40"/>
              <w:rPr>
                <w:rFonts w:cs="Calibri"/>
                <w:szCs w:val="16"/>
              </w:rPr>
            </w:pPr>
            <w:r w:rsidRPr="009E06AA">
              <w:rPr>
                <w:rFonts w:cs="Calibri"/>
                <w:szCs w:val="16"/>
              </w:rPr>
              <w:t>1998</w:t>
            </w:r>
          </w:p>
        </w:tc>
        <w:tc>
          <w:tcPr>
            <w:tcW w:w="1489" w:type="dxa"/>
            <w:vAlign w:val="center"/>
          </w:tcPr>
          <w:p w14:paraId="7B18176D" w14:textId="77777777" w:rsidR="007523B8" w:rsidRPr="009E06AA" w:rsidRDefault="007523B8" w:rsidP="00E247AF">
            <w:pPr>
              <w:pStyle w:val="TableText"/>
              <w:spacing w:before="40" w:after="40"/>
              <w:jc w:val="right"/>
              <w:rPr>
                <w:highlight w:val="yellow"/>
              </w:rPr>
            </w:pPr>
            <w:r w:rsidRPr="009E06AA">
              <w:rPr>
                <w:color w:val="000000"/>
              </w:rPr>
              <w:t>78.2</w:t>
            </w:r>
          </w:p>
        </w:tc>
        <w:tc>
          <w:tcPr>
            <w:tcW w:w="1487" w:type="dxa"/>
            <w:vAlign w:val="center"/>
          </w:tcPr>
          <w:p w14:paraId="6647B358" w14:textId="77777777" w:rsidR="007523B8" w:rsidRPr="009E06AA" w:rsidRDefault="007523B8" w:rsidP="00E247AF">
            <w:pPr>
              <w:pStyle w:val="TableText"/>
              <w:spacing w:before="40" w:after="40"/>
              <w:jc w:val="right"/>
              <w:rPr>
                <w:highlight w:val="yellow"/>
              </w:rPr>
            </w:pPr>
            <w:r w:rsidRPr="009E06AA">
              <w:rPr>
                <w:rFonts w:cs="Calibri"/>
                <w:color w:val="000000"/>
                <w:szCs w:val="16"/>
              </w:rPr>
              <w:t>83.0</w:t>
            </w:r>
          </w:p>
        </w:tc>
        <w:tc>
          <w:tcPr>
            <w:tcW w:w="1487" w:type="dxa"/>
            <w:vAlign w:val="center"/>
          </w:tcPr>
          <w:p w14:paraId="67B835D2" w14:textId="77777777" w:rsidR="007523B8" w:rsidRPr="009E06AA" w:rsidRDefault="007523B8" w:rsidP="00E247AF">
            <w:pPr>
              <w:pStyle w:val="TableText"/>
              <w:spacing w:before="40" w:after="40"/>
              <w:jc w:val="right"/>
              <w:rPr>
                <w:highlight w:val="yellow"/>
              </w:rPr>
            </w:pPr>
            <w:r w:rsidRPr="009E06AA">
              <w:rPr>
                <w:rFonts w:cs="Calibri"/>
                <w:color w:val="000000"/>
                <w:szCs w:val="16"/>
              </w:rPr>
              <w:t>64.5</w:t>
            </w:r>
          </w:p>
        </w:tc>
        <w:tc>
          <w:tcPr>
            <w:tcW w:w="1536" w:type="dxa"/>
            <w:vAlign w:val="center"/>
          </w:tcPr>
          <w:p w14:paraId="20F5A6FC" w14:textId="77777777" w:rsidR="007523B8" w:rsidRPr="009E06AA" w:rsidRDefault="007523B8" w:rsidP="00E247AF">
            <w:pPr>
              <w:pStyle w:val="TableText"/>
              <w:spacing w:before="40" w:after="40"/>
              <w:jc w:val="right"/>
              <w:rPr>
                <w:highlight w:val="yellow"/>
              </w:rPr>
            </w:pPr>
            <w:r w:rsidRPr="009E06AA">
              <w:rPr>
                <w:rFonts w:cs="Calibri"/>
                <w:color w:val="000000"/>
                <w:szCs w:val="16"/>
              </w:rPr>
              <w:t>11.2</w:t>
            </w:r>
          </w:p>
        </w:tc>
        <w:tc>
          <w:tcPr>
            <w:tcW w:w="1518" w:type="dxa"/>
            <w:vAlign w:val="center"/>
          </w:tcPr>
          <w:p w14:paraId="0B13E864" w14:textId="77777777" w:rsidR="007523B8" w:rsidRPr="009E06AA" w:rsidRDefault="007523B8" w:rsidP="00E247AF">
            <w:pPr>
              <w:pStyle w:val="TableText"/>
              <w:spacing w:before="40" w:after="40"/>
              <w:jc w:val="right"/>
              <w:rPr>
                <w:highlight w:val="yellow"/>
              </w:rPr>
            </w:pPr>
            <w:r w:rsidRPr="009E06AA">
              <w:rPr>
                <w:rFonts w:cs="Calibri"/>
                <w:color w:val="000000"/>
                <w:szCs w:val="16"/>
              </w:rPr>
              <w:t>20.3</w:t>
            </w:r>
          </w:p>
        </w:tc>
      </w:tr>
      <w:tr w:rsidR="007523B8" w:rsidRPr="009E06AA" w14:paraId="38146DC6" w14:textId="77777777" w:rsidTr="00B55F24">
        <w:trPr>
          <w:trHeight w:val="239"/>
        </w:trPr>
        <w:tc>
          <w:tcPr>
            <w:tcW w:w="988" w:type="dxa"/>
          </w:tcPr>
          <w:p w14:paraId="101CE8FB" w14:textId="77777777" w:rsidR="007523B8" w:rsidRPr="009E06AA" w:rsidRDefault="007523B8" w:rsidP="00B55F24">
            <w:pPr>
              <w:pStyle w:val="TableText"/>
              <w:spacing w:before="40" w:after="40"/>
              <w:rPr>
                <w:rFonts w:cs="Calibri"/>
                <w:szCs w:val="16"/>
              </w:rPr>
            </w:pPr>
            <w:r w:rsidRPr="009E06AA">
              <w:rPr>
                <w:rFonts w:cs="Calibri"/>
                <w:szCs w:val="16"/>
              </w:rPr>
              <w:t>1999</w:t>
            </w:r>
          </w:p>
        </w:tc>
        <w:tc>
          <w:tcPr>
            <w:tcW w:w="1489" w:type="dxa"/>
            <w:vAlign w:val="center"/>
          </w:tcPr>
          <w:p w14:paraId="4022A46C" w14:textId="77777777" w:rsidR="007523B8" w:rsidRPr="009E06AA" w:rsidRDefault="007523B8" w:rsidP="00E247AF">
            <w:pPr>
              <w:pStyle w:val="TableText"/>
              <w:spacing w:before="40" w:after="40"/>
              <w:jc w:val="right"/>
              <w:rPr>
                <w:highlight w:val="lightGray"/>
              </w:rPr>
            </w:pPr>
            <w:r w:rsidRPr="009E06AA">
              <w:rPr>
                <w:rFonts w:cs="Calibri"/>
                <w:color w:val="000000"/>
                <w:szCs w:val="16"/>
              </w:rPr>
              <w:t>79.3</w:t>
            </w:r>
          </w:p>
        </w:tc>
        <w:tc>
          <w:tcPr>
            <w:tcW w:w="1487" w:type="dxa"/>
            <w:vAlign w:val="center"/>
          </w:tcPr>
          <w:p w14:paraId="0C0AA8C4" w14:textId="77777777" w:rsidR="007523B8" w:rsidRPr="009E06AA" w:rsidRDefault="007523B8" w:rsidP="00E247AF">
            <w:pPr>
              <w:pStyle w:val="TableText"/>
              <w:spacing w:before="40" w:after="40"/>
              <w:jc w:val="right"/>
              <w:rPr>
                <w:highlight w:val="lightGray"/>
              </w:rPr>
            </w:pPr>
            <w:r w:rsidRPr="009E06AA">
              <w:rPr>
                <w:rFonts w:cs="Calibri"/>
                <w:color w:val="000000"/>
                <w:szCs w:val="16"/>
              </w:rPr>
              <w:t>81.6</w:t>
            </w:r>
          </w:p>
        </w:tc>
        <w:tc>
          <w:tcPr>
            <w:tcW w:w="1487" w:type="dxa"/>
            <w:vAlign w:val="center"/>
          </w:tcPr>
          <w:p w14:paraId="0FF91F67" w14:textId="77777777" w:rsidR="007523B8" w:rsidRPr="009E06AA" w:rsidRDefault="007523B8" w:rsidP="00E247AF">
            <w:pPr>
              <w:pStyle w:val="TableText"/>
              <w:spacing w:before="40" w:after="40"/>
              <w:jc w:val="right"/>
              <w:rPr>
                <w:highlight w:val="lightGray"/>
              </w:rPr>
            </w:pPr>
            <w:r w:rsidRPr="009E06AA">
              <w:rPr>
                <w:rFonts w:cs="Calibri"/>
                <w:color w:val="000000"/>
                <w:szCs w:val="16"/>
              </w:rPr>
              <w:t>61.6</w:t>
            </w:r>
          </w:p>
        </w:tc>
        <w:tc>
          <w:tcPr>
            <w:tcW w:w="1536" w:type="dxa"/>
            <w:vAlign w:val="center"/>
          </w:tcPr>
          <w:p w14:paraId="63366EBC" w14:textId="77777777" w:rsidR="007523B8" w:rsidRPr="009E06AA" w:rsidRDefault="007523B8" w:rsidP="00E247AF">
            <w:pPr>
              <w:pStyle w:val="TableText"/>
              <w:spacing w:before="40" w:after="40"/>
              <w:jc w:val="right"/>
              <w:rPr>
                <w:highlight w:val="lightGray"/>
              </w:rPr>
            </w:pPr>
            <w:r w:rsidRPr="009E06AA">
              <w:rPr>
                <w:rFonts w:cs="Calibri"/>
                <w:color w:val="000000"/>
                <w:szCs w:val="16"/>
              </w:rPr>
              <w:t>11.1</w:t>
            </w:r>
          </w:p>
        </w:tc>
        <w:tc>
          <w:tcPr>
            <w:tcW w:w="1518" w:type="dxa"/>
            <w:vAlign w:val="center"/>
          </w:tcPr>
          <w:p w14:paraId="3A43049A" w14:textId="77777777" w:rsidR="007523B8" w:rsidRPr="009E06AA" w:rsidRDefault="007523B8" w:rsidP="00E247AF">
            <w:pPr>
              <w:pStyle w:val="TableText"/>
              <w:spacing w:before="40" w:after="40"/>
              <w:jc w:val="right"/>
              <w:rPr>
                <w:highlight w:val="lightGray"/>
              </w:rPr>
            </w:pPr>
            <w:r w:rsidRPr="009E06AA">
              <w:rPr>
                <w:rFonts w:cs="Calibri"/>
                <w:color w:val="000000"/>
                <w:szCs w:val="16"/>
              </w:rPr>
              <w:t>20.5</w:t>
            </w:r>
          </w:p>
        </w:tc>
      </w:tr>
      <w:tr w:rsidR="007523B8" w:rsidRPr="009E06AA" w14:paraId="0E264FA1" w14:textId="77777777" w:rsidTr="00B55F24">
        <w:trPr>
          <w:trHeight w:val="239"/>
        </w:trPr>
        <w:tc>
          <w:tcPr>
            <w:tcW w:w="988" w:type="dxa"/>
          </w:tcPr>
          <w:p w14:paraId="02C41901" w14:textId="77777777" w:rsidR="007523B8" w:rsidRPr="009E06AA" w:rsidRDefault="007523B8" w:rsidP="00B55F24">
            <w:pPr>
              <w:pStyle w:val="TableText"/>
              <w:spacing w:before="40" w:after="40"/>
              <w:rPr>
                <w:rFonts w:cs="Calibri"/>
                <w:szCs w:val="16"/>
              </w:rPr>
            </w:pPr>
            <w:r w:rsidRPr="009E06AA">
              <w:rPr>
                <w:rFonts w:cs="Calibri"/>
                <w:szCs w:val="16"/>
              </w:rPr>
              <w:t>2000</w:t>
            </w:r>
          </w:p>
        </w:tc>
        <w:tc>
          <w:tcPr>
            <w:tcW w:w="1489" w:type="dxa"/>
            <w:vAlign w:val="center"/>
          </w:tcPr>
          <w:p w14:paraId="37FFE732" w14:textId="77777777" w:rsidR="007523B8" w:rsidRPr="009E06AA" w:rsidRDefault="007523B8" w:rsidP="00E247AF">
            <w:pPr>
              <w:pStyle w:val="TableText"/>
              <w:spacing w:before="40" w:after="40"/>
              <w:jc w:val="right"/>
              <w:rPr>
                <w:highlight w:val="lightGray"/>
              </w:rPr>
            </w:pPr>
            <w:r w:rsidRPr="009E06AA">
              <w:rPr>
                <w:rFonts w:cs="Calibri"/>
                <w:color w:val="000000"/>
                <w:szCs w:val="16"/>
              </w:rPr>
              <w:t>80.8</w:t>
            </w:r>
          </w:p>
        </w:tc>
        <w:tc>
          <w:tcPr>
            <w:tcW w:w="1487" w:type="dxa"/>
            <w:vAlign w:val="center"/>
          </w:tcPr>
          <w:p w14:paraId="6F554CF8" w14:textId="77777777" w:rsidR="007523B8" w:rsidRPr="009E06AA" w:rsidRDefault="007523B8" w:rsidP="00E247AF">
            <w:pPr>
              <w:pStyle w:val="TableText"/>
              <w:spacing w:before="40" w:after="40"/>
              <w:jc w:val="right"/>
              <w:rPr>
                <w:highlight w:val="lightGray"/>
              </w:rPr>
            </w:pPr>
            <w:r w:rsidRPr="009E06AA">
              <w:rPr>
                <w:rFonts w:cs="Calibri"/>
                <w:color w:val="000000"/>
                <w:szCs w:val="16"/>
              </w:rPr>
              <w:t>89.4</w:t>
            </w:r>
          </w:p>
        </w:tc>
        <w:tc>
          <w:tcPr>
            <w:tcW w:w="1487" w:type="dxa"/>
            <w:vAlign w:val="center"/>
          </w:tcPr>
          <w:p w14:paraId="3676B4D7" w14:textId="77777777" w:rsidR="007523B8" w:rsidRPr="009E06AA" w:rsidRDefault="007523B8" w:rsidP="00E247AF">
            <w:pPr>
              <w:pStyle w:val="TableText"/>
              <w:spacing w:before="40" w:after="40"/>
              <w:jc w:val="right"/>
              <w:rPr>
                <w:highlight w:val="lightGray"/>
              </w:rPr>
            </w:pPr>
            <w:r w:rsidRPr="009E06AA">
              <w:rPr>
                <w:rFonts w:cs="Calibri"/>
                <w:color w:val="000000"/>
                <w:szCs w:val="16"/>
              </w:rPr>
              <w:t>63.7</w:t>
            </w:r>
          </w:p>
        </w:tc>
        <w:tc>
          <w:tcPr>
            <w:tcW w:w="1536" w:type="dxa"/>
            <w:vAlign w:val="center"/>
          </w:tcPr>
          <w:p w14:paraId="03046191" w14:textId="77777777" w:rsidR="007523B8" w:rsidRPr="009E06AA" w:rsidRDefault="007523B8" w:rsidP="00E247AF">
            <w:pPr>
              <w:pStyle w:val="TableText"/>
              <w:spacing w:before="40" w:after="40"/>
              <w:jc w:val="right"/>
              <w:rPr>
                <w:highlight w:val="lightGray"/>
              </w:rPr>
            </w:pPr>
            <w:r w:rsidRPr="009E06AA">
              <w:rPr>
                <w:rFonts w:cs="Calibri"/>
                <w:color w:val="000000"/>
                <w:szCs w:val="16"/>
              </w:rPr>
              <w:t>11.5</w:t>
            </w:r>
          </w:p>
        </w:tc>
        <w:tc>
          <w:tcPr>
            <w:tcW w:w="1518" w:type="dxa"/>
            <w:vAlign w:val="center"/>
          </w:tcPr>
          <w:p w14:paraId="5A1FB9C3" w14:textId="77777777" w:rsidR="007523B8" w:rsidRPr="009E06AA" w:rsidRDefault="007523B8" w:rsidP="00E247AF">
            <w:pPr>
              <w:pStyle w:val="TableText"/>
              <w:spacing w:before="40" w:after="40"/>
              <w:jc w:val="right"/>
              <w:rPr>
                <w:highlight w:val="lightGray"/>
              </w:rPr>
            </w:pPr>
            <w:r w:rsidRPr="009E06AA">
              <w:rPr>
                <w:rFonts w:cs="Calibri"/>
                <w:color w:val="000000"/>
                <w:szCs w:val="16"/>
              </w:rPr>
              <w:t>20.8</w:t>
            </w:r>
          </w:p>
        </w:tc>
      </w:tr>
      <w:tr w:rsidR="007523B8" w:rsidRPr="009E06AA" w14:paraId="43D478AF" w14:textId="77777777" w:rsidTr="00B55F24">
        <w:trPr>
          <w:trHeight w:val="239"/>
        </w:trPr>
        <w:tc>
          <w:tcPr>
            <w:tcW w:w="988" w:type="dxa"/>
          </w:tcPr>
          <w:p w14:paraId="6EC9792D" w14:textId="77777777" w:rsidR="007523B8" w:rsidRPr="009E06AA" w:rsidRDefault="007523B8" w:rsidP="00B55F24">
            <w:pPr>
              <w:pStyle w:val="TableText"/>
              <w:spacing w:before="40" w:after="40"/>
              <w:rPr>
                <w:rFonts w:cs="Calibri"/>
                <w:szCs w:val="16"/>
              </w:rPr>
            </w:pPr>
            <w:r w:rsidRPr="009E06AA">
              <w:rPr>
                <w:rFonts w:cs="Calibri"/>
                <w:szCs w:val="16"/>
              </w:rPr>
              <w:t>2001</w:t>
            </w:r>
          </w:p>
        </w:tc>
        <w:tc>
          <w:tcPr>
            <w:tcW w:w="1489" w:type="dxa"/>
            <w:vAlign w:val="center"/>
          </w:tcPr>
          <w:p w14:paraId="423A9B33" w14:textId="77777777" w:rsidR="007523B8" w:rsidRPr="009E06AA" w:rsidRDefault="007523B8" w:rsidP="00E247AF">
            <w:pPr>
              <w:pStyle w:val="TableText"/>
              <w:spacing w:before="40" w:after="40"/>
              <w:jc w:val="right"/>
              <w:rPr>
                <w:highlight w:val="lightGray"/>
              </w:rPr>
            </w:pPr>
            <w:r w:rsidRPr="009E06AA">
              <w:rPr>
                <w:rFonts w:cs="Calibri"/>
                <w:color w:val="000000"/>
                <w:szCs w:val="16"/>
              </w:rPr>
              <w:t>82.3</w:t>
            </w:r>
          </w:p>
        </w:tc>
        <w:tc>
          <w:tcPr>
            <w:tcW w:w="1487" w:type="dxa"/>
            <w:vAlign w:val="center"/>
          </w:tcPr>
          <w:p w14:paraId="5D60C413" w14:textId="77777777" w:rsidR="007523B8" w:rsidRPr="009E06AA" w:rsidRDefault="007523B8" w:rsidP="00E247AF">
            <w:pPr>
              <w:pStyle w:val="TableText"/>
              <w:spacing w:before="40" w:after="40"/>
              <w:jc w:val="right"/>
              <w:rPr>
                <w:highlight w:val="lightGray"/>
              </w:rPr>
            </w:pPr>
            <w:r w:rsidRPr="009E06AA">
              <w:rPr>
                <w:rFonts w:cs="Calibri"/>
                <w:color w:val="000000"/>
                <w:szCs w:val="16"/>
              </w:rPr>
              <w:t>91.3</w:t>
            </w:r>
          </w:p>
        </w:tc>
        <w:tc>
          <w:tcPr>
            <w:tcW w:w="1487" w:type="dxa"/>
            <w:vAlign w:val="center"/>
          </w:tcPr>
          <w:p w14:paraId="644EF0DB" w14:textId="77777777" w:rsidR="007523B8" w:rsidRPr="009E06AA" w:rsidRDefault="007523B8" w:rsidP="00E247AF">
            <w:pPr>
              <w:pStyle w:val="TableText"/>
              <w:spacing w:before="40" w:after="40"/>
              <w:jc w:val="right"/>
              <w:rPr>
                <w:highlight w:val="lightGray"/>
              </w:rPr>
            </w:pPr>
            <w:r w:rsidRPr="009E06AA">
              <w:rPr>
                <w:rFonts w:cs="Calibri"/>
                <w:color w:val="000000"/>
                <w:szCs w:val="16"/>
              </w:rPr>
              <w:t>64.3</w:t>
            </w:r>
          </w:p>
        </w:tc>
        <w:tc>
          <w:tcPr>
            <w:tcW w:w="1536" w:type="dxa"/>
            <w:vAlign w:val="center"/>
          </w:tcPr>
          <w:p w14:paraId="437AE73D" w14:textId="77777777" w:rsidR="007523B8" w:rsidRPr="009E06AA" w:rsidRDefault="007523B8" w:rsidP="00E247AF">
            <w:pPr>
              <w:pStyle w:val="TableText"/>
              <w:spacing w:before="40" w:after="40"/>
              <w:jc w:val="right"/>
              <w:rPr>
                <w:highlight w:val="lightGray"/>
              </w:rPr>
            </w:pPr>
            <w:r w:rsidRPr="009E06AA">
              <w:rPr>
                <w:rFonts w:cs="Calibri"/>
                <w:color w:val="000000"/>
                <w:szCs w:val="16"/>
              </w:rPr>
              <w:t>11.6</w:t>
            </w:r>
          </w:p>
        </w:tc>
        <w:tc>
          <w:tcPr>
            <w:tcW w:w="1518" w:type="dxa"/>
            <w:vAlign w:val="center"/>
          </w:tcPr>
          <w:p w14:paraId="5D05D54B" w14:textId="77777777" w:rsidR="007523B8" w:rsidRPr="009E06AA" w:rsidRDefault="007523B8" w:rsidP="00E247AF">
            <w:pPr>
              <w:pStyle w:val="TableText"/>
              <w:spacing w:before="40" w:after="40"/>
              <w:jc w:val="right"/>
              <w:rPr>
                <w:highlight w:val="lightGray"/>
              </w:rPr>
            </w:pPr>
            <w:r w:rsidRPr="009E06AA">
              <w:rPr>
                <w:rFonts w:cs="Calibri"/>
                <w:color w:val="000000"/>
                <w:szCs w:val="16"/>
              </w:rPr>
              <w:t>20.7</w:t>
            </w:r>
          </w:p>
        </w:tc>
      </w:tr>
      <w:tr w:rsidR="007523B8" w:rsidRPr="009E06AA" w14:paraId="64EA3898" w14:textId="77777777" w:rsidTr="00B55F24">
        <w:trPr>
          <w:trHeight w:val="239"/>
        </w:trPr>
        <w:tc>
          <w:tcPr>
            <w:tcW w:w="988" w:type="dxa"/>
          </w:tcPr>
          <w:p w14:paraId="4926B4A1" w14:textId="77777777" w:rsidR="007523B8" w:rsidRPr="009E06AA" w:rsidRDefault="007523B8" w:rsidP="00B55F24">
            <w:pPr>
              <w:pStyle w:val="TableText"/>
              <w:spacing w:before="40" w:after="40"/>
              <w:rPr>
                <w:rFonts w:cs="Calibri"/>
                <w:szCs w:val="16"/>
              </w:rPr>
            </w:pPr>
            <w:r w:rsidRPr="009E06AA">
              <w:rPr>
                <w:rFonts w:cs="Calibri"/>
                <w:szCs w:val="16"/>
              </w:rPr>
              <w:t>2002</w:t>
            </w:r>
          </w:p>
        </w:tc>
        <w:tc>
          <w:tcPr>
            <w:tcW w:w="1489" w:type="dxa"/>
            <w:vAlign w:val="center"/>
          </w:tcPr>
          <w:p w14:paraId="6CEC6345" w14:textId="77777777" w:rsidR="007523B8" w:rsidRPr="009E06AA" w:rsidRDefault="007523B8" w:rsidP="00E247AF">
            <w:pPr>
              <w:pStyle w:val="TableText"/>
              <w:spacing w:before="40" w:after="40"/>
              <w:jc w:val="right"/>
              <w:rPr>
                <w:highlight w:val="lightGray"/>
              </w:rPr>
            </w:pPr>
            <w:r w:rsidRPr="009E06AA">
              <w:rPr>
                <w:rFonts w:cs="Calibri"/>
                <w:color w:val="000000"/>
                <w:szCs w:val="16"/>
              </w:rPr>
              <w:t>81.4</w:t>
            </w:r>
          </w:p>
        </w:tc>
        <w:tc>
          <w:tcPr>
            <w:tcW w:w="1487" w:type="dxa"/>
            <w:vAlign w:val="center"/>
          </w:tcPr>
          <w:p w14:paraId="43A945A7" w14:textId="77777777" w:rsidR="007523B8" w:rsidRPr="009E06AA" w:rsidRDefault="007523B8" w:rsidP="00E247AF">
            <w:pPr>
              <w:pStyle w:val="TableText"/>
              <w:spacing w:before="40" w:after="40"/>
              <w:jc w:val="right"/>
              <w:rPr>
                <w:highlight w:val="lightGray"/>
              </w:rPr>
            </w:pPr>
            <w:r w:rsidRPr="009E06AA">
              <w:rPr>
                <w:rFonts w:cs="Calibri"/>
                <w:color w:val="000000"/>
                <w:szCs w:val="16"/>
              </w:rPr>
              <w:t>90.5</w:t>
            </w:r>
          </w:p>
        </w:tc>
        <w:tc>
          <w:tcPr>
            <w:tcW w:w="1487" w:type="dxa"/>
            <w:vAlign w:val="center"/>
          </w:tcPr>
          <w:p w14:paraId="4FE1ED9C" w14:textId="77777777" w:rsidR="007523B8" w:rsidRPr="009E06AA" w:rsidRDefault="007523B8" w:rsidP="00E247AF">
            <w:pPr>
              <w:pStyle w:val="TableText"/>
              <w:spacing w:before="40" w:after="40"/>
              <w:jc w:val="right"/>
              <w:rPr>
                <w:highlight w:val="lightGray"/>
              </w:rPr>
            </w:pPr>
            <w:r w:rsidRPr="009E06AA">
              <w:rPr>
                <w:rFonts w:cs="Calibri"/>
                <w:color w:val="000000"/>
                <w:szCs w:val="16"/>
              </w:rPr>
              <w:t>63.9</w:t>
            </w:r>
          </w:p>
        </w:tc>
        <w:tc>
          <w:tcPr>
            <w:tcW w:w="1536" w:type="dxa"/>
            <w:vAlign w:val="center"/>
          </w:tcPr>
          <w:p w14:paraId="296560A0" w14:textId="77777777" w:rsidR="007523B8" w:rsidRPr="009E06AA" w:rsidRDefault="007523B8" w:rsidP="00E247AF">
            <w:pPr>
              <w:pStyle w:val="TableText"/>
              <w:spacing w:before="40" w:after="40"/>
              <w:jc w:val="right"/>
              <w:rPr>
                <w:highlight w:val="lightGray"/>
              </w:rPr>
            </w:pPr>
            <w:r w:rsidRPr="009E06AA">
              <w:rPr>
                <w:rFonts w:cs="Calibri"/>
                <w:color w:val="000000"/>
                <w:szCs w:val="16"/>
              </w:rPr>
              <w:t>11.6</w:t>
            </w:r>
          </w:p>
        </w:tc>
        <w:tc>
          <w:tcPr>
            <w:tcW w:w="1518" w:type="dxa"/>
            <w:vAlign w:val="center"/>
          </w:tcPr>
          <w:p w14:paraId="3138A3A2" w14:textId="77777777" w:rsidR="007523B8" w:rsidRPr="009E06AA" w:rsidRDefault="007523B8" w:rsidP="00E247AF">
            <w:pPr>
              <w:pStyle w:val="TableText"/>
              <w:spacing w:before="40" w:after="40"/>
              <w:jc w:val="right"/>
              <w:rPr>
                <w:highlight w:val="lightGray"/>
              </w:rPr>
            </w:pPr>
            <w:r w:rsidRPr="009E06AA">
              <w:rPr>
                <w:rFonts w:cs="Calibri"/>
                <w:color w:val="000000"/>
                <w:szCs w:val="16"/>
              </w:rPr>
              <w:t>20.8</w:t>
            </w:r>
          </w:p>
        </w:tc>
      </w:tr>
      <w:tr w:rsidR="007523B8" w:rsidRPr="009E06AA" w14:paraId="75528AB5" w14:textId="77777777" w:rsidTr="00B55F24">
        <w:trPr>
          <w:trHeight w:val="239"/>
        </w:trPr>
        <w:tc>
          <w:tcPr>
            <w:tcW w:w="988" w:type="dxa"/>
          </w:tcPr>
          <w:p w14:paraId="088A08A6" w14:textId="77777777" w:rsidR="007523B8" w:rsidRPr="009E06AA" w:rsidRDefault="007523B8" w:rsidP="00B55F24">
            <w:pPr>
              <w:pStyle w:val="TableText"/>
              <w:spacing w:before="40" w:after="40"/>
              <w:rPr>
                <w:rFonts w:cs="Calibri"/>
                <w:szCs w:val="16"/>
              </w:rPr>
            </w:pPr>
            <w:r w:rsidRPr="009E06AA">
              <w:rPr>
                <w:rFonts w:cs="Calibri"/>
                <w:szCs w:val="16"/>
              </w:rPr>
              <w:t>2003</w:t>
            </w:r>
          </w:p>
        </w:tc>
        <w:tc>
          <w:tcPr>
            <w:tcW w:w="1489" w:type="dxa"/>
            <w:vAlign w:val="center"/>
          </w:tcPr>
          <w:p w14:paraId="327A6B39" w14:textId="77777777" w:rsidR="007523B8" w:rsidRPr="009E06AA" w:rsidRDefault="007523B8" w:rsidP="00E247AF">
            <w:pPr>
              <w:pStyle w:val="TableText"/>
              <w:spacing w:before="40" w:after="40"/>
              <w:jc w:val="right"/>
              <w:rPr>
                <w:highlight w:val="lightGray"/>
              </w:rPr>
            </w:pPr>
            <w:r w:rsidRPr="009E06AA">
              <w:rPr>
                <w:rFonts w:cs="Calibri"/>
                <w:color w:val="000000"/>
                <w:szCs w:val="16"/>
              </w:rPr>
              <w:t>84.3</w:t>
            </w:r>
          </w:p>
        </w:tc>
        <w:tc>
          <w:tcPr>
            <w:tcW w:w="1487" w:type="dxa"/>
            <w:vAlign w:val="center"/>
          </w:tcPr>
          <w:p w14:paraId="1D7035E9" w14:textId="77777777" w:rsidR="007523B8" w:rsidRPr="009E06AA" w:rsidRDefault="007523B8" w:rsidP="00E247AF">
            <w:pPr>
              <w:pStyle w:val="TableText"/>
              <w:spacing w:before="40" w:after="40"/>
              <w:jc w:val="right"/>
              <w:rPr>
                <w:highlight w:val="lightGray"/>
              </w:rPr>
            </w:pPr>
            <w:r w:rsidRPr="009E06AA">
              <w:rPr>
                <w:rFonts w:cs="Calibri"/>
                <w:color w:val="000000"/>
                <w:szCs w:val="16"/>
              </w:rPr>
              <w:t>89.6</w:t>
            </w:r>
          </w:p>
        </w:tc>
        <w:tc>
          <w:tcPr>
            <w:tcW w:w="1487" w:type="dxa"/>
            <w:vAlign w:val="center"/>
          </w:tcPr>
          <w:p w14:paraId="74D0FB11" w14:textId="77777777" w:rsidR="007523B8" w:rsidRPr="009E06AA" w:rsidRDefault="007523B8" w:rsidP="00E247AF">
            <w:pPr>
              <w:pStyle w:val="TableText"/>
              <w:spacing w:before="40" w:after="40"/>
              <w:jc w:val="right"/>
              <w:rPr>
                <w:highlight w:val="lightGray"/>
              </w:rPr>
            </w:pPr>
            <w:r w:rsidRPr="009E06AA">
              <w:rPr>
                <w:rFonts w:cs="Calibri"/>
                <w:color w:val="000000"/>
                <w:szCs w:val="16"/>
              </w:rPr>
              <w:t>63.9</w:t>
            </w:r>
          </w:p>
        </w:tc>
        <w:tc>
          <w:tcPr>
            <w:tcW w:w="1536" w:type="dxa"/>
            <w:vAlign w:val="center"/>
          </w:tcPr>
          <w:p w14:paraId="103CA9B3" w14:textId="77777777" w:rsidR="007523B8" w:rsidRPr="009E06AA" w:rsidRDefault="007523B8" w:rsidP="00E247AF">
            <w:pPr>
              <w:pStyle w:val="TableText"/>
              <w:spacing w:before="40" w:after="40"/>
              <w:jc w:val="right"/>
              <w:rPr>
                <w:highlight w:val="lightGray"/>
              </w:rPr>
            </w:pPr>
            <w:r w:rsidRPr="009E06AA">
              <w:rPr>
                <w:rFonts w:cs="Calibri"/>
                <w:color w:val="000000"/>
                <w:szCs w:val="16"/>
              </w:rPr>
              <w:t>11.5</w:t>
            </w:r>
          </w:p>
        </w:tc>
        <w:tc>
          <w:tcPr>
            <w:tcW w:w="1518" w:type="dxa"/>
            <w:vAlign w:val="center"/>
          </w:tcPr>
          <w:p w14:paraId="0246E883" w14:textId="77777777" w:rsidR="007523B8" w:rsidRPr="009E06AA" w:rsidRDefault="007523B8" w:rsidP="00E247AF">
            <w:pPr>
              <w:pStyle w:val="TableText"/>
              <w:spacing w:before="40" w:after="40"/>
              <w:jc w:val="right"/>
              <w:rPr>
                <w:highlight w:val="lightGray"/>
              </w:rPr>
            </w:pPr>
            <w:r w:rsidRPr="009E06AA">
              <w:rPr>
                <w:rFonts w:cs="Calibri"/>
                <w:color w:val="000000"/>
                <w:szCs w:val="16"/>
              </w:rPr>
              <w:t>20.8</w:t>
            </w:r>
          </w:p>
        </w:tc>
      </w:tr>
      <w:tr w:rsidR="007523B8" w:rsidRPr="009E06AA" w14:paraId="403E347D" w14:textId="77777777" w:rsidTr="00B55F24">
        <w:trPr>
          <w:trHeight w:val="239"/>
        </w:trPr>
        <w:tc>
          <w:tcPr>
            <w:tcW w:w="988" w:type="dxa"/>
          </w:tcPr>
          <w:p w14:paraId="7AA02688" w14:textId="77777777" w:rsidR="007523B8" w:rsidRPr="009E06AA" w:rsidRDefault="007523B8" w:rsidP="00B55F24">
            <w:pPr>
              <w:pStyle w:val="TableText"/>
              <w:spacing w:before="40" w:after="40"/>
              <w:rPr>
                <w:rFonts w:cs="Calibri"/>
                <w:szCs w:val="16"/>
              </w:rPr>
            </w:pPr>
            <w:r w:rsidRPr="009E06AA">
              <w:rPr>
                <w:rFonts w:cs="Calibri"/>
                <w:szCs w:val="16"/>
              </w:rPr>
              <w:t>2004</w:t>
            </w:r>
          </w:p>
        </w:tc>
        <w:tc>
          <w:tcPr>
            <w:tcW w:w="1489" w:type="dxa"/>
            <w:vAlign w:val="center"/>
          </w:tcPr>
          <w:p w14:paraId="6CF32C02" w14:textId="77777777" w:rsidR="007523B8" w:rsidRPr="009E06AA" w:rsidRDefault="007523B8" w:rsidP="00E247AF">
            <w:pPr>
              <w:pStyle w:val="TableText"/>
              <w:spacing w:before="40" w:after="40"/>
              <w:jc w:val="right"/>
              <w:rPr>
                <w:highlight w:val="lightGray"/>
              </w:rPr>
            </w:pPr>
            <w:r w:rsidRPr="009E06AA">
              <w:rPr>
                <w:rFonts w:cs="Calibri"/>
                <w:color w:val="000000"/>
                <w:szCs w:val="16"/>
              </w:rPr>
              <w:t>82.7</w:t>
            </w:r>
          </w:p>
        </w:tc>
        <w:tc>
          <w:tcPr>
            <w:tcW w:w="1487" w:type="dxa"/>
            <w:vAlign w:val="center"/>
          </w:tcPr>
          <w:p w14:paraId="47EC4BA0" w14:textId="77777777" w:rsidR="007523B8" w:rsidRPr="009E06AA" w:rsidRDefault="007523B8" w:rsidP="00E247AF">
            <w:pPr>
              <w:pStyle w:val="TableText"/>
              <w:spacing w:before="40" w:after="40"/>
              <w:jc w:val="right"/>
              <w:rPr>
                <w:highlight w:val="lightGray"/>
              </w:rPr>
            </w:pPr>
            <w:r w:rsidRPr="009E06AA">
              <w:rPr>
                <w:rFonts w:cs="Calibri"/>
                <w:color w:val="000000"/>
                <w:szCs w:val="16"/>
              </w:rPr>
              <w:t>88.9</w:t>
            </w:r>
          </w:p>
        </w:tc>
        <w:tc>
          <w:tcPr>
            <w:tcW w:w="1487" w:type="dxa"/>
            <w:vAlign w:val="center"/>
          </w:tcPr>
          <w:p w14:paraId="4F1E1F8D" w14:textId="77777777" w:rsidR="007523B8" w:rsidRPr="009E06AA" w:rsidRDefault="007523B8" w:rsidP="00E247AF">
            <w:pPr>
              <w:pStyle w:val="TableText"/>
              <w:spacing w:before="40" w:after="40"/>
              <w:jc w:val="right"/>
              <w:rPr>
                <w:highlight w:val="lightGray"/>
              </w:rPr>
            </w:pPr>
            <w:r w:rsidRPr="009E06AA">
              <w:rPr>
                <w:rFonts w:cs="Calibri"/>
                <w:color w:val="000000"/>
                <w:szCs w:val="16"/>
              </w:rPr>
              <w:t>66.4</w:t>
            </w:r>
          </w:p>
        </w:tc>
        <w:tc>
          <w:tcPr>
            <w:tcW w:w="1536" w:type="dxa"/>
            <w:vAlign w:val="center"/>
          </w:tcPr>
          <w:p w14:paraId="51AD49AD" w14:textId="77777777" w:rsidR="007523B8" w:rsidRPr="009E06AA" w:rsidRDefault="007523B8" w:rsidP="00E247AF">
            <w:pPr>
              <w:pStyle w:val="TableText"/>
              <w:spacing w:before="40" w:after="40"/>
              <w:jc w:val="right"/>
              <w:rPr>
                <w:highlight w:val="lightGray"/>
              </w:rPr>
            </w:pPr>
            <w:r w:rsidRPr="009E06AA">
              <w:rPr>
                <w:rFonts w:cs="Calibri"/>
                <w:color w:val="000000"/>
                <w:szCs w:val="16"/>
              </w:rPr>
              <w:t>11.8</w:t>
            </w:r>
          </w:p>
        </w:tc>
        <w:tc>
          <w:tcPr>
            <w:tcW w:w="1518" w:type="dxa"/>
            <w:vAlign w:val="center"/>
          </w:tcPr>
          <w:p w14:paraId="7FF0496F" w14:textId="77777777" w:rsidR="007523B8" w:rsidRPr="009E06AA" w:rsidRDefault="007523B8" w:rsidP="00E247AF">
            <w:pPr>
              <w:pStyle w:val="TableText"/>
              <w:spacing w:before="40" w:after="40"/>
              <w:jc w:val="right"/>
              <w:rPr>
                <w:highlight w:val="lightGray"/>
              </w:rPr>
            </w:pPr>
            <w:r w:rsidRPr="009E06AA">
              <w:rPr>
                <w:rFonts w:cs="Calibri"/>
                <w:color w:val="000000"/>
                <w:szCs w:val="16"/>
              </w:rPr>
              <w:t>21.2</w:t>
            </w:r>
          </w:p>
        </w:tc>
      </w:tr>
      <w:tr w:rsidR="007523B8" w:rsidRPr="009E06AA" w14:paraId="6956D00C" w14:textId="77777777" w:rsidTr="00B55F24">
        <w:trPr>
          <w:trHeight w:val="239"/>
        </w:trPr>
        <w:tc>
          <w:tcPr>
            <w:tcW w:w="988" w:type="dxa"/>
          </w:tcPr>
          <w:p w14:paraId="2D708158" w14:textId="77777777" w:rsidR="007523B8" w:rsidRPr="009E06AA" w:rsidRDefault="007523B8" w:rsidP="00B55F24">
            <w:pPr>
              <w:pStyle w:val="TableText"/>
              <w:spacing w:before="40" w:after="40"/>
              <w:rPr>
                <w:rFonts w:cs="Calibri"/>
                <w:szCs w:val="16"/>
              </w:rPr>
            </w:pPr>
            <w:r w:rsidRPr="009E06AA">
              <w:rPr>
                <w:rFonts w:cs="Calibri"/>
                <w:szCs w:val="16"/>
              </w:rPr>
              <w:t>2005</w:t>
            </w:r>
          </w:p>
        </w:tc>
        <w:tc>
          <w:tcPr>
            <w:tcW w:w="1489" w:type="dxa"/>
            <w:vAlign w:val="center"/>
          </w:tcPr>
          <w:p w14:paraId="501ECFF4" w14:textId="77777777" w:rsidR="007523B8" w:rsidRPr="009E06AA" w:rsidRDefault="007523B8" w:rsidP="00E247AF">
            <w:pPr>
              <w:pStyle w:val="TableText"/>
              <w:spacing w:before="40" w:after="40"/>
              <w:jc w:val="right"/>
              <w:rPr>
                <w:highlight w:val="lightGray"/>
              </w:rPr>
            </w:pPr>
            <w:r w:rsidRPr="009E06AA">
              <w:rPr>
                <w:rFonts w:cs="Calibri"/>
                <w:color w:val="000000"/>
                <w:szCs w:val="16"/>
              </w:rPr>
              <w:t>83.2</w:t>
            </w:r>
          </w:p>
        </w:tc>
        <w:tc>
          <w:tcPr>
            <w:tcW w:w="1487" w:type="dxa"/>
            <w:vAlign w:val="center"/>
          </w:tcPr>
          <w:p w14:paraId="491CAC51" w14:textId="77777777" w:rsidR="007523B8" w:rsidRPr="009E06AA" w:rsidRDefault="007523B8" w:rsidP="00E247AF">
            <w:pPr>
              <w:pStyle w:val="TableText"/>
              <w:spacing w:before="40" w:after="40"/>
              <w:jc w:val="right"/>
              <w:rPr>
                <w:highlight w:val="lightGray"/>
              </w:rPr>
            </w:pPr>
            <w:r w:rsidRPr="009E06AA">
              <w:rPr>
                <w:rFonts w:cs="Calibri"/>
                <w:color w:val="000000"/>
                <w:szCs w:val="16"/>
              </w:rPr>
              <w:t>86.6</w:t>
            </w:r>
          </w:p>
        </w:tc>
        <w:tc>
          <w:tcPr>
            <w:tcW w:w="1487" w:type="dxa"/>
            <w:vAlign w:val="center"/>
          </w:tcPr>
          <w:p w14:paraId="6C0B6FBF" w14:textId="77777777" w:rsidR="007523B8" w:rsidRPr="009E06AA" w:rsidRDefault="007523B8" w:rsidP="00E247AF">
            <w:pPr>
              <w:pStyle w:val="TableText"/>
              <w:spacing w:before="40" w:after="40"/>
              <w:jc w:val="right"/>
              <w:rPr>
                <w:highlight w:val="lightGray"/>
              </w:rPr>
            </w:pPr>
            <w:r w:rsidRPr="009E06AA">
              <w:rPr>
                <w:rFonts w:cs="Calibri"/>
                <w:color w:val="000000"/>
                <w:szCs w:val="16"/>
              </w:rPr>
              <w:t>67.0</w:t>
            </w:r>
          </w:p>
        </w:tc>
        <w:tc>
          <w:tcPr>
            <w:tcW w:w="1536" w:type="dxa"/>
            <w:vAlign w:val="center"/>
          </w:tcPr>
          <w:p w14:paraId="0DCAE7CE" w14:textId="77777777" w:rsidR="007523B8" w:rsidRPr="009E06AA" w:rsidRDefault="007523B8" w:rsidP="00E247AF">
            <w:pPr>
              <w:pStyle w:val="TableText"/>
              <w:spacing w:before="40" w:after="40"/>
              <w:jc w:val="right"/>
              <w:rPr>
                <w:highlight w:val="lightGray"/>
              </w:rPr>
            </w:pPr>
            <w:r w:rsidRPr="009E06AA">
              <w:rPr>
                <w:rFonts w:cs="Calibri"/>
                <w:color w:val="000000"/>
                <w:szCs w:val="16"/>
              </w:rPr>
              <w:t>11.9</w:t>
            </w:r>
          </w:p>
        </w:tc>
        <w:tc>
          <w:tcPr>
            <w:tcW w:w="1518" w:type="dxa"/>
            <w:vAlign w:val="center"/>
          </w:tcPr>
          <w:p w14:paraId="3C2B6F3A" w14:textId="77777777" w:rsidR="007523B8" w:rsidRPr="009E06AA" w:rsidRDefault="007523B8" w:rsidP="00E247AF">
            <w:pPr>
              <w:pStyle w:val="TableText"/>
              <w:spacing w:before="40" w:after="40"/>
              <w:jc w:val="right"/>
              <w:rPr>
                <w:highlight w:val="lightGray"/>
              </w:rPr>
            </w:pPr>
            <w:r w:rsidRPr="009E06AA">
              <w:rPr>
                <w:rFonts w:cs="Calibri"/>
                <w:color w:val="000000"/>
                <w:szCs w:val="16"/>
              </w:rPr>
              <w:t>21.5</w:t>
            </w:r>
          </w:p>
        </w:tc>
      </w:tr>
      <w:tr w:rsidR="007523B8" w:rsidRPr="009E06AA" w14:paraId="53B751BE" w14:textId="77777777" w:rsidTr="00B55F24">
        <w:trPr>
          <w:trHeight w:val="251"/>
        </w:trPr>
        <w:tc>
          <w:tcPr>
            <w:tcW w:w="988" w:type="dxa"/>
          </w:tcPr>
          <w:p w14:paraId="42783D3E" w14:textId="77777777" w:rsidR="007523B8" w:rsidRPr="009E06AA" w:rsidRDefault="007523B8" w:rsidP="00B55F24">
            <w:pPr>
              <w:pStyle w:val="TableText"/>
              <w:spacing w:before="40" w:after="40"/>
              <w:rPr>
                <w:rFonts w:cs="Calibri"/>
                <w:szCs w:val="16"/>
              </w:rPr>
            </w:pPr>
            <w:r w:rsidRPr="009E06AA">
              <w:rPr>
                <w:rFonts w:cs="Calibri"/>
                <w:szCs w:val="16"/>
              </w:rPr>
              <w:t>2006</w:t>
            </w:r>
          </w:p>
        </w:tc>
        <w:tc>
          <w:tcPr>
            <w:tcW w:w="1489" w:type="dxa"/>
            <w:vAlign w:val="center"/>
          </w:tcPr>
          <w:p w14:paraId="19D2480C" w14:textId="77777777" w:rsidR="007523B8" w:rsidRPr="009E06AA" w:rsidRDefault="007523B8" w:rsidP="00E247AF">
            <w:pPr>
              <w:pStyle w:val="TableText"/>
              <w:spacing w:before="40" w:after="40"/>
              <w:jc w:val="right"/>
              <w:rPr>
                <w:highlight w:val="lightGray"/>
              </w:rPr>
            </w:pPr>
            <w:r w:rsidRPr="009E06AA">
              <w:rPr>
                <w:rFonts w:cs="Calibri"/>
                <w:color w:val="000000"/>
                <w:szCs w:val="16"/>
              </w:rPr>
              <w:t>83.2</w:t>
            </w:r>
          </w:p>
        </w:tc>
        <w:tc>
          <w:tcPr>
            <w:tcW w:w="1487" w:type="dxa"/>
            <w:vAlign w:val="center"/>
          </w:tcPr>
          <w:p w14:paraId="3322A3A4" w14:textId="77777777" w:rsidR="007523B8" w:rsidRPr="009E06AA" w:rsidRDefault="007523B8" w:rsidP="00E247AF">
            <w:pPr>
              <w:pStyle w:val="TableText"/>
              <w:spacing w:before="40" w:after="40"/>
              <w:jc w:val="right"/>
              <w:rPr>
                <w:highlight w:val="lightGray"/>
              </w:rPr>
            </w:pPr>
            <w:r w:rsidRPr="009E06AA">
              <w:rPr>
                <w:rFonts w:cs="Calibri"/>
                <w:color w:val="000000"/>
                <w:szCs w:val="16"/>
              </w:rPr>
              <w:t>88.2</w:t>
            </w:r>
          </w:p>
        </w:tc>
        <w:tc>
          <w:tcPr>
            <w:tcW w:w="1487" w:type="dxa"/>
            <w:vAlign w:val="center"/>
          </w:tcPr>
          <w:p w14:paraId="52EC95A8" w14:textId="77777777" w:rsidR="007523B8" w:rsidRPr="009E06AA" w:rsidRDefault="007523B8" w:rsidP="00E247AF">
            <w:pPr>
              <w:pStyle w:val="TableText"/>
              <w:spacing w:before="40" w:after="40"/>
              <w:jc w:val="right"/>
              <w:rPr>
                <w:highlight w:val="lightGray"/>
              </w:rPr>
            </w:pPr>
            <w:r w:rsidRPr="009E06AA">
              <w:rPr>
                <w:rFonts w:cs="Calibri"/>
                <w:color w:val="000000"/>
                <w:szCs w:val="16"/>
              </w:rPr>
              <w:t>67.6</w:t>
            </w:r>
          </w:p>
        </w:tc>
        <w:tc>
          <w:tcPr>
            <w:tcW w:w="1536" w:type="dxa"/>
            <w:vAlign w:val="center"/>
          </w:tcPr>
          <w:p w14:paraId="59362805" w14:textId="77777777" w:rsidR="007523B8" w:rsidRPr="009E06AA" w:rsidRDefault="007523B8" w:rsidP="00E247AF">
            <w:pPr>
              <w:pStyle w:val="TableText"/>
              <w:spacing w:before="40" w:after="40"/>
              <w:jc w:val="right"/>
              <w:rPr>
                <w:highlight w:val="lightGray"/>
              </w:rPr>
            </w:pPr>
            <w:r w:rsidRPr="009E06AA">
              <w:rPr>
                <w:rFonts w:cs="Calibri"/>
                <w:color w:val="000000"/>
                <w:szCs w:val="16"/>
              </w:rPr>
              <w:t>11.7</w:t>
            </w:r>
          </w:p>
        </w:tc>
        <w:tc>
          <w:tcPr>
            <w:tcW w:w="1518" w:type="dxa"/>
            <w:vAlign w:val="center"/>
          </w:tcPr>
          <w:p w14:paraId="0DAA276E" w14:textId="77777777" w:rsidR="007523B8" w:rsidRPr="009E06AA" w:rsidRDefault="007523B8" w:rsidP="00E247AF">
            <w:pPr>
              <w:pStyle w:val="TableText"/>
              <w:spacing w:before="40" w:after="40"/>
              <w:jc w:val="right"/>
              <w:rPr>
                <w:highlight w:val="lightGray"/>
              </w:rPr>
            </w:pPr>
            <w:r w:rsidRPr="009E06AA">
              <w:rPr>
                <w:rFonts w:cs="Calibri"/>
                <w:color w:val="000000"/>
                <w:szCs w:val="16"/>
              </w:rPr>
              <w:t>21.7</w:t>
            </w:r>
          </w:p>
        </w:tc>
      </w:tr>
      <w:tr w:rsidR="007523B8" w:rsidRPr="009E06AA" w14:paraId="753B45CF" w14:textId="77777777" w:rsidTr="00B55F24">
        <w:trPr>
          <w:trHeight w:val="239"/>
        </w:trPr>
        <w:tc>
          <w:tcPr>
            <w:tcW w:w="988" w:type="dxa"/>
          </w:tcPr>
          <w:p w14:paraId="3AC7DB5D" w14:textId="77777777" w:rsidR="007523B8" w:rsidRPr="009E06AA" w:rsidRDefault="007523B8" w:rsidP="00B55F24">
            <w:pPr>
              <w:pStyle w:val="TableText"/>
              <w:spacing w:before="40" w:after="40"/>
              <w:rPr>
                <w:rFonts w:cs="Calibri"/>
                <w:szCs w:val="16"/>
              </w:rPr>
            </w:pPr>
            <w:r w:rsidRPr="009E06AA">
              <w:rPr>
                <w:rFonts w:cs="Calibri"/>
                <w:szCs w:val="16"/>
              </w:rPr>
              <w:t>2007</w:t>
            </w:r>
          </w:p>
        </w:tc>
        <w:tc>
          <w:tcPr>
            <w:tcW w:w="1489" w:type="dxa"/>
            <w:vAlign w:val="center"/>
          </w:tcPr>
          <w:p w14:paraId="2037437F" w14:textId="77777777" w:rsidR="007523B8" w:rsidRPr="009E06AA" w:rsidRDefault="007523B8" w:rsidP="00E247AF">
            <w:pPr>
              <w:pStyle w:val="TableText"/>
              <w:spacing w:before="40" w:after="40"/>
              <w:jc w:val="right"/>
              <w:rPr>
                <w:highlight w:val="lightGray"/>
              </w:rPr>
            </w:pPr>
            <w:r w:rsidRPr="009E06AA">
              <w:rPr>
                <w:rFonts w:cs="Calibri"/>
                <w:color w:val="000000"/>
                <w:szCs w:val="16"/>
              </w:rPr>
              <w:t>81.6</w:t>
            </w:r>
          </w:p>
        </w:tc>
        <w:tc>
          <w:tcPr>
            <w:tcW w:w="1487" w:type="dxa"/>
            <w:vAlign w:val="center"/>
          </w:tcPr>
          <w:p w14:paraId="03252845" w14:textId="77777777" w:rsidR="007523B8" w:rsidRPr="009E06AA" w:rsidRDefault="007523B8" w:rsidP="00E247AF">
            <w:pPr>
              <w:pStyle w:val="TableText"/>
              <w:spacing w:before="40" w:after="40"/>
              <w:jc w:val="right"/>
              <w:rPr>
                <w:highlight w:val="lightGray"/>
              </w:rPr>
            </w:pPr>
            <w:r w:rsidRPr="009E06AA">
              <w:rPr>
                <w:rFonts w:cs="Calibri"/>
                <w:color w:val="000000"/>
                <w:szCs w:val="16"/>
              </w:rPr>
              <w:t>87.3</w:t>
            </w:r>
          </w:p>
        </w:tc>
        <w:tc>
          <w:tcPr>
            <w:tcW w:w="1487" w:type="dxa"/>
            <w:vAlign w:val="center"/>
          </w:tcPr>
          <w:p w14:paraId="43869D55" w14:textId="77777777" w:rsidR="007523B8" w:rsidRPr="009E06AA" w:rsidRDefault="007523B8" w:rsidP="00E247AF">
            <w:pPr>
              <w:pStyle w:val="TableText"/>
              <w:spacing w:before="40" w:after="40"/>
              <w:jc w:val="right"/>
              <w:rPr>
                <w:highlight w:val="lightGray"/>
              </w:rPr>
            </w:pPr>
            <w:r w:rsidRPr="009E06AA">
              <w:rPr>
                <w:rFonts w:cs="Calibri"/>
                <w:color w:val="000000"/>
                <w:szCs w:val="16"/>
              </w:rPr>
              <w:t>66.4</w:t>
            </w:r>
          </w:p>
        </w:tc>
        <w:tc>
          <w:tcPr>
            <w:tcW w:w="1536" w:type="dxa"/>
            <w:vAlign w:val="center"/>
          </w:tcPr>
          <w:p w14:paraId="1E4E9D8D" w14:textId="77777777" w:rsidR="007523B8" w:rsidRPr="009E06AA" w:rsidRDefault="007523B8" w:rsidP="00E247AF">
            <w:pPr>
              <w:pStyle w:val="TableText"/>
              <w:spacing w:before="40" w:after="40"/>
              <w:jc w:val="right"/>
              <w:rPr>
                <w:highlight w:val="lightGray"/>
              </w:rPr>
            </w:pPr>
            <w:r w:rsidRPr="009E06AA">
              <w:rPr>
                <w:rFonts w:cs="Calibri"/>
                <w:color w:val="000000"/>
                <w:szCs w:val="16"/>
              </w:rPr>
              <w:t>11.6</w:t>
            </w:r>
          </w:p>
        </w:tc>
        <w:tc>
          <w:tcPr>
            <w:tcW w:w="1518" w:type="dxa"/>
            <w:vAlign w:val="center"/>
          </w:tcPr>
          <w:p w14:paraId="48FEE245" w14:textId="77777777" w:rsidR="007523B8" w:rsidRPr="009E06AA" w:rsidRDefault="007523B8" w:rsidP="00E247AF">
            <w:pPr>
              <w:pStyle w:val="TableText"/>
              <w:spacing w:before="40" w:after="40"/>
              <w:jc w:val="right"/>
              <w:rPr>
                <w:highlight w:val="lightGray"/>
              </w:rPr>
            </w:pPr>
            <w:r w:rsidRPr="009E06AA">
              <w:rPr>
                <w:rFonts w:cs="Calibri"/>
                <w:color w:val="000000"/>
                <w:szCs w:val="16"/>
              </w:rPr>
              <w:t>21.9</w:t>
            </w:r>
          </w:p>
        </w:tc>
      </w:tr>
      <w:tr w:rsidR="007523B8" w:rsidRPr="009E06AA" w14:paraId="072E58DA" w14:textId="77777777" w:rsidTr="00B55F24">
        <w:trPr>
          <w:trHeight w:val="239"/>
        </w:trPr>
        <w:tc>
          <w:tcPr>
            <w:tcW w:w="988" w:type="dxa"/>
          </w:tcPr>
          <w:p w14:paraId="7DF200BE" w14:textId="77777777" w:rsidR="007523B8" w:rsidRPr="009E06AA" w:rsidRDefault="007523B8" w:rsidP="00B55F24">
            <w:pPr>
              <w:pStyle w:val="TableText"/>
              <w:spacing w:before="40" w:after="40"/>
              <w:rPr>
                <w:rFonts w:cs="Calibri"/>
                <w:szCs w:val="16"/>
              </w:rPr>
            </w:pPr>
            <w:r w:rsidRPr="009E06AA">
              <w:rPr>
                <w:rFonts w:cs="Calibri"/>
                <w:szCs w:val="16"/>
              </w:rPr>
              <w:t>2008</w:t>
            </w:r>
          </w:p>
        </w:tc>
        <w:tc>
          <w:tcPr>
            <w:tcW w:w="1489" w:type="dxa"/>
            <w:vAlign w:val="center"/>
          </w:tcPr>
          <w:p w14:paraId="4813849D" w14:textId="77777777" w:rsidR="007523B8" w:rsidRPr="009E06AA" w:rsidRDefault="007523B8" w:rsidP="00E247AF">
            <w:pPr>
              <w:pStyle w:val="TableText"/>
              <w:spacing w:before="40" w:after="40"/>
              <w:jc w:val="right"/>
              <w:rPr>
                <w:highlight w:val="lightGray"/>
              </w:rPr>
            </w:pPr>
            <w:r w:rsidRPr="009E06AA">
              <w:rPr>
                <w:rFonts w:cs="Calibri"/>
                <w:color w:val="000000"/>
                <w:szCs w:val="16"/>
              </w:rPr>
              <w:t>81.4</w:t>
            </w:r>
          </w:p>
        </w:tc>
        <w:tc>
          <w:tcPr>
            <w:tcW w:w="1487" w:type="dxa"/>
            <w:vAlign w:val="center"/>
          </w:tcPr>
          <w:p w14:paraId="2FD36429" w14:textId="77777777" w:rsidR="007523B8" w:rsidRPr="009E06AA" w:rsidRDefault="007523B8" w:rsidP="00E247AF">
            <w:pPr>
              <w:pStyle w:val="TableText"/>
              <w:spacing w:before="40" w:after="40"/>
              <w:jc w:val="right"/>
              <w:rPr>
                <w:highlight w:val="lightGray"/>
              </w:rPr>
            </w:pPr>
            <w:r w:rsidRPr="009E06AA">
              <w:rPr>
                <w:rFonts w:cs="Calibri"/>
                <w:color w:val="000000"/>
                <w:szCs w:val="16"/>
              </w:rPr>
              <w:t>91.0</w:t>
            </w:r>
          </w:p>
        </w:tc>
        <w:tc>
          <w:tcPr>
            <w:tcW w:w="1487" w:type="dxa"/>
            <w:vAlign w:val="center"/>
          </w:tcPr>
          <w:p w14:paraId="5BB64CAA" w14:textId="77777777" w:rsidR="007523B8" w:rsidRPr="009E06AA" w:rsidRDefault="007523B8" w:rsidP="00E247AF">
            <w:pPr>
              <w:pStyle w:val="TableText"/>
              <w:spacing w:before="40" w:after="40"/>
              <w:jc w:val="right"/>
              <w:rPr>
                <w:highlight w:val="lightGray"/>
              </w:rPr>
            </w:pPr>
            <w:r w:rsidRPr="009E06AA">
              <w:rPr>
                <w:rFonts w:cs="Calibri"/>
                <w:color w:val="000000"/>
                <w:szCs w:val="16"/>
              </w:rPr>
              <w:t>67.4</w:t>
            </w:r>
          </w:p>
        </w:tc>
        <w:tc>
          <w:tcPr>
            <w:tcW w:w="1536" w:type="dxa"/>
            <w:vAlign w:val="center"/>
          </w:tcPr>
          <w:p w14:paraId="7BA7F271" w14:textId="77777777" w:rsidR="007523B8" w:rsidRPr="009E06AA" w:rsidRDefault="007523B8" w:rsidP="00E247AF">
            <w:pPr>
              <w:pStyle w:val="TableText"/>
              <w:spacing w:before="40" w:after="40"/>
              <w:jc w:val="right"/>
              <w:rPr>
                <w:highlight w:val="lightGray"/>
              </w:rPr>
            </w:pPr>
            <w:r w:rsidRPr="009E06AA">
              <w:rPr>
                <w:rFonts w:cs="Calibri"/>
                <w:color w:val="000000"/>
                <w:szCs w:val="16"/>
              </w:rPr>
              <w:t>11.9</w:t>
            </w:r>
          </w:p>
        </w:tc>
        <w:tc>
          <w:tcPr>
            <w:tcW w:w="1518" w:type="dxa"/>
            <w:vAlign w:val="center"/>
          </w:tcPr>
          <w:p w14:paraId="750CCD56" w14:textId="77777777" w:rsidR="007523B8" w:rsidRPr="009E06AA" w:rsidRDefault="007523B8" w:rsidP="00E247AF">
            <w:pPr>
              <w:pStyle w:val="TableText"/>
              <w:spacing w:before="40" w:after="40"/>
              <w:jc w:val="right"/>
              <w:rPr>
                <w:highlight w:val="lightGray"/>
              </w:rPr>
            </w:pPr>
            <w:r w:rsidRPr="009E06AA">
              <w:rPr>
                <w:rFonts w:cs="Calibri"/>
                <w:color w:val="000000"/>
                <w:szCs w:val="16"/>
              </w:rPr>
              <w:t>22.1</w:t>
            </w:r>
          </w:p>
        </w:tc>
      </w:tr>
      <w:tr w:rsidR="007523B8" w:rsidRPr="009E06AA" w14:paraId="2269449B" w14:textId="77777777" w:rsidTr="00B55F24">
        <w:trPr>
          <w:trHeight w:val="239"/>
        </w:trPr>
        <w:tc>
          <w:tcPr>
            <w:tcW w:w="988" w:type="dxa"/>
          </w:tcPr>
          <w:p w14:paraId="1813595F" w14:textId="77777777" w:rsidR="007523B8" w:rsidRPr="009E06AA" w:rsidRDefault="007523B8" w:rsidP="00B55F24">
            <w:pPr>
              <w:pStyle w:val="TableText"/>
              <w:spacing w:before="40" w:after="40"/>
              <w:rPr>
                <w:rFonts w:cs="Calibri"/>
                <w:szCs w:val="16"/>
              </w:rPr>
            </w:pPr>
            <w:r w:rsidRPr="009E06AA">
              <w:rPr>
                <w:rFonts w:cs="Calibri"/>
                <w:szCs w:val="16"/>
              </w:rPr>
              <w:t>2009</w:t>
            </w:r>
          </w:p>
        </w:tc>
        <w:tc>
          <w:tcPr>
            <w:tcW w:w="1489" w:type="dxa"/>
            <w:vAlign w:val="center"/>
          </w:tcPr>
          <w:p w14:paraId="39585180" w14:textId="77777777" w:rsidR="007523B8" w:rsidRPr="009E06AA" w:rsidRDefault="007523B8" w:rsidP="00E247AF">
            <w:pPr>
              <w:pStyle w:val="TableText"/>
              <w:spacing w:before="40" w:after="40"/>
              <w:jc w:val="right"/>
              <w:rPr>
                <w:highlight w:val="lightGray"/>
              </w:rPr>
            </w:pPr>
            <w:r w:rsidRPr="009E06AA">
              <w:rPr>
                <w:rFonts w:cs="Calibri"/>
                <w:color w:val="000000"/>
                <w:szCs w:val="16"/>
              </w:rPr>
              <w:t>80.6</w:t>
            </w:r>
          </w:p>
        </w:tc>
        <w:tc>
          <w:tcPr>
            <w:tcW w:w="1487" w:type="dxa"/>
            <w:vAlign w:val="center"/>
          </w:tcPr>
          <w:p w14:paraId="0C3B79FD" w14:textId="77777777" w:rsidR="007523B8" w:rsidRPr="009E06AA" w:rsidRDefault="007523B8" w:rsidP="00E247AF">
            <w:pPr>
              <w:pStyle w:val="TableText"/>
              <w:spacing w:before="40" w:after="40"/>
              <w:jc w:val="right"/>
              <w:rPr>
                <w:highlight w:val="lightGray"/>
              </w:rPr>
            </w:pPr>
            <w:r w:rsidRPr="009E06AA">
              <w:rPr>
                <w:rFonts w:cs="Calibri"/>
                <w:color w:val="000000"/>
                <w:szCs w:val="16"/>
              </w:rPr>
              <w:t>90.9</w:t>
            </w:r>
          </w:p>
        </w:tc>
        <w:tc>
          <w:tcPr>
            <w:tcW w:w="1487" w:type="dxa"/>
            <w:vAlign w:val="center"/>
          </w:tcPr>
          <w:p w14:paraId="60C39442" w14:textId="77777777" w:rsidR="007523B8" w:rsidRPr="009E06AA" w:rsidRDefault="007523B8" w:rsidP="00E247AF">
            <w:pPr>
              <w:pStyle w:val="TableText"/>
              <w:spacing w:before="40" w:after="40"/>
              <w:jc w:val="right"/>
              <w:rPr>
                <w:highlight w:val="lightGray"/>
              </w:rPr>
            </w:pPr>
            <w:r w:rsidRPr="009E06AA">
              <w:rPr>
                <w:rFonts w:cs="Calibri"/>
                <w:color w:val="000000"/>
                <w:szCs w:val="16"/>
              </w:rPr>
              <w:t>67.2</w:t>
            </w:r>
          </w:p>
        </w:tc>
        <w:tc>
          <w:tcPr>
            <w:tcW w:w="1536" w:type="dxa"/>
            <w:vAlign w:val="center"/>
          </w:tcPr>
          <w:p w14:paraId="4A1B8E67" w14:textId="77777777" w:rsidR="007523B8" w:rsidRPr="009E06AA" w:rsidRDefault="007523B8" w:rsidP="00E247AF">
            <w:pPr>
              <w:pStyle w:val="TableText"/>
              <w:spacing w:before="40" w:after="40"/>
              <w:jc w:val="right"/>
              <w:rPr>
                <w:highlight w:val="lightGray"/>
              </w:rPr>
            </w:pPr>
            <w:r w:rsidRPr="009E06AA">
              <w:rPr>
                <w:rFonts w:cs="Calibri"/>
                <w:color w:val="000000"/>
                <w:szCs w:val="16"/>
              </w:rPr>
              <w:t>12.0</w:t>
            </w:r>
          </w:p>
        </w:tc>
        <w:tc>
          <w:tcPr>
            <w:tcW w:w="1518" w:type="dxa"/>
            <w:vAlign w:val="center"/>
          </w:tcPr>
          <w:p w14:paraId="1E32EAE0" w14:textId="77777777" w:rsidR="007523B8" w:rsidRPr="009E06AA" w:rsidRDefault="007523B8" w:rsidP="00E247AF">
            <w:pPr>
              <w:pStyle w:val="TableText"/>
              <w:spacing w:before="40" w:after="40"/>
              <w:jc w:val="right"/>
              <w:rPr>
                <w:highlight w:val="lightGray"/>
              </w:rPr>
            </w:pPr>
            <w:r w:rsidRPr="009E06AA">
              <w:rPr>
                <w:rFonts w:cs="Calibri"/>
                <w:color w:val="000000"/>
                <w:szCs w:val="16"/>
              </w:rPr>
              <w:t>22.2</w:t>
            </w:r>
          </w:p>
        </w:tc>
      </w:tr>
      <w:tr w:rsidR="007523B8" w:rsidRPr="009E06AA" w14:paraId="22E0697D" w14:textId="77777777" w:rsidTr="00B55F24">
        <w:trPr>
          <w:trHeight w:val="239"/>
        </w:trPr>
        <w:tc>
          <w:tcPr>
            <w:tcW w:w="988" w:type="dxa"/>
          </w:tcPr>
          <w:p w14:paraId="3B79AEBF" w14:textId="77777777" w:rsidR="007523B8" w:rsidRPr="009E06AA" w:rsidRDefault="007523B8" w:rsidP="00B55F24">
            <w:pPr>
              <w:pStyle w:val="TableText"/>
              <w:spacing w:before="40" w:after="40"/>
              <w:rPr>
                <w:rFonts w:cs="Calibri"/>
                <w:szCs w:val="16"/>
              </w:rPr>
            </w:pPr>
            <w:r w:rsidRPr="009E06AA">
              <w:rPr>
                <w:rFonts w:cs="Calibri"/>
                <w:szCs w:val="16"/>
              </w:rPr>
              <w:t>2010</w:t>
            </w:r>
          </w:p>
        </w:tc>
        <w:tc>
          <w:tcPr>
            <w:tcW w:w="1489" w:type="dxa"/>
            <w:vAlign w:val="center"/>
          </w:tcPr>
          <w:p w14:paraId="4631B751" w14:textId="77777777" w:rsidR="007523B8" w:rsidRPr="009E06AA" w:rsidRDefault="007523B8" w:rsidP="00E247AF">
            <w:pPr>
              <w:pStyle w:val="TableText"/>
              <w:spacing w:before="40" w:after="40"/>
              <w:jc w:val="right"/>
              <w:rPr>
                <w:highlight w:val="lightGray"/>
              </w:rPr>
            </w:pPr>
            <w:r w:rsidRPr="009E06AA">
              <w:rPr>
                <w:rFonts w:cs="Calibri"/>
                <w:color w:val="000000"/>
                <w:szCs w:val="16"/>
              </w:rPr>
              <w:t>83.6</w:t>
            </w:r>
          </w:p>
        </w:tc>
        <w:tc>
          <w:tcPr>
            <w:tcW w:w="1487" w:type="dxa"/>
            <w:vAlign w:val="center"/>
          </w:tcPr>
          <w:p w14:paraId="7C5287C6" w14:textId="77777777" w:rsidR="007523B8" w:rsidRPr="009E06AA" w:rsidRDefault="007523B8" w:rsidP="00E247AF">
            <w:pPr>
              <w:pStyle w:val="TableText"/>
              <w:spacing w:before="40" w:after="40"/>
              <w:jc w:val="right"/>
              <w:rPr>
                <w:highlight w:val="lightGray"/>
              </w:rPr>
            </w:pPr>
            <w:r w:rsidRPr="009E06AA">
              <w:rPr>
                <w:rFonts w:cs="Calibri"/>
                <w:color w:val="000000"/>
                <w:szCs w:val="16"/>
              </w:rPr>
              <w:t>90.2</w:t>
            </w:r>
          </w:p>
        </w:tc>
        <w:tc>
          <w:tcPr>
            <w:tcW w:w="1487" w:type="dxa"/>
            <w:vAlign w:val="center"/>
          </w:tcPr>
          <w:p w14:paraId="052F9F9C" w14:textId="77777777" w:rsidR="007523B8" w:rsidRPr="009E06AA" w:rsidRDefault="007523B8" w:rsidP="00E247AF">
            <w:pPr>
              <w:pStyle w:val="TableText"/>
              <w:spacing w:before="40" w:after="40"/>
              <w:jc w:val="right"/>
              <w:rPr>
                <w:highlight w:val="lightGray"/>
              </w:rPr>
            </w:pPr>
            <w:r w:rsidRPr="009E06AA">
              <w:rPr>
                <w:rFonts w:cs="Calibri"/>
                <w:color w:val="000000"/>
                <w:szCs w:val="16"/>
              </w:rPr>
              <w:t>66.2</w:t>
            </w:r>
          </w:p>
        </w:tc>
        <w:tc>
          <w:tcPr>
            <w:tcW w:w="1536" w:type="dxa"/>
            <w:vAlign w:val="center"/>
          </w:tcPr>
          <w:p w14:paraId="0F0ACDB6" w14:textId="77777777" w:rsidR="007523B8" w:rsidRPr="009E06AA" w:rsidRDefault="007523B8" w:rsidP="00E247AF">
            <w:pPr>
              <w:pStyle w:val="TableText"/>
              <w:spacing w:before="40" w:after="40"/>
              <w:jc w:val="right"/>
              <w:rPr>
                <w:highlight w:val="lightGray"/>
              </w:rPr>
            </w:pPr>
            <w:r w:rsidRPr="009E06AA">
              <w:rPr>
                <w:rFonts w:cs="Calibri"/>
                <w:color w:val="000000"/>
                <w:szCs w:val="16"/>
              </w:rPr>
              <w:t>11.7</w:t>
            </w:r>
          </w:p>
        </w:tc>
        <w:tc>
          <w:tcPr>
            <w:tcW w:w="1518" w:type="dxa"/>
            <w:vAlign w:val="center"/>
          </w:tcPr>
          <w:p w14:paraId="2C826EC6" w14:textId="77777777" w:rsidR="007523B8" w:rsidRPr="009E06AA" w:rsidRDefault="007523B8" w:rsidP="00E247AF">
            <w:pPr>
              <w:pStyle w:val="TableText"/>
              <w:spacing w:before="40" w:after="40"/>
              <w:jc w:val="right"/>
              <w:rPr>
                <w:highlight w:val="lightGray"/>
              </w:rPr>
            </w:pPr>
            <w:r w:rsidRPr="009E06AA">
              <w:rPr>
                <w:rFonts w:cs="Calibri"/>
                <w:color w:val="000000"/>
                <w:szCs w:val="16"/>
              </w:rPr>
              <w:t>22.2</w:t>
            </w:r>
          </w:p>
        </w:tc>
      </w:tr>
      <w:tr w:rsidR="007523B8" w:rsidRPr="009E06AA" w14:paraId="4F649817" w14:textId="77777777" w:rsidTr="00B55F24">
        <w:trPr>
          <w:trHeight w:val="217"/>
        </w:trPr>
        <w:tc>
          <w:tcPr>
            <w:tcW w:w="988" w:type="dxa"/>
          </w:tcPr>
          <w:p w14:paraId="163BA5CC" w14:textId="77777777" w:rsidR="007523B8" w:rsidRPr="009E06AA" w:rsidRDefault="007523B8" w:rsidP="00B55F24">
            <w:pPr>
              <w:pStyle w:val="TableText"/>
              <w:spacing w:before="40" w:after="40"/>
              <w:rPr>
                <w:rFonts w:cs="Calibri"/>
                <w:szCs w:val="16"/>
              </w:rPr>
            </w:pPr>
            <w:r w:rsidRPr="009E06AA">
              <w:rPr>
                <w:rFonts w:cs="Calibri"/>
                <w:szCs w:val="16"/>
              </w:rPr>
              <w:t>2011</w:t>
            </w:r>
          </w:p>
        </w:tc>
        <w:tc>
          <w:tcPr>
            <w:tcW w:w="1489" w:type="dxa"/>
            <w:vAlign w:val="center"/>
          </w:tcPr>
          <w:p w14:paraId="09543E3B" w14:textId="77777777" w:rsidR="007523B8" w:rsidRPr="009E06AA" w:rsidRDefault="007523B8" w:rsidP="00E247AF">
            <w:pPr>
              <w:pStyle w:val="TableText"/>
              <w:spacing w:before="40" w:after="40"/>
              <w:jc w:val="right"/>
              <w:rPr>
                <w:highlight w:val="lightGray"/>
              </w:rPr>
            </w:pPr>
            <w:r w:rsidRPr="009E06AA">
              <w:rPr>
                <w:rFonts w:cs="Calibri"/>
                <w:color w:val="000000"/>
                <w:szCs w:val="16"/>
              </w:rPr>
              <w:t>84.0</w:t>
            </w:r>
          </w:p>
        </w:tc>
        <w:tc>
          <w:tcPr>
            <w:tcW w:w="1487" w:type="dxa"/>
            <w:vAlign w:val="center"/>
          </w:tcPr>
          <w:p w14:paraId="7FE41CF8" w14:textId="77777777" w:rsidR="007523B8" w:rsidRPr="009E06AA" w:rsidRDefault="007523B8" w:rsidP="00E247AF">
            <w:pPr>
              <w:pStyle w:val="TableText"/>
              <w:spacing w:before="40" w:after="40"/>
              <w:jc w:val="right"/>
              <w:rPr>
                <w:highlight w:val="lightGray"/>
              </w:rPr>
            </w:pPr>
            <w:r w:rsidRPr="009E06AA">
              <w:rPr>
                <w:rFonts w:cs="Calibri"/>
                <w:color w:val="000000"/>
                <w:szCs w:val="16"/>
              </w:rPr>
              <w:t>93.4</w:t>
            </w:r>
          </w:p>
        </w:tc>
        <w:tc>
          <w:tcPr>
            <w:tcW w:w="1487" w:type="dxa"/>
            <w:vAlign w:val="center"/>
          </w:tcPr>
          <w:p w14:paraId="6D38577E" w14:textId="77777777" w:rsidR="007523B8" w:rsidRPr="009E06AA" w:rsidRDefault="007523B8" w:rsidP="00E247AF">
            <w:pPr>
              <w:pStyle w:val="TableText"/>
              <w:spacing w:before="40" w:after="40"/>
              <w:jc w:val="right"/>
              <w:rPr>
                <w:highlight w:val="lightGray"/>
              </w:rPr>
            </w:pPr>
            <w:r w:rsidRPr="009E06AA">
              <w:rPr>
                <w:rFonts w:cs="Calibri"/>
                <w:color w:val="000000"/>
                <w:szCs w:val="16"/>
              </w:rPr>
              <w:t>66.9</w:t>
            </w:r>
          </w:p>
        </w:tc>
        <w:tc>
          <w:tcPr>
            <w:tcW w:w="1536" w:type="dxa"/>
            <w:vAlign w:val="center"/>
          </w:tcPr>
          <w:p w14:paraId="2581714A" w14:textId="77777777" w:rsidR="007523B8" w:rsidRPr="009E06AA" w:rsidRDefault="007523B8" w:rsidP="00E247AF">
            <w:pPr>
              <w:pStyle w:val="TableText"/>
              <w:spacing w:before="40" w:after="40"/>
              <w:jc w:val="right"/>
              <w:rPr>
                <w:highlight w:val="lightGray"/>
              </w:rPr>
            </w:pPr>
            <w:r w:rsidRPr="009E06AA">
              <w:rPr>
                <w:rFonts w:cs="Calibri"/>
                <w:color w:val="000000"/>
                <w:szCs w:val="16"/>
              </w:rPr>
              <w:t>11.9</w:t>
            </w:r>
          </w:p>
        </w:tc>
        <w:tc>
          <w:tcPr>
            <w:tcW w:w="1518" w:type="dxa"/>
            <w:vAlign w:val="center"/>
          </w:tcPr>
          <w:p w14:paraId="71E3E8BD" w14:textId="77777777" w:rsidR="007523B8" w:rsidRPr="009E06AA" w:rsidRDefault="007523B8" w:rsidP="00E247AF">
            <w:pPr>
              <w:pStyle w:val="TableText"/>
              <w:spacing w:before="40" w:after="40"/>
              <w:jc w:val="right"/>
              <w:rPr>
                <w:highlight w:val="lightGray"/>
              </w:rPr>
            </w:pPr>
            <w:r w:rsidRPr="009E06AA">
              <w:rPr>
                <w:rFonts w:cs="Calibri"/>
                <w:color w:val="000000"/>
                <w:szCs w:val="16"/>
              </w:rPr>
              <w:t>22.5</w:t>
            </w:r>
          </w:p>
        </w:tc>
      </w:tr>
      <w:tr w:rsidR="007523B8" w:rsidRPr="009E06AA" w14:paraId="5963768F" w14:textId="77777777" w:rsidTr="00B55F24">
        <w:trPr>
          <w:trHeight w:val="239"/>
        </w:trPr>
        <w:tc>
          <w:tcPr>
            <w:tcW w:w="988" w:type="dxa"/>
          </w:tcPr>
          <w:p w14:paraId="612B86E4" w14:textId="77777777" w:rsidR="007523B8" w:rsidRPr="009E06AA" w:rsidRDefault="007523B8" w:rsidP="00B55F24">
            <w:pPr>
              <w:pStyle w:val="TableText"/>
              <w:spacing w:before="40" w:after="40"/>
              <w:rPr>
                <w:rFonts w:cs="Calibri"/>
                <w:szCs w:val="16"/>
              </w:rPr>
            </w:pPr>
            <w:r w:rsidRPr="009E06AA">
              <w:rPr>
                <w:rFonts w:cs="Calibri"/>
                <w:szCs w:val="16"/>
              </w:rPr>
              <w:t>2012</w:t>
            </w:r>
          </w:p>
        </w:tc>
        <w:tc>
          <w:tcPr>
            <w:tcW w:w="1489" w:type="dxa"/>
            <w:vAlign w:val="center"/>
          </w:tcPr>
          <w:p w14:paraId="5DE2BF2E" w14:textId="77777777" w:rsidR="007523B8" w:rsidRPr="009E06AA" w:rsidRDefault="007523B8" w:rsidP="00E247AF">
            <w:pPr>
              <w:pStyle w:val="TableText"/>
              <w:spacing w:before="40" w:after="40"/>
              <w:jc w:val="right"/>
              <w:rPr>
                <w:highlight w:val="lightGray"/>
              </w:rPr>
            </w:pPr>
            <w:r w:rsidRPr="009E06AA">
              <w:rPr>
                <w:rFonts w:cs="Calibri"/>
                <w:color w:val="000000"/>
                <w:szCs w:val="16"/>
              </w:rPr>
              <w:t>84.5</w:t>
            </w:r>
          </w:p>
        </w:tc>
        <w:tc>
          <w:tcPr>
            <w:tcW w:w="1487" w:type="dxa"/>
            <w:vAlign w:val="center"/>
          </w:tcPr>
          <w:p w14:paraId="5ECD2632" w14:textId="77777777" w:rsidR="007523B8" w:rsidRPr="009E06AA" w:rsidRDefault="007523B8" w:rsidP="00E247AF">
            <w:pPr>
              <w:pStyle w:val="TableText"/>
              <w:spacing w:before="40" w:after="40"/>
              <w:jc w:val="right"/>
              <w:rPr>
                <w:highlight w:val="lightGray"/>
              </w:rPr>
            </w:pPr>
            <w:r w:rsidRPr="009E06AA">
              <w:rPr>
                <w:rFonts w:cs="Calibri"/>
                <w:color w:val="000000"/>
                <w:szCs w:val="16"/>
              </w:rPr>
              <w:t>94.8</w:t>
            </w:r>
          </w:p>
        </w:tc>
        <w:tc>
          <w:tcPr>
            <w:tcW w:w="1487" w:type="dxa"/>
            <w:vAlign w:val="center"/>
          </w:tcPr>
          <w:p w14:paraId="7F3F27DF" w14:textId="77777777" w:rsidR="007523B8" w:rsidRPr="009E06AA" w:rsidRDefault="007523B8" w:rsidP="00E247AF">
            <w:pPr>
              <w:pStyle w:val="TableText"/>
              <w:spacing w:before="40" w:after="40"/>
              <w:jc w:val="right"/>
              <w:rPr>
                <w:highlight w:val="lightGray"/>
              </w:rPr>
            </w:pPr>
            <w:r w:rsidRPr="009E06AA">
              <w:rPr>
                <w:rFonts w:cs="Calibri"/>
                <w:color w:val="000000"/>
                <w:szCs w:val="16"/>
              </w:rPr>
              <w:t>68.2</w:t>
            </w:r>
          </w:p>
        </w:tc>
        <w:tc>
          <w:tcPr>
            <w:tcW w:w="1536" w:type="dxa"/>
            <w:vAlign w:val="center"/>
          </w:tcPr>
          <w:p w14:paraId="34E9A2CE" w14:textId="77777777" w:rsidR="007523B8" w:rsidRPr="009E06AA" w:rsidRDefault="007523B8" w:rsidP="00E247AF">
            <w:pPr>
              <w:pStyle w:val="TableText"/>
              <w:spacing w:before="40" w:after="40"/>
              <w:jc w:val="right"/>
              <w:rPr>
                <w:highlight w:val="lightGray"/>
              </w:rPr>
            </w:pPr>
            <w:r w:rsidRPr="009E06AA">
              <w:rPr>
                <w:rFonts w:cs="Calibri"/>
                <w:color w:val="000000"/>
                <w:szCs w:val="16"/>
              </w:rPr>
              <w:t>12.1</w:t>
            </w:r>
          </w:p>
        </w:tc>
        <w:tc>
          <w:tcPr>
            <w:tcW w:w="1518" w:type="dxa"/>
            <w:vAlign w:val="center"/>
          </w:tcPr>
          <w:p w14:paraId="02177801" w14:textId="77777777" w:rsidR="007523B8" w:rsidRPr="009E06AA" w:rsidRDefault="007523B8" w:rsidP="00E247AF">
            <w:pPr>
              <w:pStyle w:val="TableText"/>
              <w:spacing w:before="40" w:after="40"/>
              <w:jc w:val="right"/>
              <w:rPr>
                <w:highlight w:val="lightGray"/>
              </w:rPr>
            </w:pPr>
            <w:r w:rsidRPr="009E06AA">
              <w:rPr>
                <w:rFonts w:cs="Calibri"/>
                <w:color w:val="000000"/>
                <w:szCs w:val="16"/>
              </w:rPr>
              <w:t>22.6</w:t>
            </w:r>
          </w:p>
        </w:tc>
      </w:tr>
      <w:tr w:rsidR="007523B8" w:rsidRPr="009E06AA" w14:paraId="06EF73B1" w14:textId="77777777" w:rsidTr="00B55F24">
        <w:trPr>
          <w:trHeight w:val="239"/>
        </w:trPr>
        <w:tc>
          <w:tcPr>
            <w:tcW w:w="988" w:type="dxa"/>
          </w:tcPr>
          <w:p w14:paraId="57C82EA2" w14:textId="77777777" w:rsidR="007523B8" w:rsidRPr="009E06AA" w:rsidRDefault="007523B8" w:rsidP="00B55F24">
            <w:pPr>
              <w:pStyle w:val="TableText"/>
              <w:spacing w:before="40" w:after="40"/>
              <w:rPr>
                <w:rFonts w:cs="Calibri"/>
                <w:szCs w:val="16"/>
              </w:rPr>
            </w:pPr>
            <w:r w:rsidRPr="009E06AA">
              <w:rPr>
                <w:rFonts w:cs="Calibri"/>
                <w:szCs w:val="16"/>
              </w:rPr>
              <w:t>2013</w:t>
            </w:r>
          </w:p>
        </w:tc>
        <w:tc>
          <w:tcPr>
            <w:tcW w:w="1489" w:type="dxa"/>
            <w:vAlign w:val="center"/>
          </w:tcPr>
          <w:p w14:paraId="35B1CFCC" w14:textId="77777777" w:rsidR="007523B8" w:rsidRPr="009E06AA" w:rsidRDefault="007523B8" w:rsidP="00E247AF">
            <w:pPr>
              <w:pStyle w:val="TableText"/>
              <w:spacing w:before="40" w:after="40"/>
              <w:jc w:val="right"/>
              <w:rPr>
                <w:highlight w:val="lightGray"/>
              </w:rPr>
            </w:pPr>
            <w:r w:rsidRPr="009E06AA">
              <w:rPr>
                <w:rFonts w:cs="Calibri"/>
                <w:color w:val="000000"/>
                <w:szCs w:val="16"/>
              </w:rPr>
              <w:t>86.6</w:t>
            </w:r>
          </w:p>
        </w:tc>
        <w:tc>
          <w:tcPr>
            <w:tcW w:w="1487" w:type="dxa"/>
            <w:vAlign w:val="center"/>
          </w:tcPr>
          <w:p w14:paraId="017DA1E0" w14:textId="77777777" w:rsidR="007523B8" w:rsidRPr="009E06AA" w:rsidRDefault="007523B8" w:rsidP="00E247AF">
            <w:pPr>
              <w:pStyle w:val="TableText"/>
              <w:spacing w:before="40" w:after="40"/>
              <w:jc w:val="right"/>
              <w:rPr>
                <w:highlight w:val="lightGray"/>
              </w:rPr>
            </w:pPr>
            <w:r w:rsidRPr="009E06AA">
              <w:rPr>
                <w:rFonts w:cs="Calibri"/>
                <w:color w:val="000000"/>
                <w:szCs w:val="16"/>
              </w:rPr>
              <w:t>93.8</w:t>
            </w:r>
          </w:p>
        </w:tc>
        <w:tc>
          <w:tcPr>
            <w:tcW w:w="1487" w:type="dxa"/>
            <w:vAlign w:val="center"/>
          </w:tcPr>
          <w:p w14:paraId="4BB7BCE8" w14:textId="77777777" w:rsidR="007523B8" w:rsidRPr="009E06AA" w:rsidRDefault="007523B8" w:rsidP="00E247AF">
            <w:pPr>
              <w:pStyle w:val="TableText"/>
              <w:spacing w:before="40" w:after="40"/>
              <w:jc w:val="right"/>
              <w:rPr>
                <w:highlight w:val="lightGray"/>
              </w:rPr>
            </w:pPr>
            <w:r w:rsidRPr="009E06AA">
              <w:rPr>
                <w:rFonts w:cs="Calibri"/>
                <w:color w:val="000000"/>
                <w:szCs w:val="16"/>
              </w:rPr>
              <w:t>66.7</w:t>
            </w:r>
          </w:p>
        </w:tc>
        <w:tc>
          <w:tcPr>
            <w:tcW w:w="1536" w:type="dxa"/>
            <w:vAlign w:val="center"/>
          </w:tcPr>
          <w:p w14:paraId="62D6E267" w14:textId="77777777" w:rsidR="007523B8" w:rsidRPr="009E06AA" w:rsidRDefault="007523B8" w:rsidP="00E247AF">
            <w:pPr>
              <w:pStyle w:val="TableText"/>
              <w:spacing w:before="40" w:after="40"/>
              <w:jc w:val="right"/>
              <w:rPr>
                <w:highlight w:val="lightGray"/>
              </w:rPr>
            </w:pPr>
            <w:r w:rsidRPr="009E06AA">
              <w:rPr>
                <w:rFonts w:cs="Calibri"/>
                <w:color w:val="000000"/>
                <w:szCs w:val="16"/>
              </w:rPr>
              <w:t>12.0</w:t>
            </w:r>
          </w:p>
        </w:tc>
        <w:tc>
          <w:tcPr>
            <w:tcW w:w="1518" w:type="dxa"/>
            <w:vAlign w:val="center"/>
          </w:tcPr>
          <w:p w14:paraId="68B871B7" w14:textId="77777777" w:rsidR="007523B8" w:rsidRPr="009E06AA" w:rsidRDefault="007523B8" w:rsidP="00E247AF">
            <w:pPr>
              <w:pStyle w:val="TableText"/>
              <w:spacing w:before="40" w:after="40"/>
              <w:jc w:val="right"/>
              <w:rPr>
                <w:highlight w:val="lightGray"/>
              </w:rPr>
            </w:pPr>
            <w:r w:rsidRPr="009E06AA">
              <w:rPr>
                <w:rFonts w:cs="Calibri"/>
                <w:color w:val="000000"/>
                <w:szCs w:val="16"/>
              </w:rPr>
              <w:t>22.3</w:t>
            </w:r>
          </w:p>
        </w:tc>
      </w:tr>
      <w:tr w:rsidR="007523B8" w:rsidRPr="009E06AA" w14:paraId="3BBC1FEA" w14:textId="77777777" w:rsidTr="00B55F24">
        <w:trPr>
          <w:trHeight w:val="251"/>
        </w:trPr>
        <w:tc>
          <w:tcPr>
            <w:tcW w:w="988" w:type="dxa"/>
          </w:tcPr>
          <w:p w14:paraId="2B360A98" w14:textId="77777777" w:rsidR="007523B8" w:rsidRPr="009E06AA" w:rsidRDefault="007523B8" w:rsidP="00B55F24">
            <w:pPr>
              <w:pStyle w:val="TableText"/>
              <w:spacing w:before="40" w:after="40"/>
              <w:rPr>
                <w:rFonts w:cs="Calibri"/>
                <w:szCs w:val="16"/>
              </w:rPr>
            </w:pPr>
            <w:r w:rsidRPr="009E06AA">
              <w:rPr>
                <w:rFonts w:cs="Calibri"/>
                <w:szCs w:val="16"/>
              </w:rPr>
              <w:t>2014</w:t>
            </w:r>
          </w:p>
        </w:tc>
        <w:tc>
          <w:tcPr>
            <w:tcW w:w="1489" w:type="dxa"/>
            <w:vAlign w:val="center"/>
          </w:tcPr>
          <w:p w14:paraId="53413306" w14:textId="77777777" w:rsidR="007523B8" w:rsidRPr="009E06AA" w:rsidRDefault="007523B8" w:rsidP="00E247AF">
            <w:pPr>
              <w:pStyle w:val="TableText"/>
              <w:spacing w:before="40" w:after="40"/>
              <w:jc w:val="right"/>
              <w:rPr>
                <w:highlight w:val="lightGray"/>
              </w:rPr>
            </w:pPr>
            <w:r w:rsidRPr="009E06AA">
              <w:rPr>
                <w:rFonts w:cs="Calibri"/>
                <w:color w:val="000000"/>
                <w:szCs w:val="16"/>
              </w:rPr>
              <w:t>86.9</w:t>
            </w:r>
          </w:p>
        </w:tc>
        <w:tc>
          <w:tcPr>
            <w:tcW w:w="1487" w:type="dxa"/>
            <w:vAlign w:val="center"/>
          </w:tcPr>
          <w:p w14:paraId="074F43CD" w14:textId="77777777" w:rsidR="007523B8" w:rsidRPr="009E06AA" w:rsidRDefault="007523B8" w:rsidP="00E247AF">
            <w:pPr>
              <w:pStyle w:val="TableText"/>
              <w:spacing w:before="40" w:after="40"/>
              <w:jc w:val="right"/>
              <w:rPr>
                <w:highlight w:val="lightGray"/>
              </w:rPr>
            </w:pPr>
            <w:r w:rsidRPr="009E06AA">
              <w:rPr>
                <w:rFonts w:cs="Calibri"/>
                <w:color w:val="000000"/>
                <w:szCs w:val="16"/>
              </w:rPr>
              <w:t>97.9</w:t>
            </w:r>
          </w:p>
        </w:tc>
        <w:tc>
          <w:tcPr>
            <w:tcW w:w="1487" w:type="dxa"/>
            <w:vAlign w:val="center"/>
          </w:tcPr>
          <w:p w14:paraId="06E8C20E" w14:textId="77777777" w:rsidR="007523B8" w:rsidRPr="009E06AA" w:rsidRDefault="007523B8" w:rsidP="00E247AF">
            <w:pPr>
              <w:pStyle w:val="TableText"/>
              <w:spacing w:before="40" w:after="40"/>
              <w:jc w:val="right"/>
              <w:rPr>
                <w:highlight w:val="lightGray"/>
              </w:rPr>
            </w:pPr>
            <w:r w:rsidRPr="009E06AA">
              <w:rPr>
                <w:rFonts w:cs="Calibri"/>
                <w:color w:val="000000"/>
                <w:szCs w:val="16"/>
              </w:rPr>
              <w:t>66.6</w:t>
            </w:r>
          </w:p>
        </w:tc>
        <w:tc>
          <w:tcPr>
            <w:tcW w:w="1536" w:type="dxa"/>
            <w:vAlign w:val="center"/>
          </w:tcPr>
          <w:p w14:paraId="2A693781" w14:textId="77777777" w:rsidR="007523B8" w:rsidRPr="009E06AA" w:rsidRDefault="007523B8" w:rsidP="00E247AF">
            <w:pPr>
              <w:pStyle w:val="TableText"/>
              <w:spacing w:before="40" w:after="40"/>
              <w:jc w:val="right"/>
              <w:rPr>
                <w:highlight w:val="lightGray"/>
              </w:rPr>
            </w:pPr>
            <w:r w:rsidRPr="009E06AA">
              <w:rPr>
                <w:rFonts w:cs="Calibri"/>
                <w:color w:val="000000"/>
                <w:szCs w:val="16"/>
              </w:rPr>
              <w:t>12.2</w:t>
            </w:r>
          </w:p>
        </w:tc>
        <w:tc>
          <w:tcPr>
            <w:tcW w:w="1518" w:type="dxa"/>
            <w:vAlign w:val="center"/>
          </w:tcPr>
          <w:p w14:paraId="21830DFB" w14:textId="77777777" w:rsidR="007523B8" w:rsidRPr="009E06AA" w:rsidRDefault="007523B8" w:rsidP="00E247AF">
            <w:pPr>
              <w:pStyle w:val="TableText"/>
              <w:spacing w:before="40" w:after="40"/>
              <w:jc w:val="right"/>
              <w:rPr>
                <w:highlight w:val="lightGray"/>
              </w:rPr>
            </w:pPr>
            <w:r w:rsidRPr="009E06AA">
              <w:rPr>
                <w:rFonts w:cs="Calibri"/>
                <w:color w:val="000000"/>
                <w:szCs w:val="16"/>
              </w:rPr>
              <w:t>22.5</w:t>
            </w:r>
          </w:p>
        </w:tc>
      </w:tr>
      <w:tr w:rsidR="007523B8" w:rsidRPr="009E06AA" w14:paraId="61403B9C" w14:textId="77777777" w:rsidTr="00B55F24">
        <w:trPr>
          <w:trHeight w:val="239"/>
        </w:trPr>
        <w:tc>
          <w:tcPr>
            <w:tcW w:w="988" w:type="dxa"/>
          </w:tcPr>
          <w:p w14:paraId="3B2123A8" w14:textId="77777777" w:rsidR="007523B8" w:rsidRPr="009E06AA" w:rsidRDefault="007523B8" w:rsidP="00B55F24">
            <w:pPr>
              <w:pStyle w:val="TableText"/>
              <w:spacing w:before="40" w:after="40"/>
              <w:rPr>
                <w:rFonts w:cs="Calibri"/>
                <w:szCs w:val="16"/>
              </w:rPr>
            </w:pPr>
            <w:r w:rsidRPr="009E06AA">
              <w:rPr>
                <w:rFonts w:cs="Calibri"/>
                <w:szCs w:val="16"/>
              </w:rPr>
              <w:t>2015</w:t>
            </w:r>
          </w:p>
        </w:tc>
        <w:tc>
          <w:tcPr>
            <w:tcW w:w="1489" w:type="dxa"/>
            <w:vAlign w:val="center"/>
          </w:tcPr>
          <w:p w14:paraId="0161C119" w14:textId="77777777" w:rsidR="007523B8" w:rsidRPr="009E06AA" w:rsidRDefault="007523B8" w:rsidP="00E247AF">
            <w:pPr>
              <w:pStyle w:val="TableText"/>
              <w:spacing w:before="40" w:after="40"/>
              <w:jc w:val="right"/>
              <w:rPr>
                <w:highlight w:val="lightGray"/>
              </w:rPr>
            </w:pPr>
            <w:r w:rsidRPr="009E06AA">
              <w:rPr>
                <w:rFonts w:cs="Calibri"/>
                <w:color w:val="000000"/>
                <w:szCs w:val="16"/>
              </w:rPr>
              <w:t>89.1</w:t>
            </w:r>
          </w:p>
        </w:tc>
        <w:tc>
          <w:tcPr>
            <w:tcW w:w="1487" w:type="dxa"/>
            <w:vAlign w:val="center"/>
          </w:tcPr>
          <w:p w14:paraId="1E398020" w14:textId="77777777" w:rsidR="007523B8" w:rsidRPr="009E06AA" w:rsidRDefault="007523B8" w:rsidP="00E247AF">
            <w:pPr>
              <w:pStyle w:val="TableText"/>
              <w:spacing w:before="40" w:after="40"/>
              <w:jc w:val="right"/>
              <w:rPr>
                <w:highlight w:val="lightGray"/>
              </w:rPr>
            </w:pPr>
            <w:r w:rsidRPr="009E06AA">
              <w:rPr>
                <w:rFonts w:cs="Calibri"/>
                <w:color w:val="000000"/>
                <w:szCs w:val="16"/>
              </w:rPr>
              <w:t>94.2</w:t>
            </w:r>
          </w:p>
        </w:tc>
        <w:tc>
          <w:tcPr>
            <w:tcW w:w="1487" w:type="dxa"/>
            <w:vAlign w:val="center"/>
          </w:tcPr>
          <w:p w14:paraId="1EF50D44" w14:textId="77777777" w:rsidR="007523B8" w:rsidRPr="009E06AA" w:rsidRDefault="007523B8" w:rsidP="00E247AF">
            <w:pPr>
              <w:pStyle w:val="TableText"/>
              <w:spacing w:before="40" w:after="40"/>
              <w:jc w:val="right"/>
              <w:rPr>
                <w:highlight w:val="lightGray"/>
              </w:rPr>
            </w:pPr>
            <w:r w:rsidRPr="009E06AA">
              <w:rPr>
                <w:rFonts w:cs="Calibri"/>
                <w:color w:val="000000"/>
                <w:szCs w:val="16"/>
              </w:rPr>
              <w:t>67.9</w:t>
            </w:r>
          </w:p>
        </w:tc>
        <w:tc>
          <w:tcPr>
            <w:tcW w:w="1536" w:type="dxa"/>
            <w:vAlign w:val="center"/>
          </w:tcPr>
          <w:p w14:paraId="3A0AAD2D" w14:textId="77777777" w:rsidR="007523B8" w:rsidRPr="009E06AA" w:rsidRDefault="007523B8" w:rsidP="00E247AF">
            <w:pPr>
              <w:pStyle w:val="TableText"/>
              <w:spacing w:before="40" w:after="40"/>
              <w:jc w:val="right"/>
              <w:rPr>
                <w:highlight w:val="lightGray"/>
              </w:rPr>
            </w:pPr>
            <w:r w:rsidRPr="009E06AA">
              <w:rPr>
                <w:rFonts w:cs="Calibri"/>
                <w:color w:val="000000"/>
                <w:szCs w:val="16"/>
              </w:rPr>
              <w:t>12.1</w:t>
            </w:r>
          </w:p>
        </w:tc>
        <w:tc>
          <w:tcPr>
            <w:tcW w:w="1518" w:type="dxa"/>
            <w:vAlign w:val="center"/>
          </w:tcPr>
          <w:p w14:paraId="46A273C6" w14:textId="77777777" w:rsidR="007523B8" w:rsidRPr="009E06AA" w:rsidRDefault="007523B8" w:rsidP="00E247AF">
            <w:pPr>
              <w:pStyle w:val="TableText"/>
              <w:spacing w:before="40" w:after="40"/>
              <w:jc w:val="right"/>
              <w:rPr>
                <w:highlight w:val="lightGray"/>
              </w:rPr>
            </w:pPr>
            <w:r w:rsidRPr="009E06AA">
              <w:rPr>
                <w:rFonts w:cs="Calibri"/>
                <w:color w:val="000000"/>
                <w:szCs w:val="16"/>
              </w:rPr>
              <w:t>22.5</w:t>
            </w:r>
          </w:p>
        </w:tc>
      </w:tr>
      <w:tr w:rsidR="007523B8" w:rsidRPr="009E06AA" w14:paraId="7661952C" w14:textId="77777777" w:rsidTr="00B55F24">
        <w:trPr>
          <w:trHeight w:val="239"/>
        </w:trPr>
        <w:tc>
          <w:tcPr>
            <w:tcW w:w="988" w:type="dxa"/>
          </w:tcPr>
          <w:p w14:paraId="783BB0DA" w14:textId="77777777" w:rsidR="007523B8" w:rsidRPr="009E06AA" w:rsidRDefault="007523B8" w:rsidP="00B55F24">
            <w:pPr>
              <w:pStyle w:val="TableText"/>
              <w:spacing w:before="40" w:after="40"/>
              <w:rPr>
                <w:rFonts w:cs="Calibri"/>
                <w:szCs w:val="16"/>
              </w:rPr>
            </w:pPr>
            <w:r w:rsidRPr="009E06AA">
              <w:rPr>
                <w:rFonts w:cs="Calibri"/>
                <w:szCs w:val="16"/>
              </w:rPr>
              <w:t>2016</w:t>
            </w:r>
          </w:p>
        </w:tc>
        <w:tc>
          <w:tcPr>
            <w:tcW w:w="1489" w:type="dxa"/>
            <w:vAlign w:val="center"/>
          </w:tcPr>
          <w:p w14:paraId="24FC8B97" w14:textId="77777777" w:rsidR="007523B8" w:rsidRPr="009E06AA" w:rsidRDefault="007523B8" w:rsidP="00E247AF">
            <w:pPr>
              <w:pStyle w:val="TableText"/>
              <w:spacing w:before="40" w:after="40"/>
              <w:jc w:val="right"/>
              <w:rPr>
                <w:highlight w:val="lightGray"/>
              </w:rPr>
            </w:pPr>
            <w:r w:rsidRPr="009E06AA">
              <w:rPr>
                <w:rFonts w:cs="Calibri"/>
                <w:color w:val="000000"/>
                <w:szCs w:val="16"/>
              </w:rPr>
              <w:t>86.3</w:t>
            </w:r>
          </w:p>
        </w:tc>
        <w:tc>
          <w:tcPr>
            <w:tcW w:w="1487" w:type="dxa"/>
            <w:vAlign w:val="center"/>
          </w:tcPr>
          <w:p w14:paraId="0783E505" w14:textId="77777777" w:rsidR="007523B8" w:rsidRPr="009E06AA" w:rsidRDefault="007523B8" w:rsidP="00E247AF">
            <w:pPr>
              <w:pStyle w:val="TableText"/>
              <w:spacing w:before="40" w:after="40"/>
              <w:jc w:val="right"/>
              <w:rPr>
                <w:highlight w:val="lightGray"/>
              </w:rPr>
            </w:pPr>
            <w:r w:rsidRPr="009E06AA">
              <w:rPr>
                <w:rFonts w:cs="Calibri"/>
                <w:color w:val="000000"/>
                <w:szCs w:val="16"/>
              </w:rPr>
              <w:t>95.1</w:t>
            </w:r>
          </w:p>
        </w:tc>
        <w:tc>
          <w:tcPr>
            <w:tcW w:w="1487" w:type="dxa"/>
            <w:vAlign w:val="center"/>
          </w:tcPr>
          <w:p w14:paraId="69F59707" w14:textId="77777777" w:rsidR="007523B8" w:rsidRPr="009E06AA" w:rsidRDefault="007523B8" w:rsidP="00E247AF">
            <w:pPr>
              <w:pStyle w:val="TableText"/>
              <w:spacing w:before="40" w:after="40"/>
              <w:jc w:val="right"/>
              <w:rPr>
                <w:highlight w:val="lightGray"/>
              </w:rPr>
            </w:pPr>
            <w:r w:rsidRPr="009E06AA">
              <w:rPr>
                <w:rFonts w:cs="Calibri"/>
                <w:color w:val="000000"/>
                <w:szCs w:val="16"/>
              </w:rPr>
              <w:t>68.5</w:t>
            </w:r>
          </w:p>
        </w:tc>
        <w:tc>
          <w:tcPr>
            <w:tcW w:w="1536" w:type="dxa"/>
            <w:vAlign w:val="center"/>
          </w:tcPr>
          <w:p w14:paraId="0DAFD9D0" w14:textId="77777777" w:rsidR="007523B8" w:rsidRPr="009E06AA" w:rsidRDefault="007523B8" w:rsidP="00E247AF">
            <w:pPr>
              <w:pStyle w:val="TableText"/>
              <w:spacing w:before="40" w:after="40"/>
              <w:jc w:val="right"/>
              <w:rPr>
                <w:highlight w:val="lightGray"/>
              </w:rPr>
            </w:pPr>
            <w:r w:rsidRPr="009E06AA">
              <w:rPr>
                <w:rFonts w:cs="Calibri"/>
                <w:color w:val="000000"/>
                <w:szCs w:val="16"/>
              </w:rPr>
              <w:t>12.4</w:t>
            </w:r>
          </w:p>
        </w:tc>
        <w:tc>
          <w:tcPr>
            <w:tcW w:w="1518" w:type="dxa"/>
            <w:vAlign w:val="center"/>
          </w:tcPr>
          <w:p w14:paraId="2E43B41D" w14:textId="77777777" w:rsidR="007523B8" w:rsidRPr="009E06AA" w:rsidRDefault="007523B8" w:rsidP="00E247AF">
            <w:pPr>
              <w:pStyle w:val="TableText"/>
              <w:spacing w:before="40" w:after="40"/>
              <w:jc w:val="right"/>
              <w:rPr>
                <w:highlight w:val="lightGray"/>
              </w:rPr>
            </w:pPr>
            <w:r w:rsidRPr="009E06AA">
              <w:rPr>
                <w:rFonts w:cs="Calibri"/>
                <w:color w:val="000000"/>
                <w:szCs w:val="16"/>
              </w:rPr>
              <w:t>23.1</w:t>
            </w:r>
          </w:p>
        </w:tc>
      </w:tr>
      <w:tr w:rsidR="007523B8" w:rsidRPr="009E06AA" w14:paraId="5B9EB6A1" w14:textId="77777777" w:rsidTr="00B55F24">
        <w:trPr>
          <w:trHeight w:val="239"/>
        </w:trPr>
        <w:tc>
          <w:tcPr>
            <w:tcW w:w="988" w:type="dxa"/>
          </w:tcPr>
          <w:p w14:paraId="18A4B49E" w14:textId="77777777" w:rsidR="007523B8" w:rsidRPr="009E06AA" w:rsidRDefault="007523B8" w:rsidP="00B55F24">
            <w:pPr>
              <w:pStyle w:val="TableText"/>
              <w:spacing w:before="40" w:after="40"/>
              <w:rPr>
                <w:rFonts w:cs="Calibri"/>
                <w:szCs w:val="16"/>
              </w:rPr>
            </w:pPr>
            <w:r w:rsidRPr="009E06AA">
              <w:rPr>
                <w:rFonts w:cs="Calibri"/>
                <w:szCs w:val="16"/>
              </w:rPr>
              <w:t>2017</w:t>
            </w:r>
          </w:p>
        </w:tc>
        <w:tc>
          <w:tcPr>
            <w:tcW w:w="1489" w:type="dxa"/>
            <w:vAlign w:val="center"/>
          </w:tcPr>
          <w:p w14:paraId="01B1E027" w14:textId="77777777" w:rsidR="007523B8" w:rsidRPr="009E06AA" w:rsidRDefault="007523B8" w:rsidP="00E247AF">
            <w:pPr>
              <w:pStyle w:val="TableText"/>
              <w:spacing w:before="40" w:after="40"/>
              <w:jc w:val="right"/>
              <w:rPr>
                <w:highlight w:val="lightGray"/>
              </w:rPr>
            </w:pPr>
            <w:r w:rsidRPr="009E06AA">
              <w:rPr>
                <w:rFonts w:cs="Calibri"/>
                <w:color w:val="000000"/>
                <w:szCs w:val="16"/>
              </w:rPr>
              <w:t>87.8</w:t>
            </w:r>
          </w:p>
        </w:tc>
        <w:tc>
          <w:tcPr>
            <w:tcW w:w="1487" w:type="dxa"/>
            <w:vAlign w:val="center"/>
          </w:tcPr>
          <w:p w14:paraId="1FF0E7F9" w14:textId="77777777" w:rsidR="007523B8" w:rsidRPr="009E06AA" w:rsidRDefault="007523B8" w:rsidP="00E247AF">
            <w:pPr>
              <w:pStyle w:val="TableText"/>
              <w:spacing w:before="40" w:after="40"/>
              <w:jc w:val="right"/>
              <w:rPr>
                <w:highlight w:val="lightGray"/>
              </w:rPr>
            </w:pPr>
            <w:r w:rsidRPr="009E06AA">
              <w:rPr>
                <w:rFonts w:cs="Calibri"/>
                <w:color w:val="000000"/>
                <w:szCs w:val="16"/>
              </w:rPr>
              <w:t>92.7</w:t>
            </w:r>
          </w:p>
        </w:tc>
        <w:tc>
          <w:tcPr>
            <w:tcW w:w="1487" w:type="dxa"/>
            <w:vAlign w:val="center"/>
          </w:tcPr>
          <w:p w14:paraId="780010F3" w14:textId="77777777" w:rsidR="007523B8" w:rsidRPr="009E06AA" w:rsidRDefault="007523B8" w:rsidP="00E247AF">
            <w:pPr>
              <w:pStyle w:val="TableText"/>
              <w:spacing w:before="40" w:after="40"/>
              <w:jc w:val="right"/>
              <w:rPr>
                <w:highlight w:val="lightGray"/>
              </w:rPr>
            </w:pPr>
            <w:r w:rsidRPr="009E06AA">
              <w:rPr>
                <w:rFonts w:cs="Calibri"/>
                <w:color w:val="000000"/>
                <w:szCs w:val="16"/>
              </w:rPr>
              <w:t>67.3</w:t>
            </w:r>
          </w:p>
        </w:tc>
        <w:tc>
          <w:tcPr>
            <w:tcW w:w="1536" w:type="dxa"/>
            <w:vAlign w:val="center"/>
          </w:tcPr>
          <w:p w14:paraId="359734C9" w14:textId="77777777" w:rsidR="007523B8" w:rsidRPr="009E06AA" w:rsidRDefault="007523B8" w:rsidP="00E247AF">
            <w:pPr>
              <w:pStyle w:val="TableText"/>
              <w:spacing w:before="40" w:after="40"/>
              <w:jc w:val="right"/>
              <w:rPr>
                <w:highlight w:val="lightGray"/>
              </w:rPr>
            </w:pPr>
            <w:r w:rsidRPr="009E06AA">
              <w:rPr>
                <w:rFonts w:cs="Calibri"/>
                <w:color w:val="000000"/>
                <w:szCs w:val="16"/>
              </w:rPr>
              <w:t>12.4</w:t>
            </w:r>
          </w:p>
        </w:tc>
        <w:tc>
          <w:tcPr>
            <w:tcW w:w="1518" w:type="dxa"/>
            <w:vAlign w:val="center"/>
          </w:tcPr>
          <w:p w14:paraId="04D0DC43" w14:textId="77777777" w:rsidR="007523B8" w:rsidRPr="009E06AA" w:rsidRDefault="007523B8" w:rsidP="00E247AF">
            <w:pPr>
              <w:pStyle w:val="TableText"/>
              <w:tabs>
                <w:tab w:val="left" w:pos="402"/>
                <w:tab w:val="center" w:pos="643"/>
              </w:tabs>
              <w:spacing w:before="40" w:after="40"/>
              <w:jc w:val="right"/>
              <w:rPr>
                <w:highlight w:val="lightGray"/>
              </w:rPr>
            </w:pPr>
            <w:r w:rsidRPr="009E06AA">
              <w:rPr>
                <w:rFonts w:cs="Calibri"/>
                <w:color w:val="000000"/>
                <w:szCs w:val="16"/>
              </w:rPr>
              <w:t>22.9</w:t>
            </w:r>
          </w:p>
        </w:tc>
      </w:tr>
      <w:tr w:rsidR="007523B8" w:rsidRPr="009E06AA" w14:paraId="5956FC45" w14:textId="77777777" w:rsidTr="00B55F24">
        <w:trPr>
          <w:trHeight w:val="239"/>
        </w:trPr>
        <w:tc>
          <w:tcPr>
            <w:tcW w:w="988" w:type="dxa"/>
          </w:tcPr>
          <w:p w14:paraId="72D1127B" w14:textId="77777777" w:rsidR="007523B8" w:rsidRPr="009E06AA" w:rsidRDefault="007523B8" w:rsidP="00B55F24">
            <w:pPr>
              <w:pStyle w:val="TableText"/>
              <w:spacing w:before="40" w:after="40"/>
              <w:rPr>
                <w:rFonts w:cs="Calibri"/>
                <w:szCs w:val="16"/>
              </w:rPr>
            </w:pPr>
            <w:r w:rsidRPr="009E06AA">
              <w:rPr>
                <w:rFonts w:cs="Calibri"/>
                <w:szCs w:val="16"/>
              </w:rPr>
              <w:t>2018</w:t>
            </w:r>
          </w:p>
        </w:tc>
        <w:tc>
          <w:tcPr>
            <w:tcW w:w="1489" w:type="dxa"/>
            <w:vAlign w:val="center"/>
          </w:tcPr>
          <w:p w14:paraId="59BEEA46" w14:textId="77777777" w:rsidR="007523B8" w:rsidRPr="009E06AA" w:rsidRDefault="007523B8" w:rsidP="00E247AF">
            <w:pPr>
              <w:pStyle w:val="TableText"/>
              <w:spacing w:before="40" w:after="40"/>
              <w:jc w:val="right"/>
              <w:rPr>
                <w:highlight w:val="lightGray"/>
              </w:rPr>
            </w:pPr>
            <w:r w:rsidRPr="009E06AA">
              <w:rPr>
                <w:rFonts w:cs="Calibri"/>
                <w:color w:val="000000"/>
                <w:szCs w:val="16"/>
              </w:rPr>
              <w:t>90.3</w:t>
            </w:r>
          </w:p>
        </w:tc>
        <w:tc>
          <w:tcPr>
            <w:tcW w:w="1487" w:type="dxa"/>
            <w:vAlign w:val="center"/>
          </w:tcPr>
          <w:p w14:paraId="0C2E675C" w14:textId="77777777" w:rsidR="007523B8" w:rsidRPr="009E06AA" w:rsidRDefault="007523B8" w:rsidP="00E247AF">
            <w:pPr>
              <w:pStyle w:val="TableText"/>
              <w:spacing w:before="40" w:after="40"/>
              <w:jc w:val="right"/>
              <w:rPr>
                <w:highlight w:val="lightGray"/>
              </w:rPr>
            </w:pPr>
            <w:r w:rsidRPr="009E06AA">
              <w:rPr>
                <w:rFonts w:cs="Calibri"/>
                <w:color w:val="000000"/>
                <w:szCs w:val="16"/>
              </w:rPr>
              <w:t>96.5</w:t>
            </w:r>
          </w:p>
        </w:tc>
        <w:tc>
          <w:tcPr>
            <w:tcW w:w="1487" w:type="dxa"/>
            <w:vAlign w:val="center"/>
          </w:tcPr>
          <w:p w14:paraId="6B3FE56C" w14:textId="77777777" w:rsidR="007523B8" w:rsidRPr="009E06AA" w:rsidRDefault="007523B8" w:rsidP="00E247AF">
            <w:pPr>
              <w:pStyle w:val="TableText"/>
              <w:spacing w:before="40" w:after="40"/>
              <w:jc w:val="right"/>
              <w:rPr>
                <w:highlight w:val="lightGray"/>
              </w:rPr>
            </w:pPr>
            <w:r w:rsidRPr="009E06AA">
              <w:rPr>
                <w:rFonts w:cs="Calibri"/>
                <w:color w:val="000000"/>
                <w:szCs w:val="16"/>
              </w:rPr>
              <w:t>66.5</w:t>
            </w:r>
          </w:p>
        </w:tc>
        <w:tc>
          <w:tcPr>
            <w:tcW w:w="1536" w:type="dxa"/>
            <w:vAlign w:val="center"/>
          </w:tcPr>
          <w:p w14:paraId="0D51587F" w14:textId="77777777" w:rsidR="007523B8" w:rsidRPr="009E06AA" w:rsidRDefault="007523B8" w:rsidP="00E247AF">
            <w:pPr>
              <w:pStyle w:val="TableText"/>
              <w:spacing w:before="40" w:after="40"/>
              <w:jc w:val="right"/>
              <w:rPr>
                <w:highlight w:val="lightGray"/>
              </w:rPr>
            </w:pPr>
            <w:r w:rsidRPr="009E06AA">
              <w:rPr>
                <w:rFonts w:cs="Calibri"/>
                <w:color w:val="000000"/>
                <w:szCs w:val="16"/>
              </w:rPr>
              <w:t>12.5</w:t>
            </w:r>
          </w:p>
        </w:tc>
        <w:tc>
          <w:tcPr>
            <w:tcW w:w="1518" w:type="dxa"/>
            <w:vAlign w:val="center"/>
          </w:tcPr>
          <w:p w14:paraId="04BCC826" w14:textId="77777777" w:rsidR="007523B8" w:rsidRPr="009E06AA" w:rsidRDefault="007523B8" w:rsidP="00E247AF">
            <w:pPr>
              <w:pStyle w:val="TableText"/>
              <w:tabs>
                <w:tab w:val="left" w:pos="402"/>
                <w:tab w:val="center" w:pos="643"/>
              </w:tabs>
              <w:spacing w:before="40" w:after="40"/>
              <w:jc w:val="right"/>
              <w:rPr>
                <w:highlight w:val="lightGray"/>
              </w:rPr>
            </w:pPr>
            <w:r w:rsidRPr="009E06AA">
              <w:rPr>
                <w:rFonts w:cs="Calibri"/>
                <w:color w:val="000000"/>
                <w:szCs w:val="16"/>
              </w:rPr>
              <w:t>23.0</w:t>
            </w:r>
          </w:p>
        </w:tc>
      </w:tr>
      <w:tr w:rsidR="007523B8" w:rsidRPr="009E06AA" w14:paraId="1215A971" w14:textId="77777777" w:rsidTr="00B55F24">
        <w:trPr>
          <w:trHeight w:val="239"/>
        </w:trPr>
        <w:tc>
          <w:tcPr>
            <w:tcW w:w="988" w:type="dxa"/>
          </w:tcPr>
          <w:p w14:paraId="7918D22F" w14:textId="77777777" w:rsidR="007523B8" w:rsidRPr="009E06AA" w:rsidRDefault="007523B8" w:rsidP="00B55F24">
            <w:pPr>
              <w:pStyle w:val="TableText"/>
              <w:spacing w:before="40" w:after="40"/>
              <w:rPr>
                <w:rFonts w:cs="Calibri"/>
                <w:szCs w:val="16"/>
              </w:rPr>
            </w:pPr>
            <w:r w:rsidRPr="009E06AA">
              <w:rPr>
                <w:rFonts w:cs="Calibri"/>
                <w:szCs w:val="16"/>
              </w:rPr>
              <w:t>2019</w:t>
            </w:r>
          </w:p>
        </w:tc>
        <w:tc>
          <w:tcPr>
            <w:tcW w:w="1489" w:type="dxa"/>
            <w:vAlign w:val="center"/>
          </w:tcPr>
          <w:p w14:paraId="48443D39" w14:textId="77777777" w:rsidR="007523B8" w:rsidRPr="009E06AA" w:rsidRDefault="007523B8" w:rsidP="00E247AF">
            <w:pPr>
              <w:pStyle w:val="TableText"/>
              <w:spacing w:before="40" w:after="40"/>
              <w:jc w:val="right"/>
              <w:rPr>
                <w:highlight w:val="lightGray"/>
              </w:rPr>
            </w:pPr>
            <w:r w:rsidRPr="009E06AA">
              <w:rPr>
                <w:rFonts w:cs="Calibri"/>
                <w:color w:val="000000"/>
                <w:szCs w:val="16"/>
              </w:rPr>
              <w:t>91.5</w:t>
            </w:r>
          </w:p>
        </w:tc>
        <w:tc>
          <w:tcPr>
            <w:tcW w:w="1487" w:type="dxa"/>
            <w:vAlign w:val="center"/>
          </w:tcPr>
          <w:p w14:paraId="7CEDA020" w14:textId="77777777" w:rsidR="007523B8" w:rsidRPr="009E06AA" w:rsidRDefault="007523B8" w:rsidP="00E247AF">
            <w:pPr>
              <w:pStyle w:val="TableText"/>
              <w:spacing w:before="40" w:after="40"/>
              <w:jc w:val="right"/>
              <w:rPr>
                <w:highlight w:val="lightGray"/>
              </w:rPr>
            </w:pPr>
            <w:r w:rsidRPr="009E06AA">
              <w:rPr>
                <w:rFonts w:cs="Calibri"/>
                <w:color w:val="000000"/>
                <w:szCs w:val="16"/>
              </w:rPr>
              <w:t>96.8</w:t>
            </w:r>
          </w:p>
        </w:tc>
        <w:tc>
          <w:tcPr>
            <w:tcW w:w="1487" w:type="dxa"/>
            <w:vAlign w:val="center"/>
          </w:tcPr>
          <w:p w14:paraId="4324E575" w14:textId="77777777" w:rsidR="007523B8" w:rsidRPr="009E06AA" w:rsidRDefault="007523B8" w:rsidP="00E247AF">
            <w:pPr>
              <w:pStyle w:val="TableText"/>
              <w:spacing w:before="40" w:after="40"/>
              <w:jc w:val="right"/>
              <w:rPr>
                <w:highlight w:val="lightGray"/>
              </w:rPr>
            </w:pPr>
            <w:r w:rsidRPr="009E06AA">
              <w:rPr>
                <w:rFonts w:cs="Calibri"/>
                <w:color w:val="000000"/>
                <w:szCs w:val="16"/>
              </w:rPr>
              <w:t>66.9</w:t>
            </w:r>
          </w:p>
        </w:tc>
        <w:tc>
          <w:tcPr>
            <w:tcW w:w="1536" w:type="dxa"/>
            <w:vAlign w:val="center"/>
          </w:tcPr>
          <w:p w14:paraId="7983A0D4" w14:textId="77777777" w:rsidR="007523B8" w:rsidRPr="009E06AA" w:rsidRDefault="007523B8" w:rsidP="00E247AF">
            <w:pPr>
              <w:pStyle w:val="TableText"/>
              <w:spacing w:before="40" w:after="40"/>
              <w:jc w:val="right"/>
              <w:rPr>
                <w:highlight w:val="lightGray"/>
              </w:rPr>
            </w:pPr>
            <w:r w:rsidRPr="009E06AA">
              <w:rPr>
                <w:rFonts w:cs="Calibri"/>
                <w:color w:val="000000"/>
                <w:szCs w:val="16"/>
              </w:rPr>
              <w:t>12.6</w:t>
            </w:r>
          </w:p>
        </w:tc>
        <w:tc>
          <w:tcPr>
            <w:tcW w:w="1518" w:type="dxa"/>
            <w:vAlign w:val="center"/>
          </w:tcPr>
          <w:p w14:paraId="49BDD15D" w14:textId="77777777" w:rsidR="007523B8" w:rsidRPr="009E06AA" w:rsidRDefault="007523B8" w:rsidP="00E247AF">
            <w:pPr>
              <w:pStyle w:val="TableText"/>
              <w:tabs>
                <w:tab w:val="left" w:pos="402"/>
                <w:tab w:val="center" w:pos="643"/>
              </w:tabs>
              <w:spacing w:before="40" w:after="40"/>
              <w:jc w:val="right"/>
              <w:rPr>
                <w:highlight w:val="lightGray"/>
              </w:rPr>
            </w:pPr>
            <w:r w:rsidRPr="009E06AA">
              <w:rPr>
                <w:rFonts w:cs="Calibri"/>
                <w:color w:val="000000"/>
                <w:szCs w:val="16"/>
              </w:rPr>
              <w:t>23.5</w:t>
            </w:r>
          </w:p>
        </w:tc>
      </w:tr>
      <w:tr w:rsidR="007523B8" w:rsidRPr="009E06AA" w14:paraId="5E4CA610" w14:textId="77777777" w:rsidTr="00B55F24">
        <w:trPr>
          <w:trHeight w:val="239"/>
        </w:trPr>
        <w:tc>
          <w:tcPr>
            <w:tcW w:w="988" w:type="dxa"/>
          </w:tcPr>
          <w:p w14:paraId="6412008E" w14:textId="77777777" w:rsidR="007523B8" w:rsidRPr="009E06AA" w:rsidRDefault="007523B8" w:rsidP="00B55F24">
            <w:pPr>
              <w:pStyle w:val="TableText"/>
              <w:spacing w:before="40" w:after="40"/>
              <w:rPr>
                <w:rFonts w:cs="Calibri"/>
                <w:szCs w:val="16"/>
              </w:rPr>
            </w:pPr>
            <w:r w:rsidRPr="009E06AA">
              <w:rPr>
                <w:rFonts w:cs="Calibri"/>
                <w:szCs w:val="16"/>
              </w:rPr>
              <w:t>2020</w:t>
            </w:r>
          </w:p>
        </w:tc>
        <w:tc>
          <w:tcPr>
            <w:tcW w:w="1489" w:type="dxa"/>
            <w:vAlign w:val="center"/>
          </w:tcPr>
          <w:p w14:paraId="21AC43BF" w14:textId="77777777" w:rsidR="007523B8" w:rsidRPr="009E06AA" w:rsidRDefault="007523B8" w:rsidP="00E247AF">
            <w:pPr>
              <w:pStyle w:val="TableText"/>
              <w:spacing w:before="40" w:after="40"/>
              <w:jc w:val="right"/>
              <w:rPr>
                <w:highlight w:val="lightGray"/>
              </w:rPr>
            </w:pPr>
            <w:r w:rsidRPr="009E06AA">
              <w:rPr>
                <w:rFonts w:cs="Calibri"/>
                <w:color w:val="000000"/>
                <w:szCs w:val="16"/>
              </w:rPr>
              <w:t>92.2</w:t>
            </w:r>
          </w:p>
        </w:tc>
        <w:tc>
          <w:tcPr>
            <w:tcW w:w="1487" w:type="dxa"/>
            <w:vAlign w:val="center"/>
          </w:tcPr>
          <w:p w14:paraId="68AFA909" w14:textId="77777777" w:rsidR="007523B8" w:rsidRPr="009E06AA" w:rsidRDefault="007523B8" w:rsidP="00E247AF">
            <w:pPr>
              <w:pStyle w:val="TableText"/>
              <w:spacing w:before="40" w:after="40"/>
              <w:jc w:val="right"/>
              <w:rPr>
                <w:highlight w:val="lightGray"/>
              </w:rPr>
            </w:pPr>
            <w:r w:rsidRPr="009E06AA">
              <w:rPr>
                <w:rFonts w:cs="Calibri"/>
                <w:color w:val="000000"/>
                <w:szCs w:val="16"/>
              </w:rPr>
              <w:t>99.5</w:t>
            </w:r>
          </w:p>
        </w:tc>
        <w:tc>
          <w:tcPr>
            <w:tcW w:w="1487" w:type="dxa"/>
            <w:vAlign w:val="center"/>
          </w:tcPr>
          <w:p w14:paraId="35F4B661" w14:textId="77777777" w:rsidR="007523B8" w:rsidRPr="009E06AA" w:rsidRDefault="007523B8" w:rsidP="00E247AF">
            <w:pPr>
              <w:pStyle w:val="TableText"/>
              <w:spacing w:before="40" w:after="40"/>
              <w:jc w:val="right"/>
              <w:rPr>
                <w:highlight w:val="lightGray"/>
              </w:rPr>
            </w:pPr>
            <w:r w:rsidRPr="009E06AA">
              <w:rPr>
                <w:rFonts w:cs="Calibri"/>
                <w:color w:val="000000"/>
                <w:szCs w:val="16"/>
              </w:rPr>
              <w:t>68.6</w:t>
            </w:r>
          </w:p>
        </w:tc>
        <w:tc>
          <w:tcPr>
            <w:tcW w:w="1536" w:type="dxa"/>
            <w:vAlign w:val="center"/>
          </w:tcPr>
          <w:p w14:paraId="0805879A" w14:textId="77777777" w:rsidR="007523B8" w:rsidRPr="009E06AA" w:rsidRDefault="007523B8" w:rsidP="00E247AF">
            <w:pPr>
              <w:pStyle w:val="TableText"/>
              <w:spacing w:before="40" w:after="40"/>
              <w:jc w:val="right"/>
              <w:rPr>
                <w:highlight w:val="lightGray"/>
              </w:rPr>
            </w:pPr>
            <w:r w:rsidRPr="009E06AA">
              <w:rPr>
                <w:rFonts w:cs="Calibri"/>
                <w:color w:val="000000"/>
                <w:szCs w:val="16"/>
              </w:rPr>
              <w:t>12.6</w:t>
            </w:r>
          </w:p>
        </w:tc>
        <w:tc>
          <w:tcPr>
            <w:tcW w:w="1518" w:type="dxa"/>
            <w:vAlign w:val="center"/>
          </w:tcPr>
          <w:p w14:paraId="572FC2AF" w14:textId="77777777" w:rsidR="007523B8" w:rsidRPr="009E06AA" w:rsidRDefault="007523B8" w:rsidP="00E247AF">
            <w:pPr>
              <w:pStyle w:val="TableText"/>
              <w:tabs>
                <w:tab w:val="left" w:pos="402"/>
                <w:tab w:val="center" w:pos="643"/>
              </w:tabs>
              <w:spacing w:before="40" w:after="40"/>
              <w:jc w:val="right"/>
              <w:rPr>
                <w:highlight w:val="lightGray"/>
              </w:rPr>
            </w:pPr>
            <w:r w:rsidRPr="009E06AA">
              <w:rPr>
                <w:rFonts w:cs="Calibri"/>
                <w:color w:val="000000"/>
                <w:szCs w:val="16"/>
              </w:rPr>
              <w:t>23.2</w:t>
            </w:r>
          </w:p>
        </w:tc>
      </w:tr>
      <w:tr w:rsidR="007523B8" w:rsidRPr="009E06AA" w14:paraId="5C00B8F3" w14:textId="77777777" w:rsidTr="00B55F24">
        <w:trPr>
          <w:trHeight w:val="239"/>
        </w:trPr>
        <w:tc>
          <w:tcPr>
            <w:tcW w:w="988" w:type="dxa"/>
          </w:tcPr>
          <w:p w14:paraId="3D8BA2A2" w14:textId="77777777" w:rsidR="007523B8" w:rsidRPr="009E06AA" w:rsidRDefault="007523B8" w:rsidP="00B55F24">
            <w:pPr>
              <w:pStyle w:val="TableText"/>
              <w:spacing w:before="40" w:after="40"/>
              <w:rPr>
                <w:rFonts w:cs="Calibri"/>
                <w:szCs w:val="16"/>
              </w:rPr>
            </w:pPr>
            <w:r w:rsidRPr="009E06AA">
              <w:rPr>
                <w:rFonts w:cs="Calibri"/>
                <w:szCs w:val="16"/>
              </w:rPr>
              <w:t>2021</w:t>
            </w:r>
          </w:p>
        </w:tc>
        <w:tc>
          <w:tcPr>
            <w:tcW w:w="1489" w:type="dxa"/>
            <w:vAlign w:val="center"/>
          </w:tcPr>
          <w:p w14:paraId="30EAED21" w14:textId="77777777" w:rsidR="007523B8" w:rsidRPr="009E06AA" w:rsidRDefault="007523B8" w:rsidP="00E247AF">
            <w:pPr>
              <w:pStyle w:val="TableText"/>
              <w:spacing w:before="40" w:after="40"/>
              <w:jc w:val="right"/>
              <w:rPr>
                <w:highlight w:val="lightGray"/>
              </w:rPr>
            </w:pPr>
            <w:r w:rsidRPr="009E06AA">
              <w:rPr>
                <w:rFonts w:cs="Calibri"/>
                <w:color w:val="000000"/>
                <w:szCs w:val="16"/>
              </w:rPr>
              <w:t>92.3</w:t>
            </w:r>
          </w:p>
        </w:tc>
        <w:tc>
          <w:tcPr>
            <w:tcW w:w="1487" w:type="dxa"/>
            <w:vAlign w:val="center"/>
          </w:tcPr>
          <w:p w14:paraId="3F97E162" w14:textId="77777777" w:rsidR="007523B8" w:rsidRPr="009E06AA" w:rsidRDefault="007523B8" w:rsidP="00E247AF">
            <w:pPr>
              <w:pStyle w:val="TableText"/>
              <w:spacing w:before="40" w:after="40"/>
              <w:jc w:val="right"/>
              <w:rPr>
                <w:highlight w:val="lightGray"/>
              </w:rPr>
            </w:pPr>
            <w:r w:rsidRPr="009E06AA">
              <w:rPr>
                <w:rFonts w:cs="Calibri"/>
                <w:color w:val="000000"/>
                <w:szCs w:val="16"/>
              </w:rPr>
              <w:t>99.8</w:t>
            </w:r>
          </w:p>
        </w:tc>
        <w:tc>
          <w:tcPr>
            <w:tcW w:w="1487" w:type="dxa"/>
            <w:vAlign w:val="center"/>
          </w:tcPr>
          <w:p w14:paraId="40AE30A3" w14:textId="77777777" w:rsidR="007523B8" w:rsidRPr="009E06AA" w:rsidRDefault="007523B8" w:rsidP="00E247AF">
            <w:pPr>
              <w:pStyle w:val="TableText"/>
              <w:spacing w:before="40" w:after="40"/>
              <w:jc w:val="right"/>
              <w:rPr>
                <w:highlight w:val="lightGray"/>
              </w:rPr>
            </w:pPr>
            <w:r w:rsidRPr="009E06AA">
              <w:rPr>
                <w:rFonts w:cs="Calibri"/>
                <w:color w:val="000000"/>
                <w:szCs w:val="16"/>
              </w:rPr>
              <w:t>66.8</w:t>
            </w:r>
          </w:p>
        </w:tc>
        <w:tc>
          <w:tcPr>
            <w:tcW w:w="1536" w:type="dxa"/>
            <w:vAlign w:val="center"/>
          </w:tcPr>
          <w:p w14:paraId="758CB45A" w14:textId="77777777" w:rsidR="007523B8" w:rsidRPr="009E06AA" w:rsidRDefault="007523B8" w:rsidP="00E247AF">
            <w:pPr>
              <w:pStyle w:val="TableText"/>
              <w:spacing w:before="40" w:after="40"/>
              <w:jc w:val="right"/>
              <w:rPr>
                <w:highlight w:val="lightGray"/>
              </w:rPr>
            </w:pPr>
            <w:r w:rsidRPr="009E06AA">
              <w:rPr>
                <w:rFonts w:cs="Calibri"/>
                <w:color w:val="000000"/>
                <w:szCs w:val="16"/>
              </w:rPr>
              <w:t>12.5</w:t>
            </w:r>
          </w:p>
        </w:tc>
        <w:tc>
          <w:tcPr>
            <w:tcW w:w="1518" w:type="dxa"/>
            <w:vAlign w:val="center"/>
          </w:tcPr>
          <w:p w14:paraId="31EFEA6A" w14:textId="77777777" w:rsidR="007523B8" w:rsidRPr="009E06AA" w:rsidRDefault="007523B8" w:rsidP="00E247AF">
            <w:pPr>
              <w:pStyle w:val="TableText"/>
              <w:tabs>
                <w:tab w:val="left" w:pos="402"/>
                <w:tab w:val="center" w:pos="643"/>
              </w:tabs>
              <w:spacing w:before="40" w:after="40"/>
              <w:jc w:val="right"/>
              <w:rPr>
                <w:highlight w:val="lightGray"/>
              </w:rPr>
            </w:pPr>
            <w:r w:rsidRPr="009E06AA">
              <w:rPr>
                <w:rFonts w:cs="Calibri"/>
                <w:color w:val="000000"/>
                <w:szCs w:val="16"/>
              </w:rPr>
              <w:t>23.2</w:t>
            </w:r>
          </w:p>
        </w:tc>
      </w:tr>
      <w:tr w:rsidR="007523B8" w:rsidRPr="009E06AA" w14:paraId="71DA5EFB" w14:textId="77777777" w:rsidTr="00B55F24">
        <w:trPr>
          <w:trHeight w:val="239"/>
        </w:trPr>
        <w:tc>
          <w:tcPr>
            <w:tcW w:w="988" w:type="dxa"/>
          </w:tcPr>
          <w:p w14:paraId="22C43751" w14:textId="77777777" w:rsidR="007523B8" w:rsidRPr="009E06AA" w:rsidRDefault="007523B8" w:rsidP="00B55F24">
            <w:pPr>
              <w:pStyle w:val="TableText"/>
              <w:spacing w:before="40" w:after="40"/>
              <w:rPr>
                <w:rFonts w:cs="Calibri"/>
                <w:szCs w:val="16"/>
              </w:rPr>
            </w:pPr>
            <w:r w:rsidRPr="009E06AA">
              <w:rPr>
                <w:rFonts w:cs="Calibri"/>
                <w:szCs w:val="16"/>
              </w:rPr>
              <w:t>2022</w:t>
            </w:r>
          </w:p>
        </w:tc>
        <w:tc>
          <w:tcPr>
            <w:tcW w:w="1489" w:type="dxa"/>
            <w:vAlign w:val="center"/>
          </w:tcPr>
          <w:p w14:paraId="5C8AEDA0" w14:textId="77777777" w:rsidR="007523B8" w:rsidRPr="009E06AA" w:rsidRDefault="007523B8" w:rsidP="00E247AF">
            <w:pPr>
              <w:pStyle w:val="TableText"/>
              <w:spacing w:before="40" w:after="40"/>
              <w:jc w:val="right"/>
              <w:rPr>
                <w:rFonts w:cs="Calibri"/>
                <w:color w:val="000000"/>
                <w:szCs w:val="16"/>
                <w:highlight w:val="lightGray"/>
              </w:rPr>
            </w:pPr>
            <w:r w:rsidRPr="009E06AA">
              <w:rPr>
                <w:rFonts w:cs="Calibri"/>
                <w:color w:val="000000"/>
                <w:szCs w:val="16"/>
              </w:rPr>
              <w:t>93.8</w:t>
            </w:r>
          </w:p>
        </w:tc>
        <w:tc>
          <w:tcPr>
            <w:tcW w:w="1487" w:type="dxa"/>
            <w:vAlign w:val="center"/>
          </w:tcPr>
          <w:p w14:paraId="58CAECBD" w14:textId="77777777" w:rsidR="007523B8" w:rsidRPr="009E06AA" w:rsidRDefault="007523B8" w:rsidP="00E247AF">
            <w:pPr>
              <w:pStyle w:val="TableText"/>
              <w:spacing w:before="40" w:after="40"/>
              <w:jc w:val="right"/>
              <w:rPr>
                <w:rFonts w:cs="Calibri"/>
                <w:color w:val="000000"/>
                <w:szCs w:val="16"/>
                <w:highlight w:val="lightGray"/>
              </w:rPr>
            </w:pPr>
            <w:r w:rsidRPr="009E06AA">
              <w:rPr>
                <w:rFonts w:cs="Calibri"/>
                <w:color w:val="000000"/>
                <w:szCs w:val="16"/>
              </w:rPr>
              <w:t>100.7</w:t>
            </w:r>
          </w:p>
        </w:tc>
        <w:tc>
          <w:tcPr>
            <w:tcW w:w="1487" w:type="dxa"/>
            <w:vAlign w:val="center"/>
          </w:tcPr>
          <w:p w14:paraId="7BE8F1C9" w14:textId="77777777" w:rsidR="007523B8" w:rsidRPr="009E06AA" w:rsidRDefault="007523B8" w:rsidP="00E247AF">
            <w:pPr>
              <w:pStyle w:val="TableText"/>
              <w:spacing w:before="40" w:after="40"/>
              <w:jc w:val="right"/>
              <w:rPr>
                <w:rFonts w:cs="Calibri"/>
                <w:color w:val="000000"/>
                <w:szCs w:val="16"/>
                <w:highlight w:val="lightGray"/>
              </w:rPr>
            </w:pPr>
            <w:r w:rsidRPr="009E06AA">
              <w:rPr>
                <w:rFonts w:cs="Calibri"/>
                <w:color w:val="000000"/>
                <w:szCs w:val="16"/>
              </w:rPr>
              <w:t>66.1</w:t>
            </w:r>
          </w:p>
        </w:tc>
        <w:tc>
          <w:tcPr>
            <w:tcW w:w="1536" w:type="dxa"/>
            <w:vAlign w:val="center"/>
          </w:tcPr>
          <w:p w14:paraId="3290B823" w14:textId="77777777" w:rsidR="007523B8" w:rsidRPr="009E06AA" w:rsidRDefault="007523B8" w:rsidP="00E247AF">
            <w:pPr>
              <w:pStyle w:val="TableText"/>
              <w:spacing w:before="40" w:after="40"/>
              <w:jc w:val="right"/>
              <w:rPr>
                <w:rFonts w:cs="Calibri"/>
                <w:color w:val="000000"/>
                <w:highlight w:val="lightGray"/>
              </w:rPr>
            </w:pPr>
            <w:r w:rsidRPr="009E06AA">
              <w:rPr>
                <w:rFonts w:cs="Calibri"/>
                <w:color w:val="000000"/>
                <w:szCs w:val="16"/>
              </w:rPr>
              <w:t>12.5</w:t>
            </w:r>
          </w:p>
        </w:tc>
        <w:tc>
          <w:tcPr>
            <w:tcW w:w="1518" w:type="dxa"/>
            <w:vAlign w:val="center"/>
          </w:tcPr>
          <w:p w14:paraId="74F4E3F7" w14:textId="77777777" w:rsidR="007523B8" w:rsidRPr="009E06AA" w:rsidRDefault="007523B8" w:rsidP="00E247AF">
            <w:pPr>
              <w:pStyle w:val="TableText"/>
              <w:tabs>
                <w:tab w:val="left" w:pos="402"/>
                <w:tab w:val="center" w:pos="643"/>
              </w:tabs>
              <w:spacing w:before="40" w:after="40"/>
              <w:jc w:val="right"/>
              <w:rPr>
                <w:rFonts w:cs="Calibri"/>
                <w:color w:val="000000"/>
                <w:szCs w:val="16"/>
                <w:highlight w:val="lightGray"/>
              </w:rPr>
            </w:pPr>
            <w:r w:rsidRPr="009E06AA">
              <w:rPr>
                <w:rFonts w:cs="Calibri"/>
                <w:color w:val="000000"/>
                <w:szCs w:val="16"/>
              </w:rPr>
              <w:t>22.9</w:t>
            </w:r>
          </w:p>
        </w:tc>
      </w:tr>
    </w:tbl>
    <w:p w14:paraId="617AC4E2" w14:textId="77777777" w:rsidR="007523B8" w:rsidRPr="009E06AA" w:rsidRDefault="007523B8" w:rsidP="007523B8">
      <w:pPr>
        <w:pStyle w:val="Heading4"/>
        <w:spacing w:before="360"/>
      </w:pPr>
      <w:r w:rsidRPr="009E06AA">
        <w:t>Emissions from minor livestock categories</w:t>
      </w:r>
    </w:p>
    <w:p w14:paraId="3DDFFC20" w14:textId="77777777" w:rsidR="007523B8" w:rsidRPr="009E06AA" w:rsidRDefault="007523B8" w:rsidP="00C206A0">
      <w:pPr>
        <w:pStyle w:val="BodyText"/>
        <w:spacing w:before="100" w:after="100"/>
      </w:pPr>
      <w:r w:rsidRPr="009E06AA">
        <w:t xml:space="preserve">A Tier 1 approach is adopted for the minor livestock categories of </w:t>
      </w:r>
      <w:r w:rsidRPr="009E06AA">
        <w:rPr>
          <w:i/>
          <w:iCs/>
        </w:rPr>
        <w:t>Goats</w:t>
      </w:r>
      <w:r w:rsidRPr="009E06AA">
        <w:t xml:space="preserve">, </w:t>
      </w:r>
      <w:r w:rsidRPr="009E06AA">
        <w:rPr>
          <w:i/>
          <w:iCs/>
        </w:rPr>
        <w:t>Horses</w:t>
      </w:r>
      <w:r w:rsidRPr="009E06AA">
        <w:t xml:space="preserve">, </w:t>
      </w:r>
      <w:r w:rsidRPr="009E06AA">
        <w:rPr>
          <w:i/>
          <w:iCs/>
        </w:rPr>
        <w:t>Swine</w:t>
      </w:r>
      <w:r w:rsidRPr="009E06AA">
        <w:t xml:space="preserve">, </w:t>
      </w:r>
      <w:r w:rsidRPr="009E06AA">
        <w:rPr>
          <w:i/>
          <w:iCs/>
        </w:rPr>
        <w:t>Llamas and alpacas</w:t>
      </w:r>
      <w:r w:rsidRPr="009E06AA">
        <w:t xml:space="preserve">, and </w:t>
      </w:r>
      <w:r w:rsidRPr="009E06AA">
        <w:rPr>
          <w:i/>
          <w:iCs/>
        </w:rPr>
        <w:t>Mules and asses</w:t>
      </w:r>
      <w:r w:rsidRPr="009E06AA">
        <w:t xml:space="preserve">, using either IPCC (2006) default emission factors (horses, llamas and alpacas, and mules and asses) or </w:t>
      </w:r>
      <w:r w:rsidRPr="009E06AA" w:rsidDel="00080AA9">
        <w:t>New</w:t>
      </w:r>
      <w:r w:rsidRPr="009E06AA">
        <w:t xml:space="preserve"> Zealand country-specific emission factors (goats and swine). These minor livestock species comprised 0.1 per cent of the total </w:t>
      </w:r>
      <w:r w:rsidRPr="009E06AA">
        <w:rPr>
          <w:i/>
          <w:iCs/>
        </w:rPr>
        <w:t>Enteric fermentation</w:t>
      </w:r>
      <w:r w:rsidRPr="009E06AA">
        <w:t xml:space="preserve"> emissions in 2022. The populations of goats, horses, pigs, llamas and alpacas, and mules and asses are reported using the statistics and assumptions described in section 5.1.4.</w:t>
      </w:r>
    </w:p>
    <w:p w14:paraId="54D8324A" w14:textId="77777777" w:rsidR="007523B8" w:rsidRPr="009E06AA" w:rsidRDefault="007523B8" w:rsidP="00C206A0">
      <w:pPr>
        <w:pStyle w:val="BodyText"/>
        <w:spacing w:before="100" w:after="100"/>
      </w:pPr>
      <w:r w:rsidRPr="009E06AA">
        <w:rPr>
          <w:b/>
          <w:bCs/>
          <w:i/>
          <w:iCs/>
        </w:rPr>
        <w:t>Goats:</w:t>
      </w:r>
      <w:r w:rsidRPr="009E06AA">
        <w:t xml:space="preserve"> New Zealand uses a Tier 1 approach with country-specific emission factors to determine enteric fermentation emissions from goats. From 1990 to 2022, the domesticated goat population declined from 1,062,900 to 88,428. This was largely driven by a decrease in demand for goat fibre and meat. New Zealand uses a country-specific emission factor for goats for enteric fermentation of 7.4 kg CH</w:t>
      </w:r>
      <w:r w:rsidRPr="009E06AA">
        <w:rPr>
          <w:vertAlign w:val="subscript"/>
        </w:rPr>
        <w:t>4</w:t>
      </w:r>
      <w:r w:rsidRPr="009E06AA">
        <w:t xml:space="preserve"> head</w:t>
      </w:r>
      <w:r w:rsidRPr="009E06AA">
        <w:rPr>
          <w:vertAlign w:val="superscript"/>
        </w:rPr>
        <w:t>-1</w:t>
      </w:r>
      <w:r w:rsidRPr="009E06AA">
        <w:t xml:space="preserve"> year</w:t>
      </w:r>
      <w:r w:rsidRPr="009E06AA">
        <w:rPr>
          <w:vertAlign w:val="superscript"/>
        </w:rPr>
        <w:t>-1</w:t>
      </w:r>
      <w:r w:rsidRPr="009E06AA">
        <w:t xml:space="preserve"> for 1990 and 8.5 kg CH</w:t>
      </w:r>
      <w:r w:rsidRPr="009E06AA">
        <w:rPr>
          <w:vertAlign w:val="subscript"/>
        </w:rPr>
        <w:t>4</w:t>
      </w:r>
      <w:r w:rsidRPr="009E06AA">
        <w:t xml:space="preserve"> head</w:t>
      </w:r>
      <w:r w:rsidRPr="009E06AA">
        <w:rPr>
          <w:vertAlign w:val="superscript"/>
        </w:rPr>
        <w:t>-1</w:t>
      </w:r>
      <w:r w:rsidRPr="009E06AA">
        <w:t xml:space="preserve"> year</w:t>
      </w:r>
      <w:r w:rsidRPr="009E06AA">
        <w:rPr>
          <w:vertAlign w:val="superscript"/>
        </w:rPr>
        <w:t>-1</w:t>
      </w:r>
      <w:r w:rsidRPr="009E06AA">
        <w:t xml:space="preserve"> for 2009 based on the differing population characteristics for those two years (Lassey, 2011). For the intermediate years between 1990 and 2009 and for 2010 to 2021, the emission factor is calculated based on the goat population, with the assumption that the dairy goat population has remained relatively consistent over time while the rest of the goat population has declined (Burggraaf et al., unpublished). The emission factor in 2022 was calculated to be 9.0 kg CH</w:t>
      </w:r>
      <w:r w:rsidRPr="009E06AA">
        <w:rPr>
          <w:vertAlign w:val="subscript"/>
        </w:rPr>
        <w:t>4</w:t>
      </w:r>
      <w:r w:rsidRPr="009E06AA">
        <w:t xml:space="preserve"> head</w:t>
      </w:r>
      <w:r w:rsidRPr="009E06AA">
        <w:rPr>
          <w:vertAlign w:val="superscript"/>
        </w:rPr>
        <w:t>-1</w:t>
      </w:r>
      <w:r w:rsidRPr="009E06AA">
        <w:t xml:space="preserve"> year</w:t>
      </w:r>
      <w:r w:rsidRPr="009E06AA">
        <w:rPr>
          <w:vertAlign w:val="superscript"/>
        </w:rPr>
        <w:t>-1</w:t>
      </w:r>
      <w:r w:rsidRPr="009E06AA">
        <w:t>. This is higher than the IPCC (2006) default value for goats for developed countries, which is 5.0 kg CH</w:t>
      </w:r>
      <w:r w:rsidRPr="009E06AA">
        <w:rPr>
          <w:vertAlign w:val="subscript"/>
        </w:rPr>
        <w:t>4</w:t>
      </w:r>
      <w:r w:rsidRPr="009E06AA">
        <w:t xml:space="preserve"> head</w:t>
      </w:r>
      <w:r w:rsidRPr="009E06AA">
        <w:rPr>
          <w:vertAlign w:val="superscript"/>
        </w:rPr>
        <w:t>-1</w:t>
      </w:r>
      <w:r w:rsidRPr="009E06AA">
        <w:t xml:space="preserve"> year</w:t>
      </w:r>
      <w:r w:rsidRPr="009E06AA">
        <w:rPr>
          <w:vertAlign w:val="superscript"/>
        </w:rPr>
        <w:t>-1</w:t>
      </w:r>
      <w:r w:rsidRPr="009E06AA">
        <w:t xml:space="preserve">. </w:t>
      </w:r>
    </w:p>
    <w:p w14:paraId="050E127C" w14:textId="77777777" w:rsidR="007523B8" w:rsidRPr="009E06AA" w:rsidRDefault="007523B8" w:rsidP="00C206A0">
      <w:pPr>
        <w:pStyle w:val="BodyText"/>
        <w:spacing w:before="100" w:after="100"/>
      </w:pPr>
      <w:r w:rsidRPr="009E06AA">
        <w:rPr>
          <w:b/>
          <w:bCs/>
          <w:i/>
          <w:iCs/>
          <w:spacing w:val="-2"/>
        </w:rPr>
        <w:t>Swine:</w:t>
      </w:r>
      <w:r w:rsidRPr="009E06AA">
        <w:rPr>
          <w:spacing w:val="-2"/>
        </w:rPr>
        <w:t xml:space="preserve"> </w:t>
      </w:r>
      <w:r w:rsidRPr="009E06AA">
        <w:t>New Zealand</w:t>
      </w:r>
      <w:r w:rsidRPr="009E06AA">
        <w:rPr>
          <w:spacing w:val="-2"/>
        </w:rPr>
        <w:t xml:space="preserve"> uses a Tier 1 approach with country-specific emission factors to determine</w:t>
      </w:r>
      <w:r w:rsidRPr="009E06AA">
        <w:t xml:space="preserve"> enteric fermentation emissions from swine and emissions from swine manure management. The country-specific emission factor used for enteric fermentation is 1.06 kg CH</w:t>
      </w:r>
      <w:r w:rsidRPr="009E06AA">
        <w:rPr>
          <w:vertAlign w:val="subscript"/>
        </w:rPr>
        <w:t>4</w:t>
      </w:r>
      <w:r w:rsidRPr="009E06AA">
        <w:t xml:space="preserve"> head</w:t>
      </w:r>
      <w:r w:rsidRPr="009E06AA">
        <w:rPr>
          <w:vertAlign w:val="superscript"/>
        </w:rPr>
        <w:t>-1</w:t>
      </w:r>
      <w:r w:rsidRPr="009E06AA">
        <w:t xml:space="preserve"> year</w:t>
      </w:r>
      <w:r w:rsidRPr="009E06AA">
        <w:rPr>
          <w:vertAlign w:val="superscript"/>
        </w:rPr>
        <w:t>-1</w:t>
      </w:r>
      <w:r w:rsidRPr="009E06AA">
        <w:t>. Gross energy data from swine diets were used in the Tier 2 IPCC equation (equation 10.21, IPCC, 2006) to determine the country-specific enteric fermentation emission factor. This factor is then multiplied by population data to obtain the total CH</w:t>
      </w:r>
      <w:r w:rsidRPr="009E06AA">
        <w:rPr>
          <w:vertAlign w:val="subscript"/>
        </w:rPr>
        <w:t>4</w:t>
      </w:r>
      <w:r w:rsidRPr="009E06AA">
        <w:t xml:space="preserve"> emissions produced by swine from enteric fermentation for a given inventory year. </w:t>
      </w:r>
    </w:p>
    <w:p w14:paraId="07E7CB1C" w14:textId="77777777" w:rsidR="007523B8" w:rsidRPr="009E06AA" w:rsidRDefault="007523B8" w:rsidP="007523B8">
      <w:pPr>
        <w:pStyle w:val="BodyText"/>
      </w:pPr>
      <w:r w:rsidRPr="009E06AA">
        <w:t xml:space="preserve">The country-specific emission factor was developed from industry data on GEI (Hill, 2012) in which data on the composition of swine diets and industry practices in place to manage waste from production systems were obtained from a representative survey of 56 swine farms. The information obtained on swine diets and waste management practices was representative of practices from 59 per cent and over 67 per cent of </w:t>
      </w:r>
      <w:r w:rsidRPr="009E06AA" w:rsidDel="00DC2A31">
        <w:t xml:space="preserve">New </w:t>
      </w:r>
      <w:r w:rsidRPr="009E06AA">
        <w:t xml:space="preserve">Zealand pork production respectively. </w:t>
      </w:r>
      <w:r w:rsidRPr="009E06AA">
        <w:rPr>
          <w:spacing w:val="-2"/>
        </w:rPr>
        <w:t>Nutritional information was available for different swine age classes and categories. Additionally</w:t>
      </w:r>
      <w:r w:rsidRPr="009E06AA">
        <w:t>, the average value of GEI was adjusted for population and further verified against national animal welfare standards.</w:t>
      </w:r>
    </w:p>
    <w:p w14:paraId="62679D27" w14:textId="77777777" w:rsidR="007523B8" w:rsidRPr="009E06AA" w:rsidRDefault="007523B8" w:rsidP="007523B8">
      <w:pPr>
        <w:pStyle w:val="BodyText"/>
      </w:pPr>
      <w:r w:rsidRPr="009E06AA">
        <w:t>The New Zealand emission factor for swine is lower than the IPCC (2006) default for developed countries.</w:t>
      </w:r>
      <w:r w:rsidRPr="009E06AA">
        <w:rPr>
          <w:rStyle w:val="FootnoteReference"/>
          <w:rFonts w:cs="Calibri"/>
        </w:rPr>
        <w:footnoteReference w:id="35"/>
      </w:r>
      <w:r w:rsidRPr="009E06AA">
        <w:t xml:space="preserve"> The IPCC (2006) default value for swine is based on average values derived from 1980s Western German swine production and population statistics and is not representative of </w:t>
      </w:r>
      <w:r w:rsidRPr="009E06AA" w:rsidDel="00330450">
        <w:t xml:space="preserve">New </w:t>
      </w:r>
      <w:r w:rsidRPr="009E06AA">
        <w:t xml:space="preserve">Zealand swine systems. In particular, the default value does not reflect changes in production due to improvements in genetic selection, reproductive cycle performance, housing and feed, animal husbandry and herd management. Further information on these factors is provided in the report by Hill (2012). </w:t>
      </w:r>
    </w:p>
    <w:p w14:paraId="3C04D2E9" w14:textId="77777777" w:rsidR="007523B8" w:rsidRPr="009E06AA" w:rsidRDefault="007523B8" w:rsidP="007523B8">
      <w:pPr>
        <w:pStyle w:val="BodyText"/>
      </w:pPr>
      <w:r w:rsidRPr="009E06AA">
        <w:rPr>
          <w:b/>
          <w:bCs/>
          <w:i/>
          <w:iCs/>
        </w:rPr>
        <w:t>Horses:</w:t>
      </w:r>
      <w:r w:rsidRPr="009E06AA">
        <w:t xml:space="preserve"> The IPCC (2006) default value (18 kg CH</w:t>
      </w:r>
      <w:r w:rsidRPr="009E06AA">
        <w:rPr>
          <w:vertAlign w:val="subscript"/>
        </w:rPr>
        <w:t>4</w:t>
      </w:r>
      <w:r w:rsidRPr="009E06AA">
        <w:t xml:space="preserve"> head</w:t>
      </w:r>
      <w:r w:rsidRPr="009E06AA">
        <w:rPr>
          <w:vertAlign w:val="superscript"/>
        </w:rPr>
        <w:t>-1</w:t>
      </w:r>
      <w:r w:rsidRPr="009E06AA">
        <w:t xml:space="preserve"> year</w:t>
      </w:r>
      <w:r w:rsidRPr="009E06AA">
        <w:rPr>
          <w:vertAlign w:val="superscript"/>
        </w:rPr>
        <w:t>-1</w:t>
      </w:r>
      <w:r w:rsidRPr="009E06AA">
        <w:t>) is used to estimate emissions from this livestock category.</w:t>
      </w:r>
    </w:p>
    <w:p w14:paraId="201C0425" w14:textId="77777777" w:rsidR="007523B8" w:rsidRPr="009E06AA" w:rsidRDefault="007523B8" w:rsidP="007523B8">
      <w:pPr>
        <w:pStyle w:val="BodyText"/>
      </w:pPr>
      <w:r w:rsidRPr="009E06AA">
        <w:rPr>
          <w:b/>
          <w:bCs/>
          <w:i/>
          <w:iCs/>
        </w:rPr>
        <w:t>Llamas</w:t>
      </w:r>
      <w:r w:rsidRPr="009E06AA">
        <w:rPr>
          <w:b/>
          <w:i/>
          <w:iCs/>
        </w:rPr>
        <w:t xml:space="preserve"> and alpacas</w:t>
      </w:r>
      <w:r w:rsidRPr="009E06AA">
        <w:rPr>
          <w:b/>
          <w:bCs/>
          <w:i/>
          <w:iCs/>
        </w:rPr>
        <w:t>:</w:t>
      </w:r>
      <w:r w:rsidRPr="009E06AA">
        <w:t xml:space="preserve"> The IPCC (2006) default value (8 kg CH</w:t>
      </w:r>
      <w:r w:rsidRPr="009E06AA">
        <w:rPr>
          <w:vertAlign w:val="subscript"/>
        </w:rPr>
        <w:t>4</w:t>
      </w:r>
      <w:r w:rsidRPr="009E06AA">
        <w:t xml:space="preserve"> head</w:t>
      </w:r>
      <w:r w:rsidRPr="009E06AA">
        <w:rPr>
          <w:vertAlign w:val="superscript"/>
        </w:rPr>
        <w:t>-1</w:t>
      </w:r>
      <w:r w:rsidRPr="009E06AA">
        <w:t xml:space="preserve"> year</w:t>
      </w:r>
      <w:r w:rsidRPr="009E06AA">
        <w:rPr>
          <w:vertAlign w:val="superscript"/>
        </w:rPr>
        <w:t>-1</w:t>
      </w:r>
      <w:r w:rsidRPr="009E06AA">
        <w:t xml:space="preserve">) is used to estimate emissions from this livestock category. </w:t>
      </w:r>
    </w:p>
    <w:p w14:paraId="6DD7CE90" w14:textId="77777777" w:rsidR="007523B8" w:rsidRPr="009E06AA" w:rsidRDefault="007523B8" w:rsidP="007523B8">
      <w:pPr>
        <w:pStyle w:val="BodyText"/>
      </w:pPr>
      <w:r w:rsidRPr="009E06AA">
        <w:rPr>
          <w:b/>
          <w:bCs/>
          <w:i/>
          <w:iCs/>
        </w:rPr>
        <w:t>Mules and asses:</w:t>
      </w:r>
      <w:r w:rsidRPr="009E06AA">
        <w:t xml:space="preserve"> The IPCC (2006) default value is used (10 kg CH</w:t>
      </w:r>
      <w:r w:rsidRPr="009E06AA">
        <w:rPr>
          <w:vertAlign w:val="subscript"/>
        </w:rPr>
        <w:t>4</w:t>
      </w:r>
      <w:r w:rsidRPr="009E06AA">
        <w:t xml:space="preserve"> head</w:t>
      </w:r>
      <w:r w:rsidRPr="009E06AA">
        <w:rPr>
          <w:vertAlign w:val="superscript"/>
        </w:rPr>
        <w:t>-1</w:t>
      </w:r>
      <w:r w:rsidRPr="009E06AA">
        <w:t xml:space="preserve"> year</w:t>
      </w:r>
      <w:r w:rsidRPr="009E06AA">
        <w:rPr>
          <w:vertAlign w:val="superscript"/>
        </w:rPr>
        <w:t>-1</w:t>
      </w:r>
      <w:r w:rsidRPr="009E06AA">
        <w:t>) to estimate emissions from this livestock category.</w:t>
      </w:r>
    </w:p>
    <w:p w14:paraId="0B1C6353" w14:textId="77777777" w:rsidR="007523B8" w:rsidRPr="009E06AA" w:rsidRDefault="007523B8" w:rsidP="007523B8">
      <w:pPr>
        <w:pStyle w:val="Heading3"/>
      </w:pPr>
      <w:r w:rsidRPr="009E06AA">
        <w:t>5.2.3</w:t>
      </w:r>
      <w:r w:rsidRPr="009E06AA">
        <w:tab/>
      </w:r>
      <w:bookmarkStart w:id="937" w:name="_Toc139253919"/>
      <w:bookmarkStart w:id="938" w:name="_Toc32570653"/>
      <w:bookmarkStart w:id="939" w:name="_Hlk154135495"/>
      <w:r w:rsidRPr="009E06AA">
        <w:t>Uncertainty assessment and time-series consistency</w:t>
      </w:r>
      <w:bookmarkEnd w:id="937"/>
      <w:bookmarkEnd w:id="938"/>
      <w:bookmarkEnd w:id="939"/>
    </w:p>
    <w:p w14:paraId="5B1B281D" w14:textId="1896FCF7" w:rsidR="007523B8" w:rsidRPr="009E06AA" w:rsidRDefault="007523B8" w:rsidP="007523B8">
      <w:pPr>
        <w:pStyle w:val="BodyText"/>
      </w:pPr>
      <w:r w:rsidRPr="009E06AA">
        <w:t xml:space="preserve">To ensure consistency across emission categories, a single enhanced livestock population characterisation and feed-intake estimate is produced by the Tier 2 model (see annex </w:t>
      </w:r>
      <w:r w:rsidR="00623C34" w:rsidRPr="009E06AA">
        <w:t>5</w:t>
      </w:r>
      <w:r w:rsidRPr="009E06AA">
        <w:t>, table A</w:t>
      </w:r>
      <w:r w:rsidR="00623C34" w:rsidRPr="009E06AA">
        <w:t>5</w:t>
      </w:r>
      <w:r w:rsidRPr="009E06AA">
        <w:t>.1.2). It is used in different parts of the calculations for the National Inventory Report to estimate: CH</w:t>
      </w:r>
      <w:r w:rsidRPr="009E06AA">
        <w:rPr>
          <w:vertAlign w:val="subscript"/>
        </w:rPr>
        <w:t>4</w:t>
      </w:r>
      <w:r w:rsidRPr="009E06AA">
        <w:t xml:space="preserve"> emissions for the </w:t>
      </w:r>
      <w:r w:rsidRPr="009E06AA">
        <w:rPr>
          <w:i/>
          <w:iCs/>
        </w:rPr>
        <w:t>Enteric fermentation</w:t>
      </w:r>
      <w:r w:rsidRPr="009E06AA">
        <w:t xml:space="preserve"> category, CH</w:t>
      </w:r>
      <w:r w:rsidRPr="009E06AA">
        <w:rPr>
          <w:vertAlign w:val="subscript"/>
        </w:rPr>
        <w:t>4</w:t>
      </w:r>
      <w:r w:rsidRPr="009E06AA">
        <w:t xml:space="preserve"> and N</w:t>
      </w:r>
      <w:r w:rsidRPr="009E06AA">
        <w:rPr>
          <w:vertAlign w:val="subscript"/>
        </w:rPr>
        <w:t>2</w:t>
      </w:r>
      <w:r w:rsidRPr="009E06AA">
        <w:t xml:space="preserve">O emissions for the </w:t>
      </w:r>
      <w:r w:rsidRPr="009E06AA">
        <w:rPr>
          <w:i/>
          <w:iCs/>
        </w:rPr>
        <w:t>Manure management</w:t>
      </w:r>
      <w:r w:rsidRPr="009E06AA">
        <w:t xml:space="preserve"> category and N</w:t>
      </w:r>
      <w:r w:rsidRPr="009E06AA">
        <w:rPr>
          <w:vertAlign w:val="subscript"/>
        </w:rPr>
        <w:t>2</w:t>
      </w:r>
      <w:r w:rsidRPr="009E06AA">
        <w:t xml:space="preserve">O emissions for the </w:t>
      </w:r>
      <w:r w:rsidRPr="009E06AA">
        <w:rPr>
          <w:i/>
          <w:iCs/>
        </w:rPr>
        <w:t>Pasture, range and paddock manure</w:t>
      </w:r>
      <w:r w:rsidRPr="009E06AA">
        <w:t xml:space="preserve"> category.</w:t>
      </w:r>
    </w:p>
    <w:p w14:paraId="3BDECCE2" w14:textId="77777777" w:rsidR="007523B8" w:rsidRPr="009E06AA" w:rsidRDefault="007523B8" w:rsidP="007523B8">
      <w:pPr>
        <w:pStyle w:val="Heading4"/>
      </w:pPr>
      <w:r w:rsidRPr="009E06AA">
        <w:t>Livestock numbers</w:t>
      </w:r>
    </w:p>
    <w:p w14:paraId="6D66C69A" w14:textId="11C7F672" w:rsidR="007523B8" w:rsidRPr="009E06AA" w:rsidRDefault="007523B8" w:rsidP="007523B8">
      <w:pPr>
        <w:pStyle w:val="BodyText"/>
        <w:rPr>
          <w:rFonts w:cs="Calibri"/>
        </w:rPr>
      </w:pPr>
      <w:r w:rsidRPr="009E06AA">
        <w:rPr>
          <w:rFonts w:cs="Calibri"/>
        </w:rPr>
        <w:t xml:space="preserve">The calculations for total enteric fermentation require livestock population data. Information on the uncertainties and time-series consistency for the livestock population data is included in section 5.1.4 and annex </w:t>
      </w:r>
      <w:r w:rsidR="0030459D" w:rsidRPr="009E06AA">
        <w:rPr>
          <w:rFonts w:cs="Calibri"/>
        </w:rPr>
        <w:t>5</w:t>
      </w:r>
      <w:r w:rsidRPr="009E06AA">
        <w:rPr>
          <w:rFonts w:cs="Calibri"/>
        </w:rPr>
        <w:t xml:space="preserve">, section </w:t>
      </w:r>
      <w:r w:rsidR="0030459D" w:rsidRPr="009E06AA">
        <w:rPr>
          <w:rFonts w:cs="Calibri"/>
        </w:rPr>
        <w:t>5</w:t>
      </w:r>
      <w:r w:rsidRPr="009E06AA">
        <w:rPr>
          <w:rFonts w:cs="Calibri"/>
        </w:rPr>
        <w:t xml:space="preserve">.1. </w:t>
      </w:r>
    </w:p>
    <w:p w14:paraId="1ADDED3F" w14:textId="77777777" w:rsidR="007523B8" w:rsidRPr="009E06AA" w:rsidRDefault="007523B8" w:rsidP="007523B8">
      <w:pPr>
        <w:pStyle w:val="Heading4"/>
      </w:pPr>
      <w:r w:rsidRPr="009E06AA">
        <w:t>Methane emissions from enteric fermentation</w:t>
      </w:r>
    </w:p>
    <w:p w14:paraId="4EE3418F" w14:textId="77777777" w:rsidR="007523B8" w:rsidRPr="009E06AA" w:rsidRDefault="007523B8" w:rsidP="007523B8">
      <w:pPr>
        <w:pStyle w:val="BodyText"/>
      </w:pPr>
      <w:r w:rsidRPr="009E06AA">
        <w:t>Kelliher et al. (2009) calculated the uncertainty of enteric fermentation CH</w:t>
      </w:r>
      <w:r w:rsidRPr="009E06AA">
        <w:rPr>
          <w:vertAlign w:val="subscript"/>
        </w:rPr>
        <w:t>4</w:t>
      </w:r>
      <w:r w:rsidRPr="009E06AA">
        <w:t xml:space="preserve"> emissions for </w:t>
      </w:r>
      <w:r w:rsidRPr="009E06AA">
        <w:rPr>
          <w:spacing w:val="-2"/>
        </w:rPr>
        <w:t>sheep and cattle using a Monte Carlo approach. This superseded a previous analysis undertaken</w:t>
      </w:r>
      <w:r w:rsidRPr="009E06AA">
        <w:t xml:space="preserve"> by Clark et al. (2003). The analysis expressed the coefficient of variation according to the standard deviation of the CH</w:t>
      </w:r>
      <w:r w:rsidRPr="009E06AA">
        <w:rPr>
          <w:vertAlign w:val="subscript"/>
        </w:rPr>
        <w:t>4</w:t>
      </w:r>
      <w:r w:rsidRPr="009E06AA">
        <w:t xml:space="preserve"> yield. Kelliher et al. (2009) calculated the uncertainty by expressing the coefficient of variation according to the standard deviation of the CH</w:t>
      </w:r>
      <w:r w:rsidRPr="009E06AA">
        <w:rPr>
          <w:vertAlign w:val="subscript"/>
        </w:rPr>
        <w:t>4</w:t>
      </w:r>
      <w:r w:rsidRPr="009E06AA">
        <w:t xml:space="preserve"> yield using a larger sample of measurements (relative to the previous analysis). The analysis was restricted to grass–legume pasture, the predominant diet of sheep and cattle in </w:t>
      </w:r>
      <w:r w:rsidRPr="009E06AA" w:rsidDel="00F05AE5">
        <w:t xml:space="preserve">New </w:t>
      </w:r>
      <w:r w:rsidRPr="009E06AA">
        <w:t>Zealand. The resulting overall uncertainty of the enteric CH</w:t>
      </w:r>
      <w:r w:rsidRPr="009E06AA">
        <w:rPr>
          <w:vertAlign w:val="subscript"/>
        </w:rPr>
        <w:t>4</w:t>
      </w:r>
      <w:r w:rsidRPr="009E06AA">
        <w:t xml:space="preserve"> emissions inventory, expressed as a 95 per cent confidence interval, was ±16 per cent (see table 5.2.4).</w:t>
      </w:r>
    </w:p>
    <w:p w14:paraId="7F56E336" w14:textId="77777777" w:rsidR="007523B8" w:rsidRPr="009E06AA" w:rsidRDefault="007523B8" w:rsidP="007523B8">
      <w:pPr>
        <w:pStyle w:val="Table"/>
        <w:rPr>
          <w:rFonts w:cs="Calibri"/>
        </w:rPr>
      </w:pPr>
      <w:bookmarkStart w:id="940" w:name="_Toc144607406"/>
      <w:bookmarkStart w:id="941" w:name="_Toc144607683"/>
      <w:bookmarkStart w:id="942" w:name="_Toc235955625"/>
      <w:bookmarkStart w:id="943" w:name="_Toc288316750"/>
      <w:bookmarkStart w:id="944" w:name="_Toc352504968"/>
      <w:bookmarkStart w:id="945" w:name="_Toc441830871"/>
      <w:bookmarkStart w:id="946" w:name="_Toc451176085"/>
      <w:bookmarkStart w:id="947" w:name="_Toc481751511"/>
      <w:bookmarkStart w:id="948" w:name="_Toc507158601"/>
      <w:bookmarkStart w:id="949" w:name="_Toc511116735"/>
      <w:bookmarkStart w:id="950" w:name="_Toc5269475"/>
      <w:bookmarkStart w:id="951" w:name="_Toc32570916"/>
      <w:bookmarkStart w:id="952" w:name="_Toc36224551"/>
      <w:bookmarkStart w:id="953" w:name="_Toc68786437"/>
      <w:bookmarkStart w:id="954" w:name="_Toc95574072"/>
      <w:bookmarkStart w:id="955" w:name="_Toc127458255"/>
      <w:bookmarkStart w:id="956" w:name="_Toc131591351"/>
      <w:bookmarkStart w:id="957" w:name="_Toc160114441"/>
      <w:bookmarkStart w:id="958" w:name="_Toc164153837"/>
      <w:r w:rsidRPr="009E06AA">
        <w:rPr>
          <w:rFonts w:cs="Calibri"/>
        </w:rPr>
        <w:t>Table 5.2.4</w:t>
      </w:r>
      <w:r w:rsidRPr="009E06AA">
        <w:rPr>
          <w:rFonts w:cs="Calibri"/>
        </w:rPr>
        <w:tab/>
      </w:r>
      <w:r w:rsidRPr="009E06AA">
        <w:t>New Zealand’s</w:t>
      </w:r>
      <w:r w:rsidRPr="009E06AA">
        <w:rPr>
          <w:rFonts w:cs="Calibri"/>
        </w:rPr>
        <w:t xml:space="preserve"> uncertainty in the annual estimate of enteric fermentation emissions for 1990 and 2022, estimated using </w:t>
      </w:r>
      <w:bookmarkEnd w:id="940"/>
      <w:bookmarkEnd w:id="941"/>
      <w:bookmarkEnd w:id="942"/>
      <w:r w:rsidRPr="009E06AA">
        <w:rPr>
          <w:rFonts w:cs="Calibri"/>
        </w:rPr>
        <w:t>the 95 per cent confidence interval (±16 per cent</w:t>
      </w:r>
      <w:bookmarkEnd w:id="943"/>
      <w:bookmarkEnd w:id="944"/>
      <w:r w:rsidRPr="009E06AA">
        <w:rPr>
          <w:rFonts w:cs="Calibri"/>
        </w:rPr>
        <w:t>)</w:t>
      </w:r>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p>
    <w:tbl>
      <w:tblPr>
        <w:tblW w:w="8505" w:type="dxa"/>
        <w:tblBorders>
          <w:top w:val="single" w:sz="4" w:space="0" w:color="1B556B" w:themeColor="text2"/>
          <w:bottom w:val="single" w:sz="4" w:space="0" w:color="1B556B" w:themeColor="text2"/>
          <w:insideH w:val="single" w:sz="4" w:space="0" w:color="1B556B" w:themeColor="text2"/>
        </w:tblBorders>
        <w:tblLook w:val="01E0" w:firstRow="1" w:lastRow="1" w:firstColumn="1" w:lastColumn="1" w:noHBand="0" w:noVBand="0"/>
      </w:tblPr>
      <w:tblGrid>
        <w:gridCol w:w="1701"/>
        <w:gridCol w:w="1701"/>
        <w:gridCol w:w="1701"/>
        <w:gridCol w:w="1701"/>
        <w:gridCol w:w="1701"/>
      </w:tblGrid>
      <w:tr w:rsidR="007523B8" w:rsidRPr="009E06AA" w14:paraId="781573F7" w14:textId="77777777" w:rsidTr="00B55F24">
        <w:tc>
          <w:tcPr>
            <w:tcW w:w="1000" w:type="pct"/>
            <w:shd w:val="clear" w:color="auto" w:fill="1B556B"/>
            <w:vAlign w:val="bottom"/>
          </w:tcPr>
          <w:p w14:paraId="43578DC5" w14:textId="77777777" w:rsidR="007523B8" w:rsidRPr="009E06AA" w:rsidRDefault="007523B8" w:rsidP="00B55F24">
            <w:pPr>
              <w:pStyle w:val="TableTextBold"/>
              <w:keepNext/>
              <w:spacing w:before="30" w:after="30"/>
              <w:rPr>
                <w:noProof w:val="0"/>
                <w:color w:val="FFFFFF" w:themeColor="background1"/>
              </w:rPr>
            </w:pPr>
            <w:r w:rsidRPr="009E06AA">
              <w:rPr>
                <w:noProof w:val="0"/>
                <w:color w:val="FFFFFF" w:themeColor="background1"/>
              </w:rPr>
              <w:t>Year</w:t>
            </w:r>
          </w:p>
        </w:tc>
        <w:tc>
          <w:tcPr>
            <w:tcW w:w="1000" w:type="pct"/>
            <w:shd w:val="clear" w:color="auto" w:fill="1B556B"/>
            <w:vAlign w:val="bottom"/>
          </w:tcPr>
          <w:p w14:paraId="10E6A1D9" w14:textId="77777777" w:rsidR="007523B8" w:rsidRPr="009E06AA" w:rsidRDefault="007523B8" w:rsidP="00C7587B">
            <w:pPr>
              <w:pStyle w:val="TableTextBold"/>
              <w:keepNext/>
              <w:spacing w:before="30" w:after="30"/>
              <w:jc w:val="right"/>
              <w:rPr>
                <w:noProof w:val="0"/>
                <w:color w:val="FFFFFF" w:themeColor="background1"/>
              </w:rPr>
            </w:pPr>
            <w:r w:rsidRPr="009E06AA">
              <w:rPr>
                <w:noProof w:val="0"/>
                <w:color w:val="FFFFFF" w:themeColor="background1"/>
              </w:rPr>
              <w:t>Enteric CH</w:t>
            </w:r>
            <w:r w:rsidRPr="009E06AA">
              <w:rPr>
                <w:noProof w:val="0"/>
                <w:color w:val="FFFFFF" w:themeColor="background1"/>
                <w:vertAlign w:val="subscript"/>
              </w:rPr>
              <w:t>4</w:t>
            </w:r>
            <w:r w:rsidRPr="009E06AA">
              <w:rPr>
                <w:noProof w:val="0"/>
                <w:color w:val="FFFFFF" w:themeColor="background1"/>
              </w:rPr>
              <w:t xml:space="preserve"> emissions </w:t>
            </w:r>
            <w:r w:rsidRPr="009E06AA">
              <w:rPr>
                <w:noProof w:val="0"/>
                <w:color w:val="FFFFFF" w:themeColor="background1"/>
                <w:szCs w:val="16"/>
              </w:rPr>
              <w:br/>
            </w:r>
            <w:r w:rsidRPr="009E06AA">
              <w:rPr>
                <w:noProof w:val="0"/>
                <w:color w:val="FFFFFF" w:themeColor="background1"/>
              </w:rPr>
              <w:t>(kt CH</w:t>
            </w:r>
            <w:r w:rsidRPr="009E06AA">
              <w:rPr>
                <w:noProof w:val="0"/>
                <w:color w:val="FFFFFF" w:themeColor="background1"/>
                <w:vertAlign w:val="subscript"/>
              </w:rPr>
              <w:t>4</w:t>
            </w:r>
            <w:r w:rsidRPr="009E06AA">
              <w:rPr>
                <w:noProof w:val="0"/>
                <w:color w:val="FFFFFF" w:themeColor="background1"/>
              </w:rPr>
              <w:t>/annum)</w:t>
            </w:r>
          </w:p>
        </w:tc>
        <w:tc>
          <w:tcPr>
            <w:tcW w:w="1000" w:type="pct"/>
            <w:shd w:val="clear" w:color="auto" w:fill="1B556B"/>
            <w:vAlign w:val="bottom"/>
          </w:tcPr>
          <w:p w14:paraId="7ADBCF28" w14:textId="77777777" w:rsidR="007523B8" w:rsidRPr="009E06AA" w:rsidRDefault="007523B8" w:rsidP="00C7587B">
            <w:pPr>
              <w:pStyle w:val="TableTextBold"/>
              <w:keepNext/>
              <w:spacing w:before="30" w:after="30"/>
              <w:jc w:val="right"/>
              <w:rPr>
                <w:noProof w:val="0"/>
                <w:color w:val="FFFFFF" w:themeColor="background1"/>
              </w:rPr>
            </w:pPr>
            <w:r w:rsidRPr="009E06AA">
              <w:rPr>
                <w:noProof w:val="0"/>
                <w:color w:val="FFFFFF" w:themeColor="background1"/>
              </w:rPr>
              <w:t>95% confidence interval minimum</w:t>
            </w:r>
            <w:r w:rsidRPr="009E06AA">
              <w:rPr>
                <w:noProof w:val="0"/>
                <w:color w:val="FFFFFF" w:themeColor="background1"/>
                <w:szCs w:val="16"/>
              </w:rPr>
              <w:br/>
            </w:r>
            <w:r w:rsidRPr="009E06AA">
              <w:rPr>
                <w:noProof w:val="0"/>
                <w:color w:val="FFFFFF" w:themeColor="background1"/>
              </w:rPr>
              <w:t xml:space="preserve"> (kt CH</w:t>
            </w:r>
            <w:r w:rsidRPr="009E06AA">
              <w:rPr>
                <w:noProof w:val="0"/>
                <w:color w:val="FFFFFF" w:themeColor="background1"/>
                <w:vertAlign w:val="subscript"/>
              </w:rPr>
              <w:t>4</w:t>
            </w:r>
            <w:r w:rsidRPr="009E06AA">
              <w:rPr>
                <w:noProof w:val="0"/>
                <w:color w:val="FFFFFF" w:themeColor="background1"/>
              </w:rPr>
              <w:t>/annum)</w:t>
            </w:r>
          </w:p>
        </w:tc>
        <w:tc>
          <w:tcPr>
            <w:tcW w:w="1000" w:type="pct"/>
            <w:shd w:val="clear" w:color="auto" w:fill="1B556B"/>
            <w:vAlign w:val="bottom"/>
          </w:tcPr>
          <w:p w14:paraId="5DA71CC1" w14:textId="77777777" w:rsidR="007523B8" w:rsidRPr="009E06AA" w:rsidRDefault="007523B8" w:rsidP="00C7587B">
            <w:pPr>
              <w:pStyle w:val="TableTextBold"/>
              <w:keepNext/>
              <w:spacing w:before="30" w:after="30"/>
              <w:jc w:val="right"/>
              <w:rPr>
                <w:noProof w:val="0"/>
                <w:color w:val="FFFFFF" w:themeColor="background1"/>
              </w:rPr>
            </w:pPr>
            <w:r w:rsidRPr="009E06AA">
              <w:rPr>
                <w:noProof w:val="0"/>
                <w:color w:val="FFFFFF" w:themeColor="background1"/>
              </w:rPr>
              <w:t xml:space="preserve">95% confidence interval maximum </w:t>
            </w:r>
            <w:r w:rsidRPr="009E06AA">
              <w:rPr>
                <w:noProof w:val="0"/>
                <w:color w:val="FFFFFF" w:themeColor="background1"/>
                <w:szCs w:val="16"/>
              </w:rPr>
              <w:br/>
            </w:r>
            <w:r w:rsidRPr="009E06AA">
              <w:rPr>
                <w:noProof w:val="0"/>
                <w:color w:val="FFFFFF" w:themeColor="background1"/>
              </w:rPr>
              <w:t>(kt CH</w:t>
            </w:r>
            <w:r w:rsidRPr="009E06AA">
              <w:rPr>
                <w:noProof w:val="0"/>
                <w:color w:val="FFFFFF" w:themeColor="background1"/>
                <w:vertAlign w:val="subscript"/>
              </w:rPr>
              <w:t>4</w:t>
            </w:r>
            <w:r w:rsidRPr="009E06AA">
              <w:rPr>
                <w:noProof w:val="0"/>
                <w:color w:val="FFFFFF" w:themeColor="background1"/>
              </w:rPr>
              <w:t>/annum)</w:t>
            </w:r>
          </w:p>
        </w:tc>
        <w:tc>
          <w:tcPr>
            <w:tcW w:w="1000" w:type="pct"/>
            <w:shd w:val="clear" w:color="auto" w:fill="1B556B"/>
            <w:vAlign w:val="bottom"/>
          </w:tcPr>
          <w:p w14:paraId="6F06EF41" w14:textId="77777777" w:rsidR="007523B8" w:rsidRPr="009E06AA" w:rsidRDefault="007523B8" w:rsidP="00C7587B">
            <w:pPr>
              <w:pStyle w:val="TableTextBold"/>
              <w:keepNext/>
              <w:spacing w:before="30" w:after="30"/>
              <w:jc w:val="right"/>
              <w:rPr>
                <w:noProof w:val="0"/>
                <w:color w:val="FFFFFF" w:themeColor="background1"/>
              </w:rPr>
            </w:pPr>
            <w:r w:rsidRPr="009E06AA">
              <w:rPr>
                <w:noProof w:val="0"/>
                <w:color w:val="FFFFFF" w:themeColor="background1"/>
              </w:rPr>
              <w:t>Range of uncertainty (kt CH</w:t>
            </w:r>
            <w:r w:rsidRPr="009E06AA">
              <w:rPr>
                <w:noProof w:val="0"/>
                <w:color w:val="FFFFFF" w:themeColor="background1"/>
                <w:vertAlign w:val="subscript"/>
              </w:rPr>
              <w:t>4</w:t>
            </w:r>
            <w:r w:rsidRPr="009E06AA">
              <w:rPr>
                <w:noProof w:val="0"/>
                <w:color w:val="FFFFFF" w:themeColor="background1"/>
              </w:rPr>
              <w:t>/annum)</w:t>
            </w:r>
          </w:p>
        </w:tc>
      </w:tr>
      <w:tr w:rsidR="007523B8" w:rsidRPr="009E06AA" w14:paraId="31655E5F" w14:textId="77777777" w:rsidTr="00B55F24">
        <w:trPr>
          <w:trHeight w:val="247"/>
        </w:trPr>
        <w:tc>
          <w:tcPr>
            <w:tcW w:w="1000" w:type="pct"/>
            <w:vAlign w:val="bottom"/>
          </w:tcPr>
          <w:p w14:paraId="6A0EC589" w14:textId="77777777" w:rsidR="007523B8" w:rsidRPr="009E06AA" w:rsidRDefault="007523B8" w:rsidP="00B55F24">
            <w:pPr>
              <w:pStyle w:val="TableText"/>
              <w:spacing w:before="30" w:after="30"/>
            </w:pPr>
            <w:r w:rsidRPr="009E06AA">
              <w:t>1990</w:t>
            </w:r>
          </w:p>
        </w:tc>
        <w:tc>
          <w:tcPr>
            <w:tcW w:w="1000" w:type="pct"/>
            <w:vAlign w:val="center"/>
          </w:tcPr>
          <w:p w14:paraId="53BD0DE2" w14:textId="77777777" w:rsidR="007523B8" w:rsidRPr="009E06AA" w:rsidRDefault="007523B8" w:rsidP="00C7587B">
            <w:pPr>
              <w:pStyle w:val="TableText"/>
              <w:spacing w:before="30" w:after="30"/>
              <w:jc w:val="right"/>
            </w:pPr>
            <w:r w:rsidRPr="009E06AA">
              <w:rPr>
                <w:color w:val="000000"/>
              </w:rPr>
              <w:t>1,</w:t>
            </w:r>
            <w:r w:rsidRPr="009E06AA">
              <w:rPr>
                <w:rFonts w:cs="Calibri"/>
                <w:color w:val="000000"/>
                <w:szCs w:val="16"/>
              </w:rPr>
              <w:t>114.7</w:t>
            </w:r>
          </w:p>
        </w:tc>
        <w:tc>
          <w:tcPr>
            <w:tcW w:w="1000" w:type="pct"/>
            <w:vAlign w:val="center"/>
          </w:tcPr>
          <w:p w14:paraId="16CA6D46" w14:textId="77777777" w:rsidR="007523B8" w:rsidRPr="009E06AA" w:rsidRDefault="007523B8" w:rsidP="00C7587B">
            <w:pPr>
              <w:pStyle w:val="TableText"/>
              <w:spacing w:before="30" w:after="30"/>
              <w:jc w:val="right"/>
            </w:pPr>
            <w:r w:rsidRPr="009E06AA">
              <w:rPr>
                <w:rFonts w:cs="Calibri"/>
                <w:color w:val="000000"/>
                <w:szCs w:val="16"/>
              </w:rPr>
              <w:t>936.4</w:t>
            </w:r>
          </w:p>
        </w:tc>
        <w:tc>
          <w:tcPr>
            <w:tcW w:w="1000" w:type="pct"/>
            <w:vAlign w:val="center"/>
          </w:tcPr>
          <w:p w14:paraId="6ECEC58F" w14:textId="77777777" w:rsidR="007523B8" w:rsidRPr="009E06AA" w:rsidRDefault="007523B8" w:rsidP="00C7587B">
            <w:pPr>
              <w:pStyle w:val="TableText"/>
              <w:spacing w:before="30" w:after="30"/>
              <w:jc w:val="right"/>
            </w:pPr>
            <w:r w:rsidRPr="009E06AA">
              <w:rPr>
                <w:color w:val="000000"/>
              </w:rPr>
              <w:t>1,</w:t>
            </w:r>
            <w:r w:rsidRPr="009E06AA">
              <w:rPr>
                <w:rFonts w:cs="Calibri"/>
                <w:color w:val="000000"/>
                <w:szCs w:val="16"/>
              </w:rPr>
              <w:t>293.1</w:t>
            </w:r>
          </w:p>
        </w:tc>
        <w:tc>
          <w:tcPr>
            <w:tcW w:w="1000" w:type="pct"/>
            <w:vAlign w:val="center"/>
          </w:tcPr>
          <w:p w14:paraId="0D7DE275" w14:textId="77777777" w:rsidR="007523B8" w:rsidRPr="009E06AA" w:rsidRDefault="007523B8" w:rsidP="00C7587B">
            <w:pPr>
              <w:pStyle w:val="TableText"/>
              <w:spacing w:before="30" w:after="30"/>
              <w:jc w:val="right"/>
            </w:pPr>
            <w:r w:rsidRPr="009E06AA">
              <w:rPr>
                <w:rFonts w:cs="Calibri"/>
                <w:color w:val="000000"/>
                <w:szCs w:val="16"/>
              </w:rPr>
              <w:t>356.7</w:t>
            </w:r>
          </w:p>
        </w:tc>
      </w:tr>
      <w:tr w:rsidR="007523B8" w:rsidRPr="009E06AA" w14:paraId="5D0F6F0E" w14:textId="77777777" w:rsidTr="00B55F24">
        <w:trPr>
          <w:trHeight w:val="247"/>
        </w:trPr>
        <w:tc>
          <w:tcPr>
            <w:tcW w:w="1000" w:type="pct"/>
            <w:vAlign w:val="bottom"/>
          </w:tcPr>
          <w:p w14:paraId="18E24160" w14:textId="77777777" w:rsidR="007523B8" w:rsidRPr="009E06AA" w:rsidRDefault="007523B8" w:rsidP="00B55F24">
            <w:pPr>
              <w:pStyle w:val="TableText"/>
              <w:spacing w:before="30" w:after="30"/>
            </w:pPr>
            <w:r w:rsidRPr="009E06AA">
              <w:t>2022</w:t>
            </w:r>
          </w:p>
        </w:tc>
        <w:tc>
          <w:tcPr>
            <w:tcW w:w="1000" w:type="pct"/>
            <w:vAlign w:val="center"/>
          </w:tcPr>
          <w:p w14:paraId="3AF2B1B4" w14:textId="77777777" w:rsidR="007523B8" w:rsidRPr="009E06AA" w:rsidRDefault="007523B8" w:rsidP="00C7587B">
            <w:pPr>
              <w:pStyle w:val="TableText"/>
              <w:spacing w:before="30" w:after="30"/>
              <w:jc w:val="right"/>
            </w:pPr>
            <w:r w:rsidRPr="009E06AA">
              <w:rPr>
                <w:color w:val="000000"/>
              </w:rPr>
              <w:t>1,</w:t>
            </w:r>
            <w:r w:rsidRPr="009E06AA">
              <w:rPr>
                <w:rFonts w:cs="Calibri"/>
                <w:color w:val="000000"/>
                <w:szCs w:val="16"/>
              </w:rPr>
              <w:t>164.9</w:t>
            </w:r>
          </w:p>
        </w:tc>
        <w:tc>
          <w:tcPr>
            <w:tcW w:w="1000" w:type="pct"/>
            <w:vAlign w:val="center"/>
          </w:tcPr>
          <w:p w14:paraId="0B981837" w14:textId="77777777" w:rsidR="007523B8" w:rsidRPr="009E06AA" w:rsidRDefault="007523B8" w:rsidP="00C7587B">
            <w:pPr>
              <w:pStyle w:val="TableText"/>
              <w:spacing w:before="30" w:after="30"/>
              <w:jc w:val="right"/>
            </w:pPr>
            <w:r w:rsidRPr="009E06AA">
              <w:rPr>
                <w:rFonts w:cs="Calibri"/>
                <w:color w:val="000000"/>
                <w:szCs w:val="16"/>
              </w:rPr>
              <w:t>978.5</w:t>
            </w:r>
          </w:p>
        </w:tc>
        <w:tc>
          <w:tcPr>
            <w:tcW w:w="1000" w:type="pct"/>
            <w:vAlign w:val="center"/>
          </w:tcPr>
          <w:p w14:paraId="64E5B6F1" w14:textId="77777777" w:rsidR="007523B8" w:rsidRPr="009E06AA" w:rsidRDefault="007523B8" w:rsidP="00C7587B">
            <w:pPr>
              <w:pStyle w:val="TableText"/>
              <w:spacing w:before="30" w:after="30"/>
              <w:jc w:val="right"/>
            </w:pPr>
            <w:r w:rsidRPr="009E06AA">
              <w:rPr>
                <w:color w:val="000000"/>
              </w:rPr>
              <w:t>1,</w:t>
            </w:r>
            <w:r w:rsidRPr="009E06AA">
              <w:rPr>
                <w:rFonts w:cs="Calibri"/>
                <w:color w:val="000000"/>
                <w:szCs w:val="16"/>
              </w:rPr>
              <w:t>351.3</w:t>
            </w:r>
          </w:p>
        </w:tc>
        <w:tc>
          <w:tcPr>
            <w:tcW w:w="1000" w:type="pct"/>
            <w:vAlign w:val="center"/>
          </w:tcPr>
          <w:p w14:paraId="5BA827E5" w14:textId="77777777" w:rsidR="007523B8" w:rsidRPr="009E06AA" w:rsidRDefault="007523B8" w:rsidP="00C7587B">
            <w:pPr>
              <w:pStyle w:val="TableText"/>
              <w:spacing w:before="30" w:after="30"/>
              <w:jc w:val="right"/>
            </w:pPr>
            <w:r w:rsidRPr="009E06AA">
              <w:rPr>
                <w:rFonts w:cs="Calibri"/>
                <w:color w:val="000000"/>
                <w:szCs w:val="16"/>
              </w:rPr>
              <w:t>372.8</w:t>
            </w:r>
          </w:p>
        </w:tc>
      </w:tr>
    </w:tbl>
    <w:p w14:paraId="34245762" w14:textId="77777777" w:rsidR="007523B8" w:rsidRPr="009E06AA" w:rsidRDefault="007523B8" w:rsidP="007523B8">
      <w:pPr>
        <w:pStyle w:val="Noteundertable"/>
        <w:spacing w:after="80"/>
        <w:rPr>
          <w:rFonts w:cs="Calibri"/>
        </w:rPr>
      </w:pPr>
      <w:r w:rsidRPr="009E06AA">
        <w:rPr>
          <w:rFonts w:cs="Calibri"/>
          <w:b/>
          <w:bCs/>
        </w:rPr>
        <w:t xml:space="preserve">Note: </w:t>
      </w:r>
      <w:r w:rsidRPr="009E06AA">
        <w:rPr>
          <w:rFonts w:cs="Calibri"/>
          <w:b/>
        </w:rPr>
        <w:tab/>
      </w:r>
      <w:r w:rsidRPr="009E06AA">
        <w:rPr>
          <w:rFonts w:cs="Calibri"/>
        </w:rPr>
        <w:t>The methane (CH</w:t>
      </w:r>
      <w:r w:rsidRPr="009E06AA">
        <w:rPr>
          <w:rFonts w:cs="Calibri"/>
          <w:vertAlign w:val="subscript"/>
        </w:rPr>
        <w:t>4</w:t>
      </w:r>
      <w:r w:rsidRPr="009E06AA">
        <w:rPr>
          <w:rFonts w:cs="Calibri"/>
        </w:rPr>
        <w:t>) emissions used in the Monte Carlo analysis exclude those from swine, horses, goats, mules and asses, and llamas and alpacas, which represent a very small proportion of total CH</w:t>
      </w:r>
      <w:r w:rsidRPr="009E06AA">
        <w:rPr>
          <w:rFonts w:cs="Calibri"/>
          <w:vertAlign w:val="subscript"/>
        </w:rPr>
        <w:t>4</w:t>
      </w:r>
      <w:r w:rsidRPr="009E06AA">
        <w:rPr>
          <w:rFonts w:cs="Calibri"/>
        </w:rPr>
        <w:t> emissions.</w:t>
      </w:r>
    </w:p>
    <w:p w14:paraId="713928A2" w14:textId="77777777" w:rsidR="007523B8" w:rsidRPr="009E06AA" w:rsidRDefault="007523B8" w:rsidP="007523B8">
      <w:pPr>
        <w:pStyle w:val="BodyText"/>
        <w:spacing w:before="100" w:after="100"/>
        <w:rPr>
          <w:rFonts w:cs="Calibri"/>
        </w:rPr>
      </w:pPr>
      <w:r w:rsidRPr="009E06AA">
        <w:rPr>
          <w:rFonts w:cs="Calibri"/>
        </w:rPr>
        <w:t>Uncertainty in the annual CH</w:t>
      </w:r>
      <w:r w:rsidRPr="009E06AA">
        <w:rPr>
          <w:rFonts w:cs="Calibri"/>
          <w:vertAlign w:val="subscript"/>
        </w:rPr>
        <w:t>4</w:t>
      </w:r>
      <w:r w:rsidRPr="009E06AA">
        <w:rPr>
          <w:rFonts w:cs="Calibri"/>
        </w:rPr>
        <w:t xml:space="preserve"> estimate is dominated by variance in the measurements of the ‘CH</w:t>
      </w:r>
      <w:r w:rsidRPr="009E06AA">
        <w:rPr>
          <w:rFonts w:cs="Calibri"/>
          <w:vertAlign w:val="subscript"/>
        </w:rPr>
        <w:t>4</w:t>
      </w:r>
      <w:r w:rsidRPr="009E06AA">
        <w:rPr>
          <w:rFonts w:cs="Calibri"/>
        </w:rPr>
        <w:t xml:space="preserve"> per unit of intake’ factor. This uncertainty is predominantly due to natural variation from one animal to the next due to genetic, management and environmental factors. Uncertainties in the estimates of livestock energy requirements, forage quality and animal population data are much smaller (Clark et al., 2003).</w:t>
      </w:r>
    </w:p>
    <w:p w14:paraId="38D8CD7B" w14:textId="77777777" w:rsidR="007523B8" w:rsidRPr="009E06AA" w:rsidRDefault="007523B8" w:rsidP="007523B8">
      <w:pPr>
        <w:pStyle w:val="Heading3"/>
        <w:spacing w:before="280"/>
      </w:pPr>
      <w:bookmarkStart w:id="959" w:name="_Toc139253920"/>
      <w:bookmarkStart w:id="960" w:name="_Toc32570654"/>
      <w:r w:rsidRPr="009E06AA">
        <w:t>5.2.4</w:t>
      </w:r>
      <w:r w:rsidRPr="009E06AA">
        <w:tab/>
      </w:r>
      <w:bookmarkStart w:id="961" w:name="_Hlk154135500"/>
      <w:r w:rsidRPr="009E06AA">
        <w:t>Category-specific QA/QC</w:t>
      </w:r>
      <w:r w:rsidRPr="009E06AA">
        <w:rPr>
          <w:lang w:eastAsia="en-GB"/>
        </w:rPr>
        <w:t xml:space="preserve"> </w:t>
      </w:r>
      <w:r w:rsidRPr="009E06AA">
        <w:t>and verification</w:t>
      </w:r>
      <w:bookmarkEnd w:id="959"/>
      <w:bookmarkEnd w:id="960"/>
      <w:bookmarkEnd w:id="961"/>
    </w:p>
    <w:p w14:paraId="704FC09F" w14:textId="77777777" w:rsidR="007523B8" w:rsidRPr="009E06AA" w:rsidRDefault="007523B8" w:rsidP="007523B8">
      <w:pPr>
        <w:pStyle w:val="BodyText"/>
        <w:spacing w:before="80" w:after="100"/>
        <w:rPr>
          <w:rFonts w:cs="Calibri"/>
        </w:rPr>
      </w:pPr>
      <w:r w:rsidRPr="009E06AA">
        <w:rPr>
          <w:rFonts w:cs="Calibri"/>
        </w:rPr>
        <w:t xml:space="preserve">Methane from </w:t>
      </w:r>
      <w:r w:rsidRPr="009E06AA">
        <w:rPr>
          <w:rFonts w:cs="Calibri"/>
          <w:i/>
        </w:rPr>
        <w:t>Enteric fermentation</w:t>
      </w:r>
      <w:r w:rsidRPr="009E06AA">
        <w:rPr>
          <w:rFonts w:cs="Calibri"/>
        </w:rPr>
        <w:t xml:space="preserve"> from </w:t>
      </w:r>
      <w:r w:rsidRPr="009E06AA">
        <w:rPr>
          <w:rFonts w:cs="Calibri"/>
          <w:i/>
          <w:iCs/>
        </w:rPr>
        <w:t>Dairy cattle</w:t>
      </w:r>
      <w:r w:rsidRPr="009E06AA">
        <w:rPr>
          <w:rFonts w:cs="Calibri"/>
        </w:rPr>
        <w:t xml:space="preserve">, </w:t>
      </w:r>
      <w:r w:rsidRPr="009E06AA">
        <w:rPr>
          <w:rFonts w:cs="Calibri"/>
          <w:i/>
          <w:iCs/>
        </w:rPr>
        <w:t>Non-dairy</w:t>
      </w:r>
      <w:r w:rsidRPr="009E06AA">
        <w:rPr>
          <w:rFonts w:cs="Calibri"/>
        </w:rPr>
        <w:t xml:space="preserve"> </w:t>
      </w:r>
      <w:r w:rsidRPr="009E06AA">
        <w:rPr>
          <w:rFonts w:cs="Calibri"/>
          <w:i/>
          <w:iCs/>
        </w:rPr>
        <w:t>cattle</w:t>
      </w:r>
      <w:r w:rsidRPr="009E06AA">
        <w:rPr>
          <w:rFonts w:cs="Calibri"/>
        </w:rPr>
        <w:t xml:space="preserve">, </w:t>
      </w:r>
      <w:r w:rsidRPr="009E06AA">
        <w:rPr>
          <w:rFonts w:cs="Calibri"/>
          <w:i/>
          <w:iCs/>
        </w:rPr>
        <w:t xml:space="preserve">Sheep </w:t>
      </w:r>
      <w:r w:rsidRPr="009E06AA">
        <w:rPr>
          <w:rFonts w:cs="Calibri"/>
        </w:rPr>
        <w:t xml:space="preserve">and </w:t>
      </w:r>
      <w:r w:rsidRPr="009E06AA">
        <w:rPr>
          <w:rFonts w:cs="Calibri"/>
          <w:i/>
          <w:iCs/>
        </w:rPr>
        <w:t xml:space="preserve">Deer </w:t>
      </w:r>
      <w:r w:rsidRPr="009E06AA">
        <w:rPr>
          <w:rFonts w:cs="Calibri"/>
        </w:rPr>
        <w:t xml:space="preserve">was identified as a key category (level and trend assessment). Methane from </w:t>
      </w:r>
      <w:r w:rsidRPr="009E06AA">
        <w:rPr>
          <w:rFonts w:cs="Calibri"/>
          <w:i/>
        </w:rPr>
        <w:t>Enteric fermentation</w:t>
      </w:r>
      <w:r w:rsidRPr="009E06AA">
        <w:rPr>
          <w:rFonts w:cs="Calibri"/>
        </w:rPr>
        <w:t xml:space="preserve"> from </w:t>
      </w:r>
      <w:r w:rsidRPr="009E06AA">
        <w:rPr>
          <w:rFonts w:cs="Calibri"/>
          <w:i/>
          <w:iCs/>
        </w:rPr>
        <w:t>Goats</w:t>
      </w:r>
      <w:r w:rsidRPr="009E06AA">
        <w:rPr>
          <w:rFonts w:cs="Calibri"/>
        </w:rPr>
        <w:t xml:space="preserve"> is a key category in the trend assessment. In the preparation for this inventory, the data for this category underwent Tier 1 and Tier 2 quality checks.</w:t>
      </w:r>
    </w:p>
    <w:p w14:paraId="3E9D84E7" w14:textId="77777777" w:rsidR="007523B8" w:rsidRPr="009E06AA" w:rsidRDefault="007523B8" w:rsidP="007523B8">
      <w:pPr>
        <w:pStyle w:val="BodyText"/>
        <w:spacing w:before="100" w:after="100"/>
        <w:rPr>
          <w:rFonts w:cs="Calibri"/>
        </w:rPr>
      </w:pPr>
      <w:r w:rsidRPr="009E06AA">
        <w:rPr>
          <w:rFonts w:cs="Calibri"/>
        </w:rPr>
        <w:t>Enteric CH</w:t>
      </w:r>
      <w:r w:rsidRPr="009E06AA">
        <w:rPr>
          <w:rFonts w:cs="Calibri"/>
          <w:vertAlign w:val="subscript"/>
        </w:rPr>
        <w:t>4</w:t>
      </w:r>
      <w:r w:rsidRPr="009E06AA">
        <w:rPr>
          <w:rFonts w:cs="Calibri"/>
        </w:rPr>
        <w:t xml:space="preserve"> emission rates per animal have been verified using micrometeorological techniques. Laubach and Kelliher (2004) used the integrated horizontal flux technique and the flux gradient technique to measure CH</w:t>
      </w:r>
      <w:r w:rsidRPr="009E06AA">
        <w:rPr>
          <w:rFonts w:cs="Calibri"/>
          <w:vertAlign w:val="subscript"/>
        </w:rPr>
        <w:t>4</w:t>
      </w:r>
      <w:r w:rsidRPr="009E06AA">
        <w:rPr>
          <w:rFonts w:cs="Calibri"/>
        </w:rPr>
        <w:t xml:space="preserve"> emission flux above a dairy herd. Both techniques are comparable, within estimated errors, to scaled-up dairy animal emissions. The emissions from the cows measured by integrated horizontal flux (averaged over three trials) were 329 (±153) g CH</w:t>
      </w:r>
      <w:r w:rsidRPr="009E06AA">
        <w:rPr>
          <w:rFonts w:cs="Calibri"/>
          <w:vertAlign w:val="subscript"/>
        </w:rPr>
        <w:t>4</w:t>
      </w:r>
      <w:r w:rsidRPr="009E06AA">
        <w:rPr>
          <w:rFonts w:cs="Calibri"/>
        </w:rPr>
        <w:t>/day/cow, compared with 365 (±61) g CH</w:t>
      </w:r>
      <w:r w:rsidRPr="009E06AA">
        <w:rPr>
          <w:rFonts w:cs="Calibri"/>
          <w:vertAlign w:val="subscript"/>
        </w:rPr>
        <w:t>4</w:t>
      </w:r>
      <w:r w:rsidRPr="009E06AA">
        <w:rPr>
          <w:rFonts w:cs="Calibri"/>
        </w:rPr>
        <w:t>/day/cow for the scaled-up measurements reported by Waghorn et al. (unpublished(a), unpublished(b)) using the SF</w:t>
      </w:r>
      <w:r w:rsidRPr="009E06AA">
        <w:rPr>
          <w:rFonts w:cs="Calibri"/>
          <w:vertAlign w:val="subscript"/>
        </w:rPr>
        <w:t>6</w:t>
      </w:r>
      <w:r w:rsidRPr="009E06AA">
        <w:rPr>
          <w:rFonts w:cs="Calibri"/>
        </w:rPr>
        <w:t> technique for CH</w:t>
      </w:r>
      <w:r w:rsidRPr="009E06AA">
        <w:rPr>
          <w:rFonts w:cs="Calibri"/>
          <w:vertAlign w:val="subscript"/>
        </w:rPr>
        <w:t>4</w:t>
      </w:r>
      <w:r w:rsidRPr="009E06AA">
        <w:rPr>
          <w:rFonts w:cs="Calibri"/>
        </w:rPr>
        <w:t xml:space="preserve"> measurement. </w:t>
      </w:r>
    </w:p>
    <w:p w14:paraId="3C00768C" w14:textId="77777777" w:rsidR="007523B8" w:rsidRPr="009E06AA" w:rsidRDefault="007523B8" w:rsidP="007523B8">
      <w:pPr>
        <w:pStyle w:val="BodyText"/>
        <w:spacing w:before="100" w:after="100"/>
        <w:rPr>
          <w:rFonts w:cs="Calibri"/>
        </w:rPr>
      </w:pPr>
      <w:r w:rsidRPr="009E06AA">
        <w:rPr>
          <w:rFonts w:cs="Calibri"/>
        </w:rPr>
        <w:t>Enteric CH</w:t>
      </w:r>
      <w:r w:rsidRPr="009E06AA">
        <w:rPr>
          <w:rFonts w:cs="Calibri"/>
          <w:vertAlign w:val="subscript"/>
        </w:rPr>
        <w:t>4</w:t>
      </w:r>
      <w:r w:rsidRPr="009E06AA">
        <w:rPr>
          <w:rFonts w:cs="Calibri"/>
        </w:rPr>
        <w:t xml:space="preserve"> emissions from lactating dairy cows have also been measured using the New Zealand SF</w:t>
      </w:r>
      <w:r w:rsidRPr="009E06AA">
        <w:rPr>
          <w:rFonts w:cs="Calibri"/>
          <w:vertAlign w:val="subscript"/>
        </w:rPr>
        <w:t>6</w:t>
      </w:r>
      <w:r w:rsidRPr="009E06AA">
        <w:rPr>
          <w:rFonts w:cs="Calibri"/>
        </w:rPr>
        <w:t xml:space="preserve"> tracer method compared with the respiration chamber techniques (Grainger et al., 2007). </w:t>
      </w:r>
      <w:r w:rsidRPr="009E06AA">
        <w:rPr>
          <w:rFonts w:cs="Calibri"/>
          <w:snapToGrid w:val="0"/>
          <w:color w:val="000000"/>
        </w:rPr>
        <w:t xml:space="preserve">Total </w:t>
      </w:r>
      <w:r w:rsidRPr="009E06AA">
        <w:rPr>
          <w:rFonts w:cs="Calibri"/>
        </w:rPr>
        <w:t>CH</w:t>
      </w:r>
      <w:r w:rsidRPr="009E06AA">
        <w:rPr>
          <w:rFonts w:cs="Calibri"/>
          <w:vertAlign w:val="subscript"/>
        </w:rPr>
        <w:t xml:space="preserve">4 </w:t>
      </w:r>
      <w:r w:rsidRPr="009E06AA">
        <w:rPr>
          <w:rFonts w:cs="Calibri"/>
        </w:rPr>
        <w:t>emissions were similar when measured using respiration chambers (322 g CH</w:t>
      </w:r>
      <w:r w:rsidRPr="009E06AA">
        <w:rPr>
          <w:rFonts w:cs="Calibri"/>
          <w:vertAlign w:val="subscript"/>
        </w:rPr>
        <w:t>4</w:t>
      </w:r>
      <w:r w:rsidRPr="009E06AA">
        <w:rPr>
          <w:rFonts w:cs="Calibri"/>
        </w:rPr>
        <w:t xml:space="preserve">/day/cow) or the </w:t>
      </w:r>
      <w:r w:rsidRPr="009E06AA">
        <w:rPr>
          <w:rFonts w:cs="Calibri"/>
          <w:snapToGrid w:val="0"/>
          <w:color w:val="000000"/>
        </w:rPr>
        <w:t>SF</w:t>
      </w:r>
      <w:r w:rsidRPr="009E06AA">
        <w:rPr>
          <w:rFonts w:cs="Calibri"/>
          <w:snapToGrid w:val="0"/>
          <w:color w:val="000000"/>
          <w:vertAlign w:val="subscript"/>
        </w:rPr>
        <w:t>6</w:t>
      </w:r>
      <w:r w:rsidRPr="009E06AA">
        <w:rPr>
          <w:rFonts w:cs="Calibri"/>
          <w:snapToGrid w:val="0"/>
          <w:color w:val="000000"/>
        </w:rPr>
        <w:t xml:space="preserve"> tracer technique (</w:t>
      </w:r>
      <w:r w:rsidRPr="009E06AA">
        <w:rPr>
          <w:rFonts w:cs="Calibri"/>
        </w:rPr>
        <w:t>331 g CH</w:t>
      </w:r>
      <w:r w:rsidRPr="009E06AA">
        <w:rPr>
          <w:rFonts w:cs="Calibri"/>
          <w:vertAlign w:val="subscript"/>
        </w:rPr>
        <w:t>4</w:t>
      </w:r>
      <w:r w:rsidRPr="009E06AA">
        <w:rPr>
          <w:rFonts w:cs="Calibri"/>
        </w:rPr>
        <w:t>/day/cow) but the uncertainty of the SF</w:t>
      </w:r>
      <w:r w:rsidRPr="009E06AA">
        <w:rPr>
          <w:rFonts w:cs="Calibri"/>
          <w:vertAlign w:val="subscript"/>
        </w:rPr>
        <w:t>6</w:t>
      </w:r>
      <w:r w:rsidRPr="009E06AA">
        <w:rPr>
          <w:rFonts w:cs="Calibri"/>
        </w:rPr>
        <w:t xml:space="preserve"> technique measurements was greater. </w:t>
      </w:r>
    </w:p>
    <w:p w14:paraId="78D0B086" w14:textId="77777777" w:rsidR="007523B8" w:rsidRPr="009E06AA" w:rsidRDefault="007523B8" w:rsidP="007523B8">
      <w:pPr>
        <w:pStyle w:val="BodyText"/>
        <w:spacing w:before="100" w:after="100"/>
      </w:pPr>
      <w:r w:rsidRPr="009E06AA">
        <w:t xml:space="preserve">The calculations in </w:t>
      </w:r>
      <w:r w:rsidRPr="009E06AA">
        <w:rPr>
          <w:rFonts w:cs="Calibri"/>
        </w:rPr>
        <w:t>New Zealand’s</w:t>
      </w:r>
      <w:r w:rsidRPr="009E06AA">
        <w:t xml:space="preserve"> model for all cattle, sheep and deer are Tier 2 and are based on the 2006 IPCC Guidelines (IPCC, 2006). Table 5.2.5 shows a comparison of the </w:t>
      </w:r>
      <w:r w:rsidRPr="009E06AA" w:rsidDel="006D1CCF">
        <w:rPr>
          <w:rFonts w:cs="Calibri"/>
        </w:rPr>
        <w:t xml:space="preserve">New </w:t>
      </w:r>
      <w:r w:rsidRPr="009E06AA">
        <w:rPr>
          <w:rFonts w:cs="Calibri"/>
        </w:rPr>
        <w:t>Zealand</w:t>
      </w:r>
      <w:r w:rsidRPr="009E06AA">
        <w:t xml:space="preserve">-specific 2020 IEFs for enteric fermentation with the IPCC Tier 1 Oceania default value, the IPCC Tier 2 net energy-based value and the Australian-specific 2019 IEF for dairy cattle, non-dairy cattle and sheep. </w:t>
      </w:r>
    </w:p>
    <w:p w14:paraId="7910F272" w14:textId="77777777" w:rsidR="007523B8" w:rsidRPr="009E06AA" w:rsidRDefault="007523B8" w:rsidP="007523B8">
      <w:pPr>
        <w:pStyle w:val="BodyText"/>
      </w:pPr>
      <w:r w:rsidRPr="009E06AA">
        <w:t xml:space="preserve">The IPCC Tier 2 net energy-based values are determined from the net energy algorithms in the 2006 IPCC Guidelines (equation 10.16) for dairy cattle, non-dairy cattle and sheep (IPCC, 2006). </w:t>
      </w:r>
      <w:r w:rsidRPr="009E06AA">
        <w:rPr>
          <w:rFonts w:cs="Calibri"/>
        </w:rPr>
        <w:t>New Zealand’s</w:t>
      </w:r>
      <w:r w:rsidRPr="009E06AA">
        <w:t xml:space="preserve"> inventory model calculates emissions for sheep (one year of age and older) and lambs (less than one year old) separately. Therefore, to provide an appropriate comparison between the </w:t>
      </w:r>
      <w:r w:rsidRPr="009E06AA" w:rsidDel="0073489B">
        <w:rPr>
          <w:rFonts w:cs="Calibri"/>
        </w:rPr>
        <w:t xml:space="preserve">New </w:t>
      </w:r>
      <w:r w:rsidRPr="009E06AA">
        <w:rPr>
          <w:rFonts w:cs="Calibri"/>
        </w:rPr>
        <w:t>Zealand</w:t>
      </w:r>
      <w:r w:rsidRPr="009E06AA">
        <w:t>-specific IEF and the IPCC Tier 2 net energy-based values for sheep, the gross energy values determined using the IPCC Tier 2 energy equations were obtained for both sheep and lambs.</w:t>
      </w:r>
    </w:p>
    <w:p w14:paraId="1A3203AA" w14:textId="77777777" w:rsidR="007523B8" w:rsidRPr="009E06AA" w:rsidRDefault="007523B8" w:rsidP="007523B8">
      <w:pPr>
        <w:pStyle w:val="Table"/>
        <w:rPr>
          <w:rFonts w:cs="Calibri"/>
        </w:rPr>
      </w:pPr>
      <w:bookmarkStart w:id="962" w:name="_Toc288316751"/>
      <w:bookmarkStart w:id="963" w:name="_Toc352504969"/>
      <w:bookmarkStart w:id="964" w:name="_Toc441830872"/>
      <w:bookmarkStart w:id="965" w:name="_Toc451176086"/>
      <w:bookmarkStart w:id="966" w:name="_Toc481751512"/>
      <w:bookmarkStart w:id="967" w:name="_Toc507158602"/>
      <w:bookmarkStart w:id="968" w:name="_Toc511116736"/>
      <w:bookmarkStart w:id="969" w:name="_Toc5269476"/>
      <w:bookmarkStart w:id="970" w:name="_Toc32570917"/>
      <w:bookmarkStart w:id="971" w:name="_Toc36224552"/>
      <w:bookmarkStart w:id="972" w:name="_Toc68786438"/>
      <w:bookmarkStart w:id="973" w:name="_Toc95574073"/>
      <w:bookmarkStart w:id="974" w:name="_Toc127458256"/>
      <w:bookmarkStart w:id="975" w:name="_Toc131591352"/>
      <w:bookmarkStart w:id="976" w:name="_Toc160114442"/>
      <w:bookmarkStart w:id="977" w:name="_Toc164153838"/>
      <w:r w:rsidRPr="009E06AA">
        <w:rPr>
          <w:rFonts w:cs="Calibri"/>
        </w:rPr>
        <w:t>Table 5.2.5</w:t>
      </w:r>
      <w:r w:rsidRPr="009E06AA">
        <w:rPr>
          <w:rFonts w:cs="Calibri"/>
        </w:rPr>
        <w:tab/>
        <w:t>Comparison of the IPCC (2006) default emission factor and country-specific implied emission factors (IEFs) for methane (CH</w:t>
      </w:r>
      <w:r w:rsidRPr="009E06AA">
        <w:rPr>
          <w:rFonts w:cs="Calibri"/>
          <w:vertAlign w:val="subscript"/>
        </w:rPr>
        <w:t>4</w:t>
      </w:r>
      <w:r w:rsidRPr="009E06AA">
        <w:rPr>
          <w:rFonts w:cs="Calibri"/>
        </w:rPr>
        <w:t xml:space="preserve">) from </w:t>
      </w:r>
      <w:r w:rsidRPr="009E06AA">
        <w:rPr>
          <w:rFonts w:cs="Calibri"/>
          <w:i/>
          <w:iCs/>
        </w:rPr>
        <w:t>Enteric fermentation</w:t>
      </w:r>
      <w:r w:rsidRPr="009E06AA">
        <w:rPr>
          <w:rFonts w:cs="Calibri"/>
        </w:rPr>
        <w:t xml:space="preserve"> for </w:t>
      </w:r>
      <w:r w:rsidRPr="009E06AA">
        <w:rPr>
          <w:rFonts w:cs="Calibri"/>
          <w:i/>
          <w:iCs/>
        </w:rPr>
        <w:t>Dairy cattle</w:t>
      </w:r>
      <w:r w:rsidRPr="009E06AA">
        <w:rPr>
          <w:rFonts w:cs="Calibri"/>
        </w:rPr>
        <w:t>,</w:t>
      </w:r>
      <w:r w:rsidRPr="009E06AA">
        <w:rPr>
          <w:rFonts w:cs="Calibri"/>
        </w:rPr>
        <w:br/>
      </w:r>
      <w:r w:rsidRPr="009E06AA">
        <w:rPr>
          <w:rFonts w:cs="Calibri"/>
          <w:i/>
          <w:iCs/>
        </w:rPr>
        <w:t>Non</w:t>
      </w:r>
      <w:r w:rsidRPr="009E06AA">
        <w:rPr>
          <w:rFonts w:cs="Calibri"/>
          <w:i/>
          <w:iCs/>
        </w:rPr>
        <w:noBreakHyphen/>
        <w:t>dairy</w:t>
      </w:r>
      <w:r w:rsidRPr="009E06AA">
        <w:rPr>
          <w:rFonts w:cs="Calibri"/>
        </w:rPr>
        <w:t xml:space="preserve"> </w:t>
      </w:r>
      <w:r w:rsidRPr="009E06AA">
        <w:rPr>
          <w:rFonts w:cs="Calibri"/>
          <w:i/>
          <w:iCs/>
        </w:rPr>
        <w:t>cattle</w:t>
      </w:r>
      <w:r w:rsidRPr="009E06AA">
        <w:rPr>
          <w:rFonts w:cs="Calibri"/>
        </w:rPr>
        <w:t xml:space="preserve"> and </w:t>
      </w:r>
      <w:r w:rsidRPr="009E06AA">
        <w:rPr>
          <w:rFonts w:cs="Calibri"/>
          <w:i/>
          <w:iCs/>
        </w:rPr>
        <w:t>Sheep</w:t>
      </w:r>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p>
    <w:tbl>
      <w:tblPr>
        <w:tblW w:w="8448" w:type="dxa"/>
        <w:tblBorders>
          <w:top w:val="single" w:sz="4" w:space="0" w:color="1B556B" w:themeColor="text2"/>
          <w:bottom w:val="single" w:sz="4" w:space="0" w:color="1B556B" w:themeColor="text2"/>
          <w:insideH w:val="single" w:sz="4" w:space="0" w:color="1B556B" w:themeColor="text2"/>
        </w:tblBorders>
        <w:tblLayout w:type="fixed"/>
        <w:tblCellMar>
          <w:left w:w="85" w:type="dxa"/>
          <w:right w:w="57" w:type="dxa"/>
        </w:tblCellMar>
        <w:tblLook w:val="0000" w:firstRow="0" w:lastRow="0" w:firstColumn="0" w:lastColumn="0" w:noHBand="0" w:noVBand="0"/>
      </w:tblPr>
      <w:tblGrid>
        <w:gridCol w:w="3402"/>
        <w:gridCol w:w="1843"/>
        <w:gridCol w:w="1725"/>
        <w:gridCol w:w="1478"/>
      </w:tblGrid>
      <w:tr w:rsidR="007523B8" w:rsidRPr="009E06AA" w14:paraId="7CF49697" w14:textId="77777777" w:rsidTr="00B55F24">
        <w:trPr>
          <w:trHeight w:val="406"/>
          <w:tblHeader/>
        </w:trPr>
        <w:tc>
          <w:tcPr>
            <w:tcW w:w="3402" w:type="dxa"/>
            <w:shd w:val="clear" w:color="auto" w:fill="1B556B"/>
          </w:tcPr>
          <w:p w14:paraId="0BC35B2A" w14:textId="77777777" w:rsidR="007523B8" w:rsidRPr="009E06AA" w:rsidRDefault="007523B8" w:rsidP="00B55F24">
            <w:pPr>
              <w:pStyle w:val="TableTextBold"/>
              <w:spacing w:before="40" w:after="40"/>
              <w:rPr>
                <w:noProof w:val="0"/>
                <w:color w:val="FFFFFF" w:themeColor="background1"/>
                <w:szCs w:val="16"/>
              </w:rPr>
            </w:pPr>
          </w:p>
        </w:tc>
        <w:tc>
          <w:tcPr>
            <w:tcW w:w="1843" w:type="dxa"/>
            <w:shd w:val="clear" w:color="auto" w:fill="1B556B"/>
            <w:vAlign w:val="bottom"/>
          </w:tcPr>
          <w:p w14:paraId="608D1BE5" w14:textId="77777777" w:rsidR="007523B8" w:rsidRPr="009E06AA" w:rsidRDefault="007523B8" w:rsidP="00C7587B">
            <w:pPr>
              <w:pStyle w:val="TableTextBold"/>
              <w:spacing w:before="40" w:after="40"/>
              <w:jc w:val="right"/>
              <w:rPr>
                <w:noProof w:val="0"/>
                <w:color w:val="FFFFFF" w:themeColor="background1"/>
                <w:szCs w:val="16"/>
              </w:rPr>
            </w:pPr>
            <w:r w:rsidRPr="009E06AA">
              <w:rPr>
                <w:noProof w:val="0"/>
                <w:color w:val="FFFFFF" w:themeColor="background1"/>
                <w:szCs w:val="16"/>
              </w:rPr>
              <w:t>Dairy cattle</w:t>
            </w:r>
            <w:r w:rsidRPr="009E06AA">
              <w:rPr>
                <w:noProof w:val="0"/>
                <w:color w:val="FFFFFF" w:themeColor="background1"/>
                <w:szCs w:val="16"/>
              </w:rPr>
              <w:br/>
              <w:t>(kg CH</w:t>
            </w:r>
            <w:r w:rsidRPr="009E06AA">
              <w:rPr>
                <w:noProof w:val="0"/>
                <w:color w:val="FFFFFF" w:themeColor="background1"/>
                <w:szCs w:val="16"/>
                <w:vertAlign w:val="subscript"/>
              </w:rPr>
              <w:t>4</w:t>
            </w:r>
            <w:r w:rsidRPr="009E06AA">
              <w:rPr>
                <w:noProof w:val="0"/>
                <w:color w:val="FFFFFF" w:themeColor="background1"/>
                <w:szCs w:val="16"/>
              </w:rPr>
              <w:t>/head/year)</w:t>
            </w:r>
          </w:p>
        </w:tc>
        <w:tc>
          <w:tcPr>
            <w:tcW w:w="1725" w:type="dxa"/>
            <w:shd w:val="clear" w:color="auto" w:fill="1B556B"/>
            <w:vAlign w:val="bottom"/>
          </w:tcPr>
          <w:p w14:paraId="2073FE87" w14:textId="77777777" w:rsidR="007523B8" w:rsidRPr="009E06AA" w:rsidRDefault="007523B8" w:rsidP="00C7587B">
            <w:pPr>
              <w:pStyle w:val="TableTextBold"/>
              <w:spacing w:before="40" w:after="40"/>
              <w:jc w:val="right"/>
              <w:rPr>
                <w:noProof w:val="0"/>
                <w:color w:val="FFFFFF" w:themeColor="background1"/>
                <w:szCs w:val="16"/>
              </w:rPr>
            </w:pPr>
            <w:r w:rsidRPr="009E06AA">
              <w:rPr>
                <w:noProof w:val="0"/>
                <w:color w:val="FFFFFF" w:themeColor="background1"/>
                <w:szCs w:val="16"/>
              </w:rPr>
              <w:t>Non-dairy cattle</w:t>
            </w:r>
            <w:r w:rsidRPr="009E06AA">
              <w:rPr>
                <w:noProof w:val="0"/>
                <w:color w:val="FFFFFF" w:themeColor="background1"/>
                <w:szCs w:val="16"/>
              </w:rPr>
              <w:br/>
              <w:t>(kg CH</w:t>
            </w:r>
            <w:r w:rsidRPr="009E06AA">
              <w:rPr>
                <w:noProof w:val="0"/>
                <w:color w:val="FFFFFF" w:themeColor="background1"/>
                <w:szCs w:val="16"/>
                <w:vertAlign w:val="subscript"/>
              </w:rPr>
              <w:t>4</w:t>
            </w:r>
            <w:r w:rsidRPr="009E06AA">
              <w:rPr>
                <w:noProof w:val="0"/>
                <w:color w:val="FFFFFF" w:themeColor="background1"/>
                <w:szCs w:val="16"/>
              </w:rPr>
              <w:t>/head/year)</w:t>
            </w:r>
          </w:p>
        </w:tc>
        <w:tc>
          <w:tcPr>
            <w:tcW w:w="1478" w:type="dxa"/>
            <w:shd w:val="clear" w:color="auto" w:fill="1B556B"/>
            <w:vAlign w:val="bottom"/>
          </w:tcPr>
          <w:p w14:paraId="1CF84ED2" w14:textId="77777777" w:rsidR="007523B8" w:rsidRPr="009E06AA" w:rsidRDefault="007523B8" w:rsidP="00C7587B">
            <w:pPr>
              <w:pStyle w:val="TableTextBold"/>
              <w:spacing w:before="40" w:after="40"/>
              <w:jc w:val="right"/>
              <w:rPr>
                <w:noProof w:val="0"/>
                <w:color w:val="FFFFFF" w:themeColor="background1"/>
                <w:szCs w:val="16"/>
              </w:rPr>
            </w:pPr>
            <w:r w:rsidRPr="009E06AA">
              <w:rPr>
                <w:noProof w:val="0"/>
                <w:color w:val="FFFFFF" w:themeColor="background1"/>
                <w:szCs w:val="16"/>
              </w:rPr>
              <w:t>Sheep</w:t>
            </w:r>
            <w:r w:rsidRPr="009E06AA">
              <w:rPr>
                <w:noProof w:val="0"/>
                <w:color w:val="FFFFFF" w:themeColor="background1"/>
                <w:szCs w:val="16"/>
              </w:rPr>
              <w:br/>
              <w:t>(kg CH</w:t>
            </w:r>
            <w:r w:rsidRPr="009E06AA">
              <w:rPr>
                <w:noProof w:val="0"/>
                <w:color w:val="FFFFFF" w:themeColor="background1"/>
                <w:szCs w:val="16"/>
                <w:vertAlign w:val="subscript"/>
              </w:rPr>
              <w:t>4</w:t>
            </w:r>
            <w:r w:rsidRPr="009E06AA">
              <w:rPr>
                <w:noProof w:val="0"/>
                <w:color w:val="FFFFFF" w:themeColor="background1"/>
                <w:szCs w:val="16"/>
              </w:rPr>
              <w:t>/head/year)</w:t>
            </w:r>
          </w:p>
        </w:tc>
      </w:tr>
      <w:tr w:rsidR="007523B8" w:rsidRPr="009E06AA" w14:paraId="3148AF73" w14:textId="77777777" w:rsidTr="00B55F24">
        <w:trPr>
          <w:trHeight w:val="248"/>
        </w:trPr>
        <w:tc>
          <w:tcPr>
            <w:tcW w:w="3402" w:type="dxa"/>
          </w:tcPr>
          <w:p w14:paraId="4E4229EC" w14:textId="77777777" w:rsidR="007523B8" w:rsidRPr="009E06AA" w:rsidRDefault="007523B8" w:rsidP="00B55F24">
            <w:pPr>
              <w:pStyle w:val="TableText"/>
              <w:spacing w:before="40" w:after="40"/>
              <w:rPr>
                <w:rFonts w:cs="Calibri"/>
                <w:szCs w:val="16"/>
              </w:rPr>
            </w:pPr>
            <w:r w:rsidRPr="009E06AA">
              <w:rPr>
                <w:rFonts w:cs="Calibri"/>
                <w:szCs w:val="16"/>
              </w:rPr>
              <w:t>IPCC (2006) Tier 1 Oceania default value</w:t>
            </w:r>
          </w:p>
        </w:tc>
        <w:tc>
          <w:tcPr>
            <w:tcW w:w="1843" w:type="dxa"/>
          </w:tcPr>
          <w:p w14:paraId="5B4F215E" w14:textId="77777777" w:rsidR="007523B8" w:rsidRPr="009E06AA" w:rsidRDefault="007523B8" w:rsidP="00C7587B">
            <w:pPr>
              <w:pStyle w:val="TableText"/>
              <w:spacing w:before="40" w:after="40"/>
              <w:jc w:val="right"/>
              <w:rPr>
                <w:rFonts w:cs="Calibri"/>
                <w:szCs w:val="16"/>
              </w:rPr>
            </w:pPr>
            <w:r w:rsidRPr="009E06AA">
              <w:rPr>
                <w:rFonts w:cs="Calibri"/>
                <w:szCs w:val="16"/>
              </w:rPr>
              <w:t>90.0</w:t>
            </w:r>
          </w:p>
        </w:tc>
        <w:tc>
          <w:tcPr>
            <w:tcW w:w="1725" w:type="dxa"/>
          </w:tcPr>
          <w:p w14:paraId="05BFFCCD" w14:textId="77777777" w:rsidR="007523B8" w:rsidRPr="009E06AA" w:rsidRDefault="007523B8" w:rsidP="00C7587B">
            <w:pPr>
              <w:pStyle w:val="TableText"/>
              <w:spacing w:before="40" w:after="40"/>
              <w:jc w:val="right"/>
              <w:rPr>
                <w:rFonts w:cs="Calibri"/>
                <w:szCs w:val="16"/>
              </w:rPr>
            </w:pPr>
            <w:r w:rsidRPr="009E06AA">
              <w:rPr>
                <w:rFonts w:cs="Calibri"/>
                <w:szCs w:val="16"/>
              </w:rPr>
              <w:t>60.0</w:t>
            </w:r>
          </w:p>
        </w:tc>
        <w:tc>
          <w:tcPr>
            <w:tcW w:w="1478" w:type="dxa"/>
          </w:tcPr>
          <w:p w14:paraId="3151FC4C" w14:textId="77777777" w:rsidR="007523B8" w:rsidRPr="009E06AA" w:rsidRDefault="007523B8" w:rsidP="00C7587B">
            <w:pPr>
              <w:pStyle w:val="TableText"/>
              <w:spacing w:before="40" w:after="40"/>
              <w:jc w:val="right"/>
              <w:rPr>
                <w:rFonts w:cs="Calibri"/>
                <w:szCs w:val="16"/>
              </w:rPr>
            </w:pPr>
            <w:r w:rsidRPr="009E06AA">
              <w:rPr>
                <w:rFonts w:cs="Calibri"/>
                <w:szCs w:val="16"/>
              </w:rPr>
              <w:t>8.0</w:t>
            </w:r>
          </w:p>
        </w:tc>
      </w:tr>
      <w:tr w:rsidR="007523B8" w:rsidRPr="009E06AA" w14:paraId="6E3C37EF" w14:textId="77777777" w:rsidTr="00B55F24">
        <w:trPr>
          <w:trHeight w:val="248"/>
        </w:trPr>
        <w:tc>
          <w:tcPr>
            <w:tcW w:w="3402" w:type="dxa"/>
            <w:shd w:val="clear" w:color="auto" w:fill="auto"/>
          </w:tcPr>
          <w:p w14:paraId="4C7F9F53" w14:textId="77777777" w:rsidR="007523B8" w:rsidRPr="009E06AA" w:rsidRDefault="007523B8" w:rsidP="00B55F24">
            <w:pPr>
              <w:pStyle w:val="TableText"/>
              <w:spacing w:before="40" w:after="40"/>
              <w:rPr>
                <w:rFonts w:cs="Calibri"/>
                <w:szCs w:val="16"/>
              </w:rPr>
            </w:pPr>
            <w:r w:rsidRPr="009E06AA">
              <w:rPr>
                <w:rFonts w:cs="Calibri"/>
                <w:szCs w:val="16"/>
              </w:rPr>
              <w:t>IPCC (2006) Tier 2 net energy-based value</w:t>
            </w:r>
          </w:p>
        </w:tc>
        <w:tc>
          <w:tcPr>
            <w:tcW w:w="1843" w:type="dxa"/>
            <w:shd w:val="clear" w:color="auto" w:fill="auto"/>
          </w:tcPr>
          <w:p w14:paraId="5710171B" w14:textId="77777777" w:rsidR="007523B8" w:rsidRPr="009E06AA" w:rsidRDefault="007523B8" w:rsidP="00C7587B">
            <w:pPr>
              <w:pStyle w:val="TableText"/>
              <w:spacing w:before="40" w:after="40"/>
              <w:jc w:val="right"/>
              <w:rPr>
                <w:rFonts w:cs="Calibri"/>
                <w:szCs w:val="16"/>
              </w:rPr>
            </w:pPr>
            <w:r w:rsidRPr="009E06AA">
              <w:rPr>
                <w:rFonts w:cs="Calibri"/>
                <w:szCs w:val="16"/>
              </w:rPr>
              <w:t>72.5</w:t>
            </w:r>
          </w:p>
        </w:tc>
        <w:tc>
          <w:tcPr>
            <w:tcW w:w="1725" w:type="dxa"/>
            <w:shd w:val="clear" w:color="auto" w:fill="auto"/>
          </w:tcPr>
          <w:p w14:paraId="1F534C7D" w14:textId="77777777" w:rsidR="007523B8" w:rsidRPr="009E06AA" w:rsidRDefault="007523B8" w:rsidP="00C7587B">
            <w:pPr>
              <w:pStyle w:val="TableText"/>
              <w:spacing w:before="40" w:after="40"/>
              <w:jc w:val="right"/>
              <w:rPr>
                <w:rFonts w:cs="Calibri"/>
                <w:szCs w:val="16"/>
              </w:rPr>
            </w:pPr>
            <w:r w:rsidRPr="009E06AA">
              <w:rPr>
                <w:rFonts w:cs="Calibri"/>
                <w:szCs w:val="16"/>
              </w:rPr>
              <w:t>51.6</w:t>
            </w:r>
          </w:p>
        </w:tc>
        <w:tc>
          <w:tcPr>
            <w:tcW w:w="1478" w:type="dxa"/>
            <w:shd w:val="clear" w:color="auto" w:fill="auto"/>
          </w:tcPr>
          <w:p w14:paraId="59AA1D8B" w14:textId="77777777" w:rsidR="007523B8" w:rsidRPr="009E06AA" w:rsidRDefault="007523B8" w:rsidP="00C7587B">
            <w:pPr>
              <w:pStyle w:val="TableText"/>
              <w:spacing w:before="40" w:after="40"/>
              <w:jc w:val="right"/>
              <w:rPr>
                <w:rFonts w:cs="Calibri"/>
                <w:szCs w:val="16"/>
              </w:rPr>
            </w:pPr>
            <w:r w:rsidRPr="009E06AA">
              <w:rPr>
                <w:rFonts w:cs="Calibri"/>
                <w:szCs w:val="16"/>
              </w:rPr>
              <w:t>8.9</w:t>
            </w:r>
          </w:p>
        </w:tc>
      </w:tr>
      <w:tr w:rsidR="007523B8" w:rsidRPr="009E06AA" w14:paraId="0A3FFF9F" w14:textId="77777777" w:rsidTr="00B55F24">
        <w:trPr>
          <w:trHeight w:val="455"/>
        </w:trPr>
        <w:tc>
          <w:tcPr>
            <w:tcW w:w="3402" w:type="dxa"/>
          </w:tcPr>
          <w:p w14:paraId="173AAEE2" w14:textId="77777777" w:rsidR="007523B8" w:rsidRPr="009E06AA" w:rsidRDefault="007523B8" w:rsidP="00B55F24">
            <w:pPr>
              <w:pStyle w:val="TableText"/>
              <w:spacing w:before="40" w:after="40"/>
              <w:rPr>
                <w:rFonts w:cs="Calibri"/>
                <w:szCs w:val="16"/>
              </w:rPr>
            </w:pPr>
            <w:r w:rsidRPr="009E06AA">
              <w:rPr>
                <w:rFonts w:cs="Calibri"/>
                <w:szCs w:val="16"/>
              </w:rPr>
              <w:t>Australian-specific IEF 2021 value</w:t>
            </w:r>
            <w:r w:rsidRPr="009E06AA">
              <w:rPr>
                <w:rStyle w:val="FootnoteReference"/>
                <w:sz w:val="16"/>
              </w:rPr>
              <w:footnoteReference w:id="36"/>
            </w:r>
          </w:p>
        </w:tc>
        <w:tc>
          <w:tcPr>
            <w:tcW w:w="1843" w:type="dxa"/>
          </w:tcPr>
          <w:p w14:paraId="4153CCAC" w14:textId="77777777" w:rsidR="007523B8" w:rsidRPr="009E06AA" w:rsidRDefault="007523B8" w:rsidP="00C7587B">
            <w:pPr>
              <w:pStyle w:val="TableText"/>
              <w:spacing w:before="40" w:after="40"/>
              <w:jc w:val="right"/>
              <w:rPr>
                <w:rFonts w:cs="Calibri"/>
                <w:szCs w:val="16"/>
              </w:rPr>
            </w:pPr>
            <w:r w:rsidRPr="009E06AA">
              <w:rPr>
                <w:rFonts w:cs="Calibri"/>
                <w:szCs w:val="16"/>
              </w:rPr>
              <w:t>95.8</w:t>
            </w:r>
          </w:p>
        </w:tc>
        <w:tc>
          <w:tcPr>
            <w:tcW w:w="1725" w:type="dxa"/>
          </w:tcPr>
          <w:p w14:paraId="46DFC1A5" w14:textId="77777777" w:rsidR="007523B8" w:rsidRPr="009E06AA" w:rsidRDefault="007523B8" w:rsidP="00C7587B">
            <w:pPr>
              <w:pStyle w:val="TableText"/>
              <w:spacing w:before="40" w:after="0"/>
              <w:jc w:val="right"/>
              <w:rPr>
                <w:rFonts w:cs="Calibri"/>
                <w:szCs w:val="16"/>
              </w:rPr>
            </w:pPr>
            <w:r w:rsidRPr="009E06AA">
              <w:rPr>
                <w:rFonts w:cs="Calibri"/>
                <w:szCs w:val="16"/>
              </w:rPr>
              <w:t>51.2 (pasture)</w:t>
            </w:r>
          </w:p>
          <w:p w14:paraId="1114A4A5" w14:textId="77777777" w:rsidR="007523B8" w:rsidRPr="009E06AA" w:rsidRDefault="007523B8" w:rsidP="00C7587B">
            <w:pPr>
              <w:pStyle w:val="TableText"/>
              <w:spacing w:before="40" w:after="40"/>
              <w:jc w:val="right"/>
              <w:rPr>
                <w:rFonts w:cs="Calibri"/>
                <w:szCs w:val="16"/>
              </w:rPr>
            </w:pPr>
            <w:r w:rsidRPr="009E06AA">
              <w:rPr>
                <w:rFonts w:cs="Calibri"/>
                <w:szCs w:val="16"/>
              </w:rPr>
              <w:t>68.1 (feedlot)</w:t>
            </w:r>
          </w:p>
        </w:tc>
        <w:tc>
          <w:tcPr>
            <w:tcW w:w="1478" w:type="dxa"/>
          </w:tcPr>
          <w:p w14:paraId="5FFD0F47" w14:textId="77777777" w:rsidR="007523B8" w:rsidRPr="009E06AA" w:rsidRDefault="007523B8" w:rsidP="00C7587B">
            <w:pPr>
              <w:pStyle w:val="TableText"/>
              <w:spacing w:before="40" w:after="40"/>
              <w:jc w:val="right"/>
              <w:rPr>
                <w:rFonts w:cs="Calibri"/>
                <w:szCs w:val="16"/>
              </w:rPr>
            </w:pPr>
            <w:r w:rsidRPr="009E06AA">
              <w:rPr>
                <w:rFonts w:cs="Calibri"/>
                <w:szCs w:val="16"/>
              </w:rPr>
              <w:t>6.7</w:t>
            </w:r>
          </w:p>
        </w:tc>
      </w:tr>
      <w:tr w:rsidR="007523B8" w:rsidRPr="009E06AA" w14:paraId="63F826E7" w14:textId="77777777" w:rsidTr="00B55F24">
        <w:trPr>
          <w:trHeight w:val="36"/>
        </w:trPr>
        <w:tc>
          <w:tcPr>
            <w:tcW w:w="3402" w:type="dxa"/>
            <w:shd w:val="clear" w:color="auto" w:fill="auto"/>
          </w:tcPr>
          <w:p w14:paraId="543E2EA8" w14:textId="77777777" w:rsidR="007523B8" w:rsidRPr="009E06AA" w:rsidRDefault="007523B8" w:rsidP="00B55F24">
            <w:pPr>
              <w:pStyle w:val="TableText"/>
              <w:spacing w:before="40" w:after="40"/>
              <w:rPr>
                <w:rFonts w:cs="Calibri"/>
                <w:szCs w:val="16"/>
              </w:rPr>
            </w:pPr>
            <w:r w:rsidRPr="009E06AA">
              <w:rPr>
                <w:rFonts w:cs="Calibri"/>
                <w:szCs w:val="16"/>
              </w:rPr>
              <w:t>New Zealand-specific IEF 2022 value</w:t>
            </w:r>
          </w:p>
        </w:tc>
        <w:tc>
          <w:tcPr>
            <w:tcW w:w="1843" w:type="dxa"/>
          </w:tcPr>
          <w:p w14:paraId="7090D033" w14:textId="77777777" w:rsidR="007523B8" w:rsidRPr="009E06AA" w:rsidRDefault="007523B8" w:rsidP="00C7587B">
            <w:pPr>
              <w:pStyle w:val="TableText"/>
              <w:spacing w:before="40" w:after="0"/>
              <w:jc w:val="right"/>
              <w:rPr>
                <w:rFonts w:cs="Calibri"/>
                <w:szCs w:val="16"/>
              </w:rPr>
            </w:pPr>
            <w:r w:rsidRPr="009E06AA">
              <w:rPr>
                <w:rFonts w:cs="Calibri"/>
                <w:szCs w:val="16"/>
              </w:rPr>
              <w:t xml:space="preserve">93.08 (all dairy cattle, </w:t>
            </w:r>
            <w:r w:rsidRPr="009E06AA">
              <w:rPr>
                <w:rFonts w:cs="Calibri"/>
                <w:szCs w:val="16"/>
              </w:rPr>
              <w:br/>
              <w:t>including calves)</w:t>
            </w:r>
          </w:p>
          <w:p w14:paraId="7E902750" w14:textId="77777777" w:rsidR="007523B8" w:rsidRPr="009E06AA" w:rsidRDefault="007523B8" w:rsidP="00C7587B">
            <w:pPr>
              <w:pStyle w:val="TableText"/>
              <w:spacing w:before="40" w:after="40"/>
              <w:jc w:val="right"/>
              <w:rPr>
                <w:rFonts w:cs="Calibri"/>
                <w:szCs w:val="16"/>
              </w:rPr>
            </w:pPr>
            <w:r w:rsidRPr="009E06AA">
              <w:rPr>
                <w:rFonts w:cs="Calibri"/>
                <w:szCs w:val="16"/>
              </w:rPr>
              <w:t xml:space="preserve">100.69 (mature milking </w:t>
            </w:r>
            <w:r w:rsidRPr="009E06AA">
              <w:rPr>
                <w:rFonts w:cs="Calibri"/>
                <w:szCs w:val="16"/>
              </w:rPr>
              <w:br/>
              <w:t>cattle only)</w:t>
            </w:r>
          </w:p>
        </w:tc>
        <w:tc>
          <w:tcPr>
            <w:tcW w:w="1725" w:type="dxa"/>
          </w:tcPr>
          <w:p w14:paraId="7B4132C0" w14:textId="77777777" w:rsidR="007523B8" w:rsidRPr="009E06AA" w:rsidRDefault="007523B8" w:rsidP="00C7587B">
            <w:pPr>
              <w:pStyle w:val="TableText"/>
              <w:spacing w:before="40" w:after="40"/>
              <w:jc w:val="right"/>
              <w:rPr>
                <w:rFonts w:cs="Calibri"/>
                <w:szCs w:val="16"/>
              </w:rPr>
            </w:pPr>
            <w:r w:rsidRPr="009E06AA">
              <w:rPr>
                <w:rFonts w:cs="Calibri"/>
                <w:szCs w:val="16"/>
              </w:rPr>
              <w:t>66.00</w:t>
            </w:r>
          </w:p>
        </w:tc>
        <w:tc>
          <w:tcPr>
            <w:tcW w:w="1478" w:type="dxa"/>
          </w:tcPr>
          <w:p w14:paraId="0F44F859" w14:textId="77777777" w:rsidR="007523B8" w:rsidRPr="009E06AA" w:rsidDel="00176609" w:rsidRDefault="007523B8" w:rsidP="00C7587B">
            <w:pPr>
              <w:pStyle w:val="TableText"/>
              <w:spacing w:before="40" w:after="40"/>
              <w:jc w:val="right"/>
              <w:rPr>
                <w:rFonts w:cs="Calibri"/>
                <w:szCs w:val="16"/>
              </w:rPr>
            </w:pPr>
            <w:r w:rsidRPr="009E06AA">
              <w:rPr>
                <w:rFonts w:cs="Calibri"/>
                <w:szCs w:val="16"/>
              </w:rPr>
              <w:t>12.5</w:t>
            </w:r>
          </w:p>
        </w:tc>
      </w:tr>
    </w:tbl>
    <w:p w14:paraId="41F94B14" w14:textId="77777777" w:rsidR="007523B8" w:rsidRPr="009E06AA" w:rsidRDefault="007523B8" w:rsidP="007523B8">
      <w:pPr>
        <w:pStyle w:val="Noteundertable"/>
        <w:rPr>
          <w:rFonts w:cs="Calibri"/>
        </w:rPr>
      </w:pPr>
      <w:r w:rsidRPr="009E06AA">
        <w:rPr>
          <w:rFonts w:cs="Calibri"/>
          <w:b/>
          <w:bCs/>
        </w:rPr>
        <w:t xml:space="preserve">Note: </w:t>
      </w:r>
      <w:r w:rsidRPr="009E06AA">
        <w:rPr>
          <w:rFonts w:cs="Calibri"/>
          <w:b/>
        </w:rPr>
        <w:tab/>
      </w:r>
      <w:r w:rsidRPr="009E06AA">
        <w:rPr>
          <w:rFonts w:cs="Calibri"/>
        </w:rPr>
        <w:t>The IPCC (2006) value for sheep is for developed countries.</w:t>
      </w:r>
    </w:p>
    <w:p w14:paraId="13C20BF8" w14:textId="77777777" w:rsidR="007523B8" w:rsidRPr="009E06AA" w:rsidRDefault="007523B8" w:rsidP="007523B8">
      <w:pPr>
        <w:pStyle w:val="BodyText"/>
        <w:rPr>
          <w:rFonts w:cs="Calibri"/>
        </w:rPr>
      </w:pPr>
      <w:r w:rsidRPr="009E06AA">
        <w:rPr>
          <w:rFonts w:cs="Calibri"/>
          <w:b/>
          <w:bCs/>
          <w:i/>
          <w:iCs/>
        </w:rPr>
        <w:t>Dairy cattle:</w:t>
      </w:r>
      <w:r w:rsidRPr="009E06AA">
        <w:rPr>
          <w:rFonts w:cs="Calibri"/>
        </w:rPr>
        <w:t xml:space="preserve"> New Zealand’s 2022 IEF for all dairy cattle, including calves, is higher than the IPCC Tier 1 Oceania default value and lower than the Australian-specific IEF. New Zealand’s 2021 IEF for mature milking cattle is higher than the IPCC Tier 1 Oceania default value and the 2021 Australian-specific IEF.</w:t>
      </w:r>
    </w:p>
    <w:p w14:paraId="1651EA6F" w14:textId="77777777" w:rsidR="007523B8" w:rsidRPr="009E06AA" w:rsidRDefault="007523B8" w:rsidP="007523B8">
      <w:pPr>
        <w:pStyle w:val="BodyText"/>
        <w:rPr>
          <w:rFonts w:cs="Calibri"/>
        </w:rPr>
      </w:pPr>
      <w:r w:rsidRPr="009E06AA">
        <w:rPr>
          <w:rFonts w:cs="Calibri"/>
        </w:rPr>
        <w:t xml:space="preserve">Although New Zealand’s predominantly pasture-based system is similar to Australian dairy cattle management, the lower IEF value could be explained by New Zealand’s higher proportion of lower liveweight cattle breeds. The 2022 Australian dairy herd comprised 73 per cent Holstein; other breeds include Jersey, Brown Swiss, Ayrshire, the Australian Red and the Illawarra (DataGene Limited, 2023). In 2022, 59.9 per cent of New Zealand’s cow population comprised a Holstein–Friesian/Jersey crossbreed, 24.4 per cent are </w:t>
      </w:r>
      <w:r w:rsidRPr="009E06AA">
        <w:rPr>
          <w:rFonts w:cs="Calibri"/>
        </w:rPr>
        <w:br/>
        <w:t xml:space="preserve">Holstein–Friesian and 7.6 per cent are Jersey (LIC and DairyNZ, 2023). </w:t>
      </w:r>
    </w:p>
    <w:p w14:paraId="5F9B66C9" w14:textId="77777777" w:rsidR="007523B8" w:rsidRPr="009E06AA" w:rsidRDefault="007523B8" w:rsidP="007523B8">
      <w:pPr>
        <w:pStyle w:val="BodyText"/>
        <w:rPr>
          <w:rFonts w:cs="Calibri"/>
          <w:spacing w:val="-2"/>
        </w:rPr>
      </w:pPr>
      <w:r w:rsidRPr="009E06AA">
        <w:rPr>
          <w:rFonts w:cs="Calibri"/>
          <w:spacing w:val="-2"/>
        </w:rPr>
        <w:t xml:space="preserve">In </w:t>
      </w:r>
      <w:r w:rsidRPr="009E06AA">
        <w:rPr>
          <w:rFonts w:cs="Calibri"/>
        </w:rPr>
        <w:t>New Zealand’s</w:t>
      </w:r>
      <w:r w:rsidRPr="009E06AA">
        <w:rPr>
          <w:rFonts w:cs="Calibri"/>
          <w:spacing w:val="-2"/>
        </w:rPr>
        <w:t xml:space="preserve"> Tier 2 inventory model, dairy cattle encompass all cattle that are required to support the milking dairy herd. This includes calves, young growing non</w:t>
      </w:r>
      <w:r w:rsidRPr="009E06AA">
        <w:rPr>
          <w:rFonts w:cs="Calibri"/>
          <w:spacing w:val="-2"/>
        </w:rPr>
        <w:noBreakHyphen/>
        <w:t xml:space="preserve">lactating heifers, dry cows and bulls. Because the emissions from these animals are included in the IEF calculations, the IEF will be lower than if only mature milking cows had been considered. </w:t>
      </w:r>
    </w:p>
    <w:p w14:paraId="67C30B47" w14:textId="77777777" w:rsidR="007523B8" w:rsidRPr="009E06AA" w:rsidRDefault="007523B8" w:rsidP="007523B8">
      <w:pPr>
        <w:pStyle w:val="BodyText"/>
        <w:rPr>
          <w:rFonts w:cs="Calibri"/>
        </w:rPr>
      </w:pPr>
      <w:r w:rsidRPr="009E06AA">
        <w:rPr>
          <w:rFonts w:cs="Calibri"/>
        </w:rPr>
        <w:t xml:space="preserve">New Zealand’s dairy 2022 IEF is higher than the IPCC Tier 2 net energy-based value. This could be because of the different energy intakes and requirements of housed animals compared with animals grazing on pasture, or differences in per-animal productivity in </w:t>
      </w:r>
      <w:r w:rsidRPr="009E06AA" w:rsidDel="00160843">
        <w:rPr>
          <w:rFonts w:cs="Calibri"/>
        </w:rPr>
        <w:t xml:space="preserve">New </w:t>
      </w:r>
      <w:r w:rsidRPr="009E06AA">
        <w:rPr>
          <w:rFonts w:cs="Calibri"/>
        </w:rPr>
        <w:t xml:space="preserve">Zealand compared with other countries. The feeding algorithms within New Zealand’s national inventory use </w:t>
      </w:r>
      <w:r w:rsidRPr="009E06AA" w:rsidDel="00160843">
        <w:rPr>
          <w:rFonts w:cs="Calibri"/>
        </w:rPr>
        <w:t xml:space="preserve">New </w:t>
      </w:r>
      <w:r w:rsidRPr="009E06AA">
        <w:rPr>
          <w:rFonts w:cs="Calibri"/>
        </w:rPr>
        <w:t xml:space="preserve">Zealand-specific activity data and methodology that better reflect the pastoral-based farming systems in </w:t>
      </w:r>
      <w:r w:rsidRPr="009E06AA" w:rsidDel="00160843">
        <w:rPr>
          <w:rFonts w:cs="Calibri"/>
        </w:rPr>
        <w:t>New</w:t>
      </w:r>
      <w:r w:rsidRPr="009E06AA">
        <w:rPr>
          <w:rFonts w:cs="Calibri"/>
        </w:rPr>
        <w:t xml:space="preserve"> Zealand.</w:t>
      </w:r>
    </w:p>
    <w:p w14:paraId="40948FF7" w14:textId="77777777" w:rsidR="007523B8" w:rsidRPr="009E06AA" w:rsidRDefault="007523B8" w:rsidP="007523B8">
      <w:pPr>
        <w:pStyle w:val="BodyText"/>
        <w:rPr>
          <w:rFonts w:cs="Calibri"/>
        </w:rPr>
      </w:pPr>
      <w:r w:rsidRPr="009E06AA">
        <w:rPr>
          <w:rFonts w:cs="Calibri"/>
          <w:b/>
          <w:bCs/>
          <w:i/>
          <w:iCs/>
        </w:rPr>
        <w:t>Non-dairy cattle:</w:t>
      </w:r>
      <w:r w:rsidRPr="009E06AA">
        <w:rPr>
          <w:rFonts w:cs="Calibri"/>
        </w:rPr>
        <w:t xml:space="preserve"> The </w:t>
      </w:r>
      <w:r w:rsidRPr="009E06AA" w:rsidDel="00160843">
        <w:rPr>
          <w:rFonts w:cs="Calibri"/>
        </w:rPr>
        <w:t xml:space="preserve">New </w:t>
      </w:r>
      <w:r w:rsidRPr="009E06AA">
        <w:rPr>
          <w:rFonts w:cs="Calibri"/>
        </w:rPr>
        <w:t xml:space="preserve">Zealand-specific 2022 IEF for </w:t>
      </w:r>
      <w:r w:rsidRPr="009E06AA">
        <w:rPr>
          <w:rFonts w:cs="Calibri"/>
          <w:i/>
          <w:iCs/>
        </w:rPr>
        <w:t>Non-dairy cattle</w:t>
      </w:r>
      <w:r w:rsidRPr="009E06AA">
        <w:rPr>
          <w:rFonts w:cs="Calibri"/>
        </w:rPr>
        <w:t xml:space="preserve"> is greater than the IPCC Tier 1 Oceania default value and the IPCC Tier 2 net energy-based value. Differences such as feed type and quality, breed and which animals are characterised as non</w:t>
      </w:r>
      <w:r w:rsidRPr="009E06AA">
        <w:rPr>
          <w:rFonts w:cs="Calibri"/>
        </w:rPr>
        <w:noBreakHyphen/>
        <w:t xml:space="preserve">dairy will influence the IEFs. As explained for dairy cattle above, the main difference between the IPCC Tier 2 value and the </w:t>
      </w:r>
      <w:r w:rsidRPr="009E06AA" w:rsidDel="00C8076E">
        <w:rPr>
          <w:rFonts w:cs="Calibri"/>
        </w:rPr>
        <w:t>New</w:t>
      </w:r>
      <w:r w:rsidRPr="009E06AA">
        <w:rPr>
          <w:rFonts w:cs="Calibri"/>
        </w:rPr>
        <w:t xml:space="preserve"> Zealand-specific value (apart from the different energy equations determining them) is that the feeding algorithms within New Zealand’s national inventory use </w:t>
      </w:r>
      <w:r w:rsidRPr="009E06AA" w:rsidDel="00B6374C">
        <w:rPr>
          <w:rFonts w:cs="Calibri"/>
        </w:rPr>
        <w:t xml:space="preserve">New </w:t>
      </w:r>
      <w:r w:rsidRPr="009E06AA">
        <w:rPr>
          <w:rFonts w:cs="Calibri"/>
        </w:rPr>
        <w:t>Zealand-specific activity data and methodology that better reflect New Zealand’s outdoor pastoral-based farming systems.</w:t>
      </w:r>
    </w:p>
    <w:p w14:paraId="1E63C329" w14:textId="77777777" w:rsidR="007523B8" w:rsidRPr="009E06AA" w:rsidRDefault="007523B8" w:rsidP="007523B8">
      <w:pPr>
        <w:pStyle w:val="BodyText"/>
        <w:rPr>
          <w:rFonts w:cs="Calibri"/>
        </w:rPr>
      </w:pPr>
      <w:r w:rsidRPr="009E06AA">
        <w:rPr>
          <w:rFonts w:cs="Calibri"/>
          <w:b/>
          <w:bCs/>
          <w:i/>
          <w:iCs/>
        </w:rPr>
        <w:t>Sheep:</w:t>
      </w:r>
      <w:r w:rsidRPr="009E06AA">
        <w:rPr>
          <w:rFonts w:cs="Calibri"/>
        </w:rPr>
        <w:t xml:space="preserve"> New Zealand’s 2022 IEF for sheep is higher than the IPCC Tier 1 default value and higher than the 2021 Australian-specific IEF, the IPCC Tier 1 Oceania default value and IPCC Tier 2 net energy-based value. This is because the annual sheep population figure used to calculate the IEF is based on the June population, in </w:t>
      </w:r>
      <w:r w:rsidRPr="009E06AA" w:rsidDel="00492649">
        <w:rPr>
          <w:rFonts w:cs="Calibri"/>
        </w:rPr>
        <w:t>mid</w:t>
      </w:r>
      <w:r w:rsidRPr="009E06AA">
        <w:rPr>
          <w:rFonts w:cs="Calibri"/>
        </w:rPr>
        <w:t>-winter. This count excludes most lambs, born in spring (August–September) and raised and slaughtered during summer and early autumn (February, March and April). New Zealand does take lambs into account when determining total annual enteric CH</w:t>
      </w:r>
      <w:r w:rsidRPr="009E06AA">
        <w:rPr>
          <w:rFonts w:cs="Calibri"/>
          <w:vertAlign w:val="subscript"/>
        </w:rPr>
        <w:t>4</w:t>
      </w:r>
      <w:r w:rsidRPr="009E06AA">
        <w:rPr>
          <w:rFonts w:cs="Calibri"/>
        </w:rPr>
        <w:t xml:space="preserve"> emissions because emissions are calculated monthly, but it does not include the lamb population when estimating the IEF. The same rationale as put forward for cattle is also a contributing factor to the difference between the </w:t>
      </w:r>
      <w:r w:rsidRPr="009E06AA" w:rsidDel="00C36118">
        <w:rPr>
          <w:rFonts w:cs="Calibri"/>
        </w:rPr>
        <w:t xml:space="preserve">New </w:t>
      </w:r>
      <w:r w:rsidRPr="009E06AA">
        <w:rPr>
          <w:rFonts w:cs="Calibri"/>
        </w:rPr>
        <w:t>Zealand IEF and IPCC values.</w:t>
      </w:r>
    </w:p>
    <w:p w14:paraId="7442B9DB" w14:textId="77777777" w:rsidR="007523B8" w:rsidRPr="009E06AA" w:rsidRDefault="007523B8" w:rsidP="007523B8">
      <w:pPr>
        <w:pStyle w:val="Heading4"/>
      </w:pPr>
      <w:r w:rsidRPr="009E06AA">
        <w:t>Verifying regional methane emissions using inverse modelling techniques</w:t>
      </w:r>
    </w:p>
    <w:p w14:paraId="3EE10F14" w14:textId="77777777" w:rsidR="007523B8" w:rsidRPr="009E06AA" w:rsidRDefault="007523B8" w:rsidP="007523B8">
      <w:pPr>
        <w:pStyle w:val="BodyText"/>
      </w:pPr>
      <w:r w:rsidRPr="009E06AA">
        <w:rPr>
          <w:rFonts w:cs="Calibri"/>
        </w:rPr>
        <w:t>New Zealand</w:t>
      </w:r>
      <w:r w:rsidRPr="009E06AA">
        <w:t xml:space="preserve"> has invested in developing country-specific methods and emission factors to estimate CH</w:t>
      </w:r>
      <w:r w:rsidRPr="009E06AA">
        <w:rPr>
          <w:vertAlign w:val="subscript"/>
        </w:rPr>
        <w:t>4</w:t>
      </w:r>
      <w:r w:rsidRPr="009E06AA">
        <w:t xml:space="preserve"> emissions from ruminant animals, given their contribution to gross greenhouse gas emissions in the </w:t>
      </w:r>
      <w:r w:rsidRPr="009E06AA" w:rsidDel="00C36118">
        <w:rPr>
          <w:rFonts w:cs="Calibri"/>
        </w:rPr>
        <w:t xml:space="preserve">New </w:t>
      </w:r>
      <w:r w:rsidRPr="009E06AA">
        <w:rPr>
          <w:rFonts w:cs="Calibri"/>
        </w:rPr>
        <w:t>Zealand</w:t>
      </w:r>
      <w:r w:rsidRPr="009E06AA">
        <w:t xml:space="preserve"> inventory. Present CH</w:t>
      </w:r>
      <w:r w:rsidRPr="009E06AA">
        <w:rPr>
          <w:vertAlign w:val="subscript"/>
        </w:rPr>
        <w:t>4</w:t>
      </w:r>
      <w:r w:rsidRPr="009E06AA">
        <w:t xml:space="preserve"> emissions can be robustly calculated from estimates of animal populations, DMI and emission factors, but it is challenging to verify the efficacy of mitigation technologies in the field. A possible solution is inverse modelling of emissions, based on atmospheric greenhouse gas measurements from a network of observing stations, combined with models that describe the pathway the air took before arriving at the station, to infer regional to national greenhouse gas emissions or uptake. The inversion is conducted by taking all existing data, the initial estimates of regional CH</w:t>
      </w:r>
      <w:r w:rsidRPr="009E06AA">
        <w:rPr>
          <w:vertAlign w:val="subscript"/>
        </w:rPr>
        <w:t>4</w:t>
      </w:r>
      <w:r w:rsidRPr="009E06AA">
        <w:t>, observations and back trajectory modelling, to infer what the regional emissions of CH</w:t>
      </w:r>
      <w:r w:rsidRPr="009E06AA">
        <w:rPr>
          <w:vertAlign w:val="subscript"/>
        </w:rPr>
        <w:t>4</w:t>
      </w:r>
      <w:r w:rsidRPr="009E06AA">
        <w:t xml:space="preserve"> were.</w:t>
      </w:r>
    </w:p>
    <w:p w14:paraId="5B0C4A4E" w14:textId="77777777" w:rsidR="007523B8" w:rsidRPr="009E06AA" w:rsidRDefault="007523B8" w:rsidP="007523B8">
      <w:pPr>
        <w:pStyle w:val="BodyText"/>
      </w:pPr>
      <w:r w:rsidRPr="009E06AA">
        <w:t>In Geddes et al. (2021), atmospheric inverse modelling was tested on regional and national emission estimates for 2011 to 2013 and 2018 using data collected from the National Institute of Water and Atmospheric Research observing stations at Lauder, Central Otago, and Baring Head, Wellington region. The emission estimates from this research are underpinned by several key resources: (i) an initial estimate of monthly CH</w:t>
      </w:r>
      <w:r w:rsidRPr="009E06AA">
        <w:rPr>
          <w:vertAlign w:val="subscript"/>
        </w:rPr>
        <w:t>4</w:t>
      </w:r>
      <w:r w:rsidRPr="009E06AA">
        <w:t xml:space="preserve"> emissions and distributions; (ii) atmospheric CH</w:t>
      </w:r>
      <w:r w:rsidRPr="009E06AA">
        <w:rPr>
          <w:vertAlign w:val="subscript"/>
        </w:rPr>
        <w:t>4</w:t>
      </w:r>
      <w:r w:rsidRPr="009E06AA">
        <w:t xml:space="preserve"> measurements at an inland and a background (baseline CH</w:t>
      </w:r>
      <w:r w:rsidRPr="009E06AA">
        <w:rPr>
          <w:vertAlign w:val="subscript"/>
        </w:rPr>
        <w:t>4</w:t>
      </w:r>
      <w:r w:rsidRPr="009E06AA">
        <w:t xml:space="preserve"> levels) site; (iii) an atmospheric transport model that describes the pathway air took before arriving at the observing sites; and (iv) an inverse method that estimates the best combination of emissions to match the available data. </w:t>
      </w:r>
    </w:p>
    <w:p w14:paraId="018B7C97" w14:textId="77777777" w:rsidR="007523B8" w:rsidRPr="009E06AA" w:rsidRDefault="007523B8" w:rsidP="007523B8">
      <w:pPr>
        <w:pStyle w:val="BodyText"/>
      </w:pPr>
      <w:r w:rsidRPr="009E06AA">
        <w:t>Due to the atmospheric observing network’s insensitivity to North Island CH</w:t>
      </w:r>
      <w:r w:rsidRPr="009E06AA">
        <w:rPr>
          <w:vertAlign w:val="subscript"/>
        </w:rPr>
        <w:t>4</w:t>
      </w:r>
      <w:r w:rsidRPr="009E06AA">
        <w:t xml:space="preserve"> emissions (partly due to the lack of stations north of Wellington), calculated emissions for the South Island using the inverse model were more robust than North Island estimates. For the South Island, estimated emissions using this technique were found to be comparable with those reported using inventory methods and data. The analysis showed that the atmospheric observations are adding new information that can be used to validate and enhance the Agriculture inventory estimates. The inverse approach has the potential to shed light on seasonal and inter-annual variability and detect emission changes. </w:t>
      </w:r>
    </w:p>
    <w:p w14:paraId="5F374FB2" w14:textId="77777777" w:rsidR="007523B8" w:rsidRPr="009E06AA" w:rsidRDefault="007523B8" w:rsidP="007523B8">
      <w:pPr>
        <w:pStyle w:val="BodyText"/>
        <w:spacing w:after="100"/>
      </w:pPr>
      <w:r w:rsidRPr="009E06AA">
        <w:t xml:space="preserve">The accuracy of these estimates will be improved by the addition of more observations, the installation of additional sites, ground calibration, and further quality control. An expansion of </w:t>
      </w:r>
      <w:r w:rsidRPr="009E06AA">
        <w:rPr>
          <w:rFonts w:cs="Calibri"/>
        </w:rPr>
        <w:t>New Zealand’s</w:t>
      </w:r>
      <w:r w:rsidRPr="009E06AA">
        <w:t xml:space="preserve"> national CH</w:t>
      </w:r>
      <w:r w:rsidRPr="009E06AA">
        <w:rPr>
          <w:vertAlign w:val="subscript"/>
        </w:rPr>
        <w:t>4</w:t>
      </w:r>
      <w:r w:rsidRPr="009E06AA">
        <w:t xml:space="preserve"> observing network from two to eight sites is under way through the CarbonWatch NZ research programme. </w:t>
      </w:r>
    </w:p>
    <w:p w14:paraId="67F94B43" w14:textId="77777777" w:rsidR="007523B8" w:rsidRPr="009E06AA" w:rsidRDefault="007523B8" w:rsidP="007523B8">
      <w:pPr>
        <w:pStyle w:val="BodyText"/>
        <w:spacing w:after="100"/>
      </w:pPr>
      <w:r w:rsidRPr="009E06AA">
        <w:t>Satellites could also be a useful addition to allow further analysis of historical emissions and to assess emissions where ground-based measurements are challenging (Geddes et al., 2021).</w:t>
      </w:r>
      <w:bookmarkStart w:id="978" w:name="_Toc139253921"/>
      <w:bookmarkStart w:id="979" w:name="_Toc32570655"/>
      <w:r w:rsidRPr="009E06AA">
        <w:t xml:space="preserve"> In </w:t>
      </w:r>
      <w:r w:rsidRPr="009E06AA">
        <w:rPr>
          <w:spacing w:val="-2"/>
        </w:rPr>
        <w:t>2019, New Zealand’s Ministry of Business, Innovation and Employment signed on to collaborate</w:t>
      </w:r>
      <w:r w:rsidRPr="009E06AA">
        <w:t xml:space="preserve"> on MethaneSAT, a state-of-the-art satellite designed to detect global CH</w:t>
      </w:r>
      <w:r w:rsidRPr="009E06AA">
        <w:rPr>
          <w:vertAlign w:val="subscript"/>
        </w:rPr>
        <w:t>4</w:t>
      </w:r>
      <w:r w:rsidRPr="009E06AA">
        <w:t xml:space="preserve"> emissions. It is currently scheduled for launch in early 2024 and has the potential to provide a valuable tool alongside the atmospheric observing network.</w:t>
      </w:r>
    </w:p>
    <w:p w14:paraId="61C92859" w14:textId="77777777" w:rsidR="007523B8" w:rsidRPr="009E06AA" w:rsidRDefault="007523B8" w:rsidP="007523B8">
      <w:pPr>
        <w:pStyle w:val="BodyText"/>
        <w:spacing w:after="100"/>
        <w:rPr>
          <w:rFonts w:eastAsiaTheme="minorHAnsi" w:cs="Calibri"/>
          <w:color w:val="000000"/>
          <w:lang w:eastAsia="en-US"/>
        </w:rPr>
      </w:pPr>
      <w:r w:rsidRPr="009E06AA">
        <w:t>A project is planned to establish regular reporting of regional CH</w:t>
      </w:r>
      <w:r w:rsidRPr="009E06AA">
        <w:rPr>
          <w:vertAlign w:val="subscript"/>
        </w:rPr>
        <w:t>4</w:t>
      </w:r>
      <w:r w:rsidRPr="009E06AA">
        <w:t xml:space="preserve"> emissions using top-down approaches (see section 5.1.7 for more details) from both ground-based observations and satellites enabling quarterly estimates of regional </w:t>
      </w:r>
      <w:r w:rsidRPr="009E06AA">
        <w:rPr>
          <w:rFonts w:cs="Calibri"/>
        </w:rPr>
        <w:t>CH</w:t>
      </w:r>
      <w:r w:rsidRPr="009E06AA">
        <w:rPr>
          <w:rFonts w:cs="Calibri"/>
          <w:vertAlign w:val="subscript"/>
        </w:rPr>
        <w:t>4</w:t>
      </w:r>
      <w:r w:rsidRPr="009E06AA">
        <w:rPr>
          <w:rFonts w:cs="Calibri"/>
        </w:rPr>
        <w:t xml:space="preserve"> </w:t>
      </w:r>
      <w:r w:rsidRPr="009E06AA">
        <w:t>emissions across New Zealand.</w:t>
      </w:r>
      <w:r w:rsidRPr="009E06AA">
        <w:rPr>
          <w:rFonts w:eastAsiaTheme="minorHAnsi" w:cs="Calibri"/>
          <w:color w:val="000000"/>
          <w:lang w:eastAsia="en-US"/>
        </w:rPr>
        <w:t xml:space="preserve"> Any relevant data can be incorporated into the reports, with the ground-based inversion adapted to provide relevant intercomparison. </w:t>
      </w:r>
    </w:p>
    <w:p w14:paraId="7D1DC475" w14:textId="77777777" w:rsidR="007523B8" w:rsidRPr="009E06AA" w:rsidRDefault="007523B8" w:rsidP="007523B8">
      <w:pPr>
        <w:pStyle w:val="Heading3"/>
      </w:pPr>
      <w:r w:rsidRPr="009E06AA">
        <w:t>5.2.5</w:t>
      </w:r>
      <w:r w:rsidRPr="009E06AA">
        <w:tab/>
      </w:r>
      <w:bookmarkStart w:id="980" w:name="_Hlk154135505"/>
      <w:r w:rsidRPr="009E06AA">
        <w:t>Category-specific recalculations</w:t>
      </w:r>
      <w:bookmarkEnd w:id="978"/>
      <w:bookmarkEnd w:id="979"/>
      <w:bookmarkEnd w:id="980"/>
    </w:p>
    <w:p w14:paraId="7A06AC72" w14:textId="77777777" w:rsidR="007523B8" w:rsidRPr="009E06AA" w:rsidRDefault="007523B8" w:rsidP="007523B8">
      <w:pPr>
        <w:pStyle w:val="BodyText"/>
        <w:spacing w:after="100"/>
      </w:pPr>
      <w:r w:rsidRPr="009E06AA">
        <w:t xml:space="preserve">Emissions estimates in the </w:t>
      </w:r>
      <w:r w:rsidRPr="009E06AA">
        <w:rPr>
          <w:i/>
          <w:iCs/>
        </w:rPr>
        <w:t>Enteric fermentation</w:t>
      </w:r>
      <w:r w:rsidRPr="009E06AA">
        <w:t xml:space="preserve"> category reported in the 2024 submission have been affected by methodological improvements pertaining to</w:t>
      </w:r>
      <w:r w:rsidRPr="009E06AA">
        <w:rPr>
          <w:rFonts w:cs="Calibri"/>
          <w:color w:val="000000"/>
          <w:shd w:val="clear" w:color="auto" w:fill="FFFFFF"/>
        </w:rPr>
        <w:t xml:space="preserve"> (i): estimates of within-year non-dairy</w:t>
      </w:r>
      <w:r w:rsidRPr="009E06AA">
        <w:rPr>
          <w:color w:val="000000"/>
          <w:shd w:val="clear" w:color="auto" w:fill="FFFFFF"/>
        </w:rPr>
        <w:t xml:space="preserve"> cattle</w:t>
      </w:r>
      <w:r w:rsidRPr="009E06AA">
        <w:rPr>
          <w:rFonts w:cs="Calibri"/>
          <w:color w:val="000000"/>
          <w:shd w:val="clear" w:color="auto" w:fill="FFFFFF"/>
        </w:rPr>
        <w:t xml:space="preserve"> population and liveweight change, (ii) the proportion of lambs held over to a second slaughter date, (iii) the migration of the model implementation from Excel to R, and (iv) small error corrections.</w:t>
      </w:r>
    </w:p>
    <w:p w14:paraId="6D1279A3" w14:textId="77777777" w:rsidR="007523B8" w:rsidRPr="009E06AA" w:rsidRDefault="007523B8" w:rsidP="00BF2A76">
      <w:pPr>
        <w:pStyle w:val="Heading5"/>
      </w:pPr>
      <w:r w:rsidRPr="009E06AA">
        <w:t xml:space="preserve">Improved </w:t>
      </w:r>
      <w:bookmarkStart w:id="981" w:name="_Hlk153374408"/>
      <w:r w:rsidRPr="009E06AA">
        <w:t>estimates of within-year non-dairy cattle population and liveweight change</w:t>
      </w:r>
      <w:bookmarkEnd w:id="981"/>
    </w:p>
    <w:p w14:paraId="78D15587" w14:textId="77777777" w:rsidR="007523B8" w:rsidRPr="009E06AA" w:rsidRDefault="007523B8" w:rsidP="007523B8">
      <w:pPr>
        <w:pStyle w:val="BodyText"/>
      </w:pPr>
      <w:r w:rsidRPr="009E06AA">
        <w:t>Emissions estimates in all categories relating to non-dairy cattle reported in the 2024 submission have been enhanced by a methodological update to estimates of within-year non</w:t>
      </w:r>
      <w:r w:rsidRPr="009E06AA">
        <w:noBreakHyphen/>
        <w:t>dairy cattle population change and liveweight change.</w:t>
      </w:r>
    </w:p>
    <w:p w14:paraId="11CB0ADD" w14:textId="77777777" w:rsidR="007523B8" w:rsidRPr="009E06AA" w:rsidRDefault="007523B8" w:rsidP="007523B8">
      <w:pPr>
        <w:pStyle w:val="BodyText"/>
      </w:pPr>
      <w:r w:rsidRPr="009E06AA">
        <w:t>The Agriculture inventory models the non-dairy cattle population of each production year (1 July to the following 30 June). Livestock population data derived from the Agricultural Production Survey for animals present on 30 June of each year are used as a baseline. The number of animals present each month for the remainder of the production year (July to June) is then based on assumptions on timing and number of deaths, culling to slaughter and birth dates (with assumptions applied at a national level), along with the number present on 30 June the following year. Each stock class has a different set of methods, timings and assumptions.</w:t>
      </w:r>
    </w:p>
    <w:p w14:paraId="356C8CA3" w14:textId="77777777" w:rsidR="007523B8" w:rsidRPr="009E06AA" w:rsidRDefault="007523B8" w:rsidP="007523B8">
      <w:pPr>
        <w:pStyle w:val="BodyText"/>
      </w:pPr>
      <w:r w:rsidRPr="009E06AA">
        <w:t xml:space="preserve">Recent research carried out by AgResearch (Stevens, et al., 2022) has used industry data to improve current methods and assumptions for birth and slaughter dates for individual classes of non-dairy cattle. </w:t>
      </w:r>
    </w:p>
    <w:p w14:paraId="205C2694" w14:textId="77777777" w:rsidR="007523B8" w:rsidRPr="009E06AA" w:rsidRDefault="007523B8" w:rsidP="00814B4C">
      <w:pPr>
        <w:pStyle w:val="BodyText"/>
        <w:spacing w:after="100"/>
      </w:pPr>
      <w:r w:rsidRPr="009E06AA">
        <w:t xml:space="preserve">The following recommendations from </w:t>
      </w:r>
      <w:r w:rsidRPr="009E06AA">
        <w:rPr>
          <w:rFonts w:cs="Arial"/>
        </w:rPr>
        <w:t>Stevens et al. (</w:t>
      </w:r>
      <w:r w:rsidRPr="009E06AA">
        <w:t>2022</w:t>
      </w:r>
      <w:r w:rsidRPr="009E06AA">
        <w:rPr>
          <w:rFonts w:cs="Arial"/>
        </w:rPr>
        <w:t xml:space="preserve">) </w:t>
      </w:r>
      <w:r w:rsidRPr="009E06AA">
        <w:t>were implemented in the 2024 inventory submission:</w:t>
      </w:r>
    </w:p>
    <w:p w14:paraId="0A40BBAF" w14:textId="77777777" w:rsidR="007523B8" w:rsidRPr="009E06AA" w:rsidRDefault="007523B8" w:rsidP="00814B4C">
      <w:pPr>
        <w:pStyle w:val="Bullet"/>
        <w:spacing w:after="100"/>
      </w:pPr>
      <w:r w:rsidRPr="009E06AA">
        <w:t xml:space="preserve">change the national calving date from 20 September to 25 September </w:t>
      </w:r>
    </w:p>
    <w:p w14:paraId="706CD9B9" w14:textId="77777777" w:rsidR="007523B8" w:rsidRPr="009E06AA" w:rsidRDefault="007523B8" w:rsidP="00814B4C">
      <w:pPr>
        <w:pStyle w:val="Bullet"/>
        <w:spacing w:after="100"/>
      </w:pPr>
      <w:r w:rsidRPr="009E06AA">
        <w:t>add a two- to three-year age class for slaughter bulls, heifers and steers</w:t>
      </w:r>
    </w:p>
    <w:p w14:paraId="1AE99468" w14:textId="77777777" w:rsidR="007523B8" w:rsidRPr="009E06AA" w:rsidRDefault="007523B8" w:rsidP="00814B4C">
      <w:pPr>
        <w:pStyle w:val="Bullet"/>
        <w:spacing w:after="100"/>
      </w:pPr>
      <w:r w:rsidRPr="009E06AA">
        <w:t xml:space="preserve">apply slaughter dates of: </w:t>
      </w:r>
    </w:p>
    <w:p w14:paraId="0DEF198C" w14:textId="77777777" w:rsidR="007523B8" w:rsidRPr="009E06AA" w:rsidRDefault="007523B8" w:rsidP="00814B4C">
      <w:pPr>
        <w:pStyle w:val="Sub-bullet"/>
        <w:spacing w:after="100"/>
      </w:pPr>
      <w:r w:rsidRPr="009E06AA">
        <w:t xml:space="preserve">3 February to slaughter bulls (865 days of age) </w:t>
      </w:r>
    </w:p>
    <w:p w14:paraId="28B3D971" w14:textId="77777777" w:rsidR="007523B8" w:rsidRPr="009E06AA" w:rsidRDefault="007523B8" w:rsidP="00814B4C">
      <w:pPr>
        <w:pStyle w:val="Sub-bullet"/>
        <w:spacing w:after="100"/>
      </w:pPr>
      <w:r w:rsidRPr="009E06AA">
        <w:t xml:space="preserve">19 March to one- to two-year old heifers (544 days of age) </w:t>
      </w:r>
    </w:p>
    <w:p w14:paraId="16A985C4" w14:textId="77777777" w:rsidR="007523B8" w:rsidRPr="009E06AA" w:rsidRDefault="007523B8" w:rsidP="00814B4C">
      <w:pPr>
        <w:pStyle w:val="Sub-bullet"/>
        <w:spacing w:after="100"/>
      </w:pPr>
      <w:r w:rsidRPr="009E06AA">
        <w:t xml:space="preserve">6 January to two- to three-year old heifers (837 days of age) </w:t>
      </w:r>
    </w:p>
    <w:p w14:paraId="007D6F26" w14:textId="77777777" w:rsidR="007523B8" w:rsidRPr="009E06AA" w:rsidRDefault="007523B8" w:rsidP="00814B4C">
      <w:pPr>
        <w:pStyle w:val="Sub-bullet"/>
        <w:spacing w:after="100"/>
      </w:pPr>
      <w:r w:rsidRPr="009E06AA">
        <w:t xml:space="preserve">21 March to one- to two-year old steers (546 days of age) </w:t>
      </w:r>
    </w:p>
    <w:p w14:paraId="671DA818" w14:textId="77777777" w:rsidR="007523B8" w:rsidRPr="009E06AA" w:rsidRDefault="007523B8" w:rsidP="00814B4C">
      <w:pPr>
        <w:pStyle w:val="Sub-bullet"/>
        <w:spacing w:after="100"/>
      </w:pPr>
      <w:r w:rsidRPr="009E06AA">
        <w:t>14 January to two- to three-year old steers (845 days of age)</w:t>
      </w:r>
    </w:p>
    <w:p w14:paraId="77C68FC3" w14:textId="77777777" w:rsidR="007523B8" w:rsidRPr="009E06AA" w:rsidRDefault="007523B8" w:rsidP="00814B4C">
      <w:pPr>
        <w:pStyle w:val="Bullet"/>
        <w:spacing w:after="100"/>
      </w:pPr>
      <w:r w:rsidRPr="009E06AA">
        <w:t>distribute the slaughter numbers between these age classes:</w:t>
      </w:r>
    </w:p>
    <w:p w14:paraId="1786187D" w14:textId="77777777" w:rsidR="007523B8" w:rsidRPr="009E06AA" w:rsidRDefault="007523B8" w:rsidP="00814B4C">
      <w:pPr>
        <w:pStyle w:val="Sub-bullet"/>
        <w:spacing w:after="100"/>
        <w:rPr>
          <w:spacing w:val="-4"/>
        </w:rPr>
      </w:pPr>
      <w:r w:rsidRPr="009E06AA">
        <w:rPr>
          <w:spacing w:val="-4"/>
        </w:rPr>
        <w:t>heifers: estimates are 30 per cent one- to two-year old; 70 per cent two- to three</w:t>
      </w:r>
      <w:r w:rsidRPr="009E06AA">
        <w:rPr>
          <w:spacing w:val="-4"/>
        </w:rPr>
        <w:noBreakHyphen/>
        <w:t>year old</w:t>
      </w:r>
    </w:p>
    <w:p w14:paraId="0E663593" w14:textId="77777777" w:rsidR="007523B8" w:rsidRPr="009E06AA" w:rsidRDefault="007523B8" w:rsidP="00106A17">
      <w:pPr>
        <w:pStyle w:val="Sub-bullet"/>
      </w:pPr>
      <w:r w:rsidRPr="009E06AA">
        <w:rPr>
          <w:spacing w:val="-4"/>
        </w:rPr>
        <w:t>steers: estimates are 14 per cent one- to two-year old; 86 per cent two- to three</w:t>
      </w:r>
      <w:r w:rsidRPr="009E06AA">
        <w:rPr>
          <w:spacing w:val="-4"/>
        </w:rPr>
        <w:noBreakHyphen/>
        <w:t>year old</w:t>
      </w:r>
      <w:r w:rsidRPr="009E06AA">
        <w:t>.</w:t>
      </w:r>
    </w:p>
    <w:p w14:paraId="02220ACB" w14:textId="77777777" w:rsidR="007523B8" w:rsidRPr="009E06AA" w:rsidRDefault="007523B8" w:rsidP="007523B8">
      <w:pPr>
        <w:pStyle w:val="BodyText"/>
      </w:pPr>
      <w:r w:rsidRPr="009E06AA">
        <w:t>To accommodate these recommendations, significant changes to the logic of the model were implemented.</w:t>
      </w:r>
    </w:p>
    <w:p w14:paraId="6F04BEAC" w14:textId="77777777" w:rsidR="007523B8" w:rsidRPr="009E06AA" w:rsidRDefault="007523B8" w:rsidP="007523B8">
      <w:pPr>
        <w:pStyle w:val="Bullet"/>
      </w:pPr>
      <w:r w:rsidRPr="009E06AA">
        <w:rPr>
          <w:rFonts w:eastAsiaTheme="minorEastAsia"/>
        </w:rPr>
        <w:t>The</w:t>
      </w:r>
      <w:r w:rsidRPr="009E06AA">
        <w:t xml:space="preserve"> Agricultural Production Survey </w:t>
      </w:r>
      <w:r w:rsidRPr="009E06AA">
        <w:rPr>
          <w:rFonts w:eastAsiaTheme="minorEastAsia"/>
        </w:rPr>
        <w:t xml:space="preserve">data for the non-dairy population on 30 June are now </w:t>
      </w:r>
      <w:r w:rsidRPr="009E06AA">
        <w:rPr>
          <w:rFonts w:eastAsiaTheme="minorEastAsia"/>
          <w:spacing w:val="-2"/>
        </w:rPr>
        <w:t>distributed differently to accommodate the new age two- to three-year old slaughter classes</w:t>
      </w:r>
      <w:r w:rsidRPr="009E06AA">
        <w:rPr>
          <w:rFonts w:eastAsiaTheme="minorEastAsia"/>
        </w:rPr>
        <w:t xml:space="preserve"> and the slaughter number-based calculations for some of the classes were removed. </w:t>
      </w:r>
    </w:p>
    <w:p w14:paraId="2413BDC8" w14:textId="77777777" w:rsidR="007523B8" w:rsidRPr="009E06AA" w:rsidRDefault="007523B8" w:rsidP="007523B8">
      <w:pPr>
        <w:pStyle w:val="Bullet"/>
      </w:pPr>
      <w:r w:rsidRPr="009E06AA">
        <w:t xml:space="preserve">The model was changed to use an </w:t>
      </w:r>
      <w:r w:rsidRPr="009E06AA">
        <w:rPr>
          <w:i/>
          <w:iCs/>
        </w:rPr>
        <w:t>average</w:t>
      </w:r>
      <w:r w:rsidRPr="009E06AA">
        <w:t xml:space="preserve"> population as the representative population for each month, rather than the value on the first day of the month. </w:t>
      </w:r>
    </w:p>
    <w:p w14:paraId="24645E6D" w14:textId="77777777" w:rsidR="007523B8" w:rsidRPr="009E06AA" w:rsidRDefault="007523B8" w:rsidP="007523B8">
      <w:pPr>
        <w:pStyle w:val="Bullet"/>
      </w:pPr>
      <w:r w:rsidRPr="009E06AA">
        <w:t>Changes were made to the liveweight calculations to accommodate the new classes and longer lifespans.</w:t>
      </w:r>
    </w:p>
    <w:p w14:paraId="39873AFD" w14:textId="77777777" w:rsidR="007523B8" w:rsidRPr="009E06AA" w:rsidRDefault="007523B8" w:rsidP="007523B8">
      <w:pPr>
        <w:pStyle w:val="Bullet"/>
      </w:pPr>
      <w:r w:rsidRPr="009E06AA">
        <w:rPr>
          <w:rFonts w:eastAsiaTheme="minorEastAsia"/>
        </w:rPr>
        <w:t>The number of animals killed at slaughter is now determined by the slaughter numbers reported in the livestock slaughter statistics collected by MPI.</w:t>
      </w:r>
    </w:p>
    <w:p w14:paraId="13EEC904" w14:textId="77777777" w:rsidR="007523B8" w:rsidRPr="009E06AA" w:rsidRDefault="007523B8" w:rsidP="007523B8">
      <w:pPr>
        <w:pStyle w:val="Bullet"/>
        <w:rPr>
          <w:sz w:val="24"/>
          <w:szCs w:val="24"/>
        </w:rPr>
      </w:pPr>
      <w:r w:rsidRPr="009E06AA">
        <w:rPr>
          <w:szCs w:val="24"/>
        </w:rPr>
        <w:t xml:space="preserve">All births and ageing ups (animals moving from one age category to the next) now occur on 25 September. </w:t>
      </w:r>
    </w:p>
    <w:p w14:paraId="4AA24E68" w14:textId="77777777" w:rsidR="007523B8" w:rsidRPr="009E06AA" w:rsidRDefault="007523B8" w:rsidP="007523B8">
      <w:pPr>
        <w:pStyle w:val="BodyText"/>
      </w:pPr>
      <w:r w:rsidRPr="009E06AA">
        <w:t xml:space="preserve">Implementing the 2024 changes caused estimated emissions from the </w:t>
      </w:r>
      <w:r w:rsidRPr="009E06AA">
        <w:rPr>
          <w:i/>
        </w:rPr>
        <w:t>Enteric fermentation</w:t>
      </w:r>
      <w:r w:rsidRPr="009E06AA">
        <w:t xml:space="preserve"> category to increase by 2.6 per cent (794.1 kt CO</w:t>
      </w:r>
      <w:r w:rsidRPr="009E06AA">
        <w:rPr>
          <w:vertAlign w:val="subscript"/>
        </w:rPr>
        <w:t>2</w:t>
      </w:r>
      <w:r w:rsidRPr="009E06AA">
        <w:t>-e) in 1990 and 3.0 per cent (948.5 kt CO</w:t>
      </w:r>
      <w:r w:rsidRPr="009E06AA">
        <w:rPr>
          <w:vertAlign w:val="subscript"/>
        </w:rPr>
        <w:t>2</w:t>
      </w:r>
      <w:r w:rsidRPr="009E06AA">
        <w:t>-e) in 2021 (see table 5.2.6).</w:t>
      </w:r>
    </w:p>
    <w:p w14:paraId="4FA6CF36" w14:textId="50D2C21E" w:rsidR="007523B8" w:rsidRPr="009E06AA" w:rsidRDefault="007523B8" w:rsidP="007523B8">
      <w:pPr>
        <w:pStyle w:val="Table"/>
        <w:rPr>
          <w:rFonts w:cs="Calibri"/>
        </w:rPr>
      </w:pPr>
      <w:bookmarkStart w:id="982" w:name="_Toc127458257"/>
      <w:bookmarkStart w:id="983" w:name="_Toc131591353"/>
      <w:bookmarkStart w:id="984" w:name="_Toc160114443"/>
      <w:bookmarkStart w:id="985" w:name="_Toc164153839"/>
      <w:r w:rsidRPr="009E06AA">
        <w:rPr>
          <w:rFonts w:cs="Calibri"/>
        </w:rPr>
        <w:t>Table 5.2.6</w:t>
      </w:r>
      <w:r w:rsidRPr="009E06AA">
        <w:rPr>
          <w:rFonts w:cs="Calibri"/>
        </w:rPr>
        <w:tab/>
        <w:t>Comparison of the previous non-dairy population model and the improved non</w:t>
      </w:r>
      <w:r w:rsidR="0092732A" w:rsidRPr="009E06AA">
        <w:rPr>
          <w:rFonts w:cs="Calibri"/>
        </w:rPr>
        <w:noBreakHyphen/>
      </w:r>
      <w:r w:rsidRPr="009E06AA">
        <w:rPr>
          <w:rFonts w:cs="Calibri"/>
        </w:rPr>
        <w:t xml:space="preserve">dairy population model for emissions from </w:t>
      </w:r>
      <w:r w:rsidRPr="009E06AA">
        <w:rPr>
          <w:rFonts w:cs="Calibri"/>
          <w:i/>
          <w:iCs/>
        </w:rPr>
        <w:t>Enteric fermentation</w:t>
      </w:r>
      <w:bookmarkEnd w:id="982"/>
      <w:bookmarkEnd w:id="983"/>
      <w:bookmarkEnd w:id="984"/>
      <w:bookmarkEnd w:id="985"/>
      <w:r w:rsidRPr="009E06AA">
        <w:rPr>
          <w:rFonts w:cs="Calibri"/>
          <w:i/>
          <w:iCs/>
        </w:rPr>
        <w:t xml:space="preserve"> </w:t>
      </w:r>
    </w:p>
    <w:tbl>
      <w:tblPr>
        <w:tblW w:w="8505" w:type="dxa"/>
        <w:tblBorders>
          <w:top w:val="single" w:sz="2" w:space="0" w:color="1B556B" w:themeColor="text2"/>
          <w:bottom w:val="single" w:sz="2" w:space="0" w:color="1B556B" w:themeColor="text2"/>
          <w:insideH w:val="single" w:sz="2" w:space="0" w:color="1B556B" w:themeColor="text2"/>
        </w:tblBorders>
        <w:tblCellMar>
          <w:left w:w="85" w:type="dxa"/>
          <w:right w:w="57" w:type="dxa"/>
        </w:tblCellMar>
        <w:tblLook w:val="04A0" w:firstRow="1" w:lastRow="0" w:firstColumn="1" w:lastColumn="0" w:noHBand="0" w:noVBand="1"/>
      </w:tblPr>
      <w:tblGrid>
        <w:gridCol w:w="1575"/>
        <w:gridCol w:w="2166"/>
        <w:gridCol w:w="798"/>
        <w:gridCol w:w="713"/>
        <w:gridCol w:w="1596"/>
        <w:gridCol w:w="1657"/>
      </w:tblGrid>
      <w:tr w:rsidR="007523B8" w:rsidRPr="009E06AA" w14:paraId="27F6AA6D" w14:textId="77777777" w:rsidTr="00106A17">
        <w:trPr>
          <w:tblHeader/>
        </w:trPr>
        <w:tc>
          <w:tcPr>
            <w:tcW w:w="1568" w:type="dxa"/>
            <w:shd w:val="clear" w:color="000000" w:fill="1B556B"/>
            <w:vAlign w:val="bottom"/>
            <w:hideMark/>
          </w:tcPr>
          <w:p w14:paraId="4D6825E1" w14:textId="77777777" w:rsidR="007523B8" w:rsidRPr="009E06AA" w:rsidRDefault="007523B8" w:rsidP="00B55F24">
            <w:pPr>
              <w:pStyle w:val="TableText"/>
              <w:spacing w:before="40" w:after="40"/>
              <w:rPr>
                <w:b/>
                <w:bCs/>
                <w:color w:val="FFFFFF" w:themeColor="background1"/>
              </w:rPr>
            </w:pPr>
            <w:r w:rsidRPr="009E06AA">
              <w:rPr>
                <w:b/>
                <w:bCs/>
                <w:color w:val="FFFFFF" w:themeColor="background1"/>
              </w:rPr>
              <w:t>Emissions (kt CO</w:t>
            </w:r>
            <w:r w:rsidRPr="009E06AA">
              <w:rPr>
                <w:b/>
                <w:bCs/>
                <w:color w:val="FFFFFF" w:themeColor="background1"/>
                <w:vertAlign w:val="subscript"/>
              </w:rPr>
              <w:t>2</w:t>
            </w:r>
            <w:r w:rsidRPr="009E06AA">
              <w:rPr>
                <w:b/>
                <w:bCs/>
                <w:color w:val="FFFFFF" w:themeColor="background1"/>
              </w:rPr>
              <w:t>-e)</w:t>
            </w:r>
          </w:p>
        </w:tc>
        <w:tc>
          <w:tcPr>
            <w:tcW w:w="2155" w:type="dxa"/>
            <w:shd w:val="clear" w:color="auto" w:fill="1B556B" w:themeFill="text2"/>
            <w:vAlign w:val="bottom"/>
            <w:hideMark/>
          </w:tcPr>
          <w:p w14:paraId="2F820BB8" w14:textId="77777777" w:rsidR="007523B8" w:rsidRPr="009E06AA" w:rsidRDefault="007523B8" w:rsidP="00B55F24">
            <w:pPr>
              <w:pStyle w:val="TableText"/>
              <w:spacing w:before="40" w:after="40"/>
              <w:rPr>
                <w:b/>
                <w:bCs/>
                <w:color w:val="FFFFFF" w:themeColor="background1"/>
              </w:rPr>
            </w:pPr>
            <w:r w:rsidRPr="009E06AA">
              <w:rPr>
                <w:rFonts w:cs="Calibri"/>
                <w:color w:val="000000"/>
                <w:sz w:val="20"/>
                <w:szCs w:val="20"/>
              </w:rPr>
              <w:t> </w:t>
            </w:r>
          </w:p>
        </w:tc>
        <w:tc>
          <w:tcPr>
            <w:tcW w:w="794" w:type="dxa"/>
            <w:shd w:val="clear" w:color="000000" w:fill="1B556B"/>
            <w:vAlign w:val="bottom"/>
            <w:hideMark/>
          </w:tcPr>
          <w:p w14:paraId="2B0869A9" w14:textId="77777777" w:rsidR="007523B8" w:rsidRPr="009E06AA" w:rsidRDefault="007523B8" w:rsidP="00C7587B">
            <w:pPr>
              <w:pStyle w:val="TableText"/>
              <w:spacing w:before="40" w:after="40"/>
              <w:jc w:val="right"/>
              <w:rPr>
                <w:b/>
                <w:bCs/>
                <w:color w:val="FFFFFF" w:themeColor="background1"/>
              </w:rPr>
            </w:pPr>
            <w:r w:rsidRPr="009E06AA">
              <w:rPr>
                <w:rFonts w:cs="Calibri"/>
                <w:b/>
                <w:bCs/>
                <w:color w:val="FFFFFF" w:themeColor="background1"/>
                <w:szCs w:val="16"/>
              </w:rPr>
              <w:t>1990</w:t>
            </w:r>
          </w:p>
        </w:tc>
        <w:tc>
          <w:tcPr>
            <w:tcW w:w="624" w:type="dxa"/>
            <w:shd w:val="clear" w:color="000000" w:fill="1B556B"/>
            <w:vAlign w:val="bottom"/>
          </w:tcPr>
          <w:p w14:paraId="7CCA4DBC" w14:textId="77777777" w:rsidR="007523B8" w:rsidRPr="009E06AA" w:rsidRDefault="007523B8" w:rsidP="00C7587B">
            <w:pPr>
              <w:pStyle w:val="TableText"/>
              <w:spacing w:before="40" w:after="40"/>
              <w:jc w:val="right"/>
              <w:rPr>
                <w:b/>
                <w:bCs/>
                <w:color w:val="FFFFFF" w:themeColor="background1"/>
              </w:rPr>
            </w:pPr>
            <w:r w:rsidRPr="009E06AA">
              <w:rPr>
                <w:b/>
                <w:color w:val="FFFFFF" w:themeColor="background1"/>
              </w:rPr>
              <w:t>2021</w:t>
            </w:r>
          </w:p>
        </w:tc>
        <w:tc>
          <w:tcPr>
            <w:tcW w:w="1588" w:type="dxa"/>
            <w:shd w:val="clear" w:color="000000" w:fill="1B556B"/>
            <w:vAlign w:val="bottom"/>
            <w:hideMark/>
          </w:tcPr>
          <w:p w14:paraId="7815213A" w14:textId="77777777" w:rsidR="007523B8" w:rsidRPr="009E06AA" w:rsidRDefault="007523B8" w:rsidP="00C7587B">
            <w:pPr>
              <w:pStyle w:val="TableText"/>
              <w:spacing w:before="40" w:after="40"/>
              <w:jc w:val="right"/>
              <w:rPr>
                <w:b/>
                <w:bCs/>
                <w:color w:val="FFFFFF" w:themeColor="background1"/>
              </w:rPr>
            </w:pPr>
            <w:r w:rsidRPr="009E06AA">
              <w:rPr>
                <w:rFonts w:cs="Calibri"/>
                <w:b/>
                <w:bCs/>
                <w:color w:val="FFFFFF" w:themeColor="background1"/>
                <w:szCs w:val="16"/>
              </w:rPr>
              <w:t>Change in emission outputs between 1990 and 2021 (kt CO</w:t>
            </w:r>
            <w:r w:rsidRPr="009E06AA">
              <w:rPr>
                <w:b/>
                <w:color w:val="FFFFFF"/>
                <w:vertAlign w:val="subscript"/>
              </w:rPr>
              <w:t>2</w:t>
            </w:r>
            <w:r w:rsidRPr="009E06AA">
              <w:rPr>
                <w:b/>
                <w:color w:val="FFFFFF"/>
              </w:rPr>
              <w:t>-e)</w:t>
            </w:r>
          </w:p>
        </w:tc>
        <w:tc>
          <w:tcPr>
            <w:tcW w:w="1649" w:type="dxa"/>
            <w:shd w:val="clear" w:color="000000" w:fill="1B556B"/>
            <w:vAlign w:val="bottom"/>
            <w:hideMark/>
          </w:tcPr>
          <w:p w14:paraId="5DA898B1" w14:textId="77777777" w:rsidR="007523B8" w:rsidRPr="009E06AA" w:rsidRDefault="007523B8" w:rsidP="00C7587B">
            <w:pPr>
              <w:pStyle w:val="TableText"/>
              <w:spacing w:before="40" w:after="40"/>
              <w:jc w:val="right"/>
              <w:rPr>
                <w:b/>
                <w:bCs/>
                <w:color w:val="FFFFFF" w:themeColor="background1"/>
              </w:rPr>
            </w:pPr>
            <w:r w:rsidRPr="009E06AA">
              <w:rPr>
                <w:rFonts w:cs="Calibri"/>
                <w:b/>
                <w:bCs/>
                <w:color w:val="FFFFFF" w:themeColor="background1"/>
                <w:szCs w:val="16"/>
              </w:rPr>
              <w:t>Percentage change in emission outputs between 1990 and 2021 (%)</w:t>
            </w:r>
          </w:p>
        </w:tc>
      </w:tr>
      <w:tr w:rsidR="007523B8" w:rsidRPr="009E06AA" w14:paraId="0954FF7E" w14:textId="77777777" w:rsidTr="00106A17">
        <w:tc>
          <w:tcPr>
            <w:tcW w:w="1568" w:type="dxa"/>
            <w:vMerge w:val="restart"/>
            <w:shd w:val="clear" w:color="auto" w:fill="auto"/>
            <w:vAlign w:val="center"/>
            <w:hideMark/>
          </w:tcPr>
          <w:p w14:paraId="3CF4CF32" w14:textId="77777777" w:rsidR="007523B8" w:rsidRPr="009E06AA" w:rsidRDefault="007523B8" w:rsidP="00B55F24">
            <w:pPr>
              <w:pStyle w:val="TableText"/>
              <w:spacing w:before="40" w:after="40"/>
              <w:rPr>
                <w:color w:val="000000"/>
              </w:rPr>
            </w:pPr>
            <w:r w:rsidRPr="009E06AA">
              <w:rPr>
                <w:color w:val="000000"/>
              </w:rPr>
              <w:t xml:space="preserve">Total emissions from </w:t>
            </w:r>
            <w:r w:rsidRPr="009E06AA">
              <w:rPr>
                <w:i/>
                <w:iCs/>
                <w:color w:val="000000"/>
              </w:rPr>
              <w:t>Enteric fermentation</w:t>
            </w:r>
            <w:r w:rsidRPr="009E06AA">
              <w:rPr>
                <w:color w:val="000000"/>
              </w:rPr>
              <w:t xml:space="preserve"> (kt CO</w:t>
            </w:r>
            <w:r w:rsidRPr="009E06AA">
              <w:rPr>
                <w:color w:val="000000"/>
                <w:vertAlign w:val="subscript"/>
              </w:rPr>
              <w:t>2</w:t>
            </w:r>
            <w:r w:rsidRPr="009E06AA">
              <w:rPr>
                <w:color w:val="000000"/>
              </w:rPr>
              <w:t>-e)</w:t>
            </w:r>
          </w:p>
        </w:tc>
        <w:tc>
          <w:tcPr>
            <w:tcW w:w="2155" w:type="dxa"/>
            <w:shd w:val="clear" w:color="auto" w:fill="auto"/>
            <w:vAlign w:val="center"/>
            <w:hideMark/>
          </w:tcPr>
          <w:p w14:paraId="16BD8277" w14:textId="77777777" w:rsidR="007523B8" w:rsidRPr="009E06AA" w:rsidRDefault="007523B8" w:rsidP="00B55F24">
            <w:pPr>
              <w:pStyle w:val="TableText"/>
              <w:spacing w:before="40" w:after="40"/>
              <w:rPr>
                <w:color w:val="000000"/>
              </w:rPr>
            </w:pPr>
            <w:r w:rsidRPr="009E06AA">
              <w:rPr>
                <w:rFonts w:cs="Calibri"/>
                <w:color w:val="000000"/>
                <w:szCs w:val="16"/>
              </w:rPr>
              <w:t>2023 (1990–2021) emissions estimate using previous population and liveweight model</w:t>
            </w:r>
          </w:p>
        </w:tc>
        <w:tc>
          <w:tcPr>
            <w:tcW w:w="794" w:type="dxa"/>
            <w:shd w:val="clear" w:color="auto" w:fill="auto"/>
            <w:vAlign w:val="center"/>
            <w:hideMark/>
          </w:tcPr>
          <w:p w14:paraId="7F42C5C6" w14:textId="77777777" w:rsidR="007523B8" w:rsidRPr="009E06AA" w:rsidRDefault="007523B8" w:rsidP="00C7587B">
            <w:pPr>
              <w:pStyle w:val="TableText"/>
              <w:spacing w:before="40" w:after="40"/>
              <w:jc w:val="right"/>
              <w:rPr>
                <w:color w:val="000000"/>
                <w:highlight w:val="yellow"/>
              </w:rPr>
            </w:pPr>
            <w:r w:rsidRPr="009E06AA">
              <w:rPr>
                <w:rFonts w:cs="Calibri"/>
                <w:color w:val="000000"/>
                <w:szCs w:val="16"/>
              </w:rPr>
              <w:t>30,195.7</w:t>
            </w:r>
          </w:p>
        </w:tc>
        <w:tc>
          <w:tcPr>
            <w:tcW w:w="624" w:type="dxa"/>
            <w:shd w:val="clear" w:color="auto" w:fill="auto"/>
            <w:vAlign w:val="center"/>
            <w:hideMark/>
          </w:tcPr>
          <w:p w14:paraId="3FAA4620" w14:textId="77777777" w:rsidR="007523B8" w:rsidRPr="009E06AA" w:rsidRDefault="007523B8" w:rsidP="00C7587B">
            <w:pPr>
              <w:pStyle w:val="TableText"/>
              <w:spacing w:before="40" w:after="40"/>
              <w:jc w:val="right"/>
              <w:rPr>
                <w:color w:val="000000"/>
                <w:highlight w:val="yellow"/>
              </w:rPr>
            </w:pPr>
            <w:r w:rsidRPr="009E06AA">
              <w:rPr>
                <w:rFonts w:cs="Calibri"/>
                <w:color w:val="000000"/>
                <w:szCs w:val="16"/>
              </w:rPr>
              <w:t>31,202.1</w:t>
            </w:r>
          </w:p>
        </w:tc>
        <w:tc>
          <w:tcPr>
            <w:tcW w:w="1588" w:type="dxa"/>
            <w:shd w:val="clear" w:color="auto" w:fill="auto"/>
            <w:vAlign w:val="center"/>
            <w:hideMark/>
          </w:tcPr>
          <w:p w14:paraId="02510395" w14:textId="77777777" w:rsidR="007523B8" w:rsidRPr="009E06AA" w:rsidRDefault="007523B8" w:rsidP="00C7587B">
            <w:pPr>
              <w:pStyle w:val="TableText"/>
              <w:spacing w:before="40" w:after="40"/>
              <w:jc w:val="right"/>
              <w:rPr>
                <w:color w:val="000000"/>
                <w:highlight w:val="yellow"/>
              </w:rPr>
            </w:pPr>
            <w:r w:rsidRPr="009E06AA">
              <w:rPr>
                <w:rFonts w:cs="Calibri"/>
                <w:color w:val="000000"/>
                <w:szCs w:val="16"/>
              </w:rPr>
              <w:t>1,006.5</w:t>
            </w:r>
          </w:p>
        </w:tc>
        <w:tc>
          <w:tcPr>
            <w:tcW w:w="1649" w:type="dxa"/>
            <w:shd w:val="clear" w:color="auto" w:fill="auto"/>
            <w:vAlign w:val="center"/>
          </w:tcPr>
          <w:p w14:paraId="79032951" w14:textId="77777777" w:rsidR="007523B8" w:rsidRPr="009E06AA" w:rsidRDefault="007523B8" w:rsidP="00C7587B">
            <w:pPr>
              <w:pStyle w:val="TableText"/>
              <w:spacing w:before="40" w:after="40"/>
              <w:jc w:val="right"/>
              <w:rPr>
                <w:color w:val="000000"/>
                <w:highlight w:val="yellow"/>
              </w:rPr>
            </w:pPr>
            <w:r w:rsidRPr="009E06AA">
              <w:rPr>
                <w:rFonts w:cs="Calibri"/>
                <w:color w:val="000000"/>
                <w:szCs w:val="16"/>
              </w:rPr>
              <w:t>3.3</w:t>
            </w:r>
          </w:p>
        </w:tc>
      </w:tr>
      <w:tr w:rsidR="007523B8" w:rsidRPr="009E06AA" w14:paraId="4CC9E89D" w14:textId="77777777" w:rsidTr="00106A17">
        <w:tc>
          <w:tcPr>
            <w:tcW w:w="1568" w:type="dxa"/>
            <w:vMerge/>
            <w:vAlign w:val="center"/>
            <w:hideMark/>
          </w:tcPr>
          <w:p w14:paraId="1CDA40F1" w14:textId="77777777" w:rsidR="007523B8" w:rsidRPr="009E06AA" w:rsidRDefault="007523B8" w:rsidP="00B55F24">
            <w:pPr>
              <w:pStyle w:val="TableText"/>
              <w:spacing w:before="40" w:after="40"/>
              <w:rPr>
                <w:color w:val="000000"/>
              </w:rPr>
            </w:pPr>
          </w:p>
        </w:tc>
        <w:tc>
          <w:tcPr>
            <w:tcW w:w="2155" w:type="dxa"/>
            <w:shd w:val="clear" w:color="auto" w:fill="auto"/>
            <w:vAlign w:val="center"/>
            <w:hideMark/>
          </w:tcPr>
          <w:p w14:paraId="7BFA31EB" w14:textId="77777777" w:rsidR="007523B8" w:rsidRPr="009E06AA" w:rsidRDefault="007523B8" w:rsidP="00B55F24">
            <w:pPr>
              <w:pStyle w:val="TableText"/>
              <w:spacing w:before="40" w:after="40"/>
              <w:rPr>
                <w:color w:val="000000"/>
              </w:rPr>
            </w:pPr>
            <w:r w:rsidRPr="009E06AA">
              <w:rPr>
                <w:rFonts w:cs="Calibri"/>
                <w:color w:val="000000"/>
                <w:szCs w:val="16"/>
              </w:rPr>
              <w:t>2024 (1990–2022) emissions estimate using new population and liveweight model</w:t>
            </w:r>
          </w:p>
        </w:tc>
        <w:tc>
          <w:tcPr>
            <w:tcW w:w="794" w:type="dxa"/>
            <w:shd w:val="clear" w:color="auto" w:fill="auto"/>
            <w:vAlign w:val="center"/>
            <w:hideMark/>
          </w:tcPr>
          <w:p w14:paraId="4859F271" w14:textId="77777777" w:rsidR="007523B8" w:rsidRPr="009E06AA" w:rsidRDefault="007523B8" w:rsidP="00C7587B">
            <w:pPr>
              <w:pStyle w:val="TableText"/>
              <w:spacing w:before="40" w:after="40"/>
              <w:jc w:val="right"/>
              <w:rPr>
                <w:color w:val="000000"/>
                <w:highlight w:val="yellow"/>
              </w:rPr>
            </w:pPr>
            <w:r w:rsidRPr="009E06AA">
              <w:rPr>
                <w:rFonts w:cs="Calibri"/>
                <w:color w:val="000000"/>
                <w:szCs w:val="16"/>
              </w:rPr>
              <w:t>30,989.8</w:t>
            </w:r>
          </w:p>
        </w:tc>
        <w:tc>
          <w:tcPr>
            <w:tcW w:w="624" w:type="dxa"/>
            <w:shd w:val="clear" w:color="auto" w:fill="auto"/>
            <w:vAlign w:val="center"/>
            <w:hideMark/>
          </w:tcPr>
          <w:p w14:paraId="3DB6AC72" w14:textId="77777777" w:rsidR="007523B8" w:rsidRPr="009E06AA" w:rsidRDefault="007523B8" w:rsidP="00C7587B">
            <w:pPr>
              <w:pStyle w:val="TableText"/>
              <w:spacing w:before="40" w:after="40"/>
              <w:jc w:val="right"/>
              <w:rPr>
                <w:color w:val="000000"/>
                <w:highlight w:val="yellow"/>
              </w:rPr>
            </w:pPr>
            <w:r w:rsidRPr="009E06AA">
              <w:rPr>
                <w:rFonts w:cs="Calibri"/>
                <w:color w:val="000000"/>
                <w:szCs w:val="16"/>
              </w:rPr>
              <w:t>32,150.7</w:t>
            </w:r>
          </w:p>
        </w:tc>
        <w:tc>
          <w:tcPr>
            <w:tcW w:w="1588" w:type="dxa"/>
            <w:shd w:val="clear" w:color="auto" w:fill="auto"/>
            <w:vAlign w:val="center"/>
            <w:hideMark/>
          </w:tcPr>
          <w:p w14:paraId="240271A0" w14:textId="77777777" w:rsidR="007523B8" w:rsidRPr="009E06AA" w:rsidRDefault="007523B8" w:rsidP="00C7587B">
            <w:pPr>
              <w:pStyle w:val="TableText"/>
              <w:spacing w:before="40" w:after="40"/>
              <w:jc w:val="right"/>
              <w:rPr>
                <w:color w:val="000000"/>
                <w:highlight w:val="yellow"/>
              </w:rPr>
            </w:pPr>
            <w:r w:rsidRPr="009E06AA">
              <w:rPr>
                <w:rFonts w:cs="Calibri"/>
                <w:color w:val="000000"/>
                <w:szCs w:val="16"/>
              </w:rPr>
              <w:t>1,160.8</w:t>
            </w:r>
          </w:p>
        </w:tc>
        <w:tc>
          <w:tcPr>
            <w:tcW w:w="1649" w:type="dxa"/>
            <w:shd w:val="clear" w:color="auto" w:fill="auto"/>
            <w:vAlign w:val="center"/>
          </w:tcPr>
          <w:p w14:paraId="0CCDC34C" w14:textId="77777777" w:rsidR="007523B8" w:rsidRPr="009E06AA" w:rsidRDefault="007523B8" w:rsidP="00C7587B">
            <w:pPr>
              <w:pStyle w:val="TableText"/>
              <w:spacing w:before="40" w:after="40"/>
              <w:jc w:val="right"/>
              <w:rPr>
                <w:color w:val="000000"/>
                <w:highlight w:val="yellow"/>
              </w:rPr>
            </w:pPr>
            <w:r w:rsidRPr="009E06AA">
              <w:rPr>
                <w:rFonts w:cs="Calibri"/>
                <w:color w:val="000000"/>
                <w:szCs w:val="16"/>
              </w:rPr>
              <w:t>3.7</w:t>
            </w:r>
          </w:p>
        </w:tc>
      </w:tr>
      <w:tr w:rsidR="007523B8" w:rsidRPr="009E06AA" w14:paraId="7D0E039B" w14:textId="77777777" w:rsidTr="00106A17">
        <w:tc>
          <w:tcPr>
            <w:tcW w:w="1568" w:type="dxa"/>
            <w:vMerge/>
            <w:vAlign w:val="center"/>
            <w:hideMark/>
          </w:tcPr>
          <w:p w14:paraId="78EDBD1A" w14:textId="77777777" w:rsidR="007523B8" w:rsidRPr="009E06AA" w:rsidRDefault="007523B8" w:rsidP="00B55F24">
            <w:pPr>
              <w:pStyle w:val="TableText"/>
              <w:spacing w:before="40" w:after="40"/>
              <w:rPr>
                <w:color w:val="000000"/>
              </w:rPr>
            </w:pPr>
          </w:p>
        </w:tc>
        <w:tc>
          <w:tcPr>
            <w:tcW w:w="2155" w:type="dxa"/>
            <w:shd w:val="clear" w:color="auto" w:fill="auto"/>
            <w:vAlign w:val="center"/>
            <w:hideMark/>
          </w:tcPr>
          <w:p w14:paraId="537C8821" w14:textId="77777777" w:rsidR="007523B8" w:rsidRPr="009E06AA" w:rsidRDefault="007523B8" w:rsidP="00B55F24">
            <w:pPr>
              <w:pStyle w:val="TableText"/>
              <w:spacing w:before="40" w:after="40"/>
              <w:rPr>
                <w:color w:val="000000"/>
              </w:rPr>
            </w:pPr>
            <w:r w:rsidRPr="009E06AA">
              <w:rPr>
                <w:rFonts w:cs="Calibri"/>
                <w:color w:val="000000"/>
                <w:szCs w:val="16"/>
              </w:rPr>
              <w:t>Difference in emissions estimates compared with current inventory </w:t>
            </w:r>
          </w:p>
        </w:tc>
        <w:tc>
          <w:tcPr>
            <w:tcW w:w="794" w:type="dxa"/>
            <w:shd w:val="clear" w:color="auto" w:fill="auto"/>
            <w:vAlign w:val="center"/>
            <w:hideMark/>
          </w:tcPr>
          <w:p w14:paraId="6B7F333A" w14:textId="77777777" w:rsidR="007523B8" w:rsidRPr="009E06AA" w:rsidRDefault="007523B8" w:rsidP="00C7587B">
            <w:pPr>
              <w:pStyle w:val="TableText"/>
              <w:spacing w:before="40" w:after="40"/>
              <w:jc w:val="right"/>
              <w:rPr>
                <w:color w:val="000000"/>
                <w:highlight w:val="yellow"/>
              </w:rPr>
            </w:pPr>
            <w:r w:rsidRPr="009E06AA">
              <w:rPr>
                <w:rFonts w:cs="Calibri"/>
                <w:color w:val="000000"/>
                <w:szCs w:val="16"/>
              </w:rPr>
              <w:t>794.1</w:t>
            </w:r>
          </w:p>
        </w:tc>
        <w:tc>
          <w:tcPr>
            <w:tcW w:w="624" w:type="dxa"/>
            <w:shd w:val="clear" w:color="auto" w:fill="auto"/>
            <w:vAlign w:val="center"/>
            <w:hideMark/>
          </w:tcPr>
          <w:p w14:paraId="09DD1EBA" w14:textId="77777777" w:rsidR="007523B8" w:rsidRPr="009E06AA" w:rsidRDefault="007523B8" w:rsidP="00C7587B">
            <w:pPr>
              <w:pStyle w:val="TableText"/>
              <w:spacing w:before="40" w:after="40"/>
              <w:jc w:val="right"/>
              <w:rPr>
                <w:color w:val="000000"/>
                <w:highlight w:val="yellow"/>
              </w:rPr>
            </w:pPr>
            <w:r w:rsidRPr="009E06AA">
              <w:rPr>
                <w:rFonts w:cs="Calibri"/>
                <w:color w:val="000000"/>
                <w:szCs w:val="16"/>
              </w:rPr>
              <w:t>948.5</w:t>
            </w:r>
          </w:p>
        </w:tc>
        <w:tc>
          <w:tcPr>
            <w:tcW w:w="1588" w:type="dxa"/>
            <w:shd w:val="clear" w:color="auto" w:fill="auto"/>
            <w:vAlign w:val="center"/>
            <w:hideMark/>
          </w:tcPr>
          <w:p w14:paraId="02F0735B" w14:textId="77777777" w:rsidR="007523B8" w:rsidRPr="009E06AA" w:rsidRDefault="007523B8" w:rsidP="00C7587B">
            <w:pPr>
              <w:pStyle w:val="TableText"/>
              <w:spacing w:before="40" w:after="40"/>
              <w:jc w:val="right"/>
              <w:rPr>
                <w:color w:val="000000"/>
                <w:highlight w:val="yellow"/>
              </w:rPr>
            </w:pPr>
            <w:r w:rsidRPr="009E06AA">
              <w:rPr>
                <w:rFonts w:cs="Calibri"/>
                <w:color w:val="000000"/>
                <w:szCs w:val="16"/>
              </w:rPr>
              <w:t>154.4</w:t>
            </w:r>
          </w:p>
        </w:tc>
        <w:tc>
          <w:tcPr>
            <w:tcW w:w="1649" w:type="dxa"/>
            <w:shd w:val="clear" w:color="auto" w:fill="auto"/>
            <w:vAlign w:val="center"/>
            <w:hideMark/>
          </w:tcPr>
          <w:p w14:paraId="5D861CDC" w14:textId="77777777" w:rsidR="007523B8" w:rsidRPr="009E06AA" w:rsidRDefault="007523B8" w:rsidP="00C7587B">
            <w:pPr>
              <w:pStyle w:val="TableText"/>
              <w:spacing w:before="40" w:after="40"/>
              <w:jc w:val="right"/>
              <w:rPr>
                <w:color w:val="000000"/>
              </w:rPr>
            </w:pPr>
            <w:r w:rsidRPr="009E06AA">
              <w:rPr>
                <w:color w:val="000000"/>
              </w:rPr>
              <w:t>–</w:t>
            </w:r>
          </w:p>
        </w:tc>
      </w:tr>
      <w:tr w:rsidR="007523B8" w:rsidRPr="009E06AA" w14:paraId="4AF48DCE" w14:textId="77777777" w:rsidTr="00106A17">
        <w:tc>
          <w:tcPr>
            <w:tcW w:w="1568" w:type="dxa"/>
            <w:vMerge/>
            <w:vAlign w:val="center"/>
            <w:hideMark/>
          </w:tcPr>
          <w:p w14:paraId="1DAD406E" w14:textId="77777777" w:rsidR="007523B8" w:rsidRPr="009E06AA" w:rsidRDefault="007523B8" w:rsidP="00B55F24">
            <w:pPr>
              <w:pStyle w:val="TableText"/>
              <w:spacing w:before="40" w:after="40"/>
              <w:rPr>
                <w:color w:val="000000"/>
              </w:rPr>
            </w:pPr>
          </w:p>
        </w:tc>
        <w:tc>
          <w:tcPr>
            <w:tcW w:w="2155" w:type="dxa"/>
            <w:shd w:val="clear" w:color="auto" w:fill="auto"/>
            <w:vAlign w:val="center"/>
            <w:hideMark/>
          </w:tcPr>
          <w:p w14:paraId="1A8D7DD3" w14:textId="77777777" w:rsidR="007523B8" w:rsidRPr="009E06AA" w:rsidRDefault="007523B8" w:rsidP="00B55F24">
            <w:pPr>
              <w:pStyle w:val="TableText"/>
              <w:spacing w:before="40" w:after="40"/>
              <w:rPr>
                <w:color w:val="000000"/>
              </w:rPr>
            </w:pPr>
            <w:r w:rsidRPr="009E06AA">
              <w:rPr>
                <w:rFonts w:cs="Calibri"/>
                <w:color w:val="000000"/>
                <w:szCs w:val="16"/>
              </w:rPr>
              <w:t>Percentage difference in emissions estimates (%)</w:t>
            </w:r>
          </w:p>
        </w:tc>
        <w:tc>
          <w:tcPr>
            <w:tcW w:w="794" w:type="dxa"/>
            <w:shd w:val="clear" w:color="auto" w:fill="auto"/>
            <w:vAlign w:val="center"/>
            <w:hideMark/>
          </w:tcPr>
          <w:p w14:paraId="4120D487" w14:textId="77777777" w:rsidR="007523B8" w:rsidRPr="009E06AA" w:rsidRDefault="007523B8" w:rsidP="00C7587B">
            <w:pPr>
              <w:pStyle w:val="TableText"/>
              <w:spacing w:before="40" w:after="40"/>
              <w:jc w:val="right"/>
              <w:rPr>
                <w:color w:val="000000"/>
                <w:highlight w:val="yellow"/>
              </w:rPr>
            </w:pPr>
            <w:r w:rsidRPr="009E06AA">
              <w:rPr>
                <w:rFonts w:cs="Calibri"/>
                <w:color w:val="000000"/>
                <w:szCs w:val="16"/>
              </w:rPr>
              <w:t>2.6</w:t>
            </w:r>
          </w:p>
        </w:tc>
        <w:tc>
          <w:tcPr>
            <w:tcW w:w="624" w:type="dxa"/>
            <w:shd w:val="clear" w:color="auto" w:fill="auto"/>
            <w:vAlign w:val="center"/>
            <w:hideMark/>
          </w:tcPr>
          <w:p w14:paraId="238626D2" w14:textId="77777777" w:rsidR="007523B8" w:rsidRPr="009E06AA" w:rsidRDefault="007523B8" w:rsidP="00C7587B">
            <w:pPr>
              <w:pStyle w:val="TableText"/>
              <w:spacing w:before="40" w:after="40"/>
              <w:jc w:val="right"/>
              <w:rPr>
                <w:color w:val="000000"/>
                <w:highlight w:val="yellow"/>
              </w:rPr>
            </w:pPr>
            <w:r w:rsidRPr="009E06AA">
              <w:rPr>
                <w:rFonts w:cs="Calibri"/>
                <w:color w:val="000000"/>
                <w:szCs w:val="16"/>
              </w:rPr>
              <w:t>3.0</w:t>
            </w:r>
          </w:p>
        </w:tc>
        <w:tc>
          <w:tcPr>
            <w:tcW w:w="1588" w:type="dxa"/>
            <w:shd w:val="clear" w:color="auto" w:fill="auto"/>
            <w:vAlign w:val="center"/>
            <w:hideMark/>
          </w:tcPr>
          <w:p w14:paraId="6C8C0FB7" w14:textId="77777777" w:rsidR="007523B8" w:rsidRPr="009E06AA" w:rsidRDefault="007523B8" w:rsidP="00C7587B">
            <w:pPr>
              <w:pStyle w:val="TableText"/>
              <w:spacing w:before="40" w:after="40"/>
              <w:jc w:val="right"/>
              <w:rPr>
                <w:color w:val="000000"/>
              </w:rPr>
            </w:pPr>
            <w:r w:rsidRPr="009E06AA">
              <w:rPr>
                <w:color w:val="000000"/>
              </w:rPr>
              <w:t>–</w:t>
            </w:r>
            <w:r w:rsidRPr="009E06AA">
              <w:rPr>
                <w:rFonts w:cs="Calibri"/>
                <w:color w:val="000000"/>
                <w:szCs w:val="16"/>
              </w:rPr>
              <w:t> </w:t>
            </w:r>
          </w:p>
        </w:tc>
        <w:tc>
          <w:tcPr>
            <w:tcW w:w="1649" w:type="dxa"/>
            <w:shd w:val="clear" w:color="auto" w:fill="auto"/>
            <w:vAlign w:val="center"/>
            <w:hideMark/>
          </w:tcPr>
          <w:p w14:paraId="5443DFFB" w14:textId="77777777" w:rsidR="007523B8" w:rsidRPr="009E06AA" w:rsidRDefault="007523B8" w:rsidP="00C7587B">
            <w:pPr>
              <w:pStyle w:val="TableText"/>
              <w:spacing w:before="40" w:after="40"/>
              <w:jc w:val="right"/>
              <w:rPr>
                <w:color w:val="000000"/>
              </w:rPr>
            </w:pPr>
            <w:r w:rsidRPr="009E06AA">
              <w:rPr>
                <w:color w:val="000000"/>
              </w:rPr>
              <w:t>–</w:t>
            </w:r>
          </w:p>
        </w:tc>
      </w:tr>
    </w:tbl>
    <w:p w14:paraId="22F0E7B6" w14:textId="77777777" w:rsidR="007523B8" w:rsidRPr="009E06AA" w:rsidRDefault="007523B8" w:rsidP="00106A17">
      <w:pPr>
        <w:pStyle w:val="Noteundertable"/>
        <w:spacing w:after="80"/>
        <w:rPr>
          <w:rFonts w:cs="Calibri"/>
        </w:rPr>
      </w:pPr>
      <w:bookmarkStart w:id="986" w:name="_Toc127458258"/>
      <w:bookmarkStart w:id="987" w:name="_Toc131591354"/>
      <w:r w:rsidRPr="009E06AA">
        <w:rPr>
          <w:rFonts w:cs="Calibri"/>
          <w:b/>
          <w:bCs/>
        </w:rPr>
        <w:t>Note:</w:t>
      </w:r>
      <w:r w:rsidRPr="009E06AA">
        <w:rPr>
          <w:rFonts w:cs="Calibri"/>
        </w:rPr>
        <w:t xml:space="preserve"> </w:t>
      </w:r>
      <w:r w:rsidRPr="009E06AA">
        <w:rPr>
          <w:rFonts w:cs="Calibri"/>
        </w:rPr>
        <w:tab/>
        <w:t>Columns may not sum due to rounding. Percentages presented are calculated from unrounded values.</w:t>
      </w:r>
    </w:p>
    <w:p w14:paraId="0EF5FCB9" w14:textId="77777777" w:rsidR="007523B8" w:rsidRPr="009E06AA" w:rsidRDefault="007523B8" w:rsidP="00BF2A76">
      <w:pPr>
        <w:pStyle w:val="Heading5"/>
      </w:pPr>
      <w:r w:rsidRPr="009E06AA">
        <w:t>Proportion of lambs held over to a second slaughter date</w:t>
      </w:r>
    </w:p>
    <w:p w14:paraId="0DED0340" w14:textId="77777777" w:rsidR="007523B8" w:rsidRPr="009E06AA" w:rsidRDefault="007523B8" w:rsidP="007523B8">
      <w:pPr>
        <w:pStyle w:val="BodyText"/>
        <w:rPr>
          <w:spacing w:val="-2"/>
        </w:rPr>
      </w:pPr>
      <w:r w:rsidRPr="009E06AA">
        <w:t xml:space="preserve">Emissions estimates in all categories relating to lambs reported in the 2024 submission have </w:t>
      </w:r>
      <w:r w:rsidRPr="009E06AA">
        <w:rPr>
          <w:spacing w:val="-2"/>
        </w:rPr>
        <w:t xml:space="preserve">been enhanced by an improved estimate of the proportion of lambs sold to slaughter in March. </w:t>
      </w:r>
    </w:p>
    <w:p w14:paraId="58A27103" w14:textId="77777777" w:rsidR="007523B8" w:rsidRPr="009E06AA" w:rsidRDefault="007523B8" w:rsidP="007523B8">
      <w:pPr>
        <w:pStyle w:val="BodyText"/>
        <w:rPr>
          <w:rFonts w:cs="Arial"/>
        </w:rPr>
      </w:pPr>
      <w:r w:rsidRPr="009E06AA">
        <w:t xml:space="preserve">Previously the model assumed 84 per cent of lambs </w:t>
      </w:r>
      <w:r w:rsidRPr="009E06AA" w:rsidDel="004365C3">
        <w:t xml:space="preserve">were </w:t>
      </w:r>
      <w:r w:rsidRPr="009E06AA">
        <w:t xml:space="preserve">slaughtered in March, with the remainder (after accounting for deaths) maturing into the hogget class. </w:t>
      </w:r>
      <w:bookmarkStart w:id="988" w:name="_Hlk153464330"/>
      <w:r w:rsidRPr="009E06AA">
        <w:t xml:space="preserve">Recent research carried out by AgResearch (Stevens et al., 2022) has used industry data to improve this assumption. </w:t>
      </w:r>
      <w:r w:rsidRPr="009E06AA">
        <w:rPr>
          <w:rFonts w:cs="Arial"/>
        </w:rPr>
        <w:t>The research showed the proportion of lambs held over to a second slaughter date has historically increased from about 16 per cent to 22 per cent since 2010, and it was recommended that these values be adopted. The Agriculture Inventory Advisory Panel, however, suggested that a linear trend for the years 1990–2010 be adopted based on data in the report (i.e., increasing from 14 per cent to 22 per cent), followed by a constant 22 per cent thereafter, which better reflected the actual data.</w:t>
      </w:r>
      <w:bookmarkEnd w:id="988"/>
      <w:r w:rsidRPr="009E06AA">
        <w:rPr>
          <w:rFonts w:cs="Arial"/>
        </w:rPr>
        <w:t xml:space="preserve"> This recommendation was implemented. </w:t>
      </w:r>
    </w:p>
    <w:p w14:paraId="6AD653DB" w14:textId="77777777" w:rsidR="007523B8" w:rsidRPr="009E06AA" w:rsidRDefault="007523B8" w:rsidP="007523B8">
      <w:pPr>
        <w:pStyle w:val="BodyText"/>
      </w:pPr>
      <w:r w:rsidRPr="009E06AA">
        <w:t xml:space="preserve">Implementing the 2024 changes had no impact on estimated emissions from </w:t>
      </w:r>
      <w:r w:rsidRPr="009E06AA">
        <w:rPr>
          <w:iCs/>
        </w:rPr>
        <w:t xml:space="preserve">the </w:t>
      </w:r>
      <w:r w:rsidRPr="009E06AA">
        <w:rPr>
          <w:i/>
        </w:rPr>
        <w:t>Enteric fermentation</w:t>
      </w:r>
      <w:r w:rsidRPr="009E06AA">
        <w:t xml:space="preserve"> category in 1990 and caused a 0.1 per cent increase (35.9 kt CO</w:t>
      </w:r>
      <w:r w:rsidRPr="009E06AA">
        <w:rPr>
          <w:vertAlign w:val="subscript"/>
        </w:rPr>
        <w:t>2</w:t>
      </w:r>
      <w:r w:rsidRPr="009E06AA">
        <w:t>-e) in 2021 (see table 5.2.7).</w:t>
      </w:r>
    </w:p>
    <w:p w14:paraId="3B5BFB9C" w14:textId="77777777" w:rsidR="007523B8" w:rsidRPr="009E06AA" w:rsidRDefault="007523B8" w:rsidP="007523B8">
      <w:pPr>
        <w:pStyle w:val="Table"/>
        <w:rPr>
          <w:i/>
        </w:rPr>
      </w:pPr>
      <w:bookmarkStart w:id="989" w:name="_Toc160114444"/>
      <w:bookmarkStart w:id="990" w:name="_Toc164153840"/>
      <w:r w:rsidRPr="009E06AA">
        <w:rPr>
          <w:rFonts w:cs="Calibri"/>
        </w:rPr>
        <w:t>Table 5.2.7</w:t>
      </w:r>
      <w:r w:rsidRPr="009E06AA">
        <w:rPr>
          <w:rFonts w:cs="Calibri"/>
        </w:rPr>
        <w:tab/>
        <w:t>Comparison of proportion of lambs held over to a second slaughter date for emissions from </w:t>
      </w:r>
      <w:r w:rsidRPr="009E06AA">
        <w:rPr>
          <w:rFonts w:cs="Calibri"/>
          <w:i/>
          <w:iCs/>
        </w:rPr>
        <w:t>Enteric fermentation</w:t>
      </w:r>
      <w:bookmarkEnd w:id="986"/>
      <w:bookmarkEnd w:id="987"/>
      <w:bookmarkEnd w:id="989"/>
      <w:bookmarkEnd w:id="990"/>
      <w:r w:rsidRPr="009E06AA">
        <w:rPr>
          <w:rFonts w:cs="Calibri"/>
          <w:i/>
          <w:iCs/>
        </w:rPr>
        <w:t xml:space="preserve"> </w:t>
      </w:r>
    </w:p>
    <w:tbl>
      <w:tblPr>
        <w:tblW w:w="8505" w:type="dxa"/>
        <w:tblBorders>
          <w:top w:val="single" w:sz="2" w:space="0" w:color="1B556B" w:themeColor="text2"/>
          <w:bottom w:val="single" w:sz="2" w:space="0" w:color="1B556B" w:themeColor="text2"/>
          <w:insideH w:val="single" w:sz="2" w:space="0" w:color="1B556B" w:themeColor="text2"/>
          <w:insideV w:val="single" w:sz="2" w:space="0" w:color="1B556B" w:themeColor="text2"/>
        </w:tblBorders>
        <w:tblCellMar>
          <w:right w:w="85" w:type="dxa"/>
        </w:tblCellMar>
        <w:tblLook w:val="04A0" w:firstRow="1" w:lastRow="0" w:firstColumn="1" w:lastColumn="0" w:noHBand="0" w:noVBand="1"/>
      </w:tblPr>
      <w:tblGrid>
        <w:gridCol w:w="1560"/>
        <w:gridCol w:w="2239"/>
        <w:gridCol w:w="782"/>
        <w:gridCol w:w="837"/>
        <w:gridCol w:w="1514"/>
        <w:gridCol w:w="1573"/>
      </w:tblGrid>
      <w:tr w:rsidR="007523B8" w:rsidRPr="009E06AA" w14:paraId="32B5016B" w14:textId="77777777" w:rsidTr="00B55F24">
        <w:tc>
          <w:tcPr>
            <w:tcW w:w="917" w:type="pct"/>
            <w:shd w:val="clear" w:color="000000" w:fill="1B556B"/>
            <w:vAlign w:val="bottom"/>
            <w:hideMark/>
          </w:tcPr>
          <w:p w14:paraId="52D05DAC" w14:textId="77777777" w:rsidR="007523B8" w:rsidRPr="009E06AA" w:rsidRDefault="007523B8" w:rsidP="00B55F24">
            <w:pPr>
              <w:pStyle w:val="TableText"/>
              <w:spacing w:before="40" w:after="40"/>
              <w:rPr>
                <w:b/>
                <w:bCs/>
                <w:color w:val="FFFFFF" w:themeColor="background1"/>
              </w:rPr>
            </w:pPr>
            <w:r w:rsidRPr="009E06AA">
              <w:rPr>
                <w:b/>
                <w:bCs/>
                <w:color w:val="FFFFFF" w:themeColor="background1"/>
              </w:rPr>
              <w:t>Emissions (kt CO</w:t>
            </w:r>
            <w:r w:rsidRPr="009E06AA">
              <w:rPr>
                <w:b/>
                <w:bCs/>
                <w:color w:val="FFFFFF" w:themeColor="background1"/>
                <w:vertAlign w:val="subscript"/>
              </w:rPr>
              <w:t>2</w:t>
            </w:r>
            <w:r w:rsidRPr="009E06AA">
              <w:rPr>
                <w:b/>
                <w:bCs/>
                <w:color w:val="FFFFFF" w:themeColor="background1"/>
              </w:rPr>
              <w:t>-e)</w:t>
            </w:r>
          </w:p>
        </w:tc>
        <w:tc>
          <w:tcPr>
            <w:tcW w:w="1316" w:type="pct"/>
            <w:tcBorders>
              <w:bottom w:val="single" w:sz="2" w:space="0" w:color="1B556B" w:themeColor="text2"/>
            </w:tcBorders>
            <w:shd w:val="clear" w:color="000000" w:fill="1B556B"/>
            <w:vAlign w:val="bottom"/>
            <w:hideMark/>
          </w:tcPr>
          <w:p w14:paraId="1EA66CB3" w14:textId="77777777" w:rsidR="007523B8" w:rsidRPr="009E06AA" w:rsidRDefault="007523B8" w:rsidP="00B55F24">
            <w:pPr>
              <w:pStyle w:val="TableText"/>
              <w:spacing w:before="40" w:after="40"/>
              <w:rPr>
                <w:b/>
                <w:bCs/>
                <w:color w:val="FFFFFF" w:themeColor="background1"/>
              </w:rPr>
            </w:pPr>
            <w:r w:rsidRPr="009E06AA">
              <w:rPr>
                <w:rFonts w:cs="Calibri"/>
                <w:color w:val="000000"/>
                <w:sz w:val="20"/>
                <w:szCs w:val="20"/>
              </w:rPr>
              <w:t> </w:t>
            </w:r>
          </w:p>
        </w:tc>
        <w:tc>
          <w:tcPr>
            <w:tcW w:w="460" w:type="pct"/>
            <w:tcBorders>
              <w:bottom w:val="single" w:sz="2" w:space="0" w:color="1B556B" w:themeColor="text2"/>
            </w:tcBorders>
            <w:shd w:val="clear" w:color="000000" w:fill="1B556B"/>
            <w:vAlign w:val="bottom"/>
            <w:hideMark/>
          </w:tcPr>
          <w:p w14:paraId="71A4C100" w14:textId="77777777" w:rsidR="007523B8" w:rsidRPr="009E06AA" w:rsidRDefault="007523B8" w:rsidP="00C7587B">
            <w:pPr>
              <w:pStyle w:val="TableText"/>
              <w:spacing w:before="40" w:after="40"/>
              <w:jc w:val="right"/>
              <w:rPr>
                <w:b/>
                <w:bCs/>
                <w:color w:val="FFFFFF" w:themeColor="background1"/>
              </w:rPr>
            </w:pPr>
            <w:r w:rsidRPr="009E06AA">
              <w:rPr>
                <w:rFonts w:cs="Calibri"/>
                <w:b/>
                <w:bCs/>
                <w:color w:val="FFFFFF" w:themeColor="background1"/>
                <w:szCs w:val="16"/>
              </w:rPr>
              <w:t>1990</w:t>
            </w:r>
          </w:p>
        </w:tc>
        <w:tc>
          <w:tcPr>
            <w:tcW w:w="492" w:type="pct"/>
            <w:tcBorders>
              <w:bottom w:val="single" w:sz="2" w:space="0" w:color="1B556B" w:themeColor="text2"/>
            </w:tcBorders>
            <w:shd w:val="clear" w:color="000000" w:fill="1B556B"/>
            <w:vAlign w:val="bottom"/>
            <w:hideMark/>
          </w:tcPr>
          <w:p w14:paraId="588D231F" w14:textId="77777777" w:rsidR="007523B8" w:rsidRPr="009E06AA" w:rsidRDefault="007523B8" w:rsidP="00C7587B">
            <w:pPr>
              <w:pStyle w:val="TableText"/>
              <w:spacing w:before="40" w:after="40"/>
              <w:jc w:val="right"/>
              <w:rPr>
                <w:b/>
                <w:bCs/>
                <w:color w:val="FFFFFF" w:themeColor="background1"/>
              </w:rPr>
            </w:pPr>
            <w:r w:rsidRPr="009E06AA">
              <w:rPr>
                <w:b/>
                <w:color w:val="FFFFFF" w:themeColor="background1"/>
              </w:rPr>
              <w:t>2021</w:t>
            </w:r>
          </w:p>
        </w:tc>
        <w:tc>
          <w:tcPr>
            <w:tcW w:w="890" w:type="pct"/>
            <w:tcBorders>
              <w:bottom w:val="single" w:sz="2" w:space="0" w:color="1B556B" w:themeColor="text2"/>
            </w:tcBorders>
            <w:shd w:val="clear" w:color="000000" w:fill="1B556B"/>
            <w:vAlign w:val="bottom"/>
            <w:hideMark/>
          </w:tcPr>
          <w:p w14:paraId="39893B7F" w14:textId="77777777" w:rsidR="007523B8" w:rsidRPr="009E06AA" w:rsidRDefault="007523B8" w:rsidP="00C7587B">
            <w:pPr>
              <w:pStyle w:val="TableText"/>
              <w:spacing w:before="40" w:after="40"/>
              <w:jc w:val="right"/>
              <w:rPr>
                <w:b/>
                <w:bCs/>
                <w:color w:val="FFFFFF" w:themeColor="background1"/>
              </w:rPr>
            </w:pPr>
            <w:r w:rsidRPr="009E06AA">
              <w:rPr>
                <w:rFonts w:cs="Calibri"/>
                <w:b/>
                <w:bCs/>
                <w:color w:val="FFFFFF" w:themeColor="background1"/>
                <w:szCs w:val="16"/>
              </w:rPr>
              <w:t>Change in emission outputs between 1990 and 2021 (kt CO</w:t>
            </w:r>
            <w:r w:rsidRPr="009E06AA">
              <w:rPr>
                <w:b/>
                <w:color w:val="FFFFFF"/>
                <w:vertAlign w:val="subscript"/>
              </w:rPr>
              <w:t>2</w:t>
            </w:r>
            <w:r w:rsidRPr="009E06AA">
              <w:rPr>
                <w:b/>
                <w:color w:val="FFFFFF"/>
              </w:rPr>
              <w:t>-e)</w:t>
            </w:r>
          </w:p>
        </w:tc>
        <w:tc>
          <w:tcPr>
            <w:tcW w:w="925" w:type="pct"/>
            <w:shd w:val="clear" w:color="000000" w:fill="1B556B"/>
            <w:vAlign w:val="bottom"/>
            <w:hideMark/>
          </w:tcPr>
          <w:p w14:paraId="60BC4BCE" w14:textId="77777777" w:rsidR="007523B8" w:rsidRPr="009E06AA" w:rsidRDefault="007523B8" w:rsidP="00C7587B">
            <w:pPr>
              <w:pStyle w:val="TableText"/>
              <w:spacing w:before="40" w:after="40"/>
              <w:jc w:val="right"/>
              <w:rPr>
                <w:b/>
                <w:bCs/>
                <w:color w:val="FFFFFF" w:themeColor="background1"/>
              </w:rPr>
            </w:pPr>
            <w:r w:rsidRPr="009E06AA">
              <w:rPr>
                <w:rFonts w:cs="Calibri"/>
                <w:b/>
                <w:bCs/>
                <w:color w:val="FFFFFF" w:themeColor="background1"/>
                <w:szCs w:val="16"/>
              </w:rPr>
              <w:t>Percentage change in emission outputs between 1990 and 2021 (%)</w:t>
            </w:r>
          </w:p>
        </w:tc>
      </w:tr>
      <w:tr w:rsidR="007523B8" w:rsidRPr="009E06AA" w14:paraId="0B455202" w14:textId="77777777" w:rsidTr="00B55F24">
        <w:tc>
          <w:tcPr>
            <w:tcW w:w="917" w:type="pct"/>
            <w:vMerge w:val="restart"/>
            <w:tcBorders>
              <w:right w:val="nil"/>
            </w:tcBorders>
            <w:shd w:val="clear" w:color="auto" w:fill="auto"/>
            <w:vAlign w:val="center"/>
            <w:hideMark/>
          </w:tcPr>
          <w:p w14:paraId="650428B5" w14:textId="77777777" w:rsidR="007523B8" w:rsidRPr="009E06AA" w:rsidRDefault="007523B8" w:rsidP="00B55F24">
            <w:pPr>
              <w:pStyle w:val="TableText"/>
              <w:spacing w:before="40" w:after="40"/>
              <w:rPr>
                <w:color w:val="000000"/>
              </w:rPr>
            </w:pPr>
            <w:r w:rsidRPr="009E06AA">
              <w:rPr>
                <w:color w:val="000000"/>
              </w:rPr>
              <w:t xml:space="preserve">Total emissions from </w:t>
            </w:r>
            <w:r w:rsidRPr="009E06AA">
              <w:rPr>
                <w:i/>
                <w:iCs/>
                <w:color w:val="000000"/>
              </w:rPr>
              <w:t>Enteric fermentation</w:t>
            </w:r>
            <w:r w:rsidRPr="009E06AA">
              <w:rPr>
                <w:color w:val="000000"/>
              </w:rPr>
              <w:t xml:space="preserve"> (kt CO</w:t>
            </w:r>
            <w:r w:rsidRPr="009E06AA">
              <w:rPr>
                <w:color w:val="000000"/>
                <w:vertAlign w:val="subscript"/>
              </w:rPr>
              <w:t>2</w:t>
            </w:r>
            <w:r w:rsidRPr="009E06AA">
              <w:rPr>
                <w:color w:val="000000"/>
              </w:rPr>
              <w:t>-e)</w:t>
            </w:r>
          </w:p>
        </w:tc>
        <w:tc>
          <w:tcPr>
            <w:tcW w:w="1316" w:type="pct"/>
            <w:tcBorders>
              <w:left w:val="nil"/>
              <w:right w:val="nil"/>
            </w:tcBorders>
            <w:shd w:val="clear" w:color="auto" w:fill="auto"/>
            <w:vAlign w:val="center"/>
            <w:hideMark/>
          </w:tcPr>
          <w:p w14:paraId="6B9A827D" w14:textId="77777777" w:rsidR="007523B8" w:rsidRPr="009E06AA" w:rsidRDefault="007523B8" w:rsidP="00B55F24">
            <w:pPr>
              <w:pStyle w:val="TableText"/>
              <w:spacing w:before="40" w:after="40"/>
              <w:rPr>
                <w:color w:val="000000"/>
              </w:rPr>
            </w:pPr>
            <w:r w:rsidRPr="009E06AA">
              <w:rPr>
                <w:rFonts w:cs="Calibri"/>
                <w:color w:val="000000"/>
                <w:szCs w:val="16"/>
              </w:rPr>
              <w:t xml:space="preserve">2023 (1990–2021) emissions estimate using previous proportion of lambs held over </w:t>
            </w:r>
          </w:p>
        </w:tc>
        <w:tc>
          <w:tcPr>
            <w:tcW w:w="460" w:type="pct"/>
            <w:tcBorders>
              <w:left w:val="nil"/>
              <w:right w:val="nil"/>
            </w:tcBorders>
            <w:shd w:val="clear" w:color="auto" w:fill="auto"/>
            <w:vAlign w:val="center"/>
            <w:hideMark/>
          </w:tcPr>
          <w:p w14:paraId="218CF457" w14:textId="77777777" w:rsidR="007523B8" w:rsidRPr="009E06AA" w:rsidRDefault="007523B8" w:rsidP="00C7587B">
            <w:pPr>
              <w:pStyle w:val="TableText"/>
              <w:spacing w:before="40" w:after="40"/>
              <w:jc w:val="right"/>
              <w:rPr>
                <w:color w:val="000000"/>
                <w:highlight w:val="yellow"/>
              </w:rPr>
            </w:pPr>
            <w:r w:rsidRPr="009E06AA">
              <w:rPr>
                <w:rFonts w:cs="Calibri"/>
                <w:color w:val="000000"/>
                <w:szCs w:val="16"/>
              </w:rPr>
              <w:t>30,195.7</w:t>
            </w:r>
          </w:p>
        </w:tc>
        <w:tc>
          <w:tcPr>
            <w:tcW w:w="492" w:type="pct"/>
            <w:tcBorders>
              <w:left w:val="nil"/>
              <w:right w:val="nil"/>
            </w:tcBorders>
            <w:shd w:val="clear" w:color="auto" w:fill="auto"/>
            <w:vAlign w:val="center"/>
            <w:hideMark/>
          </w:tcPr>
          <w:p w14:paraId="37867C0E" w14:textId="77777777" w:rsidR="007523B8" w:rsidRPr="009E06AA" w:rsidRDefault="007523B8" w:rsidP="00C7587B">
            <w:pPr>
              <w:pStyle w:val="TableText"/>
              <w:spacing w:before="40" w:after="40"/>
              <w:jc w:val="right"/>
              <w:rPr>
                <w:color w:val="000000"/>
                <w:highlight w:val="yellow"/>
              </w:rPr>
            </w:pPr>
            <w:r w:rsidRPr="009E06AA">
              <w:rPr>
                <w:rFonts w:cs="Calibri"/>
                <w:color w:val="000000"/>
                <w:szCs w:val="16"/>
              </w:rPr>
              <w:t>31,202.1</w:t>
            </w:r>
          </w:p>
        </w:tc>
        <w:tc>
          <w:tcPr>
            <w:tcW w:w="890" w:type="pct"/>
            <w:tcBorders>
              <w:left w:val="nil"/>
              <w:right w:val="nil"/>
            </w:tcBorders>
            <w:shd w:val="clear" w:color="auto" w:fill="auto"/>
            <w:vAlign w:val="center"/>
            <w:hideMark/>
          </w:tcPr>
          <w:p w14:paraId="3D5205BE" w14:textId="77777777" w:rsidR="007523B8" w:rsidRPr="009E06AA" w:rsidRDefault="007523B8" w:rsidP="00C7587B">
            <w:pPr>
              <w:pStyle w:val="TableText"/>
              <w:spacing w:before="40" w:after="40"/>
              <w:jc w:val="right"/>
              <w:rPr>
                <w:color w:val="000000"/>
                <w:highlight w:val="yellow"/>
              </w:rPr>
            </w:pPr>
            <w:r w:rsidRPr="009E06AA">
              <w:rPr>
                <w:rFonts w:cs="Calibri"/>
                <w:color w:val="000000"/>
                <w:szCs w:val="16"/>
              </w:rPr>
              <w:t>1,006.5</w:t>
            </w:r>
          </w:p>
        </w:tc>
        <w:tc>
          <w:tcPr>
            <w:tcW w:w="925" w:type="pct"/>
            <w:tcBorders>
              <w:left w:val="nil"/>
            </w:tcBorders>
            <w:shd w:val="clear" w:color="auto" w:fill="auto"/>
            <w:vAlign w:val="center"/>
            <w:hideMark/>
          </w:tcPr>
          <w:p w14:paraId="0EB33001" w14:textId="77777777" w:rsidR="007523B8" w:rsidRPr="009E06AA" w:rsidRDefault="007523B8" w:rsidP="00C7587B">
            <w:pPr>
              <w:pStyle w:val="TableText"/>
              <w:spacing w:before="40" w:after="40"/>
              <w:jc w:val="right"/>
              <w:rPr>
                <w:color w:val="000000"/>
                <w:highlight w:val="yellow"/>
              </w:rPr>
            </w:pPr>
            <w:r w:rsidRPr="009E06AA">
              <w:rPr>
                <w:rFonts w:cs="Calibri"/>
                <w:color w:val="000000"/>
                <w:szCs w:val="16"/>
              </w:rPr>
              <w:t>3.3</w:t>
            </w:r>
          </w:p>
        </w:tc>
      </w:tr>
      <w:tr w:rsidR="007523B8" w:rsidRPr="009E06AA" w14:paraId="05D6E467" w14:textId="77777777" w:rsidTr="00B55F24">
        <w:tc>
          <w:tcPr>
            <w:tcW w:w="917" w:type="pct"/>
            <w:vMerge/>
            <w:tcBorders>
              <w:right w:val="nil"/>
            </w:tcBorders>
            <w:vAlign w:val="center"/>
            <w:hideMark/>
          </w:tcPr>
          <w:p w14:paraId="7D67E0AD" w14:textId="77777777" w:rsidR="007523B8" w:rsidRPr="009E06AA" w:rsidRDefault="007523B8" w:rsidP="00B55F24">
            <w:pPr>
              <w:pStyle w:val="TableText"/>
              <w:spacing w:before="40" w:after="40"/>
              <w:rPr>
                <w:color w:val="000000"/>
              </w:rPr>
            </w:pPr>
          </w:p>
        </w:tc>
        <w:tc>
          <w:tcPr>
            <w:tcW w:w="1316" w:type="pct"/>
            <w:tcBorders>
              <w:left w:val="nil"/>
              <w:right w:val="nil"/>
            </w:tcBorders>
            <w:shd w:val="clear" w:color="auto" w:fill="auto"/>
            <w:vAlign w:val="center"/>
            <w:hideMark/>
          </w:tcPr>
          <w:p w14:paraId="152357C5" w14:textId="77777777" w:rsidR="007523B8" w:rsidRPr="009E06AA" w:rsidRDefault="007523B8" w:rsidP="00B55F24">
            <w:pPr>
              <w:pStyle w:val="TableText"/>
              <w:spacing w:before="40" w:after="40"/>
              <w:rPr>
                <w:color w:val="000000"/>
              </w:rPr>
            </w:pPr>
            <w:r w:rsidRPr="009E06AA">
              <w:rPr>
                <w:rFonts w:cs="Calibri"/>
                <w:color w:val="000000"/>
                <w:szCs w:val="16"/>
              </w:rPr>
              <w:t xml:space="preserve">2023 (1990–2021) emissions estimate using new proportion of lambs held over </w:t>
            </w:r>
          </w:p>
        </w:tc>
        <w:tc>
          <w:tcPr>
            <w:tcW w:w="460" w:type="pct"/>
            <w:tcBorders>
              <w:left w:val="nil"/>
              <w:right w:val="nil"/>
            </w:tcBorders>
            <w:shd w:val="clear" w:color="auto" w:fill="auto"/>
            <w:vAlign w:val="center"/>
            <w:hideMark/>
          </w:tcPr>
          <w:p w14:paraId="07EACB0E" w14:textId="77777777" w:rsidR="007523B8" w:rsidRPr="009E06AA" w:rsidRDefault="007523B8" w:rsidP="00C7587B">
            <w:pPr>
              <w:pStyle w:val="TableText"/>
              <w:spacing w:before="40" w:after="40"/>
              <w:jc w:val="right"/>
              <w:rPr>
                <w:color w:val="000000"/>
                <w:highlight w:val="yellow"/>
              </w:rPr>
            </w:pPr>
            <w:r w:rsidRPr="009E06AA">
              <w:rPr>
                <w:rFonts w:cs="Calibri"/>
                <w:color w:val="000000"/>
                <w:szCs w:val="16"/>
              </w:rPr>
              <w:t>30,195.7</w:t>
            </w:r>
          </w:p>
        </w:tc>
        <w:tc>
          <w:tcPr>
            <w:tcW w:w="492" w:type="pct"/>
            <w:tcBorders>
              <w:left w:val="nil"/>
              <w:right w:val="nil"/>
            </w:tcBorders>
            <w:shd w:val="clear" w:color="auto" w:fill="auto"/>
            <w:vAlign w:val="center"/>
            <w:hideMark/>
          </w:tcPr>
          <w:p w14:paraId="557C8B30" w14:textId="77777777" w:rsidR="007523B8" w:rsidRPr="009E06AA" w:rsidRDefault="007523B8" w:rsidP="00C7587B">
            <w:pPr>
              <w:pStyle w:val="TableText"/>
              <w:spacing w:before="40" w:after="40"/>
              <w:jc w:val="right"/>
              <w:rPr>
                <w:color w:val="000000"/>
                <w:highlight w:val="yellow"/>
              </w:rPr>
            </w:pPr>
            <w:r w:rsidRPr="009E06AA">
              <w:rPr>
                <w:rFonts w:cs="Calibri"/>
                <w:color w:val="000000"/>
                <w:szCs w:val="16"/>
              </w:rPr>
              <w:t>31,238.1</w:t>
            </w:r>
          </w:p>
        </w:tc>
        <w:tc>
          <w:tcPr>
            <w:tcW w:w="890" w:type="pct"/>
            <w:tcBorders>
              <w:left w:val="nil"/>
              <w:right w:val="nil"/>
            </w:tcBorders>
            <w:shd w:val="clear" w:color="auto" w:fill="auto"/>
            <w:vAlign w:val="center"/>
            <w:hideMark/>
          </w:tcPr>
          <w:p w14:paraId="25F485A2" w14:textId="77777777" w:rsidR="007523B8" w:rsidRPr="009E06AA" w:rsidRDefault="007523B8" w:rsidP="00C7587B">
            <w:pPr>
              <w:pStyle w:val="TableText"/>
              <w:spacing w:before="40" w:after="40"/>
              <w:jc w:val="right"/>
              <w:rPr>
                <w:color w:val="000000"/>
                <w:highlight w:val="yellow"/>
              </w:rPr>
            </w:pPr>
            <w:r w:rsidRPr="009E06AA">
              <w:rPr>
                <w:rFonts w:cs="Calibri"/>
                <w:color w:val="000000"/>
                <w:szCs w:val="16"/>
              </w:rPr>
              <w:t>1,042.4</w:t>
            </w:r>
          </w:p>
        </w:tc>
        <w:tc>
          <w:tcPr>
            <w:tcW w:w="925" w:type="pct"/>
            <w:tcBorders>
              <w:left w:val="nil"/>
            </w:tcBorders>
            <w:shd w:val="clear" w:color="auto" w:fill="auto"/>
            <w:vAlign w:val="center"/>
            <w:hideMark/>
          </w:tcPr>
          <w:p w14:paraId="30B75F7C" w14:textId="77777777" w:rsidR="007523B8" w:rsidRPr="009E06AA" w:rsidRDefault="007523B8" w:rsidP="00C7587B">
            <w:pPr>
              <w:pStyle w:val="TableText"/>
              <w:spacing w:before="40" w:after="40"/>
              <w:jc w:val="right"/>
              <w:rPr>
                <w:color w:val="000000"/>
                <w:highlight w:val="yellow"/>
              </w:rPr>
            </w:pPr>
            <w:r w:rsidRPr="009E06AA">
              <w:rPr>
                <w:rFonts w:cs="Calibri"/>
                <w:color w:val="000000"/>
                <w:szCs w:val="16"/>
              </w:rPr>
              <w:t>3.5</w:t>
            </w:r>
          </w:p>
        </w:tc>
      </w:tr>
      <w:tr w:rsidR="007523B8" w:rsidRPr="009E06AA" w14:paraId="2EB17BDF" w14:textId="77777777" w:rsidTr="00B55F24">
        <w:tc>
          <w:tcPr>
            <w:tcW w:w="917" w:type="pct"/>
            <w:vMerge/>
            <w:tcBorders>
              <w:right w:val="nil"/>
            </w:tcBorders>
            <w:vAlign w:val="center"/>
            <w:hideMark/>
          </w:tcPr>
          <w:p w14:paraId="2004FA6B" w14:textId="77777777" w:rsidR="007523B8" w:rsidRPr="009E06AA" w:rsidRDefault="007523B8" w:rsidP="00B55F24">
            <w:pPr>
              <w:pStyle w:val="TableText"/>
              <w:spacing w:before="40" w:after="40"/>
              <w:rPr>
                <w:color w:val="000000"/>
              </w:rPr>
            </w:pPr>
          </w:p>
        </w:tc>
        <w:tc>
          <w:tcPr>
            <w:tcW w:w="1316" w:type="pct"/>
            <w:tcBorders>
              <w:left w:val="nil"/>
              <w:bottom w:val="single" w:sz="2" w:space="0" w:color="1B556B" w:themeColor="text2"/>
              <w:right w:val="nil"/>
            </w:tcBorders>
            <w:shd w:val="clear" w:color="auto" w:fill="auto"/>
            <w:vAlign w:val="center"/>
            <w:hideMark/>
          </w:tcPr>
          <w:p w14:paraId="7A079AC8" w14:textId="77777777" w:rsidR="007523B8" w:rsidRPr="009E06AA" w:rsidRDefault="007523B8" w:rsidP="00B55F24">
            <w:pPr>
              <w:pStyle w:val="TableText"/>
              <w:spacing w:before="40" w:after="40"/>
              <w:rPr>
                <w:color w:val="000000"/>
              </w:rPr>
            </w:pPr>
            <w:r w:rsidRPr="009E06AA">
              <w:rPr>
                <w:rFonts w:cs="Calibri"/>
                <w:color w:val="000000"/>
                <w:szCs w:val="16"/>
              </w:rPr>
              <w:t>Difference in emissions estimates compared with current inventory </w:t>
            </w:r>
          </w:p>
        </w:tc>
        <w:tc>
          <w:tcPr>
            <w:tcW w:w="460" w:type="pct"/>
            <w:tcBorders>
              <w:left w:val="nil"/>
              <w:bottom w:val="single" w:sz="2" w:space="0" w:color="1B556B" w:themeColor="text2"/>
              <w:right w:val="nil"/>
            </w:tcBorders>
            <w:shd w:val="clear" w:color="auto" w:fill="auto"/>
            <w:vAlign w:val="center"/>
            <w:hideMark/>
          </w:tcPr>
          <w:p w14:paraId="10C9E88A" w14:textId="77777777" w:rsidR="007523B8" w:rsidRPr="009E06AA" w:rsidRDefault="007523B8" w:rsidP="00C7587B">
            <w:pPr>
              <w:pStyle w:val="TableText"/>
              <w:spacing w:before="40" w:after="40"/>
              <w:jc w:val="right"/>
              <w:rPr>
                <w:color w:val="000000"/>
                <w:highlight w:val="yellow"/>
              </w:rPr>
            </w:pPr>
            <w:r w:rsidRPr="009E06AA">
              <w:rPr>
                <w:rFonts w:cs="Calibri"/>
                <w:color w:val="000000"/>
                <w:szCs w:val="16"/>
              </w:rPr>
              <w:t>0.0</w:t>
            </w:r>
          </w:p>
        </w:tc>
        <w:tc>
          <w:tcPr>
            <w:tcW w:w="492" w:type="pct"/>
            <w:tcBorders>
              <w:left w:val="nil"/>
              <w:bottom w:val="single" w:sz="2" w:space="0" w:color="1B556B" w:themeColor="text2"/>
              <w:right w:val="nil"/>
            </w:tcBorders>
            <w:shd w:val="clear" w:color="auto" w:fill="auto"/>
            <w:vAlign w:val="center"/>
            <w:hideMark/>
          </w:tcPr>
          <w:p w14:paraId="2CEAAF9B" w14:textId="77777777" w:rsidR="007523B8" w:rsidRPr="009E06AA" w:rsidRDefault="007523B8" w:rsidP="00C7587B">
            <w:pPr>
              <w:pStyle w:val="TableText"/>
              <w:spacing w:before="40" w:after="40"/>
              <w:jc w:val="right"/>
              <w:rPr>
                <w:color w:val="000000"/>
                <w:highlight w:val="yellow"/>
              </w:rPr>
            </w:pPr>
            <w:r w:rsidRPr="009E06AA">
              <w:rPr>
                <w:rFonts w:cs="Calibri"/>
                <w:color w:val="000000"/>
                <w:szCs w:val="16"/>
              </w:rPr>
              <w:t>35.9</w:t>
            </w:r>
          </w:p>
        </w:tc>
        <w:tc>
          <w:tcPr>
            <w:tcW w:w="890" w:type="pct"/>
            <w:tcBorders>
              <w:left w:val="nil"/>
              <w:bottom w:val="single" w:sz="2" w:space="0" w:color="1B556B" w:themeColor="text2"/>
              <w:right w:val="nil"/>
            </w:tcBorders>
            <w:shd w:val="clear" w:color="auto" w:fill="auto"/>
            <w:vAlign w:val="center"/>
            <w:hideMark/>
          </w:tcPr>
          <w:p w14:paraId="425F8CFF" w14:textId="77777777" w:rsidR="007523B8" w:rsidRPr="009E06AA" w:rsidRDefault="007523B8" w:rsidP="00C7587B">
            <w:pPr>
              <w:pStyle w:val="TableText"/>
              <w:spacing w:before="40" w:after="40"/>
              <w:jc w:val="right"/>
              <w:rPr>
                <w:color w:val="000000"/>
                <w:highlight w:val="yellow"/>
              </w:rPr>
            </w:pPr>
            <w:r w:rsidRPr="009E06AA">
              <w:rPr>
                <w:rFonts w:cs="Calibri"/>
                <w:color w:val="000000"/>
                <w:szCs w:val="16"/>
              </w:rPr>
              <w:t>35.9</w:t>
            </w:r>
          </w:p>
        </w:tc>
        <w:tc>
          <w:tcPr>
            <w:tcW w:w="925" w:type="pct"/>
            <w:tcBorders>
              <w:left w:val="nil"/>
            </w:tcBorders>
            <w:shd w:val="clear" w:color="auto" w:fill="auto"/>
            <w:vAlign w:val="center"/>
            <w:hideMark/>
          </w:tcPr>
          <w:p w14:paraId="66B0FB9C" w14:textId="77777777" w:rsidR="007523B8" w:rsidRPr="009E06AA" w:rsidRDefault="007523B8" w:rsidP="00C7587B">
            <w:pPr>
              <w:pStyle w:val="TableText"/>
              <w:spacing w:before="40" w:after="40"/>
              <w:jc w:val="right"/>
              <w:rPr>
                <w:color w:val="000000"/>
              </w:rPr>
            </w:pPr>
            <w:r w:rsidRPr="009E06AA">
              <w:rPr>
                <w:rFonts w:cs="Calibri"/>
                <w:color w:val="000000"/>
                <w:szCs w:val="16"/>
              </w:rPr>
              <w:t> </w:t>
            </w:r>
            <w:r w:rsidRPr="009E06AA">
              <w:rPr>
                <w:color w:val="000000"/>
              </w:rPr>
              <w:t>–</w:t>
            </w:r>
          </w:p>
        </w:tc>
      </w:tr>
      <w:tr w:rsidR="007523B8" w:rsidRPr="009E06AA" w14:paraId="008DC051" w14:textId="77777777" w:rsidTr="00B55F24">
        <w:tc>
          <w:tcPr>
            <w:tcW w:w="917" w:type="pct"/>
            <w:vMerge/>
            <w:tcBorders>
              <w:right w:val="nil"/>
            </w:tcBorders>
            <w:vAlign w:val="center"/>
            <w:hideMark/>
          </w:tcPr>
          <w:p w14:paraId="69E9D893" w14:textId="77777777" w:rsidR="007523B8" w:rsidRPr="009E06AA" w:rsidRDefault="007523B8" w:rsidP="00B55F24">
            <w:pPr>
              <w:pStyle w:val="TableText"/>
              <w:spacing w:before="40" w:after="40"/>
              <w:rPr>
                <w:color w:val="000000"/>
              </w:rPr>
            </w:pPr>
          </w:p>
        </w:tc>
        <w:tc>
          <w:tcPr>
            <w:tcW w:w="1316" w:type="pct"/>
            <w:tcBorders>
              <w:left w:val="nil"/>
              <w:right w:val="nil"/>
            </w:tcBorders>
            <w:shd w:val="clear" w:color="auto" w:fill="auto"/>
            <w:vAlign w:val="center"/>
            <w:hideMark/>
          </w:tcPr>
          <w:p w14:paraId="4B2672F1" w14:textId="77777777" w:rsidR="007523B8" w:rsidRPr="009E06AA" w:rsidRDefault="007523B8" w:rsidP="00B55F24">
            <w:pPr>
              <w:pStyle w:val="TableText"/>
              <w:spacing w:before="40" w:after="40"/>
              <w:rPr>
                <w:color w:val="000000"/>
              </w:rPr>
            </w:pPr>
            <w:r w:rsidRPr="009E06AA">
              <w:rPr>
                <w:rFonts w:cs="Calibri"/>
                <w:color w:val="000000"/>
                <w:szCs w:val="16"/>
              </w:rPr>
              <w:t>Percentage difference in emissions estimates (%)</w:t>
            </w:r>
          </w:p>
        </w:tc>
        <w:tc>
          <w:tcPr>
            <w:tcW w:w="460" w:type="pct"/>
            <w:tcBorders>
              <w:left w:val="nil"/>
              <w:right w:val="nil"/>
            </w:tcBorders>
            <w:shd w:val="clear" w:color="auto" w:fill="auto"/>
            <w:vAlign w:val="center"/>
            <w:hideMark/>
          </w:tcPr>
          <w:p w14:paraId="1D1464D7" w14:textId="77777777" w:rsidR="007523B8" w:rsidRPr="009E06AA" w:rsidRDefault="007523B8" w:rsidP="00C7587B">
            <w:pPr>
              <w:pStyle w:val="TableText"/>
              <w:spacing w:before="40" w:after="40"/>
              <w:jc w:val="right"/>
              <w:rPr>
                <w:color w:val="000000"/>
                <w:highlight w:val="yellow"/>
              </w:rPr>
            </w:pPr>
            <w:r w:rsidRPr="009E06AA">
              <w:rPr>
                <w:rFonts w:cs="Calibri"/>
                <w:color w:val="000000"/>
                <w:szCs w:val="16"/>
              </w:rPr>
              <w:t>0.0</w:t>
            </w:r>
          </w:p>
        </w:tc>
        <w:tc>
          <w:tcPr>
            <w:tcW w:w="492" w:type="pct"/>
            <w:tcBorders>
              <w:left w:val="nil"/>
              <w:right w:val="nil"/>
            </w:tcBorders>
            <w:shd w:val="clear" w:color="auto" w:fill="auto"/>
            <w:vAlign w:val="center"/>
            <w:hideMark/>
          </w:tcPr>
          <w:p w14:paraId="326D450D" w14:textId="77777777" w:rsidR="007523B8" w:rsidRPr="009E06AA" w:rsidRDefault="007523B8" w:rsidP="00C7587B">
            <w:pPr>
              <w:pStyle w:val="TableText"/>
              <w:spacing w:before="40" w:after="40"/>
              <w:jc w:val="right"/>
              <w:rPr>
                <w:color w:val="000000"/>
                <w:highlight w:val="yellow"/>
              </w:rPr>
            </w:pPr>
            <w:r w:rsidRPr="009E06AA">
              <w:rPr>
                <w:rFonts w:cs="Calibri"/>
                <w:color w:val="000000"/>
                <w:szCs w:val="16"/>
              </w:rPr>
              <w:t>0.1</w:t>
            </w:r>
          </w:p>
        </w:tc>
        <w:tc>
          <w:tcPr>
            <w:tcW w:w="890" w:type="pct"/>
            <w:tcBorders>
              <w:left w:val="nil"/>
              <w:right w:val="nil"/>
            </w:tcBorders>
            <w:shd w:val="clear" w:color="auto" w:fill="auto"/>
            <w:vAlign w:val="center"/>
            <w:hideMark/>
          </w:tcPr>
          <w:p w14:paraId="24FEDF5D" w14:textId="77777777" w:rsidR="007523B8" w:rsidRPr="009E06AA" w:rsidRDefault="007523B8" w:rsidP="00C7587B">
            <w:pPr>
              <w:pStyle w:val="TableText"/>
              <w:spacing w:before="40" w:after="40"/>
              <w:jc w:val="right"/>
              <w:rPr>
                <w:color w:val="000000"/>
              </w:rPr>
            </w:pPr>
            <w:r w:rsidRPr="009E06AA">
              <w:rPr>
                <w:color w:val="000000"/>
              </w:rPr>
              <w:t>–</w:t>
            </w:r>
            <w:r w:rsidRPr="009E06AA">
              <w:rPr>
                <w:rFonts w:cs="Calibri"/>
                <w:color w:val="000000"/>
                <w:szCs w:val="16"/>
              </w:rPr>
              <w:t> </w:t>
            </w:r>
          </w:p>
        </w:tc>
        <w:tc>
          <w:tcPr>
            <w:tcW w:w="925" w:type="pct"/>
            <w:tcBorders>
              <w:left w:val="nil"/>
            </w:tcBorders>
            <w:shd w:val="clear" w:color="auto" w:fill="auto"/>
            <w:vAlign w:val="center"/>
            <w:hideMark/>
          </w:tcPr>
          <w:p w14:paraId="60CBABE1" w14:textId="77777777" w:rsidR="007523B8" w:rsidRPr="009E06AA" w:rsidRDefault="007523B8" w:rsidP="00C7587B">
            <w:pPr>
              <w:pStyle w:val="TableText"/>
              <w:spacing w:before="40" w:after="40"/>
              <w:jc w:val="right"/>
              <w:rPr>
                <w:color w:val="000000"/>
              </w:rPr>
            </w:pPr>
            <w:r w:rsidRPr="009E06AA">
              <w:rPr>
                <w:color w:val="000000"/>
              </w:rPr>
              <w:t>–</w:t>
            </w:r>
            <w:r w:rsidRPr="009E06AA">
              <w:rPr>
                <w:rFonts w:cs="Calibri"/>
                <w:color w:val="000000"/>
                <w:szCs w:val="16"/>
              </w:rPr>
              <w:t> </w:t>
            </w:r>
          </w:p>
        </w:tc>
      </w:tr>
    </w:tbl>
    <w:p w14:paraId="59179447" w14:textId="77777777" w:rsidR="007523B8" w:rsidRPr="009E06AA" w:rsidRDefault="007523B8" w:rsidP="007523B8">
      <w:pPr>
        <w:pStyle w:val="Noteundertable"/>
        <w:rPr>
          <w:rFonts w:cs="Calibri"/>
        </w:rPr>
      </w:pPr>
      <w:r w:rsidRPr="009E06AA">
        <w:rPr>
          <w:rFonts w:cs="Calibri"/>
          <w:b/>
          <w:bCs/>
        </w:rPr>
        <w:t xml:space="preserve">Note: </w:t>
      </w:r>
      <w:r w:rsidRPr="009E06AA">
        <w:rPr>
          <w:rFonts w:cs="Calibri"/>
          <w:b/>
          <w:bCs/>
        </w:rPr>
        <w:tab/>
      </w:r>
      <w:r w:rsidRPr="009E06AA">
        <w:rPr>
          <w:rFonts w:cs="Calibri"/>
        </w:rPr>
        <w:t>Columns may not sum due to rounding. Percentages presented are calculated from unrounded values.</w:t>
      </w:r>
    </w:p>
    <w:p w14:paraId="78A0521D" w14:textId="77777777" w:rsidR="007523B8" w:rsidRPr="009E06AA" w:rsidRDefault="007523B8" w:rsidP="00116F12">
      <w:pPr>
        <w:pStyle w:val="Heading4"/>
        <w:rPr>
          <w:rStyle w:val="Heading5Char"/>
          <w:bCs w:val="0"/>
          <w:i w:val="0"/>
          <w:iCs w:val="0"/>
          <w:szCs w:val="22"/>
        </w:rPr>
      </w:pPr>
      <w:r w:rsidRPr="009E06AA">
        <w:rPr>
          <w:rStyle w:val="Heading5Char"/>
          <w:bCs w:val="0"/>
          <w:i w:val="0"/>
          <w:iCs w:val="0"/>
          <w:szCs w:val="22"/>
        </w:rPr>
        <w:t>Migration from Excel to R</w:t>
      </w:r>
    </w:p>
    <w:p w14:paraId="397B2489" w14:textId="197AB2CC" w:rsidR="007523B8" w:rsidRPr="009E06AA" w:rsidRDefault="007523B8" w:rsidP="007523B8">
      <w:pPr>
        <w:pStyle w:val="BodyText"/>
      </w:pPr>
      <w:r w:rsidRPr="009E06AA">
        <w:t>Emissions estimates in all categories reported in the 2024 submission have been altered by the</w:t>
      </w:r>
      <w:r w:rsidR="00106A17" w:rsidRPr="009E06AA">
        <w:t> </w:t>
      </w:r>
      <w:r w:rsidRPr="009E06AA">
        <w:t xml:space="preserve">migration of the Agriculture inventory model from an Excel-based system combined with Visual Basic for Applications code to an R-based system. </w:t>
      </w:r>
    </w:p>
    <w:p w14:paraId="44357B4E" w14:textId="77777777" w:rsidR="007523B8" w:rsidRPr="009E06AA" w:rsidRDefault="007523B8" w:rsidP="007523B8">
      <w:pPr>
        <w:pStyle w:val="BodyText"/>
      </w:pPr>
      <w:r w:rsidRPr="009E06AA">
        <w:t xml:space="preserve">The goal was to replicate the calculations and outputs in the current Excel model in R, while improving the workflow and creating a processing system that is linear and transparent. The two models are well aligned with some minor differences in emissions estimates. </w:t>
      </w:r>
    </w:p>
    <w:p w14:paraId="52C82984" w14:textId="77777777" w:rsidR="007523B8" w:rsidRPr="009E06AA" w:rsidRDefault="007523B8" w:rsidP="007523B8">
      <w:pPr>
        <w:pStyle w:val="BodyText"/>
      </w:pPr>
      <w:r w:rsidRPr="009E06AA">
        <w:t xml:space="preserve">Migrating the model to the R-based system caused estimated emissions from the </w:t>
      </w:r>
      <w:r w:rsidRPr="009E06AA">
        <w:rPr>
          <w:i/>
        </w:rPr>
        <w:t>Enteric fermentation</w:t>
      </w:r>
      <w:r w:rsidRPr="009E06AA">
        <w:t xml:space="preserve"> category to decrease by 0.01 per cent (-3.4 kt CO</w:t>
      </w:r>
      <w:r w:rsidRPr="009E06AA">
        <w:rPr>
          <w:vertAlign w:val="subscript"/>
        </w:rPr>
        <w:t>2</w:t>
      </w:r>
      <w:r w:rsidRPr="009E06AA">
        <w:t>-e) in 1990 and increase by 0.06 per cent (18.4 kt CO</w:t>
      </w:r>
      <w:r w:rsidRPr="009E06AA">
        <w:rPr>
          <w:vertAlign w:val="subscript"/>
        </w:rPr>
        <w:t>2</w:t>
      </w:r>
      <w:r w:rsidRPr="009E06AA">
        <w:t>-e) in 2021 (see table 5.2.8).</w:t>
      </w:r>
    </w:p>
    <w:p w14:paraId="63ED800C" w14:textId="77777777" w:rsidR="007523B8" w:rsidRPr="009E06AA" w:rsidRDefault="007523B8" w:rsidP="007523B8">
      <w:pPr>
        <w:pStyle w:val="Table"/>
        <w:rPr>
          <w:rFonts w:cs="Calibri"/>
          <w:i/>
        </w:rPr>
      </w:pPr>
      <w:bookmarkStart w:id="991" w:name="_Toc160114445"/>
      <w:bookmarkStart w:id="992" w:name="_Toc164153841"/>
      <w:r w:rsidRPr="009E06AA">
        <w:rPr>
          <w:rFonts w:cs="Calibri"/>
        </w:rPr>
        <w:t>Table 5.2.8</w:t>
      </w:r>
      <w:r w:rsidRPr="009E06AA">
        <w:rPr>
          <w:rFonts w:cs="Calibri"/>
        </w:rPr>
        <w:tab/>
        <w:t>Comparison of Excel-based and R-based systems for emissions from </w:t>
      </w:r>
      <w:r w:rsidRPr="009E06AA">
        <w:rPr>
          <w:rFonts w:cs="Calibri"/>
          <w:i/>
          <w:iCs/>
        </w:rPr>
        <w:t>Enteric fermentation</w:t>
      </w:r>
      <w:bookmarkEnd w:id="991"/>
      <w:bookmarkEnd w:id="992"/>
      <w:r w:rsidRPr="009E06AA">
        <w:rPr>
          <w:rFonts w:cs="Calibri"/>
          <w:i/>
          <w:iCs/>
        </w:rPr>
        <w:t xml:space="preserve"> </w:t>
      </w:r>
    </w:p>
    <w:tbl>
      <w:tblPr>
        <w:tblW w:w="8505" w:type="dxa"/>
        <w:tblBorders>
          <w:top w:val="single" w:sz="2" w:space="0" w:color="1B556B" w:themeColor="text2"/>
          <w:bottom w:val="single" w:sz="2" w:space="0" w:color="1B556B" w:themeColor="text2"/>
          <w:insideH w:val="single" w:sz="2" w:space="0" w:color="1B556B" w:themeColor="text2"/>
        </w:tblBorders>
        <w:tblLook w:val="04A0" w:firstRow="1" w:lastRow="0" w:firstColumn="1" w:lastColumn="0" w:noHBand="0" w:noVBand="1"/>
      </w:tblPr>
      <w:tblGrid>
        <w:gridCol w:w="1700"/>
        <w:gridCol w:w="1846"/>
        <w:gridCol w:w="851"/>
        <w:gridCol w:w="849"/>
        <w:gridCol w:w="1699"/>
        <w:gridCol w:w="1560"/>
      </w:tblGrid>
      <w:tr w:rsidR="007523B8" w:rsidRPr="009E06AA" w14:paraId="649AB662" w14:textId="77777777" w:rsidTr="00B55F24">
        <w:tc>
          <w:tcPr>
            <w:tcW w:w="999" w:type="pct"/>
            <w:shd w:val="clear" w:color="000000" w:fill="1B556B" w:themeFill="text2"/>
            <w:vAlign w:val="bottom"/>
            <w:hideMark/>
          </w:tcPr>
          <w:p w14:paraId="2956370F" w14:textId="77777777" w:rsidR="007523B8" w:rsidRPr="009E06AA" w:rsidRDefault="007523B8" w:rsidP="00B55F24">
            <w:pPr>
              <w:pStyle w:val="TableText"/>
              <w:spacing w:before="40" w:after="40"/>
              <w:rPr>
                <w:b/>
                <w:bCs/>
                <w:color w:val="FFFFFF" w:themeColor="background1"/>
              </w:rPr>
            </w:pPr>
            <w:r w:rsidRPr="009E06AA">
              <w:rPr>
                <w:b/>
                <w:bCs/>
                <w:color w:val="FFFFFF" w:themeColor="background1"/>
              </w:rPr>
              <w:t>Emissions (kt CO</w:t>
            </w:r>
            <w:r w:rsidRPr="009E06AA">
              <w:rPr>
                <w:b/>
                <w:bCs/>
                <w:color w:val="FFFFFF" w:themeColor="background1"/>
                <w:vertAlign w:val="subscript"/>
              </w:rPr>
              <w:t>2</w:t>
            </w:r>
            <w:r w:rsidRPr="009E06AA">
              <w:rPr>
                <w:b/>
                <w:bCs/>
                <w:color w:val="FFFFFF" w:themeColor="background1"/>
              </w:rPr>
              <w:t>-e)</w:t>
            </w:r>
          </w:p>
        </w:tc>
        <w:tc>
          <w:tcPr>
            <w:tcW w:w="1085" w:type="pct"/>
            <w:shd w:val="clear" w:color="000000" w:fill="1B556B" w:themeFill="text2"/>
            <w:vAlign w:val="bottom"/>
            <w:hideMark/>
          </w:tcPr>
          <w:p w14:paraId="6B8B0719" w14:textId="77777777" w:rsidR="007523B8" w:rsidRPr="009E06AA" w:rsidRDefault="007523B8" w:rsidP="00B55F24">
            <w:pPr>
              <w:pStyle w:val="TableText"/>
              <w:spacing w:before="40" w:after="40"/>
              <w:rPr>
                <w:b/>
                <w:bCs/>
                <w:color w:val="FFFFFF" w:themeColor="background1"/>
              </w:rPr>
            </w:pPr>
            <w:r w:rsidRPr="009E06AA">
              <w:rPr>
                <w:rFonts w:cs="Calibri"/>
                <w:color w:val="000000"/>
                <w:sz w:val="20"/>
                <w:szCs w:val="20"/>
              </w:rPr>
              <w:t> </w:t>
            </w:r>
          </w:p>
        </w:tc>
        <w:tc>
          <w:tcPr>
            <w:tcW w:w="500" w:type="pct"/>
            <w:shd w:val="clear" w:color="000000" w:fill="1B556B" w:themeFill="text2"/>
            <w:vAlign w:val="bottom"/>
            <w:hideMark/>
          </w:tcPr>
          <w:p w14:paraId="4F9C4351" w14:textId="77777777" w:rsidR="007523B8" w:rsidRPr="009E06AA" w:rsidRDefault="007523B8" w:rsidP="00C7587B">
            <w:pPr>
              <w:pStyle w:val="TableText"/>
              <w:spacing w:before="40" w:after="40"/>
              <w:jc w:val="right"/>
              <w:rPr>
                <w:b/>
                <w:bCs/>
                <w:color w:val="FFFFFF" w:themeColor="background1"/>
              </w:rPr>
            </w:pPr>
            <w:r w:rsidRPr="009E06AA">
              <w:rPr>
                <w:rFonts w:cs="Calibri"/>
                <w:b/>
                <w:bCs/>
                <w:color w:val="FFFFFF" w:themeColor="background1"/>
                <w:szCs w:val="16"/>
              </w:rPr>
              <w:t>1990</w:t>
            </w:r>
          </w:p>
        </w:tc>
        <w:tc>
          <w:tcPr>
            <w:tcW w:w="499" w:type="pct"/>
            <w:shd w:val="clear" w:color="000000" w:fill="1B556B" w:themeFill="text2"/>
            <w:vAlign w:val="bottom"/>
            <w:hideMark/>
          </w:tcPr>
          <w:p w14:paraId="38CF505F" w14:textId="77777777" w:rsidR="007523B8" w:rsidRPr="009E06AA" w:rsidRDefault="007523B8" w:rsidP="00C7587B">
            <w:pPr>
              <w:pStyle w:val="TableText"/>
              <w:spacing w:before="40" w:after="40"/>
              <w:jc w:val="right"/>
              <w:rPr>
                <w:b/>
                <w:bCs/>
                <w:color w:val="FFFFFF" w:themeColor="background1"/>
              </w:rPr>
            </w:pPr>
            <w:r w:rsidRPr="009E06AA">
              <w:rPr>
                <w:rFonts w:cs="Calibri"/>
                <w:b/>
                <w:bCs/>
                <w:color w:val="FFFFFF" w:themeColor="background1"/>
                <w:szCs w:val="16"/>
              </w:rPr>
              <w:t>2021</w:t>
            </w:r>
          </w:p>
        </w:tc>
        <w:tc>
          <w:tcPr>
            <w:tcW w:w="999" w:type="pct"/>
            <w:shd w:val="clear" w:color="000000" w:fill="1B556B" w:themeFill="text2"/>
            <w:vAlign w:val="center"/>
            <w:hideMark/>
          </w:tcPr>
          <w:p w14:paraId="044B0D1B" w14:textId="77777777" w:rsidR="007523B8" w:rsidRPr="009E06AA" w:rsidRDefault="007523B8" w:rsidP="00C7587B">
            <w:pPr>
              <w:pStyle w:val="TableText"/>
              <w:spacing w:before="40" w:after="40"/>
              <w:jc w:val="right"/>
              <w:rPr>
                <w:b/>
                <w:bCs/>
                <w:color w:val="FFFFFF" w:themeColor="background1"/>
              </w:rPr>
            </w:pPr>
            <w:r w:rsidRPr="009E06AA">
              <w:rPr>
                <w:rFonts w:cs="Calibri"/>
                <w:b/>
                <w:bCs/>
                <w:color w:val="FFFFFF" w:themeColor="background1"/>
                <w:szCs w:val="16"/>
              </w:rPr>
              <w:t>Change in emission outputs between 1990 and 2021 (kt CO</w:t>
            </w:r>
            <w:r w:rsidRPr="009E06AA">
              <w:rPr>
                <w:rFonts w:cs="Calibri"/>
                <w:b/>
                <w:bCs/>
                <w:color w:val="FFFFFF"/>
                <w:szCs w:val="16"/>
                <w:vertAlign w:val="subscript"/>
              </w:rPr>
              <w:t>2</w:t>
            </w:r>
            <w:r w:rsidRPr="009E06AA">
              <w:rPr>
                <w:rFonts w:cs="Calibri"/>
                <w:b/>
                <w:bCs/>
                <w:color w:val="FFFFFF"/>
                <w:szCs w:val="16"/>
              </w:rPr>
              <w:t>-e)</w:t>
            </w:r>
          </w:p>
        </w:tc>
        <w:tc>
          <w:tcPr>
            <w:tcW w:w="917" w:type="pct"/>
            <w:shd w:val="clear" w:color="000000" w:fill="1B556B" w:themeFill="text2"/>
            <w:vAlign w:val="center"/>
            <w:hideMark/>
          </w:tcPr>
          <w:p w14:paraId="4E4267F3" w14:textId="77777777" w:rsidR="007523B8" w:rsidRPr="009E06AA" w:rsidRDefault="007523B8" w:rsidP="00C7587B">
            <w:pPr>
              <w:pStyle w:val="TableText"/>
              <w:spacing w:before="40" w:after="40"/>
              <w:jc w:val="right"/>
              <w:rPr>
                <w:b/>
                <w:bCs/>
                <w:color w:val="FFFFFF" w:themeColor="background1"/>
              </w:rPr>
            </w:pPr>
            <w:r w:rsidRPr="009E06AA">
              <w:rPr>
                <w:rFonts w:cs="Calibri"/>
                <w:b/>
                <w:bCs/>
                <w:color w:val="FFFFFF" w:themeColor="background1"/>
                <w:szCs w:val="16"/>
              </w:rPr>
              <w:t>Percentage change in emission outputs between 1990 and 2021 (%)</w:t>
            </w:r>
          </w:p>
        </w:tc>
      </w:tr>
      <w:tr w:rsidR="007523B8" w:rsidRPr="009E06AA" w14:paraId="249B5269" w14:textId="77777777" w:rsidTr="00B55F24">
        <w:tc>
          <w:tcPr>
            <w:tcW w:w="999" w:type="pct"/>
            <w:vMerge w:val="restart"/>
            <w:shd w:val="clear" w:color="auto" w:fill="auto"/>
            <w:vAlign w:val="center"/>
            <w:hideMark/>
          </w:tcPr>
          <w:p w14:paraId="1E53B707" w14:textId="77777777" w:rsidR="007523B8" w:rsidRPr="009E06AA" w:rsidRDefault="007523B8" w:rsidP="00B55F24">
            <w:pPr>
              <w:pStyle w:val="TableText"/>
              <w:spacing w:before="40" w:after="40"/>
              <w:rPr>
                <w:color w:val="000000"/>
              </w:rPr>
            </w:pPr>
            <w:r w:rsidRPr="009E06AA">
              <w:rPr>
                <w:color w:val="000000"/>
              </w:rPr>
              <w:t xml:space="preserve">Total emissions from </w:t>
            </w:r>
            <w:r w:rsidRPr="009E06AA">
              <w:rPr>
                <w:i/>
                <w:iCs/>
                <w:color w:val="000000"/>
              </w:rPr>
              <w:t>Enteric fermentation</w:t>
            </w:r>
            <w:r w:rsidRPr="009E06AA">
              <w:rPr>
                <w:color w:val="000000"/>
              </w:rPr>
              <w:t xml:space="preserve"> (kt CO</w:t>
            </w:r>
            <w:r w:rsidRPr="009E06AA">
              <w:rPr>
                <w:color w:val="000000"/>
                <w:vertAlign w:val="subscript"/>
              </w:rPr>
              <w:t>2</w:t>
            </w:r>
            <w:r w:rsidRPr="009E06AA">
              <w:rPr>
                <w:color w:val="000000"/>
              </w:rPr>
              <w:t>-e)</w:t>
            </w:r>
          </w:p>
        </w:tc>
        <w:tc>
          <w:tcPr>
            <w:tcW w:w="1085" w:type="pct"/>
            <w:shd w:val="clear" w:color="auto" w:fill="auto"/>
            <w:vAlign w:val="center"/>
            <w:hideMark/>
          </w:tcPr>
          <w:p w14:paraId="0CA150D4" w14:textId="77777777" w:rsidR="007523B8" w:rsidRPr="009E06AA" w:rsidRDefault="007523B8" w:rsidP="00B55F24">
            <w:pPr>
              <w:pStyle w:val="TableText"/>
              <w:spacing w:before="40" w:after="40"/>
              <w:rPr>
                <w:color w:val="000000"/>
              </w:rPr>
            </w:pPr>
            <w:r w:rsidRPr="009E06AA">
              <w:rPr>
                <w:rFonts w:cs="Calibri"/>
                <w:color w:val="000000"/>
                <w:szCs w:val="16"/>
              </w:rPr>
              <w:t>2023 (1990–2021) emissions estimate using previous excel model </w:t>
            </w:r>
          </w:p>
        </w:tc>
        <w:tc>
          <w:tcPr>
            <w:tcW w:w="500" w:type="pct"/>
            <w:shd w:val="clear" w:color="auto" w:fill="auto"/>
            <w:vAlign w:val="center"/>
            <w:hideMark/>
          </w:tcPr>
          <w:p w14:paraId="23A67ADB" w14:textId="77777777" w:rsidR="007523B8" w:rsidRPr="009E06AA" w:rsidRDefault="007523B8" w:rsidP="00C7587B">
            <w:pPr>
              <w:pStyle w:val="TableText"/>
              <w:spacing w:before="40" w:after="40"/>
              <w:jc w:val="right"/>
              <w:rPr>
                <w:color w:val="000000"/>
                <w:highlight w:val="yellow"/>
              </w:rPr>
            </w:pPr>
            <w:r w:rsidRPr="009E06AA">
              <w:rPr>
                <w:rFonts w:cs="Calibri"/>
                <w:color w:val="000000"/>
                <w:szCs w:val="16"/>
              </w:rPr>
              <w:t>30,195.7</w:t>
            </w:r>
          </w:p>
        </w:tc>
        <w:tc>
          <w:tcPr>
            <w:tcW w:w="499" w:type="pct"/>
            <w:shd w:val="clear" w:color="auto" w:fill="auto"/>
            <w:vAlign w:val="center"/>
            <w:hideMark/>
          </w:tcPr>
          <w:p w14:paraId="44C3F2FC" w14:textId="77777777" w:rsidR="007523B8" w:rsidRPr="009E06AA" w:rsidRDefault="007523B8" w:rsidP="00C7587B">
            <w:pPr>
              <w:pStyle w:val="TableText"/>
              <w:spacing w:before="40" w:after="40"/>
              <w:jc w:val="right"/>
              <w:rPr>
                <w:color w:val="000000"/>
                <w:highlight w:val="yellow"/>
              </w:rPr>
            </w:pPr>
            <w:r w:rsidRPr="009E06AA">
              <w:rPr>
                <w:rFonts w:cs="Calibri"/>
                <w:color w:val="000000"/>
                <w:szCs w:val="16"/>
              </w:rPr>
              <w:t>31,202.1</w:t>
            </w:r>
          </w:p>
        </w:tc>
        <w:tc>
          <w:tcPr>
            <w:tcW w:w="999" w:type="pct"/>
            <w:shd w:val="clear" w:color="auto" w:fill="auto"/>
            <w:vAlign w:val="center"/>
            <w:hideMark/>
          </w:tcPr>
          <w:p w14:paraId="2C4D75B4" w14:textId="77777777" w:rsidR="007523B8" w:rsidRPr="009E06AA" w:rsidRDefault="007523B8" w:rsidP="00C7587B">
            <w:pPr>
              <w:pStyle w:val="TableText"/>
              <w:spacing w:before="40" w:after="40"/>
              <w:jc w:val="right"/>
              <w:rPr>
                <w:color w:val="000000"/>
                <w:highlight w:val="yellow"/>
              </w:rPr>
            </w:pPr>
            <w:r w:rsidRPr="009E06AA">
              <w:rPr>
                <w:rFonts w:cs="Calibri"/>
                <w:color w:val="000000"/>
                <w:szCs w:val="16"/>
              </w:rPr>
              <w:t>1,006.5</w:t>
            </w:r>
          </w:p>
        </w:tc>
        <w:tc>
          <w:tcPr>
            <w:tcW w:w="917" w:type="pct"/>
            <w:shd w:val="clear" w:color="auto" w:fill="auto"/>
            <w:vAlign w:val="center"/>
            <w:hideMark/>
          </w:tcPr>
          <w:p w14:paraId="32A95129" w14:textId="77777777" w:rsidR="007523B8" w:rsidRPr="009E06AA" w:rsidRDefault="007523B8" w:rsidP="00C7587B">
            <w:pPr>
              <w:pStyle w:val="TableText"/>
              <w:spacing w:before="40" w:after="40"/>
              <w:jc w:val="right"/>
              <w:rPr>
                <w:color w:val="000000"/>
                <w:highlight w:val="yellow"/>
              </w:rPr>
            </w:pPr>
            <w:r w:rsidRPr="009E06AA">
              <w:rPr>
                <w:rFonts w:cs="Calibri"/>
                <w:color w:val="000000"/>
                <w:szCs w:val="16"/>
              </w:rPr>
              <w:t>3.3</w:t>
            </w:r>
          </w:p>
        </w:tc>
      </w:tr>
      <w:tr w:rsidR="007523B8" w:rsidRPr="009E06AA" w14:paraId="36DD8F30" w14:textId="77777777" w:rsidTr="00B55F24">
        <w:tc>
          <w:tcPr>
            <w:tcW w:w="999" w:type="pct"/>
            <w:vMerge/>
            <w:vAlign w:val="center"/>
            <w:hideMark/>
          </w:tcPr>
          <w:p w14:paraId="75B548AE" w14:textId="77777777" w:rsidR="007523B8" w:rsidRPr="009E06AA" w:rsidRDefault="007523B8" w:rsidP="00B55F24">
            <w:pPr>
              <w:pStyle w:val="TableText"/>
              <w:spacing w:before="40" w:after="40"/>
              <w:rPr>
                <w:color w:val="000000"/>
              </w:rPr>
            </w:pPr>
          </w:p>
        </w:tc>
        <w:tc>
          <w:tcPr>
            <w:tcW w:w="1085" w:type="pct"/>
            <w:shd w:val="clear" w:color="auto" w:fill="auto"/>
            <w:vAlign w:val="center"/>
            <w:hideMark/>
          </w:tcPr>
          <w:p w14:paraId="46B22070" w14:textId="77777777" w:rsidR="007523B8" w:rsidRPr="009E06AA" w:rsidRDefault="007523B8" w:rsidP="00B55F24">
            <w:pPr>
              <w:pStyle w:val="TableText"/>
              <w:spacing w:before="40" w:after="40"/>
              <w:rPr>
                <w:color w:val="000000"/>
              </w:rPr>
            </w:pPr>
            <w:r w:rsidRPr="009E06AA">
              <w:rPr>
                <w:rFonts w:cs="Calibri"/>
                <w:color w:val="000000"/>
                <w:szCs w:val="16"/>
              </w:rPr>
              <w:t>2023 (1990–2021) emissions estimate using new R model </w:t>
            </w:r>
          </w:p>
        </w:tc>
        <w:tc>
          <w:tcPr>
            <w:tcW w:w="500" w:type="pct"/>
            <w:shd w:val="clear" w:color="auto" w:fill="auto"/>
            <w:vAlign w:val="center"/>
            <w:hideMark/>
          </w:tcPr>
          <w:p w14:paraId="3A9351D0" w14:textId="77777777" w:rsidR="007523B8" w:rsidRPr="009E06AA" w:rsidRDefault="007523B8" w:rsidP="00C7587B">
            <w:pPr>
              <w:pStyle w:val="TableText"/>
              <w:spacing w:before="40" w:after="40"/>
              <w:jc w:val="right"/>
              <w:rPr>
                <w:color w:val="000000"/>
                <w:highlight w:val="yellow"/>
              </w:rPr>
            </w:pPr>
            <w:r w:rsidRPr="009E06AA">
              <w:rPr>
                <w:rFonts w:cs="Calibri"/>
                <w:color w:val="000000"/>
                <w:szCs w:val="16"/>
              </w:rPr>
              <w:t>30,192.3</w:t>
            </w:r>
          </w:p>
        </w:tc>
        <w:tc>
          <w:tcPr>
            <w:tcW w:w="499" w:type="pct"/>
            <w:shd w:val="clear" w:color="auto" w:fill="auto"/>
            <w:vAlign w:val="center"/>
            <w:hideMark/>
          </w:tcPr>
          <w:p w14:paraId="40B66C55" w14:textId="77777777" w:rsidR="007523B8" w:rsidRPr="009E06AA" w:rsidRDefault="007523B8" w:rsidP="00C7587B">
            <w:pPr>
              <w:pStyle w:val="TableText"/>
              <w:spacing w:before="40" w:after="40"/>
              <w:jc w:val="right"/>
              <w:rPr>
                <w:color w:val="000000"/>
                <w:highlight w:val="yellow"/>
              </w:rPr>
            </w:pPr>
            <w:r w:rsidRPr="009E06AA">
              <w:rPr>
                <w:rFonts w:cs="Calibri"/>
                <w:color w:val="000000"/>
                <w:szCs w:val="16"/>
              </w:rPr>
              <w:t>31,220.5</w:t>
            </w:r>
          </w:p>
        </w:tc>
        <w:tc>
          <w:tcPr>
            <w:tcW w:w="999" w:type="pct"/>
            <w:shd w:val="clear" w:color="auto" w:fill="auto"/>
            <w:vAlign w:val="center"/>
            <w:hideMark/>
          </w:tcPr>
          <w:p w14:paraId="3166D591" w14:textId="77777777" w:rsidR="007523B8" w:rsidRPr="009E06AA" w:rsidRDefault="007523B8" w:rsidP="00C7587B">
            <w:pPr>
              <w:pStyle w:val="TableText"/>
              <w:spacing w:before="40" w:after="40"/>
              <w:jc w:val="right"/>
              <w:rPr>
                <w:color w:val="000000"/>
                <w:highlight w:val="yellow"/>
              </w:rPr>
            </w:pPr>
            <w:r w:rsidRPr="009E06AA">
              <w:rPr>
                <w:rFonts w:cs="Calibri"/>
                <w:color w:val="000000"/>
                <w:szCs w:val="16"/>
              </w:rPr>
              <w:t>1,028.2</w:t>
            </w:r>
          </w:p>
        </w:tc>
        <w:tc>
          <w:tcPr>
            <w:tcW w:w="917" w:type="pct"/>
            <w:shd w:val="clear" w:color="auto" w:fill="auto"/>
            <w:vAlign w:val="center"/>
            <w:hideMark/>
          </w:tcPr>
          <w:p w14:paraId="511BE99A" w14:textId="77777777" w:rsidR="007523B8" w:rsidRPr="009E06AA" w:rsidRDefault="007523B8" w:rsidP="00C7587B">
            <w:pPr>
              <w:pStyle w:val="TableText"/>
              <w:spacing w:before="40" w:after="40"/>
              <w:jc w:val="right"/>
              <w:rPr>
                <w:color w:val="000000"/>
                <w:highlight w:val="yellow"/>
              </w:rPr>
            </w:pPr>
            <w:r w:rsidRPr="009E06AA">
              <w:rPr>
                <w:rFonts w:cs="Calibri"/>
                <w:color w:val="000000"/>
                <w:szCs w:val="16"/>
              </w:rPr>
              <w:t>3.4</w:t>
            </w:r>
          </w:p>
        </w:tc>
      </w:tr>
      <w:tr w:rsidR="007523B8" w:rsidRPr="009E06AA" w14:paraId="4399A9F4" w14:textId="77777777" w:rsidTr="00B55F24">
        <w:tc>
          <w:tcPr>
            <w:tcW w:w="999" w:type="pct"/>
            <w:vMerge/>
            <w:vAlign w:val="center"/>
            <w:hideMark/>
          </w:tcPr>
          <w:p w14:paraId="6CCB00E6" w14:textId="77777777" w:rsidR="007523B8" w:rsidRPr="009E06AA" w:rsidRDefault="007523B8" w:rsidP="00B55F24">
            <w:pPr>
              <w:pStyle w:val="TableText"/>
              <w:spacing w:before="40" w:after="40"/>
              <w:rPr>
                <w:color w:val="000000"/>
              </w:rPr>
            </w:pPr>
          </w:p>
        </w:tc>
        <w:tc>
          <w:tcPr>
            <w:tcW w:w="1085" w:type="pct"/>
            <w:shd w:val="clear" w:color="auto" w:fill="auto"/>
            <w:vAlign w:val="center"/>
            <w:hideMark/>
          </w:tcPr>
          <w:p w14:paraId="42EE56F0" w14:textId="77777777" w:rsidR="007523B8" w:rsidRPr="009E06AA" w:rsidRDefault="007523B8" w:rsidP="00B55F24">
            <w:pPr>
              <w:pStyle w:val="TableText"/>
              <w:spacing w:before="40" w:after="40"/>
              <w:rPr>
                <w:color w:val="000000"/>
              </w:rPr>
            </w:pPr>
            <w:r w:rsidRPr="009E06AA">
              <w:rPr>
                <w:rFonts w:cs="Calibri"/>
                <w:color w:val="000000"/>
                <w:szCs w:val="16"/>
              </w:rPr>
              <w:t>Difference in emissions estimates compared with current inventory </w:t>
            </w:r>
          </w:p>
        </w:tc>
        <w:tc>
          <w:tcPr>
            <w:tcW w:w="500" w:type="pct"/>
            <w:shd w:val="clear" w:color="auto" w:fill="auto"/>
            <w:vAlign w:val="center"/>
            <w:hideMark/>
          </w:tcPr>
          <w:p w14:paraId="4C8A17DE" w14:textId="77777777" w:rsidR="007523B8" w:rsidRPr="009E06AA" w:rsidRDefault="007523B8" w:rsidP="00C7587B">
            <w:pPr>
              <w:pStyle w:val="TableText"/>
              <w:spacing w:before="40" w:after="40"/>
              <w:jc w:val="right"/>
              <w:rPr>
                <w:color w:val="000000"/>
                <w:highlight w:val="yellow"/>
              </w:rPr>
            </w:pPr>
            <w:r w:rsidRPr="009E06AA">
              <w:rPr>
                <w:rFonts w:cs="Calibri"/>
                <w:color w:val="000000"/>
                <w:szCs w:val="16"/>
              </w:rPr>
              <w:t>-3.4</w:t>
            </w:r>
          </w:p>
        </w:tc>
        <w:tc>
          <w:tcPr>
            <w:tcW w:w="499" w:type="pct"/>
            <w:shd w:val="clear" w:color="auto" w:fill="auto"/>
            <w:vAlign w:val="center"/>
            <w:hideMark/>
          </w:tcPr>
          <w:p w14:paraId="68C281F4" w14:textId="77777777" w:rsidR="007523B8" w:rsidRPr="009E06AA" w:rsidRDefault="007523B8" w:rsidP="00C7587B">
            <w:pPr>
              <w:pStyle w:val="TableText"/>
              <w:spacing w:before="40" w:after="40"/>
              <w:jc w:val="right"/>
              <w:rPr>
                <w:color w:val="000000"/>
                <w:highlight w:val="yellow"/>
              </w:rPr>
            </w:pPr>
            <w:r w:rsidRPr="009E06AA">
              <w:rPr>
                <w:rFonts w:cs="Calibri"/>
                <w:color w:val="000000"/>
                <w:szCs w:val="16"/>
              </w:rPr>
              <w:t>18.4</w:t>
            </w:r>
          </w:p>
        </w:tc>
        <w:tc>
          <w:tcPr>
            <w:tcW w:w="999" w:type="pct"/>
            <w:shd w:val="clear" w:color="auto" w:fill="auto"/>
            <w:vAlign w:val="center"/>
            <w:hideMark/>
          </w:tcPr>
          <w:p w14:paraId="09005379" w14:textId="77777777" w:rsidR="007523B8" w:rsidRPr="009E06AA" w:rsidRDefault="007523B8" w:rsidP="00C7587B">
            <w:pPr>
              <w:pStyle w:val="TableText"/>
              <w:spacing w:before="40" w:after="40"/>
              <w:jc w:val="right"/>
              <w:rPr>
                <w:color w:val="000000"/>
                <w:highlight w:val="yellow"/>
              </w:rPr>
            </w:pPr>
            <w:r w:rsidRPr="009E06AA">
              <w:rPr>
                <w:rFonts w:cs="Calibri"/>
                <w:color w:val="000000"/>
                <w:szCs w:val="16"/>
              </w:rPr>
              <w:t>21.8</w:t>
            </w:r>
          </w:p>
        </w:tc>
        <w:tc>
          <w:tcPr>
            <w:tcW w:w="917" w:type="pct"/>
            <w:shd w:val="clear" w:color="auto" w:fill="auto"/>
            <w:vAlign w:val="center"/>
            <w:hideMark/>
          </w:tcPr>
          <w:p w14:paraId="6C8EF6A9" w14:textId="77777777" w:rsidR="007523B8" w:rsidRPr="009E06AA" w:rsidRDefault="007523B8" w:rsidP="00C7587B">
            <w:pPr>
              <w:pStyle w:val="TableText"/>
              <w:spacing w:before="40" w:after="40"/>
              <w:jc w:val="right"/>
              <w:rPr>
                <w:color w:val="000000"/>
              </w:rPr>
            </w:pPr>
            <w:r w:rsidRPr="009E06AA">
              <w:rPr>
                <w:rFonts w:cs="Calibri"/>
                <w:color w:val="000000"/>
                <w:szCs w:val="16"/>
              </w:rPr>
              <w:t> </w:t>
            </w:r>
          </w:p>
        </w:tc>
      </w:tr>
      <w:tr w:rsidR="007523B8" w:rsidRPr="009E06AA" w14:paraId="36FC2028" w14:textId="77777777" w:rsidTr="00B55F24">
        <w:tc>
          <w:tcPr>
            <w:tcW w:w="999" w:type="pct"/>
            <w:vMerge/>
            <w:vAlign w:val="center"/>
            <w:hideMark/>
          </w:tcPr>
          <w:p w14:paraId="7919D984" w14:textId="77777777" w:rsidR="007523B8" w:rsidRPr="009E06AA" w:rsidRDefault="007523B8" w:rsidP="00B55F24">
            <w:pPr>
              <w:pStyle w:val="TableText"/>
              <w:spacing w:before="40" w:after="40"/>
              <w:rPr>
                <w:color w:val="000000"/>
              </w:rPr>
            </w:pPr>
          </w:p>
        </w:tc>
        <w:tc>
          <w:tcPr>
            <w:tcW w:w="1085" w:type="pct"/>
            <w:shd w:val="clear" w:color="auto" w:fill="auto"/>
            <w:vAlign w:val="center"/>
            <w:hideMark/>
          </w:tcPr>
          <w:p w14:paraId="6FBAA206" w14:textId="77777777" w:rsidR="007523B8" w:rsidRPr="009E06AA" w:rsidRDefault="007523B8" w:rsidP="00B55F24">
            <w:pPr>
              <w:pStyle w:val="TableText"/>
              <w:spacing w:before="40" w:after="40"/>
              <w:rPr>
                <w:color w:val="000000"/>
              </w:rPr>
            </w:pPr>
            <w:r w:rsidRPr="009E06AA">
              <w:rPr>
                <w:rFonts w:cs="Calibri"/>
                <w:color w:val="000000"/>
                <w:szCs w:val="16"/>
              </w:rPr>
              <w:t>Percentage difference in emissions estimates (%)</w:t>
            </w:r>
          </w:p>
        </w:tc>
        <w:tc>
          <w:tcPr>
            <w:tcW w:w="500" w:type="pct"/>
            <w:shd w:val="clear" w:color="auto" w:fill="auto"/>
            <w:vAlign w:val="center"/>
            <w:hideMark/>
          </w:tcPr>
          <w:p w14:paraId="65E6B0CC" w14:textId="77777777" w:rsidR="007523B8" w:rsidRPr="009E06AA" w:rsidRDefault="007523B8" w:rsidP="00C7587B">
            <w:pPr>
              <w:pStyle w:val="TableText"/>
              <w:spacing w:before="40" w:after="40"/>
              <w:jc w:val="right"/>
              <w:rPr>
                <w:color w:val="000000"/>
                <w:highlight w:val="yellow"/>
              </w:rPr>
            </w:pPr>
            <w:r w:rsidRPr="009E06AA">
              <w:rPr>
                <w:rFonts w:cs="Calibri"/>
                <w:color w:val="000000"/>
                <w:szCs w:val="16"/>
              </w:rPr>
              <w:t>-0.01</w:t>
            </w:r>
          </w:p>
        </w:tc>
        <w:tc>
          <w:tcPr>
            <w:tcW w:w="499" w:type="pct"/>
            <w:shd w:val="clear" w:color="auto" w:fill="auto"/>
            <w:vAlign w:val="center"/>
            <w:hideMark/>
          </w:tcPr>
          <w:p w14:paraId="5E195C3F" w14:textId="77777777" w:rsidR="007523B8" w:rsidRPr="009E06AA" w:rsidRDefault="007523B8" w:rsidP="00C7587B">
            <w:pPr>
              <w:pStyle w:val="TableText"/>
              <w:spacing w:before="40" w:after="40"/>
              <w:jc w:val="right"/>
              <w:rPr>
                <w:color w:val="000000"/>
                <w:highlight w:val="yellow"/>
              </w:rPr>
            </w:pPr>
            <w:r w:rsidRPr="009E06AA">
              <w:rPr>
                <w:rFonts w:cs="Calibri"/>
                <w:color w:val="000000"/>
                <w:szCs w:val="16"/>
              </w:rPr>
              <w:t>0.06</w:t>
            </w:r>
          </w:p>
        </w:tc>
        <w:tc>
          <w:tcPr>
            <w:tcW w:w="999" w:type="pct"/>
            <w:shd w:val="clear" w:color="auto" w:fill="auto"/>
            <w:vAlign w:val="center"/>
            <w:hideMark/>
          </w:tcPr>
          <w:p w14:paraId="0DF4CA6F" w14:textId="77777777" w:rsidR="007523B8" w:rsidRPr="009E06AA" w:rsidRDefault="007523B8" w:rsidP="00C7587B">
            <w:pPr>
              <w:pStyle w:val="TableText"/>
              <w:spacing w:before="40" w:after="40"/>
              <w:jc w:val="right"/>
              <w:rPr>
                <w:color w:val="000000"/>
              </w:rPr>
            </w:pPr>
            <w:r w:rsidRPr="009E06AA">
              <w:rPr>
                <w:rFonts w:cs="Calibri"/>
                <w:color w:val="000000"/>
                <w:szCs w:val="16"/>
              </w:rPr>
              <w:t> </w:t>
            </w:r>
          </w:p>
        </w:tc>
        <w:tc>
          <w:tcPr>
            <w:tcW w:w="917" w:type="pct"/>
            <w:shd w:val="clear" w:color="auto" w:fill="auto"/>
            <w:vAlign w:val="center"/>
            <w:hideMark/>
          </w:tcPr>
          <w:p w14:paraId="0306CD3C" w14:textId="77777777" w:rsidR="007523B8" w:rsidRPr="009E06AA" w:rsidRDefault="007523B8" w:rsidP="00C7587B">
            <w:pPr>
              <w:pStyle w:val="TableText"/>
              <w:spacing w:before="40" w:after="40"/>
              <w:jc w:val="right"/>
              <w:rPr>
                <w:color w:val="000000"/>
              </w:rPr>
            </w:pPr>
            <w:r w:rsidRPr="009E06AA">
              <w:rPr>
                <w:rFonts w:cs="Calibri"/>
                <w:color w:val="000000"/>
                <w:szCs w:val="16"/>
              </w:rPr>
              <w:t> </w:t>
            </w:r>
          </w:p>
        </w:tc>
      </w:tr>
    </w:tbl>
    <w:p w14:paraId="016A8291" w14:textId="77777777" w:rsidR="007523B8" w:rsidRPr="009E06AA" w:rsidRDefault="007523B8" w:rsidP="007523B8">
      <w:pPr>
        <w:pStyle w:val="Noteundertable"/>
        <w:rPr>
          <w:rFonts w:cs="Calibri"/>
        </w:rPr>
      </w:pPr>
      <w:r w:rsidRPr="009E06AA">
        <w:rPr>
          <w:rFonts w:cs="Calibri"/>
          <w:b/>
          <w:bCs/>
        </w:rPr>
        <w:t>Note:</w:t>
      </w:r>
      <w:r w:rsidRPr="009E06AA">
        <w:rPr>
          <w:rFonts w:cs="Calibri"/>
        </w:rPr>
        <w:t xml:space="preserve"> </w:t>
      </w:r>
      <w:r w:rsidRPr="009E06AA">
        <w:rPr>
          <w:rFonts w:cs="Calibri"/>
        </w:rPr>
        <w:tab/>
        <w:t>Columns may not sum due to rounding. Percentages presented are calculated from unrounded values.</w:t>
      </w:r>
    </w:p>
    <w:p w14:paraId="6E1FAB99" w14:textId="77777777" w:rsidR="007523B8" w:rsidRPr="009E06AA" w:rsidRDefault="007523B8" w:rsidP="00BF2A76">
      <w:pPr>
        <w:pStyle w:val="Heading5"/>
      </w:pPr>
      <w:r w:rsidRPr="009E06AA">
        <w:t>Corrections to inventory model</w:t>
      </w:r>
    </w:p>
    <w:p w14:paraId="5006EBE4" w14:textId="77777777" w:rsidR="007523B8" w:rsidRPr="009E06AA" w:rsidRDefault="007523B8" w:rsidP="007523B8">
      <w:pPr>
        <w:pStyle w:val="BodyText"/>
        <w:spacing w:before="100" w:after="100"/>
      </w:pPr>
      <w:r w:rsidRPr="009E06AA">
        <w:t>Each year, the Agriculture inventory compilation team identifies changes to improve alignment between the model code and the written methodology (Pickering et al., 2022). Improvements to the input data and methodology have also been implemented, in response to comments from international reviewers.</w:t>
      </w:r>
    </w:p>
    <w:p w14:paraId="34947101" w14:textId="77777777" w:rsidR="007523B8" w:rsidRPr="009E06AA" w:rsidRDefault="007523B8" w:rsidP="007523B8">
      <w:pPr>
        <w:pStyle w:val="BodyText"/>
        <w:spacing w:before="100" w:after="100"/>
      </w:pPr>
      <w:r w:rsidRPr="009E06AA">
        <w:t>The R-based model and Excel-based model were run in parallel over the recent reporting cycle. This included independent input of new activity data and independent implementation of the changes to the methodology recommended in 2022 for the 2023 submission. Once this was completed, the two models were compared in detail to identify sources of divergence. This detailed comparison identified several errors and differences of interpretation between the Excel and R models.</w:t>
      </w:r>
    </w:p>
    <w:p w14:paraId="3DC011C6" w14:textId="77777777" w:rsidR="007523B8" w:rsidRPr="009E06AA" w:rsidRDefault="007523B8" w:rsidP="007523B8">
      <w:pPr>
        <w:pStyle w:val="BodyText"/>
        <w:spacing w:before="100" w:after="100"/>
      </w:pPr>
      <w:r w:rsidRPr="009E06AA">
        <w:t>The most impactful changes improved the agreement between the dairy population calculations implemented in the model and those written in the report by Burggraaf et al., 2022. This included moving the monthly populations to a mid-month estimate, correcting the death rate for one- to two-year old heifers and improving the input data. Other corrections were made across deer, dairy and sheep, to improve the accuracy of the liveweight calculations, gestation requirements and nitrogen retention.</w:t>
      </w:r>
    </w:p>
    <w:p w14:paraId="0C76ADAD" w14:textId="77777777" w:rsidR="007523B8" w:rsidRPr="009E06AA" w:rsidRDefault="007523B8" w:rsidP="007523B8">
      <w:pPr>
        <w:pStyle w:val="BodyText"/>
        <w:spacing w:before="100" w:after="100"/>
      </w:pPr>
      <w:r w:rsidRPr="009E06AA">
        <w:t xml:space="preserve">Implementing the 2024 changes caused estimated emissions from the </w:t>
      </w:r>
      <w:r w:rsidRPr="009E06AA">
        <w:rPr>
          <w:i/>
        </w:rPr>
        <w:t>Enteric fermentation</w:t>
      </w:r>
      <w:r w:rsidRPr="009E06AA">
        <w:t xml:space="preserve"> category to increase by 0.8 per cent (226.5 kt CO</w:t>
      </w:r>
      <w:r w:rsidRPr="009E06AA">
        <w:rPr>
          <w:vertAlign w:val="subscript"/>
        </w:rPr>
        <w:t>2</w:t>
      </w:r>
      <w:r w:rsidRPr="009E06AA">
        <w:t>-e) in 1990 and 2.5 per cent (767.6 kt CO</w:t>
      </w:r>
      <w:r w:rsidRPr="009E06AA">
        <w:rPr>
          <w:vertAlign w:val="subscript"/>
        </w:rPr>
        <w:t>2</w:t>
      </w:r>
      <w:r w:rsidRPr="009E06AA">
        <w:t>-e) in 2021 (see table 5.2.9).</w:t>
      </w:r>
    </w:p>
    <w:p w14:paraId="3FF18A08" w14:textId="77777777" w:rsidR="007523B8" w:rsidRPr="009E06AA" w:rsidRDefault="007523B8" w:rsidP="007523B8">
      <w:pPr>
        <w:pStyle w:val="Table"/>
      </w:pPr>
      <w:bookmarkStart w:id="993" w:name="_Toc160114446"/>
      <w:bookmarkStart w:id="994" w:name="_Toc164153842"/>
      <w:r w:rsidRPr="009E06AA">
        <w:rPr>
          <w:rFonts w:cs="Calibri"/>
        </w:rPr>
        <w:t>Table 5.2.9</w:t>
      </w:r>
      <w:r w:rsidRPr="009E06AA">
        <w:rPr>
          <w:rFonts w:cs="Calibri"/>
        </w:rPr>
        <w:tab/>
        <w:t>Comparison of model results with and without corrections for emissions from </w:t>
      </w:r>
      <w:r w:rsidRPr="009E06AA">
        <w:rPr>
          <w:rFonts w:cs="Calibri"/>
          <w:i/>
          <w:iCs/>
        </w:rPr>
        <w:t>Enteric fermentation</w:t>
      </w:r>
      <w:bookmarkEnd w:id="993"/>
      <w:bookmarkEnd w:id="994"/>
      <w:r w:rsidRPr="009E06AA">
        <w:rPr>
          <w:rFonts w:cs="Calibri"/>
          <w:i/>
          <w:iCs/>
        </w:rPr>
        <w:t xml:space="preserve"> </w:t>
      </w:r>
    </w:p>
    <w:tbl>
      <w:tblPr>
        <w:tblW w:w="8505" w:type="dxa"/>
        <w:tblBorders>
          <w:top w:val="single" w:sz="2" w:space="0" w:color="1B556B" w:themeColor="text2"/>
          <w:bottom w:val="single" w:sz="2" w:space="0" w:color="1B556B" w:themeColor="text2"/>
          <w:insideH w:val="single" w:sz="2" w:space="0" w:color="1B556B" w:themeColor="text2"/>
          <w:insideV w:val="single" w:sz="2" w:space="0" w:color="1B556B" w:themeColor="text2"/>
        </w:tblBorders>
        <w:tblCellMar>
          <w:right w:w="85" w:type="dxa"/>
        </w:tblCellMar>
        <w:tblLook w:val="04A0" w:firstRow="1" w:lastRow="0" w:firstColumn="1" w:lastColumn="0" w:noHBand="0" w:noVBand="1"/>
      </w:tblPr>
      <w:tblGrid>
        <w:gridCol w:w="1560"/>
        <w:gridCol w:w="2239"/>
        <w:gridCol w:w="782"/>
        <w:gridCol w:w="837"/>
        <w:gridCol w:w="1514"/>
        <w:gridCol w:w="1573"/>
      </w:tblGrid>
      <w:tr w:rsidR="007523B8" w:rsidRPr="009E06AA" w14:paraId="50E433FF" w14:textId="77777777" w:rsidTr="00B55F24">
        <w:tc>
          <w:tcPr>
            <w:tcW w:w="917" w:type="pct"/>
            <w:shd w:val="clear" w:color="000000" w:fill="1B556B"/>
            <w:vAlign w:val="bottom"/>
            <w:hideMark/>
          </w:tcPr>
          <w:p w14:paraId="304939FC" w14:textId="77777777" w:rsidR="007523B8" w:rsidRPr="009E06AA" w:rsidRDefault="007523B8" w:rsidP="00B55F24">
            <w:pPr>
              <w:pStyle w:val="TableText"/>
              <w:spacing w:before="40" w:after="40"/>
              <w:rPr>
                <w:b/>
                <w:bCs/>
                <w:color w:val="FFFFFF" w:themeColor="background1"/>
              </w:rPr>
            </w:pPr>
            <w:r w:rsidRPr="009E06AA">
              <w:rPr>
                <w:b/>
                <w:bCs/>
                <w:color w:val="FFFFFF" w:themeColor="background1"/>
              </w:rPr>
              <w:t>Emissions (kt CO</w:t>
            </w:r>
            <w:r w:rsidRPr="009E06AA">
              <w:rPr>
                <w:b/>
                <w:bCs/>
                <w:color w:val="FFFFFF" w:themeColor="background1"/>
                <w:vertAlign w:val="subscript"/>
              </w:rPr>
              <w:t>2</w:t>
            </w:r>
            <w:r w:rsidRPr="009E06AA">
              <w:rPr>
                <w:b/>
                <w:bCs/>
                <w:color w:val="FFFFFF" w:themeColor="background1"/>
              </w:rPr>
              <w:t>-e)</w:t>
            </w:r>
          </w:p>
        </w:tc>
        <w:tc>
          <w:tcPr>
            <w:tcW w:w="1316" w:type="pct"/>
            <w:tcBorders>
              <w:bottom w:val="single" w:sz="2" w:space="0" w:color="1B556B" w:themeColor="text2"/>
            </w:tcBorders>
            <w:shd w:val="clear" w:color="000000" w:fill="1B556B"/>
            <w:vAlign w:val="bottom"/>
            <w:hideMark/>
          </w:tcPr>
          <w:p w14:paraId="044253AA" w14:textId="77777777" w:rsidR="007523B8" w:rsidRPr="009E06AA" w:rsidRDefault="007523B8" w:rsidP="00B55F24">
            <w:pPr>
              <w:pStyle w:val="TableText"/>
              <w:spacing w:before="40" w:after="40"/>
              <w:rPr>
                <w:b/>
                <w:bCs/>
                <w:color w:val="FFFFFF" w:themeColor="background1"/>
              </w:rPr>
            </w:pPr>
            <w:r w:rsidRPr="009E06AA">
              <w:rPr>
                <w:rFonts w:cs="Calibri"/>
                <w:color w:val="000000"/>
                <w:sz w:val="20"/>
                <w:szCs w:val="20"/>
              </w:rPr>
              <w:t> </w:t>
            </w:r>
          </w:p>
        </w:tc>
        <w:tc>
          <w:tcPr>
            <w:tcW w:w="460" w:type="pct"/>
            <w:tcBorders>
              <w:bottom w:val="single" w:sz="2" w:space="0" w:color="1B556B" w:themeColor="text2"/>
            </w:tcBorders>
            <w:shd w:val="clear" w:color="000000" w:fill="1B556B"/>
            <w:vAlign w:val="bottom"/>
            <w:hideMark/>
          </w:tcPr>
          <w:p w14:paraId="7F904F6F" w14:textId="77777777" w:rsidR="007523B8" w:rsidRPr="009E06AA" w:rsidRDefault="007523B8" w:rsidP="00F845E9">
            <w:pPr>
              <w:pStyle w:val="TableText"/>
              <w:spacing w:before="40" w:after="40"/>
              <w:jc w:val="right"/>
              <w:rPr>
                <w:b/>
                <w:bCs/>
                <w:color w:val="FFFFFF" w:themeColor="background1"/>
              </w:rPr>
            </w:pPr>
            <w:r w:rsidRPr="009E06AA">
              <w:rPr>
                <w:rFonts w:cs="Calibri"/>
                <w:b/>
                <w:bCs/>
                <w:color w:val="FFFFFF" w:themeColor="background1"/>
                <w:szCs w:val="16"/>
              </w:rPr>
              <w:t>1990</w:t>
            </w:r>
          </w:p>
        </w:tc>
        <w:tc>
          <w:tcPr>
            <w:tcW w:w="492" w:type="pct"/>
            <w:tcBorders>
              <w:bottom w:val="single" w:sz="2" w:space="0" w:color="1B556B" w:themeColor="text2"/>
            </w:tcBorders>
            <w:shd w:val="clear" w:color="000000" w:fill="1B556B"/>
            <w:vAlign w:val="bottom"/>
            <w:hideMark/>
          </w:tcPr>
          <w:p w14:paraId="5E445BBE" w14:textId="77777777" w:rsidR="007523B8" w:rsidRPr="009E06AA" w:rsidRDefault="007523B8" w:rsidP="00F845E9">
            <w:pPr>
              <w:pStyle w:val="TableText"/>
              <w:spacing w:before="40" w:after="40"/>
              <w:jc w:val="right"/>
              <w:rPr>
                <w:b/>
                <w:bCs/>
                <w:color w:val="FFFFFF" w:themeColor="background1"/>
              </w:rPr>
            </w:pPr>
            <w:r w:rsidRPr="009E06AA">
              <w:rPr>
                <w:rFonts w:cs="Calibri"/>
                <w:b/>
                <w:bCs/>
                <w:color w:val="FFFFFF" w:themeColor="background1"/>
                <w:szCs w:val="16"/>
              </w:rPr>
              <w:t>2021</w:t>
            </w:r>
          </w:p>
        </w:tc>
        <w:tc>
          <w:tcPr>
            <w:tcW w:w="890" w:type="pct"/>
            <w:tcBorders>
              <w:bottom w:val="single" w:sz="2" w:space="0" w:color="1B556B" w:themeColor="text2"/>
            </w:tcBorders>
            <w:shd w:val="clear" w:color="000000" w:fill="1B556B"/>
            <w:vAlign w:val="center"/>
            <w:hideMark/>
          </w:tcPr>
          <w:p w14:paraId="7F808321" w14:textId="77777777" w:rsidR="007523B8" w:rsidRPr="009E06AA" w:rsidRDefault="007523B8" w:rsidP="00F845E9">
            <w:pPr>
              <w:pStyle w:val="TableText"/>
              <w:spacing w:before="40" w:after="40"/>
              <w:jc w:val="right"/>
              <w:rPr>
                <w:b/>
                <w:bCs/>
                <w:color w:val="FFFFFF" w:themeColor="background1"/>
              </w:rPr>
            </w:pPr>
            <w:r w:rsidRPr="009E06AA">
              <w:rPr>
                <w:rFonts w:cs="Calibri"/>
                <w:b/>
                <w:bCs/>
                <w:color w:val="FFFFFF" w:themeColor="background1"/>
                <w:szCs w:val="16"/>
              </w:rPr>
              <w:t>Change in emission outputs between 1990 and 2021 (kt CO</w:t>
            </w:r>
            <w:r w:rsidRPr="009E06AA">
              <w:rPr>
                <w:rFonts w:cs="Calibri"/>
                <w:b/>
                <w:bCs/>
                <w:color w:val="FFFFFF"/>
                <w:szCs w:val="16"/>
                <w:vertAlign w:val="subscript"/>
              </w:rPr>
              <w:t>2</w:t>
            </w:r>
            <w:r w:rsidRPr="009E06AA">
              <w:rPr>
                <w:rFonts w:cs="Calibri"/>
                <w:b/>
                <w:bCs/>
                <w:color w:val="FFFFFF"/>
                <w:szCs w:val="16"/>
              </w:rPr>
              <w:t>-e)</w:t>
            </w:r>
          </w:p>
        </w:tc>
        <w:tc>
          <w:tcPr>
            <w:tcW w:w="925" w:type="pct"/>
            <w:shd w:val="clear" w:color="000000" w:fill="1B556B"/>
            <w:vAlign w:val="center"/>
            <w:hideMark/>
          </w:tcPr>
          <w:p w14:paraId="0033738A" w14:textId="77777777" w:rsidR="007523B8" w:rsidRPr="009E06AA" w:rsidRDefault="007523B8" w:rsidP="00F845E9">
            <w:pPr>
              <w:pStyle w:val="TableText"/>
              <w:spacing w:before="40" w:after="40"/>
              <w:jc w:val="right"/>
              <w:rPr>
                <w:b/>
                <w:bCs/>
                <w:color w:val="FFFFFF" w:themeColor="background1"/>
              </w:rPr>
            </w:pPr>
            <w:r w:rsidRPr="009E06AA">
              <w:rPr>
                <w:rFonts w:cs="Calibri"/>
                <w:b/>
                <w:bCs/>
                <w:color w:val="FFFFFF" w:themeColor="background1"/>
                <w:szCs w:val="16"/>
              </w:rPr>
              <w:t>Percentage change in emission outputs between 1990 and 2021 (%)</w:t>
            </w:r>
          </w:p>
        </w:tc>
      </w:tr>
      <w:tr w:rsidR="007523B8" w:rsidRPr="009E06AA" w14:paraId="0D3080A1" w14:textId="77777777" w:rsidTr="00B55F24">
        <w:tc>
          <w:tcPr>
            <w:tcW w:w="917" w:type="pct"/>
            <w:vMerge w:val="restart"/>
            <w:tcBorders>
              <w:right w:val="nil"/>
            </w:tcBorders>
            <w:shd w:val="clear" w:color="auto" w:fill="auto"/>
            <w:vAlign w:val="center"/>
            <w:hideMark/>
          </w:tcPr>
          <w:p w14:paraId="5DABA6B0" w14:textId="77777777" w:rsidR="007523B8" w:rsidRPr="009E06AA" w:rsidRDefault="007523B8" w:rsidP="00B55F24">
            <w:pPr>
              <w:pStyle w:val="TableText"/>
              <w:spacing w:before="40" w:after="40"/>
              <w:rPr>
                <w:color w:val="000000"/>
              </w:rPr>
            </w:pPr>
            <w:r w:rsidRPr="009E06AA">
              <w:rPr>
                <w:color w:val="000000"/>
              </w:rPr>
              <w:t xml:space="preserve">Total emissions from </w:t>
            </w:r>
            <w:r w:rsidRPr="009E06AA">
              <w:rPr>
                <w:i/>
                <w:iCs/>
                <w:color w:val="000000"/>
              </w:rPr>
              <w:t>Enteric fermentation</w:t>
            </w:r>
            <w:r w:rsidRPr="009E06AA">
              <w:rPr>
                <w:color w:val="000000"/>
              </w:rPr>
              <w:t xml:space="preserve"> (kt CO</w:t>
            </w:r>
            <w:r w:rsidRPr="009E06AA">
              <w:rPr>
                <w:color w:val="000000"/>
                <w:vertAlign w:val="subscript"/>
              </w:rPr>
              <w:t>2</w:t>
            </w:r>
            <w:r w:rsidRPr="009E06AA">
              <w:rPr>
                <w:color w:val="000000"/>
              </w:rPr>
              <w:t>-e)</w:t>
            </w:r>
          </w:p>
        </w:tc>
        <w:tc>
          <w:tcPr>
            <w:tcW w:w="1316" w:type="pct"/>
            <w:tcBorders>
              <w:left w:val="nil"/>
              <w:right w:val="nil"/>
            </w:tcBorders>
            <w:shd w:val="clear" w:color="auto" w:fill="auto"/>
            <w:vAlign w:val="center"/>
            <w:hideMark/>
          </w:tcPr>
          <w:p w14:paraId="1D268921" w14:textId="77777777" w:rsidR="007523B8" w:rsidRPr="009E06AA" w:rsidRDefault="007523B8" w:rsidP="00B55F24">
            <w:pPr>
              <w:pStyle w:val="TableText"/>
              <w:spacing w:before="40" w:after="40"/>
              <w:rPr>
                <w:color w:val="000000"/>
              </w:rPr>
            </w:pPr>
            <w:r w:rsidRPr="009E06AA">
              <w:rPr>
                <w:rFonts w:cs="Calibri"/>
                <w:color w:val="000000"/>
                <w:szCs w:val="16"/>
              </w:rPr>
              <w:t>2023 (1990–2021) emissions estimate without corrections</w:t>
            </w:r>
          </w:p>
        </w:tc>
        <w:tc>
          <w:tcPr>
            <w:tcW w:w="460" w:type="pct"/>
            <w:tcBorders>
              <w:left w:val="nil"/>
              <w:right w:val="nil"/>
            </w:tcBorders>
            <w:shd w:val="clear" w:color="auto" w:fill="auto"/>
            <w:vAlign w:val="center"/>
            <w:hideMark/>
          </w:tcPr>
          <w:p w14:paraId="6A676CA2" w14:textId="77777777" w:rsidR="007523B8" w:rsidRPr="009E06AA" w:rsidRDefault="007523B8" w:rsidP="00F845E9">
            <w:pPr>
              <w:pStyle w:val="TableText"/>
              <w:spacing w:before="40" w:after="40"/>
              <w:jc w:val="right"/>
              <w:rPr>
                <w:color w:val="000000"/>
                <w:highlight w:val="yellow"/>
              </w:rPr>
            </w:pPr>
            <w:r w:rsidRPr="009E06AA">
              <w:rPr>
                <w:rFonts w:cs="Calibri"/>
                <w:color w:val="000000"/>
                <w:szCs w:val="16"/>
              </w:rPr>
              <w:t>30,195.7</w:t>
            </w:r>
          </w:p>
        </w:tc>
        <w:tc>
          <w:tcPr>
            <w:tcW w:w="492" w:type="pct"/>
            <w:tcBorders>
              <w:left w:val="nil"/>
              <w:right w:val="nil"/>
            </w:tcBorders>
            <w:shd w:val="clear" w:color="auto" w:fill="auto"/>
            <w:vAlign w:val="center"/>
            <w:hideMark/>
          </w:tcPr>
          <w:p w14:paraId="1CBF8528" w14:textId="77777777" w:rsidR="007523B8" w:rsidRPr="009E06AA" w:rsidRDefault="007523B8" w:rsidP="00F845E9">
            <w:pPr>
              <w:pStyle w:val="TableText"/>
              <w:spacing w:before="40" w:after="40"/>
              <w:jc w:val="right"/>
              <w:rPr>
                <w:color w:val="000000"/>
                <w:highlight w:val="yellow"/>
              </w:rPr>
            </w:pPr>
            <w:r w:rsidRPr="009E06AA">
              <w:rPr>
                <w:rFonts w:cs="Calibri"/>
                <w:color w:val="000000"/>
                <w:szCs w:val="16"/>
              </w:rPr>
              <w:t>31,202.1</w:t>
            </w:r>
          </w:p>
        </w:tc>
        <w:tc>
          <w:tcPr>
            <w:tcW w:w="890" w:type="pct"/>
            <w:tcBorders>
              <w:left w:val="nil"/>
              <w:right w:val="nil"/>
            </w:tcBorders>
            <w:shd w:val="clear" w:color="auto" w:fill="auto"/>
            <w:vAlign w:val="center"/>
            <w:hideMark/>
          </w:tcPr>
          <w:p w14:paraId="7A63FE22" w14:textId="77777777" w:rsidR="007523B8" w:rsidRPr="009E06AA" w:rsidRDefault="007523B8" w:rsidP="00F845E9">
            <w:pPr>
              <w:pStyle w:val="TableText"/>
              <w:spacing w:before="40" w:after="40"/>
              <w:jc w:val="right"/>
              <w:rPr>
                <w:color w:val="000000"/>
                <w:highlight w:val="yellow"/>
              </w:rPr>
            </w:pPr>
            <w:r w:rsidRPr="009E06AA">
              <w:rPr>
                <w:rFonts w:cs="Calibri"/>
                <w:color w:val="000000"/>
                <w:szCs w:val="16"/>
              </w:rPr>
              <w:t>1,006.5</w:t>
            </w:r>
          </w:p>
        </w:tc>
        <w:tc>
          <w:tcPr>
            <w:tcW w:w="925" w:type="pct"/>
            <w:tcBorders>
              <w:left w:val="nil"/>
            </w:tcBorders>
            <w:shd w:val="clear" w:color="auto" w:fill="auto"/>
            <w:vAlign w:val="center"/>
            <w:hideMark/>
          </w:tcPr>
          <w:p w14:paraId="69195DCD" w14:textId="77777777" w:rsidR="007523B8" w:rsidRPr="009E06AA" w:rsidRDefault="007523B8" w:rsidP="00F845E9">
            <w:pPr>
              <w:pStyle w:val="TableText"/>
              <w:spacing w:before="40" w:after="40"/>
              <w:jc w:val="right"/>
              <w:rPr>
                <w:color w:val="000000"/>
                <w:highlight w:val="yellow"/>
              </w:rPr>
            </w:pPr>
            <w:r w:rsidRPr="009E06AA">
              <w:rPr>
                <w:rFonts w:cs="Calibri"/>
                <w:color w:val="000000"/>
                <w:szCs w:val="16"/>
              </w:rPr>
              <w:t>3.3</w:t>
            </w:r>
          </w:p>
        </w:tc>
      </w:tr>
      <w:tr w:rsidR="007523B8" w:rsidRPr="009E06AA" w14:paraId="5793BEAC" w14:textId="77777777" w:rsidTr="00B55F24">
        <w:tc>
          <w:tcPr>
            <w:tcW w:w="917" w:type="pct"/>
            <w:vMerge/>
            <w:tcBorders>
              <w:right w:val="nil"/>
            </w:tcBorders>
            <w:vAlign w:val="center"/>
            <w:hideMark/>
          </w:tcPr>
          <w:p w14:paraId="18C35D55" w14:textId="77777777" w:rsidR="007523B8" w:rsidRPr="009E06AA" w:rsidRDefault="007523B8" w:rsidP="00B55F24">
            <w:pPr>
              <w:pStyle w:val="TableText"/>
              <w:spacing w:before="40" w:after="40"/>
              <w:rPr>
                <w:color w:val="000000"/>
              </w:rPr>
            </w:pPr>
          </w:p>
        </w:tc>
        <w:tc>
          <w:tcPr>
            <w:tcW w:w="1316" w:type="pct"/>
            <w:tcBorders>
              <w:left w:val="nil"/>
              <w:right w:val="nil"/>
            </w:tcBorders>
            <w:shd w:val="clear" w:color="auto" w:fill="auto"/>
            <w:vAlign w:val="center"/>
            <w:hideMark/>
          </w:tcPr>
          <w:p w14:paraId="19E04C3D" w14:textId="77777777" w:rsidR="007523B8" w:rsidRPr="009E06AA" w:rsidRDefault="007523B8" w:rsidP="00B55F24">
            <w:pPr>
              <w:pStyle w:val="TableText"/>
              <w:spacing w:before="40" w:after="40"/>
              <w:rPr>
                <w:color w:val="000000"/>
              </w:rPr>
            </w:pPr>
            <w:r w:rsidRPr="009E06AA">
              <w:rPr>
                <w:rFonts w:cs="Calibri"/>
                <w:color w:val="000000"/>
                <w:szCs w:val="16"/>
              </w:rPr>
              <w:t>2023 (1990–2021) emissions estimate with corrections</w:t>
            </w:r>
          </w:p>
        </w:tc>
        <w:tc>
          <w:tcPr>
            <w:tcW w:w="460" w:type="pct"/>
            <w:tcBorders>
              <w:left w:val="nil"/>
              <w:right w:val="nil"/>
            </w:tcBorders>
            <w:shd w:val="clear" w:color="auto" w:fill="auto"/>
            <w:vAlign w:val="center"/>
            <w:hideMark/>
          </w:tcPr>
          <w:p w14:paraId="4CD98924" w14:textId="77777777" w:rsidR="007523B8" w:rsidRPr="009E06AA" w:rsidRDefault="007523B8" w:rsidP="00F845E9">
            <w:pPr>
              <w:pStyle w:val="TableText"/>
              <w:spacing w:before="40" w:after="40"/>
              <w:jc w:val="right"/>
              <w:rPr>
                <w:color w:val="000000"/>
                <w:highlight w:val="yellow"/>
              </w:rPr>
            </w:pPr>
            <w:r w:rsidRPr="009E06AA">
              <w:rPr>
                <w:rFonts w:cs="Calibri"/>
                <w:color w:val="000000"/>
                <w:szCs w:val="16"/>
              </w:rPr>
              <w:t>30,422.1</w:t>
            </w:r>
          </w:p>
        </w:tc>
        <w:tc>
          <w:tcPr>
            <w:tcW w:w="492" w:type="pct"/>
            <w:tcBorders>
              <w:left w:val="nil"/>
              <w:right w:val="nil"/>
            </w:tcBorders>
            <w:shd w:val="clear" w:color="auto" w:fill="auto"/>
            <w:vAlign w:val="center"/>
            <w:hideMark/>
          </w:tcPr>
          <w:p w14:paraId="506F00C5" w14:textId="77777777" w:rsidR="007523B8" w:rsidRPr="009E06AA" w:rsidRDefault="007523B8" w:rsidP="00F845E9">
            <w:pPr>
              <w:pStyle w:val="TableText"/>
              <w:spacing w:before="40" w:after="40"/>
              <w:jc w:val="right"/>
              <w:rPr>
                <w:color w:val="000000"/>
                <w:highlight w:val="yellow"/>
              </w:rPr>
            </w:pPr>
            <w:r w:rsidRPr="009E06AA">
              <w:rPr>
                <w:rFonts w:cs="Calibri"/>
                <w:color w:val="000000"/>
                <w:szCs w:val="16"/>
              </w:rPr>
              <w:t>31,969.7</w:t>
            </w:r>
          </w:p>
        </w:tc>
        <w:tc>
          <w:tcPr>
            <w:tcW w:w="890" w:type="pct"/>
            <w:tcBorders>
              <w:left w:val="nil"/>
              <w:right w:val="nil"/>
            </w:tcBorders>
            <w:shd w:val="clear" w:color="auto" w:fill="auto"/>
            <w:vAlign w:val="center"/>
            <w:hideMark/>
          </w:tcPr>
          <w:p w14:paraId="4D7D6579" w14:textId="77777777" w:rsidR="007523B8" w:rsidRPr="009E06AA" w:rsidRDefault="007523B8" w:rsidP="00F845E9">
            <w:pPr>
              <w:pStyle w:val="TableText"/>
              <w:spacing w:before="40" w:after="40"/>
              <w:jc w:val="right"/>
              <w:rPr>
                <w:color w:val="000000"/>
                <w:highlight w:val="yellow"/>
              </w:rPr>
            </w:pPr>
            <w:r w:rsidRPr="009E06AA">
              <w:rPr>
                <w:rFonts w:cs="Calibri"/>
                <w:color w:val="000000"/>
                <w:szCs w:val="16"/>
              </w:rPr>
              <w:t>1,547.6</w:t>
            </w:r>
          </w:p>
        </w:tc>
        <w:tc>
          <w:tcPr>
            <w:tcW w:w="925" w:type="pct"/>
            <w:tcBorders>
              <w:left w:val="nil"/>
            </w:tcBorders>
            <w:shd w:val="clear" w:color="auto" w:fill="auto"/>
            <w:vAlign w:val="center"/>
            <w:hideMark/>
          </w:tcPr>
          <w:p w14:paraId="5EAABFFA" w14:textId="77777777" w:rsidR="007523B8" w:rsidRPr="009E06AA" w:rsidRDefault="007523B8" w:rsidP="00F845E9">
            <w:pPr>
              <w:pStyle w:val="TableText"/>
              <w:spacing w:before="40" w:after="40"/>
              <w:jc w:val="right"/>
              <w:rPr>
                <w:color w:val="000000"/>
                <w:highlight w:val="yellow"/>
              </w:rPr>
            </w:pPr>
            <w:r w:rsidRPr="009E06AA">
              <w:rPr>
                <w:rFonts w:cs="Calibri"/>
                <w:color w:val="000000"/>
                <w:szCs w:val="16"/>
              </w:rPr>
              <w:t>5.1</w:t>
            </w:r>
          </w:p>
        </w:tc>
      </w:tr>
      <w:tr w:rsidR="007523B8" w:rsidRPr="009E06AA" w14:paraId="1D023CD7" w14:textId="77777777" w:rsidTr="00B55F24">
        <w:tc>
          <w:tcPr>
            <w:tcW w:w="917" w:type="pct"/>
            <w:vMerge/>
            <w:tcBorders>
              <w:right w:val="nil"/>
            </w:tcBorders>
            <w:vAlign w:val="center"/>
            <w:hideMark/>
          </w:tcPr>
          <w:p w14:paraId="5A06B90E" w14:textId="77777777" w:rsidR="007523B8" w:rsidRPr="009E06AA" w:rsidRDefault="007523B8" w:rsidP="00B55F24">
            <w:pPr>
              <w:pStyle w:val="TableText"/>
              <w:spacing w:before="40" w:after="40"/>
              <w:rPr>
                <w:color w:val="000000"/>
              </w:rPr>
            </w:pPr>
          </w:p>
        </w:tc>
        <w:tc>
          <w:tcPr>
            <w:tcW w:w="1316" w:type="pct"/>
            <w:tcBorders>
              <w:left w:val="nil"/>
              <w:right w:val="nil"/>
            </w:tcBorders>
            <w:shd w:val="clear" w:color="auto" w:fill="auto"/>
            <w:vAlign w:val="center"/>
            <w:hideMark/>
          </w:tcPr>
          <w:p w14:paraId="4EF62F7E" w14:textId="77777777" w:rsidR="007523B8" w:rsidRPr="009E06AA" w:rsidRDefault="007523B8" w:rsidP="00B55F24">
            <w:pPr>
              <w:pStyle w:val="TableText"/>
              <w:spacing w:before="40" w:after="40"/>
              <w:rPr>
                <w:color w:val="000000"/>
              </w:rPr>
            </w:pPr>
            <w:r w:rsidRPr="009E06AA">
              <w:rPr>
                <w:rFonts w:cs="Calibri"/>
                <w:color w:val="000000"/>
                <w:szCs w:val="16"/>
              </w:rPr>
              <w:t>Difference in emissions estimates compared with current inventory </w:t>
            </w:r>
          </w:p>
        </w:tc>
        <w:tc>
          <w:tcPr>
            <w:tcW w:w="460" w:type="pct"/>
            <w:tcBorders>
              <w:left w:val="nil"/>
              <w:right w:val="nil"/>
            </w:tcBorders>
            <w:shd w:val="clear" w:color="auto" w:fill="auto"/>
            <w:vAlign w:val="center"/>
            <w:hideMark/>
          </w:tcPr>
          <w:p w14:paraId="5588D3B5" w14:textId="77777777" w:rsidR="007523B8" w:rsidRPr="009E06AA" w:rsidRDefault="007523B8" w:rsidP="00F845E9">
            <w:pPr>
              <w:pStyle w:val="TableText"/>
              <w:spacing w:before="40" w:after="40"/>
              <w:jc w:val="right"/>
              <w:rPr>
                <w:color w:val="000000"/>
                <w:highlight w:val="yellow"/>
              </w:rPr>
            </w:pPr>
            <w:r w:rsidRPr="009E06AA">
              <w:rPr>
                <w:rFonts w:cs="Calibri"/>
                <w:color w:val="000000"/>
                <w:szCs w:val="16"/>
              </w:rPr>
              <w:t>226.5</w:t>
            </w:r>
          </w:p>
        </w:tc>
        <w:tc>
          <w:tcPr>
            <w:tcW w:w="492" w:type="pct"/>
            <w:tcBorders>
              <w:left w:val="nil"/>
              <w:right w:val="nil"/>
            </w:tcBorders>
            <w:shd w:val="clear" w:color="auto" w:fill="auto"/>
            <w:vAlign w:val="center"/>
            <w:hideMark/>
          </w:tcPr>
          <w:p w14:paraId="7D2EA5E9" w14:textId="77777777" w:rsidR="007523B8" w:rsidRPr="009E06AA" w:rsidRDefault="007523B8" w:rsidP="00F845E9">
            <w:pPr>
              <w:pStyle w:val="TableText"/>
              <w:spacing w:before="40" w:after="40"/>
              <w:jc w:val="right"/>
              <w:rPr>
                <w:color w:val="000000"/>
                <w:highlight w:val="yellow"/>
              </w:rPr>
            </w:pPr>
            <w:r w:rsidRPr="009E06AA">
              <w:rPr>
                <w:rFonts w:cs="Calibri"/>
                <w:color w:val="000000"/>
                <w:szCs w:val="16"/>
              </w:rPr>
              <w:t>767.6</w:t>
            </w:r>
          </w:p>
        </w:tc>
        <w:tc>
          <w:tcPr>
            <w:tcW w:w="890" w:type="pct"/>
            <w:tcBorders>
              <w:left w:val="nil"/>
              <w:right w:val="nil"/>
            </w:tcBorders>
            <w:shd w:val="clear" w:color="auto" w:fill="auto"/>
            <w:vAlign w:val="center"/>
            <w:hideMark/>
          </w:tcPr>
          <w:p w14:paraId="019FCFB6" w14:textId="77777777" w:rsidR="007523B8" w:rsidRPr="009E06AA" w:rsidRDefault="007523B8" w:rsidP="00F845E9">
            <w:pPr>
              <w:pStyle w:val="TableText"/>
              <w:spacing w:before="40" w:after="40"/>
              <w:jc w:val="right"/>
              <w:rPr>
                <w:color w:val="000000"/>
                <w:highlight w:val="yellow"/>
              </w:rPr>
            </w:pPr>
            <w:r w:rsidRPr="009E06AA">
              <w:rPr>
                <w:rFonts w:cs="Calibri"/>
                <w:color w:val="000000"/>
                <w:szCs w:val="16"/>
              </w:rPr>
              <w:t>541.1</w:t>
            </w:r>
          </w:p>
        </w:tc>
        <w:tc>
          <w:tcPr>
            <w:tcW w:w="925" w:type="pct"/>
            <w:tcBorders>
              <w:left w:val="nil"/>
            </w:tcBorders>
            <w:shd w:val="clear" w:color="auto" w:fill="auto"/>
            <w:vAlign w:val="center"/>
            <w:hideMark/>
          </w:tcPr>
          <w:p w14:paraId="6AF03A87" w14:textId="77777777" w:rsidR="007523B8" w:rsidRPr="009E06AA" w:rsidRDefault="007523B8" w:rsidP="00F845E9">
            <w:pPr>
              <w:pStyle w:val="TableText"/>
              <w:spacing w:before="40" w:after="40"/>
              <w:jc w:val="right"/>
              <w:rPr>
                <w:color w:val="000000"/>
              </w:rPr>
            </w:pPr>
            <w:r w:rsidRPr="009E06AA">
              <w:rPr>
                <w:rFonts w:cs="Calibri"/>
                <w:color w:val="000000"/>
                <w:szCs w:val="16"/>
              </w:rPr>
              <w:t xml:space="preserve"> </w:t>
            </w:r>
            <w:r w:rsidRPr="009E06AA">
              <w:rPr>
                <w:color w:val="000000"/>
              </w:rPr>
              <w:t>–</w:t>
            </w:r>
          </w:p>
        </w:tc>
      </w:tr>
      <w:tr w:rsidR="007523B8" w:rsidRPr="009E06AA" w14:paraId="7B899E32" w14:textId="77777777" w:rsidTr="00B55F24">
        <w:tc>
          <w:tcPr>
            <w:tcW w:w="917" w:type="pct"/>
            <w:vMerge/>
            <w:tcBorders>
              <w:right w:val="nil"/>
            </w:tcBorders>
            <w:vAlign w:val="center"/>
            <w:hideMark/>
          </w:tcPr>
          <w:p w14:paraId="79E4C36B" w14:textId="77777777" w:rsidR="007523B8" w:rsidRPr="009E06AA" w:rsidRDefault="007523B8" w:rsidP="00B55F24">
            <w:pPr>
              <w:pStyle w:val="TableText"/>
              <w:spacing w:before="40" w:after="40"/>
              <w:rPr>
                <w:color w:val="000000"/>
              </w:rPr>
            </w:pPr>
          </w:p>
        </w:tc>
        <w:tc>
          <w:tcPr>
            <w:tcW w:w="1316" w:type="pct"/>
            <w:tcBorders>
              <w:left w:val="nil"/>
              <w:right w:val="nil"/>
            </w:tcBorders>
            <w:shd w:val="clear" w:color="auto" w:fill="auto"/>
            <w:vAlign w:val="center"/>
            <w:hideMark/>
          </w:tcPr>
          <w:p w14:paraId="5829CC5E" w14:textId="77777777" w:rsidR="007523B8" w:rsidRPr="009E06AA" w:rsidRDefault="007523B8" w:rsidP="00B55F24">
            <w:pPr>
              <w:pStyle w:val="TableText"/>
              <w:spacing w:before="40" w:after="40"/>
              <w:rPr>
                <w:color w:val="000000"/>
              </w:rPr>
            </w:pPr>
            <w:r w:rsidRPr="009E06AA">
              <w:rPr>
                <w:rFonts w:cs="Calibri"/>
                <w:color w:val="000000"/>
                <w:szCs w:val="16"/>
              </w:rPr>
              <w:t>Percentage difference in emissions estimates (%)</w:t>
            </w:r>
          </w:p>
        </w:tc>
        <w:tc>
          <w:tcPr>
            <w:tcW w:w="460" w:type="pct"/>
            <w:tcBorders>
              <w:left w:val="nil"/>
              <w:right w:val="nil"/>
            </w:tcBorders>
            <w:shd w:val="clear" w:color="auto" w:fill="auto"/>
            <w:vAlign w:val="center"/>
            <w:hideMark/>
          </w:tcPr>
          <w:p w14:paraId="56920C96" w14:textId="77777777" w:rsidR="007523B8" w:rsidRPr="009E06AA" w:rsidRDefault="007523B8" w:rsidP="00F845E9">
            <w:pPr>
              <w:pStyle w:val="TableText"/>
              <w:spacing w:before="40" w:after="40"/>
              <w:jc w:val="right"/>
              <w:rPr>
                <w:color w:val="000000"/>
                <w:highlight w:val="yellow"/>
              </w:rPr>
            </w:pPr>
            <w:r w:rsidRPr="009E06AA">
              <w:rPr>
                <w:rFonts w:cs="Calibri"/>
                <w:color w:val="000000"/>
                <w:szCs w:val="16"/>
              </w:rPr>
              <w:t>0.8</w:t>
            </w:r>
          </w:p>
        </w:tc>
        <w:tc>
          <w:tcPr>
            <w:tcW w:w="492" w:type="pct"/>
            <w:tcBorders>
              <w:left w:val="nil"/>
              <w:right w:val="nil"/>
            </w:tcBorders>
            <w:shd w:val="clear" w:color="auto" w:fill="auto"/>
            <w:vAlign w:val="center"/>
            <w:hideMark/>
          </w:tcPr>
          <w:p w14:paraId="3BF9B98C" w14:textId="77777777" w:rsidR="007523B8" w:rsidRPr="009E06AA" w:rsidRDefault="007523B8" w:rsidP="00F845E9">
            <w:pPr>
              <w:pStyle w:val="TableText"/>
              <w:spacing w:before="40" w:after="40"/>
              <w:jc w:val="right"/>
              <w:rPr>
                <w:color w:val="000000"/>
                <w:highlight w:val="yellow"/>
              </w:rPr>
            </w:pPr>
            <w:r w:rsidRPr="009E06AA">
              <w:rPr>
                <w:rFonts w:cs="Calibri"/>
                <w:color w:val="000000"/>
                <w:szCs w:val="16"/>
              </w:rPr>
              <w:t>2.5</w:t>
            </w:r>
          </w:p>
        </w:tc>
        <w:tc>
          <w:tcPr>
            <w:tcW w:w="890" w:type="pct"/>
            <w:tcBorders>
              <w:left w:val="nil"/>
              <w:right w:val="nil"/>
            </w:tcBorders>
            <w:shd w:val="clear" w:color="auto" w:fill="auto"/>
            <w:vAlign w:val="center"/>
            <w:hideMark/>
          </w:tcPr>
          <w:p w14:paraId="76500EA4" w14:textId="77777777" w:rsidR="007523B8" w:rsidRPr="009E06AA" w:rsidRDefault="007523B8" w:rsidP="00F845E9">
            <w:pPr>
              <w:pStyle w:val="TableText"/>
              <w:spacing w:before="40" w:after="40"/>
              <w:jc w:val="right"/>
              <w:rPr>
                <w:color w:val="000000"/>
              </w:rPr>
            </w:pPr>
            <w:r w:rsidRPr="009E06AA">
              <w:rPr>
                <w:rFonts w:cs="Calibri"/>
                <w:color w:val="000000"/>
                <w:szCs w:val="16"/>
              </w:rPr>
              <w:t xml:space="preserve"> </w:t>
            </w:r>
            <w:r w:rsidRPr="009E06AA">
              <w:rPr>
                <w:color w:val="000000"/>
              </w:rPr>
              <w:t>–</w:t>
            </w:r>
          </w:p>
        </w:tc>
        <w:tc>
          <w:tcPr>
            <w:tcW w:w="925" w:type="pct"/>
            <w:tcBorders>
              <w:left w:val="nil"/>
            </w:tcBorders>
            <w:shd w:val="clear" w:color="auto" w:fill="auto"/>
            <w:vAlign w:val="center"/>
            <w:hideMark/>
          </w:tcPr>
          <w:p w14:paraId="784EA129" w14:textId="77777777" w:rsidR="007523B8" w:rsidRPr="009E06AA" w:rsidRDefault="007523B8" w:rsidP="00F845E9">
            <w:pPr>
              <w:pStyle w:val="TableText"/>
              <w:spacing w:before="40" w:after="40"/>
              <w:jc w:val="right"/>
              <w:rPr>
                <w:color w:val="000000"/>
              </w:rPr>
            </w:pPr>
            <w:r w:rsidRPr="009E06AA">
              <w:rPr>
                <w:rFonts w:cs="Calibri"/>
                <w:color w:val="000000"/>
                <w:szCs w:val="16"/>
              </w:rPr>
              <w:t> </w:t>
            </w:r>
            <w:r w:rsidRPr="009E06AA">
              <w:rPr>
                <w:color w:val="000000"/>
              </w:rPr>
              <w:t>–</w:t>
            </w:r>
            <w:r w:rsidRPr="009E06AA">
              <w:rPr>
                <w:rFonts w:cs="Calibri"/>
                <w:color w:val="000000"/>
                <w:szCs w:val="16"/>
              </w:rPr>
              <w:t> </w:t>
            </w:r>
          </w:p>
        </w:tc>
      </w:tr>
    </w:tbl>
    <w:p w14:paraId="6986F18D" w14:textId="77777777" w:rsidR="007523B8" w:rsidRPr="009E06AA" w:rsidRDefault="007523B8" w:rsidP="007523B8">
      <w:pPr>
        <w:pStyle w:val="Heading3"/>
        <w:spacing w:before="400"/>
      </w:pPr>
      <w:bookmarkStart w:id="995" w:name="_Toc32570656"/>
      <w:bookmarkStart w:id="996" w:name="_Toc69611740"/>
      <w:bookmarkStart w:id="997" w:name="_Toc69612696"/>
      <w:bookmarkStart w:id="998" w:name="_Toc69612895"/>
      <w:bookmarkStart w:id="999" w:name="_Toc69613155"/>
      <w:bookmarkStart w:id="1000" w:name="_Toc69633319"/>
      <w:bookmarkStart w:id="1001" w:name="_Toc69717484"/>
      <w:bookmarkStart w:id="1002" w:name="_Toc69802966"/>
      <w:bookmarkStart w:id="1003" w:name="_Toc69815103"/>
      <w:bookmarkStart w:id="1004" w:name="_Toc70492396"/>
      <w:bookmarkStart w:id="1005" w:name="_Toc101310603"/>
      <w:bookmarkStart w:id="1006" w:name="_Toc101318463"/>
      <w:bookmarkStart w:id="1007" w:name="_Toc101318568"/>
      <w:bookmarkStart w:id="1008" w:name="_Toc101318752"/>
      <w:bookmarkStart w:id="1009" w:name="_Toc101334028"/>
      <w:bookmarkStart w:id="1010" w:name="_Toc134847205"/>
      <w:bookmarkStart w:id="1011" w:name="_Toc139253923"/>
      <w:bookmarkStart w:id="1012" w:name="_Toc144710414"/>
      <w:bookmarkStart w:id="1013" w:name="_Toc165890368"/>
      <w:bookmarkStart w:id="1014" w:name="_Toc195322662"/>
      <w:bookmarkStart w:id="1015" w:name="_Toc235955528"/>
      <w:bookmarkStart w:id="1016" w:name="_Toc288316641"/>
      <w:bookmarkStart w:id="1017" w:name="_Toc352504861"/>
      <w:bookmarkStart w:id="1018" w:name="_Toc448321524"/>
      <w:bookmarkStart w:id="1019" w:name="_Toc481751386"/>
      <w:bookmarkStart w:id="1020" w:name="_Toc511116601"/>
      <w:bookmarkStart w:id="1021" w:name="_Toc5269363"/>
      <w:r w:rsidRPr="009E06AA">
        <w:t>5.2.6</w:t>
      </w:r>
      <w:r w:rsidRPr="009E06AA">
        <w:tab/>
      </w:r>
      <w:bookmarkStart w:id="1022" w:name="_Hlk154135510"/>
      <w:r w:rsidRPr="009E06AA">
        <w:t>Category-specific planned improvements</w:t>
      </w:r>
      <w:bookmarkEnd w:id="995"/>
      <w:r w:rsidRPr="009E06AA">
        <w:t xml:space="preserve"> </w:t>
      </w:r>
      <w:bookmarkEnd w:id="1022"/>
    </w:p>
    <w:p w14:paraId="78EDA521" w14:textId="77777777" w:rsidR="007523B8" w:rsidRPr="009E06AA" w:rsidRDefault="007523B8" w:rsidP="00EF0AC4">
      <w:pPr>
        <w:pStyle w:val="BodyText"/>
        <w:spacing w:before="100" w:after="100"/>
        <w:rPr>
          <w:rFonts w:cs="Calibri"/>
        </w:rPr>
      </w:pPr>
      <w:r w:rsidRPr="009E06AA">
        <w:rPr>
          <w:rFonts w:cs="Calibri"/>
        </w:rPr>
        <w:t>New Zealand is carrying out ongoing research to improve estimates of CH</w:t>
      </w:r>
      <w:r w:rsidRPr="009E06AA">
        <w:rPr>
          <w:rFonts w:cs="Calibri"/>
          <w:vertAlign w:val="subscript"/>
        </w:rPr>
        <w:t>4</w:t>
      </w:r>
      <w:r w:rsidRPr="009E06AA">
        <w:rPr>
          <w:rFonts w:cs="Calibri"/>
        </w:rPr>
        <w:t xml:space="preserve"> emissions from </w:t>
      </w:r>
      <w:r w:rsidRPr="009E06AA">
        <w:rPr>
          <w:rFonts w:cs="Calibri"/>
          <w:i/>
          <w:iCs/>
        </w:rPr>
        <w:t>Enteric fermentation</w:t>
      </w:r>
      <w:r w:rsidRPr="009E06AA">
        <w:rPr>
          <w:rFonts w:cs="Calibri"/>
        </w:rPr>
        <w:t>. The projects described below outline research focused specifically on the </w:t>
      </w:r>
      <w:r w:rsidRPr="009E06AA">
        <w:rPr>
          <w:rFonts w:cs="Calibri"/>
          <w:i/>
          <w:iCs/>
        </w:rPr>
        <w:t>Enteric fermentation</w:t>
      </w:r>
      <w:r w:rsidRPr="009E06AA">
        <w:rPr>
          <w:rFonts w:cs="Calibri"/>
        </w:rPr>
        <w:t xml:space="preserve"> reporting category of the Agriculture inventory sector, although several cross-cutting, broader projects that will improve the accuracy of emissions estimates in multiple categories (including </w:t>
      </w:r>
      <w:r w:rsidRPr="009E06AA">
        <w:rPr>
          <w:rFonts w:cs="Calibri"/>
          <w:i/>
        </w:rPr>
        <w:t>Enteric fermentation</w:t>
      </w:r>
      <w:r w:rsidRPr="009E06AA">
        <w:rPr>
          <w:rFonts w:cs="Calibri"/>
        </w:rPr>
        <w:t xml:space="preserve">, </w:t>
      </w:r>
      <w:r w:rsidRPr="009E06AA">
        <w:rPr>
          <w:rFonts w:cs="Calibri"/>
          <w:i/>
        </w:rPr>
        <w:t>Manure management</w:t>
      </w:r>
      <w:r w:rsidRPr="009E06AA">
        <w:rPr>
          <w:rFonts w:cs="Calibri"/>
        </w:rPr>
        <w:t xml:space="preserve"> and </w:t>
      </w:r>
      <w:r w:rsidRPr="009E06AA">
        <w:rPr>
          <w:rFonts w:cs="Calibri"/>
          <w:i/>
          <w:iCs/>
        </w:rPr>
        <w:t>Agricultural soils</w:t>
      </w:r>
      <w:r w:rsidRPr="009E06AA">
        <w:rPr>
          <w:rFonts w:cs="Calibri"/>
        </w:rPr>
        <w:t>) are described in section 5.1.7.</w:t>
      </w:r>
    </w:p>
    <w:p w14:paraId="4FE4ED4E" w14:textId="77777777" w:rsidR="007523B8" w:rsidRPr="009E06AA" w:rsidRDefault="007523B8" w:rsidP="00BF2A76">
      <w:pPr>
        <w:pStyle w:val="Heading5"/>
      </w:pPr>
      <w:r w:rsidRPr="009E06AA">
        <w:t>Development of a gene flow sub-model for sheep to account for increasing use of low</w:t>
      </w:r>
      <w:r w:rsidRPr="009E06AA">
        <w:noBreakHyphen/>
        <w:t xml:space="preserve">methane rams across the sheep sector </w:t>
      </w:r>
    </w:p>
    <w:p w14:paraId="1C70AF2A" w14:textId="77777777" w:rsidR="007523B8" w:rsidRPr="009E06AA" w:rsidRDefault="007523B8" w:rsidP="00EF0AC4">
      <w:pPr>
        <w:pStyle w:val="BodyText"/>
        <w:spacing w:before="100" w:after="100"/>
      </w:pPr>
      <w:r w:rsidRPr="009E06AA">
        <w:t xml:space="preserve">Research in </w:t>
      </w:r>
      <w:r w:rsidRPr="009E06AA" w:rsidDel="00883D4F">
        <w:rPr>
          <w:rFonts w:cs="Calibri"/>
        </w:rPr>
        <w:t xml:space="preserve">New </w:t>
      </w:r>
      <w:r w:rsidRPr="009E06AA">
        <w:rPr>
          <w:rFonts w:cs="Calibri"/>
        </w:rPr>
        <w:t>Zealand</w:t>
      </w:r>
      <w:r w:rsidRPr="009E06AA">
        <w:t xml:space="preserve"> during the past two decades has proven that breeding sheep with lower </w:t>
      </w:r>
      <w:r w:rsidRPr="009E06AA">
        <w:rPr>
          <w:rFonts w:cs="Calibri"/>
        </w:rPr>
        <w:t>CH</w:t>
      </w:r>
      <w:r w:rsidRPr="009E06AA">
        <w:rPr>
          <w:rFonts w:cs="Calibri"/>
          <w:vertAlign w:val="subscript"/>
        </w:rPr>
        <w:t>4</w:t>
      </w:r>
      <w:r w:rsidRPr="009E06AA">
        <w:rPr>
          <w:rFonts w:cs="Calibri"/>
        </w:rPr>
        <w:t xml:space="preserve"> </w:t>
      </w:r>
      <w:r w:rsidRPr="009E06AA">
        <w:t xml:space="preserve">emissions per unit of DMI is feasible. A deterministic gene flow model has been developed to account for the emissions reduction due to the use of this mitigation in the </w:t>
      </w:r>
      <w:r w:rsidRPr="009E06AA" w:rsidDel="00076797">
        <w:rPr>
          <w:rFonts w:cs="Calibri"/>
        </w:rPr>
        <w:t>New</w:t>
      </w:r>
      <w:r w:rsidRPr="009E06AA">
        <w:rPr>
          <w:rFonts w:cs="Calibri"/>
        </w:rPr>
        <w:t> Zealand</w:t>
      </w:r>
      <w:r w:rsidRPr="009E06AA">
        <w:t xml:space="preserve"> sheep industry. The core functionality of the model is to track the impact of the use of low-methane rams in the national sheep flock. This involves tracking the number of ‘expressions’ of genetic merit observed in both the rams, and descendants of each of the ram teams used, and then calculating the impact on emissions according to changes in ram merit over time and the introduction of their genes into the general sheep population. </w:t>
      </w:r>
    </w:p>
    <w:p w14:paraId="29FCB254" w14:textId="77777777" w:rsidR="007523B8" w:rsidRPr="009E06AA" w:rsidRDefault="007523B8" w:rsidP="00BF2A76">
      <w:pPr>
        <w:pStyle w:val="Heading5"/>
      </w:pPr>
      <w:r w:rsidRPr="009E06AA">
        <w:t>Development of a national repository of relative genetic merit of New Zealand sheep</w:t>
      </w:r>
    </w:p>
    <w:p w14:paraId="5E5212B6" w14:textId="77777777" w:rsidR="007523B8" w:rsidRPr="009E06AA" w:rsidRDefault="007523B8" w:rsidP="00EF0AC4">
      <w:pPr>
        <w:pStyle w:val="BodyText"/>
        <w:spacing w:before="100" w:after="100"/>
        <w:rPr>
          <w:rFonts w:eastAsiaTheme="minorHAnsi"/>
          <w:lang w:eastAsia="en-US"/>
        </w:rPr>
      </w:pPr>
      <w:r w:rsidRPr="009E06AA">
        <w:rPr>
          <w:rFonts w:eastAsiaTheme="minorHAnsi"/>
          <w:lang w:eastAsia="en-US"/>
        </w:rPr>
        <w:t xml:space="preserve">The successful implementation of a gene flow model requires genetic activity data. This research will modify an existing industry database to enable commercial farmers to update their associated </w:t>
      </w:r>
      <w:r w:rsidRPr="009E06AA">
        <w:rPr>
          <w:rFonts w:cs="Calibri"/>
        </w:rPr>
        <w:t>CH</w:t>
      </w:r>
      <w:r w:rsidRPr="009E06AA">
        <w:rPr>
          <w:rFonts w:cs="Calibri"/>
          <w:vertAlign w:val="subscript"/>
        </w:rPr>
        <w:t>4</w:t>
      </w:r>
      <w:r w:rsidRPr="009E06AA">
        <w:rPr>
          <w:rFonts w:cs="Calibri"/>
        </w:rPr>
        <w:t xml:space="preserve"> </w:t>
      </w:r>
      <w:r w:rsidRPr="009E06AA">
        <w:rPr>
          <w:rFonts w:eastAsiaTheme="minorHAnsi"/>
          <w:lang w:eastAsia="en-US"/>
        </w:rPr>
        <w:t xml:space="preserve">breeding values. This will include standardising the way </w:t>
      </w:r>
      <w:r w:rsidRPr="009E06AA">
        <w:rPr>
          <w:rFonts w:cs="Calibri"/>
        </w:rPr>
        <w:t>CH</w:t>
      </w:r>
      <w:r w:rsidRPr="009E06AA">
        <w:rPr>
          <w:rFonts w:cs="Calibri"/>
          <w:vertAlign w:val="subscript"/>
        </w:rPr>
        <w:t>4</w:t>
      </w:r>
      <w:r w:rsidRPr="009E06AA">
        <w:rPr>
          <w:rFonts w:cs="Calibri"/>
        </w:rPr>
        <w:t xml:space="preserve"> </w:t>
      </w:r>
      <w:r w:rsidRPr="009E06AA">
        <w:rPr>
          <w:rFonts w:eastAsiaTheme="minorHAnsi"/>
          <w:lang w:eastAsia="en-US"/>
        </w:rPr>
        <w:t xml:space="preserve">breeding values are recorded, developing conversion between existing genetic metrics and standard metrics, and implementation of the database. </w:t>
      </w:r>
    </w:p>
    <w:p w14:paraId="0DA4B3ED" w14:textId="77777777" w:rsidR="007523B8" w:rsidRPr="009E06AA" w:rsidRDefault="007523B8" w:rsidP="00BF2A76">
      <w:pPr>
        <w:pStyle w:val="Heading5"/>
      </w:pPr>
      <w:r w:rsidRPr="009E06AA">
        <w:t>Improving emissions from minor animal categories</w:t>
      </w:r>
    </w:p>
    <w:p w14:paraId="02973C7B" w14:textId="77777777" w:rsidR="007523B8" w:rsidRPr="009E06AA" w:rsidRDefault="007523B8" w:rsidP="007523B8">
      <w:pPr>
        <w:pStyle w:val="BodyText"/>
        <w:spacing w:before="100" w:after="100"/>
        <w:rPr>
          <w:rFonts w:asciiTheme="minorHAnsi" w:hAnsiTheme="minorHAnsi" w:cstheme="minorHAnsi"/>
        </w:rPr>
      </w:pPr>
      <w:r w:rsidRPr="009E06AA">
        <w:rPr>
          <w:rFonts w:eastAsiaTheme="minorHAnsi"/>
          <w:spacing w:val="-2"/>
          <w:lang w:eastAsia="en-US"/>
        </w:rPr>
        <w:t>Emissions from minor animal categories (</w:t>
      </w:r>
      <w:r w:rsidRPr="009E06AA">
        <w:rPr>
          <w:rFonts w:eastAsiaTheme="minorHAnsi"/>
          <w:i/>
          <w:iCs/>
          <w:spacing w:val="-2"/>
          <w:lang w:eastAsia="en-US"/>
        </w:rPr>
        <w:t>Goats</w:t>
      </w:r>
      <w:r w:rsidRPr="009E06AA">
        <w:rPr>
          <w:rFonts w:eastAsiaTheme="minorHAnsi"/>
          <w:spacing w:val="-2"/>
          <w:lang w:eastAsia="en-US"/>
        </w:rPr>
        <w:t xml:space="preserve">, </w:t>
      </w:r>
      <w:r w:rsidRPr="009E06AA">
        <w:rPr>
          <w:rFonts w:eastAsiaTheme="minorHAnsi"/>
          <w:i/>
          <w:iCs/>
          <w:spacing w:val="-2"/>
          <w:lang w:eastAsia="en-US"/>
        </w:rPr>
        <w:t>Horses</w:t>
      </w:r>
      <w:r w:rsidRPr="009E06AA">
        <w:rPr>
          <w:rFonts w:eastAsiaTheme="minorHAnsi"/>
          <w:spacing w:val="-2"/>
          <w:lang w:eastAsia="en-US"/>
        </w:rPr>
        <w:t xml:space="preserve">, </w:t>
      </w:r>
      <w:r w:rsidRPr="009E06AA">
        <w:rPr>
          <w:rFonts w:eastAsiaTheme="minorHAnsi"/>
          <w:i/>
          <w:iCs/>
          <w:spacing w:val="-2"/>
          <w:lang w:eastAsia="en-US"/>
        </w:rPr>
        <w:t>Mules and asses</w:t>
      </w:r>
      <w:r w:rsidRPr="009E06AA">
        <w:rPr>
          <w:rFonts w:eastAsiaTheme="minorHAnsi"/>
          <w:spacing w:val="-2"/>
          <w:lang w:eastAsia="en-US"/>
        </w:rPr>
        <w:t xml:space="preserve">, </w:t>
      </w:r>
      <w:r w:rsidRPr="009E06AA">
        <w:rPr>
          <w:rFonts w:eastAsiaTheme="minorHAnsi"/>
          <w:i/>
          <w:iCs/>
          <w:spacing w:val="-2"/>
          <w:lang w:eastAsia="en-US"/>
        </w:rPr>
        <w:t>Swine</w:t>
      </w:r>
      <w:r w:rsidRPr="009E06AA">
        <w:rPr>
          <w:rFonts w:eastAsiaTheme="minorHAnsi"/>
          <w:spacing w:val="-2"/>
          <w:lang w:eastAsia="en-US"/>
        </w:rPr>
        <w:t xml:space="preserve">, </w:t>
      </w:r>
      <w:r w:rsidRPr="009E06AA">
        <w:rPr>
          <w:rFonts w:eastAsiaTheme="minorHAnsi"/>
          <w:i/>
          <w:iCs/>
          <w:spacing w:val="-2"/>
          <w:lang w:eastAsia="en-US"/>
        </w:rPr>
        <w:t>Poultry</w:t>
      </w:r>
      <w:r w:rsidRPr="009E06AA">
        <w:rPr>
          <w:rFonts w:eastAsiaTheme="minorHAnsi"/>
          <w:spacing w:val="-2"/>
          <w:lang w:eastAsia="en-US"/>
        </w:rPr>
        <w:t xml:space="preserve">, </w:t>
      </w:r>
      <w:r w:rsidRPr="009E06AA">
        <w:rPr>
          <w:rFonts w:eastAsiaTheme="minorHAnsi"/>
          <w:i/>
          <w:iCs/>
          <w:spacing w:val="-2"/>
          <w:lang w:eastAsia="en-US"/>
        </w:rPr>
        <w:t>Llamas</w:t>
      </w:r>
      <w:r w:rsidRPr="009E06AA">
        <w:rPr>
          <w:rFonts w:eastAsiaTheme="minorHAnsi"/>
          <w:i/>
          <w:iCs/>
          <w:lang w:eastAsia="en-US"/>
        </w:rPr>
        <w:t xml:space="preserve"> and alpacas</w:t>
      </w:r>
      <w:r w:rsidRPr="009E06AA">
        <w:rPr>
          <w:rFonts w:eastAsiaTheme="minorHAnsi"/>
          <w:lang w:eastAsia="en-US"/>
        </w:rPr>
        <w:t xml:space="preserve">) are currently estimated using a Tier 1 methodology, using a combination of </w:t>
      </w:r>
      <w:r w:rsidRPr="009E06AA">
        <w:rPr>
          <w:rFonts w:eastAsiaTheme="minorHAnsi"/>
          <w:spacing w:val="-2"/>
          <w:lang w:eastAsia="en-US"/>
        </w:rPr>
        <w:t xml:space="preserve">country-specific and IPCC default emission factors. This project has undertaken a </w:t>
      </w:r>
      <w:r w:rsidRPr="009E06AA">
        <w:rPr>
          <w:spacing w:val="-2"/>
        </w:rPr>
        <w:t>comprehensive</w:t>
      </w:r>
      <w:r w:rsidRPr="009E06AA">
        <w:t xml:space="preserve"> </w:t>
      </w:r>
      <w:r w:rsidRPr="009E06AA">
        <w:rPr>
          <w:rFonts w:asciiTheme="minorHAnsi" w:hAnsiTheme="minorHAnsi" w:cstheme="minorHAnsi"/>
        </w:rPr>
        <w:t xml:space="preserve">review of stock estimates and assumptions applied to the minor animal categories. The </w:t>
      </w:r>
      <w:r w:rsidRPr="009E06AA">
        <w:rPr>
          <w:rFonts w:asciiTheme="minorHAnsi" w:hAnsiTheme="minorHAnsi" w:cstheme="minorHAnsi"/>
          <w:spacing w:val="-2"/>
        </w:rPr>
        <w:t>recommendations in this work will be considered for inclusion in the 2025 inventory submission</w:t>
      </w:r>
      <w:r w:rsidRPr="009E06AA">
        <w:rPr>
          <w:rFonts w:asciiTheme="minorHAnsi" w:hAnsiTheme="minorHAnsi" w:cstheme="minorHAnsi"/>
        </w:rPr>
        <w:t xml:space="preserve">. </w:t>
      </w:r>
    </w:p>
    <w:p w14:paraId="7EF7E2B1" w14:textId="77777777" w:rsidR="007523B8" w:rsidRPr="009E06AA" w:rsidRDefault="007523B8" w:rsidP="009F1EA1">
      <w:pPr>
        <w:pStyle w:val="BodyText"/>
        <w:spacing w:after="100"/>
      </w:pPr>
      <w:r w:rsidRPr="009E06AA">
        <w:t xml:space="preserve">This project developed a multi-year population model for goats that has enabled a close evaluation of reported stock estimates for the dairy, meat and fibre goat industries over time. With considerable uncertainty over the composition of the national herds, a series of recommendations has been developed to enable improvements to the Agriculture inventory model and potential transition to a Tier 2 reporting methodology. These will need to be supported by further data on the dairy goat industry to reduce uncertainty. </w:t>
      </w:r>
    </w:p>
    <w:p w14:paraId="06C0A05C" w14:textId="77777777" w:rsidR="007523B8" w:rsidRPr="009E06AA" w:rsidRDefault="007523B8" w:rsidP="00A56DC4">
      <w:pPr>
        <w:pStyle w:val="Heading5"/>
        <w:spacing w:before="200"/>
      </w:pPr>
      <w:r w:rsidRPr="009E06AA">
        <w:t>Methane emissions from supplemented dairy cows</w:t>
      </w:r>
    </w:p>
    <w:p w14:paraId="26D49DCC" w14:textId="77777777" w:rsidR="007523B8" w:rsidRPr="009E06AA" w:rsidRDefault="007523B8" w:rsidP="009F1EA1">
      <w:pPr>
        <w:pStyle w:val="BodyText"/>
        <w:spacing w:before="100" w:after="100"/>
      </w:pPr>
      <w:r w:rsidRPr="009E06AA">
        <w:t xml:space="preserve">This project will determine </w:t>
      </w:r>
      <w:r w:rsidRPr="009E06AA">
        <w:rPr>
          <w:rFonts w:cs="Calibri"/>
        </w:rPr>
        <w:t>CH</w:t>
      </w:r>
      <w:r w:rsidRPr="009E06AA">
        <w:rPr>
          <w:rFonts w:cs="Calibri"/>
          <w:vertAlign w:val="subscript"/>
        </w:rPr>
        <w:t>4</w:t>
      </w:r>
      <w:r w:rsidRPr="009E06AA">
        <w:rPr>
          <w:rFonts w:cs="Calibri"/>
        </w:rPr>
        <w:t xml:space="preserve"> </w:t>
      </w:r>
      <w:r w:rsidRPr="009E06AA">
        <w:t xml:space="preserve">emissions, using several measurement techniques, from early to mid-lactation dairy cows grazing ryegrass-based pasture and feed graded levels of concentrates (two contrasting types, for example, starch-rich and fibre-rich). These new data will be combined with relevant existing data from New Zealand and international databases on </w:t>
      </w:r>
      <w:r w:rsidRPr="009E06AA">
        <w:rPr>
          <w:rFonts w:cs="Calibri"/>
        </w:rPr>
        <w:t>CH</w:t>
      </w:r>
      <w:r w:rsidRPr="009E06AA">
        <w:rPr>
          <w:rFonts w:cs="Calibri"/>
          <w:vertAlign w:val="subscript"/>
        </w:rPr>
        <w:t>4</w:t>
      </w:r>
      <w:r w:rsidRPr="009E06AA">
        <w:rPr>
          <w:rFonts w:cs="Calibri"/>
        </w:rPr>
        <w:t xml:space="preserve"> </w:t>
      </w:r>
      <w:r w:rsidRPr="009E06AA">
        <w:t>emissions from dairy cattle fed pasture plus supplements. This will be used to determine if CH</w:t>
      </w:r>
      <w:r w:rsidRPr="009E06AA">
        <w:rPr>
          <w:vertAlign w:val="subscript"/>
        </w:rPr>
        <w:t>4</w:t>
      </w:r>
      <w:r w:rsidRPr="009E06AA">
        <w:t xml:space="preserve"> emissions differ between dairy cattle fed (i) pasture alone or (ii) pasture with concentrate supplementation, including if there are any differences in CH</w:t>
      </w:r>
      <w:r w:rsidRPr="009E06AA">
        <w:rPr>
          <w:vertAlign w:val="subscript"/>
        </w:rPr>
        <w:t>4</w:t>
      </w:r>
      <w:r w:rsidRPr="009E06AA">
        <w:t xml:space="preserve"> emissions per unit of DMI.</w:t>
      </w:r>
    </w:p>
    <w:p w14:paraId="45B673AD" w14:textId="77777777" w:rsidR="007523B8" w:rsidRPr="009E06AA" w:rsidRDefault="007523B8" w:rsidP="00A56DC4">
      <w:pPr>
        <w:pStyle w:val="Heading5"/>
        <w:spacing w:before="200"/>
      </w:pPr>
      <w:r w:rsidRPr="009E06AA">
        <w:t>Integrative greenhouse gas evaluation of forages</w:t>
      </w:r>
    </w:p>
    <w:p w14:paraId="03808227" w14:textId="77777777" w:rsidR="007523B8" w:rsidRPr="009E06AA" w:rsidRDefault="007523B8" w:rsidP="009F1EA1">
      <w:pPr>
        <w:pStyle w:val="BodyText"/>
        <w:spacing w:before="100" w:after="100"/>
      </w:pPr>
      <w:r w:rsidRPr="009E06AA">
        <w:t>Forage rape (</w:t>
      </w:r>
      <w:r w:rsidRPr="009E06AA">
        <w:rPr>
          <w:i/>
          <w:iCs/>
        </w:rPr>
        <w:t>Brassica napus</w:t>
      </w:r>
      <w:r w:rsidRPr="009E06AA">
        <w:t>) and plantain (</w:t>
      </w:r>
      <w:r w:rsidRPr="009E06AA">
        <w:rPr>
          <w:i/>
          <w:iCs/>
        </w:rPr>
        <w:t>Plantago lanceolata</w:t>
      </w:r>
      <w:r w:rsidRPr="009E06AA">
        <w:t xml:space="preserve">) have been identified as forages with the potential to reduce </w:t>
      </w:r>
      <w:r w:rsidRPr="009E06AA">
        <w:rPr>
          <w:rFonts w:cs="Calibri"/>
        </w:rPr>
        <w:t>CH</w:t>
      </w:r>
      <w:r w:rsidRPr="009E06AA">
        <w:rPr>
          <w:rFonts w:cs="Calibri"/>
          <w:vertAlign w:val="subscript"/>
        </w:rPr>
        <w:t>4</w:t>
      </w:r>
      <w:r w:rsidRPr="009E06AA">
        <w:rPr>
          <w:rFonts w:cs="Calibri"/>
        </w:rPr>
        <w:t xml:space="preserve"> </w:t>
      </w:r>
      <w:r w:rsidRPr="009E06AA">
        <w:t>emissions per unit of dry matter eaten, as well as reducing the direct and indirect N</w:t>
      </w:r>
      <w:r w:rsidRPr="009E06AA">
        <w:rPr>
          <w:vertAlign w:val="subscript"/>
        </w:rPr>
        <w:t>2</w:t>
      </w:r>
      <w:r w:rsidRPr="009E06AA">
        <w:t xml:space="preserve">O emissions from urine patches. The effect of growing and grazing these forages on soil carbon stocks is largely unknown. While previous studies have identified some emission reduction potential from their use, these findings need to be integrated across all greenhouse gases and whole-year operations, to quantify their overall emissions reduction potential, including implications for soil carbon. These forages are used differently in farming practice: forage rape is a crop grown in cultivated ground and used over short periods as supplementary feed. In contrast, plantain is commonly used in pasture mixes with grasses and legumes throughout the year. </w:t>
      </w:r>
    </w:p>
    <w:p w14:paraId="740DBE86" w14:textId="77777777" w:rsidR="007523B8" w:rsidRPr="009E06AA" w:rsidRDefault="007523B8" w:rsidP="00A56DC4">
      <w:pPr>
        <w:pStyle w:val="Heading5"/>
        <w:spacing w:before="200"/>
      </w:pPr>
      <w:r w:rsidRPr="009E06AA">
        <w:t>Improving information on feeding practices in dairy farming systems</w:t>
      </w:r>
    </w:p>
    <w:p w14:paraId="4E5308E6" w14:textId="77777777" w:rsidR="007523B8" w:rsidRPr="009E06AA" w:rsidRDefault="007523B8" w:rsidP="007523B8">
      <w:pPr>
        <w:pStyle w:val="BodyText"/>
        <w:spacing w:before="100" w:after="100"/>
      </w:pPr>
      <w:r w:rsidRPr="009E06AA">
        <w:t>This research will estimate the number of dairy cattle in different farm systems and the likely timing and difference in diets between 1990 and the present. Typical farming systems used in the New Zealand dairy sector are outlined by DairyNZ.</w:t>
      </w:r>
      <w:r w:rsidRPr="009E06AA">
        <w:rPr>
          <w:rStyle w:val="FootnoteReference"/>
        </w:rPr>
        <w:footnoteReference w:id="37"/>
      </w:r>
    </w:p>
    <w:p w14:paraId="628940E2" w14:textId="77777777" w:rsidR="007523B8" w:rsidRPr="009E06AA" w:rsidRDefault="007523B8" w:rsidP="007523B8">
      <w:pPr>
        <w:pStyle w:val="Heading2"/>
        <w:spacing w:before="280"/>
      </w:pPr>
      <w:bookmarkStart w:id="1023" w:name="_Toc32570657"/>
      <w:bookmarkStart w:id="1024" w:name="_Toc36224403"/>
      <w:bookmarkStart w:id="1025" w:name="_Toc68786323"/>
      <w:bookmarkStart w:id="1026" w:name="_Toc131591238"/>
      <w:bookmarkStart w:id="1027" w:name="_Toc164154192"/>
      <w:r w:rsidRPr="009E06AA">
        <w:t>5.3</w:t>
      </w:r>
      <w:bookmarkStart w:id="1028" w:name="Manure_Management"/>
      <w:r w:rsidRPr="009E06AA">
        <w:tab/>
        <w:t xml:space="preserve">Manure management </w:t>
      </w:r>
      <w:bookmarkEnd w:id="1028"/>
      <w:r w:rsidRPr="009E06AA">
        <w:t>(3.B)</w:t>
      </w:r>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3"/>
      <w:bookmarkEnd w:id="1024"/>
      <w:bookmarkEnd w:id="1025"/>
      <w:bookmarkEnd w:id="1026"/>
      <w:bookmarkEnd w:id="1027"/>
    </w:p>
    <w:p w14:paraId="468B1C6E" w14:textId="77777777" w:rsidR="007523B8" w:rsidRPr="009E06AA" w:rsidRDefault="007523B8" w:rsidP="005119E7">
      <w:pPr>
        <w:pStyle w:val="Heading3"/>
        <w:spacing w:before="160"/>
      </w:pPr>
      <w:bookmarkStart w:id="1029" w:name="_Toc32570658"/>
      <w:bookmarkStart w:id="1030" w:name="_Toc139253925"/>
      <w:r w:rsidRPr="009E06AA">
        <w:t>5.3.1</w:t>
      </w:r>
      <w:r w:rsidRPr="009E06AA">
        <w:tab/>
        <w:t>Category description</w:t>
      </w:r>
      <w:bookmarkEnd w:id="1029"/>
      <w:r w:rsidRPr="009E06AA">
        <w:t xml:space="preserve"> </w:t>
      </w:r>
    </w:p>
    <w:p w14:paraId="61CE8B3D" w14:textId="77777777" w:rsidR="007523B8" w:rsidRPr="009E06AA" w:rsidRDefault="007523B8" w:rsidP="007523B8">
      <w:pPr>
        <w:pStyle w:val="BodyText"/>
        <w:spacing w:before="80" w:after="100"/>
      </w:pPr>
      <w:r w:rsidRPr="009E06AA">
        <w:t xml:space="preserve">Most emissions from the </w:t>
      </w:r>
      <w:r w:rsidRPr="009E06AA">
        <w:rPr>
          <w:i/>
          <w:iCs/>
        </w:rPr>
        <w:t>Manure management</w:t>
      </w:r>
      <w:r w:rsidRPr="009E06AA">
        <w:t xml:space="preserve"> category are from </w:t>
      </w:r>
      <w:r w:rsidRPr="009E06AA">
        <w:rPr>
          <w:rFonts w:cs="Calibri"/>
        </w:rPr>
        <w:t>CH</w:t>
      </w:r>
      <w:r w:rsidRPr="009E06AA">
        <w:rPr>
          <w:rFonts w:cs="Calibri"/>
          <w:vertAlign w:val="subscript"/>
        </w:rPr>
        <w:t>4</w:t>
      </w:r>
      <w:r w:rsidRPr="009E06AA">
        <w:rPr>
          <w:rFonts w:cs="Calibri"/>
        </w:rPr>
        <w:t xml:space="preserve"> </w:t>
      </w:r>
      <w:r w:rsidRPr="009E06AA">
        <w:t>produced during the storage and treatment of manure, and from manure deposited on pasture. The category also includes N</w:t>
      </w:r>
      <w:r w:rsidRPr="009E06AA">
        <w:rPr>
          <w:vertAlign w:val="subscript"/>
        </w:rPr>
        <w:t>2</w:t>
      </w:r>
      <w:r w:rsidRPr="009E06AA">
        <w:t>O emissions produced during the storage and treatment of manure. It does not include N</w:t>
      </w:r>
      <w:r w:rsidRPr="009E06AA">
        <w:rPr>
          <w:vertAlign w:val="subscript"/>
        </w:rPr>
        <w:t>2</w:t>
      </w:r>
      <w:r w:rsidRPr="009E06AA">
        <w:t xml:space="preserve">O emissions from the spreading of animal manure and from manure deposited directly onto pasture by grazing livestock. Instead, emissions from these sources are included in the </w:t>
      </w:r>
      <w:r w:rsidRPr="009E06AA">
        <w:rPr>
          <w:i/>
          <w:iCs/>
        </w:rPr>
        <w:t>Agricultural soils</w:t>
      </w:r>
      <w:r w:rsidRPr="009E06AA">
        <w:t xml:space="preserve"> category (under </w:t>
      </w:r>
      <w:r w:rsidRPr="009E06AA">
        <w:rPr>
          <w:i/>
          <w:iCs/>
        </w:rPr>
        <w:t>Organic nitrogen fertilisers</w:t>
      </w:r>
      <w:r w:rsidRPr="009E06AA">
        <w:t xml:space="preserve"> and </w:t>
      </w:r>
      <w:r w:rsidRPr="009E06AA">
        <w:rPr>
          <w:i/>
          <w:iCs/>
        </w:rPr>
        <w:t>Urine and dung deposited by grazing animals</w:t>
      </w:r>
      <w:r w:rsidRPr="009E06AA">
        <w:t xml:space="preserve"> respectively).</w:t>
      </w:r>
    </w:p>
    <w:p w14:paraId="4BC096D9" w14:textId="77777777" w:rsidR="007523B8" w:rsidRPr="009E06AA" w:rsidRDefault="007523B8" w:rsidP="007523B8">
      <w:pPr>
        <w:pStyle w:val="BodyText"/>
        <w:spacing w:before="100" w:after="100"/>
      </w:pPr>
      <w:r w:rsidRPr="009E06AA">
        <w:t xml:space="preserve">Methane is produced when manure decomposes in the absence of oxygen (anaerobic conditions). When manure is stored or treated as a liquid (e.g., in lagoons or ponds), it decomposes anaerobically and can produce </w:t>
      </w:r>
      <w:r w:rsidRPr="009E06AA">
        <w:rPr>
          <w:rFonts w:cs="Calibri"/>
        </w:rPr>
        <w:t>CH</w:t>
      </w:r>
      <w:r w:rsidRPr="009E06AA">
        <w:rPr>
          <w:rFonts w:cs="Calibri"/>
          <w:vertAlign w:val="subscript"/>
        </w:rPr>
        <w:t>4</w:t>
      </w:r>
      <w:r w:rsidRPr="009E06AA">
        <w:t xml:space="preserve">. The temperature and the length of time spent in storage also affect the cumulative amount of </w:t>
      </w:r>
      <w:r w:rsidRPr="009E06AA">
        <w:rPr>
          <w:rFonts w:cs="Calibri"/>
        </w:rPr>
        <w:t>CH</w:t>
      </w:r>
      <w:r w:rsidRPr="009E06AA">
        <w:rPr>
          <w:rFonts w:cs="Calibri"/>
          <w:vertAlign w:val="subscript"/>
        </w:rPr>
        <w:t>4</w:t>
      </w:r>
      <w:r w:rsidRPr="009E06AA">
        <w:rPr>
          <w:rFonts w:cs="Calibri"/>
        </w:rPr>
        <w:t xml:space="preserve"> </w:t>
      </w:r>
      <w:r w:rsidRPr="009E06AA">
        <w:t xml:space="preserve">produced over the inventory year. When manure is handled as a solid or deposited directly on pastures, it tends to decompose under aerobic conditions and less </w:t>
      </w:r>
      <w:r w:rsidRPr="009E06AA">
        <w:rPr>
          <w:rFonts w:cs="Calibri"/>
        </w:rPr>
        <w:t>CH</w:t>
      </w:r>
      <w:r w:rsidRPr="009E06AA">
        <w:rPr>
          <w:rFonts w:cs="Calibri"/>
          <w:vertAlign w:val="subscript"/>
        </w:rPr>
        <w:t>4</w:t>
      </w:r>
      <w:r w:rsidRPr="009E06AA">
        <w:rPr>
          <w:rFonts w:cs="Calibri"/>
        </w:rPr>
        <w:t> </w:t>
      </w:r>
      <w:r w:rsidRPr="009E06AA">
        <w:t xml:space="preserve">is produced overall. The main factors affecting </w:t>
      </w:r>
      <w:r w:rsidRPr="009E06AA">
        <w:rPr>
          <w:rFonts w:cs="Calibri"/>
        </w:rPr>
        <w:t>CH</w:t>
      </w:r>
      <w:r w:rsidRPr="009E06AA">
        <w:rPr>
          <w:rFonts w:cs="Calibri"/>
          <w:vertAlign w:val="subscript"/>
        </w:rPr>
        <w:t>4</w:t>
      </w:r>
      <w:r w:rsidRPr="009E06AA">
        <w:rPr>
          <w:rFonts w:cs="Calibri"/>
        </w:rPr>
        <w:t xml:space="preserve"> </w:t>
      </w:r>
      <w:r w:rsidRPr="009E06AA">
        <w:t>emissions are the amount of manure produced and the portion of the manure that decomposes anaerobically. If more manure is produced, more manure decomposes and produces a greater quantity of CH</w:t>
      </w:r>
      <w:r w:rsidRPr="009E06AA">
        <w:rPr>
          <w:vertAlign w:val="subscript"/>
        </w:rPr>
        <w:t>4</w:t>
      </w:r>
      <w:r w:rsidRPr="009E06AA">
        <w:t>.</w:t>
      </w:r>
      <w:r w:rsidRPr="009E06AA">
        <w:rPr>
          <w:vertAlign w:val="subscript"/>
        </w:rPr>
        <w:t xml:space="preserve"> </w:t>
      </w:r>
      <w:r w:rsidRPr="009E06AA">
        <w:t>If a larger portion of manure decomposes anaerobically more CH</w:t>
      </w:r>
      <w:r w:rsidRPr="009E06AA">
        <w:rPr>
          <w:vertAlign w:val="subscript"/>
        </w:rPr>
        <w:t>4</w:t>
      </w:r>
      <w:r w:rsidRPr="009E06AA">
        <w:t xml:space="preserve"> will be produced. </w:t>
      </w:r>
    </w:p>
    <w:p w14:paraId="3667EE0E" w14:textId="77777777" w:rsidR="007523B8" w:rsidRPr="009E06AA" w:rsidRDefault="007523B8" w:rsidP="00142C5F">
      <w:pPr>
        <w:pStyle w:val="BodyText"/>
        <w:spacing w:after="100"/>
      </w:pPr>
      <w:r w:rsidRPr="009E06AA">
        <w:t>Nitrous oxide emissions from managed manure occur directly through the processes of nitrification and denitrification of the nitrogen contained in the manure. Nitrous oxide is also emitted indirectly through diffusion of oxides of nitrogen (NO</w:t>
      </w:r>
      <w:r w:rsidRPr="009E06AA">
        <w:rPr>
          <w:vertAlign w:val="subscript"/>
        </w:rPr>
        <w:t>x</w:t>
      </w:r>
      <w:r w:rsidRPr="009E06AA">
        <w:t xml:space="preserve">) into the surrounding air (volatilisation) or via leaching and runoff. As with </w:t>
      </w:r>
      <w:r w:rsidRPr="009E06AA">
        <w:rPr>
          <w:rFonts w:cs="Calibri"/>
        </w:rPr>
        <w:t>CH</w:t>
      </w:r>
      <w:r w:rsidRPr="009E06AA">
        <w:rPr>
          <w:rFonts w:cs="Calibri"/>
          <w:vertAlign w:val="subscript"/>
        </w:rPr>
        <w:t>4</w:t>
      </w:r>
      <w:r w:rsidRPr="009E06AA">
        <w:t>, the amount of manure N</w:t>
      </w:r>
      <w:r w:rsidRPr="009E06AA">
        <w:rPr>
          <w:vertAlign w:val="subscript"/>
        </w:rPr>
        <w:t>2</w:t>
      </w:r>
      <w:r w:rsidRPr="009E06AA">
        <w:t xml:space="preserve">O emissions produced depends on the system of waste management and the duration of storage. In New Zealand, most manure is deposited directly on pasture by grazing animals, with only a small proportion going into manure management systems. </w:t>
      </w:r>
    </w:p>
    <w:p w14:paraId="4C246627" w14:textId="0A9B9D3D" w:rsidR="007523B8" w:rsidRPr="009E06AA" w:rsidRDefault="007523B8" w:rsidP="00142C5F">
      <w:pPr>
        <w:pStyle w:val="BodyText"/>
        <w:spacing w:after="100"/>
      </w:pPr>
      <w:r w:rsidRPr="009E06AA">
        <w:t xml:space="preserve">Methane from </w:t>
      </w:r>
      <w:r w:rsidRPr="009E06AA">
        <w:rPr>
          <w:i/>
          <w:iCs/>
        </w:rPr>
        <w:t>Manure management</w:t>
      </w:r>
      <w:r w:rsidRPr="009E06AA">
        <w:t xml:space="preserve"> from </w:t>
      </w:r>
      <w:r w:rsidRPr="009E06AA">
        <w:rPr>
          <w:i/>
          <w:iCs/>
        </w:rPr>
        <w:t>Dairy</w:t>
      </w:r>
      <w:r w:rsidRPr="009E06AA">
        <w:rPr>
          <w:i/>
        </w:rPr>
        <w:t xml:space="preserve"> cattle</w:t>
      </w:r>
      <w:r w:rsidRPr="009E06AA">
        <w:t xml:space="preserve"> (level and trend assessment) and </w:t>
      </w:r>
      <w:r w:rsidRPr="009E06AA">
        <w:rPr>
          <w:i/>
          <w:iCs/>
        </w:rPr>
        <w:t>Sheep</w:t>
      </w:r>
      <w:r w:rsidR="00922303" w:rsidRPr="009E06AA">
        <w:rPr>
          <w:i/>
          <w:iCs/>
        </w:rPr>
        <w:t> </w:t>
      </w:r>
      <w:r w:rsidRPr="009E06AA">
        <w:t xml:space="preserve">(trend assessment) were identified as key categories for </w:t>
      </w:r>
      <w:r w:rsidRPr="009E06AA" w:rsidDel="00642536">
        <w:t>New</w:t>
      </w:r>
      <w:r w:rsidRPr="009E06AA">
        <w:t xml:space="preserve"> Zealand in 2022.</w:t>
      </w:r>
    </w:p>
    <w:p w14:paraId="2B6FC28E" w14:textId="77777777" w:rsidR="007523B8" w:rsidRPr="009E06AA" w:rsidRDefault="007523B8" w:rsidP="00142C5F">
      <w:pPr>
        <w:pStyle w:val="BodyText"/>
        <w:spacing w:after="100"/>
      </w:pPr>
      <w:r w:rsidRPr="009E06AA">
        <w:rPr>
          <w:i/>
          <w:iCs/>
        </w:rPr>
        <w:t>Manure management</w:t>
      </w:r>
      <w:r w:rsidRPr="009E06AA">
        <w:t xml:space="preserve"> contributed an estimated </w:t>
      </w:r>
      <w:r w:rsidRPr="009E06AA">
        <w:rPr>
          <w:color w:val="000000"/>
        </w:rPr>
        <w:t>1,901.6 kt CO</w:t>
      </w:r>
      <w:r w:rsidRPr="009E06AA">
        <w:rPr>
          <w:color w:val="000000"/>
          <w:vertAlign w:val="subscript"/>
        </w:rPr>
        <w:t>2</w:t>
      </w:r>
      <w:r w:rsidRPr="009E06AA">
        <w:t>-e, representing 4.6 per cent of Agriculture</w:t>
      </w:r>
      <w:r w:rsidRPr="009E06AA">
        <w:rPr>
          <w:i/>
          <w:iCs/>
        </w:rPr>
        <w:t xml:space="preserve"> </w:t>
      </w:r>
      <w:r w:rsidRPr="009E06AA">
        <w:t>emissions in 2022. Estimated emissions from this category consist of:</w:t>
      </w:r>
    </w:p>
    <w:p w14:paraId="79879A00" w14:textId="77777777" w:rsidR="007523B8" w:rsidRPr="009E06AA" w:rsidRDefault="007523B8" w:rsidP="00142C5F">
      <w:pPr>
        <w:pStyle w:val="Bullet"/>
        <w:spacing w:after="100"/>
      </w:pPr>
      <w:r w:rsidRPr="009E06AA">
        <w:rPr>
          <w:rFonts w:cs="Calibri"/>
        </w:rPr>
        <w:t>CH</w:t>
      </w:r>
      <w:r w:rsidRPr="009E06AA">
        <w:rPr>
          <w:rFonts w:cs="Calibri"/>
          <w:vertAlign w:val="subscript"/>
        </w:rPr>
        <w:t>4</w:t>
      </w:r>
      <w:r w:rsidRPr="009E06AA">
        <w:t xml:space="preserve"> emissions (94.9 per cent of </w:t>
      </w:r>
      <w:r w:rsidRPr="009E06AA">
        <w:rPr>
          <w:i/>
          <w:iCs/>
        </w:rPr>
        <w:t>Manure management</w:t>
      </w:r>
      <w:r w:rsidRPr="009E06AA">
        <w:t xml:space="preserve"> emissions)</w:t>
      </w:r>
    </w:p>
    <w:p w14:paraId="622BD8BA" w14:textId="77777777" w:rsidR="007523B8" w:rsidRPr="009E06AA" w:rsidRDefault="007523B8" w:rsidP="00142C5F">
      <w:pPr>
        <w:pStyle w:val="Bullet"/>
        <w:numPr>
          <w:ilvl w:val="0"/>
          <w:numId w:val="25"/>
        </w:numPr>
        <w:spacing w:after="100"/>
      </w:pPr>
      <w:r w:rsidRPr="009E06AA">
        <w:rPr>
          <w:rFonts w:eastAsia="Calibri" w:cs="Calibri"/>
          <w:bCs/>
        </w:rPr>
        <w:t>N</w:t>
      </w:r>
      <w:r w:rsidRPr="009E06AA">
        <w:rPr>
          <w:rFonts w:eastAsia="Calibri" w:cs="Calibri"/>
          <w:bCs/>
          <w:vertAlign w:val="subscript"/>
        </w:rPr>
        <w:t>2</w:t>
      </w:r>
      <w:r w:rsidRPr="009E06AA">
        <w:rPr>
          <w:rFonts w:eastAsia="Calibri" w:cs="Calibri"/>
          <w:bCs/>
        </w:rPr>
        <w:t>O</w:t>
      </w:r>
      <w:r w:rsidRPr="009E06AA">
        <w:t xml:space="preserve"> emissions (5.1 per cent of </w:t>
      </w:r>
      <w:r w:rsidRPr="009E06AA">
        <w:rPr>
          <w:i/>
          <w:iCs/>
        </w:rPr>
        <w:t xml:space="preserve">Manure management </w:t>
      </w:r>
      <w:r w:rsidRPr="009E06AA">
        <w:t>emissions).</w:t>
      </w:r>
    </w:p>
    <w:p w14:paraId="4726329C" w14:textId="77777777" w:rsidR="007523B8" w:rsidRPr="009E06AA" w:rsidRDefault="007523B8" w:rsidP="00142C5F">
      <w:pPr>
        <w:pStyle w:val="BodyText"/>
        <w:spacing w:after="100"/>
      </w:pPr>
      <w:r w:rsidRPr="009E06AA">
        <w:t>In 2022, N</w:t>
      </w:r>
      <w:r w:rsidRPr="009E06AA">
        <w:rPr>
          <w:vertAlign w:val="subscript"/>
        </w:rPr>
        <w:t>2</w:t>
      </w:r>
      <w:r w:rsidRPr="009E06AA">
        <w:t xml:space="preserve">O emissions from </w:t>
      </w:r>
      <w:r w:rsidRPr="009E06AA">
        <w:rPr>
          <w:i/>
          <w:iCs/>
        </w:rPr>
        <w:t>Manure management</w:t>
      </w:r>
      <w:r w:rsidRPr="009E06AA">
        <w:t xml:space="preserve"> totalled 97.9 kt CO</w:t>
      </w:r>
      <w:r w:rsidRPr="009E06AA">
        <w:rPr>
          <w:vertAlign w:val="subscript"/>
        </w:rPr>
        <w:t>2</w:t>
      </w:r>
      <w:r w:rsidRPr="009E06AA">
        <w:t>-e (0.2 per cent of gross emissions from the Agriculture sector) (see table 5.3.1). In comparison, the combined direct and indirect N</w:t>
      </w:r>
      <w:r w:rsidRPr="009E06AA">
        <w:rPr>
          <w:vertAlign w:val="subscript"/>
        </w:rPr>
        <w:t>2</w:t>
      </w:r>
      <w:r w:rsidRPr="009E06AA">
        <w:t xml:space="preserve">O emissions from organic fertilisers (spreading of animal manure) and manure deposited directly by grazing livestock reported in the </w:t>
      </w:r>
      <w:r w:rsidRPr="009E06AA">
        <w:rPr>
          <w:i/>
          <w:iCs/>
        </w:rPr>
        <w:t>Agricultural soils</w:t>
      </w:r>
      <w:r w:rsidRPr="009E06AA">
        <w:t xml:space="preserve"> category totalled 6,322.5 kt CO</w:t>
      </w:r>
      <w:r w:rsidRPr="009E06AA">
        <w:rPr>
          <w:vertAlign w:val="subscript"/>
        </w:rPr>
        <w:t>2</w:t>
      </w:r>
      <w:r w:rsidRPr="009E06AA">
        <w:t>-e in 2022 (15.2 per cent of emissions from the Agriculture sector).</w:t>
      </w:r>
    </w:p>
    <w:p w14:paraId="1F7058C0" w14:textId="77777777" w:rsidR="007523B8" w:rsidRPr="009E06AA" w:rsidRDefault="007523B8" w:rsidP="007523B8">
      <w:pPr>
        <w:pStyle w:val="Table"/>
        <w:rPr>
          <w:rFonts w:cs="Calibri"/>
        </w:rPr>
      </w:pPr>
      <w:bookmarkStart w:id="1031" w:name="_Toc32570920"/>
      <w:bookmarkStart w:id="1032" w:name="_Toc36224555"/>
      <w:bookmarkStart w:id="1033" w:name="_Toc68786440"/>
      <w:bookmarkStart w:id="1034" w:name="_Toc95574074"/>
      <w:bookmarkStart w:id="1035" w:name="_Toc127458259"/>
      <w:bookmarkStart w:id="1036" w:name="_Toc131591355"/>
      <w:bookmarkStart w:id="1037" w:name="_Toc160114447"/>
      <w:bookmarkStart w:id="1038" w:name="_Toc164153843"/>
      <w:r w:rsidRPr="009E06AA">
        <w:rPr>
          <w:rFonts w:cs="Calibri"/>
        </w:rPr>
        <w:t>Table 5.3.1</w:t>
      </w:r>
      <w:r w:rsidRPr="009E06AA">
        <w:rPr>
          <w:rFonts w:cs="Calibri"/>
        </w:rPr>
        <w:tab/>
        <w:t xml:space="preserve">Trends and relative contribution of methane and nitrous oxide emissions in the </w:t>
      </w:r>
      <w:r w:rsidRPr="009E06AA">
        <w:rPr>
          <w:rFonts w:cs="Calibri"/>
          <w:i/>
          <w:iCs/>
        </w:rPr>
        <w:t>Manure management</w:t>
      </w:r>
      <w:r w:rsidRPr="009E06AA">
        <w:rPr>
          <w:rFonts w:cs="Calibri"/>
        </w:rPr>
        <w:t xml:space="preserve"> category between 1990 and </w:t>
      </w:r>
      <w:bookmarkEnd w:id="1031"/>
      <w:bookmarkEnd w:id="1032"/>
      <w:bookmarkEnd w:id="1033"/>
      <w:bookmarkEnd w:id="1034"/>
      <w:r w:rsidRPr="009E06AA">
        <w:rPr>
          <w:rFonts w:cs="Calibri"/>
        </w:rPr>
        <w:t>202</w:t>
      </w:r>
      <w:bookmarkEnd w:id="1035"/>
      <w:bookmarkEnd w:id="1036"/>
      <w:r w:rsidRPr="009E06AA">
        <w:rPr>
          <w:rFonts w:cs="Calibri"/>
        </w:rPr>
        <w:t>2</w:t>
      </w:r>
      <w:bookmarkEnd w:id="1037"/>
      <w:bookmarkEnd w:id="1038"/>
    </w:p>
    <w:tbl>
      <w:tblPr>
        <w:tblW w:w="8505" w:type="dxa"/>
        <w:tblBorders>
          <w:top w:val="single" w:sz="4" w:space="0" w:color="1B556B" w:themeColor="text2"/>
          <w:bottom w:val="single" w:sz="4" w:space="0" w:color="1B556B" w:themeColor="text2"/>
          <w:insideH w:val="single" w:sz="4" w:space="0" w:color="1B556B" w:themeColor="text2"/>
        </w:tblBorders>
        <w:tblLayout w:type="fixed"/>
        <w:tblLook w:val="04A0" w:firstRow="1" w:lastRow="0" w:firstColumn="1" w:lastColumn="0" w:noHBand="0" w:noVBand="1"/>
      </w:tblPr>
      <w:tblGrid>
        <w:gridCol w:w="1948"/>
        <w:gridCol w:w="837"/>
        <w:gridCol w:w="838"/>
        <w:gridCol w:w="772"/>
        <w:gridCol w:w="1039"/>
        <w:gridCol w:w="837"/>
        <w:gridCol w:w="774"/>
        <w:gridCol w:w="733"/>
        <w:gridCol w:w="727"/>
      </w:tblGrid>
      <w:tr w:rsidR="007523B8" w:rsidRPr="009E06AA" w14:paraId="1E12DAAF" w14:textId="77777777" w:rsidTr="0013524C">
        <w:tc>
          <w:tcPr>
            <w:tcW w:w="1948" w:type="dxa"/>
            <w:vMerge w:val="restart"/>
            <w:tcBorders>
              <w:bottom w:val="nil"/>
            </w:tcBorders>
            <w:shd w:val="clear" w:color="auto" w:fill="1B556B"/>
            <w:vAlign w:val="bottom"/>
          </w:tcPr>
          <w:p w14:paraId="34097B91" w14:textId="77777777" w:rsidR="007523B8" w:rsidRPr="009E06AA" w:rsidRDefault="007523B8" w:rsidP="00B55F24">
            <w:pPr>
              <w:pStyle w:val="TableTextBold"/>
              <w:keepNext/>
              <w:spacing w:before="40" w:after="40"/>
              <w:rPr>
                <w:noProof w:val="0"/>
                <w:color w:val="FFFFFF" w:themeColor="background1"/>
                <w:szCs w:val="16"/>
              </w:rPr>
            </w:pPr>
            <w:r w:rsidRPr="009E06AA">
              <w:rPr>
                <w:noProof w:val="0"/>
                <w:color w:val="FFFFFF" w:themeColor="background1"/>
                <w:szCs w:val="16"/>
              </w:rPr>
              <w:t>Manure management category</w:t>
            </w:r>
          </w:p>
        </w:tc>
        <w:tc>
          <w:tcPr>
            <w:tcW w:w="1675" w:type="dxa"/>
            <w:gridSpan w:val="2"/>
            <w:tcBorders>
              <w:bottom w:val="nil"/>
            </w:tcBorders>
            <w:shd w:val="clear" w:color="auto" w:fill="1B556B"/>
            <w:vAlign w:val="bottom"/>
          </w:tcPr>
          <w:p w14:paraId="6AD63DE5" w14:textId="77777777" w:rsidR="007523B8" w:rsidRPr="009E06AA" w:rsidRDefault="007523B8" w:rsidP="00B55F24">
            <w:pPr>
              <w:pStyle w:val="TableTextBold"/>
              <w:keepNext/>
              <w:spacing w:before="40" w:after="0"/>
              <w:jc w:val="center"/>
              <w:rPr>
                <w:noProof w:val="0"/>
                <w:color w:val="FFFFFF" w:themeColor="background1"/>
                <w:szCs w:val="16"/>
              </w:rPr>
            </w:pPr>
            <w:r w:rsidRPr="009E06AA">
              <w:rPr>
                <w:noProof w:val="0"/>
                <w:color w:val="FFFFFF" w:themeColor="background1"/>
                <w:szCs w:val="16"/>
              </w:rPr>
              <w:t xml:space="preserve">Emissions </w:t>
            </w:r>
            <w:r w:rsidRPr="009E06AA">
              <w:rPr>
                <w:noProof w:val="0"/>
                <w:color w:val="FFFFFF" w:themeColor="background1"/>
                <w:szCs w:val="16"/>
              </w:rPr>
              <w:br/>
              <w:t>(kt CO</w:t>
            </w:r>
            <w:r w:rsidRPr="009E06AA">
              <w:rPr>
                <w:noProof w:val="0"/>
                <w:color w:val="FFFFFF" w:themeColor="background1"/>
                <w:szCs w:val="16"/>
                <w:vertAlign w:val="subscript"/>
              </w:rPr>
              <w:t>2</w:t>
            </w:r>
            <w:r w:rsidRPr="009E06AA">
              <w:rPr>
                <w:noProof w:val="0"/>
                <w:color w:val="FFFFFF" w:themeColor="background1"/>
                <w:szCs w:val="16"/>
              </w:rPr>
              <w:t>-e)</w:t>
            </w:r>
          </w:p>
        </w:tc>
        <w:tc>
          <w:tcPr>
            <w:tcW w:w="1811" w:type="dxa"/>
            <w:gridSpan w:val="2"/>
            <w:tcBorders>
              <w:bottom w:val="nil"/>
            </w:tcBorders>
            <w:shd w:val="clear" w:color="auto" w:fill="1B556B"/>
            <w:vAlign w:val="bottom"/>
          </w:tcPr>
          <w:p w14:paraId="38115A53" w14:textId="77777777" w:rsidR="007523B8" w:rsidRPr="009E06AA" w:rsidRDefault="007523B8" w:rsidP="00B55F24">
            <w:pPr>
              <w:pStyle w:val="TableTextBold"/>
              <w:keepNext/>
              <w:spacing w:before="40" w:after="0"/>
              <w:jc w:val="center"/>
              <w:rPr>
                <w:noProof w:val="0"/>
                <w:color w:val="FFFFFF" w:themeColor="background1"/>
                <w:szCs w:val="16"/>
              </w:rPr>
            </w:pPr>
            <w:r w:rsidRPr="009E06AA">
              <w:rPr>
                <w:noProof w:val="0"/>
                <w:color w:val="FFFFFF" w:themeColor="background1"/>
                <w:szCs w:val="16"/>
              </w:rPr>
              <w:t>Change from 1990</w:t>
            </w:r>
          </w:p>
        </w:tc>
        <w:tc>
          <w:tcPr>
            <w:tcW w:w="1611" w:type="dxa"/>
            <w:gridSpan w:val="2"/>
            <w:tcBorders>
              <w:bottom w:val="nil"/>
            </w:tcBorders>
            <w:shd w:val="clear" w:color="auto" w:fill="1B556B"/>
            <w:vAlign w:val="bottom"/>
          </w:tcPr>
          <w:p w14:paraId="0CC2FDCB" w14:textId="77777777" w:rsidR="007523B8" w:rsidRPr="009E06AA" w:rsidRDefault="007523B8" w:rsidP="00B55F24">
            <w:pPr>
              <w:pStyle w:val="TableTextBold"/>
              <w:keepNext/>
              <w:spacing w:before="40" w:after="0"/>
              <w:jc w:val="center"/>
              <w:rPr>
                <w:noProof w:val="0"/>
                <w:color w:val="FFFFFF" w:themeColor="background1"/>
                <w:szCs w:val="16"/>
              </w:rPr>
            </w:pPr>
            <w:r w:rsidRPr="009E06AA">
              <w:rPr>
                <w:noProof w:val="0"/>
                <w:color w:val="FFFFFF" w:themeColor="background1"/>
                <w:szCs w:val="16"/>
              </w:rPr>
              <w:t>Share of Manure management category (%)</w:t>
            </w:r>
          </w:p>
        </w:tc>
        <w:tc>
          <w:tcPr>
            <w:tcW w:w="1460" w:type="dxa"/>
            <w:gridSpan w:val="2"/>
            <w:tcBorders>
              <w:bottom w:val="nil"/>
            </w:tcBorders>
            <w:shd w:val="clear" w:color="auto" w:fill="1B556B"/>
            <w:vAlign w:val="bottom"/>
          </w:tcPr>
          <w:p w14:paraId="2F8F0DD8" w14:textId="77777777" w:rsidR="007523B8" w:rsidRPr="009E06AA" w:rsidRDefault="007523B8" w:rsidP="00B55F24">
            <w:pPr>
              <w:pStyle w:val="TableTextBold"/>
              <w:keepNext/>
              <w:spacing w:before="40" w:after="0"/>
              <w:jc w:val="center"/>
              <w:rPr>
                <w:noProof w:val="0"/>
                <w:color w:val="FFFFFF" w:themeColor="background1"/>
                <w:szCs w:val="16"/>
              </w:rPr>
            </w:pPr>
            <w:r w:rsidRPr="009E06AA">
              <w:rPr>
                <w:noProof w:val="0"/>
                <w:color w:val="FFFFFF" w:themeColor="background1"/>
                <w:szCs w:val="16"/>
              </w:rPr>
              <w:t>Share of total Agriculture sector (%)</w:t>
            </w:r>
          </w:p>
        </w:tc>
      </w:tr>
      <w:tr w:rsidR="007523B8" w:rsidRPr="009E06AA" w14:paraId="5BA16E7D" w14:textId="77777777" w:rsidTr="0013524C">
        <w:tc>
          <w:tcPr>
            <w:tcW w:w="1948" w:type="dxa"/>
            <w:vMerge/>
            <w:tcBorders>
              <w:top w:val="nil"/>
              <w:bottom w:val="nil"/>
            </w:tcBorders>
            <w:shd w:val="clear" w:color="auto" w:fill="1B556B"/>
            <w:vAlign w:val="bottom"/>
          </w:tcPr>
          <w:p w14:paraId="545C1C6D" w14:textId="77777777" w:rsidR="007523B8" w:rsidRPr="009E06AA" w:rsidRDefault="007523B8" w:rsidP="00B55F24">
            <w:pPr>
              <w:keepNext/>
              <w:spacing w:before="40" w:after="40"/>
              <w:rPr>
                <w:rFonts w:cs="Calibri"/>
                <w:b/>
                <w:color w:val="FFFFFF" w:themeColor="background1"/>
                <w:sz w:val="16"/>
                <w:szCs w:val="16"/>
              </w:rPr>
            </w:pPr>
          </w:p>
        </w:tc>
        <w:tc>
          <w:tcPr>
            <w:tcW w:w="837" w:type="dxa"/>
            <w:tcBorders>
              <w:top w:val="nil"/>
              <w:bottom w:val="nil"/>
            </w:tcBorders>
            <w:shd w:val="clear" w:color="auto" w:fill="1B556B"/>
            <w:vAlign w:val="bottom"/>
          </w:tcPr>
          <w:p w14:paraId="6CBB6BEB" w14:textId="77777777" w:rsidR="007523B8" w:rsidRPr="009E06AA" w:rsidRDefault="007523B8" w:rsidP="00142C5F">
            <w:pPr>
              <w:pStyle w:val="TableTextBold"/>
              <w:keepNext/>
              <w:spacing w:before="40" w:after="40"/>
              <w:jc w:val="right"/>
              <w:rPr>
                <w:noProof w:val="0"/>
                <w:color w:val="FFFFFF" w:themeColor="background1"/>
                <w:szCs w:val="16"/>
              </w:rPr>
            </w:pPr>
            <w:r w:rsidRPr="009E06AA">
              <w:rPr>
                <w:noProof w:val="0"/>
                <w:color w:val="FFFFFF" w:themeColor="background1"/>
                <w:szCs w:val="16"/>
              </w:rPr>
              <w:t>1990</w:t>
            </w:r>
          </w:p>
        </w:tc>
        <w:tc>
          <w:tcPr>
            <w:tcW w:w="838" w:type="dxa"/>
            <w:tcBorders>
              <w:top w:val="nil"/>
              <w:bottom w:val="nil"/>
            </w:tcBorders>
            <w:shd w:val="clear" w:color="auto" w:fill="1B556B"/>
            <w:vAlign w:val="bottom"/>
          </w:tcPr>
          <w:p w14:paraId="6D280CE8" w14:textId="77777777" w:rsidR="007523B8" w:rsidRPr="009E06AA" w:rsidRDefault="007523B8" w:rsidP="00142C5F">
            <w:pPr>
              <w:pStyle w:val="TableTextBold"/>
              <w:keepNext/>
              <w:spacing w:before="40" w:after="40"/>
              <w:jc w:val="right"/>
              <w:rPr>
                <w:noProof w:val="0"/>
                <w:color w:val="FFFFFF" w:themeColor="background1"/>
                <w:szCs w:val="16"/>
              </w:rPr>
            </w:pPr>
            <w:r w:rsidRPr="009E06AA">
              <w:rPr>
                <w:noProof w:val="0"/>
                <w:color w:val="FFFFFF" w:themeColor="background1"/>
                <w:szCs w:val="16"/>
              </w:rPr>
              <w:t>2022</w:t>
            </w:r>
          </w:p>
        </w:tc>
        <w:tc>
          <w:tcPr>
            <w:tcW w:w="772" w:type="dxa"/>
            <w:tcBorders>
              <w:top w:val="nil"/>
              <w:bottom w:val="nil"/>
            </w:tcBorders>
            <w:shd w:val="clear" w:color="auto" w:fill="1B556B"/>
            <w:vAlign w:val="bottom"/>
          </w:tcPr>
          <w:p w14:paraId="348407E8" w14:textId="77777777" w:rsidR="007523B8" w:rsidRPr="009E06AA" w:rsidRDefault="007523B8" w:rsidP="00142C5F">
            <w:pPr>
              <w:pStyle w:val="TableTextBold"/>
              <w:keepNext/>
              <w:spacing w:before="40" w:after="40"/>
              <w:jc w:val="right"/>
              <w:rPr>
                <w:noProof w:val="0"/>
                <w:color w:val="FFFFFF" w:themeColor="background1"/>
                <w:szCs w:val="16"/>
              </w:rPr>
            </w:pPr>
            <w:r w:rsidRPr="009E06AA">
              <w:rPr>
                <w:noProof w:val="0"/>
                <w:color w:val="FFFFFF" w:themeColor="background1"/>
                <w:szCs w:val="16"/>
              </w:rPr>
              <w:t>%</w:t>
            </w:r>
          </w:p>
        </w:tc>
        <w:tc>
          <w:tcPr>
            <w:tcW w:w="1039" w:type="dxa"/>
            <w:tcBorders>
              <w:top w:val="nil"/>
              <w:bottom w:val="nil"/>
            </w:tcBorders>
            <w:shd w:val="clear" w:color="auto" w:fill="1B556B"/>
            <w:vAlign w:val="bottom"/>
          </w:tcPr>
          <w:p w14:paraId="48303136" w14:textId="77777777" w:rsidR="007523B8" w:rsidRPr="009E06AA" w:rsidRDefault="007523B8" w:rsidP="00142C5F">
            <w:pPr>
              <w:pStyle w:val="TableTextBold"/>
              <w:keepNext/>
              <w:spacing w:before="40" w:after="40"/>
              <w:jc w:val="right"/>
              <w:rPr>
                <w:noProof w:val="0"/>
                <w:color w:val="FFFFFF" w:themeColor="background1"/>
                <w:szCs w:val="16"/>
              </w:rPr>
            </w:pPr>
            <w:r w:rsidRPr="009E06AA">
              <w:rPr>
                <w:noProof w:val="0"/>
                <w:color w:val="FFFFFF" w:themeColor="background1"/>
                <w:szCs w:val="16"/>
              </w:rPr>
              <w:t>Difference</w:t>
            </w:r>
            <w:r w:rsidRPr="009E06AA">
              <w:rPr>
                <w:noProof w:val="0"/>
                <w:color w:val="FFFFFF" w:themeColor="background1"/>
                <w:szCs w:val="16"/>
              </w:rPr>
              <w:br/>
              <w:t>(kt CO</w:t>
            </w:r>
            <w:r w:rsidRPr="009E06AA">
              <w:rPr>
                <w:noProof w:val="0"/>
                <w:color w:val="FFFFFF" w:themeColor="background1"/>
                <w:szCs w:val="16"/>
                <w:vertAlign w:val="subscript"/>
              </w:rPr>
              <w:t>2</w:t>
            </w:r>
            <w:r w:rsidRPr="009E06AA">
              <w:rPr>
                <w:noProof w:val="0"/>
                <w:color w:val="FFFFFF" w:themeColor="background1"/>
                <w:szCs w:val="16"/>
              </w:rPr>
              <w:t>-e)</w:t>
            </w:r>
          </w:p>
        </w:tc>
        <w:tc>
          <w:tcPr>
            <w:tcW w:w="837" w:type="dxa"/>
            <w:tcBorders>
              <w:top w:val="nil"/>
              <w:bottom w:val="nil"/>
            </w:tcBorders>
            <w:shd w:val="clear" w:color="auto" w:fill="1B556B"/>
            <w:vAlign w:val="bottom"/>
          </w:tcPr>
          <w:p w14:paraId="7BDCCDF7" w14:textId="77777777" w:rsidR="007523B8" w:rsidRPr="009E06AA" w:rsidRDefault="007523B8" w:rsidP="00142C5F">
            <w:pPr>
              <w:pStyle w:val="TableTextBold"/>
              <w:keepNext/>
              <w:spacing w:before="40" w:after="40"/>
              <w:jc w:val="right"/>
              <w:rPr>
                <w:noProof w:val="0"/>
                <w:color w:val="FFFFFF" w:themeColor="background1"/>
                <w:szCs w:val="16"/>
              </w:rPr>
            </w:pPr>
            <w:r w:rsidRPr="009E06AA">
              <w:rPr>
                <w:noProof w:val="0"/>
                <w:color w:val="FFFFFF" w:themeColor="background1"/>
                <w:szCs w:val="16"/>
              </w:rPr>
              <w:t>1990</w:t>
            </w:r>
          </w:p>
        </w:tc>
        <w:tc>
          <w:tcPr>
            <w:tcW w:w="774" w:type="dxa"/>
            <w:tcBorders>
              <w:top w:val="nil"/>
              <w:bottom w:val="nil"/>
            </w:tcBorders>
            <w:shd w:val="clear" w:color="auto" w:fill="1B556B"/>
            <w:vAlign w:val="bottom"/>
          </w:tcPr>
          <w:p w14:paraId="60D66567" w14:textId="77777777" w:rsidR="007523B8" w:rsidRPr="009E06AA" w:rsidRDefault="007523B8" w:rsidP="00142C5F">
            <w:pPr>
              <w:pStyle w:val="TableTextBold"/>
              <w:keepNext/>
              <w:spacing w:before="40" w:after="40"/>
              <w:jc w:val="right"/>
              <w:rPr>
                <w:noProof w:val="0"/>
                <w:color w:val="FFFFFF" w:themeColor="background1"/>
                <w:szCs w:val="16"/>
              </w:rPr>
            </w:pPr>
            <w:r w:rsidRPr="009E06AA">
              <w:rPr>
                <w:noProof w:val="0"/>
                <w:color w:val="FFFFFF" w:themeColor="background1"/>
                <w:szCs w:val="16"/>
              </w:rPr>
              <w:t>2022</w:t>
            </w:r>
          </w:p>
        </w:tc>
        <w:tc>
          <w:tcPr>
            <w:tcW w:w="733" w:type="dxa"/>
            <w:tcBorders>
              <w:top w:val="nil"/>
              <w:bottom w:val="nil"/>
            </w:tcBorders>
            <w:shd w:val="clear" w:color="auto" w:fill="1B556B"/>
            <w:vAlign w:val="bottom"/>
          </w:tcPr>
          <w:p w14:paraId="1BFD172F" w14:textId="77777777" w:rsidR="007523B8" w:rsidRPr="009E06AA" w:rsidRDefault="007523B8" w:rsidP="00142C5F">
            <w:pPr>
              <w:pStyle w:val="TableTextBold"/>
              <w:keepNext/>
              <w:spacing w:before="40" w:after="40"/>
              <w:jc w:val="right"/>
              <w:rPr>
                <w:noProof w:val="0"/>
                <w:color w:val="FFFFFF" w:themeColor="background1"/>
                <w:szCs w:val="16"/>
              </w:rPr>
            </w:pPr>
            <w:r w:rsidRPr="009E06AA">
              <w:rPr>
                <w:noProof w:val="0"/>
                <w:color w:val="FFFFFF" w:themeColor="background1"/>
                <w:szCs w:val="16"/>
              </w:rPr>
              <w:t>1990</w:t>
            </w:r>
          </w:p>
        </w:tc>
        <w:tc>
          <w:tcPr>
            <w:tcW w:w="727" w:type="dxa"/>
            <w:tcBorders>
              <w:top w:val="nil"/>
              <w:bottom w:val="nil"/>
            </w:tcBorders>
            <w:shd w:val="clear" w:color="auto" w:fill="1B556B"/>
            <w:vAlign w:val="bottom"/>
          </w:tcPr>
          <w:p w14:paraId="576F15BA" w14:textId="77777777" w:rsidR="007523B8" w:rsidRPr="009E06AA" w:rsidRDefault="007523B8" w:rsidP="00142C5F">
            <w:pPr>
              <w:pStyle w:val="TableTextBold"/>
              <w:keepNext/>
              <w:spacing w:before="40" w:after="40"/>
              <w:jc w:val="right"/>
              <w:rPr>
                <w:noProof w:val="0"/>
                <w:color w:val="FFFFFF" w:themeColor="background1"/>
                <w:szCs w:val="16"/>
              </w:rPr>
            </w:pPr>
            <w:r w:rsidRPr="009E06AA">
              <w:rPr>
                <w:noProof w:val="0"/>
                <w:color w:val="FFFFFF" w:themeColor="background1"/>
                <w:szCs w:val="16"/>
              </w:rPr>
              <w:t>2022</w:t>
            </w:r>
          </w:p>
        </w:tc>
      </w:tr>
      <w:tr w:rsidR="007523B8" w:rsidRPr="009E06AA" w14:paraId="61BC388C" w14:textId="77777777" w:rsidTr="0013524C">
        <w:tc>
          <w:tcPr>
            <w:tcW w:w="1948" w:type="dxa"/>
            <w:tcBorders>
              <w:top w:val="nil"/>
            </w:tcBorders>
            <w:shd w:val="clear" w:color="auto" w:fill="auto"/>
          </w:tcPr>
          <w:p w14:paraId="5B189D28" w14:textId="77777777" w:rsidR="007523B8" w:rsidRPr="009E06AA" w:rsidRDefault="007523B8" w:rsidP="00B55F24">
            <w:pPr>
              <w:pStyle w:val="TableText"/>
              <w:keepNext/>
              <w:spacing w:before="40" w:after="40"/>
              <w:rPr>
                <w:rFonts w:cs="Calibri"/>
                <w:szCs w:val="16"/>
              </w:rPr>
            </w:pPr>
            <w:r w:rsidRPr="009E06AA">
              <w:rPr>
                <w:rFonts w:cs="Calibri"/>
                <w:szCs w:val="16"/>
              </w:rPr>
              <w:t>Methane (3.B.(a))</w:t>
            </w:r>
          </w:p>
        </w:tc>
        <w:tc>
          <w:tcPr>
            <w:tcW w:w="837" w:type="dxa"/>
            <w:tcBorders>
              <w:top w:val="nil"/>
            </w:tcBorders>
            <w:shd w:val="clear" w:color="auto" w:fill="auto"/>
          </w:tcPr>
          <w:p w14:paraId="5A51E903" w14:textId="77777777" w:rsidR="007523B8" w:rsidRPr="009E06AA" w:rsidRDefault="007523B8" w:rsidP="00142C5F">
            <w:pPr>
              <w:pStyle w:val="TableText"/>
              <w:keepNext/>
              <w:spacing w:before="40" w:after="40"/>
              <w:jc w:val="right"/>
              <w:rPr>
                <w:rFonts w:cs="Calibri"/>
                <w:szCs w:val="16"/>
              </w:rPr>
            </w:pPr>
            <w:r w:rsidRPr="009E06AA">
              <w:t>829.9</w:t>
            </w:r>
          </w:p>
        </w:tc>
        <w:tc>
          <w:tcPr>
            <w:tcW w:w="838" w:type="dxa"/>
            <w:tcBorders>
              <w:top w:val="nil"/>
            </w:tcBorders>
            <w:shd w:val="clear" w:color="auto" w:fill="auto"/>
          </w:tcPr>
          <w:p w14:paraId="1364FDFF" w14:textId="77777777" w:rsidR="007523B8" w:rsidRPr="009E06AA" w:rsidRDefault="007523B8" w:rsidP="00142C5F">
            <w:pPr>
              <w:pStyle w:val="TableText"/>
              <w:keepNext/>
              <w:spacing w:before="40" w:after="40"/>
              <w:jc w:val="right"/>
              <w:rPr>
                <w:rFonts w:cs="Calibri"/>
                <w:szCs w:val="16"/>
              </w:rPr>
            </w:pPr>
            <w:r w:rsidRPr="009E06AA">
              <w:t>1,803.7</w:t>
            </w:r>
          </w:p>
        </w:tc>
        <w:tc>
          <w:tcPr>
            <w:tcW w:w="772" w:type="dxa"/>
            <w:tcBorders>
              <w:top w:val="nil"/>
            </w:tcBorders>
            <w:shd w:val="clear" w:color="auto" w:fill="auto"/>
          </w:tcPr>
          <w:p w14:paraId="2470D450" w14:textId="77777777" w:rsidR="007523B8" w:rsidRPr="009E06AA" w:rsidRDefault="007523B8" w:rsidP="00142C5F">
            <w:pPr>
              <w:pStyle w:val="TableText"/>
              <w:keepNext/>
              <w:spacing w:before="40" w:after="40"/>
              <w:jc w:val="right"/>
              <w:rPr>
                <w:rFonts w:cs="Calibri"/>
                <w:szCs w:val="16"/>
              </w:rPr>
            </w:pPr>
            <w:r w:rsidRPr="009E06AA">
              <w:t>117.3</w:t>
            </w:r>
          </w:p>
        </w:tc>
        <w:tc>
          <w:tcPr>
            <w:tcW w:w="1039" w:type="dxa"/>
            <w:tcBorders>
              <w:top w:val="nil"/>
            </w:tcBorders>
            <w:shd w:val="clear" w:color="auto" w:fill="auto"/>
          </w:tcPr>
          <w:p w14:paraId="178DCF24" w14:textId="77777777" w:rsidR="007523B8" w:rsidRPr="009E06AA" w:rsidRDefault="007523B8" w:rsidP="00142C5F">
            <w:pPr>
              <w:pStyle w:val="TableText"/>
              <w:keepNext/>
              <w:spacing w:before="40" w:after="40"/>
              <w:jc w:val="right"/>
              <w:rPr>
                <w:rFonts w:cs="Calibri"/>
                <w:szCs w:val="16"/>
              </w:rPr>
            </w:pPr>
            <w:r w:rsidRPr="009E06AA">
              <w:t>973.8</w:t>
            </w:r>
          </w:p>
        </w:tc>
        <w:tc>
          <w:tcPr>
            <w:tcW w:w="837" w:type="dxa"/>
            <w:tcBorders>
              <w:top w:val="nil"/>
            </w:tcBorders>
            <w:shd w:val="clear" w:color="auto" w:fill="auto"/>
          </w:tcPr>
          <w:p w14:paraId="365055E5" w14:textId="77777777" w:rsidR="007523B8" w:rsidRPr="009E06AA" w:rsidRDefault="007523B8" w:rsidP="00142C5F">
            <w:pPr>
              <w:pStyle w:val="TableText"/>
              <w:keepNext/>
              <w:spacing w:before="40" w:after="40"/>
              <w:jc w:val="right"/>
              <w:rPr>
                <w:rFonts w:cs="Calibri"/>
                <w:szCs w:val="16"/>
              </w:rPr>
            </w:pPr>
            <w:r w:rsidRPr="009E06AA">
              <w:t>94.9</w:t>
            </w:r>
          </w:p>
        </w:tc>
        <w:tc>
          <w:tcPr>
            <w:tcW w:w="774" w:type="dxa"/>
            <w:tcBorders>
              <w:top w:val="nil"/>
            </w:tcBorders>
            <w:shd w:val="clear" w:color="auto" w:fill="auto"/>
          </w:tcPr>
          <w:p w14:paraId="42FC0669" w14:textId="77777777" w:rsidR="007523B8" w:rsidRPr="009E06AA" w:rsidRDefault="007523B8" w:rsidP="00142C5F">
            <w:pPr>
              <w:pStyle w:val="TableText"/>
              <w:keepNext/>
              <w:spacing w:before="40" w:after="40"/>
              <w:jc w:val="right"/>
              <w:rPr>
                <w:rFonts w:cs="Calibri"/>
                <w:szCs w:val="16"/>
              </w:rPr>
            </w:pPr>
            <w:r w:rsidRPr="009E06AA">
              <w:t>94.9</w:t>
            </w:r>
          </w:p>
        </w:tc>
        <w:tc>
          <w:tcPr>
            <w:tcW w:w="733" w:type="dxa"/>
            <w:tcBorders>
              <w:top w:val="nil"/>
            </w:tcBorders>
            <w:shd w:val="clear" w:color="auto" w:fill="auto"/>
          </w:tcPr>
          <w:p w14:paraId="598ECA47" w14:textId="77777777" w:rsidR="007523B8" w:rsidRPr="009E06AA" w:rsidRDefault="007523B8" w:rsidP="00142C5F">
            <w:pPr>
              <w:pStyle w:val="TableText"/>
              <w:keepNext/>
              <w:spacing w:before="40" w:after="40"/>
              <w:jc w:val="right"/>
              <w:rPr>
                <w:rFonts w:cs="Calibri"/>
                <w:szCs w:val="16"/>
              </w:rPr>
            </w:pPr>
            <w:r w:rsidRPr="009E06AA">
              <w:t>2.2</w:t>
            </w:r>
          </w:p>
        </w:tc>
        <w:tc>
          <w:tcPr>
            <w:tcW w:w="727" w:type="dxa"/>
            <w:tcBorders>
              <w:top w:val="nil"/>
            </w:tcBorders>
            <w:shd w:val="clear" w:color="auto" w:fill="auto"/>
          </w:tcPr>
          <w:p w14:paraId="55F2E15B" w14:textId="77777777" w:rsidR="007523B8" w:rsidRPr="009E06AA" w:rsidRDefault="007523B8" w:rsidP="00142C5F">
            <w:pPr>
              <w:pStyle w:val="TableText"/>
              <w:keepNext/>
              <w:spacing w:before="40" w:after="40"/>
              <w:jc w:val="right"/>
              <w:rPr>
                <w:rFonts w:cs="Calibri"/>
                <w:szCs w:val="16"/>
              </w:rPr>
            </w:pPr>
            <w:r w:rsidRPr="009E06AA">
              <w:t>4.3</w:t>
            </w:r>
          </w:p>
        </w:tc>
      </w:tr>
      <w:tr w:rsidR="007523B8" w:rsidRPr="009E06AA" w14:paraId="2A2E28FB" w14:textId="77777777" w:rsidTr="00B55F24">
        <w:tc>
          <w:tcPr>
            <w:tcW w:w="1948" w:type="dxa"/>
            <w:shd w:val="clear" w:color="auto" w:fill="auto"/>
          </w:tcPr>
          <w:p w14:paraId="0CD2408F" w14:textId="77777777" w:rsidR="007523B8" w:rsidRPr="009E06AA" w:rsidRDefault="007523B8" w:rsidP="00B55F24">
            <w:pPr>
              <w:pStyle w:val="TableText"/>
              <w:spacing w:before="40" w:after="40"/>
              <w:rPr>
                <w:rFonts w:cs="Calibri"/>
                <w:szCs w:val="16"/>
              </w:rPr>
            </w:pPr>
            <w:r w:rsidRPr="009E06AA">
              <w:rPr>
                <w:rFonts w:cs="Calibri"/>
                <w:szCs w:val="16"/>
              </w:rPr>
              <w:t>Nitrous oxide (</w:t>
            </w:r>
            <w:r w:rsidRPr="009E06AA">
              <w:rPr>
                <w:rFonts w:cs="Calibri"/>
                <w:spacing w:val="-2"/>
                <w:szCs w:val="16"/>
              </w:rPr>
              <w:t>3.B.(b))</w:t>
            </w:r>
          </w:p>
        </w:tc>
        <w:tc>
          <w:tcPr>
            <w:tcW w:w="837" w:type="dxa"/>
            <w:shd w:val="clear" w:color="auto" w:fill="auto"/>
          </w:tcPr>
          <w:p w14:paraId="79035E6D" w14:textId="77777777" w:rsidR="007523B8" w:rsidRPr="009E06AA" w:rsidRDefault="007523B8" w:rsidP="00142C5F">
            <w:pPr>
              <w:pStyle w:val="TableText"/>
              <w:spacing w:before="40" w:after="40"/>
              <w:jc w:val="right"/>
              <w:rPr>
                <w:rFonts w:cs="Calibri"/>
                <w:szCs w:val="16"/>
              </w:rPr>
            </w:pPr>
            <w:r w:rsidRPr="009E06AA">
              <w:t>44.9</w:t>
            </w:r>
          </w:p>
        </w:tc>
        <w:tc>
          <w:tcPr>
            <w:tcW w:w="838" w:type="dxa"/>
            <w:shd w:val="clear" w:color="auto" w:fill="auto"/>
          </w:tcPr>
          <w:p w14:paraId="114A6972" w14:textId="77777777" w:rsidR="007523B8" w:rsidRPr="009E06AA" w:rsidRDefault="007523B8" w:rsidP="00142C5F">
            <w:pPr>
              <w:pStyle w:val="TableText"/>
              <w:spacing w:before="40" w:after="40"/>
              <w:jc w:val="right"/>
              <w:rPr>
                <w:rFonts w:cs="Calibri"/>
                <w:szCs w:val="16"/>
              </w:rPr>
            </w:pPr>
            <w:r w:rsidRPr="009E06AA">
              <w:t>97.9</w:t>
            </w:r>
          </w:p>
        </w:tc>
        <w:tc>
          <w:tcPr>
            <w:tcW w:w="772" w:type="dxa"/>
            <w:shd w:val="clear" w:color="auto" w:fill="auto"/>
          </w:tcPr>
          <w:p w14:paraId="6EBBF8FA" w14:textId="77777777" w:rsidR="007523B8" w:rsidRPr="009E06AA" w:rsidRDefault="007523B8" w:rsidP="00142C5F">
            <w:pPr>
              <w:pStyle w:val="TableText"/>
              <w:spacing w:before="40" w:after="40"/>
              <w:jc w:val="right"/>
              <w:rPr>
                <w:rFonts w:cs="Calibri"/>
                <w:szCs w:val="16"/>
              </w:rPr>
            </w:pPr>
            <w:r w:rsidRPr="009E06AA">
              <w:t>118.2</w:t>
            </w:r>
          </w:p>
        </w:tc>
        <w:tc>
          <w:tcPr>
            <w:tcW w:w="1039" w:type="dxa"/>
            <w:shd w:val="clear" w:color="auto" w:fill="auto"/>
          </w:tcPr>
          <w:p w14:paraId="3C4B825C" w14:textId="77777777" w:rsidR="007523B8" w:rsidRPr="009E06AA" w:rsidRDefault="007523B8" w:rsidP="00142C5F">
            <w:pPr>
              <w:pStyle w:val="TableText"/>
              <w:spacing w:before="40" w:after="40"/>
              <w:jc w:val="right"/>
              <w:rPr>
                <w:rFonts w:cs="Calibri"/>
                <w:szCs w:val="16"/>
              </w:rPr>
            </w:pPr>
            <w:r w:rsidRPr="009E06AA">
              <w:t>53.0</w:t>
            </w:r>
          </w:p>
        </w:tc>
        <w:tc>
          <w:tcPr>
            <w:tcW w:w="837" w:type="dxa"/>
            <w:shd w:val="clear" w:color="auto" w:fill="auto"/>
          </w:tcPr>
          <w:p w14:paraId="37D4E0DC" w14:textId="77777777" w:rsidR="007523B8" w:rsidRPr="009E06AA" w:rsidRDefault="007523B8" w:rsidP="00142C5F">
            <w:pPr>
              <w:pStyle w:val="TableText"/>
              <w:spacing w:before="40" w:after="40"/>
              <w:jc w:val="right"/>
              <w:rPr>
                <w:rFonts w:cs="Calibri"/>
                <w:szCs w:val="16"/>
              </w:rPr>
            </w:pPr>
            <w:r w:rsidRPr="009E06AA">
              <w:t>5.1</w:t>
            </w:r>
          </w:p>
        </w:tc>
        <w:tc>
          <w:tcPr>
            <w:tcW w:w="774" w:type="dxa"/>
            <w:shd w:val="clear" w:color="auto" w:fill="auto"/>
          </w:tcPr>
          <w:p w14:paraId="7CC31ECD" w14:textId="77777777" w:rsidR="007523B8" w:rsidRPr="009E06AA" w:rsidRDefault="007523B8" w:rsidP="00142C5F">
            <w:pPr>
              <w:pStyle w:val="TableText"/>
              <w:spacing w:before="40" w:after="40"/>
              <w:jc w:val="right"/>
              <w:rPr>
                <w:rFonts w:cs="Calibri"/>
                <w:szCs w:val="16"/>
              </w:rPr>
            </w:pPr>
            <w:r w:rsidRPr="009E06AA">
              <w:t>5.2</w:t>
            </w:r>
          </w:p>
        </w:tc>
        <w:tc>
          <w:tcPr>
            <w:tcW w:w="733" w:type="dxa"/>
            <w:shd w:val="clear" w:color="auto" w:fill="auto"/>
          </w:tcPr>
          <w:p w14:paraId="6481983B" w14:textId="77777777" w:rsidR="007523B8" w:rsidRPr="009E06AA" w:rsidRDefault="007523B8" w:rsidP="00142C5F">
            <w:pPr>
              <w:pStyle w:val="TableText"/>
              <w:spacing w:before="40" w:after="40"/>
              <w:jc w:val="right"/>
              <w:rPr>
                <w:rFonts w:cs="Calibri"/>
                <w:szCs w:val="16"/>
              </w:rPr>
            </w:pPr>
            <w:r w:rsidRPr="009E06AA">
              <w:t>0.1</w:t>
            </w:r>
          </w:p>
        </w:tc>
        <w:tc>
          <w:tcPr>
            <w:tcW w:w="727" w:type="dxa"/>
            <w:shd w:val="clear" w:color="auto" w:fill="auto"/>
          </w:tcPr>
          <w:p w14:paraId="5AB9EFB7" w14:textId="77777777" w:rsidR="007523B8" w:rsidRPr="009E06AA" w:rsidRDefault="007523B8" w:rsidP="00142C5F">
            <w:pPr>
              <w:pStyle w:val="TableText"/>
              <w:spacing w:before="40" w:after="40"/>
              <w:jc w:val="right"/>
              <w:rPr>
                <w:rFonts w:cs="Calibri"/>
                <w:szCs w:val="16"/>
              </w:rPr>
            </w:pPr>
            <w:r w:rsidRPr="009E06AA">
              <w:t>0.2</w:t>
            </w:r>
          </w:p>
        </w:tc>
      </w:tr>
    </w:tbl>
    <w:p w14:paraId="47E6F56E" w14:textId="77777777" w:rsidR="007523B8" w:rsidRPr="009E06AA" w:rsidRDefault="007523B8" w:rsidP="0069638A">
      <w:pPr>
        <w:pStyle w:val="BodyText"/>
        <w:spacing w:before="240" w:after="100"/>
      </w:pPr>
      <w:r w:rsidRPr="009E06AA">
        <w:t xml:space="preserve">Table 5.3.2 shows the distribution of livestock waste across animal waste management systems in </w:t>
      </w:r>
      <w:r w:rsidRPr="009E06AA" w:rsidDel="00875419">
        <w:t>New</w:t>
      </w:r>
      <w:r w:rsidRPr="009E06AA">
        <w:t xml:space="preserve"> Zealand. The Agriculture inventory model assumes all non-dairy cattle, sheep and deer manure is deposited directly onto pasture (there are minor instances where this does not occur). </w:t>
      </w:r>
    </w:p>
    <w:p w14:paraId="02626B69" w14:textId="77777777" w:rsidR="007523B8" w:rsidRPr="009E06AA" w:rsidRDefault="007523B8" w:rsidP="00A56DC4">
      <w:pPr>
        <w:pStyle w:val="BodyText"/>
        <w:spacing w:before="100" w:after="100"/>
      </w:pPr>
      <w:r w:rsidRPr="009E06AA">
        <w:t xml:space="preserve">A small amount of excreta from dairy cattle (7.1 per cent) is stored in anaerobic lagoon waste systems (Rollo et al., 2017). This is based on the proportion of time dairy cattle spend on pasture compared with the time they spend in the milking shed, surrounding yards and off-paddock structures that transfer animal excreta to anaerobic lagoons. </w:t>
      </w:r>
    </w:p>
    <w:p w14:paraId="14BF4495" w14:textId="77777777" w:rsidR="007523B8" w:rsidRPr="009E06AA" w:rsidRDefault="007523B8" w:rsidP="00A56DC4">
      <w:pPr>
        <w:pStyle w:val="BodyText"/>
        <w:spacing w:before="100" w:after="100"/>
        <w:rPr>
          <w:rFonts w:cs="Calibri"/>
        </w:rPr>
      </w:pPr>
      <w:r w:rsidRPr="009E06AA">
        <w:rPr>
          <w:rFonts w:cs="Calibri"/>
        </w:rPr>
        <w:t xml:space="preserve">The minor livestock categories of </w:t>
      </w:r>
      <w:r w:rsidRPr="009E06AA">
        <w:rPr>
          <w:rFonts w:cs="Calibri"/>
          <w:i/>
          <w:iCs/>
        </w:rPr>
        <w:t>Goats</w:t>
      </w:r>
      <w:r w:rsidRPr="009E06AA">
        <w:rPr>
          <w:rFonts w:cs="Calibri"/>
        </w:rPr>
        <w:t xml:space="preserve">, </w:t>
      </w:r>
      <w:r w:rsidRPr="009E06AA">
        <w:rPr>
          <w:rFonts w:cs="Calibri"/>
          <w:i/>
          <w:iCs/>
        </w:rPr>
        <w:t>Horses</w:t>
      </w:r>
      <w:r w:rsidRPr="009E06AA">
        <w:rPr>
          <w:rFonts w:cs="Calibri"/>
        </w:rPr>
        <w:t xml:space="preserve">, </w:t>
      </w:r>
      <w:r w:rsidRPr="009E06AA">
        <w:rPr>
          <w:rFonts w:cs="Calibri"/>
          <w:i/>
          <w:iCs/>
        </w:rPr>
        <w:t>Mules and asses</w:t>
      </w:r>
      <w:r w:rsidRPr="009E06AA">
        <w:rPr>
          <w:rFonts w:cs="Calibri"/>
        </w:rPr>
        <w:t xml:space="preserve">, and </w:t>
      </w:r>
      <w:r w:rsidRPr="009E06AA">
        <w:rPr>
          <w:rFonts w:cs="Calibri"/>
          <w:i/>
          <w:iCs/>
        </w:rPr>
        <w:t>Llamas and alpacas</w:t>
      </w:r>
      <w:r w:rsidRPr="009E06AA">
        <w:rPr>
          <w:rFonts w:cs="Calibri"/>
        </w:rPr>
        <w:t xml:space="preserve"> are assumed to graze outdoors all year and deposit all their manure directly onto pastures. Estimates of the proportions of different waste management systems for swine and poultry in the manure management systems in </w:t>
      </w:r>
      <w:r w:rsidRPr="009E06AA" w:rsidDel="0097234F">
        <w:t xml:space="preserve">New </w:t>
      </w:r>
      <w:r w:rsidRPr="009E06AA">
        <w:t>Zealand</w:t>
      </w:r>
      <w:r w:rsidRPr="009E06AA">
        <w:rPr>
          <w:rFonts w:cs="Calibri"/>
        </w:rPr>
        <w:t xml:space="preserve"> have been provided by Hill (2012) and Fick et al. (2011) respectively.</w:t>
      </w:r>
    </w:p>
    <w:p w14:paraId="08B6CCC5" w14:textId="77777777" w:rsidR="007523B8" w:rsidRPr="009E06AA" w:rsidRDefault="007523B8" w:rsidP="007523B8">
      <w:pPr>
        <w:pStyle w:val="Table"/>
        <w:rPr>
          <w:rFonts w:cs="Calibri"/>
        </w:rPr>
      </w:pPr>
      <w:bookmarkStart w:id="1039" w:name="_Toc32570921"/>
      <w:bookmarkStart w:id="1040" w:name="_Toc36224556"/>
      <w:bookmarkStart w:id="1041" w:name="_Toc68786441"/>
      <w:bookmarkStart w:id="1042" w:name="_Toc95574075"/>
      <w:bookmarkStart w:id="1043" w:name="_Toc127458260"/>
      <w:bookmarkStart w:id="1044" w:name="_Toc131591356"/>
      <w:bookmarkStart w:id="1045" w:name="_Toc160114448"/>
      <w:bookmarkStart w:id="1046" w:name="_Toc164153844"/>
      <w:r w:rsidRPr="009E06AA">
        <w:rPr>
          <w:rFonts w:cs="Calibri"/>
        </w:rPr>
        <w:t>Table 5.3.2</w:t>
      </w:r>
      <w:r w:rsidRPr="009E06AA">
        <w:rPr>
          <w:rFonts w:cs="Calibri"/>
        </w:rPr>
        <w:tab/>
        <w:t>Distribution of livestock waste across animal waste management systems in</w:t>
      </w:r>
      <w:r w:rsidRPr="009E06AA">
        <w:t xml:space="preserve"> </w:t>
      </w:r>
      <w:r w:rsidRPr="009E06AA">
        <w:rPr>
          <w:rFonts w:cs="Calibri"/>
        </w:rPr>
        <w:t>New Zealand</w:t>
      </w:r>
      <w:bookmarkEnd w:id="1039"/>
      <w:bookmarkEnd w:id="1040"/>
      <w:bookmarkEnd w:id="1041"/>
      <w:bookmarkEnd w:id="1042"/>
      <w:bookmarkEnd w:id="1043"/>
      <w:bookmarkEnd w:id="1044"/>
      <w:bookmarkEnd w:id="1045"/>
      <w:bookmarkEnd w:id="1046"/>
    </w:p>
    <w:tbl>
      <w:tblPr>
        <w:tblW w:w="8505" w:type="dxa"/>
        <w:tblBorders>
          <w:top w:val="single" w:sz="4" w:space="0" w:color="1B556B" w:themeColor="text2"/>
          <w:bottom w:val="single" w:sz="4" w:space="0" w:color="1B556B" w:themeColor="text2"/>
          <w:insideH w:val="single" w:sz="4" w:space="0" w:color="1B556B" w:themeColor="text2"/>
        </w:tblBorders>
        <w:tblLayout w:type="fixed"/>
        <w:tblLook w:val="01E0" w:firstRow="1" w:lastRow="1" w:firstColumn="1" w:lastColumn="1" w:noHBand="0" w:noVBand="0"/>
      </w:tblPr>
      <w:tblGrid>
        <w:gridCol w:w="1767"/>
        <w:gridCol w:w="1651"/>
        <w:gridCol w:w="1424"/>
        <w:gridCol w:w="1431"/>
        <w:gridCol w:w="1264"/>
        <w:gridCol w:w="968"/>
      </w:tblGrid>
      <w:tr w:rsidR="007523B8" w:rsidRPr="009E06AA" w14:paraId="544044AC" w14:textId="77777777" w:rsidTr="00B55F24">
        <w:trPr>
          <w:cantSplit/>
          <w:tblHeader/>
        </w:trPr>
        <w:tc>
          <w:tcPr>
            <w:tcW w:w="1758" w:type="dxa"/>
            <w:shd w:val="clear" w:color="auto" w:fill="1B556B"/>
            <w:vAlign w:val="bottom"/>
          </w:tcPr>
          <w:p w14:paraId="67DA545E" w14:textId="77777777" w:rsidR="007523B8" w:rsidRPr="009E06AA" w:rsidRDefault="007523B8" w:rsidP="00B55F24">
            <w:pPr>
              <w:pStyle w:val="TableTextBold"/>
              <w:keepNext/>
              <w:spacing w:before="40" w:after="40"/>
              <w:rPr>
                <w:noProof w:val="0"/>
                <w:color w:val="FFFFFF" w:themeColor="background1"/>
                <w:szCs w:val="16"/>
              </w:rPr>
            </w:pPr>
            <w:r w:rsidRPr="009E06AA">
              <w:rPr>
                <w:noProof w:val="0"/>
                <w:color w:val="FFFFFF" w:themeColor="background1"/>
                <w:szCs w:val="16"/>
              </w:rPr>
              <w:t>Livestock category</w:t>
            </w:r>
          </w:p>
        </w:tc>
        <w:tc>
          <w:tcPr>
            <w:tcW w:w="1644" w:type="dxa"/>
            <w:shd w:val="clear" w:color="auto" w:fill="1B556B"/>
            <w:vAlign w:val="bottom"/>
          </w:tcPr>
          <w:p w14:paraId="3DE379D5" w14:textId="77777777" w:rsidR="007523B8" w:rsidRPr="009E06AA" w:rsidRDefault="007523B8" w:rsidP="00142C5F">
            <w:pPr>
              <w:pStyle w:val="TableTextBold"/>
              <w:keepNext/>
              <w:spacing w:before="40" w:after="40"/>
              <w:jc w:val="right"/>
              <w:rPr>
                <w:noProof w:val="0"/>
                <w:color w:val="FFFFFF" w:themeColor="background1"/>
                <w:szCs w:val="16"/>
              </w:rPr>
            </w:pPr>
            <w:r w:rsidRPr="009E06AA">
              <w:rPr>
                <w:noProof w:val="0"/>
                <w:color w:val="FFFFFF" w:themeColor="background1"/>
                <w:szCs w:val="16"/>
              </w:rPr>
              <w:t>Anaerobic lagoon (%)</w:t>
            </w:r>
          </w:p>
        </w:tc>
        <w:tc>
          <w:tcPr>
            <w:tcW w:w="1418" w:type="dxa"/>
            <w:shd w:val="clear" w:color="auto" w:fill="1B556B"/>
            <w:vAlign w:val="bottom"/>
          </w:tcPr>
          <w:p w14:paraId="5AC5B87E" w14:textId="77777777" w:rsidR="007523B8" w:rsidRPr="009E06AA" w:rsidRDefault="007523B8" w:rsidP="00142C5F">
            <w:pPr>
              <w:pStyle w:val="TableTextBold"/>
              <w:keepNext/>
              <w:spacing w:before="40" w:after="40"/>
              <w:jc w:val="right"/>
              <w:rPr>
                <w:noProof w:val="0"/>
                <w:color w:val="FFFFFF" w:themeColor="background1"/>
                <w:szCs w:val="16"/>
              </w:rPr>
            </w:pPr>
            <w:r w:rsidRPr="009E06AA">
              <w:rPr>
                <w:noProof w:val="0"/>
                <w:color w:val="FFFFFF" w:themeColor="background1"/>
                <w:szCs w:val="16"/>
              </w:rPr>
              <w:t>Daily spread</w:t>
            </w:r>
            <w:r w:rsidRPr="009E06AA">
              <w:rPr>
                <w:rStyle w:val="FootnoteReference"/>
                <w:noProof w:val="0"/>
                <w:color w:val="FFFFFF" w:themeColor="background1"/>
                <w:sz w:val="16"/>
              </w:rPr>
              <w:footnoteReference w:id="38"/>
            </w:r>
            <w:r w:rsidRPr="009E06AA">
              <w:rPr>
                <w:noProof w:val="0"/>
                <w:color w:val="FFFFFF" w:themeColor="background1"/>
                <w:szCs w:val="16"/>
              </w:rPr>
              <w:t xml:space="preserve"> (%)</w:t>
            </w:r>
          </w:p>
        </w:tc>
        <w:tc>
          <w:tcPr>
            <w:tcW w:w="1425" w:type="dxa"/>
            <w:shd w:val="clear" w:color="auto" w:fill="1B556B"/>
            <w:vAlign w:val="bottom"/>
          </w:tcPr>
          <w:p w14:paraId="6E43AAFD" w14:textId="77777777" w:rsidR="007523B8" w:rsidRPr="009E06AA" w:rsidRDefault="007523B8" w:rsidP="00142C5F">
            <w:pPr>
              <w:pStyle w:val="TableTextBold"/>
              <w:keepNext/>
              <w:spacing w:before="40" w:after="40"/>
              <w:jc w:val="right"/>
              <w:rPr>
                <w:noProof w:val="0"/>
                <w:color w:val="FFFFFF" w:themeColor="background1"/>
                <w:szCs w:val="16"/>
              </w:rPr>
            </w:pPr>
            <w:r w:rsidRPr="009E06AA">
              <w:rPr>
                <w:noProof w:val="0"/>
                <w:color w:val="FFFFFF" w:themeColor="background1"/>
                <w:szCs w:val="16"/>
              </w:rPr>
              <w:t>Pasture, range and paddock</w:t>
            </w:r>
            <w:r w:rsidRPr="009E06AA">
              <w:rPr>
                <w:rStyle w:val="FootnoteReference"/>
                <w:noProof w:val="0"/>
                <w:color w:val="FFFFFF" w:themeColor="background1"/>
                <w:sz w:val="16"/>
              </w:rPr>
              <w:footnoteReference w:id="39"/>
            </w:r>
            <w:r w:rsidRPr="009E06AA">
              <w:rPr>
                <w:noProof w:val="0"/>
                <w:color w:val="FFFFFF" w:themeColor="background1"/>
                <w:szCs w:val="16"/>
              </w:rPr>
              <w:t xml:space="preserve"> (%)</w:t>
            </w:r>
          </w:p>
        </w:tc>
        <w:tc>
          <w:tcPr>
            <w:tcW w:w="1258" w:type="dxa"/>
            <w:shd w:val="clear" w:color="auto" w:fill="1B556B"/>
            <w:vAlign w:val="bottom"/>
          </w:tcPr>
          <w:p w14:paraId="3503975C" w14:textId="77777777" w:rsidR="007523B8" w:rsidRPr="009E06AA" w:rsidRDefault="007523B8" w:rsidP="00142C5F">
            <w:pPr>
              <w:pStyle w:val="TableTextBold"/>
              <w:keepNext/>
              <w:spacing w:before="40" w:after="40"/>
              <w:jc w:val="right"/>
              <w:rPr>
                <w:noProof w:val="0"/>
                <w:color w:val="FFFFFF" w:themeColor="background1"/>
                <w:szCs w:val="16"/>
              </w:rPr>
            </w:pPr>
            <w:r w:rsidRPr="009E06AA">
              <w:rPr>
                <w:noProof w:val="0"/>
                <w:color w:val="FFFFFF" w:themeColor="background1"/>
                <w:szCs w:val="16"/>
              </w:rPr>
              <w:t>Solid storage and dry lot (%)</w:t>
            </w:r>
          </w:p>
        </w:tc>
        <w:tc>
          <w:tcPr>
            <w:tcW w:w="964" w:type="dxa"/>
            <w:shd w:val="clear" w:color="auto" w:fill="1B556B"/>
            <w:vAlign w:val="bottom"/>
          </w:tcPr>
          <w:p w14:paraId="65D26A2E" w14:textId="77777777" w:rsidR="007523B8" w:rsidRPr="009E06AA" w:rsidRDefault="007523B8" w:rsidP="00142C5F">
            <w:pPr>
              <w:pStyle w:val="TableTextBold"/>
              <w:keepNext/>
              <w:spacing w:before="40" w:after="40"/>
              <w:jc w:val="right"/>
              <w:rPr>
                <w:noProof w:val="0"/>
                <w:color w:val="FFFFFF" w:themeColor="background1"/>
                <w:szCs w:val="16"/>
              </w:rPr>
            </w:pPr>
            <w:r w:rsidRPr="009E06AA">
              <w:rPr>
                <w:noProof w:val="0"/>
                <w:color w:val="FFFFFF" w:themeColor="background1"/>
                <w:szCs w:val="16"/>
              </w:rPr>
              <w:t>Other (%)</w:t>
            </w:r>
          </w:p>
        </w:tc>
      </w:tr>
      <w:tr w:rsidR="007523B8" w:rsidRPr="009E06AA" w14:paraId="12FF22BF" w14:textId="77777777" w:rsidTr="00B55F24">
        <w:trPr>
          <w:cantSplit/>
        </w:trPr>
        <w:tc>
          <w:tcPr>
            <w:tcW w:w="1758" w:type="dxa"/>
            <w:vAlign w:val="bottom"/>
          </w:tcPr>
          <w:p w14:paraId="40974BC8" w14:textId="77777777" w:rsidR="007523B8" w:rsidRPr="009E06AA" w:rsidRDefault="007523B8" w:rsidP="00B55F24">
            <w:pPr>
              <w:pStyle w:val="TableText"/>
              <w:spacing w:before="40" w:after="40"/>
              <w:rPr>
                <w:rFonts w:cs="Calibri"/>
                <w:szCs w:val="16"/>
              </w:rPr>
            </w:pPr>
            <w:r w:rsidRPr="009E06AA">
              <w:rPr>
                <w:rFonts w:cs="Calibri"/>
                <w:szCs w:val="16"/>
              </w:rPr>
              <w:t>Dairy cattle</w:t>
            </w:r>
            <w:r w:rsidRPr="009E06AA">
              <w:rPr>
                <w:rStyle w:val="FootnoteReference"/>
                <w:rFonts w:cs="Calibri"/>
                <w:sz w:val="16"/>
                <w:szCs w:val="16"/>
              </w:rPr>
              <w:footnoteReference w:id="40"/>
            </w:r>
          </w:p>
        </w:tc>
        <w:tc>
          <w:tcPr>
            <w:tcW w:w="1644" w:type="dxa"/>
            <w:vAlign w:val="center"/>
          </w:tcPr>
          <w:p w14:paraId="07431492" w14:textId="77777777" w:rsidR="007523B8" w:rsidRPr="009E06AA" w:rsidRDefault="007523B8" w:rsidP="00142C5F">
            <w:pPr>
              <w:pStyle w:val="TableText"/>
              <w:spacing w:before="40" w:after="40"/>
              <w:jc w:val="right"/>
              <w:rPr>
                <w:rFonts w:cs="Calibri"/>
                <w:szCs w:val="16"/>
              </w:rPr>
            </w:pPr>
            <w:r w:rsidRPr="009E06AA">
              <w:rPr>
                <w:rFonts w:cs="Calibri"/>
                <w:szCs w:val="16"/>
              </w:rPr>
              <w:t>7.1</w:t>
            </w:r>
          </w:p>
        </w:tc>
        <w:tc>
          <w:tcPr>
            <w:tcW w:w="1418" w:type="dxa"/>
            <w:vAlign w:val="center"/>
          </w:tcPr>
          <w:p w14:paraId="3378E182" w14:textId="77777777" w:rsidR="007523B8" w:rsidRPr="009E06AA" w:rsidRDefault="007523B8" w:rsidP="00142C5F">
            <w:pPr>
              <w:pStyle w:val="TableText"/>
              <w:spacing w:before="40" w:after="40"/>
              <w:jc w:val="right"/>
              <w:rPr>
                <w:rFonts w:cs="Calibri"/>
                <w:szCs w:val="16"/>
              </w:rPr>
            </w:pPr>
            <w:r w:rsidRPr="009E06AA">
              <w:rPr>
                <w:rFonts w:cs="Calibri"/>
                <w:szCs w:val="16"/>
              </w:rPr>
              <w:t>–</w:t>
            </w:r>
          </w:p>
        </w:tc>
        <w:tc>
          <w:tcPr>
            <w:tcW w:w="1425" w:type="dxa"/>
            <w:vAlign w:val="center"/>
          </w:tcPr>
          <w:p w14:paraId="3F70021B" w14:textId="77777777" w:rsidR="007523B8" w:rsidRPr="009E06AA" w:rsidRDefault="007523B8" w:rsidP="00142C5F">
            <w:pPr>
              <w:pStyle w:val="TableText"/>
              <w:spacing w:before="40" w:after="40"/>
              <w:jc w:val="right"/>
              <w:rPr>
                <w:rFonts w:cs="Calibri"/>
                <w:szCs w:val="16"/>
              </w:rPr>
            </w:pPr>
            <w:r w:rsidRPr="009E06AA">
              <w:rPr>
                <w:rFonts w:cs="Calibri"/>
                <w:szCs w:val="16"/>
              </w:rPr>
              <w:t>92.9</w:t>
            </w:r>
          </w:p>
        </w:tc>
        <w:tc>
          <w:tcPr>
            <w:tcW w:w="1258" w:type="dxa"/>
            <w:vAlign w:val="center"/>
          </w:tcPr>
          <w:p w14:paraId="470DA365" w14:textId="77777777" w:rsidR="007523B8" w:rsidRPr="009E06AA" w:rsidRDefault="007523B8" w:rsidP="00142C5F">
            <w:pPr>
              <w:pStyle w:val="TableText"/>
              <w:spacing w:before="40" w:after="40"/>
              <w:jc w:val="right"/>
              <w:rPr>
                <w:rFonts w:cs="Calibri"/>
                <w:szCs w:val="16"/>
              </w:rPr>
            </w:pPr>
            <w:r w:rsidRPr="009E06AA">
              <w:rPr>
                <w:rFonts w:cs="Calibri"/>
                <w:szCs w:val="16"/>
              </w:rPr>
              <w:t>–</w:t>
            </w:r>
          </w:p>
        </w:tc>
        <w:tc>
          <w:tcPr>
            <w:tcW w:w="964" w:type="dxa"/>
            <w:vAlign w:val="center"/>
          </w:tcPr>
          <w:p w14:paraId="71422E82" w14:textId="77777777" w:rsidR="007523B8" w:rsidRPr="009E06AA" w:rsidRDefault="007523B8" w:rsidP="00142C5F">
            <w:pPr>
              <w:pStyle w:val="TableText"/>
              <w:spacing w:before="40" w:after="40"/>
              <w:jc w:val="right"/>
              <w:rPr>
                <w:rFonts w:cs="Calibri"/>
                <w:szCs w:val="16"/>
              </w:rPr>
            </w:pPr>
            <w:r w:rsidRPr="009E06AA">
              <w:rPr>
                <w:rFonts w:cs="Calibri"/>
                <w:szCs w:val="16"/>
              </w:rPr>
              <w:t>–</w:t>
            </w:r>
          </w:p>
        </w:tc>
      </w:tr>
      <w:tr w:rsidR="007523B8" w:rsidRPr="009E06AA" w14:paraId="0137689B" w14:textId="77777777" w:rsidTr="00B55F24">
        <w:trPr>
          <w:cantSplit/>
        </w:trPr>
        <w:tc>
          <w:tcPr>
            <w:tcW w:w="1758" w:type="dxa"/>
            <w:vAlign w:val="bottom"/>
          </w:tcPr>
          <w:p w14:paraId="60E4B40E" w14:textId="77777777" w:rsidR="007523B8" w:rsidRPr="009E06AA" w:rsidRDefault="007523B8" w:rsidP="00B55F24">
            <w:pPr>
              <w:pStyle w:val="TableText"/>
              <w:spacing w:before="40" w:after="40"/>
              <w:rPr>
                <w:rFonts w:cs="Calibri"/>
                <w:szCs w:val="16"/>
              </w:rPr>
            </w:pPr>
            <w:r w:rsidRPr="009E06AA">
              <w:rPr>
                <w:rFonts w:cs="Calibri"/>
                <w:szCs w:val="16"/>
              </w:rPr>
              <w:t xml:space="preserve">Non-dairy </w:t>
            </w:r>
            <w:r w:rsidRPr="009E06AA">
              <w:rPr>
                <w:rFonts w:cs="Calibri"/>
                <w:i/>
                <w:iCs/>
                <w:szCs w:val="16"/>
              </w:rPr>
              <w:t>(beef)</w:t>
            </w:r>
            <w:r w:rsidRPr="009E06AA">
              <w:rPr>
                <w:rFonts w:cs="Calibri"/>
                <w:szCs w:val="16"/>
              </w:rPr>
              <w:t xml:space="preserve"> cattle</w:t>
            </w:r>
          </w:p>
        </w:tc>
        <w:tc>
          <w:tcPr>
            <w:tcW w:w="1644" w:type="dxa"/>
            <w:vAlign w:val="center"/>
          </w:tcPr>
          <w:p w14:paraId="40DC5F8B" w14:textId="77777777" w:rsidR="007523B8" w:rsidRPr="009E06AA" w:rsidRDefault="007523B8" w:rsidP="00142C5F">
            <w:pPr>
              <w:pStyle w:val="TableText"/>
              <w:spacing w:before="40" w:after="40"/>
              <w:jc w:val="right"/>
              <w:rPr>
                <w:rFonts w:cs="Calibri"/>
                <w:szCs w:val="16"/>
              </w:rPr>
            </w:pPr>
            <w:r w:rsidRPr="009E06AA">
              <w:rPr>
                <w:rFonts w:cs="Calibri"/>
                <w:szCs w:val="16"/>
              </w:rPr>
              <w:t>–</w:t>
            </w:r>
          </w:p>
        </w:tc>
        <w:tc>
          <w:tcPr>
            <w:tcW w:w="1418" w:type="dxa"/>
            <w:vAlign w:val="center"/>
          </w:tcPr>
          <w:p w14:paraId="614A24E5" w14:textId="77777777" w:rsidR="007523B8" w:rsidRPr="009E06AA" w:rsidRDefault="007523B8" w:rsidP="00142C5F">
            <w:pPr>
              <w:pStyle w:val="TableText"/>
              <w:spacing w:before="40" w:after="40"/>
              <w:jc w:val="right"/>
              <w:rPr>
                <w:rFonts w:cs="Calibri"/>
                <w:szCs w:val="16"/>
              </w:rPr>
            </w:pPr>
            <w:r w:rsidRPr="009E06AA">
              <w:rPr>
                <w:rFonts w:cs="Calibri"/>
                <w:szCs w:val="16"/>
              </w:rPr>
              <w:t>–</w:t>
            </w:r>
          </w:p>
        </w:tc>
        <w:tc>
          <w:tcPr>
            <w:tcW w:w="1425" w:type="dxa"/>
            <w:vAlign w:val="center"/>
          </w:tcPr>
          <w:p w14:paraId="74765761" w14:textId="77777777" w:rsidR="007523B8" w:rsidRPr="009E06AA" w:rsidRDefault="007523B8" w:rsidP="00142C5F">
            <w:pPr>
              <w:pStyle w:val="TableText"/>
              <w:spacing w:before="40" w:after="40"/>
              <w:jc w:val="right"/>
              <w:rPr>
                <w:rFonts w:cs="Calibri"/>
                <w:szCs w:val="16"/>
              </w:rPr>
            </w:pPr>
            <w:r w:rsidRPr="009E06AA">
              <w:rPr>
                <w:rFonts w:cs="Calibri"/>
                <w:szCs w:val="16"/>
              </w:rPr>
              <w:t>100.0</w:t>
            </w:r>
          </w:p>
        </w:tc>
        <w:tc>
          <w:tcPr>
            <w:tcW w:w="1258" w:type="dxa"/>
            <w:vAlign w:val="center"/>
          </w:tcPr>
          <w:p w14:paraId="7B031D8B" w14:textId="77777777" w:rsidR="007523B8" w:rsidRPr="009E06AA" w:rsidRDefault="007523B8" w:rsidP="00142C5F">
            <w:pPr>
              <w:pStyle w:val="TableText"/>
              <w:spacing w:before="40" w:after="40"/>
              <w:jc w:val="right"/>
              <w:rPr>
                <w:rFonts w:cs="Calibri"/>
                <w:szCs w:val="16"/>
              </w:rPr>
            </w:pPr>
            <w:r w:rsidRPr="009E06AA">
              <w:rPr>
                <w:rFonts w:cs="Calibri"/>
                <w:szCs w:val="16"/>
              </w:rPr>
              <w:t>–</w:t>
            </w:r>
          </w:p>
        </w:tc>
        <w:tc>
          <w:tcPr>
            <w:tcW w:w="964" w:type="dxa"/>
            <w:vAlign w:val="center"/>
          </w:tcPr>
          <w:p w14:paraId="419160B2" w14:textId="77777777" w:rsidR="007523B8" w:rsidRPr="009E06AA" w:rsidRDefault="007523B8" w:rsidP="00142C5F">
            <w:pPr>
              <w:pStyle w:val="TableText"/>
              <w:spacing w:before="40" w:after="40"/>
              <w:jc w:val="right"/>
              <w:rPr>
                <w:rFonts w:cs="Calibri"/>
                <w:szCs w:val="16"/>
              </w:rPr>
            </w:pPr>
            <w:r w:rsidRPr="009E06AA">
              <w:rPr>
                <w:rFonts w:cs="Calibri"/>
                <w:szCs w:val="16"/>
              </w:rPr>
              <w:t>–</w:t>
            </w:r>
          </w:p>
        </w:tc>
      </w:tr>
      <w:tr w:rsidR="007523B8" w:rsidRPr="009E06AA" w14:paraId="21750671" w14:textId="77777777" w:rsidTr="00B55F24">
        <w:trPr>
          <w:cantSplit/>
        </w:trPr>
        <w:tc>
          <w:tcPr>
            <w:tcW w:w="1758" w:type="dxa"/>
            <w:vAlign w:val="bottom"/>
          </w:tcPr>
          <w:p w14:paraId="45B4B0EA" w14:textId="77777777" w:rsidR="007523B8" w:rsidRPr="009E06AA" w:rsidRDefault="007523B8" w:rsidP="00B55F24">
            <w:pPr>
              <w:pStyle w:val="TableText"/>
              <w:spacing w:before="40" w:after="40"/>
              <w:rPr>
                <w:rFonts w:cs="Calibri"/>
                <w:szCs w:val="16"/>
              </w:rPr>
            </w:pPr>
            <w:r w:rsidRPr="009E06AA">
              <w:rPr>
                <w:rFonts w:cs="Calibri"/>
                <w:szCs w:val="16"/>
              </w:rPr>
              <w:t>Sheep</w:t>
            </w:r>
          </w:p>
        </w:tc>
        <w:tc>
          <w:tcPr>
            <w:tcW w:w="1644" w:type="dxa"/>
            <w:vAlign w:val="center"/>
          </w:tcPr>
          <w:p w14:paraId="3FF3DA19" w14:textId="77777777" w:rsidR="007523B8" w:rsidRPr="009E06AA" w:rsidRDefault="007523B8" w:rsidP="00142C5F">
            <w:pPr>
              <w:pStyle w:val="TableText"/>
              <w:spacing w:before="40" w:after="40"/>
              <w:jc w:val="right"/>
              <w:rPr>
                <w:rFonts w:cs="Calibri"/>
                <w:szCs w:val="16"/>
              </w:rPr>
            </w:pPr>
            <w:r w:rsidRPr="009E06AA">
              <w:rPr>
                <w:rFonts w:cs="Calibri"/>
                <w:szCs w:val="16"/>
              </w:rPr>
              <w:t>–</w:t>
            </w:r>
          </w:p>
        </w:tc>
        <w:tc>
          <w:tcPr>
            <w:tcW w:w="1418" w:type="dxa"/>
            <w:vAlign w:val="center"/>
          </w:tcPr>
          <w:p w14:paraId="0902D544" w14:textId="77777777" w:rsidR="007523B8" w:rsidRPr="009E06AA" w:rsidRDefault="007523B8" w:rsidP="00142C5F">
            <w:pPr>
              <w:pStyle w:val="TableText"/>
              <w:spacing w:before="40" w:after="40"/>
              <w:jc w:val="right"/>
              <w:rPr>
                <w:rFonts w:cs="Calibri"/>
                <w:szCs w:val="16"/>
              </w:rPr>
            </w:pPr>
            <w:r w:rsidRPr="009E06AA">
              <w:rPr>
                <w:rFonts w:cs="Calibri"/>
                <w:szCs w:val="16"/>
              </w:rPr>
              <w:t>–</w:t>
            </w:r>
          </w:p>
        </w:tc>
        <w:tc>
          <w:tcPr>
            <w:tcW w:w="1425" w:type="dxa"/>
            <w:vAlign w:val="center"/>
          </w:tcPr>
          <w:p w14:paraId="4CBC3F8F" w14:textId="77777777" w:rsidR="007523B8" w:rsidRPr="009E06AA" w:rsidRDefault="007523B8" w:rsidP="00142C5F">
            <w:pPr>
              <w:pStyle w:val="TableText"/>
              <w:spacing w:before="40" w:after="40"/>
              <w:jc w:val="right"/>
              <w:rPr>
                <w:rFonts w:cs="Calibri"/>
                <w:szCs w:val="16"/>
              </w:rPr>
            </w:pPr>
            <w:r w:rsidRPr="009E06AA">
              <w:rPr>
                <w:rFonts w:cs="Calibri"/>
                <w:szCs w:val="16"/>
              </w:rPr>
              <w:t>100.0</w:t>
            </w:r>
          </w:p>
        </w:tc>
        <w:tc>
          <w:tcPr>
            <w:tcW w:w="1258" w:type="dxa"/>
            <w:vAlign w:val="center"/>
          </w:tcPr>
          <w:p w14:paraId="6CDF3114" w14:textId="77777777" w:rsidR="007523B8" w:rsidRPr="009E06AA" w:rsidRDefault="007523B8" w:rsidP="00142C5F">
            <w:pPr>
              <w:pStyle w:val="TableText"/>
              <w:spacing w:before="40" w:after="40"/>
              <w:jc w:val="right"/>
              <w:rPr>
                <w:rFonts w:cs="Calibri"/>
                <w:szCs w:val="16"/>
              </w:rPr>
            </w:pPr>
            <w:r w:rsidRPr="009E06AA">
              <w:rPr>
                <w:rFonts w:cs="Calibri"/>
                <w:szCs w:val="16"/>
              </w:rPr>
              <w:t>–</w:t>
            </w:r>
          </w:p>
        </w:tc>
        <w:tc>
          <w:tcPr>
            <w:tcW w:w="964" w:type="dxa"/>
            <w:vAlign w:val="center"/>
          </w:tcPr>
          <w:p w14:paraId="496ACE31" w14:textId="77777777" w:rsidR="007523B8" w:rsidRPr="009E06AA" w:rsidRDefault="007523B8" w:rsidP="00142C5F">
            <w:pPr>
              <w:pStyle w:val="TableText"/>
              <w:spacing w:before="40" w:after="40"/>
              <w:jc w:val="right"/>
              <w:rPr>
                <w:rFonts w:cs="Calibri"/>
                <w:szCs w:val="16"/>
              </w:rPr>
            </w:pPr>
            <w:r w:rsidRPr="009E06AA">
              <w:rPr>
                <w:rFonts w:cs="Calibri"/>
                <w:szCs w:val="16"/>
              </w:rPr>
              <w:t>–</w:t>
            </w:r>
          </w:p>
        </w:tc>
      </w:tr>
      <w:tr w:rsidR="007523B8" w:rsidRPr="009E06AA" w14:paraId="1AEA9B18" w14:textId="77777777" w:rsidTr="00B55F24">
        <w:trPr>
          <w:cantSplit/>
        </w:trPr>
        <w:tc>
          <w:tcPr>
            <w:tcW w:w="1758" w:type="dxa"/>
            <w:vAlign w:val="bottom"/>
          </w:tcPr>
          <w:p w14:paraId="2184F252" w14:textId="77777777" w:rsidR="007523B8" w:rsidRPr="009E06AA" w:rsidRDefault="007523B8" w:rsidP="00B55F24">
            <w:pPr>
              <w:pStyle w:val="TableText"/>
              <w:spacing w:before="40" w:after="40"/>
              <w:rPr>
                <w:rFonts w:cs="Calibri"/>
                <w:szCs w:val="16"/>
              </w:rPr>
            </w:pPr>
            <w:r w:rsidRPr="009E06AA">
              <w:rPr>
                <w:rFonts w:cs="Calibri"/>
                <w:szCs w:val="16"/>
              </w:rPr>
              <w:t>Deer</w:t>
            </w:r>
          </w:p>
        </w:tc>
        <w:tc>
          <w:tcPr>
            <w:tcW w:w="1644" w:type="dxa"/>
            <w:vAlign w:val="center"/>
          </w:tcPr>
          <w:p w14:paraId="04510265" w14:textId="77777777" w:rsidR="007523B8" w:rsidRPr="009E06AA" w:rsidRDefault="007523B8" w:rsidP="00142C5F">
            <w:pPr>
              <w:pStyle w:val="TableText"/>
              <w:spacing w:before="40" w:after="40"/>
              <w:jc w:val="right"/>
              <w:rPr>
                <w:rFonts w:cs="Calibri"/>
                <w:szCs w:val="16"/>
              </w:rPr>
            </w:pPr>
            <w:r w:rsidRPr="009E06AA">
              <w:rPr>
                <w:rFonts w:cs="Calibri"/>
                <w:szCs w:val="16"/>
              </w:rPr>
              <w:t>–</w:t>
            </w:r>
          </w:p>
        </w:tc>
        <w:tc>
          <w:tcPr>
            <w:tcW w:w="1418" w:type="dxa"/>
            <w:vAlign w:val="center"/>
          </w:tcPr>
          <w:p w14:paraId="32D57E8F" w14:textId="77777777" w:rsidR="007523B8" w:rsidRPr="009E06AA" w:rsidRDefault="007523B8" w:rsidP="00142C5F">
            <w:pPr>
              <w:pStyle w:val="TableText"/>
              <w:spacing w:before="40" w:after="40"/>
              <w:jc w:val="right"/>
              <w:rPr>
                <w:rFonts w:cs="Calibri"/>
                <w:szCs w:val="16"/>
              </w:rPr>
            </w:pPr>
            <w:r w:rsidRPr="009E06AA">
              <w:rPr>
                <w:rFonts w:cs="Calibri"/>
                <w:szCs w:val="16"/>
              </w:rPr>
              <w:t>–</w:t>
            </w:r>
          </w:p>
        </w:tc>
        <w:tc>
          <w:tcPr>
            <w:tcW w:w="1425" w:type="dxa"/>
            <w:vAlign w:val="center"/>
          </w:tcPr>
          <w:p w14:paraId="436511AF" w14:textId="77777777" w:rsidR="007523B8" w:rsidRPr="009E06AA" w:rsidRDefault="007523B8" w:rsidP="00142C5F">
            <w:pPr>
              <w:pStyle w:val="TableText"/>
              <w:spacing w:before="40" w:after="40"/>
              <w:jc w:val="right"/>
              <w:rPr>
                <w:rFonts w:cs="Calibri"/>
                <w:szCs w:val="16"/>
              </w:rPr>
            </w:pPr>
            <w:r w:rsidRPr="009E06AA">
              <w:rPr>
                <w:rFonts w:cs="Calibri"/>
                <w:szCs w:val="16"/>
              </w:rPr>
              <w:t>100.0</w:t>
            </w:r>
          </w:p>
        </w:tc>
        <w:tc>
          <w:tcPr>
            <w:tcW w:w="1258" w:type="dxa"/>
            <w:vAlign w:val="center"/>
          </w:tcPr>
          <w:p w14:paraId="17644955" w14:textId="77777777" w:rsidR="007523B8" w:rsidRPr="009E06AA" w:rsidRDefault="007523B8" w:rsidP="00142C5F">
            <w:pPr>
              <w:pStyle w:val="TableText"/>
              <w:spacing w:before="40" w:after="40"/>
              <w:jc w:val="right"/>
              <w:rPr>
                <w:rFonts w:cs="Calibri"/>
                <w:szCs w:val="16"/>
              </w:rPr>
            </w:pPr>
            <w:r w:rsidRPr="009E06AA">
              <w:rPr>
                <w:rFonts w:cs="Calibri"/>
                <w:szCs w:val="16"/>
              </w:rPr>
              <w:t>–</w:t>
            </w:r>
          </w:p>
        </w:tc>
        <w:tc>
          <w:tcPr>
            <w:tcW w:w="964" w:type="dxa"/>
            <w:vAlign w:val="center"/>
          </w:tcPr>
          <w:p w14:paraId="7D5E04C9" w14:textId="77777777" w:rsidR="007523B8" w:rsidRPr="009E06AA" w:rsidRDefault="007523B8" w:rsidP="00142C5F">
            <w:pPr>
              <w:pStyle w:val="TableText"/>
              <w:spacing w:before="40" w:after="40"/>
              <w:jc w:val="right"/>
              <w:rPr>
                <w:rFonts w:cs="Calibri"/>
                <w:szCs w:val="16"/>
              </w:rPr>
            </w:pPr>
            <w:r w:rsidRPr="009E06AA">
              <w:rPr>
                <w:rFonts w:cs="Calibri"/>
                <w:szCs w:val="16"/>
              </w:rPr>
              <w:t>–</w:t>
            </w:r>
          </w:p>
        </w:tc>
      </w:tr>
      <w:tr w:rsidR="007523B8" w:rsidRPr="009E06AA" w14:paraId="798AC501" w14:textId="77777777" w:rsidTr="00B55F24">
        <w:trPr>
          <w:cantSplit/>
        </w:trPr>
        <w:tc>
          <w:tcPr>
            <w:tcW w:w="1758" w:type="dxa"/>
            <w:vAlign w:val="bottom"/>
          </w:tcPr>
          <w:p w14:paraId="354C95CD" w14:textId="77777777" w:rsidR="007523B8" w:rsidRPr="009E06AA" w:rsidRDefault="007523B8" w:rsidP="00B55F24">
            <w:pPr>
              <w:pStyle w:val="TableText"/>
              <w:spacing w:before="40" w:after="40"/>
              <w:rPr>
                <w:rFonts w:cs="Calibri"/>
                <w:szCs w:val="16"/>
              </w:rPr>
            </w:pPr>
            <w:r w:rsidRPr="009E06AA">
              <w:rPr>
                <w:rFonts w:cs="Calibri"/>
                <w:szCs w:val="16"/>
              </w:rPr>
              <w:t>Goats</w:t>
            </w:r>
          </w:p>
        </w:tc>
        <w:tc>
          <w:tcPr>
            <w:tcW w:w="1644" w:type="dxa"/>
            <w:vAlign w:val="center"/>
          </w:tcPr>
          <w:p w14:paraId="561BA825" w14:textId="77777777" w:rsidR="007523B8" w:rsidRPr="009E06AA" w:rsidRDefault="007523B8" w:rsidP="00142C5F">
            <w:pPr>
              <w:pStyle w:val="TableText"/>
              <w:spacing w:before="40" w:after="40"/>
              <w:jc w:val="right"/>
              <w:rPr>
                <w:rFonts w:cs="Calibri"/>
                <w:szCs w:val="16"/>
              </w:rPr>
            </w:pPr>
            <w:r w:rsidRPr="009E06AA">
              <w:rPr>
                <w:rFonts w:cs="Calibri"/>
                <w:szCs w:val="16"/>
              </w:rPr>
              <w:t>–</w:t>
            </w:r>
          </w:p>
        </w:tc>
        <w:tc>
          <w:tcPr>
            <w:tcW w:w="1418" w:type="dxa"/>
            <w:vAlign w:val="center"/>
          </w:tcPr>
          <w:p w14:paraId="7E0E8900" w14:textId="77777777" w:rsidR="007523B8" w:rsidRPr="009E06AA" w:rsidRDefault="007523B8" w:rsidP="00142C5F">
            <w:pPr>
              <w:pStyle w:val="TableText"/>
              <w:spacing w:before="40" w:after="40"/>
              <w:jc w:val="right"/>
              <w:rPr>
                <w:rFonts w:cs="Calibri"/>
                <w:szCs w:val="16"/>
              </w:rPr>
            </w:pPr>
            <w:r w:rsidRPr="009E06AA">
              <w:rPr>
                <w:rFonts w:cs="Calibri"/>
                <w:szCs w:val="16"/>
              </w:rPr>
              <w:t>–</w:t>
            </w:r>
          </w:p>
        </w:tc>
        <w:tc>
          <w:tcPr>
            <w:tcW w:w="1425" w:type="dxa"/>
            <w:vAlign w:val="center"/>
          </w:tcPr>
          <w:p w14:paraId="0EAAC4FB" w14:textId="77777777" w:rsidR="007523B8" w:rsidRPr="009E06AA" w:rsidRDefault="007523B8" w:rsidP="00142C5F">
            <w:pPr>
              <w:pStyle w:val="TableText"/>
              <w:spacing w:before="40" w:after="40"/>
              <w:jc w:val="right"/>
              <w:rPr>
                <w:rFonts w:cs="Calibri"/>
                <w:szCs w:val="16"/>
              </w:rPr>
            </w:pPr>
            <w:r w:rsidRPr="009E06AA">
              <w:rPr>
                <w:rFonts w:cs="Calibri"/>
                <w:szCs w:val="16"/>
              </w:rPr>
              <w:t>100.0</w:t>
            </w:r>
          </w:p>
        </w:tc>
        <w:tc>
          <w:tcPr>
            <w:tcW w:w="1258" w:type="dxa"/>
            <w:vAlign w:val="center"/>
          </w:tcPr>
          <w:p w14:paraId="48538DF3" w14:textId="77777777" w:rsidR="007523B8" w:rsidRPr="009E06AA" w:rsidRDefault="007523B8" w:rsidP="00142C5F">
            <w:pPr>
              <w:pStyle w:val="TableText"/>
              <w:spacing w:before="40" w:after="40"/>
              <w:jc w:val="right"/>
              <w:rPr>
                <w:rFonts w:cs="Calibri"/>
                <w:szCs w:val="16"/>
              </w:rPr>
            </w:pPr>
            <w:r w:rsidRPr="009E06AA">
              <w:rPr>
                <w:rFonts w:cs="Calibri"/>
                <w:szCs w:val="16"/>
              </w:rPr>
              <w:t>–</w:t>
            </w:r>
          </w:p>
        </w:tc>
        <w:tc>
          <w:tcPr>
            <w:tcW w:w="964" w:type="dxa"/>
            <w:vAlign w:val="center"/>
          </w:tcPr>
          <w:p w14:paraId="48798908" w14:textId="77777777" w:rsidR="007523B8" w:rsidRPr="009E06AA" w:rsidRDefault="007523B8" w:rsidP="00142C5F">
            <w:pPr>
              <w:pStyle w:val="TableText"/>
              <w:spacing w:before="40" w:after="40"/>
              <w:jc w:val="right"/>
              <w:rPr>
                <w:rFonts w:cs="Calibri"/>
                <w:szCs w:val="16"/>
              </w:rPr>
            </w:pPr>
            <w:r w:rsidRPr="009E06AA">
              <w:rPr>
                <w:rFonts w:cs="Calibri"/>
                <w:szCs w:val="16"/>
              </w:rPr>
              <w:t>–</w:t>
            </w:r>
          </w:p>
        </w:tc>
      </w:tr>
      <w:tr w:rsidR="007523B8" w:rsidRPr="009E06AA" w14:paraId="47247E25" w14:textId="77777777" w:rsidTr="00B55F24">
        <w:trPr>
          <w:cantSplit/>
        </w:trPr>
        <w:tc>
          <w:tcPr>
            <w:tcW w:w="1758" w:type="dxa"/>
            <w:vAlign w:val="bottom"/>
          </w:tcPr>
          <w:p w14:paraId="5BB4B40B" w14:textId="77777777" w:rsidR="007523B8" w:rsidRPr="009E06AA" w:rsidRDefault="007523B8" w:rsidP="00B55F24">
            <w:pPr>
              <w:pStyle w:val="TableText"/>
              <w:spacing w:before="40" w:after="40"/>
              <w:rPr>
                <w:rFonts w:cs="Calibri"/>
                <w:szCs w:val="16"/>
              </w:rPr>
            </w:pPr>
            <w:r w:rsidRPr="009E06AA">
              <w:rPr>
                <w:rFonts w:cs="Calibri"/>
                <w:szCs w:val="16"/>
              </w:rPr>
              <w:t>Horses</w:t>
            </w:r>
          </w:p>
        </w:tc>
        <w:tc>
          <w:tcPr>
            <w:tcW w:w="1644" w:type="dxa"/>
            <w:vAlign w:val="center"/>
          </w:tcPr>
          <w:p w14:paraId="3E6BED6D" w14:textId="77777777" w:rsidR="007523B8" w:rsidRPr="009E06AA" w:rsidRDefault="007523B8" w:rsidP="00142C5F">
            <w:pPr>
              <w:pStyle w:val="TableText"/>
              <w:spacing w:before="40" w:after="40"/>
              <w:jc w:val="right"/>
              <w:rPr>
                <w:rFonts w:cs="Calibri"/>
                <w:szCs w:val="16"/>
              </w:rPr>
            </w:pPr>
            <w:r w:rsidRPr="009E06AA">
              <w:rPr>
                <w:rFonts w:cs="Calibri"/>
                <w:szCs w:val="16"/>
              </w:rPr>
              <w:t>–</w:t>
            </w:r>
          </w:p>
        </w:tc>
        <w:tc>
          <w:tcPr>
            <w:tcW w:w="1418" w:type="dxa"/>
            <w:vAlign w:val="center"/>
          </w:tcPr>
          <w:p w14:paraId="4D8049DC" w14:textId="77777777" w:rsidR="007523B8" w:rsidRPr="009E06AA" w:rsidRDefault="007523B8" w:rsidP="00142C5F">
            <w:pPr>
              <w:pStyle w:val="TableText"/>
              <w:spacing w:before="40" w:after="40"/>
              <w:jc w:val="right"/>
              <w:rPr>
                <w:rFonts w:cs="Calibri"/>
                <w:szCs w:val="16"/>
              </w:rPr>
            </w:pPr>
            <w:r w:rsidRPr="009E06AA">
              <w:rPr>
                <w:rFonts w:cs="Calibri"/>
                <w:szCs w:val="16"/>
              </w:rPr>
              <w:t>–</w:t>
            </w:r>
          </w:p>
        </w:tc>
        <w:tc>
          <w:tcPr>
            <w:tcW w:w="1425" w:type="dxa"/>
            <w:vAlign w:val="center"/>
          </w:tcPr>
          <w:p w14:paraId="4D9E5FE7" w14:textId="77777777" w:rsidR="007523B8" w:rsidRPr="009E06AA" w:rsidRDefault="007523B8" w:rsidP="00142C5F">
            <w:pPr>
              <w:pStyle w:val="TableText"/>
              <w:spacing w:before="40" w:after="40"/>
              <w:jc w:val="right"/>
              <w:rPr>
                <w:rFonts w:cs="Calibri"/>
                <w:szCs w:val="16"/>
              </w:rPr>
            </w:pPr>
            <w:r w:rsidRPr="009E06AA">
              <w:rPr>
                <w:rFonts w:cs="Calibri"/>
                <w:szCs w:val="16"/>
              </w:rPr>
              <w:t>100.0</w:t>
            </w:r>
          </w:p>
        </w:tc>
        <w:tc>
          <w:tcPr>
            <w:tcW w:w="1258" w:type="dxa"/>
            <w:vAlign w:val="center"/>
          </w:tcPr>
          <w:p w14:paraId="4FD1F8BC" w14:textId="77777777" w:rsidR="007523B8" w:rsidRPr="009E06AA" w:rsidRDefault="007523B8" w:rsidP="00142C5F">
            <w:pPr>
              <w:pStyle w:val="TableText"/>
              <w:spacing w:before="40" w:after="40"/>
              <w:jc w:val="right"/>
              <w:rPr>
                <w:rFonts w:cs="Calibri"/>
                <w:szCs w:val="16"/>
              </w:rPr>
            </w:pPr>
            <w:r w:rsidRPr="009E06AA">
              <w:rPr>
                <w:rFonts w:cs="Calibri"/>
                <w:szCs w:val="16"/>
              </w:rPr>
              <w:t>–</w:t>
            </w:r>
          </w:p>
        </w:tc>
        <w:tc>
          <w:tcPr>
            <w:tcW w:w="964" w:type="dxa"/>
            <w:vAlign w:val="center"/>
          </w:tcPr>
          <w:p w14:paraId="454019A4" w14:textId="77777777" w:rsidR="007523B8" w:rsidRPr="009E06AA" w:rsidRDefault="007523B8" w:rsidP="00142C5F">
            <w:pPr>
              <w:pStyle w:val="TableText"/>
              <w:spacing w:before="40" w:after="40"/>
              <w:jc w:val="right"/>
              <w:rPr>
                <w:rFonts w:cs="Calibri"/>
                <w:szCs w:val="16"/>
              </w:rPr>
            </w:pPr>
            <w:r w:rsidRPr="009E06AA">
              <w:rPr>
                <w:rFonts w:cs="Calibri"/>
                <w:szCs w:val="16"/>
              </w:rPr>
              <w:t>–</w:t>
            </w:r>
          </w:p>
        </w:tc>
      </w:tr>
      <w:tr w:rsidR="007523B8" w:rsidRPr="009E06AA" w14:paraId="19827483" w14:textId="77777777" w:rsidTr="00B55F24">
        <w:trPr>
          <w:cantSplit/>
        </w:trPr>
        <w:tc>
          <w:tcPr>
            <w:tcW w:w="1758" w:type="dxa"/>
            <w:vAlign w:val="bottom"/>
          </w:tcPr>
          <w:p w14:paraId="5E083BEA" w14:textId="77777777" w:rsidR="007523B8" w:rsidRPr="009E06AA" w:rsidRDefault="007523B8" w:rsidP="00B55F24">
            <w:pPr>
              <w:pStyle w:val="TableText"/>
              <w:spacing w:before="40" w:after="40"/>
              <w:rPr>
                <w:rFonts w:cs="Calibri"/>
                <w:szCs w:val="16"/>
              </w:rPr>
            </w:pPr>
            <w:r w:rsidRPr="009E06AA">
              <w:rPr>
                <w:rFonts w:cs="Calibri"/>
                <w:szCs w:val="16"/>
              </w:rPr>
              <w:t>Swine</w:t>
            </w:r>
            <w:r w:rsidRPr="009E06AA">
              <w:rPr>
                <w:rStyle w:val="FootnoteReference"/>
                <w:rFonts w:cs="Calibri"/>
                <w:sz w:val="16"/>
                <w:szCs w:val="16"/>
              </w:rPr>
              <w:footnoteReference w:id="41"/>
            </w:r>
          </w:p>
        </w:tc>
        <w:tc>
          <w:tcPr>
            <w:tcW w:w="1644" w:type="dxa"/>
            <w:vAlign w:val="center"/>
          </w:tcPr>
          <w:p w14:paraId="7CEF5E1D" w14:textId="77777777" w:rsidR="007523B8" w:rsidRPr="009E06AA" w:rsidRDefault="007523B8" w:rsidP="00142C5F">
            <w:pPr>
              <w:pStyle w:val="TableText"/>
              <w:spacing w:before="40" w:after="40"/>
              <w:jc w:val="right"/>
              <w:rPr>
                <w:rFonts w:cs="Calibri"/>
                <w:szCs w:val="16"/>
              </w:rPr>
            </w:pPr>
            <w:r w:rsidRPr="009E06AA">
              <w:rPr>
                <w:rFonts w:cs="Calibri"/>
                <w:szCs w:val="16"/>
              </w:rPr>
              <w:t>20.6</w:t>
            </w:r>
          </w:p>
        </w:tc>
        <w:tc>
          <w:tcPr>
            <w:tcW w:w="1418" w:type="dxa"/>
            <w:vAlign w:val="center"/>
          </w:tcPr>
          <w:p w14:paraId="05FA8423" w14:textId="77777777" w:rsidR="007523B8" w:rsidRPr="009E06AA" w:rsidRDefault="007523B8" w:rsidP="00142C5F">
            <w:pPr>
              <w:pStyle w:val="TableText"/>
              <w:spacing w:before="40" w:after="40"/>
              <w:jc w:val="right"/>
              <w:rPr>
                <w:rFonts w:cs="Calibri"/>
                <w:szCs w:val="16"/>
              </w:rPr>
            </w:pPr>
            <w:r w:rsidRPr="009E06AA">
              <w:rPr>
                <w:rFonts w:cs="Calibri"/>
                <w:szCs w:val="16"/>
              </w:rPr>
              <w:t>25.7</w:t>
            </w:r>
          </w:p>
        </w:tc>
        <w:tc>
          <w:tcPr>
            <w:tcW w:w="1425" w:type="dxa"/>
            <w:vAlign w:val="center"/>
          </w:tcPr>
          <w:p w14:paraId="76ABE118" w14:textId="77777777" w:rsidR="007523B8" w:rsidRPr="009E06AA" w:rsidRDefault="007523B8" w:rsidP="00142C5F">
            <w:pPr>
              <w:pStyle w:val="TableText"/>
              <w:spacing w:before="40" w:after="40"/>
              <w:jc w:val="right"/>
            </w:pPr>
            <w:r w:rsidRPr="009E06AA">
              <w:rPr>
                <w:rFonts w:cs="Calibri"/>
                <w:szCs w:val="16"/>
              </w:rPr>
              <w:t>8.9</w:t>
            </w:r>
          </w:p>
        </w:tc>
        <w:tc>
          <w:tcPr>
            <w:tcW w:w="1258" w:type="dxa"/>
            <w:vAlign w:val="center"/>
          </w:tcPr>
          <w:p w14:paraId="3AE74044" w14:textId="77777777" w:rsidR="007523B8" w:rsidRPr="009E06AA" w:rsidRDefault="007523B8" w:rsidP="00142C5F">
            <w:pPr>
              <w:pStyle w:val="TableText"/>
              <w:spacing w:before="40" w:after="40"/>
              <w:jc w:val="right"/>
              <w:rPr>
                <w:rFonts w:cs="Calibri"/>
                <w:szCs w:val="16"/>
              </w:rPr>
            </w:pPr>
            <w:r w:rsidRPr="009E06AA">
              <w:rPr>
                <w:rFonts w:cs="Calibri"/>
                <w:szCs w:val="16"/>
              </w:rPr>
              <w:t>42.4</w:t>
            </w:r>
          </w:p>
        </w:tc>
        <w:tc>
          <w:tcPr>
            <w:tcW w:w="964" w:type="dxa"/>
            <w:vAlign w:val="center"/>
          </w:tcPr>
          <w:p w14:paraId="549955EE" w14:textId="77777777" w:rsidR="007523B8" w:rsidRPr="009E06AA" w:rsidRDefault="007523B8" w:rsidP="00142C5F">
            <w:pPr>
              <w:pStyle w:val="TableText"/>
              <w:spacing w:before="40" w:after="40"/>
              <w:jc w:val="right"/>
              <w:rPr>
                <w:rFonts w:cs="Calibri"/>
                <w:szCs w:val="16"/>
              </w:rPr>
            </w:pPr>
            <w:r w:rsidRPr="009E06AA">
              <w:rPr>
                <w:rFonts w:cs="Calibri"/>
                <w:szCs w:val="16"/>
              </w:rPr>
              <w:t>2.5</w:t>
            </w:r>
          </w:p>
        </w:tc>
      </w:tr>
      <w:tr w:rsidR="007523B8" w:rsidRPr="009E06AA" w14:paraId="0C6032E6" w14:textId="77777777" w:rsidTr="00B55F24">
        <w:trPr>
          <w:cantSplit/>
        </w:trPr>
        <w:tc>
          <w:tcPr>
            <w:tcW w:w="1758" w:type="dxa"/>
            <w:vAlign w:val="bottom"/>
          </w:tcPr>
          <w:p w14:paraId="3CBC9264" w14:textId="77777777" w:rsidR="007523B8" w:rsidRPr="009E06AA" w:rsidRDefault="007523B8" w:rsidP="00B55F24">
            <w:pPr>
              <w:pStyle w:val="TableText"/>
              <w:spacing w:before="40" w:after="40"/>
              <w:rPr>
                <w:rFonts w:cs="Calibri"/>
                <w:szCs w:val="16"/>
              </w:rPr>
            </w:pPr>
            <w:r w:rsidRPr="009E06AA">
              <w:rPr>
                <w:rFonts w:cs="Calibri"/>
                <w:szCs w:val="16"/>
              </w:rPr>
              <w:t>Poultry – broilers</w:t>
            </w:r>
            <w:r w:rsidRPr="009E06AA">
              <w:rPr>
                <w:rStyle w:val="FootnoteReference"/>
                <w:rFonts w:cs="Calibri"/>
                <w:sz w:val="16"/>
                <w:szCs w:val="16"/>
              </w:rPr>
              <w:footnoteReference w:id="42"/>
            </w:r>
          </w:p>
        </w:tc>
        <w:tc>
          <w:tcPr>
            <w:tcW w:w="1644" w:type="dxa"/>
            <w:vAlign w:val="center"/>
          </w:tcPr>
          <w:p w14:paraId="2948E723" w14:textId="77777777" w:rsidR="007523B8" w:rsidRPr="009E06AA" w:rsidRDefault="007523B8" w:rsidP="00142C5F">
            <w:pPr>
              <w:pStyle w:val="TableText"/>
              <w:spacing w:before="40" w:after="40"/>
              <w:jc w:val="right"/>
              <w:rPr>
                <w:rFonts w:cs="Calibri"/>
                <w:szCs w:val="16"/>
              </w:rPr>
            </w:pPr>
            <w:r w:rsidRPr="009E06AA">
              <w:rPr>
                <w:rFonts w:cs="Calibri"/>
                <w:szCs w:val="16"/>
              </w:rPr>
              <w:t>–</w:t>
            </w:r>
          </w:p>
        </w:tc>
        <w:tc>
          <w:tcPr>
            <w:tcW w:w="1418" w:type="dxa"/>
            <w:vAlign w:val="center"/>
          </w:tcPr>
          <w:p w14:paraId="6CD7F743" w14:textId="77777777" w:rsidR="007523B8" w:rsidRPr="009E06AA" w:rsidRDefault="007523B8" w:rsidP="00142C5F">
            <w:pPr>
              <w:pStyle w:val="TableText"/>
              <w:spacing w:before="40" w:after="40"/>
              <w:jc w:val="right"/>
              <w:rPr>
                <w:rFonts w:cs="Calibri"/>
                <w:szCs w:val="16"/>
              </w:rPr>
            </w:pPr>
            <w:r w:rsidRPr="009E06AA">
              <w:rPr>
                <w:rFonts w:cs="Calibri"/>
                <w:szCs w:val="16"/>
              </w:rPr>
              <w:t>–</w:t>
            </w:r>
          </w:p>
        </w:tc>
        <w:tc>
          <w:tcPr>
            <w:tcW w:w="1425" w:type="dxa"/>
            <w:vAlign w:val="center"/>
          </w:tcPr>
          <w:p w14:paraId="3435C578" w14:textId="77777777" w:rsidR="007523B8" w:rsidRPr="009E06AA" w:rsidRDefault="007523B8" w:rsidP="00142C5F">
            <w:pPr>
              <w:pStyle w:val="TableText"/>
              <w:spacing w:before="40" w:after="40"/>
              <w:jc w:val="right"/>
              <w:rPr>
                <w:rFonts w:cs="Calibri"/>
                <w:szCs w:val="16"/>
              </w:rPr>
            </w:pPr>
            <w:r w:rsidRPr="009E06AA">
              <w:rPr>
                <w:rFonts w:cs="Calibri"/>
                <w:szCs w:val="16"/>
              </w:rPr>
              <w:t>4.9</w:t>
            </w:r>
          </w:p>
        </w:tc>
        <w:tc>
          <w:tcPr>
            <w:tcW w:w="1258" w:type="dxa"/>
            <w:vAlign w:val="center"/>
          </w:tcPr>
          <w:p w14:paraId="0DE55773" w14:textId="77777777" w:rsidR="007523B8" w:rsidRPr="009E06AA" w:rsidRDefault="007523B8" w:rsidP="00142C5F">
            <w:pPr>
              <w:pStyle w:val="TableText"/>
              <w:spacing w:before="40" w:after="40"/>
              <w:jc w:val="right"/>
              <w:rPr>
                <w:rFonts w:cs="Calibri"/>
                <w:szCs w:val="16"/>
              </w:rPr>
            </w:pPr>
            <w:r w:rsidRPr="009E06AA">
              <w:rPr>
                <w:rFonts w:cs="Calibri"/>
                <w:szCs w:val="16"/>
              </w:rPr>
              <w:t>–</w:t>
            </w:r>
          </w:p>
        </w:tc>
        <w:tc>
          <w:tcPr>
            <w:tcW w:w="964" w:type="dxa"/>
            <w:vAlign w:val="center"/>
          </w:tcPr>
          <w:p w14:paraId="32589BDD" w14:textId="77777777" w:rsidR="007523B8" w:rsidRPr="009E06AA" w:rsidRDefault="007523B8" w:rsidP="00142C5F">
            <w:pPr>
              <w:pStyle w:val="TableText"/>
              <w:spacing w:before="40" w:after="40"/>
              <w:jc w:val="right"/>
              <w:rPr>
                <w:rFonts w:cs="Calibri"/>
                <w:szCs w:val="16"/>
              </w:rPr>
            </w:pPr>
            <w:r w:rsidRPr="009E06AA">
              <w:rPr>
                <w:rFonts w:cs="Calibri"/>
                <w:szCs w:val="16"/>
              </w:rPr>
              <w:t>95.1</w:t>
            </w:r>
          </w:p>
        </w:tc>
      </w:tr>
      <w:tr w:rsidR="007523B8" w:rsidRPr="009E06AA" w14:paraId="0789CB8F" w14:textId="77777777" w:rsidTr="00B55F24">
        <w:trPr>
          <w:cantSplit/>
        </w:trPr>
        <w:tc>
          <w:tcPr>
            <w:tcW w:w="1758" w:type="dxa"/>
            <w:vAlign w:val="bottom"/>
          </w:tcPr>
          <w:p w14:paraId="618D4B37" w14:textId="77777777" w:rsidR="007523B8" w:rsidRPr="009E06AA" w:rsidRDefault="007523B8" w:rsidP="00B55F24">
            <w:pPr>
              <w:pStyle w:val="TableText"/>
              <w:spacing w:before="40" w:after="40"/>
              <w:rPr>
                <w:rFonts w:cs="Calibri"/>
                <w:szCs w:val="16"/>
                <w:vertAlign w:val="superscript"/>
              </w:rPr>
            </w:pPr>
            <w:r w:rsidRPr="009E06AA">
              <w:rPr>
                <w:rFonts w:cs="Calibri"/>
                <w:szCs w:val="16"/>
              </w:rPr>
              <w:t>Poultry – layers</w:t>
            </w:r>
            <w:r w:rsidRPr="009E06AA">
              <w:rPr>
                <w:rStyle w:val="FootnoteReference"/>
                <w:rFonts w:cs="Calibri"/>
                <w:sz w:val="16"/>
                <w:szCs w:val="16"/>
              </w:rPr>
              <w:footnoteReference w:id="43"/>
            </w:r>
          </w:p>
        </w:tc>
        <w:tc>
          <w:tcPr>
            <w:tcW w:w="1644" w:type="dxa"/>
            <w:vAlign w:val="center"/>
          </w:tcPr>
          <w:p w14:paraId="048B5686" w14:textId="77777777" w:rsidR="007523B8" w:rsidRPr="009E06AA" w:rsidRDefault="007523B8" w:rsidP="00142C5F">
            <w:pPr>
              <w:pStyle w:val="TableText"/>
              <w:spacing w:before="40" w:after="40"/>
              <w:jc w:val="right"/>
              <w:rPr>
                <w:rFonts w:cs="Calibri"/>
                <w:szCs w:val="16"/>
              </w:rPr>
            </w:pPr>
            <w:r w:rsidRPr="009E06AA">
              <w:rPr>
                <w:rFonts w:cs="Calibri"/>
                <w:szCs w:val="16"/>
              </w:rPr>
              <w:t>–</w:t>
            </w:r>
          </w:p>
        </w:tc>
        <w:tc>
          <w:tcPr>
            <w:tcW w:w="1418" w:type="dxa"/>
            <w:vAlign w:val="center"/>
          </w:tcPr>
          <w:p w14:paraId="7083087A" w14:textId="77777777" w:rsidR="007523B8" w:rsidRPr="009E06AA" w:rsidDel="00063FE1" w:rsidRDefault="007523B8" w:rsidP="00142C5F">
            <w:pPr>
              <w:pStyle w:val="TableText"/>
              <w:spacing w:before="40" w:after="40"/>
              <w:jc w:val="right"/>
              <w:rPr>
                <w:rFonts w:cs="Calibri"/>
                <w:szCs w:val="16"/>
              </w:rPr>
            </w:pPr>
            <w:r w:rsidRPr="009E06AA">
              <w:rPr>
                <w:rFonts w:cs="Calibri"/>
                <w:szCs w:val="16"/>
              </w:rPr>
              <w:t>–</w:t>
            </w:r>
          </w:p>
        </w:tc>
        <w:tc>
          <w:tcPr>
            <w:tcW w:w="1425" w:type="dxa"/>
            <w:vAlign w:val="center"/>
          </w:tcPr>
          <w:p w14:paraId="6DE91A31" w14:textId="77777777" w:rsidR="007523B8" w:rsidRPr="009E06AA" w:rsidRDefault="007523B8" w:rsidP="00142C5F">
            <w:pPr>
              <w:pStyle w:val="TableText"/>
              <w:spacing w:before="40" w:after="40"/>
              <w:jc w:val="right"/>
              <w:rPr>
                <w:rFonts w:cs="Calibri"/>
                <w:szCs w:val="16"/>
              </w:rPr>
            </w:pPr>
            <w:r w:rsidRPr="009E06AA">
              <w:rPr>
                <w:rFonts w:cs="Calibri"/>
                <w:szCs w:val="16"/>
              </w:rPr>
              <w:t>5.8</w:t>
            </w:r>
          </w:p>
        </w:tc>
        <w:tc>
          <w:tcPr>
            <w:tcW w:w="1258" w:type="dxa"/>
            <w:vAlign w:val="center"/>
          </w:tcPr>
          <w:p w14:paraId="229EBCF8" w14:textId="77777777" w:rsidR="007523B8" w:rsidRPr="009E06AA" w:rsidRDefault="007523B8" w:rsidP="00142C5F">
            <w:pPr>
              <w:pStyle w:val="TableText"/>
              <w:spacing w:before="40" w:after="40"/>
              <w:jc w:val="right"/>
              <w:rPr>
                <w:rFonts w:cs="Calibri"/>
                <w:szCs w:val="16"/>
              </w:rPr>
            </w:pPr>
            <w:r w:rsidRPr="009E06AA">
              <w:rPr>
                <w:rFonts w:cs="Calibri"/>
                <w:szCs w:val="16"/>
              </w:rPr>
              <w:t>–</w:t>
            </w:r>
          </w:p>
        </w:tc>
        <w:tc>
          <w:tcPr>
            <w:tcW w:w="964" w:type="dxa"/>
            <w:vAlign w:val="center"/>
          </w:tcPr>
          <w:p w14:paraId="3EC4309D" w14:textId="77777777" w:rsidR="007523B8" w:rsidRPr="009E06AA" w:rsidRDefault="007523B8" w:rsidP="00142C5F">
            <w:pPr>
              <w:pStyle w:val="TableText"/>
              <w:spacing w:before="40" w:after="40"/>
              <w:jc w:val="right"/>
              <w:rPr>
                <w:rFonts w:cs="Calibri"/>
                <w:szCs w:val="16"/>
              </w:rPr>
            </w:pPr>
            <w:r w:rsidRPr="009E06AA">
              <w:rPr>
                <w:rFonts w:cs="Calibri"/>
                <w:szCs w:val="16"/>
              </w:rPr>
              <w:t>94.2</w:t>
            </w:r>
          </w:p>
        </w:tc>
      </w:tr>
      <w:tr w:rsidR="007523B8" w:rsidRPr="009E06AA" w14:paraId="7E5D5A1C" w14:textId="77777777" w:rsidTr="00B55F24">
        <w:trPr>
          <w:cantSplit/>
        </w:trPr>
        <w:tc>
          <w:tcPr>
            <w:tcW w:w="1758" w:type="dxa"/>
            <w:vAlign w:val="bottom"/>
          </w:tcPr>
          <w:p w14:paraId="4C52DC3B" w14:textId="77777777" w:rsidR="007523B8" w:rsidRPr="009E06AA" w:rsidRDefault="007523B8" w:rsidP="00B55F24">
            <w:pPr>
              <w:pStyle w:val="TableText"/>
              <w:spacing w:before="40" w:after="40"/>
              <w:rPr>
                <w:rFonts w:cs="Calibri"/>
                <w:szCs w:val="16"/>
              </w:rPr>
            </w:pPr>
            <w:r w:rsidRPr="009E06AA">
              <w:rPr>
                <w:rFonts w:cs="Calibri"/>
                <w:szCs w:val="16"/>
              </w:rPr>
              <w:t>Poultry – other</w:t>
            </w:r>
            <w:r w:rsidRPr="009E06AA">
              <w:rPr>
                <w:rStyle w:val="FootnoteReference"/>
                <w:rFonts w:cs="Calibri"/>
                <w:sz w:val="16"/>
                <w:szCs w:val="16"/>
              </w:rPr>
              <w:footnoteReference w:id="44"/>
            </w:r>
          </w:p>
        </w:tc>
        <w:tc>
          <w:tcPr>
            <w:tcW w:w="1644" w:type="dxa"/>
            <w:vAlign w:val="center"/>
          </w:tcPr>
          <w:p w14:paraId="21D78E84" w14:textId="77777777" w:rsidR="007523B8" w:rsidRPr="009E06AA" w:rsidRDefault="007523B8" w:rsidP="00142C5F">
            <w:pPr>
              <w:pStyle w:val="TableText"/>
              <w:spacing w:before="40" w:after="40"/>
              <w:jc w:val="right"/>
              <w:rPr>
                <w:rFonts w:cs="Calibri"/>
                <w:szCs w:val="16"/>
              </w:rPr>
            </w:pPr>
            <w:r w:rsidRPr="009E06AA">
              <w:rPr>
                <w:rFonts w:cs="Calibri"/>
                <w:szCs w:val="16"/>
              </w:rPr>
              <w:t>–</w:t>
            </w:r>
          </w:p>
        </w:tc>
        <w:tc>
          <w:tcPr>
            <w:tcW w:w="1418" w:type="dxa"/>
            <w:vAlign w:val="center"/>
          </w:tcPr>
          <w:p w14:paraId="65831194" w14:textId="77777777" w:rsidR="007523B8" w:rsidRPr="009E06AA" w:rsidRDefault="007523B8" w:rsidP="00142C5F">
            <w:pPr>
              <w:pStyle w:val="TableText"/>
              <w:spacing w:before="40" w:after="40"/>
              <w:jc w:val="right"/>
              <w:rPr>
                <w:rFonts w:cs="Calibri"/>
                <w:szCs w:val="16"/>
              </w:rPr>
            </w:pPr>
            <w:r w:rsidRPr="009E06AA">
              <w:rPr>
                <w:rFonts w:cs="Calibri"/>
                <w:szCs w:val="16"/>
              </w:rPr>
              <w:t>–</w:t>
            </w:r>
          </w:p>
        </w:tc>
        <w:tc>
          <w:tcPr>
            <w:tcW w:w="1425" w:type="dxa"/>
            <w:vAlign w:val="center"/>
          </w:tcPr>
          <w:p w14:paraId="70463A5F" w14:textId="77777777" w:rsidR="007523B8" w:rsidRPr="009E06AA" w:rsidRDefault="007523B8" w:rsidP="00142C5F">
            <w:pPr>
              <w:pStyle w:val="TableText"/>
              <w:spacing w:before="40" w:after="40"/>
              <w:jc w:val="right"/>
              <w:rPr>
                <w:rFonts w:cs="Calibri"/>
                <w:szCs w:val="16"/>
              </w:rPr>
            </w:pPr>
            <w:r w:rsidRPr="009E06AA">
              <w:rPr>
                <w:rFonts w:cs="Calibri"/>
                <w:szCs w:val="16"/>
              </w:rPr>
              <w:t>3.0</w:t>
            </w:r>
          </w:p>
        </w:tc>
        <w:tc>
          <w:tcPr>
            <w:tcW w:w="1258" w:type="dxa"/>
            <w:vAlign w:val="center"/>
          </w:tcPr>
          <w:p w14:paraId="513A4606" w14:textId="77777777" w:rsidR="007523B8" w:rsidRPr="009E06AA" w:rsidRDefault="007523B8" w:rsidP="00142C5F">
            <w:pPr>
              <w:pStyle w:val="TableText"/>
              <w:spacing w:before="40" w:after="40"/>
              <w:jc w:val="right"/>
              <w:rPr>
                <w:rFonts w:cs="Calibri"/>
                <w:szCs w:val="16"/>
              </w:rPr>
            </w:pPr>
            <w:r w:rsidRPr="009E06AA">
              <w:rPr>
                <w:rFonts w:cs="Calibri"/>
                <w:szCs w:val="16"/>
              </w:rPr>
              <w:t>–</w:t>
            </w:r>
          </w:p>
        </w:tc>
        <w:tc>
          <w:tcPr>
            <w:tcW w:w="964" w:type="dxa"/>
            <w:vAlign w:val="center"/>
          </w:tcPr>
          <w:p w14:paraId="439D233B" w14:textId="77777777" w:rsidR="007523B8" w:rsidRPr="009E06AA" w:rsidRDefault="007523B8" w:rsidP="00142C5F">
            <w:pPr>
              <w:pStyle w:val="TableText"/>
              <w:spacing w:before="40" w:after="40"/>
              <w:jc w:val="right"/>
              <w:rPr>
                <w:rFonts w:cs="Calibri"/>
                <w:szCs w:val="16"/>
              </w:rPr>
            </w:pPr>
            <w:r w:rsidRPr="009E06AA">
              <w:rPr>
                <w:rFonts w:cs="Calibri"/>
                <w:szCs w:val="16"/>
              </w:rPr>
              <w:t>97.0</w:t>
            </w:r>
          </w:p>
        </w:tc>
      </w:tr>
      <w:tr w:rsidR="007523B8" w:rsidRPr="009E06AA" w14:paraId="419AED97" w14:textId="77777777" w:rsidTr="00B55F24">
        <w:trPr>
          <w:cantSplit/>
        </w:trPr>
        <w:tc>
          <w:tcPr>
            <w:tcW w:w="1758" w:type="dxa"/>
            <w:vAlign w:val="bottom"/>
          </w:tcPr>
          <w:p w14:paraId="5E56CF8B" w14:textId="77777777" w:rsidR="007523B8" w:rsidRPr="009E06AA" w:rsidRDefault="007523B8" w:rsidP="00B55F24">
            <w:pPr>
              <w:pStyle w:val="TableText"/>
              <w:spacing w:before="40" w:after="40"/>
              <w:rPr>
                <w:rFonts w:cs="Calibri"/>
                <w:szCs w:val="16"/>
              </w:rPr>
            </w:pPr>
            <w:r w:rsidRPr="009E06AA">
              <w:rPr>
                <w:rFonts w:cs="Calibri"/>
                <w:szCs w:val="16"/>
              </w:rPr>
              <w:t>Llamas and alpacas</w:t>
            </w:r>
          </w:p>
        </w:tc>
        <w:tc>
          <w:tcPr>
            <w:tcW w:w="1644" w:type="dxa"/>
            <w:vAlign w:val="center"/>
          </w:tcPr>
          <w:p w14:paraId="4364EC93" w14:textId="77777777" w:rsidR="007523B8" w:rsidRPr="009E06AA" w:rsidRDefault="007523B8" w:rsidP="00142C5F">
            <w:pPr>
              <w:pStyle w:val="TableText"/>
              <w:spacing w:before="40" w:after="40"/>
              <w:jc w:val="right"/>
              <w:rPr>
                <w:rFonts w:cs="Calibri"/>
                <w:szCs w:val="16"/>
              </w:rPr>
            </w:pPr>
            <w:r w:rsidRPr="009E06AA">
              <w:rPr>
                <w:rFonts w:cs="Calibri"/>
                <w:szCs w:val="16"/>
              </w:rPr>
              <w:t>–</w:t>
            </w:r>
          </w:p>
        </w:tc>
        <w:tc>
          <w:tcPr>
            <w:tcW w:w="1418" w:type="dxa"/>
            <w:vAlign w:val="center"/>
          </w:tcPr>
          <w:p w14:paraId="11D49E85" w14:textId="77777777" w:rsidR="007523B8" w:rsidRPr="009E06AA" w:rsidRDefault="007523B8" w:rsidP="00142C5F">
            <w:pPr>
              <w:pStyle w:val="TableText"/>
              <w:spacing w:before="40" w:after="40"/>
              <w:jc w:val="right"/>
              <w:rPr>
                <w:rFonts w:cs="Calibri"/>
                <w:szCs w:val="16"/>
              </w:rPr>
            </w:pPr>
            <w:r w:rsidRPr="009E06AA">
              <w:rPr>
                <w:rFonts w:cs="Calibri"/>
                <w:szCs w:val="16"/>
              </w:rPr>
              <w:t>–</w:t>
            </w:r>
          </w:p>
        </w:tc>
        <w:tc>
          <w:tcPr>
            <w:tcW w:w="1425" w:type="dxa"/>
            <w:vAlign w:val="center"/>
          </w:tcPr>
          <w:p w14:paraId="24D20300" w14:textId="77777777" w:rsidR="007523B8" w:rsidRPr="009E06AA" w:rsidRDefault="007523B8" w:rsidP="00142C5F">
            <w:pPr>
              <w:pStyle w:val="TableText"/>
              <w:spacing w:before="40" w:after="40"/>
              <w:jc w:val="right"/>
              <w:rPr>
                <w:rFonts w:cs="Calibri"/>
                <w:szCs w:val="16"/>
              </w:rPr>
            </w:pPr>
            <w:r w:rsidRPr="009E06AA">
              <w:rPr>
                <w:rFonts w:cs="Calibri"/>
                <w:szCs w:val="16"/>
              </w:rPr>
              <w:t>100.0</w:t>
            </w:r>
          </w:p>
        </w:tc>
        <w:tc>
          <w:tcPr>
            <w:tcW w:w="1258" w:type="dxa"/>
            <w:vAlign w:val="center"/>
          </w:tcPr>
          <w:p w14:paraId="27C9D0B2" w14:textId="77777777" w:rsidR="007523B8" w:rsidRPr="009E06AA" w:rsidRDefault="007523B8" w:rsidP="00142C5F">
            <w:pPr>
              <w:pStyle w:val="TableText"/>
              <w:spacing w:before="40" w:after="40"/>
              <w:jc w:val="right"/>
              <w:rPr>
                <w:rFonts w:cs="Calibri"/>
                <w:szCs w:val="16"/>
              </w:rPr>
            </w:pPr>
            <w:r w:rsidRPr="009E06AA">
              <w:rPr>
                <w:rFonts w:cs="Calibri"/>
                <w:szCs w:val="16"/>
              </w:rPr>
              <w:t>–</w:t>
            </w:r>
          </w:p>
        </w:tc>
        <w:tc>
          <w:tcPr>
            <w:tcW w:w="964" w:type="dxa"/>
            <w:vAlign w:val="center"/>
          </w:tcPr>
          <w:p w14:paraId="04581143" w14:textId="77777777" w:rsidR="007523B8" w:rsidRPr="009E06AA" w:rsidRDefault="007523B8" w:rsidP="00142C5F">
            <w:pPr>
              <w:pStyle w:val="TableText"/>
              <w:spacing w:before="40" w:after="40"/>
              <w:jc w:val="right"/>
              <w:rPr>
                <w:rFonts w:cs="Calibri"/>
                <w:szCs w:val="16"/>
              </w:rPr>
            </w:pPr>
            <w:r w:rsidRPr="009E06AA">
              <w:rPr>
                <w:rFonts w:cs="Calibri"/>
                <w:szCs w:val="16"/>
              </w:rPr>
              <w:t>–</w:t>
            </w:r>
          </w:p>
        </w:tc>
      </w:tr>
      <w:tr w:rsidR="007523B8" w:rsidRPr="009E06AA" w14:paraId="43B45689" w14:textId="77777777" w:rsidTr="00B55F24">
        <w:trPr>
          <w:cantSplit/>
        </w:trPr>
        <w:tc>
          <w:tcPr>
            <w:tcW w:w="1758" w:type="dxa"/>
            <w:vAlign w:val="bottom"/>
          </w:tcPr>
          <w:p w14:paraId="6F9980CF" w14:textId="77777777" w:rsidR="007523B8" w:rsidRPr="009E06AA" w:rsidRDefault="007523B8" w:rsidP="00B55F24">
            <w:pPr>
              <w:pStyle w:val="TableText"/>
              <w:spacing w:before="40" w:after="40"/>
              <w:rPr>
                <w:rFonts w:cs="Calibri"/>
                <w:szCs w:val="16"/>
              </w:rPr>
            </w:pPr>
            <w:r w:rsidRPr="009E06AA">
              <w:rPr>
                <w:rFonts w:cs="Calibri"/>
                <w:szCs w:val="16"/>
              </w:rPr>
              <w:t>Mules and asses</w:t>
            </w:r>
          </w:p>
        </w:tc>
        <w:tc>
          <w:tcPr>
            <w:tcW w:w="1644" w:type="dxa"/>
            <w:vAlign w:val="center"/>
          </w:tcPr>
          <w:p w14:paraId="6EEF85EC" w14:textId="77777777" w:rsidR="007523B8" w:rsidRPr="009E06AA" w:rsidRDefault="007523B8" w:rsidP="00142C5F">
            <w:pPr>
              <w:pStyle w:val="TableText"/>
              <w:spacing w:before="40" w:after="40"/>
              <w:jc w:val="right"/>
              <w:rPr>
                <w:rFonts w:cs="Calibri"/>
                <w:szCs w:val="16"/>
              </w:rPr>
            </w:pPr>
            <w:r w:rsidRPr="009E06AA">
              <w:rPr>
                <w:rFonts w:cs="Calibri"/>
                <w:szCs w:val="16"/>
              </w:rPr>
              <w:t>–</w:t>
            </w:r>
          </w:p>
        </w:tc>
        <w:tc>
          <w:tcPr>
            <w:tcW w:w="1418" w:type="dxa"/>
            <w:vAlign w:val="center"/>
          </w:tcPr>
          <w:p w14:paraId="75F1B155" w14:textId="77777777" w:rsidR="007523B8" w:rsidRPr="009E06AA" w:rsidRDefault="007523B8" w:rsidP="00142C5F">
            <w:pPr>
              <w:pStyle w:val="TableText"/>
              <w:spacing w:before="40" w:after="40"/>
              <w:jc w:val="right"/>
              <w:rPr>
                <w:rFonts w:cs="Calibri"/>
                <w:szCs w:val="16"/>
              </w:rPr>
            </w:pPr>
            <w:r w:rsidRPr="009E06AA">
              <w:rPr>
                <w:rFonts w:cs="Calibri"/>
                <w:szCs w:val="16"/>
              </w:rPr>
              <w:t>–</w:t>
            </w:r>
          </w:p>
        </w:tc>
        <w:tc>
          <w:tcPr>
            <w:tcW w:w="1425" w:type="dxa"/>
            <w:vAlign w:val="center"/>
          </w:tcPr>
          <w:p w14:paraId="542CFACC" w14:textId="77777777" w:rsidR="007523B8" w:rsidRPr="009E06AA" w:rsidRDefault="007523B8" w:rsidP="00142C5F">
            <w:pPr>
              <w:pStyle w:val="TableText"/>
              <w:spacing w:before="40" w:after="40"/>
              <w:jc w:val="right"/>
              <w:rPr>
                <w:rFonts w:cs="Calibri"/>
                <w:szCs w:val="16"/>
              </w:rPr>
            </w:pPr>
            <w:r w:rsidRPr="009E06AA">
              <w:rPr>
                <w:rFonts w:cs="Calibri"/>
                <w:szCs w:val="16"/>
              </w:rPr>
              <w:t>100.0</w:t>
            </w:r>
          </w:p>
        </w:tc>
        <w:tc>
          <w:tcPr>
            <w:tcW w:w="1258" w:type="dxa"/>
            <w:vAlign w:val="center"/>
          </w:tcPr>
          <w:p w14:paraId="5C9E33C2" w14:textId="77777777" w:rsidR="007523B8" w:rsidRPr="009E06AA" w:rsidRDefault="007523B8" w:rsidP="00142C5F">
            <w:pPr>
              <w:pStyle w:val="TableText"/>
              <w:spacing w:before="40" w:after="40"/>
              <w:jc w:val="right"/>
              <w:rPr>
                <w:rFonts w:cs="Calibri"/>
                <w:szCs w:val="16"/>
              </w:rPr>
            </w:pPr>
            <w:r w:rsidRPr="009E06AA">
              <w:rPr>
                <w:rFonts w:cs="Calibri"/>
                <w:szCs w:val="16"/>
              </w:rPr>
              <w:t>–</w:t>
            </w:r>
          </w:p>
        </w:tc>
        <w:tc>
          <w:tcPr>
            <w:tcW w:w="964" w:type="dxa"/>
            <w:vAlign w:val="center"/>
          </w:tcPr>
          <w:p w14:paraId="3C34768A" w14:textId="77777777" w:rsidR="007523B8" w:rsidRPr="009E06AA" w:rsidRDefault="007523B8" w:rsidP="00142C5F">
            <w:pPr>
              <w:pStyle w:val="TableText"/>
              <w:spacing w:before="40" w:after="40"/>
              <w:jc w:val="right"/>
              <w:rPr>
                <w:rFonts w:cs="Calibri"/>
                <w:szCs w:val="16"/>
              </w:rPr>
            </w:pPr>
            <w:r w:rsidRPr="009E06AA">
              <w:rPr>
                <w:rFonts w:cs="Calibri"/>
                <w:szCs w:val="16"/>
              </w:rPr>
              <w:t>–</w:t>
            </w:r>
          </w:p>
        </w:tc>
      </w:tr>
    </w:tbl>
    <w:p w14:paraId="7868ADC4" w14:textId="77777777" w:rsidR="007523B8" w:rsidRPr="009E06AA" w:rsidRDefault="007523B8" w:rsidP="007523B8">
      <w:pPr>
        <w:pStyle w:val="Heading3"/>
        <w:spacing w:before="400"/>
      </w:pPr>
      <w:bookmarkStart w:id="1047" w:name="_Toc32570659"/>
      <w:r w:rsidRPr="009E06AA">
        <w:t>5.3.2</w:t>
      </w:r>
      <w:r w:rsidRPr="009E06AA">
        <w:tab/>
        <w:t>Methodological issues</w:t>
      </w:r>
      <w:bookmarkEnd w:id="1030"/>
      <w:bookmarkEnd w:id="1047"/>
    </w:p>
    <w:p w14:paraId="62DF3CE6" w14:textId="77777777" w:rsidR="007523B8" w:rsidRPr="009E06AA" w:rsidRDefault="007523B8" w:rsidP="007523B8">
      <w:pPr>
        <w:pStyle w:val="Heading4"/>
      </w:pPr>
      <w:r w:rsidRPr="009E06AA">
        <w:t xml:space="preserve">Methane from manure management systems (3.B.(a)) </w:t>
      </w:r>
    </w:p>
    <w:p w14:paraId="293037C5" w14:textId="77777777" w:rsidR="007523B8" w:rsidRPr="009E06AA" w:rsidRDefault="007523B8" w:rsidP="007523B8">
      <w:pPr>
        <w:pStyle w:val="BodyText"/>
        <w:spacing w:before="100" w:after="100"/>
      </w:pPr>
      <w:r w:rsidRPr="009E06AA">
        <w:t xml:space="preserve">New Zealand uses a Tier 2 approach to calculate </w:t>
      </w:r>
      <w:r w:rsidRPr="009E06AA">
        <w:rPr>
          <w:rFonts w:cs="Calibri"/>
        </w:rPr>
        <w:t>CH</w:t>
      </w:r>
      <w:r w:rsidRPr="009E06AA">
        <w:rPr>
          <w:rFonts w:cs="Calibri"/>
          <w:vertAlign w:val="subscript"/>
        </w:rPr>
        <w:t>4</w:t>
      </w:r>
      <w:r w:rsidRPr="009E06AA">
        <w:t xml:space="preserve"> emissions from ruminant animal wastes from the major livestock categories in </w:t>
      </w:r>
      <w:r w:rsidRPr="009E06AA" w:rsidDel="00E04595">
        <w:t xml:space="preserve">New </w:t>
      </w:r>
      <w:r w:rsidRPr="009E06AA">
        <w:t>Zealand (</w:t>
      </w:r>
      <w:r w:rsidRPr="009E06AA">
        <w:rPr>
          <w:i/>
          <w:iCs/>
        </w:rPr>
        <w:t>Dairy cattle</w:t>
      </w:r>
      <w:r w:rsidRPr="009E06AA">
        <w:t xml:space="preserve">, </w:t>
      </w:r>
      <w:r w:rsidRPr="009E06AA">
        <w:rPr>
          <w:i/>
          <w:iCs/>
        </w:rPr>
        <w:t>Non-dairy cattle</w:t>
      </w:r>
      <w:r w:rsidRPr="009E06AA">
        <w:t xml:space="preserve">, </w:t>
      </w:r>
      <w:r w:rsidRPr="009E06AA">
        <w:rPr>
          <w:i/>
          <w:iCs/>
        </w:rPr>
        <w:t>Sheep</w:t>
      </w:r>
      <w:r w:rsidRPr="009E06AA">
        <w:t xml:space="preserve"> and </w:t>
      </w:r>
      <w:r w:rsidRPr="009E06AA">
        <w:rPr>
          <w:i/>
          <w:iCs/>
        </w:rPr>
        <w:t>Deer</w:t>
      </w:r>
      <w:r w:rsidRPr="009E06AA">
        <w:t>). This approach is based on the methods recommended by Saggar et al</w:t>
      </w:r>
      <w:r w:rsidRPr="009E06AA">
        <w:rPr>
          <w:spacing w:val="-2"/>
        </w:rPr>
        <w:t xml:space="preserve">. </w:t>
      </w:r>
      <w:r w:rsidRPr="009E06AA">
        <w:t>(unpublished) and is consistent with the 2006 IPCC Guidelines (IPCC, 2006).</w:t>
      </w:r>
    </w:p>
    <w:p w14:paraId="39D84FD7" w14:textId="77777777" w:rsidR="007523B8" w:rsidRPr="009E06AA" w:rsidRDefault="007523B8" w:rsidP="007523B8">
      <w:pPr>
        <w:pStyle w:val="BodyText"/>
        <w:spacing w:before="100" w:after="100"/>
        <w:ind w:right="-57"/>
        <w:rPr>
          <w:rFonts w:cs="Calibri"/>
        </w:rPr>
      </w:pPr>
      <w:r w:rsidRPr="009E06AA">
        <w:rPr>
          <w:rFonts w:cs="Calibri"/>
        </w:rPr>
        <w:t xml:space="preserve">Because </w:t>
      </w:r>
      <w:r w:rsidRPr="009E06AA" w:rsidDel="009F642B">
        <w:t xml:space="preserve">New </w:t>
      </w:r>
      <w:r w:rsidRPr="009E06AA">
        <w:t>Zealand</w:t>
      </w:r>
      <w:r w:rsidRPr="009E06AA">
        <w:rPr>
          <w:rFonts w:cs="Calibri"/>
        </w:rPr>
        <w:t xml:space="preserve"> has detailed information on the dairy cattle population and its characteristics (such as feed intake), the IPCC (2006) Tier 2 methodology for dairy anaerobic lagoons is used. The Tier 1 methodology </w:t>
      </w:r>
      <w:r w:rsidRPr="009E06AA" w:rsidDel="009F642B">
        <w:t xml:space="preserve">New </w:t>
      </w:r>
      <w:r w:rsidRPr="009E06AA">
        <w:t>Zealand</w:t>
      </w:r>
      <w:r w:rsidRPr="009E06AA">
        <w:rPr>
          <w:rFonts w:cs="Calibri"/>
        </w:rPr>
        <w:t xml:space="preserve"> uses for estimating emissions from various manure management systems of the minor livestock categories uses country-specific and IPCC (2006) default emission factors.</w:t>
      </w:r>
    </w:p>
    <w:p w14:paraId="3A7BCBB0" w14:textId="77777777" w:rsidR="007523B8" w:rsidRPr="009E06AA" w:rsidRDefault="007523B8" w:rsidP="00BF2A76">
      <w:pPr>
        <w:pStyle w:val="Heading5"/>
      </w:pPr>
      <w:bookmarkStart w:id="1048" w:name="_Toc139264110"/>
      <w:r w:rsidRPr="009E06AA">
        <w:t xml:space="preserve">Manure methane </w:t>
      </w:r>
      <w:bookmarkEnd w:id="1048"/>
      <w:r w:rsidRPr="009E06AA">
        <w:t xml:space="preserve">from the major livestock categories </w:t>
      </w:r>
    </w:p>
    <w:p w14:paraId="3A41FDF2" w14:textId="77777777" w:rsidR="007523B8" w:rsidRPr="009E06AA" w:rsidRDefault="007523B8" w:rsidP="007523B8">
      <w:pPr>
        <w:pStyle w:val="BodyText"/>
        <w:spacing w:after="100"/>
        <w:rPr>
          <w:rFonts w:cs="Calibri"/>
        </w:rPr>
      </w:pPr>
      <w:r w:rsidRPr="009E06AA">
        <w:rPr>
          <w:rFonts w:cs="Calibri"/>
        </w:rPr>
        <w:t>The approach for calculating CH</w:t>
      </w:r>
      <w:r w:rsidRPr="009E06AA">
        <w:rPr>
          <w:rFonts w:cs="Calibri"/>
          <w:vertAlign w:val="subscript"/>
        </w:rPr>
        <w:t>4</w:t>
      </w:r>
      <w:r w:rsidRPr="009E06AA">
        <w:rPr>
          <w:rFonts w:cs="Calibri"/>
        </w:rPr>
        <w:t xml:space="preserve"> emissions from the major livestock categories relies on: </w:t>
      </w:r>
    </w:p>
    <w:p w14:paraId="10B8130B" w14:textId="77777777" w:rsidR="007523B8" w:rsidRPr="009E06AA" w:rsidRDefault="007523B8" w:rsidP="007523B8">
      <w:pPr>
        <w:pStyle w:val="BodyText"/>
        <w:spacing w:before="0" w:after="100"/>
        <w:ind w:left="567" w:hanging="567"/>
        <w:rPr>
          <w:rFonts w:cs="Calibri"/>
        </w:rPr>
      </w:pPr>
      <w:r w:rsidRPr="009E06AA">
        <w:rPr>
          <w:rFonts w:cs="Calibri"/>
        </w:rPr>
        <w:t xml:space="preserve">(1) </w:t>
      </w:r>
      <w:r w:rsidRPr="009E06AA">
        <w:rPr>
          <w:rFonts w:cs="Calibri"/>
        </w:rPr>
        <w:tab/>
        <w:t>an estimation of the total quantity of faecal material produced, split into dung and urine</w:t>
      </w:r>
    </w:p>
    <w:p w14:paraId="00BF5694" w14:textId="77777777" w:rsidR="007523B8" w:rsidRPr="009E06AA" w:rsidRDefault="007523B8" w:rsidP="007523B8">
      <w:pPr>
        <w:pStyle w:val="BodyText"/>
        <w:spacing w:before="0" w:after="100"/>
        <w:ind w:left="567" w:hanging="567"/>
        <w:rPr>
          <w:rFonts w:cs="Calibri"/>
        </w:rPr>
      </w:pPr>
      <w:r w:rsidRPr="009E06AA">
        <w:rPr>
          <w:rFonts w:cs="Calibri"/>
        </w:rPr>
        <w:t xml:space="preserve">(2) </w:t>
      </w:r>
      <w:r w:rsidRPr="009E06AA">
        <w:rPr>
          <w:rFonts w:cs="Calibri"/>
        </w:rPr>
        <w:tab/>
        <w:t xml:space="preserve">allocating the faecal material to the appropriate manure management system, either onto pastures or anaerobic lagoons (based on the distributions in table 5.3.2) </w:t>
      </w:r>
    </w:p>
    <w:p w14:paraId="47692D7A" w14:textId="77777777" w:rsidR="007523B8" w:rsidRPr="009E06AA" w:rsidRDefault="007523B8" w:rsidP="007523B8">
      <w:pPr>
        <w:pStyle w:val="BodyText"/>
        <w:spacing w:before="0"/>
        <w:ind w:left="567" w:hanging="567"/>
        <w:rPr>
          <w:rFonts w:cs="Calibri"/>
        </w:rPr>
      </w:pPr>
      <w:r w:rsidRPr="009E06AA">
        <w:rPr>
          <w:rFonts w:cs="Calibri"/>
        </w:rPr>
        <w:t xml:space="preserve">(3) </w:t>
      </w:r>
      <w:r w:rsidRPr="009E06AA">
        <w:rPr>
          <w:rFonts w:cs="Calibri"/>
        </w:rPr>
        <w:tab/>
      </w:r>
      <w:r w:rsidRPr="009E06AA" w:rsidDel="00D8678E">
        <w:t xml:space="preserve">New </w:t>
      </w:r>
      <w:r w:rsidRPr="009E06AA">
        <w:t>Zealand</w:t>
      </w:r>
      <w:r w:rsidRPr="009E06AA">
        <w:rPr>
          <w:rFonts w:cs="Calibri"/>
        </w:rPr>
        <w:t>-specific emission factors for the quantity of CH</w:t>
      </w:r>
      <w:r w:rsidRPr="009E06AA">
        <w:rPr>
          <w:rFonts w:cs="Calibri"/>
          <w:vertAlign w:val="subscript"/>
        </w:rPr>
        <w:t>4</w:t>
      </w:r>
      <w:r w:rsidRPr="009E06AA">
        <w:rPr>
          <w:rFonts w:cs="Calibri"/>
        </w:rPr>
        <w:t xml:space="preserve"> produced per unit of faecal dry-matter (FDM) output.</w:t>
      </w:r>
    </w:p>
    <w:p w14:paraId="290286A0" w14:textId="77777777" w:rsidR="007523B8" w:rsidRPr="009E06AA" w:rsidRDefault="007523B8" w:rsidP="007523B8">
      <w:pPr>
        <w:pStyle w:val="BodyText"/>
        <w:keepNext/>
        <w:rPr>
          <w:rFonts w:cs="Calibri"/>
        </w:rPr>
      </w:pPr>
      <w:r w:rsidRPr="009E06AA">
        <w:rPr>
          <w:rFonts w:cs="Calibri"/>
        </w:rPr>
        <w:t>The following equation is used to determine the monthly FDM output for each livestock category (</w:t>
      </w:r>
      <w:r w:rsidRPr="009E06AA">
        <w:rPr>
          <w:rFonts w:cs="Calibri"/>
          <w:i/>
          <w:iCs/>
        </w:rPr>
        <w:t>Dairy cattle</w:t>
      </w:r>
      <w:r w:rsidRPr="009E06AA">
        <w:rPr>
          <w:rFonts w:cs="Calibri"/>
        </w:rPr>
        <w:t xml:space="preserve">, </w:t>
      </w:r>
      <w:r w:rsidRPr="009E06AA">
        <w:rPr>
          <w:rFonts w:cs="Calibri"/>
          <w:i/>
          <w:iCs/>
        </w:rPr>
        <w:t>Non-dairy cattle</w:t>
      </w:r>
      <w:r w:rsidRPr="009E06AA">
        <w:rPr>
          <w:rFonts w:cs="Calibri"/>
        </w:rPr>
        <w:t xml:space="preserve">, </w:t>
      </w:r>
      <w:r w:rsidRPr="009E06AA">
        <w:rPr>
          <w:rFonts w:cs="Calibri"/>
          <w:i/>
          <w:iCs/>
        </w:rPr>
        <w:t>Sheep</w:t>
      </w:r>
      <w:r w:rsidRPr="009E06AA">
        <w:rPr>
          <w:rFonts w:cs="Calibri"/>
        </w:rPr>
        <w:t xml:space="preserve"> and </w:t>
      </w:r>
      <w:r w:rsidRPr="009E06AA">
        <w:rPr>
          <w:rFonts w:cs="Calibri"/>
          <w:i/>
          <w:iCs/>
        </w:rPr>
        <w:t>Deer</w:t>
      </w:r>
      <w:r w:rsidRPr="009E06AA">
        <w:rPr>
          <w:rFonts w:cs="Calibri"/>
        </w:rPr>
        <w:t>):</w:t>
      </w:r>
    </w:p>
    <w:p w14:paraId="60F37D3E" w14:textId="77777777" w:rsidR="007523B8" w:rsidRPr="009E06AA" w:rsidRDefault="007523B8" w:rsidP="007523B8">
      <w:pPr>
        <w:spacing w:before="80" w:after="120"/>
        <w:jc w:val="center"/>
        <w:rPr>
          <w:rFonts w:ascii="Cambria Math" w:hAnsi="Cambria Math"/>
          <w:i/>
          <w:sz w:val="24"/>
        </w:rPr>
      </w:pPr>
      <w:r w:rsidRPr="009E06AA">
        <w:rPr>
          <w:rFonts w:ascii="Cambria Math" w:hAnsi="Cambria Math"/>
          <w:i/>
          <w:sz w:val="24"/>
        </w:rPr>
        <w:t>FDM = DMI × (1 – DMD)</w:t>
      </w:r>
    </w:p>
    <w:p w14:paraId="78189A8C" w14:textId="77777777" w:rsidR="007523B8" w:rsidRPr="009E06AA" w:rsidRDefault="007523B8" w:rsidP="007523B8">
      <w:pPr>
        <w:pStyle w:val="BodyText"/>
        <w:spacing w:before="60" w:after="60"/>
        <w:ind w:left="964" w:hanging="964"/>
      </w:pPr>
      <w:r w:rsidRPr="009E06AA">
        <w:t xml:space="preserve">Where: </w:t>
      </w:r>
      <w:r w:rsidRPr="009E06AA">
        <w:tab/>
        <w:t>FDM is faecal dry matter (kg head</w:t>
      </w:r>
      <w:r w:rsidRPr="009E06AA">
        <w:rPr>
          <w:vertAlign w:val="superscript"/>
        </w:rPr>
        <w:t xml:space="preserve">-1 </w:t>
      </w:r>
      <w:r w:rsidRPr="009E06AA">
        <w:t>month</w:t>
      </w:r>
      <w:r w:rsidRPr="009E06AA">
        <w:rPr>
          <w:vertAlign w:val="superscript"/>
        </w:rPr>
        <w:t>-1</w:t>
      </w:r>
      <w:r w:rsidRPr="009E06AA">
        <w:t>)</w:t>
      </w:r>
    </w:p>
    <w:p w14:paraId="62EDE3B2" w14:textId="77777777" w:rsidR="007523B8" w:rsidRPr="009E06AA" w:rsidRDefault="007523B8" w:rsidP="007523B8">
      <w:pPr>
        <w:pStyle w:val="BodyText"/>
        <w:spacing w:before="40" w:after="60"/>
        <w:ind w:left="964" w:hanging="964"/>
      </w:pPr>
      <w:r w:rsidRPr="009E06AA">
        <w:tab/>
        <w:t>DMI is dry-matter intake (kg head</w:t>
      </w:r>
      <w:r w:rsidRPr="009E06AA">
        <w:rPr>
          <w:vertAlign w:val="superscript"/>
        </w:rPr>
        <w:t>-1</w:t>
      </w:r>
      <w:r w:rsidRPr="009E06AA">
        <w:t xml:space="preserve"> month</w:t>
      </w:r>
      <w:r w:rsidRPr="009E06AA">
        <w:rPr>
          <w:vertAlign w:val="superscript"/>
        </w:rPr>
        <w:t>-1</w:t>
      </w:r>
      <w:r w:rsidRPr="009E06AA">
        <w:t>), and</w:t>
      </w:r>
    </w:p>
    <w:p w14:paraId="5B4500CC" w14:textId="77777777" w:rsidR="007523B8" w:rsidRPr="009E06AA" w:rsidRDefault="007523B8" w:rsidP="007523B8">
      <w:pPr>
        <w:pStyle w:val="BodyText"/>
        <w:spacing w:before="40"/>
        <w:ind w:left="964" w:hanging="964"/>
      </w:pPr>
      <w:r w:rsidRPr="009E06AA">
        <w:tab/>
        <w:t>DMD is dry-matter digestibility (decimal proportion).</w:t>
      </w:r>
    </w:p>
    <w:p w14:paraId="013C89D9" w14:textId="77777777" w:rsidR="007523B8" w:rsidRPr="009E06AA" w:rsidRDefault="007523B8" w:rsidP="007523B8">
      <w:pPr>
        <w:pStyle w:val="BodyText"/>
        <w:spacing w:before="80"/>
        <w:rPr>
          <w:rFonts w:cs="Calibri"/>
        </w:rPr>
      </w:pPr>
      <w:r w:rsidRPr="009E06AA">
        <w:rPr>
          <w:rFonts w:cs="Calibri"/>
        </w:rPr>
        <w:t>The DMI and dry-matter digestibility estimates in this calculation are the same as those used to calculate CH</w:t>
      </w:r>
      <w:r w:rsidRPr="009E06AA">
        <w:rPr>
          <w:rFonts w:cs="Calibri"/>
          <w:vertAlign w:val="subscript"/>
        </w:rPr>
        <w:t>4</w:t>
      </w:r>
      <w:r w:rsidRPr="009E06AA">
        <w:rPr>
          <w:rFonts w:cs="Calibri"/>
        </w:rPr>
        <w:t xml:space="preserve"> from </w:t>
      </w:r>
      <w:r w:rsidRPr="009E06AA">
        <w:rPr>
          <w:rFonts w:cs="Calibri"/>
          <w:i/>
          <w:iCs/>
        </w:rPr>
        <w:t>Enteric</w:t>
      </w:r>
      <w:r w:rsidRPr="009E06AA">
        <w:rPr>
          <w:i/>
        </w:rPr>
        <w:t xml:space="preserve"> fermentation</w:t>
      </w:r>
      <w:r w:rsidRPr="009E06AA">
        <w:rPr>
          <w:rFonts w:cs="Calibri"/>
        </w:rPr>
        <w:t xml:space="preserve"> </w:t>
      </w:r>
      <w:r w:rsidRPr="009E06AA">
        <w:rPr>
          <w:rFonts w:cs="Calibri"/>
          <w:spacing w:val="-2"/>
        </w:rPr>
        <w:t xml:space="preserve">and </w:t>
      </w:r>
      <w:r w:rsidRPr="009E06AA">
        <w:rPr>
          <w:rFonts w:cs="Calibri"/>
        </w:rPr>
        <w:t>nitrogen</w:t>
      </w:r>
      <w:r w:rsidRPr="009E06AA">
        <w:rPr>
          <w:rFonts w:cs="Calibri"/>
          <w:spacing w:val="-2"/>
        </w:rPr>
        <w:t xml:space="preserve"> in excreta.</w:t>
      </w:r>
      <w:r w:rsidRPr="009E06AA">
        <w:rPr>
          <w:rFonts w:cs="Calibri"/>
        </w:rPr>
        <w:t xml:space="preserve"> These Tier 2 model calculations are based on livestock performance statistics (see section 5.1.4). </w:t>
      </w:r>
    </w:p>
    <w:p w14:paraId="0A81075A" w14:textId="77777777" w:rsidR="007523B8" w:rsidRPr="009E06AA" w:rsidRDefault="007523B8" w:rsidP="00BF2A76">
      <w:pPr>
        <w:pStyle w:val="Heading5"/>
      </w:pPr>
      <w:r w:rsidRPr="009E06AA">
        <w:t xml:space="preserve">Methane from dairy effluent anaerobic lagoons </w:t>
      </w:r>
    </w:p>
    <w:p w14:paraId="1303C00C" w14:textId="77777777" w:rsidR="007523B8" w:rsidRPr="009E06AA" w:rsidRDefault="007523B8" w:rsidP="007523B8">
      <w:pPr>
        <w:pStyle w:val="BodyText"/>
        <w:spacing w:before="100" w:after="60"/>
        <w:rPr>
          <w:rFonts w:cs="Calibri"/>
        </w:rPr>
      </w:pPr>
      <w:r w:rsidRPr="009E06AA">
        <w:rPr>
          <w:rFonts w:cs="Calibri"/>
        </w:rPr>
        <w:t>Each year, a proportion of manure from dairy cows is stored in anaerobic lagoons (Rollo et al., 2017). A Tier 2 methodology derived from the 2006 IPCC Guidelines (equations 10.23 and 10.24, IPCC, 2006) linking volatile solids to FDM is used for calculating CH</w:t>
      </w:r>
      <w:r w:rsidRPr="009E06AA">
        <w:rPr>
          <w:rFonts w:cs="Calibri"/>
          <w:vertAlign w:val="subscript"/>
        </w:rPr>
        <w:t>4</w:t>
      </w:r>
      <w:r w:rsidRPr="009E06AA">
        <w:rPr>
          <w:rFonts w:cs="Calibri"/>
        </w:rPr>
        <w:t xml:space="preserve"> emissions from this activity.</w:t>
      </w:r>
    </w:p>
    <w:p w14:paraId="11EB3BC1" w14:textId="77777777" w:rsidR="007523B8" w:rsidRPr="009E06AA" w:rsidRDefault="007523B8" w:rsidP="007523B8">
      <w:pPr>
        <w:pStyle w:val="BodyText"/>
        <w:rPr>
          <w:rFonts w:cs="Calibri"/>
        </w:rPr>
      </w:pPr>
      <w:r w:rsidRPr="009E06AA">
        <w:rPr>
          <w:rFonts w:cs="Calibri"/>
        </w:rPr>
        <w:t>The following equation is used to determine CH</w:t>
      </w:r>
      <w:r w:rsidRPr="009E06AA">
        <w:rPr>
          <w:rFonts w:cs="Calibri"/>
          <w:vertAlign w:val="subscript"/>
        </w:rPr>
        <w:t>4</w:t>
      </w:r>
      <w:r w:rsidRPr="009E06AA">
        <w:rPr>
          <w:rFonts w:cs="Calibri"/>
        </w:rPr>
        <w:t xml:space="preserve"> emissions (CH</w:t>
      </w:r>
      <w:r w:rsidRPr="009E06AA">
        <w:rPr>
          <w:rFonts w:cs="Calibri"/>
          <w:vertAlign w:val="subscript"/>
        </w:rPr>
        <w:t>4-MM</w:t>
      </w:r>
      <w:r w:rsidRPr="009E06AA">
        <w:rPr>
          <w:rFonts w:cs="Calibri"/>
        </w:rPr>
        <w:t>) from dairy cattle manure in anaerobic lagoons:</w:t>
      </w:r>
    </w:p>
    <w:p w14:paraId="08601D77" w14:textId="77777777" w:rsidR="007523B8" w:rsidRPr="009E06AA" w:rsidRDefault="008975BF" w:rsidP="007523B8">
      <w:pPr>
        <w:pStyle w:val="BodyText"/>
        <w:spacing w:before="80"/>
        <w:rPr>
          <w:sz w:val="24"/>
          <w:szCs w:val="24"/>
        </w:rPr>
      </w:pPr>
      <m:oMathPara>
        <m:oMathParaPr>
          <m:jc m:val="center"/>
        </m:oMathParaPr>
        <m:oMath>
          <m:sSub>
            <m:sSubPr>
              <m:ctrlPr>
                <w:rPr>
                  <w:rFonts w:ascii="Cambria Math" w:hAnsi="Cambria Math"/>
                  <w:sz w:val="24"/>
                  <w:szCs w:val="24"/>
                </w:rPr>
              </m:ctrlPr>
            </m:sSubPr>
            <m:e>
              <m:r>
                <w:rPr>
                  <w:rFonts w:ascii="Cambria Math" w:hAnsi="Cambria Math"/>
                  <w:sz w:val="24"/>
                  <w:szCs w:val="24"/>
                </w:rPr>
                <m:t>CH</m:t>
              </m:r>
            </m:e>
            <m:sub>
              <m:r>
                <m:rPr>
                  <m:sty m:val="p"/>
                </m:rPr>
                <w:rPr>
                  <w:rFonts w:ascii="Cambria Math" w:hAnsi="Cambria Math"/>
                  <w:sz w:val="24"/>
                  <w:szCs w:val="24"/>
                </w:rPr>
                <m:t>4</m:t>
              </m:r>
              <m:r>
                <w:rPr>
                  <w:rFonts w:ascii="Cambria Math" w:hAnsi="Cambria Math"/>
                  <w:sz w:val="24"/>
                  <w:szCs w:val="24"/>
                </w:rPr>
                <m:t>AL</m:t>
              </m:r>
              <m:r>
                <m:rPr>
                  <m:sty m:val="p"/>
                </m:rPr>
                <w:rPr>
                  <w:rFonts w:ascii="Cambria Math" w:hAnsi="Cambria Math"/>
                  <w:sz w:val="24"/>
                  <w:szCs w:val="24"/>
                </w:rPr>
                <m:t>-</m:t>
              </m:r>
              <m:r>
                <w:rPr>
                  <w:rFonts w:ascii="Cambria Math" w:hAnsi="Cambria Math"/>
                  <w:sz w:val="24"/>
                  <w:szCs w:val="24"/>
                </w:rPr>
                <m:t>dairy</m:t>
              </m:r>
            </m:sub>
          </m:sSub>
          <m:r>
            <m:rPr>
              <m:sty m:val="p"/>
            </m:rPr>
            <w:rPr>
              <w:rFonts w:ascii="Cambria Math" w:hAnsi="Cambria Math"/>
              <w:sz w:val="24"/>
              <w:szCs w:val="24"/>
            </w:rPr>
            <m:t xml:space="preserve">= </m:t>
          </m:r>
          <m:r>
            <w:rPr>
              <w:rFonts w:ascii="Cambria Math" w:hAnsi="Cambria Math"/>
              <w:sz w:val="24"/>
              <w:szCs w:val="24"/>
            </w:rPr>
            <m:t>FDM</m:t>
          </m:r>
          <m:r>
            <m:rPr>
              <m:sty m:val="p"/>
            </m:rPr>
            <w:rPr>
              <w:rFonts w:ascii="Cambria Math" w:hAnsi="Cambria Math"/>
              <w:sz w:val="24"/>
              <w:szCs w:val="24"/>
            </w:rPr>
            <m:t>×</m:t>
          </m:r>
          <m:d>
            <m:dPr>
              <m:ctrlPr>
                <w:rPr>
                  <w:rFonts w:ascii="Cambria Math" w:hAnsi="Cambria Math"/>
                  <w:sz w:val="24"/>
                  <w:szCs w:val="24"/>
                </w:rPr>
              </m:ctrlPr>
            </m:dPr>
            <m:e>
              <m:r>
                <m:rPr>
                  <m:sty m:val="p"/>
                </m:rPr>
                <w:rPr>
                  <w:rFonts w:ascii="Cambria Math" w:hAnsi="Cambria Math"/>
                  <w:sz w:val="24"/>
                  <w:szCs w:val="24"/>
                </w:rPr>
                <m:t>1-</m:t>
              </m:r>
              <m:r>
                <w:rPr>
                  <w:rFonts w:ascii="Cambria Math" w:hAnsi="Cambria Math"/>
                  <w:sz w:val="24"/>
                  <w:szCs w:val="24"/>
                </w:rPr>
                <m:t>ASH</m:t>
              </m:r>
            </m:e>
          </m:d>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B</m:t>
              </m:r>
            </m:e>
            <m:sub>
              <m:r>
                <m:rPr>
                  <m:sty m:val="p"/>
                </m:rPr>
                <w:rPr>
                  <w:rFonts w:ascii="Cambria Math" w:hAnsi="Cambria Math"/>
                  <w:sz w:val="24"/>
                  <w:szCs w:val="24"/>
                </w:rPr>
                <m:t>0</m:t>
              </m:r>
            </m:sub>
          </m:sSub>
          <m:r>
            <m:rPr>
              <m:sty m:val="p"/>
            </m:rPr>
            <w:rPr>
              <w:rFonts w:ascii="Cambria Math" w:hAnsi="Cambria Math"/>
              <w:sz w:val="24"/>
              <w:szCs w:val="24"/>
            </w:rPr>
            <m:t>×0.67×</m:t>
          </m:r>
          <m:r>
            <w:rPr>
              <w:rFonts w:ascii="Cambria Math" w:hAnsi="Cambria Math"/>
              <w:sz w:val="24"/>
              <w:szCs w:val="24"/>
            </w:rPr>
            <m:t>MCF</m:t>
          </m:r>
          <m:r>
            <m:rPr>
              <m:sty m:val="p"/>
            </m:rPr>
            <w:rPr>
              <w:rFonts w:ascii="Cambria Math" w:hAnsi="Cambria Math"/>
              <w:sz w:val="24"/>
              <w:szCs w:val="24"/>
            </w:rPr>
            <m:t>×</m:t>
          </m:r>
          <m:r>
            <w:rPr>
              <w:rFonts w:ascii="Cambria Math" w:hAnsi="Cambria Math"/>
              <w:sz w:val="24"/>
              <w:szCs w:val="24"/>
            </w:rPr>
            <m:t>MS</m:t>
          </m:r>
        </m:oMath>
      </m:oMathPara>
    </w:p>
    <w:p w14:paraId="6A571EDB" w14:textId="77777777" w:rsidR="007523B8" w:rsidRPr="009E06AA" w:rsidRDefault="007523B8" w:rsidP="007523B8">
      <w:pPr>
        <w:pStyle w:val="BodyText"/>
        <w:spacing w:before="60" w:after="60"/>
        <w:ind w:left="964" w:hanging="964"/>
      </w:pPr>
      <w:r w:rsidRPr="009E06AA">
        <w:t xml:space="preserve">Where: </w:t>
      </w:r>
      <w:r w:rsidRPr="009E06AA">
        <w:tab/>
        <w:t>FDM is the faecal dry matter excreted by dairy cows (on pasture and stored in anaerobic lagoons) (kg head</w:t>
      </w:r>
      <w:r w:rsidRPr="009E06AA">
        <w:rPr>
          <w:vertAlign w:val="superscript"/>
        </w:rPr>
        <w:t>-1</w:t>
      </w:r>
      <w:r w:rsidRPr="009E06AA">
        <w:t xml:space="preserve"> month</w:t>
      </w:r>
      <w:r w:rsidRPr="009E06AA">
        <w:rPr>
          <w:vertAlign w:val="superscript"/>
        </w:rPr>
        <w:t>-1</w:t>
      </w:r>
      <w:r w:rsidRPr="009E06AA">
        <w:t>)</w:t>
      </w:r>
    </w:p>
    <w:p w14:paraId="2B4797BB" w14:textId="77777777" w:rsidR="007523B8" w:rsidRPr="009E06AA" w:rsidRDefault="007523B8" w:rsidP="00AE34FA">
      <w:pPr>
        <w:pStyle w:val="BodyText"/>
        <w:spacing w:before="40" w:after="60"/>
        <w:ind w:left="964" w:hanging="964"/>
      </w:pPr>
      <w:r w:rsidRPr="009E06AA">
        <w:tab/>
        <w:t>ASH is the ash content of manure, 0.08 (IPCC, 2006, default value)</w:t>
      </w:r>
    </w:p>
    <w:p w14:paraId="7494ACC2" w14:textId="77777777" w:rsidR="007523B8" w:rsidRPr="009E06AA" w:rsidRDefault="007523B8" w:rsidP="00AE34FA">
      <w:pPr>
        <w:pStyle w:val="BodyText"/>
        <w:spacing w:before="40" w:after="60"/>
        <w:ind w:left="964" w:hanging="964"/>
      </w:pPr>
      <w:r w:rsidRPr="009E06AA">
        <w:tab/>
        <w:t>B</w:t>
      </w:r>
      <w:r w:rsidRPr="009E06AA">
        <w:rPr>
          <w:vertAlign w:val="subscript"/>
        </w:rPr>
        <w:t>0</w:t>
      </w:r>
      <w:r w:rsidRPr="009E06AA">
        <w:t xml:space="preserve"> is the maximum CH</w:t>
      </w:r>
      <w:r w:rsidRPr="009E06AA">
        <w:rPr>
          <w:vertAlign w:val="subscript"/>
        </w:rPr>
        <w:t>4</w:t>
      </w:r>
      <w:r w:rsidRPr="009E06AA">
        <w:t>-producing capacity of manure variable by species and diet, 0.24 (IPCC, 2006; Oceania default value, verified by Pratt et al., 2012)</w:t>
      </w:r>
    </w:p>
    <w:p w14:paraId="06B487CA" w14:textId="77777777" w:rsidR="007523B8" w:rsidRPr="009E06AA" w:rsidRDefault="007523B8" w:rsidP="00AE34FA">
      <w:pPr>
        <w:pStyle w:val="BodyText"/>
        <w:spacing w:before="40" w:after="60"/>
        <w:ind w:left="964" w:hanging="964"/>
      </w:pPr>
      <w:r w:rsidRPr="009E06AA">
        <w:tab/>
        <w:t>0.67 is the conversion factor for converting CH</w:t>
      </w:r>
      <w:r w:rsidRPr="009E06AA">
        <w:rPr>
          <w:vertAlign w:val="subscript"/>
        </w:rPr>
        <w:t>4</w:t>
      </w:r>
      <w:r w:rsidRPr="009E06AA">
        <w:t xml:space="preserve"> from cubic metres to kilograms (IPCC, 2006)</w:t>
      </w:r>
    </w:p>
    <w:p w14:paraId="56CA06DB" w14:textId="77777777" w:rsidR="007523B8" w:rsidRPr="009E06AA" w:rsidRDefault="007523B8" w:rsidP="00AE34FA">
      <w:pPr>
        <w:pStyle w:val="BodyText"/>
        <w:spacing w:before="40" w:after="60"/>
        <w:ind w:left="964" w:hanging="964"/>
      </w:pPr>
      <w:r w:rsidRPr="009E06AA">
        <w:tab/>
        <w:t>MCF is the CH</w:t>
      </w:r>
      <w:r w:rsidRPr="009E06AA">
        <w:rPr>
          <w:vertAlign w:val="subscript"/>
        </w:rPr>
        <w:t>4</w:t>
      </w:r>
      <w:r w:rsidRPr="009E06AA">
        <w:t xml:space="preserve"> conversion factor, 0.74 (IPCC, 2006, table 10.17, default for uncovered anaerobic lagoon, average annual temperature 15 degrees Celsius, verified by Pratt et al., 2012) </w:t>
      </w:r>
    </w:p>
    <w:p w14:paraId="1F75DB6C" w14:textId="77777777" w:rsidR="007523B8" w:rsidRPr="009E06AA" w:rsidRDefault="007523B8" w:rsidP="007523B8">
      <w:pPr>
        <w:pStyle w:val="BodyText"/>
        <w:spacing w:before="40" w:after="60"/>
        <w:ind w:left="964" w:hanging="964"/>
      </w:pPr>
      <w:r w:rsidRPr="009E06AA">
        <w:tab/>
        <w:t>MS is the fraction of total dairy manure excreted that ends up in anaerobic lagoons.</w:t>
      </w:r>
    </w:p>
    <w:p w14:paraId="076F8C3D" w14:textId="77777777" w:rsidR="007523B8" w:rsidRPr="009E06AA" w:rsidRDefault="007523B8" w:rsidP="00BF2A76">
      <w:pPr>
        <w:pStyle w:val="Heading5"/>
      </w:pPr>
      <w:r w:rsidRPr="009E06AA">
        <w:t>Methane emissions from the major livestock categories</w:t>
      </w:r>
    </w:p>
    <w:p w14:paraId="5D63B702" w14:textId="77777777" w:rsidR="007523B8" w:rsidRPr="009E06AA" w:rsidRDefault="007523B8" w:rsidP="00AE34FA">
      <w:pPr>
        <w:pStyle w:val="BodyText"/>
      </w:pPr>
      <w:r w:rsidRPr="009E06AA">
        <w:t xml:space="preserve">The following equation is used to determine </w:t>
      </w:r>
      <w:r w:rsidRPr="009E06AA">
        <w:rPr>
          <w:rFonts w:cs="Calibri"/>
        </w:rPr>
        <w:t>CH</w:t>
      </w:r>
      <w:r w:rsidRPr="009E06AA">
        <w:rPr>
          <w:rFonts w:cs="Calibri"/>
          <w:vertAlign w:val="subscript"/>
        </w:rPr>
        <w:t>4</w:t>
      </w:r>
      <w:r w:rsidRPr="009E06AA">
        <w:rPr>
          <w:rFonts w:cs="Calibri"/>
        </w:rPr>
        <w:t xml:space="preserve"> </w:t>
      </w:r>
      <w:r w:rsidRPr="009E06AA">
        <w:t>emissions (CH</w:t>
      </w:r>
      <w:r w:rsidRPr="009E06AA">
        <w:rPr>
          <w:vertAlign w:val="subscript"/>
        </w:rPr>
        <w:t>4-PRP</w:t>
      </w:r>
      <w:r w:rsidRPr="009E06AA">
        <w:t>) from non-dairy cattle, sheep and deer manure deposited on pasture:</w:t>
      </w:r>
    </w:p>
    <w:p w14:paraId="5570A011" w14:textId="77777777" w:rsidR="007523B8" w:rsidRPr="009E06AA" w:rsidRDefault="008975BF" w:rsidP="007523B8">
      <w:pPr>
        <w:pStyle w:val="BodyText"/>
        <w:jc w:val="center"/>
        <w:rPr>
          <w:rFonts w:cs="Calibri"/>
          <w:sz w:val="24"/>
          <w:szCs w:val="24"/>
        </w:rPr>
      </w:pPr>
      <m:oMathPara>
        <m:oMath>
          <m:sSub>
            <m:sSubPr>
              <m:ctrlPr>
                <w:rPr>
                  <w:rFonts w:ascii="Cambria Math" w:hAnsi="Cambria Math"/>
                  <w:i/>
                  <w:sz w:val="24"/>
                  <w:szCs w:val="24"/>
                </w:rPr>
              </m:ctrlPr>
            </m:sSubPr>
            <m:e>
              <m:r>
                <w:rPr>
                  <w:rFonts w:ascii="Cambria Math" w:hAnsi="Cambria Math"/>
                  <w:sz w:val="24"/>
                  <w:szCs w:val="24"/>
                </w:rPr>
                <m:t>CH</m:t>
              </m:r>
            </m:e>
            <m:sub>
              <m:r>
                <w:rPr>
                  <w:rFonts w:ascii="Cambria Math" w:hAnsi="Cambria Math"/>
                  <w:sz w:val="24"/>
                  <w:szCs w:val="24"/>
                </w:rPr>
                <m:t>4</m:t>
              </m:r>
              <m:r>
                <w:rPr>
                  <w:rFonts w:ascii="Cambria Math" w:hAnsi="Cambria Math"/>
                  <w:sz w:val="24"/>
                  <w:szCs w:val="24"/>
                </w:rPr>
                <m:t>PRP</m:t>
              </m:r>
              <m:r>
                <w:rPr>
                  <w:rFonts w:ascii="Cambria Math" w:hAnsi="Cambria Math"/>
                  <w:sz w:val="24"/>
                  <w:szCs w:val="24"/>
                </w:rPr>
                <m:t>-</m:t>
              </m:r>
              <m:r>
                <w:rPr>
                  <w:rFonts w:ascii="Cambria Math" w:hAnsi="Cambria Math"/>
                  <w:sz w:val="24"/>
                  <w:szCs w:val="24"/>
                </w:rPr>
                <m:t>dairy</m:t>
              </m:r>
            </m:sub>
          </m:sSub>
          <m:r>
            <w:rPr>
              <w:rFonts w:ascii="Cambria Math" w:hAnsi="Cambria Math"/>
              <w:sz w:val="24"/>
              <w:szCs w:val="24"/>
            </w:rPr>
            <m:t xml:space="preserve">= </m:t>
          </m:r>
          <m:r>
            <w:rPr>
              <w:rFonts w:ascii="Cambria Math" w:hAnsi="Cambria Math"/>
              <w:sz w:val="24"/>
              <w:szCs w:val="24"/>
            </w:rPr>
            <m:t>FDM</m:t>
          </m:r>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MS</m:t>
              </m:r>
            </m:e>
            <m:sub>
              <m:r>
                <w:rPr>
                  <w:rFonts w:ascii="Cambria Math" w:hAnsi="Cambria Math"/>
                  <w:sz w:val="24"/>
                  <w:szCs w:val="24"/>
                </w:rPr>
                <m:t>PRP</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Y</m:t>
              </m:r>
            </m:e>
            <m:sub>
              <m:r>
                <w:rPr>
                  <w:rFonts w:ascii="Cambria Math" w:hAnsi="Cambria Math"/>
                  <w:sz w:val="24"/>
                  <w:szCs w:val="24"/>
                </w:rPr>
                <m:t>m</m:t>
              </m:r>
            </m:sub>
          </m:sSub>
        </m:oMath>
      </m:oMathPara>
    </w:p>
    <w:p w14:paraId="5CB98BEF" w14:textId="77777777" w:rsidR="007523B8" w:rsidRPr="009E06AA" w:rsidRDefault="007523B8" w:rsidP="008845F3">
      <w:pPr>
        <w:pStyle w:val="BodyText"/>
        <w:spacing w:after="40"/>
        <w:ind w:left="964" w:hanging="964"/>
      </w:pPr>
      <w:r w:rsidRPr="009E06AA">
        <w:t xml:space="preserve">Where: </w:t>
      </w:r>
      <w:r w:rsidRPr="009E06AA">
        <w:tab/>
        <w:t>FDM is the faecal dry matter (kg/head/month)</w:t>
      </w:r>
    </w:p>
    <w:p w14:paraId="553A2EE8" w14:textId="77777777" w:rsidR="007523B8" w:rsidRPr="009E06AA" w:rsidRDefault="007523B8" w:rsidP="008845F3">
      <w:pPr>
        <w:pStyle w:val="BodyText"/>
        <w:spacing w:before="40" w:after="40"/>
        <w:ind w:left="964" w:hanging="964"/>
      </w:pPr>
      <w:r w:rsidRPr="009E06AA">
        <w:tab/>
        <w:t>MS</w:t>
      </w:r>
      <w:r w:rsidRPr="009E06AA">
        <w:rPr>
          <w:vertAlign w:val="subscript"/>
        </w:rPr>
        <w:t>PRP</w:t>
      </w:r>
      <w:r w:rsidRPr="009E06AA">
        <w:t xml:space="preserve"> = proportion of manure excreted on pasture</w:t>
      </w:r>
    </w:p>
    <w:p w14:paraId="34266761" w14:textId="77777777" w:rsidR="007523B8" w:rsidRPr="009E06AA" w:rsidRDefault="007523B8" w:rsidP="008845F3">
      <w:pPr>
        <w:pStyle w:val="BodyText"/>
        <w:spacing w:before="40" w:after="40"/>
        <w:ind w:left="964" w:hanging="964"/>
      </w:pPr>
      <w:r w:rsidRPr="009E06AA">
        <w:tab/>
        <w:t>Y</w:t>
      </w:r>
      <w:r w:rsidRPr="009E06AA">
        <w:rPr>
          <w:vertAlign w:val="subscript"/>
        </w:rPr>
        <w:t>m</w:t>
      </w:r>
      <w:r w:rsidRPr="009E06AA">
        <w:t xml:space="preserve"> is the CH</w:t>
      </w:r>
      <w:r w:rsidRPr="009E06AA">
        <w:rPr>
          <w:vertAlign w:val="subscript"/>
        </w:rPr>
        <w:t>4</w:t>
      </w:r>
      <w:r w:rsidRPr="009E06AA">
        <w:t xml:space="preserve"> yield value.</w:t>
      </w:r>
    </w:p>
    <w:p w14:paraId="4058B9B2" w14:textId="77777777" w:rsidR="007523B8" w:rsidRPr="009E06AA" w:rsidRDefault="007523B8" w:rsidP="007523B8">
      <w:pPr>
        <w:pStyle w:val="BodyText"/>
        <w:spacing w:before="100" w:after="100"/>
      </w:pPr>
      <w:r w:rsidRPr="009E06AA">
        <w:t xml:space="preserve">Country-specific </w:t>
      </w:r>
      <w:r w:rsidRPr="009E06AA">
        <w:rPr>
          <w:rFonts w:cs="Calibri"/>
        </w:rPr>
        <w:t>CH</w:t>
      </w:r>
      <w:r w:rsidRPr="009E06AA">
        <w:rPr>
          <w:rFonts w:cs="Calibri"/>
          <w:vertAlign w:val="subscript"/>
        </w:rPr>
        <w:t>4</w:t>
      </w:r>
      <w:r w:rsidRPr="009E06AA">
        <w:rPr>
          <w:rFonts w:cs="Calibri"/>
        </w:rPr>
        <w:t xml:space="preserve"> </w:t>
      </w:r>
      <w:r w:rsidRPr="009E06AA">
        <w:t>yield values have been developed from New Zealand studies. Details on the values used for each of the major livestock categories are provided below.</w:t>
      </w:r>
    </w:p>
    <w:p w14:paraId="26D8CA1E" w14:textId="77777777" w:rsidR="007523B8" w:rsidRPr="009E06AA" w:rsidRDefault="007523B8" w:rsidP="007523B8">
      <w:pPr>
        <w:pStyle w:val="BodyText"/>
        <w:spacing w:before="100" w:after="100"/>
        <w:rPr>
          <w:rFonts w:cs="Calibri"/>
        </w:rPr>
      </w:pPr>
      <w:r w:rsidRPr="009E06AA">
        <w:rPr>
          <w:rFonts w:cs="Calibri"/>
          <w:b/>
          <w:bCs/>
          <w:i/>
          <w:iCs/>
        </w:rPr>
        <w:t>Dairy cattle:</w:t>
      </w:r>
      <w:r w:rsidRPr="009E06AA">
        <w:rPr>
          <w:rFonts w:cs="Calibri"/>
        </w:rPr>
        <w:t xml:space="preserve"> The quantity of CH</w:t>
      </w:r>
      <w:r w:rsidRPr="009E06AA">
        <w:rPr>
          <w:rFonts w:cs="Calibri"/>
          <w:vertAlign w:val="subscript"/>
        </w:rPr>
        <w:t>4</w:t>
      </w:r>
      <w:r w:rsidRPr="009E06AA">
        <w:rPr>
          <w:rFonts w:cs="Calibri"/>
        </w:rPr>
        <w:t xml:space="preserve"> produced per kilogram of FDM is 0.98 g CH</w:t>
      </w:r>
      <w:r w:rsidRPr="009E06AA">
        <w:rPr>
          <w:rFonts w:cs="Calibri"/>
          <w:vertAlign w:val="subscript"/>
        </w:rPr>
        <w:t>4</w:t>
      </w:r>
      <w:r w:rsidRPr="009E06AA">
        <w:rPr>
          <w:rFonts w:cs="Calibri"/>
        </w:rPr>
        <w:t xml:space="preserve">/kg for manure deposited on pasture. This value is obtained from </w:t>
      </w:r>
      <w:r w:rsidRPr="009E06AA" w:rsidDel="00C95FDB">
        <w:t xml:space="preserve">New </w:t>
      </w:r>
      <w:r w:rsidRPr="009E06AA">
        <w:t>Zealand</w:t>
      </w:r>
      <w:r w:rsidRPr="009E06AA">
        <w:rPr>
          <w:rFonts w:cs="Calibri"/>
        </w:rPr>
        <w:t xml:space="preserve"> studies on dairy cows and varies from around 0.92 g CH</w:t>
      </w:r>
      <w:r w:rsidRPr="009E06AA">
        <w:rPr>
          <w:rFonts w:cs="Calibri"/>
          <w:vertAlign w:val="subscript"/>
        </w:rPr>
        <w:t>4</w:t>
      </w:r>
      <w:r w:rsidRPr="009E06AA">
        <w:rPr>
          <w:rFonts w:cs="Calibri"/>
        </w:rPr>
        <w:t>/kg to 1.04 g CH</w:t>
      </w:r>
      <w:r w:rsidRPr="009E06AA">
        <w:rPr>
          <w:rFonts w:cs="Calibri"/>
          <w:vertAlign w:val="subscript"/>
        </w:rPr>
        <w:t>4</w:t>
      </w:r>
      <w:r w:rsidRPr="009E06AA">
        <w:rPr>
          <w:rFonts w:cs="Calibri"/>
        </w:rPr>
        <w:t>/kg (Saggar et al., unpublished; Sherlock et al., unpublished).</w:t>
      </w:r>
    </w:p>
    <w:p w14:paraId="65CE9C51" w14:textId="77777777" w:rsidR="007523B8" w:rsidRPr="009E06AA" w:rsidRDefault="007523B8" w:rsidP="007523B8">
      <w:pPr>
        <w:pStyle w:val="BodyText"/>
        <w:spacing w:before="100" w:after="100"/>
      </w:pPr>
      <w:r w:rsidRPr="009E06AA">
        <w:rPr>
          <w:b/>
          <w:bCs/>
          <w:i/>
          <w:iCs/>
        </w:rPr>
        <w:t>Non-dairy cattle:</w:t>
      </w:r>
      <w:r w:rsidRPr="009E06AA">
        <w:t xml:space="preserve"> The value of 0.98 g CH</w:t>
      </w:r>
      <w:r w:rsidRPr="009E06AA">
        <w:rPr>
          <w:vertAlign w:val="subscript"/>
        </w:rPr>
        <w:t>4</w:t>
      </w:r>
      <w:r w:rsidRPr="009E06AA">
        <w:t xml:space="preserve">/kg per unit of FDM is based on New Zealand studies on dairy cattle manure (Saggar et al., </w:t>
      </w:r>
      <w:r w:rsidRPr="009E06AA">
        <w:rPr>
          <w:rFonts w:cs="Calibri"/>
        </w:rPr>
        <w:t>unpublished</w:t>
      </w:r>
      <w:r w:rsidRPr="009E06AA">
        <w:t xml:space="preserve">; Sherlock et al., </w:t>
      </w:r>
      <w:r w:rsidRPr="009E06AA">
        <w:rPr>
          <w:rFonts w:cs="Calibri"/>
        </w:rPr>
        <w:t>unpublished</w:t>
      </w:r>
      <w:r w:rsidRPr="009E06AA">
        <w:t xml:space="preserve">). No specific studies have been conducted in </w:t>
      </w:r>
      <w:r w:rsidRPr="009E06AA" w:rsidDel="00967AF7">
        <w:t xml:space="preserve">New </w:t>
      </w:r>
      <w:r w:rsidRPr="009E06AA">
        <w:t xml:space="preserve">Zealand on </w:t>
      </w:r>
      <w:r w:rsidRPr="009E06AA">
        <w:rPr>
          <w:rFonts w:cs="Calibri"/>
        </w:rPr>
        <w:t>CH</w:t>
      </w:r>
      <w:r w:rsidRPr="009E06AA">
        <w:rPr>
          <w:rFonts w:cs="Calibri"/>
          <w:vertAlign w:val="subscript"/>
        </w:rPr>
        <w:t>4</w:t>
      </w:r>
      <w:r w:rsidRPr="009E06AA">
        <w:rPr>
          <w:rFonts w:cs="Calibri"/>
        </w:rPr>
        <w:t xml:space="preserve"> </w:t>
      </w:r>
      <w:r w:rsidRPr="009E06AA">
        <w:t>emissions from non-dairy cattle manure.</w:t>
      </w:r>
    </w:p>
    <w:p w14:paraId="424FAAD7" w14:textId="77777777" w:rsidR="007523B8" w:rsidRPr="009E06AA" w:rsidRDefault="007523B8" w:rsidP="007523B8">
      <w:pPr>
        <w:pStyle w:val="BodyText"/>
        <w:spacing w:before="100" w:after="100"/>
      </w:pPr>
      <w:r w:rsidRPr="009E06AA">
        <w:rPr>
          <w:b/>
          <w:bCs/>
          <w:i/>
          <w:iCs/>
        </w:rPr>
        <w:t>Sheep:</w:t>
      </w:r>
      <w:r w:rsidRPr="009E06AA">
        <w:rPr>
          <w:i/>
          <w:iCs/>
        </w:rPr>
        <w:t xml:space="preserve"> </w:t>
      </w:r>
      <w:r w:rsidRPr="009E06AA">
        <w:t xml:space="preserve">The quantity of </w:t>
      </w:r>
      <w:r w:rsidRPr="009E06AA">
        <w:rPr>
          <w:rFonts w:cs="Calibri"/>
        </w:rPr>
        <w:t>CH</w:t>
      </w:r>
      <w:r w:rsidRPr="009E06AA">
        <w:rPr>
          <w:rFonts w:cs="Calibri"/>
          <w:vertAlign w:val="subscript"/>
        </w:rPr>
        <w:t>4</w:t>
      </w:r>
      <w:r w:rsidRPr="009E06AA">
        <w:rPr>
          <w:rFonts w:cs="Calibri"/>
        </w:rPr>
        <w:t xml:space="preserve"> </w:t>
      </w:r>
      <w:r w:rsidRPr="009E06AA">
        <w:t>produced per unit of sheep FDM is 0.69 g CH</w:t>
      </w:r>
      <w:r w:rsidRPr="009E06AA">
        <w:rPr>
          <w:vertAlign w:val="subscript"/>
        </w:rPr>
        <w:t>4</w:t>
      </w:r>
      <w:r w:rsidRPr="009E06AA">
        <w:t>/kg. This value</w:t>
      </w:r>
      <w:r w:rsidRPr="009E06AA" w:rsidDel="00337DA2">
        <w:t xml:space="preserve"> </w:t>
      </w:r>
      <w:r w:rsidRPr="009E06AA">
        <w:t>was obtained from a New Zealand study on sheep in which values ranged from 0.340 g CH</w:t>
      </w:r>
      <w:r w:rsidRPr="009E06AA">
        <w:rPr>
          <w:vertAlign w:val="subscript"/>
        </w:rPr>
        <w:t>4</w:t>
      </w:r>
      <w:r w:rsidRPr="009E06AA">
        <w:t>/kg to 1.288 g CH</w:t>
      </w:r>
      <w:r w:rsidRPr="009E06AA">
        <w:rPr>
          <w:vertAlign w:val="subscript"/>
        </w:rPr>
        <w:t>4</w:t>
      </w:r>
      <w:r w:rsidRPr="009E06AA">
        <w:t>/kg over six sampling periods (Carran et al., unpublished).</w:t>
      </w:r>
    </w:p>
    <w:p w14:paraId="0559C4AA" w14:textId="77777777" w:rsidR="007523B8" w:rsidRPr="009E06AA" w:rsidRDefault="007523B8" w:rsidP="007523B8">
      <w:pPr>
        <w:pStyle w:val="BodyText"/>
        <w:spacing w:before="100" w:after="100"/>
      </w:pPr>
      <w:r w:rsidRPr="009E06AA">
        <w:rPr>
          <w:b/>
          <w:bCs/>
          <w:i/>
          <w:iCs/>
        </w:rPr>
        <w:t>Deer:</w:t>
      </w:r>
      <w:r w:rsidRPr="009E06AA">
        <w:t xml:space="preserve"> The quantity of </w:t>
      </w:r>
      <w:r w:rsidRPr="009E06AA">
        <w:rPr>
          <w:rFonts w:cs="Calibri"/>
        </w:rPr>
        <w:t>CH</w:t>
      </w:r>
      <w:r w:rsidRPr="009E06AA">
        <w:rPr>
          <w:rFonts w:cs="Calibri"/>
          <w:vertAlign w:val="subscript"/>
        </w:rPr>
        <w:t>4</w:t>
      </w:r>
      <w:r w:rsidRPr="009E06AA">
        <w:rPr>
          <w:rFonts w:cs="Calibri"/>
        </w:rPr>
        <w:t xml:space="preserve"> </w:t>
      </w:r>
      <w:r w:rsidRPr="009E06AA">
        <w:t>produced per unit of FDM is assumed to be 0.91 g CH</w:t>
      </w:r>
      <w:r w:rsidRPr="009E06AA">
        <w:rPr>
          <w:vertAlign w:val="subscript"/>
        </w:rPr>
        <w:t>4</w:t>
      </w:r>
      <w:r w:rsidRPr="009E06AA">
        <w:t xml:space="preserve">/kg. Deer are not housed in </w:t>
      </w:r>
      <w:r w:rsidRPr="009E06AA" w:rsidDel="0067407A">
        <w:t xml:space="preserve">New </w:t>
      </w:r>
      <w:r w:rsidRPr="009E06AA">
        <w:t xml:space="preserve">Zealand, and all faecal material is deposited directly onto pasture. This value is derived from </w:t>
      </w:r>
      <w:r w:rsidRPr="009E06AA" w:rsidDel="00676218">
        <w:t xml:space="preserve">New </w:t>
      </w:r>
      <w:r w:rsidRPr="009E06AA">
        <w:t>Zealand studies on sheep (Carran et al.,</w:t>
      </w:r>
      <w:r w:rsidRPr="009E06AA">
        <w:rPr>
          <w:i/>
        </w:rPr>
        <w:t xml:space="preserve"> </w:t>
      </w:r>
      <w:r w:rsidRPr="009E06AA">
        <w:rPr>
          <w:rFonts w:cs="Calibri"/>
        </w:rPr>
        <w:t>unpublished</w:t>
      </w:r>
      <w:r w:rsidRPr="009E06AA">
        <w:t xml:space="preserve">) and dairy cattle (Saggar et al., </w:t>
      </w:r>
      <w:r w:rsidRPr="009E06AA">
        <w:rPr>
          <w:rFonts w:cs="Calibri"/>
        </w:rPr>
        <w:t>unpublished</w:t>
      </w:r>
      <w:r w:rsidRPr="009E06AA">
        <w:t xml:space="preserve">; Sherlock et al., </w:t>
      </w:r>
      <w:r w:rsidRPr="009E06AA">
        <w:rPr>
          <w:rFonts w:cs="Calibri"/>
        </w:rPr>
        <w:t>unpublished</w:t>
      </w:r>
      <w:r w:rsidRPr="009E06AA">
        <w:t xml:space="preserve">). No New Zealand studies have been completed on </w:t>
      </w:r>
      <w:r w:rsidRPr="009E06AA">
        <w:rPr>
          <w:rFonts w:cs="Calibri"/>
        </w:rPr>
        <w:t>CH</w:t>
      </w:r>
      <w:r w:rsidRPr="009E06AA">
        <w:rPr>
          <w:rFonts w:cs="Calibri"/>
          <w:vertAlign w:val="subscript"/>
        </w:rPr>
        <w:t>4</w:t>
      </w:r>
      <w:r w:rsidRPr="009E06AA">
        <w:rPr>
          <w:rFonts w:cs="Calibri"/>
        </w:rPr>
        <w:t xml:space="preserve"> </w:t>
      </w:r>
      <w:r w:rsidRPr="009E06AA">
        <w:t>emissions from deer manure. Further information on the calculation of the manure CH</w:t>
      </w:r>
      <w:r w:rsidRPr="009E06AA">
        <w:rPr>
          <w:vertAlign w:val="subscript"/>
        </w:rPr>
        <w:t>4</w:t>
      </w:r>
      <w:r w:rsidRPr="009E06AA">
        <w:t xml:space="preserve"> emission factor for deer is contained in section 7.1.4 of the Agriculture inventory methodology (Pickering et al., 2022).</w:t>
      </w:r>
    </w:p>
    <w:p w14:paraId="5FDA56F7" w14:textId="77777777" w:rsidR="007523B8" w:rsidRPr="009E06AA" w:rsidRDefault="007523B8" w:rsidP="00BF2A76">
      <w:pPr>
        <w:pStyle w:val="Heading5"/>
      </w:pPr>
      <w:r w:rsidRPr="009E06AA">
        <w:t xml:space="preserve">Methane emissions from minor livestock categories </w:t>
      </w:r>
    </w:p>
    <w:p w14:paraId="56473E2F" w14:textId="77777777" w:rsidR="007523B8" w:rsidRPr="009E06AA" w:rsidRDefault="007523B8" w:rsidP="007523B8">
      <w:pPr>
        <w:pStyle w:val="BodyText"/>
        <w:spacing w:before="100" w:after="100"/>
        <w:rPr>
          <w:rFonts w:cs="Calibri"/>
        </w:rPr>
      </w:pPr>
      <w:r w:rsidRPr="009E06AA">
        <w:rPr>
          <w:rFonts w:cs="Calibri"/>
        </w:rPr>
        <w:t>Manure CH</w:t>
      </w:r>
      <w:r w:rsidRPr="009E06AA">
        <w:rPr>
          <w:rFonts w:cs="Calibri"/>
          <w:vertAlign w:val="subscript"/>
        </w:rPr>
        <w:t>4</w:t>
      </w:r>
      <w:r w:rsidRPr="009E06AA">
        <w:rPr>
          <w:rFonts w:cs="Calibri"/>
        </w:rPr>
        <w:t xml:space="preserve"> emissions from the minor livestock categories are calculated per head</w:t>
      </w:r>
      <w:r w:rsidRPr="009E06AA">
        <w:rPr>
          <w:rFonts w:cs="Calibri"/>
          <w:vertAlign w:val="superscript"/>
        </w:rPr>
        <w:t>-1</w:t>
      </w:r>
      <w:r w:rsidRPr="009E06AA">
        <w:rPr>
          <w:rFonts w:cs="Calibri"/>
        </w:rPr>
        <w:t>, using country-specific and IPCC default emission factors.</w:t>
      </w:r>
    </w:p>
    <w:p w14:paraId="062985F7" w14:textId="77777777" w:rsidR="007523B8" w:rsidRPr="009E06AA" w:rsidRDefault="007523B8" w:rsidP="007523B8">
      <w:pPr>
        <w:pStyle w:val="BodyText"/>
        <w:spacing w:before="100" w:after="100"/>
      </w:pPr>
      <w:r w:rsidRPr="009E06AA">
        <w:rPr>
          <w:rFonts w:cs="Calibri"/>
          <w:b/>
          <w:bCs/>
          <w:i/>
          <w:iCs/>
        </w:rPr>
        <w:t>Swine:</w:t>
      </w:r>
      <w:r w:rsidRPr="009E06AA">
        <w:rPr>
          <w:rFonts w:cs="Calibri"/>
          <w:b/>
          <w:bCs/>
        </w:rPr>
        <w:t xml:space="preserve"> </w:t>
      </w:r>
      <w:r w:rsidRPr="009E06AA" w:rsidDel="00242B96">
        <w:t xml:space="preserve">New </w:t>
      </w:r>
      <w:r w:rsidRPr="009E06AA">
        <w:t>Zealand</w:t>
      </w:r>
      <w:r w:rsidRPr="009E06AA">
        <w:rPr>
          <w:rFonts w:cs="Calibri"/>
        </w:rPr>
        <w:t xml:space="preserve"> uses a country-specific emission factor of 5.94 kg CH</w:t>
      </w:r>
      <w:r w:rsidRPr="009E06AA">
        <w:rPr>
          <w:rFonts w:cs="Calibri"/>
          <w:vertAlign w:val="subscript"/>
        </w:rPr>
        <w:t>4</w:t>
      </w:r>
      <w:r w:rsidRPr="009E06AA">
        <w:rPr>
          <w:rFonts w:cs="Calibri"/>
        </w:rPr>
        <w:t xml:space="preserve"> head</w:t>
      </w:r>
      <w:r w:rsidRPr="009E06AA">
        <w:rPr>
          <w:rFonts w:cs="Calibri"/>
          <w:vertAlign w:val="superscript"/>
        </w:rPr>
        <w:t>-1</w:t>
      </w:r>
      <w:r w:rsidRPr="009E06AA">
        <w:rPr>
          <w:rFonts w:cs="Calibri"/>
        </w:rPr>
        <w:t xml:space="preserve"> year</w:t>
      </w:r>
      <w:r w:rsidRPr="009E06AA">
        <w:rPr>
          <w:rFonts w:cs="Calibri"/>
          <w:vertAlign w:val="superscript"/>
        </w:rPr>
        <w:t>-1</w:t>
      </w:r>
      <w:r w:rsidRPr="009E06AA">
        <w:rPr>
          <w:rFonts w:cs="Calibri"/>
        </w:rPr>
        <w:t xml:space="preserve"> (Hill, 2012) for estimating CH</w:t>
      </w:r>
      <w:r w:rsidRPr="009E06AA">
        <w:rPr>
          <w:rFonts w:cs="Calibri"/>
          <w:vertAlign w:val="subscript"/>
        </w:rPr>
        <w:t>4</w:t>
      </w:r>
      <w:r w:rsidRPr="009E06AA">
        <w:rPr>
          <w:rFonts w:cs="Calibri"/>
        </w:rPr>
        <w:t xml:space="preserve"> </w:t>
      </w:r>
      <w:r w:rsidRPr="009E06AA">
        <w:t xml:space="preserve">emissions from swine manure management. Industry data on swine diets (to determine digestible energy of the swine feed and volatile solid excretion levels) and the use of waste management systems used by </w:t>
      </w:r>
      <w:r w:rsidRPr="009E06AA" w:rsidDel="00DA447A">
        <w:t xml:space="preserve">New </w:t>
      </w:r>
      <w:r w:rsidRPr="009E06AA">
        <w:t>Zealand swine producers were used (equations 10.23 and 10.24 in the 2006 IPCC Guidelines (IPCC, 2006)) to determine a country-specific manure management emission factor. Further information on this is provided by Hill (2012).</w:t>
      </w:r>
    </w:p>
    <w:p w14:paraId="020515FF" w14:textId="6982DA5B" w:rsidR="007523B8" w:rsidRPr="009E06AA" w:rsidRDefault="007523B8" w:rsidP="007523B8">
      <w:pPr>
        <w:pStyle w:val="BodyText"/>
      </w:pPr>
      <w:r w:rsidRPr="009E06AA">
        <w:rPr>
          <w:b/>
          <w:bCs/>
          <w:i/>
          <w:iCs/>
        </w:rPr>
        <w:t>Poultry:</w:t>
      </w:r>
      <w:r w:rsidRPr="009E06AA">
        <w:rPr>
          <w:i/>
          <w:iCs/>
        </w:rPr>
        <w:t xml:space="preserve"> </w:t>
      </w:r>
      <w:r w:rsidRPr="009E06AA">
        <w:t xml:space="preserve">Methane emissions from poultry manure management use </w:t>
      </w:r>
      <w:r w:rsidRPr="009E06AA" w:rsidDel="009C416F">
        <w:t xml:space="preserve">New </w:t>
      </w:r>
      <w:r w:rsidRPr="009E06AA">
        <w:t xml:space="preserve">Zealand-specific emission factor values derived from Fick et al. (2011). These are based on New Zealand-specific volatile solids and proportions of poultry faeces in each manure management system for each production category. The poultry population has been disaggregated into three different categories, and the manure management emission factor values for each category are: </w:t>
      </w:r>
      <w:r w:rsidRPr="009E06AA">
        <w:rPr>
          <w:i/>
          <w:iCs/>
        </w:rPr>
        <w:t>Broiler birds</w:t>
      </w:r>
      <w:r w:rsidRPr="009E06AA">
        <w:t xml:space="preserve"> 0.022 kg CH</w:t>
      </w:r>
      <w:r w:rsidRPr="009E06AA">
        <w:rPr>
          <w:vertAlign w:val="subscript"/>
        </w:rPr>
        <w:t>4</w:t>
      </w:r>
      <w:r w:rsidRPr="009E06AA">
        <w:t xml:space="preserve"> head</w:t>
      </w:r>
      <w:r w:rsidRPr="009E06AA">
        <w:rPr>
          <w:vertAlign w:val="superscript"/>
        </w:rPr>
        <w:t>-1</w:t>
      </w:r>
      <w:r w:rsidRPr="009E06AA">
        <w:t xml:space="preserve"> year</w:t>
      </w:r>
      <w:r w:rsidRPr="009E06AA">
        <w:rPr>
          <w:vertAlign w:val="superscript"/>
        </w:rPr>
        <w:t>-1</w:t>
      </w:r>
      <w:r w:rsidRPr="009E06AA">
        <w:t xml:space="preserve">; </w:t>
      </w:r>
      <w:r w:rsidRPr="009E06AA">
        <w:rPr>
          <w:i/>
          <w:iCs/>
        </w:rPr>
        <w:t>Layer hens</w:t>
      </w:r>
      <w:r w:rsidRPr="009E06AA">
        <w:t xml:space="preserve"> 0.016 kg CH</w:t>
      </w:r>
      <w:r w:rsidRPr="009E06AA">
        <w:rPr>
          <w:vertAlign w:val="subscript"/>
        </w:rPr>
        <w:t>4</w:t>
      </w:r>
      <w:r w:rsidRPr="009E06AA">
        <w:t xml:space="preserve"> head</w:t>
      </w:r>
      <w:r w:rsidRPr="009E06AA">
        <w:rPr>
          <w:vertAlign w:val="superscript"/>
        </w:rPr>
        <w:t>-1</w:t>
      </w:r>
      <w:r w:rsidRPr="009E06AA">
        <w:t xml:space="preserve"> year</w:t>
      </w:r>
      <w:r w:rsidRPr="009E06AA">
        <w:rPr>
          <w:vertAlign w:val="superscript"/>
        </w:rPr>
        <w:t>-1</w:t>
      </w:r>
      <w:r w:rsidRPr="009E06AA">
        <w:t xml:space="preserve">; and </w:t>
      </w:r>
      <w:r w:rsidRPr="009E06AA">
        <w:rPr>
          <w:i/>
          <w:iCs/>
        </w:rPr>
        <w:t>Other</w:t>
      </w:r>
      <w:r w:rsidRPr="009E06AA">
        <w:rPr>
          <w:rStyle w:val="FootnoteReference"/>
          <w:rFonts w:cs="Calibri"/>
          <w:spacing w:val="-2"/>
        </w:rPr>
        <w:footnoteReference w:id="45"/>
      </w:r>
      <w:r w:rsidRPr="009E06AA">
        <w:t xml:space="preserve"> 0.117 kg CH</w:t>
      </w:r>
      <w:r w:rsidRPr="009E06AA">
        <w:rPr>
          <w:vertAlign w:val="subscript"/>
        </w:rPr>
        <w:t>4</w:t>
      </w:r>
      <w:r w:rsidRPr="009E06AA">
        <w:t xml:space="preserve"> head</w:t>
      </w:r>
      <w:r w:rsidRPr="009E06AA">
        <w:rPr>
          <w:vertAlign w:val="superscript"/>
        </w:rPr>
        <w:t>-1</w:t>
      </w:r>
      <w:r w:rsidRPr="009E06AA">
        <w:t xml:space="preserve"> year</w:t>
      </w:r>
      <w:r w:rsidRPr="009E06AA">
        <w:rPr>
          <w:vertAlign w:val="superscript"/>
        </w:rPr>
        <w:t>-1</w:t>
      </w:r>
      <w:r w:rsidRPr="009E06AA">
        <w:t xml:space="preserve">. The overall IEF for </w:t>
      </w:r>
      <w:r w:rsidR="0031435A" w:rsidRPr="009E06AA">
        <w:t>p</w:t>
      </w:r>
      <w:r w:rsidRPr="00417017">
        <w:t>oultry</w:t>
      </w:r>
      <w:r w:rsidRPr="009E06AA">
        <w:t xml:space="preserve"> is affected by the change over time in the population proportions of these different </w:t>
      </w:r>
      <w:r w:rsidR="003B4C43" w:rsidRPr="009E06AA">
        <w:t>p</w:t>
      </w:r>
      <w:r w:rsidRPr="00417017">
        <w:t>oultry</w:t>
      </w:r>
      <w:r w:rsidRPr="009E06AA">
        <w:t xml:space="preserve"> categories.</w:t>
      </w:r>
    </w:p>
    <w:p w14:paraId="18299322" w14:textId="77777777" w:rsidR="007523B8" w:rsidRPr="009E06AA" w:rsidRDefault="007523B8" w:rsidP="007523B8">
      <w:pPr>
        <w:pStyle w:val="BodyText"/>
      </w:pPr>
      <w:r w:rsidRPr="009E06AA">
        <w:rPr>
          <w:b/>
          <w:bCs/>
          <w:i/>
          <w:iCs/>
        </w:rPr>
        <w:t>Goats</w:t>
      </w:r>
      <w:r w:rsidRPr="009E06AA">
        <w:rPr>
          <w:b/>
          <w:bCs/>
        </w:rPr>
        <w:t xml:space="preserve">, </w:t>
      </w:r>
      <w:r w:rsidRPr="009E06AA">
        <w:rPr>
          <w:b/>
          <w:bCs/>
          <w:i/>
          <w:iCs/>
        </w:rPr>
        <w:t>Horses</w:t>
      </w:r>
      <w:r w:rsidRPr="009E06AA">
        <w:rPr>
          <w:b/>
          <w:bCs/>
        </w:rPr>
        <w:t xml:space="preserve">, and </w:t>
      </w:r>
      <w:r w:rsidRPr="009E06AA">
        <w:rPr>
          <w:b/>
          <w:bCs/>
          <w:i/>
          <w:iCs/>
        </w:rPr>
        <w:t>Mules and asses:</w:t>
      </w:r>
      <w:r w:rsidRPr="009E06AA">
        <w:rPr>
          <w:b/>
          <w:bCs/>
        </w:rPr>
        <w:t xml:space="preserve"> </w:t>
      </w:r>
      <w:r w:rsidRPr="009E06AA" w:rsidDel="000D5675">
        <w:t xml:space="preserve">New </w:t>
      </w:r>
      <w:r w:rsidRPr="009E06AA">
        <w:t>Zealand uses IPCC (2006) default emission factors for CH</w:t>
      </w:r>
      <w:r w:rsidRPr="009E06AA">
        <w:rPr>
          <w:vertAlign w:val="subscript"/>
        </w:rPr>
        <w:t>4</w:t>
      </w:r>
      <w:r w:rsidRPr="009E06AA">
        <w:t xml:space="preserve"> emissions from manure management for </w:t>
      </w:r>
      <w:r w:rsidRPr="009E06AA">
        <w:rPr>
          <w:i/>
          <w:iCs/>
        </w:rPr>
        <w:t>Goats</w:t>
      </w:r>
      <w:r w:rsidRPr="009E06AA">
        <w:t xml:space="preserve">, </w:t>
      </w:r>
      <w:r w:rsidRPr="009E06AA">
        <w:rPr>
          <w:i/>
          <w:iCs/>
        </w:rPr>
        <w:t>Horses</w:t>
      </w:r>
      <w:r w:rsidRPr="009E06AA">
        <w:t xml:space="preserve">, </w:t>
      </w:r>
      <w:r w:rsidRPr="009E06AA">
        <w:rPr>
          <w:i/>
          <w:iCs/>
        </w:rPr>
        <w:t>Mules</w:t>
      </w:r>
      <w:r w:rsidRPr="009E06AA">
        <w:rPr>
          <w:i/>
        </w:rPr>
        <w:t xml:space="preserve"> and asses</w:t>
      </w:r>
      <w:r w:rsidRPr="009E06AA">
        <w:t xml:space="preserve"> (table 10.15 of the 2006 IPCC Guidelines (IPCC, 2006)). The emission factors are 0.20 kg CH</w:t>
      </w:r>
      <w:r w:rsidRPr="009E06AA">
        <w:rPr>
          <w:vertAlign w:val="subscript"/>
        </w:rPr>
        <w:t>4</w:t>
      </w:r>
      <w:r w:rsidRPr="009E06AA">
        <w:t xml:space="preserve"> head</w:t>
      </w:r>
      <w:r w:rsidRPr="009E06AA">
        <w:rPr>
          <w:vertAlign w:val="superscript"/>
        </w:rPr>
        <w:t>-1</w:t>
      </w:r>
      <w:r w:rsidRPr="009E06AA">
        <w:t xml:space="preserve"> year</w:t>
      </w:r>
      <w:r w:rsidRPr="009E06AA">
        <w:rPr>
          <w:vertAlign w:val="superscript"/>
        </w:rPr>
        <w:t>-1</w:t>
      </w:r>
      <w:r w:rsidRPr="009E06AA">
        <w:t xml:space="preserve"> for </w:t>
      </w:r>
      <w:r w:rsidRPr="009E06AA">
        <w:rPr>
          <w:i/>
          <w:iCs/>
        </w:rPr>
        <w:t>Goats</w:t>
      </w:r>
      <w:r w:rsidRPr="009E06AA">
        <w:t>, 2.34 kg CH</w:t>
      </w:r>
      <w:r w:rsidRPr="009E06AA">
        <w:rPr>
          <w:vertAlign w:val="subscript"/>
        </w:rPr>
        <w:t>4</w:t>
      </w:r>
      <w:r w:rsidRPr="009E06AA">
        <w:t xml:space="preserve"> head</w:t>
      </w:r>
      <w:r w:rsidRPr="009E06AA">
        <w:rPr>
          <w:vertAlign w:val="superscript"/>
        </w:rPr>
        <w:t>-1</w:t>
      </w:r>
      <w:r w:rsidRPr="009E06AA">
        <w:t xml:space="preserve"> year</w:t>
      </w:r>
      <w:r w:rsidRPr="009E06AA">
        <w:rPr>
          <w:vertAlign w:val="superscript"/>
        </w:rPr>
        <w:t>-1</w:t>
      </w:r>
      <w:r w:rsidRPr="009E06AA">
        <w:t xml:space="preserve"> for </w:t>
      </w:r>
      <w:r w:rsidRPr="009E06AA">
        <w:rPr>
          <w:i/>
          <w:iCs/>
        </w:rPr>
        <w:t>Horses</w:t>
      </w:r>
      <w:r w:rsidRPr="009E06AA">
        <w:t xml:space="preserve"> and 1.10 kg CH</w:t>
      </w:r>
      <w:r w:rsidRPr="009E06AA">
        <w:rPr>
          <w:vertAlign w:val="subscript"/>
        </w:rPr>
        <w:t>4</w:t>
      </w:r>
      <w:r w:rsidRPr="009E06AA">
        <w:t xml:space="preserve"> head</w:t>
      </w:r>
      <w:r w:rsidRPr="009E06AA">
        <w:rPr>
          <w:vertAlign w:val="superscript"/>
        </w:rPr>
        <w:t>-1</w:t>
      </w:r>
      <w:r w:rsidRPr="009E06AA">
        <w:t xml:space="preserve"> year</w:t>
      </w:r>
      <w:r w:rsidRPr="009E06AA">
        <w:rPr>
          <w:vertAlign w:val="superscript"/>
        </w:rPr>
        <w:t>-1</w:t>
      </w:r>
      <w:r w:rsidRPr="009E06AA">
        <w:t xml:space="preserve"> for </w:t>
      </w:r>
      <w:r w:rsidRPr="009E06AA">
        <w:rPr>
          <w:i/>
          <w:iCs/>
        </w:rPr>
        <w:t>Mules and asses</w:t>
      </w:r>
      <w:r w:rsidRPr="009E06AA">
        <w:t xml:space="preserve">. These are the IPCC values for temperate developed countries. </w:t>
      </w:r>
    </w:p>
    <w:p w14:paraId="0DFE3B60" w14:textId="77777777" w:rsidR="007523B8" w:rsidRPr="009E06AA" w:rsidRDefault="007523B8" w:rsidP="00C879A6">
      <w:pPr>
        <w:pStyle w:val="BodyText"/>
        <w:spacing w:before="100" w:after="100"/>
      </w:pPr>
      <w:r w:rsidRPr="009E06AA">
        <w:rPr>
          <w:b/>
          <w:bCs/>
          <w:i/>
          <w:iCs/>
        </w:rPr>
        <w:t>Llamas and alpacas:</w:t>
      </w:r>
      <w:r w:rsidRPr="009E06AA">
        <w:t xml:space="preserve"> No IPCC default value is available for CH</w:t>
      </w:r>
      <w:r w:rsidRPr="009E06AA">
        <w:rPr>
          <w:vertAlign w:val="subscript"/>
        </w:rPr>
        <w:t>4</w:t>
      </w:r>
      <w:r w:rsidRPr="009E06AA">
        <w:t xml:space="preserve"> emissions from manure management for </w:t>
      </w:r>
      <w:r w:rsidRPr="009E06AA">
        <w:rPr>
          <w:i/>
          <w:iCs/>
        </w:rPr>
        <w:t>Llamas and alpacas</w:t>
      </w:r>
      <w:r w:rsidRPr="009E06AA">
        <w:t>. The emissions are calculated by assuming that the CH</w:t>
      </w:r>
      <w:r w:rsidRPr="009E06AA">
        <w:rPr>
          <w:vertAlign w:val="subscript"/>
        </w:rPr>
        <w:t>4</w:t>
      </w:r>
      <w:r w:rsidRPr="009E06AA">
        <w:t xml:space="preserve"> emission factor from manure management for </w:t>
      </w:r>
      <w:r w:rsidRPr="009E06AA">
        <w:rPr>
          <w:i/>
          <w:iCs/>
        </w:rPr>
        <w:t>Llamas and alpacas</w:t>
      </w:r>
      <w:r w:rsidRPr="009E06AA">
        <w:t xml:space="preserve"> for all years is equal to the CH</w:t>
      </w:r>
      <w:r w:rsidRPr="009E06AA">
        <w:rPr>
          <w:vertAlign w:val="subscript"/>
        </w:rPr>
        <w:t>4</w:t>
      </w:r>
      <w:r w:rsidRPr="009E06AA">
        <w:t xml:space="preserve"> manure management IEF for </w:t>
      </w:r>
      <w:r w:rsidRPr="009E06AA">
        <w:rPr>
          <w:i/>
          <w:iCs/>
        </w:rPr>
        <w:t>Sheep</w:t>
      </w:r>
      <w:r w:rsidRPr="009E06AA">
        <w:t xml:space="preserve"> in 1990. The </w:t>
      </w:r>
      <w:r w:rsidRPr="009E06AA">
        <w:rPr>
          <w:i/>
          <w:iCs/>
        </w:rPr>
        <w:t>Llamas and alpacas</w:t>
      </w:r>
      <w:r w:rsidRPr="009E06AA">
        <w:t xml:space="preserve"> emission factor (0.10 kg CH</w:t>
      </w:r>
      <w:r w:rsidRPr="009E06AA">
        <w:rPr>
          <w:vertAlign w:val="subscript"/>
        </w:rPr>
        <w:t>4</w:t>
      </w:r>
      <w:r w:rsidRPr="009E06AA">
        <w:t xml:space="preserve"> head</w:t>
      </w:r>
      <w:r w:rsidRPr="009E06AA">
        <w:rPr>
          <w:vertAlign w:val="superscript"/>
        </w:rPr>
        <w:t>-1</w:t>
      </w:r>
      <w:r w:rsidRPr="009E06AA">
        <w:t xml:space="preserve"> year</w:t>
      </w:r>
      <w:r w:rsidRPr="009E06AA">
        <w:rPr>
          <w:vertAlign w:val="superscript"/>
        </w:rPr>
        <w:t>-1</w:t>
      </w:r>
      <w:r w:rsidRPr="009E06AA">
        <w:t>) is not indexed to sheep over time because there are no data indicating that alpacas or llamas have had the productivity increases over time seen in sheep.</w:t>
      </w:r>
    </w:p>
    <w:p w14:paraId="6D3888F2" w14:textId="77777777" w:rsidR="007523B8" w:rsidRPr="009E06AA" w:rsidRDefault="007523B8" w:rsidP="007523B8">
      <w:pPr>
        <w:pStyle w:val="Heading4"/>
      </w:pPr>
      <w:r w:rsidRPr="009E06AA">
        <w:t xml:space="preserve">Nitrous oxide from manure management systems (3.B.(b)) </w:t>
      </w:r>
    </w:p>
    <w:p w14:paraId="2CEA9929" w14:textId="77777777" w:rsidR="007523B8" w:rsidRPr="009E06AA" w:rsidRDefault="007523B8" w:rsidP="007523B8">
      <w:pPr>
        <w:pStyle w:val="BodyText"/>
      </w:pPr>
      <w:r w:rsidRPr="009E06AA">
        <w:rPr>
          <w:spacing w:val="-2"/>
        </w:rPr>
        <w:t>Nitrous oxide emissions from manure management can be classified as either direct or indirec</w:t>
      </w:r>
      <w:r w:rsidRPr="009E06AA">
        <w:t>t. Direct N</w:t>
      </w:r>
      <w:r w:rsidRPr="009E06AA">
        <w:rPr>
          <w:vertAlign w:val="subscript"/>
        </w:rPr>
        <w:t>2</w:t>
      </w:r>
      <w:r w:rsidRPr="009E06AA">
        <w:t>O emissions occur from nitrification and denitrification of nitrogen contained in the manure. Indirect N</w:t>
      </w:r>
      <w:r w:rsidRPr="009E06AA">
        <w:rPr>
          <w:vertAlign w:val="subscript"/>
        </w:rPr>
        <w:t>2</w:t>
      </w:r>
      <w:r w:rsidRPr="009E06AA">
        <w:t>O emissions result from volatile nitrogen losses in the forms of ammonia (NH</w:t>
      </w:r>
      <w:r w:rsidRPr="009E06AA">
        <w:rPr>
          <w:vertAlign w:val="subscript"/>
        </w:rPr>
        <w:t>3</w:t>
      </w:r>
      <w:r w:rsidRPr="009E06AA">
        <w:t>) and NO</w:t>
      </w:r>
      <w:r w:rsidRPr="009E06AA">
        <w:rPr>
          <w:vertAlign w:val="subscript"/>
        </w:rPr>
        <w:t>x</w:t>
      </w:r>
      <w:r w:rsidRPr="009E06AA">
        <w:t xml:space="preserve"> that are emitted via diffusion into the surrounding air (volatilisation) or via leaching and runoff. </w:t>
      </w:r>
    </w:p>
    <w:p w14:paraId="3F028D71" w14:textId="77777777" w:rsidR="007523B8" w:rsidRPr="009E06AA" w:rsidRDefault="007523B8" w:rsidP="00141604">
      <w:pPr>
        <w:pStyle w:val="BodyText"/>
        <w:rPr>
          <w:rFonts w:cs="Calibri"/>
        </w:rPr>
      </w:pPr>
      <w:r w:rsidRPr="009E06AA">
        <w:rPr>
          <w:rFonts w:cs="Calibri"/>
        </w:rPr>
        <w:t>Nitrous oxide emissions from manure are calculated for each livestock category based on:</w:t>
      </w:r>
    </w:p>
    <w:p w14:paraId="5FF8EFD5" w14:textId="77777777" w:rsidR="007523B8" w:rsidRPr="009E06AA" w:rsidRDefault="007523B8" w:rsidP="007523B8">
      <w:pPr>
        <w:spacing w:after="80"/>
        <w:ind w:left="397" w:hanging="397"/>
        <w:rPr>
          <w:rFonts w:cs="Calibri"/>
        </w:rPr>
      </w:pPr>
      <w:r w:rsidRPr="009E06AA">
        <w:rPr>
          <w:rFonts w:cs="Calibri"/>
        </w:rPr>
        <w:t xml:space="preserve">(1) </w:t>
      </w:r>
      <w:r w:rsidRPr="009E06AA">
        <w:rPr>
          <w:rFonts w:cs="Calibri"/>
        </w:rPr>
        <w:tab/>
        <w:t xml:space="preserve">livestock population characterisation data (consistent with section 5.1.3) </w:t>
      </w:r>
    </w:p>
    <w:p w14:paraId="6C1598AA" w14:textId="77777777" w:rsidR="007523B8" w:rsidRPr="009E06AA" w:rsidRDefault="007523B8" w:rsidP="007523B8">
      <w:pPr>
        <w:spacing w:after="80"/>
        <w:ind w:left="397" w:hanging="397"/>
        <w:rPr>
          <w:rFonts w:cs="Calibri"/>
        </w:rPr>
      </w:pPr>
      <w:r w:rsidRPr="009E06AA">
        <w:rPr>
          <w:rFonts w:cs="Calibri"/>
        </w:rPr>
        <w:t xml:space="preserve">(2) </w:t>
      </w:r>
      <w:r w:rsidRPr="009E06AA">
        <w:rPr>
          <w:rFonts w:cs="Calibri"/>
        </w:rPr>
        <w:tab/>
        <w:t>the average nitrogen excretion rate per head</w:t>
      </w:r>
      <w:r w:rsidRPr="009E06AA">
        <w:rPr>
          <w:rFonts w:cs="Calibri"/>
          <w:vertAlign w:val="superscript"/>
        </w:rPr>
        <w:t>-1</w:t>
      </w:r>
      <w:r w:rsidRPr="009E06AA">
        <w:rPr>
          <w:rFonts w:cs="Calibri"/>
        </w:rPr>
        <w:t xml:space="preserve"> year</w:t>
      </w:r>
      <w:r w:rsidRPr="009E06AA">
        <w:rPr>
          <w:rFonts w:cs="Calibri"/>
          <w:vertAlign w:val="superscript"/>
        </w:rPr>
        <w:t>-1</w:t>
      </w:r>
    </w:p>
    <w:p w14:paraId="138EAD3E" w14:textId="77777777" w:rsidR="007523B8" w:rsidRPr="009E06AA" w:rsidRDefault="007523B8" w:rsidP="007523B8">
      <w:pPr>
        <w:spacing w:after="80"/>
        <w:ind w:left="397" w:hanging="397"/>
        <w:rPr>
          <w:rFonts w:cs="Calibri"/>
        </w:rPr>
      </w:pPr>
      <w:r w:rsidRPr="009E06AA">
        <w:rPr>
          <w:rFonts w:cs="Calibri"/>
        </w:rPr>
        <w:t xml:space="preserve">(3) </w:t>
      </w:r>
      <w:r w:rsidRPr="009E06AA">
        <w:rPr>
          <w:rFonts w:cs="Calibri"/>
        </w:rPr>
        <w:tab/>
        <w:t>an estimation of the total quantity of faecal material produced (consistent with the calculations in the previous section for CH</w:t>
      </w:r>
      <w:r w:rsidRPr="009E06AA">
        <w:rPr>
          <w:rFonts w:cs="Calibri"/>
          <w:vertAlign w:val="subscript"/>
        </w:rPr>
        <w:t>4</w:t>
      </w:r>
      <w:r w:rsidRPr="009E06AA">
        <w:rPr>
          <w:rFonts w:cs="Calibri"/>
        </w:rPr>
        <w:t xml:space="preserve"> from manure management) split into dung and urine</w:t>
      </w:r>
    </w:p>
    <w:p w14:paraId="6398E42F" w14:textId="77777777" w:rsidR="007523B8" w:rsidRPr="009E06AA" w:rsidRDefault="007523B8" w:rsidP="007523B8">
      <w:pPr>
        <w:spacing w:after="80"/>
        <w:ind w:left="397" w:hanging="397"/>
        <w:rPr>
          <w:rFonts w:cs="Calibri"/>
        </w:rPr>
      </w:pPr>
      <w:r w:rsidRPr="009E06AA">
        <w:rPr>
          <w:rFonts w:cs="Calibri"/>
        </w:rPr>
        <w:t xml:space="preserve">(4) </w:t>
      </w:r>
      <w:r w:rsidRPr="009E06AA">
        <w:rPr>
          <w:rFonts w:cs="Calibri"/>
        </w:rPr>
        <w:tab/>
        <w:t>the partitioning of this faecal material between manure management systems (based on the manure distributions in table 5.3.2)</w:t>
      </w:r>
    </w:p>
    <w:p w14:paraId="7B76D5E8" w14:textId="77777777" w:rsidR="007523B8" w:rsidRPr="009E06AA" w:rsidRDefault="007523B8" w:rsidP="007523B8">
      <w:pPr>
        <w:spacing w:after="80"/>
        <w:ind w:left="397" w:hanging="397"/>
        <w:rPr>
          <w:rFonts w:cs="Calibri"/>
        </w:rPr>
      </w:pPr>
      <w:r w:rsidRPr="009E06AA">
        <w:rPr>
          <w:rFonts w:cs="Calibri"/>
        </w:rPr>
        <w:t xml:space="preserve">(5) </w:t>
      </w:r>
      <w:r w:rsidRPr="009E06AA">
        <w:rPr>
          <w:rFonts w:cs="Calibri"/>
        </w:rPr>
        <w:tab/>
        <w:t xml:space="preserve">the total amount of nitrogen managed in each system multiplied by an emission factor (IPCC, 2006). </w:t>
      </w:r>
    </w:p>
    <w:p w14:paraId="18F928A2" w14:textId="77777777" w:rsidR="007523B8" w:rsidRPr="009E06AA" w:rsidRDefault="007523B8" w:rsidP="00BF2A76">
      <w:pPr>
        <w:pStyle w:val="Heading5"/>
      </w:pPr>
      <w:r w:rsidRPr="009E06AA">
        <w:t>Nitrogen excretion rates for the major livestock categories</w:t>
      </w:r>
    </w:p>
    <w:p w14:paraId="2998925D" w14:textId="77777777" w:rsidR="007523B8" w:rsidRPr="009E06AA" w:rsidRDefault="007523B8" w:rsidP="007523B8">
      <w:pPr>
        <w:pStyle w:val="BodyText"/>
        <w:spacing w:before="80"/>
      </w:pPr>
      <w:r w:rsidRPr="009E06AA">
        <w:t>The nitrogen excretion (N</w:t>
      </w:r>
      <w:r w:rsidRPr="009E06AA">
        <w:rPr>
          <w:vertAlign w:val="subscript"/>
        </w:rPr>
        <w:t>ex</w:t>
      </w:r>
      <w:r w:rsidRPr="009E06AA">
        <w:t xml:space="preserve">) rates for the main livestock categories in </w:t>
      </w:r>
      <w:r w:rsidRPr="009E06AA" w:rsidDel="00F25B41">
        <w:t xml:space="preserve">New </w:t>
      </w:r>
      <w:r w:rsidRPr="009E06AA">
        <w:t>Zealand are calculated from the nitrogen intake less the nitrogen retained through digestion and contained within animal products, such as liveweight gain, milk, wool and velvet. Nitrogen intake is determined from the dry-matter feed intake and the nitrogen content of the feed eaten. Feed intake and animal productivity values are the same as those used in the Tier</w:t>
      </w:r>
      <w:r w:rsidRPr="009E06AA" w:rsidDel="004462D9">
        <w:t xml:space="preserve"> </w:t>
      </w:r>
      <w:r w:rsidRPr="009E06AA">
        <w:t>2 model for determining DMI (Clark et al., 2003; section 5.1.3). Monthly values for the nitrogen content of feed are provided by Giltrap and McNeill (2020).</w:t>
      </w:r>
    </w:p>
    <w:p w14:paraId="5D33C683" w14:textId="77777777" w:rsidR="007523B8" w:rsidRPr="009E06AA" w:rsidRDefault="007523B8" w:rsidP="007523B8">
      <w:pPr>
        <w:pStyle w:val="BodyText"/>
        <w:spacing w:before="100" w:after="100"/>
        <w:rPr>
          <w:rFonts w:cs="Calibri"/>
        </w:rPr>
      </w:pPr>
      <w:r w:rsidRPr="009E06AA">
        <w:rPr>
          <w:rFonts w:cs="Calibri"/>
        </w:rPr>
        <w:t>The nitrogen content of animal products is derived from industry data. For lactating dairy cows, the nitrogen content of milk is derived from the protein content of milk, which is published annually by LIC. The nitrogen content of sheep meat, milk and wool, as well as non</w:t>
      </w:r>
      <w:r w:rsidRPr="009E06AA">
        <w:rPr>
          <w:rFonts w:cs="Calibri"/>
        </w:rPr>
        <w:noBreakHyphen/>
        <w:t xml:space="preserve">dairy meat, and the nitrogen retained in deer velvet, is taken from </w:t>
      </w:r>
      <w:r w:rsidRPr="009E06AA" w:rsidDel="00C019AB">
        <w:t xml:space="preserve">New </w:t>
      </w:r>
      <w:r w:rsidRPr="009E06AA">
        <w:t>Zealand</w:t>
      </w:r>
      <w:r w:rsidRPr="009E06AA">
        <w:rPr>
          <w:rFonts w:cs="Calibri"/>
        </w:rPr>
        <w:t xml:space="preserve"> research (Bown et al., 2013). </w:t>
      </w:r>
    </w:p>
    <w:p w14:paraId="2653696E" w14:textId="77777777" w:rsidR="007523B8" w:rsidRPr="009E06AA" w:rsidRDefault="007523B8" w:rsidP="007523B8">
      <w:pPr>
        <w:pStyle w:val="BodyText"/>
        <w:spacing w:before="100" w:after="100"/>
        <w:rPr>
          <w:rFonts w:cs="Calibri"/>
        </w:rPr>
      </w:pPr>
      <w:r w:rsidRPr="009E06AA">
        <w:rPr>
          <w:rFonts w:cs="Calibri"/>
        </w:rPr>
        <w:t>Table 5.3.3 shows the N</w:t>
      </w:r>
      <w:r w:rsidRPr="009E06AA">
        <w:rPr>
          <w:rFonts w:cs="Calibri"/>
          <w:vertAlign w:val="subscript"/>
        </w:rPr>
        <w:t>ex</w:t>
      </w:r>
      <w:r w:rsidRPr="009E06AA">
        <w:rPr>
          <w:rFonts w:cs="Calibri"/>
        </w:rPr>
        <w:t xml:space="preserve"> rates for the major livestock categories. These rates have increased over time, reflecting the increases in animal productivity and animal DMI in </w:t>
      </w:r>
      <w:r w:rsidRPr="009E06AA" w:rsidDel="00861058">
        <w:t xml:space="preserve">New </w:t>
      </w:r>
      <w:r w:rsidRPr="009E06AA">
        <w:t>Zealand</w:t>
      </w:r>
      <w:r w:rsidRPr="009E06AA">
        <w:rPr>
          <w:rFonts w:cs="Calibri"/>
        </w:rPr>
        <w:t xml:space="preserve"> since 1990. Nitrogen excretion</w:t>
      </w:r>
      <w:r w:rsidRPr="009E06AA" w:rsidDel="00317E26">
        <w:rPr>
          <w:rFonts w:cs="Calibri"/>
        </w:rPr>
        <w:t xml:space="preserve"> </w:t>
      </w:r>
      <w:r w:rsidRPr="009E06AA">
        <w:rPr>
          <w:rFonts w:cs="Calibri"/>
        </w:rPr>
        <w:t>rates are also affected by adverse weather events, which affect the amount of DMI and can cause changes in productivity and N</w:t>
      </w:r>
      <w:r w:rsidRPr="009E06AA">
        <w:rPr>
          <w:rFonts w:cs="Calibri"/>
          <w:vertAlign w:val="subscript"/>
        </w:rPr>
        <w:t>ex</w:t>
      </w:r>
      <w:r w:rsidRPr="009E06AA">
        <w:rPr>
          <w:rFonts w:cs="Calibri"/>
        </w:rPr>
        <w:t xml:space="preserve"> rates in subsequent years (see section 5.1.1).</w:t>
      </w:r>
      <w:r w:rsidRPr="009E06AA">
        <w:rPr>
          <w:rStyle w:val="FootnoteReference"/>
          <w:rFonts w:cs="Calibri"/>
        </w:rPr>
        <w:footnoteReference w:id="46"/>
      </w:r>
      <w:r w:rsidRPr="009E06AA">
        <w:rPr>
          <w:rFonts w:cs="Calibri"/>
        </w:rPr>
        <w:t xml:space="preserve"> </w:t>
      </w:r>
    </w:p>
    <w:p w14:paraId="690072A1" w14:textId="607252BC" w:rsidR="007523B8" w:rsidRPr="009E06AA" w:rsidRDefault="007523B8" w:rsidP="007523B8">
      <w:pPr>
        <w:pStyle w:val="Table"/>
        <w:rPr>
          <w:rFonts w:cs="Calibri"/>
        </w:rPr>
      </w:pPr>
      <w:bookmarkStart w:id="1049" w:name="_Toc288316754"/>
      <w:bookmarkStart w:id="1050" w:name="_Toc235955628"/>
      <w:bookmarkStart w:id="1051" w:name="_Toc352504972"/>
      <w:bookmarkStart w:id="1052" w:name="_Toc441830875"/>
      <w:bookmarkStart w:id="1053" w:name="_Toc451176089"/>
      <w:bookmarkStart w:id="1054" w:name="_Toc481751517"/>
      <w:bookmarkStart w:id="1055" w:name="_Toc507158605"/>
      <w:bookmarkStart w:id="1056" w:name="_Toc511116739"/>
      <w:bookmarkStart w:id="1057" w:name="_Toc5269479"/>
      <w:bookmarkStart w:id="1058" w:name="_Toc32570922"/>
      <w:bookmarkStart w:id="1059" w:name="_Toc36224557"/>
      <w:bookmarkStart w:id="1060" w:name="_Toc68786442"/>
      <w:bookmarkStart w:id="1061" w:name="_Toc95574076"/>
      <w:bookmarkStart w:id="1062" w:name="_Toc127458261"/>
      <w:bookmarkStart w:id="1063" w:name="_Toc131591357"/>
      <w:bookmarkStart w:id="1064" w:name="_Toc164153845"/>
      <w:bookmarkStart w:id="1065" w:name="_Toc160114449"/>
      <w:r w:rsidRPr="009E06AA">
        <w:rPr>
          <w:rFonts w:cs="Calibri"/>
        </w:rPr>
        <w:t>Table 5.3.3</w:t>
      </w:r>
      <w:r w:rsidRPr="009E06AA">
        <w:rPr>
          <w:rFonts w:cs="Calibri"/>
        </w:rPr>
        <w:tab/>
        <w:t>Nitrogen excretion rates (N</w:t>
      </w:r>
      <w:r w:rsidRPr="009E06AA">
        <w:rPr>
          <w:rFonts w:cs="Calibri"/>
          <w:vertAlign w:val="subscript"/>
        </w:rPr>
        <w:t>ex</w:t>
      </w:r>
      <w:r w:rsidRPr="009E06AA">
        <w:rPr>
          <w:rFonts w:cs="Calibri"/>
        </w:rPr>
        <w:t xml:space="preserve">) for </w:t>
      </w:r>
      <w:r w:rsidRPr="009E06AA">
        <w:t>New Zealand’s</w:t>
      </w:r>
      <w:r w:rsidRPr="009E06AA">
        <w:rPr>
          <w:rFonts w:cs="Calibri"/>
        </w:rPr>
        <w:t xml:space="preserve"> major livestock categories</w:t>
      </w:r>
      <w:r w:rsidR="0049793F" w:rsidRPr="009E06AA">
        <w:rPr>
          <w:rFonts w:cs="Calibri"/>
        </w:rPr>
        <w:t>,</w:t>
      </w:r>
      <w:r w:rsidRPr="009E06AA">
        <w:rPr>
          <w:rFonts w:cs="Calibri"/>
        </w:rPr>
        <w:t xml:space="preserve"> from 1990 to </w:t>
      </w:r>
      <w:bookmarkEnd w:id="1049"/>
      <w:bookmarkEnd w:id="1050"/>
      <w:bookmarkEnd w:id="1051"/>
      <w:bookmarkEnd w:id="1052"/>
      <w:bookmarkEnd w:id="1053"/>
      <w:bookmarkEnd w:id="1054"/>
      <w:bookmarkEnd w:id="1055"/>
      <w:bookmarkEnd w:id="1056"/>
      <w:bookmarkEnd w:id="1057"/>
      <w:bookmarkEnd w:id="1058"/>
      <w:bookmarkEnd w:id="1059"/>
      <w:bookmarkEnd w:id="1060"/>
      <w:bookmarkEnd w:id="1061"/>
      <w:r w:rsidRPr="009E06AA">
        <w:rPr>
          <w:rFonts w:cs="Calibri"/>
        </w:rPr>
        <w:t>202</w:t>
      </w:r>
      <w:bookmarkEnd w:id="1062"/>
      <w:bookmarkEnd w:id="1063"/>
      <w:r w:rsidRPr="009E06AA">
        <w:rPr>
          <w:rFonts w:cs="Calibri"/>
        </w:rPr>
        <w:t>2</w:t>
      </w:r>
      <w:bookmarkEnd w:id="1064"/>
      <w:r w:rsidRPr="009E06AA">
        <w:rPr>
          <w:rFonts w:cs="Calibri"/>
        </w:rPr>
        <w:t xml:space="preserve"> </w:t>
      </w:r>
      <w:bookmarkEnd w:id="1065"/>
    </w:p>
    <w:tbl>
      <w:tblPr>
        <w:tblW w:w="8505" w:type="dxa"/>
        <w:tblBorders>
          <w:top w:val="single" w:sz="4" w:space="0" w:color="1B556B" w:themeColor="text2"/>
          <w:bottom w:val="single" w:sz="4" w:space="0" w:color="1B556B" w:themeColor="text2"/>
          <w:insideH w:val="single" w:sz="4" w:space="0" w:color="1B556B" w:themeColor="text2"/>
        </w:tblBorders>
        <w:tblLook w:val="0000" w:firstRow="0" w:lastRow="0" w:firstColumn="0" w:lastColumn="0" w:noHBand="0" w:noVBand="0"/>
      </w:tblPr>
      <w:tblGrid>
        <w:gridCol w:w="1378"/>
        <w:gridCol w:w="1826"/>
        <w:gridCol w:w="1826"/>
        <w:gridCol w:w="1842"/>
        <w:gridCol w:w="1633"/>
      </w:tblGrid>
      <w:tr w:rsidR="007523B8" w:rsidRPr="009E06AA" w14:paraId="1150C56F" w14:textId="77777777" w:rsidTr="00B55F24">
        <w:trPr>
          <w:tblHeader/>
        </w:trPr>
        <w:tc>
          <w:tcPr>
            <w:tcW w:w="1378" w:type="dxa"/>
            <w:tcBorders>
              <w:bottom w:val="single" w:sz="4" w:space="0" w:color="1B556B" w:themeColor="text2"/>
            </w:tcBorders>
            <w:shd w:val="clear" w:color="auto" w:fill="1B556B"/>
            <w:noWrap/>
            <w:vAlign w:val="bottom"/>
          </w:tcPr>
          <w:p w14:paraId="513A8A3E" w14:textId="77777777" w:rsidR="007523B8" w:rsidRPr="009E06AA" w:rsidRDefault="007523B8" w:rsidP="00B55F24">
            <w:pPr>
              <w:pStyle w:val="TableTextBold"/>
              <w:keepNext/>
              <w:spacing w:before="30" w:after="30"/>
              <w:rPr>
                <w:noProof w:val="0"/>
                <w:color w:val="FFFFFF" w:themeColor="background1"/>
                <w:szCs w:val="16"/>
              </w:rPr>
            </w:pPr>
            <w:r w:rsidRPr="009E06AA">
              <w:rPr>
                <w:noProof w:val="0"/>
                <w:color w:val="FFFFFF" w:themeColor="background1"/>
                <w:szCs w:val="16"/>
              </w:rPr>
              <w:t>Year</w:t>
            </w:r>
          </w:p>
        </w:tc>
        <w:tc>
          <w:tcPr>
            <w:tcW w:w="1826" w:type="dxa"/>
            <w:shd w:val="clear" w:color="auto" w:fill="1B556B"/>
            <w:noWrap/>
            <w:vAlign w:val="bottom"/>
          </w:tcPr>
          <w:p w14:paraId="4DD63AC0" w14:textId="77777777" w:rsidR="007523B8" w:rsidRPr="009E06AA" w:rsidRDefault="007523B8" w:rsidP="00C879A6">
            <w:pPr>
              <w:pStyle w:val="TableTextBold"/>
              <w:keepNext/>
              <w:spacing w:before="30" w:after="30"/>
              <w:jc w:val="right"/>
              <w:rPr>
                <w:noProof w:val="0"/>
                <w:color w:val="FFFFFF" w:themeColor="background1"/>
                <w:szCs w:val="16"/>
              </w:rPr>
            </w:pPr>
            <w:r w:rsidRPr="009E06AA">
              <w:rPr>
                <w:noProof w:val="0"/>
                <w:color w:val="FFFFFF" w:themeColor="background1"/>
                <w:szCs w:val="16"/>
              </w:rPr>
              <w:t>Dairy cattle N</w:t>
            </w:r>
            <w:r w:rsidRPr="009E06AA">
              <w:rPr>
                <w:noProof w:val="0"/>
                <w:color w:val="FFFFFF" w:themeColor="background1"/>
                <w:szCs w:val="16"/>
                <w:vertAlign w:val="subscript"/>
              </w:rPr>
              <w:t>ex</w:t>
            </w:r>
            <w:r w:rsidRPr="009E06AA">
              <w:rPr>
                <w:noProof w:val="0"/>
                <w:color w:val="FFFFFF" w:themeColor="background1"/>
                <w:szCs w:val="16"/>
              </w:rPr>
              <w:t xml:space="preserve"> (kg/head/year)</w:t>
            </w:r>
          </w:p>
        </w:tc>
        <w:tc>
          <w:tcPr>
            <w:tcW w:w="1826" w:type="dxa"/>
            <w:shd w:val="clear" w:color="auto" w:fill="1B556B"/>
            <w:noWrap/>
            <w:vAlign w:val="bottom"/>
          </w:tcPr>
          <w:p w14:paraId="2E98A381" w14:textId="77777777" w:rsidR="007523B8" w:rsidRPr="009E06AA" w:rsidRDefault="007523B8" w:rsidP="00C879A6">
            <w:pPr>
              <w:pStyle w:val="TableTextBold"/>
              <w:keepNext/>
              <w:spacing w:before="30" w:after="30"/>
              <w:jc w:val="right"/>
              <w:rPr>
                <w:noProof w:val="0"/>
                <w:color w:val="FFFFFF" w:themeColor="background1"/>
                <w:szCs w:val="16"/>
              </w:rPr>
            </w:pPr>
            <w:r w:rsidRPr="009E06AA">
              <w:rPr>
                <w:noProof w:val="0"/>
                <w:color w:val="FFFFFF" w:themeColor="background1"/>
                <w:szCs w:val="16"/>
              </w:rPr>
              <w:t>Non-dairy cattle N</w:t>
            </w:r>
            <w:r w:rsidRPr="009E06AA">
              <w:rPr>
                <w:noProof w:val="0"/>
                <w:color w:val="FFFFFF" w:themeColor="background1"/>
                <w:szCs w:val="16"/>
                <w:vertAlign w:val="subscript"/>
              </w:rPr>
              <w:t>ex</w:t>
            </w:r>
            <w:r w:rsidRPr="009E06AA">
              <w:rPr>
                <w:noProof w:val="0"/>
                <w:color w:val="FFFFFF" w:themeColor="background1"/>
                <w:szCs w:val="16"/>
              </w:rPr>
              <w:t xml:space="preserve"> (kg/head/year)</w:t>
            </w:r>
          </w:p>
        </w:tc>
        <w:tc>
          <w:tcPr>
            <w:tcW w:w="1842" w:type="dxa"/>
            <w:tcBorders>
              <w:bottom w:val="single" w:sz="4" w:space="0" w:color="auto"/>
            </w:tcBorders>
            <w:shd w:val="clear" w:color="auto" w:fill="1B556B"/>
            <w:noWrap/>
            <w:vAlign w:val="bottom"/>
          </w:tcPr>
          <w:p w14:paraId="30C557D8" w14:textId="77777777" w:rsidR="007523B8" w:rsidRPr="009E06AA" w:rsidRDefault="007523B8" w:rsidP="00C879A6">
            <w:pPr>
              <w:pStyle w:val="TableTextBold"/>
              <w:keepNext/>
              <w:spacing w:before="30" w:after="30"/>
              <w:jc w:val="right"/>
              <w:rPr>
                <w:noProof w:val="0"/>
                <w:color w:val="FFFFFF" w:themeColor="background1"/>
                <w:szCs w:val="16"/>
              </w:rPr>
            </w:pPr>
            <w:r w:rsidRPr="009E06AA">
              <w:rPr>
                <w:noProof w:val="0"/>
                <w:color w:val="FFFFFF" w:themeColor="background1"/>
                <w:szCs w:val="16"/>
              </w:rPr>
              <w:t>Sheep N</w:t>
            </w:r>
            <w:r w:rsidRPr="009E06AA">
              <w:rPr>
                <w:noProof w:val="0"/>
                <w:color w:val="FFFFFF" w:themeColor="background1"/>
                <w:szCs w:val="16"/>
                <w:vertAlign w:val="subscript"/>
              </w:rPr>
              <w:t>ex</w:t>
            </w:r>
            <w:r w:rsidRPr="009E06AA">
              <w:rPr>
                <w:noProof w:val="0"/>
                <w:color w:val="FFFFFF" w:themeColor="background1"/>
                <w:szCs w:val="16"/>
              </w:rPr>
              <w:t xml:space="preserve"> (kg/head/year)</w:t>
            </w:r>
          </w:p>
        </w:tc>
        <w:tc>
          <w:tcPr>
            <w:tcW w:w="1633" w:type="dxa"/>
            <w:tcBorders>
              <w:bottom w:val="single" w:sz="4" w:space="0" w:color="auto"/>
            </w:tcBorders>
            <w:shd w:val="clear" w:color="auto" w:fill="1B556B"/>
            <w:noWrap/>
            <w:vAlign w:val="bottom"/>
          </w:tcPr>
          <w:p w14:paraId="1DC7B3FD" w14:textId="77777777" w:rsidR="007523B8" w:rsidRPr="009E06AA" w:rsidRDefault="007523B8" w:rsidP="00C879A6">
            <w:pPr>
              <w:pStyle w:val="TableTextBold"/>
              <w:keepNext/>
              <w:spacing w:before="30" w:after="30"/>
              <w:jc w:val="right"/>
              <w:rPr>
                <w:noProof w:val="0"/>
                <w:color w:val="FFFFFF" w:themeColor="background1"/>
                <w:szCs w:val="16"/>
              </w:rPr>
            </w:pPr>
            <w:r w:rsidRPr="009E06AA">
              <w:rPr>
                <w:noProof w:val="0"/>
                <w:color w:val="FFFFFF" w:themeColor="background1"/>
                <w:szCs w:val="16"/>
              </w:rPr>
              <w:t>Deer N</w:t>
            </w:r>
            <w:r w:rsidRPr="009E06AA">
              <w:rPr>
                <w:noProof w:val="0"/>
                <w:color w:val="FFFFFF" w:themeColor="background1"/>
                <w:szCs w:val="16"/>
                <w:vertAlign w:val="subscript"/>
              </w:rPr>
              <w:t>ex</w:t>
            </w:r>
            <w:r w:rsidRPr="009E06AA">
              <w:rPr>
                <w:noProof w:val="0"/>
                <w:color w:val="FFFFFF" w:themeColor="background1"/>
                <w:szCs w:val="16"/>
              </w:rPr>
              <w:t xml:space="preserve"> (kg/head/year)</w:t>
            </w:r>
          </w:p>
        </w:tc>
      </w:tr>
      <w:tr w:rsidR="007523B8" w:rsidRPr="009E06AA" w14:paraId="34718A08" w14:textId="77777777" w:rsidTr="00B55F24">
        <w:tc>
          <w:tcPr>
            <w:tcW w:w="1378" w:type="dxa"/>
            <w:tcBorders>
              <w:left w:val="nil"/>
            </w:tcBorders>
            <w:noWrap/>
          </w:tcPr>
          <w:p w14:paraId="62B2E29A" w14:textId="77777777" w:rsidR="007523B8" w:rsidRPr="009E06AA" w:rsidRDefault="007523B8" w:rsidP="00B55F24">
            <w:pPr>
              <w:pStyle w:val="TableText"/>
              <w:keepNext/>
              <w:spacing w:before="40" w:after="30"/>
              <w:rPr>
                <w:rFonts w:cs="Calibri"/>
                <w:szCs w:val="16"/>
              </w:rPr>
            </w:pPr>
            <w:r w:rsidRPr="009E06AA">
              <w:rPr>
                <w:rFonts w:cs="Calibri"/>
                <w:szCs w:val="16"/>
              </w:rPr>
              <w:t>1990</w:t>
            </w:r>
          </w:p>
        </w:tc>
        <w:tc>
          <w:tcPr>
            <w:tcW w:w="1826" w:type="dxa"/>
            <w:shd w:val="clear" w:color="auto" w:fill="auto"/>
            <w:noWrap/>
            <w:vAlign w:val="center"/>
          </w:tcPr>
          <w:p w14:paraId="03AC1F64" w14:textId="77777777" w:rsidR="007523B8" w:rsidRPr="009E06AA" w:rsidRDefault="007523B8" w:rsidP="00C879A6">
            <w:pPr>
              <w:pStyle w:val="TableText"/>
              <w:spacing w:before="40" w:after="30"/>
              <w:jc w:val="right"/>
              <w:rPr>
                <w:highlight w:val="lightGray"/>
              </w:rPr>
            </w:pPr>
            <w:r w:rsidRPr="009E06AA">
              <w:rPr>
                <w:rFonts w:cs="Calibri"/>
                <w:color w:val="000000"/>
                <w:szCs w:val="16"/>
              </w:rPr>
              <w:t>98.6</w:t>
            </w:r>
          </w:p>
        </w:tc>
        <w:tc>
          <w:tcPr>
            <w:tcW w:w="1826" w:type="dxa"/>
            <w:shd w:val="clear" w:color="auto" w:fill="auto"/>
            <w:noWrap/>
            <w:vAlign w:val="center"/>
          </w:tcPr>
          <w:p w14:paraId="7D3CF2F3" w14:textId="77777777" w:rsidR="007523B8" w:rsidRPr="009E06AA" w:rsidRDefault="007523B8" w:rsidP="00C879A6">
            <w:pPr>
              <w:pStyle w:val="TableText"/>
              <w:spacing w:before="40" w:after="30"/>
              <w:jc w:val="right"/>
              <w:rPr>
                <w:highlight w:val="lightGray"/>
              </w:rPr>
            </w:pPr>
            <w:r w:rsidRPr="009E06AA">
              <w:rPr>
                <w:rFonts w:cs="Calibri"/>
                <w:color w:val="000000"/>
                <w:szCs w:val="16"/>
              </w:rPr>
              <w:t>74.4</w:t>
            </w:r>
          </w:p>
        </w:tc>
        <w:tc>
          <w:tcPr>
            <w:tcW w:w="1842" w:type="dxa"/>
            <w:tcBorders>
              <w:top w:val="single" w:sz="4" w:space="0" w:color="auto"/>
              <w:left w:val="nil"/>
              <w:bottom w:val="single" w:sz="4" w:space="0" w:color="auto"/>
              <w:right w:val="nil"/>
            </w:tcBorders>
            <w:shd w:val="clear" w:color="auto" w:fill="auto"/>
            <w:noWrap/>
            <w:vAlign w:val="center"/>
          </w:tcPr>
          <w:p w14:paraId="26415A40" w14:textId="77777777" w:rsidR="007523B8" w:rsidRPr="009E06AA" w:rsidRDefault="007523B8" w:rsidP="00C879A6">
            <w:pPr>
              <w:pStyle w:val="TableText"/>
              <w:spacing w:before="40" w:after="30"/>
              <w:jc w:val="right"/>
              <w:rPr>
                <w:rFonts w:asciiTheme="minorHAnsi" w:hAnsiTheme="minorHAnsi"/>
                <w:highlight w:val="lightGray"/>
              </w:rPr>
            </w:pPr>
            <w:r w:rsidRPr="009E06AA">
              <w:rPr>
                <w:color w:val="000000"/>
              </w:rPr>
              <w:t>13.</w:t>
            </w:r>
            <w:r w:rsidRPr="009E06AA">
              <w:rPr>
                <w:rFonts w:cs="Calibri"/>
                <w:color w:val="000000"/>
                <w:szCs w:val="16"/>
              </w:rPr>
              <w:t>1</w:t>
            </w:r>
          </w:p>
        </w:tc>
        <w:tc>
          <w:tcPr>
            <w:tcW w:w="1633" w:type="dxa"/>
            <w:tcBorders>
              <w:top w:val="single" w:sz="4" w:space="0" w:color="auto"/>
              <w:left w:val="nil"/>
              <w:bottom w:val="single" w:sz="4" w:space="0" w:color="auto"/>
              <w:right w:val="nil"/>
            </w:tcBorders>
            <w:shd w:val="clear" w:color="auto" w:fill="auto"/>
            <w:noWrap/>
            <w:vAlign w:val="center"/>
          </w:tcPr>
          <w:p w14:paraId="34301A66" w14:textId="77777777" w:rsidR="007523B8" w:rsidRPr="009E06AA" w:rsidRDefault="007523B8" w:rsidP="00C879A6">
            <w:pPr>
              <w:pStyle w:val="TableText"/>
              <w:spacing w:before="40" w:after="30"/>
              <w:jc w:val="right"/>
              <w:rPr>
                <w:rFonts w:asciiTheme="minorHAnsi" w:hAnsiTheme="minorHAnsi"/>
                <w:highlight w:val="lightGray"/>
              </w:rPr>
            </w:pPr>
            <w:r w:rsidRPr="009E06AA">
              <w:rPr>
                <w:color w:val="000000"/>
              </w:rPr>
              <w:t>25.</w:t>
            </w:r>
            <w:r w:rsidRPr="009E06AA">
              <w:rPr>
                <w:rFonts w:cs="Calibri"/>
                <w:color w:val="000000"/>
                <w:szCs w:val="16"/>
              </w:rPr>
              <w:t>3</w:t>
            </w:r>
          </w:p>
        </w:tc>
      </w:tr>
      <w:tr w:rsidR="007523B8" w:rsidRPr="009E06AA" w14:paraId="728DC8A5" w14:textId="77777777" w:rsidTr="00B55F24">
        <w:tc>
          <w:tcPr>
            <w:tcW w:w="1378" w:type="dxa"/>
            <w:tcBorders>
              <w:left w:val="nil"/>
            </w:tcBorders>
            <w:noWrap/>
          </w:tcPr>
          <w:p w14:paraId="02C9199F" w14:textId="77777777" w:rsidR="007523B8" w:rsidRPr="009E06AA" w:rsidRDefault="007523B8" w:rsidP="00B55F24">
            <w:pPr>
              <w:pStyle w:val="TableText"/>
              <w:keepNext/>
              <w:spacing w:before="40" w:after="30"/>
              <w:rPr>
                <w:rFonts w:cs="Calibri"/>
                <w:szCs w:val="16"/>
              </w:rPr>
            </w:pPr>
            <w:r w:rsidRPr="009E06AA">
              <w:rPr>
                <w:rFonts w:cs="Calibri"/>
                <w:szCs w:val="16"/>
              </w:rPr>
              <w:t>1991</w:t>
            </w:r>
          </w:p>
        </w:tc>
        <w:tc>
          <w:tcPr>
            <w:tcW w:w="1826" w:type="dxa"/>
            <w:shd w:val="clear" w:color="auto" w:fill="auto"/>
            <w:noWrap/>
            <w:vAlign w:val="center"/>
          </w:tcPr>
          <w:p w14:paraId="77E88B86" w14:textId="77777777" w:rsidR="007523B8" w:rsidRPr="009E06AA" w:rsidRDefault="007523B8" w:rsidP="00C879A6">
            <w:pPr>
              <w:pStyle w:val="TableText"/>
              <w:spacing w:before="40" w:after="30"/>
              <w:jc w:val="right"/>
              <w:rPr>
                <w:highlight w:val="lightGray"/>
              </w:rPr>
            </w:pPr>
            <w:r w:rsidRPr="009E06AA">
              <w:rPr>
                <w:rFonts w:cs="Calibri"/>
                <w:color w:val="000000"/>
                <w:szCs w:val="16"/>
              </w:rPr>
              <w:t>104.2</w:t>
            </w:r>
          </w:p>
        </w:tc>
        <w:tc>
          <w:tcPr>
            <w:tcW w:w="1826" w:type="dxa"/>
            <w:shd w:val="clear" w:color="auto" w:fill="auto"/>
            <w:noWrap/>
            <w:vAlign w:val="center"/>
          </w:tcPr>
          <w:p w14:paraId="2F3D9EAD" w14:textId="77777777" w:rsidR="007523B8" w:rsidRPr="009E06AA" w:rsidRDefault="007523B8" w:rsidP="00C879A6">
            <w:pPr>
              <w:pStyle w:val="TableText"/>
              <w:spacing w:before="40" w:after="30"/>
              <w:jc w:val="right"/>
              <w:rPr>
                <w:highlight w:val="lightGray"/>
              </w:rPr>
            </w:pPr>
            <w:r w:rsidRPr="009E06AA">
              <w:rPr>
                <w:rFonts w:cs="Calibri"/>
                <w:color w:val="000000"/>
                <w:szCs w:val="16"/>
              </w:rPr>
              <w:t>75.4</w:t>
            </w:r>
          </w:p>
        </w:tc>
        <w:tc>
          <w:tcPr>
            <w:tcW w:w="1842" w:type="dxa"/>
            <w:tcBorders>
              <w:top w:val="single" w:sz="4" w:space="0" w:color="auto"/>
              <w:left w:val="nil"/>
              <w:bottom w:val="single" w:sz="4" w:space="0" w:color="auto"/>
              <w:right w:val="nil"/>
            </w:tcBorders>
            <w:shd w:val="clear" w:color="auto" w:fill="auto"/>
            <w:noWrap/>
            <w:vAlign w:val="center"/>
          </w:tcPr>
          <w:p w14:paraId="69FD1B27" w14:textId="77777777" w:rsidR="007523B8" w:rsidRPr="009E06AA" w:rsidRDefault="007523B8" w:rsidP="00C879A6">
            <w:pPr>
              <w:pStyle w:val="TableText"/>
              <w:spacing w:before="40" w:after="30"/>
              <w:jc w:val="right"/>
              <w:rPr>
                <w:rFonts w:asciiTheme="minorHAnsi" w:hAnsiTheme="minorHAnsi"/>
                <w:highlight w:val="lightGray"/>
              </w:rPr>
            </w:pPr>
            <w:r w:rsidRPr="009E06AA">
              <w:rPr>
                <w:rFonts w:cs="Calibri"/>
                <w:color w:val="000000"/>
                <w:szCs w:val="16"/>
              </w:rPr>
              <w:t>13.3</w:t>
            </w:r>
          </w:p>
        </w:tc>
        <w:tc>
          <w:tcPr>
            <w:tcW w:w="1633" w:type="dxa"/>
            <w:tcBorders>
              <w:top w:val="single" w:sz="4" w:space="0" w:color="auto"/>
              <w:left w:val="nil"/>
              <w:bottom w:val="single" w:sz="4" w:space="0" w:color="auto"/>
              <w:right w:val="nil"/>
            </w:tcBorders>
            <w:shd w:val="clear" w:color="auto" w:fill="auto"/>
            <w:noWrap/>
            <w:vAlign w:val="center"/>
          </w:tcPr>
          <w:p w14:paraId="2E078BDF" w14:textId="77777777" w:rsidR="007523B8" w:rsidRPr="009E06AA" w:rsidRDefault="007523B8" w:rsidP="00C879A6">
            <w:pPr>
              <w:pStyle w:val="TableText"/>
              <w:spacing w:before="40" w:after="30"/>
              <w:jc w:val="right"/>
              <w:rPr>
                <w:rFonts w:asciiTheme="minorHAnsi" w:hAnsiTheme="minorHAnsi"/>
                <w:highlight w:val="lightGray"/>
              </w:rPr>
            </w:pPr>
            <w:r w:rsidRPr="009E06AA">
              <w:rPr>
                <w:color w:val="000000"/>
              </w:rPr>
              <w:t>26.</w:t>
            </w:r>
            <w:r w:rsidRPr="009E06AA">
              <w:rPr>
                <w:rFonts w:cs="Calibri"/>
                <w:color w:val="000000"/>
                <w:szCs w:val="16"/>
              </w:rPr>
              <w:t>1</w:t>
            </w:r>
          </w:p>
        </w:tc>
      </w:tr>
      <w:tr w:rsidR="007523B8" w:rsidRPr="009E06AA" w14:paraId="55800128" w14:textId="77777777" w:rsidTr="00B55F24">
        <w:tc>
          <w:tcPr>
            <w:tcW w:w="1378" w:type="dxa"/>
            <w:tcBorders>
              <w:left w:val="nil"/>
            </w:tcBorders>
            <w:noWrap/>
          </w:tcPr>
          <w:p w14:paraId="44574B97" w14:textId="77777777" w:rsidR="007523B8" w:rsidRPr="009E06AA" w:rsidRDefault="007523B8" w:rsidP="00B55F24">
            <w:pPr>
              <w:pStyle w:val="TableText"/>
              <w:spacing w:before="40" w:after="30"/>
              <w:rPr>
                <w:rFonts w:cs="Calibri"/>
                <w:szCs w:val="16"/>
              </w:rPr>
            </w:pPr>
            <w:r w:rsidRPr="009E06AA">
              <w:rPr>
                <w:rFonts w:cs="Calibri"/>
                <w:szCs w:val="16"/>
              </w:rPr>
              <w:t>1992</w:t>
            </w:r>
          </w:p>
        </w:tc>
        <w:tc>
          <w:tcPr>
            <w:tcW w:w="1826" w:type="dxa"/>
            <w:shd w:val="clear" w:color="auto" w:fill="auto"/>
            <w:noWrap/>
            <w:vAlign w:val="center"/>
          </w:tcPr>
          <w:p w14:paraId="63FBBE30" w14:textId="77777777" w:rsidR="007523B8" w:rsidRPr="009E06AA" w:rsidRDefault="007523B8" w:rsidP="00C879A6">
            <w:pPr>
              <w:pStyle w:val="TableText"/>
              <w:spacing w:before="40" w:after="30"/>
              <w:jc w:val="right"/>
              <w:rPr>
                <w:highlight w:val="lightGray"/>
              </w:rPr>
            </w:pPr>
            <w:r w:rsidRPr="009E06AA">
              <w:rPr>
                <w:rFonts w:cs="Calibri"/>
                <w:color w:val="000000"/>
                <w:szCs w:val="16"/>
              </w:rPr>
              <w:t>105</w:t>
            </w:r>
            <w:r w:rsidRPr="009E06AA">
              <w:rPr>
                <w:color w:val="000000"/>
              </w:rPr>
              <w:t>.9</w:t>
            </w:r>
          </w:p>
        </w:tc>
        <w:tc>
          <w:tcPr>
            <w:tcW w:w="1826" w:type="dxa"/>
            <w:shd w:val="clear" w:color="auto" w:fill="auto"/>
            <w:noWrap/>
            <w:vAlign w:val="center"/>
          </w:tcPr>
          <w:p w14:paraId="4BBC2B93" w14:textId="77777777" w:rsidR="007523B8" w:rsidRPr="009E06AA" w:rsidRDefault="007523B8" w:rsidP="00C879A6">
            <w:pPr>
              <w:pStyle w:val="TableText"/>
              <w:spacing w:before="40" w:after="30"/>
              <w:jc w:val="right"/>
              <w:rPr>
                <w:highlight w:val="lightGray"/>
              </w:rPr>
            </w:pPr>
            <w:r w:rsidRPr="009E06AA">
              <w:rPr>
                <w:rFonts w:cs="Calibri"/>
                <w:color w:val="000000"/>
                <w:szCs w:val="16"/>
              </w:rPr>
              <w:t>77.0</w:t>
            </w:r>
          </w:p>
        </w:tc>
        <w:tc>
          <w:tcPr>
            <w:tcW w:w="1842" w:type="dxa"/>
            <w:tcBorders>
              <w:top w:val="single" w:sz="4" w:space="0" w:color="auto"/>
              <w:left w:val="nil"/>
              <w:bottom w:val="single" w:sz="4" w:space="0" w:color="auto"/>
              <w:right w:val="nil"/>
            </w:tcBorders>
            <w:shd w:val="clear" w:color="auto" w:fill="auto"/>
            <w:noWrap/>
            <w:vAlign w:val="center"/>
          </w:tcPr>
          <w:p w14:paraId="0CE09513" w14:textId="77777777" w:rsidR="007523B8" w:rsidRPr="009E06AA" w:rsidRDefault="007523B8" w:rsidP="00C879A6">
            <w:pPr>
              <w:pStyle w:val="TableText"/>
              <w:spacing w:before="40" w:after="30"/>
              <w:jc w:val="right"/>
              <w:rPr>
                <w:rFonts w:asciiTheme="minorHAnsi" w:hAnsiTheme="minorHAnsi"/>
                <w:highlight w:val="lightGray"/>
              </w:rPr>
            </w:pPr>
            <w:r w:rsidRPr="009E06AA">
              <w:rPr>
                <w:color w:val="000000"/>
              </w:rPr>
              <w:t>13.</w:t>
            </w:r>
            <w:r w:rsidRPr="009E06AA">
              <w:rPr>
                <w:rFonts w:cs="Calibri"/>
                <w:color w:val="000000"/>
                <w:szCs w:val="16"/>
              </w:rPr>
              <w:t>3</w:t>
            </w:r>
          </w:p>
        </w:tc>
        <w:tc>
          <w:tcPr>
            <w:tcW w:w="1633" w:type="dxa"/>
            <w:tcBorders>
              <w:top w:val="single" w:sz="4" w:space="0" w:color="auto"/>
              <w:left w:val="nil"/>
              <w:bottom w:val="single" w:sz="4" w:space="0" w:color="auto"/>
              <w:right w:val="nil"/>
            </w:tcBorders>
            <w:shd w:val="clear" w:color="auto" w:fill="auto"/>
            <w:noWrap/>
            <w:vAlign w:val="center"/>
          </w:tcPr>
          <w:p w14:paraId="1EC3B83F" w14:textId="77777777" w:rsidR="007523B8" w:rsidRPr="009E06AA" w:rsidRDefault="007523B8" w:rsidP="00C879A6">
            <w:pPr>
              <w:pStyle w:val="TableText"/>
              <w:spacing w:before="40" w:after="30"/>
              <w:jc w:val="right"/>
              <w:rPr>
                <w:rFonts w:asciiTheme="minorHAnsi" w:hAnsiTheme="minorHAnsi"/>
                <w:highlight w:val="lightGray"/>
              </w:rPr>
            </w:pPr>
            <w:r w:rsidRPr="009E06AA">
              <w:rPr>
                <w:rFonts w:cs="Calibri"/>
                <w:color w:val="000000"/>
                <w:szCs w:val="16"/>
              </w:rPr>
              <w:t>27.1</w:t>
            </w:r>
          </w:p>
        </w:tc>
      </w:tr>
      <w:tr w:rsidR="007523B8" w:rsidRPr="009E06AA" w14:paraId="7FDF4736" w14:textId="77777777" w:rsidTr="00B55F24">
        <w:tc>
          <w:tcPr>
            <w:tcW w:w="1378" w:type="dxa"/>
            <w:tcBorders>
              <w:left w:val="nil"/>
            </w:tcBorders>
            <w:noWrap/>
          </w:tcPr>
          <w:p w14:paraId="2AB9452F" w14:textId="77777777" w:rsidR="007523B8" w:rsidRPr="009E06AA" w:rsidRDefault="007523B8" w:rsidP="00B55F24">
            <w:pPr>
              <w:pStyle w:val="TableText"/>
              <w:spacing w:before="40" w:after="30"/>
              <w:rPr>
                <w:rFonts w:cs="Calibri"/>
                <w:szCs w:val="16"/>
              </w:rPr>
            </w:pPr>
            <w:r w:rsidRPr="009E06AA">
              <w:rPr>
                <w:rFonts w:cs="Calibri"/>
                <w:szCs w:val="16"/>
              </w:rPr>
              <w:t>1993</w:t>
            </w:r>
          </w:p>
        </w:tc>
        <w:tc>
          <w:tcPr>
            <w:tcW w:w="1826" w:type="dxa"/>
            <w:shd w:val="clear" w:color="auto" w:fill="auto"/>
            <w:noWrap/>
            <w:vAlign w:val="center"/>
          </w:tcPr>
          <w:p w14:paraId="209FD3E6" w14:textId="77777777" w:rsidR="007523B8" w:rsidRPr="009E06AA" w:rsidRDefault="007523B8" w:rsidP="00C879A6">
            <w:pPr>
              <w:pStyle w:val="TableText"/>
              <w:spacing w:before="40" w:after="30"/>
              <w:jc w:val="right"/>
              <w:rPr>
                <w:highlight w:val="lightGray"/>
              </w:rPr>
            </w:pPr>
            <w:r w:rsidRPr="009E06AA">
              <w:rPr>
                <w:rFonts w:cs="Calibri"/>
                <w:color w:val="000000"/>
                <w:szCs w:val="16"/>
              </w:rPr>
              <w:t>105.9</w:t>
            </w:r>
          </w:p>
        </w:tc>
        <w:tc>
          <w:tcPr>
            <w:tcW w:w="1826" w:type="dxa"/>
            <w:shd w:val="clear" w:color="auto" w:fill="auto"/>
            <w:noWrap/>
            <w:vAlign w:val="center"/>
          </w:tcPr>
          <w:p w14:paraId="2E90DE65" w14:textId="77777777" w:rsidR="007523B8" w:rsidRPr="009E06AA" w:rsidRDefault="007523B8" w:rsidP="00C879A6">
            <w:pPr>
              <w:pStyle w:val="TableText"/>
              <w:spacing w:before="40" w:after="30"/>
              <w:jc w:val="right"/>
              <w:rPr>
                <w:highlight w:val="lightGray"/>
              </w:rPr>
            </w:pPr>
            <w:r w:rsidRPr="009E06AA">
              <w:rPr>
                <w:rFonts w:cs="Calibri"/>
                <w:color w:val="000000"/>
                <w:szCs w:val="16"/>
              </w:rPr>
              <w:t>78.6</w:t>
            </w:r>
          </w:p>
        </w:tc>
        <w:tc>
          <w:tcPr>
            <w:tcW w:w="1842" w:type="dxa"/>
            <w:tcBorders>
              <w:top w:val="single" w:sz="4" w:space="0" w:color="auto"/>
              <w:left w:val="nil"/>
              <w:bottom w:val="single" w:sz="4" w:space="0" w:color="auto"/>
              <w:right w:val="nil"/>
            </w:tcBorders>
            <w:shd w:val="clear" w:color="auto" w:fill="auto"/>
            <w:noWrap/>
            <w:vAlign w:val="center"/>
          </w:tcPr>
          <w:p w14:paraId="06B0993E" w14:textId="77777777" w:rsidR="007523B8" w:rsidRPr="009E06AA" w:rsidRDefault="007523B8" w:rsidP="00C879A6">
            <w:pPr>
              <w:pStyle w:val="TableText"/>
              <w:spacing w:before="40" w:after="30"/>
              <w:jc w:val="right"/>
              <w:rPr>
                <w:rFonts w:asciiTheme="minorHAnsi" w:hAnsiTheme="minorHAnsi"/>
                <w:highlight w:val="lightGray"/>
              </w:rPr>
            </w:pPr>
            <w:r w:rsidRPr="009E06AA">
              <w:rPr>
                <w:rFonts w:cs="Calibri"/>
                <w:color w:val="000000"/>
                <w:szCs w:val="16"/>
              </w:rPr>
              <w:t>13.7</w:t>
            </w:r>
          </w:p>
        </w:tc>
        <w:tc>
          <w:tcPr>
            <w:tcW w:w="1633" w:type="dxa"/>
            <w:tcBorders>
              <w:top w:val="single" w:sz="4" w:space="0" w:color="auto"/>
              <w:left w:val="nil"/>
              <w:bottom w:val="single" w:sz="4" w:space="0" w:color="auto"/>
              <w:right w:val="nil"/>
            </w:tcBorders>
            <w:shd w:val="clear" w:color="auto" w:fill="auto"/>
            <w:noWrap/>
            <w:vAlign w:val="center"/>
          </w:tcPr>
          <w:p w14:paraId="3FF39D1D" w14:textId="77777777" w:rsidR="007523B8" w:rsidRPr="009E06AA" w:rsidRDefault="007523B8" w:rsidP="00C879A6">
            <w:pPr>
              <w:pStyle w:val="TableText"/>
              <w:spacing w:before="40" w:after="30"/>
              <w:jc w:val="right"/>
              <w:rPr>
                <w:rFonts w:asciiTheme="minorHAnsi" w:hAnsiTheme="minorHAnsi"/>
                <w:highlight w:val="lightGray"/>
              </w:rPr>
            </w:pPr>
            <w:r w:rsidRPr="009E06AA">
              <w:rPr>
                <w:color w:val="000000"/>
              </w:rPr>
              <w:t>27.</w:t>
            </w:r>
            <w:r w:rsidRPr="009E06AA">
              <w:rPr>
                <w:rFonts w:cs="Calibri"/>
                <w:color w:val="000000"/>
                <w:szCs w:val="16"/>
              </w:rPr>
              <w:t>5</w:t>
            </w:r>
          </w:p>
        </w:tc>
      </w:tr>
      <w:tr w:rsidR="007523B8" w:rsidRPr="009E06AA" w14:paraId="588C6D06" w14:textId="77777777" w:rsidTr="00B55F24">
        <w:tc>
          <w:tcPr>
            <w:tcW w:w="1378" w:type="dxa"/>
            <w:tcBorders>
              <w:left w:val="nil"/>
            </w:tcBorders>
            <w:noWrap/>
          </w:tcPr>
          <w:p w14:paraId="33BBCF1D" w14:textId="77777777" w:rsidR="007523B8" w:rsidRPr="009E06AA" w:rsidRDefault="007523B8" w:rsidP="00B55F24">
            <w:pPr>
              <w:pStyle w:val="TableText"/>
              <w:spacing w:before="40" w:after="30"/>
              <w:rPr>
                <w:rFonts w:cs="Calibri"/>
                <w:szCs w:val="16"/>
              </w:rPr>
            </w:pPr>
            <w:r w:rsidRPr="009E06AA">
              <w:rPr>
                <w:rFonts w:cs="Calibri"/>
                <w:szCs w:val="16"/>
              </w:rPr>
              <w:t>1994</w:t>
            </w:r>
          </w:p>
        </w:tc>
        <w:tc>
          <w:tcPr>
            <w:tcW w:w="1826" w:type="dxa"/>
            <w:shd w:val="clear" w:color="auto" w:fill="auto"/>
            <w:noWrap/>
            <w:vAlign w:val="center"/>
          </w:tcPr>
          <w:p w14:paraId="470565F9" w14:textId="77777777" w:rsidR="007523B8" w:rsidRPr="009E06AA" w:rsidRDefault="007523B8" w:rsidP="00C879A6">
            <w:pPr>
              <w:pStyle w:val="TableText"/>
              <w:spacing w:before="40" w:after="30"/>
              <w:jc w:val="right"/>
              <w:rPr>
                <w:highlight w:val="lightGray"/>
              </w:rPr>
            </w:pPr>
            <w:r w:rsidRPr="009E06AA">
              <w:rPr>
                <w:rFonts w:cs="Calibri"/>
                <w:color w:val="000000"/>
                <w:szCs w:val="16"/>
              </w:rPr>
              <w:t>100.4</w:t>
            </w:r>
          </w:p>
        </w:tc>
        <w:tc>
          <w:tcPr>
            <w:tcW w:w="1826" w:type="dxa"/>
            <w:shd w:val="clear" w:color="auto" w:fill="auto"/>
            <w:noWrap/>
            <w:vAlign w:val="center"/>
          </w:tcPr>
          <w:p w14:paraId="3525E483" w14:textId="77777777" w:rsidR="007523B8" w:rsidRPr="009E06AA" w:rsidRDefault="007523B8" w:rsidP="00C879A6">
            <w:pPr>
              <w:pStyle w:val="TableText"/>
              <w:spacing w:before="40" w:after="30"/>
              <w:jc w:val="right"/>
              <w:rPr>
                <w:highlight w:val="lightGray"/>
              </w:rPr>
            </w:pPr>
            <w:r w:rsidRPr="009E06AA">
              <w:rPr>
                <w:rFonts w:cs="Calibri"/>
                <w:color w:val="000000"/>
                <w:szCs w:val="16"/>
              </w:rPr>
              <w:t>79.5</w:t>
            </w:r>
          </w:p>
        </w:tc>
        <w:tc>
          <w:tcPr>
            <w:tcW w:w="1842" w:type="dxa"/>
            <w:tcBorders>
              <w:top w:val="single" w:sz="4" w:space="0" w:color="auto"/>
              <w:left w:val="nil"/>
              <w:bottom w:val="single" w:sz="4" w:space="0" w:color="auto"/>
              <w:right w:val="nil"/>
            </w:tcBorders>
            <w:shd w:val="clear" w:color="auto" w:fill="auto"/>
            <w:noWrap/>
            <w:vAlign w:val="center"/>
          </w:tcPr>
          <w:p w14:paraId="09BC5461" w14:textId="77777777" w:rsidR="007523B8" w:rsidRPr="009E06AA" w:rsidRDefault="007523B8" w:rsidP="00C879A6">
            <w:pPr>
              <w:pStyle w:val="TableText"/>
              <w:spacing w:before="40" w:after="30"/>
              <w:jc w:val="right"/>
              <w:rPr>
                <w:rFonts w:asciiTheme="minorHAnsi" w:hAnsiTheme="minorHAnsi"/>
                <w:highlight w:val="lightGray"/>
              </w:rPr>
            </w:pPr>
            <w:r w:rsidRPr="009E06AA">
              <w:rPr>
                <w:rFonts w:cs="Calibri"/>
                <w:color w:val="000000"/>
                <w:szCs w:val="16"/>
              </w:rPr>
              <w:t>13.9</w:t>
            </w:r>
          </w:p>
        </w:tc>
        <w:tc>
          <w:tcPr>
            <w:tcW w:w="1633" w:type="dxa"/>
            <w:tcBorders>
              <w:top w:val="single" w:sz="4" w:space="0" w:color="auto"/>
              <w:left w:val="nil"/>
              <w:bottom w:val="single" w:sz="4" w:space="0" w:color="auto"/>
              <w:right w:val="nil"/>
            </w:tcBorders>
            <w:shd w:val="clear" w:color="auto" w:fill="auto"/>
            <w:noWrap/>
            <w:vAlign w:val="center"/>
          </w:tcPr>
          <w:p w14:paraId="18FDB81A" w14:textId="77777777" w:rsidR="007523B8" w:rsidRPr="009E06AA" w:rsidRDefault="007523B8" w:rsidP="00C879A6">
            <w:pPr>
              <w:pStyle w:val="TableText"/>
              <w:spacing w:before="40" w:after="30"/>
              <w:jc w:val="right"/>
              <w:rPr>
                <w:rFonts w:asciiTheme="minorHAnsi" w:hAnsiTheme="minorHAnsi"/>
                <w:highlight w:val="lightGray"/>
              </w:rPr>
            </w:pPr>
            <w:r w:rsidRPr="009E06AA">
              <w:rPr>
                <w:color w:val="000000"/>
              </w:rPr>
              <w:t>27.</w:t>
            </w:r>
            <w:r w:rsidRPr="009E06AA">
              <w:rPr>
                <w:rFonts w:cs="Calibri"/>
                <w:color w:val="000000"/>
                <w:szCs w:val="16"/>
              </w:rPr>
              <w:t>2</w:t>
            </w:r>
          </w:p>
        </w:tc>
      </w:tr>
      <w:tr w:rsidR="007523B8" w:rsidRPr="009E06AA" w14:paraId="2966937A" w14:textId="77777777" w:rsidTr="00B55F24">
        <w:tc>
          <w:tcPr>
            <w:tcW w:w="1378" w:type="dxa"/>
            <w:tcBorders>
              <w:left w:val="nil"/>
            </w:tcBorders>
            <w:noWrap/>
          </w:tcPr>
          <w:p w14:paraId="1E3F6622" w14:textId="77777777" w:rsidR="007523B8" w:rsidRPr="009E06AA" w:rsidRDefault="007523B8" w:rsidP="00B55F24">
            <w:pPr>
              <w:pStyle w:val="TableText"/>
              <w:spacing w:before="40" w:after="30"/>
              <w:rPr>
                <w:rFonts w:cs="Calibri"/>
                <w:szCs w:val="16"/>
              </w:rPr>
            </w:pPr>
            <w:r w:rsidRPr="009E06AA">
              <w:rPr>
                <w:rFonts w:cs="Calibri"/>
                <w:szCs w:val="16"/>
              </w:rPr>
              <w:t>1995</w:t>
            </w:r>
          </w:p>
        </w:tc>
        <w:tc>
          <w:tcPr>
            <w:tcW w:w="1826" w:type="dxa"/>
            <w:shd w:val="clear" w:color="auto" w:fill="auto"/>
            <w:noWrap/>
            <w:vAlign w:val="center"/>
          </w:tcPr>
          <w:p w14:paraId="013DEFDC" w14:textId="77777777" w:rsidR="007523B8" w:rsidRPr="009E06AA" w:rsidRDefault="007523B8" w:rsidP="00C879A6">
            <w:pPr>
              <w:pStyle w:val="TableText"/>
              <w:spacing w:before="40" w:after="30"/>
              <w:jc w:val="right"/>
              <w:rPr>
                <w:highlight w:val="lightGray"/>
              </w:rPr>
            </w:pPr>
            <w:r w:rsidRPr="009E06AA">
              <w:rPr>
                <w:rFonts w:cs="Calibri"/>
                <w:color w:val="000000"/>
                <w:szCs w:val="16"/>
              </w:rPr>
              <w:t>104.3</w:t>
            </w:r>
          </w:p>
        </w:tc>
        <w:tc>
          <w:tcPr>
            <w:tcW w:w="1826" w:type="dxa"/>
            <w:shd w:val="clear" w:color="auto" w:fill="auto"/>
            <w:noWrap/>
            <w:vAlign w:val="center"/>
          </w:tcPr>
          <w:p w14:paraId="402785AA" w14:textId="77777777" w:rsidR="007523B8" w:rsidRPr="009E06AA" w:rsidRDefault="007523B8" w:rsidP="00C879A6">
            <w:pPr>
              <w:pStyle w:val="TableText"/>
              <w:spacing w:before="40" w:after="30"/>
              <w:jc w:val="right"/>
              <w:rPr>
                <w:highlight w:val="lightGray"/>
              </w:rPr>
            </w:pPr>
            <w:r w:rsidRPr="009E06AA">
              <w:rPr>
                <w:rFonts w:cs="Calibri"/>
                <w:color w:val="000000"/>
                <w:szCs w:val="16"/>
              </w:rPr>
              <w:t>78.2</w:t>
            </w:r>
          </w:p>
        </w:tc>
        <w:tc>
          <w:tcPr>
            <w:tcW w:w="1842" w:type="dxa"/>
            <w:tcBorders>
              <w:top w:val="single" w:sz="4" w:space="0" w:color="auto"/>
              <w:left w:val="nil"/>
              <w:bottom w:val="single" w:sz="4" w:space="0" w:color="auto"/>
              <w:right w:val="nil"/>
            </w:tcBorders>
            <w:shd w:val="clear" w:color="auto" w:fill="auto"/>
            <w:noWrap/>
            <w:vAlign w:val="center"/>
          </w:tcPr>
          <w:p w14:paraId="473FB42F" w14:textId="77777777" w:rsidR="007523B8" w:rsidRPr="009E06AA" w:rsidRDefault="007523B8" w:rsidP="00C879A6">
            <w:pPr>
              <w:pStyle w:val="TableText"/>
              <w:spacing w:before="40" w:after="30"/>
              <w:jc w:val="right"/>
              <w:rPr>
                <w:rFonts w:asciiTheme="minorHAnsi" w:hAnsiTheme="minorHAnsi"/>
                <w:highlight w:val="lightGray"/>
              </w:rPr>
            </w:pPr>
            <w:r w:rsidRPr="009E06AA">
              <w:rPr>
                <w:rFonts w:cs="Calibri"/>
                <w:color w:val="000000"/>
                <w:szCs w:val="16"/>
              </w:rPr>
              <w:t>13.7</w:t>
            </w:r>
          </w:p>
        </w:tc>
        <w:tc>
          <w:tcPr>
            <w:tcW w:w="1633" w:type="dxa"/>
            <w:tcBorders>
              <w:top w:val="single" w:sz="4" w:space="0" w:color="auto"/>
              <w:left w:val="nil"/>
              <w:bottom w:val="single" w:sz="4" w:space="0" w:color="auto"/>
              <w:right w:val="nil"/>
            </w:tcBorders>
            <w:shd w:val="clear" w:color="auto" w:fill="auto"/>
            <w:noWrap/>
            <w:vAlign w:val="center"/>
          </w:tcPr>
          <w:p w14:paraId="71F043D1" w14:textId="77777777" w:rsidR="007523B8" w:rsidRPr="009E06AA" w:rsidRDefault="007523B8" w:rsidP="00C879A6">
            <w:pPr>
              <w:pStyle w:val="TableText"/>
              <w:spacing w:before="40" w:after="30"/>
              <w:jc w:val="right"/>
              <w:rPr>
                <w:rFonts w:asciiTheme="minorHAnsi" w:hAnsiTheme="minorHAnsi"/>
                <w:highlight w:val="lightGray"/>
              </w:rPr>
            </w:pPr>
            <w:r w:rsidRPr="009E06AA">
              <w:rPr>
                <w:color w:val="000000"/>
              </w:rPr>
              <w:t>28.</w:t>
            </w:r>
            <w:r w:rsidRPr="009E06AA">
              <w:rPr>
                <w:rFonts w:cs="Calibri"/>
                <w:color w:val="000000"/>
                <w:szCs w:val="16"/>
              </w:rPr>
              <w:t>2</w:t>
            </w:r>
          </w:p>
        </w:tc>
      </w:tr>
      <w:tr w:rsidR="007523B8" w:rsidRPr="009E06AA" w14:paraId="57123F67" w14:textId="77777777" w:rsidTr="00B55F24">
        <w:tc>
          <w:tcPr>
            <w:tcW w:w="1378" w:type="dxa"/>
            <w:tcBorders>
              <w:left w:val="nil"/>
            </w:tcBorders>
            <w:noWrap/>
          </w:tcPr>
          <w:p w14:paraId="5F346E2F" w14:textId="77777777" w:rsidR="007523B8" w:rsidRPr="009E06AA" w:rsidRDefault="007523B8" w:rsidP="00B55F24">
            <w:pPr>
              <w:pStyle w:val="TableText"/>
              <w:spacing w:before="40" w:after="30"/>
              <w:rPr>
                <w:rFonts w:cs="Calibri"/>
                <w:szCs w:val="16"/>
              </w:rPr>
            </w:pPr>
            <w:r w:rsidRPr="009E06AA">
              <w:rPr>
                <w:rFonts w:cs="Calibri"/>
                <w:szCs w:val="16"/>
              </w:rPr>
              <w:t>1996</w:t>
            </w:r>
          </w:p>
        </w:tc>
        <w:tc>
          <w:tcPr>
            <w:tcW w:w="1826" w:type="dxa"/>
            <w:shd w:val="clear" w:color="auto" w:fill="auto"/>
            <w:noWrap/>
            <w:vAlign w:val="center"/>
          </w:tcPr>
          <w:p w14:paraId="7973EA1F" w14:textId="77777777" w:rsidR="007523B8" w:rsidRPr="009E06AA" w:rsidRDefault="007523B8" w:rsidP="00C879A6">
            <w:pPr>
              <w:pStyle w:val="TableText"/>
              <w:spacing w:before="40" w:after="30"/>
              <w:jc w:val="right"/>
              <w:rPr>
                <w:highlight w:val="lightGray"/>
              </w:rPr>
            </w:pPr>
            <w:r w:rsidRPr="009E06AA">
              <w:rPr>
                <w:rFonts w:cs="Calibri"/>
                <w:color w:val="000000"/>
                <w:szCs w:val="16"/>
              </w:rPr>
              <w:t>107.5</w:t>
            </w:r>
          </w:p>
        </w:tc>
        <w:tc>
          <w:tcPr>
            <w:tcW w:w="1826" w:type="dxa"/>
            <w:shd w:val="clear" w:color="auto" w:fill="auto"/>
            <w:noWrap/>
            <w:vAlign w:val="center"/>
          </w:tcPr>
          <w:p w14:paraId="6EE99A6D" w14:textId="77777777" w:rsidR="007523B8" w:rsidRPr="009E06AA" w:rsidRDefault="007523B8" w:rsidP="00C879A6">
            <w:pPr>
              <w:pStyle w:val="TableText"/>
              <w:spacing w:before="40" w:after="30"/>
              <w:jc w:val="right"/>
              <w:rPr>
                <w:highlight w:val="lightGray"/>
              </w:rPr>
            </w:pPr>
            <w:r w:rsidRPr="009E06AA">
              <w:rPr>
                <w:rFonts w:cs="Calibri"/>
                <w:color w:val="000000"/>
                <w:szCs w:val="16"/>
              </w:rPr>
              <w:t>82.9</w:t>
            </w:r>
          </w:p>
        </w:tc>
        <w:tc>
          <w:tcPr>
            <w:tcW w:w="1842" w:type="dxa"/>
            <w:tcBorders>
              <w:top w:val="single" w:sz="4" w:space="0" w:color="auto"/>
              <w:left w:val="nil"/>
              <w:bottom w:val="single" w:sz="4" w:space="0" w:color="auto"/>
              <w:right w:val="nil"/>
            </w:tcBorders>
            <w:shd w:val="clear" w:color="auto" w:fill="auto"/>
            <w:noWrap/>
            <w:vAlign w:val="center"/>
          </w:tcPr>
          <w:p w14:paraId="12D6287C" w14:textId="77777777" w:rsidR="007523B8" w:rsidRPr="009E06AA" w:rsidRDefault="007523B8" w:rsidP="00C879A6">
            <w:pPr>
              <w:pStyle w:val="TableText"/>
              <w:spacing w:before="40" w:after="30"/>
              <w:jc w:val="right"/>
              <w:rPr>
                <w:rFonts w:asciiTheme="minorHAnsi" w:hAnsiTheme="minorHAnsi"/>
                <w:highlight w:val="lightGray"/>
              </w:rPr>
            </w:pPr>
            <w:r w:rsidRPr="009E06AA">
              <w:rPr>
                <w:rFonts w:cs="Calibri"/>
                <w:color w:val="000000"/>
                <w:szCs w:val="16"/>
              </w:rPr>
              <w:t>14.4</w:t>
            </w:r>
          </w:p>
        </w:tc>
        <w:tc>
          <w:tcPr>
            <w:tcW w:w="1633" w:type="dxa"/>
            <w:tcBorders>
              <w:top w:val="single" w:sz="4" w:space="0" w:color="auto"/>
              <w:left w:val="nil"/>
              <w:bottom w:val="single" w:sz="4" w:space="0" w:color="auto"/>
              <w:right w:val="nil"/>
            </w:tcBorders>
            <w:shd w:val="clear" w:color="auto" w:fill="auto"/>
            <w:noWrap/>
            <w:vAlign w:val="center"/>
          </w:tcPr>
          <w:p w14:paraId="3CDBCB47" w14:textId="77777777" w:rsidR="007523B8" w:rsidRPr="009E06AA" w:rsidRDefault="007523B8" w:rsidP="00C879A6">
            <w:pPr>
              <w:pStyle w:val="TableText"/>
              <w:spacing w:before="40" w:after="30"/>
              <w:jc w:val="right"/>
              <w:rPr>
                <w:rFonts w:asciiTheme="minorHAnsi" w:hAnsiTheme="minorHAnsi"/>
                <w:highlight w:val="lightGray"/>
              </w:rPr>
            </w:pPr>
            <w:r w:rsidRPr="009E06AA">
              <w:rPr>
                <w:color w:val="000000"/>
              </w:rPr>
              <w:t>28.</w:t>
            </w:r>
            <w:r w:rsidRPr="009E06AA">
              <w:rPr>
                <w:rFonts w:cs="Calibri"/>
                <w:color w:val="000000"/>
                <w:szCs w:val="16"/>
              </w:rPr>
              <w:t>4</w:t>
            </w:r>
          </w:p>
        </w:tc>
      </w:tr>
      <w:tr w:rsidR="007523B8" w:rsidRPr="009E06AA" w14:paraId="6858C666" w14:textId="77777777" w:rsidTr="00B55F24">
        <w:tc>
          <w:tcPr>
            <w:tcW w:w="1378" w:type="dxa"/>
            <w:tcBorders>
              <w:left w:val="nil"/>
            </w:tcBorders>
            <w:noWrap/>
          </w:tcPr>
          <w:p w14:paraId="72173FBC" w14:textId="77777777" w:rsidR="007523B8" w:rsidRPr="009E06AA" w:rsidRDefault="007523B8" w:rsidP="00B55F24">
            <w:pPr>
              <w:pStyle w:val="TableText"/>
              <w:spacing w:before="40" w:after="30"/>
              <w:rPr>
                <w:rFonts w:cs="Calibri"/>
                <w:szCs w:val="16"/>
              </w:rPr>
            </w:pPr>
            <w:r w:rsidRPr="009E06AA">
              <w:rPr>
                <w:rFonts w:cs="Calibri"/>
                <w:szCs w:val="16"/>
              </w:rPr>
              <w:t>1997</w:t>
            </w:r>
          </w:p>
        </w:tc>
        <w:tc>
          <w:tcPr>
            <w:tcW w:w="1826" w:type="dxa"/>
            <w:shd w:val="clear" w:color="auto" w:fill="auto"/>
            <w:noWrap/>
            <w:vAlign w:val="center"/>
          </w:tcPr>
          <w:p w14:paraId="00F51007" w14:textId="77777777" w:rsidR="007523B8" w:rsidRPr="009E06AA" w:rsidRDefault="007523B8" w:rsidP="00C879A6">
            <w:pPr>
              <w:pStyle w:val="TableText"/>
              <w:spacing w:before="40" w:after="30"/>
              <w:jc w:val="right"/>
              <w:rPr>
                <w:highlight w:val="lightGray"/>
              </w:rPr>
            </w:pPr>
            <w:r w:rsidRPr="009E06AA">
              <w:rPr>
                <w:rFonts w:cs="Calibri"/>
                <w:color w:val="000000"/>
                <w:szCs w:val="16"/>
              </w:rPr>
              <w:t>108.3</w:t>
            </w:r>
          </w:p>
        </w:tc>
        <w:tc>
          <w:tcPr>
            <w:tcW w:w="1826" w:type="dxa"/>
            <w:shd w:val="clear" w:color="auto" w:fill="auto"/>
            <w:noWrap/>
            <w:vAlign w:val="center"/>
          </w:tcPr>
          <w:p w14:paraId="5474926A" w14:textId="77777777" w:rsidR="007523B8" w:rsidRPr="009E06AA" w:rsidRDefault="007523B8" w:rsidP="00C879A6">
            <w:pPr>
              <w:pStyle w:val="TableText"/>
              <w:spacing w:before="40" w:after="30"/>
              <w:jc w:val="right"/>
              <w:rPr>
                <w:highlight w:val="lightGray"/>
              </w:rPr>
            </w:pPr>
            <w:r w:rsidRPr="009E06AA">
              <w:rPr>
                <w:rFonts w:cs="Calibri"/>
                <w:color w:val="000000"/>
                <w:szCs w:val="16"/>
              </w:rPr>
              <w:t>83.2</w:t>
            </w:r>
          </w:p>
        </w:tc>
        <w:tc>
          <w:tcPr>
            <w:tcW w:w="1842" w:type="dxa"/>
            <w:tcBorders>
              <w:top w:val="single" w:sz="4" w:space="0" w:color="auto"/>
              <w:left w:val="nil"/>
              <w:bottom w:val="single" w:sz="4" w:space="0" w:color="auto"/>
              <w:right w:val="nil"/>
            </w:tcBorders>
            <w:shd w:val="clear" w:color="auto" w:fill="auto"/>
            <w:noWrap/>
            <w:vAlign w:val="center"/>
          </w:tcPr>
          <w:p w14:paraId="1721DD5B" w14:textId="77777777" w:rsidR="007523B8" w:rsidRPr="009E06AA" w:rsidRDefault="007523B8" w:rsidP="00C879A6">
            <w:pPr>
              <w:pStyle w:val="TableText"/>
              <w:spacing w:before="40" w:after="30"/>
              <w:jc w:val="right"/>
              <w:rPr>
                <w:rFonts w:asciiTheme="minorHAnsi" w:hAnsiTheme="minorHAnsi"/>
                <w:highlight w:val="lightGray"/>
              </w:rPr>
            </w:pPr>
            <w:r w:rsidRPr="009E06AA">
              <w:rPr>
                <w:color w:val="000000"/>
              </w:rPr>
              <w:t>15.</w:t>
            </w:r>
            <w:r w:rsidRPr="009E06AA">
              <w:rPr>
                <w:rFonts w:cs="Calibri"/>
                <w:color w:val="000000"/>
                <w:szCs w:val="16"/>
              </w:rPr>
              <w:t>0</w:t>
            </w:r>
          </w:p>
        </w:tc>
        <w:tc>
          <w:tcPr>
            <w:tcW w:w="1633" w:type="dxa"/>
            <w:tcBorders>
              <w:top w:val="single" w:sz="4" w:space="0" w:color="auto"/>
              <w:left w:val="nil"/>
              <w:bottom w:val="single" w:sz="4" w:space="0" w:color="auto"/>
              <w:right w:val="nil"/>
            </w:tcBorders>
            <w:shd w:val="clear" w:color="auto" w:fill="auto"/>
            <w:noWrap/>
            <w:vAlign w:val="center"/>
          </w:tcPr>
          <w:p w14:paraId="093599C5" w14:textId="77777777" w:rsidR="007523B8" w:rsidRPr="009E06AA" w:rsidRDefault="007523B8" w:rsidP="00C879A6">
            <w:pPr>
              <w:pStyle w:val="TableText"/>
              <w:spacing w:before="40" w:after="30"/>
              <w:jc w:val="right"/>
              <w:rPr>
                <w:rFonts w:asciiTheme="minorHAnsi" w:hAnsiTheme="minorHAnsi"/>
                <w:highlight w:val="lightGray"/>
              </w:rPr>
            </w:pPr>
            <w:r w:rsidRPr="009E06AA">
              <w:rPr>
                <w:color w:val="000000"/>
              </w:rPr>
              <w:t>28.7</w:t>
            </w:r>
          </w:p>
        </w:tc>
      </w:tr>
      <w:tr w:rsidR="007523B8" w:rsidRPr="009E06AA" w14:paraId="495A8791" w14:textId="77777777" w:rsidTr="00B55F24">
        <w:tc>
          <w:tcPr>
            <w:tcW w:w="1378" w:type="dxa"/>
            <w:tcBorders>
              <w:left w:val="nil"/>
            </w:tcBorders>
            <w:noWrap/>
          </w:tcPr>
          <w:p w14:paraId="30C01ADC" w14:textId="77777777" w:rsidR="007523B8" w:rsidRPr="009E06AA" w:rsidRDefault="007523B8" w:rsidP="00B55F24">
            <w:pPr>
              <w:pStyle w:val="TableText"/>
              <w:spacing w:before="40" w:after="30"/>
              <w:rPr>
                <w:rFonts w:cs="Calibri"/>
                <w:szCs w:val="16"/>
              </w:rPr>
            </w:pPr>
            <w:r w:rsidRPr="009E06AA">
              <w:rPr>
                <w:rFonts w:cs="Calibri"/>
                <w:szCs w:val="16"/>
              </w:rPr>
              <w:t>1998</w:t>
            </w:r>
          </w:p>
        </w:tc>
        <w:tc>
          <w:tcPr>
            <w:tcW w:w="1826" w:type="dxa"/>
            <w:noWrap/>
            <w:vAlign w:val="center"/>
          </w:tcPr>
          <w:p w14:paraId="54D341A9" w14:textId="77777777" w:rsidR="007523B8" w:rsidRPr="009E06AA" w:rsidRDefault="007523B8" w:rsidP="00C879A6">
            <w:pPr>
              <w:pStyle w:val="TableText"/>
              <w:spacing w:before="40" w:after="30"/>
              <w:jc w:val="right"/>
              <w:rPr>
                <w:highlight w:val="lightGray"/>
              </w:rPr>
            </w:pPr>
            <w:r w:rsidRPr="009E06AA">
              <w:rPr>
                <w:rFonts w:cs="Calibri"/>
                <w:color w:val="000000"/>
                <w:szCs w:val="16"/>
              </w:rPr>
              <w:t>108.1</w:t>
            </w:r>
          </w:p>
        </w:tc>
        <w:tc>
          <w:tcPr>
            <w:tcW w:w="1826" w:type="dxa"/>
            <w:noWrap/>
            <w:vAlign w:val="center"/>
          </w:tcPr>
          <w:p w14:paraId="478AE522" w14:textId="77777777" w:rsidR="007523B8" w:rsidRPr="009E06AA" w:rsidRDefault="007523B8" w:rsidP="00C879A6">
            <w:pPr>
              <w:pStyle w:val="TableText"/>
              <w:spacing w:before="40" w:after="30"/>
              <w:jc w:val="right"/>
              <w:rPr>
                <w:highlight w:val="lightGray"/>
              </w:rPr>
            </w:pPr>
            <w:r w:rsidRPr="009E06AA">
              <w:rPr>
                <w:rFonts w:cs="Calibri"/>
                <w:color w:val="000000"/>
                <w:szCs w:val="16"/>
              </w:rPr>
              <w:t>83.8</w:t>
            </w:r>
          </w:p>
        </w:tc>
        <w:tc>
          <w:tcPr>
            <w:tcW w:w="1842" w:type="dxa"/>
            <w:tcBorders>
              <w:top w:val="single" w:sz="4" w:space="0" w:color="auto"/>
              <w:left w:val="nil"/>
              <w:bottom w:val="single" w:sz="4" w:space="0" w:color="auto"/>
              <w:right w:val="nil"/>
            </w:tcBorders>
            <w:shd w:val="clear" w:color="auto" w:fill="auto"/>
            <w:noWrap/>
            <w:vAlign w:val="center"/>
          </w:tcPr>
          <w:p w14:paraId="3685230B" w14:textId="77777777" w:rsidR="007523B8" w:rsidRPr="009E06AA" w:rsidRDefault="007523B8" w:rsidP="00C879A6">
            <w:pPr>
              <w:pStyle w:val="TableText"/>
              <w:spacing w:before="40" w:after="30"/>
              <w:jc w:val="right"/>
              <w:rPr>
                <w:rFonts w:asciiTheme="minorHAnsi" w:hAnsiTheme="minorHAnsi"/>
                <w:highlight w:val="lightGray"/>
              </w:rPr>
            </w:pPr>
            <w:r w:rsidRPr="009E06AA">
              <w:rPr>
                <w:color w:val="000000"/>
              </w:rPr>
              <w:t>15.</w:t>
            </w:r>
            <w:r w:rsidRPr="009E06AA">
              <w:rPr>
                <w:rFonts w:cs="Calibri"/>
                <w:color w:val="000000"/>
                <w:szCs w:val="16"/>
              </w:rPr>
              <w:t>1</w:t>
            </w:r>
          </w:p>
        </w:tc>
        <w:tc>
          <w:tcPr>
            <w:tcW w:w="1633" w:type="dxa"/>
            <w:tcBorders>
              <w:top w:val="single" w:sz="4" w:space="0" w:color="auto"/>
              <w:left w:val="nil"/>
              <w:bottom w:val="single" w:sz="4" w:space="0" w:color="auto"/>
              <w:right w:val="nil"/>
            </w:tcBorders>
            <w:shd w:val="clear" w:color="auto" w:fill="auto"/>
            <w:noWrap/>
            <w:vAlign w:val="center"/>
          </w:tcPr>
          <w:p w14:paraId="2C9E20BC" w14:textId="77777777" w:rsidR="007523B8" w:rsidRPr="009E06AA" w:rsidRDefault="007523B8" w:rsidP="00C879A6">
            <w:pPr>
              <w:pStyle w:val="TableText"/>
              <w:spacing w:before="40" w:after="30"/>
              <w:jc w:val="right"/>
              <w:rPr>
                <w:rFonts w:asciiTheme="minorHAnsi" w:hAnsiTheme="minorHAnsi"/>
                <w:highlight w:val="lightGray"/>
              </w:rPr>
            </w:pPr>
            <w:r w:rsidRPr="009E06AA">
              <w:rPr>
                <w:color w:val="000000"/>
              </w:rPr>
              <w:t>28.7</w:t>
            </w:r>
          </w:p>
        </w:tc>
      </w:tr>
      <w:tr w:rsidR="007523B8" w:rsidRPr="009E06AA" w14:paraId="07C672A6" w14:textId="77777777" w:rsidTr="00B55F24">
        <w:tc>
          <w:tcPr>
            <w:tcW w:w="1378" w:type="dxa"/>
            <w:tcBorders>
              <w:left w:val="nil"/>
            </w:tcBorders>
            <w:noWrap/>
          </w:tcPr>
          <w:p w14:paraId="310F9327" w14:textId="77777777" w:rsidR="007523B8" w:rsidRPr="009E06AA" w:rsidRDefault="007523B8" w:rsidP="00B55F24">
            <w:pPr>
              <w:pStyle w:val="TableText"/>
              <w:spacing w:before="40" w:after="30"/>
              <w:rPr>
                <w:rFonts w:cs="Calibri"/>
                <w:szCs w:val="16"/>
              </w:rPr>
            </w:pPr>
            <w:r w:rsidRPr="009E06AA">
              <w:rPr>
                <w:rFonts w:cs="Calibri"/>
                <w:szCs w:val="16"/>
              </w:rPr>
              <w:t>1999</w:t>
            </w:r>
          </w:p>
        </w:tc>
        <w:tc>
          <w:tcPr>
            <w:tcW w:w="1826" w:type="dxa"/>
            <w:noWrap/>
            <w:vAlign w:val="center"/>
          </w:tcPr>
          <w:p w14:paraId="3D8D11F7" w14:textId="77777777" w:rsidR="007523B8" w:rsidRPr="009E06AA" w:rsidRDefault="007523B8" w:rsidP="00C879A6">
            <w:pPr>
              <w:pStyle w:val="TableText"/>
              <w:spacing w:before="40" w:after="30"/>
              <w:jc w:val="right"/>
              <w:rPr>
                <w:highlight w:val="lightGray"/>
              </w:rPr>
            </w:pPr>
            <w:r w:rsidRPr="009E06AA">
              <w:rPr>
                <w:rFonts w:cs="Calibri"/>
                <w:color w:val="000000"/>
                <w:szCs w:val="16"/>
              </w:rPr>
              <w:t>107.7</w:t>
            </w:r>
          </w:p>
        </w:tc>
        <w:tc>
          <w:tcPr>
            <w:tcW w:w="1826" w:type="dxa"/>
            <w:noWrap/>
            <w:vAlign w:val="center"/>
          </w:tcPr>
          <w:p w14:paraId="67F6FF8E" w14:textId="77777777" w:rsidR="007523B8" w:rsidRPr="009E06AA" w:rsidRDefault="007523B8" w:rsidP="00C879A6">
            <w:pPr>
              <w:pStyle w:val="TableText"/>
              <w:spacing w:before="40" w:after="30"/>
              <w:jc w:val="right"/>
              <w:rPr>
                <w:highlight w:val="lightGray"/>
              </w:rPr>
            </w:pPr>
            <w:r w:rsidRPr="009E06AA">
              <w:rPr>
                <w:color w:val="000000"/>
              </w:rPr>
              <w:t>80.3</w:t>
            </w:r>
          </w:p>
        </w:tc>
        <w:tc>
          <w:tcPr>
            <w:tcW w:w="1842" w:type="dxa"/>
            <w:tcBorders>
              <w:top w:val="single" w:sz="4" w:space="0" w:color="auto"/>
              <w:left w:val="nil"/>
              <w:bottom w:val="single" w:sz="4" w:space="0" w:color="auto"/>
              <w:right w:val="nil"/>
            </w:tcBorders>
            <w:shd w:val="clear" w:color="auto" w:fill="auto"/>
            <w:noWrap/>
            <w:vAlign w:val="center"/>
          </w:tcPr>
          <w:p w14:paraId="09B6C7BA" w14:textId="77777777" w:rsidR="007523B8" w:rsidRPr="009E06AA" w:rsidRDefault="007523B8" w:rsidP="00C879A6">
            <w:pPr>
              <w:pStyle w:val="TableText"/>
              <w:spacing w:before="40" w:after="30"/>
              <w:jc w:val="right"/>
              <w:rPr>
                <w:rFonts w:asciiTheme="minorHAnsi" w:hAnsiTheme="minorHAnsi"/>
                <w:highlight w:val="lightGray"/>
              </w:rPr>
            </w:pPr>
            <w:r w:rsidRPr="009E06AA">
              <w:rPr>
                <w:color w:val="000000"/>
              </w:rPr>
              <w:t>15.</w:t>
            </w:r>
            <w:r w:rsidRPr="009E06AA">
              <w:rPr>
                <w:rFonts w:cs="Calibri"/>
                <w:color w:val="000000"/>
                <w:szCs w:val="16"/>
              </w:rPr>
              <w:t>0</w:t>
            </w:r>
          </w:p>
        </w:tc>
        <w:tc>
          <w:tcPr>
            <w:tcW w:w="1633" w:type="dxa"/>
            <w:tcBorders>
              <w:top w:val="single" w:sz="4" w:space="0" w:color="auto"/>
              <w:left w:val="nil"/>
              <w:bottom w:val="single" w:sz="4" w:space="0" w:color="auto"/>
              <w:right w:val="nil"/>
            </w:tcBorders>
            <w:shd w:val="clear" w:color="auto" w:fill="auto"/>
            <w:noWrap/>
            <w:vAlign w:val="center"/>
          </w:tcPr>
          <w:p w14:paraId="4418D594" w14:textId="77777777" w:rsidR="007523B8" w:rsidRPr="009E06AA" w:rsidRDefault="007523B8" w:rsidP="00C879A6">
            <w:pPr>
              <w:pStyle w:val="TableText"/>
              <w:spacing w:before="40" w:after="30"/>
              <w:jc w:val="right"/>
              <w:rPr>
                <w:rFonts w:asciiTheme="minorHAnsi" w:hAnsiTheme="minorHAnsi"/>
                <w:highlight w:val="lightGray"/>
              </w:rPr>
            </w:pPr>
            <w:r w:rsidRPr="009E06AA">
              <w:rPr>
                <w:color w:val="000000"/>
              </w:rPr>
              <w:t>29.</w:t>
            </w:r>
            <w:r w:rsidRPr="009E06AA">
              <w:rPr>
                <w:rFonts w:cs="Calibri"/>
                <w:color w:val="000000"/>
                <w:szCs w:val="16"/>
              </w:rPr>
              <w:t>1</w:t>
            </w:r>
          </w:p>
        </w:tc>
      </w:tr>
      <w:tr w:rsidR="007523B8" w:rsidRPr="009E06AA" w14:paraId="6C94C414" w14:textId="77777777" w:rsidTr="00B55F24">
        <w:tc>
          <w:tcPr>
            <w:tcW w:w="1378" w:type="dxa"/>
            <w:tcBorders>
              <w:left w:val="nil"/>
            </w:tcBorders>
            <w:noWrap/>
          </w:tcPr>
          <w:p w14:paraId="632902A6" w14:textId="77777777" w:rsidR="007523B8" w:rsidRPr="009E06AA" w:rsidRDefault="007523B8" w:rsidP="00B55F24">
            <w:pPr>
              <w:pStyle w:val="TableText"/>
              <w:spacing w:before="40" w:after="30"/>
              <w:rPr>
                <w:rFonts w:cs="Calibri"/>
                <w:szCs w:val="16"/>
              </w:rPr>
            </w:pPr>
            <w:r w:rsidRPr="009E06AA">
              <w:rPr>
                <w:rFonts w:cs="Calibri"/>
                <w:szCs w:val="16"/>
              </w:rPr>
              <w:t>2000</w:t>
            </w:r>
          </w:p>
        </w:tc>
        <w:tc>
          <w:tcPr>
            <w:tcW w:w="1826" w:type="dxa"/>
            <w:noWrap/>
            <w:vAlign w:val="center"/>
          </w:tcPr>
          <w:p w14:paraId="37578AEC" w14:textId="77777777" w:rsidR="007523B8" w:rsidRPr="009E06AA" w:rsidRDefault="007523B8" w:rsidP="00C879A6">
            <w:pPr>
              <w:pStyle w:val="TableText"/>
              <w:spacing w:before="40" w:after="30"/>
              <w:jc w:val="right"/>
              <w:rPr>
                <w:highlight w:val="lightGray"/>
              </w:rPr>
            </w:pPr>
            <w:r w:rsidRPr="009E06AA">
              <w:rPr>
                <w:rFonts w:cs="Calibri"/>
                <w:color w:val="000000"/>
                <w:szCs w:val="16"/>
              </w:rPr>
              <w:t>105.2</w:t>
            </w:r>
          </w:p>
        </w:tc>
        <w:tc>
          <w:tcPr>
            <w:tcW w:w="1826" w:type="dxa"/>
            <w:noWrap/>
            <w:vAlign w:val="center"/>
          </w:tcPr>
          <w:p w14:paraId="347959CD" w14:textId="77777777" w:rsidR="007523B8" w:rsidRPr="009E06AA" w:rsidRDefault="007523B8" w:rsidP="00C879A6">
            <w:pPr>
              <w:pStyle w:val="TableText"/>
              <w:spacing w:before="40" w:after="30"/>
              <w:jc w:val="right"/>
              <w:rPr>
                <w:highlight w:val="lightGray"/>
              </w:rPr>
            </w:pPr>
            <w:r w:rsidRPr="009E06AA">
              <w:rPr>
                <w:rFonts w:cs="Calibri"/>
                <w:color w:val="000000"/>
                <w:szCs w:val="16"/>
              </w:rPr>
              <w:t>83.0</w:t>
            </w:r>
          </w:p>
        </w:tc>
        <w:tc>
          <w:tcPr>
            <w:tcW w:w="1842" w:type="dxa"/>
            <w:tcBorders>
              <w:top w:val="single" w:sz="4" w:space="0" w:color="auto"/>
              <w:left w:val="nil"/>
              <w:bottom w:val="single" w:sz="4" w:space="0" w:color="auto"/>
              <w:right w:val="nil"/>
            </w:tcBorders>
            <w:shd w:val="clear" w:color="auto" w:fill="auto"/>
            <w:noWrap/>
            <w:vAlign w:val="center"/>
          </w:tcPr>
          <w:p w14:paraId="2E76CDB0" w14:textId="77777777" w:rsidR="007523B8" w:rsidRPr="009E06AA" w:rsidRDefault="007523B8" w:rsidP="00C879A6">
            <w:pPr>
              <w:pStyle w:val="TableText"/>
              <w:spacing w:before="40" w:after="30"/>
              <w:jc w:val="right"/>
              <w:rPr>
                <w:rFonts w:asciiTheme="minorHAnsi" w:hAnsiTheme="minorHAnsi"/>
                <w:highlight w:val="lightGray"/>
              </w:rPr>
            </w:pPr>
            <w:r w:rsidRPr="009E06AA">
              <w:rPr>
                <w:rFonts w:cs="Calibri"/>
                <w:color w:val="000000"/>
                <w:szCs w:val="16"/>
              </w:rPr>
              <w:t>15.7</w:t>
            </w:r>
          </w:p>
        </w:tc>
        <w:tc>
          <w:tcPr>
            <w:tcW w:w="1633" w:type="dxa"/>
            <w:tcBorders>
              <w:top w:val="single" w:sz="4" w:space="0" w:color="auto"/>
              <w:left w:val="nil"/>
              <w:bottom w:val="single" w:sz="4" w:space="0" w:color="auto"/>
              <w:right w:val="nil"/>
            </w:tcBorders>
            <w:shd w:val="clear" w:color="auto" w:fill="auto"/>
            <w:noWrap/>
            <w:vAlign w:val="center"/>
          </w:tcPr>
          <w:p w14:paraId="1EBDA5F7" w14:textId="77777777" w:rsidR="007523B8" w:rsidRPr="009E06AA" w:rsidRDefault="007523B8" w:rsidP="00C879A6">
            <w:pPr>
              <w:pStyle w:val="TableText"/>
              <w:spacing w:before="40" w:after="30"/>
              <w:jc w:val="right"/>
              <w:rPr>
                <w:rFonts w:asciiTheme="minorHAnsi" w:hAnsiTheme="minorHAnsi"/>
                <w:highlight w:val="lightGray"/>
              </w:rPr>
            </w:pPr>
            <w:r w:rsidRPr="009E06AA">
              <w:rPr>
                <w:color w:val="000000"/>
              </w:rPr>
              <w:t>29.</w:t>
            </w:r>
            <w:r w:rsidRPr="009E06AA">
              <w:rPr>
                <w:rFonts w:cs="Calibri"/>
                <w:color w:val="000000"/>
                <w:szCs w:val="16"/>
              </w:rPr>
              <w:t>5</w:t>
            </w:r>
          </w:p>
        </w:tc>
      </w:tr>
      <w:tr w:rsidR="007523B8" w:rsidRPr="009E06AA" w14:paraId="15F484A0" w14:textId="77777777" w:rsidTr="00B55F24">
        <w:tc>
          <w:tcPr>
            <w:tcW w:w="1378" w:type="dxa"/>
            <w:tcBorders>
              <w:left w:val="nil"/>
            </w:tcBorders>
            <w:noWrap/>
          </w:tcPr>
          <w:p w14:paraId="22331AD2" w14:textId="77777777" w:rsidR="007523B8" w:rsidRPr="009E06AA" w:rsidRDefault="007523B8" w:rsidP="00B55F24">
            <w:pPr>
              <w:pStyle w:val="TableText"/>
              <w:spacing w:before="40" w:after="30"/>
              <w:rPr>
                <w:rFonts w:cs="Calibri"/>
                <w:szCs w:val="16"/>
              </w:rPr>
            </w:pPr>
            <w:r w:rsidRPr="009E06AA">
              <w:rPr>
                <w:rFonts w:cs="Calibri"/>
                <w:szCs w:val="16"/>
              </w:rPr>
              <w:t>2001</w:t>
            </w:r>
          </w:p>
        </w:tc>
        <w:tc>
          <w:tcPr>
            <w:tcW w:w="1826" w:type="dxa"/>
            <w:noWrap/>
            <w:vAlign w:val="center"/>
          </w:tcPr>
          <w:p w14:paraId="1D989EF7" w14:textId="77777777" w:rsidR="007523B8" w:rsidRPr="009E06AA" w:rsidRDefault="007523B8" w:rsidP="00C879A6">
            <w:pPr>
              <w:pStyle w:val="TableText"/>
              <w:spacing w:before="40" w:after="30"/>
              <w:jc w:val="right"/>
              <w:rPr>
                <w:highlight w:val="lightGray"/>
              </w:rPr>
            </w:pPr>
            <w:r w:rsidRPr="009E06AA">
              <w:rPr>
                <w:rFonts w:cs="Calibri"/>
                <w:color w:val="000000"/>
                <w:szCs w:val="16"/>
              </w:rPr>
              <w:t>107.2</w:t>
            </w:r>
          </w:p>
        </w:tc>
        <w:tc>
          <w:tcPr>
            <w:tcW w:w="1826" w:type="dxa"/>
            <w:noWrap/>
            <w:vAlign w:val="center"/>
          </w:tcPr>
          <w:p w14:paraId="031737CF" w14:textId="77777777" w:rsidR="007523B8" w:rsidRPr="009E06AA" w:rsidRDefault="007523B8" w:rsidP="00C879A6">
            <w:pPr>
              <w:pStyle w:val="TableText"/>
              <w:spacing w:before="40" w:after="30"/>
              <w:jc w:val="right"/>
              <w:rPr>
                <w:highlight w:val="lightGray"/>
              </w:rPr>
            </w:pPr>
            <w:r w:rsidRPr="009E06AA">
              <w:rPr>
                <w:rFonts w:cs="Calibri"/>
                <w:color w:val="000000"/>
                <w:szCs w:val="16"/>
              </w:rPr>
              <w:t>83.6</w:t>
            </w:r>
          </w:p>
        </w:tc>
        <w:tc>
          <w:tcPr>
            <w:tcW w:w="1842" w:type="dxa"/>
            <w:tcBorders>
              <w:top w:val="single" w:sz="4" w:space="0" w:color="auto"/>
              <w:left w:val="nil"/>
              <w:bottom w:val="single" w:sz="4" w:space="0" w:color="auto"/>
              <w:right w:val="nil"/>
            </w:tcBorders>
            <w:shd w:val="clear" w:color="auto" w:fill="auto"/>
            <w:noWrap/>
            <w:vAlign w:val="center"/>
          </w:tcPr>
          <w:p w14:paraId="2CC4BE04" w14:textId="77777777" w:rsidR="007523B8" w:rsidRPr="009E06AA" w:rsidRDefault="007523B8" w:rsidP="00C879A6">
            <w:pPr>
              <w:pStyle w:val="TableText"/>
              <w:spacing w:before="40" w:after="30"/>
              <w:jc w:val="right"/>
              <w:rPr>
                <w:rFonts w:asciiTheme="minorHAnsi" w:hAnsiTheme="minorHAnsi"/>
                <w:highlight w:val="lightGray"/>
              </w:rPr>
            </w:pPr>
            <w:r w:rsidRPr="009E06AA">
              <w:rPr>
                <w:rFonts w:cs="Calibri"/>
                <w:color w:val="000000"/>
                <w:szCs w:val="16"/>
              </w:rPr>
              <w:t>15.8</w:t>
            </w:r>
          </w:p>
        </w:tc>
        <w:tc>
          <w:tcPr>
            <w:tcW w:w="1633" w:type="dxa"/>
            <w:tcBorders>
              <w:top w:val="single" w:sz="4" w:space="0" w:color="auto"/>
              <w:left w:val="nil"/>
              <w:bottom w:val="single" w:sz="4" w:space="0" w:color="auto"/>
              <w:right w:val="nil"/>
            </w:tcBorders>
            <w:shd w:val="clear" w:color="auto" w:fill="auto"/>
            <w:noWrap/>
            <w:vAlign w:val="center"/>
          </w:tcPr>
          <w:p w14:paraId="12BA73AE" w14:textId="77777777" w:rsidR="007523B8" w:rsidRPr="009E06AA" w:rsidRDefault="007523B8" w:rsidP="00C879A6">
            <w:pPr>
              <w:pStyle w:val="TableText"/>
              <w:spacing w:before="40" w:after="30"/>
              <w:jc w:val="right"/>
              <w:rPr>
                <w:rFonts w:asciiTheme="minorHAnsi" w:hAnsiTheme="minorHAnsi"/>
                <w:highlight w:val="lightGray"/>
              </w:rPr>
            </w:pPr>
            <w:r w:rsidRPr="009E06AA">
              <w:rPr>
                <w:color w:val="000000"/>
              </w:rPr>
              <w:t>29.</w:t>
            </w:r>
            <w:r w:rsidRPr="009E06AA">
              <w:rPr>
                <w:rFonts w:cs="Calibri"/>
                <w:color w:val="000000"/>
                <w:szCs w:val="16"/>
              </w:rPr>
              <w:t>4</w:t>
            </w:r>
          </w:p>
        </w:tc>
      </w:tr>
      <w:tr w:rsidR="007523B8" w:rsidRPr="009E06AA" w14:paraId="33750BBF" w14:textId="77777777" w:rsidTr="00B55F24">
        <w:tc>
          <w:tcPr>
            <w:tcW w:w="1378" w:type="dxa"/>
            <w:tcBorders>
              <w:left w:val="nil"/>
            </w:tcBorders>
            <w:noWrap/>
          </w:tcPr>
          <w:p w14:paraId="60909A42" w14:textId="77777777" w:rsidR="007523B8" w:rsidRPr="009E06AA" w:rsidRDefault="007523B8" w:rsidP="00B55F24">
            <w:pPr>
              <w:pStyle w:val="TableText"/>
              <w:spacing w:before="40" w:after="30"/>
              <w:rPr>
                <w:rFonts w:cs="Calibri"/>
                <w:szCs w:val="16"/>
              </w:rPr>
            </w:pPr>
            <w:r w:rsidRPr="009E06AA">
              <w:rPr>
                <w:rFonts w:cs="Calibri"/>
                <w:szCs w:val="16"/>
              </w:rPr>
              <w:t>2002</w:t>
            </w:r>
          </w:p>
        </w:tc>
        <w:tc>
          <w:tcPr>
            <w:tcW w:w="1826" w:type="dxa"/>
            <w:noWrap/>
            <w:vAlign w:val="center"/>
          </w:tcPr>
          <w:p w14:paraId="267AAF4B" w14:textId="77777777" w:rsidR="007523B8" w:rsidRPr="009E06AA" w:rsidRDefault="007523B8" w:rsidP="00C879A6">
            <w:pPr>
              <w:pStyle w:val="TableText"/>
              <w:spacing w:before="40" w:after="30"/>
              <w:jc w:val="right"/>
              <w:rPr>
                <w:highlight w:val="lightGray"/>
              </w:rPr>
            </w:pPr>
            <w:r w:rsidRPr="009E06AA">
              <w:rPr>
                <w:rFonts w:cs="Calibri"/>
                <w:color w:val="000000"/>
                <w:szCs w:val="16"/>
              </w:rPr>
              <w:t>105.8</w:t>
            </w:r>
          </w:p>
        </w:tc>
        <w:tc>
          <w:tcPr>
            <w:tcW w:w="1826" w:type="dxa"/>
            <w:noWrap/>
            <w:vAlign w:val="center"/>
          </w:tcPr>
          <w:p w14:paraId="4BA39781" w14:textId="77777777" w:rsidR="007523B8" w:rsidRPr="009E06AA" w:rsidRDefault="007523B8" w:rsidP="00C879A6">
            <w:pPr>
              <w:pStyle w:val="TableText"/>
              <w:spacing w:before="40" w:after="30"/>
              <w:jc w:val="right"/>
              <w:rPr>
                <w:highlight w:val="lightGray"/>
              </w:rPr>
            </w:pPr>
            <w:r w:rsidRPr="009E06AA">
              <w:rPr>
                <w:rFonts w:cs="Calibri"/>
                <w:color w:val="000000"/>
                <w:szCs w:val="16"/>
              </w:rPr>
              <w:t>82.9</w:t>
            </w:r>
          </w:p>
        </w:tc>
        <w:tc>
          <w:tcPr>
            <w:tcW w:w="1842" w:type="dxa"/>
            <w:tcBorders>
              <w:top w:val="single" w:sz="4" w:space="0" w:color="auto"/>
              <w:left w:val="nil"/>
              <w:bottom w:val="single" w:sz="4" w:space="0" w:color="auto"/>
              <w:right w:val="nil"/>
            </w:tcBorders>
            <w:shd w:val="clear" w:color="auto" w:fill="auto"/>
            <w:noWrap/>
            <w:vAlign w:val="center"/>
          </w:tcPr>
          <w:p w14:paraId="5DF7FFBC" w14:textId="77777777" w:rsidR="007523B8" w:rsidRPr="009E06AA" w:rsidRDefault="007523B8" w:rsidP="00C879A6">
            <w:pPr>
              <w:pStyle w:val="TableText"/>
              <w:spacing w:before="40" w:after="30"/>
              <w:jc w:val="right"/>
              <w:rPr>
                <w:rFonts w:asciiTheme="minorHAnsi" w:hAnsiTheme="minorHAnsi"/>
                <w:highlight w:val="lightGray"/>
              </w:rPr>
            </w:pPr>
            <w:r w:rsidRPr="009E06AA">
              <w:rPr>
                <w:rFonts w:cs="Calibri"/>
                <w:color w:val="000000"/>
                <w:szCs w:val="16"/>
              </w:rPr>
              <w:t>15.8</w:t>
            </w:r>
          </w:p>
        </w:tc>
        <w:tc>
          <w:tcPr>
            <w:tcW w:w="1633" w:type="dxa"/>
            <w:tcBorders>
              <w:top w:val="single" w:sz="4" w:space="0" w:color="auto"/>
              <w:left w:val="nil"/>
              <w:bottom w:val="single" w:sz="4" w:space="0" w:color="auto"/>
              <w:right w:val="nil"/>
            </w:tcBorders>
            <w:shd w:val="clear" w:color="auto" w:fill="auto"/>
            <w:noWrap/>
            <w:vAlign w:val="center"/>
          </w:tcPr>
          <w:p w14:paraId="0E1AC144" w14:textId="77777777" w:rsidR="007523B8" w:rsidRPr="009E06AA" w:rsidRDefault="007523B8" w:rsidP="00C879A6">
            <w:pPr>
              <w:pStyle w:val="TableText"/>
              <w:spacing w:before="40" w:after="30"/>
              <w:jc w:val="right"/>
              <w:rPr>
                <w:rFonts w:asciiTheme="minorHAnsi" w:hAnsiTheme="minorHAnsi"/>
                <w:highlight w:val="lightGray"/>
              </w:rPr>
            </w:pPr>
            <w:r w:rsidRPr="009E06AA">
              <w:rPr>
                <w:color w:val="000000"/>
              </w:rPr>
              <w:t>29.</w:t>
            </w:r>
            <w:r w:rsidRPr="009E06AA">
              <w:rPr>
                <w:rFonts w:cs="Calibri"/>
                <w:color w:val="000000"/>
                <w:szCs w:val="16"/>
              </w:rPr>
              <w:t>4</w:t>
            </w:r>
          </w:p>
        </w:tc>
      </w:tr>
      <w:tr w:rsidR="007523B8" w:rsidRPr="009E06AA" w14:paraId="52895B84" w14:textId="77777777" w:rsidTr="00B55F24">
        <w:tc>
          <w:tcPr>
            <w:tcW w:w="1378" w:type="dxa"/>
            <w:tcBorders>
              <w:left w:val="nil"/>
            </w:tcBorders>
            <w:noWrap/>
          </w:tcPr>
          <w:p w14:paraId="2C506126" w14:textId="77777777" w:rsidR="007523B8" w:rsidRPr="009E06AA" w:rsidRDefault="007523B8" w:rsidP="00B55F24">
            <w:pPr>
              <w:pStyle w:val="TableText"/>
              <w:spacing w:before="40" w:after="30"/>
              <w:rPr>
                <w:rFonts w:cs="Calibri"/>
                <w:szCs w:val="16"/>
              </w:rPr>
            </w:pPr>
            <w:r w:rsidRPr="009E06AA">
              <w:rPr>
                <w:rFonts w:cs="Calibri"/>
                <w:szCs w:val="16"/>
              </w:rPr>
              <w:t>2003</w:t>
            </w:r>
          </w:p>
        </w:tc>
        <w:tc>
          <w:tcPr>
            <w:tcW w:w="1826" w:type="dxa"/>
            <w:noWrap/>
            <w:vAlign w:val="center"/>
          </w:tcPr>
          <w:p w14:paraId="22ABC294" w14:textId="77777777" w:rsidR="007523B8" w:rsidRPr="009E06AA" w:rsidRDefault="007523B8" w:rsidP="00C879A6">
            <w:pPr>
              <w:pStyle w:val="TableText"/>
              <w:spacing w:before="40" w:after="30"/>
              <w:jc w:val="right"/>
              <w:rPr>
                <w:highlight w:val="lightGray"/>
              </w:rPr>
            </w:pPr>
            <w:r w:rsidRPr="009E06AA">
              <w:rPr>
                <w:rFonts w:cs="Calibri"/>
                <w:color w:val="000000"/>
                <w:szCs w:val="16"/>
              </w:rPr>
              <w:t>115.0</w:t>
            </w:r>
          </w:p>
        </w:tc>
        <w:tc>
          <w:tcPr>
            <w:tcW w:w="1826" w:type="dxa"/>
            <w:noWrap/>
            <w:vAlign w:val="center"/>
          </w:tcPr>
          <w:p w14:paraId="32545E17" w14:textId="77777777" w:rsidR="007523B8" w:rsidRPr="009E06AA" w:rsidRDefault="007523B8" w:rsidP="00C879A6">
            <w:pPr>
              <w:pStyle w:val="TableText"/>
              <w:spacing w:before="40" w:after="30"/>
              <w:jc w:val="right"/>
              <w:rPr>
                <w:highlight w:val="lightGray"/>
              </w:rPr>
            </w:pPr>
            <w:r w:rsidRPr="009E06AA">
              <w:rPr>
                <w:rFonts w:cs="Calibri"/>
                <w:color w:val="000000"/>
                <w:szCs w:val="16"/>
              </w:rPr>
              <w:t>83.1</w:t>
            </w:r>
          </w:p>
        </w:tc>
        <w:tc>
          <w:tcPr>
            <w:tcW w:w="1842" w:type="dxa"/>
            <w:tcBorders>
              <w:top w:val="single" w:sz="4" w:space="0" w:color="auto"/>
              <w:left w:val="nil"/>
              <w:bottom w:val="single" w:sz="4" w:space="0" w:color="auto"/>
              <w:right w:val="nil"/>
            </w:tcBorders>
            <w:shd w:val="clear" w:color="auto" w:fill="auto"/>
            <w:noWrap/>
            <w:vAlign w:val="center"/>
          </w:tcPr>
          <w:p w14:paraId="69AA6647" w14:textId="77777777" w:rsidR="007523B8" w:rsidRPr="009E06AA" w:rsidRDefault="007523B8" w:rsidP="00C879A6">
            <w:pPr>
              <w:pStyle w:val="TableText"/>
              <w:spacing w:before="40" w:after="30"/>
              <w:jc w:val="right"/>
              <w:rPr>
                <w:rFonts w:asciiTheme="minorHAnsi" w:hAnsiTheme="minorHAnsi"/>
                <w:highlight w:val="lightGray"/>
              </w:rPr>
            </w:pPr>
            <w:r w:rsidRPr="009E06AA">
              <w:rPr>
                <w:rFonts w:cs="Calibri"/>
                <w:color w:val="000000"/>
                <w:szCs w:val="16"/>
              </w:rPr>
              <w:t>15.8</w:t>
            </w:r>
          </w:p>
        </w:tc>
        <w:tc>
          <w:tcPr>
            <w:tcW w:w="1633" w:type="dxa"/>
            <w:tcBorders>
              <w:top w:val="single" w:sz="4" w:space="0" w:color="auto"/>
              <w:left w:val="nil"/>
              <w:bottom w:val="single" w:sz="4" w:space="0" w:color="auto"/>
              <w:right w:val="nil"/>
            </w:tcBorders>
            <w:shd w:val="clear" w:color="auto" w:fill="auto"/>
            <w:noWrap/>
            <w:vAlign w:val="center"/>
          </w:tcPr>
          <w:p w14:paraId="4922AE66" w14:textId="77777777" w:rsidR="007523B8" w:rsidRPr="009E06AA" w:rsidRDefault="007523B8" w:rsidP="00C879A6">
            <w:pPr>
              <w:pStyle w:val="TableText"/>
              <w:spacing w:before="40" w:after="30"/>
              <w:jc w:val="right"/>
              <w:rPr>
                <w:rFonts w:asciiTheme="minorHAnsi" w:hAnsiTheme="minorHAnsi"/>
                <w:highlight w:val="lightGray"/>
              </w:rPr>
            </w:pPr>
            <w:r w:rsidRPr="009E06AA">
              <w:rPr>
                <w:color w:val="000000"/>
              </w:rPr>
              <w:t>29.3</w:t>
            </w:r>
          </w:p>
        </w:tc>
      </w:tr>
      <w:tr w:rsidR="007523B8" w:rsidRPr="009E06AA" w14:paraId="52460C04" w14:textId="77777777" w:rsidTr="00B55F24">
        <w:tc>
          <w:tcPr>
            <w:tcW w:w="1378" w:type="dxa"/>
            <w:tcBorders>
              <w:left w:val="nil"/>
            </w:tcBorders>
            <w:noWrap/>
          </w:tcPr>
          <w:p w14:paraId="7A88B655" w14:textId="77777777" w:rsidR="007523B8" w:rsidRPr="009E06AA" w:rsidRDefault="007523B8" w:rsidP="00B55F24">
            <w:pPr>
              <w:pStyle w:val="TableText"/>
              <w:spacing w:before="40" w:after="30"/>
              <w:rPr>
                <w:rFonts w:cs="Calibri"/>
                <w:szCs w:val="16"/>
              </w:rPr>
            </w:pPr>
            <w:r w:rsidRPr="009E06AA">
              <w:rPr>
                <w:rFonts w:cs="Calibri"/>
                <w:szCs w:val="16"/>
              </w:rPr>
              <w:t>2004</w:t>
            </w:r>
          </w:p>
        </w:tc>
        <w:tc>
          <w:tcPr>
            <w:tcW w:w="1826" w:type="dxa"/>
            <w:noWrap/>
            <w:vAlign w:val="center"/>
          </w:tcPr>
          <w:p w14:paraId="69C7E3D8" w14:textId="77777777" w:rsidR="007523B8" w:rsidRPr="009E06AA" w:rsidRDefault="007523B8" w:rsidP="00C879A6">
            <w:pPr>
              <w:pStyle w:val="TableText"/>
              <w:spacing w:before="40" w:after="30"/>
              <w:jc w:val="right"/>
              <w:rPr>
                <w:highlight w:val="lightGray"/>
              </w:rPr>
            </w:pPr>
            <w:r w:rsidRPr="009E06AA">
              <w:rPr>
                <w:rFonts w:cs="Calibri"/>
                <w:color w:val="000000"/>
                <w:szCs w:val="16"/>
              </w:rPr>
              <w:t>107.9</w:t>
            </w:r>
          </w:p>
        </w:tc>
        <w:tc>
          <w:tcPr>
            <w:tcW w:w="1826" w:type="dxa"/>
            <w:noWrap/>
            <w:vAlign w:val="center"/>
          </w:tcPr>
          <w:p w14:paraId="347CD72C" w14:textId="77777777" w:rsidR="007523B8" w:rsidRPr="009E06AA" w:rsidRDefault="007523B8" w:rsidP="00C879A6">
            <w:pPr>
              <w:pStyle w:val="TableText"/>
              <w:spacing w:before="40" w:after="30"/>
              <w:jc w:val="right"/>
              <w:rPr>
                <w:highlight w:val="lightGray"/>
              </w:rPr>
            </w:pPr>
            <w:r w:rsidRPr="009E06AA">
              <w:rPr>
                <w:rFonts w:cs="Calibri"/>
                <w:color w:val="000000"/>
                <w:szCs w:val="16"/>
              </w:rPr>
              <w:t>86.2</w:t>
            </w:r>
          </w:p>
        </w:tc>
        <w:tc>
          <w:tcPr>
            <w:tcW w:w="1842" w:type="dxa"/>
            <w:tcBorders>
              <w:top w:val="single" w:sz="4" w:space="0" w:color="auto"/>
              <w:left w:val="nil"/>
              <w:bottom w:val="single" w:sz="4" w:space="0" w:color="auto"/>
              <w:right w:val="nil"/>
            </w:tcBorders>
            <w:shd w:val="clear" w:color="auto" w:fill="auto"/>
            <w:noWrap/>
            <w:vAlign w:val="center"/>
          </w:tcPr>
          <w:p w14:paraId="34577692" w14:textId="77777777" w:rsidR="007523B8" w:rsidRPr="009E06AA" w:rsidRDefault="007523B8" w:rsidP="00C879A6">
            <w:pPr>
              <w:pStyle w:val="TableText"/>
              <w:spacing w:before="40" w:after="30"/>
              <w:jc w:val="right"/>
              <w:rPr>
                <w:rFonts w:asciiTheme="minorHAnsi" w:hAnsiTheme="minorHAnsi"/>
                <w:highlight w:val="lightGray"/>
              </w:rPr>
            </w:pPr>
            <w:r w:rsidRPr="009E06AA">
              <w:rPr>
                <w:rFonts w:cs="Calibri"/>
                <w:color w:val="000000"/>
                <w:szCs w:val="16"/>
              </w:rPr>
              <w:t>16.3</w:t>
            </w:r>
          </w:p>
        </w:tc>
        <w:tc>
          <w:tcPr>
            <w:tcW w:w="1633" w:type="dxa"/>
            <w:tcBorders>
              <w:top w:val="single" w:sz="4" w:space="0" w:color="auto"/>
              <w:left w:val="nil"/>
              <w:bottom w:val="single" w:sz="4" w:space="0" w:color="auto"/>
              <w:right w:val="nil"/>
            </w:tcBorders>
            <w:shd w:val="clear" w:color="auto" w:fill="auto"/>
            <w:noWrap/>
            <w:vAlign w:val="center"/>
          </w:tcPr>
          <w:p w14:paraId="1A6C92BD" w14:textId="77777777" w:rsidR="007523B8" w:rsidRPr="009E06AA" w:rsidRDefault="007523B8" w:rsidP="00C879A6">
            <w:pPr>
              <w:pStyle w:val="TableText"/>
              <w:spacing w:before="40" w:after="30"/>
              <w:jc w:val="right"/>
              <w:rPr>
                <w:rFonts w:asciiTheme="minorHAnsi" w:hAnsiTheme="minorHAnsi"/>
                <w:highlight w:val="lightGray"/>
              </w:rPr>
            </w:pPr>
            <w:r w:rsidRPr="009E06AA">
              <w:rPr>
                <w:color w:val="000000"/>
              </w:rPr>
              <w:t>29.</w:t>
            </w:r>
            <w:r w:rsidRPr="009E06AA">
              <w:rPr>
                <w:rFonts w:cs="Calibri"/>
                <w:color w:val="000000"/>
                <w:szCs w:val="16"/>
              </w:rPr>
              <w:t>7</w:t>
            </w:r>
          </w:p>
        </w:tc>
      </w:tr>
      <w:tr w:rsidR="007523B8" w:rsidRPr="009E06AA" w14:paraId="7680C33E" w14:textId="77777777" w:rsidTr="00B55F24">
        <w:tc>
          <w:tcPr>
            <w:tcW w:w="1378" w:type="dxa"/>
            <w:tcBorders>
              <w:left w:val="nil"/>
            </w:tcBorders>
            <w:noWrap/>
          </w:tcPr>
          <w:p w14:paraId="6447C77F" w14:textId="77777777" w:rsidR="007523B8" w:rsidRPr="009E06AA" w:rsidRDefault="007523B8" w:rsidP="00B55F24">
            <w:pPr>
              <w:pStyle w:val="TableText"/>
              <w:spacing w:before="40" w:after="30"/>
              <w:rPr>
                <w:rFonts w:cs="Calibri"/>
                <w:szCs w:val="16"/>
              </w:rPr>
            </w:pPr>
            <w:r w:rsidRPr="009E06AA">
              <w:rPr>
                <w:rFonts w:cs="Calibri"/>
                <w:szCs w:val="16"/>
              </w:rPr>
              <w:t>2005</w:t>
            </w:r>
          </w:p>
        </w:tc>
        <w:tc>
          <w:tcPr>
            <w:tcW w:w="1826" w:type="dxa"/>
            <w:noWrap/>
            <w:vAlign w:val="center"/>
          </w:tcPr>
          <w:p w14:paraId="30BD4F5E" w14:textId="77777777" w:rsidR="007523B8" w:rsidRPr="009E06AA" w:rsidRDefault="007523B8" w:rsidP="00C879A6">
            <w:pPr>
              <w:pStyle w:val="TableText"/>
              <w:spacing w:before="40" w:after="30"/>
              <w:jc w:val="right"/>
              <w:rPr>
                <w:highlight w:val="lightGray"/>
              </w:rPr>
            </w:pPr>
            <w:r w:rsidRPr="009E06AA">
              <w:rPr>
                <w:rFonts w:cs="Calibri"/>
                <w:color w:val="000000"/>
                <w:szCs w:val="16"/>
              </w:rPr>
              <w:t>118.5</w:t>
            </w:r>
          </w:p>
        </w:tc>
        <w:tc>
          <w:tcPr>
            <w:tcW w:w="1826" w:type="dxa"/>
            <w:noWrap/>
            <w:vAlign w:val="center"/>
          </w:tcPr>
          <w:p w14:paraId="699AA921" w14:textId="77777777" w:rsidR="007523B8" w:rsidRPr="009E06AA" w:rsidRDefault="007523B8" w:rsidP="00C879A6">
            <w:pPr>
              <w:pStyle w:val="TableText"/>
              <w:spacing w:before="40" w:after="30"/>
              <w:jc w:val="right"/>
              <w:rPr>
                <w:highlight w:val="lightGray"/>
              </w:rPr>
            </w:pPr>
            <w:r w:rsidRPr="009E06AA">
              <w:rPr>
                <w:rFonts w:cs="Calibri"/>
                <w:color w:val="000000"/>
                <w:szCs w:val="16"/>
              </w:rPr>
              <w:t>87.0</w:t>
            </w:r>
          </w:p>
        </w:tc>
        <w:tc>
          <w:tcPr>
            <w:tcW w:w="1842" w:type="dxa"/>
            <w:tcBorders>
              <w:top w:val="single" w:sz="4" w:space="0" w:color="auto"/>
              <w:left w:val="nil"/>
              <w:bottom w:val="single" w:sz="4" w:space="0" w:color="auto"/>
              <w:right w:val="nil"/>
            </w:tcBorders>
            <w:shd w:val="clear" w:color="auto" w:fill="auto"/>
            <w:noWrap/>
            <w:vAlign w:val="center"/>
          </w:tcPr>
          <w:p w14:paraId="6D574AFA" w14:textId="77777777" w:rsidR="007523B8" w:rsidRPr="009E06AA" w:rsidRDefault="007523B8" w:rsidP="00C879A6">
            <w:pPr>
              <w:pStyle w:val="TableText"/>
              <w:spacing w:before="40" w:after="30"/>
              <w:jc w:val="right"/>
              <w:rPr>
                <w:rFonts w:asciiTheme="minorHAnsi" w:hAnsiTheme="minorHAnsi"/>
                <w:highlight w:val="lightGray"/>
              </w:rPr>
            </w:pPr>
            <w:r w:rsidRPr="009E06AA">
              <w:rPr>
                <w:rFonts w:cs="Calibri"/>
                <w:color w:val="000000"/>
                <w:szCs w:val="16"/>
              </w:rPr>
              <w:t>16.4</w:t>
            </w:r>
          </w:p>
        </w:tc>
        <w:tc>
          <w:tcPr>
            <w:tcW w:w="1633" w:type="dxa"/>
            <w:tcBorders>
              <w:top w:val="single" w:sz="4" w:space="0" w:color="auto"/>
              <w:left w:val="nil"/>
              <w:bottom w:val="single" w:sz="4" w:space="0" w:color="auto"/>
              <w:right w:val="nil"/>
            </w:tcBorders>
            <w:shd w:val="clear" w:color="auto" w:fill="auto"/>
            <w:noWrap/>
            <w:vAlign w:val="center"/>
          </w:tcPr>
          <w:p w14:paraId="48E4398D" w14:textId="77777777" w:rsidR="007523B8" w:rsidRPr="009E06AA" w:rsidRDefault="007523B8" w:rsidP="00C879A6">
            <w:pPr>
              <w:pStyle w:val="TableText"/>
              <w:spacing w:before="40" w:after="30"/>
              <w:jc w:val="right"/>
              <w:rPr>
                <w:rFonts w:asciiTheme="minorHAnsi" w:hAnsiTheme="minorHAnsi"/>
                <w:highlight w:val="lightGray"/>
              </w:rPr>
            </w:pPr>
            <w:r w:rsidRPr="009E06AA">
              <w:rPr>
                <w:color w:val="000000"/>
              </w:rPr>
              <w:t>29.9</w:t>
            </w:r>
          </w:p>
        </w:tc>
      </w:tr>
      <w:tr w:rsidR="007523B8" w:rsidRPr="009E06AA" w14:paraId="27C31017" w14:textId="77777777" w:rsidTr="00B55F24">
        <w:tc>
          <w:tcPr>
            <w:tcW w:w="1378" w:type="dxa"/>
            <w:tcBorders>
              <w:left w:val="nil"/>
            </w:tcBorders>
            <w:noWrap/>
          </w:tcPr>
          <w:p w14:paraId="44CF0661" w14:textId="77777777" w:rsidR="007523B8" w:rsidRPr="009E06AA" w:rsidRDefault="007523B8" w:rsidP="00B55F24">
            <w:pPr>
              <w:pStyle w:val="TableText"/>
              <w:spacing w:before="40" w:after="30"/>
              <w:rPr>
                <w:rFonts w:cs="Calibri"/>
                <w:szCs w:val="16"/>
              </w:rPr>
            </w:pPr>
            <w:r w:rsidRPr="009E06AA">
              <w:rPr>
                <w:rFonts w:cs="Calibri"/>
                <w:szCs w:val="16"/>
              </w:rPr>
              <w:t>2006</w:t>
            </w:r>
          </w:p>
        </w:tc>
        <w:tc>
          <w:tcPr>
            <w:tcW w:w="1826" w:type="dxa"/>
            <w:noWrap/>
            <w:vAlign w:val="center"/>
          </w:tcPr>
          <w:p w14:paraId="55347D98" w14:textId="77777777" w:rsidR="007523B8" w:rsidRPr="009E06AA" w:rsidRDefault="007523B8" w:rsidP="00C879A6">
            <w:pPr>
              <w:pStyle w:val="TableText"/>
              <w:spacing w:before="40" w:after="30"/>
              <w:jc w:val="right"/>
              <w:rPr>
                <w:highlight w:val="lightGray"/>
              </w:rPr>
            </w:pPr>
            <w:r w:rsidRPr="009E06AA">
              <w:rPr>
                <w:rFonts w:cs="Calibri"/>
                <w:color w:val="000000"/>
                <w:szCs w:val="16"/>
              </w:rPr>
              <w:t>103.9</w:t>
            </w:r>
          </w:p>
        </w:tc>
        <w:tc>
          <w:tcPr>
            <w:tcW w:w="1826" w:type="dxa"/>
            <w:noWrap/>
            <w:vAlign w:val="center"/>
          </w:tcPr>
          <w:p w14:paraId="59C31F90" w14:textId="77777777" w:rsidR="007523B8" w:rsidRPr="009E06AA" w:rsidRDefault="007523B8" w:rsidP="00C879A6">
            <w:pPr>
              <w:pStyle w:val="TableText"/>
              <w:spacing w:before="40" w:after="30"/>
              <w:jc w:val="right"/>
              <w:rPr>
                <w:highlight w:val="lightGray"/>
              </w:rPr>
            </w:pPr>
            <w:r w:rsidRPr="009E06AA">
              <w:rPr>
                <w:rFonts w:cs="Calibri"/>
                <w:color w:val="000000"/>
                <w:szCs w:val="16"/>
              </w:rPr>
              <w:t>87.7</w:t>
            </w:r>
          </w:p>
        </w:tc>
        <w:tc>
          <w:tcPr>
            <w:tcW w:w="1842" w:type="dxa"/>
            <w:tcBorders>
              <w:top w:val="single" w:sz="4" w:space="0" w:color="auto"/>
              <w:left w:val="nil"/>
              <w:bottom w:val="single" w:sz="4" w:space="0" w:color="auto"/>
              <w:right w:val="nil"/>
            </w:tcBorders>
            <w:shd w:val="clear" w:color="auto" w:fill="auto"/>
            <w:noWrap/>
            <w:vAlign w:val="center"/>
          </w:tcPr>
          <w:p w14:paraId="2D9EAE02" w14:textId="77777777" w:rsidR="007523B8" w:rsidRPr="009E06AA" w:rsidRDefault="007523B8" w:rsidP="00C879A6">
            <w:pPr>
              <w:pStyle w:val="TableText"/>
              <w:spacing w:before="40" w:after="30"/>
              <w:jc w:val="right"/>
              <w:rPr>
                <w:rFonts w:asciiTheme="minorHAnsi" w:hAnsiTheme="minorHAnsi"/>
                <w:highlight w:val="lightGray"/>
              </w:rPr>
            </w:pPr>
            <w:r w:rsidRPr="009E06AA">
              <w:rPr>
                <w:color w:val="000000"/>
              </w:rPr>
              <w:t>16.</w:t>
            </w:r>
            <w:r w:rsidRPr="009E06AA">
              <w:rPr>
                <w:rFonts w:cs="Calibri"/>
                <w:color w:val="000000"/>
                <w:szCs w:val="16"/>
              </w:rPr>
              <w:t>2</w:t>
            </w:r>
          </w:p>
        </w:tc>
        <w:tc>
          <w:tcPr>
            <w:tcW w:w="1633" w:type="dxa"/>
            <w:tcBorders>
              <w:top w:val="single" w:sz="4" w:space="0" w:color="auto"/>
              <w:left w:val="nil"/>
              <w:bottom w:val="single" w:sz="4" w:space="0" w:color="auto"/>
              <w:right w:val="nil"/>
            </w:tcBorders>
            <w:shd w:val="clear" w:color="auto" w:fill="auto"/>
            <w:noWrap/>
            <w:vAlign w:val="center"/>
          </w:tcPr>
          <w:p w14:paraId="3B863C46" w14:textId="77777777" w:rsidR="007523B8" w:rsidRPr="009E06AA" w:rsidRDefault="007523B8" w:rsidP="00C879A6">
            <w:pPr>
              <w:pStyle w:val="TableText"/>
              <w:spacing w:before="40" w:after="30"/>
              <w:jc w:val="right"/>
              <w:rPr>
                <w:rFonts w:asciiTheme="minorHAnsi" w:hAnsiTheme="minorHAnsi"/>
                <w:highlight w:val="lightGray"/>
              </w:rPr>
            </w:pPr>
            <w:r w:rsidRPr="009E06AA">
              <w:rPr>
                <w:color w:val="000000"/>
              </w:rPr>
              <w:t>30.</w:t>
            </w:r>
            <w:r w:rsidRPr="009E06AA">
              <w:rPr>
                <w:rFonts w:cs="Calibri"/>
                <w:color w:val="000000"/>
                <w:szCs w:val="16"/>
              </w:rPr>
              <w:t>1</w:t>
            </w:r>
          </w:p>
        </w:tc>
      </w:tr>
      <w:tr w:rsidR="007523B8" w:rsidRPr="009E06AA" w14:paraId="70686879" w14:textId="77777777" w:rsidTr="00B55F24">
        <w:tc>
          <w:tcPr>
            <w:tcW w:w="1378" w:type="dxa"/>
            <w:tcBorders>
              <w:left w:val="nil"/>
            </w:tcBorders>
            <w:noWrap/>
          </w:tcPr>
          <w:p w14:paraId="014D00DA" w14:textId="77777777" w:rsidR="007523B8" w:rsidRPr="009E06AA" w:rsidRDefault="007523B8" w:rsidP="00B55F24">
            <w:pPr>
              <w:pStyle w:val="TableText"/>
              <w:spacing w:before="40" w:after="30"/>
              <w:rPr>
                <w:rFonts w:cs="Calibri"/>
                <w:szCs w:val="16"/>
              </w:rPr>
            </w:pPr>
            <w:r w:rsidRPr="009E06AA">
              <w:rPr>
                <w:rFonts w:cs="Calibri"/>
                <w:szCs w:val="16"/>
              </w:rPr>
              <w:t>2007</w:t>
            </w:r>
          </w:p>
        </w:tc>
        <w:tc>
          <w:tcPr>
            <w:tcW w:w="1826" w:type="dxa"/>
            <w:noWrap/>
            <w:vAlign w:val="center"/>
          </w:tcPr>
          <w:p w14:paraId="02264B0B" w14:textId="77777777" w:rsidR="007523B8" w:rsidRPr="009E06AA" w:rsidRDefault="007523B8" w:rsidP="00C879A6">
            <w:pPr>
              <w:pStyle w:val="TableText"/>
              <w:spacing w:before="40" w:after="30"/>
              <w:jc w:val="right"/>
              <w:rPr>
                <w:highlight w:val="lightGray"/>
              </w:rPr>
            </w:pPr>
            <w:r w:rsidRPr="009E06AA">
              <w:rPr>
                <w:rFonts w:cs="Calibri"/>
                <w:color w:val="000000"/>
                <w:szCs w:val="16"/>
              </w:rPr>
              <w:t>104.2</w:t>
            </w:r>
          </w:p>
        </w:tc>
        <w:tc>
          <w:tcPr>
            <w:tcW w:w="1826" w:type="dxa"/>
            <w:noWrap/>
            <w:vAlign w:val="center"/>
          </w:tcPr>
          <w:p w14:paraId="1219A00B" w14:textId="77777777" w:rsidR="007523B8" w:rsidRPr="009E06AA" w:rsidRDefault="007523B8" w:rsidP="00C879A6">
            <w:pPr>
              <w:pStyle w:val="TableText"/>
              <w:spacing w:before="40" w:after="30"/>
              <w:jc w:val="right"/>
              <w:rPr>
                <w:highlight w:val="lightGray"/>
              </w:rPr>
            </w:pPr>
            <w:r w:rsidRPr="009E06AA">
              <w:rPr>
                <w:rFonts w:cs="Calibri"/>
                <w:color w:val="000000"/>
                <w:szCs w:val="16"/>
              </w:rPr>
              <w:t>86.1</w:t>
            </w:r>
          </w:p>
        </w:tc>
        <w:tc>
          <w:tcPr>
            <w:tcW w:w="1842" w:type="dxa"/>
            <w:tcBorders>
              <w:top w:val="single" w:sz="4" w:space="0" w:color="auto"/>
              <w:left w:val="nil"/>
              <w:bottom w:val="single" w:sz="4" w:space="0" w:color="auto"/>
              <w:right w:val="nil"/>
            </w:tcBorders>
            <w:shd w:val="clear" w:color="auto" w:fill="auto"/>
            <w:noWrap/>
            <w:vAlign w:val="center"/>
          </w:tcPr>
          <w:p w14:paraId="7C1D8A10" w14:textId="77777777" w:rsidR="007523B8" w:rsidRPr="009E06AA" w:rsidRDefault="007523B8" w:rsidP="00C879A6">
            <w:pPr>
              <w:pStyle w:val="TableText"/>
              <w:spacing w:before="40" w:after="30"/>
              <w:jc w:val="right"/>
              <w:rPr>
                <w:rFonts w:asciiTheme="minorHAnsi" w:hAnsiTheme="minorHAnsi"/>
                <w:highlight w:val="lightGray"/>
              </w:rPr>
            </w:pPr>
            <w:r w:rsidRPr="009E06AA">
              <w:rPr>
                <w:rFonts w:cs="Calibri"/>
                <w:color w:val="000000"/>
                <w:szCs w:val="16"/>
              </w:rPr>
              <w:t>15.8</w:t>
            </w:r>
          </w:p>
        </w:tc>
        <w:tc>
          <w:tcPr>
            <w:tcW w:w="1633" w:type="dxa"/>
            <w:tcBorders>
              <w:top w:val="single" w:sz="4" w:space="0" w:color="auto"/>
              <w:left w:val="nil"/>
              <w:bottom w:val="single" w:sz="4" w:space="0" w:color="auto"/>
              <w:right w:val="nil"/>
            </w:tcBorders>
            <w:shd w:val="clear" w:color="auto" w:fill="auto"/>
            <w:noWrap/>
            <w:vAlign w:val="center"/>
          </w:tcPr>
          <w:p w14:paraId="144684FC" w14:textId="77777777" w:rsidR="007523B8" w:rsidRPr="009E06AA" w:rsidRDefault="007523B8" w:rsidP="00C879A6">
            <w:pPr>
              <w:pStyle w:val="TableText"/>
              <w:spacing w:before="40" w:after="30"/>
              <w:jc w:val="right"/>
              <w:rPr>
                <w:rFonts w:asciiTheme="minorHAnsi" w:hAnsiTheme="minorHAnsi"/>
                <w:highlight w:val="lightGray"/>
              </w:rPr>
            </w:pPr>
            <w:r w:rsidRPr="009E06AA">
              <w:rPr>
                <w:rFonts w:cs="Calibri"/>
                <w:color w:val="000000"/>
                <w:szCs w:val="16"/>
              </w:rPr>
              <w:t>30.0</w:t>
            </w:r>
          </w:p>
        </w:tc>
      </w:tr>
      <w:tr w:rsidR="007523B8" w:rsidRPr="009E06AA" w14:paraId="0B5C630C" w14:textId="77777777" w:rsidTr="00B55F24">
        <w:tc>
          <w:tcPr>
            <w:tcW w:w="1378" w:type="dxa"/>
            <w:tcBorders>
              <w:left w:val="nil"/>
            </w:tcBorders>
            <w:noWrap/>
          </w:tcPr>
          <w:p w14:paraId="707CDB3F" w14:textId="77777777" w:rsidR="007523B8" w:rsidRPr="009E06AA" w:rsidRDefault="007523B8" w:rsidP="00B55F24">
            <w:pPr>
              <w:pStyle w:val="TableText"/>
              <w:spacing w:before="40" w:after="30"/>
              <w:rPr>
                <w:rFonts w:cs="Calibri"/>
                <w:szCs w:val="16"/>
              </w:rPr>
            </w:pPr>
            <w:r w:rsidRPr="009E06AA">
              <w:rPr>
                <w:rFonts w:cs="Calibri"/>
                <w:szCs w:val="16"/>
              </w:rPr>
              <w:t>2008</w:t>
            </w:r>
          </w:p>
        </w:tc>
        <w:tc>
          <w:tcPr>
            <w:tcW w:w="1826" w:type="dxa"/>
            <w:noWrap/>
            <w:vAlign w:val="center"/>
          </w:tcPr>
          <w:p w14:paraId="00F3F24E" w14:textId="77777777" w:rsidR="007523B8" w:rsidRPr="009E06AA" w:rsidRDefault="007523B8" w:rsidP="00C879A6">
            <w:pPr>
              <w:pStyle w:val="TableText"/>
              <w:spacing w:before="40" w:after="30"/>
              <w:jc w:val="right"/>
              <w:rPr>
                <w:highlight w:val="lightGray"/>
              </w:rPr>
            </w:pPr>
            <w:r w:rsidRPr="009E06AA">
              <w:rPr>
                <w:rFonts w:cs="Calibri"/>
                <w:color w:val="000000"/>
                <w:szCs w:val="16"/>
              </w:rPr>
              <w:t>99.7</w:t>
            </w:r>
          </w:p>
        </w:tc>
        <w:tc>
          <w:tcPr>
            <w:tcW w:w="1826" w:type="dxa"/>
            <w:noWrap/>
            <w:vAlign w:val="center"/>
          </w:tcPr>
          <w:p w14:paraId="29A35BE6" w14:textId="77777777" w:rsidR="007523B8" w:rsidRPr="009E06AA" w:rsidRDefault="007523B8" w:rsidP="00C879A6">
            <w:pPr>
              <w:pStyle w:val="TableText"/>
              <w:spacing w:before="40" w:after="30"/>
              <w:jc w:val="right"/>
              <w:rPr>
                <w:highlight w:val="lightGray"/>
              </w:rPr>
            </w:pPr>
            <w:r w:rsidRPr="009E06AA">
              <w:rPr>
                <w:rFonts w:cs="Calibri"/>
                <w:color w:val="000000"/>
                <w:szCs w:val="16"/>
              </w:rPr>
              <w:t>87.5</w:t>
            </w:r>
          </w:p>
        </w:tc>
        <w:tc>
          <w:tcPr>
            <w:tcW w:w="1842" w:type="dxa"/>
            <w:tcBorders>
              <w:top w:val="single" w:sz="4" w:space="0" w:color="auto"/>
              <w:left w:val="nil"/>
              <w:bottom w:val="single" w:sz="4" w:space="0" w:color="auto"/>
              <w:right w:val="nil"/>
            </w:tcBorders>
            <w:shd w:val="clear" w:color="auto" w:fill="auto"/>
            <w:noWrap/>
            <w:vAlign w:val="center"/>
          </w:tcPr>
          <w:p w14:paraId="7B095DEB" w14:textId="77777777" w:rsidR="007523B8" w:rsidRPr="009E06AA" w:rsidRDefault="007523B8" w:rsidP="00C879A6">
            <w:pPr>
              <w:pStyle w:val="TableText"/>
              <w:spacing w:before="40" w:after="30"/>
              <w:jc w:val="right"/>
              <w:rPr>
                <w:rFonts w:asciiTheme="minorHAnsi" w:hAnsiTheme="minorHAnsi"/>
                <w:highlight w:val="lightGray"/>
              </w:rPr>
            </w:pPr>
            <w:r w:rsidRPr="009E06AA">
              <w:rPr>
                <w:color w:val="000000"/>
              </w:rPr>
              <w:t>16.</w:t>
            </w:r>
            <w:r w:rsidRPr="009E06AA">
              <w:rPr>
                <w:rFonts w:cs="Calibri"/>
                <w:color w:val="000000"/>
                <w:szCs w:val="16"/>
              </w:rPr>
              <w:t>1</w:t>
            </w:r>
          </w:p>
        </w:tc>
        <w:tc>
          <w:tcPr>
            <w:tcW w:w="1633" w:type="dxa"/>
            <w:tcBorders>
              <w:top w:val="single" w:sz="4" w:space="0" w:color="auto"/>
              <w:left w:val="nil"/>
              <w:bottom w:val="single" w:sz="4" w:space="0" w:color="auto"/>
              <w:right w:val="nil"/>
            </w:tcBorders>
            <w:shd w:val="clear" w:color="auto" w:fill="auto"/>
            <w:noWrap/>
            <w:vAlign w:val="center"/>
          </w:tcPr>
          <w:p w14:paraId="31650422" w14:textId="77777777" w:rsidR="007523B8" w:rsidRPr="009E06AA" w:rsidRDefault="007523B8" w:rsidP="00C879A6">
            <w:pPr>
              <w:pStyle w:val="TableText"/>
              <w:spacing w:before="40" w:after="30"/>
              <w:jc w:val="right"/>
              <w:rPr>
                <w:rFonts w:asciiTheme="minorHAnsi" w:hAnsiTheme="minorHAnsi"/>
                <w:highlight w:val="lightGray"/>
              </w:rPr>
            </w:pPr>
            <w:r w:rsidRPr="009E06AA">
              <w:rPr>
                <w:color w:val="000000"/>
              </w:rPr>
              <w:t>30.</w:t>
            </w:r>
            <w:r w:rsidRPr="009E06AA">
              <w:rPr>
                <w:rFonts w:cs="Calibri"/>
                <w:color w:val="000000"/>
                <w:szCs w:val="16"/>
              </w:rPr>
              <w:t>1</w:t>
            </w:r>
          </w:p>
        </w:tc>
      </w:tr>
      <w:tr w:rsidR="007523B8" w:rsidRPr="009E06AA" w14:paraId="503A9CD2" w14:textId="77777777" w:rsidTr="00B55F24">
        <w:tc>
          <w:tcPr>
            <w:tcW w:w="1378" w:type="dxa"/>
            <w:tcBorders>
              <w:left w:val="nil"/>
            </w:tcBorders>
            <w:noWrap/>
          </w:tcPr>
          <w:p w14:paraId="72507CE7" w14:textId="77777777" w:rsidR="007523B8" w:rsidRPr="009E06AA" w:rsidRDefault="007523B8" w:rsidP="00B55F24">
            <w:pPr>
              <w:pStyle w:val="TableText"/>
              <w:spacing w:before="40" w:after="30"/>
              <w:rPr>
                <w:rFonts w:cs="Calibri"/>
                <w:szCs w:val="16"/>
              </w:rPr>
            </w:pPr>
            <w:r w:rsidRPr="009E06AA">
              <w:rPr>
                <w:rFonts w:cs="Calibri"/>
                <w:szCs w:val="16"/>
              </w:rPr>
              <w:t>2009</w:t>
            </w:r>
          </w:p>
        </w:tc>
        <w:tc>
          <w:tcPr>
            <w:tcW w:w="1826" w:type="dxa"/>
            <w:noWrap/>
            <w:vAlign w:val="center"/>
          </w:tcPr>
          <w:p w14:paraId="14D496F1" w14:textId="77777777" w:rsidR="007523B8" w:rsidRPr="009E06AA" w:rsidRDefault="007523B8" w:rsidP="00C879A6">
            <w:pPr>
              <w:pStyle w:val="TableText"/>
              <w:spacing w:before="40" w:after="30"/>
              <w:jc w:val="right"/>
              <w:rPr>
                <w:highlight w:val="lightGray"/>
              </w:rPr>
            </w:pPr>
            <w:r w:rsidRPr="009E06AA">
              <w:rPr>
                <w:rFonts w:cs="Calibri"/>
                <w:color w:val="000000"/>
                <w:szCs w:val="16"/>
              </w:rPr>
              <w:t>111.0</w:t>
            </w:r>
          </w:p>
        </w:tc>
        <w:tc>
          <w:tcPr>
            <w:tcW w:w="1826" w:type="dxa"/>
            <w:noWrap/>
            <w:vAlign w:val="center"/>
          </w:tcPr>
          <w:p w14:paraId="3AAF5A1E" w14:textId="77777777" w:rsidR="007523B8" w:rsidRPr="009E06AA" w:rsidRDefault="007523B8" w:rsidP="00C879A6">
            <w:pPr>
              <w:pStyle w:val="TableText"/>
              <w:spacing w:before="40" w:after="30"/>
              <w:jc w:val="right"/>
              <w:rPr>
                <w:highlight w:val="lightGray"/>
              </w:rPr>
            </w:pPr>
            <w:r w:rsidRPr="009E06AA">
              <w:rPr>
                <w:rFonts w:cs="Calibri"/>
                <w:color w:val="000000"/>
                <w:szCs w:val="16"/>
              </w:rPr>
              <w:t>87.3</w:t>
            </w:r>
          </w:p>
        </w:tc>
        <w:tc>
          <w:tcPr>
            <w:tcW w:w="1842" w:type="dxa"/>
            <w:tcBorders>
              <w:top w:val="single" w:sz="4" w:space="0" w:color="auto"/>
              <w:left w:val="nil"/>
              <w:bottom w:val="single" w:sz="4" w:space="0" w:color="auto"/>
              <w:right w:val="nil"/>
            </w:tcBorders>
            <w:shd w:val="clear" w:color="auto" w:fill="auto"/>
            <w:noWrap/>
            <w:vAlign w:val="center"/>
          </w:tcPr>
          <w:p w14:paraId="7420FE12" w14:textId="77777777" w:rsidR="007523B8" w:rsidRPr="009E06AA" w:rsidRDefault="007523B8" w:rsidP="00C879A6">
            <w:pPr>
              <w:pStyle w:val="TableText"/>
              <w:spacing w:before="40" w:after="30"/>
              <w:jc w:val="right"/>
              <w:rPr>
                <w:rFonts w:asciiTheme="minorHAnsi" w:hAnsiTheme="minorHAnsi"/>
                <w:highlight w:val="lightGray"/>
              </w:rPr>
            </w:pPr>
            <w:r w:rsidRPr="009E06AA">
              <w:rPr>
                <w:rFonts w:cs="Calibri"/>
                <w:color w:val="000000"/>
                <w:szCs w:val="16"/>
              </w:rPr>
              <w:t>16.6</w:t>
            </w:r>
          </w:p>
        </w:tc>
        <w:tc>
          <w:tcPr>
            <w:tcW w:w="1633" w:type="dxa"/>
            <w:tcBorders>
              <w:top w:val="single" w:sz="4" w:space="0" w:color="auto"/>
              <w:left w:val="nil"/>
              <w:bottom w:val="single" w:sz="4" w:space="0" w:color="auto"/>
              <w:right w:val="nil"/>
            </w:tcBorders>
            <w:shd w:val="clear" w:color="auto" w:fill="auto"/>
            <w:noWrap/>
            <w:vAlign w:val="center"/>
          </w:tcPr>
          <w:p w14:paraId="30BFFC30" w14:textId="77777777" w:rsidR="007523B8" w:rsidRPr="009E06AA" w:rsidRDefault="007523B8" w:rsidP="00C879A6">
            <w:pPr>
              <w:pStyle w:val="TableText"/>
              <w:spacing w:before="40" w:after="30"/>
              <w:jc w:val="right"/>
              <w:rPr>
                <w:rFonts w:asciiTheme="minorHAnsi" w:hAnsiTheme="minorHAnsi"/>
                <w:highlight w:val="lightGray"/>
              </w:rPr>
            </w:pPr>
            <w:r w:rsidRPr="009E06AA">
              <w:rPr>
                <w:color w:val="000000"/>
              </w:rPr>
              <w:t>30.2</w:t>
            </w:r>
          </w:p>
        </w:tc>
      </w:tr>
      <w:tr w:rsidR="007523B8" w:rsidRPr="009E06AA" w14:paraId="5FA459CF" w14:textId="77777777" w:rsidTr="00B55F24">
        <w:tc>
          <w:tcPr>
            <w:tcW w:w="1378" w:type="dxa"/>
            <w:tcBorders>
              <w:left w:val="nil"/>
            </w:tcBorders>
            <w:noWrap/>
          </w:tcPr>
          <w:p w14:paraId="739F06E4" w14:textId="77777777" w:rsidR="007523B8" w:rsidRPr="009E06AA" w:rsidRDefault="007523B8" w:rsidP="00B55F24">
            <w:pPr>
              <w:pStyle w:val="TableText"/>
              <w:spacing w:before="40" w:after="30"/>
              <w:rPr>
                <w:rFonts w:cs="Calibri"/>
                <w:szCs w:val="16"/>
              </w:rPr>
            </w:pPr>
            <w:r w:rsidRPr="009E06AA">
              <w:rPr>
                <w:rFonts w:cs="Calibri"/>
                <w:szCs w:val="16"/>
              </w:rPr>
              <w:t>2010</w:t>
            </w:r>
          </w:p>
        </w:tc>
        <w:tc>
          <w:tcPr>
            <w:tcW w:w="1826" w:type="dxa"/>
            <w:noWrap/>
            <w:vAlign w:val="center"/>
          </w:tcPr>
          <w:p w14:paraId="36D85A88" w14:textId="77777777" w:rsidR="007523B8" w:rsidRPr="009E06AA" w:rsidRDefault="007523B8" w:rsidP="00C879A6">
            <w:pPr>
              <w:pStyle w:val="TableText"/>
              <w:spacing w:before="40" w:after="30"/>
              <w:jc w:val="right"/>
              <w:rPr>
                <w:highlight w:val="lightGray"/>
              </w:rPr>
            </w:pPr>
            <w:r w:rsidRPr="009E06AA">
              <w:rPr>
                <w:rFonts w:cs="Calibri"/>
                <w:color w:val="000000"/>
                <w:szCs w:val="16"/>
              </w:rPr>
              <w:t>113.8</w:t>
            </w:r>
          </w:p>
        </w:tc>
        <w:tc>
          <w:tcPr>
            <w:tcW w:w="1826" w:type="dxa"/>
            <w:noWrap/>
            <w:vAlign w:val="center"/>
          </w:tcPr>
          <w:p w14:paraId="2515D712" w14:textId="77777777" w:rsidR="007523B8" w:rsidRPr="009E06AA" w:rsidRDefault="007523B8" w:rsidP="00C879A6">
            <w:pPr>
              <w:pStyle w:val="TableText"/>
              <w:spacing w:before="40" w:after="30"/>
              <w:jc w:val="right"/>
              <w:rPr>
                <w:highlight w:val="lightGray"/>
              </w:rPr>
            </w:pPr>
            <w:r w:rsidRPr="009E06AA">
              <w:rPr>
                <w:rFonts w:cs="Calibri"/>
                <w:color w:val="000000"/>
                <w:szCs w:val="16"/>
              </w:rPr>
              <w:t>85.9</w:t>
            </w:r>
          </w:p>
        </w:tc>
        <w:tc>
          <w:tcPr>
            <w:tcW w:w="1842" w:type="dxa"/>
            <w:tcBorders>
              <w:top w:val="single" w:sz="4" w:space="0" w:color="auto"/>
              <w:left w:val="nil"/>
              <w:bottom w:val="single" w:sz="4" w:space="0" w:color="auto"/>
              <w:right w:val="nil"/>
            </w:tcBorders>
            <w:shd w:val="clear" w:color="auto" w:fill="auto"/>
            <w:noWrap/>
            <w:vAlign w:val="center"/>
          </w:tcPr>
          <w:p w14:paraId="51E881D7" w14:textId="77777777" w:rsidR="007523B8" w:rsidRPr="009E06AA" w:rsidRDefault="007523B8" w:rsidP="00C879A6">
            <w:pPr>
              <w:pStyle w:val="TableText"/>
              <w:spacing w:before="40" w:after="30"/>
              <w:jc w:val="right"/>
              <w:rPr>
                <w:rFonts w:asciiTheme="minorHAnsi" w:hAnsiTheme="minorHAnsi"/>
                <w:highlight w:val="lightGray"/>
              </w:rPr>
            </w:pPr>
            <w:r w:rsidRPr="009E06AA">
              <w:rPr>
                <w:color w:val="000000"/>
              </w:rPr>
              <w:t>16.</w:t>
            </w:r>
            <w:r w:rsidRPr="009E06AA">
              <w:rPr>
                <w:rFonts w:cs="Calibri"/>
                <w:color w:val="000000"/>
                <w:szCs w:val="16"/>
              </w:rPr>
              <w:t>1</w:t>
            </w:r>
          </w:p>
        </w:tc>
        <w:tc>
          <w:tcPr>
            <w:tcW w:w="1633" w:type="dxa"/>
            <w:tcBorders>
              <w:top w:val="single" w:sz="4" w:space="0" w:color="auto"/>
              <w:left w:val="nil"/>
              <w:bottom w:val="single" w:sz="4" w:space="0" w:color="auto"/>
              <w:right w:val="nil"/>
            </w:tcBorders>
            <w:shd w:val="clear" w:color="auto" w:fill="auto"/>
            <w:noWrap/>
            <w:vAlign w:val="center"/>
          </w:tcPr>
          <w:p w14:paraId="5FC9E6B3" w14:textId="77777777" w:rsidR="007523B8" w:rsidRPr="009E06AA" w:rsidRDefault="007523B8" w:rsidP="00C879A6">
            <w:pPr>
              <w:pStyle w:val="TableText"/>
              <w:spacing w:before="40" w:after="30"/>
              <w:jc w:val="right"/>
              <w:rPr>
                <w:rFonts w:asciiTheme="minorHAnsi" w:hAnsiTheme="minorHAnsi"/>
                <w:highlight w:val="lightGray"/>
              </w:rPr>
            </w:pPr>
            <w:r w:rsidRPr="009E06AA">
              <w:rPr>
                <w:color w:val="000000"/>
              </w:rPr>
              <w:t>30.2</w:t>
            </w:r>
          </w:p>
        </w:tc>
      </w:tr>
      <w:tr w:rsidR="007523B8" w:rsidRPr="009E06AA" w14:paraId="008127B8" w14:textId="77777777" w:rsidTr="00B55F24">
        <w:tc>
          <w:tcPr>
            <w:tcW w:w="1378" w:type="dxa"/>
            <w:tcBorders>
              <w:left w:val="nil"/>
            </w:tcBorders>
            <w:noWrap/>
          </w:tcPr>
          <w:p w14:paraId="3F1652E9" w14:textId="77777777" w:rsidR="007523B8" w:rsidRPr="009E06AA" w:rsidRDefault="007523B8" w:rsidP="00B55F24">
            <w:pPr>
              <w:pStyle w:val="TableText"/>
              <w:spacing w:before="40" w:after="30"/>
              <w:rPr>
                <w:rFonts w:cs="Calibri"/>
                <w:szCs w:val="16"/>
              </w:rPr>
            </w:pPr>
            <w:r w:rsidRPr="009E06AA">
              <w:rPr>
                <w:rFonts w:cs="Calibri"/>
                <w:szCs w:val="16"/>
              </w:rPr>
              <w:t>2011</w:t>
            </w:r>
          </w:p>
        </w:tc>
        <w:tc>
          <w:tcPr>
            <w:tcW w:w="1826" w:type="dxa"/>
            <w:noWrap/>
            <w:vAlign w:val="center"/>
          </w:tcPr>
          <w:p w14:paraId="56778005" w14:textId="77777777" w:rsidR="007523B8" w:rsidRPr="009E06AA" w:rsidRDefault="007523B8" w:rsidP="00C879A6">
            <w:pPr>
              <w:pStyle w:val="TableText"/>
              <w:spacing w:before="40" w:after="30"/>
              <w:jc w:val="right"/>
              <w:rPr>
                <w:highlight w:val="lightGray"/>
              </w:rPr>
            </w:pPr>
            <w:r w:rsidRPr="009E06AA">
              <w:rPr>
                <w:rFonts w:cs="Calibri"/>
                <w:color w:val="000000"/>
                <w:szCs w:val="16"/>
              </w:rPr>
              <w:t>108.0</w:t>
            </w:r>
          </w:p>
        </w:tc>
        <w:tc>
          <w:tcPr>
            <w:tcW w:w="1826" w:type="dxa"/>
            <w:noWrap/>
            <w:vAlign w:val="center"/>
          </w:tcPr>
          <w:p w14:paraId="417735AE" w14:textId="77777777" w:rsidR="007523B8" w:rsidRPr="009E06AA" w:rsidRDefault="007523B8" w:rsidP="00C879A6">
            <w:pPr>
              <w:pStyle w:val="TableText"/>
              <w:spacing w:before="40" w:after="30"/>
              <w:jc w:val="right"/>
              <w:rPr>
                <w:highlight w:val="lightGray"/>
              </w:rPr>
            </w:pPr>
            <w:r w:rsidRPr="009E06AA">
              <w:rPr>
                <w:rFonts w:cs="Calibri"/>
                <w:color w:val="000000"/>
                <w:szCs w:val="16"/>
              </w:rPr>
              <w:t>86.8</w:t>
            </w:r>
          </w:p>
        </w:tc>
        <w:tc>
          <w:tcPr>
            <w:tcW w:w="1842" w:type="dxa"/>
            <w:tcBorders>
              <w:top w:val="single" w:sz="4" w:space="0" w:color="auto"/>
              <w:left w:val="nil"/>
              <w:bottom w:val="single" w:sz="4" w:space="0" w:color="auto"/>
              <w:right w:val="nil"/>
            </w:tcBorders>
            <w:shd w:val="clear" w:color="auto" w:fill="auto"/>
            <w:noWrap/>
            <w:vAlign w:val="center"/>
          </w:tcPr>
          <w:p w14:paraId="15532357" w14:textId="77777777" w:rsidR="007523B8" w:rsidRPr="009E06AA" w:rsidRDefault="007523B8" w:rsidP="00C879A6">
            <w:pPr>
              <w:pStyle w:val="TableText"/>
              <w:spacing w:before="40" w:after="30"/>
              <w:jc w:val="right"/>
              <w:rPr>
                <w:rFonts w:asciiTheme="minorHAnsi" w:hAnsiTheme="minorHAnsi"/>
                <w:highlight w:val="lightGray"/>
              </w:rPr>
            </w:pPr>
            <w:r w:rsidRPr="009E06AA">
              <w:rPr>
                <w:color w:val="000000"/>
              </w:rPr>
              <w:t>16.5</w:t>
            </w:r>
          </w:p>
        </w:tc>
        <w:tc>
          <w:tcPr>
            <w:tcW w:w="1633" w:type="dxa"/>
            <w:tcBorders>
              <w:top w:val="single" w:sz="4" w:space="0" w:color="auto"/>
              <w:left w:val="nil"/>
              <w:bottom w:val="single" w:sz="4" w:space="0" w:color="auto"/>
              <w:right w:val="nil"/>
            </w:tcBorders>
            <w:shd w:val="clear" w:color="auto" w:fill="auto"/>
            <w:noWrap/>
            <w:vAlign w:val="center"/>
          </w:tcPr>
          <w:p w14:paraId="317F6CE4" w14:textId="77777777" w:rsidR="007523B8" w:rsidRPr="009E06AA" w:rsidRDefault="007523B8" w:rsidP="00C879A6">
            <w:pPr>
              <w:pStyle w:val="TableText"/>
              <w:spacing w:before="40" w:after="30"/>
              <w:jc w:val="right"/>
              <w:rPr>
                <w:rFonts w:asciiTheme="minorHAnsi" w:hAnsiTheme="minorHAnsi"/>
                <w:highlight w:val="lightGray"/>
              </w:rPr>
            </w:pPr>
            <w:r w:rsidRPr="009E06AA">
              <w:rPr>
                <w:color w:val="000000"/>
              </w:rPr>
              <w:t>30.5</w:t>
            </w:r>
          </w:p>
        </w:tc>
      </w:tr>
      <w:tr w:rsidR="007523B8" w:rsidRPr="009E06AA" w14:paraId="7BBE94BC" w14:textId="77777777" w:rsidTr="00B55F24">
        <w:tc>
          <w:tcPr>
            <w:tcW w:w="1378" w:type="dxa"/>
            <w:tcBorders>
              <w:left w:val="nil"/>
            </w:tcBorders>
            <w:noWrap/>
          </w:tcPr>
          <w:p w14:paraId="75DD7CDB" w14:textId="77777777" w:rsidR="007523B8" w:rsidRPr="009E06AA" w:rsidRDefault="007523B8" w:rsidP="00B55F24">
            <w:pPr>
              <w:pStyle w:val="TableText"/>
              <w:spacing w:before="40" w:after="30"/>
              <w:rPr>
                <w:rFonts w:cs="Calibri"/>
                <w:szCs w:val="16"/>
              </w:rPr>
            </w:pPr>
            <w:r w:rsidRPr="009E06AA">
              <w:rPr>
                <w:rFonts w:cs="Calibri"/>
                <w:szCs w:val="16"/>
              </w:rPr>
              <w:t>2012</w:t>
            </w:r>
          </w:p>
        </w:tc>
        <w:tc>
          <w:tcPr>
            <w:tcW w:w="1826" w:type="dxa"/>
            <w:noWrap/>
            <w:vAlign w:val="center"/>
          </w:tcPr>
          <w:p w14:paraId="4D0BD48C" w14:textId="77777777" w:rsidR="007523B8" w:rsidRPr="009E06AA" w:rsidRDefault="007523B8" w:rsidP="00C879A6">
            <w:pPr>
              <w:pStyle w:val="TableText"/>
              <w:spacing w:before="40" w:after="30"/>
              <w:jc w:val="right"/>
              <w:rPr>
                <w:highlight w:val="lightGray"/>
              </w:rPr>
            </w:pPr>
            <w:r w:rsidRPr="009E06AA">
              <w:rPr>
                <w:rFonts w:cs="Calibri"/>
                <w:color w:val="000000"/>
                <w:szCs w:val="16"/>
              </w:rPr>
              <w:t>106</w:t>
            </w:r>
            <w:r w:rsidRPr="009E06AA">
              <w:rPr>
                <w:color w:val="000000"/>
              </w:rPr>
              <w:t>.0</w:t>
            </w:r>
          </w:p>
        </w:tc>
        <w:tc>
          <w:tcPr>
            <w:tcW w:w="1826" w:type="dxa"/>
            <w:noWrap/>
            <w:vAlign w:val="center"/>
          </w:tcPr>
          <w:p w14:paraId="59E5CEF5" w14:textId="77777777" w:rsidR="007523B8" w:rsidRPr="009E06AA" w:rsidRDefault="007523B8" w:rsidP="00C879A6">
            <w:pPr>
              <w:pStyle w:val="TableText"/>
              <w:spacing w:before="40" w:after="30"/>
              <w:jc w:val="right"/>
              <w:rPr>
                <w:highlight w:val="lightGray"/>
              </w:rPr>
            </w:pPr>
            <w:r w:rsidRPr="009E06AA">
              <w:rPr>
                <w:rFonts w:cs="Calibri"/>
                <w:color w:val="000000"/>
                <w:szCs w:val="16"/>
              </w:rPr>
              <w:t>88</w:t>
            </w:r>
            <w:r w:rsidRPr="009E06AA">
              <w:rPr>
                <w:color w:val="000000"/>
              </w:rPr>
              <w:t>.3</w:t>
            </w:r>
          </w:p>
        </w:tc>
        <w:tc>
          <w:tcPr>
            <w:tcW w:w="1842" w:type="dxa"/>
            <w:tcBorders>
              <w:top w:val="single" w:sz="4" w:space="0" w:color="auto"/>
              <w:left w:val="nil"/>
              <w:bottom w:val="single" w:sz="4" w:space="0" w:color="auto"/>
              <w:right w:val="nil"/>
            </w:tcBorders>
            <w:shd w:val="clear" w:color="auto" w:fill="auto"/>
            <w:noWrap/>
            <w:vAlign w:val="center"/>
          </w:tcPr>
          <w:p w14:paraId="60416D83" w14:textId="77777777" w:rsidR="007523B8" w:rsidRPr="009E06AA" w:rsidRDefault="007523B8" w:rsidP="00C879A6">
            <w:pPr>
              <w:pStyle w:val="TableText"/>
              <w:spacing w:before="40" w:after="30"/>
              <w:jc w:val="right"/>
              <w:rPr>
                <w:rFonts w:asciiTheme="minorHAnsi" w:hAnsiTheme="minorHAnsi"/>
                <w:highlight w:val="lightGray"/>
              </w:rPr>
            </w:pPr>
            <w:r w:rsidRPr="009E06AA">
              <w:rPr>
                <w:rFonts w:cs="Calibri"/>
                <w:color w:val="000000"/>
                <w:szCs w:val="16"/>
              </w:rPr>
              <w:t>16.8</w:t>
            </w:r>
          </w:p>
        </w:tc>
        <w:tc>
          <w:tcPr>
            <w:tcW w:w="1633" w:type="dxa"/>
            <w:tcBorders>
              <w:top w:val="single" w:sz="4" w:space="0" w:color="auto"/>
              <w:left w:val="nil"/>
              <w:bottom w:val="single" w:sz="4" w:space="0" w:color="auto"/>
              <w:right w:val="nil"/>
            </w:tcBorders>
            <w:shd w:val="clear" w:color="auto" w:fill="auto"/>
            <w:noWrap/>
            <w:vAlign w:val="center"/>
          </w:tcPr>
          <w:p w14:paraId="491312A1" w14:textId="77777777" w:rsidR="007523B8" w:rsidRPr="009E06AA" w:rsidRDefault="007523B8" w:rsidP="00C879A6">
            <w:pPr>
              <w:pStyle w:val="TableText"/>
              <w:spacing w:before="40" w:after="30"/>
              <w:jc w:val="right"/>
              <w:rPr>
                <w:rFonts w:asciiTheme="minorHAnsi" w:hAnsiTheme="minorHAnsi"/>
                <w:highlight w:val="lightGray"/>
              </w:rPr>
            </w:pPr>
            <w:r w:rsidRPr="009E06AA">
              <w:rPr>
                <w:color w:val="000000"/>
              </w:rPr>
              <w:t>30.</w:t>
            </w:r>
            <w:r w:rsidRPr="009E06AA">
              <w:rPr>
                <w:rFonts w:cs="Calibri"/>
                <w:color w:val="000000"/>
                <w:szCs w:val="16"/>
              </w:rPr>
              <w:t>6</w:t>
            </w:r>
          </w:p>
        </w:tc>
      </w:tr>
      <w:tr w:rsidR="007523B8" w:rsidRPr="009E06AA" w14:paraId="0DFA4D98" w14:textId="77777777" w:rsidTr="00B55F24">
        <w:tc>
          <w:tcPr>
            <w:tcW w:w="1378" w:type="dxa"/>
            <w:tcBorders>
              <w:left w:val="nil"/>
            </w:tcBorders>
            <w:noWrap/>
          </w:tcPr>
          <w:p w14:paraId="595CDFDD" w14:textId="77777777" w:rsidR="007523B8" w:rsidRPr="009E06AA" w:rsidRDefault="007523B8" w:rsidP="00B55F24">
            <w:pPr>
              <w:pStyle w:val="TableText"/>
              <w:spacing w:before="40" w:after="30"/>
              <w:rPr>
                <w:rFonts w:cs="Calibri"/>
                <w:szCs w:val="16"/>
              </w:rPr>
            </w:pPr>
            <w:r w:rsidRPr="009E06AA">
              <w:rPr>
                <w:rFonts w:cs="Calibri"/>
                <w:szCs w:val="16"/>
              </w:rPr>
              <w:t>2013</w:t>
            </w:r>
          </w:p>
        </w:tc>
        <w:tc>
          <w:tcPr>
            <w:tcW w:w="1826" w:type="dxa"/>
            <w:noWrap/>
            <w:vAlign w:val="center"/>
          </w:tcPr>
          <w:p w14:paraId="5B050CF5" w14:textId="77777777" w:rsidR="007523B8" w:rsidRPr="009E06AA" w:rsidRDefault="007523B8" w:rsidP="00C879A6">
            <w:pPr>
              <w:pStyle w:val="TableText"/>
              <w:spacing w:before="40" w:after="30"/>
              <w:jc w:val="right"/>
              <w:rPr>
                <w:highlight w:val="lightGray"/>
              </w:rPr>
            </w:pPr>
            <w:r w:rsidRPr="009E06AA">
              <w:rPr>
                <w:rFonts w:cs="Calibri"/>
                <w:color w:val="000000"/>
                <w:szCs w:val="16"/>
              </w:rPr>
              <w:t>108.9</w:t>
            </w:r>
          </w:p>
        </w:tc>
        <w:tc>
          <w:tcPr>
            <w:tcW w:w="1826" w:type="dxa"/>
            <w:noWrap/>
            <w:vAlign w:val="center"/>
          </w:tcPr>
          <w:p w14:paraId="6BCEED84" w14:textId="77777777" w:rsidR="007523B8" w:rsidRPr="009E06AA" w:rsidRDefault="007523B8" w:rsidP="00C879A6">
            <w:pPr>
              <w:pStyle w:val="TableText"/>
              <w:spacing w:before="40" w:after="30"/>
              <w:jc w:val="right"/>
              <w:rPr>
                <w:highlight w:val="lightGray"/>
              </w:rPr>
            </w:pPr>
            <w:r w:rsidRPr="009E06AA">
              <w:rPr>
                <w:rFonts w:cs="Calibri"/>
                <w:color w:val="000000"/>
                <w:szCs w:val="16"/>
              </w:rPr>
              <w:t>86.4</w:t>
            </w:r>
          </w:p>
        </w:tc>
        <w:tc>
          <w:tcPr>
            <w:tcW w:w="1842" w:type="dxa"/>
            <w:tcBorders>
              <w:top w:val="single" w:sz="4" w:space="0" w:color="auto"/>
              <w:left w:val="nil"/>
              <w:bottom w:val="single" w:sz="4" w:space="0" w:color="auto"/>
              <w:right w:val="nil"/>
            </w:tcBorders>
            <w:shd w:val="clear" w:color="auto" w:fill="auto"/>
            <w:noWrap/>
            <w:vAlign w:val="center"/>
          </w:tcPr>
          <w:p w14:paraId="7C7ACAF9" w14:textId="77777777" w:rsidR="007523B8" w:rsidRPr="009E06AA" w:rsidRDefault="007523B8" w:rsidP="00C879A6">
            <w:pPr>
              <w:pStyle w:val="TableText"/>
              <w:spacing w:before="40" w:after="30"/>
              <w:jc w:val="right"/>
              <w:rPr>
                <w:rFonts w:asciiTheme="minorHAnsi" w:hAnsiTheme="minorHAnsi"/>
                <w:highlight w:val="lightGray"/>
              </w:rPr>
            </w:pPr>
            <w:r w:rsidRPr="009E06AA">
              <w:rPr>
                <w:rFonts w:cs="Calibri"/>
                <w:color w:val="000000"/>
                <w:szCs w:val="16"/>
              </w:rPr>
              <w:t>16.7</w:t>
            </w:r>
          </w:p>
        </w:tc>
        <w:tc>
          <w:tcPr>
            <w:tcW w:w="1633" w:type="dxa"/>
            <w:tcBorders>
              <w:top w:val="single" w:sz="4" w:space="0" w:color="auto"/>
              <w:left w:val="nil"/>
              <w:bottom w:val="single" w:sz="4" w:space="0" w:color="auto"/>
              <w:right w:val="nil"/>
            </w:tcBorders>
            <w:shd w:val="clear" w:color="auto" w:fill="auto"/>
            <w:noWrap/>
            <w:vAlign w:val="center"/>
          </w:tcPr>
          <w:p w14:paraId="0DC9B390" w14:textId="77777777" w:rsidR="007523B8" w:rsidRPr="009E06AA" w:rsidRDefault="007523B8" w:rsidP="00C879A6">
            <w:pPr>
              <w:pStyle w:val="TableText"/>
              <w:spacing w:before="40" w:after="30"/>
              <w:jc w:val="right"/>
              <w:rPr>
                <w:rFonts w:asciiTheme="minorHAnsi" w:hAnsiTheme="minorHAnsi"/>
                <w:highlight w:val="lightGray"/>
              </w:rPr>
            </w:pPr>
            <w:r w:rsidRPr="009E06AA">
              <w:rPr>
                <w:color w:val="000000"/>
              </w:rPr>
              <w:t>30.</w:t>
            </w:r>
            <w:r w:rsidRPr="009E06AA">
              <w:rPr>
                <w:rFonts w:cs="Calibri"/>
                <w:color w:val="000000"/>
                <w:szCs w:val="16"/>
              </w:rPr>
              <w:t>3</w:t>
            </w:r>
          </w:p>
        </w:tc>
      </w:tr>
      <w:tr w:rsidR="007523B8" w:rsidRPr="009E06AA" w14:paraId="1EEED781" w14:textId="77777777" w:rsidTr="00B55F24">
        <w:tc>
          <w:tcPr>
            <w:tcW w:w="1378" w:type="dxa"/>
            <w:tcBorders>
              <w:left w:val="nil"/>
            </w:tcBorders>
            <w:noWrap/>
          </w:tcPr>
          <w:p w14:paraId="567F6F1F" w14:textId="77777777" w:rsidR="007523B8" w:rsidRPr="009E06AA" w:rsidRDefault="007523B8" w:rsidP="00B55F24">
            <w:pPr>
              <w:pStyle w:val="TableText"/>
              <w:spacing w:before="40" w:after="30"/>
              <w:rPr>
                <w:rFonts w:cs="Calibri"/>
                <w:szCs w:val="16"/>
              </w:rPr>
            </w:pPr>
            <w:r w:rsidRPr="009E06AA">
              <w:rPr>
                <w:rFonts w:cs="Calibri"/>
                <w:szCs w:val="16"/>
              </w:rPr>
              <w:t>2014</w:t>
            </w:r>
          </w:p>
        </w:tc>
        <w:tc>
          <w:tcPr>
            <w:tcW w:w="1826" w:type="dxa"/>
            <w:noWrap/>
            <w:vAlign w:val="center"/>
          </w:tcPr>
          <w:p w14:paraId="71D6ED39" w14:textId="77777777" w:rsidR="007523B8" w:rsidRPr="009E06AA" w:rsidRDefault="007523B8" w:rsidP="00C879A6">
            <w:pPr>
              <w:pStyle w:val="TableText"/>
              <w:spacing w:before="40" w:after="30"/>
              <w:jc w:val="right"/>
              <w:rPr>
                <w:highlight w:val="lightGray"/>
              </w:rPr>
            </w:pPr>
            <w:r w:rsidRPr="009E06AA">
              <w:rPr>
                <w:rFonts w:cs="Calibri"/>
                <w:color w:val="000000"/>
                <w:szCs w:val="16"/>
              </w:rPr>
              <w:t>107.0</w:t>
            </w:r>
          </w:p>
        </w:tc>
        <w:tc>
          <w:tcPr>
            <w:tcW w:w="1826" w:type="dxa"/>
            <w:noWrap/>
            <w:vAlign w:val="center"/>
          </w:tcPr>
          <w:p w14:paraId="5D57924D" w14:textId="77777777" w:rsidR="007523B8" w:rsidRPr="009E06AA" w:rsidRDefault="007523B8" w:rsidP="00C879A6">
            <w:pPr>
              <w:pStyle w:val="TableText"/>
              <w:spacing w:before="40" w:after="30"/>
              <w:jc w:val="right"/>
              <w:rPr>
                <w:highlight w:val="lightGray"/>
              </w:rPr>
            </w:pPr>
            <w:r w:rsidRPr="009E06AA">
              <w:rPr>
                <w:rFonts w:cs="Calibri"/>
                <w:color w:val="000000"/>
                <w:szCs w:val="16"/>
              </w:rPr>
              <w:t>86.4</w:t>
            </w:r>
          </w:p>
        </w:tc>
        <w:tc>
          <w:tcPr>
            <w:tcW w:w="1842" w:type="dxa"/>
            <w:tcBorders>
              <w:top w:val="single" w:sz="4" w:space="0" w:color="auto"/>
              <w:left w:val="nil"/>
              <w:bottom w:val="single" w:sz="4" w:space="0" w:color="auto"/>
              <w:right w:val="nil"/>
            </w:tcBorders>
            <w:shd w:val="clear" w:color="auto" w:fill="auto"/>
            <w:noWrap/>
            <w:vAlign w:val="center"/>
          </w:tcPr>
          <w:p w14:paraId="039471B6" w14:textId="77777777" w:rsidR="007523B8" w:rsidRPr="009E06AA" w:rsidRDefault="007523B8" w:rsidP="00C879A6">
            <w:pPr>
              <w:pStyle w:val="TableText"/>
              <w:spacing w:before="40" w:after="30"/>
              <w:jc w:val="right"/>
              <w:rPr>
                <w:rFonts w:asciiTheme="minorHAnsi" w:hAnsiTheme="minorHAnsi"/>
                <w:highlight w:val="lightGray"/>
              </w:rPr>
            </w:pPr>
            <w:r w:rsidRPr="009E06AA">
              <w:rPr>
                <w:rFonts w:cs="Calibri"/>
                <w:color w:val="000000"/>
                <w:szCs w:val="16"/>
              </w:rPr>
              <w:t>16.9</w:t>
            </w:r>
          </w:p>
        </w:tc>
        <w:tc>
          <w:tcPr>
            <w:tcW w:w="1633" w:type="dxa"/>
            <w:tcBorders>
              <w:top w:val="single" w:sz="4" w:space="0" w:color="auto"/>
              <w:left w:val="nil"/>
              <w:bottom w:val="single" w:sz="4" w:space="0" w:color="auto"/>
              <w:right w:val="nil"/>
            </w:tcBorders>
            <w:shd w:val="clear" w:color="auto" w:fill="auto"/>
            <w:noWrap/>
            <w:vAlign w:val="center"/>
          </w:tcPr>
          <w:p w14:paraId="70DB0F82" w14:textId="77777777" w:rsidR="007523B8" w:rsidRPr="009E06AA" w:rsidRDefault="007523B8" w:rsidP="00C879A6">
            <w:pPr>
              <w:pStyle w:val="TableText"/>
              <w:spacing w:before="40" w:after="30"/>
              <w:jc w:val="right"/>
              <w:rPr>
                <w:rFonts w:asciiTheme="minorHAnsi" w:hAnsiTheme="minorHAnsi"/>
                <w:highlight w:val="lightGray"/>
              </w:rPr>
            </w:pPr>
            <w:r w:rsidRPr="009E06AA">
              <w:rPr>
                <w:color w:val="000000"/>
              </w:rPr>
              <w:t>30.</w:t>
            </w:r>
            <w:r w:rsidRPr="009E06AA">
              <w:rPr>
                <w:rFonts w:cs="Calibri"/>
                <w:color w:val="000000"/>
                <w:szCs w:val="16"/>
              </w:rPr>
              <w:t>5</w:t>
            </w:r>
          </w:p>
        </w:tc>
      </w:tr>
      <w:tr w:rsidR="007523B8" w:rsidRPr="009E06AA" w14:paraId="03A044B6" w14:textId="77777777" w:rsidTr="00B55F24">
        <w:tc>
          <w:tcPr>
            <w:tcW w:w="1378" w:type="dxa"/>
            <w:tcBorders>
              <w:left w:val="nil"/>
            </w:tcBorders>
            <w:noWrap/>
          </w:tcPr>
          <w:p w14:paraId="4BCE2B48" w14:textId="77777777" w:rsidR="007523B8" w:rsidRPr="009E06AA" w:rsidRDefault="007523B8" w:rsidP="00B55F24">
            <w:pPr>
              <w:pStyle w:val="TableText"/>
              <w:spacing w:before="40" w:after="30"/>
              <w:rPr>
                <w:rFonts w:cs="Calibri"/>
                <w:szCs w:val="16"/>
              </w:rPr>
            </w:pPr>
            <w:r w:rsidRPr="009E06AA">
              <w:rPr>
                <w:rFonts w:cs="Calibri"/>
                <w:szCs w:val="16"/>
              </w:rPr>
              <w:t>2015</w:t>
            </w:r>
          </w:p>
        </w:tc>
        <w:tc>
          <w:tcPr>
            <w:tcW w:w="1826" w:type="dxa"/>
            <w:noWrap/>
            <w:vAlign w:val="center"/>
          </w:tcPr>
          <w:p w14:paraId="3F5F4492" w14:textId="77777777" w:rsidR="007523B8" w:rsidRPr="009E06AA" w:rsidRDefault="007523B8" w:rsidP="00C879A6">
            <w:pPr>
              <w:pStyle w:val="TableText"/>
              <w:spacing w:before="40" w:after="30"/>
              <w:jc w:val="right"/>
              <w:rPr>
                <w:highlight w:val="lightGray"/>
              </w:rPr>
            </w:pPr>
            <w:r w:rsidRPr="009E06AA">
              <w:rPr>
                <w:rFonts w:cs="Calibri"/>
                <w:color w:val="000000"/>
                <w:szCs w:val="16"/>
              </w:rPr>
              <w:t>106.5</w:t>
            </w:r>
          </w:p>
        </w:tc>
        <w:tc>
          <w:tcPr>
            <w:tcW w:w="1826" w:type="dxa"/>
            <w:noWrap/>
            <w:vAlign w:val="center"/>
          </w:tcPr>
          <w:p w14:paraId="44D65F98" w14:textId="77777777" w:rsidR="007523B8" w:rsidRPr="009E06AA" w:rsidRDefault="007523B8" w:rsidP="00C879A6">
            <w:pPr>
              <w:pStyle w:val="TableText"/>
              <w:spacing w:before="40" w:after="30"/>
              <w:jc w:val="right"/>
              <w:rPr>
                <w:highlight w:val="lightGray"/>
              </w:rPr>
            </w:pPr>
            <w:r w:rsidRPr="009E06AA">
              <w:rPr>
                <w:rFonts w:cs="Calibri"/>
                <w:color w:val="000000"/>
                <w:szCs w:val="16"/>
              </w:rPr>
              <w:t>88.1</w:t>
            </w:r>
          </w:p>
        </w:tc>
        <w:tc>
          <w:tcPr>
            <w:tcW w:w="1842" w:type="dxa"/>
            <w:tcBorders>
              <w:top w:val="single" w:sz="4" w:space="0" w:color="auto"/>
              <w:left w:val="nil"/>
              <w:bottom w:val="single" w:sz="4" w:space="0" w:color="auto"/>
              <w:right w:val="nil"/>
            </w:tcBorders>
            <w:shd w:val="clear" w:color="auto" w:fill="auto"/>
            <w:noWrap/>
            <w:vAlign w:val="center"/>
          </w:tcPr>
          <w:p w14:paraId="6F1E19CA" w14:textId="77777777" w:rsidR="007523B8" w:rsidRPr="009E06AA" w:rsidRDefault="007523B8" w:rsidP="00C879A6">
            <w:pPr>
              <w:pStyle w:val="TableText"/>
              <w:spacing w:before="40" w:after="30"/>
              <w:jc w:val="right"/>
              <w:rPr>
                <w:rFonts w:asciiTheme="minorHAnsi" w:hAnsiTheme="minorHAnsi"/>
                <w:highlight w:val="lightGray"/>
              </w:rPr>
            </w:pPr>
            <w:r w:rsidRPr="009E06AA">
              <w:rPr>
                <w:rFonts w:cs="Calibri"/>
                <w:color w:val="000000"/>
                <w:szCs w:val="16"/>
              </w:rPr>
              <w:t>16.9</w:t>
            </w:r>
          </w:p>
        </w:tc>
        <w:tc>
          <w:tcPr>
            <w:tcW w:w="1633" w:type="dxa"/>
            <w:tcBorders>
              <w:top w:val="single" w:sz="4" w:space="0" w:color="auto"/>
              <w:left w:val="nil"/>
              <w:bottom w:val="single" w:sz="4" w:space="0" w:color="auto"/>
              <w:right w:val="nil"/>
            </w:tcBorders>
            <w:shd w:val="clear" w:color="auto" w:fill="auto"/>
            <w:noWrap/>
            <w:vAlign w:val="center"/>
          </w:tcPr>
          <w:p w14:paraId="70D056D6" w14:textId="77777777" w:rsidR="007523B8" w:rsidRPr="009E06AA" w:rsidRDefault="007523B8" w:rsidP="00C879A6">
            <w:pPr>
              <w:pStyle w:val="TableText"/>
              <w:spacing w:before="40" w:after="30"/>
              <w:jc w:val="right"/>
              <w:rPr>
                <w:rFonts w:asciiTheme="minorHAnsi" w:hAnsiTheme="minorHAnsi"/>
                <w:highlight w:val="lightGray"/>
              </w:rPr>
            </w:pPr>
            <w:r w:rsidRPr="009E06AA">
              <w:rPr>
                <w:color w:val="000000"/>
              </w:rPr>
              <w:t>30.</w:t>
            </w:r>
            <w:r w:rsidRPr="009E06AA">
              <w:rPr>
                <w:rFonts w:cs="Calibri"/>
                <w:color w:val="000000"/>
                <w:szCs w:val="16"/>
              </w:rPr>
              <w:t>7</w:t>
            </w:r>
          </w:p>
        </w:tc>
      </w:tr>
      <w:tr w:rsidR="007523B8" w:rsidRPr="009E06AA" w14:paraId="5267229E" w14:textId="77777777" w:rsidTr="00B55F24">
        <w:tc>
          <w:tcPr>
            <w:tcW w:w="1378" w:type="dxa"/>
            <w:tcBorders>
              <w:left w:val="nil"/>
            </w:tcBorders>
            <w:noWrap/>
          </w:tcPr>
          <w:p w14:paraId="36789C10" w14:textId="77777777" w:rsidR="007523B8" w:rsidRPr="009E06AA" w:rsidRDefault="007523B8" w:rsidP="00B55F24">
            <w:pPr>
              <w:pStyle w:val="TableText"/>
              <w:spacing w:before="40" w:after="30"/>
              <w:rPr>
                <w:rFonts w:cs="Calibri"/>
                <w:szCs w:val="16"/>
              </w:rPr>
            </w:pPr>
            <w:r w:rsidRPr="009E06AA">
              <w:rPr>
                <w:rFonts w:cs="Calibri"/>
                <w:szCs w:val="16"/>
              </w:rPr>
              <w:t>2016</w:t>
            </w:r>
          </w:p>
        </w:tc>
        <w:tc>
          <w:tcPr>
            <w:tcW w:w="1826" w:type="dxa"/>
            <w:noWrap/>
            <w:vAlign w:val="center"/>
          </w:tcPr>
          <w:p w14:paraId="4C07D027" w14:textId="77777777" w:rsidR="007523B8" w:rsidRPr="009E06AA" w:rsidRDefault="007523B8" w:rsidP="00C879A6">
            <w:pPr>
              <w:pStyle w:val="TableText"/>
              <w:spacing w:before="40" w:after="30"/>
              <w:jc w:val="right"/>
              <w:rPr>
                <w:highlight w:val="lightGray"/>
              </w:rPr>
            </w:pPr>
            <w:r w:rsidRPr="009E06AA">
              <w:rPr>
                <w:rFonts w:cs="Calibri"/>
                <w:color w:val="000000"/>
                <w:szCs w:val="16"/>
              </w:rPr>
              <w:t>111.0</w:t>
            </w:r>
          </w:p>
        </w:tc>
        <w:tc>
          <w:tcPr>
            <w:tcW w:w="1826" w:type="dxa"/>
            <w:noWrap/>
            <w:vAlign w:val="center"/>
          </w:tcPr>
          <w:p w14:paraId="62C946CD" w14:textId="77777777" w:rsidR="007523B8" w:rsidRPr="009E06AA" w:rsidRDefault="007523B8" w:rsidP="00C879A6">
            <w:pPr>
              <w:pStyle w:val="TableText"/>
              <w:spacing w:before="40" w:after="30"/>
              <w:jc w:val="right"/>
              <w:rPr>
                <w:highlight w:val="lightGray"/>
              </w:rPr>
            </w:pPr>
            <w:r w:rsidRPr="009E06AA">
              <w:rPr>
                <w:rFonts w:cs="Calibri"/>
                <w:color w:val="000000"/>
                <w:szCs w:val="16"/>
              </w:rPr>
              <w:t>88.6</w:t>
            </w:r>
          </w:p>
        </w:tc>
        <w:tc>
          <w:tcPr>
            <w:tcW w:w="1842" w:type="dxa"/>
            <w:tcBorders>
              <w:top w:val="single" w:sz="4" w:space="0" w:color="auto"/>
              <w:left w:val="nil"/>
              <w:bottom w:val="single" w:sz="4" w:space="0" w:color="auto"/>
              <w:right w:val="nil"/>
            </w:tcBorders>
            <w:shd w:val="clear" w:color="auto" w:fill="auto"/>
            <w:noWrap/>
            <w:vAlign w:val="center"/>
          </w:tcPr>
          <w:p w14:paraId="5EAE101F" w14:textId="77777777" w:rsidR="007523B8" w:rsidRPr="009E06AA" w:rsidRDefault="007523B8" w:rsidP="00C879A6">
            <w:pPr>
              <w:pStyle w:val="TableText"/>
              <w:spacing w:before="40" w:after="30"/>
              <w:jc w:val="right"/>
              <w:rPr>
                <w:rFonts w:asciiTheme="minorHAnsi" w:hAnsiTheme="minorHAnsi"/>
                <w:highlight w:val="lightGray"/>
              </w:rPr>
            </w:pPr>
            <w:r w:rsidRPr="009E06AA">
              <w:rPr>
                <w:rFonts w:cs="Calibri"/>
                <w:color w:val="000000"/>
                <w:szCs w:val="16"/>
              </w:rPr>
              <w:t>17.3</w:t>
            </w:r>
          </w:p>
        </w:tc>
        <w:tc>
          <w:tcPr>
            <w:tcW w:w="1633" w:type="dxa"/>
            <w:tcBorders>
              <w:top w:val="single" w:sz="4" w:space="0" w:color="auto"/>
              <w:left w:val="nil"/>
              <w:bottom w:val="single" w:sz="4" w:space="0" w:color="auto"/>
              <w:right w:val="nil"/>
            </w:tcBorders>
            <w:shd w:val="clear" w:color="auto" w:fill="auto"/>
            <w:noWrap/>
            <w:vAlign w:val="center"/>
          </w:tcPr>
          <w:p w14:paraId="56AD5372" w14:textId="77777777" w:rsidR="007523B8" w:rsidRPr="009E06AA" w:rsidRDefault="007523B8" w:rsidP="00C879A6">
            <w:pPr>
              <w:pStyle w:val="TableText"/>
              <w:spacing w:before="40" w:after="30"/>
              <w:jc w:val="right"/>
              <w:rPr>
                <w:rFonts w:asciiTheme="minorHAnsi" w:hAnsiTheme="minorHAnsi"/>
                <w:highlight w:val="lightGray"/>
              </w:rPr>
            </w:pPr>
            <w:r w:rsidRPr="009E06AA">
              <w:rPr>
                <w:color w:val="000000"/>
              </w:rPr>
              <w:t>31.</w:t>
            </w:r>
            <w:r w:rsidRPr="009E06AA">
              <w:rPr>
                <w:rFonts w:cs="Calibri"/>
                <w:color w:val="000000"/>
                <w:szCs w:val="16"/>
              </w:rPr>
              <w:t>3</w:t>
            </w:r>
          </w:p>
        </w:tc>
      </w:tr>
      <w:tr w:rsidR="007523B8" w:rsidRPr="009E06AA" w14:paraId="2A1DDE15" w14:textId="77777777" w:rsidTr="00B55F24">
        <w:tc>
          <w:tcPr>
            <w:tcW w:w="1378" w:type="dxa"/>
            <w:tcBorders>
              <w:left w:val="nil"/>
            </w:tcBorders>
            <w:noWrap/>
          </w:tcPr>
          <w:p w14:paraId="59A7D7F2" w14:textId="77777777" w:rsidR="007523B8" w:rsidRPr="009E06AA" w:rsidRDefault="007523B8" w:rsidP="00B55F24">
            <w:pPr>
              <w:pStyle w:val="TableText"/>
              <w:spacing w:before="40" w:after="30"/>
              <w:rPr>
                <w:rFonts w:cs="Calibri"/>
                <w:szCs w:val="16"/>
              </w:rPr>
            </w:pPr>
            <w:r w:rsidRPr="009E06AA">
              <w:rPr>
                <w:rFonts w:cs="Calibri"/>
                <w:szCs w:val="16"/>
              </w:rPr>
              <w:t>2017</w:t>
            </w:r>
          </w:p>
        </w:tc>
        <w:tc>
          <w:tcPr>
            <w:tcW w:w="1826" w:type="dxa"/>
            <w:noWrap/>
            <w:vAlign w:val="center"/>
          </w:tcPr>
          <w:p w14:paraId="171442DF" w14:textId="77777777" w:rsidR="007523B8" w:rsidRPr="009E06AA" w:rsidRDefault="007523B8" w:rsidP="00C879A6">
            <w:pPr>
              <w:pStyle w:val="TableText"/>
              <w:spacing w:before="40" w:after="30"/>
              <w:jc w:val="right"/>
              <w:rPr>
                <w:highlight w:val="lightGray"/>
              </w:rPr>
            </w:pPr>
            <w:r w:rsidRPr="009E06AA">
              <w:rPr>
                <w:rFonts w:cs="Calibri"/>
                <w:color w:val="000000"/>
                <w:szCs w:val="16"/>
              </w:rPr>
              <w:t>108.4</w:t>
            </w:r>
          </w:p>
        </w:tc>
        <w:tc>
          <w:tcPr>
            <w:tcW w:w="1826" w:type="dxa"/>
            <w:noWrap/>
            <w:vAlign w:val="center"/>
          </w:tcPr>
          <w:p w14:paraId="7F562453" w14:textId="77777777" w:rsidR="007523B8" w:rsidRPr="009E06AA" w:rsidRDefault="007523B8" w:rsidP="00C879A6">
            <w:pPr>
              <w:pStyle w:val="TableText"/>
              <w:spacing w:before="40" w:after="30"/>
              <w:jc w:val="right"/>
              <w:rPr>
                <w:highlight w:val="lightGray"/>
              </w:rPr>
            </w:pPr>
            <w:r w:rsidRPr="009E06AA">
              <w:rPr>
                <w:rFonts w:cs="Calibri"/>
                <w:color w:val="000000"/>
                <w:szCs w:val="16"/>
              </w:rPr>
              <w:t>86.9</w:t>
            </w:r>
          </w:p>
        </w:tc>
        <w:tc>
          <w:tcPr>
            <w:tcW w:w="1842" w:type="dxa"/>
            <w:tcBorders>
              <w:top w:val="single" w:sz="4" w:space="0" w:color="auto"/>
              <w:left w:val="nil"/>
              <w:bottom w:val="single" w:sz="4" w:space="0" w:color="auto"/>
              <w:right w:val="nil"/>
            </w:tcBorders>
            <w:shd w:val="clear" w:color="auto" w:fill="auto"/>
            <w:noWrap/>
            <w:vAlign w:val="center"/>
          </w:tcPr>
          <w:p w14:paraId="26BC70A6" w14:textId="77777777" w:rsidR="007523B8" w:rsidRPr="009E06AA" w:rsidRDefault="007523B8" w:rsidP="00C879A6">
            <w:pPr>
              <w:pStyle w:val="TableText"/>
              <w:spacing w:before="40" w:after="30"/>
              <w:jc w:val="right"/>
              <w:rPr>
                <w:rFonts w:asciiTheme="minorHAnsi" w:hAnsiTheme="minorHAnsi"/>
                <w:highlight w:val="lightGray"/>
              </w:rPr>
            </w:pPr>
            <w:r w:rsidRPr="009E06AA">
              <w:rPr>
                <w:rFonts w:cs="Calibri"/>
                <w:color w:val="000000"/>
                <w:szCs w:val="16"/>
              </w:rPr>
              <w:t>17.4</w:t>
            </w:r>
          </w:p>
        </w:tc>
        <w:tc>
          <w:tcPr>
            <w:tcW w:w="1633" w:type="dxa"/>
            <w:tcBorders>
              <w:top w:val="single" w:sz="4" w:space="0" w:color="auto"/>
              <w:left w:val="nil"/>
              <w:bottom w:val="single" w:sz="4" w:space="0" w:color="auto"/>
              <w:right w:val="nil"/>
            </w:tcBorders>
            <w:shd w:val="clear" w:color="auto" w:fill="auto"/>
            <w:noWrap/>
            <w:vAlign w:val="center"/>
          </w:tcPr>
          <w:p w14:paraId="263A6ABF" w14:textId="77777777" w:rsidR="007523B8" w:rsidRPr="009E06AA" w:rsidRDefault="007523B8" w:rsidP="00C879A6">
            <w:pPr>
              <w:pStyle w:val="TableText"/>
              <w:spacing w:before="40" w:after="30"/>
              <w:jc w:val="right"/>
              <w:rPr>
                <w:rFonts w:asciiTheme="minorHAnsi" w:hAnsiTheme="minorHAnsi"/>
                <w:highlight w:val="lightGray"/>
              </w:rPr>
            </w:pPr>
            <w:r w:rsidRPr="009E06AA">
              <w:rPr>
                <w:color w:val="000000"/>
              </w:rPr>
              <w:t>31.1</w:t>
            </w:r>
          </w:p>
        </w:tc>
      </w:tr>
      <w:tr w:rsidR="007523B8" w:rsidRPr="009E06AA" w14:paraId="5B79B4E6" w14:textId="77777777" w:rsidTr="00B55F24">
        <w:tc>
          <w:tcPr>
            <w:tcW w:w="1378" w:type="dxa"/>
            <w:tcBorders>
              <w:left w:val="nil"/>
            </w:tcBorders>
            <w:noWrap/>
          </w:tcPr>
          <w:p w14:paraId="56DD840D" w14:textId="77777777" w:rsidR="007523B8" w:rsidRPr="009E06AA" w:rsidRDefault="007523B8" w:rsidP="00B55F24">
            <w:pPr>
              <w:pStyle w:val="TableText"/>
              <w:spacing w:before="40" w:after="30"/>
              <w:rPr>
                <w:rFonts w:cs="Calibri"/>
                <w:szCs w:val="16"/>
              </w:rPr>
            </w:pPr>
            <w:r w:rsidRPr="009E06AA">
              <w:rPr>
                <w:rFonts w:cs="Calibri"/>
                <w:szCs w:val="16"/>
              </w:rPr>
              <w:t>2018</w:t>
            </w:r>
          </w:p>
        </w:tc>
        <w:tc>
          <w:tcPr>
            <w:tcW w:w="1826" w:type="dxa"/>
            <w:noWrap/>
            <w:vAlign w:val="center"/>
          </w:tcPr>
          <w:p w14:paraId="0B1FB7F3" w14:textId="77777777" w:rsidR="007523B8" w:rsidRPr="009E06AA" w:rsidRDefault="007523B8" w:rsidP="00C879A6">
            <w:pPr>
              <w:pStyle w:val="TableText"/>
              <w:spacing w:before="40" w:after="30"/>
              <w:jc w:val="right"/>
              <w:rPr>
                <w:highlight w:val="lightGray"/>
              </w:rPr>
            </w:pPr>
            <w:r w:rsidRPr="009E06AA">
              <w:rPr>
                <w:rFonts w:cs="Calibri"/>
                <w:color w:val="000000"/>
                <w:szCs w:val="16"/>
              </w:rPr>
              <w:t>112.8</w:t>
            </w:r>
          </w:p>
        </w:tc>
        <w:tc>
          <w:tcPr>
            <w:tcW w:w="1826" w:type="dxa"/>
            <w:noWrap/>
            <w:vAlign w:val="center"/>
          </w:tcPr>
          <w:p w14:paraId="5AE094DB" w14:textId="77777777" w:rsidR="007523B8" w:rsidRPr="009E06AA" w:rsidRDefault="007523B8" w:rsidP="00C879A6">
            <w:pPr>
              <w:pStyle w:val="TableText"/>
              <w:spacing w:before="40" w:after="30"/>
              <w:jc w:val="right"/>
              <w:rPr>
                <w:highlight w:val="lightGray"/>
              </w:rPr>
            </w:pPr>
            <w:r w:rsidRPr="009E06AA">
              <w:rPr>
                <w:rFonts w:cs="Calibri"/>
                <w:color w:val="000000"/>
                <w:szCs w:val="16"/>
              </w:rPr>
              <w:t>86.1</w:t>
            </w:r>
          </w:p>
        </w:tc>
        <w:tc>
          <w:tcPr>
            <w:tcW w:w="1842" w:type="dxa"/>
            <w:tcBorders>
              <w:top w:val="single" w:sz="4" w:space="0" w:color="auto"/>
              <w:left w:val="nil"/>
              <w:bottom w:val="single" w:sz="4" w:space="0" w:color="auto"/>
              <w:right w:val="nil"/>
            </w:tcBorders>
            <w:shd w:val="clear" w:color="auto" w:fill="auto"/>
            <w:noWrap/>
            <w:vAlign w:val="center"/>
          </w:tcPr>
          <w:p w14:paraId="74BB7C82" w14:textId="77777777" w:rsidR="007523B8" w:rsidRPr="009E06AA" w:rsidRDefault="007523B8" w:rsidP="00C879A6">
            <w:pPr>
              <w:pStyle w:val="TableText"/>
              <w:spacing w:before="40" w:after="30"/>
              <w:jc w:val="right"/>
              <w:rPr>
                <w:rFonts w:asciiTheme="minorHAnsi" w:hAnsiTheme="minorHAnsi"/>
                <w:highlight w:val="lightGray"/>
              </w:rPr>
            </w:pPr>
            <w:r w:rsidRPr="009E06AA">
              <w:rPr>
                <w:rFonts w:cs="Calibri"/>
                <w:color w:val="000000"/>
                <w:szCs w:val="16"/>
              </w:rPr>
              <w:t>17.7</w:t>
            </w:r>
          </w:p>
        </w:tc>
        <w:tc>
          <w:tcPr>
            <w:tcW w:w="1633" w:type="dxa"/>
            <w:tcBorders>
              <w:top w:val="single" w:sz="4" w:space="0" w:color="auto"/>
              <w:left w:val="nil"/>
              <w:bottom w:val="single" w:sz="4" w:space="0" w:color="auto"/>
              <w:right w:val="nil"/>
            </w:tcBorders>
            <w:shd w:val="clear" w:color="auto" w:fill="auto"/>
            <w:noWrap/>
            <w:vAlign w:val="center"/>
          </w:tcPr>
          <w:p w14:paraId="57A47718" w14:textId="77777777" w:rsidR="007523B8" w:rsidRPr="009E06AA" w:rsidRDefault="007523B8" w:rsidP="00C879A6">
            <w:pPr>
              <w:pStyle w:val="TableText"/>
              <w:spacing w:before="40" w:after="30"/>
              <w:jc w:val="right"/>
              <w:rPr>
                <w:rFonts w:asciiTheme="minorHAnsi" w:hAnsiTheme="minorHAnsi"/>
                <w:highlight w:val="lightGray"/>
              </w:rPr>
            </w:pPr>
            <w:r w:rsidRPr="009E06AA">
              <w:rPr>
                <w:color w:val="000000"/>
              </w:rPr>
              <w:t>31.</w:t>
            </w:r>
            <w:r w:rsidRPr="009E06AA">
              <w:rPr>
                <w:rFonts w:cs="Calibri"/>
                <w:color w:val="000000"/>
                <w:szCs w:val="16"/>
              </w:rPr>
              <w:t>3</w:t>
            </w:r>
          </w:p>
        </w:tc>
      </w:tr>
      <w:tr w:rsidR="007523B8" w:rsidRPr="009E06AA" w14:paraId="11828E22" w14:textId="77777777" w:rsidTr="00B55F24">
        <w:tc>
          <w:tcPr>
            <w:tcW w:w="1378" w:type="dxa"/>
            <w:tcBorders>
              <w:left w:val="nil"/>
            </w:tcBorders>
            <w:noWrap/>
          </w:tcPr>
          <w:p w14:paraId="671DCBF2" w14:textId="77777777" w:rsidR="007523B8" w:rsidRPr="009E06AA" w:rsidRDefault="007523B8" w:rsidP="00B55F24">
            <w:pPr>
              <w:pStyle w:val="TableText"/>
              <w:spacing w:before="40" w:after="30"/>
              <w:rPr>
                <w:rFonts w:cs="Calibri"/>
                <w:szCs w:val="16"/>
              </w:rPr>
            </w:pPr>
            <w:r w:rsidRPr="009E06AA">
              <w:rPr>
                <w:rFonts w:cs="Calibri"/>
                <w:szCs w:val="16"/>
              </w:rPr>
              <w:t>2019</w:t>
            </w:r>
          </w:p>
        </w:tc>
        <w:tc>
          <w:tcPr>
            <w:tcW w:w="1826" w:type="dxa"/>
            <w:noWrap/>
            <w:vAlign w:val="center"/>
          </w:tcPr>
          <w:p w14:paraId="7D25EE6F" w14:textId="77777777" w:rsidR="007523B8" w:rsidRPr="009E06AA" w:rsidRDefault="007523B8" w:rsidP="00C879A6">
            <w:pPr>
              <w:pStyle w:val="TableText"/>
              <w:spacing w:before="40" w:after="30"/>
              <w:jc w:val="right"/>
              <w:rPr>
                <w:highlight w:val="lightGray"/>
              </w:rPr>
            </w:pPr>
            <w:r w:rsidRPr="009E06AA">
              <w:rPr>
                <w:color w:val="000000"/>
              </w:rPr>
              <w:t>113.3</w:t>
            </w:r>
          </w:p>
        </w:tc>
        <w:tc>
          <w:tcPr>
            <w:tcW w:w="1826" w:type="dxa"/>
            <w:noWrap/>
            <w:vAlign w:val="center"/>
          </w:tcPr>
          <w:p w14:paraId="33390B44" w14:textId="77777777" w:rsidR="007523B8" w:rsidRPr="009E06AA" w:rsidRDefault="007523B8" w:rsidP="00C879A6">
            <w:pPr>
              <w:pStyle w:val="TableText"/>
              <w:spacing w:before="40" w:after="30"/>
              <w:jc w:val="right"/>
              <w:rPr>
                <w:highlight w:val="lightGray"/>
              </w:rPr>
            </w:pPr>
            <w:r w:rsidRPr="009E06AA">
              <w:rPr>
                <w:rFonts w:cs="Calibri"/>
                <w:color w:val="000000"/>
                <w:szCs w:val="16"/>
              </w:rPr>
              <w:t>86.6</w:t>
            </w:r>
          </w:p>
        </w:tc>
        <w:tc>
          <w:tcPr>
            <w:tcW w:w="1842" w:type="dxa"/>
            <w:tcBorders>
              <w:top w:val="single" w:sz="4" w:space="0" w:color="auto"/>
              <w:left w:val="nil"/>
              <w:bottom w:val="single" w:sz="4" w:space="0" w:color="auto"/>
              <w:right w:val="nil"/>
            </w:tcBorders>
            <w:shd w:val="clear" w:color="auto" w:fill="auto"/>
            <w:noWrap/>
            <w:vAlign w:val="center"/>
          </w:tcPr>
          <w:p w14:paraId="2E71FBC2" w14:textId="77777777" w:rsidR="007523B8" w:rsidRPr="009E06AA" w:rsidRDefault="007523B8" w:rsidP="00C879A6">
            <w:pPr>
              <w:pStyle w:val="TableText"/>
              <w:spacing w:before="40" w:after="30"/>
              <w:jc w:val="right"/>
              <w:rPr>
                <w:rFonts w:asciiTheme="minorHAnsi" w:hAnsiTheme="minorHAnsi"/>
                <w:highlight w:val="lightGray"/>
              </w:rPr>
            </w:pPr>
            <w:r w:rsidRPr="009E06AA">
              <w:rPr>
                <w:rFonts w:cs="Calibri"/>
                <w:color w:val="000000"/>
                <w:szCs w:val="16"/>
              </w:rPr>
              <w:t>17.7</w:t>
            </w:r>
          </w:p>
        </w:tc>
        <w:tc>
          <w:tcPr>
            <w:tcW w:w="1633" w:type="dxa"/>
            <w:tcBorders>
              <w:top w:val="single" w:sz="4" w:space="0" w:color="auto"/>
              <w:left w:val="nil"/>
              <w:bottom w:val="single" w:sz="4" w:space="0" w:color="auto"/>
              <w:right w:val="nil"/>
            </w:tcBorders>
            <w:shd w:val="clear" w:color="auto" w:fill="auto"/>
            <w:noWrap/>
            <w:vAlign w:val="center"/>
          </w:tcPr>
          <w:p w14:paraId="65D402F6" w14:textId="77777777" w:rsidR="007523B8" w:rsidRPr="009E06AA" w:rsidRDefault="007523B8" w:rsidP="00C879A6">
            <w:pPr>
              <w:pStyle w:val="TableText"/>
              <w:spacing w:before="40" w:after="30"/>
              <w:jc w:val="right"/>
              <w:rPr>
                <w:rFonts w:asciiTheme="minorHAnsi" w:hAnsiTheme="minorHAnsi"/>
                <w:highlight w:val="lightGray"/>
              </w:rPr>
            </w:pPr>
            <w:r w:rsidRPr="009E06AA">
              <w:rPr>
                <w:color w:val="000000"/>
              </w:rPr>
              <w:t>31.8</w:t>
            </w:r>
          </w:p>
        </w:tc>
      </w:tr>
      <w:tr w:rsidR="007523B8" w:rsidRPr="009E06AA" w14:paraId="7F5DE20A" w14:textId="77777777" w:rsidTr="00B55F24">
        <w:tc>
          <w:tcPr>
            <w:tcW w:w="1378" w:type="dxa"/>
            <w:tcBorders>
              <w:left w:val="nil"/>
            </w:tcBorders>
            <w:shd w:val="clear" w:color="auto" w:fill="auto"/>
            <w:noWrap/>
          </w:tcPr>
          <w:p w14:paraId="58935E01" w14:textId="77777777" w:rsidR="007523B8" w:rsidRPr="009E06AA" w:rsidRDefault="007523B8" w:rsidP="00B55F24">
            <w:pPr>
              <w:pStyle w:val="TableText"/>
              <w:spacing w:before="40" w:after="30"/>
              <w:rPr>
                <w:rFonts w:cs="Calibri"/>
                <w:szCs w:val="16"/>
              </w:rPr>
            </w:pPr>
            <w:r w:rsidRPr="009E06AA">
              <w:rPr>
                <w:rFonts w:cs="Calibri"/>
                <w:szCs w:val="16"/>
              </w:rPr>
              <w:t>2020</w:t>
            </w:r>
          </w:p>
        </w:tc>
        <w:tc>
          <w:tcPr>
            <w:tcW w:w="1826" w:type="dxa"/>
            <w:shd w:val="clear" w:color="auto" w:fill="auto"/>
            <w:noWrap/>
            <w:vAlign w:val="center"/>
          </w:tcPr>
          <w:p w14:paraId="288A3A49" w14:textId="77777777" w:rsidR="007523B8" w:rsidRPr="009E06AA" w:rsidRDefault="007523B8" w:rsidP="00C879A6">
            <w:pPr>
              <w:pStyle w:val="TableText"/>
              <w:spacing w:before="40" w:after="30"/>
              <w:jc w:val="right"/>
              <w:rPr>
                <w:highlight w:val="lightGray"/>
              </w:rPr>
            </w:pPr>
            <w:r w:rsidRPr="009E06AA">
              <w:rPr>
                <w:rFonts w:cs="Calibri"/>
                <w:color w:val="000000"/>
                <w:szCs w:val="16"/>
              </w:rPr>
              <w:t>112.7</w:t>
            </w:r>
          </w:p>
        </w:tc>
        <w:tc>
          <w:tcPr>
            <w:tcW w:w="1826" w:type="dxa"/>
            <w:shd w:val="clear" w:color="auto" w:fill="auto"/>
            <w:noWrap/>
            <w:vAlign w:val="center"/>
          </w:tcPr>
          <w:p w14:paraId="59EAC7E7" w14:textId="77777777" w:rsidR="007523B8" w:rsidRPr="009E06AA" w:rsidRDefault="007523B8" w:rsidP="00C879A6">
            <w:pPr>
              <w:pStyle w:val="TableText"/>
              <w:spacing w:before="40" w:after="30"/>
              <w:jc w:val="right"/>
              <w:rPr>
                <w:highlight w:val="lightGray"/>
              </w:rPr>
            </w:pPr>
            <w:r w:rsidRPr="009E06AA">
              <w:rPr>
                <w:rFonts w:cs="Calibri"/>
                <w:color w:val="000000"/>
                <w:szCs w:val="16"/>
              </w:rPr>
              <w:t>88.6</w:t>
            </w:r>
          </w:p>
        </w:tc>
        <w:tc>
          <w:tcPr>
            <w:tcW w:w="1842" w:type="dxa"/>
            <w:tcBorders>
              <w:top w:val="single" w:sz="4" w:space="0" w:color="auto"/>
              <w:left w:val="nil"/>
              <w:bottom w:val="single" w:sz="4" w:space="0" w:color="auto"/>
              <w:right w:val="nil"/>
            </w:tcBorders>
            <w:shd w:val="clear" w:color="auto" w:fill="auto"/>
            <w:noWrap/>
            <w:vAlign w:val="center"/>
          </w:tcPr>
          <w:p w14:paraId="1F03CA67" w14:textId="77777777" w:rsidR="007523B8" w:rsidRPr="009E06AA" w:rsidRDefault="007523B8" w:rsidP="00C879A6">
            <w:pPr>
              <w:pStyle w:val="TableText"/>
              <w:spacing w:before="40" w:after="30"/>
              <w:jc w:val="right"/>
              <w:rPr>
                <w:rFonts w:asciiTheme="minorHAnsi" w:hAnsiTheme="minorHAnsi"/>
                <w:highlight w:val="lightGray"/>
              </w:rPr>
            </w:pPr>
            <w:r w:rsidRPr="009E06AA">
              <w:rPr>
                <w:rFonts w:cs="Calibri"/>
                <w:color w:val="000000"/>
                <w:szCs w:val="16"/>
              </w:rPr>
              <w:t>17.9</w:t>
            </w:r>
          </w:p>
        </w:tc>
        <w:tc>
          <w:tcPr>
            <w:tcW w:w="1633" w:type="dxa"/>
            <w:tcBorders>
              <w:top w:val="single" w:sz="4" w:space="0" w:color="auto"/>
              <w:left w:val="nil"/>
              <w:bottom w:val="single" w:sz="4" w:space="0" w:color="auto"/>
              <w:right w:val="nil"/>
            </w:tcBorders>
            <w:shd w:val="clear" w:color="auto" w:fill="auto"/>
            <w:noWrap/>
            <w:vAlign w:val="center"/>
          </w:tcPr>
          <w:p w14:paraId="6F7890F4" w14:textId="77777777" w:rsidR="007523B8" w:rsidRPr="009E06AA" w:rsidRDefault="007523B8" w:rsidP="00C879A6">
            <w:pPr>
              <w:pStyle w:val="TableText"/>
              <w:spacing w:before="40" w:after="30"/>
              <w:jc w:val="right"/>
              <w:rPr>
                <w:rFonts w:asciiTheme="minorHAnsi" w:hAnsiTheme="minorHAnsi"/>
                <w:highlight w:val="lightGray"/>
              </w:rPr>
            </w:pPr>
            <w:r w:rsidRPr="009E06AA">
              <w:rPr>
                <w:color w:val="000000"/>
              </w:rPr>
              <w:t>31.</w:t>
            </w:r>
            <w:r w:rsidRPr="009E06AA">
              <w:rPr>
                <w:rFonts w:cs="Calibri"/>
                <w:color w:val="000000"/>
                <w:szCs w:val="16"/>
              </w:rPr>
              <w:t>6</w:t>
            </w:r>
          </w:p>
        </w:tc>
      </w:tr>
      <w:tr w:rsidR="007523B8" w:rsidRPr="009E06AA" w14:paraId="56AB1262" w14:textId="77777777" w:rsidTr="00B55F24">
        <w:tc>
          <w:tcPr>
            <w:tcW w:w="1378" w:type="dxa"/>
            <w:tcBorders>
              <w:left w:val="nil"/>
            </w:tcBorders>
            <w:shd w:val="clear" w:color="auto" w:fill="auto"/>
            <w:noWrap/>
          </w:tcPr>
          <w:p w14:paraId="4FB58E25" w14:textId="77777777" w:rsidR="007523B8" w:rsidRPr="009E06AA" w:rsidRDefault="007523B8" w:rsidP="00B55F24">
            <w:pPr>
              <w:pStyle w:val="TableText"/>
              <w:spacing w:before="40" w:after="30"/>
              <w:rPr>
                <w:rFonts w:cs="Calibri"/>
                <w:szCs w:val="16"/>
              </w:rPr>
            </w:pPr>
            <w:r w:rsidRPr="009E06AA">
              <w:rPr>
                <w:rFonts w:cs="Calibri"/>
                <w:szCs w:val="16"/>
              </w:rPr>
              <w:t>2021</w:t>
            </w:r>
          </w:p>
        </w:tc>
        <w:tc>
          <w:tcPr>
            <w:tcW w:w="1826" w:type="dxa"/>
            <w:shd w:val="clear" w:color="auto" w:fill="auto"/>
            <w:noWrap/>
            <w:vAlign w:val="center"/>
          </w:tcPr>
          <w:p w14:paraId="031B0CAB" w14:textId="77777777" w:rsidR="007523B8" w:rsidRPr="009E06AA" w:rsidRDefault="007523B8" w:rsidP="00C879A6">
            <w:pPr>
              <w:pStyle w:val="TableText"/>
              <w:spacing w:before="40" w:after="30"/>
              <w:jc w:val="right"/>
              <w:rPr>
                <w:highlight w:val="lightGray"/>
              </w:rPr>
            </w:pPr>
            <w:r w:rsidRPr="009E06AA">
              <w:rPr>
                <w:rFonts w:cs="Calibri"/>
                <w:color w:val="000000"/>
                <w:szCs w:val="16"/>
              </w:rPr>
              <w:t>113.7</w:t>
            </w:r>
          </w:p>
        </w:tc>
        <w:tc>
          <w:tcPr>
            <w:tcW w:w="1826" w:type="dxa"/>
            <w:shd w:val="clear" w:color="auto" w:fill="auto"/>
            <w:noWrap/>
            <w:vAlign w:val="center"/>
          </w:tcPr>
          <w:p w14:paraId="3FC1ACD3" w14:textId="77777777" w:rsidR="007523B8" w:rsidRPr="009E06AA" w:rsidRDefault="007523B8" w:rsidP="00C879A6">
            <w:pPr>
              <w:pStyle w:val="TableText"/>
              <w:spacing w:before="40" w:after="30"/>
              <w:jc w:val="right"/>
              <w:rPr>
                <w:highlight w:val="lightGray"/>
              </w:rPr>
            </w:pPr>
            <w:r w:rsidRPr="009E06AA">
              <w:rPr>
                <w:rFonts w:cs="Calibri"/>
                <w:color w:val="000000"/>
                <w:szCs w:val="16"/>
              </w:rPr>
              <w:t>86</w:t>
            </w:r>
            <w:r w:rsidRPr="009E06AA">
              <w:rPr>
                <w:color w:val="000000"/>
              </w:rPr>
              <w:t>.3</w:t>
            </w:r>
          </w:p>
        </w:tc>
        <w:tc>
          <w:tcPr>
            <w:tcW w:w="1842" w:type="dxa"/>
            <w:tcBorders>
              <w:top w:val="single" w:sz="4" w:space="0" w:color="auto"/>
              <w:left w:val="nil"/>
              <w:bottom w:val="single" w:sz="4" w:space="0" w:color="auto"/>
              <w:right w:val="nil"/>
            </w:tcBorders>
            <w:shd w:val="clear" w:color="auto" w:fill="auto"/>
            <w:noWrap/>
            <w:vAlign w:val="center"/>
          </w:tcPr>
          <w:p w14:paraId="040FF70C" w14:textId="77777777" w:rsidR="007523B8" w:rsidRPr="009E06AA" w:rsidRDefault="007523B8" w:rsidP="00C879A6">
            <w:pPr>
              <w:pStyle w:val="TableText"/>
              <w:spacing w:before="40" w:after="30"/>
              <w:jc w:val="right"/>
              <w:rPr>
                <w:rFonts w:asciiTheme="minorHAnsi" w:hAnsiTheme="minorHAnsi"/>
                <w:highlight w:val="lightGray"/>
              </w:rPr>
            </w:pPr>
            <w:r w:rsidRPr="009E06AA">
              <w:rPr>
                <w:rFonts w:cs="Calibri"/>
                <w:color w:val="000000"/>
                <w:szCs w:val="16"/>
              </w:rPr>
              <w:t>17.5</w:t>
            </w:r>
          </w:p>
        </w:tc>
        <w:tc>
          <w:tcPr>
            <w:tcW w:w="1633" w:type="dxa"/>
            <w:tcBorders>
              <w:top w:val="single" w:sz="4" w:space="0" w:color="auto"/>
              <w:left w:val="nil"/>
              <w:bottom w:val="single" w:sz="4" w:space="0" w:color="auto"/>
              <w:right w:val="nil"/>
            </w:tcBorders>
            <w:shd w:val="clear" w:color="auto" w:fill="auto"/>
            <w:noWrap/>
            <w:vAlign w:val="center"/>
          </w:tcPr>
          <w:p w14:paraId="73852A0C" w14:textId="77777777" w:rsidR="007523B8" w:rsidRPr="009E06AA" w:rsidRDefault="007523B8" w:rsidP="00C879A6">
            <w:pPr>
              <w:pStyle w:val="TableText"/>
              <w:spacing w:before="40" w:after="30"/>
              <w:jc w:val="right"/>
              <w:rPr>
                <w:rFonts w:asciiTheme="minorHAnsi" w:hAnsiTheme="minorHAnsi"/>
                <w:highlight w:val="lightGray"/>
              </w:rPr>
            </w:pPr>
            <w:r w:rsidRPr="009E06AA">
              <w:rPr>
                <w:color w:val="000000"/>
              </w:rPr>
              <w:t>31.</w:t>
            </w:r>
            <w:r w:rsidRPr="009E06AA">
              <w:rPr>
                <w:rFonts w:cs="Calibri"/>
                <w:color w:val="000000"/>
                <w:szCs w:val="16"/>
              </w:rPr>
              <w:t>5</w:t>
            </w:r>
          </w:p>
        </w:tc>
      </w:tr>
      <w:tr w:rsidR="007523B8" w:rsidRPr="009E06AA" w14:paraId="0BB9A226" w14:textId="77777777" w:rsidTr="00B55F24">
        <w:tc>
          <w:tcPr>
            <w:tcW w:w="1378" w:type="dxa"/>
            <w:tcBorders>
              <w:left w:val="nil"/>
            </w:tcBorders>
            <w:shd w:val="clear" w:color="auto" w:fill="auto"/>
            <w:noWrap/>
          </w:tcPr>
          <w:p w14:paraId="7BED1589" w14:textId="77777777" w:rsidR="007523B8" w:rsidRPr="009E06AA" w:rsidRDefault="007523B8" w:rsidP="00B55F24">
            <w:pPr>
              <w:pStyle w:val="TableText"/>
              <w:spacing w:before="40" w:after="30"/>
              <w:rPr>
                <w:rFonts w:cs="Calibri"/>
                <w:szCs w:val="16"/>
              </w:rPr>
            </w:pPr>
            <w:r w:rsidRPr="009E06AA">
              <w:rPr>
                <w:rFonts w:cs="Calibri"/>
                <w:szCs w:val="16"/>
              </w:rPr>
              <w:t>2022</w:t>
            </w:r>
          </w:p>
        </w:tc>
        <w:tc>
          <w:tcPr>
            <w:tcW w:w="1826" w:type="dxa"/>
            <w:shd w:val="clear" w:color="auto" w:fill="auto"/>
            <w:noWrap/>
            <w:vAlign w:val="center"/>
          </w:tcPr>
          <w:p w14:paraId="5160241A" w14:textId="77777777" w:rsidR="007523B8" w:rsidRPr="009E06AA" w:rsidRDefault="007523B8" w:rsidP="00C879A6">
            <w:pPr>
              <w:pStyle w:val="TableText"/>
              <w:spacing w:before="40" w:after="30"/>
              <w:jc w:val="right"/>
              <w:rPr>
                <w:highlight w:val="lightGray"/>
              </w:rPr>
            </w:pPr>
            <w:r w:rsidRPr="009E06AA">
              <w:rPr>
                <w:rFonts w:cs="Calibri"/>
                <w:color w:val="000000"/>
                <w:szCs w:val="16"/>
              </w:rPr>
              <w:t>113.9</w:t>
            </w:r>
          </w:p>
        </w:tc>
        <w:tc>
          <w:tcPr>
            <w:tcW w:w="1826" w:type="dxa"/>
            <w:shd w:val="clear" w:color="auto" w:fill="auto"/>
            <w:noWrap/>
            <w:vAlign w:val="center"/>
          </w:tcPr>
          <w:p w14:paraId="7055D2AF" w14:textId="77777777" w:rsidR="007523B8" w:rsidRPr="009E06AA" w:rsidRDefault="007523B8" w:rsidP="00C879A6">
            <w:pPr>
              <w:pStyle w:val="TableText"/>
              <w:spacing w:before="40" w:after="30"/>
              <w:jc w:val="right"/>
              <w:rPr>
                <w:highlight w:val="lightGray"/>
              </w:rPr>
            </w:pPr>
            <w:r w:rsidRPr="009E06AA">
              <w:rPr>
                <w:rFonts w:cs="Calibri"/>
                <w:color w:val="000000"/>
                <w:szCs w:val="16"/>
              </w:rPr>
              <w:t>85.4</w:t>
            </w:r>
          </w:p>
        </w:tc>
        <w:tc>
          <w:tcPr>
            <w:tcW w:w="1842" w:type="dxa"/>
            <w:tcBorders>
              <w:top w:val="single" w:sz="4" w:space="0" w:color="auto"/>
              <w:left w:val="nil"/>
              <w:bottom w:val="single" w:sz="4" w:space="0" w:color="auto"/>
              <w:right w:val="nil"/>
            </w:tcBorders>
            <w:shd w:val="clear" w:color="auto" w:fill="auto"/>
            <w:noWrap/>
            <w:vAlign w:val="center"/>
          </w:tcPr>
          <w:p w14:paraId="27806A3A" w14:textId="77777777" w:rsidR="007523B8" w:rsidRPr="009E06AA" w:rsidRDefault="007523B8" w:rsidP="00C879A6">
            <w:pPr>
              <w:pStyle w:val="TableText"/>
              <w:spacing w:before="40" w:after="30"/>
              <w:jc w:val="right"/>
              <w:rPr>
                <w:rFonts w:asciiTheme="minorHAnsi" w:hAnsiTheme="minorHAnsi" w:cstheme="minorHAnsi"/>
                <w:szCs w:val="16"/>
                <w:highlight w:val="lightGray"/>
              </w:rPr>
            </w:pPr>
            <w:r w:rsidRPr="009E06AA">
              <w:rPr>
                <w:rFonts w:cs="Calibri"/>
                <w:color w:val="000000"/>
                <w:szCs w:val="16"/>
              </w:rPr>
              <w:t>17.7</w:t>
            </w:r>
          </w:p>
        </w:tc>
        <w:tc>
          <w:tcPr>
            <w:tcW w:w="1633" w:type="dxa"/>
            <w:tcBorders>
              <w:top w:val="single" w:sz="4" w:space="0" w:color="auto"/>
              <w:left w:val="nil"/>
              <w:bottom w:val="single" w:sz="4" w:space="0" w:color="auto"/>
              <w:right w:val="nil"/>
            </w:tcBorders>
            <w:shd w:val="clear" w:color="auto" w:fill="auto"/>
            <w:noWrap/>
            <w:vAlign w:val="center"/>
          </w:tcPr>
          <w:p w14:paraId="04780738" w14:textId="77777777" w:rsidR="007523B8" w:rsidRPr="009E06AA" w:rsidRDefault="007523B8" w:rsidP="00C879A6">
            <w:pPr>
              <w:pStyle w:val="TableText"/>
              <w:spacing w:before="40" w:after="30"/>
              <w:jc w:val="right"/>
              <w:rPr>
                <w:rFonts w:asciiTheme="minorHAnsi" w:hAnsiTheme="minorHAnsi" w:cstheme="minorHAnsi"/>
                <w:szCs w:val="16"/>
                <w:highlight w:val="lightGray"/>
              </w:rPr>
            </w:pPr>
            <w:r w:rsidRPr="009E06AA">
              <w:rPr>
                <w:rFonts w:cs="Calibri"/>
                <w:color w:val="000000"/>
                <w:szCs w:val="16"/>
              </w:rPr>
              <w:t>31.1</w:t>
            </w:r>
          </w:p>
        </w:tc>
      </w:tr>
    </w:tbl>
    <w:p w14:paraId="6B8E451F" w14:textId="77777777" w:rsidR="007523B8" w:rsidRPr="009E06AA" w:rsidRDefault="007523B8" w:rsidP="00934445">
      <w:pPr>
        <w:pStyle w:val="Heading5"/>
        <w:spacing w:before="280"/>
      </w:pPr>
      <w:r w:rsidRPr="009E06AA">
        <w:t xml:space="preserve">Nitrogen excretion rates for the minor livestock categories </w:t>
      </w:r>
    </w:p>
    <w:p w14:paraId="4BFEB4BE" w14:textId="77777777" w:rsidR="007523B8" w:rsidRPr="009E06AA" w:rsidRDefault="007523B8" w:rsidP="00934445">
      <w:pPr>
        <w:pStyle w:val="BodyText"/>
        <w:keepLines/>
        <w:spacing w:before="100" w:after="100"/>
      </w:pPr>
      <w:r w:rsidRPr="009E06AA">
        <w:rPr>
          <w:b/>
          <w:bCs/>
          <w:i/>
          <w:iCs/>
        </w:rPr>
        <w:t>Swine:</w:t>
      </w:r>
      <w:r w:rsidRPr="009E06AA">
        <w:rPr>
          <w:i/>
          <w:iCs/>
        </w:rPr>
        <w:t xml:space="preserve"> </w:t>
      </w:r>
      <w:r w:rsidRPr="009E06AA">
        <w:t>A New Zealand-specific N</w:t>
      </w:r>
      <w:r w:rsidRPr="009E06AA">
        <w:rPr>
          <w:vertAlign w:val="subscript"/>
        </w:rPr>
        <w:t>ex</w:t>
      </w:r>
      <w:r w:rsidRPr="009E06AA">
        <w:t xml:space="preserve"> rate for swine is calculated for each year (see table 5.3.4) based on the 2009 value of 10.8 kg nitrogen (N) head</w:t>
      </w:r>
      <w:r w:rsidRPr="009E06AA">
        <w:rPr>
          <w:vertAlign w:val="superscript"/>
        </w:rPr>
        <w:t>-1</w:t>
      </w:r>
      <w:r w:rsidRPr="009E06AA">
        <w:t xml:space="preserve"> year</w:t>
      </w:r>
      <w:r w:rsidRPr="009E06AA">
        <w:rPr>
          <w:vertAlign w:val="superscript"/>
        </w:rPr>
        <w:t>-1</w:t>
      </w:r>
      <w:r w:rsidRPr="009E06AA">
        <w:t xml:space="preserve"> (Hill, 2012). The 2009 value is based on the weighted average of the distribution of animal weights by swine category. Estimates of N</w:t>
      </w:r>
      <w:r w:rsidRPr="009E06AA">
        <w:rPr>
          <w:vertAlign w:val="subscript"/>
        </w:rPr>
        <w:t>ex</w:t>
      </w:r>
      <w:r w:rsidRPr="009E06AA">
        <w:t xml:space="preserve"> rates for all other years are indexed relative to 2009 for the average pig carcass weights for each year. Average pig weights have increased since 1990 due to improvements in productivity. Data on pig</w:t>
      </w:r>
      <w:r w:rsidRPr="009E06AA" w:rsidDel="00344D5D">
        <w:t xml:space="preserve"> </w:t>
      </w:r>
      <w:r w:rsidRPr="009E06AA">
        <w:t>carcass weights are collected by MPI from meat processors.</w:t>
      </w:r>
    </w:p>
    <w:p w14:paraId="0568A7E1" w14:textId="77777777" w:rsidR="007523B8" w:rsidRPr="009E06AA" w:rsidRDefault="007523B8" w:rsidP="00934445">
      <w:pPr>
        <w:pStyle w:val="BodyText"/>
        <w:spacing w:before="100" w:after="100"/>
      </w:pPr>
      <w:r w:rsidRPr="009E06AA">
        <w:rPr>
          <w:b/>
          <w:bCs/>
          <w:i/>
          <w:iCs/>
        </w:rPr>
        <w:t>Goats:</w:t>
      </w:r>
      <w:r w:rsidRPr="009E06AA">
        <w:t xml:space="preserve"> New Zealand uses country-specific N</w:t>
      </w:r>
      <w:r w:rsidRPr="009E06AA">
        <w:rPr>
          <w:vertAlign w:val="subscript"/>
        </w:rPr>
        <w:t>ex</w:t>
      </w:r>
      <w:r w:rsidRPr="009E06AA">
        <w:t xml:space="preserve"> rates for goats to estimate N</w:t>
      </w:r>
      <w:r w:rsidRPr="009E06AA">
        <w:rPr>
          <w:vertAlign w:val="subscript"/>
        </w:rPr>
        <w:t>2</w:t>
      </w:r>
      <w:r w:rsidRPr="009E06AA">
        <w:t>O emissions of 10.6 kg N head</w:t>
      </w:r>
      <w:r w:rsidRPr="009E06AA">
        <w:rPr>
          <w:vertAlign w:val="superscript"/>
        </w:rPr>
        <w:t>-1</w:t>
      </w:r>
      <w:r w:rsidRPr="009E06AA">
        <w:t xml:space="preserve"> year</w:t>
      </w:r>
      <w:r w:rsidRPr="009E06AA">
        <w:rPr>
          <w:vertAlign w:val="superscript"/>
        </w:rPr>
        <w:t>-1</w:t>
      </w:r>
      <w:r w:rsidRPr="009E06AA">
        <w:t xml:space="preserve"> for 1990 and 12.1 kg N head</w:t>
      </w:r>
      <w:r w:rsidRPr="009E06AA">
        <w:rPr>
          <w:vertAlign w:val="superscript"/>
        </w:rPr>
        <w:t>-1</w:t>
      </w:r>
      <w:r w:rsidRPr="009E06AA">
        <w:t xml:space="preserve"> year</w:t>
      </w:r>
      <w:r w:rsidRPr="009E06AA">
        <w:rPr>
          <w:vertAlign w:val="superscript"/>
        </w:rPr>
        <w:t>-1</w:t>
      </w:r>
      <w:r w:rsidRPr="009E06AA">
        <w:t xml:space="preserve"> for 2009 based on the differing population characteristics for those two years (Lassey, 2011). As explained in section 5.2.2 for </w:t>
      </w:r>
      <w:r w:rsidRPr="009E06AA">
        <w:rPr>
          <w:i/>
          <w:iCs/>
        </w:rPr>
        <w:t>Enteric fermentation</w:t>
      </w:r>
      <w:r w:rsidRPr="009E06AA">
        <w:t xml:space="preserve">, for the intermediate years between 1990 and 2009 and for later years, the excretion rate was interpolated based on assumptions that the dairy goat population has remained in a near constant state over time while the rest of the goat population has declined (see table 5.3.4). </w:t>
      </w:r>
    </w:p>
    <w:p w14:paraId="1AFD27D3" w14:textId="77777777" w:rsidR="007523B8" w:rsidRPr="009E06AA" w:rsidRDefault="007523B8" w:rsidP="00934445">
      <w:pPr>
        <w:pStyle w:val="BodyText"/>
        <w:spacing w:before="100" w:after="100"/>
      </w:pPr>
      <w:r w:rsidRPr="009E06AA">
        <w:rPr>
          <w:b/>
          <w:bCs/>
          <w:i/>
          <w:iCs/>
        </w:rPr>
        <w:t>Poultry:</w:t>
      </w:r>
      <w:r w:rsidRPr="009E06AA">
        <w:t xml:space="preserve"> New Zealand-specific and IPCC default N</w:t>
      </w:r>
      <w:r w:rsidRPr="009E06AA">
        <w:rPr>
          <w:vertAlign w:val="subscript"/>
        </w:rPr>
        <w:t>ex</w:t>
      </w:r>
      <w:r w:rsidRPr="009E06AA">
        <w:t xml:space="preserve"> rates are used for poultry (Fick et al., 2011). These are the country-specific values of 0.39 kg N head</w:t>
      </w:r>
      <w:r w:rsidRPr="009E06AA">
        <w:rPr>
          <w:vertAlign w:val="superscript"/>
        </w:rPr>
        <w:t>-1</w:t>
      </w:r>
      <w:r w:rsidRPr="009E06AA">
        <w:t xml:space="preserve"> year</w:t>
      </w:r>
      <w:r w:rsidRPr="009E06AA">
        <w:rPr>
          <w:vertAlign w:val="superscript"/>
        </w:rPr>
        <w:t>-1</w:t>
      </w:r>
      <w:r w:rsidRPr="009E06AA">
        <w:t xml:space="preserve"> for broiler birds and 0.42 kg N head</w:t>
      </w:r>
      <w:r w:rsidRPr="009E06AA">
        <w:rPr>
          <w:vertAlign w:val="superscript"/>
        </w:rPr>
        <w:t>-1</w:t>
      </w:r>
      <w:r w:rsidRPr="009E06AA">
        <w:t xml:space="preserve"> year</w:t>
      </w:r>
      <w:r w:rsidRPr="009E06AA">
        <w:rPr>
          <w:vertAlign w:val="superscript"/>
        </w:rPr>
        <w:t>-1</w:t>
      </w:r>
      <w:r w:rsidRPr="009E06AA">
        <w:t xml:space="preserve"> for layer hens. Ducks, turkeys and other poultry types, such as ostriches, make up around 1 per cent of New Zealand’s poultry population, and flock sizes are unclear because they are reported by Stats NZ under ‘other poultry’. Therefore, the value of 0.60 kg N head</w:t>
      </w:r>
      <w:r w:rsidRPr="009E06AA">
        <w:rPr>
          <w:vertAlign w:val="superscript"/>
        </w:rPr>
        <w:t>-1</w:t>
      </w:r>
      <w:r w:rsidRPr="009E06AA">
        <w:t xml:space="preserve"> year</w:t>
      </w:r>
      <w:r w:rsidRPr="009E06AA">
        <w:rPr>
          <w:vertAlign w:val="superscript"/>
        </w:rPr>
        <w:t>-1</w:t>
      </w:r>
      <w:r w:rsidRPr="009E06AA">
        <w:t xml:space="preserve"> for ducks and turkeys recommended by Fick et al. (2011) is retained. These values are used for all years from 1990. The overall N</w:t>
      </w:r>
      <w:r w:rsidRPr="009E06AA">
        <w:rPr>
          <w:vertAlign w:val="subscript"/>
        </w:rPr>
        <w:t>ex</w:t>
      </w:r>
      <w:r w:rsidRPr="009E06AA">
        <w:t xml:space="preserve"> rate for poultry is affected by the change over time in the population proportions of these different poultry categories.</w:t>
      </w:r>
    </w:p>
    <w:p w14:paraId="7CED8F42" w14:textId="77777777" w:rsidR="007523B8" w:rsidRPr="009E06AA" w:rsidRDefault="007523B8" w:rsidP="00934445">
      <w:pPr>
        <w:pStyle w:val="BodyText"/>
        <w:spacing w:before="100" w:after="100"/>
        <w:rPr>
          <w:rFonts w:cs="Calibri"/>
        </w:rPr>
      </w:pPr>
      <w:r w:rsidRPr="009E06AA">
        <w:rPr>
          <w:rFonts w:cs="Calibri"/>
          <w:b/>
          <w:bCs/>
          <w:i/>
          <w:iCs/>
        </w:rPr>
        <w:t>Horses</w:t>
      </w:r>
      <w:r w:rsidRPr="009E06AA">
        <w:rPr>
          <w:rFonts w:cs="Calibri"/>
          <w:b/>
          <w:bCs/>
        </w:rPr>
        <w:t xml:space="preserve">, and </w:t>
      </w:r>
      <w:r w:rsidRPr="009E06AA">
        <w:rPr>
          <w:rFonts w:cs="Calibri"/>
          <w:b/>
          <w:bCs/>
          <w:i/>
          <w:iCs/>
        </w:rPr>
        <w:t>Mules and asses:</w:t>
      </w:r>
      <w:r w:rsidRPr="009E06AA">
        <w:rPr>
          <w:rFonts w:cs="Calibri"/>
        </w:rPr>
        <w:t xml:space="preserve"> </w:t>
      </w:r>
      <w:r w:rsidRPr="009E06AA" w:rsidDel="007F459B">
        <w:t xml:space="preserve">New </w:t>
      </w:r>
      <w:r w:rsidRPr="009E06AA">
        <w:t>Zealand</w:t>
      </w:r>
      <w:r w:rsidRPr="009E06AA">
        <w:rPr>
          <w:rFonts w:cs="Calibri"/>
        </w:rPr>
        <w:t>-specific N</w:t>
      </w:r>
      <w:r w:rsidRPr="009E06AA">
        <w:rPr>
          <w:rFonts w:cs="Calibri"/>
          <w:vertAlign w:val="subscript"/>
        </w:rPr>
        <w:t>ex</w:t>
      </w:r>
      <w:r w:rsidRPr="009E06AA">
        <w:rPr>
          <w:rFonts w:cs="Calibri"/>
        </w:rPr>
        <w:t xml:space="preserve"> rates are not available for horses or mules and asses, and the default N</w:t>
      </w:r>
      <w:r w:rsidRPr="009E06AA">
        <w:rPr>
          <w:rFonts w:cs="Calibri"/>
          <w:vertAlign w:val="subscript"/>
        </w:rPr>
        <w:t>ex</w:t>
      </w:r>
      <w:r w:rsidRPr="009E06AA">
        <w:rPr>
          <w:rFonts w:cs="Calibri"/>
        </w:rPr>
        <w:t xml:space="preserve"> rate for Oceania of 0.3 kg N per 1,000 kg of animal mass per day is used (IPCC, 2006, table 10.19).</w:t>
      </w:r>
    </w:p>
    <w:p w14:paraId="409DCD5D" w14:textId="77777777" w:rsidR="007523B8" w:rsidRPr="009E06AA" w:rsidRDefault="007523B8" w:rsidP="00934445">
      <w:pPr>
        <w:pStyle w:val="BodyText"/>
        <w:spacing w:before="100" w:after="100"/>
        <w:rPr>
          <w:rFonts w:cs="Calibri"/>
          <w:spacing w:val="-2"/>
        </w:rPr>
      </w:pPr>
      <w:r w:rsidRPr="009E06AA">
        <w:rPr>
          <w:rFonts w:cs="Calibri"/>
          <w:b/>
          <w:bCs/>
          <w:i/>
          <w:iCs/>
          <w:spacing w:val="-2"/>
        </w:rPr>
        <w:t>Llamas</w:t>
      </w:r>
      <w:r w:rsidRPr="009E06AA">
        <w:rPr>
          <w:b/>
          <w:spacing w:val="-2"/>
        </w:rPr>
        <w:t xml:space="preserve"> </w:t>
      </w:r>
      <w:r w:rsidRPr="009E06AA">
        <w:rPr>
          <w:b/>
          <w:i/>
          <w:iCs/>
          <w:spacing w:val="-2"/>
        </w:rPr>
        <w:t>and</w:t>
      </w:r>
      <w:r w:rsidRPr="009E06AA">
        <w:rPr>
          <w:b/>
          <w:spacing w:val="-2"/>
        </w:rPr>
        <w:t xml:space="preserve"> </w:t>
      </w:r>
      <w:r w:rsidRPr="009E06AA">
        <w:rPr>
          <w:rFonts w:cs="Calibri"/>
          <w:b/>
          <w:bCs/>
          <w:i/>
          <w:iCs/>
          <w:spacing w:val="-2"/>
        </w:rPr>
        <w:t>alpacas</w:t>
      </w:r>
      <w:r w:rsidRPr="009E06AA">
        <w:rPr>
          <w:b/>
          <w:spacing w:val="-2"/>
        </w:rPr>
        <w:t>:</w:t>
      </w:r>
      <w:r w:rsidRPr="009E06AA">
        <w:rPr>
          <w:rFonts w:cs="Calibri"/>
          <w:i/>
          <w:iCs/>
          <w:spacing w:val="-2"/>
        </w:rPr>
        <w:t xml:space="preserve"> </w:t>
      </w:r>
      <w:r w:rsidRPr="009E06AA">
        <w:rPr>
          <w:rFonts w:cs="Calibri"/>
          <w:spacing w:val="-2"/>
        </w:rPr>
        <w:t>Because there is no IPCC default N</w:t>
      </w:r>
      <w:r w:rsidRPr="009E06AA">
        <w:rPr>
          <w:rFonts w:cs="Calibri"/>
          <w:spacing w:val="-2"/>
          <w:vertAlign w:val="subscript"/>
        </w:rPr>
        <w:t>ex</w:t>
      </w:r>
      <w:r w:rsidRPr="009E06AA">
        <w:rPr>
          <w:rFonts w:cs="Calibri"/>
          <w:spacing w:val="-2"/>
        </w:rPr>
        <w:t xml:space="preserve"> rate for </w:t>
      </w:r>
      <w:r w:rsidRPr="009E06AA">
        <w:rPr>
          <w:rFonts w:cs="Calibri"/>
          <w:i/>
          <w:iCs/>
          <w:spacing w:val="-2"/>
        </w:rPr>
        <w:t>Llamas and</w:t>
      </w:r>
      <w:r w:rsidRPr="009E06AA">
        <w:rPr>
          <w:rFonts w:cs="Calibri"/>
          <w:spacing w:val="-2"/>
        </w:rPr>
        <w:t xml:space="preserve"> </w:t>
      </w:r>
      <w:r w:rsidRPr="009E06AA">
        <w:rPr>
          <w:rFonts w:cs="Calibri"/>
          <w:i/>
          <w:iCs/>
          <w:spacing w:val="-2"/>
        </w:rPr>
        <w:t>alpacas</w:t>
      </w:r>
      <w:r w:rsidRPr="009E06AA">
        <w:rPr>
          <w:rFonts w:cs="Calibri"/>
          <w:spacing w:val="-2"/>
        </w:rPr>
        <w:t>, this was calculated by assuming a default N</w:t>
      </w:r>
      <w:r w:rsidRPr="009E06AA">
        <w:rPr>
          <w:rFonts w:cs="Calibri"/>
          <w:spacing w:val="-2"/>
          <w:vertAlign w:val="subscript"/>
        </w:rPr>
        <w:t>ex</w:t>
      </w:r>
      <w:r w:rsidRPr="009E06AA">
        <w:rPr>
          <w:rFonts w:cs="Calibri"/>
          <w:spacing w:val="-2"/>
        </w:rPr>
        <w:t xml:space="preserve"> rate for llamas and alpacas for all years that is equal to the per-head value of the average sheep in 1990 (i.e., 14.1 kg head</w:t>
      </w:r>
      <w:r w:rsidRPr="009E06AA">
        <w:rPr>
          <w:rFonts w:cs="Calibri"/>
          <w:spacing w:val="-2"/>
          <w:vertAlign w:val="superscript"/>
        </w:rPr>
        <w:t>-1</w:t>
      </w:r>
      <w:r w:rsidRPr="009E06AA">
        <w:rPr>
          <w:rFonts w:cs="Calibri"/>
          <w:spacing w:val="-2"/>
        </w:rPr>
        <w:t xml:space="preserve"> year</w:t>
      </w:r>
      <w:r w:rsidRPr="009E06AA">
        <w:rPr>
          <w:rFonts w:cs="Calibri"/>
          <w:spacing w:val="-2"/>
          <w:vertAlign w:val="superscript"/>
        </w:rPr>
        <w:t>-1</w:t>
      </w:r>
      <w:r w:rsidRPr="009E06AA">
        <w:rPr>
          <w:rFonts w:cs="Calibri"/>
          <w:spacing w:val="-2"/>
        </w:rPr>
        <w:t xml:space="preserve">). The llama and alpaca emission factor is not indexed to sheep over time because </w:t>
      </w:r>
      <w:r w:rsidRPr="009E06AA">
        <w:rPr>
          <w:rFonts w:cs="Calibri"/>
        </w:rPr>
        <w:t xml:space="preserve">there are </w:t>
      </w:r>
      <w:r w:rsidRPr="009E06AA">
        <w:t>no data</w:t>
      </w:r>
      <w:r w:rsidRPr="009E06AA">
        <w:rPr>
          <w:rFonts w:cs="Calibri"/>
        </w:rPr>
        <w:t> indicating that alpacas or llamas have had</w:t>
      </w:r>
      <w:r w:rsidRPr="009E06AA">
        <w:t xml:space="preserve"> the productivity increases </w:t>
      </w:r>
      <w:r w:rsidRPr="009E06AA">
        <w:rPr>
          <w:rFonts w:cs="Calibri"/>
        </w:rPr>
        <w:t>over time</w:t>
      </w:r>
      <w:r w:rsidRPr="009E06AA">
        <w:t xml:space="preserve"> seen in sheep</w:t>
      </w:r>
      <w:r w:rsidRPr="009E06AA">
        <w:rPr>
          <w:rFonts w:cs="Calibri"/>
          <w:spacing w:val="-2"/>
        </w:rPr>
        <w:t>. Sheep were used, rather than the IPCC default value for ‘other animals’, because the literature indicates that alpacas have a nitrogen intake close to that of sheep and no significant difference in the partitioning of nitrogen (Pinares-Patino et al., 2003).</w:t>
      </w:r>
    </w:p>
    <w:p w14:paraId="00DC4254" w14:textId="1CDCE618" w:rsidR="007523B8" w:rsidRPr="009E06AA" w:rsidRDefault="007523B8" w:rsidP="007523B8">
      <w:pPr>
        <w:pStyle w:val="Table"/>
        <w:rPr>
          <w:rFonts w:cs="Calibri"/>
        </w:rPr>
      </w:pPr>
      <w:bookmarkStart w:id="1066" w:name="_Toc441830876"/>
      <w:bookmarkStart w:id="1067" w:name="_Toc451176090"/>
      <w:bookmarkStart w:id="1068" w:name="_Toc481751518"/>
      <w:bookmarkStart w:id="1069" w:name="_Toc507158606"/>
      <w:bookmarkStart w:id="1070" w:name="_Toc511116740"/>
      <w:bookmarkStart w:id="1071" w:name="_Toc5269480"/>
      <w:bookmarkStart w:id="1072" w:name="_Toc32570923"/>
      <w:bookmarkStart w:id="1073" w:name="_Toc36224558"/>
      <w:bookmarkStart w:id="1074" w:name="_Toc68786443"/>
      <w:bookmarkStart w:id="1075" w:name="_Toc95574077"/>
      <w:bookmarkStart w:id="1076" w:name="_Toc127458262"/>
      <w:bookmarkStart w:id="1077" w:name="_Toc131591358"/>
      <w:bookmarkStart w:id="1078" w:name="_Toc160114450"/>
      <w:bookmarkStart w:id="1079" w:name="_Toc164153846"/>
      <w:r w:rsidRPr="009E06AA">
        <w:rPr>
          <w:rFonts w:cs="Calibri"/>
        </w:rPr>
        <w:t>Table 5.3.4</w:t>
      </w:r>
      <w:r w:rsidRPr="009E06AA">
        <w:rPr>
          <w:rFonts w:cs="Calibri"/>
        </w:rPr>
        <w:tab/>
        <w:t>Nitrogen excretion (N</w:t>
      </w:r>
      <w:r w:rsidRPr="009E06AA">
        <w:rPr>
          <w:rFonts w:cs="Calibri"/>
          <w:vertAlign w:val="subscript"/>
        </w:rPr>
        <w:t>ex</w:t>
      </w:r>
      <w:r w:rsidRPr="009E06AA">
        <w:rPr>
          <w:rFonts w:cs="Calibri"/>
        </w:rPr>
        <w:t xml:space="preserve">) rates for </w:t>
      </w:r>
      <w:r w:rsidRPr="009E06AA">
        <w:t>New Zealand’s</w:t>
      </w:r>
      <w:r w:rsidRPr="009E06AA">
        <w:rPr>
          <w:rFonts w:cs="Calibri"/>
        </w:rPr>
        <w:t xml:space="preserve"> swine and goats</w:t>
      </w:r>
      <w:r w:rsidR="0049793F" w:rsidRPr="009E06AA">
        <w:rPr>
          <w:rFonts w:cs="Calibri"/>
        </w:rPr>
        <w:t>,</w:t>
      </w:r>
      <w:r w:rsidRPr="009E06AA">
        <w:rPr>
          <w:rFonts w:cs="Calibri"/>
        </w:rPr>
        <w:t xml:space="preserve"> from 1990 to </w:t>
      </w:r>
      <w:bookmarkEnd w:id="1066"/>
      <w:bookmarkEnd w:id="1067"/>
      <w:bookmarkEnd w:id="1068"/>
      <w:bookmarkEnd w:id="1069"/>
      <w:bookmarkEnd w:id="1070"/>
      <w:bookmarkEnd w:id="1071"/>
      <w:bookmarkEnd w:id="1072"/>
      <w:bookmarkEnd w:id="1073"/>
      <w:bookmarkEnd w:id="1074"/>
      <w:bookmarkEnd w:id="1075"/>
      <w:r w:rsidRPr="009E06AA">
        <w:rPr>
          <w:rFonts w:cs="Calibri"/>
        </w:rPr>
        <w:t>202</w:t>
      </w:r>
      <w:bookmarkEnd w:id="1076"/>
      <w:bookmarkEnd w:id="1077"/>
      <w:r w:rsidRPr="009E06AA">
        <w:rPr>
          <w:rFonts w:cs="Calibri"/>
        </w:rPr>
        <w:t>2</w:t>
      </w:r>
      <w:bookmarkEnd w:id="1078"/>
      <w:bookmarkEnd w:id="1079"/>
    </w:p>
    <w:tbl>
      <w:tblPr>
        <w:tblW w:w="8505" w:type="dxa"/>
        <w:tblBorders>
          <w:top w:val="single" w:sz="4" w:space="0" w:color="1B556B" w:themeColor="text2"/>
          <w:bottom w:val="single" w:sz="4" w:space="0" w:color="1B556B" w:themeColor="text2"/>
          <w:insideH w:val="single" w:sz="4" w:space="0" w:color="1B556B" w:themeColor="text2"/>
        </w:tblBorders>
        <w:tblLook w:val="0000" w:firstRow="0" w:lastRow="0" w:firstColumn="0" w:lastColumn="0" w:noHBand="0" w:noVBand="0"/>
      </w:tblPr>
      <w:tblGrid>
        <w:gridCol w:w="930"/>
        <w:gridCol w:w="1601"/>
        <w:gridCol w:w="1601"/>
        <w:gridCol w:w="349"/>
        <w:gridCol w:w="987"/>
        <w:gridCol w:w="1601"/>
        <w:gridCol w:w="1436"/>
      </w:tblGrid>
      <w:tr w:rsidR="007523B8" w:rsidRPr="009E06AA" w14:paraId="4D3B3034" w14:textId="77777777" w:rsidTr="00B55F24">
        <w:trPr>
          <w:tblHeader/>
        </w:trPr>
        <w:tc>
          <w:tcPr>
            <w:tcW w:w="547" w:type="pct"/>
            <w:tcBorders>
              <w:bottom w:val="single" w:sz="4" w:space="0" w:color="1B556B" w:themeColor="text2"/>
              <w:right w:val="nil"/>
            </w:tcBorders>
            <w:shd w:val="clear" w:color="auto" w:fill="1B556B"/>
            <w:noWrap/>
            <w:vAlign w:val="bottom"/>
          </w:tcPr>
          <w:p w14:paraId="1CE94651" w14:textId="77777777" w:rsidR="007523B8" w:rsidRPr="009E06AA" w:rsidRDefault="007523B8" w:rsidP="00B55F24">
            <w:pPr>
              <w:pStyle w:val="TableTextBold"/>
              <w:keepNext/>
              <w:spacing w:before="40" w:after="40"/>
              <w:rPr>
                <w:noProof w:val="0"/>
                <w:color w:val="FFFFFF" w:themeColor="background1"/>
              </w:rPr>
            </w:pPr>
            <w:r w:rsidRPr="009E06AA">
              <w:rPr>
                <w:noProof w:val="0"/>
                <w:color w:val="FFFFFF" w:themeColor="background1"/>
              </w:rPr>
              <w:t>Year</w:t>
            </w:r>
          </w:p>
        </w:tc>
        <w:tc>
          <w:tcPr>
            <w:tcW w:w="941" w:type="pct"/>
            <w:tcBorders>
              <w:left w:val="nil"/>
              <w:right w:val="nil"/>
            </w:tcBorders>
            <w:shd w:val="clear" w:color="auto" w:fill="1B556B"/>
            <w:noWrap/>
            <w:vAlign w:val="bottom"/>
          </w:tcPr>
          <w:p w14:paraId="3C3B54F0" w14:textId="77777777" w:rsidR="007523B8" w:rsidRPr="009E06AA" w:rsidRDefault="007523B8" w:rsidP="00934445">
            <w:pPr>
              <w:pStyle w:val="TableTextBold"/>
              <w:keepNext/>
              <w:spacing w:before="40" w:after="40"/>
              <w:jc w:val="right"/>
              <w:rPr>
                <w:noProof w:val="0"/>
                <w:color w:val="FFFFFF" w:themeColor="background1"/>
              </w:rPr>
            </w:pPr>
            <w:r w:rsidRPr="009E06AA">
              <w:rPr>
                <w:noProof w:val="0"/>
                <w:color w:val="FFFFFF" w:themeColor="background1"/>
              </w:rPr>
              <w:t>Goat N</w:t>
            </w:r>
            <w:r w:rsidRPr="009E06AA">
              <w:rPr>
                <w:noProof w:val="0"/>
                <w:color w:val="FFFFFF" w:themeColor="background1"/>
                <w:vertAlign w:val="subscript"/>
              </w:rPr>
              <w:t xml:space="preserve">ex </w:t>
            </w:r>
            <w:r w:rsidRPr="009E06AA">
              <w:rPr>
                <w:noProof w:val="0"/>
                <w:color w:val="FFFFFF" w:themeColor="background1"/>
              </w:rPr>
              <w:br/>
              <w:t>(kg/head/year)</w:t>
            </w:r>
          </w:p>
        </w:tc>
        <w:tc>
          <w:tcPr>
            <w:tcW w:w="941" w:type="pct"/>
            <w:tcBorders>
              <w:left w:val="nil"/>
              <w:right w:val="nil"/>
            </w:tcBorders>
            <w:shd w:val="clear" w:color="auto" w:fill="1B556B"/>
            <w:noWrap/>
            <w:vAlign w:val="bottom"/>
          </w:tcPr>
          <w:p w14:paraId="4B36536A" w14:textId="77777777" w:rsidR="007523B8" w:rsidRPr="009E06AA" w:rsidRDefault="007523B8" w:rsidP="00934445">
            <w:pPr>
              <w:pStyle w:val="TableTextBold"/>
              <w:keepNext/>
              <w:spacing w:before="40" w:after="40"/>
              <w:jc w:val="right"/>
              <w:rPr>
                <w:noProof w:val="0"/>
                <w:color w:val="FFFFFF" w:themeColor="background1"/>
              </w:rPr>
            </w:pPr>
            <w:r w:rsidRPr="009E06AA">
              <w:rPr>
                <w:noProof w:val="0"/>
                <w:color w:val="FFFFFF" w:themeColor="background1"/>
              </w:rPr>
              <w:t>Swine N</w:t>
            </w:r>
            <w:r w:rsidRPr="009E06AA">
              <w:rPr>
                <w:noProof w:val="0"/>
                <w:color w:val="FFFFFF" w:themeColor="background1"/>
                <w:vertAlign w:val="subscript"/>
              </w:rPr>
              <w:t>ex</w:t>
            </w:r>
            <w:r w:rsidRPr="009E06AA">
              <w:rPr>
                <w:noProof w:val="0"/>
                <w:color w:val="FFFFFF" w:themeColor="background1"/>
              </w:rPr>
              <w:t xml:space="preserve"> </w:t>
            </w:r>
            <w:r w:rsidRPr="009E06AA">
              <w:rPr>
                <w:noProof w:val="0"/>
                <w:color w:val="FFFFFF" w:themeColor="background1"/>
              </w:rPr>
              <w:br/>
              <w:t>(kg/head/year)</w:t>
            </w:r>
          </w:p>
        </w:tc>
        <w:tc>
          <w:tcPr>
            <w:tcW w:w="205" w:type="pct"/>
            <w:tcBorders>
              <w:left w:val="nil"/>
              <w:bottom w:val="single" w:sz="4" w:space="0" w:color="1B556B" w:themeColor="text2"/>
              <w:right w:val="nil"/>
            </w:tcBorders>
            <w:shd w:val="clear" w:color="auto" w:fill="1B556B"/>
          </w:tcPr>
          <w:p w14:paraId="7E2AF1F4" w14:textId="77777777" w:rsidR="007523B8" w:rsidRPr="009E06AA" w:rsidRDefault="007523B8" w:rsidP="00B55F24">
            <w:pPr>
              <w:pStyle w:val="TableTextBold"/>
              <w:keepNext/>
              <w:spacing w:before="40" w:after="40"/>
              <w:rPr>
                <w:b w:val="0"/>
                <w:bCs/>
                <w:noProof w:val="0"/>
                <w:color w:val="FFFFFF" w:themeColor="background1"/>
              </w:rPr>
            </w:pPr>
          </w:p>
        </w:tc>
        <w:tc>
          <w:tcPr>
            <w:tcW w:w="580" w:type="pct"/>
            <w:tcBorders>
              <w:left w:val="nil"/>
              <w:bottom w:val="single" w:sz="4" w:space="0" w:color="1B556B" w:themeColor="text2"/>
              <w:right w:val="nil"/>
            </w:tcBorders>
            <w:shd w:val="clear" w:color="auto" w:fill="1B556B"/>
            <w:noWrap/>
            <w:vAlign w:val="bottom"/>
          </w:tcPr>
          <w:p w14:paraId="509125C9" w14:textId="77777777" w:rsidR="007523B8" w:rsidRPr="009E06AA" w:rsidRDefault="007523B8" w:rsidP="00B55F24">
            <w:pPr>
              <w:pStyle w:val="TableTextBold"/>
              <w:keepNext/>
              <w:spacing w:before="40" w:after="40"/>
              <w:rPr>
                <w:noProof w:val="0"/>
                <w:color w:val="FFFFFF" w:themeColor="background1"/>
              </w:rPr>
            </w:pPr>
            <w:r w:rsidRPr="009E06AA">
              <w:rPr>
                <w:noProof w:val="0"/>
                <w:color w:val="FFFFFF" w:themeColor="background1"/>
              </w:rPr>
              <w:t>Year</w:t>
            </w:r>
          </w:p>
        </w:tc>
        <w:tc>
          <w:tcPr>
            <w:tcW w:w="941" w:type="pct"/>
            <w:tcBorders>
              <w:left w:val="nil"/>
              <w:bottom w:val="single" w:sz="4" w:space="0" w:color="1B556B" w:themeColor="text2"/>
              <w:right w:val="nil"/>
            </w:tcBorders>
            <w:shd w:val="clear" w:color="auto" w:fill="1B556B"/>
            <w:noWrap/>
            <w:vAlign w:val="bottom"/>
          </w:tcPr>
          <w:p w14:paraId="6B636B81" w14:textId="77777777" w:rsidR="007523B8" w:rsidRPr="009E06AA" w:rsidRDefault="007523B8" w:rsidP="00934445">
            <w:pPr>
              <w:pStyle w:val="TableTextBold"/>
              <w:keepNext/>
              <w:spacing w:before="40" w:after="40"/>
              <w:jc w:val="right"/>
              <w:rPr>
                <w:noProof w:val="0"/>
                <w:color w:val="FFFFFF" w:themeColor="background1"/>
              </w:rPr>
            </w:pPr>
            <w:r w:rsidRPr="009E06AA">
              <w:rPr>
                <w:noProof w:val="0"/>
                <w:color w:val="FFFFFF" w:themeColor="background1"/>
              </w:rPr>
              <w:t>Goat N</w:t>
            </w:r>
            <w:r w:rsidRPr="009E06AA">
              <w:rPr>
                <w:noProof w:val="0"/>
                <w:color w:val="FFFFFF" w:themeColor="background1"/>
                <w:vertAlign w:val="subscript"/>
              </w:rPr>
              <w:t xml:space="preserve">ex </w:t>
            </w:r>
            <w:r w:rsidRPr="009E06AA">
              <w:rPr>
                <w:noProof w:val="0"/>
                <w:color w:val="FFFFFF" w:themeColor="background1"/>
              </w:rPr>
              <w:br/>
              <w:t>(kg/head/year)</w:t>
            </w:r>
          </w:p>
        </w:tc>
        <w:tc>
          <w:tcPr>
            <w:tcW w:w="844" w:type="pct"/>
            <w:tcBorders>
              <w:left w:val="nil"/>
              <w:bottom w:val="single" w:sz="4" w:space="0" w:color="1B556B" w:themeColor="text2"/>
            </w:tcBorders>
            <w:shd w:val="clear" w:color="auto" w:fill="1B556B"/>
            <w:vAlign w:val="bottom"/>
          </w:tcPr>
          <w:p w14:paraId="60202BBF" w14:textId="77777777" w:rsidR="007523B8" w:rsidRPr="009E06AA" w:rsidRDefault="007523B8" w:rsidP="00934445">
            <w:pPr>
              <w:pStyle w:val="TableTextBold"/>
              <w:keepNext/>
              <w:spacing w:before="40" w:after="40"/>
              <w:jc w:val="right"/>
              <w:rPr>
                <w:noProof w:val="0"/>
                <w:color w:val="FFFFFF" w:themeColor="background1"/>
              </w:rPr>
            </w:pPr>
            <w:r w:rsidRPr="009E06AA">
              <w:rPr>
                <w:noProof w:val="0"/>
                <w:color w:val="FFFFFF" w:themeColor="background1"/>
              </w:rPr>
              <w:t>Swine N</w:t>
            </w:r>
            <w:r w:rsidRPr="009E06AA">
              <w:rPr>
                <w:noProof w:val="0"/>
                <w:color w:val="FFFFFF" w:themeColor="background1"/>
                <w:vertAlign w:val="subscript"/>
              </w:rPr>
              <w:t xml:space="preserve">ex </w:t>
            </w:r>
            <w:r w:rsidRPr="009E06AA">
              <w:rPr>
                <w:noProof w:val="0"/>
                <w:color w:val="FFFFFF" w:themeColor="background1"/>
              </w:rPr>
              <w:br/>
              <w:t>(kg/head/year)</w:t>
            </w:r>
          </w:p>
        </w:tc>
      </w:tr>
      <w:tr w:rsidR="007523B8" w:rsidRPr="009E06AA" w14:paraId="0B55731E" w14:textId="77777777" w:rsidTr="00B55F24">
        <w:tc>
          <w:tcPr>
            <w:tcW w:w="547" w:type="pct"/>
            <w:tcBorders>
              <w:left w:val="nil"/>
            </w:tcBorders>
            <w:shd w:val="clear" w:color="auto" w:fill="auto"/>
            <w:noWrap/>
          </w:tcPr>
          <w:p w14:paraId="72B5115B" w14:textId="77777777" w:rsidR="007523B8" w:rsidRPr="009E06AA" w:rsidRDefault="007523B8" w:rsidP="00934445">
            <w:pPr>
              <w:pStyle w:val="TableText"/>
              <w:keepNext/>
              <w:spacing w:before="40" w:after="30"/>
            </w:pPr>
            <w:r w:rsidRPr="009E06AA">
              <w:t>1990</w:t>
            </w:r>
          </w:p>
        </w:tc>
        <w:tc>
          <w:tcPr>
            <w:tcW w:w="941" w:type="pct"/>
            <w:shd w:val="clear" w:color="auto" w:fill="auto"/>
            <w:noWrap/>
          </w:tcPr>
          <w:p w14:paraId="2767C16D" w14:textId="77777777" w:rsidR="007523B8" w:rsidRPr="009E06AA" w:rsidRDefault="007523B8" w:rsidP="00934445">
            <w:pPr>
              <w:pStyle w:val="TableText"/>
              <w:keepNext/>
              <w:spacing w:before="40" w:after="30"/>
              <w:jc w:val="right"/>
              <w:rPr>
                <w:rFonts w:asciiTheme="minorHAnsi" w:hAnsiTheme="minorHAnsi"/>
              </w:rPr>
            </w:pPr>
            <w:r w:rsidRPr="009E06AA">
              <w:t>10.6</w:t>
            </w:r>
          </w:p>
        </w:tc>
        <w:tc>
          <w:tcPr>
            <w:tcW w:w="941" w:type="pct"/>
            <w:tcBorders>
              <w:right w:val="single" w:sz="4" w:space="0" w:color="1B556B" w:themeColor="text2"/>
            </w:tcBorders>
            <w:shd w:val="clear" w:color="auto" w:fill="auto"/>
            <w:noWrap/>
          </w:tcPr>
          <w:p w14:paraId="527445B1" w14:textId="77777777" w:rsidR="007523B8" w:rsidRPr="009E06AA" w:rsidRDefault="007523B8" w:rsidP="00934445">
            <w:pPr>
              <w:pStyle w:val="TableText"/>
              <w:keepNext/>
              <w:spacing w:before="40" w:after="30"/>
              <w:jc w:val="right"/>
              <w:rPr>
                <w:rFonts w:asciiTheme="minorHAnsi" w:hAnsiTheme="minorHAnsi"/>
              </w:rPr>
            </w:pPr>
            <w:r w:rsidRPr="009E06AA">
              <w:t>9.0</w:t>
            </w:r>
          </w:p>
        </w:tc>
        <w:tc>
          <w:tcPr>
            <w:tcW w:w="205" w:type="pct"/>
            <w:tcBorders>
              <w:left w:val="single" w:sz="4" w:space="0" w:color="1B556B" w:themeColor="text2"/>
              <w:bottom w:val="nil"/>
              <w:right w:val="single" w:sz="4" w:space="0" w:color="1B556B" w:themeColor="text2"/>
            </w:tcBorders>
          </w:tcPr>
          <w:p w14:paraId="51A281FF" w14:textId="77777777" w:rsidR="007523B8" w:rsidRPr="009E06AA" w:rsidRDefault="007523B8" w:rsidP="00934445">
            <w:pPr>
              <w:pStyle w:val="TableText"/>
              <w:keepNext/>
              <w:spacing w:before="40" w:after="30"/>
            </w:pPr>
          </w:p>
        </w:tc>
        <w:tc>
          <w:tcPr>
            <w:tcW w:w="580" w:type="pct"/>
            <w:tcBorders>
              <w:left w:val="single" w:sz="4" w:space="0" w:color="1B556B" w:themeColor="text2"/>
            </w:tcBorders>
            <w:noWrap/>
          </w:tcPr>
          <w:p w14:paraId="626206A6" w14:textId="77777777" w:rsidR="007523B8" w:rsidRPr="009E06AA" w:rsidRDefault="007523B8" w:rsidP="00934445">
            <w:pPr>
              <w:pStyle w:val="TableText"/>
              <w:keepNext/>
              <w:spacing w:before="40" w:after="30"/>
            </w:pPr>
            <w:r w:rsidRPr="009E06AA">
              <w:t>2007</w:t>
            </w:r>
          </w:p>
        </w:tc>
        <w:tc>
          <w:tcPr>
            <w:tcW w:w="941" w:type="pct"/>
            <w:shd w:val="clear" w:color="auto" w:fill="auto"/>
            <w:noWrap/>
          </w:tcPr>
          <w:p w14:paraId="65A60789" w14:textId="77777777" w:rsidR="007523B8" w:rsidRPr="009E06AA" w:rsidRDefault="007523B8" w:rsidP="00934445">
            <w:pPr>
              <w:pStyle w:val="TableText"/>
              <w:keepNext/>
              <w:spacing w:before="40" w:after="30"/>
              <w:jc w:val="right"/>
              <w:rPr>
                <w:rFonts w:asciiTheme="minorHAnsi" w:hAnsiTheme="minorHAnsi"/>
              </w:rPr>
            </w:pPr>
            <w:r w:rsidRPr="009E06AA">
              <w:t>11.9</w:t>
            </w:r>
          </w:p>
        </w:tc>
        <w:tc>
          <w:tcPr>
            <w:tcW w:w="844" w:type="pct"/>
            <w:tcBorders>
              <w:right w:val="nil"/>
            </w:tcBorders>
            <w:shd w:val="clear" w:color="auto" w:fill="auto"/>
          </w:tcPr>
          <w:p w14:paraId="2D7C0EED" w14:textId="77777777" w:rsidR="007523B8" w:rsidRPr="009E06AA" w:rsidRDefault="007523B8" w:rsidP="00934445">
            <w:pPr>
              <w:pStyle w:val="TableText"/>
              <w:keepNext/>
              <w:spacing w:before="40" w:after="30"/>
              <w:jc w:val="right"/>
              <w:rPr>
                <w:rFonts w:asciiTheme="minorHAnsi" w:hAnsiTheme="minorHAnsi"/>
              </w:rPr>
            </w:pPr>
            <w:r w:rsidRPr="009E06AA">
              <w:t>10.8</w:t>
            </w:r>
          </w:p>
        </w:tc>
      </w:tr>
      <w:tr w:rsidR="007523B8" w:rsidRPr="009E06AA" w14:paraId="6953B879" w14:textId="77777777" w:rsidTr="00B55F24">
        <w:tc>
          <w:tcPr>
            <w:tcW w:w="547" w:type="pct"/>
            <w:tcBorders>
              <w:left w:val="nil"/>
            </w:tcBorders>
            <w:shd w:val="clear" w:color="auto" w:fill="auto"/>
            <w:noWrap/>
          </w:tcPr>
          <w:p w14:paraId="682DF148" w14:textId="77777777" w:rsidR="007523B8" w:rsidRPr="009E06AA" w:rsidRDefault="007523B8" w:rsidP="00934445">
            <w:pPr>
              <w:pStyle w:val="TableText"/>
              <w:keepNext/>
              <w:spacing w:before="40" w:after="30"/>
            </w:pPr>
            <w:r w:rsidRPr="009E06AA">
              <w:t>1991</w:t>
            </w:r>
          </w:p>
        </w:tc>
        <w:tc>
          <w:tcPr>
            <w:tcW w:w="941" w:type="pct"/>
            <w:shd w:val="clear" w:color="auto" w:fill="auto"/>
            <w:noWrap/>
          </w:tcPr>
          <w:p w14:paraId="458E3784" w14:textId="77777777" w:rsidR="007523B8" w:rsidRPr="009E06AA" w:rsidRDefault="007523B8" w:rsidP="00934445">
            <w:pPr>
              <w:pStyle w:val="TableText"/>
              <w:keepNext/>
              <w:spacing w:before="40" w:after="30"/>
              <w:jc w:val="right"/>
              <w:rPr>
                <w:rFonts w:asciiTheme="minorHAnsi" w:hAnsiTheme="minorHAnsi"/>
              </w:rPr>
            </w:pPr>
            <w:r w:rsidRPr="009E06AA">
              <w:t>10.7</w:t>
            </w:r>
          </w:p>
        </w:tc>
        <w:tc>
          <w:tcPr>
            <w:tcW w:w="941" w:type="pct"/>
            <w:tcBorders>
              <w:right w:val="single" w:sz="4" w:space="0" w:color="1B556B" w:themeColor="text2"/>
            </w:tcBorders>
            <w:shd w:val="clear" w:color="auto" w:fill="auto"/>
            <w:noWrap/>
          </w:tcPr>
          <w:p w14:paraId="7BF48D0E" w14:textId="77777777" w:rsidR="007523B8" w:rsidRPr="009E06AA" w:rsidRDefault="007523B8" w:rsidP="00934445">
            <w:pPr>
              <w:pStyle w:val="TableText"/>
              <w:keepNext/>
              <w:spacing w:before="40" w:after="30"/>
              <w:jc w:val="right"/>
              <w:rPr>
                <w:rFonts w:asciiTheme="minorHAnsi" w:hAnsiTheme="minorHAnsi"/>
              </w:rPr>
            </w:pPr>
            <w:r w:rsidRPr="009E06AA">
              <w:t>9.2</w:t>
            </w:r>
          </w:p>
        </w:tc>
        <w:tc>
          <w:tcPr>
            <w:tcW w:w="205" w:type="pct"/>
            <w:tcBorders>
              <w:top w:val="nil"/>
              <w:left w:val="single" w:sz="4" w:space="0" w:color="1B556B" w:themeColor="text2"/>
              <w:bottom w:val="nil"/>
              <w:right w:val="single" w:sz="4" w:space="0" w:color="1B556B" w:themeColor="text2"/>
            </w:tcBorders>
          </w:tcPr>
          <w:p w14:paraId="6FD44493" w14:textId="77777777" w:rsidR="007523B8" w:rsidRPr="009E06AA" w:rsidRDefault="007523B8" w:rsidP="00934445">
            <w:pPr>
              <w:pStyle w:val="TableText"/>
              <w:keepNext/>
              <w:spacing w:before="40" w:after="30"/>
            </w:pPr>
          </w:p>
        </w:tc>
        <w:tc>
          <w:tcPr>
            <w:tcW w:w="580" w:type="pct"/>
            <w:tcBorders>
              <w:left w:val="single" w:sz="4" w:space="0" w:color="1B556B" w:themeColor="text2"/>
            </w:tcBorders>
            <w:noWrap/>
          </w:tcPr>
          <w:p w14:paraId="3D57AA39" w14:textId="77777777" w:rsidR="007523B8" w:rsidRPr="009E06AA" w:rsidRDefault="007523B8" w:rsidP="00934445">
            <w:pPr>
              <w:pStyle w:val="TableText"/>
              <w:keepNext/>
              <w:spacing w:before="40" w:after="30"/>
            </w:pPr>
            <w:r w:rsidRPr="009E06AA">
              <w:t>2008</w:t>
            </w:r>
          </w:p>
        </w:tc>
        <w:tc>
          <w:tcPr>
            <w:tcW w:w="941" w:type="pct"/>
            <w:shd w:val="clear" w:color="auto" w:fill="auto"/>
            <w:noWrap/>
          </w:tcPr>
          <w:p w14:paraId="672A190F" w14:textId="77777777" w:rsidR="007523B8" w:rsidRPr="009E06AA" w:rsidRDefault="007523B8" w:rsidP="00934445">
            <w:pPr>
              <w:pStyle w:val="TableText"/>
              <w:keepNext/>
              <w:spacing w:before="40" w:after="30"/>
              <w:jc w:val="right"/>
              <w:rPr>
                <w:rFonts w:asciiTheme="minorHAnsi" w:hAnsiTheme="minorHAnsi"/>
              </w:rPr>
            </w:pPr>
            <w:r w:rsidRPr="009E06AA">
              <w:t>12.0</w:t>
            </w:r>
          </w:p>
        </w:tc>
        <w:tc>
          <w:tcPr>
            <w:tcW w:w="844" w:type="pct"/>
            <w:tcBorders>
              <w:right w:val="nil"/>
            </w:tcBorders>
            <w:shd w:val="clear" w:color="auto" w:fill="auto"/>
          </w:tcPr>
          <w:p w14:paraId="551031CF" w14:textId="77777777" w:rsidR="007523B8" w:rsidRPr="009E06AA" w:rsidRDefault="007523B8" w:rsidP="00934445">
            <w:pPr>
              <w:pStyle w:val="TableText"/>
              <w:keepNext/>
              <w:spacing w:before="40" w:after="30"/>
              <w:jc w:val="right"/>
              <w:rPr>
                <w:rFonts w:asciiTheme="minorHAnsi" w:hAnsiTheme="minorHAnsi"/>
              </w:rPr>
            </w:pPr>
            <w:r w:rsidRPr="009E06AA">
              <w:t>10.8</w:t>
            </w:r>
          </w:p>
        </w:tc>
      </w:tr>
      <w:tr w:rsidR="007523B8" w:rsidRPr="009E06AA" w14:paraId="16896928" w14:textId="77777777" w:rsidTr="00B55F24">
        <w:tc>
          <w:tcPr>
            <w:tcW w:w="547" w:type="pct"/>
            <w:tcBorders>
              <w:left w:val="nil"/>
            </w:tcBorders>
            <w:shd w:val="clear" w:color="auto" w:fill="auto"/>
            <w:noWrap/>
          </w:tcPr>
          <w:p w14:paraId="4BD8F7D6" w14:textId="77777777" w:rsidR="007523B8" w:rsidRPr="009E06AA" w:rsidRDefault="007523B8" w:rsidP="00934445">
            <w:pPr>
              <w:pStyle w:val="TableText"/>
              <w:keepNext/>
              <w:spacing w:before="40" w:after="30"/>
            </w:pPr>
            <w:r w:rsidRPr="009E06AA">
              <w:t>1992</w:t>
            </w:r>
          </w:p>
        </w:tc>
        <w:tc>
          <w:tcPr>
            <w:tcW w:w="941" w:type="pct"/>
            <w:shd w:val="clear" w:color="auto" w:fill="auto"/>
            <w:noWrap/>
          </w:tcPr>
          <w:p w14:paraId="5DA8AC93" w14:textId="77777777" w:rsidR="007523B8" w:rsidRPr="009E06AA" w:rsidRDefault="007523B8" w:rsidP="00934445">
            <w:pPr>
              <w:pStyle w:val="TableText"/>
              <w:keepNext/>
              <w:spacing w:before="40" w:after="30"/>
              <w:jc w:val="right"/>
              <w:rPr>
                <w:rFonts w:asciiTheme="minorHAnsi" w:hAnsiTheme="minorHAnsi"/>
              </w:rPr>
            </w:pPr>
            <w:r w:rsidRPr="009E06AA">
              <w:t>10.8</w:t>
            </w:r>
          </w:p>
        </w:tc>
        <w:tc>
          <w:tcPr>
            <w:tcW w:w="941" w:type="pct"/>
            <w:tcBorders>
              <w:right w:val="single" w:sz="4" w:space="0" w:color="1B556B" w:themeColor="text2"/>
            </w:tcBorders>
            <w:shd w:val="clear" w:color="auto" w:fill="auto"/>
            <w:noWrap/>
          </w:tcPr>
          <w:p w14:paraId="2AF16975" w14:textId="77777777" w:rsidR="007523B8" w:rsidRPr="009E06AA" w:rsidRDefault="007523B8" w:rsidP="00934445">
            <w:pPr>
              <w:pStyle w:val="TableText"/>
              <w:keepNext/>
              <w:spacing w:before="40" w:after="30"/>
              <w:jc w:val="right"/>
              <w:rPr>
                <w:rFonts w:asciiTheme="minorHAnsi" w:hAnsiTheme="minorHAnsi"/>
              </w:rPr>
            </w:pPr>
            <w:r w:rsidRPr="009E06AA">
              <w:t>9.3</w:t>
            </w:r>
          </w:p>
        </w:tc>
        <w:tc>
          <w:tcPr>
            <w:tcW w:w="205" w:type="pct"/>
            <w:tcBorders>
              <w:top w:val="nil"/>
              <w:left w:val="single" w:sz="4" w:space="0" w:color="1B556B" w:themeColor="text2"/>
              <w:bottom w:val="nil"/>
              <w:right w:val="single" w:sz="4" w:space="0" w:color="1B556B" w:themeColor="text2"/>
            </w:tcBorders>
          </w:tcPr>
          <w:p w14:paraId="0A67701E" w14:textId="77777777" w:rsidR="007523B8" w:rsidRPr="009E06AA" w:rsidRDefault="007523B8" w:rsidP="00934445">
            <w:pPr>
              <w:pStyle w:val="TableText"/>
              <w:keepNext/>
              <w:spacing w:before="40" w:after="30"/>
            </w:pPr>
          </w:p>
        </w:tc>
        <w:tc>
          <w:tcPr>
            <w:tcW w:w="580" w:type="pct"/>
            <w:tcBorders>
              <w:left w:val="single" w:sz="4" w:space="0" w:color="1B556B" w:themeColor="text2"/>
            </w:tcBorders>
            <w:noWrap/>
          </w:tcPr>
          <w:p w14:paraId="3D44F4BB" w14:textId="77777777" w:rsidR="007523B8" w:rsidRPr="009E06AA" w:rsidRDefault="007523B8" w:rsidP="00934445">
            <w:pPr>
              <w:pStyle w:val="TableText"/>
              <w:keepNext/>
              <w:spacing w:before="40" w:after="30"/>
            </w:pPr>
            <w:r w:rsidRPr="009E06AA">
              <w:t>2009</w:t>
            </w:r>
          </w:p>
        </w:tc>
        <w:tc>
          <w:tcPr>
            <w:tcW w:w="941" w:type="pct"/>
            <w:shd w:val="clear" w:color="auto" w:fill="auto"/>
            <w:noWrap/>
          </w:tcPr>
          <w:p w14:paraId="196D8EDD" w14:textId="77777777" w:rsidR="007523B8" w:rsidRPr="009E06AA" w:rsidRDefault="007523B8" w:rsidP="00934445">
            <w:pPr>
              <w:pStyle w:val="TableText"/>
              <w:keepNext/>
              <w:spacing w:before="40" w:after="30"/>
              <w:jc w:val="right"/>
              <w:rPr>
                <w:rFonts w:asciiTheme="minorHAnsi" w:hAnsiTheme="minorHAnsi"/>
              </w:rPr>
            </w:pPr>
            <w:r w:rsidRPr="009E06AA">
              <w:t>12.1</w:t>
            </w:r>
          </w:p>
        </w:tc>
        <w:tc>
          <w:tcPr>
            <w:tcW w:w="844" w:type="pct"/>
            <w:tcBorders>
              <w:right w:val="nil"/>
            </w:tcBorders>
            <w:shd w:val="clear" w:color="auto" w:fill="auto"/>
          </w:tcPr>
          <w:p w14:paraId="1B0E8177" w14:textId="77777777" w:rsidR="007523B8" w:rsidRPr="009E06AA" w:rsidRDefault="007523B8" w:rsidP="00934445">
            <w:pPr>
              <w:pStyle w:val="TableText"/>
              <w:keepNext/>
              <w:spacing w:before="40" w:after="30"/>
              <w:jc w:val="right"/>
              <w:rPr>
                <w:rFonts w:asciiTheme="minorHAnsi" w:hAnsiTheme="minorHAnsi"/>
              </w:rPr>
            </w:pPr>
            <w:r w:rsidRPr="009E06AA">
              <w:t>10.8</w:t>
            </w:r>
          </w:p>
        </w:tc>
      </w:tr>
      <w:tr w:rsidR="007523B8" w:rsidRPr="009E06AA" w14:paraId="2FE2BDF5" w14:textId="77777777" w:rsidTr="00B55F24">
        <w:tc>
          <w:tcPr>
            <w:tcW w:w="547" w:type="pct"/>
            <w:tcBorders>
              <w:left w:val="nil"/>
            </w:tcBorders>
            <w:shd w:val="clear" w:color="auto" w:fill="auto"/>
            <w:noWrap/>
          </w:tcPr>
          <w:p w14:paraId="3093DC7A" w14:textId="77777777" w:rsidR="007523B8" w:rsidRPr="009E06AA" w:rsidRDefault="007523B8" w:rsidP="00934445">
            <w:pPr>
              <w:pStyle w:val="TableText"/>
              <w:spacing w:before="40" w:after="30"/>
            </w:pPr>
            <w:r w:rsidRPr="009E06AA">
              <w:t>1993</w:t>
            </w:r>
          </w:p>
        </w:tc>
        <w:tc>
          <w:tcPr>
            <w:tcW w:w="941" w:type="pct"/>
            <w:shd w:val="clear" w:color="auto" w:fill="auto"/>
            <w:noWrap/>
          </w:tcPr>
          <w:p w14:paraId="337E0FF5" w14:textId="77777777" w:rsidR="007523B8" w:rsidRPr="009E06AA" w:rsidRDefault="007523B8" w:rsidP="00934445">
            <w:pPr>
              <w:pStyle w:val="TableText"/>
              <w:spacing w:before="40" w:after="30"/>
              <w:jc w:val="right"/>
              <w:rPr>
                <w:rFonts w:asciiTheme="minorHAnsi" w:hAnsiTheme="minorHAnsi"/>
              </w:rPr>
            </w:pPr>
            <w:r w:rsidRPr="009E06AA">
              <w:t>10.8</w:t>
            </w:r>
          </w:p>
        </w:tc>
        <w:tc>
          <w:tcPr>
            <w:tcW w:w="941" w:type="pct"/>
            <w:tcBorders>
              <w:right w:val="single" w:sz="4" w:space="0" w:color="1B556B" w:themeColor="text2"/>
            </w:tcBorders>
            <w:shd w:val="clear" w:color="auto" w:fill="auto"/>
            <w:noWrap/>
          </w:tcPr>
          <w:p w14:paraId="06370977" w14:textId="77777777" w:rsidR="007523B8" w:rsidRPr="009E06AA" w:rsidRDefault="007523B8" w:rsidP="00934445">
            <w:pPr>
              <w:pStyle w:val="TableText"/>
              <w:spacing w:before="40" w:after="30"/>
              <w:jc w:val="right"/>
              <w:rPr>
                <w:rFonts w:asciiTheme="minorHAnsi" w:hAnsiTheme="minorHAnsi"/>
              </w:rPr>
            </w:pPr>
            <w:r w:rsidRPr="009E06AA">
              <w:t>9.5</w:t>
            </w:r>
          </w:p>
        </w:tc>
        <w:tc>
          <w:tcPr>
            <w:tcW w:w="205" w:type="pct"/>
            <w:tcBorders>
              <w:top w:val="nil"/>
              <w:left w:val="single" w:sz="4" w:space="0" w:color="1B556B" w:themeColor="text2"/>
              <w:bottom w:val="nil"/>
              <w:right w:val="single" w:sz="4" w:space="0" w:color="1B556B" w:themeColor="text2"/>
            </w:tcBorders>
          </w:tcPr>
          <w:p w14:paraId="0872DD72" w14:textId="77777777" w:rsidR="007523B8" w:rsidRPr="009E06AA" w:rsidRDefault="007523B8" w:rsidP="00934445">
            <w:pPr>
              <w:pStyle w:val="TableText"/>
              <w:spacing w:before="40" w:after="30"/>
            </w:pPr>
          </w:p>
        </w:tc>
        <w:tc>
          <w:tcPr>
            <w:tcW w:w="580" w:type="pct"/>
            <w:tcBorders>
              <w:left w:val="single" w:sz="4" w:space="0" w:color="1B556B" w:themeColor="text2"/>
            </w:tcBorders>
            <w:noWrap/>
          </w:tcPr>
          <w:p w14:paraId="39A60F45" w14:textId="77777777" w:rsidR="007523B8" w:rsidRPr="009E06AA" w:rsidRDefault="007523B8" w:rsidP="00934445">
            <w:pPr>
              <w:pStyle w:val="TableText"/>
              <w:spacing w:before="40" w:after="30"/>
            </w:pPr>
            <w:r w:rsidRPr="009E06AA">
              <w:rPr>
                <w:rFonts w:cs="Calibri"/>
              </w:rPr>
              <w:t>2010</w:t>
            </w:r>
          </w:p>
        </w:tc>
        <w:tc>
          <w:tcPr>
            <w:tcW w:w="941" w:type="pct"/>
            <w:shd w:val="clear" w:color="auto" w:fill="auto"/>
            <w:noWrap/>
          </w:tcPr>
          <w:p w14:paraId="32A48E07" w14:textId="77777777" w:rsidR="007523B8" w:rsidRPr="009E06AA" w:rsidRDefault="007523B8" w:rsidP="00934445">
            <w:pPr>
              <w:pStyle w:val="TableText"/>
              <w:spacing w:before="40" w:after="30"/>
              <w:jc w:val="right"/>
              <w:rPr>
                <w:rFonts w:asciiTheme="minorHAnsi" w:hAnsiTheme="minorHAnsi"/>
              </w:rPr>
            </w:pPr>
            <w:r w:rsidRPr="009E06AA">
              <w:t>12.2</w:t>
            </w:r>
          </w:p>
        </w:tc>
        <w:tc>
          <w:tcPr>
            <w:tcW w:w="844" w:type="pct"/>
            <w:tcBorders>
              <w:right w:val="nil"/>
            </w:tcBorders>
            <w:shd w:val="clear" w:color="auto" w:fill="auto"/>
          </w:tcPr>
          <w:p w14:paraId="6DE972B7" w14:textId="77777777" w:rsidR="007523B8" w:rsidRPr="009E06AA" w:rsidRDefault="007523B8" w:rsidP="00934445">
            <w:pPr>
              <w:pStyle w:val="TableText"/>
              <w:spacing w:before="40" w:after="30"/>
              <w:jc w:val="right"/>
              <w:rPr>
                <w:rFonts w:asciiTheme="minorHAnsi" w:hAnsiTheme="minorHAnsi"/>
              </w:rPr>
            </w:pPr>
            <w:r w:rsidRPr="009E06AA">
              <w:t>10.8</w:t>
            </w:r>
          </w:p>
        </w:tc>
      </w:tr>
      <w:tr w:rsidR="007523B8" w:rsidRPr="009E06AA" w14:paraId="27FDE420" w14:textId="77777777" w:rsidTr="00B55F24">
        <w:tc>
          <w:tcPr>
            <w:tcW w:w="547" w:type="pct"/>
            <w:tcBorders>
              <w:left w:val="nil"/>
            </w:tcBorders>
            <w:shd w:val="clear" w:color="auto" w:fill="auto"/>
            <w:noWrap/>
          </w:tcPr>
          <w:p w14:paraId="289E3400" w14:textId="77777777" w:rsidR="007523B8" w:rsidRPr="009E06AA" w:rsidRDefault="007523B8" w:rsidP="00934445">
            <w:pPr>
              <w:pStyle w:val="TableText"/>
              <w:spacing w:before="40" w:after="30"/>
            </w:pPr>
            <w:r w:rsidRPr="009E06AA">
              <w:t>1994</w:t>
            </w:r>
          </w:p>
        </w:tc>
        <w:tc>
          <w:tcPr>
            <w:tcW w:w="941" w:type="pct"/>
            <w:shd w:val="clear" w:color="auto" w:fill="auto"/>
            <w:noWrap/>
          </w:tcPr>
          <w:p w14:paraId="583DAF3A" w14:textId="77777777" w:rsidR="007523B8" w:rsidRPr="009E06AA" w:rsidRDefault="007523B8" w:rsidP="00934445">
            <w:pPr>
              <w:pStyle w:val="TableText"/>
              <w:spacing w:before="40" w:after="30"/>
              <w:jc w:val="right"/>
              <w:rPr>
                <w:rFonts w:asciiTheme="minorHAnsi" w:hAnsiTheme="minorHAnsi"/>
              </w:rPr>
            </w:pPr>
            <w:r w:rsidRPr="009E06AA">
              <w:t>10.9</w:t>
            </w:r>
          </w:p>
        </w:tc>
        <w:tc>
          <w:tcPr>
            <w:tcW w:w="941" w:type="pct"/>
            <w:tcBorders>
              <w:right w:val="single" w:sz="4" w:space="0" w:color="1B556B" w:themeColor="text2"/>
            </w:tcBorders>
            <w:shd w:val="clear" w:color="auto" w:fill="auto"/>
            <w:noWrap/>
          </w:tcPr>
          <w:p w14:paraId="51782BFF" w14:textId="77777777" w:rsidR="007523B8" w:rsidRPr="009E06AA" w:rsidRDefault="007523B8" w:rsidP="00934445">
            <w:pPr>
              <w:pStyle w:val="TableText"/>
              <w:spacing w:before="40" w:after="30"/>
              <w:jc w:val="right"/>
              <w:rPr>
                <w:rFonts w:asciiTheme="minorHAnsi" w:hAnsiTheme="minorHAnsi"/>
              </w:rPr>
            </w:pPr>
            <w:r w:rsidRPr="009E06AA">
              <w:t>9.5</w:t>
            </w:r>
          </w:p>
        </w:tc>
        <w:tc>
          <w:tcPr>
            <w:tcW w:w="205" w:type="pct"/>
            <w:tcBorders>
              <w:top w:val="nil"/>
              <w:left w:val="single" w:sz="4" w:space="0" w:color="1B556B" w:themeColor="text2"/>
              <w:bottom w:val="nil"/>
              <w:right w:val="single" w:sz="4" w:space="0" w:color="1B556B" w:themeColor="text2"/>
            </w:tcBorders>
          </w:tcPr>
          <w:p w14:paraId="0A3CAD02" w14:textId="77777777" w:rsidR="007523B8" w:rsidRPr="009E06AA" w:rsidRDefault="007523B8" w:rsidP="00934445">
            <w:pPr>
              <w:pStyle w:val="TableText"/>
              <w:spacing w:before="40" w:after="30"/>
            </w:pPr>
          </w:p>
        </w:tc>
        <w:tc>
          <w:tcPr>
            <w:tcW w:w="580" w:type="pct"/>
            <w:tcBorders>
              <w:left w:val="single" w:sz="4" w:space="0" w:color="1B556B" w:themeColor="text2"/>
            </w:tcBorders>
            <w:noWrap/>
          </w:tcPr>
          <w:p w14:paraId="54C5D142" w14:textId="77777777" w:rsidR="007523B8" w:rsidRPr="009E06AA" w:rsidRDefault="007523B8" w:rsidP="00934445">
            <w:pPr>
              <w:pStyle w:val="TableText"/>
              <w:spacing w:before="40" w:after="30"/>
            </w:pPr>
            <w:r w:rsidRPr="009E06AA">
              <w:rPr>
                <w:rFonts w:cs="Calibri"/>
              </w:rPr>
              <w:t>2011</w:t>
            </w:r>
          </w:p>
        </w:tc>
        <w:tc>
          <w:tcPr>
            <w:tcW w:w="941" w:type="pct"/>
            <w:shd w:val="clear" w:color="auto" w:fill="auto"/>
            <w:noWrap/>
          </w:tcPr>
          <w:p w14:paraId="43F9BF45" w14:textId="77777777" w:rsidR="007523B8" w:rsidRPr="009E06AA" w:rsidRDefault="007523B8" w:rsidP="00934445">
            <w:pPr>
              <w:pStyle w:val="TableText"/>
              <w:spacing w:before="40" w:after="30"/>
              <w:jc w:val="right"/>
              <w:rPr>
                <w:rFonts w:asciiTheme="minorHAnsi" w:hAnsiTheme="minorHAnsi"/>
              </w:rPr>
            </w:pPr>
            <w:r w:rsidRPr="009E06AA">
              <w:t>12.3</w:t>
            </w:r>
          </w:p>
        </w:tc>
        <w:tc>
          <w:tcPr>
            <w:tcW w:w="844" w:type="pct"/>
            <w:tcBorders>
              <w:right w:val="nil"/>
            </w:tcBorders>
            <w:shd w:val="clear" w:color="auto" w:fill="auto"/>
          </w:tcPr>
          <w:p w14:paraId="5F2BA24A" w14:textId="77777777" w:rsidR="007523B8" w:rsidRPr="009E06AA" w:rsidRDefault="007523B8" w:rsidP="00934445">
            <w:pPr>
              <w:pStyle w:val="TableText"/>
              <w:spacing w:before="40" w:after="30"/>
              <w:jc w:val="right"/>
              <w:rPr>
                <w:rFonts w:asciiTheme="minorHAnsi" w:hAnsiTheme="minorHAnsi"/>
              </w:rPr>
            </w:pPr>
            <w:r w:rsidRPr="009E06AA">
              <w:t>11.0</w:t>
            </w:r>
          </w:p>
        </w:tc>
      </w:tr>
      <w:tr w:rsidR="007523B8" w:rsidRPr="009E06AA" w14:paraId="62A97F9A" w14:textId="77777777" w:rsidTr="00B55F24">
        <w:tc>
          <w:tcPr>
            <w:tcW w:w="547" w:type="pct"/>
            <w:tcBorders>
              <w:left w:val="nil"/>
            </w:tcBorders>
            <w:shd w:val="clear" w:color="auto" w:fill="auto"/>
            <w:noWrap/>
          </w:tcPr>
          <w:p w14:paraId="52256109" w14:textId="77777777" w:rsidR="007523B8" w:rsidRPr="009E06AA" w:rsidRDefault="007523B8" w:rsidP="00934445">
            <w:pPr>
              <w:pStyle w:val="TableText"/>
              <w:spacing w:before="40" w:after="30"/>
              <w:rPr>
                <w:rFonts w:cs="Calibri"/>
              </w:rPr>
            </w:pPr>
            <w:r w:rsidRPr="009E06AA">
              <w:rPr>
                <w:rFonts w:cs="Calibri"/>
              </w:rPr>
              <w:t>1995</w:t>
            </w:r>
          </w:p>
        </w:tc>
        <w:tc>
          <w:tcPr>
            <w:tcW w:w="941" w:type="pct"/>
            <w:shd w:val="clear" w:color="auto" w:fill="auto"/>
            <w:noWrap/>
          </w:tcPr>
          <w:p w14:paraId="7F08860F" w14:textId="77777777" w:rsidR="007523B8" w:rsidRPr="009E06AA" w:rsidRDefault="007523B8" w:rsidP="00934445">
            <w:pPr>
              <w:pStyle w:val="TableText"/>
              <w:spacing w:before="40" w:after="30"/>
              <w:jc w:val="right"/>
              <w:rPr>
                <w:rFonts w:asciiTheme="minorHAnsi" w:hAnsiTheme="minorHAnsi"/>
              </w:rPr>
            </w:pPr>
            <w:r w:rsidRPr="009E06AA">
              <w:t>11.0</w:t>
            </w:r>
          </w:p>
        </w:tc>
        <w:tc>
          <w:tcPr>
            <w:tcW w:w="941" w:type="pct"/>
            <w:tcBorders>
              <w:right w:val="single" w:sz="4" w:space="0" w:color="1B556B" w:themeColor="text2"/>
            </w:tcBorders>
            <w:shd w:val="clear" w:color="auto" w:fill="auto"/>
            <w:noWrap/>
          </w:tcPr>
          <w:p w14:paraId="050BEDF5" w14:textId="77777777" w:rsidR="007523B8" w:rsidRPr="009E06AA" w:rsidRDefault="007523B8" w:rsidP="00934445">
            <w:pPr>
              <w:pStyle w:val="TableText"/>
              <w:spacing w:before="40" w:after="30"/>
              <w:jc w:val="right"/>
              <w:rPr>
                <w:rFonts w:asciiTheme="minorHAnsi" w:hAnsiTheme="minorHAnsi"/>
              </w:rPr>
            </w:pPr>
            <w:r w:rsidRPr="009E06AA">
              <w:t>9.6</w:t>
            </w:r>
          </w:p>
        </w:tc>
        <w:tc>
          <w:tcPr>
            <w:tcW w:w="205" w:type="pct"/>
            <w:tcBorders>
              <w:top w:val="nil"/>
              <w:left w:val="single" w:sz="4" w:space="0" w:color="1B556B" w:themeColor="text2"/>
              <w:bottom w:val="nil"/>
              <w:right w:val="single" w:sz="4" w:space="0" w:color="1B556B" w:themeColor="text2"/>
            </w:tcBorders>
          </w:tcPr>
          <w:p w14:paraId="35B470E6" w14:textId="77777777" w:rsidR="007523B8" w:rsidRPr="009E06AA" w:rsidRDefault="007523B8" w:rsidP="00934445">
            <w:pPr>
              <w:pStyle w:val="TableText"/>
              <w:spacing w:before="40" w:after="30"/>
              <w:rPr>
                <w:rFonts w:cs="Calibri"/>
                <w:bCs/>
              </w:rPr>
            </w:pPr>
          </w:p>
        </w:tc>
        <w:tc>
          <w:tcPr>
            <w:tcW w:w="580" w:type="pct"/>
            <w:tcBorders>
              <w:left w:val="single" w:sz="4" w:space="0" w:color="1B556B" w:themeColor="text2"/>
            </w:tcBorders>
            <w:noWrap/>
          </w:tcPr>
          <w:p w14:paraId="665BF76D" w14:textId="77777777" w:rsidR="007523B8" w:rsidRPr="009E06AA" w:rsidRDefault="007523B8" w:rsidP="00934445">
            <w:pPr>
              <w:pStyle w:val="TableText"/>
              <w:spacing w:before="40" w:after="30"/>
              <w:rPr>
                <w:rFonts w:cs="Calibri"/>
              </w:rPr>
            </w:pPr>
            <w:r w:rsidRPr="009E06AA">
              <w:rPr>
                <w:rFonts w:cs="Calibri"/>
              </w:rPr>
              <w:t>2012</w:t>
            </w:r>
          </w:p>
        </w:tc>
        <w:tc>
          <w:tcPr>
            <w:tcW w:w="941" w:type="pct"/>
            <w:shd w:val="clear" w:color="auto" w:fill="auto"/>
            <w:noWrap/>
          </w:tcPr>
          <w:p w14:paraId="71300290" w14:textId="77777777" w:rsidR="007523B8" w:rsidRPr="009E06AA" w:rsidRDefault="007523B8" w:rsidP="00934445">
            <w:pPr>
              <w:pStyle w:val="TableText"/>
              <w:spacing w:before="40" w:after="30"/>
              <w:jc w:val="right"/>
              <w:rPr>
                <w:rFonts w:asciiTheme="minorHAnsi" w:hAnsiTheme="minorHAnsi"/>
              </w:rPr>
            </w:pPr>
            <w:r w:rsidRPr="009E06AA">
              <w:t>12.3</w:t>
            </w:r>
          </w:p>
        </w:tc>
        <w:tc>
          <w:tcPr>
            <w:tcW w:w="844" w:type="pct"/>
            <w:tcBorders>
              <w:right w:val="nil"/>
            </w:tcBorders>
            <w:shd w:val="clear" w:color="auto" w:fill="auto"/>
          </w:tcPr>
          <w:p w14:paraId="59DF32B7" w14:textId="77777777" w:rsidR="007523B8" w:rsidRPr="009E06AA" w:rsidRDefault="007523B8" w:rsidP="00934445">
            <w:pPr>
              <w:pStyle w:val="TableText"/>
              <w:spacing w:before="40" w:after="30"/>
              <w:jc w:val="right"/>
              <w:rPr>
                <w:rFonts w:asciiTheme="minorHAnsi" w:hAnsiTheme="minorHAnsi"/>
              </w:rPr>
            </w:pPr>
            <w:r w:rsidRPr="009E06AA">
              <w:t>11.0</w:t>
            </w:r>
          </w:p>
        </w:tc>
      </w:tr>
      <w:tr w:rsidR="007523B8" w:rsidRPr="009E06AA" w14:paraId="55EB969F" w14:textId="77777777" w:rsidTr="00B55F24">
        <w:tc>
          <w:tcPr>
            <w:tcW w:w="547" w:type="pct"/>
            <w:tcBorders>
              <w:left w:val="nil"/>
            </w:tcBorders>
            <w:shd w:val="clear" w:color="auto" w:fill="auto"/>
            <w:noWrap/>
          </w:tcPr>
          <w:p w14:paraId="1B913115" w14:textId="77777777" w:rsidR="007523B8" w:rsidRPr="009E06AA" w:rsidRDefault="007523B8" w:rsidP="00934445">
            <w:pPr>
              <w:pStyle w:val="TableText"/>
              <w:spacing w:before="40" w:after="30"/>
              <w:rPr>
                <w:rFonts w:cs="Calibri"/>
              </w:rPr>
            </w:pPr>
            <w:r w:rsidRPr="009E06AA">
              <w:rPr>
                <w:rFonts w:cs="Calibri"/>
              </w:rPr>
              <w:t>1996</w:t>
            </w:r>
          </w:p>
        </w:tc>
        <w:tc>
          <w:tcPr>
            <w:tcW w:w="941" w:type="pct"/>
            <w:shd w:val="clear" w:color="auto" w:fill="auto"/>
            <w:noWrap/>
          </w:tcPr>
          <w:p w14:paraId="2C14A8F4" w14:textId="77777777" w:rsidR="007523B8" w:rsidRPr="009E06AA" w:rsidRDefault="007523B8" w:rsidP="00934445">
            <w:pPr>
              <w:pStyle w:val="TableText"/>
              <w:spacing w:before="40" w:after="30"/>
              <w:jc w:val="right"/>
              <w:rPr>
                <w:rFonts w:asciiTheme="minorHAnsi" w:hAnsiTheme="minorHAnsi"/>
              </w:rPr>
            </w:pPr>
            <w:r w:rsidRPr="009E06AA">
              <w:t>11.1</w:t>
            </w:r>
          </w:p>
        </w:tc>
        <w:tc>
          <w:tcPr>
            <w:tcW w:w="941" w:type="pct"/>
            <w:tcBorders>
              <w:right w:val="single" w:sz="4" w:space="0" w:color="1B556B" w:themeColor="text2"/>
            </w:tcBorders>
            <w:shd w:val="clear" w:color="auto" w:fill="auto"/>
            <w:noWrap/>
          </w:tcPr>
          <w:p w14:paraId="2FA26691" w14:textId="77777777" w:rsidR="007523B8" w:rsidRPr="009E06AA" w:rsidRDefault="007523B8" w:rsidP="00934445">
            <w:pPr>
              <w:pStyle w:val="TableText"/>
              <w:spacing w:before="40" w:after="30"/>
              <w:jc w:val="right"/>
              <w:rPr>
                <w:rFonts w:asciiTheme="minorHAnsi" w:hAnsiTheme="minorHAnsi"/>
              </w:rPr>
            </w:pPr>
            <w:r w:rsidRPr="009E06AA">
              <w:t>9.8</w:t>
            </w:r>
          </w:p>
        </w:tc>
        <w:tc>
          <w:tcPr>
            <w:tcW w:w="205" w:type="pct"/>
            <w:tcBorders>
              <w:top w:val="nil"/>
              <w:left w:val="single" w:sz="4" w:space="0" w:color="1B556B" w:themeColor="text2"/>
              <w:bottom w:val="nil"/>
              <w:right w:val="single" w:sz="4" w:space="0" w:color="1B556B" w:themeColor="text2"/>
            </w:tcBorders>
          </w:tcPr>
          <w:p w14:paraId="04459EEC" w14:textId="77777777" w:rsidR="007523B8" w:rsidRPr="009E06AA" w:rsidRDefault="007523B8" w:rsidP="00934445">
            <w:pPr>
              <w:pStyle w:val="TableText"/>
              <w:spacing w:before="40" w:after="30"/>
              <w:rPr>
                <w:rFonts w:cs="Calibri"/>
                <w:bCs/>
              </w:rPr>
            </w:pPr>
          </w:p>
        </w:tc>
        <w:tc>
          <w:tcPr>
            <w:tcW w:w="580" w:type="pct"/>
            <w:tcBorders>
              <w:left w:val="single" w:sz="4" w:space="0" w:color="1B556B" w:themeColor="text2"/>
            </w:tcBorders>
            <w:noWrap/>
          </w:tcPr>
          <w:p w14:paraId="7DEE79D4" w14:textId="77777777" w:rsidR="007523B8" w:rsidRPr="009E06AA" w:rsidRDefault="007523B8" w:rsidP="00934445">
            <w:pPr>
              <w:pStyle w:val="TableText"/>
              <w:spacing w:before="40" w:after="30"/>
              <w:rPr>
                <w:rFonts w:cs="Calibri"/>
              </w:rPr>
            </w:pPr>
            <w:r w:rsidRPr="009E06AA">
              <w:rPr>
                <w:rFonts w:cs="Calibri"/>
              </w:rPr>
              <w:t>2013</w:t>
            </w:r>
          </w:p>
        </w:tc>
        <w:tc>
          <w:tcPr>
            <w:tcW w:w="941" w:type="pct"/>
            <w:shd w:val="clear" w:color="auto" w:fill="auto"/>
            <w:noWrap/>
          </w:tcPr>
          <w:p w14:paraId="40C4BFC3" w14:textId="77777777" w:rsidR="007523B8" w:rsidRPr="009E06AA" w:rsidRDefault="007523B8" w:rsidP="00934445">
            <w:pPr>
              <w:pStyle w:val="TableText"/>
              <w:spacing w:before="40" w:after="30"/>
              <w:jc w:val="right"/>
              <w:rPr>
                <w:rFonts w:asciiTheme="minorHAnsi" w:hAnsiTheme="minorHAnsi"/>
              </w:rPr>
            </w:pPr>
            <w:r w:rsidRPr="009E06AA">
              <w:t>12.4</w:t>
            </w:r>
          </w:p>
        </w:tc>
        <w:tc>
          <w:tcPr>
            <w:tcW w:w="844" w:type="pct"/>
            <w:tcBorders>
              <w:right w:val="nil"/>
            </w:tcBorders>
            <w:shd w:val="clear" w:color="auto" w:fill="auto"/>
          </w:tcPr>
          <w:p w14:paraId="56FD7E85" w14:textId="77777777" w:rsidR="007523B8" w:rsidRPr="009E06AA" w:rsidRDefault="007523B8" w:rsidP="00934445">
            <w:pPr>
              <w:pStyle w:val="TableText"/>
              <w:spacing w:before="40" w:after="30"/>
              <w:jc w:val="right"/>
              <w:rPr>
                <w:rFonts w:asciiTheme="minorHAnsi" w:hAnsiTheme="minorHAnsi"/>
              </w:rPr>
            </w:pPr>
            <w:r w:rsidRPr="009E06AA">
              <w:t>11.1</w:t>
            </w:r>
          </w:p>
        </w:tc>
      </w:tr>
      <w:tr w:rsidR="007523B8" w:rsidRPr="009E06AA" w14:paraId="3C0A5ABD" w14:textId="77777777" w:rsidTr="00B55F24">
        <w:tc>
          <w:tcPr>
            <w:tcW w:w="547" w:type="pct"/>
            <w:tcBorders>
              <w:left w:val="nil"/>
            </w:tcBorders>
            <w:shd w:val="clear" w:color="auto" w:fill="auto"/>
            <w:noWrap/>
          </w:tcPr>
          <w:p w14:paraId="49FE3797" w14:textId="77777777" w:rsidR="007523B8" w:rsidRPr="009E06AA" w:rsidRDefault="007523B8" w:rsidP="00934445">
            <w:pPr>
              <w:pStyle w:val="TableText"/>
              <w:spacing w:before="40" w:after="30"/>
              <w:rPr>
                <w:rFonts w:cs="Calibri"/>
              </w:rPr>
            </w:pPr>
            <w:r w:rsidRPr="009E06AA">
              <w:rPr>
                <w:rFonts w:cs="Calibri"/>
              </w:rPr>
              <w:t>1997</w:t>
            </w:r>
          </w:p>
        </w:tc>
        <w:tc>
          <w:tcPr>
            <w:tcW w:w="941" w:type="pct"/>
            <w:shd w:val="clear" w:color="auto" w:fill="auto"/>
            <w:noWrap/>
          </w:tcPr>
          <w:p w14:paraId="38A76FED" w14:textId="77777777" w:rsidR="007523B8" w:rsidRPr="009E06AA" w:rsidRDefault="007523B8" w:rsidP="00934445">
            <w:pPr>
              <w:pStyle w:val="TableText"/>
              <w:spacing w:before="40" w:after="30"/>
              <w:jc w:val="right"/>
              <w:rPr>
                <w:rFonts w:asciiTheme="minorHAnsi" w:hAnsiTheme="minorHAnsi"/>
              </w:rPr>
            </w:pPr>
            <w:r w:rsidRPr="009E06AA">
              <w:t>11.2</w:t>
            </w:r>
          </w:p>
        </w:tc>
        <w:tc>
          <w:tcPr>
            <w:tcW w:w="941" w:type="pct"/>
            <w:tcBorders>
              <w:right w:val="single" w:sz="4" w:space="0" w:color="1B556B" w:themeColor="text2"/>
            </w:tcBorders>
            <w:shd w:val="clear" w:color="auto" w:fill="auto"/>
            <w:noWrap/>
          </w:tcPr>
          <w:p w14:paraId="0A7DA94C" w14:textId="77777777" w:rsidR="007523B8" w:rsidRPr="009E06AA" w:rsidRDefault="007523B8" w:rsidP="00934445">
            <w:pPr>
              <w:pStyle w:val="TableText"/>
              <w:spacing w:before="40" w:after="30"/>
              <w:jc w:val="right"/>
              <w:rPr>
                <w:rFonts w:asciiTheme="minorHAnsi" w:hAnsiTheme="minorHAnsi"/>
              </w:rPr>
            </w:pPr>
            <w:r w:rsidRPr="009E06AA">
              <w:t>9.9</w:t>
            </w:r>
          </w:p>
        </w:tc>
        <w:tc>
          <w:tcPr>
            <w:tcW w:w="205" w:type="pct"/>
            <w:tcBorders>
              <w:top w:val="nil"/>
              <w:left w:val="single" w:sz="4" w:space="0" w:color="1B556B" w:themeColor="text2"/>
              <w:bottom w:val="nil"/>
              <w:right w:val="single" w:sz="4" w:space="0" w:color="1B556B" w:themeColor="text2"/>
            </w:tcBorders>
          </w:tcPr>
          <w:p w14:paraId="11D4860E" w14:textId="77777777" w:rsidR="007523B8" w:rsidRPr="009E06AA" w:rsidRDefault="007523B8" w:rsidP="00934445">
            <w:pPr>
              <w:pStyle w:val="TableText"/>
              <w:spacing w:before="40" w:after="30"/>
              <w:rPr>
                <w:rFonts w:cs="Calibri"/>
                <w:bCs/>
              </w:rPr>
            </w:pPr>
          </w:p>
        </w:tc>
        <w:tc>
          <w:tcPr>
            <w:tcW w:w="580" w:type="pct"/>
            <w:tcBorders>
              <w:left w:val="single" w:sz="4" w:space="0" w:color="1B556B" w:themeColor="text2"/>
            </w:tcBorders>
            <w:noWrap/>
          </w:tcPr>
          <w:p w14:paraId="21277877" w14:textId="77777777" w:rsidR="007523B8" w:rsidRPr="009E06AA" w:rsidRDefault="007523B8" w:rsidP="00934445">
            <w:pPr>
              <w:pStyle w:val="TableText"/>
              <w:spacing w:before="40" w:after="30"/>
              <w:rPr>
                <w:rFonts w:cs="Calibri"/>
              </w:rPr>
            </w:pPr>
            <w:r w:rsidRPr="009E06AA">
              <w:rPr>
                <w:rFonts w:cs="Calibri"/>
              </w:rPr>
              <w:t>2014</w:t>
            </w:r>
          </w:p>
        </w:tc>
        <w:tc>
          <w:tcPr>
            <w:tcW w:w="941" w:type="pct"/>
            <w:shd w:val="clear" w:color="auto" w:fill="auto"/>
            <w:noWrap/>
          </w:tcPr>
          <w:p w14:paraId="02453B9C" w14:textId="77777777" w:rsidR="007523B8" w:rsidRPr="009E06AA" w:rsidRDefault="007523B8" w:rsidP="00934445">
            <w:pPr>
              <w:pStyle w:val="TableText"/>
              <w:spacing w:before="40" w:after="30"/>
              <w:jc w:val="right"/>
              <w:rPr>
                <w:rFonts w:asciiTheme="minorHAnsi" w:hAnsiTheme="minorHAnsi"/>
              </w:rPr>
            </w:pPr>
            <w:r w:rsidRPr="009E06AA">
              <w:t>12.5</w:t>
            </w:r>
          </w:p>
        </w:tc>
        <w:tc>
          <w:tcPr>
            <w:tcW w:w="844" w:type="pct"/>
            <w:tcBorders>
              <w:right w:val="nil"/>
            </w:tcBorders>
            <w:shd w:val="clear" w:color="auto" w:fill="auto"/>
          </w:tcPr>
          <w:p w14:paraId="350C8300" w14:textId="77777777" w:rsidR="007523B8" w:rsidRPr="009E06AA" w:rsidRDefault="007523B8" w:rsidP="00934445">
            <w:pPr>
              <w:pStyle w:val="TableText"/>
              <w:spacing w:before="40" w:after="30"/>
              <w:jc w:val="right"/>
              <w:rPr>
                <w:rFonts w:asciiTheme="minorHAnsi" w:hAnsiTheme="minorHAnsi"/>
              </w:rPr>
            </w:pPr>
            <w:r w:rsidRPr="009E06AA">
              <w:t>11.3</w:t>
            </w:r>
          </w:p>
        </w:tc>
      </w:tr>
      <w:tr w:rsidR="007523B8" w:rsidRPr="009E06AA" w14:paraId="713A25D3" w14:textId="77777777" w:rsidTr="00B55F24">
        <w:tc>
          <w:tcPr>
            <w:tcW w:w="547" w:type="pct"/>
            <w:tcBorders>
              <w:left w:val="nil"/>
            </w:tcBorders>
            <w:shd w:val="clear" w:color="auto" w:fill="auto"/>
            <w:noWrap/>
          </w:tcPr>
          <w:p w14:paraId="7447D6EE" w14:textId="77777777" w:rsidR="007523B8" w:rsidRPr="009E06AA" w:rsidRDefault="007523B8" w:rsidP="00934445">
            <w:pPr>
              <w:pStyle w:val="TableText"/>
              <w:spacing w:before="40" w:after="30"/>
              <w:rPr>
                <w:rFonts w:cs="Calibri"/>
              </w:rPr>
            </w:pPr>
            <w:r w:rsidRPr="009E06AA">
              <w:rPr>
                <w:rFonts w:cs="Calibri"/>
              </w:rPr>
              <w:t>1998</w:t>
            </w:r>
          </w:p>
        </w:tc>
        <w:tc>
          <w:tcPr>
            <w:tcW w:w="941" w:type="pct"/>
            <w:shd w:val="clear" w:color="auto" w:fill="auto"/>
            <w:noWrap/>
          </w:tcPr>
          <w:p w14:paraId="030D533D" w14:textId="77777777" w:rsidR="007523B8" w:rsidRPr="009E06AA" w:rsidRDefault="007523B8" w:rsidP="00934445">
            <w:pPr>
              <w:pStyle w:val="TableText"/>
              <w:spacing w:before="40" w:after="30"/>
              <w:jc w:val="right"/>
              <w:rPr>
                <w:rFonts w:asciiTheme="minorHAnsi" w:hAnsiTheme="minorHAnsi"/>
              </w:rPr>
            </w:pPr>
            <w:r w:rsidRPr="009E06AA">
              <w:t>11.2</w:t>
            </w:r>
          </w:p>
        </w:tc>
        <w:tc>
          <w:tcPr>
            <w:tcW w:w="941" w:type="pct"/>
            <w:tcBorders>
              <w:right w:val="single" w:sz="4" w:space="0" w:color="1B556B" w:themeColor="text2"/>
            </w:tcBorders>
            <w:shd w:val="clear" w:color="auto" w:fill="auto"/>
            <w:noWrap/>
          </w:tcPr>
          <w:p w14:paraId="313EF87E" w14:textId="77777777" w:rsidR="007523B8" w:rsidRPr="009E06AA" w:rsidRDefault="007523B8" w:rsidP="00934445">
            <w:pPr>
              <w:pStyle w:val="TableText"/>
              <w:spacing w:before="40" w:after="30"/>
              <w:jc w:val="right"/>
              <w:rPr>
                <w:rFonts w:asciiTheme="minorHAnsi" w:hAnsiTheme="minorHAnsi"/>
              </w:rPr>
            </w:pPr>
            <w:r w:rsidRPr="009E06AA">
              <w:t>9.9</w:t>
            </w:r>
          </w:p>
        </w:tc>
        <w:tc>
          <w:tcPr>
            <w:tcW w:w="205" w:type="pct"/>
            <w:tcBorders>
              <w:top w:val="nil"/>
              <w:left w:val="single" w:sz="4" w:space="0" w:color="1B556B" w:themeColor="text2"/>
              <w:bottom w:val="nil"/>
              <w:right w:val="single" w:sz="4" w:space="0" w:color="1B556B" w:themeColor="text2"/>
            </w:tcBorders>
          </w:tcPr>
          <w:p w14:paraId="57CFCF7E" w14:textId="77777777" w:rsidR="007523B8" w:rsidRPr="009E06AA" w:rsidRDefault="007523B8" w:rsidP="00934445">
            <w:pPr>
              <w:pStyle w:val="TableText"/>
              <w:spacing w:before="40" w:after="30"/>
              <w:rPr>
                <w:rFonts w:cs="Calibri"/>
                <w:bCs/>
              </w:rPr>
            </w:pPr>
          </w:p>
        </w:tc>
        <w:tc>
          <w:tcPr>
            <w:tcW w:w="580" w:type="pct"/>
            <w:tcBorders>
              <w:left w:val="single" w:sz="4" w:space="0" w:color="1B556B" w:themeColor="text2"/>
            </w:tcBorders>
            <w:noWrap/>
          </w:tcPr>
          <w:p w14:paraId="5A57FDD2" w14:textId="77777777" w:rsidR="007523B8" w:rsidRPr="009E06AA" w:rsidRDefault="007523B8" w:rsidP="00934445">
            <w:pPr>
              <w:pStyle w:val="TableText"/>
              <w:spacing w:before="40" w:after="30"/>
              <w:rPr>
                <w:rFonts w:cs="Calibri"/>
              </w:rPr>
            </w:pPr>
            <w:r w:rsidRPr="009E06AA">
              <w:rPr>
                <w:rFonts w:cs="Calibri"/>
              </w:rPr>
              <w:t>2015</w:t>
            </w:r>
          </w:p>
        </w:tc>
        <w:tc>
          <w:tcPr>
            <w:tcW w:w="941" w:type="pct"/>
            <w:shd w:val="clear" w:color="auto" w:fill="auto"/>
            <w:noWrap/>
          </w:tcPr>
          <w:p w14:paraId="7CB15473" w14:textId="77777777" w:rsidR="007523B8" w:rsidRPr="009E06AA" w:rsidRDefault="007523B8" w:rsidP="00934445">
            <w:pPr>
              <w:pStyle w:val="TableText"/>
              <w:spacing w:before="40" w:after="30"/>
              <w:jc w:val="right"/>
              <w:rPr>
                <w:rFonts w:asciiTheme="minorHAnsi" w:hAnsiTheme="minorHAnsi"/>
              </w:rPr>
            </w:pPr>
            <w:r w:rsidRPr="009E06AA">
              <w:t>12.6</w:t>
            </w:r>
          </w:p>
        </w:tc>
        <w:tc>
          <w:tcPr>
            <w:tcW w:w="844" w:type="pct"/>
            <w:tcBorders>
              <w:right w:val="nil"/>
            </w:tcBorders>
            <w:shd w:val="clear" w:color="auto" w:fill="auto"/>
          </w:tcPr>
          <w:p w14:paraId="3A01C6F3" w14:textId="77777777" w:rsidR="007523B8" w:rsidRPr="009E06AA" w:rsidRDefault="007523B8" w:rsidP="00934445">
            <w:pPr>
              <w:pStyle w:val="TableText"/>
              <w:spacing w:before="40" w:after="30"/>
              <w:jc w:val="right"/>
              <w:rPr>
                <w:rFonts w:asciiTheme="minorHAnsi" w:hAnsiTheme="minorHAnsi"/>
              </w:rPr>
            </w:pPr>
            <w:r w:rsidRPr="009E06AA">
              <w:t>11.4</w:t>
            </w:r>
          </w:p>
        </w:tc>
      </w:tr>
      <w:tr w:rsidR="007523B8" w:rsidRPr="009E06AA" w14:paraId="2701E2C2" w14:textId="77777777" w:rsidTr="00B55F24">
        <w:tc>
          <w:tcPr>
            <w:tcW w:w="547" w:type="pct"/>
            <w:tcBorders>
              <w:left w:val="nil"/>
            </w:tcBorders>
            <w:shd w:val="clear" w:color="auto" w:fill="auto"/>
            <w:noWrap/>
          </w:tcPr>
          <w:p w14:paraId="5ECA0FC7" w14:textId="77777777" w:rsidR="007523B8" w:rsidRPr="009E06AA" w:rsidRDefault="007523B8" w:rsidP="00934445">
            <w:pPr>
              <w:pStyle w:val="TableText"/>
              <w:spacing w:before="40" w:after="30"/>
              <w:rPr>
                <w:rFonts w:cs="Calibri"/>
              </w:rPr>
            </w:pPr>
            <w:r w:rsidRPr="009E06AA">
              <w:rPr>
                <w:rFonts w:cs="Calibri"/>
              </w:rPr>
              <w:t>1999</w:t>
            </w:r>
          </w:p>
        </w:tc>
        <w:tc>
          <w:tcPr>
            <w:tcW w:w="941" w:type="pct"/>
            <w:shd w:val="clear" w:color="auto" w:fill="auto"/>
            <w:noWrap/>
          </w:tcPr>
          <w:p w14:paraId="08CC3683" w14:textId="77777777" w:rsidR="007523B8" w:rsidRPr="009E06AA" w:rsidRDefault="007523B8" w:rsidP="00934445">
            <w:pPr>
              <w:pStyle w:val="TableText"/>
              <w:spacing w:before="40" w:after="30"/>
              <w:jc w:val="right"/>
              <w:rPr>
                <w:rFonts w:asciiTheme="minorHAnsi" w:hAnsiTheme="minorHAnsi"/>
              </w:rPr>
            </w:pPr>
            <w:r w:rsidRPr="009E06AA">
              <w:t>11.3</w:t>
            </w:r>
          </w:p>
        </w:tc>
        <w:tc>
          <w:tcPr>
            <w:tcW w:w="941" w:type="pct"/>
            <w:tcBorders>
              <w:right w:val="single" w:sz="4" w:space="0" w:color="1B556B" w:themeColor="text2"/>
            </w:tcBorders>
            <w:shd w:val="clear" w:color="auto" w:fill="auto"/>
            <w:noWrap/>
          </w:tcPr>
          <w:p w14:paraId="1D5404AD" w14:textId="77777777" w:rsidR="007523B8" w:rsidRPr="009E06AA" w:rsidRDefault="007523B8" w:rsidP="00934445">
            <w:pPr>
              <w:pStyle w:val="TableText"/>
              <w:spacing w:before="40" w:after="30"/>
              <w:jc w:val="right"/>
              <w:rPr>
                <w:rFonts w:asciiTheme="minorHAnsi" w:hAnsiTheme="minorHAnsi"/>
              </w:rPr>
            </w:pPr>
            <w:r w:rsidRPr="009E06AA">
              <w:t>9.9</w:t>
            </w:r>
          </w:p>
        </w:tc>
        <w:tc>
          <w:tcPr>
            <w:tcW w:w="205" w:type="pct"/>
            <w:tcBorders>
              <w:top w:val="nil"/>
              <w:left w:val="single" w:sz="4" w:space="0" w:color="1B556B" w:themeColor="text2"/>
              <w:bottom w:val="nil"/>
              <w:right w:val="single" w:sz="4" w:space="0" w:color="1B556B" w:themeColor="text2"/>
            </w:tcBorders>
          </w:tcPr>
          <w:p w14:paraId="3B442675" w14:textId="77777777" w:rsidR="007523B8" w:rsidRPr="009E06AA" w:rsidRDefault="007523B8" w:rsidP="00934445">
            <w:pPr>
              <w:pStyle w:val="TableText"/>
              <w:spacing w:before="40" w:after="30"/>
              <w:rPr>
                <w:rFonts w:cs="Calibri"/>
                <w:bCs/>
              </w:rPr>
            </w:pPr>
          </w:p>
        </w:tc>
        <w:tc>
          <w:tcPr>
            <w:tcW w:w="580" w:type="pct"/>
            <w:tcBorders>
              <w:left w:val="single" w:sz="4" w:space="0" w:color="1B556B" w:themeColor="text2"/>
            </w:tcBorders>
            <w:noWrap/>
          </w:tcPr>
          <w:p w14:paraId="40842687" w14:textId="77777777" w:rsidR="007523B8" w:rsidRPr="009E06AA" w:rsidRDefault="007523B8" w:rsidP="00934445">
            <w:pPr>
              <w:pStyle w:val="TableText"/>
              <w:spacing w:before="40" w:after="30"/>
              <w:rPr>
                <w:rFonts w:cs="Calibri"/>
              </w:rPr>
            </w:pPr>
            <w:r w:rsidRPr="009E06AA">
              <w:rPr>
                <w:rFonts w:cs="Calibri"/>
              </w:rPr>
              <w:t>2016</w:t>
            </w:r>
          </w:p>
        </w:tc>
        <w:tc>
          <w:tcPr>
            <w:tcW w:w="941" w:type="pct"/>
            <w:shd w:val="clear" w:color="auto" w:fill="auto"/>
            <w:noWrap/>
          </w:tcPr>
          <w:p w14:paraId="28C6E296" w14:textId="77777777" w:rsidR="007523B8" w:rsidRPr="009E06AA" w:rsidRDefault="007523B8" w:rsidP="00934445">
            <w:pPr>
              <w:pStyle w:val="TableText"/>
              <w:spacing w:before="40" w:after="30"/>
              <w:jc w:val="right"/>
              <w:rPr>
                <w:rFonts w:asciiTheme="minorHAnsi" w:hAnsiTheme="minorHAnsi"/>
              </w:rPr>
            </w:pPr>
            <w:r w:rsidRPr="009E06AA">
              <w:t>12.7</w:t>
            </w:r>
          </w:p>
        </w:tc>
        <w:tc>
          <w:tcPr>
            <w:tcW w:w="844" w:type="pct"/>
            <w:tcBorders>
              <w:right w:val="nil"/>
            </w:tcBorders>
            <w:shd w:val="clear" w:color="auto" w:fill="auto"/>
          </w:tcPr>
          <w:p w14:paraId="70EF4A4A" w14:textId="77777777" w:rsidR="007523B8" w:rsidRPr="009E06AA" w:rsidRDefault="007523B8" w:rsidP="00934445">
            <w:pPr>
              <w:pStyle w:val="TableText"/>
              <w:spacing w:before="40" w:after="30"/>
              <w:jc w:val="right"/>
              <w:rPr>
                <w:rFonts w:asciiTheme="minorHAnsi" w:hAnsiTheme="minorHAnsi"/>
              </w:rPr>
            </w:pPr>
            <w:r w:rsidRPr="009E06AA">
              <w:t>11.3</w:t>
            </w:r>
          </w:p>
        </w:tc>
      </w:tr>
      <w:tr w:rsidR="007523B8" w:rsidRPr="009E06AA" w14:paraId="5205286E" w14:textId="77777777" w:rsidTr="00B55F24">
        <w:tc>
          <w:tcPr>
            <w:tcW w:w="547" w:type="pct"/>
            <w:tcBorders>
              <w:left w:val="nil"/>
            </w:tcBorders>
            <w:shd w:val="clear" w:color="auto" w:fill="auto"/>
            <w:noWrap/>
          </w:tcPr>
          <w:p w14:paraId="0E64F948" w14:textId="77777777" w:rsidR="007523B8" w:rsidRPr="009E06AA" w:rsidRDefault="007523B8" w:rsidP="00934445">
            <w:pPr>
              <w:pStyle w:val="TableText"/>
              <w:spacing w:before="40" w:after="30"/>
              <w:rPr>
                <w:rFonts w:cs="Calibri"/>
              </w:rPr>
            </w:pPr>
            <w:r w:rsidRPr="009E06AA">
              <w:rPr>
                <w:rFonts w:cs="Calibri"/>
              </w:rPr>
              <w:t>2000</w:t>
            </w:r>
          </w:p>
        </w:tc>
        <w:tc>
          <w:tcPr>
            <w:tcW w:w="941" w:type="pct"/>
            <w:shd w:val="clear" w:color="auto" w:fill="auto"/>
            <w:noWrap/>
          </w:tcPr>
          <w:p w14:paraId="52BBF999" w14:textId="77777777" w:rsidR="007523B8" w:rsidRPr="009E06AA" w:rsidRDefault="007523B8" w:rsidP="00934445">
            <w:pPr>
              <w:pStyle w:val="TableText"/>
              <w:spacing w:before="40" w:after="30"/>
              <w:jc w:val="right"/>
              <w:rPr>
                <w:rFonts w:asciiTheme="minorHAnsi" w:hAnsiTheme="minorHAnsi"/>
              </w:rPr>
            </w:pPr>
            <w:r w:rsidRPr="009E06AA">
              <w:t>11.4</w:t>
            </w:r>
          </w:p>
        </w:tc>
        <w:tc>
          <w:tcPr>
            <w:tcW w:w="941" w:type="pct"/>
            <w:tcBorders>
              <w:right w:val="single" w:sz="4" w:space="0" w:color="1B556B" w:themeColor="text2"/>
            </w:tcBorders>
            <w:shd w:val="clear" w:color="auto" w:fill="auto"/>
            <w:noWrap/>
          </w:tcPr>
          <w:p w14:paraId="10635680" w14:textId="77777777" w:rsidR="007523B8" w:rsidRPr="009E06AA" w:rsidRDefault="007523B8" w:rsidP="00934445">
            <w:pPr>
              <w:pStyle w:val="TableText"/>
              <w:spacing w:before="40" w:after="30"/>
              <w:jc w:val="right"/>
              <w:rPr>
                <w:rFonts w:asciiTheme="minorHAnsi" w:hAnsiTheme="minorHAnsi"/>
              </w:rPr>
            </w:pPr>
            <w:r w:rsidRPr="009E06AA">
              <w:t>10.2</w:t>
            </w:r>
          </w:p>
        </w:tc>
        <w:tc>
          <w:tcPr>
            <w:tcW w:w="205" w:type="pct"/>
            <w:tcBorders>
              <w:top w:val="nil"/>
              <w:left w:val="single" w:sz="4" w:space="0" w:color="1B556B" w:themeColor="text2"/>
              <w:bottom w:val="nil"/>
              <w:right w:val="single" w:sz="4" w:space="0" w:color="1B556B" w:themeColor="text2"/>
            </w:tcBorders>
          </w:tcPr>
          <w:p w14:paraId="4DFA1FE6" w14:textId="77777777" w:rsidR="007523B8" w:rsidRPr="009E06AA" w:rsidRDefault="007523B8" w:rsidP="00934445">
            <w:pPr>
              <w:pStyle w:val="TableText"/>
              <w:spacing w:before="40" w:after="30"/>
              <w:rPr>
                <w:rFonts w:cs="Calibri"/>
                <w:bCs/>
              </w:rPr>
            </w:pPr>
          </w:p>
        </w:tc>
        <w:tc>
          <w:tcPr>
            <w:tcW w:w="580" w:type="pct"/>
            <w:tcBorders>
              <w:left w:val="single" w:sz="4" w:space="0" w:color="1B556B" w:themeColor="text2"/>
            </w:tcBorders>
            <w:noWrap/>
          </w:tcPr>
          <w:p w14:paraId="0FA6ABA0" w14:textId="77777777" w:rsidR="007523B8" w:rsidRPr="009E06AA" w:rsidRDefault="007523B8" w:rsidP="00934445">
            <w:pPr>
              <w:pStyle w:val="TableText"/>
              <w:spacing w:before="40" w:after="30"/>
              <w:rPr>
                <w:rFonts w:cs="Calibri"/>
              </w:rPr>
            </w:pPr>
            <w:r w:rsidRPr="009E06AA">
              <w:rPr>
                <w:rFonts w:cs="Calibri"/>
              </w:rPr>
              <w:t>2017</w:t>
            </w:r>
          </w:p>
        </w:tc>
        <w:tc>
          <w:tcPr>
            <w:tcW w:w="941" w:type="pct"/>
            <w:shd w:val="clear" w:color="auto" w:fill="auto"/>
            <w:noWrap/>
          </w:tcPr>
          <w:p w14:paraId="0812D047" w14:textId="77777777" w:rsidR="007523B8" w:rsidRPr="009E06AA" w:rsidRDefault="007523B8" w:rsidP="00934445">
            <w:pPr>
              <w:pStyle w:val="TableText"/>
              <w:spacing w:before="40" w:after="30"/>
              <w:jc w:val="right"/>
              <w:rPr>
                <w:rFonts w:asciiTheme="minorHAnsi" w:hAnsiTheme="minorHAnsi"/>
              </w:rPr>
            </w:pPr>
            <w:r w:rsidRPr="009E06AA">
              <w:t>12.7</w:t>
            </w:r>
          </w:p>
        </w:tc>
        <w:tc>
          <w:tcPr>
            <w:tcW w:w="844" w:type="pct"/>
            <w:tcBorders>
              <w:right w:val="nil"/>
            </w:tcBorders>
            <w:shd w:val="clear" w:color="auto" w:fill="auto"/>
          </w:tcPr>
          <w:p w14:paraId="54CCDB47" w14:textId="77777777" w:rsidR="007523B8" w:rsidRPr="009E06AA" w:rsidRDefault="007523B8" w:rsidP="00934445">
            <w:pPr>
              <w:pStyle w:val="TableText"/>
              <w:spacing w:before="40" w:after="30"/>
              <w:jc w:val="right"/>
              <w:rPr>
                <w:rFonts w:asciiTheme="minorHAnsi" w:hAnsiTheme="minorHAnsi"/>
              </w:rPr>
            </w:pPr>
            <w:r w:rsidRPr="009E06AA">
              <w:t>11.3</w:t>
            </w:r>
          </w:p>
        </w:tc>
      </w:tr>
      <w:tr w:rsidR="007523B8" w:rsidRPr="009E06AA" w14:paraId="16D36D4E" w14:textId="77777777" w:rsidTr="00B55F24">
        <w:tc>
          <w:tcPr>
            <w:tcW w:w="547" w:type="pct"/>
            <w:tcBorders>
              <w:left w:val="nil"/>
            </w:tcBorders>
            <w:shd w:val="clear" w:color="auto" w:fill="auto"/>
            <w:noWrap/>
          </w:tcPr>
          <w:p w14:paraId="2AECE48C" w14:textId="77777777" w:rsidR="007523B8" w:rsidRPr="009E06AA" w:rsidRDefault="007523B8" w:rsidP="00934445">
            <w:pPr>
              <w:pStyle w:val="TableText"/>
              <w:spacing w:before="40" w:after="30"/>
              <w:rPr>
                <w:rFonts w:cs="Calibri"/>
              </w:rPr>
            </w:pPr>
            <w:r w:rsidRPr="009E06AA">
              <w:rPr>
                <w:rFonts w:cs="Calibri"/>
              </w:rPr>
              <w:t>2001</w:t>
            </w:r>
          </w:p>
        </w:tc>
        <w:tc>
          <w:tcPr>
            <w:tcW w:w="941" w:type="pct"/>
            <w:shd w:val="clear" w:color="auto" w:fill="auto"/>
            <w:noWrap/>
          </w:tcPr>
          <w:p w14:paraId="5D088781" w14:textId="77777777" w:rsidR="007523B8" w:rsidRPr="009E06AA" w:rsidRDefault="007523B8" w:rsidP="00934445">
            <w:pPr>
              <w:pStyle w:val="TableText"/>
              <w:spacing w:before="40" w:after="30"/>
              <w:jc w:val="right"/>
              <w:rPr>
                <w:rFonts w:asciiTheme="minorHAnsi" w:hAnsiTheme="minorHAnsi"/>
              </w:rPr>
            </w:pPr>
            <w:r w:rsidRPr="009E06AA">
              <w:t>11.5</w:t>
            </w:r>
          </w:p>
        </w:tc>
        <w:tc>
          <w:tcPr>
            <w:tcW w:w="941" w:type="pct"/>
            <w:tcBorders>
              <w:right w:val="single" w:sz="4" w:space="0" w:color="1B556B" w:themeColor="text2"/>
            </w:tcBorders>
            <w:shd w:val="clear" w:color="auto" w:fill="auto"/>
            <w:noWrap/>
          </w:tcPr>
          <w:p w14:paraId="2B4345FE" w14:textId="77777777" w:rsidR="007523B8" w:rsidRPr="009E06AA" w:rsidRDefault="007523B8" w:rsidP="00934445">
            <w:pPr>
              <w:pStyle w:val="TableText"/>
              <w:spacing w:before="40" w:after="30"/>
              <w:jc w:val="right"/>
              <w:rPr>
                <w:rFonts w:asciiTheme="minorHAnsi" w:hAnsiTheme="minorHAnsi"/>
              </w:rPr>
            </w:pPr>
            <w:r w:rsidRPr="009E06AA">
              <w:t>10.5</w:t>
            </w:r>
          </w:p>
        </w:tc>
        <w:tc>
          <w:tcPr>
            <w:tcW w:w="205" w:type="pct"/>
            <w:tcBorders>
              <w:top w:val="nil"/>
              <w:left w:val="single" w:sz="4" w:space="0" w:color="1B556B" w:themeColor="text2"/>
              <w:bottom w:val="nil"/>
              <w:right w:val="single" w:sz="4" w:space="0" w:color="1B556B" w:themeColor="text2"/>
            </w:tcBorders>
          </w:tcPr>
          <w:p w14:paraId="4EE0EADA" w14:textId="77777777" w:rsidR="007523B8" w:rsidRPr="009E06AA" w:rsidRDefault="007523B8" w:rsidP="00934445">
            <w:pPr>
              <w:pStyle w:val="TableText"/>
              <w:spacing w:before="40" w:after="30"/>
              <w:rPr>
                <w:rFonts w:cs="Calibri"/>
                <w:bCs/>
              </w:rPr>
            </w:pPr>
          </w:p>
        </w:tc>
        <w:tc>
          <w:tcPr>
            <w:tcW w:w="580" w:type="pct"/>
            <w:tcBorders>
              <w:left w:val="single" w:sz="4" w:space="0" w:color="1B556B" w:themeColor="text2"/>
            </w:tcBorders>
            <w:noWrap/>
          </w:tcPr>
          <w:p w14:paraId="259E9546" w14:textId="77777777" w:rsidR="007523B8" w:rsidRPr="009E06AA" w:rsidRDefault="007523B8" w:rsidP="00934445">
            <w:pPr>
              <w:pStyle w:val="TableText"/>
              <w:spacing w:before="40" w:after="30"/>
              <w:rPr>
                <w:rFonts w:cs="Calibri"/>
              </w:rPr>
            </w:pPr>
            <w:r w:rsidRPr="009E06AA">
              <w:rPr>
                <w:rFonts w:cs="Calibri"/>
              </w:rPr>
              <w:t>2018</w:t>
            </w:r>
          </w:p>
        </w:tc>
        <w:tc>
          <w:tcPr>
            <w:tcW w:w="941" w:type="pct"/>
            <w:shd w:val="clear" w:color="auto" w:fill="auto"/>
            <w:noWrap/>
          </w:tcPr>
          <w:p w14:paraId="4FD15D5E" w14:textId="77777777" w:rsidR="007523B8" w:rsidRPr="009E06AA" w:rsidRDefault="007523B8" w:rsidP="00934445">
            <w:pPr>
              <w:pStyle w:val="TableText"/>
              <w:spacing w:before="40" w:after="30"/>
              <w:jc w:val="right"/>
              <w:rPr>
                <w:rFonts w:asciiTheme="minorHAnsi" w:hAnsiTheme="minorHAnsi"/>
              </w:rPr>
            </w:pPr>
            <w:r w:rsidRPr="009E06AA">
              <w:t>12.7</w:t>
            </w:r>
          </w:p>
        </w:tc>
        <w:tc>
          <w:tcPr>
            <w:tcW w:w="844" w:type="pct"/>
            <w:tcBorders>
              <w:right w:val="nil"/>
            </w:tcBorders>
            <w:shd w:val="clear" w:color="auto" w:fill="auto"/>
          </w:tcPr>
          <w:p w14:paraId="2DF7CF2B" w14:textId="77777777" w:rsidR="007523B8" w:rsidRPr="009E06AA" w:rsidRDefault="007523B8" w:rsidP="00934445">
            <w:pPr>
              <w:pStyle w:val="TableText"/>
              <w:spacing w:before="40" w:after="30"/>
              <w:jc w:val="right"/>
              <w:rPr>
                <w:rFonts w:asciiTheme="minorHAnsi" w:hAnsiTheme="minorHAnsi"/>
              </w:rPr>
            </w:pPr>
            <w:r w:rsidRPr="009E06AA">
              <w:t>11.4</w:t>
            </w:r>
          </w:p>
        </w:tc>
      </w:tr>
      <w:tr w:rsidR="007523B8" w:rsidRPr="009E06AA" w14:paraId="31AD4CEF" w14:textId="77777777" w:rsidTr="00B55F24">
        <w:tc>
          <w:tcPr>
            <w:tcW w:w="547" w:type="pct"/>
            <w:tcBorders>
              <w:left w:val="nil"/>
            </w:tcBorders>
            <w:shd w:val="clear" w:color="auto" w:fill="auto"/>
            <w:noWrap/>
          </w:tcPr>
          <w:p w14:paraId="48150428" w14:textId="77777777" w:rsidR="007523B8" w:rsidRPr="009E06AA" w:rsidRDefault="007523B8" w:rsidP="00934445">
            <w:pPr>
              <w:pStyle w:val="TableText"/>
              <w:spacing w:before="40" w:after="30"/>
              <w:rPr>
                <w:rFonts w:cs="Calibri"/>
              </w:rPr>
            </w:pPr>
            <w:r w:rsidRPr="009E06AA">
              <w:rPr>
                <w:rFonts w:cs="Calibri"/>
              </w:rPr>
              <w:t>2002</w:t>
            </w:r>
          </w:p>
        </w:tc>
        <w:tc>
          <w:tcPr>
            <w:tcW w:w="941" w:type="pct"/>
            <w:shd w:val="clear" w:color="auto" w:fill="auto"/>
            <w:noWrap/>
          </w:tcPr>
          <w:p w14:paraId="694D3C8F" w14:textId="77777777" w:rsidR="007523B8" w:rsidRPr="009E06AA" w:rsidRDefault="007523B8" w:rsidP="00934445">
            <w:pPr>
              <w:pStyle w:val="TableText"/>
              <w:spacing w:before="40" w:after="30"/>
              <w:jc w:val="right"/>
              <w:rPr>
                <w:rFonts w:asciiTheme="minorHAnsi" w:hAnsiTheme="minorHAnsi"/>
              </w:rPr>
            </w:pPr>
            <w:r w:rsidRPr="009E06AA">
              <w:t>11.5</w:t>
            </w:r>
          </w:p>
        </w:tc>
        <w:tc>
          <w:tcPr>
            <w:tcW w:w="941" w:type="pct"/>
            <w:tcBorders>
              <w:right w:val="single" w:sz="4" w:space="0" w:color="1B556B" w:themeColor="text2"/>
            </w:tcBorders>
            <w:shd w:val="clear" w:color="auto" w:fill="auto"/>
            <w:noWrap/>
          </w:tcPr>
          <w:p w14:paraId="53192578" w14:textId="77777777" w:rsidR="007523B8" w:rsidRPr="009E06AA" w:rsidRDefault="007523B8" w:rsidP="00934445">
            <w:pPr>
              <w:pStyle w:val="TableText"/>
              <w:spacing w:before="40" w:after="30"/>
              <w:jc w:val="right"/>
              <w:rPr>
                <w:rFonts w:asciiTheme="minorHAnsi" w:hAnsiTheme="minorHAnsi"/>
              </w:rPr>
            </w:pPr>
            <w:r w:rsidRPr="009E06AA">
              <w:t>10.2</w:t>
            </w:r>
          </w:p>
        </w:tc>
        <w:tc>
          <w:tcPr>
            <w:tcW w:w="205" w:type="pct"/>
            <w:tcBorders>
              <w:top w:val="nil"/>
              <w:left w:val="single" w:sz="4" w:space="0" w:color="1B556B" w:themeColor="text2"/>
              <w:bottom w:val="nil"/>
              <w:right w:val="single" w:sz="4" w:space="0" w:color="1B556B" w:themeColor="text2"/>
            </w:tcBorders>
          </w:tcPr>
          <w:p w14:paraId="06BF5F8A" w14:textId="77777777" w:rsidR="007523B8" w:rsidRPr="009E06AA" w:rsidRDefault="007523B8" w:rsidP="00934445">
            <w:pPr>
              <w:pStyle w:val="TableText"/>
              <w:spacing w:before="40" w:after="30"/>
              <w:rPr>
                <w:rFonts w:cs="Calibri"/>
                <w:bCs/>
              </w:rPr>
            </w:pPr>
          </w:p>
        </w:tc>
        <w:tc>
          <w:tcPr>
            <w:tcW w:w="580" w:type="pct"/>
            <w:tcBorders>
              <w:left w:val="single" w:sz="4" w:space="0" w:color="1B556B" w:themeColor="text2"/>
            </w:tcBorders>
            <w:noWrap/>
          </w:tcPr>
          <w:p w14:paraId="76C0D6AB" w14:textId="77777777" w:rsidR="007523B8" w:rsidRPr="009E06AA" w:rsidRDefault="007523B8" w:rsidP="00934445">
            <w:pPr>
              <w:pStyle w:val="TableText"/>
              <w:spacing w:before="40" w:after="30"/>
              <w:rPr>
                <w:rFonts w:cs="Calibri"/>
              </w:rPr>
            </w:pPr>
            <w:r w:rsidRPr="009E06AA">
              <w:rPr>
                <w:rFonts w:cs="Calibri"/>
              </w:rPr>
              <w:t>2019</w:t>
            </w:r>
          </w:p>
        </w:tc>
        <w:tc>
          <w:tcPr>
            <w:tcW w:w="941" w:type="pct"/>
            <w:shd w:val="clear" w:color="auto" w:fill="auto"/>
            <w:noWrap/>
          </w:tcPr>
          <w:p w14:paraId="5EF85E66" w14:textId="77777777" w:rsidR="007523B8" w:rsidRPr="009E06AA" w:rsidRDefault="007523B8" w:rsidP="00934445">
            <w:pPr>
              <w:pStyle w:val="TableText"/>
              <w:spacing w:before="40" w:after="30"/>
              <w:jc w:val="right"/>
              <w:rPr>
                <w:rFonts w:asciiTheme="minorHAnsi" w:hAnsiTheme="minorHAnsi"/>
              </w:rPr>
            </w:pPr>
            <w:r w:rsidRPr="009E06AA">
              <w:t>12.7</w:t>
            </w:r>
          </w:p>
        </w:tc>
        <w:tc>
          <w:tcPr>
            <w:tcW w:w="844" w:type="pct"/>
            <w:tcBorders>
              <w:right w:val="nil"/>
            </w:tcBorders>
            <w:shd w:val="clear" w:color="auto" w:fill="auto"/>
          </w:tcPr>
          <w:p w14:paraId="794A47B1" w14:textId="77777777" w:rsidR="007523B8" w:rsidRPr="009E06AA" w:rsidRDefault="007523B8" w:rsidP="00934445">
            <w:pPr>
              <w:pStyle w:val="TableText"/>
              <w:spacing w:before="40" w:after="30"/>
              <w:jc w:val="right"/>
              <w:rPr>
                <w:rFonts w:asciiTheme="minorHAnsi" w:hAnsiTheme="minorHAnsi"/>
              </w:rPr>
            </w:pPr>
            <w:r w:rsidRPr="009E06AA">
              <w:t>11.3</w:t>
            </w:r>
          </w:p>
        </w:tc>
      </w:tr>
      <w:tr w:rsidR="007523B8" w:rsidRPr="009E06AA" w14:paraId="6416732A" w14:textId="77777777" w:rsidTr="00B55F24">
        <w:tc>
          <w:tcPr>
            <w:tcW w:w="547" w:type="pct"/>
            <w:tcBorders>
              <w:left w:val="nil"/>
            </w:tcBorders>
            <w:shd w:val="clear" w:color="auto" w:fill="auto"/>
            <w:noWrap/>
          </w:tcPr>
          <w:p w14:paraId="606D3B92" w14:textId="77777777" w:rsidR="007523B8" w:rsidRPr="009E06AA" w:rsidRDefault="007523B8" w:rsidP="00934445">
            <w:pPr>
              <w:pStyle w:val="TableText"/>
              <w:spacing w:before="40" w:after="30"/>
              <w:rPr>
                <w:rFonts w:cs="Calibri"/>
              </w:rPr>
            </w:pPr>
            <w:r w:rsidRPr="009E06AA">
              <w:rPr>
                <w:rFonts w:cs="Calibri"/>
              </w:rPr>
              <w:t>2003</w:t>
            </w:r>
          </w:p>
        </w:tc>
        <w:tc>
          <w:tcPr>
            <w:tcW w:w="941" w:type="pct"/>
            <w:shd w:val="clear" w:color="auto" w:fill="auto"/>
            <w:noWrap/>
          </w:tcPr>
          <w:p w14:paraId="59934C92" w14:textId="77777777" w:rsidR="007523B8" w:rsidRPr="009E06AA" w:rsidRDefault="007523B8" w:rsidP="00934445">
            <w:pPr>
              <w:pStyle w:val="TableText"/>
              <w:spacing w:before="40" w:after="30"/>
              <w:jc w:val="right"/>
              <w:rPr>
                <w:rFonts w:asciiTheme="minorHAnsi" w:hAnsiTheme="minorHAnsi"/>
              </w:rPr>
            </w:pPr>
            <w:r w:rsidRPr="009E06AA">
              <w:t>11.6</w:t>
            </w:r>
          </w:p>
        </w:tc>
        <w:tc>
          <w:tcPr>
            <w:tcW w:w="941" w:type="pct"/>
            <w:tcBorders>
              <w:right w:val="single" w:sz="4" w:space="0" w:color="1B556B" w:themeColor="text2"/>
            </w:tcBorders>
            <w:shd w:val="clear" w:color="auto" w:fill="auto"/>
            <w:noWrap/>
          </w:tcPr>
          <w:p w14:paraId="02ED5289" w14:textId="77777777" w:rsidR="007523B8" w:rsidRPr="009E06AA" w:rsidRDefault="007523B8" w:rsidP="00934445">
            <w:pPr>
              <w:pStyle w:val="TableText"/>
              <w:spacing w:before="40" w:after="30"/>
              <w:jc w:val="right"/>
              <w:rPr>
                <w:rFonts w:asciiTheme="minorHAnsi" w:hAnsiTheme="minorHAnsi"/>
              </w:rPr>
            </w:pPr>
            <w:r w:rsidRPr="009E06AA">
              <w:t>10.1</w:t>
            </w:r>
          </w:p>
        </w:tc>
        <w:tc>
          <w:tcPr>
            <w:tcW w:w="205" w:type="pct"/>
            <w:tcBorders>
              <w:top w:val="nil"/>
              <w:left w:val="single" w:sz="4" w:space="0" w:color="1B556B" w:themeColor="text2"/>
              <w:bottom w:val="nil"/>
              <w:right w:val="single" w:sz="4" w:space="0" w:color="1B556B" w:themeColor="text2"/>
            </w:tcBorders>
          </w:tcPr>
          <w:p w14:paraId="65840EE9" w14:textId="77777777" w:rsidR="007523B8" w:rsidRPr="009E06AA" w:rsidRDefault="007523B8" w:rsidP="00934445">
            <w:pPr>
              <w:pStyle w:val="TableText"/>
              <w:spacing w:before="40" w:after="30"/>
              <w:rPr>
                <w:rFonts w:cs="Calibri"/>
                <w:bCs/>
              </w:rPr>
            </w:pPr>
          </w:p>
        </w:tc>
        <w:tc>
          <w:tcPr>
            <w:tcW w:w="580" w:type="pct"/>
            <w:tcBorders>
              <w:left w:val="single" w:sz="4" w:space="0" w:color="1B556B" w:themeColor="text2"/>
            </w:tcBorders>
            <w:noWrap/>
          </w:tcPr>
          <w:p w14:paraId="163CE2E1" w14:textId="77777777" w:rsidR="007523B8" w:rsidRPr="009E06AA" w:rsidRDefault="007523B8" w:rsidP="00934445">
            <w:pPr>
              <w:pStyle w:val="TableText"/>
              <w:spacing w:before="40" w:after="30"/>
              <w:rPr>
                <w:rFonts w:cs="Calibri"/>
              </w:rPr>
            </w:pPr>
            <w:r w:rsidRPr="009E06AA">
              <w:rPr>
                <w:rFonts w:cs="Calibri"/>
              </w:rPr>
              <w:t>2020</w:t>
            </w:r>
          </w:p>
        </w:tc>
        <w:tc>
          <w:tcPr>
            <w:tcW w:w="941" w:type="pct"/>
            <w:shd w:val="clear" w:color="auto" w:fill="auto"/>
            <w:noWrap/>
          </w:tcPr>
          <w:p w14:paraId="38D8A13D" w14:textId="77777777" w:rsidR="007523B8" w:rsidRPr="009E06AA" w:rsidRDefault="007523B8" w:rsidP="00934445">
            <w:pPr>
              <w:pStyle w:val="TableText"/>
              <w:spacing w:before="40" w:after="30"/>
              <w:jc w:val="right"/>
              <w:rPr>
                <w:rFonts w:asciiTheme="minorHAnsi" w:hAnsiTheme="minorHAnsi"/>
              </w:rPr>
            </w:pPr>
            <w:r w:rsidRPr="009E06AA">
              <w:t>12.7</w:t>
            </w:r>
          </w:p>
        </w:tc>
        <w:tc>
          <w:tcPr>
            <w:tcW w:w="844" w:type="pct"/>
            <w:tcBorders>
              <w:right w:val="nil"/>
            </w:tcBorders>
            <w:shd w:val="clear" w:color="auto" w:fill="auto"/>
          </w:tcPr>
          <w:p w14:paraId="69AE7048" w14:textId="77777777" w:rsidR="007523B8" w:rsidRPr="009E06AA" w:rsidRDefault="007523B8" w:rsidP="00934445">
            <w:pPr>
              <w:pStyle w:val="TableText"/>
              <w:spacing w:before="40" w:after="30"/>
              <w:jc w:val="right"/>
              <w:rPr>
                <w:rFonts w:asciiTheme="minorHAnsi" w:hAnsiTheme="minorHAnsi"/>
              </w:rPr>
            </w:pPr>
            <w:r w:rsidRPr="009E06AA">
              <w:t>11.4</w:t>
            </w:r>
          </w:p>
        </w:tc>
      </w:tr>
      <w:tr w:rsidR="007523B8" w:rsidRPr="009E06AA" w14:paraId="3F1DFFA0" w14:textId="77777777" w:rsidTr="00B55F24">
        <w:tc>
          <w:tcPr>
            <w:tcW w:w="547" w:type="pct"/>
            <w:tcBorders>
              <w:left w:val="nil"/>
            </w:tcBorders>
            <w:shd w:val="clear" w:color="auto" w:fill="auto"/>
            <w:noWrap/>
          </w:tcPr>
          <w:p w14:paraId="4C4CF982" w14:textId="77777777" w:rsidR="007523B8" w:rsidRPr="009E06AA" w:rsidRDefault="007523B8" w:rsidP="00934445">
            <w:pPr>
              <w:pStyle w:val="TableText"/>
              <w:spacing w:before="40" w:after="30"/>
              <w:rPr>
                <w:rFonts w:cs="Calibri"/>
              </w:rPr>
            </w:pPr>
            <w:r w:rsidRPr="009E06AA">
              <w:rPr>
                <w:rFonts w:cs="Calibri"/>
              </w:rPr>
              <w:t>2004</w:t>
            </w:r>
          </w:p>
        </w:tc>
        <w:tc>
          <w:tcPr>
            <w:tcW w:w="941" w:type="pct"/>
            <w:shd w:val="clear" w:color="auto" w:fill="auto"/>
            <w:noWrap/>
          </w:tcPr>
          <w:p w14:paraId="400CD59B" w14:textId="77777777" w:rsidR="007523B8" w:rsidRPr="009E06AA" w:rsidRDefault="007523B8" w:rsidP="00934445">
            <w:pPr>
              <w:pStyle w:val="TableText"/>
              <w:spacing w:before="40" w:after="30"/>
              <w:jc w:val="right"/>
              <w:rPr>
                <w:rFonts w:asciiTheme="minorHAnsi" w:hAnsiTheme="minorHAnsi"/>
              </w:rPr>
            </w:pPr>
            <w:r w:rsidRPr="009E06AA">
              <w:t>11.7</w:t>
            </w:r>
          </w:p>
        </w:tc>
        <w:tc>
          <w:tcPr>
            <w:tcW w:w="941" w:type="pct"/>
            <w:tcBorders>
              <w:right w:val="single" w:sz="4" w:space="0" w:color="1B556B" w:themeColor="text2"/>
            </w:tcBorders>
            <w:shd w:val="clear" w:color="auto" w:fill="auto"/>
            <w:noWrap/>
          </w:tcPr>
          <w:p w14:paraId="476B6BEE" w14:textId="77777777" w:rsidR="007523B8" w:rsidRPr="009E06AA" w:rsidRDefault="007523B8" w:rsidP="00934445">
            <w:pPr>
              <w:pStyle w:val="TableText"/>
              <w:spacing w:before="40" w:after="30"/>
              <w:jc w:val="right"/>
              <w:rPr>
                <w:rFonts w:asciiTheme="minorHAnsi" w:hAnsiTheme="minorHAnsi"/>
              </w:rPr>
            </w:pPr>
            <w:r w:rsidRPr="009E06AA">
              <w:t>10.5</w:t>
            </w:r>
          </w:p>
        </w:tc>
        <w:tc>
          <w:tcPr>
            <w:tcW w:w="205" w:type="pct"/>
            <w:tcBorders>
              <w:top w:val="nil"/>
              <w:left w:val="single" w:sz="4" w:space="0" w:color="1B556B" w:themeColor="text2"/>
              <w:bottom w:val="nil"/>
              <w:right w:val="single" w:sz="4" w:space="0" w:color="1B556B" w:themeColor="text2"/>
            </w:tcBorders>
          </w:tcPr>
          <w:p w14:paraId="7F187461" w14:textId="77777777" w:rsidR="007523B8" w:rsidRPr="009E06AA" w:rsidRDefault="007523B8" w:rsidP="00934445">
            <w:pPr>
              <w:pStyle w:val="TableText"/>
              <w:spacing w:before="40" w:after="30"/>
              <w:rPr>
                <w:rFonts w:cs="Calibri"/>
                <w:bCs/>
              </w:rPr>
            </w:pPr>
          </w:p>
        </w:tc>
        <w:tc>
          <w:tcPr>
            <w:tcW w:w="580" w:type="pct"/>
            <w:tcBorders>
              <w:left w:val="single" w:sz="4" w:space="0" w:color="1B556B" w:themeColor="text2"/>
            </w:tcBorders>
            <w:noWrap/>
          </w:tcPr>
          <w:p w14:paraId="6835B528" w14:textId="77777777" w:rsidR="007523B8" w:rsidRPr="009E06AA" w:rsidRDefault="007523B8" w:rsidP="00934445">
            <w:pPr>
              <w:pStyle w:val="TableText"/>
              <w:spacing w:before="40" w:after="30"/>
              <w:rPr>
                <w:rFonts w:cs="Calibri"/>
              </w:rPr>
            </w:pPr>
            <w:r w:rsidRPr="009E06AA">
              <w:rPr>
                <w:rFonts w:cs="Calibri"/>
              </w:rPr>
              <w:t>2021</w:t>
            </w:r>
          </w:p>
        </w:tc>
        <w:tc>
          <w:tcPr>
            <w:tcW w:w="941" w:type="pct"/>
            <w:shd w:val="clear" w:color="auto" w:fill="auto"/>
            <w:noWrap/>
          </w:tcPr>
          <w:p w14:paraId="6F73AC8D" w14:textId="77777777" w:rsidR="007523B8" w:rsidRPr="009E06AA" w:rsidRDefault="007523B8" w:rsidP="00934445">
            <w:pPr>
              <w:pStyle w:val="TableText"/>
              <w:spacing w:before="40" w:after="30"/>
              <w:jc w:val="right"/>
              <w:rPr>
                <w:rFonts w:asciiTheme="minorHAnsi" w:hAnsiTheme="minorHAnsi"/>
              </w:rPr>
            </w:pPr>
            <w:r w:rsidRPr="009E06AA">
              <w:t>12.7</w:t>
            </w:r>
          </w:p>
        </w:tc>
        <w:tc>
          <w:tcPr>
            <w:tcW w:w="844" w:type="pct"/>
            <w:tcBorders>
              <w:right w:val="nil"/>
            </w:tcBorders>
            <w:shd w:val="clear" w:color="auto" w:fill="auto"/>
          </w:tcPr>
          <w:p w14:paraId="43AF8214" w14:textId="77777777" w:rsidR="007523B8" w:rsidRPr="009E06AA" w:rsidRDefault="007523B8" w:rsidP="00934445">
            <w:pPr>
              <w:pStyle w:val="TableText"/>
              <w:spacing w:before="40" w:after="30"/>
              <w:jc w:val="right"/>
              <w:rPr>
                <w:rFonts w:asciiTheme="minorHAnsi" w:hAnsiTheme="minorHAnsi"/>
              </w:rPr>
            </w:pPr>
            <w:r w:rsidRPr="009E06AA">
              <w:t>11.3</w:t>
            </w:r>
          </w:p>
        </w:tc>
      </w:tr>
      <w:tr w:rsidR="007523B8" w:rsidRPr="009E06AA" w14:paraId="61C9D9C4" w14:textId="77777777" w:rsidTr="00B55F24">
        <w:tc>
          <w:tcPr>
            <w:tcW w:w="547" w:type="pct"/>
            <w:tcBorders>
              <w:left w:val="nil"/>
            </w:tcBorders>
            <w:shd w:val="clear" w:color="auto" w:fill="auto"/>
            <w:noWrap/>
          </w:tcPr>
          <w:p w14:paraId="7CE4661A" w14:textId="77777777" w:rsidR="007523B8" w:rsidRPr="009E06AA" w:rsidRDefault="007523B8" w:rsidP="00934445">
            <w:pPr>
              <w:pStyle w:val="TableText"/>
              <w:spacing w:before="40" w:after="30"/>
              <w:rPr>
                <w:rFonts w:cs="Calibri"/>
              </w:rPr>
            </w:pPr>
            <w:r w:rsidRPr="009E06AA">
              <w:t>2005</w:t>
            </w:r>
          </w:p>
        </w:tc>
        <w:tc>
          <w:tcPr>
            <w:tcW w:w="941" w:type="pct"/>
            <w:shd w:val="clear" w:color="auto" w:fill="auto"/>
            <w:noWrap/>
          </w:tcPr>
          <w:p w14:paraId="612DF080" w14:textId="77777777" w:rsidR="007523B8" w:rsidRPr="009E06AA" w:rsidRDefault="007523B8" w:rsidP="00934445">
            <w:pPr>
              <w:pStyle w:val="TableText"/>
              <w:spacing w:before="40" w:after="30"/>
              <w:jc w:val="right"/>
              <w:rPr>
                <w:rFonts w:asciiTheme="minorHAnsi" w:hAnsiTheme="minorHAnsi"/>
              </w:rPr>
            </w:pPr>
            <w:r w:rsidRPr="009E06AA">
              <w:t>11.8</w:t>
            </w:r>
          </w:p>
        </w:tc>
        <w:tc>
          <w:tcPr>
            <w:tcW w:w="941" w:type="pct"/>
            <w:tcBorders>
              <w:right w:val="single" w:sz="4" w:space="0" w:color="1B556B" w:themeColor="text2"/>
            </w:tcBorders>
            <w:shd w:val="clear" w:color="auto" w:fill="auto"/>
            <w:noWrap/>
          </w:tcPr>
          <w:p w14:paraId="3A703E7C" w14:textId="77777777" w:rsidR="007523B8" w:rsidRPr="009E06AA" w:rsidRDefault="007523B8" w:rsidP="00934445">
            <w:pPr>
              <w:pStyle w:val="TableText"/>
              <w:spacing w:before="40" w:after="30"/>
              <w:jc w:val="right"/>
              <w:rPr>
                <w:rFonts w:asciiTheme="minorHAnsi" w:hAnsiTheme="minorHAnsi"/>
              </w:rPr>
            </w:pPr>
            <w:r w:rsidRPr="009E06AA">
              <w:t>10.6</w:t>
            </w:r>
          </w:p>
        </w:tc>
        <w:tc>
          <w:tcPr>
            <w:tcW w:w="205" w:type="pct"/>
            <w:tcBorders>
              <w:top w:val="nil"/>
              <w:left w:val="single" w:sz="4" w:space="0" w:color="1B556B" w:themeColor="text2"/>
              <w:bottom w:val="nil"/>
              <w:right w:val="single" w:sz="4" w:space="0" w:color="1B556B" w:themeColor="text2"/>
            </w:tcBorders>
          </w:tcPr>
          <w:p w14:paraId="7F19E8AB" w14:textId="77777777" w:rsidR="007523B8" w:rsidRPr="009E06AA" w:rsidRDefault="007523B8" w:rsidP="00934445">
            <w:pPr>
              <w:pStyle w:val="TableText"/>
              <w:spacing w:before="40" w:after="30"/>
              <w:rPr>
                <w:rFonts w:cs="Calibri"/>
                <w:bCs/>
              </w:rPr>
            </w:pPr>
          </w:p>
        </w:tc>
        <w:tc>
          <w:tcPr>
            <w:tcW w:w="580" w:type="pct"/>
            <w:tcBorders>
              <w:left w:val="single" w:sz="4" w:space="0" w:color="1B556B" w:themeColor="text2"/>
              <w:bottom w:val="single" w:sz="4" w:space="0" w:color="1B556B" w:themeColor="text2"/>
            </w:tcBorders>
            <w:noWrap/>
          </w:tcPr>
          <w:p w14:paraId="1FFFEF38" w14:textId="77777777" w:rsidR="007523B8" w:rsidRPr="009E06AA" w:rsidRDefault="007523B8" w:rsidP="00934445">
            <w:pPr>
              <w:pStyle w:val="TableText"/>
              <w:spacing w:before="40" w:after="30"/>
              <w:rPr>
                <w:rFonts w:cs="Calibri"/>
              </w:rPr>
            </w:pPr>
            <w:r w:rsidRPr="009E06AA">
              <w:rPr>
                <w:rFonts w:cs="Calibri"/>
              </w:rPr>
              <w:t>2022</w:t>
            </w:r>
          </w:p>
        </w:tc>
        <w:tc>
          <w:tcPr>
            <w:tcW w:w="941" w:type="pct"/>
            <w:tcBorders>
              <w:bottom w:val="single" w:sz="4" w:space="0" w:color="1B556B" w:themeColor="text2"/>
            </w:tcBorders>
            <w:shd w:val="clear" w:color="auto" w:fill="auto"/>
            <w:noWrap/>
          </w:tcPr>
          <w:p w14:paraId="3888FE00" w14:textId="77777777" w:rsidR="007523B8" w:rsidRPr="009E06AA" w:rsidRDefault="007523B8" w:rsidP="00934445">
            <w:pPr>
              <w:pStyle w:val="TableText"/>
              <w:spacing w:before="40" w:after="30"/>
              <w:jc w:val="right"/>
              <w:rPr>
                <w:rFonts w:asciiTheme="minorHAnsi" w:hAnsiTheme="minorHAnsi"/>
              </w:rPr>
            </w:pPr>
            <w:r w:rsidRPr="009E06AA">
              <w:t>12.7</w:t>
            </w:r>
          </w:p>
        </w:tc>
        <w:tc>
          <w:tcPr>
            <w:tcW w:w="844" w:type="pct"/>
            <w:tcBorders>
              <w:bottom w:val="single" w:sz="4" w:space="0" w:color="1B556B" w:themeColor="text2"/>
              <w:right w:val="nil"/>
            </w:tcBorders>
            <w:shd w:val="clear" w:color="auto" w:fill="auto"/>
          </w:tcPr>
          <w:p w14:paraId="7A852ADA" w14:textId="77777777" w:rsidR="007523B8" w:rsidRPr="009E06AA" w:rsidRDefault="007523B8" w:rsidP="00934445">
            <w:pPr>
              <w:pStyle w:val="TableText"/>
              <w:spacing w:before="40" w:after="30"/>
              <w:jc w:val="right"/>
              <w:rPr>
                <w:rFonts w:asciiTheme="minorHAnsi" w:hAnsiTheme="minorHAnsi"/>
              </w:rPr>
            </w:pPr>
            <w:r w:rsidRPr="009E06AA">
              <w:t>11.4</w:t>
            </w:r>
          </w:p>
        </w:tc>
      </w:tr>
      <w:tr w:rsidR="007523B8" w:rsidRPr="009E06AA" w14:paraId="51DB7344" w14:textId="77777777" w:rsidTr="00B55F24">
        <w:tc>
          <w:tcPr>
            <w:tcW w:w="547" w:type="pct"/>
            <w:tcBorders>
              <w:left w:val="nil"/>
            </w:tcBorders>
            <w:shd w:val="clear" w:color="auto" w:fill="auto"/>
            <w:noWrap/>
          </w:tcPr>
          <w:p w14:paraId="17B415B0" w14:textId="77777777" w:rsidR="007523B8" w:rsidRPr="009E06AA" w:rsidRDefault="007523B8" w:rsidP="00934445">
            <w:pPr>
              <w:pStyle w:val="TableText"/>
              <w:spacing w:before="40" w:after="30"/>
            </w:pPr>
            <w:r w:rsidRPr="009E06AA">
              <w:t>2006</w:t>
            </w:r>
          </w:p>
        </w:tc>
        <w:tc>
          <w:tcPr>
            <w:tcW w:w="941" w:type="pct"/>
            <w:shd w:val="clear" w:color="auto" w:fill="auto"/>
            <w:noWrap/>
          </w:tcPr>
          <w:p w14:paraId="72B0C079" w14:textId="77777777" w:rsidR="007523B8" w:rsidRPr="009E06AA" w:rsidRDefault="007523B8" w:rsidP="00934445">
            <w:pPr>
              <w:pStyle w:val="TableText"/>
              <w:spacing w:before="40" w:after="30"/>
              <w:jc w:val="right"/>
              <w:rPr>
                <w:rFonts w:asciiTheme="minorHAnsi" w:hAnsiTheme="minorHAnsi"/>
                <w:color w:val="000000"/>
              </w:rPr>
            </w:pPr>
            <w:r w:rsidRPr="009E06AA">
              <w:t>11.9</w:t>
            </w:r>
          </w:p>
        </w:tc>
        <w:tc>
          <w:tcPr>
            <w:tcW w:w="941" w:type="pct"/>
            <w:tcBorders>
              <w:right w:val="single" w:sz="4" w:space="0" w:color="1B556B" w:themeColor="text2"/>
            </w:tcBorders>
            <w:shd w:val="clear" w:color="auto" w:fill="auto"/>
            <w:noWrap/>
          </w:tcPr>
          <w:p w14:paraId="01D4E35D" w14:textId="77777777" w:rsidR="007523B8" w:rsidRPr="009E06AA" w:rsidRDefault="007523B8" w:rsidP="00934445">
            <w:pPr>
              <w:pStyle w:val="TableText"/>
              <w:spacing w:before="40" w:after="30"/>
              <w:jc w:val="right"/>
              <w:rPr>
                <w:rFonts w:asciiTheme="minorHAnsi" w:hAnsiTheme="minorHAnsi"/>
                <w:color w:val="000000"/>
              </w:rPr>
            </w:pPr>
            <w:r w:rsidRPr="009E06AA">
              <w:t>10.7</w:t>
            </w:r>
          </w:p>
        </w:tc>
        <w:tc>
          <w:tcPr>
            <w:tcW w:w="205" w:type="pct"/>
            <w:tcBorders>
              <w:top w:val="nil"/>
              <w:left w:val="single" w:sz="4" w:space="0" w:color="1B556B" w:themeColor="text2"/>
              <w:bottom w:val="nil"/>
              <w:right w:val="nil"/>
            </w:tcBorders>
          </w:tcPr>
          <w:p w14:paraId="5F230E92" w14:textId="77777777" w:rsidR="007523B8" w:rsidRPr="009E06AA" w:rsidRDefault="007523B8" w:rsidP="00934445">
            <w:pPr>
              <w:pStyle w:val="TableText"/>
              <w:spacing w:before="40" w:after="30"/>
              <w:rPr>
                <w:rFonts w:cs="Calibri"/>
                <w:bCs/>
              </w:rPr>
            </w:pPr>
          </w:p>
        </w:tc>
        <w:tc>
          <w:tcPr>
            <w:tcW w:w="580" w:type="pct"/>
            <w:tcBorders>
              <w:left w:val="nil"/>
              <w:bottom w:val="nil"/>
            </w:tcBorders>
            <w:noWrap/>
          </w:tcPr>
          <w:p w14:paraId="5EF2E230" w14:textId="77777777" w:rsidR="007523B8" w:rsidRPr="009E06AA" w:rsidRDefault="007523B8" w:rsidP="00934445">
            <w:pPr>
              <w:pStyle w:val="TableText"/>
              <w:spacing w:before="40" w:after="30"/>
              <w:rPr>
                <w:rFonts w:cs="Calibri"/>
              </w:rPr>
            </w:pPr>
          </w:p>
        </w:tc>
        <w:tc>
          <w:tcPr>
            <w:tcW w:w="941" w:type="pct"/>
            <w:tcBorders>
              <w:bottom w:val="nil"/>
            </w:tcBorders>
            <w:shd w:val="clear" w:color="auto" w:fill="auto"/>
            <w:noWrap/>
          </w:tcPr>
          <w:p w14:paraId="26DC328A" w14:textId="77777777" w:rsidR="007523B8" w:rsidRPr="009E06AA" w:rsidRDefault="007523B8" w:rsidP="00934445">
            <w:pPr>
              <w:pStyle w:val="TableText"/>
              <w:spacing w:before="40" w:after="30"/>
              <w:jc w:val="center"/>
              <w:rPr>
                <w:rFonts w:asciiTheme="minorHAnsi" w:hAnsiTheme="minorHAnsi" w:cstheme="minorHAnsi"/>
                <w:color w:val="000000"/>
                <w:szCs w:val="16"/>
              </w:rPr>
            </w:pPr>
          </w:p>
        </w:tc>
        <w:tc>
          <w:tcPr>
            <w:tcW w:w="844" w:type="pct"/>
            <w:tcBorders>
              <w:bottom w:val="nil"/>
              <w:right w:val="nil"/>
            </w:tcBorders>
            <w:shd w:val="clear" w:color="auto" w:fill="auto"/>
          </w:tcPr>
          <w:p w14:paraId="688BAF92" w14:textId="77777777" w:rsidR="007523B8" w:rsidRPr="009E06AA" w:rsidRDefault="007523B8" w:rsidP="00934445">
            <w:pPr>
              <w:pStyle w:val="TableText"/>
              <w:spacing w:before="40" w:after="30"/>
              <w:jc w:val="center"/>
              <w:rPr>
                <w:rFonts w:asciiTheme="minorHAnsi" w:hAnsiTheme="minorHAnsi" w:cstheme="minorHAnsi"/>
                <w:color w:val="000000"/>
                <w:szCs w:val="16"/>
              </w:rPr>
            </w:pPr>
          </w:p>
        </w:tc>
      </w:tr>
    </w:tbl>
    <w:p w14:paraId="6AE1E1E0" w14:textId="77777777" w:rsidR="007523B8" w:rsidRPr="009E06AA" w:rsidRDefault="007523B8" w:rsidP="00BF2A76">
      <w:pPr>
        <w:pStyle w:val="Heading5"/>
      </w:pPr>
      <w:r w:rsidRPr="009E06AA">
        <w:t xml:space="preserve">Direct nitrous oxide emissions from manure management </w:t>
      </w:r>
    </w:p>
    <w:p w14:paraId="76A336F9" w14:textId="77777777" w:rsidR="007523B8" w:rsidRPr="009E06AA" w:rsidRDefault="007523B8" w:rsidP="00934445">
      <w:pPr>
        <w:pStyle w:val="BodyText"/>
        <w:spacing w:before="80"/>
      </w:pPr>
      <w:r w:rsidRPr="009E06AA">
        <w:rPr>
          <w:b/>
          <w:bCs/>
        </w:rPr>
        <w:t>Major livestock categories:</w:t>
      </w:r>
      <w:r w:rsidRPr="009E06AA">
        <w:t xml:space="preserve"> For the major livestock categories (</w:t>
      </w:r>
      <w:r w:rsidRPr="009E06AA">
        <w:rPr>
          <w:i/>
          <w:iCs/>
        </w:rPr>
        <w:t>Dairy cattle</w:t>
      </w:r>
      <w:r w:rsidRPr="009E06AA">
        <w:t xml:space="preserve">, </w:t>
      </w:r>
      <w:r w:rsidRPr="009E06AA">
        <w:rPr>
          <w:i/>
          <w:iCs/>
        </w:rPr>
        <w:t>Non-dairy cattle</w:t>
      </w:r>
      <w:r w:rsidRPr="009E06AA">
        <w:t xml:space="preserve">, </w:t>
      </w:r>
      <w:r w:rsidRPr="009E06AA">
        <w:rPr>
          <w:i/>
          <w:iCs/>
        </w:rPr>
        <w:t>Sheep</w:t>
      </w:r>
      <w:r w:rsidRPr="009E06AA">
        <w:t xml:space="preserve"> and </w:t>
      </w:r>
      <w:r w:rsidRPr="009E06AA">
        <w:rPr>
          <w:i/>
          <w:iCs/>
        </w:rPr>
        <w:t>Deer</w:t>
      </w:r>
      <w:r w:rsidRPr="009E06AA">
        <w:t>), most manure is deposited directly onto pasture by grazing animals (see table 5.3.2). Direct and indirect N</w:t>
      </w:r>
      <w:r w:rsidRPr="009E06AA">
        <w:rPr>
          <w:vertAlign w:val="subscript"/>
        </w:rPr>
        <w:t>2</w:t>
      </w:r>
      <w:r w:rsidRPr="009E06AA">
        <w:t xml:space="preserve">O emissions from the manure deposited by grazing animals are reported in the </w:t>
      </w:r>
      <w:r w:rsidRPr="009E06AA">
        <w:rPr>
          <w:i/>
          <w:iCs/>
        </w:rPr>
        <w:t>Agricultural soils</w:t>
      </w:r>
      <w:r w:rsidRPr="009E06AA">
        <w:t xml:space="preserve"> category (</w:t>
      </w:r>
      <w:r w:rsidRPr="009E06AA">
        <w:rPr>
          <w:i/>
          <w:iCs/>
        </w:rPr>
        <w:t xml:space="preserve">Urine and dung deposited by grazing animals </w:t>
      </w:r>
      <w:r w:rsidRPr="009E06AA">
        <w:t xml:space="preserve">(3.D.1.3)). </w:t>
      </w:r>
    </w:p>
    <w:p w14:paraId="6E80DE2C" w14:textId="77777777" w:rsidR="007523B8" w:rsidRPr="009E06AA" w:rsidRDefault="007523B8" w:rsidP="007523B8">
      <w:pPr>
        <w:pStyle w:val="BodyText"/>
      </w:pPr>
      <w:r w:rsidRPr="009E06AA">
        <w:t>The remainder of dairy manure is managed in anaerobic lagoons. The 2006 IPCC Guidelines note that the production of emissions of direct N</w:t>
      </w:r>
      <w:r w:rsidRPr="009E06AA">
        <w:rPr>
          <w:vertAlign w:val="subscript"/>
        </w:rPr>
        <w:t>2</w:t>
      </w:r>
      <w:r w:rsidRPr="009E06AA">
        <w:t>O from managed manure requires aerobic conditions for the formation of oxidised forms of nitrogen but assumes that negligible direct N</w:t>
      </w:r>
      <w:r w:rsidRPr="009E06AA">
        <w:rPr>
          <w:vertAlign w:val="subscript"/>
        </w:rPr>
        <w:t>2</w:t>
      </w:r>
      <w:r w:rsidRPr="009E06AA">
        <w:t>O emissions occur during storage in anaerobic lagoons (IPCC, 2006, table 10.21). Direct N</w:t>
      </w:r>
      <w:r w:rsidRPr="009E06AA">
        <w:rPr>
          <w:vertAlign w:val="subscript"/>
        </w:rPr>
        <w:t>2</w:t>
      </w:r>
      <w:r w:rsidRPr="009E06AA">
        <w:t xml:space="preserve">O emissions from dairy effluent anaerobic lagoons are reported in the </w:t>
      </w:r>
      <w:r w:rsidRPr="009E06AA">
        <w:rPr>
          <w:i/>
          <w:iCs/>
        </w:rPr>
        <w:t>Agricultural soils</w:t>
      </w:r>
      <w:r w:rsidRPr="009E06AA">
        <w:t xml:space="preserve"> category (</w:t>
      </w:r>
      <w:r w:rsidRPr="009E06AA">
        <w:rPr>
          <w:i/>
          <w:iCs/>
        </w:rPr>
        <w:t xml:space="preserve">Organic nitrogen fertilisers </w:t>
      </w:r>
      <w:r w:rsidRPr="009E06AA">
        <w:t>(3.D.1.2)) when the stored effluent is spread onto agricultural land.</w:t>
      </w:r>
    </w:p>
    <w:p w14:paraId="60D83797" w14:textId="77777777" w:rsidR="007523B8" w:rsidRPr="009E06AA" w:rsidRDefault="007523B8" w:rsidP="007523B8">
      <w:pPr>
        <w:pStyle w:val="BodyText"/>
      </w:pPr>
      <w:r w:rsidRPr="009E06AA">
        <w:t>A recent report by Rollo et al., (2017) found that only 8 per cent of dairy farms use land application of manure. Manure is applied by direct pumping from a sump. In all cases, manure that was collected was stored for least one or two days before spreading to pasture via irrigation. Therefore, it does not meet the definition of daily spread and the notation key ‘NO’ (not occurring) is reported in 3.B(b) of the CRT.</w:t>
      </w:r>
    </w:p>
    <w:p w14:paraId="61D99490" w14:textId="77777777" w:rsidR="007523B8" w:rsidRPr="009E06AA" w:rsidRDefault="007523B8" w:rsidP="007523B8">
      <w:pPr>
        <w:pStyle w:val="BodyText"/>
      </w:pPr>
      <w:r w:rsidRPr="009E06AA">
        <w:rPr>
          <w:b/>
          <w:bCs/>
          <w:i/>
          <w:iCs/>
        </w:rPr>
        <w:t>Swine:</w:t>
      </w:r>
      <w:r w:rsidRPr="009E06AA">
        <w:t xml:space="preserve"> Swine manure is managed under various types of waste management systems (see table 5.3.2). The 2006 IPCC Guidelines (table 10.21, IPCC, 2006) assume that negligible direct N</w:t>
      </w:r>
      <w:r w:rsidRPr="009E06AA">
        <w:rPr>
          <w:vertAlign w:val="subscript"/>
        </w:rPr>
        <w:t>2</w:t>
      </w:r>
      <w:r w:rsidRPr="009E06AA">
        <w:t xml:space="preserve">O emissions occur in anaerobic lagoons and daily spread. Nitrous oxide emissions from manure from these systems occur once the stored effluent is spread onto agricultural land and are reported in the </w:t>
      </w:r>
      <w:r w:rsidRPr="009E06AA">
        <w:rPr>
          <w:i/>
          <w:iCs/>
        </w:rPr>
        <w:t>Agricultural soils</w:t>
      </w:r>
      <w:r w:rsidRPr="009E06AA">
        <w:t xml:space="preserve"> category (</w:t>
      </w:r>
      <w:r w:rsidRPr="009E06AA">
        <w:rPr>
          <w:i/>
          <w:iCs/>
        </w:rPr>
        <w:t xml:space="preserve">Organic nitrogen fertilisers </w:t>
      </w:r>
      <w:r w:rsidRPr="009E06AA">
        <w:t>(3.D.1.2)). Nitrous oxide emissions from manure management of swine for dry lot and other manure management systems are estimated using the IPCC (2006) default emission factors for direct N</w:t>
      </w:r>
      <w:r w:rsidRPr="009E06AA">
        <w:rPr>
          <w:vertAlign w:val="subscript"/>
        </w:rPr>
        <w:t>2</w:t>
      </w:r>
      <w:r w:rsidRPr="009E06AA">
        <w:t>O emission</w:t>
      </w:r>
      <w:r w:rsidRPr="009E06AA">
        <w:rPr>
          <w:spacing w:val="-2"/>
        </w:rPr>
        <w:t>s from manure management (EF</w:t>
      </w:r>
      <w:r w:rsidRPr="009E06AA">
        <w:rPr>
          <w:spacing w:val="-2"/>
          <w:vertAlign w:val="subscript"/>
        </w:rPr>
        <w:t>3,PRP</w:t>
      </w:r>
      <w:r w:rsidRPr="009E06AA">
        <w:rPr>
          <w:spacing w:val="-2"/>
        </w:rPr>
        <w:t>)</w:t>
      </w:r>
      <w:r w:rsidRPr="009E06AA">
        <w:rPr>
          <w:spacing w:val="-2"/>
          <w:vertAlign w:val="subscript"/>
        </w:rPr>
        <w:t xml:space="preserve"> </w:t>
      </w:r>
      <w:r w:rsidRPr="009E06AA">
        <w:rPr>
          <w:spacing w:val="-2"/>
        </w:rPr>
        <w:t>of 0.02 and 0.005 kg N</w:t>
      </w:r>
      <w:r w:rsidRPr="009E06AA">
        <w:rPr>
          <w:spacing w:val="-2"/>
          <w:vertAlign w:val="subscript"/>
        </w:rPr>
        <w:t>2</w:t>
      </w:r>
      <w:r w:rsidRPr="009E06AA">
        <w:rPr>
          <w:spacing w:val="-2"/>
        </w:rPr>
        <w:t>O</w:t>
      </w:r>
      <w:r w:rsidRPr="009E06AA">
        <w:rPr>
          <w:spacing w:val="-2"/>
        </w:rPr>
        <w:noBreakHyphen/>
        <w:t xml:space="preserve">N/kg N respectively. </w:t>
      </w:r>
    </w:p>
    <w:p w14:paraId="73254A0D" w14:textId="77777777" w:rsidR="007523B8" w:rsidRPr="009E06AA" w:rsidRDefault="007523B8" w:rsidP="007523B8">
      <w:pPr>
        <w:pStyle w:val="BodyText"/>
      </w:pPr>
      <w:r w:rsidRPr="009E06AA">
        <w:rPr>
          <w:b/>
          <w:bCs/>
          <w:i/>
          <w:iCs/>
        </w:rPr>
        <w:t>Poultry</w:t>
      </w:r>
      <w:r w:rsidRPr="009E06AA">
        <w:rPr>
          <w:i/>
          <w:iCs/>
        </w:rPr>
        <w:t>:</w:t>
      </w:r>
      <w:r w:rsidRPr="009E06AA">
        <w:t xml:space="preserve"> Direct N</w:t>
      </w:r>
      <w:r w:rsidRPr="009E06AA">
        <w:rPr>
          <w:vertAlign w:val="subscript"/>
        </w:rPr>
        <w:t>2</w:t>
      </w:r>
      <w:r w:rsidRPr="009E06AA">
        <w:t xml:space="preserve">O emissions from poultry manure deposited directly on pasture are reported in the </w:t>
      </w:r>
      <w:r w:rsidRPr="009E06AA">
        <w:rPr>
          <w:i/>
          <w:iCs/>
        </w:rPr>
        <w:t>Agricultural soils</w:t>
      </w:r>
      <w:r w:rsidRPr="009E06AA">
        <w:t xml:space="preserve"> category (</w:t>
      </w:r>
      <w:r w:rsidRPr="009E06AA">
        <w:rPr>
          <w:i/>
          <w:iCs/>
        </w:rPr>
        <w:t>Urine and dung deposited by grazing animals</w:t>
      </w:r>
      <w:r w:rsidRPr="009E06AA">
        <w:t xml:space="preserve"> (3.D.1.3)). For other manure management systems, the IPCC (2006, table 10.21) default emission factor for EF</w:t>
      </w:r>
      <w:r w:rsidRPr="009E06AA">
        <w:rPr>
          <w:vertAlign w:val="subscript"/>
        </w:rPr>
        <w:t>3,PRP</w:t>
      </w:r>
      <w:r w:rsidRPr="009E06AA">
        <w:t xml:space="preserve"> of 0.001 kg N</w:t>
      </w:r>
      <w:r w:rsidRPr="009E06AA">
        <w:rPr>
          <w:vertAlign w:val="subscript"/>
        </w:rPr>
        <w:t>2</w:t>
      </w:r>
      <w:r w:rsidRPr="009E06AA">
        <w:t>O-N/kg N for poultry manure with and without litter is assumed.</w:t>
      </w:r>
    </w:p>
    <w:p w14:paraId="7896CA95" w14:textId="77777777" w:rsidR="007523B8" w:rsidRPr="009E06AA" w:rsidRDefault="007523B8" w:rsidP="007523B8">
      <w:pPr>
        <w:pStyle w:val="BodyText"/>
      </w:pPr>
      <w:r w:rsidRPr="009E06AA">
        <w:rPr>
          <w:b/>
          <w:bCs/>
          <w:i/>
          <w:iCs/>
        </w:rPr>
        <w:t>Goats</w:t>
      </w:r>
      <w:r w:rsidRPr="009E06AA">
        <w:rPr>
          <w:b/>
          <w:bCs/>
        </w:rPr>
        <w:t xml:space="preserve">, </w:t>
      </w:r>
      <w:r w:rsidRPr="009E06AA">
        <w:rPr>
          <w:b/>
          <w:bCs/>
          <w:i/>
          <w:iCs/>
        </w:rPr>
        <w:t>Horses</w:t>
      </w:r>
      <w:r w:rsidRPr="009E06AA">
        <w:rPr>
          <w:b/>
        </w:rPr>
        <w:t xml:space="preserve">, </w:t>
      </w:r>
      <w:r w:rsidRPr="009E06AA">
        <w:rPr>
          <w:b/>
          <w:i/>
        </w:rPr>
        <w:t>Llamas and</w:t>
      </w:r>
      <w:r w:rsidRPr="009E06AA">
        <w:rPr>
          <w:b/>
          <w:bCs/>
          <w:i/>
        </w:rPr>
        <w:t xml:space="preserve"> a</w:t>
      </w:r>
      <w:r w:rsidRPr="009E06AA">
        <w:rPr>
          <w:b/>
          <w:i/>
        </w:rPr>
        <w:t>lpacas</w:t>
      </w:r>
      <w:r w:rsidRPr="009E06AA">
        <w:rPr>
          <w:b/>
          <w:bCs/>
          <w:iCs/>
        </w:rPr>
        <w:t xml:space="preserve">, </w:t>
      </w:r>
      <w:r w:rsidRPr="009E06AA">
        <w:rPr>
          <w:b/>
          <w:bCs/>
        </w:rPr>
        <w:t xml:space="preserve">and </w:t>
      </w:r>
      <w:r w:rsidRPr="009E06AA">
        <w:rPr>
          <w:b/>
          <w:i/>
        </w:rPr>
        <w:t>Mules and asses</w:t>
      </w:r>
      <w:r w:rsidRPr="009E06AA">
        <w:rPr>
          <w:b/>
        </w:rPr>
        <w:t xml:space="preserve">: </w:t>
      </w:r>
      <w:r w:rsidRPr="009E06AA">
        <w:t>All faecal material from these livestock is deposited directly onto pasture, and direct N</w:t>
      </w:r>
      <w:r w:rsidRPr="009E06AA">
        <w:rPr>
          <w:vertAlign w:val="subscript"/>
        </w:rPr>
        <w:t>2</w:t>
      </w:r>
      <w:r w:rsidRPr="009E06AA">
        <w:t xml:space="preserve">O emissions from grazing animals are reported in the </w:t>
      </w:r>
      <w:r w:rsidRPr="009E06AA">
        <w:rPr>
          <w:i/>
          <w:iCs/>
        </w:rPr>
        <w:t>Agricultural soils</w:t>
      </w:r>
      <w:r w:rsidRPr="009E06AA">
        <w:t xml:space="preserve"> category (</w:t>
      </w:r>
      <w:r w:rsidRPr="009E06AA">
        <w:rPr>
          <w:i/>
          <w:iCs/>
        </w:rPr>
        <w:t>Urine and dung deposited by grazing animals</w:t>
      </w:r>
      <w:r w:rsidRPr="009E06AA">
        <w:t xml:space="preserve"> (3.D.1.3)). </w:t>
      </w:r>
    </w:p>
    <w:p w14:paraId="4BE6ABB1" w14:textId="77777777" w:rsidR="007523B8" w:rsidRPr="009E06AA" w:rsidRDefault="007523B8" w:rsidP="00BF2A76">
      <w:pPr>
        <w:pStyle w:val="Heading5"/>
      </w:pPr>
      <w:r w:rsidRPr="009E06AA">
        <w:t>Indirect nitrous oxide emissions from manure management</w:t>
      </w:r>
    </w:p>
    <w:p w14:paraId="6B557EFD" w14:textId="77777777" w:rsidR="007523B8" w:rsidRPr="009E06AA" w:rsidRDefault="007523B8" w:rsidP="007523B8">
      <w:pPr>
        <w:pStyle w:val="BodyText"/>
      </w:pPr>
      <w:r w:rsidRPr="009E06AA">
        <w:t>Indirect N</w:t>
      </w:r>
      <w:r w:rsidRPr="009E06AA">
        <w:rPr>
          <w:vertAlign w:val="subscript"/>
        </w:rPr>
        <w:t>2</w:t>
      </w:r>
      <w:r w:rsidRPr="009E06AA">
        <w:t xml:space="preserve">O emissions from manure management result from diffusion into the surrounding </w:t>
      </w:r>
      <w:r w:rsidRPr="009E06AA">
        <w:rPr>
          <w:spacing w:val="-2"/>
        </w:rPr>
        <w:t xml:space="preserve">air (volatilisation) and from leaching and runoff. All indirect </w:t>
      </w:r>
      <w:r w:rsidRPr="009E06AA">
        <w:t>N</w:t>
      </w:r>
      <w:r w:rsidRPr="009E06AA">
        <w:rPr>
          <w:vertAlign w:val="subscript"/>
        </w:rPr>
        <w:t>2</w:t>
      </w:r>
      <w:r w:rsidRPr="009E06AA">
        <w:t>O</w:t>
      </w:r>
      <w:r w:rsidRPr="009E06AA">
        <w:rPr>
          <w:spacing w:val="-2"/>
        </w:rPr>
        <w:t xml:space="preserve"> emissions for the pasture, range</w:t>
      </w:r>
      <w:r w:rsidRPr="009E06AA">
        <w:t xml:space="preserve"> and paddock manure management systems are reported in the </w:t>
      </w:r>
      <w:r w:rsidRPr="009E06AA">
        <w:rPr>
          <w:i/>
          <w:iCs/>
        </w:rPr>
        <w:t>Agricultural soils</w:t>
      </w:r>
      <w:r w:rsidRPr="009E06AA">
        <w:t xml:space="preserve"> category. </w:t>
      </w:r>
    </w:p>
    <w:p w14:paraId="49F59A02" w14:textId="77777777" w:rsidR="007523B8" w:rsidRPr="009E06AA" w:rsidRDefault="007523B8" w:rsidP="007523B8">
      <w:pPr>
        <w:pStyle w:val="BodyText"/>
      </w:pPr>
      <w:r w:rsidRPr="009E06AA">
        <w:t>The IPCC (2006) Tier 1 methodology is used for calculating N</w:t>
      </w:r>
      <w:r w:rsidRPr="009E06AA">
        <w:rPr>
          <w:vertAlign w:val="subscript"/>
        </w:rPr>
        <w:t>2</w:t>
      </w:r>
      <w:r w:rsidRPr="009E06AA">
        <w:t>O emissions resulting from volatilisation:</w:t>
      </w:r>
    </w:p>
    <w:bookmarkStart w:id="1080" w:name="_1543985758"/>
    <w:bookmarkStart w:id="1081" w:name="_1670051240"/>
    <w:bookmarkStart w:id="1082" w:name="_1767788579"/>
    <w:bookmarkEnd w:id="1080"/>
    <w:bookmarkEnd w:id="1081"/>
    <w:bookmarkEnd w:id="1082"/>
    <w:p w14:paraId="6E22205B" w14:textId="77777777" w:rsidR="007523B8" w:rsidRPr="009E06AA" w:rsidRDefault="008975BF" w:rsidP="007523B8">
      <w:pPr>
        <w:pStyle w:val="BodyText"/>
        <w:spacing w:before="0" w:after="0"/>
        <w:jc w:val="center"/>
        <w:rPr>
          <w:sz w:val="24"/>
          <w:szCs w:val="24"/>
        </w:rPr>
      </w:pPr>
      <m:oMathPara>
        <m:oMath>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MM</m:t>
              </m:r>
              <m:r>
                <w:rPr>
                  <w:rFonts w:ascii="Cambria Math" w:hAnsi="Cambria Math"/>
                  <w:sz w:val="24"/>
                  <w:szCs w:val="24"/>
                </w:rPr>
                <m:t>-</m:t>
              </m:r>
              <m:r>
                <w:rPr>
                  <w:rFonts w:ascii="Cambria Math" w:hAnsi="Cambria Math"/>
                  <w:sz w:val="24"/>
                  <w:szCs w:val="24"/>
                </w:rPr>
                <m:t>volatilisation</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44</m:t>
              </m:r>
            </m:num>
            <m:den>
              <m:r>
                <w:rPr>
                  <w:rFonts w:ascii="Cambria Math" w:hAnsi="Cambria Math"/>
                  <w:sz w:val="24"/>
                  <w:szCs w:val="24"/>
                </w:rPr>
                <m:t>28</m:t>
              </m:r>
            </m:den>
          </m:f>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volatilisation</m:t>
                  </m:r>
                  <m:r>
                    <w:rPr>
                      <w:rFonts w:ascii="Cambria Math" w:hAnsi="Cambria Math"/>
                      <w:sz w:val="24"/>
                      <w:szCs w:val="24"/>
                    </w:rPr>
                    <m:t>-</m:t>
                  </m:r>
                  <m:r>
                    <w:rPr>
                      <w:rFonts w:ascii="Cambria Math" w:hAnsi="Cambria Math"/>
                      <w:sz w:val="24"/>
                      <w:szCs w:val="24"/>
                    </w:rPr>
                    <m:t>MMS</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EF</m:t>
                  </m:r>
                </m:e>
                <m:sub>
                  <m:r>
                    <w:rPr>
                      <w:rFonts w:ascii="Cambria Math" w:hAnsi="Cambria Math"/>
                      <w:sz w:val="24"/>
                      <w:szCs w:val="24"/>
                    </w:rPr>
                    <m:t>4</m:t>
                  </m:r>
                </m:sub>
              </m:sSub>
            </m:e>
          </m:d>
          <m:r>
            <w:rPr>
              <w:rFonts w:ascii="Cambria Math" w:hAnsi="Cambria Math"/>
              <w:sz w:val="24"/>
              <w:szCs w:val="24"/>
            </w:rPr>
            <m:t xml:space="preserve"> </m:t>
          </m:r>
        </m:oMath>
      </m:oMathPara>
    </w:p>
    <w:p w14:paraId="2E4036E6" w14:textId="77777777" w:rsidR="007523B8" w:rsidRPr="009E06AA" w:rsidRDefault="007523B8" w:rsidP="007523B8">
      <w:pPr>
        <w:pStyle w:val="BodyText"/>
        <w:spacing w:after="0"/>
        <w:rPr>
          <w:rFonts w:cs="Calibri"/>
        </w:rPr>
      </w:pPr>
      <w:r w:rsidRPr="009E06AA">
        <w:rPr>
          <w:rFonts w:cs="Calibri"/>
        </w:rPr>
        <w:t>And:</w:t>
      </w:r>
    </w:p>
    <w:bookmarkStart w:id="1083" w:name="_1545464011"/>
    <w:bookmarkEnd w:id="1083"/>
    <w:p w14:paraId="7086E87F" w14:textId="77777777" w:rsidR="007523B8" w:rsidRPr="009E06AA" w:rsidRDefault="008975BF" w:rsidP="007523B8">
      <w:pPr>
        <w:pStyle w:val="BodyText"/>
        <w:spacing w:before="0" w:after="80"/>
        <w:jc w:val="center"/>
        <w:rPr>
          <w:rFonts w:cs="Calibri"/>
        </w:rPr>
      </w:pPr>
      <m:oMathPara>
        <m:oMath>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vol</m:t>
              </m:r>
              <m:r>
                <w:rPr>
                  <w:rFonts w:ascii="Cambria Math" w:hAnsi="Cambria Math"/>
                  <w:sz w:val="24"/>
                  <w:szCs w:val="24"/>
                </w:rPr>
                <m:t>-</m:t>
              </m:r>
              <m:r>
                <w:rPr>
                  <w:rFonts w:ascii="Cambria Math" w:hAnsi="Cambria Math"/>
                  <w:sz w:val="24"/>
                  <w:szCs w:val="24"/>
                </w:rPr>
                <m:t>MMS</m:t>
              </m:r>
            </m:sub>
          </m:sSub>
          <m:r>
            <w:rPr>
              <w:rFonts w:ascii="Cambria Math" w:hAnsi="Cambria Math"/>
              <w:sz w:val="24"/>
              <w:szCs w:val="24"/>
            </w:rPr>
            <m:t>=</m:t>
          </m:r>
          <m:nary>
            <m:naryPr>
              <m:chr m:val="∑"/>
              <m:limLoc m:val="undOvr"/>
              <m:supHide m:val="1"/>
              <m:ctrlPr>
                <w:rPr>
                  <w:rFonts w:ascii="Cambria Math" w:hAnsi="Cambria Math"/>
                  <w:i/>
                  <w:sz w:val="24"/>
                  <w:szCs w:val="24"/>
                </w:rPr>
              </m:ctrlPr>
            </m:naryPr>
            <m:sub>
              <m:r>
                <w:rPr>
                  <w:rFonts w:ascii="Cambria Math" w:hAnsi="Cambria Math"/>
                  <w:sz w:val="24"/>
                  <w:szCs w:val="24"/>
                </w:rPr>
                <m:t>S</m:t>
              </m:r>
            </m:sub>
            <m:sup/>
            <m:e>
              <m:d>
                <m:dPr>
                  <m:begChr m:val="["/>
                  <m:endChr m:val="]"/>
                  <m:ctrlPr>
                    <w:rPr>
                      <w:rFonts w:ascii="Cambria Math" w:hAnsi="Cambria Math"/>
                      <w:i/>
                      <w:sz w:val="24"/>
                      <w:szCs w:val="24"/>
                    </w:rPr>
                  </m:ctrlPr>
                </m:dPr>
                <m:e>
                  <m:nary>
                    <m:naryPr>
                      <m:chr m:val="∑"/>
                      <m:limLoc m:val="undOvr"/>
                      <m:supHide m:val="1"/>
                      <m:ctrlPr>
                        <w:rPr>
                          <w:rFonts w:ascii="Cambria Math" w:hAnsi="Cambria Math"/>
                          <w:i/>
                          <w:sz w:val="24"/>
                          <w:szCs w:val="24"/>
                        </w:rPr>
                      </m:ctrlPr>
                    </m:naryPr>
                    <m:sub>
                      <m:r>
                        <w:rPr>
                          <w:rFonts w:ascii="Cambria Math" w:hAnsi="Cambria Math"/>
                          <w:sz w:val="24"/>
                          <w:szCs w:val="24"/>
                        </w:rPr>
                        <m:t>T</m:t>
                      </m:r>
                    </m:sub>
                    <m:sup/>
                    <m:e>
                      <m:d>
                        <m:dPr>
                          <m:begChr m:val="["/>
                          <m:endChr m:val="]"/>
                          <m:ctrlPr>
                            <w:rPr>
                              <w:rFonts w:ascii="Cambria Math" w:hAnsi="Cambria Math"/>
                              <w:i/>
                              <w:sz w:val="24"/>
                              <w:szCs w:val="24"/>
                            </w:rPr>
                          </m:ctrlPr>
                        </m:d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T</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Nex</m:t>
                                  </m:r>
                                </m:e>
                                <m:sub>
                                  <m:r>
                                    <w:rPr>
                                      <w:rFonts w:ascii="Cambria Math" w:hAnsi="Cambria Math"/>
                                      <w:sz w:val="24"/>
                                      <w:szCs w:val="24"/>
                                    </w:rPr>
                                    <m:t>T</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MS</m:t>
                                  </m:r>
                                </m:e>
                                <m:sub>
                                  <m:r>
                                    <w:rPr>
                                      <w:rFonts w:ascii="Cambria Math" w:hAnsi="Cambria Math"/>
                                      <w:sz w:val="24"/>
                                      <w:szCs w:val="24"/>
                                    </w:rPr>
                                    <m:t>T</m:t>
                                  </m:r>
                                  <m:r>
                                    <w:rPr>
                                      <w:rFonts w:ascii="Cambria Math" w:hAnsi="Cambria Math"/>
                                      <w:sz w:val="24"/>
                                      <w:szCs w:val="24"/>
                                    </w:rPr>
                                    <m:t>,</m:t>
                                  </m:r>
                                  <m:r>
                                    <w:rPr>
                                      <w:rFonts w:ascii="Cambria Math" w:hAnsi="Cambria Math"/>
                                      <w:sz w:val="24"/>
                                      <w:szCs w:val="24"/>
                                    </w:rPr>
                                    <m:t>S</m:t>
                                  </m:r>
                                </m:sub>
                              </m:sSub>
                            </m:e>
                          </m:d>
                          <m:r>
                            <w:rPr>
                              <w:rFonts w:ascii="Cambria Math" w:hAnsi="Cambria Math"/>
                              <w:sz w:val="24"/>
                              <w:szCs w:val="24"/>
                            </w:rPr>
                            <m:t>∙</m:t>
                          </m:r>
                          <m:sSub>
                            <m:sSubPr>
                              <m:ctrlPr>
                                <w:rPr>
                                  <w:rFonts w:ascii="Cambria Math" w:hAnsi="Cambria Math"/>
                                  <w:i/>
                                  <w:sz w:val="24"/>
                                  <w:szCs w:val="24"/>
                                </w:rPr>
                              </m:ctrlPr>
                            </m:sSubPr>
                            <m:e>
                              <m:d>
                                <m:dPr>
                                  <m:ctrlPr>
                                    <w:rPr>
                                      <w:rFonts w:ascii="Cambria Math" w:hAnsi="Cambria Math"/>
                                      <w:i/>
                                      <w:sz w:val="24"/>
                                      <w:szCs w:val="24"/>
                                    </w:rPr>
                                  </m:ctrlPr>
                                </m:dPr>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Frac</m:t>
                                          </m:r>
                                        </m:e>
                                        <m:sub>
                                          <m:r>
                                            <w:rPr>
                                              <w:rFonts w:ascii="Cambria Math" w:hAnsi="Cambria Math"/>
                                              <w:sz w:val="24"/>
                                              <w:szCs w:val="24"/>
                                            </w:rPr>
                                            <m:t>GasMS</m:t>
                                          </m:r>
                                        </m:sub>
                                      </m:sSub>
                                    </m:num>
                                    <m:den>
                                      <m:r>
                                        <w:rPr>
                                          <w:rFonts w:ascii="Cambria Math" w:hAnsi="Cambria Math"/>
                                          <w:sz w:val="24"/>
                                          <w:szCs w:val="24"/>
                                        </w:rPr>
                                        <m:t>100</m:t>
                                      </m:r>
                                    </m:den>
                                  </m:f>
                                </m:e>
                              </m:d>
                            </m:e>
                            <m:sub>
                              <m:r>
                                <w:rPr>
                                  <w:rFonts w:ascii="Cambria Math" w:hAnsi="Cambria Math"/>
                                  <w:sz w:val="24"/>
                                  <w:szCs w:val="24"/>
                                </w:rPr>
                                <m:t>T</m:t>
                              </m:r>
                              <m:r>
                                <w:rPr>
                                  <w:rFonts w:ascii="Cambria Math" w:hAnsi="Cambria Math"/>
                                  <w:sz w:val="24"/>
                                  <w:szCs w:val="24"/>
                                </w:rPr>
                                <m:t>,</m:t>
                              </m:r>
                              <m:r>
                                <w:rPr>
                                  <w:rFonts w:ascii="Cambria Math" w:hAnsi="Cambria Math"/>
                                  <w:sz w:val="24"/>
                                  <w:szCs w:val="24"/>
                                </w:rPr>
                                <m:t>S</m:t>
                              </m:r>
                            </m:sub>
                          </m:sSub>
                        </m:e>
                      </m:d>
                    </m:e>
                  </m:nary>
                </m:e>
              </m:d>
            </m:e>
          </m:nary>
          <m:r>
            <w:rPr>
              <w:rFonts w:ascii="Cambria Math" w:hAnsi="Cambria Math" w:cs="Calibri"/>
              <w:sz w:val="24"/>
              <w:szCs w:val="24"/>
            </w:rPr>
            <m:t xml:space="preserve"> </m:t>
          </m:r>
        </m:oMath>
      </m:oMathPara>
    </w:p>
    <w:p w14:paraId="02925344" w14:textId="77777777" w:rsidR="007523B8" w:rsidRPr="009E06AA" w:rsidRDefault="007523B8" w:rsidP="007523B8">
      <w:pPr>
        <w:pStyle w:val="BodyText"/>
        <w:spacing w:after="60"/>
        <w:ind w:left="964" w:hanging="964"/>
      </w:pPr>
      <w:r w:rsidRPr="009E06AA">
        <w:t>Where:</w:t>
      </w:r>
      <w:r w:rsidRPr="009E06AA">
        <w:tab/>
        <w:t>N</w:t>
      </w:r>
      <w:r w:rsidRPr="009E06AA">
        <w:rPr>
          <w:vertAlign w:val="subscript"/>
        </w:rPr>
        <w:t>vol – MMS</w:t>
      </w:r>
      <w:r w:rsidRPr="009E06AA">
        <w:t xml:space="preserve"> is the amount of manure nitrogen that is lost due to volatilisation (kg/year)</w:t>
      </w:r>
    </w:p>
    <w:p w14:paraId="42910662" w14:textId="77777777" w:rsidR="007523B8" w:rsidRPr="009E06AA" w:rsidRDefault="007523B8" w:rsidP="007523B8">
      <w:pPr>
        <w:pStyle w:val="BodyText"/>
        <w:spacing w:before="40" w:after="60"/>
        <w:ind w:left="964"/>
      </w:pPr>
      <w:r w:rsidRPr="009E06AA">
        <w:t>EF</w:t>
      </w:r>
      <w:r w:rsidRPr="009E06AA">
        <w:rPr>
          <w:vertAlign w:val="subscript"/>
        </w:rPr>
        <w:t>4</w:t>
      </w:r>
      <w:r w:rsidRPr="009E06AA">
        <w:t xml:space="preserve"> is the emission factor for N</w:t>
      </w:r>
      <w:r w:rsidRPr="009E06AA">
        <w:rPr>
          <w:vertAlign w:val="subscript"/>
        </w:rPr>
        <w:t>2</w:t>
      </w:r>
      <w:r w:rsidRPr="009E06AA">
        <w:t>O emissions from volatilisation; the IPCC (2006) default value of 0.01 kg N</w:t>
      </w:r>
      <w:r w:rsidRPr="009E06AA">
        <w:rPr>
          <w:vertAlign w:val="subscript"/>
        </w:rPr>
        <w:t>2</w:t>
      </w:r>
      <w:r w:rsidRPr="009E06AA">
        <w:t>O-N/(kg NH</w:t>
      </w:r>
      <w:r w:rsidRPr="009E06AA">
        <w:rPr>
          <w:vertAlign w:val="subscript"/>
        </w:rPr>
        <w:t>3</w:t>
      </w:r>
      <w:r w:rsidRPr="009E06AA">
        <w:t>-N + NO</w:t>
      </w:r>
      <w:r w:rsidRPr="009E06AA">
        <w:rPr>
          <w:vertAlign w:val="subscript"/>
        </w:rPr>
        <w:t>x</w:t>
      </w:r>
      <w:r w:rsidRPr="009E06AA">
        <w:t>-N volatilised) is used</w:t>
      </w:r>
    </w:p>
    <w:p w14:paraId="50AEBDA9" w14:textId="77777777" w:rsidR="007523B8" w:rsidRPr="009E06AA" w:rsidRDefault="007523B8" w:rsidP="007523B8">
      <w:pPr>
        <w:pStyle w:val="BodyText"/>
        <w:spacing w:before="40" w:after="60"/>
        <w:ind w:left="964"/>
      </w:pPr>
      <w:r w:rsidRPr="009E06AA">
        <w:t>N</w:t>
      </w:r>
      <w:r w:rsidRPr="009E06AA">
        <w:rPr>
          <w:vertAlign w:val="subscript"/>
        </w:rPr>
        <w:t>T</w:t>
      </w:r>
      <w:r w:rsidRPr="009E06AA">
        <w:t xml:space="preserve"> is the number of livestock per category (head), detailed in section 5.1.4</w:t>
      </w:r>
    </w:p>
    <w:p w14:paraId="5AAEE7FE" w14:textId="77777777" w:rsidR="007523B8" w:rsidRPr="009E06AA" w:rsidRDefault="007523B8" w:rsidP="007523B8">
      <w:pPr>
        <w:pStyle w:val="BodyText"/>
        <w:spacing w:before="40" w:after="60"/>
        <w:ind w:left="964"/>
      </w:pPr>
      <w:r w:rsidRPr="009E06AA">
        <w:t>Nex</w:t>
      </w:r>
      <w:r w:rsidRPr="009E06AA">
        <w:rPr>
          <w:vertAlign w:val="subscript"/>
        </w:rPr>
        <w:t>T</w:t>
      </w:r>
      <w:r w:rsidRPr="009E06AA">
        <w:t xml:space="preserve"> is the average nitrogen excretion for each livestock category, T, detailed above</w:t>
      </w:r>
    </w:p>
    <w:p w14:paraId="0306CED3" w14:textId="77777777" w:rsidR="007523B8" w:rsidRPr="009E06AA" w:rsidRDefault="007523B8" w:rsidP="007523B8">
      <w:pPr>
        <w:pStyle w:val="BodyText"/>
        <w:spacing w:before="40" w:after="60"/>
        <w:ind w:left="964"/>
      </w:pPr>
      <w:r w:rsidRPr="009E06AA">
        <w:t>MS</w:t>
      </w:r>
      <w:r w:rsidRPr="009E06AA">
        <w:rPr>
          <w:vertAlign w:val="subscript"/>
        </w:rPr>
        <w:t>T,S</w:t>
      </w:r>
      <w:r w:rsidRPr="009E06AA">
        <w:t xml:space="preserve"> is the fraction of total nitrogen excretion per livestock category, T, per manure management system, S, derived from table 5.3.2, and</w:t>
      </w:r>
    </w:p>
    <w:p w14:paraId="37391612" w14:textId="77777777" w:rsidR="007523B8" w:rsidRPr="009E06AA" w:rsidRDefault="007523B8" w:rsidP="007523B8">
      <w:pPr>
        <w:pStyle w:val="BodyText"/>
        <w:spacing w:before="40"/>
        <w:ind w:left="964"/>
      </w:pPr>
      <w:r w:rsidRPr="009E06AA">
        <w:t>Frac</w:t>
      </w:r>
      <w:r w:rsidRPr="009E06AA">
        <w:rPr>
          <w:vertAlign w:val="subscript"/>
        </w:rPr>
        <w:t>GasMS</w:t>
      </w:r>
      <w:r w:rsidRPr="009E06AA">
        <w:t xml:space="preserve"> is the per cent of managed manure nitrogen for each livestock category, T, which volatilises as NH</w:t>
      </w:r>
      <w:r w:rsidRPr="009E06AA">
        <w:rPr>
          <w:vertAlign w:val="subscript"/>
        </w:rPr>
        <w:t>3</w:t>
      </w:r>
      <w:r w:rsidRPr="009E06AA">
        <w:t xml:space="preserve"> and NO</w:t>
      </w:r>
      <w:r w:rsidRPr="009E06AA">
        <w:rPr>
          <w:vertAlign w:val="subscript"/>
        </w:rPr>
        <w:t>x</w:t>
      </w:r>
      <w:r w:rsidRPr="009E06AA">
        <w:t xml:space="preserve"> per manure management system, S. New Zealand uses default values for Frac</w:t>
      </w:r>
      <w:r w:rsidRPr="009E06AA">
        <w:rPr>
          <w:vertAlign w:val="subscript"/>
        </w:rPr>
        <w:t>GasMS</w:t>
      </w:r>
      <w:r w:rsidRPr="009E06AA">
        <w:t xml:space="preserve"> detailed in table 5.3.5.</w:t>
      </w:r>
    </w:p>
    <w:p w14:paraId="24108AD5" w14:textId="77777777" w:rsidR="007523B8" w:rsidRPr="009E06AA" w:rsidRDefault="007523B8" w:rsidP="007523B8">
      <w:pPr>
        <w:pStyle w:val="BodyText"/>
      </w:pPr>
      <w:r w:rsidRPr="009E06AA">
        <w:t>The IPCC (2006) Tier 1 guidelines do not provide a methodology for determining indirect N</w:t>
      </w:r>
      <w:r w:rsidRPr="009E06AA">
        <w:rPr>
          <w:vertAlign w:val="subscript"/>
        </w:rPr>
        <w:t>2</w:t>
      </w:r>
      <w:r w:rsidRPr="009E06AA">
        <w:t xml:space="preserve">O emissions from leaching and runoff. There have been no country-specific emission factors derived for leaching and runoff from manure management systems in </w:t>
      </w:r>
      <w:r w:rsidRPr="009E06AA" w:rsidDel="00461B66">
        <w:t xml:space="preserve">New </w:t>
      </w:r>
      <w:r w:rsidRPr="009E06AA">
        <w:t xml:space="preserve">Zealand (e.g., Hill, 2012), and available data are extremely limited (IPCC, 2006). Leaching and runoff from dairy anaerobic lagoons is likely to be an insignificant activity in </w:t>
      </w:r>
      <w:r w:rsidRPr="009E06AA" w:rsidDel="00461B66">
        <w:t xml:space="preserve">New </w:t>
      </w:r>
      <w:r w:rsidRPr="009E06AA">
        <w:t>Zealand (T Wilson, pers. comm., 2014). All indirect N</w:t>
      </w:r>
      <w:r w:rsidRPr="009E06AA">
        <w:rPr>
          <w:vertAlign w:val="subscript"/>
        </w:rPr>
        <w:t>2</w:t>
      </w:r>
      <w:r w:rsidRPr="009E06AA">
        <w:t xml:space="preserve">O emissions from leaching and runoff are reported in the </w:t>
      </w:r>
      <w:r w:rsidRPr="009E06AA">
        <w:rPr>
          <w:i/>
          <w:iCs/>
        </w:rPr>
        <w:t>Agricultural soils</w:t>
      </w:r>
      <w:r w:rsidRPr="009E06AA">
        <w:t> category.</w:t>
      </w:r>
    </w:p>
    <w:p w14:paraId="29AAD324" w14:textId="77777777" w:rsidR="007523B8" w:rsidRPr="009E06AA" w:rsidRDefault="007523B8" w:rsidP="007523B8">
      <w:pPr>
        <w:pStyle w:val="Table"/>
        <w:rPr>
          <w:rFonts w:cs="Calibri"/>
        </w:rPr>
      </w:pPr>
      <w:bookmarkStart w:id="1084" w:name="_Toc441830877"/>
      <w:bookmarkStart w:id="1085" w:name="_Toc451176091"/>
      <w:bookmarkStart w:id="1086" w:name="_Toc481751519"/>
      <w:bookmarkStart w:id="1087" w:name="_Toc507158607"/>
      <w:bookmarkStart w:id="1088" w:name="_Toc511116741"/>
      <w:bookmarkStart w:id="1089" w:name="_Toc5269481"/>
      <w:bookmarkStart w:id="1090" w:name="_Toc32570924"/>
      <w:bookmarkStart w:id="1091" w:name="_Toc36224559"/>
      <w:bookmarkStart w:id="1092" w:name="_Toc68786444"/>
      <w:bookmarkStart w:id="1093" w:name="_Toc95574078"/>
      <w:bookmarkStart w:id="1094" w:name="_Toc127458263"/>
      <w:bookmarkStart w:id="1095" w:name="_Toc131591359"/>
      <w:bookmarkStart w:id="1096" w:name="_Toc160114451"/>
      <w:bookmarkStart w:id="1097" w:name="_Toc164153847"/>
      <w:r w:rsidRPr="009E06AA">
        <w:rPr>
          <w:rFonts w:cs="Calibri"/>
        </w:rPr>
        <w:t>Table 5.3.5</w:t>
      </w:r>
      <w:r w:rsidRPr="009E06AA">
        <w:rPr>
          <w:rFonts w:cs="Calibri"/>
        </w:rPr>
        <w:tab/>
        <w:t>IPCC default values for the fraction of managed manure nitrogen that volatilises as ammonia and oxides of nitrogen (Frac</w:t>
      </w:r>
      <w:r w:rsidRPr="009E06AA">
        <w:rPr>
          <w:rFonts w:cs="Calibri"/>
          <w:vertAlign w:val="subscript"/>
        </w:rPr>
        <w:t>GasMS</w:t>
      </w:r>
      <w:r w:rsidRPr="009E06AA">
        <w:rPr>
          <w:rFonts w:cs="Calibri"/>
        </w:rPr>
        <w:t>/100) for livestock categories per manure management system in New Zealand</w:t>
      </w:r>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p>
    <w:tbl>
      <w:tblPr>
        <w:tblW w:w="8505"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941"/>
        <w:gridCol w:w="3648"/>
        <w:gridCol w:w="1916"/>
      </w:tblGrid>
      <w:tr w:rsidR="007523B8" w:rsidRPr="009E06AA" w14:paraId="3A812487" w14:textId="77777777" w:rsidTr="00B55F24">
        <w:trPr>
          <w:tblHeader/>
        </w:trPr>
        <w:tc>
          <w:tcPr>
            <w:tcW w:w="2745" w:type="dxa"/>
            <w:tcBorders>
              <w:top w:val="single" w:sz="4" w:space="0" w:color="1B556B" w:themeColor="text2"/>
              <w:left w:val="nil"/>
              <w:bottom w:val="single" w:sz="4" w:space="0" w:color="1B556B" w:themeColor="text2"/>
              <w:right w:val="nil"/>
            </w:tcBorders>
            <w:shd w:val="clear" w:color="auto" w:fill="1B556B"/>
            <w:vAlign w:val="bottom"/>
          </w:tcPr>
          <w:p w14:paraId="1972C3AD" w14:textId="77777777" w:rsidR="007523B8" w:rsidRPr="009E06AA" w:rsidRDefault="007523B8" w:rsidP="00542552">
            <w:pPr>
              <w:pStyle w:val="TableTextBold"/>
              <w:keepNext/>
              <w:spacing w:before="40" w:after="40"/>
              <w:rPr>
                <w:noProof w:val="0"/>
                <w:color w:val="FFFFFF" w:themeColor="background1"/>
              </w:rPr>
            </w:pPr>
            <w:r w:rsidRPr="009E06AA">
              <w:rPr>
                <w:noProof w:val="0"/>
                <w:color w:val="FFFFFF" w:themeColor="background1"/>
              </w:rPr>
              <w:t>Manure management system</w:t>
            </w:r>
          </w:p>
        </w:tc>
        <w:tc>
          <w:tcPr>
            <w:tcW w:w="3405" w:type="dxa"/>
            <w:tcBorders>
              <w:top w:val="single" w:sz="4" w:space="0" w:color="1B556B" w:themeColor="text2"/>
              <w:left w:val="nil"/>
              <w:bottom w:val="single" w:sz="4" w:space="0" w:color="1B556B" w:themeColor="text2"/>
              <w:right w:val="nil"/>
            </w:tcBorders>
            <w:shd w:val="clear" w:color="auto" w:fill="1B556B"/>
            <w:vAlign w:val="bottom"/>
          </w:tcPr>
          <w:p w14:paraId="62C99525" w14:textId="77777777" w:rsidR="007523B8" w:rsidRPr="009E06AA" w:rsidRDefault="007523B8" w:rsidP="00542552">
            <w:pPr>
              <w:pStyle w:val="TableTextBold"/>
              <w:keepNext/>
              <w:spacing w:before="40" w:after="40"/>
              <w:rPr>
                <w:noProof w:val="0"/>
                <w:color w:val="FFFFFF" w:themeColor="background1"/>
              </w:rPr>
            </w:pPr>
            <w:r w:rsidRPr="009E06AA">
              <w:rPr>
                <w:noProof w:val="0"/>
                <w:color w:val="FFFFFF" w:themeColor="background1"/>
              </w:rPr>
              <w:t>Livestock category</w:t>
            </w:r>
          </w:p>
        </w:tc>
        <w:tc>
          <w:tcPr>
            <w:tcW w:w="1788" w:type="dxa"/>
            <w:tcBorders>
              <w:top w:val="single" w:sz="4" w:space="0" w:color="1B556B" w:themeColor="text2"/>
              <w:left w:val="nil"/>
              <w:bottom w:val="single" w:sz="4" w:space="0" w:color="1B556B" w:themeColor="text2"/>
              <w:right w:val="nil"/>
            </w:tcBorders>
            <w:shd w:val="clear" w:color="auto" w:fill="1B556B"/>
          </w:tcPr>
          <w:p w14:paraId="6A6B895A" w14:textId="77777777" w:rsidR="007523B8" w:rsidRPr="009E06AA" w:rsidRDefault="007523B8" w:rsidP="003B5F5B">
            <w:pPr>
              <w:pStyle w:val="TableTextBold"/>
              <w:keepNext/>
              <w:spacing w:before="40" w:after="40"/>
              <w:jc w:val="right"/>
              <w:rPr>
                <w:noProof w:val="0"/>
                <w:color w:val="FFFFFF" w:themeColor="background1"/>
              </w:rPr>
            </w:pPr>
            <w:r w:rsidRPr="009E06AA">
              <w:rPr>
                <w:noProof w:val="0"/>
                <w:color w:val="FFFFFF" w:themeColor="background1"/>
              </w:rPr>
              <w:t>Value</w:t>
            </w:r>
          </w:p>
        </w:tc>
      </w:tr>
      <w:tr w:rsidR="007523B8" w:rsidRPr="009E06AA" w14:paraId="7ED4DCD2" w14:textId="77777777" w:rsidTr="00B55F24">
        <w:tc>
          <w:tcPr>
            <w:tcW w:w="2745" w:type="dxa"/>
            <w:vMerge w:val="restart"/>
            <w:tcBorders>
              <w:top w:val="single" w:sz="4" w:space="0" w:color="1B556B" w:themeColor="text2"/>
              <w:left w:val="nil"/>
              <w:right w:val="nil"/>
            </w:tcBorders>
            <w:vAlign w:val="center"/>
          </w:tcPr>
          <w:p w14:paraId="076318ED" w14:textId="77777777" w:rsidR="007523B8" w:rsidRPr="009E06AA" w:rsidRDefault="007523B8" w:rsidP="00542552">
            <w:pPr>
              <w:pStyle w:val="TableText"/>
              <w:keepNext/>
              <w:spacing w:before="40" w:after="40"/>
              <w:rPr>
                <w:rFonts w:cs="Calibri"/>
              </w:rPr>
            </w:pPr>
            <w:r w:rsidRPr="009E06AA">
              <w:rPr>
                <w:rFonts w:cs="Calibri"/>
              </w:rPr>
              <w:t>Anaerobic lagoons</w:t>
            </w:r>
          </w:p>
        </w:tc>
        <w:tc>
          <w:tcPr>
            <w:tcW w:w="3405" w:type="dxa"/>
            <w:tcBorders>
              <w:top w:val="single" w:sz="4" w:space="0" w:color="1B556B" w:themeColor="text2"/>
              <w:left w:val="nil"/>
              <w:bottom w:val="single" w:sz="4" w:space="0" w:color="365F91"/>
              <w:right w:val="nil"/>
            </w:tcBorders>
          </w:tcPr>
          <w:p w14:paraId="7FBFF351" w14:textId="77777777" w:rsidR="007523B8" w:rsidRPr="009E06AA" w:rsidRDefault="007523B8" w:rsidP="00542552">
            <w:pPr>
              <w:pStyle w:val="TableText"/>
              <w:keepNext/>
              <w:spacing w:before="40" w:after="40"/>
              <w:rPr>
                <w:rFonts w:cs="Calibri"/>
              </w:rPr>
            </w:pPr>
            <w:r w:rsidRPr="009E06AA">
              <w:rPr>
                <w:rFonts w:cs="Calibri"/>
              </w:rPr>
              <w:t>Dairy</w:t>
            </w:r>
          </w:p>
        </w:tc>
        <w:tc>
          <w:tcPr>
            <w:tcW w:w="1788" w:type="dxa"/>
            <w:tcBorders>
              <w:top w:val="single" w:sz="4" w:space="0" w:color="1B556B" w:themeColor="text2"/>
              <w:left w:val="nil"/>
              <w:bottom w:val="single" w:sz="4" w:space="0" w:color="365F91"/>
              <w:right w:val="nil"/>
            </w:tcBorders>
          </w:tcPr>
          <w:p w14:paraId="01E6659D" w14:textId="77777777" w:rsidR="007523B8" w:rsidRPr="009E06AA" w:rsidRDefault="007523B8" w:rsidP="003B5F5B">
            <w:pPr>
              <w:pStyle w:val="TableText"/>
              <w:keepNext/>
              <w:spacing w:before="40" w:after="40"/>
              <w:jc w:val="right"/>
              <w:rPr>
                <w:rFonts w:cs="Calibri"/>
              </w:rPr>
            </w:pPr>
            <w:r w:rsidRPr="009E06AA">
              <w:rPr>
                <w:rFonts w:cs="Calibri"/>
              </w:rPr>
              <w:t>0.35</w:t>
            </w:r>
          </w:p>
        </w:tc>
      </w:tr>
      <w:tr w:rsidR="007523B8" w:rsidRPr="009E06AA" w14:paraId="6A5CCBA5" w14:textId="77777777" w:rsidTr="00B55F24">
        <w:tc>
          <w:tcPr>
            <w:tcW w:w="2745" w:type="dxa"/>
            <w:vMerge/>
            <w:tcBorders>
              <w:left w:val="nil"/>
              <w:bottom w:val="single" w:sz="4" w:space="0" w:color="365F91"/>
              <w:right w:val="nil"/>
            </w:tcBorders>
          </w:tcPr>
          <w:p w14:paraId="47286B9D" w14:textId="77777777" w:rsidR="007523B8" w:rsidRPr="009E06AA" w:rsidRDefault="007523B8" w:rsidP="00542552">
            <w:pPr>
              <w:pStyle w:val="TableText"/>
              <w:keepNext/>
              <w:spacing w:before="40" w:after="40"/>
              <w:rPr>
                <w:rFonts w:cs="Calibri"/>
              </w:rPr>
            </w:pPr>
          </w:p>
        </w:tc>
        <w:tc>
          <w:tcPr>
            <w:tcW w:w="3405" w:type="dxa"/>
            <w:tcBorders>
              <w:top w:val="single" w:sz="4" w:space="0" w:color="365F91"/>
              <w:left w:val="nil"/>
              <w:bottom w:val="single" w:sz="4" w:space="0" w:color="365F91"/>
              <w:right w:val="nil"/>
            </w:tcBorders>
          </w:tcPr>
          <w:p w14:paraId="74B5323C" w14:textId="77777777" w:rsidR="007523B8" w:rsidRPr="009E06AA" w:rsidRDefault="007523B8" w:rsidP="00542552">
            <w:pPr>
              <w:pStyle w:val="TableText"/>
              <w:keepNext/>
              <w:spacing w:before="40" w:after="40"/>
              <w:rPr>
                <w:rFonts w:cs="Calibri"/>
              </w:rPr>
            </w:pPr>
            <w:r w:rsidRPr="009E06AA">
              <w:rPr>
                <w:rFonts w:cs="Calibri"/>
              </w:rPr>
              <w:t>Swine</w:t>
            </w:r>
          </w:p>
        </w:tc>
        <w:tc>
          <w:tcPr>
            <w:tcW w:w="1788" w:type="dxa"/>
            <w:tcBorders>
              <w:top w:val="single" w:sz="4" w:space="0" w:color="365F91"/>
              <w:left w:val="nil"/>
              <w:bottom w:val="single" w:sz="4" w:space="0" w:color="365F91"/>
              <w:right w:val="nil"/>
            </w:tcBorders>
          </w:tcPr>
          <w:p w14:paraId="66551D95" w14:textId="77777777" w:rsidR="007523B8" w:rsidRPr="009E06AA" w:rsidRDefault="007523B8" w:rsidP="003B5F5B">
            <w:pPr>
              <w:pStyle w:val="TableText"/>
              <w:keepNext/>
              <w:spacing w:before="40" w:after="40"/>
              <w:jc w:val="right"/>
              <w:rPr>
                <w:rFonts w:cs="Calibri"/>
              </w:rPr>
            </w:pPr>
            <w:r w:rsidRPr="009E06AA">
              <w:rPr>
                <w:rFonts w:cs="Calibri"/>
              </w:rPr>
              <w:t>0.40</w:t>
            </w:r>
          </w:p>
        </w:tc>
      </w:tr>
      <w:tr w:rsidR="007523B8" w:rsidRPr="009E06AA" w14:paraId="040BA903" w14:textId="77777777" w:rsidTr="00B55F24">
        <w:tc>
          <w:tcPr>
            <w:tcW w:w="2745" w:type="dxa"/>
            <w:tcBorders>
              <w:top w:val="single" w:sz="4" w:space="0" w:color="365F91"/>
              <w:left w:val="nil"/>
              <w:bottom w:val="single" w:sz="4" w:space="0" w:color="365F91"/>
              <w:right w:val="nil"/>
            </w:tcBorders>
          </w:tcPr>
          <w:p w14:paraId="04FD7613" w14:textId="77777777" w:rsidR="007523B8" w:rsidRPr="009E06AA" w:rsidRDefault="007523B8" w:rsidP="00542552">
            <w:pPr>
              <w:pStyle w:val="TableText"/>
              <w:spacing w:before="40" w:after="40"/>
              <w:rPr>
                <w:rFonts w:cs="Calibri"/>
              </w:rPr>
            </w:pPr>
            <w:r w:rsidRPr="009E06AA">
              <w:rPr>
                <w:rFonts w:cs="Calibri"/>
              </w:rPr>
              <w:t>Daily spread</w:t>
            </w:r>
          </w:p>
        </w:tc>
        <w:tc>
          <w:tcPr>
            <w:tcW w:w="3405" w:type="dxa"/>
            <w:tcBorders>
              <w:top w:val="single" w:sz="4" w:space="0" w:color="365F91"/>
              <w:left w:val="nil"/>
              <w:bottom w:val="single" w:sz="4" w:space="0" w:color="365F91"/>
              <w:right w:val="nil"/>
            </w:tcBorders>
          </w:tcPr>
          <w:p w14:paraId="0AA7776B" w14:textId="77777777" w:rsidR="007523B8" w:rsidRPr="009E06AA" w:rsidRDefault="007523B8" w:rsidP="00542552">
            <w:pPr>
              <w:pStyle w:val="TableText"/>
              <w:spacing w:before="40" w:after="40"/>
              <w:rPr>
                <w:rFonts w:cs="Calibri"/>
              </w:rPr>
            </w:pPr>
            <w:r w:rsidRPr="009E06AA">
              <w:rPr>
                <w:rFonts w:cs="Calibri"/>
              </w:rPr>
              <w:t>Swine (Hill, 2012)</w:t>
            </w:r>
          </w:p>
        </w:tc>
        <w:tc>
          <w:tcPr>
            <w:tcW w:w="1788" w:type="dxa"/>
            <w:tcBorders>
              <w:top w:val="single" w:sz="4" w:space="0" w:color="365F91"/>
              <w:left w:val="nil"/>
              <w:bottom w:val="single" w:sz="4" w:space="0" w:color="365F91"/>
              <w:right w:val="nil"/>
            </w:tcBorders>
          </w:tcPr>
          <w:p w14:paraId="559D0668" w14:textId="77777777" w:rsidR="007523B8" w:rsidRPr="009E06AA" w:rsidRDefault="007523B8" w:rsidP="003B5F5B">
            <w:pPr>
              <w:pStyle w:val="TableText"/>
              <w:spacing w:before="40" w:after="40"/>
              <w:jc w:val="right"/>
              <w:rPr>
                <w:rFonts w:cs="Calibri"/>
              </w:rPr>
            </w:pPr>
            <w:r w:rsidRPr="009E06AA">
              <w:rPr>
                <w:rFonts w:cs="Calibri"/>
              </w:rPr>
              <w:t>0.07</w:t>
            </w:r>
          </w:p>
        </w:tc>
      </w:tr>
      <w:tr w:rsidR="007523B8" w:rsidRPr="009E06AA" w14:paraId="751AD697" w14:textId="77777777" w:rsidTr="00B55F24">
        <w:tc>
          <w:tcPr>
            <w:tcW w:w="2745" w:type="dxa"/>
            <w:tcBorders>
              <w:top w:val="single" w:sz="4" w:space="0" w:color="365F91"/>
              <w:left w:val="nil"/>
              <w:bottom w:val="single" w:sz="4" w:space="0" w:color="365F91"/>
              <w:right w:val="nil"/>
            </w:tcBorders>
          </w:tcPr>
          <w:p w14:paraId="4E5F9AC7" w14:textId="77777777" w:rsidR="007523B8" w:rsidRPr="009E06AA" w:rsidRDefault="007523B8" w:rsidP="00542552">
            <w:pPr>
              <w:pStyle w:val="TableText"/>
              <w:spacing w:before="40" w:after="40"/>
              <w:rPr>
                <w:rFonts w:cs="Calibri"/>
              </w:rPr>
            </w:pPr>
            <w:r w:rsidRPr="009E06AA">
              <w:rPr>
                <w:rFonts w:cs="Calibri"/>
              </w:rPr>
              <w:t>Solid storage and dry lot</w:t>
            </w:r>
          </w:p>
        </w:tc>
        <w:tc>
          <w:tcPr>
            <w:tcW w:w="3405" w:type="dxa"/>
            <w:tcBorders>
              <w:top w:val="single" w:sz="4" w:space="0" w:color="365F91"/>
              <w:left w:val="nil"/>
              <w:bottom w:val="single" w:sz="4" w:space="0" w:color="365F91"/>
              <w:right w:val="nil"/>
            </w:tcBorders>
          </w:tcPr>
          <w:p w14:paraId="44C19118" w14:textId="77777777" w:rsidR="007523B8" w:rsidRPr="009E06AA" w:rsidRDefault="007523B8" w:rsidP="00542552">
            <w:pPr>
              <w:pStyle w:val="TableText"/>
              <w:spacing w:before="40" w:after="40"/>
              <w:rPr>
                <w:rFonts w:cs="Calibri"/>
              </w:rPr>
            </w:pPr>
            <w:r w:rsidRPr="009E06AA">
              <w:rPr>
                <w:rFonts w:cs="Calibri"/>
              </w:rPr>
              <w:t>Swine</w:t>
            </w:r>
          </w:p>
        </w:tc>
        <w:tc>
          <w:tcPr>
            <w:tcW w:w="1788" w:type="dxa"/>
            <w:tcBorders>
              <w:top w:val="single" w:sz="4" w:space="0" w:color="365F91"/>
              <w:left w:val="nil"/>
              <w:bottom w:val="single" w:sz="4" w:space="0" w:color="365F91"/>
              <w:right w:val="nil"/>
            </w:tcBorders>
          </w:tcPr>
          <w:p w14:paraId="50E82687" w14:textId="77777777" w:rsidR="007523B8" w:rsidRPr="009E06AA" w:rsidRDefault="007523B8" w:rsidP="003B5F5B">
            <w:pPr>
              <w:pStyle w:val="TableText"/>
              <w:spacing w:before="40" w:after="40"/>
              <w:jc w:val="right"/>
              <w:rPr>
                <w:rFonts w:cs="Calibri"/>
              </w:rPr>
            </w:pPr>
            <w:r w:rsidRPr="009E06AA">
              <w:rPr>
                <w:rFonts w:cs="Calibri"/>
              </w:rPr>
              <w:t>0.30</w:t>
            </w:r>
          </w:p>
        </w:tc>
      </w:tr>
      <w:tr w:rsidR="007523B8" w:rsidRPr="009E06AA" w14:paraId="27535279" w14:textId="77777777" w:rsidTr="00B55F24">
        <w:tc>
          <w:tcPr>
            <w:tcW w:w="2745" w:type="dxa"/>
            <w:vMerge w:val="restart"/>
            <w:tcBorders>
              <w:top w:val="single" w:sz="4" w:space="0" w:color="365F91"/>
              <w:left w:val="nil"/>
              <w:right w:val="nil"/>
            </w:tcBorders>
            <w:vAlign w:val="center"/>
          </w:tcPr>
          <w:p w14:paraId="21A75EFC" w14:textId="77777777" w:rsidR="007523B8" w:rsidRPr="009E06AA" w:rsidRDefault="007523B8" w:rsidP="00542552">
            <w:pPr>
              <w:pStyle w:val="TableText"/>
              <w:spacing w:before="40" w:after="40"/>
              <w:rPr>
                <w:rFonts w:cs="Calibri"/>
              </w:rPr>
            </w:pPr>
            <w:r w:rsidRPr="009E06AA">
              <w:rPr>
                <w:rFonts w:cs="Calibri"/>
              </w:rPr>
              <w:t>Other (deep bedding)</w:t>
            </w:r>
          </w:p>
        </w:tc>
        <w:tc>
          <w:tcPr>
            <w:tcW w:w="3405" w:type="dxa"/>
            <w:tcBorders>
              <w:top w:val="single" w:sz="4" w:space="0" w:color="365F91"/>
              <w:left w:val="nil"/>
              <w:bottom w:val="single" w:sz="4" w:space="0" w:color="365F91"/>
              <w:right w:val="nil"/>
            </w:tcBorders>
          </w:tcPr>
          <w:p w14:paraId="2CF3B467" w14:textId="77777777" w:rsidR="007523B8" w:rsidRPr="009E06AA" w:rsidRDefault="007523B8" w:rsidP="00542552">
            <w:pPr>
              <w:pStyle w:val="TableText"/>
              <w:spacing w:before="40" w:after="40"/>
              <w:rPr>
                <w:rFonts w:cs="Calibri"/>
              </w:rPr>
            </w:pPr>
            <w:r w:rsidRPr="009E06AA">
              <w:rPr>
                <w:rFonts w:cs="Calibri"/>
              </w:rPr>
              <w:t>Swine</w:t>
            </w:r>
          </w:p>
        </w:tc>
        <w:tc>
          <w:tcPr>
            <w:tcW w:w="1788" w:type="dxa"/>
            <w:tcBorders>
              <w:top w:val="single" w:sz="4" w:space="0" w:color="365F91"/>
              <w:left w:val="nil"/>
              <w:bottom w:val="single" w:sz="4" w:space="0" w:color="365F91"/>
              <w:right w:val="nil"/>
            </w:tcBorders>
          </w:tcPr>
          <w:p w14:paraId="1C5C9881" w14:textId="77777777" w:rsidR="007523B8" w:rsidRPr="009E06AA" w:rsidRDefault="007523B8" w:rsidP="003B5F5B">
            <w:pPr>
              <w:pStyle w:val="TableText"/>
              <w:spacing w:before="40" w:after="40"/>
              <w:jc w:val="right"/>
              <w:rPr>
                <w:rFonts w:cs="Calibri"/>
              </w:rPr>
            </w:pPr>
            <w:r w:rsidRPr="009E06AA">
              <w:rPr>
                <w:rFonts w:cs="Calibri"/>
              </w:rPr>
              <w:t>0.25</w:t>
            </w:r>
          </w:p>
        </w:tc>
      </w:tr>
      <w:tr w:rsidR="007523B8" w:rsidRPr="009E06AA" w14:paraId="5C9A6E05" w14:textId="77777777" w:rsidTr="00B55F24">
        <w:tc>
          <w:tcPr>
            <w:tcW w:w="2745" w:type="dxa"/>
            <w:vMerge/>
            <w:tcBorders>
              <w:left w:val="nil"/>
              <w:right w:val="nil"/>
            </w:tcBorders>
          </w:tcPr>
          <w:p w14:paraId="428FBBFB" w14:textId="77777777" w:rsidR="007523B8" w:rsidRPr="009E06AA" w:rsidRDefault="007523B8" w:rsidP="00542552">
            <w:pPr>
              <w:pStyle w:val="TableText"/>
              <w:spacing w:before="40" w:after="40"/>
              <w:rPr>
                <w:rFonts w:cs="Calibri"/>
              </w:rPr>
            </w:pPr>
          </w:p>
        </w:tc>
        <w:tc>
          <w:tcPr>
            <w:tcW w:w="3405" w:type="dxa"/>
            <w:tcBorders>
              <w:top w:val="single" w:sz="4" w:space="0" w:color="365F91"/>
              <w:left w:val="nil"/>
              <w:bottom w:val="single" w:sz="4" w:space="0" w:color="365F91"/>
              <w:right w:val="nil"/>
            </w:tcBorders>
          </w:tcPr>
          <w:p w14:paraId="1F2B65BA" w14:textId="77777777" w:rsidR="007523B8" w:rsidRPr="009E06AA" w:rsidRDefault="007523B8" w:rsidP="00542552">
            <w:pPr>
              <w:pStyle w:val="TableText"/>
              <w:spacing w:before="40" w:after="40"/>
              <w:rPr>
                <w:rFonts w:cs="Calibri"/>
              </w:rPr>
            </w:pPr>
            <w:r w:rsidRPr="009E06AA">
              <w:rPr>
                <w:rFonts w:cs="Calibri"/>
              </w:rPr>
              <w:t>Poultry – broilers</w:t>
            </w:r>
          </w:p>
        </w:tc>
        <w:tc>
          <w:tcPr>
            <w:tcW w:w="1788" w:type="dxa"/>
            <w:tcBorders>
              <w:top w:val="single" w:sz="4" w:space="0" w:color="365F91"/>
              <w:left w:val="nil"/>
              <w:bottom w:val="single" w:sz="4" w:space="0" w:color="365F91"/>
              <w:right w:val="nil"/>
            </w:tcBorders>
          </w:tcPr>
          <w:p w14:paraId="5EEA465E" w14:textId="77777777" w:rsidR="007523B8" w:rsidRPr="009E06AA" w:rsidRDefault="007523B8" w:rsidP="003B5F5B">
            <w:pPr>
              <w:pStyle w:val="TableText"/>
              <w:spacing w:before="40" w:after="40"/>
              <w:jc w:val="right"/>
              <w:rPr>
                <w:rFonts w:cs="Calibri"/>
              </w:rPr>
            </w:pPr>
            <w:r w:rsidRPr="009E06AA">
              <w:rPr>
                <w:rFonts w:cs="Calibri"/>
              </w:rPr>
              <w:t>0.25</w:t>
            </w:r>
          </w:p>
        </w:tc>
      </w:tr>
      <w:tr w:rsidR="007523B8" w:rsidRPr="009E06AA" w14:paraId="56BFDE36" w14:textId="77777777" w:rsidTr="00B55F24">
        <w:tc>
          <w:tcPr>
            <w:tcW w:w="2745" w:type="dxa"/>
            <w:vMerge/>
            <w:tcBorders>
              <w:left w:val="nil"/>
              <w:right w:val="nil"/>
            </w:tcBorders>
          </w:tcPr>
          <w:p w14:paraId="2B7BA8E8" w14:textId="77777777" w:rsidR="007523B8" w:rsidRPr="009E06AA" w:rsidRDefault="007523B8" w:rsidP="00542552">
            <w:pPr>
              <w:pStyle w:val="TableText"/>
              <w:spacing w:before="40" w:after="40"/>
              <w:rPr>
                <w:rFonts w:cs="Calibri"/>
              </w:rPr>
            </w:pPr>
          </w:p>
        </w:tc>
        <w:tc>
          <w:tcPr>
            <w:tcW w:w="3405" w:type="dxa"/>
            <w:tcBorders>
              <w:top w:val="single" w:sz="4" w:space="0" w:color="365F91"/>
              <w:left w:val="nil"/>
              <w:bottom w:val="single" w:sz="4" w:space="0" w:color="365F91"/>
              <w:right w:val="nil"/>
            </w:tcBorders>
          </w:tcPr>
          <w:p w14:paraId="420BA61F" w14:textId="77777777" w:rsidR="007523B8" w:rsidRPr="009E06AA" w:rsidRDefault="007523B8" w:rsidP="00542552">
            <w:pPr>
              <w:pStyle w:val="TableText"/>
              <w:spacing w:before="40" w:after="40"/>
              <w:rPr>
                <w:rFonts w:cs="Calibri"/>
              </w:rPr>
            </w:pPr>
            <w:r w:rsidRPr="009E06AA">
              <w:rPr>
                <w:rFonts w:cs="Calibri"/>
              </w:rPr>
              <w:t xml:space="preserve">Poultry – layers </w:t>
            </w:r>
          </w:p>
        </w:tc>
        <w:tc>
          <w:tcPr>
            <w:tcW w:w="1788" w:type="dxa"/>
            <w:tcBorders>
              <w:top w:val="single" w:sz="4" w:space="0" w:color="365F91"/>
              <w:left w:val="nil"/>
              <w:bottom w:val="single" w:sz="4" w:space="0" w:color="365F91"/>
              <w:right w:val="nil"/>
            </w:tcBorders>
          </w:tcPr>
          <w:p w14:paraId="53F0C4EF" w14:textId="77777777" w:rsidR="007523B8" w:rsidRPr="009E06AA" w:rsidRDefault="007523B8" w:rsidP="003B5F5B">
            <w:pPr>
              <w:pStyle w:val="TableText"/>
              <w:spacing w:before="40" w:after="40"/>
              <w:jc w:val="right"/>
              <w:rPr>
                <w:rFonts w:cs="Calibri"/>
              </w:rPr>
            </w:pPr>
            <w:r w:rsidRPr="009E06AA">
              <w:rPr>
                <w:rFonts w:cs="Calibri"/>
              </w:rPr>
              <w:t>0.25</w:t>
            </w:r>
          </w:p>
        </w:tc>
      </w:tr>
      <w:tr w:rsidR="007523B8" w:rsidRPr="009E06AA" w14:paraId="180A716D" w14:textId="77777777" w:rsidTr="00B55F24">
        <w:tc>
          <w:tcPr>
            <w:tcW w:w="2745" w:type="dxa"/>
            <w:vMerge/>
            <w:tcBorders>
              <w:left w:val="nil"/>
              <w:bottom w:val="single" w:sz="4" w:space="0" w:color="365F91"/>
              <w:right w:val="nil"/>
            </w:tcBorders>
          </w:tcPr>
          <w:p w14:paraId="19BCB235" w14:textId="77777777" w:rsidR="007523B8" w:rsidRPr="009E06AA" w:rsidRDefault="007523B8" w:rsidP="00542552">
            <w:pPr>
              <w:pStyle w:val="TableText"/>
              <w:spacing w:before="40" w:after="40"/>
              <w:rPr>
                <w:rFonts w:cs="Calibri"/>
              </w:rPr>
            </w:pPr>
          </w:p>
        </w:tc>
        <w:tc>
          <w:tcPr>
            <w:tcW w:w="3405" w:type="dxa"/>
            <w:tcBorders>
              <w:top w:val="single" w:sz="4" w:space="0" w:color="365F91"/>
              <w:left w:val="nil"/>
              <w:bottom w:val="single" w:sz="4" w:space="0" w:color="365F91"/>
              <w:right w:val="nil"/>
            </w:tcBorders>
          </w:tcPr>
          <w:p w14:paraId="770D6701" w14:textId="77777777" w:rsidR="007523B8" w:rsidRPr="009E06AA" w:rsidRDefault="007523B8" w:rsidP="00542552">
            <w:pPr>
              <w:pStyle w:val="TableText"/>
              <w:spacing w:before="40" w:after="40"/>
              <w:rPr>
                <w:rFonts w:cs="Calibri"/>
              </w:rPr>
            </w:pPr>
            <w:r w:rsidRPr="009E06AA">
              <w:rPr>
                <w:rFonts w:cs="Calibri"/>
              </w:rPr>
              <w:t xml:space="preserve">Poultry – other </w:t>
            </w:r>
          </w:p>
        </w:tc>
        <w:tc>
          <w:tcPr>
            <w:tcW w:w="1788" w:type="dxa"/>
            <w:tcBorders>
              <w:top w:val="single" w:sz="4" w:space="0" w:color="365F91"/>
              <w:left w:val="nil"/>
              <w:bottom w:val="single" w:sz="4" w:space="0" w:color="365F91"/>
              <w:right w:val="nil"/>
            </w:tcBorders>
          </w:tcPr>
          <w:p w14:paraId="583583B4" w14:textId="77777777" w:rsidR="007523B8" w:rsidRPr="009E06AA" w:rsidRDefault="007523B8" w:rsidP="003B5F5B">
            <w:pPr>
              <w:pStyle w:val="TableText"/>
              <w:spacing w:before="40" w:after="40"/>
              <w:jc w:val="right"/>
              <w:rPr>
                <w:rFonts w:cs="Calibri"/>
              </w:rPr>
            </w:pPr>
            <w:r w:rsidRPr="009E06AA">
              <w:rPr>
                <w:rFonts w:cs="Calibri"/>
              </w:rPr>
              <w:t>0.25</w:t>
            </w:r>
          </w:p>
        </w:tc>
      </w:tr>
    </w:tbl>
    <w:p w14:paraId="63AE1EB0" w14:textId="77777777" w:rsidR="007523B8" w:rsidRPr="009E06AA" w:rsidRDefault="007523B8" w:rsidP="00387CF3">
      <w:pPr>
        <w:pStyle w:val="Source"/>
        <w:spacing w:after="120"/>
      </w:pPr>
      <w:r w:rsidRPr="009E06AA">
        <w:t>Source:</w:t>
      </w:r>
      <w:r w:rsidRPr="009E06AA">
        <w:rPr>
          <w:b/>
          <w:bCs/>
        </w:rPr>
        <w:t xml:space="preserve"> </w:t>
      </w:r>
      <w:r w:rsidRPr="009E06AA">
        <w:rPr>
          <w:b/>
        </w:rPr>
        <w:tab/>
      </w:r>
      <w:r w:rsidRPr="009E06AA">
        <w:t>IPCC (2006) table 10.22 and Hill (2012)</w:t>
      </w:r>
    </w:p>
    <w:p w14:paraId="29DC39B4" w14:textId="77777777" w:rsidR="007523B8" w:rsidRPr="009E06AA" w:rsidRDefault="007523B8" w:rsidP="007523B8">
      <w:pPr>
        <w:pStyle w:val="Heading3"/>
        <w:spacing w:before="320"/>
      </w:pPr>
      <w:r w:rsidRPr="009E06AA">
        <w:t>5.3.3</w:t>
      </w:r>
      <w:r w:rsidRPr="009E06AA">
        <w:tab/>
      </w:r>
      <w:bookmarkStart w:id="1098" w:name="_Toc32570660"/>
      <w:r w:rsidRPr="009E06AA">
        <w:t>Uncertainty assessment and time-series consistency</w:t>
      </w:r>
      <w:bookmarkEnd w:id="1098"/>
    </w:p>
    <w:p w14:paraId="009E7A39" w14:textId="77777777" w:rsidR="007523B8" w:rsidRPr="009E06AA" w:rsidRDefault="007523B8" w:rsidP="00542552">
      <w:pPr>
        <w:pStyle w:val="BodyText"/>
      </w:pPr>
      <w:r w:rsidRPr="009E06AA">
        <w:t>To ensure consistency, a single enhanced livestock population characterisation and feed-intake estimate is produced by the Tier 2 model for the major livestock categories. It is used in different parts of the calculations to estimate CH</w:t>
      </w:r>
      <w:r w:rsidRPr="009E06AA">
        <w:rPr>
          <w:vertAlign w:val="subscript"/>
        </w:rPr>
        <w:t>4</w:t>
      </w:r>
      <w:r w:rsidRPr="009E06AA">
        <w:t xml:space="preserve"> emissions for the </w:t>
      </w:r>
      <w:r w:rsidRPr="009E06AA">
        <w:rPr>
          <w:i/>
          <w:iCs/>
        </w:rPr>
        <w:t>Enteric fermentation</w:t>
      </w:r>
      <w:r w:rsidRPr="009E06AA">
        <w:t xml:space="preserve"> category, CH</w:t>
      </w:r>
      <w:r w:rsidRPr="009E06AA">
        <w:rPr>
          <w:vertAlign w:val="subscript"/>
        </w:rPr>
        <w:t>4</w:t>
      </w:r>
      <w:r w:rsidRPr="009E06AA">
        <w:t xml:space="preserve"> and N</w:t>
      </w:r>
      <w:r w:rsidRPr="009E06AA">
        <w:rPr>
          <w:vertAlign w:val="subscript"/>
        </w:rPr>
        <w:t>2</w:t>
      </w:r>
      <w:r w:rsidRPr="009E06AA">
        <w:t xml:space="preserve">O emissions for the </w:t>
      </w:r>
      <w:r w:rsidRPr="009E06AA">
        <w:rPr>
          <w:i/>
          <w:iCs/>
        </w:rPr>
        <w:t>Manure management</w:t>
      </w:r>
      <w:r w:rsidRPr="009E06AA">
        <w:t xml:space="preserve"> category and N</w:t>
      </w:r>
      <w:r w:rsidRPr="009E06AA">
        <w:rPr>
          <w:vertAlign w:val="subscript"/>
        </w:rPr>
        <w:t>2</w:t>
      </w:r>
      <w:r w:rsidRPr="009E06AA">
        <w:t xml:space="preserve">O emissions for the </w:t>
      </w:r>
      <w:r w:rsidRPr="009E06AA">
        <w:rPr>
          <w:i/>
          <w:iCs/>
        </w:rPr>
        <w:t>Agricultural soils</w:t>
      </w:r>
      <w:r w:rsidRPr="009E06AA">
        <w:t xml:space="preserve"> category.</w:t>
      </w:r>
    </w:p>
    <w:p w14:paraId="5AC3894A" w14:textId="77777777" w:rsidR="007523B8" w:rsidRPr="009E06AA" w:rsidRDefault="007523B8" w:rsidP="007523B8">
      <w:pPr>
        <w:pStyle w:val="Heading4"/>
        <w:spacing w:before="200"/>
      </w:pPr>
      <w:r w:rsidRPr="009E06AA">
        <w:t xml:space="preserve">Methane emissions </w:t>
      </w:r>
    </w:p>
    <w:p w14:paraId="1A76B8A6" w14:textId="77777777" w:rsidR="007523B8" w:rsidRPr="009E06AA" w:rsidRDefault="007523B8" w:rsidP="007523B8">
      <w:pPr>
        <w:pStyle w:val="BodyText"/>
        <w:keepLines/>
        <w:spacing w:before="100" w:after="100"/>
        <w:rPr>
          <w:rFonts w:cs="Calibri"/>
        </w:rPr>
      </w:pPr>
      <w:r w:rsidRPr="009E06AA">
        <w:rPr>
          <w:rFonts w:cs="Calibri"/>
        </w:rPr>
        <w:t>The major sources of uncertainty in CH</w:t>
      </w:r>
      <w:r w:rsidRPr="009E06AA">
        <w:rPr>
          <w:rFonts w:cs="Calibri"/>
          <w:vertAlign w:val="subscript"/>
        </w:rPr>
        <w:t>4</w:t>
      </w:r>
      <w:r w:rsidRPr="009E06AA">
        <w:rPr>
          <w:rFonts w:cs="Calibri"/>
        </w:rPr>
        <w:t xml:space="preserve"> emissions from </w:t>
      </w:r>
      <w:r w:rsidRPr="009E06AA">
        <w:rPr>
          <w:rFonts w:cs="Calibri"/>
          <w:i/>
          <w:iCs/>
        </w:rPr>
        <w:t>Manure management</w:t>
      </w:r>
      <w:r w:rsidRPr="009E06AA">
        <w:rPr>
          <w:rFonts w:cs="Calibri"/>
        </w:rPr>
        <w:t xml:space="preserve"> are the accuracy of emission factors for manure management system distribution, livestock population numbers, and the classification and use of the various manure management systems (IPCC, 2006). The ranges for measured emissions for the major livestock categories have been stated where available. </w:t>
      </w:r>
    </w:p>
    <w:p w14:paraId="5796724C" w14:textId="77777777" w:rsidR="007523B8" w:rsidRPr="009E06AA" w:rsidRDefault="007523B8" w:rsidP="007523B8">
      <w:pPr>
        <w:pStyle w:val="BodyText"/>
        <w:spacing w:before="100" w:after="100"/>
        <w:rPr>
          <w:rFonts w:cs="Calibri"/>
        </w:rPr>
      </w:pPr>
      <w:r w:rsidRPr="009E06AA">
        <w:rPr>
          <w:rFonts w:cs="Calibri"/>
          <w:spacing w:val="-2"/>
        </w:rPr>
        <w:t>The IPCC (2006) states that emission factor estimates are likely to have uncertainties of ±30 per cent</w:t>
      </w:r>
      <w:r w:rsidRPr="009E06AA">
        <w:rPr>
          <w:rFonts w:cs="Calibri"/>
        </w:rPr>
        <w:t xml:space="preserve"> for Tier 1 methodologies and ±20 per cent for Tier 2 methodologies. </w:t>
      </w:r>
      <w:r w:rsidRPr="009E06AA">
        <w:t>New Zealand</w:t>
      </w:r>
      <w:r w:rsidRPr="009E06AA">
        <w:rPr>
          <w:rFonts w:cs="Calibri"/>
        </w:rPr>
        <w:t xml:space="preserve"> </w:t>
      </w:r>
      <w:r w:rsidRPr="009E06AA">
        <w:rPr>
          <w:rFonts w:cs="Calibri"/>
          <w:spacing w:val="-2"/>
        </w:rPr>
        <w:t>does not currently have country-specific uncertainty values for CH</w:t>
      </w:r>
      <w:r w:rsidRPr="009E06AA">
        <w:rPr>
          <w:rFonts w:cs="Calibri"/>
          <w:spacing w:val="-2"/>
          <w:vertAlign w:val="subscript"/>
        </w:rPr>
        <w:t>4</w:t>
      </w:r>
      <w:r w:rsidRPr="009E06AA">
        <w:rPr>
          <w:rFonts w:cs="Calibri"/>
          <w:spacing w:val="-2"/>
        </w:rPr>
        <w:t xml:space="preserve"> from </w:t>
      </w:r>
      <w:r w:rsidRPr="009E06AA">
        <w:rPr>
          <w:rFonts w:cs="Calibri"/>
          <w:i/>
          <w:iCs/>
          <w:spacing w:val="-2"/>
        </w:rPr>
        <w:t>Manure</w:t>
      </w:r>
      <w:r w:rsidRPr="009E06AA">
        <w:rPr>
          <w:i/>
          <w:spacing w:val="-2"/>
        </w:rPr>
        <w:t xml:space="preserve"> management</w:t>
      </w:r>
      <w:r w:rsidRPr="009E06AA">
        <w:rPr>
          <w:rFonts w:cs="Calibri"/>
          <w:spacing w:val="-2"/>
        </w:rPr>
        <w:t>.</w:t>
      </w:r>
      <w:r w:rsidRPr="009E06AA">
        <w:rPr>
          <w:rFonts w:cs="Calibri"/>
        </w:rPr>
        <w:t xml:space="preserve"> Because around 95 per cent of CH</w:t>
      </w:r>
      <w:r w:rsidRPr="009E06AA">
        <w:rPr>
          <w:rFonts w:cs="Calibri"/>
          <w:vertAlign w:val="subscript"/>
        </w:rPr>
        <w:t>4</w:t>
      </w:r>
      <w:r w:rsidRPr="009E06AA">
        <w:rPr>
          <w:rFonts w:cs="Calibri"/>
        </w:rPr>
        <w:t xml:space="preserve"> from </w:t>
      </w:r>
      <w:r w:rsidRPr="009E06AA">
        <w:rPr>
          <w:rFonts w:cs="Calibri"/>
          <w:i/>
          <w:iCs/>
        </w:rPr>
        <w:t>Manure management</w:t>
      </w:r>
      <w:r w:rsidRPr="009E06AA">
        <w:rPr>
          <w:rFonts w:cs="Calibri"/>
        </w:rPr>
        <w:t xml:space="preserve"> is calculated using Tier 2 methodologies, an uncertainty value of ±20 per cent has been used instead for the Tier 1 </w:t>
      </w:r>
      <w:r w:rsidRPr="009E06AA">
        <w:rPr>
          <w:rFonts w:cs="Calibri"/>
          <w:i/>
          <w:iCs/>
        </w:rPr>
        <w:t xml:space="preserve">Manure management </w:t>
      </w:r>
      <w:r w:rsidRPr="009E06AA">
        <w:rPr>
          <w:rFonts w:cs="Calibri"/>
        </w:rPr>
        <w:t>CH</w:t>
      </w:r>
      <w:r w:rsidRPr="009E06AA">
        <w:rPr>
          <w:rFonts w:cs="Calibri"/>
          <w:vertAlign w:val="subscript"/>
        </w:rPr>
        <w:t>4</w:t>
      </w:r>
      <w:r w:rsidRPr="009E06AA">
        <w:rPr>
          <w:rFonts w:cs="Calibri"/>
        </w:rPr>
        <w:t xml:space="preserve"> emissions uncertainty value. </w:t>
      </w:r>
    </w:p>
    <w:p w14:paraId="41ABBE14" w14:textId="3BF39093" w:rsidR="007523B8" w:rsidRPr="009E06AA" w:rsidRDefault="007523B8" w:rsidP="007523B8">
      <w:pPr>
        <w:pStyle w:val="BodyText"/>
        <w:spacing w:before="100" w:after="100"/>
        <w:rPr>
          <w:rFonts w:cs="Calibri"/>
        </w:rPr>
      </w:pPr>
      <w:r w:rsidRPr="009E06AA">
        <w:rPr>
          <w:rFonts w:cs="Calibri"/>
        </w:rPr>
        <w:t>Uncertainties for the livestock characterisation are also discussed in section 5.1.4 and annex </w:t>
      </w:r>
      <w:r w:rsidR="0092555D" w:rsidRPr="009E06AA">
        <w:rPr>
          <w:rFonts w:cs="Calibri"/>
        </w:rPr>
        <w:t>5</w:t>
      </w:r>
      <w:r w:rsidRPr="009E06AA">
        <w:rPr>
          <w:rFonts w:cs="Calibri"/>
        </w:rPr>
        <w:t>, section A</w:t>
      </w:r>
      <w:r w:rsidR="0092555D" w:rsidRPr="009E06AA">
        <w:rPr>
          <w:rFonts w:cs="Calibri"/>
        </w:rPr>
        <w:t>5</w:t>
      </w:r>
      <w:r w:rsidRPr="009E06AA">
        <w:rPr>
          <w:rFonts w:cs="Calibri"/>
        </w:rPr>
        <w:t xml:space="preserve">.1.1. </w:t>
      </w:r>
    </w:p>
    <w:p w14:paraId="74A7D164" w14:textId="77777777" w:rsidR="007523B8" w:rsidRPr="009E06AA" w:rsidRDefault="007523B8" w:rsidP="007523B8">
      <w:pPr>
        <w:pStyle w:val="Heading4"/>
        <w:spacing w:before="200"/>
      </w:pPr>
      <w:r w:rsidRPr="009E06AA">
        <w:t>Nitrous oxide emissions</w:t>
      </w:r>
    </w:p>
    <w:p w14:paraId="6518D825" w14:textId="77777777" w:rsidR="007523B8" w:rsidRPr="009E06AA" w:rsidRDefault="007523B8" w:rsidP="007523B8">
      <w:pPr>
        <w:pStyle w:val="BodyText"/>
        <w:spacing w:before="100" w:after="100"/>
        <w:rPr>
          <w:rFonts w:cs="Calibri"/>
        </w:rPr>
      </w:pPr>
      <w:r w:rsidRPr="009E06AA">
        <w:rPr>
          <w:rFonts w:cs="Calibri"/>
        </w:rPr>
        <w:t xml:space="preserve">The main factors causing uncertainty in direct and indirect </w:t>
      </w:r>
      <w:r w:rsidRPr="009E06AA">
        <w:t>N</w:t>
      </w:r>
      <w:r w:rsidRPr="009E06AA">
        <w:rPr>
          <w:vertAlign w:val="subscript"/>
        </w:rPr>
        <w:t>2</w:t>
      </w:r>
      <w:r w:rsidRPr="009E06AA">
        <w:t>O</w:t>
      </w:r>
      <w:r w:rsidRPr="009E06AA">
        <w:rPr>
          <w:rFonts w:cs="Calibri"/>
        </w:rPr>
        <w:t xml:space="preserve"> emissions from manure management are the N</w:t>
      </w:r>
      <w:r w:rsidRPr="009E06AA">
        <w:rPr>
          <w:rFonts w:cs="Calibri"/>
          <w:vertAlign w:val="subscript"/>
        </w:rPr>
        <w:t>ex</w:t>
      </w:r>
      <w:r w:rsidRPr="009E06AA">
        <w:rPr>
          <w:rFonts w:cs="Calibri"/>
        </w:rPr>
        <w:t xml:space="preserve"> rates, the emission factors for manure and manure management systems, activity data on the livestock population, and the classification and use of the various manure management systems (IPCC, 2006). </w:t>
      </w:r>
    </w:p>
    <w:p w14:paraId="0528F629" w14:textId="77777777" w:rsidR="007523B8" w:rsidRPr="009E06AA" w:rsidRDefault="007523B8" w:rsidP="007523B8">
      <w:pPr>
        <w:pStyle w:val="BodyText"/>
        <w:spacing w:before="100" w:after="100"/>
        <w:rPr>
          <w:rFonts w:cs="Calibri"/>
        </w:rPr>
      </w:pPr>
      <w:r w:rsidRPr="009E06AA">
        <w:rPr>
          <w:rFonts w:cs="Calibri"/>
        </w:rPr>
        <w:t>Uncertainty ranges for the default N</w:t>
      </w:r>
      <w:r w:rsidRPr="009E06AA">
        <w:rPr>
          <w:rFonts w:cs="Calibri"/>
          <w:vertAlign w:val="subscript"/>
        </w:rPr>
        <w:t>ex</w:t>
      </w:r>
      <w:r w:rsidRPr="009E06AA">
        <w:rPr>
          <w:rFonts w:cs="Calibri"/>
        </w:rPr>
        <w:t xml:space="preserve"> values are estimated at about ±50 per cent (IPCC, 2006), and may be substantially smaller for the values for the livestock whose N</w:t>
      </w:r>
      <w:r w:rsidRPr="009E06AA">
        <w:rPr>
          <w:rFonts w:cs="Calibri"/>
          <w:vertAlign w:val="subscript"/>
        </w:rPr>
        <w:t>ex</w:t>
      </w:r>
      <w:r w:rsidRPr="009E06AA">
        <w:rPr>
          <w:rFonts w:cs="Calibri"/>
        </w:rPr>
        <w:t xml:space="preserve"> rates were derived from in-country statistics on productivity. </w:t>
      </w:r>
      <w:r w:rsidRPr="009E06AA">
        <w:t>New Zealand</w:t>
      </w:r>
      <w:r w:rsidRPr="009E06AA">
        <w:rPr>
          <w:rFonts w:cs="Calibri"/>
        </w:rPr>
        <w:t xml:space="preserve"> uses the default values for EF</w:t>
      </w:r>
      <w:r w:rsidRPr="009E06AA">
        <w:rPr>
          <w:rFonts w:cs="Calibri"/>
          <w:vertAlign w:val="subscript"/>
        </w:rPr>
        <w:t>3,PRP</w:t>
      </w:r>
      <w:r w:rsidRPr="009E06AA">
        <w:rPr>
          <w:rFonts w:cs="Calibri"/>
        </w:rPr>
        <w:t xml:space="preserve"> for direct </w:t>
      </w:r>
      <w:r w:rsidRPr="009E06AA">
        <w:t>N</w:t>
      </w:r>
      <w:r w:rsidRPr="009E06AA">
        <w:rPr>
          <w:vertAlign w:val="subscript"/>
        </w:rPr>
        <w:t>2</w:t>
      </w:r>
      <w:r w:rsidRPr="009E06AA">
        <w:t>O</w:t>
      </w:r>
      <w:r w:rsidRPr="009E06AA">
        <w:rPr>
          <w:rFonts w:cs="Calibri"/>
        </w:rPr>
        <w:t xml:space="preserve"> emissions from the manure management of swine and poultry, which have uncertainties ranging from -50 per cent to +100 per cent. An uncertainty value range of ±100 per cent has been used for the </w:t>
      </w:r>
      <w:r w:rsidRPr="009E06AA">
        <w:rPr>
          <w:rFonts w:cs="Calibri"/>
          <w:i/>
          <w:iCs/>
        </w:rPr>
        <w:t>Manure management</w:t>
      </w:r>
      <w:r w:rsidRPr="009E06AA">
        <w:rPr>
          <w:rFonts w:cs="Calibri"/>
        </w:rPr>
        <w:t xml:space="preserve"> </w:t>
      </w:r>
      <w:r w:rsidRPr="009E06AA">
        <w:t>N</w:t>
      </w:r>
      <w:r w:rsidRPr="009E06AA">
        <w:rPr>
          <w:vertAlign w:val="subscript"/>
        </w:rPr>
        <w:t>2</w:t>
      </w:r>
      <w:r w:rsidRPr="009E06AA">
        <w:t>O</w:t>
      </w:r>
      <w:r w:rsidRPr="009E06AA">
        <w:rPr>
          <w:rFonts w:cs="Calibri"/>
        </w:rPr>
        <w:t xml:space="preserve"> emissions uncertainty (Giltrap et al., unpublished).</w:t>
      </w:r>
    </w:p>
    <w:p w14:paraId="0F7839E5" w14:textId="1634B4AF" w:rsidR="007523B8" w:rsidRPr="009E06AA" w:rsidRDefault="007523B8" w:rsidP="007523B8">
      <w:pPr>
        <w:pStyle w:val="BodyText"/>
      </w:pPr>
      <w:r w:rsidRPr="009E06AA">
        <w:t xml:space="preserve">As above, uncertainties for the livestock characterisation are discussed in section 5.1.4 and annex </w:t>
      </w:r>
      <w:r w:rsidR="008D2F94" w:rsidRPr="009E06AA">
        <w:t>5</w:t>
      </w:r>
      <w:r w:rsidRPr="009E06AA">
        <w:t>, section A</w:t>
      </w:r>
      <w:r w:rsidR="008D2F94" w:rsidRPr="009E06AA">
        <w:t>5</w:t>
      </w:r>
      <w:r w:rsidRPr="009E06AA">
        <w:t xml:space="preserve">.1.1. </w:t>
      </w:r>
    </w:p>
    <w:p w14:paraId="1251C61C" w14:textId="77777777" w:rsidR="007523B8" w:rsidRPr="009E06AA" w:rsidRDefault="007523B8" w:rsidP="007523B8">
      <w:pPr>
        <w:pStyle w:val="Heading3"/>
      </w:pPr>
      <w:bookmarkStart w:id="1099" w:name="_Toc139253927"/>
      <w:bookmarkStart w:id="1100" w:name="_Toc32570661"/>
      <w:r w:rsidRPr="009E06AA">
        <w:t>5.3.4</w:t>
      </w:r>
      <w:r w:rsidRPr="009E06AA">
        <w:tab/>
        <w:t>Category-specific QA/QC and verification</w:t>
      </w:r>
      <w:bookmarkEnd w:id="1099"/>
      <w:bookmarkEnd w:id="1100"/>
    </w:p>
    <w:p w14:paraId="6629D153" w14:textId="77777777" w:rsidR="007523B8" w:rsidRPr="009E06AA" w:rsidRDefault="007523B8" w:rsidP="007523B8">
      <w:pPr>
        <w:pStyle w:val="BodyText"/>
        <w:rPr>
          <w:i/>
        </w:rPr>
      </w:pPr>
      <w:r w:rsidRPr="009E06AA">
        <w:t xml:space="preserve">Methane from </w:t>
      </w:r>
      <w:r w:rsidRPr="009E06AA">
        <w:rPr>
          <w:i/>
          <w:iCs/>
        </w:rPr>
        <w:t>Manure management</w:t>
      </w:r>
      <w:r w:rsidRPr="009E06AA">
        <w:t xml:space="preserve"> from </w:t>
      </w:r>
      <w:r w:rsidRPr="009E06AA">
        <w:rPr>
          <w:i/>
          <w:iCs/>
        </w:rPr>
        <w:t>Dairy</w:t>
      </w:r>
      <w:r w:rsidRPr="009E06AA">
        <w:rPr>
          <w:i/>
        </w:rPr>
        <w:t xml:space="preserve"> cattle</w:t>
      </w:r>
      <w:r w:rsidRPr="009E06AA">
        <w:t xml:space="preserve"> was identified as a key category for </w:t>
      </w:r>
      <w:r w:rsidRPr="009E06AA" w:rsidDel="00003643">
        <w:t>New</w:t>
      </w:r>
      <w:r w:rsidRPr="009E06AA">
        <w:t xml:space="preserve"> Zealand in the 2022 level and trend assessment. Methane from </w:t>
      </w:r>
      <w:r w:rsidRPr="009E06AA">
        <w:rPr>
          <w:i/>
          <w:iCs/>
        </w:rPr>
        <w:t>Manure management</w:t>
      </w:r>
      <w:r w:rsidRPr="009E06AA">
        <w:t xml:space="preserve"> from </w:t>
      </w:r>
      <w:r w:rsidRPr="009E06AA">
        <w:rPr>
          <w:i/>
          <w:iCs/>
        </w:rPr>
        <w:t>Sheep</w:t>
      </w:r>
      <w:r w:rsidRPr="009E06AA">
        <w:t xml:space="preserve"> was identified as a key category for New Zealand in the 2022 trend assessment.</w:t>
      </w:r>
      <w:r w:rsidRPr="009E06AA">
        <w:rPr>
          <w:i/>
          <w:iCs/>
        </w:rPr>
        <w:t xml:space="preserve"> </w:t>
      </w:r>
    </w:p>
    <w:p w14:paraId="6D503CFC" w14:textId="77777777" w:rsidR="007523B8" w:rsidRPr="009E06AA" w:rsidRDefault="007523B8" w:rsidP="007523B8">
      <w:pPr>
        <w:pStyle w:val="BodyText"/>
      </w:pPr>
      <w:r w:rsidRPr="009E06AA">
        <w:t>In the preparation for this inventory submission, the data for this category underwent Tier 1 and Tier 2 quality checks.</w:t>
      </w:r>
    </w:p>
    <w:p w14:paraId="3A40759A" w14:textId="5050919C" w:rsidR="007523B8" w:rsidRPr="009E06AA" w:rsidRDefault="007523B8" w:rsidP="007523B8">
      <w:pPr>
        <w:pStyle w:val="BodyText"/>
      </w:pPr>
      <w:r w:rsidRPr="009E06AA">
        <w:t xml:space="preserve">Table 5.3.6 shows a comparison of the </w:t>
      </w:r>
      <w:r w:rsidRPr="009E06AA" w:rsidDel="00003643">
        <w:t xml:space="preserve">New </w:t>
      </w:r>
      <w:r w:rsidRPr="009E06AA">
        <w:t>Zealand-specific 2022 IEF for CH</w:t>
      </w:r>
      <w:r w:rsidRPr="009E06AA">
        <w:rPr>
          <w:vertAlign w:val="subscript"/>
        </w:rPr>
        <w:t>4</w:t>
      </w:r>
      <w:r w:rsidRPr="009E06AA">
        <w:t xml:space="preserve"> from </w:t>
      </w:r>
      <w:r w:rsidRPr="009E06AA">
        <w:rPr>
          <w:i/>
          <w:iCs/>
        </w:rPr>
        <w:t>Manure management</w:t>
      </w:r>
      <w:r w:rsidRPr="009E06AA">
        <w:t xml:space="preserve"> with the IPCC (2006) Tier 1 Oceania default, the IPCC Tier 2 net energy-based value and the 2021 Australian-specific IEF for </w:t>
      </w:r>
      <w:r w:rsidRPr="009E06AA">
        <w:rPr>
          <w:i/>
          <w:iCs/>
        </w:rPr>
        <w:t>Dairy cattle</w:t>
      </w:r>
      <w:r w:rsidRPr="009E06AA">
        <w:t xml:space="preserve">, </w:t>
      </w:r>
      <w:r w:rsidRPr="009E06AA">
        <w:rPr>
          <w:i/>
          <w:iCs/>
        </w:rPr>
        <w:t>Non-dairy cattle</w:t>
      </w:r>
      <w:r w:rsidRPr="009E06AA">
        <w:t xml:space="preserve"> and </w:t>
      </w:r>
      <w:r w:rsidRPr="009E06AA">
        <w:rPr>
          <w:i/>
          <w:iCs/>
        </w:rPr>
        <w:t xml:space="preserve">Sheep </w:t>
      </w:r>
      <w:r w:rsidRPr="009E06AA">
        <w:t>(Australian Government, 2023). The IPCC Tier 2 value was determined from net energy equations to determine gross energy for each of New Zealand’s major livestock categories. This information is then used to determine volatile solid excretion and the annual CH</w:t>
      </w:r>
      <w:r w:rsidRPr="009E06AA">
        <w:rPr>
          <w:vertAlign w:val="subscript"/>
        </w:rPr>
        <w:t>4</w:t>
      </w:r>
      <w:r w:rsidRPr="009E06AA">
        <w:t xml:space="preserve"> emission factors for each livestock category as per the equations described in the 2006 IPCC Guidelines (i.e., equations 10.16, 10.23 and 10.24, IPCC, 2006).</w:t>
      </w:r>
    </w:p>
    <w:p w14:paraId="55EC57B5" w14:textId="77777777" w:rsidR="007523B8" w:rsidRPr="009E06AA" w:rsidRDefault="007523B8" w:rsidP="007523B8">
      <w:pPr>
        <w:pStyle w:val="BodyText"/>
      </w:pPr>
      <w:r w:rsidRPr="009E06AA">
        <w:t>New Zealand has lower IEFs for CH</w:t>
      </w:r>
      <w:r w:rsidRPr="009E06AA">
        <w:rPr>
          <w:vertAlign w:val="subscript"/>
        </w:rPr>
        <w:t>4</w:t>
      </w:r>
      <w:r w:rsidRPr="009E06AA">
        <w:t xml:space="preserve"> from </w:t>
      </w:r>
      <w:r w:rsidRPr="009E06AA">
        <w:rPr>
          <w:i/>
          <w:iCs/>
        </w:rPr>
        <w:t>Manure management</w:t>
      </w:r>
      <w:r w:rsidRPr="009E06AA">
        <w:t xml:space="preserve"> for non-dairy cattle and sheep than the IPCC Tier 1 Oceania default and the IPCC Tier 2 net energy-based emission factors. Additionally, </w:t>
      </w:r>
      <w:r w:rsidRPr="009E06AA" w:rsidDel="00A124AE">
        <w:t xml:space="preserve">New </w:t>
      </w:r>
      <w:r w:rsidRPr="009E06AA">
        <w:t>Zealand has lower dairy and non-dairy IEFs for CH</w:t>
      </w:r>
      <w:r w:rsidRPr="009E06AA">
        <w:rPr>
          <w:vertAlign w:val="subscript"/>
        </w:rPr>
        <w:t>4</w:t>
      </w:r>
      <w:r w:rsidRPr="009E06AA">
        <w:t xml:space="preserve"> from </w:t>
      </w:r>
      <w:r w:rsidRPr="009E06AA">
        <w:rPr>
          <w:i/>
          <w:iCs/>
        </w:rPr>
        <w:t>Manure management</w:t>
      </w:r>
      <w:r w:rsidRPr="009E06AA">
        <w:t xml:space="preserve"> than the Australian-specific 2021 IEFs. Differences between New Zealand’s IEFs, the IPCC Tier 1 and Tier 2 and the Australian-specific IEFs are due to the reasons outlined under </w:t>
      </w:r>
      <w:r w:rsidRPr="009E06AA">
        <w:rPr>
          <w:i/>
          <w:iCs/>
        </w:rPr>
        <w:t>Enteric fermentation</w:t>
      </w:r>
      <w:r w:rsidRPr="009E06AA">
        <w:t xml:space="preserve"> (see section 5.2.4): that is, size and productivity of the animals, the age classes of livestock included in New Zealand’s modelling and the use of different algorithms to determine energy intake. The </w:t>
      </w:r>
      <w:r w:rsidRPr="009E06AA" w:rsidDel="005C74CD">
        <w:t xml:space="preserve">New </w:t>
      </w:r>
      <w:r w:rsidRPr="009E06AA">
        <w:t xml:space="preserve">Zealand-specific IEF from </w:t>
      </w:r>
      <w:r w:rsidRPr="009E06AA">
        <w:rPr>
          <w:i/>
          <w:iCs/>
        </w:rPr>
        <w:t>Manure management</w:t>
      </w:r>
      <w:r w:rsidRPr="009E06AA">
        <w:t xml:space="preserve"> for dairy cattle also reflects the activity data on the use of dairy effluent management systems in </w:t>
      </w:r>
      <w:r w:rsidRPr="009E06AA" w:rsidDel="005C74CD">
        <w:t xml:space="preserve">New </w:t>
      </w:r>
      <w:r w:rsidRPr="009E06AA">
        <w:t>Zealand (see section 5.3.2).</w:t>
      </w:r>
    </w:p>
    <w:p w14:paraId="66ED8E86" w14:textId="77777777" w:rsidR="007523B8" w:rsidRPr="009E06AA" w:rsidRDefault="007523B8" w:rsidP="007523B8">
      <w:pPr>
        <w:pStyle w:val="BodyText"/>
      </w:pPr>
      <w:r w:rsidRPr="009E06AA">
        <w:t>The IEF for dairy cattle is much higher than the IEFs for non-dairy cattle and sheep. All manure for non-dairy cattle and sheep is deposited on pasture. In contrast 7.1 per cent of dairy cattle manure is captured by anaerobic lagoons (see t</w:t>
      </w:r>
      <w:r w:rsidRPr="009E06AA">
        <w:rPr>
          <w:rFonts w:cs="Calibri"/>
        </w:rPr>
        <w:t xml:space="preserve">able 5.3.2). </w:t>
      </w:r>
      <w:r w:rsidRPr="009E06AA">
        <w:t xml:space="preserve">When manure is stored in anaerobic lagoons, it decomposes anaerobically and can produce </w:t>
      </w:r>
      <w:r w:rsidRPr="009E06AA">
        <w:rPr>
          <w:rFonts w:cs="Calibri"/>
        </w:rPr>
        <w:t>CH</w:t>
      </w:r>
      <w:r w:rsidRPr="009E06AA">
        <w:rPr>
          <w:rFonts w:cs="Calibri"/>
          <w:vertAlign w:val="subscript"/>
        </w:rPr>
        <w:t>4</w:t>
      </w:r>
      <w:r w:rsidRPr="009E06AA">
        <w:t xml:space="preserve">. When manure is deposited directly on pastures it tends to decompose under aerobic conditions and less </w:t>
      </w:r>
      <w:r w:rsidRPr="009E06AA">
        <w:rPr>
          <w:rFonts w:cs="Calibri"/>
        </w:rPr>
        <w:t>CH</w:t>
      </w:r>
      <w:r w:rsidRPr="009E06AA">
        <w:rPr>
          <w:rFonts w:cs="Calibri"/>
          <w:vertAlign w:val="subscript"/>
        </w:rPr>
        <w:t>4</w:t>
      </w:r>
      <w:r w:rsidRPr="009E06AA">
        <w:rPr>
          <w:rFonts w:cs="Calibri"/>
        </w:rPr>
        <w:t> </w:t>
      </w:r>
      <w:r w:rsidRPr="009E06AA">
        <w:t>is produced overall. Therefore, as some dairy cattle manure is captured by anaerobic lagoons more CH</w:t>
      </w:r>
      <w:r w:rsidRPr="009E06AA">
        <w:rPr>
          <w:vertAlign w:val="subscript"/>
        </w:rPr>
        <w:t>4</w:t>
      </w:r>
      <w:r w:rsidRPr="009E06AA">
        <w:t xml:space="preserve"> is produced by dairy cattle manure management than non-dairy cattle or sheep manure management. Hence, the IEF is higher. </w:t>
      </w:r>
    </w:p>
    <w:p w14:paraId="4281875E" w14:textId="77777777" w:rsidR="007523B8" w:rsidRPr="009E06AA" w:rsidRDefault="007523B8" w:rsidP="007523B8">
      <w:pPr>
        <w:pStyle w:val="Table"/>
        <w:rPr>
          <w:rFonts w:cs="Calibri"/>
        </w:rPr>
      </w:pPr>
      <w:bookmarkStart w:id="1101" w:name="_Toc441830878"/>
      <w:bookmarkStart w:id="1102" w:name="_Toc451176092"/>
      <w:bookmarkStart w:id="1103" w:name="_Toc481751520"/>
      <w:bookmarkStart w:id="1104" w:name="_Toc507158608"/>
      <w:bookmarkStart w:id="1105" w:name="_Toc511116742"/>
      <w:bookmarkStart w:id="1106" w:name="_Toc5269482"/>
      <w:bookmarkStart w:id="1107" w:name="_Toc32570925"/>
      <w:bookmarkStart w:id="1108" w:name="_Toc36224560"/>
      <w:bookmarkStart w:id="1109" w:name="_Toc68786445"/>
      <w:bookmarkStart w:id="1110" w:name="_Toc95574079"/>
      <w:bookmarkStart w:id="1111" w:name="_Toc127458264"/>
      <w:bookmarkStart w:id="1112" w:name="_Toc131591360"/>
      <w:bookmarkStart w:id="1113" w:name="_Toc164153848"/>
      <w:bookmarkStart w:id="1114" w:name="_Toc288316755"/>
      <w:bookmarkStart w:id="1115" w:name="_Toc352504973"/>
      <w:bookmarkStart w:id="1116" w:name="_Toc160114452"/>
      <w:r w:rsidRPr="009E06AA">
        <w:rPr>
          <w:rFonts w:cs="Calibri"/>
        </w:rPr>
        <w:t>Table 5.3.6</w:t>
      </w:r>
      <w:r w:rsidRPr="009E06AA">
        <w:rPr>
          <w:rFonts w:cs="Calibri"/>
        </w:rPr>
        <w:tab/>
        <w:t>Comparison of IPCC (2006) table 10A-4 default emission factors and country-specific implied emission factors (IEFs) for methane from manure management</w:t>
      </w:r>
      <w:bookmarkEnd w:id="1101"/>
      <w:bookmarkEnd w:id="1102"/>
      <w:bookmarkEnd w:id="1103"/>
      <w:bookmarkEnd w:id="1104"/>
      <w:bookmarkEnd w:id="1105"/>
      <w:bookmarkEnd w:id="1106"/>
      <w:bookmarkEnd w:id="1107"/>
      <w:bookmarkEnd w:id="1108"/>
      <w:bookmarkEnd w:id="1109"/>
      <w:bookmarkEnd w:id="1110"/>
      <w:bookmarkEnd w:id="1111"/>
      <w:bookmarkEnd w:id="1112"/>
      <w:bookmarkEnd w:id="1113"/>
      <w:r w:rsidRPr="009E06AA">
        <w:rPr>
          <w:rFonts w:cs="Calibri"/>
        </w:rPr>
        <w:t xml:space="preserve"> </w:t>
      </w:r>
      <w:bookmarkEnd w:id="1114"/>
      <w:bookmarkEnd w:id="1115"/>
      <w:bookmarkEnd w:id="1116"/>
    </w:p>
    <w:tbl>
      <w:tblPr>
        <w:tblW w:w="8505" w:type="dxa"/>
        <w:tblBorders>
          <w:top w:val="single" w:sz="4" w:space="0" w:color="1B556B" w:themeColor="text2"/>
          <w:bottom w:val="single" w:sz="4" w:space="0" w:color="1B556B" w:themeColor="text2"/>
          <w:insideH w:val="single" w:sz="4" w:space="0" w:color="1B556B" w:themeColor="text2"/>
        </w:tblBorders>
        <w:tblLayout w:type="fixed"/>
        <w:tblCellMar>
          <w:left w:w="57" w:type="dxa"/>
          <w:right w:w="0" w:type="dxa"/>
        </w:tblCellMar>
        <w:tblLook w:val="0000" w:firstRow="0" w:lastRow="0" w:firstColumn="0" w:lastColumn="0" w:noHBand="0" w:noVBand="0"/>
      </w:tblPr>
      <w:tblGrid>
        <w:gridCol w:w="3887"/>
        <w:gridCol w:w="2492"/>
        <w:gridCol w:w="1276"/>
        <w:gridCol w:w="850"/>
      </w:tblGrid>
      <w:tr w:rsidR="007523B8" w:rsidRPr="009E06AA" w14:paraId="452FA1FA" w14:textId="77777777" w:rsidTr="0013524C">
        <w:trPr>
          <w:tblHeader/>
        </w:trPr>
        <w:tc>
          <w:tcPr>
            <w:tcW w:w="3887" w:type="dxa"/>
            <w:vMerge w:val="restart"/>
            <w:tcBorders>
              <w:bottom w:val="nil"/>
            </w:tcBorders>
            <w:shd w:val="clear" w:color="auto" w:fill="1B556B"/>
          </w:tcPr>
          <w:p w14:paraId="7E32EF12" w14:textId="77777777" w:rsidR="007523B8" w:rsidRPr="009E06AA" w:rsidRDefault="007523B8" w:rsidP="00B55F24">
            <w:pPr>
              <w:pStyle w:val="TableTextBold"/>
              <w:keepNext/>
              <w:spacing w:after="0"/>
              <w:rPr>
                <w:noProof w:val="0"/>
                <w:color w:val="FFFFFF" w:themeColor="background1"/>
              </w:rPr>
            </w:pPr>
          </w:p>
        </w:tc>
        <w:tc>
          <w:tcPr>
            <w:tcW w:w="4618" w:type="dxa"/>
            <w:gridSpan w:val="3"/>
            <w:tcBorders>
              <w:bottom w:val="nil"/>
            </w:tcBorders>
            <w:shd w:val="clear" w:color="auto" w:fill="1B556B"/>
          </w:tcPr>
          <w:p w14:paraId="030A8226" w14:textId="77777777" w:rsidR="007523B8" w:rsidRPr="009E06AA" w:rsidRDefault="007523B8" w:rsidP="0020073F">
            <w:pPr>
              <w:pStyle w:val="TableTextBold"/>
              <w:spacing w:after="0"/>
              <w:jc w:val="center"/>
              <w:rPr>
                <w:noProof w:val="0"/>
                <w:color w:val="FFFFFF" w:themeColor="background1"/>
              </w:rPr>
            </w:pPr>
            <w:r w:rsidRPr="009E06AA">
              <w:rPr>
                <w:noProof w:val="0"/>
                <w:color w:val="FFFFFF" w:themeColor="background1"/>
              </w:rPr>
              <w:t>kg CH</w:t>
            </w:r>
            <w:r w:rsidRPr="009E06AA">
              <w:rPr>
                <w:noProof w:val="0"/>
                <w:color w:val="FFFFFF" w:themeColor="background1"/>
                <w:vertAlign w:val="subscript"/>
              </w:rPr>
              <w:t>4</w:t>
            </w:r>
            <w:r w:rsidRPr="009E06AA">
              <w:rPr>
                <w:noProof w:val="0"/>
                <w:color w:val="FFFFFF" w:themeColor="background1"/>
              </w:rPr>
              <w:t>/head/year</w:t>
            </w:r>
          </w:p>
        </w:tc>
      </w:tr>
      <w:tr w:rsidR="007523B8" w:rsidRPr="009E06AA" w14:paraId="1140E18C" w14:textId="77777777" w:rsidTr="0013524C">
        <w:trPr>
          <w:tblHeader/>
        </w:trPr>
        <w:tc>
          <w:tcPr>
            <w:tcW w:w="3887" w:type="dxa"/>
            <w:vMerge/>
            <w:tcBorders>
              <w:top w:val="nil"/>
            </w:tcBorders>
            <w:shd w:val="clear" w:color="auto" w:fill="1B556B"/>
          </w:tcPr>
          <w:p w14:paraId="4F65DA2D" w14:textId="77777777" w:rsidR="007523B8" w:rsidRPr="009E06AA" w:rsidRDefault="007523B8" w:rsidP="00B55F24">
            <w:pPr>
              <w:pStyle w:val="TableTextBold"/>
              <w:keepNext/>
              <w:rPr>
                <w:noProof w:val="0"/>
                <w:color w:val="FFFFFF" w:themeColor="background1"/>
              </w:rPr>
            </w:pPr>
          </w:p>
        </w:tc>
        <w:tc>
          <w:tcPr>
            <w:tcW w:w="2492" w:type="dxa"/>
            <w:tcBorders>
              <w:top w:val="nil"/>
            </w:tcBorders>
            <w:shd w:val="clear" w:color="auto" w:fill="1B556B"/>
          </w:tcPr>
          <w:p w14:paraId="116FBF7A" w14:textId="77777777" w:rsidR="007523B8" w:rsidRPr="009E06AA" w:rsidRDefault="007523B8" w:rsidP="003A64A5">
            <w:pPr>
              <w:pStyle w:val="TableTextBold"/>
              <w:spacing w:before="0"/>
              <w:jc w:val="right"/>
              <w:rPr>
                <w:noProof w:val="0"/>
                <w:color w:val="FFFFFF" w:themeColor="background1"/>
              </w:rPr>
            </w:pPr>
            <w:r w:rsidRPr="009E06AA">
              <w:rPr>
                <w:noProof w:val="0"/>
                <w:color w:val="FFFFFF" w:themeColor="background1"/>
              </w:rPr>
              <w:t>Dairy cattle</w:t>
            </w:r>
          </w:p>
        </w:tc>
        <w:tc>
          <w:tcPr>
            <w:tcW w:w="1276" w:type="dxa"/>
            <w:tcBorders>
              <w:top w:val="nil"/>
            </w:tcBorders>
            <w:shd w:val="clear" w:color="auto" w:fill="1B556B"/>
          </w:tcPr>
          <w:p w14:paraId="0711579B" w14:textId="77777777" w:rsidR="007523B8" w:rsidRPr="009E06AA" w:rsidRDefault="007523B8" w:rsidP="003A64A5">
            <w:pPr>
              <w:pStyle w:val="TableTextBold"/>
              <w:spacing w:before="0"/>
              <w:jc w:val="right"/>
              <w:rPr>
                <w:noProof w:val="0"/>
                <w:color w:val="FFFFFF" w:themeColor="background1"/>
              </w:rPr>
            </w:pPr>
            <w:r w:rsidRPr="009E06AA">
              <w:rPr>
                <w:noProof w:val="0"/>
                <w:color w:val="FFFFFF" w:themeColor="background1"/>
              </w:rPr>
              <w:t>Non-dairy cattle</w:t>
            </w:r>
          </w:p>
        </w:tc>
        <w:tc>
          <w:tcPr>
            <w:tcW w:w="850" w:type="dxa"/>
            <w:tcBorders>
              <w:top w:val="nil"/>
            </w:tcBorders>
            <w:shd w:val="clear" w:color="auto" w:fill="1B556B"/>
          </w:tcPr>
          <w:p w14:paraId="3F5A9632" w14:textId="77777777" w:rsidR="007523B8" w:rsidRPr="009E06AA" w:rsidRDefault="007523B8" w:rsidP="003A64A5">
            <w:pPr>
              <w:pStyle w:val="TableTextBold"/>
              <w:spacing w:before="0"/>
              <w:jc w:val="right"/>
              <w:rPr>
                <w:noProof w:val="0"/>
                <w:color w:val="FFFFFF" w:themeColor="background1"/>
              </w:rPr>
            </w:pPr>
            <w:r w:rsidRPr="009E06AA">
              <w:rPr>
                <w:noProof w:val="0"/>
                <w:color w:val="FFFFFF" w:themeColor="background1"/>
              </w:rPr>
              <w:t>Sheep</w:t>
            </w:r>
          </w:p>
        </w:tc>
      </w:tr>
      <w:tr w:rsidR="007523B8" w:rsidRPr="009E06AA" w14:paraId="3874DBBC" w14:textId="77777777" w:rsidTr="0013524C">
        <w:tc>
          <w:tcPr>
            <w:tcW w:w="3887" w:type="dxa"/>
          </w:tcPr>
          <w:p w14:paraId="01196220" w14:textId="77777777" w:rsidR="007523B8" w:rsidRPr="009E06AA" w:rsidRDefault="007523B8" w:rsidP="0013524C">
            <w:pPr>
              <w:pStyle w:val="TableText"/>
              <w:keepNext/>
              <w:spacing w:before="50" w:after="50"/>
              <w:rPr>
                <w:rFonts w:cs="Calibri"/>
              </w:rPr>
            </w:pPr>
            <w:r w:rsidRPr="009E06AA">
              <w:rPr>
                <w:rFonts w:cs="Calibri"/>
              </w:rPr>
              <w:t>IPCC Tier 1 Oceania default value (average temperature 15°C (cattle)/developed temperate default value (sheep))</w:t>
            </w:r>
          </w:p>
        </w:tc>
        <w:tc>
          <w:tcPr>
            <w:tcW w:w="2492" w:type="dxa"/>
          </w:tcPr>
          <w:p w14:paraId="45D603D2" w14:textId="77777777" w:rsidR="007523B8" w:rsidRPr="009E06AA" w:rsidRDefault="007523B8" w:rsidP="0013524C">
            <w:pPr>
              <w:pStyle w:val="TableText"/>
              <w:spacing w:before="50" w:after="50"/>
              <w:jc w:val="right"/>
              <w:rPr>
                <w:rFonts w:cs="Calibri"/>
              </w:rPr>
            </w:pPr>
            <w:r w:rsidRPr="009E06AA">
              <w:rPr>
                <w:rFonts w:cs="Calibri"/>
              </w:rPr>
              <w:t>27.00</w:t>
            </w:r>
          </w:p>
        </w:tc>
        <w:tc>
          <w:tcPr>
            <w:tcW w:w="1276" w:type="dxa"/>
          </w:tcPr>
          <w:p w14:paraId="3E5D70D9" w14:textId="77777777" w:rsidR="007523B8" w:rsidRPr="009E06AA" w:rsidRDefault="007523B8" w:rsidP="0013524C">
            <w:pPr>
              <w:pStyle w:val="TableText"/>
              <w:spacing w:before="50" w:after="50"/>
              <w:jc w:val="right"/>
              <w:rPr>
                <w:rFonts w:cs="Calibri"/>
              </w:rPr>
            </w:pPr>
            <w:r w:rsidRPr="009E06AA">
              <w:rPr>
                <w:rFonts w:cs="Calibri"/>
              </w:rPr>
              <w:t>2.00</w:t>
            </w:r>
          </w:p>
        </w:tc>
        <w:tc>
          <w:tcPr>
            <w:tcW w:w="850" w:type="dxa"/>
          </w:tcPr>
          <w:p w14:paraId="21BF06CE" w14:textId="77777777" w:rsidR="007523B8" w:rsidRPr="009E06AA" w:rsidRDefault="007523B8" w:rsidP="0013524C">
            <w:pPr>
              <w:pStyle w:val="TableText"/>
              <w:spacing w:before="50" w:after="50"/>
              <w:jc w:val="right"/>
              <w:rPr>
                <w:rFonts w:cs="Calibri"/>
              </w:rPr>
            </w:pPr>
            <w:r w:rsidRPr="009E06AA">
              <w:rPr>
                <w:rFonts w:cs="Calibri"/>
              </w:rPr>
              <w:t>0.28</w:t>
            </w:r>
          </w:p>
        </w:tc>
      </w:tr>
      <w:tr w:rsidR="007523B8" w:rsidRPr="009E06AA" w14:paraId="5586D0B7" w14:textId="77777777" w:rsidTr="0013524C">
        <w:tc>
          <w:tcPr>
            <w:tcW w:w="3887" w:type="dxa"/>
            <w:shd w:val="clear" w:color="auto" w:fill="auto"/>
          </w:tcPr>
          <w:p w14:paraId="761E9F66" w14:textId="77777777" w:rsidR="007523B8" w:rsidRPr="009E06AA" w:rsidRDefault="007523B8" w:rsidP="0013524C">
            <w:pPr>
              <w:pStyle w:val="TableText"/>
              <w:keepNext/>
              <w:spacing w:before="50" w:after="50"/>
              <w:rPr>
                <w:rFonts w:cs="Calibri"/>
              </w:rPr>
            </w:pPr>
            <w:r w:rsidRPr="009E06AA">
              <w:rPr>
                <w:rFonts w:cs="Calibri"/>
              </w:rPr>
              <w:t>IPCC Tier 2 net energy-based value</w:t>
            </w:r>
          </w:p>
        </w:tc>
        <w:tc>
          <w:tcPr>
            <w:tcW w:w="2492" w:type="dxa"/>
            <w:shd w:val="clear" w:color="auto" w:fill="auto"/>
          </w:tcPr>
          <w:p w14:paraId="0FD5FFAC" w14:textId="77777777" w:rsidR="007523B8" w:rsidRPr="009E06AA" w:rsidRDefault="007523B8" w:rsidP="0013524C">
            <w:pPr>
              <w:pStyle w:val="TableText"/>
              <w:spacing w:before="50" w:after="50"/>
              <w:jc w:val="right"/>
              <w:rPr>
                <w:rFonts w:cs="Calibri"/>
              </w:rPr>
            </w:pPr>
            <w:r w:rsidRPr="009E06AA">
              <w:rPr>
                <w:rFonts w:cs="Calibri"/>
              </w:rPr>
              <w:t>5.97</w:t>
            </w:r>
          </w:p>
        </w:tc>
        <w:tc>
          <w:tcPr>
            <w:tcW w:w="1276" w:type="dxa"/>
            <w:shd w:val="clear" w:color="auto" w:fill="auto"/>
          </w:tcPr>
          <w:p w14:paraId="1FBE2774" w14:textId="77777777" w:rsidR="007523B8" w:rsidRPr="009E06AA" w:rsidRDefault="007523B8" w:rsidP="0013524C">
            <w:pPr>
              <w:pStyle w:val="TableText"/>
              <w:spacing w:before="50" w:after="50"/>
              <w:jc w:val="right"/>
              <w:rPr>
                <w:rFonts w:cs="Calibri"/>
              </w:rPr>
            </w:pPr>
            <w:r w:rsidRPr="009E06AA">
              <w:rPr>
                <w:rFonts w:cs="Calibri"/>
              </w:rPr>
              <w:t>0.82</w:t>
            </w:r>
          </w:p>
        </w:tc>
        <w:tc>
          <w:tcPr>
            <w:tcW w:w="850" w:type="dxa"/>
            <w:shd w:val="clear" w:color="auto" w:fill="auto"/>
          </w:tcPr>
          <w:p w14:paraId="5CFC48EF" w14:textId="77777777" w:rsidR="007523B8" w:rsidRPr="009E06AA" w:rsidRDefault="007523B8" w:rsidP="0013524C">
            <w:pPr>
              <w:pStyle w:val="TableText"/>
              <w:spacing w:before="50" w:after="50"/>
              <w:jc w:val="right"/>
              <w:rPr>
                <w:rFonts w:cs="Calibri"/>
              </w:rPr>
            </w:pPr>
            <w:r w:rsidRPr="009E06AA">
              <w:rPr>
                <w:rFonts w:cs="Calibri"/>
              </w:rPr>
              <w:t>0.18</w:t>
            </w:r>
          </w:p>
        </w:tc>
      </w:tr>
      <w:tr w:rsidR="007523B8" w:rsidRPr="009E06AA" w14:paraId="7B5E36D4" w14:textId="77777777" w:rsidTr="0013524C">
        <w:tc>
          <w:tcPr>
            <w:tcW w:w="3887" w:type="dxa"/>
          </w:tcPr>
          <w:p w14:paraId="3001D8CB" w14:textId="77777777" w:rsidR="007523B8" w:rsidRPr="009E06AA" w:rsidRDefault="007523B8" w:rsidP="0013524C">
            <w:pPr>
              <w:pStyle w:val="TableText"/>
              <w:spacing w:before="50" w:after="50"/>
              <w:rPr>
                <w:rFonts w:cs="Calibri"/>
                <w:szCs w:val="16"/>
              </w:rPr>
            </w:pPr>
            <w:r w:rsidRPr="009E06AA">
              <w:rPr>
                <w:rFonts w:cs="Calibri"/>
                <w:szCs w:val="16"/>
              </w:rPr>
              <w:t>Australian-specific IEF 2021 value</w:t>
            </w:r>
            <w:r w:rsidRPr="009E06AA">
              <w:rPr>
                <w:rStyle w:val="FootnoteReference"/>
                <w:rFonts w:cs="Calibri"/>
                <w:sz w:val="16"/>
                <w:szCs w:val="16"/>
              </w:rPr>
              <w:footnoteReference w:id="47"/>
            </w:r>
          </w:p>
        </w:tc>
        <w:tc>
          <w:tcPr>
            <w:tcW w:w="2492" w:type="dxa"/>
          </w:tcPr>
          <w:p w14:paraId="51E6B531" w14:textId="77777777" w:rsidR="007523B8" w:rsidRPr="009E06AA" w:rsidRDefault="007523B8" w:rsidP="0013524C">
            <w:pPr>
              <w:pStyle w:val="TableText"/>
              <w:spacing w:before="50" w:after="50"/>
              <w:jc w:val="right"/>
              <w:rPr>
                <w:rFonts w:cs="Calibri"/>
                <w:szCs w:val="16"/>
              </w:rPr>
            </w:pPr>
            <w:r w:rsidRPr="009E06AA">
              <w:rPr>
                <w:rFonts w:cs="Calibri"/>
                <w:szCs w:val="16"/>
              </w:rPr>
              <w:t>15.32</w:t>
            </w:r>
          </w:p>
        </w:tc>
        <w:tc>
          <w:tcPr>
            <w:tcW w:w="1276" w:type="dxa"/>
          </w:tcPr>
          <w:p w14:paraId="1AC203A7" w14:textId="77777777" w:rsidR="007523B8" w:rsidRPr="009E06AA" w:rsidRDefault="007523B8" w:rsidP="0013524C">
            <w:pPr>
              <w:pStyle w:val="TableText"/>
              <w:spacing w:before="50" w:after="0"/>
              <w:jc w:val="right"/>
              <w:rPr>
                <w:rFonts w:cs="Calibri"/>
                <w:color w:val="000000"/>
                <w:szCs w:val="16"/>
              </w:rPr>
            </w:pPr>
            <w:r w:rsidRPr="009E06AA">
              <w:rPr>
                <w:rFonts w:cs="Calibri"/>
                <w:color w:val="000000"/>
                <w:szCs w:val="16"/>
              </w:rPr>
              <w:t>4.77 (pasture)</w:t>
            </w:r>
          </w:p>
          <w:p w14:paraId="2012D1E5" w14:textId="77777777" w:rsidR="007523B8" w:rsidRPr="009E06AA" w:rsidRDefault="007523B8" w:rsidP="0013524C">
            <w:pPr>
              <w:pStyle w:val="TableText"/>
              <w:spacing w:before="50" w:after="50"/>
              <w:jc w:val="right"/>
              <w:rPr>
                <w:rFonts w:cs="Calibri"/>
                <w:color w:val="000000"/>
                <w:szCs w:val="16"/>
              </w:rPr>
            </w:pPr>
            <w:r w:rsidRPr="009E06AA">
              <w:rPr>
                <w:rFonts w:cs="Calibri"/>
                <w:szCs w:val="16"/>
              </w:rPr>
              <w:t>3.54 (feedlot)</w:t>
            </w:r>
          </w:p>
        </w:tc>
        <w:tc>
          <w:tcPr>
            <w:tcW w:w="850" w:type="dxa"/>
          </w:tcPr>
          <w:p w14:paraId="0D0B08D3" w14:textId="77777777" w:rsidR="007523B8" w:rsidRPr="009E06AA" w:rsidRDefault="007523B8" w:rsidP="0013524C">
            <w:pPr>
              <w:pStyle w:val="TableText"/>
              <w:spacing w:before="50" w:after="50"/>
              <w:jc w:val="right"/>
              <w:rPr>
                <w:rFonts w:cs="Calibri"/>
                <w:szCs w:val="16"/>
              </w:rPr>
            </w:pPr>
            <w:r w:rsidRPr="009E06AA">
              <w:rPr>
                <w:rFonts w:cs="Calibri"/>
                <w:color w:val="000000"/>
                <w:szCs w:val="16"/>
              </w:rPr>
              <w:t>0.34</w:t>
            </w:r>
          </w:p>
        </w:tc>
      </w:tr>
      <w:tr w:rsidR="007523B8" w:rsidRPr="009E06AA" w14:paraId="2C172D69" w14:textId="77777777" w:rsidTr="0013524C">
        <w:tc>
          <w:tcPr>
            <w:tcW w:w="3887" w:type="dxa"/>
          </w:tcPr>
          <w:p w14:paraId="686A5B59" w14:textId="77777777" w:rsidR="007523B8" w:rsidRPr="009E06AA" w:rsidRDefault="007523B8" w:rsidP="0013524C">
            <w:pPr>
              <w:pStyle w:val="TableText"/>
              <w:spacing w:before="50" w:after="50"/>
              <w:rPr>
                <w:rFonts w:cs="Calibri"/>
              </w:rPr>
            </w:pPr>
            <w:r w:rsidRPr="009E06AA">
              <w:rPr>
                <w:rFonts w:cs="Calibri"/>
              </w:rPr>
              <w:t>New Zealand-specific IEF 2022 value</w:t>
            </w:r>
          </w:p>
        </w:tc>
        <w:tc>
          <w:tcPr>
            <w:tcW w:w="2492" w:type="dxa"/>
          </w:tcPr>
          <w:p w14:paraId="533F5ABE" w14:textId="77777777" w:rsidR="007523B8" w:rsidRPr="009E06AA" w:rsidRDefault="007523B8" w:rsidP="0013524C">
            <w:pPr>
              <w:pStyle w:val="TableText"/>
              <w:spacing w:before="50" w:after="0"/>
              <w:jc w:val="right"/>
              <w:rPr>
                <w:rFonts w:cs="Calibri"/>
              </w:rPr>
            </w:pPr>
            <w:r w:rsidRPr="009E06AA">
              <w:rPr>
                <w:rFonts w:cs="Calibri"/>
              </w:rPr>
              <w:t>9.04 (all dairy cattle, including calves)</w:t>
            </w:r>
          </w:p>
          <w:p w14:paraId="40891D11" w14:textId="77777777" w:rsidR="007523B8" w:rsidRPr="009E06AA" w:rsidRDefault="007523B8" w:rsidP="0013524C">
            <w:pPr>
              <w:pStyle w:val="TableText"/>
              <w:spacing w:before="50" w:after="50"/>
              <w:jc w:val="right"/>
              <w:rPr>
                <w:rFonts w:cs="Calibri"/>
              </w:rPr>
            </w:pPr>
            <w:r w:rsidRPr="009E06AA">
              <w:rPr>
                <w:rFonts w:cs="Calibri"/>
              </w:rPr>
              <w:t>11.26 (mature milking cows only)</w:t>
            </w:r>
          </w:p>
        </w:tc>
        <w:tc>
          <w:tcPr>
            <w:tcW w:w="1276" w:type="dxa"/>
          </w:tcPr>
          <w:p w14:paraId="672CDA2F" w14:textId="77777777" w:rsidR="007523B8" w:rsidRPr="009E06AA" w:rsidRDefault="007523B8" w:rsidP="0013524C">
            <w:pPr>
              <w:pStyle w:val="TableText"/>
              <w:spacing w:before="50" w:after="50"/>
              <w:jc w:val="right"/>
              <w:rPr>
                <w:rFonts w:cs="Calibri"/>
                <w:color w:val="000000"/>
                <w:szCs w:val="16"/>
              </w:rPr>
            </w:pPr>
            <w:r w:rsidRPr="009E06AA">
              <w:t>0.91</w:t>
            </w:r>
          </w:p>
        </w:tc>
        <w:tc>
          <w:tcPr>
            <w:tcW w:w="850" w:type="dxa"/>
          </w:tcPr>
          <w:p w14:paraId="3EBB2214" w14:textId="77777777" w:rsidR="007523B8" w:rsidRPr="009E06AA" w:rsidRDefault="007523B8" w:rsidP="0013524C">
            <w:pPr>
              <w:pStyle w:val="TableText"/>
              <w:spacing w:before="50" w:after="50"/>
              <w:jc w:val="right"/>
              <w:rPr>
                <w:rFonts w:cs="Calibri"/>
                <w:color w:val="000000"/>
                <w:szCs w:val="16"/>
              </w:rPr>
            </w:pPr>
            <w:r w:rsidRPr="009E06AA">
              <w:t>0.14</w:t>
            </w:r>
          </w:p>
        </w:tc>
      </w:tr>
    </w:tbl>
    <w:p w14:paraId="1035EE50" w14:textId="77777777" w:rsidR="007523B8" w:rsidRPr="009E06AA" w:rsidRDefault="007523B8" w:rsidP="007523B8">
      <w:pPr>
        <w:pStyle w:val="Heading3"/>
      </w:pPr>
      <w:bookmarkStart w:id="1117" w:name="_Toc139253928"/>
      <w:bookmarkStart w:id="1118" w:name="_Toc32570662"/>
      <w:r w:rsidRPr="009E06AA">
        <w:t>5.3.5</w:t>
      </w:r>
      <w:r w:rsidRPr="009E06AA">
        <w:tab/>
        <w:t>Category-specific recalculations</w:t>
      </w:r>
      <w:bookmarkEnd w:id="1117"/>
      <w:bookmarkEnd w:id="1118"/>
    </w:p>
    <w:p w14:paraId="00042C63" w14:textId="77777777" w:rsidR="007523B8" w:rsidRPr="009E06AA" w:rsidRDefault="007523B8" w:rsidP="0048270A">
      <w:pPr>
        <w:pStyle w:val="BodyText"/>
        <w:spacing w:before="100" w:after="100"/>
        <w:rPr>
          <w:color w:val="000000"/>
          <w:shd w:val="clear" w:color="auto" w:fill="FFFFFF"/>
        </w:rPr>
      </w:pPr>
      <w:r w:rsidRPr="009E06AA">
        <w:t xml:space="preserve">Emissions estimates in the </w:t>
      </w:r>
      <w:r w:rsidRPr="009E06AA">
        <w:rPr>
          <w:i/>
        </w:rPr>
        <w:t>Manure management</w:t>
      </w:r>
      <w:r w:rsidRPr="009E06AA">
        <w:t xml:space="preserve"> category reported in the 2024 submission have been affected by</w:t>
      </w:r>
      <w:r w:rsidRPr="009E06AA">
        <w:rPr>
          <w:rFonts w:cs="Calibri"/>
          <w:color w:val="000000"/>
          <w:shd w:val="clear" w:color="auto" w:fill="FFFFFF"/>
        </w:rPr>
        <w:t xml:space="preserve"> </w:t>
      </w:r>
      <w:r w:rsidRPr="009E06AA">
        <w:rPr>
          <w:color w:val="000000"/>
          <w:shd w:val="clear" w:color="auto" w:fill="FFFFFF"/>
        </w:rPr>
        <w:t xml:space="preserve">methodological </w:t>
      </w:r>
      <w:r w:rsidRPr="009E06AA">
        <w:rPr>
          <w:rFonts w:cs="Calibri"/>
          <w:color w:val="000000"/>
          <w:shd w:val="clear" w:color="auto" w:fill="FFFFFF"/>
        </w:rPr>
        <w:t>improvements</w:t>
      </w:r>
      <w:r w:rsidRPr="009E06AA">
        <w:rPr>
          <w:color w:val="000000"/>
          <w:shd w:val="clear" w:color="auto" w:fill="FFFFFF"/>
        </w:rPr>
        <w:t xml:space="preserve"> to:</w:t>
      </w:r>
      <w:r w:rsidRPr="009E06AA">
        <w:rPr>
          <w:rFonts w:cs="Calibri"/>
          <w:color w:val="000000"/>
          <w:shd w:val="clear" w:color="auto" w:fill="FFFFFF"/>
        </w:rPr>
        <w:t xml:space="preserve"> (i) </w:t>
      </w:r>
      <w:r w:rsidRPr="009E06AA">
        <w:t xml:space="preserve">estimates of within-year </w:t>
      </w:r>
      <w:r w:rsidRPr="009E06AA">
        <w:rPr>
          <w:rFonts w:cs="Arial"/>
        </w:rPr>
        <w:t>non-dairy</w:t>
      </w:r>
      <w:r w:rsidRPr="009E06AA">
        <w:t xml:space="preserve"> cattle population </w:t>
      </w:r>
      <w:r w:rsidRPr="009E06AA">
        <w:rPr>
          <w:rFonts w:cs="Arial"/>
        </w:rPr>
        <w:t xml:space="preserve">and liveweight </w:t>
      </w:r>
      <w:r w:rsidRPr="009E06AA">
        <w:t>change</w:t>
      </w:r>
      <w:r w:rsidRPr="009E06AA">
        <w:rPr>
          <w:rFonts w:cs="Calibri"/>
          <w:color w:val="000000"/>
          <w:shd w:val="clear" w:color="auto" w:fill="FFFFFF"/>
        </w:rPr>
        <w:t xml:space="preserve">, (ii) the proportion of lambs held over to a second slaughter date, (iii) migration of the model implementation from Excel to R, and (iv) error corrections. </w:t>
      </w:r>
      <w:r w:rsidRPr="009E06AA">
        <w:rPr>
          <w:color w:val="000000"/>
          <w:shd w:val="clear" w:color="auto" w:fill="FFFFFF"/>
        </w:rPr>
        <w:t xml:space="preserve">For more </w:t>
      </w:r>
      <w:r w:rsidRPr="009E06AA">
        <w:rPr>
          <w:rFonts w:cs="Calibri"/>
          <w:color w:val="000000"/>
          <w:shd w:val="clear" w:color="auto" w:fill="FFFFFF"/>
        </w:rPr>
        <w:t>detail on these changes,</w:t>
      </w:r>
      <w:r w:rsidRPr="009E06AA">
        <w:rPr>
          <w:color w:val="000000"/>
          <w:shd w:val="clear" w:color="auto" w:fill="FFFFFF"/>
        </w:rPr>
        <w:t xml:space="preserve"> see section </w:t>
      </w:r>
      <w:r w:rsidRPr="009E06AA">
        <w:rPr>
          <w:rFonts w:cs="Calibri"/>
          <w:color w:val="000000"/>
          <w:shd w:val="clear" w:color="auto" w:fill="FFFFFF"/>
        </w:rPr>
        <w:t xml:space="preserve">5.2.5. </w:t>
      </w:r>
    </w:p>
    <w:p w14:paraId="3B2783B8" w14:textId="77777777" w:rsidR="007523B8" w:rsidRPr="009E06AA" w:rsidRDefault="007523B8" w:rsidP="0048270A">
      <w:pPr>
        <w:pStyle w:val="BodyText"/>
        <w:spacing w:before="100" w:after="100"/>
      </w:pPr>
      <w:r w:rsidRPr="009E06AA">
        <w:t xml:space="preserve">The implementation of the 2024 </w:t>
      </w:r>
      <w:r w:rsidRPr="009E06AA">
        <w:rPr>
          <w:rFonts w:cs="Calibri"/>
          <w:color w:val="000000"/>
          <w:shd w:val="clear" w:color="auto" w:fill="FFFFFF"/>
        </w:rPr>
        <w:t>methodological improvements</w:t>
      </w:r>
      <w:r w:rsidRPr="009E06AA">
        <w:rPr>
          <w:color w:val="000000"/>
          <w:shd w:val="clear" w:color="auto" w:fill="FFFFFF"/>
        </w:rPr>
        <w:t xml:space="preserve"> to </w:t>
      </w:r>
      <w:r w:rsidRPr="009E06AA">
        <w:t xml:space="preserve">estimates of within-year </w:t>
      </w:r>
      <w:r w:rsidRPr="009E06AA">
        <w:rPr>
          <w:rFonts w:cs="Arial"/>
        </w:rPr>
        <w:t>non-dairy</w:t>
      </w:r>
      <w:r w:rsidRPr="009E06AA">
        <w:t xml:space="preserve"> cattle population </w:t>
      </w:r>
      <w:r w:rsidRPr="009E06AA">
        <w:rPr>
          <w:rFonts w:cs="Arial"/>
        </w:rPr>
        <w:t xml:space="preserve">and liveweight </w:t>
      </w:r>
      <w:r w:rsidRPr="009E06AA">
        <w:t xml:space="preserve">change caused estimated emissions from the </w:t>
      </w:r>
      <w:r w:rsidRPr="009E06AA">
        <w:rPr>
          <w:i/>
          <w:iCs/>
        </w:rPr>
        <w:t>Manure management</w:t>
      </w:r>
      <w:r w:rsidRPr="009E06AA">
        <w:t xml:space="preserve"> category to increase by 1.3 per cent (10.8 kt CO</w:t>
      </w:r>
      <w:r w:rsidRPr="009E06AA">
        <w:rPr>
          <w:vertAlign w:val="subscript"/>
        </w:rPr>
        <w:t>2</w:t>
      </w:r>
      <w:r w:rsidRPr="009E06AA">
        <w:t>-e) in 1990 and 0.7 per cent (12.8 kt CO</w:t>
      </w:r>
      <w:r w:rsidRPr="009E06AA">
        <w:rPr>
          <w:vertAlign w:val="subscript"/>
        </w:rPr>
        <w:t>2</w:t>
      </w:r>
      <w:r w:rsidRPr="009E06AA">
        <w:t>-e) in 2021 (see table 5.3.7).</w:t>
      </w:r>
    </w:p>
    <w:p w14:paraId="75F4F4B2" w14:textId="77777777" w:rsidR="007523B8" w:rsidRPr="009E06AA" w:rsidRDefault="007523B8" w:rsidP="0048270A">
      <w:pPr>
        <w:pStyle w:val="BodyText"/>
        <w:spacing w:before="100" w:after="100"/>
      </w:pPr>
      <w:r w:rsidRPr="009E06AA">
        <w:t xml:space="preserve">Changing the proportion of lambs held over to second slaughter in the 2024 submission caused no change to estimated emissions from the </w:t>
      </w:r>
      <w:r w:rsidRPr="009E06AA">
        <w:rPr>
          <w:i/>
          <w:iCs/>
        </w:rPr>
        <w:t xml:space="preserve">Manure management </w:t>
      </w:r>
      <w:r w:rsidRPr="009E06AA">
        <w:t>category in 1990 and caused a minor increase of 0.4 kt CO</w:t>
      </w:r>
      <w:r w:rsidRPr="009E06AA">
        <w:rPr>
          <w:vertAlign w:val="subscript"/>
        </w:rPr>
        <w:t>2</w:t>
      </w:r>
      <w:r w:rsidRPr="009E06AA">
        <w:t>-e in 2021 (see table 5.3.8).</w:t>
      </w:r>
    </w:p>
    <w:p w14:paraId="515C49F9" w14:textId="77777777" w:rsidR="007523B8" w:rsidRPr="009E06AA" w:rsidRDefault="007523B8" w:rsidP="0048270A">
      <w:pPr>
        <w:pStyle w:val="BodyText"/>
        <w:spacing w:before="100" w:after="100"/>
      </w:pPr>
      <w:r w:rsidRPr="009E06AA">
        <w:t xml:space="preserve">Migration from the Excel-based system to the R-based system in the 2024 submission caused estimated emissions from the </w:t>
      </w:r>
      <w:r w:rsidRPr="009E06AA">
        <w:rPr>
          <w:i/>
          <w:iCs/>
        </w:rPr>
        <w:t>Manure management</w:t>
      </w:r>
      <w:r w:rsidRPr="009E06AA">
        <w:t xml:space="preserve"> category to decrease by 0.01 per cent (</w:t>
      </w:r>
      <w:r w:rsidRPr="009E06AA">
        <w:noBreakHyphen/>
        <w:t>0.1 kt CO</w:t>
      </w:r>
      <w:r w:rsidRPr="009E06AA">
        <w:rPr>
          <w:vertAlign w:val="subscript"/>
        </w:rPr>
        <w:t>2</w:t>
      </w:r>
      <w:r w:rsidRPr="009E06AA">
        <w:t>-e) in 1990 and increase by 0.07 per cent (1.2 kt CO</w:t>
      </w:r>
      <w:r w:rsidRPr="009E06AA">
        <w:rPr>
          <w:vertAlign w:val="subscript"/>
        </w:rPr>
        <w:t>2</w:t>
      </w:r>
      <w:r w:rsidRPr="009E06AA">
        <w:t>-e) in 2021 (see table 5.3.9).</w:t>
      </w:r>
    </w:p>
    <w:p w14:paraId="5C8EB24B" w14:textId="77777777" w:rsidR="007523B8" w:rsidRPr="009E06AA" w:rsidRDefault="007523B8" w:rsidP="0048270A">
      <w:pPr>
        <w:pStyle w:val="BodyText"/>
        <w:spacing w:before="100" w:after="100"/>
      </w:pPr>
      <w:r w:rsidRPr="009E06AA">
        <w:t xml:space="preserve">The implementation of the 2024 </w:t>
      </w:r>
      <w:r w:rsidRPr="009E06AA">
        <w:rPr>
          <w:rFonts w:cs="Calibri"/>
          <w:color w:val="000000"/>
          <w:shd w:val="clear" w:color="auto" w:fill="FFFFFF"/>
        </w:rPr>
        <w:t>corrections</w:t>
      </w:r>
      <w:r w:rsidRPr="009E06AA">
        <w:t xml:space="preserve"> caused estimated emissions from the </w:t>
      </w:r>
      <w:r w:rsidRPr="009E06AA">
        <w:rPr>
          <w:i/>
          <w:iCs/>
        </w:rPr>
        <w:t>Manure management</w:t>
      </w:r>
      <w:r w:rsidRPr="009E06AA">
        <w:t xml:space="preserve"> category to increase by 1.2 per cent (10.6 kt CO</w:t>
      </w:r>
      <w:r w:rsidRPr="009E06AA">
        <w:rPr>
          <w:vertAlign w:val="subscript"/>
        </w:rPr>
        <w:t>2</w:t>
      </w:r>
      <w:r w:rsidRPr="009E06AA">
        <w:t>-e) in 1990 and 1.9 per cent (34.8 kt CO</w:t>
      </w:r>
      <w:r w:rsidRPr="009E06AA">
        <w:rPr>
          <w:vertAlign w:val="subscript"/>
        </w:rPr>
        <w:t>2</w:t>
      </w:r>
      <w:r w:rsidRPr="009E06AA">
        <w:t>-e) in 2021 (see table 5.3.10).</w:t>
      </w:r>
    </w:p>
    <w:p w14:paraId="695AC31B" w14:textId="77777777" w:rsidR="007523B8" w:rsidRPr="009E06AA" w:rsidRDefault="007523B8" w:rsidP="007523B8">
      <w:pPr>
        <w:pStyle w:val="Table"/>
        <w:rPr>
          <w:rFonts w:cs="Calibri"/>
        </w:rPr>
      </w:pPr>
      <w:bookmarkStart w:id="1119" w:name="_Toc127458265"/>
      <w:bookmarkStart w:id="1120" w:name="_Toc131591361"/>
      <w:bookmarkStart w:id="1121" w:name="_Toc160114453"/>
      <w:bookmarkStart w:id="1122" w:name="_Toc164153849"/>
      <w:r w:rsidRPr="009E06AA">
        <w:rPr>
          <w:rFonts w:cs="Calibri"/>
        </w:rPr>
        <w:t>Table 5.3.7</w:t>
      </w:r>
      <w:r w:rsidRPr="009E06AA">
        <w:rPr>
          <w:rFonts w:cs="Calibri"/>
        </w:rPr>
        <w:tab/>
        <w:t xml:space="preserve">Comparison of the previous non-dairy population model and the improved dairy population model for emissions from </w:t>
      </w:r>
      <w:r w:rsidRPr="009E06AA">
        <w:rPr>
          <w:rFonts w:cs="Calibri"/>
          <w:i/>
        </w:rPr>
        <w:t>Manure management</w:t>
      </w:r>
      <w:bookmarkEnd w:id="1119"/>
      <w:bookmarkEnd w:id="1120"/>
      <w:bookmarkEnd w:id="1121"/>
      <w:bookmarkEnd w:id="1122"/>
      <w:r w:rsidRPr="009E06AA">
        <w:rPr>
          <w:rFonts w:cs="Calibri"/>
          <w:i/>
          <w:iCs/>
        </w:rPr>
        <w:t xml:space="preserve"> </w:t>
      </w:r>
    </w:p>
    <w:tbl>
      <w:tblPr>
        <w:tblW w:w="8505" w:type="dxa"/>
        <w:tblBorders>
          <w:top w:val="single" w:sz="4" w:space="0" w:color="1B556B" w:themeColor="text2"/>
          <w:bottom w:val="single" w:sz="4" w:space="0" w:color="1B556B" w:themeColor="text2"/>
          <w:insideH w:val="single" w:sz="4" w:space="0" w:color="1B556B" w:themeColor="text2"/>
        </w:tblBorders>
        <w:tblCellMar>
          <w:right w:w="85" w:type="dxa"/>
        </w:tblCellMar>
        <w:tblLook w:val="04A0" w:firstRow="1" w:lastRow="0" w:firstColumn="1" w:lastColumn="0" w:noHBand="0" w:noVBand="1"/>
      </w:tblPr>
      <w:tblGrid>
        <w:gridCol w:w="1759"/>
        <w:gridCol w:w="2346"/>
        <w:gridCol w:w="586"/>
        <w:gridCol w:w="707"/>
        <w:gridCol w:w="1524"/>
        <w:gridCol w:w="1583"/>
      </w:tblGrid>
      <w:tr w:rsidR="007523B8" w:rsidRPr="009E06AA" w14:paraId="7B9F0B22" w14:textId="77777777" w:rsidTr="00B55F24">
        <w:trPr>
          <w:tblHeader/>
        </w:trPr>
        <w:tc>
          <w:tcPr>
            <w:tcW w:w="1759" w:type="dxa"/>
            <w:shd w:val="clear" w:color="000000" w:fill="1B556B"/>
            <w:vAlign w:val="bottom"/>
            <w:hideMark/>
          </w:tcPr>
          <w:p w14:paraId="59FBD72C" w14:textId="77777777" w:rsidR="007523B8" w:rsidRPr="009E06AA" w:rsidRDefault="007523B8" w:rsidP="00DB6582">
            <w:pPr>
              <w:pStyle w:val="TableText"/>
              <w:keepNext/>
              <w:spacing w:before="40" w:after="40"/>
              <w:rPr>
                <w:b/>
                <w:bCs/>
                <w:color w:val="FFFFFF" w:themeColor="background1"/>
              </w:rPr>
            </w:pPr>
            <w:r w:rsidRPr="009E06AA">
              <w:rPr>
                <w:b/>
                <w:bCs/>
                <w:color w:val="FFFFFF" w:themeColor="background1"/>
              </w:rPr>
              <w:t>Emissions (kt CO</w:t>
            </w:r>
            <w:r w:rsidRPr="009E06AA">
              <w:rPr>
                <w:b/>
                <w:bCs/>
                <w:color w:val="FFFFFF" w:themeColor="background1"/>
                <w:vertAlign w:val="subscript"/>
              </w:rPr>
              <w:t>2</w:t>
            </w:r>
            <w:r w:rsidRPr="009E06AA">
              <w:rPr>
                <w:b/>
                <w:bCs/>
                <w:color w:val="FFFFFF" w:themeColor="background1"/>
              </w:rPr>
              <w:t>-e)</w:t>
            </w:r>
          </w:p>
        </w:tc>
        <w:tc>
          <w:tcPr>
            <w:tcW w:w="2346" w:type="dxa"/>
            <w:shd w:val="clear" w:color="000000" w:fill="1B556B"/>
            <w:vAlign w:val="bottom"/>
            <w:hideMark/>
          </w:tcPr>
          <w:p w14:paraId="2D7A9032" w14:textId="77777777" w:rsidR="007523B8" w:rsidRPr="009E06AA" w:rsidRDefault="007523B8" w:rsidP="00DB6582">
            <w:pPr>
              <w:pStyle w:val="TableText"/>
              <w:keepNext/>
              <w:spacing w:before="40" w:after="40"/>
              <w:rPr>
                <w:b/>
                <w:bCs/>
                <w:color w:val="FFFFFF" w:themeColor="background1"/>
              </w:rPr>
            </w:pPr>
            <w:r w:rsidRPr="009E06AA">
              <w:rPr>
                <w:b/>
                <w:bCs/>
                <w:color w:val="FFFFFF" w:themeColor="background1"/>
              </w:rPr>
              <w:t> </w:t>
            </w:r>
          </w:p>
        </w:tc>
        <w:tc>
          <w:tcPr>
            <w:tcW w:w="586" w:type="dxa"/>
            <w:shd w:val="clear" w:color="000000" w:fill="1B556B"/>
            <w:vAlign w:val="bottom"/>
            <w:hideMark/>
          </w:tcPr>
          <w:p w14:paraId="51FAA681" w14:textId="77777777" w:rsidR="007523B8" w:rsidRPr="009E06AA" w:rsidRDefault="007523B8" w:rsidP="003A64A5">
            <w:pPr>
              <w:pStyle w:val="TableText"/>
              <w:keepNext/>
              <w:spacing w:before="40" w:after="40"/>
              <w:jc w:val="right"/>
              <w:rPr>
                <w:b/>
                <w:bCs/>
                <w:color w:val="FFFFFF" w:themeColor="background1"/>
              </w:rPr>
            </w:pPr>
            <w:r w:rsidRPr="009E06AA">
              <w:rPr>
                <w:rFonts w:cs="Calibri"/>
                <w:b/>
                <w:color w:val="FFFFFF" w:themeColor="background1"/>
                <w:szCs w:val="16"/>
              </w:rPr>
              <w:t>1990</w:t>
            </w:r>
          </w:p>
        </w:tc>
        <w:tc>
          <w:tcPr>
            <w:tcW w:w="707" w:type="dxa"/>
            <w:shd w:val="clear" w:color="000000" w:fill="1B556B"/>
            <w:vAlign w:val="bottom"/>
            <w:hideMark/>
          </w:tcPr>
          <w:p w14:paraId="17D282A0" w14:textId="77777777" w:rsidR="007523B8" w:rsidRPr="009E06AA" w:rsidRDefault="007523B8" w:rsidP="003A64A5">
            <w:pPr>
              <w:pStyle w:val="TableText"/>
              <w:keepNext/>
              <w:spacing w:before="40" w:after="40"/>
              <w:jc w:val="right"/>
              <w:rPr>
                <w:b/>
                <w:bCs/>
                <w:color w:val="FFFFFF" w:themeColor="background1"/>
              </w:rPr>
            </w:pPr>
            <w:r w:rsidRPr="009E06AA">
              <w:rPr>
                <w:b/>
                <w:color w:val="FFFFFF" w:themeColor="background1"/>
              </w:rPr>
              <w:t>2021</w:t>
            </w:r>
          </w:p>
        </w:tc>
        <w:tc>
          <w:tcPr>
            <w:tcW w:w="1524" w:type="dxa"/>
            <w:shd w:val="clear" w:color="000000" w:fill="1B556B"/>
            <w:vAlign w:val="bottom"/>
            <w:hideMark/>
          </w:tcPr>
          <w:p w14:paraId="01E9ECDA" w14:textId="77777777" w:rsidR="007523B8" w:rsidRPr="009E06AA" w:rsidRDefault="007523B8" w:rsidP="003A64A5">
            <w:pPr>
              <w:pStyle w:val="TableText"/>
              <w:keepNext/>
              <w:spacing w:before="40" w:after="40"/>
              <w:jc w:val="right"/>
              <w:rPr>
                <w:b/>
                <w:bCs/>
                <w:color w:val="FFFFFF" w:themeColor="background1"/>
              </w:rPr>
            </w:pPr>
            <w:r w:rsidRPr="009E06AA">
              <w:rPr>
                <w:rFonts w:cs="Calibri"/>
                <w:b/>
                <w:color w:val="FFFFFF" w:themeColor="background1"/>
                <w:szCs w:val="16"/>
              </w:rPr>
              <w:t xml:space="preserve">Change in emission outputs between 1990 and </w:t>
            </w:r>
            <w:r w:rsidRPr="009E06AA">
              <w:rPr>
                <w:rFonts w:cs="Calibri"/>
                <w:b/>
                <w:bCs/>
                <w:color w:val="FFFFFF" w:themeColor="background1"/>
                <w:szCs w:val="16"/>
              </w:rPr>
              <w:t>2021</w:t>
            </w:r>
            <w:r w:rsidRPr="009E06AA">
              <w:rPr>
                <w:rFonts w:cs="Calibri"/>
                <w:b/>
                <w:color w:val="FFFFFF" w:themeColor="background1"/>
                <w:szCs w:val="16"/>
              </w:rPr>
              <w:t xml:space="preserve"> (kt CO</w:t>
            </w:r>
            <w:r w:rsidRPr="009E06AA">
              <w:rPr>
                <w:b/>
                <w:color w:val="FFFFFF"/>
                <w:vertAlign w:val="subscript"/>
              </w:rPr>
              <w:t>2</w:t>
            </w:r>
            <w:r w:rsidRPr="009E06AA">
              <w:rPr>
                <w:b/>
                <w:color w:val="FFFFFF"/>
              </w:rPr>
              <w:t>-e)</w:t>
            </w:r>
          </w:p>
        </w:tc>
        <w:tc>
          <w:tcPr>
            <w:tcW w:w="1583" w:type="dxa"/>
            <w:shd w:val="clear" w:color="000000" w:fill="1B556B"/>
            <w:vAlign w:val="bottom"/>
            <w:hideMark/>
          </w:tcPr>
          <w:p w14:paraId="06300791" w14:textId="77777777" w:rsidR="007523B8" w:rsidRPr="009E06AA" w:rsidRDefault="007523B8" w:rsidP="003A64A5">
            <w:pPr>
              <w:pStyle w:val="TableText"/>
              <w:keepNext/>
              <w:spacing w:before="40" w:after="40"/>
              <w:jc w:val="right"/>
              <w:rPr>
                <w:b/>
                <w:bCs/>
                <w:color w:val="FFFFFF" w:themeColor="background1"/>
              </w:rPr>
            </w:pPr>
            <w:r w:rsidRPr="009E06AA">
              <w:rPr>
                <w:rFonts w:cs="Calibri"/>
                <w:b/>
                <w:color w:val="FFFFFF" w:themeColor="background1"/>
                <w:szCs w:val="16"/>
              </w:rPr>
              <w:t xml:space="preserve">Percentage change in emission outputs between 1990 and </w:t>
            </w:r>
            <w:r w:rsidRPr="009E06AA">
              <w:rPr>
                <w:rFonts w:cs="Calibri"/>
                <w:b/>
                <w:bCs/>
                <w:color w:val="FFFFFF" w:themeColor="background1"/>
                <w:szCs w:val="16"/>
              </w:rPr>
              <w:t>2021</w:t>
            </w:r>
            <w:r w:rsidRPr="009E06AA">
              <w:rPr>
                <w:rFonts w:cs="Calibri"/>
                <w:b/>
                <w:color w:val="FFFFFF" w:themeColor="background1"/>
                <w:szCs w:val="16"/>
              </w:rPr>
              <w:t xml:space="preserve"> (%)</w:t>
            </w:r>
          </w:p>
        </w:tc>
      </w:tr>
      <w:tr w:rsidR="007523B8" w:rsidRPr="009E06AA" w14:paraId="55CF855D" w14:textId="77777777" w:rsidTr="00B55F24">
        <w:tc>
          <w:tcPr>
            <w:tcW w:w="1759" w:type="dxa"/>
            <w:vMerge w:val="restart"/>
            <w:shd w:val="clear" w:color="auto" w:fill="auto"/>
            <w:vAlign w:val="center"/>
            <w:hideMark/>
          </w:tcPr>
          <w:p w14:paraId="1F7B16CC" w14:textId="77777777" w:rsidR="007523B8" w:rsidRPr="009E06AA" w:rsidRDefault="007523B8" w:rsidP="00DB6582">
            <w:pPr>
              <w:pStyle w:val="TableText"/>
              <w:keepNext/>
              <w:spacing w:before="40" w:after="40"/>
              <w:rPr>
                <w:color w:val="000000"/>
              </w:rPr>
            </w:pPr>
            <w:r w:rsidRPr="009E06AA">
              <w:rPr>
                <w:color w:val="000000"/>
              </w:rPr>
              <w:t xml:space="preserve">Total emissions from </w:t>
            </w:r>
            <w:r w:rsidRPr="009E06AA">
              <w:rPr>
                <w:i/>
                <w:iCs/>
                <w:color w:val="000000"/>
              </w:rPr>
              <w:t>Manure management</w:t>
            </w:r>
            <w:r w:rsidRPr="009E06AA">
              <w:rPr>
                <w:color w:val="000000"/>
              </w:rPr>
              <w:t xml:space="preserve"> (kt CO</w:t>
            </w:r>
            <w:r w:rsidRPr="009E06AA">
              <w:rPr>
                <w:color w:val="000000"/>
                <w:vertAlign w:val="subscript"/>
              </w:rPr>
              <w:t>2</w:t>
            </w:r>
            <w:r w:rsidRPr="009E06AA">
              <w:rPr>
                <w:color w:val="000000"/>
              </w:rPr>
              <w:t>-e)</w:t>
            </w:r>
          </w:p>
        </w:tc>
        <w:tc>
          <w:tcPr>
            <w:tcW w:w="2346" w:type="dxa"/>
            <w:shd w:val="clear" w:color="auto" w:fill="auto"/>
            <w:vAlign w:val="center"/>
            <w:hideMark/>
          </w:tcPr>
          <w:p w14:paraId="5026599D" w14:textId="77777777" w:rsidR="007523B8" w:rsidRPr="009E06AA" w:rsidRDefault="007523B8" w:rsidP="00DB6582">
            <w:pPr>
              <w:pStyle w:val="TableText"/>
              <w:keepNext/>
              <w:spacing w:before="40" w:after="40"/>
              <w:rPr>
                <w:color w:val="000000"/>
              </w:rPr>
            </w:pPr>
            <w:r w:rsidRPr="009E06AA">
              <w:rPr>
                <w:color w:val="000000"/>
              </w:rPr>
              <w:t xml:space="preserve">2023 (1990–2021) emissions estimate using previous population </w:t>
            </w:r>
            <w:r w:rsidRPr="009E06AA">
              <w:rPr>
                <w:rFonts w:cs="Calibri"/>
                <w:color w:val="000000"/>
                <w:szCs w:val="16"/>
              </w:rPr>
              <w:t>and liveweight model</w:t>
            </w:r>
          </w:p>
        </w:tc>
        <w:tc>
          <w:tcPr>
            <w:tcW w:w="586" w:type="dxa"/>
            <w:shd w:val="clear" w:color="auto" w:fill="auto"/>
            <w:vAlign w:val="center"/>
            <w:hideMark/>
          </w:tcPr>
          <w:p w14:paraId="6A48BD24" w14:textId="77777777" w:rsidR="007523B8" w:rsidRPr="009E06AA" w:rsidRDefault="007523B8" w:rsidP="003A64A5">
            <w:pPr>
              <w:pStyle w:val="TableText"/>
              <w:keepNext/>
              <w:spacing w:before="40" w:after="40"/>
              <w:jc w:val="right"/>
              <w:rPr>
                <w:color w:val="000000"/>
                <w:highlight w:val="green"/>
              </w:rPr>
            </w:pPr>
            <w:r w:rsidRPr="009E06AA">
              <w:rPr>
                <w:rFonts w:cs="Calibri"/>
                <w:color w:val="000000"/>
                <w:szCs w:val="16"/>
              </w:rPr>
              <w:t>852.9</w:t>
            </w:r>
          </w:p>
        </w:tc>
        <w:tc>
          <w:tcPr>
            <w:tcW w:w="707" w:type="dxa"/>
            <w:shd w:val="clear" w:color="auto" w:fill="auto"/>
            <w:vAlign w:val="center"/>
            <w:hideMark/>
          </w:tcPr>
          <w:p w14:paraId="038CF782" w14:textId="77777777" w:rsidR="007523B8" w:rsidRPr="009E06AA" w:rsidRDefault="007523B8" w:rsidP="003A64A5">
            <w:pPr>
              <w:pStyle w:val="TableText"/>
              <w:keepNext/>
              <w:spacing w:before="40" w:after="40"/>
              <w:jc w:val="right"/>
              <w:rPr>
                <w:color w:val="000000"/>
                <w:highlight w:val="green"/>
              </w:rPr>
            </w:pPr>
            <w:r w:rsidRPr="009E06AA">
              <w:rPr>
                <w:color w:val="000000"/>
              </w:rPr>
              <w:t>1,</w:t>
            </w:r>
            <w:r w:rsidRPr="009E06AA">
              <w:rPr>
                <w:rFonts w:cs="Calibri"/>
                <w:color w:val="000000"/>
                <w:szCs w:val="16"/>
              </w:rPr>
              <w:t>857.1</w:t>
            </w:r>
          </w:p>
        </w:tc>
        <w:tc>
          <w:tcPr>
            <w:tcW w:w="1524" w:type="dxa"/>
            <w:shd w:val="clear" w:color="auto" w:fill="auto"/>
            <w:vAlign w:val="center"/>
            <w:hideMark/>
          </w:tcPr>
          <w:p w14:paraId="51FFD924" w14:textId="77777777" w:rsidR="007523B8" w:rsidRPr="009E06AA" w:rsidRDefault="007523B8" w:rsidP="003A64A5">
            <w:pPr>
              <w:pStyle w:val="TableText"/>
              <w:keepNext/>
              <w:spacing w:before="40" w:after="40"/>
              <w:jc w:val="right"/>
              <w:rPr>
                <w:color w:val="000000"/>
                <w:highlight w:val="green"/>
              </w:rPr>
            </w:pPr>
            <w:r w:rsidRPr="009E06AA">
              <w:rPr>
                <w:rFonts w:cs="Calibri"/>
                <w:color w:val="000000"/>
                <w:szCs w:val="16"/>
              </w:rPr>
              <w:t>1,004.3</w:t>
            </w:r>
          </w:p>
        </w:tc>
        <w:tc>
          <w:tcPr>
            <w:tcW w:w="1583" w:type="dxa"/>
            <w:shd w:val="clear" w:color="auto" w:fill="auto"/>
            <w:vAlign w:val="center"/>
            <w:hideMark/>
          </w:tcPr>
          <w:p w14:paraId="5F3A2CA4" w14:textId="77777777" w:rsidR="007523B8" w:rsidRPr="009E06AA" w:rsidRDefault="007523B8" w:rsidP="003A64A5">
            <w:pPr>
              <w:pStyle w:val="TableText"/>
              <w:keepNext/>
              <w:spacing w:before="40" w:after="40"/>
              <w:jc w:val="right"/>
              <w:rPr>
                <w:color w:val="000000"/>
                <w:highlight w:val="green"/>
              </w:rPr>
            </w:pPr>
            <w:r w:rsidRPr="009E06AA">
              <w:rPr>
                <w:color w:val="000000"/>
              </w:rPr>
              <w:t>117</w:t>
            </w:r>
            <w:r w:rsidRPr="009E06AA">
              <w:rPr>
                <w:rFonts w:cs="Calibri"/>
                <w:color w:val="000000"/>
                <w:szCs w:val="16"/>
              </w:rPr>
              <w:t>.8</w:t>
            </w:r>
          </w:p>
        </w:tc>
      </w:tr>
      <w:tr w:rsidR="007523B8" w:rsidRPr="009E06AA" w14:paraId="1BD2CCA7" w14:textId="77777777" w:rsidTr="00B55F24">
        <w:tc>
          <w:tcPr>
            <w:tcW w:w="1759" w:type="dxa"/>
            <w:vMerge/>
            <w:vAlign w:val="center"/>
            <w:hideMark/>
          </w:tcPr>
          <w:p w14:paraId="153C2F4F" w14:textId="77777777" w:rsidR="007523B8" w:rsidRPr="009E06AA" w:rsidRDefault="007523B8" w:rsidP="00DB6582">
            <w:pPr>
              <w:pStyle w:val="TableText"/>
              <w:spacing w:before="40" w:after="40"/>
              <w:rPr>
                <w:color w:val="000000"/>
              </w:rPr>
            </w:pPr>
          </w:p>
        </w:tc>
        <w:tc>
          <w:tcPr>
            <w:tcW w:w="2346" w:type="dxa"/>
            <w:shd w:val="clear" w:color="auto" w:fill="auto"/>
            <w:vAlign w:val="center"/>
            <w:hideMark/>
          </w:tcPr>
          <w:p w14:paraId="40EF9A1A" w14:textId="77777777" w:rsidR="007523B8" w:rsidRPr="009E06AA" w:rsidRDefault="007523B8" w:rsidP="00DB6582">
            <w:pPr>
              <w:pStyle w:val="TableText"/>
              <w:spacing w:before="40" w:after="40"/>
              <w:rPr>
                <w:color w:val="000000"/>
              </w:rPr>
            </w:pPr>
            <w:r w:rsidRPr="009E06AA">
              <w:rPr>
                <w:color w:val="000000"/>
              </w:rPr>
              <w:t xml:space="preserve">2023 (1990–2021) emissions estimate using new population </w:t>
            </w:r>
            <w:r w:rsidRPr="009E06AA">
              <w:rPr>
                <w:rFonts w:cs="Calibri"/>
                <w:color w:val="000000"/>
                <w:szCs w:val="16"/>
              </w:rPr>
              <w:t xml:space="preserve">and liveweight </w:t>
            </w:r>
            <w:r w:rsidRPr="009E06AA">
              <w:rPr>
                <w:color w:val="000000"/>
              </w:rPr>
              <w:t>model</w:t>
            </w:r>
          </w:p>
        </w:tc>
        <w:tc>
          <w:tcPr>
            <w:tcW w:w="586" w:type="dxa"/>
            <w:shd w:val="clear" w:color="auto" w:fill="auto"/>
            <w:vAlign w:val="center"/>
            <w:hideMark/>
          </w:tcPr>
          <w:p w14:paraId="42F7BE52" w14:textId="77777777" w:rsidR="007523B8" w:rsidRPr="009E06AA" w:rsidRDefault="007523B8" w:rsidP="003A64A5">
            <w:pPr>
              <w:pStyle w:val="TableText"/>
              <w:spacing w:before="40" w:after="40"/>
              <w:jc w:val="right"/>
              <w:rPr>
                <w:color w:val="000000"/>
                <w:highlight w:val="green"/>
              </w:rPr>
            </w:pPr>
            <w:r w:rsidRPr="009E06AA">
              <w:rPr>
                <w:rFonts w:cs="Calibri"/>
                <w:color w:val="000000"/>
                <w:szCs w:val="16"/>
              </w:rPr>
              <w:t>863</w:t>
            </w:r>
            <w:r w:rsidRPr="009E06AA">
              <w:rPr>
                <w:color w:val="000000"/>
              </w:rPr>
              <w:t>.7</w:t>
            </w:r>
          </w:p>
        </w:tc>
        <w:tc>
          <w:tcPr>
            <w:tcW w:w="707" w:type="dxa"/>
            <w:shd w:val="clear" w:color="auto" w:fill="auto"/>
            <w:vAlign w:val="center"/>
            <w:hideMark/>
          </w:tcPr>
          <w:p w14:paraId="354D38B1" w14:textId="77777777" w:rsidR="007523B8" w:rsidRPr="009E06AA" w:rsidRDefault="007523B8" w:rsidP="003A64A5">
            <w:pPr>
              <w:pStyle w:val="TableText"/>
              <w:spacing w:before="40" w:after="40"/>
              <w:jc w:val="right"/>
              <w:rPr>
                <w:color w:val="000000"/>
                <w:highlight w:val="green"/>
              </w:rPr>
            </w:pPr>
            <w:r w:rsidRPr="009E06AA">
              <w:rPr>
                <w:color w:val="000000"/>
              </w:rPr>
              <w:t>1,</w:t>
            </w:r>
            <w:r w:rsidRPr="009E06AA">
              <w:rPr>
                <w:rFonts w:cs="Calibri"/>
                <w:color w:val="000000"/>
                <w:szCs w:val="16"/>
              </w:rPr>
              <w:t>869.9</w:t>
            </w:r>
          </w:p>
        </w:tc>
        <w:tc>
          <w:tcPr>
            <w:tcW w:w="1524" w:type="dxa"/>
            <w:shd w:val="clear" w:color="auto" w:fill="auto"/>
            <w:vAlign w:val="center"/>
            <w:hideMark/>
          </w:tcPr>
          <w:p w14:paraId="6E849D2A" w14:textId="77777777" w:rsidR="007523B8" w:rsidRPr="009E06AA" w:rsidRDefault="007523B8" w:rsidP="003A64A5">
            <w:pPr>
              <w:pStyle w:val="TableText"/>
              <w:spacing w:before="40" w:after="40"/>
              <w:jc w:val="right"/>
              <w:rPr>
                <w:color w:val="000000"/>
                <w:highlight w:val="green"/>
              </w:rPr>
            </w:pPr>
            <w:r w:rsidRPr="009E06AA">
              <w:rPr>
                <w:rFonts w:cs="Calibri"/>
                <w:color w:val="000000"/>
                <w:szCs w:val="16"/>
              </w:rPr>
              <w:t>1,006.2</w:t>
            </w:r>
          </w:p>
        </w:tc>
        <w:tc>
          <w:tcPr>
            <w:tcW w:w="1583" w:type="dxa"/>
            <w:shd w:val="clear" w:color="auto" w:fill="auto"/>
            <w:vAlign w:val="center"/>
            <w:hideMark/>
          </w:tcPr>
          <w:p w14:paraId="708E3D4E" w14:textId="77777777" w:rsidR="007523B8" w:rsidRPr="009E06AA" w:rsidRDefault="007523B8" w:rsidP="003A64A5">
            <w:pPr>
              <w:pStyle w:val="TableText"/>
              <w:spacing w:before="40" w:after="40"/>
              <w:jc w:val="right"/>
              <w:rPr>
                <w:color w:val="000000"/>
                <w:highlight w:val="green"/>
              </w:rPr>
            </w:pPr>
            <w:r w:rsidRPr="009E06AA">
              <w:rPr>
                <w:rFonts w:cs="Calibri"/>
                <w:color w:val="000000"/>
                <w:szCs w:val="16"/>
              </w:rPr>
              <w:t>116.5</w:t>
            </w:r>
          </w:p>
        </w:tc>
      </w:tr>
      <w:tr w:rsidR="007523B8" w:rsidRPr="009E06AA" w14:paraId="17861C22" w14:textId="77777777" w:rsidTr="00B55F24">
        <w:tc>
          <w:tcPr>
            <w:tcW w:w="1759" w:type="dxa"/>
            <w:vMerge/>
            <w:vAlign w:val="center"/>
            <w:hideMark/>
          </w:tcPr>
          <w:p w14:paraId="0101EB21" w14:textId="77777777" w:rsidR="007523B8" w:rsidRPr="009E06AA" w:rsidRDefault="007523B8" w:rsidP="00DB6582">
            <w:pPr>
              <w:pStyle w:val="TableText"/>
              <w:spacing w:before="40" w:after="40"/>
              <w:rPr>
                <w:color w:val="000000"/>
              </w:rPr>
            </w:pPr>
          </w:p>
        </w:tc>
        <w:tc>
          <w:tcPr>
            <w:tcW w:w="2346" w:type="dxa"/>
            <w:shd w:val="clear" w:color="auto" w:fill="auto"/>
            <w:vAlign w:val="center"/>
            <w:hideMark/>
          </w:tcPr>
          <w:p w14:paraId="41A5F6E7" w14:textId="77777777" w:rsidR="007523B8" w:rsidRPr="009E06AA" w:rsidRDefault="007523B8" w:rsidP="00DB6582">
            <w:pPr>
              <w:pStyle w:val="TableText"/>
              <w:spacing w:before="40" w:after="40"/>
              <w:rPr>
                <w:color w:val="000000"/>
              </w:rPr>
            </w:pPr>
            <w:r w:rsidRPr="009E06AA">
              <w:rPr>
                <w:color w:val="000000"/>
              </w:rPr>
              <w:t>Difference in emissions estimates compared with current inventory </w:t>
            </w:r>
          </w:p>
        </w:tc>
        <w:tc>
          <w:tcPr>
            <w:tcW w:w="586" w:type="dxa"/>
            <w:shd w:val="clear" w:color="auto" w:fill="auto"/>
            <w:vAlign w:val="center"/>
            <w:hideMark/>
          </w:tcPr>
          <w:p w14:paraId="16FDD250" w14:textId="77777777" w:rsidR="007523B8" w:rsidRPr="009E06AA" w:rsidRDefault="007523B8" w:rsidP="003A64A5">
            <w:pPr>
              <w:pStyle w:val="TableText"/>
              <w:spacing w:before="40" w:after="40"/>
              <w:jc w:val="right"/>
              <w:rPr>
                <w:color w:val="000000"/>
                <w:highlight w:val="green"/>
              </w:rPr>
            </w:pPr>
            <w:r w:rsidRPr="009E06AA">
              <w:rPr>
                <w:rFonts w:cs="Calibri"/>
                <w:color w:val="000000"/>
                <w:szCs w:val="16"/>
              </w:rPr>
              <w:t>10.8</w:t>
            </w:r>
          </w:p>
        </w:tc>
        <w:tc>
          <w:tcPr>
            <w:tcW w:w="707" w:type="dxa"/>
            <w:shd w:val="clear" w:color="auto" w:fill="auto"/>
            <w:vAlign w:val="center"/>
            <w:hideMark/>
          </w:tcPr>
          <w:p w14:paraId="227A1690" w14:textId="77777777" w:rsidR="007523B8" w:rsidRPr="009E06AA" w:rsidRDefault="007523B8" w:rsidP="003A64A5">
            <w:pPr>
              <w:pStyle w:val="TableText"/>
              <w:spacing w:before="40" w:after="40"/>
              <w:jc w:val="right"/>
              <w:rPr>
                <w:color w:val="000000"/>
                <w:highlight w:val="green"/>
              </w:rPr>
            </w:pPr>
            <w:r w:rsidRPr="009E06AA">
              <w:rPr>
                <w:rFonts w:cs="Calibri"/>
                <w:color w:val="000000"/>
                <w:szCs w:val="16"/>
              </w:rPr>
              <w:t>12.8</w:t>
            </w:r>
          </w:p>
        </w:tc>
        <w:tc>
          <w:tcPr>
            <w:tcW w:w="1524" w:type="dxa"/>
            <w:shd w:val="clear" w:color="auto" w:fill="auto"/>
            <w:vAlign w:val="center"/>
            <w:hideMark/>
          </w:tcPr>
          <w:p w14:paraId="40C06170" w14:textId="77777777" w:rsidR="007523B8" w:rsidRPr="009E06AA" w:rsidRDefault="007523B8" w:rsidP="003A64A5">
            <w:pPr>
              <w:pStyle w:val="TableText"/>
              <w:spacing w:before="40" w:after="40"/>
              <w:jc w:val="right"/>
              <w:rPr>
                <w:color w:val="000000"/>
                <w:highlight w:val="green"/>
              </w:rPr>
            </w:pPr>
            <w:r w:rsidRPr="009E06AA">
              <w:rPr>
                <w:rFonts w:cs="Calibri"/>
                <w:color w:val="000000"/>
                <w:szCs w:val="16"/>
              </w:rPr>
              <w:t>2</w:t>
            </w:r>
            <w:r w:rsidRPr="009E06AA">
              <w:rPr>
                <w:color w:val="000000"/>
              </w:rPr>
              <w:t>.0</w:t>
            </w:r>
          </w:p>
        </w:tc>
        <w:tc>
          <w:tcPr>
            <w:tcW w:w="1583" w:type="dxa"/>
            <w:shd w:val="clear" w:color="auto" w:fill="auto"/>
            <w:vAlign w:val="center"/>
            <w:hideMark/>
          </w:tcPr>
          <w:p w14:paraId="2F66D856" w14:textId="77777777" w:rsidR="007523B8" w:rsidRPr="009E06AA" w:rsidRDefault="007523B8" w:rsidP="003A64A5">
            <w:pPr>
              <w:pStyle w:val="TableText"/>
              <w:spacing w:before="40" w:after="40"/>
              <w:jc w:val="right"/>
              <w:rPr>
                <w:color w:val="000000"/>
                <w:highlight w:val="green"/>
              </w:rPr>
            </w:pPr>
          </w:p>
        </w:tc>
      </w:tr>
      <w:tr w:rsidR="007523B8" w:rsidRPr="009E06AA" w14:paraId="79BC6402" w14:textId="77777777" w:rsidTr="00B55F24">
        <w:tc>
          <w:tcPr>
            <w:tcW w:w="1759" w:type="dxa"/>
            <w:vMerge/>
            <w:vAlign w:val="center"/>
            <w:hideMark/>
          </w:tcPr>
          <w:p w14:paraId="0EF2035F" w14:textId="77777777" w:rsidR="007523B8" w:rsidRPr="009E06AA" w:rsidRDefault="007523B8" w:rsidP="00DB6582">
            <w:pPr>
              <w:pStyle w:val="TableText"/>
              <w:spacing w:before="40" w:after="40"/>
              <w:rPr>
                <w:color w:val="000000"/>
              </w:rPr>
            </w:pPr>
          </w:p>
        </w:tc>
        <w:tc>
          <w:tcPr>
            <w:tcW w:w="2346" w:type="dxa"/>
            <w:shd w:val="clear" w:color="auto" w:fill="auto"/>
            <w:vAlign w:val="center"/>
            <w:hideMark/>
          </w:tcPr>
          <w:p w14:paraId="7577FDC5" w14:textId="77777777" w:rsidR="007523B8" w:rsidRPr="009E06AA" w:rsidRDefault="007523B8" w:rsidP="00DB6582">
            <w:pPr>
              <w:pStyle w:val="TableText"/>
              <w:spacing w:before="40" w:after="40"/>
              <w:rPr>
                <w:color w:val="000000"/>
              </w:rPr>
            </w:pPr>
            <w:r w:rsidRPr="009E06AA">
              <w:rPr>
                <w:color w:val="000000"/>
              </w:rPr>
              <w:t>Percentage difference in emissions estimates (%)</w:t>
            </w:r>
          </w:p>
        </w:tc>
        <w:tc>
          <w:tcPr>
            <w:tcW w:w="586" w:type="dxa"/>
            <w:shd w:val="clear" w:color="auto" w:fill="auto"/>
            <w:vAlign w:val="center"/>
            <w:hideMark/>
          </w:tcPr>
          <w:p w14:paraId="174F597E" w14:textId="77777777" w:rsidR="007523B8" w:rsidRPr="009E06AA" w:rsidRDefault="007523B8" w:rsidP="003A64A5">
            <w:pPr>
              <w:pStyle w:val="TableText"/>
              <w:spacing w:before="40" w:after="40"/>
              <w:jc w:val="right"/>
              <w:rPr>
                <w:color w:val="000000"/>
                <w:highlight w:val="green"/>
              </w:rPr>
            </w:pPr>
            <w:r w:rsidRPr="009E06AA">
              <w:rPr>
                <w:rFonts w:cs="Calibri"/>
                <w:color w:val="000000"/>
                <w:szCs w:val="16"/>
              </w:rPr>
              <w:t>1.3</w:t>
            </w:r>
          </w:p>
        </w:tc>
        <w:tc>
          <w:tcPr>
            <w:tcW w:w="707" w:type="dxa"/>
            <w:shd w:val="clear" w:color="auto" w:fill="auto"/>
            <w:vAlign w:val="center"/>
            <w:hideMark/>
          </w:tcPr>
          <w:p w14:paraId="5A28F20A" w14:textId="77777777" w:rsidR="007523B8" w:rsidRPr="009E06AA" w:rsidRDefault="007523B8" w:rsidP="003A64A5">
            <w:pPr>
              <w:pStyle w:val="TableText"/>
              <w:spacing w:before="40" w:after="40"/>
              <w:jc w:val="right"/>
              <w:rPr>
                <w:color w:val="000000"/>
                <w:highlight w:val="green"/>
              </w:rPr>
            </w:pPr>
            <w:r w:rsidRPr="009E06AA">
              <w:rPr>
                <w:rFonts w:cs="Calibri"/>
                <w:color w:val="000000"/>
                <w:szCs w:val="16"/>
              </w:rPr>
              <w:t>0.7</w:t>
            </w:r>
          </w:p>
        </w:tc>
        <w:tc>
          <w:tcPr>
            <w:tcW w:w="1524" w:type="dxa"/>
            <w:shd w:val="clear" w:color="auto" w:fill="auto"/>
            <w:vAlign w:val="center"/>
            <w:hideMark/>
          </w:tcPr>
          <w:p w14:paraId="6FDA5D78" w14:textId="77777777" w:rsidR="007523B8" w:rsidRPr="009E06AA" w:rsidRDefault="007523B8" w:rsidP="003A64A5">
            <w:pPr>
              <w:pStyle w:val="TableText"/>
              <w:spacing w:before="40" w:after="40"/>
              <w:jc w:val="right"/>
              <w:rPr>
                <w:color w:val="000000"/>
                <w:highlight w:val="green"/>
              </w:rPr>
            </w:pPr>
          </w:p>
        </w:tc>
        <w:tc>
          <w:tcPr>
            <w:tcW w:w="1583" w:type="dxa"/>
            <w:shd w:val="clear" w:color="auto" w:fill="auto"/>
            <w:vAlign w:val="center"/>
            <w:hideMark/>
          </w:tcPr>
          <w:p w14:paraId="2740BDC1" w14:textId="77777777" w:rsidR="007523B8" w:rsidRPr="009E06AA" w:rsidRDefault="007523B8" w:rsidP="003A64A5">
            <w:pPr>
              <w:pStyle w:val="TableText"/>
              <w:spacing w:before="40" w:after="40"/>
              <w:jc w:val="right"/>
              <w:rPr>
                <w:color w:val="000000"/>
                <w:highlight w:val="green"/>
              </w:rPr>
            </w:pPr>
          </w:p>
        </w:tc>
      </w:tr>
    </w:tbl>
    <w:p w14:paraId="4B55AB32" w14:textId="77777777" w:rsidR="007523B8" w:rsidRPr="009E06AA" w:rsidRDefault="007523B8" w:rsidP="007523B8">
      <w:pPr>
        <w:pStyle w:val="Noteundertable"/>
        <w:rPr>
          <w:rFonts w:cs="Calibri"/>
        </w:rPr>
      </w:pPr>
      <w:bookmarkStart w:id="1123" w:name="_Toc127458266"/>
      <w:r w:rsidRPr="009E06AA">
        <w:rPr>
          <w:rFonts w:cs="Calibri"/>
          <w:b/>
          <w:bCs/>
        </w:rPr>
        <w:t xml:space="preserve">Note: </w:t>
      </w:r>
      <w:r w:rsidRPr="009E06AA">
        <w:rPr>
          <w:rFonts w:cs="Calibri"/>
          <w:b/>
          <w:bCs/>
        </w:rPr>
        <w:tab/>
      </w:r>
      <w:r w:rsidRPr="009E06AA">
        <w:rPr>
          <w:rFonts w:cs="Calibri"/>
        </w:rPr>
        <w:t>Columns may not sum due to rounding. Percentages presented are calculated from unrounded values.</w:t>
      </w:r>
    </w:p>
    <w:p w14:paraId="30956A6B" w14:textId="77777777" w:rsidR="007523B8" w:rsidRPr="009E06AA" w:rsidRDefault="007523B8" w:rsidP="007523B8">
      <w:pPr>
        <w:pStyle w:val="Table"/>
        <w:rPr>
          <w:i/>
        </w:rPr>
      </w:pPr>
      <w:bookmarkStart w:id="1124" w:name="_Toc131591362"/>
      <w:bookmarkStart w:id="1125" w:name="_Toc160114454"/>
      <w:bookmarkStart w:id="1126" w:name="_Toc164153850"/>
      <w:r w:rsidRPr="009E06AA">
        <w:rPr>
          <w:rFonts w:cs="Calibri"/>
        </w:rPr>
        <w:t>Table 5.3.8</w:t>
      </w:r>
      <w:r w:rsidRPr="009E06AA">
        <w:rPr>
          <w:rFonts w:cs="Calibri"/>
        </w:rPr>
        <w:tab/>
        <w:t>Comparison of the proportion of lambs held over to a second slaughter date for emissions from </w:t>
      </w:r>
      <w:r w:rsidRPr="009E06AA">
        <w:rPr>
          <w:rFonts w:cs="Calibri"/>
          <w:i/>
        </w:rPr>
        <w:t>Manure management</w:t>
      </w:r>
      <w:bookmarkEnd w:id="1123"/>
      <w:bookmarkEnd w:id="1124"/>
      <w:bookmarkEnd w:id="1125"/>
      <w:bookmarkEnd w:id="1126"/>
      <w:r w:rsidRPr="009E06AA">
        <w:rPr>
          <w:rFonts w:cs="Calibri"/>
          <w:i/>
          <w:iCs/>
        </w:rPr>
        <w:t xml:space="preserve"> </w:t>
      </w:r>
    </w:p>
    <w:tbl>
      <w:tblPr>
        <w:tblW w:w="8505" w:type="dxa"/>
        <w:tblBorders>
          <w:top w:val="single" w:sz="4" w:space="0" w:color="1B556B" w:themeColor="text2"/>
          <w:bottom w:val="single" w:sz="4" w:space="0" w:color="1B556B" w:themeColor="text2"/>
          <w:insideH w:val="single" w:sz="4" w:space="0" w:color="1B556B" w:themeColor="text2"/>
        </w:tblBorders>
        <w:tblCellMar>
          <w:right w:w="85" w:type="dxa"/>
        </w:tblCellMar>
        <w:tblLook w:val="04A0" w:firstRow="1" w:lastRow="0" w:firstColumn="1" w:lastColumn="0" w:noHBand="0" w:noVBand="1"/>
      </w:tblPr>
      <w:tblGrid>
        <w:gridCol w:w="1677"/>
        <w:gridCol w:w="2361"/>
        <w:gridCol w:w="662"/>
        <w:gridCol w:w="783"/>
        <w:gridCol w:w="1485"/>
        <w:gridCol w:w="1537"/>
      </w:tblGrid>
      <w:tr w:rsidR="007523B8" w:rsidRPr="009E06AA" w14:paraId="63C39BC6" w14:textId="77777777" w:rsidTr="00B55F24">
        <w:tc>
          <w:tcPr>
            <w:tcW w:w="1677" w:type="dxa"/>
            <w:shd w:val="clear" w:color="000000" w:fill="1B556B"/>
            <w:vAlign w:val="bottom"/>
            <w:hideMark/>
          </w:tcPr>
          <w:p w14:paraId="6F2048C2" w14:textId="77777777" w:rsidR="007523B8" w:rsidRPr="009E06AA" w:rsidRDefault="007523B8" w:rsidP="00DB6582">
            <w:pPr>
              <w:pStyle w:val="TableText"/>
              <w:spacing w:before="40" w:after="40"/>
              <w:rPr>
                <w:b/>
                <w:bCs/>
                <w:color w:val="FFFFFF" w:themeColor="background1"/>
              </w:rPr>
            </w:pPr>
            <w:r w:rsidRPr="009E06AA">
              <w:rPr>
                <w:b/>
                <w:bCs/>
                <w:color w:val="FFFFFF" w:themeColor="background1"/>
              </w:rPr>
              <w:t>Emissions (kt CO</w:t>
            </w:r>
            <w:r w:rsidRPr="009E06AA">
              <w:rPr>
                <w:b/>
                <w:bCs/>
                <w:color w:val="FFFFFF" w:themeColor="background1"/>
                <w:vertAlign w:val="subscript"/>
              </w:rPr>
              <w:t>2</w:t>
            </w:r>
            <w:r w:rsidRPr="009E06AA">
              <w:rPr>
                <w:b/>
                <w:bCs/>
                <w:color w:val="FFFFFF" w:themeColor="background1"/>
              </w:rPr>
              <w:t>-e)</w:t>
            </w:r>
          </w:p>
        </w:tc>
        <w:tc>
          <w:tcPr>
            <w:tcW w:w="2361" w:type="dxa"/>
            <w:shd w:val="clear" w:color="000000" w:fill="1B556B"/>
            <w:vAlign w:val="bottom"/>
            <w:hideMark/>
          </w:tcPr>
          <w:p w14:paraId="44943C07" w14:textId="77777777" w:rsidR="007523B8" w:rsidRPr="009E06AA" w:rsidRDefault="007523B8" w:rsidP="00DB6582">
            <w:pPr>
              <w:pStyle w:val="TableText"/>
              <w:spacing w:before="40" w:after="40"/>
              <w:rPr>
                <w:b/>
                <w:bCs/>
                <w:color w:val="FFFFFF" w:themeColor="background1"/>
              </w:rPr>
            </w:pPr>
            <w:r w:rsidRPr="009E06AA">
              <w:rPr>
                <w:color w:val="000000"/>
                <w:sz w:val="20"/>
              </w:rPr>
              <w:t> </w:t>
            </w:r>
          </w:p>
        </w:tc>
        <w:tc>
          <w:tcPr>
            <w:tcW w:w="662" w:type="dxa"/>
            <w:shd w:val="clear" w:color="000000" w:fill="1B556B"/>
            <w:vAlign w:val="bottom"/>
            <w:hideMark/>
          </w:tcPr>
          <w:p w14:paraId="05CFB4A2" w14:textId="77777777" w:rsidR="007523B8" w:rsidRPr="009E06AA" w:rsidRDefault="007523B8" w:rsidP="003A64A5">
            <w:pPr>
              <w:pStyle w:val="TableText"/>
              <w:spacing w:before="40" w:after="40"/>
              <w:jc w:val="right"/>
              <w:rPr>
                <w:b/>
                <w:bCs/>
                <w:color w:val="FFFFFF" w:themeColor="background1"/>
              </w:rPr>
            </w:pPr>
            <w:r w:rsidRPr="009E06AA">
              <w:rPr>
                <w:rFonts w:cs="Calibri"/>
                <w:b/>
                <w:bCs/>
                <w:color w:val="FFFFFF" w:themeColor="background1"/>
                <w:szCs w:val="16"/>
              </w:rPr>
              <w:t>1990</w:t>
            </w:r>
          </w:p>
        </w:tc>
        <w:tc>
          <w:tcPr>
            <w:tcW w:w="783" w:type="dxa"/>
            <w:shd w:val="clear" w:color="000000" w:fill="1B556B"/>
            <w:vAlign w:val="bottom"/>
            <w:hideMark/>
          </w:tcPr>
          <w:p w14:paraId="0C516766" w14:textId="77777777" w:rsidR="007523B8" w:rsidRPr="009E06AA" w:rsidRDefault="007523B8" w:rsidP="003A64A5">
            <w:pPr>
              <w:pStyle w:val="TableText"/>
              <w:spacing w:before="40" w:after="40"/>
              <w:jc w:val="right"/>
              <w:rPr>
                <w:b/>
                <w:bCs/>
                <w:color w:val="FFFFFF" w:themeColor="background1"/>
              </w:rPr>
            </w:pPr>
            <w:r w:rsidRPr="009E06AA">
              <w:rPr>
                <w:b/>
                <w:color w:val="FFFFFF" w:themeColor="background1"/>
              </w:rPr>
              <w:t>2021</w:t>
            </w:r>
          </w:p>
        </w:tc>
        <w:tc>
          <w:tcPr>
            <w:tcW w:w="1485" w:type="dxa"/>
            <w:shd w:val="clear" w:color="000000" w:fill="1B556B"/>
            <w:vAlign w:val="bottom"/>
            <w:hideMark/>
          </w:tcPr>
          <w:p w14:paraId="29F85E8A" w14:textId="77777777" w:rsidR="007523B8" w:rsidRPr="009E06AA" w:rsidRDefault="007523B8" w:rsidP="003A64A5">
            <w:pPr>
              <w:pStyle w:val="TableText"/>
              <w:spacing w:before="40" w:after="40"/>
              <w:jc w:val="right"/>
              <w:rPr>
                <w:b/>
                <w:bCs/>
                <w:color w:val="FFFFFF" w:themeColor="background1"/>
              </w:rPr>
            </w:pPr>
            <w:r w:rsidRPr="009E06AA">
              <w:rPr>
                <w:rFonts w:cs="Calibri"/>
                <w:b/>
                <w:bCs/>
                <w:color w:val="FFFFFF" w:themeColor="background1"/>
                <w:szCs w:val="16"/>
              </w:rPr>
              <w:t>Change in emission outputs between 1990 and 2021 (kt CO</w:t>
            </w:r>
            <w:r w:rsidRPr="009E06AA">
              <w:rPr>
                <w:b/>
                <w:color w:val="FFFFFF"/>
                <w:vertAlign w:val="subscript"/>
              </w:rPr>
              <w:t>2</w:t>
            </w:r>
            <w:r w:rsidRPr="009E06AA">
              <w:rPr>
                <w:b/>
                <w:color w:val="FFFFFF"/>
              </w:rPr>
              <w:t>-e)</w:t>
            </w:r>
          </w:p>
        </w:tc>
        <w:tc>
          <w:tcPr>
            <w:tcW w:w="1537" w:type="dxa"/>
            <w:shd w:val="clear" w:color="000000" w:fill="1B556B"/>
            <w:vAlign w:val="bottom"/>
            <w:hideMark/>
          </w:tcPr>
          <w:p w14:paraId="384FAD99" w14:textId="77777777" w:rsidR="007523B8" w:rsidRPr="009E06AA" w:rsidRDefault="007523B8" w:rsidP="003A64A5">
            <w:pPr>
              <w:pStyle w:val="TableText"/>
              <w:spacing w:before="40" w:after="40"/>
              <w:jc w:val="right"/>
              <w:rPr>
                <w:b/>
                <w:bCs/>
                <w:color w:val="FFFFFF" w:themeColor="background1"/>
              </w:rPr>
            </w:pPr>
            <w:r w:rsidRPr="009E06AA">
              <w:rPr>
                <w:rFonts w:cs="Calibri"/>
                <w:b/>
                <w:bCs/>
                <w:color w:val="FFFFFF" w:themeColor="background1"/>
                <w:szCs w:val="16"/>
              </w:rPr>
              <w:t>Percentage change in emission outputs between 1990 and 2021 (%)</w:t>
            </w:r>
          </w:p>
        </w:tc>
      </w:tr>
      <w:tr w:rsidR="007523B8" w:rsidRPr="009E06AA" w14:paraId="3BB1C909" w14:textId="77777777" w:rsidTr="00B55F24">
        <w:tc>
          <w:tcPr>
            <w:tcW w:w="1677" w:type="dxa"/>
            <w:vMerge w:val="restart"/>
            <w:shd w:val="clear" w:color="auto" w:fill="auto"/>
            <w:vAlign w:val="center"/>
            <w:hideMark/>
          </w:tcPr>
          <w:p w14:paraId="623BE8EC" w14:textId="77777777" w:rsidR="007523B8" w:rsidRPr="009E06AA" w:rsidRDefault="007523B8" w:rsidP="00DB6582">
            <w:pPr>
              <w:pStyle w:val="TableText"/>
              <w:spacing w:before="40" w:after="40"/>
              <w:rPr>
                <w:color w:val="000000"/>
              </w:rPr>
            </w:pPr>
            <w:r w:rsidRPr="009E06AA">
              <w:rPr>
                <w:color w:val="000000"/>
              </w:rPr>
              <w:t xml:space="preserve">Total emissions from </w:t>
            </w:r>
            <w:r w:rsidRPr="009E06AA">
              <w:rPr>
                <w:i/>
                <w:iCs/>
                <w:color w:val="000000"/>
              </w:rPr>
              <w:t>Manure management</w:t>
            </w:r>
            <w:r w:rsidRPr="009E06AA">
              <w:rPr>
                <w:color w:val="000000"/>
              </w:rPr>
              <w:t xml:space="preserve"> (kt CO</w:t>
            </w:r>
            <w:r w:rsidRPr="009E06AA">
              <w:rPr>
                <w:color w:val="000000"/>
                <w:vertAlign w:val="subscript"/>
              </w:rPr>
              <w:t>2</w:t>
            </w:r>
            <w:r w:rsidRPr="009E06AA">
              <w:rPr>
                <w:color w:val="000000"/>
              </w:rPr>
              <w:t>-e)</w:t>
            </w:r>
          </w:p>
        </w:tc>
        <w:tc>
          <w:tcPr>
            <w:tcW w:w="2361" w:type="dxa"/>
            <w:shd w:val="clear" w:color="auto" w:fill="auto"/>
            <w:vAlign w:val="center"/>
            <w:hideMark/>
          </w:tcPr>
          <w:p w14:paraId="2F639873" w14:textId="77777777" w:rsidR="007523B8" w:rsidRPr="009E06AA" w:rsidRDefault="007523B8" w:rsidP="00DB6582">
            <w:pPr>
              <w:pStyle w:val="TableText"/>
              <w:spacing w:before="40" w:after="40"/>
              <w:rPr>
                <w:color w:val="000000"/>
              </w:rPr>
            </w:pPr>
            <w:r w:rsidRPr="009E06AA">
              <w:rPr>
                <w:color w:val="000000"/>
              </w:rPr>
              <w:t xml:space="preserve">2023 (1990–2021) emissions estimate using previous </w:t>
            </w:r>
            <w:r w:rsidRPr="009E06AA">
              <w:rPr>
                <w:rFonts w:cs="Calibri"/>
                <w:color w:val="000000"/>
                <w:szCs w:val="16"/>
              </w:rPr>
              <w:t xml:space="preserve">proportion of lambs held over </w:t>
            </w:r>
          </w:p>
        </w:tc>
        <w:tc>
          <w:tcPr>
            <w:tcW w:w="662" w:type="dxa"/>
            <w:shd w:val="clear" w:color="auto" w:fill="auto"/>
            <w:vAlign w:val="center"/>
            <w:hideMark/>
          </w:tcPr>
          <w:p w14:paraId="1ADC5124" w14:textId="77777777" w:rsidR="007523B8" w:rsidRPr="009E06AA" w:rsidRDefault="007523B8" w:rsidP="003A64A5">
            <w:pPr>
              <w:pStyle w:val="TableText"/>
              <w:spacing w:before="40" w:after="40"/>
              <w:jc w:val="right"/>
              <w:rPr>
                <w:color w:val="000000"/>
              </w:rPr>
            </w:pPr>
            <w:r w:rsidRPr="009E06AA">
              <w:rPr>
                <w:rFonts w:cs="Calibri"/>
                <w:color w:val="000000"/>
                <w:szCs w:val="16"/>
              </w:rPr>
              <w:t>852.9</w:t>
            </w:r>
          </w:p>
        </w:tc>
        <w:tc>
          <w:tcPr>
            <w:tcW w:w="783" w:type="dxa"/>
            <w:shd w:val="clear" w:color="auto" w:fill="auto"/>
            <w:vAlign w:val="center"/>
            <w:hideMark/>
          </w:tcPr>
          <w:p w14:paraId="112191FF" w14:textId="77777777" w:rsidR="007523B8" w:rsidRPr="009E06AA" w:rsidRDefault="007523B8" w:rsidP="003A64A5">
            <w:pPr>
              <w:pStyle w:val="TableText"/>
              <w:spacing w:before="40" w:after="40"/>
              <w:jc w:val="right"/>
              <w:rPr>
                <w:color w:val="000000"/>
              </w:rPr>
            </w:pPr>
            <w:r w:rsidRPr="009E06AA">
              <w:rPr>
                <w:color w:val="000000"/>
              </w:rPr>
              <w:t>1,</w:t>
            </w:r>
            <w:r w:rsidRPr="009E06AA">
              <w:rPr>
                <w:rFonts w:cs="Calibri"/>
                <w:color w:val="000000"/>
                <w:szCs w:val="16"/>
              </w:rPr>
              <w:t>857</w:t>
            </w:r>
            <w:r w:rsidRPr="009E06AA">
              <w:rPr>
                <w:color w:val="000000"/>
              </w:rPr>
              <w:t>.1</w:t>
            </w:r>
          </w:p>
        </w:tc>
        <w:tc>
          <w:tcPr>
            <w:tcW w:w="1485" w:type="dxa"/>
            <w:shd w:val="clear" w:color="auto" w:fill="auto"/>
            <w:vAlign w:val="center"/>
            <w:hideMark/>
          </w:tcPr>
          <w:p w14:paraId="4FEA94CA" w14:textId="77777777" w:rsidR="007523B8" w:rsidRPr="009E06AA" w:rsidRDefault="007523B8" w:rsidP="003A64A5">
            <w:pPr>
              <w:pStyle w:val="TableText"/>
              <w:spacing w:before="40" w:after="40"/>
              <w:jc w:val="right"/>
              <w:rPr>
                <w:color w:val="000000"/>
              </w:rPr>
            </w:pPr>
            <w:r w:rsidRPr="009E06AA">
              <w:rPr>
                <w:rFonts w:cs="Calibri"/>
                <w:color w:val="000000"/>
                <w:szCs w:val="16"/>
              </w:rPr>
              <w:t>1,004.3</w:t>
            </w:r>
          </w:p>
        </w:tc>
        <w:tc>
          <w:tcPr>
            <w:tcW w:w="1537" w:type="dxa"/>
            <w:shd w:val="clear" w:color="auto" w:fill="auto"/>
            <w:vAlign w:val="center"/>
            <w:hideMark/>
          </w:tcPr>
          <w:p w14:paraId="755AE937" w14:textId="77777777" w:rsidR="007523B8" w:rsidRPr="009E06AA" w:rsidRDefault="007523B8" w:rsidP="003A64A5">
            <w:pPr>
              <w:pStyle w:val="TableText"/>
              <w:spacing w:before="40" w:after="40"/>
              <w:jc w:val="right"/>
              <w:rPr>
                <w:color w:val="000000"/>
              </w:rPr>
            </w:pPr>
            <w:r w:rsidRPr="009E06AA">
              <w:rPr>
                <w:rFonts w:cs="Calibri"/>
                <w:color w:val="000000"/>
                <w:szCs w:val="16"/>
              </w:rPr>
              <w:t>117.8</w:t>
            </w:r>
          </w:p>
        </w:tc>
      </w:tr>
      <w:tr w:rsidR="007523B8" w:rsidRPr="009E06AA" w14:paraId="64EE138E" w14:textId="77777777" w:rsidTr="00B55F24">
        <w:tc>
          <w:tcPr>
            <w:tcW w:w="1677" w:type="dxa"/>
            <w:vMerge/>
            <w:vAlign w:val="center"/>
            <w:hideMark/>
          </w:tcPr>
          <w:p w14:paraId="2E7A2108" w14:textId="77777777" w:rsidR="007523B8" w:rsidRPr="009E06AA" w:rsidRDefault="007523B8" w:rsidP="00DB6582">
            <w:pPr>
              <w:pStyle w:val="TableText"/>
              <w:spacing w:before="40" w:after="40"/>
              <w:rPr>
                <w:color w:val="000000"/>
              </w:rPr>
            </w:pPr>
          </w:p>
        </w:tc>
        <w:tc>
          <w:tcPr>
            <w:tcW w:w="2361" w:type="dxa"/>
            <w:shd w:val="clear" w:color="auto" w:fill="auto"/>
            <w:vAlign w:val="center"/>
            <w:hideMark/>
          </w:tcPr>
          <w:p w14:paraId="1E5203AE" w14:textId="77777777" w:rsidR="007523B8" w:rsidRPr="009E06AA" w:rsidRDefault="007523B8" w:rsidP="00DB6582">
            <w:pPr>
              <w:pStyle w:val="TableText"/>
              <w:spacing w:before="40" w:after="40"/>
              <w:rPr>
                <w:color w:val="000000"/>
              </w:rPr>
            </w:pPr>
            <w:r w:rsidRPr="009E06AA">
              <w:rPr>
                <w:color w:val="000000"/>
              </w:rPr>
              <w:t xml:space="preserve">2023 (1990–2021) emissions estimate using </w:t>
            </w:r>
            <w:r w:rsidRPr="009E06AA">
              <w:rPr>
                <w:rFonts w:cs="Calibri"/>
                <w:color w:val="000000"/>
                <w:szCs w:val="16"/>
              </w:rPr>
              <w:t xml:space="preserve">new proportion of lambs held over </w:t>
            </w:r>
          </w:p>
        </w:tc>
        <w:tc>
          <w:tcPr>
            <w:tcW w:w="662" w:type="dxa"/>
            <w:shd w:val="clear" w:color="auto" w:fill="auto"/>
            <w:vAlign w:val="center"/>
            <w:hideMark/>
          </w:tcPr>
          <w:p w14:paraId="4B63E089" w14:textId="77777777" w:rsidR="007523B8" w:rsidRPr="009E06AA" w:rsidRDefault="007523B8" w:rsidP="003A64A5">
            <w:pPr>
              <w:pStyle w:val="TableText"/>
              <w:spacing w:before="40" w:after="40"/>
              <w:jc w:val="right"/>
              <w:rPr>
                <w:color w:val="000000"/>
              </w:rPr>
            </w:pPr>
            <w:r w:rsidRPr="009E06AA">
              <w:rPr>
                <w:rFonts w:cs="Calibri"/>
                <w:color w:val="000000"/>
                <w:szCs w:val="16"/>
              </w:rPr>
              <w:t>852.9</w:t>
            </w:r>
          </w:p>
        </w:tc>
        <w:tc>
          <w:tcPr>
            <w:tcW w:w="783" w:type="dxa"/>
            <w:shd w:val="clear" w:color="auto" w:fill="auto"/>
            <w:vAlign w:val="center"/>
            <w:hideMark/>
          </w:tcPr>
          <w:p w14:paraId="51A9B5B2" w14:textId="77777777" w:rsidR="007523B8" w:rsidRPr="009E06AA" w:rsidRDefault="007523B8" w:rsidP="003A64A5">
            <w:pPr>
              <w:pStyle w:val="TableText"/>
              <w:spacing w:before="40" w:after="40"/>
              <w:jc w:val="right"/>
              <w:rPr>
                <w:color w:val="000000"/>
              </w:rPr>
            </w:pPr>
            <w:r w:rsidRPr="009E06AA">
              <w:rPr>
                <w:color w:val="000000"/>
              </w:rPr>
              <w:t>1,</w:t>
            </w:r>
            <w:r w:rsidRPr="009E06AA">
              <w:rPr>
                <w:rFonts w:cs="Calibri"/>
                <w:color w:val="000000"/>
                <w:szCs w:val="16"/>
              </w:rPr>
              <w:t>857.5</w:t>
            </w:r>
          </w:p>
        </w:tc>
        <w:tc>
          <w:tcPr>
            <w:tcW w:w="1485" w:type="dxa"/>
            <w:shd w:val="clear" w:color="auto" w:fill="auto"/>
            <w:vAlign w:val="center"/>
            <w:hideMark/>
          </w:tcPr>
          <w:p w14:paraId="76AC43E7" w14:textId="77777777" w:rsidR="007523B8" w:rsidRPr="009E06AA" w:rsidRDefault="007523B8" w:rsidP="003A64A5">
            <w:pPr>
              <w:pStyle w:val="TableText"/>
              <w:spacing w:before="40" w:after="40"/>
              <w:jc w:val="right"/>
              <w:rPr>
                <w:color w:val="000000"/>
              </w:rPr>
            </w:pPr>
            <w:r w:rsidRPr="009E06AA">
              <w:rPr>
                <w:rFonts w:cs="Calibri"/>
                <w:color w:val="000000"/>
                <w:szCs w:val="16"/>
              </w:rPr>
              <w:t>1,004</w:t>
            </w:r>
            <w:r w:rsidRPr="009E06AA">
              <w:rPr>
                <w:color w:val="000000"/>
              </w:rPr>
              <w:t>.6</w:t>
            </w:r>
          </w:p>
        </w:tc>
        <w:tc>
          <w:tcPr>
            <w:tcW w:w="1537" w:type="dxa"/>
            <w:shd w:val="clear" w:color="auto" w:fill="auto"/>
            <w:vAlign w:val="center"/>
            <w:hideMark/>
          </w:tcPr>
          <w:p w14:paraId="49B5F7BE" w14:textId="77777777" w:rsidR="007523B8" w:rsidRPr="009E06AA" w:rsidRDefault="007523B8" w:rsidP="003A64A5">
            <w:pPr>
              <w:pStyle w:val="TableText"/>
              <w:spacing w:before="40" w:after="40"/>
              <w:jc w:val="right"/>
              <w:rPr>
                <w:color w:val="000000"/>
              </w:rPr>
            </w:pPr>
            <w:r w:rsidRPr="009E06AA">
              <w:rPr>
                <w:rFonts w:cs="Calibri"/>
                <w:color w:val="000000"/>
                <w:szCs w:val="16"/>
              </w:rPr>
              <w:t>117.8</w:t>
            </w:r>
          </w:p>
        </w:tc>
      </w:tr>
      <w:tr w:rsidR="007523B8" w:rsidRPr="009E06AA" w14:paraId="33E5D9B1" w14:textId="77777777" w:rsidTr="00B55F24">
        <w:tc>
          <w:tcPr>
            <w:tcW w:w="1677" w:type="dxa"/>
            <w:vMerge/>
            <w:vAlign w:val="center"/>
            <w:hideMark/>
          </w:tcPr>
          <w:p w14:paraId="1C711F21" w14:textId="77777777" w:rsidR="007523B8" w:rsidRPr="009E06AA" w:rsidRDefault="007523B8" w:rsidP="00DB6582">
            <w:pPr>
              <w:pStyle w:val="TableText"/>
              <w:spacing w:before="40" w:after="40"/>
              <w:rPr>
                <w:color w:val="000000"/>
              </w:rPr>
            </w:pPr>
          </w:p>
        </w:tc>
        <w:tc>
          <w:tcPr>
            <w:tcW w:w="2361" w:type="dxa"/>
            <w:shd w:val="clear" w:color="auto" w:fill="auto"/>
            <w:vAlign w:val="center"/>
            <w:hideMark/>
          </w:tcPr>
          <w:p w14:paraId="3AC40816" w14:textId="77777777" w:rsidR="007523B8" w:rsidRPr="009E06AA" w:rsidRDefault="007523B8" w:rsidP="00DB6582">
            <w:pPr>
              <w:pStyle w:val="TableText"/>
              <w:spacing w:before="40" w:after="40"/>
              <w:rPr>
                <w:color w:val="000000"/>
              </w:rPr>
            </w:pPr>
            <w:r w:rsidRPr="009E06AA">
              <w:rPr>
                <w:color w:val="000000"/>
              </w:rPr>
              <w:t>Difference in emissions estimates compared with current inventory </w:t>
            </w:r>
          </w:p>
        </w:tc>
        <w:tc>
          <w:tcPr>
            <w:tcW w:w="662" w:type="dxa"/>
            <w:shd w:val="clear" w:color="auto" w:fill="auto"/>
            <w:vAlign w:val="center"/>
            <w:hideMark/>
          </w:tcPr>
          <w:p w14:paraId="0D76F855" w14:textId="77777777" w:rsidR="007523B8" w:rsidRPr="009E06AA" w:rsidRDefault="007523B8" w:rsidP="003A64A5">
            <w:pPr>
              <w:pStyle w:val="TableText"/>
              <w:spacing w:before="40" w:after="40"/>
              <w:jc w:val="right"/>
              <w:rPr>
                <w:color w:val="000000"/>
              </w:rPr>
            </w:pPr>
            <w:r w:rsidRPr="009E06AA">
              <w:rPr>
                <w:rFonts w:cs="Calibri"/>
                <w:color w:val="000000"/>
                <w:szCs w:val="16"/>
              </w:rPr>
              <w:t>0</w:t>
            </w:r>
          </w:p>
        </w:tc>
        <w:tc>
          <w:tcPr>
            <w:tcW w:w="783" w:type="dxa"/>
            <w:shd w:val="clear" w:color="auto" w:fill="auto"/>
            <w:vAlign w:val="center"/>
            <w:hideMark/>
          </w:tcPr>
          <w:p w14:paraId="28217B2B" w14:textId="77777777" w:rsidR="007523B8" w:rsidRPr="009E06AA" w:rsidRDefault="007523B8" w:rsidP="003A64A5">
            <w:pPr>
              <w:pStyle w:val="TableText"/>
              <w:spacing w:before="40" w:after="40"/>
              <w:jc w:val="right"/>
              <w:rPr>
                <w:color w:val="000000"/>
              </w:rPr>
            </w:pPr>
            <w:r w:rsidRPr="009E06AA">
              <w:rPr>
                <w:rFonts w:cs="Calibri"/>
                <w:color w:val="000000"/>
                <w:szCs w:val="16"/>
              </w:rPr>
              <w:t>0.4</w:t>
            </w:r>
          </w:p>
        </w:tc>
        <w:tc>
          <w:tcPr>
            <w:tcW w:w="1485" w:type="dxa"/>
            <w:shd w:val="clear" w:color="auto" w:fill="auto"/>
            <w:vAlign w:val="center"/>
            <w:hideMark/>
          </w:tcPr>
          <w:p w14:paraId="277EF37E" w14:textId="77777777" w:rsidR="007523B8" w:rsidRPr="009E06AA" w:rsidRDefault="007523B8" w:rsidP="003A64A5">
            <w:pPr>
              <w:pStyle w:val="TableText"/>
              <w:spacing w:before="40" w:after="40"/>
              <w:jc w:val="right"/>
              <w:rPr>
                <w:color w:val="000000"/>
              </w:rPr>
            </w:pPr>
            <w:r w:rsidRPr="009E06AA">
              <w:rPr>
                <w:rFonts w:cs="Calibri"/>
                <w:color w:val="000000"/>
                <w:szCs w:val="16"/>
              </w:rPr>
              <w:t>0.4</w:t>
            </w:r>
          </w:p>
        </w:tc>
        <w:tc>
          <w:tcPr>
            <w:tcW w:w="1537" w:type="dxa"/>
            <w:shd w:val="clear" w:color="auto" w:fill="auto"/>
            <w:vAlign w:val="center"/>
            <w:hideMark/>
          </w:tcPr>
          <w:p w14:paraId="4C4FFE91" w14:textId="77777777" w:rsidR="007523B8" w:rsidRPr="009E06AA" w:rsidRDefault="007523B8" w:rsidP="003A64A5">
            <w:pPr>
              <w:pStyle w:val="TableText"/>
              <w:spacing w:before="40" w:after="40"/>
              <w:jc w:val="right"/>
              <w:rPr>
                <w:color w:val="000000"/>
              </w:rPr>
            </w:pPr>
          </w:p>
        </w:tc>
      </w:tr>
      <w:tr w:rsidR="007523B8" w:rsidRPr="009E06AA" w14:paraId="368D6815" w14:textId="77777777" w:rsidTr="00B55F24">
        <w:tc>
          <w:tcPr>
            <w:tcW w:w="1677" w:type="dxa"/>
            <w:vMerge/>
            <w:vAlign w:val="center"/>
            <w:hideMark/>
          </w:tcPr>
          <w:p w14:paraId="13DD2D0D" w14:textId="77777777" w:rsidR="007523B8" w:rsidRPr="009E06AA" w:rsidRDefault="007523B8" w:rsidP="00DB6582">
            <w:pPr>
              <w:pStyle w:val="TableText"/>
              <w:spacing w:before="40" w:after="40"/>
              <w:rPr>
                <w:color w:val="000000"/>
              </w:rPr>
            </w:pPr>
          </w:p>
        </w:tc>
        <w:tc>
          <w:tcPr>
            <w:tcW w:w="2361" w:type="dxa"/>
            <w:shd w:val="clear" w:color="auto" w:fill="auto"/>
            <w:vAlign w:val="center"/>
            <w:hideMark/>
          </w:tcPr>
          <w:p w14:paraId="271605B8" w14:textId="77777777" w:rsidR="007523B8" w:rsidRPr="009E06AA" w:rsidRDefault="007523B8" w:rsidP="00DB6582">
            <w:pPr>
              <w:pStyle w:val="TableText"/>
              <w:spacing w:before="40" w:after="40"/>
              <w:rPr>
                <w:color w:val="000000"/>
              </w:rPr>
            </w:pPr>
            <w:r w:rsidRPr="009E06AA">
              <w:rPr>
                <w:color w:val="000000"/>
              </w:rPr>
              <w:t>Percentage difference in emissions estimates (%)</w:t>
            </w:r>
          </w:p>
        </w:tc>
        <w:tc>
          <w:tcPr>
            <w:tcW w:w="662" w:type="dxa"/>
            <w:shd w:val="clear" w:color="auto" w:fill="auto"/>
            <w:vAlign w:val="center"/>
            <w:hideMark/>
          </w:tcPr>
          <w:p w14:paraId="12E62DF3" w14:textId="77777777" w:rsidR="007523B8" w:rsidRPr="009E06AA" w:rsidRDefault="007523B8" w:rsidP="003A64A5">
            <w:pPr>
              <w:pStyle w:val="TableText"/>
              <w:spacing w:before="40" w:after="40"/>
              <w:jc w:val="right"/>
              <w:rPr>
                <w:color w:val="000000"/>
              </w:rPr>
            </w:pPr>
            <w:r w:rsidRPr="009E06AA">
              <w:rPr>
                <w:rFonts w:cs="Calibri"/>
                <w:color w:val="000000"/>
                <w:szCs w:val="16"/>
              </w:rPr>
              <w:t>0.0</w:t>
            </w:r>
          </w:p>
        </w:tc>
        <w:tc>
          <w:tcPr>
            <w:tcW w:w="783" w:type="dxa"/>
            <w:shd w:val="clear" w:color="auto" w:fill="auto"/>
            <w:vAlign w:val="center"/>
            <w:hideMark/>
          </w:tcPr>
          <w:p w14:paraId="237D8F68" w14:textId="77777777" w:rsidR="007523B8" w:rsidRPr="009E06AA" w:rsidRDefault="007523B8" w:rsidP="003A64A5">
            <w:pPr>
              <w:pStyle w:val="TableText"/>
              <w:spacing w:before="40" w:after="40"/>
              <w:jc w:val="right"/>
              <w:rPr>
                <w:color w:val="000000"/>
              </w:rPr>
            </w:pPr>
            <w:r w:rsidRPr="009E06AA">
              <w:rPr>
                <w:rFonts w:cs="Calibri"/>
                <w:color w:val="000000"/>
                <w:szCs w:val="16"/>
              </w:rPr>
              <w:t>0.0</w:t>
            </w:r>
          </w:p>
        </w:tc>
        <w:tc>
          <w:tcPr>
            <w:tcW w:w="1485" w:type="dxa"/>
            <w:shd w:val="clear" w:color="auto" w:fill="auto"/>
            <w:vAlign w:val="center"/>
            <w:hideMark/>
          </w:tcPr>
          <w:p w14:paraId="22F3513D" w14:textId="77777777" w:rsidR="007523B8" w:rsidRPr="009E06AA" w:rsidRDefault="007523B8" w:rsidP="003A64A5">
            <w:pPr>
              <w:pStyle w:val="TableText"/>
              <w:spacing w:before="40" w:after="40"/>
              <w:jc w:val="right"/>
              <w:rPr>
                <w:color w:val="000000"/>
              </w:rPr>
            </w:pPr>
          </w:p>
        </w:tc>
        <w:tc>
          <w:tcPr>
            <w:tcW w:w="1537" w:type="dxa"/>
            <w:shd w:val="clear" w:color="auto" w:fill="auto"/>
            <w:vAlign w:val="center"/>
            <w:hideMark/>
          </w:tcPr>
          <w:p w14:paraId="6B805D6F" w14:textId="77777777" w:rsidR="007523B8" w:rsidRPr="009E06AA" w:rsidRDefault="007523B8" w:rsidP="003A64A5">
            <w:pPr>
              <w:pStyle w:val="TableText"/>
              <w:spacing w:before="40" w:after="40"/>
              <w:jc w:val="right"/>
              <w:rPr>
                <w:color w:val="000000"/>
              </w:rPr>
            </w:pPr>
          </w:p>
        </w:tc>
      </w:tr>
    </w:tbl>
    <w:p w14:paraId="69DEB1BD" w14:textId="77777777" w:rsidR="007523B8" w:rsidRPr="009E06AA" w:rsidRDefault="007523B8" w:rsidP="007523B8">
      <w:pPr>
        <w:pStyle w:val="Noteundertable"/>
        <w:rPr>
          <w:rFonts w:cs="Calibri"/>
        </w:rPr>
      </w:pPr>
      <w:r w:rsidRPr="009E06AA">
        <w:rPr>
          <w:rFonts w:cs="Calibri"/>
          <w:b/>
          <w:bCs/>
        </w:rPr>
        <w:t xml:space="preserve">Note: </w:t>
      </w:r>
      <w:r w:rsidRPr="009E06AA">
        <w:rPr>
          <w:rFonts w:cs="Calibri"/>
          <w:b/>
          <w:bCs/>
        </w:rPr>
        <w:tab/>
      </w:r>
      <w:r w:rsidRPr="009E06AA">
        <w:rPr>
          <w:rFonts w:cs="Calibri"/>
        </w:rPr>
        <w:t>Columns may not sum due to rounding. Percentages presented are calculated from unrounded values.</w:t>
      </w:r>
    </w:p>
    <w:p w14:paraId="1F557DC6" w14:textId="77777777" w:rsidR="007523B8" w:rsidRPr="009E06AA" w:rsidRDefault="007523B8" w:rsidP="007523B8">
      <w:pPr>
        <w:pStyle w:val="Table"/>
        <w:rPr>
          <w:rFonts w:cs="Calibri"/>
          <w:i/>
          <w:iCs/>
        </w:rPr>
      </w:pPr>
      <w:bookmarkStart w:id="1127" w:name="_Toc160114455"/>
      <w:bookmarkStart w:id="1128" w:name="_Toc164153851"/>
      <w:r w:rsidRPr="009E06AA">
        <w:rPr>
          <w:rFonts w:cs="Calibri"/>
        </w:rPr>
        <w:t>Table 5.3.9</w:t>
      </w:r>
      <w:r w:rsidRPr="009E06AA">
        <w:rPr>
          <w:rFonts w:cs="Calibri"/>
        </w:rPr>
        <w:tab/>
        <w:t xml:space="preserve">Comparison of Excel-based and R-based models for emissions from </w:t>
      </w:r>
      <w:r w:rsidRPr="009E06AA">
        <w:rPr>
          <w:rFonts w:cs="Calibri"/>
          <w:i/>
        </w:rPr>
        <w:t>Manure management</w:t>
      </w:r>
      <w:bookmarkEnd w:id="1127"/>
      <w:bookmarkEnd w:id="1128"/>
      <w:r w:rsidRPr="009E06AA">
        <w:rPr>
          <w:rFonts w:cs="Calibri"/>
          <w:i/>
          <w:iCs/>
        </w:rPr>
        <w:t xml:space="preserve"> </w:t>
      </w:r>
    </w:p>
    <w:tbl>
      <w:tblPr>
        <w:tblW w:w="8505" w:type="dxa"/>
        <w:tblBorders>
          <w:top w:val="single" w:sz="4" w:space="0" w:color="1B556B" w:themeColor="text2"/>
          <w:bottom w:val="single" w:sz="4" w:space="0" w:color="1B556B" w:themeColor="text2"/>
          <w:insideH w:val="single" w:sz="4" w:space="0" w:color="1B556B" w:themeColor="text2"/>
        </w:tblBorders>
        <w:tblLook w:val="04A0" w:firstRow="1" w:lastRow="0" w:firstColumn="1" w:lastColumn="0" w:noHBand="0" w:noVBand="1"/>
      </w:tblPr>
      <w:tblGrid>
        <w:gridCol w:w="1677"/>
        <w:gridCol w:w="2151"/>
        <w:gridCol w:w="872"/>
        <w:gridCol w:w="783"/>
        <w:gridCol w:w="1485"/>
        <w:gridCol w:w="1537"/>
      </w:tblGrid>
      <w:tr w:rsidR="007523B8" w:rsidRPr="009E06AA" w14:paraId="42EF3C87" w14:textId="77777777" w:rsidTr="00B55F24">
        <w:tc>
          <w:tcPr>
            <w:tcW w:w="1677" w:type="dxa"/>
            <w:shd w:val="clear" w:color="000000" w:fill="1B556B"/>
            <w:vAlign w:val="bottom"/>
            <w:hideMark/>
          </w:tcPr>
          <w:p w14:paraId="2DC6CDCD" w14:textId="77777777" w:rsidR="007523B8" w:rsidRPr="009E06AA" w:rsidRDefault="007523B8" w:rsidP="002065B1">
            <w:pPr>
              <w:pStyle w:val="TableText"/>
              <w:keepNext/>
              <w:spacing w:before="40" w:after="40"/>
              <w:rPr>
                <w:b/>
                <w:bCs/>
                <w:color w:val="FFFFFF" w:themeColor="background1"/>
              </w:rPr>
            </w:pPr>
            <w:r w:rsidRPr="009E06AA">
              <w:rPr>
                <w:b/>
                <w:bCs/>
                <w:color w:val="FFFFFF" w:themeColor="background1"/>
              </w:rPr>
              <w:t>Emissions (kt CO</w:t>
            </w:r>
            <w:r w:rsidRPr="009E06AA">
              <w:rPr>
                <w:b/>
                <w:bCs/>
                <w:color w:val="FFFFFF" w:themeColor="background1"/>
                <w:vertAlign w:val="subscript"/>
              </w:rPr>
              <w:t>2</w:t>
            </w:r>
            <w:r w:rsidRPr="009E06AA">
              <w:rPr>
                <w:b/>
                <w:bCs/>
                <w:color w:val="FFFFFF" w:themeColor="background1"/>
              </w:rPr>
              <w:t>-e)</w:t>
            </w:r>
          </w:p>
        </w:tc>
        <w:tc>
          <w:tcPr>
            <w:tcW w:w="2151" w:type="dxa"/>
            <w:shd w:val="clear" w:color="000000" w:fill="1B556B"/>
            <w:vAlign w:val="bottom"/>
            <w:hideMark/>
          </w:tcPr>
          <w:p w14:paraId="3ED20624" w14:textId="77777777" w:rsidR="007523B8" w:rsidRPr="009E06AA" w:rsidRDefault="007523B8" w:rsidP="002065B1">
            <w:pPr>
              <w:pStyle w:val="TableText"/>
              <w:keepNext/>
              <w:spacing w:before="40" w:after="40"/>
              <w:rPr>
                <w:b/>
                <w:bCs/>
                <w:color w:val="FFFFFF" w:themeColor="background1"/>
              </w:rPr>
            </w:pPr>
            <w:r w:rsidRPr="009E06AA">
              <w:rPr>
                <w:b/>
                <w:bCs/>
                <w:color w:val="FFFFFF" w:themeColor="background1"/>
              </w:rPr>
              <w:t> </w:t>
            </w:r>
          </w:p>
        </w:tc>
        <w:tc>
          <w:tcPr>
            <w:tcW w:w="872" w:type="dxa"/>
            <w:shd w:val="clear" w:color="000000" w:fill="1B556B"/>
            <w:vAlign w:val="bottom"/>
            <w:hideMark/>
          </w:tcPr>
          <w:p w14:paraId="1A4276A9" w14:textId="77777777" w:rsidR="007523B8" w:rsidRPr="009E06AA" w:rsidRDefault="007523B8" w:rsidP="003A64A5">
            <w:pPr>
              <w:pStyle w:val="TableText"/>
              <w:keepNext/>
              <w:spacing w:before="40" w:after="40"/>
              <w:jc w:val="right"/>
              <w:rPr>
                <w:b/>
                <w:bCs/>
                <w:color w:val="FFFFFF" w:themeColor="background1"/>
              </w:rPr>
            </w:pPr>
            <w:r w:rsidRPr="009E06AA">
              <w:rPr>
                <w:b/>
                <w:bCs/>
                <w:color w:val="FFFFFF" w:themeColor="background1"/>
              </w:rPr>
              <w:t>1990</w:t>
            </w:r>
          </w:p>
        </w:tc>
        <w:tc>
          <w:tcPr>
            <w:tcW w:w="783" w:type="dxa"/>
            <w:shd w:val="clear" w:color="000000" w:fill="1B556B"/>
            <w:vAlign w:val="bottom"/>
            <w:hideMark/>
          </w:tcPr>
          <w:p w14:paraId="02CEF43C" w14:textId="77777777" w:rsidR="007523B8" w:rsidRPr="009E06AA" w:rsidRDefault="007523B8" w:rsidP="003A64A5">
            <w:pPr>
              <w:pStyle w:val="TableText"/>
              <w:keepNext/>
              <w:spacing w:before="40" w:after="40"/>
              <w:jc w:val="right"/>
              <w:rPr>
                <w:b/>
                <w:bCs/>
                <w:color w:val="FFFFFF" w:themeColor="background1"/>
              </w:rPr>
            </w:pPr>
            <w:r w:rsidRPr="009E06AA">
              <w:rPr>
                <w:b/>
                <w:bCs/>
                <w:color w:val="FFFFFF" w:themeColor="background1"/>
              </w:rPr>
              <w:t>2021</w:t>
            </w:r>
          </w:p>
        </w:tc>
        <w:tc>
          <w:tcPr>
            <w:tcW w:w="1485" w:type="dxa"/>
            <w:shd w:val="clear" w:color="000000" w:fill="1B556B"/>
            <w:vAlign w:val="bottom"/>
            <w:hideMark/>
          </w:tcPr>
          <w:p w14:paraId="587C562C" w14:textId="77777777" w:rsidR="007523B8" w:rsidRPr="009E06AA" w:rsidRDefault="007523B8" w:rsidP="003A64A5">
            <w:pPr>
              <w:pStyle w:val="TableText"/>
              <w:keepNext/>
              <w:spacing w:before="40" w:after="40"/>
              <w:jc w:val="right"/>
              <w:rPr>
                <w:b/>
                <w:bCs/>
                <w:color w:val="FFFFFF" w:themeColor="background1"/>
              </w:rPr>
            </w:pPr>
            <w:r w:rsidRPr="009E06AA">
              <w:rPr>
                <w:b/>
                <w:bCs/>
                <w:color w:val="FFFFFF" w:themeColor="background1"/>
              </w:rPr>
              <w:t>Change in emission outputs between 1990 and 2021 (kt CO</w:t>
            </w:r>
            <w:r w:rsidRPr="009E06AA">
              <w:rPr>
                <w:b/>
                <w:bCs/>
                <w:color w:val="FFFFFF" w:themeColor="background1"/>
                <w:vertAlign w:val="subscript"/>
              </w:rPr>
              <w:t>2</w:t>
            </w:r>
            <w:r w:rsidRPr="009E06AA">
              <w:rPr>
                <w:b/>
                <w:bCs/>
                <w:color w:val="FFFFFF" w:themeColor="background1"/>
              </w:rPr>
              <w:t>-e)</w:t>
            </w:r>
          </w:p>
        </w:tc>
        <w:tc>
          <w:tcPr>
            <w:tcW w:w="1537" w:type="dxa"/>
            <w:shd w:val="clear" w:color="000000" w:fill="1B556B"/>
            <w:vAlign w:val="bottom"/>
            <w:hideMark/>
          </w:tcPr>
          <w:p w14:paraId="3502AE8E" w14:textId="77777777" w:rsidR="007523B8" w:rsidRPr="009E06AA" w:rsidRDefault="007523B8" w:rsidP="003A64A5">
            <w:pPr>
              <w:pStyle w:val="TableText"/>
              <w:keepNext/>
              <w:spacing w:before="40" w:after="40"/>
              <w:jc w:val="right"/>
              <w:rPr>
                <w:b/>
                <w:bCs/>
                <w:color w:val="FFFFFF" w:themeColor="background1"/>
              </w:rPr>
            </w:pPr>
            <w:r w:rsidRPr="009E06AA">
              <w:rPr>
                <w:b/>
                <w:bCs/>
                <w:color w:val="FFFFFF" w:themeColor="background1"/>
              </w:rPr>
              <w:t>Percentage change in emission outputs between 1990 and 2021 (%)</w:t>
            </w:r>
          </w:p>
        </w:tc>
      </w:tr>
      <w:tr w:rsidR="007523B8" w:rsidRPr="009E06AA" w14:paraId="29532BB1" w14:textId="77777777" w:rsidTr="00B55F24">
        <w:tc>
          <w:tcPr>
            <w:tcW w:w="1677" w:type="dxa"/>
            <w:vMerge w:val="restart"/>
            <w:shd w:val="clear" w:color="auto" w:fill="auto"/>
            <w:vAlign w:val="center"/>
            <w:hideMark/>
          </w:tcPr>
          <w:p w14:paraId="6EF1D0B2" w14:textId="77777777" w:rsidR="007523B8" w:rsidRPr="009E06AA" w:rsidRDefault="007523B8" w:rsidP="002065B1">
            <w:pPr>
              <w:pStyle w:val="TableText"/>
              <w:keepNext/>
              <w:spacing w:before="40" w:after="40"/>
              <w:rPr>
                <w:color w:val="000000"/>
              </w:rPr>
            </w:pPr>
            <w:r w:rsidRPr="009E06AA">
              <w:rPr>
                <w:color w:val="000000"/>
              </w:rPr>
              <w:t xml:space="preserve">Total emissions from </w:t>
            </w:r>
            <w:r w:rsidRPr="009E06AA">
              <w:rPr>
                <w:i/>
                <w:iCs/>
                <w:color w:val="000000"/>
              </w:rPr>
              <w:t>Manure management</w:t>
            </w:r>
            <w:r w:rsidRPr="009E06AA">
              <w:rPr>
                <w:color w:val="000000"/>
              </w:rPr>
              <w:t xml:space="preserve"> (kt CO</w:t>
            </w:r>
            <w:r w:rsidRPr="009E06AA">
              <w:rPr>
                <w:color w:val="000000"/>
                <w:vertAlign w:val="subscript"/>
              </w:rPr>
              <w:t>2</w:t>
            </w:r>
            <w:r w:rsidRPr="009E06AA">
              <w:rPr>
                <w:color w:val="000000"/>
              </w:rPr>
              <w:t>-e)</w:t>
            </w:r>
          </w:p>
        </w:tc>
        <w:tc>
          <w:tcPr>
            <w:tcW w:w="2151" w:type="dxa"/>
            <w:shd w:val="clear" w:color="auto" w:fill="auto"/>
            <w:vAlign w:val="center"/>
            <w:hideMark/>
          </w:tcPr>
          <w:p w14:paraId="4DE02BB5" w14:textId="77777777" w:rsidR="007523B8" w:rsidRPr="009E06AA" w:rsidRDefault="007523B8" w:rsidP="002065B1">
            <w:pPr>
              <w:pStyle w:val="TableText"/>
              <w:keepNext/>
              <w:spacing w:before="40" w:after="40"/>
              <w:rPr>
                <w:color w:val="000000"/>
              </w:rPr>
            </w:pPr>
            <w:r w:rsidRPr="009E06AA">
              <w:rPr>
                <w:rFonts w:cs="Calibri"/>
                <w:color w:val="000000"/>
                <w:szCs w:val="16"/>
              </w:rPr>
              <w:t>2023 (1990–2021) emissions estimate using previous excel model </w:t>
            </w:r>
          </w:p>
        </w:tc>
        <w:tc>
          <w:tcPr>
            <w:tcW w:w="872" w:type="dxa"/>
            <w:shd w:val="clear" w:color="auto" w:fill="auto"/>
            <w:vAlign w:val="center"/>
            <w:hideMark/>
          </w:tcPr>
          <w:p w14:paraId="2BF9A016" w14:textId="77777777" w:rsidR="007523B8" w:rsidRPr="009E06AA" w:rsidRDefault="007523B8" w:rsidP="003A64A5">
            <w:pPr>
              <w:pStyle w:val="TableText"/>
              <w:keepNext/>
              <w:spacing w:before="40" w:after="40"/>
              <w:jc w:val="right"/>
              <w:rPr>
                <w:color w:val="000000"/>
              </w:rPr>
            </w:pPr>
            <w:r w:rsidRPr="009E06AA">
              <w:rPr>
                <w:rFonts w:cs="Calibri"/>
                <w:color w:val="000000"/>
                <w:szCs w:val="16"/>
              </w:rPr>
              <w:t>852.9</w:t>
            </w:r>
          </w:p>
        </w:tc>
        <w:tc>
          <w:tcPr>
            <w:tcW w:w="783" w:type="dxa"/>
            <w:shd w:val="clear" w:color="auto" w:fill="auto"/>
            <w:vAlign w:val="center"/>
            <w:hideMark/>
          </w:tcPr>
          <w:p w14:paraId="227F43F6" w14:textId="77777777" w:rsidR="007523B8" w:rsidRPr="009E06AA" w:rsidRDefault="007523B8" w:rsidP="003A64A5">
            <w:pPr>
              <w:pStyle w:val="TableText"/>
              <w:keepNext/>
              <w:spacing w:before="40" w:after="40"/>
              <w:jc w:val="right"/>
              <w:rPr>
                <w:color w:val="000000"/>
              </w:rPr>
            </w:pPr>
            <w:r w:rsidRPr="009E06AA">
              <w:rPr>
                <w:rFonts w:cs="Calibri"/>
                <w:color w:val="000000"/>
                <w:szCs w:val="16"/>
              </w:rPr>
              <w:t>1,857.1</w:t>
            </w:r>
          </w:p>
        </w:tc>
        <w:tc>
          <w:tcPr>
            <w:tcW w:w="1485" w:type="dxa"/>
            <w:shd w:val="clear" w:color="auto" w:fill="auto"/>
            <w:vAlign w:val="center"/>
            <w:hideMark/>
          </w:tcPr>
          <w:p w14:paraId="075EF14A" w14:textId="77777777" w:rsidR="007523B8" w:rsidRPr="009E06AA" w:rsidRDefault="007523B8" w:rsidP="003A64A5">
            <w:pPr>
              <w:pStyle w:val="TableText"/>
              <w:keepNext/>
              <w:spacing w:before="40" w:after="40"/>
              <w:jc w:val="right"/>
              <w:rPr>
                <w:color w:val="000000"/>
              </w:rPr>
            </w:pPr>
            <w:r w:rsidRPr="009E06AA">
              <w:rPr>
                <w:rFonts w:cs="Calibri"/>
                <w:color w:val="000000"/>
                <w:szCs w:val="16"/>
              </w:rPr>
              <w:t>1,004.3</w:t>
            </w:r>
          </w:p>
        </w:tc>
        <w:tc>
          <w:tcPr>
            <w:tcW w:w="1537" w:type="dxa"/>
            <w:shd w:val="clear" w:color="auto" w:fill="auto"/>
            <w:vAlign w:val="center"/>
            <w:hideMark/>
          </w:tcPr>
          <w:p w14:paraId="605B4AD8" w14:textId="77777777" w:rsidR="007523B8" w:rsidRPr="009E06AA" w:rsidRDefault="007523B8" w:rsidP="003A64A5">
            <w:pPr>
              <w:pStyle w:val="TableText"/>
              <w:keepNext/>
              <w:spacing w:before="40" w:after="40"/>
              <w:jc w:val="right"/>
              <w:rPr>
                <w:color w:val="000000"/>
              </w:rPr>
            </w:pPr>
            <w:r w:rsidRPr="009E06AA">
              <w:rPr>
                <w:rFonts w:cs="Calibri"/>
                <w:color w:val="000000"/>
                <w:szCs w:val="16"/>
              </w:rPr>
              <w:t>117.8</w:t>
            </w:r>
          </w:p>
        </w:tc>
      </w:tr>
      <w:tr w:rsidR="007523B8" w:rsidRPr="009E06AA" w14:paraId="3E35446A" w14:textId="77777777" w:rsidTr="00B55F24">
        <w:tc>
          <w:tcPr>
            <w:tcW w:w="1677" w:type="dxa"/>
            <w:vMerge/>
            <w:vAlign w:val="center"/>
            <w:hideMark/>
          </w:tcPr>
          <w:p w14:paraId="76BFFC5D" w14:textId="77777777" w:rsidR="007523B8" w:rsidRPr="009E06AA" w:rsidRDefault="007523B8" w:rsidP="002065B1">
            <w:pPr>
              <w:pStyle w:val="TableText"/>
              <w:keepNext/>
              <w:spacing w:before="40" w:after="40"/>
              <w:rPr>
                <w:color w:val="000000"/>
              </w:rPr>
            </w:pPr>
          </w:p>
        </w:tc>
        <w:tc>
          <w:tcPr>
            <w:tcW w:w="2151" w:type="dxa"/>
            <w:shd w:val="clear" w:color="auto" w:fill="auto"/>
            <w:vAlign w:val="center"/>
            <w:hideMark/>
          </w:tcPr>
          <w:p w14:paraId="3E417E89" w14:textId="77777777" w:rsidR="007523B8" w:rsidRPr="009E06AA" w:rsidRDefault="007523B8" w:rsidP="002065B1">
            <w:pPr>
              <w:pStyle w:val="TableText"/>
              <w:keepNext/>
              <w:spacing w:before="40" w:after="40"/>
              <w:rPr>
                <w:color w:val="000000"/>
              </w:rPr>
            </w:pPr>
            <w:r w:rsidRPr="009E06AA">
              <w:rPr>
                <w:rFonts w:cs="Calibri"/>
                <w:color w:val="000000"/>
                <w:szCs w:val="16"/>
              </w:rPr>
              <w:t>2023 (1990–2021) emissions estimate using new R model </w:t>
            </w:r>
          </w:p>
        </w:tc>
        <w:tc>
          <w:tcPr>
            <w:tcW w:w="872" w:type="dxa"/>
            <w:shd w:val="clear" w:color="auto" w:fill="auto"/>
            <w:vAlign w:val="center"/>
            <w:hideMark/>
          </w:tcPr>
          <w:p w14:paraId="71A02642" w14:textId="77777777" w:rsidR="007523B8" w:rsidRPr="009E06AA" w:rsidRDefault="007523B8" w:rsidP="003A64A5">
            <w:pPr>
              <w:pStyle w:val="TableText"/>
              <w:keepNext/>
              <w:spacing w:before="40" w:after="40"/>
              <w:jc w:val="right"/>
              <w:rPr>
                <w:color w:val="000000"/>
              </w:rPr>
            </w:pPr>
            <w:r w:rsidRPr="009E06AA">
              <w:rPr>
                <w:rFonts w:cs="Calibri"/>
                <w:color w:val="000000"/>
                <w:szCs w:val="16"/>
              </w:rPr>
              <w:t>852.8</w:t>
            </w:r>
          </w:p>
        </w:tc>
        <w:tc>
          <w:tcPr>
            <w:tcW w:w="783" w:type="dxa"/>
            <w:shd w:val="clear" w:color="auto" w:fill="auto"/>
            <w:vAlign w:val="center"/>
            <w:hideMark/>
          </w:tcPr>
          <w:p w14:paraId="27E89FAC" w14:textId="77777777" w:rsidR="007523B8" w:rsidRPr="009E06AA" w:rsidRDefault="007523B8" w:rsidP="003A64A5">
            <w:pPr>
              <w:pStyle w:val="TableText"/>
              <w:keepNext/>
              <w:spacing w:before="40" w:after="40"/>
              <w:jc w:val="right"/>
              <w:rPr>
                <w:color w:val="000000"/>
              </w:rPr>
            </w:pPr>
            <w:r w:rsidRPr="009E06AA">
              <w:rPr>
                <w:rFonts w:cs="Calibri"/>
                <w:color w:val="000000"/>
                <w:szCs w:val="16"/>
              </w:rPr>
              <w:t>1,858.4</w:t>
            </w:r>
          </w:p>
        </w:tc>
        <w:tc>
          <w:tcPr>
            <w:tcW w:w="1485" w:type="dxa"/>
            <w:shd w:val="clear" w:color="auto" w:fill="auto"/>
            <w:vAlign w:val="center"/>
            <w:hideMark/>
          </w:tcPr>
          <w:p w14:paraId="22426054" w14:textId="77777777" w:rsidR="007523B8" w:rsidRPr="009E06AA" w:rsidRDefault="007523B8" w:rsidP="003A64A5">
            <w:pPr>
              <w:pStyle w:val="TableText"/>
              <w:keepNext/>
              <w:spacing w:before="40" w:after="40"/>
              <w:jc w:val="right"/>
              <w:rPr>
                <w:color w:val="000000"/>
              </w:rPr>
            </w:pPr>
            <w:r w:rsidRPr="009E06AA">
              <w:rPr>
                <w:rFonts w:cs="Calibri"/>
                <w:color w:val="000000"/>
                <w:szCs w:val="16"/>
              </w:rPr>
              <w:t>1,005.6</w:t>
            </w:r>
          </w:p>
        </w:tc>
        <w:tc>
          <w:tcPr>
            <w:tcW w:w="1537" w:type="dxa"/>
            <w:shd w:val="clear" w:color="auto" w:fill="auto"/>
            <w:vAlign w:val="center"/>
            <w:hideMark/>
          </w:tcPr>
          <w:p w14:paraId="67763DFF" w14:textId="77777777" w:rsidR="007523B8" w:rsidRPr="009E06AA" w:rsidRDefault="007523B8" w:rsidP="003A64A5">
            <w:pPr>
              <w:pStyle w:val="TableText"/>
              <w:keepNext/>
              <w:spacing w:before="40" w:after="40"/>
              <w:jc w:val="right"/>
              <w:rPr>
                <w:color w:val="000000"/>
              </w:rPr>
            </w:pPr>
            <w:r w:rsidRPr="009E06AA">
              <w:rPr>
                <w:rFonts w:cs="Calibri"/>
                <w:color w:val="000000"/>
                <w:szCs w:val="16"/>
              </w:rPr>
              <w:t>117.9</w:t>
            </w:r>
          </w:p>
        </w:tc>
      </w:tr>
      <w:tr w:rsidR="007523B8" w:rsidRPr="009E06AA" w14:paraId="76FB292F" w14:textId="77777777" w:rsidTr="00B55F24">
        <w:tc>
          <w:tcPr>
            <w:tcW w:w="1677" w:type="dxa"/>
            <w:vMerge/>
            <w:vAlign w:val="center"/>
            <w:hideMark/>
          </w:tcPr>
          <w:p w14:paraId="1C8E7C1D" w14:textId="77777777" w:rsidR="007523B8" w:rsidRPr="009E06AA" w:rsidRDefault="007523B8" w:rsidP="00DB6582">
            <w:pPr>
              <w:pStyle w:val="TableText"/>
              <w:spacing w:before="40" w:after="40"/>
              <w:rPr>
                <w:color w:val="000000"/>
              </w:rPr>
            </w:pPr>
          </w:p>
        </w:tc>
        <w:tc>
          <w:tcPr>
            <w:tcW w:w="2151" w:type="dxa"/>
            <w:shd w:val="clear" w:color="auto" w:fill="auto"/>
            <w:vAlign w:val="center"/>
            <w:hideMark/>
          </w:tcPr>
          <w:p w14:paraId="213C23B4" w14:textId="77777777" w:rsidR="007523B8" w:rsidRPr="009E06AA" w:rsidRDefault="007523B8" w:rsidP="00DB6582">
            <w:pPr>
              <w:pStyle w:val="TableText"/>
              <w:spacing w:before="40" w:after="40"/>
              <w:rPr>
                <w:color w:val="000000"/>
              </w:rPr>
            </w:pPr>
            <w:r w:rsidRPr="009E06AA">
              <w:rPr>
                <w:rFonts w:cs="Calibri"/>
                <w:color w:val="000000"/>
                <w:szCs w:val="16"/>
              </w:rPr>
              <w:t>Difference in emissions estimates compared with current inventory </w:t>
            </w:r>
          </w:p>
        </w:tc>
        <w:tc>
          <w:tcPr>
            <w:tcW w:w="872" w:type="dxa"/>
            <w:shd w:val="clear" w:color="auto" w:fill="auto"/>
            <w:vAlign w:val="center"/>
            <w:hideMark/>
          </w:tcPr>
          <w:p w14:paraId="1B326897" w14:textId="77777777" w:rsidR="007523B8" w:rsidRPr="009E06AA" w:rsidRDefault="007523B8" w:rsidP="003A64A5">
            <w:pPr>
              <w:pStyle w:val="TableText"/>
              <w:spacing w:before="40" w:after="40"/>
              <w:jc w:val="right"/>
              <w:rPr>
                <w:color w:val="000000"/>
              </w:rPr>
            </w:pPr>
            <w:r w:rsidRPr="009E06AA">
              <w:rPr>
                <w:rFonts w:cs="Calibri"/>
                <w:color w:val="000000"/>
                <w:szCs w:val="16"/>
              </w:rPr>
              <w:t>-0.1</w:t>
            </w:r>
          </w:p>
        </w:tc>
        <w:tc>
          <w:tcPr>
            <w:tcW w:w="783" w:type="dxa"/>
            <w:shd w:val="clear" w:color="auto" w:fill="auto"/>
            <w:vAlign w:val="center"/>
            <w:hideMark/>
          </w:tcPr>
          <w:p w14:paraId="77E3252B" w14:textId="77777777" w:rsidR="007523B8" w:rsidRPr="009E06AA" w:rsidRDefault="007523B8" w:rsidP="003A64A5">
            <w:pPr>
              <w:pStyle w:val="TableText"/>
              <w:spacing w:before="40" w:after="40"/>
              <w:jc w:val="right"/>
              <w:rPr>
                <w:color w:val="000000"/>
              </w:rPr>
            </w:pPr>
            <w:r w:rsidRPr="009E06AA">
              <w:rPr>
                <w:rFonts w:cs="Calibri"/>
                <w:color w:val="000000"/>
                <w:szCs w:val="16"/>
              </w:rPr>
              <w:t>1.2</w:t>
            </w:r>
          </w:p>
        </w:tc>
        <w:tc>
          <w:tcPr>
            <w:tcW w:w="1485" w:type="dxa"/>
            <w:shd w:val="clear" w:color="auto" w:fill="auto"/>
            <w:vAlign w:val="center"/>
            <w:hideMark/>
          </w:tcPr>
          <w:p w14:paraId="6015EB4A" w14:textId="77777777" w:rsidR="007523B8" w:rsidRPr="009E06AA" w:rsidRDefault="007523B8" w:rsidP="003A64A5">
            <w:pPr>
              <w:pStyle w:val="TableText"/>
              <w:spacing w:before="40" w:after="40"/>
              <w:jc w:val="right"/>
              <w:rPr>
                <w:color w:val="000000"/>
              </w:rPr>
            </w:pPr>
            <w:r w:rsidRPr="009E06AA">
              <w:rPr>
                <w:rFonts w:cs="Calibri"/>
                <w:color w:val="000000"/>
                <w:szCs w:val="16"/>
              </w:rPr>
              <w:t>1.3</w:t>
            </w:r>
          </w:p>
        </w:tc>
        <w:tc>
          <w:tcPr>
            <w:tcW w:w="1537" w:type="dxa"/>
            <w:shd w:val="clear" w:color="auto" w:fill="auto"/>
            <w:vAlign w:val="center"/>
            <w:hideMark/>
          </w:tcPr>
          <w:p w14:paraId="43F05BB6" w14:textId="77777777" w:rsidR="007523B8" w:rsidRPr="009E06AA" w:rsidRDefault="007523B8" w:rsidP="003A64A5">
            <w:pPr>
              <w:pStyle w:val="TableText"/>
              <w:spacing w:before="40" w:after="40"/>
              <w:jc w:val="right"/>
              <w:rPr>
                <w:color w:val="000000"/>
              </w:rPr>
            </w:pPr>
            <w:r w:rsidRPr="009E06AA">
              <w:rPr>
                <w:rFonts w:cs="Calibri"/>
                <w:color w:val="000000"/>
                <w:szCs w:val="16"/>
              </w:rPr>
              <w:t> </w:t>
            </w:r>
          </w:p>
        </w:tc>
      </w:tr>
      <w:tr w:rsidR="007523B8" w:rsidRPr="009E06AA" w14:paraId="0C37E256" w14:textId="77777777" w:rsidTr="00B55F24">
        <w:tc>
          <w:tcPr>
            <w:tcW w:w="1677" w:type="dxa"/>
            <w:vMerge/>
            <w:vAlign w:val="center"/>
            <w:hideMark/>
          </w:tcPr>
          <w:p w14:paraId="1C67E8A3" w14:textId="77777777" w:rsidR="007523B8" w:rsidRPr="009E06AA" w:rsidRDefault="007523B8" w:rsidP="00DB6582">
            <w:pPr>
              <w:pStyle w:val="TableText"/>
              <w:spacing w:before="40" w:after="40"/>
              <w:rPr>
                <w:color w:val="000000"/>
              </w:rPr>
            </w:pPr>
          </w:p>
        </w:tc>
        <w:tc>
          <w:tcPr>
            <w:tcW w:w="2151" w:type="dxa"/>
            <w:shd w:val="clear" w:color="auto" w:fill="auto"/>
            <w:vAlign w:val="center"/>
            <w:hideMark/>
          </w:tcPr>
          <w:p w14:paraId="595472BB" w14:textId="77777777" w:rsidR="007523B8" w:rsidRPr="009E06AA" w:rsidRDefault="007523B8" w:rsidP="00DB6582">
            <w:pPr>
              <w:pStyle w:val="TableText"/>
              <w:spacing w:before="40" w:after="40"/>
              <w:rPr>
                <w:color w:val="000000"/>
              </w:rPr>
            </w:pPr>
            <w:r w:rsidRPr="009E06AA">
              <w:rPr>
                <w:rFonts w:cs="Calibri"/>
                <w:color w:val="000000"/>
                <w:szCs w:val="16"/>
              </w:rPr>
              <w:t>Percentage difference in emissions estimates (%)</w:t>
            </w:r>
          </w:p>
        </w:tc>
        <w:tc>
          <w:tcPr>
            <w:tcW w:w="872" w:type="dxa"/>
            <w:shd w:val="clear" w:color="auto" w:fill="auto"/>
            <w:vAlign w:val="center"/>
            <w:hideMark/>
          </w:tcPr>
          <w:p w14:paraId="17C24EA5" w14:textId="77777777" w:rsidR="007523B8" w:rsidRPr="009E06AA" w:rsidRDefault="007523B8" w:rsidP="003A64A5">
            <w:pPr>
              <w:pStyle w:val="TableText"/>
              <w:spacing w:before="40" w:after="40"/>
              <w:jc w:val="right"/>
              <w:rPr>
                <w:color w:val="000000"/>
              </w:rPr>
            </w:pPr>
            <w:r w:rsidRPr="009E06AA">
              <w:rPr>
                <w:rFonts w:cs="Calibri"/>
                <w:color w:val="000000"/>
                <w:szCs w:val="16"/>
              </w:rPr>
              <w:t>-0.01</w:t>
            </w:r>
          </w:p>
        </w:tc>
        <w:tc>
          <w:tcPr>
            <w:tcW w:w="783" w:type="dxa"/>
            <w:shd w:val="clear" w:color="auto" w:fill="auto"/>
            <w:vAlign w:val="center"/>
            <w:hideMark/>
          </w:tcPr>
          <w:p w14:paraId="144FDA33" w14:textId="77777777" w:rsidR="007523B8" w:rsidRPr="009E06AA" w:rsidRDefault="007523B8" w:rsidP="003A64A5">
            <w:pPr>
              <w:pStyle w:val="TableText"/>
              <w:spacing w:before="40" w:after="40"/>
              <w:jc w:val="right"/>
              <w:rPr>
                <w:color w:val="000000"/>
              </w:rPr>
            </w:pPr>
            <w:r w:rsidRPr="009E06AA">
              <w:rPr>
                <w:rFonts w:cs="Calibri"/>
                <w:color w:val="000000"/>
                <w:szCs w:val="16"/>
              </w:rPr>
              <w:t>0.07</w:t>
            </w:r>
          </w:p>
        </w:tc>
        <w:tc>
          <w:tcPr>
            <w:tcW w:w="1485" w:type="dxa"/>
            <w:shd w:val="clear" w:color="auto" w:fill="auto"/>
            <w:vAlign w:val="center"/>
            <w:hideMark/>
          </w:tcPr>
          <w:p w14:paraId="56728A3A" w14:textId="77777777" w:rsidR="007523B8" w:rsidRPr="009E06AA" w:rsidRDefault="007523B8" w:rsidP="003A64A5">
            <w:pPr>
              <w:pStyle w:val="TableText"/>
              <w:spacing w:before="40" w:after="40"/>
              <w:jc w:val="right"/>
              <w:rPr>
                <w:color w:val="000000"/>
              </w:rPr>
            </w:pPr>
            <w:r w:rsidRPr="009E06AA">
              <w:rPr>
                <w:rFonts w:cs="Calibri"/>
                <w:color w:val="000000"/>
                <w:szCs w:val="16"/>
              </w:rPr>
              <w:t> </w:t>
            </w:r>
          </w:p>
        </w:tc>
        <w:tc>
          <w:tcPr>
            <w:tcW w:w="1537" w:type="dxa"/>
            <w:shd w:val="clear" w:color="auto" w:fill="auto"/>
            <w:vAlign w:val="center"/>
            <w:hideMark/>
          </w:tcPr>
          <w:p w14:paraId="032DB9A7" w14:textId="77777777" w:rsidR="007523B8" w:rsidRPr="009E06AA" w:rsidRDefault="007523B8" w:rsidP="003A64A5">
            <w:pPr>
              <w:pStyle w:val="TableText"/>
              <w:spacing w:before="40" w:after="40"/>
              <w:jc w:val="right"/>
              <w:rPr>
                <w:color w:val="000000"/>
              </w:rPr>
            </w:pPr>
            <w:r w:rsidRPr="009E06AA">
              <w:rPr>
                <w:rFonts w:cs="Calibri"/>
                <w:color w:val="000000"/>
                <w:szCs w:val="16"/>
              </w:rPr>
              <w:t> </w:t>
            </w:r>
          </w:p>
        </w:tc>
      </w:tr>
    </w:tbl>
    <w:p w14:paraId="56F2A63B" w14:textId="77777777" w:rsidR="007523B8" w:rsidRPr="009E06AA" w:rsidRDefault="007523B8" w:rsidP="007523B8">
      <w:pPr>
        <w:pStyle w:val="Noteundertable"/>
        <w:rPr>
          <w:rFonts w:cs="Calibri"/>
        </w:rPr>
      </w:pPr>
      <w:r w:rsidRPr="009E06AA">
        <w:rPr>
          <w:rFonts w:cs="Calibri"/>
          <w:b/>
          <w:bCs/>
        </w:rPr>
        <w:t xml:space="preserve">Note: </w:t>
      </w:r>
      <w:r w:rsidRPr="009E06AA">
        <w:rPr>
          <w:rFonts w:cs="Calibri"/>
          <w:b/>
          <w:bCs/>
        </w:rPr>
        <w:tab/>
      </w:r>
      <w:r w:rsidRPr="009E06AA">
        <w:rPr>
          <w:rFonts w:cs="Calibri"/>
        </w:rPr>
        <w:t>Columns may not sum due to rounding. Percentages presented are calculated from unrounded values.</w:t>
      </w:r>
    </w:p>
    <w:p w14:paraId="35DFFD9E" w14:textId="77777777" w:rsidR="007523B8" w:rsidRPr="009E06AA" w:rsidRDefault="007523B8" w:rsidP="007523B8">
      <w:pPr>
        <w:pStyle w:val="Table"/>
        <w:rPr>
          <w:rFonts w:cs="Calibri"/>
          <w:i/>
          <w:iCs/>
        </w:rPr>
      </w:pPr>
      <w:bookmarkStart w:id="1129" w:name="_Toc160114456"/>
      <w:bookmarkStart w:id="1130" w:name="_Toc164153852"/>
      <w:r w:rsidRPr="009E06AA">
        <w:rPr>
          <w:rFonts w:cs="Calibri"/>
        </w:rPr>
        <w:t>Table 5.3.10</w:t>
      </w:r>
      <w:r w:rsidRPr="009E06AA">
        <w:rPr>
          <w:rFonts w:cs="Calibri"/>
        </w:rPr>
        <w:tab/>
        <w:t xml:space="preserve">Comparison of emissions with and without corrections for emissions from </w:t>
      </w:r>
      <w:r w:rsidRPr="009E06AA">
        <w:rPr>
          <w:rFonts w:cs="Calibri"/>
          <w:i/>
        </w:rPr>
        <w:t>Manure management</w:t>
      </w:r>
      <w:bookmarkEnd w:id="1129"/>
      <w:bookmarkEnd w:id="1130"/>
      <w:r w:rsidRPr="009E06AA">
        <w:rPr>
          <w:rFonts w:cs="Calibri"/>
          <w:i/>
          <w:iCs/>
        </w:rPr>
        <w:t xml:space="preserve"> </w:t>
      </w:r>
    </w:p>
    <w:tbl>
      <w:tblPr>
        <w:tblW w:w="8505" w:type="dxa"/>
        <w:tblBorders>
          <w:top w:val="single" w:sz="4" w:space="0" w:color="1B556B" w:themeColor="text2"/>
          <w:bottom w:val="single" w:sz="4" w:space="0" w:color="1B556B" w:themeColor="text2"/>
          <w:insideH w:val="single" w:sz="4" w:space="0" w:color="1B556B" w:themeColor="text2"/>
        </w:tblBorders>
        <w:tblLook w:val="04A0" w:firstRow="1" w:lastRow="0" w:firstColumn="1" w:lastColumn="0" w:noHBand="0" w:noVBand="1"/>
      </w:tblPr>
      <w:tblGrid>
        <w:gridCol w:w="1677"/>
        <w:gridCol w:w="2151"/>
        <w:gridCol w:w="872"/>
        <w:gridCol w:w="783"/>
        <w:gridCol w:w="1485"/>
        <w:gridCol w:w="1537"/>
      </w:tblGrid>
      <w:tr w:rsidR="007523B8" w:rsidRPr="009E06AA" w14:paraId="69D7D57B" w14:textId="77777777" w:rsidTr="00B55F24">
        <w:trPr>
          <w:tblHeader/>
        </w:trPr>
        <w:tc>
          <w:tcPr>
            <w:tcW w:w="1677" w:type="dxa"/>
            <w:shd w:val="clear" w:color="000000" w:fill="1B556B"/>
            <w:vAlign w:val="bottom"/>
            <w:hideMark/>
          </w:tcPr>
          <w:p w14:paraId="6D1158EF" w14:textId="77777777" w:rsidR="007523B8" w:rsidRPr="009E06AA" w:rsidRDefault="007523B8" w:rsidP="00DB6582">
            <w:pPr>
              <w:pStyle w:val="TableText"/>
              <w:spacing w:before="40" w:after="40"/>
              <w:rPr>
                <w:b/>
                <w:bCs/>
                <w:color w:val="FFFFFF" w:themeColor="background1"/>
              </w:rPr>
            </w:pPr>
            <w:r w:rsidRPr="009E06AA">
              <w:rPr>
                <w:b/>
                <w:bCs/>
                <w:color w:val="FFFFFF" w:themeColor="background1"/>
              </w:rPr>
              <w:t>Emissions (kt CO</w:t>
            </w:r>
            <w:r w:rsidRPr="009E06AA">
              <w:rPr>
                <w:b/>
                <w:bCs/>
                <w:color w:val="FFFFFF" w:themeColor="background1"/>
                <w:vertAlign w:val="subscript"/>
              </w:rPr>
              <w:t>2</w:t>
            </w:r>
            <w:r w:rsidRPr="009E06AA">
              <w:rPr>
                <w:b/>
                <w:bCs/>
                <w:color w:val="FFFFFF" w:themeColor="background1"/>
              </w:rPr>
              <w:t>-e)</w:t>
            </w:r>
          </w:p>
        </w:tc>
        <w:tc>
          <w:tcPr>
            <w:tcW w:w="2151" w:type="dxa"/>
            <w:shd w:val="clear" w:color="000000" w:fill="1B556B"/>
            <w:vAlign w:val="bottom"/>
            <w:hideMark/>
          </w:tcPr>
          <w:p w14:paraId="4D8DAE0D" w14:textId="77777777" w:rsidR="007523B8" w:rsidRPr="009E06AA" w:rsidRDefault="007523B8" w:rsidP="00DB6582">
            <w:pPr>
              <w:pStyle w:val="TableText"/>
              <w:spacing w:before="40" w:after="40"/>
              <w:rPr>
                <w:b/>
                <w:bCs/>
                <w:color w:val="FFFFFF" w:themeColor="background1"/>
              </w:rPr>
            </w:pPr>
            <w:r w:rsidRPr="009E06AA">
              <w:rPr>
                <w:b/>
                <w:bCs/>
                <w:color w:val="FFFFFF" w:themeColor="background1"/>
              </w:rPr>
              <w:t> </w:t>
            </w:r>
          </w:p>
        </w:tc>
        <w:tc>
          <w:tcPr>
            <w:tcW w:w="872" w:type="dxa"/>
            <w:shd w:val="clear" w:color="000000" w:fill="1B556B"/>
            <w:vAlign w:val="bottom"/>
            <w:hideMark/>
          </w:tcPr>
          <w:p w14:paraId="4F5B11D9" w14:textId="77777777" w:rsidR="007523B8" w:rsidRPr="009E06AA" w:rsidRDefault="007523B8" w:rsidP="003A64A5">
            <w:pPr>
              <w:pStyle w:val="TableText"/>
              <w:spacing w:before="40" w:after="40"/>
              <w:jc w:val="right"/>
              <w:rPr>
                <w:b/>
                <w:bCs/>
                <w:color w:val="FFFFFF" w:themeColor="background1"/>
              </w:rPr>
            </w:pPr>
            <w:r w:rsidRPr="009E06AA">
              <w:rPr>
                <w:b/>
                <w:bCs/>
                <w:color w:val="FFFFFF" w:themeColor="background1"/>
              </w:rPr>
              <w:t>1990</w:t>
            </w:r>
          </w:p>
        </w:tc>
        <w:tc>
          <w:tcPr>
            <w:tcW w:w="783" w:type="dxa"/>
            <w:shd w:val="clear" w:color="000000" w:fill="1B556B"/>
            <w:vAlign w:val="bottom"/>
            <w:hideMark/>
          </w:tcPr>
          <w:p w14:paraId="73C88599" w14:textId="77777777" w:rsidR="007523B8" w:rsidRPr="009E06AA" w:rsidRDefault="007523B8" w:rsidP="003A64A5">
            <w:pPr>
              <w:pStyle w:val="TableText"/>
              <w:spacing w:before="40" w:after="40"/>
              <w:jc w:val="right"/>
              <w:rPr>
                <w:b/>
                <w:bCs/>
                <w:color w:val="FFFFFF" w:themeColor="background1"/>
              </w:rPr>
            </w:pPr>
            <w:r w:rsidRPr="009E06AA">
              <w:rPr>
                <w:b/>
                <w:bCs/>
                <w:color w:val="FFFFFF" w:themeColor="background1"/>
              </w:rPr>
              <w:t>2021</w:t>
            </w:r>
          </w:p>
        </w:tc>
        <w:tc>
          <w:tcPr>
            <w:tcW w:w="1485" w:type="dxa"/>
            <w:shd w:val="clear" w:color="000000" w:fill="1B556B"/>
            <w:vAlign w:val="bottom"/>
            <w:hideMark/>
          </w:tcPr>
          <w:p w14:paraId="6EBA41A1" w14:textId="77777777" w:rsidR="007523B8" w:rsidRPr="009E06AA" w:rsidRDefault="007523B8" w:rsidP="003A64A5">
            <w:pPr>
              <w:pStyle w:val="TableText"/>
              <w:spacing w:before="40" w:after="40"/>
              <w:jc w:val="right"/>
              <w:rPr>
                <w:b/>
                <w:bCs/>
                <w:color w:val="FFFFFF" w:themeColor="background1"/>
              </w:rPr>
            </w:pPr>
            <w:r w:rsidRPr="009E06AA">
              <w:rPr>
                <w:b/>
                <w:bCs/>
                <w:color w:val="FFFFFF" w:themeColor="background1"/>
              </w:rPr>
              <w:t>Change in emission outputs between 1990 and 2021 (kt CO</w:t>
            </w:r>
            <w:r w:rsidRPr="009E06AA">
              <w:rPr>
                <w:b/>
                <w:bCs/>
                <w:color w:val="FFFFFF" w:themeColor="background1"/>
                <w:vertAlign w:val="subscript"/>
              </w:rPr>
              <w:t>2</w:t>
            </w:r>
            <w:r w:rsidRPr="009E06AA">
              <w:rPr>
                <w:b/>
                <w:bCs/>
                <w:color w:val="FFFFFF" w:themeColor="background1"/>
              </w:rPr>
              <w:t>-e)</w:t>
            </w:r>
          </w:p>
        </w:tc>
        <w:tc>
          <w:tcPr>
            <w:tcW w:w="1537" w:type="dxa"/>
            <w:shd w:val="clear" w:color="000000" w:fill="1B556B"/>
            <w:vAlign w:val="bottom"/>
            <w:hideMark/>
          </w:tcPr>
          <w:p w14:paraId="7A74B1D9" w14:textId="77777777" w:rsidR="007523B8" w:rsidRPr="009E06AA" w:rsidRDefault="007523B8" w:rsidP="003A64A5">
            <w:pPr>
              <w:pStyle w:val="TableText"/>
              <w:spacing w:before="40" w:after="40"/>
              <w:jc w:val="right"/>
              <w:rPr>
                <w:b/>
                <w:bCs/>
                <w:color w:val="FFFFFF" w:themeColor="background1"/>
              </w:rPr>
            </w:pPr>
            <w:r w:rsidRPr="009E06AA">
              <w:rPr>
                <w:b/>
                <w:bCs/>
                <w:color w:val="FFFFFF" w:themeColor="background1"/>
              </w:rPr>
              <w:t>Percentage change in emission outputs between 1990 and 2021 (%)</w:t>
            </w:r>
          </w:p>
        </w:tc>
      </w:tr>
      <w:tr w:rsidR="007523B8" w:rsidRPr="009E06AA" w14:paraId="1327520B" w14:textId="77777777" w:rsidTr="00B55F24">
        <w:tc>
          <w:tcPr>
            <w:tcW w:w="1677" w:type="dxa"/>
            <w:vMerge w:val="restart"/>
            <w:shd w:val="clear" w:color="auto" w:fill="auto"/>
            <w:vAlign w:val="center"/>
            <w:hideMark/>
          </w:tcPr>
          <w:p w14:paraId="1825AF12" w14:textId="77777777" w:rsidR="007523B8" w:rsidRPr="009E06AA" w:rsidRDefault="007523B8" w:rsidP="00DB6582">
            <w:pPr>
              <w:pStyle w:val="TableText"/>
              <w:spacing w:before="40" w:after="40"/>
              <w:rPr>
                <w:color w:val="000000"/>
              </w:rPr>
            </w:pPr>
            <w:r w:rsidRPr="009E06AA">
              <w:rPr>
                <w:color w:val="000000"/>
              </w:rPr>
              <w:t xml:space="preserve">Total emissions from </w:t>
            </w:r>
            <w:r w:rsidRPr="009E06AA">
              <w:rPr>
                <w:i/>
                <w:iCs/>
                <w:color w:val="000000"/>
              </w:rPr>
              <w:t>Manure management</w:t>
            </w:r>
            <w:r w:rsidRPr="009E06AA">
              <w:rPr>
                <w:color w:val="000000"/>
              </w:rPr>
              <w:t xml:space="preserve"> (kt CO</w:t>
            </w:r>
            <w:r w:rsidRPr="009E06AA">
              <w:rPr>
                <w:color w:val="000000"/>
                <w:vertAlign w:val="subscript"/>
              </w:rPr>
              <w:t>2</w:t>
            </w:r>
            <w:r w:rsidRPr="009E06AA">
              <w:rPr>
                <w:color w:val="000000"/>
              </w:rPr>
              <w:t>-e)</w:t>
            </w:r>
          </w:p>
        </w:tc>
        <w:tc>
          <w:tcPr>
            <w:tcW w:w="2151" w:type="dxa"/>
            <w:shd w:val="clear" w:color="auto" w:fill="auto"/>
            <w:vAlign w:val="center"/>
            <w:hideMark/>
          </w:tcPr>
          <w:p w14:paraId="78BA01C7" w14:textId="77777777" w:rsidR="007523B8" w:rsidRPr="009E06AA" w:rsidRDefault="007523B8" w:rsidP="00DB6582">
            <w:pPr>
              <w:pStyle w:val="TableText"/>
              <w:spacing w:before="40" w:after="40"/>
              <w:rPr>
                <w:color w:val="000000"/>
              </w:rPr>
            </w:pPr>
            <w:r w:rsidRPr="009E06AA">
              <w:rPr>
                <w:rFonts w:cs="Calibri"/>
                <w:color w:val="000000"/>
                <w:szCs w:val="16"/>
              </w:rPr>
              <w:t>2023 (1990–2021) emissions estimate without corrections</w:t>
            </w:r>
          </w:p>
        </w:tc>
        <w:tc>
          <w:tcPr>
            <w:tcW w:w="872" w:type="dxa"/>
            <w:shd w:val="clear" w:color="auto" w:fill="auto"/>
            <w:vAlign w:val="center"/>
            <w:hideMark/>
          </w:tcPr>
          <w:p w14:paraId="12E330FF" w14:textId="77777777" w:rsidR="007523B8" w:rsidRPr="009E06AA" w:rsidRDefault="007523B8" w:rsidP="003A64A5">
            <w:pPr>
              <w:pStyle w:val="TableText"/>
              <w:spacing w:before="40" w:after="40"/>
              <w:jc w:val="right"/>
              <w:rPr>
                <w:color w:val="000000"/>
              </w:rPr>
            </w:pPr>
            <w:r w:rsidRPr="009E06AA">
              <w:rPr>
                <w:rFonts w:cs="Calibri"/>
                <w:color w:val="000000"/>
                <w:szCs w:val="16"/>
              </w:rPr>
              <w:t>852.9</w:t>
            </w:r>
          </w:p>
        </w:tc>
        <w:tc>
          <w:tcPr>
            <w:tcW w:w="783" w:type="dxa"/>
            <w:shd w:val="clear" w:color="auto" w:fill="auto"/>
            <w:vAlign w:val="center"/>
            <w:hideMark/>
          </w:tcPr>
          <w:p w14:paraId="30DB6A4C" w14:textId="77777777" w:rsidR="007523B8" w:rsidRPr="009E06AA" w:rsidRDefault="007523B8" w:rsidP="003A64A5">
            <w:pPr>
              <w:pStyle w:val="TableText"/>
              <w:spacing w:before="40" w:after="40"/>
              <w:jc w:val="right"/>
              <w:rPr>
                <w:color w:val="000000"/>
              </w:rPr>
            </w:pPr>
            <w:r w:rsidRPr="009E06AA">
              <w:rPr>
                <w:rFonts w:cs="Calibri"/>
                <w:color w:val="000000"/>
                <w:szCs w:val="16"/>
              </w:rPr>
              <w:t>1,857.1</w:t>
            </w:r>
          </w:p>
        </w:tc>
        <w:tc>
          <w:tcPr>
            <w:tcW w:w="1485" w:type="dxa"/>
            <w:shd w:val="clear" w:color="auto" w:fill="auto"/>
            <w:vAlign w:val="center"/>
            <w:hideMark/>
          </w:tcPr>
          <w:p w14:paraId="6C89C045" w14:textId="77777777" w:rsidR="007523B8" w:rsidRPr="009E06AA" w:rsidRDefault="007523B8" w:rsidP="003A64A5">
            <w:pPr>
              <w:pStyle w:val="TableText"/>
              <w:spacing w:before="40" w:after="40"/>
              <w:jc w:val="right"/>
              <w:rPr>
                <w:color w:val="000000"/>
              </w:rPr>
            </w:pPr>
            <w:r w:rsidRPr="009E06AA">
              <w:rPr>
                <w:rFonts w:cs="Calibri"/>
                <w:color w:val="000000"/>
                <w:szCs w:val="16"/>
              </w:rPr>
              <w:t>1,004.3</w:t>
            </w:r>
          </w:p>
        </w:tc>
        <w:tc>
          <w:tcPr>
            <w:tcW w:w="1537" w:type="dxa"/>
            <w:shd w:val="clear" w:color="auto" w:fill="auto"/>
            <w:vAlign w:val="center"/>
            <w:hideMark/>
          </w:tcPr>
          <w:p w14:paraId="7BA20F06" w14:textId="77777777" w:rsidR="007523B8" w:rsidRPr="009E06AA" w:rsidRDefault="007523B8" w:rsidP="003A64A5">
            <w:pPr>
              <w:pStyle w:val="TableText"/>
              <w:spacing w:before="40" w:after="40"/>
              <w:jc w:val="right"/>
              <w:rPr>
                <w:color w:val="000000"/>
              </w:rPr>
            </w:pPr>
            <w:r w:rsidRPr="009E06AA">
              <w:rPr>
                <w:rFonts w:cs="Calibri"/>
                <w:color w:val="000000"/>
                <w:szCs w:val="16"/>
              </w:rPr>
              <w:t>117.8</w:t>
            </w:r>
          </w:p>
        </w:tc>
      </w:tr>
      <w:tr w:rsidR="007523B8" w:rsidRPr="009E06AA" w14:paraId="32D44E23" w14:textId="77777777" w:rsidTr="00B55F24">
        <w:tc>
          <w:tcPr>
            <w:tcW w:w="1677" w:type="dxa"/>
            <w:vMerge/>
            <w:vAlign w:val="center"/>
            <w:hideMark/>
          </w:tcPr>
          <w:p w14:paraId="66832305" w14:textId="77777777" w:rsidR="007523B8" w:rsidRPr="009E06AA" w:rsidRDefault="007523B8" w:rsidP="00DB6582">
            <w:pPr>
              <w:pStyle w:val="TableText"/>
              <w:spacing w:before="40" w:after="40"/>
              <w:rPr>
                <w:color w:val="000000"/>
              </w:rPr>
            </w:pPr>
          </w:p>
        </w:tc>
        <w:tc>
          <w:tcPr>
            <w:tcW w:w="2151" w:type="dxa"/>
            <w:shd w:val="clear" w:color="auto" w:fill="auto"/>
            <w:vAlign w:val="center"/>
            <w:hideMark/>
          </w:tcPr>
          <w:p w14:paraId="4FE36B67" w14:textId="77777777" w:rsidR="007523B8" w:rsidRPr="009E06AA" w:rsidRDefault="007523B8" w:rsidP="00DB6582">
            <w:pPr>
              <w:pStyle w:val="TableText"/>
              <w:spacing w:before="40" w:after="40"/>
              <w:rPr>
                <w:color w:val="000000"/>
              </w:rPr>
            </w:pPr>
            <w:r w:rsidRPr="009E06AA">
              <w:rPr>
                <w:rFonts w:cs="Calibri"/>
                <w:color w:val="000000"/>
                <w:szCs w:val="16"/>
              </w:rPr>
              <w:t>2023 (1990–2021) emissions estimate with corrections</w:t>
            </w:r>
          </w:p>
        </w:tc>
        <w:tc>
          <w:tcPr>
            <w:tcW w:w="872" w:type="dxa"/>
            <w:shd w:val="clear" w:color="auto" w:fill="auto"/>
            <w:vAlign w:val="center"/>
            <w:hideMark/>
          </w:tcPr>
          <w:p w14:paraId="629C4088" w14:textId="77777777" w:rsidR="007523B8" w:rsidRPr="009E06AA" w:rsidRDefault="007523B8" w:rsidP="003A64A5">
            <w:pPr>
              <w:pStyle w:val="TableText"/>
              <w:spacing w:before="40" w:after="40"/>
              <w:jc w:val="right"/>
              <w:rPr>
                <w:color w:val="000000"/>
              </w:rPr>
            </w:pPr>
            <w:r w:rsidRPr="009E06AA">
              <w:rPr>
                <w:rFonts w:cs="Calibri"/>
                <w:color w:val="000000"/>
                <w:szCs w:val="16"/>
              </w:rPr>
              <w:t>863.5</w:t>
            </w:r>
          </w:p>
        </w:tc>
        <w:tc>
          <w:tcPr>
            <w:tcW w:w="783" w:type="dxa"/>
            <w:shd w:val="clear" w:color="auto" w:fill="auto"/>
            <w:vAlign w:val="center"/>
            <w:hideMark/>
          </w:tcPr>
          <w:p w14:paraId="1F6493C0" w14:textId="77777777" w:rsidR="007523B8" w:rsidRPr="009E06AA" w:rsidRDefault="007523B8" w:rsidP="003A64A5">
            <w:pPr>
              <w:pStyle w:val="TableText"/>
              <w:spacing w:before="40" w:after="40"/>
              <w:jc w:val="right"/>
              <w:rPr>
                <w:color w:val="000000"/>
              </w:rPr>
            </w:pPr>
            <w:r w:rsidRPr="009E06AA">
              <w:rPr>
                <w:rFonts w:cs="Calibri"/>
                <w:color w:val="000000"/>
                <w:szCs w:val="16"/>
              </w:rPr>
              <w:t>1,892.0</w:t>
            </w:r>
          </w:p>
        </w:tc>
        <w:tc>
          <w:tcPr>
            <w:tcW w:w="1485" w:type="dxa"/>
            <w:shd w:val="clear" w:color="auto" w:fill="auto"/>
            <w:vAlign w:val="center"/>
            <w:hideMark/>
          </w:tcPr>
          <w:p w14:paraId="7084E744" w14:textId="77777777" w:rsidR="007523B8" w:rsidRPr="009E06AA" w:rsidRDefault="007523B8" w:rsidP="003A64A5">
            <w:pPr>
              <w:pStyle w:val="TableText"/>
              <w:spacing w:before="40" w:after="40"/>
              <w:jc w:val="right"/>
              <w:rPr>
                <w:color w:val="000000"/>
              </w:rPr>
            </w:pPr>
            <w:r w:rsidRPr="009E06AA">
              <w:rPr>
                <w:rFonts w:cs="Calibri"/>
                <w:color w:val="000000"/>
                <w:szCs w:val="16"/>
              </w:rPr>
              <w:t>1,028.5</w:t>
            </w:r>
          </w:p>
        </w:tc>
        <w:tc>
          <w:tcPr>
            <w:tcW w:w="1537" w:type="dxa"/>
            <w:shd w:val="clear" w:color="auto" w:fill="auto"/>
            <w:vAlign w:val="center"/>
            <w:hideMark/>
          </w:tcPr>
          <w:p w14:paraId="35A91696" w14:textId="77777777" w:rsidR="007523B8" w:rsidRPr="009E06AA" w:rsidRDefault="007523B8" w:rsidP="003A64A5">
            <w:pPr>
              <w:pStyle w:val="TableText"/>
              <w:spacing w:before="40" w:after="40"/>
              <w:jc w:val="right"/>
              <w:rPr>
                <w:color w:val="000000"/>
              </w:rPr>
            </w:pPr>
            <w:r w:rsidRPr="009E06AA">
              <w:rPr>
                <w:rFonts w:cs="Calibri"/>
                <w:color w:val="000000"/>
                <w:szCs w:val="16"/>
              </w:rPr>
              <w:t>119.1</w:t>
            </w:r>
          </w:p>
        </w:tc>
      </w:tr>
      <w:tr w:rsidR="007523B8" w:rsidRPr="009E06AA" w14:paraId="66D555AF" w14:textId="77777777" w:rsidTr="00B55F24">
        <w:tc>
          <w:tcPr>
            <w:tcW w:w="1677" w:type="dxa"/>
            <w:vMerge/>
            <w:vAlign w:val="center"/>
            <w:hideMark/>
          </w:tcPr>
          <w:p w14:paraId="15C65FCC" w14:textId="77777777" w:rsidR="007523B8" w:rsidRPr="009E06AA" w:rsidRDefault="007523B8" w:rsidP="00DB6582">
            <w:pPr>
              <w:pStyle w:val="TableText"/>
              <w:spacing w:before="40" w:after="40"/>
              <w:rPr>
                <w:color w:val="000000"/>
              </w:rPr>
            </w:pPr>
          </w:p>
        </w:tc>
        <w:tc>
          <w:tcPr>
            <w:tcW w:w="2151" w:type="dxa"/>
            <w:shd w:val="clear" w:color="auto" w:fill="auto"/>
            <w:vAlign w:val="center"/>
            <w:hideMark/>
          </w:tcPr>
          <w:p w14:paraId="7655C8BB" w14:textId="77777777" w:rsidR="007523B8" w:rsidRPr="009E06AA" w:rsidRDefault="007523B8" w:rsidP="00DB6582">
            <w:pPr>
              <w:pStyle w:val="TableText"/>
              <w:spacing w:before="40" w:after="40"/>
              <w:rPr>
                <w:color w:val="000000"/>
              </w:rPr>
            </w:pPr>
            <w:r w:rsidRPr="009E06AA">
              <w:rPr>
                <w:rFonts w:cs="Calibri"/>
                <w:color w:val="000000"/>
                <w:szCs w:val="16"/>
              </w:rPr>
              <w:t>Difference in emissions estimates compared with current inventory </w:t>
            </w:r>
          </w:p>
        </w:tc>
        <w:tc>
          <w:tcPr>
            <w:tcW w:w="872" w:type="dxa"/>
            <w:shd w:val="clear" w:color="auto" w:fill="auto"/>
            <w:vAlign w:val="center"/>
            <w:hideMark/>
          </w:tcPr>
          <w:p w14:paraId="5402B3E8" w14:textId="77777777" w:rsidR="007523B8" w:rsidRPr="009E06AA" w:rsidRDefault="007523B8" w:rsidP="003A64A5">
            <w:pPr>
              <w:pStyle w:val="TableText"/>
              <w:spacing w:before="40" w:after="40"/>
              <w:jc w:val="right"/>
              <w:rPr>
                <w:color w:val="000000"/>
              </w:rPr>
            </w:pPr>
            <w:r w:rsidRPr="009E06AA">
              <w:rPr>
                <w:rFonts w:cs="Calibri"/>
                <w:color w:val="000000"/>
                <w:szCs w:val="16"/>
              </w:rPr>
              <w:t>10.6</w:t>
            </w:r>
          </w:p>
        </w:tc>
        <w:tc>
          <w:tcPr>
            <w:tcW w:w="783" w:type="dxa"/>
            <w:shd w:val="clear" w:color="auto" w:fill="auto"/>
            <w:vAlign w:val="center"/>
            <w:hideMark/>
          </w:tcPr>
          <w:p w14:paraId="06BC9C6F" w14:textId="77777777" w:rsidR="007523B8" w:rsidRPr="009E06AA" w:rsidRDefault="007523B8" w:rsidP="003A64A5">
            <w:pPr>
              <w:pStyle w:val="TableText"/>
              <w:spacing w:before="40" w:after="40"/>
              <w:jc w:val="right"/>
              <w:rPr>
                <w:color w:val="000000"/>
              </w:rPr>
            </w:pPr>
            <w:r w:rsidRPr="009E06AA">
              <w:rPr>
                <w:rFonts w:cs="Calibri"/>
                <w:color w:val="000000"/>
                <w:szCs w:val="16"/>
              </w:rPr>
              <w:t>34.8</w:t>
            </w:r>
          </w:p>
        </w:tc>
        <w:tc>
          <w:tcPr>
            <w:tcW w:w="1485" w:type="dxa"/>
            <w:shd w:val="clear" w:color="auto" w:fill="auto"/>
            <w:vAlign w:val="center"/>
            <w:hideMark/>
          </w:tcPr>
          <w:p w14:paraId="0CC9F6F0" w14:textId="77777777" w:rsidR="007523B8" w:rsidRPr="009E06AA" w:rsidRDefault="007523B8" w:rsidP="003A64A5">
            <w:pPr>
              <w:pStyle w:val="TableText"/>
              <w:spacing w:before="40" w:after="40"/>
              <w:jc w:val="right"/>
              <w:rPr>
                <w:color w:val="000000"/>
              </w:rPr>
            </w:pPr>
            <w:r w:rsidRPr="009E06AA">
              <w:rPr>
                <w:rFonts w:cs="Calibri"/>
                <w:color w:val="000000"/>
                <w:szCs w:val="16"/>
              </w:rPr>
              <w:t>24.2</w:t>
            </w:r>
          </w:p>
        </w:tc>
        <w:tc>
          <w:tcPr>
            <w:tcW w:w="1537" w:type="dxa"/>
            <w:shd w:val="clear" w:color="auto" w:fill="auto"/>
            <w:vAlign w:val="center"/>
            <w:hideMark/>
          </w:tcPr>
          <w:p w14:paraId="3B1319E6" w14:textId="77777777" w:rsidR="007523B8" w:rsidRPr="009E06AA" w:rsidRDefault="007523B8" w:rsidP="003A64A5">
            <w:pPr>
              <w:pStyle w:val="TableText"/>
              <w:spacing w:before="40" w:after="40"/>
              <w:jc w:val="right"/>
              <w:rPr>
                <w:color w:val="000000"/>
              </w:rPr>
            </w:pPr>
            <w:r w:rsidRPr="009E06AA">
              <w:rPr>
                <w:rFonts w:cs="Calibri"/>
                <w:color w:val="000000"/>
                <w:szCs w:val="16"/>
              </w:rPr>
              <w:t> </w:t>
            </w:r>
          </w:p>
        </w:tc>
      </w:tr>
      <w:tr w:rsidR="007523B8" w:rsidRPr="009E06AA" w14:paraId="242F6D1E" w14:textId="77777777" w:rsidTr="00B55F24">
        <w:tc>
          <w:tcPr>
            <w:tcW w:w="1677" w:type="dxa"/>
            <w:vMerge/>
            <w:vAlign w:val="center"/>
            <w:hideMark/>
          </w:tcPr>
          <w:p w14:paraId="2144FF35" w14:textId="77777777" w:rsidR="007523B8" w:rsidRPr="009E06AA" w:rsidRDefault="007523B8" w:rsidP="00DB6582">
            <w:pPr>
              <w:pStyle w:val="TableText"/>
              <w:spacing w:before="40" w:after="40"/>
              <w:rPr>
                <w:color w:val="000000"/>
              </w:rPr>
            </w:pPr>
          </w:p>
        </w:tc>
        <w:tc>
          <w:tcPr>
            <w:tcW w:w="2151" w:type="dxa"/>
            <w:shd w:val="clear" w:color="auto" w:fill="auto"/>
            <w:vAlign w:val="center"/>
            <w:hideMark/>
          </w:tcPr>
          <w:p w14:paraId="6EFF458E" w14:textId="77777777" w:rsidR="007523B8" w:rsidRPr="009E06AA" w:rsidRDefault="007523B8" w:rsidP="00DB6582">
            <w:pPr>
              <w:pStyle w:val="TableText"/>
              <w:spacing w:before="40" w:after="40"/>
              <w:rPr>
                <w:color w:val="000000"/>
              </w:rPr>
            </w:pPr>
            <w:r w:rsidRPr="009E06AA">
              <w:rPr>
                <w:rFonts w:cs="Calibri"/>
                <w:color w:val="000000"/>
                <w:szCs w:val="16"/>
              </w:rPr>
              <w:t>Percentage difference in emissions estimates (%)</w:t>
            </w:r>
          </w:p>
        </w:tc>
        <w:tc>
          <w:tcPr>
            <w:tcW w:w="872" w:type="dxa"/>
            <w:shd w:val="clear" w:color="auto" w:fill="auto"/>
            <w:vAlign w:val="center"/>
            <w:hideMark/>
          </w:tcPr>
          <w:p w14:paraId="521C465B" w14:textId="77777777" w:rsidR="007523B8" w:rsidRPr="009E06AA" w:rsidRDefault="007523B8" w:rsidP="003A64A5">
            <w:pPr>
              <w:pStyle w:val="TableText"/>
              <w:spacing w:before="40" w:after="40"/>
              <w:jc w:val="right"/>
              <w:rPr>
                <w:color w:val="000000"/>
              </w:rPr>
            </w:pPr>
            <w:r w:rsidRPr="009E06AA">
              <w:rPr>
                <w:rFonts w:cs="Calibri"/>
                <w:color w:val="000000"/>
                <w:szCs w:val="16"/>
              </w:rPr>
              <w:t>1.2</w:t>
            </w:r>
          </w:p>
        </w:tc>
        <w:tc>
          <w:tcPr>
            <w:tcW w:w="783" w:type="dxa"/>
            <w:shd w:val="clear" w:color="auto" w:fill="auto"/>
            <w:vAlign w:val="center"/>
            <w:hideMark/>
          </w:tcPr>
          <w:p w14:paraId="21C3EEF2" w14:textId="77777777" w:rsidR="007523B8" w:rsidRPr="009E06AA" w:rsidRDefault="007523B8" w:rsidP="003A64A5">
            <w:pPr>
              <w:pStyle w:val="TableText"/>
              <w:spacing w:before="40" w:after="40"/>
              <w:jc w:val="right"/>
              <w:rPr>
                <w:color w:val="000000"/>
              </w:rPr>
            </w:pPr>
            <w:r w:rsidRPr="009E06AA">
              <w:rPr>
                <w:rFonts w:cs="Calibri"/>
                <w:color w:val="000000"/>
                <w:szCs w:val="16"/>
              </w:rPr>
              <w:t>1.9</w:t>
            </w:r>
          </w:p>
        </w:tc>
        <w:tc>
          <w:tcPr>
            <w:tcW w:w="1485" w:type="dxa"/>
            <w:shd w:val="clear" w:color="auto" w:fill="auto"/>
            <w:vAlign w:val="center"/>
            <w:hideMark/>
          </w:tcPr>
          <w:p w14:paraId="74B2843D" w14:textId="77777777" w:rsidR="007523B8" w:rsidRPr="009E06AA" w:rsidRDefault="007523B8" w:rsidP="003A64A5">
            <w:pPr>
              <w:pStyle w:val="TableText"/>
              <w:spacing w:before="40" w:after="40"/>
              <w:jc w:val="right"/>
              <w:rPr>
                <w:color w:val="000000"/>
              </w:rPr>
            </w:pPr>
            <w:r w:rsidRPr="009E06AA">
              <w:rPr>
                <w:rFonts w:cs="Calibri"/>
                <w:color w:val="000000"/>
                <w:szCs w:val="16"/>
              </w:rPr>
              <w:t> </w:t>
            </w:r>
          </w:p>
        </w:tc>
        <w:tc>
          <w:tcPr>
            <w:tcW w:w="1537" w:type="dxa"/>
            <w:shd w:val="clear" w:color="auto" w:fill="auto"/>
            <w:vAlign w:val="center"/>
            <w:hideMark/>
          </w:tcPr>
          <w:p w14:paraId="7F881F8D" w14:textId="77777777" w:rsidR="007523B8" w:rsidRPr="009E06AA" w:rsidRDefault="007523B8" w:rsidP="003A64A5">
            <w:pPr>
              <w:pStyle w:val="TableText"/>
              <w:spacing w:before="40" w:after="40"/>
              <w:jc w:val="right"/>
              <w:rPr>
                <w:color w:val="000000"/>
              </w:rPr>
            </w:pPr>
            <w:r w:rsidRPr="009E06AA">
              <w:rPr>
                <w:rFonts w:cs="Calibri"/>
                <w:color w:val="000000"/>
                <w:szCs w:val="16"/>
              </w:rPr>
              <w:t> </w:t>
            </w:r>
          </w:p>
        </w:tc>
      </w:tr>
    </w:tbl>
    <w:p w14:paraId="4A79EC58" w14:textId="77777777" w:rsidR="007523B8" w:rsidRPr="009E06AA" w:rsidRDefault="007523B8" w:rsidP="00DB6582">
      <w:pPr>
        <w:pStyle w:val="Noteundertable"/>
        <w:spacing w:after="80"/>
        <w:rPr>
          <w:rFonts w:cs="Calibri"/>
        </w:rPr>
      </w:pPr>
      <w:r w:rsidRPr="009E06AA">
        <w:rPr>
          <w:rFonts w:cs="Calibri"/>
          <w:b/>
          <w:bCs/>
        </w:rPr>
        <w:t xml:space="preserve">Note: </w:t>
      </w:r>
      <w:r w:rsidRPr="009E06AA">
        <w:rPr>
          <w:rFonts w:cs="Calibri"/>
          <w:b/>
          <w:bCs/>
        </w:rPr>
        <w:tab/>
      </w:r>
      <w:r w:rsidRPr="009E06AA">
        <w:rPr>
          <w:rFonts w:cs="Calibri"/>
        </w:rPr>
        <w:t>Columns may not sum due to rounding. Percentages presented are calculated from unrounded values.</w:t>
      </w:r>
    </w:p>
    <w:p w14:paraId="426CBAA5" w14:textId="77777777" w:rsidR="007523B8" w:rsidRPr="009E06AA" w:rsidRDefault="007523B8" w:rsidP="00DB6582">
      <w:pPr>
        <w:pStyle w:val="Heading3"/>
      </w:pPr>
      <w:bookmarkStart w:id="1131" w:name="_Toc32570663"/>
      <w:bookmarkStart w:id="1132" w:name="_Toc134847206"/>
      <w:bookmarkStart w:id="1133" w:name="_Toc69611741"/>
      <w:bookmarkStart w:id="1134" w:name="_Toc69612697"/>
      <w:bookmarkStart w:id="1135" w:name="_Toc69612896"/>
      <w:bookmarkStart w:id="1136" w:name="_Toc69613156"/>
      <w:bookmarkStart w:id="1137" w:name="_Toc69633320"/>
      <w:bookmarkStart w:id="1138" w:name="_Toc69717485"/>
      <w:bookmarkStart w:id="1139" w:name="_Toc69802967"/>
      <w:bookmarkStart w:id="1140" w:name="_Toc69815104"/>
      <w:bookmarkStart w:id="1141" w:name="_Toc70492397"/>
      <w:bookmarkStart w:id="1142" w:name="_Toc101310604"/>
      <w:bookmarkStart w:id="1143" w:name="_Toc101318464"/>
      <w:bookmarkStart w:id="1144" w:name="_Toc101318569"/>
      <w:bookmarkStart w:id="1145" w:name="_Toc101318753"/>
      <w:bookmarkStart w:id="1146" w:name="_Toc101334029"/>
      <w:r w:rsidRPr="009E06AA">
        <w:t>5.3.6</w:t>
      </w:r>
      <w:r w:rsidRPr="009E06AA">
        <w:tab/>
        <w:t>Category-specific planned improvements</w:t>
      </w:r>
      <w:bookmarkEnd w:id="1131"/>
      <w:r w:rsidRPr="009E06AA">
        <w:t xml:space="preserve"> </w:t>
      </w:r>
    </w:p>
    <w:bookmarkEnd w:id="1132"/>
    <w:p w14:paraId="60411B24" w14:textId="77777777" w:rsidR="007523B8" w:rsidRPr="009E06AA" w:rsidRDefault="007523B8" w:rsidP="00DB6582">
      <w:pPr>
        <w:pStyle w:val="BodyText"/>
        <w:spacing w:before="100" w:after="100"/>
      </w:pPr>
      <w:r w:rsidRPr="009E06AA">
        <w:t xml:space="preserve">The following section covers the planned improvements being undertaken for </w:t>
      </w:r>
      <w:r w:rsidRPr="009E06AA">
        <w:rPr>
          <w:i/>
          <w:iCs/>
        </w:rPr>
        <w:t>Manure management</w:t>
      </w:r>
      <w:r w:rsidRPr="009E06AA">
        <w:t xml:space="preserve">. These findings may be incorporated in future annual inventory submissions. </w:t>
      </w:r>
    </w:p>
    <w:p w14:paraId="3CBB0DB1" w14:textId="77777777" w:rsidR="007523B8" w:rsidRPr="009E06AA" w:rsidRDefault="007523B8" w:rsidP="00BF2A76">
      <w:pPr>
        <w:pStyle w:val="Heading5"/>
      </w:pPr>
      <w:r w:rsidRPr="009E06AA">
        <w:t>Pork industry survey</w:t>
      </w:r>
    </w:p>
    <w:p w14:paraId="6F09226E" w14:textId="77777777" w:rsidR="007523B8" w:rsidRPr="009E06AA" w:rsidRDefault="007523B8" w:rsidP="007523B8">
      <w:pPr>
        <w:pStyle w:val="BodyText"/>
      </w:pPr>
      <w:r w:rsidRPr="009E06AA">
        <w:t>This project redesigned and updated a survey that was sent out to the New Zealand pork industry in 2009, with the purpose of improving the accuracy of the data used to estimate emissions from swine. A large portion of the new survey focused on the use of manure management systems in the pork industry and whether the results are compatible with the 2006 IPCC Guidelines as well as the 2019 Refinement to the 2006 IPCC Guidelines (IPCC, 2006, 2019).</w:t>
      </w:r>
    </w:p>
    <w:p w14:paraId="4C7ABBB7" w14:textId="77777777" w:rsidR="007523B8" w:rsidRPr="009E06AA" w:rsidRDefault="007523B8" w:rsidP="007523B8">
      <w:pPr>
        <w:pStyle w:val="BodyText"/>
        <w:rPr>
          <w:rFonts w:cs="Calibri"/>
        </w:rPr>
      </w:pPr>
      <w:r w:rsidRPr="009E06AA">
        <w:rPr>
          <w:rFonts w:cs="Calibri"/>
          <w:spacing w:val="-2"/>
        </w:rPr>
        <w:t>In the 10 years since the initial survey was sent out, the swine industry has evolved and progressed</w:t>
      </w:r>
      <w:r w:rsidRPr="009E06AA">
        <w:rPr>
          <w:rFonts w:cs="Calibri"/>
        </w:rPr>
        <w:t xml:space="preserve"> to the point that the data currently used in the </w:t>
      </w:r>
      <w:r w:rsidRPr="009E06AA">
        <w:t>Agriculture</w:t>
      </w:r>
      <w:r w:rsidRPr="009E06AA">
        <w:rPr>
          <w:rFonts w:cs="Calibri"/>
        </w:rPr>
        <w:t xml:space="preserve"> inventory methodology no longer accurately reflect that of the industry. This survey provides</w:t>
      </w:r>
      <w:r w:rsidRPr="009E06AA" w:rsidDel="001434C4">
        <w:rPr>
          <w:rFonts w:cs="Calibri"/>
        </w:rPr>
        <w:t xml:space="preserve"> </w:t>
      </w:r>
      <w:r w:rsidRPr="009E06AA">
        <w:rPr>
          <w:rFonts w:cs="Calibri"/>
        </w:rPr>
        <w:t xml:space="preserve">more up-to-date information, leading to a more accurate estimate of emissions. This survey has recently been completed and the final recommendations were considered by the Agriculture Inventory Advisory Panel in 2023. The Panel recommended further analysis of the survey results before recommendations are incorporated. The recommendations will be considered again for the 2025 submission. </w:t>
      </w:r>
    </w:p>
    <w:p w14:paraId="1B8028BC" w14:textId="77777777" w:rsidR="007523B8" w:rsidRPr="009E06AA" w:rsidRDefault="007523B8" w:rsidP="00BF2A76">
      <w:pPr>
        <w:pStyle w:val="Heading5"/>
        <w:rPr>
          <w:rFonts w:cs="Calibri"/>
        </w:rPr>
      </w:pPr>
      <w:r w:rsidRPr="009E06AA">
        <w:rPr>
          <w:rFonts w:cs="Calibri"/>
        </w:rPr>
        <w:t>Updating</w:t>
      </w:r>
      <w:r w:rsidRPr="009E06AA">
        <w:t xml:space="preserve"> data on the use of different manure and effluent management systems in New Zealand dairy farms</w:t>
      </w:r>
    </w:p>
    <w:p w14:paraId="1EA77231" w14:textId="77777777" w:rsidR="007523B8" w:rsidRPr="009E06AA" w:rsidRDefault="007523B8" w:rsidP="007523B8">
      <w:pPr>
        <w:pStyle w:val="BodyText"/>
        <w:rPr>
          <w:rFonts w:cs="Calibri"/>
        </w:rPr>
      </w:pPr>
      <w:r w:rsidRPr="009E06AA">
        <w:rPr>
          <w:rFonts w:cs="Calibri"/>
        </w:rPr>
        <w:t xml:space="preserve">A nationwide farm survey of dairy manure and effluent management practices will be carried out to collect information on effluent storage lengths, farm off-paddock structure use, effluent soils separation and frequency of emptying effluent storage ponds. Earlier research to determine whether the MCF for </w:t>
      </w:r>
      <w:r w:rsidRPr="009E06AA">
        <w:rPr>
          <w:rFonts w:cs="Calibri"/>
          <w:i/>
          <w:iCs/>
        </w:rPr>
        <w:t>Dairy cattle</w:t>
      </w:r>
      <w:r w:rsidRPr="009E06AA">
        <w:rPr>
          <w:rFonts w:cs="Calibri"/>
        </w:rPr>
        <w:t xml:space="preserve"> needed to be updated highlighted the importance of effluent storage and management in resulting emissions. This new information will be vital in determining whether New Zealand can reliably update the MCF for dairy cattle.</w:t>
      </w:r>
    </w:p>
    <w:p w14:paraId="18D476A1" w14:textId="77777777" w:rsidR="007523B8" w:rsidRPr="009E06AA" w:rsidRDefault="007523B8" w:rsidP="007523B8">
      <w:pPr>
        <w:pStyle w:val="BodyText"/>
        <w:rPr>
          <w:rFonts w:cs="Calibri"/>
        </w:rPr>
      </w:pPr>
      <w:r w:rsidRPr="009E06AA">
        <w:rPr>
          <w:rFonts w:cs="Calibri"/>
        </w:rPr>
        <w:t xml:space="preserve">This change will be supported by previous research to determine a </w:t>
      </w:r>
      <w:r w:rsidRPr="009E06AA" w:rsidDel="00FF1833">
        <w:rPr>
          <w:rFonts w:cs="Calibri"/>
        </w:rPr>
        <w:t xml:space="preserve">New </w:t>
      </w:r>
      <w:r w:rsidRPr="009E06AA">
        <w:rPr>
          <w:rFonts w:cs="Calibri"/>
        </w:rPr>
        <w:t xml:space="preserve">Zealand-specific emission factor for anaerobic lagoons on dairy farms. The report </w:t>
      </w:r>
      <w:r w:rsidRPr="009E06AA">
        <w:rPr>
          <w:i/>
          <w:iCs/>
        </w:rPr>
        <w:t xml:space="preserve">Refining New Zealand’s GHG Inventory Methodology: Manure Management </w:t>
      </w:r>
      <w:r w:rsidRPr="009E06AA">
        <w:rPr>
          <w:rFonts w:cs="Calibri"/>
        </w:rPr>
        <w:t xml:space="preserve">(Luo et al., 2019b) develops a revised model framework that allows the management conditions of anaerobic lagoons to be accounted for when calculating emissions. </w:t>
      </w:r>
    </w:p>
    <w:p w14:paraId="29D7B423" w14:textId="77777777" w:rsidR="007523B8" w:rsidRPr="009E06AA" w:rsidRDefault="007523B8" w:rsidP="007523B8">
      <w:pPr>
        <w:pStyle w:val="Heading2"/>
      </w:pPr>
      <w:bookmarkStart w:id="1147" w:name="_Toc134847207"/>
      <w:bookmarkStart w:id="1148" w:name="_Toc139253930"/>
      <w:bookmarkStart w:id="1149" w:name="_Toc144710415"/>
      <w:bookmarkStart w:id="1150" w:name="_Toc165890369"/>
      <w:bookmarkStart w:id="1151" w:name="_Toc195322663"/>
      <w:bookmarkStart w:id="1152" w:name="_Toc235955529"/>
      <w:bookmarkStart w:id="1153" w:name="_Toc288316642"/>
      <w:bookmarkStart w:id="1154" w:name="_Toc352504862"/>
      <w:bookmarkStart w:id="1155" w:name="_Toc448321525"/>
      <w:bookmarkStart w:id="1156" w:name="_Toc481751387"/>
      <w:bookmarkStart w:id="1157" w:name="_Toc511116602"/>
      <w:bookmarkStart w:id="1158" w:name="_Toc5269364"/>
      <w:bookmarkStart w:id="1159" w:name="_Toc32570664"/>
      <w:bookmarkStart w:id="1160" w:name="_Toc36224404"/>
      <w:bookmarkStart w:id="1161" w:name="_Toc68786324"/>
      <w:bookmarkStart w:id="1162" w:name="_Toc131591239"/>
      <w:bookmarkStart w:id="1163" w:name="_Toc164154193"/>
      <w:r w:rsidRPr="009E06AA">
        <w:t>5.4</w:t>
      </w:r>
      <w:r w:rsidRPr="009E06AA">
        <w:tab/>
        <w:t>Rice cultivation (3.C)</w:t>
      </w:r>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p>
    <w:p w14:paraId="53267EA7" w14:textId="77777777" w:rsidR="007523B8" w:rsidRPr="009E06AA" w:rsidRDefault="007523B8" w:rsidP="007523B8">
      <w:pPr>
        <w:pStyle w:val="Heading3"/>
        <w:spacing w:before="240"/>
      </w:pPr>
      <w:bookmarkStart w:id="1164" w:name="_Toc139253931"/>
      <w:bookmarkStart w:id="1165" w:name="_Toc32570665"/>
      <w:r w:rsidRPr="009E06AA">
        <w:t>5.4.1</w:t>
      </w:r>
      <w:r w:rsidRPr="009E06AA">
        <w:tab/>
        <w:t>Category description</w:t>
      </w:r>
      <w:bookmarkEnd w:id="1164"/>
      <w:bookmarkEnd w:id="1165"/>
    </w:p>
    <w:p w14:paraId="06D5A1A4" w14:textId="77777777" w:rsidR="007523B8" w:rsidRPr="009E06AA" w:rsidRDefault="007523B8" w:rsidP="007523B8">
      <w:pPr>
        <w:pStyle w:val="BodyText"/>
        <w:rPr>
          <w:rFonts w:cs="Calibri"/>
        </w:rPr>
      </w:pPr>
      <w:r w:rsidRPr="009E06AA">
        <w:rPr>
          <w:rFonts w:cs="Calibri"/>
        </w:rPr>
        <w:t xml:space="preserve">At present, there is no commercial rice cultivation in New Zealand. This has been confirmed with experts from Plant and Food Research, a New Zealand Crown research institute. The ‘NO’ (not occurring) notation is reported in the CRT. </w:t>
      </w:r>
    </w:p>
    <w:p w14:paraId="4CA6C34E" w14:textId="77777777" w:rsidR="007523B8" w:rsidRPr="009E06AA" w:rsidRDefault="007523B8" w:rsidP="007523B8">
      <w:pPr>
        <w:pStyle w:val="Heading2"/>
      </w:pPr>
      <w:bookmarkStart w:id="1166" w:name="_Toc69611742"/>
      <w:bookmarkStart w:id="1167" w:name="_Toc69612698"/>
      <w:bookmarkStart w:id="1168" w:name="_Toc69612897"/>
      <w:bookmarkStart w:id="1169" w:name="_Toc69613157"/>
      <w:bookmarkStart w:id="1170" w:name="_Toc69633321"/>
      <w:bookmarkStart w:id="1171" w:name="_Toc69717486"/>
      <w:bookmarkStart w:id="1172" w:name="_Toc69802968"/>
      <w:bookmarkStart w:id="1173" w:name="_Toc69815105"/>
      <w:bookmarkStart w:id="1174" w:name="_Toc70492398"/>
      <w:bookmarkStart w:id="1175" w:name="_Toc101310605"/>
      <w:bookmarkStart w:id="1176" w:name="_Toc101318465"/>
      <w:bookmarkStart w:id="1177" w:name="_Toc101318570"/>
      <w:bookmarkStart w:id="1178" w:name="_Toc101318754"/>
      <w:bookmarkStart w:id="1179" w:name="_Toc101334030"/>
      <w:bookmarkStart w:id="1180" w:name="_Toc134847208"/>
      <w:bookmarkStart w:id="1181" w:name="_Toc139253932"/>
      <w:bookmarkStart w:id="1182" w:name="_Toc144710416"/>
      <w:bookmarkStart w:id="1183" w:name="_Toc165890370"/>
      <w:bookmarkStart w:id="1184" w:name="_Toc195322664"/>
      <w:bookmarkStart w:id="1185" w:name="_Toc235955530"/>
      <w:bookmarkStart w:id="1186" w:name="_Toc288316643"/>
      <w:bookmarkStart w:id="1187" w:name="_Toc352504863"/>
      <w:bookmarkStart w:id="1188" w:name="_Toc448321526"/>
      <w:bookmarkStart w:id="1189" w:name="_Toc481751388"/>
      <w:bookmarkStart w:id="1190" w:name="_Toc511116603"/>
      <w:bookmarkStart w:id="1191" w:name="_Toc5269365"/>
      <w:bookmarkStart w:id="1192" w:name="_Toc32570666"/>
      <w:bookmarkStart w:id="1193" w:name="_Toc36224405"/>
      <w:bookmarkStart w:id="1194" w:name="_Toc68786325"/>
      <w:bookmarkStart w:id="1195" w:name="_Toc131591240"/>
      <w:bookmarkStart w:id="1196" w:name="_Toc164154194"/>
      <w:r w:rsidRPr="009E06AA">
        <w:t>5.5</w:t>
      </w:r>
      <w:r w:rsidRPr="009E06AA">
        <w:tab/>
        <w:t>Agricultural soils (3.D)</w:t>
      </w:r>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p>
    <w:p w14:paraId="349F600D" w14:textId="77777777" w:rsidR="007523B8" w:rsidRPr="009E06AA" w:rsidRDefault="007523B8" w:rsidP="007523B8">
      <w:pPr>
        <w:pStyle w:val="Heading3"/>
        <w:spacing w:before="240"/>
      </w:pPr>
      <w:bookmarkStart w:id="1197" w:name="_Toc139253933"/>
      <w:bookmarkStart w:id="1198" w:name="_Toc32570667"/>
      <w:r w:rsidRPr="009E06AA">
        <w:t>5.5.1</w:t>
      </w:r>
      <w:r w:rsidRPr="009E06AA">
        <w:tab/>
        <w:t>Category description</w:t>
      </w:r>
      <w:bookmarkEnd w:id="1197"/>
      <w:bookmarkEnd w:id="1198"/>
    </w:p>
    <w:p w14:paraId="6134AEF5" w14:textId="77777777" w:rsidR="007523B8" w:rsidRPr="009E06AA" w:rsidRDefault="007523B8" w:rsidP="007523B8">
      <w:pPr>
        <w:pStyle w:val="BodyText"/>
        <w:keepNext/>
        <w:rPr>
          <w:rFonts w:cs="Calibri"/>
        </w:rPr>
      </w:pPr>
      <w:r w:rsidRPr="009E06AA">
        <w:rPr>
          <w:rFonts w:cs="Calibri"/>
        </w:rPr>
        <w:t>Several categories contribute to N</w:t>
      </w:r>
      <w:r w:rsidRPr="009E06AA">
        <w:rPr>
          <w:rFonts w:cs="Calibri"/>
          <w:vertAlign w:val="subscript"/>
        </w:rPr>
        <w:t>2</w:t>
      </w:r>
      <w:r w:rsidRPr="009E06AA">
        <w:rPr>
          <w:rFonts w:cs="Calibri"/>
        </w:rPr>
        <w:t xml:space="preserve">O emissions from </w:t>
      </w:r>
      <w:r w:rsidRPr="009E06AA">
        <w:rPr>
          <w:rFonts w:cs="Calibri"/>
          <w:i/>
          <w:iCs/>
        </w:rPr>
        <w:t>Agricultural soils</w:t>
      </w:r>
      <w:r w:rsidRPr="009E06AA">
        <w:rPr>
          <w:rFonts w:cs="Calibri"/>
        </w:rPr>
        <w:t xml:space="preserve"> through both direct and indirect pathways; these are summarised in figure 5.5.1. </w:t>
      </w:r>
    </w:p>
    <w:p w14:paraId="3D28DDD9" w14:textId="77777777" w:rsidR="007523B8" w:rsidRPr="009E06AA" w:rsidRDefault="007523B8" w:rsidP="007523B8">
      <w:pPr>
        <w:pStyle w:val="Figure"/>
      </w:pPr>
      <w:bookmarkStart w:id="1199" w:name="_Toc481752014"/>
      <w:bookmarkStart w:id="1200" w:name="_Toc507158473"/>
      <w:bookmarkStart w:id="1201" w:name="_Toc511116964"/>
      <w:bookmarkStart w:id="1202" w:name="_Toc5269694"/>
      <w:bookmarkStart w:id="1203" w:name="_Toc32570965"/>
      <w:bookmarkStart w:id="1204" w:name="_Toc36292795"/>
      <w:bookmarkStart w:id="1205" w:name="_Toc68786660"/>
      <w:bookmarkStart w:id="1206" w:name="_Toc95574121"/>
      <w:bookmarkStart w:id="1207" w:name="_Toc127458560"/>
      <w:bookmarkStart w:id="1208" w:name="_Toc131591562"/>
      <w:bookmarkStart w:id="1209" w:name="_Toc164154030"/>
      <w:r w:rsidRPr="009E06AA">
        <w:t>Figure 5.5.1</w:t>
      </w:r>
      <w:r w:rsidRPr="009E06AA">
        <w:tab/>
        <w:t xml:space="preserve">Sources of nitrous oxide emissions from </w:t>
      </w:r>
      <w:r w:rsidRPr="009E06AA">
        <w:rPr>
          <w:i/>
          <w:iCs/>
        </w:rPr>
        <w:t>Agricultural soils</w:t>
      </w:r>
      <w:r w:rsidRPr="009E06AA">
        <w:t>, showing the contribution of each source to emissions through both direct and indirect pathways</w:t>
      </w:r>
      <w:bookmarkEnd w:id="1199"/>
      <w:bookmarkEnd w:id="1200"/>
      <w:bookmarkEnd w:id="1201"/>
      <w:bookmarkEnd w:id="1202"/>
      <w:bookmarkEnd w:id="1203"/>
      <w:bookmarkEnd w:id="1204"/>
      <w:bookmarkEnd w:id="1205"/>
      <w:bookmarkEnd w:id="1206"/>
      <w:bookmarkEnd w:id="1207"/>
      <w:bookmarkEnd w:id="1208"/>
      <w:bookmarkEnd w:id="1209"/>
    </w:p>
    <w:p w14:paraId="63D39670" w14:textId="77777777" w:rsidR="007523B8" w:rsidRPr="009E06AA" w:rsidRDefault="007523B8" w:rsidP="007523B8">
      <w:pPr>
        <w:pStyle w:val="BodyText"/>
      </w:pPr>
      <w:r w:rsidRPr="009E06AA">
        <w:rPr>
          <w:noProof/>
        </w:rPr>
        <w:drawing>
          <wp:inline distT="0" distB="0" distL="0" distR="0" wp14:anchorId="56EFEBE6" wp14:editId="4D39CDEA">
            <wp:extent cx="5315732" cy="5837529"/>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27590" cy="5850551"/>
                    </a:xfrm>
                    <a:prstGeom prst="rect">
                      <a:avLst/>
                    </a:prstGeom>
                    <a:noFill/>
                    <a:ln>
                      <a:noFill/>
                    </a:ln>
                  </pic:spPr>
                </pic:pic>
              </a:graphicData>
            </a:graphic>
          </wp:inline>
        </w:drawing>
      </w:r>
    </w:p>
    <w:p w14:paraId="473F20E7" w14:textId="77777777" w:rsidR="007523B8" w:rsidRPr="009E06AA" w:rsidRDefault="007523B8" w:rsidP="007523B8">
      <w:pPr>
        <w:pStyle w:val="BodyText"/>
      </w:pPr>
      <w:r w:rsidRPr="009E06AA">
        <w:t>Direct N</w:t>
      </w:r>
      <w:r w:rsidRPr="009E06AA">
        <w:rPr>
          <w:vertAlign w:val="subscript"/>
        </w:rPr>
        <w:t>2</w:t>
      </w:r>
      <w:r w:rsidRPr="009E06AA">
        <w:t>O emissions come directly from the soils to which nitrogen has been applied in either organic (animal excreta and organic fertilisers) or inorganic (synthetic nitrogen fertiliser) form. Indirect emissions come from the volatilisation (evaporation or sublimation) of nitrogen from the land. A fraction of this volatilised nitrogen returns to the ground during rainfall and is then re-emitted as N</w:t>
      </w:r>
      <w:r w:rsidRPr="009E06AA">
        <w:rPr>
          <w:vertAlign w:val="subscript"/>
        </w:rPr>
        <w:t>2</w:t>
      </w:r>
      <w:r w:rsidRPr="009E06AA">
        <w:t>O. Indirect emissions also arise from leaching and runoff of nitrogen (IPCC, 2006) and from further nitrification and denitrification within waterways.</w:t>
      </w:r>
    </w:p>
    <w:p w14:paraId="5BDE0C11" w14:textId="77777777" w:rsidR="007523B8" w:rsidRPr="009E06AA" w:rsidRDefault="007523B8" w:rsidP="007523B8">
      <w:pPr>
        <w:pStyle w:val="BodyText"/>
        <w:spacing w:before="100" w:after="100"/>
        <w:rPr>
          <w:rFonts w:cs="Calibri"/>
          <w:i/>
          <w:iCs/>
        </w:rPr>
      </w:pPr>
      <w:r w:rsidRPr="009E06AA">
        <w:rPr>
          <w:rFonts w:cs="Calibri"/>
        </w:rPr>
        <w:t>Indirect emissions from livestock waste management systems are reported in section 5.3 (</w:t>
      </w:r>
      <w:r w:rsidRPr="009E06AA">
        <w:rPr>
          <w:rFonts w:cs="Calibri"/>
          <w:i/>
          <w:iCs/>
        </w:rPr>
        <w:t>Manure management</w:t>
      </w:r>
      <w:r w:rsidRPr="009E06AA">
        <w:rPr>
          <w:rFonts w:cs="Calibri"/>
        </w:rPr>
        <w:t>). Carbon dioxide emissions from lime and dolomite fertilisers are reported in section 5.8 (</w:t>
      </w:r>
      <w:r w:rsidRPr="009E06AA">
        <w:rPr>
          <w:rFonts w:cs="Calibri"/>
          <w:i/>
          <w:iCs/>
        </w:rPr>
        <w:t>Liming</w:t>
      </w:r>
      <w:r w:rsidRPr="009E06AA">
        <w:rPr>
          <w:rFonts w:cs="Calibri"/>
        </w:rPr>
        <w:t>), and CO</w:t>
      </w:r>
      <w:r w:rsidRPr="009E06AA">
        <w:rPr>
          <w:rFonts w:cs="Calibri"/>
          <w:vertAlign w:val="subscript"/>
        </w:rPr>
        <w:t>2</w:t>
      </w:r>
      <w:r w:rsidRPr="009E06AA">
        <w:rPr>
          <w:rFonts w:cs="Calibri"/>
        </w:rPr>
        <w:t xml:space="preserve"> emissions from urea fertiliser are reported in section 5.9 (</w:t>
      </w:r>
      <w:r w:rsidRPr="009E06AA">
        <w:rPr>
          <w:rFonts w:cs="Calibri"/>
          <w:i/>
          <w:iCs/>
        </w:rPr>
        <w:t>Urea application</w:t>
      </w:r>
      <w:r w:rsidRPr="009E06AA">
        <w:rPr>
          <w:rFonts w:cs="Calibri"/>
        </w:rPr>
        <w:t>)</w:t>
      </w:r>
      <w:r w:rsidRPr="009E06AA">
        <w:rPr>
          <w:rFonts w:cs="Calibri"/>
          <w:i/>
          <w:iCs/>
        </w:rPr>
        <w:t>.</w:t>
      </w:r>
    </w:p>
    <w:p w14:paraId="7081D352" w14:textId="77777777" w:rsidR="007523B8" w:rsidRPr="009E06AA" w:rsidRDefault="007523B8" w:rsidP="007523B8">
      <w:pPr>
        <w:pStyle w:val="BodyText"/>
        <w:spacing w:before="100" w:after="100"/>
        <w:rPr>
          <w:rFonts w:cs="Calibri"/>
        </w:rPr>
      </w:pPr>
      <w:r w:rsidRPr="009E06AA">
        <w:rPr>
          <w:rFonts w:cs="Calibri"/>
          <w:i/>
          <w:iCs/>
        </w:rPr>
        <w:t>Agricultural soils</w:t>
      </w:r>
      <w:r w:rsidRPr="009E06AA">
        <w:rPr>
          <w:rFonts w:cs="Calibri"/>
        </w:rPr>
        <w:t xml:space="preserve"> contributed an estimated 6,322.5 kt CO</w:t>
      </w:r>
      <w:r w:rsidRPr="009E06AA">
        <w:rPr>
          <w:rFonts w:cs="Calibri"/>
          <w:vertAlign w:val="subscript"/>
        </w:rPr>
        <w:t>2</w:t>
      </w:r>
      <w:r w:rsidRPr="009E06AA">
        <w:rPr>
          <w:rFonts w:cs="Calibri"/>
        </w:rPr>
        <w:t xml:space="preserve">-e, representing </w:t>
      </w:r>
      <w:r w:rsidRPr="009E06AA">
        <w:t>8.1</w:t>
      </w:r>
      <w:r w:rsidRPr="009E06AA">
        <w:rPr>
          <w:rFonts w:cs="Calibri"/>
        </w:rPr>
        <w:t xml:space="preserve"> per cent of New Zealand’s gross emissions and 15.2 per cent of Agriculture</w:t>
      </w:r>
      <w:r w:rsidRPr="009E06AA">
        <w:rPr>
          <w:rFonts w:cs="Calibri"/>
          <w:i/>
          <w:iCs/>
        </w:rPr>
        <w:t xml:space="preserve"> </w:t>
      </w:r>
      <w:r w:rsidRPr="009E06AA">
        <w:rPr>
          <w:rFonts w:cs="Calibri"/>
        </w:rPr>
        <w:t xml:space="preserve">emissions in 2022. The </w:t>
      </w:r>
      <w:r w:rsidRPr="009E06AA">
        <w:rPr>
          <w:rFonts w:cs="Calibri"/>
          <w:i/>
          <w:iCs/>
        </w:rPr>
        <w:t>Agricultural soils</w:t>
      </w:r>
      <w:r w:rsidRPr="009E06AA">
        <w:rPr>
          <w:rFonts w:cs="Calibri"/>
        </w:rPr>
        <w:t xml:space="preserve"> category was the source of </w:t>
      </w:r>
      <w:r w:rsidRPr="009E06AA">
        <w:t>91.9</w:t>
      </w:r>
      <w:r w:rsidRPr="009E06AA">
        <w:rPr>
          <w:rFonts w:cs="Calibri"/>
        </w:rPr>
        <w:t xml:space="preserve"> per cent of New Zealand’s total 2022 </w:t>
      </w:r>
      <w:r w:rsidRPr="009E06AA">
        <w:rPr>
          <w:rFonts w:cs="Calibri"/>
          <w:spacing w:val="-2"/>
        </w:rPr>
        <w:t>N</w:t>
      </w:r>
      <w:r w:rsidRPr="009E06AA">
        <w:rPr>
          <w:rFonts w:cs="Calibri"/>
          <w:spacing w:val="-2"/>
          <w:vertAlign w:val="subscript"/>
        </w:rPr>
        <w:t>2</w:t>
      </w:r>
      <w:r w:rsidRPr="009E06AA">
        <w:rPr>
          <w:rFonts w:cs="Calibri"/>
          <w:spacing w:val="-2"/>
        </w:rPr>
        <w:t>O</w:t>
      </w:r>
      <w:r w:rsidRPr="009E06AA">
        <w:rPr>
          <w:rFonts w:cs="Calibri"/>
        </w:rPr>
        <w:t> emissions.</w:t>
      </w:r>
    </w:p>
    <w:p w14:paraId="3F94E740" w14:textId="77777777" w:rsidR="007523B8" w:rsidRPr="009E06AA" w:rsidRDefault="007523B8" w:rsidP="007523B8">
      <w:pPr>
        <w:pStyle w:val="BodyText"/>
        <w:spacing w:before="100" w:after="100"/>
        <w:rPr>
          <w:rFonts w:cs="Calibri"/>
        </w:rPr>
      </w:pPr>
      <w:r w:rsidRPr="009E06AA">
        <w:rPr>
          <w:rFonts w:cs="Calibri"/>
        </w:rPr>
        <w:t xml:space="preserve">The categories that contribute the most to emissions from </w:t>
      </w:r>
      <w:r w:rsidRPr="009E06AA">
        <w:rPr>
          <w:rFonts w:cs="Calibri"/>
          <w:i/>
          <w:iCs/>
        </w:rPr>
        <w:t>Agricultural soils</w:t>
      </w:r>
      <w:r w:rsidRPr="009E06AA">
        <w:rPr>
          <w:rFonts w:cs="Calibri"/>
        </w:rPr>
        <w:t xml:space="preserve"> and that are identified as key categories are outlined below in order of significance:</w:t>
      </w:r>
    </w:p>
    <w:p w14:paraId="4E7862D5" w14:textId="77777777" w:rsidR="007523B8" w:rsidRPr="009E06AA" w:rsidRDefault="007523B8" w:rsidP="007523B8">
      <w:pPr>
        <w:pStyle w:val="Bullet"/>
        <w:numPr>
          <w:ilvl w:val="0"/>
          <w:numId w:val="25"/>
        </w:numPr>
        <w:rPr>
          <w:spacing w:val="-2"/>
        </w:rPr>
      </w:pPr>
      <w:r w:rsidRPr="009E06AA">
        <w:t xml:space="preserve">urine and dung deposited by grazing animals (pasture, range and paddock manure) (level and trend assessment): 51.5 per cent of emissions from </w:t>
      </w:r>
      <w:r w:rsidRPr="009E06AA">
        <w:rPr>
          <w:i/>
          <w:iCs/>
        </w:rPr>
        <w:t>Agricultural soils</w:t>
      </w:r>
    </w:p>
    <w:p w14:paraId="7B746462" w14:textId="77777777" w:rsidR="007523B8" w:rsidRPr="009E06AA" w:rsidRDefault="007523B8" w:rsidP="007523B8">
      <w:pPr>
        <w:pStyle w:val="Bullet"/>
        <w:numPr>
          <w:ilvl w:val="0"/>
          <w:numId w:val="25"/>
        </w:numPr>
      </w:pPr>
      <w:r w:rsidRPr="009E06AA">
        <w:t xml:space="preserve">synthetic nitrogen fertiliser (level and trend assessment): 15.2 per cent of </w:t>
      </w:r>
      <w:r w:rsidRPr="009E06AA">
        <w:rPr>
          <w:iCs/>
        </w:rPr>
        <w:t xml:space="preserve">emissions </w:t>
      </w:r>
      <w:r w:rsidRPr="009E06AA">
        <w:t xml:space="preserve">from </w:t>
      </w:r>
      <w:r w:rsidRPr="009E06AA">
        <w:rPr>
          <w:i/>
          <w:iCs/>
        </w:rPr>
        <w:t>Agricultural soils</w:t>
      </w:r>
    </w:p>
    <w:p w14:paraId="3B3C1018" w14:textId="77777777" w:rsidR="007523B8" w:rsidRPr="009E06AA" w:rsidRDefault="007523B8" w:rsidP="007523B8">
      <w:pPr>
        <w:pStyle w:val="Bullet"/>
        <w:numPr>
          <w:ilvl w:val="0"/>
          <w:numId w:val="25"/>
        </w:numPr>
      </w:pPr>
      <w:r w:rsidRPr="009E06AA">
        <w:t xml:space="preserve">volatilisation (level assessment): 11.8 per cent of emissions from </w:t>
      </w:r>
      <w:r w:rsidRPr="009E06AA">
        <w:rPr>
          <w:i/>
          <w:iCs/>
        </w:rPr>
        <w:t>Agricultural soils</w:t>
      </w:r>
    </w:p>
    <w:p w14:paraId="0A423260" w14:textId="77777777" w:rsidR="007523B8" w:rsidRPr="009E06AA" w:rsidRDefault="007523B8" w:rsidP="007523B8">
      <w:pPr>
        <w:pStyle w:val="Bullet"/>
        <w:numPr>
          <w:ilvl w:val="0"/>
          <w:numId w:val="25"/>
        </w:numPr>
      </w:pPr>
      <w:r w:rsidRPr="009E06AA">
        <w:t>managed organic soils (level and trend assessment): 9.3 per cent</w:t>
      </w:r>
      <w:r w:rsidRPr="009E06AA" w:rsidDel="00C07FB2">
        <w:t xml:space="preserve"> </w:t>
      </w:r>
      <w:r w:rsidRPr="009E06AA">
        <w:t xml:space="preserve">of emissions from </w:t>
      </w:r>
      <w:r w:rsidRPr="009E06AA">
        <w:rPr>
          <w:i/>
          <w:iCs/>
        </w:rPr>
        <w:t>Agricultural soils</w:t>
      </w:r>
    </w:p>
    <w:p w14:paraId="2893558F" w14:textId="77777777" w:rsidR="007523B8" w:rsidRPr="009E06AA" w:rsidRDefault="007523B8" w:rsidP="007523B8">
      <w:pPr>
        <w:pStyle w:val="Bullet"/>
        <w:numPr>
          <w:ilvl w:val="0"/>
          <w:numId w:val="25"/>
        </w:numPr>
      </w:pPr>
      <w:r w:rsidRPr="009E06AA">
        <w:t>leaching and runoff (level assessment): 7.6 per cent</w:t>
      </w:r>
      <w:r w:rsidRPr="009E06AA" w:rsidDel="00C07FB2">
        <w:t xml:space="preserve"> </w:t>
      </w:r>
      <w:r w:rsidRPr="009E06AA">
        <w:t xml:space="preserve">of emissions from </w:t>
      </w:r>
      <w:r w:rsidRPr="009E06AA">
        <w:rPr>
          <w:i/>
          <w:iCs/>
        </w:rPr>
        <w:t>Agricultural soils</w:t>
      </w:r>
    </w:p>
    <w:p w14:paraId="374609C5" w14:textId="77777777" w:rsidR="007523B8" w:rsidRPr="009E06AA" w:rsidRDefault="007523B8" w:rsidP="007523B8">
      <w:pPr>
        <w:pStyle w:val="Bullet"/>
        <w:numPr>
          <w:ilvl w:val="0"/>
          <w:numId w:val="25"/>
        </w:numPr>
      </w:pPr>
      <w:r w:rsidRPr="009E06AA">
        <w:t>crop residues (level assessment): 3.6 per cent</w:t>
      </w:r>
      <w:r w:rsidRPr="009E06AA" w:rsidDel="00C07FB2">
        <w:t xml:space="preserve"> </w:t>
      </w:r>
      <w:r w:rsidRPr="009E06AA">
        <w:t xml:space="preserve">of emissions from </w:t>
      </w:r>
      <w:r w:rsidRPr="009E06AA">
        <w:rPr>
          <w:i/>
          <w:iCs/>
        </w:rPr>
        <w:t>Agricultural soils</w:t>
      </w:r>
      <w:r w:rsidRPr="009E06AA" w:rsidDel="00A96EB9">
        <w:t>.</w:t>
      </w:r>
    </w:p>
    <w:p w14:paraId="14F19499" w14:textId="77777777" w:rsidR="007523B8" w:rsidRPr="009E06AA" w:rsidRDefault="007523B8" w:rsidP="00BF2A76">
      <w:pPr>
        <w:pStyle w:val="Heading5"/>
      </w:pPr>
      <w:r w:rsidRPr="009E06AA">
        <w:t>Trends</w:t>
      </w:r>
    </w:p>
    <w:p w14:paraId="12DE76BE" w14:textId="77777777" w:rsidR="007523B8" w:rsidRPr="009E06AA" w:rsidRDefault="007523B8" w:rsidP="007523B8">
      <w:pPr>
        <w:pStyle w:val="BodyText"/>
      </w:pPr>
      <w:r w:rsidRPr="009E06AA">
        <w:t xml:space="preserve">Emissions from </w:t>
      </w:r>
      <w:r w:rsidRPr="009E06AA">
        <w:rPr>
          <w:i/>
          <w:iCs/>
        </w:rPr>
        <w:t xml:space="preserve">Agricultural soils </w:t>
      </w:r>
      <w:r w:rsidRPr="009E06AA">
        <w:t>increased 35.4 per cent (1,653.5 kt CO</w:t>
      </w:r>
      <w:r w:rsidRPr="009E06AA">
        <w:rPr>
          <w:vertAlign w:val="subscript"/>
        </w:rPr>
        <w:t>2</w:t>
      </w:r>
      <w:r w:rsidRPr="009E06AA">
        <w:t xml:space="preserve">-e) between 1990 and 2022. Increases in the use of synthetic nitrogen fertiliser and in the dairy cattle population are the predominant drivers of increasing emissions from </w:t>
      </w:r>
      <w:r w:rsidRPr="009E06AA">
        <w:rPr>
          <w:i/>
          <w:iCs/>
        </w:rPr>
        <w:t>Agricultural soils</w:t>
      </w:r>
      <w:r w:rsidRPr="009E06AA">
        <w:t>, which have been partially offset by decreases in the sheep and non-dairy cattle populations.</w:t>
      </w:r>
    </w:p>
    <w:p w14:paraId="7B7E2399" w14:textId="77777777" w:rsidR="007523B8" w:rsidRPr="009E06AA" w:rsidRDefault="007523B8" w:rsidP="007523B8">
      <w:pPr>
        <w:pStyle w:val="BodyText"/>
      </w:pPr>
      <w:r w:rsidRPr="009E06AA">
        <w:t xml:space="preserve">Trends from 1990 and 2022 across the key categories in </w:t>
      </w:r>
      <w:r w:rsidRPr="009E06AA">
        <w:rPr>
          <w:i/>
          <w:iCs/>
        </w:rPr>
        <w:t xml:space="preserve">Agricultural soils </w:t>
      </w:r>
      <w:r w:rsidRPr="009E06AA">
        <w:t>are detailed below:</w:t>
      </w:r>
    </w:p>
    <w:p w14:paraId="312896D9" w14:textId="77777777" w:rsidR="007523B8" w:rsidRPr="009E06AA" w:rsidRDefault="007523B8" w:rsidP="007523B8">
      <w:pPr>
        <w:pStyle w:val="Bullet"/>
        <w:numPr>
          <w:ilvl w:val="0"/>
          <w:numId w:val="25"/>
        </w:numPr>
        <w:rPr>
          <w:spacing w:val="-2"/>
        </w:rPr>
      </w:pPr>
      <w:r w:rsidRPr="009E06AA">
        <w:t>urine and dung deposited by grazing animals (pasture, range and paddock manure) (level and trend assessment): 22.7 per cent (601.4 kt CO</w:t>
      </w:r>
      <w:r w:rsidRPr="009E06AA">
        <w:rPr>
          <w:vertAlign w:val="subscript"/>
        </w:rPr>
        <w:t>2</w:t>
      </w:r>
      <w:r w:rsidRPr="009E06AA">
        <w:t>-e) increase</w:t>
      </w:r>
    </w:p>
    <w:p w14:paraId="7D2FDCD1" w14:textId="77777777" w:rsidR="007523B8" w:rsidRPr="009E06AA" w:rsidRDefault="007523B8" w:rsidP="007523B8">
      <w:pPr>
        <w:pStyle w:val="Bullet"/>
        <w:numPr>
          <w:ilvl w:val="0"/>
          <w:numId w:val="25"/>
        </w:numPr>
        <w:rPr>
          <w:spacing w:val="-2"/>
        </w:rPr>
      </w:pPr>
      <w:r w:rsidRPr="009E06AA">
        <w:t>direct emissions from synthetic nitrogen fertiliser (level and trend assessment): 369.4 per cent (756.5 kt CO</w:t>
      </w:r>
      <w:r w:rsidRPr="009E06AA">
        <w:rPr>
          <w:vertAlign w:val="subscript"/>
        </w:rPr>
        <w:t>2</w:t>
      </w:r>
      <w:r w:rsidRPr="009E06AA">
        <w:t>-e) increase</w:t>
      </w:r>
    </w:p>
    <w:p w14:paraId="303743E6" w14:textId="77777777" w:rsidR="007523B8" w:rsidRPr="009E06AA" w:rsidRDefault="007523B8" w:rsidP="007523B8">
      <w:pPr>
        <w:pStyle w:val="Bullet"/>
        <w:numPr>
          <w:ilvl w:val="0"/>
          <w:numId w:val="25"/>
        </w:numPr>
        <w:rPr>
          <w:spacing w:val="-2"/>
        </w:rPr>
      </w:pPr>
      <w:r w:rsidRPr="009E06AA">
        <w:t>volatilisation (level assessment): 15.9 per cent (102.4 kt CO</w:t>
      </w:r>
      <w:r w:rsidRPr="009E06AA">
        <w:rPr>
          <w:vertAlign w:val="subscript"/>
        </w:rPr>
        <w:t>2</w:t>
      </w:r>
      <w:r w:rsidRPr="009E06AA">
        <w:t>-e) increase</w:t>
      </w:r>
    </w:p>
    <w:p w14:paraId="53349FB4" w14:textId="77777777" w:rsidR="007523B8" w:rsidRPr="009E06AA" w:rsidRDefault="007523B8" w:rsidP="007523B8">
      <w:pPr>
        <w:pStyle w:val="Bullet"/>
        <w:numPr>
          <w:ilvl w:val="0"/>
          <w:numId w:val="25"/>
        </w:numPr>
        <w:rPr>
          <w:spacing w:val="-2"/>
        </w:rPr>
      </w:pPr>
      <w:r w:rsidRPr="009E06AA">
        <w:t>management of organic soils (level and trend assessment): 1.2 per cent (7.2 kt CO</w:t>
      </w:r>
      <w:r w:rsidRPr="009E06AA">
        <w:rPr>
          <w:vertAlign w:val="subscript"/>
        </w:rPr>
        <w:t>2</w:t>
      </w:r>
      <w:r w:rsidRPr="009E06AA">
        <w:t>-e) increase</w:t>
      </w:r>
    </w:p>
    <w:p w14:paraId="24DF8B5E" w14:textId="77777777" w:rsidR="007523B8" w:rsidRPr="009E06AA" w:rsidRDefault="007523B8" w:rsidP="007523B8">
      <w:pPr>
        <w:pStyle w:val="Bullet"/>
        <w:numPr>
          <w:ilvl w:val="0"/>
          <w:numId w:val="25"/>
        </w:numPr>
        <w:rPr>
          <w:spacing w:val="-2"/>
        </w:rPr>
      </w:pPr>
      <w:r w:rsidRPr="009E06AA">
        <w:t>leaching and runoff (level assessment): 21.1 per cent (83.4 kt CO</w:t>
      </w:r>
      <w:r w:rsidRPr="009E06AA">
        <w:rPr>
          <w:vertAlign w:val="subscript"/>
        </w:rPr>
        <w:t>2</w:t>
      </w:r>
      <w:r w:rsidRPr="009E06AA">
        <w:t>-e) increase</w:t>
      </w:r>
    </w:p>
    <w:p w14:paraId="2EF259DC" w14:textId="77777777" w:rsidR="007523B8" w:rsidRPr="009E06AA" w:rsidRDefault="007523B8" w:rsidP="007523B8">
      <w:pPr>
        <w:pStyle w:val="Bullet"/>
        <w:numPr>
          <w:ilvl w:val="0"/>
          <w:numId w:val="25"/>
        </w:numPr>
        <w:rPr>
          <w:spacing w:val="-2"/>
        </w:rPr>
      </w:pPr>
      <w:r w:rsidRPr="009E06AA">
        <w:t>crop residues (level assessment): 44.6 per cent (69.6 kt CO</w:t>
      </w:r>
      <w:r w:rsidRPr="009E06AA">
        <w:rPr>
          <w:vertAlign w:val="subscript"/>
        </w:rPr>
        <w:t>2</w:t>
      </w:r>
      <w:r w:rsidRPr="009E06AA">
        <w:t>-e) increase.</w:t>
      </w:r>
    </w:p>
    <w:p w14:paraId="226E160E" w14:textId="77777777" w:rsidR="007523B8" w:rsidRPr="009E06AA" w:rsidRDefault="007523B8" w:rsidP="007523B8">
      <w:pPr>
        <w:pStyle w:val="BodyText"/>
      </w:pPr>
      <w:r w:rsidRPr="009E06AA">
        <w:t>Table 5.5.1 shows the trends and relative contribution of N</w:t>
      </w:r>
      <w:r w:rsidRPr="009E06AA">
        <w:rPr>
          <w:vertAlign w:val="subscript"/>
        </w:rPr>
        <w:t>2</w:t>
      </w:r>
      <w:r w:rsidRPr="009E06AA">
        <w:t>O emissions from these categories between 1990 and 2022.</w:t>
      </w:r>
    </w:p>
    <w:p w14:paraId="7450D559" w14:textId="77777777" w:rsidR="007523B8" w:rsidRPr="009E06AA" w:rsidRDefault="007523B8" w:rsidP="007523B8">
      <w:pPr>
        <w:pStyle w:val="Table"/>
        <w:rPr>
          <w:rFonts w:cs="Calibri"/>
        </w:rPr>
      </w:pPr>
      <w:bookmarkStart w:id="1210" w:name="_Toc481751521"/>
      <w:bookmarkStart w:id="1211" w:name="_Toc507158609"/>
      <w:bookmarkStart w:id="1212" w:name="_Toc511116743"/>
      <w:bookmarkStart w:id="1213" w:name="_Toc5269485"/>
      <w:bookmarkStart w:id="1214" w:name="_Toc32570927"/>
      <w:bookmarkStart w:id="1215" w:name="_Toc36224562"/>
      <w:bookmarkStart w:id="1216" w:name="_Toc68786447"/>
      <w:bookmarkStart w:id="1217" w:name="_Toc95574080"/>
      <w:bookmarkStart w:id="1218" w:name="_Toc127458267"/>
      <w:bookmarkStart w:id="1219" w:name="_Toc131591363"/>
      <w:bookmarkStart w:id="1220" w:name="_Toc160114457"/>
      <w:bookmarkStart w:id="1221" w:name="_Toc164153853"/>
      <w:r w:rsidRPr="009E06AA">
        <w:rPr>
          <w:rFonts w:cs="Calibri"/>
        </w:rPr>
        <w:t>Table 5.5.1</w:t>
      </w:r>
      <w:r w:rsidRPr="009E06AA">
        <w:rPr>
          <w:rFonts w:cs="Calibri"/>
        </w:rPr>
        <w:tab/>
        <w:t xml:space="preserve">Trends and relative contribution of nitrous oxide emissions from </w:t>
      </w:r>
      <w:r w:rsidRPr="009E06AA">
        <w:rPr>
          <w:rFonts w:cs="Calibri"/>
          <w:i/>
          <w:iCs/>
        </w:rPr>
        <w:t>Agricultural soils</w:t>
      </w:r>
      <w:r w:rsidRPr="009E06AA">
        <w:rPr>
          <w:rFonts w:cs="Calibri"/>
        </w:rPr>
        <w:t xml:space="preserve"> categories between 1990 and </w:t>
      </w:r>
      <w:bookmarkEnd w:id="1210"/>
      <w:bookmarkEnd w:id="1211"/>
      <w:bookmarkEnd w:id="1212"/>
      <w:bookmarkEnd w:id="1213"/>
      <w:bookmarkEnd w:id="1214"/>
      <w:bookmarkEnd w:id="1215"/>
      <w:bookmarkEnd w:id="1216"/>
      <w:bookmarkEnd w:id="1217"/>
      <w:r w:rsidRPr="009E06AA">
        <w:rPr>
          <w:rFonts w:cs="Calibri"/>
        </w:rPr>
        <w:t>202</w:t>
      </w:r>
      <w:bookmarkEnd w:id="1218"/>
      <w:bookmarkEnd w:id="1219"/>
      <w:r w:rsidRPr="009E06AA">
        <w:rPr>
          <w:rFonts w:cs="Calibri"/>
        </w:rPr>
        <w:t>2</w:t>
      </w:r>
      <w:bookmarkEnd w:id="1220"/>
      <w:bookmarkEnd w:id="1221"/>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4A0" w:firstRow="1" w:lastRow="0" w:firstColumn="1" w:lastColumn="0" w:noHBand="0" w:noVBand="1"/>
      </w:tblPr>
      <w:tblGrid>
        <w:gridCol w:w="816"/>
        <w:gridCol w:w="2445"/>
        <w:gridCol w:w="708"/>
        <w:gridCol w:w="722"/>
        <w:gridCol w:w="854"/>
        <w:gridCol w:w="712"/>
        <w:gridCol w:w="1095"/>
        <w:gridCol w:w="1153"/>
      </w:tblGrid>
      <w:tr w:rsidR="007523B8" w:rsidRPr="009E06AA" w14:paraId="72099549" w14:textId="77777777" w:rsidTr="00B55F24">
        <w:trPr>
          <w:tblHeader/>
        </w:trPr>
        <w:tc>
          <w:tcPr>
            <w:tcW w:w="3261" w:type="dxa"/>
            <w:gridSpan w:val="2"/>
            <w:tcBorders>
              <w:top w:val="single" w:sz="4" w:space="0" w:color="1B556B" w:themeColor="text2"/>
              <w:left w:val="nil"/>
              <w:bottom w:val="nil"/>
              <w:right w:val="nil"/>
            </w:tcBorders>
            <w:shd w:val="clear" w:color="auto" w:fill="1B556B"/>
            <w:vAlign w:val="bottom"/>
          </w:tcPr>
          <w:p w14:paraId="5C15B55C" w14:textId="77777777" w:rsidR="007523B8" w:rsidRPr="009E06AA" w:rsidRDefault="007523B8" w:rsidP="00B55F24">
            <w:pPr>
              <w:pStyle w:val="TableTextBold"/>
              <w:rPr>
                <w:noProof w:val="0"/>
                <w:color w:val="FFFFFF" w:themeColor="background1"/>
                <w:szCs w:val="16"/>
              </w:rPr>
            </w:pPr>
          </w:p>
        </w:tc>
        <w:tc>
          <w:tcPr>
            <w:tcW w:w="1430" w:type="dxa"/>
            <w:gridSpan w:val="2"/>
            <w:tcBorders>
              <w:top w:val="single" w:sz="4" w:space="0" w:color="1B556B" w:themeColor="text2"/>
              <w:left w:val="nil"/>
              <w:bottom w:val="nil"/>
              <w:right w:val="nil"/>
            </w:tcBorders>
            <w:shd w:val="clear" w:color="auto" w:fill="1B556B"/>
            <w:vAlign w:val="bottom"/>
          </w:tcPr>
          <w:p w14:paraId="47DB7857" w14:textId="77777777" w:rsidR="007523B8" w:rsidRPr="009E06AA" w:rsidRDefault="007523B8" w:rsidP="0011748D">
            <w:pPr>
              <w:pStyle w:val="TableTextBold"/>
              <w:spacing w:after="0"/>
              <w:jc w:val="right"/>
              <w:rPr>
                <w:noProof w:val="0"/>
                <w:color w:val="FFFFFF" w:themeColor="background1"/>
                <w:szCs w:val="16"/>
              </w:rPr>
            </w:pPr>
            <w:r w:rsidRPr="009E06AA">
              <w:rPr>
                <w:noProof w:val="0"/>
                <w:color w:val="FFFFFF" w:themeColor="background1"/>
                <w:szCs w:val="16"/>
              </w:rPr>
              <w:t xml:space="preserve">Emissions </w:t>
            </w:r>
            <w:r w:rsidRPr="009E06AA">
              <w:rPr>
                <w:noProof w:val="0"/>
                <w:color w:val="FFFFFF" w:themeColor="background1"/>
                <w:szCs w:val="16"/>
              </w:rPr>
              <w:br/>
              <w:t>(kt CO</w:t>
            </w:r>
            <w:r w:rsidRPr="009E06AA">
              <w:rPr>
                <w:noProof w:val="0"/>
                <w:color w:val="FFFFFF" w:themeColor="background1"/>
                <w:szCs w:val="16"/>
                <w:vertAlign w:val="subscript"/>
              </w:rPr>
              <w:t>2</w:t>
            </w:r>
            <w:r w:rsidRPr="009E06AA">
              <w:rPr>
                <w:noProof w:val="0"/>
                <w:color w:val="FFFFFF" w:themeColor="background1"/>
                <w:szCs w:val="16"/>
              </w:rPr>
              <w:t>-e)</w:t>
            </w:r>
          </w:p>
        </w:tc>
        <w:tc>
          <w:tcPr>
            <w:tcW w:w="1566" w:type="dxa"/>
            <w:gridSpan w:val="2"/>
            <w:tcBorders>
              <w:top w:val="single" w:sz="4" w:space="0" w:color="1B556B" w:themeColor="text2"/>
              <w:left w:val="nil"/>
              <w:bottom w:val="nil"/>
              <w:right w:val="nil"/>
            </w:tcBorders>
            <w:shd w:val="clear" w:color="auto" w:fill="1B556B"/>
            <w:vAlign w:val="bottom"/>
          </w:tcPr>
          <w:p w14:paraId="49A48D5A" w14:textId="77777777" w:rsidR="007523B8" w:rsidRPr="009E06AA" w:rsidRDefault="007523B8" w:rsidP="0011748D">
            <w:pPr>
              <w:pStyle w:val="TableTextBold"/>
              <w:spacing w:after="0"/>
              <w:jc w:val="right"/>
              <w:rPr>
                <w:noProof w:val="0"/>
                <w:color w:val="FFFFFF" w:themeColor="background1"/>
                <w:szCs w:val="16"/>
              </w:rPr>
            </w:pPr>
            <w:r w:rsidRPr="009E06AA">
              <w:rPr>
                <w:noProof w:val="0"/>
                <w:color w:val="FFFFFF" w:themeColor="background1"/>
                <w:szCs w:val="16"/>
              </w:rPr>
              <w:t xml:space="preserve">Change from </w:t>
            </w:r>
            <w:r w:rsidRPr="009E06AA">
              <w:rPr>
                <w:noProof w:val="0"/>
                <w:color w:val="FFFFFF" w:themeColor="background1"/>
                <w:szCs w:val="16"/>
              </w:rPr>
              <w:br/>
              <w:t>1990–2022</w:t>
            </w:r>
          </w:p>
        </w:tc>
        <w:tc>
          <w:tcPr>
            <w:tcW w:w="1095" w:type="dxa"/>
            <w:tcBorders>
              <w:top w:val="single" w:sz="4" w:space="0" w:color="1B556B" w:themeColor="text2"/>
              <w:left w:val="nil"/>
              <w:bottom w:val="nil"/>
              <w:right w:val="nil"/>
            </w:tcBorders>
            <w:shd w:val="clear" w:color="auto" w:fill="1B556B"/>
            <w:vAlign w:val="bottom"/>
          </w:tcPr>
          <w:p w14:paraId="48CF972D" w14:textId="77777777" w:rsidR="007523B8" w:rsidRPr="009E06AA" w:rsidRDefault="007523B8" w:rsidP="0011748D">
            <w:pPr>
              <w:pStyle w:val="TableTextBold"/>
              <w:spacing w:after="0"/>
              <w:jc w:val="right"/>
              <w:rPr>
                <w:noProof w:val="0"/>
                <w:color w:val="FFFFFF" w:themeColor="background1"/>
                <w:szCs w:val="16"/>
              </w:rPr>
            </w:pPr>
            <w:r w:rsidRPr="009E06AA">
              <w:rPr>
                <w:noProof w:val="0"/>
                <w:color w:val="FFFFFF" w:themeColor="background1"/>
                <w:szCs w:val="16"/>
              </w:rPr>
              <w:t xml:space="preserve">Share of </w:t>
            </w:r>
            <w:r w:rsidRPr="009E06AA">
              <w:rPr>
                <w:noProof w:val="0"/>
                <w:color w:val="FFFFFF" w:themeColor="background1"/>
                <w:szCs w:val="16"/>
              </w:rPr>
              <w:br/>
              <w:t>Agricultural soils category</w:t>
            </w:r>
          </w:p>
        </w:tc>
        <w:tc>
          <w:tcPr>
            <w:tcW w:w="1153" w:type="dxa"/>
            <w:tcBorders>
              <w:top w:val="single" w:sz="4" w:space="0" w:color="1B556B" w:themeColor="text2"/>
              <w:left w:val="nil"/>
              <w:bottom w:val="nil"/>
              <w:right w:val="nil"/>
            </w:tcBorders>
            <w:shd w:val="clear" w:color="auto" w:fill="1B556B"/>
            <w:vAlign w:val="bottom"/>
          </w:tcPr>
          <w:p w14:paraId="5EE77F40" w14:textId="77777777" w:rsidR="007523B8" w:rsidRPr="009E06AA" w:rsidRDefault="007523B8" w:rsidP="0011748D">
            <w:pPr>
              <w:pStyle w:val="TableTextBold"/>
              <w:spacing w:after="0"/>
              <w:jc w:val="right"/>
              <w:rPr>
                <w:noProof w:val="0"/>
                <w:color w:val="FFFFFF" w:themeColor="background1"/>
                <w:szCs w:val="16"/>
              </w:rPr>
            </w:pPr>
            <w:r w:rsidRPr="009E06AA">
              <w:rPr>
                <w:noProof w:val="0"/>
                <w:color w:val="FFFFFF" w:themeColor="background1"/>
                <w:szCs w:val="16"/>
              </w:rPr>
              <w:t xml:space="preserve">Share of total </w:t>
            </w:r>
            <w:r w:rsidRPr="009E06AA">
              <w:rPr>
                <w:noProof w:val="0"/>
                <w:color w:val="FFFFFF" w:themeColor="background1"/>
                <w:szCs w:val="16"/>
              </w:rPr>
              <w:br/>
              <w:t xml:space="preserve">Agriculture sector </w:t>
            </w:r>
          </w:p>
        </w:tc>
      </w:tr>
      <w:tr w:rsidR="007523B8" w:rsidRPr="009E06AA" w14:paraId="44616EDF" w14:textId="77777777" w:rsidTr="00B55F24">
        <w:trPr>
          <w:tblHeader/>
        </w:trPr>
        <w:tc>
          <w:tcPr>
            <w:tcW w:w="3261" w:type="dxa"/>
            <w:gridSpan w:val="2"/>
            <w:tcBorders>
              <w:top w:val="nil"/>
              <w:left w:val="nil"/>
              <w:bottom w:val="single" w:sz="4" w:space="0" w:color="1B556B" w:themeColor="text2"/>
              <w:right w:val="nil"/>
            </w:tcBorders>
            <w:shd w:val="clear" w:color="auto" w:fill="1B556B"/>
          </w:tcPr>
          <w:p w14:paraId="74B105F5" w14:textId="77777777" w:rsidR="007523B8" w:rsidRPr="009E06AA" w:rsidRDefault="007523B8" w:rsidP="00B55F24">
            <w:pPr>
              <w:pStyle w:val="TableTextBold"/>
              <w:rPr>
                <w:noProof w:val="0"/>
                <w:color w:val="FFFFFF" w:themeColor="background1"/>
                <w:szCs w:val="16"/>
              </w:rPr>
            </w:pPr>
            <w:r w:rsidRPr="009E06AA">
              <w:rPr>
                <w:noProof w:val="0"/>
                <w:color w:val="FFFFFF" w:themeColor="background1"/>
                <w:szCs w:val="16"/>
              </w:rPr>
              <w:t>Agricultural soils category</w:t>
            </w:r>
          </w:p>
        </w:tc>
        <w:tc>
          <w:tcPr>
            <w:tcW w:w="708" w:type="dxa"/>
            <w:tcBorders>
              <w:top w:val="nil"/>
              <w:left w:val="nil"/>
              <w:bottom w:val="single" w:sz="4" w:space="0" w:color="1B556B" w:themeColor="text2"/>
              <w:right w:val="nil"/>
            </w:tcBorders>
            <w:shd w:val="clear" w:color="auto" w:fill="1B556B"/>
            <w:vAlign w:val="bottom"/>
          </w:tcPr>
          <w:p w14:paraId="463E6C55" w14:textId="77777777" w:rsidR="007523B8" w:rsidRPr="009E06AA" w:rsidRDefault="007523B8" w:rsidP="0011748D">
            <w:pPr>
              <w:pStyle w:val="TableTextBold"/>
              <w:jc w:val="right"/>
              <w:rPr>
                <w:noProof w:val="0"/>
                <w:color w:val="FFFFFF" w:themeColor="background1"/>
                <w:szCs w:val="16"/>
              </w:rPr>
            </w:pPr>
            <w:r w:rsidRPr="009E06AA">
              <w:rPr>
                <w:noProof w:val="0"/>
                <w:color w:val="FFFFFF" w:themeColor="background1"/>
                <w:szCs w:val="16"/>
              </w:rPr>
              <w:t>1990</w:t>
            </w:r>
          </w:p>
        </w:tc>
        <w:tc>
          <w:tcPr>
            <w:tcW w:w="722" w:type="dxa"/>
            <w:tcBorders>
              <w:top w:val="nil"/>
              <w:left w:val="nil"/>
              <w:bottom w:val="single" w:sz="4" w:space="0" w:color="1B556B" w:themeColor="text2"/>
              <w:right w:val="nil"/>
            </w:tcBorders>
            <w:shd w:val="clear" w:color="auto" w:fill="1B556B"/>
            <w:vAlign w:val="bottom"/>
          </w:tcPr>
          <w:p w14:paraId="63CEDB1C" w14:textId="77777777" w:rsidR="007523B8" w:rsidRPr="009E06AA" w:rsidRDefault="007523B8" w:rsidP="0011748D">
            <w:pPr>
              <w:pStyle w:val="TableTextBold"/>
              <w:jc w:val="right"/>
              <w:rPr>
                <w:noProof w:val="0"/>
                <w:color w:val="FFFFFF" w:themeColor="background1"/>
                <w:szCs w:val="16"/>
              </w:rPr>
            </w:pPr>
            <w:r w:rsidRPr="009E06AA">
              <w:rPr>
                <w:noProof w:val="0"/>
                <w:color w:val="FFFFFF" w:themeColor="background1"/>
                <w:szCs w:val="16"/>
              </w:rPr>
              <w:t>2022</w:t>
            </w:r>
          </w:p>
        </w:tc>
        <w:tc>
          <w:tcPr>
            <w:tcW w:w="854" w:type="dxa"/>
            <w:tcBorders>
              <w:top w:val="nil"/>
              <w:left w:val="nil"/>
              <w:bottom w:val="single" w:sz="4" w:space="0" w:color="1B556B" w:themeColor="text2"/>
              <w:right w:val="nil"/>
            </w:tcBorders>
            <w:shd w:val="clear" w:color="auto" w:fill="1B556B"/>
            <w:vAlign w:val="bottom"/>
          </w:tcPr>
          <w:p w14:paraId="11B8A009" w14:textId="77777777" w:rsidR="007523B8" w:rsidRPr="009E06AA" w:rsidRDefault="007523B8" w:rsidP="0011748D">
            <w:pPr>
              <w:pStyle w:val="TableTextBold"/>
              <w:jc w:val="right"/>
              <w:rPr>
                <w:noProof w:val="0"/>
                <w:color w:val="FFFFFF" w:themeColor="background1"/>
                <w:szCs w:val="16"/>
              </w:rPr>
            </w:pPr>
            <w:r w:rsidRPr="009E06AA">
              <w:rPr>
                <w:noProof w:val="0"/>
                <w:color w:val="FFFFFF" w:themeColor="background1"/>
                <w:szCs w:val="16"/>
              </w:rPr>
              <w:t>kt CO</w:t>
            </w:r>
            <w:r w:rsidRPr="009E06AA">
              <w:rPr>
                <w:noProof w:val="0"/>
                <w:color w:val="FFFFFF" w:themeColor="background1"/>
                <w:szCs w:val="16"/>
                <w:vertAlign w:val="subscript"/>
              </w:rPr>
              <w:t>2</w:t>
            </w:r>
            <w:r w:rsidRPr="009E06AA">
              <w:rPr>
                <w:noProof w:val="0"/>
                <w:color w:val="FFFFFF" w:themeColor="background1"/>
                <w:szCs w:val="16"/>
              </w:rPr>
              <w:t>-e</w:t>
            </w:r>
          </w:p>
        </w:tc>
        <w:tc>
          <w:tcPr>
            <w:tcW w:w="712" w:type="dxa"/>
            <w:tcBorders>
              <w:top w:val="nil"/>
              <w:left w:val="nil"/>
              <w:bottom w:val="single" w:sz="4" w:space="0" w:color="1B556B" w:themeColor="text2"/>
              <w:right w:val="nil"/>
            </w:tcBorders>
            <w:shd w:val="clear" w:color="auto" w:fill="1B556B"/>
            <w:vAlign w:val="bottom"/>
          </w:tcPr>
          <w:p w14:paraId="72E02B18" w14:textId="77777777" w:rsidR="007523B8" w:rsidRPr="009E06AA" w:rsidRDefault="007523B8" w:rsidP="0011748D">
            <w:pPr>
              <w:pStyle w:val="TableTextBold"/>
              <w:jc w:val="right"/>
              <w:rPr>
                <w:noProof w:val="0"/>
                <w:color w:val="FFFFFF" w:themeColor="background1"/>
                <w:szCs w:val="16"/>
              </w:rPr>
            </w:pPr>
            <w:r w:rsidRPr="009E06AA">
              <w:rPr>
                <w:noProof w:val="0"/>
                <w:color w:val="FFFFFF" w:themeColor="background1"/>
                <w:szCs w:val="16"/>
              </w:rPr>
              <w:t>%</w:t>
            </w:r>
          </w:p>
        </w:tc>
        <w:tc>
          <w:tcPr>
            <w:tcW w:w="1095" w:type="dxa"/>
            <w:tcBorders>
              <w:top w:val="nil"/>
              <w:left w:val="nil"/>
              <w:bottom w:val="single" w:sz="4" w:space="0" w:color="1B556B" w:themeColor="text2"/>
              <w:right w:val="nil"/>
            </w:tcBorders>
            <w:shd w:val="clear" w:color="auto" w:fill="1B556B"/>
            <w:vAlign w:val="bottom"/>
          </w:tcPr>
          <w:p w14:paraId="1CE22FE8" w14:textId="77777777" w:rsidR="007523B8" w:rsidRPr="009E06AA" w:rsidRDefault="007523B8" w:rsidP="0011748D">
            <w:pPr>
              <w:pStyle w:val="TableTextBold"/>
              <w:jc w:val="right"/>
              <w:rPr>
                <w:noProof w:val="0"/>
                <w:color w:val="FFFFFF" w:themeColor="background1"/>
                <w:szCs w:val="16"/>
              </w:rPr>
            </w:pPr>
            <w:r w:rsidRPr="009E06AA">
              <w:rPr>
                <w:noProof w:val="0"/>
                <w:color w:val="FFFFFF" w:themeColor="background1"/>
                <w:szCs w:val="16"/>
              </w:rPr>
              <w:t>2022 (%)</w:t>
            </w:r>
          </w:p>
        </w:tc>
        <w:tc>
          <w:tcPr>
            <w:tcW w:w="1153" w:type="dxa"/>
            <w:tcBorders>
              <w:top w:val="nil"/>
              <w:left w:val="nil"/>
              <w:bottom w:val="single" w:sz="4" w:space="0" w:color="1B556B" w:themeColor="text2"/>
              <w:right w:val="nil"/>
            </w:tcBorders>
            <w:shd w:val="clear" w:color="auto" w:fill="1B556B"/>
            <w:vAlign w:val="bottom"/>
          </w:tcPr>
          <w:p w14:paraId="2C54983F" w14:textId="77777777" w:rsidR="007523B8" w:rsidRPr="009E06AA" w:rsidRDefault="007523B8" w:rsidP="0011748D">
            <w:pPr>
              <w:pStyle w:val="TableTextBold"/>
              <w:jc w:val="right"/>
              <w:rPr>
                <w:noProof w:val="0"/>
                <w:color w:val="FFFFFF" w:themeColor="background1"/>
                <w:szCs w:val="16"/>
              </w:rPr>
            </w:pPr>
            <w:r w:rsidRPr="009E06AA">
              <w:rPr>
                <w:noProof w:val="0"/>
                <w:color w:val="FFFFFF" w:themeColor="background1"/>
                <w:szCs w:val="16"/>
              </w:rPr>
              <w:t>2022 (%)</w:t>
            </w:r>
          </w:p>
        </w:tc>
      </w:tr>
      <w:tr w:rsidR="007523B8" w:rsidRPr="009E06AA" w14:paraId="6F9D3FB7" w14:textId="77777777" w:rsidTr="00B55F24">
        <w:tc>
          <w:tcPr>
            <w:tcW w:w="816" w:type="dxa"/>
            <w:vMerge w:val="restart"/>
            <w:tcBorders>
              <w:top w:val="single" w:sz="4" w:space="0" w:color="1B556B" w:themeColor="text2"/>
              <w:left w:val="nil"/>
              <w:right w:val="nil"/>
            </w:tcBorders>
            <w:shd w:val="clear" w:color="auto" w:fill="auto"/>
          </w:tcPr>
          <w:p w14:paraId="68E72D83" w14:textId="77777777" w:rsidR="007523B8" w:rsidRPr="009E06AA" w:rsidRDefault="007523B8" w:rsidP="00B55F24">
            <w:pPr>
              <w:pStyle w:val="TableText"/>
              <w:spacing w:before="50" w:after="50"/>
              <w:rPr>
                <w:rFonts w:cs="Calibri"/>
                <w:szCs w:val="16"/>
              </w:rPr>
            </w:pPr>
            <w:r w:rsidRPr="009E06AA">
              <w:rPr>
                <w:rFonts w:cs="Calibri"/>
                <w:szCs w:val="16"/>
              </w:rPr>
              <w:t>Direct</w:t>
            </w:r>
          </w:p>
        </w:tc>
        <w:tc>
          <w:tcPr>
            <w:tcW w:w="2445" w:type="dxa"/>
            <w:tcBorders>
              <w:top w:val="single" w:sz="4" w:space="0" w:color="1B556B" w:themeColor="text2"/>
              <w:left w:val="nil"/>
              <w:bottom w:val="single" w:sz="4" w:space="0" w:color="1B556B"/>
              <w:right w:val="nil"/>
            </w:tcBorders>
            <w:shd w:val="clear" w:color="auto" w:fill="auto"/>
            <w:vAlign w:val="bottom"/>
          </w:tcPr>
          <w:p w14:paraId="07C9E5E4" w14:textId="77777777" w:rsidR="007523B8" w:rsidRPr="009E06AA" w:rsidRDefault="007523B8" w:rsidP="00B55F24">
            <w:pPr>
              <w:pStyle w:val="TableText"/>
              <w:spacing w:before="50" w:after="50"/>
              <w:rPr>
                <w:rFonts w:cs="Calibri"/>
                <w:szCs w:val="16"/>
              </w:rPr>
            </w:pPr>
            <w:r w:rsidRPr="009E06AA">
              <w:rPr>
                <w:rFonts w:cs="Calibri"/>
                <w:szCs w:val="16"/>
              </w:rPr>
              <w:t>Synthetic nitrogen fertilisers</w:t>
            </w:r>
          </w:p>
        </w:tc>
        <w:tc>
          <w:tcPr>
            <w:tcW w:w="708" w:type="dxa"/>
            <w:tcBorders>
              <w:top w:val="single" w:sz="4" w:space="0" w:color="1B556B" w:themeColor="text2"/>
              <w:left w:val="nil"/>
              <w:bottom w:val="single" w:sz="4" w:space="0" w:color="1B556B"/>
              <w:right w:val="nil"/>
            </w:tcBorders>
            <w:shd w:val="clear" w:color="auto" w:fill="auto"/>
          </w:tcPr>
          <w:p w14:paraId="6785137F" w14:textId="77777777" w:rsidR="007523B8" w:rsidRPr="009E06AA" w:rsidRDefault="007523B8" w:rsidP="0011748D">
            <w:pPr>
              <w:pStyle w:val="TableText"/>
              <w:spacing w:before="50" w:after="50"/>
              <w:jc w:val="right"/>
              <w:rPr>
                <w:rFonts w:cs="Calibri"/>
                <w:szCs w:val="16"/>
              </w:rPr>
            </w:pPr>
            <w:r w:rsidRPr="009E06AA">
              <w:t>204.8</w:t>
            </w:r>
          </w:p>
        </w:tc>
        <w:tc>
          <w:tcPr>
            <w:tcW w:w="722" w:type="dxa"/>
            <w:tcBorders>
              <w:top w:val="single" w:sz="4" w:space="0" w:color="1B556B" w:themeColor="text2"/>
              <w:left w:val="nil"/>
              <w:bottom w:val="single" w:sz="4" w:space="0" w:color="1B556B"/>
              <w:right w:val="nil"/>
            </w:tcBorders>
            <w:shd w:val="clear" w:color="auto" w:fill="auto"/>
          </w:tcPr>
          <w:p w14:paraId="7749EDC3" w14:textId="77777777" w:rsidR="007523B8" w:rsidRPr="009E06AA" w:rsidRDefault="007523B8" w:rsidP="0011748D">
            <w:pPr>
              <w:pStyle w:val="TableText"/>
              <w:spacing w:before="50" w:after="50"/>
              <w:jc w:val="right"/>
              <w:rPr>
                <w:rFonts w:cs="Calibri"/>
                <w:szCs w:val="16"/>
              </w:rPr>
            </w:pPr>
            <w:r w:rsidRPr="009E06AA">
              <w:t>961.4</w:t>
            </w:r>
          </w:p>
        </w:tc>
        <w:tc>
          <w:tcPr>
            <w:tcW w:w="854" w:type="dxa"/>
            <w:tcBorders>
              <w:top w:val="single" w:sz="4" w:space="0" w:color="1B556B" w:themeColor="text2"/>
              <w:left w:val="nil"/>
              <w:bottom w:val="single" w:sz="4" w:space="0" w:color="1B556B"/>
              <w:right w:val="nil"/>
            </w:tcBorders>
            <w:shd w:val="clear" w:color="auto" w:fill="auto"/>
          </w:tcPr>
          <w:p w14:paraId="6A3350FE" w14:textId="77777777" w:rsidR="007523B8" w:rsidRPr="009E06AA" w:rsidRDefault="007523B8" w:rsidP="0011748D">
            <w:pPr>
              <w:pStyle w:val="TableText"/>
              <w:spacing w:before="50" w:after="50"/>
              <w:jc w:val="right"/>
              <w:rPr>
                <w:rFonts w:cs="Calibri"/>
                <w:szCs w:val="16"/>
              </w:rPr>
            </w:pPr>
            <w:r w:rsidRPr="009E06AA">
              <w:t>756.5</w:t>
            </w:r>
          </w:p>
        </w:tc>
        <w:tc>
          <w:tcPr>
            <w:tcW w:w="712" w:type="dxa"/>
            <w:tcBorders>
              <w:top w:val="single" w:sz="4" w:space="0" w:color="1B556B" w:themeColor="text2"/>
              <w:left w:val="nil"/>
              <w:bottom w:val="single" w:sz="4" w:space="0" w:color="1B556B"/>
              <w:right w:val="nil"/>
            </w:tcBorders>
            <w:shd w:val="clear" w:color="auto" w:fill="auto"/>
          </w:tcPr>
          <w:p w14:paraId="4DB7038E" w14:textId="77777777" w:rsidR="007523B8" w:rsidRPr="009E06AA" w:rsidRDefault="007523B8" w:rsidP="0011748D">
            <w:pPr>
              <w:pStyle w:val="TableText"/>
              <w:spacing w:before="50" w:after="50"/>
              <w:jc w:val="right"/>
              <w:rPr>
                <w:rFonts w:cs="Calibri"/>
                <w:szCs w:val="16"/>
              </w:rPr>
            </w:pPr>
            <w:r w:rsidRPr="009E06AA">
              <w:t>369.4</w:t>
            </w:r>
          </w:p>
        </w:tc>
        <w:tc>
          <w:tcPr>
            <w:tcW w:w="1095" w:type="dxa"/>
            <w:tcBorders>
              <w:top w:val="single" w:sz="4" w:space="0" w:color="1B556B" w:themeColor="text2"/>
              <w:left w:val="nil"/>
              <w:bottom w:val="single" w:sz="4" w:space="0" w:color="1B556B"/>
              <w:right w:val="nil"/>
            </w:tcBorders>
            <w:shd w:val="clear" w:color="auto" w:fill="auto"/>
          </w:tcPr>
          <w:p w14:paraId="01102BEB" w14:textId="77777777" w:rsidR="007523B8" w:rsidRPr="009E06AA" w:rsidRDefault="007523B8" w:rsidP="0011748D">
            <w:pPr>
              <w:pStyle w:val="TableText"/>
              <w:spacing w:before="50" w:after="50"/>
              <w:jc w:val="right"/>
              <w:rPr>
                <w:rFonts w:cs="Calibri"/>
                <w:szCs w:val="16"/>
              </w:rPr>
            </w:pPr>
            <w:r w:rsidRPr="009E06AA">
              <w:t>15.2</w:t>
            </w:r>
          </w:p>
        </w:tc>
        <w:tc>
          <w:tcPr>
            <w:tcW w:w="1153" w:type="dxa"/>
            <w:tcBorders>
              <w:top w:val="single" w:sz="4" w:space="0" w:color="1B556B" w:themeColor="text2"/>
              <w:left w:val="nil"/>
              <w:bottom w:val="single" w:sz="4" w:space="0" w:color="1B556B"/>
              <w:right w:val="nil"/>
            </w:tcBorders>
            <w:shd w:val="clear" w:color="auto" w:fill="auto"/>
          </w:tcPr>
          <w:p w14:paraId="647174DD" w14:textId="77777777" w:rsidR="007523B8" w:rsidRPr="009E06AA" w:rsidRDefault="007523B8" w:rsidP="0011748D">
            <w:pPr>
              <w:pStyle w:val="TableText"/>
              <w:spacing w:before="50" w:after="50"/>
              <w:jc w:val="right"/>
              <w:rPr>
                <w:rFonts w:cs="Calibri"/>
                <w:szCs w:val="16"/>
              </w:rPr>
            </w:pPr>
            <w:r w:rsidRPr="009E06AA">
              <w:t>2.3</w:t>
            </w:r>
          </w:p>
        </w:tc>
      </w:tr>
      <w:tr w:rsidR="007523B8" w:rsidRPr="009E06AA" w14:paraId="1AB795EE" w14:textId="77777777" w:rsidTr="00B55F24">
        <w:tc>
          <w:tcPr>
            <w:tcW w:w="816" w:type="dxa"/>
            <w:vMerge/>
            <w:tcBorders>
              <w:left w:val="nil"/>
              <w:right w:val="nil"/>
            </w:tcBorders>
            <w:shd w:val="clear" w:color="auto" w:fill="auto"/>
          </w:tcPr>
          <w:p w14:paraId="7EA23754" w14:textId="77777777" w:rsidR="007523B8" w:rsidRPr="009E06AA" w:rsidRDefault="007523B8" w:rsidP="00B55F24">
            <w:pPr>
              <w:pStyle w:val="TableText"/>
              <w:spacing w:before="50" w:after="50"/>
              <w:rPr>
                <w:rFonts w:cs="Calibri"/>
                <w:szCs w:val="16"/>
              </w:rPr>
            </w:pPr>
          </w:p>
        </w:tc>
        <w:tc>
          <w:tcPr>
            <w:tcW w:w="2445" w:type="dxa"/>
            <w:tcBorders>
              <w:top w:val="single" w:sz="4" w:space="0" w:color="1B556B"/>
              <w:left w:val="nil"/>
              <w:bottom w:val="single" w:sz="4" w:space="0" w:color="1B556B"/>
              <w:right w:val="nil"/>
            </w:tcBorders>
            <w:shd w:val="clear" w:color="auto" w:fill="auto"/>
            <w:vAlign w:val="bottom"/>
          </w:tcPr>
          <w:p w14:paraId="3031886E" w14:textId="77777777" w:rsidR="007523B8" w:rsidRPr="009E06AA" w:rsidRDefault="007523B8" w:rsidP="00B55F24">
            <w:pPr>
              <w:pStyle w:val="TableText"/>
              <w:spacing w:before="50" w:after="50"/>
              <w:rPr>
                <w:rFonts w:cs="Calibri"/>
                <w:szCs w:val="16"/>
              </w:rPr>
            </w:pPr>
            <w:r w:rsidRPr="009E06AA">
              <w:rPr>
                <w:rFonts w:cs="Calibri"/>
                <w:szCs w:val="16"/>
              </w:rPr>
              <w:t>Organic fertilisers (animal manure spread on pasture)</w:t>
            </w:r>
          </w:p>
        </w:tc>
        <w:tc>
          <w:tcPr>
            <w:tcW w:w="708" w:type="dxa"/>
            <w:tcBorders>
              <w:top w:val="single" w:sz="4" w:space="0" w:color="1B556B"/>
              <w:left w:val="nil"/>
              <w:bottom w:val="single" w:sz="4" w:space="0" w:color="1B556B"/>
              <w:right w:val="nil"/>
            </w:tcBorders>
            <w:shd w:val="clear" w:color="auto" w:fill="auto"/>
          </w:tcPr>
          <w:p w14:paraId="774BA1A0" w14:textId="77777777" w:rsidR="007523B8" w:rsidRPr="009E06AA" w:rsidRDefault="007523B8" w:rsidP="0011748D">
            <w:pPr>
              <w:pStyle w:val="TableText"/>
              <w:spacing w:before="50" w:after="50"/>
              <w:jc w:val="right"/>
              <w:rPr>
                <w:rFonts w:cs="Calibri"/>
                <w:szCs w:val="16"/>
              </w:rPr>
            </w:pPr>
            <w:r w:rsidRPr="009E06AA">
              <w:t>32.1</w:t>
            </w:r>
          </w:p>
        </w:tc>
        <w:tc>
          <w:tcPr>
            <w:tcW w:w="722" w:type="dxa"/>
            <w:tcBorders>
              <w:top w:val="single" w:sz="4" w:space="0" w:color="1B556B"/>
              <w:left w:val="nil"/>
              <w:bottom w:val="single" w:sz="4" w:space="0" w:color="1B556B"/>
              <w:right w:val="nil"/>
            </w:tcBorders>
            <w:shd w:val="clear" w:color="auto" w:fill="auto"/>
          </w:tcPr>
          <w:p w14:paraId="2B8463C6" w14:textId="77777777" w:rsidR="007523B8" w:rsidRPr="009E06AA" w:rsidRDefault="007523B8" w:rsidP="0011748D">
            <w:pPr>
              <w:pStyle w:val="TableText"/>
              <w:spacing w:before="50" w:after="50"/>
              <w:jc w:val="right"/>
              <w:rPr>
                <w:rFonts w:cs="Calibri"/>
                <w:szCs w:val="16"/>
              </w:rPr>
            </w:pPr>
            <w:r w:rsidRPr="009E06AA">
              <w:t>65.0</w:t>
            </w:r>
          </w:p>
        </w:tc>
        <w:tc>
          <w:tcPr>
            <w:tcW w:w="854" w:type="dxa"/>
            <w:tcBorders>
              <w:top w:val="single" w:sz="4" w:space="0" w:color="1B556B"/>
              <w:left w:val="nil"/>
              <w:bottom w:val="single" w:sz="4" w:space="0" w:color="1B556B"/>
              <w:right w:val="nil"/>
            </w:tcBorders>
            <w:shd w:val="clear" w:color="auto" w:fill="auto"/>
          </w:tcPr>
          <w:p w14:paraId="10F46518" w14:textId="77777777" w:rsidR="007523B8" w:rsidRPr="009E06AA" w:rsidRDefault="007523B8" w:rsidP="0011748D">
            <w:pPr>
              <w:pStyle w:val="TableText"/>
              <w:spacing w:before="50" w:after="50"/>
              <w:jc w:val="right"/>
              <w:rPr>
                <w:rFonts w:cs="Calibri"/>
                <w:szCs w:val="16"/>
              </w:rPr>
            </w:pPr>
            <w:r w:rsidRPr="009E06AA">
              <w:t>32.9</w:t>
            </w:r>
          </w:p>
        </w:tc>
        <w:tc>
          <w:tcPr>
            <w:tcW w:w="712" w:type="dxa"/>
            <w:tcBorders>
              <w:top w:val="single" w:sz="4" w:space="0" w:color="1B556B"/>
              <w:left w:val="nil"/>
              <w:bottom w:val="single" w:sz="4" w:space="0" w:color="1B556B"/>
              <w:right w:val="nil"/>
            </w:tcBorders>
            <w:shd w:val="clear" w:color="auto" w:fill="auto"/>
          </w:tcPr>
          <w:p w14:paraId="0AD70C1C" w14:textId="77777777" w:rsidR="007523B8" w:rsidRPr="009E06AA" w:rsidRDefault="007523B8" w:rsidP="0011748D">
            <w:pPr>
              <w:pStyle w:val="TableText"/>
              <w:spacing w:before="50" w:after="50"/>
              <w:jc w:val="right"/>
              <w:rPr>
                <w:rFonts w:cs="Calibri"/>
                <w:szCs w:val="16"/>
              </w:rPr>
            </w:pPr>
            <w:r w:rsidRPr="009E06AA">
              <w:t>102.3</w:t>
            </w:r>
          </w:p>
        </w:tc>
        <w:tc>
          <w:tcPr>
            <w:tcW w:w="1095" w:type="dxa"/>
            <w:tcBorders>
              <w:top w:val="single" w:sz="4" w:space="0" w:color="1B556B"/>
              <w:left w:val="nil"/>
              <w:bottom w:val="single" w:sz="4" w:space="0" w:color="1B556B"/>
              <w:right w:val="nil"/>
            </w:tcBorders>
            <w:shd w:val="clear" w:color="auto" w:fill="auto"/>
          </w:tcPr>
          <w:p w14:paraId="76F83F19" w14:textId="77777777" w:rsidR="007523B8" w:rsidRPr="009E06AA" w:rsidRDefault="007523B8" w:rsidP="0011748D">
            <w:pPr>
              <w:pStyle w:val="TableText"/>
              <w:spacing w:before="50" w:after="50"/>
              <w:jc w:val="right"/>
              <w:rPr>
                <w:rFonts w:cs="Calibri"/>
                <w:szCs w:val="16"/>
              </w:rPr>
            </w:pPr>
            <w:r w:rsidRPr="009E06AA">
              <w:t>1.0</w:t>
            </w:r>
          </w:p>
        </w:tc>
        <w:tc>
          <w:tcPr>
            <w:tcW w:w="1153" w:type="dxa"/>
            <w:tcBorders>
              <w:top w:val="single" w:sz="4" w:space="0" w:color="1B556B"/>
              <w:left w:val="nil"/>
              <w:bottom w:val="single" w:sz="4" w:space="0" w:color="1B556B"/>
              <w:right w:val="nil"/>
            </w:tcBorders>
            <w:shd w:val="clear" w:color="auto" w:fill="auto"/>
          </w:tcPr>
          <w:p w14:paraId="2C999360" w14:textId="77777777" w:rsidR="007523B8" w:rsidRPr="009E06AA" w:rsidRDefault="007523B8" w:rsidP="0011748D">
            <w:pPr>
              <w:pStyle w:val="TableText"/>
              <w:spacing w:before="50" w:after="50"/>
              <w:jc w:val="right"/>
              <w:rPr>
                <w:rFonts w:cs="Calibri"/>
                <w:szCs w:val="16"/>
              </w:rPr>
            </w:pPr>
            <w:r w:rsidRPr="009E06AA">
              <w:t>0.2</w:t>
            </w:r>
          </w:p>
        </w:tc>
      </w:tr>
      <w:tr w:rsidR="007523B8" w:rsidRPr="009E06AA" w14:paraId="14C0CCED" w14:textId="77777777" w:rsidTr="00B55F24">
        <w:tc>
          <w:tcPr>
            <w:tcW w:w="816" w:type="dxa"/>
            <w:vMerge/>
            <w:tcBorders>
              <w:left w:val="nil"/>
              <w:right w:val="nil"/>
            </w:tcBorders>
            <w:shd w:val="clear" w:color="auto" w:fill="auto"/>
          </w:tcPr>
          <w:p w14:paraId="0FFF8CF4" w14:textId="77777777" w:rsidR="007523B8" w:rsidRPr="009E06AA" w:rsidRDefault="007523B8" w:rsidP="00B55F24">
            <w:pPr>
              <w:pStyle w:val="TableText"/>
              <w:spacing w:before="50" w:after="50"/>
              <w:rPr>
                <w:rFonts w:cs="Calibri"/>
                <w:szCs w:val="16"/>
              </w:rPr>
            </w:pPr>
          </w:p>
        </w:tc>
        <w:tc>
          <w:tcPr>
            <w:tcW w:w="2445" w:type="dxa"/>
            <w:tcBorders>
              <w:top w:val="single" w:sz="4" w:space="0" w:color="1B556B"/>
              <w:left w:val="nil"/>
              <w:bottom w:val="single" w:sz="4" w:space="0" w:color="1B556B"/>
              <w:right w:val="nil"/>
            </w:tcBorders>
            <w:shd w:val="clear" w:color="auto" w:fill="auto"/>
            <w:vAlign w:val="bottom"/>
          </w:tcPr>
          <w:p w14:paraId="59CF16AD" w14:textId="77777777" w:rsidR="007523B8" w:rsidRPr="009E06AA" w:rsidRDefault="007523B8" w:rsidP="00B55F24">
            <w:pPr>
              <w:pStyle w:val="TableText"/>
              <w:spacing w:before="50" w:after="50"/>
              <w:rPr>
                <w:rFonts w:cs="Calibri"/>
                <w:szCs w:val="16"/>
              </w:rPr>
            </w:pPr>
            <w:r w:rsidRPr="009E06AA">
              <w:rPr>
                <w:rFonts w:cs="Calibri"/>
                <w:szCs w:val="16"/>
              </w:rPr>
              <w:t>Pasture, range and paddock manure</w:t>
            </w:r>
          </w:p>
        </w:tc>
        <w:tc>
          <w:tcPr>
            <w:tcW w:w="708" w:type="dxa"/>
            <w:tcBorders>
              <w:top w:val="single" w:sz="4" w:space="0" w:color="1B556B"/>
              <w:left w:val="nil"/>
              <w:bottom w:val="single" w:sz="4" w:space="0" w:color="1B556B"/>
              <w:right w:val="nil"/>
            </w:tcBorders>
            <w:shd w:val="clear" w:color="auto" w:fill="auto"/>
          </w:tcPr>
          <w:p w14:paraId="78A5C0DD" w14:textId="77777777" w:rsidR="007523B8" w:rsidRPr="009E06AA" w:rsidRDefault="007523B8" w:rsidP="0011748D">
            <w:pPr>
              <w:pStyle w:val="TableText"/>
              <w:spacing w:before="50" w:after="50"/>
              <w:jc w:val="right"/>
              <w:rPr>
                <w:rFonts w:cs="Calibri"/>
                <w:szCs w:val="16"/>
              </w:rPr>
            </w:pPr>
            <w:r w:rsidRPr="009E06AA">
              <w:t>2,654.1</w:t>
            </w:r>
          </w:p>
        </w:tc>
        <w:tc>
          <w:tcPr>
            <w:tcW w:w="722" w:type="dxa"/>
            <w:tcBorders>
              <w:top w:val="single" w:sz="4" w:space="0" w:color="1B556B"/>
              <w:left w:val="nil"/>
              <w:bottom w:val="single" w:sz="4" w:space="0" w:color="1B556B"/>
              <w:right w:val="nil"/>
            </w:tcBorders>
            <w:shd w:val="clear" w:color="auto" w:fill="auto"/>
          </w:tcPr>
          <w:p w14:paraId="09E4CC35" w14:textId="77777777" w:rsidR="007523B8" w:rsidRPr="009E06AA" w:rsidRDefault="007523B8" w:rsidP="0011748D">
            <w:pPr>
              <w:pStyle w:val="TableText"/>
              <w:spacing w:before="50" w:after="50"/>
              <w:jc w:val="right"/>
              <w:rPr>
                <w:rFonts w:cs="Calibri"/>
                <w:szCs w:val="16"/>
              </w:rPr>
            </w:pPr>
            <w:r w:rsidRPr="009E06AA">
              <w:t>3,255.5</w:t>
            </w:r>
          </w:p>
        </w:tc>
        <w:tc>
          <w:tcPr>
            <w:tcW w:w="854" w:type="dxa"/>
            <w:tcBorders>
              <w:top w:val="single" w:sz="4" w:space="0" w:color="1B556B"/>
              <w:left w:val="nil"/>
              <w:bottom w:val="single" w:sz="4" w:space="0" w:color="1B556B"/>
              <w:right w:val="nil"/>
            </w:tcBorders>
            <w:shd w:val="clear" w:color="auto" w:fill="auto"/>
          </w:tcPr>
          <w:p w14:paraId="297AD2B7" w14:textId="77777777" w:rsidR="007523B8" w:rsidRPr="009E06AA" w:rsidRDefault="007523B8" w:rsidP="0011748D">
            <w:pPr>
              <w:pStyle w:val="TableText"/>
              <w:spacing w:before="50" w:after="50"/>
              <w:jc w:val="right"/>
              <w:rPr>
                <w:rFonts w:cs="Calibri"/>
                <w:szCs w:val="16"/>
              </w:rPr>
            </w:pPr>
            <w:r w:rsidRPr="009E06AA">
              <w:t>601.4</w:t>
            </w:r>
          </w:p>
        </w:tc>
        <w:tc>
          <w:tcPr>
            <w:tcW w:w="712" w:type="dxa"/>
            <w:tcBorders>
              <w:top w:val="single" w:sz="4" w:space="0" w:color="1B556B"/>
              <w:left w:val="nil"/>
              <w:bottom w:val="single" w:sz="4" w:space="0" w:color="1B556B"/>
              <w:right w:val="nil"/>
            </w:tcBorders>
            <w:shd w:val="clear" w:color="auto" w:fill="auto"/>
          </w:tcPr>
          <w:p w14:paraId="67F27891" w14:textId="77777777" w:rsidR="007523B8" w:rsidRPr="009E06AA" w:rsidRDefault="007523B8" w:rsidP="0011748D">
            <w:pPr>
              <w:pStyle w:val="TableText"/>
              <w:spacing w:before="50" w:after="50"/>
              <w:jc w:val="right"/>
              <w:rPr>
                <w:rFonts w:cs="Calibri"/>
                <w:szCs w:val="16"/>
              </w:rPr>
            </w:pPr>
            <w:r w:rsidRPr="009E06AA">
              <w:t>22.7</w:t>
            </w:r>
          </w:p>
        </w:tc>
        <w:tc>
          <w:tcPr>
            <w:tcW w:w="1095" w:type="dxa"/>
            <w:tcBorders>
              <w:top w:val="single" w:sz="4" w:space="0" w:color="1B556B"/>
              <w:left w:val="nil"/>
              <w:bottom w:val="single" w:sz="4" w:space="0" w:color="1B556B"/>
              <w:right w:val="nil"/>
            </w:tcBorders>
            <w:shd w:val="clear" w:color="auto" w:fill="auto"/>
          </w:tcPr>
          <w:p w14:paraId="5C083475" w14:textId="77777777" w:rsidR="007523B8" w:rsidRPr="009E06AA" w:rsidRDefault="007523B8" w:rsidP="0011748D">
            <w:pPr>
              <w:pStyle w:val="TableText"/>
              <w:spacing w:before="50" w:after="50"/>
              <w:jc w:val="right"/>
              <w:rPr>
                <w:rFonts w:cs="Calibri"/>
                <w:szCs w:val="16"/>
              </w:rPr>
            </w:pPr>
            <w:r w:rsidRPr="009E06AA">
              <w:t>51.5</w:t>
            </w:r>
          </w:p>
        </w:tc>
        <w:tc>
          <w:tcPr>
            <w:tcW w:w="1153" w:type="dxa"/>
            <w:tcBorders>
              <w:top w:val="single" w:sz="4" w:space="0" w:color="1B556B"/>
              <w:left w:val="nil"/>
              <w:bottom w:val="single" w:sz="4" w:space="0" w:color="1B556B"/>
              <w:right w:val="nil"/>
            </w:tcBorders>
            <w:shd w:val="clear" w:color="auto" w:fill="auto"/>
          </w:tcPr>
          <w:p w14:paraId="41D147EB" w14:textId="77777777" w:rsidR="007523B8" w:rsidRPr="009E06AA" w:rsidRDefault="007523B8" w:rsidP="0011748D">
            <w:pPr>
              <w:pStyle w:val="TableText"/>
              <w:spacing w:before="50" w:after="50"/>
              <w:jc w:val="right"/>
              <w:rPr>
                <w:rFonts w:cs="Calibri"/>
                <w:szCs w:val="16"/>
              </w:rPr>
            </w:pPr>
            <w:r w:rsidRPr="009E06AA">
              <w:t>7.8</w:t>
            </w:r>
          </w:p>
        </w:tc>
      </w:tr>
      <w:tr w:rsidR="007523B8" w:rsidRPr="009E06AA" w14:paraId="64B4FA0F" w14:textId="77777777" w:rsidTr="00B55F24">
        <w:tc>
          <w:tcPr>
            <w:tcW w:w="816" w:type="dxa"/>
            <w:vMerge/>
            <w:tcBorders>
              <w:left w:val="nil"/>
              <w:right w:val="nil"/>
            </w:tcBorders>
            <w:shd w:val="clear" w:color="auto" w:fill="auto"/>
          </w:tcPr>
          <w:p w14:paraId="43826FAC" w14:textId="77777777" w:rsidR="007523B8" w:rsidRPr="009E06AA" w:rsidRDefault="007523B8" w:rsidP="00B55F24">
            <w:pPr>
              <w:pStyle w:val="TableText"/>
              <w:spacing w:before="50" w:after="50"/>
              <w:rPr>
                <w:rFonts w:cs="Calibri"/>
                <w:szCs w:val="16"/>
              </w:rPr>
            </w:pPr>
          </w:p>
        </w:tc>
        <w:tc>
          <w:tcPr>
            <w:tcW w:w="2445" w:type="dxa"/>
            <w:tcBorders>
              <w:top w:val="single" w:sz="4" w:space="0" w:color="1B556B"/>
              <w:left w:val="nil"/>
              <w:bottom w:val="single" w:sz="4" w:space="0" w:color="1B556B"/>
              <w:right w:val="nil"/>
            </w:tcBorders>
            <w:shd w:val="clear" w:color="auto" w:fill="auto"/>
            <w:vAlign w:val="bottom"/>
          </w:tcPr>
          <w:p w14:paraId="7E02EF93" w14:textId="77777777" w:rsidR="007523B8" w:rsidRPr="009E06AA" w:rsidRDefault="007523B8" w:rsidP="00B55F24">
            <w:pPr>
              <w:pStyle w:val="TableText"/>
              <w:spacing w:before="50" w:after="50"/>
              <w:rPr>
                <w:rFonts w:cs="Calibri"/>
                <w:szCs w:val="16"/>
              </w:rPr>
            </w:pPr>
            <w:r w:rsidRPr="009E06AA">
              <w:rPr>
                <w:rFonts w:cs="Calibri"/>
                <w:szCs w:val="16"/>
              </w:rPr>
              <w:t xml:space="preserve">Crop residue </w:t>
            </w:r>
          </w:p>
        </w:tc>
        <w:tc>
          <w:tcPr>
            <w:tcW w:w="708" w:type="dxa"/>
            <w:tcBorders>
              <w:top w:val="single" w:sz="4" w:space="0" w:color="1B556B"/>
              <w:left w:val="nil"/>
              <w:bottom w:val="single" w:sz="4" w:space="0" w:color="1B556B"/>
              <w:right w:val="nil"/>
            </w:tcBorders>
            <w:shd w:val="clear" w:color="auto" w:fill="auto"/>
          </w:tcPr>
          <w:p w14:paraId="51ADCF4A" w14:textId="77777777" w:rsidR="007523B8" w:rsidRPr="009E06AA" w:rsidRDefault="007523B8" w:rsidP="0011748D">
            <w:pPr>
              <w:pStyle w:val="TableText"/>
              <w:spacing w:before="50" w:after="50"/>
              <w:jc w:val="right"/>
              <w:rPr>
                <w:rFonts w:cs="Calibri"/>
                <w:szCs w:val="16"/>
              </w:rPr>
            </w:pPr>
            <w:r w:rsidRPr="009E06AA">
              <w:t>156.0</w:t>
            </w:r>
          </w:p>
        </w:tc>
        <w:tc>
          <w:tcPr>
            <w:tcW w:w="722" w:type="dxa"/>
            <w:tcBorders>
              <w:top w:val="single" w:sz="4" w:space="0" w:color="1B556B"/>
              <w:left w:val="nil"/>
              <w:bottom w:val="single" w:sz="4" w:space="0" w:color="1B556B"/>
              <w:right w:val="nil"/>
            </w:tcBorders>
            <w:shd w:val="clear" w:color="auto" w:fill="auto"/>
          </w:tcPr>
          <w:p w14:paraId="13F63183" w14:textId="77777777" w:rsidR="007523B8" w:rsidRPr="009E06AA" w:rsidRDefault="007523B8" w:rsidP="0011748D">
            <w:pPr>
              <w:pStyle w:val="TableText"/>
              <w:spacing w:before="50" w:after="50"/>
              <w:jc w:val="right"/>
              <w:rPr>
                <w:rFonts w:cs="Calibri"/>
                <w:szCs w:val="16"/>
              </w:rPr>
            </w:pPr>
            <w:r w:rsidRPr="009E06AA">
              <w:t>225.7</w:t>
            </w:r>
          </w:p>
        </w:tc>
        <w:tc>
          <w:tcPr>
            <w:tcW w:w="854" w:type="dxa"/>
            <w:tcBorders>
              <w:top w:val="single" w:sz="4" w:space="0" w:color="1B556B"/>
              <w:left w:val="nil"/>
              <w:bottom w:val="single" w:sz="4" w:space="0" w:color="1B556B"/>
              <w:right w:val="nil"/>
            </w:tcBorders>
            <w:shd w:val="clear" w:color="auto" w:fill="auto"/>
          </w:tcPr>
          <w:p w14:paraId="66D62A15" w14:textId="77777777" w:rsidR="007523B8" w:rsidRPr="009E06AA" w:rsidRDefault="007523B8" w:rsidP="0011748D">
            <w:pPr>
              <w:pStyle w:val="TableText"/>
              <w:spacing w:before="50" w:after="50"/>
              <w:jc w:val="right"/>
              <w:rPr>
                <w:rFonts w:cs="Calibri"/>
                <w:szCs w:val="16"/>
              </w:rPr>
            </w:pPr>
            <w:r w:rsidRPr="009E06AA">
              <w:t>69.6</w:t>
            </w:r>
          </w:p>
        </w:tc>
        <w:tc>
          <w:tcPr>
            <w:tcW w:w="712" w:type="dxa"/>
            <w:tcBorders>
              <w:top w:val="single" w:sz="4" w:space="0" w:color="1B556B"/>
              <w:left w:val="nil"/>
              <w:bottom w:val="single" w:sz="4" w:space="0" w:color="1B556B"/>
              <w:right w:val="nil"/>
            </w:tcBorders>
            <w:shd w:val="clear" w:color="auto" w:fill="auto"/>
          </w:tcPr>
          <w:p w14:paraId="41194A03" w14:textId="77777777" w:rsidR="007523B8" w:rsidRPr="009E06AA" w:rsidRDefault="007523B8" w:rsidP="0011748D">
            <w:pPr>
              <w:pStyle w:val="TableText"/>
              <w:spacing w:before="50" w:after="50"/>
              <w:jc w:val="right"/>
              <w:rPr>
                <w:rFonts w:cs="Calibri"/>
                <w:szCs w:val="16"/>
              </w:rPr>
            </w:pPr>
            <w:r w:rsidRPr="009E06AA">
              <w:t>44.6</w:t>
            </w:r>
          </w:p>
        </w:tc>
        <w:tc>
          <w:tcPr>
            <w:tcW w:w="1095" w:type="dxa"/>
            <w:tcBorders>
              <w:top w:val="single" w:sz="4" w:space="0" w:color="1B556B"/>
              <w:left w:val="nil"/>
              <w:bottom w:val="single" w:sz="4" w:space="0" w:color="1B556B"/>
              <w:right w:val="nil"/>
            </w:tcBorders>
            <w:shd w:val="clear" w:color="auto" w:fill="auto"/>
          </w:tcPr>
          <w:p w14:paraId="02391B87" w14:textId="77777777" w:rsidR="007523B8" w:rsidRPr="009E06AA" w:rsidRDefault="007523B8" w:rsidP="0011748D">
            <w:pPr>
              <w:pStyle w:val="TableText"/>
              <w:spacing w:before="50" w:after="50"/>
              <w:jc w:val="right"/>
              <w:rPr>
                <w:rFonts w:cs="Calibri"/>
                <w:szCs w:val="16"/>
              </w:rPr>
            </w:pPr>
            <w:r w:rsidRPr="009E06AA">
              <w:t>3.6</w:t>
            </w:r>
          </w:p>
        </w:tc>
        <w:tc>
          <w:tcPr>
            <w:tcW w:w="1153" w:type="dxa"/>
            <w:tcBorders>
              <w:top w:val="single" w:sz="4" w:space="0" w:color="1B556B"/>
              <w:left w:val="nil"/>
              <w:bottom w:val="single" w:sz="4" w:space="0" w:color="1B556B"/>
              <w:right w:val="nil"/>
            </w:tcBorders>
            <w:shd w:val="clear" w:color="auto" w:fill="auto"/>
          </w:tcPr>
          <w:p w14:paraId="63E1B3A0" w14:textId="77777777" w:rsidR="007523B8" w:rsidRPr="009E06AA" w:rsidRDefault="007523B8" w:rsidP="0011748D">
            <w:pPr>
              <w:pStyle w:val="TableText"/>
              <w:spacing w:before="50" w:after="50"/>
              <w:jc w:val="right"/>
              <w:rPr>
                <w:rFonts w:cs="Calibri"/>
                <w:szCs w:val="16"/>
              </w:rPr>
            </w:pPr>
            <w:r w:rsidRPr="009E06AA">
              <w:t>0.5</w:t>
            </w:r>
          </w:p>
        </w:tc>
      </w:tr>
      <w:tr w:rsidR="007523B8" w:rsidRPr="009E06AA" w14:paraId="3604F483" w14:textId="77777777" w:rsidTr="00B55F24">
        <w:tc>
          <w:tcPr>
            <w:tcW w:w="816" w:type="dxa"/>
            <w:vMerge/>
            <w:tcBorders>
              <w:left w:val="nil"/>
              <w:right w:val="nil"/>
            </w:tcBorders>
            <w:shd w:val="clear" w:color="auto" w:fill="auto"/>
          </w:tcPr>
          <w:p w14:paraId="0DEA08BD" w14:textId="77777777" w:rsidR="007523B8" w:rsidRPr="009E06AA" w:rsidRDefault="007523B8" w:rsidP="00B55F24">
            <w:pPr>
              <w:pStyle w:val="TableText"/>
              <w:spacing w:before="50" w:after="50"/>
              <w:rPr>
                <w:rFonts w:cs="Calibri"/>
                <w:szCs w:val="16"/>
              </w:rPr>
            </w:pPr>
          </w:p>
        </w:tc>
        <w:tc>
          <w:tcPr>
            <w:tcW w:w="2445" w:type="dxa"/>
            <w:tcBorders>
              <w:top w:val="single" w:sz="4" w:space="0" w:color="1B556B"/>
              <w:left w:val="nil"/>
              <w:bottom w:val="single" w:sz="4" w:space="0" w:color="1B556B"/>
              <w:right w:val="nil"/>
            </w:tcBorders>
            <w:shd w:val="clear" w:color="auto" w:fill="auto"/>
            <w:vAlign w:val="bottom"/>
          </w:tcPr>
          <w:p w14:paraId="665DF4BA" w14:textId="77777777" w:rsidR="007523B8" w:rsidRPr="009E06AA" w:rsidRDefault="007523B8" w:rsidP="00B55F24">
            <w:pPr>
              <w:pStyle w:val="TableText"/>
              <w:spacing w:before="50" w:after="50"/>
              <w:rPr>
                <w:rFonts w:cs="Calibri"/>
                <w:szCs w:val="16"/>
              </w:rPr>
            </w:pPr>
            <w:r w:rsidRPr="009E06AA">
              <w:rPr>
                <w:rFonts w:cs="Calibri"/>
                <w:szCs w:val="16"/>
              </w:rPr>
              <w:t>Cropland nitrogen mineralisation from soil organic matter loss</w:t>
            </w:r>
          </w:p>
        </w:tc>
        <w:tc>
          <w:tcPr>
            <w:tcW w:w="708" w:type="dxa"/>
            <w:tcBorders>
              <w:top w:val="single" w:sz="4" w:space="0" w:color="1B556B"/>
              <w:left w:val="nil"/>
              <w:bottom w:val="single" w:sz="4" w:space="0" w:color="1B556B"/>
              <w:right w:val="nil"/>
            </w:tcBorders>
            <w:shd w:val="clear" w:color="auto" w:fill="auto"/>
          </w:tcPr>
          <w:p w14:paraId="3D827B02" w14:textId="77777777" w:rsidR="007523B8" w:rsidRPr="009E06AA" w:rsidRDefault="007523B8" w:rsidP="0011748D">
            <w:pPr>
              <w:pStyle w:val="TableText"/>
              <w:spacing w:before="50" w:after="50"/>
              <w:jc w:val="right"/>
              <w:rPr>
                <w:rFonts w:cs="Calibri"/>
                <w:szCs w:val="16"/>
              </w:rPr>
            </w:pPr>
            <w:r w:rsidRPr="009E06AA">
              <w:rPr>
                <w:rFonts w:cs="Calibri"/>
                <w:szCs w:val="16"/>
              </w:rPr>
              <w:t>0.0</w:t>
            </w:r>
          </w:p>
        </w:tc>
        <w:tc>
          <w:tcPr>
            <w:tcW w:w="722" w:type="dxa"/>
            <w:tcBorders>
              <w:top w:val="single" w:sz="4" w:space="0" w:color="1B556B"/>
              <w:left w:val="nil"/>
              <w:bottom w:val="single" w:sz="4" w:space="0" w:color="1B556B"/>
              <w:right w:val="nil"/>
            </w:tcBorders>
            <w:shd w:val="clear" w:color="auto" w:fill="auto"/>
          </w:tcPr>
          <w:p w14:paraId="51B5C3BB" w14:textId="77777777" w:rsidR="007523B8" w:rsidRPr="009E06AA" w:rsidRDefault="007523B8" w:rsidP="0011748D">
            <w:pPr>
              <w:pStyle w:val="TableText"/>
              <w:spacing w:before="50" w:after="50"/>
              <w:jc w:val="right"/>
              <w:rPr>
                <w:rFonts w:cs="Calibri"/>
                <w:szCs w:val="16"/>
              </w:rPr>
            </w:pPr>
            <w:r w:rsidRPr="009E06AA">
              <w:rPr>
                <w:rFonts w:cs="Calibri"/>
                <w:szCs w:val="16"/>
              </w:rPr>
              <w:t>0.1</w:t>
            </w:r>
          </w:p>
        </w:tc>
        <w:tc>
          <w:tcPr>
            <w:tcW w:w="854" w:type="dxa"/>
            <w:tcBorders>
              <w:top w:val="single" w:sz="4" w:space="0" w:color="1B556B"/>
              <w:left w:val="nil"/>
              <w:bottom w:val="single" w:sz="4" w:space="0" w:color="1B556B"/>
              <w:right w:val="nil"/>
            </w:tcBorders>
            <w:shd w:val="clear" w:color="auto" w:fill="auto"/>
          </w:tcPr>
          <w:p w14:paraId="4522CC21" w14:textId="77777777" w:rsidR="007523B8" w:rsidRPr="009E06AA" w:rsidRDefault="007523B8" w:rsidP="0011748D">
            <w:pPr>
              <w:pStyle w:val="TableText"/>
              <w:spacing w:before="50" w:after="50"/>
              <w:jc w:val="right"/>
              <w:rPr>
                <w:rFonts w:cs="Calibri"/>
                <w:szCs w:val="16"/>
              </w:rPr>
            </w:pPr>
            <w:r w:rsidRPr="009E06AA">
              <w:rPr>
                <w:rFonts w:cs="Calibri"/>
                <w:szCs w:val="16"/>
              </w:rPr>
              <w:t>0.1</w:t>
            </w:r>
          </w:p>
        </w:tc>
        <w:tc>
          <w:tcPr>
            <w:tcW w:w="712" w:type="dxa"/>
            <w:tcBorders>
              <w:top w:val="single" w:sz="4" w:space="0" w:color="1B556B"/>
              <w:left w:val="nil"/>
              <w:bottom w:val="single" w:sz="4" w:space="0" w:color="1B556B"/>
              <w:right w:val="nil"/>
            </w:tcBorders>
            <w:shd w:val="clear" w:color="auto" w:fill="auto"/>
          </w:tcPr>
          <w:p w14:paraId="62FDD6BE" w14:textId="77777777" w:rsidR="007523B8" w:rsidRPr="009E06AA" w:rsidRDefault="007523B8" w:rsidP="0011748D">
            <w:pPr>
              <w:pStyle w:val="TableText"/>
              <w:spacing w:before="50" w:after="50"/>
              <w:jc w:val="right"/>
              <w:rPr>
                <w:rFonts w:cs="Calibri"/>
                <w:szCs w:val="16"/>
              </w:rPr>
            </w:pPr>
            <w:r w:rsidRPr="009E06AA">
              <w:rPr>
                <w:rFonts w:cs="Calibri"/>
                <w:szCs w:val="16"/>
              </w:rPr>
              <w:t>442.1</w:t>
            </w:r>
          </w:p>
        </w:tc>
        <w:tc>
          <w:tcPr>
            <w:tcW w:w="1095" w:type="dxa"/>
            <w:tcBorders>
              <w:top w:val="single" w:sz="4" w:space="0" w:color="1B556B"/>
              <w:left w:val="nil"/>
              <w:bottom w:val="single" w:sz="4" w:space="0" w:color="1B556B"/>
              <w:right w:val="nil"/>
            </w:tcBorders>
            <w:shd w:val="clear" w:color="auto" w:fill="auto"/>
          </w:tcPr>
          <w:p w14:paraId="3F241F2D" w14:textId="77777777" w:rsidR="007523B8" w:rsidRPr="009E06AA" w:rsidRDefault="007523B8" w:rsidP="0011748D">
            <w:pPr>
              <w:pStyle w:val="TableText"/>
              <w:spacing w:before="50" w:after="50"/>
              <w:jc w:val="right"/>
              <w:rPr>
                <w:rFonts w:cs="Calibri"/>
                <w:szCs w:val="16"/>
              </w:rPr>
            </w:pPr>
            <w:r w:rsidRPr="009E06AA">
              <w:rPr>
                <w:rFonts w:cs="Calibri"/>
                <w:szCs w:val="16"/>
              </w:rPr>
              <w:t>0.0</w:t>
            </w:r>
          </w:p>
        </w:tc>
        <w:tc>
          <w:tcPr>
            <w:tcW w:w="1153" w:type="dxa"/>
            <w:tcBorders>
              <w:top w:val="single" w:sz="4" w:space="0" w:color="1B556B"/>
              <w:left w:val="nil"/>
              <w:bottom w:val="single" w:sz="4" w:space="0" w:color="1B556B"/>
              <w:right w:val="nil"/>
            </w:tcBorders>
            <w:shd w:val="clear" w:color="auto" w:fill="auto"/>
          </w:tcPr>
          <w:p w14:paraId="67CCC741" w14:textId="77777777" w:rsidR="007523B8" w:rsidRPr="009E06AA" w:rsidRDefault="007523B8" w:rsidP="0011748D">
            <w:pPr>
              <w:pStyle w:val="TableText"/>
              <w:spacing w:before="50" w:after="50"/>
              <w:jc w:val="right"/>
              <w:rPr>
                <w:rFonts w:cs="Calibri"/>
                <w:szCs w:val="16"/>
              </w:rPr>
            </w:pPr>
            <w:r w:rsidRPr="009E06AA">
              <w:rPr>
                <w:rFonts w:cs="Calibri"/>
                <w:szCs w:val="16"/>
              </w:rPr>
              <w:t>0.0</w:t>
            </w:r>
          </w:p>
        </w:tc>
      </w:tr>
      <w:tr w:rsidR="007523B8" w:rsidRPr="009E06AA" w14:paraId="1306C634" w14:textId="77777777" w:rsidTr="00B55F24">
        <w:tc>
          <w:tcPr>
            <w:tcW w:w="816" w:type="dxa"/>
            <w:vMerge/>
            <w:tcBorders>
              <w:left w:val="nil"/>
              <w:bottom w:val="single" w:sz="4" w:space="0" w:color="365F91"/>
              <w:right w:val="nil"/>
            </w:tcBorders>
            <w:shd w:val="clear" w:color="auto" w:fill="auto"/>
          </w:tcPr>
          <w:p w14:paraId="77250EA4" w14:textId="77777777" w:rsidR="007523B8" w:rsidRPr="009E06AA" w:rsidRDefault="007523B8" w:rsidP="00B55F24">
            <w:pPr>
              <w:pStyle w:val="TableText"/>
              <w:spacing w:before="50" w:after="50"/>
              <w:rPr>
                <w:rFonts w:cs="Calibri"/>
                <w:szCs w:val="16"/>
              </w:rPr>
            </w:pPr>
          </w:p>
        </w:tc>
        <w:tc>
          <w:tcPr>
            <w:tcW w:w="2445" w:type="dxa"/>
            <w:tcBorders>
              <w:top w:val="single" w:sz="4" w:space="0" w:color="1B556B"/>
              <w:left w:val="nil"/>
              <w:bottom w:val="single" w:sz="4" w:space="0" w:color="1B556B"/>
              <w:right w:val="nil"/>
            </w:tcBorders>
            <w:shd w:val="clear" w:color="auto" w:fill="auto"/>
            <w:vAlign w:val="bottom"/>
          </w:tcPr>
          <w:p w14:paraId="63AFAD9A" w14:textId="77777777" w:rsidR="007523B8" w:rsidRPr="009E06AA" w:rsidRDefault="007523B8" w:rsidP="00B55F24">
            <w:pPr>
              <w:pStyle w:val="TableText"/>
              <w:spacing w:before="50" w:after="50"/>
              <w:rPr>
                <w:rFonts w:cs="Calibri"/>
                <w:szCs w:val="16"/>
              </w:rPr>
            </w:pPr>
            <w:r w:rsidRPr="009E06AA">
              <w:rPr>
                <w:rFonts w:cs="Calibri"/>
                <w:szCs w:val="16"/>
              </w:rPr>
              <w:t>Management of organic soils</w:t>
            </w:r>
          </w:p>
        </w:tc>
        <w:tc>
          <w:tcPr>
            <w:tcW w:w="708" w:type="dxa"/>
            <w:tcBorders>
              <w:top w:val="single" w:sz="4" w:space="0" w:color="1B556B"/>
              <w:left w:val="nil"/>
              <w:bottom w:val="single" w:sz="4" w:space="0" w:color="1B556B"/>
              <w:right w:val="nil"/>
            </w:tcBorders>
            <w:shd w:val="clear" w:color="auto" w:fill="auto"/>
          </w:tcPr>
          <w:p w14:paraId="65A3C8E1" w14:textId="77777777" w:rsidR="007523B8" w:rsidRPr="009E06AA" w:rsidRDefault="007523B8" w:rsidP="0011748D">
            <w:pPr>
              <w:pStyle w:val="TableText"/>
              <w:spacing w:before="50" w:after="50"/>
              <w:jc w:val="right"/>
              <w:rPr>
                <w:rFonts w:cs="Calibri"/>
                <w:szCs w:val="16"/>
              </w:rPr>
            </w:pPr>
            <w:r w:rsidRPr="009E06AA">
              <w:t>583.1</w:t>
            </w:r>
          </w:p>
        </w:tc>
        <w:tc>
          <w:tcPr>
            <w:tcW w:w="722" w:type="dxa"/>
            <w:tcBorders>
              <w:top w:val="single" w:sz="4" w:space="0" w:color="1B556B"/>
              <w:left w:val="nil"/>
              <w:bottom w:val="single" w:sz="4" w:space="0" w:color="1B556B"/>
              <w:right w:val="nil"/>
            </w:tcBorders>
            <w:shd w:val="clear" w:color="auto" w:fill="auto"/>
          </w:tcPr>
          <w:p w14:paraId="575E5B12" w14:textId="77777777" w:rsidR="007523B8" w:rsidRPr="009E06AA" w:rsidRDefault="007523B8" w:rsidP="0011748D">
            <w:pPr>
              <w:pStyle w:val="TableText"/>
              <w:spacing w:before="50" w:after="50"/>
              <w:jc w:val="right"/>
              <w:rPr>
                <w:rFonts w:cs="Calibri"/>
                <w:szCs w:val="16"/>
              </w:rPr>
            </w:pPr>
            <w:r w:rsidRPr="009E06AA">
              <w:t>590.2</w:t>
            </w:r>
          </w:p>
        </w:tc>
        <w:tc>
          <w:tcPr>
            <w:tcW w:w="854" w:type="dxa"/>
            <w:tcBorders>
              <w:top w:val="single" w:sz="4" w:space="0" w:color="1B556B"/>
              <w:left w:val="nil"/>
              <w:bottom w:val="single" w:sz="4" w:space="0" w:color="1B556B"/>
              <w:right w:val="nil"/>
            </w:tcBorders>
            <w:shd w:val="clear" w:color="auto" w:fill="auto"/>
          </w:tcPr>
          <w:p w14:paraId="59D89AA1" w14:textId="77777777" w:rsidR="007523B8" w:rsidRPr="009E06AA" w:rsidRDefault="007523B8" w:rsidP="0011748D">
            <w:pPr>
              <w:pStyle w:val="TableText"/>
              <w:spacing w:before="50" w:after="50"/>
              <w:jc w:val="right"/>
              <w:rPr>
                <w:rFonts w:cs="Calibri"/>
                <w:szCs w:val="16"/>
              </w:rPr>
            </w:pPr>
            <w:r w:rsidRPr="009E06AA">
              <w:t>7.1</w:t>
            </w:r>
          </w:p>
        </w:tc>
        <w:tc>
          <w:tcPr>
            <w:tcW w:w="712" w:type="dxa"/>
            <w:tcBorders>
              <w:top w:val="single" w:sz="4" w:space="0" w:color="1B556B"/>
              <w:left w:val="nil"/>
              <w:bottom w:val="single" w:sz="4" w:space="0" w:color="1B556B"/>
              <w:right w:val="nil"/>
            </w:tcBorders>
            <w:shd w:val="clear" w:color="auto" w:fill="auto"/>
          </w:tcPr>
          <w:p w14:paraId="65B0EB34" w14:textId="77777777" w:rsidR="007523B8" w:rsidRPr="009E06AA" w:rsidRDefault="007523B8" w:rsidP="0011748D">
            <w:pPr>
              <w:pStyle w:val="TableText"/>
              <w:spacing w:before="50" w:after="50"/>
              <w:jc w:val="right"/>
              <w:rPr>
                <w:rFonts w:cs="Calibri"/>
                <w:szCs w:val="16"/>
              </w:rPr>
            </w:pPr>
            <w:r w:rsidRPr="009E06AA">
              <w:t>1.2</w:t>
            </w:r>
          </w:p>
        </w:tc>
        <w:tc>
          <w:tcPr>
            <w:tcW w:w="1095" w:type="dxa"/>
            <w:tcBorders>
              <w:top w:val="single" w:sz="4" w:space="0" w:color="1B556B"/>
              <w:left w:val="nil"/>
              <w:bottom w:val="single" w:sz="4" w:space="0" w:color="1B556B"/>
              <w:right w:val="nil"/>
            </w:tcBorders>
            <w:shd w:val="clear" w:color="auto" w:fill="auto"/>
          </w:tcPr>
          <w:p w14:paraId="4F3C0620" w14:textId="77777777" w:rsidR="007523B8" w:rsidRPr="009E06AA" w:rsidRDefault="007523B8" w:rsidP="0011748D">
            <w:pPr>
              <w:pStyle w:val="TableText"/>
              <w:spacing w:before="50" w:after="50"/>
              <w:jc w:val="right"/>
              <w:rPr>
                <w:rFonts w:cs="Calibri"/>
                <w:szCs w:val="16"/>
              </w:rPr>
            </w:pPr>
            <w:r w:rsidRPr="009E06AA">
              <w:t>9.3</w:t>
            </w:r>
          </w:p>
        </w:tc>
        <w:tc>
          <w:tcPr>
            <w:tcW w:w="1153" w:type="dxa"/>
            <w:tcBorders>
              <w:top w:val="single" w:sz="4" w:space="0" w:color="1B556B"/>
              <w:left w:val="nil"/>
              <w:bottom w:val="single" w:sz="4" w:space="0" w:color="1B556B"/>
              <w:right w:val="nil"/>
            </w:tcBorders>
            <w:shd w:val="clear" w:color="auto" w:fill="auto"/>
          </w:tcPr>
          <w:p w14:paraId="4CC3EA77" w14:textId="77777777" w:rsidR="007523B8" w:rsidRPr="009E06AA" w:rsidRDefault="007523B8" w:rsidP="0011748D">
            <w:pPr>
              <w:pStyle w:val="TableText"/>
              <w:spacing w:before="50" w:after="50"/>
              <w:jc w:val="right"/>
              <w:rPr>
                <w:rFonts w:cs="Calibri"/>
                <w:szCs w:val="16"/>
              </w:rPr>
            </w:pPr>
            <w:r w:rsidRPr="009E06AA">
              <w:t>1.4</w:t>
            </w:r>
          </w:p>
        </w:tc>
      </w:tr>
      <w:tr w:rsidR="007523B8" w:rsidRPr="009E06AA" w14:paraId="1B5BB4F7" w14:textId="77777777" w:rsidTr="00B55F24">
        <w:tc>
          <w:tcPr>
            <w:tcW w:w="816" w:type="dxa"/>
            <w:vMerge w:val="restart"/>
            <w:tcBorders>
              <w:top w:val="single" w:sz="4" w:space="0" w:color="365F91"/>
              <w:left w:val="nil"/>
              <w:bottom w:val="nil"/>
              <w:right w:val="nil"/>
            </w:tcBorders>
            <w:shd w:val="clear" w:color="auto" w:fill="auto"/>
          </w:tcPr>
          <w:p w14:paraId="05EE6CBF" w14:textId="77777777" w:rsidR="007523B8" w:rsidRPr="009E06AA" w:rsidRDefault="007523B8" w:rsidP="00B55F24">
            <w:pPr>
              <w:pStyle w:val="TableText"/>
              <w:spacing w:before="50" w:after="50"/>
              <w:rPr>
                <w:rFonts w:cs="Calibri"/>
                <w:szCs w:val="16"/>
              </w:rPr>
            </w:pPr>
            <w:r w:rsidRPr="009E06AA">
              <w:rPr>
                <w:rFonts w:cs="Calibri"/>
                <w:szCs w:val="16"/>
              </w:rPr>
              <w:t>Indirect</w:t>
            </w:r>
          </w:p>
        </w:tc>
        <w:tc>
          <w:tcPr>
            <w:tcW w:w="2445" w:type="dxa"/>
            <w:tcBorders>
              <w:top w:val="single" w:sz="4" w:space="0" w:color="1B556B"/>
              <w:left w:val="nil"/>
              <w:bottom w:val="single" w:sz="4" w:space="0" w:color="1B556B"/>
              <w:right w:val="nil"/>
            </w:tcBorders>
            <w:shd w:val="clear" w:color="auto" w:fill="auto"/>
          </w:tcPr>
          <w:p w14:paraId="26CE832D" w14:textId="77777777" w:rsidR="007523B8" w:rsidRPr="009E06AA" w:rsidRDefault="007523B8" w:rsidP="00B55F24">
            <w:pPr>
              <w:pStyle w:val="TableText"/>
              <w:spacing w:before="50" w:after="50"/>
              <w:rPr>
                <w:rFonts w:cs="Calibri"/>
                <w:szCs w:val="16"/>
              </w:rPr>
            </w:pPr>
            <w:r w:rsidRPr="009E06AA">
              <w:rPr>
                <w:rFonts w:cs="Calibri"/>
                <w:szCs w:val="16"/>
              </w:rPr>
              <w:t>Volatilisation</w:t>
            </w:r>
          </w:p>
        </w:tc>
        <w:tc>
          <w:tcPr>
            <w:tcW w:w="708" w:type="dxa"/>
            <w:tcBorders>
              <w:top w:val="single" w:sz="4" w:space="0" w:color="1B556B"/>
              <w:left w:val="nil"/>
              <w:bottom w:val="single" w:sz="4" w:space="0" w:color="1B556B"/>
              <w:right w:val="nil"/>
            </w:tcBorders>
            <w:shd w:val="clear" w:color="auto" w:fill="auto"/>
          </w:tcPr>
          <w:p w14:paraId="5B8B1A21" w14:textId="77777777" w:rsidR="007523B8" w:rsidRPr="009E06AA" w:rsidRDefault="007523B8" w:rsidP="0011748D">
            <w:pPr>
              <w:pStyle w:val="TableText"/>
              <w:spacing w:before="50" w:after="50"/>
              <w:jc w:val="right"/>
              <w:rPr>
                <w:rFonts w:cs="Calibri"/>
                <w:szCs w:val="16"/>
              </w:rPr>
            </w:pPr>
            <w:r w:rsidRPr="009E06AA">
              <w:t>642.7</w:t>
            </w:r>
          </w:p>
        </w:tc>
        <w:tc>
          <w:tcPr>
            <w:tcW w:w="722" w:type="dxa"/>
            <w:tcBorders>
              <w:top w:val="single" w:sz="4" w:space="0" w:color="1B556B"/>
              <w:left w:val="nil"/>
              <w:bottom w:val="single" w:sz="4" w:space="0" w:color="1B556B"/>
              <w:right w:val="nil"/>
            </w:tcBorders>
            <w:shd w:val="clear" w:color="auto" w:fill="auto"/>
          </w:tcPr>
          <w:p w14:paraId="02765A74" w14:textId="77777777" w:rsidR="007523B8" w:rsidRPr="009E06AA" w:rsidRDefault="007523B8" w:rsidP="0011748D">
            <w:pPr>
              <w:pStyle w:val="TableText"/>
              <w:spacing w:before="50" w:after="50"/>
              <w:jc w:val="right"/>
              <w:rPr>
                <w:rFonts w:cs="Calibri"/>
                <w:szCs w:val="16"/>
              </w:rPr>
            </w:pPr>
            <w:r w:rsidRPr="009E06AA">
              <w:t>745.1</w:t>
            </w:r>
          </w:p>
        </w:tc>
        <w:tc>
          <w:tcPr>
            <w:tcW w:w="854" w:type="dxa"/>
            <w:tcBorders>
              <w:top w:val="single" w:sz="4" w:space="0" w:color="1B556B"/>
              <w:left w:val="nil"/>
              <w:bottom w:val="single" w:sz="4" w:space="0" w:color="1B556B"/>
              <w:right w:val="nil"/>
            </w:tcBorders>
            <w:shd w:val="clear" w:color="auto" w:fill="auto"/>
          </w:tcPr>
          <w:p w14:paraId="1178CE4A" w14:textId="77777777" w:rsidR="007523B8" w:rsidRPr="009E06AA" w:rsidRDefault="007523B8" w:rsidP="0011748D">
            <w:pPr>
              <w:pStyle w:val="TableText"/>
              <w:spacing w:before="50" w:after="50"/>
              <w:jc w:val="right"/>
              <w:rPr>
                <w:rFonts w:cs="Calibri"/>
                <w:szCs w:val="16"/>
              </w:rPr>
            </w:pPr>
            <w:r w:rsidRPr="009E06AA">
              <w:t>102.4</w:t>
            </w:r>
          </w:p>
        </w:tc>
        <w:tc>
          <w:tcPr>
            <w:tcW w:w="712" w:type="dxa"/>
            <w:tcBorders>
              <w:top w:val="single" w:sz="4" w:space="0" w:color="1B556B"/>
              <w:left w:val="nil"/>
              <w:bottom w:val="single" w:sz="4" w:space="0" w:color="1B556B"/>
              <w:right w:val="nil"/>
            </w:tcBorders>
            <w:shd w:val="clear" w:color="auto" w:fill="auto"/>
          </w:tcPr>
          <w:p w14:paraId="628E9E90" w14:textId="77777777" w:rsidR="007523B8" w:rsidRPr="009E06AA" w:rsidRDefault="007523B8" w:rsidP="0011748D">
            <w:pPr>
              <w:pStyle w:val="TableText"/>
              <w:spacing w:before="50" w:after="50"/>
              <w:jc w:val="right"/>
              <w:rPr>
                <w:rFonts w:cs="Calibri"/>
                <w:szCs w:val="16"/>
              </w:rPr>
            </w:pPr>
            <w:r w:rsidRPr="009E06AA">
              <w:t>15.9</w:t>
            </w:r>
          </w:p>
        </w:tc>
        <w:tc>
          <w:tcPr>
            <w:tcW w:w="1095" w:type="dxa"/>
            <w:tcBorders>
              <w:top w:val="single" w:sz="4" w:space="0" w:color="1B556B"/>
              <w:left w:val="nil"/>
              <w:bottom w:val="single" w:sz="4" w:space="0" w:color="1B556B"/>
              <w:right w:val="nil"/>
            </w:tcBorders>
            <w:shd w:val="clear" w:color="auto" w:fill="auto"/>
          </w:tcPr>
          <w:p w14:paraId="1465D534" w14:textId="77777777" w:rsidR="007523B8" w:rsidRPr="009E06AA" w:rsidRDefault="007523B8" w:rsidP="0011748D">
            <w:pPr>
              <w:pStyle w:val="TableText"/>
              <w:spacing w:before="50" w:after="50"/>
              <w:jc w:val="right"/>
              <w:rPr>
                <w:rFonts w:cs="Calibri"/>
                <w:szCs w:val="16"/>
              </w:rPr>
            </w:pPr>
            <w:r w:rsidRPr="009E06AA">
              <w:t>11.8</w:t>
            </w:r>
          </w:p>
        </w:tc>
        <w:tc>
          <w:tcPr>
            <w:tcW w:w="1153" w:type="dxa"/>
            <w:tcBorders>
              <w:top w:val="single" w:sz="4" w:space="0" w:color="1B556B"/>
              <w:left w:val="nil"/>
              <w:bottom w:val="single" w:sz="4" w:space="0" w:color="1B556B"/>
              <w:right w:val="nil"/>
            </w:tcBorders>
            <w:shd w:val="clear" w:color="auto" w:fill="auto"/>
          </w:tcPr>
          <w:p w14:paraId="21B0EC08" w14:textId="77777777" w:rsidR="007523B8" w:rsidRPr="009E06AA" w:rsidRDefault="007523B8" w:rsidP="0011748D">
            <w:pPr>
              <w:pStyle w:val="TableText"/>
              <w:spacing w:before="50" w:after="50"/>
              <w:jc w:val="right"/>
              <w:rPr>
                <w:rFonts w:cs="Calibri"/>
                <w:szCs w:val="16"/>
              </w:rPr>
            </w:pPr>
            <w:r w:rsidRPr="009E06AA">
              <w:t>1.8</w:t>
            </w:r>
          </w:p>
        </w:tc>
      </w:tr>
      <w:tr w:rsidR="007523B8" w:rsidRPr="009E06AA" w14:paraId="4B8944A7" w14:textId="77777777" w:rsidTr="00B55F24">
        <w:tc>
          <w:tcPr>
            <w:tcW w:w="816" w:type="dxa"/>
            <w:vMerge/>
            <w:tcBorders>
              <w:top w:val="nil"/>
              <w:left w:val="nil"/>
              <w:bottom w:val="nil"/>
              <w:right w:val="nil"/>
            </w:tcBorders>
            <w:shd w:val="clear" w:color="auto" w:fill="auto"/>
          </w:tcPr>
          <w:p w14:paraId="283A3B34" w14:textId="77777777" w:rsidR="007523B8" w:rsidRPr="009E06AA" w:rsidRDefault="007523B8" w:rsidP="00B55F24">
            <w:pPr>
              <w:pStyle w:val="TableText"/>
              <w:spacing w:before="50" w:after="50"/>
              <w:rPr>
                <w:rFonts w:cs="Calibri"/>
                <w:szCs w:val="16"/>
              </w:rPr>
            </w:pPr>
          </w:p>
        </w:tc>
        <w:tc>
          <w:tcPr>
            <w:tcW w:w="2445" w:type="dxa"/>
            <w:tcBorders>
              <w:top w:val="single" w:sz="4" w:space="0" w:color="1B556B"/>
              <w:left w:val="nil"/>
              <w:bottom w:val="single" w:sz="4" w:space="0" w:color="1B556B"/>
              <w:right w:val="nil"/>
            </w:tcBorders>
            <w:shd w:val="clear" w:color="auto" w:fill="auto"/>
          </w:tcPr>
          <w:p w14:paraId="5CFDFAB4" w14:textId="77777777" w:rsidR="007523B8" w:rsidRPr="009E06AA" w:rsidRDefault="007523B8" w:rsidP="00B55F24">
            <w:pPr>
              <w:pStyle w:val="TableText"/>
              <w:spacing w:before="50" w:after="50"/>
              <w:rPr>
                <w:rFonts w:cs="Calibri"/>
                <w:szCs w:val="16"/>
              </w:rPr>
            </w:pPr>
            <w:r w:rsidRPr="009E06AA">
              <w:rPr>
                <w:rFonts w:cs="Calibri"/>
                <w:szCs w:val="16"/>
              </w:rPr>
              <w:t>Leaching and runoff</w:t>
            </w:r>
          </w:p>
        </w:tc>
        <w:tc>
          <w:tcPr>
            <w:tcW w:w="708" w:type="dxa"/>
            <w:tcBorders>
              <w:top w:val="single" w:sz="4" w:space="0" w:color="1B556B"/>
              <w:left w:val="nil"/>
              <w:bottom w:val="single" w:sz="4" w:space="0" w:color="1B556B"/>
              <w:right w:val="nil"/>
            </w:tcBorders>
            <w:shd w:val="clear" w:color="auto" w:fill="auto"/>
          </w:tcPr>
          <w:p w14:paraId="1687A9CE" w14:textId="77777777" w:rsidR="007523B8" w:rsidRPr="009E06AA" w:rsidRDefault="007523B8" w:rsidP="0011748D">
            <w:pPr>
              <w:pStyle w:val="TableText"/>
              <w:spacing w:before="50" w:after="50"/>
              <w:jc w:val="right"/>
              <w:rPr>
                <w:rFonts w:cs="Calibri"/>
                <w:szCs w:val="16"/>
              </w:rPr>
            </w:pPr>
            <w:r w:rsidRPr="009E06AA">
              <w:t>396.1</w:t>
            </w:r>
          </w:p>
        </w:tc>
        <w:tc>
          <w:tcPr>
            <w:tcW w:w="722" w:type="dxa"/>
            <w:tcBorders>
              <w:top w:val="single" w:sz="4" w:space="0" w:color="1B556B"/>
              <w:left w:val="nil"/>
              <w:bottom w:val="single" w:sz="4" w:space="0" w:color="1B556B"/>
              <w:right w:val="nil"/>
            </w:tcBorders>
            <w:shd w:val="clear" w:color="auto" w:fill="auto"/>
          </w:tcPr>
          <w:p w14:paraId="6D89F237" w14:textId="77777777" w:rsidR="007523B8" w:rsidRPr="009E06AA" w:rsidRDefault="007523B8" w:rsidP="0011748D">
            <w:pPr>
              <w:pStyle w:val="TableText"/>
              <w:spacing w:before="50" w:after="50"/>
              <w:jc w:val="right"/>
              <w:rPr>
                <w:rFonts w:cs="Calibri"/>
                <w:szCs w:val="16"/>
              </w:rPr>
            </w:pPr>
            <w:r w:rsidRPr="009E06AA">
              <w:t>479.5</w:t>
            </w:r>
          </w:p>
        </w:tc>
        <w:tc>
          <w:tcPr>
            <w:tcW w:w="854" w:type="dxa"/>
            <w:tcBorders>
              <w:top w:val="single" w:sz="4" w:space="0" w:color="1B556B"/>
              <w:left w:val="nil"/>
              <w:bottom w:val="single" w:sz="4" w:space="0" w:color="1B556B"/>
              <w:right w:val="nil"/>
            </w:tcBorders>
            <w:shd w:val="clear" w:color="auto" w:fill="auto"/>
          </w:tcPr>
          <w:p w14:paraId="601E1287" w14:textId="77777777" w:rsidR="007523B8" w:rsidRPr="009E06AA" w:rsidRDefault="007523B8" w:rsidP="0011748D">
            <w:pPr>
              <w:pStyle w:val="TableText"/>
              <w:tabs>
                <w:tab w:val="center" w:pos="400"/>
                <w:tab w:val="right" w:pos="801"/>
              </w:tabs>
              <w:spacing w:before="50" w:after="50"/>
              <w:jc w:val="right"/>
              <w:rPr>
                <w:rFonts w:cs="Calibri"/>
                <w:szCs w:val="16"/>
              </w:rPr>
            </w:pPr>
            <w:r w:rsidRPr="009E06AA">
              <w:t>83.4</w:t>
            </w:r>
          </w:p>
        </w:tc>
        <w:tc>
          <w:tcPr>
            <w:tcW w:w="712" w:type="dxa"/>
            <w:tcBorders>
              <w:top w:val="single" w:sz="4" w:space="0" w:color="1B556B"/>
              <w:left w:val="nil"/>
              <w:bottom w:val="single" w:sz="4" w:space="0" w:color="1B556B"/>
              <w:right w:val="nil"/>
            </w:tcBorders>
            <w:shd w:val="clear" w:color="auto" w:fill="auto"/>
          </w:tcPr>
          <w:p w14:paraId="7CB9AA45" w14:textId="77777777" w:rsidR="007523B8" w:rsidRPr="009E06AA" w:rsidRDefault="007523B8" w:rsidP="0011748D">
            <w:pPr>
              <w:pStyle w:val="TableText"/>
              <w:spacing w:before="50" w:after="50"/>
              <w:jc w:val="right"/>
              <w:rPr>
                <w:rFonts w:cs="Calibri"/>
                <w:szCs w:val="16"/>
              </w:rPr>
            </w:pPr>
            <w:r w:rsidRPr="009E06AA">
              <w:t>21.1</w:t>
            </w:r>
          </w:p>
        </w:tc>
        <w:tc>
          <w:tcPr>
            <w:tcW w:w="1095" w:type="dxa"/>
            <w:tcBorders>
              <w:top w:val="single" w:sz="4" w:space="0" w:color="1B556B"/>
              <w:left w:val="nil"/>
              <w:bottom w:val="single" w:sz="4" w:space="0" w:color="1B556B"/>
              <w:right w:val="nil"/>
            </w:tcBorders>
            <w:shd w:val="clear" w:color="auto" w:fill="auto"/>
          </w:tcPr>
          <w:p w14:paraId="79C6021D" w14:textId="77777777" w:rsidR="007523B8" w:rsidRPr="009E06AA" w:rsidRDefault="007523B8" w:rsidP="0011748D">
            <w:pPr>
              <w:pStyle w:val="TableText"/>
              <w:spacing w:before="50" w:after="50"/>
              <w:jc w:val="right"/>
              <w:rPr>
                <w:rFonts w:cs="Calibri"/>
                <w:szCs w:val="16"/>
              </w:rPr>
            </w:pPr>
            <w:r w:rsidRPr="009E06AA">
              <w:t>7.6</w:t>
            </w:r>
          </w:p>
        </w:tc>
        <w:tc>
          <w:tcPr>
            <w:tcW w:w="1153" w:type="dxa"/>
            <w:tcBorders>
              <w:top w:val="single" w:sz="4" w:space="0" w:color="1B556B"/>
              <w:left w:val="nil"/>
              <w:bottom w:val="single" w:sz="4" w:space="0" w:color="1B556B"/>
              <w:right w:val="nil"/>
            </w:tcBorders>
            <w:shd w:val="clear" w:color="auto" w:fill="auto"/>
          </w:tcPr>
          <w:p w14:paraId="3C4C05DA" w14:textId="77777777" w:rsidR="007523B8" w:rsidRPr="009E06AA" w:rsidRDefault="007523B8" w:rsidP="0011748D">
            <w:pPr>
              <w:pStyle w:val="TableText"/>
              <w:spacing w:before="50" w:after="50"/>
              <w:jc w:val="right"/>
              <w:rPr>
                <w:rFonts w:cs="Calibri"/>
                <w:szCs w:val="16"/>
              </w:rPr>
            </w:pPr>
            <w:r w:rsidRPr="009E06AA">
              <w:t>1.1</w:t>
            </w:r>
          </w:p>
        </w:tc>
      </w:tr>
      <w:tr w:rsidR="007523B8" w:rsidRPr="009E06AA" w14:paraId="0E45A178" w14:textId="77777777" w:rsidTr="00B55F24">
        <w:tc>
          <w:tcPr>
            <w:tcW w:w="3261" w:type="dxa"/>
            <w:gridSpan w:val="2"/>
            <w:tcBorders>
              <w:top w:val="nil"/>
              <w:left w:val="nil"/>
              <w:bottom w:val="single" w:sz="4" w:space="0" w:color="1B556B"/>
              <w:right w:val="nil"/>
            </w:tcBorders>
            <w:shd w:val="clear" w:color="auto" w:fill="auto"/>
          </w:tcPr>
          <w:p w14:paraId="6C1B86F1" w14:textId="77777777" w:rsidR="007523B8" w:rsidRPr="009E06AA" w:rsidRDefault="007523B8" w:rsidP="00B55F24">
            <w:pPr>
              <w:pStyle w:val="TableText"/>
              <w:spacing w:before="50" w:after="50"/>
              <w:rPr>
                <w:rFonts w:cs="Calibri"/>
                <w:b/>
                <w:bCs/>
                <w:color w:val="1B556B"/>
                <w:szCs w:val="16"/>
              </w:rPr>
            </w:pPr>
            <w:r w:rsidRPr="009E06AA">
              <w:rPr>
                <w:rFonts w:cs="Calibri"/>
                <w:b/>
                <w:bCs/>
                <w:color w:val="1B556B"/>
                <w:szCs w:val="16"/>
              </w:rPr>
              <w:t>Total Agricultural soils</w:t>
            </w:r>
          </w:p>
        </w:tc>
        <w:tc>
          <w:tcPr>
            <w:tcW w:w="708" w:type="dxa"/>
            <w:tcBorders>
              <w:top w:val="nil"/>
              <w:left w:val="nil"/>
              <w:bottom w:val="single" w:sz="4" w:space="0" w:color="1B556B"/>
              <w:right w:val="nil"/>
            </w:tcBorders>
            <w:shd w:val="clear" w:color="auto" w:fill="auto"/>
          </w:tcPr>
          <w:p w14:paraId="7714C84E" w14:textId="77777777" w:rsidR="007523B8" w:rsidRPr="009E06AA" w:rsidRDefault="007523B8" w:rsidP="0011748D">
            <w:pPr>
              <w:pStyle w:val="TableText"/>
              <w:spacing w:before="50" w:after="50"/>
              <w:jc w:val="right"/>
              <w:rPr>
                <w:rFonts w:cs="Calibri"/>
                <w:b/>
                <w:color w:val="1B556B"/>
                <w:szCs w:val="16"/>
              </w:rPr>
            </w:pPr>
            <w:r w:rsidRPr="009E06AA">
              <w:t>4,669.0</w:t>
            </w:r>
          </w:p>
        </w:tc>
        <w:tc>
          <w:tcPr>
            <w:tcW w:w="722" w:type="dxa"/>
            <w:tcBorders>
              <w:top w:val="nil"/>
              <w:left w:val="nil"/>
              <w:bottom w:val="single" w:sz="4" w:space="0" w:color="1B556B"/>
              <w:right w:val="nil"/>
            </w:tcBorders>
            <w:shd w:val="clear" w:color="auto" w:fill="auto"/>
          </w:tcPr>
          <w:p w14:paraId="735542CE" w14:textId="77777777" w:rsidR="007523B8" w:rsidRPr="009E06AA" w:rsidRDefault="007523B8" w:rsidP="0011748D">
            <w:pPr>
              <w:pStyle w:val="TableText"/>
              <w:spacing w:before="50" w:after="50"/>
              <w:jc w:val="right"/>
              <w:rPr>
                <w:rFonts w:cs="Calibri"/>
                <w:b/>
                <w:color w:val="1B556B"/>
                <w:szCs w:val="16"/>
              </w:rPr>
            </w:pPr>
            <w:r w:rsidRPr="009E06AA">
              <w:t>6,322.5</w:t>
            </w:r>
          </w:p>
        </w:tc>
        <w:tc>
          <w:tcPr>
            <w:tcW w:w="854" w:type="dxa"/>
            <w:tcBorders>
              <w:top w:val="nil"/>
              <w:left w:val="nil"/>
              <w:bottom w:val="single" w:sz="4" w:space="0" w:color="1B556B"/>
              <w:right w:val="nil"/>
            </w:tcBorders>
            <w:shd w:val="clear" w:color="auto" w:fill="auto"/>
          </w:tcPr>
          <w:p w14:paraId="28F0DD63" w14:textId="77777777" w:rsidR="007523B8" w:rsidRPr="009E06AA" w:rsidRDefault="007523B8" w:rsidP="0011748D">
            <w:pPr>
              <w:pStyle w:val="TableText"/>
              <w:tabs>
                <w:tab w:val="center" w:pos="400"/>
                <w:tab w:val="right" w:pos="801"/>
              </w:tabs>
              <w:spacing w:before="50" w:after="50"/>
              <w:jc w:val="right"/>
              <w:rPr>
                <w:rFonts w:cs="Calibri"/>
                <w:b/>
                <w:color w:val="1B556B"/>
                <w:szCs w:val="16"/>
              </w:rPr>
            </w:pPr>
            <w:r w:rsidRPr="009E06AA">
              <w:t>1,653.5</w:t>
            </w:r>
          </w:p>
        </w:tc>
        <w:tc>
          <w:tcPr>
            <w:tcW w:w="712" w:type="dxa"/>
            <w:tcBorders>
              <w:top w:val="nil"/>
              <w:left w:val="nil"/>
              <w:bottom w:val="single" w:sz="4" w:space="0" w:color="1B556B"/>
              <w:right w:val="nil"/>
            </w:tcBorders>
            <w:shd w:val="clear" w:color="auto" w:fill="auto"/>
          </w:tcPr>
          <w:p w14:paraId="3B69DEE1" w14:textId="77777777" w:rsidR="007523B8" w:rsidRPr="009E06AA" w:rsidRDefault="007523B8" w:rsidP="0011748D">
            <w:pPr>
              <w:pStyle w:val="TableText"/>
              <w:spacing w:before="50" w:after="50"/>
              <w:jc w:val="right"/>
              <w:rPr>
                <w:rFonts w:cs="Calibri"/>
                <w:b/>
                <w:color w:val="1B556B"/>
                <w:szCs w:val="16"/>
              </w:rPr>
            </w:pPr>
            <w:r w:rsidRPr="009E06AA">
              <w:t>35.4</w:t>
            </w:r>
          </w:p>
        </w:tc>
        <w:tc>
          <w:tcPr>
            <w:tcW w:w="1095" w:type="dxa"/>
            <w:tcBorders>
              <w:top w:val="nil"/>
              <w:left w:val="nil"/>
              <w:bottom w:val="single" w:sz="4" w:space="0" w:color="1B556B"/>
              <w:right w:val="nil"/>
            </w:tcBorders>
            <w:shd w:val="clear" w:color="auto" w:fill="auto"/>
          </w:tcPr>
          <w:p w14:paraId="67983541" w14:textId="77777777" w:rsidR="007523B8" w:rsidRPr="009E06AA" w:rsidRDefault="007523B8" w:rsidP="0011748D">
            <w:pPr>
              <w:pStyle w:val="TableText"/>
              <w:spacing w:before="50" w:after="50"/>
              <w:jc w:val="right"/>
              <w:rPr>
                <w:rFonts w:cs="Calibri"/>
                <w:b/>
                <w:color w:val="1B556B"/>
                <w:szCs w:val="16"/>
              </w:rPr>
            </w:pPr>
            <w:r w:rsidRPr="009E06AA">
              <w:t>100.0</w:t>
            </w:r>
          </w:p>
        </w:tc>
        <w:tc>
          <w:tcPr>
            <w:tcW w:w="1153" w:type="dxa"/>
            <w:tcBorders>
              <w:top w:val="nil"/>
              <w:left w:val="nil"/>
              <w:bottom w:val="single" w:sz="4" w:space="0" w:color="1B556B"/>
              <w:right w:val="nil"/>
            </w:tcBorders>
            <w:shd w:val="clear" w:color="auto" w:fill="auto"/>
          </w:tcPr>
          <w:p w14:paraId="553FDE72" w14:textId="77777777" w:rsidR="007523B8" w:rsidRPr="009E06AA" w:rsidRDefault="007523B8" w:rsidP="0011748D">
            <w:pPr>
              <w:pStyle w:val="TableText"/>
              <w:spacing w:before="50" w:after="50"/>
              <w:jc w:val="right"/>
              <w:rPr>
                <w:rFonts w:cs="Calibri"/>
                <w:b/>
                <w:color w:val="1B556B"/>
                <w:szCs w:val="16"/>
              </w:rPr>
            </w:pPr>
            <w:r w:rsidRPr="009E06AA">
              <w:t>15.2</w:t>
            </w:r>
          </w:p>
        </w:tc>
      </w:tr>
    </w:tbl>
    <w:p w14:paraId="20503B35" w14:textId="77777777" w:rsidR="007523B8" w:rsidRPr="009E06AA" w:rsidRDefault="007523B8" w:rsidP="007523B8">
      <w:pPr>
        <w:pStyle w:val="Noteundertable"/>
        <w:rPr>
          <w:rFonts w:cs="Calibri"/>
        </w:rPr>
      </w:pPr>
      <w:r w:rsidRPr="009E06AA">
        <w:rPr>
          <w:rFonts w:cs="Calibri"/>
          <w:b/>
          <w:bCs/>
        </w:rPr>
        <w:t>Note:</w:t>
      </w:r>
      <w:r w:rsidRPr="009E06AA">
        <w:rPr>
          <w:rFonts w:cs="Calibri"/>
        </w:rPr>
        <w:tab/>
        <w:t>Columns may not add due to rounding. Percentages presented are calculated from unrounded values.</w:t>
      </w:r>
    </w:p>
    <w:p w14:paraId="40FC2616" w14:textId="77777777" w:rsidR="007523B8" w:rsidRPr="009E06AA" w:rsidRDefault="007523B8" w:rsidP="007523B8">
      <w:pPr>
        <w:pStyle w:val="Heading3"/>
      </w:pPr>
      <w:bookmarkStart w:id="1222" w:name="_Toc139253934"/>
      <w:bookmarkStart w:id="1223" w:name="_Toc32570668"/>
      <w:r w:rsidRPr="009E06AA">
        <w:t>5.5.2</w:t>
      </w:r>
      <w:r w:rsidRPr="009E06AA">
        <w:tab/>
        <w:t>Methodological issues</w:t>
      </w:r>
      <w:bookmarkEnd w:id="1222"/>
      <w:bookmarkEnd w:id="1223"/>
      <w:r w:rsidRPr="009E06AA">
        <w:t xml:space="preserve"> </w:t>
      </w:r>
    </w:p>
    <w:p w14:paraId="244DFEEC" w14:textId="10E37271" w:rsidR="007523B8" w:rsidRPr="009E06AA" w:rsidRDefault="007523B8" w:rsidP="007523B8">
      <w:pPr>
        <w:pStyle w:val="BodyText"/>
        <w:spacing w:before="100" w:after="100"/>
      </w:pPr>
      <w:r w:rsidRPr="009E06AA">
        <w:rPr>
          <w:rFonts w:cs="Calibri"/>
        </w:rPr>
        <w:t>New Zealand</w:t>
      </w:r>
      <w:r w:rsidRPr="009E06AA">
        <w:t xml:space="preserve"> uses methodologies based on the 2006 IPCC Guidelines (IPCC, 2006), outputs of the Tier 2 livestock population characterisation, modelling of the livestock nutrition and energy requirements, and some country-specific equations to calculate N</w:t>
      </w:r>
      <w:r w:rsidRPr="009E06AA">
        <w:rPr>
          <w:vertAlign w:val="subscript"/>
        </w:rPr>
        <w:t>2</w:t>
      </w:r>
      <w:r w:rsidRPr="009E06AA">
        <w:t>O emissions from </w:t>
      </w:r>
      <w:r w:rsidRPr="009E06AA">
        <w:rPr>
          <w:i/>
          <w:iCs/>
        </w:rPr>
        <w:t>Agricultural soils</w:t>
      </w:r>
      <w:r w:rsidRPr="009E06AA">
        <w:t xml:space="preserve">. A combination of default and country-specific emission factors and parameters is also used to calculate emissions from this category. Details on these emission factors and parameters are listed in tables 5.5.2 and 5.5.3; annex </w:t>
      </w:r>
      <w:r w:rsidR="008D2F94" w:rsidRPr="009E06AA">
        <w:t>5</w:t>
      </w:r>
      <w:r w:rsidRPr="009E06AA">
        <w:t>, tables A</w:t>
      </w:r>
      <w:r w:rsidR="008D2F94" w:rsidRPr="009E06AA">
        <w:t>5</w:t>
      </w:r>
      <w:r w:rsidRPr="009E06AA">
        <w:t>.1.5, A</w:t>
      </w:r>
      <w:r w:rsidR="008D2F94" w:rsidRPr="009E06AA">
        <w:t>5</w:t>
      </w:r>
      <w:r w:rsidRPr="009E06AA">
        <w:t>.1.6 and A</w:t>
      </w:r>
      <w:r w:rsidR="008D2F94" w:rsidRPr="009E06AA">
        <w:t>5</w:t>
      </w:r>
      <w:r w:rsidRPr="009E06AA">
        <w:t>.1.7; and in table 5.5.5 for mitigation technologies.</w:t>
      </w:r>
    </w:p>
    <w:p w14:paraId="5F3970E9" w14:textId="77777777" w:rsidR="007523B8" w:rsidRPr="009E06AA" w:rsidRDefault="007523B8" w:rsidP="007523B8">
      <w:pPr>
        <w:pStyle w:val="BodyText"/>
        <w:spacing w:before="100" w:after="100"/>
      </w:pPr>
      <w:r w:rsidRPr="009E06AA">
        <w:t xml:space="preserve">The largest inputs of nitrogen to agricultural soils are manure (urine and dung) from grazing livestock and synthetic nitrogen fertilisers, which together contribute just over two thirds of emissions from the </w:t>
      </w:r>
      <w:r w:rsidRPr="009E06AA">
        <w:rPr>
          <w:i/>
          <w:iCs/>
        </w:rPr>
        <w:t>Agricultural soils</w:t>
      </w:r>
      <w:r w:rsidRPr="009E06AA">
        <w:t xml:space="preserve"> category. The following paragraphs provide an overview of the country-specific improvements made to the </w:t>
      </w:r>
      <w:r w:rsidRPr="009E06AA">
        <w:rPr>
          <w:i/>
          <w:iCs/>
        </w:rPr>
        <w:t>Agricultural soils</w:t>
      </w:r>
      <w:r w:rsidRPr="009E06AA">
        <w:t xml:space="preserve"> category.</w:t>
      </w:r>
    </w:p>
    <w:p w14:paraId="39AD77EE" w14:textId="77777777" w:rsidR="007523B8" w:rsidRPr="009E06AA" w:rsidRDefault="007523B8" w:rsidP="008224E0">
      <w:pPr>
        <w:pStyle w:val="Heading4"/>
      </w:pPr>
      <w:r w:rsidRPr="009E06AA">
        <w:t>Overview of research and improvements in the Agricultural soils category</w:t>
      </w:r>
    </w:p>
    <w:p w14:paraId="4EDEC4C5" w14:textId="77777777" w:rsidR="007523B8" w:rsidRPr="009E06AA" w:rsidRDefault="007523B8" w:rsidP="007523B8">
      <w:pPr>
        <w:pStyle w:val="BodyText"/>
        <w:spacing w:before="100" w:after="100"/>
      </w:pPr>
      <w:r w:rsidRPr="009E06AA">
        <w:t xml:space="preserve">Considerable research effort has gone into establishing </w:t>
      </w:r>
      <w:r w:rsidRPr="009E06AA" w:rsidDel="00F57B85">
        <w:rPr>
          <w:rFonts w:cs="Calibri"/>
        </w:rPr>
        <w:t xml:space="preserve">New </w:t>
      </w:r>
      <w:r w:rsidRPr="009E06AA">
        <w:rPr>
          <w:rFonts w:cs="Calibri"/>
        </w:rPr>
        <w:t>Zealand</w:t>
      </w:r>
      <w:r w:rsidRPr="009E06AA">
        <w:t>-specific emission factors for emissions from synthetic fertiliser application (EF</w:t>
      </w:r>
      <w:r w:rsidRPr="009E06AA">
        <w:rPr>
          <w:vertAlign w:val="subscript"/>
        </w:rPr>
        <w:t>1</w:t>
      </w:r>
      <w:r w:rsidRPr="009E06AA">
        <w:t>) and emissions from manure deposition on pasture from grazing livestock (EF</w:t>
      </w:r>
      <w:r w:rsidRPr="009E06AA">
        <w:rPr>
          <w:vertAlign w:val="subscript"/>
        </w:rPr>
        <w:t>3,PRP</w:t>
      </w:r>
      <w:r w:rsidRPr="009E06AA">
        <w:t xml:space="preserve">). In </w:t>
      </w:r>
      <w:r w:rsidRPr="009E06AA">
        <w:rPr>
          <w:rFonts w:cs="Calibri"/>
        </w:rPr>
        <w:t>New Zealand</w:t>
      </w:r>
      <w:r w:rsidRPr="009E06AA">
        <w:t xml:space="preserve">, most livestock waste is excreted directly onto pasture during grazing (see table 5.3.2). </w:t>
      </w:r>
    </w:p>
    <w:p w14:paraId="532F9534" w14:textId="53ACA88B" w:rsidR="007523B8" w:rsidRPr="009E06AA" w:rsidRDefault="007523B8" w:rsidP="007523B8">
      <w:pPr>
        <w:pStyle w:val="BodyText"/>
        <w:spacing w:before="100" w:after="100"/>
      </w:pPr>
      <w:r w:rsidRPr="009E06AA">
        <w:t>Direct N</w:t>
      </w:r>
      <w:r w:rsidRPr="009E06AA">
        <w:rPr>
          <w:vertAlign w:val="subscript"/>
        </w:rPr>
        <w:t>2</w:t>
      </w:r>
      <w:r w:rsidRPr="009E06AA">
        <w:t xml:space="preserve">O emission factors for dung and urine are separated based on livestock type (for </w:t>
      </w:r>
      <w:r w:rsidRPr="009E06AA">
        <w:rPr>
          <w:i/>
          <w:iCs/>
        </w:rPr>
        <w:t>Dairy cattle</w:t>
      </w:r>
      <w:r w:rsidRPr="009E06AA">
        <w:t xml:space="preserve">, </w:t>
      </w:r>
      <w:r w:rsidRPr="009E06AA">
        <w:rPr>
          <w:i/>
          <w:iCs/>
        </w:rPr>
        <w:t>Non-dairy</w:t>
      </w:r>
      <w:r w:rsidRPr="009E06AA">
        <w:t xml:space="preserve"> (beef) </w:t>
      </w:r>
      <w:r w:rsidRPr="009E06AA">
        <w:rPr>
          <w:i/>
          <w:iCs/>
        </w:rPr>
        <w:t>cattle</w:t>
      </w:r>
      <w:r w:rsidRPr="009E06AA">
        <w:t xml:space="preserve">, </w:t>
      </w:r>
      <w:r w:rsidRPr="009E06AA">
        <w:rPr>
          <w:i/>
          <w:iCs/>
        </w:rPr>
        <w:t>Sheep</w:t>
      </w:r>
      <w:r w:rsidRPr="009E06AA">
        <w:t xml:space="preserve"> and </w:t>
      </w:r>
      <w:r w:rsidRPr="009E06AA">
        <w:rPr>
          <w:i/>
          <w:iCs/>
        </w:rPr>
        <w:t>Deer</w:t>
      </w:r>
      <w:r w:rsidRPr="009E06AA">
        <w:t xml:space="preserve">) and hill slope category based on research by Saggar et al. (2015) and van der Weerden et al. (2019, 2020) (see table 5.5.3). A ‘nutrient transfer model’ developed by Saggar et al. (2015) is used to calculate the amount of dung and urine deposited on different hill slope categories. Around 79 per cent of sloped land on sheep, non-dairy and deer farms is classed as medium (12–24 degrees) or steep (greater than 24 degrees) sloped land (see annex </w:t>
      </w:r>
      <w:r w:rsidR="00772032" w:rsidRPr="009E06AA">
        <w:t>5</w:t>
      </w:r>
      <w:r w:rsidRPr="009E06AA">
        <w:t>, figure A</w:t>
      </w:r>
      <w:r w:rsidR="00772032" w:rsidRPr="009E06AA">
        <w:t>5</w:t>
      </w:r>
      <w:r w:rsidRPr="009E06AA">
        <w:t>.1.3).</w:t>
      </w:r>
    </w:p>
    <w:p w14:paraId="637BCB59" w14:textId="460CA820" w:rsidR="007523B8" w:rsidRPr="009E06AA" w:rsidRDefault="007523B8" w:rsidP="007523B8">
      <w:pPr>
        <w:pStyle w:val="BodyText"/>
      </w:pPr>
      <w:r w:rsidRPr="009E06AA">
        <w:t xml:space="preserve">For minor livestock categories, such as </w:t>
      </w:r>
      <w:r w:rsidRPr="009E06AA">
        <w:rPr>
          <w:i/>
          <w:iCs/>
        </w:rPr>
        <w:t>Horses</w:t>
      </w:r>
      <w:r w:rsidRPr="009E06AA">
        <w:t xml:space="preserve">, </w:t>
      </w:r>
      <w:r w:rsidRPr="009E06AA">
        <w:rPr>
          <w:i/>
          <w:iCs/>
        </w:rPr>
        <w:t>Llamas and</w:t>
      </w:r>
      <w:r w:rsidRPr="009E06AA">
        <w:t xml:space="preserve"> </w:t>
      </w:r>
      <w:r w:rsidRPr="009E06AA">
        <w:rPr>
          <w:i/>
          <w:iCs/>
        </w:rPr>
        <w:t>alpacas</w:t>
      </w:r>
      <w:r w:rsidRPr="009E06AA">
        <w:t>,</w:t>
      </w:r>
      <w:r w:rsidRPr="009E06AA">
        <w:rPr>
          <w:i/>
          <w:iCs/>
        </w:rPr>
        <w:t xml:space="preserve"> Poultry</w:t>
      </w:r>
      <w:r w:rsidRPr="009E06AA">
        <w:t>,</w:t>
      </w:r>
      <w:r w:rsidRPr="009E06AA">
        <w:rPr>
          <w:i/>
          <w:iCs/>
        </w:rPr>
        <w:t xml:space="preserve"> Swine</w:t>
      </w:r>
      <w:r w:rsidRPr="009E06AA">
        <w:t>,</w:t>
      </w:r>
      <w:r w:rsidRPr="009E06AA">
        <w:rPr>
          <w:i/>
          <w:iCs/>
        </w:rPr>
        <w:t xml:space="preserve"> Goats</w:t>
      </w:r>
      <w:r w:rsidRPr="009E06AA">
        <w:t>, and</w:t>
      </w:r>
      <w:r w:rsidRPr="009E06AA">
        <w:rPr>
          <w:i/>
          <w:iCs/>
        </w:rPr>
        <w:t xml:space="preserve"> Mules and asses</w:t>
      </w:r>
      <w:r w:rsidRPr="009E06AA">
        <w:t xml:space="preserve">, </w:t>
      </w:r>
      <w:r w:rsidRPr="009E06AA" w:rsidDel="003C4BB2">
        <w:rPr>
          <w:rFonts w:cs="Calibri"/>
        </w:rPr>
        <w:t xml:space="preserve">New </w:t>
      </w:r>
      <w:r w:rsidRPr="009E06AA">
        <w:rPr>
          <w:rFonts w:cs="Calibri"/>
        </w:rPr>
        <w:t>Zealand</w:t>
      </w:r>
      <w:r w:rsidRPr="009E06AA">
        <w:t xml:space="preserve"> uses IPCC default emission factors and methodology. Research conducted in </w:t>
      </w:r>
      <w:r w:rsidRPr="009E06AA" w:rsidDel="00271F52">
        <w:rPr>
          <w:rFonts w:cs="Calibri"/>
        </w:rPr>
        <w:t xml:space="preserve">New </w:t>
      </w:r>
      <w:r w:rsidRPr="009E06AA">
        <w:rPr>
          <w:rFonts w:cs="Calibri"/>
        </w:rPr>
        <w:t>Zealand</w:t>
      </w:r>
      <w:r w:rsidRPr="009E06AA">
        <w:t xml:space="preserve"> confirmed that the IPCC default emission factors and methodology for direct N</w:t>
      </w:r>
      <w:r w:rsidRPr="009E06AA">
        <w:rPr>
          <w:vertAlign w:val="subscript"/>
        </w:rPr>
        <w:t>2</w:t>
      </w:r>
      <w:r w:rsidRPr="009E06AA">
        <w:t>O emissions from manure deposited on soil (EF</w:t>
      </w:r>
      <w:r w:rsidRPr="009E06AA">
        <w:rPr>
          <w:vertAlign w:val="subscript"/>
        </w:rPr>
        <w:t>3,PRP-MINOR</w:t>
      </w:r>
      <w:r w:rsidRPr="009E06AA">
        <w:t xml:space="preserve">) are appropriate for </w:t>
      </w:r>
      <w:r w:rsidRPr="009E06AA" w:rsidDel="00271F52">
        <w:rPr>
          <w:rFonts w:cs="Calibri"/>
        </w:rPr>
        <w:t>New</w:t>
      </w:r>
      <w:r w:rsidR="001E47A3" w:rsidRPr="009E06AA">
        <w:rPr>
          <w:rFonts w:cs="Calibri"/>
        </w:rPr>
        <w:t> </w:t>
      </w:r>
      <w:r w:rsidRPr="009E06AA">
        <w:rPr>
          <w:rFonts w:cs="Calibri"/>
        </w:rPr>
        <w:t>Zealand</w:t>
      </w:r>
      <w:r w:rsidRPr="009E06AA">
        <w:t xml:space="preserve"> conditions (Carran et al., 1995; de Klein et al., 2003; Muller et al., 1995).</w:t>
      </w:r>
    </w:p>
    <w:p w14:paraId="1F34FEE9" w14:textId="77777777" w:rsidR="007523B8" w:rsidRPr="009E06AA" w:rsidRDefault="007523B8" w:rsidP="007523B8">
      <w:pPr>
        <w:pStyle w:val="BodyText"/>
      </w:pPr>
      <w:r w:rsidRPr="009E06AA">
        <w:rPr>
          <w:rFonts w:cs="Calibri"/>
        </w:rPr>
        <w:t>New Zealand</w:t>
      </w:r>
      <w:r w:rsidRPr="009E06AA">
        <w:t xml:space="preserve"> uses country-specific emission factors for urea fertiliser (0.0059) and dairy cattle effluent manure (0.0025) applied to soils (van der Weerden et al., 2016a and 2016b). The IPCC default value of 0.01 is used for other nitrogen inputs including synthetic nitrogen fertiliser (excluding urea), animal manure from minor livestock species applied to soils, and crop residues. This emission factor of 0.01 has been verified as suitable for </w:t>
      </w:r>
      <w:r w:rsidRPr="009E06AA" w:rsidDel="0050321B">
        <w:rPr>
          <w:rFonts w:cs="Calibri"/>
        </w:rPr>
        <w:t xml:space="preserve">New </w:t>
      </w:r>
      <w:r w:rsidRPr="009E06AA">
        <w:rPr>
          <w:rFonts w:cs="Calibri"/>
        </w:rPr>
        <w:t>Zealand</w:t>
      </w:r>
      <w:r w:rsidRPr="009E06AA">
        <w:t xml:space="preserve"> conditions by Kelliher and de Klein (unpublished). </w:t>
      </w:r>
    </w:p>
    <w:p w14:paraId="4F23E17F" w14:textId="77777777" w:rsidR="007523B8" w:rsidRPr="009E06AA" w:rsidRDefault="007523B8" w:rsidP="007523B8">
      <w:pPr>
        <w:pStyle w:val="BodyText"/>
      </w:pPr>
      <w:r w:rsidRPr="009E06AA">
        <w:t>The emission factor for indirect N</w:t>
      </w:r>
      <w:r w:rsidRPr="009E06AA">
        <w:rPr>
          <w:vertAlign w:val="subscript"/>
        </w:rPr>
        <w:t>2</w:t>
      </w:r>
      <w:r w:rsidRPr="009E06AA">
        <w:t>O emissions from leaching and runoff (EF</w:t>
      </w:r>
      <w:r w:rsidRPr="009E06AA">
        <w:rPr>
          <w:vertAlign w:val="subscript"/>
        </w:rPr>
        <w:t>5</w:t>
      </w:r>
      <w:r w:rsidRPr="009E06AA">
        <w:t xml:space="preserve">) for rivers, lakes and estuaries has also been reviewed (Clough and Kelliher, unpublished). The review concluded that further research is required to develop a country-specific value, and that the IPCC (2006) default emission factor (0.0075) is appropriate for </w:t>
      </w:r>
      <w:r w:rsidRPr="009E06AA" w:rsidDel="00FA77EB">
        <w:rPr>
          <w:rFonts w:cs="Calibri"/>
        </w:rPr>
        <w:t xml:space="preserve">New </w:t>
      </w:r>
      <w:r w:rsidRPr="009E06AA">
        <w:rPr>
          <w:rFonts w:cs="Calibri"/>
        </w:rPr>
        <w:t>Zealand</w:t>
      </w:r>
      <w:r w:rsidRPr="009E06AA">
        <w:t xml:space="preserve"> in the meantime. </w:t>
      </w:r>
    </w:p>
    <w:p w14:paraId="2E8EAF76" w14:textId="77777777" w:rsidR="007523B8" w:rsidRPr="009E06AA" w:rsidRDefault="007523B8" w:rsidP="007523B8">
      <w:pPr>
        <w:pStyle w:val="BodyText"/>
      </w:pPr>
      <w:r w:rsidRPr="009E06AA">
        <w:t>In addition to these coun</w:t>
      </w:r>
      <w:r w:rsidRPr="009E06AA">
        <w:rPr>
          <w:spacing w:val="-2"/>
        </w:rPr>
        <w:t xml:space="preserve">try-specific emission factors, </w:t>
      </w:r>
      <w:r w:rsidRPr="009E06AA" w:rsidDel="00FA77EB">
        <w:rPr>
          <w:rFonts w:cs="Calibri"/>
        </w:rPr>
        <w:t xml:space="preserve">New </w:t>
      </w:r>
      <w:r w:rsidRPr="009E06AA">
        <w:rPr>
          <w:rFonts w:cs="Calibri"/>
        </w:rPr>
        <w:t>Zealand</w:t>
      </w:r>
      <w:r w:rsidRPr="009E06AA">
        <w:rPr>
          <w:spacing w:val="-2"/>
        </w:rPr>
        <w:t xml:space="preserve"> has developed country-specific parameters for volatilisation, leaching, and nitrogen input from crop residue burning and pasture renewal (see table 5.5.4). </w:t>
      </w:r>
      <w:r w:rsidRPr="009E06AA">
        <w:rPr>
          <w:rFonts w:cs="Calibri"/>
        </w:rPr>
        <w:t>New Zealand</w:t>
      </w:r>
      <w:r w:rsidRPr="009E06AA">
        <w:rPr>
          <w:spacing w:val="-2"/>
        </w:rPr>
        <w:t xml:space="preserve"> has also incorporated country-specific emission factors and country-specific parameters </w:t>
      </w:r>
      <w:r w:rsidRPr="009E06AA">
        <w:t xml:space="preserve">for calculating emissions from the use of the following mitigation technologies </w:t>
      </w:r>
      <w:r w:rsidRPr="009E06AA">
        <w:rPr>
          <w:spacing w:val="-2"/>
        </w:rPr>
        <w:t>(see table 5.5.5)</w:t>
      </w:r>
      <w:r w:rsidRPr="009E06AA">
        <w:t>:</w:t>
      </w:r>
    </w:p>
    <w:p w14:paraId="32EE120B" w14:textId="77777777" w:rsidR="007523B8" w:rsidRPr="009E06AA" w:rsidRDefault="007523B8" w:rsidP="007523B8">
      <w:pPr>
        <w:pStyle w:val="Bullet"/>
        <w:numPr>
          <w:ilvl w:val="0"/>
          <w:numId w:val="25"/>
        </w:numPr>
      </w:pPr>
      <w:r w:rsidRPr="009E06AA">
        <w:t xml:space="preserve">urease inhibitors such as N-butyl thiophosphoric triamide </w:t>
      </w:r>
    </w:p>
    <w:p w14:paraId="7236F11B" w14:textId="77777777" w:rsidR="007523B8" w:rsidRPr="009E06AA" w:rsidRDefault="007523B8" w:rsidP="007523B8">
      <w:pPr>
        <w:pStyle w:val="Bullet"/>
        <w:numPr>
          <w:ilvl w:val="0"/>
          <w:numId w:val="25"/>
        </w:numPr>
        <w:rPr>
          <w:spacing w:val="-2"/>
        </w:rPr>
      </w:pPr>
      <w:r w:rsidRPr="009E06AA">
        <w:t xml:space="preserve">dicyandiamide (DCD), a nitrification inhibitor. </w:t>
      </w:r>
    </w:p>
    <w:p w14:paraId="40CC9318" w14:textId="77777777" w:rsidR="007523B8" w:rsidRPr="009E06AA" w:rsidRDefault="007523B8" w:rsidP="007523B8">
      <w:pPr>
        <w:pStyle w:val="Table"/>
        <w:rPr>
          <w:rFonts w:cs="Calibri"/>
        </w:rPr>
      </w:pPr>
      <w:bookmarkStart w:id="1224" w:name="_Toc441830880"/>
      <w:bookmarkStart w:id="1225" w:name="_Toc451176094"/>
      <w:bookmarkStart w:id="1226" w:name="_Toc481751522"/>
      <w:bookmarkStart w:id="1227" w:name="_Toc507158610"/>
      <w:bookmarkStart w:id="1228" w:name="_Toc511116744"/>
      <w:bookmarkStart w:id="1229" w:name="_Toc5269486"/>
      <w:bookmarkStart w:id="1230" w:name="_Toc32570928"/>
      <w:bookmarkStart w:id="1231" w:name="_Toc36224563"/>
      <w:bookmarkStart w:id="1232" w:name="_Toc68786448"/>
      <w:bookmarkStart w:id="1233" w:name="_Toc95574081"/>
      <w:bookmarkStart w:id="1234" w:name="_Toc127458268"/>
      <w:bookmarkStart w:id="1235" w:name="_Toc131591364"/>
      <w:bookmarkStart w:id="1236" w:name="_Toc160114458"/>
      <w:bookmarkStart w:id="1237" w:name="_Toc164153854"/>
      <w:r w:rsidRPr="009E06AA">
        <w:rPr>
          <w:rFonts w:cs="Calibri"/>
        </w:rPr>
        <w:t>Table 5.5.2</w:t>
      </w:r>
      <w:r w:rsidRPr="009E06AA">
        <w:rPr>
          <w:rFonts w:cs="Calibri"/>
        </w:rPr>
        <w:tab/>
        <w:t>Nitrous oxide (N</w:t>
      </w:r>
      <w:r w:rsidRPr="009E06AA">
        <w:rPr>
          <w:rFonts w:cs="Calibri"/>
          <w:vertAlign w:val="subscript"/>
        </w:rPr>
        <w:t>2</w:t>
      </w:r>
      <w:r w:rsidRPr="009E06AA">
        <w:rPr>
          <w:rFonts w:cs="Calibri"/>
        </w:rPr>
        <w:t xml:space="preserve">O) emission factors for </w:t>
      </w:r>
      <w:r w:rsidRPr="009E06AA">
        <w:rPr>
          <w:rFonts w:cs="Calibri"/>
          <w:i/>
          <w:iCs/>
        </w:rPr>
        <w:t>Agricultural soils</w:t>
      </w:r>
      <w:r w:rsidRPr="009E06AA">
        <w:rPr>
          <w:rFonts w:cs="Calibri"/>
        </w:rPr>
        <w:t xml:space="preserve"> in New Zealand</w:t>
      </w:r>
      <w:bookmarkEnd w:id="1224"/>
      <w:bookmarkEnd w:id="1225"/>
      <w:bookmarkEnd w:id="1226"/>
      <w:bookmarkEnd w:id="1227"/>
      <w:bookmarkEnd w:id="1228"/>
      <w:bookmarkEnd w:id="1229"/>
      <w:r w:rsidRPr="009E06AA">
        <w:rPr>
          <w:rFonts w:cs="Calibri"/>
        </w:rPr>
        <w:t>,</w:t>
      </w:r>
      <w:r w:rsidRPr="009E06AA">
        <w:rPr>
          <w:rFonts w:cs="Calibri"/>
        </w:rPr>
        <w:br/>
        <w:t>excluding EF</w:t>
      </w:r>
      <w:r w:rsidRPr="009E06AA">
        <w:rPr>
          <w:rFonts w:cs="Calibri"/>
          <w:vertAlign w:val="subscript"/>
        </w:rPr>
        <w:t>3,PRP</w:t>
      </w:r>
      <w:r w:rsidRPr="009E06AA">
        <w:rPr>
          <w:rFonts w:cs="Calibri"/>
          <w:vertAlign w:val="subscript"/>
        </w:rPr>
        <w:noBreakHyphen/>
        <w:t xml:space="preserve"> URINE</w:t>
      </w:r>
      <w:r w:rsidRPr="009E06AA">
        <w:rPr>
          <w:rFonts w:cs="Calibri"/>
        </w:rPr>
        <w:t xml:space="preserve"> for cattle, sheep and deer</w:t>
      </w:r>
      <w:bookmarkEnd w:id="1230"/>
      <w:bookmarkEnd w:id="1231"/>
      <w:bookmarkEnd w:id="1232"/>
      <w:bookmarkEnd w:id="1233"/>
      <w:bookmarkEnd w:id="1234"/>
      <w:bookmarkEnd w:id="1235"/>
      <w:bookmarkEnd w:id="1236"/>
      <w:bookmarkEnd w:id="1237"/>
    </w:p>
    <w:tbl>
      <w:tblPr>
        <w:tblW w:w="8505" w:type="dxa"/>
        <w:tblBorders>
          <w:top w:val="single" w:sz="4" w:space="0" w:color="365F91"/>
          <w:bottom w:val="single" w:sz="4" w:space="0" w:color="365F91"/>
          <w:insideH w:val="single" w:sz="4" w:space="0" w:color="365F91"/>
        </w:tblBorders>
        <w:tblCellMar>
          <w:left w:w="85" w:type="dxa"/>
          <w:right w:w="85" w:type="dxa"/>
        </w:tblCellMar>
        <w:tblLook w:val="01E0" w:firstRow="1" w:lastRow="1" w:firstColumn="1" w:lastColumn="1" w:noHBand="0" w:noVBand="0"/>
      </w:tblPr>
      <w:tblGrid>
        <w:gridCol w:w="3234"/>
        <w:gridCol w:w="987"/>
        <w:gridCol w:w="708"/>
        <w:gridCol w:w="1407"/>
        <w:gridCol w:w="2169"/>
      </w:tblGrid>
      <w:tr w:rsidR="007523B8" w:rsidRPr="009E06AA" w14:paraId="372B1000" w14:textId="77777777" w:rsidTr="00B55F24">
        <w:trPr>
          <w:tblHeader/>
        </w:trPr>
        <w:tc>
          <w:tcPr>
            <w:tcW w:w="3261" w:type="dxa"/>
            <w:tcBorders>
              <w:top w:val="single" w:sz="4" w:space="0" w:color="1B556B" w:themeColor="text2"/>
              <w:bottom w:val="single" w:sz="4" w:space="0" w:color="1B556B" w:themeColor="text2"/>
            </w:tcBorders>
            <w:shd w:val="clear" w:color="auto" w:fill="1B556B"/>
            <w:vAlign w:val="bottom"/>
          </w:tcPr>
          <w:p w14:paraId="0333C3FC" w14:textId="77777777" w:rsidR="007523B8" w:rsidRPr="009E06AA" w:rsidRDefault="007523B8" w:rsidP="00B55F24">
            <w:pPr>
              <w:pStyle w:val="TableTextBold"/>
              <w:keepNext/>
              <w:rPr>
                <w:noProof w:val="0"/>
                <w:color w:val="FFFFFF" w:themeColor="background1"/>
                <w:szCs w:val="16"/>
              </w:rPr>
            </w:pPr>
            <w:r w:rsidRPr="009E06AA">
              <w:rPr>
                <w:noProof w:val="0"/>
                <w:color w:val="FFFFFF" w:themeColor="background1"/>
                <w:szCs w:val="16"/>
              </w:rPr>
              <w:t>Category</w:t>
            </w:r>
          </w:p>
        </w:tc>
        <w:tc>
          <w:tcPr>
            <w:tcW w:w="3118" w:type="dxa"/>
            <w:gridSpan w:val="3"/>
            <w:tcBorders>
              <w:top w:val="single" w:sz="4" w:space="0" w:color="1B556B" w:themeColor="text2"/>
              <w:bottom w:val="single" w:sz="4" w:space="0" w:color="1B556B" w:themeColor="text2"/>
            </w:tcBorders>
            <w:shd w:val="clear" w:color="auto" w:fill="1B556B"/>
            <w:vAlign w:val="bottom"/>
          </w:tcPr>
          <w:p w14:paraId="73F239DD" w14:textId="77777777" w:rsidR="007523B8" w:rsidRPr="009E06AA" w:rsidRDefault="007523B8" w:rsidP="00B55F24">
            <w:pPr>
              <w:pStyle w:val="TableTextBold"/>
              <w:keepNext/>
              <w:jc w:val="center"/>
              <w:rPr>
                <w:noProof w:val="0"/>
                <w:color w:val="FFFFFF" w:themeColor="background1"/>
                <w:szCs w:val="16"/>
              </w:rPr>
            </w:pPr>
            <w:r w:rsidRPr="009E06AA">
              <w:rPr>
                <w:noProof w:val="0"/>
                <w:color w:val="FFFFFF" w:themeColor="background1"/>
                <w:szCs w:val="16"/>
              </w:rPr>
              <w:t>Emission factor</w:t>
            </w:r>
          </w:p>
        </w:tc>
        <w:tc>
          <w:tcPr>
            <w:tcW w:w="2183" w:type="dxa"/>
            <w:tcBorders>
              <w:top w:val="single" w:sz="4" w:space="0" w:color="1B556B" w:themeColor="text2"/>
              <w:bottom w:val="single" w:sz="4" w:space="0" w:color="1B556B" w:themeColor="text2"/>
            </w:tcBorders>
            <w:shd w:val="clear" w:color="auto" w:fill="1B556B"/>
            <w:vAlign w:val="bottom"/>
          </w:tcPr>
          <w:p w14:paraId="2EA2D0A5" w14:textId="77777777" w:rsidR="007523B8" w:rsidRPr="009E06AA" w:rsidRDefault="007523B8" w:rsidP="00B55F24">
            <w:pPr>
              <w:pStyle w:val="TableTextBold"/>
              <w:keepNext/>
              <w:jc w:val="center"/>
              <w:rPr>
                <w:noProof w:val="0"/>
                <w:color w:val="FFFFFF" w:themeColor="background1"/>
                <w:szCs w:val="16"/>
              </w:rPr>
            </w:pPr>
            <w:r w:rsidRPr="009E06AA">
              <w:rPr>
                <w:noProof w:val="0"/>
                <w:color w:val="FFFFFF" w:themeColor="background1"/>
                <w:szCs w:val="16"/>
              </w:rPr>
              <w:t>Source</w:t>
            </w:r>
          </w:p>
        </w:tc>
      </w:tr>
      <w:tr w:rsidR="007523B8" w:rsidRPr="009E06AA" w14:paraId="61B919C5" w14:textId="77777777" w:rsidTr="00B55F24">
        <w:tc>
          <w:tcPr>
            <w:tcW w:w="0" w:type="auto"/>
            <w:gridSpan w:val="5"/>
            <w:tcBorders>
              <w:top w:val="single" w:sz="4" w:space="0" w:color="1B556B" w:themeColor="text2"/>
              <w:bottom w:val="single" w:sz="4" w:space="0" w:color="1B556B" w:themeColor="text2"/>
            </w:tcBorders>
          </w:tcPr>
          <w:p w14:paraId="0A11A379" w14:textId="77777777" w:rsidR="007523B8" w:rsidRPr="009E06AA" w:rsidRDefault="007523B8" w:rsidP="00B55F24">
            <w:pPr>
              <w:pStyle w:val="TableText"/>
              <w:keepNext/>
              <w:spacing w:before="50" w:after="50"/>
              <w:rPr>
                <w:rFonts w:cs="Calibri"/>
                <w:b/>
                <w:bCs/>
                <w:szCs w:val="16"/>
              </w:rPr>
            </w:pPr>
            <w:r w:rsidRPr="009E06AA">
              <w:rPr>
                <w:rFonts w:cs="Calibri"/>
                <w:b/>
                <w:bCs/>
                <w:szCs w:val="16"/>
              </w:rPr>
              <w:t>3.D.1 Direct N</w:t>
            </w:r>
            <w:r w:rsidRPr="009E06AA">
              <w:rPr>
                <w:rFonts w:cs="Calibri"/>
                <w:b/>
                <w:bCs/>
                <w:szCs w:val="16"/>
                <w:vertAlign w:val="subscript"/>
              </w:rPr>
              <w:t>2</w:t>
            </w:r>
            <w:r w:rsidRPr="009E06AA">
              <w:rPr>
                <w:rFonts w:cs="Calibri"/>
                <w:b/>
                <w:bCs/>
                <w:szCs w:val="16"/>
              </w:rPr>
              <w:t>O emissions</w:t>
            </w:r>
          </w:p>
        </w:tc>
      </w:tr>
      <w:tr w:rsidR="007523B8" w:rsidRPr="009E06AA" w14:paraId="0F180A95" w14:textId="77777777" w:rsidTr="00B55F24">
        <w:tc>
          <w:tcPr>
            <w:tcW w:w="3261" w:type="dxa"/>
            <w:tcBorders>
              <w:top w:val="single" w:sz="4" w:space="0" w:color="1B556B" w:themeColor="text2"/>
              <w:bottom w:val="single" w:sz="4" w:space="0" w:color="1B556B" w:themeColor="text2"/>
            </w:tcBorders>
          </w:tcPr>
          <w:p w14:paraId="151E78FB" w14:textId="77777777" w:rsidR="007523B8" w:rsidRPr="009E06AA" w:rsidRDefault="007523B8" w:rsidP="00B55F24">
            <w:pPr>
              <w:pStyle w:val="TableText"/>
              <w:spacing w:before="50" w:after="50"/>
              <w:rPr>
                <w:rFonts w:cs="Calibri"/>
                <w:szCs w:val="16"/>
              </w:rPr>
            </w:pPr>
            <w:r w:rsidRPr="009E06AA">
              <w:rPr>
                <w:rFonts w:cs="Calibri"/>
                <w:szCs w:val="16"/>
              </w:rPr>
              <w:t>Synthetic nitrogen fertiliser (urea)</w:t>
            </w:r>
          </w:p>
        </w:tc>
        <w:tc>
          <w:tcPr>
            <w:tcW w:w="992" w:type="dxa"/>
            <w:tcBorders>
              <w:top w:val="single" w:sz="4" w:space="0" w:color="1B556B" w:themeColor="text2"/>
              <w:bottom w:val="single" w:sz="4" w:space="0" w:color="1B556B" w:themeColor="text2"/>
            </w:tcBorders>
          </w:tcPr>
          <w:p w14:paraId="4D13E390" w14:textId="77777777" w:rsidR="007523B8" w:rsidRPr="009E06AA" w:rsidRDefault="007523B8" w:rsidP="00B55F24">
            <w:pPr>
              <w:pStyle w:val="TableText"/>
              <w:keepNext/>
              <w:spacing w:before="50" w:after="50"/>
              <w:rPr>
                <w:rFonts w:cs="Calibri"/>
                <w:szCs w:val="16"/>
              </w:rPr>
            </w:pPr>
            <w:r w:rsidRPr="009E06AA">
              <w:rPr>
                <w:rFonts w:cs="Calibri"/>
                <w:szCs w:val="16"/>
              </w:rPr>
              <w:t>EF</w:t>
            </w:r>
            <w:r w:rsidRPr="009E06AA">
              <w:rPr>
                <w:rFonts w:cs="Calibri"/>
                <w:szCs w:val="16"/>
                <w:vertAlign w:val="subscript"/>
              </w:rPr>
              <w:t>1-UREA</w:t>
            </w:r>
          </w:p>
        </w:tc>
        <w:tc>
          <w:tcPr>
            <w:tcW w:w="709" w:type="dxa"/>
            <w:tcBorders>
              <w:top w:val="single" w:sz="4" w:space="0" w:color="1B556B" w:themeColor="text2"/>
              <w:bottom w:val="single" w:sz="4" w:space="0" w:color="1B556B" w:themeColor="text2"/>
            </w:tcBorders>
          </w:tcPr>
          <w:p w14:paraId="0F0DF5DD" w14:textId="77777777" w:rsidR="007523B8" w:rsidRPr="009E06AA" w:rsidRDefault="007523B8" w:rsidP="0011748D">
            <w:pPr>
              <w:pStyle w:val="TableText"/>
              <w:keepNext/>
              <w:spacing w:before="50" w:after="50"/>
              <w:jc w:val="right"/>
              <w:rPr>
                <w:rFonts w:cs="Calibri"/>
                <w:szCs w:val="16"/>
              </w:rPr>
            </w:pPr>
            <w:r w:rsidRPr="009E06AA">
              <w:rPr>
                <w:rFonts w:cs="Calibri"/>
                <w:szCs w:val="16"/>
              </w:rPr>
              <w:t>0.0059</w:t>
            </w:r>
          </w:p>
        </w:tc>
        <w:tc>
          <w:tcPr>
            <w:tcW w:w="1417" w:type="dxa"/>
            <w:tcBorders>
              <w:top w:val="single" w:sz="4" w:space="0" w:color="1B556B" w:themeColor="text2"/>
              <w:bottom w:val="single" w:sz="4" w:space="0" w:color="1B556B" w:themeColor="text2"/>
            </w:tcBorders>
            <w:tcMar>
              <w:right w:w="28" w:type="dxa"/>
            </w:tcMar>
          </w:tcPr>
          <w:p w14:paraId="259DDE01" w14:textId="77777777" w:rsidR="007523B8" w:rsidRPr="009E06AA" w:rsidRDefault="007523B8" w:rsidP="00B55F24">
            <w:pPr>
              <w:pStyle w:val="TableText"/>
              <w:keepNext/>
              <w:spacing w:before="50" w:after="50"/>
              <w:rPr>
                <w:rFonts w:cs="Calibri"/>
                <w:szCs w:val="16"/>
              </w:rPr>
            </w:pPr>
            <w:r w:rsidRPr="009E06AA">
              <w:rPr>
                <w:rFonts w:cs="Calibri"/>
                <w:szCs w:val="16"/>
              </w:rPr>
              <w:t>kg N</w:t>
            </w:r>
            <w:r w:rsidRPr="009E06AA">
              <w:rPr>
                <w:rFonts w:cs="Calibri"/>
                <w:szCs w:val="16"/>
                <w:vertAlign w:val="subscript"/>
              </w:rPr>
              <w:t>2</w:t>
            </w:r>
            <w:r w:rsidRPr="009E06AA">
              <w:rPr>
                <w:rFonts w:cs="Calibri"/>
                <w:szCs w:val="16"/>
              </w:rPr>
              <w:t>O-N/kg N</w:t>
            </w:r>
          </w:p>
        </w:tc>
        <w:tc>
          <w:tcPr>
            <w:tcW w:w="2183" w:type="dxa"/>
            <w:tcBorders>
              <w:top w:val="single" w:sz="4" w:space="0" w:color="1B556B" w:themeColor="text2"/>
              <w:bottom w:val="single" w:sz="4" w:space="0" w:color="1B556B" w:themeColor="text2"/>
            </w:tcBorders>
          </w:tcPr>
          <w:p w14:paraId="345A811D" w14:textId="77777777" w:rsidR="007523B8" w:rsidRPr="009E06AA" w:rsidRDefault="007523B8" w:rsidP="00B55F24">
            <w:pPr>
              <w:pStyle w:val="TableText"/>
              <w:keepNext/>
              <w:spacing w:before="50" w:after="50"/>
              <w:rPr>
                <w:rFonts w:cs="Calibri"/>
                <w:szCs w:val="16"/>
              </w:rPr>
            </w:pPr>
            <w:r w:rsidRPr="009E06AA">
              <w:rPr>
                <w:rFonts w:cs="Calibri"/>
                <w:szCs w:val="16"/>
              </w:rPr>
              <w:t>van der Weerden et al. (2016a, 2016b)</w:t>
            </w:r>
          </w:p>
        </w:tc>
      </w:tr>
      <w:tr w:rsidR="007523B8" w:rsidRPr="009E06AA" w14:paraId="695A7EBC" w14:textId="77777777" w:rsidTr="00B55F24">
        <w:tc>
          <w:tcPr>
            <w:tcW w:w="3261" w:type="dxa"/>
            <w:tcBorders>
              <w:top w:val="single" w:sz="4" w:space="0" w:color="1B556B" w:themeColor="text2"/>
              <w:bottom w:val="single" w:sz="4" w:space="0" w:color="1B556B" w:themeColor="text2"/>
            </w:tcBorders>
          </w:tcPr>
          <w:p w14:paraId="285AAFD3" w14:textId="77777777" w:rsidR="007523B8" w:rsidRPr="009E06AA" w:rsidRDefault="007523B8" w:rsidP="00B55F24">
            <w:pPr>
              <w:pStyle w:val="TableText"/>
              <w:spacing w:before="50" w:after="50"/>
              <w:rPr>
                <w:rFonts w:cs="Calibri"/>
                <w:szCs w:val="16"/>
              </w:rPr>
            </w:pPr>
            <w:r w:rsidRPr="009E06AA">
              <w:rPr>
                <w:rFonts w:cs="Calibri"/>
                <w:szCs w:val="16"/>
              </w:rPr>
              <w:t>Organic fertiliser (dairy cattle manure)</w:t>
            </w:r>
          </w:p>
        </w:tc>
        <w:tc>
          <w:tcPr>
            <w:tcW w:w="992" w:type="dxa"/>
            <w:tcBorders>
              <w:top w:val="single" w:sz="4" w:space="0" w:color="1B556B" w:themeColor="text2"/>
              <w:bottom w:val="single" w:sz="4" w:space="0" w:color="1B556B" w:themeColor="text2"/>
            </w:tcBorders>
          </w:tcPr>
          <w:p w14:paraId="3A18063F" w14:textId="77777777" w:rsidR="007523B8" w:rsidRPr="009E06AA" w:rsidRDefault="007523B8" w:rsidP="00B55F24">
            <w:pPr>
              <w:pStyle w:val="TableText"/>
              <w:keepNext/>
              <w:spacing w:before="50" w:after="50"/>
              <w:rPr>
                <w:rFonts w:cs="Calibri"/>
                <w:szCs w:val="16"/>
              </w:rPr>
            </w:pPr>
            <w:r w:rsidRPr="009E06AA">
              <w:rPr>
                <w:rFonts w:cs="Calibri"/>
                <w:szCs w:val="16"/>
              </w:rPr>
              <w:t>EF</w:t>
            </w:r>
            <w:r w:rsidRPr="009E06AA">
              <w:rPr>
                <w:rFonts w:cs="Calibri"/>
                <w:szCs w:val="16"/>
                <w:vertAlign w:val="subscript"/>
              </w:rPr>
              <w:t>1-DAIRY</w:t>
            </w:r>
          </w:p>
        </w:tc>
        <w:tc>
          <w:tcPr>
            <w:tcW w:w="709" w:type="dxa"/>
            <w:tcBorders>
              <w:top w:val="single" w:sz="4" w:space="0" w:color="1B556B" w:themeColor="text2"/>
              <w:bottom w:val="single" w:sz="4" w:space="0" w:color="1B556B" w:themeColor="text2"/>
            </w:tcBorders>
          </w:tcPr>
          <w:p w14:paraId="46B47B7F" w14:textId="77777777" w:rsidR="007523B8" w:rsidRPr="009E06AA" w:rsidRDefault="007523B8" w:rsidP="0011748D">
            <w:pPr>
              <w:pStyle w:val="TableText"/>
              <w:keepNext/>
              <w:spacing w:before="50" w:after="50"/>
              <w:jc w:val="right"/>
              <w:rPr>
                <w:rFonts w:cs="Calibri"/>
                <w:szCs w:val="16"/>
              </w:rPr>
            </w:pPr>
            <w:r w:rsidRPr="009E06AA">
              <w:rPr>
                <w:rFonts w:cs="Calibri"/>
                <w:szCs w:val="16"/>
              </w:rPr>
              <w:t>0.0025</w:t>
            </w:r>
          </w:p>
        </w:tc>
        <w:tc>
          <w:tcPr>
            <w:tcW w:w="1417" w:type="dxa"/>
            <w:tcBorders>
              <w:top w:val="single" w:sz="4" w:space="0" w:color="1B556B" w:themeColor="text2"/>
              <w:bottom w:val="single" w:sz="4" w:space="0" w:color="1B556B" w:themeColor="text2"/>
            </w:tcBorders>
            <w:tcMar>
              <w:right w:w="28" w:type="dxa"/>
            </w:tcMar>
          </w:tcPr>
          <w:p w14:paraId="14F2A476" w14:textId="77777777" w:rsidR="007523B8" w:rsidRPr="009E06AA" w:rsidRDefault="007523B8" w:rsidP="00B55F24">
            <w:pPr>
              <w:pStyle w:val="TableText"/>
              <w:keepNext/>
              <w:spacing w:before="50" w:after="50"/>
              <w:rPr>
                <w:rFonts w:cs="Calibri"/>
                <w:szCs w:val="16"/>
              </w:rPr>
            </w:pPr>
            <w:r w:rsidRPr="009E06AA">
              <w:rPr>
                <w:rFonts w:cs="Calibri"/>
                <w:szCs w:val="16"/>
              </w:rPr>
              <w:t>kg N</w:t>
            </w:r>
            <w:r w:rsidRPr="009E06AA">
              <w:rPr>
                <w:rFonts w:cs="Calibri"/>
                <w:szCs w:val="16"/>
                <w:vertAlign w:val="subscript"/>
              </w:rPr>
              <w:t>2</w:t>
            </w:r>
            <w:r w:rsidRPr="009E06AA">
              <w:rPr>
                <w:rFonts w:cs="Calibri"/>
                <w:szCs w:val="16"/>
              </w:rPr>
              <w:t>O-N/kg N</w:t>
            </w:r>
          </w:p>
        </w:tc>
        <w:tc>
          <w:tcPr>
            <w:tcW w:w="2183" w:type="dxa"/>
            <w:tcBorders>
              <w:top w:val="single" w:sz="4" w:space="0" w:color="1B556B" w:themeColor="text2"/>
              <w:bottom w:val="single" w:sz="4" w:space="0" w:color="1B556B" w:themeColor="text2"/>
            </w:tcBorders>
          </w:tcPr>
          <w:p w14:paraId="3B9BF6DE" w14:textId="77777777" w:rsidR="007523B8" w:rsidRPr="009E06AA" w:rsidRDefault="007523B8" w:rsidP="00B55F24">
            <w:pPr>
              <w:pStyle w:val="TableText"/>
              <w:keepNext/>
              <w:spacing w:before="50" w:after="50"/>
              <w:rPr>
                <w:rFonts w:cs="Calibri"/>
                <w:szCs w:val="16"/>
              </w:rPr>
            </w:pPr>
            <w:r w:rsidRPr="009E06AA">
              <w:rPr>
                <w:rFonts w:cs="Calibri"/>
                <w:szCs w:val="16"/>
              </w:rPr>
              <w:t>van der Weerden et al. (2016a, 2016b)</w:t>
            </w:r>
          </w:p>
        </w:tc>
      </w:tr>
      <w:tr w:rsidR="007523B8" w:rsidRPr="009E06AA" w14:paraId="303124F5" w14:textId="77777777" w:rsidTr="00B55F24">
        <w:tc>
          <w:tcPr>
            <w:tcW w:w="3261" w:type="dxa"/>
            <w:tcBorders>
              <w:top w:val="single" w:sz="4" w:space="0" w:color="1B556B" w:themeColor="text2"/>
              <w:bottom w:val="single" w:sz="4" w:space="0" w:color="1B556B" w:themeColor="text2"/>
            </w:tcBorders>
          </w:tcPr>
          <w:p w14:paraId="4FBCD534" w14:textId="77777777" w:rsidR="007523B8" w:rsidRPr="009E06AA" w:rsidRDefault="007523B8" w:rsidP="00B55F24">
            <w:pPr>
              <w:pStyle w:val="TableText"/>
              <w:spacing w:before="50" w:after="50"/>
              <w:rPr>
                <w:rFonts w:cs="Calibri"/>
                <w:szCs w:val="16"/>
              </w:rPr>
            </w:pPr>
            <w:r w:rsidRPr="009E06AA">
              <w:rPr>
                <w:rFonts w:cs="Calibri"/>
                <w:szCs w:val="16"/>
              </w:rPr>
              <w:t xml:space="preserve">Synthetic nitrogen fertiliser (other), organic fertiliser (swine and poultry manure) crop residue, nitrogen loss due to soil organic matter mineralisation, organic soil mineralisation due to cultivation </w:t>
            </w:r>
          </w:p>
        </w:tc>
        <w:tc>
          <w:tcPr>
            <w:tcW w:w="992" w:type="dxa"/>
            <w:tcBorders>
              <w:top w:val="single" w:sz="4" w:space="0" w:color="1B556B" w:themeColor="text2"/>
              <w:bottom w:val="single" w:sz="4" w:space="0" w:color="1B556B" w:themeColor="text2"/>
            </w:tcBorders>
          </w:tcPr>
          <w:p w14:paraId="1A4BFCBE" w14:textId="77777777" w:rsidR="007523B8" w:rsidRPr="009E06AA" w:rsidRDefault="007523B8" w:rsidP="00B55F24">
            <w:pPr>
              <w:pStyle w:val="TableText"/>
              <w:keepNext/>
              <w:spacing w:before="50" w:after="50"/>
              <w:rPr>
                <w:rFonts w:cs="Calibri"/>
                <w:szCs w:val="16"/>
              </w:rPr>
            </w:pPr>
            <w:r w:rsidRPr="009E06AA">
              <w:rPr>
                <w:rFonts w:cs="Calibri"/>
                <w:szCs w:val="16"/>
              </w:rPr>
              <w:t>EF</w:t>
            </w:r>
            <w:r w:rsidRPr="009E06AA">
              <w:rPr>
                <w:rFonts w:cs="Calibri"/>
                <w:szCs w:val="16"/>
                <w:vertAlign w:val="subscript"/>
              </w:rPr>
              <w:t>1</w:t>
            </w:r>
          </w:p>
        </w:tc>
        <w:tc>
          <w:tcPr>
            <w:tcW w:w="709" w:type="dxa"/>
            <w:tcBorders>
              <w:top w:val="single" w:sz="4" w:space="0" w:color="1B556B" w:themeColor="text2"/>
              <w:bottom w:val="single" w:sz="4" w:space="0" w:color="1B556B" w:themeColor="text2"/>
            </w:tcBorders>
          </w:tcPr>
          <w:p w14:paraId="702BB81F" w14:textId="77777777" w:rsidR="007523B8" w:rsidRPr="009E06AA" w:rsidRDefault="007523B8" w:rsidP="0011748D">
            <w:pPr>
              <w:pStyle w:val="TableText"/>
              <w:keepNext/>
              <w:spacing w:before="50" w:after="50"/>
              <w:jc w:val="right"/>
              <w:rPr>
                <w:rFonts w:cs="Calibri"/>
                <w:szCs w:val="16"/>
              </w:rPr>
            </w:pPr>
            <w:r w:rsidRPr="009E06AA">
              <w:rPr>
                <w:rFonts w:cs="Calibri"/>
                <w:szCs w:val="16"/>
              </w:rPr>
              <w:t xml:space="preserve">0.01 </w:t>
            </w:r>
          </w:p>
        </w:tc>
        <w:tc>
          <w:tcPr>
            <w:tcW w:w="1417" w:type="dxa"/>
            <w:tcBorders>
              <w:top w:val="single" w:sz="4" w:space="0" w:color="1B556B" w:themeColor="text2"/>
              <w:bottom w:val="single" w:sz="4" w:space="0" w:color="1B556B" w:themeColor="text2"/>
            </w:tcBorders>
            <w:tcMar>
              <w:right w:w="28" w:type="dxa"/>
            </w:tcMar>
          </w:tcPr>
          <w:p w14:paraId="584378D1" w14:textId="77777777" w:rsidR="007523B8" w:rsidRPr="009E06AA" w:rsidRDefault="007523B8" w:rsidP="00B55F24">
            <w:pPr>
              <w:pStyle w:val="TableText"/>
              <w:keepNext/>
              <w:spacing w:before="50" w:after="50"/>
              <w:rPr>
                <w:rFonts w:cs="Calibri"/>
                <w:szCs w:val="16"/>
              </w:rPr>
            </w:pPr>
            <w:r w:rsidRPr="009E06AA">
              <w:rPr>
                <w:rFonts w:cs="Calibri"/>
                <w:szCs w:val="16"/>
              </w:rPr>
              <w:t>kg N</w:t>
            </w:r>
            <w:r w:rsidRPr="009E06AA">
              <w:rPr>
                <w:rFonts w:cs="Calibri"/>
                <w:szCs w:val="16"/>
                <w:vertAlign w:val="subscript"/>
              </w:rPr>
              <w:t>2</w:t>
            </w:r>
            <w:r w:rsidRPr="009E06AA">
              <w:rPr>
                <w:rFonts w:cs="Calibri"/>
                <w:szCs w:val="16"/>
              </w:rPr>
              <w:t>O-N/kg N</w:t>
            </w:r>
          </w:p>
        </w:tc>
        <w:tc>
          <w:tcPr>
            <w:tcW w:w="2183" w:type="dxa"/>
            <w:tcBorders>
              <w:top w:val="single" w:sz="4" w:space="0" w:color="1B556B" w:themeColor="text2"/>
              <w:bottom w:val="single" w:sz="4" w:space="0" w:color="1B556B" w:themeColor="text2"/>
            </w:tcBorders>
          </w:tcPr>
          <w:p w14:paraId="2F7ED7FF" w14:textId="77777777" w:rsidR="007523B8" w:rsidRPr="009E06AA" w:rsidRDefault="007523B8" w:rsidP="00B55F24">
            <w:pPr>
              <w:pStyle w:val="TableText"/>
              <w:keepNext/>
              <w:spacing w:before="50" w:after="50"/>
              <w:rPr>
                <w:rFonts w:cs="Calibri"/>
                <w:szCs w:val="16"/>
              </w:rPr>
            </w:pPr>
            <w:r w:rsidRPr="009E06AA">
              <w:rPr>
                <w:rFonts w:cs="Calibri"/>
                <w:szCs w:val="16"/>
              </w:rPr>
              <w:t xml:space="preserve">IPCC (2006, table 11.1); Kelliher and de Klein (unpublished) </w:t>
            </w:r>
          </w:p>
        </w:tc>
      </w:tr>
      <w:tr w:rsidR="007523B8" w:rsidRPr="009E06AA" w14:paraId="4E4819B9" w14:textId="77777777" w:rsidTr="00B55F24">
        <w:tc>
          <w:tcPr>
            <w:tcW w:w="3261" w:type="dxa"/>
            <w:tcBorders>
              <w:top w:val="single" w:sz="4" w:space="0" w:color="1B556B" w:themeColor="text2"/>
              <w:bottom w:val="single" w:sz="4" w:space="0" w:color="1B556B" w:themeColor="text2"/>
            </w:tcBorders>
          </w:tcPr>
          <w:p w14:paraId="6863A43E" w14:textId="77777777" w:rsidR="007523B8" w:rsidRPr="009E06AA" w:rsidRDefault="007523B8" w:rsidP="00B55F24">
            <w:pPr>
              <w:pStyle w:val="TableText"/>
              <w:spacing w:before="50" w:after="50"/>
              <w:rPr>
                <w:rFonts w:cs="Calibri"/>
                <w:szCs w:val="16"/>
              </w:rPr>
            </w:pPr>
            <w:r w:rsidRPr="009E06AA">
              <w:rPr>
                <w:rFonts w:cs="Calibri"/>
                <w:szCs w:val="16"/>
              </w:rPr>
              <w:t>Cultivation of organic soils</w:t>
            </w:r>
          </w:p>
        </w:tc>
        <w:tc>
          <w:tcPr>
            <w:tcW w:w="992" w:type="dxa"/>
            <w:tcBorders>
              <w:top w:val="single" w:sz="4" w:space="0" w:color="1B556B" w:themeColor="text2"/>
              <w:bottom w:val="single" w:sz="4" w:space="0" w:color="1B556B" w:themeColor="text2"/>
            </w:tcBorders>
          </w:tcPr>
          <w:p w14:paraId="51A0C52D" w14:textId="77777777" w:rsidR="007523B8" w:rsidRPr="009E06AA" w:rsidRDefault="007523B8" w:rsidP="00B55F24">
            <w:pPr>
              <w:pStyle w:val="TableText"/>
              <w:spacing w:before="50" w:after="50"/>
              <w:rPr>
                <w:rFonts w:cs="Calibri"/>
                <w:szCs w:val="16"/>
              </w:rPr>
            </w:pPr>
            <w:r w:rsidRPr="009E06AA">
              <w:rPr>
                <w:rFonts w:cs="Calibri"/>
                <w:szCs w:val="16"/>
              </w:rPr>
              <w:t>EF</w:t>
            </w:r>
            <w:r w:rsidRPr="009E06AA">
              <w:rPr>
                <w:rFonts w:cs="Calibri"/>
                <w:szCs w:val="16"/>
                <w:vertAlign w:val="subscript"/>
              </w:rPr>
              <w:t>2</w:t>
            </w:r>
          </w:p>
        </w:tc>
        <w:tc>
          <w:tcPr>
            <w:tcW w:w="709" w:type="dxa"/>
            <w:tcBorders>
              <w:top w:val="single" w:sz="4" w:space="0" w:color="1B556B" w:themeColor="text2"/>
              <w:bottom w:val="single" w:sz="4" w:space="0" w:color="1B556B" w:themeColor="text2"/>
            </w:tcBorders>
          </w:tcPr>
          <w:p w14:paraId="1FB92358" w14:textId="77777777" w:rsidR="007523B8" w:rsidRPr="009E06AA" w:rsidRDefault="007523B8" w:rsidP="0011748D">
            <w:pPr>
              <w:pStyle w:val="TableText"/>
              <w:spacing w:before="50" w:after="50"/>
              <w:jc w:val="right"/>
              <w:rPr>
                <w:rFonts w:cs="Calibri"/>
                <w:szCs w:val="16"/>
              </w:rPr>
            </w:pPr>
            <w:r w:rsidRPr="009E06AA">
              <w:rPr>
                <w:rFonts w:cs="Calibri"/>
                <w:szCs w:val="16"/>
              </w:rPr>
              <w:t xml:space="preserve">8.0 </w:t>
            </w:r>
          </w:p>
        </w:tc>
        <w:tc>
          <w:tcPr>
            <w:tcW w:w="1417" w:type="dxa"/>
            <w:tcBorders>
              <w:top w:val="single" w:sz="4" w:space="0" w:color="1B556B" w:themeColor="text2"/>
              <w:bottom w:val="single" w:sz="4" w:space="0" w:color="1B556B" w:themeColor="text2"/>
            </w:tcBorders>
            <w:tcMar>
              <w:right w:w="28" w:type="dxa"/>
            </w:tcMar>
          </w:tcPr>
          <w:p w14:paraId="1C8DB233" w14:textId="77777777" w:rsidR="007523B8" w:rsidRPr="009E06AA" w:rsidRDefault="007523B8" w:rsidP="00B55F24">
            <w:pPr>
              <w:pStyle w:val="TableText"/>
              <w:spacing w:before="50" w:after="50"/>
              <w:rPr>
                <w:rFonts w:cs="Calibri"/>
                <w:szCs w:val="16"/>
              </w:rPr>
            </w:pPr>
            <w:r w:rsidRPr="009E06AA">
              <w:rPr>
                <w:rFonts w:cs="Calibri"/>
                <w:szCs w:val="16"/>
              </w:rPr>
              <w:t>kg N</w:t>
            </w:r>
            <w:r w:rsidRPr="009E06AA">
              <w:rPr>
                <w:rFonts w:cs="Calibri"/>
                <w:szCs w:val="16"/>
                <w:vertAlign w:val="subscript"/>
              </w:rPr>
              <w:t>2</w:t>
            </w:r>
            <w:r w:rsidRPr="009E06AA">
              <w:rPr>
                <w:rFonts w:cs="Calibri"/>
                <w:szCs w:val="16"/>
              </w:rPr>
              <w:t>O-N/ha/kg N</w:t>
            </w:r>
          </w:p>
        </w:tc>
        <w:tc>
          <w:tcPr>
            <w:tcW w:w="2183" w:type="dxa"/>
            <w:tcBorders>
              <w:top w:val="single" w:sz="4" w:space="0" w:color="1B556B" w:themeColor="text2"/>
              <w:bottom w:val="single" w:sz="4" w:space="0" w:color="1B556B" w:themeColor="text2"/>
            </w:tcBorders>
          </w:tcPr>
          <w:p w14:paraId="02FA1018" w14:textId="77777777" w:rsidR="007523B8" w:rsidRPr="009E06AA" w:rsidRDefault="007523B8" w:rsidP="00B55F24">
            <w:pPr>
              <w:pStyle w:val="TableText"/>
              <w:spacing w:before="50" w:after="50"/>
              <w:rPr>
                <w:rFonts w:cs="Calibri"/>
                <w:szCs w:val="16"/>
              </w:rPr>
            </w:pPr>
            <w:r w:rsidRPr="009E06AA">
              <w:rPr>
                <w:rFonts w:cs="Calibri"/>
                <w:szCs w:val="16"/>
              </w:rPr>
              <w:t>IPCC (2006, table 11.1)</w:t>
            </w:r>
          </w:p>
        </w:tc>
      </w:tr>
      <w:tr w:rsidR="007523B8" w:rsidRPr="009E06AA" w14:paraId="7AF5EA4F" w14:textId="77777777" w:rsidTr="00B55F24">
        <w:trPr>
          <w:trHeight w:val="605"/>
        </w:trPr>
        <w:tc>
          <w:tcPr>
            <w:tcW w:w="3261" w:type="dxa"/>
            <w:tcBorders>
              <w:top w:val="single" w:sz="4" w:space="0" w:color="1B556B" w:themeColor="text2"/>
              <w:bottom w:val="single" w:sz="4" w:space="0" w:color="1B556B" w:themeColor="text2"/>
            </w:tcBorders>
          </w:tcPr>
          <w:p w14:paraId="3F0FA01B" w14:textId="77777777" w:rsidR="007523B8" w:rsidRPr="009E06AA" w:rsidRDefault="007523B8" w:rsidP="00B55F24">
            <w:pPr>
              <w:pStyle w:val="TableText"/>
              <w:spacing w:before="50" w:after="50"/>
              <w:rPr>
                <w:rFonts w:cs="Calibri"/>
                <w:szCs w:val="16"/>
              </w:rPr>
            </w:pPr>
            <w:r w:rsidRPr="009E06AA">
              <w:rPr>
                <w:rFonts w:cs="Calibri"/>
                <w:szCs w:val="16"/>
              </w:rPr>
              <w:t xml:space="preserve">Manure (dung and urine) from minor grazing animals (i.e., </w:t>
            </w:r>
            <w:r w:rsidRPr="009E06AA">
              <w:rPr>
                <w:rFonts w:cs="Calibri"/>
                <w:i/>
                <w:szCs w:val="16"/>
              </w:rPr>
              <w:t>excluding</w:t>
            </w:r>
            <w:r w:rsidRPr="009E06AA">
              <w:rPr>
                <w:rFonts w:cs="Calibri"/>
                <w:szCs w:val="16"/>
              </w:rPr>
              <w:t xml:space="preserve"> cattle, sheep and deer) in pasture, range and paddock systems</w:t>
            </w:r>
          </w:p>
        </w:tc>
        <w:tc>
          <w:tcPr>
            <w:tcW w:w="992" w:type="dxa"/>
            <w:tcBorders>
              <w:top w:val="single" w:sz="4" w:space="0" w:color="1B556B" w:themeColor="text2"/>
              <w:bottom w:val="single" w:sz="4" w:space="0" w:color="1B556B" w:themeColor="text2"/>
            </w:tcBorders>
          </w:tcPr>
          <w:p w14:paraId="557E0ABE" w14:textId="77777777" w:rsidR="007523B8" w:rsidRPr="009E06AA" w:rsidRDefault="007523B8" w:rsidP="00B55F24">
            <w:pPr>
              <w:pStyle w:val="TableText"/>
              <w:spacing w:before="50" w:after="50"/>
              <w:rPr>
                <w:rFonts w:cs="Calibri"/>
                <w:szCs w:val="16"/>
              </w:rPr>
            </w:pPr>
            <w:r w:rsidRPr="009E06AA">
              <w:rPr>
                <w:rFonts w:cs="Calibri"/>
                <w:szCs w:val="16"/>
              </w:rPr>
              <w:t>EF</w:t>
            </w:r>
            <w:r w:rsidRPr="009E06AA">
              <w:rPr>
                <w:rFonts w:cs="Calibri"/>
                <w:szCs w:val="16"/>
                <w:vertAlign w:val="subscript"/>
              </w:rPr>
              <w:t>3,PRP-MINOR</w:t>
            </w:r>
          </w:p>
        </w:tc>
        <w:tc>
          <w:tcPr>
            <w:tcW w:w="709" w:type="dxa"/>
            <w:tcBorders>
              <w:top w:val="single" w:sz="4" w:space="0" w:color="1B556B" w:themeColor="text2"/>
              <w:bottom w:val="single" w:sz="4" w:space="0" w:color="1B556B" w:themeColor="text2"/>
            </w:tcBorders>
          </w:tcPr>
          <w:p w14:paraId="5F6EFA2E" w14:textId="77777777" w:rsidR="007523B8" w:rsidRPr="009E06AA" w:rsidRDefault="007523B8" w:rsidP="0011748D">
            <w:pPr>
              <w:pStyle w:val="TableText"/>
              <w:spacing w:before="50" w:after="50"/>
              <w:jc w:val="right"/>
              <w:rPr>
                <w:rFonts w:cs="Calibri"/>
                <w:szCs w:val="16"/>
              </w:rPr>
            </w:pPr>
            <w:r w:rsidRPr="009E06AA">
              <w:rPr>
                <w:rFonts w:cs="Calibri"/>
                <w:szCs w:val="16"/>
              </w:rPr>
              <w:t>0.01</w:t>
            </w:r>
          </w:p>
        </w:tc>
        <w:tc>
          <w:tcPr>
            <w:tcW w:w="1417" w:type="dxa"/>
            <w:tcBorders>
              <w:top w:val="single" w:sz="4" w:space="0" w:color="1B556B" w:themeColor="text2"/>
              <w:bottom w:val="single" w:sz="4" w:space="0" w:color="1B556B" w:themeColor="text2"/>
            </w:tcBorders>
            <w:tcMar>
              <w:right w:w="28" w:type="dxa"/>
            </w:tcMar>
          </w:tcPr>
          <w:p w14:paraId="3F80AAC6" w14:textId="77777777" w:rsidR="007523B8" w:rsidRPr="009E06AA" w:rsidRDefault="007523B8" w:rsidP="00B55F24">
            <w:pPr>
              <w:pStyle w:val="TableText"/>
              <w:spacing w:before="50" w:after="50"/>
              <w:rPr>
                <w:rFonts w:cs="Calibri"/>
                <w:szCs w:val="16"/>
              </w:rPr>
            </w:pPr>
            <w:r w:rsidRPr="009E06AA">
              <w:rPr>
                <w:rFonts w:cs="Calibri"/>
                <w:szCs w:val="16"/>
              </w:rPr>
              <w:t>kg N</w:t>
            </w:r>
            <w:r w:rsidRPr="009E06AA">
              <w:rPr>
                <w:rFonts w:cs="Calibri"/>
                <w:szCs w:val="16"/>
                <w:vertAlign w:val="subscript"/>
              </w:rPr>
              <w:t>2</w:t>
            </w:r>
            <w:r w:rsidRPr="009E06AA">
              <w:rPr>
                <w:rFonts w:cs="Calibri"/>
                <w:szCs w:val="16"/>
              </w:rPr>
              <w:t>O-N/kg N</w:t>
            </w:r>
          </w:p>
        </w:tc>
        <w:tc>
          <w:tcPr>
            <w:tcW w:w="2183" w:type="dxa"/>
            <w:tcBorders>
              <w:top w:val="single" w:sz="4" w:space="0" w:color="1B556B" w:themeColor="text2"/>
              <w:bottom w:val="single" w:sz="4" w:space="0" w:color="1B556B" w:themeColor="text2"/>
            </w:tcBorders>
          </w:tcPr>
          <w:p w14:paraId="462455A1" w14:textId="77777777" w:rsidR="007523B8" w:rsidRPr="009E06AA" w:rsidRDefault="007523B8" w:rsidP="00B55F24">
            <w:pPr>
              <w:pStyle w:val="TableText"/>
              <w:spacing w:before="50" w:after="50"/>
            </w:pPr>
            <w:r w:rsidRPr="009E06AA">
              <w:t xml:space="preserve">Carran et al. (1995); de Klein et al. (2003); </w:t>
            </w:r>
            <w:r w:rsidRPr="009E06AA">
              <w:rPr>
                <w:rFonts w:cs="Calibri"/>
                <w:szCs w:val="16"/>
              </w:rPr>
              <w:t>IPCC (2006, table 11.1);</w:t>
            </w:r>
            <w:r w:rsidRPr="009E06AA">
              <w:t xml:space="preserve"> Muller et al. (1995)</w:t>
            </w:r>
          </w:p>
        </w:tc>
      </w:tr>
      <w:tr w:rsidR="007523B8" w:rsidRPr="009E06AA" w14:paraId="08258115" w14:textId="77777777" w:rsidTr="00B55F24">
        <w:tc>
          <w:tcPr>
            <w:tcW w:w="3261" w:type="dxa"/>
            <w:tcBorders>
              <w:top w:val="single" w:sz="4" w:space="0" w:color="1B556B" w:themeColor="text2"/>
              <w:bottom w:val="single" w:sz="4" w:space="0" w:color="1B556B" w:themeColor="text2"/>
            </w:tcBorders>
          </w:tcPr>
          <w:p w14:paraId="472ADD52" w14:textId="77777777" w:rsidR="007523B8" w:rsidRPr="009E06AA" w:rsidRDefault="007523B8" w:rsidP="00B55F24">
            <w:pPr>
              <w:pStyle w:val="TableText"/>
              <w:spacing w:before="50" w:after="50"/>
              <w:rPr>
                <w:rFonts w:cs="Calibri"/>
                <w:szCs w:val="16"/>
              </w:rPr>
            </w:pPr>
            <w:r w:rsidRPr="009E06AA">
              <w:rPr>
                <w:rFonts w:cs="Calibri"/>
                <w:szCs w:val="16"/>
              </w:rPr>
              <w:t xml:space="preserve">Dung from grazing cattle, sheep and deer in pasture, range and paddock systems </w:t>
            </w:r>
          </w:p>
        </w:tc>
        <w:tc>
          <w:tcPr>
            <w:tcW w:w="992" w:type="dxa"/>
            <w:tcBorders>
              <w:top w:val="single" w:sz="4" w:space="0" w:color="1B556B" w:themeColor="text2"/>
              <w:bottom w:val="single" w:sz="4" w:space="0" w:color="1B556B" w:themeColor="text2"/>
            </w:tcBorders>
          </w:tcPr>
          <w:p w14:paraId="5279801C" w14:textId="77777777" w:rsidR="007523B8" w:rsidRPr="009E06AA" w:rsidRDefault="007523B8" w:rsidP="00B55F24">
            <w:pPr>
              <w:pStyle w:val="TableText"/>
              <w:spacing w:before="50" w:after="50"/>
              <w:rPr>
                <w:rFonts w:cs="Calibri"/>
                <w:szCs w:val="16"/>
              </w:rPr>
            </w:pPr>
            <w:r w:rsidRPr="009E06AA">
              <w:rPr>
                <w:rFonts w:cs="Calibri"/>
                <w:szCs w:val="16"/>
              </w:rPr>
              <w:t>EF</w:t>
            </w:r>
            <w:r w:rsidRPr="009E06AA">
              <w:rPr>
                <w:rFonts w:cs="Calibri"/>
                <w:szCs w:val="16"/>
                <w:vertAlign w:val="subscript"/>
              </w:rPr>
              <w:t>3,PRP-DUNG</w:t>
            </w:r>
          </w:p>
        </w:tc>
        <w:tc>
          <w:tcPr>
            <w:tcW w:w="709" w:type="dxa"/>
            <w:tcBorders>
              <w:top w:val="single" w:sz="4" w:space="0" w:color="1B556B" w:themeColor="text2"/>
              <w:bottom w:val="single" w:sz="4" w:space="0" w:color="1B556B" w:themeColor="text2"/>
            </w:tcBorders>
          </w:tcPr>
          <w:p w14:paraId="1A348C8A" w14:textId="77777777" w:rsidR="007523B8" w:rsidRPr="009E06AA" w:rsidRDefault="007523B8" w:rsidP="0011748D">
            <w:pPr>
              <w:pStyle w:val="TableText"/>
              <w:spacing w:before="50" w:after="50"/>
              <w:jc w:val="right"/>
              <w:rPr>
                <w:rFonts w:cs="Calibri"/>
                <w:szCs w:val="16"/>
              </w:rPr>
            </w:pPr>
            <w:r w:rsidRPr="009E06AA">
              <w:rPr>
                <w:rFonts w:cs="Calibri"/>
                <w:szCs w:val="16"/>
              </w:rPr>
              <w:t>0.0012</w:t>
            </w:r>
          </w:p>
        </w:tc>
        <w:tc>
          <w:tcPr>
            <w:tcW w:w="1417" w:type="dxa"/>
            <w:tcBorders>
              <w:top w:val="single" w:sz="4" w:space="0" w:color="1B556B" w:themeColor="text2"/>
              <w:bottom w:val="single" w:sz="4" w:space="0" w:color="1B556B" w:themeColor="text2"/>
            </w:tcBorders>
            <w:tcMar>
              <w:right w:w="28" w:type="dxa"/>
            </w:tcMar>
          </w:tcPr>
          <w:p w14:paraId="6D003FDB" w14:textId="77777777" w:rsidR="007523B8" w:rsidRPr="009E06AA" w:rsidRDefault="007523B8" w:rsidP="00B55F24">
            <w:pPr>
              <w:pStyle w:val="TableText"/>
              <w:spacing w:before="50" w:after="50"/>
              <w:rPr>
                <w:rFonts w:cs="Calibri"/>
                <w:szCs w:val="16"/>
              </w:rPr>
            </w:pPr>
            <w:r w:rsidRPr="009E06AA">
              <w:rPr>
                <w:rFonts w:cs="Calibri"/>
                <w:szCs w:val="16"/>
              </w:rPr>
              <w:t>kg N</w:t>
            </w:r>
            <w:r w:rsidRPr="009E06AA">
              <w:rPr>
                <w:rFonts w:cs="Calibri"/>
                <w:szCs w:val="16"/>
                <w:vertAlign w:val="subscript"/>
              </w:rPr>
              <w:t>2</w:t>
            </w:r>
            <w:r w:rsidRPr="009E06AA">
              <w:rPr>
                <w:rFonts w:cs="Calibri"/>
                <w:szCs w:val="16"/>
              </w:rPr>
              <w:t>O-N/kg N</w:t>
            </w:r>
          </w:p>
        </w:tc>
        <w:tc>
          <w:tcPr>
            <w:tcW w:w="2183" w:type="dxa"/>
            <w:tcBorders>
              <w:top w:val="single" w:sz="4" w:space="0" w:color="1B556B" w:themeColor="text2"/>
              <w:bottom w:val="single" w:sz="4" w:space="0" w:color="1B556B" w:themeColor="text2"/>
            </w:tcBorders>
          </w:tcPr>
          <w:p w14:paraId="3D9E9777" w14:textId="77777777" w:rsidR="007523B8" w:rsidRPr="009E06AA" w:rsidRDefault="007523B8" w:rsidP="00B55F24">
            <w:pPr>
              <w:pStyle w:val="TableText"/>
              <w:spacing w:before="50" w:after="50"/>
              <w:rPr>
                <w:rFonts w:cs="Calibri"/>
                <w:szCs w:val="16"/>
              </w:rPr>
            </w:pPr>
            <w:r w:rsidRPr="009E06AA">
              <w:rPr>
                <w:rFonts w:cs="Calibri"/>
                <w:szCs w:val="16"/>
              </w:rPr>
              <w:t>van der Weerden et al. (2019, 2020)</w:t>
            </w:r>
          </w:p>
        </w:tc>
      </w:tr>
      <w:tr w:rsidR="007523B8" w:rsidRPr="009E06AA" w14:paraId="1EA99C21" w14:textId="77777777" w:rsidTr="00B55F24">
        <w:tc>
          <w:tcPr>
            <w:tcW w:w="0" w:type="auto"/>
            <w:gridSpan w:val="5"/>
            <w:tcBorders>
              <w:top w:val="single" w:sz="4" w:space="0" w:color="1B556B" w:themeColor="text2"/>
              <w:bottom w:val="single" w:sz="4" w:space="0" w:color="1B556B" w:themeColor="text2"/>
            </w:tcBorders>
            <w:tcMar>
              <w:right w:w="28" w:type="dxa"/>
            </w:tcMar>
          </w:tcPr>
          <w:p w14:paraId="21D5B5BB" w14:textId="77777777" w:rsidR="007523B8" w:rsidRPr="009E06AA" w:rsidRDefault="007523B8" w:rsidP="0011748D">
            <w:pPr>
              <w:pStyle w:val="TableText"/>
              <w:spacing w:before="50" w:after="50"/>
              <w:jc w:val="right"/>
              <w:rPr>
                <w:rFonts w:cs="Calibri"/>
                <w:b/>
                <w:bCs/>
                <w:szCs w:val="16"/>
              </w:rPr>
            </w:pPr>
            <w:r w:rsidRPr="009E06AA">
              <w:rPr>
                <w:rFonts w:cs="Calibri"/>
                <w:b/>
                <w:bCs/>
                <w:szCs w:val="16"/>
              </w:rPr>
              <w:t>3.D.2 Indirect N</w:t>
            </w:r>
            <w:r w:rsidRPr="009E06AA">
              <w:rPr>
                <w:rFonts w:cs="Calibri"/>
                <w:b/>
                <w:bCs/>
                <w:szCs w:val="16"/>
                <w:vertAlign w:val="subscript"/>
              </w:rPr>
              <w:t>2</w:t>
            </w:r>
            <w:r w:rsidRPr="009E06AA">
              <w:rPr>
                <w:rFonts w:cs="Calibri"/>
                <w:b/>
                <w:bCs/>
                <w:szCs w:val="16"/>
              </w:rPr>
              <w:t>O emissions</w:t>
            </w:r>
          </w:p>
        </w:tc>
      </w:tr>
      <w:tr w:rsidR="007523B8" w:rsidRPr="009E06AA" w14:paraId="002E21F4" w14:textId="77777777" w:rsidTr="00B55F24">
        <w:tc>
          <w:tcPr>
            <w:tcW w:w="3261" w:type="dxa"/>
            <w:tcBorders>
              <w:top w:val="single" w:sz="4" w:space="0" w:color="1B556B" w:themeColor="text2"/>
              <w:bottom w:val="single" w:sz="4" w:space="0" w:color="1B556B" w:themeColor="text2"/>
            </w:tcBorders>
          </w:tcPr>
          <w:p w14:paraId="6BD7659E" w14:textId="77777777" w:rsidR="007523B8" w:rsidRPr="009E06AA" w:rsidRDefault="007523B8" w:rsidP="00B55F24">
            <w:pPr>
              <w:pStyle w:val="TableText"/>
              <w:spacing w:before="50" w:after="50"/>
              <w:rPr>
                <w:rFonts w:cs="Calibri"/>
                <w:szCs w:val="16"/>
              </w:rPr>
            </w:pPr>
            <w:r w:rsidRPr="009E06AA">
              <w:rPr>
                <w:rFonts w:cs="Calibri"/>
                <w:szCs w:val="16"/>
              </w:rPr>
              <w:t>Volatilisation</w:t>
            </w:r>
          </w:p>
        </w:tc>
        <w:tc>
          <w:tcPr>
            <w:tcW w:w="992" w:type="dxa"/>
            <w:tcBorders>
              <w:top w:val="single" w:sz="4" w:space="0" w:color="1B556B" w:themeColor="text2"/>
              <w:bottom w:val="single" w:sz="4" w:space="0" w:color="1B556B" w:themeColor="text2"/>
            </w:tcBorders>
          </w:tcPr>
          <w:p w14:paraId="4162511D" w14:textId="77777777" w:rsidR="007523B8" w:rsidRPr="009E06AA" w:rsidRDefault="007523B8" w:rsidP="00B55F24">
            <w:pPr>
              <w:pStyle w:val="TableText"/>
              <w:spacing w:before="50" w:after="50"/>
              <w:rPr>
                <w:rFonts w:cs="Calibri"/>
                <w:szCs w:val="16"/>
              </w:rPr>
            </w:pPr>
            <w:r w:rsidRPr="009E06AA">
              <w:rPr>
                <w:rFonts w:cs="Calibri"/>
                <w:szCs w:val="16"/>
              </w:rPr>
              <w:t>EF</w:t>
            </w:r>
            <w:r w:rsidRPr="009E06AA">
              <w:rPr>
                <w:rFonts w:cs="Calibri"/>
                <w:szCs w:val="16"/>
                <w:vertAlign w:val="subscript"/>
              </w:rPr>
              <w:t>4</w:t>
            </w:r>
          </w:p>
        </w:tc>
        <w:tc>
          <w:tcPr>
            <w:tcW w:w="709" w:type="dxa"/>
            <w:tcBorders>
              <w:top w:val="single" w:sz="4" w:space="0" w:color="1B556B" w:themeColor="text2"/>
              <w:bottom w:val="single" w:sz="4" w:space="0" w:color="1B556B" w:themeColor="text2"/>
            </w:tcBorders>
          </w:tcPr>
          <w:p w14:paraId="73CEA2F8" w14:textId="77777777" w:rsidR="007523B8" w:rsidRPr="009E06AA" w:rsidRDefault="007523B8" w:rsidP="0011748D">
            <w:pPr>
              <w:pStyle w:val="TableText"/>
              <w:spacing w:before="50" w:after="50"/>
              <w:jc w:val="right"/>
              <w:rPr>
                <w:rFonts w:cs="Calibri"/>
                <w:szCs w:val="16"/>
              </w:rPr>
            </w:pPr>
            <w:r w:rsidRPr="009E06AA">
              <w:rPr>
                <w:rFonts w:cs="Calibri"/>
                <w:szCs w:val="16"/>
              </w:rPr>
              <w:t xml:space="preserve">0.010 </w:t>
            </w:r>
          </w:p>
        </w:tc>
        <w:tc>
          <w:tcPr>
            <w:tcW w:w="1417" w:type="dxa"/>
            <w:tcBorders>
              <w:top w:val="single" w:sz="4" w:space="0" w:color="1B556B" w:themeColor="text2"/>
              <w:bottom w:val="single" w:sz="4" w:space="0" w:color="1B556B" w:themeColor="text2"/>
            </w:tcBorders>
            <w:tcMar>
              <w:right w:w="28" w:type="dxa"/>
            </w:tcMar>
          </w:tcPr>
          <w:p w14:paraId="594EF157" w14:textId="77777777" w:rsidR="007523B8" w:rsidRPr="009E06AA" w:rsidRDefault="007523B8" w:rsidP="00B55F24">
            <w:pPr>
              <w:pStyle w:val="TableText"/>
              <w:spacing w:before="50" w:after="50"/>
              <w:rPr>
                <w:rFonts w:cs="Calibri"/>
                <w:szCs w:val="16"/>
              </w:rPr>
            </w:pPr>
            <w:r w:rsidRPr="009E06AA">
              <w:rPr>
                <w:rFonts w:cs="Calibri"/>
                <w:szCs w:val="16"/>
              </w:rPr>
              <w:t>kg N</w:t>
            </w:r>
            <w:r w:rsidRPr="009E06AA">
              <w:rPr>
                <w:rFonts w:cs="Calibri"/>
                <w:szCs w:val="16"/>
                <w:vertAlign w:val="subscript"/>
              </w:rPr>
              <w:t>2</w:t>
            </w:r>
            <w:r w:rsidRPr="009E06AA">
              <w:rPr>
                <w:rFonts w:cs="Calibri"/>
                <w:szCs w:val="16"/>
              </w:rPr>
              <w:t>O-N/kg N</w:t>
            </w:r>
          </w:p>
        </w:tc>
        <w:tc>
          <w:tcPr>
            <w:tcW w:w="2183" w:type="dxa"/>
            <w:tcBorders>
              <w:top w:val="single" w:sz="4" w:space="0" w:color="1B556B" w:themeColor="text2"/>
              <w:bottom w:val="single" w:sz="4" w:space="0" w:color="1B556B" w:themeColor="text2"/>
            </w:tcBorders>
          </w:tcPr>
          <w:p w14:paraId="448D6A27" w14:textId="77777777" w:rsidR="007523B8" w:rsidRPr="009E06AA" w:rsidRDefault="007523B8" w:rsidP="00B55F24">
            <w:pPr>
              <w:pStyle w:val="TableText"/>
              <w:spacing w:before="50" w:after="50"/>
              <w:rPr>
                <w:rFonts w:cs="Calibri"/>
                <w:szCs w:val="16"/>
              </w:rPr>
            </w:pPr>
            <w:r w:rsidRPr="009E06AA">
              <w:rPr>
                <w:rFonts w:cs="Calibri"/>
                <w:szCs w:val="16"/>
              </w:rPr>
              <w:t>IPCC (2006, table 11.3)</w:t>
            </w:r>
          </w:p>
        </w:tc>
      </w:tr>
      <w:tr w:rsidR="007523B8" w:rsidRPr="009E06AA" w14:paraId="32D3B86E" w14:textId="77777777" w:rsidTr="00B55F24">
        <w:tc>
          <w:tcPr>
            <w:tcW w:w="3261" w:type="dxa"/>
            <w:tcBorders>
              <w:top w:val="single" w:sz="4" w:space="0" w:color="1B556B" w:themeColor="text2"/>
              <w:bottom w:val="single" w:sz="4" w:space="0" w:color="1B556B" w:themeColor="text2"/>
            </w:tcBorders>
          </w:tcPr>
          <w:p w14:paraId="04D94192" w14:textId="77777777" w:rsidR="007523B8" w:rsidRPr="009E06AA" w:rsidRDefault="007523B8" w:rsidP="00B55F24">
            <w:pPr>
              <w:pStyle w:val="TableText"/>
              <w:spacing w:before="50" w:after="50"/>
              <w:rPr>
                <w:rFonts w:cs="Calibri"/>
                <w:szCs w:val="16"/>
              </w:rPr>
            </w:pPr>
            <w:r w:rsidRPr="009E06AA">
              <w:rPr>
                <w:rFonts w:cs="Calibri"/>
                <w:szCs w:val="16"/>
              </w:rPr>
              <w:t>Leaching and runoff</w:t>
            </w:r>
          </w:p>
        </w:tc>
        <w:tc>
          <w:tcPr>
            <w:tcW w:w="992" w:type="dxa"/>
            <w:tcBorders>
              <w:top w:val="single" w:sz="4" w:space="0" w:color="1B556B" w:themeColor="text2"/>
              <w:bottom w:val="single" w:sz="4" w:space="0" w:color="1B556B" w:themeColor="text2"/>
            </w:tcBorders>
          </w:tcPr>
          <w:p w14:paraId="1DB52CCC" w14:textId="77777777" w:rsidR="007523B8" w:rsidRPr="009E06AA" w:rsidRDefault="007523B8" w:rsidP="00B55F24">
            <w:pPr>
              <w:pStyle w:val="TableText"/>
              <w:spacing w:before="50" w:after="50"/>
              <w:rPr>
                <w:rFonts w:cs="Calibri"/>
                <w:szCs w:val="16"/>
              </w:rPr>
            </w:pPr>
            <w:r w:rsidRPr="009E06AA">
              <w:rPr>
                <w:rFonts w:cs="Calibri"/>
                <w:szCs w:val="16"/>
              </w:rPr>
              <w:t>EF</w:t>
            </w:r>
            <w:r w:rsidRPr="009E06AA">
              <w:rPr>
                <w:rFonts w:cs="Calibri"/>
                <w:szCs w:val="16"/>
                <w:vertAlign w:val="subscript"/>
              </w:rPr>
              <w:t>5</w:t>
            </w:r>
          </w:p>
        </w:tc>
        <w:tc>
          <w:tcPr>
            <w:tcW w:w="709" w:type="dxa"/>
            <w:tcBorders>
              <w:top w:val="single" w:sz="4" w:space="0" w:color="1B556B" w:themeColor="text2"/>
              <w:bottom w:val="single" w:sz="4" w:space="0" w:color="1B556B" w:themeColor="text2"/>
            </w:tcBorders>
          </w:tcPr>
          <w:p w14:paraId="4A845D25" w14:textId="77777777" w:rsidR="007523B8" w:rsidRPr="009E06AA" w:rsidRDefault="007523B8" w:rsidP="0011748D">
            <w:pPr>
              <w:pStyle w:val="TableText"/>
              <w:spacing w:before="50" w:after="50"/>
              <w:jc w:val="right"/>
              <w:rPr>
                <w:rFonts w:cs="Calibri"/>
                <w:szCs w:val="16"/>
              </w:rPr>
            </w:pPr>
            <w:r w:rsidRPr="009E06AA">
              <w:rPr>
                <w:rFonts w:cs="Calibri"/>
                <w:szCs w:val="16"/>
              </w:rPr>
              <w:t xml:space="preserve">0.0075 </w:t>
            </w:r>
          </w:p>
        </w:tc>
        <w:tc>
          <w:tcPr>
            <w:tcW w:w="1417" w:type="dxa"/>
            <w:tcBorders>
              <w:top w:val="single" w:sz="4" w:space="0" w:color="1B556B" w:themeColor="text2"/>
              <w:bottom w:val="single" w:sz="4" w:space="0" w:color="1B556B" w:themeColor="text2"/>
            </w:tcBorders>
            <w:tcMar>
              <w:right w:w="28" w:type="dxa"/>
            </w:tcMar>
          </w:tcPr>
          <w:p w14:paraId="52F62F97" w14:textId="77777777" w:rsidR="007523B8" w:rsidRPr="009E06AA" w:rsidRDefault="007523B8" w:rsidP="00B55F24">
            <w:pPr>
              <w:pStyle w:val="TableText"/>
              <w:spacing w:before="50" w:after="50"/>
              <w:rPr>
                <w:rFonts w:cs="Calibri"/>
                <w:szCs w:val="16"/>
              </w:rPr>
            </w:pPr>
            <w:r w:rsidRPr="009E06AA">
              <w:rPr>
                <w:rFonts w:cs="Calibri"/>
                <w:szCs w:val="16"/>
              </w:rPr>
              <w:t>kg N</w:t>
            </w:r>
            <w:r w:rsidRPr="009E06AA">
              <w:rPr>
                <w:rFonts w:cs="Calibri"/>
                <w:szCs w:val="16"/>
                <w:vertAlign w:val="subscript"/>
              </w:rPr>
              <w:t>2</w:t>
            </w:r>
            <w:r w:rsidRPr="009E06AA">
              <w:rPr>
                <w:rFonts w:cs="Calibri"/>
                <w:szCs w:val="16"/>
              </w:rPr>
              <w:t>O-N/kg N</w:t>
            </w:r>
          </w:p>
        </w:tc>
        <w:tc>
          <w:tcPr>
            <w:tcW w:w="2183" w:type="dxa"/>
            <w:tcBorders>
              <w:top w:val="single" w:sz="4" w:space="0" w:color="1B556B" w:themeColor="text2"/>
              <w:bottom w:val="single" w:sz="4" w:space="0" w:color="1B556B" w:themeColor="text2"/>
            </w:tcBorders>
          </w:tcPr>
          <w:p w14:paraId="498C9F9A" w14:textId="77777777" w:rsidR="007523B8" w:rsidRPr="009E06AA" w:rsidRDefault="007523B8" w:rsidP="00B55F24">
            <w:pPr>
              <w:pStyle w:val="TableText"/>
              <w:spacing w:before="50" w:after="50"/>
              <w:rPr>
                <w:rFonts w:cs="Calibri"/>
                <w:szCs w:val="16"/>
              </w:rPr>
            </w:pPr>
            <w:r w:rsidRPr="009E06AA">
              <w:rPr>
                <w:rFonts w:cs="Calibri"/>
                <w:szCs w:val="16"/>
              </w:rPr>
              <w:t>IPCC (2006, table 11.3), confirmed by Clough and Kelliher (unpublished)</w:t>
            </w:r>
          </w:p>
        </w:tc>
      </w:tr>
    </w:tbl>
    <w:p w14:paraId="7F57137F" w14:textId="0CAD385B" w:rsidR="007523B8" w:rsidRPr="009E06AA" w:rsidRDefault="007523B8" w:rsidP="007523B8">
      <w:pPr>
        <w:pStyle w:val="Table"/>
        <w:spacing w:before="240"/>
        <w:rPr>
          <w:rFonts w:cs="Calibri"/>
        </w:rPr>
      </w:pPr>
      <w:bookmarkStart w:id="1238" w:name="_Toc32570929"/>
      <w:bookmarkStart w:id="1239" w:name="_Toc36224564"/>
      <w:bookmarkStart w:id="1240" w:name="_Toc68786449"/>
      <w:bookmarkStart w:id="1241" w:name="_Toc95574082"/>
      <w:bookmarkStart w:id="1242" w:name="_Toc127458269"/>
      <w:bookmarkStart w:id="1243" w:name="_Toc131591365"/>
      <w:bookmarkStart w:id="1244" w:name="_Toc160114459"/>
      <w:bookmarkStart w:id="1245" w:name="_Toc164153855"/>
      <w:bookmarkStart w:id="1246" w:name="_Toc441830881"/>
      <w:bookmarkStart w:id="1247" w:name="_Toc451176095"/>
      <w:bookmarkStart w:id="1248" w:name="_Toc481751523"/>
      <w:bookmarkStart w:id="1249" w:name="_Toc507158611"/>
      <w:bookmarkStart w:id="1250" w:name="_Toc511116745"/>
      <w:bookmarkStart w:id="1251" w:name="_Toc5269487"/>
      <w:r w:rsidRPr="009E06AA">
        <w:rPr>
          <w:rFonts w:cs="Calibri"/>
        </w:rPr>
        <w:t>Table 5.5.3</w:t>
      </w:r>
      <w:r w:rsidRPr="009E06AA">
        <w:rPr>
          <w:rFonts w:cs="Calibri"/>
        </w:rPr>
        <w:tab/>
        <w:t>Direct nitrous oxide emission factors for urine deposited by cattle, sheep and deer,</w:t>
      </w:r>
      <w:r w:rsidR="00243E16" w:rsidRPr="009E06AA">
        <w:rPr>
          <w:rFonts w:cs="Calibri"/>
        </w:rPr>
        <w:t> </w:t>
      </w:r>
      <w:r w:rsidRPr="009E06AA">
        <w:rPr>
          <w:rFonts w:cs="Calibri"/>
        </w:rPr>
        <w:t>by livestock type and slope, using values calculated by van der Weerden et al. (2019, 2020)</w:t>
      </w:r>
      <w:bookmarkEnd w:id="1238"/>
      <w:bookmarkEnd w:id="1239"/>
      <w:bookmarkEnd w:id="1240"/>
      <w:bookmarkEnd w:id="1241"/>
      <w:bookmarkEnd w:id="1242"/>
      <w:bookmarkEnd w:id="1243"/>
      <w:bookmarkEnd w:id="1244"/>
      <w:bookmarkEnd w:id="1245"/>
    </w:p>
    <w:tbl>
      <w:tblPr>
        <w:tblW w:w="8505" w:type="dxa"/>
        <w:tblBorders>
          <w:top w:val="single" w:sz="4" w:space="0" w:color="1B556B" w:themeColor="text2"/>
          <w:bottom w:val="single" w:sz="4" w:space="0" w:color="1B556B" w:themeColor="text2"/>
          <w:insideH w:val="single" w:sz="4" w:space="0" w:color="1B556B" w:themeColor="text2"/>
        </w:tblBorders>
        <w:tblCellMar>
          <w:left w:w="85" w:type="dxa"/>
          <w:right w:w="85" w:type="dxa"/>
        </w:tblCellMar>
        <w:tblLook w:val="01E0" w:firstRow="1" w:lastRow="1" w:firstColumn="1" w:lastColumn="1" w:noHBand="0" w:noVBand="0"/>
      </w:tblPr>
      <w:tblGrid>
        <w:gridCol w:w="3193"/>
        <w:gridCol w:w="2581"/>
        <w:gridCol w:w="2731"/>
      </w:tblGrid>
      <w:tr w:rsidR="007523B8" w:rsidRPr="009E06AA" w14:paraId="4501314E" w14:textId="77777777" w:rsidTr="00B55F24">
        <w:trPr>
          <w:tblHeader/>
        </w:trPr>
        <w:tc>
          <w:tcPr>
            <w:tcW w:w="3153" w:type="dxa"/>
            <w:tcBorders>
              <w:bottom w:val="nil"/>
            </w:tcBorders>
            <w:shd w:val="clear" w:color="auto" w:fill="1B556B"/>
            <w:vAlign w:val="bottom"/>
          </w:tcPr>
          <w:p w14:paraId="4A93F08A" w14:textId="77777777" w:rsidR="007523B8" w:rsidRPr="009E06AA" w:rsidRDefault="007523B8" w:rsidP="00B55F24">
            <w:pPr>
              <w:pStyle w:val="TableTextBold"/>
              <w:keepNext/>
              <w:spacing w:after="0"/>
              <w:rPr>
                <w:noProof w:val="0"/>
                <w:color w:val="FFFFFF" w:themeColor="background1"/>
              </w:rPr>
            </w:pPr>
          </w:p>
        </w:tc>
        <w:tc>
          <w:tcPr>
            <w:tcW w:w="5244" w:type="dxa"/>
            <w:gridSpan w:val="2"/>
            <w:tcBorders>
              <w:bottom w:val="nil"/>
            </w:tcBorders>
            <w:shd w:val="clear" w:color="auto" w:fill="1B556B"/>
          </w:tcPr>
          <w:p w14:paraId="287FAC49" w14:textId="77777777" w:rsidR="007523B8" w:rsidRPr="009E06AA" w:rsidRDefault="007523B8" w:rsidP="00B55F24">
            <w:pPr>
              <w:pStyle w:val="TableTextBold"/>
              <w:keepNext/>
              <w:spacing w:after="40"/>
              <w:jc w:val="center"/>
              <w:rPr>
                <w:noProof w:val="0"/>
                <w:color w:val="FFFFFF" w:themeColor="background1"/>
              </w:rPr>
            </w:pPr>
            <w:r w:rsidRPr="009E06AA">
              <w:rPr>
                <w:noProof w:val="0"/>
                <w:color w:val="FFFFFF" w:themeColor="background1"/>
              </w:rPr>
              <w:t>Emission factors by slope</w:t>
            </w:r>
          </w:p>
        </w:tc>
      </w:tr>
      <w:tr w:rsidR="007523B8" w:rsidRPr="009E06AA" w14:paraId="3622BBD4" w14:textId="77777777" w:rsidTr="00B55F24">
        <w:trPr>
          <w:tblHeader/>
        </w:trPr>
        <w:tc>
          <w:tcPr>
            <w:tcW w:w="3153" w:type="dxa"/>
            <w:tcBorders>
              <w:top w:val="nil"/>
            </w:tcBorders>
            <w:shd w:val="clear" w:color="auto" w:fill="1B556B"/>
            <w:vAlign w:val="bottom"/>
          </w:tcPr>
          <w:p w14:paraId="59CD4D6F" w14:textId="77777777" w:rsidR="007523B8" w:rsidRPr="009E06AA" w:rsidRDefault="007523B8" w:rsidP="00B55F24">
            <w:pPr>
              <w:pStyle w:val="TableTextBold"/>
              <w:keepNext/>
              <w:spacing w:before="40" w:after="40"/>
              <w:rPr>
                <w:noProof w:val="0"/>
                <w:color w:val="FFFFFF" w:themeColor="background1"/>
              </w:rPr>
            </w:pPr>
            <w:r w:rsidRPr="009E06AA">
              <w:rPr>
                <w:noProof w:val="0"/>
                <w:color w:val="FFFFFF" w:themeColor="background1"/>
              </w:rPr>
              <w:t>Livestock type</w:t>
            </w:r>
          </w:p>
        </w:tc>
        <w:tc>
          <w:tcPr>
            <w:tcW w:w="2548" w:type="dxa"/>
            <w:tcBorders>
              <w:top w:val="nil"/>
            </w:tcBorders>
            <w:shd w:val="clear" w:color="auto" w:fill="1B556B"/>
            <w:vAlign w:val="center"/>
          </w:tcPr>
          <w:p w14:paraId="34207BD5" w14:textId="77777777" w:rsidR="007523B8" w:rsidRPr="009E06AA" w:rsidRDefault="007523B8" w:rsidP="0011748D">
            <w:pPr>
              <w:pStyle w:val="TableTextBold"/>
              <w:keepNext/>
              <w:spacing w:before="0" w:after="0"/>
              <w:jc w:val="right"/>
              <w:rPr>
                <w:noProof w:val="0"/>
                <w:color w:val="FFFFFF" w:themeColor="background1"/>
                <w:szCs w:val="21"/>
              </w:rPr>
            </w:pPr>
            <w:r w:rsidRPr="009E06AA">
              <w:rPr>
                <w:noProof w:val="0"/>
                <w:color w:val="FFFFFF" w:themeColor="background1"/>
              </w:rPr>
              <w:t xml:space="preserve">Flat and low sloped land </w:t>
            </w:r>
            <w:r w:rsidRPr="009E06AA">
              <w:rPr>
                <w:noProof w:val="0"/>
                <w:color w:val="FFFFFF" w:themeColor="background1"/>
              </w:rPr>
              <w:br/>
              <w:t>(less than 12</w:t>
            </w:r>
            <w:r w:rsidRPr="009E06AA">
              <w:rPr>
                <w:noProof w:val="0"/>
                <w:color w:val="FFFFFF" w:themeColor="background1"/>
                <w:szCs w:val="21"/>
              </w:rPr>
              <w:t>° gradient)</w:t>
            </w:r>
          </w:p>
          <w:p w14:paraId="5D3B726B" w14:textId="77777777" w:rsidR="007523B8" w:rsidRPr="009E06AA" w:rsidRDefault="007523B8" w:rsidP="0011748D">
            <w:pPr>
              <w:pStyle w:val="TableTextBold"/>
              <w:keepNext/>
              <w:spacing w:before="0" w:after="40"/>
              <w:jc w:val="right"/>
              <w:rPr>
                <w:noProof w:val="0"/>
                <w:color w:val="FFFFFF" w:themeColor="background1"/>
              </w:rPr>
            </w:pPr>
            <w:r w:rsidRPr="009E06AA">
              <w:rPr>
                <w:noProof w:val="0"/>
                <w:color w:val="FFFFFF" w:themeColor="background1"/>
              </w:rPr>
              <w:t>EF</w:t>
            </w:r>
            <w:r w:rsidRPr="009E06AA">
              <w:rPr>
                <w:noProof w:val="0"/>
                <w:color w:val="FFFFFF" w:themeColor="background1"/>
                <w:vertAlign w:val="subscript"/>
              </w:rPr>
              <w:t>3,PRP-FLAT</w:t>
            </w:r>
          </w:p>
        </w:tc>
        <w:tc>
          <w:tcPr>
            <w:tcW w:w="2696" w:type="dxa"/>
            <w:tcBorders>
              <w:top w:val="nil"/>
            </w:tcBorders>
            <w:shd w:val="clear" w:color="auto" w:fill="1B556B"/>
            <w:vAlign w:val="center"/>
          </w:tcPr>
          <w:p w14:paraId="4CA15D1E" w14:textId="77777777" w:rsidR="007523B8" w:rsidRPr="009E06AA" w:rsidRDefault="007523B8" w:rsidP="0011748D">
            <w:pPr>
              <w:pStyle w:val="TableTextBold"/>
              <w:keepNext/>
              <w:spacing w:before="0" w:after="0"/>
              <w:jc w:val="right"/>
              <w:rPr>
                <w:noProof w:val="0"/>
                <w:color w:val="FFFFFF" w:themeColor="background1"/>
                <w:szCs w:val="21"/>
              </w:rPr>
            </w:pPr>
            <w:r w:rsidRPr="009E06AA">
              <w:rPr>
                <w:noProof w:val="0"/>
                <w:color w:val="FFFFFF" w:themeColor="background1"/>
              </w:rPr>
              <w:t>Medium and steep sloped land (greater than 12</w:t>
            </w:r>
            <w:r w:rsidRPr="009E06AA">
              <w:rPr>
                <w:noProof w:val="0"/>
                <w:color w:val="FFFFFF" w:themeColor="background1"/>
                <w:szCs w:val="21"/>
              </w:rPr>
              <w:t>° gradient)</w:t>
            </w:r>
          </w:p>
          <w:p w14:paraId="657E3777" w14:textId="77777777" w:rsidR="007523B8" w:rsidRPr="009E06AA" w:rsidRDefault="007523B8" w:rsidP="0011748D">
            <w:pPr>
              <w:pStyle w:val="TableTextBold"/>
              <w:keepNext/>
              <w:spacing w:before="0" w:after="40"/>
              <w:jc w:val="right"/>
              <w:rPr>
                <w:noProof w:val="0"/>
                <w:color w:val="FFFFFF" w:themeColor="background1"/>
              </w:rPr>
            </w:pPr>
            <w:r w:rsidRPr="009E06AA">
              <w:rPr>
                <w:noProof w:val="0"/>
                <w:color w:val="FFFFFF" w:themeColor="background1"/>
              </w:rPr>
              <w:t>EF</w:t>
            </w:r>
            <w:r w:rsidRPr="009E06AA">
              <w:rPr>
                <w:noProof w:val="0"/>
                <w:color w:val="FFFFFF" w:themeColor="background1"/>
                <w:vertAlign w:val="subscript"/>
              </w:rPr>
              <w:t>3,PRP-STEEP</w:t>
            </w:r>
          </w:p>
        </w:tc>
      </w:tr>
      <w:tr w:rsidR="007523B8" w:rsidRPr="009E06AA" w14:paraId="633B8796" w14:textId="77777777" w:rsidTr="00B55F24">
        <w:tc>
          <w:tcPr>
            <w:tcW w:w="3153" w:type="dxa"/>
          </w:tcPr>
          <w:p w14:paraId="6D8C878F" w14:textId="77777777" w:rsidR="007523B8" w:rsidRPr="009E06AA" w:rsidRDefault="007523B8" w:rsidP="00B55F24">
            <w:pPr>
              <w:pStyle w:val="TableText"/>
              <w:spacing w:before="40" w:after="40"/>
              <w:rPr>
                <w:rFonts w:cs="Calibri"/>
              </w:rPr>
            </w:pPr>
            <w:r w:rsidRPr="009E06AA">
              <w:rPr>
                <w:rFonts w:cs="Calibri"/>
              </w:rPr>
              <w:t>All cattle (includes dairy and non-dairy)</w:t>
            </w:r>
          </w:p>
        </w:tc>
        <w:tc>
          <w:tcPr>
            <w:tcW w:w="2548" w:type="dxa"/>
            <w:vAlign w:val="center"/>
          </w:tcPr>
          <w:p w14:paraId="43396718" w14:textId="77777777" w:rsidR="007523B8" w:rsidRPr="009E06AA" w:rsidRDefault="007523B8" w:rsidP="0011748D">
            <w:pPr>
              <w:pStyle w:val="TableText"/>
              <w:spacing w:before="40" w:after="40"/>
              <w:jc w:val="right"/>
              <w:rPr>
                <w:rFonts w:cs="Calibri"/>
              </w:rPr>
            </w:pPr>
            <w:r w:rsidRPr="009E06AA">
              <w:rPr>
                <w:rFonts w:cs="Calibri"/>
              </w:rPr>
              <w:t>0.0098</w:t>
            </w:r>
          </w:p>
        </w:tc>
        <w:tc>
          <w:tcPr>
            <w:tcW w:w="2696" w:type="dxa"/>
            <w:vAlign w:val="center"/>
          </w:tcPr>
          <w:p w14:paraId="0C34DE29" w14:textId="77777777" w:rsidR="007523B8" w:rsidRPr="009E06AA" w:rsidRDefault="007523B8" w:rsidP="0011748D">
            <w:pPr>
              <w:pStyle w:val="TableText"/>
              <w:spacing w:before="40" w:after="40"/>
              <w:jc w:val="right"/>
              <w:rPr>
                <w:rFonts w:cs="Calibri"/>
              </w:rPr>
            </w:pPr>
            <w:r w:rsidRPr="009E06AA">
              <w:rPr>
                <w:rFonts w:cs="Calibri"/>
              </w:rPr>
              <w:t>0.0033</w:t>
            </w:r>
          </w:p>
        </w:tc>
      </w:tr>
      <w:tr w:rsidR="007523B8" w:rsidRPr="009E06AA" w14:paraId="26662DA5" w14:textId="77777777" w:rsidTr="00B55F24">
        <w:tc>
          <w:tcPr>
            <w:tcW w:w="3153" w:type="dxa"/>
          </w:tcPr>
          <w:p w14:paraId="7DCD6446" w14:textId="77777777" w:rsidR="007523B8" w:rsidRPr="009E06AA" w:rsidRDefault="007523B8" w:rsidP="00B55F24">
            <w:pPr>
              <w:pStyle w:val="TableText"/>
              <w:spacing w:before="40" w:after="40"/>
              <w:rPr>
                <w:rFonts w:cs="Calibri"/>
              </w:rPr>
            </w:pPr>
            <w:r w:rsidRPr="009E06AA">
              <w:rPr>
                <w:rFonts w:cs="Calibri"/>
              </w:rPr>
              <w:t>Deer</w:t>
            </w:r>
          </w:p>
        </w:tc>
        <w:tc>
          <w:tcPr>
            <w:tcW w:w="2548" w:type="dxa"/>
            <w:vAlign w:val="center"/>
          </w:tcPr>
          <w:p w14:paraId="4B8CC904" w14:textId="77777777" w:rsidR="007523B8" w:rsidRPr="009E06AA" w:rsidRDefault="007523B8" w:rsidP="0011748D">
            <w:pPr>
              <w:pStyle w:val="TableText"/>
              <w:spacing w:before="40" w:after="40"/>
              <w:jc w:val="right"/>
              <w:rPr>
                <w:rFonts w:cs="Calibri"/>
              </w:rPr>
            </w:pPr>
            <w:r w:rsidRPr="009E06AA">
              <w:rPr>
                <w:rFonts w:cs="Calibri"/>
              </w:rPr>
              <w:t>0.0074</w:t>
            </w:r>
          </w:p>
        </w:tc>
        <w:tc>
          <w:tcPr>
            <w:tcW w:w="2696" w:type="dxa"/>
            <w:vAlign w:val="center"/>
          </w:tcPr>
          <w:p w14:paraId="73087465" w14:textId="77777777" w:rsidR="007523B8" w:rsidRPr="009E06AA" w:rsidRDefault="007523B8" w:rsidP="0011748D">
            <w:pPr>
              <w:pStyle w:val="TableText"/>
              <w:spacing w:before="40" w:after="40"/>
              <w:jc w:val="right"/>
              <w:rPr>
                <w:rFonts w:cs="Calibri"/>
              </w:rPr>
            </w:pPr>
            <w:r w:rsidRPr="009E06AA">
              <w:rPr>
                <w:rFonts w:cs="Calibri"/>
              </w:rPr>
              <w:t>0.0020</w:t>
            </w:r>
          </w:p>
        </w:tc>
      </w:tr>
      <w:tr w:rsidR="007523B8" w:rsidRPr="009E06AA" w14:paraId="34576FB6" w14:textId="77777777" w:rsidTr="00B55F24">
        <w:tc>
          <w:tcPr>
            <w:tcW w:w="3153" w:type="dxa"/>
          </w:tcPr>
          <w:p w14:paraId="38F1DC99" w14:textId="77777777" w:rsidR="007523B8" w:rsidRPr="009E06AA" w:rsidRDefault="007523B8" w:rsidP="00B55F24">
            <w:pPr>
              <w:pStyle w:val="TableText"/>
              <w:spacing w:before="40" w:after="40"/>
              <w:rPr>
                <w:rFonts w:cs="Calibri"/>
              </w:rPr>
            </w:pPr>
            <w:r w:rsidRPr="009E06AA">
              <w:rPr>
                <w:rFonts w:cs="Calibri"/>
              </w:rPr>
              <w:t xml:space="preserve">Sheep </w:t>
            </w:r>
          </w:p>
        </w:tc>
        <w:tc>
          <w:tcPr>
            <w:tcW w:w="2548" w:type="dxa"/>
            <w:vAlign w:val="center"/>
          </w:tcPr>
          <w:p w14:paraId="31A8A244" w14:textId="77777777" w:rsidR="007523B8" w:rsidRPr="009E06AA" w:rsidRDefault="007523B8" w:rsidP="0011748D">
            <w:pPr>
              <w:pStyle w:val="TableText"/>
              <w:spacing w:before="40" w:after="40"/>
              <w:jc w:val="right"/>
              <w:rPr>
                <w:rFonts w:cs="Calibri"/>
              </w:rPr>
            </w:pPr>
            <w:r w:rsidRPr="009E06AA">
              <w:rPr>
                <w:rFonts w:cs="Calibri"/>
              </w:rPr>
              <w:t>0.0050</w:t>
            </w:r>
          </w:p>
        </w:tc>
        <w:tc>
          <w:tcPr>
            <w:tcW w:w="2696" w:type="dxa"/>
            <w:vAlign w:val="center"/>
          </w:tcPr>
          <w:p w14:paraId="2D65C586" w14:textId="77777777" w:rsidR="007523B8" w:rsidRPr="009E06AA" w:rsidRDefault="007523B8" w:rsidP="0011748D">
            <w:pPr>
              <w:pStyle w:val="TableText"/>
              <w:spacing w:before="40" w:after="40"/>
              <w:jc w:val="right"/>
              <w:rPr>
                <w:rFonts w:cs="Calibri"/>
              </w:rPr>
            </w:pPr>
            <w:r w:rsidRPr="009E06AA">
              <w:rPr>
                <w:rFonts w:cs="Calibri"/>
              </w:rPr>
              <w:t>0.0008</w:t>
            </w:r>
          </w:p>
        </w:tc>
      </w:tr>
    </w:tbl>
    <w:p w14:paraId="19655E47" w14:textId="77777777" w:rsidR="007523B8" w:rsidRPr="009E06AA" w:rsidRDefault="007523B8" w:rsidP="007523B8">
      <w:pPr>
        <w:pStyle w:val="Table"/>
        <w:spacing w:before="240"/>
        <w:rPr>
          <w:rFonts w:cs="Calibri"/>
        </w:rPr>
      </w:pPr>
      <w:bookmarkStart w:id="1252" w:name="_Toc32570930"/>
      <w:bookmarkStart w:id="1253" w:name="_Toc36224565"/>
      <w:bookmarkStart w:id="1254" w:name="_Toc68786450"/>
      <w:bookmarkStart w:id="1255" w:name="_Toc95574083"/>
      <w:bookmarkStart w:id="1256" w:name="_Toc127458270"/>
      <w:bookmarkStart w:id="1257" w:name="_Toc131591366"/>
      <w:bookmarkStart w:id="1258" w:name="_Toc160114460"/>
      <w:bookmarkStart w:id="1259" w:name="_Toc164153856"/>
      <w:r w:rsidRPr="009E06AA">
        <w:rPr>
          <w:rFonts w:cs="Calibri"/>
        </w:rPr>
        <w:t>Table 5.5.4</w:t>
      </w:r>
      <w:r w:rsidRPr="009E06AA">
        <w:rPr>
          <w:rFonts w:cs="Calibri"/>
        </w:rPr>
        <w:tab/>
        <w:t>Parameters for indirect nitrous oxide (N</w:t>
      </w:r>
      <w:r w:rsidRPr="009E06AA">
        <w:rPr>
          <w:rFonts w:cs="Calibri"/>
          <w:vertAlign w:val="subscript"/>
        </w:rPr>
        <w:t>2</w:t>
      </w:r>
      <w:r w:rsidRPr="009E06AA">
        <w:rPr>
          <w:rFonts w:cs="Calibri"/>
        </w:rPr>
        <w:t xml:space="preserve">O) emissions from </w:t>
      </w:r>
      <w:r w:rsidRPr="009E06AA">
        <w:rPr>
          <w:rFonts w:cs="Calibri"/>
          <w:i/>
          <w:iCs/>
        </w:rPr>
        <w:t>Agricultural soils</w:t>
      </w:r>
      <w:r w:rsidRPr="009E06AA">
        <w:rPr>
          <w:rFonts w:cs="Calibri"/>
        </w:rPr>
        <w:t xml:space="preserve"> in New Zealand</w:t>
      </w:r>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p>
    <w:tbl>
      <w:tblPr>
        <w:tblW w:w="8505" w:type="dxa"/>
        <w:tblBorders>
          <w:top w:val="single" w:sz="4" w:space="0" w:color="365F91"/>
          <w:bottom w:val="single" w:sz="4" w:space="0" w:color="365F91"/>
          <w:insideH w:val="single" w:sz="4" w:space="0" w:color="365F91"/>
        </w:tblBorders>
        <w:tblLayout w:type="fixed"/>
        <w:tblCellMar>
          <w:left w:w="85" w:type="dxa"/>
          <w:right w:w="85" w:type="dxa"/>
        </w:tblCellMar>
        <w:tblLook w:val="01E0" w:firstRow="1" w:lastRow="1" w:firstColumn="1" w:lastColumn="1" w:noHBand="0" w:noVBand="0"/>
      </w:tblPr>
      <w:tblGrid>
        <w:gridCol w:w="2127"/>
        <w:gridCol w:w="992"/>
        <w:gridCol w:w="1559"/>
        <w:gridCol w:w="1701"/>
        <w:gridCol w:w="2126"/>
      </w:tblGrid>
      <w:tr w:rsidR="007523B8" w:rsidRPr="009E06AA" w14:paraId="591F89E0" w14:textId="77777777" w:rsidTr="00B55F24">
        <w:trPr>
          <w:tblHeader/>
        </w:trPr>
        <w:tc>
          <w:tcPr>
            <w:tcW w:w="2127" w:type="dxa"/>
            <w:tcBorders>
              <w:top w:val="single" w:sz="4" w:space="0" w:color="1B556B" w:themeColor="text2"/>
              <w:bottom w:val="single" w:sz="4" w:space="0" w:color="1B556B" w:themeColor="text2"/>
              <w:right w:val="nil"/>
            </w:tcBorders>
            <w:shd w:val="clear" w:color="auto" w:fill="1B556B"/>
            <w:vAlign w:val="bottom"/>
          </w:tcPr>
          <w:p w14:paraId="60DE965E" w14:textId="77777777" w:rsidR="007523B8" w:rsidRPr="009E06AA" w:rsidRDefault="007523B8" w:rsidP="00B55F24">
            <w:pPr>
              <w:pStyle w:val="TableTextBold"/>
              <w:keepNext/>
              <w:spacing w:before="40" w:after="40"/>
              <w:rPr>
                <w:noProof w:val="0"/>
                <w:color w:val="FFFFFF" w:themeColor="background1"/>
              </w:rPr>
            </w:pPr>
            <w:r w:rsidRPr="009E06AA">
              <w:rPr>
                <w:noProof w:val="0"/>
                <w:color w:val="FFFFFF" w:themeColor="background1"/>
              </w:rPr>
              <w:t>Category</w:t>
            </w:r>
          </w:p>
        </w:tc>
        <w:tc>
          <w:tcPr>
            <w:tcW w:w="4252" w:type="dxa"/>
            <w:gridSpan w:val="3"/>
            <w:tcBorders>
              <w:top w:val="single" w:sz="4" w:space="0" w:color="1B556B" w:themeColor="text2"/>
              <w:left w:val="nil"/>
              <w:bottom w:val="single" w:sz="4" w:space="0" w:color="1B556B" w:themeColor="text2"/>
              <w:right w:val="nil"/>
            </w:tcBorders>
            <w:shd w:val="clear" w:color="auto" w:fill="1B556B"/>
            <w:vAlign w:val="bottom"/>
          </w:tcPr>
          <w:p w14:paraId="563B866A" w14:textId="77777777" w:rsidR="007523B8" w:rsidRPr="009E06AA" w:rsidRDefault="007523B8" w:rsidP="0035798D">
            <w:pPr>
              <w:pStyle w:val="TableTextBold"/>
              <w:keepNext/>
              <w:spacing w:before="40" w:after="40"/>
              <w:jc w:val="center"/>
              <w:rPr>
                <w:noProof w:val="0"/>
                <w:color w:val="FFFFFF" w:themeColor="background1"/>
              </w:rPr>
            </w:pPr>
            <w:r w:rsidRPr="009E06AA">
              <w:rPr>
                <w:noProof w:val="0"/>
                <w:color w:val="FFFFFF" w:themeColor="background1"/>
              </w:rPr>
              <w:t>Parameter</w:t>
            </w:r>
          </w:p>
        </w:tc>
        <w:tc>
          <w:tcPr>
            <w:tcW w:w="2126" w:type="dxa"/>
            <w:tcBorders>
              <w:top w:val="single" w:sz="4" w:space="0" w:color="1B556B" w:themeColor="text2"/>
              <w:left w:val="nil"/>
              <w:bottom w:val="single" w:sz="4" w:space="0" w:color="1B556B" w:themeColor="text2"/>
            </w:tcBorders>
            <w:shd w:val="clear" w:color="auto" w:fill="1B556B"/>
            <w:vAlign w:val="bottom"/>
          </w:tcPr>
          <w:p w14:paraId="44A06A6C" w14:textId="77777777" w:rsidR="007523B8" w:rsidRPr="009E06AA" w:rsidRDefault="007523B8" w:rsidP="0035798D">
            <w:pPr>
              <w:pStyle w:val="TableTextBold"/>
              <w:keepNext/>
              <w:spacing w:before="40" w:after="40"/>
              <w:rPr>
                <w:noProof w:val="0"/>
                <w:color w:val="FFFFFF" w:themeColor="background1"/>
              </w:rPr>
            </w:pPr>
            <w:r w:rsidRPr="009E06AA">
              <w:rPr>
                <w:noProof w:val="0"/>
                <w:color w:val="FFFFFF" w:themeColor="background1"/>
              </w:rPr>
              <w:t>Source</w:t>
            </w:r>
          </w:p>
        </w:tc>
      </w:tr>
      <w:tr w:rsidR="007523B8" w:rsidRPr="009E06AA" w14:paraId="570C278A" w14:textId="77777777" w:rsidTr="00B55F24">
        <w:tc>
          <w:tcPr>
            <w:tcW w:w="8505" w:type="dxa"/>
            <w:gridSpan w:val="5"/>
            <w:tcBorders>
              <w:top w:val="single" w:sz="4" w:space="0" w:color="1B556B" w:themeColor="text2"/>
            </w:tcBorders>
          </w:tcPr>
          <w:p w14:paraId="29F92BA5" w14:textId="77777777" w:rsidR="007523B8" w:rsidRPr="009E06AA" w:rsidRDefault="007523B8" w:rsidP="00B55F24">
            <w:pPr>
              <w:pStyle w:val="TableText"/>
              <w:spacing w:before="40" w:after="40"/>
              <w:rPr>
                <w:rFonts w:cs="Calibri"/>
                <w:b/>
                <w:bCs/>
              </w:rPr>
            </w:pPr>
            <w:r w:rsidRPr="009E06AA">
              <w:rPr>
                <w:rFonts w:cs="Calibri"/>
                <w:b/>
                <w:bCs/>
              </w:rPr>
              <w:t>3.D.2 Indirect N</w:t>
            </w:r>
            <w:r w:rsidRPr="009E06AA">
              <w:rPr>
                <w:rFonts w:cs="Calibri"/>
                <w:b/>
                <w:bCs/>
                <w:vertAlign w:val="subscript"/>
              </w:rPr>
              <w:t>2</w:t>
            </w:r>
            <w:r w:rsidRPr="009E06AA">
              <w:rPr>
                <w:rFonts w:cs="Calibri"/>
                <w:b/>
                <w:bCs/>
              </w:rPr>
              <w:t>O emissions</w:t>
            </w:r>
          </w:p>
        </w:tc>
      </w:tr>
      <w:tr w:rsidR="007523B8" w:rsidRPr="009E06AA" w14:paraId="3905E69C" w14:textId="77777777" w:rsidTr="00B55F24">
        <w:tc>
          <w:tcPr>
            <w:tcW w:w="2127" w:type="dxa"/>
          </w:tcPr>
          <w:p w14:paraId="0855C7BB" w14:textId="77777777" w:rsidR="007523B8" w:rsidRPr="009E06AA" w:rsidRDefault="007523B8" w:rsidP="00B55F24">
            <w:pPr>
              <w:pStyle w:val="TableText"/>
              <w:spacing w:before="40" w:after="40"/>
              <w:rPr>
                <w:rFonts w:cs="Calibri"/>
              </w:rPr>
            </w:pPr>
            <w:r w:rsidRPr="009E06AA">
              <w:rPr>
                <w:rFonts w:cs="Calibri"/>
              </w:rPr>
              <w:t>Fraction of volatilisation from synthetic fertiliser</w:t>
            </w:r>
          </w:p>
        </w:tc>
        <w:tc>
          <w:tcPr>
            <w:tcW w:w="992" w:type="dxa"/>
          </w:tcPr>
          <w:p w14:paraId="5DDC084E" w14:textId="77777777" w:rsidR="007523B8" w:rsidRPr="009E06AA" w:rsidRDefault="007523B8" w:rsidP="00B55F24">
            <w:pPr>
              <w:pStyle w:val="TableText"/>
              <w:spacing w:before="40" w:after="40"/>
              <w:rPr>
                <w:rFonts w:cs="Calibri"/>
              </w:rPr>
            </w:pPr>
            <w:r w:rsidRPr="009E06AA">
              <w:rPr>
                <w:rFonts w:cs="Calibri"/>
              </w:rPr>
              <w:t>Frac</w:t>
            </w:r>
            <w:r w:rsidRPr="009E06AA">
              <w:rPr>
                <w:rFonts w:cs="Calibri"/>
                <w:vertAlign w:val="subscript"/>
              </w:rPr>
              <w:t>GASF</w:t>
            </w:r>
          </w:p>
        </w:tc>
        <w:tc>
          <w:tcPr>
            <w:tcW w:w="1559" w:type="dxa"/>
          </w:tcPr>
          <w:p w14:paraId="5D377B17" w14:textId="77777777" w:rsidR="007523B8" w:rsidRPr="009E06AA" w:rsidRDefault="007523B8" w:rsidP="0011748D">
            <w:pPr>
              <w:pStyle w:val="TableText"/>
              <w:spacing w:before="40" w:after="40"/>
              <w:jc w:val="right"/>
              <w:rPr>
                <w:rFonts w:cs="Calibri"/>
              </w:rPr>
            </w:pPr>
            <w:r w:rsidRPr="009E06AA">
              <w:rPr>
                <w:rFonts w:cs="Calibri"/>
              </w:rPr>
              <w:t xml:space="preserve">0.1 </w:t>
            </w:r>
          </w:p>
        </w:tc>
        <w:tc>
          <w:tcPr>
            <w:tcW w:w="1701" w:type="dxa"/>
          </w:tcPr>
          <w:p w14:paraId="347A0AA1" w14:textId="77777777" w:rsidR="007523B8" w:rsidRPr="009E06AA" w:rsidRDefault="007523B8" w:rsidP="00B55F24">
            <w:pPr>
              <w:pStyle w:val="TableText"/>
              <w:spacing w:before="40" w:after="40"/>
              <w:rPr>
                <w:rFonts w:cs="Calibri"/>
              </w:rPr>
            </w:pPr>
            <w:r w:rsidRPr="009E06AA">
              <w:rPr>
                <w:rFonts w:cs="Calibri"/>
              </w:rPr>
              <w:t>kg NH</w:t>
            </w:r>
            <w:r w:rsidRPr="009E06AA">
              <w:rPr>
                <w:rFonts w:cs="Calibri"/>
                <w:vertAlign w:val="subscript"/>
              </w:rPr>
              <w:t>3</w:t>
            </w:r>
            <w:r w:rsidRPr="009E06AA">
              <w:rPr>
                <w:rFonts w:cs="Calibri"/>
              </w:rPr>
              <w:t>-N + NO</w:t>
            </w:r>
            <w:r w:rsidRPr="009E06AA">
              <w:rPr>
                <w:rFonts w:cs="Calibri"/>
                <w:vertAlign w:val="subscript"/>
              </w:rPr>
              <w:t>x</w:t>
            </w:r>
            <w:r w:rsidRPr="009E06AA">
              <w:rPr>
                <w:rFonts w:cs="Calibri"/>
              </w:rPr>
              <w:t>-N/kg N</w:t>
            </w:r>
          </w:p>
        </w:tc>
        <w:tc>
          <w:tcPr>
            <w:tcW w:w="2126" w:type="dxa"/>
          </w:tcPr>
          <w:p w14:paraId="48F6A432" w14:textId="77777777" w:rsidR="007523B8" w:rsidRPr="009E06AA" w:rsidRDefault="007523B8" w:rsidP="00B55F24">
            <w:pPr>
              <w:pStyle w:val="TableText"/>
              <w:spacing w:before="40" w:after="40"/>
              <w:rPr>
                <w:rFonts w:cs="Calibri"/>
              </w:rPr>
            </w:pPr>
            <w:r w:rsidRPr="009E06AA">
              <w:rPr>
                <w:rFonts w:cs="Calibri"/>
              </w:rPr>
              <w:t>IPCC (2006), verified by Sherlock et al. (2008)</w:t>
            </w:r>
          </w:p>
        </w:tc>
      </w:tr>
      <w:tr w:rsidR="007523B8" w:rsidRPr="009E06AA" w14:paraId="57D6D939" w14:textId="77777777" w:rsidTr="00B55F24">
        <w:tc>
          <w:tcPr>
            <w:tcW w:w="2127" w:type="dxa"/>
          </w:tcPr>
          <w:p w14:paraId="326CBD59" w14:textId="77777777" w:rsidR="007523B8" w:rsidRPr="009E06AA" w:rsidRDefault="007523B8" w:rsidP="00B55F24">
            <w:pPr>
              <w:pStyle w:val="TableText"/>
              <w:spacing w:before="40" w:after="40"/>
              <w:rPr>
                <w:rFonts w:cs="Calibri"/>
              </w:rPr>
            </w:pPr>
            <w:r w:rsidRPr="009E06AA">
              <w:rPr>
                <w:rFonts w:cs="Calibri"/>
              </w:rPr>
              <w:t xml:space="preserve">Fraction of volatilisation from organic nitrogen additions including pasture manure </w:t>
            </w:r>
          </w:p>
        </w:tc>
        <w:tc>
          <w:tcPr>
            <w:tcW w:w="992" w:type="dxa"/>
            <w:tcBorders>
              <w:bottom w:val="single" w:sz="4" w:space="0" w:color="365F91"/>
            </w:tcBorders>
          </w:tcPr>
          <w:p w14:paraId="10A8CE89" w14:textId="77777777" w:rsidR="007523B8" w:rsidRPr="009E06AA" w:rsidRDefault="007523B8" w:rsidP="00B55F24">
            <w:pPr>
              <w:pStyle w:val="TableText"/>
              <w:spacing w:before="40" w:after="40"/>
              <w:rPr>
                <w:rFonts w:cs="Calibri"/>
              </w:rPr>
            </w:pPr>
            <w:r w:rsidRPr="009E06AA">
              <w:rPr>
                <w:rFonts w:cs="Calibri"/>
              </w:rPr>
              <w:t>Frac</w:t>
            </w:r>
            <w:r w:rsidRPr="009E06AA">
              <w:rPr>
                <w:rFonts w:cs="Calibri"/>
                <w:vertAlign w:val="subscript"/>
              </w:rPr>
              <w:t>GASM</w:t>
            </w:r>
          </w:p>
        </w:tc>
        <w:tc>
          <w:tcPr>
            <w:tcW w:w="1559" w:type="dxa"/>
            <w:tcBorders>
              <w:bottom w:val="single" w:sz="4" w:space="0" w:color="365F91"/>
            </w:tcBorders>
          </w:tcPr>
          <w:p w14:paraId="37081105" w14:textId="77777777" w:rsidR="007523B8" w:rsidRPr="009E06AA" w:rsidRDefault="007523B8" w:rsidP="0011748D">
            <w:pPr>
              <w:pStyle w:val="TableText"/>
              <w:spacing w:before="40" w:after="40"/>
              <w:jc w:val="right"/>
              <w:rPr>
                <w:rFonts w:cs="Calibri"/>
              </w:rPr>
            </w:pPr>
            <w:r w:rsidRPr="009E06AA">
              <w:rPr>
                <w:rFonts w:cs="Calibri"/>
              </w:rPr>
              <w:t>0.1</w:t>
            </w:r>
          </w:p>
        </w:tc>
        <w:tc>
          <w:tcPr>
            <w:tcW w:w="1701" w:type="dxa"/>
            <w:tcBorders>
              <w:bottom w:val="single" w:sz="4" w:space="0" w:color="365F91"/>
            </w:tcBorders>
          </w:tcPr>
          <w:p w14:paraId="4B81CFF2" w14:textId="77777777" w:rsidR="007523B8" w:rsidRPr="009E06AA" w:rsidRDefault="007523B8" w:rsidP="00B55F24">
            <w:pPr>
              <w:pStyle w:val="TableText"/>
              <w:spacing w:before="40" w:after="40"/>
              <w:rPr>
                <w:rFonts w:cs="Calibri"/>
              </w:rPr>
            </w:pPr>
            <w:r w:rsidRPr="009E06AA">
              <w:rPr>
                <w:rFonts w:cs="Calibri"/>
              </w:rPr>
              <w:t>kg NH</w:t>
            </w:r>
            <w:r w:rsidRPr="009E06AA">
              <w:rPr>
                <w:rFonts w:cs="Calibri"/>
                <w:vertAlign w:val="subscript"/>
              </w:rPr>
              <w:t>3</w:t>
            </w:r>
            <w:r w:rsidRPr="009E06AA">
              <w:rPr>
                <w:rFonts w:cs="Calibri"/>
              </w:rPr>
              <w:t>-N + NO</w:t>
            </w:r>
            <w:r w:rsidRPr="009E06AA">
              <w:rPr>
                <w:rFonts w:cs="Calibri"/>
                <w:vertAlign w:val="subscript"/>
              </w:rPr>
              <w:t>x</w:t>
            </w:r>
            <w:r w:rsidRPr="009E06AA">
              <w:rPr>
                <w:rFonts w:cs="Calibri"/>
              </w:rPr>
              <w:t>-N/kg N</w:t>
            </w:r>
          </w:p>
        </w:tc>
        <w:tc>
          <w:tcPr>
            <w:tcW w:w="2126" w:type="dxa"/>
            <w:tcBorders>
              <w:bottom w:val="single" w:sz="4" w:space="0" w:color="365F91"/>
            </w:tcBorders>
          </w:tcPr>
          <w:p w14:paraId="4E135CAB" w14:textId="77777777" w:rsidR="007523B8" w:rsidRPr="009E06AA" w:rsidRDefault="007523B8" w:rsidP="00B55F24">
            <w:pPr>
              <w:pStyle w:val="TableText"/>
              <w:spacing w:before="40" w:after="40"/>
              <w:rPr>
                <w:rFonts w:cs="Calibri"/>
              </w:rPr>
            </w:pPr>
            <w:r w:rsidRPr="009E06AA">
              <w:rPr>
                <w:rFonts w:cs="Calibri"/>
              </w:rPr>
              <w:t>Sherlock et al. (2008)</w:t>
            </w:r>
          </w:p>
        </w:tc>
      </w:tr>
      <w:tr w:rsidR="007523B8" w:rsidRPr="009E06AA" w14:paraId="1FADC303" w14:textId="77777777" w:rsidTr="00B55F24">
        <w:tc>
          <w:tcPr>
            <w:tcW w:w="2127" w:type="dxa"/>
            <w:vMerge w:val="restart"/>
          </w:tcPr>
          <w:p w14:paraId="68583606" w14:textId="77777777" w:rsidR="007523B8" w:rsidRPr="009E06AA" w:rsidRDefault="007523B8" w:rsidP="00B55F24">
            <w:pPr>
              <w:pStyle w:val="TableText"/>
              <w:spacing w:before="40" w:after="40"/>
              <w:rPr>
                <w:rFonts w:cs="Calibri"/>
              </w:rPr>
            </w:pPr>
            <w:r w:rsidRPr="009E06AA">
              <w:rPr>
                <w:rFonts w:cs="Calibri"/>
              </w:rPr>
              <w:t>Fraction of leaching and runoff from all nitrogen applied to soil</w:t>
            </w:r>
          </w:p>
        </w:tc>
        <w:tc>
          <w:tcPr>
            <w:tcW w:w="992" w:type="dxa"/>
            <w:tcBorders>
              <w:top w:val="single" w:sz="4" w:space="0" w:color="365F91"/>
              <w:left w:val="nil"/>
              <w:bottom w:val="single" w:sz="4" w:space="0" w:color="365F91"/>
              <w:right w:val="nil"/>
            </w:tcBorders>
            <w:shd w:val="clear" w:color="auto" w:fill="auto"/>
            <w:vAlign w:val="center"/>
          </w:tcPr>
          <w:p w14:paraId="1B1D679D" w14:textId="77777777" w:rsidR="007523B8" w:rsidRPr="009E06AA" w:rsidRDefault="007523B8" w:rsidP="00B55F24">
            <w:pPr>
              <w:pStyle w:val="TableText"/>
              <w:spacing w:before="40" w:after="40"/>
              <w:rPr>
                <w:rFonts w:asciiTheme="minorHAnsi" w:hAnsiTheme="minorHAnsi" w:cstheme="minorHAnsi"/>
                <w:szCs w:val="16"/>
              </w:rPr>
            </w:pPr>
            <w:r w:rsidRPr="009E06AA">
              <w:rPr>
                <w:rFonts w:asciiTheme="minorHAnsi" w:hAnsiTheme="minorHAnsi" w:cstheme="minorHAnsi"/>
                <w:szCs w:val="16"/>
              </w:rPr>
              <w:t>Cropland Frac</w:t>
            </w:r>
            <w:r w:rsidRPr="009E06AA">
              <w:rPr>
                <w:rFonts w:asciiTheme="minorHAnsi" w:hAnsiTheme="minorHAnsi" w:cstheme="minorHAnsi"/>
                <w:szCs w:val="16"/>
                <w:vertAlign w:val="subscript"/>
              </w:rPr>
              <w:t>LEACH – (H)</w:t>
            </w:r>
          </w:p>
        </w:tc>
        <w:tc>
          <w:tcPr>
            <w:tcW w:w="1559" w:type="dxa"/>
            <w:tcBorders>
              <w:top w:val="single" w:sz="4" w:space="0" w:color="365F91"/>
              <w:left w:val="nil"/>
              <w:bottom w:val="single" w:sz="4" w:space="0" w:color="365F91"/>
              <w:right w:val="nil"/>
            </w:tcBorders>
            <w:shd w:val="clear" w:color="auto" w:fill="auto"/>
            <w:vAlign w:val="center"/>
          </w:tcPr>
          <w:p w14:paraId="521CA6EF" w14:textId="77777777" w:rsidR="007523B8" w:rsidRPr="009E06AA" w:rsidRDefault="007523B8" w:rsidP="0011748D">
            <w:pPr>
              <w:pStyle w:val="TableText"/>
              <w:spacing w:before="40" w:after="40"/>
              <w:jc w:val="right"/>
              <w:rPr>
                <w:rFonts w:asciiTheme="minorHAnsi" w:hAnsiTheme="minorHAnsi" w:cstheme="minorHAnsi"/>
                <w:szCs w:val="16"/>
              </w:rPr>
            </w:pPr>
            <w:r w:rsidRPr="009E06AA">
              <w:rPr>
                <w:rFonts w:asciiTheme="minorHAnsi" w:hAnsiTheme="minorHAnsi" w:cstheme="minorHAnsi"/>
                <w:szCs w:val="16"/>
              </w:rPr>
              <w:t>0.1</w:t>
            </w:r>
          </w:p>
        </w:tc>
        <w:tc>
          <w:tcPr>
            <w:tcW w:w="1701" w:type="dxa"/>
            <w:tcBorders>
              <w:top w:val="single" w:sz="4" w:space="0" w:color="365F91"/>
              <w:left w:val="nil"/>
              <w:bottom w:val="single" w:sz="4" w:space="0" w:color="365F91"/>
              <w:right w:val="nil"/>
            </w:tcBorders>
            <w:shd w:val="clear" w:color="auto" w:fill="auto"/>
            <w:vAlign w:val="center"/>
          </w:tcPr>
          <w:p w14:paraId="303D01CE" w14:textId="77777777" w:rsidR="007523B8" w:rsidRPr="009E06AA" w:rsidRDefault="007523B8" w:rsidP="00B55F24">
            <w:pPr>
              <w:pStyle w:val="TableText"/>
              <w:spacing w:before="40" w:after="40"/>
              <w:rPr>
                <w:rFonts w:asciiTheme="minorHAnsi" w:hAnsiTheme="minorHAnsi" w:cstheme="minorHAnsi"/>
                <w:szCs w:val="16"/>
              </w:rPr>
            </w:pPr>
            <w:r w:rsidRPr="009E06AA">
              <w:rPr>
                <w:rFonts w:asciiTheme="minorHAnsi" w:hAnsiTheme="minorHAnsi" w:cstheme="minorHAnsi"/>
                <w:szCs w:val="16"/>
              </w:rPr>
              <w:t>kg N/kg N</w:t>
            </w:r>
          </w:p>
        </w:tc>
        <w:tc>
          <w:tcPr>
            <w:tcW w:w="2126" w:type="dxa"/>
            <w:tcBorders>
              <w:top w:val="single" w:sz="4" w:space="0" w:color="365F91"/>
              <w:left w:val="nil"/>
              <w:bottom w:val="single" w:sz="4" w:space="0" w:color="365F91"/>
              <w:right w:val="nil"/>
            </w:tcBorders>
            <w:shd w:val="clear" w:color="auto" w:fill="auto"/>
            <w:vAlign w:val="center"/>
          </w:tcPr>
          <w:p w14:paraId="2F7B13A7" w14:textId="77777777" w:rsidR="007523B8" w:rsidRPr="009E06AA" w:rsidRDefault="007523B8" w:rsidP="00B55F24">
            <w:pPr>
              <w:pStyle w:val="TableText"/>
              <w:spacing w:before="40" w:after="40"/>
              <w:rPr>
                <w:rFonts w:asciiTheme="minorHAnsi" w:hAnsiTheme="minorHAnsi" w:cstheme="minorHAnsi"/>
                <w:szCs w:val="16"/>
              </w:rPr>
            </w:pPr>
            <w:r w:rsidRPr="009E06AA">
              <w:rPr>
                <w:rFonts w:asciiTheme="minorHAnsi" w:hAnsiTheme="minorHAnsi" w:cstheme="minorHAnsi"/>
                <w:szCs w:val="16"/>
              </w:rPr>
              <w:t>Welten et al. (2021)</w:t>
            </w:r>
          </w:p>
        </w:tc>
      </w:tr>
      <w:tr w:rsidR="007523B8" w:rsidRPr="009E06AA" w14:paraId="5B94FA8B" w14:textId="77777777" w:rsidTr="00B55F24">
        <w:tc>
          <w:tcPr>
            <w:tcW w:w="2127" w:type="dxa"/>
            <w:vMerge/>
          </w:tcPr>
          <w:p w14:paraId="681F1FA8" w14:textId="77777777" w:rsidR="007523B8" w:rsidRPr="009E06AA" w:rsidRDefault="007523B8" w:rsidP="00B55F24">
            <w:pPr>
              <w:pStyle w:val="TableText"/>
              <w:spacing w:before="40" w:after="40"/>
              <w:rPr>
                <w:rFonts w:cs="Calibri"/>
              </w:rPr>
            </w:pPr>
          </w:p>
        </w:tc>
        <w:tc>
          <w:tcPr>
            <w:tcW w:w="992" w:type="dxa"/>
            <w:tcBorders>
              <w:top w:val="single" w:sz="4" w:space="0" w:color="365F91"/>
              <w:left w:val="nil"/>
              <w:bottom w:val="single" w:sz="4" w:space="0" w:color="365F91"/>
              <w:right w:val="nil"/>
            </w:tcBorders>
            <w:shd w:val="clear" w:color="auto" w:fill="auto"/>
            <w:vAlign w:val="center"/>
          </w:tcPr>
          <w:p w14:paraId="0D0E5A82" w14:textId="77777777" w:rsidR="007523B8" w:rsidRPr="009E06AA" w:rsidRDefault="007523B8" w:rsidP="00B55F24">
            <w:pPr>
              <w:pStyle w:val="TableText"/>
              <w:spacing w:before="40" w:after="40"/>
              <w:rPr>
                <w:rFonts w:asciiTheme="minorHAnsi" w:hAnsiTheme="minorHAnsi" w:cstheme="minorHAnsi"/>
                <w:szCs w:val="16"/>
              </w:rPr>
            </w:pPr>
            <w:r w:rsidRPr="009E06AA">
              <w:rPr>
                <w:rFonts w:asciiTheme="minorHAnsi" w:hAnsiTheme="minorHAnsi" w:cstheme="minorHAnsi"/>
                <w:szCs w:val="16"/>
              </w:rPr>
              <w:t>Grassland Frac</w:t>
            </w:r>
            <w:r w:rsidRPr="009E06AA">
              <w:rPr>
                <w:rFonts w:asciiTheme="minorHAnsi" w:hAnsiTheme="minorHAnsi" w:cstheme="minorHAnsi"/>
                <w:szCs w:val="16"/>
                <w:vertAlign w:val="subscript"/>
              </w:rPr>
              <w:t>LEACH – (H)</w:t>
            </w:r>
          </w:p>
        </w:tc>
        <w:tc>
          <w:tcPr>
            <w:tcW w:w="1559" w:type="dxa"/>
            <w:tcBorders>
              <w:top w:val="single" w:sz="4" w:space="0" w:color="365F91"/>
              <w:left w:val="nil"/>
              <w:bottom w:val="single" w:sz="4" w:space="0" w:color="365F91"/>
              <w:right w:val="nil"/>
            </w:tcBorders>
            <w:shd w:val="clear" w:color="auto" w:fill="auto"/>
            <w:vAlign w:val="center"/>
          </w:tcPr>
          <w:p w14:paraId="7AB2E4F8" w14:textId="77777777" w:rsidR="007523B8" w:rsidRPr="009E06AA" w:rsidRDefault="007523B8" w:rsidP="0011748D">
            <w:pPr>
              <w:pStyle w:val="TableText"/>
              <w:spacing w:before="40" w:after="40"/>
              <w:jc w:val="right"/>
              <w:rPr>
                <w:rFonts w:asciiTheme="minorHAnsi" w:hAnsiTheme="minorHAnsi" w:cstheme="minorHAnsi"/>
                <w:szCs w:val="16"/>
              </w:rPr>
            </w:pPr>
            <w:r w:rsidRPr="009E06AA">
              <w:rPr>
                <w:rFonts w:asciiTheme="minorHAnsi" w:hAnsiTheme="minorHAnsi" w:cstheme="minorHAnsi"/>
                <w:szCs w:val="16"/>
              </w:rPr>
              <w:t>0.08</w:t>
            </w:r>
          </w:p>
        </w:tc>
        <w:tc>
          <w:tcPr>
            <w:tcW w:w="1701" w:type="dxa"/>
            <w:tcBorders>
              <w:top w:val="single" w:sz="4" w:space="0" w:color="365F91"/>
              <w:left w:val="nil"/>
              <w:bottom w:val="single" w:sz="4" w:space="0" w:color="365F91"/>
              <w:right w:val="nil"/>
            </w:tcBorders>
            <w:shd w:val="clear" w:color="auto" w:fill="auto"/>
            <w:vAlign w:val="center"/>
          </w:tcPr>
          <w:p w14:paraId="3C0703B1" w14:textId="77777777" w:rsidR="007523B8" w:rsidRPr="009E06AA" w:rsidRDefault="007523B8" w:rsidP="00B55F24">
            <w:pPr>
              <w:pStyle w:val="TableText"/>
              <w:spacing w:before="40" w:after="40"/>
              <w:rPr>
                <w:rFonts w:asciiTheme="minorHAnsi" w:hAnsiTheme="minorHAnsi" w:cstheme="minorHAnsi"/>
                <w:szCs w:val="16"/>
              </w:rPr>
            </w:pPr>
            <w:r w:rsidRPr="009E06AA">
              <w:rPr>
                <w:rFonts w:asciiTheme="minorHAnsi" w:hAnsiTheme="minorHAnsi" w:cstheme="minorHAnsi"/>
                <w:szCs w:val="16"/>
              </w:rPr>
              <w:t>kg N/kg N</w:t>
            </w:r>
          </w:p>
        </w:tc>
        <w:tc>
          <w:tcPr>
            <w:tcW w:w="2126" w:type="dxa"/>
            <w:tcBorders>
              <w:top w:val="single" w:sz="4" w:space="0" w:color="365F91"/>
              <w:left w:val="nil"/>
              <w:bottom w:val="single" w:sz="4" w:space="0" w:color="365F91"/>
              <w:right w:val="nil"/>
            </w:tcBorders>
            <w:shd w:val="clear" w:color="auto" w:fill="auto"/>
            <w:vAlign w:val="center"/>
          </w:tcPr>
          <w:p w14:paraId="7425720B" w14:textId="77777777" w:rsidR="007523B8" w:rsidRPr="009E06AA" w:rsidRDefault="007523B8" w:rsidP="00B55F24">
            <w:pPr>
              <w:pStyle w:val="TableText"/>
              <w:spacing w:before="40" w:after="40"/>
              <w:rPr>
                <w:rFonts w:asciiTheme="minorHAnsi" w:hAnsiTheme="minorHAnsi" w:cstheme="minorHAnsi"/>
                <w:szCs w:val="16"/>
              </w:rPr>
            </w:pPr>
            <w:r w:rsidRPr="009E06AA">
              <w:rPr>
                <w:rFonts w:asciiTheme="minorHAnsi" w:hAnsiTheme="minorHAnsi" w:cstheme="minorHAnsi"/>
                <w:szCs w:val="16"/>
              </w:rPr>
              <w:t>Welten et al. (2021)</w:t>
            </w:r>
          </w:p>
        </w:tc>
      </w:tr>
      <w:tr w:rsidR="007523B8" w:rsidRPr="009E06AA" w14:paraId="6E08068C" w14:textId="77777777" w:rsidTr="00B55F24">
        <w:tc>
          <w:tcPr>
            <w:tcW w:w="2127" w:type="dxa"/>
            <w:vMerge/>
          </w:tcPr>
          <w:p w14:paraId="7D5C8BB9" w14:textId="77777777" w:rsidR="007523B8" w:rsidRPr="009E06AA" w:rsidRDefault="007523B8" w:rsidP="00B55F24">
            <w:pPr>
              <w:pStyle w:val="TableText"/>
              <w:spacing w:before="40" w:after="40"/>
              <w:rPr>
                <w:rFonts w:cs="Calibri"/>
              </w:rPr>
            </w:pPr>
          </w:p>
        </w:tc>
        <w:tc>
          <w:tcPr>
            <w:tcW w:w="992" w:type="dxa"/>
            <w:tcBorders>
              <w:top w:val="single" w:sz="4" w:space="0" w:color="365F91"/>
              <w:left w:val="nil"/>
              <w:bottom w:val="single" w:sz="4" w:space="0" w:color="365F91"/>
              <w:right w:val="nil"/>
            </w:tcBorders>
            <w:shd w:val="clear" w:color="auto" w:fill="auto"/>
            <w:vAlign w:val="center"/>
          </w:tcPr>
          <w:p w14:paraId="62692141" w14:textId="77777777" w:rsidR="007523B8" w:rsidRPr="009E06AA" w:rsidRDefault="007523B8" w:rsidP="00B55F24">
            <w:pPr>
              <w:pStyle w:val="TableText"/>
              <w:spacing w:before="40" w:after="40"/>
              <w:rPr>
                <w:rFonts w:asciiTheme="minorHAnsi" w:hAnsiTheme="minorHAnsi" w:cstheme="minorHAnsi"/>
                <w:szCs w:val="16"/>
              </w:rPr>
            </w:pPr>
            <w:r w:rsidRPr="009E06AA">
              <w:rPr>
                <w:rFonts w:asciiTheme="minorHAnsi" w:hAnsiTheme="minorHAnsi" w:cstheme="minorHAnsi"/>
                <w:szCs w:val="16"/>
              </w:rPr>
              <w:t>Synthetic N fertiliser Frac</w:t>
            </w:r>
            <w:r w:rsidRPr="009E06AA">
              <w:rPr>
                <w:rFonts w:asciiTheme="minorHAnsi" w:hAnsiTheme="minorHAnsi" w:cstheme="minorHAnsi"/>
                <w:szCs w:val="16"/>
                <w:vertAlign w:val="subscript"/>
              </w:rPr>
              <w:t>LEACH-(H)</w:t>
            </w:r>
          </w:p>
        </w:tc>
        <w:tc>
          <w:tcPr>
            <w:tcW w:w="1559" w:type="dxa"/>
            <w:tcBorders>
              <w:top w:val="single" w:sz="4" w:space="0" w:color="365F91"/>
              <w:left w:val="nil"/>
              <w:bottom w:val="single" w:sz="4" w:space="0" w:color="365F91"/>
              <w:right w:val="nil"/>
            </w:tcBorders>
            <w:shd w:val="clear" w:color="auto" w:fill="auto"/>
            <w:vAlign w:val="center"/>
          </w:tcPr>
          <w:p w14:paraId="762DADED" w14:textId="77777777" w:rsidR="007523B8" w:rsidRPr="009E06AA" w:rsidRDefault="007523B8" w:rsidP="0011748D">
            <w:pPr>
              <w:pStyle w:val="TableText"/>
              <w:spacing w:before="40" w:after="40"/>
              <w:jc w:val="right"/>
              <w:rPr>
                <w:rFonts w:asciiTheme="minorHAnsi" w:hAnsiTheme="minorHAnsi" w:cstheme="minorHAnsi"/>
                <w:szCs w:val="16"/>
              </w:rPr>
            </w:pPr>
            <w:r w:rsidRPr="009E06AA">
              <w:rPr>
                <w:rFonts w:asciiTheme="minorHAnsi" w:hAnsiTheme="minorHAnsi" w:cstheme="minorHAnsi"/>
                <w:szCs w:val="16"/>
              </w:rPr>
              <w:t>0.082</w:t>
            </w:r>
          </w:p>
        </w:tc>
        <w:tc>
          <w:tcPr>
            <w:tcW w:w="1701" w:type="dxa"/>
            <w:tcBorders>
              <w:top w:val="single" w:sz="4" w:space="0" w:color="365F91"/>
              <w:left w:val="nil"/>
              <w:bottom w:val="single" w:sz="4" w:space="0" w:color="365F91"/>
              <w:right w:val="nil"/>
            </w:tcBorders>
            <w:shd w:val="clear" w:color="auto" w:fill="auto"/>
            <w:vAlign w:val="center"/>
          </w:tcPr>
          <w:p w14:paraId="51764BD7" w14:textId="77777777" w:rsidR="007523B8" w:rsidRPr="009E06AA" w:rsidRDefault="007523B8" w:rsidP="00B55F24">
            <w:pPr>
              <w:pStyle w:val="TableText"/>
              <w:spacing w:before="40" w:after="40"/>
              <w:rPr>
                <w:rFonts w:asciiTheme="minorHAnsi" w:hAnsiTheme="minorHAnsi" w:cstheme="minorHAnsi"/>
                <w:szCs w:val="16"/>
              </w:rPr>
            </w:pPr>
            <w:r w:rsidRPr="009E06AA">
              <w:rPr>
                <w:rFonts w:asciiTheme="minorHAnsi" w:hAnsiTheme="minorHAnsi" w:cstheme="minorHAnsi"/>
                <w:szCs w:val="16"/>
              </w:rPr>
              <w:t>kg N/kg N</w:t>
            </w:r>
          </w:p>
        </w:tc>
        <w:tc>
          <w:tcPr>
            <w:tcW w:w="2126" w:type="dxa"/>
            <w:tcBorders>
              <w:top w:val="single" w:sz="4" w:space="0" w:color="365F91"/>
              <w:left w:val="nil"/>
              <w:bottom w:val="single" w:sz="4" w:space="0" w:color="365F91"/>
              <w:right w:val="nil"/>
            </w:tcBorders>
            <w:shd w:val="clear" w:color="auto" w:fill="auto"/>
            <w:vAlign w:val="center"/>
          </w:tcPr>
          <w:p w14:paraId="424862ED" w14:textId="77777777" w:rsidR="007523B8" w:rsidRPr="009E06AA" w:rsidRDefault="007523B8" w:rsidP="00B55F24">
            <w:pPr>
              <w:pStyle w:val="TableText"/>
              <w:spacing w:before="40" w:after="40"/>
              <w:rPr>
                <w:rFonts w:asciiTheme="minorHAnsi" w:hAnsiTheme="minorHAnsi" w:cstheme="minorHAnsi"/>
                <w:szCs w:val="16"/>
              </w:rPr>
            </w:pPr>
            <w:r w:rsidRPr="009E06AA">
              <w:rPr>
                <w:rFonts w:asciiTheme="minorHAnsi" w:hAnsiTheme="minorHAnsi" w:cstheme="minorHAnsi"/>
                <w:szCs w:val="16"/>
              </w:rPr>
              <w:t>Calculated based off of Welten et al. (2021)</w:t>
            </w:r>
          </w:p>
        </w:tc>
      </w:tr>
      <w:tr w:rsidR="007523B8" w:rsidRPr="009E06AA" w14:paraId="3B2C742C" w14:textId="77777777" w:rsidTr="00B55F24">
        <w:tc>
          <w:tcPr>
            <w:tcW w:w="2127" w:type="dxa"/>
          </w:tcPr>
          <w:p w14:paraId="44F00AA4" w14:textId="77777777" w:rsidR="007523B8" w:rsidRPr="009E06AA" w:rsidRDefault="007523B8" w:rsidP="00B55F24">
            <w:pPr>
              <w:pStyle w:val="TableText"/>
              <w:spacing w:before="40" w:after="40"/>
              <w:rPr>
                <w:rFonts w:cs="Calibri"/>
              </w:rPr>
            </w:pPr>
            <w:r w:rsidRPr="009E06AA">
              <w:rPr>
                <w:rFonts w:cs="Calibri"/>
              </w:rPr>
              <w:t xml:space="preserve">Fraction of crop residue burned in the field </w:t>
            </w:r>
          </w:p>
        </w:tc>
        <w:tc>
          <w:tcPr>
            <w:tcW w:w="992" w:type="dxa"/>
            <w:tcBorders>
              <w:top w:val="single" w:sz="4" w:space="0" w:color="365F91"/>
            </w:tcBorders>
          </w:tcPr>
          <w:p w14:paraId="47D51111" w14:textId="77777777" w:rsidR="007523B8" w:rsidRPr="009E06AA" w:rsidRDefault="007523B8" w:rsidP="00B55F24">
            <w:pPr>
              <w:pStyle w:val="TableText"/>
              <w:spacing w:before="40" w:after="40"/>
              <w:rPr>
                <w:rFonts w:cs="Calibri"/>
              </w:rPr>
            </w:pPr>
            <w:r w:rsidRPr="009E06AA">
              <w:rPr>
                <w:rFonts w:cs="Calibri"/>
              </w:rPr>
              <w:t>Frac</w:t>
            </w:r>
            <w:r w:rsidRPr="009E06AA">
              <w:rPr>
                <w:rFonts w:cs="Calibri"/>
                <w:vertAlign w:val="subscript"/>
              </w:rPr>
              <w:t>BURN</w:t>
            </w:r>
          </w:p>
        </w:tc>
        <w:tc>
          <w:tcPr>
            <w:tcW w:w="1559" w:type="dxa"/>
            <w:tcBorders>
              <w:top w:val="single" w:sz="4" w:space="0" w:color="365F91"/>
            </w:tcBorders>
          </w:tcPr>
          <w:p w14:paraId="53FC8AB2" w14:textId="77777777" w:rsidR="007523B8" w:rsidRPr="009E06AA" w:rsidRDefault="007523B8" w:rsidP="0011748D">
            <w:pPr>
              <w:pStyle w:val="TableText"/>
              <w:spacing w:before="40" w:after="40"/>
              <w:jc w:val="right"/>
              <w:rPr>
                <w:rFonts w:cs="Calibri"/>
              </w:rPr>
            </w:pPr>
            <w:r w:rsidRPr="009E06AA">
              <w:rPr>
                <w:rFonts w:cs="Calibri"/>
              </w:rPr>
              <w:t>Crop-specific</w:t>
            </w:r>
          </w:p>
        </w:tc>
        <w:tc>
          <w:tcPr>
            <w:tcW w:w="1701" w:type="dxa"/>
            <w:tcBorders>
              <w:top w:val="single" w:sz="4" w:space="0" w:color="365F91"/>
            </w:tcBorders>
          </w:tcPr>
          <w:p w14:paraId="1A61C07C" w14:textId="77777777" w:rsidR="007523B8" w:rsidRPr="009E06AA" w:rsidRDefault="007523B8" w:rsidP="00B55F24">
            <w:pPr>
              <w:pStyle w:val="TableText"/>
              <w:spacing w:before="40" w:after="40"/>
              <w:rPr>
                <w:rFonts w:cs="Calibri"/>
              </w:rPr>
            </w:pPr>
            <w:r w:rsidRPr="009E06AA">
              <w:rPr>
                <w:rFonts w:cs="Calibri"/>
              </w:rPr>
              <w:t>kg N/kg crop-N</w:t>
            </w:r>
          </w:p>
        </w:tc>
        <w:tc>
          <w:tcPr>
            <w:tcW w:w="2126" w:type="dxa"/>
            <w:tcBorders>
              <w:top w:val="single" w:sz="4" w:space="0" w:color="365F91"/>
            </w:tcBorders>
          </w:tcPr>
          <w:p w14:paraId="33220527" w14:textId="77777777" w:rsidR="007523B8" w:rsidRPr="009E06AA" w:rsidRDefault="007523B8" w:rsidP="00B55F24">
            <w:pPr>
              <w:pStyle w:val="TableText"/>
              <w:spacing w:before="40" w:after="40"/>
              <w:rPr>
                <w:rFonts w:cs="Calibri"/>
              </w:rPr>
            </w:pPr>
            <w:r w:rsidRPr="009E06AA">
              <w:rPr>
                <w:rFonts w:cs="Calibri"/>
              </w:rPr>
              <w:t>Thomas et al. (2008, table 14)</w:t>
            </w:r>
          </w:p>
        </w:tc>
      </w:tr>
      <w:tr w:rsidR="007523B8" w:rsidRPr="009E06AA" w14:paraId="139AD4DD" w14:textId="77777777" w:rsidTr="00B55F24">
        <w:tc>
          <w:tcPr>
            <w:tcW w:w="2127" w:type="dxa"/>
          </w:tcPr>
          <w:p w14:paraId="33718F02" w14:textId="77777777" w:rsidR="007523B8" w:rsidRPr="009E06AA" w:rsidRDefault="007523B8" w:rsidP="00B55F24">
            <w:pPr>
              <w:pStyle w:val="TableText"/>
              <w:keepNext/>
              <w:spacing w:before="40" w:after="40"/>
              <w:rPr>
                <w:rFonts w:cs="Calibri"/>
              </w:rPr>
            </w:pPr>
            <w:r w:rsidRPr="009E06AA">
              <w:rPr>
                <w:rFonts w:cs="Calibri"/>
              </w:rPr>
              <w:t>Fraction of legume crop residue burning in the field</w:t>
            </w:r>
          </w:p>
        </w:tc>
        <w:tc>
          <w:tcPr>
            <w:tcW w:w="992" w:type="dxa"/>
          </w:tcPr>
          <w:p w14:paraId="2687FD18" w14:textId="77777777" w:rsidR="007523B8" w:rsidRPr="009E06AA" w:rsidRDefault="007523B8" w:rsidP="00B55F24">
            <w:pPr>
              <w:pStyle w:val="TableText"/>
              <w:keepNext/>
              <w:spacing w:before="40" w:after="40"/>
              <w:rPr>
                <w:rFonts w:cs="Calibri"/>
              </w:rPr>
            </w:pPr>
            <w:r w:rsidRPr="009E06AA">
              <w:rPr>
                <w:rFonts w:cs="Calibri"/>
              </w:rPr>
              <w:t>Frac</w:t>
            </w:r>
            <w:r w:rsidRPr="009E06AA">
              <w:rPr>
                <w:rFonts w:cs="Calibri"/>
                <w:vertAlign w:val="subscript"/>
              </w:rPr>
              <w:t>BURNL</w:t>
            </w:r>
          </w:p>
        </w:tc>
        <w:tc>
          <w:tcPr>
            <w:tcW w:w="1559" w:type="dxa"/>
          </w:tcPr>
          <w:p w14:paraId="4A05527E" w14:textId="77777777" w:rsidR="007523B8" w:rsidRPr="009E06AA" w:rsidRDefault="007523B8" w:rsidP="0011748D">
            <w:pPr>
              <w:pStyle w:val="TableText"/>
              <w:keepNext/>
              <w:spacing w:before="40" w:after="40"/>
              <w:jc w:val="right"/>
              <w:rPr>
                <w:rFonts w:cs="Calibri"/>
              </w:rPr>
            </w:pPr>
            <w:r w:rsidRPr="009E06AA">
              <w:rPr>
                <w:rFonts w:cs="Calibri"/>
              </w:rPr>
              <w:t>0 (not burned in NZ)</w:t>
            </w:r>
          </w:p>
        </w:tc>
        <w:tc>
          <w:tcPr>
            <w:tcW w:w="1701" w:type="dxa"/>
          </w:tcPr>
          <w:p w14:paraId="493A7E45" w14:textId="77777777" w:rsidR="007523B8" w:rsidRPr="009E06AA" w:rsidRDefault="007523B8" w:rsidP="00B55F24">
            <w:pPr>
              <w:pStyle w:val="TableText"/>
              <w:keepNext/>
              <w:spacing w:before="40" w:after="40"/>
              <w:rPr>
                <w:rFonts w:cs="Calibri"/>
              </w:rPr>
            </w:pPr>
            <w:r w:rsidRPr="009E06AA">
              <w:rPr>
                <w:rFonts w:cs="Calibri"/>
              </w:rPr>
              <w:t>kg N/kg crop-N</w:t>
            </w:r>
          </w:p>
        </w:tc>
        <w:tc>
          <w:tcPr>
            <w:tcW w:w="2126" w:type="dxa"/>
          </w:tcPr>
          <w:p w14:paraId="640AF661" w14:textId="77777777" w:rsidR="007523B8" w:rsidRPr="009E06AA" w:rsidRDefault="007523B8" w:rsidP="00B55F24">
            <w:pPr>
              <w:pStyle w:val="TableText"/>
              <w:keepNext/>
              <w:spacing w:before="40" w:after="40"/>
              <w:rPr>
                <w:rFonts w:cs="Calibri"/>
              </w:rPr>
            </w:pPr>
            <w:r w:rsidRPr="009E06AA">
              <w:rPr>
                <w:rFonts w:cs="Calibri"/>
              </w:rPr>
              <w:t xml:space="preserve">Thomas et al. (2008) </w:t>
            </w:r>
          </w:p>
        </w:tc>
      </w:tr>
      <w:tr w:rsidR="007523B8" w:rsidRPr="009E06AA" w14:paraId="7F9A4BF9" w14:textId="77777777" w:rsidTr="00B55F24">
        <w:tc>
          <w:tcPr>
            <w:tcW w:w="2127" w:type="dxa"/>
          </w:tcPr>
          <w:p w14:paraId="35E4CBCC" w14:textId="77777777" w:rsidR="007523B8" w:rsidRPr="009E06AA" w:rsidRDefault="007523B8" w:rsidP="00B55F24">
            <w:pPr>
              <w:pStyle w:val="TableText"/>
              <w:spacing w:before="40" w:after="40"/>
              <w:rPr>
                <w:rFonts w:cs="Calibri"/>
              </w:rPr>
            </w:pPr>
            <w:r w:rsidRPr="009E06AA">
              <w:rPr>
                <w:rFonts w:cs="Calibri"/>
              </w:rPr>
              <w:t>Fraction of land undergoing pasture renewal</w:t>
            </w:r>
          </w:p>
        </w:tc>
        <w:tc>
          <w:tcPr>
            <w:tcW w:w="992" w:type="dxa"/>
          </w:tcPr>
          <w:p w14:paraId="256B1CB7" w14:textId="77777777" w:rsidR="007523B8" w:rsidRPr="009E06AA" w:rsidRDefault="007523B8" w:rsidP="00B55F24">
            <w:pPr>
              <w:pStyle w:val="TableText"/>
              <w:spacing w:before="40" w:after="40"/>
              <w:rPr>
                <w:rFonts w:cs="Calibri"/>
              </w:rPr>
            </w:pPr>
            <w:r w:rsidRPr="009E06AA">
              <w:rPr>
                <w:rFonts w:cs="Calibri"/>
              </w:rPr>
              <w:t>Frac</w:t>
            </w:r>
            <w:r w:rsidRPr="009E06AA">
              <w:rPr>
                <w:rFonts w:cs="Calibri"/>
                <w:vertAlign w:val="subscript"/>
              </w:rPr>
              <w:t>RENEW</w:t>
            </w:r>
          </w:p>
        </w:tc>
        <w:tc>
          <w:tcPr>
            <w:tcW w:w="1559" w:type="dxa"/>
          </w:tcPr>
          <w:p w14:paraId="19395686" w14:textId="77777777" w:rsidR="007523B8" w:rsidRPr="009E06AA" w:rsidRDefault="007523B8" w:rsidP="0011748D">
            <w:pPr>
              <w:pStyle w:val="TableText"/>
              <w:spacing w:before="40" w:after="40"/>
              <w:jc w:val="right"/>
              <w:rPr>
                <w:rStyle w:val="CommentReference"/>
                <w:rFonts w:cs="Calibri"/>
              </w:rPr>
            </w:pPr>
            <w:r w:rsidRPr="009E06AA">
              <w:rPr>
                <w:rStyle w:val="CommentReference"/>
                <w:rFonts w:cs="Calibri"/>
              </w:rPr>
              <w:t>Year-specific</w:t>
            </w:r>
          </w:p>
        </w:tc>
        <w:tc>
          <w:tcPr>
            <w:tcW w:w="1701" w:type="dxa"/>
          </w:tcPr>
          <w:p w14:paraId="47B91571" w14:textId="77777777" w:rsidR="007523B8" w:rsidRPr="009E06AA" w:rsidRDefault="007523B8" w:rsidP="00B55F24">
            <w:pPr>
              <w:pStyle w:val="TableText"/>
              <w:spacing w:before="40" w:after="40"/>
              <w:rPr>
                <w:rFonts w:cs="Calibri"/>
              </w:rPr>
            </w:pPr>
          </w:p>
        </w:tc>
        <w:tc>
          <w:tcPr>
            <w:tcW w:w="2126" w:type="dxa"/>
          </w:tcPr>
          <w:p w14:paraId="227863D3" w14:textId="77777777" w:rsidR="007523B8" w:rsidRPr="009E06AA" w:rsidRDefault="007523B8" w:rsidP="00B55F24">
            <w:pPr>
              <w:pStyle w:val="TableText"/>
              <w:spacing w:before="40" w:after="40"/>
              <w:rPr>
                <w:rFonts w:cs="Calibri"/>
              </w:rPr>
            </w:pPr>
            <w:r w:rsidRPr="009E06AA">
              <w:rPr>
                <w:rFonts w:cs="Calibri"/>
              </w:rPr>
              <w:t>Beare et al. (unpublished); Thomas et al. (2014)</w:t>
            </w:r>
          </w:p>
        </w:tc>
      </w:tr>
      <w:tr w:rsidR="007523B8" w:rsidRPr="009E06AA" w14:paraId="0E41BE7D" w14:textId="77777777" w:rsidTr="00B55F24">
        <w:tc>
          <w:tcPr>
            <w:tcW w:w="2127" w:type="dxa"/>
          </w:tcPr>
          <w:p w14:paraId="5D6183BF" w14:textId="77777777" w:rsidR="007523B8" w:rsidRPr="009E06AA" w:rsidRDefault="007523B8" w:rsidP="00B55F24">
            <w:pPr>
              <w:pStyle w:val="TableText"/>
              <w:spacing w:before="40" w:after="40"/>
              <w:rPr>
                <w:rFonts w:cs="Calibri"/>
              </w:rPr>
            </w:pPr>
            <w:r w:rsidRPr="009E06AA">
              <w:rPr>
                <w:rFonts w:cs="Calibri"/>
              </w:rPr>
              <w:t>Fraction of nitrogen in above-ground residues removed for bedding, feed or construction</w:t>
            </w:r>
          </w:p>
        </w:tc>
        <w:tc>
          <w:tcPr>
            <w:tcW w:w="992" w:type="dxa"/>
          </w:tcPr>
          <w:p w14:paraId="01080CA2" w14:textId="77777777" w:rsidR="007523B8" w:rsidRPr="009E06AA" w:rsidRDefault="007523B8" w:rsidP="00B55F24">
            <w:pPr>
              <w:pStyle w:val="TableText"/>
              <w:spacing w:before="40" w:after="40"/>
              <w:rPr>
                <w:rFonts w:cs="Calibri"/>
              </w:rPr>
            </w:pPr>
            <w:r w:rsidRPr="009E06AA">
              <w:rPr>
                <w:rFonts w:cs="Calibri"/>
              </w:rPr>
              <w:t>Frac</w:t>
            </w:r>
            <w:r w:rsidRPr="009E06AA">
              <w:rPr>
                <w:rFonts w:cs="Calibri"/>
                <w:vertAlign w:val="subscript"/>
              </w:rPr>
              <w:t>REMOVE</w:t>
            </w:r>
          </w:p>
        </w:tc>
        <w:tc>
          <w:tcPr>
            <w:tcW w:w="1559" w:type="dxa"/>
          </w:tcPr>
          <w:p w14:paraId="2CD958F4" w14:textId="77777777" w:rsidR="007523B8" w:rsidRPr="009E06AA" w:rsidRDefault="007523B8" w:rsidP="0011748D">
            <w:pPr>
              <w:pStyle w:val="TableText"/>
              <w:spacing w:before="40" w:after="40"/>
              <w:jc w:val="right"/>
              <w:rPr>
                <w:rFonts w:cs="Calibri"/>
              </w:rPr>
            </w:pPr>
            <w:r w:rsidRPr="009E06AA">
              <w:rPr>
                <w:rFonts w:cs="Calibri"/>
              </w:rPr>
              <w:t>0</w:t>
            </w:r>
          </w:p>
        </w:tc>
        <w:tc>
          <w:tcPr>
            <w:tcW w:w="1701" w:type="dxa"/>
          </w:tcPr>
          <w:p w14:paraId="293641AA" w14:textId="77777777" w:rsidR="007523B8" w:rsidRPr="009E06AA" w:rsidRDefault="007523B8" w:rsidP="00B55F24">
            <w:pPr>
              <w:pStyle w:val="TableText"/>
              <w:spacing w:before="40" w:after="40"/>
              <w:rPr>
                <w:rFonts w:cs="Calibri"/>
              </w:rPr>
            </w:pPr>
            <w:r w:rsidRPr="009E06AA">
              <w:rPr>
                <w:rFonts w:cs="Calibri"/>
              </w:rPr>
              <w:t>kg N/kg crop-N</w:t>
            </w:r>
          </w:p>
        </w:tc>
        <w:tc>
          <w:tcPr>
            <w:tcW w:w="2126" w:type="dxa"/>
          </w:tcPr>
          <w:p w14:paraId="2181DE81" w14:textId="77777777" w:rsidR="007523B8" w:rsidRPr="009E06AA" w:rsidRDefault="007523B8" w:rsidP="00B55F24">
            <w:pPr>
              <w:pStyle w:val="TableText"/>
              <w:spacing w:before="40" w:after="40"/>
              <w:rPr>
                <w:rFonts w:cs="Calibri"/>
              </w:rPr>
            </w:pPr>
            <w:r w:rsidRPr="009E06AA">
              <w:rPr>
                <w:rFonts w:cs="Calibri"/>
              </w:rPr>
              <w:t>Thomas et al. (2014)</w:t>
            </w:r>
          </w:p>
        </w:tc>
      </w:tr>
    </w:tbl>
    <w:p w14:paraId="0B358569" w14:textId="77777777" w:rsidR="007523B8" w:rsidRPr="009E06AA" w:rsidRDefault="007523B8" w:rsidP="007523B8">
      <w:pPr>
        <w:pStyle w:val="Table"/>
        <w:spacing w:before="240"/>
        <w:rPr>
          <w:rFonts w:cs="Calibri"/>
        </w:rPr>
      </w:pPr>
      <w:bookmarkStart w:id="1260" w:name="_Toc441830882"/>
      <w:bookmarkStart w:id="1261" w:name="_Toc451176096"/>
      <w:bookmarkStart w:id="1262" w:name="_Toc481751524"/>
      <w:bookmarkStart w:id="1263" w:name="_Toc507158612"/>
      <w:bookmarkStart w:id="1264" w:name="_Toc511116746"/>
      <w:bookmarkStart w:id="1265" w:name="_Toc5269488"/>
      <w:bookmarkStart w:id="1266" w:name="_Toc32570931"/>
      <w:bookmarkStart w:id="1267" w:name="_Toc36224566"/>
      <w:bookmarkStart w:id="1268" w:name="_Toc68786451"/>
      <w:bookmarkStart w:id="1269" w:name="_Toc95574084"/>
      <w:bookmarkStart w:id="1270" w:name="_Toc127458271"/>
      <w:bookmarkStart w:id="1271" w:name="_Toc131591367"/>
      <w:bookmarkStart w:id="1272" w:name="_Toc160114461"/>
      <w:bookmarkStart w:id="1273" w:name="_Toc164153857"/>
      <w:r w:rsidRPr="009E06AA">
        <w:rPr>
          <w:rFonts w:cs="Calibri"/>
        </w:rPr>
        <w:t>Table 5.5.5</w:t>
      </w:r>
      <w:r w:rsidRPr="009E06AA">
        <w:rPr>
          <w:rFonts w:cs="Calibri"/>
        </w:rPr>
        <w:tab/>
        <w:t>Emission factors and parameter values for use of mitigation technologies</w:t>
      </w:r>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p>
    <w:tbl>
      <w:tblPr>
        <w:tblW w:w="8505" w:type="dxa"/>
        <w:tblBorders>
          <w:top w:val="single" w:sz="4" w:space="0" w:color="365F91"/>
          <w:bottom w:val="single" w:sz="4" w:space="0" w:color="365F91"/>
          <w:insideH w:val="single" w:sz="4" w:space="0" w:color="365F91"/>
        </w:tblBorders>
        <w:tblLayout w:type="fixed"/>
        <w:tblLook w:val="01E0" w:firstRow="1" w:lastRow="1" w:firstColumn="1" w:lastColumn="1" w:noHBand="0" w:noVBand="0"/>
      </w:tblPr>
      <w:tblGrid>
        <w:gridCol w:w="4786"/>
        <w:gridCol w:w="1268"/>
        <w:gridCol w:w="845"/>
        <w:gridCol w:w="1606"/>
      </w:tblGrid>
      <w:tr w:rsidR="007523B8" w:rsidRPr="009E06AA" w14:paraId="546991EC" w14:textId="77777777" w:rsidTr="00B55F24">
        <w:trPr>
          <w:tblHeader/>
        </w:trPr>
        <w:tc>
          <w:tcPr>
            <w:tcW w:w="4820" w:type="dxa"/>
            <w:tcBorders>
              <w:top w:val="single" w:sz="4" w:space="0" w:color="1B556B" w:themeColor="text2"/>
              <w:bottom w:val="single" w:sz="4" w:space="0" w:color="1B556B" w:themeColor="text2"/>
            </w:tcBorders>
            <w:shd w:val="clear" w:color="auto" w:fill="1B556B"/>
            <w:vAlign w:val="bottom"/>
          </w:tcPr>
          <w:p w14:paraId="1F4BCD9F" w14:textId="77777777" w:rsidR="007523B8" w:rsidRPr="009E06AA" w:rsidRDefault="007523B8" w:rsidP="00B55F24">
            <w:pPr>
              <w:pStyle w:val="TableTextBold"/>
              <w:keepNext/>
              <w:spacing w:before="40" w:after="40"/>
              <w:rPr>
                <w:noProof w:val="0"/>
                <w:color w:val="FFFFFF" w:themeColor="background1"/>
              </w:rPr>
            </w:pPr>
            <w:r w:rsidRPr="009E06AA">
              <w:rPr>
                <w:noProof w:val="0"/>
                <w:color w:val="FFFFFF" w:themeColor="background1"/>
              </w:rPr>
              <w:t>Category</w:t>
            </w:r>
          </w:p>
        </w:tc>
        <w:tc>
          <w:tcPr>
            <w:tcW w:w="2126" w:type="dxa"/>
            <w:gridSpan w:val="2"/>
            <w:tcBorders>
              <w:top w:val="single" w:sz="4" w:space="0" w:color="1B556B" w:themeColor="text2"/>
              <w:bottom w:val="single" w:sz="4" w:space="0" w:color="1B556B" w:themeColor="text2"/>
            </w:tcBorders>
            <w:shd w:val="clear" w:color="auto" w:fill="1B556B"/>
            <w:vAlign w:val="bottom"/>
          </w:tcPr>
          <w:p w14:paraId="3A1C1EFF" w14:textId="77777777" w:rsidR="007523B8" w:rsidRPr="009E06AA" w:rsidRDefault="007523B8" w:rsidP="00B55F24">
            <w:pPr>
              <w:pStyle w:val="TableTextBold"/>
              <w:keepNext/>
              <w:spacing w:before="40" w:after="40"/>
              <w:jc w:val="center"/>
              <w:rPr>
                <w:noProof w:val="0"/>
                <w:color w:val="FFFFFF" w:themeColor="background1"/>
              </w:rPr>
            </w:pPr>
            <w:r w:rsidRPr="009E06AA">
              <w:rPr>
                <w:noProof w:val="0"/>
                <w:color w:val="FFFFFF" w:themeColor="background1"/>
              </w:rPr>
              <w:t>Parameter and value (%)</w:t>
            </w:r>
          </w:p>
        </w:tc>
        <w:tc>
          <w:tcPr>
            <w:tcW w:w="1616" w:type="dxa"/>
            <w:tcBorders>
              <w:top w:val="single" w:sz="4" w:space="0" w:color="1B556B" w:themeColor="text2"/>
              <w:bottom w:val="single" w:sz="4" w:space="0" w:color="1B556B" w:themeColor="text2"/>
            </w:tcBorders>
            <w:shd w:val="clear" w:color="auto" w:fill="1B556B"/>
            <w:vAlign w:val="bottom"/>
          </w:tcPr>
          <w:p w14:paraId="63DDF0BE" w14:textId="77777777" w:rsidR="007523B8" w:rsidRPr="009E06AA" w:rsidRDefault="007523B8" w:rsidP="00B55F24">
            <w:pPr>
              <w:pStyle w:val="TableTextBold"/>
              <w:keepNext/>
              <w:spacing w:before="40" w:after="40"/>
              <w:jc w:val="center"/>
              <w:rPr>
                <w:noProof w:val="0"/>
                <w:color w:val="FFFFFF" w:themeColor="background1"/>
              </w:rPr>
            </w:pPr>
            <w:r w:rsidRPr="009E06AA">
              <w:rPr>
                <w:noProof w:val="0"/>
                <w:color w:val="FFFFFF" w:themeColor="background1"/>
              </w:rPr>
              <w:t>Source</w:t>
            </w:r>
          </w:p>
        </w:tc>
      </w:tr>
      <w:tr w:rsidR="007523B8" w:rsidRPr="009E06AA" w14:paraId="4331C394" w14:textId="77777777" w:rsidTr="00B55F24">
        <w:tc>
          <w:tcPr>
            <w:tcW w:w="4820" w:type="dxa"/>
            <w:tcBorders>
              <w:top w:val="single" w:sz="4" w:space="0" w:color="1B556B" w:themeColor="text2"/>
            </w:tcBorders>
          </w:tcPr>
          <w:p w14:paraId="710FEFF6" w14:textId="77777777" w:rsidR="007523B8" w:rsidRPr="009E06AA" w:rsidRDefault="007523B8" w:rsidP="00B55F24">
            <w:pPr>
              <w:pStyle w:val="TableText"/>
              <w:spacing w:before="40" w:after="40"/>
              <w:rPr>
                <w:rFonts w:cs="Calibri"/>
              </w:rPr>
            </w:pPr>
            <w:r w:rsidRPr="009E06AA">
              <w:rPr>
                <w:rFonts w:cs="Calibri"/>
              </w:rPr>
              <w:t>Urine from grazing dairy cattle in pasture, range and paddock systems with application of dicyandiamide (DCD)</w:t>
            </w:r>
          </w:p>
        </w:tc>
        <w:tc>
          <w:tcPr>
            <w:tcW w:w="1276" w:type="dxa"/>
            <w:tcBorders>
              <w:top w:val="single" w:sz="4" w:space="0" w:color="1B556B" w:themeColor="text2"/>
            </w:tcBorders>
          </w:tcPr>
          <w:p w14:paraId="0B75996C" w14:textId="77777777" w:rsidR="007523B8" w:rsidRPr="009E06AA" w:rsidRDefault="007523B8" w:rsidP="00B55F24">
            <w:pPr>
              <w:pStyle w:val="TableText"/>
              <w:spacing w:before="40" w:after="40"/>
              <w:rPr>
                <w:rFonts w:cs="Calibri"/>
              </w:rPr>
            </w:pPr>
            <w:r w:rsidRPr="009E06AA">
              <w:rPr>
                <w:rFonts w:cs="Calibri"/>
              </w:rPr>
              <w:t>EF</w:t>
            </w:r>
            <w:r w:rsidRPr="009E06AA">
              <w:rPr>
                <w:rFonts w:cs="Calibri"/>
                <w:vertAlign w:val="subscript"/>
              </w:rPr>
              <w:t>3(PRP-DCD)</w:t>
            </w:r>
          </w:p>
        </w:tc>
        <w:tc>
          <w:tcPr>
            <w:tcW w:w="850" w:type="dxa"/>
            <w:tcBorders>
              <w:top w:val="single" w:sz="4" w:space="0" w:color="1B556B" w:themeColor="text2"/>
            </w:tcBorders>
          </w:tcPr>
          <w:p w14:paraId="398B6AD3" w14:textId="77777777" w:rsidR="007523B8" w:rsidRPr="009E06AA" w:rsidRDefault="007523B8" w:rsidP="0011748D">
            <w:pPr>
              <w:pStyle w:val="TableText"/>
              <w:spacing w:before="40" w:after="40"/>
              <w:jc w:val="right"/>
              <w:rPr>
                <w:rFonts w:cs="Calibri"/>
              </w:rPr>
            </w:pPr>
            <w:r w:rsidRPr="009E06AA">
              <w:rPr>
                <w:rFonts w:cs="Calibri"/>
              </w:rPr>
              <w:t>0.67</w:t>
            </w:r>
          </w:p>
        </w:tc>
        <w:tc>
          <w:tcPr>
            <w:tcW w:w="1616" w:type="dxa"/>
            <w:tcBorders>
              <w:top w:val="single" w:sz="4" w:space="0" w:color="1B556B" w:themeColor="text2"/>
            </w:tcBorders>
          </w:tcPr>
          <w:p w14:paraId="348DE909" w14:textId="77777777" w:rsidR="007523B8" w:rsidRPr="009E06AA" w:rsidRDefault="007523B8" w:rsidP="00B55F24">
            <w:pPr>
              <w:pStyle w:val="TableText"/>
              <w:spacing w:before="40" w:after="40"/>
              <w:rPr>
                <w:rFonts w:cs="Calibri"/>
              </w:rPr>
            </w:pPr>
            <w:r w:rsidRPr="009E06AA">
              <w:rPr>
                <w:rFonts w:cs="Calibri"/>
              </w:rPr>
              <w:t>Clough et al. (2008)</w:t>
            </w:r>
          </w:p>
        </w:tc>
      </w:tr>
      <w:tr w:rsidR="007523B8" w:rsidRPr="009E06AA" w14:paraId="2EC9FAA3" w14:textId="77777777" w:rsidTr="00B55F24">
        <w:tc>
          <w:tcPr>
            <w:tcW w:w="4820" w:type="dxa"/>
          </w:tcPr>
          <w:p w14:paraId="6728DF47" w14:textId="77777777" w:rsidR="007523B8" w:rsidRPr="009E06AA" w:rsidRDefault="007523B8" w:rsidP="00B55F24">
            <w:pPr>
              <w:pStyle w:val="TableText"/>
              <w:spacing w:before="40" w:after="40"/>
              <w:rPr>
                <w:rFonts w:cs="Calibri"/>
              </w:rPr>
            </w:pPr>
            <w:r w:rsidRPr="009E06AA">
              <w:rPr>
                <w:rFonts w:cs="Calibri"/>
              </w:rPr>
              <w:t>Fraction of nitrogen from leaching and runoff with application of DCD</w:t>
            </w:r>
          </w:p>
        </w:tc>
        <w:tc>
          <w:tcPr>
            <w:tcW w:w="1276" w:type="dxa"/>
          </w:tcPr>
          <w:p w14:paraId="260A90D2" w14:textId="77777777" w:rsidR="007523B8" w:rsidRPr="009E06AA" w:rsidRDefault="007523B8" w:rsidP="00B55F24">
            <w:pPr>
              <w:pStyle w:val="TableText"/>
              <w:spacing w:before="40" w:after="40"/>
              <w:rPr>
                <w:rFonts w:cs="Calibri"/>
              </w:rPr>
            </w:pPr>
            <w:r w:rsidRPr="009E06AA">
              <w:rPr>
                <w:rFonts w:cs="Calibri"/>
              </w:rPr>
              <w:t>Frac</w:t>
            </w:r>
            <w:r w:rsidRPr="009E06AA">
              <w:rPr>
                <w:rFonts w:cs="Calibri"/>
                <w:vertAlign w:val="subscript"/>
              </w:rPr>
              <w:t>LEACH – (H)-DCD</w:t>
            </w:r>
          </w:p>
        </w:tc>
        <w:tc>
          <w:tcPr>
            <w:tcW w:w="850" w:type="dxa"/>
          </w:tcPr>
          <w:p w14:paraId="7E627C96" w14:textId="77777777" w:rsidR="007523B8" w:rsidRPr="009E06AA" w:rsidRDefault="007523B8" w:rsidP="0011748D">
            <w:pPr>
              <w:pStyle w:val="TableText"/>
              <w:spacing w:before="40" w:after="40"/>
              <w:jc w:val="right"/>
              <w:rPr>
                <w:rFonts w:cs="Calibri"/>
              </w:rPr>
            </w:pPr>
            <w:r w:rsidRPr="009E06AA">
              <w:rPr>
                <w:rFonts w:cs="Calibri"/>
              </w:rPr>
              <w:t>0.53</w:t>
            </w:r>
          </w:p>
        </w:tc>
        <w:tc>
          <w:tcPr>
            <w:tcW w:w="1616" w:type="dxa"/>
          </w:tcPr>
          <w:p w14:paraId="23527E74" w14:textId="77777777" w:rsidR="007523B8" w:rsidRPr="009E06AA" w:rsidRDefault="007523B8" w:rsidP="00B55F24">
            <w:pPr>
              <w:pStyle w:val="TableText"/>
              <w:spacing w:before="40" w:after="40"/>
              <w:rPr>
                <w:rFonts w:cs="Calibri"/>
              </w:rPr>
            </w:pPr>
            <w:r w:rsidRPr="009E06AA">
              <w:rPr>
                <w:rFonts w:cs="Calibri"/>
              </w:rPr>
              <w:t>Clough et al. (2008)</w:t>
            </w:r>
          </w:p>
        </w:tc>
      </w:tr>
      <w:tr w:rsidR="007523B8" w:rsidRPr="009E06AA" w14:paraId="6448818B" w14:textId="77777777" w:rsidTr="00B55F24">
        <w:tc>
          <w:tcPr>
            <w:tcW w:w="4820" w:type="dxa"/>
          </w:tcPr>
          <w:p w14:paraId="15A11888" w14:textId="77777777" w:rsidR="007523B8" w:rsidRPr="009E06AA" w:rsidRDefault="007523B8" w:rsidP="00B55F24">
            <w:pPr>
              <w:pStyle w:val="TableText"/>
              <w:spacing w:before="40" w:after="40"/>
              <w:rPr>
                <w:rFonts w:cs="Calibri"/>
              </w:rPr>
            </w:pPr>
            <w:r w:rsidRPr="009E06AA">
              <w:rPr>
                <w:rFonts w:cs="Calibri"/>
              </w:rPr>
              <w:t>Volatilisation from synthetic nitrogen fertiliser coated with urease inhibitor (nBTPT)</w:t>
            </w:r>
          </w:p>
        </w:tc>
        <w:tc>
          <w:tcPr>
            <w:tcW w:w="1276" w:type="dxa"/>
          </w:tcPr>
          <w:p w14:paraId="6036E0A9" w14:textId="77777777" w:rsidR="007523B8" w:rsidRPr="009E06AA" w:rsidRDefault="007523B8" w:rsidP="00B55F24">
            <w:pPr>
              <w:pStyle w:val="TableText"/>
              <w:spacing w:before="40" w:after="40"/>
              <w:rPr>
                <w:rFonts w:cs="Calibri"/>
              </w:rPr>
            </w:pPr>
            <w:r w:rsidRPr="009E06AA">
              <w:rPr>
                <w:rFonts w:cs="Calibri"/>
              </w:rPr>
              <w:t>Frac</w:t>
            </w:r>
            <w:r w:rsidRPr="009E06AA">
              <w:rPr>
                <w:rFonts w:cs="Calibri"/>
                <w:vertAlign w:val="subscript"/>
              </w:rPr>
              <w:t>GASF-UI</w:t>
            </w:r>
          </w:p>
        </w:tc>
        <w:tc>
          <w:tcPr>
            <w:tcW w:w="850" w:type="dxa"/>
          </w:tcPr>
          <w:p w14:paraId="3455A9A2" w14:textId="77777777" w:rsidR="007523B8" w:rsidRPr="009E06AA" w:rsidRDefault="007523B8" w:rsidP="0011748D">
            <w:pPr>
              <w:pStyle w:val="TableText"/>
              <w:spacing w:before="40" w:after="40"/>
              <w:jc w:val="right"/>
              <w:rPr>
                <w:rFonts w:cs="Calibri"/>
              </w:rPr>
            </w:pPr>
            <w:r w:rsidRPr="009E06AA">
              <w:rPr>
                <w:rFonts w:cs="Calibri"/>
              </w:rPr>
              <w:t>0.055</w:t>
            </w:r>
          </w:p>
        </w:tc>
        <w:tc>
          <w:tcPr>
            <w:tcW w:w="1616" w:type="dxa"/>
          </w:tcPr>
          <w:p w14:paraId="55597774" w14:textId="77777777" w:rsidR="007523B8" w:rsidRPr="009E06AA" w:rsidRDefault="007523B8" w:rsidP="00B55F24">
            <w:pPr>
              <w:pStyle w:val="TableText"/>
              <w:spacing w:before="40" w:after="40"/>
              <w:rPr>
                <w:rFonts w:cs="Calibri"/>
              </w:rPr>
            </w:pPr>
            <w:r w:rsidRPr="009E06AA">
              <w:rPr>
                <w:rFonts w:cs="Calibri"/>
              </w:rPr>
              <w:t>Saggar et al. (2013)</w:t>
            </w:r>
          </w:p>
        </w:tc>
      </w:tr>
    </w:tbl>
    <w:p w14:paraId="4C9E9A9F" w14:textId="77777777" w:rsidR="007523B8" w:rsidRPr="009E06AA" w:rsidRDefault="007523B8" w:rsidP="007523B8">
      <w:pPr>
        <w:pStyle w:val="Heading4"/>
        <w:spacing w:before="360"/>
      </w:pPr>
      <w:r w:rsidRPr="009E06AA">
        <w:t>Direct nitrous oxide emissions from managed soils (3.D.1)</w:t>
      </w:r>
    </w:p>
    <w:p w14:paraId="7B9E9987" w14:textId="77777777" w:rsidR="007523B8" w:rsidRPr="009E06AA" w:rsidRDefault="007523B8" w:rsidP="007523B8">
      <w:pPr>
        <w:pStyle w:val="BodyText"/>
        <w:spacing w:after="100"/>
        <w:rPr>
          <w:rFonts w:cs="Calibri"/>
        </w:rPr>
      </w:pPr>
      <w:r w:rsidRPr="009E06AA">
        <w:rPr>
          <w:rFonts w:cs="Calibri"/>
        </w:rPr>
        <w:t xml:space="preserve">Emissions from the </w:t>
      </w:r>
      <w:r w:rsidRPr="009E06AA">
        <w:rPr>
          <w:rFonts w:cs="Calibri"/>
          <w:i/>
          <w:iCs/>
        </w:rPr>
        <w:t>Direct N</w:t>
      </w:r>
      <w:r w:rsidRPr="009E06AA">
        <w:rPr>
          <w:rFonts w:cs="Calibri"/>
          <w:i/>
          <w:iCs/>
          <w:vertAlign w:val="subscript"/>
        </w:rPr>
        <w:t>2</w:t>
      </w:r>
      <w:r w:rsidRPr="009E06AA">
        <w:rPr>
          <w:rFonts w:cs="Calibri"/>
          <w:i/>
          <w:iCs/>
        </w:rPr>
        <w:t xml:space="preserve">O emissions from managed soils </w:t>
      </w:r>
      <w:r w:rsidRPr="009E06AA">
        <w:rPr>
          <w:rFonts w:cs="Calibri"/>
        </w:rPr>
        <w:t xml:space="preserve">category arise from: </w:t>
      </w:r>
    </w:p>
    <w:p w14:paraId="0E74D319" w14:textId="77777777" w:rsidR="007523B8" w:rsidRPr="009E06AA" w:rsidRDefault="007523B8" w:rsidP="007523B8">
      <w:pPr>
        <w:pStyle w:val="Bullet"/>
        <w:numPr>
          <w:ilvl w:val="0"/>
          <w:numId w:val="25"/>
        </w:numPr>
        <w:spacing w:after="100"/>
      </w:pPr>
      <w:r w:rsidRPr="009E06AA">
        <w:t>synthetic nitrogen fertiliser use (F</w:t>
      </w:r>
      <w:r w:rsidRPr="009E06AA">
        <w:rPr>
          <w:vertAlign w:val="subscript"/>
        </w:rPr>
        <w:t>SN</w:t>
      </w:r>
      <w:r w:rsidRPr="009E06AA">
        <w:t>)</w:t>
      </w:r>
    </w:p>
    <w:p w14:paraId="32D30DB8" w14:textId="77777777" w:rsidR="007523B8" w:rsidRPr="009E06AA" w:rsidRDefault="007523B8" w:rsidP="007523B8">
      <w:pPr>
        <w:pStyle w:val="Bullet"/>
        <w:numPr>
          <w:ilvl w:val="0"/>
          <w:numId w:val="25"/>
        </w:numPr>
        <w:spacing w:after="100"/>
      </w:pPr>
      <w:r w:rsidRPr="009E06AA">
        <w:t xml:space="preserve">organic fertilisers (which in </w:t>
      </w:r>
      <w:r w:rsidRPr="009E06AA" w:rsidDel="0033406C">
        <w:rPr>
          <w:rFonts w:cs="Calibri"/>
        </w:rPr>
        <w:t xml:space="preserve">New </w:t>
      </w:r>
      <w:r w:rsidRPr="009E06AA">
        <w:rPr>
          <w:rFonts w:cs="Calibri"/>
        </w:rPr>
        <w:t>Zealand</w:t>
      </w:r>
      <w:r w:rsidRPr="009E06AA">
        <w:t xml:space="preserve"> are solely the spreading of animal manure, F</w:t>
      </w:r>
      <w:r w:rsidRPr="009E06AA">
        <w:rPr>
          <w:vertAlign w:val="subscript"/>
        </w:rPr>
        <w:t>AM</w:t>
      </w:r>
      <w:r w:rsidRPr="009E06AA">
        <w:t>)</w:t>
      </w:r>
    </w:p>
    <w:p w14:paraId="65C2290D" w14:textId="77777777" w:rsidR="007523B8" w:rsidRPr="009E06AA" w:rsidRDefault="007523B8" w:rsidP="007523B8">
      <w:pPr>
        <w:pStyle w:val="Bullet"/>
        <w:numPr>
          <w:ilvl w:val="0"/>
          <w:numId w:val="25"/>
        </w:numPr>
        <w:spacing w:after="100"/>
      </w:pPr>
      <w:r w:rsidRPr="009E06AA">
        <w:t>manure deposited by grazing livestock in pasture, range and paddock (F</w:t>
      </w:r>
      <w:r w:rsidRPr="009E06AA">
        <w:rPr>
          <w:vertAlign w:val="subscript"/>
        </w:rPr>
        <w:t>PRP</w:t>
      </w:r>
      <w:r w:rsidRPr="009E06AA">
        <w:t>)</w:t>
      </w:r>
    </w:p>
    <w:p w14:paraId="64ADD66D" w14:textId="77777777" w:rsidR="007523B8" w:rsidRPr="009E06AA" w:rsidRDefault="007523B8" w:rsidP="007523B8">
      <w:pPr>
        <w:pStyle w:val="Bullet"/>
        <w:numPr>
          <w:ilvl w:val="0"/>
          <w:numId w:val="25"/>
        </w:numPr>
        <w:spacing w:after="100"/>
      </w:pPr>
      <w:r w:rsidRPr="009E06AA">
        <w:t>decomposition of crop residues left on fields (F</w:t>
      </w:r>
      <w:r w:rsidRPr="009E06AA">
        <w:rPr>
          <w:vertAlign w:val="subscript"/>
        </w:rPr>
        <w:t>CR</w:t>
      </w:r>
      <w:r w:rsidRPr="009E06AA">
        <w:t>)</w:t>
      </w:r>
    </w:p>
    <w:p w14:paraId="7C07F35A" w14:textId="77777777" w:rsidR="007523B8" w:rsidRPr="009E06AA" w:rsidRDefault="007523B8" w:rsidP="007523B8">
      <w:pPr>
        <w:pStyle w:val="Bullet"/>
        <w:numPr>
          <w:ilvl w:val="0"/>
          <w:numId w:val="25"/>
        </w:numPr>
        <w:spacing w:after="100"/>
      </w:pPr>
      <w:r w:rsidRPr="009E06AA">
        <w:t>nitrogen mineralisation associated with loss of soil organic matter (F</w:t>
      </w:r>
      <w:r w:rsidRPr="009E06AA">
        <w:rPr>
          <w:vertAlign w:val="subscript"/>
        </w:rPr>
        <w:t>SOM</w:t>
      </w:r>
      <w:r w:rsidRPr="009E06AA">
        <w:t>)</w:t>
      </w:r>
    </w:p>
    <w:p w14:paraId="580FC924" w14:textId="77777777" w:rsidR="007523B8" w:rsidRPr="009E06AA" w:rsidRDefault="007523B8" w:rsidP="007523B8">
      <w:pPr>
        <w:pStyle w:val="Bullet"/>
        <w:numPr>
          <w:ilvl w:val="0"/>
          <w:numId w:val="25"/>
        </w:numPr>
      </w:pPr>
      <w:r w:rsidRPr="009E06AA">
        <w:t>management of organic soils.</w:t>
      </w:r>
    </w:p>
    <w:p w14:paraId="70A4573F" w14:textId="77777777" w:rsidR="007523B8" w:rsidRPr="009E06AA" w:rsidRDefault="007523B8" w:rsidP="007523B8">
      <w:pPr>
        <w:pStyle w:val="BodyText"/>
      </w:pPr>
      <w:r w:rsidRPr="009E06AA">
        <w:t>Many of these sources of emissions</w:t>
      </w:r>
      <w:r w:rsidRPr="009E06AA" w:rsidDel="00A44CC2">
        <w:t xml:space="preserve"> </w:t>
      </w:r>
      <w:r w:rsidRPr="009E06AA">
        <w:t>have N</w:t>
      </w:r>
      <w:r w:rsidRPr="009E06AA">
        <w:rPr>
          <w:vertAlign w:val="subscript"/>
        </w:rPr>
        <w:t>2</w:t>
      </w:r>
      <w:r w:rsidRPr="009E06AA">
        <w:t>O emissions from indirect pathways as well, and these calculations are described in detail in the section on indirect N</w:t>
      </w:r>
      <w:r w:rsidRPr="009E06AA">
        <w:rPr>
          <w:vertAlign w:val="subscript"/>
        </w:rPr>
        <w:t>2</w:t>
      </w:r>
      <w:r w:rsidRPr="009E06AA">
        <w:t xml:space="preserve">O emissions from managed soils. </w:t>
      </w:r>
    </w:p>
    <w:p w14:paraId="6BB3FEAD" w14:textId="77777777" w:rsidR="007523B8" w:rsidRPr="009E06AA" w:rsidRDefault="007523B8" w:rsidP="007523B8">
      <w:pPr>
        <w:pStyle w:val="BodyText"/>
        <w:spacing w:before="100"/>
      </w:pPr>
      <w:r w:rsidRPr="009E06AA">
        <w:t>Emissions from the non-manure components of organic fertilisers (F</w:t>
      </w:r>
      <w:r w:rsidRPr="009E06AA">
        <w:rPr>
          <w:vertAlign w:val="subscript"/>
        </w:rPr>
        <w:t>ON</w:t>
      </w:r>
      <w:r w:rsidRPr="009E06AA">
        <w:t xml:space="preserve">) are not estimated in New Zealand’s inventory because they have been found to be insignificant. New Zealand commissioned research to review sources of organic waste and found that they are not of significant volume in </w:t>
      </w:r>
      <w:r w:rsidRPr="009E06AA" w:rsidDel="001A343F">
        <w:t xml:space="preserve">New </w:t>
      </w:r>
      <w:r w:rsidRPr="009E06AA">
        <w:t xml:space="preserve">Zealand (van der Weerden et al., 2014). These components include sources such as dairy processing wastewater, compost sold to the rural sector, meat processing wastewater and sludge, grape marc from the wine industry and vegetable processing wastewater applied to land. </w:t>
      </w:r>
    </w:p>
    <w:p w14:paraId="733E172D" w14:textId="77777777" w:rsidR="007523B8" w:rsidRPr="009E06AA" w:rsidRDefault="007523B8" w:rsidP="007523B8">
      <w:pPr>
        <w:pStyle w:val="BodyText"/>
        <w:spacing w:before="100"/>
      </w:pPr>
      <w:r w:rsidRPr="009E06AA">
        <w:t>Van der Weerden et al. (2014) recommended a review of non-manure organic fertilisers within five years. A successful research proposal to undertake this review was received in 2022 and is currently under way (see section 5.5.6 for more detail).</w:t>
      </w:r>
    </w:p>
    <w:p w14:paraId="300BFB94" w14:textId="77777777" w:rsidR="007523B8" w:rsidRPr="009E06AA" w:rsidRDefault="007523B8" w:rsidP="007523B8">
      <w:pPr>
        <w:pStyle w:val="BodyText"/>
        <w:spacing w:before="100"/>
      </w:pPr>
      <w:r w:rsidRPr="009E06AA">
        <w:t>New Zealand’s methodology for determining the values for nitrogen inputs to soils for F</w:t>
      </w:r>
      <w:r w:rsidRPr="009E06AA">
        <w:rPr>
          <w:vertAlign w:val="subscript"/>
        </w:rPr>
        <w:t>AM</w:t>
      </w:r>
      <w:r w:rsidRPr="009E06AA">
        <w:t xml:space="preserve"> and F</w:t>
      </w:r>
      <w:r w:rsidRPr="009E06AA">
        <w:rPr>
          <w:vertAlign w:val="subscript"/>
        </w:rPr>
        <w:t>PRP</w:t>
      </w:r>
      <w:r w:rsidRPr="009E06AA">
        <w:t xml:space="preserve"> is consistent with other parts of the Agriculture inventory sector. The underlying values for N</w:t>
      </w:r>
      <w:r w:rsidRPr="009E06AA">
        <w:rPr>
          <w:vertAlign w:val="subscript"/>
        </w:rPr>
        <w:t>ex</w:t>
      </w:r>
      <w:r w:rsidRPr="009E06AA">
        <w:t xml:space="preserve"> and for the allocation of excreta to animal waste management systems are the same as in the </w:t>
      </w:r>
      <w:r w:rsidRPr="009E06AA">
        <w:rPr>
          <w:i/>
          <w:iCs/>
        </w:rPr>
        <w:t>Manure management</w:t>
      </w:r>
      <w:r w:rsidRPr="009E06AA">
        <w:t xml:space="preserve"> category. These N</w:t>
      </w:r>
      <w:r w:rsidRPr="009E06AA">
        <w:rPr>
          <w:vertAlign w:val="subscript"/>
        </w:rPr>
        <w:t>ex</w:t>
      </w:r>
      <w:r w:rsidRPr="009E06AA">
        <w:t xml:space="preserve"> values have been calculated based on the same animal intake and animal productivity values used for calculating CH</w:t>
      </w:r>
      <w:r w:rsidRPr="009E06AA">
        <w:rPr>
          <w:vertAlign w:val="subscript"/>
        </w:rPr>
        <w:t>4</w:t>
      </w:r>
      <w:r w:rsidRPr="009E06AA">
        <w:t xml:space="preserve"> emissions for the different animal categories and species in the Tier 2 model (see section 5.1.3). This ensures the same base DMI values are used for both the CH</w:t>
      </w:r>
      <w:r w:rsidRPr="009E06AA">
        <w:rPr>
          <w:vertAlign w:val="subscript"/>
        </w:rPr>
        <w:t>4</w:t>
      </w:r>
      <w:r w:rsidRPr="009E06AA">
        <w:t xml:space="preserve"> and N</w:t>
      </w:r>
      <w:r w:rsidRPr="009E06AA">
        <w:rPr>
          <w:vertAlign w:val="subscript"/>
        </w:rPr>
        <w:t>2</w:t>
      </w:r>
      <w:r w:rsidRPr="009E06AA">
        <w:t>O emission calculations. Further details can be found in the Agriculture inventory model methodology document on the MPI website (</w:t>
      </w:r>
      <w:hyperlink r:id="rId107" w:history="1">
        <w:r w:rsidRPr="009E06AA">
          <w:rPr>
            <w:rStyle w:val="Hyperlink"/>
          </w:rPr>
          <w:t>www.mpi.govt.nz/dmsdocument/13906-detailed-methodologies-for-agricultural-greenhouse-gas-emission-calculation</w:t>
        </w:r>
      </w:hyperlink>
      <w:r w:rsidRPr="009E06AA">
        <w:t>).</w:t>
      </w:r>
    </w:p>
    <w:p w14:paraId="56BF3BB3" w14:textId="77777777" w:rsidR="007523B8" w:rsidRPr="009E06AA" w:rsidRDefault="007523B8" w:rsidP="00BF2A76">
      <w:pPr>
        <w:pStyle w:val="Heading5"/>
      </w:pPr>
      <w:r w:rsidRPr="009E06AA">
        <w:t>Synthetic nitrogen fertiliser (3.D.1.1)</w:t>
      </w:r>
    </w:p>
    <w:p w14:paraId="01622131" w14:textId="77777777" w:rsidR="007523B8" w:rsidRPr="009E06AA" w:rsidRDefault="007523B8" w:rsidP="007523B8">
      <w:pPr>
        <w:pStyle w:val="BodyText"/>
        <w:spacing w:before="80" w:after="100"/>
      </w:pPr>
      <w:r w:rsidRPr="009E06AA">
        <w:t>Anthropogenic N</w:t>
      </w:r>
      <w:r w:rsidRPr="009E06AA">
        <w:rPr>
          <w:vertAlign w:val="subscript"/>
        </w:rPr>
        <w:t>2</w:t>
      </w:r>
      <w:r w:rsidRPr="009E06AA">
        <w:t>O emissions from synthetic nitrogen fertiliser are a relatively small proportion of total N</w:t>
      </w:r>
      <w:r w:rsidRPr="009E06AA">
        <w:rPr>
          <w:vertAlign w:val="subscript"/>
        </w:rPr>
        <w:t>2</w:t>
      </w:r>
      <w:r w:rsidRPr="009E06AA">
        <w:t xml:space="preserve">O emissions, but have grown since 1990. Most synthetic nitrogen fertiliser used in </w:t>
      </w:r>
      <w:r w:rsidRPr="009E06AA" w:rsidDel="00463745">
        <w:t xml:space="preserve">New </w:t>
      </w:r>
      <w:r w:rsidRPr="009E06AA">
        <w:t xml:space="preserve">Zealand is urea fertiliser applied to dairy pastures to increase pasture growth during spring (September to November) and autumn (March to May). </w:t>
      </w:r>
    </w:p>
    <w:p w14:paraId="2C9FFC24" w14:textId="77777777" w:rsidR="007523B8" w:rsidRPr="009E06AA" w:rsidRDefault="007523B8" w:rsidP="007523B8">
      <w:pPr>
        <w:pStyle w:val="BodyText"/>
      </w:pPr>
      <w:r w:rsidRPr="009E06AA">
        <w:t>In accordance with IPCC Guidelines (IPCC, 2006), the following equation is used to determine direct N</w:t>
      </w:r>
      <w:r w:rsidRPr="009E06AA">
        <w:rPr>
          <w:vertAlign w:val="subscript"/>
        </w:rPr>
        <w:t>2</w:t>
      </w:r>
      <w:r w:rsidRPr="009E06AA">
        <w:t xml:space="preserve">O emissions from the application of nitrogen-based fertiliser: </w:t>
      </w:r>
    </w:p>
    <w:p w14:paraId="1098B26C" w14:textId="77777777" w:rsidR="007523B8" w:rsidRPr="009E06AA" w:rsidRDefault="008975BF" w:rsidP="001E47A3">
      <w:pPr>
        <w:pStyle w:val="BodyText"/>
        <w:spacing w:after="80"/>
        <w:jc w:val="center"/>
        <w:rPr>
          <w:rFonts w:cs="Calibri"/>
        </w:rPr>
      </w:pPr>
      <m:oMathPara>
        <m:oMath>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2</m:t>
              </m:r>
            </m:sub>
          </m:sSub>
          <m:r>
            <w:rPr>
              <w:rFonts w:ascii="Cambria Math" w:hAnsi="Cambria Math"/>
              <w:sz w:val="24"/>
              <w:szCs w:val="24"/>
            </w:rPr>
            <m:t>Odirect</m:t>
          </m:r>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44</m:t>
              </m:r>
            </m:num>
            <m:den>
              <m:r>
                <w:rPr>
                  <w:rFonts w:ascii="Cambria Math" w:hAnsi="Cambria Math"/>
                  <w:sz w:val="24"/>
                  <w:szCs w:val="24"/>
                </w:rPr>
                <m:t>28</m:t>
              </m:r>
            </m:den>
          </m:f>
          <m:r>
            <w:rPr>
              <w:rFonts w:ascii="Cambria Math" w:hAnsi="Cambria Math"/>
              <w:sz w:val="24"/>
              <w:szCs w:val="24"/>
            </w:rPr>
            <m:t>×</m:t>
          </m:r>
          <m:d>
            <m:dPr>
              <m:ctrlPr>
                <w:rPr>
                  <w:rFonts w:ascii="Cambria Math" w:hAnsi="Cambria Math"/>
                  <w:i/>
                  <w:sz w:val="24"/>
                  <w:szCs w:val="24"/>
                </w:rPr>
              </m:ctrlPr>
            </m:dPr>
            <m:e>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SN</m:t>
                  </m:r>
                  <m:d>
                    <m:dPr>
                      <m:ctrlPr>
                        <w:rPr>
                          <w:rFonts w:ascii="Cambria Math" w:hAnsi="Cambria Math"/>
                          <w:i/>
                          <w:sz w:val="24"/>
                          <w:szCs w:val="24"/>
                        </w:rPr>
                      </m:ctrlPr>
                    </m:dPr>
                    <m:e>
                      <m:r>
                        <w:rPr>
                          <w:rFonts w:ascii="Cambria Math" w:hAnsi="Cambria Math"/>
                          <w:sz w:val="24"/>
                          <w:szCs w:val="24"/>
                        </w:rPr>
                        <m:t>UREA</m:t>
                      </m:r>
                    </m:e>
                  </m:d>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EF</m:t>
                  </m:r>
                </m:e>
                <m:sub>
                  <m:r>
                    <w:rPr>
                      <w:rFonts w:ascii="Cambria Math" w:hAnsi="Cambria Math"/>
                      <w:sz w:val="24"/>
                      <w:szCs w:val="24"/>
                    </w:rPr>
                    <m:t>1</m:t>
                  </m:r>
                  <m:d>
                    <m:dPr>
                      <m:ctrlPr>
                        <w:rPr>
                          <w:rFonts w:ascii="Cambria Math" w:hAnsi="Cambria Math"/>
                          <w:i/>
                          <w:sz w:val="24"/>
                          <w:szCs w:val="24"/>
                        </w:rPr>
                      </m:ctrlPr>
                    </m:dPr>
                    <m:e>
                      <m:r>
                        <w:rPr>
                          <w:rFonts w:ascii="Cambria Math" w:hAnsi="Cambria Math"/>
                          <w:sz w:val="24"/>
                          <w:szCs w:val="24"/>
                        </w:rPr>
                        <m:t>UREA</m:t>
                      </m:r>
                    </m:e>
                  </m:d>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SN</m:t>
                  </m:r>
                  <m:d>
                    <m:dPr>
                      <m:ctrlPr>
                        <w:rPr>
                          <w:rFonts w:ascii="Cambria Math" w:hAnsi="Cambria Math"/>
                          <w:i/>
                          <w:sz w:val="24"/>
                          <w:szCs w:val="24"/>
                        </w:rPr>
                      </m:ctrlPr>
                    </m:dPr>
                    <m:e>
                      <m:r>
                        <w:rPr>
                          <w:rFonts w:ascii="Cambria Math" w:hAnsi="Cambria Math"/>
                          <w:sz w:val="24"/>
                          <w:szCs w:val="24"/>
                        </w:rPr>
                        <m:t>OTHER</m:t>
                      </m:r>
                    </m:e>
                  </m:d>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EF</m:t>
                  </m:r>
                </m:e>
                <m:sub>
                  <m:r>
                    <w:rPr>
                      <w:rFonts w:ascii="Cambria Math" w:hAnsi="Cambria Math"/>
                      <w:sz w:val="24"/>
                      <w:szCs w:val="24"/>
                    </w:rPr>
                    <m:t>1</m:t>
                  </m:r>
                </m:sub>
              </m:sSub>
              <m:r>
                <w:rPr>
                  <w:rFonts w:ascii="Cambria Math" w:hAnsi="Cambria Math"/>
                  <w:sz w:val="24"/>
                  <w:szCs w:val="24"/>
                </w:rPr>
                <m:t>)</m:t>
              </m:r>
            </m:e>
          </m:d>
        </m:oMath>
      </m:oMathPara>
    </w:p>
    <w:p w14:paraId="4D0180D5" w14:textId="77777777" w:rsidR="007523B8" w:rsidRPr="009E06AA" w:rsidRDefault="007523B8" w:rsidP="007523B8">
      <w:pPr>
        <w:pStyle w:val="BodyText"/>
        <w:spacing w:after="60"/>
        <w:ind w:left="964" w:hanging="964"/>
      </w:pPr>
      <w:r w:rsidRPr="009E06AA">
        <w:t>Where:</w:t>
      </w:r>
      <w:r w:rsidRPr="009E06AA">
        <w:tab/>
        <w:t>F</w:t>
      </w:r>
      <w:r w:rsidRPr="009E06AA">
        <w:rPr>
          <w:vertAlign w:val="subscript"/>
        </w:rPr>
        <w:t>SN</w:t>
      </w:r>
      <w:r w:rsidRPr="009E06AA">
        <w:t xml:space="preserve"> is the total annual amount of synthetic nitrogen fertiliser applied to soils (urea</w:t>
      </w:r>
      <w:r w:rsidRPr="009E06AA">
        <w:noBreakHyphen/>
        <w:t>based and other fertilisers)</w:t>
      </w:r>
    </w:p>
    <w:p w14:paraId="4DB85849" w14:textId="77777777" w:rsidR="007523B8" w:rsidRPr="009E06AA" w:rsidRDefault="007523B8" w:rsidP="007523B8">
      <w:pPr>
        <w:pStyle w:val="BodyText"/>
        <w:spacing w:before="40" w:after="60"/>
        <w:ind w:left="964" w:hanging="964"/>
      </w:pPr>
      <w:r w:rsidRPr="009E06AA">
        <w:tab/>
        <w:t>44/28 is the molecular conversion factor used to convert nitrogen to N</w:t>
      </w:r>
      <w:r w:rsidRPr="009E06AA">
        <w:rPr>
          <w:vertAlign w:val="subscript"/>
        </w:rPr>
        <w:t>2</w:t>
      </w:r>
      <w:r w:rsidRPr="009E06AA">
        <w:t>O</w:t>
      </w:r>
    </w:p>
    <w:p w14:paraId="341FD611" w14:textId="77777777" w:rsidR="007523B8" w:rsidRPr="009E06AA" w:rsidRDefault="007523B8" w:rsidP="007523B8">
      <w:pPr>
        <w:pStyle w:val="BodyText"/>
        <w:spacing w:before="40" w:after="60"/>
        <w:ind w:left="964" w:hanging="964"/>
      </w:pPr>
      <w:r w:rsidRPr="009E06AA">
        <w:tab/>
        <w:t>EF</w:t>
      </w:r>
      <w:r w:rsidRPr="009E06AA">
        <w:rPr>
          <w:vertAlign w:val="subscript"/>
        </w:rPr>
        <w:t>1(UREA)</w:t>
      </w:r>
      <w:r w:rsidRPr="009E06AA">
        <w:t xml:space="preserve"> is the proportion of direct N</w:t>
      </w:r>
      <w:r w:rsidRPr="009E06AA">
        <w:rPr>
          <w:vertAlign w:val="subscript"/>
        </w:rPr>
        <w:t>2</w:t>
      </w:r>
      <w:r w:rsidRPr="009E06AA">
        <w:t>O emissions from nitrogen input to the soil for urea fertilisers (0.0059; table 5.5.2), and</w:t>
      </w:r>
    </w:p>
    <w:p w14:paraId="44641315" w14:textId="77777777" w:rsidR="007523B8" w:rsidRPr="009E06AA" w:rsidRDefault="007523B8" w:rsidP="001E47A3">
      <w:pPr>
        <w:pStyle w:val="BodyText"/>
        <w:spacing w:before="0"/>
        <w:ind w:left="964" w:hanging="964"/>
      </w:pPr>
      <w:r w:rsidRPr="009E06AA">
        <w:tab/>
        <w:t>EF</w:t>
      </w:r>
      <w:r w:rsidRPr="009E06AA">
        <w:rPr>
          <w:vertAlign w:val="subscript"/>
        </w:rPr>
        <w:t>1</w:t>
      </w:r>
      <w:r w:rsidRPr="009E06AA">
        <w:t xml:space="preserve"> is the proportion of direct N</w:t>
      </w:r>
      <w:r w:rsidRPr="009E06AA">
        <w:rPr>
          <w:vertAlign w:val="subscript"/>
        </w:rPr>
        <w:t>2</w:t>
      </w:r>
      <w:r w:rsidRPr="009E06AA">
        <w:t>O emissions from nitrogen input to the soil (0.01; table 5.5.2).</w:t>
      </w:r>
    </w:p>
    <w:p w14:paraId="4E3CDC5A" w14:textId="77777777" w:rsidR="007523B8" w:rsidRPr="009E06AA" w:rsidRDefault="007523B8" w:rsidP="007523B8">
      <w:pPr>
        <w:pStyle w:val="BodyText"/>
        <w:spacing w:before="80" w:after="100"/>
      </w:pPr>
      <w:r w:rsidRPr="009E06AA">
        <w:t>Data on synthetic fertiliser use are provided by the Fertiliser Association of New Zealand from </w:t>
      </w:r>
      <w:r w:rsidRPr="009E06AA">
        <w:rPr>
          <w:spacing w:val="-2"/>
        </w:rPr>
        <w:t>sales records from the two major fertiliser companies for 1990 to 2022 comprising approximately</w:t>
      </w:r>
      <w:r w:rsidRPr="009E06AA">
        <w:t xml:space="preserve"> 95 per cent of tonnage used, with use estimates from smaller companies added.</w:t>
      </w:r>
    </w:p>
    <w:p w14:paraId="0FDE4CBA" w14:textId="77777777" w:rsidR="007523B8" w:rsidRPr="009E06AA" w:rsidRDefault="007523B8" w:rsidP="007523B8">
      <w:pPr>
        <w:pStyle w:val="BodyText"/>
        <w:spacing w:before="100" w:after="100"/>
      </w:pPr>
      <w:r w:rsidRPr="009E06AA">
        <w:t>The EF</w:t>
      </w:r>
      <w:r w:rsidRPr="009E06AA">
        <w:rPr>
          <w:vertAlign w:val="subscript"/>
        </w:rPr>
        <w:t>1(UREA)</w:t>
      </w:r>
      <w:r w:rsidRPr="009E06AA">
        <w:t xml:space="preserve"> value was changed to 0.0059 in 2017, following a recommendation from the Agriculture Inventory Advisory Panel in 2016. The Panel agreed that the value of 0.0059, based on the research by van der Weerden et al. (2016a), was more representative of New Zealand farming practices and conditions, where only small (30–50 kg N/ha/application) urea dressings are applied but on several occasions during a year. The lower value of EF</w:t>
      </w:r>
      <w:r w:rsidRPr="009E06AA">
        <w:rPr>
          <w:vertAlign w:val="subscript"/>
        </w:rPr>
        <w:t>1(UREA)</w:t>
      </w:r>
      <w:r w:rsidRPr="009E06AA">
        <w:t>, compared with the IPCC default of 1 per cent, is comparable with studies conducted in Australia (Chen et al., 2010; Galbally et al., 2005) and The Netherlands (Kuikman et al., 2006), which have found EF</w:t>
      </w:r>
      <w:r w:rsidRPr="009E06AA">
        <w:rPr>
          <w:vertAlign w:val="subscript"/>
        </w:rPr>
        <w:t>1</w:t>
      </w:r>
      <w:r w:rsidRPr="009E06AA">
        <w:t xml:space="preserve"> urea fertiliser values of around 0.5 per cent. </w:t>
      </w:r>
    </w:p>
    <w:p w14:paraId="5E3241DA" w14:textId="77777777" w:rsidR="007523B8" w:rsidRPr="009E06AA" w:rsidRDefault="007523B8" w:rsidP="007523B8">
      <w:pPr>
        <w:pStyle w:val="BodyText"/>
        <w:spacing w:before="100" w:after="100"/>
      </w:pPr>
      <w:r w:rsidRPr="009E06AA">
        <w:t>Since 1990, a large increase has occurred in nitrogen</w:t>
      </w:r>
      <w:r w:rsidRPr="009E06AA" w:rsidDel="00384723">
        <w:t xml:space="preserve"> </w:t>
      </w:r>
      <w:r w:rsidRPr="009E06AA">
        <w:t xml:space="preserve">applied through synthetic fertiliser, from 59,265 tonnes in 1990 to 335,000 tonnes in 2022 (see figure 5.5.2). At the same time, the proportion of urea fertiliser applied has increased from just over 41.5 per cent to 75.8 per cent of all synthetic nitrogen fertiliser applied (see figure 5.5.3). </w:t>
      </w:r>
    </w:p>
    <w:p w14:paraId="49153092" w14:textId="77777777" w:rsidR="007523B8" w:rsidRPr="009E06AA" w:rsidRDefault="007523B8" w:rsidP="007523B8">
      <w:pPr>
        <w:pStyle w:val="BodyText"/>
      </w:pPr>
      <w:r w:rsidRPr="009E06AA">
        <w:t xml:space="preserve">The nitrogen fertiliser applied has decreased significantly (28.7 per cent) in the past two years in part due to higher fertiliser prices. </w:t>
      </w:r>
    </w:p>
    <w:p w14:paraId="4CF52BDA" w14:textId="55AAD462" w:rsidR="007523B8" w:rsidRPr="009E06AA" w:rsidRDefault="007523B8" w:rsidP="007523B8">
      <w:pPr>
        <w:pStyle w:val="Figure"/>
      </w:pPr>
      <w:bookmarkStart w:id="1274" w:name="_Toc447275696"/>
      <w:bookmarkStart w:id="1275" w:name="_Toc481752015"/>
      <w:bookmarkStart w:id="1276" w:name="_Toc507158474"/>
      <w:bookmarkStart w:id="1277" w:name="_Toc511116965"/>
      <w:bookmarkStart w:id="1278" w:name="_Toc5269695"/>
      <w:bookmarkStart w:id="1279" w:name="_Toc32570966"/>
      <w:bookmarkStart w:id="1280" w:name="_Toc36292796"/>
      <w:bookmarkStart w:id="1281" w:name="_Toc68786661"/>
      <w:bookmarkStart w:id="1282" w:name="_Toc95574122"/>
      <w:bookmarkStart w:id="1283" w:name="_Toc127458561"/>
      <w:bookmarkStart w:id="1284" w:name="_Toc131591563"/>
      <w:bookmarkStart w:id="1285" w:name="_Toc164154031"/>
      <w:r w:rsidRPr="009E06AA">
        <w:t>Figure 5.5.2</w:t>
      </w:r>
      <w:r w:rsidRPr="009E06AA">
        <w:tab/>
        <w:t>Synthetic nitrogen fertiliser use in New Zealand</w:t>
      </w:r>
      <w:r w:rsidR="00576F29" w:rsidRPr="009E06AA">
        <w:t>,</w:t>
      </w:r>
      <w:r w:rsidRPr="009E06AA">
        <w:t xml:space="preserve"> from 1990 to </w:t>
      </w:r>
      <w:bookmarkEnd w:id="1274"/>
      <w:bookmarkEnd w:id="1275"/>
      <w:bookmarkEnd w:id="1276"/>
      <w:bookmarkEnd w:id="1277"/>
      <w:bookmarkEnd w:id="1278"/>
      <w:bookmarkEnd w:id="1279"/>
      <w:bookmarkEnd w:id="1280"/>
      <w:bookmarkEnd w:id="1281"/>
      <w:bookmarkEnd w:id="1282"/>
      <w:r w:rsidRPr="009E06AA">
        <w:rPr>
          <w:color w:val="000000" w:themeColor="text1"/>
        </w:rPr>
        <w:t>202</w:t>
      </w:r>
      <w:bookmarkEnd w:id="1283"/>
      <w:bookmarkEnd w:id="1284"/>
      <w:r w:rsidRPr="009E06AA">
        <w:rPr>
          <w:color w:val="000000" w:themeColor="text1"/>
        </w:rPr>
        <w:t>2</w:t>
      </w:r>
      <w:bookmarkEnd w:id="1285"/>
    </w:p>
    <w:p w14:paraId="74A029BA" w14:textId="77777777" w:rsidR="007523B8" w:rsidRPr="009E06AA" w:rsidRDefault="007523B8" w:rsidP="007523B8">
      <w:pPr>
        <w:pStyle w:val="BodyText"/>
      </w:pPr>
      <w:r w:rsidRPr="009E06AA">
        <w:rPr>
          <w:noProof/>
        </w:rPr>
        <w:drawing>
          <wp:inline distT="0" distB="0" distL="0" distR="0" wp14:anchorId="3D9D7169" wp14:editId="5C149618">
            <wp:extent cx="5390148" cy="3061885"/>
            <wp:effectExtent l="0" t="0" r="1270" b="5715"/>
            <wp:docPr id="424910351" name="Picture 424910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8" cstate="print">
                      <a:extLst>
                        <a:ext uri="{28A0092B-C50C-407E-A947-70E740481C1C}">
                          <a14:useLocalDpi xmlns:a14="http://schemas.microsoft.com/office/drawing/2010/main" val="0"/>
                        </a:ext>
                      </a:extLst>
                    </a:blip>
                    <a:srcRect b="1565"/>
                    <a:stretch/>
                  </pic:blipFill>
                  <pic:spPr bwMode="auto">
                    <a:xfrm>
                      <a:off x="0" y="0"/>
                      <a:ext cx="5402276" cy="3068774"/>
                    </a:xfrm>
                    <a:prstGeom prst="rect">
                      <a:avLst/>
                    </a:prstGeom>
                    <a:ln>
                      <a:noFill/>
                    </a:ln>
                    <a:extLst>
                      <a:ext uri="{53640926-AAD7-44D8-BBD7-CCE9431645EC}">
                        <a14:shadowObscured xmlns:a14="http://schemas.microsoft.com/office/drawing/2010/main"/>
                      </a:ext>
                    </a:extLst>
                  </pic:spPr>
                </pic:pic>
              </a:graphicData>
            </a:graphic>
          </wp:inline>
        </w:drawing>
      </w:r>
    </w:p>
    <w:p w14:paraId="3F6DB51D" w14:textId="77777777" w:rsidR="007523B8" w:rsidRPr="009E06AA" w:rsidRDefault="007523B8" w:rsidP="003F7586">
      <w:pPr>
        <w:pStyle w:val="Source"/>
        <w:spacing w:after="120"/>
        <w:rPr>
          <w:rFonts w:cs="Calibri"/>
        </w:rPr>
      </w:pPr>
      <w:r w:rsidRPr="009E06AA">
        <w:rPr>
          <w:rFonts w:cs="Calibri"/>
        </w:rPr>
        <w:t>Source:</w:t>
      </w:r>
      <w:r w:rsidRPr="009E06AA">
        <w:tab/>
      </w:r>
      <w:r w:rsidRPr="009E06AA">
        <w:rPr>
          <w:rFonts w:cs="Calibri"/>
        </w:rPr>
        <w:t>Fertiliser Association of New Zealand</w:t>
      </w:r>
    </w:p>
    <w:p w14:paraId="6EC9ECC7" w14:textId="1614E16D" w:rsidR="007523B8" w:rsidRPr="009E06AA" w:rsidRDefault="007523B8" w:rsidP="007523B8">
      <w:pPr>
        <w:pStyle w:val="Figure"/>
      </w:pPr>
      <w:bookmarkStart w:id="1286" w:name="_Toc447275697"/>
      <w:bookmarkStart w:id="1287" w:name="_Toc481752016"/>
      <w:bookmarkStart w:id="1288" w:name="_Toc507158475"/>
      <w:bookmarkStart w:id="1289" w:name="_Toc511116966"/>
      <w:bookmarkStart w:id="1290" w:name="_Toc5269696"/>
      <w:bookmarkStart w:id="1291" w:name="_Toc32570967"/>
      <w:bookmarkStart w:id="1292" w:name="_Toc36292797"/>
      <w:bookmarkStart w:id="1293" w:name="_Toc68786662"/>
      <w:bookmarkStart w:id="1294" w:name="_Toc95574123"/>
      <w:bookmarkStart w:id="1295" w:name="_Toc127458562"/>
      <w:bookmarkStart w:id="1296" w:name="_Toc131591564"/>
      <w:bookmarkStart w:id="1297" w:name="_Toc164154032"/>
      <w:r w:rsidRPr="009E06AA">
        <w:t>Figure 5.5.3</w:t>
      </w:r>
      <w:r w:rsidRPr="009E06AA">
        <w:tab/>
        <w:t>Percentage of synthetic nitrogen fertiliser derived from urea</w:t>
      </w:r>
      <w:r w:rsidR="00116008" w:rsidRPr="009E06AA">
        <w:t>,</w:t>
      </w:r>
      <w:r w:rsidRPr="009E06AA">
        <w:t xml:space="preserve"> from 1990 to</w:t>
      </w:r>
      <w:bookmarkEnd w:id="1286"/>
      <w:bookmarkEnd w:id="1287"/>
      <w:r w:rsidRPr="009E06AA">
        <w:t> </w:t>
      </w:r>
      <w:bookmarkEnd w:id="1288"/>
      <w:bookmarkEnd w:id="1289"/>
      <w:bookmarkEnd w:id="1290"/>
      <w:bookmarkEnd w:id="1291"/>
      <w:bookmarkEnd w:id="1292"/>
      <w:bookmarkEnd w:id="1293"/>
      <w:bookmarkEnd w:id="1294"/>
      <w:r w:rsidRPr="009E06AA">
        <w:t>202</w:t>
      </w:r>
      <w:bookmarkEnd w:id="1295"/>
      <w:bookmarkEnd w:id="1296"/>
      <w:r w:rsidRPr="009E06AA">
        <w:t>2</w:t>
      </w:r>
      <w:bookmarkEnd w:id="1297"/>
    </w:p>
    <w:p w14:paraId="538D86ED" w14:textId="77777777" w:rsidR="007523B8" w:rsidRPr="009E06AA" w:rsidRDefault="007523B8" w:rsidP="007523B8">
      <w:pPr>
        <w:pStyle w:val="BodyText"/>
      </w:pPr>
      <w:r w:rsidRPr="009E06AA">
        <w:rPr>
          <w:noProof/>
        </w:rPr>
        <w:drawing>
          <wp:inline distT="0" distB="0" distL="0" distR="0" wp14:anchorId="1CCF0577" wp14:editId="4D116B8A">
            <wp:extent cx="5452264" cy="3089709"/>
            <wp:effectExtent l="0" t="0" r="0" b="0"/>
            <wp:docPr id="708339002" name="Picture 708339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cstate="print">
                      <a:extLst>
                        <a:ext uri="{28A0092B-C50C-407E-A947-70E740481C1C}">
                          <a14:useLocalDpi xmlns:a14="http://schemas.microsoft.com/office/drawing/2010/main" val="0"/>
                        </a:ext>
                      </a:extLst>
                    </a:blip>
                    <a:srcRect b="1802"/>
                    <a:stretch/>
                  </pic:blipFill>
                  <pic:spPr bwMode="auto">
                    <a:xfrm>
                      <a:off x="0" y="0"/>
                      <a:ext cx="5467991" cy="3098621"/>
                    </a:xfrm>
                    <a:prstGeom prst="rect">
                      <a:avLst/>
                    </a:prstGeom>
                    <a:ln>
                      <a:noFill/>
                    </a:ln>
                    <a:extLst>
                      <a:ext uri="{53640926-AAD7-44D8-BBD7-CCE9431645EC}">
                        <a14:shadowObscured xmlns:a14="http://schemas.microsoft.com/office/drawing/2010/main"/>
                      </a:ext>
                    </a:extLst>
                  </pic:spPr>
                </pic:pic>
              </a:graphicData>
            </a:graphic>
          </wp:inline>
        </w:drawing>
      </w:r>
    </w:p>
    <w:p w14:paraId="777E1D04" w14:textId="77777777" w:rsidR="007523B8" w:rsidRPr="009E06AA" w:rsidRDefault="007523B8" w:rsidP="007523B8">
      <w:pPr>
        <w:pStyle w:val="Source"/>
        <w:spacing w:after="120"/>
      </w:pPr>
      <w:r w:rsidRPr="009E06AA">
        <w:t>Source:</w:t>
      </w:r>
      <w:r w:rsidRPr="009E06AA">
        <w:tab/>
        <w:t>Fertiliser Association of New Zealand</w:t>
      </w:r>
    </w:p>
    <w:p w14:paraId="3C2C2A60" w14:textId="77777777" w:rsidR="007523B8" w:rsidRPr="009E06AA" w:rsidRDefault="007523B8" w:rsidP="007523B8">
      <w:pPr>
        <w:pStyle w:val="BodyText"/>
      </w:pPr>
      <w:r w:rsidRPr="009E06AA">
        <w:t xml:space="preserve">The increase in synthetic nitrogen fertiliser use since 1990 has resulted in an increase in emissions from this category, from </w:t>
      </w:r>
      <w:r w:rsidRPr="009E06AA">
        <w:rPr>
          <w:rFonts w:cs="Calibri"/>
          <w:color w:val="000000"/>
        </w:rPr>
        <w:t>204.8</w:t>
      </w:r>
      <w:r w:rsidRPr="009E06AA">
        <w:rPr>
          <w:color w:val="000000"/>
        </w:rPr>
        <w:t xml:space="preserve"> </w:t>
      </w:r>
      <w:r w:rsidRPr="009E06AA">
        <w:t>kt CO</w:t>
      </w:r>
      <w:r w:rsidRPr="009E06AA">
        <w:rPr>
          <w:vertAlign w:val="subscript"/>
        </w:rPr>
        <w:t>2</w:t>
      </w:r>
      <w:r w:rsidRPr="009E06AA">
        <w:t>-e in 1990 (0.6 per cent of total Agriculture emissions) to 961.4 kt CO</w:t>
      </w:r>
      <w:r w:rsidRPr="009E06AA">
        <w:rPr>
          <w:vertAlign w:val="subscript"/>
        </w:rPr>
        <w:t>2</w:t>
      </w:r>
      <w:r w:rsidRPr="009E06AA">
        <w:noBreakHyphen/>
        <w:t>e in 2022 (2.3 per cent of Agriculture emissions).</w:t>
      </w:r>
    </w:p>
    <w:p w14:paraId="05626B89" w14:textId="77777777" w:rsidR="007523B8" w:rsidRPr="009E06AA" w:rsidRDefault="007523B8" w:rsidP="00BF2A76">
      <w:pPr>
        <w:pStyle w:val="Heading5"/>
      </w:pPr>
      <w:r w:rsidRPr="009E06AA">
        <w:t>Organic nitrogen fertilisers (3.D.1.2)</w:t>
      </w:r>
    </w:p>
    <w:p w14:paraId="2BC42543" w14:textId="77777777" w:rsidR="007523B8" w:rsidRPr="009E06AA" w:rsidRDefault="007523B8" w:rsidP="007523B8">
      <w:pPr>
        <w:pStyle w:val="BodyText"/>
        <w:spacing w:before="100"/>
      </w:pPr>
      <w:r w:rsidRPr="009E06AA">
        <w:t xml:space="preserve">In New Zealand, emissions from organic nitrogen fertilisers are solely from animal manure that is spread on pasture after collection in manure management systems. While most animal manure in New Zealand is excreted directly onto pasture, some manure from dairy farms is collected in manure management systems and applied to soils as an organic fertiliser (see table 5.3.2). A recent report by Rollo et al. (2017) found that only 8 per cent of dairy farms use land application of manure, through the use of direct pumping from a sump. In all cases, manure that was collected was stored for at least one or two days before spreading to pasture via irrigation. Therefore, it does not meet the definition of </w:t>
      </w:r>
      <w:r w:rsidRPr="009E06AA">
        <w:rPr>
          <w:i/>
          <w:iCs/>
        </w:rPr>
        <w:t>daily spread</w:t>
      </w:r>
      <w:r w:rsidRPr="009E06AA">
        <w:t xml:space="preserve"> and the notation key ‘NO’ is reported in 3.B(b) of the CRT. The emissions calculation in this category (</w:t>
      </w:r>
      <w:r w:rsidRPr="009E06AA">
        <w:rPr>
          <w:i/>
          <w:iCs/>
        </w:rPr>
        <w:t>O</w:t>
      </w:r>
      <w:r w:rsidRPr="009E06AA">
        <w:rPr>
          <w:i/>
        </w:rPr>
        <w:t>rganic nitrogen fertilisers</w:t>
      </w:r>
      <w:r w:rsidRPr="009E06AA">
        <w:t>) excludes manure deposited directly on pasture by grazing livestock, which is covered in the next section (</w:t>
      </w:r>
      <w:r w:rsidRPr="009E06AA">
        <w:rPr>
          <w:i/>
          <w:iCs/>
        </w:rPr>
        <w:t>Urine and dung deposited by grazing animals</w:t>
      </w:r>
      <w:r w:rsidRPr="009E06AA">
        <w:t xml:space="preserve"> (3.D.1.3)). Animal manure is not used for fuel or construction in </w:t>
      </w:r>
      <w:r w:rsidRPr="009E06AA" w:rsidDel="00F4081C">
        <w:t xml:space="preserve">New </w:t>
      </w:r>
      <w:r w:rsidRPr="009E06AA">
        <w:t>Zealand.</w:t>
      </w:r>
    </w:p>
    <w:p w14:paraId="1ED6418D" w14:textId="77777777" w:rsidR="007523B8" w:rsidRPr="009E06AA" w:rsidRDefault="007523B8" w:rsidP="007523B8">
      <w:pPr>
        <w:pStyle w:val="BodyText"/>
      </w:pPr>
      <w:r w:rsidRPr="009E06AA">
        <w:t xml:space="preserve">New Zealand has developed a country-specific emission factor for dairy cattle manure applied to soils of 0.0025 (van der Weerden et al., 2016a, 2016b). This value was based on a meta-analysis of field trials carried out in </w:t>
      </w:r>
      <w:r w:rsidRPr="009E06AA" w:rsidDel="0016234F">
        <w:t xml:space="preserve">New </w:t>
      </w:r>
      <w:r w:rsidRPr="009E06AA">
        <w:t xml:space="preserve">Zealand that measured emissions from dairy cattle manure on soil. This emission factor was changed to 0.0025 in 2017, following a recommendation from the Agriculture Inventory Advisory Panel in 2016. The Panel agreed that the new value was more representative of </w:t>
      </w:r>
      <w:r w:rsidRPr="009E06AA" w:rsidDel="0016234F">
        <w:t xml:space="preserve">New </w:t>
      </w:r>
      <w:r w:rsidRPr="009E06AA">
        <w:t>Zealand farming practices and conditions. Given that dairy cattle manure is a mixture of urine and dung (combined with water), the value of 0.0025 is consistent with the EF</w:t>
      </w:r>
      <w:r w:rsidRPr="009E06AA">
        <w:rPr>
          <w:vertAlign w:val="subscript"/>
        </w:rPr>
        <w:t>3</w:t>
      </w:r>
      <w:r w:rsidRPr="009E06AA">
        <w:t xml:space="preserve"> emission factor values used in </w:t>
      </w:r>
      <w:r w:rsidRPr="009E06AA" w:rsidDel="00154256">
        <w:t xml:space="preserve">New </w:t>
      </w:r>
      <w:r w:rsidRPr="009E06AA">
        <w:t>Zealand for dairy cattle urine (0.0098 and 0.0033 for flat and medium to steep sloped land respectively) and dung (0.0012) (van der Weerden et al., 2016a). Direct N</w:t>
      </w:r>
      <w:r w:rsidRPr="009E06AA">
        <w:rPr>
          <w:vertAlign w:val="subscript"/>
        </w:rPr>
        <w:t>2</w:t>
      </w:r>
      <w:r w:rsidRPr="009E06AA">
        <w:t>O emissions from organic fertiliser (dairy cattle manure) in 2020 (using the EF of 0.0025) were 0.139 kt N</w:t>
      </w:r>
      <w:r w:rsidRPr="009E06AA">
        <w:rPr>
          <w:vertAlign w:val="subscript"/>
        </w:rPr>
        <w:t>2</w:t>
      </w:r>
      <w:r w:rsidRPr="009E06AA">
        <w:t>O.</w:t>
      </w:r>
    </w:p>
    <w:p w14:paraId="1C9D7945" w14:textId="77777777" w:rsidR="007523B8" w:rsidRPr="009E06AA" w:rsidRDefault="007523B8" w:rsidP="007523B8">
      <w:pPr>
        <w:pStyle w:val="BodyText"/>
      </w:pPr>
      <w:r w:rsidRPr="009E06AA">
        <w:t>Manure from poultry and swine spread onto soil has an emission factor of 0.01, which is consistent with the IPCC default.</w:t>
      </w:r>
    </w:p>
    <w:p w14:paraId="604204A3" w14:textId="77777777" w:rsidR="007523B8" w:rsidRPr="009E06AA" w:rsidRDefault="007523B8" w:rsidP="007523B8">
      <w:pPr>
        <w:pStyle w:val="BodyText"/>
        <w:spacing w:before="100" w:after="60"/>
      </w:pPr>
      <w:r w:rsidRPr="009E06AA">
        <w:t>The following equation is used to determine direct N</w:t>
      </w:r>
      <w:r w:rsidRPr="009E06AA">
        <w:rPr>
          <w:vertAlign w:val="subscript"/>
        </w:rPr>
        <w:t>2</w:t>
      </w:r>
      <w:r w:rsidRPr="009E06AA">
        <w:t>O emissions from the application of animal manure to soil:</w:t>
      </w:r>
    </w:p>
    <w:p w14:paraId="5FB8C05F" w14:textId="77777777" w:rsidR="007523B8" w:rsidRPr="009E06AA" w:rsidRDefault="008975BF" w:rsidP="001E47A3">
      <w:pPr>
        <w:pStyle w:val="BodyText"/>
        <w:spacing w:before="0"/>
        <w:jc w:val="center"/>
        <w:rPr>
          <w:rFonts w:cs="Calibri"/>
          <w:i/>
        </w:rPr>
      </w:pPr>
      <m:oMathPara>
        <m:oMath>
          <m:sSub>
            <m:sSubPr>
              <m:ctrlPr>
                <w:rPr>
                  <w:rFonts w:ascii="Cambria Math" w:hAnsi="Cambria Math" w:cs="Calibri"/>
                  <w:i/>
                  <w:sz w:val="24"/>
                  <w:szCs w:val="24"/>
                </w:rPr>
              </m:ctrlPr>
            </m:sSubPr>
            <m:e>
              <m:r>
                <w:rPr>
                  <w:rFonts w:ascii="Cambria Math" w:hAnsi="Cambria Math" w:cs="Calibri"/>
                  <w:sz w:val="24"/>
                  <w:szCs w:val="24"/>
                </w:rPr>
                <m:t>N</m:t>
              </m:r>
            </m:e>
            <m:sub>
              <m:r>
                <w:rPr>
                  <w:rFonts w:ascii="Cambria Math" w:hAnsi="Cambria Math" w:cs="Calibri"/>
                  <w:sz w:val="24"/>
                  <w:szCs w:val="24"/>
                </w:rPr>
                <m:t>2</m:t>
              </m:r>
            </m:sub>
          </m:sSub>
          <m:r>
            <w:rPr>
              <w:rFonts w:ascii="Cambria Math" w:hAnsi="Cambria Math" w:cs="Calibri"/>
              <w:sz w:val="24"/>
              <w:szCs w:val="24"/>
            </w:rPr>
            <m:t>O</m:t>
          </m:r>
          <m:r>
            <w:rPr>
              <w:rFonts w:ascii="Cambria Math" w:hAnsi="Cambria Math" w:cs="Calibri"/>
              <w:sz w:val="24"/>
              <w:szCs w:val="24"/>
            </w:rPr>
            <m:t xml:space="preserve"> </m:t>
          </m:r>
          <m:r>
            <w:rPr>
              <w:rFonts w:ascii="Cambria Math" w:hAnsi="Cambria Math" w:cs="Calibri"/>
              <w:sz w:val="24"/>
              <w:szCs w:val="24"/>
            </w:rPr>
            <m:t>emissions</m:t>
          </m:r>
          <m:r>
            <w:rPr>
              <w:rFonts w:ascii="Cambria Math" w:hAnsi="Cambria Math" w:cs="Calibri"/>
              <w:sz w:val="24"/>
              <w:szCs w:val="24"/>
            </w:rPr>
            <m:t xml:space="preserve">= </m:t>
          </m:r>
          <m:f>
            <m:fPr>
              <m:ctrlPr>
                <w:rPr>
                  <w:rFonts w:ascii="Cambria Math" w:hAnsi="Cambria Math" w:cs="Calibri"/>
                  <w:i/>
                  <w:sz w:val="24"/>
                  <w:szCs w:val="24"/>
                </w:rPr>
              </m:ctrlPr>
            </m:fPr>
            <m:num>
              <m:r>
                <w:rPr>
                  <w:rFonts w:ascii="Cambria Math" w:hAnsi="Cambria Math" w:cs="Calibri"/>
                  <w:sz w:val="24"/>
                  <w:szCs w:val="24"/>
                </w:rPr>
                <m:t>44</m:t>
              </m:r>
            </m:num>
            <m:den>
              <m:r>
                <w:rPr>
                  <w:rFonts w:ascii="Cambria Math" w:hAnsi="Cambria Math" w:cs="Calibri"/>
                  <w:sz w:val="24"/>
                  <w:szCs w:val="24"/>
                </w:rPr>
                <m:t>28</m:t>
              </m:r>
            </m:den>
          </m:f>
          <m:r>
            <w:rPr>
              <w:rFonts w:ascii="Cambria Math" w:hAnsi="Cambria Math" w:cs="Calibri"/>
              <w:sz w:val="24"/>
              <w:szCs w:val="24"/>
            </w:rPr>
            <m:t xml:space="preserve"> × </m:t>
          </m:r>
          <m:d>
            <m:dPr>
              <m:ctrlPr>
                <w:rPr>
                  <w:rFonts w:ascii="Cambria Math" w:hAnsi="Cambria Math" w:cs="Calibri"/>
                  <w:i/>
                  <w:sz w:val="24"/>
                  <w:szCs w:val="24"/>
                </w:rPr>
              </m:ctrlPr>
            </m:dPr>
            <m:e>
              <m:d>
                <m:dPr>
                  <m:ctrlPr>
                    <w:rPr>
                      <w:rFonts w:ascii="Cambria Math" w:hAnsi="Cambria Math" w:cs="Calibri"/>
                      <w:i/>
                      <w:sz w:val="24"/>
                      <w:szCs w:val="24"/>
                    </w:rPr>
                  </m:ctrlPr>
                </m:dPr>
                <m:e>
                  <m:sSub>
                    <m:sSubPr>
                      <m:ctrlPr>
                        <w:rPr>
                          <w:rFonts w:ascii="Cambria Math" w:hAnsi="Cambria Math" w:cs="Calibri"/>
                          <w:i/>
                          <w:sz w:val="24"/>
                          <w:szCs w:val="24"/>
                        </w:rPr>
                      </m:ctrlPr>
                    </m:sSubPr>
                    <m:e>
                      <m:r>
                        <w:rPr>
                          <w:rFonts w:ascii="Cambria Math" w:hAnsi="Cambria Math" w:cs="Calibri"/>
                          <w:sz w:val="24"/>
                          <w:szCs w:val="24"/>
                        </w:rPr>
                        <m:t>F</m:t>
                      </m:r>
                    </m:e>
                    <m:sub>
                      <m:r>
                        <w:rPr>
                          <w:rFonts w:ascii="Cambria Math" w:hAnsi="Cambria Math" w:cs="Calibri"/>
                          <w:sz w:val="24"/>
                          <w:szCs w:val="24"/>
                        </w:rPr>
                        <m:t>AM</m:t>
                      </m:r>
                      <m:r>
                        <w:rPr>
                          <w:rFonts w:ascii="Cambria Math" w:hAnsi="Cambria Math" w:cs="Calibri"/>
                          <w:sz w:val="24"/>
                          <w:szCs w:val="24"/>
                        </w:rPr>
                        <m:t xml:space="preserve"> </m:t>
                      </m:r>
                    </m:sub>
                  </m:sSub>
                  <m:r>
                    <w:rPr>
                      <w:rFonts w:ascii="Cambria Math" w:hAnsi="Cambria Math" w:cs="Calibri"/>
                      <w:sz w:val="24"/>
                      <w:szCs w:val="24"/>
                    </w:rPr>
                    <m:t>×</m:t>
                  </m:r>
                  <m:sSub>
                    <m:sSubPr>
                      <m:ctrlPr>
                        <w:rPr>
                          <w:rFonts w:ascii="Cambria Math" w:hAnsi="Cambria Math" w:cs="Calibri"/>
                          <w:i/>
                          <w:sz w:val="24"/>
                          <w:szCs w:val="24"/>
                        </w:rPr>
                      </m:ctrlPr>
                    </m:sSubPr>
                    <m:e>
                      <m:r>
                        <w:rPr>
                          <w:rFonts w:ascii="Cambria Math" w:hAnsi="Cambria Math" w:cs="Calibri"/>
                          <w:sz w:val="24"/>
                          <w:szCs w:val="24"/>
                        </w:rPr>
                        <m:t>EF</m:t>
                      </m:r>
                    </m:e>
                    <m:sub>
                      <m:r>
                        <w:rPr>
                          <w:rFonts w:ascii="Cambria Math" w:hAnsi="Cambria Math" w:cs="Calibri"/>
                          <w:sz w:val="24"/>
                          <w:szCs w:val="24"/>
                        </w:rPr>
                        <m:t>1</m:t>
                      </m:r>
                    </m:sub>
                  </m:sSub>
                </m:e>
              </m:d>
              <m:r>
                <w:rPr>
                  <w:rFonts w:ascii="Cambria Math" w:hAnsi="Cambria Math" w:cs="Calibri"/>
                  <w:sz w:val="24"/>
                  <w:szCs w:val="24"/>
                </w:rPr>
                <m:t>+(</m:t>
              </m:r>
              <m:sSub>
                <m:sSubPr>
                  <m:ctrlPr>
                    <w:rPr>
                      <w:rFonts w:ascii="Cambria Math" w:hAnsi="Cambria Math" w:cs="Calibri"/>
                      <w:i/>
                      <w:sz w:val="24"/>
                      <w:szCs w:val="24"/>
                    </w:rPr>
                  </m:ctrlPr>
                </m:sSubPr>
                <m:e>
                  <m:r>
                    <w:rPr>
                      <w:rFonts w:ascii="Cambria Math" w:hAnsi="Cambria Math" w:cs="Calibri"/>
                      <w:sz w:val="24"/>
                      <w:szCs w:val="24"/>
                    </w:rPr>
                    <m:t>F</m:t>
                  </m:r>
                </m:e>
                <m:sub>
                  <m:r>
                    <w:rPr>
                      <w:rFonts w:ascii="Cambria Math" w:hAnsi="Cambria Math" w:cs="Calibri"/>
                      <w:sz w:val="24"/>
                      <w:szCs w:val="24"/>
                    </w:rPr>
                    <m:t>AM</m:t>
                  </m:r>
                  <m:r>
                    <w:rPr>
                      <w:rFonts w:ascii="Cambria Math" w:hAnsi="Cambria Math" w:cs="Calibri"/>
                      <w:sz w:val="24"/>
                      <w:szCs w:val="24"/>
                    </w:rPr>
                    <m:t>(</m:t>
                  </m:r>
                  <m:r>
                    <w:rPr>
                      <w:rFonts w:ascii="Cambria Math" w:hAnsi="Cambria Math" w:cs="Calibri"/>
                      <w:sz w:val="24"/>
                      <w:szCs w:val="24"/>
                    </w:rPr>
                    <m:t>Dairy</m:t>
                  </m:r>
                  <m:r>
                    <w:rPr>
                      <w:rFonts w:ascii="Cambria Math" w:hAnsi="Cambria Math" w:cs="Calibri"/>
                      <w:sz w:val="24"/>
                      <w:szCs w:val="24"/>
                    </w:rPr>
                    <m:t>)</m:t>
                  </m:r>
                </m:sub>
              </m:sSub>
              <m:r>
                <w:rPr>
                  <w:rFonts w:ascii="Cambria Math" w:hAnsi="Cambria Math" w:cs="Calibri"/>
                  <w:sz w:val="24"/>
                  <w:szCs w:val="24"/>
                </w:rPr>
                <m:t>×</m:t>
              </m:r>
              <m:sSub>
                <m:sSubPr>
                  <m:ctrlPr>
                    <w:rPr>
                      <w:rFonts w:ascii="Cambria Math" w:hAnsi="Cambria Math" w:cs="Calibri"/>
                      <w:i/>
                      <w:sz w:val="24"/>
                      <w:szCs w:val="24"/>
                    </w:rPr>
                  </m:ctrlPr>
                </m:sSubPr>
                <m:e>
                  <m:r>
                    <w:rPr>
                      <w:rFonts w:ascii="Cambria Math" w:hAnsi="Cambria Math" w:cs="Calibri"/>
                      <w:sz w:val="24"/>
                      <w:szCs w:val="24"/>
                    </w:rPr>
                    <m:t>EF</m:t>
                  </m:r>
                </m:e>
                <m:sub>
                  <m:r>
                    <w:rPr>
                      <w:rFonts w:ascii="Cambria Math" w:hAnsi="Cambria Math" w:cs="Calibri"/>
                      <w:sz w:val="24"/>
                      <w:szCs w:val="24"/>
                    </w:rPr>
                    <m:t>1(</m:t>
                  </m:r>
                  <m:r>
                    <w:rPr>
                      <w:rFonts w:ascii="Cambria Math" w:hAnsi="Cambria Math" w:cs="Calibri"/>
                      <w:sz w:val="24"/>
                      <w:szCs w:val="24"/>
                    </w:rPr>
                    <m:t>Dairy</m:t>
                  </m:r>
                  <m:r>
                    <w:rPr>
                      <w:rFonts w:ascii="Cambria Math" w:hAnsi="Cambria Math" w:cs="Calibri"/>
                      <w:sz w:val="24"/>
                      <w:szCs w:val="24"/>
                    </w:rPr>
                    <m:t>)</m:t>
                  </m:r>
                </m:sub>
              </m:sSub>
            </m:e>
          </m:d>
        </m:oMath>
      </m:oMathPara>
    </w:p>
    <w:p w14:paraId="4DB8F093" w14:textId="77777777" w:rsidR="007523B8" w:rsidRPr="009E06AA" w:rsidRDefault="007523B8" w:rsidP="007523B8">
      <w:pPr>
        <w:pStyle w:val="BodyText"/>
        <w:spacing w:before="40" w:after="60"/>
        <w:ind w:left="964" w:hanging="964"/>
      </w:pPr>
      <w:r w:rsidRPr="009E06AA">
        <w:t>Where:</w:t>
      </w:r>
      <w:r w:rsidRPr="009E06AA">
        <w:tab/>
        <w:t>F</w:t>
      </w:r>
      <w:r w:rsidRPr="009E06AA">
        <w:rPr>
          <w:vertAlign w:val="subscript"/>
        </w:rPr>
        <w:t>AM</w:t>
      </w:r>
      <w:r w:rsidRPr="009E06AA">
        <w:t xml:space="preserve"> is the total amount of animal manure nitrogen (swine and poultry) applied to soils from manure management systems (other than pasture, range and paddock), which is derived as a fraction of the nitrogen excretion rates, N</w:t>
      </w:r>
      <w:r w:rsidRPr="009E06AA">
        <w:rPr>
          <w:vertAlign w:val="subscript"/>
        </w:rPr>
        <w:t>ex</w:t>
      </w:r>
      <w:r w:rsidRPr="009E06AA">
        <w:t xml:space="preserve">, described in section 5.3.2 </w:t>
      </w:r>
    </w:p>
    <w:p w14:paraId="4AF21F1A" w14:textId="77777777" w:rsidR="007523B8" w:rsidRPr="009E06AA" w:rsidRDefault="007523B8" w:rsidP="007523B8">
      <w:pPr>
        <w:pStyle w:val="BodyText"/>
        <w:spacing w:before="40" w:after="60"/>
        <w:ind w:left="964" w:hanging="964"/>
      </w:pPr>
      <w:r w:rsidRPr="009E06AA">
        <w:tab/>
        <w:t>44/28 is the molecular conversion factor used to convert nitrogen to N</w:t>
      </w:r>
      <w:r w:rsidRPr="009E06AA">
        <w:rPr>
          <w:vertAlign w:val="subscript"/>
        </w:rPr>
        <w:t>2</w:t>
      </w:r>
      <w:r w:rsidRPr="009E06AA">
        <w:t>O</w:t>
      </w:r>
    </w:p>
    <w:p w14:paraId="45A01145" w14:textId="77777777" w:rsidR="007523B8" w:rsidRPr="009E06AA" w:rsidRDefault="007523B8" w:rsidP="007523B8">
      <w:pPr>
        <w:pStyle w:val="BodyText"/>
        <w:spacing w:before="40" w:after="60"/>
        <w:ind w:left="964" w:hanging="964"/>
      </w:pPr>
      <w:r w:rsidRPr="009E06AA">
        <w:tab/>
        <w:t>EF</w:t>
      </w:r>
      <w:r w:rsidRPr="009E06AA">
        <w:rPr>
          <w:vertAlign w:val="subscript"/>
        </w:rPr>
        <w:t>1</w:t>
      </w:r>
      <w:r w:rsidRPr="009E06AA">
        <w:t xml:space="preserve"> is the proportion of direct N</w:t>
      </w:r>
      <w:r w:rsidRPr="009E06AA">
        <w:rPr>
          <w:vertAlign w:val="subscript"/>
        </w:rPr>
        <w:t>2</w:t>
      </w:r>
      <w:r w:rsidRPr="009E06AA">
        <w:t>O emissions from animal manure (swine and poultry) applied to soils (0.01; table 5.5.2)</w:t>
      </w:r>
    </w:p>
    <w:p w14:paraId="28C36254" w14:textId="77777777" w:rsidR="007523B8" w:rsidRPr="009E06AA" w:rsidRDefault="007523B8" w:rsidP="007523B8">
      <w:pPr>
        <w:pStyle w:val="BodyText"/>
        <w:spacing w:before="40" w:after="60"/>
        <w:ind w:left="964" w:hanging="964"/>
      </w:pPr>
      <w:r w:rsidRPr="009E06AA">
        <w:tab/>
        <w:t>F</w:t>
      </w:r>
      <w:r w:rsidRPr="009E06AA">
        <w:rPr>
          <w:vertAlign w:val="subscript"/>
        </w:rPr>
        <w:t>AM(DAIRY)</w:t>
      </w:r>
      <w:r w:rsidRPr="009E06AA">
        <w:t xml:space="preserve"> is the total amount of animal manure nitrogen (dairy) applied to soils from manure management systems (other than pasture, range and paddock), which is derived as a fraction of the nitrogen excretion rates, N</w:t>
      </w:r>
      <w:r w:rsidRPr="009E06AA">
        <w:rPr>
          <w:vertAlign w:val="subscript"/>
        </w:rPr>
        <w:t>ex</w:t>
      </w:r>
      <w:r w:rsidRPr="009E06AA">
        <w:t>, described in section 5.3.2, and</w:t>
      </w:r>
    </w:p>
    <w:p w14:paraId="6A9FF752" w14:textId="77777777" w:rsidR="007523B8" w:rsidRPr="009E06AA" w:rsidDel="00380393" w:rsidRDefault="007523B8" w:rsidP="007523B8">
      <w:pPr>
        <w:pStyle w:val="BodyText"/>
        <w:spacing w:before="40"/>
        <w:ind w:left="964" w:hanging="964"/>
      </w:pPr>
      <w:r w:rsidRPr="009E06AA">
        <w:tab/>
        <w:t>EF</w:t>
      </w:r>
      <w:r w:rsidRPr="009E06AA">
        <w:rPr>
          <w:vertAlign w:val="subscript"/>
        </w:rPr>
        <w:t>1(DAIRY)</w:t>
      </w:r>
      <w:r w:rsidRPr="009E06AA">
        <w:t xml:space="preserve"> is the proportion of direct N</w:t>
      </w:r>
      <w:r w:rsidRPr="009E06AA">
        <w:rPr>
          <w:vertAlign w:val="subscript"/>
        </w:rPr>
        <w:t>2</w:t>
      </w:r>
      <w:r w:rsidRPr="009E06AA">
        <w:t>O emissions from animal manure (dairy cattle) applied to soils (0.0025; table 5.5.2)</w:t>
      </w:r>
      <w:r w:rsidRPr="009E06AA" w:rsidDel="00380393">
        <w:t xml:space="preserve">. </w:t>
      </w:r>
    </w:p>
    <w:p w14:paraId="15DFF795" w14:textId="77777777" w:rsidR="007523B8" w:rsidRPr="009E06AA" w:rsidRDefault="007523B8" w:rsidP="007523B8">
      <w:pPr>
        <w:pStyle w:val="BodyText"/>
      </w:pPr>
      <w:r w:rsidRPr="009E06AA">
        <w:rPr>
          <w:spacing w:val="-2"/>
        </w:rPr>
        <w:t>The IPCC Guidelines (IPCC, 2006) recommend that non-manure components of organic nitrogen</w:t>
      </w:r>
      <w:r w:rsidRPr="009E06AA">
        <w:t xml:space="preserve"> applied to agricultural soils, such as compost sewage sludge and rendering waste, are included under organic fertilisers. New Zealand commissioned research on sources of organic waste and found that these sources are not significant in </w:t>
      </w:r>
      <w:r w:rsidRPr="009E06AA" w:rsidDel="00C520D8">
        <w:t xml:space="preserve">New </w:t>
      </w:r>
      <w:r w:rsidRPr="009E06AA">
        <w:t xml:space="preserve">Zealand (van der Weerden </w:t>
      </w:r>
      <w:r w:rsidRPr="009E06AA">
        <w:rPr>
          <w:spacing w:val="-2"/>
        </w:rPr>
        <w:t>et al., 2014). They account for only 0.025 per cent of national gross greenhouse gas emissions</w:t>
      </w:r>
      <w:r w:rsidRPr="009E06AA">
        <w:t xml:space="preserve"> and, therefore, this category has been reported as ‘not estimated’ (NE). An updated analysis of the findings of this report is currently under way, and more information can be found in section 5.5.6.</w:t>
      </w:r>
    </w:p>
    <w:p w14:paraId="4C29CD18" w14:textId="77777777" w:rsidR="007523B8" w:rsidRPr="009E06AA" w:rsidRDefault="007523B8" w:rsidP="007523B8">
      <w:pPr>
        <w:pStyle w:val="BodyText"/>
        <w:spacing w:before="100" w:after="100"/>
      </w:pPr>
      <w:r w:rsidRPr="009E06AA">
        <w:t xml:space="preserve">The research assessed a range of potential sources, including dairy processing wastewater, compost sold to the agricultural sector, blood and bone fertiliser, meat processing wastewater and sludge, grape marc from the wine industry, vegetable processing wastewater and sewage sludge applied to land. No brewery waste is applied to soils in </w:t>
      </w:r>
      <w:r w:rsidRPr="009E06AA" w:rsidDel="00796619">
        <w:t xml:space="preserve">New </w:t>
      </w:r>
      <w:r w:rsidRPr="009E06AA">
        <w:t>Zealand because spent yeast is used in the food industry to manufacture a yeast spread or fed directly to stock.</w:t>
      </w:r>
    </w:p>
    <w:p w14:paraId="7AADF3DF" w14:textId="77777777" w:rsidR="007523B8" w:rsidRPr="009E06AA" w:rsidRDefault="007523B8" w:rsidP="007523B8">
      <w:pPr>
        <w:pStyle w:val="BodyText"/>
        <w:spacing w:before="100" w:after="100"/>
      </w:pPr>
      <w:r w:rsidRPr="009E06AA">
        <w:t xml:space="preserve">Because most livestock manure in </w:t>
      </w:r>
      <w:r w:rsidRPr="009E06AA" w:rsidDel="00731B5B">
        <w:t xml:space="preserve">New </w:t>
      </w:r>
      <w:r w:rsidRPr="009E06AA">
        <w:t xml:space="preserve">Zealand is excreted directly onto pasture, emissions from the </w:t>
      </w:r>
      <w:r w:rsidRPr="009E06AA">
        <w:rPr>
          <w:i/>
          <w:iCs/>
        </w:rPr>
        <w:t>Organic</w:t>
      </w:r>
      <w:r w:rsidRPr="009E06AA">
        <w:rPr>
          <w:i/>
        </w:rPr>
        <w:t xml:space="preserve"> nitrogen fertilisers</w:t>
      </w:r>
      <w:r w:rsidRPr="009E06AA">
        <w:t xml:space="preserve"> category are relatively small. In 2022, N</w:t>
      </w:r>
      <w:r w:rsidRPr="009E06AA">
        <w:rPr>
          <w:vertAlign w:val="subscript"/>
        </w:rPr>
        <w:t>2</w:t>
      </w:r>
      <w:r w:rsidRPr="009E06AA">
        <w:t>O emissions from this source contributed 65.0 kt CO</w:t>
      </w:r>
      <w:r w:rsidRPr="009E06AA">
        <w:rPr>
          <w:vertAlign w:val="subscript"/>
        </w:rPr>
        <w:t>2</w:t>
      </w:r>
      <w:r w:rsidRPr="009E06AA">
        <w:t xml:space="preserve">-e (1.0 per cent of emissions from </w:t>
      </w:r>
      <w:r w:rsidRPr="009E06AA">
        <w:rPr>
          <w:i/>
        </w:rPr>
        <w:t>Agricultural soils</w:t>
      </w:r>
      <w:r w:rsidRPr="009E06AA">
        <w:t>, and 0.2 per cent of total agricultural emissions). This is an increase of 32.9 kt CO</w:t>
      </w:r>
      <w:r w:rsidRPr="009E06AA">
        <w:rPr>
          <w:vertAlign w:val="subscript"/>
        </w:rPr>
        <w:t>2</w:t>
      </w:r>
      <w:r w:rsidRPr="009E06AA">
        <w:t>-e (102.3 per cent) from the 1990 level of 32.1 kt CO</w:t>
      </w:r>
      <w:r w:rsidRPr="009E06AA">
        <w:rPr>
          <w:vertAlign w:val="subscript"/>
        </w:rPr>
        <w:t>2</w:t>
      </w:r>
      <w:r w:rsidRPr="009E06AA">
        <w:t xml:space="preserve">-e. </w:t>
      </w:r>
    </w:p>
    <w:p w14:paraId="7E71B043" w14:textId="77777777" w:rsidR="007523B8" w:rsidRPr="009E06AA" w:rsidRDefault="007523B8" w:rsidP="00BF2A76">
      <w:pPr>
        <w:pStyle w:val="Heading5"/>
      </w:pPr>
      <w:r w:rsidRPr="009E06AA">
        <w:t>Urine and dung deposited by grazing animals (3.D.1.3)</w:t>
      </w:r>
    </w:p>
    <w:p w14:paraId="6A83FD16" w14:textId="77777777" w:rsidR="007523B8" w:rsidRPr="009E06AA" w:rsidRDefault="007523B8" w:rsidP="007523B8">
      <w:pPr>
        <w:pStyle w:val="BodyText"/>
        <w:spacing w:before="100"/>
      </w:pPr>
      <w:r w:rsidRPr="009E06AA">
        <w:t xml:space="preserve">Most livestock in </w:t>
      </w:r>
      <w:r w:rsidRPr="009E06AA" w:rsidDel="003E22F4">
        <w:t xml:space="preserve">New </w:t>
      </w:r>
      <w:r w:rsidRPr="009E06AA">
        <w:t>Zealand are grazed outdoors on pasture, with around 92.7 per cent of dairy cattle excreta and 100 per cent of non-dairy cattle, sheep, deer and other livestock excreta deposited on pasture (see table 5.3.2). In New Zealand, dairy cattle are kept close to the milking shed and dairy farming tends to be on flatland. Sheep, non-dairy and deer farming predominantly occur on hill country and less frequently on flatland.</w:t>
      </w:r>
    </w:p>
    <w:p w14:paraId="649133D8" w14:textId="77777777" w:rsidR="007523B8" w:rsidRPr="009E06AA" w:rsidRDefault="007523B8" w:rsidP="007523B8">
      <w:pPr>
        <w:pStyle w:val="BodyText"/>
        <w:spacing w:before="100"/>
      </w:pPr>
      <w:r w:rsidRPr="009E06AA">
        <w:t>The following equations are used to determine direct N</w:t>
      </w:r>
      <w:r w:rsidRPr="009E06AA">
        <w:rPr>
          <w:vertAlign w:val="subscript"/>
        </w:rPr>
        <w:t>2</w:t>
      </w:r>
      <w:r w:rsidRPr="009E06AA">
        <w:t>O emissions from grazing livestock manure.</w:t>
      </w:r>
    </w:p>
    <w:p w14:paraId="317ED32A" w14:textId="77777777" w:rsidR="007523B8" w:rsidRPr="009E06AA" w:rsidRDefault="007523B8" w:rsidP="007523B8">
      <w:pPr>
        <w:pStyle w:val="BodyText"/>
        <w:spacing w:before="100"/>
      </w:pPr>
      <w:r w:rsidRPr="009E06AA">
        <w:t xml:space="preserve">For urine deposited on flatland and low slopes by sheep, cattle and deer only: </w:t>
      </w:r>
    </w:p>
    <w:p w14:paraId="6977C919" w14:textId="77777777" w:rsidR="007523B8" w:rsidRPr="00195B47" w:rsidRDefault="008975BF" w:rsidP="007523B8">
      <w:pPr>
        <w:pStyle w:val="BodyText"/>
        <w:spacing w:before="80" w:after="80"/>
        <w:jc w:val="center"/>
      </w:pPr>
      <m:oMathPara>
        <m:oMath>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m:t>
              </m:r>
            </m:e>
            <m:sub>
              <m:r>
                <w:rPr>
                  <w:rFonts w:ascii="Cambria Math" w:hAnsi="Cambria Math"/>
                  <w:color w:val="0D0D0D" w:themeColor="text1" w:themeTint="F2"/>
                  <w:sz w:val="24"/>
                  <w:szCs w:val="24"/>
                </w:rPr>
                <m:t>2</m:t>
              </m:r>
            </m:sub>
          </m:sSub>
          <m:r>
            <w:rPr>
              <w:rFonts w:ascii="Cambria Math" w:hAnsi="Cambria Math"/>
              <w:color w:val="0D0D0D" w:themeColor="text1" w:themeTint="F2"/>
              <w:sz w:val="24"/>
              <w:szCs w:val="24"/>
            </w:rPr>
            <m:t>O</m:t>
          </m:r>
          <m:r>
            <w:rPr>
              <w:rFonts w:ascii="Cambria Math" w:hAnsi="Cambria Math"/>
              <w:color w:val="0D0D0D" w:themeColor="text1" w:themeTint="F2"/>
              <w:sz w:val="24"/>
              <w:szCs w:val="24"/>
            </w:rPr>
            <m:t xml:space="preserve"> </m:t>
          </m:r>
          <m:r>
            <w:rPr>
              <w:rFonts w:ascii="Cambria Math" w:hAnsi="Cambria Math"/>
              <w:color w:val="0D0D0D" w:themeColor="text1" w:themeTint="F2"/>
              <w:sz w:val="24"/>
              <w:szCs w:val="24"/>
            </w:rPr>
            <m:t>emissions</m:t>
          </m:r>
          <m:r>
            <w:rPr>
              <w:rFonts w:ascii="Cambria Math" w:hAnsi="Cambria Math"/>
              <w:color w:val="0D0D0D" w:themeColor="text1" w:themeTint="F2"/>
              <w:sz w:val="24"/>
              <w:szCs w:val="24"/>
            </w:rPr>
            <m:t xml:space="preserve">= </m:t>
          </m:r>
          <m:f>
            <m:fPr>
              <m:ctrlPr>
                <w:rPr>
                  <w:rFonts w:ascii="Cambria Math" w:hAnsi="Cambria Math"/>
                  <w:i/>
                  <w:color w:val="0D0D0D" w:themeColor="text1" w:themeTint="F2"/>
                  <w:sz w:val="24"/>
                  <w:szCs w:val="24"/>
                </w:rPr>
              </m:ctrlPr>
            </m:fPr>
            <m:num>
              <m:r>
                <w:rPr>
                  <w:rFonts w:ascii="Cambria Math" w:hAnsi="Cambria Math"/>
                  <w:color w:val="0D0D0D" w:themeColor="text1" w:themeTint="F2"/>
                  <w:sz w:val="24"/>
                  <w:szCs w:val="24"/>
                </w:rPr>
                <m:t>44</m:t>
              </m:r>
            </m:num>
            <m:den>
              <m:r>
                <w:rPr>
                  <w:rFonts w:ascii="Cambria Math" w:hAnsi="Cambria Math"/>
                  <w:color w:val="0D0D0D" w:themeColor="text1" w:themeTint="F2"/>
                  <w:sz w:val="24"/>
                  <w:szCs w:val="24"/>
                </w:rPr>
                <m:t>28</m:t>
              </m:r>
            </m:den>
          </m:f>
          <m:d>
            <m:dPr>
              <m:ctrlPr>
                <w:rPr>
                  <w:rFonts w:ascii="Cambria Math" w:hAnsi="Cambria Math"/>
                  <w:i/>
                  <w:color w:val="0D0D0D" w:themeColor="text1" w:themeTint="F2"/>
                  <w:sz w:val="24"/>
                  <w:szCs w:val="24"/>
                </w:rPr>
              </m:ctrlPr>
            </m:dPr>
            <m:e>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m:t>
                  </m:r>
                </m:e>
                <m:sub>
                  <m:r>
                    <w:rPr>
                      <w:rFonts w:ascii="Cambria Math" w:hAnsi="Cambria Math"/>
                      <w:color w:val="0D0D0D" w:themeColor="text1" w:themeTint="F2"/>
                      <w:sz w:val="24"/>
                      <w:szCs w:val="24"/>
                    </w:rPr>
                    <m:t>2</m:t>
                  </m:r>
                </m:sub>
              </m:sSub>
              <m:r>
                <w:rPr>
                  <w:rFonts w:ascii="Cambria Math" w:hAnsi="Cambria Math"/>
                  <w:color w:val="0D0D0D" w:themeColor="text1" w:themeTint="F2"/>
                  <w:sz w:val="24"/>
                  <w:szCs w:val="24"/>
                </w:rPr>
                <m:t>O</m:t>
              </m:r>
              <m:r>
                <w:rPr>
                  <w:rFonts w:ascii="Cambria Math" w:hAnsi="Cambria Math"/>
                  <w:color w:val="0D0D0D" w:themeColor="text1" w:themeTint="F2"/>
                  <w:sz w:val="24"/>
                  <w:szCs w:val="24"/>
                </w:rPr>
                <m:t>-</m:t>
              </m:r>
              <m:r>
                <w:rPr>
                  <w:rFonts w:ascii="Cambria Math" w:hAnsi="Cambria Math"/>
                  <w:color w:val="0D0D0D" w:themeColor="text1" w:themeTint="F2"/>
                  <w:sz w:val="24"/>
                  <w:szCs w:val="24"/>
                </w:rPr>
                <m:t>N</m:t>
              </m:r>
            </m:e>
          </m:d>
          <m:r>
            <w:rPr>
              <w:rFonts w:ascii="Cambria Math" w:hAnsi="Cambria Math"/>
              <w:color w:val="0D0D0D" w:themeColor="text1" w:themeTint="F2"/>
              <w:sz w:val="24"/>
              <w:szCs w:val="24"/>
            </w:rPr>
            <m:t>=</m:t>
          </m:r>
          <m:f>
            <m:fPr>
              <m:ctrlPr>
                <w:rPr>
                  <w:rFonts w:ascii="Cambria Math" w:hAnsi="Cambria Math"/>
                  <w:i/>
                  <w:color w:val="0D0D0D" w:themeColor="text1" w:themeTint="F2"/>
                  <w:sz w:val="24"/>
                  <w:szCs w:val="24"/>
                </w:rPr>
              </m:ctrlPr>
            </m:fPr>
            <m:num>
              <m:r>
                <w:rPr>
                  <w:rFonts w:ascii="Cambria Math" w:hAnsi="Cambria Math"/>
                  <w:color w:val="0D0D0D" w:themeColor="text1" w:themeTint="F2"/>
                  <w:sz w:val="24"/>
                  <w:szCs w:val="24"/>
                </w:rPr>
                <m:t>44</m:t>
              </m:r>
            </m:num>
            <m:den>
              <m:r>
                <w:rPr>
                  <w:rFonts w:ascii="Cambria Math" w:hAnsi="Cambria Math"/>
                  <w:color w:val="0D0D0D" w:themeColor="text1" w:themeTint="F2"/>
                  <w:sz w:val="24"/>
                  <w:szCs w:val="24"/>
                </w:rPr>
                <m:t>28</m:t>
              </m:r>
            </m:den>
          </m:f>
          <m:d>
            <m:dPr>
              <m:ctrlPr>
                <w:rPr>
                  <w:rFonts w:ascii="Cambria Math" w:hAnsi="Cambria Math"/>
                  <w:i/>
                  <w:color w:val="0D0D0D" w:themeColor="text1" w:themeTint="F2"/>
                  <w:sz w:val="24"/>
                  <w:szCs w:val="24"/>
                </w:rPr>
              </m:ctrlPr>
            </m:dPr>
            <m:e>
              <m:nary>
                <m:naryPr>
                  <m:chr m:val="∑"/>
                  <m:limLoc m:val="undOvr"/>
                  <m:supHide m:val="1"/>
                  <m:ctrlPr>
                    <w:rPr>
                      <w:rFonts w:ascii="Cambria Math" w:hAnsi="Cambria Math"/>
                      <w:i/>
                      <w:color w:val="0D0D0D" w:themeColor="text1" w:themeTint="F2"/>
                      <w:sz w:val="24"/>
                      <w:szCs w:val="24"/>
                    </w:rPr>
                  </m:ctrlPr>
                </m:naryPr>
                <m:sub>
                  <m:r>
                    <w:rPr>
                      <w:rFonts w:ascii="Cambria Math" w:hAnsi="Cambria Math"/>
                      <w:color w:val="0D0D0D" w:themeColor="text1" w:themeTint="F2"/>
                      <w:sz w:val="24"/>
                      <w:szCs w:val="24"/>
                    </w:rPr>
                    <m:t>T</m:t>
                  </m:r>
                </m:sub>
                <m:sup/>
                <m:e>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m:t>
                      </m:r>
                    </m:e>
                    <m:sub>
                      <m:r>
                        <w:rPr>
                          <w:rFonts w:ascii="Cambria Math" w:hAnsi="Cambria Math"/>
                          <w:color w:val="0D0D0D" w:themeColor="text1" w:themeTint="F2"/>
                          <w:sz w:val="24"/>
                          <w:szCs w:val="24"/>
                        </w:rPr>
                        <m:t>T</m:t>
                      </m:r>
                    </m:sub>
                  </m:sSub>
                  <m:r>
                    <w:rPr>
                      <w:rFonts w:ascii="Cambria Math" w:hAnsi="Cambria Math"/>
                      <w:color w:val="0D0D0D" w:themeColor="text1" w:themeTint="F2"/>
                      <w:sz w:val="24"/>
                      <w:szCs w:val="24"/>
                    </w:rPr>
                    <m:t>∙</m:t>
                  </m:r>
                  <m:d>
                    <m:dPr>
                      <m:ctrlPr>
                        <w:rPr>
                          <w:rFonts w:ascii="Cambria Math" w:hAnsi="Cambria Math"/>
                          <w:i/>
                          <w:color w:val="0D0D0D" w:themeColor="text1" w:themeTint="F2"/>
                          <w:sz w:val="24"/>
                          <w:szCs w:val="24"/>
                        </w:rPr>
                      </m:ctrlPr>
                    </m:dPr>
                    <m:e>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Nex</m:t>
                          </m:r>
                        </m:e>
                        <m:sub>
                          <m:r>
                            <w:rPr>
                              <w:rFonts w:ascii="Cambria Math" w:hAnsi="Cambria Math"/>
                              <w:color w:val="0D0D0D" w:themeColor="text1" w:themeTint="F2"/>
                              <w:sz w:val="24"/>
                              <w:szCs w:val="24"/>
                            </w:rPr>
                            <m:t>URINE</m:t>
                          </m:r>
                          <m:r>
                            <w:rPr>
                              <w:rFonts w:ascii="Cambria Math" w:hAnsi="Cambria Math"/>
                              <w:color w:val="0D0D0D" w:themeColor="text1" w:themeTint="F2"/>
                              <w:sz w:val="24"/>
                              <w:szCs w:val="24"/>
                            </w:rPr>
                            <m:t>,</m:t>
                          </m:r>
                          <m:r>
                            <w:rPr>
                              <w:rFonts w:ascii="Cambria Math" w:hAnsi="Cambria Math"/>
                              <w:color w:val="0D0D0D" w:themeColor="text1" w:themeTint="F2"/>
                              <w:sz w:val="24"/>
                              <w:szCs w:val="24"/>
                            </w:rPr>
                            <m:t>FLAT</m:t>
                          </m:r>
                        </m:sub>
                      </m:sSub>
                      <m:r>
                        <w:rPr>
                          <w:rFonts w:ascii="Cambria Math" w:hAnsi="Cambria Math"/>
                          <w:color w:val="0D0D0D" w:themeColor="text1" w:themeTint="F2"/>
                          <w:sz w:val="24"/>
                          <w:szCs w:val="24"/>
                        </w:rPr>
                        <m:t>+</m:t>
                      </m:r>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Nex</m:t>
                          </m:r>
                        </m:e>
                        <m:sub>
                          <m:r>
                            <w:rPr>
                              <w:rFonts w:ascii="Cambria Math" w:hAnsi="Cambria Math"/>
                              <w:color w:val="0D0D0D" w:themeColor="text1" w:themeTint="F2"/>
                              <w:sz w:val="24"/>
                              <w:szCs w:val="24"/>
                            </w:rPr>
                            <m:t>URINE</m:t>
                          </m:r>
                          <m:r>
                            <w:rPr>
                              <w:rFonts w:ascii="Cambria Math" w:hAnsi="Cambria Math"/>
                              <w:color w:val="0D0D0D" w:themeColor="text1" w:themeTint="F2"/>
                              <w:sz w:val="24"/>
                              <w:szCs w:val="24"/>
                            </w:rPr>
                            <m:t>,</m:t>
                          </m:r>
                          <m:r>
                            <w:rPr>
                              <w:rFonts w:ascii="Cambria Math" w:hAnsi="Cambria Math"/>
                              <w:color w:val="0D0D0D" w:themeColor="text1" w:themeTint="F2"/>
                              <w:sz w:val="24"/>
                              <w:szCs w:val="24"/>
                            </w:rPr>
                            <m:t>LOW</m:t>
                          </m:r>
                        </m:sub>
                      </m:sSub>
                    </m:e>
                  </m:d>
                  <m:r>
                    <w:rPr>
                      <w:rFonts w:ascii="Cambria Math" w:hAnsi="Cambria Math"/>
                      <w:color w:val="0D0D0D" w:themeColor="text1" w:themeTint="F2"/>
                      <w:sz w:val="24"/>
                      <w:szCs w:val="24"/>
                    </w:rPr>
                    <m:t>∙</m:t>
                  </m:r>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MS</m:t>
                      </m:r>
                    </m:e>
                    <m:sub>
                      <m:r>
                        <w:rPr>
                          <w:rFonts w:ascii="Cambria Math" w:hAnsi="Cambria Math"/>
                          <w:color w:val="0D0D0D" w:themeColor="text1" w:themeTint="F2"/>
                          <w:sz w:val="24"/>
                          <w:szCs w:val="24"/>
                        </w:rPr>
                        <m:t>T</m:t>
                      </m:r>
                    </m:sub>
                  </m:sSub>
                </m:e>
              </m:nary>
            </m:e>
          </m:d>
          <m:r>
            <w:rPr>
              <w:rFonts w:ascii="Cambria Math" w:hAnsi="Cambria Math"/>
              <w:color w:val="0D0D0D" w:themeColor="text1" w:themeTint="F2"/>
              <w:sz w:val="24"/>
              <w:szCs w:val="24"/>
            </w:rPr>
            <m:t>∙</m:t>
          </m:r>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EF</m:t>
              </m:r>
            </m:e>
            <m:sub>
              <m:r>
                <w:rPr>
                  <w:rFonts w:ascii="Cambria Math" w:hAnsi="Cambria Math"/>
                  <w:color w:val="0D0D0D" w:themeColor="text1" w:themeTint="F2"/>
                  <w:sz w:val="24"/>
                  <w:szCs w:val="24"/>
                </w:rPr>
                <m:t>3(</m:t>
              </m:r>
              <m:r>
                <w:rPr>
                  <w:rFonts w:ascii="Cambria Math" w:hAnsi="Cambria Math"/>
                  <w:color w:val="0D0D0D" w:themeColor="text1" w:themeTint="F2"/>
                  <w:sz w:val="24"/>
                  <w:szCs w:val="24"/>
                </w:rPr>
                <m:t>PRP</m:t>
              </m:r>
              <m:r>
                <w:rPr>
                  <w:rFonts w:ascii="Cambria Math" w:hAnsi="Cambria Math"/>
                  <w:color w:val="0D0D0D" w:themeColor="text1" w:themeTint="F2"/>
                  <w:sz w:val="24"/>
                  <w:szCs w:val="24"/>
                </w:rPr>
                <m:t>-</m:t>
              </m:r>
              <m:r>
                <w:rPr>
                  <w:rFonts w:ascii="Cambria Math" w:hAnsi="Cambria Math"/>
                  <w:color w:val="0D0D0D" w:themeColor="text1" w:themeTint="F2"/>
                  <w:sz w:val="24"/>
                  <w:szCs w:val="24"/>
                </w:rPr>
                <m:t>FLAT</m:t>
              </m:r>
              <m:r>
                <w:rPr>
                  <w:rFonts w:ascii="Cambria Math" w:hAnsi="Cambria Math"/>
                  <w:color w:val="0D0D0D" w:themeColor="text1" w:themeTint="F2"/>
                  <w:sz w:val="24"/>
                  <w:szCs w:val="24"/>
                </w:rPr>
                <m:t>)</m:t>
              </m:r>
            </m:sub>
          </m:sSub>
        </m:oMath>
      </m:oMathPara>
    </w:p>
    <w:p w14:paraId="336AB1EE" w14:textId="77777777" w:rsidR="007523B8" w:rsidRPr="009E06AA" w:rsidRDefault="007523B8" w:rsidP="007523B8">
      <w:pPr>
        <w:pStyle w:val="BodyText"/>
        <w:keepNext/>
        <w:rPr>
          <w:rFonts w:cs="Calibri"/>
        </w:rPr>
      </w:pPr>
      <w:r w:rsidRPr="009E06AA">
        <w:rPr>
          <w:rFonts w:cs="Calibri"/>
        </w:rPr>
        <w:t xml:space="preserve">For urine deposited on medium and steep slopes by sheep, cattle and deer only: </w:t>
      </w:r>
    </w:p>
    <w:p w14:paraId="1F38B5E1" w14:textId="77777777" w:rsidR="007523B8" w:rsidRPr="009E06AA" w:rsidRDefault="008975BF" w:rsidP="007523B8">
      <w:pPr>
        <w:pStyle w:val="BodyText"/>
        <w:keepNext/>
        <w:spacing w:before="80" w:after="80"/>
        <w:jc w:val="center"/>
        <w:rPr>
          <w:rFonts w:cs="Calibri"/>
          <w:sz w:val="24"/>
          <w:szCs w:val="24"/>
        </w:rPr>
      </w:pPr>
      <m:oMathPara>
        <m:oMath>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m:t>
              </m:r>
            </m:e>
            <m:sub>
              <m:r>
                <w:rPr>
                  <w:rFonts w:ascii="Cambria Math" w:hAnsi="Cambria Math"/>
                  <w:color w:val="0D0D0D" w:themeColor="text1" w:themeTint="F2"/>
                  <w:sz w:val="24"/>
                  <w:szCs w:val="24"/>
                </w:rPr>
                <m:t>2</m:t>
              </m:r>
            </m:sub>
          </m:sSub>
          <m:r>
            <w:rPr>
              <w:rFonts w:ascii="Cambria Math" w:hAnsi="Cambria Math"/>
              <w:color w:val="0D0D0D" w:themeColor="text1" w:themeTint="F2"/>
              <w:sz w:val="24"/>
              <w:szCs w:val="24"/>
            </w:rPr>
            <m:t>O</m:t>
          </m:r>
          <m:r>
            <w:rPr>
              <w:rFonts w:ascii="Cambria Math" w:hAnsi="Cambria Math"/>
              <w:color w:val="0D0D0D" w:themeColor="text1" w:themeTint="F2"/>
              <w:sz w:val="24"/>
              <w:szCs w:val="24"/>
            </w:rPr>
            <m:t xml:space="preserve"> </m:t>
          </m:r>
          <m:r>
            <w:rPr>
              <w:rFonts w:ascii="Cambria Math" w:hAnsi="Cambria Math"/>
              <w:color w:val="0D0D0D" w:themeColor="text1" w:themeTint="F2"/>
              <w:sz w:val="24"/>
              <w:szCs w:val="24"/>
            </w:rPr>
            <m:t>emissions</m:t>
          </m:r>
          <m:r>
            <w:rPr>
              <w:rFonts w:ascii="Cambria Math" w:hAnsi="Cambria Math"/>
              <w:color w:val="0D0D0D" w:themeColor="text1" w:themeTint="F2"/>
              <w:sz w:val="24"/>
              <w:szCs w:val="24"/>
            </w:rPr>
            <m:t xml:space="preserve">= </m:t>
          </m:r>
          <m:f>
            <m:fPr>
              <m:ctrlPr>
                <w:rPr>
                  <w:rFonts w:ascii="Cambria Math" w:hAnsi="Cambria Math"/>
                  <w:i/>
                  <w:color w:val="0D0D0D" w:themeColor="text1" w:themeTint="F2"/>
                  <w:sz w:val="24"/>
                  <w:szCs w:val="24"/>
                </w:rPr>
              </m:ctrlPr>
            </m:fPr>
            <m:num>
              <m:r>
                <w:rPr>
                  <w:rFonts w:ascii="Cambria Math" w:hAnsi="Cambria Math"/>
                  <w:color w:val="0D0D0D" w:themeColor="text1" w:themeTint="F2"/>
                  <w:sz w:val="24"/>
                  <w:szCs w:val="24"/>
                </w:rPr>
                <m:t>44</m:t>
              </m:r>
            </m:num>
            <m:den>
              <m:r>
                <w:rPr>
                  <w:rFonts w:ascii="Cambria Math" w:hAnsi="Cambria Math"/>
                  <w:color w:val="0D0D0D" w:themeColor="text1" w:themeTint="F2"/>
                  <w:sz w:val="24"/>
                  <w:szCs w:val="24"/>
                </w:rPr>
                <m:t>28</m:t>
              </m:r>
            </m:den>
          </m:f>
          <m:d>
            <m:dPr>
              <m:ctrlPr>
                <w:rPr>
                  <w:rFonts w:ascii="Cambria Math" w:hAnsi="Cambria Math"/>
                  <w:i/>
                  <w:color w:val="0D0D0D" w:themeColor="text1" w:themeTint="F2"/>
                  <w:sz w:val="24"/>
                  <w:szCs w:val="24"/>
                </w:rPr>
              </m:ctrlPr>
            </m:dPr>
            <m:e>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m:t>
                  </m:r>
                </m:e>
                <m:sub>
                  <m:r>
                    <w:rPr>
                      <w:rFonts w:ascii="Cambria Math" w:hAnsi="Cambria Math"/>
                      <w:color w:val="0D0D0D" w:themeColor="text1" w:themeTint="F2"/>
                      <w:sz w:val="24"/>
                      <w:szCs w:val="24"/>
                    </w:rPr>
                    <m:t>2</m:t>
                  </m:r>
                </m:sub>
              </m:sSub>
              <m:r>
                <w:rPr>
                  <w:rFonts w:ascii="Cambria Math" w:hAnsi="Cambria Math"/>
                  <w:color w:val="0D0D0D" w:themeColor="text1" w:themeTint="F2"/>
                  <w:sz w:val="24"/>
                  <w:szCs w:val="24"/>
                </w:rPr>
                <m:t>O</m:t>
              </m:r>
              <m:r>
                <w:rPr>
                  <w:rFonts w:ascii="Cambria Math" w:hAnsi="Cambria Math"/>
                  <w:color w:val="0D0D0D" w:themeColor="text1" w:themeTint="F2"/>
                  <w:sz w:val="24"/>
                  <w:szCs w:val="24"/>
                </w:rPr>
                <m:t>-</m:t>
              </m:r>
              <m:r>
                <w:rPr>
                  <w:rFonts w:ascii="Cambria Math" w:hAnsi="Cambria Math"/>
                  <w:color w:val="0D0D0D" w:themeColor="text1" w:themeTint="F2"/>
                  <w:sz w:val="24"/>
                  <w:szCs w:val="24"/>
                </w:rPr>
                <m:t>N</m:t>
              </m:r>
            </m:e>
          </m:d>
          <m:r>
            <w:rPr>
              <w:rFonts w:ascii="Cambria Math" w:hAnsi="Cambria Math"/>
              <w:color w:val="0D0D0D" w:themeColor="text1" w:themeTint="F2"/>
              <w:sz w:val="24"/>
              <w:szCs w:val="24"/>
            </w:rPr>
            <m:t>=</m:t>
          </m:r>
          <m:f>
            <m:fPr>
              <m:ctrlPr>
                <w:rPr>
                  <w:rFonts w:ascii="Cambria Math" w:hAnsi="Cambria Math"/>
                  <w:i/>
                  <w:color w:val="0D0D0D" w:themeColor="text1" w:themeTint="F2"/>
                  <w:sz w:val="24"/>
                  <w:szCs w:val="24"/>
                </w:rPr>
              </m:ctrlPr>
            </m:fPr>
            <m:num>
              <m:r>
                <w:rPr>
                  <w:rFonts w:ascii="Cambria Math" w:hAnsi="Cambria Math"/>
                  <w:color w:val="0D0D0D" w:themeColor="text1" w:themeTint="F2"/>
                  <w:sz w:val="24"/>
                  <w:szCs w:val="24"/>
                </w:rPr>
                <m:t>44</m:t>
              </m:r>
            </m:num>
            <m:den>
              <m:r>
                <w:rPr>
                  <w:rFonts w:ascii="Cambria Math" w:hAnsi="Cambria Math"/>
                  <w:color w:val="0D0D0D" w:themeColor="text1" w:themeTint="F2"/>
                  <w:sz w:val="24"/>
                  <w:szCs w:val="24"/>
                </w:rPr>
                <m:t>28</m:t>
              </m:r>
            </m:den>
          </m:f>
          <m:d>
            <m:dPr>
              <m:ctrlPr>
                <w:rPr>
                  <w:rFonts w:ascii="Cambria Math" w:hAnsi="Cambria Math"/>
                  <w:i/>
                  <w:color w:val="0D0D0D" w:themeColor="text1" w:themeTint="F2"/>
                  <w:sz w:val="24"/>
                  <w:szCs w:val="24"/>
                </w:rPr>
              </m:ctrlPr>
            </m:dPr>
            <m:e>
              <m:nary>
                <m:naryPr>
                  <m:chr m:val="∑"/>
                  <m:limLoc m:val="undOvr"/>
                  <m:supHide m:val="1"/>
                  <m:ctrlPr>
                    <w:rPr>
                      <w:rFonts w:ascii="Cambria Math" w:hAnsi="Cambria Math"/>
                      <w:i/>
                      <w:color w:val="0D0D0D" w:themeColor="text1" w:themeTint="F2"/>
                      <w:sz w:val="24"/>
                      <w:szCs w:val="24"/>
                    </w:rPr>
                  </m:ctrlPr>
                </m:naryPr>
                <m:sub>
                  <m:r>
                    <w:rPr>
                      <w:rFonts w:ascii="Cambria Math" w:hAnsi="Cambria Math"/>
                      <w:color w:val="0D0D0D" w:themeColor="text1" w:themeTint="F2"/>
                      <w:sz w:val="24"/>
                      <w:szCs w:val="24"/>
                    </w:rPr>
                    <m:t>T</m:t>
                  </m:r>
                </m:sub>
                <m:sup/>
                <m:e>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m:t>
                      </m:r>
                    </m:e>
                    <m:sub>
                      <m:r>
                        <w:rPr>
                          <w:rFonts w:ascii="Cambria Math" w:hAnsi="Cambria Math"/>
                          <w:color w:val="0D0D0D" w:themeColor="text1" w:themeTint="F2"/>
                          <w:sz w:val="24"/>
                          <w:szCs w:val="24"/>
                        </w:rPr>
                        <m:t>T</m:t>
                      </m:r>
                    </m:sub>
                  </m:sSub>
                  <m:r>
                    <w:rPr>
                      <w:rFonts w:ascii="Cambria Math" w:hAnsi="Cambria Math"/>
                      <w:color w:val="0D0D0D" w:themeColor="text1" w:themeTint="F2"/>
                      <w:sz w:val="24"/>
                      <w:szCs w:val="24"/>
                    </w:rPr>
                    <m:t>∙</m:t>
                  </m:r>
                  <m:d>
                    <m:dPr>
                      <m:ctrlPr>
                        <w:rPr>
                          <w:rFonts w:ascii="Cambria Math" w:hAnsi="Cambria Math"/>
                          <w:i/>
                          <w:color w:val="0D0D0D" w:themeColor="text1" w:themeTint="F2"/>
                          <w:sz w:val="24"/>
                          <w:szCs w:val="24"/>
                        </w:rPr>
                      </m:ctrlPr>
                    </m:dPr>
                    <m:e>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Nex</m:t>
                          </m:r>
                        </m:e>
                        <m:sub>
                          <m:r>
                            <w:rPr>
                              <w:rFonts w:ascii="Cambria Math" w:hAnsi="Cambria Math"/>
                              <w:color w:val="0D0D0D" w:themeColor="text1" w:themeTint="F2"/>
                              <w:sz w:val="24"/>
                              <w:szCs w:val="24"/>
                            </w:rPr>
                            <m:t>URINE</m:t>
                          </m:r>
                          <m:r>
                            <w:rPr>
                              <w:rFonts w:ascii="Cambria Math" w:hAnsi="Cambria Math"/>
                              <w:color w:val="0D0D0D" w:themeColor="text1" w:themeTint="F2"/>
                              <w:sz w:val="24"/>
                              <w:szCs w:val="24"/>
                            </w:rPr>
                            <m:t>,</m:t>
                          </m:r>
                          <m:r>
                            <w:rPr>
                              <w:rFonts w:ascii="Cambria Math" w:hAnsi="Cambria Math"/>
                              <w:color w:val="0D0D0D" w:themeColor="text1" w:themeTint="F2"/>
                              <w:sz w:val="24"/>
                              <w:szCs w:val="24"/>
                            </w:rPr>
                            <m:t>MED</m:t>
                          </m:r>
                        </m:sub>
                      </m:sSub>
                      <m:r>
                        <w:rPr>
                          <w:rFonts w:ascii="Cambria Math" w:hAnsi="Cambria Math"/>
                          <w:color w:val="0D0D0D" w:themeColor="text1" w:themeTint="F2"/>
                          <w:sz w:val="24"/>
                          <w:szCs w:val="24"/>
                        </w:rPr>
                        <m:t>+</m:t>
                      </m:r>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Nex</m:t>
                          </m:r>
                        </m:e>
                        <m:sub>
                          <m:r>
                            <w:rPr>
                              <w:rFonts w:ascii="Cambria Math" w:hAnsi="Cambria Math"/>
                              <w:color w:val="0D0D0D" w:themeColor="text1" w:themeTint="F2"/>
                              <w:sz w:val="24"/>
                              <w:szCs w:val="24"/>
                            </w:rPr>
                            <m:t>URINE</m:t>
                          </m:r>
                          <m:r>
                            <w:rPr>
                              <w:rFonts w:ascii="Cambria Math" w:hAnsi="Cambria Math"/>
                              <w:color w:val="0D0D0D" w:themeColor="text1" w:themeTint="F2"/>
                              <w:sz w:val="24"/>
                              <w:szCs w:val="24"/>
                            </w:rPr>
                            <m:t>,</m:t>
                          </m:r>
                          <m:r>
                            <w:rPr>
                              <w:rFonts w:ascii="Cambria Math" w:hAnsi="Cambria Math"/>
                              <w:color w:val="0D0D0D" w:themeColor="text1" w:themeTint="F2"/>
                              <w:sz w:val="24"/>
                              <w:szCs w:val="24"/>
                            </w:rPr>
                            <m:t>STEEP</m:t>
                          </m:r>
                        </m:sub>
                      </m:sSub>
                    </m:e>
                  </m:d>
                  <m:r>
                    <w:rPr>
                      <w:rFonts w:ascii="Cambria Math" w:hAnsi="Cambria Math"/>
                      <w:color w:val="0D0D0D" w:themeColor="text1" w:themeTint="F2"/>
                      <w:sz w:val="24"/>
                      <w:szCs w:val="24"/>
                    </w:rPr>
                    <m:t>∙</m:t>
                  </m:r>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MS</m:t>
                      </m:r>
                    </m:e>
                    <m:sub>
                      <m:r>
                        <w:rPr>
                          <w:rFonts w:ascii="Cambria Math" w:hAnsi="Cambria Math"/>
                          <w:color w:val="0D0D0D" w:themeColor="text1" w:themeTint="F2"/>
                          <w:sz w:val="24"/>
                          <w:szCs w:val="24"/>
                        </w:rPr>
                        <m:t>T</m:t>
                      </m:r>
                    </m:sub>
                  </m:sSub>
                </m:e>
              </m:nary>
            </m:e>
          </m:d>
          <m:r>
            <w:rPr>
              <w:rFonts w:ascii="Cambria Math" w:hAnsi="Cambria Math"/>
              <w:color w:val="0D0D0D" w:themeColor="text1" w:themeTint="F2"/>
              <w:sz w:val="24"/>
              <w:szCs w:val="24"/>
            </w:rPr>
            <m:t>∙</m:t>
          </m:r>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EF</m:t>
              </m:r>
            </m:e>
            <m:sub>
              <m:r>
                <w:rPr>
                  <w:rFonts w:ascii="Cambria Math" w:hAnsi="Cambria Math"/>
                  <w:color w:val="0D0D0D" w:themeColor="text1" w:themeTint="F2"/>
                  <w:sz w:val="24"/>
                  <w:szCs w:val="24"/>
                </w:rPr>
                <m:t>3(</m:t>
              </m:r>
              <m:r>
                <w:rPr>
                  <w:rFonts w:ascii="Cambria Math" w:hAnsi="Cambria Math"/>
                  <w:color w:val="0D0D0D" w:themeColor="text1" w:themeTint="F2"/>
                  <w:sz w:val="24"/>
                  <w:szCs w:val="24"/>
                </w:rPr>
                <m:t>PRP</m:t>
              </m:r>
              <m:r>
                <w:rPr>
                  <w:rFonts w:ascii="Cambria Math" w:hAnsi="Cambria Math"/>
                  <w:color w:val="0D0D0D" w:themeColor="text1" w:themeTint="F2"/>
                  <w:sz w:val="24"/>
                  <w:szCs w:val="24"/>
                </w:rPr>
                <m:t>-</m:t>
              </m:r>
              <m:r>
                <w:rPr>
                  <w:rFonts w:ascii="Cambria Math" w:hAnsi="Cambria Math"/>
                  <w:color w:val="0D0D0D" w:themeColor="text1" w:themeTint="F2"/>
                  <w:sz w:val="24"/>
                  <w:szCs w:val="24"/>
                </w:rPr>
                <m:t>STEEP</m:t>
              </m:r>
              <m:r>
                <w:rPr>
                  <w:rFonts w:ascii="Cambria Math" w:hAnsi="Cambria Math"/>
                  <w:color w:val="0D0D0D" w:themeColor="text1" w:themeTint="F2"/>
                  <w:sz w:val="24"/>
                  <w:szCs w:val="24"/>
                </w:rPr>
                <m:t>)</m:t>
              </m:r>
            </m:sub>
          </m:sSub>
        </m:oMath>
      </m:oMathPara>
    </w:p>
    <w:p w14:paraId="5DA637FA" w14:textId="77777777" w:rsidR="007523B8" w:rsidRPr="009E06AA" w:rsidRDefault="007523B8" w:rsidP="007523B8">
      <w:pPr>
        <w:pStyle w:val="BodyText"/>
        <w:rPr>
          <w:rFonts w:cs="Calibri"/>
        </w:rPr>
      </w:pPr>
      <w:r w:rsidRPr="009E06AA">
        <w:rPr>
          <w:rFonts w:cs="Calibri"/>
        </w:rPr>
        <w:t>For all dung from sheep, cattle and deer:</w:t>
      </w:r>
    </w:p>
    <w:p w14:paraId="4CBE5759" w14:textId="77777777" w:rsidR="007523B8" w:rsidRPr="009E06AA" w:rsidRDefault="008975BF" w:rsidP="007523B8">
      <w:pPr>
        <w:pStyle w:val="BodyText"/>
        <w:spacing w:before="80" w:after="80"/>
        <w:jc w:val="center"/>
        <w:rPr>
          <w:rFonts w:ascii="Cambria Math" w:hAnsi="Cambria Math" w:cs="Calibri"/>
          <w:sz w:val="24"/>
          <w:szCs w:val="24"/>
        </w:rPr>
      </w:pPr>
      <m:oMathPara>
        <m:oMath>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m:t>
              </m:r>
            </m:e>
            <m:sub>
              <m:r>
                <w:rPr>
                  <w:rFonts w:ascii="Cambria Math" w:hAnsi="Cambria Math"/>
                  <w:color w:val="0D0D0D" w:themeColor="text1" w:themeTint="F2"/>
                  <w:sz w:val="24"/>
                  <w:szCs w:val="24"/>
                </w:rPr>
                <m:t>2</m:t>
              </m:r>
            </m:sub>
          </m:sSub>
          <m:r>
            <w:rPr>
              <w:rFonts w:ascii="Cambria Math" w:hAnsi="Cambria Math"/>
              <w:color w:val="0D0D0D" w:themeColor="text1" w:themeTint="F2"/>
              <w:sz w:val="24"/>
              <w:szCs w:val="24"/>
            </w:rPr>
            <m:t>O</m:t>
          </m:r>
          <m:r>
            <w:rPr>
              <w:rFonts w:ascii="Cambria Math" w:hAnsi="Cambria Math"/>
              <w:color w:val="0D0D0D" w:themeColor="text1" w:themeTint="F2"/>
              <w:sz w:val="24"/>
              <w:szCs w:val="24"/>
            </w:rPr>
            <m:t xml:space="preserve"> </m:t>
          </m:r>
          <m:r>
            <w:rPr>
              <w:rFonts w:ascii="Cambria Math" w:hAnsi="Cambria Math"/>
              <w:color w:val="0D0D0D" w:themeColor="text1" w:themeTint="F2"/>
              <w:sz w:val="24"/>
              <w:szCs w:val="24"/>
            </w:rPr>
            <m:t>emissions</m:t>
          </m:r>
          <m:r>
            <w:rPr>
              <w:rFonts w:ascii="Cambria Math" w:hAnsi="Cambria Math"/>
              <w:color w:val="0D0D0D" w:themeColor="text1" w:themeTint="F2"/>
              <w:sz w:val="24"/>
              <w:szCs w:val="24"/>
            </w:rPr>
            <m:t xml:space="preserve">= </m:t>
          </m:r>
          <m:f>
            <m:fPr>
              <m:ctrlPr>
                <w:rPr>
                  <w:rFonts w:ascii="Cambria Math" w:hAnsi="Cambria Math"/>
                  <w:i/>
                  <w:color w:val="0D0D0D" w:themeColor="text1" w:themeTint="F2"/>
                  <w:sz w:val="24"/>
                  <w:szCs w:val="24"/>
                </w:rPr>
              </m:ctrlPr>
            </m:fPr>
            <m:num>
              <m:r>
                <w:rPr>
                  <w:rFonts w:ascii="Cambria Math" w:hAnsi="Cambria Math"/>
                  <w:color w:val="0D0D0D" w:themeColor="text1" w:themeTint="F2"/>
                  <w:sz w:val="24"/>
                  <w:szCs w:val="24"/>
                </w:rPr>
                <m:t>44</m:t>
              </m:r>
            </m:num>
            <m:den>
              <m:r>
                <w:rPr>
                  <w:rFonts w:ascii="Cambria Math" w:hAnsi="Cambria Math"/>
                  <w:color w:val="0D0D0D" w:themeColor="text1" w:themeTint="F2"/>
                  <w:sz w:val="24"/>
                  <w:szCs w:val="24"/>
                </w:rPr>
                <m:t>28</m:t>
              </m:r>
            </m:den>
          </m:f>
          <m:d>
            <m:dPr>
              <m:ctrlPr>
                <w:rPr>
                  <w:rFonts w:ascii="Cambria Math" w:hAnsi="Cambria Math"/>
                  <w:i/>
                  <w:color w:val="0D0D0D" w:themeColor="text1" w:themeTint="F2"/>
                  <w:sz w:val="24"/>
                  <w:szCs w:val="24"/>
                </w:rPr>
              </m:ctrlPr>
            </m:dPr>
            <m:e>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m:t>
                  </m:r>
                </m:e>
                <m:sub>
                  <m:r>
                    <w:rPr>
                      <w:rFonts w:ascii="Cambria Math" w:hAnsi="Cambria Math"/>
                      <w:color w:val="0D0D0D" w:themeColor="text1" w:themeTint="F2"/>
                      <w:sz w:val="24"/>
                      <w:szCs w:val="24"/>
                    </w:rPr>
                    <m:t>2</m:t>
                  </m:r>
                </m:sub>
              </m:sSub>
              <m:r>
                <w:rPr>
                  <w:rFonts w:ascii="Cambria Math" w:hAnsi="Cambria Math"/>
                  <w:color w:val="0D0D0D" w:themeColor="text1" w:themeTint="F2"/>
                  <w:sz w:val="24"/>
                  <w:szCs w:val="24"/>
                </w:rPr>
                <m:t>O</m:t>
              </m:r>
              <m:r>
                <w:rPr>
                  <w:rFonts w:ascii="Cambria Math" w:hAnsi="Cambria Math"/>
                  <w:color w:val="0D0D0D" w:themeColor="text1" w:themeTint="F2"/>
                  <w:sz w:val="24"/>
                  <w:szCs w:val="24"/>
                </w:rPr>
                <m:t>-</m:t>
              </m:r>
              <m:r>
                <w:rPr>
                  <w:rFonts w:ascii="Cambria Math" w:hAnsi="Cambria Math"/>
                  <w:color w:val="0D0D0D" w:themeColor="text1" w:themeTint="F2"/>
                  <w:sz w:val="24"/>
                  <w:szCs w:val="24"/>
                </w:rPr>
                <m:t>N</m:t>
              </m:r>
            </m:e>
          </m:d>
          <m:r>
            <w:rPr>
              <w:rFonts w:ascii="Cambria Math" w:hAnsi="Cambria Math"/>
              <w:color w:val="0D0D0D" w:themeColor="text1" w:themeTint="F2"/>
              <w:sz w:val="24"/>
              <w:szCs w:val="24"/>
            </w:rPr>
            <m:t>=</m:t>
          </m:r>
          <m:f>
            <m:fPr>
              <m:ctrlPr>
                <w:rPr>
                  <w:rFonts w:ascii="Cambria Math" w:hAnsi="Cambria Math"/>
                  <w:i/>
                  <w:color w:val="0D0D0D" w:themeColor="text1" w:themeTint="F2"/>
                  <w:sz w:val="24"/>
                  <w:szCs w:val="24"/>
                </w:rPr>
              </m:ctrlPr>
            </m:fPr>
            <m:num>
              <m:r>
                <w:rPr>
                  <w:rFonts w:ascii="Cambria Math" w:hAnsi="Cambria Math"/>
                  <w:color w:val="0D0D0D" w:themeColor="text1" w:themeTint="F2"/>
                  <w:sz w:val="24"/>
                  <w:szCs w:val="24"/>
                </w:rPr>
                <m:t>44</m:t>
              </m:r>
            </m:num>
            <m:den>
              <m:r>
                <w:rPr>
                  <w:rFonts w:ascii="Cambria Math" w:hAnsi="Cambria Math"/>
                  <w:color w:val="0D0D0D" w:themeColor="text1" w:themeTint="F2"/>
                  <w:sz w:val="24"/>
                  <w:szCs w:val="24"/>
                </w:rPr>
                <m:t>28</m:t>
              </m:r>
            </m:den>
          </m:f>
          <m:d>
            <m:dPr>
              <m:ctrlPr>
                <w:rPr>
                  <w:rFonts w:ascii="Cambria Math" w:hAnsi="Cambria Math"/>
                  <w:i/>
                  <w:color w:val="0D0D0D" w:themeColor="text1" w:themeTint="F2"/>
                  <w:sz w:val="24"/>
                  <w:szCs w:val="24"/>
                </w:rPr>
              </m:ctrlPr>
            </m:dPr>
            <m:e>
              <m:nary>
                <m:naryPr>
                  <m:chr m:val="∑"/>
                  <m:limLoc m:val="undOvr"/>
                  <m:supHide m:val="1"/>
                  <m:ctrlPr>
                    <w:rPr>
                      <w:rFonts w:ascii="Cambria Math" w:hAnsi="Cambria Math"/>
                      <w:i/>
                      <w:color w:val="0D0D0D" w:themeColor="text1" w:themeTint="F2"/>
                      <w:sz w:val="24"/>
                      <w:szCs w:val="24"/>
                    </w:rPr>
                  </m:ctrlPr>
                </m:naryPr>
                <m:sub>
                  <m:r>
                    <w:rPr>
                      <w:rFonts w:ascii="Cambria Math" w:hAnsi="Cambria Math"/>
                      <w:color w:val="0D0D0D" w:themeColor="text1" w:themeTint="F2"/>
                      <w:sz w:val="24"/>
                      <w:szCs w:val="24"/>
                    </w:rPr>
                    <m:t>T</m:t>
                  </m:r>
                </m:sub>
                <m:sup/>
                <m:e>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m:t>
                      </m:r>
                    </m:e>
                    <m:sub>
                      <m:r>
                        <w:rPr>
                          <w:rFonts w:ascii="Cambria Math" w:hAnsi="Cambria Math"/>
                          <w:color w:val="0D0D0D" w:themeColor="text1" w:themeTint="F2"/>
                          <w:sz w:val="24"/>
                          <w:szCs w:val="24"/>
                        </w:rPr>
                        <m:t>T</m:t>
                      </m:r>
                    </m:sub>
                  </m:sSub>
                  <m:r>
                    <w:rPr>
                      <w:rFonts w:ascii="Cambria Math" w:hAnsi="Cambria Math"/>
                      <w:color w:val="0D0D0D" w:themeColor="text1" w:themeTint="F2"/>
                      <w:sz w:val="24"/>
                      <w:szCs w:val="24"/>
                    </w:rPr>
                    <m:t>∙</m:t>
                  </m:r>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Nex</m:t>
                      </m:r>
                    </m:e>
                    <m:sub>
                      <m:r>
                        <w:rPr>
                          <w:rFonts w:ascii="Cambria Math" w:hAnsi="Cambria Math"/>
                          <w:color w:val="0D0D0D" w:themeColor="text1" w:themeTint="F2"/>
                          <w:sz w:val="24"/>
                          <w:szCs w:val="24"/>
                        </w:rPr>
                        <m:t>DUNG</m:t>
                      </m:r>
                      <m:r>
                        <w:rPr>
                          <w:rFonts w:ascii="Cambria Math" w:hAnsi="Cambria Math"/>
                          <w:color w:val="0D0D0D" w:themeColor="text1" w:themeTint="F2"/>
                          <w:sz w:val="24"/>
                          <w:szCs w:val="24"/>
                        </w:rPr>
                        <m:t>,</m:t>
                      </m:r>
                      <m:r>
                        <w:rPr>
                          <w:rFonts w:ascii="Cambria Math" w:hAnsi="Cambria Math"/>
                          <w:color w:val="0D0D0D" w:themeColor="text1" w:themeTint="F2"/>
                          <w:sz w:val="24"/>
                          <w:szCs w:val="24"/>
                        </w:rPr>
                        <m:t>T</m:t>
                      </m:r>
                    </m:sub>
                  </m:sSub>
                  <m:r>
                    <w:rPr>
                      <w:rFonts w:ascii="Cambria Math" w:hAnsi="Cambria Math"/>
                      <w:color w:val="0D0D0D" w:themeColor="text1" w:themeTint="F2"/>
                      <w:sz w:val="24"/>
                      <w:szCs w:val="24"/>
                    </w:rPr>
                    <m:t>∙</m:t>
                  </m:r>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MS</m:t>
                      </m:r>
                    </m:e>
                    <m:sub>
                      <m:r>
                        <w:rPr>
                          <w:rFonts w:ascii="Cambria Math" w:hAnsi="Cambria Math"/>
                          <w:color w:val="0D0D0D" w:themeColor="text1" w:themeTint="F2"/>
                          <w:sz w:val="24"/>
                          <w:szCs w:val="24"/>
                        </w:rPr>
                        <m:t>T</m:t>
                      </m:r>
                    </m:sub>
                  </m:sSub>
                </m:e>
              </m:nary>
            </m:e>
          </m:d>
          <m:r>
            <w:rPr>
              <w:rFonts w:ascii="Cambria Math" w:hAnsi="Cambria Math"/>
              <w:color w:val="0D0D0D" w:themeColor="text1" w:themeTint="F2"/>
              <w:sz w:val="24"/>
              <w:szCs w:val="24"/>
            </w:rPr>
            <m:t>∙</m:t>
          </m:r>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EF</m:t>
              </m:r>
            </m:e>
            <m:sub>
              <m:r>
                <w:rPr>
                  <w:rFonts w:ascii="Cambria Math" w:hAnsi="Cambria Math"/>
                  <w:color w:val="0D0D0D" w:themeColor="text1" w:themeTint="F2"/>
                  <w:sz w:val="24"/>
                  <w:szCs w:val="24"/>
                </w:rPr>
                <m:t>3(</m:t>
              </m:r>
              <m:r>
                <w:rPr>
                  <w:rFonts w:ascii="Cambria Math" w:hAnsi="Cambria Math"/>
                  <w:color w:val="0D0D0D" w:themeColor="text1" w:themeTint="F2"/>
                  <w:sz w:val="24"/>
                  <w:szCs w:val="24"/>
                </w:rPr>
                <m:t>PRP</m:t>
              </m:r>
              <m:r>
                <w:rPr>
                  <w:rFonts w:ascii="Cambria Math" w:hAnsi="Cambria Math"/>
                  <w:color w:val="0D0D0D" w:themeColor="text1" w:themeTint="F2"/>
                  <w:sz w:val="24"/>
                  <w:szCs w:val="24"/>
                </w:rPr>
                <m:t>-</m:t>
              </m:r>
              <m:r>
                <w:rPr>
                  <w:rFonts w:ascii="Cambria Math" w:hAnsi="Cambria Math"/>
                  <w:color w:val="0D0D0D" w:themeColor="text1" w:themeTint="F2"/>
                  <w:sz w:val="24"/>
                  <w:szCs w:val="24"/>
                </w:rPr>
                <m:t>DUNG</m:t>
              </m:r>
              <m:r>
                <w:rPr>
                  <w:rFonts w:ascii="Cambria Math" w:hAnsi="Cambria Math"/>
                  <w:color w:val="0D0D0D" w:themeColor="text1" w:themeTint="F2"/>
                  <w:sz w:val="24"/>
                  <w:szCs w:val="24"/>
                </w:rPr>
                <m:t>)</m:t>
              </m:r>
            </m:sub>
          </m:sSub>
        </m:oMath>
      </m:oMathPara>
    </w:p>
    <w:p w14:paraId="3D29CFE4" w14:textId="77777777" w:rsidR="007523B8" w:rsidRPr="009E06AA" w:rsidRDefault="007523B8" w:rsidP="007523B8">
      <w:pPr>
        <w:pStyle w:val="BodyText"/>
        <w:keepNext/>
        <w:rPr>
          <w:rFonts w:cs="Calibri"/>
        </w:rPr>
      </w:pPr>
      <w:r w:rsidRPr="009E06AA">
        <w:rPr>
          <w:rFonts w:cs="Calibri"/>
        </w:rPr>
        <w:t xml:space="preserve">For urine and dung from other livestock categories (swine, goats, horses, llamas and alpacas, mules, asses and poultry): </w:t>
      </w:r>
    </w:p>
    <w:p w14:paraId="08194083" w14:textId="77777777" w:rsidR="007523B8" w:rsidRPr="009E06AA" w:rsidRDefault="008975BF" w:rsidP="007523B8">
      <w:pPr>
        <w:pStyle w:val="BodyText"/>
        <w:spacing w:before="80" w:after="80"/>
        <w:jc w:val="center"/>
      </w:pPr>
      <m:oMathPara>
        <m:oMath>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m:t>
              </m:r>
            </m:e>
            <m:sub>
              <m:r>
                <w:rPr>
                  <w:rFonts w:ascii="Cambria Math" w:hAnsi="Cambria Math"/>
                  <w:color w:val="0D0D0D" w:themeColor="text1" w:themeTint="F2"/>
                  <w:sz w:val="24"/>
                  <w:szCs w:val="24"/>
                </w:rPr>
                <m:t>2</m:t>
              </m:r>
            </m:sub>
          </m:sSub>
          <m:r>
            <w:rPr>
              <w:rFonts w:ascii="Cambria Math" w:hAnsi="Cambria Math"/>
              <w:color w:val="0D0D0D" w:themeColor="text1" w:themeTint="F2"/>
              <w:sz w:val="24"/>
              <w:szCs w:val="24"/>
            </w:rPr>
            <m:t>O</m:t>
          </m:r>
          <m:r>
            <w:rPr>
              <w:rFonts w:ascii="Cambria Math" w:hAnsi="Cambria Math"/>
              <w:color w:val="0D0D0D" w:themeColor="text1" w:themeTint="F2"/>
              <w:sz w:val="24"/>
              <w:szCs w:val="24"/>
            </w:rPr>
            <m:t xml:space="preserve"> </m:t>
          </m:r>
          <m:r>
            <w:rPr>
              <w:rFonts w:ascii="Cambria Math" w:hAnsi="Cambria Math"/>
              <w:color w:val="0D0D0D" w:themeColor="text1" w:themeTint="F2"/>
              <w:sz w:val="24"/>
              <w:szCs w:val="24"/>
            </w:rPr>
            <m:t>emissions</m:t>
          </m:r>
          <m:r>
            <w:rPr>
              <w:rFonts w:ascii="Cambria Math" w:hAnsi="Cambria Math"/>
              <w:color w:val="0D0D0D" w:themeColor="text1" w:themeTint="F2"/>
              <w:sz w:val="24"/>
              <w:szCs w:val="24"/>
            </w:rPr>
            <m:t xml:space="preserve">= </m:t>
          </m:r>
          <m:f>
            <m:fPr>
              <m:ctrlPr>
                <w:rPr>
                  <w:rFonts w:ascii="Cambria Math" w:hAnsi="Cambria Math"/>
                  <w:i/>
                  <w:color w:val="0D0D0D" w:themeColor="text1" w:themeTint="F2"/>
                  <w:sz w:val="24"/>
                  <w:szCs w:val="24"/>
                </w:rPr>
              </m:ctrlPr>
            </m:fPr>
            <m:num>
              <m:r>
                <w:rPr>
                  <w:rFonts w:ascii="Cambria Math" w:hAnsi="Cambria Math"/>
                  <w:color w:val="0D0D0D" w:themeColor="text1" w:themeTint="F2"/>
                  <w:sz w:val="24"/>
                  <w:szCs w:val="24"/>
                </w:rPr>
                <m:t>44</m:t>
              </m:r>
            </m:num>
            <m:den>
              <m:r>
                <w:rPr>
                  <w:rFonts w:ascii="Cambria Math" w:hAnsi="Cambria Math"/>
                  <w:color w:val="0D0D0D" w:themeColor="text1" w:themeTint="F2"/>
                  <w:sz w:val="24"/>
                  <w:szCs w:val="24"/>
                </w:rPr>
                <m:t>28</m:t>
              </m:r>
            </m:den>
          </m:f>
          <m:d>
            <m:dPr>
              <m:ctrlPr>
                <w:rPr>
                  <w:rFonts w:ascii="Cambria Math" w:hAnsi="Cambria Math"/>
                  <w:i/>
                  <w:color w:val="0D0D0D" w:themeColor="text1" w:themeTint="F2"/>
                  <w:sz w:val="24"/>
                  <w:szCs w:val="24"/>
                </w:rPr>
              </m:ctrlPr>
            </m:dPr>
            <m:e>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m:t>
                  </m:r>
                </m:e>
                <m:sub>
                  <m:r>
                    <w:rPr>
                      <w:rFonts w:ascii="Cambria Math" w:hAnsi="Cambria Math"/>
                      <w:color w:val="0D0D0D" w:themeColor="text1" w:themeTint="F2"/>
                      <w:sz w:val="24"/>
                      <w:szCs w:val="24"/>
                    </w:rPr>
                    <m:t>2</m:t>
                  </m:r>
                </m:sub>
              </m:sSub>
              <m:r>
                <w:rPr>
                  <w:rFonts w:ascii="Cambria Math" w:hAnsi="Cambria Math"/>
                  <w:color w:val="0D0D0D" w:themeColor="text1" w:themeTint="F2"/>
                  <w:sz w:val="24"/>
                  <w:szCs w:val="24"/>
                </w:rPr>
                <m:t>O</m:t>
              </m:r>
              <m:r>
                <w:rPr>
                  <w:rFonts w:ascii="Cambria Math" w:hAnsi="Cambria Math"/>
                  <w:color w:val="0D0D0D" w:themeColor="text1" w:themeTint="F2"/>
                  <w:sz w:val="24"/>
                  <w:szCs w:val="24"/>
                </w:rPr>
                <m:t>-</m:t>
              </m:r>
              <m:r>
                <w:rPr>
                  <w:rFonts w:ascii="Cambria Math" w:hAnsi="Cambria Math"/>
                  <w:color w:val="0D0D0D" w:themeColor="text1" w:themeTint="F2"/>
                  <w:sz w:val="24"/>
                  <w:szCs w:val="24"/>
                </w:rPr>
                <m:t>N</m:t>
              </m:r>
            </m:e>
          </m:d>
          <m:r>
            <w:rPr>
              <w:rFonts w:ascii="Cambria Math" w:hAnsi="Cambria Math"/>
              <w:color w:val="0D0D0D" w:themeColor="text1" w:themeTint="F2"/>
              <w:sz w:val="24"/>
              <w:szCs w:val="24"/>
            </w:rPr>
            <m:t>=</m:t>
          </m:r>
          <m:f>
            <m:fPr>
              <m:ctrlPr>
                <w:rPr>
                  <w:rFonts w:ascii="Cambria Math" w:hAnsi="Cambria Math"/>
                  <w:i/>
                  <w:color w:val="0D0D0D" w:themeColor="text1" w:themeTint="F2"/>
                  <w:sz w:val="24"/>
                  <w:szCs w:val="24"/>
                </w:rPr>
              </m:ctrlPr>
            </m:fPr>
            <m:num>
              <m:r>
                <w:rPr>
                  <w:rFonts w:ascii="Cambria Math" w:hAnsi="Cambria Math"/>
                  <w:color w:val="0D0D0D" w:themeColor="text1" w:themeTint="F2"/>
                  <w:sz w:val="24"/>
                  <w:szCs w:val="24"/>
                </w:rPr>
                <m:t>44</m:t>
              </m:r>
            </m:num>
            <m:den>
              <m:r>
                <w:rPr>
                  <w:rFonts w:ascii="Cambria Math" w:hAnsi="Cambria Math"/>
                  <w:color w:val="0D0D0D" w:themeColor="text1" w:themeTint="F2"/>
                  <w:sz w:val="24"/>
                  <w:szCs w:val="24"/>
                </w:rPr>
                <m:t>28</m:t>
              </m:r>
            </m:den>
          </m:f>
          <m:d>
            <m:dPr>
              <m:ctrlPr>
                <w:rPr>
                  <w:rFonts w:ascii="Cambria Math" w:hAnsi="Cambria Math"/>
                  <w:i/>
                  <w:color w:val="0D0D0D" w:themeColor="text1" w:themeTint="F2"/>
                  <w:sz w:val="24"/>
                  <w:szCs w:val="24"/>
                </w:rPr>
              </m:ctrlPr>
            </m:dPr>
            <m:e>
              <m:nary>
                <m:naryPr>
                  <m:chr m:val="∑"/>
                  <m:limLoc m:val="undOvr"/>
                  <m:supHide m:val="1"/>
                  <m:ctrlPr>
                    <w:rPr>
                      <w:rFonts w:ascii="Cambria Math" w:hAnsi="Cambria Math"/>
                      <w:i/>
                      <w:color w:val="0D0D0D" w:themeColor="text1" w:themeTint="F2"/>
                      <w:sz w:val="24"/>
                      <w:szCs w:val="24"/>
                    </w:rPr>
                  </m:ctrlPr>
                </m:naryPr>
                <m:sub>
                  <m:r>
                    <w:rPr>
                      <w:rFonts w:ascii="Cambria Math" w:hAnsi="Cambria Math"/>
                      <w:color w:val="0D0D0D" w:themeColor="text1" w:themeTint="F2"/>
                      <w:sz w:val="24"/>
                      <w:szCs w:val="24"/>
                    </w:rPr>
                    <m:t>T</m:t>
                  </m:r>
                </m:sub>
                <m:sup/>
                <m:e>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m:t>
                      </m:r>
                    </m:e>
                    <m:sub>
                      <m:r>
                        <w:rPr>
                          <w:rFonts w:ascii="Cambria Math" w:hAnsi="Cambria Math"/>
                          <w:color w:val="0D0D0D" w:themeColor="text1" w:themeTint="F2"/>
                          <w:sz w:val="24"/>
                          <w:szCs w:val="24"/>
                        </w:rPr>
                        <m:t>T</m:t>
                      </m:r>
                    </m:sub>
                  </m:sSub>
                  <m:r>
                    <w:rPr>
                      <w:rFonts w:ascii="Cambria Math" w:hAnsi="Cambria Math"/>
                      <w:color w:val="0D0D0D" w:themeColor="text1" w:themeTint="F2"/>
                      <w:sz w:val="24"/>
                      <w:szCs w:val="24"/>
                    </w:rPr>
                    <m:t>∙</m:t>
                  </m:r>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Nex</m:t>
                      </m:r>
                    </m:e>
                    <m:sub>
                      <m:r>
                        <w:rPr>
                          <w:rFonts w:ascii="Cambria Math" w:hAnsi="Cambria Math"/>
                          <w:color w:val="0D0D0D" w:themeColor="text1" w:themeTint="F2"/>
                          <w:sz w:val="24"/>
                          <w:szCs w:val="24"/>
                        </w:rPr>
                        <m:t>T</m:t>
                      </m:r>
                    </m:sub>
                  </m:sSub>
                  <m:r>
                    <w:rPr>
                      <w:rFonts w:ascii="Cambria Math" w:hAnsi="Cambria Math"/>
                      <w:color w:val="0D0D0D" w:themeColor="text1" w:themeTint="F2"/>
                      <w:sz w:val="24"/>
                      <w:szCs w:val="24"/>
                    </w:rPr>
                    <m:t>∙</m:t>
                  </m:r>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MS</m:t>
                      </m:r>
                    </m:e>
                    <m:sub>
                      <m:r>
                        <w:rPr>
                          <w:rFonts w:ascii="Cambria Math" w:hAnsi="Cambria Math"/>
                          <w:color w:val="0D0D0D" w:themeColor="text1" w:themeTint="F2"/>
                          <w:sz w:val="24"/>
                          <w:szCs w:val="24"/>
                        </w:rPr>
                        <m:t>T</m:t>
                      </m:r>
                    </m:sub>
                  </m:sSub>
                </m:e>
              </m:nary>
            </m:e>
          </m:d>
          <m:r>
            <w:rPr>
              <w:rFonts w:ascii="Cambria Math" w:hAnsi="Cambria Math"/>
              <w:color w:val="0D0D0D" w:themeColor="text1" w:themeTint="F2"/>
              <w:sz w:val="24"/>
              <w:szCs w:val="24"/>
            </w:rPr>
            <m:t>∙</m:t>
          </m:r>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EF</m:t>
              </m:r>
            </m:e>
            <m:sub>
              <m:r>
                <w:rPr>
                  <w:rFonts w:ascii="Cambria Math" w:hAnsi="Cambria Math"/>
                  <w:color w:val="0D0D0D" w:themeColor="text1" w:themeTint="F2"/>
                  <w:sz w:val="24"/>
                  <w:szCs w:val="24"/>
                </w:rPr>
                <m:t>3(</m:t>
              </m:r>
              <m:r>
                <w:rPr>
                  <w:rFonts w:ascii="Cambria Math" w:hAnsi="Cambria Math"/>
                  <w:color w:val="0D0D0D" w:themeColor="text1" w:themeTint="F2"/>
                  <w:sz w:val="24"/>
                  <w:szCs w:val="24"/>
                </w:rPr>
                <m:t>PRP</m:t>
              </m:r>
              <m:r>
                <w:rPr>
                  <w:rFonts w:ascii="Cambria Math" w:hAnsi="Cambria Math"/>
                  <w:color w:val="0D0D0D" w:themeColor="text1" w:themeTint="F2"/>
                  <w:sz w:val="24"/>
                  <w:szCs w:val="24"/>
                </w:rPr>
                <m:t>-</m:t>
              </m:r>
              <m:r>
                <w:rPr>
                  <w:rFonts w:ascii="Cambria Math" w:hAnsi="Cambria Math"/>
                  <w:color w:val="0D0D0D" w:themeColor="text1" w:themeTint="F2"/>
                  <w:sz w:val="24"/>
                  <w:szCs w:val="24"/>
                </w:rPr>
                <m:t>MINOR</m:t>
              </m:r>
              <m:r>
                <w:rPr>
                  <w:rFonts w:ascii="Cambria Math" w:hAnsi="Cambria Math"/>
                  <w:color w:val="0D0D0D" w:themeColor="text1" w:themeTint="F2"/>
                  <w:sz w:val="24"/>
                  <w:szCs w:val="24"/>
                </w:rPr>
                <m:t>)</m:t>
              </m:r>
            </m:sub>
          </m:sSub>
        </m:oMath>
      </m:oMathPara>
    </w:p>
    <w:p w14:paraId="4BCC9D88" w14:textId="77777777" w:rsidR="007523B8" w:rsidRPr="009E06AA" w:rsidRDefault="007523B8" w:rsidP="007523B8">
      <w:pPr>
        <w:pStyle w:val="BodyText"/>
        <w:keepNext/>
        <w:spacing w:before="60" w:after="40"/>
        <w:ind w:left="964" w:hanging="964"/>
      </w:pPr>
      <w:r w:rsidRPr="009E06AA">
        <w:t xml:space="preserve">Where: </w:t>
      </w:r>
      <w:r w:rsidRPr="009E06AA">
        <w:tab/>
        <w:t>N</w:t>
      </w:r>
      <w:r w:rsidRPr="009E06AA">
        <w:rPr>
          <w:vertAlign w:val="subscript"/>
        </w:rPr>
        <w:t xml:space="preserve">T </w:t>
      </w:r>
      <w:r w:rsidRPr="009E06AA">
        <w:t>is the population of the livestock category (sheep, cattle, deer or other)</w:t>
      </w:r>
    </w:p>
    <w:p w14:paraId="03C4503D" w14:textId="77777777" w:rsidR="007523B8" w:rsidRPr="009E06AA" w:rsidRDefault="007523B8" w:rsidP="001E47A3">
      <w:pPr>
        <w:pStyle w:val="BodyText"/>
        <w:keepNext/>
        <w:spacing w:before="40" w:after="40"/>
        <w:ind w:left="964"/>
      </w:pPr>
      <w:r w:rsidRPr="009E06AA">
        <w:t>T is the population as calculated in section 5.1.3</w:t>
      </w:r>
    </w:p>
    <w:p w14:paraId="1D46E1DE" w14:textId="77777777" w:rsidR="007523B8" w:rsidRPr="009E06AA" w:rsidRDefault="007523B8" w:rsidP="001E47A3">
      <w:pPr>
        <w:pStyle w:val="BodyText"/>
        <w:spacing w:before="40" w:after="40"/>
        <w:ind w:left="964" w:hanging="964"/>
      </w:pPr>
      <w:r w:rsidRPr="009E06AA">
        <w:tab/>
        <w:t>Nex</w:t>
      </w:r>
      <w:r w:rsidRPr="009E06AA">
        <w:rPr>
          <w:vertAlign w:val="subscript"/>
        </w:rPr>
        <w:t>URINE,FLAT</w:t>
      </w:r>
      <w:r w:rsidRPr="009E06AA">
        <w:t xml:space="preserve"> is the annual urinary nitrogen excretion per head deposited on flatland</w:t>
      </w:r>
      <w:r w:rsidRPr="009E06AA">
        <w:rPr>
          <w:rStyle w:val="FootnoteReference"/>
          <w:rFonts w:cs="Calibri"/>
        </w:rPr>
        <w:footnoteReference w:id="48"/>
      </w:r>
      <w:r w:rsidRPr="009E06AA">
        <w:t xml:space="preserve"> (kg N/head/year) </w:t>
      </w:r>
    </w:p>
    <w:p w14:paraId="4353D3D8" w14:textId="77777777" w:rsidR="007523B8" w:rsidRPr="009E06AA" w:rsidRDefault="007523B8" w:rsidP="001E47A3">
      <w:pPr>
        <w:pStyle w:val="BodyText"/>
        <w:spacing w:before="40" w:after="40"/>
        <w:ind w:left="964" w:hanging="964"/>
      </w:pPr>
      <w:r w:rsidRPr="009E06AA">
        <w:tab/>
        <w:t>Nex</w:t>
      </w:r>
      <w:r w:rsidRPr="009E06AA">
        <w:rPr>
          <w:vertAlign w:val="subscript"/>
        </w:rPr>
        <w:t>URINE,LOW</w:t>
      </w:r>
      <w:r w:rsidRPr="009E06AA">
        <w:t xml:space="preserve"> is the annual urinary nitrogen excretion per head deposited on low slopes</w:t>
      </w:r>
      <w:r w:rsidRPr="009E06AA">
        <w:rPr>
          <w:rStyle w:val="FootnoteReference"/>
          <w:rFonts w:cs="Calibri"/>
        </w:rPr>
        <w:footnoteReference w:id="49"/>
      </w:r>
      <w:r w:rsidRPr="009E06AA">
        <w:t xml:space="preserve"> (kg N/head/year) </w:t>
      </w:r>
    </w:p>
    <w:p w14:paraId="01F2E947" w14:textId="77777777" w:rsidR="007523B8" w:rsidRPr="009E06AA" w:rsidRDefault="007523B8" w:rsidP="001E47A3">
      <w:pPr>
        <w:pStyle w:val="BodyText"/>
        <w:spacing w:before="40" w:after="40"/>
        <w:ind w:left="964" w:hanging="964"/>
      </w:pPr>
      <w:r w:rsidRPr="009E06AA">
        <w:tab/>
        <w:t>Nex</w:t>
      </w:r>
      <w:r w:rsidRPr="009E06AA">
        <w:rPr>
          <w:vertAlign w:val="subscript"/>
        </w:rPr>
        <w:t>URINE,MED</w:t>
      </w:r>
      <w:r w:rsidRPr="009E06AA">
        <w:t xml:space="preserve"> is the annual urinary nitrogen excretion per head deposited on medium slopes</w:t>
      </w:r>
      <w:r w:rsidRPr="009E06AA">
        <w:rPr>
          <w:rStyle w:val="FootnoteReference"/>
          <w:rFonts w:cs="Calibri"/>
        </w:rPr>
        <w:footnoteReference w:id="50"/>
      </w:r>
      <w:r w:rsidRPr="009E06AA">
        <w:t xml:space="preserve"> (kg N/head/year) </w:t>
      </w:r>
    </w:p>
    <w:p w14:paraId="5EEBFA2B" w14:textId="77777777" w:rsidR="007523B8" w:rsidRPr="009E06AA" w:rsidRDefault="007523B8" w:rsidP="001E47A3">
      <w:pPr>
        <w:pStyle w:val="BodyText"/>
        <w:spacing w:before="40" w:after="40"/>
        <w:ind w:left="964" w:hanging="964"/>
      </w:pPr>
      <w:r w:rsidRPr="009E06AA">
        <w:tab/>
        <w:t>Nex</w:t>
      </w:r>
      <w:r w:rsidRPr="009E06AA">
        <w:rPr>
          <w:vertAlign w:val="subscript"/>
        </w:rPr>
        <w:t>URINE,STEEP</w:t>
      </w:r>
      <w:r w:rsidRPr="009E06AA">
        <w:t xml:space="preserve"> is the annual urinary nitrogen excretion per head deposited on steep slopes</w:t>
      </w:r>
      <w:r w:rsidRPr="009E06AA">
        <w:rPr>
          <w:rStyle w:val="FootnoteReference"/>
          <w:rFonts w:cs="Calibri"/>
        </w:rPr>
        <w:footnoteReference w:id="51"/>
      </w:r>
      <w:r w:rsidRPr="009E06AA">
        <w:t xml:space="preserve"> (kg N/head/year) </w:t>
      </w:r>
    </w:p>
    <w:p w14:paraId="1DE9385D" w14:textId="77777777" w:rsidR="007523B8" w:rsidRPr="009E06AA" w:rsidRDefault="007523B8" w:rsidP="001E47A3">
      <w:pPr>
        <w:pStyle w:val="BodyText"/>
        <w:spacing w:before="40" w:after="40"/>
        <w:ind w:left="964" w:hanging="964"/>
      </w:pPr>
      <w:r w:rsidRPr="009E06AA">
        <w:tab/>
        <w:t>Nex</w:t>
      </w:r>
      <w:r w:rsidRPr="009E06AA">
        <w:rPr>
          <w:vertAlign w:val="subscript"/>
        </w:rPr>
        <w:t>DUNG,T</w:t>
      </w:r>
      <w:r w:rsidRPr="009E06AA">
        <w:t xml:space="preserve"> is the annual average excretion per head (kg N/head/year) </w:t>
      </w:r>
    </w:p>
    <w:p w14:paraId="1724121E" w14:textId="77777777" w:rsidR="007523B8" w:rsidRPr="009E06AA" w:rsidRDefault="007523B8" w:rsidP="001E47A3">
      <w:pPr>
        <w:pStyle w:val="BodyText"/>
        <w:spacing w:before="40" w:after="40"/>
        <w:ind w:left="964" w:hanging="964"/>
      </w:pPr>
      <w:r w:rsidRPr="009E06AA">
        <w:tab/>
        <w:t>Nex</w:t>
      </w:r>
      <w:r w:rsidRPr="009E06AA">
        <w:rPr>
          <w:vertAlign w:val="subscript"/>
        </w:rPr>
        <w:t>T</w:t>
      </w:r>
      <w:r w:rsidRPr="009E06AA">
        <w:t xml:space="preserve"> is the annual average nitrogen excretion per head (kg N/head/year) (see section 5.3) </w:t>
      </w:r>
    </w:p>
    <w:p w14:paraId="5DD7C391" w14:textId="77777777" w:rsidR="007523B8" w:rsidRPr="009E06AA" w:rsidRDefault="007523B8" w:rsidP="007523B8">
      <w:pPr>
        <w:pStyle w:val="BodyText"/>
        <w:spacing w:before="40" w:after="40"/>
        <w:ind w:left="964" w:hanging="964"/>
      </w:pPr>
      <w:r w:rsidRPr="009E06AA">
        <w:tab/>
        <w:t>MS</w:t>
      </w:r>
      <w:r w:rsidRPr="009E06AA">
        <w:rPr>
          <w:vertAlign w:val="subscript"/>
        </w:rPr>
        <w:t>T</w:t>
      </w:r>
      <w:r w:rsidRPr="009E06AA">
        <w:t xml:space="preserve"> is the proportion of manure excreted directly onto pasture, range and paddock (see table 5.3.2)</w:t>
      </w:r>
    </w:p>
    <w:p w14:paraId="39767422" w14:textId="77777777" w:rsidR="007523B8" w:rsidRPr="009E06AA" w:rsidRDefault="007523B8" w:rsidP="007523B8">
      <w:pPr>
        <w:pStyle w:val="BodyText"/>
        <w:spacing w:before="40" w:after="40"/>
        <w:ind w:left="964" w:hanging="964"/>
      </w:pPr>
      <w:r w:rsidRPr="009E06AA">
        <w:tab/>
        <w:t>EF</w:t>
      </w:r>
      <w:r w:rsidRPr="009E06AA">
        <w:rPr>
          <w:vertAlign w:val="subscript"/>
        </w:rPr>
        <w:t>3(PRP-FLAT)</w:t>
      </w:r>
      <w:r w:rsidRPr="009E06AA">
        <w:t xml:space="preserve"> is the emission factor for urinary nitrogen deposited on flatland and low slopes by sheep, deer and cattle (note that emission factors vary by animal category, see table 5.5.2)</w:t>
      </w:r>
    </w:p>
    <w:p w14:paraId="105209C1" w14:textId="77777777" w:rsidR="007523B8" w:rsidRPr="009E06AA" w:rsidRDefault="007523B8" w:rsidP="007523B8">
      <w:pPr>
        <w:pStyle w:val="BodyText"/>
        <w:spacing w:before="40" w:after="40"/>
        <w:ind w:left="964" w:hanging="964"/>
      </w:pPr>
      <w:r w:rsidRPr="009E06AA">
        <w:tab/>
        <w:t>EF</w:t>
      </w:r>
      <w:r w:rsidRPr="009E06AA">
        <w:rPr>
          <w:vertAlign w:val="subscript"/>
        </w:rPr>
        <w:t>3(PRP-STEEP)</w:t>
      </w:r>
      <w:r w:rsidRPr="009E06AA">
        <w:t xml:space="preserve"> is the emission factor for urinary nitrogen deposited on medium and steep slopes, for sheep, deer and cattle (note emission factors vary by animal category, see table 5.5.2)</w:t>
      </w:r>
    </w:p>
    <w:p w14:paraId="364CFCF1" w14:textId="77777777" w:rsidR="007523B8" w:rsidRPr="009E06AA" w:rsidRDefault="007523B8" w:rsidP="007523B8">
      <w:pPr>
        <w:pStyle w:val="BodyText"/>
        <w:spacing w:before="40" w:after="40"/>
        <w:ind w:left="964" w:hanging="964"/>
      </w:pPr>
      <w:r w:rsidRPr="009E06AA">
        <w:tab/>
        <w:t>EF</w:t>
      </w:r>
      <w:r w:rsidRPr="009E06AA">
        <w:rPr>
          <w:vertAlign w:val="subscript"/>
        </w:rPr>
        <w:t>3(PRP-DUNG)</w:t>
      </w:r>
      <w:r w:rsidRPr="009E06AA">
        <w:t xml:space="preserve"> is the emission factor for dung nitrogen excreta deposited by sheep, deer and cattle on pasture, range and paddock (0.0012, see table 5.5.2)</w:t>
      </w:r>
    </w:p>
    <w:p w14:paraId="42907C7F" w14:textId="77777777" w:rsidR="007523B8" w:rsidRPr="009E06AA" w:rsidRDefault="007523B8" w:rsidP="007523B8">
      <w:pPr>
        <w:pStyle w:val="BodyText"/>
        <w:spacing w:before="40"/>
        <w:ind w:left="964" w:hanging="964"/>
      </w:pPr>
      <w:r w:rsidRPr="009E06AA">
        <w:tab/>
        <w:t>EF</w:t>
      </w:r>
      <w:r w:rsidRPr="009E06AA">
        <w:rPr>
          <w:vertAlign w:val="subscript"/>
        </w:rPr>
        <w:t>3(PRP-MINOR)</w:t>
      </w:r>
      <w:r w:rsidRPr="009E06AA">
        <w:t xml:space="preserve"> is the emission factor for dung from minor animal categories deposited on pasture, range and paddock (see table 5.5.2).</w:t>
      </w:r>
    </w:p>
    <w:p w14:paraId="3C04F0E6" w14:textId="77777777" w:rsidR="007523B8" w:rsidRPr="009E06AA" w:rsidRDefault="007523B8" w:rsidP="007523B8">
      <w:pPr>
        <w:pStyle w:val="BodyText"/>
        <w:spacing w:before="100" w:after="100"/>
      </w:pPr>
      <w:r w:rsidRPr="009E06AA">
        <w:t>For cattle, sheep and deer, the estimated N</w:t>
      </w:r>
      <w:r w:rsidRPr="009E06AA">
        <w:rPr>
          <w:vertAlign w:val="subscript"/>
        </w:rPr>
        <w:t>ex</w:t>
      </w:r>
      <w:r w:rsidRPr="009E06AA">
        <w:t xml:space="preserve"> values are separated into urine and dung components using the methodology outlined by Pacheco et al. (2018). </w:t>
      </w:r>
    </w:p>
    <w:p w14:paraId="249A7C73" w14:textId="77777777" w:rsidR="007523B8" w:rsidRPr="009E06AA" w:rsidRDefault="007523B8" w:rsidP="007523B8">
      <w:pPr>
        <w:pStyle w:val="BodyText"/>
        <w:spacing w:before="100" w:after="100"/>
      </w:pPr>
      <w:r w:rsidRPr="009E06AA">
        <w:t xml:space="preserve">The Agriculture inventory model assumes that all dairy cattle graze on flatland, due to </w:t>
      </w:r>
      <w:r w:rsidRPr="009E06AA" w:rsidDel="001543F3">
        <w:t xml:space="preserve">New </w:t>
      </w:r>
      <w:r w:rsidRPr="009E06AA">
        <w:t>Zealand farming practices, therefore,</w:t>
      </w:r>
      <w:r w:rsidRPr="009E06AA" w:rsidDel="00FF398C">
        <w:t xml:space="preserve"> </w:t>
      </w:r>
      <w:r w:rsidRPr="009E06AA">
        <w:t>all dairy urinary nitrogen is allocated to Nex</w:t>
      </w:r>
      <w:r w:rsidRPr="009E06AA">
        <w:rPr>
          <w:vertAlign w:val="subscript"/>
        </w:rPr>
        <w:t>URINE,FLAT</w:t>
      </w:r>
      <w:r w:rsidRPr="009E06AA">
        <w:t xml:space="preserve">. </w:t>
      </w:r>
    </w:p>
    <w:p w14:paraId="55A519E6" w14:textId="77777777" w:rsidR="007523B8" w:rsidRPr="009E06AA" w:rsidRDefault="007523B8" w:rsidP="007523B8">
      <w:pPr>
        <w:pStyle w:val="BodyText"/>
        <w:spacing w:before="100" w:after="100"/>
      </w:pPr>
      <w:r w:rsidRPr="009E06AA">
        <w:t>Urinary nitrogen from non-dairy cattle, sheep and deer is allocated to the different slope types; Nex</w:t>
      </w:r>
      <w:r w:rsidRPr="009E06AA">
        <w:rPr>
          <w:vertAlign w:val="subscript"/>
        </w:rPr>
        <w:t>URINE,LOW</w:t>
      </w:r>
      <w:r w:rsidRPr="009E06AA">
        <w:t>, Nex</w:t>
      </w:r>
      <w:r w:rsidRPr="009E06AA">
        <w:rPr>
          <w:vertAlign w:val="subscript"/>
        </w:rPr>
        <w:t>URINE,MED</w:t>
      </w:r>
      <w:r w:rsidRPr="009E06AA">
        <w:t xml:space="preserve"> and Nex</w:t>
      </w:r>
      <w:r w:rsidRPr="009E06AA">
        <w:rPr>
          <w:vertAlign w:val="subscript"/>
        </w:rPr>
        <w:t>URINE,STEEP</w:t>
      </w:r>
      <w:r w:rsidRPr="009E06AA">
        <w:t>. However, there is zero land allocated to flatland (Nex</w:t>
      </w:r>
      <w:r w:rsidRPr="009E06AA">
        <w:rPr>
          <w:vertAlign w:val="subscript"/>
        </w:rPr>
        <w:t>URINE,FLAT</w:t>
      </w:r>
      <w:r w:rsidRPr="009E06AA">
        <w:t>), which is generally used for grazing dairy cattle.</w:t>
      </w:r>
    </w:p>
    <w:p w14:paraId="39DF6964" w14:textId="77777777" w:rsidR="007523B8" w:rsidRPr="009E06AA" w:rsidRDefault="007523B8" w:rsidP="00BF2A76">
      <w:pPr>
        <w:pStyle w:val="Heading5"/>
      </w:pPr>
      <w:r w:rsidRPr="009E06AA">
        <w:t>EF</w:t>
      </w:r>
      <w:r w:rsidRPr="009E06AA">
        <w:rPr>
          <w:vertAlign w:val="subscript"/>
        </w:rPr>
        <w:t>3</w:t>
      </w:r>
      <w:r w:rsidRPr="009E06AA">
        <w:t xml:space="preserve"> emission factors for excreta deposited by cattle, sheep and deer on sloped land</w:t>
      </w:r>
    </w:p>
    <w:p w14:paraId="4ADAFD31" w14:textId="77777777" w:rsidR="007523B8" w:rsidRPr="009E06AA" w:rsidRDefault="007523B8" w:rsidP="007523B8">
      <w:pPr>
        <w:pStyle w:val="BodyText"/>
      </w:pPr>
      <w:r w:rsidRPr="009E06AA">
        <w:t>New EF</w:t>
      </w:r>
      <w:r w:rsidRPr="009E06AA">
        <w:rPr>
          <w:vertAlign w:val="subscript"/>
        </w:rPr>
        <w:t xml:space="preserve">3 </w:t>
      </w:r>
      <w:r w:rsidRPr="009E06AA">
        <w:t>emission factors were incorporated in the 2020 inventory and are detailed in table 5.5.2 (EF</w:t>
      </w:r>
      <w:r w:rsidRPr="009E06AA">
        <w:rPr>
          <w:vertAlign w:val="subscript"/>
        </w:rPr>
        <w:t>3(PRP-DUNG)</w:t>
      </w:r>
      <w:r w:rsidRPr="009E06AA">
        <w:t>) and table 5.5.3. These EF</w:t>
      </w:r>
      <w:r w:rsidRPr="009E06AA">
        <w:rPr>
          <w:vertAlign w:val="subscript"/>
        </w:rPr>
        <w:t>3</w:t>
      </w:r>
      <w:r w:rsidRPr="009E06AA">
        <w:t xml:space="preserve"> emission factors used to calculate N</w:t>
      </w:r>
      <w:r w:rsidRPr="009E06AA">
        <w:rPr>
          <w:vertAlign w:val="subscript"/>
        </w:rPr>
        <w:t>2</w:t>
      </w:r>
      <w:r w:rsidRPr="009E06AA">
        <w:t>O emissions from cattle (dairy and non-dairy cattle), sheep and deer are based on a meta-analysis undertaken by van der Weerden et al. (2019, 2020) based on field studies undertaken in the past decade (de Klein et al., 2014; Hoogendoorn et al., 2013; Luo et al., 2013, 2016, 2019a; Saggar et al., 2015). The research collectively shows (see table 5.5.6):</w:t>
      </w:r>
    </w:p>
    <w:p w14:paraId="4E300ECD" w14:textId="77777777" w:rsidR="007523B8" w:rsidRPr="009E06AA" w:rsidRDefault="007523B8" w:rsidP="007523B8">
      <w:pPr>
        <w:pStyle w:val="Bullet"/>
      </w:pPr>
      <w:r w:rsidRPr="009E06AA">
        <w:t>a statistically significant difference in urine emission factors between cattle and sheep</w:t>
      </w:r>
    </w:p>
    <w:p w14:paraId="24B4ABAF" w14:textId="77777777" w:rsidR="007523B8" w:rsidRPr="009E06AA" w:rsidRDefault="007523B8" w:rsidP="007523B8">
      <w:pPr>
        <w:pStyle w:val="Bullet"/>
      </w:pPr>
      <w:r w:rsidRPr="009E06AA">
        <w:t>that emissions from sheep, non-dairy cattle and dairy cattle excreta deposited on medium (between 12 degrees and 24 degrees) and steep (greater than 24 degrees) sloped land are significantly lower than corresponding emissions on land that is flat or of a low gradient (between 0 degrees and 12 degrees).</w:t>
      </w:r>
    </w:p>
    <w:p w14:paraId="422B30EA" w14:textId="77777777" w:rsidR="007523B8" w:rsidRPr="009E06AA" w:rsidRDefault="007523B8" w:rsidP="00BF2A76">
      <w:pPr>
        <w:pStyle w:val="Heading5"/>
      </w:pPr>
      <w:r w:rsidRPr="009E06AA">
        <w:t>Evidence and meta-analysis for EF</w:t>
      </w:r>
      <w:r w:rsidRPr="009E06AA">
        <w:rPr>
          <w:vertAlign w:val="subscript"/>
        </w:rPr>
        <w:t>3</w:t>
      </w:r>
      <w:r w:rsidRPr="009E06AA">
        <w:t xml:space="preserve"> emission factors for excreta deposited on sloped land</w:t>
      </w:r>
    </w:p>
    <w:p w14:paraId="0E0060C5" w14:textId="77777777" w:rsidR="007523B8" w:rsidRPr="009E06AA" w:rsidRDefault="007523B8" w:rsidP="007523B8">
      <w:pPr>
        <w:pStyle w:val="BodyText"/>
        <w:rPr>
          <w:rFonts w:cs="Calibri"/>
        </w:rPr>
      </w:pPr>
      <w:r w:rsidRPr="009E06AA">
        <w:rPr>
          <w:rFonts w:cs="Calibri"/>
        </w:rPr>
        <w:t>The meta-analysis (van der Weerden et al., 2020), built on a previous study by Kelliher et al. (2014), calculated new emission factors based on animal type, season and slope. This was based on an expanded data set of 1,217 replicate-level emission factors from 236 field experiments conducted over the past decade, largely measured using the same standardised experimental methods for N</w:t>
      </w:r>
      <w:r w:rsidRPr="009E06AA">
        <w:rPr>
          <w:rFonts w:cs="Calibri"/>
          <w:vertAlign w:val="subscript"/>
        </w:rPr>
        <w:t>2</w:t>
      </w:r>
      <w:r w:rsidRPr="009E06AA">
        <w:rPr>
          <w:rFonts w:cs="Calibri"/>
        </w:rPr>
        <w:t>O (see table 5.5.7).</w:t>
      </w:r>
    </w:p>
    <w:p w14:paraId="3F8D1E4A" w14:textId="77777777" w:rsidR="007523B8" w:rsidRPr="009E06AA" w:rsidRDefault="007523B8" w:rsidP="007523B8">
      <w:pPr>
        <w:pStyle w:val="BodyText"/>
        <w:rPr>
          <w:rFonts w:cs="Calibri"/>
        </w:rPr>
      </w:pPr>
      <w:r w:rsidRPr="009E06AA">
        <w:rPr>
          <w:rFonts w:cs="Calibri"/>
        </w:rPr>
        <w:t>The meta-analysis included results of studies from dung and urine deposited onto flatland and steep sloped land published in scientific journals (Hoogendoorn et al., 2008; Ledgard et al., 2014; Luo et al., 2013; van der Weerden et al., 2011) and reported to MPI’s inventory reporting team (Hoogendoorn et al., 2013; Luo et al., 2016, 2019a). These data were compiled to contribute to existing data on emissions from dung and urine deposited on low and medium sloped land from the Kelliher et al. (2014) study.</w:t>
      </w:r>
      <w:r w:rsidRPr="009E06AA" w:rsidDel="00866057">
        <w:rPr>
          <w:rFonts w:cs="Calibri"/>
        </w:rPr>
        <w:t xml:space="preserve"> </w:t>
      </w:r>
    </w:p>
    <w:p w14:paraId="23CFC39E" w14:textId="77777777" w:rsidR="007523B8" w:rsidRPr="009E06AA" w:rsidRDefault="007523B8" w:rsidP="007523B8">
      <w:pPr>
        <w:pStyle w:val="BodyText"/>
        <w:rPr>
          <w:rFonts w:cs="Calibri"/>
        </w:rPr>
      </w:pPr>
      <w:r w:rsidRPr="009E06AA">
        <w:rPr>
          <w:rFonts w:cs="Calibri"/>
        </w:rPr>
        <w:t>Additional evidence conducted overseas supporting the use of emission factors that vary by land slope has been provided in a study in the United Kingdom by Marsden et al. (2018), who found that sheep EF</w:t>
      </w:r>
      <w:r w:rsidRPr="009E06AA">
        <w:rPr>
          <w:rFonts w:cs="Calibri"/>
          <w:vertAlign w:val="subscript"/>
        </w:rPr>
        <w:t>3</w:t>
      </w:r>
      <w:r w:rsidRPr="009E06AA">
        <w:rPr>
          <w:rFonts w:cs="Calibri"/>
        </w:rPr>
        <w:t xml:space="preserve"> values are lower on upland and hill areas compared with intensively managed lowlands.</w:t>
      </w:r>
    </w:p>
    <w:p w14:paraId="749049DB" w14:textId="77777777" w:rsidR="007523B8" w:rsidRPr="009E06AA" w:rsidRDefault="007523B8" w:rsidP="007523B8">
      <w:pPr>
        <w:pStyle w:val="Table"/>
        <w:rPr>
          <w:rFonts w:cs="Calibri"/>
        </w:rPr>
      </w:pPr>
      <w:bookmarkStart w:id="1298" w:name="_Toc32570932"/>
      <w:bookmarkStart w:id="1299" w:name="_Toc36224567"/>
      <w:bookmarkStart w:id="1300" w:name="_Toc68786452"/>
      <w:bookmarkStart w:id="1301" w:name="_Toc95574085"/>
      <w:bookmarkStart w:id="1302" w:name="_Toc127458272"/>
      <w:bookmarkStart w:id="1303" w:name="_Toc131591368"/>
      <w:bookmarkStart w:id="1304" w:name="_Toc160114462"/>
      <w:bookmarkStart w:id="1305" w:name="_Toc164153858"/>
      <w:r w:rsidRPr="009E06AA">
        <w:rPr>
          <w:rFonts w:cs="Calibri"/>
        </w:rPr>
        <w:t>Table 5.5.6</w:t>
      </w:r>
      <w:r w:rsidRPr="009E06AA">
        <w:rPr>
          <w:rFonts w:cs="Calibri"/>
        </w:rPr>
        <w:tab/>
        <w:t>Number of replicate-level EF</w:t>
      </w:r>
      <w:r w:rsidRPr="009E06AA">
        <w:rPr>
          <w:rFonts w:cs="Calibri"/>
          <w:vertAlign w:val="subscript"/>
        </w:rPr>
        <w:t>3</w:t>
      </w:r>
      <w:r w:rsidRPr="009E06AA">
        <w:rPr>
          <w:rFonts w:cs="Calibri"/>
        </w:rPr>
        <w:t xml:space="preserve"> values collated by the van der Weerden et al. (2019, 2020) analysis, for each nitrogen source and topography (number of individual trials shown in brackets)</w:t>
      </w:r>
      <w:bookmarkEnd w:id="1298"/>
      <w:bookmarkEnd w:id="1299"/>
      <w:bookmarkEnd w:id="1300"/>
      <w:bookmarkEnd w:id="1301"/>
      <w:bookmarkEnd w:id="1302"/>
      <w:bookmarkEnd w:id="1303"/>
      <w:bookmarkEnd w:id="1304"/>
      <w:bookmarkEnd w:id="1305"/>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06"/>
        <w:gridCol w:w="1249"/>
        <w:gridCol w:w="1249"/>
        <w:gridCol w:w="1303"/>
        <w:gridCol w:w="1249"/>
        <w:gridCol w:w="1249"/>
      </w:tblGrid>
      <w:tr w:rsidR="007523B8" w:rsidRPr="009E06AA" w14:paraId="18C7F008" w14:textId="77777777" w:rsidTr="00B55F24">
        <w:trPr>
          <w:tblHeader/>
        </w:trPr>
        <w:tc>
          <w:tcPr>
            <w:tcW w:w="2206" w:type="dxa"/>
            <w:tcBorders>
              <w:top w:val="single" w:sz="4" w:space="0" w:color="1B556B" w:themeColor="text2"/>
              <w:left w:val="nil"/>
              <w:bottom w:val="single" w:sz="4" w:space="0" w:color="1B556B" w:themeColor="text2"/>
              <w:right w:val="nil"/>
            </w:tcBorders>
            <w:shd w:val="clear" w:color="auto" w:fill="1B556B"/>
            <w:vAlign w:val="bottom"/>
          </w:tcPr>
          <w:p w14:paraId="5E6E3F02" w14:textId="77777777" w:rsidR="007523B8" w:rsidRPr="009E06AA" w:rsidRDefault="007523B8" w:rsidP="00B55F24">
            <w:pPr>
              <w:pStyle w:val="TableTextBold"/>
              <w:keepNext/>
              <w:spacing w:before="40" w:after="40"/>
              <w:rPr>
                <w:noProof w:val="0"/>
                <w:color w:val="FFFFFF" w:themeColor="background1"/>
              </w:rPr>
            </w:pPr>
            <w:r w:rsidRPr="009E06AA">
              <w:rPr>
                <w:noProof w:val="0"/>
                <w:color w:val="FFFFFF" w:themeColor="background1"/>
              </w:rPr>
              <w:t>Nitrogen source</w:t>
            </w:r>
          </w:p>
        </w:tc>
        <w:tc>
          <w:tcPr>
            <w:tcW w:w="1249" w:type="dxa"/>
            <w:tcBorders>
              <w:top w:val="single" w:sz="4" w:space="0" w:color="1B556B" w:themeColor="text2"/>
              <w:left w:val="nil"/>
              <w:bottom w:val="single" w:sz="4" w:space="0" w:color="1B556B" w:themeColor="text2"/>
              <w:right w:val="nil"/>
            </w:tcBorders>
            <w:shd w:val="clear" w:color="auto" w:fill="1B556B"/>
            <w:vAlign w:val="bottom"/>
          </w:tcPr>
          <w:p w14:paraId="467411A8" w14:textId="77777777" w:rsidR="007523B8" w:rsidRPr="009E06AA" w:rsidRDefault="007523B8" w:rsidP="007E03CB">
            <w:pPr>
              <w:pStyle w:val="TableTextBold"/>
              <w:keepNext/>
              <w:spacing w:before="40" w:after="40"/>
              <w:jc w:val="right"/>
              <w:rPr>
                <w:noProof w:val="0"/>
                <w:color w:val="FFFFFF" w:themeColor="background1"/>
              </w:rPr>
            </w:pPr>
            <w:r w:rsidRPr="009E06AA">
              <w:rPr>
                <w:noProof w:val="0"/>
                <w:color w:val="FFFFFF" w:themeColor="background1"/>
              </w:rPr>
              <w:t xml:space="preserve">Flatland </w:t>
            </w:r>
            <w:r w:rsidRPr="009E06AA">
              <w:rPr>
                <w:noProof w:val="0"/>
                <w:color w:val="FFFFFF" w:themeColor="background1"/>
              </w:rPr>
              <w:br/>
              <w:t>(0–12</w:t>
            </w:r>
            <w:r w:rsidRPr="009E06AA">
              <w:rPr>
                <w:noProof w:val="0"/>
                <w:color w:val="FFFFFF" w:themeColor="background1"/>
                <w:vertAlign w:val="superscript"/>
              </w:rPr>
              <w:t>o</w:t>
            </w:r>
            <w:r w:rsidRPr="009E06AA">
              <w:rPr>
                <w:noProof w:val="0"/>
                <w:color w:val="FFFFFF" w:themeColor="background1"/>
              </w:rPr>
              <w:t>)</w:t>
            </w:r>
          </w:p>
        </w:tc>
        <w:tc>
          <w:tcPr>
            <w:tcW w:w="1249" w:type="dxa"/>
            <w:tcBorders>
              <w:top w:val="single" w:sz="4" w:space="0" w:color="1B556B" w:themeColor="text2"/>
              <w:left w:val="nil"/>
              <w:bottom w:val="single" w:sz="4" w:space="0" w:color="1B556B" w:themeColor="text2"/>
              <w:right w:val="nil"/>
            </w:tcBorders>
            <w:shd w:val="clear" w:color="auto" w:fill="1B556B"/>
            <w:vAlign w:val="bottom"/>
          </w:tcPr>
          <w:p w14:paraId="6DD64361" w14:textId="77777777" w:rsidR="007523B8" w:rsidRPr="009E06AA" w:rsidRDefault="007523B8" w:rsidP="007E03CB">
            <w:pPr>
              <w:pStyle w:val="TableTextBold"/>
              <w:keepNext/>
              <w:spacing w:before="40" w:after="40"/>
              <w:jc w:val="right"/>
              <w:rPr>
                <w:noProof w:val="0"/>
                <w:color w:val="FFFFFF" w:themeColor="background1"/>
              </w:rPr>
            </w:pPr>
            <w:r w:rsidRPr="009E06AA">
              <w:rPr>
                <w:noProof w:val="0"/>
                <w:color w:val="FFFFFF" w:themeColor="background1"/>
              </w:rPr>
              <w:t>Low sloped land (0–12</w:t>
            </w:r>
            <w:r w:rsidRPr="009E06AA">
              <w:rPr>
                <w:noProof w:val="0"/>
                <w:color w:val="FFFFFF" w:themeColor="background1"/>
                <w:vertAlign w:val="superscript"/>
              </w:rPr>
              <w:t>o</w:t>
            </w:r>
            <w:r w:rsidRPr="009E06AA">
              <w:rPr>
                <w:noProof w:val="0"/>
                <w:color w:val="FFFFFF" w:themeColor="background1"/>
              </w:rPr>
              <w:t>)</w:t>
            </w:r>
          </w:p>
        </w:tc>
        <w:tc>
          <w:tcPr>
            <w:tcW w:w="1303" w:type="dxa"/>
            <w:tcBorders>
              <w:top w:val="single" w:sz="4" w:space="0" w:color="1B556B" w:themeColor="text2"/>
              <w:left w:val="nil"/>
              <w:bottom w:val="single" w:sz="4" w:space="0" w:color="1B556B" w:themeColor="text2"/>
              <w:right w:val="nil"/>
            </w:tcBorders>
            <w:shd w:val="clear" w:color="auto" w:fill="1B556B"/>
            <w:vAlign w:val="bottom"/>
          </w:tcPr>
          <w:p w14:paraId="4FE3C8EA" w14:textId="77777777" w:rsidR="007523B8" w:rsidRPr="009E06AA" w:rsidRDefault="007523B8" w:rsidP="007E03CB">
            <w:pPr>
              <w:pStyle w:val="TableTextBold"/>
              <w:keepNext/>
              <w:spacing w:before="40" w:after="40"/>
              <w:jc w:val="right"/>
              <w:rPr>
                <w:noProof w:val="0"/>
                <w:color w:val="FFFFFF" w:themeColor="background1"/>
              </w:rPr>
            </w:pPr>
            <w:r w:rsidRPr="009E06AA">
              <w:rPr>
                <w:noProof w:val="0"/>
                <w:color w:val="FFFFFF" w:themeColor="background1"/>
              </w:rPr>
              <w:t>Medium sloped land (12–24</w:t>
            </w:r>
            <w:r w:rsidRPr="009E06AA">
              <w:rPr>
                <w:noProof w:val="0"/>
                <w:color w:val="FFFFFF" w:themeColor="background1"/>
                <w:vertAlign w:val="superscript"/>
              </w:rPr>
              <w:t>o</w:t>
            </w:r>
            <w:r w:rsidRPr="009E06AA">
              <w:rPr>
                <w:noProof w:val="0"/>
                <w:color w:val="FFFFFF" w:themeColor="background1"/>
              </w:rPr>
              <w:t>)</w:t>
            </w:r>
          </w:p>
        </w:tc>
        <w:tc>
          <w:tcPr>
            <w:tcW w:w="1249" w:type="dxa"/>
            <w:tcBorders>
              <w:top w:val="single" w:sz="4" w:space="0" w:color="1B556B" w:themeColor="text2"/>
              <w:left w:val="nil"/>
              <w:bottom w:val="single" w:sz="4" w:space="0" w:color="1B556B" w:themeColor="text2"/>
              <w:right w:val="nil"/>
            </w:tcBorders>
            <w:shd w:val="clear" w:color="auto" w:fill="1B556B"/>
            <w:vAlign w:val="bottom"/>
          </w:tcPr>
          <w:p w14:paraId="709F8967" w14:textId="77777777" w:rsidR="007523B8" w:rsidRPr="009E06AA" w:rsidRDefault="007523B8" w:rsidP="007E03CB">
            <w:pPr>
              <w:pStyle w:val="TableTextBold"/>
              <w:keepNext/>
              <w:spacing w:before="40" w:after="40"/>
              <w:jc w:val="right"/>
              <w:rPr>
                <w:noProof w:val="0"/>
                <w:color w:val="FFFFFF" w:themeColor="background1"/>
              </w:rPr>
            </w:pPr>
            <w:r w:rsidRPr="009E06AA">
              <w:rPr>
                <w:noProof w:val="0"/>
                <w:color w:val="FFFFFF" w:themeColor="background1"/>
              </w:rPr>
              <w:t>Steep sloped land (&gt;24</w:t>
            </w:r>
            <w:r w:rsidRPr="009E06AA">
              <w:rPr>
                <w:noProof w:val="0"/>
                <w:color w:val="FFFFFF" w:themeColor="background1"/>
                <w:vertAlign w:val="superscript"/>
              </w:rPr>
              <w:t>o</w:t>
            </w:r>
            <w:r w:rsidRPr="009E06AA">
              <w:rPr>
                <w:noProof w:val="0"/>
                <w:color w:val="FFFFFF" w:themeColor="background1"/>
              </w:rPr>
              <w:t>)</w:t>
            </w:r>
          </w:p>
        </w:tc>
        <w:tc>
          <w:tcPr>
            <w:tcW w:w="1249" w:type="dxa"/>
            <w:tcBorders>
              <w:top w:val="single" w:sz="4" w:space="0" w:color="1B556B" w:themeColor="text2"/>
              <w:left w:val="nil"/>
              <w:bottom w:val="single" w:sz="4" w:space="0" w:color="1B556B" w:themeColor="text2"/>
              <w:right w:val="nil"/>
            </w:tcBorders>
            <w:shd w:val="clear" w:color="auto" w:fill="1B556B"/>
            <w:vAlign w:val="bottom"/>
          </w:tcPr>
          <w:p w14:paraId="336730CD" w14:textId="77777777" w:rsidR="007523B8" w:rsidRPr="009E06AA" w:rsidRDefault="007523B8" w:rsidP="007E03CB">
            <w:pPr>
              <w:pStyle w:val="TableTextBold"/>
              <w:keepNext/>
              <w:spacing w:before="40" w:after="40"/>
              <w:jc w:val="right"/>
              <w:rPr>
                <w:noProof w:val="0"/>
                <w:color w:val="FFFFFF" w:themeColor="background1"/>
              </w:rPr>
            </w:pPr>
            <w:r w:rsidRPr="009E06AA">
              <w:rPr>
                <w:noProof w:val="0"/>
                <w:color w:val="FFFFFF" w:themeColor="background1"/>
              </w:rPr>
              <w:t>Total</w:t>
            </w:r>
          </w:p>
        </w:tc>
      </w:tr>
      <w:tr w:rsidR="007523B8" w:rsidRPr="009E06AA" w14:paraId="0823FC7A" w14:textId="77777777" w:rsidTr="00B55F24">
        <w:tc>
          <w:tcPr>
            <w:tcW w:w="2206" w:type="dxa"/>
            <w:tcBorders>
              <w:top w:val="single" w:sz="4" w:space="0" w:color="1B556B" w:themeColor="text2"/>
              <w:left w:val="nil"/>
              <w:bottom w:val="single" w:sz="4" w:space="0" w:color="1B556B" w:themeColor="text2"/>
              <w:right w:val="nil"/>
            </w:tcBorders>
            <w:shd w:val="clear" w:color="auto" w:fill="auto"/>
          </w:tcPr>
          <w:p w14:paraId="4950284A" w14:textId="77777777" w:rsidR="007523B8" w:rsidRPr="009E06AA" w:rsidRDefault="007523B8" w:rsidP="00B55F24">
            <w:pPr>
              <w:pStyle w:val="TableText"/>
              <w:spacing w:before="40" w:after="40"/>
              <w:rPr>
                <w:rFonts w:cs="Calibri"/>
              </w:rPr>
            </w:pPr>
            <w:r w:rsidRPr="009E06AA">
              <w:rPr>
                <w:rFonts w:cs="Calibri"/>
              </w:rPr>
              <w:t>Dairy cattle urine</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2326805E" w14:textId="77777777" w:rsidR="007523B8" w:rsidRPr="009E06AA" w:rsidRDefault="007523B8" w:rsidP="007E03CB">
            <w:pPr>
              <w:pStyle w:val="TableText"/>
              <w:spacing w:before="40" w:after="40"/>
              <w:jc w:val="right"/>
              <w:rPr>
                <w:rFonts w:asciiTheme="minorHAnsi" w:hAnsiTheme="minorHAnsi" w:cstheme="minorHAnsi"/>
              </w:rPr>
            </w:pPr>
            <w:r w:rsidRPr="009E06AA">
              <w:rPr>
                <w:rFonts w:asciiTheme="minorHAnsi" w:hAnsiTheme="minorHAnsi" w:cstheme="minorHAnsi"/>
                <w:szCs w:val="16"/>
              </w:rPr>
              <w:t>341 (57)</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171755B1" w14:textId="77777777" w:rsidR="007523B8" w:rsidRPr="009E06AA" w:rsidRDefault="007523B8" w:rsidP="007E03CB">
            <w:pPr>
              <w:pStyle w:val="TableText"/>
              <w:spacing w:before="40" w:after="40"/>
              <w:jc w:val="right"/>
              <w:rPr>
                <w:rFonts w:asciiTheme="minorHAnsi" w:hAnsiTheme="minorHAnsi" w:cstheme="minorHAnsi"/>
              </w:rPr>
            </w:pPr>
            <w:r w:rsidRPr="009E06AA">
              <w:rPr>
                <w:rFonts w:asciiTheme="minorHAnsi" w:hAnsiTheme="minorHAnsi" w:cstheme="minorHAnsi"/>
                <w:szCs w:val="16"/>
              </w:rPr>
              <w:t>108 (22)</w:t>
            </w:r>
          </w:p>
        </w:tc>
        <w:tc>
          <w:tcPr>
            <w:tcW w:w="1303" w:type="dxa"/>
            <w:tcBorders>
              <w:top w:val="single" w:sz="4" w:space="0" w:color="1B556B" w:themeColor="text2"/>
              <w:left w:val="nil"/>
              <w:bottom w:val="single" w:sz="4" w:space="0" w:color="1B556B" w:themeColor="text2"/>
              <w:right w:val="nil"/>
            </w:tcBorders>
            <w:shd w:val="clear" w:color="auto" w:fill="auto"/>
            <w:vAlign w:val="center"/>
          </w:tcPr>
          <w:p w14:paraId="753F1BF9" w14:textId="77777777" w:rsidR="007523B8" w:rsidRPr="009E06AA" w:rsidRDefault="007523B8" w:rsidP="007E03CB">
            <w:pPr>
              <w:pStyle w:val="TableText"/>
              <w:spacing w:before="40" w:after="40"/>
              <w:jc w:val="right"/>
              <w:rPr>
                <w:rFonts w:asciiTheme="minorHAnsi" w:hAnsiTheme="minorHAnsi" w:cstheme="minorHAnsi"/>
              </w:rPr>
            </w:pPr>
            <w:r w:rsidRPr="009E06AA">
              <w:rPr>
                <w:rFonts w:asciiTheme="minorHAnsi" w:hAnsiTheme="minorHAnsi" w:cstheme="minorHAnsi"/>
                <w:szCs w:val="16"/>
              </w:rPr>
              <w:t>20 (4)</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112113E6" w14:textId="77777777" w:rsidR="007523B8" w:rsidRPr="009E06AA" w:rsidRDefault="007523B8" w:rsidP="007E03CB">
            <w:pPr>
              <w:pStyle w:val="TableText"/>
              <w:spacing w:before="40" w:after="40"/>
              <w:jc w:val="right"/>
              <w:rPr>
                <w:rFonts w:asciiTheme="minorHAnsi" w:hAnsiTheme="minorHAnsi" w:cstheme="minorHAnsi"/>
              </w:rPr>
            </w:pP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3D051C85" w14:textId="77777777" w:rsidR="007523B8" w:rsidRPr="009E06AA" w:rsidRDefault="007523B8" w:rsidP="007E03CB">
            <w:pPr>
              <w:pStyle w:val="TableText"/>
              <w:spacing w:before="40" w:after="40"/>
              <w:jc w:val="right"/>
              <w:rPr>
                <w:rFonts w:asciiTheme="minorHAnsi" w:hAnsiTheme="minorHAnsi" w:cstheme="minorHAnsi"/>
              </w:rPr>
            </w:pPr>
            <w:r w:rsidRPr="009E06AA">
              <w:rPr>
                <w:rFonts w:asciiTheme="minorHAnsi" w:hAnsiTheme="minorHAnsi" w:cstheme="minorHAnsi"/>
                <w:szCs w:val="16"/>
              </w:rPr>
              <w:t>469 (83)</w:t>
            </w:r>
          </w:p>
        </w:tc>
      </w:tr>
      <w:tr w:rsidR="007523B8" w:rsidRPr="009E06AA" w14:paraId="250A6706" w14:textId="77777777" w:rsidTr="00B55F24">
        <w:tc>
          <w:tcPr>
            <w:tcW w:w="2206" w:type="dxa"/>
            <w:tcBorders>
              <w:top w:val="single" w:sz="4" w:space="0" w:color="1B556B" w:themeColor="text2"/>
              <w:left w:val="nil"/>
              <w:bottom w:val="single" w:sz="4" w:space="0" w:color="1B556B" w:themeColor="text2"/>
              <w:right w:val="nil"/>
            </w:tcBorders>
            <w:shd w:val="clear" w:color="auto" w:fill="auto"/>
          </w:tcPr>
          <w:p w14:paraId="679985D9" w14:textId="77777777" w:rsidR="007523B8" w:rsidRPr="009E06AA" w:rsidRDefault="007523B8" w:rsidP="00B55F24">
            <w:pPr>
              <w:pStyle w:val="TableText"/>
              <w:spacing w:before="40" w:after="40"/>
              <w:rPr>
                <w:rFonts w:cs="Calibri"/>
              </w:rPr>
            </w:pPr>
            <w:r w:rsidRPr="009E06AA">
              <w:rPr>
                <w:rFonts w:cs="Calibri"/>
              </w:rPr>
              <w:t>Dairy cattle dung</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07B0B226" w14:textId="77777777" w:rsidR="007523B8" w:rsidRPr="009E06AA" w:rsidRDefault="007523B8" w:rsidP="007E03CB">
            <w:pPr>
              <w:pStyle w:val="TableText"/>
              <w:spacing w:before="40" w:after="40"/>
              <w:jc w:val="right"/>
              <w:rPr>
                <w:rFonts w:asciiTheme="minorHAnsi" w:hAnsiTheme="minorHAnsi" w:cstheme="minorHAnsi"/>
              </w:rPr>
            </w:pPr>
            <w:r w:rsidRPr="009E06AA">
              <w:rPr>
                <w:rFonts w:asciiTheme="minorHAnsi" w:hAnsiTheme="minorHAnsi" w:cstheme="minorHAnsi"/>
                <w:szCs w:val="16"/>
              </w:rPr>
              <w:t>84 (19)</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20AF06E4" w14:textId="77777777" w:rsidR="007523B8" w:rsidRPr="009E06AA" w:rsidRDefault="007523B8" w:rsidP="007E03CB">
            <w:pPr>
              <w:pStyle w:val="TableText"/>
              <w:spacing w:before="40" w:after="40"/>
              <w:jc w:val="right"/>
              <w:rPr>
                <w:rFonts w:asciiTheme="minorHAnsi" w:hAnsiTheme="minorHAnsi" w:cstheme="minorHAnsi"/>
              </w:rPr>
            </w:pPr>
            <w:r w:rsidRPr="009E06AA">
              <w:rPr>
                <w:rFonts w:asciiTheme="minorHAnsi" w:hAnsiTheme="minorHAnsi" w:cstheme="minorHAnsi"/>
                <w:szCs w:val="16"/>
              </w:rPr>
              <w:t>46 (9)</w:t>
            </w:r>
          </w:p>
        </w:tc>
        <w:tc>
          <w:tcPr>
            <w:tcW w:w="1303" w:type="dxa"/>
            <w:tcBorders>
              <w:top w:val="single" w:sz="4" w:space="0" w:color="1B556B" w:themeColor="text2"/>
              <w:left w:val="nil"/>
              <w:bottom w:val="single" w:sz="4" w:space="0" w:color="1B556B" w:themeColor="text2"/>
              <w:right w:val="nil"/>
            </w:tcBorders>
            <w:shd w:val="clear" w:color="auto" w:fill="auto"/>
            <w:vAlign w:val="center"/>
          </w:tcPr>
          <w:p w14:paraId="75A81D4F" w14:textId="77777777" w:rsidR="007523B8" w:rsidRPr="009E06AA" w:rsidRDefault="007523B8" w:rsidP="007E03CB">
            <w:pPr>
              <w:pStyle w:val="TableText"/>
              <w:spacing w:before="40" w:after="40"/>
              <w:jc w:val="right"/>
              <w:rPr>
                <w:rFonts w:asciiTheme="minorHAnsi" w:hAnsiTheme="minorHAnsi" w:cstheme="minorHAnsi"/>
              </w:rPr>
            </w:pPr>
            <w:r w:rsidRPr="009E06AA">
              <w:rPr>
                <w:rFonts w:asciiTheme="minorHAnsi" w:hAnsiTheme="minorHAnsi" w:cstheme="minorHAnsi"/>
                <w:szCs w:val="16"/>
              </w:rPr>
              <w:t>20 (4)</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4D7960A6" w14:textId="77777777" w:rsidR="007523B8" w:rsidRPr="009E06AA" w:rsidRDefault="007523B8" w:rsidP="007E03CB">
            <w:pPr>
              <w:pStyle w:val="TableText"/>
              <w:spacing w:before="40" w:after="40"/>
              <w:jc w:val="right"/>
              <w:rPr>
                <w:rFonts w:asciiTheme="minorHAnsi" w:hAnsiTheme="minorHAnsi" w:cstheme="minorHAnsi"/>
              </w:rPr>
            </w:pP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447DB15F" w14:textId="77777777" w:rsidR="007523B8" w:rsidRPr="009E06AA" w:rsidRDefault="007523B8" w:rsidP="007E03CB">
            <w:pPr>
              <w:pStyle w:val="TableText"/>
              <w:spacing w:before="40" w:after="40"/>
              <w:jc w:val="right"/>
              <w:rPr>
                <w:rFonts w:asciiTheme="minorHAnsi" w:hAnsiTheme="minorHAnsi" w:cstheme="minorHAnsi"/>
              </w:rPr>
            </w:pPr>
            <w:r w:rsidRPr="009E06AA">
              <w:rPr>
                <w:rFonts w:asciiTheme="minorHAnsi" w:hAnsiTheme="minorHAnsi" w:cstheme="minorHAnsi"/>
                <w:szCs w:val="16"/>
              </w:rPr>
              <w:t>150 (32)</w:t>
            </w:r>
          </w:p>
        </w:tc>
      </w:tr>
      <w:tr w:rsidR="007523B8" w:rsidRPr="009E06AA" w14:paraId="0D733306" w14:textId="77777777" w:rsidTr="00B55F24">
        <w:tc>
          <w:tcPr>
            <w:tcW w:w="2206" w:type="dxa"/>
            <w:tcBorders>
              <w:top w:val="single" w:sz="4" w:space="0" w:color="1B556B" w:themeColor="text2"/>
              <w:left w:val="nil"/>
              <w:bottom w:val="single" w:sz="4" w:space="0" w:color="1B556B" w:themeColor="text2"/>
              <w:right w:val="nil"/>
            </w:tcBorders>
            <w:shd w:val="clear" w:color="auto" w:fill="auto"/>
          </w:tcPr>
          <w:p w14:paraId="1B1F1F08" w14:textId="77777777" w:rsidR="007523B8" w:rsidRPr="009E06AA" w:rsidRDefault="007523B8" w:rsidP="00B55F24">
            <w:pPr>
              <w:pStyle w:val="TableText"/>
              <w:spacing w:before="40" w:after="40"/>
              <w:rPr>
                <w:rFonts w:cs="Calibri"/>
              </w:rPr>
            </w:pPr>
            <w:r w:rsidRPr="009E06AA">
              <w:rPr>
                <w:rFonts w:cs="Calibri"/>
              </w:rPr>
              <w:t>Non-dairy cattle urine</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13F6452F" w14:textId="77777777" w:rsidR="007523B8" w:rsidRPr="009E06AA" w:rsidRDefault="007523B8" w:rsidP="007E03CB">
            <w:pPr>
              <w:pStyle w:val="TableText"/>
              <w:spacing w:before="40" w:after="40"/>
              <w:jc w:val="right"/>
              <w:rPr>
                <w:rFonts w:asciiTheme="minorHAnsi" w:hAnsiTheme="minorHAnsi" w:cstheme="minorHAnsi"/>
              </w:rPr>
            </w:pPr>
            <w:r w:rsidRPr="009E06AA">
              <w:rPr>
                <w:rFonts w:asciiTheme="minorHAnsi" w:hAnsiTheme="minorHAnsi" w:cstheme="minorHAnsi"/>
                <w:szCs w:val="16"/>
              </w:rPr>
              <w:t>8 (1)</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69C8D64B" w14:textId="77777777" w:rsidR="007523B8" w:rsidRPr="009E06AA" w:rsidRDefault="007523B8" w:rsidP="007E03CB">
            <w:pPr>
              <w:pStyle w:val="TableText"/>
              <w:spacing w:before="40" w:after="40"/>
              <w:jc w:val="right"/>
              <w:rPr>
                <w:rFonts w:asciiTheme="minorHAnsi" w:hAnsiTheme="minorHAnsi" w:cstheme="minorHAnsi"/>
              </w:rPr>
            </w:pPr>
            <w:r w:rsidRPr="009E06AA">
              <w:rPr>
                <w:rFonts w:asciiTheme="minorHAnsi" w:hAnsiTheme="minorHAnsi" w:cstheme="minorHAnsi"/>
                <w:szCs w:val="16"/>
              </w:rPr>
              <w:t>40 (8)</w:t>
            </w:r>
          </w:p>
        </w:tc>
        <w:tc>
          <w:tcPr>
            <w:tcW w:w="1303" w:type="dxa"/>
            <w:tcBorders>
              <w:top w:val="single" w:sz="4" w:space="0" w:color="1B556B" w:themeColor="text2"/>
              <w:left w:val="nil"/>
              <w:bottom w:val="single" w:sz="4" w:space="0" w:color="1B556B" w:themeColor="text2"/>
              <w:right w:val="nil"/>
            </w:tcBorders>
            <w:shd w:val="clear" w:color="auto" w:fill="auto"/>
            <w:vAlign w:val="center"/>
          </w:tcPr>
          <w:p w14:paraId="58D1DA41" w14:textId="77777777" w:rsidR="007523B8" w:rsidRPr="009E06AA" w:rsidRDefault="007523B8" w:rsidP="007E03CB">
            <w:pPr>
              <w:pStyle w:val="TableText"/>
              <w:spacing w:before="40" w:after="40"/>
              <w:jc w:val="right"/>
              <w:rPr>
                <w:rFonts w:asciiTheme="minorHAnsi" w:hAnsiTheme="minorHAnsi" w:cstheme="minorHAnsi"/>
              </w:rPr>
            </w:pPr>
            <w:r w:rsidRPr="009E06AA">
              <w:rPr>
                <w:rFonts w:asciiTheme="minorHAnsi" w:hAnsiTheme="minorHAnsi" w:cstheme="minorHAnsi"/>
                <w:szCs w:val="16"/>
              </w:rPr>
              <w:t>60 (12)</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05AED5BF" w14:textId="77777777" w:rsidR="007523B8" w:rsidRPr="009E06AA" w:rsidRDefault="007523B8" w:rsidP="007E03CB">
            <w:pPr>
              <w:pStyle w:val="TableText"/>
              <w:spacing w:before="40" w:after="40"/>
              <w:jc w:val="right"/>
              <w:rPr>
                <w:rFonts w:asciiTheme="minorHAnsi" w:hAnsiTheme="minorHAnsi" w:cstheme="minorHAnsi"/>
              </w:rPr>
            </w:pPr>
            <w:r w:rsidRPr="009E06AA">
              <w:rPr>
                <w:rFonts w:asciiTheme="minorHAnsi" w:hAnsiTheme="minorHAnsi" w:cstheme="minorHAnsi"/>
                <w:szCs w:val="16"/>
              </w:rPr>
              <w:t>20 (4)</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1F4AA39B" w14:textId="77777777" w:rsidR="007523B8" w:rsidRPr="009E06AA" w:rsidRDefault="007523B8" w:rsidP="007E03CB">
            <w:pPr>
              <w:pStyle w:val="TableText"/>
              <w:spacing w:before="40" w:after="40"/>
              <w:jc w:val="right"/>
              <w:rPr>
                <w:rFonts w:asciiTheme="minorHAnsi" w:hAnsiTheme="minorHAnsi" w:cstheme="minorHAnsi"/>
              </w:rPr>
            </w:pPr>
            <w:r w:rsidRPr="009E06AA">
              <w:rPr>
                <w:rFonts w:asciiTheme="minorHAnsi" w:hAnsiTheme="minorHAnsi" w:cstheme="minorHAnsi"/>
                <w:szCs w:val="16"/>
              </w:rPr>
              <w:t>128 (25)</w:t>
            </w:r>
          </w:p>
        </w:tc>
      </w:tr>
      <w:tr w:rsidR="007523B8" w:rsidRPr="009E06AA" w14:paraId="47DE9049" w14:textId="77777777" w:rsidTr="00B55F24">
        <w:tc>
          <w:tcPr>
            <w:tcW w:w="2206" w:type="dxa"/>
            <w:tcBorders>
              <w:top w:val="single" w:sz="4" w:space="0" w:color="1B556B" w:themeColor="text2"/>
              <w:left w:val="nil"/>
              <w:bottom w:val="single" w:sz="4" w:space="0" w:color="1B556B" w:themeColor="text2"/>
              <w:right w:val="nil"/>
            </w:tcBorders>
            <w:shd w:val="clear" w:color="auto" w:fill="auto"/>
          </w:tcPr>
          <w:p w14:paraId="17792C1F" w14:textId="77777777" w:rsidR="007523B8" w:rsidRPr="009E06AA" w:rsidRDefault="007523B8" w:rsidP="00B55F24">
            <w:pPr>
              <w:pStyle w:val="TableText"/>
              <w:spacing w:before="40" w:after="40"/>
              <w:rPr>
                <w:rFonts w:cs="Calibri"/>
              </w:rPr>
            </w:pPr>
            <w:r w:rsidRPr="009E06AA">
              <w:rPr>
                <w:rFonts w:cs="Calibri"/>
              </w:rPr>
              <w:t>Non-dairy cattle dung</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1E9E6AEB" w14:textId="77777777" w:rsidR="007523B8" w:rsidRPr="009E06AA" w:rsidRDefault="007523B8" w:rsidP="007E03CB">
            <w:pPr>
              <w:pStyle w:val="TableText"/>
              <w:spacing w:before="40" w:after="40"/>
              <w:jc w:val="right"/>
              <w:rPr>
                <w:rFonts w:asciiTheme="minorHAnsi" w:hAnsiTheme="minorHAnsi" w:cstheme="minorHAnsi"/>
              </w:rPr>
            </w:pP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3E78820D" w14:textId="77777777" w:rsidR="007523B8" w:rsidRPr="009E06AA" w:rsidRDefault="007523B8" w:rsidP="007E03CB">
            <w:pPr>
              <w:pStyle w:val="TableText"/>
              <w:spacing w:before="40" w:after="40"/>
              <w:jc w:val="right"/>
              <w:rPr>
                <w:rFonts w:asciiTheme="minorHAnsi" w:hAnsiTheme="minorHAnsi" w:cstheme="minorHAnsi"/>
              </w:rPr>
            </w:pPr>
            <w:r w:rsidRPr="009E06AA">
              <w:rPr>
                <w:rFonts w:asciiTheme="minorHAnsi" w:hAnsiTheme="minorHAnsi" w:cstheme="minorHAnsi"/>
                <w:szCs w:val="16"/>
              </w:rPr>
              <w:t>76 (16)</w:t>
            </w:r>
          </w:p>
        </w:tc>
        <w:tc>
          <w:tcPr>
            <w:tcW w:w="1303" w:type="dxa"/>
            <w:tcBorders>
              <w:top w:val="single" w:sz="4" w:space="0" w:color="1B556B" w:themeColor="text2"/>
              <w:left w:val="nil"/>
              <w:bottom w:val="single" w:sz="4" w:space="0" w:color="1B556B" w:themeColor="text2"/>
              <w:right w:val="nil"/>
            </w:tcBorders>
            <w:shd w:val="clear" w:color="auto" w:fill="auto"/>
            <w:vAlign w:val="center"/>
          </w:tcPr>
          <w:p w14:paraId="30220DE8" w14:textId="77777777" w:rsidR="007523B8" w:rsidRPr="009E06AA" w:rsidRDefault="007523B8" w:rsidP="007E03CB">
            <w:pPr>
              <w:pStyle w:val="TableText"/>
              <w:spacing w:before="40" w:after="40"/>
              <w:jc w:val="right"/>
              <w:rPr>
                <w:rFonts w:asciiTheme="minorHAnsi" w:hAnsiTheme="minorHAnsi" w:cstheme="minorHAnsi"/>
              </w:rPr>
            </w:pPr>
            <w:r w:rsidRPr="009E06AA">
              <w:rPr>
                <w:rFonts w:asciiTheme="minorHAnsi" w:hAnsiTheme="minorHAnsi" w:cstheme="minorHAnsi"/>
                <w:szCs w:val="16"/>
              </w:rPr>
              <w:t>60 (12)</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257C4750" w14:textId="77777777" w:rsidR="007523B8" w:rsidRPr="009E06AA" w:rsidRDefault="007523B8" w:rsidP="007E03CB">
            <w:pPr>
              <w:pStyle w:val="TableText"/>
              <w:spacing w:before="40" w:after="40"/>
              <w:jc w:val="right"/>
              <w:rPr>
                <w:rFonts w:asciiTheme="minorHAnsi" w:hAnsiTheme="minorHAnsi" w:cstheme="minorHAnsi"/>
              </w:rPr>
            </w:pPr>
            <w:r w:rsidRPr="009E06AA">
              <w:rPr>
                <w:rFonts w:asciiTheme="minorHAnsi" w:hAnsiTheme="minorHAnsi" w:cstheme="minorHAnsi"/>
                <w:szCs w:val="16"/>
              </w:rPr>
              <w:t>20 (4)</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2BC88D39" w14:textId="77777777" w:rsidR="007523B8" w:rsidRPr="009E06AA" w:rsidRDefault="007523B8" w:rsidP="007E03CB">
            <w:pPr>
              <w:pStyle w:val="TableText"/>
              <w:spacing w:before="40" w:after="40"/>
              <w:jc w:val="right"/>
              <w:rPr>
                <w:rFonts w:asciiTheme="minorHAnsi" w:hAnsiTheme="minorHAnsi" w:cstheme="minorHAnsi"/>
              </w:rPr>
            </w:pPr>
            <w:r w:rsidRPr="009E06AA">
              <w:rPr>
                <w:rFonts w:asciiTheme="minorHAnsi" w:hAnsiTheme="minorHAnsi" w:cstheme="minorHAnsi"/>
                <w:szCs w:val="16"/>
              </w:rPr>
              <w:t>156 (32)</w:t>
            </w:r>
          </w:p>
        </w:tc>
      </w:tr>
      <w:tr w:rsidR="007523B8" w:rsidRPr="009E06AA" w14:paraId="3DFABE80" w14:textId="77777777" w:rsidTr="00B55F24">
        <w:tc>
          <w:tcPr>
            <w:tcW w:w="2206" w:type="dxa"/>
            <w:tcBorders>
              <w:top w:val="single" w:sz="4" w:space="0" w:color="1B556B" w:themeColor="text2"/>
              <w:left w:val="nil"/>
              <w:bottom w:val="single" w:sz="4" w:space="0" w:color="1B556B" w:themeColor="text2"/>
              <w:right w:val="nil"/>
            </w:tcBorders>
            <w:shd w:val="clear" w:color="auto" w:fill="auto"/>
          </w:tcPr>
          <w:p w14:paraId="40520C6C" w14:textId="77777777" w:rsidR="007523B8" w:rsidRPr="009E06AA" w:rsidRDefault="007523B8" w:rsidP="00B55F24">
            <w:pPr>
              <w:pStyle w:val="TableText"/>
              <w:spacing w:before="40" w:after="40"/>
              <w:rPr>
                <w:rFonts w:cs="Calibri"/>
              </w:rPr>
            </w:pPr>
            <w:r w:rsidRPr="009E06AA">
              <w:rPr>
                <w:rFonts w:cs="Calibri"/>
              </w:rPr>
              <w:t>Sheep urine</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26B36526" w14:textId="77777777" w:rsidR="007523B8" w:rsidRPr="009E06AA" w:rsidRDefault="007523B8" w:rsidP="007E03CB">
            <w:pPr>
              <w:pStyle w:val="TableText"/>
              <w:spacing w:before="40" w:after="40"/>
              <w:jc w:val="right"/>
              <w:rPr>
                <w:rFonts w:asciiTheme="minorHAnsi" w:hAnsiTheme="minorHAnsi" w:cstheme="minorHAnsi"/>
              </w:rPr>
            </w:pPr>
            <w:r w:rsidRPr="009E06AA">
              <w:rPr>
                <w:rFonts w:asciiTheme="minorHAnsi" w:hAnsiTheme="minorHAnsi" w:cstheme="minorHAnsi"/>
                <w:szCs w:val="16"/>
              </w:rPr>
              <w:t>40 (7)</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4B3C3B72" w14:textId="77777777" w:rsidR="007523B8" w:rsidRPr="009E06AA" w:rsidRDefault="007523B8" w:rsidP="007E03CB">
            <w:pPr>
              <w:pStyle w:val="TableText"/>
              <w:spacing w:before="40" w:after="40"/>
              <w:jc w:val="right"/>
              <w:rPr>
                <w:rFonts w:asciiTheme="minorHAnsi" w:hAnsiTheme="minorHAnsi" w:cstheme="minorHAnsi"/>
              </w:rPr>
            </w:pPr>
            <w:r w:rsidRPr="009E06AA">
              <w:rPr>
                <w:rFonts w:asciiTheme="minorHAnsi" w:hAnsiTheme="minorHAnsi" w:cstheme="minorHAnsi"/>
                <w:szCs w:val="16"/>
              </w:rPr>
              <w:t>64 (12)</w:t>
            </w:r>
          </w:p>
        </w:tc>
        <w:tc>
          <w:tcPr>
            <w:tcW w:w="1303" w:type="dxa"/>
            <w:tcBorders>
              <w:top w:val="single" w:sz="4" w:space="0" w:color="1B556B" w:themeColor="text2"/>
              <w:left w:val="nil"/>
              <w:bottom w:val="single" w:sz="4" w:space="0" w:color="1B556B" w:themeColor="text2"/>
              <w:right w:val="nil"/>
            </w:tcBorders>
            <w:shd w:val="clear" w:color="auto" w:fill="auto"/>
            <w:vAlign w:val="center"/>
          </w:tcPr>
          <w:p w14:paraId="60C159AE" w14:textId="77777777" w:rsidR="007523B8" w:rsidRPr="009E06AA" w:rsidRDefault="007523B8" w:rsidP="007E03CB">
            <w:pPr>
              <w:pStyle w:val="TableText"/>
              <w:spacing w:before="40" w:after="40"/>
              <w:jc w:val="right"/>
              <w:rPr>
                <w:rFonts w:asciiTheme="minorHAnsi" w:hAnsiTheme="minorHAnsi" w:cstheme="minorHAnsi"/>
              </w:rPr>
            </w:pPr>
            <w:r w:rsidRPr="009E06AA">
              <w:rPr>
                <w:rFonts w:asciiTheme="minorHAnsi" w:hAnsiTheme="minorHAnsi" w:cstheme="minorHAnsi"/>
                <w:szCs w:val="16"/>
              </w:rPr>
              <w:t>60 (12)</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749A5D2C" w14:textId="77777777" w:rsidR="007523B8" w:rsidRPr="009E06AA" w:rsidRDefault="007523B8" w:rsidP="007E03CB">
            <w:pPr>
              <w:pStyle w:val="TableText"/>
              <w:spacing w:before="40" w:after="40"/>
              <w:jc w:val="right"/>
              <w:rPr>
                <w:rFonts w:asciiTheme="minorHAnsi" w:hAnsiTheme="minorHAnsi" w:cstheme="minorHAnsi"/>
              </w:rPr>
            </w:pPr>
            <w:r w:rsidRPr="009E06AA">
              <w:rPr>
                <w:rFonts w:asciiTheme="minorHAnsi" w:hAnsiTheme="minorHAnsi" w:cstheme="minorHAnsi"/>
                <w:szCs w:val="16"/>
              </w:rPr>
              <w:t>20 (4)</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60F54F94" w14:textId="77777777" w:rsidR="007523B8" w:rsidRPr="009E06AA" w:rsidRDefault="007523B8" w:rsidP="007E03CB">
            <w:pPr>
              <w:pStyle w:val="TableText"/>
              <w:spacing w:before="40" w:after="40"/>
              <w:jc w:val="right"/>
              <w:rPr>
                <w:rFonts w:asciiTheme="minorHAnsi" w:hAnsiTheme="minorHAnsi" w:cstheme="minorHAnsi"/>
              </w:rPr>
            </w:pPr>
            <w:r w:rsidRPr="009E06AA">
              <w:rPr>
                <w:rFonts w:asciiTheme="minorHAnsi" w:hAnsiTheme="minorHAnsi" w:cstheme="minorHAnsi"/>
                <w:szCs w:val="16"/>
              </w:rPr>
              <w:t>184 (35)</w:t>
            </w:r>
          </w:p>
        </w:tc>
      </w:tr>
      <w:tr w:rsidR="007523B8" w:rsidRPr="009E06AA" w14:paraId="2EC67120" w14:textId="77777777" w:rsidTr="00B55F24">
        <w:tc>
          <w:tcPr>
            <w:tcW w:w="2206" w:type="dxa"/>
            <w:tcBorders>
              <w:top w:val="single" w:sz="4" w:space="0" w:color="1B556B" w:themeColor="text2"/>
              <w:left w:val="nil"/>
              <w:bottom w:val="single" w:sz="4" w:space="0" w:color="1B556B" w:themeColor="text2"/>
              <w:right w:val="nil"/>
            </w:tcBorders>
            <w:shd w:val="clear" w:color="auto" w:fill="auto"/>
          </w:tcPr>
          <w:p w14:paraId="576B1741" w14:textId="77777777" w:rsidR="007523B8" w:rsidRPr="009E06AA" w:rsidRDefault="007523B8" w:rsidP="00B55F24">
            <w:pPr>
              <w:pStyle w:val="TableText"/>
              <w:spacing w:before="40" w:after="40"/>
              <w:rPr>
                <w:rFonts w:cs="Calibri"/>
              </w:rPr>
            </w:pPr>
            <w:r w:rsidRPr="009E06AA">
              <w:rPr>
                <w:rFonts w:cs="Calibri"/>
              </w:rPr>
              <w:t>Sheep dung</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426801E3" w14:textId="77777777" w:rsidR="007523B8" w:rsidRPr="009E06AA" w:rsidRDefault="007523B8" w:rsidP="007E03CB">
            <w:pPr>
              <w:pStyle w:val="TableText"/>
              <w:spacing w:before="40" w:after="40"/>
              <w:jc w:val="right"/>
              <w:rPr>
                <w:rFonts w:asciiTheme="minorHAnsi" w:hAnsiTheme="minorHAnsi" w:cstheme="minorHAnsi"/>
              </w:rPr>
            </w:pPr>
            <w:r w:rsidRPr="009E06AA">
              <w:rPr>
                <w:rFonts w:asciiTheme="minorHAnsi" w:hAnsiTheme="minorHAnsi" w:cstheme="minorHAnsi"/>
                <w:szCs w:val="16"/>
              </w:rPr>
              <w:t>54 (13)</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2B1D432C" w14:textId="77777777" w:rsidR="007523B8" w:rsidRPr="009E06AA" w:rsidRDefault="007523B8" w:rsidP="007E03CB">
            <w:pPr>
              <w:pStyle w:val="TableText"/>
              <w:spacing w:before="40" w:after="40"/>
              <w:jc w:val="right"/>
              <w:rPr>
                <w:rFonts w:asciiTheme="minorHAnsi" w:hAnsiTheme="minorHAnsi" w:cstheme="minorHAnsi"/>
              </w:rPr>
            </w:pPr>
            <w:r w:rsidRPr="009E06AA">
              <w:rPr>
                <w:rFonts w:asciiTheme="minorHAnsi" w:hAnsiTheme="minorHAnsi" w:cstheme="minorHAnsi"/>
                <w:szCs w:val="16"/>
              </w:rPr>
              <w:t>36 (8)</w:t>
            </w:r>
          </w:p>
        </w:tc>
        <w:tc>
          <w:tcPr>
            <w:tcW w:w="1303" w:type="dxa"/>
            <w:tcBorders>
              <w:top w:val="single" w:sz="4" w:space="0" w:color="1B556B" w:themeColor="text2"/>
              <w:left w:val="nil"/>
              <w:bottom w:val="single" w:sz="4" w:space="0" w:color="1B556B" w:themeColor="text2"/>
              <w:right w:val="nil"/>
            </w:tcBorders>
            <w:shd w:val="clear" w:color="auto" w:fill="auto"/>
            <w:vAlign w:val="center"/>
          </w:tcPr>
          <w:p w14:paraId="1CA6C36E" w14:textId="77777777" w:rsidR="007523B8" w:rsidRPr="009E06AA" w:rsidRDefault="007523B8" w:rsidP="007E03CB">
            <w:pPr>
              <w:pStyle w:val="TableText"/>
              <w:spacing w:before="40" w:after="40"/>
              <w:jc w:val="right"/>
              <w:rPr>
                <w:rFonts w:asciiTheme="minorHAnsi" w:hAnsiTheme="minorHAnsi" w:cstheme="minorHAnsi"/>
              </w:rPr>
            </w:pPr>
            <w:r w:rsidRPr="009E06AA">
              <w:rPr>
                <w:rFonts w:asciiTheme="minorHAnsi" w:hAnsiTheme="minorHAnsi" w:cstheme="minorHAnsi"/>
                <w:szCs w:val="16"/>
              </w:rPr>
              <w:t>20 (4)</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44A421A3" w14:textId="77777777" w:rsidR="007523B8" w:rsidRPr="009E06AA" w:rsidRDefault="007523B8" w:rsidP="007E03CB">
            <w:pPr>
              <w:pStyle w:val="TableText"/>
              <w:spacing w:before="40" w:after="40"/>
              <w:jc w:val="right"/>
              <w:rPr>
                <w:rFonts w:asciiTheme="minorHAnsi" w:hAnsiTheme="minorHAnsi" w:cstheme="minorHAnsi"/>
              </w:rPr>
            </w:pPr>
            <w:r w:rsidRPr="009E06AA">
              <w:rPr>
                <w:rFonts w:asciiTheme="minorHAnsi" w:hAnsiTheme="minorHAnsi" w:cstheme="minorHAnsi"/>
                <w:szCs w:val="16"/>
              </w:rPr>
              <w:t>20 (4)</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67AB3969" w14:textId="77777777" w:rsidR="007523B8" w:rsidRPr="009E06AA" w:rsidRDefault="007523B8" w:rsidP="007E03CB">
            <w:pPr>
              <w:pStyle w:val="TableText"/>
              <w:spacing w:before="40" w:after="40"/>
              <w:jc w:val="right"/>
              <w:rPr>
                <w:rFonts w:asciiTheme="minorHAnsi" w:hAnsiTheme="minorHAnsi" w:cstheme="minorHAnsi"/>
              </w:rPr>
            </w:pPr>
            <w:r w:rsidRPr="009E06AA">
              <w:rPr>
                <w:rFonts w:asciiTheme="minorHAnsi" w:hAnsiTheme="minorHAnsi" w:cstheme="minorHAnsi"/>
                <w:szCs w:val="16"/>
              </w:rPr>
              <w:t>130 (29)</w:t>
            </w:r>
          </w:p>
        </w:tc>
      </w:tr>
      <w:tr w:rsidR="007523B8" w:rsidRPr="009E06AA" w14:paraId="7982E9EF" w14:textId="77777777" w:rsidTr="00B55F24">
        <w:tc>
          <w:tcPr>
            <w:tcW w:w="2206" w:type="dxa"/>
            <w:tcBorders>
              <w:top w:val="single" w:sz="4" w:space="0" w:color="1B556B" w:themeColor="text2"/>
              <w:left w:val="nil"/>
              <w:bottom w:val="single" w:sz="4" w:space="0" w:color="1B556B" w:themeColor="text2"/>
              <w:right w:val="nil"/>
            </w:tcBorders>
            <w:shd w:val="clear" w:color="auto" w:fill="auto"/>
          </w:tcPr>
          <w:p w14:paraId="0DEE9565" w14:textId="77777777" w:rsidR="007523B8" w:rsidRPr="009E06AA" w:rsidRDefault="007523B8" w:rsidP="00B55F24">
            <w:pPr>
              <w:pStyle w:val="Tableboldblue"/>
              <w:spacing w:before="40" w:after="40"/>
              <w:rPr>
                <w:rFonts w:cs="Calibri"/>
                <w:color w:val="1B556B"/>
              </w:rPr>
            </w:pPr>
            <w:r w:rsidRPr="009E06AA">
              <w:rPr>
                <w:rFonts w:cs="Calibri"/>
                <w:color w:val="1B556B"/>
              </w:rPr>
              <w:t>Total urine</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14E60315" w14:textId="77777777" w:rsidR="007523B8" w:rsidRPr="009E06AA" w:rsidRDefault="007523B8" w:rsidP="007E03CB">
            <w:pPr>
              <w:pStyle w:val="Tableboldblue"/>
              <w:spacing w:before="40" w:after="40"/>
              <w:jc w:val="right"/>
              <w:rPr>
                <w:rFonts w:cs="Calibri"/>
                <w:color w:val="1B556B"/>
              </w:rPr>
            </w:pPr>
            <w:r w:rsidRPr="009E06AA">
              <w:rPr>
                <w:rFonts w:cs="Calibri"/>
                <w:color w:val="1B556B"/>
              </w:rPr>
              <w:t>389 (65)</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571109BB" w14:textId="77777777" w:rsidR="007523B8" w:rsidRPr="009E06AA" w:rsidRDefault="007523B8" w:rsidP="007E03CB">
            <w:pPr>
              <w:pStyle w:val="Tableboldblue"/>
              <w:spacing w:before="40" w:after="40"/>
              <w:jc w:val="right"/>
              <w:rPr>
                <w:rFonts w:cs="Calibri"/>
                <w:color w:val="1B556B"/>
              </w:rPr>
            </w:pPr>
            <w:r w:rsidRPr="009E06AA">
              <w:rPr>
                <w:rFonts w:cs="Calibri"/>
                <w:color w:val="1B556B"/>
              </w:rPr>
              <w:t>212 (42)</w:t>
            </w:r>
          </w:p>
        </w:tc>
        <w:tc>
          <w:tcPr>
            <w:tcW w:w="1303" w:type="dxa"/>
            <w:tcBorders>
              <w:top w:val="single" w:sz="4" w:space="0" w:color="1B556B" w:themeColor="text2"/>
              <w:left w:val="nil"/>
              <w:bottom w:val="single" w:sz="4" w:space="0" w:color="1B556B" w:themeColor="text2"/>
              <w:right w:val="nil"/>
            </w:tcBorders>
            <w:shd w:val="clear" w:color="auto" w:fill="auto"/>
            <w:vAlign w:val="center"/>
          </w:tcPr>
          <w:p w14:paraId="43AF2140" w14:textId="77777777" w:rsidR="007523B8" w:rsidRPr="009E06AA" w:rsidRDefault="007523B8" w:rsidP="007E03CB">
            <w:pPr>
              <w:pStyle w:val="Tableboldblue"/>
              <w:spacing w:before="40" w:after="40"/>
              <w:jc w:val="right"/>
              <w:rPr>
                <w:rFonts w:cs="Calibri"/>
                <w:color w:val="1B556B"/>
              </w:rPr>
            </w:pPr>
            <w:r w:rsidRPr="009E06AA">
              <w:rPr>
                <w:rFonts w:cs="Calibri"/>
                <w:color w:val="1B556B"/>
              </w:rPr>
              <w:t>140 (28)</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309B77AE" w14:textId="77777777" w:rsidR="007523B8" w:rsidRPr="009E06AA" w:rsidRDefault="007523B8" w:rsidP="007E03CB">
            <w:pPr>
              <w:pStyle w:val="Tableboldblue"/>
              <w:spacing w:before="40" w:after="40"/>
              <w:jc w:val="right"/>
              <w:rPr>
                <w:rFonts w:cs="Calibri"/>
                <w:color w:val="1B556B"/>
              </w:rPr>
            </w:pPr>
            <w:r w:rsidRPr="009E06AA">
              <w:rPr>
                <w:rFonts w:cs="Calibri"/>
                <w:color w:val="1B556B"/>
              </w:rPr>
              <w:t>40 (8)</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574B2979" w14:textId="77777777" w:rsidR="007523B8" w:rsidRPr="009E06AA" w:rsidRDefault="007523B8" w:rsidP="007E03CB">
            <w:pPr>
              <w:pStyle w:val="Tableboldblue"/>
              <w:spacing w:before="40" w:after="40"/>
              <w:jc w:val="right"/>
              <w:rPr>
                <w:rFonts w:cs="Calibri"/>
                <w:color w:val="1B556B"/>
              </w:rPr>
            </w:pPr>
            <w:r w:rsidRPr="009E06AA">
              <w:rPr>
                <w:rFonts w:cs="Calibri"/>
                <w:color w:val="1B556B"/>
              </w:rPr>
              <w:t>781 (143)</w:t>
            </w:r>
          </w:p>
        </w:tc>
      </w:tr>
      <w:tr w:rsidR="007523B8" w:rsidRPr="009E06AA" w14:paraId="0C83FAC3" w14:textId="77777777" w:rsidTr="00B55F24">
        <w:tc>
          <w:tcPr>
            <w:tcW w:w="2206" w:type="dxa"/>
            <w:tcBorders>
              <w:top w:val="single" w:sz="4" w:space="0" w:color="1B556B" w:themeColor="text2"/>
              <w:left w:val="nil"/>
              <w:bottom w:val="single" w:sz="4" w:space="0" w:color="1B556B" w:themeColor="text2"/>
              <w:right w:val="nil"/>
            </w:tcBorders>
            <w:shd w:val="clear" w:color="auto" w:fill="auto"/>
          </w:tcPr>
          <w:p w14:paraId="2E557401" w14:textId="77777777" w:rsidR="007523B8" w:rsidRPr="009E06AA" w:rsidRDefault="007523B8" w:rsidP="00B55F24">
            <w:pPr>
              <w:pStyle w:val="Tableboldblue"/>
              <w:spacing w:before="40" w:after="40"/>
              <w:rPr>
                <w:rFonts w:cs="Calibri"/>
                <w:color w:val="1B556B"/>
              </w:rPr>
            </w:pPr>
            <w:r w:rsidRPr="009E06AA">
              <w:rPr>
                <w:rFonts w:cs="Calibri"/>
                <w:color w:val="1B556B"/>
              </w:rPr>
              <w:t>Total dung</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1F501FB5" w14:textId="77777777" w:rsidR="007523B8" w:rsidRPr="009E06AA" w:rsidRDefault="007523B8" w:rsidP="007E03CB">
            <w:pPr>
              <w:pStyle w:val="Tableboldblue"/>
              <w:spacing w:before="40" w:after="40"/>
              <w:jc w:val="right"/>
              <w:rPr>
                <w:rFonts w:cs="Calibri"/>
                <w:color w:val="1B556B"/>
              </w:rPr>
            </w:pPr>
            <w:r w:rsidRPr="009E06AA">
              <w:rPr>
                <w:rFonts w:cs="Calibri"/>
                <w:color w:val="1B556B"/>
              </w:rPr>
              <w:t>138 (32)</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5FDD3852" w14:textId="77777777" w:rsidR="007523B8" w:rsidRPr="009E06AA" w:rsidRDefault="007523B8" w:rsidP="007E03CB">
            <w:pPr>
              <w:pStyle w:val="Tableboldblue"/>
              <w:spacing w:before="40" w:after="40"/>
              <w:jc w:val="right"/>
              <w:rPr>
                <w:rFonts w:cs="Calibri"/>
                <w:color w:val="1B556B"/>
              </w:rPr>
            </w:pPr>
            <w:r w:rsidRPr="009E06AA">
              <w:rPr>
                <w:rFonts w:cs="Calibri"/>
                <w:color w:val="1B556B"/>
              </w:rPr>
              <w:t>158 (33)</w:t>
            </w:r>
          </w:p>
        </w:tc>
        <w:tc>
          <w:tcPr>
            <w:tcW w:w="1303" w:type="dxa"/>
            <w:tcBorders>
              <w:top w:val="single" w:sz="4" w:space="0" w:color="1B556B" w:themeColor="text2"/>
              <w:left w:val="nil"/>
              <w:bottom w:val="single" w:sz="4" w:space="0" w:color="1B556B" w:themeColor="text2"/>
              <w:right w:val="nil"/>
            </w:tcBorders>
            <w:shd w:val="clear" w:color="auto" w:fill="auto"/>
            <w:vAlign w:val="center"/>
          </w:tcPr>
          <w:p w14:paraId="44C68C43" w14:textId="77777777" w:rsidR="007523B8" w:rsidRPr="009E06AA" w:rsidRDefault="007523B8" w:rsidP="007E03CB">
            <w:pPr>
              <w:pStyle w:val="Tableboldblue"/>
              <w:spacing w:before="40" w:after="40"/>
              <w:jc w:val="right"/>
              <w:rPr>
                <w:rFonts w:cs="Calibri"/>
                <w:color w:val="1B556B"/>
              </w:rPr>
            </w:pPr>
            <w:r w:rsidRPr="009E06AA">
              <w:rPr>
                <w:rFonts w:cs="Calibri"/>
                <w:color w:val="1B556B"/>
              </w:rPr>
              <w:t>100 (20)</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0FFFC474" w14:textId="77777777" w:rsidR="007523B8" w:rsidRPr="009E06AA" w:rsidRDefault="007523B8" w:rsidP="007E03CB">
            <w:pPr>
              <w:pStyle w:val="Tableboldblue"/>
              <w:spacing w:before="40" w:after="40"/>
              <w:jc w:val="right"/>
              <w:rPr>
                <w:rFonts w:cs="Calibri"/>
                <w:color w:val="1B556B"/>
              </w:rPr>
            </w:pPr>
            <w:r w:rsidRPr="009E06AA">
              <w:rPr>
                <w:rFonts w:cs="Calibri"/>
                <w:color w:val="1B556B"/>
              </w:rPr>
              <w:t>40 (8)</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62204F02" w14:textId="77777777" w:rsidR="007523B8" w:rsidRPr="009E06AA" w:rsidRDefault="007523B8" w:rsidP="007E03CB">
            <w:pPr>
              <w:pStyle w:val="Tableboldblue"/>
              <w:spacing w:before="40" w:after="40"/>
              <w:jc w:val="right"/>
              <w:rPr>
                <w:rFonts w:cs="Calibri"/>
                <w:color w:val="1B556B"/>
              </w:rPr>
            </w:pPr>
            <w:r w:rsidRPr="009E06AA">
              <w:rPr>
                <w:rFonts w:cs="Calibri"/>
                <w:color w:val="1B556B"/>
              </w:rPr>
              <w:t>436 (93)</w:t>
            </w:r>
          </w:p>
        </w:tc>
      </w:tr>
      <w:tr w:rsidR="007523B8" w:rsidRPr="009E06AA" w14:paraId="79D7122D" w14:textId="77777777" w:rsidTr="00B55F24">
        <w:tc>
          <w:tcPr>
            <w:tcW w:w="2206" w:type="dxa"/>
            <w:tcBorders>
              <w:top w:val="single" w:sz="4" w:space="0" w:color="1B556B" w:themeColor="text2"/>
              <w:left w:val="nil"/>
              <w:bottom w:val="single" w:sz="4" w:space="0" w:color="1B556B" w:themeColor="text2"/>
              <w:right w:val="nil"/>
            </w:tcBorders>
            <w:shd w:val="clear" w:color="auto" w:fill="auto"/>
          </w:tcPr>
          <w:p w14:paraId="3E37C80F" w14:textId="77777777" w:rsidR="007523B8" w:rsidRPr="009E06AA" w:rsidRDefault="007523B8" w:rsidP="00B55F24">
            <w:pPr>
              <w:pStyle w:val="Tableboldblue"/>
              <w:spacing w:before="40" w:after="40"/>
              <w:rPr>
                <w:rFonts w:cs="Calibri"/>
                <w:color w:val="1B556B"/>
              </w:rPr>
            </w:pPr>
            <w:r w:rsidRPr="009E06AA">
              <w:rPr>
                <w:rFonts w:cs="Calibri"/>
                <w:color w:val="1B556B"/>
              </w:rPr>
              <w:t>Total excreta</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7D02AA48" w14:textId="77777777" w:rsidR="007523B8" w:rsidRPr="009E06AA" w:rsidRDefault="007523B8" w:rsidP="007E03CB">
            <w:pPr>
              <w:pStyle w:val="Tableboldblue"/>
              <w:spacing w:before="40" w:after="40"/>
              <w:jc w:val="right"/>
              <w:rPr>
                <w:rFonts w:cs="Calibri"/>
                <w:color w:val="1B556B"/>
              </w:rPr>
            </w:pPr>
            <w:r w:rsidRPr="009E06AA">
              <w:rPr>
                <w:rFonts w:cs="Calibri"/>
                <w:color w:val="1B556B"/>
              </w:rPr>
              <w:t>527 (97)</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6A4B8D41" w14:textId="77777777" w:rsidR="007523B8" w:rsidRPr="009E06AA" w:rsidRDefault="007523B8" w:rsidP="007E03CB">
            <w:pPr>
              <w:pStyle w:val="Tableboldblue"/>
              <w:spacing w:before="40" w:after="40"/>
              <w:jc w:val="right"/>
              <w:rPr>
                <w:rFonts w:cs="Calibri"/>
                <w:color w:val="1B556B"/>
              </w:rPr>
            </w:pPr>
            <w:r w:rsidRPr="009E06AA">
              <w:rPr>
                <w:rFonts w:cs="Calibri"/>
                <w:color w:val="1B556B"/>
              </w:rPr>
              <w:t>370 (75)</w:t>
            </w:r>
          </w:p>
        </w:tc>
        <w:tc>
          <w:tcPr>
            <w:tcW w:w="1303" w:type="dxa"/>
            <w:tcBorders>
              <w:top w:val="single" w:sz="4" w:space="0" w:color="1B556B" w:themeColor="text2"/>
              <w:left w:val="nil"/>
              <w:bottom w:val="single" w:sz="4" w:space="0" w:color="1B556B" w:themeColor="text2"/>
              <w:right w:val="nil"/>
            </w:tcBorders>
            <w:shd w:val="clear" w:color="auto" w:fill="auto"/>
            <w:vAlign w:val="center"/>
          </w:tcPr>
          <w:p w14:paraId="6F76F59D" w14:textId="77777777" w:rsidR="007523B8" w:rsidRPr="009E06AA" w:rsidRDefault="007523B8" w:rsidP="007E03CB">
            <w:pPr>
              <w:pStyle w:val="Tableboldblue"/>
              <w:spacing w:before="40" w:after="40"/>
              <w:jc w:val="right"/>
              <w:rPr>
                <w:rFonts w:cs="Calibri"/>
                <w:color w:val="1B556B"/>
              </w:rPr>
            </w:pPr>
            <w:r w:rsidRPr="009E06AA">
              <w:rPr>
                <w:rFonts w:cs="Calibri"/>
                <w:color w:val="1B556B"/>
              </w:rPr>
              <w:t>240 (48)</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41B983AB" w14:textId="77777777" w:rsidR="007523B8" w:rsidRPr="009E06AA" w:rsidRDefault="007523B8" w:rsidP="007E03CB">
            <w:pPr>
              <w:pStyle w:val="Tableboldblue"/>
              <w:spacing w:before="40" w:after="40"/>
              <w:jc w:val="right"/>
              <w:rPr>
                <w:rFonts w:cs="Calibri"/>
                <w:color w:val="1B556B"/>
              </w:rPr>
            </w:pPr>
            <w:r w:rsidRPr="009E06AA">
              <w:rPr>
                <w:rFonts w:cs="Calibri"/>
                <w:color w:val="1B556B"/>
              </w:rPr>
              <w:t>80 (16)</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04FD05E0" w14:textId="77777777" w:rsidR="007523B8" w:rsidRPr="009E06AA" w:rsidRDefault="007523B8" w:rsidP="007E03CB">
            <w:pPr>
              <w:pStyle w:val="Tableboldblue"/>
              <w:spacing w:before="40" w:after="40"/>
              <w:jc w:val="right"/>
              <w:rPr>
                <w:rFonts w:cs="Calibri"/>
                <w:color w:val="1B556B"/>
              </w:rPr>
            </w:pPr>
            <w:r w:rsidRPr="009E06AA">
              <w:rPr>
                <w:rFonts w:cs="Calibri"/>
                <w:color w:val="1B556B"/>
              </w:rPr>
              <w:t>1,217 (236)</w:t>
            </w:r>
          </w:p>
        </w:tc>
      </w:tr>
    </w:tbl>
    <w:p w14:paraId="4AE14434" w14:textId="3C909BD6" w:rsidR="007523B8" w:rsidRPr="009E06AA" w:rsidRDefault="007523B8" w:rsidP="007523B8">
      <w:pPr>
        <w:pStyle w:val="Table"/>
        <w:spacing w:before="240"/>
        <w:rPr>
          <w:rFonts w:cs="Calibri"/>
        </w:rPr>
      </w:pPr>
      <w:bookmarkStart w:id="1306" w:name="_Toc32570933"/>
      <w:bookmarkStart w:id="1307" w:name="_Toc36224568"/>
      <w:bookmarkStart w:id="1308" w:name="_Toc68786453"/>
      <w:bookmarkStart w:id="1309" w:name="_Toc95574086"/>
      <w:bookmarkStart w:id="1310" w:name="_Toc127458273"/>
      <w:bookmarkStart w:id="1311" w:name="_Toc131591369"/>
      <w:bookmarkStart w:id="1312" w:name="_Toc160114463"/>
      <w:bookmarkStart w:id="1313" w:name="_Toc164153859"/>
      <w:r w:rsidRPr="009E06AA">
        <w:rPr>
          <w:rFonts w:cs="Calibri"/>
        </w:rPr>
        <w:t>Table 5.5.7</w:t>
      </w:r>
      <w:r w:rsidRPr="009E06AA">
        <w:rPr>
          <w:rFonts w:cs="Calibri"/>
        </w:rPr>
        <w:tab/>
        <w:t>Number of replicate-level EF</w:t>
      </w:r>
      <w:r w:rsidRPr="009E06AA">
        <w:rPr>
          <w:rFonts w:cs="Calibri"/>
          <w:vertAlign w:val="subscript"/>
        </w:rPr>
        <w:t>3</w:t>
      </w:r>
      <w:r w:rsidRPr="009E06AA">
        <w:rPr>
          <w:rFonts w:cs="Calibri"/>
        </w:rPr>
        <w:t xml:space="preserve"> values collated by the van der Weerden et al. (2019, 2020) analysis,</w:t>
      </w:r>
      <w:r w:rsidR="001E47A3" w:rsidRPr="009E06AA">
        <w:rPr>
          <w:rFonts w:cs="Calibri"/>
        </w:rPr>
        <w:t> </w:t>
      </w:r>
      <w:r w:rsidRPr="009E06AA">
        <w:rPr>
          <w:rFonts w:cs="Calibri"/>
        </w:rPr>
        <w:t>for each nitrogen source, season that trial was undertaken and topography</w:t>
      </w:r>
      <w:bookmarkEnd w:id="1306"/>
      <w:bookmarkEnd w:id="1307"/>
      <w:bookmarkEnd w:id="1308"/>
      <w:bookmarkEnd w:id="1309"/>
      <w:bookmarkEnd w:id="1310"/>
      <w:bookmarkEnd w:id="1311"/>
      <w:bookmarkEnd w:id="1312"/>
      <w:bookmarkEnd w:id="1313"/>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86"/>
        <w:gridCol w:w="1889"/>
        <w:gridCol w:w="886"/>
        <w:gridCol w:w="886"/>
        <w:gridCol w:w="886"/>
        <w:gridCol w:w="886"/>
        <w:gridCol w:w="886"/>
      </w:tblGrid>
      <w:tr w:rsidR="007523B8" w:rsidRPr="009E06AA" w14:paraId="1B3F63A4" w14:textId="77777777" w:rsidTr="00B55F24">
        <w:trPr>
          <w:tblHeader/>
        </w:trPr>
        <w:tc>
          <w:tcPr>
            <w:tcW w:w="2098" w:type="dxa"/>
            <w:tcBorders>
              <w:top w:val="single" w:sz="4" w:space="0" w:color="1B556B" w:themeColor="text2"/>
              <w:left w:val="nil"/>
              <w:bottom w:val="single" w:sz="4" w:space="0" w:color="1B556B" w:themeColor="text2"/>
              <w:right w:val="nil"/>
            </w:tcBorders>
            <w:shd w:val="clear" w:color="auto" w:fill="1B556B"/>
            <w:vAlign w:val="bottom"/>
          </w:tcPr>
          <w:p w14:paraId="3F026279" w14:textId="77777777" w:rsidR="007523B8" w:rsidRPr="009E06AA" w:rsidRDefault="007523B8" w:rsidP="00B55F24">
            <w:pPr>
              <w:pStyle w:val="TableTextBold"/>
              <w:keepNext/>
              <w:spacing w:before="40" w:after="40"/>
              <w:rPr>
                <w:noProof w:val="0"/>
                <w:color w:val="FFFFFF" w:themeColor="background1"/>
                <w:szCs w:val="16"/>
              </w:rPr>
            </w:pPr>
            <w:r w:rsidRPr="009E06AA">
              <w:rPr>
                <w:noProof w:val="0"/>
                <w:color w:val="FFFFFF" w:themeColor="background1"/>
                <w:szCs w:val="16"/>
              </w:rPr>
              <w:t>Nitrogen source</w:t>
            </w:r>
          </w:p>
        </w:tc>
        <w:tc>
          <w:tcPr>
            <w:tcW w:w="1814" w:type="dxa"/>
            <w:tcBorders>
              <w:top w:val="single" w:sz="4" w:space="0" w:color="1B556B" w:themeColor="text2"/>
              <w:left w:val="nil"/>
              <w:bottom w:val="single" w:sz="4" w:space="0" w:color="1B556B" w:themeColor="text2"/>
              <w:right w:val="nil"/>
            </w:tcBorders>
            <w:shd w:val="clear" w:color="auto" w:fill="1B556B"/>
            <w:vAlign w:val="bottom"/>
          </w:tcPr>
          <w:p w14:paraId="59887ECB" w14:textId="77777777" w:rsidR="007523B8" w:rsidRPr="009E06AA" w:rsidRDefault="007523B8" w:rsidP="00B55F24">
            <w:pPr>
              <w:pStyle w:val="TableTextBold"/>
              <w:keepNext/>
              <w:spacing w:before="40" w:after="40"/>
              <w:rPr>
                <w:noProof w:val="0"/>
                <w:color w:val="FFFFFF" w:themeColor="background1"/>
                <w:szCs w:val="16"/>
              </w:rPr>
            </w:pPr>
            <w:r w:rsidRPr="009E06AA">
              <w:rPr>
                <w:noProof w:val="0"/>
                <w:color w:val="FFFFFF" w:themeColor="background1"/>
                <w:szCs w:val="16"/>
              </w:rPr>
              <w:t>Topography class</w:t>
            </w:r>
          </w:p>
        </w:tc>
        <w:tc>
          <w:tcPr>
            <w:tcW w:w="851" w:type="dxa"/>
            <w:tcBorders>
              <w:top w:val="single" w:sz="4" w:space="0" w:color="1B556B" w:themeColor="text2"/>
              <w:left w:val="nil"/>
              <w:bottom w:val="single" w:sz="4" w:space="0" w:color="1B556B" w:themeColor="text2"/>
              <w:right w:val="nil"/>
            </w:tcBorders>
            <w:shd w:val="clear" w:color="auto" w:fill="1B556B"/>
          </w:tcPr>
          <w:p w14:paraId="64750C7B" w14:textId="77777777" w:rsidR="007523B8" w:rsidRPr="009E06AA" w:rsidRDefault="007523B8" w:rsidP="007E03CB">
            <w:pPr>
              <w:pStyle w:val="TableTextBold"/>
              <w:keepNext/>
              <w:spacing w:before="40" w:after="40"/>
              <w:jc w:val="right"/>
              <w:rPr>
                <w:noProof w:val="0"/>
                <w:color w:val="FFFFFF" w:themeColor="background1"/>
                <w:szCs w:val="16"/>
              </w:rPr>
            </w:pPr>
            <w:r w:rsidRPr="009E06AA">
              <w:rPr>
                <w:noProof w:val="0"/>
                <w:color w:val="FFFFFF" w:themeColor="background1"/>
                <w:szCs w:val="16"/>
              </w:rPr>
              <w:t>Autumn</w:t>
            </w:r>
          </w:p>
        </w:tc>
        <w:tc>
          <w:tcPr>
            <w:tcW w:w="851" w:type="dxa"/>
            <w:tcBorders>
              <w:top w:val="single" w:sz="4" w:space="0" w:color="1B556B" w:themeColor="text2"/>
              <w:left w:val="nil"/>
              <w:bottom w:val="single" w:sz="4" w:space="0" w:color="1B556B" w:themeColor="text2"/>
              <w:right w:val="nil"/>
            </w:tcBorders>
            <w:shd w:val="clear" w:color="auto" w:fill="1B556B"/>
          </w:tcPr>
          <w:p w14:paraId="796CC99C" w14:textId="77777777" w:rsidR="007523B8" w:rsidRPr="009E06AA" w:rsidRDefault="007523B8" w:rsidP="007E03CB">
            <w:pPr>
              <w:pStyle w:val="TableTextBold"/>
              <w:keepNext/>
              <w:spacing w:before="40" w:after="40"/>
              <w:jc w:val="right"/>
              <w:rPr>
                <w:noProof w:val="0"/>
                <w:color w:val="FFFFFF" w:themeColor="background1"/>
                <w:szCs w:val="16"/>
              </w:rPr>
            </w:pPr>
            <w:r w:rsidRPr="009E06AA">
              <w:rPr>
                <w:noProof w:val="0"/>
                <w:color w:val="FFFFFF" w:themeColor="background1"/>
                <w:szCs w:val="16"/>
              </w:rPr>
              <w:t>Winter</w:t>
            </w:r>
          </w:p>
        </w:tc>
        <w:tc>
          <w:tcPr>
            <w:tcW w:w="851" w:type="dxa"/>
            <w:tcBorders>
              <w:top w:val="single" w:sz="4" w:space="0" w:color="1B556B" w:themeColor="text2"/>
              <w:left w:val="nil"/>
              <w:bottom w:val="single" w:sz="4" w:space="0" w:color="1B556B" w:themeColor="text2"/>
              <w:right w:val="nil"/>
            </w:tcBorders>
            <w:shd w:val="clear" w:color="auto" w:fill="1B556B"/>
          </w:tcPr>
          <w:p w14:paraId="5D7F5A55" w14:textId="77777777" w:rsidR="007523B8" w:rsidRPr="009E06AA" w:rsidRDefault="007523B8" w:rsidP="007E03CB">
            <w:pPr>
              <w:pStyle w:val="TableTextBold"/>
              <w:keepNext/>
              <w:spacing w:before="40" w:after="40"/>
              <w:jc w:val="right"/>
              <w:rPr>
                <w:noProof w:val="0"/>
                <w:color w:val="FFFFFF" w:themeColor="background1"/>
                <w:szCs w:val="16"/>
              </w:rPr>
            </w:pPr>
            <w:r w:rsidRPr="009E06AA">
              <w:rPr>
                <w:noProof w:val="0"/>
                <w:color w:val="FFFFFF" w:themeColor="background1"/>
                <w:szCs w:val="16"/>
              </w:rPr>
              <w:t>Spring</w:t>
            </w:r>
          </w:p>
        </w:tc>
        <w:tc>
          <w:tcPr>
            <w:tcW w:w="851" w:type="dxa"/>
            <w:tcBorders>
              <w:top w:val="single" w:sz="4" w:space="0" w:color="1B556B" w:themeColor="text2"/>
              <w:left w:val="nil"/>
              <w:bottom w:val="single" w:sz="4" w:space="0" w:color="1B556B" w:themeColor="text2"/>
              <w:right w:val="nil"/>
            </w:tcBorders>
            <w:shd w:val="clear" w:color="auto" w:fill="1B556B"/>
          </w:tcPr>
          <w:p w14:paraId="79B96809" w14:textId="77777777" w:rsidR="007523B8" w:rsidRPr="009E06AA" w:rsidRDefault="007523B8" w:rsidP="007E03CB">
            <w:pPr>
              <w:pStyle w:val="TableTextBold"/>
              <w:keepNext/>
              <w:spacing w:before="40" w:after="40"/>
              <w:jc w:val="right"/>
              <w:rPr>
                <w:noProof w:val="0"/>
                <w:color w:val="FFFFFF" w:themeColor="background1"/>
                <w:szCs w:val="16"/>
              </w:rPr>
            </w:pPr>
            <w:r w:rsidRPr="009E06AA">
              <w:rPr>
                <w:noProof w:val="0"/>
                <w:color w:val="FFFFFF" w:themeColor="background1"/>
                <w:szCs w:val="16"/>
              </w:rPr>
              <w:t>Summer</w:t>
            </w:r>
          </w:p>
        </w:tc>
        <w:tc>
          <w:tcPr>
            <w:tcW w:w="851" w:type="dxa"/>
            <w:tcBorders>
              <w:top w:val="single" w:sz="4" w:space="0" w:color="1B556B" w:themeColor="text2"/>
              <w:left w:val="nil"/>
              <w:bottom w:val="single" w:sz="4" w:space="0" w:color="1B556B" w:themeColor="text2"/>
              <w:right w:val="nil"/>
            </w:tcBorders>
            <w:shd w:val="clear" w:color="auto" w:fill="1B556B"/>
          </w:tcPr>
          <w:p w14:paraId="58D91675" w14:textId="77777777" w:rsidR="007523B8" w:rsidRPr="009E06AA" w:rsidRDefault="007523B8" w:rsidP="007E03CB">
            <w:pPr>
              <w:pStyle w:val="TableTextBold"/>
              <w:keepNext/>
              <w:spacing w:before="40" w:after="40"/>
              <w:jc w:val="right"/>
              <w:rPr>
                <w:noProof w:val="0"/>
                <w:color w:val="FFFFFF" w:themeColor="background1"/>
                <w:szCs w:val="16"/>
              </w:rPr>
            </w:pPr>
            <w:r w:rsidRPr="009E06AA">
              <w:rPr>
                <w:noProof w:val="0"/>
                <w:color w:val="FFFFFF" w:themeColor="background1"/>
                <w:szCs w:val="16"/>
              </w:rPr>
              <w:t>Total</w:t>
            </w:r>
          </w:p>
        </w:tc>
      </w:tr>
      <w:tr w:rsidR="007523B8" w:rsidRPr="009E06AA" w14:paraId="5252D4F7" w14:textId="77777777" w:rsidTr="00B55F24">
        <w:tc>
          <w:tcPr>
            <w:tcW w:w="2098" w:type="dxa"/>
            <w:tcBorders>
              <w:top w:val="single" w:sz="4" w:space="0" w:color="1B556B" w:themeColor="text2"/>
              <w:left w:val="nil"/>
              <w:bottom w:val="single" w:sz="4" w:space="0" w:color="1B556B" w:themeColor="text2"/>
              <w:right w:val="nil"/>
            </w:tcBorders>
            <w:shd w:val="clear" w:color="auto" w:fill="auto"/>
          </w:tcPr>
          <w:p w14:paraId="69DE5BF3" w14:textId="77777777" w:rsidR="007523B8" w:rsidRPr="009E06AA" w:rsidRDefault="007523B8" w:rsidP="00B55F24">
            <w:pPr>
              <w:pStyle w:val="TableText"/>
              <w:keepNext/>
              <w:spacing w:before="40" w:after="40"/>
              <w:rPr>
                <w:rFonts w:cs="Calibri"/>
                <w:szCs w:val="16"/>
              </w:rPr>
            </w:pPr>
            <w:r w:rsidRPr="009E06AA">
              <w:rPr>
                <w:rFonts w:cs="Calibri"/>
                <w:szCs w:val="16"/>
              </w:rPr>
              <w:t>Dairy cattle urine</w:t>
            </w:r>
          </w:p>
        </w:tc>
        <w:tc>
          <w:tcPr>
            <w:tcW w:w="1814" w:type="dxa"/>
            <w:tcBorders>
              <w:top w:val="single" w:sz="4" w:space="0" w:color="1B556B" w:themeColor="text2"/>
              <w:left w:val="nil"/>
              <w:bottom w:val="single" w:sz="4" w:space="0" w:color="1B556B" w:themeColor="text2"/>
              <w:right w:val="nil"/>
            </w:tcBorders>
          </w:tcPr>
          <w:p w14:paraId="127A5D29" w14:textId="77777777" w:rsidR="007523B8" w:rsidRPr="009E06AA" w:rsidRDefault="007523B8" w:rsidP="00B55F24">
            <w:pPr>
              <w:pStyle w:val="TableText"/>
              <w:keepNext/>
              <w:spacing w:before="40" w:after="40"/>
              <w:rPr>
                <w:rFonts w:cs="Calibri"/>
                <w:szCs w:val="16"/>
              </w:rPr>
            </w:pPr>
            <w:r w:rsidRPr="009E06AA">
              <w:rPr>
                <w:rFonts w:cs="Calibri"/>
                <w:szCs w:val="16"/>
              </w:rPr>
              <w:t>Flatland (0</w:t>
            </w:r>
            <w:r w:rsidRPr="009E06AA">
              <w:rPr>
                <w:rFonts w:cs="Calibri"/>
                <w:szCs w:val="16"/>
                <w:vertAlign w:val="superscript"/>
              </w:rPr>
              <w:t>o</w:t>
            </w:r>
            <w:r w:rsidRPr="009E06AA">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7B54A63D" w14:textId="77777777" w:rsidR="007523B8" w:rsidRPr="009E06AA" w:rsidRDefault="007523B8" w:rsidP="007E03CB">
            <w:pPr>
              <w:pStyle w:val="TableText"/>
              <w:keepNext/>
              <w:spacing w:before="40" w:after="40"/>
              <w:jc w:val="right"/>
              <w:rPr>
                <w:rFonts w:cs="Calibri"/>
                <w:szCs w:val="16"/>
              </w:rPr>
            </w:pPr>
            <w:r w:rsidRPr="009E06AA">
              <w:rPr>
                <w:rFonts w:cs="Calibri"/>
                <w:szCs w:val="16"/>
              </w:rPr>
              <w:t>128</w:t>
            </w:r>
          </w:p>
        </w:tc>
        <w:tc>
          <w:tcPr>
            <w:tcW w:w="851" w:type="dxa"/>
            <w:tcBorders>
              <w:top w:val="single" w:sz="4" w:space="0" w:color="1B556B" w:themeColor="text2"/>
              <w:left w:val="nil"/>
              <w:bottom w:val="single" w:sz="4" w:space="0" w:color="1B556B" w:themeColor="text2"/>
              <w:right w:val="nil"/>
            </w:tcBorders>
            <w:shd w:val="clear" w:color="auto" w:fill="auto"/>
          </w:tcPr>
          <w:p w14:paraId="797A62C6" w14:textId="77777777" w:rsidR="007523B8" w:rsidRPr="009E06AA" w:rsidRDefault="007523B8" w:rsidP="007E03CB">
            <w:pPr>
              <w:pStyle w:val="TableText"/>
              <w:keepNext/>
              <w:spacing w:before="40" w:after="40"/>
              <w:jc w:val="right"/>
              <w:rPr>
                <w:rFonts w:cs="Calibri"/>
                <w:szCs w:val="16"/>
              </w:rPr>
            </w:pPr>
            <w:r w:rsidRPr="009E06AA">
              <w:rPr>
                <w:rFonts w:cs="Calibri"/>
                <w:szCs w:val="16"/>
              </w:rPr>
              <w:t>105</w:t>
            </w:r>
          </w:p>
        </w:tc>
        <w:tc>
          <w:tcPr>
            <w:tcW w:w="851" w:type="dxa"/>
            <w:tcBorders>
              <w:top w:val="single" w:sz="4" w:space="0" w:color="1B556B" w:themeColor="text2"/>
              <w:left w:val="nil"/>
              <w:bottom w:val="single" w:sz="4" w:space="0" w:color="1B556B" w:themeColor="text2"/>
              <w:right w:val="nil"/>
            </w:tcBorders>
            <w:shd w:val="clear" w:color="auto" w:fill="auto"/>
          </w:tcPr>
          <w:p w14:paraId="672C466E" w14:textId="77777777" w:rsidR="007523B8" w:rsidRPr="009E06AA" w:rsidRDefault="007523B8" w:rsidP="007E03CB">
            <w:pPr>
              <w:pStyle w:val="TableText"/>
              <w:keepNext/>
              <w:spacing w:before="40" w:after="40"/>
              <w:jc w:val="right"/>
              <w:rPr>
                <w:rFonts w:cs="Calibri"/>
                <w:szCs w:val="16"/>
              </w:rPr>
            </w:pPr>
            <w:r w:rsidRPr="009E06AA">
              <w:rPr>
                <w:rFonts w:cs="Calibri"/>
                <w:szCs w:val="16"/>
              </w:rPr>
              <w:t>88</w:t>
            </w:r>
          </w:p>
        </w:tc>
        <w:tc>
          <w:tcPr>
            <w:tcW w:w="851" w:type="dxa"/>
            <w:tcBorders>
              <w:top w:val="single" w:sz="4" w:space="0" w:color="1B556B" w:themeColor="text2"/>
              <w:left w:val="nil"/>
              <w:bottom w:val="single" w:sz="4" w:space="0" w:color="1B556B" w:themeColor="text2"/>
              <w:right w:val="nil"/>
            </w:tcBorders>
            <w:shd w:val="clear" w:color="auto" w:fill="auto"/>
          </w:tcPr>
          <w:p w14:paraId="2896D795" w14:textId="77777777" w:rsidR="007523B8" w:rsidRPr="009E06AA" w:rsidRDefault="007523B8" w:rsidP="007E03CB">
            <w:pPr>
              <w:pStyle w:val="TableText"/>
              <w:keepNext/>
              <w:spacing w:before="40" w:after="40"/>
              <w:jc w:val="right"/>
              <w:rPr>
                <w:rFonts w:cs="Calibri"/>
                <w:szCs w:val="16"/>
              </w:rPr>
            </w:pPr>
            <w:r w:rsidRPr="009E06AA">
              <w:rPr>
                <w:rFonts w:cs="Calibri"/>
                <w:szCs w:val="16"/>
              </w:rPr>
              <w:t>12</w:t>
            </w:r>
          </w:p>
        </w:tc>
        <w:tc>
          <w:tcPr>
            <w:tcW w:w="851" w:type="dxa"/>
            <w:tcBorders>
              <w:top w:val="single" w:sz="4" w:space="0" w:color="1B556B" w:themeColor="text2"/>
              <w:left w:val="nil"/>
              <w:bottom w:val="single" w:sz="4" w:space="0" w:color="1B556B" w:themeColor="text2"/>
              <w:right w:val="nil"/>
            </w:tcBorders>
            <w:shd w:val="clear" w:color="auto" w:fill="auto"/>
          </w:tcPr>
          <w:p w14:paraId="3DD93F01" w14:textId="77777777" w:rsidR="007523B8" w:rsidRPr="009E06AA" w:rsidRDefault="007523B8" w:rsidP="007E03CB">
            <w:pPr>
              <w:pStyle w:val="TableText"/>
              <w:keepNext/>
              <w:spacing w:before="40" w:after="40"/>
              <w:jc w:val="right"/>
              <w:rPr>
                <w:rFonts w:cs="Calibri"/>
                <w:szCs w:val="16"/>
              </w:rPr>
            </w:pPr>
            <w:r w:rsidRPr="009E06AA">
              <w:rPr>
                <w:rFonts w:cs="Calibri"/>
                <w:szCs w:val="16"/>
              </w:rPr>
              <w:t>333</w:t>
            </w:r>
          </w:p>
        </w:tc>
      </w:tr>
      <w:tr w:rsidR="007523B8" w:rsidRPr="009E06AA" w14:paraId="5B4D4ABE" w14:textId="77777777" w:rsidTr="00B55F24">
        <w:tc>
          <w:tcPr>
            <w:tcW w:w="2098" w:type="dxa"/>
            <w:tcBorders>
              <w:top w:val="single" w:sz="4" w:space="0" w:color="1B556B" w:themeColor="text2"/>
              <w:left w:val="nil"/>
              <w:bottom w:val="single" w:sz="4" w:space="0" w:color="1B556B" w:themeColor="text2"/>
              <w:right w:val="nil"/>
            </w:tcBorders>
            <w:shd w:val="clear" w:color="auto" w:fill="auto"/>
          </w:tcPr>
          <w:p w14:paraId="4EC0EC22" w14:textId="77777777" w:rsidR="007523B8" w:rsidRPr="009E06AA" w:rsidRDefault="007523B8" w:rsidP="00B55F24">
            <w:pPr>
              <w:pStyle w:val="TableText"/>
              <w:keepN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5A2FBD7A" w14:textId="77777777" w:rsidR="007523B8" w:rsidRPr="009E06AA" w:rsidRDefault="007523B8" w:rsidP="00B55F24">
            <w:pPr>
              <w:pStyle w:val="TableText"/>
              <w:keepNext/>
              <w:spacing w:before="40" w:after="40"/>
              <w:rPr>
                <w:rFonts w:cs="Calibri"/>
                <w:szCs w:val="16"/>
              </w:rPr>
            </w:pPr>
            <w:r w:rsidRPr="009E06AA">
              <w:rPr>
                <w:rFonts w:cs="Calibri"/>
                <w:szCs w:val="16"/>
              </w:rPr>
              <w:t>Low slope (0–12</w:t>
            </w:r>
            <w:r w:rsidRPr="009E06AA">
              <w:rPr>
                <w:rFonts w:cs="Calibri"/>
                <w:szCs w:val="16"/>
                <w:vertAlign w:val="superscript"/>
              </w:rPr>
              <w:t>o</w:t>
            </w:r>
            <w:r w:rsidRPr="009E06AA">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7484C516" w14:textId="77777777" w:rsidR="007523B8" w:rsidRPr="009E06AA" w:rsidRDefault="007523B8" w:rsidP="007E03CB">
            <w:pPr>
              <w:pStyle w:val="TableText"/>
              <w:keepNext/>
              <w:spacing w:before="40" w:after="40"/>
              <w:jc w:val="right"/>
              <w:rPr>
                <w:rFonts w:cs="Calibri"/>
                <w:szCs w:val="16"/>
              </w:rPr>
            </w:pPr>
            <w:r w:rsidRPr="009E06AA">
              <w:rPr>
                <w:rFonts w:cs="Calibri"/>
                <w:szCs w:val="16"/>
              </w:rPr>
              <w:t>34</w:t>
            </w:r>
          </w:p>
        </w:tc>
        <w:tc>
          <w:tcPr>
            <w:tcW w:w="851" w:type="dxa"/>
            <w:tcBorders>
              <w:top w:val="single" w:sz="4" w:space="0" w:color="1B556B" w:themeColor="text2"/>
              <w:left w:val="nil"/>
              <w:bottom w:val="single" w:sz="4" w:space="0" w:color="1B556B" w:themeColor="text2"/>
              <w:right w:val="nil"/>
            </w:tcBorders>
            <w:shd w:val="clear" w:color="auto" w:fill="auto"/>
          </w:tcPr>
          <w:p w14:paraId="2489E00B" w14:textId="77777777" w:rsidR="007523B8" w:rsidRPr="009E06AA" w:rsidRDefault="007523B8" w:rsidP="007E03CB">
            <w:pPr>
              <w:pStyle w:val="TableText"/>
              <w:keepNext/>
              <w:spacing w:before="40" w:after="40"/>
              <w:jc w:val="right"/>
              <w:rPr>
                <w:rFonts w:cs="Calibri"/>
                <w:szCs w:val="16"/>
              </w:rPr>
            </w:pPr>
            <w:r w:rsidRPr="009E06AA">
              <w:rPr>
                <w:rFonts w:cs="Calibri"/>
                <w:szCs w:val="16"/>
              </w:rPr>
              <w:t>34</w:t>
            </w:r>
          </w:p>
        </w:tc>
        <w:tc>
          <w:tcPr>
            <w:tcW w:w="851" w:type="dxa"/>
            <w:tcBorders>
              <w:top w:val="single" w:sz="4" w:space="0" w:color="1B556B" w:themeColor="text2"/>
              <w:left w:val="nil"/>
              <w:bottom w:val="single" w:sz="4" w:space="0" w:color="1B556B" w:themeColor="text2"/>
              <w:right w:val="nil"/>
            </w:tcBorders>
            <w:shd w:val="clear" w:color="auto" w:fill="auto"/>
          </w:tcPr>
          <w:p w14:paraId="5864D3FF" w14:textId="77777777" w:rsidR="007523B8" w:rsidRPr="009E06AA" w:rsidRDefault="007523B8" w:rsidP="007E03CB">
            <w:pPr>
              <w:pStyle w:val="TableText"/>
              <w:keepNext/>
              <w:spacing w:before="40" w:after="40"/>
              <w:jc w:val="right"/>
              <w:rPr>
                <w:rFonts w:cs="Calibri"/>
                <w:szCs w:val="16"/>
              </w:rPr>
            </w:pPr>
            <w:r w:rsidRPr="009E06AA">
              <w:rPr>
                <w:rFonts w:cs="Calibri"/>
                <w:szCs w:val="16"/>
              </w:rPr>
              <w:t>28</w:t>
            </w:r>
          </w:p>
        </w:tc>
        <w:tc>
          <w:tcPr>
            <w:tcW w:w="851" w:type="dxa"/>
            <w:tcBorders>
              <w:top w:val="single" w:sz="4" w:space="0" w:color="1B556B" w:themeColor="text2"/>
              <w:left w:val="nil"/>
              <w:bottom w:val="single" w:sz="4" w:space="0" w:color="1B556B" w:themeColor="text2"/>
              <w:right w:val="nil"/>
            </w:tcBorders>
            <w:shd w:val="clear" w:color="auto" w:fill="auto"/>
          </w:tcPr>
          <w:p w14:paraId="2F25BAD9" w14:textId="77777777" w:rsidR="007523B8" w:rsidRPr="009E06AA" w:rsidRDefault="007523B8" w:rsidP="007E03CB">
            <w:pPr>
              <w:pStyle w:val="TableText"/>
              <w:keepNext/>
              <w:spacing w:before="40" w:after="40"/>
              <w:jc w:val="right"/>
              <w:rPr>
                <w:rFonts w:cs="Calibri"/>
                <w:szCs w:val="16"/>
              </w:rPr>
            </w:pPr>
            <w:r w:rsidRPr="009E06AA">
              <w:rPr>
                <w:rFonts w:cs="Calibri"/>
                <w:szCs w:val="16"/>
              </w:rPr>
              <w:t>20</w:t>
            </w:r>
          </w:p>
        </w:tc>
        <w:tc>
          <w:tcPr>
            <w:tcW w:w="851" w:type="dxa"/>
            <w:tcBorders>
              <w:top w:val="single" w:sz="4" w:space="0" w:color="1B556B" w:themeColor="text2"/>
              <w:left w:val="nil"/>
              <w:bottom w:val="single" w:sz="4" w:space="0" w:color="1B556B" w:themeColor="text2"/>
              <w:right w:val="nil"/>
            </w:tcBorders>
            <w:shd w:val="clear" w:color="auto" w:fill="auto"/>
          </w:tcPr>
          <w:p w14:paraId="557DEF2C" w14:textId="77777777" w:rsidR="007523B8" w:rsidRPr="009E06AA" w:rsidRDefault="007523B8" w:rsidP="007E03CB">
            <w:pPr>
              <w:pStyle w:val="TableText"/>
              <w:keepNext/>
              <w:spacing w:before="40" w:after="40"/>
              <w:jc w:val="right"/>
              <w:rPr>
                <w:rFonts w:cs="Calibri"/>
                <w:szCs w:val="16"/>
              </w:rPr>
            </w:pPr>
            <w:r w:rsidRPr="009E06AA">
              <w:rPr>
                <w:rFonts w:cs="Calibri"/>
                <w:szCs w:val="16"/>
              </w:rPr>
              <w:t>116</w:t>
            </w:r>
          </w:p>
        </w:tc>
      </w:tr>
      <w:tr w:rsidR="007523B8" w:rsidRPr="009E06AA" w14:paraId="0ABAFF28" w14:textId="77777777" w:rsidTr="00B55F24">
        <w:tc>
          <w:tcPr>
            <w:tcW w:w="2098" w:type="dxa"/>
            <w:tcBorders>
              <w:top w:val="single" w:sz="4" w:space="0" w:color="1B556B" w:themeColor="text2"/>
              <w:left w:val="nil"/>
              <w:bottom w:val="single" w:sz="4" w:space="0" w:color="1B556B" w:themeColor="text2"/>
              <w:right w:val="nil"/>
            </w:tcBorders>
            <w:shd w:val="clear" w:color="auto" w:fill="auto"/>
          </w:tcPr>
          <w:p w14:paraId="3F393A1C" w14:textId="77777777" w:rsidR="007523B8" w:rsidRPr="009E06AA" w:rsidRDefault="007523B8" w:rsidP="00B55F24">
            <w:pPr>
              <w:pStyle w:val="TableText"/>
              <w:keepN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11770AE8" w14:textId="77777777" w:rsidR="007523B8" w:rsidRPr="009E06AA" w:rsidRDefault="007523B8" w:rsidP="00B55F24">
            <w:pPr>
              <w:pStyle w:val="TableText"/>
              <w:keepNext/>
              <w:spacing w:before="40" w:after="40"/>
              <w:rPr>
                <w:rFonts w:cs="Calibri"/>
                <w:szCs w:val="16"/>
              </w:rPr>
            </w:pPr>
            <w:r w:rsidRPr="009E06AA">
              <w:rPr>
                <w:rFonts w:cs="Calibri"/>
                <w:szCs w:val="16"/>
              </w:rPr>
              <w:t>Medium slope (12–24</w:t>
            </w:r>
            <w:r w:rsidRPr="009E06AA">
              <w:rPr>
                <w:rFonts w:cs="Calibri"/>
                <w:szCs w:val="16"/>
                <w:vertAlign w:val="superscript"/>
              </w:rPr>
              <w:t>o</w:t>
            </w:r>
            <w:r w:rsidRPr="009E06AA">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1EEA2BBE" w14:textId="77777777" w:rsidR="007523B8" w:rsidRPr="009E06AA" w:rsidRDefault="007523B8" w:rsidP="007E03CB">
            <w:pPr>
              <w:pStyle w:val="TableText"/>
              <w:keepN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189CDA1D" w14:textId="77777777" w:rsidR="007523B8" w:rsidRPr="009E06AA" w:rsidRDefault="007523B8" w:rsidP="007E03CB">
            <w:pPr>
              <w:pStyle w:val="TableText"/>
              <w:keepNext/>
              <w:spacing w:before="40" w:after="40"/>
              <w:jc w:val="right"/>
              <w:rPr>
                <w:rFonts w:cs="Calibri"/>
                <w:szCs w:val="16"/>
              </w:rPr>
            </w:pPr>
            <w:r w:rsidRPr="009E06AA">
              <w:rPr>
                <w:rFonts w:cs="Calibri"/>
                <w:szCs w:val="16"/>
              </w:rPr>
              <w:t>20</w:t>
            </w:r>
          </w:p>
        </w:tc>
        <w:tc>
          <w:tcPr>
            <w:tcW w:w="851" w:type="dxa"/>
            <w:tcBorders>
              <w:top w:val="single" w:sz="4" w:space="0" w:color="1B556B" w:themeColor="text2"/>
              <w:left w:val="nil"/>
              <w:bottom w:val="single" w:sz="4" w:space="0" w:color="1B556B" w:themeColor="text2"/>
              <w:right w:val="nil"/>
            </w:tcBorders>
            <w:shd w:val="clear" w:color="auto" w:fill="auto"/>
          </w:tcPr>
          <w:p w14:paraId="546845F4" w14:textId="77777777" w:rsidR="007523B8" w:rsidRPr="009E06AA" w:rsidRDefault="007523B8" w:rsidP="007E03CB">
            <w:pPr>
              <w:pStyle w:val="TableText"/>
              <w:keepN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3F507D0E" w14:textId="77777777" w:rsidR="007523B8" w:rsidRPr="009E06AA" w:rsidRDefault="007523B8" w:rsidP="007E03CB">
            <w:pPr>
              <w:pStyle w:val="TableText"/>
              <w:keepN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0DDA4CA5" w14:textId="77777777" w:rsidR="007523B8" w:rsidRPr="009E06AA" w:rsidRDefault="007523B8" w:rsidP="007E03CB">
            <w:pPr>
              <w:pStyle w:val="TableText"/>
              <w:keepNext/>
              <w:spacing w:before="40" w:after="40"/>
              <w:jc w:val="right"/>
              <w:rPr>
                <w:rFonts w:cs="Calibri"/>
                <w:szCs w:val="16"/>
              </w:rPr>
            </w:pPr>
            <w:r w:rsidRPr="009E06AA">
              <w:rPr>
                <w:rFonts w:cs="Calibri"/>
                <w:szCs w:val="16"/>
              </w:rPr>
              <w:t>20</w:t>
            </w:r>
          </w:p>
        </w:tc>
      </w:tr>
      <w:tr w:rsidR="007523B8" w:rsidRPr="009E06AA" w14:paraId="392D4E15" w14:textId="77777777" w:rsidTr="00B55F24">
        <w:tc>
          <w:tcPr>
            <w:tcW w:w="2098" w:type="dxa"/>
            <w:tcBorders>
              <w:top w:val="single" w:sz="4" w:space="0" w:color="1B556B" w:themeColor="text2"/>
              <w:left w:val="nil"/>
              <w:bottom w:val="single" w:sz="4" w:space="0" w:color="1B556B" w:themeColor="text2"/>
              <w:right w:val="nil"/>
            </w:tcBorders>
            <w:shd w:val="clear" w:color="auto" w:fill="auto"/>
          </w:tcPr>
          <w:p w14:paraId="42DB5143" w14:textId="77777777" w:rsidR="007523B8" w:rsidRPr="009E06AA" w:rsidRDefault="007523B8" w:rsidP="00B55F24">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72C945DD" w14:textId="77777777" w:rsidR="007523B8" w:rsidRPr="009E06AA" w:rsidRDefault="007523B8" w:rsidP="00B55F24">
            <w:pPr>
              <w:pStyle w:val="TableText"/>
              <w:spacing w:before="40" w:after="40"/>
              <w:rPr>
                <w:rFonts w:cs="Calibri"/>
                <w:szCs w:val="16"/>
              </w:rPr>
            </w:pPr>
            <w:r w:rsidRPr="009E06AA">
              <w:rPr>
                <w:rFonts w:cs="Calibri"/>
                <w:szCs w:val="16"/>
              </w:rPr>
              <w:t>Steep slope (&gt;24</w:t>
            </w:r>
            <w:r w:rsidRPr="009E06AA">
              <w:rPr>
                <w:rFonts w:cs="Calibri"/>
                <w:szCs w:val="16"/>
                <w:vertAlign w:val="superscript"/>
              </w:rPr>
              <w:t>o</w:t>
            </w:r>
            <w:r w:rsidRPr="009E06AA">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2E8A16EA" w14:textId="77777777" w:rsidR="007523B8" w:rsidRPr="009E06AA" w:rsidRDefault="007523B8" w:rsidP="007E03CB">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029DCA94" w14:textId="77777777" w:rsidR="007523B8" w:rsidRPr="009E06AA" w:rsidRDefault="007523B8" w:rsidP="007E03CB">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7A7152C0" w14:textId="77777777" w:rsidR="007523B8" w:rsidRPr="009E06AA" w:rsidRDefault="007523B8" w:rsidP="007E03CB">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6880786D" w14:textId="77777777" w:rsidR="007523B8" w:rsidRPr="009E06AA" w:rsidRDefault="007523B8" w:rsidP="007E03CB">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2398D4ED" w14:textId="77777777" w:rsidR="007523B8" w:rsidRPr="009E06AA" w:rsidRDefault="007523B8" w:rsidP="007E03CB">
            <w:pPr>
              <w:pStyle w:val="TableText"/>
              <w:spacing w:before="40" w:after="40"/>
              <w:jc w:val="right"/>
              <w:rPr>
                <w:rFonts w:cs="Calibri"/>
                <w:szCs w:val="16"/>
              </w:rPr>
            </w:pPr>
          </w:p>
        </w:tc>
      </w:tr>
      <w:tr w:rsidR="007523B8" w:rsidRPr="009E06AA" w14:paraId="19169C58" w14:textId="77777777" w:rsidTr="00B55F24">
        <w:tc>
          <w:tcPr>
            <w:tcW w:w="2098" w:type="dxa"/>
            <w:tcBorders>
              <w:top w:val="single" w:sz="4" w:space="0" w:color="1B556B" w:themeColor="text2"/>
              <w:left w:val="nil"/>
              <w:bottom w:val="single" w:sz="4" w:space="0" w:color="1B556B" w:themeColor="text2"/>
              <w:right w:val="nil"/>
            </w:tcBorders>
            <w:shd w:val="clear" w:color="auto" w:fill="auto"/>
          </w:tcPr>
          <w:p w14:paraId="1A194822" w14:textId="77777777" w:rsidR="007523B8" w:rsidRPr="009E06AA" w:rsidRDefault="007523B8" w:rsidP="00B55F24">
            <w:pPr>
              <w:pStyle w:val="TableText"/>
              <w:spacing w:before="40" w:after="40"/>
              <w:rPr>
                <w:rFonts w:cs="Calibri"/>
                <w:szCs w:val="16"/>
              </w:rPr>
            </w:pPr>
            <w:r w:rsidRPr="009E06AA">
              <w:rPr>
                <w:rFonts w:cs="Calibri"/>
                <w:szCs w:val="16"/>
              </w:rPr>
              <w:t>Dairy cattle dung</w:t>
            </w:r>
          </w:p>
        </w:tc>
        <w:tc>
          <w:tcPr>
            <w:tcW w:w="1814" w:type="dxa"/>
            <w:tcBorders>
              <w:top w:val="single" w:sz="4" w:space="0" w:color="1B556B" w:themeColor="text2"/>
              <w:left w:val="nil"/>
              <w:bottom w:val="single" w:sz="4" w:space="0" w:color="1B556B" w:themeColor="text2"/>
              <w:right w:val="nil"/>
            </w:tcBorders>
          </w:tcPr>
          <w:p w14:paraId="56F10549" w14:textId="77777777" w:rsidR="007523B8" w:rsidRPr="009E06AA" w:rsidRDefault="007523B8" w:rsidP="00B55F24">
            <w:pPr>
              <w:pStyle w:val="TableText"/>
              <w:spacing w:before="40" w:after="40"/>
              <w:rPr>
                <w:rFonts w:cs="Calibri"/>
                <w:szCs w:val="16"/>
              </w:rPr>
            </w:pPr>
            <w:r w:rsidRPr="009E06AA">
              <w:rPr>
                <w:rFonts w:cs="Calibri"/>
                <w:szCs w:val="16"/>
              </w:rPr>
              <w:t>Flatland (0</w:t>
            </w:r>
            <w:r w:rsidRPr="009E06AA">
              <w:rPr>
                <w:rFonts w:cs="Calibri"/>
                <w:szCs w:val="16"/>
                <w:vertAlign w:val="superscript"/>
              </w:rPr>
              <w:t>o</w:t>
            </w:r>
            <w:r w:rsidRPr="009E06AA">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77649F8D" w14:textId="77777777" w:rsidR="007523B8" w:rsidRPr="009E06AA" w:rsidRDefault="007523B8" w:rsidP="007E03CB">
            <w:pPr>
              <w:pStyle w:val="TableText"/>
              <w:spacing w:before="40" w:after="40"/>
              <w:jc w:val="right"/>
              <w:rPr>
                <w:rFonts w:cs="Calibri"/>
                <w:szCs w:val="16"/>
              </w:rPr>
            </w:pPr>
            <w:r w:rsidRPr="009E06AA">
              <w:rPr>
                <w:rFonts w:cs="Calibri"/>
                <w:szCs w:val="16"/>
              </w:rPr>
              <w:t>14</w:t>
            </w:r>
          </w:p>
        </w:tc>
        <w:tc>
          <w:tcPr>
            <w:tcW w:w="851" w:type="dxa"/>
            <w:tcBorders>
              <w:top w:val="single" w:sz="4" w:space="0" w:color="1B556B" w:themeColor="text2"/>
              <w:left w:val="nil"/>
              <w:bottom w:val="single" w:sz="4" w:space="0" w:color="1B556B" w:themeColor="text2"/>
              <w:right w:val="nil"/>
            </w:tcBorders>
            <w:shd w:val="clear" w:color="auto" w:fill="auto"/>
          </w:tcPr>
          <w:p w14:paraId="6A49E2D9" w14:textId="77777777" w:rsidR="007523B8" w:rsidRPr="009E06AA" w:rsidRDefault="007523B8" w:rsidP="007E03CB">
            <w:pPr>
              <w:pStyle w:val="TableText"/>
              <w:spacing w:before="40" w:after="40"/>
              <w:jc w:val="right"/>
              <w:rPr>
                <w:rFonts w:cs="Calibri"/>
                <w:szCs w:val="16"/>
              </w:rPr>
            </w:pPr>
            <w:r w:rsidRPr="009E06AA">
              <w:rPr>
                <w:rFonts w:cs="Calibri"/>
                <w:szCs w:val="16"/>
              </w:rPr>
              <w:t>34</w:t>
            </w:r>
          </w:p>
        </w:tc>
        <w:tc>
          <w:tcPr>
            <w:tcW w:w="851" w:type="dxa"/>
            <w:tcBorders>
              <w:top w:val="single" w:sz="4" w:space="0" w:color="1B556B" w:themeColor="text2"/>
              <w:left w:val="nil"/>
              <w:bottom w:val="single" w:sz="4" w:space="0" w:color="1B556B" w:themeColor="text2"/>
              <w:right w:val="nil"/>
            </w:tcBorders>
            <w:shd w:val="clear" w:color="auto" w:fill="auto"/>
          </w:tcPr>
          <w:p w14:paraId="2F909E23" w14:textId="77777777" w:rsidR="007523B8" w:rsidRPr="009E06AA" w:rsidRDefault="007523B8" w:rsidP="007E03CB">
            <w:pPr>
              <w:pStyle w:val="TableText"/>
              <w:spacing w:before="40" w:after="40"/>
              <w:jc w:val="right"/>
              <w:rPr>
                <w:rFonts w:cs="Calibri"/>
                <w:szCs w:val="16"/>
              </w:rPr>
            </w:pPr>
            <w:r w:rsidRPr="009E06AA">
              <w:rPr>
                <w:rFonts w:cs="Calibri"/>
                <w:szCs w:val="16"/>
              </w:rPr>
              <w:t>36</w:t>
            </w:r>
          </w:p>
        </w:tc>
        <w:tc>
          <w:tcPr>
            <w:tcW w:w="851" w:type="dxa"/>
            <w:tcBorders>
              <w:top w:val="single" w:sz="4" w:space="0" w:color="1B556B" w:themeColor="text2"/>
              <w:left w:val="nil"/>
              <w:bottom w:val="single" w:sz="4" w:space="0" w:color="1B556B" w:themeColor="text2"/>
              <w:right w:val="nil"/>
            </w:tcBorders>
            <w:shd w:val="clear" w:color="auto" w:fill="auto"/>
          </w:tcPr>
          <w:p w14:paraId="5A0F6F7E" w14:textId="77777777" w:rsidR="007523B8" w:rsidRPr="009E06AA" w:rsidRDefault="007523B8" w:rsidP="007E03CB">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1D351941" w14:textId="77777777" w:rsidR="007523B8" w:rsidRPr="009E06AA" w:rsidRDefault="007523B8" w:rsidP="007E03CB">
            <w:pPr>
              <w:pStyle w:val="TableText"/>
              <w:spacing w:before="40" w:after="40"/>
              <w:jc w:val="right"/>
              <w:rPr>
                <w:rFonts w:cs="Calibri"/>
                <w:szCs w:val="16"/>
              </w:rPr>
            </w:pPr>
            <w:r w:rsidRPr="009E06AA">
              <w:rPr>
                <w:rFonts w:cs="Calibri"/>
                <w:szCs w:val="16"/>
              </w:rPr>
              <w:t>84</w:t>
            </w:r>
          </w:p>
        </w:tc>
      </w:tr>
      <w:tr w:rsidR="007523B8" w:rsidRPr="009E06AA" w14:paraId="611E1AD8" w14:textId="77777777" w:rsidTr="00B55F24">
        <w:tc>
          <w:tcPr>
            <w:tcW w:w="2098" w:type="dxa"/>
            <w:tcBorders>
              <w:top w:val="single" w:sz="4" w:space="0" w:color="1B556B" w:themeColor="text2"/>
              <w:left w:val="nil"/>
              <w:bottom w:val="single" w:sz="4" w:space="0" w:color="1B556B" w:themeColor="text2"/>
              <w:right w:val="nil"/>
            </w:tcBorders>
            <w:shd w:val="clear" w:color="auto" w:fill="auto"/>
          </w:tcPr>
          <w:p w14:paraId="1378AB9F" w14:textId="77777777" w:rsidR="007523B8" w:rsidRPr="009E06AA" w:rsidRDefault="007523B8" w:rsidP="00B55F24">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175CA976" w14:textId="77777777" w:rsidR="007523B8" w:rsidRPr="009E06AA" w:rsidRDefault="007523B8" w:rsidP="00B55F24">
            <w:pPr>
              <w:pStyle w:val="TableText"/>
              <w:spacing w:before="40" w:after="40"/>
              <w:rPr>
                <w:rFonts w:cs="Calibri"/>
                <w:szCs w:val="16"/>
              </w:rPr>
            </w:pPr>
            <w:r w:rsidRPr="009E06AA">
              <w:rPr>
                <w:rFonts w:cs="Calibri"/>
                <w:szCs w:val="16"/>
              </w:rPr>
              <w:t>Low slope (0–12</w:t>
            </w:r>
            <w:r w:rsidRPr="009E06AA">
              <w:rPr>
                <w:rFonts w:cs="Calibri"/>
                <w:szCs w:val="16"/>
                <w:vertAlign w:val="superscript"/>
              </w:rPr>
              <w:t>o</w:t>
            </w:r>
            <w:r w:rsidRPr="009E06AA">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58DDDE45" w14:textId="77777777" w:rsidR="007523B8" w:rsidRPr="009E06AA" w:rsidRDefault="007523B8" w:rsidP="007E03CB">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52A4E511" w14:textId="77777777" w:rsidR="007523B8" w:rsidRPr="009E06AA" w:rsidRDefault="007523B8" w:rsidP="007E03CB">
            <w:pPr>
              <w:pStyle w:val="TableText"/>
              <w:spacing w:before="40" w:after="40"/>
              <w:jc w:val="right"/>
              <w:rPr>
                <w:rFonts w:cs="Calibri"/>
                <w:szCs w:val="16"/>
              </w:rPr>
            </w:pPr>
            <w:r w:rsidRPr="009E06AA">
              <w:rPr>
                <w:rFonts w:cs="Calibri"/>
                <w:szCs w:val="16"/>
              </w:rPr>
              <w:t>26</w:t>
            </w:r>
          </w:p>
        </w:tc>
        <w:tc>
          <w:tcPr>
            <w:tcW w:w="851" w:type="dxa"/>
            <w:tcBorders>
              <w:top w:val="single" w:sz="4" w:space="0" w:color="1B556B" w:themeColor="text2"/>
              <w:left w:val="nil"/>
              <w:bottom w:val="single" w:sz="4" w:space="0" w:color="1B556B" w:themeColor="text2"/>
              <w:right w:val="nil"/>
            </w:tcBorders>
            <w:shd w:val="clear" w:color="auto" w:fill="auto"/>
          </w:tcPr>
          <w:p w14:paraId="1AF49B83" w14:textId="77777777" w:rsidR="007523B8" w:rsidRPr="009E06AA" w:rsidRDefault="007523B8" w:rsidP="007E03CB">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34FEBE5E" w14:textId="77777777" w:rsidR="007523B8" w:rsidRPr="009E06AA" w:rsidRDefault="007523B8" w:rsidP="007E03CB">
            <w:pPr>
              <w:pStyle w:val="TableText"/>
              <w:spacing w:before="40" w:after="40"/>
              <w:jc w:val="right"/>
              <w:rPr>
                <w:rFonts w:cs="Calibri"/>
                <w:szCs w:val="16"/>
              </w:rPr>
            </w:pPr>
            <w:r w:rsidRPr="009E06AA">
              <w:rPr>
                <w:rFonts w:cs="Calibri"/>
                <w:szCs w:val="16"/>
              </w:rPr>
              <w:t>20</w:t>
            </w:r>
          </w:p>
        </w:tc>
        <w:tc>
          <w:tcPr>
            <w:tcW w:w="851" w:type="dxa"/>
            <w:tcBorders>
              <w:top w:val="single" w:sz="4" w:space="0" w:color="1B556B" w:themeColor="text2"/>
              <w:left w:val="nil"/>
              <w:bottom w:val="single" w:sz="4" w:space="0" w:color="1B556B" w:themeColor="text2"/>
              <w:right w:val="nil"/>
            </w:tcBorders>
            <w:shd w:val="clear" w:color="auto" w:fill="auto"/>
          </w:tcPr>
          <w:p w14:paraId="2BD9E475" w14:textId="77777777" w:rsidR="007523B8" w:rsidRPr="009E06AA" w:rsidRDefault="007523B8" w:rsidP="007E03CB">
            <w:pPr>
              <w:pStyle w:val="TableText"/>
              <w:spacing w:before="40" w:after="40"/>
              <w:jc w:val="right"/>
              <w:rPr>
                <w:rFonts w:cs="Calibri"/>
                <w:szCs w:val="16"/>
              </w:rPr>
            </w:pPr>
            <w:r w:rsidRPr="009E06AA">
              <w:rPr>
                <w:rFonts w:cs="Calibri"/>
                <w:szCs w:val="16"/>
              </w:rPr>
              <w:t>46</w:t>
            </w:r>
          </w:p>
        </w:tc>
      </w:tr>
      <w:tr w:rsidR="007523B8" w:rsidRPr="009E06AA" w14:paraId="1F5581B5" w14:textId="77777777" w:rsidTr="00B55F24">
        <w:tc>
          <w:tcPr>
            <w:tcW w:w="2098" w:type="dxa"/>
            <w:tcBorders>
              <w:top w:val="single" w:sz="4" w:space="0" w:color="1B556B" w:themeColor="text2"/>
              <w:left w:val="nil"/>
              <w:bottom w:val="single" w:sz="4" w:space="0" w:color="1B556B" w:themeColor="text2"/>
              <w:right w:val="nil"/>
            </w:tcBorders>
            <w:shd w:val="clear" w:color="auto" w:fill="auto"/>
          </w:tcPr>
          <w:p w14:paraId="5AF8AF1A" w14:textId="77777777" w:rsidR="007523B8" w:rsidRPr="009E06AA" w:rsidRDefault="007523B8" w:rsidP="00B55F24">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11626219" w14:textId="77777777" w:rsidR="007523B8" w:rsidRPr="009E06AA" w:rsidRDefault="007523B8" w:rsidP="00B55F24">
            <w:pPr>
              <w:pStyle w:val="TableText"/>
              <w:spacing w:before="40" w:after="40"/>
              <w:rPr>
                <w:rFonts w:cs="Calibri"/>
                <w:szCs w:val="16"/>
              </w:rPr>
            </w:pPr>
            <w:r w:rsidRPr="009E06AA">
              <w:rPr>
                <w:rFonts w:cs="Calibri"/>
                <w:szCs w:val="16"/>
              </w:rPr>
              <w:t>Medium slope (12–24</w:t>
            </w:r>
            <w:r w:rsidRPr="009E06AA">
              <w:rPr>
                <w:rFonts w:cs="Calibri"/>
                <w:szCs w:val="16"/>
                <w:vertAlign w:val="superscript"/>
              </w:rPr>
              <w:t>o</w:t>
            </w:r>
            <w:r w:rsidRPr="009E06AA">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065A10E8" w14:textId="77777777" w:rsidR="007523B8" w:rsidRPr="009E06AA" w:rsidRDefault="007523B8" w:rsidP="007E03CB">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4847541F" w14:textId="77777777" w:rsidR="007523B8" w:rsidRPr="009E06AA" w:rsidRDefault="007523B8" w:rsidP="007E03CB">
            <w:pPr>
              <w:pStyle w:val="TableText"/>
              <w:spacing w:before="40" w:after="40"/>
              <w:jc w:val="right"/>
              <w:rPr>
                <w:rFonts w:cs="Calibri"/>
                <w:szCs w:val="16"/>
              </w:rPr>
            </w:pPr>
            <w:r w:rsidRPr="009E06AA">
              <w:rPr>
                <w:rFonts w:cs="Calibri"/>
                <w:szCs w:val="16"/>
              </w:rPr>
              <w:t>20</w:t>
            </w:r>
          </w:p>
        </w:tc>
        <w:tc>
          <w:tcPr>
            <w:tcW w:w="851" w:type="dxa"/>
            <w:tcBorders>
              <w:top w:val="single" w:sz="4" w:space="0" w:color="1B556B" w:themeColor="text2"/>
              <w:left w:val="nil"/>
              <w:bottom w:val="single" w:sz="4" w:space="0" w:color="1B556B" w:themeColor="text2"/>
              <w:right w:val="nil"/>
            </w:tcBorders>
            <w:shd w:val="clear" w:color="auto" w:fill="auto"/>
          </w:tcPr>
          <w:p w14:paraId="7372F9CF" w14:textId="77777777" w:rsidR="007523B8" w:rsidRPr="009E06AA" w:rsidRDefault="007523B8" w:rsidP="007E03CB">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1CE65E28" w14:textId="77777777" w:rsidR="007523B8" w:rsidRPr="009E06AA" w:rsidRDefault="007523B8" w:rsidP="007E03CB">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4CB6E3FF" w14:textId="77777777" w:rsidR="007523B8" w:rsidRPr="009E06AA" w:rsidRDefault="007523B8" w:rsidP="007E03CB">
            <w:pPr>
              <w:pStyle w:val="TableText"/>
              <w:spacing w:before="40" w:after="40"/>
              <w:jc w:val="right"/>
              <w:rPr>
                <w:rFonts w:cs="Calibri"/>
                <w:szCs w:val="16"/>
              </w:rPr>
            </w:pPr>
            <w:r w:rsidRPr="009E06AA">
              <w:rPr>
                <w:rFonts w:cs="Calibri"/>
                <w:szCs w:val="16"/>
              </w:rPr>
              <w:t>20</w:t>
            </w:r>
          </w:p>
        </w:tc>
      </w:tr>
      <w:tr w:rsidR="007523B8" w:rsidRPr="009E06AA" w14:paraId="589CC9B8" w14:textId="77777777" w:rsidTr="00B55F24">
        <w:tc>
          <w:tcPr>
            <w:tcW w:w="2098" w:type="dxa"/>
            <w:tcBorders>
              <w:top w:val="single" w:sz="4" w:space="0" w:color="1B556B" w:themeColor="text2"/>
              <w:left w:val="nil"/>
              <w:bottom w:val="single" w:sz="4" w:space="0" w:color="1B556B" w:themeColor="text2"/>
              <w:right w:val="nil"/>
            </w:tcBorders>
            <w:shd w:val="clear" w:color="auto" w:fill="auto"/>
          </w:tcPr>
          <w:p w14:paraId="2E5DCEF4" w14:textId="77777777" w:rsidR="007523B8" w:rsidRPr="009E06AA" w:rsidRDefault="007523B8" w:rsidP="00B55F24">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5FD92415" w14:textId="77777777" w:rsidR="007523B8" w:rsidRPr="009E06AA" w:rsidRDefault="007523B8" w:rsidP="00B55F24">
            <w:pPr>
              <w:pStyle w:val="TableText"/>
              <w:spacing w:before="40" w:after="40"/>
              <w:rPr>
                <w:rFonts w:cs="Calibri"/>
                <w:szCs w:val="16"/>
              </w:rPr>
            </w:pPr>
            <w:r w:rsidRPr="009E06AA">
              <w:rPr>
                <w:rFonts w:cs="Calibri"/>
                <w:szCs w:val="16"/>
              </w:rPr>
              <w:t>Steep slope (&gt;24</w:t>
            </w:r>
            <w:r w:rsidRPr="009E06AA">
              <w:rPr>
                <w:rFonts w:cs="Calibri"/>
                <w:szCs w:val="16"/>
                <w:vertAlign w:val="superscript"/>
              </w:rPr>
              <w:t>o</w:t>
            </w:r>
            <w:r w:rsidRPr="009E06AA">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284A115F" w14:textId="77777777" w:rsidR="007523B8" w:rsidRPr="009E06AA" w:rsidRDefault="007523B8" w:rsidP="007E03CB">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3C8937E3" w14:textId="77777777" w:rsidR="007523B8" w:rsidRPr="009E06AA" w:rsidRDefault="007523B8" w:rsidP="007E03CB">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7731D927" w14:textId="77777777" w:rsidR="007523B8" w:rsidRPr="009E06AA" w:rsidRDefault="007523B8" w:rsidP="007E03CB">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4E649744" w14:textId="77777777" w:rsidR="007523B8" w:rsidRPr="009E06AA" w:rsidRDefault="007523B8" w:rsidP="007E03CB">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040BED57" w14:textId="77777777" w:rsidR="007523B8" w:rsidRPr="009E06AA" w:rsidRDefault="007523B8" w:rsidP="007E03CB">
            <w:pPr>
              <w:pStyle w:val="TableText"/>
              <w:spacing w:before="40" w:after="40"/>
              <w:jc w:val="right"/>
              <w:rPr>
                <w:rFonts w:cs="Calibri"/>
                <w:szCs w:val="16"/>
              </w:rPr>
            </w:pPr>
          </w:p>
        </w:tc>
      </w:tr>
      <w:tr w:rsidR="007523B8" w:rsidRPr="009E06AA" w14:paraId="41BC02FD" w14:textId="77777777" w:rsidTr="00B55F24">
        <w:tc>
          <w:tcPr>
            <w:tcW w:w="2098" w:type="dxa"/>
            <w:tcBorders>
              <w:top w:val="single" w:sz="4" w:space="0" w:color="1B556B" w:themeColor="text2"/>
              <w:left w:val="nil"/>
              <w:bottom w:val="single" w:sz="4" w:space="0" w:color="1B556B" w:themeColor="text2"/>
              <w:right w:val="nil"/>
            </w:tcBorders>
            <w:shd w:val="clear" w:color="auto" w:fill="auto"/>
          </w:tcPr>
          <w:p w14:paraId="11F36AA5" w14:textId="77777777" w:rsidR="007523B8" w:rsidRPr="009E06AA" w:rsidRDefault="007523B8" w:rsidP="00B55F24">
            <w:pPr>
              <w:pStyle w:val="TableText"/>
              <w:spacing w:before="40" w:after="40"/>
              <w:rPr>
                <w:rFonts w:cs="Calibri"/>
                <w:szCs w:val="16"/>
              </w:rPr>
            </w:pPr>
            <w:r w:rsidRPr="009E06AA">
              <w:rPr>
                <w:rFonts w:cs="Calibri"/>
                <w:szCs w:val="16"/>
              </w:rPr>
              <w:t>Non-dairy cattle urine</w:t>
            </w:r>
          </w:p>
        </w:tc>
        <w:tc>
          <w:tcPr>
            <w:tcW w:w="1814" w:type="dxa"/>
            <w:tcBorders>
              <w:top w:val="single" w:sz="4" w:space="0" w:color="1B556B" w:themeColor="text2"/>
              <w:left w:val="nil"/>
              <w:bottom w:val="single" w:sz="4" w:space="0" w:color="1B556B" w:themeColor="text2"/>
              <w:right w:val="nil"/>
            </w:tcBorders>
          </w:tcPr>
          <w:p w14:paraId="424EE467" w14:textId="77777777" w:rsidR="007523B8" w:rsidRPr="009E06AA" w:rsidRDefault="007523B8" w:rsidP="00B55F24">
            <w:pPr>
              <w:pStyle w:val="TableText"/>
              <w:spacing w:before="40" w:after="40"/>
              <w:rPr>
                <w:rFonts w:cs="Calibri"/>
                <w:szCs w:val="16"/>
              </w:rPr>
            </w:pPr>
            <w:r w:rsidRPr="009E06AA">
              <w:rPr>
                <w:rFonts w:cs="Calibri"/>
                <w:szCs w:val="16"/>
              </w:rPr>
              <w:t>Flatland (0</w:t>
            </w:r>
            <w:r w:rsidRPr="009E06AA">
              <w:rPr>
                <w:rFonts w:cs="Calibri"/>
                <w:szCs w:val="16"/>
                <w:vertAlign w:val="superscript"/>
              </w:rPr>
              <w:t>o</w:t>
            </w:r>
            <w:r w:rsidRPr="009E06AA">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679D208D" w14:textId="77777777" w:rsidR="007523B8" w:rsidRPr="009E06AA" w:rsidRDefault="007523B8" w:rsidP="007E03CB">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11F6B8F6" w14:textId="77777777" w:rsidR="007523B8" w:rsidRPr="009E06AA" w:rsidRDefault="007523B8" w:rsidP="007E03CB">
            <w:pPr>
              <w:pStyle w:val="TableText"/>
              <w:spacing w:before="40" w:after="40"/>
              <w:jc w:val="right"/>
              <w:rPr>
                <w:rFonts w:cs="Calibri"/>
                <w:szCs w:val="16"/>
              </w:rPr>
            </w:pPr>
            <w:r w:rsidRPr="009E06AA">
              <w:rPr>
                <w:rFonts w:cs="Calibri"/>
                <w:szCs w:val="16"/>
              </w:rPr>
              <w:t>8</w:t>
            </w:r>
          </w:p>
        </w:tc>
        <w:tc>
          <w:tcPr>
            <w:tcW w:w="851" w:type="dxa"/>
            <w:tcBorders>
              <w:top w:val="single" w:sz="4" w:space="0" w:color="1B556B" w:themeColor="text2"/>
              <w:left w:val="nil"/>
              <w:bottom w:val="single" w:sz="4" w:space="0" w:color="1B556B" w:themeColor="text2"/>
              <w:right w:val="nil"/>
            </w:tcBorders>
            <w:shd w:val="clear" w:color="auto" w:fill="auto"/>
          </w:tcPr>
          <w:p w14:paraId="412272E2" w14:textId="77777777" w:rsidR="007523B8" w:rsidRPr="009E06AA" w:rsidRDefault="007523B8" w:rsidP="007E03CB">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619E26CF" w14:textId="77777777" w:rsidR="007523B8" w:rsidRPr="009E06AA" w:rsidRDefault="007523B8" w:rsidP="007E03CB">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0B43C3D2" w14:textId="77777777" w:rsidR="007523B8" w:rsidRPr="009E06AA" w:rsidRDefault="007523B8" w:rsidP="007E03CB">
            <w:pPr>
              <w:pStyle w:val="TableText"/>
              <w:spacing w:before="40" w:after="40"/>
              <w:jc w:val="right"/>
              <w:rPr>
                <w:rFonts w:cs="Calibri"/>
                <w:szCs w:val="16"/>
              </w:rPr>
            </w:pPr>
            <w:r w:rsidRPr="009E06AA">
              <w:rPr>
                <w:rFonts w:cs="Calibri"/>
                <w:szCs w:val="16"/>
              </w:rPr>
              <w:t>8</w:t>
            </w:r>
          </w:p>
        </w:tc>
      </w:tr>
      <w:tr w:rsidR="007523B8" w:rsidRPr="009E06AA" w14:paraId="27EA66E3" w14:textId="77777777" w:rsidTr="00B55F24">
        <w:tc>
          <w:tcPr>
            <w:tcW w:w="2098" w:type="dxa"/>
            <w:tcBorders>
              <w:top w:val="single" w:sz="4" w:space="0" w:color="1B556B" w:themeColor="text2"/>
              <w:left w:val="nil"/>
              <w:bottom w:val="single" w:sz="4" w:space="0" w:color="1B556B" w:themeColor="text2"/>
              <w:right w:val="nil"/>
            </w:tcBorders>
            <w:shd w:val="clear" w:color="auto" w:fill="auto"/>
          </w:tcPr>
          <w:p w14:paraId="64CB8A7C" w14:textId="77777777" w:rsidR="007523B8" w:rsidRPr="009E06AA" w:rsidRDefault="007523B8" w:rsidP="00B55F24">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6F8CAA6F" w14:textId="77777777" w:rsidR="007523B8" w:rsidRPr="009E06AA" w:rsidRDefault="007523B8" w:rsidP="00B55F24">
            <w:pPr>
              <w:pStyle w:val="TableText"/>
              <w:spacing w:before="40" w:after="40"/>
              <w:rPr>
                <w:rFonts w:cs="Calibri"/>
                <w:szCs w:val="16"/>
              </w:rPr>
            </w:pPr>
            <w:r w:rsidRPr="009E06AA">
              <w:rPr>
                <w:rFonts w:cs="Calibri"/>
                <w:szCs w:val="16"/>
              </w:rPr>
              <w:t>Low slope (0–12</w:t>
            </w:r>
            <w:r w:rsidRPr="009E06AA">
              <w:rPr>
                <w:rFonts w:cs="Calibri"/>
                <w:szCs w:val="16"/>
                <w:vertAlign w:val="superscript"/>
              </w:rPr>
              <w:t>o</w:t>
            </w:r>
            <w:r w:rsidRPr="009E06AA">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02735A0A" w14:textId="77777777" w:rsidR="007523B8" w:rsidRPr="009E06AA" w:rsidRDefault="007523B8" w:rsidP="007E03CB">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1E51F2E6" w14:textId="77777777" w:rsidR="007523B8" w:rsidRPr="009E06AA" w:rsidRDefault="007523B8" w:rsidP="007E03CB">
            <w:pPr>
              <w:pStyle w:val="TableText"/>
              <w:spacing w:before="40" w:after="40"/>
              <w:jc w:val="right"/>
              <w:rPr>
                <w:rFonts w:cs="Calibri"/>
                <w:szCs w:val="16"/>
              </w:rPr>
            </w:pPr>
            <w:r w:rsidRPr="009E06AA">
              <w:rPr>
                <w:rFonts w:cs="Calibri"/>
                <w:szCs w:val="16"/>
              </w:rPr>
              <w:t>20</w:t>
            </w:r>
          </w:p>
        </w:tc>
        <w:tc>
          <w:tcPr>
            <w:tcW w:w="851" w:type="dxa"/>
            <w:tcBorders>
              <w:top w:val="single" w:sz="4" w:space="0" w:color="1B556B" w:themeColor="text2"/>
              <w:left w:val="nil"/>
              <w:bottom w:val="single" w:sz="4" w:space="0" w:color="1B556B" w:themeColor="text2"/>
              <w:right w:val="nil"/>
            </w:tcBorders>
            <w:shd w:val="clear" w:color="auto" w:fill="auto"/>
          </w:tcPr>
          <w:p w14:paraId="48E01D0D" w14:textId="77777777" w:rsidR="007523B8" w:rsidRPr="009E06AA" w:rsidRDefault="007523B8" w:rsidP="007E03CB">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58C74EBE" w14:textId="77777777" w:rsidR="007523B8" w:rsidRPr="009E06AA" w:rsidRDefault="007523B8" w:rsidP="007E03CB">
            <w:pPr>
              <w:pStyle w:val="TableText"/>
              <w:spacing w:before="40" w:after="40"/>
              <w:jc w:val="right"/>
              <w:rPr>
                <w:rFonts w:cs="Calibri"/>
                <w:szCs w:val="16"/>
              </w:rPr>
            </w:pPr>
            <w:r w:rsidRPr="009E06AA">
              <w:rPr>
                <w:rFonts w:cs="Calibri"/>
                <w:szCs w:val="16"/>
              </w:rPr>
              <w:t>20</w:t>
            </w:r>
          </w:p>
        </w:tc>
        <w:tc>
          <w:tcPr>
            <w:tcW w:w="851" w:type="dxa"/>
            <w:tcBorders>
              <w:top w:val="single" w:sz="4" w:space="0" w:color="1B556B" w:themeColor="text2"/>
              <w:left w:val="nil"/>
              <w:bottom w:val="single" w:sz="4" w:space="0" w:color="1B556B" w:themeColor="text2"/>
              <w:right w:val="nil"/>
            </w:tcBorders>
            <w:shd w:val="clear" w:color="auto" w:fill="auto"/>
          </w:tcPr>
          <w:p w14:paraId="7124B2C0" w14:textId="77777777" w:rsidR="007523B8" w:rsidRPr="009E06AA" w:rsidRDefault="007523B8" w:rsidP="007E03CB">
            <w:pPr>
              <w:pStyle w:val="TableText"/>
              <w:spacing w:before="40" w:after="40"/>
              <w:jc w:val="right"/>
              <w:rPr>
                <w:rFonts w:cs="Calibri"/>
                <w:szCs w:val="16"/>
              </w:rPr>
            </w:pPr>
            <w:r w:rsidRPr="009E06AA">
              <w:rPr>
                <w:rFonts w:cs="Calibri"/>
                <w:szCs w:val="16"/>
              </w:rPr>
              <w:t>40</w:t>
            </w:r>
          </w:p>
        </w:tc>
      </w:tr>
      <w:tr w:rsidR="007523B8" w:rsidRPr="009E06AA" w14:paraId="679CA0B4" w14:textId="77777777" w:rsidTr="00B55F24">
        <w:tc>
          <w:tcPr>
            <w:tcW w:w="2098" w:type="dxa"/>
            <w:tcBorders>
              <w:top w:val="single" w:sz="4" w:space="0" w:color="1B556B" w:themeColor="text2"/>
              <w:left w:val="nil"/>
              <w:bottom w:val="single" w:sz="4" w:space="0" w:color="1B556B" w:themeColor="text2"/>
              <w:right w:val="nil"/>
            </w:tcBorders>
            <w:shd w:val="clear" w:color="auto" w:fill="auto"/>
          </w:tcPr>
          <w:p w14:paraId="6679E51C" w14:textId="77777777" w:rsidR="007523B8" w:rsidRPr="009E06AA" w:rsidRDefault="007523B8" w:rsidP="00B55F24">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6D574A6C" w14:textId="77777777" w:rsidR="007523B8" w:rsidRPr="009E06AA" w:rsidRDefault="007523B8" w:rsidP="00B55F24">
            <w:pPr>
              <w:pStyle w:val="TableText"/>
              <w:spacing w:before="40" w:after="40"/>
              <w:rPr>
                <w:rFonts w:cs="Calibri"/>
                <w:szCs w:val="16"/>
              </w:rPr>
            </w:pPr>
            <w:r w:rsidRPr="009E06AA">
              <w:rPr>
                <w:rFonts w:cs="Calibri"/>
                <w:szCs w:val="16"/>
              </w:rPr>
              <w:t>Medium slope (12–24</w:t>
            </w:r>
            <w:r w:rsidRPr="009E06AA">
              <w:rPr>
                <w:rFonts w:cs="Calibri"/>
                <w:szCs w:val="16"/>
                <w:vertAlign w:val="superscript"/>
              </w:rPr>
              <w:t>o</w:t>
            </w:r>
            <w:r w:rsidRPr="009E06AA">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48CEF69D" w14:textId="77777777" w:rsidR="007523B8" w:rsidRPr="009E06AA" w:rsidRDefault="007523B8" w:rsidP="007E03CB">
            <w:pPr>
              <w:pStyle w:val="TableText"/>
              <w:spacing w:before="40" w:after="40"/>
              <w:jc w:val="right"/>
              <w:rPr>
                <w:rFonts w:cs="Calibri"/>
                <w:szCs w:val="16"/>
              </w:rPr>
            </w:pPr>
            <w:r w:rsidRPr="009E06AA">
              <w:rPr>
                <w:rFonts w:cs="Calibri"/>
                <w:szCs w:val="16"/>
              </w:rPr>
              <w:t>10</w:t>
            </w:r>
          </w:p>
        </w:tc>
        <w:tc>
          <w:tcPr>
            <w:tcW w:w="851" w:type="dxa"/>
            <w:tcBorders>
              <w:top w:val="single" w:sz="4" w:space="0" w:color="1B556B" w:themeColor="text2"/>
              <w:left w:val="nil"/>
              <w:bottom w:val="single" w:sz="4" w:space="0" w:color="1B556B" w:themeColor="text2"/>
              <w:right w:val="nil"/>
            </w:tcBorders>
            <w:shd w:val="clear" w:color="auto" w:fill="auto"/>
          </w:tcPr>
          <w:p w14:paraId="46D7B5BC" w14:textId="77777777" w:rsidR="007523B8" w:rsidRPr="009E06AA" w:rsidRDefault="007523B8" w:rsidP="007E03CB">
            <w:pPr>
              <w:pStyle w:val="TableText"/>
              <w:spacing w:before="40" w:after="40"/>
              <w:jc w:val="right"/>
              <w:rPr>
                <w:rFonts w:cs="Calibri"/>
                <w:szCs w:val="16"/>
              </w:rPr>
            </w:pPr>
            <w:r w:rsidRPr="009E06AA">
              <w:rPr>
                <w:rFonts w:cs="Calibri"/>
                <w:szCs w:val="16"/>
              </w:rPr>
              <w:t>30</w:t>
            </w:r>
          </w:p>
        </w:tc>
        <w:tc>
          <w:tcPr>
            <w:tcW w:w="851" w:type="dxa"/>
            <w:tcBorders>
              <w:top w:val="single" w:sz="4" w:space="0" w:color="1B556B" w:themeColor="text2"/>
              <w:left w:val="nil"/>
              <w:bottom w:val="single" w:sz="4" w:space="0" w:color="1B556B" w:themeColor="text2"/>
              <w:right w:val="nil"/>
            </w:tcBorders>
            <w:shd w:val="clear" w:color="auto" w:fill="auto"/>
          </w:tcPr>
          <w:p w14:paraId="5C63B8D3" w14:textId="77777777" w:rsidR="007523B8" w:rsidRPr="009E06AA" w:rsidRDefault="007523B8" w:rsidP="007E03CB">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78B65416" w14:textId="77777777" w:rsidR="007523B8" w:rsidRPr="009E06AA" w:rsidRDefault="007523B8" w:rsidP="007E03CB">
            <w:pPr>
              <w:pStyle w:val="TableText"/>
              <w:spacing w:before="40" w:after="40"/>
              <w:jc w:val="right"/>
              <w:rPr>
                <w:rFonts w:cs="Calibri"/>
                <w:szCs w:val="16"/>
              </w:rPr>
            </w:pPr>
            <w:r w:rsidRPr="009E06AA">
              <w:rPr>
                <w:rFonts w:cs="Calibri"/>
                <w:szCs w:val="16"/>
              </w:rPr>
              <w:t>20</w:t>
            </w:r>
          </w:p>
        </w:tc>
        <w:tc>
          <w:tcPr>
            <w:tcW w:w="851" w:type="dxa"/>
            <w:tcBorders>
              <w:top w:val="single" w:sz="4" w:space="0" w:color="1B556B" w:themeColor="text2"/>
              <w:left w:val="nil"/>
              <w:bottom w:val="single" w:sz="4" w:space="0" w:color="1B556B" w:themeColor="text2"/>
              <w:right w:val="nil"/>
            </w:tcBorders>
            <w:shd w:val="clear" w:color="auto" w:fill="auto"/>
          </w:tcPr>
          <w:p w14:paraId="05C4BD3E" w14:textId="77777777" w:rsidR="007523B8" w:rsidRPr="009E06AA" w:rsidRDefault="007523B8" w:rsidP="007E03CB">
            <w:pPr>
              <w:pStyle w:val="TableText"/>
              <w:spacing w:before="40" w:after="40"/>
              <w:jc w:val="right"/>
              <w:rPr>
                <w:rFonts w:cs="Calibri"/>
                <w:szCs w:val="16"/>
              </w:rPr>
            </w:pPr>
            <w:r w:rsidRPr="009E06AA">
              <w:rPr>
                <w:rFonts w:cs="Calibri"/>
                <w:szCs w:val="16"/>
              </w:rPr>
              <w:t>60</w:t>
            </w:r>
          </w:p>
        </w:tc>
      </w:tr>
      <w:tr w:rsidR="007523B8" w:rsidRPr="009E06AA" w14:paraId="0BA92849" w14:textId="77777777" w:rsidTr="00B55F24">
        <w:tc>
          <w:tcPr>
            <w:tcW w:w="2098" w:type="dxa"/>
            <w:tcBorders>
              <w:top w:val="single" w:sz="4" w:space="0" w:color="1B556B" w:themeColor="text2"/>
              <w:left w:val="nil"/>
              <w:bottom w:val="single" w:sz="4" w:space="0" w:color="1B556B" w:themeColor="text2"/>
              <w:right w:val="nil"/>
            </w:tcBorders>
            <w:shd w:val="clear" w:color="auto" w:fill="auto"/>
          </w:tcPr>
          <w:p w14:paraId="7ECE0788" w14:textId="77777777" w:rsidR="007523B8" w:rsidRPr="009E06AA" w:rsidRDefault="007523B8" w:rsidP="00B55F24">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4103ED0F" w14:textId="77777777" w:rsidR="007523B8" w:rsidRPr="009E06AA" w:rsidRDefault="007523B8" w:rsidP="00B55F24">
            <w:pPr>
              <w:pStyle w:val="TableText"/>
              <w:spacing w:before="40" w:after="40"/>
              <w:rPr>
                <w:rFonts w:cs="Calibri"/>
                <w:szCs w:val="16"/>
              </w:rPr>
            </w:pPr>
            <w:r w:rsidRPr="009E06AA">
              <w:rPr>
                <w:rFonts w:cs="Calibri"/>
                <w:szCs w:val="16"/>
              </w:rPr>
              <w:t>Steep slope (&gt;24</w:t>
            </w:r>
            <w:r w:rsidRPr="009E06AA">
              <w:rPr>
                <w:rFonts w:cs="Calibri"/>
                <w:szCs w:val="16"/>
                <w:vertAlign w:val="superscript"/>
              </w:rPr>
              <w:t>o</w:t>
            </w:r>
            <w:r w:rsidRPr="009E06AA">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4EAA2DA4" w14:textId="77777777" w:rsidR="007523B8" w:rsidRPr="009E06AA" w:rsidRDefault="007523B8" w:rsidP="007E03CB">
            <w:pPr>
              <w:pStyle w:val="TableText"/>
              <w:spacing w:before="40" w:after="40"/>
              <w:jc w:val="right"/>
              <w:rPr>
                <w:rFonts w:cs="Calibri"/>
                <w:szCs w:val="16"/>
              </w:rPr>
            </w:pPr>
            <w:r w:rsidRPr="009E06AA">
              <w:rPr>
                <w:rFonts w:cs="Calibri"/>
                <w:szCs w:val="16"/>
              </w:rPr>
              <w:t>10</w:t>
            </w:r>
          </w:p>
        </w:tc>
        <w:tc>
          <w:tcPr>
            <w:tcW w:w="851" w:type="dxa"/>
            <w:tcBorders>
              <w:top w:val="single" w:sz="4" w:space="0" w:color="1B556B" w:themeColor="text2"/>
              <w:left w:val="nil"/>
              <w:bottom w:val="single" w:sz="4" w:space="0" w:color="1B556B" w:themeColor="text2"/>
              <w:right w:val="nil"/>
            </w:tcBorders>
            <w:shd w:val="clear" w:color="auto" w:fill="auto"/>
          </w:tcPr>
          <w:p w14:paraId="71A5DA92" w14:textId="77777777" w:rsidR="007523B8" w:rsidRPr="009E06AA" w:rsidRDefault="007523B8" w:rsidP="007E03CB">
            <w:pPr>
              <w:pStyle w:val="TableText"/>
              <w:spacing w:before="40" w:after="40"/>
              <w:jc w:val="right"/>
              <w:rPr>
                <w:rFonts w:cs="Calibri"/>
                <w:szCs w:val="16"/>
              </w:rPr>
            </w:pPr>
            <w:r w:rsidRPr="009E06AA">
              <w:rPr>
                <w:rFonts w:cs="Calibri"/>
                <w:szCs w:val="16"/>
              </w:rPr>
              <w:t>10</w:t>
            </w:r>
          </w:p>
        </w:tc>
        <w:tc>
          <w:tcPr>
            <w:tcW w:w="851" w:type="dxa"/>
            <w:tcBorders>
              <w:top w:val="single" w:sz="4" w:space="0" w:color="1B556B" w:themeColor="text2"/>
              <w:left w:val="nil"/>
              <w:bottom w:val="single" w:sz="4" w:space="0" w:color="1B556B" w:themeColor="text2"/>
              <w:right w:val="nil"/>
            </w:tcBorders>
            <w:shd w:val="clear" w:color="auto" w:fill="auto"/>
          </w:tcPr>
          <w:p w14:paraId="02BF05C2" w14:textId="77777777" w:rsidR="007523B8" w:rsidRPr="009E06AA" w:rsidRDefault="007523B8" w:rsidP="007E03CB">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754C9A8C" w14:textId="77777777" w:rsidR="007523B8" w:rsidRPr="009E06AA" w:rsidRDefault="007523B8" w:rsidP="007E03CB">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16D1DA1C" w14:textId="77777777" w:rsidR="007523B8" w:rsidRPr="009E06AA" w:rsidRDefault="007523B8" w:rsidP="007E03CB">
            <w:pPr>
              <w:pStyle w:val="TableText"/>
              <w:spacing w:before="40" w:after="40"/>
              <w:jc w:val="right"/>
              <w:rPr>
                <w:rFonts w:cs="Calibri"/>
                <w:szCs w:val="16"/>
              </w:rPr>
            </w:pPr>
            <w:r w:rsidRPr="009E06AA">
              <w:rPr>
                <w:rFonts w:cs="Calibri"/>
                <w:szCs w:val="16"/>
              </w:rPr>
              <w:t>20</w:t>
            </w:r>
          </w:p>
        </w:tc>
      </w:tr>
      <w:tr w:rsidR="007523B8" w:rsidRPr="009E06AA" w14:paraId="2B023DDA" w14:textId="77777777" w:rsidTr="00B55F24">
        <w:tc>
          <w:tcPr>
            <w:tcW w:w="2098" w:type="dxa"/>
            <w:tcBorders>
              <w:top w:val="single" w:sz="4" w:space="0" w:color="1B556B" w:themeColor="text2"/>
              <w:left w:val="nil"/>
              <w:bottom w:val="single" w:sz="4" w:space="0" w:color="1B556B" w:themeColor="text2"/>
              <w:right w:val="nil"/>
            </w:tcBorders>
            <w:shd w:val="clear" w:color="auto" w:fill="auto"/>
          </w:tcPr>
          <w:p w14:paraId="737B3043" w14:textId="77777777" w:rsidR="007523B8" w:rsidRPr="009E06AA" w:rsidRDefault="007523B8" w:rsidP="00B55F24">
            <w:pPr>
              <w:pStyle w:val="TableText"/>
              <w:spacing w:before="40" w:after="40"/>
              <w:rPr>
                <w:rFonts w:cs="Calibri"/>
                <w:szCs w:val="16"/>
              </w:rPr>
            </w:pPr>
            <w:r w:rsidRPr="009E06AA">
              <w:rPr>
                <w:rFonts w:cs="Calibri"/>
                <w:szCs w:val="16"/>
              </w:rPr>
              <w:t>Non-dairy cattle dung</w:t>
            </w:r>
          </w:p>
        </w:tc>
        <w:tc>
          <w:tcPr>
            <w:tcW w:w="1814" w:type="dxa"/>
            <w:tcBorders>
              <w:top w:val="single" w:sz="4" w:space="0" w:color="1B556B" w:themeColor="text2"/>
              <w:left w:val="nil"/>
              <w:bottom w:val="single" w:sz="4" w:space="0" w:color="1B556B" w:themeColor="text2"/>
              <w:right w:val="nil"/>
            </w:tcBorders>
          </w:tcPr>
          <w:p w14:paraId="57F77FF0" w14:textId="77777777" w:rsidR="007523B8" w:rsidRPr="009E06AA" w:rsidRDefault="007523B8" w:rsidP="00B55F24">
            <w:pPr>
              <w:pStyle w:val="TableText"/>
              <w:spacing w:before="40" w:after="40"/>
              <w:rPr>
                <w:rFonts w:cs="Calibri"/>
                <w:szCs w:val="16"/>
              </w:rPr>
            </w:pPr>
            <w:r w:rsidRPr="009E06AA">
              <w:rPr>
                <w:rFonts w:cs="Calibri"/>
                <w:szCs w:val="16"/>
              </w:rPr>
              <w:t>Flatland (0</w:t>
            </w:r>
            <w:r w:rsidRPr="009E06AA">
              <w:rPr>
                <w:rFonts w:cs="Calibri"/>
                <w:szCs w:val="16"/>
                <w:vertAlign w:val="superscript"/>
              </w:rPr>
              <w:t>o</w:t>
            </w:r>
            <w:r w:rsidRPr="009E06AA">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4CF3EEEE" w14:textId="77777777" w:rsidR="007523B8" w:rsidRPr="009E06AA" w:rsidRDefault="007523B8" w:rsidP="007E03CB">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45220B02" w14:textId="77777777" w:rsidR="007523B8" w:rsidRPr="009E06AA" w:rsidRDefault="007523B8" w:rsidP="007E03CB">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460D30CE" w14:textId="77777777" w:rsidR="007523B8" w:rsidRPr="009E06AA" w:rsidRDefault="007523B8" w:rsidP="007E03CB">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031629F4" w14:textId="77777777" w:rsidR="007523B8" w:rsidRPr="009E06AA" w:rsidRDefault="007523B8" w:rsidP="007E03CB">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04542453" w14:textId="77777777" w:rsidR="007523B8" w:rsidRPr="009E06AA" w:rsidRDefault="007523B8" w:rsidP="007E03CB">
            <w:pPr>
              <w:pStyle w:val="TableText"/>
              <w:spacing w:before="40" w:after="40"/>
              <w:jc w:val="right"/>
              <w:rPr>
                <w:rFonts w:cs="Calibri"/>
                <w:szCs w:val="16"/>
              </w:rPr>
            </w:pPr>
          </w:p>
        </w:tc>
      </w:tr>
      <w:tr w:rsidR="007523B8" w:rsidRPr="009E06AA" w14:paraId="266750A4" w14:textId="77777777" w:rsidTr="00B55F24">
        <w:tc>
          <w:tcPr>
            <w:tcW w:w="2098" w:type="dxa"/>
            <w:tcBorders>
              <w:top w:val="single" w:sz="4" w:space="0" w:color="1B556B" w:themeColor="text2"/>
              <w:left w:val="nil"/>
              <w:bottom w:val="single" w:sz="4" w:space="0" w:color="1B556B" w:themeColor="text2"/>
              <w:right w:val="nil"/>
            </w:tcBorders>
            <w:shd w:val="clear" w:color="auto" w:fill="auto"/>
          </w:tcPr>
          <w:p w14:paraId="100B996C" w14:textId="77777777" w:rsidR="007523B8" w:rsidRPr="009E06AA" w:rsidRDefault="007523B8" w:rsidP="00B55F24">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28098889" w14:textId="77777777" w:rsidR="007523B8" w:rsidRPr="009E06AA" w:rsidRDefault="007523B8" w:rsidP="00B55F24">
            <w:pPr>
              <w:pStyle w:val="TableText"/>
              <w:spacing w:before="40" w:after="40"/>
              <w:rPr>
                <w:rFonts w:cs="Calibri"/>
                <w:szCs w:val="16"/>
              </w:rPr>
            </w:pPr>
            <w:r w:rsidRPr="009E06AA">
              <w:rPr>
                <w:rFonts w:cs="Calibri"/>
                <w:szCs w:val="16"/>
              </w:rPr>
              <w:t>Low slope (0–12</w:t>
            </w:r>
            <w:r w:rsidRPr="009E06AA">
              <w:rPr>
                <w:rFonts w:cs="Calibri"/>
                <w:szCs w:val="16"/>
                <w:vertAlign w:val="superscript"/>
              </w:rPr>
              <w:t>o</w:t>
            </w:r>
            <w:r w:rsidRPr="009E06AA">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10C7A5C2" w14:textId="77777777" w:rsidR="007523B8" w:rsidRPr="009E06AA" w:rsidRDefault="007523B8" w:rsidP="007E03CB">
            <w:pPr>
              <w:pStyle w:val="TableText"/>
              <w:spacing w:before="40" w:after="40"/>
              <w:jc w:val="right"/>
              <w:rPr>
                <w:rFonts w:cs="Calibri"/>
                <w:szCs w:val="16"/>
              </w:rPr>
            </w:pPr>
            <w:r w:rsidRPr="009E06AA">
              <w:rPr>
                <w:rFonts w:cs="Calibri"/>
                <w:szCs w:val="16"/>
              </w:rPr>
              <w:t>20</w:t>
            </w:r>
          </w:p>
        </w:tc>
        <w:tc>
          <w:tcPr>
            <w:tcW w:w="851" w:type="dxa"/>
            <w:tcBorders>
              <w:top w:val="single" w:sz="4" w:space="0" w:color="1B556B" w:themeColor="text2"/>
              <w:left w:val="nil"/>
              <w:bottom w:val="single" w:sz="4" w:space="0" w:color="1B556B" w:themeColor="text2"/>
              <w:right w:val="nil"/>
            </w:tcBorders>
            <w:shd w:val="clear" w:color="auto" w:fill="auto"/>
          </w:tcPr>
          <w:p w14:paraId="562EC53A" w14:textId="77777777" w:rsidR="007523B8" w:rsidRPr="009E06AA" w:rsidRDefault="007523B8" w:rsidP="007E03CB">
            <w:pPr>
              <w:pStyle w:val="TableText"/>
              <w:spacing w:before="40" w:after="40"/>
              <w:jc w:val="right"/>
              <w:rPr>
                <w:rFonts w:cs="Calibri"/>
                <w:szCs w:val="16"/>
              </w:rPr>
            </w:pPr>
            <w:r w:rsidRPr="009E06AA">
              <w:rPr>
                <w:rFonts w:cs="Calibri"/>
                <w:szCs w:val="16"/>
              </w:rPr>
              <w:t>28</w:t>
            </w:r>
          </w:p>
        </w:tc>
        <w:tc>
          <w:tcPr>
            <w:tcW w:w="851" w:type="dxa"/>
            <w:tcBorders>
              <w:top w:val="single" w:sz="4" w:space="0" w:color="1B556B" w:themeColor="text2"/>
              <w:left w:val="nil"/>
              <w:bottom w:val="single" w:sz="4" w:space="0" w:color="1B556B" w:themeColor="text2"/>
              <w:right w:val="nil"/>
            </w:tcBorders>
            <w:shd w:val="clear" w:color="auto" w:fill="auto"/>
          </w:tcPr>
          <w:p w14:paraId="5B5117AD" w14:textId="77777777" w:rsidR="007523B8" w:rsidRPr="009E06AA" w:rsidRDefault="007523B8" w:rsidP="007E03CB">
            <w:pPr>
              <w:pStyle w:val="TableText"/>
              <w:spacing w:before="40" w:after="40"/>
              <w:jc w:val="right"/>
              <w:rPr>
                <w:rFonts w:cs="Calibri"/>
                <w:szCs w:val="16"/>
              </w:rPr>
            </w:pPr>
            <w:r w:rsidRPr="009E06AA">
              <w:rPr>
                <w:rFonts w:cs="Calibri"/>
                <w:szCs w:val="16"/>
              </w:rPr>
              <w:t>8</w:t>
            </w:r>
          </w:p>
        </w:tc>
        <w:tc>
          <w:tcPr>
            <w:tcW w:w="851" w:type="dxa"/>
            <w:tcBorders>
              <w:top w:val="single" w:sz="4" w:space="0" w:color="1B556B" w:themeColor="text2"/>
              <w:left w:val="nil"/>
              <w:bottom w:val="single" w:sz="4" w:space="0" w:color="1B556B" w:themeColor="text2"/>
              <w:right w:val="nil"/>
            </w:tcBorders>
            <w:shd w:val="clear" w:color="auto" w:fill="auto"/>
          </w:tcPr>
          <w:p w14:paraId="510622A9" w14:textId="77777777" w:rsidR="007523B8" w:rsidRPr="009E06AA" w:rsidRDefault="007523B8" w:rsidP="007E03CB">
            <w:pPr>
              <w:pStyle w:val="TableText"/>
              <w:spacing w:before="40" w:after="40"/>
              <w:jc w:val="right"/>
              <w:rPr>
                <w:rFonts w:cs="Calibri"/>
                <w:szCs w:val="16"/>
              </w:rPr>
            </w:pPr>
            <w:r w:rsidRPr="009E06AA">
              <w:rPr>
                <w:rFonts w:cs="Calibri"/>
                <w:szCs w:val="16"/>
              </w:rPr>
              <w:t>20</w:t>
            </w:r>
          </w:p>
        </w:tc>
        <w:tc>
          <w:tcPr>
            <w:tcW w:w="851" w:type="dxa"/>
            <w:tcBorders>
              <w:top w:val="single" w:sz="4" w:space="0" w:color="1B556B" w:themeColor="text2"/>
              <w:left w:val="nil"/>
              <w:bottom w:val="single" w:sz="4" w:space="0" w:color="1B556B" w:themeColor="text2"/>
              <w:right w:val="nil"/>
            </w:tcBorders>
            <w:shd w:val="clear" w:color="auto" w:fill="auto"/>
          </w:tcPr>
          <w:p w14:paraId="736C8CED" w14:textId="77777777" w:rsidR="007523B8" w:rsidRPr="009E06AA" w:rsidRDefault="007523B8" w:rsidP="007E03CB">
            <w:pPr>
              <w:pStyle w:val="TableText"/>
              <w:spacing w:before="40" w:after="40"/>
              <w:jc w:val="right"/>
              <w:rPr>
                <w:rFonts w:cs="Calibri"/>
                <w:szCs w:val="16"/>
              </w:rPr>
            </w:pPr>
            <w:r w:rsidRPr="009E06AA">
              <w:rPr>
                <w:rFonts w:cs="Calibri"/>
                <w:szCs w:val="16"/>
              </w:rPr>
              <w:t>76</w:t>
            </w:r>
          </w:p>
        </w:tc>
      </w:tr>
      <w:tr w:rsidR="007523B8" w:rsidRPr="009E06AA" w14:paraId="679A9373" w14:textId="77777777" w:rsidTr="00B55F24">
        <w:tc>
          <w:tcPr>
            <w:tcW w:w="2098" w:type="dxa"/>
            <w:tcBorders>
              <w:top w:val="single" w:sz="4" w:space="0" w:color="1B556B" w:themeColor="text2"/>
              <w:left w:val="nil"/>
              <w:bottom w:val="single" w:sz="4" w:space="0" w:color="1B556B" w:themeColor="text2"/>
              <w:right w:val="nil"/>
            </w:tcBorders>
            <w:shd w:val="clear" w:color="auto" w:fill="auto"/>
          </w:tcPr>
          <w:p w14:paraId="648D76D2" w14:textId="77777777" w:rsidR="007523B8" w:rsidRPr="009E06AA" w:rsidRDefault="007523B8" w:rsidP="00B55F24">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22144EED" w14:textId="77777777" w:rsidR="007523B8" w:rsidRPr="009E06AA" w:rsidRDefault="007523B8" w:rsidP="00B55F24">
            <w:pPr>
              <w:pStyle w:val="TableText"/>
              <w:spacing w:before="40" w:after="40"/>
              <w:rPr>
                <w:rFonts w:cs="Calibri"/>
                <w:szCs w:val="16"/>
              </w:rPr>
            </w:pPr>
            <w:r w:rsidRPr="009E06AA">
              <w:rPr>
                <w:rFonts w:cs="Calibri"/>
                <w:szCs w:val="16"/>
              </w:rPr>
              <w:t>Medium slope (12–24</w:t>
            </w:r>
            <w:r w:rsidRPr="009E06AA">
              <w:rPr>
                <w:rFonts w:cs="Calibri"/>
                <w:szCs w:val="16"/>
                <w:vertAlign w:val="superscript"/>
              </w:rPr>
              <w:t>o</w:t>
            </w:r>
            <w:r w:rsidRPr="009E06AA">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00249E83" w14:textId="77777777" w:rsidR="007523B8" w:rsidRPr="009E06AA" w:rsidRDefault="007523B8" w:rsidP="007E03CB">
            <w:pPr>
              <w:pStyle w:val="TableText"/>
              <w:spacing w:before="40" w:after="40"/>
              <w:jc w:val="right"/>
              <w:rPr>
                <w:rFonts w:cs="Calibri"/>
                <w:szCs w:val="16"/>
              </w:rPr>
            </w:pPr>
            <w:r w:rsidRPr="009E06AA">
              <w:rPr>
                <w:rFonts w:cs="Calibri"/>
                <w:szCs w:val="16"/>
              </w:rPr>
              <w:t>10</w:t>
            </w:r>
          </w:p>
        </w:tc>
        <w:tc>
          <w:tcPr>
            <w:tcW w:w="851" w:type="dxa"/>
            <w:tcBorders>
              <w:top w:val="single" w:sz="4" w:space="0" w:color="1B556B" w:themeColor="text2"/>
              <w:left w:val="nil"/>
              <w:bottom w:val="single" w:sz="4" w:space="0" w:color="1B556B" w:themeColor="text2"/>
              <w:right w:val="nil"/>
            </w:tcBorders>
            <w:shd w:val="clear" w:color="auto" w:fill="auto"/>
          </w:tcPr>
          <w:p w14:paraId="17E1B4D9" w14:textId="77777777" w:rsidR="007523B8" w:rsidRPr="009E06AA" w:rsidRDefault="007523B8" w:rsidP="007E03CB">
            <w:pPr>
              <w:pStyle w:val="TableText"/>
              <w:spacing w:before="40" w:after="40"/>
              <w:jc w:val="right"/>
              <w:rPr>
                <w:rFonts w:cs="Calibri"/>
                <w:szCs w:val="16"/>
              </w:rPr>
            </w:pPr>
            <w:r w:rsidRPr="009E06AA">
              <w:rPr>
                <w:rFonts w:cs="Calibri"/>
                <w:szCs w:val="16"/>
              </w:rPr>
              <w:t>30</w:t>
            </w:r>
          </w:p>
        </w:tc>
        <w:tc>
          <w:tcPr>
            <w:tcW w:w="851" w:type="dxa"/>
            <w:tcBorders>
              <w:top w:val="single" w:sz="4" w:space="0" w:color="1B556B" w:themeColor="text2"/>
              <w:left w:val="nil"/>
              <w:bottom w:val="single" w:sz="4" w:space="0" w:color="1B556B" w:themeColor="text2"/>
              <w:right w:val="nil"/>
            </w:tcBorders>
            <w:shd w:val="clear" w:color="auto" w:fill="auto"/>
          </w:tcPr>
          <w:p w14:paraId="48E3B795" w14:textId="77777777" w:rsidR="007523B8" w:rsidRPr="009E06AA" w:rsidRDefault="007523B8" w:rsidP="007E03CB">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6306B3AA" w14:textId="77777777" w:rsidR="007523B8" w:rsidRPr="009E06AA" w:rsidRDefault="007523B8" w:rsidP="007E03CB">
            <w:pPr>
              <w:pStyle w:val="TableText"/>
              <w:spacing w:before="40" w:after="40"/>
              <w:jc w:val="right"/>
              <w:rPr>
                <w:rFonts w:cs="Calibri"/>
                <w:szCs w:val="16"/>
              </w:rPr>
            </w:pPr>
            <w:r w:rsidRPr="009E06AA">
              <w:rPr>
                <w:rFonts w:cs="Calibri"/>
                <w:szCs w:val="16"/>
              </w:rPr>
              <w:t>20</w:t>
            </w:r>
          </w:p>
        </w:tc>
        <w:tc>
          <w:tcPr>
            <w:tcW w:w="851" w:type="dxa"/>
            <w:tcBorders>
              <w:top w:val="single" w:sz="4" w:space="0" w:color="1B556B" w:themeColor="text2"/>
              <w:left w:val="nil"/>
              <w:bottom w:val="single" w:sz="4" w:space="0" w:color="1B556B" w:themeColor="text2"/>
              <w:right w:val="nil"/>
            </w:tcBorders>
            <w:shd w:val="clear" w:color="auto" w:fill="auto"/>
          </w:tcPr>
          <w:p w14:paraId="13275953" w14:textId="77777777" w:rsidR="007523B8" w:rsidRPr="009E06AA" w:rsidRDefault="007523B8" w:rsidP="007E03CB">
            <w:pPr>
              <w:pStyle w:val="TableText"/>
              <w:spacing w:before="40" w:after="40"/>
              <w:jc w:val="right"/>
              <w:rPr>
                <w:rFonts w:cs="Calibri"/>
                <w:szCs w:val="16"/>
              </w:rPr>
            </w:pPr>
            <w:r w:rsidRPr="009E06AA">
              <w:rPr>
                <w:rFonts w:cs="Calibri"/>
                <w:szCs w:val="16"/>
              </w:rPr>
              <w:t>60</w:t>
            </w:r>
          </w:p>
        </w:tc>
      </w:tr>
      <w:tr w:rsidR="007523B8" w:rsidRPr="009E06AA" w14:paraId="6CDAD54C" w14:textId="77777777" w:rsidTr="00B55F24">
        <w:tc>
          <w:tcPr>
            <w:tcW w:w="2098" w:type="dxa"/>
            <w:tcBorders>
              <w:top w:val="single" w:sz="4" w:space="0" w:color="1B556B" w:themeColor="text2"/>
              <w:left w:val="nil"/>
              <w:bottom w:val="single" w:sz="4" w:space="0" w:color="1B556B" w:themeColor="text2"/>
              <w:right w:val="nil"/>
            </w:tcBorders>
            <w:shd w:val="clear" w:color="auto" w:fill="auto"/>
          </w:tcPr>
          <w:p w14:paraId="30179BDD" w14:textId="77777777" w:rsidR="007523B8" w:rsidRPr="009E06AA" w:rsidRDefault="007523B8" w:rsidP="00B55F24">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14C33525" w14:textId="77777777" w:rsidR="007523B8" w:rsidRPr="009E06AA" w:rsidRDefault="007523B8" w:rsidP="00B55F24">
            <w:pPr>
              <w:pStyle w:val="TableText"/>
              <w:spacing w:before="40" w:after="40"/>
              <w:rPr>
                <w:rFonts w:cs="Calibri"/>
                <w:szCs w:val="16"/>
              </w:rPr>
            </w:pPr>
            <w:r w:rsidRPr="009E06AA">
              <w:rPr>
                <w:rFonts w:cs="Calibri"/>
                <w:szCs w:val="16"/>
              </w:rPr>
              <w:t>Steep slope (&gt;24</w:t>
            </w:r>
            <w:r w:rsidRPr="009E06AA">
              <w:rPr>
                <w:rFonts w:cs="Calibri"/>
                <w:szCs w:val="16"/>
                <w:vertAlign w:val="superscript"/>
              </w:rPr>
              <w:t>o</w:t>
            </w:r>
            <w:r w:rsidRPr="009E06AA">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1FDA8756" w14:textId="77777777" w:rsidR="007523B8" w:rsidRPr="009E06AA" w:rsidRDefault="007523B8" w:rsidP="007E03CB">
            <w:pPr>
              <w:pStyle w:val="TableText"/>
              <w:spacing w:before="40" w:after="40"/>
              <w:jc w:val="right"/>
              <w:rPr>
                <w:rFonts w:cs="Calibri"/>
                <w:szCs w:val="16"/>
              </w:rPr>
            </w:pPr>
            <w:r w:rsidRPr="009E06AA">
              <w:rPr>
                <w:rFonts w:cs="Calibri"/>
                <w:szCs w:val="16"/>
              </w:rPr>
              <w:t>10</w:t>
            </w:r>
          </w:p>
        </w:tc>
        <w:tc>
          <w:tcPr>
            <w:tcW w:w="851" w:type="dxa"/>
            <w:tcBorders>
              <w:top w:val="single" w:sz="4" w:space="0" w:color="1B556B" w:themeColor="text2"/>
              <w:left w:val="nil"/>
              <w:bottom w:val="single" w:sz="4" w:space="0" w:color="1B556B" w:themeColor="text2"/>
              <w:right w:val="nil"/>
            </w:tcBorders>
            <w:shd w:val="clear" w:color="auto" w:fill="auto"/>
          </w:tcPr>
          <w:p w14:paraId="1D86BF3E" w14:textId="77777777" w:rsidR="007523B8" w:rsidRPr="009E06AA" w:rsidRDefault="007523B8" w:rsidP="007E03CB">
            <w:pPr>
              <w:pStyle w:val="TableText"/>
              <w:spacing w:before="40" w:after="40"/>
              <w:jc w:val="right"/>
              <w:rPr>
                <w:rFonts w:cs="Calibri"/>
                <w:szCs w:val="16"/>
              </w:rPr>
            </w:pPr>
            <w:r w:rsidRPr="009E06AA">
              <w:rPr>
                <w:rFonts w:cs="Calibri"/>
                <w:szCs w:val="16"/>
              </w:rPr>
              <w:t>10</w:t>
            </w:r>
          </w:p>
        </w:tc>
        <w:tc>
          <w:tcPr>
            <w:tcW w:w="851" w:type="dxa"/>
            <w:tcBorders>
              <w:top w:val="single" w:sz="4" w:space="0" w:color="1B556B" w:themeColor="text2"/>
              <w:left w:val="nil"/>
              <w:bottom w:val="single" w:sz="4" w:space="0" w:color="1B556B" w:themeColor="text2"/>
              <w:right w:val="nil"/>
            </w:tcBorders>
            <w:shd w:val="clear" w:color="auto" w:fill="auto"/>
          </w:tcPr>
          <w:p w14:paraId="55636E8F" w14:textId="77777777" w:rsidR="007523B8" w:rsidRPr="009E06AA" w:rsidRDefault="007523B8" w:rsidP="007E03CB">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62955743" w14:textId="77777777" w:rsidR="007523B8" w:rsidRPr="009E06AA" w:rsidRDefault="007523B8" w:rsidP="007E03CB">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16419416" w14:textId="77777777" w:rsidR="007523B8" w:rsidRPr="009E06AA" w:rsidRDefault="007523B8" w:rsidP="007E03CB">
            <w:pPr>
              <w:pStyle w:val="TableText"/>
              <w:spacing w:before="40" w:after="40"/>
              <w:jc w:val="right"/>
              <w:rPr>
                <w:rFonts w:cs="Calibri"/>
                <w:szCs w:val="16"/>
              </w:rPr>
            </w:pPr>
            <w:r w:rsidRPr="009E06AA">
              <w:rPr>
                <w:rFonts w:cs="Calibri"/>
                <w:szCs w:val="16"/>
              </w:rPr>
              <w:t>20</w:t>
            </w:r>
          </w:p>
        </w:tc>
      </w:tr>
      <w:tr w:rsidR="007523B8" w:rsidRPr="009E06AA" w14:paraId="1BA576A6" w14:textId="77777777" w:rsidTr="00B55F24">
        <w:tc>
          <w:tcPr>
            <w:tcW w:w="2098" w:type="dxa"/>
            <w:tcBorders>
              <w:top w:val="single" w:sz="4" w:space="0" w:color="1B556B" w:themeColor="text2"/>
              <w:left w:val="nil"/>
              <w:bottom w:val="single" w:sz="4" w:space="0" w:color="1B556B" w:themeColor="text2"/>
              <w:right w:val="nil"/>
            </w:tcBorders>
            <w:shd w:val="clear" w:color="auto" w:fill="auto"/>
          </w:tcPr>
          <w:p w14:paraId="2235C57D" w14:textId="77777777" w:rsidR="007523B8" w:rsidRPr="009E06AA" w:rsidRDefault="007523B8" w:rsidP="00B55F24">
            <w:pPr>
              <w:pStyle w:val="TableText"/>
              <w:spacing w:before="40" w:after="40"/>
              <w:rPr>
                <w:rFonts w:cs="Calibri"/>
                <w:szCs w:val="16"/>
              </w:rPr>
            </w:pPr>
            <w:r w:rsidRPr="009E06AA">
              <w:rPr>
                <w:rFonts w:cs="Calibri"/>
                <w:szCs w:val="16"/>
              </w:rPr>
              <w:t>Sheep urine</w:t>
            </w:r>
          </w:p>
        </w:tc>
        <w:tc>
          <w:tcPr>
            <w:tcW w:w="1814" w:type="dxa"/>
            <w:tcBorders>
              <w:top w:val="single" w:sz="4" w:space="0" w:color="1B556B" w:themeColor="text2"/>
              <w:left w:val="nil"/>
              <w:bottom w:val="single" w:sz="4" w:space="0" w:color="1B556B" w:themeColor="text2"/>
              <w:right w:val="nil"/>
            </w:tcBorders>
          </w:tcPr>
          <w:p w14:paraId="03E61013" w14:textId="77777777" w:rsidR="007523B8" w:rsidRPr="009E06AA" w:rsidRDefault="007523B8" w:rsidP="00B55F24">
            <w:pPr>
              <w:pStyle w:val="TableText"/>
              <w:spacing w:before="40" w:after="40"/>
              <w:rPr>
                <w:rFonts w:cs="Calibri"/>
                <w:szCs w:val="16"/>
              </w:rPr>
            </w:pPr>
            <w:r w:rsidRPr="009E06AA">
              <w:rPr>
                <w:rFonts w:cs="Calibri"/>
                <w:szCs w:val="16"/>
              </w:rPr>
              <w:t>Flatland (0</w:t>
            </w:r>
            <w:r w:rsidRPr="009E06AA">
              <w:rPr>
                <w:rFonts w:cs="Calibri"/>
                <w:szCs w:val="16"/>
                <w:vertAlign w:val="superscript"/>
              </w:rPr>
              <w:t>o</w:t>
            </w:r>
            <w:r w:rsidRPr="009E06AA">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2C035D34" w14:textId="77777777" w:rsidR="007523B8" w:rsidRPr="009E06AA" w:rsidRDefault="007523B8" w:rsidP="007E03CB">
            <w:pPr>
              <w:pStyle w:val="TableText"/>
              <w:spacing w:before="40" w:after="40"/>
              <w:jc w:val="right"/>
              <w:rPr>
                <w:rFonts w:cs="Calibri"/>
                <w:szCs w:val="16"/>
              </w:rPr>
            </w:pPr>
            <w:r w:rsidRPr="009E06AA">
              <w:rPr>
                <w:rFonts w:cs="Calibri"/>
                <w:szCs w:val="16"/>
              </w:rPr>
              <w:t>8</w:t>
            </w:r>
          </w:p>
        </w:tc>
        <w:tc>
          <w:tcPr>
            <w:tcW w:w="851" w:type="dxa"/>
            <w:tcBorders>
              <w:top w:val="single" w:sz="4" w:space="0" w:color="1B556B" w:themeColor="text2"/>
              <w:left w:val="nil"/>
              <w:bottom w:val="single" w:sz="4" w:space="0" w:color="1B556B" w:themeColor="text2"/>
              <w:right w:val="nil"/>
            </w:tcBorders>
            <w:shd w:val="clear" w:color="auto" w:fill="auto"/>
          </w:tcPr>
          <w:p w14:paraId="181B657E" w14:textId="77777777" w:rsidR="007523B8" w:rsidRPr="009E06AA" w:rsidRDefault="007523B8" w:rsidP="007E03CB">
            <w:pPr>
              <w:pStyle w:val="TableText"/>
              <w:spacing w:before="40" w:after="40"/>
              <w:jc w:val="right"/>
              <w:rPr>
                <w:rFonts w:cs="Calibri"/>
                <w:szCs w:val="16"/>
              </w:rPr>
            </w:pPr>
            <w:r w:rsidRPr="009E06AA">
              <w:rPr>
                <w:rFonts w:cs="Calibri"/>
                <w:szCs w:val="16"/>
              </w:rPr>
              <w:t>8</w:t>
            </w:r>
          </w:p>
        </w:tc>
        <w:tc>
          <w:tcPr>
            <w:tcW w:w="851" w:type="dxa"/>
            <w:tcBorders>
              <w:top w:val="single" w:sz="4" w:space="0" w:color="1B556B" w:themeColor="text2"/>
              <w:left w:val="nil"/>
              <w:bottom w:val="single" w:sz="4" w:space="0" w:color="1B556B" w:themeColor="text2"/>
              <w:right w:val="nil"/>
            </w:tcBorders>
            <w:shd w:val="clear" w:color="auto" w:fill="auto"/>
          </w:tcPr>
          <w:p w14:paraId="6E113ED4" w14:textId="77777777" w:rsidR="007523B8" w:rsidRPr="009E06AA" w:rsidRDefault="007523B8" w:rsidP="007E03CB">
            <w:pPr>
              <w:pStyle w:val="TableText"/>
              <w:spacing w:before="40" w:after="40"/>
              <w:jc w:val="right"/>
              <w:rPr>
                <w:rFonts w:cs="Calibri"/>
                <w:szCs w:val="16"/>
              </w:rPr>
            </w:pPr>
            <w:r w:rsidRPr="009E06AA">
              <w:rPr>
                <w:rFonts w:cs="Calibri"/>
                <w:szCs w:val="16"/>
              </w:rPr>
              <w:t>20</w:t>
            </w:r>
          </w:p>
        </w:tc>
        <w:tc>
          <w:tcPr>
            <w:tcW w:w="851" w:type="dxa"/>
            <w:tcBorders>
              <w:top w:val="single" w:sz="4" w:space="0" w:color="1B556B" w:themeColor="text2"/>
              <w:left w:val="nil"/>
              <w:bottom w:val="single" w:sz="4" w:space="0" w:color="1B556B" w:themeColor="text2"/>
              <w:right w:val="nil"/>
            </w:tcBorders>
            <w:shd w:val="clear" w:color="auto" w:fill="auto"/>
          </w:tcPr>
          <w:p w14:paraId="26A443BA" w14:textId="77777777" w:rsidR="007523B8" w:rsidRPr="009E06AA" w:rsidRDefault="007523B8" w:rsidP="007E03CB">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06C70207" w14:textId="77777777" w:rsidR="007523B8" w:rsidRPr="009E06AA" w:rsidRDefault="007523B8" w:rsidP="007E03CB">
            <w:pPr>
              <w:pStyle w:val="TableText"/>
              <w:spacing w:before="40" w:after="40"/>
              <w:jc w:val="right"/>
              <w:rPr>
                <w:rFonts w:cs="Calibri"/>
                <w:szCs w:val="16"/>
              </w:rPr>
            </w:pPr>
            <w:r w:rsidRPr="009E06AA">
              <w:rPr>
                <w:rFonts w:cs="Calibri"/>
                <w:szCs w:val="16"/>
              </w:rPr>
              <w:t>36</w:t>
            </w:r>
          </w:p>
        </w:tc>
      </w:tr>
      <w:tr w:rsidR="007523B8" w:rsidRPr="009E06AA" w14:paraId="351D0BFB" w14:textId="77777777" w:rsidTr="00B55F24">
        <w:tc>
          <w:tcPr>
            <w:tcW w:w="2098" w:type="dxa"/>
            <w:tcBorders>
              <w:top w:val="single" w:sz="4" w:space="0" w:color="1B556B" w:themeColor="text2"/>
              <w:left w:val="nil"/>
              <w:bottom w:val="single" w:sz="4" w:space="0" w:color="1B556B" w:themeColor="text2"/>
              <w:right w:val="nil"/>
            </w:tcBorders>
            <w:shd w:val="clear" w:color="auto" w:fill="auto"/>
          </w:tcPr>
          <w:p w14:paraId="35C5894F" w14:textId="77777777" w:rsidR="007523B8" w:rsidRPr="009E06AA" w:rsidRDefault="007523B8" w:rsidP="00B55F24">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76316EB7" w14:textId="77777777" w:rsidR="007523B8" w:rsidRPr="009E06AA" w:rsidRDefault="007523B8" w:rsidP="00B55F24">
            <w:pPr>
              <w:pStyle w:val="TableText"/>
              <w:spacing w:before="40" w:after="40"/>
              <w:rPr>
                <w:rFonts w:cs="Calibri"/>
                <w:szCs w:val="16"/>
              </w:rPr>
            </w:pPr>
            <w:r w:rsidRPr="009E06AA">
              <w:rPr>
                <w:rFonts w:cs="Calibri"/>
                <w:szCs w:val="16"/>
              </w:rPr>
              <w:t>Low slope (0–12</w:t>
            </w:r>
            <w:r w:rsidRPr="009E06AA">
              <w:rPr>
                <w:rFonts w:cs="Calibri"/>
                <w:szCs w:val="16"/>
                <w:vertAlign w:val="superscript"/>
              </w:rPr>
              <w:t>o</w:t>
            </w:r>
            <w:r w:rsidRPr="009E06AA">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61716C92" w14:textId="77777777" w:rsidR="007523B8" w:rsidRPr="009E06AA" w:rsidRDefault="007523B8" w:rsidP="007E03CB">
            <w:pPr>
              <w:pStyle w:val="TableText"/>
              <w:spacing w:before="40" w:after="40"/>
              <w:jc w:val="right"/>
              <w:rPr>
                <w:rFonts w:cs="Calibri"/>
                <w:szCs w:val="16"/>
              </w:rPr>
            </w:pPr>
            <w:r w:rsidRPr="009E06AA">
              <w:rPr>
                <w:rFonts w:cs="Calibri"/>
                <w:szCs w:val="16"/>
              </w:rPr>
              <w:t>24</w:t>
            </w:r>
          </w:p>
        </w:tc>
        <w:tc>
          <w:tcPr>
            <w:tcW w:w="851" w:type="dxa"/>
            <w:tcBorders>
              <w:top w:val="single" w:sz="4" w:space="0" w:color="1B556B" w:themeColor="text2"/>
              <w:left w:val="nil"/>
              <w:bottom w:val="single" w:sz="4" w:space="0" w:color="1B556B" w:themeColor="text2"/>
              <w:right w:val="nil"/>
            </w:tcBorders>
            <w:shd w:val="clear" w:color="auto" w:fill="auto"/>
          </w:tcPr>
          <w:p w14:paraId="575F1440" w14:textId="77777777" w:rsidR="007523B8" w:rsidRPr="009E06AA" w:rsidRDefault="007523B8" w:rsidP="007E03CB">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7598B4B6" w14:textId="77777777" w:rsidR="007523B8" w:rsidRPr="009E06AA" w:rsidRDefault="007523B8" w:rsidP="007E03CB">
            <w:pPr>
              <w:pStyle w:val="TableText"/>
              <w:spacing w:before="40" w:after="40"/>
              <w:jc w:val="right"/>
              <w:rPr>
                <w:rFonts w:cs="Calibri"/>
                <w:szCs w:val="16"/>
              </w:rPr>
            </w:pPr>
            <w:r w:rsidRPr="009E06AA">
              <w:rPr>
                <w:rFonts w:cs="Calibri"/>
                <w:szCs w:val="16"/>
              </w:rPr>
              <w:t>44</w:t>
            </w:r>
          </w:p>
        </w:tc>
        <w:tc>
          <w:tcPr>
            <w:tcW w:w="851" w:type="dxa"/>
            <w:tcBorders>
              <w:top w:val="single" w:sz="4" w:space="0" w:color="1B556B" w:themeColor="text2"/>
              <w:left w:val="nil"/>
              <w:bottom w:val="single" w:sz="4" w:space="0" w:color="1B556B" w:themeColor="text2"/>
              <w:right w:val="nil"/>
            </w:tcBorders>
            <w:shd w:val="clear" w:color="auto" w:fill="auto"/>
          </w:tcPr>
          <w:p w14:paraId="7E59A5AC" w14:textId="77777777" w:rsidR="007523B8" w:rsidRPr="009E06AA" w:rsidRDefault="007523B8" w:rsidP="007E03CB">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5035A58E" w14:textId="77777777" w:rsidR="007523B8" w:rsidRPr="009E06AA" w:rsidRDefault="007523B8" w:rsidP="007E03CB">
            <w:pPr>
              <w:pStyle w:val="TableText"/>
              <w:spacing w:before="40" w:after="40"/>
              <w:jc w:val="right"/>
              <w:rPr>
                <w:rFonts w:cs="Calibri"/>
                <w:szCs w:val="16"/>
              </w:rPr>
            </w:pPr>
            <w:r w:rsidRPr="009E06AA">
              <w:rPr>
                <w:rFonts w:cs="Calibri"/>
                <w:szCs w:val="16"/>
              </w:rPr>
              <w:t>68</w:t>
            </w:r>
          </w:p>
        </w:tc>
      </w:tr>
      <w:tr w:rsidR="007523B8" w:rsidRPr="009E06AA" w14:paraId="488F205D" w14:textId="77777777" w:rsidTr="00B55F24">
        <w:tc>
          <w:tcPr>
            <w:tcW w:w="2098" w:type="dxa"/>
            <w:tcBorders>
              <w:top w:val="single" w:sz="4" w:space="0" w:color="1B556B" w:themeColor="text2"/>
              <w:left w:val="nil"/>
              <w:bottom w:val="single" w:sz="4" w:space="0" w:color="1B556B" w:themeColor="text2"/>
              <w:right w:val="nil"/>
            </w:tcBorders>
            <w:shd w:val="clear" w:color="auto" w:fill="auto"/>
          </w:tcPr>
          <w:p w14:paraId="36617C64" w14:textId="77777777" w:rsidR="007523B8" w:rsidRPr="009E06AA" w:rsidRDefault="007523B8" w:rsidP="00B55F24">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54EDEADC" w14:textId="77777777" w:rsidR="007523B8" w:rsidRPr="009E06AA" w:rsidRDefault="007523B8" w:rsidP="00B55F24">
            <w:pPr>
              <w:pStyle w:val="TableText"/>
              <w:spacing w:before="40" w:after="40"/>
              <w:rPr>
                <w:rFonts w:cs="Calibri"/>
                <w:szCs w:val="16"/>
              </w:rPr>
            </w:pPr>
            <w:r w:rsidRPr="009E06AA">
              <w:rPr>
                <w:rFonts w:cs="Calibri"/>
                <w:szCs w:val="16"/>
              </w:rPr>
              <w:t>Medium slope (12–24</w:t>
            </w:r>
            <w:r w:rsidRPr="009E06AA">
              <w:rPr>
                <w:rFonts w:cs="Calibri"/>
                <w:szCs w:val="16"/>
                <w:vertAlign w:val="superscript"/>
              </w:rPr>
              <w:t>o</w:t>
            </w:r>
            <w:r w:rsidRPr="009E06AA">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4657CE4B" w14:textId="77777777" w:rsidR="007523B8" w:rsidRPr="009E06AA" w:rsidRDefault="007523B8" w:rsidP="007E03CB">
            <w:pPr>
              <w:pStyle w:val="TableText"/>
              <w:spacing w:before="40" w:after="40"/>
              <w:jc w:val="right"/>
              <w:rPr>
                <w:rFonts w:cs="Calibri"/>
                <w:szCs w:val="16"/>
              </w:rPr>
            </w:pPr>
            <w:r w:rsidRPr="009E06AA">
              <w:rPr>
                <w:rFonts w:cs="Calibri"/>
                <w:szCs w:val="16"/>
              </w:rPr>
              <w:t>30</w:t>
            </w:r>
          </w:p>
        </w:tc>
        <w:tc>
          <w:tcPr>
            <w:tcW w:w="851" w:type="dxa"/>
            <w:tcBorders>
              <w:top w:val="single" w:sz="4" w:space="0" w:color="1B556B" w:themeColor="text2"/>
              <w:left w:val="nil"/>
              <w:bottom w:val="single" w:sz="4" w:space="0" w:color="1B556B" w:themeColor="text2"/>
              <w:right w:val="nil"/>
            </w:tcBorders>
            <w:shd w:val="clear" w:color="auto" w:fill="auto"/>
          </w:tcPr>
          <w:p w14:paraId="3191DAF4" w14:textId="77777777" w:rsidR="007523B8" w:rsidRPr="009E06AA" w:rsidRDefault="007523B8" w:rsidP="007E03CB">
            <w:pPr>
              <w:pStyle w:val="TableText"/>
              <w:spacing w:before="40" w:after="40"/>
              <w:jc w:val="right"/>
              <w:rPr>
                <w:rFonts w:cs="Calibri"/>
                <w:szCs w:val="16"/>
              </w:rPr>
            </w:pPr>
            <w:r w:rsidRPr="009E06AA">
              <w:rPr>
                <w:rFonts w:cs="Calibri"/>
                <w:szCs w:val="16"/>
              </w:rPr>
              <w:t>10</w:t>
            </w:r>
          </w:p>
        </w:tc>
        <w:tc>
          <w:tcPr>
            <w:tcW w:w="851" w:type="dxa"/>
            <w:tcBorders>
              <w:top w:val="single" w:sz="4" w:space="0" w:color="1B556B" w:themeColor="text2"/>
              <w:left w:val="nil"/>
              <w:bottom w:val="single" w:sz="4" w:space="0" w:color="1B556B" w:themeColor="text2"/>
              <w:right w:val="nil"/>
            </w:tcBorders>
            <w:shd w:val="clear" w:color="auto" w:fill="auto"/>
          </w:tcPr>
          <w:p w14:paraId="438995F6" w14:textId="77777777" w:rsidR="007523B8" w:rsidRPr="009E06AA" w:rsidRDefault="007523B8" w:rsidP="007E03CB">
            <w:pPr>
              <w:pStyle w:val="TableText"/>
              <w:spacing w:before="40" w:after="40"/>
              <w:jc w:val="right"/>
              <w:rPr>
                <w:rFonts w:cs="Calibri"/>
                <w:szCs w:val="16"/>
              </w:rPr>
            </w:pPr>
            <w:r w:rsidRPr="009E06AA">
              <w:rPr>
                <w:rFonts w:cs="Calibri"/>
                <w:szCs w:val="16"/>
              </w:rPr>
              <w:t>20</w:t>
            </w:r>
          </w:p>
        </w:tc>
        <w:tc>
          <w:tcPr>
            <w:tcW w:w="851" w:type="dxa"/>
            <w:tcBorders>
              <w:top w:val="single" w:sz="4" w:space="0" w:color="1B556B" w:themeColor="text2"/>
              <w:left w:val="nil"/>
              <w:bottom w:val="single" w:sz="4" w:space="0" w:color="1B556B" w:themeColor="text2"/>
              <w:right w:val="nil"/>
            </w:tcBorders>
            <w:shd w:val="clear" w:color="auto" w:fill="auto"/>
          </w:tcPr>
          <w:p w14:paraId="104AD79C" w14:textId="77777777" w:rsidR="007523B8" w:rsidRPr="009E06AA" w:rsidRDefault="007523B8" w:rsidP="007E03CB">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223E3BF6" w14:textId="77777777" w:rsidR="007523B8" w:rsidRPr="009E06AA" w:rsidRDefault="007523B8" w:rsidP="007E03CB">
            <w:pPr>
              <w:pStyle w:val="TableText"/>
              <w:spacing w:before="40" w:after="40"/>
              <w:jc w:val="right"/>
              <w:rPr>
                <w:rFonts w:cs="Calibri"/>
                <w:szCs w:val="16"/>
              </w:rPr>
            </w:pPr>
            <w:r w:rsidRPr="009E06AA">
              <w:rPr>
                <w:rFonts w:cs="Calibri"/>
                <w:szCs w:val="16"/>
              </w:rPr>
              <w:t>60</w:t>
            </w:r>
          </w:p>
        </w:tc>
      </w:tr>
      <w:tr w:rsidR="007523B8" w:rsidRPr="009E06AA" w14:paraId="2CAF2E44" w14:textId="77777777" w:rsidTr="00B55F24">
        <w:tc>
          <w:tcPr>
            <w:tcW w:w="2098" w:type="dxa"/>
            <w:tcBorders>
              <w:top w:val="single" w:sz="4" w:space="0" w:color="1B556B" w:themeColor="text2"/>
              <w:left w:val="nil"/>
              <w:bottom w:val="single" w:sz="4" w:space="0" w:color="1B556B" w:themeColor="text2"/>
              <w:right w:val="nil"/>
            </w:tcBorders>
            <w:shd w:val="clear" w:color="auto" w:fill="auto"/>
          </w:tcPr>
          <w:p w14:paraId="35D95B04" w14:textId="77777777" w:rsidR="007523B8" w:rsidRPr="009E06AA" w:rsidRDefault="007523B8" w:rsidP="00B55F24">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6E856A03" w14:textId="77777777" w:rsidR="007523B8" w:rsidRPr="009E06AA" w:rsidRDefault="007523B8" w:rsidP="00B55F24">
            <w:pPr>
              <w:pStyle w:val="TableText"/>
              <w:spacing w:before="40" w:after="40"/>
              <w:rPr>
                <w:rFonts w:cs="Calibri"/>
                <w:szCs w:val="16"/>
              </w:rPr>
            </w:pPr>
            <w:r w:rsidRPr="009E06AA">
              <w:rPr>
                <w:rFonts w:cs="Calibri"/>
                <w:szCs w:val="16"/>
              </w:rPr>
              <w:t>Steep slope (&gt;24</w:t>
            </w:r>
            <w:r w:rsidRPr="009E06AA">
              <w:rPr>
                <w:rFonts w:cs="Calibri"/>
                <w:szCs w:val="16"/>
                <w:vertAlign w:val="superscript"/>
              </w:rPr>
              <w:t>o</w:t>
            </w:r>
            <w:r w:rsidRPr="009E06AA">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0F40F2D3" w14:textId="77777777" w:rsidR="007523B8" w:rsidRPr="009E06AA" w:rsidRDefault="007523B8" w:rsidP="007E03CB">
            <w:pPr>
              <w:pStyle w:val="TableText"/>
              <w:spacing w:before="40" w:after="40"/>
              <w:jc w:val="right"/>
              <w:rPr>
                <w:rFonts w:cs="Calibri"/>
                <w:szCs w:val="16"/>
              </w:rPr>
            </w:pPr>
            <w:r w:rsidRPr="009E06AA">
              <w:rPr>
                <w:rFonts w:cs="Calibri"/>
                <w:szCs w:val="16"/>
              </w:rPr>
              <w:t>10</w:t>
            </w:r>
          </w:p>
        </w:tc>
        <w:tc>
          <w:tcPr>
            <w:tcW w:w="851" w:type="dxa"/>
            <w:tcBorders>
              <w:top w:val="single" w:sz="4" w:space="0" w:color="1B556B" w:themeColor="text2"/>
              <w:left w:val="nil"/>
              <w:bottom w:val="single" w:sz="4" w:space="0" w:color="1B556B" w:themeColor="text2"/>
              <w:right w:val="nil"/>
            </w:tcBorders>
            <w:shd w:val="clear" w:color="auto" w:fill="auto"/>
          </w:tcPr>
          <w:p w14:paraId="49B03456" w14:textId="77777777" w:rsidR="007523B8" w:rsidRPr="009E06AA" w:rsidRDefault="007523B8" w:rsidP="007E03CB">
            <w:pPr>
              <w:pStyle w:val="TableText"/>
              <w:spacing w:before="40" w:after="40"/>
              <w:jc w:val="right"/>
              <w:rPr>
                <w:rFonts w:cs="Calibri"/>
                <w:szCs w:val="16"/>
              </w:rPr>
            </w:pPr>
            <w:r w:rsidRPr="009E06AA">
              <w:rPr>
                <w:rFonts w:cs="Calibri"/>
                <w:szCs w:val="16"/>
              </w:rPr>
              <w:t>10</w:t>
            </w:r>
          </w:p>
        </w:tc>
        <w:tc>
          <w:tcPr>
            <w:tcW w:w="851" w:type="dxa"/>
            <w:tcBorders>
              <w:top w:val="single" w:sz="4" w:space="0" w:color="1B556B" w:themeColor="text2"/>
              <w:left w:val="nil"/>
              <w:bottom w:val="single" w:sz="4" w:space="0" w:color="1B556B" w:themeColor="text2"/>
              <w:right w:val="nil"/>
            </w:tcBorders>
            <w:shd w:val="clear" w:color="auto" w:fill="auto"/>
          </w:tcPr>
          <w:p w14:paraId="07D49D1D" w14:textId="77777777" w:rsidR="007523B8" w:rsidRPr="009E06AA" w:rsidRDefault="007523B8" w:rsidP="007E03CB">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029C1B29" w14:textId="77777777" w:rsidR="007523B8" w:rsidRPr="009E06AA" w:rsidRDefault="007523B8" w:rsidP="007E03CB">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39CA9B28" w14:textId="77777777" w:rsidR="007523B8" w:rsidRPr="009E06AA" w:rsidRDefault="007523B8" w:rsidP="007E03CB">
            <w:pPr>
              <w:pStyle w:val="TableText"/>
              <w:spacing w:before="40" w:after="40"/>
              <w:jc w:val="right"/>
              <w:rPr>
                <w:rFonts w:cs="Calibri"/>
                <w:szCs w:val="16"/>
              </w:rPr>
            </w:pPr>
            <w:r w:rsidRPr="009E06AA">
              <w:rPr>
                <w:rFonts w:cs="Calibri"/>
                <w:szCs w:val="16"/>
              </w:rPr>
              <w:t>20</w:t>
            </w:r>
          </w:p>
        </w:tc>
      </w:tr>
      <w:tr w:rsidR="007523B8" w:rsidRPr="009E06AA" w14:paraId="35E70DDB" w14:textId="77777777" w:rsidTr="00B55F24">
        <w:tc>
          <w:tcPr>
            <w:tcW w:w="2098" w:type="dxa"/>
            <w:tcBorders>
              <w:top w:val="single" w:sz="4" w:space="0" w:color="1B556B" w:themeColor="text2"/>
              <w:left w:val="nil"/>
              <w:bottom w:val="single" w:sz="4" w:space="0" w:color="1B556B" w:themeColor="text2"/>
              <w:right w:val="nil"/>
            </w:tcBorders>
            <w:shd w:val="clear" w:color="auto" w:fill="auto"/>
          </w:tcPr>
          <w:p w14:paraId="578EC44A" w14:textId="77777777" w:rsidR="007523B8" w:rsidRPr="009E06AA" w:rsidRDefault="007523B8" w:rsidP="00B55F24">
            <w:pPr>
              <w:pStyle w:val="TableText"/>
              <w:spacing w:before="40" w:after="40"/>
              <w:rPr>
                <w:rFonts w:cs="Calibri"/>
                <w:szCs w:val="16"/>
              </w:rPr>
            </w:pPr>
            <w:r w:rsidRPr="009E06AA">
              <w:rPr>
                <w:rFonts w:cs="Calibri"/>
                <w:szCs w:val="16"/>
              </w:rPr>
              <w:t>Sheep dung</w:t>
            </w:r>
          </w:p>
        </w:tc>
        <w:tc>
          <w:tcPr>
            <w:tcW w:w="1814" w:type="dxa"/>
            <w:tcBorders>
              <w:top w:val="single" w:sz="4" w:space="0" w:color="1B556B" w:themeColor="text2"/>
              <w:left w:val="nil"/>
              <w:bottom w:val="single" w:sz="4" w:space="0" w:color="1B556B" w:themeColor="text2"/>
              <w:right w:val="nil"/>
            </w:tcBorders>
          </w:tcPr>
          <w:p w14:paraId="1B0D1FB4" w14:textId="77777777" w:rsidR="007523B8" w:rsidRPr="009E06AA" w:rsidRDefault="007523B8" w:rsidP="00B55F24">
            <w:pPr>
              <w:pStyle w:val="TableText"/>
              <w:spacing w:before="40" w:after="40"/>
              <w:rPr>
                <w:rFonts w:cs="Calibri"/>
                <w:szCs w:val="16"/>
              </w:rPr>
            </w:pPr>
            <w:r w:rsidRPr="009E06AA">
              <w:rPr>
                <w:rFonts w:cs="Calibri"/>
                <w:szCs w:val="16"/>
              </w:rPr>
              <w:t>Flatland (0</w:t>
            </w:r>
            <w:r w:rsidRPr="009E06AA">
              <w:rPr>
                <w:rFonts w:cs="Calibri"/>
                <w:szCs w:val="16"/>
                <w:vertAlign w:val="superscript"/>
              </w:rPr>
              <w:t>o</w:t>
            </w:r>
            <w:r w:rsidRPr="009E06AA">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6186078B" w14:textId="77777777" w:rsidR="007523B8" w:rsidRPr="009E06AA" w:rsidRDefault="007523B8" w:rsidP="007E03CB">
            <w:pPr>
              <w:pStyle w:val="TableText"/>
              <w:spacing w:before="40" w:after="40"/>
              <w:jc w:val="right"/>
              <w:rPr>
                <w:rFonts w:cs="Calibri"/>
                <w:szCs w:val="16"/>
              </w:rPr>
            </w:pPr>
            <w:r w:rsidRPr="009E06AA">
              <w:rPr>
                <w:rFonts w:cs="Calibri"/>
                <w:szCs w:val="16"/>
              </w:rPr>
              <w:t>10</w:t>
            </w:r>
          </w:p>
        </w:tc>
        <w:tc>
          <w:tcPr>
            <w:tcW w:w="851" w:type="dxa"/>
            <w:tcBorders>
              <w:top w:val="single" w:sz="4" w:space="0" w:color="1B556B" w:themeColor="text2"/>
              <w:left w:val="nil"/>
              <w:bottom w:val="single" w:sz="4" w:space="0" w:color="1B556B" w:themeColor="text2"/>
              <w:right w:val="nil"/>
            </w:tcBorders>
            <w:shd w:val="clear" w:color="auto" w:fill="auto"/>
          </w:tcPr>
          <w:p w14:paraId="6DDC4073" w14:textId="77777777" w:rsidR="007523B8" w:rsidRPr="009E06AA" w:rsidRDefault="007523B8" w:rsidP="007E03CB">
            <w:pPr>
              <w:pStyle w:val="TableText"/>
              <w:spacing w:before="40" w:after="40"/>
              <w:jc w:val="right"/>
              <w:rPr>
                <w:rFonts w:cs="Calibri"/>
                <w:szCs w:val="16"/>
              </w:rPr>
            </w:pPr>
            <w:r w:rsidRPr="009E06AA">
              <w:rPr>
                <w:rFonts w:cs="Calibri"/>
                <w:szCs w:val="16"/>
              </w:rPr>
              <w:t>16</w:t>
            </w:r>
          </w:p>
        </w:tc>
        <w:tc>
          <w:tcPr>
            <w:tcW w:w="851" w:type="dxa"/>
            <w:tcBorders>
              <w:top w:val="single" w:sz="4" w:space="0" w:color="1B556B" w:themeColor="text2"/>
              <w:left w:val="nil"/>
              <w:bottom w:val="single" w:sz="4" w:space="0" w:color="1B556B" w:themeColor="text2"/>
              <w:right w:val="nil"/>
            </w:tcBorders>
            <w:shd w:val="clear" w:color="auto" w:fill="auto"/>
          </w:tcPr>
          <w:p w14:paraId="35A17DA1" w14:textId="77777777" w:rsidR="007523B8" w:rsidRPr="009E06AA" w:rsidRDefault="007523B8" w:rsidP="007E03CB">
            <w:pPr>
              <w:pStyle w:val="TableText"/>
              <w:spacing w:before="40" w:after="40"/>
              <w:jc w:val="right"/>
              <w:rPr>
                <w:rFonts w:cs="Calibri"/>
                <w:szCs w:val="16"/>
              </w:rPr>
            </w:pPr>
            <w:r w:rsidRPr="009E06AA">
              <w:rPr>
                <w:rFonts w:cs="Calibri"/>
                <w:szCs w:val="16"/>
              </w:rPr>
              <w:t>28</w:t>
            </w:r>
          </w:p>
        </w:tc>
        <w:tc>
          <w:tcPr>
            <w:tcW w:w="851" w:type="dxa"/>
            <w:tcBorders>
              <w:top w:val="single" w:sz="4" w:space="0" w:color="1B556B" w:themeColor="text2"/>
              <w:left w:val="nil"/>
              <w:bottom w:val="single" w:sz="4" w:space="0" w:color="1B556B" w:themeColor="text2"/>
              <w:right w:val="nil"/>
            </w:tcBorders>
            <w:shd w:val="clear" w:color="auto" w:fill="auto"/>
          </w:tcPr>
          <w:p w14:paraId="0F5D5B17" w14:textId="77777777" w:rsidR="007523B8" w:rsidRPr="009E06AA" w:rsidRDefault="007523B8" w:rsidP="007E03CB">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0B7C2D6B" w14:textId="77777777" w:rsidR="007523B8" w:rsidRPr="009E06AA" w:rsidRDefault="007523B8" w:rsidP="007E03CB">
            <w:pPr>
              <w:pStyle w:val="TableText"/>
              <w:spacing w:before="40" w:after="40"/>
              <w:jc w:val="right"/>
              <w:rPr>
                <w:rFonts w:cs="Calibri"/>
                <w:szCs w:val="16"/>
              </w:rPr>
            </w:pPr>
            <w:r w:rsidRPr="009E06AA">
              <w:rPr>
                <w:rFonts w:cs="Calibri"/>
                <w:szCs w:val="16"/>
              </w:rPr>
              <w:t>54</w:t>
            </w:r>
          </w:p>
        </w:tc>
      </w:tr>
      <w:tr w:rsidR="007523B8" w:rsidRPr="009E06AA" w14:paraId="456FC885" w14:textId="77777777" w:rsidTr="00B55F24">
        <w:tc>
          <w:tcPr>
            <w:tcW w:w="2098" w:type="dxa"/>
            <w:tcBorders>
              <w:top w:val="single" w:sz="4" w:space="0" w:color="1B556B" w:themeColor="text2"/>
              <w:left w:val="nil"/>
              <w:bottom w:val="single" w:sz="4" w:space="0" w:color="1B556B" w:themeColor="text2"/>
              <w:right w:val="nil"/>
            </w:tcBorders>
            <w:shd w:val="clear" w:color="auto" w:fill="auto"/>
          </w:tcPr>
          <w:p w14:paraId="7C0B55EF" w14:textId="77777777" w:rsidR="007523B8" w:rsidRPr="009E06AA" w:rsidRDefault="007523B8" w:rsidP="00B55F24">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59ECA7AF" w14:textId="77777777" w:rsidR="007523B8" w:rsidRPr="009E06AA" w:rsidRDefault="007523B8" w:rsidP="00B55F24">
            <w:pPr>
              <w:pStyle w:val="TableText"/>
              <w:spacing w:before="40" w:after="40"/>
              <w:rPr>
                <w:rFonts w:cs="Calibri"/>
                <w:szCs w:val="16"/>
              </w:rPr>
            </w:pPr>
            <w:r w:rsidRPr="009E06AA">
              <w:rPr>
                <w:rFonts w:cs="Calibri"/>
                <w:szCs w:val="16"/>
              </w:rPr>
              <w:t>Low slope (0–12</w:t>
            </w:r>
            <w:r w:rsidRPr="009E06AA">
              <w:rPr>
                <w:rFonts w:cs="Calibri"/>
                <w:szCs w:val="16"/>
                <w:vertAlign w:val="superscript"/>
              </w:rPr>
              <w:t>o</w:t>
            </w:r>
            <w:r w:rsidRPr="009E06AA">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66E9DA22" w14:textId="77777777" w:rsidR="007523B8" w:rsidRPr="009E06AA" w:rsidRDefault="007523B8" w:rsidP="007E03CB">
            <w:pPr>
              <w:pStyle w:val="TableText"/>
              <w:spacing w:before="40" w:after="40"/>
              <w:jc w:val="right"/>
              <w:rPr>
                <w:rFonts w:cs="Calibri"/>
                <w:szCs w:val="16"/>
              </w:rPr>
            </w:pPr>
            <w:r w:rsidRPr="009E06AA">
              <w:rPr>
                <w:rFonts w:cs="Calibri"/>
                <w:szCs w:val="16"/>
              </w:rPr>
              <w:t>20</w:t>
            </w:r>
          </w:p>
        </w:tc>
        <w:tc>
          <w:tcPr>
            <w:tcW w:w="851" w:type="dxa"/>
            <w:tcBorders>
              <w:top w:val="single" w:sz="4" w:space="0" w:color="1B556B" w:themeColor="text2"/>
              <w:left w:val="nil"/>
              <w:bottom w:val="single" w:sz="4" w:space="0" w:color="1B556B" w:themeColor="text2"/>
              <w:right w:val="nil"/>
            </w:tcBorders>
            <w:shd w:val="clear" w:color="auto" w:fill="auto"/>
          </w:tcPr>
          <w:p w14:paraId="34624A55" w14:textId="77777777" w:rsidR="007523B8" w:rsidRPr="009E06AA" w:rsidRDefault="007523B8" w:rsidP="007E03CB">
            <w:pPr>
              <w:pStyle w:val="TableText"/>
              <w:spacing w:before="40" w:after="40"/>
              <w:jc w:val="right"/>
              <w:rPr>
                <w:rFonts w:cs="Calibri"/>
                <w:szCs w:val="16"/>
              </w:rPr>
            </w:pPr>
            <w:r w:rsidRPr="009E06AA">
              <w:rPr>
                <w:rFonts w:cs="Calibri"/>
                <w:szCs w:val="16"/>
              </w:rPr>
              <w:t>8</w:t>
            </w:r>
          </w:p>
        </w:tc>
        <w:tc>
          <w:tcPr>
            <w:tcW w:w="851" w:type="dxa"/>
            <w:tcBorders>
              <w:top w:val="single" w:sz="4" w:space="0" w:color="1B556B" w:themeColor="text2"/>
              <w:left w:val="nil"/>
              <w:bottom w:val="single" w:sz="4" w:space="0" w:color="1B556B" w:themeColor="text2"/>
              <w:right w:val="nil"/>
            </w:tcBorders>
            <w:shd w:val="clear" w:color="auto" w:fill="auto"/>
          </w:tcPr>
          <w:p w14:paraId="39CA5BA5" w14:textId="77777777" w:rsidR="007523B8" w:rsidRPr="009E06AA" w:rsidRDefault="007523B8" w:rsidP="007E03CB">
            <w:pPr>
              <w:pStyle w:val="TableText"/>
              <w:spacing w:before="40" w:after="40"/>
              <w:jc w:val="right"/>
              <w:rPr>
                <w:rFonts w:cs="Calibri"/>
                <w:szCs w:val="16"/>
              </w:rPr>
            </w:pPr>
            <w:r w:rsidRPr="009E06AA">
              <w:rPr>
                <w:rFonts w:cs="Calibri"/>
                <w:szCs w:val="16"/>
              </w:rPr>
              <w:t>8</w:t>
            </w:r>
          </w:p>
        </w:tc>
        <w:tc>
          <w:tcPr>
            <w:tcW w:w="851" w:type="dxa"/>
            <w:tcBorders>
              <w:top w:val="single" w:sz="4" w:space="0" w:color="1B556B" w:themeColor="text2"/>
              <w:left w:val="nil"/>
              <w:bottom w:val="single" w:sz="4" w:space="0" w:color="1B556B" w:themeColor="text2"/>
              <w:right w:val="nil"/>
            </w:tcBorders>
            <w:shd w:val="clear" w:color="auto" w:fill="auto"/>
          </w:tcPr>
          <w:p w14:paraId="232AAEB2" w14:textId="77777777" w:rsidR="007523B8" w:rsidRPr="009E06AA" w:rsidRDefault="007523B8" w:rsidP="007E03CB">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377CAFC4" w14:textId="77777777" w:rsidR="007523B8" w:rsidRPr="009E06AA" w:rsidRDefault="007523B8" w:rsidP="007E03CB">
            <w:pPr>
              <w:pStyle w:val="TableText"/>
              <w:spacing w:before="40" w:after="40"/>
              <w:jc w:val="right"/>
              <w:rPr>
                <w:rFonts w:cs="Calibri"/>
                <w:szCs w:val="16"/>
              </w:rPr>
            </w:pPr>
            <w:r w:rsidRPr="009E06AA">
              <w:rPr>
                <w:rFonts w:cs="Calibri"/>
                <w:szCs w:val="16"/>
              </w:rPr>
              <w:t>36</w:t>
            </w:r>
          </w:p>
        </w:tc>
      </w:tr>
      <w:tr w:rsidR="007523B8" w:rsidRPr="009E06AA" w14:paraId="4A14B4BB" w14:textId="77777777" w:rsidTr="00B55F24">
        <w:tc>
          <w:tcPr>
            <w:tcW w:w="2098" w:type="dxa"/>
            <w:tcBorders>
              <w:top w:val="single" w:sz="4" w:space="0" w:color="1B556B" w:themeColor="text2"/>
              <w:left w:val="nil"/>
              <w:bottom w:val="single" w:sz="4" w:space="0" w:color="1B556B" w:themeColor="text2"/>
              <w:right w:val="nil"/>
            </w:tcBorders>
            <w:shd w:val="clear" w:color="auto" w:fill="auto"/>
          </w:tcPr>
          <w:p w14:paraId="6C6C79BE" w14:textId="77777777" w:rsidR="007523B8" w:rsidRPr="009E06AA" w:rsidRDefault="007523B8" w:rsidP="00B55F24">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18876FA7" w14:textId="77777777" w:rsidR="007523B8" w:rsidRPr="009E06AA" w:rsidRDefault="007523B8" w:rsidP="00B55F24">
            <w:pPr>
              <w:pStyle w:val="TableText"/>
              <w:spacing w:before="40" w:after="40"/>
              <w:rPr>
                <w:rFonts w:cs="Calibri"/>
                <w:szCs w:val="16"/>
              </w:rPr>
            </w:pPr>
            <w:r w:rsidRPr="009E06AA">
              <w:rPr>
                <w:rFonts w:cs="Calibri"/>
                <w:szCs w:val="16"/>
              </w:rPr>
              <w:t>Medium slope (12–24</w:t>
            </w:r>
            <w:r w:rsidRPr="009E06AA">
              <w:rPr>
                <w:rFonts w:cs="Calibri"/>
                <w:szCs w:val="16"/>
                <w:vertAlign w:val="superscript"/>
              </w:rPr>
              <w:t>o</w:t>
            </w:r>
            <w:r w:rsidRPr="009E06AA">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1ED31670" w14:textId="77777777" w:rsidR="007523B8" w:rsidRPr="009E06AA" w:rsidRDefault="007523B8" w:rsidP="007E03CB">
            <w:pPr>
              <w:pStyle w:val="TableText"/>
              <w:spacing w:before="40" w:after="40"/>
              <w:jc w:val="right"/>
              <w:rPr>
                <w:rFonts w:cs="Calibri"/>
                <w:szCs w:val="16"/>
              </w:rPr>
            </w:pPr>
            <w:r w:rsidRPr="009E06AA">
              <w:rPr>
                <w:rFonts w:cs="Calibri"/>
                <w:szCs w:val="16"/>
              </w:rPr>
              <w:t>10</w:t>
            </w:r>
          </w:p>
        </w:tc>
        <w:tc>
          <w:tcPr>
            <w:tcW w:w="851" w:type="dxa"/>
            <w:tcBorders>
              <w:top w:val="single" w:sz="4" w:space="0" w:color="1B556B" w:themeColor="text2"/>
              <w:left w:val="nil"/>
              <w:bottom w:val="single" w:sz="4" w:space="0" w:color="1B556B" w:themeColor="text2"/>
              <w:right w:val="nil"/>
            </w:tcBorders>
            <w:shd w:val="clear" w:color="auto" w:fill="auto"/>
          </w:tcPr>
          <w:p w14:paraId="23108614" w14:textId="77777777" w:rsidR="007523B8" w:rsidRPr="009E06AA" w:rsidRDefault="007523B8" w:rsidP="007E03CB">
            <w:pPr>
              <w:pStyle w:val="TableText"/>
              <w:spacing w:before="40" w:after="40"/>
              <w:jc w:val="right"/>
              <w:rPr>
                <w:rFonts w:cs="Calibri"/>
                <w:szCs w:val="16"/>
              </w:rPr>
            </w:pPr>
            <w:r w:rsidRPr="009E06AA">
              <w:rPr>
                <w:rFonts w:cs="Calibri"/>
                <w:szCs w:val="16"/>
              </w:rPr>
              <w:t>10</w:t>
            </w:r>
          </w:p>
        </w:tc>
        <w:tc>
          <w:tcPr>
            <w:tcW w:w="851" w:type="dxa"/>
            <w:tcBorders>
              <w:top w:val="single" w:sz="4" w:space="0" w:color="1B556B" w:themeColor="text2"/>
              <w:left w:val="nil"/>
              <w:bottom w:val="single" w:sz="4" w:space="0" w:color="1B556B" w:themeColor="text2"/>
              <w:right w:val="nil"/>
            </w:tcBorders>
            <w:shd w:val="clear" w:color="auto" w:fill="auto"/>
          </w:tcPr>
          <w:p w14:paraId="4BF47A5E" w14:textId="77777777" w:rsidR="007523B8" w:rsidRPr="009E06AA" w:rsidRDefault="007523B8" w:rsidP="007E03CB">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7D073E76" w14:textId="77777777" w:rsidR="007523B8" w:rsidRPr="009E06AA" w:rsidRDefault="007523B8" w:rsidP="007E03CB">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19F43EAA" w14:textId="77777777" w:rsidR="007523B8" w:rsidRPr="009E06AA" w:rsidRDefault="007523B8" w:rsidP="007E03CB">
            <w:pPr>
              <w:pStyle w:val="TableText"/>
              <w:spacing w:before="40" w:after="40"/>
              <w:jc w:val="right"/>
              <w:rPr>
                <w:rFonts w:cs="Calibri"/>
                <w:szCs w:val="16"/>
              </w:rPr>
            </w:pPr>
            <w:r w:rsidRPr="009E06AA">
              <w:rPr>
                <w:rFonts w:cs="Calibri"/>
                <w:szCs w:val="16"/>
              </w:rPr>
              <w:t>20</w:t>
            </w:r>
          </w:p>
        </w:tc>
      </w:tr>
      <w:tr w:rsidR="007523B8" w:rsidRPr="009E06AA" w14:paraId="7768111D" w14:textId="77777777" w:rsidTr="00B55F24">
        <w:tc>
          <w:tcPr>
            <w:tcW w:w="2098" w:type="dxa"/>
            <w:tcBorders>
              <w:top w:val="single" w:sz="4" w:space="0" w:color="1B556B" w:themeColor="text2"/>
              <w:left w:val="nil"/>
              <w:bottom w:val="single" w:sz="4" w:space="0" w:color="1B556B" w:themeColor="text2"/>
              <w:right w:val="nil"/>
            </w:tcBorders>
            <w:shd w:val="clear" w:color="auto" w:fill="auto"/>
          </w:tcPr>
          <w:p w14:paraId="176653E3" w14:textId="77777777" w:rsidR="007523B8" w:rsidRPr="009E06AA" w:rsidRDefault="007523B8" w:rsidP="00B55F24">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4BACD8CC" w14:textId="77777777" w:rsidR="007523B8" w:rsidRPr="009E06AA" w:rsidRDefault="007523B8" w:rsidP="00B55F24">
            <w:pPr>
              <w:pStyle w:val="TableText"/>
              <w:spacing w:before="40" w:after="40"/>
              <w:rPr>
                <w:rFonts w:cs="Calibri"/>
                <w:szCs w:val="16"/>
              </w:rPr>
            </w:pPr>
            <w:r w:rsidRPr="009E06AA">
              <w:rPr>
                <w:rFonts w:cs="Calibri"/>
                <w:szCs w:val="16"/>
              </w:rPr>
              <w:t>Steep slope (&gt;24</w:t>
            </w:r>
            <w:r w:rsidRPr="009E06AA">
              <w:rPr>
                <w:rFonts w:cs="Calibri"/>
                <w:szCs w:val="16"/>
                <w:vertAlign w:val="superscript"/>
              </w:rPr>
              <w:t>o</w:t>
            </w:r>
            <w:r w:rsidRPr="009E06AA">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4105DFD4" w14:textId="77777777" w:rsidR="007523B8" w:rsidRPr="009E06AA" w:rsidRDefault="007523B8" w:rsidP="007E03CB">
            <w:pPr>
              <w:pStyle w:val="TableText"/>
              <w:spacing w:before="40" w:after="40"/>
              <w:jc w:val="right"/>
              <w:rPr>
                <w:rFonts w:cs="Calibri"/>
                <w:szCs w:val="16"/>
              </w:rPr>
            </w:pPr>
            <w:r w:rsidRPr="009E06AA">
              <w:rPr>
                <w:rFonts w:cs="Calibri"/>
                <w:szCs w:val="16"/>
              </w:rPr>
              <w:t>10</w:t>
            </w:r>
          </w:p>
        </w:tc>
        <w:tc>
          <w:tcPr>
            <w:tcW w:w="851" w:type="dxa"/>
            <w:tcBorders>
              <w:top w:val="single" w:sz="4" w:space="0" w:color="1B556B" w:themeColor="text2"/>
              <w:left w:val="nil"/>
              <w:bottom w:val="single" w:sz="4" w:space="0" w:color="1B556B" w:themeColor="text2"/>
              <w:right w:val="nil"/>
            </w:tcBorders>
            <w:shd w:val="clear" w:color="auto" w:fill="auto"/>
          </w:tcPr>
          <w:p w14:paraId="19689A11" w14:textId="77777777" w:rsidR="007523B8" w:rsidRPr="009E06AA" w:rsidRDefault="007523B8" w:rsidP="007E03CB">
            <w:pPr>
              <w:pStyle w:val="TableText"/>
              <w:spacing w:before="40" w:after="40"/>
              <w:jc w:val="right"/>
              <w:rPr>
                <w:rFonts w:cs="Calibri"/>
                <w:szCs w:val="16"/>
              </w:rPr>
            </w:pPr>
            <w:r w:rsidRPr="009E06AA">
              <w:rPr>
                <w:rFonts w:cs="Calibri"/>
                <w:szCs w:val="16"/>
              </w:rPr>
              <w:t>10</w:t>
            </w:r>
          </w:p>
        </w:tc>
        <w:tc>
          <w:tcPr>
            <w:tcW w:w="851" w:type="dxa"/>
            <w:tcBorders>
              <w:top w:val="single" w:sz="4" w:space="0" w:color="1B556B" w:themeColor="text2"/>
              <w:left w:val="nil"/>
              <w:bottom w:val="single" w:sz="4" w:space="0" w:color="1B556B" w:themeColor="text2"/>
              <w:right w:val="nil"/>
            </w:tcBorders>
            <w:shd w:val="clear" w:color="auto" w:fill="auto"/>
          </w:tcPr>
          <w:p w14:paraId="5CEB2DAE" w14:textId="77777777" w:rsidR="007523B8" w:rsidRPr="009E06AA" w:rsidRDefault="007523B8" w:rsidP="007E03CB">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45444C32" w14:textId="77777777" w:rsidR="007523B8" w:rsidRPr="009E06AA" w:rsidRDefault="007523B8" w:rsidP="007E03CB">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682BE7CA" w14:textId="77777777" w:rsidR="007523B8" w:rsidRPr="009E06AA" w:rsidRDefault="007523B8" w:rsidP="007E03CB">
            <w:pPr>
              <w:pStyle w:val="TableText"/>
              <w:spacing w:before="40" w:after="40"/>
              <w:jc w:val="right"/>
              <w:rPr>
                <w:rFonts w:cs="Calibri"/>
                <w:szCs w:val="16"/>
              </w:rPr>
            </w:pPr>
            <w:r w:rsidRPr="009E06AA">
              <w:rPr>
                <w:rFonts w:cs="Calibri"/>
                <w:szCs w:val="16"/>
              </w:rPr>
              <w:t>20</w:t>
            </w:r>
          </w:p>
        </w:tc>
      </w:tr>
      <w:tr w:rsidR="007523B8" w:rsidRPr="009E06AA" w14:paraId="32230CC8" w14:textId="77777777" w:rsidTr="00B55F24">
        <w:tc>
          <w:tcPr>
            <w:tcW w:w="2098" w:type="dxa"/>
            <w:tcBorders>
              <w:top w:val="single" w:sz="4" w:space="0" w:color="1B556B" w:themeColor="text2"/>
              <w:left w:val="nil"/>
              <w:bottom w:val="single" w:sz="4" w:space="0" w:color="1B556B" w:themeColor="text2"/>
              <w:right w:val="nil"/>
            </w:tcBorders>
            <w:shd w:val="clear" w:color="auto" w:fill="auto"/>
          </w:tcPr>
          <w:p w14:paraId="6E65727A" w14:textId="77777777" w:rsidR="007523B8" w:rsidRPr="009E06AA" w:rsidRDefault="007523B8" w:rsidP="00B55F24">
            <w:pPr>
              <w:pStyle w:val="Tableboldblue"/>
              <w:spacing w:before="40" w:after="40"/>
              <w:rPr>
                <w:rFonts w:cs="Calibri"/>
                <w:color w:val="1B556B"/>
                <w:szCs w:val="16"/>
              </w:rPr>
            </w:pPr>
            <w:r w:rsidRPr="009E06AA">
              <w:rPr>
                <w:rFonts w:cs="Calibri"/>
                <w:color w:val="1B556B"/>
                <w:szCs w:val="16"/>
              </w:rPr>
              <w:t>Total urine</w:t>
            </w:r>
          </w:p>
        </w:tc>
        <w:tc>
          <w:tcPr>
            <w:tcW w:w="1814" w:type="dxa"/>
            <w:tcBorders>
              <w:top w:val="single" w:sz="4" w:space="0" w:color="1B556B" w:themeColor="text2"/>
              <w:left w:val="nil"/>
              <w:bottom w:val="single" w:sz="4" w:space="0" w:color="1B556B" w:themeColor="text2"/>
              <w:right w:val="nil"/>
            </w:tcBorders>
          </w:tcPr>
          <w:p w14:paraId="44E5B6B8" w14:textId="77777777" w:rsidR="007523B8" w:rsidRPr="009E06AA" w:rsidRDefault="007523B8" w:rsidP="00B55F24">
            <w:pPr>
              <w:pStyle w:val="Tableboldblue"/>
              <w:spacing w:before="40" w:after="40"/>
              <w:rPr>
                <w:rFonts w:cs="Calibri"/>
                <w:color w:val="1B556B"/>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3B9F892F" w14:textId="77777777" w:rsidR="007523B8" w:rsidRPr="009E06AA" w:rsidRDefault="007523B8" w:rsidP="007E03CB">
            <w:pPr>
              <w:pStyle w:val="Tableboldblue"/>
              <w:spacing w:before="40" w:after="40"/>
              <w:jc w:val="right"/>
              <w:rPr>
                <w:rFonts w:cs="Calibri"/>
                <w:color w:val="1B556B"/>
                <w:szCs w:val="16"/>
              </w:rPr>
            </w:pPr>
            <w:r w:rsidRPr="009E06AA">
              <w:rPr>
                <w:rFonts w:cs="Calibri"/>
                <w:color w:val="1B556B"/>
                <w:szCs w:val="16"/>
              </w:rPr>
              <w:t>254</w:t>
            </w:r>
          </w:p>
        </w:tc>
        <w:tc>
          <w:tcPr>
            <w:tcW w:w="851" w:type="dxa"/>
            <w:tcBorders>
              <w:top w:val="single" w:sz="4" w:space="0" w:color="1B556B" w:themeColor="text2"/>
              <w:left w:val="nil"/>
              <w:bottom w:val="single" w:sz="4" w:space="0" w:color="1B556B" w:themeColor="text2"/>
              <w:right w:val="nil"/>
            </w:tcBorders>
            <w:shd w:val="clear" w:color="auto" w:fill="auto"/>
          </w:tcPr>
          <w:p w14:paraId="725EAFD4" w14:textId="77777777" w:rsidR="007523B8" w:rsidRPr="009E06AA" w:rsidRDefault="007523B8" w:rsidP="007E03CB">
            <w:pPr>
              <w:pStyle w:val="Tableboldblue"/>
              <w:spacing w:before="40" w:after="40"/>
              <w:jc w:val="right"/>
              <w:rPr>
                <w:rFonts w:cs="Calibri"/>
                <w:color w:val="1B556B"/>
                <w:szCs w:val="16"/>
              </w:rPr>
            </w:pPr>
            <w:r w:rsidRPr="009E06AA">
              <w:rPr>
                <w:rFonts w:cs="Calibri"/>
                <w:color w:val="1B556B"/>
                <w:szCs w:val="16"/>
              </w:rPr>
              <w:t>255</w:t>
            </w:r>
          </w:p>
        </w:tc>
        <w:tc>
          <w:tcPr>
            <w:tcW w:w="851" w:type="dxa"/>
            <w:tcBorders>
              <w:top w:val="single" w:sz="4" w:space="0" w:color="1B556B" w:themeColor="text2"/>
              <w:left w:val="nil"/>
              <w:bottom w:val="single" w:sz="4" w:space="0" w:color="1B556B" w:themeColor="text2"/>
              <w:right w:val="nil"/>
            </w:tcBorders>
            <w:shd w:val="clear" w:color="auto" w:fill="auto"/>
          </w:tcPr>
          <w:p w14:paraId="358C5D77" w14:textId="77777777" w:rsidR="007523B8" w:rsidRPr="009E06AA" w:rsidRDefault="007523B8" w:rsidP="007E03CB">
            <w:pPr>
              <w:pStyle w:val="Tableboldblue"/>
              <w:spacing w:before="40" w:after="40"/>
              <w:jc w:val="right"/>
              <w:rPr>
                <w:rFonts w:cs="Calibri"/>
                <w:color w:val="1B556B"/>
                <w:szCs w:val="16"/>
              </w:rPr>
            </w:pPr>
            <w:r w:rsidRPr="009E06AA">
              <w:rPr>
                <w:rFonts w:cs="Calibri"/>
                <w:color w:val="1B556B"/>
                <w:szCs w:val="16"/>
              </w:rPr>
              <w:t>200</w:t>
            </w:r>
          </w:p>
        </w:tc>
        <w:tc>
          <w:tcPr>
            <w:tcW w:w="851" w:type="dxa"/>
            <w:tcBorders>
              <w:top w:val="single" w:sz="4" w:space="0" w:color="1B556B" w:themeColor="text2"/>
              <w:left w:val="nil"/>
              <w:bottom w:val="single" w:sz="4" w:space="0" w:color="1B556B" w:themeColor="text2"/>
              <w:right w:val="nil"/>
            </w:tcBorders>
            <w:shd w:val="clear" w:color="auto" w:fill="auto"/>
          </w:tcPr>
          <w:p w14:paraId="64EA6509" w14:textId="77777777" w:rsidR="007523B8" w:rsidRPr="009E06AA" w:rsidRDefault="007523B8" w:rsidP="007E03CB">
            <w:pPr>
              <w:pStyle w:val="Tableboldblue"/>
              <w:spacing w:before="40" w:after="40"/>
              <w:jc w:val="right"/>
              <w:rPr>
                <w:rFonts w:cs="Calibri"/>
                <w:color w:val="1B556B"/>
                <w:szCs w:val="16"/>
              </w:rPr>
            </w:pPr>
            <w:r w:rsidRPr="009E06AA">
              <w:rPr>
                <w:rFonts w:cs="Calibri"/>
                <w:color w:val="1B556B"/>
                <w:szCs w:val="16"/>
              </w:rPr>
              <w:t>72</w:t>
            </w:r>
          </w:p>
        </w:tc>
        <w:tc>
          <w:tcPr>
            <w:tcW w:w="851" w:type="dxa"/>
            <w:tcBorders>
              <w:top w:val="single" w:sz="4" w:space="0" w:color="1B556B" w:themeColor="text2"/>
              <w:left w:val="nil"/>
              <w:bottom w:val="single" w:sz="4" w:space="0" w:color="1B556B" w:themeColor="text2"/>
              <w:right w:val="nil"/>
            </w:tcBorders>
            <w:shd w:val="clear" w:color="auto" w:fill="auto"/>
          </w:tcPr>
          <w:p w14:paraId="0F32FD10" w14:textId="77777777" w:rsidR="007523B8" w:rsidRPr="009E06AA" w:rsidRDefault="007523B8" w:rsidP="007E03CB">
            <w:pPr>
              <w:pStyle w:val="Tableboldblue"/>
              <w:spacing w:before="40" w:after="40"/>
              <w:jc w:val="right"/>
              <w:rPr>
                <w:rFonts w:cs="Calibri"/>
                <w:color w:val="1B556B"/>
                <w:szCs w:val="16"/>
              </w:rPr>
            </w:pPr>
            <w:r w:rsidRPr="009E06AA">
              <w:rPr>
                <w:rFonts w:cs="Calibri"/>
                <w:color w:val="1B556B"/>
                <w:szCs w:val="16"/>
              </w:rPr>
              <w:t>781</w:t>
            </w:r>
          </w:p>
        </w:tc>
      </w:tr>
      <w:tr w:rsidR="007523B8" w:rsidRPr="009E06AA" w14:paraId="09097EFD" w14:textId="77777777" w:rsidTr="00B55F24">
        <w:tc>
          <w:tcPr>
            <w:tcW w:w="2098" w:type="dxa"/>
            <w:tcBorders>
              <w:top w:val="single" w:sz="4" w:space="0" w:color="1B556B" w:themeColor="text2"/>
              <w:left w:val="nil"/>
              <w:bottom w:val="single" w:sz="4" w:space="0" w:color="1B556B" w:themeColor="text2"/>
              <w:right w:val="nil"/>
            </w:tcBorders>
            <w:shd w:val="clear" w:color="auto" w:fill="auto"/>
          </w:tcPr>
          <w:p w14:paraId="05AE1074" w14:textId="77777777" w:rsidR="007523B8" w:rsidRPr="009E06AA" w:rsidRDefault="007523B8" w:rsidP="00B55F24">
            <w:pPr>
              <w:pStyle w:val="Tableboldblue"/>
              <w:spacing w:before="40" w:after="40"/>
              <w:rPr>
                <w:rFonts w:cs="Calibri"/>
                <w:color w:val="1B556B"/>
                <w:szCs w:val="16"/>
              </w:rPr>
            </w:pPr>
            <w:r w:rsidRPr="009E06AA">
              <w:rPr>
                <w:rFonts w:cs="Calibri"/>
                <w:color w:val="1B556B"/>
                <w:szCs w:val="16"/>
              </w:rPr>
              <w:t>Total dung</w:t>
            </w:r>
          </w:p>
        </w:tc>
        <w:tc>
          <w:tcPr>
            <w:tcW w:w="1814" w:type="dxa"/>
            <w:tcBorders>
              <w:top w:val="single" w:sz="4" w:space="0" w:color="1B556B" w:themeColor="text2"/>
              <w:left w:val="nil"/>
              <w:bottom w:val="single" w:sz="4" w:space="0" w:color="1B556B" w:themeColor="text2"/>
              <w:right w:val="nil"/>
            </w:tcBorders>
          </w:tcPr>
          <w:p w14:paraId="01B9E3AC" w14:textId="77777777" w:rsidR="007523B8" w:rsidRPr="009E06AA" w:rsidRDefault="007523B8" w:rsidP="00B55F24">
            <w:pPr>
              <w:pStyle w:val="Tableboldblue"/>
              <w:spacing w:before="40" w:after="40"/>
              <w:rPr>
                <w:rFonts w:cs="Calibri"/>
                <w:color w:val="1B556B"/>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535FF36F" w14:textId="77777777" w:rsidR="007523B8" w:rsidRPr="009E06AA" w:rsidRDefault="007523B8" w:rsidP="007E03CB">
            <w:pPr>
              <w:pStyle w:val="Tableboldblue"/>
              <w:spacing w:before="40" w:after="40"/>
              <w:jc w:val="right"/>
              <w:rPr>
                <w:rFonts w:cs="Calibri"/>
                <w:color w:val="1B556B"/>
                <w:szCs w:val="16"/>
              </w:rPr>
            </w:pPr>
            <w:r w:rsidRPr="009E06AA">
              <w:rPr>
                <w:rFonts w:cs="Calibri"/>
                <w:color w:val="1B556B"/>
                <w:szCs w:val="16"/>
              </w:rPr>
              <w:t>104</w:t>
            </w:r>
          </w:p>
        </w:tc>
        <w:tc>
          <w:tcPr>
            <w:tcW w:w="851" w:type="dxa"/>
            <w:tcBorders>
              <w:top w:val="single" w:sz="4" w:space="0" w:color="1B556B" w:themeColor="text2"/>
              <w:left w:val="nil"/>
              <w:bottom w:val="single" w:sz="4" w:space="0" w:color="1B556B" w:themeColor="text2"/>
              <w:right w:val="nil"/>
            </w:tcBorders>
            <w:shd w:val="clear" w:color="auto" w:fill="auto"/>
          </w:tcPr>
          <w:p w14:paraId="230ABAC7" w14:textId="77777777" w:rsidR="007523B8" w:rsidRPr="009E06AA" w:rsidRDefault="007523B8" w:rsidP="007E03CB">
            <w:pPr>
              <w:pStyle w:val="Tableboldblue"/>
              <w:spacing w:before="40" w:after="40"/>
              <w:jc w:val="right"/>
              <w:rPr>
                <w:rFonts w:cs="Calibri"/>
                <w:color w:val="1B556B"/>
                <w:szCs w:val="16"/>
              </w:rPr>
            </w:pPr>
            <w:r w:rsidRPr="009E06AA">
              <w:rPr>
                <w:rFonts w:cs="Calibri"/>
                <w:color w:val="1B556B"/>
                <w:szCs w:val="16"/>
              </w:rPr>
              <w:t>192</w:t>
            </w:r>
          </w:p>
        </w:tc>
        <w:tc>
          <w:tcPr>
            <w:tcW w:w="851" w:type="dxa"/>
            <w:tcBorders>
              <w:top w:val="single" w:sz="4" w:space="0" w:color="1B556B" w:themeColor="text2"/>
              <w:left w:val="nil"/>
              <w:bottom w:val="single" w:sz="4" w:space="0" w:color="1B556B" w:themeColor="text2"/>
              <w:right w:val="nil"/>
            </w:tcBorders>
            <w:shd w:val="clear" w:color="auto" w:fill="auto"/>
          </w:tcPr>
          <w:p w14:paraId="6DAC196A" w14:textId="77777777" w:rsidR="007523B8" w:rsidRPr="009E06AA" w:rsidRDefault="007523B8" w:rsidP="007E03CB">
            <w:pPr>
              <w:pStyle w:val="Tableboldblue"/>
              <w:spacing w:before="40" w:after="40"/>
              <w:jc w:val="right"/>
              <w:rPr>
                <w:rFonts w:cs="Calibri"/>
                <w:color w:val="1B556B"/>
                <w:szCs w:val="16"/>
              </w:rPr>
            </w:pPr>
            <w:r w:rsidRPr="009E06AA">
              <w:rPr>
                <w:rFonts w:cs="Calibri"/>
                <w:color w:val="1B556B"/>
                <w:szCs w:val="16"/>
              </w:rPr>
              <w:t>80</w:t>
            </w:r>
          </w:p>
        </w:tc>
        <w:tc>
          <w:tcPr>
            <w:tcW w:w="851" w:type="dxa"/>
            <w:tcBorders>
              <w:top w:val="single" w:sz="4" w:space="0" w:color="1B556B" w:themeColor="text2"/>
              <w:left w:val="nil"/>
              <w:bottom w:val="single" w:sz="4" w:space="0" w:color="1B556B" w:themeColor="text2"/>
              <w:right w:val="nil"/>
            </w:tcBorders>
            <w:shd w:val="clear" w:color="auto" w:fill="auto"/>
          </w:tcPr>
          <w:p w14:paraId="7E57EF64" w14:textId="77777777" w:rsidR="007523B8" w:rsidRPr="009E06AA" w:rsidRDefault="007523B8" w:rsidP="007E03CB">
            <w:pPr>
              <w:pStyle w:val="Tableboldblue"/>
              <w:spacing w:before="40" w:after="40"/>
              <w:jc w:val="right"/>
              <w:rPr>
                <w:rFonts w:cs="Calibri"/>
                <w:color w:val="1B556B"/>
                <w:szCs w:val="16"/>
              </w:rPr>
            </w:pPr>
            <w:r w:rsidRPr="009E06AA">
              <w:rPr>
                <w:rFonts w:cs="Calibri"/>
                <w:color w:val="1B556B"/>
                <w:szCs w:val="16"/>
              </w:rPr>
              <w:t>60</w:t>
            </w:r>
          </w:p>
        </w:tc>
        <w:tc>
          <w:tcPr>
            <w:tcW w:w="851" w:type="dxa"/>
            <w:tcBorders>
              <w:top w:val="single" w:sz="4" w:space="0" w:color="1B556B" w:themeColor="text2"/>
              <w:left w:val="nil"/>
              <w:bottom w:val="single" w:sz="4" w:space="0" w:color="1B556B" w:themeColor="text2"/>
              <w:right w:val="nil"/>
            </w:tcBorders>
            <w:shd w:val="clear" w:color="auto" w:fill="auto"/>
          </w:tcPr>
          <w:p w14:paraId="0E87C126" w14:textId="77777777" w:rsidR="007523B8" w:rsidRPr="009E06AA" w:rsidRDefault="007523B8" w:rsidP="007E03CB">
            <w:pPr>
              <w:pStyle w:val="Tableboldblue"/>
              <w:spacing w:before="40" w:after="40"/>
              <w:jc w:val="right"/>
              <w:rPr>
                <w:rFonts w:cs="Calibri"/>
                <w:color w:val="1B556B"/>
                <w:szCs w:val="16"/>
              </w:rPr>
            </w:pPr>
            <w:r w:rsidRPr="009E06AA">
              <w:rPr>
                <w:rFonts w:cs="Calibri"/>
                <w:color w:val="1B556B"/>
                <w:szCs w:val="16"/>
              </w:rPr>
              <w:t>436</w:t>
            </w:r>
          </w:p>
        </w:tc>
      </w:tr>
      <w:tr w:rsidR="007523B8" w:rsidRPr="009E06AA" w14:paraId="7602F499" w14:textId="77777777" w:rsidTr="00B55F24">
        <w:tc>
          <w:tcPr>
            <w:tcW w:w="2098" w:type="dxa"/>
            <w:tcBorders>
              <w:top w:val="single" w:sz="4" w:space="0" w:color="1B556B" w:themeColor="text2"/>
              <w:left w:val="nil"/>
              <w:bottom w:val="single" w:sz="4" w:space="0" w:color="1B556B" w:themeColor="text2"/>
              <w:right w:val="nil"/>
            </w:tcBorders>
            <w:shd w:val="clear" w:color="auto" w:fill="auto"/>
          </w:tcPr>
          <w:p w14:paraId="4C595B85" w14:textId="77777777" w:rsidR="007523B8" w:rsidRPr="009E06AA" w:rsidRDefault="007523B8" w:rsidP="00B55F24">
            <w:pPr>
              <w:pStyle w:val="Tableboldblue"/>
              <w:spacing w:before="40" w:after="40"/>
              <w:rPr>
                <w:rFonts w:cs="Calibri"/>
                <w:color w:val="1B556B"/>
                <w:szCs w:val="16"/>
              </w:rPr>
            </w:pPr>
            <w:r w:rsidRPr="009E06AA">
              <w:rPr>
                <w:rFonts w:cs="Calibri"/>
                <w:color w:val="1B556B"/>
                <w:szCs w:val="16"/>
              </w:rPr>
              <w:t>Total excreta</w:t>
            </w:r>
          </w:p>
        </w:tc>
        <w:tc>
          <w:tcPr>
            <w:tcW w:w="1814" w:type="dxa"/>
            <w:tcBorders>
              <w:top w:val="single" w:sz="4" w:space="0" w:color="1B556B" w:themeColor="text2"/>
              <w:left w:val="nil"/>
              <w:bottom w:val="single" w:sz="4" w:space="0" w:color="1B556B" w:themeColor="text2"/>
              <w:right w:val="nil"/>
            </w:tcBorders>
          </w:tcPr>
          <w:p w14:paraId="1B18CC38" w14:textId="77777777" w:rsidR="007523B8" w:rsidRPr="009E06AA" w:rsidRDefault="007523B8" w:rsidP="00B55F24">
            <w:pPr>
              <w:pStyle w:val="Tableboldblue"/>
              <w:spacing w:before="40" w:after="40"/>
              <w:rPr>
                <w:rFonts w:cs="Calibri"/>
                <w:color w:val="1B556B"/>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215F3E16" w14:textId="77777777" w:rsidR="007523B8" w:rsidRPr="009E06AA" w:rsidRDefault="007523B8" w:rsidP="007E03CB">
            <w:pPr>
              <w:pStyle w:val="Tableboldblue"/>
              <w:spacing w:before="40" w:after="40"/>
              <w:jc w:val="right"/>
              <w:rPr>
                <w:rFonts w:cs="Calibri"/>
                <w:color w:val="1B556B"/>
                <w:szCs w:val="16"/>
              </w:rPr>
            </w:pPr>
            <w:r w:rsidRPr="009E06AA">
              <w:rPr>
                <w:rFonts w:cs="Calibri"/>
                <w:color w:val="1B556B"/>
                <w:szCs w:val="16"/>
              </w:rPr>
              <w:t>358</w:t>
            </w:r>
          </w:p>
        </w:tc>
        <w:tc>
          <w:tcPr>
            <w:tcW w:w="851" w:type="dxa"/>
            <w:tcBorders>
              <w:top w:val="single" w:sz="4" w:space="0" w:color="1B556B" w:themeColor="text2"/>
              <w:left w:val="nil"/>
              <w:bottom w:val="single" w:sz="4" w:space="0" w:color="1B556B" w:themeColor="text2"/>
              <w:right w:val="nil"/>
            </w:tcBorders>
            <w:shd w:val="clear" w:color="auto" w:fill="auto"/>
          </w:tcPr>
          <w:p w14:paraId="5DDD9F3E" w14:textId="77777777" w:rsidR="007523B8" w:rsidRPr="009E06AA" w:rsidRDefault="007523B8" w:rsidP="007E03CB">
            <w:pPr>
              <w:pStyle w:val="Tableboldblue"/>
              <w:spacing w:before="40" w:after="40"/>
              <w:jc w:val="right"/>
              <w:rPr>
                <w:rFonts w:cs="Calibri"/>
                <w:color w:val="1B556B"/>
                <w:szCs w:val="16"/>
              </w:rPr>
            </w:pPr>
            <w:r w:rsidRPr="009E06AA">
              <w:rPr>
                <w:rFonts w:cs="Calibri"/>
                <w:color w:val="1B556B"/>
                <w:szCs w:val="16"/>
              </w:rPr>
              <w:t>447</w:t>
            </w:r>
          </w:p>
        </w:tc>
        <w:tc>
          <w:tcPr>
            <w:tcW w:w="851" w:type="dxa"/>
            <w:tcBorders>
              <w:top w:val="single" w:sz="4" w:space="0" w:color="1B556B" w:themeColor="text2"/>
              <w:left w:val="nil"/>
              <w:bottom w:val="single" w:sz="4" w:space="0" w:color="1B556B" w:themeColor="text2"/>
              <w:right w:val="nil"/>
            </w:tcBorders>
            <w:shd w:val="clear" w:color="auto" w:fill="auto"/>
          </w:tcPr>
          <w:p w14:paraId="1A32F1C8" w14:textId="77777777" w:rsidR="007523B8" w:rsidRPr="009E06AA" w:rsidRDefault="007523B8" w:rsidP="007E03CB">
            <w:pPr>
              <w:pStyle w:val="Tableboldblue"/>
              <w:spacing w:before="40" w:after="40"/>
              <w:jc w:val="right"/>
              <w:rPr>
                <w:rFonts w:cs="Calibri"/>
                <w:color w:val="1B556B"/>
                <w:szCs w:val="16"/>
              </w:rPr>
            </w:pPr>
            <w:r w:rsidRPr="009E06AA">
              <w:rPr>
                <w:rFonts w:cs="Calibri"/>
                <w:color w:val="1B556B"/>
                <w:szCs w:val="16"/>
              </w:rPr>
              <w:t>280</w:t>
            </w:r>
          </w:p>
        </w:tc>
        <w:tc>
          <w:tcPr>
            <w:tcW w:w="851" w:type="dxa"/>
            <w:tcBorders>
              <w:top w:val="single" w:sz="4" w:space="0" w:color="1B556B" w:themeColor="text2"/>
              <w:left w:val="nil"/>
              <w:bottom w:val="single" w:sz="4" w:space="0" w:color="1B556B" w:themeColor="text2"/>
              <w:right w:val="nil"/>
            </w:tcBorders>
            <w:shd w:val="clear" w:color="auto" w:fill="auto"/>
          </w:tcPr>
          <w:p w14:paraId="2F723A7B" w14:textId="77777777" w:rsidR="007523B8" w:rsidRPr="009E06AA" w:rsidRDefault="007523B8" w:rsidP="007E03CB">
            <w:pPr>
              <w:pStyle w:val="Tableboldblue"/>
              <w:spacing w:before="40" w:after="40"/>
              <w:jc w:val="right"/>
              <w:rPr>
                <w:rFonts w:cs="Calibri"/>
                <w:color w:val="1B556B"/>
                <w:szCs w:val="16"/>
              </w:rPr>
            </w:pPr>
            <w:r w:rsidRPr="009E06AA">
              <w:rPr>
                <w:rFonts w:cs="Calibri"/>
                <w:color w:val="1B556B"/>
                <w:szCs w:val="16"/>
              </w:rPr>
              <w:t>132</w:t>
            </w:r>
          </w:p>
        </w:tc>
        <w:tc>
          <w:tcPr>
            <w:tcW w:w="851" w:type="dxa"/>
            <w:tcBorders>
              <w:top w:val="single" w:sz="4" w:space="0" w:color="1B556B" w:themeColor="text2"/>
              <w:left w:val="nil"/>
              <w:bottom w:val="single" w:sz="4" w:space="0" w:color="1B556B" w:themeColor="text2"/>
              <w:right w:val="nil"/>
            </w:tcBorders>
            <w:shd w:val="clear" w:color="auto" w:fill="auto"/>
          </w:tcPr>
          <w:p w14:paraId="4C3A5CB2" w14:textId="77777777" w:rsidR="007523B8" w:rsidRPr="009E06AA" w:rsidRDefault="007523B8" w:rsidP="007E03CB">
            <w:pPr>
              <w:pStyle w:val="Tableboldblue"/>
              <w:spacing w:before="40" w:after="40"/>
              <w:jc w:val="right"/>
              <w:rPr>
                <w:rFonts w:cs="Calibri"/>
                <w:color w:val="1B556B"/>
                <w:szCs w:val="16"/>
              </w:rPr>
            </w:pPr>
            <w:r w:rsidRPr="009E06AA">
              <w:rPr>
                <w:rFonts w:cs="Calibri"/>
                <w:color w:val="1B556B"/>
                <w:szCs w:val="16"/>
              </w:rPr>
              <w:t>1,217</w:t>
            </w:r>
          </w:p>
        </w:tc>
      </w:tr>
    </w:tbl>
    <w:p w14:paraId="6A6E8CE9" w14:textId="77777777" w:rsidR="007523B8" w:rsidRPr="009E06AA" w:rsidRDefault="007523B8" w:rsidP="001E47A3">
      <w:pPr>
        <w:pStyle w:val="BodyText"/>
      </w:pPr>
      <w:r w:rsidRPr="009E06AA">
        <w:t>The meta-analysis used arithmetic means to calculate new average EF</w:t>
      </w:r>
      <w:r w:rsidRPr="009E06AA">
        <w:rPr>
          <w:vertAlign w:val="subscript"/>
        </w:rPr>
        <w:t>3</w:t>
      </w:r>
      <w:r w:rsidRPr="009E06AA">
        <w:t xml:space="preserve"> values (categorised by animal, slope and excreta type). Because the differences between some of these values were not statistically significant, some of the arithmetic means were pooled. This resulted in the dung EF</w:t>
      </w:r>
      <w:r w:rsidRPr="009E06AA">
        <w:rPr>
          <w:vertAlign w:val="subscript"/>
        </w:rPr>
        <w:t>3</w:t>
      </w:r>
      <w:r w:rsidRPr="009E06AA">
        <w:t xml:space="preserve"> averages being combined into a single value (0.0012). The urine EF</w:t>
      </w:r>
      <w:r w:rsidRPr="009E06AA">
        <w:rPr>
          <w:vertAlign w:val="subscript"/>
        </w:rPr>
        <w:t>3</w:t>
      </w:r>
      <w:r w:rsidRPr="009E06AA">
        <w:t xml:space="preserve"> values were pooled into four categories:</w:t>
      </w:r>
    </w:p>
    <w:p w14:paraId="2E20C640" w14:textId="77777777" w:rsidR="007523B8" w:rsidRPr="009E06AA" w:rsidRDefault="007523B8" w:rsidP="001E47A3">
      <w:pPr>
        <w:pStyle w:val="Bullet"/>
      </w:pPr>
      <w:r w:rsidRPr="009E06AA">
        <w:t>cattle urine on flatland/low slopes (0.0098)</w:t>
      </w:r>
    </w:p>
    <w:p w14:paraId="3A62458A" w14:textId="77777777" w:rsidR="007523B8" w:rsidRPr="009E06AA" w:rsidRDefault="007523B8" w:rsidP="001E47A3">
      <w:pPr>
        <w:pStyle w:val="Bullet"/>
      </w:pPr>
      <w:r w:rsidRPr="009E06AA">
        <w:t>cattle urine on medium/steep slopes (0.0033)</w:t>
      </w:r>
    </w:p>
    <w:p w14:paraId="67129320" w14:textId="77777777" w:rsidR="007523B8" w:rsidRPr="009E06AA" w:rsidRDefault="007523B8" w:rsidP="001E47A3">
      <w:pPr>
        <w:pStyle w:val="Bullet"/>
      </w:pPr>
      <w:r w:rsidRPr="009E06AA">
        <w:t xml:space="preserve">sheep urine on flatland/low slopes (0.005) </w:t>
      </w:r>
    </w:p>
    <w:p w14:paraId="4EA32437" w14:textId="77777777" w:rsidR="007523B8" w:rsidRPr="009E06AA" w:rsidRDefault="007523B8" w:rsidP="001E47A3">
      <w:pPr>
        <w:pStyle w:val="Bullet"/>
      </w:pPr>
      <w:r w:rsidRPr="009E06AA">
        <w:t>sheep urine on medium/steep slopes (0.0008).</w:t>
      </w:r>
    </w:p>
    <w:p w14:paraId="63B139E7" w14:textId="77777777" w:rsidR="007523B8" w:rsidRPr="009E06AA" w:rsidRDefault="007523B8" w:rsidP="007523B8">
      <w:pPr>
        <w:pStyle w:val="BodyText"/>
      </w:pPr>
      <w:r w:rsidRPr="009E06AA">
        <w:t>The lower emission factors observed for urine on steeper slopes are thought to be due to these soils having lower soil fertility, nitrogen status and moisture content compared with less steep slopes (Luo et al., 2013).</w:t>
      </w:r>
    </w:p>
    <w:p w14:paraId="210750A6" w14:textId="77777777" w:rsidR="007523B8" w:rsidRPr="009E06AA" w:rsidRDefault="007523B8" w:rsidP="007523B8">
      <w:pPr>
        <w:pStyle w:val="BodyText"/>
      </w:pPr>
      <w:r w:rsidRPr="009E06AA">
        <w:rPr>
          <w:spacing w:val="-2"/>
        </w:rPr>
        <w:t>The new urine emission factor values for each livestock type by slope are lower than the current</w:t>
      </w:r>
      <w:r w:rsidRPr="009E06AA">
        <w:t xml:space="preserve"> IPCC default EF</w:t>
      </w:r>
      <w:r w:rsidRPr="009E06AA">
        <w:rPr>
          <w:vertAlign w:val="subscript"/>
        </w:rPr>
        <w:t>3</w:t>
      </w:r>
      <w:r w:rsidRPr="009E06AA">
        <w:t xml:space="preserve"> value, which is based on common international farming systems where, on average, livestock farmed land is on less hilly terrain than common farmland in New Zealand. In addition to the large proportion of farmed hill country, New Zealand’s climate and soil characteristics contribute to differences between international default emission factors and New Zealand’s country-specific emission factors. When using these emission factors, the IEF for direct N</w:t>
      </w:r>
      <w:r w:rsidRPr="009E06AA">
        <w:rPr>
          <w:vertAlign w:val="subscript"/>
        </w:rPr>
        <w:t>2</w:t>
      </w:r>
      <w:r w:rsidRPr="009E06AA">
        <w:t>O from dung and urine was 0.0054 in 2020. This value is comparable with that calculated for the United Kingdom (0.0037) and Australia (0.0040) in their respective inventory submissions for 2021.</w:t>
      </w:r>
    </w:p>
    <w:p w14:paraId="30ADC234" w14:textId="77777777" w:rsidR="007523B8" w:rsidRPr="009E06AA" w:rsidRDefault="007523B8" w:rsidP="007523B8">
      <w:pPr>
        <w:pStyle w:val="BodyText"/>
      </w:pPr>
      <w:r w:rsidRPr="009E06AA">
        <w:t>Nitrous oxide</w:t>
      </w:r>
      <w:r w:rsidRPr="009E06AA" w:rsidDel="00271764">
        <w:t xml:space="preserve"> </w:t>
      </w:r>
      <w:r w:rsidRPr="009E06AA">
        <w:t>emissions</w:t>
      </w:r>
      <w:r w:rsidRPr="009E06AA" w:rsidDel="00271764">
        <w:t xml:space="preserve"> </w:t>
      </w:r>
      <w:r w:rsidRPr="009E06AA">
        <w:t>have not been measured for deer excreta, therefore, deer EF</w:t>
      </w:r>
      <w:r w:rsidRPr="009E06AA">
        <w:rPr>
          <w:vertAlign w:val="subscript"/>
        </w:rPr>
        <w:t>3</w:t>
      </w:r>
      <w:r w:rsidRPr="009E06AA">
        <w:t xml:space="preserve"> values were calculated using average EF</w:t>
      </w:r>
      <w:r w:rsidRPr="009E06AA">
        <w:rPr>
          <w:vertAlign w:val="subscript"/>
        </w:rPr>
        <w:t>3</w:t>
      </w:r>
      <w:r w:rsidRPr="009E06AA">
        <w:t xml:space="preserve"> values from cattle and sheep. Based on animal liveweight, deer excreta characteristics (in terms of total deposition volume and weight) are assumed to be between the excreta characteristics of cattle and sheep (van der Weerden et al., 2019, 2020). </w:t>
      </w:r>
    </w:p>
    <w:p w14:paraId="15000CD3" w14:textId="5A6DF153" w:rsidR="007523B8" w:rsidRPr="009E06AA" w:rsidRDefault="007523B8" w:rsidP="007523B8">
      <w:pPr>
        <w:pStyle w:val="BodyText"/>
      </w:pPr>
      <w:r w:rsidRPr="009E06AA">
        <w:t>To apply these emission factors, estimates of the amount of urine and dung deposited onto separate slopes are needed. A nutrient transfer model developed by Saggar et al. (2015) is used to allocate total excreta (N</w:t>
      </w:r>
      <w:r w:rsidRPr="009E06AA">
        <w:rPr>
          <w:vertAlign w:val="subscript"/>
        </w:rPr>
        <w:t>ex</w:t>
      </w:r>
      <w:r w:rsidRPr="009E06AA">
        <w:t>,</w:t>
      </w:r>
      <w:r w:rsidRPr="009E06AA">
        <w:rPr>
          <w:vertAlign w:val="subscript"/>
        </w:rPr>
        <w:t xml:space="preserve"> </w:t>
      </w:r>
      <w:r w:rsidRPr="009E06AA">
        <w:t xml:space="preserve">calculated using the methods described in section 5.3) by livestock type to the different slope categories. The nutrient transfer model uses data on the area of farmland for each slope type, and accounts for animal behaviour where livestock spend relatively more time on lower slopes, and so deposit more excreta on these lower slopes. For more information on this model, please refer to annex </w:t>
      </w:r>
      <w:r w:rsidR="00275749" w:rsidRPr="009E06AA">
        <w:t>5</w:t>
      </w:r>
      <w:r w:rsidRPr="009E06AA">
        <w:t xml:space="preserve">, section </w:t>
      </w:r>
      <w:r w:rsidR="00275749" w:rsidRPr="009E06AA">
        <w:t>5</w:t>
      </w:r>
      <w:r w:rsidRPr="009E06AA">
        <w:t>.1.3.</w:t>
      </w:r>
    </w:p>
    <w:p w14:paraId="3DF8BC84" w14:textId="77777777" w:rsidR="007523B8" w:rsidRPr="009E06AA" w:rsidRDefault="007523B8" w:rsidP="007523B8">
      <w:pPr>
        <w:pStyle w:val="BodyText"/>
      </w:pPr>
      <w:r w:rsidRPr="009E06AA">
        <w:t>The use of these revised EF</w:t>
      </w:r>
      <w:r w:rsidRPr="009E06AA">
        <w:rPr>
          <w:vertAlign w:val="subscript"/>
        </w:rPr>
        <w:t>3</w:t>
      </w:r>
      <w:r w:rsidRPr="009E06AA">
        <w:t xml:space="preserve"> emission factors and the nutrient transfer model was recommended by the Agriculture Inventory Advisory Panel in late 2019.</w:t>
      </w:r>
    </w:p>
    <w:p w14:paraId="0A64E0D5" w14:textId="77777777" w:rsidR="007523B8" w:rsidRPr="009E06AA" w:rsidRDefault="007523B8" w:rsidP="00BF2A76">
      <w:pPr>
        <w:pStyle w:val="Heading5"/>
      </w:pPr>
      <w:r w:rsidRPr="009E06AA">
        <w:t>Direct nitrous oxide emission factors for minor livestock types</w:t>
      </w:r>
    </w:p>
    <w:p w14:paraId="5B120CCA" w14:textId="77777777" w:rsidR="007523B8" w:rsidRPr="009E06AA" w:rsidRDefault="007523B8" w:rsidP="007523B8">
      <w:pPr>
        <w:pStyle w:val="BodyText"/>
      </w:pPr>
      <w:r w:rsidRPr="009E06AA">
        <w:t xml:space="preserve">Minor livestock types, including </w:t>
      </w:r>
      <w:r w:rsidRPr="009E06AA">
        <w:rPr>
          <w:i/>
          <w:iCs/>
        </w:rPr>
        <w:t>Swine, Goats, Horses, Llamas</w:t>
      </w:r>
      <w:r w:rsidRPr="009E06AA">
        <w:t xml:space="preserve"> </w:t>
      </w:r>
      <w:r w:rsidRPr="009E06AA">
        <w:rPr>
          <w:i/>
          <w:iCs/>
        </w:rPr>
        <w:t>and alpacas, Mules and</w:t>
      </w:r>
      <w:r w:rsidRPr="009E06AA">
        <w:rPr>
          <w:i/>
        </w:rPr>
        <w:t xml:space="preserve"> asses,</w:t>
      </w:r>
      <w:r w:rsidRPr="009E06AA">
        <w:t xml:space="preserve"> and </w:t>
      </w:r>
      <w:r w:rsidRPr="009E06AA">
        <w:rPr>
          <w:i/>
          <w:iCs/>
        </w:rPr>
        <w:t>Poultry</w:t>
      </w:r>
      <w:r w:rsidRPr="009E06AA">
        <w:t>, make up a small proportion of total agricultural emissions. New Zealand will therefore continue to use the previous emission factor for minor livestock types (EF</w:t>
      </w:r>
      <w:r w:rsidRPr="009E06AA">
        <w:rPr>
          <w:vertAlign w:val="subscript"/>
        </w:rPr>
        <w:t>3(PRP-MINOR)</w:t>
      </w:r>
      <w:r w:rsidRPr="009E06AA">
        <w:t xml:space="preserve">) of 0.01, which is the IPCC default. Research conducted in </w:t>
      </w:r>
      <w:r w:rsidRPr="009E06AA" w:rsidDel="00751037">
        <w:t xml:space="preserve">New </w:t>
      </w:r>
      <w:r w:rsidRPr="009E06AA">
        <w:t>Zealand has confirmed this value is appropriate for New Zealand’s conditions (Carran et al., 1995; de Klein et al., 2003; Muller et al., 1995).</w:t>
      </w:r>
    </w:p>
    <w:p w14:paraId="5E81912D" w14:textId="77777777" w:rsidR="007523B8" w:rsidRPr="009E06AA" w:rsidRDefault="007523B8" w:rsidP="007523B8">
      <w:pPr>
        <w:pStyle w:val="BodyText"/>
        <w:rPr>
          <w:rFonts w:cs="Calibri"/>
        </w:rPr>
      </w:pPr>
      <w:r w:rsidRPr="009E06AA">
        <w:rPr>
          <w:rFonts w:cs="Calibri"/>
        </w:rPr>
        <w:t xml:space="preserve">In 2022, direct </w:t>
      </w:r>
      <w:r w:rsidRPr="009E06AA">
        <w:rPr>
          <w:rFonts w:cs="Calibri"/>
          <w:spacing w:val="-2"/>
        </w:rPr>
        <w:t>N</w:t>
      </w:r>
      <w:r w:rsidRPr="009E06AA">
        <w:rPr>
          <w:rFonts w:cs="Calibri"/>
          <w:spacing w:val="-2"/>
          <w:vertAlign w:val="subscript"/>
        </w:rPr>
        <w:t>2</w:t>
      </w:r>
      <w:r w:rsidRPr="009E06AA">
        <w:rPr>
          <w:rFonts w:cs="Calibri"/>
          <w:spacing w:val="-2"/>
        </w:rPr>
        <w:t>O</w:t>
      </w:r>
      <w:r w:rsidRPr="009E06AA">
        <w:rPr>
          <w:rFonts w:cs="Calibri"/>
        </w:rPr>
        <w:t xml:space="preserve"> emissions from </w:t>
      </w:r>
      <w:r w:rsidRPr="009E06AA">
        <w:rPr>
          <w:rFonts w:cs="Calibri"/>
          <w:i/>
          <w:iCs/>
        </w:rPr>
        <w:t>Urine and dung deposited by grazing animals</w:t>
      </w:r>
      <w:r w:rsidRPr="009E06AA">
        <w:rPr>
          <w:rFonts w:cs="Calibri"/>
        </w:rPr>
        <w:t xml:space="preserve"> (pasture, range and paddock manure from all livestock categories) contributed 51.5 per cent (3,255.5 kt CO</w:t>
      </w:r>
      <w:r w:rsidRPr="009E06AA">
        <w:rPr>
          <w:rFonts w:cs="Calibri"/>
          <w:vertAlign w:val="subscript"/>
        </w:rPr>
        <w:t>2</w:t>
      </w:r>
      <w:r w:rsidRPr="009E06AA">
        <w:rPr>
          <w:rFonts w:cs="Calibri"/>
        </w:rPr>
        <w:t>-e) of</w:t>
      </w:r>
      <w:r w:rsidRPr="009E06AA">
        <w:rPr>
          <w:rFonts w:cs="Calibri"/>
          <w:spacing w:val="-2"/>
        </w:rPr>
        <w:t xml:space="preserve"> emissions from </w:t>
      </w:r>
      <w:r w:rsidRPr="009E06AA">
        <w:rPr>
          <w:rFonts w:cs="Calibri"/>
          <w:i/>
          <w:spacing w:val="-2"/>
        </w:rPr>
        <w:t>Agricultural soils</w:t>
      </w:r>
      <w:r w:rsidRPr="009E06AA">
        <w:rPr>
          <w:rFonts w:cs="Calibri"/>
          <w:spacing w:val="-2"/>
        </w:rPr>
        <w:t xml:space="preserve">, or 7.8 per cent of total agricultural emissions. Emissions from this category have increased by 22.6 per cent since 1990. </w:t>
      </w:r>
      <w:r w:rsidRPr="009E06AA">
        <w:rPr>
          <w:rFonts w:cs="Calibri"/>
        </w:rPr>
        <w:t xml:space="preserve">Emissions for each livestock category are given in table 5.5.8. Emissions from </w:t>
      </w:r>
      <w:r w:rsidRPr="009E06AA">
        <w:rPr>
          <w:rFonts w:cs="Calibri"/>
          <w:i/>
          <w:iCs/>
        </w:rPr>
        <w:t>Urine and dung deposited by grazing animals</w:t>
      </w:r>
      <w:r w:rsidRPr="009E06AA">
        <w:rPr>
          <w:rFonts w:cs="Calibri"/>
        </w:rPr>
        <w:t xml:space="preserve"> were identified as a key category (level and trend assessment).</w:t>
      </w:r>
    </w:p>
    <w:p w14:paraId="2BAB457D" w14:textId="77777777" w:rsidR="007523B8" w:rsidRPr="009E06AA" w:rsidRDefault="007523B8" w:rsidP="007523B8">
      <w:pPr>
        <w:pStyle w:val="Table"/>
        <w:rPr>
          <w:rFonts w:cs="Calibri"/>
        </w:rPr>
      </w:pPr>
      <w:bookmarkStart w:id="1314" w:name="_Toc441830883"/>
      <w:bookmarkStart w:id="1315" w:name="_Toc451176097"/>
      <w:bookmarkStart w:id="1316" w:name="_Toc481751525"/>
      <w:bookmarkStart w:id="1317" w:name="_Toc507158613"/>
      <w:bookmarkStart w:id="1318" w:name="_Toc511116747"/>
      <w:bookmarkStart w:id="1319" w:name="_Toc5269489"/>
      <w:bookmarkStart w:id="1320" w:name="_Toc32570934"/>
      <w:bookmarkStart w:id="1321" w:name="_Toc36224569"/>
      <w:bookmarkStart w:id="1322" w:name="_Toc68786454"/>
      <w:bookmarkStart w:id="1323" w:name="_Toc95574087"/>
      <w:bookmarkStart w:id="1324" w:name="_Toc127458274"/>
      <w:bookmarkStart w:id="1325" w:name="_Toc131591370"/>
      <w:bookmarkStart w:id="1326" w:name="_Toc160114464"/>
      <w:bookmarkStart w:id="1327" w:name="_Toc164153860"/>
      <w:r w:rsidRPr="009E06AA">
        <w:rPr>
          <w:rFonts w:cs="Calibri"/>
        </w:rPr>
        <w:t>Table 5.5.8</w:t>
      </w:r>
      <w:r w:rsidRPr="009E06AA">
        <w:rPr>
          <w:rFonts w:cs="Calibri"/>
        </w:rPr>
        <w:tab/>
        <w:t xml:space="preserve">Trends and relative contribution of direct nitrous oxide emissions from urine and dung deposited by grazing animals per livestock category between 1990 and </w:t>
      </w:r>
      <w:bookmarkEnd w:id="1314"/>
      <w:bookmarkEnd w:id="1315"/>
      <w:bookmarkEnd w:id="1316"/>
      <w:bookmarkEnd w:id="1317"/>
      <w:bookmarkEnd w:id="1318"/>
      <w:bookmarkEnd w:id="1319"/>
      <w:bookmarkEnd w:id="1320"/>
      <w:bookmarkEnd w:id="1321"/>
      <w:bookmarkEnd w:id="1322"/>
      <w:bookmarkEnd w:id="1323"/>
      <w:r w:rsidRPr="009E06AA">
        <w:rPr>
          <w:rFonts w:cs="Calibri"/>
        </w:rPr>
        <w:t>202</w:t>
      </w:r>
      <w:bookmarkEnd w:id="1324"/>
      <w:bookmarkEnd w:id="1325"/>
      <w:r w:rsidRPr="009E06AA">
        <w:rPr>
          <w:rFonts w:cs="Calibri"/>
        </w:rPr>
        <w:t>2</w:t>
      </w:r>
      <w:bookmarkEnd w:id="1326"/>
      <w:bookmarkEnd w:id="1327"/>
    </w:p>
    <w:tbl>
      <w:tblPr>
        <w:tblW w:w="8505" w:type="dxa"/>
        <w:tblBorders>
          <w:top w:val="single" w:sz="4" w:space="0" w:color="365F91"/>
          <w:left w:val="single" w:sz="4" w:space="0" w:color="365F91"/>
          <w:bottom w:val="single" w:sz="4" w:space="0" w:color="365F91"/>
          <w:right w:val="single" w:sz="4" w:space="0" w:color="365F91"/>
          <w:insideH w:val="single" w:sz="4" w:space="0" w:color="365F91"/>
        </w:tblBorders>
        <w:tblLayout w:type="fixed"/>
        <w:tblLook w:val="04A0" w:firstRow="1" w:lastRow="0" w:firstColumn="1" w:lastColumn="0" w:noHBand="0" w:noVBand="1"/>
      </w:tblPr>
      <w:tblGrid>
        <w:gridCol w:w="1746"/>
        <w:gridCol w:w="856"/>
        <w:gridCol w:w="856"/>
        <w:gridCol w:w="857"/>
        <w:gridCol w:w="784"/>
        <w:gridCol w:w="852"/>
        <w:gridCol w:w="851"/>
        <w:gridCol w:w="852"/>
        <w:gridCol w:w="851"/>
      </w:tblGrid>
      <w:tr w:rsidR="007523B8" w:rsidRPr="009E06AA" w14:paraId="3606CA8D" w14:textId="77777777" w:rsidTr="00B55F24">
        <w:trPr>
          <w:tblHeader/>
        </w:trPr>
        <w:tc>
          <w:tcPr>
            <w:tcW w:w="1746" w:type="dxa"/>
            <w:vMerge w:val="restart"/>
            <w:tcBorders>
              <w:top w:val="single" w:sz="4" w:space="0" w:color="1B556B" w:themeColor="text2"/>
              <w:left w:val="nil"/>
              <w:bottom w:val="nil"/>
            </w:tcBorders>
            <w:shd w:val="clear" w:color="auto" w:fill="1B556B"/>
            <w:vAlign w:val="bottom"/>
          </w:tcPr>
          <w:p w14:paraId="64959397" w14:textId="77777777" w:rsidR="007523B8" w:rsidRPr="009E06AA" w:rsidRDefault="007523B8" w:rsidP="00B55F24">
            <w:pPr>
              <w:pStyle w:val="TableTextBold"/>
              <w:keepNext/>
              <w:spacing w:before="40" w:after="40"/>
              <w:rPr>
                <w:i/>
                <w:iCs/>
                <w:noProof w:val="0"/>
                <w:color w:val="FFFFFF" w:themeColor="background1"/>
                <w:szCs w:val="16"/>
              </w:rPr>
            </w:pPr>
            <w:bookmarkStart w:id="1328" w:name="OLE_LINK1"/>
            <w:r w:rsidRPr="009E06AA">
              <w:rPr>
                <w:noProof w:val="0"/>
                <w:color w:val="FFFFFF" w:themeColor="background1"/>
                <w:szCs w:val="16"/>
              </w:rPr>
              <w:t>Livestock category</w:t>
            </w:r>
          </w:p>
        </w:tc>
        <w:tc>
          <w:tcPr>
            <w:tcW w:w="1712" w:type="dxa"/>
            <w:gridSpan w:val="2"/>
            <w:tcBorders>
              <w:top w:val="single" w:sz="4" w:space="0" w:color="1B556B" w:themeColor="text2"/>
              <w:bottom w:val="nil"/>
            </w:tcBorders>
            <w:shd w:val="clear" w:color="auto" w:fill="1B556B"/>
            <w:vAlign w:val="bottom"/>
          </w:tcPr>
          <w:p w14:paraId="594BF71F" w14:textId="77777777" w:rsidR="007523B8" w:rsidRPr="009E06AA" w:rsidRDefault="007523B8" w:rsidP="00B55F24">
            <w:pPr>
              <w:pStyle w:val="TableTextBold"/>
              <w:keepNext/>
              <w:spacing w:before="40" w:after="40"/>
              <w:jc w:val="center"/>
              <w:rPr>
                <w:i/>
                <w:iCs/>
                <w:noProof w:val="0"/>
                <w:color w:val="FFFFFF" w:themeColor="background1"/>
                <w:szCs w:val="16"/>
              </w:rPr>
            </w:pPr>
            <w:r w:rsidRPr="009E06AA">
              <w:rPr>
                <w:noProof w:val="0"/>
                <w:color w:val="FFFFFF" w:themeColor="background1"/>
                <w:szCs w:val="16"/>
              </w:rPr>
              <w:t xml:space="preserve">Emissions </w:t>
            </w:r>
            <w:r w:rsidRPr="009E06AA">
              <w:rPr>
                <w:noProof w:val="0"/>
                <w:color w:val="FFFFFF" w:themeColor="background1"/>
                <w:szCs w:val="16"/>
              </w:rPr>
              <w:br/>
              <w:t>(kt CO</w:t>
            </w:r>
            <w:r w:rsidRPr="009E06AA">
              <w:rPr>
                <w:noProof w:val="0"/>
                <w:color w:val="FFFFFF" w:themeColor="background1"/>
                <w:szCs w:val="16"/>
                <w:vertAlign w:val="subscript"/>
              </w:rPr>
              <w:t>2</w:t>
            </w:r>
            <w:r w:rsidRPr="009E06AA">
              <w:rPr>
                <w:noProof w:val="0"/>
                <w:color w:val="FFFFFF" w:themeColor="background1"/>
                <w:szCs w:val="16"/>
              </w:rPr>
              <w:t>-e)</w:t>
            </w:r>
          </w:p>
        </w:tc>
        <w:tc>
          <w:tcPr>
            <w:tcW w:w="1641" w:type="dxa"/>
            <w:gridSpan w:val="2"/>
            <w:tcBorders>
              <w:top w:val="single" w:sz="4" w:space="0" w:color="1B556B" w:themeColor="text2"/>
              <w:bottom w:val="nil"/>
            </w:tcBorders>
            <w:shd w:val="clear" w:color="auto" w:fill="1B556B"/>
            <w:vAlign w:val="bottom"/>
          </w:tcPr>
          <w:p w14:paraId="52545659" w14:textId="77777777" w:rsidR="007523B8" w:rsidRPr="009E06AA" w:rsidRDefault="007523B8" w:rsidP="00B55F24">
            <w:pPr>
              <w:pStyle w:val="TableTextBold"/>
              <w:keepNext/>
              <w:spacing w:before="40" w:after="40"/>
              <w:jc w:val="center"/>
              <w:rPr>
                <w:i/>
                <w:iCs/>
                <w:noProof w:val="0"/>
                <w:color w:val="FFFFFF" w:themeColor="background1"/>
                <w:szCs w:val="16"/>
              </w:rPr>
            </w:pPr>
            <w:r w:rsidRPr="009E06AA">
              <w:rPr>
                <w:noProof w:val="0"/>
                <w:color w:val="FFFFFF" w:themeColor="background1"/>
                <w:szCs w:val="16"/>
              </w:rPr>
              <w:t xml:space="preserve">Change from </w:t>
            </w:r>
            <w:r w:rsidRPr="009E06AA">
              <w:rPr>
                <w:noProof w:val="0"/>
                <w:color w:val="FFFFFF" w:themeColor="background1"/>
                <w:szCs w:val="16"/>
              </w:rPr>
              <w:br/>
              <w:t>1990–2021</w:t>
            </w:r>
          </w:p>
        </w:tc>
        <w:tc>
          <w:tcPr>
            <w:tcW w:w="1703" w:type="dxa"/>
            <w:gridSpan w:val="2"/>
            <w:tcBorders>
              <w:top w:val="single" w:sz="4" w:space="0" w:color="1B556B" w:themeColor="text2"/>
              <w:bottom w:val="nil"/>
            </w:tcBorders>
            <w:shd w:val="clear" w:color="auto" w:fill="1B556B"/>
            <w:vAlign w:val="bottom"/>
          </w:tcPr>
          <w:p w14:paraId="0881785D" w14:textId="77777777" w:rsidR="007523B8" w:rsidRPr="009E06AA" w:rsidRDefault="007523B8" w:rsidP="00B55F24">
            <w:pPr>
              <w:pStyle w:val="TableTextBold"/>
              <w:keepNext/>
              <w:spacing w:before="40" w:after="40"/>
              <w:jc w:val="center"/>
              <w:rPr>
                <w:i/>
                <w:iCs/>
                <w:noProof w:val="0"/>
                <w:color w:val="FFFFFF" w:themeColor="background1"/>
                <w:szCs w:val="16"/>
              </w:rPr>
            </w:pPr>
            <w:r w:rsidRPr="009E06AA">
              <w:rPr>
                <w:noProof w:val="0"/>
                <w:color w:val="FFFFFF" w:themeColor="background1"/>
                <w:szCs w:val="16"/>
              </w:rPr>
              <w:t>Share of Agricultural soils category (%)</w:t>
            </w:r>
          </w:p>
        </w:tc>
        <w:tc>
          <w:tcPr>
            <w:tcW w:w="1703" w:type="dxa"/>
            <w:gridSpan w:val="2"/>
            <w:tcBorders>
              <w:top w:val="single" w:sz="4" w:space="0" w:color="1B556B" w:themeColor="text2"/>
              <w:bottom w:val="nil"/>
              <w:right w:val="nil"/>
            </w:tcBorders>
            <w:shd w:val="clear" w:color="auto" w:fill="1B556B"/>
            <w:vAlign w:val="bottom"/>
          </w:tcPr>
          <w:p w14:paraId="69F34E11" w14:textId="77777777" w:rsidR="007523B8" w:rsidRPr="009E06AA" w:rsidRDefault="007523B8" w:rsidP="00B55F24">
            <w:pPr>
              <w:pStyle w:val="TableTextBold"/>
              <w:keepNext/>
              <w:spacing w:before="40" w:after="40"/>
              <w:jc w:val="center"/>
              <w:rPr>
                <w:i/>
                <w:iCs/>
                <w:noProof w:val="0"/>
                <w:color w:val="FFFFFF" w:themeColor="background1"/>
                <w:szCs w:val="16"/>
              </w:rPr>
            </w:pPr>
            <w:r w:rsidRPr="009E06AA">
              <w:rPr>
                <w:noProof w:val="0"/>
                <w:color w:val="FFFFFF" w:themeColor="background1"/>
                <w:szCs w:val="16"/>
              </w:rPr>
              <w:t>Share of total Agriculture sector (%)</w:t>
            </w:r>
          </w:p>
        </w:tc>
      </w:tr>
      <w:tr w:rsidR="007523B8" w:rsidRPr="009E06AA" w14:paraId="2073F7E0" w14:textId="77777777" w:rsidTr="00C33995">
        <w:trPr>
          <w:tblHeader/>
        </w:trPr>
        <w:tc>
          <w:tcPr>
            <w:tcW w:w="1746" w:type="dxa"/>
            <w:vMerge/>
            <w:tcBorders>
              <w:top w:val="nil"/>
              <w:left w:val="nil"/>
              <w:bottom w:val="single" w:sz="4" w:space="0" w:color="1B556B" w:themeColor="text2"/>
            </w:tcBorders>
            <w:shd w:val="clear" w:color="auto" w:fill="1B556B"/>
            <w:vAlign w:val="bottom"/>
          </w:tcPr>
          <w:p w14:paraId="3D955E09" w14:textId="77777777" w:rsidR="007523B8" w:rsidRPr="009E06AA" w:rsidRDefault="007523B8" w:rsidP="00B55F24">
            <w:pPr>
              <w:pStyle w:val="TableTextBold"/>
              <w:keepNext/>
              <w:spacing w:before="40" w:after="40"/>
              <w:rPr>
                <w:i/>
                <w:noProof w:val="0"/>
                <w:color w:val="FFFFFF" w:themeColor="background1"/>
                <w:szCs w:val="16"/>
              </w:rPr>
            </w:pPr>
          </w:p>
        </w:tc>
        <w:tc>
          <w:tcPr>
            <w:tcW w:w="856" w:type="dxa"/>
            <w:tcBorders>
              <w:top w:val="nil"/>
              <w:bottom w:val="single" w:sz="4" w:space="0" w:color="1B556B" w:themeColor="text2"/>
            </w:tcBorders>
            <w:shd w:val="clear" w:color="auto" w:fill="1B556B"/>
            <w:vAlign w:val="bottom"/>
          </w:tcPr>
          <w:p w14:paraId="26455ECE" w14:textId="77777777" w:rsidR="007523B8" w:rsidRPr="009E06AA" w:rsidRDefault="007523B8" w:rsidP="00356160">
            <w:pPr>
              <w:pStyle w:val="TableTextBold"/>
              <w:keepNext/>
              <w:spacing w:before="40" w:after="40"/>
              <w:jc w:val="right"/>
              <w:rPr>
                <w:i/>
                <w:iCs/>
                <w:noProof w:val="0"/>
                <w:color w:val="FFFFFF" w:themeColor="background1"/>
                <w:szCs w:val="16"/>
              </w:rPr>
            </w:pPr>
            <w:r w:rsidRPr="009E06AA">
              <w:rPr>
                <w:noProof w:val="0"/>
                <w:color w:val="FFFFFF" w:themeColor="background1"/>
                <w:szCs w:val="16"/>
              </w:rPr>
              <w:t>1990</w:t>
            </w:r>
          </w:p>
        </w:tc>
        <w:tc>
          <w:tcPr>
            <w:tcW w:w="856" w:type="dxa"/>
            <w:tcBorders>
              <w:top w:val="nil"/>
              <w:bottom w:val="single" w:sz="4" w:space="0" w:color="1B556B" w:themeColor="text2"/>
            </w:tcBorders>
            <w:shd w:val="clear" w:color="auto" w:fill="1B556B"/>
            <w:vAlign w:val="bottom"/>
          </w:tcPr>
          <w:p w14:paraId="4E52CF04" w14:textId="77777777" w:rsidR="007523B8" w:rsidRPr="009E06AA" w:rsidRDefault="007523B8" w:rsidP="00356160">
            <w:pPr>
              <w:pStyle w:val="TableTextBold"/>
              <w:keepNext/>
              <w:spacing w:before="40" w:after="40"/>
              <w:jc w:val="right"/>
              <w:rPr>
                <w:i/>
                <w:iCs/>
                <w:noProof w:val="0"/>
                <w:color w:val="FFFFFF" w:themeColor="background1"/>
                <w:szCs w:val="16"/>
              </w:rPr>
            </w:pPr>
            <w:r w:rsidRPr="009E06AA">
              <w:rPr>
                <w:noProof w:val="0"/>
                <w:color w:val="FFFFFF" w:themeColor="background1"/>
                <w:szCs w:val="16"/>
              </w:rPr>
              <w:t>2022</w:t>
            </w:r>
          </w:p>
        </w:tc>
        <w:tc>
          <w:tcPr>
            <w:tcW w:w="857" w:type="dxa"/>
            <w:tcBorders>
              <w:top w:val="nil"/>
              <w:bottom w:val="single" w:sz="4" w:space="0" w:color="1B556B" w:themeColor="text2"/>
            </w:tcBorders>
            <w:shd w:val="clear" w:color="auto" w:fill="1B556B"/>
            <w:vAlign w:val="bottom"/>
          </w:tcPr>
          <w:p w14:paraId="59DC9F8C" w14:textId="77777777" w:rsidR="007523B8" w:rsidRPr="009E06AA" w:rsidRDefault="007523B8" w:rsidP="00356160">
            <w:pPr>
              <w:pStyle w:val="TableTextBold"/>
              <w:keepNext/>
              <w:spacing w:before="40" w:after="40"/>
              <w:jc w:val="right"/>
              <w:rPr>
                <w:i/>
                <w:iCs/>
                <w:noProof w:val="0"/>
                <w:color w:val="FFFFFF" w:themeColor="background1"/>
                <w:szCs w:val="16"/>
              </w:rPr>
            </w:pPr>
            <w:r w:rsidRPr="009E06AA">
              <w:rPr>
                <w:noProof w:val="0"/>
                <w:color w:val="FFFFFF" w:themeColor="background1"/>
                <w:szCs w:val="16"/>
              </w:rPr>
              <w:t>kt CO</w:t>
            </w:r>
            <w:r w:rsidRPr="009E06AA">
              <w:rPr>
                <w:noProof w:val="0"/>
                <w:color w:val="FFFFFF" w:themeColor="background1"/>
                <w:szCs w:val="16"/>
                <w:vertAlign w:val="subscript"/>
              </w:rPr>
              <w:t>2</w:t>
            </w:r>
            <w:r w:rsidRPr="009E06AA">
              <w:rPr>
                <w:noProof w:val="0"/>
                <w:color w:val="FFFFFF" w:themeColor="background1"/>
                <w:szCs w:val="16"/>
              </w:rPr>
              <w:t>-e</w:t>
            </w:r>
          </w:p>
        </w:tc>
        <w:tc>
          <w:tcPr>
            <w:tcW w:w="784" w:type="dxa"/>
            <w:tcBorders>
              <w:top w:val="nil"/>
              <w:bottom w:val="single" w:sz="4" w:space="0" w:color="1B556B" w:themeColor="text2"/>
            </w:tcBorders>
            <w:shd w:val="clear" w:color="auto" w:fill="1B556B"/>
            <w:vAlign w:val="bottom"/>
          </w:tcPr>
          <w:p w14:paraId="7FE1A88E" w14:textId="77777777" w:rsidR="007523B8" w:rsidRPr="009E06AA" w:rsidRDefault="007523B8" w:rsidP="00356160">
            <w:pPr>
              <w:pStyle w:val="TableTextBold"/>
              <w:keepNext/>
              <w:spacing w:before="40" w:after="40"/>
              <w:jc w:val="right"/>
              <w:rPr>
                <w:i/>
                <w:iCs/>
                <w:noProof w:val="0"/>
                <w:color w:val="FFFFFF" w:themeColor="background1"/>
                <w:szCs w:val="16"/>
              </w:rPr>
            </w:pPr>
            <w:r w:rsidRPr="009E06AA">
              <w:rPr>
                <w:noProof w:val="0"/>
                <w:color w:val="FFFFFF" w:themeColor="background1"/>
                <w:szCs w:val="16"/>
              </w:rPr>
              <w:t>%</w:t>
            </w:r>
          </w:p>
        </w:tc>
        <w:tc>
          <w:tcPr>
            <w:tcW w:w="852" w:type="dxa"/>
            <w:tcBorders>
              <w:top w:val="nil"/>
              <w:bottom w:val="single" w:sz="4" w:space="0" w:color="1B556B" w:themeColor="text2"/>
            </w:tcBorders>
            <w:shd w:val="clear" w:color="auto" w:fill="1B556B"/>
            <w:vAlign w:val="bottom"/>
          </w:tcPr>
          <w:p w14:paraId="0F0C429B" w14:textId="77777777" w:rsidR="007523B8" w:rsidRPr="009E06AA" w:rsidRDefault="007523B8" w:rsidP="00356160">
            <w:pPr>
              <w:pStyle w:val="TableTextBold"/>
              <w:keepNext/>
              <w:spacing w:before="40" w:after="40"/>
              <w:jc w:val="right"/>
              <w:rPr>
                <w:i/>
                <w:iCs/>
                <w:noProof w:val="0"/>
                <w:color w:val="FFFFFF" w:themeColor="background1"/>
                <w:szCs w:val="16"/>
              </w:rPr>
            </w:pPr>
            <w:r w:rsidRPr="009E06AA">
              <w:rPr>
                <w:noProof w:val="0"/>
                <w:color w:val="FFFFFF" w:themeColor="background1"/>
                <w:szCs w:val="16"/>
              </w:rPr>
              <w:t>1990</w:t>
            </w:r>
          </w:p>
        </w:tc>
        <w:tc>
          <w:tcPr>
            <w:tcW w:w="851" w:type="dxa"/>
            <w:tcBorders>
              <w:top w:val="nil"/>
              <w:bottom w:val="single" w:sz="4" w:space="0" w:color="1B556B" w:themeColor="text2"/>
            </w:tcBorders>
            <w:shd w:val="clear" w:color="auto" w:fill="1B556B"/>
            <w:vAlign w:val="bottom"/>
          </w:tcPr>
          <w:p w14:paraId="6463E0E4" w14:textId="77777777" w:rsidR="007523B8" w:rsidRPr="009E06AA" w:rsidRDefault="007523B8" w:rsidP="00356160">
            <w:pPr>
              <w:pStyle w:val="TableTextBold"/>
              <w:keepNext/>
              <w:spacing w:before="40" w:after="40"/>
              <w:jc w:val="right"/>
              <w:rPr>
                <w:i/>
                <w:iCs/>
                <w:noProof w:val="0"/>
                <w:color w:val="FFFFFF" w:themeColor="background1"/>
                <w:szCs w:val="16"/>
              </w:rPr>
            </w:pPr>
            <w:r w:rsidRPr="009E06AA">
              <w:rPr>
                <w:noProof w:val="0"/>
                <w:color w:val="FFFFFF" w:themeColor="background1"/>
                <w:szCs w:val="16"/>
              </w:rPr>
              <w:t>2022</w:t>
            </w:r>
          </w:p>
        </w:tc>
        <w:tc>
          <w:tcPr>
            <w:tcW w:w="852" w:type="dxa"/>
            <w:tcBorders>
              <w:top w:val="nil"/>
              <w:bottom w:val="single" w:sz="4" w:space="0" w:color="1B556B" w:themeColor="text2"/>
            </w:tcBorders>
            <w:shd w:val="clear" w:color="auto" w:fill="1B556B"/>
            <w:vAlign w:val="bottom"/>
          </w:tcPr>
          <w:p w14:paraId="66B76796" w14:textId="77777777" w:rsidR="007523B8" w:rsidRPr="009E06AA" w:rsidRDefault="007523B8" w:rsidP="00356160">
            <w:pPr>
              <w:pStyle w:val="TableTextBold"/>
              <w:keepNext/>
              <w:spacing w:before="40" w:after="40"/>
              <w:jc w:val="right"/>
              <w:rPr>
                <w:i/>
                <w:iCs/>
                <w:noProof w:val="0"/>
                <w:color w:val="FFFFFF" w:themeColor="background1"/>
                <w:szCs w:val="16"/>
              </w:rPr>
            </w:pPr>
            <w:r w:rsidRPr="009E06AA">
              <w:rPr>
                <w:noProof w:val="0"/>
                <w:color w:val="FFFFFF" w:themeColor="background1"/>
                <w:szCs w:val="16"/>
              </w:rPr>
              <w:t>1990</w:t>
            </w:r>
          </w:p>
        </w:tc>
        <w:tc>
          <w:tcPr>
            <w:tcW w:w="851" w:type="dxa"/>
            <w:tcBorders>
              <w:top w:val="nil"/>
              <w:bottom w:val="single" w:sz="4" w:space="0" w:color="1B556B" w:themeColor="text2"/>
              <w:right w:val="nil"/>
            </w:tcBorders>
            <w:shd w:val="clear" w:color="auto" w:fill="1B556B"/>
            <w:vAlign w:val="bottom"/>
          </w:tcPr>
          <w:p w14:paraId="250DE0C0" w14:textId="77777777" w:rsidR="007523B8" w:rsidRPr="009E06AA" w:rsidRDefault="007523B8" w:rsidP="00356160">
            <w:pPr>
              <w:pStyle w:val="TableTextBold"/>
              <w:keepNext/>
              <w:spacing w:before="40" w:after="40"/>
              <w:jc w:val="right"/>
              <w:rPr>
                <w:i/>
                <w:iCs/>
                <w:noProof w:val="0"/>
                <w:color w:val="FFFFFF" w:themeColor="background1"/>
                <w:szCs w:val="16"/>
              </w:rPr>
            </w:pPr>
            <w:r w:rsidRPr="009E06AA">
              <w:rPr>
                <w:noProof w:val="0"/>
                <w:color w:val="FFFFFF" w:themeColor="background1"/>
                <w:szCs w:val="16"/>
              </w:rPr>
              <w:t>2022</w:t>
            </w:r>
          </w:p>
        </w:tc>
      </w:tr>
      <w:tr w:rsidR="007523B8" w:rsidRPr="009E06AA" w14:paraId="54A99DBC" w14:textId="77777777" w:rsidTr="00C33995">
        <w:tc>
          <w:tcPr>
            <w:tcW w:w="1746" w:type="dxa"/>
            <w:tcBorders>
              <w:top w:val="single" w:sz="4" w:space="0" w:color="1B556B" w:themeColor="text2"/>
              <w:left w:val="nil"/>
              <w:bottom w:val="nil"/>
            </w:tcBorders>
            <w:shd w:val="clear" w:color="auto" w:fill="auto"/>
          </w:tcPr>
          <w:p w14:paraId="1BF902DA" w14:textId="77777777" w:rsidR="007523B8" w:rsidRPr="009E06AA" w:rsidRDefault="007523B8" w:rsidP="00B55F24">
            <w:pPr>
              <w:pStyle w:val="TableText"/>
              <w:keepNext/>
              <w:spacing w:before="40" w:after="40"/>
            </w:pPr>
            <w:r w:rsidRPr="009E06AA">
              <w:t>Dairy cattle</w:t>
            </w:r>
          </w:p>
        </w:tc>
        <w:tc>
          <w:tcPr>
            <w:tcW w:w="856" w:type="dxa"/>
            <w:tcBorders>
              <w:top w:val="single" w:sz="4" w:space="0" w:color="1B556B" w:themeColor="text2"/>
              <w:left w:val="nil"/>
              <w:bottom w:val="single" w:sz="4" w:space="0" w:color="1B556B" w:themeColor="text2"/>
              <w:right w:val="nil"/>
            </w:tcBorders>
            <w:shd w:val="clear" w:color="auto" w:fill="auto"/>
          </w:tcPr>
          <w:p w14:paraId="3AEF1AB2" w14:textId="77777777" w:rsidR="007523B8" w:rsidRPr="009E06AA" w:rsidRDefault="007523B8" w:rsidP="00356160">
            <w:pPr>
              <w:pStyle w:val="TableText"/>
              <w:keepNext/>
              <w:spacing w:before="40" w:after="40"/>
              <w:jc w:val="right"/>
              <w:rPr>
                <w:rFonts w:asciiTheme="minorHAnsi" w:hAnsiTheme="minorHAnsi" w:cstheme="minorHAnsi"/>
                <w:szCs w:val="16"/>
              </w:rPr>
            </w:pPr>
            <w:r w:rsidRPr="009E06AA">
              <w:t>1,034.2</w:t>
            </w:r>
          </w:p>
        </w:tc>
        <w:tc>
          <w:tcPr>
            <w:tcW w:w="856" w:type="dxa"/>
            <w:tcBorders>
              <w:top w:val="single" w:sz="4" w:space="0" w:color="1B556B" w:themeColor="text2"/>
              <w:left w:val="nil"/>
              <w:bottom w:val="single" w:sz="4" w:space="0" w:color="1B556B" w:themeColor="text2"/>
              <w:right w:val="nil"/>
            </w:tcBorders>
            <w:shd w:val="clear" w:color="auto" w:fill="auto"/>
          </w:tcPr>
          <w:p w14:paraId="01DFECAB" w14:textId="77777777" w:rsidR="007523B8" w:rsidRPr="009E06AA" w:rsidRDefault="007523B8" w:rsidP="00356160">
            <w:pPr>
              <w:pStyle w:val="TableText"/>
              <w:keepNext/>
              <w:spacing w:before="40" w:after="40"/>
              <w:jc w:val="right"/>
              <w:rPr>
                <w:rFonts w:asciiTheme="minorHAnsi" w:hAnsiTheme="minorHAnsi" w:cstheme="minorHAnsi"/>
                <w:szCs w:val="16"/>
              </w:rPr>
            </w:pPr>
            <w:r w:rsidRPr="009E06AA">
              <w:t>2,051.6</w:t>
            </w:r>
          </w:p>
        </w:tc>
        <w:tc>
          <w:tcPr>
            <w:tcW w:w="857" w:type="dxa"/>
            <w:tcBorders>
              <w:top w:val="single" w:sz="4" w:space="0" w:color="1B556B" w:themeColor="text2"/>
              <w:left w:val="nil"/>
              <w:bottom w:val="single" w:sz="4" w:space="0" w:color="1B556B" w:themeColor="text2"/>
              <w:right w:val="nil"/>
            </w:tcBorders>
            <w:shd w:val="clear" w:color="auto" w:fill="auto"/>
          </w:tcPr>
          <w:p w14:paraId="068712F9" w14:textId="77777777" w:rsidR="007523B8" w:rsidRPr="009E06AA" w:rsidRDefault="007523B8" w:rsidP="00356160">
            <w:pPr>
              <w:pStyle w:val="TableText"/>
              <w:keepNext/>
              <w:spacing w:before="40" w:after="40"/>
              <w:jc w:val="right"/>
              <w:rPr>
                <w:rFonts w:asciiTheme="minorHAnsi" w:hAnsiTheme="minorHAnsi" w:cstheme="minorHAnsi"/>
                <w:szCs w:val="16"/>
              </w:rPr>
            </w:pPr>
            <w:r w:rsidRPr="009E06AA">
              <w:t>1,017.4</w:t>
            </w:r>
          </w:p>
        </w:tc>
        <w:tc>
          <w:tcPr>
            <w:tcW w:w="784" w:type="dxa"/>
            <w:tcBorders>
              <w:top w:val="single" w:sz="4" w:space="0" w:color="1B556B" w:themeColor="text2"/>
              <w:left w:val="nil"/>
              <w:bottom w:val="single" w:sz="4" w:space="0" w:color="1B556B" w:themeColor="text2"/>
              <w:right w:val="nil"/>
            </w:tcBorders>
            <w:shd w:val="clear" w:color="auto" w:fill="auto"/>
          </w:tcPr>
          <w:p w14:paraId="06EF8C71" w14:textId="77777777" w:rsidR="007523B8" w:rsidRPr="009E06AA" w:rsidRDefault="007523B8" w:rsidP="00356160">
            <w:pPr>
              <w:pStyle w:val="TableText"/>
              <w:keepNext/>
              <w:spacing w:before="40" w:after="40"/>
              <w:jc w:val="right"/>
              <w:rPr>
                <w:rFonts w:asciiTheme="minorHAnsi" w:hAnsiTheme="minorHAnsi" w:cstheme="minorHAnsi"/>
                <w:szCs w:val="16"/>
              </w:rPr>
            </w:pPr>
            <w:r w:rsidRPr="009E06AA">
              <w:t>98.4</w:t>
            </w:r>
          </w:p>
        </w:tc>
        <w:tc>
          <w:tcPr>
            <w:tcW w:w="852" w:type="dxa"/>
            <w:tcBorders>
              <w:top w:val="single" w:sz="4" w:space="0" w:color="1B556B" w:themeColor="text2"/>
              <w:left w:val="nil"/>
              <w:bottom w:val="single" w:sz="4" w:space="0" w:color="1B556B" w:themeColor="text2"/>
              <w:right w:val="nil"/>
            </w:tcBorders>
            <w:shd w:val="clear" w:color="auto" w:fill="auto"/>
            <w:vAlign w:val="center"/>
          </w:tcPr>
          <w:p w14:paraId="2EEB7514" w14:textId="77777777" w:rsidR="007523B8" w:rsidRPr="009E06AA" w:rsidRDefault="007523B8" w:rsidP="00356160">
            <w:pPr>
              <w:pStyle w:val="TableText"/>
              <w:keepNext/>
              <w:spacing w:before="40" w:after="40"/>
              <w:jc w:val="right"/>
              <w:rPr>
                <w:color w:val="000000"/>
              </w:rPr>
            </w:pPr>
            <w:r w:rsidRPr="009E06AA">
              <w:rPr>
                <w:rFonts w:cs="Calibri"/>
                <w:color w:val="000000"/>
                <w:szCs w:val="16"/>
              </w:rPr>
              <w:t>22.2</w:t>
            </w:r>
          </w:p>
        </w:tc>
        <w:tc>
          <w:tcPr>
            <w:tcW w:w="851" w:type="dxa"/>
            <w:tcBorders>
              <w:top w:val="single" w:sz="4" w:space="0" w:color="1B556B" w:themeColor="text2"/>
              <w:left w:val="nil"/>
              <w:bottom w:val="single" w:sz="4" w:space="0" w:color="1B556B" w:themeColor="text2"/>
              <w:right w:val="nil"/>
            </w:tcBorders>
            <w:shd w:val="clear" w:color="auto" w:fill="auto"/>
            <w:vAlign w:val="center"/>
          </w:tcPr>
          <w:p w14:paraId="19F74707" w14:textId="77777777" w:rsidR="007523B8" w:rsidRPr="009E06AA" w:rsidRDefault="007523B8" w:rsidP="00356160">
            <w:pPr>
              <w:pStyle w:val="TableText"/>
              <w:keepNext/>
              <w:spacing w:before="40" w:after="40"/>
              <w:jc w:val="right"/>
              <w:rPr>
                <w:rFonts w:asciiTheme="minorHAnsi" w:hAnsiTheme="minorHAnsi" w:cstheme="minorHAnsi"/>
                <w:szCs w:val="16"/>
              </w:rPr>
            </w:pPr>
            <w:r w:rsidRPr="009E06AA">
              <w:rPr>
                <w:rFonts w:cs="Calibri"/>
                <w:color w:val="000000"/>
                <w:szCs w:val="16"/>
              </w:rPr>
              <w:t>32.4</w:t>
            </w:r>
          </w:p>
        </w:tc>
        <w:tc>
          <w:tcPr>
            <w:tcW w:w="852" w:type="dxa"/>
            <w:tcBorders>
              <w:top w:val="single" w:sz="4" w:space="0" w:color="1B556B" w:themeColor="text2"/>
              <w:left w:val="nil"/>
              <w:bottom w:val="single" w:sz="4" w:space="0" w:color="1B556B" w:themeColor="text2"/>
              <w:right w:val="nil"/>
            </w:tcBorders>
            <w:shd w:val="clear" w:color="auto" w:fill="auto"/>
            <w:vAlign w:val="center"/>
          </w:tcPr>
          <w:p w14:paraId="3E6CA46B" w14:textId="77777777" w:rsidR="007523B8" w:rsidRPr="009E06AA" w:rsidRDefault="007523B8" w:rsidP="00356160">
            <w:pPr>
              <w:pStyle w:val="TableText"/>
              <w:keepNext/>
              <w:spacing w:before="40" w:after="40"/>
              <w:jc w:val="right"/>
              <w:rPr>
                <w:rFonts w:asciiTheme="minorHAnsi" w:hAnsiTheme="minorHAnsi" w:cstheme="minorHAnsi"/>
                <w:szCs w:val="16"/>
              </w:rPr>
            </w:pPr>
            <w:r w:rsidRPr="009E06AA">
              <w:rPr>
                <w:rFonts w:cs="Calibri"/>
                <w:color w:val="000000"/>
                <w:szCs w:val="16"/>
              </w:rPr>
              <w:t>2.8</w:t>
            </w:r>
          </w:p>
        </w:tc>
        <w:tc>
          <w:tcPr>
            <w:tcW w:w="851" w:type="dxa"/>
            <w:tcBorders>
              <w:top w:val="single" w:sz="4" w:space="0" w:color="1B556B" w:themeColor="text2"/>
              <w:left w:val="nil"/>
              <w:bottom w:val="single" w:sz="4" w:space="0" w:color="1B556B" w:themeColor="text2"/>
              <w:right w:val="nil"/>
            </w:tcBorders>
            <w:shd w:val="clear" w:color="auto" w:fill="auto"/>
            <w:vAlign w:val="center"/>
          </w:tcPr>
          <w:p w14:paraId="68EC84A5" w14:textId="77777777" w:rsidR="007523B8" w:rsidRPr="009E06AA" w:rsidRDefault="007523B8" w:rsidP="00356160">
            <w:pPr>
              <w:pStyle w:val="TableText"/>
              <w:keepNext/>
              <w:spacing w:before="40" w:after="40"/>
              <w:jc w:val="right"/>
              <w:rPr>
                <w:rFonts w:asciiTheme="minorHAnsi" w:hAnsiTheme="minorHAnsi" w:cstheme="minorHAnsi"/>
                <w:szCs w:val="16"/>
              </w:rPr>
            </w:pPr>
            <w:r w:rsidRPr="009E06AA">
              <w:rPr>
                <w:rFonts w:cs="Calibri"/>
                <w:color w:val="000000"/>
                <w:szCs w:val="16"/>
              </w:rPr>
              <w:t>4.9</w:t>
            </w:r>
          </w:p>
        </w:tc>
      </w:tr>
      <w:tr w:rsidR="007523B8" w:rsidRPr="009E06AA" w14:paraId="64DCFC6D" w14:textId="77777777" w:rsidTr="00C33995">
        <w:tc>
          <w:tcPr>
            <w:tcW w:w="1746" w:type="dxa"/>
            <w:tcBorders>
              <w:top w:val="nil"/>
              <w:left w:val="nil"/>
              <w:bottom w:val="nil"/>
            </w:tcBorders>
            <w:shd w:val="clear" w:color="auto" w:fill="auto"/>
          </w:tcPr>
          <w:p w14:paraId="0A150F70" w14:textId="77777777" w:rsidR="007523B8" w:rsidRPr="009E06AA" w:rsidRDefault="007523B8" w:rsidP="00B55F24">
            <w:pPr>
              <w:pStyle w:val="TableText"/>
              <w:keepNext/>
              <w:spacing w:before="40" w:after="40"/>
            </w:pPr>
            <w:r w:rsidRPr="009E06AA">
              <w:t>Non-dairy cattle</w:t>
            </w:r>
          </w:p>
        </w:tc>
        <w:tc>
          <w:tcPr>
            <w:tcW w:w="856" w:type="dxa"/>
            <w:tcBorders>
              <w:top w:val="single" w:sz="4" w:space="0" w:color="1B556B" w:themeColor="text2"/>
              <w:left w:val="nil"/>
              <w:bottom w:val="single" w:sz="4" w:space="0" w:color="1B556B" w:themeColor="text2"/>
              <w:right w:val="nil"/>
            </w:tcBorders>
            <w:shd w:val="clear" w:color="auto" w:fill="auto"/>
          </w:tcPr>
          <w:p w14:paraId="64FE02DE" w14:textId="77777777" w:rsidR="007523B8" w:rsidRPr="009E06AA" w:rsidRDefault="007523B8" w:rsidP="00356160">
            <w:pPr>
              <w:pStyle w:val="TableText"/>
              <w:keepNext/>
              <w:spacing w:before="40" w:after="40"/>
              <w:jc w:val="right"/>
              <w:rPr>
                <w:rFonts w:asciiTheme="minorHAnsi" w:hAnsiTheme="minorHAnsi" w:cstheme="minorHAnsi"/>
                <w:szCs w:val="16"/>
              </w:rPr>
            </w:pPr>
            <w:r w:rsidRPr="009E06AA">
              <w:t>732.7</w:t>
            </w:r>
          </w:p>
        </w:tc>
        <w:tc>
          <w:tcPr>
            <w:tcW w:w="856" w:type="dxa"/>
            <w:tcBorders>
              <w:top w:val="single" w:sz="4" w:space="0" w:color="1B556B" w:themeColor="text2"/>
              <w:left w:val="nil"/>
              <w:bottom w:val="single" w:sz="4" w:space="0" w:color="1B556B" w:themeColor="text2"/>
              <w:right w:val="nil"/>
            </w:tcBorders>
            <w:shd w:val="clear" w:color="auto" w:fill="auto"/>
          </w:tcPr>
          <w:p w14:paraId="7FC0EDEA" w14:textId="77777777" w:rsidR="007523B8" w:rsidRPr="009E06AA" w:rsidRDefault="007523B8" w:rsidP="00356160">
            <w:pPr>
              <w:pStyle w:val="TableText"/>
              <w:keepNext/>
              <w:spacing w:before="40" w:after="40"/>
              <w:jc w:val="right"/>
              <w:rPr>
                <w:rFonts w:asciiTheme="minorHAnsi" w:hAnsiTheme="minorHAnsi" w:cstheme="minorHAnsi"/>
                <w:szCs w:val="16"/>
              </w:rPr>
            </w:pPr>
            <w:r w:rsidRPr="009E06AA">
              <w:t>727.0</w:t>
            </w:r>
          </w:p>
        </w:tc>
        <w:tc>
          <w:tcPr>
            <w:tcW w:w="857" w:type="dxa"/>
            <w:tcBorders>
              <w:top w:val="single" w:sz="4" w:space="0" w:color="1B556B" w:themeColor="text2"/>
              <w:left w:val="nil"/>
              <w:bottom w:val="single" w:sz="4" w:space="0" w:color="1B556B" w:themeColor="text2"/>
              <w:right w:val="nil"/>
            </w:tcBorders>
            <w:shd w:val="clear" w:color="auto" w:fill="auto"/>
          </w:tcPr>
          <w:p w14:paraId="27742019" w14:textId="77777777" w:rsidR="007523B8" w:rsidRPr="009E06AA" w:rsidRDefault="007523B8" w:rsidP="00356160">
            <w:pPr>
              <w:pStyle w:val="TableText"/>
              <w:keepNext/>
              <w:spacing w:before="40" w:after="40"/>
              <w:jc w:val="right"/>
              <w:rPr>
                <w:rFonts w:asciiTheme="minorHAnsi" w:hAnsiTheme="minorHAnsi" w:cstheme="minorHAnsi"/>
                <w:szCs w:val="16"/>
              </w:rPr>
            </w:pPr>
            <w:r w:rsidRPr="009E06AA">
              <w:t>-5.7</w:t>
            </w:r>
          </w:p>
        </w:tc>
        <w:tc>
          <w:tcPr>
            <w:tcW w:w="784" w:type="dxa"/>
            <w:tcBorders>
              <w:top w:val="single" w:sz="4" w:space="0" w:color="1B556B" w:themeColor="text2"/>
              <w:left w:val="nil"/>
              <w:bottom w:val="single" w:sz="4" w:space="0" w:color="1B556B" w:themeColor="text2"/>
              <w:right w:val="nil"/>
            </w:tcBorders>
            <w:shd w:val="clear" w:color="auto" w:fill="auto"/>
          </w:tcPr>
          <w:p w14:paraId="2D001CC0" w14:textId="77777777" w:rsidR="007523B8" w:rsidRPr="009E06AA" w:rsidRDefault="007523B8" w:rsidP="00356160">
            <w:pPr>
              <w:pStyle w:val="TableText"/>
              <w:keepNext/>
              <w:spacing w:before="40" w:after="40"/>
              <w:jc w:val="right"/>
              <w:rPr>
                <w:rFonts w:asciiTheme="minorHAnsi" w:hAnsiTheme="minorHAnsi" w:cstheme="minorHAnsi"/>
                <w:szCs w:val="16"/>
              </w:rPr>
            </w:pPr>
            <w:r w:rsidRPr="009E06AA">
              <w:t>-0.8</w:t>
            </w:r>
          </w:p>
        </w:tc>
        <w:tc>
          <w:tcPr>
            <w:tcW w:w="852" w:type="dxa"/>
            <w:tcBorders>
              <w:top w:val="single" w:sz="4" w:space="0" w:color="1B556B" w:themeColor="text2"/>
              <w:left w:val="nil"/>
              <w:bottom w:val="single" w:sz="4" w:space="0" w:color="1B556B" w:themeColor="text2"/>
              <w:right w:val="nil"/>
            </w:tcBorders>
            <w:shd w:val="clear" w:color="auto" w:fill="auto"/>
            <w:vAlign w:val="center"/>
          </w:tcPr>
          <w:p w14:paraId="785BB808" w14:textId="77777777" w:rsidR="007523B8" w:rsidRPr="009E06AA" w:rsidRDefault="007523B8" w:rsidP="00356160">
            <w:pPr>
              <w:pStyle w:val="TableText"/>
              <w:keepNext/>
              <w:spacing w:before="40" w:after="40"/>
              <w:jc w:val="right"/>
              <w:rPr>
                <w:rFonts w:asciiTheme="minorHAnsi" w:hAnsiTheme="minorHAnsi" w:cstheme="minorHAnsi"/>
                <w:szCs w:val="16"/>
              </w:rPr>
            </w:pPr>
            <w:r w:rsidRPr="009E06AA">
              <w:rPr>
                <w:rFonts w:cs="Calibri"/>
                <w:color w:val="000000"/>
                <w:szCs w:val="16"/>
              </w:rPr>
              <w:t>15.7</w:t>
            </w:r>
          </w:p>
        </w:tc>
        <w:tc>
          <w:tcPr>
            <w:tcW w:w="851" w:type="dxa"/>
            <w:tcBorders>
              <w:top w:val="single" w:sz="4" w:space="0" w:color="1B556B" w:themeColor="text2"/>
              <w:left w:val="nil"/>
              <w:bottom w:val="single" w:sz="4" w:space="0" w:color="1B556B" w:themeColor="text2"/>
              <w:right w:val="nil"/>
            </w:tcBorders>
            <w:shd w:val="clear" w:color="auto" w:fill="auto"/>
            <w:vAlign w:val="center"/>
          </w:tcPr>
          <w:p w14:paraId="71AFF347" w14:textId="77777777" w:rsidR="007523B8" w:rsidRPr="009E06AA" w:rsidRDefault="007523B8" w:rsidP="00356160">
            <w:pPr>
              <w:pStyle w:val="TableText"/>
              <w:keepNext/>
              <w:spacing w:before="40" w:after="40"/>
              <w:jc w:val="right"/>
              <w:rPr>
                <w:rFonts w:asciiTheme="minorHAnsi" w:hAnsiTheme="minorHAnsi" w:cstheme="minorHAnsi"/>
                <w:szCs w:val="16"/>
              </w:rPr>
            </w:pPr>
            <w:r w:rsidRPr="009E06AA">
              <w:rPr>
                <w:rFonts w:cs="Calibri"/>
                <w:color w:val="000000"/>
                <w:szCs w:val="16"/>
              </w:rPr>
              <w:t>11.5</w:t>
            </w:r>
          </w:p>
        </w:tc>
        <w:tc>
          <w:tcPr>
            <w:tcW w:w="852" w:type="dxa"/>
            <w:tcBorders>
              <w:top w:val="single" w:sz="4" w:space="0" w:color="1B556B" w:themeColor="text2"/>
              <w:left w:val="nil"/>
              <w:bottom w:val="single" w:sz="4" w:space="0" w:color="1B556B" w:themeColor="text2"/>
              <w:right w:val="nil"/>
            </w:tcBorders>
            <w:shd w:val="clear" w:color="auto" w:fill="auto"/>
            <w:vAlign w:val="center"/>
          </w:tcPr>
          <w:p w14:paraId="0614EC0C" w14:textId="77777777" w:rsidR="007523B8" w:rsidRPr="009E06AA" w:rsidRDefault="007523B8" w:rsidP="00356160">
            <w:pPr>
              <w:pStyle w:val="TableText"/>
              <w:keepNext/>
              <w:spacing w:before="40" w:after="40"/>
              <w:jc w:val="right"/>
              <w:rPr>
                <w:rFonts w:asciiTheme="minorHAnsi" w:hAnsiTheme="minorHAnsi" w:cstheme="minorHAnsi"/>
                <w:szCs w:val="16"/>
              </w:rPr>
            </w:pPr>
            <w:r w:rsidRPr="009E06AA">
              <w:rPr>
                <w:color w:val="000000"/>
              </w:rPr>
              <w:t>2.</w:t>
            </w:r>
            <w:r w:rsidRPr="009E06AA">
              <w:rPr>
                <w:rFonts w:cs="Calibri"/>
                <w:color w:val="000000"/>
                <w:szCs w:val="16"/>
              </w:rPr>
              <w:t>0</w:t>
            </w:r>
          </w:p>
        </w:tc>
        <w:tc>
          <w:tcPr>
            <w:tcW w:w="851" w:type="dxa"/>
            <w:tcBorders>
              <w:top w:val="single" w:sz="4" w:space="0" w:color="1B556B" w:themeColor="text2"/>
              <w:left w:val="nil"/>
              <w:bottom w:val="single" w:sz="4" w:space="0" w:color="1B556B" w:themeColor="text2"/>
              <w:right w:val="nil"/>
            </w:tcBorders>
            <w:shd w:val="clear" w:color="auto" w:fill="auto"/>
            <w:vAlign w:val="center"/>
          </w:tcPr>
          <w:p w14:paraId="6BB04892" w14:textId="77777777" w:rsidR="007523B8" w:rsidRPr="009E06AA" w:rsidRDefault="007523B8" w:rsidP="00356160">
            <w:pPr>
              <w:pStyle w:val="TableText"/>
              <w:keepNext/>
              <w:spacing w:before="40" w:after="40"/>
              <w:jc w:val="right"/>
              <w:rPr>
                <w:rFonts w:asciiTheme="minorHAnsi" w:hAnsiTheme="minorHAnsi" w:cstheme="minorHAnsi"/>
                <w:szCs w:val="16"/>
              </w:rPr>
            </w:pPr>
            <w:r w:rsidRPr="009E06AA">
              <w:rPr>
                <w:color w:val="000000"/>
              </w:rPr>
              <w:t>1</w:t>
            </w:r>
            <w:r w:rsidRPr="009E06AA">
              <w:rPr>
                <w:rFonts w:cs="Calibri"/>
                <w:color w:val="000000"/>
                <w:szCs w:val="16"/>
              </w:rPr>
              <w:t>.7</w:t>
            </w:r>
          </w:p>
        </w:tc>
      </w:tr>
      <w:tr w:rsidR="007523B8" w:rsidRPr="009E06AA" w14:paraId="2A957B38" w14:textId="77777777" w:rsidTr="00C33995">
        <w:tc>
          <w:tcPr>
            <w:tcW w:w="1746" w:type="dxa"/>
            <w:tcBorders>
              <w:top w:val="nil"/>
              <w:left w:val="nil"/>
              <w:bottom w:val="nil"/>
            </w:tcBorders>
            <w:shd w:val="clear" w:color="auto" w:fill="auto"/>
          </w:tcPr>
          <w:p w14:paraId="0CCCD750" w14:textId="77777777" w:rsidR="007523B8" w:rsidRPr="009E06AA" w:rsidRDefault="007523B8" w:rsidP="00B55F24">
            <w:pPr>
              <w:pStyle w:val="TableText"/>
              <w:keepNext/>
              <w:spacing w:before="40" w:after="40"/>
            </w:pPr>
            <w:r w:rsidRPr="009E06AA">
              <w:t>Sheep</w:t>
            </w:r>
          </w:p>
        </w:tc>
        <w:tc>
          <w:tcPr>
            <w:tcW w:w="856" w:type="dxa"/>
            <w:tcBorders>
              <w:top w:val="single" w:sz="4" w:space="0" w:color="1B556B" w:themeColor="text2"/>
              <w:left w:val="nil"/>
              <w:bottom w:val="single" w:sz="4" w:space="0" w:color="1B556B" w:themeColor="text2"/>
              <w:right w:val="nil"/>
            </w:tcBorders>
            <w:shd w:val="clear" w:color="auto" w:fill="auto"/>
          </w:tcPr>
          <w:p w14:paraId="296CD940" w14:textId="77777777" w:rsidR="007523B8" w:rsidRPr="009E06AA" w:rsidRDefault="007523B8" w:rsidP="00356160">
            <w:pPr>
              <w:pStyle w:val="TableText"/>
              <w:keepNext/>
              <w:spacing w:before="40" w:after="40"/>
              <w:jc w:val="right"/>
              <w:rPr>
                <w:rFonts w:asciiTheme="minorHAnsi" w:hAnsiTheme="minorHAnsi" w:cstheme="minorHAnsi"/>
                <w:szCs w:val="16"/>
              </w:rPr>
            </w:pPr>
            <w:r w:rsidRPr="009E06AA">
              <w:t>785.7</w:t>
            </w:r>
          </w:p>
        </w:tc>
        <w:tc>
          <w:tcPr>
            <w:tcW w:w="856" w:type="dxa"/>
            <w:tcBorders>
              <w:top w:val="single" w:sz="4" w:space="0" w:color="1B556B" w:themeColor="text2"/>
              <w:left w:val="nil"/>
              <w:bottom w:val="single" w:sz="4" w:space="0" w:color="1B556B" w:themeColor="text2"/>
              <w:right w:val="nil"/>
            </w:tcBorders>
            <w:shd w:val="clear" w:color="auto" w:fill="auto"/>
          </w:tcPr>
          <w:p w14:paraId="4FD74723" w14:textId="77777777" w:rsidR="007523B8" w:rsidRPr="009E06AA" w:rsidRDefault="007523B8" w:rsidP="00356160">
            <w:pPr>
              <w:pStyle w:val="TableText"/>
              <w:keepNext/>
              <w:spacing w:before="40" w:after="40"/>
              <w:jc w:val="right"/>
              <w:rPr>
                <w:rFonts w:asciiTheme="minorHAnsi" w:hAnsiTheme="minorHAnsi" w:cstheme="minorHAnsi"/>
                <w:szCs w:val="16"/>
              </w:rPr>
            </w:pPr>
            <w:r w:rsidRPr="009E06AA">
              <w:t>455.9</w:t>
            </w:r>
          </w:p>
        </w:tc>
        <w:tc>
          <w:tcPr>
            <w:tcW w:w="857" w:type="dxa"/>
            <w:tcBorders>
              <w:top w:val="single" w:sz="4" w:space="0" w:color="1B556B" w:themeColor="text2"/>
              <w:left w:val="nil"/>
              <w:bottom w:val="single" w:sz="4" w:space="0" w:color="1B556B" w:themeColor="text2"/>
              <w:right w:val="nil"/>
            </w:tcBorders>
            <w:shd w:val="clear" w:color="auto" w:fill="auto"/>
          </w:tcPr>
          <w:p w14:paraId="10D0F038" w14:textId="77777777" w:rsidR="007523B8" w:rsidRPr="009E06AA" w:rsidRDefault="007523B8" w:rsidP="00356160">
            <w:pPr>
              <w:pStyle w:val="TableText"/>
              <w:keepNext/>
              <w:spacing w:before="40" w:after="40"/>
              <w:jc w:val="right"/>
              <w:rPr>
                <w:rFonts w:asciiTheme="minorHAnsi" w:hAnsiTheme="minorHAnsi" w:cstheme="minorHAnsi"/>
                <w:szCs w:val="16"/>
              </w:rPr>
            </w:pPr>
            <w:r w:rsidRPr="009E06AA">
              <w:t>-329.8</w:t>
            </w:r>
          </w:p>
        </w:tc>
        <w:tc>
          <w:tcPr>
            <w:tcW w:w="784" w:type="dxa"/>
            <w:tcBorders>
              <w:top w:val="single" w:sz="4" w:space="0" w:color="1B556B" w:themeColor="text2"/>
              <w:left w:val="nil"/>
              <w:bottom w:val="single" w:sz="4" w:space="0" w:color="1B556B" w:themeColor="text2"/>
              <w:right w:val="nil"/>
            </w:tcBorders>
            <w:shd w:val="clear" w:color="auto" w:fill="auto"/>
          </w:tcPr>
          <w:p w14:paraId="3A9C5A67" w14:textId="77777777" w:rsidR="007523B8" w:rsidRPr="009E06AA" w:rsidRDefault="007523B8" w:rsidP="00356160">
            <w:pPr>
              <w:pStyle w:val="TableText"/>
              <w:keepNext/>
              <w:spacing w:before="40" w:after="40"/>
              <w:jc w:val="right"/>
              <w:rPr>
                <w:rFonts w:asciiTheme="minorHAnsi" w:hAnsiTheme="minorHAnsi" w:cstheme="minorHAnsi"/>
                <w:szCs w:val="16"/>
              </w:rPr>
            </w:pPr>
            <w:r w:rsidRPr="009E06AA">
              <w:t>-42.0</w:t>
            </w:r>
          </w:p>
        </w:tc>
        <w:tc>
          <w:tcPr>
            <w:tcW w:w="852" w:type="dxa"/>
            <w:tcBorders>
              <w:top w:val="single" w:sz="4" w:space="0" w:color="1B556B" w:themeColor="text2"/>
              <w:left w:val="nil"/>
              <w:bottom w:val="single" w:sz="4" w:space="0" w:color="1B556B" w:themeColor="text2"/>
              <w:right w:val="nil"/>
            </w:tcBorders>
            <w:shd w:val="clear" w:color="auto" w:fill="auto"/>
            <w:vAlign w:val="center"/>
          </w:tcPr>
          <w:p w14:paraId="1B44F4E4" w14:textId="77777777" w:rsidR="007523B8" w:rsidRPr="009E06AA" w:rsidRDefault="007523B8" w:rsidP="00356160">
            <w:pPr>
              <w:pStyle w:val="TableText"/>
              <w:keepNext/>
              <w:spacing w:before="40" w:after="40"/>
              <w:jc w:val="right"/>
              <w:rPr>
                <w:rFonts w:asciiTheme="minorHAnsi" w:hAnsiTheme="minorHAnsi" w:cstheme="minorHAnsi"/>
                <w:szCs w:val="16"/>
              </w:rPr>
            </w:pPr>
            <w:r w:rsidRPr="009E06AA">
              <w:rPr>
                <w:rFonts w:cs="Calibri"/>
                <w:color w:val="000000"/>
                <w:szCs w:val="16"/>
              </w:rPr>
              <w:t>16.8</w:t>
            </w:r>
          </w:p>
        </w:tc>
        <w:tc>
          <w:tcPr>
            <w:tcW w:w="851" w:type="dxa"/>
            <w:tcBorders>
              <w:top w:val="single" w:sz="4" w:space="0" w:color="1B556B" w:themeColor="text2"/>
              <w:left w:val="nil"/>
              <w:bottom w:val="single" w:sz="4" w:space="0" w:color="1B556B" w:themeColor="text2"/>
              <w:right w:val="nil"/>
            </w:tcBorders>
            <w:shd w:val="clear" w:color="auto" w:fill="auto"/>
            <w:vAlign w:val="center"/>
          </w:tcPr>
          <w:p w14:paraId="3F738FA4" w14:textId="77777777" w:rsidR="007523B8" w:rsidRPr="009E06AA" w:rsidRDefault="007523B8" w:rsidP="00356160">
            <w:pPr>
              <w:pStyle w:val="TableText"/>
              <w:keepNext/>
              <w:spacing w:before="40" w:after="40"/>
              <w:jc w:val="right"/>
              <w:rPr>
                <w:rFonts w:asciiTheme="minorHAnsi" w:hAnsiTheme="minorHAnsi" w:cstheme="minorHAnsi"/>
                <w:szCs w:val="16"/>
              </w:rPr>
            </w:pPr>
            <w:r w:rsidRPr="009E06AA">
              <w:rPr>
                <w:color w:val="000000"/>
              </w:rPr>
              <w:t>7.</w:t>
            </w:r>
            <w:r w:rsidRPr="009E06AA">
              <w:rPr>
                <w:rFonts w:cs="Calibri"/>
                <w:color w:val="000000"/>
                <w:szCs w:val="16"/>
              </w:rPr>
              <w:t>2</w:t>
            </w:r>
          </w:p>
        </w:tc>
        <w:tc>
          <w:tcPr>
            <w:tcW w:w="852" w:type="dxa"/>
            <w:tcBorders>
              <w:top w:val="single" w:sz="4" w:space="0" w:color="1B556B" w:themeColor="text2"/>
              <w:left w:val="nil"/>
              <w:bottom w:val="single" w:sz="4" w:space="0" w:color="1B556B" w:themeColor="text2"/>
              <w:right w:val="nil"/>
            </w:tcBorders>
            <w:shd w:val="clear" w:color="auto" w:fill="auto"/>
            <w:vAlign w:val="center"/>
          </w:tcPr>
          <w:p w14:paraId="4F5A64FD" w14:textId="77777777" w:rsidR="007523B8" w:rsidRPr="009E06AA" w:rsidRDefault="007523B8" w:rsidP="00356160">
            <w:pPr>
              <w:pStyle w:val="TableText"/>
              <w:keepNext/>
              <w:spacing w:before="40" w:after="40"/>
              <w:jc w:val="right"/>
              <w:rPr>
                <w:rFonts w:asciiTheme="minorHAnsi" w:hAnsiTheme="minorHAnsi" w:cstheme="minorHAnsi"/>
                <w:szCs w:val="16"/>
              </w:rPr>
            </w:pPr>
            <w:r w:rsidRPr="009E06AA">
              <w:rPr>
                <w:color w:val="000000"/>
              </w:rPr>
              <w:t>2.</w:t>
            </w:r>
            <w:r w:rsidRPr="009E06AA">
              <w:rPr>
                <w:rFonts w:cs="Calibri"/>
                <w:color w:val="000000"/>
                <w:szCs w:val="16"/>
              </w:rPr>
              <w:t>1</w:t>
            </w:r>
          </w:p>
        </w:tc>
        <w:tc>
          <w:tcPr>
            <w:tcW w:w="851" w:type="dxa"/>
            <w:tcBorders>
              <w:top w:val="single" w:sz="4" w:space="0" w:color="1B556B" w:themeColor="text2"/>
              <w:left w:val="nil"/>
              <w:bottom w:val="single" w:sz="4" w:space="0" w:color="1B556B" w:themeColor="text2"/>
              <w:right w:val="nil"/>
            </w:tcBorders>
            <w:shd w:val="clear" w:color="auto" w:fill="auto"/>
            <w:vAlign w:val="center"/>
          </w:tcPr>
          <w:p w14:paraId="59E112A7" w14:textId="77777777" w:rsidR="007523B8" w:rsidRPr="009E06AA" w:rsidRDefault="007523B8" w:rsidP="00356160">
            <w:pPr>
              <w:pStyle w:val="TableText"/>
              <w:keepNext/>
              <w:spacing w:before="40" w:after="40"/>
              <w:jc w:val="right"/>
              <w:rPr>
                <w:rFonts w:asciiTheme="minorHAnsi" w:hAnsiTheme="minorHAnsi" w:cstheme="minorHAnsi"/>
                <w:szCs w:val="16"/>
              </w:rPr>
            </w:pPr>
            <w:r w:rsidRPr="009E06AA">
              <w:rPr>
                <w:color w:val="000000"/>
              </w:rPr>
              <w:t>1.</w:t>
            </w:r>
            <w:r w:rsidRPr="009E06AA">
              <w:rPr>
                <w:rFonts w:cs="Calibri"/>
                <w:color w:val="000000"/>
                <w:szCs w:val="16"/>
              </w:rPr>
              <w:t>1</w:t>
            </w:r>
          </w:p>
        </w:tc>
      </w:tr>
      <w:tr w:rsidR="007523B8" w:rsidRPr="009E06AA" w14:paraId="78EFE886" w14:textId="77777777" w:rsidTr="00C33995">
        <w:tc>
          <w:tcPr>
            <w:tcW w:w="1746" w:type="dxa"/>
            <w:tcBorders>
              <w:top w:val="nil"/>
              <w:left w:val="nil"/>
              <w:bottom w:val="nil"/>
            </w:tcBorders>
            <w:shd w:val="clear" w:color="auto" w:fill="auto"/>
          </w:tcPr>
          <w:p w14:paraId="43A4D20F" w14:textId="77777777" w:rsidR="007523B8" w:rsidRPr="009E06AA" w:rsidRDefault="007523B8" w:rsidP="00B55F24">
            <w:pPr>
              <w:pStyle w:val="TableText"/>
              <w:spacing w:before="40" w:after="40"/>
            </w:pPr>
            <w:r w:rsidRPr="009E06AA">
              <w:t>Deer</w:t>
            </w:r>
          </w:p>
        </w:tc>
        <w:tc>
          <w:tcPr>
            <w:tcW w:w="856" w:type="dxa"/>
            <w:tcBorders>
              <w:top w:val="single" w:sz="4" w:space="0" w:color="1B556B" w:themeColor="text2"/>
              <w:left w:val="nil"/>
              <w:bottom w:val="single" w:sz="4" w:space="0" w:color="1B556B" w:themeColor="text2"/>
              <w:right w:val="nil"/>
            </w:tcBorders>
            <w:shd w:val="clear" w:color="auto" w:fill="auto"/>
          </w:tcPr>
          <w:p w14:paraId="251B6490" w14:textId="77777777" w:rsidR="007523B8" w:rsidRPr="009E06AA" w:rsidRDefault="007523B8" w:rsidP="00356160">
            <w:pPr>
              <w:pStyle w:val="TableText"/>
              <w:spacing w:before="40" w:after="40"/>
              <w:jc w:val="right"/>
              <w:rPr>
                <w:rFonts w:asciiTheme="minorHAnsi" w:hAnsiTheme="minorHAnsi" w:cstheme="minorHAnsi"/>
                <w:szCs w:val="16"/>
              </w:rPr>
            </w:pPr>
            <w:r w:rsidRPr="009E06AA">
              <w:t>40.5</w:t>
            </w:r>
          </w:p>
        </w:tc>
        <w:tc>
          <w:tcPr>
            <w:tcW w:w="856" w:type="dxa"/>
            <w:tcBorders>
              <w:top w:val="single" w:sz="4" w:space="0" w:color="1B556B" w:themeColor="text2"/>
              <w:left w:val="nil"/>
              <w:bottom w:val="single" w:sz="4" w:space="0" w:color="1B556B" w:themeColor="text2"/>
              <w:right w:val="nil"/>
            </w:tcBorders>
            <w:shd w:val="clear" w:color="auto" w:fill="auto"/>
          </w:tcPr>
          <w:p w14:paraId="26EDBD5C" w14:textId="77777777" w:rsidR="007523B8" w:rsidRPr="009E06AA" w:rsidRDefault="007523B8" w:rsidP="00356160">
            <w:pPr>
              <w:pStyle w:val="TableText"/>
              <w:spacing w:before="40" w:after="40"/>
              <w:jc w:val="right"/>
              <w:rPr>
                <w:rFonts w:asciiTheme="minorHAnsi" w:hAnsiTheme="minorHAnsi" w:cstheme="minorHAnsi"/>
                <w:szCs w:val="16"/>
              </w:rPr>
            </w:pPr>
            <w:r w:rsidRPr="009E06AA">
              <w:t>39.7</w:t>
            </w:r>
          </w:p>
        </w:tc>
        <w:tc>
          <w:tcPr>
            <w:tcW w:w="857" w:type="dxa"/>
            <w:tcBorders>
              <w:top w:val="single" w:sz="4" w:space="0" w:color="1B556B" w:themeColor="text2"/>
              <w:left w:val="nil"/>
              <w:bottom w:val="single" w:sz="4" w:space="0" w:color="1B556B" w:themeColor="text2"/>
              <w:right w:val="nil"/>
            </w:tcBorders>
            <w:shd w:val="clear" w:color="auto" w:fill="auto"/>
          </w:tcPr>
          <w:p w14:paraId="09862C1F" w14:textId="77777777" w:rsidR="007523B8" w:rsidRPr="009E06AA" w:rsidRDefault="007523B8" w:rsidP="00356160">
            <w:pPr>
              <w:pStyle w:val="TableText"/>
              <w:spacing w:before="40" w:after="40"/>
              <w:jc w:val="right"/>
              <w:rPr>
                <w:rFonts w:asciiTheme="minorHAnsi" w:hAnsiTheme="minorHAnsi" w:cstheme="minorHAnsi"/>
                <w:szCs w:val="16"/>
              </w:rPr>
            </w:pPr>
            <w:r w:rsidRPr="009E06AA">
              <w:t>-0.8</w:t>
            </w:r>
          </w:p>
        </w:tc>
        <w:tc>
          <w:tcPr>
            <w:tcW w:w="784" w:type="dxa"/>
            <w:tcBorders>
              <w:top w:val="single" w:sz="4" w:space="0" w:color="1B556B" w:themeColor="text2"/>
              <w:left w:val="nil"/>
              <w:bottom w:val="single" w:sz="4" w:space="0" w:color="1B556B" w:themeColor="text2"/>
              <w:right w:val="nil"/>
            </w:tcBorders>
            <w:shd w:val="clear" w:color="auto" w:fill="auto"/>
          </w:tcPr>
          <w:p w14:paraId="7B574F7D" w14:textId="77777777" w:rsidR="007523B8" w:rsidRPr="009E06AA" w:rsidRDefault="007523B8" w:rsidP="00356160">
            <w:pPr>
              <w:pStyle w:val="TableText"/>
              <w:spacing w:before="40" w:after="40"/>
              <w:jc w:val="right"/>
              <w:rPr>
                <w:rFonts w:asciiTheme="minorHAnsi" w:hAnsiTheme="minorHAnsi" w:cstheme="minorHAnsi"/>
                <w:szCs w:val="16"/>
              </w:rPr>
            </w:pPr>
            <w:r w:rsidRPr="009E06AA">
              <w:t>-2.0</w:t>
            </w:r>
          </w:p>
        </w:tc>
        <w:tc>
          <w:tcPr>
            <w:tcW w:w="852" w:type="dxa"/>
            <w:tcBorders>
              <w:top w:val="single" w:sz="4" w:space="0" w:color="1B556B" w:themeColor="text2"/>
              <w:left w:val="nil"/>
              <w:bottom w:val="single" w:sz="4" w:space="0" w:color="1B556B" w:themeColor="text2"/>
              <w:right w:val="nil"/>
            </w:tcBorders>
            <w:shd w:val="clear" w:color="auto" w:fill="auto"/>
            <w:vAlign w:val="center"/>
          </w:tcPr>
          <w:p w14:paraId="5F917162" w14:textId="77777777" w:rsidR="007523B8" w:rsidRPr="009E06AA" w:rsidRDefault="007523B8" w:rsidP="00356160">
            <w:pPr>
              <w:pStyle w:val="TableText"/>
              <w:spacing w:before="40" w:after="40"/>
              <w:jc w:val="right"/>
              <w:rPr>
                <w:rFonts w:asciiTheme="minorHAnsi" w:hAnsiTheme="minorHAnsi" w:cstheme="minorHAnsi"/>
                <w:szCs w:val="16"/>
              </w:rPr>
            </w:pPr>
            <w:r w:rsidRPr="009E06AA">
              <w:rPr>
                <w:color w:val="000000"/>
              </w:rPr>
              <w:t>0.9</w:t>
            </w:r>
          </w:p>
        </w:tc>
        <w:tc>
          <w:tcPr>
            <w:tcW w:w="851" w:type="dxa"/>
            <w:tcBorders>
              <w:top w:val="single" w:sz="4" w:space="0" w:color="1B556B" w:themeColor="text2"/>
              <w:left w:val="nil"/>
              <w:bottom w:val="single" w:sz="4" w:space="0" w:color="1B556B" w:themeColor="text2"/>
              <w:right w:val="nil"/>
            </w:tcBorders>
            <w:shd w:val="clear" w:color="auto" w:fill="auto"/>
            <w:vAlign w:val="center"/>
          </w:tcPr>
          <w:p w14:paraId="69B7A9EB" w14:textId="77777777" w:rsidR="007523B8" w:rsidRPr="009E06AA" w:rsidRDefault="007523B8" w:rsidP="00356160">
            <w:pPr>
              <w:pStyle w:val="TableText"/>
              <w:spacing w:before="40" w:after="40"/>
              <w:jc w:val="right"/>
              <w:rPr>
                <w:rFonts w:asciiTheme="minorHAnsi" w:hAnsiTheme="minorHAnsi" w:cstheme="minorHAnsi"/>
                <w:szCs w:val="16"/>
              </w:rPr>
            </w:pPr>
            <w:r w:rsidRPr="009E06AA">
              <w:rPr>
                <w:color w:val="000000"/>
              </w:rPr>
              <w:t>0.6</w:t>
            </w:r>
          </w:p>
        </w:tc>
        <w:tc>
          <w:tcPr>
            <w:tcW w:w="852" w:type="dxa"/>
            <w:tcBorders>
              <w:top w:val="single" w:sz="4" w:space="0" w:color="1B556B" w:themeColor="text2"/>
              <w:left w:val="nil"/>
              <w:bottom w:val="single" w:sz="4" w:space="0" w:color="1B556B" w:themeColor="text2"/>
              <w:right w:val="nil"/>
            </w:tcBorders>
            <w:shd w:val="clear" w:color="auto" w:fill="auto"/>
            <w:vAlign w:val="center"/>
          </w:tcPr>
          <w:p w14:paraId="45FE9D19" w14:textId="77777777" w:rsidR="007523B8" w:rsidRPr="009E06AA" w:rsidRDefault="007523B8" w:rsidP="00356160">
            <w:pPr>
              <w:pStyle w:val="TableText"/>
              <w:spacing w:before="40" w:after="40"/>
              <w:jc w:val="right"/>
              <w:rPr>
                <w:rFonts w:asciiTheme="minorHAnsi" w:hAnsiTheme="minorHAnsi" w:cstheme="minorHAnsi"/>
                <w:szCs w:val="16"/>
              </w:rPr>
            </w:pPr>
            <w:r w:rsidRPr="009E06AA">
              <w:rPr>
                <w:color w:val="000000"/>
              </w:rPr>
              <w:t>0.1</w:t>
            </w:r>
          </w:p>
        </w:tc>
        <w:tc>
          <w:tcPr>
            <w:tcW w:w="851" w:type="dxa"/>
            <w:tcBorders>
              <w:top w:val="single" w:sz="4" w:space="0" w:color="1B556B" w:themeColor="text2"/>
              <w:left w:val="nil"/>
              <w:bottom w:val="single" w:sz="4" w:space="0" w:color="1B556B" w:themeColor="text2"/>
              <w:right w:val="nil"/>
            </w:tcBorders>
            <w:shd w:val="clear" w:color="auto" w:fill="auto"/>
            <w:vAlign w:val="center"/>
          </w:tcPr>
          <w:p w14:paraId="53DDA42B" w14:textId="77777777" w:rsidR="007523B8" w:rsidRPr="009E06AA" w:rsidRDefault="007523B8" w:rsidP="00356160">
            <w:pPr>
              <w:pStyle w:val="TableText"/>
              <w:spacing w:before="40" w:after="40"/>
              <w:jc w:val="right"/>
              <w:rPr>
                <w:rFonts w:asciiTheme="minorHAnsi" w:hAnsiTheme="minorHAnsi" w:cstheme="minorHAnsi"/>
                <w:szCs w:val="16"/>
              </w:rPr>
            </w:pPr>
            <w:r w:rsidRPr="009E06AA">
              <w:rPr>
                <w:color w:val="000000"/>
              </w:rPr>
              <w:t>0.1</w:t>
            </w:r>
          </w:p>
        </w:tc>
      </w:tr>
      <w:tr w:rsidR="007523B8" w:rsidRPr="009E06AA" w14:paraId="4FD4EBC6" w14:textId="77777777" w:rsidTr="00C33995">
        <w:tc>
          <w:tcPr>
            <w:tcW w:w="1746" w:type="dxa"/>
            <w:tcBorders>
              <w:top w:val="nil"/>
              <w:left w:val="nil"/>
              <w:bottom w:val="single" w:sz="4" w:space="0" w:color="1B556B" w:themeColor="text2"/>
            </w:tcBorders>
            <w:shd w:val="clear" w:color="auto" w:fill="auto"/>
          </w:tcPr>
          <w:p w14:paraId="26B853E4" w14:textId="77777777" w:rsidR="007523B8" w:rsidRPr="009E06AA" w:rsidRDefault="007523B8" w:rsidP="00B55F24">
            <w:pPr>
              <w:pStyle w:val="TableText"/>
              <w:spacing w:before="40" w:after="40"/>
              <w:rPr>
                <w:rFonts w:cs="Calibri"/>
                <w:i/>
                <w:iCs/>
                <w:szCs w:val="16"/>
              </w:rPr>
            </w:pPr>
            <w:r w:rsidRPr="009E06AA">
              <w:rPr>
                <w:rFonts w:cs="Calibri"/>
                <w:szCs w:val="16"/>
              </w:rPr>
              <w:t>Minor livestock</w:t>
            </w:r>
          </w:p>
        </w:tc>
        <w:tc>
          <w:tcPr>
            <w:tcW w:w="856" w:type="dxa"/>
            <w:tcBorders>
              <w:top w:val="single" w:sz="4" w:space="0" w:color="1B556B" w:themeColor="text2"/>
              <w:left w:val="nil"/>
              <w:bottom w:val="single" w:sz="4" w:space="0" w:color="1B556B" w:themeColor="text2"/>
              <w:right w:val="nil"/>
            </w:tcBorders>
            <w:shd w:val="clear" w:color="auto" w:fill="auto"/>
          </w:tcPr>
          <w:p w14:paraId="08772B5F" w14:textId="77777777" w:rsidR="007523B8" w:rsidRPr="009E06AA" w:rsidRDefault="007523B8" w:rsidP="00356160">
            <w:pPr>
              <w:pStyle w:val="TableText"/>
              <w:spacing w:before="40" w:after="40"/>
              <w:jc w:val="right"/>
              <w:rPr>
                <w:rFonts w:asciiTheme="minorHAnsi" w:hAnsiTheme="minorHAnsi" w:cstheme="minorHAnsi"/>
                <w:szCs w:val="16"/>
              </w:rPr>
            </w:pPr>
            <w:r w:rsidRPr="009E06AA">
              <w:rPr>
                <w:rFonts w:asciiTheme="minorHAnsi" w:hAnsiTheme="minorHAnsi" w:cstheme="minorHAnsi"/>
                <w:szCs w:val="16"/>
              </w:rPr>
              <w:t>93.2</w:t>
            </w:r>
          </w:p>
        </w:tc>
        <w:tc>
          <w:tcPr>
            <w:tcW w:w="856" w:type="dxa"/>
            <w:tcBorders>
              <w:top w:val="single" w:sz="4" w:space="0" w:color="1B556B" w:themeColor="text2"/>
              <w:left w:val="nil"/>
              <w:bottom w:val="single" w:sz="4" w:space="0" w:color="1B556B" w:themeColor="text2"/>
              <w:right w:val="nil"/>
            </w:tcBorders>
            <w:shd w:val="clear" w:color="auto" w:fill="auto"/>
          </w:tcPr>
          <w:p w14:paraId="5EC7914F" w14:textId="77777777" w:rsidR="007523B8" w:rsidRPr="009E06AA" w:rsidRDefault="007523B8" w:rsidP="00356160">
            <w:pPr>
              <w:pStyle w:val="TableText"/>
              <w:spacing w:before="40" w:after="40"/>
              <w:jc w:val="right"/>
              <w:rPr>
                <w:rFonts w:asciiTheme="minorHAnsi" w:hAnsiTheme="minorHAnsi" w:cstheme="minorHAnsi"/>
                <w:szCs w:val="16"/>
              </w:rPr>
            </w:pPr>
            <w:r w:rsidRPr="009E06AA">
              <w:t>46.4</w:t>
            </w:r>
          </w:p>
        </w:tc>
        <w:tc>
          <w:tcPr>
            <w:tcW w:w="857" w:type="dxa"/>
            <w:tcBorders>
              <w:top w:val="single" w:sz="4" w:space="0" w:color="1B556B" w:themeColor="text2"/>
              <w:left w:val="nil"/>
              <w:bottom w:val="single" w:sz="4" w:space="0" w:color="1B556B" w:themeColor="text2"/>
              <w:right w:val="nil"/>
            </w:tcBorders>
            <w:shd w:val="clear" w:color="auto" w:fill="auto"/>
          </w:tcPr>
          <w:p w14:paraId="291E6D93" w14:textId="77777777" w:rsidR="007523B8" w:rsidRPr="009E06AA" w:rsidRDefault="007523B8" w:rsidP="00356160">
            <w:pPr>
              <w:pStyle w:val="TableText"/>
              <w:spacing w:before="40" w:after="40"/>
              <w:jc w:val="right"/>
              <w:rPr>
                <w:rFonts w:asciiTheme="minorHAnsi" w:hAnsiTheme="minorHAnsi" w:cstheme="minorHAnsi"/>
                <w:szCs w:val="16"/>
              </w:rPr>
            </w:pPr>
            <w:r w:rsidRPr="009E06AA">
              <w:t>-46.8</w:t>
            </w:r>
          </w:p>
        </w:tc>
        <w:tc>
          <w:tcPr>
            <w:tcW w:w="784" w:type="dxa"/>
            <w:tcBorders>
              <w:top w:val="single" w:sz="4" w:space="0" w:color="1B556B" w:themeColor="text2"/>
              <w:left w:val="nil"/>
              <w:bottom w:val="single" w:sz="4" w:space="0" w:color="1B556B" w:themeColor="text2"/>
              <w:right w:val="nil"/>
            </w:tcBorders>
            <w:shd w:val="clear" w:color="auto" w:fill="auto"/>
          </w:tcPr>
          <w:p w14:paraId="0F5E6D22" w14:textId="77777777" w:rsidR="007523B8" w:rsidRPr="009E06AA" w:rsidRDefault="007523B8" w:rsidP="00356160">
            <w:pPr>
              <w:pStyle w:val="TableText"/>
              <w:spacing w:before="40" w:after="40"/>
              <w:jc w:val="right"/>
              <w:rPr>
                <w:rFonts w:asciiTheme="minorHAnsi" w:hAnsiTheme="minorHAnsi" w:cstheme="minorHAnsi"/>
                <w:szCs w:val="16"/>
              </w:rPr>
            </w:pPr>
            <w:r w:rsidRPr="009E06AA">
              <w:t>-50.2</w:t>
            </w:r>
          </w:p>
        </w:tc>
        <w:tc>
          <w:tcPr>
            <w:tcW w:w="852" w:type="dxa"/>
            <w:tcBorders>
              <w:top w:val="single" w:sz="4" w:space="0" w:color="1B556B" w:themeColor="text2"/>
              <w:left w:val="nil"/>
              <w:bottom w:val="single" w:sz="4" w:space="0" w:color="1B556B" w:themeColor="text2"/>
              <w:right w:val="nil"/>
            </w:tcBorders>
            <w:shd w:val="clear" w:color="auto" w:fill="auto"/>
            <w:vAlign w:val="center"/>
          </w:tcPr>
          <w:p w14:paraId="348D64D4" w14:textId="77777777" w:rsidR="007523B8" w:rsidRPr="009E06AA" w:rsidRDefault="007523B8" w:rsidP="00356160">
            <w:pPr>
              <w:pStyle w:val="TableText"/>
              <w:spacing w:before="40" w:after="40"/>
              <w:jc w:val="right"/>
              <w:rPr>
                <w:rFonts w:asciiTheme="minorHAnsi" w:hAnsiTheme="minorHAnsi" w:cstheme="minorHAnsi"/>
                <w:szCs w:val="16"/>
              </w:rPr>
            </w:pPr>
            <w:r w:rsidRPr="009E06AA">
              <w:rPr>
                <w:rFonts w:cs="Calibri"/>
                <w:color w:val="000000"/>
                <w:szCs w:val="16"/>
              </w:rPr>
              <w:t>2.0</w:t>
            </w:r>
          </w:p>
        </w:tc>
        <w:tc>
          <w:tcPr>
            <w:tcW w:w="851" w:type="dxa"/>
            <w:tcBorders>
              <w:top w:val="single" w:sz="4" w:space="0" w:color="1B556B" w:themeColor="text2"/>
              <w:left w:val="nil"/>
              <w:bottom w:val="single" w:sz="4" w:space="0" w:color="1B556B" w:themeColor="text2"/>
              <w:right w:val="nil"/>
            </w:tcBorders>
            <w:shd w:val="clear" w:color="auto" w:fill="auto"/>
            <w:vAlign w:val="center"/>
          </w:tcPr>
          <w:p w14:paraId="2F61EAB0" w14:textId="77777777" w:rsidR="007523B8" w:rsidRPr="009E06AA" w:rsidRDefault="007523B8" w:rsidP="00356160">
            <w:pPr>
              <w:pStyle w:val="TableText"/>
              <w:spacing w:before="40" w:after="40"/>
              <w:jc w:val="right"/>
              <w:rPr>
                <w:rFonts w:asciiTheme="minorHAnsi" w:hAnsiTheme="minorHAnsi" w:cstheme="minorHAnsi"/>
                <w:szCs w:val="16"/>
              </w:rPr>
            </w:pPr>
            <w:r w:rsidRPr="009E06AA">
              <w:rPr>
                <w:color w:val="000000"/>
              </w:rPr>
              <w:t>0.</w:t>
            </w:r>
            <w:r w:rsidRPr="009E06AA">
              <w:rPr>
                <w:rFonts w:cs="Calibri"/>
                <w:color w:val="000000"/>
                <w:szCs w:val="16"/>
              </w:rPr>
              <w:t>7</w:t>
            </w:r>
          </w:p>
        </w:tc>
        <w:tc>
          <w:tcPr>
            <w:tcW w:w="852" w:type="dxa"/>
            <w:tcBorders>
              <w:top w:val="single" w:sz="4" w:space="0" w:color="1B556B" w:themeColor="text2"/>
              <w:left w:val="nil"/>
              <w:bottom w:val="single" w:sz="4" w:space="0" w:color="1B556B" w:themeColor="text2"/>
              <w:right w:val="nil"/>
            </w:tcBorders>
            <w:shd w:val="clear" w:color="auto" w:fill="auto"/>
            <w:vAlign w:val="center"/>
          </w:tcPr>
          <w:p w14:paraId="5A753B53" w14:textId="77777777" w:rsidR="007523B8" w:rsidRPr="009E06AA" w:rsidRDefault="007523B8" w:rsidP="00356160">
            <w:pPr>
              <w:pStyle w:val="TableText"/>
              <w:spacing w:before="40" w:after="40"/>
              <w:jc w:val="right"/>
              <w:rPr>
                <w:rFonts w:asciiTheme="minorHAnsi" w:hAnsiTheme="minorHAnsi" w:cstheme="minorHAnsi"/>
                <w:szCs w:val="16"/>
              </w:rPr>
            </w:pPr>
            <w:r w:rsidRPr="009E06AA">
              <w:rPr>
                <w:color w:val="000000"/>
              </w:rPr>
              <w:t>0.</w:t>
            </w:r>
            <w:r w:rsidRPr="009E06AA">
              <w:rPr>
                <w:rFonts w:cs="Calibri"/>
                <w:color w:val="000000"/>
                <w:szCs w:val="16"/>
              </w:rPr>
              <w:t>3</w:t>
            </w:r>
          </w:p>
        </w:tc>
        <w:tc>
          <w:tcPr>
            <w:tcW w:w="851" w:type="dxa"/>
            <w:tcBorders>
              <w:top w:val="single" w:sz="4" w:space="0" w:color="1B556B" w:themeColor="text2"/>
              <w:left w:val="nil"/>
              <w:bottom w:val="single" w:sz="4" w:space="0" w:color="1B556B" w:themeColor="text2"/>
              <w:right w:val="nil"/>
            </w:tcBorders>
            <w:shd w:val="clear" w:color="auto" w:fill="auto"/>
            <w:vAlign w:val="center"/>
          </w:tcPr>
          <w:p w14:paraId="5E71D3BD" w14:textId="77777777" w:rsidR="007523B8" w:rsidRPr="009E06AA" w:rsidRDefault="007523B8" w:rsidP="00356160">
            <w:pPr>
              <w:pStyle w:val="TableText"/>
              <w:spacing w:before="40" w:after="40"/>
              <w:jc w:val="right"/>
              <w:rPr>
                <w:rFonts w:asciiTheme="minorHAnsi" w:hAnsiTheme="minorHAnsi" w:cstheme="minorHAnsi"/>
                <w:szCs w:val="16"/>
              </w:rPr>
            </w:pPr>
            <w:r w:rsidRPr="009E06AA">
              <w:rPr>
                <w:color w:val="000000"/>
              </w:rPr>
              <w:t>0.1</w:t>
            </w:r>
          </w:p>
        </w:tc>
      </w:tr>
    </w:tbl>
    <w:p w14:paraId="3665FD45" w14:textId="77777777" w:rsidR="007523B8" w:rsidRPr="009E06AA" w:rsidRDefault="007523B8" w:rsidP="007523B8">
      <w:pPr>
        <w:pStyle w:val="Noteundertable"/>
        <w:spacing w:before="160"/>
        <w:rPr>
          <w:rFonts w:cs="Calibri"/>
        </w:rPr>
      </w:pPr>
      <w:bookmarkStart w:id="1329" w:name="_Toc274046122"/>
      <w:bookmarkEnd w:id="1328"/>
      <w:r w:rsidRPr="009E06AA">
        <w:rPr>
          <w:rFonts w:cs="Calibri"/>
          <w:b/>
          <w:bCs/>
        </w:rPr>
        <w:t>Note:</w:t>
      </w:r>
      <w:r w:rsidRPr="009E06AA">
        <w:rPr>
          <w:rFonts w:cs="Calibri"/>
        </w:rPr>
        <w:tab/>
        <w:t>Percentages presented are calculated from unrounded values.</w:t>
      </w:r>
    </w:p>
    <w:p w14:paraId="01B220F4" w14:textId="77777777" w:rsidR="007523B8" w:rsidRPr="009E06AA" w:rsidRDefault="007523B8" w:rsidP="00BF2A76">
      <w:pPr>
        <w:pStyle w:val="Heading5"/>
      </w:pPr>
      <w:r w:rsidRPr="009E06AA">
        <w:t>Nitrous oxide from crop residue returned to soil</w:t>
      </w:r>
      <w:bookmarkEnd w:id="1329"/>
      <w:r w:rsidRPr="009E06AA">
        <w:t xml:space="preserve"> (3.D.1.4)</w:t>
      </w:r>
    </w:p>
    <w:p w14:paraId="29A6DECC" w14:textId="77777777" w:rsidR="007523B8" w:rsidRPr="009E06AA" w:rsidDel="005621A7" w:rsidRDefault="007523B8" w:rsidP="007523B8">
      <w:pPr>
        <w:pStyle w:val="BodyText"/>
        <w:rPr>
          <w:rFonts w:cs="Calibri"/>
        </w:rPr>
      </w:pPr>
      <w:r w:rsidRPr="009E06AA">
        <w:rPr>
          <w:rFonts w:cs="Calibri"/>
        </w:rPr>
        <w:t>This emissions category includes emissions from nitrogen added to soils by above-ground and below-ground crop residue (including residue left behind by crop burning), and the nitrogen added as a result of mineralisation of forages during pasture renewal. It includes both nitrogen-fixing and non-nitrogen-fixing crop species. Crop residues are materials left in an agricultural field after the crop has been harvested. Pasture renewal is the destruction of low</w:t>
      </w:r>
      <w:r w:rsidRPr="009E06AA">
        <w:rPr>
          <w:rFonts w:cs="Calibri"/>
        </w:rPr>
        <w:noBreakHyphen/>
        <w:t xml:space="preserve">quality pasture followed by the sowing of improved pasture species and/or varieties to increase farm productivity. The direct emissions from agricultural residue burning are reported in section 5.7. </w:t>
      </w:r>
    </w:p>
    <w:p w14:paraId="01BE0DC2" w14:textId="77777777" w:rsidR="007523B8" w:rsidRPr="009E06AA" w:rsidRDefault="007523B8" w:rsidP="007523B8">
      <w:pPr>
        <w:pStyle w:val="BodyText"/>
        <w:spacing w:before="100"/>
        <w:rPr>
          <w:rFonts w:cs="Calibri"/>
        </w:rPr>
      </w:pPr>
      <w:r w:rsidRPr="009E06AA">
        <w:rPr>
          <w:rFonts w:cs="Calibri"/>
        </w:rPr>
        <w:t>New Zealand does not include an adjustment for crop residue removed for feed and bedding, which is assumed to be minor by Thomas et al. (2008).</w:t>
      </w:r>
    </w:p>
    <w:p w14:paraId="73228731" w14:textId="77777777" w:rsidR="007523B8" w:rsidRPr="009E06AA" w:rsidRDefault="007523B8" w:rsidP="007523B8">
      <w:pPr>
        <w:pStyle w:val="BodyText"/>
        <w:spacing w:before="100"/>
        <w:rPr>
          <w:rFonts w:cs="Calibri"/>
        </w:rPr>
      </w:pPr>
      <w:r w:rsidRPr="009E06AA">
        <w:rPr>
          <w:rFonts w:cs="Calibri"/>
          <w:b/>
          <w:bCs/>
        </w:rPr>
        <w:t xml:space="preserve">Nitrogen from crop residue: </w:t>
      </w:r>
      <w:r w:rsidRPr="009E06AA">
        <w:rPr>
          <w:rFonts w:cs="Calibri"/>
        </w:rPr>
        <w:t xml:space="preserve">The major non-nitrogen-fixing crops grown in </w:t>
      </w:r>
      <w:r w:rsidRPr="009E06AA" w:rsidDel="00122D71">
        <w:rPr>
          <w:rFonts w:cs="Calibri"/>
        </w:rPr>
        <w:t xml:space="preserve">New </w:t>
      </w:r>
      <w:r w:rsidRPr="009E06AA">
        <w:rPr>
          <w:rFonts w:cs="Calibri"/>
        </w:rPr>
        <w:t xml:space="preserve">Zealand are barley, </w:t>
      </w:r>
      <w:r w:rsidRPr="009E06AA">
        <w:rPr>
          <w:rFonts w:cs="Calibri"/>
          <w:spacing w:val="-2"/>
        </w:rPr>
        <w:t>wheat, oats, potatoes, maize for seed, and other seed crops. From the 2012 submission onwards,</w:t>
      </w:r>
      <w:r w:rsidRPr="009E06AA">
        <w:rPr>
          <w:rFonts w:cs="Calibri"/>
        </w:rPr>
        <w:t xml:space="preserve"> </w:t>
      </w:r>
      <w:r w:rsidRPr="009E06AA" w:rsidDel="009E37FF">
        <w:rPr>
          <w:rFonts w:cs="Calibri"/>
        </w:rPr>
        <w:t xml:space="preserve">New </w:t>
      </w:r>
      <w:r w:rsidRPr="009E06AA">
        <w:rPr>
          <w:rFonts w:cs="Calibri"/>
        </w:rPr>
        <w:t xml:space="preserve">Zealand has reported emissions from additional cropping activity not previously estimated, such as onions, squash and sweetcorn (Thomas et al., 2011). The nitrogen-fixing crops grown in </w:t>
      </w:r>
      <w:r w:rsidRPr="009E06AA" w:rsidDel="007E7529">
        <w:rPr>
          <w:rFonts w:cs="Calibri"/>
        </w:rPr>
        <w:t xml:space="preserve">New </w:t>
      </w:r>
      <w:r w:rsidRPr="009E06AA">
        <w:rPr>
          <w:rFonts w:cs="Calibri"/>
        </w:rPr>
        <w:t>Zealand include peas grown for both processing and seed markets as well as lentil production, and forage legume seeds grown for pasture production.</w:t>
      </w:r>
    </w:p>
    <w:p w14:paraId="0EA95A18" w14:textId="77777777" w:rsidR="007523B8" w:rsidRPr="009E06AA" w:rsidRDefault="007523B8" w:rsidP="007523B8">
      <w:pPr>
        <w:pStyle w:val="BodyText"/>
        <w:spacing w:after="80"/>
      </w:pPr>
      <w:r w:rsidRPr="009E06AA">
        <w:t>A country-specific methodology is used to calculate emissions from crop residue (Thomas et al., 2008):</w:t>
      </w:r>
    </w:p>
    <w:bookmarkStart w:id="1330" w:name="_1640173609"/>
    <w:bookmarkStart w:id="1331" w:name="_1767785931"/>
    <w:bookmarkStart w:id="1332" w:name="_1767788841"/>
    <w:bookmarkEnd w:id="1330"/>
    <w:bookmarkEnd w:id="1331"/>
    <w:bookmarkEnd w:id="1332"/>
    <w:p w14:paraId="11F1F582" w14:textId="77777777" w:rsidR="007523B8" w:rsidRPr="009E06AA" w:rsidRDefault="008975BF" w:rsidP="007523B8">
      <w:pPr>
        <w:pStyle w:val="BodyText"/>
        <w:spacing w:before="0" w:after="60"/>
        <w:jc w:val="center"/>
        <w:rPr>
          <w:rFonts w:ascii="Cambria Math" w:hAnsi="Cambria Math" w:cs="Calibri"/>
          <w:sz w:val="24"/>
          <w:szCs w:val="24"/>
        </w:rPr>
      </w:pPr>
      <m:oMathPara>
        <m:oMath>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FCR</m:t>
              </m:r>
            </m:sub>
          </m:sSub>
          <m:r>
            <w:rPr>
              <w:rFonts w:ascii="Cambria Math" w:hAnsi="Cambria Math"/>
              <w:sz w:val="24"/>
              <w:szCs w:val="24"/>
            </w:rPr>
            <m:t xml:space="preserve"> </m:t>
          </m:r>
          <m:r>
            <w:rPr>
              <w:rFonts w:ascii="Cambria Math" w:hAnsi="Cambria Math"/>
              <w:sz w:val="24"/>
              <w:szCs w:val="24"/>
            </w:rPr>
            <m:t>emissions</m:t>
          </m:r>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44</m:t>
              </m:r>
            </m:num>
            <m:den>
              <m:r>
                <w:rPr>
                  <w:rFonts w:ascii="Cambria Math" w:hAnsi="Cambria Math"/>
                  <w:sz w:val="24"/>
                  <w:szCs w:val="24"/>
                </w:rPr>
                <m:t>28</m:t>
              </m:r>
            </m:den>
          </m:f>
          <m:sSub>
            <m:sSubPr>
              <m:ctrlPr>
                <w:rPr>
                  <w:rFonts w:ascii="Cambria Math" w:hAnsi="Cambria Math"/>
                  <w:i/>
                  <w:sz w:val="24"/>
                  <w:szCs w:val="24"/>
                </w:rPr>
              </m:ctrlPr>
            </m:sSub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2</m:t>
                      </m:r>
                    </m:sub>
                  </m:sSub>
                  <m:r>
                    <w:rPr>
                      <w:rFonts w:ascii="Cambria Math" w:hAnsi="Cambria Math"/>
                      <w:sz w:val="24"/>
                      <w:szCs w:val="24"/>
                    </w:rPr>
                    <m:t>O</m:t>
                  </m:r>
                  <m:r>
                    <w:rPr>
                      <w:rFonts w:ascii="Cambria Math" w:hAnsi="Cambria Math"/>
                      <w:sz w:val="24"/>
                      <w:szCs w:val="24"/>
                    </w:rPr>
                    <m:t>-</m:t>
                  </m:r>
                  <m:r>
                    <w:rPr>
                      <w:rFonts w:ascii="Cambria Math" w:hAnsi="Cambria Math"/>
                      <w:sz w:val="24"/>
                      <w:szCs w:val="24"/>
                    </w:rPr>
                    <m:t>N</m:t>
                  </m:r>
                </m:e>
              </m:d>
            </m:e>
            <m:sub>
              <m:r>
                <w:rPr>
                  <w:rFonts w:ascii="Cambria Math" w:hAnsi="Cambria Math"/>
                  <w:sz w:val="24"/>
                  <w:szCs w:val="24"/>
                </w:rPr>
                <m:t>FCR</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44</m:t>
              </m:r>
            </m:num>
            <m:den>
              <m:r>
                <w:rPr>
                  <w:rFonts w:ascii="Cambria Math" w:hAnsi="Cambria Math"/>
                  <w:sz w:val="24"/>
                  <w:szCs w:val="24"/>
                </w:rPr>
                <m:t>28</m:t>
              </m:r>
            </m:den>
          </m:f>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AG</m:t>
                  </m:r>
                </m:e>
                <m:sub>
                  <m:r>
                    <w:rPr>
                      <w:rFonts w:ascii="Cambria Math" w:hAnsi="Cambria Math"/>
                      <w:sz w:val="24"/>
                      <w:szCs w:val="24"/>
                    </w:rPr>
                    <m:t>N</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BG</m:t>
                  </m:r>
                </m:e>
                <m:sub>
                  <m:r>
                    <w:rPr>
                      <w:rFonts w:ascii="Cambria Math" w:hAnsi="Cambria Math"/>
                      <w:sz w:val="24"/>
                      <w:szCs w:val="24"/>
                    </w:rPr>
                    <m:t>N</m:t>
                  </m:r>
                </m:sub>
              </m:sSub>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EF</m:t>
              </m:r>
            </m:e>
            <m:sub>
              <m:r>
                <w:rPr>
                  <w:rFonts w:ascii="Cambria Math" w:hAnsi="Cambria Math"/>
                  <w:sz w:val="24"/>
                  <w:szCs w:val="24"/>
                </w:rPr>
                <m:t>1</m:t>
              </m:r>
            </m:sub>
          </m:sSub>
          <m:r>
            <w:rPr>
              <w:rFonts w:ascii="Cambria Math" w:hAnsi="Cambria Math" w:cs="Calibri"/>
              <w:sz w:val="24"/>
              <w:szCs w:val="24"/>
            </w:rPr>
            <m:t xml:space="preserve"> </m:t>
          </m:r>
        </m:oMath>
      </m:oMathPara>
    </w:p>
    <w:p w14:paraId="0A6424D7" w14:textId="06CA1D77" w:rsidR="007523B8" w:rsidRPr="009E06AA" w:rsidRDefault="007523B8" w:rsidP="007523B8">
      <w:pPr>
        <w:pStyle w:val="BodyText"/>
        <w:spacing w:before="80" w:after="80"/>
        <w:ind w:left="964" w:hanging="964"/>
      </w:pPr>
      <w:r w:rsidRPr="009E06AA">
        <w:t>Where:</w:t>
      </w:r>
      <w:r w:rsidRPr="009E06AA">
        <w:tab/>
        <w:t>AG</w:t>
      </w:r>
      <w:r w:rsidRPr="009E06AA">
        <w:rPr>
          <w:vertAlign w:val="subscript"/>
        </w:rPr>
        <w:t>N</w:t>
      </w:r>
      <w:r w:rsidRPr="009E06AA">
        <w:t xml:space="preserve"> and BG</w:t>
      </w:r>
      <w:r w:rsidRPr="009E06AA">
        <w:rPr>
          <w:vertAlign w:val="subscript"/>
        </w:rPr>
        <w:t>N</w:t>
      </w:r>
      <w:r w:rsidRPr="009E06AA">
        <w:t xml:space="preserve"> are the annual nitrogen residue returned to soils from above- and below-ground crop residue, and crop-specific values are given in annex </w:t>
      </w:r>
      <w:r w:rsidR="00963D64" w:rsidRPr="009E06AA">
        <w:t>5</w:t>
      </w:r>
      <w:r w:rsidRPr="009E06AA">
        <w:t>, table A</w:t>
      </w:r>
      <w:r w:rsidR="00963D64" w:rsidRPr="009E06AA">
        <w:t>5</w:t>
      </w:r>
      <w:r w:rsidRPr="009E06AA">
        <w:t>.1.8, and the country-specific value of EF</w:t>
      </w:r>
      <w:r w:rsidRPr="009E06AA">
        <w:rPr>
          <w:vertAlign w:val="subscript"/>
        </w:rPr>
        <w:t>1</w:t>
      </w:r>
      <w:r w:rsidRPr="009E06AA">
        <w:t xml:space="preserve"> of 0.01 is used (see table 5.5.2).</w:t>
      </w:r>
    </w:p>
    <w:bookmarkStart w:id="1333" w:name="_Hlk32497300"/>
    <w:p w14:paraId="3EE610D1" w14:textId="77777777" w:rsidR="007523B8" w:rsidRPr="009E06AA" w:rsidRDefault="008975BF" w:rsidP="007523B8">
      <w:pPr>
        <w:pStyle w:val="BodyText"/>
        <w:spacing w:before="80"/>
        <w:jc w:val="center"/>
        <w:rPr>
          <w:rFonts w:ascii="Cambria Math" w:hAnsi="Cambria Math" w:cs="Calibri"/>
          <w:sz w:val="24"/>
          <w:szCs w:val="24"/>
        </w:rPr>
      </w:pPr>
      <m:oMathPara>
        <m:oMath>
          <m:sSub>
            <m:sSubPr>
              <m:ctrlPr>
                <w:rPr>
                  <w:rFonts w:ascii="Cambria Math" w:hAnsi="Cambria Math"/>
                  <w:i/>
                  <w:sz w:val="24"/>
                  <w:szCs w:val="24"/>
                </w:rPr>
              </m:ctrlPr>
            </m:sSubPr>
            <m:e>
              <m:r>
                <w:rPr>
                  <w:rFonts w:ascii="Cambria Math" w:hAnsi="Cambria Math"/>
                  <w:sz w:val="24"/>
                  <w:szCs w:val="24"/>
                </w:rPr>
                <m:t>AG</m:t>
              </m:r>
            </m:e>
            <m:sub>
              <m:r>
                <w:rPr>
                  <w:rFonts w:ascii="Cambria Math" w:hAnsi="Cambria Math"/>
                  <w:sz w:val="24"/>
                  <w:szCs w:val="24"/>
                </w:rPr>
                <m:t>N</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AG</m:t>
              </m:r>
            </m:e>
            <m:sub>
              <m:r>
                <w:rPr>
                  <w:rFonts w:ascii="Cambria Math" w:hAnsi="Cambria Math"/>
                  <w:sz w:val="24"/>
                  <w:szCs w:val="24"/>
                </w:rPr>
                <m:t>DM</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AG</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BG</m:t>
              </m:r>
            </m:e>
            <m:sub>
              <m:r>
                <w:rPr>
                  <w:rFonts w:ascii="Cambria Math" w:hAnsi="Cambria Math"/>
                  <w:sz w:val="24"/>
                  <w:szCs w:val="24"/>
                </w:rPr>
                <m:t>N</m:t>
              </m:r>
            </m:sub>
          </m:sSub>
          <m:r>
            <w:rPr>
              <w:rFonts w:ascii="Cambria Math" w:hAnsi="Cambria Math"/>
              <w:sz w:val="24"/>
              <w:szCs w:val="24"/>
            </w:rPr>
            <m:t>=</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AG</m:t>
                  </m:r>
                </m:e>
                <m:sub>
                  <m:r>
                    <w:rPr>
                      <w:rFonts w:ascii="Cambria Math" w:hAnsi="Cambria Math"/>
                      <w:sz w:val="24"/>
                      <w:szCs w:val="24"/>
                    </w:rPr>
                    <m:t>DM</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Crop</m:t>
                  </m:r>
                </m:e>
                <m:sub>
                  <m:r>
                    <w:rPr>
                      <w:rFonts w:ascii="Cambria Math" w:hAnsi="Cambria Math"/>
                      <w:sz w:val="24"/>
                      <w:szCs w:val="24"/>
                    </w:rPr>
                    <m:t>T</m:t>
                  </m:r>
                </m:sub>
              </m:sSub>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BG</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BG</m:t>
              </m:r>
            </m:sub>
          </m:sSub>
          <w:bookmarkEnd w:id="1333"/>
          <m:r>
            <w:rPr>
              <w:rFonts w:ascii="Cambria Math" w:hAnsi="Cambria Math" w:cs="Calibri"/>
              <w:sz w:val="24"/>
              <w:szCs w:val="24"/>
            </w:rPr>
            <m:t xml:space="preserve"> </m:t>
          </m:r>
        </m:oMath>
      </m:oMathPara>
    </w:p>
    <w:p w14:paraId="1B1FEB0F" w14:textId="77777777" w:rsidR="007523B8" w:rsidRPr="009E06AA" w:rsidRDefault="007523B8" w:rsidP="007523B8">
      <w:pPr>
        <w:pStyle w:val="BodyText"/>
        <w:spacing w:before="60" w:after="40"/>
        <w:ind w:left="964" w:hanging="964"/>
      </w:pPr>
      <w:r w:rsidRPr="009E06AA">
        <w:t>Where:</w:t>
      </w:r>
      <w:r w:rsidRPr="009E06AA">
        <w:tab/>
        <w:t>AG</w:t>
      </w:r>
      <w:r w:rsidRPr="009E06AA">
        <w:rPr>
          <w:vertAlign w:val="subscript"/>
        </w:rPr>
        <w:t>DM</w:t>
      </w:r>
      <w:r w:rsidRPr="009E06AA">
        <w:t xml:space="preserve"> is the mass of the above-ground residue dry matter (explained in the equation below)</w:t>
      </w:r>
    </w:p>
    <w:p w14:paraId="32895CB7" w14:textId="77777777" w:rsidR="007523B8" w:rsidRPr="009E06AA" w:rsidRDefault="007523B8" w:rsidP="007523B8">
      <w:pPr>
        <w:pStyle w:val="BodyText"/>
        <w:spacing w:before="40" w:after="40"/>
        <w:ind w:left="964" w:hanging="964"/>
      </w:pPr>
      <w:r w:rsidRPr="009E06AA">
        <w:tab/>
        <w:t>Crop</w:t>
      </w:r>
      <w:r w:rsidRPr="009E06AA">
        <w:rPr>
          <w:vertAlign w:val="subscript"/>
        </w:rPr>
        <w:t>T</w:t>
      </w:r>
      <w:r w:rsidRPr="009E06AA">
        <w:t xml:space="preserve"> is the crop yield, or mass, removed during harvest</w:t>
      </w:r>
    </w:p>
    <w:p w14:paraId="5AB6B025" w14:textId="77777777" w:rsidR="007523B8" w:rsidRPr="009E06AA" w:rsidRDefault="007523B8" w:rsidP="007523B8">
      <w:pPr>
        <w:pStyle w:val="BodyText"/>
        <w:spacing w:before="40" w:after="40"/>
        <w:ind w:left="964" w:hanging="964"/>
      </w:pPr>
      <w:r w:rsidRPr="009E06AA">
        <w:tab/>
        <w:t>N</w:t>
      </w:r>
      <w:r w:rsidRPr="009E06AA">
        <w:rPr>
          <w:vertAlign w:val="subscript"/>
        </w:rPr>
        <w:t>AG</w:t>
      </w:r>
      <w:r w:rsidRPr="009E06AA">
        <w:t xml:space="preserve"> and N</w:t>
      </w:r>
      <w:r w:rsidRPr="009E06AA">
        <w:rPr>
          <w:vertAlign w:val="subscript"/>
        </w:rPr>
        <w:t>BG</w:t>
      </w:r>
      <w:r w:rsidRPr="009E06AA">
        <w:t xml:space="preserve"> are the above- and below-ground crop-specific nitrogen concentration factors, and</w:t>
      </w:r>
    </w:p>
    <w:p w14:paraId="2D906936" w14:textId="69C6DD17" w:rsidR="007523B8" w:rsidRPr="009E06AA" w:rsidRDefault="007523B8" w:rsidP="007523B8">
      <w:pPr>
        <w:pStyle w:val="BodyText"/>
        <w:spacing w:before="40"/>
        <w:ind w:left="964" w:hanging="964"/>
      </w:pPr>
      <w:r w:rsidRPr="009E06AA">
        <w:tab/>
        <w:t>R</w:t>
      </w:r>
      <w:r w:rsidRPr="009E06AA">
        <w:rPr>
          <w:vertAlign w:val="subscript"/>
        </w:rPr>
        <w:t>BG</w:t>
      </w:r>
      <w:r w:rsidRPr="009E06AA">
        <w:t xml:space="preserve"> is the crop-specific root:shoot ratio of below-ground dry matter against the total above-ground crop biomass (crop gathered, Crop</w:t>
      </w:r>
      <w:r w:rsidRPr="009E06AA">
        <w:rPr>
          <w:vertAlign w:val="subscript"/>
        </w:rPr>
        <w:t>T</w:t>
      </w:r>
      <w:r w:rsidRPr="009E06AA">
        <w:t>, plus above-ground residue dry matter, AG</w:t>
      </w:r>
      <w:r w:rsidRPr="009E06AA">
        <w:rPr>
          <w:vertAlign w:val="subscript"/>
        </w:rPr>
        <w:t>DM</w:t>
      </w:r>
      <w:r w:rsidRPr="009E06AA">
        <w:t xml:space="preserve">), 0.1 (see annex </w:t>
      </w:r>
      <w:r w:rsidR="009634A1" w:rsidRPr="009E06AA">
        <w:t>5</w:t>
      </w:r>
      <w:r w:rsidRPr="009E06AA">
        <w:t>, table A</w:t>
      </w:r>
      <w:r w:rsidR="009634A1" w:rsidRPr="009E06AA">
        <w:t>5</w:t>
      </w:r>
      <w:r w:rsidRPr="009E06AA">
        <w:t>.1.8).</w:t>
      </w:r>
    </w:p>
    <w:p w14:paraId="18211A6E" w14:textId="77777777" w:rsidR="007523B8" w:rsidRPr="009E06AA" w:rsidRDefault="008975BF" w:rsidP="007523B8">
      <w:pPr>
        <w:pStyle w:val="BodyText"/>
        <w:spacing w:before="60"/>
        <w:jc w:val="center"/>
        <w:rPr>
          <w:rFonts w:ascii="Cambria Math" w:hAnsi="Cambria Math" w:cs="Calibri"/>
          <w:sz w:val="24"/>
          <w:szCs w:val="24"/>
        </w:rPr>
      </w:pPr>
      <m:oMathPara>
        <m:oMath>
          <m:sSub>
            <m:sSubPr>
              <m:ctrlPr>
                <w:rPr>
                  <w:rFonts w:ascii="Cambria Math" w:hAnsi="Cambria Math"/>
                  <w:i/>
                  <w:sz w:val="24"/>
                  <w:szCs w:val="24"/>
                </w:rPr>
              </m:ctrlPr>
            </m:sSubPr>
            <m:e>
              <m:r>
                <w:rPr>
                  <w:rFonts w:ascii="Cambria Math" w:hAnsi="Cambria Math"/>
                  <w:sz w:val="24"/>
                  <w:szCs w:val="24"/>
                </w:rPr>
                <m:t>AG</m:t>
              </m:r>
            </m:e>
            <m:sub>
              <m:r>
                <w:rPr>
                  <w:rFonts w:ascii="Cambria Math" w:hAnsi="Cambria Math"/>
                  <w:sz w:val="24"/>
                  <w:szCs w:val="24"/>
                </w:rPr>
                <m:t>DM</m:t>
              </m:r>
            </m:sub>
          </m:sSub>
          <m:r>
            <w:rPr>
              <w:rFonts w:ascii="Cambria Math" w:hAnsi="Cambria Math"/>
              <w:sz w:val="24"/>
              <w:szCs w:val="24"/>
            </w:rPr>
            <m:t>=</m:t>
          </m:r>
          <m:d>
            <m:dPr>
              <m:ctrlPr>
                <w:rPr>
                  <w:rFonts w:ascii="Cambria Math" w:hAnsi="Cambria Math"/>
                  <w:i/>
                  <w:sz w:val="24"/>
                  <w:szCs w:val="24"/>
                </w:rPr>
              </m:ctrlPr>
            </m:dPr>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Crop</m:t>
                      </m:r>
                    </m:e>
                    <m:sub>
                      <m:r>
                        <w:rPr>
                          <w:rFonts w:ascii="Cambria Math" w:hAnsi="Cambria Math"/>
                          <w:sz w:val="24"/>
                          <w:szCs w:val="24"/>
                        </w:rPr>
                        <m:t>T</m:t>
                      </m:r>
                    </m:sub>
                  </m:sSub>
                </m:num>
                <m:den>
                  <m:r>
                    <w:rPr>
                      <w:rFonts w:ascii="Cambria Math" w:hAnsi="Cambria Math"/>
                      <w:sz w:val="24"/>
                      <w:szCs w:val="24"/>
                    </w:rPr>
                    <m:t>HI</m:t>
                  </m:r>
                </m:den>
              </m:f>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Crop</m:t>
              </m:r>
            </m:e>
            <m:sub>
              <m:r>
                <w:rPr>
                  <w:rFonts w:ascii="Cambria Math" w:hAnsi="Cambria Math"/>
                  <w:sz w:val="24"/>
                  <w:szCs w:val="24"/>
                </w:rPr>
                <m:t>T</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Frac</m:t>
              </m:r>
            </m:e>
            <m:sub>
              <m:r>
                <w:rPr>
                  <w:rFonts w:ascii="Cambria Math" w:hAnsi="Cambria Math"/>
                  <w:sz w:val="24"/>
                  <w:szCs w:val="24"/>
                </w:rPr>
                <m:t>BURN</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f</m:t>
              </m:r>
            </m:sub>
          </m:sSub>
          <m:r>
            <w:rPr>
              <w:rFonts w:ascii="Cambria Math" w:hAnsi="Cambria Math" w:cs="Calibri"/>
              <w:sz w:val="24"/>
              <w:szCs w:val="24"/>
            </w:rPr>
            <m:t xml:space="preserve"> </m:t>
          </m:r>
        </m:oMath>
      </m:oMathPara>
    </w:p>
    <w:p w14:paraId="48FFB152" w14:textId="69B1008D" w:rsidR="007523B8" w:rsidRPr="009E06AA" w:rsidRDefault="007523B8" w:rsidP="001E47A3">
      <w:pPr>
        <w:pStyle w:val="BodyText"/>
        <w:spacing w:after="40"/>
        <w:ind w:left="964" w:hanging="964"/>
      </w:pPr>
      <w:r w:rsidRPr="009E06AA">
        <w:t>Where:</w:t>
      </w:r>
      <w:r w:rsidRPr="009E06AA">
        <w:tab/>
        <w:t xml:space="preserve">HI is the crop-specific harvest index or fraction of the crop that is harvested (see annex </w:t>
      </w:r>
      <w:r w:rsidR="00612433" w:rsidRPr="009E06AA">
        <w:t>5</w:t>
      </w:r>
      <w:r w:rsidRPr="009E06AA">
        <w:t>, table A</w:t>
      </w:r>
      <w:r w:rsidR="00612433" w:rsidRPr="009E06AA">
        <w:t>5</w:t>
      </w:r>
      <w:r w:rsidRPr="009E06AA">
        <w:t>.1.8)</w:t>
      </w:r>
    </w:p>
    <w:p w14:paraId="14427BF2" w14:textId="77777777" w:rsidR="007523B8" w:rsidRPr="009E06AA" w:rsidRDefault="007523B8" w:rsidP="001E47A3">
      <w:pPr>
        <w:pStyle w:val="BodyText"/>
        <w:spacing w:before="40" w:after="40"/>
        <w:ind w:left="964" w:hanging="964"/>
      </w:pPr>
      <w:r w:rsidRPr="009E06AA">
        <w:tab/>
        <w:t>Frac</w:t>
      </w:r>
      <w:r w:rsidRPr="009E06AA">
        <w:rPr>
          <w:vertAlign w:val="subscript"/>
        </w:rPr>
        <w:t>BURN</w:t>
      </w:r>
      <w:r w:rsidRPr="009E06AA">
        <w:t xml:space="preserve"> is the fraction of residue burned in the field (see table 5.5.4), and</w:t>
      </w:r>
    </w:p>
    <w:p w14:paraId="5599AEA2" w14:textId="77777777" w:rsidR="007523B8" w:rsidRPr="009E06AA" w:rsidRDefault="007523B8" w:rsidP="007523B8">
      <w:pPr>
        <w:pStyle w:val="BodyText"/>
        <w:spacing w:before="40" w:after="60"/>
        <w:ind w:left="964" w:hanging="964"/>
      </w:pPr>
      <w:r w:rsidRPr="009E06AA">
        <w:tab/>
        <w:t>C</w:t>
      </w:r>
      <w:r w:rsidRPr="009E06AA">
        <w:rPr>
          <w:vertAlign w:val="subscript"/>
        </w:rPr>
        <w:t>f</w:t>
      </w:r>
      <w:r w:rsidRPr="009E06AA">
        <w:t xml:space="preserve"> is the combustion factor; a value of 0.7 is recommended (Thomas et al., 2008).</w:t>
      </w:r>
    </w:p>
    <w:p w14:paraId="03CD4DC7" w14:textId="77777777" w:rsidR="007523B8" w:rsidRPr="009E06AA" w:rsidRDefault="007523B8" w:rsidP="00176AF4">
      <w:pPr>
        <w:pStyle w:val="BodyText"/>
        <w:spacing w:after="100"/>
      </w:pPr>
      <w:r w:rsidRPr="009E06AA">
        <w:t>The country-specific value for Frac</w:t>
      </w:r>
      <w:r w:rsidRPr="009E06AA">
        <w:rPr>
          <w:vertAlign w:val="subscript"/>
        </w:rPr>
        <w:t>BURN</w:t>
      </w:r>
      <w:r w:rsidRPr="009E06AA">
        <w:t xml:space="preserve">, the fraction of residue burned in the field, was derived from Stats NZ data and farmer surveys (Thomas et al., 2011). The parameters used to estimate the nitrogen added by above- and below-ground crop residues were compiled from published and unpublished reports for </w:t>
      </w:r>
      <w:r w:rsidRPr="009E06AA" w:rsidDel="007E2BBB">
        <w:rPr>
          <w:rFonts w:cs="Calibri"/>
        </w:rPr>
        <w:t xml:space="preserve">New </w:t>
      </w:r>
      <w:r w:rsidRPr="009E06AA">
        <w:rPr>
          <w:rFonts w:cs="Calibri"/>
        </w:rPr>
        <w:t>Zealand</w:t>
      </w:r>
      <w:r w:rsidRPr="009E06AA">
        <w:t xml:space="preserve">-grown crops (Cichota et al., 2010) and ‘typical’ values derived for use in the OverseerFM nutrient budget model for </w:t>
      </w:r>
      <w:r w:rsidRPr="009E06AA" w:rsidDel="005C6E2F">
        <w:rPr>
          <w:rFonts w:cs="Calibri"/>
        </w:rPr>
        <w:t>New</w:t>
      </w:r>
      <w:r w:rsidRPr="009E06AA">
        <w:rPr>
          <w:rFonts w:cs="Calibri"/>
        </w:rPr>
        <w:t xml:space="preserve"> Zealand</w:t>
      </w:r>
      <w:r w:rsidRPr="009E06AA">
        <w:t>. The OverseerFM</w:t>
      </w:r>
      <w:r w:rsidRPr="009E06AA" w:rsidDel="00172E39">
        <w:t xml:space="preserve"> </w:t>
      </w:r>
      <w:r w:rsidRPr="009E06AA">
        <w:t>model provides average estimates of the fate of nitrogen for a range of pastoral, arable and horticultural systems (</w:t>
      </w:r>
      <w:hyperlink r:id="rId110" w:history="1">
        <w:r w:rsidRPr="009E06AA">
          <w:rPr>
            <w:rStyle w:val="Hyperlink"/>
          </w:rPr>
          <w:t>www.overseer.org.nz</w:t>
        </w:r>
      </w:hyperlink>
      <w:r w:rsidRPr="009E06AA">
        <w:t xml:space="preserve">). </w:t>
      </w:r>
    </w:p>
    <w:p w14:paraId="762D855C" w14:textId="77777777" w:rsidR="007523B8" w:rsidRPr="009E06AA" w:rsidRDefault="007523B8" w:rsidP="00176AF4">
      <w:pPr>
        <w:pStyle w:val="BodyText"/>
        <w:spacing w:after="100"/>
      </w:pPr>
      <w:r w:rsidRPr="009E06AA">
        <w:t xml:space="preserve">The per-year harvested tonnage of most non-nitrogen-fixing crops in </w:t>
      </w:r>
      <w:r w:rsidRPr="009E06AA" w:rsidDel="004C6248">
        <w:rPr>
          <w:rFonts w:cs="Calibri"/>
        </w:rPr>
        <w:t xml:space="preserve">New </w:t>
      </w:r>
      <w:r w:rsidRPr="009E06AA">
        <w:rPr>
          <w:rFonts w:cs="Calibri"/>
        </w:rPr>
        <w:t>Zealand</w:t>
      </w:r>
      <w:r w:rsidRPr="009E06AA">
        <w:t xml:space="preserve"> is supplied by Stats NZ from its Agricultural Production Census and Survey. Additional information on potatoes is provided by Potatoes New Zealand, and updated information on seed crops is provided by AsureQuality, which provides verification and certification services for the seed industry (Thomas, unpublished; S Thomas, pers. comm., 2014). The tonnage of nitrogen-fixing crops is supplied by Stats NZ from its Agricultural Production Census and Survey (lentils and legumes) and Horticulture New Zealand (peas) (S Thomas, pers. comm., 2014). </w:t>
      </w:r>
    </w:p>
    <w:p w14:paraId="4B6211DB" w14:textId="77777777" w:rsidR="007523B8" w:rsidRPr="009E06AA" w:rsidRDefault="007523B8" w:rsidP="00176AF4">
      <w:pPr>
        <w:pStyle w:val="BodyText"/>
        <w:spacing w:after="100"/>
        <w:rPr>
          <w:rFonts w:cs="Calibri"/>
          <w:spacing w:val="-2"/>
        </w:rPr>
      </w:pPr>
      <w:r w:rsidRPr="009E06AA">
        <w:rPr>
          <w:rFonts w:cs="Calibri"/>
          <w:b/>
          <w:bCs/>
          <w:spacing w:val="-2"/>
        </w:rPr>
        <w:t xml:space="preserve">Nitrogen from pasture renewal: </w:t>
      </w:r>
      <w:r w:rsidRPr="009E06AA">
        <w:rPr>
          <w:rFonts w:cs="Calibri"/>
          <w:spacing w:val="-2"/>
        </w:rPr>
        <w:t xml:space="preserve">Of the four categories of perennial forage that the IPCC (2006) lists for pasture renewal, only two categories are appropriate for </w:t>
      </w:r>
      <w:r w:rsidRPr="009E06AA" w:rsidDel="007662C3">
        <w:rPr>
          <w:rFonts w:cs="Calibri"/>
        </w:rPr>
        <w:t xml:space="preserve">New </w:t>
      </w:r>
      <w:r w:rsidRPr="009E06AA">
        <w:rPr>
          <w:rFonts w:cs="Calibri"/>
        </w:rPr>
        <w:t>Zealand</w:t>
      </w:r>
      <w:r w:rsidRPr="009E06AA">
        <w:rPr>
          <w:rFonts w:cs="Calibri"/>
          <w:spacing w:val="-2"/>
        </w:rPr>
        <w:t xml:space="preserve"> (Thomas et al., 2014): these are grass–clover pastures and lucerne, a nitrogen-fixing perennial forage. </w:t>
      </w:r>
      <w:r w:rsidRPr="009E06AA" w:rsidDel="006A3A7A">
        <w:rPr>
          <w:rFonts w:cs="Calibri"/>
        </w:rPr>
        <w:t xml:space="preserve">New </w:t>
      </w:r>
      <w:r w:rsidRPr="009E06AA">
        <w:rPr>
          <w:rFonts w:cs="Calibri"/>
        </w:rPr>
        <w:t>Zealand</w:t>
      </w:r>
      <w:r w:rsidRPr="009E06AA">
        <w:rPr>
          <w:rFonts w:cs="Calibri"/>
          <w:spacing w:val="-2"/>
        </w:rPr>
        <w:t xml:space="preserve"> has calculated emissions from pasture renewal per plant species type, T, separately:</w:t>
      </w:r>
    </w:p>
    <w:p w14:paraId="0C53ED15" w14:textId="77777777" w:rsidR="007523B8" w:rsidRPr="009E06AA" w:rsidRDefault="008975BF" w:rsidP="007523B8">
      <w:pPr>
        <w:pStyle w:val="BodyText"/>
        <w:spacing w:before="60"/>
        <w:jc w:val="center"/>
      </w:pPr>
      <m:oMathPara>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CR</m:t>
              </m:r>
              <m:r>
                <w:rPr>
                  <w:rFonts w:ascii="Cambria Math" w:hAnsi="Cambria Math"/>
                  <w:sz w:val="24"/>
                  <w:szCs w:val="24"/>
                </w:rPr>
                <m:t>-</m:t>
              </m:r>
              <m:r>
                <w:rPr>
                  <w:rFonts w:ascii="Cambria Math" w:hAnsi="Cambria Math"/>
                  <w:sz w:val="24"/>
                  <w:szCs w:val="24"/>
                </w:rPr>
                <m:t>RENEW</m:t>
              </m:r>
            </m:sub>
          </m:sSub>
          <m:r>
            <w:rPr>
              <w:rFonts w:ascii="Cambria Math" w:hAnsi="Cambria Math"/>
              <w:sz w:val="24"/>
              <w:szCs w:val="24"/>
            </w:rPr>
            <m:t xml:space="preserve">= </m:t>
          </m:r>
          <m:nary>
            <m:naryPr>
              <m:chr m:val="∑"/>
              <m:limLoc m:val="undOvr"/>
              <m:supHide m:val="1"/>
              <m:ctrlPr>
                <w:rPr>
                  <w:rFonts w:ascii="Cambria Math" w:hAnsi="Cambria Math"/>
                  <w:i/>
                  <w:sz w:val="24"/>
                  <w:szCs w:val="24"/>
                </w:rPr>
              </m:ctrlPr>
            </m:naryPr>
            <m:sub>
              <m:r>
                <w:rPr>
                  <w:rFonts w:ascii="Cambria Math" w:hAnsi="Cambria Math"/>
                  <w:sz w:val="24"/>
                  <w:szCs w:val="24"/>
                </w:rPr>
                <m:t>T</m:t>
              </m:r>
            </m:sub>
            <m:sup/>
            <m:e>
              <m:d>
                <m:dPr>
                  <m:begChr m:val="["/>
                  <m:endChr m:val="]"/>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Crop</m:t>
                      </m:r>
                    </m:e>
                    <m:sub>
                      <m:r>
                        <w:rPr>
                          <w:rFonts w:ascii="Cambria Math" w:hAnsi="Cambria Math"/>
                          <w:sz w:val="24"/>
                          <w:szCs w:val="24"/>
                        </w:rPr>
                        <m:t>T</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Area</m:t>
                      </m:r>
                    </m:e>
                    <m:sub>
                      <m:r>
                        <w:rPr>
                          <w:rFonts w:ascii="Cambria Math" w:hAnsi="Cambria Math"/>
                          <w:sz w:val="24"/>
                          <w:szCs w:val="24"/>
                        </w:rPr>
                        <m:t>T</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Frac</m:t>
                      </m:r>
                    </m:e>
                    <m:sub>
                      <m:r>
                        <w:rPr>
                          <w:rFonts w:ascii="Cambria Math" w:hAnsi="Cambria Math"/>
                          <w:sz w:val="24"/>
                          <w:szCs w:val="24"/>
                        </w:rPr>
                        <m:t>RENEW</m:t>
                      </m:r>
                      <m:r>
                        <w:rPr>
                          <w:rFonts w:ascii="Cambria Math" w:hAnsi="Cambria Math"/>
                          <w:sz w:val="24"/>
                          <w:szCs w:val="24"/>
                        </w:rPr>
                        <m:t>(</m:t>
                      </m:r>
                      <m:r>
                        <w:rPr>
                          <w:rFonts w:ascii="Cambria Math" w:hAnsi="Cambria Math"/>
                          <w:sz w:val="24"/>
                          <w:szCs w:val="24"/>
                        </w:rPr>
                        <m:t>T</m:t>
                      </m:r>
                      <m:r>
                        <w:rPr>
                          <w:rFonts w:ascii="Cambria Math" w:hAnsi="Cambria Math"/>
                          <w:sz w:val="24"/>
                          <w:szCs w:val="24"/>
                        </w:rPr>
                        <m:t>)</m:t>
                      </m:r>
                    </m:sub>
                  </m:sSub>
                  <m:r>
                    <w:rPr>
                      <w:rFonts w:ascii="Cambria Math" w:hAnsi="Cambria Math"/>
                      <w:sz w:val="24"/>
                      <w:szCs w:val="24"/>
                    </w:rPr>
                    <m:t>×</m:t>
                  </m:r>
                  <m:d>
                    <m:dPr>
                      <m:begChr m:val="["/>
                      <m:endChr m:val="]"/>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AG</m:t>
                          </m:r>
                          <m:r>
                            <w:rPr>
                              <w:rFonts w:ascii="Cambria Math" w:hAnsi="Cambria Math"/>
                              <w:sz w:val="24"/>
                              <w:szCs w:val="24"/>
                            </w:rPr>
                            <m:t>(</m:t>
                          </m:r>
                          <m:r>
                            <w:rPr>
                              <w:rFonts w:ascii="Cambria Math" w:hAnsi="Cambria Math"/>
                              <w:sz w:val="24"/>
                              <w:szCs w:val="24"/>
                            </w:rPr>
                            <m:t>T</m:t>
                          </m:r>
                          <m:r>
                            <w:rPr>
                              <w:rFonts w:ascii="Cambria Math" w:hAnsi="Cambria Math"/>
                              <w:sz w:val="24"/>
                              <w:szCs w:val="24"/>
                            </w:rPr>
                            <m:t>)</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AG</m:t>
                          </m:r>
                          <m:r>
                            <w:rPr>
                              <w:rFonts w:ascii="Cambria Math" w:hAnsi="Cambria Math"/>
                              <w:sz w:val="24"/>
                              <w:szCs w:val="24"/>
                            </w:rPr>
                            <m:t>(</m:t>
                          </m:r>
                          <m:r>
                            <w:rPr>
                              <w:rFonts w:ascii="Cambria Math" w:hAnsi="Cambria Math"/>
                              <w:sz w:val="24"/>
                              <w:szCs w:val="24"/>
                            </w:rPr>
                            <m:t>T</m:t>
                          </m:r>
                          <m:r>
                            <w:rPr>
                              <w:rFonts w:ascii="Cambria Math" w:hAnsi="Cambria Math"/>
                              <w:sz w:val="24"/>
                              <w:szCs w:val="24"/>
                            </w:rPr>
                            <m:t>)</m:t>
                          </m:r>
                        </m:sub>
                      </m:sSub>
                      <m:r>
                        <w:rPr>
                          <w:rFonts w:ascii="Cambria Math" w:hAnsi="Cambria Math"/>
                          <w:sz w:val="24"/>
                          <w:szCs w:val="24"/>
                        </w:rPr>
                        <m:t>×</m:t>
                      </m:r>
                      <m:d>
                        <m:dPr>
                          <m:ctrlPr>
                            <w:rPr>
                              <w:rFonts w:ascii="Cambria Math" w:hAnsi="Cambria Math"/>
                              <w:i/>
                              <w:sz w:val="24"/>
                              <w:szCs w:val="24"/>
                            </w:rPr>
                          </m:ctrlPr>
                        </m:dPr>
                        <m:e>
                          <m:r>
                            <w:rPr>
                              <w:rFonts w:ascii="Cambria Math" w:hAnsi="Cambria Math"/>
                              <w:sz w:val="24"/>
                              <w:szCs w:val="24"/>
                            </w:rPr>
                            <m:t>1-</m:t>
                          </m:r>
                          <m:sSub>
                            <m:sSubPr>
                              <m:ctrlPr>
                                <w:rPr>
                                  <w:rFonts w:ascii="Cambria Math" w:hAnsi="Cambria Math"/>
                                  <w:i/>
                                  <w:sz w:val="24"/>
                                  <w:szCs w:val="24"/>
                                </w:rPr>
                              </m:ctrlPr>
                            </m:sSubPr>
                            <m:e>
                              <m:r>
                                <w:rPr>
                                  <w:rFonts w:ascii="Cambria Math" w:hAnsi="Cambria Math"/>
                                  <w:sz w:val="24"/>
                                  <w:szCs w:val="24"/>
                                </w:rPr>
                                <m:t>Frac</m:t>
                              </m:r>
                            </m:e>
                            <m:sub>
                              <m:r>
                                <w:rPr>
                                  <w:rFonts w:ascii="Cambria Math" w:hAnsi="Cambria Math"/>
                                  <w:sz w:val="24"/>
                                  <w:szCs w:val="24"/>
                                </w:rPr>
                                <m:t>REMOVE</m:t>
                              </m:r>
                              <m:d>
                                <m:dPr>
                                  <m:ctrlPr>
                                    <w:rPr>
                                      <w:rFonts w:ascii="Cambria Math" w:hAnsi="Cambria Math"/>
                                      <w:i/>
                                      <w:sz w:val="24"/>
                                      <w:szCs w:val="24"/>
                                    </w:rPr>
                                  </m:ctrlPr>
                                </m:dPr>
                                <m:e>
                                  <m:r>
                                    <w:rPr>
                                      <w:rFonts w:ascii="Cambria Math" w:hAnsi="Cambria Math"/>
                                      <w:sz w:val="24"/>
                                      <w:szCs w:val="24"/>
                                    </w:rPr>
                                    <m:t>T</m:t>
                                  </m:r>
                                </m:e>
                              </m:d>
                            </m:sub>
                          </m:sSub>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BG</m:t>
                          </m:r>
                          <m:r>
                            <w:rPr>
                              <w:rFonts w:ascii="Cambria Math" w:hAnsi="Cambria Math"/>
                              <w:sz w:val="24"/>
                              <w:szCs w:val="24"/>
                            </w:rPr>
                            <m:t>(</m:t>
                          </m:r>
                          <m:r>
                            <w:rPr>
                              <w:rFonts w:ascii="Cambria Math" w:hAnsi="Cambria Math"/>
                              <w:sz w:val="24"/>
                              <w:szCs w:val="24"/>
                            </w:rPr>
                            <m:t>T</m:t>
                          </m:r>
                          <m:r>
                            <w:rPr>
                              <w:rFonts w:ascii="Cambria Math" w:hAnsi="Cambria Math"/>
                              <w:sz w:val="24"/>
                              <w:szCs w:val="24"/>
                            </w:rPr>
                            <m:t>)</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BG</m:t>
                          </m:r>
                          <m:r>
                            <w:rPr>
                              <w:rFonts w:ascii="Cambria Math" w:hAnsi="Cambria Math"/>
                              <w:sz w:val="24"/>
                              <w:szCs w:val="24"/>
                            </w:rPr>
                            <m:t>(</m:t>
                          </m:r>
                          <m:r>
                            <w:rPr>
                              <w:rFonts w:ascii="Cambria Math" w:hAnsi="Cambria Math"/>
                              <w:sz w:val="24"/>
                              <w:szCs w:val="24"/>
                            </w:rPr>
                            <m:t>T</m:t>
                          </m:r>
                          <m:r>
                            <w:rPr>
                              <w:rFonts w:ascii="Cambria Math" w:hAnsi="Cambria Math"/>
                              <w:sz w:val="24"/>
                              <w:szCs w:val="24"/>
                            </w:rPr>
                            <m:t>)</m:t>
                          </m:r>
                        </m:sub>
                      </m:sSub>
                    </m:e>
                  </m:d>
                </m:e>
              </m:d>
            </m:e>
          </m:nary>
        </m:oMath>
      </m:oMathPara>
    </w:p>
    <w:p w14:paraId="0ABAEF09" w14:textId="77777777" w:rsidR="007523B8" w:rsidRPr="009E06AA" w:rsidRDefault="007523B8" w:rsidP="007523B8">
      <w:pPr>
        <w:pStyle w:val="BodyText"/>
        <w:spacing w:after="40"/>
        <w:ind w:left="964" w:hanging="964"/>
      </w:pPr>
      <w:r w:rsidRPr="009E06AA">
        <w:t>Where:</w:t>
      </w:r>
      <w:r w:rsidRPr="009E06AA">
        <w:tab/>
        <w:t>Area</w:t>
      </w:r>
      <w:r w:rsidRPr="009E06AA">
        <w:rPr>
          <w:vertAlign w:val="subscript"/>
        </w:rPr>
        <w:t>T</w:t>
      </w:r>
      <w:r w:rsidRPr="009E06AA">
        <w:t xml:space="preserve"> is the total annual area harvested (hectares per year). No burning is used for pasture renewal in </w:t>
      </w:r>
      <w:r w:rsidRPr="009E06AA" w:rsidDel="007A1B1D">
        <w:rPr>
          <w:rFonts w:cs="Calibri"/>
        </w:rPr>
        <w:t xml:space="preserve">New </w:t>
      </w:r>
      <w:r w:rsidRPr="009E06AA">
        <w:rPr>
          <w:rFonts w:cs="Calibri"/>
        </w:rPr>
        <w:t>Zealand</w:t>
      </w:r>
    </w:p>
    <w:p w14:paraId="4070ECC8" w14:textId="77777777" w:rsidR="007523B8" w:rsidRPr="009E06AA" w:rsidRDefault="007523B8" w:rsidP="007523B8">
      <w:pPr>
        <w:pStyle w:val="BodyText"/>
        <w:spacing w:before="40" w:after="40"/>
        <w:ind w:left="964" w:hanging="964"/>
      </w:pPr>
      <w:r w:rsidRPr="009E06AA">
        <w:tab/>
        <w:t>Frac</w:t>
      </w:r>
      <w:r w:rsidRPr="009E06AA">
        <w:rPr>
          <w:vertAlign w:val="subscript"/>
        </w:rPr>
        <w:t>RENEW(T)</w:t>
      </w:r>
      <w:r w:rsidRPr="009E06AA">
        <w:t xml:space="preserve"> is the fraction of the area under each crop that is renewed</w:t>
      </w:r>
    </w:p>
    <w:p w14:paraId="47389D8E" w14:textId="77777777" w:rsidR="007523B8" w:rsidRPr="009E06AA" w:rsidRDefault="007523B8" w:rsidP="007523B8">
      <w:pPr>
        <w:pStyle w:val="BodyText"/>
        <w:spacing w:before="40" w:after="40"/>
        <w:ind w:left="964" w:hanging="964"/>
      </w:pPr>
      <w:r w:rsidRPr="009E06AA">
        <w:tab/>
        <w:t>R</w:t>
      </w:r>
      <w:r w:rsidRPr="009E06AA">
        <w:rPr>
          <w:vertAlign w:val="subscript"/>
        </w:rPr>
        <w:t>AG(T)</w:t>
      </w:r>
      <w:r w:rsidRPr="009E06AA">
        <w:t xml:space="preserve"> is the ratio of above-ground residue dry matter (DM) to harvested yield (kg N/kg DM)</w:t>
      </w:r>
    </w:p>
    <w:p w14:paraId="620135D0" w14:textId="77777777" w:rsidR="007523B8" w:rsidRPr="009E06AA" w:rsidRDefault="007523B8" w:rsidP="007523B8">
      <w:pPr>
        <w:pStyle w:val="BodyText"/>
        <w:spacing w:before="40" w:after="40"/>
        <w:ind w:left="964" w:hanging="964"/>
      </w:pPr>
      <w:r w:rsidRPr="009E06AA">
        <w:tab/>
        <w:t>N</w:t>
      </w:r>
      <w:r w:rsidRPr="009E06AA">
        <w:rPr>
          <w:vertAlign w:val="subscript"/>
        </w:rPr>
        <w:t>AG(T)</w:t>
      </w:r>
      <w:r w:rsidRPr="009E06AA">
        <w:t xml:space="preserve"> is the nitrogen content of above-ground residue (kg N/kg DM)</w:t>
      </w:r>
    </w:p>
    <w:p w14:paraId="637A559C" w14:textId="77777777" w:rsidR="007523B8" w:rsidRPr="009E06AA" w:rsidRDefault="007523B8" w:rsidP="007523B8">
      <w:pPr>
        <w:pStyle w:val="BodyText"/>
        <w:spacing w:before="40" w:after="40"/>
        <w:ind w:left="964" w:hanging="964"/>
      </w:pPr>
      <w:r w:rsidRPr="009E06AA">
        <w:tab/>
        <w:t>Frac</w:t>
      </w:r>
      <w:r w:rsidRPr="009E06AA">
        <w:rPr>
          <w:vertAlign w:val="subscript"/>
        </w:rPr>
        <w:t>REMOVE (T)</w:t>
      </w:r>
      <w:r w:rsidRPr="009E06AA">
        <w:t xml:space="preserve"> is the fraction of above-ground residue removed annually for feed, assumed zero for </w:t>
      </w:r>
      <w:r w:rsidRPr="009E06AA" w:rsidDel="00E30E60">
        <w:rPr>
          <w:rFonts w:cs="Calibri"/>
        </w:rPr>
        <w:t xml:space="preserve">New </w:t>
      </w:r>
      <w:r w:rsidRPr="009E06AA">
        <w:rPr>
          <w:rFonts w:cs="Calibri"/>
        </w:rPr>
        <w:t>Zealand</w:t>
      </w:r>
    </w:p>
    <w:p w14:paraId="673334D6" w14:textId="77777777" w:rsidR="007523B8" w:rsidRPr="009E06AA" w:rsidRDefault="007523B8" w:rsidP="007523B8">
      <w:pPr>
        <w:pStyle w:val="BodyText"/>
        <w:spacing w:before="40" w:after="40"/>
        <w:ind w:left="964" w:hanging="964"/>
      </w:pPr>
      <w:r w:rsidRPr="009E06AA">
        <w:tab/>
        <w:t>R</w:t>
      </w:r>
      <w:r w:rsidRPr="009E06AA">
        <w:rPr>
          <w:vertAlign w:val="subscript"/>
        </w:rPr>
        <w:t>BG(T)</w:t>
      </w:r>
      <w:r w:rsidRPr="009E06AA">
        <w:t xml:space="preserve"> is the ratio of below-ground residue DM to harvest yield (kg N/kg DM), and</w:t>
      </w:r>
    </w:p>
    <w:p w14:paraId="327ED68D" w14:textId="77777777" w:rsidR="007523B8" w:rsidRPr="009E06AA" w:rsidRDefault="007523B8" w:rsidP="007523B8">
      <w:pPr>
        <w:pStyle w:val="BodyText"/>
        <w:spacing w:before="40"/>
        <w:ind w:left="964" w:hanging="964"/>
      </w:pPr>
      <w:r w:rsidRPr="009E06AA">
        <w:tab/>
        <w:t>N</w:t>
      </w:r>
      <w:r w:rsidRPr="009E06AA">
        <w:rPr>
          <w:vertAlign w:val="subscript"/>
        </w:rPr>
        <w:t>BG(T)</w:t>
      </w:r>
      <w:r w:rsidRPr="009E06AA">
        <w:t xml:space="preserve"> is the nitrogen content of below-ground residue (kg N/kg DM).</w:t>
      </w:r>
    </w:p>
    <w:p w14:paraId="46F9ACC6" w14:textId="77777777" w:rsidR="007523B8" w:rsidRPr="009E06AA" w:rsidRDefault="007523B8" w:rsidP="007523B8">
      <w:pPr>
        <w:pStyle w:val="BodyText"/>
        <w:spacing w:before="100" w:after="100"/>
        <w:rPr>
          <w:rFonts w:cs="Calibri"/>
        </w:rPr>
      </w:pPr>
      <w:r w:rsidRPr="009E06AA">
        <w:rPr>
          <w:rFonts w:cs="Calibri"/>
        </w:rPr>
        <w:t>The areas for each perennial forage crop were obtained from the Stats NZ Agricultural Production Census a</w:t>
      </w:r>
      <w:r w:rsidRPr="009E06AA">
        <w:rPr>
          <w:rStyle w:val="BodyTextChar"/>
          <w:rFonts w:cs="Calibri"/>
        </w:rPr>
        <w:t>n</w:t>
      </w:r>
      <w:r w:rsidRPr="009E06AA">
        <w:rPr>
          <w:rFonts w:cs="Calibri"/>
        </w:rPr>
        <w:t xml:space="preserve">d Survey, which include the area of grassland and annual crops from 1990 to 2021. The disaggregation of grass–clover systems has been considered, but there is insufficient activity data for pastures of different compositions in </w:t>
      </w:r>
      <w:r w:rsidRPr="009E06AA" w:rsidDel="00E30E60">
        <w:rPr>
          <w:rFonts w:cs="Calibri"/>
        </w:rPr>
        <w:t xml:space="preserve">New </w:t>
      </w:r>
      <w:r w:rsidRPr="009E06AA">
        <w:rPr>
          <w:rFonts w:cs="Calibri"/>
        </w:rPr>
        <w:t>Zealand because the proportion of clover varies widely in high nitrogen input systems. This means that disaggregated data on the nitrogen content are not currently available.</w:t>
      </w:r>
    </w:p>
    <w:p w14:paraId="736601B1" w14:textId="77777777" w:rsidR="007523B8" w:rsidRPr="009E06AA" w:rsidRDefault="007523B8" w:rsidP="007523B8">
      <w:pPr>
        <w:pStyle w:val="BodyText"/>
        <w:spacing w:before="100" w:after="100"/>
        <w:rPr>
          <w:rFonts w:cs="Calibri"/>
        </w:rPr>
      </w:pPr>
      <w:r w:rsidRPr="009E06AA">
        <w:rPr>
          <w:rFonts w:cs="Calibri"/>
        </w:rPr>
        <w:t>The contribution of crop residues and pasture renewal to overall agricultural emissions is small, with 156.0 kt CO</w:t>
      </w:r>
      <w:r w:rsidRPr="009E06AA">
        <w:rPr>
          <w:rFonts w:cs="Calibri"/>
          <w:vertAlign w:val="subscript"/>
        </w:rPr>
        <w:t>2</w:t>
      </w:r>
      <w:r w:rsidRPr="009E06AA">
        <w:rPr>
          <w:rFonts w:cs="Calibri"/>
        </w:rPr>
        <w:t>-e (0.4 per cent of total agricultural emissions) in 1990 and 225.7 kt CO</w:t>
      </w:r>
      <w:r w:rsidRPr="009E06AA">
        <w:rPr>
          <w:rFonts w:cs="Calibri"/>
          <w:vertAlign w:val="subscript"/>
        </w:rPr>
        <w:t>2</w:t>
      </w:r>
      <w:r w:rsidRPr="009E06AA">
        <w:rPr>
          <w:rFonts w:cs="Calibri"/>
        </w:rPr>
        <w:noBreakHyphen/>
        <w:t>e (0.5 per cent of total agricultural emissions) in 2022.</w:t>
      </w:r>
    </w:p>
    <w:p w14:paraId="2B5BD45F" w14:textId="77777777" w:rsidR="007523B8" w:rsidRPr="009E06AA" w:rsidRDefault="007523B8" w:rsidP="00BF2A76">
      <w:pPr>
        <w:pStyle w:val="Heading5"/>
      </w:pPr>
      <w:r w:rsidRPr="009E06AA">
        <w:t>Nitrogen mineralisation from loss of soil organic matter in mineral soils (3.D.1.5)</w:t>
      </w:r>
    </w:p>
    <w:p w14:paraId="7CEEF7BB" w14:textId="77777777" w:rsidR="007523B8" w:rsidRPr="009E06AA" w:rsidRDefault="007523B8" w:rsidP="007523B8">
      <w:pPr>
        <w:pStyle w:val="BodyText"/>
        <w:spacing w:before="100" w:after="100"/>
        <w:rPr>
          <w:rFonts w:cs="Calibri"/>
        </w:rPr>
      </w:pPr>
      <w:r w:rsidRPr="009E06AA">
        <w:rPr>
          <w:rFonts w:cs="Calibri"/>
        </w:rPr>
        <w:t>Nitrogen mineralisation is the process by which organic nitrogen is converted to plant-available inorganic forms. Nitrogen mineralisation occurs when soil carbon is lost due to land</w:t>
      </w:r>
      <w:r w:rsidRPr="009E06AA">
        <w:rPr>
          <w:rFonts w:cs="Calibri"/>
        </w:rPr>
        <w:noBreakHyphen/>
        <w:t xml:space="preserve">use or management change. Most of New Zealand’s emissions from nitrogen mineralised during the loss of soil organic matter are covered under the Land Use, Land-Use Change and Forestry (LULUCF) sector. The exception is for activities in the </w:t>
      </w:r>
      <w:r w:rsidRPr="009E06AA">
        <w:rPr>
          <w:rFonts w:cs="Calibri"/>
          <w:i/>
          <w:iCs/>
        </w:rPr>
        <w:t>Cropland remaining cropland</w:t>
      </w:r>
      <w:r w:rsidRPr="009E06AA">
        <w:rPr>
          <w:rFonts w:cs="Calibri"/>
        </w:rPr>
        <w:t xml:space="preserve"> land use category, which are reported under the Agriculture sector (IPCC, 2006). </w:t>
      </w:r>
    </w:p>
    <w:p w14:paraId="76A2BC1D" w14:textId="77777777" w:rsidR="007523B8" w:rsidRPr="009E06AA" w:rsidRDefault="007523B8" w:rsidP="007523B8">
      <w:pPr>
        <w:pStyle w:val="BodyText"/>
        <w:spacing w:before="100" w:after="60"/>
        <w:rPr>
          <w:rFonts w:cs="Calibri"/>
        </w:rPr>
      </w:pPr>
      <w:r w:rsidRPr="009E06AA">
        <w:rPr>
          <w:rFonts w:cs="Calibri"/>
        </w:rPr>
        <w:t>The following equations are used to determine emissions from this activity:</w:t>
      </w:r>
    </w:p>
    <w:bookmarkStart w:id="1334" w:name="_1767786284"/>
    <w:bookmarkStart w:id="1335" w:name="_1767789063"/>
    <w:bookmarkEnd w:id="1334"/>
    <w:bookmarkEnd w:id="1335"/>
    <w:p w14:paraId="5C17960D" w14:textId="77777777" w:rsidR="007523B8" w:rsidRPr="009E06AA" w:rsidRDefault="008975BF" w:rsidP="007523B8">
      <w:pPr>
        <w:pStyle w:val="BodyText"/>
        <w:spacing w:before="20" w:after="20"/>
        <w:jc w:val="center"/>
        <w:rPr>
          <w:rFonts w:ascii="Cambria Math" w:hAnsi="Cambria Math" w:cs="Calibri"/>
          <w:i/>
          <w:sz w:val="24"/>
          <w:szCs w:val="24"/>
        </w:rPr>
      </w:pPr>
      <m:oMathPara>
        <m:oMath>
          <m:sSub>
            <m:sSubPr>
              <m:ctrlPr>
                <w:rPr>
                  <w:rFonts w:ascii="Cambria Math" w:hAnsi="Cambria Math"/>
                  <w:i/>
                  <w:iCs/>
                  <w:sz w:val="24"/>
                  <w:szCs w:val="24"/>
                </w:rPr>
              </m:ctrlPr>
            </m:sSubPr>
            <m:e>
              <m:r>
                <w:rPr>
                  <w:rFonts w:ascii="Cambria Math" w:hAnsi="Cambria Math"/>
                  <w:sz w:val="24"/>
                  <w:szCs w:val="24"/>
                </w:rPr>
                <m:t>N</m:t>
              </m:r>
            </m:e>
            <m:sub>
              <m:r>
                <w:rPr>
                  <w:rFonts w:ascii="Cambria Math" w:hAnsi="Cambria Math"/>
                  <w:sz w:val="24"/>
                  <w:szCs w:val="24"/>
                </w:rPr>
                <m:t>2</m:t>
              </m:r>
            </m:sub>
          </m:sSub>
          <m:sSub>
            <m:sSubPr>
              <m:ctrlPr>
                <w:rPr>
                  <w:rFonts w:ascii="Cambria Math" w:hAnsi="Cambria Math"/>
                  <w:i/>
                  <w:iCs/>
                  <w:sz w:val="24"/>
                  <w:szCs w:val="24"/>
                </w:rPr>
              </m:ctrlPr>
            </m:sSubPr>
            <m:e>
              <m:r>
                <w:rPr>
                  <w:rFonts w:ascii="Cambria Math" w:hAnsi="Cambria Math"/>
                  <w:sz w:val="24"/>
                  <w:szCs w:val="24"/>
                </w:rPr>
                <m:t>O</m:t>
              </m:r>
            </m:e>
            <m:sub>
              <m:r>
                <w:rPr>
                  <w:rFonts w:ascii="Cambria Math" w:hAnsi="Cambria Math"/>
                  <w:sz w:val="24"/>
                  <w:szCs w:val="24"/>
                </w:rPr>
                <m:t>FSOM</m:t>
              </m:r>
            </m:sub>
          </m:sSub>
          <m:r>
            <w:rPr>
              <w:rFonts w:ascii="Cambria Math" w:hAnsi="Cambria Math"/>
              <w:sz w:val="24"/>
              <w:szCs w:val="24"/>
            </w:rPr>
            <m:t>=</m:t>
          </m:r>
          <m:f>
            <m:fPr>
              <m:ctrlPr>
                <w:rPr>
                  <w:rFonts w:ascii="Cambria Math" w:hAnsi="Cambria Math"/>
                  <w:i/>
                  <w:iCs/>
                  <w:sz w:val="24"/>
                  <w:szCs w:val="24"/>
                </w:rPr>
              </m:ctrlPr>
            </m:fPr>
            <m:num>
              <m:r>
                <w:rPr>
                  <w:rFonts w:ascii="Cambria Math" w:hAnsi="Cambria Math"/>
                  <w:sz w:val="24"/>
                  <w:szCs w:val="24"/>
                </w:rPr>
                <m:t>44</m:t>
              </m:r>
            </m:num>
            <m:den>
              <m:r>
                <w:rPr>
                  <w:rFonts w:ascii="Cambria Math" w:hAnsi="Cambria Math"/>
                  <w:sz w:val="24"/>
                  <w:szCs w:val="24"/>
                </w:rPr>
                <m:t>28</m:t>
              </m:r>
            </m:den>
          </m:f>
          <m:d>
            <m:dPr>
              <m:ctrlPr>
                <w:rPr>
                  <w:rFonts w:ascii="Cambria Math" w:hAnsi="Cambria Math"/>
                  <w:i/>
                  <w:iCs/>
                  <w:sz w:val="24"/>
                  <w:szCs w:val="24"/>
                </w:rPr>
              </m:ctrlPr>
            </m:dPr>
            <m:e>
              <m:sSub>
                <m:sSubPr>
                  <m:ctrlPr>
                    <w:rPr>
                      <w:rFonts w:ascii="Cambria Math" w:hAnsi="Cambria Math"/>
                      <w:i/>
                      <w:iCs/>
                      <w:sz w:val="24"/>
                      <w:szCs w:val="24"/>
                    </w:rPr>
                  </m:ctrlPr>
                </m:sSubPr>
                <m:e>
                  <m:r>
                    <w:rPr>
                      <w:rFonts w:ascii="Cambria Math" w:hAnsi="Cambria Math"/>
                      <w:sz w:val="24"/>
                      <w:szCs w:val="24"/>
                    </w:rPr>
                    <m:t>F</m:t>
                  </m:r>
                </m:e>
                <m:sub>
                  <m:r>
                    <w:rPr>
                      <w:rFonts w:ascii="Cambria Math" w:hAnsi="Cambria Math"/>
                      <w:sz w:val="24"/>
                      <w:szCs w:val="24"/>
                    </w:rPr>
                    <m:t>SOM</m:t>
                  </m:r>
                </m:sub>
              </m:sSub>
              <m:r>
                <w:rPr>
                  <w:rFonts w:ascii="Cambria Math" w:hAnsi="Cambria Math"/>
                  <w:sz w:val="24"/>
                  <w:szCs w:val="24"/>
                </w:rPr>
                <m:t>∙</m:t>
              </m:r>
              <m:sSub>
                <m:sSubPr>
                  <m:ctrlPr>
                    <w:rPr>
                      <w:rFonts w:ascii="Cambria Math" w:hAnsi="Cambria Math"/>
                      <w:i/>
                      <w:iCs/>
                      <w:sz w:val="24"/>
                      <w:szCs w:val="24"/>
                    </w:rPr>
                  </m:ctrlPr>
                </m:sSubPr>
                <m:e>
                  <m:r>
                    <w:rPr>
                      <w:rFonts w:ascii="Cambria Math" w:hAnsi="Cambria Math"/>
                      <w:sz w:val="24"/>
                      <w:szCs w:val="24"/>
                    </w:rPr>
                    <m:t>EF</m:t>
                  </m:r>
                </m:e>
                <m:sub>
                  <m:r>
                    <w:rPr>
                      <w:rFonts w:ascii="Cambria Math" w:hAnsi="Cambria Math"/>
                      <w:sz w:val="24"/>
                      <w:szCs w:val="24"/>
                    </w:rPr>
                    <m:t>1</m:t>
                  </m:r>
                </m:sub>
              </m:sSub>
            </m:e>
          </m:d>
          <m:r>
            <w:rPr>
              <w:rFonts w:ascii="Cambria Math" w:hAnsi="Cambria Math"/>
              <w:sz w:val="24"/>
              <w:szCs w:val="24"/>
            </w:rPr>
            <m:t>∙</m:t>
          </m:r>
          <m:sSup>
            <m:sSupPr>
              <m:ctrlPr>
                <w:rPr>
                  <w:rFonts w:ascii="Cambria Math" w:hAnsi="Cambria Math"/>
                  <w:i/>
                  <w:iCs/>
                  <w:sz w:val="24"/>
                  <w:szCs w:val="24"/>
                </w:rPr>
              </m:ctrlPr>
            </m:sSupPr>
            <m:e>
              <m:r>
                <w:rPr>
                  <w:rFonts w:ascii="Cambria Math" w:hAnsi="Cambria Math"/>
                  <w:sz w:val="24"/>
                  <w:szCs w:val="24"/>
                </w:rPr>
                <m:t>10</m:t>
              </m:r>
            </m:e>
            <m:sup>
              <m:r>
                <w:rPr>
                  <w:rFonts w:ascii="Cambria Math" w:hAnsi="Cambria Math"/>
                  <w:sz w:val="24"/>
                  <w:szCs w:val="24"/>
                </w:rPr>
                <m:t>-6</m:t>
              </m:r>
            </m:sup>
          </m:sSup>
          <m:r>
            <w:rPr>
              <w:rFonts w:ascii="Cambria Math" w:hAnsi="Cambria Math" w:cs="Calibri"/>
              <w:sz w:val="24"/>
              <w:szCs w:val="24"/>
            </w:rPr>
            <m:t xml:space="preserve"> </m:t>
          </m:r>
        </m:oMath>
      </m:oMathPara>
    </w:p>
    <w:p w14:paraId="0FE451C2" w14:textId="77777777" w:rsidR="007523B8" w:rsidRPr="009E06AA" w:rsidRDefault="007523B8" w:rsidP="007523B8">
      <w:pPr>
        <w:pStyle w:val="BodyText"/>
        <w:spacing w:after="40"/>
        <w:ind w:left="964" w:hanging="964"/>
        <w:rPr>
          <w:rFonts w:cs="Calibri"/>
        </w:rPr>
      </w:pPr>
      <w:r w:rsidRPr="009E06AA">
        <w:rPr>
          <w:rFonts w:cs="Calibri"/>
        </w:rPr>
        <w:t>Where:</w:t>
      </w:r>
      <w:r w:rsidRPr="009E06AA">
        <w:rPr>
          <w:rFonts w:cs="Calibri"/>
        </w:rPr>
        <w:tab/>
        <w:t>N</w:t>
      </w:r>
      <w:r w:rsidRPr="009E06AA">
        <w:rPr>
          <w:rFonts w:cs="Calibri"/>
          <w:vertAlign w:val="subscript"/>
        </w:rPr>
        <w:t>2</w:t>
      </w:r>
      <w:r w:rsidRPr="009E06AA">
        <w:rPr>
          <w:rFonts w:cs="Calibri"/>
        </w:rPr>
        <w:t>O</w:t>
      </w:r>
      <w:r w:rsidRPr="009E06AA">
        <w:rPr>
          <w:rFonts w:cs="Calibri"/>
          <w:vertAlign w:val="subscript"/>
        </w:rPr>
        <w:t>FSOM</w:t>
      </w:r>
      <w:r w:rsidRPr="009E06AA">
        <w:rPr>
          <w:rFonts w:cs="Calibri"/>
        </w:rPr>
        <w:t xml:space="preserve"> is the N</w:t>
      </w:r>
      <w:r w:rsidRPr="009E06AA">
        <w:rPr>
          <w:rFonts w:cs="Calibri"/>
          <w:vertAlign w:val="subscript"/>
        </w:rPr>
        <w:t>2</w:t>
      </w:r>
      <w:r w:rsidRPr="009E06AA">
        <w:rPr>
          <w:rFonts w:cs="Calibri"/>
        </w:rPr>
        <w:t>O emitted as a result of nitrogen mineralisation from loss of soil organic matter in mineral soils (kt), and</w:t>
      </w:r>
    </w:p>
    <w:p w14:paraId="45213B92" w14:textId="77777777" w:rsidR="007523B8" w:rsidRPr="009E06AA" w:rsidRDefault="007523B8" w:rsidP="007523B8">
      <w:pPr>
        <w:pStyle w:val="BodyText"/>
        <w:spacing w:before="60" w:after="40"/>
        <w:ind w:left="964" w:hanging="964"/>
        <w:rPr>
          <w:rFonts w:cs="Calibri"/>
        </w:rPr>
      </w:pPr>
      <w:r w:rsidRPr="009E06AA">
        <w:rPr>
          <w:rFonts w:cs="Calibri"/>
        </w:rPr>
        <w:tab/>
        <w:t>F</w:t>
      </w:r>
      <w:r w:rsidRPr="009E06AA">
        <w:rPr>
          <w:rFonts w:cs="Calibri"/>
          <w:vertAlign w:val="subscript"/>
        </w:rPr>
        <w:t>SOM</w:t>
      </w:r>
      <w:r w:rsidRPr="009E06AA">
        <w:rPr>
          <w:rFonts w:cs="Calibri"/>
        </w:rPr>
        <w:t xml:space="preserve"> is the nitrogen mineralisation from loss of soil organic matter in mineral soils through land management for </w:t>
      </w:r>
      <w:r w:rsidRPr="009E06AA">
        <w:rPr>
          <w:rFonts w:cs="Calibri"/>
          <w:i/>
          <w:iCs/>
        </w:rPr>
        <w:t>Cropland remaining cropland</w:t>
      </w:r>
      <w:r w:rsidRPr="009E06AA">
        <w:rPr>
          <w:rFonts w:cs="Calibri"/>
        </w:rPr>
        <w:t xml:space="preserve"> (kg)</w:t>
      </w:r>
    </w:p>
    <w:p w14:paraId="26F71D71" w14:textId="77777777" w:rsidR="007523B8" w:rsidRPr="009E06AA" w:rsidRDefault="007523B8" w:rsidP="007523B8">
      <w:pPr>
        <w:pStyle w:val="BodyText"/>
        <w:spacing w:before="60"/>
        <w:ind w:left="964" w:hanging="964"/>
        <w:rPr>
          <w:rFonts w:cs="Calibri"/>
        </w:rPr>
      </w:pPr>
      <w:r w:rsidRPr="009E06AA">
        <w:rPr>
          <w:rFonts w:cs="Calibri"/>
        </w:rPr>
        <w:tab/>
        <w:t>The emission factor EF</w:t>
      </w:r>
      <w:r w:rsidRPr="009E06AA">
        <w:rPr>
          <w:rFonts w:cs="Calibri"/>
          <w:vertAlign w:val="subscript"/>
        </w:rPr>
        <w:t>1</w:t>
      </w:r>
      <w:r w:rsidRPr="009E06AA">
        <w:rPr>
          <w:rFonts w:cs="Calibri"/>
        </w:rPr>
        <w:t xml:space="preserve"> is 0.01 (Kelliher and de Klein, unpublished).</w:t>
      </w:r>
    </w:p>
    <w:p w14:paraId="713143E0" w14:textId="77777777" w:rsidR="007523B8" w:rsidRPr="009E06AA" w:rsidRDefault="007523B8" w:rsidP="007523B8">
      <w:pPr>
        <w:pStyle w:val="BodyText"/>
        <w:keepNext/>
        <w:spacing w:after="60"/>
        <w:rPr>
          <w:rFonts w:cs="Calibri"/>
        </w:rPr>
      </w:pPr>
      <w:r w:rsidRPr="009E06AA">
        <w:rPr>
          <w:rFonts w:cs="Calibri"/>
        </w:rPr>
        <w:t>And:</w:t>
      </w:r>
    </w:p>
    <w:bookmarkStart w:id="1336" w:name="_1767786299"/>
    <w:bookmarkStart w:id="1337" w:name="_1767789137"/>
    <w:bookmarkEnd w:id="1336"/>
    <w:bookmarkEnd w:id="1337"/>
    <w:p w14:paraId="0A05E1B0" w14:textId="77777777" w:rsidR="007523B8" w:rsidRPr="009E06AA" w:rsidRDefault="008975BF" w:rsidP="007523B8">
      <w:pPr>
        <w:pStyle w:val="BodyText"/>
        <w:spacing w:before="0"/>
        <w:jc w:val="center"/>
        <w:rPr>
          <w:rFonts w:ascii="Cambria Math" w:hAnsi="Cambria Math" w:cs="Calibri"/>
          <w:i/>
          <w:sz w:val="24"/>
          <w:szCs w:val="24"/>
        </w:rPr>
      </w:pPr>
      <m:oMathPara>
        <m:oMath>
          <m:sSub>
            <m:sSubPr>
              <m:ctrlPr>
                <w:rPr>
                  <w:rFonts w:ascii="Cambria Math" w:hAnsi="Cambria Math"/>
                  <w:i/>
                  <w:iCs/>
                  <w:sz w:val="24"/>
                  <w:szCs w:val="24"/>
                </w:rPr>
              </m:ctrlPr>
            </m:sSubPr>
            <m:e>
              <m:r>
                <w:rPr>
                  <w:rFonts w:ascii="Cambria Math" w:hAnsi="Cambria Math"/>
                  <w:sz w:val="24"/>
                  <w:szCs w:val="24"/>
                </w:rPr>
                <m:t>F</m:t>
              </m:r>
            </m:e>
            <m:sub>
              <m:r>
                <w:rPr>
                  <w:rFonts w:ascii="Cambria Math" w:hAnsi="Cambria Math"/>
                  <w:sz w:val="24"/>
                  <w:szCs w:val="24"/>
                </w:rPr>
                <m:t>SOM</m:t>
              </m:r>
            </m:sub>
          </m:sSub>
          <m:r>
            <w:rPr>
              <w:rFonts w:ascii="Cambria Math" w:hAnsi="Cambria Math"/>
              <w:sz w:val="24"/>
              <w:szCs w:val="24"/>
            </w:rPr>
            <m:t>=</m:t>
          </m:r>
          <m:f>
            <m:fPr>
              <m:ctrlPr>
                <w:rPr>
                  <w:rFonts w:ascii="Cambria Math" w:hAnsi="Cambria Math"/>
                  <w:i/>
                  <w:iCs/>
                  <w:sz w:val="24"/>
                  <w:szCs w:val="24"/>
                </w:rPr>
              </m:ctrlPr>
            </m:fPr>
            <m:num>
              <m:r>
                <w:rPr>
                  <w:rFonts w:ascii="Cambria Math" w:hAnsi="Cambria Math"/>
                  <w:sz w:val="24"/>
                  <w:szCs w:val="24"/>
                </w:rPr>
                <m:t>∆</m:t>
              </m:r>
              <m:sSub>
                <m:sSubPr>
                  <m:ctrlPr>
                    <w:rPr>
                      <w:rFonts w:ascii="Cambria Math" w:hAnsi="Cambria Math"/>
                      <w:i/>
                      <w:iCs/>
                      <w:sz w:val="24"/>
                      <w:szCs w:val="24"/>
                    </w:rPr>
                  </m:ctrlPr>
                </m:sSubPr>
                <m:e>
                  <m:r>
                    <w:rPr>
                      <w:rFonts w:ascii="Cambria Math" w:hAnsi="Cambria Math"/>
                      <w:sz w:val="24"/>
                      <w:szCs w:val="24"/>
                    </w:rPr>
                    <m:t>C</m:t>
                  </m:r>
                </m:e>
                <m:sub>
                  <m:r>
                    <w:rPr>
                      <w:rFonts w:ascii="Cambria Math" w:hAnsi="Cambria Math"/>
                      <w:sz w:val="24"/>
                      <w:szCs w:val="24"/>
                    </w:rPr>
                    <m:t>Mineral</m:t>
                  </m:r>
                  <m:r>
                    <w:rPr>
                      <w:rFonts w:ascii="Cambria Math" w:hAnsi="Cambria Math"/>
                      <w:sz w:val="24"/>
                      <w:szCs w:val="24"/>
                    </w:rPr>
                    <m:t>,</m:t>
                  </m:r>
                  <m:r>
                    <w:rPr>
                      <w:rFonts w:ascii="Cambria Math" w:hAnsi="Cambria Math"/>
                      <w:sz w:val="24"/>
                      <w:szCs w:val="24"/>
                    </w:rPr>
                    <m:t>CrC</m:t>
                  </m:r>
                </m:sub>
              </m:sSub>
            </m:num>
            <m:den>
              <m:r>
                <w:rPr>
                  <w:rFonts w:ascii="Cambria Math" w:hAnsi="Cambria Math"/>
                  <w:sz w:val="24"/>
                  <w:szCs w:val="24"/>
                </w:rPr>
                <m:t>R</m:t>
              </m:r>
            </m:den>
          </m:f>
          <m:r>
            <w:rPr>
              <w:rFonts w:ascii="Cambria Math" w:hAnsi="Cambria Math"/>
              <w:sz w:val="24"/>
              <w:szCs w:val="24"/>
            </w:rPr>
            <m:t>∙</m:t>
          </m:r>
          <m:sSup>
            <m:sSupPr>
              <m:ctrlPr>
                <w:rPr>
                  <w:rFonts w:ascii="Cambria Math" w:hAnsi="Cambria Math"/>
                  <w:i/>
                  <w:iCs/>
                  <w:sz w:val="24"/>
                  <w:szCs w:val="24"/>
                </w:rPr>
              </m:ctrlPr>
            </m:sSupPr>
            <m:e>
              <m:r>
                <w:rPr>
                  <w:rFonts w:ascii="Cambria Math" w:hAnsi="Cambria Math"/>
                  <w:sz w:val="24"/>
                  <w:szCs w:val="24"/>
                </w:rPr>
                <m:t>10</m:t>
              </m:r>
            </m:e>
            <m:sup>
              <m:r>
                <w:rPr>
                  <w:rFonts w:ascii="Cambria Math" w:hAnsi="Cambria Math"/>
                  <w:sz w:val="24"/>
                  <w:szCs w:val="24"/>
                </w:rPr>
                <m:t>3</m:t>
              </m:r>
            </m:sup>
          </m:sSup>
          <m:r>
            <w:rPr>
              <w:rFonts w:ascii="Cambria Math" w:hAnsi="Cambria Math" w:cs="Calibri"/>
              <w:sz w:val="24"/>
              <w:szCs w:val="24"/>
            </w:rPr>
            <m:t xml:space="preserve"> </m:t>
          </m:r>
        </m:oMath>
      </m:oMathPara>
    </w:p>
    <w:p w14:paraId="1EAFD36A" w14:textId="77777777" w:rsidR="007523B8" w:rsidRPr="009E06AA" w:rsidRDefault="007523B8" w:rsidP="007523B8">
      <w:pPr>
        <w:pStyle w:val="BodyText"/>
        <w:spacing w:after="40"/>
        <w:ind w:left="964" w:hanging="964"/>
        <w:rPr>
          <w:rFonts w:cs="Calibri"/>
        </w:rPr>
      </w:pPr>
      <w:r w:rsidRPr="009E06AA">
        <w:rPr>
          <w:rFonts w:cs="Calibri"/>
        </w:rPr>
        <w:t>Where:</w:t>
      </w:r>
      <w:r w:rsidRPr="009E06AA">
        <w:rPr>
          <w:rFonts w:cs="Calibri"/>
        </w:rPr>
        <w:tab/>
        <w:t>∆C</w:t>
      </w:r>
      <w:r w:rsidRPr="009E06AA">
        <w:rPr>
          <w:rFonts w:cs="Calibri"/>
          <w:vertAlign w:val="subscript"/>
        </w:rPr>
        <w:t>Mineral,CrC</w:t>
      </w:r>
      <w:r w:rsidRPr="009E06AA">
        <w:rPr>
          <w:rFonts w:cs="Calibri"/>
        </w:rPr>
        <w:t xml:space="preserve"> is the loss of soil carbon (C) in mineral soil during management of cropland (kt), and</w:t>
      </w:r>
    </w:p>
    <w:p w14:paraId="5A4E3F01" w14:textId="77777777" w:rsidR="007523B8" w:rsidRPr="009E06AA" w:rsidRDefault="007523B8" w:rsidP="007523B8">
      <w:pPr>
        <w:pStyle w:val="BodyText"/>
        <w:spacing w:before="40"/>
        <w:ind w:left="964" w:hanging="964"/>
        <w:rPr>
          <w:rFonts w:cs="Calibri"/>
        </w:rPr>
      </w:pPr>
      <w:r w:rsidRPr="009E06AA">
        <w:rPr>
          <w:rFonts w:cs="Calibri"/>
        </w:rPr>
        <w:tab/>
        <w:t>R is the C:N ratio; the IPCC (2006) default value of 10 is used.</w:t>
      </w:r>
    </w:p>
    <w:p w14:paraId="06D3FDBB" w14:textId="77777777" w:rsidR="007523B8" w:rsidRPr="009E06AA" w:rsidRDefault="007523B8" w:rsidP="007523B8">
      <w:pPr>
        <w:pStyle w:val="BodyText"/>
        <w:spacing w:before="100" w:after="100"/>
      </w:pPr>
      <w:r w:rsidRPr="009E06AA">
        <w:t>Activity data on the soil carbon loss associated with cropland since 1990 were provided by calculations under the LULUCF sector (see chapter 6, section 6.5).</w:t>
      </w:r>
    </w:p>
    <w:p w14:paraId="0DB9A5C9" w14:textId="77777777" w:rsidR="007523B8" w:rsidRPr="009E06AA" w:rsidRDefault="007523B8" w:rsidP="007523B8">
      <w:pPr>
        <w:pStyle w:val="BodyText"/>
        <w:spacing w:before="100" w:after="100"/>
      </w:pPr>
      <w:r w:rsidRPr="009E06AA">
        <w:t>The contribution of nitrogen mineralisation from loss of soil organic matter to overall agricultural emissions is small, with 0.03 kt CO</w:t>
      </w:r>
      <w:r w:rsidRPr="009E06AA">
        <w:rPr>
          <w:vertAlign w:val="subscript"/>
        </w:rPr>
        <w:t>2</w:t>
      </w:r>
      <w:r w:rsidRPr="009E06AA">
        <w:t>-e in 1990 and 0.14 kt CO</w:t>
      </w:r>
      <w:r w:rsidRPr="009E06AA">
        <w:rPr>
          <w:vertAlign w:val="subscript"/>
        </w:rPr>
        <w:t>2</w:t>
      </w:r>
      <w:r w:rsidRPr="009E06AA">
        <w:t>-e in 2022.</w:t>
      </w:r>
    </w:p>
    <w:p w14:paraId="2619C200" w14:textId="77777777" w:rsidR="007523B8" w:rsidRPr="009E06AA" w:rsidRDefault="007523B8" w:rsidP="00BF2A76">
      <w:pPr>
        <w:pStyle w:val="Heading5"/>
      </w:pPr>
      <w:bookmarkStart w:id="1338" w:name="_Hlk58833796"/>
      <w:r w:rsidRPr="009E06AA">
        <w:t xml:space="preserve">Cultivation (management) of organic soils </w:t>
      </w:r>
      <w:bookmarkEnd w:id="1338"/>
      <w:r w:rsidRPr="009E06AA">
        <w:t>(3.D.1.6)</w:t>
      </w:r>
    </w:p>
    <w:p w14:paraId="45343365" w14:textId="77777777" w:rsidR="007523B8" w:rsidRPr="009E06AA" w:rsidRDefault="007523B8" w:rsidP="007523B8">
      <w:pPr>
        <w:pStyle w:val="BodyText"/>
      </w:pPr>
      <w:r w:rsidRPr="009E06AA">
        <w:t>The management of organic soils is a source of N</w:t>
      </w:r>
      <w:r w:rsidRPr="009E06AA">
        <w:rPr>
          <w:vertAlign w:val="subscript"/>
        </w:rPr>
        <w:t>2</w:t>
      </w:r>
      <w:r w:rsidRPr="009E06AA">
        <w:t xml:space="preserve">O emissions. The area of managed organic soils (histosols) in </w:t>
      </w:r>
      <w:r w:rsidRPr="009E06AA" w:rsidDel="00FB12F4">
        <w:rPr>
          <w:rFonts w:cs="Calibri"/>
        </w:rPr>
        <w:t xml:space="preserve">New </w:t>
      </w:r>
      <w:r w:rsidRPr="009E06AA">
        <w:rPr>
          <w:rFonts w:cs="Calibri"/>
        </w:rPr>
        <w:t>Zealand</w:t>
      </w:r>
      <w:r w:rsidRPr="009E06AA">
        <w:t xml:space="preserve"> includes both the area of managed organic soils (as reported under the LULUCF sector) and the area of mineral agricultural soils with a peaty layer that is cultivated (Dresser et al., 2011). Mineral soils with a peaty layer are included in the definition of organic soils because these soils have similar emissions behaviour to that of organic soils (Dresser et al., 2011). The full definition used in the Agriculture sector for organic soils (plus mineral soils with a peaty layer) is: </w:t>
      </w:r>
    </w:p>
    <w:p w14:paraId="7EA488C6" w14:textId="77777777" w:rsidR="007523B8" w:rsidRPr="009E06AA" w:rsidRDefault="007523B8" w:rsidP="007523B8">
      <w:pPr>
        <w:pStyle w:val="Bullet"/>
        <w:numPr>
          <w:ilvl w:val="0"/>
          <w:numId w:val="25"/>
        </w:numPr>
        <w:spacing w:after="100"/>
      </w:pPr>
      <w:r w:rsidRPr="009E06AA">
        <w:t>at least 17 per cent organic matter content (includes slightly peaty, peaty and peat soils)</w:t>
      </w:r>
    </w:p>
    <w:p w14:paraId="09200107" w14:textId="77777777" w:rsidR="007523B8" w:rsidRPr="009E06AA" w:rsidRDefault="007523B8" w:rsidP="007523B8">
      <w:pPr>
        <w:pStyle w:val="Bullet"/>
        <w:numPr>
          <w:ilvl w:val="0"/>
          <w:numId w:val="25"/>
        </w:numPr>
        <w:spacing w:after="100"/>
      </w:pPr>
      <w:r w:rsidRPr="009E06AA">
        <w:t>0.1 metres of this depth occurring within 0.3 metres of the surface.</w:t>
      </w:r>
    </w:p>
    <w:p w14:paraId="2BD42F01" w14:textId="77777777" w:rsidR="007523B8" w:rsidRPr="009E06AA" w:rsidRDefault="007523B8" w:rsidP="00176AF4">
      <w:pPr>
        <w:pStyle w:val="BodyText"/>
      </w:pPr>
      <w:r w:rsidRPr="009E06AA">
        <w:t xml:space="preserve">The total area of managed and cultivated organic soils in </w:t>
      </w:r>
      <w:r w:rsidRPr="009E06AA" w:rsidDel="00ED3BC1">
        <w:rPr>
          <w:rFonts w:cs="Calibri"/>
        </w:rPr>
        <w:t xml:space="preserve">New </w:t>
      </w:r>
      <w:r w:rsidRPr="009E06AA">
        <w:rPr>
          <w:rFonts w:cs="Calibri"/>
        </w:rPr>
        <w:t>Zealand</w:t>
      </w:r>
      <w:r w:rsidRPr="009E06AA">
        <w:t xml:space="preserve"> in 2022 was 177,147 hectares, with 94.3 per cent of this area on grassland and 5.7 per cent on cropland. It is assumed that all of this area meets the definition of ‘managed’ for the purpose of estimating emissions. The estimate of managed organic soils on cropland and grassland is consistent with data and methodology used for the LULUCF sector. The total area of managed organic soils has increased slightly by 1.2 per cent (2,117 hectares) since 1990.</w:t>
      </w:r>
    </w:p>
    <w:p w14:paraId="061BFB74" w14:textId="77777777" w:rsidR="007523B8" w:rsidRPr="009E06AA" w:rsidRDefault="007523B8" w:rsidP="007523B8">
      <w:pPr>
        <w:pStyle w:val="BodyText"/>
        <w:spacing w:before="100"/>
      </w:pPr>
      <w:r w:rsidRPr="009E06AA">
        <w:t>Emissions from organic soils are calculated using the Tier 1 methodology for all years of the time series by multiplying the area of managed organic soils by the default value of emission factor EF</w:t>
      </w:r>
      <w:r w:rsidRPr="009E06AA">
        <w:rPr>
          <w:vertAlign w:val="subscript"/>
        </w:rPr>
        <w:t>2</w:t>
      </w:r>
      <w:r w:rsidRPr="009E06AA">
        <w:t xml:space="preserve"> of 8 kg N</w:t>
      </w:r>
      <w:r w:rsidRPr="009E06AA">
        <w:rPr>
          <w:vertAlign w:val="subscript"/>
        </w:rPr>
        <w:t>2</w:t>
      </w:r>
      <w:r w:rsidRPr="009E06AA">
        <w:t>O</w:t>
      </w:r>
      <w:r w:rsidRPr="009E06AA">
        <w:noBreakHyphen/>
        <w:t xml:space="preserve">N/ha (IPCC, 2006). </w:t>
      </w:r>
    </w:p>
    <w:p w14:paraId="7A8A4C8E" w14:textId="77777777" w:rsidR="007523B8" w:rsidRPr="009E06AA" w:rsidRDefault="007523B8" w:rsidP="007523B8">
      <w:pPr>
        <w:pStyle w:val="BodyText"/>
      </w:pPr>
      <w:r w:rsidRPr="009E06AA">
        <w:t>In 2022, direct N</w:t>
      </w:r>
      <w:r w:rsidRPr="009E06AA">
        <w:rPr>
          <w:vertAlign w:val="subscript"/>
        </w:rPr>
        <w:t>2</w:t>
      </w:r>
      <w:r w:rsidRPr="009E06AA">
        <w:t>O emissions from the management of organic soils contributed 9.3 per cent (590.2 kt CO</w:t>
      </w:r>
      <w:r w:rsidRPr="009E06AA">
        <w:rPr>
          <w:vertAlign w:val="subscript"/>
        </w:rPr>
        <w:t>2</w:t>
      </w:r>
      <w:r w:rsidRPr="009E06AA">
        <w:t xml:space="preserve">-e) of emissions from </w:t>
      </w:r>
      <w:r w:rsidRPr="009E06AA">
        <w:rPr>
          <w:i/>
          <w:iCs/>
        </w:rPr>
        <w:t>Agricultural soils</w:t>
      </w:r>
      <w:r w:rsidRPr="009E06AA">
        <w:t xml:space="preserve">, or 1.4 per cent of total agricultural emissions). This is an increase of 1.0 per cent since 1990. Emissions from </w:t>
      </w:r>
      <w:r w:rsidRPr="009E06AA">
        <w:rPr>
          <w:i/>
          <w:iCs/>
        </w:rPr>
        <w:t>Cultivation of organic soils</w:t>
      </w:r>
      <w:r w:rsidRPr="009E06AA">
        <w:t xml:space="preserve"> were identified as a key category (level and trend assessment).</w:t>
      </w:r>
    </w:p>
    <w:p w14:paraId="26A7E55D" w14:textId="77777777" w:rsidR="007523B8" w:rsidRPr="009E06AA" w:rsidRDefault="007523B8" w:rsidP="007523B8">
      <w:pPr>
        <w:pStyle w:val="Heading4"/>
      </w:pPr>
      <w:r w:rsidRPr="009E06AA">
        <w:t xml:space="preserve">Indirect </w:t>
      </w:r>
      <w:r w:rsidRPr="009E06AA">
        <w:rPr>
          <w:spacing w:val="-2"/>
        </w:rPr>
        <w:t>nitrous oxide</w:t>
      </w:r>
      <w:r w:rsidRPr="009E06AA">
        <w:t xml:space="preserve"> emissions from managed soils (3.D.2) </w:t>
      </w:r>
    </w:p>
    <w:p w14:paraId="1216EB58" w14:textId="77777777" w:rsidR="007523B8" w:rsidRPr="009E06AA" w:rsidRDefault="007523B8" w:rsidP="007523B8">
      <w:pPr>
        <w:pStyle w:val="BodyText"/>
        <w:spacing w:before="100"/>
        <w:rPr>
          <w:rFonts w:cs="Calibri"/>
        </w:rPr>
      </w:pPr>
      <w:r w:rsidRPr="009E06AA">
        <w:rPr>
          <w:rFonts w:cs="Calibri"/>
        </w:rPr>
        <w:t>In addition to direct N</w:t>
      </w:r>
      <w:r w:rsidRPr="009E06AA">
        <w:rPr>
          <w:rFonts w:cs="Calibri"/>
          <w:vertAlign w:val="subscript"/>
        </w:rPr>
        <w:t>2</w:t>
      </w:r>
      <w:r w:rsidRPr="009E06AA">
        <w:rPr>
          <w:rFonts w:cs="Calibri"/>
        </w:rPr>
        <w:t>O emissions from managed soils, emissions of N</w:t>
      </w:r>
      <w:r w:rsidRPr="009E06AA">
        <w:rPr>
          <w:rFonts w:cs="Calibri"/>
          <w:vertAlign w:val="subscript"/>
        </w:rPr>
        <w:t>2</w:t>
      </w:r>
      <w:r w:rsidRPr="009E06AA">
        <w:rPr>
          <w:rFonts w:cs="Calibri"/>
        </w:rPr>
        <w:t>O also occur through two indirect pathways: volatilisation, and leaching and runoff.</w:t>
      </w:r>
    </w:p>
    <w:p w14:paraId="144F382F" w14:textId="77777777" w:rsidR="007523B8" w:rsidRPr="009E06AA" w:rsidRDefault="007523B8" w:rsidP="00BF2A76">
      <w:pPr>
        <w:pStyle w:val="Heading5"/>
      </w:pPr>
      <w:r w:rsidRPr="009E06AA">
        <w:t>Volatilisation (3.D.2.1)</w:t>
      </w:r>
    </w:p>
    <w:p w14:paraId="3E2B12CE" w14:textId="77777777" w:rsidR="007523B8" w:rsidRPr="009E06AA" w:rsidRDefault="007523B8" w:rsidP="007523B8">
      <w:pPr>
        <w:pStyle w:val="BodyText"/>
        <w:spacing w:before="100" w:after="100"/>
        <w:rPr>
          <w:rFonts w:cs="Calibri"/>
        </w:rPr>
      </w:pPr>
      <w:r w:rsidRPr="009E06AA">
        <w:rPr>
          <w:rFonts w:cs="Calibri"/>
        </w:rPr>
        <w:t>Some of the nitrogen deposited or spread on agricultural land is emitted into the atmosphere through volatilisation in the form of NH</w:t>
      </w:r>
      <w:r w:rsidRPr="009E06AA">
        <w:rPr>
          <w:rFonts w:cs="Calibri"/>
          <w:vertAlign w:val="subscript"/>
        </w:rPr>
        <w:t>3</w:t>
      </w:r>
      <w:r w:rsidRPr="009E06AA">
        <w:rPr>
          <w:rFonts w:cs="Calibri"/>
        </w:rPr>
        <w:t xml:space="preserve"> and NO</w:t>
      </w:r>
      <w:r w:rsidRPr="009E06AA">
        <w:rPr>
          <w:rFonts w:cs="Calibri"/>
          <w:vertAlign w:val="subscript"/>
        </w:rPr>
        <w:t>x</w:t>
      </w:r>
      <w:r w:rsidRPr="009E06AA">
        <w:rPr>
          <w:rFonts w:cs="Calibri"/>
        </w:rPr>
        <w:t xml:space="preserve">. A fraction of this volatilised nitrogen returns to the ground during rainfall and is then re-emitted as </w:t>
      </w:r>
      <w:r w:rsidRPr="009E06AA">
        <w:rPr>
          <w:rFonts w:cs="Calibri"/>
          <w:spacing w:val="-2"/>
        </w:rPr>
        <w:t>N</w:t>
      </w:r>
      <w:r w:rsidRPr="009E06AA">
        <w:rPr>
          <w:rFonts w:cs="Calibri"/>
          <w:spacing w:val="-2"/>
          <w:vertAlign w:val="subscript"/>
        </w:rPr>
        <w:t>2</w:t>
      </w:r>
      <w:r w:rsidRPr="009E06AA">
        <w:rPr>
          <w:rFonts w:cs="Calibri"/>
          <w:spacing w:val="-2"/>
        </w:rPr>
        <w:t>O</w:t>
      </w:r>
      <w:r w:rsidRPr="009E06AA">
        <w:rPr>
          <w:rFonts w:cs="Calibri"/>
        </w:rPr>
        <w:t>. The fraction of nitrogen that becomes N</w:t>
      </w:r>
      <w:r w:rsidRPr="009E06AA">
        <w:rPr>
          <w:rFonts w:cs="Calibri"/>
          <w:vertAlign w:val="subscript"/>
        </w:rPr>
        <w:t>2</w:t>
      </w:r>
      <w:r w:rsidRPr="009E06AA">
        <w:rPr>
          <w:rFonts w:cs="Calibri"/>
        </w:rPr>
        <w:t>O during this process is calculated using the parameters Frac</w:t>
      </w:r>
      <w:r w:rsidRPr="009E06AA">
        <w:rPr>
          <w:rFonts w:cs="Calibri"/>
          <w:vertAlign w:val="subscript"/>
        </w:rPr>
        <w:t>GASF</w:t>
      </w:r>
      <w:r w:rsidRPr="009E06AA">
        <w:rPr>
          <w:rFonts w:cs="Calibri"/>
        </w:rPr>
        <w:t xml:space="preserve"> for synthetic nitrogen fertiliser and Frac</w:t>
      </w:r>
      <w:r w:rsidRPr="009E06AA">
        <w:rPr>
          <w:rFonts w:cs="Calibri"/>
          <w:vertAlign w:val="subscript"/>
        </w:rPr>
        <w:t>GASM</w:t>
      </w:r>
      <w:r w:rsidRPr="009E06AA">
        <w:rPr>
          <w:rFonts w:cs="Calibri"/>
        </w:rPr>
        <w:t xml:space="preserve"> for organic inputs from animal excreta. New Zealand uses country-specific values for both of these parameters.</w:t>
      </w:r>
    </w:p>
    <w:p w14:paraId="157D375D" w14:textId="77777777" w:rsidR="007523B8" w:rsidRPr="009E06AA" w:rsidRDefault="007523B8" w:rsidP="007523B8">
      <w:pPr>
        <w:pStyle w:val="BodyText"/>
        <w:spacing w:before="100" w:after="100"/>
        <w:rPr>
          <w:rFonts w:cs="Calibri"/>
        </w:rPr>
      </w:pPr>
      <w:r w:rsidRPr="009E06AA">
        <w:rPr>
          <w:rFonts w:cs="Calibri"/>
        </w:rPr>
        <w:t>In New Zealand, nitrogen added to agricultural soils from synthetic nitrogen fertiliser (F</w:t>
      </w:r>
      <w:r w:rsidRPr="009E06AA">
        <w:rPr>
          <w:rFonts w:cs="Calibri"/>
          <w:vertAlign w:val="subscript"/>
        </w:rPr>
        <w:t>SN</w:t>
      </w:r>
      <w:r w:rsidRPr="009E06AA">
        <w:rPr>
          <w:rFonts w:cs="Calibri"/>
        </w:rPr>
        <w:t>), organic nitrogen fertiliser from the spreading of managed manure (F</w:t>
      </w:r>
      <w:r w:rsidRPr="009E06AA">
        <w:rPr>
          <w:rFonts w:cs="Calibri"/>
          <w:vertAlign w:val="subscript"/>
        </w:rPr>
        <w:t>ON</w:t>
      </w:r>
      <w:r w:rsidRPr="009E06AA">
        <w:rPr>
          <w:rFonts w:cs="Calibri"/>
        </w:rPr>
        <w:t>), and excreta from grazing livestock on pasture (F</w:t>
      </w:r>
      <w:r w:rsidRPr="009E06AA">
        <w:rPr>
          <w:rFonts w:cs="Calibri"/>
          <w:vertAlign w:val="subscript"/>
        </w:rPr>
        <w:t>PRP</w:t>
      </w:r>
      <w:r w:rsidRPr="009E06AA">
        <w:rPr>
          <w:rFonts w:cs="Calibri"/>
        </w:rPr>
        <w:t>) all contribute to N</w:t>
      </w:r>
      <w:r w:rsidRPr="009E06AA">
        <w:rPr>
          <w:rFonts w:cs="Calibri"/>
          <w:vertAlign w:val="subscript"/>
        </w:rPr>
        <w:t>2</w:t>
      </w:r>
      <w:r w:rsidRPr="009E06AA">
        <w:rPr>
          <w:rFonts w:cs="Calibri"/>
        </w:rPr>
        <w:t>O emissions from volatilisation. The collection of activity data for F</w:t>
      </w:r>
      <w:r w:rsidRPr="009E06AA">
        <w:rPr>
          <w:rFonts w:cs="Calibri"/>
          <w:vertAlign w:val="subscript"/>
        </w:rPr>
        <w:t>SN</w:t>
      </w:r>
      <w:r w:rsidRPr="009E06AA">
        <w:rPr>
          <w:rFonts w:cs="Calibri"/>
        </w:rPr>
        <w:t>, F</w:t>
      </w:r>
      <w:r w:rsidRPr="009E06AA">
        <w:rPr>
          <w:rFonts w:cs="Calibri"/>
          <w:vertAlign w:val="subscript"/>
        </w:rPr>
        <w:t>ON</w:t>
      </w:r>
      <w:r w:rsidRPr="009E06AA">
        <w:rPr>
          <w:rFonts w:cs="Calibri"/>
        </w:rPr>
        <w:t xml:space="preserve"> and F</w:t>
      </w:r>
      <w:r w:rsidRPr="009E06AA">
        <w:rPr>
          <w:rFonts w:cs="Calibri"/>
          <w:vertAlign w:val="subscript"/>
        </w:rPr>
        <w:t xml:space="preserve">PRP </w:t>
      </w:r>
      <w:r w:rsidRPr="009E06AA">
        <w:rPr>
          <w:rFonts w:cs="Calibri"/>
        </w:rPr>
        <w:t xml:space="preserve">is described above (see </w:t>
      </w:r>
      <w:r w:rsidRPr="009E06AA">
        <w:rPr>
          <w:rFonts w:cs="Calibri"/>
          <w:i/>
          <w:iCs/>
        </w:rPr>
        <w:t>Direct N</w:t>
      </w:r>
      <w:r w:rsidRPr="009E06AA">
        <w:rPr>
          <w:rFonts w:cs="Calibri"/>
          <w:i/>
          <w:iCs/>
          <w:vertAlign w:val="subscript"/>
        </w:rPr>
        <w:t>2</w:t>
      </w:r>
      <w:r w:rsidRPr="009E06AA">
        <w:rPr>
          <w:rFonts w:cs="Calibri"/>
          <w:i/>
          <w:iCs/>
        </w:rPr>
        <w:t>O emissions from managed soils</w:t>
      </w:r>
      <w:r w:rsidRPr="009E06AA">
        <w:rPr>
          <w:rFonts w:cs="Calibri"/>
        </w:rPr>
        <w:t xml:space="preserve"> (3.D.1)). Volatilisation from manure stored in manure management systems (before application to land) is reported in the </w:t>
      </w:r>
      <w:r w:rsidRPr="009E06AA">
        <w:rPr>
          <w:rFonts w:cs="Calibri"/>
          <w:i/>
          <w:iCs/>
        </w:rPr>
        <w:t>Manure management</w:t>
      </w:r>
      <w:r w:rsidRPr="009E06AA">
        <w:rPr>
          <w:rFonts w:cs="Calibri"/>
        </w:rPr>
        <w:t xml:space="preserve"> category (see section 5.3.2). </w:t>
      </w:r>
    </w:p>
    <w:p w14:paraId="7FC1AC0B" w14:textId="77777777" w:rsidR="007523B8" w:rsidRPr="009E06AA" w:rsidRDefault="007523B8" w:rsidP="007523B8">
      <w:pPr>
        <w:pStyle w:val="BodyText"/>
        <w:spacing w:before="100"/>
        <w:rPr>
          <w:rFonts w:cs="Calibri"/>
        </w:rPr>
      </w:pPr>
      <w:r w:rsidRPr="009E06AA">
        <w:rPr>
          <w:rFonts w:cs="Calibri"/>
        </w:rPr>
        <w:t>New Zealand uses a Tier 1 methodology with country-specific emission factors for Frac</w:t>
      </w:r>
      <w:r w:rsidRPr="009E06AA">
        <w:rPr>
          <w:rFonts w:cs="Calibri"/>
          <w:vertAlign w:val="subscript"/>
        </w:rPr>
        <w:t>GASF</w:t>
      </w:r>
      <w:r w:rsidRPr="009E06AA">
        <w:rPr>
          <w:rFonts w:cs="Calibri"/>
        </w:rPr>
        <w:t xml:space="preserve"> and Frac</w:t>
      </w:r>
      <w:r w:rsidRPr="009E06AA">
        <w:rPr>
          <w:rFonts w:cs="Calibri"/>
          <w:vertAlign w:val="subscript"/>
        </w:rPr>
        <w:t>GASM</w:t>
      </w:r>
      <w:r w:rsidRPr="009E06AA">
        <w:rPr>
          <w:rFonts w:cs="Calibri"/>
        </w:rPr>
        <w:t xml:space="preserve"> and a default value for the EF</w:t>
      </w:r>
      <w:r w:rsidRPr="009E06AA">
        <w:rPr>
          <w:rFonts w:cs="Calibri"/>
          <w:vertAlign w:val="subscript"/>
        </w:rPr>
        <w:t>4</w:t>
      </w:r>
      <w:r w:rsidRPr="009E06AA">
        <w:rPr>
          <w:rFonts w:cs="Calibri"/>
        </w:rPr>
        <w:t xml:space="preserve"> emission factor to calculate emissions from volatilisation: </w:t>
      </w:r>
    </w:p>
    <w:p w14:paraId="43F22A37" w14:textId="77777777" w:rsidR="007523B8" w:rsidRPr="009E06AA" w:rsidRDefault="008975BF" w:rsidP="007523B8">
      <w:pPr>
        <w:pStyle w:val="BodyText"/>
        <w:spacing w:before="0"/>
        <w:jc w:val="center"/>
        <w:rPr>
          <w:rFonts w:cs="Calibri"/>
        </w:rPr>
      </w:pPr>
      <m:oMathPara>
        <m:oMath>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ATD</m:t>
              </m:r>
            </m:sub>
          </m:sSub>
          <m:r>
            <w:rPr>
              <w:rFonts w:ascii="Cambria Math" w:hAnsi="Cambria Math"/>
              <w:sz w:val="24"/>
              <w:szCs w:val="24"/>
            </w:rPr>
            <m:t xml:space="preserve"> </m:t>
          </m:r>
          <m:r>
            <w:rPr>
              <w:rFonts w:ascii="Cambria Math" w:hAnsi="Cambria Math"/>
              <w:sz w:val="24"/>
              <w:szCs w:val="24"/>
            </w:rPr>
            <m:t>emissions</m:t>
          </m:r>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44</m:t>
              </m:r>
            </m:num>
            <m:den>
              <m:r>
                <w:rPr>
                  <w:rFonts w:ascii="Cambria Math" w:hAnsi="Cambria Math"/>
                  <w:sz w:val="24"/>
                  <w:szCs w:val="24"/>
                </w:rPr>
                <m:t>28</m:t>
              </m:r>
            </m:den>
          </m:f>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ATD</m:t>
                  </m:r>
                </m:sub>
              </m:sSub>
              <m:r>
                <w:rPr>
                  <w:rFonts w:ascii="Cambria Math" w:hAnsi="Cambria Math"/>
                  <w:sz w:val="24"/>
                  <w:szCs w:val="24"/>
                </w:rPr>
                <m:t>-</m:t>
              </m:r>
              <m:r>
                <w:rPr>
                  <w:rFonts w:ascii="Cambria Math" w:hAnsi="Cambria Math"/>
                  <w:sz w:val="24"/>
                  <w:szCs w:val="24"/>
                </w:rPr>
                <m:t>N</m:t>
              </m:r>
            </m:e>
          </m:d>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44</m:t>
              </m:r>
            </m:num>
            <m:den>
              <m:r>
                <w:rPr>
                  <w:rFonts w:ascii="Cambria Math" w:hAnsi="Cambria Math"/>
                  <w:sz w:val="24"/>
                  <w:szCs w:val="24"/>
                </w:rPr>
                <m:t>28</m:t>
              </m:r>
            </m:den>
          </m:f>
          <m:d>
            <m:dPr>
              <m:begChr m:val="["/>
              <m:endChr m:val="]"/>
              <m:ctrlPr>
                <w:rPr>
                  <w:rFonts w:ascii="Cambria Math" w:hAnsi="Cambria Math"/>
                  <w:i/>
                  <w:sz w:val="24"/>
                  <w:szCs w:val="24"/>
                </w:rPr>
              </m:ctrlPr>
            </m:d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SN</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Frac</m:t>
                      </m:r>
                    </m:e>
                    <m:sub>
                      <m:r>
                        <w:rPr>
                          <w:rFonts w:ascii="Cambria Math" w:hAnsi="Cambria Math"/>
                          <w:sz w:val="24"/>
                          <w:szCs w:val="24"/>
                        </w:rPr>
                        <m:t>GASF</m:t>
                      </m:r>
                    </m:sub>
                  </m:sSub>
                </m:e>
              </m:d>
              <m:r>
                <w:rPr>
                  <w:rFonts w:ascii="Cambria Math" w:hAnsi="Cambria Math"/>
                  <w:sz w:val="24"/>
                  <w:szCs w:val="24"/>
                </w:rPr>
                <m:t>+</m:t>
              </m:r>
              <m:d>
                <m:dPr>
                  <m:ctrlPr>
                    <w:rPr>
                      <w:rFonts w:ascii="Cambria Math" w:hAnsi="Cambria Math"/>
                      <w:i/>
                      <w:sz w:val="24"/>
                      <w:szCs w:val="24"/>
                    </w:rPr>
                  </m:ctrlPr>
                </m:d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ON</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PRP</m:t>
                          </m:r>
                        </m:sub>
                      </m:sSub>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Frac</m:t>
                      </m:r>
                    </m:e>
                    <m:sub>
                      <m:r>
                        <w:rPr>
                          <w:rFonts w:ascii="Cambria Math" w:hAnsi="Cambria Math"/>
                          <w:sz w:val="24"/>
                          <w:szCs w:val="24"/>
                        </w:rPr>
                        <m:t>GASM</m:t>
                      </m:r>
                    </m:sub>
                  </m:sSub>
                </m:e>
              </m:d>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EF</m:t>
              </m:r>
            </m:e>
            <m:sub>
              <m:r>
                <w:rPr>
                  <w:rFonts w:ascii="Cambria Math" w:hAnsi="Cambria Math"/>
                  <w:sz w:val="24"/>
                  <w:szCs w:val="24"/>
                </w:rPr>
                <m:t>4</m:t>
              </m:r>
            </m:sub>
          </m:sSub>
          <m:r>
            <w:rPr>
              <w:rFonts w:ascii="Cambria Math" w:hAnsi="Cambria Math" w:cs="Calibri"/>
              <w:sz w:val="20"/>
              <w:szCs w:val="20"/>
            </w:rPr>
            <m:t xml:space="preserve"> </m:t>
          </m:r>
        </m:oMath>
      </m:oMathPara>
    </w:p>
    <w:p w14:paraId="3C4A6283" w14:textId="77777777" w:rsidR="007523B8" w:rsidRPr="009E06AA" w:rsidRDefault="007523B8" w:rsidP="00D47E84">
      <w:pPr>
        <w:pStyle w:val="BodyText"/>
        <w:spacing w:after="40"/>
        <w:ind w:left="964" w:hanging="964"/>
      </w:pPr>
      <w:r w:rsidRPr="009E06AA">
        <w:t>Where:</w:t>
      </w:r>
      <w:r w:rsidRPr="009E06AA">
        <w:tab/>
        <w:t>N</w:t>
      </w:r>
      <w:r w:rsidRPr="009E06AA">
        <w:rPr>
          <w:vertAlign w:val="subscript"/>
        </w:rPr>
        <w:t>2</w:t>
      </w:r>
      <w:r w:rsidRPr="009E06AA">
        <w:t>O</w:t>
      </w:r>
      <w:r w:rsidRPr="009E06AA">
        <w:rPr>
          <w:vertAlign w:val="subscript"/>
        </w:rPr>
        <w:t>ATD</w:t>
      </w:r>
      <w:r w:rsidRPr="009E06AA">
        <w:t>–N is the annual amount of N</w:t>
      </w:r>
      <w:r w:rsidRPr="009E06AA">
        <w:rPr>
          <w:vertAlign w:val="subscript"/>
        </w:rPr>
        <w:t>2</w:t>
      </w:r>
      <w:r w:rsidRPr="009E06AA">
        <w:t>O-N produced by atmospheric deposition of volatilised nitrogen from agricultural soils (kg N</w:t>
      </w:r>
      <w:r w:rsidRPr="009E06AA">
        <w:rPr>
          <w:vertAlign w:val="subscript"/>
        </w:rPr>
        <w:t>2</w:t>
      </w:r>
      <w:r w:rsidRPr="009E06AA">
        <w:t>O-N/year)</w:t>
      </w:r>
    </w:p>
    <w:p w14:paraId="0CB20FF6" w14:textId="77777777" w:rsidR="007523B8" w:rsidRPr="009E06AA" w:rsidRDefault="007523B8" w:rsidP="00D47E84">
      <w:pPr>
        <w:pStyle w:val="BodyText"/>
        <w:spacing w:before="40" w:after="40"/>
        <w:ind w:left="964" w:hanging="964"/>
      </w:pPr>
      <w:r w:rsidRPr="009E06AA">
        <w:tab/>
        <w:t>F</w:t>
      </w:r>
      <w:r w:rsidRPr="009E06AA">
        <w:rPr>
          <w:vertAlign w:val="subscript"/>
        </w:rPr>
        <w:t>SN</w:t>
      </w:r>
      <w:r w:rsidRPr="009E06AA">
        <w:t>, F</w:t>
      </w:r>
      <w:r w:rsidRPr="009E06AA">
        <w:rPr>
          <w:vertAlign w:val="subscript"/>
        </w:rPr>
        <w:t>ON</w:t>
      </w:r>
      <w:r w:rsidRPr="009E06AA">
        <w:t xml:space="preserve"> and F</w:t>
      </w:r>
      <w:r w:rsidRPr="009E06AA">
        <w:rPr>
          <w:vertAlign w:val="subscript"/>
        </w:rPr>
        <w:t>PRP</w:t>
      </w:r>
      <w:r w:rsidRPr="009E06AA">
        <w:t xml:space="preserve"> are defined above (kg N/year)</w:t>
      </w:r>
    </w:p>
    <w:p w14:paraId="261B1813" w14:textId="77777777" w:rsidR="007523B8" w:rsidRPr="009E06AA" w:rsidRDefault="007523B8" w:rsidP="00D47E84">
      <w:pPr>
        <w:pStyle w:val="BodyText"/>
        <w:spacing w:before="40" w:after="40"/>
        <w:ind w:left="964" w:hanging="964"/>
      </w:pPr>
      <w:r w:rsidRPr="009E06AA">
        <w:tab/>
        <w:t>Frac</w:t>
      </w:r>
      <w:r w:rsidRPr="009E06AA">
        <w:rPr>
          <w:vertAlign w:val="subscript"/>
        </w:rPr>
        <w:t>GASF</w:t>
      </w:r>
      <w:r w:rsidRPr="009E06AA">
        <w:t xml:space="preserve"> is the fraction of nitrogen from synthetic fertiliser that volatilises as NH</w:t>
      </w:r>
      <w:r w:rsidRPr="009E06AA">
        <w:rPr>
          <w:vertAlign w:val="subscript"/>
        </w:rPr>
        <w:t>3</w:t>
      </w:r>
      <w:r w:rsidRPr="009E06AA">
        <w:t xml:space="preserve"> and NO</w:t>
      </w:r>
      <w:r w:rsidRPr="009E06AA">
        <w:rPr>
          <w:vertAlign w:val="subscript"/>
        </w:rPr>
        <w:t>x</w:t>
      </w:r>
      <w:r w:rsidRPr="009E06AA">
        <w:t xml:space="preserve"> (see table 5.5.4)</w:t>
      </w:r>
    </w:p>
    <w:p w14:paraId="78776438" w14:textId="77777777" w:rsidR="007523B8" w:rsidRPr="009E06AA" w:rsidRDefault="007523B8" w:rsidP="00D47E84">
      <w:pPr>
        <w:pStyle w:val="BodyText"/>
        <w:spacing w:before="40" w:after="40"/>
        <w:ind w:left="964" w:hanging="964"/>
      </w:pPr>
      <w:r w:rsidRPr="009E06AA">
        <w:tab/>
        <w:t>Frac</w:t>
      </w:r>
      <w:r w:rsidRPr="009E06AA">
        <w:rPr>
          <w:vertAlign w:val="subscript"/>
        </w:rPr>
        <w:t>GASM</w:t>
      </w:r>
      <w:r w:rsidRPr="009E06AA">
        <w:t xml:space="preserve"> is the fraction of nitrogen</w:t>
      </w:r>
      <w:r w:rsidRPr="009E06AA" w:rsidDel="009B1CDF">
        <w:t xml:space="preserve"> </w:t>
      </w:r>
      <w:r w:rsidRPr="009E06AA">
        <w:t>from manure spreading and pasture, range and paddock manure that volatilises as NH</w:t>
      </w:r>
      <w:r w:rsidRPr="009E06AA">
        <w:rPr>
          <w:vertAlign w:val="subscript"/>
        </w:rPr>
        <w:t>3</w:t>
      </w:r>
      <w:r w:rsidRPr="009E06AA">
        <w:t xml:space="preserve"> and NO</w:t>
      </w:r>
      <w:r w:rsidRPr="009E06AA">
        <w:rPr>
          <w:vertAlign w:val="subscript"/>
        </w:rPr>
        <w:t>x</w:t>
      </w:r>
      <w:r w:rsidRPr="009E06AA">
        <w:t xml:space="preserve"> (see table 5.5.4), and</w:t>
      </w:r>
    </w:p>
    <w:p w14:paraId="174CB7F3" w14:textId="77777777" w:rsidR="007523B8" w:rsidRPr="009E06AA" w:rsidRDefault="007523B8" w:rsidP="007523B8">
      <w:pPr>
        <w:pStyle w:val="BodyText"/>
        <w:spacing w:before="40"/>
        <w:ind w:left="964" w:hanging="964"/>
      </w:pPr>
      <w:r w:rsidRPr="009E06AA">
        <w:tab/>
        <w:t>EF</w:t>
      </w:r>
      <w:r w:rsidRPr="009E06AA">
        <w:rPr>
          <w:vertAlign w:val="subscript"/>
        </w:rPr>
        <w:t>4</w:t>
      </w:r>
      <w:r w:rsidRPr="009E06AA">
        <w:t xml:space="preserve"> is the emission factor for N</w:t>
      </w:r>
      <w:r w:rsidRPr="009E06AA">
        <w:rPr>
          <w:vertAlign w:val="subscript"/>
        </w:rPr>
        <w:t>2</w:t>
      </w:r>
      <w:r w:rsidRPr="009E06AA">
        <w:t>O emissions from atmospheric deposition of nitrogen on soils and water (kg N</w:t>
      </w:r>
      <w:r w:rsidRPr="009E06AA">
        <w:rPr>
          <w:vertAlign w:val="subscript"/>
        </w:rPr>
        <w:t>2</w:t>
      </w:r>
      <w:r w:rsidRPr="009E06AA">
        <w:t>O-N/kg N).</w:t>
      </w:r>
    </w:p>
    <w:p w14:paraId="7539A5A3" w14:textId="77777777" w:rsidR="007523B8" w:rsidRPr="009E06AA" w:rsidRDefault="007523B8" w:rsidP="007523B8">
      <w:pPr>
        <w:pStyle w:val="BodyText"/>
      </w:pPr>
      <w:r w:rsidRPr="009E06AA">
        <w:rPr>
          <w:rFonts w:cs="Calibri"/>
        </w:rPr>
        <w:t>New Zealand</w:t>
      </w:r>
      <w:r w:rsidRPr="009E06AA">
        <w:t xml:space="preserve"> has a country-specific value of 0.1 for Frac</w:t>
      </w:r>
      <w:r w:rsidRPr="009E06AA">
        <w:rPr>
          <w:vertAlign w:val="subscript"/>
        </w:rPr>
        <w:t>GASF</w:t>
      </w:r>
      <w:r w:rsidRPr="009E06AA">
        <w:t xml:space="preserve">, the fraction of volatilised nitrogen from synthetic nitrogen fertiliser. This value is based on a review by Sherlock et al. (2008) of relevant </w:t>
      </w:r>
      <w:r w:rsidRPr="009E06AA" w:rsidDel="0045011C">
        <w:rPr>
          <w:rFonts w:cs="Calibri"/>
        </w:rPr>
        <w:t xml:space="preserve">New </w:t>
      </w:r>
      <w:r w:rsidRPr="009E06AA">
        <w:rPr>
          <w:rFonts w:cs="Calibri"/>
        </w:rPr>
        <w:t>Zealand</w:t>
      </w:r>
      <w:r w:rsidRPr="009E06AA">
        <w:t xml:space="preserve"> and international research. The review determined that a value of 0.096 for Frac</w:t>
      </w:r>
      <w:r w:rsidRPr="009E06AA">
        <w:rPr>
          <w:vertAlign w:val="subscript"/>
        </w:rPr>
        <w:t>GASF</w:t>
      </w:r>
      <w:r w:rsidRPr="009E06AA">
        <w:t xml:space="preserve"> was suitable for </w:t>
      </w:r>
      <w:r w:rsidRPr="009E06AA" w:rsidDel="00146C1E">
        <w:rPr>
          <w:rFonts w:cs="Calibri"/>
        </w:rPr>
        <w:t xml:space="preserve">New </w:t>
      </w:r>
      <w:r w:rsidRPr="009E06AA">
        <w:rPr>
          <w:rFonts w:cs="Calibri"/>
        </w:rPr>
        <w:t>Zealand</w:t>
      </w:r>
      <w:r w:rsidRPr="009E06AA">
        <w:t xml:space="preserve"> conditions. Because this value of 0.096 is almost identical to the IPCC default value of 0.1, the value of 0.1 was adopted by </w:t>
      </w:r>
      <w:r w:rsidRPr="009E06AA" w:rsidDel="00146C1E">
        <w:rPr>
          <w:rFonts w:cs="Calibri"/>
        </w:rPr>
        <w:t xml:space="preserve">New </w:t>
      </w:r>
      <w:r w:rsidRPr="009E06AA">
        <w:rPr>
          <w:rFonts w:cs="Calibri"/>
        </w:rPr>
        <w:t>Zealand</w:t>
      </w:r>
      <w:r w:rsidRPr="009E06AA">
        <w:t xml:space="preserve"> as a country-specific value for Frac</w:t>
      </w:r>
      <w:r w:rsidRPr="009E06AA">
        <w:rPr>
          <w:vertAlign w:val="subscript"/>
        </w:rPr>
        <w:t>GASF</w:t>
      </w:r>
      <w:r w:rsidRPr="009E06AA">
        <w:t xml:space="preserve">. </w:t>
      </w:r>
    </w:p>
    <w:p w14:paraId="3F945F8B" w14:textId="77777777" w:rsidR="007523B8" w:rsidRPr="009E06AA" w:rsidRDefault="007523B8" w:rsidP="007523B8">
      <w:pPr>
        <w:pStyle w:val="BodyText"/>
      </w:pPr>
      <w:r w:rsidRPr="009E06AA">
        <w:t>The review by Sherlock et al. (2008) also recommended a country-specific value of 0.1 for Frac</w:t>
      </w:r>
      <w:r w:rsidRPr="009E06AA">
        <w:rPr>
          <w:vertAlign w:val="subscript"/>
        </w:rPr>
        <w:t>GASM</w:t>
      </w:r>
      <w:r w:rsidRPr="009E06AA">
        <w:t>, the fraction of volatilised nitrogen from manure spreading and pasture, range and paddock manure. The review showed that the default value of 0.2 for Frac</w:t>
      </w:r>
      <w:r w:rsidRPr="009E06AA">
        <w:rPr>
          <w:vertAlign w:val="subscript"/>
        </w:rPr>
        <w:t>GASM</w:t>
      </w:r>
      <w:r w:rsidRPr="009E06AA">
        <w:t xml:space="preserve"> (IPCC, 2006) was too high for </w:t>
      </w:r>
      <w:r w:rsidRPr="009E06AA" w:rsidDel="00146C1E">
        <w:rPr>
          <w:rFonts w:cs="Calibri"/>
        </w:rPr>
        <w:t xml:space="preserve">New </w:t>
      </w:r>
      <w:r w:rsidRPr="009E06AA">
        <w:rPr>
          <w:rFonts w:cs="Calibri"/>
        </w:rPr>
        <w:t>Zealand</w:t>
      </w:r>
      <w:r w:rsidRPr="009E06AA">
        <w:t xml:space="preserve"> conditions and that 0.1 was more appropriate. This value was also confirmed by subsequent field experiments (Laubach et al., 2012). </w:t>
      </w:r>
    </w:p>
    <w:p w14:paraId="3A221EC1" w14:textId="77777777" w:rsidR="007523B8" w:rsidRPr="009E06AA" w:rsidRDefault="007523B8" w:rsidP="007523B8">
      <w:pPr>
        <w:pStyle w:val="BodyText"/>
      </w:pPr>
      <w:r w:rsidRPr="009E06AA">
        <w:t xml:space="preserve">In 2022, </w:t>
      </w:r>
      <w:r w:rsidRPr="009E06AA">
        <w:rPr>
          <w:spacing w:val="-2"/>
        </w:rPr>
        <w:t>N</w:t>
      </w:r>
      <w:r w:rsidRPr="009E06AA">
        <w:rPr>
          <w:spacing w:val="-2"/>
          <w:vertAlign w:val="subscript"/>
        </w:rPr>
        <w:t>2</w:t>
      </w:r>
      <w:r w:rsidRPr="009E06AA">
        <w:rPr>
          <w:spacing w:val="-2"/>
        </w:rPr>
        <w:t>O</w:t>
      </w:r>
      <w:r w:rsidRPr="009E06AA">
        <w:t xml:space="preserve"> emissions from volatilisation contributed 1.8 per cent (745.1 kt CO</w:t>
      </w:r>
      <w:r w:rsidRPr="009E06AA">
        <w:rPr>
          <w:vertAlign w:val="subscript"/>
        </w:rPr>
        <w:t>2</w:t>
      </w:r>
      <w:r w:rsidRPr="009E06AA">
        <w:t>-e) to total Agriculture emissions, an increase of 16.0 per cent from the 1990 value of 642.7 kt CO</w:t>
      </w:r>
      <w:r w:rsidRPr="009E06AA">
        <w:rPr>
          <w:vertAlign w:val="subscript"/>
        </w:rPr>
        <w:t>2</w:t>
      </w:r>
      <w:r w:rsidRPr="009E06AA">
        <w:t>-e.</w:t>
      </w:r>
    </w:p>
    <w:p w14:paraId="4A02A1FD" w14:textId="77777777" w:rsidR="007523B8" w:rsidRPr="009E06AA" w:rsidRDefault="007523B8" w:rsidP="00BF2A76">
      <w:pPr>
        <w:pStyle w:val="Heading5"/>
      </w:pPr>
      <w:r w:rsidRPr="009E06AA">
        <w:t>Leaching and runoff (3.D.2.2)</w:t>
      </w:r>
    </w:p>
    <w:p w14:paraId="620D3283" w14:textId="77777777" w:rsidR="007523B8" w:rsidRPr="009E06AA" w:rsidRDefault="007523B8" w:rsidP="007523B8">
      <w:pPr>
        <w:pStyle w:val="BodyText"/>
      </w:pPr>
      <w:r w:rsidRPr="009E06AA">
        <w:rPr>
          <w:spacing w:val="-2"/>
        </w:rPr>
        <w:t xml:space="preserve">Nitrous oxide </w:t>
      </w:r>
      <w:r w:rsidRPr="009E06AA">
        <w:t>emissions from leaching and runoff originate from the following sources: synthetic nitrogen fertiliser (F</w:t>
      </w:r>
      <w:r w:rsidRPr="009E06AA">
        <w:rPr>
          <w:vertAlign w:val="subscript"/>
        </w:rPr>
        <w:t>SN</w:t>
      </w:r>
      <w:r w:rsidRPr="009E06AA">
        <w:t>), organic nitrogen additions from the spreading of animal manure (F</w:t>
      </w:r>
      <w:r w:rsidRPr="009E06AA">
        <w:rPr>
          <w:vertAlign w:val="subscript"/>
        </w:rPr>
        <w:t>ON</w:t>
      </w:r>
      <w:r w:rsidRPr="009E06AA">
        <w:t>), above- and below-ground crop residues (F</w:t>
      </w:r>
      <w:r w:rsidRPr="009E06AA">
        <w:rPr>
          <w:vertAlign w:val="subscript"/>
        </w:rPr>
        <w:t>CR</w:t>
      </w:r>
      <w:r w:rsidRPr="009E06AA">
        <w:t>), nitrogen mineralisation associated with loss of soil organic matter from cropland land management (F</w:t>
      </w:r>
      <w:r w:rsidRPr="009E06AA">
        <w:rPr>
          <w:vertAlign w:val="subscript"/>
        </w:rPr>
        <w:t>SOM</w:t>
      </w:r>
      <w:r w:rsidRPr="009E06AA">
        <w:t>) and excreta from grazing livestock on pasture, range and paddock (F</w:t>
      </w:r>
      <w:r w:rsidRPr="009E06AA">
        <w:rPr>
          <w:vertAlign w:val="subscript"/>
        </w:rPr>
        <w:t>PRP</w:t>
      </w:r>
      <w:r w:rsidRPr="009E06AA">
        <w:t>) (IPCC, 2006). The collection of activity data for F</w:t>
      </w:r>
      <w:r w:rsidRPr="009E06AA">
        <w:rPr>
          <w:vertAlign w:val="subscript"/>
        </w:rPr>
        <w:t>SN</w:t>
      </w:r>
      <w:r w:rsidRPr="009E06AA">
        <w:t>, F</w:t>
      </w:r>
      <w:r w:rsidRPr="009E06AA">
        <w:rPr>
          <w:vertAlign w:val="subscript"/>
        </w:rPr>
        <w:t>ON</w:t>
      </w:r>
      <w:r w:rsidRPr="009E06AA">
        <w:t>, F</w:t>
      </w:r>
      <w:r w:rsidRPr="009E06AA">
        <w:rPr>
          <w:vertAlign w:val="subscript"/>
        </w:rPr>
        <w:t>CR</w:t>
      </w:r>
      <w:r w:rsidRPr="009E06AA">
        <w:t>, F</w:t>
      </w:r>
      <w:r w:rsidRPr="009E06AA">
        <w:rPr>
          <w:vertAlign w:val="subscript"/>
        </w:rPr>
        <w:t xml:space="preserve">PRP </w:t>
      </w:r>
      <w:r w:rsidRPr="009E06AA">
        <w:t>and F</w:t>
      </w:r>
      <w:r w:rsidRPr="009E06AA">
        <w:rPr>
          <w:vertAlign w:val="subscript"/>
        </w:rPr>
        <w:t>SOM</w:t>
      </w:r>
      <w:r w:rsidRPr="009E06AA">
        <w:t xml:space="preserve"> is described above (see </w:t>
      </w:r>
      <w:r w:rsidRPr="009E06AA">
        <w:rPr>
          <w:i/>
          <w:iCs/>
        </w:rPr>
        <w:t>Direct N</w:t>
      </w:r>
      <w:r w:rsidRPr="009E06AA">
        <w:rPr>
          <w:i/>
          <w:iCs/>
          <w:vertAlign w:val="subscript"/>
        </w:rPr>
        <w:t>2</w:t>
      </w:r>
      <w:r w:rsidRPr="009E06AA">
        <w:rPr>
          <w:i/>
          <w:iCs/>
        </w:rPr>
        <w:t>O emissions from managed soils</w:t>
      </w:r>
      <w:r w:rsidRPr="009E06AA">
        <w:t xml:space="preserve"> (3.D.1)). </w:t>
      </w:r>
    </w:p>
    <w:p w14:paraId="2F57AFFF" w14:textId="77777777" w:rsidR="007523B8" w:rsidRPr="009E06AA" w:rsidRDefault="007523B8" w:rsidP="007523B8">
      <w:pPr>
        <w:pStyle w:val="BodyText"/>
      </w:pPr>
      <w:r w:rsidRPr="009E06AA" w:rsidDel="00926A97">
        <w:rPr>
          <w:rFonts w:cs="Calibri"/>
        </w:rPr>
        <w:t xml:space="preserve">New </w:t>
      </w:r>
      <w:r w:rsidRPr="009E06AA">
        <w:rPr>
          <w:rFonts w:cs="Calibri"/>
        </w:rPr>
        <w:t>Zealand</w:t>
      </w:r>
      <w:r w:rsidRPr="009E06AA">
        <w:t xml:space="preserve"> reports all emissions from leaching in the </w:t>
      </w:r>
      <w:r w:rsidRPr="009E06AA">
        <w:rPr>
          <w:i/>
          <w:iCs/>
        </w:rPr>
        <w:t>Agricultural soils</w:t>
      </w:r>
      <w:r w:rsidRPr="009E06AA">
        <w:t xml:space="preserve"> category. As discussed under</w:t>
      </w:r>
      <w:r w:rsidRPr="009E06AA">
        <w:rPr>
          <w:i/>
          <w:iCs/>
        </w:rPr>
        <w:t xml:space="preserve"> Manure management </w:t>
      </w:r>
      <w:r w:rsidRPr="009E06AA">
        <w:t xml:space="preserve">(see section 5.3.1), </w:t>
      </w:r>
      <w:r w:rsidRPr="009E06AA" w:rsidDel="00AD4731">
        <w:rPr>
          <w:rFonts w:cs="Calibri"/>
        </w:rPr>
        <w:t xml:space="preserve">New </w:t>
      </w:r>
      <w:r w:rsidRPr="009E06AA">
        <w:rPr>
          <w:rFonts w:cs="Calibri"/>
        </w:rPr>
        <w:t>Zealand</w:t>
      </w:r>
      <w:r w:rsidRPr="009E06AA">
        <w:t xml:space="preserve"> livestock are predominantly grazed outdoors (see table 5.3.2). New Zealand uses a Tier 1 methodology with country-specific default parameters to calculate indirect N</w:t>
      </w:r>
      <w:r w:rsidRPr="009E06AA">
        <w:rPr>
          <w:vertAlign w:val="subscript"/>
        </w:rPr>
        <w:t>2</w:t>
      </w:r>
      <w:r w:rsidRPr="009E06AA">
        <w:t>O emissions from nitrogen leaching. The general equation is:</w:t>
      </w:r>
    </w:p>
    <w:bookmarkStart w:id="1339" w:name="_1701239732"/>
    <w:bookmarkStart w:id="1340" w:name="_1767786633"/>
    <w:bookmarkStart w:id="1341" w:name="_1767789278"/>
    <w:bookmarkEnd w:id="1339"/>
    <w:bookmarkEnd w:id="1340"/>
    <w:bookmarkEnd w:id="1341"/>
    <w:p w14:paraId="52078C66" w14:textId="77777777" w:rsidR="007523B8" w:rsidRPr="009E06AA" w:rsidRDefault="008975BF" w:rsidP="007523B8">
      <w:pPr>
        <w:pStyle w:val="BodyText"/>
        <w:spacing w:before="0"/>
        <w:jc w:val="center"/>
        <w:rPr>
          <w:rFonts w:ascii="Cambria Math" w:hAnsi="Cambria Math" w:cs="Calibri"/>
          <w:i/>
          <w:sz w:val="24"/>
          <w:szCs w:val="24"/>
        </w:rPr>
      </w:pPr>
      <m:oMathPara>
        <m:oMath>
          <m:sSub>
            <m:sSubPr>
              <m:ctrlPr>
                <w:rPr>
                  <w:rFonts w:ascii="Cambria Math" w:hAnsi="Cambria Math"/>
                  <w:i/>
                  <w:iCs/>
                  <w:sz w:val="24"/>
                  <w:szCs w:val="24"/>
                </w:rPr>
              </m:ctrlPr>
            </m:sSubPr>
            <m:e>
              <m:r>
                <w:rPr>
                  <w:rFonts w:ascii="Cambria Math" w:hAnsi="Cambria Math"/>
                  <w:sz w:val="24"/>
                  <w:szCs w:val="24"/>
                </w:rPr>
                <m:t>N</m:t>
              </m:r>
            </m:e>
            <m:sub>
              <m:r>
                <w:rPr>
                  <w:rFonts w:ascii="Cambria Math" w:hAnsi="Cambria Math"/>
                  <w:sz w:val="24"/>
                  <w:szCs w:val="24"/>
                </w:rPr>
                <m:t>2</m:t>
              </m:r>
            </m:sub>
          </m:sSub>
          <m:sSub>
            <m:sSubPr>
              <m:ctrlPr>
                <w:rPr>
                  <w:rFonts w:ascii="Cambria Math" w:hAnsi="Cambria Math"/>
                  <w:i/>
                  <w:iCs/>
                  <w:sz w:val="24"/>
                  <w:szCs w:val="24"/>
                </w:rPr>
              </m:ctrlPr>
            </m:sSubPr>
            <m:e>
              <m:r>
                <w:rPr>
                  <w:rFonts w:ascii="Cambria Math" w:hAnsi="Cambria Math"/>
                  <w:sz w:val="24"/>
                  <w:szCs w:val="24"/>
                </w:rPr>
                <m:t>O</m:t>
              </m:r>
            </m:e>
            <m:sub>
              <m:r>
                <w:rPr>
                  <w:rFonts w:ascii="Cambria Math" w:hAnsi="Cambria Math"/>
                  <w:sz w:val="24"/>
                  <w:szCs w:val="24"/>
                </w:rPr>
                <m:t>L</m:t>
              </m:r>
            </m:sub>
          </m:sSub>
          <m:r>
            <w:rPr>
              <w:rFonts w:ascii="Cambria Math" w:hAnsi="Cambria Math"/>
              <w:sz w:val="24"/>
              <w:szCs w:val="24"/>
            </w:rPr>
            <m:t xml:space="preserve"> </m:t>
          </m:r>
          <m:r>
            <w:rPr>
              <w:rFonts w:ascii="Cambria Math" w:hAnsi="Cambria Math"/>
              <w:sz w:val="24"/>
              <w:szCs w:val="24"/>
            </w:rPr>
            <m:t>emissions</m:t>
          </m:r>
          <m:r>
            <w:rPr>
              <w:rFonts w:ascii="Cambria Math" w:hAnsi="Cambria Math"/>
              <w:sz w:val="24"/>
              <w:szCs w:val="24"/>
            </w:rPr>
            <m:t>=</m:t>
          </m:r>
          <m:f>
            <m:fPr>
              <m:ctrlPr>
                <w:rPr>
                  <w:rFonts w:ascii="Cambria Math" w:hAnsi="Cambria Math"/>
                  <w:i/>
                  <w:iCs/>
                  <w:sz w:val="24"/>
                  <w:szCs w:val="24"/>
                </w:rPr>
              </m:ctrlPr>
            </m:fPr>
            <m:num>
              <m:r>
                <w:rPr>
                  <w:rFonts w:ascii="Cambria Math" w:hAnsi="Cambria Math"/>
                  <w:sz w:val="24"/>
                  <w:szCs w:val="24"/>
                </w:rPr>
                <m:t>44</m:t>
              </m:r>
            </m:num>
            <m:den>
              <m:r>
                <w:rPr>
                  <w:rFonts w:ascii="Cambria Math" w:hAnsi="Cambria Math"/>
                  <w:sz w:val="24"/>
                  <w:szCs w:val="24"/>
                </w:rPr>
                <m:t>28</m:t>
              </m:r>
            </m:den>
          </m:f>
          <m:d>
            <m:dPr>
              <m:ctrlPr>
                <w:rPr>
                  <w:rFonts w:ascii="Cambria Math" w:hAnsi="Cambria Math"/>
                  <w:i/>
                  <w:iCs/>
                  <w:sz w:val="24"/>
                  <w:szCs w:val="24"/>
                </w:rPr>
              </m:ctrlPr>
            </m:dPr>
            <m:e>
              <m:sSub>
                <m:sSubPr>
                  <m:ctrlPr>
                    <w:rPr>
                      <w:rFonts w:ascii="Cambria Math" w:hAnsi="Cambria Math"/>
                      <w:i/>
                      <w:iCs/>
                      <w:sz w:val="24"/>
                      <w:szCs w:val="24"/>
                    </w:rPr>
                  </m:ctrlPr>
                </m:sSubPr>
                <m:e>
                  <m:r>
                    <w:rPr>
                      <w:rFonts w:ascii="Cambria Math" w:hAnsi="Cambria Math"/>
                      <w:sz w:val="24"/>
                      <w:szCs w:val="24"/>
                    </w:rPr>
                    <m:t>N</m:t>
                  </m:r>
                </m:e>
                <m:sub>
                  <m:r>
                    <w:rPr>
                      <w:rFonts w:ascii="Cambria Math" w:hAnsi="Cambria Math"/>
                      <w:sz w:val="24"/>
                      <w:szCs w:val="24"/>
                    </w:rPr>
                    <m:t>2</m:t>
                  </m:r>
                </m:sub>
              </m:sSub>
              <m:sSub>
                <m:sSubPr>
                  <m:ctrlPr>
                    <w:rPr>
                      <w:rFonts w:ascii="Cambria Math" w:hAnsi="Cambria Math"/>
                      <w:i/>
                      <w:iCs/>
                      <w:sz w:val="24"/>
                      <w:szCs w:val="24"/>
                    </w:rPr>
                  </m:ctrlPr>
                </m:sSubPr>
                <m:e>
                  <m:r>
                    <w:rPr>
                      <w:rFonts w:ascii="Cambria Math" w:hAnsi="Cambria Math"/>
                      <w:sz w:val="24"/>
                      <w:szCs w:val="24"/>
                    </w:rPr>
                    <m:t>O</m:t>
                  </m:r>
                </m:e>
                <m:sub>
                  <m:r>
                    <w:rPr>
                      <w:rFonts w:ascii="Cambria Math" w:hAnsi="Cambria Math"/>
                      <w:sz w:val="24"/>
                      <w:szCs w:val="24"/>
                    </w:rPr>
                    <m:t>L</m:t>
                  </m:r>
                </m:sub>
              </m:sSub>
              <m:r>
                <w:rPr>
                  <w:rFonts w:ascii="Cambria Math" w:hAnsi="Cambria Math"/>
                  <w:sz w:val="24"/>
                  <w:szCs w:val="24"/>
                </w:rPr>
                <m:t>-</m:t>
              </m:r>
              <m:r>
                <w:rPr>
                  <w:rFonts w:ascii="Cambria Math" w:hAnsi="Cambria Math"/>
                  <w:sz w:val="24"/>
                  <w:szCs w:val="24"/>
                </w:rPr>
                <m:t>N</m:t>
              </m:r>
            </m:e>
          </m:d>
        </m:oMath>
      </m:oMathPara>
    </w:p>
    <w:p w14:paraId="06A1F8D4" w14:textId="77777777" w:rsidR="007523B8" w:rsidRPr="009E06AA" w:rsidRDefault="007523B8" w:rsidP="007523B8">
      <w:pPr>
        <w:pStyle w:val="BodyText"/>
        <w:spacing w:before="60"/>
        <w:rPr>
          <w:rFonts w:cs="Calibri"/>
        </w:rPr>
      </w:pPr>
      <w:r w:rsidRPr="009E06AA">
        <w:rPr>
          <w:rFonts w:cs="Calibri"/>
        </w:rPr>
        <w:t xml:space="preserve">The following are specific equations used to calculate </w:t>
      </w:r>
      <w:r w:rsidRPr="009E06AA">
        <w:t>indirect N</w:t>
      </w:r>
      <w:r w:rsidRPr="009E06AA">
        <w:rPr>
          <w:vertAlign w:val="subscript"/>
        </w:rPr>
        <w:t>2</w:t>
      </w:r>
      <w:r w:rsidRPr="009E06AA">
        <w:t>O emissions from nitrogen leaching for cropping systems, grassland and synthetic nitrogen fertilisers:</w:t>
      </w:r>
    </w:p>
    <w:p w14:paraId="0ED39358" w14:textId="77777777" w:rsidR="007523B8" w:rsidRPr="009E06AA" w:rsidRDefault="008975BF" w:rsidP="007523B8">
      <w:pPr>
        <w:pStyle w:val="BodyText"/>
        <w:spacing w:before="60"/>
        <w:jc w:val="center"/>
        <w:rPr>
          <w:rFonts w:cs="Calibri"/>
        </w:rPr>
      </w:pPr>
      <m:oMathPara>
        <m:oMath>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L</m:t>
              </m:r>
            </m:sub>
          </m:sSub>
          <m:r>
            <w:rPr>
              <w:rFonts w:ascii="Cambria Math" w:hAnsi="Cambria Math"/>
              <w:sz w:val="24"/>
              <w:szCs w:val="24"/>
            </w:rPr>
            <m:t xml:space="preserve"> </m:t>
          </m:r>
          <m:r>
            <w:rPr>
              <w:rFonts w:ascii="Cambria Math" w:hAnsi="Cambria Math"/>
              <w:sz w:val="24"/>
              <w:szCs w:val="24"/>
            </w:rPr>
            <m:t>emissions</m:t>
          </m:r>
          <m:r>
            <w:rPr>
              <w:rFonts w:ascii="Cambria Math" w:hAnsi="Cambria Math"/>
              <w:sz w:val="24"/>
              <w:szCs w:val="24"/>
            </w:rPr>
            <m:t xml:space="preserve"> (</m:t>
          </m:r>
          <m:r>
            <w:rPr>
              <w:rFonts w:ascii="Cambria Math" w:hAnsi="Cambria Math"/>
              <w:sz w:val="24"/>
              <w:szCs w:val="24"/>
            </w:rPr>
            <m:t>cropping</m:t>
          </m:r>
          <m:r>
            <w:rPr>
              <w:rFonts w:ascii="Cambria Math" w:hAnsi="Cambria Math"/>
              <w:sz w:val="24"/>
              <w:szCs w:val="24"/>
            </w:rPr>
            <m:t xml:space="preserve"> </m:t>
          </m:r>
          <m:r>
            <w:rPr>
              <w:rFonts w:ascii="Cambria Math" w:hAnsi="Cambria Math"/>
              <w:sz w:val="24"/>
              <w:szCs w:val="24"/>
            </w:rPr>
            <m:t>systems</m:t>
          </m:r>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44</m:t>
              </m:r>
            </m:num>
            <m:den>
              <m:r>
                <w:rPr>
                  <w:rFonts w:ascii="Cambria Math" w:hAnsi="Cambria Math"/>
                  <w:sz w:val="24"/>
                  <w:szCs w:val="24"/>
                </w:rPr>
                <m:t>28</m:t>
              </m:r>
            </m:den>
          </m:f>
          <m:r>
            <w:rPr>
              <w:rFonts w:ascii="Cambria Math" w:hAnsi="Cambria Math"/>
              <w:sz w:val="24"/>
              <w:szCs w:val="24"/>
            </w:rPr>
            <m:t>∙</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CR</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SOM</m:t>
                  </m:r>
                </m:sub>
              </m:sSub>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Frac</m:t>
              </m:r>
            </m:e>
            <m:sub>
              <m:r>
                <w:rPr>
                  <w:rFonts w:ascii="Cambria Math" w:hAnsi="Cambria Math"/>
                  <w:sz w:val="24"/>
                  <w:szCs w:val="24"/>
                </w:rPr>
                <m:t>LEACH</m:t>
              </m:r>
              <m:r>
                <w:rPr>
                  <w:rFonts w:ascii="Cambria Math" w:hAnsi="Cambria Math"/>
                  <w:sz w:val="24"/>
                  <w:szCs w:val="24"/>
                </w:rPr>
                <m:t>-</m:t>
              </m:r>
              <m:r>
                <w:rPr>
                  <w:rFonts w:ascii="Cambria Math" w:hAnsi="Cambria Math"/>
                  <w:sz w:val="24"/>
                  <w:szCs w:val="24"/>
                </w:rPr>
                <m:t>H</m:t>
              </m:r>
              <m:r>
                <w:rPr>
                  <w:rFonts w:ascii="Cambria Math" w:hAnsi="Cambria Math"/>
                  <w:sz w:val="24"/>
                  <w:szCs w:val="24"/>
                </w:rPr>
                <m:t>(</m:t>
              </m:r>
              <m:r>
                <w:rPr>
                  <w:rFonts w:ascii="Cambria Math" w:hAnsi="Cambria Math"/>
                  <w:sz w:val="24"/>
                  <w:szCs w:val="24"/>
                </w:rPr>
                <m:t>CROPPING</m:t>
              </m:r>
              <m:r>
                <w:rPr>
                  <w:rFonts w:ascii="Cambria Math" w:hAnsi="Cambria Math"/>
                  <w:sz w:val="24"/>
                  <w:szCs w:val="24"/>
                </w:rPr>
                <m:t>)</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EF</m:t>
              </m:r>
            </m:e>
            <m:sub>
              <m:r>
                <w:rPr>
                  <w:rFonts w:ascii="Cambria Math" w:hAnsi="Cambria Math"/>
                  <w:sz w:val="24"/>
                  <w:szCs w:val="24"/>
                </w:rPr>
                <m:t>5</m:t>
              </m:r>
            </m:sub>
          </m:sSub>
        </m:oMath>
      </m:oMathPara>
    </w:p>
    <w:p w14:paraId="65C83E87" w14:textId="77777777" w:rsidR="007523B8" w:rsidRPr="009E06AA" w:rsidRDefault="008975BF" w:rsidP="007523B8">
      <w:pPr>
        <w:pStyle w:val="BodyText"/>
        <w:jc w:val="center"/>
        <w:rPr>
          <w:rFonts w:cs="Calibri"/>
          <w:sz w:val="24"/>
          <w:szCs w:val="24"/>
        </w:rPr>
      </w:pPr>
      <m:oMathPara>
        <m:oMath>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L</m:t>
              </m:r>
            </m:sub>
          </m:sSub>
          <m:r>
            <w:rPr>
              <w:rFonts w:ascii="Cambria Math" w:hAnsi="Cambria Math"/>
              <w:sz w:val="24"/>
              <w:szCs w:val="24"/>
            </w:rPr>
            <m:t xml:space="preserve"> </m:t>
          </m:r>
          <m:r>
            <w:rPr>
              <w:rFonts w:ascii="Cambria Math" w:hAnsi="Cambria Math"/>
              <w:sz w:val="24"/>
              <w:szCs w:val="24"/>
            </w:rPr>
            <m:t>emissions</m:t>
          </m:r>
          <m:r>
            <w:rPr>
              <w:rFonts w:ascii="Cambria Math" w:hAnsi="Cambria Math"/>
              <w:sz w:val="24"/>
              <w:szCs w:val="24"/>
            </w:rPr>
            <m:t xml:space="preserve"> (</m:t>
          </m:r>
          <m:r>
            <w:rPr>
              <w:rFonts w:ascii="Cambria Math" w:hAnsi="Cambria Math"/>
              <w:sz w:val="24"/>
              <w:szCs w:val="24"/>
            </w:rPr>
            <m:t>grassland</m:t>
          </m:r>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44</m:t>
              </m:r>
            </m:num>
            <m:den>
              <m:r>
                <w:rPr>
                  <w:rFonts w:ascii="Cambria Math" w:hAnsi="Cambria Math"/>
                  <w:sz w:val="24"/>
                  <w:szCs w:val="24"/>
                </w:rPr>
                <m:t>28</m:t>
              </m:r>
            </m:den>
          </m:f>
          <m:r>
            <w:rPr>
              <w:rFonts w:ascii="Cambria Math" w:hAnsi="Cambria Math"/>
              <w:sz w:val="24"/>
              <w:szCs w:val="24"/>
            </w:rPr>
            <m:t>∙</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CR</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ON</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PRP</m:t>
                  </m:r>
                </m:sub>
              </m:sSub>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Frac</m:t>
              </m:r>
            </m:e>
            <m:sub>
              <m:r>
                <w:rPr>
                  <w:rFonts w:ascii="Cambria Math" w:hAnsi="Cambria Math"/>
                  <w:sz w:val="24"/>
                  <w:szCs w:val="24"/>
                </w:rPr>
                <m:t>LEACH</m:t>
              </m:r>
              <m:r>
                <w:rPr>
                  <w:rFonts w:ascii="Cambria Math" w:hAnsi="Cambria Math"/>
                  <w:sz w:val="24"/>
                  <w:szCs w:val="24"/>
                </w:rPr>
                <m:t>-</m:t>
              </m:r>
              <m:r>
                <w:rPr>
                  <w:rFonts w:ascii="Cambria Math" w:hAnsi="Cambria Math"/>
                  <w:sz w:val="24"/>
                  <w:szCs w:val="24"/>
                </w:rPr>
                <m:t>H</m:t>
              </m:r>
              <m:r>
                <w:rPr>
                  <w:rFonts w:ascii="Cambria Math" w:hAnsi="Cambria Math"/>
                  <w:sz w:val="24"/>
                  <w:szCs w:val="24"/>
                </w:rPr>
                <m:t>(</m:t>
              </m:r>
              <m:r>
                <w:rPr>
                  <w:rFonts w:ascii="Cambria Math" w:hAnsi="Cambria Math"/>
                  <w:sz w:val="24"/>
                  <w:szCs w:val="24"/>
                </w:rPr>
                <m:t>GRASSLAND</m:t>
              </m:r>
              <m:r>
                <w:rPr>
                  <w:rFonts w:ascii="Cambria Math" w:hAnsi="Cambria Math"/>
                  <w:sz w:val="24"/>
                  <w:szCs w:val="24"/>
                </w:rPr>
                <m:t>)</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EF</m:t>
              </m:r>
            </m:e>
            <m:sub>
              <m:r>
                <w:rPr>
                  <w:rFonts w:ascii="Cambria Math" w:hAnsi="Cambria Math"/>
                  <w:sz w:val="24"/>
                  <w:szCs w:val="24"/>
                </w:rPr>
                <m:t>5</m:t>
              </m:r>
            </m:sub>
          </m:sSub>
        </m:oMath>
      </m:oMathPara>
    </w:p>
    <w:p w14:paraId="4E13BDA6" w14:textId="77777777" w:rsidR="007523B8" w:rsidRPr="009E06AA" w:rsidRDefault="008975BF" w:rsidP="007523B8">
      <w:pPr>
        <w:spacing w:after="120"/>
        <w:rPr>
          <w:rFonts w:asciiTheme="minorHAnsi" w:eastAsiaTheme="minorEastAsia" w:hAnsiTheme="minorHAnsi"/>
          <w:sz w:val="24"/>
        </w:rPr>
      </w:pPr>
      <m:oMathPara>
        <m:oMathParaPr>
          <m:jc m:val="center"/>
        </m:oMathParaPr>
        <m:oMath>
          <m:sSub>
            <m:sSubPr>
              <m:ctrlPr>
                <w:rPr>
                  <w:rFonts w:ascii="Cambria Math" w:hAnsi="Cambria Math"/>
                  <w:i/>
                  <w:sz w:val="24"/>
                </w:rPr>
              </m:ctrlPr>
            </m:sSubPr>
            <m:e>
              <m:r>
                <w:rPr>
                  <w:rFonts w:ascii="Cambria Math" w:hAnsi="Cambria Math"/>
                  <w:sz w:val="24"/>
                </w:rPr>
                <m:t>N</m:t>
              </m:r>
            </m:e>
            <m:sub>
              <m:r>
                <w:rPr>
                  <w:rFonts w:ascii="Cambria Math" w:hAnsi="Cambria Math"/>
                  <w:sz w:val="24"/>
                </w:rPr>
                <m:t>2</m:t>
              </m:r>
            </m:sub>
          </m:sSub>
          <m:sSub>
            <m:sSubPr>
              <m:ctrlPr>
                <w:rPr>
                  <w:rFonts w:ascii="Cambria Math" w:hAnsi="Cambria Math"/>
                  <w:i/>
                  <w:sz w:val="24"/>
                </w:rPr>
              </m:ctrlPr>
            </m:sSubPr>
            <m:e>
              <m:r>
                <w:rPr>
                  <w:rFonts w:ascii="Cambria Math" w:hAnsi="Cambria Math"/>
                  <w:sz w:val="24"/>
                </w:rPr>
                <m:t>O</m:t>
              </m:r>
            </m:e>
            <m:sub>
              <m:r>
                <w:rPr>
                  <w:rFonts w:ascii="Cambria Math" w:hAnsi="Cambria Math"/>
                  <w:sz w:val="24"/>
                </w:rPr>
                <m:t>L</m:t>
              </m:r>
            </m:sub>
          </m:sSub>
          <m:r>
            <w:rPr>
              <w:rFonts w:ascii="Cambria Math" w:hAnsi="Cambria Math"/>
              <w:sz w:val="24"/>
            </w:rPr>
            <m:t xml:space="preserve"> </m:t>
          </m:r>
          <m:r>
            <w:rPr>
              <w:rFonts w:ascii="Cambria Math" w:hAnsi="Cambria Math"/>
              <w:sz w:val="24"/>
            </w:rPr>
            <m:t>emissions</m:t>
          </m:r>
          <m:r>
            <w:rPr>
              <w:rFonts w:ascii="Cambria Math" w:hAnsi="Cambria Math"/>
              <w:sz w:val="24"/>
            </w:rPr>
            <m:t xml:space="preserve"> (</m:t>
          </m:r>
          <m:r>
            <w:rPr>
              <w:rFonts w:ascii="Cambria Math" w:hAnsi="Cambria Math"/>
              <w:sz w:val="24"/>
            </w:rPr>
            <m:t>synt</m:t>
          </m:r>
          <m:r>
            <w:rPr>
              <w:rFonts w:ascii="Cambria Math" w:hAnsi="Cambria Math"/>
              <w:sz w:val="24"/>
            </w:rPr>
            <m:t>h</m:t>
          </m:r>
          <m:r>
            <w:rPr>
              <w:rFonts w:ascii="Cambria Math" w:hAnsi="Cambria Math"/>
              <w:sz w:val="24"/>
            </w:rPr>
            <m:t>etic</m:t>
          </m:r>
          <m:r>
            <w:rPr>
              <w:rFonts w:ascii="Cambria Math" w:hAnsi="Cambria Math"/>
              <w:sz w:val="24"/>
            </w:rPr>
            <m:t xml:space="preserve"> </m:t>
          </m:r>
          <m:r>
            <w:rPr>
              <w:rFonts w:ascii="Cambria Math" w:hAnsi="Cambria Math"/>
              <w:sz w:val="24"/>
            </w:rPr>
            <m:t>N</m:t>
          </m:r>
          <m:r>
            <w:rPr>
              <w:rFonts w:ascii="Cambria Math" w:hAnsi="Cambria Math"/>
              <w:sz w:val="24"/>
            </w:rPr>
            <m:t xml:space="preserve"> </m:t>
          </m:r>
          <m:r>
            <w:rPr>
              <w:rFonts w:ascii="Cambria Math" w:hAnsi="Cambria Math"/>
              <w:sz w:val="24"/>
            </w:rPr>
            <m:t>fertiliser</m:t>
          </m:r>
          <m:r>
            <w:rPr>
              <w:rFonts w:ascii="Cambria Math" w:hAnsi="Cambria Math"/>
              <w:sz w:val="24"/>
            </w:rPr>
            <m:t>)=</m:t>
          </m:r>
          <m:f>
            <m:fPr>
              <m:ctrlPr>
                <w:rPr>
                  <w:rFonts w:ascii="Cambria Math" w:hAnsi="Cambria Math"/>
                  <w:i/>
                  <w:sz w:val="24"/>
                </w:rPr>
              </m:ctrlPr>
            </m:fPr>
            <m:num>
              <m:r>
                <w:rPr>
                  <w:rFonts w:ascii="Cambria Math" w:hAnsi="Cambria Math"/>
                  <w:sz w:val="24"/>
                </w:rPr>
                <m:t>44</m:t>
              </m:r>
            </m:num>
            <m:den>
              <m:r>
                <w:rPr>
                  <w:rFonts w:ascii="Cambria Math" w:hAnsi="Cambria Math"/>
                  <w:sz w:val="24"/>
                </w:rPr>
                <m:t>28</m:t>
              </m:r>
            </m:den>
          </m:f>
          <m:r>
            <w:rPr>
              <w:rFonts w:ascii="Cambria Math" w:hAnsi="Cambria Math"/>
              <w:sz w:val="24"/>
            </w:rPr>
            <m:t>∙</m:t>
          </m:r>
          <m:d>
            <m:dPr>
              <m:ctrlPr>
                <w:rPr>
                  <w:rFonts w:ascii="Cambria Math" w:hAnsi="Cambria Math"/>
                  <w:i/>
                  <w:sz w:val="24"/>
                </w:rPr>
              </m:ctrlPr>
            </m:dPr>
            <m:e>
              <m:sSub>
                <m:sSubPr>
                  <m:ctrlPr>
                    <w:rPr>
                      <w:rFonts w:ascii="Cambria Math" w:hAnsi="Cambria Math"/>
                      <w:i/>
                      <w:sz w:val="24"/>
                    </w:rPr>
                  </m:ctrlPr>
                </m:sSubPr>
                <m:e>
                  <m:r>
                    <w:rPr>
                      <w:rFonts w:ascii="Cambria Math" w:hAnsi="Cambria Math"/>
                      <w:sz w:val="24"/>
                    </w:rPr>
                    <m:t>F</m:t>
                  </m:r>
                </m:e>
                <m:sub>
                  <m:r>
                    <w:rPr>
                      <w:rFonts w:ascii="Cambria Math" w:hAnsi="Cambria Math"/>
                      <w:sz w:val="24"/>
                    </w:rPr>
                    <m:t>SN</m:t>
                  </m:r>
                </m:sub>
              </m:sSub>
            </m:e>
          </m:d>
          <m:r>
            <w:rPr>
              <w:rFonts w:ascii="Cambria Math" w:hAnsi="Cambria Math"/>
              <w:sz w:val="24"/>
            </w:rPr>
            <m:t>∙</m:t>
          </m:r>
          <m:sSub>
            <m:sSubPr>
              <m:ctrlPr>
                <w:rPr>
                  <w:rFonts w:ascii="Cambria Math" w:hAnsi="Cambria Math"/>
                  <w:i/>
                  <w:sz w:val="24"/>
                </w:rPr>
              </m:ctrlPr>
            </m:sSubPr>
            <m:e>
              <m:r>
                <w:rPr>
                  <w:rFonts w:ascii="Cambria Math" w:hAnsi="Cambria Math"/>
                  <w:sz w:val="24"/>
                </w:rPr>
                <m:t>Frac</m:t>
              </m:r>
            </m:e>
            <m:sub>
              <m:r>
                <w:rPr>
                  <w:rFonts w:ascii="Cambria Math" w:hAnsi="Cambria Math"/>
                  <w:sz w:val="24"/>
                </w:rPr>
                <m:t>LEACH</m:t>
              </m:r>
              <m:r>
                <w:rPr>
                  <w:rFonts w:ascii="Cambria Math" w:hAnsi="Cambria Math"/>
                  <w:sz w:val="24"/>
                </w:rPr>
                <m:t>-</m:t>
              </m:r>
              <m:r>
                <w:rPr>
                  <w:rFonts w:ascii="Cambria Math" w:hAnsi="Cambria Math"/>
                  <w:sz w:val="24"/>
                </w:rPr>
                <m:t>H</m:t>
              </m:r>
              <m:r>
                <w:rPr>
                  <w:rFonts w:ascii="Cambria Math" w:hAnsi="Cambria Math"/>
                  <w:sz w:val="24"/>
                </w:rPr>
                <m:t>(</m:t>
              </m:r>
              <m:r>
                <w:rPr>
                  <w:rFonts w:ascii="Cambria Math" w:hAnsi="Cambria Math"/>
                  <w:sz w:val="24"/>
                </w:rPr>
                <m:t>FERTILISER</m:t>
              </m:r>
              <m:r>
                <w:rPr>
                  <w:rFonts w:ascii="Cambria Math" w:hAnsi="Cambria Math"/>
                  <w:sz w:val="24"/>
                </w:rPr>
                <m:t>)</m:t>
              </m:r>
            </m:sub>
          </m:sSub>
          <m:r>
            <w:rPr>
              <w:rFonts w:ascii="Cambria Math" w:hAnsi="Cambria Math"/>
              <w:sz w:val="24"/>
            </w:rPr>
            <m:t>∙</m:t>
          </m:r>
          <m:sSub>
            <m:sSubPr>
              <m:ctrlPr>
                <w:rPr>
                  <w:rFonts w:ascii="Cambria Math" w:hAnsi="Cambria Math"/>
                  <w:i/>
                  <w:sz w:val="24"/>
                </w:rPr>
              </m:ctrlPr>
            </m:sSubPr>
            <m:e>
              <m:r>
                <w:rPr>
                  <w:rFonts w:ascii="Cambria Math" w:hAnsi="Cambria Math"/>
                  <w:sz w:val="24"/>
                </w:rPr>
                <m:t>EF</m:t>
              </m:r>
            </m:e>
            <m:sub>
              <m:r>
                <w:rPr>
                  <w:rFonts w:ascii="Cambria Math" w:hAnsi="Cambria Math"/>
                  <w:sz w:val="24"/>
                </w:rPr>
                <m:t>5</m:t>
              </m:r>
            </m:sub>
          </m:sSub>
        </m:oMath>
      </m:oMathPara>
    </w:p>
    <w:p w14:paraId="665F65C4" w14:textId="77777777" w:rsidR="007523B8" w:rsidRPr="009E06AA" w:rsidRDefault="007523B8" w:rsidP="00D47E84">
      <w:pPr>
        <w:pStyle w:val="BodyText"/>
        <w:spacing w:after="40"/>
        <w:ind w:left="964" w:hanging="964"/>
        <w:rPr>
          <w:rFonts w:cs="Calibri"/>
        </w:rPr>
      </w:pPr>
      <w:r w:rsidRPr="009E06AA">
        <w:rPr>
          <w:rFonts w:cs="Calibri"/>
        </w:rPr>
        <w:t>Where:</w:t>
      </w:r>
      <w:r w:rsidRPr="009E06AA">
        <w:rPr>
          <w:rFonts w:cs="Calibri"/>
        </w:rPr>
        <w:tab/>
        <w:t>N</w:t>
      </w:r>
      <w:r w:rsidRPr="009E06AA">
        <w:rPr>
          <w:rFonts w:cs="Calibri"/>
          <w:vertAlign w:val="subscript"/>
        </w:rPr>
        <w:t>2</w:t>
      </w:r>
      <w:r w:rsidRPr="009E06AA">
        <w:rPr>
          <w:rFonts w:cs="Calibri"/>
        </w:rPr>
        <w:t>O</w:t>
      </w:r>
      <w:r w:rsidRPr="009E06AA">
        <w:rPr>
          <w:rFonts w:cs="Calibri"/>
          <w:vertAlign w:val="subscript"/>
        </w:rPr>
        <w:t>L</w:t>
      </w:r>
      <w:r w:rsidRPr="009E06AA">
        <w:rPr>
          <w:rFonts w:cs="Calibri"/>
        </w:rPr>
        <w:t>–N is the annual amount of N</w:t>
      </w:r>
      <w:r w:rsidRPr="009E06AA">
        <w:rPr>
          <w:rFonts w:cs="Calibri"/>
          <w:vertAlign w:val="subscript"/>
        </w:rPr>
        <w:t>2</w:t>
      </w:r>
      <w:r w:rsidRPr="009E06AA">
        <w:rPr>
          <w:rFonts w:cs="Calibri"/>
        </w:rPr>
        <w:t>O-N from runoff and leaching from agricultural soils (kg N</w:t>
      </w:r>
      <w:r w:rsidRPr="009E06AA">
        <w:rPr>
          <w:rFonts w:cs="Calibri"/>
          <w:vertAlign w:val="subscript"/>
        </w:rPr>
        <w:t>2</w:t>
      </w:r>
      <w:r w:rsidRPr="009E06AA">
        <w:rPr>
          <w:rFonts w:cs="Calibri"/>
        </w:rPr>
        <w:t>O-N/year)</w:t>
      </w:r>
    </w:p>
    <w:p w14:paraId="74CFEF95" w14:textId="77777777" w:rsidR="007523B8" w:rsidRPr="009E06AA" w:rsidRDefault="007523B8" w:rsidP="00D47E84">
      <w:pPr>
        <w:pStyle w:val="BodyText"/>
        <w:spacing w:before="40" w:after="40"/>
        <w:ind w:left="964"/>
      </w:pPr>
      <w:r w:rsidRPr="009E06AA">
        <w:t>F</w:t>
      </w:r>
      <w:r w:rsidRPr="009E06AA">
        <w:rPr>
          <w:vertAlign w:val="subscript"/>
        </w:rPr>
        <w:t>SN</w:t>
      </w:r>
      <w:r w:rsidRPr="009E06AA">
        <w:t>, F</w:t>
      </w:r>
      <w:r w:rsidRPr="009E06AA">
        <w:rPr>
          <w:vertAlign w:val="subscript"/>
        </w:rPr>
        <w:t>ON</w:t>
      </w:r>
      <w:r w:rsidRPr="009E06AA">
        <w:t>, F</w:t>
      </w:r>
      <w:r w:rsidRPr="009E06AA">
        <w:rPr>
          <w:vertAlign w:val="subscript"/>
        </w:rPr>
        <w:t>PRP</w:t>
      </w:r>
      <w:r w:rsidRPr="009E06AA">
        <w:t>, F</w:t>
      </w:r>
      <w:r w:rsidRPr="009E06AA">
        <w:rPr>
          <w:vertAlign w:val="subscript"/>
        </w:rPr>
        <w:t>CR</w:t>
      </w:r>
      <w:r w:rsidRPr="009E06AA">
        <w:t xml:space="preserve"> and F</w:t>
      </w:r>
      <w:r w:rsidRPr="009E06AA">
        <w:rPr>
          <w:vertAlign w:val="subscript"/>
        </w:rPr>
        <w:t>SOM</w:t>
      </w:r>
      <w:r w:rsidRPr="009E06AA">
        <w:t xml:space="preserve"> are defined above (kg N/year)</w:t>
      </w:r>
    </w:p>
    <w:p w14:paraId="68273018" w14:textId="77777777" w:rsidR="007523B8" w:rsidRPr="009E06AA" w:rsidRDefault="007523B8" w:rsidP="00D47E84">
      <w:pPr>
        <w:pStyle w:val="BodyText"/>
        <w:spacing w:before="40" w:after="40"/>
        <w:ind w:left="964"/>
      </w:pPr>
      <w:r w:rsidRPr="009E06AA">
        <w:t>Frac</w:t>
      </w:r>
      <w:r w:rsidRPr="009E06AA">
        <w:rPr>
          <w:vertAlign w:val="subscript"/>
        </w:rPr>
        <w:t>LEACH-H(CROPPING)</w:t>
      </w:r>
      <w:r w:rsidRPr="009E06AA">
        <w:t xml:space="preserve"> is the fraction of nitrogen added to, or mineralised from, cropping systems that is lost from soil through leaching and runoff (see table 5.5.4)</w:t>
      </w:r>
    </w:p>
    <w:p w14:paraId="426D0A6B" w14:textId="77777777" w:rsidR="007523B8" w:rsidRPr="009E06AA" w:rsidRDefault="007523B8" w:rsidP="00D47E84">
      <w:pPr>
        <w:pStyle w:val="BodyText"/>
        <w:spacing w:before="40" w:after="40"/>
        <w:ind w:left="964"/>
      </w:pPr>
      <w:r w:rsidRPr="009E06AA">
        <w:t>Frac</w:t>
      </w:r>
      <w:r w:rsidRPr="009E06AA">
        <w:rPr>
          <w:vertAlign w:val="subscript"/>
        </w:rPr>
        <w:t>LEACH-H(GRASSLAND)</w:t>
      </w:r>
      <w:r w:rsidRPr="009E06AA">
        <w:t xml:space="preserve"> is the fraction of nitrogen added to, or mineralised from, grassland that is lost from soil through leaching and runoff (see table 5.5.4)</w:t>
      </w:r>
    </w:p>
    <w:p w14:paraId="6C3594D1" w14:textId="77777777" w:rsidR="007523B8" w:rsidRPr="009E06AA" w:rsidRDefault="007523B8" w:rsidP="00D47E84">
      <w:pPr>
        <w:pStyle w:val="BodyText"/>
        <w:spacing w:before="40" w:after="40"/>
        <w:ind w:left="964"/>
      </w:pPr>
      <w:r w:rsidRPr="009E06AA">
        <w:t>Frac</w:t>
      </w:r>
      <w:r w:rsidRPr="009E06AA">
        <w:rPr>
          <w:vertAlign w:val="subscript"/>
        </w:rPr>
        <w:t>LEACH-H(FERTILISER)</w:t>
      </w:r>
      <w:r w:rsidRPr="009E06AA">
        <w:t xml:space="preserve"> is the fraction of nitrogen added to, or mineralised from, synthetic nitrogen fertiliser that is lost from soil through leaching and runoff, and</w:t>
      </w:r>
    </w:p>
    <w:p w14:paraId="5E9B0FFC" w14:textId="77777777" w:rsidR="007523B8" w:rsidRPr="009E06AA" w:rsidRDefault="007523B8" w:rsidP="00D47E84">
      <w:pPr>
        <w:pStyle w:val="BodyText"/>
        <w:spacing w:before="40"/>
        <w:ind w:left="964"/>
      </w:pPr>
      <w:r w:rsidRPr="009E06AA">
        <w:t>EF</w:t>
      </w:r>
      <w:r w:rsidRPr="009E06AA">
        <w:rPr>
          <w:vertAlign w:val="subscript"/>
        </w:rPr>
        <w:t>5</w:t>
      </w:r>
      <w:r w:rsidRPr="009E06AA">
        <w:t xml:space="preserve"> is the IPCC (2006) default factor for N</w:t>
      </w:r>
      <w:r w:rsidRPr="009E06AA">
        <w:rPr>
          <w:vertAlign w:val="subscript"/>
        </w:rPr>
        <w:t>2</w:t>
      </w:r>
      <w:r w:rsidRPr="009E06AA">
        <w:t xml:space="preserve">O emissions from leaching and runoff. </w:t>
      </w:r>
    </w:p>
    <w:p w14:paraId="7DC10C56" w14:textId="77777777" w:rsidR="007523B8" w:rsidRPr="009E06AA" w:rsidRDefault="007523B8" w:rsidP="007523B8">
      <w:pPr>
        <w:pStyle w:val="BodyText"/>
        <w:spacing w:after="100"/>
      </w:pPr>
      <w:r w:rsidRPr="009E06AA">
        <w:rPr>
          <w:rFonts w:cs="Calibri"/>
        </w:rPr>
        <w:t>New Zealand uses differing Frac</w:t>
      </w:r>
      <w:r w:rsidRPr="009E06AA">
        <w:rPr>
          <w:rFonts w:cs="Calibri"/>
          <w:vertAlign w:val="subscript"/>
        </w:rPr>
        <w:t>LEACH</w:t>
      </w:r>
      <w:r w:rsidRPr="009E06AA">
        <w:rPr>
          <w:rFonts w:cs="Calibri"/>
        </w:rPr>
        <w:t xml:space="preserve"> parameters that are dependent on the type of agricultural system the nitrogen has been applied to. These values were derived using measured values, as well as modelled values from </w:t>
      </w:r>
      <w:r w:rsidRPr="009E06AA">
        <w:t xml:space="preserve">OverseerFM, a </w:t>
      </w:r>
      <w:r w:rsidRPr="009E06AA" w:rsidDel="00F646F3">
        <w:rPr>
          <w:rFonts w:cs="Calibri"/>
        </w:rPr>
        <w:t xml:space="preserve">New </w:t>
      </w:r>
      <w:r w:rsidRPr="009E06AA">
        <w:rPr>
          <w:rFonts w:cs="Calibri"/>
        </w:rPr>
        <w:t>Zealand</w:t>
      </w:r>
      <w:r w:rsidRPr="009E06AA">
        <w:t xml:space="preserve">-specific nutrient budgeting model. </w:t>
      </w:r>
      <w:r w:rsidRPr="009E06AA">
        <w:rPr>
          <w:spacing w:val="-2"/>
        </w:rPr>
        <w:t>The Frac</w:t>
      </w:r>
      <w:r w:rsidRPr="009E06AA">
        <w:rPr>
          <w:spacing w:val="-2"/>
          <w:vertAlign w:val="subscript"/>
        </w:rPr>
        <w:t>LEACH</w:t>
      </w:r>
      <w:r w:rsidRPr="009E06AA">
        <w:rPr>
          <w:spacing w:val="-2"/>
        </w:rPr>
        <w:t xml:space="preserve"> is 0.10 for nitrogen applied to cropland and 0.08 for grassland (Welten et al., 2021</w:t>
      </w:r>
      <w:r w:rsidRPr="009E06AA">
        <w:t>). The Frac</w:t>
      </w:r>
      <w:r w:rsidRPr="009E06AA">
        <w:rPr>
          <w:vertAlign w:val="subscript"/>
        </w:rPr>
        <w:t>LEACH</w:t>
      </w:r>
      <w:r w:rsidRPr="009E06AA">
        <w:t xml:space="preserve"> for synthetic nitrogen fertiliser applied to grassland and cropland is 0.082. This is a weighted average of nitrogen applied to cropland and grassland based on recent data from Stats NZ (2021) indicating that this is applied at a 90:10 ratio to grassland and cropland. Data back to 1990 show minimal fluctuations in this ratio, so it has been assumed that this remains static for the current inventory submission. Future inventory submissions may modify this Frac</w:t>
      </w:r>
      <w:r w:rsidRPr="009E06AA">
        <w:rPr>
          <w:vertAlign w:val="subscript"/>
        </w:rPr>
        <w:t>LEACH</w:t>
      </w:r>
      <w:r w:rsidRPr="009E06AA">
        <w:t xml:space="preserve"> value if there is evidence the 90:10 ratio has changed.</w:t>
      </w:r>
    </w:p>
    <w:p w14:paraId="72033E9E" w14:textId="77777777" w:rsidR="007523B8" w:rsidRPr="009E06AA" w:rsidRDefault="007523B8" w:rsidP="007523B8">
      <w:pPr>
        <w:pStyle w:val="BodyText"/>
      </w:pPr>
      <w:r w:rsidRPr="009E06AA">
        <w:t>The OverseerFM model provides average estimates of the fate of nitrogen for a range of pastoral, arable and horticultural systems. In pastoral systems, OverseerFM derived nitrate (NO</w:t>
      </w:r>
      <w:r w:rsidRPr="009E06AA">
        <w:rPr>
          <w:vertAlign w:val="subscript"/>
        </w:rPr>
        <w:t>3</w:t>
      </w:r>
      <w:r w:rsidRPr="009E06AA">
        <w:t>–) leaching is determined by rainfall, soil type and the amount of nitrogen entering the farm system (from nitrogen-based fertilisers, dung and urine applied as farm dairy effluent or directly excreted by grazing animals). Dung and urine output from animals is calculated from the difference between nitrogen intake by grazing animals and nitrogen retained in animal products, such as milk, meat, wool and velvet. This is based on user inputs of stocking rates or production and an internal database with information on the nitrogen content of pasture and animal products. Resulting values are calibrated against empirical field measurements. In cropping systems, two years (previous and reporting) of monthly crop and management data are required for modelling NO</w:t>
      </w:r>
      <w:r w:rsidRPr="009E06AA">
        <w:rPr>
          <w:vertAlign w:val="subscript"/>
        </w:rPr>
        <w:t xml:space="preserve">3 </w:t>
      </w:r>
      <w:r w:rsidRPr="009E06AA">
        <w:t xml:space="preserve">leaching in OverseerFM, including nitrogen applied as fertiliser and effluent, as well as factors influencing or indicating the water content of soil, such as temperature, irrigation, rainfall, drainage and field capacity. </w:t>
      </w:r>
    </w:p>
    <w:p w14:paraId="01862B83" w14:textId="77777777" w:rsidR="007523B8" w:rsidRPr="009E06AA" w:rsidRDefault="007523B8" w:rsidP="007523B8">
      <w:pPr>
        <w:pStyle w:val="BodyText"/>
      </w:pPr>
      <w:r w:rsidRPr="009E06AA">
        <w:t xml:space="preserve">In 2022, </w:t>
      </w:r>
      <w:r w:rsidRPr="009E06AA">
        <w:rPr>
          <w:spacing w:val="-2"/>
        </w:rPr>
        <w:t>N</w:t>
      </w:r>
      <w:r w:rsidRPr="009E06AA">
        <w:rPr>
          <w:spacing w:val="-2"/>
          <w:vertAlign w:val="subscript"/>
        </w:rPr>
        <w:t>2</w:t>
      </w:r>
      <w:r w:rsidRPr="009E06AA">
        <w:rPr>
          <w:spacing w:val="-2"/>
        </w:rPr>
        <w:t>O</w:t>
      </w:r>
      <w:r w:rsidRPr="009E06AA">
        <w:t xml:space="preserve"> emissions from leaching and runoff made up 1.1 per cent (479.5 kt CO</w:t>
      </w:r>
      <w:r w:rsidRPr="009E06AA">
        <w:rPr>
          <w:vertAlign w:val="subscript"/>
        </w:rPr>
        <w:t>2</w:t>
      </w:r>
      <w:r w:rsidRPr="009E06AA">
        <w:t>-e) of total agricultural emissions, an increase of 21.0 per cent from the 1990 value of 396.1 kt CO</w:t>
      </w:r>
      <w:r w:rsidRPr="009E06AA">
        <w:rPr>
          <w:vertAlign w:val="subscript"/>
        </w:rPr>
        <w:t>2</w:t>
      </w:r>
      <w:r w:rsidRPr="009E06AA">
        <w:t>-e.</w:t>
      </w:r>
    </w:p>
    <w:p w14:paraId="133FFAAA" w14:textId="77777777" w:rsidR="007523B8" w:rsidRPr="009E06AA" w:rsidRDefault="007523B8" w:rsidP="007523B8">
      <w:pPr>
        <w:pStyle w:val="Heading4"/>
      </w:pPr>
      <w:r w:rsidRPr="009E06AA">
        <w:t>Incorporation of nitrous oxide mitigation technologies into the Agriculture inventory model</w:t>
      </w:r>
    </w:p>
    <w:p w14:paraId="187FF679" w14:textId="77777777" w:rsidR="007523B8" w:rsidRPr="009E06AA" w:rsidRDefault="007523B8" w:rsidP="00BF2A76">
      <w:pPr>
        <w:pStyle w:val="Heading5"/>
      </w:pPr>
      <w:r w:rsidRPr="009E06AA">
        <w:t xml:space="preserve">Urease inhibitors </w:t>
      </w:r>
    </w:p>
    <w:p w14:paraId="001F2D1B" w14:textId="77777777" w:rsidR="007523B8" w:rsidRPr="009E06AA" w:rsidRDefault="007523B8" w:rsidP="007523B8">
      <w:pPr>
        <w:pStyle w:val="BodyText"/>
      </w:pPr>
      <w:r w:rsidRPr="009E06AA">
        <w:t xml:space="preserve">The </w:t>
      </w:r>
      <w:r w:rsidRPr="009E06AA">
        <w:rPr>
          <w:spacing w:val="-2"/>
        </w:rPr>
        <w:t>N</w:t>
      </w:r>
      <w:r w:rsidRPr="009E06AA">
        <w:rPr>
          <w:spacing w:val="-2"/>
          <w:vertAlign w:val="subscript"/>
        </w:rPr>
        <w:t>2</w:t>
      </w:r>
      <w:r w:rsidRPr="009E06AA">
        <w:rPr>
          <w:spacing w:val="-2"/>
        </w:rPr>
        <w:t>O</w:t>
      </w:r>
      <w:r w:rsidRPr="009E06AA">
        <w:t xml:space="preserve"> emissions reported in the </w:t>
      </w:r>
      <w:r w:rsidRPr="009E06AA">
        <w:rPr>
          <w:i/>
          <w:iCs/>
        </w:rPr>
        <w:t>Agricultural soils</w:t>
      </w:r>
      <w:r w:rsidRPr="009E06AA">
        <w:t xml:space="preserve"> category take into account the use of urease inhibitors, a greenhouse gas mitigation technology. Urea is the main type of synthetic nitrogen </w:t>
      </w:r>
      <w:r w:rsidRPr="009E06AA">
        <w:rPr>
          <w:spacing w:val="-2"/>
        </w:rPr>
        <w:t>fertiliser applied to pastures. Urease inhibitors restrict the action of the urease</w:t>
      </w:r>
      <w:r w:rsidRPr="009E06AA">
        <w:t xml:space="preserve"> </w:t>
      </w:r>
      <w:r w:rsidRPr="009E06AA">
        <w:rPr>
          <w:spacing w:val="-2"/>
        </w:rPr>
        <w:t>enzyme. Urease is a catalyst for the volatilisation of the nitrogen contained in urea fertiliser and urine into</w:t>
      </w:r>
      <w:r w:rsidRPr="009E06AA">
        <w:t> </w:t>
      </w:r>
      <w:r w:rsidRPr="009E06AA">
        <w:rPr>
          <w:spacing w:val="-2"/>
        </w:rPr>
        <w:t>NH</w:t>
      </w:r>
      <w:r w:rsidRPr="009E06AA">
        <w:rPr>
          <w:spacing w:val="-2"/>
          <w:vertAlign w:val="subscript"/>
        </w:rPr>
        <w:t>3</w:t>
      </w:r>
      <w:r w:rsidRPr="009E06AA">
        <w:rPr>
          <w:spacing w:val="-2"/>
        </w:rPr>
        <w:t xml:space="preserve"> gas. </w:t>
      </w:r>
    </w:p>
    <w:p w14:paraId="471215ED" w14:textId="77777777" w:rsidR="007523B8" w:rsidRPr="009E06AA" w:rsidRDefault="007523B8" w:rsidP="007523B8">
      <w:pPr>
        <w:pStyle w:val="BodyText"/>
      </w:pPr>
      <w:r w:rsidRPr="009E06AA">
        <w:t>Urease inhibitor mitigation is included in New Zealand’s Agriculture inventory model by adjusting the value of the existing country-specific N</w:t>
      </w:r>
      <w:r w:rsidRPr="009E06AA">
        <w:rPr>
          <w:vertAlign w:val="subscript"/>
        </w:rPr>
        <w:t>2</w:t>
      </w:r>
      <w:r w:rsidRPr="009E06AA">
        <w:t>O parameter: Frac</w:t>
      </w:r>
      <w:r w:rsidRPr="009E06AA">
        <w:rPr>
          <w:vertAlign w:val="subscript"/>
        </w:rPr>
        <w:t>GASF</w:t>
      </w:r>
      <w:r w:rsidRPr="009E06AA">
        <w:t>. Saggar et al. (2013) assessed the mitigating effect of the urease inhibitor nBTPT (sold as ‘Agrotain’), the most widely used product. Saggar et al. (2013) showed that the presently recommended country-specific value of Frac</w:t>
      </w:r>
      <w:r w:rsidRPr="009E06AA">
        <w:rPr>
          <w:vertAlign w:val="subscript"/>
        </w:rPr>
        <w:t>GASF</w:t>
      </w:r>
      <w:r w:rsidRPr="009E06AA">
        <w:t xml:space="preserve"> of 0.1 should be reduced to 0.055 for urease-treated urea fertiliser. This finding was based on field and laboratory studies conducted both in </w:t>
      </w:r>
      <w:r w:rsidRPr="009E06AA" w:rsidDel="004238AD">
        <w:t>New</w:t>
      </w:r>
      <w:r w:rsidRPr="009E06AA">
        <w:t> Zealand and worldwide.</w:t>
      </w:r>
    </w:p>
    <w:p w14:paraId="1BDFEE45" w14:textId="77777777" w:rsidR="007523B8" w:rsidRPr="009E06AA" w:rsidRDefault="007523B8" w:rsidP="007523B8">
      <w:pPr>
        <w:pStyle w:val="BodyText"/>
      </w:pPr>
      <w:r w:rsidRPr="009E06AA">
        <w:t>Indirect N</w:t>
      </w:r>
      <w:r w:rsidRPr="009E06AA">
        <w:rPr>
          <w:vertAlign w:val="subscript"/>
        </w:rPr>
        <w:t>2</w:t>
      </w:r>
      <w:r w:rsidRPr="009E06AA">
        <w:t>O emissions from volatilisation from all synthetic nitrogen fertilisers (including urea and other nitrogen fertilisers, with and without urease inhibitors applied to the urea component) are calculated as shown below:</w:t>
      </w:r>
    </w:p>
    <w:bookmarkStart w:id="1342" w:name="_1767787235"/>
    <w:bookmarkStart w:id="1343" w:name="_1767789425"/>
    <w:bookmarkEnd w:id="1342"/>
    <w:bookmarkEnd w:id="1343"/>
    <w:p w14:paraId="78C489FB" w14:textId="77777777" w:rsidR="007523B8" w:rsidRPr="009E06AA" w:rsidRDefault="008975BF" w:rsidP="007523B8">
      <w:pPr>
        <w:pStyle w:val="BodyText"/>
        <w:spacing w:before="60" w:after="80"/>
        <w:jc w:val="center"/>
      </w:pPr>
      <m:oMathPara>
        <m:oMath>
          <m:sSub>
            <m:sSubPr>
              <m:ctrlPr>
                <w:rPr>
                  <w:rFonts w:ascii="Cambria Math" w:hAnsi="Cambria Math"/>
                  <w:i/>
                  <w:sz w:val="24"/>
                </w:rPr>
              </m:ctrlPr>
            </m:sSubPr>
            <m:e>
              <m:r>
                <w:rPr>
                  <w:rFonts w:ascii="Cambria Math" w:hAnsi="Cambria Math"/>
                  <w:sz w:val="24"/>
                </w:rPr>
                <m:t>N</m:t>
              </m:r>
            </m:e>
            <m:sub>
              <m:r>
                <w:rPr>
                  <w:rFonts w:ascii="Cambria Math" w:hAnsi="Cambria Math"/>
                  <w:sz w:val="24"/>
                </w:rPr>
                <m:t>2</m:t>
              </m:r>
            </m:sub>
          </m:sSub>
          <m:sSub>
            <m:sSubPr>
              <m:ctrlPr>
                <w:rPr>
                  <w:rFonts w:ascii="Cambria Math" w:hAnsi="Cambria Math"/>
                  <w:i/>
                  <w:sz w:val="24"/>
                </w:rPr>
              </m:ctrlPr>
            </m:sSubPr>
            <m:e>
              <m:r>
                <w:rPr>
                  <w:rFonts w:ascii="Cambria Math" w:hAnsi="Cambria Math"/>
                  <w:sz w:val="24"/>
                </w:rPr>
                <m:t>O</m:t>
              </m:r>
            </m:e>
            <m:sub>
              <m:r>
                <w:rPr>
                  <w:rFonts w:ascii="Cambria Math" w:hAnsi="Cambria Math"/>
                  <w:sz w:val="24"/>
                </w:rPr>
                <m:t>ATD</m:t>
              </m:r>
              <m:r>
                <w:rPr>
                  <w:rFonts w:ascii="Cambria Math" w:hAnsi="Cambria Math"/>
                  <w:sz w:val="24"/>
                </w:rPr>
                <m:t>-</m:t>
              </m:r>
              <m:r>
                <w:rPr>
                  <w:rFonts w:ascii="Cambria Math" w:hAnsi="Cambria Math"/>
                  <w:sz w:val="24"/>
                </w:rPr>
                <m:t>FSN</m:t>
              </m:r>
            </m:sub>
          </m:sSub>
          <m:r>
            <w:rPr>
              <w:rFonts w:ascii="Cambria Math" w:hAnsi="Cambria Math"/>
              <w:sz w:val="24"/>
            </w:rPr>
            <m:t xml:space="preserve"> </m:t>
          </m:r>
          <m:r>
            <w:rPr>
              <w:rFonts w:ascii="Cambria Math" w:hAnsi="Cambria Math"/>
              <w:sz w:val="24"/>
            </w:rPr>
            <m:t>emissions</m:t>
          </m:r>
          <m:r>
            <w:rPr>
              <w:rFonts w:ascii="Cambria Math" w:hAnsi="Cambria Math"/>
              <w:sz w:val="24"/>
            </w:rPr>
            <m:t>=</m:t>
          </m:r>
          <m:f>
            <m:fPr>
              <m:ctrlPr>
                <w:rPr>
                  <w:rFonts w:ascii="Cambria Math" w:hAnsi="Cambria Math"/>
                  <w:i/>
                  <w:sz w:val="24"/>
                </w:rPr>
              </m:ctrlPr>
            </m:fPr>
            <m:num>
              <m:r>
                <w:rPr>
                  <w:rFonts w:ascii="Cambria Math" w:hAnsi="Cambria Math"/>
                  <w:sz w:val="24"/>
                </w:rPr>
                <m:t>44</m:t>
              </m:r>
            </m:num>
            <m:den>
              <m:r>
                <w:rPr>
                  <w:rFonts w:ascii="Cambria Math" w:hAnsi="Cambria Math"/>
                  <w:sz w:val="24"/>
                </w:rPr>
                <m:t>28</m:t>
              </m:r>
            </m:den>
          </m:f>
          <m:d>
            <m:dPr>
              <m:ctrlPr>
                <w:rPr>
                  <w:rFonts w:ascii="Cambria Math" w:hAnsi="Cambria Math"/>
                  <w:i/>
                  <w:sz w:val="24"/>
                </w:rPr>
              </m:ctrlPr>
            </m:dPr>
            <m:e>
              <m:sSub>
                <m:sSubPr>
                  <m:ctrlPr>
                    <w:rPr>
                      <w:rFonts w:ascii="Cambria Math" w:hAnsi="Cambria Math"/>
                      <w:i/>
                      <w:sz w:val="24"/>
                    </w:rPr>
                  </m:ctrlPr>
                </m:sSubPr>
                <m:e>
                  <m:r>
                    <w:rPr>
                      <w:rFonts w:ascii="Cambria Math" w:hAnsi="Cambria Math"/>
                      <w:sz w:val="24"/>
                    </w:rPr>
                    <m:t>N</m:t>
                  </m:r>
                </m:e>
                <m:sub>
                  <m:r>
                    <w:rPr>
                      <w:rFonts w:ascii="Cambria Math" w:hAnsi="Cambria Math"/>
                      <w:sz w:val="24"/>
                    </w:rPr>
                    <m:t>2</m:t>
                  </m:r>
                </m:sub>
              </m:sSub>
              <m:sSub>
                <m:sSubPr>
                  <m:ctrlPr>
                    <w:rPr>
                      <w:rFonts w:ascii="Cambria Math" w:hAnsi="Cambria Math"/>
                      <w:i/>
                      <w:sz w:val="24"/>
                    </w:rPr>
                  </m:ctrlPr>
                </m:sSubPr>
                <m:e>
                  <m:r>
                    <w:rPr>
                      <w:rFonts w:ascii="Cambria Math" w:hAnsi="Cambria Math"/>
                      <w:sz w:val="24"/>
                    </w:rPr>
                    <m:t>O</m:t>
                  </m:r>
                </m:e>
                <m:sub>
                  <m:r>
                    <w:rPr>
                      <w:rFonts w:ascii="Cambria Math" w:hAnsi="Cambria Math"/>
                      <w:sz w:val="24"/>
                    </w:rPr>
                    <m:t>ATD</m:t>
                  </m:r>
                  <m:r>
                    <w:rPr>
                      <w:rFonts w:ascii="Cambria Math" w:hAnsi="Cambria Math"/>
                      <w:sz w:val="24"/>
                    </w:rPr>
                    <m:t>-</m:t>
                  </m:r>
                  <m:r>
                    <w:rPr>
                      <w:rFonts w:ascii="Cambria Math" w:hAnsi="Cambria Math"/>
                      <w:sz w:val="24"/>
                    </w:rPr>
                    <m:t>FSN</m:t>
                  </m:r>
                </m:sub>
              </m:sSub>
              <m:r>
                <w:rPr>
                  <w:rFonts w:ascii="Cambria Math" w:hAnsi="Cambria Math"/>
                  <w:sz w:val="24"/>
                </w:rPr>
                <m:t>-</m:t>
              </m:r>
              <m:r>
                <w:rPr>
                  <w:rFonts w:ascii="Cambria Math" w:hAnsi="Cambria Math"/>
                  <w:sz w:val="24"/>
                </w:rPr>
                <m:t>N</m:t>
              </m:r>
            </m:e>
          </m:d>
          <m:r>
            <w:rPr>
              <w:rFonts w:ascii="Cambria Math" w:hAnsi="Cambria Math"/>
              <w:sz w:val="24"/>
            </w:rPr>
            <m:t>=</m:t>
          </m:r>
          <m:f>
            <m:fPr>
              <m:ctrlPr>
                <w:rPr>
                  <w:rFonts w:ascii="Cambria Math" w:hAnsi="Cambria Math"/>
                  <w:i/>
                  <w:sz w:val="24"/>
                </w:rPr>
              </m:ctrlPr>
            </m:fPr>
            <m:num>
              <m:r>
                <w:rPr>
                  <w:rFonts w:ascii="Cambria Math" w:hAnsi="Cambria Math"/>
                  <w:sz w:val="24"/>
                </w:rPr>
                <m:t>44</m:t>
              </m:r>
            </m:num>
            <m:den>
              <m:r>
                <w:rPr>
                  <w:rFonts w:ascii="Cambria Math" w:hAnsi="Cambria Math"/>
                  <w:sz w:val="24"/>
                </w:rPr>
                <m:t>28</m:t>
              </m:r>
            </m:den>
          </m:f>
          <m:nary>
            <m:naryPr>
              <m:chr m:val="∑"/>
              <m:limLoc m:val="undOvr"/>
              <m:supHide m:val="1"/>
              <m:ctrlPr>
                <w:rPr>
                  <w:rFonts w:ascii="Cambria Math" w:hAnsi="Cambria Math"/>
                  <w:i/>
                  <w:sz w:val="24"/>
                </w:rPr>
              </m:ctrlPr>
            </m:naryPr>
            <m:sub>
              <m:r>
                <w:rPr>
                  <w:rFonts w:ascii="Cambria Math" w:hAnsi="Cambria Math"/>
                  <w:sz w:val="24"/>
                </w:rPr>
                <m:t>S</m:t>
              </m:r>
            </m:sub>
            <m:sup/>
            <m:e>
              <m:d>
                <m:dPr>
                  <m:begChr m:val="["/>
                  <m:endChr m:val="]"/>
                  <m:ctrlPr>
                    <w:rPr>
                      <w:rFonts w:ascii="Cambria Math" w:hAnsi="Cambria Math"/>
                      <w:i/>
                      <w:sz w:val="24"/>
                    </w:rPr>
                  </m:ctrlPr>
                </m:dPr>
                <m:e>
                  <m:sSub>
                    <m:sSubPr>
                      <m:ctrlPr>
                        <w:rPr>
                          <w:rFonts w:ascii="Cambria Math" w:hAnsi="Cambria Math"/>
                          <w:i/>
                          <w:sz w:val="24"/>
                        </w:rPr>
                      </m:ctrlPr>
                    </m:sSubPr>
                    <m:e>
                      <m:r>
                        <w:rPr>
                          <w:rFonts w:ascii="Cambria Math" w:hAnsi="Cambria Math"/>
                          <w:sz w:val="24"/>
                        </w:rPr>
                        <m:t>F</m:t>
                      </m:r>
                    </m:e>
                    <m:sub>
                      <m:r>
                        <w:rPr>
                          <w:rFonts w:ascii="Cambria Math" w:hAnsi="Cambria Math"/>
                          <w:sz w:val="24"/>
                        </w:rPr>
                        <m:t>SN</m:t>
                      </m:r>
                    </m:sub>
                  </m:sSub>
                  <m:r>
                    <w:rPr>
                      <w:rFonts w:ascii="Cambria Math" w:hAnsi="Cambria Math"/>
                      <w:sz w:val="24"/>
                    </w:rPr>
                    <m:t>∙</m:t>
                  </m:r>
                  <m:sSub>
                    <m:sSubPr>
                      <m:ctrlPr>
                        <w:rPr>
                          <w:rFonts w:ascii="Cambria Math" w:hAnsi="Cambria Math"/>
                          <w:i/>
                          <w:sz w:val="24"/>
                        </w:rPr>
                      </m:ctrlPr>
                    </m:sSubPr>
                    <m:e>
                      <m:r>
                        <w:rPr>
                          <w:rFonts w:ascii="Cambria Math" w:hAnsi="Cambria Math"/>
                          <w:sz w:val="24"/>
                        </w:rPr>
                        <m:t>Frac</m:t>
                      </m:r>
                    </m:e>
                    <m:sub>
                      <m:r>
                        <w:rPr>
                          <w:rFonts w:ascii="Cambria Math" w:hAnsi="Cambria Math"/>
                          <w:sz w:val="24"/>
                        </w:rPr>
                        <m:t>GASF</m:t>
                      </m:r>
                    </m:sub>
                  </m:sSub>
                </m:e>
              </m:d>
            </m:e>
          </m:nary>
          <m:r>
            <w:rPr>
              <w:rFonts w:ascii="Cambria Math" w:hAnsi="Cambria Math"/>
              <w:sz w:val="24"/>
            </w:rPr>
            <m:t>∙</m:t>
          </m:r>
          <m:sSub>
            <m:sSubPr>
              <m:ctrlPr>
                <w:rPr>
                  <w:rFonts w:ascii="Cambria Math" w:hAnsi="Cambria Math"/>
                  <w:i/>
                  <w:sz w:val="24"/>
                </w:rPr>
              </m:ctrlPr>
            </m:sSubPr>
            <m:e>
              <m:r>
                <w:rPr>
                  <w:rFonts w:ascii="Cambria Math" w:hAnsi="Cambria Math"/>
                  <w:sz w:val="24"/>
                </w:rPr>
                <m:t>EF</m:t>
              </m:r>
            </m:e>
            <m:sub>
              <m:r>
                <w:rPr>
                  <w:rFonts w:ascii="Cambria Math" w:hAnsi="Cambria Math"/>
                  <w:sz w:val="24"/>
                </w:rPr>
                <m:t>4</m:t>
              </m:r>
            </m:sub>
          </m:sSub>
        </m:oMath>
      </m:oMathPara>
    </w:p>
    <w:p w14:paraId="26EE55E0" w14:textId="77777777" w:rsidR="007523B8" w:rsidRPr="009E06AA" w:rsidRDefault="007523B8" w:rsidP="00D47E84">
      <w:pPr>
        <w:pStyle w:val="BodyText"/>
        <w:spacing w:after="40"/>
        <w:ind w:left="964" w:hanging="964"/>
      </w:pPr>
      <w:r w:rsidRPr="009E06AA">
        <w:t>Where:</w:t>
      </w:r>
      <w:r w:rsidRPr="009E06AA">
        <w:tab/>
        <w:t>N</w:t>
      </w:r>
      <w:r w:rsidRPr="009E06AA">
        <w:rPr>
          <w:vertAlign w:val="subscript"/>
        </w:rPr>
        <w:t>2</w:t>
      </w:r>
      <w:r w:rsidRPr="009E06AA">
        <w:t>O</w:t>
      </w:r>
      <w:r w:rsidRPr="009E06AA">
        <w:rPr>
          <w:vertAlign w:val="subscript"/>
        </w:rPr>
        <w:t>ATD-FSN</w:t>
      </w:r>
      <w:r w:rsidRPr="009E06AA">
        <w:t xml:space="preserve"> is the annual amount of N</w:t>
      </w:r>
      <w:r w:rsidRPr="009E06AA">
        <w:rPr>
          <w:vertAlign w:val="subscript"/>
        </w:rPr>
        <w:t>2</w:t>
      </w:r>
      <w:r w:rsidRPr="009E06AA">
        <w:t>O-N produced by atmospheric deposition of volatilised nitrogen from all synthetic nitrogen fertiliser applied to agricultural soils (kg N</w:t>
      </w:r>
      <w:r w:rsidRPr="009E06AA">
        <w:rPr>
          <w:vertAlign w:val="subscript"/>
        </w:rPr>
        <w:t>2</w:t>
      </w:r>
      <w:r w:rsidRPr="009E06AA">
        <w:t>O-N/year)</w:t>
      </w:r>
    </w:p>
    <w:p w14:paraId="2061373D" w14:textId="77777777" w:rsidR="007523B8" w:rsidRPr="009E06AA" w:rsidRDefault="007523B8" w:rsidP="00D47E84">
      <w:pPr>
        <w:pStyle w:val="BodyText"/>
        <w:spacing w:before="40" w:after="40"/>
        <w:ind w:left="964"/>
      </w:pPr>
      <w:r w:rsidRPr="009E06AA">
        <w:t xml:space="preserve">S is urea fertiliser (untreated), urea fertiliser (treated) or non-urea nitrogen fertiliser </w:t>
      </w:r>
    </w:p>
    <w:p w14:paraId="4C90CFDD" w14:textId="77777777" w:rsidR="007523B8" w:rsidRPr="009E06AA" w:rsidRDefault="007523B8" w:rsidP="00D47E84">
      <w:pPr>
        <w:pStyle w:val="BodyText"/>
        <w:spacing w:before="40" w:after="40"/>
        <w:ind w:left="964"/>
      </w:pPr>
      <w:r w:rsidRPr="009E06AA">
        <w:t>F</w:t>
      </w:r>
      <w:r w:rsidRPr="009E06AA">
        <w:rPr>
          <w:vertAlign w:val="subscript"/>
        </w:rPr>
        <w:t>SN</w:t>
      </w:r>
      <w:r w:rsidRPr="009E06AA">
        <w:t xml:space="preserve"> is the total annual amount of synthetic nitrogen fertiliser applied (kg N/year) per fertiliser type, S</w:t>
      </w:r>
    </w:p>
    <w:p w14:paraId="6A832DAB" w14:textId="77777777" w:rsidR="007523B8" w:rsidRPr="009E06AA" w:rsidRDefault="007523B8" w:rsidP="00D47E84">
      <w:pPr>
        <w:pStyle w:val="BodyText"/>
        <w:spacing w:before="40" w:after="40"/>
        <w:ind w:left="964"/>
      </w:pPr>
      <w:r w:rsidRPr="009E06AA">
        <w:t>Frac</w:t>
      </w:r>
      <w:r w:rsidRPr="009E06AA">
        <w:rPr>
          <w:vertAlign w:val="subscript"/>
        </w:rPr>
        <w:t>GASF</w:t>
      </w:r>
      <w:r w:rsidRPr="009E06AA">
        <w:t xml:space="preserve"> is the fraction of nitrogen from synthetic nitrogen fertiliser that volatilises as NH</w:t>
      </w:r>
      <w:r w:rsidRPr="009E06AA">
        <w:rPr>
          <w:vertAlign w:val="subscript"/>
        </w:rPr>
        <w:t>3</w:t>
      </w:r>
      <w:r w:rsidRPr="009E06AA">
        <w:t xml:space="preserve"> and NO</w:t>
      </w:r>
      <w:r w:rsidRPr="009E06AA">
        <w:rPr>
          <w:vertAlign w:val="subscript"/>
        </w:rPr>
        <w:t>x</w:t>
      </w:r>
      <w:r w:rsidRPr="009E06AA">
        <w:t>; 0.055 for treated urea fertiliser and 0.1 for untreated urea and other nitrogen fertiliser, and</w:t>
      </w:r>
    </w:p>
    <w:p w14:paraId="457BF7E6" w14:textId="77777777" w:rsidR="007523B8" w:rsidRPr="009E06AA" w:rsidRDefault="007523B8" w:rsidP="007523B8">
      <w:pPr>
        <w:pStyle w:val="BodyText"/>
        <w:spacing w:before="40"/>
        <w:ind w:left="964"/>
      </w:pPr>
      <w:r w:rsidRPr="009E06AA">
        <w:t>EF</w:t>
      </w:r>
      <w:r w:rsidRPr="009E06AA">
        <w:rPr>
          <w:vertAlign w:val="subscript"/>
        </w:rPr>
        <w:t>4</w:t>
      </w:r>
      <w:r w:rsidRPr="009E06AA">
        <w:t xml:space="preserve"> is the emission factor for N</w:t>
      </w:r>
      <w:r w:rsidRPr="009E06AA">
        <w:rPr>
          <w:vertAlign w:val="subscript"/>
        </w:rPr>
        <w:t>2</w:t>
      </w:r>
      <w:r w:rsidRPr="009E06AA">
        <w:t>O emissions from atmospheric deposition of nitrogen on soils and water; 0.01 per cent.</w:t>
      </w:r>
    </w:p>
    <w:p w14:paraId="3FE21948" w14:textId="77777777" w:rsidR="007523B8" w:rsidRPr="009E06AA" w:rsidRDefault="007523B8" w:rsidP="007523B8">
      <w:pPr>
        <w:pStyle w:val="BodyText"/>
      </w:pPr>
      <w:r w:rsidRPr="009E06AA">
        <w:t>All other emission factors and parameters relating to animal excreta and synthetic nitrogen fertiliser use (Frac</w:t>
      </w:r>
      <w:r w:rsidRPr="009E06AA">
        <w:rPr>
          <w:vertAlign w:val="subscript"/>
        </w:rPr>
        <w:t>GASM</w:t>
      </w:r>
      <w:r w:rsidRPr="009E06AA">
        <w:t>, Frac</w:t>
      </w:r>
      <w:r w:rsidRPr="009E06AA">
        <w:rPr>
          <w:vertAlign w:val="subscript"/>
        </w:rPr>
        <w:t>LEACH</w:t>
      </w:r>
      <w:r w:rsidRPr="009E06AA">
        <w:t xml:space="preserve"> and EF</w:t>
      </w:r>
      <w:r w:rsidRPr="009E06AA">
        <w:rPr>
          <w:vertAlign w:val="subscript"/>
        </w:rPr>
        <w:t>1</w:t>
      </w:r>
      <w:r w:rsidRPr="009E06AA">
        <w:t>) do not change as a result of including urease inhibitors in the calculations. An adjustment for Frac</w:t>
      </w:r>
      <w:r w:rsidRPr="009E06AA">
        <w:rPr>
          <w:vertAlign w:val="subscript"/>
        </w:rPr>
        <w:t>GASM</w:t>
      </w:r>
      <w:r w:rsidRPr="009E06AA">
        <w:t xml:space="preserve"> was not recommended because the effect of urease inhibitors on reducing NH</w:t>
      </w:r>
      <w:r w:rsidRPr="009E06AA">
        <w:rPr>
          <w:vertAlign w:val="subscript"/>
        </w:rPr>
        <w:t>3</w:t>
      </w:r>
      <w:r w:rsidRPr="009E06AA">
        <w:t xml:space="preserve"> volatilisation from animal dung and urine could not be accurately assessed (Saggar et al., 2013).</w:t>
      </w:r>
    </w:p>
    <w:p w14:paraId="5FF0BA1E" w14:textId="77777777" w:rsidR="007523B8" w:rsidRPr="009E06AA" w:rsidRDefault="007523B8" w:rsidP="007523B8">
      <w:pPr>
        <w:pStyle w:val="BodyText"/>
      </w:pPr>
      <w:r w:rsidRPr="009E06AA">
        <w:t xml:space="preserve">Urea fertiliser coated with urease inhibitors was first used commercially in </w:t>
      </w:r>
      <w:r w:rsidRPr="009E06AA" w:rsidDel="00881DC3">
        <w:t xml:space="preserve">New </w:t>
      </w:r>
      <w:r w:rsidRPr="009E06AA">
        <w:t>Zealand in 2001. Activity data on urease inhibitor usage are provided by the Fertiliser Association of New Zealand from sales records.</w:t>
      </w:r>
      <w:r w:rsidRPr="009E06AA">
        <w:rPr>
          <w:rStyle w:val="FootnoteReference"/>
          <w:rFonts w:cs="Calibri"/>
        </w:rPr>
        <w:footnoteReference w:id="52"/>
      </w:r>
      <w:r w:rsidRPr="009E06AA">
        <w:t xml:space="preserve"> These activity data record the total amount of nitrogen in urea fertiliser that has been treated with a urease inhibitor. Some urea fertiliser coated with urease inhibitors is also blended into other non-nitrogen fertiliser products. We do not know the amount used in this manner.</w:t>
      </w:r>
    </w:p>
    <w:p w14:paraId="3120FE5F" w14:textId="5AF00C96" w:rsidR="007523B8" w:rsidRPr="009E06AA" w:rsidRDefault="007523B8" w:rsidP="007523B8">
      <w:pPr>
        <w:pStyle w:val="BodyText"/>
      </w:pPr>
      <w:r w:rsidRPr="009E06AA">
        <w:t>Estimates of the mitigation impact of urease inhibitors on N</w:t>
      </w:r>
      <w:r w:rsidRPr="009E06AA">
        <w:rPr>
          <w:vertAlign w:val="subscript"/>
        </w:rPr>
        <w:t>2</w:t>
      </w:r>
      <w:r w:rsidRPr="009E06AA">
        <w:t>O emissions from volatilisation for the calendar years 2001 to 2022 are shown in table 5.5.9. In 2014, 2016 and 2019, large</w:t>
      </w:r>
      <w:r w:rsidR="004541BD" w:rsidRPr="009E06AA">
        <w:t> </w:t>
      </w:r>
      <w:r w:rsidRPr="009E06AA">
        <w:t>increases occurred in the use of urease inhibitors. The percentage of urea fertiliser applied with urease inhibitor has for the first time passed 50 per cent in 2021 and reached 55.1</w:t>
      </w:r>
      <w:r w:rsidR="004541BD" w:rsidRPr="009E06AA">
        <w:t> </w:t>
      </w:r>
      <w:r w:rsidRPr="009E06AA">
        <w:t>per cent in 2022.</w:t>
      </w:r>
    </w:p>
    <w:p w14:paraId="59CB4473" w14:textId="77777777" w:rsidR="007523B8" w:rsidRPr="009E06AA" w:rsidRDefault="007523B8" w:rsidP="007523B8">
      <w:pPr>
        <w:pStyle w:val="Table"/>
        <w:rPr>
          <w:rFonts w:cs="Calibri"/>
        </w:rPr>
      </w:pPr>
      <w:bookmarkStart w:id="1344" w:name="_Toc441830884"/>
      <w:bookmarkStart w:id="1345" w:name="_Toc451176098"/>
      <w:bookmarkStart w:id="1346" w:name="_Toc481751526"/>
      <w:bookmarkStart w:id="1347" w:name="_Toc507158614"/>
      <w:bookmarkStart w:id="1348" w:name="_Toc511116748"/>
      <w:bookmarkStart w:id="1349" w:name="_Toc5269490"/>
      <w:bookmarkStart w:id="1350" w:name="_Toc32570935"/>
      <w:bookmarkStart w:id="1351" w:name="_Toc36224570"/>
      <w:bookmarkStart w:id="1352" w:name="_Toc68786455"/>
      <w:bookmarkStart w:id="1353" w:name="_Toc95574088"/>
      <w:bookmarkStart w:id="1354" w:name="_Toc127458275"/>
      <w:bookmarkStart w:id="1355" w:name="_Toc131591371"/>
      <w:bookmarkStart w:id="1356" w:name="_Toc160114465"/>
      <w:bookmarkStart w:id="1357" w:name="_Toc164153861"/>
      <w:r w:rsidRPr="009E06AA">
        <w:rPr>
          <w:rFonts w:cs="Calibri"/>
        </w:rPr>
        <w:t>Table 5.5.9</w:t>
      </w:r>
      <w:r w:rsidRPr="009E06AA">
        <w:rPr>
          <w:rFonts w:cs="Calibri"/>
        </w:rPr>
        <w:tab/>
        <w:t>Mitigation impact of urease inhibitors on nitrous oxide emissions from volatilisation,</w:t>
      </w:r>
      <w:r w:rsidRPr="009E06AA">
        <w:rPr>
          <w:rFonts w:cs="Calibri"/>
        </w:rPr>
        <w:br/>
        <w:t xml:space="preserve">from 2001 to </w:t>
      </w:r>
      <w:bookmarkEnd w:id="1344"/>
      <w:bookmarkEnd w:id="1345"/>
      <w:bookmarkEnd w:id="1346"/>
      <w:bookmarkEnd w:id="1347"/>
      <w:bookmarkEnd w:id="1348"/>
      <w:bookmarkEnd w:id="1349"/>
      <w:bookmarkEnd w:id="1350"/>
      <w:bookmarkEnd w:id="1351"/>
      <w:bookmarkEnd w:id="1352"/>
      <w:bookmarkEnd w:id="1353"/>
      <w:r w:rsidRPr="009E06AA">
        <w:rPr>
          <w:rFonts w:cs="Calibri"/>
        </w:rPr>
        <w:t>202</w:t>
      </w:r>
      <w:bookmarkEnd w:id="1354"/>
      <w:bookmarkEnd w:id="1355"/>
      <w:r w:rsidRPr="009E06AA">
        <w:rPr>
          <w:rFonts w:cs="Calibri"/>
        </w:rPr>
        <w:t>2</w:t>
      </w:r>
      <w:bookmarkEnd w:id="1356"/>
      <w:bookmarkEnd w:id="1357"/>
      <w:r w:rsidRPr="009E06AA">
        <w:rPr>
          <w:rFonts w:cs="Calibri"/>
        </w:rPr>
        <w:t xml:space="preserve"> </w:t>
      </w:r>
    </w:p>
    <w:tbl>
      <w:tblPr>
        <w:tblW w:w="8505" w:type="dxa"/>
        <w:tblBorders>
          <w:top w:val="single" w:sz="4" w:space="0" w:color="1B556B" w:themeColor="text2"/>
          <w:bottom w:val="single" w:sz="4" w:space="0" w:color="1B556B" w:themeColor="text2"/>
          <w:insideH w:val="single" w:sz="4" w:space="0" w:color="1B556B" w:themeColor="text2"/>
        </w:tblBorders>
        <w:tblLayout w:type="fixed"/>
        <w:tblCellMar>
          <w:left w:w="85" w:type="dxa"/>
          <w:right w:w="85" w:type="dxa"/>
        </w:tblCellMar>
        <w:tblLook w:val="00A0" w:firstRow="1" w:lastRow="0" w:firstColumn="1" w:lastColumn="0" w:noHBand="0" w:noVBand="0"/>
      </w:tblPr>
      <w:tblGrid>
        <w:gridCol w:w="1113"/>
        <w:gridCol w:w="3928"/>
        <w:gridCol w:w="3464"/>
      </w:tblGrid>
      <w:tr w:rsidR="007523B8" w:rsidRPr="009E06AA" w14:paraId="27568B77" w14:textId="77777777" w:rsidTr="00B55F24">
        <w:trPr>
          <w:tblHeader/>
        </w:trPr>
        <w:tc>
          <w:tcPr>
            <w:tcW w:w="1113" w:type="dxa"/>
            <w:shd w:val="clear" w:color="auto" w:fill="1B556B"/>
            <w:vAlign w:val="bottom"/>
          </w:tcPr>
          <w:p w14:paraId="660DC39F" w14:textId="77777777" w:rsidR="007523B8" w:rsidRPr="009E06AA" w:rsidRDefault="007523B8" w:rsidP="00B55F24">
            <w:pPr>
              <w:pStyle w:val="TableTextBold"/>
              <w:spacing w:before="40" w:after="40"/>
              <w:rPr>
                <w:noProof w:val="0"/>
                <w:color w:val="FFFFFF" w:themeColor="background1"/>
                <w:szCs w:val="16"/>
              </w:rPr>
            </w:pPr>
            <w:r w:rsidRPr="009E06AA">
              <w:rPr>
                <w:noProof w:val="0"/>
                <w:color w:val="FFFFFF" w:themeColor="background1"/>
                <w:szCs w:val="16"/>
              </w:rPr>
              <w:t>Year</w:t>
            </w:r>
          </w:p>
        </w:tc>
        <w:tc>
          <w:tcPr>
            <w:tcW w:w="3928" w:type="dxa"/>
            <w:shd w:val="clear" w:color="auto" w:fill="1B556B"/>
          </w:tcPr>
          <w:p w14:paraId="39168E6B" w14:textId="77777777" w:rsidR="007523B8" w:rsidRPr="009E06AA" w:rsidRDefault="007523B8" w:rsidP="009D3391">
            <w:pPr>
              <w:pStyle w:val="TableTextBold"/>
              <w:spacing w:before="40" w:after="40"/>
              <w:jc w:val="right"/>
              <w:rPr>
                <w:i/>
                <w:iCs/>
                <w:noProof w:val="0"/>
                <w:color w:val="FFFFFF" w:themeColor="background1"/>
                <w:szCs w:val="16"/>
              </w:rPr>
            </w:pPr>
            <w:r w:rsidRPr="009E06AA">
              <w:rPr>
                <w:noProof w:val="0"/>
                <w:color w:val="FFFFFF" w:themeColor="background1"/>
                <w:szCs w:val="16"/>
              </w:rPr>
              <w:t>Percentage of urea fertiliser applied that included urease inhibitor (urea treated/total urea)</w:t>
            </w:r>
          </w:p>
        </w:tc>
        <w:tc>
          <w:tcPr>
            <w:tcW w:w="3464" w:type="dxa"/>
            <w:shd w:val="clear" w:color="auto" w:fill="1B556B"/>
          </w:tcPr>
          <w:p w14:paraId="316268AD" w14:textId="77777777" w:rsidR="007523B8" w:rsidRPr="009E06AA" w:rsidRDefault="007523B8" w:rsidP="009D3391">
            <w:pPr>
              <w:pStyle w:val="TableTextBold"/>
              <w:spacing w:before="40" w:after="40"/>
              <w:jc w:val="right"/>
              <w:rPr>
                <w:i/>
                <w:iCs/>
                <w:noProof w:val="0"/>
                <w:color w:val="FFFFFF" w:themeColor="background1"/>
                <w:szCs w:val="16"/>
              </w:rPr>
            </w:pPr>
            <w:r w:rsidRPr="009E06AA">
              <w:rPr>
                <w:noProof w:val="0"/>
                <w:color w:val="FFFFFF" w:themeColor="background1"/>
                <w:szCs w:val="16"/>
              </w:rPr>
              <w:t>Estimated greenhouse gas mitigation from using urease inhibitor (kt CO</w:t>
            </w:r>
            <w:r w:rsidRPr="009E06AA">
              <w:rPr>
                <w:noProof w:val="0"/>
                <w:color w:val="FFFFFF" w:themeColor="background1"/>
                <w:szCs w:val="16"/>
                <w:vertAlign w:val="subscript"/>
              </w:rPr>
              <w:t>2</w:t>
            </w:r>
            <w:r w:rsidRPr="009E06AA">
              <w:rPr>
                <w:noProof w:val="0"/>
                <w:color w:val="FFFFFF" w:themeColor="background1"/>
                <w:szCs w:val="16"/>
              </w:rPr>
              <w:t>-e)</w:t>
            </w:r>
          </w:p>
        </w:tc>
      </w:tr>
      <w:tr w:rsidR="007523B8" w:rsidRPr="009E06AA" w14:paraId="22636F98" w14:textId="77777777" w:rsidTr="00B55F24">
        <w:tc>
          <w:tcPr>
            <w:tcW w:w="1113" w:type="dxa"/>
            <w:shd w:val="clear" w:color="auto" w:fill="auto"/>
          </w:tcPr>
          <w:p w14:paraId="3E312D2C" w14:textId="77777777" w:rsidR="007523B8" w:rsidRPr="009E06AA" w:rsidRDefault="007523B8" w:rsidP="00B55F24">
            <w:pPr>
              <w:pStyle w:val="TableText"/>
              <w:spacing w:before="40" w:after="40"/>
              <w:rPr>
                <w:rFonts w:cs="Calibri"/>
                <w:szCs w:val="16"/>
              </w:rPr>
            </w:pPr>
            <w:r w:rsidRPr="009E06AA">
              <w:rPr>
                <w:rFonts w:cs="Calibri"/>
                <w:szCs w:val="16"/>
              </w:rPr>
              <w:t>2001</w:t>
            </w:r>
          </w:p>
        </w:tc>
        <w:tc>
          <w:tcPr>
            <w:tcW w:w="3928" w:type="dxa"/>
            <w:shd w:val="clear" w:color="auto" w:fill="auto"/>
          </w:tcPr>
          <w:p w14:paraId="7F9EBBC2" w14:textId="77777777" w:rsidR="007523B8" w:rsidRPr="009E06AA" w:rsidRDefault="007523B8" w:rsidP="009D3391">
            <w:pPr>
              <w:pStyle w:val="TableText"/>
              <w:spacing w:before="40" w:after="40"/>
              <w:jc w:val="right"/>
              <w:rPr>
                <w:rFonts w:cs="Calibri"/>
                <w:szCs w:val="16"/>
              </w:rPr>
            </w:pPr>
            <w:r w:rsidRPr="009E06AA">
              <w:t>5.6</w:t>
            </w:r>
          </w:p>
        </w:tc>
        <w:tc>
          <w:tcPr>
            <w:tcW w:w="3464" w:type="dxa"/>
            <w:shd w:val="clear" w:color="auto" w:fill="auto"/>
          </w:tcPr>
          <w:p w14:paraId="07960C53" w14:textId="77777777" w:rsidR="007523B8" w:rsidRPr="009E06AA" w:rsidRDefault="007523B8" w:rsidP="009D3391">
            <w:pPr>
              <w:pStyle w:val="TableText"/>
              <w:spacing w:before="40" w:after="40"/>
              <w:jc w:val="right"/>
              <w:rPr>
                <w:rFonts w:cs="Calibri"/>
                <w:szCs w:val="16"/>
              </w:rPr>
            </w:pPr>
            <w:r w:rsidRPr="009E06AA">
              <w:t>2.0</w:t>
            </w:r>
          </w:p>
        </w:tc>
      </w:tr>
      <w:tr w:rsidR="007523B8" w:rsidRPr="009E06AA" w14:paraId="0E153F54" w14:textId="77777777" w:rsidTr="00B55F24">
        <w:tc>
          <w:tcPr>
            <w:tcW w:w="1113" w:type="dxa"/>
            <w:shd w:val="clear" w:color="auto" w:fill="auto"/>
          </w:tcPr>
          <w:p w14:paraId="5BBCF0D6" w14:textId="77777777" w:rsidR="007523B8" w:rsidRPr="009E06AA" w:rsidRDefault="007523B8" w:rsidP="00B55F24">
            <w:pPr>
              <w:pStyle w:val="TableText"/>
              <w:spacing w:before="40" w:after="40"/>
              <w:rPr>
                <w:rFonts w:cs="Calibri"/>
                <w:szCs w:val="16"/>
              </w:rPr>
            </w:pPr>
            <w:r w:rsidRPr="009E06AA">
              <w:rPr>
                <w:rFonts w:cs="Calibri"/>
                <w:szCs w:val="16"/>
              </w:rPr>
              <w:t>2002</w:t>
            </w:r>
          </w:p>
        </w:tc>
        <w:tc>
          <w:tcPr>
            <w:tcW w:w="3928" w:type="dxa"/>
            <w:shd w:val="clear" w:color="auto" w:fill="auto"/>
          </w:tcPr>
          <w:p w14:paraId="7A701AAE" w14:textId="77777777" w:rsidR="007523B8" w:rsidRPr="009E06AA" w:rsidRDefault="007523B8" w:rsidP="009D3391">
            <w:pPr>
              <w:pStyle w:val="TableText"/>
              <w:spacing w:before="40" w:after="40"/>
              <w:jc w:val="right"/>
              <w:rPr>
                <w:rFonts w:cs="Calibri"/>
                <w:szCs w:val="16"/>
              </w:rPr>
            </w:pPr>
            <w:r w:rsidRPr="009E06AA">
              <w:t>3.8</w:t>
            </w:r>
          </w:p>
        </w:tc>
        <w:tc>
          <w:tcPr>
            <w:tcW w:w="3464" w:type="dxa"/>
            <w:shd w:val="clear" w:color="auto" w:fill="auto"/>
          </w:tcPr>
          <w:p w14:paraId="39BC765A" w14:textId="77777777" w:rsidR="007523B8" w:rsidRPr="009E06AA" w:rsidRDefault="007523B8" w:rsidP="009D3391">
            <w:pPr>
              <w:pStyle w:val="TableText"/>
              <w:spacing w:before="40" w:after="40"/>
              <w:jc w:val="right"/>
              <w:rPr>
                <w:rFonts w:cs="Calibri"/>
                <w:szCs w:val="16"/>
              </w:rPr>
            </w:pPr>
            <w:r w:rsidRPr="009E06AA">
              <w:t>1.7</w:t>
            </w:r>
          </w:p>
        </w:tc>
      </w:tr>
      <w:tr w:rsidR="007523B8" w:rsidRPr="009E06AA" w14:paraId="0FE076AF" w14:textId="77777777" w:rsidTr="00B55F24">
        <w:tc>
          <w:tcPr>
            <w:tcW w:w="1113" w:type="dxa"/>
            <w:shd w:val="clear" w:color="auto" w:fill="auto"/>
          </w:tcPr>
          <w:p w14:paraId="602B2AD1" w14:textId="77777777" w:rsidR="007523B8" w:rsidRPr="009E06AA" w:rsidDel="00E408EA" w:rsidRDefault="007523B8" w:rsidP="00B55F24">
            <w:pPr>
              <w:pStyle w:val="TableText"/>
              <w:spacing w:before="40" w:after="40"/>
              <w:rPr>
                <w:rFonts w:cs="Calibri"/>
                <w:szCs w:val="16"/>
              </w:rPr>
            </w:pPr>
            <w:r w:rsidRPr="009E06AA">
              <w:rPr>
                <w:rFonts w:cs="Calibri"/>
                <w:szCs w:val="16"/>
              </w:rPr>
              <w:t>2003</w:t>
            </w:r>
          </w:p>
        </w:tc>
        <w:tc>
          <w:tcPr>
            <w:tcW w:w="3928" w:type="dxa"/>
            <w:shd w:val="clear" w:color="auto" w:fill="auto"/>
          </w:tcPr>
          <w:p w14:paraId="731681B1" w14:textId="77777777" w:rsidR="007523B8" w:rsidRPr="009E06AA" w:rsidRDefault="007523B8" w:rsidP="009D3391">
            <w:pPr>
              <w:pStyle w:val="TableText"/>
              <w:spacing w:before="40" w:after="40"/>
              <w:jc w:val="right"/>
              <w:rPr>
                <w:rFonts w:cs="Calibri"/>
                <w:color w:val="000000"/>
                <w:szCs w:val="16"/>
              </w:rPr>
            </w:pPr>
            <w:r w:rsidRPr="009E06AA">
              <w:t>4.6</w:t>
            </w:r>
          </w:p>
        </w:tc>
        <w:tc>
          <w:tcPr>
            <w:tcW w:w="3464" w:type="dxa"/>
            <w:shd w:val="clear" w:color="auto" w:fill="auto"/>
          </w:tcPr>
          <w:p w14:paraId="417A6779" w14:textId="77777777" w:rsidR="007523B8" w:rsidRPr="009E06AA" w:rsidRDefault="007523B8" w:rsidP="009D3391">
            <w:pPr>
              <w:pStyle w:val="TableText"/>
              <w:spacing w:before="40" w:after="40"/>
              <w:jc w:val="right"/>
              <w:rPr>
                <w:rFonts w:cs="Calibri"/>
                <w:color w:val="000000"/>
                <w:szCs w:val="16"/>
              </w:rPr>
            </w:pPr>
            <w:r w:rsidRPr="009E06AA">
              <w:t>2.3</w:t>
            </w:r>
          </w:p>
        </w:tc>
      </w:tr>
      <w:tr w:rsidR="007523B8" w:rsidRPr="009E06AA" w14:paraId="3C96A979" w14:textId="77777777" w:rsidTr="00B55F24">
        <w:tc>
          <w:tcPr>
            <w:tcW w:w="1113" w:type="dxa"/>
            <w:shd w:val="clear" w:color="auto" w:fill="auto"/>
          </w:tcPr>
          <w:p w14:paraId="3135D65E" w14:textId="77777777" w:rsidR="007523B8" w:rsidRPr="009E06AA" w:rsidDel="00E408EA" w:rsidRDefault="007523B8" w:rsidP="00B55F24">
            <w:pPr>
              <w:pStyle w:val="TableText"/>
              <w:spacing w:before="40" w:after="40"/>
              <w:rPr>
                <w:rFonts w:cs="Calibri"/>
                <w:szCs w:val="16"/>
              </w:rPr>
            </w:pPr>
            <w:r w:rsidRPr="009E06AA">
              <w:rPr>
                <w:rFonts w:cs="Calibri"/>
                <w:szCs w:val="16"/>
              </w:rPr>
              <w:t>2004</w:t>
            </w:r>
          </w:p>
        </w:tc>
        <w:tc>
          <w:tcPr>
            <w:tcW w:w="3928" w:type="dxa"/>
            <w:shd w:val="clear" w:color="auto" w:fill="auto"/>
          </w:tcPr>
          <w:p w14:paraId="796D8FDD" w14:textId="77777777" w:rsidR="007523B8" w:rsidRPr="009E06AA" w:rsidRDefault="007523B8" w:rsidP="009D3391">
            <w:pPr>
              <w:pStyle w:val="TableText"/>
              <w:spacing w:before="40" w:after="40"/>
              <w:jc w:val="right"/>
              <w:rPr>
                <w:rFonts w:cs="Calibri"/>
                <w:color w:val="000000"/>
                <w:szCs w:val="16"/>
              </w:rPr>
            </w:pPr>
            <w:r w:rsidRPr="009E06AA">
              <w:t>8.1</w:t>
            </w:r>
          </w:p>
        </w:tc>
        <w:tc>
          <w:tcPr>
            <w:tcW w:w="3464" w:type="dxa"/>
            <w:shd w:val="clear" w:color="auto" w:fill="auto"/>
          </w:tcPr>
          <w:p w14:paraId="7B350891" w14:textId="77777777" w:rsidR="007523B8" w:rsidRPr="009E06AA" w:rsidRDefault="007523B8" w:rsidP="009D3391">
            <w:pPr>
              <w:pStyle w:val="TableText"/>
              <w:spacing w:before="40" w:after="40"/>
              <w:jc w:val="right"/>
              <w:rPr>
                <w:rFonts w:cs="Calibri"/>
                <w:color w:val="000000"/>
                <w:szCs w:val="16"/>
              </w:rPr>
            </w:pPr>
            <w:r w:rsidRPr="009E06AA">
              <w:t>4.3</w:t>
            </w:r>
          </w:p>
        </w:tc>
      </w:tr>
      <w:tr w:rsidR="007523B8" w:rsidRPr="009E06AA" w14:paraId="6213E7E1" w14:textId="77777777" w:rsidTr="00B55F24">
        <w:tc>
          <w:tcPr>
            <w:tcW w:w="1113" w:type="dxa"/>
            <w:shd w:val="clear" w:color="auto" w:fill="auto"/>
          </w:tcPr>
          <w:p w14:paraId="7AF0581A" w14:textId="77777777" w:rsidR="007523B8" w:rsidRPr="009E06AA" w:rsidRDefault="007523B8" w:rsidP="00B55F24">
            <w:pPr>
              <w:pStyle w:val="TableText"/>
              <w:spacing w:before="40" w:after="40"/>
              <w:rPr>
                <w:rFonts w:cs="Calibri"/>
                <w:szCs w:val="16"/>
              </w:rPr>
            </w:pPr>
            <w:r w:rsidRPr="009E06AA">
              <w:rPr>
                <w:rFonts w:cs="Calibri"/>
                <w:szCs w:val="16"/>
              </w:rPr>
              <w:t>2005</w:t>
            </w:r>
          </w:p>
        </w:tc>
        <w:tc>
          <w:tcPr>
            <w:tcW w:w="3928" w:type="dxa"/>
            <w:shd w:val="clear" w:color="auto" w:fill="auto"/>
          </w:tcPr>
          <w:p w14:paraId="7170D2C8" w14:textId="77777777" w:rsidR="007523B8" w:rsidRPr="009E06AA" w:rsidRDefault="007523B8" w:rsidP="009D3391">
            <w:pPr>
              <w:pStyle w:val="TableText"/>
              <w:spacing w:before="40" w:after="40"/>
              <w:jc w:val="right"/>
              <w:rPr>
                <w:rFonts w:cs="Calibri"/>
                <w:color w:val="000000"/>
                <w:szCs w:val="16"/>
              </w:rPr>
            </w:pPr>
            <w:r w:rsidRPr="009E06AA">
              <w:t>1.6</w:t>
            </w:r>
          </w:p>
        </w:tc>
        <w:tc>
          <w:tcPr>
            <w:tcW w:w="3464" w:type="dxa"/>
            <w:shd w:val="clear" w:color="auto" w:fill="auto"/>
          </w:tcPr>
          <w:p w14:paraId="10532DE2" w14:textId="77777777" w:rsidR="007523B8" w:rsidRPr="009E06AA" w:rsidRDefault="007523B8" w:rsidP="009D3391">
            <w:pPr>
              <w:pStyle w:val="TableText"/>
              <w:spacing w:before="40" w:after="40"/>
              <w:jc w:val="right"/>
              <w:rPr>
                <w:rFonts w:cs="Calibri"/>
                <w:color w:val="000000"/>
                <w:szCs w:val="16"/>
              </w:rPr>
            </w:pPr>
            <w:r w:rsidRPr="009E06AA">
              <w:t>0.9</w:t>
            </w:r>
          </w:p>
        </w:tc>
      </w:tr>
      <w:tr w:rsidR="007523B8" w:rsidRPr="009E06AA" w14:paraId="43DA143E" w14:textId="77777777" w:rsidTr="00B55F24">
        <w:tc>
          <w:tcPr>
            <w:tcW w:w="1113" w:type="dxa"/>
            <w:shd w:val="clear" w:color="auto" w:fill="auto"/>
          </w:tcPr>
          <w:p w14:paraId="30B38618" w14:textId="77777777" w:rsidR="007523B8" w:rsidRPr="009E06AA" w:rsidRDefault="007523B8" w:rsidP="00B55F24">
            <w:pPr>
              <w:pStyle w:val="TableText"/>
              <w:spacing w:before="40" w:after="40"/>
              <w:rPr>
                <w:rFonts w:cs="Calibri"/>
                <w:szCs w:val="16"/>
              </w:rPr>
            </w:pPr>
            <w:r w:rsidRPr="009E06AA">
              <w:rPr>
                <w:rFonts w:cs="Calibri"/>
                <w:szCs w:val="16"/>
              </w:rPr>
              <w:t>2006</w:t>
            </w:r>
          </w:p>
        </w:tc>
        <w:tc>
          <w:tcPr>
            <w:tcW w:w="3928" w:type="dxa"/>
            <w:shd w:val="clear" w:color="auto" w:fill="auto"/>
          </w:tcPr>
          <w:p w14:paraId="722C1B03" w14:textId="77777777" w:rsidR="007523B8" w:rsidRPr="009E06AA" w:rsidRDefault="007523B8" w:rsidP="009D3391">
            <w:pPr>
              <w:pStyle w:val="TableText"/>
              <w:spacing w:before="40" w:after="40"/>
              <w:jc w:val="right"/>
              <w:rPr>
                <w:rFonts w:cs="Calibri"/>
                <w:color w:val="000000"/>
                <w:szCs w:val="16"/>
              </w:rPr>
            </w:pPr>
            <w:r w:rsidRPr="009E06AA">
              <w:t>8.4</w:t>
            </w:r>
          </w:p>
        </w:tc>
        <w:tc>
          <w:tcPr>
            <w:tcW w:w="3464" w:type="dxa"/>
            <w:shd w:val="clear" w:color="auto" w:fill="auto"/>
          </w:tcPr>
          <w:p w14:paraId="21152932" w14:textId="77777777" w:rsidR="007523B8" w:rsidRPr="009E06AA" w:rsidRDefault="007523B8" w:rsidP="009D3391">
            <w:pPr>
              <w:pStyle w:val="TableText"/>
              <w:spacing w:before="40" w:after="40"/>
              <w:jc w:val="right"/>
              <w:rPr>
                <w:rFonts w:cs="Calibri"/>
                <w:color w:val="000000"/>
                <w:szCs w:val="16"/>
              </w:rPr>
            </w:pPr>
            <w:r w:rsidRPr="009E06AA">
              <w:t>4.2</w:t>
            </w:r>
          </w:p>
        </w:tc>
      </w:tr>
      <w:tr w:rsidR="007523B8" w:rsidRPr="009E06AA" w14:paraId="76E1DAC7" w14:textId="77777777" w:rsidTr="00B55F24">
        <w:tc>
          <w:tcPr>
            <w:tcW w:w="1113" w:type="dxa"/>
            <w:shd w:val="clear" w:color="auto" w:fill="auto"/>
          </w:tcPr>
          <w:p w14:paraId="20476764" w14:textId="77777777" w:rsidR="007523B8" w:rsidRPr="009E06AA" w:rsidRDefault="007523B8" w:rsidP="00B55F24">
            <w:pPr>
              <w:pStyle w:val="TableText"/>
              <w:spacing w:before="40" w:after="40"/>
              <w:rPr>
                <w:rFonts w:cs="Calibri"/>
                <w:szCs w:val="16"/>
              </w:rPr>
            </w:pPr>
            <w:r w:rsidRPr="009E06AA">
              <w:rPr>
                <w:rFonts w:cs="Calibri"/>
                <w:szCs w:val="16"/>
              </w:rPr>
              <w:t>2007</w:t>
            </w:r>
          </w:p>
        </w:tc>
        <w:tc>
          <w:tcPr>
            <w:tcW w:w="3928" w:type="dxa"/>
            <w:shd w:val="clear" w:color="auto" w:fill="auto"/>
          </w:tcPr>
          <w:p w14:paraId="6E562B23" w14:textId="77777777" w:rsidR="007523B8" w:rsidRPr="009E06AA" w:rsidRDefault="007523B8" w:rsidP="009D3391">
            <w:pPr>
              <w:pStyle w:val="TableText"/>
              <w:spacing w:before="40" w:after="40"/>
              <w:jc w:val="right"/>
              <w:rPr>
                <w:rFonts w:cs="Calibri"/>
                <w:color w:val="000000"/>
                <w:szCs w:val="16"/>
              </w:rPr>
            </w:pPr>
            <w:r w:rsidRPr="009E06AA">
              <w:t>5.0</w:t>
            </w:r>
          </w:p>
        </w:tc>
        <w:tc>
          <w:tcPr>
            <w:tcW w:w="3464" w:type="dxa"/>
            <w:shd w:val="clear" w:color="auto" w:fill="auto"/>
          </w:tcPr>
          <w:p w14:paraId="7AC1C650" w14:textId="77777777" w:rsidR="007523B8" w:rsidRPr="009E06AA" w:rsidRDefault="007523B8" w:rsidP="009D3391">
            <w:pPr>
              <w:pStyle w:val="TableText"/>
              <w:spacing w:before="40" w:after="40"/>
              <w:jc w:val="right"/>
              <w:rPr>
                <w:rFonts w:cs="Calibri"/>
                <w:color w:val="000000"/>
                <w:szCs w:val="16"/>
              </w:rPr>
            </w:pPr>
            <w:r w:rsidRPr="009E06AA">
              <w:t>2.7</w:t>
            </w:r>
          </w:p>
        </w:tc>
      </w:tr>
      <w:tr w:rsidR="007523B8" w:rsidRPr="009E06AA" w14:paraId="3E476221" w14:textId="77777777" w:rsidTr="00B55F24">
        <w:tc>
          <w:tcPr>
            <w:tcW w:w="1113" w:type="dxa"/>
            <w:shd w:val="clear" w:color="auto" w:fill="auto"/>
          </w:tcPr>
          <w:p w14:paraId="5192FDE7" w14:textId="77777777" w:rsidR="007523B8" w:rsidRPr="009E06AA" w:rsidRDefault="007523B8" w:rsidP="00B55F24">
            <w:pPr>
              <w:pStyle w:val="TableText"/>
              <w:spacing w:before="40" w:after="40"/>
              <w:rPr>
                <w:rFonts w:cs="Calibri"/>
                <w:szCs w:val="16"/>
              </w:rPr>
            </w:pPr>
            <w:r w:rsidRPr="009E06AA">
              <w:rPr>
                <w:rFonts w:cs="Calibri"/>
                <w:szCs w:val="16"/>
              </w:rPr>
              <w:t>2008</w:t>
            </w:r>
          </w:p>
        </w:tc>
        <w:tc>
          <w:tcPr>
            <w:tcW w:w="3928" w:type="dxa"/>
            <w:shd w:val="clear" w:color="auto" w:fill="auto"/>
          </w:tcPr>
          <w:p w14:paraId="0F235944" w14:textId="77777777" w:rsidR="007523B8" w:rsidRPr="009E06AA" w:rsidRDefault="007523B8" w:rsidP="009D3391">
            <w:pPr>
              <w:pStyle w:val="TableText"/>
              <w:spacing w:before="40" w:after="40"/>
              <w:jc w:val="right"/>
              <w:rPr>
                <w:rFonts w:cs="Calibri"/>
                <w:color w:val="000000"/>
                <w:szCs w:val="16"/>
              </w:rPr>
            </w:pPr>
            <w:r w:rsidRPr="009E06AA">
              <w:t>5.2</w:t>
            </w:r>
          </w:p>
        </w:tc>
        <w:tc>
          <w:tcPr>
            <w:tcW w:w="3464" w:type="dxa"/>
            <w:shd w:val="clear" w:color="auto" w:fill="auto"/>
          </w:tcPr>
          <w:p w14:paraId="5A245114" w14:textId="77777777" w:rsidR="007523B8" w:rsidRPr="009E06AA" w:rsidRDefault="007523B8" w:rsidP="009D3391">
            <w:pPr>
              <w:pStyle w:val="TableText"/>
              <w:spacing w:before="40" w:after="40"/>
              <w:jc w:val="right"/>
              <w:rPr>
                <w:rFonts w:cs="Calibri"/>
                <w:color w:val="000000"/>
                <w:szCs w:val="16"/>
              </w:rPr>
            </w:pPr>
            <w:r w:rsidRPr="009E06AA">
              <w:t>2.7</w:t>
            </w:r>
          </w:p>
        </w:tc>
      </w:tr>
      <w:tr w:rsidR="007523B8" w:rsidRPr="009E06AA" w14:paraId="2D940BBF" w14:textId="77777777" w:rsidTr="00B55F24">
        <w:tc>
          <w:tcPr>
            <w:tcW w:w="1113" w:type="dxa"/>
            <w:shd w:val="clear" w:color="auto" w:fill="auto"/>
          </w:tcPr>
          <w:p w14:paraId="538C5B1D" w14:textId="77777777" w:rsidR="007523B8" w:rsidRPr="009E06AA" w:rsidRDefault="007523B8" w:rsidP="00B55F24">
            <w:pPr>
              <w:pStyle w:val="TableText"/>
              <w:spacing w:before="40" w:after="40"/>
              <w:rPr>
                <w:rFonts w:cs="Calibri"/>
                <w:szCs w:val="16"/>
              </w:rPr>
            </w:pPr>
            <w:r w:rsidRPr="009E06AA">
              <w:rPr>
                <w:rFonts w:cs="Calibri"/>
                <w:szCs w:val="16"/>
              </w:rPr>
              <w:t>2009</w:t>
            </w:r>
          </w:p>
        </w:tc>
        <w:tc>
          <w:tcPr>
            <w:tcW w:w="3928" w:type="dxa"/>
            <w:shd w:val="clear" w:color="auto" w:fill="auto"/>
          </w:tcPr>
          <w:p w14:paraId="4A903A2E" w14:textId="77777777" w:rsidR="007523B8" w:rsidRPr="009E06AA" w:rsidRDefault="007523B8" w:rsidP="009D3391">
            <w:pPr>
              <w:pStyle w:val="TableText"/>
              <w:spacing w:before="40" w:after="40"/>
              <w:jc w:val="right"/>
              <w:rPr>
                <w:rFonts w:cs="Calibri"/>
                <w:color w:val="000000"/>
                <w:szCs w:val="16"/>
              </w:rPr>
            </w:pPr>
            <w:r w:rsidRPr="009E06AA">
              <w:t>9.4</w:t>
            </w:r>
          </w:p>
        </w:tc>
        <w:tc>
          <w:tcPr>
            <w:tcW w:w="3464" w:type="dxa"/>
            <w:shd w:val="clear" w:color="auto" w:fill="auto"/>
          </w:tcPr>
          <w:p w14:paraId="1A14DDF7" w14:textId="77777777" w:rsidR="007523B8" w:rsidRPr="009E06AA" w:rsidRDefault="007523B8" w:rsidP="009D3391">
            <w:pPr>
              <w:pStyle w:val="TableText"/>
              <w:spacing w:before="40" w:after="40"/>
              <w:jc w:val="right"/>
              <w:rPr>
                <w:rFonts w:cs="Calibri"/>
                <w:color w:val="000000"/>
                <w:szCs w:val="16"/>
              </w:rPr>
            </w:pPr>
            <w:r w:rsidRPr="009E06AA">
              <w:t>4.2</w:t>
            </w:r>
          </w:p>
        </w:tc>
      </w:tr>
      <w:tr w:rsidR="007523B8" w:rsidRPr="009E06AA" w14:paraId="781F5BCA" w14:textId="77777777" w:rsidTr="00B55F24">
        <w:tc>
          <w:tcPr>
            <w:tcW w:w="1113" w:type="dxa"/>
            <w:shd w:val="clear" w:color="auto" w:fill="auto"/>
          </w:tcPr>
          <w:p w14:paraId="23936F03" w14:textId="77777777" w:rsidR="007523B8" w:rsidRPr="009E06AA" w:rsidRDefault="007523B8" w:rsidP="00B55F24">
            <w:pPr>
              <w:pStyle w:val="TableText"/>
              <w:spacing w:before="40" w:after="40"/>
              <w:rPr>
                <w:rFonts w:cs="Calibri"/>
                <w:szCs w:val="16"/>
              </w:rPr>
            </w:pPr>
            <w:r w:rsidRPr="009E06AA">
              <w:rPr>
                <w:rFonts w:cs="Calibri"/>
                <w:szCs w:val="16"/>
              </w:rPr>
              <w:t>2010</w:t>
            </w:r>
          </w:p>
        </w:tc>
        <w:tc>
          <w:tcPr>
            <w:tcW w:w="3928" w:type="dxa"/>
            <w:shd w:val="clear" w:color="auto" w:fill="auto"/>
          </w:tcPr>
          <w:p w14:paraId="6A168AA6" w14:textId="77777777" w:rsidR="007523B8" w:rsidRPr="009E06AA" w:rsidRDefault="007523B8" w:rsidP="009D3391">
            <w:pPr>
              <w:pStyle w:val="TableText"/>
              <w:spacing w:before="40" w:after="40"/>
              <w:jc w:val="right"/>
              <w:rPr>
                <w:rFonts w:cs="Calibri"/>
                <w:color w:val="000000"/>
                <w:szCs w:val="16"/>
              </w:rPr>
            </w:pPr>
            <w:r w:rsidRPr="009E06AA">
              <w:t>6.9</w:t>
            </w:r>
          </w:p>
        </w:tc>
        <w:tc>
          <w:tcPr>
            <w:tcW w:w="3464" w:type="dxa"/>
            <w:shd w:val="clear" w:color="auto" w:fill="auto"/>
          </w:tcPr>
          <w:p w14:paraId="7DD1E3DC" w14:textId="77777777" w:rsidR="007523B8" w:rsidRPr="009E06AA" w:rsidRDefault="007523B8" w:rsidP="009D3391">
            <w:pPr>
              <w:pStyle w:val="TableText"/>
              <w:spacing w:before="40" w:after="40"/>
              <w:jc w:val="right"/>
              <w:rPr>
                <w:rFonts w:cs="Calibri"/>
                <w:color w:val="000000"/>
                <w:szCs w:val="16"/>
              </w:rPr>
            </w:pPr>
            <w:r w:rsidRPr="009E06AA">
              <w:t>3.6</w:t>
            </w:r>
          </w:p>
        </w:tc>
      </w:tr>
      <w:tr w:rsidR="007523B8" w:rsidRPr="009E06AA" w14:paraId="0F2D94B8" w14:textId="77777777" w:rsidTr="00B55F24">
        <w:tc>
          <w:tcPr>
            <w:tcW w:w="1113" w:type="dxa"/>
            <w:shd w:val="clear" w:color="auto" w:fill="auto"/>
          </w:tcPr>
          <w:p w14:paraId="661151BC" w14:textId="77777777" w:rsidR="007523B8" w:rsidRPr="009E06AA" w:rsidRDefault="007523B8" w:rsidP="00B55F24">
            <w:pPr>
              <w:pStyle w:val="TableText"/>
              <w:spacing w:before="40" w:after="40"/>
              <w:rPr>
                <w:rFonts w:cs="Calibri"/>
                <w:szCs w:val="16"/>
              </w:rPr>
            </w:pPr>
            <w:r w:rsidRPr="009E06AA">
              <w:rPr>
                <w:rFonts w:cs="Calibri"/>
                <w:szCs w:val="16"/>
              </w:rPr>
              <w:t>2011</w:t>
            </w:r>
          </w:p>
        </w:tc>
        <w:tc>
          <w:tcPr>
            <w:tcW w:w="3928" w:type="dxa"/>
            <w:shd w:val="clear" w:color="auto" w:fill="auto"/>
          </w:tcPr>
          <w:p w14:paraId="41799527" w14:textId="77777777" w:rsidR="007523B8" w:rsidRPr="009E06AA" w:rsidRDefault="007523B8" w:rsidP="009D3391">
            <w:pPr>
              <w:pStyle w:val="TableText"/>
              <w:spacing w:before="40" w:after="40"/>
              <w:jc w:val="right"/>
              <w:rPr>
                <w:rFonts w:cs="Calibri"/>
                <w:color w:val="000000"/>
                <w:szCs w:val="16"/>
              </w:rPr>
            </w:pPr>
            <w:r w:rsidRPr="009E06AA">
              <w:t>5.3</w:t>
            </w:r>
          </w:p>
        </w:tc>
        <w:tc>
          <w:tcPr>
            <w:tcW w:w="3464" w:type="dxa"/>
            <w:shd w:val="clear" w:color="auto" w:fill="auto"/>
          </w:tcPr>
          <w:p w14:paraId="705BDCAC" w14:textId="77777777" w:rsidR="007523B8" w:rsidRPr="009E06AA" w:rsidRDefault="007523B8" w:rsidP="009D3391">
            <w:pPr>
              <w:pStyle w:val="TableText"/>
              <w:spacing w:before="40" w:after="40"/>
              <w:jc w:val="right"/>
              <w:rPr>
                <w:rFonts w:cs="Calibri"/>
                <w:color w:val="000000"/>
                <w:szCs w:val="16"/>
              </w:rPr>
            </w:pPr>
            <w:r w:rsidRPr="009E06AA">
              <w:t>3.1</w:t>
            </w:r>
          </w:p>
        </w:tc>
      </w:tr>
      <w:tr w:rsidR="007523B8" w:rsidRPr="009E06AA" w14:paraId="3D83CD11" w14:textId="77777777" w:rsidTr="00B55F24">
        <w:tc>
          <w:tcPr>
            <w:tcW w:w="1113" w:type="dxa"/>
            <w:shd w:val="clear" w:color="auto" w:fill="auto"/>
          </w:tcPr>
          <w:p w14:paraId="62AF0F6A" w14:textId="77777777" w:rsidR="007523B8" w:rsidRPr="009E06AA" w:rsidRDefault="007523B8" w:rsidP="00B55F24">
            <w:pPr>
              <w:pStyle w:val="TableText"/>
              <w:spacing w:before="40" w:after="40"/>
              <w:rPr>
                <w:rFonts w:cs="Calibri"/>
                <w:szCs w:val="16"/>
              </w:rPr>
            </w:pPr>
            <w:r w:rsidRPr="009E06AA">
              <w:rPr>
                <w:rFonts w:cs="Calibri"/>
                <w:szCs w:val="16"/>
              </w:rPr>
              <w:t>2012</w:t>
            </w:r>
          </w:p>
        </w:tc>
        <w:tc>
          <w:tcPr>
            <w:tcW w:w="3928" w:type="dxa"/>
            <w:shd w:val="clear" w:color="auto" w:fill="auto"/>
          </w:tcPr>
          <w:p w14:paraId="70EF34AA" w14:textId="77777777" w:rsidR="007523B8" w:rsidRPr="009E06AA" w:rsidRDefault="007523B8" w:rsidP="009D3391">
            <w:pPr>
              <w:pStyle w:val="TableText"/>
              <w:spacing w:before="40" w:after="40"/>
              <w:jc w:val="right"/>
              <w:rPr>
                <w:rFonts w:cs="Calibri"/>
                <w:color w:val="000000"/>
                <w:szCs w:val="16"/>
              </w:rPr>
            </w:pPr>
            <w:r w:rsidRPr="009E06AA">
              <w:t>7.0</w:t>
            </w:r>
          </w:p>
        </w:tc>
        <w:tc>
          <w:tcPr>
            <w:tcW w:w="3464" w:type="dxa"/>
            <w:shd w:val="clear" w:color="auto" w:fill="auto"/>
          </w:tcPr>
          <w:p w14:paraId="23C451D3" w14:textId="77777777" w:rsidR="007523B8" w:rsidRPr="009E06AA" w:rsidRDefault="007523B8" w:rsidP="009D3391">
            <w:pPr>
              <w:pStyle w:val="TableText"/>
              <w:spacing w:before="40" w:after="40"/>
              <w:jc w:val="right"/>
              <w:rPr>
                <w:rFonts w:cs="Calibri"/>
                <w:color w:val="000000"/>
                <w:szCs w:val="16"/>
              </w:rPr>
            </w:pPr>
            <w:r w:rsidRPr="009E06AA">
              <w:t>4.0</w:t>
            </w:r>
          </w:p>
        </w:tc>
      </w:tr>
      <w:tr w:rsidR="007523B8" w:rsidRPr="009E06AA" w14:paraId="38461A46" w14:textId="77777777" w:rsidTr="00B55F24">
        <w:tc>
          <w:tcPr>
            <w:tcW w:w="1113" w:type="dxa"/>
            <w:shd w:val="clear" w:color="auto" w:fill="auto"/>
          </w:tcPr>
          <w:p w14:paraId="045ECE9C" w14:textId="77777777" w:rsidR="007523B8" w:rsidRPr="009E06AA" w:rsidRDefault="007523B8" w:rsidP="00B55F24">
            <w:pPr>
              <w:pStyle w:val="TableText"/>
              <w:spacing w:before="40" w:after="40"/>
              <w:rPr>
                <w:rFonts w:cs="Calibri"/>
                <w:szCs w:val="16"/>
              </w:rPr>
            </w:pPr>
            <w:r w:rsidRPr="009E06AA">
              <w:rPr>
                <w:rFonts w:cs="Calibri"/>
                <w:szCs w:val="16"/>
              </w:rPr>
              <w:t>2013</w:t>
            </w:r>
          </w:p>
        </w:tc>
        <w:tc>
          <w:tcPr>
            <w:tcW w:w="3928" w:type="dxa"/>
            <w:shd w:val="clear" w:color="auto" w:fill="auto"/>
          </w:tcPr>
          <w:p w14:paraId="4428EA73" w14:textId="77777777" w:rsidR="007523B8" w:rsidRPr="009E06AA" w:rsidRDefault="007523B8" w:rsidP="009D3391">
            <w:pPr>
              <w:pStyle w:val="TableText"/>
              <w:spacing w:before="40" w:after="40"/>
              <w:jc w:val="right"/>
              <w:rPr>
                <w:rFonts w:cs="Calibri"/>
                <w:color w:val="000000"/>
                <w:szCs w:val="16"/>
              </w:rPr>
            </w:pPr>
            <w:r w:rsidRPr="009E06AA">
              <w:t>8.6</w:t>
            </w:r>
          </w:p>
        </w:tc>
        <w:tc>
          <w:tcPr>
            <w:tcW w:w="3464" w:type="dxa"/>
            <w:shd w:val="clear" w:color="auto" w:fill="auto"/>
          </w:tcPr>
          <w:p w14:paraId="70B704F5" w14:textId="77777777" w:rsidR="007523B8" w:rsidRPr="009E06AA" w:rsidRDefault="007523B8" w:rsidP="009D3391">
            <w:pPr>
              <w:pStyle w:val="TableText"/>
              <w:spacing w:before="40" w:after="40"/>
              <w:jc w:val="right"/>
              <w:rPr>
                <w:rFonts w:cs="Calibri"/>
                <w:color w:val="000000"/>
                <w:szCs w:val="16"/>
              </w:rPr>
            </w:pPr>
            <w:r w:rsidRPr="009E06AA">
              <w:t>5.3</w:t>
            </w:r>
          </w:p>
        </w:tc>
      </w:tr>
      <w:tr w:rsidR="007523B8" w:rsidRPr="009E06AA" w14:paraId="6F6E16C6" w14:textId="77777777" w:rsidTr="00B55F24">
        <w:tc>
          <w:tcPr>
            <w:tcW w:w="1113" w:type="dxa"/>
            <w:shd w:val="clear" w:color="auto" w:fill="auto"/>
          </w:tcPr>
          <w:p w14:paraId="746ABF3A" w14:textId="77777777" w:rsidR="007523B8" w:rsidRPr="009E06AA" w:rsidRDefault="007523B8" w:rsidP="00B55F24">
            <w:pPr>
              <w:pStyle w:val="TableText"/>
              <w:spacing w:before="40" w:after="40"/>
              <w:rPr>
                <w:rFonts w:cs="Calibri"/>
                <w:szCs w:val="16"/>
              </w:rPr>
            </w:pPr>
            <w:r w:rsidRPr="009E06AA">
              <w:rPr>
                <w:rFonts w:cs="Calibri"/>
                <w:szCs w:val="16"/>
              </w:rPr>
              <w:t>2014</w:t>
            </w:r>
          </w:p>
        </w:tc>
        <w:tc>
          <w:tcPr>
            <w:tcW w:w="3928" w:type="dxa"/>
            <w:shd w:val="clear" w:color="auto" w:fill="auto"/>
          </w:tcPr>
          <w:p w14:paraId="3E36FF11" w14:textId="77777777" w:rsidR="007523B8" w:rsidRPr="009E06AA" w:rsidRDefault="007523B8" w:rsidP="009D3391">
            <w:pPr>
              <w:pStyle w:val="TableText"/>
              <w:spacing w:before="40" w:after="40"/>
              <w:jc w:val="right"/>
              <w:rPr>
                <w:rFonts w:cs="Calibri"/>
                <w:color w:val="000000"/>
                <w:szCs w:val="16"/>
              </w:rPr>
            </w:pPr>
            <w:r w:rsidRPr="009E06AA">
              <w:t>20.2</w:t>
            </w:r>
          </w:p>
        </w:tc>
        <w:tc>
          <w:tcPr>
            <w:tcW w:w="3464" w:type="dxa"/>
            <w:shd w:val="clear" w:color="auto" w:fill="auto"/>
          </w:tcPr>
          <w:p w14:paraId="5EE417B3" w14:textId="77777777" w:rsidR="007523B8" w:rsidRPr="009E06AA" w:rsidRDefault="007523B8" w:rsidP="009D3391">
            <w:pPr>
              <w:pStyle w:val="TableText"/>
              <w:spacing w:before="40" w:after="40"/>
              <w:jc w:val="right"/>
              <w:rPr>
                <w:rFonts w:cs="Calibri"/>
                <w:color w:val="000000"/>
                <w:szCs w:val="16"/>
              </w:rPr>
            </w:pPr>
            <w:r w:rsidRPr="009E06AA">
              <w:t>12.1</w:t>
            </w:r>
          </w:p>
        </w:tc>
      </w:tr>
      <w:tr w:rsidR="007523B8" w:rsidRPr="009E06AA" w14:paraId="2E63C135" w14:textId="77777777" w:rsidTr="00B55F24">
        <w:tc>
          <w:tcPr>
            <w:tcW w:w="1113" w:type="dxa"/>
            <w:shd w:val="clear" w:color="auto" w:fill="auto"/>
          </w:tcPr>
          <w:p w14:paraId="6D6CA795" w14:textId="77777777" w:rsidR="007523B8" w:rsidRPr="009E06AA" w:rsidRDefault="007523B8" w:rsidP="00B55F24">
            <w:pPr>
              <w:pStyle w:val="TableText"/>
              <w:spacing w:before="40" w:after="40"/>
              <w:rPr>
                <w:rFonts w:cs="Calibri"/>
                <w:szCs w:val="16"/>
              </w:rPr>
            </w:pPr>
            <w:r w:rsidRPr="009E06AA">
              <w:rPr>
                <w:rFonts w:cs="Calibri"/>
                <w:szCs w:val="16"/>
              </w:rPr>
              <w:t>2015</w:t>
            </w:r>
          </w:p>
        </w:tc>
        <w:tc>
          <w:tcPr>
            <w:tcW w:w="3928" w:type="dxa"/>
            <w:shd w:val="clear" w:color="auto" w:fill="auto"/>
          </w:tcPr>
          <w:p w14:paraId="7C65F07E" w14:textId="77777777" w:rsidR="007523B8" w:rsidRPr="009E06AA" w:rsidRDefault="007523B8" w:rsidP="009D3391">
            <w:pPr>
              <w:pStyle w:val="TableText"/>
              <w:spacing w:before="40" w:after="40"/>
              <w:jc w:val="right"/>
              <w:rPr>
                <w:rFonts w:cs="Calibri"/>
                <w:color w:val="000000"/>
                <w:szCs w:val="16"/>
              </w:rPr>
            </w:pPr>
            <w:r w:rsidRPr="009E06AA">
              <w:t>16.2</w:t>
            </w:r>
          </w:p>
        </w:tc>
        <w:tc>
          <w:tcPr>
            <w:tcW w:w="3464" w:type="dxa"/>
            <w:shd w:val="clear" w:color="auto" w:fill="auto"/>
          </w:tcPr>
          <w:p w14:paraId="6DC80B3B" w14:textId="77777777" w:rsidR="007523B8" w:rsidRPr="009E06AA" w:rsidRDefault="007523B8" w:rsidP="009D3391">
            <w:pPr>
              <w:pStyle w:val="TableText"/>
              <w:spacing w:before="40" w:after="40"/>
              <w:jc w:val="right"/>
              <w:rPr>
                <w:rFonts w:cs="Calibri"/>
                <w:color w:val="000000"/>
                <w:szCs w:val="16"/>
              </w:rPr>
            </w:pPr>
            <w:r w:rsidRPr="009E06AA">
              <w:t>11.6</w:t>
            </w:r>
          </w:p>
        </w:tc>
      </w:tr>
      <w:tr w:rsidR="007523B8" w:rsidRPr="009E06AA" w14:paraId="34ADD371" w14:textId="77777777" w:rsidTr="00B55F24">
        <w:tc>
          <w:tcPr>
            <w:tcW w:w="1113" w:type="dxa"/>
            <w:shd w:val="clear" w:color="auto" w:fill="auto"/>
          </w:tcPr>
          <w:p w14:paraId="43F7E1F3" w14:textId="77777777" w:rsidR="007523B8" w:rsidRPr="009E06AA" w:rsidRDefault="007523B8" w:rsidP="00B55F24">
            <w:pPr>
              <w:pStyle w:val="TableText"/>
              <w:spacing w:before="40" w:after="40"/>
              <w:rPr>
                <w:rFonts w:cs="Calibri"/>
                <w:szCs w:val="16"/>
              </w:rPr>
            </w:pPr>
            <w:r w:rsidRPr="009E06AA">
              <w:rPr>
                <w:rFonts w:cs="Calibri"/>
                <w:szCs w:val="16"/>
              </w:rPr>
              <w:t>2016</w:t>
            </w:r>
          </w:p>
        </w:tc>
        <w:tc>
          <w:tcPr>
            <w:tcW w:w="3928" w:type="dxa"/>
            <w:shd w:val="clear" w:color="auto" w:fill="auto"/>
          </w:tcPr>
          <w:p w14:paraId="17A3FD00" w14:textId="77777777" w:rsidR="007523B8" w:rsidRPr="009E06AA" w:rsidRDefault="007523B8" w:rsidP="009D3391">
            <w:pPr>
              <w:pStyle w:val="TableText"/>
              <w:spacing w:before="40" w:after="40"/>
              <w:jc w:val="right"/>
              <w:rPr>
                <w:rFonts w:cs="Calibri"/>
                <w:color w:val="000000"/>
                <w:szCs w:val="16"/>
              </w:rPr>
            </w:pPr>
            <w:r w:rsidRPr="009E06AA">
              <w:t>26.5</w:t>
            </w:r>
          </w:p>
        </w:tc>
        <w:tc>
          <w:tcPr>
            <w:tcW w:w="3464" w:type="dxa"/>
            <w:shd w:val="clear" w:color="auto" w:fill="auto"/>
          </w:tcPr>
          <w:p w14:paraId="092D94B0" w14:textId="77777777" w:rsidR="007523B8" w:rsidRPr="009E06AA" w:rsidRDefault="007523B8" w:rsidP="009D3391">
            <w:pPr>
              <w:pStyle w:val="TableText"/>
              <w:spacing w:before="40" w:after="40"/>
              <w:jc w:val="right"/>
              <w:rPr>
                <w:rFonts w:cs="Calibri"/>
                <w:color w:val="000000"/>
                <w:szCs w:val="16"/>
              </w:rPr>
            </w:pPr>
            <w:r w:rsidRPr="009E06AA">
              <w:t>17.9</w:t>
            </w:r>
          </w:p>
        </w:tc>
      </w:tr>
      <w:tr w:rsidR="007523B8" w:rsidRPr="009E06AA" w14:paraId="46E03BC1" w14:textId="77777777" w:rsidTr="00B55F24">
        <w:tc>
          <w:tcPr>
            <w:tcW w:w="1113" w:type="dxa"/>
            <w:shd w:val="clear" w:color="auto" w:fill="auto"/>
          </w:tcPr>
          <w:p w14:paraId="0B95760A" w14:textId="77777777" w:rsidR="007523B8" w:rsidRPr="009E06AA" w:rsidRDefault="007523B8" w:rsidP="00B55F24">
            <w:pPr>
              <w:pStyle w:val="TableText"/>
              <w:spacing w:before="40" w:after="40"/>
              <w:rPr>
                <w:rFonts w:cs="Calibri"/>
                <w:szCs w:val="16"/>
              </w:rPr>
            </w:pPr>
            <w:r w:rsidRPr="009E06AA">
              <w:rPr>
                <w:rFonts w:cs="Calibri"/>
                <w:szCs w:val="16"/>
              </w:rPr>
              <w:t>2017</w:t>
            </w:r>
          </w:p>
        </w:tc>
        <w:tc>
          <w:tcPr>
            <w:tcW w:w="3928" w:type="dxa"/>
            <w:shd w:val="clear" w:color="auto" w:fill="auto"/>
          </w:tcPr>
          <w:p w14:paraId="7FDE04E4" w14:textId="77777777" w:rsidR="007523B8" w:rsidRPr="009E06AA" w:rsidRDefault="007523B8" w:rsidP="009D3391">
            <w:pPr>
              <w:pStyle w:val="TableText"/>
              <w:spacing w:before="40" w:after="40"/>
              <w:jc w:val="right"/>
              <w:rPr>
                <w:rFonts w:cs="Calibri"/>
                <w:szCs w:val="16"/>
              </w:rPr>
            </w:pPr>
            <w:r w:rsidRPr="009E06AA">
              <w:t>27.8</w:t>
            </w:r>
          </w:p>
        </w:tc>
        <w:tc>
          <w:tcPr>
            <w:tcW w:w="3464" w:type="dxa"/>
            <w:shd w:val="clear" w:color="auto" w:fill="auto"/>
          </w:tcPr>
          <w:p w14:paraId="036EA5EE" w14:textId="77777777" w:rsidR="007523B8" w:rsidRPr="009E06AA" w:rsidRDefault="007523B8" w:rsidP="009D3391">
            <w:pPr>
              <w:pStyle w:val="TableText"/>
              <w:spacing w:before="40" w:after="40"/>
              <w:jc w:val="right"/>
              <w:rPr>
                <w:rFonts w:cs="Calibri"/>
                <w:szCs w:val="16"/>
              </w:rPr>
            </w:pPr>
            <w:r w:rsidRPr="009E06AA">
              <w:t>19.2</w:t>
            </w:r>
          </w:p>
        </w:tc>
      </w:tr>
      <w:tr w:rsidR="007523B8" w:rsidRPr="009E06AA" w14:paraId="725FF22B" w14:textId="77777777" w:rsidTr="00B55F24">
        <w:tc>
          <w:tcPr>
            <w:tcW w:w="1113" w:type="dxa"/>
            <w:shd w:val="clear" w:color="auto" w:fill="auto"/>
          </w:tcPr>
          <w:p w14:paraId="23613FF8" w14:textId="77777777" w:rsidR="007523B8" w:rsidRPr="009E06AA" w:rsidRDefault="007523B8" w:rsidP="00B55F24">
            <w:pPr>
              <w:pStyle w:val="TableText"/>
              <w:spacing w:before="40" w:after="40"/>
              <w:rPr>
                <w:rFonts w:cs="Calibri"/>
                <w:szCs w:val="16"/>
              </w:rPr>
            </w:pPr>
            <w:r w:rsidRPr="009E06AA">
              <w:rPr>
                <w:rFonts w:cs="Calibri"/>
                <w:szCs w:val="16"/>
              </w:rPr>
              <w:t>2018</w:t>
            </w:r>
          </w:p>
        </w:tc>
        <w:tc>
          <w:tcPr>
            <w:tcW w:w="3928" w:type="dxa"/>
            <w:shd w:val="clear" w:color="auto" w:fill="auto"/>
          </w:tcPr>
          <w:p w14:paraId="64DFD34D" w14:textId="77777777" w:rsidR="007523B8" w:rsidRPr="009E06AA" w:rsidRDefault="007523B8" w:rsidP="009D3391">
            <w:pPr>
              <w:pStyle w:val="TableText"/>
              <w:spacing w:before="40" w:after="40"/>
              <w:jc w:val="right"/>
              <w:rPr>
                <w:rFonts w:cs="Calibri"/>
                <w:szCs w:val="16"/>
              </w:rPr>
            </w:pPr>
            <w:r w:rsidRPr="009E06AA">
              <w:t>29.9</w:t>
            </w:r>
          </w:p>
        </w:tc>
        <w:tc>
          <w:tcPr>
            <w:tcW w:w="3464" w:type="dxa"/>
            <w:shd w:val="clear" w:color="auto" w:fill="auto"/>
          </w:tcPr>
          <w:p w14:paraId="79BA1260" w14:textId="77777777" w:rsidR="007523B8" w:rsidRPr="009E06AA" w:rsidRDefault="007523B8" w:rsidP="009D3391">
            <w:pPr>
              <w:pStyle w:val="TableText"/>
              <w:spacing w:before="40" w:after="40"/>
              <w:jc w:val="right"/>
              <w:rPr>
                <w:rFonts w:cs="Calibri"/>
                <w:szCs w:val="16"/>
              </w:rPr>
            </w:pPr>
            <w:r w:rsidRPr="009E06AA">
              <w:t>21.3</w:t>
            </w:r>
          </w:p>
        </w:tc>
      </w:tr>
      <w:tr w:rsidR="007523B8" w:rsidRPr="009E06AA" w14:paraId="59D3D736" w14:textId="77777777" w:rsidTr="00B55F24">
        <w:tc>
          <w:tcPr>
            <w:tcW w:w="1113" w:type="dxa"/>
            <w:shd w:val="clear" w:color="auto" w:fill="auto"/>
          </w:tcPr>
          <w:p w14:paraId="65DA6137" w14:textId="77777777" w:rsidR="007523B8" w:rsidRPr="009E06AA" w:rsidRDefault="007523B8" w:rsidP="00B55F24">
            <w:pPr>
              <w:pStyle w:val="TableText"/>
              <w:spacing w:before="40" w:after="40"/>
              <w:rPr>
                <w:rFonts w:cs="Calibri"/>
                <w:szCs w:val="16"/>
              </w:rPr>
            </w:pPr>
            <w:r w:rsidRPr="009E06AA">
              <w:rPr>
                <w:rFonts w:cs="Calibri"/>
                <w:szCs w:val="16"/>
              </w:rPr>
              <w:t>2019</w:t>
            </w:r>
          </w:p>
        </w:tc>
        <w:tc>
          <w:tcPr>
            <w:tcW w:w="3928" w:type="dxa"/>
            <w:shd w:val="clear" w:color="auto" w:fill="auto"/>
          </w:tcPr>
          <w:p w14:paraId="05D07617" w14:textId="77777777" w:rsidR="007523B8" w:rsidRPr="009E06AA" w:rsidRDefault="007523B8" w:rsidP="009D3391">
            <w:pPr>
              <w:pStyle w:val="TableText"/>
              <w:spacing w:before="40" w:after="40"/>
              <w:jc w:val="right"/>
              <w:rPr>
                <w:rFonts w:cs="Calibri"/>
                <w:szCs w:val="16"/>
              </w:rPr>
            </w:pPr>
            <w:r w:rsidRPr="009E06AA">
              <w:t>35.5</w:t>
            </w:r>
          </w:p>
        </w:tc>
        <w:tc>
          <w:tcPr>
            <w:tcW w:w="3464" w:type="dxa"/>
            <w:shd w:val="clear" w:color="auto" w:fill="auto"/>
          </w:tcPr>
          <w:p w14:paraId="294F148B" w14:textId="77777777" w:rsidR="007523B8" w:rsidRPr="009E06AA" w:rsidRDefault="007523B8" w:rsidP="009D3391">
            <w:pPr>
              <w:pStyle w:val="TableText"/>
              <w:spacing w:before="40" w:after="40"/>
              <w:jc w:val="right"/>
              <w:rPr>
                <w:rFonts w:cs="Calibri"/>
                <w:szCs w:val="16"/>
              </w:rPr>
            </w:pPr>
            <w:r w:rsidRPr="009E06AA">
              <w:t>23.8</w:t>
            </w:r>
          </w:p>
        </w:tc>
      </w:tr>
      <w:tr w:rsidR="007523B8" w:rsidRPr="009E06AA" w14:paraId="632D3555" w14:textId="77777777" w:rsidTr="00B55F24">
        <w:tc>
          <w:tcPr>
            <w:tcW w:w="1113" w:type="dxa"/>
            <w:shd w:val="clear" w:color="auto" w:fill="auto"/>
          </w:tcPr>
          <w:p w14:paraId="2EF40DBB" w14:textId="77777777" w:rsidR="007523B8" w:rsidRPr="009E06AA" w:rsidRDefault="007523B8" w:rsidP="00B55F24">
            <w:pPr>
              <w:pStyle w:val="TableText"/>
              <w:spacing w:before="40" w:after="40"/>
              <w:rPr>
                <w:rFonts w:cs="Calibri"/>
                <w:szCs w:val="16"/>
              </w:rPr>
            </w:pPr>
            <w:r w:rsidRPr="009E06AA">
              <w:rPr>
                <w:rFonts w:cs="Calibri"/>
                <w:szCs w:val="16"/>
              </w:rPr>
              <w:t>2020</w:t>
            </w:r>
          </w:p>
        </w:tc>
        <w:tc>
          <w:tcPr>
            <w:tcW w:w="3928" w:type="dxa"/>
            <w:shd w:val="clear" w:color="auto" w:fill="auto"/>
          </w:tcPr>
          <w:p w14:paraId="63BF93FA" w14:textId="77777777" w:rsidR="007523B8" w:rsidRPr="009E06AA" w:rsidRDefault="007523B8" w:rsidP="009D3391">
            <w:pPr>
              <w:pStyle w:val="TableText"/>
              <w:spacing w:before="40" w:after="40"/>
              <w:jc w:val="right"/>
              <w:rPr>
                <w:szCs w:val="16"/>
              </w:rPr>
            </w:pPr>
            <w:r w:rsidRPr="009E06AA">
              <w:t>41.8</w:t>
            </w:r>
          </w:p>
        </w:tc>
        <w:tc>
          <w:tcPr>
            <w:tcW w:w="3464" w:type="dxa"/>
            <w:shd w:val="clear" w:color="auto" w:fill="auto"/>
          </w:tcPr>
          <w:p w14:paraId="479CBDE1" w14:textId="77777777" w:rsidR="007523B8" w:rsidRPr="009E06AA" w:rsidRDefault="007523B8" w:rsidP="009D3391">
            <w:pPr>
              <w:pStyle w:val="TableText"/>
              <w:spacing w:before="40" w:after="40"/>
              <w:jc w:val="right"/>
              <w:rPr>
                <w:szCs w:val="16"/>
              </w:rPr>
            </w:pPr>
            <w:r w:rsidRPr="009E06AA">
              <w:t>26.6</w:t>
            </w:r>
          </w:p>
        </w:tc>
      </w:tr>
      <w:tr w:rsidR="007523B8" w:rsidRPr="009E06AA" w14:paraId="7757C9B1" w14:textId="77777777" w:rsidTr="00B55F24">
        <w:tc>
          <w:tcPr>
            <w:tcW w:w="1113" w:type="dxa"/>
            <w:shd w:val="clear" w:color="auto" w:fill="auto"/>
          </w:tcPr>
          <w:p w14:paraId="5863DA7D" w14:textId="77777777" w:rsidR="007523B8" w:rsidRPr="009E06AA" w:rsidRDefault="007523B8" w:rsidP="00B55F24">
            <w:pPr>
              <w:pStyle w:val="TableText"/>
              <w:spacing w:before="40" w:after="40"/>
              <w:rPr>
                <w:rFonts w:cs="Calibri"/>
                <w:szCs w:val="16"/>
              </w:rPr>
            </w:pPr>
            <w:r w:rsidRPr="009E06AA">
              <w:rPr>
                <w:rFonts w:cs="Calibri"/>
                <w:szCs w:val="16"/>
              </w:rPr>
              <w:t>2021</w:t>
            </w:r>
          </w:p>
        </w:tc>
        <w:tc>
          <w:tcPr>
            <w:tcW w:w="3928" w:type="dxa"/>
            <w:shd w:val="clear" w:color="auto" w:fill="auto"/>
          </w:tcPr>
          <w:p w14:paraId="09C1DABC" w14:textId="77777777" w:rsidR="007523B8" w:rsidRPr="009E06AA" w:rsidRDefault="007523B8" w:rsidP="009D3391">
            <w:pPr>
              <w:pStyle w:val="TableText"/>
              <w:spacing w:before="40" w:after="40"/>
              <w:jc w:val="right"/>
              <w:rPr>
                <w:rFonts w:cs="Calibri"/>
                <w:szCs w:val="16"/>
              </w:rPr>
            </w:pPr>
            <w:r w:rsidRPr="009E06AA">
              <w:t>50.1</w:t>
            </w:r>
          </w:p>
        </w:tc>
        <w:tc>
          <w:tcPr>
            <w:tcW w:w="3464" w:type="dxa"/>
            <w:shd w:val="clear" w:color="auto" w:fill="auto"/>
          </w:tcPr>
          <w:p w14:paraId="6CF1124B" w14:textId="77777777" w:rsidR="007523B8" w:rsidRPr="009E06AA" w:rsidRDefault="007523B8" w:rsidP="009D3391">
            <w:pPr>
              <w:pStyle w:val="TableText"/>
              <w:spacing w:before="40" w:after="40"/>
              <w:jc w:val="right"/>
              <w:rPr>
                <w:rFonts w:cs="Calibri"/>
                <w:szCs w:val="16"/>
              </w:rPr>
            </w:pPr>
            <w:r w:rsidRPr="009E06AA">
              <w:t>32.6</w:t>
            </w:r>
          </w:p>
        </w:tc>
      </w:tr>
      <w:tr w:rsidR="007523B8" w:rsidRPr="009E06AA" w14:paraId="088C3F9F" w14:textId="77777777" w:rsidTr="00B55F24">
        <w:tc>
          <w:tcPr>
            <w:tcW w:w="1113" w:type="dxa"/>
            <w:shd w:val="clear" w:color="auto" w:fill="auto"/>
          </w:tcPr>
          <w:p w14:paraId="7DE194A4" w14:textId="77777777" w:rsidR="007523B8" w:rsidRPr="009E06AA" w:rsidRDefault="007523B8" w:rsidP="00B55F24">
            <w:pPr>
              <w:pStyle w:val="TableText"/>
              <w:spacing w:before="40" w:after="40"/>
              <w:rPr>
                <w:rFonts w:cs="Calibri"/>
                <w:szCs w:val="16"/>
              </w:rPr>
            </w:pPr>
            <w:r w:rsidRPr="009E06AA">
              <w:rPr>
                <w:rFonts w:cs="Calibri"/>
                <w:szCs w:val="16"/>
              </w:rPr>
              <w:t>2022</w:t>
            </w:r>
          </w:p>
        </w:tc>
        <w:tc>
          <w:tcPr>
            <w:tcW w:w="3928" w:type="dxa"/>
            <w:shd w:val="clear" w:color="auto" w:fill="auto"/>
          </w:tcPr>
          <w:p w14:paraId="521055D5" w14:textId="77777777" w:rsidR="007523B8" w:rsidRPr="009E06AA" w:rsidRDefault="007523B8" w:rsidP="009D3391">
            <w:pPr>
              <w:pStyle w:val="TableText"/>
              <w:spacing w:before="40" w:after="40"/>
              <w:jc w:val="right"/>
              <w:rPr>
                <w:rFonts w:cs="Calibri"/>
                <w:szCs w:val="16"/>
              </w:rPr>
            </w:pPr>
            <w:r w:rsidRPr="009E06AA">
              <w:t>55.1</w:t>
            </w:r>
          </w:p>
        </w:tc>
        <w:tc>
          <w:tcPr>
            <w:tcW w:w="3464" w:type="dxa"/>
            <w:shd w:val="clear" w:color="auto" w:fill="auto"/>
          </w:tcPr>
          <w:p w14:paraId="57B9A8C4" w14:textId="77777777" w:rsidR="007523B8" w:rsidRPr="009E06AA" w:rsidRDefault="007523B8" w:rsidP="009D3391">
            <w:pPr>
              <w:pStyle w:val="TableText"/>
              <w:spacing w:before="40" w:after="40"/>
              <w:jc w:val="right"/>
              <w:rPr>
                <w:rFonts w:cs="Calibri"/>
                <w:szCs w:val="16"/>
              </w:rPr>
            </w:pPr>
            <w:r w:rsidRPr="009E06AA">
              <w:t>26.2</w:t>
            </w:r>
          </w:p>
        </w:tc>
      </w:tr>
    </w:tbl>
    <w:p w14:paraId="07717721" w14:textId="77777777" w:rsidR="007523B8" w:rsidRPr="009E06AA" w:rsidRDefault="007523B8" w:rsidP="00387CF3">
      <w:pPr>
        <w:pStyle w:val="Source"/>
        <w:spacing w:after="120"/>
        <w:rPr>
          <w:rFonts w:cs="Calibri"/>
          <w:szCs w:val="24"/>
        </w:rPr>
      </w:pPr>
      <w:r w:rsidRPr="009E06AA">
        <w:rPr>
          <w:rFonts w:cs="Calibri"/>
          <w:szCs w:val="24"/>
        </w:rPr>
        <w:t>Source:</w:t>
      </w:r>
      <w:r w:rsidRPr="009E06AA">
        <w:rPr>
          <w:rFonts w:cs="Calibri"/>
          <w:szCs w:val="24"/>
        </w:rPr>
        <w:tab/>
        <w:t>Fertiliser Association of New Zealand and Ballance Agri-Nutrients Limited</w:t>
      </w:r>
    </w:p>
    <w:p w14:paraId="26F3E197" w14:textId="77777777" w:rsidR="007523B8" w:rsidRPr="009E06AA" w:rsidRDefault="007523B8" w:rsidP="00BF2A76">
      <w:pPr>
        <w:pStyle w:val="Heading5"/>
      </w:pPr>
      <w:r w:rsidRPr="009E06AA">
        <w:t xml:space="preserve">Nitrification inhibitor dicyandiamide </w:t>
      </w:r>
    </w:p>
    <w:p w14:paraId="752224F6" w14:textId="77777777" w:rsidR="007523B8" w:rsidRPr="009E06AA" w:rsidRDefault="007523B8" w:rsidP="007523B8">
      <w:pPr>
        <w:pStyle w:val="BodyText"/>
      </w:pPr>
      <w:r w:rsidRPr="009E06AA">
        <w:t xml:space="preserve">The </w:t>
      </w:r>
      <w:r w:rsidRPr="009E06AA">
        <w:rPr>
          <w:spacing w:val="-2"/>
        </w:rPr>
        <w:t>N</w:t>
      </w:r>
      <w:r w:rsidRPr="009E06AA">
        <w:rPr>
          <w:spacing w:val="-2"/>
          <w:vertAlign w:val="subscript"/>
        </w:rPr>
        <w:t>2</w:t>
      </w:r>
      <w:r w:rsidRPr="009E06AA">
        <w:rPr>
          <w:spacing w:val="-2"/>
        </w:rPr>
        <w:t>O</w:t>
      </w:r>
      <w:r w:rsidRPr="009E06AA">
        <w:t xml:space="preserve"> emissions reported in the </w:t>
      </w:r>
      <w:r w:rsidRPr="009E06AA">
        <w:rPr>
          <w:i/>
          <w:iCs/>
        </w:rPr>
        <w:t>Agricultural soils</w:t>
      </w:r>
      <w:r w:rsidRPr="009E06AA">
        <w:t> category take into account the use of nitrification inhibitors on dairy farms using the methodology described in Clough et al. (2008). Greenhouse gas mitigation estimates from DCD are reported in the Agriculture inventory sector only up until 2012, because sales were suspended that year due to the detection of low levels of DCD residues in milk.</w:t>
      </w:r>
    </w:p>
    <w:p w14:paraId="39F0D9AB" w14:textId="77777777" w:rsidR="007523B8" w:rsidRPr="009E06AA" w:rsidRDefault="007523B8" w:rsidP="007523B8">
      <w:pPr>
        <w:pStyle w:val="BodyText"/>
      </w:pPr>
      <w:r w:rsidRPr="009E06AA">
        <w:t xml:space="preserve">Research has shown that DCD reduces </w:t>
      </w:r>
      <w:r w:rsidRPr="009E06AA">
        <w:rPr>
          <w:spacing w:val="-2"/>
        </w:rPr>
        <w:t>N</w:t>
      </w:r>
      <w:r w:rsidRPr="009E06AA">
        <w:rPr>
          <w:spacing w:val="-2"/>
          <w:vertAlign w:val="subscript"/>
        </w:rPr>
        <w:t>2</w:t>
      </w:r>
      <w:r w:rsidRPr="009E06AA">
        <w:rPr>
          <w:spacing w:val="-2"/>
        </w:rPr>
        <w:t>O</w:t>
      </w:r>
      <w:r w:rsidRPr="009E06AA">
        <w:t xml:space="preserve"> emissions and nitrate (NO</w:t>
      </w:r>
      <w:r w:rsidRPr="009E06AA">
        <w:rPr>
          <w:vertAlign w:val="subscript"/>
        </w:rPr>
        <w:t>3</w:t>
      </w:r>
      <w:r w:rsidRPr="009E06AA">
        <w:t>–) leaching in pastoral grassland systems grazed by ruminant animals. The Agriculture inventory model methodology incorporates DCD use by modifying the emission factors EF</w:t>
      </w:r>
      <w:r w:rsidRPr="009E06AA">
        <w:rPr>
          <w:vertAlign w:val="subscript"/>
        </w:rPr>
        <w:t>3(PRP)</w:t>
      </w:r>
      <w:r w:rsidRPr="009E06AA">
        <w:t xml:space="preserve"> and the parameter Frac</w:t>
      </w:r>
      <w:r w:rsidRPr="009E06AA">
        <w:rPr>
          <w:vertAlign w:val="subscript"/>
        </w:rPr>
        <w:t>LEACH</w:t>
      </w:r>
      <w:r w:rsidRPr="009E06AA">
        <w:t xml:space="preserve"> (see table 5.5.5). These were modified based on comprehensive field-based research that showed significant reductions in direct and indirect </w:t>
      </w:r>
      <w:r w:rsidRPr="009E06AA">
        <w:rPr>
          <w:spacing w:val="-2"/>
        </w:rPr>
        <w:t>N</w:t>
      </w:r>
      <w:r w:rsidRPr="009E06AA">
        <w:rPr>
          <w:spacing w:val="-2"/>
          <w:vertAlign w:val="subscript"/>
        </w:rPr>
        <w:t>2</w:t>
      </w:r>
      <w:r w:rsidRPr="009E06AA">
        <w:rPr>
          <w:spacing w:val="-2"/>
        </w:rPr>
        <w:t>O</w:t>
      </w:r>
      <w:r w:rsidRPr="009E06AA">
        <w:t xml:space="preserve"> emissions and NO</w:t>
      </w:r>
      <w:r w:rsidRPr="009E06AA">
        <w:rPr>
          <w:vertAlign w:val="subscript"/>
        </w:rPr>
        <w:t>3</w:t>
      </w:r>
      <w:r w:rsidRPr="009E06AA">
        <w:t>– leaching where the DCD was applied. It was determined that, on a national basis, reductions in EF</w:t>
      </w:r>
      <w:r w:rsidRPr="009E06AA">
        <w:rPr>
          <w:vertAlign w:val="subscript"/>
        </w:rPr>
        <w:t>3(PRP)</w:t>
      </w:r>
      <w:r w:rsidRPr="009E06AA">
        <w:t xml:space="preserve"> and Frac</w:t>
      </w:r>
      <w:r w:rsidRPr="009E06AA">
        <w:rPr>
          <w:vertAlign w:val="subscript"/>
        </w:rPr>
        <w:t>LEACH</w:t>
      </w:r>
      <w:r w:rsidRPr="009E06AA">
        <w:t xml:space="preserve"> of 67 per cent and 53 per cent respectively could be made (Clough et al., 2008). </w:t>
      </w:r>
    </w:p>
    <w:p w14:paraId="67DB48F7" w14:textId="77777777" w:rsidR="007523B8" w:rsidRPr="009E06AA" w:rsidRDefault="007523B8" w:rsidP="007523B8">
      <w:pPr>
        <w:pStyle w:val="BodyText"/>
      </w:pPr>
      <w:r w:rsidRPr="009E06AA">
        <w:t>Limited research has been conducted</w:t>
      </w:r>
      <w:r w:rsidRPr="009E06AA" w:rsidDel="00F66615">
        <w:t xml:space="preserve"> </w:t>
      </w:r>
      <w:r w:rsidRPr="009E06AA">
        <w:t>concerning the effect of DCD on dung (EF</w:t>
      </w:r>
      <w:r w:rsidRPr="009E06AA">
        <w:rPr>
          <w:vertAlign w:val="subscript"/>
        </w:rPr>
        <w:t>3(PRP-DUNG)</w:t>
      </w:r>
      <w:r w:rsidRPr="009E06AA">
        <w:t>); however, this research was inconclusive and further work needs to be carried out before incorporating the impact of dung emissions into the Agriculture inventory model. Application of this inhibitor was found to have no effect on NH</w:t>
      </w:r>
      <w:r w:rsidRPr="009E06AA">
        <w:rPr>
          <w:vertAlign w:val="subscript"/>
        </w:rPr>
        <w:t>3</w:t>
      </w:r>
      <w:r w:rsidRPr="009E06AA">
        <w:t xml:space="preserve"> volatilisation, which is supported by the results of field studies (Clough et al., 2008; Sherlock et al., 2008). Therefore, the parameter for volatilisation remains unchanged.</w:t>
      </w:r>
    </w:p>
    <w:p w14:paraId="628B0F62" w14:textId="77777777" w:rsidR="007523B8" w:rsidRPr="009E06AA" w:rsidRDefault="007523B8" w:rsidP="007523B8">
      <w:pPr>
        <w:pStyle w:val="BodyText"/>
        <w:rPr>
          <w:rFonts w:cs="Calibri"/>
        </w:rPr>
      </w:pPr>
      <w:r w:rsidRPr="009E06AA">
        <w:rPr>
          <w:rFonts w:cs="Calibri"/>
        </w:rPr>
        <w:t>The DCD weighting factors are calculated based on reductions in emission factors and parameters, and the fraction of dairy land treated with the inhibitor, as follows:</w:t>
      </w:r>
    </w:p>
    <w:p w14:paraId="0BDA12C6" w14:textId="77777777" w:rsidR="007523B8" w:rsidRPr="009E06AA" w:rsidRDefault="007523B8" w:rsidP="007523B8">
      <w:pPr>
        <w:pStyle w:val="BodyText"/>
        <w:jc w:val="center"/>
      </w:pPr>
      <w:bookmarkStart w:id="1358" w:name="_1767787262"/>
      <w:bookmarkEnd w:id="1358"/>
      <w:r w:rsidRPr="009E06AA">
        <w:rPr>
          <w:rFonts w:ascii="Cambria Math" w:hAnsi="Cambria Math"/>
          <w:i/>
          <w:sz w:val="24"/>
          <w:szCs w:val="24"/>
        </w:rPr>
        <w:t xml:space="preserve"> </w:t>
      </w:r>
      <m:oMath>
        <m:r>
          <w:rPr>
            <w:rFonts w:ascii="Cambria Math" w:hAnsi="Cambria Math"/>
            <w:sz w:val="24"/>
            <w:szCs w:val="24"/>
          </w:rPr>
          <m:t>DCD weighting factor=</m:t>
        </m:r>
        <m:d>
          <m:dPr>
            <m:ctrlPr>
              <w:rPr>
                <w:rFonts w:ascii="Cambria Math" w:hAnsi="Cambria Math"/>
                <w:i/>
                <w:sz w:val="24"/>
                <w:szCs w:val="24"/>
              </w:rPr>
            </m:ctrlPr>
          </m:dPr>
          <m:e>
            <m:r>
              <w:rPr>
                <w:rFonts w:ascii="Cambria Math" w:hAnsi="Cambria Math"/>
                <w:sz w:val="24"/>
                <w:szCs w:val="24"/>
              </w:rPr>
              <m:t>1-</m:t>
            </m:r>
            <m:f>
              <m:fPr>
                <m:ctrlPr>
                  <w:rPr>
                    <w:rFonts w:ascii="Cambria Math" w:hAnsi="Cambria Math"/>
                    <w:i/>
                    <w:sz w:val="24"/>
                    <w:szCs w:val="24"/>
                  </w:rPr>
                </m:ctrlPr>
              </m:fPr>
              <m:num>
                <m:r>
                  <w:rPr>
                    <w:rFonts w:ascii="Cambria Math" w:hAnsi="Cambria Math"/>
                    <w:sz w:val="24"/>
                    <w:szCs w:val="24"/>
                  </w:rPr>
                  <m:t>% reduction in E</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x</m:t>
                    </m:r>
                  </m:sub>
                </m:sSub>
              </m:num>
              <m:den>
                <m:r>
                  <w:rPr>
                    <w:rFonts w:ascii="Cambria Math" w:hAnsi="Cambria Math"/>
                    <w:sz w:val="24"/>
                    <w:szCs w:val="24"/>
                  </w:rPr>
                  <m:t>100</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DCD area treated</m:t>
                </m:r>
              </m:num>
              <m:den>
                <m:r>
                  <w:rPr>
                    <w:rFonts w:ascii="Cambria Math" w:hAnsi="Cambria Math"/>
                    <w:sz w:val="24"/>
                    <w:szCs w:val="24"/>
                  </w:rPr>
                  <m:t>Total area of dairy</m:t>
                </m:r>
              </m:den>
            </m:f>
          </m:e>
        </m:d>
      </m:oMath>
    </w:p>
    <w:p w14:paraId="480EE62F" w14:textId="77777777" w:rsidR="007523B8" w:rsidRPr="009E06AA" w:rsidRDefault="007523B8" w:rsidP="007523B8">
      <w:pPr>
        <w:pStyle w:val="BodyText"/>
      </w:pPr>
      <w:r w:rsidRPr="009E06AA">
        <w:rPr>
          <w:rFonts w:cs="Calibri"/>
          <w:spacing w:val="-2"/>
        </w:rPr>
        <w:t>The appropriate weighting factor is then used as an additional multiplier in the current methodology for calculating indirect and direct emissions of N</w:t>
      </w:r>
      <w:r w:rsidRPr="009E06AA">
        <w:rPr>
          <w:rFonts w:cs="Calibri"/>
          <w:spacing w:val="-2"/>
          <w:vertAlign w:val="subscript"/>
        </w:rPr>
        <w:t>2</w:t>
      </w:r>
      <w:r w:rsidRPr="009E06AA">
        <w:rPr>
          <w:rFonts w:cs="Calibri"/>
          <w:spacing w:val="-2"/>
        </w:rPr>
        <w:t>O from grazed pastures. The calculations use a modified EF</w:t>
      </w:r>
      <w:r w:rsidRPr="009E06AA">
        <w:rPr>
          <w:rFonts w:cs="Calibri"/>
          <w:spacing w:val="-2"/>
          <w:vertAlign w:val="subscript"/>
        </w:rPr>
        <w:t xml:space="preserve">3(PRP) </w:t>
      </w:r>
      <w:r w:rsidRPr="009E06AA">
        <w:rPr>
          <w:rFonts w:cs="Calibri"/>
          <w:spacing w:val="-2"/>
        </w:rPr>
        <w:t>of 0.0097 and Frac</w:t>
      </w:r>
      <w:r w:rsidRPr="009E06AA">
        <w:rPr>
          <w:rFonts w:cs="Calibri"/>
          <w:spacing w:val="-2"/>
          <w:vertAlign w:val="subscript"/>
        </w:rPr>
        <w:t xml:space="preserve">LEACH </w:t>
      </w:r>
      <w:r w:rsidRPr="009E06AA">
        <w:rPr>
          <w:rFonts w:cs="Calibri"/>
          <w:spacing w:val="-2"/>
        </w:rPr>
        <w:t>of 0.0696 for the dairy grazing area in the months that the inhibitor is applied and is effective (May to September). The modified emission factors (see table 5.5.10) are based on information from the Stats NZ Agricultural Production Survey that 2.9 per cent of the effective dairying area in New Zealand received DCD in 2012. The inhibitor is applied to pastures based on recommended ‘good management practice’ (either a slurry or DCD-coated granule) to maximise N</w:t>
      </w:r>
      <w:r w:rsidRPr="009E06AA">
        <w:rPr>
          <w:rFonts w:cs="Calibri"/>
          <w:spacing w:val="-2"/>
          <w:vertAlign w:val="subscript"/>
        </w:rPr>
        <w:t>2</w:t>
      </w:r>
      <w:r w:rsidRPr="009E06AA">
        <w:rPr>
          <w:rFonts w:cs="Calibri"/>
          <w:spacing w:val="-2"/>
        </w:rPr>
        <w:t xml:space="preserve">O emission reductions. </w:t>
      </w:r>
      <w:r w:rsidRPr="009E06AA">
        <w:rPr>
          <w:rFonts w:cs="Calibri"/>
        </w:rPr>
        <w:t xml:space="preserve">Mitigation estimates for the calendar years 2007 to 2012 are shown in table 5.5.10. </w:t>
      </w:r>
    </w:p>
    <w:p w14:paraId="7EA17203" w14:textId="6C02772F" w:rsidR="007523B8" w:rsidRPr="009E06AA" w:rsidRDefault="007523B8" w:rsidP="007523B8">
      <w:pPr>
        <w:pStyle w:val="Table"/>
        <w:rPr>
          <w:rFonts w:cs="Calibri"/>
        </w:rPr>
      </w:pPr>
      <w:bookmarkStart w:id="1359" w:name="_Toc441830885"/>
      <w:bookmarkStart w:id="1360" w:name="_Toc451176099"/>
      <w:bookmarkStart w:id="1361" w:name="_Toc481751527"/>
      <w:bookmarkStart w:id="1362" w:name="_Toc507158615"/>
      <w:bookmarkStart w:id="1363" w:name="_Toc511116749"/>
      <w:bookmarkStart w:id="1364" w:name="_Toc5269491"/>
      <w:bookmarkStart w:id="1365" w:name="_Toc32570936"/>
      <w:bookmarkStart w:id="1366" w:name="_Toc36224571"/>
      <w:bookmarkStart w:id="1367" w:name="_Toc68786456"/>
      <w:bookmarkStart w:id="1368" w:name="_Toc95574089"/>
      <w:bookmarkStart w:id="1369" w:name="_Toc127458276"/>
      <w:bookmarkStart w:id="1370" w:name="_Toc131591372"/>
      <w:bookmarkStart w:id="1371" w:name="_Toc160114466"/>
      <w:bookmarkStart w:id="1372" w:name="_Toc164153862"/>
      <w:r w:rsidRPr="009E06AA">
        <w:rPr>
          <w:rFonts w:cs="Calibri"/>
        </w:rPr>
        <w:t>Table 5.5.10</w:t>
      </w:r>
      <w:r w:rsidRPr="009E06AA">
        <w:rPr>
          <w:rFonts w:cs="Calibri"/>
        </w:rPr>
        <w:tab/>
        <w:t xml:space="preserve">Emission factors, parameters and mitigation for </w:t>
      </w:r>
      <w:r w:rsidRPr="009E06AA">
        <w:rPr>
          <w:rFonts w:cs="Calibri"/>
          <w:spacing w:val="-2"/>
        </w:rPr>
        <w:t>New Zealand’s</w:t>
      </w:r>
      <w:r w:rsidRPr="009E06AA">
        <w:rPr>
          <w:rFonts w:cs="Calibri"/>
        </w:rPr>
        <w:t xml:space="preserve"> dicyandiamide inhibitor calculations</w:t>
      </w:r>
      <w:bookmarkEnd w:id="1359"/>
      <w:r w:rsidR="002901AB" w:rsidRPr="009E06AA">
        <w:rPr>
          <w:rFonts w:cs="Calibri"/>
        </w:rPr>
        <w:t>,</w:t>
      </w:r>
      <w:r w:rsidRPr="009E06AA">
        <w:rPr>
          <w:rFonts w:cs="Calibri"/>
        </w:rPr>
        <w:t xml:space="preserve"> from 2007 to 2012</w:t>
      </w:r>
      <w:bookmarkEnd w:id="1360"/>
      <w:bookmarkEnd w:id="1361"/>
      <w:bookmarkEnd w:id="1362"/>
      <w:bookmarkEnd w:id="1363"/>
      <w:bookmarkEnd w:id="1364"/>
      <w:bookmarkEnd w:id="1365"/>
      <w:bookmarkEnd w:id="1366"/>
      <w:bookmarkEnd w:id="1367"/>
      <w:bookmarkEnd w:id="1368"/>
      <w:bookmarkEnd w:id="1369"/>
      <w:bookmarkEnd w:id="1370"/>
      <w:bookmarkEnd w:id="1371"/>
      <w:bookmarkEnd w:id="1372"/>
    </w:p>
    <w:tbl>
      <w:tblPr>
        <w:tblW w:w="8505" w:type="dxa"/>
        <w:tblBorders>
          <w:top w:val="single" w:sz="4" w:space="0" w:color="1B556B" w:themeColor="text2"/>
          <w:bottom w:val="single" w:sz="4" w:space="0" w:color="1B556B" w:themeColor="text2"/>
          <w:insideH w:val="single" w:sz="4" w:space="0" w:color="1B556B" w:themeColor="text2"/>
        </w:tblBorders>
        <w:tblLayout w:type="fixed"/>
        <w:tblCellMar>
          <w:left w:w="85" w:type="dxa"/>
          <w:right w:w="85" w:type="dxa"/>
        </w:tblCellMar>
        <w:tblLook w:val="00A0" w:firstRow="1" w:lastRow="0" w:firstColumn="1" w:lastColumn="0" w:noHBand="0" w:noVBand="0"/>
      </w:tblPr>
      <w:tblGrid>
        <w:gridCol w:w="3635"/>
        <w:gridCol w:w="728"/>
        <w:gridCol w:w="845"/>
        <w:gridCol w:w="846"/>
        <w:gridCol w:w="845"/>
        <w:gridCol w:w="846"/>
        <w:gridCol w:w="760"/>
      </w:tblGrid>
      <w:tr w:rsidR="007523B8" w:rsidRPr="009E06AA" w14:paraId="68FE8486" w14:textId="77777777" w:rsidTr="00B55F24">
        <w:trPr>
          <w:tblHeader/>
        </w:trPr>
        <w:tc>
          <w:tcPr>
            <w:tcW w:w="3635" w:type="dxa"/>
            <w:shd w:val="clear" w:color="auto" w:fill="1B556B"/>
          </w:tcPr>
          <w:p w14:paraId="129FCE3C" w14:textId="77777777" w:rsidR="007523B8" w:rsidRPr="009E06AA" w:rsidRDefault="007523B8" w:rsidP="00B55F24">
            <w:pPr>
              <w:pStyle w:val="TableTextBold"/>
              <w:keepNext/>
              <w:spacing w:before="50" w:after="50"/>
              <w:jc w:val="center"/>
              <w:rPr>
                <w:noProof w:val="0"/>
                <w:color w:val="FFFFFF" w:themeColor="background1"/>
              </w:rPr>
            </w:pPr>
          </w:p>
        </w:tc>
        <w:tc>
          <w:tcPr>
            <w:tcW w:w="728" w:type="dxa"/>
            <w:shd w:val="clear" w:color="auto" w:fill="1B556B"/>
          </w:tcPr>
          <w:p w14:paraId="17B79211" w14:textId="77777777" w:rsidR="007523B8" w:rsidRPr="009E06AA" w:rsidRDefault="007523B8" w:rsidP="009D3391">
            <w:pPr>
              <w:pStyle w:val="TableTextBold"/>
              <w:spacing w:before="50" w:after="50"/>
              <w:jc w:val="right"/>
              <w:rPr>
                <w:i/>
                <w:iCs/>
                <w:noProof w:val="0"/>
                <w:color w:val="FFFFFF" w:themeColor="background1"/>
              </w:rPr>
            </w:pPr>
            <w:r w:rsidRPr="009E06AA">
              <w:rPr>
                <w:noProof w:val="0"/>
                <w:color w:val="FFFFFF" w:themeColor="background1"/>
              </w:rPr>
              <w:t>2007</w:t>
            </w:r>
          </w:p>
        </w:tc>
        <w:tc>
          <w:tcPr>
            <w:tcW w:w="845" w:type="dxa"/>
            <w:shd w:val="clear" w:color="auto" w:fill="1B556B"/>
          </w:tcPr>
          <w:p w14:paraId="786B477A" w14:textId="77777777" w:rsidR="007523B8" w:rsidRPr="009E06AA" w:rsidRDefault="007523B8" w:rsidP="009D3391">
            <w:pPr>
              <w:pStyle w:val="TableTextBold"/>
              <w:spacing w:before="50" w:after="50"/>
              <w:jc w:val="right"/>
              <w:rPr>
                <w:i/>
                <w:iCs/>
                <w:noProof w:val="0"/>
                <w:color w:val="FFFFFF" w:themeColor="background1"/>
              </w:rPr>
            </w:pPr>
            <w:r w:rsidRPr="009E06AA">
              <w:rPr>
                <w:noProof w:val="0"/>
                <w:color w:val="FFFFFF" w:themeColor="background1"/>
              </w:rPr>
              <w:t>2008</w:t>
            </w:r>
          </w:p>
        </w:tc>
        <w:tc>
          <w:tcPr>
            <w:tcW w:w="846" w:type="dxa"/>
            <w:shd w:val="clear" w:color="auto" w:fill="1B556B"/>
          </w:tcPr>
          <w:p w14:paraId="46A20117" w14:textId="77777777" w:rsidR="007523B8" w:rsidRPr="009E06AA" w:rsidRDefault="007523B8" w:rsidP="009D3391">
            <w:pPr>
              <w:pStyle w:val="TableTextBold"/>
              <w:spacing w:before="50" w:after="50"/>
              <w:jc w:val="right"/>
              <w:rPr>
                <w:i/>
                <w:iCs/>
                <w:noProof w:val="0"/>
                <w:color w:val="FFFFFF" w:themeColor="background1"/>
              </w:rPr>
            </w:pPr>
            <w:r w:rsidRPr="009E06AA">
              <w:rPr>
                <w:noProof w:val="0"/>
                <w:color w:val="FFFFFF" w:themeColor="background1"/>
              </w:rPr>
              <w:t>2009</w:t>
            </w:r>
          </w:p>
        </w:tc>
        <w:tc>
          <w:tcPr>
            <w:tcW w:w="845" w:type="dxa"/>
            <w:shd w:val="clear" w:color="auto" w:fill="1B556B"/>
          </w:tcPr>
          <w:p w14:paraId="5010AD3D" w14:textId="77777777" w:rsidR="007523B8" w:rsidRPr="009E06AA" w:rsidRDefault="007523B8" w:rsidP="009D3391">
            <w:pPr>
              <w:pStyle w:val="TableTextBold"/>
              <w:spacing w:before="50" w:after="50"/>
              <w:jc w:val="right"/>
              <w:rPr>
                <w:i/>
                <w:iCs/>
                <w:noProof w:val="0"/>
                <w:color w:val="FFFFFF" w:themeColor="background1"/>
              </w:rPr>
            </w:pPr>
            <w:r w:rsidRPr="009E06AA">
              <w:rPr>
                <w:noProof w:val="0"/>
                <w:color w:val="FFFFFF" w:themeColor="background1"/>
              </w:rPr>
              <w:t>2010</w:t>
            </w:r>
          </w:p>
        </w:tc>
        <w:tc>
          <w:tcPr>
            <w:tcW w:w="846" w:type="dxa"/>
            <w:shd w:val="clear" w:color="auto" w:fill="1B556B"/>
          </w:tcPr>
          <w:p w14:paraId="2AD2EDDB" w14:textId="77777777" w:rsidR="007523B8" w:rsidRPr="009E06AA" w:rsidRDefault="007523B8" w:rsidP="009D3391">
            <w:pPr>
              <w:pStyle w:val="TableTextBold"/>
              <w:spacing w:before="50" w:after="50"/>
              <w:jc w:val="right"/>
              <w:rPr>
                <w:i/>
                <w:iCs/>
                <w:noProof w:val="0"/>
                <w:color w:val="FFFFFF" w:themeColor="background1"/>
              </w:rPr>
            </w:pPr>
            <w:r w:rsidRPr="009E06AA">
              <w:rPr>
                <w:noProof w:val="0"/>
                <w:color w:val="FFFFFF" w:themeColor="background1"/>
              </w:rPr>
              <w:t>2011</w:t>
            </w:r>
          </w:p>
        </w:tc>
        <w:tc>
          <w:tcPr>
            <w:tcW w:w="760" w:type="dxa"/>
            <w:shd w:val="clear" w:color="auto" w:fill="1B556B"/>
          </w:tcPr>
          <w:p w14:paraId="78FBA539" w14:textId="77777777" w:rsidR="007523B8" w:rsidRPr="009E06AA" w:rsidRDefault="007523B8" w:rsidP="009D3391">
            <w:pPr>
              <w:pStyle w:val="TableTextBold"/>
              <w:spacing w:before="50" w:after="50"/>
              <w:jc w:val="right"/>
              <w:rPr>
                <w:i/>
                <w:iCs/>
                <w:noProof w:val="0"/>
                <w:color w:val="FFFFFF" w:themeColor="background1"/>
              </w:rPr>
            </w:pPr>
            <w:r w:rsidRPr="009E06AA">
              <w:rPr>
                <w:noProof w:val="0"/>
                <w:color w:val="FFFFFF" w:themeColor="background1"/>
              </w:rPr>
              <w:t>2012</w:t>
            </w:r>
          </w:p>
        </w:tc>
      </w:tr>
      <w:tr w:rsidR="007523B8" w:rsidRPr="009E06AA" w14:paraId="017EDE8F" w14:textId="77777777" w:rsidTr="00B55F24">
        <w:tc>
          <w:tcPr>
            <w:tcW w:w="3635" w:type="dxa"/>
            <w:shd w:val="clear" w:color="auto" w:fill="auto"/>
          </w:tcPr>
          <w:p w14:paraId="072EFC99" w14:textId="77777777" w:rsidR="007523B8" w:rsidRPr="009E06AA" w:rsidRDefault="007523B8" w:rsidP="00B55F24">
            <w:pPr>
              <w:pStyle w:val="TableText"/>
              <w:keepNext/>
              <w:spacing w:before="50" w:after="50"/>
              <w:rPr>
                <w:rFonts w:cs="Calibri"/>
              </w:rPr>
            </w:pPr>
            <w:r w:rsidRPr="009E06AA">
              <w:rPr>
                <w:rFonts w:cs="Calibri"/>
              </w:rPr>
              <w:t>Percentage of dairy area applied with inhibitor</w:t>
            </w:r>
          </w:p>
        </w:tc>
        <w:tc>
          <w:tcPr>
            <w:tcW w:w="728" w:type="dxa"/>
          </w:tcPr>
          <w:p w14:paraId="309D2CFC" w14:textId="77777777" w:rsidR="007523B8" w:rsidRPr="009E06AA" w:rsidRDefault="007523B8" w:rsidP="009D3391">
            <w:pPr>
              <w:pStyle w:val="TableText"/>
              <w:spacing w:before="50" w:after="50"/>
              <w:jc w:val="right"/>
              <w:rPr>
                <w:rFonts w:cs="Calibri"/>
              </w:rPr>
            </w:pPr>
            <w:r w:rsidRPr="009E06AA">
              <w:rPr>
                <w:rFonts w:cs="Calibri"/>
              </w:rPr>
              <w:t>3.5</w:t>
            </w:r>
          </w:p>
        </w:tc>
        <w:tc>
          <w:tcPr>
            <w:tcW w:w="845" w:type="dxa"/>
          </w:tcPr>
          <w:p w14:paraId="18D38A41" w14:textId="77777777" w:rsidR="007523B8" w:rsidRPr="009E06AA" w:rsidRDefault="007523B8" w:rsidP="009D3391">
            <w:pPr>
              <w:pStyle w:val="TableText"/>
              <w:spacing w:before="50" w:after="50"/>
              <w:jc w:val="right"/>
              <w:rPr>
                <w:rFonts w:cs="Calibri"/>
              </w:rPr>
            </w:pPr>
            <w:r w:rsidRPr="009E06AA">
              <w:rPr>
                <w:rFonts w:cs="Calibri"/>
              </w:rPr>
              <w:t>4.5</w:t>
            </w:r>
          </w:p>
        </w:tc>
        <w:tc>
          <w:tcPr>
            <w:tcW w:w="846" w:type="dxa"/>
          </w:tcPr>
          <w:p w14:paraId="066B96C4" w14:textId="77777777" w:rsidR="007523B8" w:rsidRPr="009E06AA" w:rsidRDefault="007523B8" w:rsidP="009D3391">
            <w:pPr>
              <w:pStyle w:val="TableText"/>
              <w:spacing w:before="50" w:after="50"/>
              <w:jc w:val="right"/>
              <w:rPr>
                <w:rFonts w:cs="Calibri"/>
              </w:rPr>
            </w:pPr>
            <w:r w:rsidRPr="009E06AA">
              <w:rPr>
                <w:rFonts w:cs="Calibri"/>
              </w:rPr>
              <w:t>3.1</w:t>
            </w:r>
          </w:p>
        </w:tc>
        <w:tc>
          <w:tcPr>
            <w:tcW w:w="845" w:type="dxa"/>
          </w:tcPr>
          <w:p w14:paraId="688384B0" w14:textId="77777777" w:rsidR="007523B8" w:rsidRPr="009E06AA" w:rsidRDefault="007523B8" w:rsidP="009D3391">
            <w:pPr>
              <w:pStyle w:val="TableText"/>
              <w:spacing w:before="50" w:after="50"/>
              <w:jc w:val="right"/>
              <w:rPr>
                <w:rFonts w:cs="Calibri"/>
              </w:rPr>
            </w:pPr>
            <w:r w:rsidRPr="009E06AA">
              <w:rPr>
                <w:rFonts w:cs="Calibri"/>
              </w:rPr>
              <w:t>2.2</w:t>
            </w:r>
          </w:p>
        </w:tc>
        <w:tc>
          <w:tcPr>
            <w:tcW w:w="846" w:type="dxa"/>
          </w:tcPr>
          <w:p w14:paraId="18864994" w14:textId="77777777" w:rsidR="007523B8" w:rsidRPr="009E06AA" w:rsidRDefault="007523B8" w:rsidP="009D3391">
            <w:pPr>
              <w:pStyle w:val="TableText"/>
              <w:spacing w:before="50" w:after="50"/>
              <w:jc w:val="right"/>
              <w:rPr>
                <w:rFonts w:cs="Calibri"/>
              </w:rPr>
            </w:pPr>
            <w:r w:rsidRPr="009E06AA">
              <w:rPr>
                <w:rFonts w:cs="Calibri"/>
              </w:rPr>
              <w:t>3.0</w:t>
            </w:r>
          </w:p>
        </w:tc>
        <w:tc>
          <w:tcPr>
            <w:tcW w:w="760" w:type="dxa"/>
          </w:tcPr>
          <w:p w14:paraId="72C16CFB" w14:textId="77777777" w:rsidR="007523B8" w:rsidRPr="009E06AA" w:rsidRDefault="007523B8" w:rsidP="009D3391">
            <w:pPr>
              <w:pStyle w:val="TableText"/>
              <w:spacing w:before="50" w:after="50"/>
              <w:jc w:val="right"/>
              <w:rPr>
                <w:rFonts w:cs="Calibri"/>
              </w:rPr>
            </w:pPr>
            <w:r w:rsidRPr="009E06AA">
              <w:rPr>
                <w:rFonts w:cs="Calibri"/>
              </w:rPr>
              <w:t>2.9</w:t>
            </w:r>
          </w:p>
        </w:tc>
      </w:tr>
      <w:tr w:rsidR="007523B8" w:rsidRPr="009E06AA" w14:paraId="09BA6195" w14:textId="77777777" w:rsidTr="00B55F24">
        <w:tc>
          <w:tcPr>
            <w:tcW w:w="3635" w:type="dxa"/>
            <w:shd w:val="clear" w:color="auto" w:fill="auto"/>
          </w:tcPr>
          <w:p w14:paraId="7B2CD3B6" w14:textId="77777777" w:rsidR="007523B8" w:rsidRPr="009E06AA" w:rsidRDefault="007523B8" w:rsidP="00B55F24">
            <w:pPr>
              <w:pStyle w:val="TableText"/>
              <w:keepNext/>
              <w:spacing w:before="50" w:after="50"/>
              <w:rPr>
                <w:rFonts w:cs="Calibri"/>
              </w:rPr>
            </w:pPr>
            <w:r w:rsidRPr="009E06AA">
              <w:rPr>
                <w:rFonts w:cs="Calibri"/>
              </w:rPr>
              <w:t>Final modified emission factor or parameter for dairy cattle, EF</w:t>
            </w:r>
            <w:r w:rsidRPr="009E06AA">
              <w:rPr>
                <w:rFonts w:cs="Calibri"/>
                <w:vertAlign w:val="subscript"/>
              </w:rPr>
              <w:t>3(PRP)</w:t>
            </w:r>
            <w:r w:rsidRPr="009E06AA">
              <w:rPr>
                <w:rFonts w:cs="Calibri"/>
              </w:rPr>
              <w:t xml:space="preserve"> (kg N</w:t>
            </w:r>
            <w:r w:rsidRPr="009E06AA">
              <w:rPr>
                <w:rFonts w:cs="Calibri"/>
                <w:vertAlign w:val="subscript"/>
              </w:rPr>
              <w:t>2</w:t>
            </w:r>
            <w:r w:rsidRPr="009E06AA">
              <w:rPr>
                <w:rFonts w:cs="Calibri"/>
              </w:rPr>
              <w:t>O-N/kg N)</w:t>
            </w:r>
          </w:p>
        </w:tc>
        <w:tc>
          <w:tcPr>
            <w:tcW w:w="728" w:type="dxa"/>
            <w:shd w:val="clear" w:color="auto" w:fill="auto"/>
          </w:tcPr>
          <w:p w14:paraId="01C2DD11" w14:textId="77777777" w:rsidR="007523B8" w:rsidRPr="009E06AA" w:rsidRDefault="007523B8" w:rsidP="009D3391">
            <w:pPr>
              <w:pStyle w:val="TableText"/>
              <w:spacing w:before="50" w:after="50"/>
              <w:jc w:val="right"/>
              <w:rPr>
                <w:rFonts w:asciiTheme="minorHAnsi" w:hAnsiTheme="minorHAnsi" w:cstheme="minorHAnsi"/>
                <w:szCs w:val="16"/>
              </w:rPr>
            </w:pPr>
            <w:r w:rsidRPr="009E06AA">
              <w:rPr>
                <w:rFonts w:asciiTheme="minorHAnsi" w:hAnsiTheme="minorHAnsi" w:cstheme="minorHAnsi"/>
                <w:szCs w:val="16"/>
              </w:rPr>
              <w:t>0.00971</w:t>
            </w:r>
          </w:p>
        </w:tc>
        <w:tc>
          <w:tcPr>
            <w:tcW w:w="845" w:type="dxa"/>
            <w:shd w:val="clear" w:color="auto" w:fill="auto"/>
          </w:tcPr>
          <w:p w14:paraId="2BA77C11" w14:textId="77777777" w:rsidR="007523B8" w:rsidRPr="009E06AA" w:rsidRDefault="007523B8" w:rsidP="009D3391">
            <w:pPr>
              <w:pStyle w:val="TableText"/>
              <w:spacing w:before="50" w:after="50"/>
              <w:jc w:val="right"/>
              <w:rPr>
                <w:rFonts w:asciiTheme="minorHAnsi" w:hAnsiTheme="minorHAnsi" w:cstheme="minorHAnsi"/>
                <w:szCs w:val="16"/>
              </w:rPr>
            </w:pPr>
            <w:r w:rsidRPr="009E06AA">
              <w:rPr>
                <w:rFonts w:asciiTheme="minorHAnsi" w:hAnsiTheme="minorHAnsi" w:cstheme="minorHAnsi"/>
                <w:szCs w:val="16"/>
              </w:rPr>
              <w:t>0.00968</w:t>
            </w:r>
          </w:p>
        </w:tc>
        <w:tc>
          <w:tcPr>
            <w:tcW w:w="846" w:type="dxa"/>
            <w:shd w:val="clear" w:color="auto" w:fill="auto"/>
          </w:tcPr>
          <w:p w14:paraId="534F5611" w14:textId="77777777" w:rsidR="007523B8" w:rsidRPr="009E06AA" w:rsidRDefault="007523B8" w:rsidP="009D3391">
            <w:pPr>
              <w:pStyle w:val="TableText"/>
              <w:spacing w:before="50" w:after="50"/>
              <w:jc w:val="right"/>
              <w:rPr>
                <w:rFonts w:asciiTheme="minorHAnsi" w:hAnsiTheme="minorHAnsi" w:cstheme="minorHAnsi"/>
                <w:szCs w:val="16"/>
              </w:rPr>
            </w:pPr>
            <w:r w:rsidRPr="009E06AA">
              <w:rPr>
                <w:rFonts w:asciiTheme="minorHAnsi" w:hAnsiTheme="minorHAnsi" w:cstheme="minorHAnsi"/>
                <w:szCs w:val="16"/>
              </w:rPr>
              <w:t>0.00972</w:t>
            </w:r>
          </w:p>
        </w:tc>
        <w:tc>
          <w:tcPr>
            <w:tcW w:w="845" w:type="dxa"/>
            <w:shd w:val="clear" w:color="auto" w:fill="auto"/>
          </w:tcPr>
          <w:p w14:paraId="25A5BC5E" w14:textId="77777777" w:rsidR="007523B8" w:rsidRPr="009E06AA" w:rsidRDefault="007523B8" w:rsidP="009D3391">
            <w:pPr>
              <w:pStyle w:val="TableText"/>
              <w:spacing w:before="50" w:after="50"/>
              <w:jc w:val="right"/>
              <w:rPr>
                <w:rFonts w:asciiTheme="minorHAnsi" w:hAnsiTheme="minorHAnsi" w:cstheme="minorHAnsi"/>
                <w:szCs w:val="16"/>
              </w:rPr>
            </w:pPr>
            <w:r w:rsidRPr="009E06AA">
              <w:rPr>
                <w:rFonts w:asciiTheme="minorHAnsi" w:hAnsiTheme="minorHAnsi" w:cstheme="minorHAnsi"/>
                <w:szCs w:val="16"/>
              </w:rPr>
              <w:t>0.00974</w:t>
            </w:r>
          </w:p>
        </w:tc>
        <w:tc>
          <w:tcPr>
            <w:tcW w:w="846" w:type="dxa"/>
            <w:shd w:val="clear" w:color="auto" w:fill="auto"/>
          </w:tcPr>
          <w:p w14:paraId="62383518" w14:textId="77777777" w:rsidR="007523B8" w:rsidRPr="009E06AA" w:rsidRDefault="007523B8" w:rsidP="009D3391">
            <w:pPr>
              <w:pStyle w:val="TableText"/>
              <w:spacing w:before="50" w:after="50"/>
              <w:jc w:val="right"/>
              <w:rPr>
                <w:rFonts w:asciiTheme="minorHAnsi" w:hAnsiTheme="minorHAnsi" w:cstheme="minorHAnsi"/>
                <w:szCs w:val="16"/>
              </w:rPr>
            </w:pPr>
            <w:r w:rsidRPr="009E06AA">
              <w:rPr>
                <w:rFonts w:asciiTheme="minorHAnsi" w:hAnsiTheme="minorHAnsi" w:cstheme="minorHAnsi"/>
                <w:szCs w:val="16"/>
              </w:rPr>
              <w:t>0.00972</w:t>
            </w:r>
          </w:p>
        </w:tc>
        <w:tc>
          <w:tcPr>
            <w:tcW w:w="760" w:type="dxa"/>
            <w:shd w:val="clear" w:color="auto" w:fill="auto"/>
          </w:tcPr>
          <w:p w14:paraId="2159B67B" w14:textId="77777777" w:rsidR="007523B8" w:rsidRPr="009E06AA" w:rsidRDefault="007523B8" w:rsidP="009D3391">
            <w:pPr>
              <w:pStyle w:val="TableText"/>
              <w:spacing w:before="50" w:after="50"/>
              <w:jc w:val="right"/>
              <w:rPr>
                <w:rFonts w:asciiTheme="minorHAnsi" w:hAnsiTheme="minorHAnsi" w:cstheme="minorHAnsi"/>
                <w:szCs w:val="16"/>
              </w:rPr>
            </w:pPr>
            <w:r w:rsidRPr="009E06AA">
              <w:rPr>
                <w:rFonts w:asciiTheme="minorHAnsi" w:hAnsiTheme="minorHAnsi" w:cstheme="minorHAnsi"/>
                <w:szCs w:val="16"/>
              </w:rPr>
              <w:t>0.00972</w:t>
            </w:r>
          </w:p>
        </w:tc>
      </w:tr>
      <w:tr w:rsidR="007523B8" w:rsidRPr="009E06AA" w14:paraId="6969100A" w14:textId="77777777" w:rsidTr="00B55F24">
        <w:tc>
          <w:tcPr>
            <w:tcW w:w="3635" w:type="dxa"/>
            <w:shd w:val="clear" w:color="auto" w:fill="auto"/>
          </w:tcPr>
          <w:p w14:paraId="4E3E3CE3" w14:textId="77777777" w:rsidR="007523B8" w:rsidRPr="009E06AA" w:rsidRDefault="007523B8" w:rsidP="00B55F24">
            <w:pPr>
              <w:pStyle w:val="TableText"/>
              <w:keepNext/>
              <w:spacing w:before="50" w:after="50"/>
              <w:rPr>
                <w:rFonts w:cs="Calibri"/>
              </w:rPr>
            </w:pPr>
            <w:r w:rsidRPr="009E06AA">
              <w:rPr>
                <w:rFonts w:cs="Calibri"/>
              </w:rPr>
              <w:t>Final modified emission factor or parameter for dairy cattle, Frac</w:t>
            </w:r>
            <w:r w:rsidRPr="009E06AA">
              <w:rPr>
                <w:rFonts w:cs="Calibri"/>
                <w:vertAlign w:val="subscript"/>
              </w:rPr>
              <w:t xml:space="preserve">LEACH </w:t>
            </w:r>
            <w:r w:rsidRPr="009E06AA">
              <w:rPr>
                <w:rFonts w:cs="Calibri"/>
              </w:rPr>
              <w:t>(kg N</w:t>
            </w:r>
            <w:r w:rsidRPr="009E06AA">
              <w:rPr>
                <w:rFonts w:cs="Calibri"/>
                <w:vertAlign w:val="subscript"/>
              </w:rPr>
              <w:t>2</w:t>
            </w:r>
            <w:r w:rsidRPr="009E06AA">
              <w:rPr>
                <w:rFonts w:cs="Calibri"/>
              </w:rPr>
              <w:t>O-N/kg N)</w:t>
            </w:r>
          </w:p>
        </w:tc>
        <w:tc>
          <w:tcPr>
            <w:tcW w:w="728" w:type="dxa"/>
            <w:shd w:val="clear" w:color="auto" w:fill="auto"/>
          </w:tcPr>
          <w:p w14:paraId="44B2AD4D" w14:textId="77777777" w:rsidR="007523B8" w:rsidRPr="009E06AA" w:rsidRDefault="007523B8" w:rsidP="009D3391">
            <w:pPr>
              <w:pStyle w:val="TableText"/>
              <w:keepNext/>
              <w:spacing w:before="50" w:after="50"/>
              <w:jc w:val="right"/>
              <w:rPr>
                <w:rFonts w:asciiTheme="minorHAnsi" w:hAnsiTheme="minorHAnsi" w:cstheme="minorHAnsi"/>
                <w:szCs w:val="16"/>
              </w:rPr>
            </w:pPr>
            <w:r w:rsidRPr="009E06AA">
              <w:rPr>
                <w:rFonts w:asciiTheme="minorHAnsi" w:hAnsiTheme="minorHAnsi" w:cstheme="minorHAnsi"/>
                <w:szCs w:val="16"/>
              </w:rPr>
              <w:t>0.0695</w:t>
            </w:r>
          </w:p>
        </w:tc>
        <w:tc>
          <w:tcPr>
            <w:tcW w:w="845" w:type="dxa"/>
            <w:shd w:val="clear" w:color="auto" w:fill="auto"/>
          </w:tcPr>
          <w:p w14:paraId="15AF3ED6" w14:textId="77777777" w:rsidR="007523B8" w:rsidRPr="009E06AA" w:rsidRDefault="007523B8" w:rsidP="009D3391">
            <w:pPr>
              <w:pStyle w:val="TableText"/>
              <w:keepNext/>
              <w:spacing w:before="50" w:after="50"/>
              <w:jc w:val="right"/>
              <w:rPr>
                <w:rFonts w:asciiTheme="minorHAnsi" w:hAnsiTheme="minorHAnsi" w:cstheme="minorHAnsi"/>
                <w:szCs w:val="16"/>
              </w:rPr>
            </w:pPr>
            <w:r w:rsidRPr="009E06AA">
              <w:rPr>
                <w:rFonts w:asciiTheme="minorHAnsi" w:hAnsiTheme="minorHAnsi" w:cstheme="minorHAnsi"/>
                <w:szCs w:val="16"/>
              </w:rPr>
              <w:t>0.0693</w:t>
            </w:r>
          </w:p>
        </w:tc>
        <w:tc>
          <w:tcPr>
            <w:tcW w:w="846" w:type="dxa"/>
            <w:shd w:val="clear" w:color="auto" w:fill="auto"/>
          </w:tcPr>
          <w:p w14:paraId="7F0A65BD" w14:textId="77777777" w:rsidR="007523B8" w:rsidRPr="009E06AA" w:rsidRDefault="007523B8" w:rsidP="009D3391">
            <w:pPr>
              <w:pStyle w:val="TableText"/>
              <w:keepNext/>
              <w:spacing w:before="50" w:after="50"/>
              <w:jc w:val="right"/>
              <w:rPr>
                <w:rFonts w:asciiTheme="minorHAnsi" w:hAnsiTheme="minorHAnsi" w:cstheme="minorHAnsi"/>
                <w:szCs w:val="16"/>
              </w:rPr>
            </w:pPr>
            <w:r w:rsidRPr="009E06AA">
              <w:rPr>
                <w:rFonts w:asciiTheme="minorHAnsi" w:hAnsiTheme="minorHAnsi" w:cstheme="minorHAnsi"/>
                <w:szCs w:val="16"/>
              </w:rPr>
              <w:t>0.0695</w:t>
            </w:r>
          </w:p>
        </w:tc>
        <w:tc>
          <w:tcPr>
            <w:tcW w:w="845" w:type="dxa"/>
            <w:shd w:val="clear" w:color="auto" w:fill="auto"/>
          </w:tcPr>
          <w:p w14:paraId="4CEE073C" w14:textId="77777777" w:rsidR="007523B8" w:rsidRPr="009E06AA" w:rsidRDefault="007523B8" w:rsidP="009D3391">
            <w:pPr>
              <w:pStyle w:val="TableText"/>
              <w:keepNext/>
              <w:spacing w:before="50" w:after="50"/>
              <w:jc w:val="right"/>
              <w:rPr>
                <w:rFonts w:asciiTheme="minorHAnsi" w:hAnsiTheme="minorHAnsi" w:cstheme="minorHAnsi"/>
                <w:szCs w:val="16"/>
              </w:rPr>
            </w:pPr>
            <w:r w:rsidRPr="009E06AA">
              <w:rPr>
                <w:rFonts w:asciiTheme="minorHAnsi" w:hAnsiTheme="minorHAnsi" w:cstheme="minorHAnsi"/>
                <w:szCs w:val="16"/>
              </w:rPr>
              <w:t>0.0697</w:t>
            </w:r>
          </w:p>
        </w:tc>
        <w:tc>
          <w:tcPr>
            <w:tcW w:w="846" w:type="dxa"/>
            <w:shd w:val="clear" w:color="auto" w:fill="auto"/>
          </w:tcPr>
          <w:p w14:paraId="62986123" w14:textId="77777777" w:rsidR="007523B8" w:rsidRPr="009E06AA" w:rsidRDefault="007523B8" w:rsidP="009D3391">
            <w:pPr>
              <w:pStyle w:val="TableText"/>
              <w:keepNext/>
              <w:spacing w:before="50" w:after="50"/>
              <w:jc w:val="right"/>
              <w:rPr>
                <w:rFonts w:asciiTheme="minorHAnsi" w:hAnsiTheme="minorHAnsi" w:cstheme="minorHAnsi"/>
                <w:szCs w:val="16"/>
              </w:rPr>
            </w:pPr>
            <w:r w:rsidRPr="009E06AA">
              <w:rPr>
                <w:rFonts w:asciiTheme="minorHAnsi" w:hAnsiTheme="minorHAnsi" w:cstheme="minorHAnsi"/>
                <w:szCs w:val="16"/>
              </w:rPr>
              <w:t>0.0696</w:t>
            </w:r>
          </w:p>
        </w:tc>
        <w:tc>
          <w:tcPr>
            <w:tcW w:w="760" w:type="dxa"/>
            <w:shd w:val="clear" w:color="auto" w:fill="auto"/>
          </w:tcPr>
          <w:p w14:paraId="0AD35B7A" w14:textId="77777777" w:rsidR="007523B8" w:rsidRPr="009E06AA" w:rsidRDefault="007523B8" w:rsidP="009D3391">
            <w:pPr>
              <w:pStyle w:val="TableText"/>
              <w:keepNext/>
              <w:spacing w:before="50" w:after="50"/>
              <w:jc w:val="right"/>
              <w:rPr>
                <w:rFonts w:asciiTheme="minorHAnsi" w:hAnsiTheme="minorHAnsi" w:cstheme="minorHAnsi"/>
                <w:szCs w:val="16"/>
              </w:rPr>
            </w:pPr>
            <w:r w:rsidRPr="009E06AA">
              <w:rPr>
                <w:rFonts w:asciiTheme="minorHAnsi" w:hAnsiTheme="minorHAnsi" w:cstheme="minorHAnsi"/>
                <w:szCs w:val="16"/>
              </w:rPr>
              <w:t>0.0696</w:t>
            </w:r>
          </w:p>
        </w:tc>
      </w:tr>
      <w:tr w:rsidR="007523B8" w:rsidRPr="009E06AA" w14:paraId="40EFC77A" w14:textId="77777777" w:rsidTr="00B55F24">
        <w:tc>
          <w:tcPr>
            <w:tcW w:w="3635" w:type="dxa"/>
            <w:shd w:val="clear" w:color="auto" w:fill="auto"/>
            <w:vAlign w:val="bottom"/>
          </w:tcPr>
          <w:p w14:paraId="7E993CBA" w14:textId="77777777" w:rsidR="007523B8" w:rsidRPr="009E06AA" w:rsidRDefault="007523B8" w:rsidP="00B55F24">
            <w:pPr>
              <w:pStyle w:val="TableText"/>
              <w:spacing w:before="50" w:after="50"/>
              <w:rPr>
                <w:rFonts w:cs="Calibri"/>
              </w:rPr>
            </w:pPr>
            <w:r w:rsidRPr="009E06AA">
              <w:rPr>
                <w:rFonts w:cs="Calibri"/>
              </w:rPr>
              <w:t>Mitigation (kt CO</w:t>
            </w:r>
            <w:r w:rsidRPr="009E06AA">
              <w:rPr>
                <w:rFonts w:cs="Calibri"/>
                <w:vertAlign w:val="subscript"/>
              </w:rPr>
              <w:t>2</w:t>
            </w:r>
            <w:r w:rsidRPr="009E06AA">
              <w:rPr>
                <w:rFonts w:cs="Calibri"/>
              </w:rPr>
              <w:t>-e)</w:t>
            </w:r>
          </w:p>
        </w:tc>
        <w:tc>
          <w:tcPr>
            <w:tcW w:w="728" w:type="dxa"/>
            <w:shd w:val="clear" w:color="auto" w:fill="auto"/>
          </w:tcPr>
          <w:p w14:paraId="57BB9764" w14:textId="77777777" w:rsidR="007523B8" w:rsidRPr="009E06AA" w:rsidRDefault="007523B8" w:rsidP="009D3391">
            <w:pPr>
              <w:pStyle w:val="TableText"/>
              <w:spacing w:before="50" w:after="50"/>
              <w:jc w:val="right"/>
              <w:rPr>
                <w:rFonts w:asciiTheme="minorHAnsi" w:hAnsiTheme="minorHAnsi" w:cstheme="minorHAnsi"/>
                <w:szCs w:val="16"/>
              </w:rPr>
            </w:pPr>
            <w:r w:rsidRPr="009E06AA">
              <w:rPr>
                <w:rFonts w:asciiTheme="minorHAnsi" w:hAnsiTheme="minorHAnsi" w:cstheme="minorHAnsi"/>
                <w:szCs w:val="16"/>
              </w:rPr>
              <w:t>17.4</w:t>
            </w:r>
          </w:p>
        </w:tc>
        <w:tc>
          <w:tcPr>
            <w:tcW w:w="845" w:type="dxa"/>
            <w:shd w:val="clear" w:color="auto" w:fill="auto"/>
          </w:tcPr>
          <w:p w14:paraId="52ABBFDA" w14:textId="77777777" w:rsidR="007523B8" w:rsidRPr="009E06AA" w:rsidRDefault="007523B8" w:rsidP="009D3391">
            <w:pPr>
              <w:pStyle w:val="TableText"/>
              <w:spacing w:before="50" w:after="50"/>
              <w:jc w:val="right"/>
              <w:rPr>
                <w:rFonts w:asciiTheme="minorHAnsi" w:hAnsiTheme="minorHAnsi" w:cstheme="minorHAnsi"/>
                <w:szCs w:val="16"/>
              </w:rPr>
            </w:pPr>
            <w:r w:rsidRPr="009E06AA">
              <w:rPr>
                <w:rFonts w:asciiTheme="minorHAnsi" w:hAnsiTheme="minorHAnsi" w:cstheme="minorHAnsi"/>
                <w:szCs w:val="16"/>
              </w:rPr>
              <w:t>23.1</w:t>
            </w:r>
          </w:p>
        </w:tc>
        <w:tc>
          <w:tcPr>
            <w:tcW w:w="846" w:type="dxa"/>
            <w:shd w:val="clear" w:color="auto" w:fill="auto"/>
          </w:tcPr>
          <w:p w14:paraId="21EBF6F2" w14:textId="77777777" w:rsidR="007523B8" w:rsidRPr="009E06AA" w:rsidRDefault="007523B8" w:rsidP="009D3391">
            <w:pPr>
              <w:pStyle w:val="TableText"/>
              <w:spacing w:before="50" w:after="50"/>
              <w:jc w:val="right"/>
              <w:rPr>
                <w:rFonts w:asciiTheme="minorHAnsi" w:hAnsiTheme="minorHAnsi" w:cstheme="minorHAnsi"/>
                <w:szCs w:val="16"/>
              </w:rPr>
            </w:pPr>
            <w:r w:rsidRPr="009E06AA">
              <w:rPr>
                <w:rFonts w:asciiTheme="minorHAnsi" w:hAnsiTheme="minorHAnsi" w:cstheme="minorHAnsi"/>
                <w:szCs w:val="16"/>
              </w:rPr>
              <w:t>16.6</w:t>
            </w:r>
          </w:p>
        </w:tc>
        <w:tc>
          <w:tcPr>
            <w:tcW w:w="845" w:type="dxa"/>
            <w:shd w:val="clear" w:color="auto" w:fill="auto"/>
          </w:tcPr>
          <w:p w14:paraId="746D7934" w14:textId="77777777" w:rsidR="007523B8" w:rsidRPr="009E06AA" w:rsidRDefault="007523B8" w:rsidP="009D3391">
            <w:pPr>
              <w:pStyle w:val="TableText"/>
              <w:spacing w:before="50" w:after="50"/>
              <w:jc w:val="right"/>
              <w:rPr>
                <w:rFonts w:asciiTheme="minorHAnsi" w:hAnsiTheme="minorHAnsi" w:cstheme="minorHAnsi"/>
                <w:szCs w:val="16"/>
              </w:rPr>
            </w:pPr>
            <w:r w:rsidRPr="009E06AA">
              <w:rPr>
                <w:rFonts w:asciiTheme="minorHAnsi" w:hAnsiTheme="minorHAnsi" w:cstheme="minorHAnsi"/>
                <w:szCs w:val="16"/>
              </w:rPr>
              <w:t>12.4</w:t>
            </w:r>
          </w:p>
        </w:tc>
        <w:tc>
          <w:tcPr>
            <w:tcW w:w="846" w:type="dxa"/>
            <w:shd w:val="clear" w:color="auto" w:fill="auto"/>
          </w:tcPr>
          <w:p w14:paraId="26CFB12F" w14:textId="77777777" w:rsidR="007523B8" w:rsidRPr="009E06AA" w:rsidRDefault="007523B8" w:rsidP="009D3391">
            <w:pPr>
              <w:pStyle w:val="TableText"/>
              <w:spacing w:before="50" w:after="50"/>
              <w:jc w:val="right"/>
              <w:rPr>
                <w:rFonts w:asciiTheme="minorHAnsi" w:hAnsiTheme="minorHAnsi" w:cstheme="minorHAnsi"/>
                <w:szCs w:val="16"/>
              </w:rPr>
            </w:pPr>
            <w:r w:rsidRPr="009E06AA">
              <w:rPr>
                <w:rFonts w:asciiTheme="minorHAnsi" w:hAnsiTheme="minorHAnsi" w:cstheme="minorHAnsi"/>
                <w:szCs w:val="16"/>
              </w:rPr>
              <w:t>17.3</w:t>
            </w:r>
          </w:p>
        </w:tc>
        <w:tc>
          <w:tcPr>
            <w:tcW w:w="760" w:type="dxa"/>
            <w:shd w:val="clear" w:color="auto" w:fill="auto"/>
          </w:tcPr>
          <w:p w14:paraId="08CD2421" w14:textId="77777777" w:rsidR="007523B8" w:rsidRPr="009E06AA" w:rsidRDefault="007523B8" w:rsidP="009D3391">
            <w:pPr>
              <w:pStyle w:val="TableText"/>
              <w:spacing w:before="50" w:after="50"/>
              <w:jc w:val="right"/>
              <w:rPr>
                <w:rFonts w:asciiTheme="minorHAnsi" w:hAnsiTheme="minorHAnsi" w:cstheme="minorHAnsi"/>
                <w:szCs w:val="16"/>
              </w:rPr>
            </w:pPr>
            <w:r w:rsidRPr="009E06AA">
              <w:rPr>
                <w:rFonts w:asciiTheme="minorHAnsi" w:hAnsiTheme="minorHAnsi" w:cstheme="minorHAnsi"/>
                <w:szCs w:val="16"/>
              </w:rPr>
              <w:t>17.2</w:t>
            </w:r>
          </w:p>
        </w:tc>
      </w:tr>
    </w:tbl>
    <w:p w14:paraId="49C463B8" w14:textId="77777777" w:rsidR="007523B8" w:rsidRPr="009E06AA" w:rsidRDefault="007523B8" w:rsidP="004541BD">
      <w:pPr>
        <w:pStyle w:val="Noteundertable"/>
        <w:spacing w:after="80"/>
        <w:rPr>
          <w:rFonts w:cs="Calibri"/>
        </w:rPr>
      </w:pPr>
      <w:r w:rsidRPr="009E06AA">
        <w:rPr>
          <w:rFonts w:cs="Calibri"/>
          <w:b/>
          <w:bCs/>
        </w:rPr>
        <w:t>Note:</w:t>
      </w:r>
      <w:r w:rsidRPr="009E06AA">
        <w:rPr>
          <w:rFonts w:cs="Calibri"/>
        </w:rPr>
        <w:t xml:space="preserve"> </w:t>
      </w:r>
      <w:r w:rsidRPr="009E06AA">
        <w:rPr>
          <w:rFonts w:cs="Calibri"/>
        </w:rPr>
        <w:tab/>
        <w:t>EF</w:t>
      </w:r>
      <w:r w:rsidRPr="009E06AA">
        <w:rPr>
          <w:rFonts w:cs="Calibri"/>
          <w:vertAlign w:val="subscript"/>
        </w:rPr>
        <w:t>3(PRP)</w:t>
      </w:r>
      <w:r w:rsidRPr="009E06AA">
        <w:rPr>
          <w:rFonts w:cs="Calibri"/>
        </w:rPr>
        <w:t xml:space="preserve"> = 0.0098 and FRAC</w:t>
      </w:r>
      <w:r w:rsidRPr="009E06AA">
        <w:rPr>
          <w:rFonts w:cs="Calibri"/>
          <w:vertAlign w:val="subscript"/>
        </w:rPr>
        <w:t>LEACH</w:t>
      </w:r>
      <w:r w:rsidRPr="009E06AA">
        <w:rPr>
          <w:rFonts w:cs="Calibri"/>
        </w:rPr>
        <w:t xml:space="preserve"> = 0.10 for cropland and 0.08 for grassland when inhibitor is not applied. All other emission factors and parameters relating to animal excreta and fertiliser use (Frac</w:t>
      </w:r>
      <w:r w:rsidRPr="009E06AA">
        <w:rPr>
          <w:rFonts w:cs="Calibri"/>
          <w:vertAlign w:val="subscript"/>
        </w:rPr>
        <w:t>GASM</w:t>
      </w:r>
      <w:r w:rsidRPr="009E06AA">
        <w:rPr>
          <w:rFonts w:cs="Calibri"/>
        </w:rPr>
        <w:t>, Frac</w:t>
      </w:r>
      <w:r w:rsidRPr="009E06AA">
        <w:rPr>
          <w:rFonts w:cs="Calibri"/>
          <w:vertAlign w:val="subscript"/>
        </w:rPr>
        <w:t>GASF</w:t>
      </w:r>
      <w:r w:rsidRPr="009E06AA">
        <w:rPr>
          <w:rFonts w:cs="Calibri"/>
        </w:rPr>
        <w:t>, EF</w:t>
      </w:r>
      <w:r w:rsidRPr="009E06AA">
        <w:rPr>
          <w:rFonts w:cs="Calibri"/>
          <w:vertAlign w:val="subscript"/>
        </w:rPr>
        <w:t>4</w:t>
      </w:r>
      <w:r w:rsidRPr="009E06AA">
        <w:rPr>
          <w:rFonts w:cs="Calibri"/>
        </w:rPr>
        <w:t xml:space="preserve"> and EF</w:t>
      </w:r>
      <w:r w:rsidRPr="009E06AA">
        <w:rPr>
          <w:rFonts w:cs="Calibri"/>
          <w:vertAlign w:val="subscript"/>
        </w:rPr>
        <w:t>5</w:t>
      </w:r>
      <w:r w:rsidRPr="009E06AA">
        <w:rPr>
          <w:rFonts w:cs="Calibri"/>
        </w:rPr>
        <w:t xml:space="preserve">) remain unchanged when the inhibitor is used as a </w:t>
      </w:r>
      <w:r w:rsidRPr="009E06AA">
        <w:rPr>
          <w:rFonts w:cs="Calibri"/>
          <w:spacing w:val="-2"/>
        </w:rPr>
        <w:t>nitrous oxide</w:t>
      </w:r>
      <w:r w:rsidRPr="009E06AA">
        <w:rPr>
          <w:rFonts w:cs="Calibri"/>
        </w:rPr>
        <w:t xml:space="preserve"> mitigation technology. </w:t>
      </w:r>
    </w:p>
    <w:p w14:paraId="0E325FDD" w14:textId="77777777" w:rsidR="007523B8" w:rsidRPr="009E06AA" w:rsidRDefault="007523B8" w:rsidP="007523B8">
      <w:pPr>
        <w:pStyle w:val="Heading3"/>
      </w:pPr>
      <w:bookmarkStart w:id="1373" w:name="_Toc139253935"/>
      <w:bookmarkStart w:id="1374" w:name="_Toc32570669"/>
      <w:r w:rsidRPr="009E06AA">
        <w:t>5.5.3</w:t>
      </w:r>
      <w:r w:rsidRPr="009E06AA">
        <w:tab/>
        <w:t>Uncertainty assessment and time-series consistency</w:t>
      </w:r>
      <w:bookmarkEnd w:id="1373"/>
      <w:bookmarkEnd w:id="1374"/>
    </w:p>
    <w:p w14:paraId="3D9468D8" w14:textId="77777777" w:rsidR="007523B8" w:rsidRPr="009E06AA" w:rsidRDefault="007523B8" w:rsidP="007523B8">
      <w:pPr>
        <w:pStyle w:val="BodyText"/>
        <w:rPr>
          <w:rFonts w:cs="Calibri"/>
        </w:rPr>
      </w:pPr>
      <w:r w:rsidRPr="009E06AA">
        <w:rPr>
          <w:rFonts w:cs="Calibri"/>
        </w:rPr>
        <w:t>To ensure consistency in the calculations involving animal manure, a single enhanced livestock population characterisation and feed-intake estimate is produced by the Tier 2 model for the major livestock categories. This is used in different parts of the calculations to estimate: CH</w:t>
      </w:r>
      <w:r w:rsidRPr="009E06AA">
        <w:rPr>
          <w:rFonts w:cs="Calibri"/>
          <w:vertAlign w:val="subscript"/>
        </w:rPr>
        <w:t>4</w:t>
      </w:r>
      <w:r w:rsidRPr="009E06AA">
        <w:rPr>
          <w:rFonts w:cs="Calibri"/>
        </w:rPr>
        <w:t xml:space="preserve"> emissions for the </w:t>
      </w:r>
      <w:r w:rsidRPr="009E06AA">
        <w:rPr>
          <w:rFonts w:cs="Calibri"/>
          <w:i/>
          <w:iCs/>
        </w:rPr>
        <w:t>Enteric fermentation</w:t>
      </w:r>
      <w:r w:rsidRPr="009E06AA">
        <w:rPr>
          <w:rFonts w:cs="Calibri"/>
        </w:rPr>
        <w:t xml:space="preserve"> category, CH</w:t>
      </w:r>
      <w:r w:rsidRPr="009E06AA">
        <w:rPr>
          <w:rFonts w:cs="Calibri"/>
          <w:vertAlign w:val="subscript"/>
        </w:rPr>
        <w:t>4</w:t>
      </w:r>
      <w:r w:rsidRPr="009E06AA">
        <w:rPr>
          <w:rFonts w:cs="Calibri"/>
        </w:rPr>
        <w:t xml:space="preserve"> and N</w:t>
      </w:r>
      <w:r w:rsidRPr="009E06AA">
        <w:rPr>
          <w:rFonts w:cs="Calibri"/>
          <w:vertAlign w:val="subscript"/>
        </w:rPr>
        <w:t>2</w:t>
      </w:r>
      <w:r w:rsidRPr="009E06AA">
        <w:rPr>
          <w:rFonts w:cs="Calibri"/>
        </w:rPr>
        <w:t xml:space="preserve">O emissions for the </w:t>
      </w:r>
      <w:r w:rsidRPr="009E06AA">
        <w:rPr>
          <w:rFonts w:cs="Calibri"/>
          <w:i/>
          <w:iCs/>
        </w:rPr>
        <w:t>Manure management</w:t>
      </w:r>
      <w:r w:rsidRPr="009E06AA">
        <w:rPr>
          <w:rFonts w:cs="Calibri"/>
        </w:rPr>
        <w:t xml:space="preserve"> category and N</w:t>
      </w:r>
      <w:r w:rsidRPr="009E06AA">
        <w:rPr>
          <w:rFonts w:cs="Calibri"/>
          <w:vertAlign w:val="subscript"/>
        </w:rPr>
        <w:t>2</w:t>
      </w:r>
      <w:r w:rsidRPr="009E06AA">
        <w:rPr>
          <w:rFonts w:cs="Calibri"/>
        </w:rPr>
        <w:t xml:space="preserve">O emissions for the </w:t>
      </w:r>
      <w:r w:rsidRPr="009E06AA">
        <w:rPr>
          <w:rFonts w:cs="Calibri"/>
          <w:i/>
          <w:iCs/>
        </w:rPr>
        <w:t>Urine and dung deposited by grazing animals</w:t>
      </w:r>
      <w:r w:rsidRPr="009E06AA">
        <w:rPr>
          <w:rFonts w:cs="Calibri"/>
        </w:rPr>
        <w:t xml:space="preserve"> </w:t>
      </w:r>
      <w:r w:rsidRPr="009E06AA">
        <w:rPr>
          <w:rFonts w:cs="Calibri"/>
          <w:i/>
          <w:iCs/>
        </w:rPr>
        <w:t>(pasture, range and paddock manure)</w:t>
      </w:r>
      <w:r w:rsidRPr="009E06AA">
        <w:rPr>
          <w:rFonts w:cs="Calibri"/>
        </w:rPr>
        <w:t xml:space="preserve"> category.</w:t>
      </w:r>
    </w:p>
    <w:p w14:paraId="0186EBDB" w14:textId="77777777" w:rsidR="007523B8" w:rsidRPr="009E06AA" w:rsidRDefault="007523B8" w:rsidP="007523B8">
      <w:pPr>
        <w:pStyle w:val="BodyText"/>
        <w:rPr>
          <w:rFonts w:cs="Calibri"/>
        </w:rPr>
      </w:pPr>
      <w:r w:rsidRPr="009E06AA">
        <w:rPr>
          <w:rFonts w:cs="Calibri"/>
        </w:rPr>
        <w:t xml:space="preserve">Uncertainties in </w:t>
      </w:r>
      <w:r w:rsidRPr="009E06AA">
        <w:rPr>
          <w:rFonts w:cs="Calibri"/>
          <w:spacing w:val="-2"/>
        </w:rPr>
        <w:t>N</w:t>
      </w:r>
      <w:r w:rsidRPr="009E06AA">
        <w:rPr>
          <w:rFonts w:cs="Calibri"/>
          <w:spacing w:val="-2"/>
          <w:vertAlign w:val="subscript"/>
        </w:rPr>
        <w:t>2</w:t>
      </w:r>
      <w:r w:rsidRPr="009E06AA">
        <w:rPr>
          <w:rFonts w:cs="Calibri"/>
          <w:spacing w:val="-2"/>
        </w:rPr>
        <w:t>O</w:t>
      </w:r>
      <w:r w:rsidRPr="009E06AA">
        <w:rPr>
          <w:rFonts w:cs="Calibri"/>
        </w:rPr>
        <w:t xml:space="preserve"> emissions from </w:t>
      </w:r>
      <w:r w:rsidRPr="009E06AA">
        <w:rPr>
          <w:rFonts w:cs="Calibri"/>
          <w:i/>
          <w:iCs/>
        </w:rPr>
        <w:t>Agricultural soils</w:t>
      </w:r>
      <w:r w:rsidRPr="009E06AA">
        <w:rPr>
          <w:rFonts w:cs="Calibri"/>
        </w:rPr>
        <w:t xml:space="preserve"> are calculated using an analytical method developed by Kelliher et al. (2017). This method estimated the uncertainty of the </w:t>
      </w:r>
      <w:r w:rsidRPr="009E06AA">
        <w:rPr>
          <w:rFonts w:cs="Calibri"/>
          <w:i/>
          <w:iCs/>
        </w:rPr>
        <w:t>Agricultural soils</w:t>
      </w:r>
      <w:r w:rsidRPr="009E06AA">
        <w:rPr>
          <w:rFonts w:cs="Calibri"/>
        </w:rPr>
        <w:t xml:space="preserve"> category to be ±56.1 per cent for 2022.</w:t>
      </w:r>
    </w:p>
    <w:p w14:paraId="3012EBAE" w14:textId="77777777" w:rsidR="007523B8" w:rsidRPr="009E06AA" w:rsidRDefault="007523B8" w:rsidP="007523B8">
      <w:pPr>
        <w:pStyle w:val="BodyText"/>
        <w:rPr>
          <w:rFonts w:cs="Calibri"/>
        </w:rPr>
      </w:pPr>
      <w:r w:rsidRPr="009E06AA">
        <w:rPr>
          <w:rFonts w:cs="Calibri"/>
        </w:rPr>
        <w:t>The benefit of using the analytical method is that it can be updated annually by the Agriculture sector inventory compilers. Kelliher et al. (2017) also compared the analytical method with the Monte Carlo method used for previous years and found that both produced similar results.</w:t>
      </w:r>
    </w:p>
    <w:p w14:paraId="60E831C0" w14:textId="77777777" w:rsidR="007523B8" w:rsidRPr="009E06AA" w:rsidRDefault="007523B8" w:rsidP="007523B8">
      <w:pPr>
        <w:pStyle w:val="BodyText"/>
        <w:rPr>
          <w:rFonts w:cs="Calibri"/>
        </w:rPr>
      </w:pPr>
      <w:r w:rsidRPr="009E06AA">
        <w:rPr>
          <w:rFonts w:cs="Calibri"/>
        </w:rPr>
        <w:t xml:space="preserve">Uncertainties were assessed for the 1990, 2002 and 2012 inventories using the Monte Carlo method. For the 1990 and 2002 inventories, the uncertainties were assessed using a Monte Carlo simulation of 5,000 scenarios with the @RISK software (Kelliher et al., 2017) (see table 5.5.11). For the 2012 inventory, the uncertainty in the annual estimate was calculated using the 95 per cent confidence interval determined from the 2002 Monte Carlo simulation as a percentage of the mean value (i.e., in 2002, the uncertainty in annual emissions was +74 per cent and -42 per cent). </w:t>
      </w:r>
    </w:p>
    <w:p w14:paraId="46C9794A" w14:textId="77777777" w:rsidR="007523B8" w:rsidRPr="009E06AA" w:rsidRDefault="007523B8" w:rsidP="007523B8">
      <w:pPr>
        <w:pStyle w:val="Table"/>
        <w:rPr>
          <w:rFonts w:cs="Calibri"/>
        </w:rPr>
      </w:pPr>
      <w:bookmarkStart w:id="1375" w:name="_Toc144607408"/>
      <w:bookmarkStart w:id="1376" w:name="_Toc144607685"/>
      <w:bookmarkStart w:id="1377" w:name="_Toc235955630"/>
      <w:bookmarkStart w:id="1378" w:name="_Toc288316757"/>
      <w:bookmarkStart w:id="1379" w:name="_Toc352504975"/>
      <w:bookmarkStart w:id="1380" w:name="_Toc441830886"/>
      <w:bookmarkStart w:id="1381" w:name="_Toc451176100"/>
      <w:bookmarkStart w:id="1382" w:name="_Toc481751528"/>
      <w:bookmarkStart w:id="1383" w:name="_Toc507158616"/>
      <w:bookmarkStart w:id="1384" w:name="_Toc511116750"/>
      <w:bookmarkStart w:id="1385" w:name="_Toc5269492"/>
      <w:bookmarkStart w:id="1386" w:name="_Toc32570937"/>
      <w:bookmarkStart w:id="1387" w:name="_Toc36224572"/>
      <w:bookmarkStart w:id="1388" w:name="_Toc68786457"/>
      <w:bookmarkStart w:id="1389" w:name="_Toc95574090"/>
      <w:bookmarkStart w:id="1390" w:name="_Toc127458277"/>
      <w:bookmarkStart w:id="1391" w:name="_Toc131591373"/>
      <w:bookmarkStart w:id="1392" w:name="_Toc160114467"/>
      <w:bookmarkStart w:id="1393" w:name="_Toc164153863"/>
      <w:r w:rsidRPr="009E06AA">
        <w:rPr>
          <w:rFonts w:cs="Calibri"/>
        </w:rPr>
        <w:t>Table 5.5.11</w:t>
      </w:r>
      <w:r w:rsidRPr="009E06AA">
        <w:rPr>
          <w:rFonts w:cs="Calibri"/>
        </w:rPr>
        <w:tab/>
      </w:r>
      <w:r w:rsidRPr="009E06AA">
        <w:rPr>
          <w:rFonts w:cs="Calibri"/>
          <w:spacing w:val="-2"/>
        </w:rPr>
        <w:t>New Zealand’s</w:t>
      </w:r>
      <w:r w:rsidRPr="009E06AA">
        <w:rPr>
          <w:rFonts w:cs="Calibri"/>
        </w:rPr>
        <w:t xml:space="preserve"> uncertainties in nitrous oxide (N</w:t>
      </w:r>
      <w:r w:rsidRPr="009E06AA">
        <w:rPr>
          <w:rFonts w:cs="Calibri"/>
          <w:vertAlign w:val="subscript"/>
        </w:rPr>
        <w:t>2</w:t>
      </w:r>
      <w:r w:rsidRPr="009E06AA">
        <w:rPr>
          <w:rFonts w:cs="Calibri"/>
        </w:rPr>
        <w:t xml:space="preserve">O) emissions from </w:t>
      </w:r>
      <w:r w:rsidRPr="009E06AA">
        <w:rPr>
          <w:rFonts w:cs="Calibri"/>
          <w:i/>
          <w:iCs/>
        </w:rPr>
        <w:t>Agricultural soils</w:t>
      </w:r>
      <w:r w:rsidRPr="009E06AA">
        <w:rPr>
          <w:rFonts w:cs="Calibri"/>
        </w:rPr>
        <w:t xml:space="preserve"> for 1990, 2002, 2012 and 2022 estimated using Monte Carlo simulation (1990, 2002), the 95 per cent confidence interval (2012)</w:t>
      </w:r>
      <w:bookmarkEnd w:id="1375"/>
      <w:bookmarkEnd w:id="1376"/>
      <w:bookmarkEnd w:id="1377"/>
      <w:bookmarkEnd w:id="1378"/>
      <w:bookmarkEnd w:id="1379"/>
      <w:bookmarkEnd w:id="1380"/>
      <w:bookmarkEnd w:id="1381"/>
      <w:r w:rsidRPr="009E06AA">
        <w:rPr>
          <w:rFonts w:cs="Calibri"/>
        </w:rPr>
        <w:t xml:space="preserve"> and the analytical method (202</w:t>
      </w:r>
      <w:bookmarkEnd w:id="1382"/>
      <w:bookmarkEnd w:id="1383"/>
      <w:bookmarkEnd w:id="1384"/>
      <w:bookmarkEnd w:id="1385"/>
      <w:bookmarkEnd w:id="1386"/>
      <w:bookmarkEnd w:id="1387"/>
      <w:bookmarkEnd w:id="1388"/>
      <w:bookmarkEnd w:id="1389"/>
      <w:bookmarkEnd w:id="1390"/>
      <w:bookmarkEnd w:id="1391"/>
      <w:r w:rsidRPr="009E06AA">
        <w:rPr>
          <w:rFonts w:cs="Calibri"/>
        </w:rPr>
        <w:t>2)</w:t>
      </w:r>
      <w:bookmarkEnd w:id="1392"/>
      <w:bookmarkEnd w:id="1393"/>
    </w:p>
    <w:tbl>
      <w:tblPr>
        <w:tblW w:w="8505" w:type="dxa"/>
        <w:tblBorders>
          <w:top w:val="single" w:sz="4" w:space="0" w:color="1B556B" w:themeColor="text2"/>
          <w:bottom w:val="single" w:sz="4" w:space="0" w:color="1B556B" w:themeColor="text2"/>
          <w:insideH w:val="single" w:sz="4" w:space="0" w:color="1B556B" w:themeColor="text2"/>
        </w:tblBorders>
        <w:tblLayout w:type="fixed"/>
        <w:tblLook w:val="01E0" w:firstRow="1" w:lastRow="1" w:firstColumn="1" w:lastColumn="1" w:noHBand="0" w:noVBand="0"/>
      </w:tblPr>
      <w:tblGrid>
        <w:gridCol w:w="1150"/>
        <w:gridCol w:w="2642"/>
        <w:gridCol w:w="2414"/>
        <w:gridCol w:w="2299"/>
      </w:tblGrid>
      <w:tr w:rsidR="007523B8" w:rsidRPr="009E06AA" w14:paraId="6A3C191F" w14:textId="77777777" w:rsidTr="00B55F24">
        <w:trPr>
          <w:trHeight w:val="434"/>
        </w:trPr>
        <w:tc>
          <w:tcPr>
            <w:tcW w:w="1081" w:type="dxa"/>
            <w:shd w:val="clear" w:color="auto" w:fill="1B556B"/>
            <w:vAlign w:val="bottom"/>
          </w:tcPr>
          <w:p w14:paraId="3A3EE8A5" w14:textId="77777777" w:rsidR="007523B8" w:rsidRPr="009E06AA" w:rsidRDefault="007523B8" w:rsidP="00B55F24">
            <w:pPr>
              <w:pStyle w:val="TableTextBold"/>
              <w:keepNext/>
              <w:spacing w:before="50" w:after="50"/>
              <w:rPr>
                <w:noProof w:val="0"/>
                <w:color w:val="FFFFFF" w:themeColor="background1"/>
              </w:rPr>
            </w:pPr>
            <w:r w:rsidRPr="009E06AA">
              <w:rPr>
                <w:noProof w:val="0"/>
                <w:color w:val="FFFFFF" w:themeColor="background1"/>
              </w:rPr>
              <w:t>Year</w:t>
            </w:r>
          </w:p>
        </w:tc>
        <w:tc>
          <w:tcPr>
            <w:tcW w:w="2484" w:type="dxa"/>
            <w:shd w:val="clear" w:color="auto" w:fill="1B556B"/>
            <w:vAlign w:val="bottom"/>
          </w:tcPr>
          <w:p w14:paraId="1A6FD6D6" w14:textId="77777777" w:rsidR="007523B8" w:rsidRPr="009E06AA" w:rsidRDefault="007523B8" w:rsidP="009D3391">
            <w:pPr>
              <w:pStyle w:val="TableTextBold"/>
              <w:keepNext/>
              <w:spacing w:before="50" w:after="50"/>
              <w:jc w:val="right"/>
              <w:rPr>
                <w:noProof w:val="0"/>
                <w:color w:val="FFFFFF" w:themeColor="background1"/>
              </w:rPr>
            </w:pPr>
            <w:r w:rsidRPr="009E06AA">
              <w:rPr>
                <w:noProof w:val="0"/>
                <w:color w:val="FFFFFF" w:themeColor="background1"/>
              </w:rPr>
              <w:t>N</w:t>
            </w:r>
            <w:r w:rsidRPr="009E06AA">
              <w:rPr>
                <w:noProof w:val="0"/>
                <w:color w:val="FFFFFF" w:themeColor="background1"/>
                <w:vertAlign w:val="subscript"/>
              </w:rPr>
              <w:t>2</w:t>
            </w:r>
            <w:r w:rsidRPr="009E06AA">
              <w:rPr>
                <w:noProof w:val="0"/>
                <w:color w:val="FFFFFF" w:themeColor="background1"/>
              </w:rPr>
              <w:t>O emissions from Agricultural soils (kt/annum)</w:t>
            </w:r>
          </w:p>
        </w:tc>
        <w:tc>
          <w:tcPr>
            <w:tcW w:w="2269" w:type="dxa"/>
            <w:shd w:val="clear" w:color="auto" w:fill="1B556B"/>
            <w:vAlign w:val="bottom"/>
          </w:tcPr>
          <w:p w14:paraId="4F91A1DD" w14:textId="77777777" w:rsidR="007523B8" w:rsidRPr="009E06AA" w:rsidRDefault="007523B8" w:rsidP="009D3391">
            <w:pPr>
              <w:pStyle w:val="TableTextBold"/>
              <w:keepNext/>
              <w:spacing w:before="50" w:after="50"/>
              <w:jc w:val="right"/>
              <w:rPr>
                <w:noProof w:val="0"/>
                <w:color w:val="FFFFFF" w:themeColor="background1"/>
              </w:rPr>
            </w:pPr>
            <w:r w:rsidRPr="009E06AA">
              <w:rPr>
                <w:noProof w:val="0"/>
                <w:color w:val="FFFFFF" w:themeColor="background1"/>
              </w:rPr>
              <w:t>95% confidence interval minimum (kt/annum)</w:t>
            </w:r>
          </w:p>
        </w:tc>
        <w:tc>
          <w:tcPr>
            <w:tcW w:w="2161" w:type="dxa"/>
            <w:shd w:val="clear" w:color="auto" w:fill="1B556B"/>
            <w:vAlign w:val="bottom"/>
          </w:tcPr>
          <w:p w14:paraId="20FB7820" w14:textId="77777777" w:rsidR="007523B8" w:rsidRPr="009E06AA" w:rsidRDefault="007523B8" w:rsidP="009D3391">
            <w:pPr>
              <w:pStyle w:val="TableTextBold"/>
              <w:keepNext/>
              <w:spacing w:before="50" w:after="50"/>
              <w:jc w:val="right"/>
              <w:rPr>
                <w:noProof w:val="0"/>
                <w:color w:val="FFFFFF" w:themeColor="background1"/>
              </w:rPr>
            </w:pPr>
            <w:r w:rsidRPr="009E06AA">
              <w:rPr>
                <w:noProof w:val="0"/>
                <w:color w:val="FFFFFF" w:themeColor="background1"/>
              </w:rPr>
              <w:t>95% confidence interval maximum (kt/annum)</w:t>
            </w:r>
          </w:p>
        </w:tc>
      </w:tr>
      <w:tr w:rsidR="007523B8" w:rsidRPr="009E06AA" w14:paraId="486C5E7F" w14:textId="77777777" w:rsidTr="00B55F24">
        <w:trPr>
          <w:trHeight w:val="247"/>
        </w:trPr>
        <w:tc>
          <w:tcPr>
            <w:tcW w:w="1081" w:type="dxa"/>
          </w:tcPr>
          <w:p w14:paraId="1E9CAEA1" w14:textId="77777777" w:rsidR="007523B8" w:rsidRPr="009E06AA" w:rsidRDefault="007523B8" w:rsidP="00B55F24">
            <w:pPr>
              <w:pStyle w:val="TableText"/>
              <w:keepNext/>
              <w:spacing w:before="50" w:after="50"/>
              <w:rPr>
                <w:rFonts w:cs="Calibri"/>
              </w:rPr>
            </w:pPr>
            <w:r w:rsidRPr="009E06AA">
              <w:rPr>
                <w:rFonts w:cs="Calibri"/>
              </w:rPr>
              <w:t>1990</w:t>
            </w:r>
          </w:p>
        </w:tc>
        <w:tc>
          <w:tcPr>
            <w:tcW w:w="2484" w:type="dxa"/>
          </w:tcPr>
          <w:p w14:paraId="7BE40D55" w14:textId="77777777" w:rsidR="007523B8" w:rsidRPr="009E06AA" w:rsidRDefault="007523B8" w:rsidP="009D3391">
            <w:pPr>
              <w:pStyle w:val="TableText"/>
              <w:spacing w:before="50" w:after="50"/>
              <w:jc w:val="right"/>
              <w:rPr>
                <w:rFonts w:cs="Calibri"/>
              </w:rPr>
            </w:pPr>
            <w:r w:rsidRPr="009E06AA">
              <w:rPr>
                <w:rFonts w:cs="Calibri"/>
              </w:rPr>
              <w:t>25.3</w:t>
            </w:r>
          </w:p>
        </w:tc>
        <w:tc>
          <w:tcPr>
            <w:tcW w:w="2269" w:type="dxa"/>
          </w:tcPr>
          <w:p w14:paraId="76E07494" w14:textId="77777777" w:rsidR="007523B8" w:rsidRPr="009E06AA" w:rsidRDefault="007523B8" w:rsidP="009D3391">
            <w:pPr>
              <w:pStyle w:val="TableText"/>
              <w:spacing w:before="50" w:after="50"/>
              <w:jc w:val="right"/>
              <w:rPr>
                <w:rFonts w:cs="Calibri"/>
              </w:rPr>
            </w:pPr>
            <w:r w:rsidRPr="009E06AA">
              <w:rPr>
                <w:rFonts w:cs="Calibri"/>
              </w:rPr>
              <w:t>14.7</w:t>
            </w:r>
          </w:p>
        </w:tc>
        <w:tc>
          <w:tcPr>
            <w:tcW w:w="2161" w:type="dxa"/>
          </w:tcPr>
          <w:p w14:paraId="1BE557F7" w14:textId="77777777" w:rsidR="007523B8" w:rsidRPr="009E06AA" w:rsidRDefault="007523B8" w:rsidP="009D3391">
            <w:pPr>
              <w:pStyle w:val="TableText"/>
              <w:spacing w:before="50" w:after="50"/>
              <w:jc w:val="right"/>
              <w:rPr>
                <w:rFonts w:cs="Calibri"/>
              </w:rPr>
            </w:pPr>
            <w:r w:rsidRPr="009E06AA">
              <w:rPr>
                <w:rFonts w:cs="Calibri"/>
              </w:rPr>
              <w:t>44.0</w:t>
            </w:r>
          </w:p>
        </w:tc>
      </w:tr>
      <w:tr w:rsidR="007523B8" w:rsidRPr="009E06AA" w14:paraId="2E4514EA" w14:textId="77777777" w:rsidTr="00B55F24">
        <w:trPr>
          <w:trHeight w:val="247"/>
        </w:trPr>
        <w:tc>
          <w:tcPr>
            <w:tcW w:w="1081" w:type="dxa"/>
          </w:tcPr>
          <w:p w14:paraId="0071F7B8" w14:textId="77777777" w:rsidR="007523B8" w:rsidRPr="009E06AA" w:rsidRDefault="007523B8" w:rsidP="00B55F24">
            <w:pPr>
              <w:pStyle w:val="TableText"/>
              <w:keepNext/>
              <w:spacing w:before="50" w:after="50"/>
              <w:rPr>
                <w:rFonts w:cs="Calibri"/>
              </w:rPr>
            </w:pPr>
            <w:r w:rsidRPr="009E06AA">
              <w:rPr>
                <w:rFonts w:cs="Calibri"/>
              </w:rPr>
              <w:t>2002</w:t>
            </w:r>
          </w:p>
        </w:tc>
        <w:tc>
          <w:tcPr>
            <w:tcW w:w="2484" w:type="dxa"/>
          </w:tcPr>
          <w:p w14:paraId="2F390F8F" w14:textId="77777777" w:rsidR="007523B8" w:rsidRPr="009E06AA" w:rsidRDefault="007523B8" w:rsidP="009D3391">
            <w:pPr>
              <w:pStyle w:val="TableText"/>
              <w:spacing w:before="50" w:after="50"/>
              <w:jc w:val="right"/>
              <w:rPr>
                <w:rFonts w:cs="Calibri"/>
              </w:rPr>
            </w:pPr>
            <w:r w:rsidRPr="009E06AA">
              <w:rPr>
                <w:rFonts w:cs="Calibri"/>
              </w:rPr>
              <w:t>32.2</w:t>
            </w:r>
          </w:p>
        </w:tc>
        <w:tc>
          <w:tcPr>
            <w:tcW w:w="2269" w:type="dxa"/>
          </w:tcPr>
          <w:p w14:paraId="3B169FE4" w14:textId="77777777" w:rsidR="007523B8" w:rsidRPr="009E06AA" w:rsidRDefault="007523B8" w:rsidP="009D3391">
            <w:pPr>
              <w:pStyle w:val="TableText"/>
              <w:spacing w:before="50" w:after="50"/>
              <w:jc w:val="right"/>
              <w:rPr>
                <w:rFonts w:cs="Calibri"/>
              </w:rPr>
            </w:pPr>
            <w:r w:rsidRPr="009E06AA">
              <w:rPr>
                <w:rFonts w:cs="Calibri"/>
              </w:rPr>
              <w:t>18.7</w:t>
            </w:r>
          </w:p>
        </w:tc>
        <w:tc>
          <w:tcPr>
            <w:tcW w:w="2161" w:type="dxa"/>
          </w:tcPr>
          <w:p w14:paraId="6E00C2FB" w14:textId="77777777" w:rsidR="007523B8" w:rsidRPr="009E06AA" w:rsidRDefault="007523B8" w:rsidP="009D3391">
            <w:pPr>
              <w:pStyle w:val="TableText"/>
              <w:spacing w:before="50" w:after="50"/>
              <w:jc w:val="right"/>
              <w:rPr>
                <w:rFonts w:cs="Calibri"/>
              </w:rPr>
            </w:pPr>
            <w:r w:rsidRPr="009E06AA">
              <w:rPr>
                <w:rFonts w:cs="Calibri"/>
              </w:rPr>
              <w:t>56.0</w:t>
            </w:r>
          </w:p>
        </w:tc>
      </w:tr>
      <w:tr w:rsidR="007523B8" w:rsidRPr="009E06AA" w14:paraId="30DC5E7C" w14:textId="77777777" w:rsidTr="00B55F24">
        <w:trPr>
          <w:trHeight w:val="247"/>
        </w:trPr>
        <w:tc>
          <w:tcPr>
            <w:tcW w:w="1081" w:type="dxa"/>
          </w:tcPr>
          <w:p w14:paraId="2B40270E" w14:textId="77777777" w:rsidR="007523B8" w:rsidRPr="009E06AA" w:rsidRDefault="007523B8" w:rsidP="00B55F24">
            <w:pPr>
              <w:pStyle w:val="TableText"/>
              <w:spacing w:before="50" w:after="50"/>
              <w:rPr>
                <w:rFonts w:cs="Calibri"/>
              </w:rPr>
            </w:pPr>
            <w:r w:rsidRPr="009E06AA">
              <w:rPr>
                <w:rFonts w:cs="Calibri"/>
              </w:rPr>
              <w:t>2012</w:t>
            </w:r>
          </w:p>
        </w:tc>
        <w:tc>
          <w:tcPr>
            <w:tcW w:w="2484" w:type="dxa"/>
          </w:tcPr>
          <w:p w14:paraId="572719F4" w14:textId="77777777" w:rsidR="007523B8" w:rsidRPr="009E06AA" w:rsidRDefault="007523B8" w:rsidP="009D3391">
            <w:pPr>
              <w:pStyle w:val="TableText"/>
              <w:spacing w:before="50" w:after="50"/>
              <w:jc w:val="right"/>
              <w:rPr>
                <w:rFonts w:cs="Calibri"/>
              </w:rPr>
            </w:pPr>
            <w:r w:rsidRPr="009E06AA">
              <w:rPr>
                <w:rFonts w:cs="Calibri"/>
              </w:rPr>
              <w:t>33.4</w:t>
            </w:r>
          </w:p>
        </w:tc>
        <w:tc>
          <w:tcPr>
            <w:tcW w:w="2269" w:type="dxa"/>
          </w:tcPr>
          <w:p w14:paraId="121B85A0" w14:textId="77777777" w:rsidR="007523B8" w:rsidRPr="009E06AA" w:rsidRDefault="007523B8" w:rsidP="009D3391">
            <w:pPr>
              <w:pStyle w:val="TableText"/>
              <w:spacing w:before="50" w:after="50"/>
              <w:jc w:val="right"/>
              <w:rPr>
                <w:rFonts w:cs="Calibri"/>
              </w:rPr>
            </w:pPr>
            <w:r w:rsidRPr="009E06AA">
              <w:rPr>
                <w:rFonts w:cs="Calibri"/>
              </w:rPr>
              <w:t>19.3</w:t>
            </w:r>
          </w:p>
        </w:tc>
        <w:tc>
          <w:tcPr>
            <w:tcW w:w="2161" w:type="dxa"/>
          </w:tcPr>
          <w:p w14:paraId="44E218C0" w14:textId="77777777" w:rsidR="007523B8" w:rsidRPr="009E06AA" w:rsidRDefault="007523B8" w:rsidP="009D3391">
            <w:pPr>
              <w:pStyle w:val="TableText"/>
              <w:spacing w:before="50" w:after="50"/>
              <w:jc w:val="right"/>
              <w:rPr>
                <w:rFonts w:cs="Calibri"/>
              </w:rPr>
            </w:pPr>
            <w:r w:rsidRPr="009E06AA">
              <w:rPr>
                <w:rFonts w:cs="Calibri"/>
              </w:rPr>
              <w:t>58.0</w:t>
            </w:r>
          </w:p>
        </w:tc>
      </w:tr>
      <w:tr w:rsidR="007523B8" w:rsidRPr="009E06AA" w14:paraId="4E0DFB31" w14:textId="77777777" w:rsidTr="00B55F24">
        <w:trPr>
          <w:trHeight w:val="247"/>
        </w:trPr>
        <w:tc>
          <w:tcPr>
            <w:tcW w:w="1081" w:type="dxa"/>
          </w:tcPr>
          <w:p w14:paraId="112181A2" w14:textId="77777777" w:rsidR="007523B8" w:rsidRPr="009E06AA" w:rsidRDefault="007523B8" w:rsidP="00B55F24">
            <w:pPr>
              <w:pStyle w:val="TableText"/>
              <w:spacing w:before="50" w:after="50"/>
              <w:rPr>
                <w:rFonts w:cs="Calibri"/>
              </w:rPr>
            </w:pPr>
            <w:r w:rsidRPr="009E06AA">
              <w:rPr>
                <w:rFonts w:cs="Calibri"/>
              </w:rPr>
              <w:t>2022</w:t>
            </w:r>
          </w:p>
        </w:tc>
        <w:tc>
          <w:tcPr>
            <w:tcW w:w="2484" w:type="dxa"/>
          </w:tcPr>
          <w:p w14:paraId="4D76DB5F" w14:textId="77777777" w:rsidR="007523B8" w:rsidRPr="009E06AA" w:rsidRDefault="007523B8" w:rsidP="009D3391">
            <w:pPr>
              <w:pStyle w:val="TableText"/>
              <w:spacing w:before="50" w:after="50"/>
              <w:jc w:val="right"/>
              <w:rPr>
                <w:rFonts w:cs="Calibri"/>
              </w:rPr>
            </w:pPr>
            <w:r w:rsidRPr="009E06AA">
              <w:rPr>
                <w:rFonts w:cs="Calibri"/>
              </w:rPr>
              <w:t>23.9</w:t>
            </w:r>
          </w:p>
        </w:tc>
        <w:tc>
          <w:tcPr>
            <w:tcW w:w="2269" w:type="dxa"/>
          </w:tcPr>
          <w:p w14:paraId="63CABC34" w14:textId="77777777" w:rsidR="007523B8" w:rsidRPr="009E06AA" w:rsidRDefault="007523B8" w:rsidP="009D3391">
            <w:pPr>
              <w:pStyle w:val="TableText"/>
              <w:spacing w:before="50" w:after="50"/>
              <w:jc w:val="right"/>
              <w:rPr>
                <w:rFonts w:cs="Calibri"/>
              </w:rPr>
            </w:pPr>
            <w:r w:rsidRPr="009E06AA">
              <w:rPr>
                <w:rFonts w:cs="Calibri"/>
              </w:rPr>
              <w:t>17.0</w:t>
            </w:r>
          </w:p>
        </w:tc>
        <w:tc>
          <w:tcPr>
            <w:tcW w:w="2161" w:type="dxa"/>
          </w:tcPr>
          <w:p w14:paraId="73A2F7EC" w14:textId="77777777" w:rsidR="007523B8" w:rsidRPr="009E06AA" w:rsidRDefault="007523B8" w:rsidP="009D3391">
            <w:pPr>
              <w:pStyle w:val="TableText"/>
              <w:spacing w:before="50" w:after="50"/>
              <w:jc w:val="right"/>
              <w:rPr>
                <w:rFonts w:cs="Calibri"/>
              </w:rPr>
            </w:pPr>
            <w:r w:rsidRPr="009E06AA">
              <w:rPr>
                <w:rFonts w:cs="Calibri"/>
              </w:rPr>
              <w:t>30.7</w:t>
            </w:r>
          </w:p>
        </w:tc>
      </w:tr>
    </w:tbl>
    <w:p w14:paraId="096A545B" w14:textId="77777777" w:rsidR="007523B8" w:rsidRPr="009E06AA" w:rsidRDefault="007523B8" w:rsidP="007523B8">
      <w:pPr>
        <w:pStyle w:val="Noteundertable"/>
        <w:rPr>
          <w:rFonts w:cs="Calibri"/>
        </w:rPr>
      </w:pPr>
      <w:r w:rsidRPr="009E06AA">
        <w:rPr>
          <w:rFonts w:cs="Calibri"/>
          <w:b/>
          <w:bCs/>
        </w:rPr>
        <w:t>Note:</w:t>
      </w:r>
      <w:r w:rsidRPr="009E06AA">
        <w:rPr>
          <w:rFonts w:cs="Calibri"/>
        </w:rPr>
        <w:t xml:space="preserve"> </w:t>
      </w:r>
      <w:r w:rsidRPr="009E06AA">
        <w:rPr>
          <w:rFonts w:cs="Calibri"/>
        </w:rPr>
        <w:tab/>
        <w:t>The N</w:t>
      </w:r>
      <w:r w:rsidRPr="009E06AA">
        <w:rPr>
          <w:rFonts w:cs="Calibri"/>
          <w:vertAlign w:val="subscript"/>
        </w:rPr>
        <w:t>2</w:t>
      </w:r>
      <w:r w:rsidRPr="009E06AA">
        <w:rPr>
          <w:rFonts w:cs="Calibri"/>
        </w:rPr>
        <w:t xml:space="preserve">O emissions listed in this table for each year were calculated based on the reporting rules and methodologies used at that time. </w:t>
      </w:r>
    </w:p>
    <w:p w14:paraId="4F32DA75" w14:textId="77777777" w:rsidR="007523B8" w:rsidRPr="009E06AA" w:rsidRDefault="007523B8" w:rsidP="007523B8">
      <w:pPr>
        <w:pStyle w:val="BodyText"/>
        <w:rPr>
          <w:rFonts w:cs="Calibri"/>
        </w:rPr>
      </w:pPr>
      <w:r w:rsidRPr="009E06AA">
        <w:rPr>
          <w:rFonts w:cs="Calibri"/>
          <w:spacing w:val="-2"/>
        </w:rPr>
        <w:t>The overall inventory uncertainty analysis shown in annex 2 demonstrates that the uncertainty</w:t>
      </w:r>
      <w:r w:rsidRPr="009E06AA">
        <w:rPr>
          <w:rFonts w:cs="Calibri"/>
        </w:rPr>
        <w:t xml:space="preserve"> in annual emissions from </w:t>
      </w:r>
      <w:r w:rsidRPr="009E06AA">
        <w:rPr>
          <w:rFonts w:cs="Calibri"/>
          <w:i/>
          <w:iCs/>
        </w:rPr>
        <w:t>Agricultural soils</w:t>
      </w:r>
      <w:r w:rsidRPr="009E06AA">
        <w:rPr>
          <w:rFonts w:cs="Calibri"/>
        </w:rPr>
        <w:t xml:space="preserve"> is a major contributor to uncertainty in </w:t>
      </w:r>
      <w:r w:rsidRPr="009E06AA">
        <w:rPr>
          <w:rFonts w:cs="Calibri"/>
          <w:spacing w:val="-2"/>
        </w:rPr>
        <w:t>New Zealand’s</w:t>
      </w:r>
      <w:r w:rsidRPr="009E06AA">
        <w:rPr>
          <w:rFonts w:cs="Calibri"/>
        </w:rPr>
        <w:t xml:space="preserve"> total greenhouse gas emissions. The uncertainty between years was assumed to be correlated, and therefore the uncertainty is mostly associated with the emission factors. The uncertainty associated with the trend is much lower than the uncertainty for an annual estimate. </w:t>
      </w:r>
    </w:p>
    <w:p w14:paraId="6CF3AB91" w14:textId="77777777" w:rsidR="007523B8" w:rsidRPr="009E06AA" w:rsidRDefault="007523B8" w:rsidP="007523B8">
      <w:pPr>
        <w:pStyle w:val="BodyText"/>
        <w:rPr>
          <w:rFonts w:cs="Calibri"/>
        </w:rPr>
      </w:pPr>
      <w:r w:rsidRPr="009E06AA">
        <w:rPr>
          <w:rFonts w:cs="Calibri"/>
        </w:rPr>
        <w:t xml:space="preserve">The uncertainty in emissions from </w:t>
      </w:r>
      <w:r w:rsidRPr="009E06AA">
        <w:rPr>
          <w:rFonts w:cs="Calibri"/>
          <w:i/>
          <w:iCs/>
        </w:rPr>
        <w:t>Agricultural soils</w:t>
      </w:r>
      <w:r w:rsidRPr="009E06AA">
        <w:rPr>
          <w:rFonts w:cs="Calibri"/>
        </w:rPr>
        <w:t xml:space="preserve"> is largely due to the parameter EF</w:t>
      </w:r>
      <w:r w:rsidRPr="009E06AA">
        <w:rPr>
          <w:rFonts w:cs="Calibri"/>
          <w:vertAlign w:val="subscript"/>
        </w:rPr>
        <w:t>3(PRP)</w:t>
      </w:r>
      <w:r w:rsidRPr="009E06AA">
        <w:rPr>
          <w:rFonts w:cs="Calibri"/>
        </w:rPr>
        <w:t xml:space="preserve"> and emissions from urine and dung deposited by grazing animals. This uncertainty reflects natural variance in EF</w:t>
      </w:r>
      <w:r w:rsidRPr="009E06AA">
        <w:rPr>
          <w:rFonts w:cs="Calibri"/>
          <w:vertAlign w:val="subscript"/>
        </w:rPr>
        <w:t xml:space="preserve">3 </w:t>
      </w:r>
      <w:r w:rsidRPr="009E06AA">
        <w:rPr>
          <w:rFonts w:cs="Calibri"/>
        </w:rPr>
        <w:t>due to weather, climate and soil type (Kelliher et al., 2017).</w:t>
      </w:r>
    </w:p>
    <w:p w14:paraId="5B09DD8C" w14:textId="77777777" w:rsidR="007523B8" w:rsidRPr="009E06AA" w:rsidRDefault="007523B8" w:rsidP="007523B8">
      <w:pPr>
        <w:pStyle w:val="Heading3"/>
      </w:pPr>
      <w:bookmarkStart w:id="1394" w:name="_Toc139253936"/>
      <w:bookmarkStart w:id="1395" w:name="_Toc32570670"/>
      <w:r w:rsidRPr="009E06AA">
        <w:t>5.5.4</w:t>
      </w:r>
      <w:r w:rsidRPr="009E06AA">
        <w:tab/>
        <w:t>Category-specific QA/QC and verification</w:t>
      </w:r>
      <w:bookmarkEnd w:id="1394"/>
      <w:bookmarkEnd w:id="1395"/>
    </w:p>
    <w:p w14:paraId="24853813" w14:textId="77777777" w:rsidR="007523B8" w:rsidRPr="009E06AA" w:rsidRDefault="007523B8" w:rsidP="007523B8">
      <w:pPr>
        <w:pStyle w:val="BodyText"/>
        <w:rPr>
          <w:rFonts w:cs="Calibri"/>
        </w:rPr>
      </w:pPr>
      <w:r w:rsidRPr="009E06AA">
        <w:rPr>
          <w:rFonts w:cs="Calibri"/>
        </w:rPr>
        <w:t>In preparation for this inventory submission, the data underwent Tier 1 and Tier 2 quality checks.</w:t>
      </w:r>
    </w:p>
    <w:p w14:paraId="25C5002E" w14:textId="77777777" w:rsidR="007523B8" w:rsidRPr="009E06AA" w:rsidRDefault="007523B8" w:rsidP="00BF2A76">
      <w:pPr>
        <w:pStyle w:val="Heading5"/>
      </w:pPr>
      <w:r w:rsidRPr="009E06AA">
        <w:t>Verification of activity data</w:t>
      </w:r>
    </w:p>
    <w:p w14:paraId="11A49EEF" w14:textId="77777777" w:rsidR="007523B8" w:rsidRPr="009E06AA" w:rsidRDefault="007523B8" w:rsidP="007523B8">
      <w:pPr>
        <w:pStyle w:val="BodyText"/>
        <w:spacing w:before="80"/>
        <w:rPr>
          <w:rFonts w:cs="Calibri"/>
        </w:rPr>
      </w:pPr>
      <w:r w:rsidRPr="009E06AA">
        <w:rPr>
          <w:rFonts w:cs="Calibri"/>
        </w:rPr>
        <w:t xml:space="preserve">Research has been carried out to verify the activity data for crops. In 2008 and 2011, MPI </w:t>
      </w:r>
      <w:r w:rsidRPr="009E06AA">
        <w:rPr>
          <w:rFonts w:cs="Calibri"/>
          <w:spacing w:val="-2"/>
        </w:rPr>
        <w:t>commissioned reports investigating N</w:t>
      </w:r>
      <w:r w:rsidRPr="009E06AA">
        <w:rPr>
          <w:rFonts w:cs="Calibri"/>
          <w:spacing w:val="-2"/>
          <w:vertAlign w:val="subscript"/>
        </w:rPr>
        <w:t>2</w:t>
      </w:r>
      <w:r w:rsidRPr="009E06AA">
        <w:rPr>
          <w:rFonts w:cs="Calibri"/>
          <w:spacing w:val="-2"/>
        </w:rPr>
        <w:t>O emission factors and activity data for crops (Thomas et al.</w:t>
      </w:r>
      <w:r w:rsidRPr="009E06AA">
        <w:rPr>
          <w:rFonts w:cs="Calibri"/>
        </w:rPr>
        <w:t>, 2008, 2011). The reports compared activity data from the Stats NZ Agricultural Production Survey with the Foundation for Arable Research production database. Data for wheat and maize between the two data sources were very similar, although differences were evident for some of the other crops.</w:t>
      </w:r>
    </w:p>
    <w:p w14:paraId="7371EF78" w14:textId="77777777" w:rsidR="007523B8" w:rsidRPr="009E06AA" w:rsidRDefault="007523B8" w:rsidP="007523B8">
      <w:pPr>
        <w:pStyle w:val="BodyText"/>
        <w:rPr>
          <w:rFonts w:cs="Calibri"/>
        </w:rPr>
      </w:pPr>
      <w:r w:rsidRPr="009E06AA">
        <w:rPr>
          <w:rFonts w:cs="Calibri"/>
        </w:rPr>
        <w:t xml:space="preserve">The accuracy of synthetic nitrogen fertiliser data has also been assessed by comparing fertiliser sales data received from the Fertiliser Association of New Zealand with data collected from the Agricultural Production Survey. </w:t>
      </w:r>
    </w:p>
    <w:p w14:paraId="74FCB4B8" w14:textId="77777777" w:rsidR="007523B8" w:rsidRPr="009E06AA" w:rsidRDefault="007523B8" w:rsidP="007523B8">
      <w:pPr>
        <w:pStyle w:val="BodyText"/>
        <w:spacing w:after="100"/>
        <w:rPr>
          <w:rFonts w:cs="Calibri"/>
        </w:rPr>
      </w:pPr>
      <w:r w:rsidRPr="009E06AA">
        <w:rPr>
          <w:rFonts w:cs="Calibri"/>
        </w:rPr>
        <w:t xml:space="preserve">The Fertiliser Association sales data are used rather than the Agricultural Production Survey data because the sales data are considered to be more comprehensive and accurate. Nearly 98 per cent of </w:t>
      </w:r>
      <w:r w:rsidRPr="009E06AA">
        <w:rPr>
          <w:rFonts w:cs="Calibri"/>
          <w:spacing w:val="-2"/>
        </w:rPr>
        <w:t>New Zealand</w:t>
      </w:r>
      <w:r w:rsidRPr="009E06AA">
        <w:rPr>
          <w:rFonts w:cs="Calibri"/>
        </w:rPr>
        <w:t xml:space="preserve"> synthetic nitrogen fertiliser is sold by two large companies that provide sales data to the Fertiliser Association (Fertiliser Association of New Zealand, 2024). The Fertiliser Association provides an estimate of the additional synthetic nitrogen fertiliser sold by other companies (around 2 per cent). In contrast, the Agricultural Production Survey data are collected from a sampling frame of around 49,300 individual farms. Some farmers use contract fertiliser spreading companies (including aerial spreading) and may not have an accurate estimate of the tonnes of fertiliser applied or are unsure on how to fill in the questionnaire accurately, given the amount of different fertilisers used and their varying names. The Agricultural Production Census and Survey data verified the long-term trend of the increasing use of synthetic nitrogen fertiliser. </w:t>
      </w:r>
    </w:p>
    <w:p w14:paraId="1DADE6DD" w14:textId="77777777" w:rsidR="007523B8" w:rsidRPr="009E06AA" w:rsidRDefault="007523B8" w:rsidP="00511297">
      <w:pPr>
        <w:pStyle w:val="Heading5"/>
        <w:spacing w:before="180"/>
      </w:pPr>
      <w:r w:rsidRPr="009E06AA">
        <w:t>Comparison of New Zealand emission factors and parameters with IPCC default values</w:t>
      </w:r>
    </w:p>
    <w:p w14:paraId="337E750B" w14:textId="77777777" w:rsidR="007523B8" w:rsidRPr="009E06AA" w:rsidRDefault="007523B8" w:rsidP="007523B8">
      <w:pPr>
        <w:pStyle w:val="BodyText"/>
        <w:spacing w:before="100" w:after="100"/>
      </w:pPr>
      <w:r w:rsidRPr="009E06AA">
        <w:t xml:space="preserve">Table 5.5.12 compares </w:t>
      </w:r>
      <w:r w:rsidRPr="009E06AA">
        <w:rPr>
          <w:rFonts w:cs="Calibri"/>
          <w:spacing w:val="-2"/>
        </w:rPr>
        <w:t>New Zealand’s</w:t>
      </w:r>
      <w:r w:rsidRPr="009E06AA">
        <w:t xml:space="preserve"> IEFs for EF</w:t>
      </w:r>
      <w:r w:rsidRPr="009E06AA">
        <w:rPr>
          <w:vertAlign w:val="subscript"/>
        </w:rPr>
        <w:t>1</w:t>
      </w:r>
      <w:r w:rsidRPr="009E06AA">
        <w:t xml:space="preserve"> (synthetic nitrogen fertiliser) and EF</w:t>
      </w:r>
      <w:r w:rsidRPr="009E06AA">
        <w:rPr>
          <w:vertAlign w:val="subscript"/>
        </w:rPr>
        <w:t>3(PRP)</w:t>
      </w:r>
      <w:r w:rsidRPr="009E06AA">
        <w:t xml:space="preserve"> (urine and dung deposited by grazing animals) with the 2006 IPCC default values and emission factors used by Australia. The </w:t>
      </w:r>
      <w:r w:rsidRPr="009E06AA">
        <w:rPr>
          <w:rFonts w:cs="Calibri"/>
          <w:spacing w:val="-2"/>
        </w:rPr>
        <w:t>New Zealand</w:t>
      </w:r>
      <w:r w:rsidRPr="009E06AA">
        <w:t xml:space="preserve"> EF</w:t>
      </w:r>
      <w:r w:rsidRPr="009E06AA">
        <w:rPr>
          <w:vertAlign w:val="subscript"/>
        </w:rPr>
        <w:t>1</w:t>
      </w:r>
      <w:r w:rsidRPr="009E06AA">
        <w:t xml:space="preserve"> value is lower than the IPCC default due to the use of a country-specific emission factor for urea fertiliser and the incorporation of effect of urease inhibitors. For EF</w:t>
      </w:r>
      <w:r w:rsidRPr="009E06AA">
        <w:rPr>
          <w:vertAlign w:val="subscript"/>
        </w:rPr>
        <w:t>3</w:t>
      </w:r>
      <w:r w:rsidRPr="009E06AA">
        <w:t>,</w:t>
      </w:r>
      <w:r w:rsidRPr="009E06AA">
        <w:rPr>
          <w:vertAlign w:val="subscript"/>
        </w:rPr>
        <w:t xml:space="preserve"> </w:t>
      </w:r>
      <w:r w:rsidRPr="009E06AA">
        <w:t xml:space="preserve">the </w:t>
      </w:r>
      <w:r w:rsidRPr="009E06AA" w:rsidDel="00BB3219">
        <w:rPr>
          <w:rFonts w:cs="Calibri"/>
          <w:spacing w:val="-2"/>
        </w:rPr>
        <w:t xml:space="preserve">New </w:t>
      </w:r>
      <w:r w:rsidRPr="009E06AA">
        <w:rPr>
          <w:rFonts w:cs="Calibri"/>
          <w:spacing w:val="-2"/>
        </w:rPr>
        <w:t>Zealand</w:t>
      </w:r>
      <w:r w:rsidRPr="009E06AA">
        <w:t xml:space="preserve"> value is also lower than the IPCC default. This reflects research that has developed country-specific emission factors for dung and urine from trials summarised by van der Weerden et al. (2019) (see section 5.5.2). </w:t>
      </w:r>
    </w:p>
    <w:p w14:paraId="155CE8C9" w14:textId="77777777" w:rsidR="007523B8" w:rsidRPr="009E06AA" w:rsidRDefault="007523B8" w:rsidP="007523B8">
      <w:pPr>
        <w:pStyle w:val="Table"/>
        <w:rPr>
          <w:rFonts w:cs="Calibri"/>
        </w:rPr>
      </w:pPr>
      <w:bookmarkStart w:id="1396" w:name="_Toc441830888"/>
      <w:bookmarkStart w:id="1397" w:name="_Toc451176102"/>
      <w:bookmarkStart w:id="1398" w:name="_Toc481751529"/>
      <w:bookmarkStart w:id="1399" w:name="_Toc507158617"/>
      <w:bookmarkStart w:id="1400" w:name="_Toc511116751"/>
      <w:bookmarkStart w:id="1401" w:name="_Toc5269493"/>
      <w:bookmarkStart w:id="1402" w:name="_Toc32570938"/>
      <w:bookmarkStart w:id="1403" w:name="_Toc36224573"/>
      <w:bookmarkStart w:id="1404" w:name="_Toc68786458"/>
      <w:bookmarkStart w:id="1405" w:name="_Toc95574091"/>
      <w:bookmarkStart w:id="1406" w:name="_Toc127458278"/>
      <w:bookmarkStart w:id="1407" w:name="_Toc131591374"/>
      <w:bookmarkStart w:id="1408" w:name="_Toc160114468"/>
      <w:bookmarkStart w:id="1409" w:name="_Toc164153864"/>
      <w:bookmarkStart w:id="1410" w:name="_Toc288316759"/>
      <w:bookmarkStart w:id="1411" w:name="_Toc352504977"/>
      <w:r w:rsidRPr="009E06AA">
        <w:rPr>
          <w:rFonts w:cs="Calibri"/>
        </w:rPr>
        <w:t>Table 5.5.12</w:t>
      </w:r>
      <w:r w:rsidRPr="009E06AA">
        <w:rPr>
          <w:rFonts w:cs="Calibri"/>
        </w:rPr>
        <w:tab/>
        <w:t xml:space="preserve">Comparison of </w:t>
      </w:r>
      <w:r w:rsidRPr="009E06AA">
        <w:rPr>
          <w:rFonts w:cs="Calibri"/>
          <w:spacing w:val="-2"/>
        </w:rPr>
        <w:t>New Zealand’s</w:t>
      </w:r>
      <w:r w:rsidRPr="009E06AA">
        <w:rPr>
          <w:rFonts w:cs="Calibri"/>
        </w:rPr>
        <w:t xml:space="preserve"> implied emission factors (IEFs) for EF</w:t>
      </w:r>
      <w:r w:rsidRPr="009E06AA">
        <w:rPr>
          <w:rFonts w:cs="Calibri"/>
          <w:vertAlign w:val="subscript"/>
        </w:rPr>
        <w:t>1</w:t>
      </w:r>
      <w:r w:rsidRPr="009E06AA">
        <w:rPr>
          <w:rFonts w:cs="Calibri"/>
        </w:rPr>
        <w:t xml:space="preserve"> (synthetic nitrogen fertiliser) and EF</w:t>
      </w:r>
      <w:r w:rsidRPr="009E06AA">
        <w:rPr>
          <w:rFonts w:cs="Calibri"/>
          <w:vertAlign w:val="subscript"/>
        </w:rPr>
        <w:t>3(PRP)</w:t>
      </w:r>
      <w:r w:rsidRPr="009E06AA">
        <w:rPr>
          <w:rFonts w:cs="Calibri"/>
        </w:rPr>
        <w:t xml:space="preserve"> (pasture, range and paddock manure) with the IPCC default and the Australia</w:t>
      </w:r>
      <w:bookmarkEnd w:id="1396"/>
      <w:r w:rsidRPr="009E06AA">
        <w:rPr>
          <w:rFonts w:cs="Calibri"/>
        </w:rPr>
        <w:t>n-specific value</w:t>
      </w:r>
      <w:bookmarkEnd w:id="1397"/>
      <w:bookmarkEnd w:id="1398"/>
      <w:bookmarkEnd w:id="1399"/>
      <w:bookmarkEnd w:id="1400"/>
      <w:bookmarkEnd w:id="1401"/>
      <w:bookmarkEnd w:id="1402"/>
      <w:bookmarkEnd w:id="1403"/>
      <w:bookmarkEnd w:id="1404"/>
      <w:bookmarkEnd w:id="1405"/>
      <w:bookmarkEnd w:id="1406"/>
      <w:bookmarkEnd w:id="1407"/>
      <w:bookmarkEnd w:id="1408"/>
      <w:bookmarkEnd w:id="1409"/>
      <w:r w:rsidRPr="009E06AA">
        <w:rPr>
          <w:rFonts w:cs="Calibri"/>
        </w:rPr>
        <w:t xml:space="preserve"> </w:t>
      </w:r>
      <w:bookmarkEnd w:id="1410"/>
      <w:bookmarkEnd w:id="1411"/>
    </w:p>
    <w:tbl>
      <w:tblPr>
        <w:tblW w:w="8505" w:type="dxa"/>
        <w:tblBorders>
          <w:top w:val="single" w:sz="4" w:space="0" w:color="365F91"/>
          <w:bottom w:val="single" w:sz="4" w:space="0" w:color="365F91"/>
          <w:insideH w:val="single" w:sz="4" w:space="0" w:color="365F91"/>
        </w:tblBorders>
        <w:tblLook w:val="01E0" w:firstRow="1" w:lastRow="1" w:firstColumn="1" w:lastColumn="1" w:noHBand="0" w:noVBand="0"/>
      </w:tblPr>
      <w:tblGrid>
        <w:gridCol w:w="3261"/>
        <w:gridCol w:w="2553"/>
        <w:gridCol w:w="2691"/>
      </w:tblGrid>
      <w:tr w:rsidR="007523B8" w:rsidRPr="009E06AA" w14:paraId="42AA09F6" w14:textId="77777777" w:rsidTr="00B55F24">
        <w:tc>
          <w:tcPr>
            <w:tcW w:w="1917" w:type="pct"/>
            <w:shd w:val="clear" w:color="auto" w:fill="1B556B"/>
            <w:vAlign w:val="bottom"/>
          </w:tcPr>
          <w:p w14:paraId="285B2CEE" w14:textId="77777777" w:rsidR="007523B8" w:rsidRPr="009E06AA" w:rsidRDefault="007523B8" w:rsidP="002F1BB0">
            <w:pPr>
              <w:pStyle w:val="TableTextBold"/>
              <w:keepNext/>
              <w:spacing w:before="40" w:after="30"/>
              <w:rPr>
                <w:noProof w:val="0"/>
                <w:color w:val="FFFFFF" w:themeColor="background1"/>
                <w:szCs w:val="16"/>
              </w:rPr>
            </w:pPr>
          </w:p>
        </w:tc>
        <w:tc>
          <w:tcPr>
            <w:tcW w:w="1501" w:type="pct"/>
            <w:shd w:val="clear" w:color="auto" w:fill="1B556B"/>
            <w:vAlign w:val="bottom"/>
          </w:tcPr>
          <w:p w14:paraId="4CD76BFE" w14:textId="77777777" w:rsidR="007523B8" w:rsidRPr="009E06AA" w:rsidRDefault="007523B8" w:rsidP="002F1BB0">
            <w:pPr>
              <w:pStyle w:val="TableTextBold"/>
              <w:keepNext/>
              <w:spacing w:before="40" w:after="30"/>
              <w:jc w:val="right"/>
              <w:rPr>
                <w:noProof w:val="0"/>
                <w:color w:val="FFFFFF" w:themeColor="background1"/>
                <w:szCs w:val="16"/>
              </w:rPr>
            </w:pPr>
            <w:r w:rsidRPr="009E06AA">
              <w:rPr>
                <w:noProof w:val="0"/>
                <w:color w:val="FFFFFF" w:themeColor="background1"/>
                <w:szCs w:val="16"/>
              </w:rPr>
              <w:t>EF</w:t>
            </w:r>
            <w:r w:rsidRPr="009E06AA">
              <w:rPr>
                <w:noProof w:val="0"/>
                <w:color w:val="FFFFFF" w:themeColor="background1"/>
                <w:szCs w:val="16"/>
                <w:vertAlign w:val="subscript"/>
              </w:rPr>
              <w:t>1</w:t>
            </w:r>
            <w:r w:rsidRPr="009E06AA">
              <w:rPr>
                <w:noProof w:val="0"/>
                <w:color w:val="FFFFFF" w:themeColor="background1"/>
                <w:szCs w:val="16"/>
              </w:rPr>
              <w:t xml:space="preserve"> (kg N</w:t>
            </w:r>
            <w:r w:rsidRPr="009E06AA">
              <w:rPr>
                <w:noProof w:val="0"/>
                <w:color w:val="FFFFFF" w:themeColor="background1"/>
                <w:szCs w:val="16"/>
                <w:vertAlign w:val="subscript"/>
              </w:rPr>
              <w:t>2</w:t>
            </w:r>
            <w:r w:rsidRPr="009E06AA">
              <w:rPr>
                <w:noProof w:val="0"/>
                <w:color w:val="FFFFFF" w:themeColor="background1"/>
                <w:szCs w:val="16"/>
              </w:rPr>
              <w:t>O-N/kg N)</w:t>
            </w:r>
          </w:p>
        </w:tc>
        <w:tc>
          <w:tcPr>
            <w:tcW w:w="1582" w:type="pct"/>
            <w:shd w:val="clear" w:color="auto" w:fill="1B556B"/>
            <w:vAlign w:val="bottom"/>
          </w:tcPr>
          <w:p w14:paraId="7F56DEB0" w14:textId="77777777" w:rsidR="007523B8" w:rsidRPr="009E06AA" w:rsidRDefault="007523B8" w:rsidP="002F1BB0">
            <w:pPr>
              <w:pStyle w:val="TableTextBold"/>
              <w:keepNext/>
              <w:spacing w:before="40" w:after="30"/>
              <w:jc w:val="right"/>
              <w:rPr>
                <w:noProof w:val="0"/>
                <w:color w:val="FFFFFF" w:themeColor="background1"/>
                <w:szCs w:val="16"/>
              </w:rPr>
            </w:pPr>
            <w:r w:rsidRPr="009E06AA">
              <w:rPr>
                <w:noProof w:val="0"/>
                <w:color w:val="FFFFFF" w:themeColor="background1"/>
                <w:szCs w:val="16"/>
              </w:rPr>
              <w:t>EF</w:t>
            </w:r>
            <w:r w:rsidRPr="009E06AA">
              <w:rPr>
                <w:noProof w:val="0"/>
                <w:color w:val="FFFFFF" w:themeColor="background1"/>
                <w:szCs w:val="16"/>
                <w:vertAlign w:val="subscript"/>
              </w:rPr>
              <w:t>3</w:t>
            </w:r>
            <w:r w:rsidRPr="009E06AA">
              <w:rPr>
                <w:noProof w:val="0"/>
                <w:color w:val="FFFFFF" w:themeColor="background1"/>
                <w:szCs w:val="16"/>
              </w:rPr>
              <w:t xml:space="preserve"> (kg N</w:t>
            </w:r>
            <w:r w:rsidRPr="009E06AA">
              <w:rPr>
                <w:noProof w:val="0"/>
                <w:color w:val="FFFFFF" w:themeColor="background1"/>
                <w:szCs w:val="16"/>
                <w:vertAlign w:val="subscript"/>
              </w:rPr>
              <w:t>2</w:t>
            </w:r>
            <w:r w:rsidRPr="009E06AA">
              <w:rPr>
                <w:noProof w:val="0"/>
                <w:color w:val="FFFFFF" w:themeColor="background1"/>
                <w:szCs w:val="16"/>
              </w:rPr>
              <w:t>O-N/kg N excreted)</w:t>
            </w:r>
          </w:p>
        </w:tc>
      </w:tr>
      <w:tr w:rsidR="007523B8" w:rsidRPr="009E06AA" w14:paraId="3B61F72C" w14:textId="77777777" w:rsidTr="00B55F24">
        <w:tc>
          <w:tcPr>
            <w:tcW w:w="1917" w:type="pct"/>
          </w:tcPr>
          <w:p w14:paraId="104CFE4F" w14:textId="77777777" w:rsidR="007523B8" w:rsidRPr="009E06AA" w:rsidRDefault="007523B8" w:rsidP="002F1BB0">
            <w:pPr>
              <w:pStyle w:val="TableText"/>
              <w:keepNext/>
              <w:spacing w:before="40" w:after="30"/>
              <w:rPr>
                <w:rFonts w:cs="Calibri"/>
                <w:szCs w:val="16"/>
              </w:rPr>
            </w:pPr>
            <w:r w:rsidRPr="009E06AA">
              <w:rPr>
                <w:rFonts w:cs="Calibri"/>
                <w:szCs w:val="16"/>
              </w:rPr>
              <w:t>IPCC (2006) developed temperate climate/Oceania default value</w:t>
            </w:r>
          </w:p>
        </w:tc>
        <w:tc>
          <w:tcPr>
            <w:tcW w:w="1501" w:type="pct"/>
          </w:tcPr>
          <w:p w14:paraId="74C4CB4D" w14:textId="77777777" w:rsidR="007523B8" w:rsidRPr="009E06AA" w:rsidRDefault="007523B8" w:rsidP="002F1BB0">
            <w:pPr>
              <w:pStyle w:val="TableText"/>
              <w:keepNext/>
              <w:spacing w:before="40" w:after="30"/>
              <w:jc w:val="right"/>
              <w:rPr>
                <w:rFonts w:cs="Calibri"/>
                <w:szCs w:val="16"/>
              </w:rPr>
            </w:pPr>
            <w:r w:rsidRPr="009E06AA">
              <w:rPr>
                <w:rFonts w:cs="Calibri"/>
                <w:szCs w:val="16"/>
              </w:rPr>
              <w:t>0.01</w:t>
            </w:r>
          </w:p>
        </w:tc>
        <w:tc>
          <w:tcPr>
            <w:tcW w:w="1582" w:type="pct"/>
          </w:tcPr>
          <w:p w14:paraId="3CB8486D" w14:textId="77777777" w:rsidR="007523B8" w:rsidRPr="009E06AA" w:rsidRDefault="007523B8" w:rsidP="00167925">
            <w:pPr>
              <w:pStyle w:val="TableText"/>
              <w:keepNext/>
              <w:spacing w:before="40" w:after="0"/>
              <w:jc w:val="right"/>
              <w:rPr>
                <w:rFonts w:cs="Calibri"/>
                <w:szCs w:val="16"/>
              </w:rPr>
            </w:pPr>
            <w:r w:rsidRPr="009E06AA">
              <w:rPr>
                <w:rFonts w:cs="Calibri"/>
                <w:szCs w:val="16"/>
              </w:rPr>
              <w:t>0.02 (cattle, poultry and pigs)</w:t>
            </w:r>
          </w:p>
          <w:p w14:paraId="04BF5664" w14:textId="77777777" w:rsidR="007523B8" w:rsidRPr="009E06AA" w:rsidRDefault="007523B8" w:rsidP="002F1BB0">
            <w:pPr>
              <w:pStyle w:val="TableText"/>
              <w:keepNext/>
              <w:spacing w:before="40" w:after="30"/>
              <w:jc w:val="right"/>
              <w:rPr>
                <w:rFonts w:cs="Calibri"/>
                <w:szCs w:val="16"/>
              </w:rPr>
            </w:pPr>
            <w:r w:rsidRPr="009E06AA">
              <w:rPr>
                <w:rFonts w:cs="Calibri"/>
                <w:szCs w:val="16"/>
              </w:rPr>
              <w:t>0.01 (sheep and other animals)</w:t>
            </w:r>
          </w:p>
        </w:tc>
      </w:tr>
      <w:tr w:rsidR="007523B8" w:rsidRPr="009E06AA" w14:paraId="2F3E7F01" w14:textId="77777777" w:rsidTr="00B55F24">
        <w:tc>
          <w:tcPr>
            <w:tcW w:w="1917" w:type="pct"/>
          </w:tcPr>
          <w:p w14:paraId="38541958" w14:textId="77777777" w:rsidR="007523B8" w:rsidRPr="009E06AA" w:rsidRDefault="007523B8" w:rsidP="002F1BB0">
            <w:pPr>
              <w:pStyle w:val="TableText"/>
              <w:keepNext/>
              <w:spacing w:before="40" w:after="30"/>
              <w:rPr>
                <w:rFonts w:cs="Calibri"/>
                <w:szCs w:val="16"/>
              </w:rPr>
            </w:pPr>
            <w:r w:rsidRPr="009E06AA">
              <w:rPr>
                <w:rFonts w:cs="Calibri"/>
                <w:szCs w:val="16"/>
              </w:rPr>
              <w:t>Australian-specific IEF 2021 value</w:t>
            </w:r>
          </w:p>
        </w:tc>
        <w:tc>
          <w:tcPr>
            <w:tcW w:w="1501" w:type="pct"/>
          </w:tcPr>
          <w:p w14:paraId="0D5D0DF4" w14:textId="77777777" w:rsidR="007523B8" w:rsidRPr="009E06AA" w:rsidRDefault="007523B8" w:rsidP="002F1BB0">
            <w:pPr>
              <w:pStyle w:val="TableText"/>
              <w:keepNext/>
              <w:spacing w:before="40" w:after="30"/>
              <w:jc w:val="right"/>
              <w:rPr>
                <w:highlight w:val="lightGray"/>
                <w:vertAlign w:val="superscript"/>
              </w:rPr>
            </w:pPr>
            <w:r w:rsidRPr="009E06AA">
              <w:rPr>
                <w:rFonts w:cs="Calibri"/>
                <w:szCs w:val="16"/>
              </w:rPr>
              <w:t>0.0039/0.0021</w:t>
            </w:r>
            <w:r w:rsidRPr="009E06AA">
              <w:rPr>
                <w:rFonts w:cs="Calibri"/>
                <w:szCs w:val="16"/>
                <w:vertAlign w:val="superscript"/>
              </w:rPr>
              <w:t>1</w:t>
            </w:r>
          </w:p>
        </w:tc>
        <w:tc>
          <w:tcPr>
            <w:tcW w:w="1582" w:type="pct"/>
          </w:tcPr>
          <w:p w14:paraId="45ECF9F8" w14:textId="77777777" w:rsidR="007523B8" w:rsidRPr="009E06AA" w:rsidRDefault="007523B8" w:rsidP="002F1BB0">
            <w:pPr>
              <w:pStyle w:val="TableText"/>
              <w:keepNext/>
              <w:spacing w:before="40" w:after="30"/>
              <w:jc w:val="right"/>
              <w:rPr>
                <w:rFonts w:cs="Calibri"/>
                <w:szCs w:val="16"/>
              </w:rPr>
            </w:pPr>
            <w:r w:rsidRPr="009E06AA">
              <w:rPr>
                <w:rFonts w:cs="Calibri"/>
                <w:szCs w:val="16"/>
              </w:rPr>
              <w:t>0.0040</w:t>
            </w:r>
          </w:p>
        </w:tc>
      </w:tr>
      <w:tr w:rsidR="007523B8" w:rsidRPr="009E06AA" w14:paraId="6B4157B5" w14:textId="77777777" w:rsidTr="00B55F24">
        <w:tc>
          <w:tcPr>
            <w:tcW w:w="1917" w:type="pct"/>
          </w:tcPr>
          <w:p w14:paraId="0B9B1006" w14:textId="77777777" w:rsidR="007523B8" w:rsidRPr="009E06AA" w:rsidRDefault="007523B8" w:rsidP="002F1BB0">
            <w:pPr>
              <w:pStyle w:val="TableText"/>
              <w:spacing w:before="40" w:after="30"/>
              <w:rPr>
                <w:rFonts w:cs="Calibri"/>
                <w:szCs w:val="16"/>
              </w:rPr>
            </w:pPr>
            <w:r w:rsidRPr="009E06AA">
              <w:rPr>
                <w:rFonts w:cs="Calibri"/>
                <w:szCs w:val="16"/>
              </w:rPr>
              <w:t>New Zealand-specific IEF 2022 value</w:t>
            </w:r>
          </w:p>
        </w:tc>
        <w:tc>
          <w:tcPr>
            <w:tcW w:w="1501" w:type="pct"/>
          </w:tcPr>
          <w:p w14:paraId="56C274AB" w14:textId="77777777" w:rsidR="007523B8" w:rsidRPr="009E06AA" w:rsidRDefault="007523B8" w:rsidP="002F1BB0">
            <w:pPr>
              <w:pStyle w:val="TableText"/>
              <w:spacing w:before="40" w:after="30"/>
              <w:jc w:val="right"/>
              <w:rPr>
                <w:rFonts w:cs="Calibri"/>
                <w:szCs w:val="16"/>
              </w:rPr>
            </w:pPr>
            <w:r w:rsidRPr="009E06AA">
              <w:rPr>
                <w:rFonts w:cs="Calibri"/>
                <w:szCs w:val="16"/>
              </w:rPr>
              <w:t>0.0069</w:t>
            </w:r>
          </w:p>
        </w:tc>
        <w:tc>
          <w:tcPr>
            <w:tcW w:w="1582" w:type="pct"/>
          </w:tcPr>
          <w:p w14:paraId="7D02B0B0" w14:textId="77777777" w:rsidR="007523B8" w:rsidRPr="009E06AA" w:rsidRDefault="007523B8" w:rsidP="002F1BB0">
            <w:pPr>
              <w:pStyle w:val="TableText"/>
              <w:spacing w:before="40" w:after="30"/>
              <w:jc w:val="right"/>
              <w:rPr>
                <w:rFonts w:cs="Calibri"/>
                <w:szCs w:val="16"/>
              </w:rPr>
            </w:pPr>
            <w:r w:rsidRPr="009E06AA">
              <w:rPr>
                <w:rFonts w:cs="Calibri"/>
                <w:szCs w:val="16"/>
              </w:rPr>
              <w:t>0.0053</w:t>
            </w:r>
          </w:p>
        </w:tc>
      </w:tr>
    </w:tbl>
    <w:p w14:paraId="687B1EF4" w14:textId="77777777" w:rsidR="009D3391" w:rsidRPr="009E06AA" w:rsidRDefault="009D3391" w:rsidP="00387CF3">
      <w:pPr>
        <w:pStyle w:val="Source"/>
        <w:spacing w:after="60"/>
        <w:rPr>
          <w:szCs w:val="18"/>
        </w:rPr>
      </w:pPr>
      <w:r w:rsidRPr="009E06AA">
        <w:rPr>
          <w:szCs w:val="18"/>
        </w:rPr>
        <w:t xml:space="preserve">Source: </w:t>
      </w:r>
      <w:r w:rsidRPr="009E06AA">
        <w:rPr>
          <w:szCs w:val="18"/>
        </w:rPr>
        <w:tab/>
        <w:t>UNFCCC (</w:t>
      </w:r>
      <w:hyperlink r:id="rId111" w:history="1">
        <w:r w:rsidRPr="009E06AA">
          <w:rPr>
            <w:rStyle w:val="Hyperlink"/>
            <w:rFonts w:cs="Calibri"/>
            <w:szCs w:val="18"/>
          </w:rPr>
          <w:t>https://unfccc.int/documents/627765</w:t>
        </w:r>
      </w:hyperlink>
      <w:r w:rsidRPr="009E06AA">
        <w:rPr>
          <w:szCs w:val="18"/>
        </w:rPr>
        <w:t>)</w:t>
      </w:r>
      <w:r w:rsidRPr="009E06AA" w:rsidDel="00D478FB">
        <w:rPr>
          <w:szCs w:val="18"/>
        </w:rPr>
        <w:t xml:space="preserve"> </w:t>
      </w:r>
    </w:p>
    <w:p w14:paraId="44CE99B0" w14:textId="77777777" w:rsidR="007523B8" w:rsidRPr="009E06AA" w:rsidRDefault="007523B8" w:rsidP="002F1BB0">
      <w:pPr>
        <w:pStyle w:val="Noteundertable"/>
        <w:spacing w:before="80"/>
      </w:pPr>
      <w:r w:rsidRPr="009E06AA">
        <w:rPr>
          <w:b/>
          <w:bCs/>
        </w:rPr>
        <w:t>Note:</w:t>
      </w:r>
      <w:r w:rsidRPr="009E06AA">
        <w:rPr>
          <w:b/>
          <w:bCs/>
        </w:rPr>
        <w:tab/>
      </w:r>
      <w:r w:rsidRPr="009E06AA">
        <w:rPr>
          <w:vertAlign w:val="superscript"/>
        </w:rPr>
        <w:t>1</w:t>
      </w:r>
      <w:r w:rsidRPr="009E06AA">
        <w:t xml:space="preserve"> Irrigated and non-irrigated pasture respectively. </w:t>
      </w:r>
    </w:p>
    <w:p w14:paraId="7FDA70A6" w14:textId="77777777" w:rsidR="007523B8" w:rsidRPr="009E06AA" w:rsidRDefault="007523B8" w:rsidP="007523B8">
      <w:pPr>
        <w:pStyle w:val="BodyText"/>
        <w:spacing w:before="100" w:after="100"/>
        <w:rPr>
          <w:rFonts w:cs="Calibri"/>
        </w:rPr>
      </w:pPr>
      <w:r w:rsidRPr="009E06AA">
        <w:rPr>
          <w:rFonts w:cs="Calibri"/>
        </w:rPr>
        <w:t>Table 5.5.13 compares the New Zealand-specific values Frac</w:t>
      </w:r>
      <w:r w:rsidRPr="009E06AA">
        <w:rPr>
          <w:rFonts w:cs="Calibri"/>
          <w:vertAlign w:val="subscript"/>
        </w:rPr>
        <w:t>GASF</w:t>
      </w:r>
      <w:r w:rsidRPr="009E06AA">
        <w:rPr>
          <w:rFonts w:cs="Calibri"/>
        </w:rPr>
        <w:t>, Frac</w:t>
      </w:r>
      <w:r w:rsidRPr="009E06AA">
        <w:rPr>
          <w:rFonts w:cs="Calibri"/>
          <w:vertAlign w:val="subscript"/>
        </w:rPr>
        <w:t>GASM</w:t>
      </w:r>
      <w:r w:rsidRPr="009E06AA">
        <w:rPr>
          <w:rFonts w:cs="Calibri"/>
        </w:rPr>
        <w:t xml:space="preserve"> and Frac</w:t>
      </w:r>
      <w:r w:rsidRPr="009E06AA">
        <w:rPr>
          <w:rFonts w:cs="Calibri"/>
          <w:vertAlign w:val="subscript"/>
        </w:rPr>
        <w:t>LEACH-H</w:t>
      </w:r>
      <w:r w:rsidRPr="009E06AA">
        <w:rPr>
          <w:rFonts w:cs="Calibri"/>
        </w:rPr>
        <w:t xml:space="preserve"> with </w:t>
      </w:r>
      <w:r w:rsidRPr="009E06AA">
        <w:rPr>
          <w:rFonts w:cs="Calibri"/>
          <w:spacing w:val="-2"/>
        </w:rPr>
        <w:t xml:space="preserve">the 2006 IPCC default and fractions used by Australia. </w:t>
      </w:r>
      <w:r w:rsidRPr="009E06AA">
        <w:rPr>
          <w:rFonts w:cs="Calibri"/>
        </w:rPr>
        <w:t>New Zealand</w:t>
      </w:r>
      <w:r w:rsidRPr="009E06AA">
        <w:rPr>
          <w:rFonts w:cs="Calibri"/>
          <w:spacing w:val="-2"/>
        </w:rPr>
        <w:t xml:space="preserve"> has taken a country </w:t>
      </w:r>
      <w:r w:rsidRPr="009E06AA">
        <w:rPr>
          <w:rFonts w:cs="Calibri"/>
          <w:spacing w:val="-2"/>
        </w:rPr>
        <w:noBreakHyphen/>
        <w:t>specific</w:t>
      </w:r>
      <w:r w:rsidRPr="009E06AA">
        <w:rPr>
          <w:rFonts w:cs="Calibri"/>
        </w:rPr>
        <w:t xml:space="preserve"> value for Frac</w:t>
      </w:r>
      <w:r w:rsidRPr="009E06AA">
        <w:rPr>
          <w:rFonts w:cs="Calibri"/>
          <w:vertAlign w:val="subscript"/>
        </w:rPr>
        <w:t>GASF</w:t>
      </w:r>
      <w:r w:rsidRPr="009E06AA">
        <w:rPr>
          <w:rFonts w:cs="Calibri"/>
        </w:rPr>
        <w:t xml:space="preserve"> of 0.1, and it is the same as the 2006 IPCC default and almost identical to that of Australia (0.11). Research showed that the 0.1 value was appropriate for </w:t>
      </w:r>
      <w:r w:rsidRPr="009E06AA" w:rsidDel="008B12D6">
        <w:rPr>
          <w:rFonts w:cs="Calibri"/>
        </w:rPr>
        <w:t xml:space="preserve">New </w:t>
      </w:r>
      <w:r w:rsidRPr="009E06AA">
        <w:rPr>
          <w:rFonts w:cs="Calibri"/>
        </w:rPr>
        <w:t xml:space="preserve">Zealand conditions (Sherlock et al., 2008). </w:t>
      </w:r>
    </w:p>
    <w:p w14:paraId="7A209A3F" w14:textId="77777777" w:rsidR="007523B8" w:rsidRPr="009E06AA" w:rsidRDefault="007523B8" w:rsidP="007523B8">
      <w:pPr>
        <w:pStyle w:val="BodyText"/>
        <w:spacing w:before="100" w:after="100"/>
        <w:rPr>
          <w:lang w:eastAsia="en-GB"/>
        </w:rPr>
      </w:pPr>
      <w:r w:rsidRPr="009E06AA">
        <w:t>This research also showed that the previously used 2006 IPCC default value of 0.2 for Frac</w:t>
      </w:r>
      <w:r w:rsidRPr="009E06AA">
        <w:rPr>
          <w:vertAlign w:val="subscript"/>
        </w:rPr>
        <w:t>GASM</w:t>
      </w:r>
      <w:r w:rsidRPr="009E06AA">
        <w:t xml:space="preserve"> was too high and a lower value of 0.1 was adopted after an extensive review of scientific literature (Sherlock et al., 2008), which was also confirmed by subsequent field experiments (Laubach et al., 2012). The reduction in Frac</w:t>
      </w:r>
      <w:r w:rsidRPr="009E06AA">
        <w:rPr>
          <w:vertAlign w:val="subscript"/>
        </w:rPr>
        <w:t>GASM</w:t>
      </w:r>
      <w:r w:rsidRPr="009E06AA">
        <w:t xml:space="preserve"> is due to the proportion of the different sources that make up this value. In </w:t>
      </w:r>
      <w:r w:rsidRPr="009E06AA">
        <w:rPr>
          <w:rFonts w:cs="Calibri"/>
          <w:spacing w:val="-2"/>
        </w:rPr>
        <w:t>New Zealand</w:t>
      </w:r>
      <w:r w:rsidRPr="009E06AA">
        <w:t>, over 95 per cent of animal excreta is deposited onto pasture and only a small proportion is managed in waste management systems. In contrast, the 2006 IPCC default value was calculated based on systems where a much higher percentage of manure management and storage is normal. Manure management and storage results in a much higher proportion of nitrogen being volatilised and, hence, the higher Frac</w:t>
      </w:r>
      <w:r w:rsidRPr="009E06AA">
        <w:rPr>
          <w:vertAlign w:val="subscript"/>
        </w:rPr>
        <w:t>GASM</w:t>
      </w:r>
      <w:r w:rsidRPr="009E06AA">
        <w:t xml:space="preserve"> for the default value compared with the country-specific </w:t>
      </w:r>
      <w:r w:rsidRPr="009E06AA" w:rsidDel="00CB78AE">
        <w:rPr>
          <w:rFonts w:cs="Calibri"/>
          <w:spacing w:val="-2"/>
        </w:rPr>
        <w:t xml:space="preserve">New </w:t>
      </w:r>
      <w:r w:rsidRPr="009E06AA">
        <w:rPr>
          <w:rFonts w:cs="Calibri"/>
          <w:spacing w:val="-2"/>
        </w:rPr>
        <w:t>Zealand</w:t>
      </w:r>
      <w:r w:rsidRPr="009E06AA">
        <w:t xml:space="preserve"> value. </w:t>
      </w:r>
    </w:p>
    <w:p w14:paraId="4FCA4C29" w14:textId="77777777" w:rsidR="007523B8" w:rsidRPr="009E06AA" w:rsidRDefault="007523B8" w:rsidP="007523B8">
      <w:pPr>
        <w:pStyle w:val="BodyText"/>
        <w:spacing w:before="100" w:after="100"/>
      </w:pPr>
      <w:r w:rsidRPr="009E06AA" w:rsidDel="00CB78AE">
        <w:rPr>
          <w:rFonts w:cs="Calibri"/>
          <w:spacing w:val="-2"/>
        </w:rPr>
        <w:t xml:space="preserve">New </w:t>
      </w:r>
      <w:r w:rsidRPr="009E06AA">
        <w:rPr>
          <w:rFonts w:cs="Calibri"/>
          <w:spacing w:val="-2"/>
        </w:rPr>
        <w:t>Zealand</w:t>
      </w:r>
      <w:r w:rsidRPr="009E06AA">
        <w:t xml:space="preserve"> also has much lower values of Frac</w:t>
      </w:r>
      <w:r w:rsidRPr="009E06AA">
        <w:rPr>
          <w:vertAlign w:val="subscript"/>
        </w:rPr>
        <w:t>LEACH</w:t>
      </w:r>
      <w:r w:rsidRPr="009E06AA" w:rsidDel="009C0F97">
        <w:rPr>
          <w:vertAlign w:val="subscript"/>
        </w:rPr>
        <w:t>-H</w:t>
      </w:r>
      <w:r w:rsidRPr="009E06AA" w:rsidDel="009C0F97">
        <w:t>.</w:t>
      </w:r>
      <w:r w:rsidRPr="009E06AA">
        <w:t xml:space="preserve"> Research suggests that </w:t>
      </w:r>
      <w:r w:rsidRPr="009E06AA">
        <w:rPr>
          <w:rFonts w:cs="Calibri"/>
          <w:spacing w:val="-2"/>
        </w:rPr>
        <w:t>New Zealand</w:t>
      </w:r>
      <w:r w:rsidRPr="009E06AA">
        <w:t xml:space="preserve"> applies a much lower rate of nitrogen fertiliser at each application than was assumed when the IPCC default value was developed (Thomas et al., 2005). When the OverseerFM nutrient budget model (Wheeler et al., 2003) took this lower rate into account, the extent of leaching was much lower than when compared with farms with</w:t>
      </w:r>
      <w:r w:rsidRPr="009E06AA" w:rsidDel="00EB6389">
        <w:t xml:space="preserve"> </w:t>
      </w:r>
      <w:r w:rsidRPr="009E06AA">
        <w:t xml:space="preserve">greater nitrogen fertiliser rates, which can be typical in other developed countries. </w:t>
      </w:r>
    </w:p>
    <w:p w14:paraId="1ED8A2AE" w14:textId="06DE49C9" w:rsidR="007523B8" w:rsidRPr="009E06AA" w:rsidRDefault="007523B8" w:rsidP="007523B8">
      <w:pPr>
        <w:pStyle w:val="Table"/>
        <w:rPr>
          <w:rFonts w:cs="Calibri"/>
        </w:rPr>
      </w:pPr>
      <w:bookmarkStart w:id="1412" w:name="_Toc441830889"/>
      <w:bookmarkStart w:id="1413" w:name="_Toc288316760"/>
      <w:bookmarkStart w:id="1414" w:name="_Toc352504978"/>
      <w:bookmarkStart w:id="1415" w:name="_Toc451176103"/>
      <w:bookmarkStart w:id="1416" w:name="_Toc481751530"/>
      <w:bookmarkStart w:id="1417" w:name="_Toc507158618"/>
      <w:bookmarkStart w:id="1418" w:name="_Toc511116752"/>
      <w:bookmarkStart w:id="1419" w:name="_Toc5269494"/>
      <w:bookmarkStart w:id="1420" w:name="_Toc32570939"/>
      <w:bookmarkStart w:id="1421" w:name="_Toc36224574"/>
      <w:bookmarkStart w:id="1422" w:name="_Toc68786459"/>
      <w:bookmarkStart w:id="1423" w:name="_Toc95574092"/>
      <w:bookmarkStart w:id="1424" w:name="_Toc127458279"/>
      <w:bookmarkStart w:id="1425" w:name="_Toc131591375"/>
      <w:bookmarkStart w:id="1426" w:name="_Toc160114469"/>
      <w:bookmarkStart w:id="1427" w:name="_Toc164153865"/>
      <w:r w:rsidRPr="009E06AA">
        <w:rPr>
          <w:rFonts w:cs="Calibri"/>
        </w:rPr>
        <w:t>Table 5.5.13</w:t>
      </w:r>
      <w:r w:rsidRPr="009E06AA">
        <w:rPr>
          <w:rFonts w:cs="Calibri"/>
        </w:rPr>
        <w:tab/>
        <w:t xml:space="preserve">Comparison of </w:t>
      </w:r>
      <w:r w:rsidRPr="009E06AA">
        <w:rPr>
          <w:rFonts w:cs="Calibri"/>
          <w:spacing w:val="-2"/>
        </w:rPr>
        <w:t>New Zealand’s</w:t>
      </w:r>
      <w:r w:rsidRPr="009E06AA">
        <w:rPr>
          <w:rFonts w:cs="Calibri"/>
        </w:rPr>
        <w:t xml:space="preserve"> country-specific factors for volatilisation (Frac</w:t>
      </w:r>
      <w:r w:rsidRPr="009E06AA">
        <w:rPr>
          <w:rFonts w:cs="Calibri"/>
          <w:vertAlign w:val="subscript"/>
        </w:rPr>
        <w:t>GASF</w:t>
      </w:r>
      <w:r w:rsidRPr="009E06AA">
        <w:rPr>
          <w:rFonts w:cs="Calibri"/>
        </w:rPr>
        <w:t>, Frac</w:t>
      </w:r>
      <w:r w:rsidRPr="009E06AA">
        <w:rPr>
          <w:rFonts w:cs="Calibri"/>
          <w:vertAlign w:val="subscript"/>
        </w:rPr>
        <w:t>GASM</w:t>
      </w:r>
      <w:r w:rsidRPr="009E06AA">
        <w:rPr>
          <w:rFonts w:cs="Calibri"/>
        </w:rPr>
        <w:t>) and</w:t>
      </w:r>
      <w:r w:rsidR="008E63BA" w:rsidRPr="009E06AA">
        <w:rPr>
          <w:rFonts w:cs="Calibri"/>
        </w:rPr>
        <w:t> </w:t>
      </w:r>
      <w:r w:rsidRPr="009E06AA">
        <w:rPr>
          <w:rFonts w:cs="Calibri"/>
        </w:rPr>
        <w:t>leaching and runoff (Frac</w:t>
      </w:r>
      <w:r w:rsidRPr="009E06AA">
        <w:rPr>
          <w:rFonts w:cs="Calibri"/>
          <w:vertAlign w:val="subscript"/>
        </w:rPr>
        <w:t>LEACH-(H)</w:t>
      </w:r>
      <w:r w:rsidRPr="009E06AA">
        <w:rPr>
          <w:rFonts w:cs="Calibri"/>
        </w:rPr>
        <w:t>) with the IPCC default value and the Australia</w:t>
      </w:r>
      <w:bookmarkEnd w:id="1412"/>
      <w:r w:rsidRPr="009E06AA">
        <w:rPr>
          <w:rFonts w:cs="Calibri"/>
        </w:rPr>
        <w:t>n implied emission factor (IEF</w:t>
      </w:r>
      <w:bookmarkEnd w:id="1413"/>
      <w:bookmarkEnd w:id="1414"/>
      <w:bookmarkEnd w:id="1415"/>
      <w:bookmarkEnd w:id="1416"/>
      <w:r w:rsidRPr="009E06AA">
        <w:rPr>
          <w:rFonts w:cs="Calibri"/>
        </w:rPr>
        <w:t>)</w:t>
      </w:r>
      <w:bookmarkEnd w:id="1417"/>
      <w:bookmarkEnd w:id="1418"/>
      <w:bookmarkEnd w:id="1419"/>
      <w:bookmarkEnd w:id="1420"/>
      <w:bookmarkEnd w:id="1421"/>
      <w:bookmarkEnd w:id="1422"/>
      <w:bookmarkEnd w:id="1423"/>
      <w:bookmarkEnd w:id="1424"/>
      <w:bookmarkEnd w:id="1425"/>
      <w:bookmarkEnd w:id="1426"/>
      <w:bookmarkEnd w:id="1427"/>
    </w:p>
    <w:tbl>
      <w:tblPr>
        <w:tblW w:w="4947" w:type="pct"/>
        <w:tblBorders>
          <w:top w:val="single" w:sz="4" w:space="0" w:color="1B556B" w:themeColor="text2"/>
          <w:bottom w:val="single" w:sz="4" w:space="0" w:color="1B556B" w:themeColor="text2"/>
          <w:insideH w:val="single" w:sz="4" w:space="0" w:color="1B556B" w:themeColor="text2"/>
        </w:tblBorders>
        <w:tblLook w:val="01E0" w:firstRow="1" w:lastRow="1" w:firstColumn="1" w:lastColumn="1" w:noHBand="0" w:noVBand="0"/>
      </w:tblPr>
      <w:tblGrid>
        <w:gridCol w:w="2977"/>
        <w:gridCol w:w="1845"/>
        <w:gridCol w:w="1846"/>
        <w:gridCol w:w="1739"/>
        <w:gridCol w:w="8"/>
      </w:tblGrid>
      <w:tr w:rsidR="007523B8" w:rsidRPr="009E06AA" w14:paraId="4DEB6306" w14:textId="77777777" w:rsidTr="00B55F24">
        <w:trPr>
          <w:gridAfter w:val="1"/>
          <w:wAfter w:w="5" w:type="pct"/>
          <w:trHeight w:val="287"/>
        </w:trPr>
        <w:tc>
          <w:tcPr>
            <w:tcW w:w="1769" w:type="pct"/>
            <w:shd w:val="clear" w:color="auto" w:fill="1B556B"/>
            <w:vAlign w:val="bottom"/>
          </w:tcPr>
          <w:p w14:paraId="77E5A242" w14:textId="77777777" w:rsidR="007523B8" w:rsidRPr="009E06AA" w:rsidRDefault="007523B8" w:rsidP="00B55F24">
            <w:pPr>
              <w:pStyle w:val="TableTextBold"/>
              <w:keepNext/>
              <w:spacing w:before="40" w:after="40"/>
              <w:rPr>
                <w:noProof w:val="0"/>
                <w:color w:val="FFFFFF" w:themeColor="background1"/>
              </w:rPr>
            </w:pPr>
          </w:p>
        </w:tc>
        <w:tc>
          <w:tcPr>
            <w:tcW w:w="1096" w:type="pct"/>
            <w:shd w:val="clear" w:color="auto" w:fill="1B556B"/>
            <w:vAlign w:val="bottom"/>
          </w:tcPr>
          <w:p w14:paraId="3F8EAEE5" w14:textId="77777777" w:rsidR="007523B8" w:rsidRPr="009E06AA" w:rsidRDefault="007523B8" w:rsidP="008E63BA">
            <w:pPr>
              <w:pStyle w:val="TableTextBold"/>
              <w:keepNext/>
              <w:spacing w:before="40" w:after="40"/>
              <w:jc w:val="right"/>
              <w:rPr>
                <w:noProof w:val="0"/>
                <w:color w:val="FFFFFF" w:themeColor="background1"/>
              </w:rPr>
            </w:pPr>
            <w:r w:rsidRPr="009E06AA">
              <w:rPr>
                <w:noProof w:val="0"/>
                <w:color w:val="FFFFFF" w:themeColor="background1"/>
              </w:rPr>
              <w:t>Frac</w:t>
            </w:r>
            <w:r w:rsidRPr="009E06AA">
              <w:rPr>
                <w:noProof w:val="0"/>
                <w:color w:val="FFFFFF" w:themeColor="background1"/>
                <w:vertAlign w:val="subscript"/>
              </w:rPr>
              <w:t xml:space="preserve">GASF </w:t>
            </w:r>
            <w:r w:rsidRPr="009E06AA">
              <w:rPr>
                <w:noProof w:val="0"/>
                <w:color w:val="FFFFFF" w:themeColor="background1"/>
              </w:rPr>
              <w:t>(kg NH</w:t>
            </w:r>
            <w:r w:rsidRPr="009E06AA">
              <w:rPr>
                <w:noProof w:val="0"/>
                <w:color w:val="FFFFFF" w:themeColor="background1"/>
                <w:vertAlign w:val="subscript"/>
              </w:rPr>
              <w:t>3</w:t>
            </w:r>
            <w:r w:rsidRPr="009E06AA">
              <w:rPr>
                <w:noProof w:val="0"/>
                <w:color w:val="FFFFFF" w:themeColor="background1"/>
              </w:rPr>
              <w:t>-N and NO</w:t>
            </w:r>
            <w:r w:rsidRPr="009E06AA">
              <w:rPr>
                <w:noProof w:val="0"/>
                <w:color w:val="FFFFFF" w:themeColor="background1"/>
                <w:vertAlign w:val="subscript"/>
              </w:rPr>
              <w:t>x</w:t>
            </w:r>
            <w:r w:rsidRPr="009E06AA">
              <w:rPr>
                <w:noProof w:val="0"/>
                <w:color w:val="FFFFFF" w:themeColor="background1"/>
              </w:rPr>
              <w:t>-N/kg of N input)</w:t>
            </w:r>
          </w:p>
        </w:tc>
        <w:tc>
          <w:tcPr>
            <w:tcW w:w="1097" w:type="pct"/>
            <w:shd w:val="clear" w:color="auto" w:fill="1B556B"/>
            <w:vAlign w:val="bottom"/>
          </w:tcPr>
          <w:p w14:paraId="5FD856D7" w14:textId="77777777" w:rsidR="007523B8" w:rsidRPr="009E06AA" w:rsidRDefault="007523B8" w:rsidP="008E63BA">
            <w:pPr>
              <w:pStyle w:val="TableTextBold"/>
              <w:keepNext/>
              <w:spacing w:before="40" w:after="40"/>
              <w:jc w:val="right"/>
              <w:rPr>
                <w:noProof w:val="0"/>
                <w:color w:val="FFFFFF" w:themeColor="background1"/>
              </w:rPr>
            </w:pPr>
            <w:r w:rsidRPr="009E06AA">
              <w:rPr>
                <w:noProof w:val="0"/>
                <w:color w:val="FFFFFF" w:themeColor="background1"/>
              </w:rPr>
              <w:t>Frac</w:t>
            </w:r>
            <w:r w:rsidRPr="009E06AA">
              <w:rPr>
                <w:noProof w:val="0"/>
                <w:color w:val="FFFFFF" w:themeColor="background1"/>
                <w:vertAlign w:val="subscript"/>
              </w:rPr>
              <w:t xml:space="preserve">GASM </w:t>
            </w:r>
            <w:r w:rsidRPr="009E06AA">
              <w:rPr>
                <w:noProof w:val="0"/>
                <w:color w:val="FFFFFF" w:themeColor="background1"/>
              </w:rPr>
              <w:t>(kg NH</w:t>
            </w:r>
            <w:r w:rsidRPr="009E06AA">
              <w:rPr>
                <w:noProof w:val="0"/>
                <w:color w:val="FFFFFF" w:themeColor="background1"/>
                <w:vertAlign w:val="subscript"/>
              </w:rPr>
              <w:t>3</w:t>
            </w:r>
            <w:r w:rsidRPr="009E06AA">
              <w:rPr>
                <w:noProof w:val="0"/>
                <w:color w:val="FFFFFF" w:themeColor="background1"/>
              </w:rPr>
              <w:t>-N and NO</w:t>
            </w:r>
            <w:r w:rsidRPr="009E06AA">
              <w:rPr>
                <w:noProof w:val="0"/>
                <w:color w:val="FFFFFF" w:themeColor="background1"/>
                <w:vertAlign w:val="subscript"/>
              </w:rPr>
              <w:t>x</w:t>
            </w:r>
            <w:r w:rsidRPr="009E06AA">
              <w:rPr>
                <w:noProof w:val="0"/>
                <w:color w:val="FFFFFF" w:themeColor="background1"/>
              </w:rPr>
              <w:t>-N/kg of N excreted)</w:t>
            </w:r>
          </w:p>
        </w:tc>
        <w:tc>
          <w:tcPr>
            <w:tcW w:w="1033" w:type="pct"/>
            <w:shd w:val="clear" w:color="auto" w:fill="1B556B"/>
            <w:vAlign w:val="bottom"/>
          </w:tcPr>
          <w:p w14:paraId="0988532C" w14:textId="77777777" w:rsidR="007523B8" w:rsidRPr="009E06AA" w:rsidRDefault="007523B8" w:rsidP="008E63BA">
            <w:pPr>
              <w:pStyle w:val="TableTextBold"/>
              <w:keepNext/>
              <w:spacing w:before="40" w:after="40"/>
              <w:jc w:val="right"/>
              <w:rPr>
                <w:noProof w:val="0"/>
                <w:color w:val="FFFFFF" w:themeColor="background1"/>
              </w:rPr>
            </w:pPr>
            <w:r w:rsidRPr="009E06AA">
              <w:rPr>
                <w:noProof w:val="0"/>
                <w:color w:val="FFFFFF" w:themeColor="background1"/>
              </w:rPr>
              <w:t>Frac</w:t>
            </w:r>
            <w:r w:rsidRPr="009E06AA">
              <w:rPr>
                <w:noProof w:val="0"/>
                <w:color w:val="FFFFFF" w:themeColor="background1"/>
                <w:vertAlign w:val="subscript"/>
              </w:rPr>
              <w:t xml:space="preserve">LEACH-(H) </w:t>
            </w:r>
            <w:r w:rsidRPr="009E06AA">
              <w:rPr>
                <w:noProof w:val="0"/>
                <w:color w:val="FFFFFF" w:themeColor="background1"/>
              </w:rPr>
              <w:t>(kg N/kg fertiliser or manure N)</w:t>
            </w:r>
          </w:p>
        </w:tc>
      </w:tr>
      <w:tr w:rsidR="007523B8" w:rsidRPr="009E06AA" w14:paraId="684DBD85" w14:textId="77777777" w:rsidTr="00B55F24">
        <w:tc>
          <w:tcPr>
            <w:tcW w:w="1769" w:type="pct"/>
            <w:shd w:val="clear" w:color="auto" w:fill="auto"/>
          </w:tcPr>
          <w:p w14:paraId="5A42C52E" w14:textId="77777777" w:rsidR="007523B8" w:rsidRPr="009E06AA" w:rsidRDefault="007523B8" w:rsidP="00B55F24">
            <w:pPr>
              <w:pStyle w:val="TableText"/>
              <w:spacing w:before="40" w:after="40"/>
              <w:rPr>
                <w:rFonts w:cs="Calibri"/>
              </w:rPr>
            </w:pPr>
            <w:r w:rsidRPr="009E06AA">
              <w:rPr>
                <w:rFonts w:cs="Calibri"/>
              </w:rPr>
              <w:t>IPCC (2006) default value</w:t>
            </w:r>
          </w:p>
        </w:tc>
        <w:tc>
          <w:tcPr>
            <w:tcW w:w="1096" w:type="pct"/>
            <w:shd w:val="clear" w:color="auto" w:fill="auto"/>
          </w:tcPr>
          <w:p w14:paraId="4E93540C" w14:textId="77777777" w:rsidR="007523B8" w:rsidRPr="009E06AA" w:rsidRDefault="007523B8" w:rsidP="008E63BA">
            <w:pPr>
              <w:pStyle w:val="TableText"/>
              <w:spacing w:before="40" w:after="40"/>
              <w:jc w:val="right"/>
              <w:rPr>
                <w:rFonts w:cs="Calibri"/>
              </w:rPr>
            </w:pPr>
            <w:r w:rsidRPr="009E06AA">
              <w:rPr>
                <w:rFonts w:cs="Calibri"/>
              </w:rPr>
              <w:t>0.1</w:t>
            </w:r>
          </w:p>
        </w:tc>
        <w:tc>
          <w:tcPr>
            <w:tcW w:w="1097" w:type="pct"/>
            <w:shd w:val="clear" w:color="auto" w:fill="auto"/>
          </w:tcPr>
          <w:p w14:paraId="050C1E24" w14:textId="77777777" w:rsidR="007523B8" w:rsidRPr="009E06AA" w:rsidRDefault="007523B8" w:rsidP="008E63BA">
            <w:pPr>
              <w:pStyle w:val="TableText"/>
              <w:spacing w:before="40" w:after="40"/>
              <w:jc w:val="right"/>
              <w:rPr>
                <w:rFonts w:cs="Calibri"/>
              </w:rPr>
            </w:pPr>
            <w:r w:rsidRPr="009E06AA">
              <w:rPr>
                <w:rFonts w:cs="Calibri"/>
              </w:rPr>
              <w:t>0.2</w:t>
            </w:r>
          </w:p>
        </w:tc>
        <w:tc>
          <w:tcPr>
            <w:tcW w:w="1038" w:type="pct"/>
            <w:gridSpan w:val="2"/>
            <w:shd w:val="clear" w:color="auto" w:fill="auto"/>
          </w:tcPr>
          <w:p w14:paraId="3CECED05" w14:textId="77777777" w:rsidR="007523B8" w:rsidRPr="009E06AA" w:rsidRDefault="007523B8" w:rsidP="008E63BA">
            <w:pPr>
              <w:pStyle w:val="TableText"/>
              <w:spacing w:before="40" w:after="40"/>
              <w:jc w:val="right"/>
              <w:rPr>
                <w:rFonts w:cs="Calibri"/>
              </w:rPr>
            </w:pPr>
            <w:r w:rsidRPr="009E06AA">
              <w:rPr>
                <w:rFonts w:cs="Calibri"/>
              </w:rPr>
              <w:t>0.3</w:t>
            </w:r>
          </w:p>
        </w:tc>
      </w:tr>
      <w:tr w:rsidR="007523B8" w:rsidRPr="009E06AA" w14:paraId="14999FF9" w14:textId="77777777" w:rsidTr="00B55F24">
        <w:tc>
          <w:tcPr>
            <w:tcW w:w="1769" w:type="pct"/>
          </w:tcPr>
          <w:p w14:paraId="096C75F4" w14:textId="77777777" w:rsidR="007523B8" w:rsidRPr="009E06AA" w:rsidRDefault="007523B8" w:rsidP="00B55F24">
            <w:pPr>
              <w:pStyle w:val="TableText"/>
              <w:spacing w:before="40" w:after="40"/>
              <w:rPr>
                <w:rFonts w:cs="Calibri"/>
              </w:rPr>
            </w:pPr>
            <w:r w:rsidRPr="009E06AA">
              <w:rPr>
                <w:rFonts w:cs="Calibri"/>
              </w:rPr>
              <w:t>Australian-specific 2021 value</w:t>
            </w:r>
          </w:p>
        </w:tc>
        <w:tc>
          <w:tcPr>
            <w:tcW w:w="1096" w:type="pct"/>
          </w:tcPr>
          <w:p w14:paraId="20F5D4EE" w14:textId="77777777" w:rsidR="007523B8" w:rsidRPr="009E06AA" w:rsidRDefault="007523B8" w:rsidP="008E63BA">
            <w:pPr>
              <w:pStyle w:val="TableText"/>
              <w:spacing w:before="40" w:after="40"/>
              <w:jc w:val="right"/>
              <w:rPr>
                <w:rFonts w:cs="Calibri"/>
              </w:rPr>
            </w:pPr>
            <w:r w:rsidRPr="009E06AA">
              <w:rPr>
                <w:rFonts w:cs="Calibri"/>
              </w:rPr>
              <w:t>0.11</w:t>
            </w:r>
          </w:p>
        </w:tc>
        <w:tc>
          <w:tcPr>
            <w:tcW w:w="1097" w:type="pct"/>
          </w:tcPr>
          <w:p w14:paraId="11F66649" w14:textId="77777777" w:rsidR="007523B8" w:rsidRPr="009E06AA" w:rsidRDefault="007523B8" w:rsidP="008E63BA">
            <w:pPr>
              <w:pStyle w:val="TableText"/>
              <w:spacing w:before="40" w:after="40"/>
              <w:jc w:val="right"/>
              <w:rPr>
                <w:rFonts w:cs="Calibri"/>
              </w:rPr>
            </w:pPr>
            <w:r w:rsidRPr="009E06AA">
              <w:rPr>
                <w:rFonts w:cs="Calibri"/>
              </w:rPr>
              <w:t>0.21</w:t>
            </w:r>
          </w:p>
        </w:tc>
        <w:tc>
          <w:tcPr>
            <w:tcW w:w="1038" w:type="pct"/>
            <w:gridSpan w:val="2"/>
          </w:tcPr>
          <w:p w14:paraId="34BEBE5C" w14:textId="77777777" w:rsidR="007523B8" w:rsidRPr="009E06AA" w:rsidRDefault="007523B8" w:rsidP="008E63BA">
            <w:pPr>
              <w:pStyle w:val="TableText"/>
              <w:spacing w:before="40" w:after="40"/>
              <w:jc w:val="right"/>
              <w:rPr>
                <w:rFonts w:cs="Calibri"/>
              </w:rPr>
            </w:pPr>
            <w:r w:rsidRPr="009E06AA">
              <w:rPr>
                <w:rFonts w:cs="Calibri"/>
              </w:rPr>
              <w:t>0.24</w:t>
            </w:r>
          </w:p>
        </w:tc>
      </w:tr>
      <w:tr w:rsidR="007523B8" w:rsidRPr="009E06AA" w14:paraId="76AEFA6F" w14:textId="77777777" w:rsidTr="00B55F24">
        <w:tc>
          <w:tcPr>
            <w:tcW w:w="1769" w:type="pct"/>
          </w:tcPr>
          <w:p w14:paraId="649AD10C" w14:textId="77777777" w:rsidR="007523B8" w:rsidRPr="009E06AA" w:rsidRDefault="007523B8" w:rsidP="00B55F24">
            <w:pPr>
              <w:pStyle w:val="TableText"/>
              <w:spacing w:before="50" w:after="50"/>
              <w:rPr>
                <w:rFonts w:cs="Calibri"/>
              </w:rPr>
            </w:pPr>
            <w:r w:rsidRPr="009E06AA">
              <w:rPr>
                <w:rFonts w:cs="Calibri"/>
              </w:rPr>
              <w:t>New Zealand-specific IEF 2022 value</w:t>
            </w:r>
          </w:p>
        </w:tc>
        <w:tc>
          <w:tcPr>
            <w:tcW w:w="1096" w:type="pct"/>
          </w:tcPr>
          <w:p w14:paraId="22529F0A" w14:textId="77777777" w:rsidR="007523B8" w:rsidRPr="009E06AA" w:rsidRDefault="007523B8" w:rsidP="008E63BA">
            <w:pPr>
              <w:pStyle w:val="TableText"/>
              <w:spacing w:before="50" w:after="50"/>
              <w:jc w:val="right"/>
              <w:rPr>
                <w:rFonts w:cs="Calibri"/>
              </w:rPr>
            </w:pPr>
            <w:r w:rsidRPr="009E06AA">
              <w:rPr>
                <w:rFonts w:cs="Calibri"/>
              </w:rPr>
              <w:t>0.1</w:t>
            </w:r>
          </w:p>
        </w:tc>
        <w:tc>
          <w:tcPr>
            <w:tcW w:w="1097" w:type="pct"/>
          </w:tcPr>
          <w:p w14:paraId="56AC08C4" w14:textId="77777777" w:rsidR="007523B8" w:rsidRPr="009E06AA" w:rsidRDefault="007523B8" w:rsidP="008E63BA">
            <w:pPr>
              <w:pStyle w:val="TableText"/>
              <w:spacing w:before="50" w:after="50"/>
              <w:jc w:val="right"/>
              <w:rPr>
                <w:rFonts w:cs="Calibri"/>
              </w:rPr>
            </w:pPr>
            <w:r w:rsidRPr="009E06AA">
              <w:rPr>
                <w:rFonts w:cs="Calibri"/>
              </w:rPr>
              <w:t>0.1</w:t>
            </w:r>
          </w:p>
        </w:tc>
        <w:tc>
          <w:tcPr>
            <w:tcW w:w="1038" w:type="pct"/>
            <w:gridSpan w:val="2"/>
          </w:tcPr>
          <w:p w14:paraId="20D921A5" w14:textId="77777777" w:rsidR="007523B8" w:rsidRPr="009E06AA" w:rsidRDefault="007523B8" w:rsidP="008E63BA">
            <w:pPr>
              <w:pStyle w:val="TableText"/>
              <w:spacing w:before="50" w:after="0"/>
              <w:jc w:val="right"/>
              <w:rPr>
                <w:rFonts w:cs="Calibri"/>
              </w:rPr>
            </w:pPr>
            <w:r w:rsidRPr="009E06AA">
              <w:rPr>
                <w:rFonts w:cs="Calibri"/>
              </w:rPr>
              <w:t>0.10 (Cropland)</w:t>
            </w:r>
          </w:p>
          <w:p w14:paraId="44EC73A2" w14:textId="77777777" w:rsidR="007523B8" w:rsidRPr="009E06AA" w:rsidRDefault="007523B8" w:rsidP="008E63BA">
            <w:pPr>
              <w:pStyle w:val="TableText"/>
              <w:spacing w:before="50" w:after="0"/>
              <w:jc w:val="right"/>
              <w:rPr>
                <w:rFonts w:cs="Calibri"/>
              </w:rPr>
            </w:pPr>
            <w:r w:rsidRPr="009E06AA">
              <w:rPr>
                <w:rFonts w:cs="Calibri"/>
              </w:rPr>
              <w:t>0.08 (Grassland)</w:t>
            </w:r>
          </w:p>
          <w:p w14:paraId="3E1CECA3" w14:textId="77777777" w:rsidR="007523B8" w:rsidRPr="009E06AA" w:rsidRDefault="007523B8" w:rsidP="008E63BA">
            <w:pPr>
              <w:pStyle w:val="TableText"/>
              <w:spacing w:before="50" w:after="40"/>
              <w:jc w:val="right"/>
              <w:rPr>
                <w:rFonts w:cs="Calibri"/>
              </w:rPr>
            </w:pPr>
            <w:r w:rsidRPr="009E06AA">
              <w:rPr>
                <w:rFonts w:cs="Calibri"/>
              </w:rPr>
              <w:t>0.082 (N Fert)</w:t>
            </w:r>
          </w:p>
        </w:tc>
      </w:tr>
    </w:tbl>
    <w:p w14:paraId="31CA70A2" w14:textId="77777777" w:rsidR="007523B8" w:rsidRPr="009E06AA" w:rsidRDefault="007523B8" w:rsidP="007523B8">
      <w:pPr>
        <w:pStyle w:val="Source"/>
      </w:pPr>
      <w:r w:rsidRPr="009E06AA">
        <w:t xml:space="preserve">Source: </w:t>
      </w:r>
      <w:r w:rsidRPr="009E06AA">
        <w:tab/>
        <w:t>UNFCCC (</w:t>
      </w:r>
      <w:hyperlink r:id="rId112" w:history="1">
        <w:r w:rsidRPr="009E06AA">
          <w:rPr>
            <w:rStyle w:val="Hyperlink"/>
          </w:rPr>
          <w:t>https://unfccc.int/documents/195780</w:t>
        </w:r>
      </w:hyperlink>
      <w:r w:rsidRPr="009E06AA">
        <w:t xml:space="preserve">) </w:t>
      </w:r>
    </w:p>
    <w:p w14:paraId="3E4FB784" w14:textId="77777777" w:rsidR="007523B8" w:rsidRPr="009E06AA" w:rsidRDefault="007523B8" w:rsidP="007523B8">
      <w:pPr>
        <w:pStyle w:val="Heading3"/>
      </w:pPr>
      <w:bookmarkStart w:id="1428" w:name="_Toc139253937"/>
      <w:bookmarkStart w:id="1429" w:name="_Toc32570671"/>
      <w:r w:rsidRPr="009E06AA">
        <w:t>5.5.5</w:t>
      </w:r>
      <w:r w:rsidRPr="009E06AA">
        <w:tab/>
        <w:t>Category-specific recalculations</w:t>
      </w:r>
      <w:bookmarkEnd w:id="1428"/>
      <w:bookmarkEnd w:id="1429"/>
    </w:p>
    <w:p w14:paraId="1340136E" w14:textId="77777777" w:rsidR="007523B8" w:rsidRPr="009E06AA" w:rsidRDefault="007523B8" w:rsidP="007523B8">
      <w:pPr>
        <w:pStyle w:val="BodyText"/>
        <w:spacing w:before="100" w:after="100"/>
        <w:rPr>
          <w:color w:val="000000"/>
          <w:shd w:val="clear" w:color="auto" w:fill="FFFFFF"/>
        </w:rPr>
      </w:pPr>
      <w:r w:rsidRPr="009E06AA">
        <w:t xml:space="preserve">Emissions estimates in the </w:t>
      </w:r>
      <w:r w:rsidRPr="009E06AA">
        <w:rPr>
          <w:i/>
        </w:rPr>
        <w:t xml:space="preserve">Agricultural </w:t>
      </w:r>
      <w:r w:rsidRPr="009E06AA">
        <w:rPr>
          <w:i/>
          <w:iCs/>
        </w:rPr>
        <w:t>soils</w:t>
      </w:r>
      <w:r w:rsidRPr="009E06AA">
        <w:t xml:space="preserve"> category reported in the 2024 submission have been affected by</w:t>
      </w:r>
      <w:r w:rsidRPr="009E06AA">
        <w:rPr>
          <w:rFonts w:cs="Calibri"/>
          <w:color w:val="000000"/>
          <w:shd w:val="clear" w:color="auto" w:fill="FFFFFF"/>
        </w:rPr>
        <w:t xml:space="preserve"> </w:t>
      </w:r>
      <w:r w:rsidRPr="009E06AA">
        <w:rPr>
          <w:color w:val="000000"/>
          <w:shd w:val="clear" w:color="auto" w:fill="FFFFFF"/>
        </w:rPr>
        <w:t xml:space="preserve">methodological </w:t>
      </w:r>
      <w:bookmarkStart w:id="1430" w:name="_Hlk91059730"/>
      <w:r w:rsidRPr="009E06AA">
        <w:rPr>
          <w:color w:val="000000"/>
          <w:shd w:val="clear" w:color="auto" w:fill="FFFFFF"/>
        </w:rPr>
        <w:t>improvements</w:t>
      </w:r>
      <w:r w:rsidRPr="009E06AA">
        <w:rPr>
          <w:rFonts w:cs="Calibri"/>
          <w:color w:val="000000"/>
          <w:shd w:val="clear" w:color="auto" w:fill="FFFFFF"/>
        </w:rPr>
        <w:t xml:space="preserve"> to: (i) </w:t>
      </w:r>
      <w:r w:rsidRPr="009E06AA">
        <w:rPr>
          <w:rFonts w:cs="Arial"/>
        </w:rPr>
        <w:t>estimates of within-year non-dairy cattle population and liveweight change</w:t>
      </w:r>
      <w:r w:rsidRPr="009E06AA">
        <w:rPr>
          <w:rFonts w:cs="Calibri"/>
          <w:color w:val="000000"/>
          <w:shd w:val="clear" w:color="auto" w:fill="FFFFFF"/>
        </w:rPr>
        <w:t xml:space="preserve">, (ii) the proportion of lambs held over to a second slaughter date, (iii) migration of the </w:t>
      </w:r>
      <w:r w:rsidRPr="009E06AA">
        <w:rPr>
          <w:color w:val="000000"/>
          <w:shd w:val="clear" w:color="auto" w:fill="FFFFFF"/>
        </w:rPr>
        <w:t>model</w:t>
      </w:r>
      <w:r w:rsidRPr="009E06AA">
        <w:rPr>
          <w:rFonts w:cs="Calibri"/>
          <w:color w:val="000000"/>
          <w:shd w:val="clear" w:color="auto" w:fill="FFFFFF"/>
        </w:rPr>
        <w:t xml:space="preserve"> implementation from Excel to R, and (iv) error corrections. </w:t>
      </w:r>
      <w:r w:rsidRPr="009E06AA">
        <w:rPr>
          <w:color w:val="000000"/>
          <w:shd w:val="clear" w:color="auto" w:fill="FFFFFF"/>
        </w:rPr>
        <w:t xml:space="preserve">For more </w:t>
      </w:r>
      <w:r w:rsidRPr="009E06AA">
        <w:rPr>
          <w:rFonts w:cs="Calibri"/>
          <w:color w:val="000000"/>
          <w:shd w:val="clear" w:color="auto" w:fill="FFFFFF"/>
        </w:rPr>
        <w:t>detail</w:t>
      </w:r>
      <w:r w:rsidRPr="009E06AA">
        <w:rPr>
          <w:color w:val="000000"/>
          <w:shd w:val="clear" w:color="auto" w:fill="FFFFFF"/>
        </w:rPr>
        <w:t xml:space="preserve"> on </w:t>
      </w:r>
      <w:r w:rsidRPr="009E06AA">
        <w:rPr>
          <w:rFonts w:cs="Calibri"/>
          <w:color w:val="000000"/>
          <w:shd w:val="clear" w:color="auto" w:fill="FFFFFF"/>
        </w:rPr>
        <w:t>these changes,</w:t>
      </w:r>
      <w:r w:rsidRPr="009E06AA">
        <w:rPr>
          <w:color w:val="000000"/>
          <w:shd w:val="clear" w:color="auto" w:fill="FFFFFF"/>
        </w:rPr>
        <w:t xml:space="preserve"> see section </w:t>
      </w:r>
      <w:r w:rsidRPr="009E06AA">
        <w:rPr>
          <w:rFonts w:cs="Calibri"/>
          <w:color w:val="000000"/>
          <w:shd w:val="clear" w:color="auto" w:fill="FFFFFF"/>
        </w:rPr>
        <w:t xml:space="preserve">5.2.5. </w:t>
      </w:r>
    </w:p>
    <w:bookmarkEnd w:id="1430"/>
    <w:p w14:paraId="1C361996" w14:textId="77777777" w:rsidR="007523B8" w:rsidRPr="009E06AA" w:rsidRDefault="007523B8" w:rsidP="007523B8">
      <w:pPr>
        <w:pStyle w:val="BodyText"/>
        <w:spacing w:before="100" w:after="100"/>
      </w:pPr>
      <w:r w:rsidRPr="009E06AA">
        <w:t xml:space="preserve">The implementation of the 2024 </w:t>
      </w:r>
      <w:r w:rsidRPr="009E06AA">
        <w:rPr>
          <w:rFonts w:cs="Calibri"/>
          <w:color w:val="000000"/>
          <w:shd w:val="clear" w:color="auto" w:fill="FFFFFF"/>
        </w:rPr>
        <w:t xml:space="preserve">methodological improvements to </w:t>
      </w:r>
      <w:r w:rsidRPr="009E06AA">
        <w:rPr>
          <w:rFonts w:cs="Arial"/>
        </w:rPr>
        <w:t>estimates of within-year non-dairy cattle population and liveweight change</w:t>
      </w:r>
      <w:r w:rsidRPr="009E06AA">
        <w:t xml:space="preserve"> caused estimated emissions from the</w:t>
      </w:r>
      <w:r w:rsidRPr="009E06AA">
        <w:rPr>
          <w:i/>
        </w:rPr>
        <w:t xml:space="preserve"> Agricultural </w:t>
      </w:r>
      <w:r w:rsidRPr="009E06AA">
        <w:rPr>
          <w:i/>
          <w:iCs/>
        </w:rPr>
        <w:t>soils</w:t>
      </w:r>
      <w:r w:rsidRPr="009E06AA">
        <w:t xml:space="preserve"> category to increase by 2.5 per cent (116.0 kt CO</w:t>
      </w:r>
      <w:r w:rsidRPr="009E06AA">
        <w:rPr>
          <w:vertAlign w:val="subscript"/>
        </w:rPr>
        <w:t>2</w:t>
      </w:r>
      <w:r w:rsidRPr="009E06AA">
        <w:t>-e) in 1990 and 2.0 per cent (130.8 kt CO</w:t>
      </w:r>
      <w:r w:rsidRPr="009E06AA">
        <w:rPr>
          <w:vertAlign w:val="subscript"/>
        </w:rPr>
        <w:t>2</w:t>
      </w:r>
      <w:r w:rsidRPr="009E06AA">
        <w:t>-e) in 2021 (see table 5.5.14).</w:t>
      </w:r>
    </w:p>
    <w:p w14:paraId="628052ED" w14:textId="77777777" w:rsidR="007523B8" w:rsidRPr="009E06AA" w:rsidRDefault="007523B8" w:rsidP="007523B8">
      <w:pPr>
        <w:pStyle w:val="BodyText"/>
        <w:spacing w:before="100" w:after="100"/>
      </w:pPr>
      <w:r w:rsidRPr="009E06AA">
        <w:t xml:space="preserve">Changing the proportion of lambs held over to second slaughter in the 2024 submission caused no change to estimated emissions from the </w:t>
      </w:r>
      <w:r w:rsidRPr="009E06AA">
        <w:rPr>
          <w:i/>
        </w:rPr>
        <w:t xml:space="preserve">Agricultural </w:t>
      </w:r>
      <w:r w:rsidRPr="009E06AA">
        <w:rPr>
          <w:i/>
          <w:iCs/>
        </w:rPr>
        <w:t>soils</w:t>
      </w:r>
      <w:r w:rsidRPr="009E06AA">
        <w:t xml:space="preserve"> category in 1990 and caused a minor increase of 4.5 kt CO</w:t>
      </w:r>
      <w:r w:rsidRPr="009E06AA">
        <w:rPr>
          <w:vertAlign w:val="subscript"/>
        </w:rPr>
        <w:t>2</w:t>
      </w:r>
      <w:r w:rsidRPr="009E06AA">
        <w:t>-e in 2021 (see table 5.5.15).</w:t>
      </w:r>
    </w:p>
    <w:p w14:paraId="6FFA3A37" w14:textId="77777777" w:rsidR="007523B8" w:rsidRPr="009E06AA" w:rsidRDefault="007523B8" w:rsidP="007523B8">
      <w:pPr>
        <w:pStyle w:val="BodyText"/>
        <w:spacing w:before="100" w:after="100"/>
      </w:pPr>
      <w:r w:rsidRPr="009E06AA">
        <w:t xml:space="preserve">Migration from the Excel-based system to the R-based system in the 2024 submission caused estimated emissions from the </w:t>
      </w:r>
      <w:r w:rsidRPr="009E06AA">
        <w:rPr>
          <w:i/>
        </w:rPr>
        <w:t xml:space="preserve">Agricultural </w:t>
      </w:r>
      <w:r w:rsidRPr="009E06AA">
        <w:rPr>
          <w:i/>
          <w:iCs/>
        </w:rPr>
        <w:t>soils</w:t>
      </w:r>
      <w:r w:rsidRPr="009E06AA">
        <w:t xml:space="preserve"> category to decrease by 1.3 per cent (-60.2 kt CO</w:t>
      </w:r>
      <w:r w:rsidRPr="009E06AA">
        <w:rPr>
          <w:vertAlign w:val="subscript"/>
        </w:rPr>
        <w:t>2</w:t>
      </w:r>
      <w:r w:rsidRPr="009E06AA">
        <w:t>-e) in 1990 and decrease by 0.9 per cent (-57.0 kt CO</w:t>
      </w:r>
      <w:r w:rsidRPr="009E06AA">
        <w:rPr>
          <w:vertAlign w:val="subscript"/>
        </w:rPr>
        <w:t>2</w:t>
      </w:r>
      <w:r w:rsidRPr="009E06AA">
        <w:t>-e) in 2021 (see table 5.5.16).</w:t>
      </w:r>
    </w:p>
    <w:p w14:paraId="6D98544D" w14:textId="77777777" w:rsidR="007523B8" w:rsidRPr="009E06AA" w:rsidRDefault="007523B8" w:rsidP="007523B8">
      <w:pPr>
        <w:pStyle w:val="BodyText"/>
        <w:spacing w:before="100" w:after="100"/>
      </w:pPr>
      <w:r w:rsidRPr="009E06AA">
        <w:t xml:space="preserve">The implementation of the 2024 </w:t>
      </w:r>
      <w:r w:rsidRPr="009E06AA">
        <w:rPr>
          <w:rFonts w:cs="Calibri"/>
          <w:color w:val="000000"/>
          <w:shd w:val="clear" w:color="auto" w:fill="FFFFFF"/>
        </w:rPr>
        <w:t>corrections</w:t>
      </w:r>
      <w:r w:rsidRPr="009E06AA">
        <w:t xml:space="preserve"> caused estimated emissions from the </w:t>
      </w:r>
      <w:r w:rsidRPr="009E06AA">
        <w:rPr>
          <w:i/>
        </w:rPr>
        <w:t xml:space="preserve">Agricultural </w:t>
      </w:r>
      <w:r w:rsidRPr="009E06AA">
        <w:rPr>
          <w:i/>
          <w:iCs/>
        </w:rPr>
        <w:t>soils</w:t>
      </w:r>
      <w:r w:rsidRPr="009E06AA">
        <w:t xml:space="preserve"> category to decrease by 0.5 per cent (-24.6 kt CO</w:t>
      </w:r>
      <w:r w:rsidRPr="009E06AA">
        <w:rPr>
          <w:vertAlign w:val="subscript"/>
        </w:rPr>
        <w:t>2</w:t>
      </w:r>
      <w:r w:rsidRPr="009E06AA">
        <w:t>-e) in 1990 and increase by 1.8 per cent (114.0 kt CO</w:t>
      </w:r>
      <w:r w:rsidRPr="009E06AA">
        <w:rPr>
          <w:vertAlign w:val="subscript"/>
        </w:rPr>
        <w:t>2</w:t>
      </w:r>
      <w:r w:rsidRPr="009E06AA">
        <w:t>-e) in 2021 (see table 5.5.17).</w:t>
      </w:r>
    </w:p>
    <w:p w14:paraId="07E705C9" w14:textId="77777777" w:rsidR="007523B8" w:rsidRPr="009E06AA" w:rsidRDefault="007523B8" w:rsidP="007523B8">
      <w:pPr>
        <w:pStyle w:val="Table"/>
        <w:rPr>
          <w:rFonts w:cs="Calibri"/>
        </w:rPr>
      </w:pPr>
      <w:bookmarkStart w:id="1431" w:name="_Toc95574093"/>
      <w:bookmarkStart w:id="1432" w:name="_Toc127458281"/>
      <w:bookmarkStart w:id="1433" w:name="_Toc131591377"/>
      <w:bookmarkStart w:id="1434" w:name="_Toc127458280"/>
      <w:bookmarkStart w:id="1435" w:name="_Toc131591376"/>
      <w:bookmarkStart w:id="1436" w:name="_Toc160114470"/>
      <w:bookmarkStart w:id="1437" w:name="_Toc164153866"/>
      <w:bookmarkStart w:id="1438" w:name="_Toc32570672"/>
      <w:r w:rsidRPr="009E06AA">
        <w:rPr>
          <w:rFonts w:cs="Calibri"/>
        </w:rPr>
        <w:t>Table 5.5.14</w:t>
      </w:r>
      <w:r w:rsidRPr="009E06AA">
        <w:rPr>
          <w:rFonts w:cs="Calibri"/>
        </w:rPr>
        <w:tab/>
      </w:r>
      <w:bookmarkEnd w:id="1431"/>
      <w:r w:rsidRPr="009E06AA">
        <w:rPr>
          <w:rFonts w:cs="Calibri"/>
        </w:rPr>
        <w:t>Comparison of the previous and improved non-dairy cattle population model on emissions from </w:t>
      </w:r>
      <w:r w:rsidRPr="009E06AA">
        <w:rPr>
          <w:rFonts w:cs="Calibri"/>
          <w:i/>
          <w:iCs/>
        </w:rPr>
        <w:t>Agricultural soils</w:t>
      </w:r>
      <w:bookmarkEnd w:id="1432"/>
      <w:bookmarkEnd w:id="1433"/>
      <w:bookmarkEnd w:id="1434"/>
      <w:bookmarkEnd w:id="1435"/>
      <w:bookmarkEnd w:id="1436"/>
      <w:bookmarkEnd w:id="1437"/>
      <w:r w:rsidRPr="009E06AA">
        <w:rPr>
          <w:rFonts w:cs="Calibri"/>
          <w:i/>
          <w:iCs/>
        </w:rPr>
        <w:t xml:space="preserve"> </w:t>
      </w:r>
    </w:p>
    <w:tbl>
      <w:tblPr>
        <w:tblW w:w="8505" w:type="dxa"/>
        <w:tblBorders>
          <w:top w:val="single" w:sz="4" w:space="0" w:color="1B556B" w:themeColor="text2"/>
          <w:bottom w:val="single" w:sz="4" w:space="0" w:color="1B556B" w:themeColor="text2"/>
          <w:insideH w:val="single" w:sz="4" w:space="0" w:color="1B556B" w:themeColor="text2"/>
        </w:tblBorders>
        <w:tblCellMar>
          <w:left w:w="85" w:type="dxa"/>
          <w:right w:w="85" w:type="dxa"/>
        </w:tblCellMar>
        <w:tblLook w:val="04A0" w:firstRow="1" w:lastRow="0" w:firstColumn="1" w:lastColumn="0" w:noHBand="0" w:noVBand="1"/>
      </w:tblPr>
      <w:tblGrid>
        <w:gridCol w:w="1559"/>
        <w:gridCol w:w="2325"/>
        <w:gridCol w:w="680"/>
        <w:gridCol w:w="680"/>
        <w:gridCol w:w="1560"/>
        <w:gridCol w:w="1701"/>
      </w:tblGrid>
      <w:tr w:rsidR="007523B8" w:rsidRPr="009E06AA" w14:paraId="3CFD52DD" w14:textId="77777777" w:rsidTr="00B55F24">
        <w:trPr>
          <w:tblHeader/>
        </w:trPr>
        <w:tc>
          <w:tcPr>
            <w:tcW w:w="1559" w:type="dxa"/>
            <w:shd w:val="clear" w:color="000000" w:fill="1B556B"/>
            <w:vAlign w:val="bottom"/>
            <w:hideMark/>
          </w:tcPr>
          <w:p w14:paraId="44D5B494" w14:textId="77777777" w:rsidR="007523B8" w:rsidRPr="009E06AA" w:rsidRDefault="007523B8" w:rsidP="00B55F24">
            <w:pPr>
              <w:pStyle w:val="TableText"/>
              <w:spacing w:before="40" w:after="40"/>
              <w:rPr>
                <w:color w:val="FFFFFF" w:themeColor="background1"/>
              </w:rPr>
            </w:pPr>
            <w:r w:rsidRPr="009E06AA">
              <w:rPr>
                <w:b/>
                <w:color w:val="FFFFFF" w:themeColor="background1"/>
              </w:rPr>
              <w:t>Emissions (kt CO</w:t>
            </w:r>
            <w:r w:rsidRPr="009E06AA">
              <w:rPr>
                <w:b/>
                <w:color w:val="FFFFFF" w:themeColor="background1"/>
                <w:vertAlign w:val="subscript"/>
              </w:rPr>
              <w:t>2</w:t>
            </w:r>
            <w:r w:rsidRPr="009E06AA">
              <w:rPr>
                <w:b/>
                <w:color w:val="FFFFFF" w:themeColor="background1"/>
              </w:rPr>
              <w:t>-e)</w:t>
            </w:r>
          </w:p>
        </w:tc>
        <w:tc>
          <w:tcPr>
            <w:tcW w:w="2325" w:type="dxa"/>
            <w:shd w:val="clear" w:color="000000" w:fill="1B556B"/>
            <w:vAlign w:val="bottom"/>
            <w:hideMark/>
          </w:tcPr>
          <w:p w14:paraId="557D7352" w14:textId="77777777" w:rsidR="007523B8" w:rsidRPr="009E06AA" w:rsidRDefault="007523B8" w:rsidP="00B55F24">
            <w:pPr>
              <w:pStyle w:val="TableText"/>
              <w:spacing w:before="40" w:after="40"/>
              <w:rPr>
                <w:color w:val="FFFFFF" w:themeColor="background1"/>
              </w:rPr>
            </w:pPr>
            <w:r w:rsidRPr="009E06AA">
              <w:rPr>
                <w:rFonts w:cs="Calibri"/>
                <w:color w:val="000000"/>
                <w:sz w:val="20"/>
                <w:szCs w:val="20"/>
              </w:rPr>
              <w:t> </w:t>
            </w:r>
          </w:p>
        </w:tc>
        <w:tc>
          <w:tcPr>
            <w:tcW w:w="680" w:type="dxa"/>
            <w:shd w:val="clear" w:color="000000" w:fill="1B556B"/>
            <w:vAlign w:val="bottom"/>
            <w:hideMark/>
          </w:tcPr>
          <w:p w14:paraId="48BDFDA9" w14:textId="77777777" w:rsidR="007523B8" w:rsidRPr="009E06AA" w:rsidRDefault="007523B8" w:rsidP="008E63BA">
            <w:pPr>
              <w:pStyle w:val="TableText"/>
              <w:spacing w:before="40" w:after="40"/>
              <w:jc w:val="right"/>
              <w:rPr>
                <w:color w:val="FFFFFF" w:themeColor="background1"/>
              </w:rPr>
            </w:pPr>
            <w:r w:rsidRPr="009E06AA">
              <w:rPr>
                <w:b/>
                <w:color w:val="FFFFFF" w:themeColor="background1"/>
              </w:rPr>
              <w:t>1990</w:t>
            </w:r>
          </w:p>
        </w:tc>
        <w:tc>
          <w:tcPr>
            <w:tcW w:w="680" w:type="dxa"/>
            <w:shd w:val="clear" w:color="000000" w:fill="1B556B"/>
            <w:vAlign w:val="bottom"/>
            <w:hideMark/>
          </w:tcPr>
          <w:p w14:paraId="3BB91350" w14:textId="77777777" w:rsidR="007523B8" w:rsidRPr="009E06AA" w:rsidRDefault="007523B8" w:rsidP="008E63BA">
            <w:pPr>
              <w:pStyle w:val="TableText"/>
              <w:spacing w:before="40" w:after="40"/>
              <w:jc w:val="right"/>
              <w:rPr>
                <w:color w:val="FFFFFF" w:themeColor="background1"/>
              </w:rPr>
            </w:pPr>
            <w:r w:rsidRPr="009E06AA">
              <w:rPr>
                <w:b/>
                <w:color w:val="FFFFFF" w:themeColor="background1"/>
              </w:rPr>
              <w:t>2021</w:t>
            </w:r>
          </w:p>
        </w:tc>
        <w:tc>
          <w:tcPr>
            <w:tcW w:w="1560" w:type="dxa"/>
            <w:shd w:val="clear" w:color="000000" w:fill="1B556B"/>
            <w:vAlign w:val="bottom"/>
            <w:hideMark/>
          </w:tcPr>
          <w:p w14:paraId="4626B283" w14:textId="77777777" w:rsidR="007523B8" w:rsidRPr="009E06AA" w:rsidRDefault="007523B8" w:rsidP="008E63BA">
            <w:pPr>
              <w:pStyle w:val="TableText"/>
              <w:spacing w:before="40" w:after="40"/>
              <w:jc w:val="right"/>
              <w:rPr>
                <w:color w:val="FFFFFF" w:themeColor="background1"/>
              </w:rPr>
            </w:pPr>
            <w:r w:rsidRPr="009E06AA">
              <w:rPr>
                <w:b/>
                <w:color w:val="FFFFFF" w:themeColor="background1"/>
              </w:rPr>
              <w:t xml:space="preserve">Change in emission outputs between 1990 and </w:t>
            </w:r>
            <w:r w:rsidRPr="009E06AA">
              <w:rPr>
                <w:rFonts w:cs="Calibri"/>
                <w:b/>
                <w:bCs/>
                <w:color w:val="FFFFFF" w:themeColor="background1"/>
                <w:szCs w:val="16"/>
              </w:rPr>
              <w:t>2021</w:t>
            </w:r>
            <w:r w:rsidRPr="009E06AA">
              <w:rPr>
                <w:rFonts w:cs="Calibri"/>
                <w:b/>
                <w:color w:val="FFFFFF" w:themeColor="background1"/>
                <w:szCs w:val="16"/>
              </w:rPr>
              <w:t xml:space="preserve"> </w:t>
            </w:r>
            <w:r w:rsidRPr="009E06AA">
              <w:rPr>
                <w:b/>
                <w:color w:val="FFFFFF" w:themeColor="background1"/>
              </w:rPr>
              <w:t>(kt CO</w:t>
            </w:r>
            <w:r w:rsidRPr="009E06AA">
              <w:rPr>
                <w:b/>
                <w:color w:val="FFFFFF"/>
                <w:vertAlign w:val="subscript"/>
              </w:rPr>
              <w:t>2</w:t>
            </w:r>
            <w:r w:rsidRPr="009E06AA">
              <w:rPr>
                <w:b/>
                <w:color w:val="FFFFFF"/>
              </w:rPr>
              <w:t>-e)</w:t>
            </w:r>
          </w:p>
        </w:tc>
        <w:tc>
          <w:tcPr>
            <w:tcW w:w="1701" w:type="dxa"/>
            <w:shd w:val="clear" w:color="000000" w:fill="1B556B"/>
            <w:vAlign w:val="bottom"/>
            <w:hideMark/>
          </w:tcPr>
          <w:p w14:paraId="559B2C3F" w14:textId="77777777" w:rsidR="007523B8" w:rsidRPr="009E06AA" w:rsidRDefault="007523B8" w:rsidP="008E63BA">
            <w:pPr>
              <w:pStyle w:val="TableText"/>
              <w:spacing w:before="40" w:after="40"/>
              <w:jc w:val="right"/>
              <w:rPr>
                <w:color w:val="FFFFFF" w:themeColor="background1"/>
              </w:rPr>
            </w:pPr>
            <w:r w:rsidRPr="009E06AA">
              <w:rPr>
                <w:b/>
                <w:color w:val="FFFFFF" w:themeColor="background1"/>
              </w:rPr>
              <w:t xml:space="preserve">Percentage change in emission outputs between 1990 and </w:t>
            </w:r>
            <w:r w:rsidRPr="009E06AA">
              <w:rPr>
                <w:rFonts w:cs="Calibri"/>
                <w:b/>
                <w:bCs/>
                <w:color w:val="FFFFFF" w:themeColor="background1"/>
                <w:szCs w:val="16"/>
              </w:rPr>
              <w:t>2021</w:t>
            </w:r>
            <w:r w:rsidRPr="009E06AA">
              <w:rPr>
                <w:rFonts w:cs="Calibri"/>
                <w:b/>
                <w:color w:val="FFFFFF" w:themeColor="background1"/>
                <w:szCs w:val="16"/>
              </w:rPr>
              <w:t xml:space="preserve"> (%)</w:t>
            </w:r>
          </w:p>
        </w:tc>
      </w:tr>
      <w:tr w:rsidR="007523B8" w:rsidRPr="009E06AA" w14:paraId="18BC381A" w14:textId="77777777" w:rsidTr="00B55F24">
        <w:tc>
          <w:tcPr>
            <w:tcW w:w="1559" w:type="dxa"/>
            <w:vMerge w:val="restart"/>
            <w:shd w:val="clear" w:color="auto" w:fill="auto"/>
            <w:vAlign w:val="center"/>
            <w:hideMark/>
          </w:tcPr>
          <w:p w14:paraId="5D60CA4A" w14:textId="77777777" w:rsidR="007523B8" w:rsidRPr="009E06AA" w:rsidRDefault="007523B8" w:rsidP="00B55F24">
            <w:pPr>
              <w:pStyle w:val="TableText"/>
              <w:spacing w:before="40" w:after="40"/>
              <w:rPr>
                <w:color w:val="000000"/>
              </w:rPr>
            </w:pPr>
            <w:r w:rsidRPr="009E06AA">
              <w:rPr>
                <w:color w:val="000000"/>
              </w:rPr>
              <w:t xml:space="preserve">Total emissions from </w:t>
            </w:r>
            <w:r w:rsidRPr="009E06AA">
              <w:rPr>
                <w:i/>
                <w:color w:val="000000"/>
              </w:rPr>
              <w:t>Agricultural soils</w:t>
            </w:r>
            <w:r w:rsidRPr="009E06AA">
              <w:rPr>
                <w:color w:val="000000"/>
              </w:rPr>
              <w:t xml:space="preserve"> (kt CO</w:t>
            </w:r>
            <w:r w:rsidRPr="009E06AA">
              <w:rPr>
                <w:color w:val="000000"/>
                <w:vertAlign w:val="subscript"/>
              </w:rPr>
              <w:t>2</w:t>
            </w:r>
            <w:r w:rsidRPr="009E06AA">
              <w:rPr>
                <w:color w:val="000000"/>
              </w:rPr>
              <w:t>-e)</w:t>
            </w:r>
          </w:p>
        </w:tc>
        <w:tc>
          <w:tcPr>
            <w:tcW w:w="2325" w:type="dxa"/>
            <w:shd w:val="clear" w:color="auto" w:fill="auto"/>
            <w:vAlign w:val="center"/>
            <w:hideMark/>
          </w:tcPr>
          <w:p w14:paraId="653D6933" w14:textId="77777777" w:rsidR="007523B8" w:rsidRPr="009E06AA" w:rsidRDefault="007523B8" w:rsidP="00B55F24">
            <w:pPr>
              <w:pStyle w:val="TableText"/>
              <w:spacing w:before="40" w:after="40"/>
              <w:rPr>
                <w:color w:val="000000"/>
              </w:rPr>
            </w:pPr>
            <w:r w:rsidRPr="009E06AA">
              <w:rPr>
                <w:color w:val="000000"/>
              </w:rPr>
              <w:t xml:space="preserve">2023 (1990–2021) emissions estimate using previous </w:t>
            </w:r>
            <w:r w:rsidRPr="009E06AA">
              <w:rPr>
                <w:rFonts w:cs="Calibri"/>
                <w:color w:val="000000"/>
                <w:szCs w:val="16"/>
              </w:rPr>
              <w:t>population and liveweight model</w:t>
            </w:r>
          </w:p>
        </w:tc>
        <w:tc>
          <w:tcPr>
            <w:tcW w:w="680" w:type="dxa"/>
            <w:shd w:val="clear" w:color="auto" w:fill="auto"/>
            <w:hideMark/>
          </w:tcPr>
          <w:p w14:paraId="7FF9AE14" w14:textId="77777777" w:rsidR="007523B8" w:rsidRPr="009E06AA" w:rsidRDefault="007523B8" w:rsidP="008E63BA">
            <w:pPr>
              <w:pStyle w:val="TableText"/>
              <w:spacing w:before="40" w:after="40"/>
              <w:jc w:val="right"/>
              <w:rPr>
                <w:color w:val="000000"/>
                <w:highlight w:val="green"/>
              </w:rPr>
            </w:pPr>
            <w:r w:rsidRPr="009E06AA">
              <w:rPr>
                <w:rFonts w:cs="Calibri"/>
                <w:color w:val="000000"/>
                <w:szCs w:val="16"/>
              </w:rPr>
              <w:t>4,639.1</w:t>
            </w:r>
          </w:p>
        </w:tc>
        <w:tc>
          <w:tcPr>
            <w:tcW w:w="680" w:type="dxa"/>
            <w:shd w:val="clear" w:color="auto" w:fill="auto"/>
            <w:hideMark/>
          </w:tcPr>
          <w:p w14:paraId="28982C54" w14:textId="77777777" w:rsidR="007523B8" w:rsidRPr="009E06AA" w:rsidRDefault="007523B8" w:rsidP="008E63BA">
            <w:pPr>
              <w:pStyle w:val="TableText"/>
              <w:spacing w:before="40" w:after="40"/>
              <w:jc w:val="right"/>
              <w:rPr>
                <w:color w:val="000000"/>
                <w:highlight w:val="green"/>
              </w:rPr>
            </w:pPr>
            <w:r w:rsidRPr="009E06AA">
              <w:rPr>
                <w:rFonts w:cs="Calibri"/>
                <w:color w:val="000000"/>
                <w:szCs w:val="16"/>
              </w:rPr>
              <w:t>6,505.1</w:t>
            </w:r>
          </w:p>
        </w:tc>
        <w:tc>
          <w:tcPr>
            <w:tcW w:w="1560" w:type="dxa"/>
            <w:shd w:val="clear" w:color="auto" w:fill="auto"/>
            <w:hideMark/>
          </w:tcPr>
          <w:p w14:paraId="70E95E1E" w14:textId="77777777" w:rsidR="007523B8" w:rsidRPr="009E06AA" w:rsidRDefault="007523B8" w:rsidP="008E63BA">
            <w:pPr>
              <w:pStyle w:val="TableText"/>
              <w:spacing w:before="40" w:after="40"/>
              <w:jc w:val="right"/>
              <w:rPr>
                <w:color w:val="000000"/>
                <w:highlight w:val="green"/>
              </w:rPr>
            </w:pPr>
            <w:r w:rsidRPr="009E06AA">
              <w:rPr>
                <w:color w:val="000000"/>
              </w:rPr>
              <w:t>1</w:t>
            </w:r>
            <w:r w:rsidRPr="009E06AA">
              <w:rPr>
                <w:rFonts w:cs="Calibri"/>
                <w:color w:val="000000"/>
                <w:szCs w:val="16"/>
              </w:rPr>
              <w:t>,866.0</w:t>
            </w:r>
          </w:p>
        </w:tc>
        <w:tc>
          <w:tcPr>
            <w:tcW w:w="1701" w:type="dxa"/>
            <w:shd w:val="clear" w:color="auto" w:fill="auto"/>
            <w:hideMark/>
          </w:tcPr>
          <w:p w14:paraId="43CC894D" w14:textId="77777777" w:rsidR="007523B8" w:rsidRPr="009E06AA" w:rsidRDefault="007523B8" w:rsidP="008E63BA">
            <w:pPr>
              <w:pStyle w:val="TableText"/>
              <w:spacing w:before="40" w:after="40"/>
              <w:jc w:val="right"/>
              <w:rPr>
                <w:color w:val="000000"/>
                <w:highlight w:val="green"/>
              </w:rPr>
            </w:pPr>
            <w:r w:rsidRPr="009E06AA">
              <w:rPr>
                <w:rFonts w:cs="Calibri"/>
                <w:color w:val="000000"/>
                <w:szCs w:val="16"/>
              </w:rPr>
              <w:t>40.2</w:t>
            </w:r>
          </w:p>
        </w:tc>
      </w:tr>
      <w:tr w:rsidR="007523B8" w:rsidRPr="009E06AA" w14:paraId="7A7582C7" w14:textId="77777777" w:rsidTr="00B55F24">
        <w:tc>
          <w:tcPr>
            <w:tcW w:w="1559" w:type="dxa"/>
            <w:vMerge/>
            <w:vAlign w:val="center"/>
            <w:hideMark/>
          </w:tcPr>
          <w:p w14:paraId="07C0EADB" w14:textId="77777777" w:rsidR="007523B8" w:rsidRPr="009E06AA" w:rsidRDefault="007523B8" w:rsidP="00B55F24">
            <w:pPr>
              <w:pStyle w:val="TableText"/>
              <w:spacing w:before="40" w:after="40"/>
              <w:rPr>
                <w:color w:val="000000"/>
              </w:rPr>
            </w:pPr>
          </w:p>
        </w:tc>
        <w:tc>
          <w:tcPr>
            <w:tcW w:w="2325" w:type="dxa"/>
            <w:shd w:val="clear" w:color="auto" w:fill="auto"/>
            <w:vAlign w:val="center"/>
            <w:hideMark/>
          </w:tcPr>
          <w:p w14:paraId="0EFE89E3" w14:textId="77777777" w:rsidR="007523B8" w:rsidRPr="009E06AA" w:rsidRDefault="007523B8" w:rsidP="00B55F24">
            <w:pPr>
              <w:pStyle w:val="TableText"/>
              <w:spacing w:before="40" w:after="40"/>
              <w:rPr>
                <w:color w:val="000000"/>
              </w:rPr>
            </w:pPr>
            <w:r w:rsidRPr="009E06AA">
              <w:rPr>
                <w:color w:val="000000"/>
              </w:rPr>
              <w:t xml:space="preserve">2023 (1990–2021) emissions estimate using new </w:t>
            </w:r>
            <w:r w:rsidRPr="009E06AA">
              <w:rPr>
                <w:rFonts w:cs="Calibri"/>
                <w:color w:val="000000"/>
                <w:szCs w:val="16"/>
              </w:rPr>
              <w:t>population and liveweight model</w:t>
            </w:r>
          </w:p>
        </w:tc>
        <w:tc>
          <w:tcPr>
            <w:tcW w:w="680" w:type="dxa"/>
            <w:shd w:val="clear" w:color="auto" w:fill="auto"/>
            <w:hideMark/>
          </w:tcPr>
          <w:p w14:paraId="55FC7107" w14:textId="77777777" w:rsidR="007523B8" w:rsidRPr="009E06AA" w:rsidRDefault="007523B8" w:rsidP="008E63BA">
            <w:pPr>
              <w:pStyle w:val="TableText"/>
              <w:spacing w:before="40" w:after="40"/>
              <w:jc w:val="right"/>
              <w:rPr>
                <w:color w:val="000000"/>
                <w:highlight w:val="green"/>
              </w:rPr>
            </w:pPr>
            <w:r w:rsidRPr="009E06AA">
              <w:rPr>
                <w:rFonts w:cs="Calibri"/>
                <w:color w:val="000000"/>
                <w:szCs w:val="16"/>
              </w:rPr>
              <w:t>4,755.1</w:t>
            </w:r>
          </w:p>
        </w:tc>
        <w:tc>
          <w:tcPr>
            <w:tcW w:w="680" w:type="dxa"/>
            <w:shd w:val="clear" w:color="auto" w:fill="auto"/>
            <w:hideMark/>
          </w:tcPr>
          <w:p w14:paraId="5088EFC9" w14:textId="77777777" w:rsidR="007523B8" w:rsidRPr="009E06AA" w:rsidRDefault="007523B8" w:rsidP="008E63BA">
            <w:pPr>
              <w:pStyle w:val="TableText"/>
              <w:spacing w:before="40" w:after="40"/>
              <w:jc w:val="right"/>
              <w:rPr>
                <w:color w:val="000000"/>
                <w:highlight w:val="green"/>
              </w:rPr>
            </w:pPr>
            <w:r w:rsidRPr="009E06AA">
              <w:rPr>
                <w:rFonts w:cs="Calibri"/>
                <w:color w:val="000000"/>
                <w:szCs w:val="16"/>
              </w:rPr>
              <w:t>6,635.8</w:t>
            </w:r>
          </w:p>
        </w:tc>
        <w:tc>
          <w:tcPr>
            <w:tcW w:w="1560" w:type="dxa"/>
            <w:shd w:val="clear" w:color="auto" w:fill="auto"/>
            <w:hideMark/>
          </w:tcPr>
          <w:p w14:paraId="3063CE7B" w14:textId="77777777" w:rsidR="007523B8" w:rsidRPr="009E06AA" w:rsidRDefault="007523B8" w:rsidP="008E63BA">
            <w:pPr>
              <w:pStyle w:val="TableText"/>
              <w:spacing w:before="40" w:after="40"/>
              <w:jc w:val="right"/>
              <w:rPr>
                <w:color w:val="000000"/>
                <w:highlight w:val="green"/>
              </w:rPr>
            </w:pPr>
            <w:r w:rsidRPr="009E06AA">
              <w:rPr>
                <w:rFonts w:cs="Calibri"/>
                <w:color w:val="000000"/>
                <w:szCs w:val="16"/>
              </w:rPr>
              <w:t>1,880.7</w:t>
            </w:r>
          </w:p>
        </w:tc>
        <w:tc>
          <w:tcPr>
            <w:tcW w:w="1701" w:type="dxa"/>
            <w:shd w:val="clear" w:color="auto" w:fill="auto"/>
            <w:hideMark/>
          </w:tcPr>
          <w:p w14:paraId="7FF52410" w14:textId="77777777" w:rsidR="007523B8" w:rsidRPr="009E06AA" w:rsidRDefault="007523B8" w:rsidP="008E63BA">
            <w:pPr>
              <w:pStyle w:val="TableText"/>
              <w:spacing w:before="40" w:after="40"/>
              <w:jc w:val="right"/>
              <w:rPr>
                <w:color w:val="000000"/>
                <w:highlight w:val="green"/>
              </w:rPr>
            </w:pPr>
            <w:r w:rsidRPr="009E06AA">
              <w:rPr>
                <w:rFonts w:cs="Calibri"/>
                <w:color w:val="000000"/>
                <w:szCs w:val="16"/>
              </w:rPr>
              <w:t>39</w:t>
            </w:r>
            <w:r w:rsidRPr="009E06AA">
              <w:rPr>
                <w:color w:val="000000"/>
              </w:rPr>
              <w:t>.6</w:t>
            </w:r>
          </w:p>
        </w:tc>
      </w:tr>
      <w:tr w:rsidR="007523B8" w:rsidRPr="009E06AA" w14:paraId="62CAB6A4" w14:textId="77777777" w:rsidTr="00B55F24">
        <w:tc>
          <w:tcPr>
            <w:tcW w:w="1559" w:type="dxa"/>
            <w:vMerge/>
            <w:vAlign w:val="center"/>
            <w:hideMark/>
          </w:tcPr>
          <w:p w14:paraId="09270DFF" w14:textId="77777777" w:rsidR="007523B8" w:rsidRPr="009E06AA" w:rsidRDefault="007523B8" w:rsidP="00B55F24">
            <w:pPr>
              <w:pStyle w:val="TableText"/>
              <w:spacing w:before="40" w:after="40"/>
              <w:rPr>
                <w:color w:val="000000"/>
              </w:rPr>
            </w:pPr>
          </w:p>
        </w:tc>
        <w:tc>
          <w:tcPr>
            <w:tcW w:w="2325" w:type="dxa"/>
            <w:shd w:val="clear" w:color="auto" w:fill="auto"/>
            <w:vAlign w:val="center"/>
            <w:hideMark/>
          </w:tcPr>
          <w:p w14:paraId="3A50B34C" w14:textId="77777777" w:rsidR="007523B8" w:rsidRPr="009E06AA" w:rsidRDefault="007523B8" w:rsidP="00B55F24">
            <w:pPr>
              <w:pStyle w:val="TableText"/>
              <w:spacing w:before="40" w:after="40"/>
              <w:rPr>
                <w:color w:val="000000"/>
              </w:rPr>
            </w:pPr>
            <w:r w:rsidRPr="009E06AA">
              <w:rPr>
                <w:rFonts w:cs="Calibri"/>
                <w:color w:val="000000"/>
                <w:szCs w:val="16"/>
              </w:rPr>
              <w:t>Difference</w:t>
            </w:r>
            <w:r w:rsidRPr="009E06AA">
              <w:rPr>
                <w:color w:val="000000"/>
              </w:rPr>
              <w:t xml:space="preserve"> in </w:t>
            </w:r>
            <w:r w:rsidRPr="009E06AA">
              <w:rPr>
                <w:rFonts w:cs="Calibri"/>
                <w:color w:val="000000"/>
                <w:szCs w:val="16"/>
              </w:rPr>
              <w:t>emissions</w:t>
            </w:r>
            <w:r w:rsidRPr="009E06AA">
              <w:rPr>
                <w:color w:val="000000"/>
              </w:rPr>
              <w:t xml:space="preserve"> estimates compared with current inventory</w:t>
            </w:r>
            <w:r w:rsidRPr="009E06AA">
              <w:rPr>
                <w:rFonts w:cs="Calibri"/>
                <w:color w:val="000000"/>
                <w:szCs w:val="16"/>
              </w:rPr>
              <w:t> </w:t>
            </w:r>
          </w:p>
        </w:tc>
        <w:tc>
          <w:tcPr>
            <w:tcW w:w="680" w:type="dxa"/>
            <w:shd w:val="clear" w:color="auto" w:fill="auto"/>
            <w:hideMark/>
          </w:tcPr>
          <w:p w14:paraId="44FB4546" w14:textId="77777777" w:rsidR="007523B8" w:rsidRPr="009E06AA" w:rsidRDefault="007523B8" w:rsidP="008E63BA">
            <w:pPr>
              <w:pStyle w:val="TableText"/>
              <w:spacing w:before="40" w:after="40"/>
              <w:jc w:val="right"/>
              <w:rPr>
                <w:color w:val="000000"/>
                <w:highlight w:val="green"/>
              </w:rPr>
            </w:pPr>
            <w:r w:rsidRPr="009E06AA">
              <w:rPr>
                <w:rFonts w:cs="Calibri"/>
                <w:color w:val="000000"/>
                <w:szCs w:val="16"/>
              </w:rPr>
              <w:t>116</w:t>
            </w:r>
            <w:r w:rsidRPr="009E06AA">
              <w:rPr>
                <w:color w:val="000000"/>
              </w:rPr>
              <w:t>.0</w:t>
            </w:r>
          </w:p>
        </w:tc>
        <w:tc>
          <w:tcPr>
            <w:tcW w:w="680" w:type="dxa"/>
            <w:shd w:val="clear" w:color="auto" w:fill="auto"/>
            <w:hideMark/>
          </w:tcPr>
          <w:p w14:paraId="769D6006" w14:textId="77777777" w:rsidR="007523B8" w:rsidRPr="009E06AA" w:rsidRDefault="007523B8" w:rsidP="008E63BA">
            <w:pPr>
              <w:pStyle w:val="TableText"/>
              <w:spacing w:before="40" w:after="40"/>
              <w:jc w:val="right"/>
              <w:rPr>
                <w:color w:val="000000"/>
                <w:highlight w:val="green"/>
              </w:rPr>
            </w:pPr>
            <w:r w:rsidRPr="009E06AA">
              <w:rPr>
                <w:rFonts w:cs="Calibri"/>
                <w:color w:val="000000"/>
                <w:szCs w:val="16"/>
              </w:rPr>
              <w:t>130.8</w:t>
            </w:r>
          </w:p>
        </w:tc>
        <w:tc>
          <w:tcPr>
            <w:tcW w:w="1560" w:type="dxa"/>
            <w:shd w:val="clear" w:color="auto" w:fill="auto"/>
            <w:hideMark/>
          </w:tcPr>
          <w:p w14:paraId="0E79BEF8" w14:textId="77777777" w:rsidR="007523B8" w:rsidRPr="009E06AA" w:rsidRDefault="007523B8" w:rsidP="008E63BA">
            <w:pPr>
              <w:pStyle w:val="TableText"/>
              <w:spacing w:before="40" w:after="40"/>
              <w:jc w:val="right"/>
              <w:rPr>
                <w:color w:val="000000"/>
                <w:highlight w:val="green"/>
              </w:rPr>
            </w:pPr>
            <w:r w:rsidRPr="009E06AA">
              <w:rPr>
                <w:rFonts w:cs="Calibri"/>
                <w:color w:val="000000"/>
                <w:szCs w:val="16"/>
              </w:rPr>
              <w:t>14.8</w:t>
            </w:r>
          </w:p>
        </w:tc>
        <w:tc>
          <w:tcPr>
            <w:tcW w:w="1701" w:type="dxa"/>
            <w:shd w:val="clear" w:color="auto" w:fill="auto"/>
            <w:hideMark/>
          </w:tcPr>
          <w:p w14:paraId="6F9FDC13" w14:textId="77777777" w:rsidR="007523B8" w:rsidRPr="009E06AA" w:rsidRDefault="007523B8" w:rsidP="008E63BA">
            <w:pPr>
              <w:pStyle w:val="TableText"/>
              <w:spacing w:before="40" w:after="40"/>
              <w:jc w:val="right"/>
              <w:rPr>
                <w:color w:val="000000"/>
                <w:highlight w:val="green"/>
              </w:rPr>
            </w:pPr>
            <w:r w:rsidRPr="009E06AA">
              <w:rPr>
                <w:color w:val="000000"/>
              </w:rPr>
              <w:t> </w:t>
            </w:r>
          </w:p>
        </w:tc>
      </w:tr>
      <w:tr w:rsidR="007523B8" w:rsidRPr="009E06AA" w14:paraId="473DCFC5" w14:textId="77777777" w:rsidTr="00B55F24">
        <w:tc>
          <w:tcPr>
            <w:tcW w:w="1559" w:type="dxa"/>
            <w:vMerge/>
            <w:vAlign w:val="center"/>
            <w:hideMark/>
          </w:tcPr>
          <w:p w14:paraId="15CDA798" w14:textId="77777777" w:rsidR="007523B8" w:rsidRPr="009E06AA" w:rsidRDefault="007523B8" w:rsidP="00B55F24">
            <w:pPr>
              <w:pStyle w:val="TableText"/>
              <w:spacing w:before="40" w:after="40"/>
              <w:rPr>
                <w:color w:val="000000"/>
              </w:rPr>
            </w:pPr>
          </w:p>
        </w:tc>
        <w:tc>
          <w:tcPr>
            <w:tcW w:w="2325" w:type="dxa"/>
            <w:shd w:val="clear" w:color="auto" w:fill="auto"/>
            <w:vAlign w:val="center"/>
            <w:hideMark/>
          </w:tcPr>
          <w:p w14:paraId="0DA328EB" w14:textId="77777777" w:rsidR="007523B8" w:rsidRPr="009E06AA" w:rsidRDefault="007523B8" w:rsidP="00B55F24">
            <w:pPr>
              <w:pStyle w:val="TableText"/>
              <w:spacing w:before="40" w:after="40"/>
              <w:rPr>
                <w:color w:val="000000"/>
              </w:rPr>
            </w:pPr>
            <w:r w:rsidRPr="009E06AA">
              <w:rPr>
                <w:color w:val="000000"/>
              </w:rPr>
              <w:t xml:space="preserve">Percentage difference in </w:t>
            </w:r>
            <w:r w:rsidRPr="009E06AA">
              <w:rPr>
                <w:rFonts w:cs="Calibri"/>
                <w:color w:val="000000"/>
                <w:szCs w:val="16"/>
              </w:rPr>
              <w:t>emissions</w:t>
            </w:r>
            <w:r w:rsidRPr="009E06AA">
              <w:rPr>
                <w:color w:val="000000"/>
              </w:rPr>
              <w:t xml:space="preserve"> estimates</w:t>
            </w:r>
            <w:r w:rsidRPr="009E06AA">
              <w:rPr>
                <w:rFonts w:cs="Calibri"/>
                <w:color w:val="000000"/>
                <w:szCs w:val="16"/>
              </w:rPr>
              <w:t> </w:t>
            </w:r>
            <w:r w:rsidRPr="009E06AA">
              <w:rPr>
                <w:color w:val="000000"/>
              </w:rPr>
              <w:t>(%)</w:t>
            </w:r>
          </w:p>
        </w:tc>
        <w:tc>
          <w:tcPr>
            <w:tcW w:w="680" w:type="dxa"/>
            <w:shd w:val="clear" w:color="auto" w:fill="auto"/>
            <w:hideMark/>
          </w:tcPr>
          <w:p w14:paraId="476589C6" w14:textId="77777777" w:rsidR="007523B8" w:rsidRPr="009E06AA" w:rsidRDefault="007523B8" w:rsidP="008E63BA">
            <w:pPr>
              <w:pStyle w:val="TableText"/>
              <w:spacing w:before="40" w:after="40"/>
              <w:jc w:val="right"/>
              <w:rPr>
                <w:color w:val="000000"/>
                <w:highlight w:val="green"/>
              </w:rPr>
            </w:pPr>
            <w:r w:rsidRPr="009E06AA">
              <w:rPr>
                <w:rFonts w:cs="Calibri"/>
                <w:color w:val="000000"/>
                <w:szCs w:val="16"/>
              </w:rPr>
              <w:t>2.5</w:t>
            </w:r>
          </w:p>
        </w:tc>
        <w:tc>
          <w:tcPr>
            <w:tcW w:w="680" w:type="dxa"/>
            <w:shd w:val="clear" w:color="auto" w:fill="auto"/>
            <w:hideMark/>
          </w:tcPr>
          <w:p w14:paraId="1D6358EF" w14:textId="77777777" w:rsidR="007523B8" w:rsidRPr="009E06AA" w:rsidRDefault="007523B8" w:rsidP="008E63BA">
            <w:pPr>
              <w:pStyle w:val="TableText"/>
              <w:spacing w:before="40" w:after="40"/>
              <w:jc w:val="right"/>
              <w:rPr>
                <w:color w:val="000000"/>
                <w:highlight w:val="green"/>
              </w:rPr>
            </w:pPr>
            <w:r w:rsidRPr="009E06AA">
              <w:rPr>
                <w:rFonts w:cs="Calibri"/>
                <w:color w:val="000000"/>
                <w:szCs w:val="16"/>
              </w:rPr>
              <w:t>2.</w:t>
            </w:r>
            <w:r w:rsidRPr="009E06AA">
              <w:rPr>
                <w:color w:val="000000"/>
              </w:rPr>
              <w:t>0</w:t>
            </w:r>
          </w:p>
        </w:tc>
        <w:tc>
          <w:tcPr>
            <w:tcW w:w="1560" w:type="dxa"/>
            <w:shd w:val="clear" w:color="auto" w:fill="auto"/>
            <w:hideMark/>
          </w:tcPr>
          <w:p w14:paraId="075780CD" w14:textId="77777777" w:rsidR="007523B8" w:rsidRPr="009E06AA" w:rsidRDefault="007523B8" w:rsidP="008E63BA">
            <w:pPr>
              <w:pStyle w:val="TableText"/>
              <w:spacing w:before="40" w:after="40"/>
              <w:jc w:val="right"/>
              <w:rPr>
                <w:color w:val="000000"/>
                <w:highlight w:val="green"/>
              </w:rPr>
            </w:pPr>
          </w:p>
        </w:tc>
        <w:tc>
          <w:tcPr>
            <w:tcW w:w="1701" w:type="dxa"/>
            <w:shd w:val="clear" w:color="auto" w:fill="auto"/>
            <w:hideMark/>
          </w:tcPr>
          <w:p w14:paraId="42F4DFE3" w14:textId="77777777" w:rsidR="007523B8" w:rsidRPr="009E06AA" w:rsidRDefault="007523B8" w:rsidP="008E63BA">
            <w:pPr>
              <w:pStyle w:val="TableText"/>
              <w:spacing w:before="40" w:after="40"/>
              <w:jc w:val="right"/>
              <w:rPr>
                <w:color w:val="000000"/>
                <w:highlight w:val="green"/>
              </w:rPr>
            </w:pPr>
          </w:p>
        </w:tc>
      </w:tr>
    </w:tbl>
    <w:p w14:paraId="29589D46" w14:textId="77777777" w:rsidR="007523B8" w:rsidRPr="009E06AA" w:rsidRDefault="007523B8" w:rsidP="007523B8">
      <w:pPr>
        <w:pStyle w:val="Noteundertable"/>
        <w:rPr>
          <w:rFonts w:cs="Calibri"/>
        </w:rPr>
      </w:pPr>
      <w:r w:rsidRPr="009E06AA">
        <w:rPr>
          <w:rFonts w:cs="Calibri"/>
          <w:b/>
          <w:bCs/>
        </w:rPr>
        <w:t>Note:</w:t>
      </w:r>
      <w:r w:rsidRPr="009E06AA">
        <w:rPr>
          <w:rFonts w:cs="Calibri"/>
          <w:b/>
          <w:bCs/>
        </w:rPr>
        <w:tab/>
      </w:r>
      <w:r w:rsidRPr="009E06AA">
        <w:rPr>
          <w:rFonts w:cs="Calibri"/>
        </w:rPr>
        <w:t>Columns may not sum due to rounding. Percentages presented are calculated from unrounded values.</w:t>
      </w:r>
    </w:p>
    <w:p w14:paraId="47963EB3" w14:textId="77777777" w:rsidR="007523B8" w:rsidRPr="009E06AA" w:rsidRDefault="007523B8" w:rsidP="007523B8">
      <w:pPr>
        <w:pStyle w:val="Table"/>
        <w:spacing w:before="240"/>
        <w:rPr>
          <w:i/>
        </w:rPr>
      </w:pPr>
      <w:bookmarkStart w:id="1439" w:name="_Toc127458282"/>
      <w:bookmarkStart w:id="1440" w:name="_Toc131591378"/>
      <w:bookmarkStart w:id="1441" w:name="_Toc160114471"/>
      <w:bookmarkStart w:id="1442" w:name="_Toc164153867"/>
      <w:r w:rsidRPr="009E06AA">
        <w:rPr>
          <w:rFonts w:cs="Calibri"/>
        </w:rPr>
        <w:t>Table 5.5.15</w:t>
      </w:r>
      <w:r w:rsidRPr="009E06AA">
        <w:rPr>
          <w:rFonts w:cs="Calibri"/>
        </w:rPr>
        <w:tab/>
        <w:t>Comparison of the proportion of lambs held over to a second slaughter date for emissions from </w:t>
      </w:r>
      <w:r w:rsidRPr="009E06AA">
        <w:rPr>
          <w:rFonts w:cs="Calibri"/>
          <w:i/>
        </w:rPr>
        <w:t>Agricultural soils</w:t>
      </w:r>
      <w:bookmarkEnd w:id="1439"/>
      <w:bookmarkEnd w:id="1440"/>
      <w:bookmarkEnd w:id="1441"/>
      <w:bookmarkEnd w:id="1442"/>
      <w:r w:rsidRPr="009E06AA">
        <w:rPr>
          <w:rFonts w:cs="Calibri"/>
          <w:i/>
          <w:iCs/>
        </w:rPr>
        <w:t xml:space="preserve"> </w:t>
      </w:r>
    </w:p>
    <w:tbl>
      <w:tblPr>
        <w:tblW w:w="8505" w:type="dxa"/>
        <w:tblBorders>
          <w:top w:val="single" w:sz="2" w:space="0" w:color="1B556B" w:themeColor="text2"/>
          <w:bottom w:val="single" w:sz="2" w:space="0" w:color="1B556B" w:themeColor="text2"/>
          <w:insideH w:val="single" w:sz="2" w:space="0" w:color="1B556B" w:themeColor="text2"/>
        </w:tblBorders>
        <w:tblCellMar>
          <w:right w:w="85" w:type="dxa"/>
        </w:tblCellMar>
        <w:tblLook w:val="04A0" w:firstRow="1" w:lastRow="0" w:firstColumn="1" w:lastColumn="0" w:noHBand="0" w:noVBand="1"/>
      </w:tblPr>
      <w:tblGrid>
        <w:gridCol w:w="1590"/>
        <w:gridCol w:w="2343"/>
        <w:gridCol w:w="685"/>
        <w:gridCol w:w="685"/>
        <w:gridCol w:w="1601"/>
        <w:gridCol w:w="1601"/>
      </w:tblGrid>
      <w:tr w:rsidR="007523B8" w:rsidRPr="009E06AA" w14:paraId="750CC083" w14:textId="77777777" w:rsidTr="00B55F24">
        <w:tc>
          <w:tcPr>
            <w:tcW w:w="1577" w:type="dxa"/>
            <w:shd w:val="clear" w:color="000000" w:fill="1B556B"/>
            <w:vAlign w:val="bottom"/>
            <w:hideMark/>
          </w:tcPr>
          <w:p w14:paraId="69F042AD" w14:textId="77777777" w:rsidR="007523B8" w:rsidRPr="009E06AA" w:rsidRDefault="007523B8" w:rsidP="00B55F24">
            <w:pPr>
              <w:pStyle w:val="TableText"/>
              <w:rPr>
                <w:b/>
                <w:bCs/>
                <w:color w:val="FFFFFF" w:themeColor="background1"/>
              </w:rPr>
            </w:pPr>
            <w:r w:rsidRPr="009E06AA">
              <w:rPr>
                <w:b/>
                <w:bCs/>
                <w:color w:val="FFFFFF" w:themeColor="background1"/>
              </w:rPr>
              <w:t>Emissions (kt CO</w:t>
            </w:r>
            <w:r w:rsidRPr="009E06AA">
              <w:rPr>
                <w:b/>
                <w:bCs/>
                <w:color w:val="FFFFFF" w:themeColor="background1"/>
                <w:vertAlign w:val="subscript"/>
              </w:rPr>
              <w:t>2</w:t>
            </w:r>
            <w:r w:rsidRPr="009E06AA">
              <w:rPr>
                <w:b/>
                <w:bCs/>
                <w:color w:val="FFFFFF" w:themeColor="background1"/>
              </w:rPr>
              <w:t>-e)</w:t>
            </w:r>
          </w:p>
        </w:tc>
        <w:tc>
          <w:tcPr>
            <w:tcW w:w="2325" w:type="dxa"/>
            <w:shd w:val="clear" w:color="000000" w:fill="1B556B"/>
            <w:vAlign w:val="bottom"/>
            <w:hideMark/>
          </w:tcPr>
          <w:p w14:paraId="413AC508" w14:textId="77777777" w:rsidR="007523B8" w:rsidRPr="009E06AA" w:rsidRDefault="007523B8" w:rsidP="00B55F24">
            <w:pPr>
              <w:pStyle w:val="TableText"/>
              <w:rPr>
                <w:b/>
                <w:bCs/>
                <w:color w:val="FFFFFF" w:themeColor="background1"/>
              </w:rPr>
            </w:pPr>
            <w:r w:rsidRPr="009E06AA">
              <w:rPr>
                <w:rFonts w:cs="Calibri"/>
                <w:color w:val="000000"/>
                <w:sz w:val="20"/>
                <w:szCs w:val="20"/>
              </w:rPr>
              <w:t> </w:t>
            </w:r>
          </w:p>
        </w:tc>
        <w:tc>
          <w:tcPr>
            <w:tcW w:w="680" w:type="dxa"/>
            <w:shd w:val="clear" w:color="000000" w:fill="1B556B"/>
            <w:vAlign w:val="bottom"/>
            <w:hideMark/>
          </w:tcPr>
          <w:p w14:paraId="06A5AA1D" w14:textId="77777777" w:rsidR="007523B8" w:rsidRPr="009E06AA" w:rsidRDefault="007523B8" w:rsidP="008E63BA">
            <w:pPr>
              <w:pStyle w:val="TableText"/>
              <w:jc w:val="right"/>
              <w:rPr>
                <w:b/>
                <w:bCs/>
                <w:color w:val="FFFFFF" w:themeColor="background1"/>
              </w:rPr>
            </w:pPr>
            <w:r w:rsidRPr="009E06AA">
              <w:rPr>
                <w:rFonts w:cs="Calibri"/>
                <w:b/>
                <w:bCs/>
                <w:color w:val="FFFFFF" w:themeColor="background1"/>
                <w:szCs w:val="16"/>
              </w:rPr>
              <w:t>1990</w:t>
            </w:r>
          </w:p>
        </w:tc>
        <w:tc>
          <w:tcPr>
            <w:tcW w:w="680" w:type="dxa"/>
            <w:shd w:val="clear" w:color="000000" w:fill="1B556B"/>
            <w:vAlign w:val="bottom"/>
            <w:hideMark/>
          </w:tcPr>
          <w:p w14:paraId="1C7BC4B9" w14:textId="77777777" w:rsidR="007523B8" w:rsidRPr="009E06AA" w:rsidRDefault="007523B8" w:rsidP="008E63BA">
            <w:pPr>
              <w:pStyle w:val="TableText"/>
              <w:jc w:val="right"/>
              <w:rPr>
                <w:b/>
                <w:bCs/>
                <w:color w:val="FFFFFF" w:themeColor="background1"/>
              </w:rPr>
            </w:pPr>
            <w:r w:rsidRPr="009E06AA">
              <w:rPr>
                <w:b/>
                <w:color w:val="FFFFFF" w:themeColor="background1"/>
              </w:rPr>
              <w:t>2021</w:t>
            </w:r>
          </w:p>
        </w:tc>
        <w:tc>
          <w:tcPr>
            <w:tcW w:w="1588" w:type="dxa"/>
            <w:shd w:val="clear" w:color="000000" w:fill="1B556B"/>
            <w:vAlign w:val="bottom"/>
            <w:hideMark/>
          </w:tcPr>
          <w:p w14:paraId="5336AACC" w14:textId="77777777" w:rsidR="007523B8" w:rsidRPr="009E06AA" w:rsidRDefault="007523B8" w:rsidP="008E63BA">
            <w:pPr>
              <w:pStyle w:val="TableText"/>
              <w:jc w:val="right"/>
              <w:rPr>
                <w:b/>
                <w:bCs/>
                <w:color w:val="FFFFFF" w:themeColor="background1"/>
              </w:rPr>
            </w:pPr>
            <w:r w:rsidRPr="009E06AA">
              <w:rPr>
                <w:rFonts w:cs="Calibri"/>
                <w:b/>
                <w:bCs/>
                <w:color w:val="FFFFFF" w:themeColor="background1"/>
                <w:szCs w:val="16"/>
              </w:rPr>
              <w:t>Change in emission outputs between 1990 and 2021 (kt CO</w:t>
            </w:r>
            <w:r w:rsidRPr="009E06AA">
              <w:rPr>
                <w:b/>
                <w:color w:val="FFFFFF"/>
                <w:vertAlign w:val="subscript"/>
              </w:rPr>
              <w:t>2</w:t>
            </w:r>
            <w:r w:rsidRPr="009E06AA">
              <w:rPr>
                <w:b/>
                <w:color w:val="FFFFFF"/>
              </w:rPr>
              <w:t>-e)</w:t>
            </w:r>
          </w:p>
        </w:tc>
        <w:tc>
          <w:tcPr>
            <w:tcW w:w="1588" w:type="dxa"/>
            <w:shd w:val="clear" w:color="000000" w:fill="1B556B"/>
            <w:vAlign w:val="bottom"/>
            <w:hideMark/>
          </w:tcPr>
          <w:p w14:paraId="734339C9" w14:textId="77777777" w:rsidR="007523B8" w:rsidRPr="009E06AA" w:rsidRDefault="007523B8" w:rsidP="008E63BA">
            <w:pPr>
              <w:pStyle w:val="TableText"/>
              <w:jc w:val="right"/>
              <w:rPr>
                <w:b/>
                <w:bCs/>
                <w:color w:val="FFFFFF" w:themeColor="background1"/>
              </w:rPr>
            </w:pPr>
            <w:r w:rsidRPr="009E06AA">
              <w:rPr>
                <w:rFonts w:cs="Calibri"/>
                <w:b/>
                <w:bCs/>
                <w:color w:val="FFFFFF" w:themeColor="background1"/>
                <w:szCs w:val="16"/>
              </w:rPr>
              <w:t>Percentage change in emission outputs between 1990 and 2021 (%)</w:t>
            </w:r>
          </w:p>
        </w:tc>
      </w:tr>
      <w:tr w:rsidR="007523B8" w:rsidRPr="009E06AA" w14:paraId="5246C936" w14:textId="77777777" w:rsidTr="00B55F24">
        <w:tc>
          <w:tcPr>
            <w:tcW w:w="1577" w:type="dxa"/>
            <w:vMerge w:val="restart"/>
            <w:shd w:val="clear" w:color="auto" w:fill="auto"/>
            <w:vAlign w:val="center"/>
            <w:hideMark/>
          </w:tcPr>
          <w:p w14:paraId="05426265" w14:textId="77777777" w:rsidR="007523B8" w:rsidRPr="009E06AA" w:rsidRDefault="007523B8" w:rsidP="00B55F24">
            <w:pPr>
              <w:pStyle w:val="TableText"/>
              <w:rPr>
                <w:color w:val="000000"/>
              </w:rPr>
            </w:pPr>
            <w:r w:rsidRPr="009E06AA">
              <w:rPr>
                <w:color w:val="000000"/>
              </w:rPr>
              <w:t xml:space="preserve">Total emissions from </w:t>
            </w:r>
            <w:r w:rsidRPr="009E06AA">
              <w:rPr>
                <w:i/>
                <w:iCs/>
                <w:color w:val="000000"/>
              </w:rPr>
              <w:t>Agricultural soils</w:t>
            </w:r>
            <w:r w:rsidRPr="009E06AA">
              <w:rPr>
                <w:color w:val="000000"/>
              </w:rPr>
              <w:t xml:space="preserve"> (kt CO</w:t>
            </w:r>
            <w:r w:rsidRPr="009E06AA">
              <w:rPr>
                <w:color w:val="000000"/>
                <w:vertAlign w:val="subscript"/>
              </w:rPr>
              <w:t>2</w:t>
            </w:r>
            <w:r w:rsidRPr="009E06AA">
              <w:rPr>
                <w:color w:val="000000"/>
              </w:rPr>
              <w:t>-e)</w:t>
            </w:r>
          </w:p>
        </w:tc>
        <w:tc>
          <w:tcPr>
            <w:tcW w:w="2325" w:type="dxa"/>
            <w:shd w:val="clear" w:color="auto" w:fill="auto"/>
            <w:vAlign w:val="center"/>
            <w:hideMark/>
          </w:tcPr>
          <w:p w14:paraId="5EC57975" w14:textId="77777777" w:rsidR="007523B8" w:rsidRPr="009E06AA" w:rsidRDefault="007523B8" w:rsidP="00B55F24">
            <w:pPr>
              <w:pStyle w:val="TableText"/>
              <w:rPr>
                <w:color w:val="000000"/>
              </w:rPr>
            </w:pPr>
            <w:r w:rsidRPr="009E06AA">
              <w:rPr>
                <w:rFonts w:cs="Calibri"/>
                <w:color w:val="000000"/>
                <w:szCs w:val="16"/>
              </w:rPr>
              <w:t xml:space="preserve">2023 (1990–2021) emissions estimate using previous proportion of lambs held over </w:t>
            </w:r>
          </w:p>
        </w:tc>
        <w:tc>
          <w:tcPr>
            <w:tcW w:w="680" w:type="dxa"/>
            <w:shd w:val="clear" w:color="auto" w:fill="auto"/>
            <w:hideMark/>
          </w:tcPr>
          <w:p w14:paraId="58D16341" w14:textId="77777777" w:rsidR="007523B8" w:rsidRPr="009E06AA" w:rsidRDefault="007523B8" w:rsidP="008E63BA">
            <w:pPr>
              <w:pStyle w:val="TableText"/>
              <w:jc w:val="right"/>
              <w:rPr>
                <w:color w:val="000000"/>
              </w:rPr>
            </w:pPr>
            <w:r w:rsidRPr="009E06AA">
              <w:rPr>
                <w:rFonts w:cs="Calibri"/>
                <w:color w:val="000000"/>
                <w:szCs w:val="16"/>
              </w:rPr>
              <w:t>4,639.1</w:t>
            </w:r>
          </w:p>
        </w:tc>
        <w:tc>
          <w:tcPr>
            <w:tcW w:w="680" w:type="dxa"/>
            <w:shd w:val="clear" w:color="auto" w:fill="auto"/>
            <w:hideMark/>
          </w:tcPr>
          <w:p w14:paraId="73D9A813" w14:textId="77777777" w:rsidR="007523B8" w:rsidRPr="009E06AA" w:rsidRDefault="007523B8" w:rsidP="008E63BA">
            <w:pPr>
              <w:pStyle w:val="TableText"/>
              <w:jc w:val="right"/>
              <w:rPr>
                <w:color w:val="000000"/>
              </w:rPr>
            </w:pPr>
            <w:r w:rsidRPr="009E06AA">
              <w:rPr>
                <w:rFonts w:cs="Calibri"/>
                <w:color w:val="000000"/>
                <w:szCs w:val="16"/>
              </w:rPr>
              <w:t>6,505.1</w:t>
            </w:r>
          </w:p>
        </w:tc>
        <w:tc>
          <w:tcPr>
            <w:tcW w:w="1588" w:type="dxa"/>
            <w:shd w:val="clear" w:color="auto" w:fill="auto"/>
            <w:hideMark/>
          </w:tcPr>
          <w:p w14:paraId="0011DD96" w14:textId="77777777" w:rsidR="007523B8" w:rsidRPr="009E06AA" w:rsidRDefault="007523B8" w:rsidP="008E63BA">
            <w:pPr>
              <w:pStyle w:val="TableText"/>
              <w:jc w:val="right"/>
              <w:rPr>
                <w:color w:val="000000"/>
              </w:rPr>
            </w:pPr>
            <w:r w:rsidRPr="009E06AA">
              <w:rPr>
                <w:rFonts w:cs="Calibri"/>
                <w:color w:val="000000"/>
                <w:szCs w:val="16"/>
              </w:rPr>
              <w:t>1,866.0</w:t>
            </w:r>
          </w:p>
        </w:tc>
        <w:tc>
          <w:tcPr>
            <w:tcW w:w="1588" w:type="dxa"/>
            <w:shd w:val="clear" w:color="auto" w:fill="auto"/>
            <w:hideMark/>
          </w:tcPr>
          <w:p w14:paraId="486E808F" w14:textId="77777777" w:rsidR="007523B8" w:rsidRPr="009E06AA" w:rsidRDefault="007523B8" w:rsidP="008E63BA">
            <w:pPr>
              <w:pStyle w:val="TableText"/>
              <w:jc w:val="right"/>
              <w:rPr>
                <w:color w:val="000000"/>
              </w:rPr>
            </w:pPr>
            <w:r w:rsidRPr="009E06AA">
              <w:rPr>
                <w:rFonts w:cs="Calibri"/>
                <w:color w:val="000000"/>
                <w:szCs w:val="16"/>
              </w:rPr>
              <w:t>40.2</w:t>
            </w:r>
          </w:p>
        </w:tc>
      </w:tr>
      <w:tr w:rsidR="007523B8" w:rsidRPr="009E06AA" w14:paraId="3BEC47A6" w14:textId="77777777" w:rsidTr="00B55F24">
        <w:tc>
          <w:tcPr>
            <w:tcW w:w="1577" w:type="dxa"/>
            <w:vMerge/>
            <w:vAlign w:val="center"/>
            <w:hideMark/>
          </w:tcPr>
          <w:p w14:paraId="00A20D3D" w14:textId="77777777" w:rsidR="007523B8" w:rsidRPr="009E06AA" w:rsidRDefault="007523B8" w:rsidP="00B55F24">
            <w:pPr>
              <w:pStyle w:val="TableText"/>
              <w:rPr>
                <w:color w:val="000000"/>
              </w:rPr>
            </w:pPr>
          </w:p>
        </w:tc>
        <w:tc>
          <w:tcPr>
            <w:tcW w:w="2325" w:type="dxa"/>
            <w:shd w:val="clear" w:color="auto" w:fill="auto"/>
            <w:vAlign w:val="center"/>
            <w:hideMark/>
          </w:tcPr>
          <w:p w14:paraId="63E290DC" w14:textId="77777777" w:rsidR="007523B8" w:rsidRPr="009E06AA" w:rsidRDefault="007523B8" w:rsidP="00B55F24">
            <w:pPr>
              <w:pStyle w:val="TableText"/>
              <w:rPr>
                <w:color w:val="000000"/>
              </w:rPr>
            </w:pPr>
            <w:r w:rsidRPr="009E06AA">
              <w:rPr>
                <w:rFonts w:cs="Calibri"/>
                <w:color w:val="000000"/>
                <w:szCs w:val="16"/>
              </w:rPr>
              <w:t xml:space="preserve">2023 (1990–2021) emissions estimate using new proportion of lambs held over </w:t>
            </w:r>
          </w:p>
        </w:tc>
        <w:tc>
          <w:tcPr>
            <w:tcW w:w="680" w:type="dxa"/>
            <w:shd w:val="clear" w:color="auto" w:fill="auto"/>
            <w:hideMark/>
          </w:tcPr>
          <w:p w14:paraId="05DC2E81" w14:textId="77777777" w:rsidR="007523B8" w:rsidRPr="009E06AA" w:rsidRDefault="007523B8" w:rsidP="008E63BA">
            <w:pPr>
              <w:pStyle w:val="TableText"/>
              <w:jc w:val="right"/>
              <w:rPr>
                <w:color w:val="000000"/>
              </w:rPr>
            </w:pPr>
            <w:r w:rsidRPr="009E06AA">
              <w:rPr>
                <w:rFonts w:cs="Calibri"/>
                <w:color w:val="000000"/>
                <w:szCs w:val="16"/>
              </w:rPr>
              <w:t>4,639.1</w:t>
            </w:r>
          </w:p>
        </w:tc>
        <w:tc>
          <w:tcPr>
            <w:tcW w:w="680" w:type="dxa"/>
            <w:shd w:val="clear" w:color="auto" w:fill="auto"/>
            <w:hideMark/>
          </w:tcPr>
          <w:p w14:paraId="6AF0BCFD" w14:textId="77777777" w:rsidR="007523B8" w:rsidRPr="009E06AA" w:rsidRDefault="007523B8" w:rsidP="008E63BA">
            <w:pPr>
              <w:pStyle w:val="TableText"/>
              <w:jc w:val="right"/>
              <w:rPr>
                <w:color w:val="000000"/>
              </w:rPr>
            </w:pPr>
            <w:r w:rsidRPr="009E06AA">
              <w:rPr>
                <w:rFonts w:cs="Calibri"/>
                <w:color w:val="000000"/>
                <w:szCs w:val="16"/>
              </w:rPr>
              <w:t>6,509.6</w:t>
            </w:r>
          </w:p>
        </w:tc>
        <w:tc>
          <w:tcPr>
            <w:tcW w:w="1588" w:type="dxa"/>
            <w:shd w:val="clear" w:color="auto" w:fill="auto"/>
            <w:hideMark/>
          </w:tcPr>
          <w:p w14:paraId="308F239B" w14:textId="77777777" w:rsidR="007523B8" w:rsidRPr="009E06AA" w:rsidRDefault="007523B8" w:rsidP="008E63BA">
            <w:pPr>
              <w:pStyle w:val="TableText"/>
              <w:jc w:val="right"/>
              <w:rPr>
                <w:color w:val="000000"/>
              </w:rPr>
            </w:pPr>
            <w:r w:rsidRPr="009E06AA">
              <w:rPr>
                <w:rFonts w:cs="Calibri"/>
                <w:color w:val="000000"/>
                <w:szCs w:val="16"/>
              </w:rPr>
              <w:t>1,870.5</w:t>
            </w:r>
          </w:p>
        </w:tc>
        <w:tc>
          <w:tcPr>
            <w:tcW w:w="1588" w:type="dxa"/>
            <w:shd w:val="clear" w:color="auto" w:fill="auto"/>
            <w:hideMark/>
          </w:tcPr>
          <w:p w14:paraId="7E55C826" w14:textId="77777777" w:rsidR="007523B8" w:rsidRPr="009E06AA" w:rsidRDefault="007523B8" w:rsidP="008E63BA">
            <w:pPr>
              <w:pStyle w:val="TableText"/>
              <w:jc w:val="right"/>
              <w:rPr>
                <w:color w:val="000000"/>
              </w:rPr>
            </w:pPr>
            <w:r w:rsidRPr="009E06AA">
              <w:rPr>
                <w:rFonts w:cs="Calibri"/>
                <w:color w:val="000000"/>
                <w:szCs w:val="16"/>
              </w:rPr>
              <w:t>40.3</w:t>
            </w:r>
          </w:p>
        </w:tc>
      </w:tr>
      <w:tr w:rsidR="007523B8" w:rsidRPr="009E06AA" w14:paraId="3484DE75" w14:textId="77777777" w:rsidTr="00B55F24">
        <w:tc>
          <w:tcPr>
            <w:tcW w:w="1577" w:type="dxa"/>
            <w:vMerge/>
            <w:vAlign w:val="center"/>
            <w:hideMark/>
          </w:tcPr>
          <w:p w14:paraId="7285903B" w14:textId="77777777" w:rsidR="007523B8" w:rsidRPr="009E06AA" w:rsidRDefault="007523B8" w:rsidP="00B55F24">
            <w:pPr>
              <w:pStyle w:val="TableText"/>
              <w:rPr>
                <w:color w:val="000000"/>
              </w:rPr>
            </w:pPr>
          </w:p>
        </w:tc>
        <w:tc>
          <w:tcPr>
            <w:tcW w:w="2325" w:type="dxa"/>
            <w:shd w:val="clear" w:color="auto" w:fill="auto"/>
            <w:vAlign w:val="center"/>
            <w:hideMark/>
          </w:tcPr>
          <w:p w14:paraId="08FB1AFA" w14:textId="77777777" w:rsidR="007523B8" w:rsidRPr="009E06AA" w:rsidRDefault="007523B8" w:rsidP="00B55F24">
            <w:pPr>
              <w:pStyle w:val="TableText"/>
              <w:rPr>
                <w:color w:val="000000"/>
              </w:rPr>
            </w:pPr>
            <w:r w:rsidRPr="009E06AA">
              <w:rPr>
                <w:rFonts w:cs="Calibri"/>
                <w:color w:val="000000"/>
                <w:szCs w:val="16"/>
              </w:rPr>
              <w:t>Difference in emissions estimates compared with current inventory </w:t>
            </w:r>
          </w:p>
        </w:tc>
        <w:tc>
          <w:tcPr>
            <w:tcW w:w="680" w:type="dxa"/>
            <w:shd w:val="clear" w:color="auto" w:fill="auto"/>
            <w:hideMark/>
          </w:tcPr>
          <w:p w14:paraId="24469FE5" w14:textId="77777777" w:rsidR="007523B8" w:rsidRPr="009E06AA" w:rsidRDefault="007523B8" w:rsidP="008E63BA">
            <w:pPr>
              <w:pStyle w:val="TableText"/>
              <w:jc w:val="right"/>
              <w:rPr>
                <w:color w:val="000000"/>
              </w:rPr>
            </w:pPr>
            <w:r w:rsidRPr="009E06AA">
              <w:rPr>
                <w:rFonts w:cs="Calibri"/>
                <w:color w:val="000000"/>
                <w:szCs w:val="16"/>
              </w:rPr>
              <w:t>0</w:t>
            </w:r>
          </w:p>
        </w:tc>
        <w:tc>
          <w:tcPr>
            <w:tcW w:w="680" w:type="dxa"/>
            <w:shd w:val="clear" w:color="auto" w:fill="auto"/>
            <w:hideMark/>
          </w:tcPr>
          <w:p w14:paraId="4470DB13" w14:textId="77777777" w:rsidR="007523B8" w:rsidRPr="009E06AA" w:rsidRDefault="007523B8" w:rsidP="008E63BA">
            <w:pPr>
              <w:pStyle w:val="TableText"/>
              <w:jc w:val="right"/>
              <w:rPr>
                <w:color w:val="000000"/>
              </w:rPr>
            </w:pPr>
            <w:r w:rsidRPr="009E06AA">
              <w:rPr>
                <w:rFonts w:cs="Calibri"/>
                <w:color w:val="000000"/>
                <w:szCs w:val="16"/>
              </w:rPr>
              <w:t>4.5</w:t>
            </w:r>
          </w:p>
        </w:tc>
        <w:tc>
          <w:tcPr>
            <w:tcW w:w="1588" w:type="dxa"/>
            <w:shd w:val="clear" w:color="auto" w:fill="auto"/>
            <w:hideMark/>
          </w:tcPr>
          <w:p w14:paraId="38913B4C" w14:textId="77777777" w:rsidR="007523B8" w:rsidRPr="009E06AA" w:rsidRDefault="007523B8" w:rsidP="008E63BA">
            <w:pPr>
              <w:pStyle w:val="TableText"/>
              <w:jc w:val="right"/>
              <w:rPr>
                <w:color w:val="000000"/>
              </w:rPr>
            </w:pPr>
            <w:r w:rsidRPr="009E06AA">
              <w:rPr>
                <w:rFonts w:cs="Calibri"/>
                <w:color w:val="000000"/>
                <w:szCs w:val="16"/>
              </w:rPr>
              <w:t>4.5</w:t>
            </w:r>
          </w:p>
        </w:tc>
        <w:tc>
          <w:tcPr>
            <w:tcW w:w="1588" w:type="dxa"/>
            <w:shd w:val="clear" w:color="auto" w:fill="auto"/>
            <w:hideMark/>
          </w:tcPr>
          <w:p w14:paraId="369CB2D1" w14:textId="77777777" w:rsidR="007523B8" w:rsidRPr="009E06AA" w:rsidRDefault="007523B8" w:rsidP="008E63BA">
            <w:pPr>
              <w:pStyle w:val="TableText"/>
              <w:jc w:val="right"/>
              <w:rPr>
                <w:color w:val="000000"/>
              </w:rPr>
            </w:pPr>
            <w:r w:rsidRPr="009E06AA">
              <w:rPr>
                <w:rFonts w:cs="Calibri"/>
                <w:color w:val="000000"/>
                <w:szCs w:val="16"/>
              </w:rPr>
              <w:t> </w:t>
            </w:r>
          </w:p>
        </w:tc>
      </w:tr>
      <w:tr w:rsidR="007523B8" w:rsidRPr="009E06AA" w14:paraId="735CE5BB" w14:textId="77777777" w:rsidTr="00B55F24">
        <w:tc>
          <w:tcPr>
            <w:tcW w:w="1577" w:type="dxa"/>
            <w:vMerge/>
            <w:vAlign w:val="center"/>
            <w:hideMark/>
          </w:tcPr>
          <w:p w14:paraId="685702DF" w14:textId="77777777" w:rsidR="007523B8" w:rsidRPr="009E06AA" w:rsidRDefault="007523B8" w:rsidP="00B55F24">
            <w:pPr>
              <w:pStyle w:val="TableText"/>
              <w:rPr>
                <w:color w:val="000000"/>
              </w:rPr>
            </w:pPr>
          </w:p>
        </w:tc>
        <w:tc>
          <w:tcPr>
            <w:tcW w:w="2325" w:type="dxa"/>
            <w:shd w:val="clear" w:color="auto" w:fill="auto"/>
            <w:vAlign w:val="center"/>
            <w:hideMark/>
          </w:tcPr>
          <w:p w14:paraId="6D161314" w14:textId="77777777" w:rsidR="007523B8" w:rsidRPr="009E06AA" w:rsidRDefault="007523B8" w:rsidP="00B55F24">
            <w:pPr>
              <w:pStyle w:val="TableText"/>
              <w:rPr>
                <w:color w:val="000000"/>
              </w:rPr>
            </w:pPr>
            <w:r w:rsidRPr="009E06AA">
              <w:rPr>
                <w:rFonts w:cs="Calibri"/>
                <w:color w:val="000000"/>
                <w:szCs w:val="16"/>
              </w:rPr>
              <w:t>Percentage difference in emissions estimates (%)</w:t>
            </w:r>
          </w:p>
        </w:tc>
        <w:tc>
          <w:tcPr>
            <w:tcW w:w="680" w:type="dxa"/>
            <w:shd w:val="clear" w:color="auto" w:fill="auto"/>
            <w:hideMark/>
          </w:tcPr>
          <w:p w14:paraId="02E6DFF4" w14:textId="77777777" w:rsidR="007523B8" w:rsidRPr="009E06AA" w:rsidRDefault="007523B8" w:rsidP="008E63BA">
            <w:pPr>
              <w:pStyle w:val="TableText"/>
              <w:jc w:val="right"/>
              <w:rPr>
                <w:color w:val="000000"/>
              </w:rPr>
            </w:pPr>
            <w:r w:rsidRPr="009E06AA">
              <w:rPr>
                <w:rFonts w:cs="Calibri"/>
                <w:color w:val="000000"/>
                <w:szCs w:val="16"/>
              </w:rPr>
              <w:t>0.0</w:t>
            </w:r>
          </w:p>
        </w:tc>
        <w:tc>
          <w:tcPr>
            <w:tcW w:w="680" w:type="dxa"/>
            <w:shd w:val="clear" w:color="auto" w:fill="auto"/>
            <w:hideMark/>
          </w:tcPr>
          <w:p w14:paraId="6E2A4684" w14:textId="77777777" w:rsidR="007523B8" w:rsidRPr="009E06AA" w:rsidRDefault="007523B8" w:rsidP="008E63BA">
            <w:pPr>
              <w:pStyle w:val="TableText"/>
              <w:jc w:val="right"/>
              <w:rPr>
                <w:color w:val="000000"/>
              </w:rPr>
            </w:pPr>
            <w:r w:rsidRPr="009E06AA">
              <w:rPr>
                <w:rFonts w:cs="Calibri"/>
                <w:color w:val="000000"/>
                <w:szCs w:val="16"/>
              </w:rPr>
              <w:t>0.1</w:t>
            </w:r>
          </w:p>
        </w:tc>
        <w:tc>
          <w:tcPr>
            <w:tcW w:w="1588" w:type="dxa"/>
            <w:shd w:val="clear" w:color="auto" w:fill="auto"/>
            <w:hideMark/>
          </w:tcPr>
          <w:p w14:paraId="66E01C9B" w14:textId="77777777" w:rsidR="007523B8" w:rsidRPr="009E06AA" w:rsidRDefault="007523B8" w:rsidP="008E63BA">
            <w:pPr>
              <w:pStyle w:val="TableText"/>
              <w:jc w:val="right"/>
              <w:rPr>
                <w:color w:val="000000"/>
              </w:rPr>
            </w:pPr>
            <w:r w:rsidRPr="009E06AA">
              <w:rPr>
                <w:rFonts w:cs="Calibri"/>
                <w:color w:val="000000"/>
                <w:szCs w:val="16"/>
              </w:rPr>
              <w:t> </w:t>
            </w:r>
          </w:p>
        </w:tc>
        <w:tc>
          <w:tcPr>
            <w:tcW w:w="1588" w:type="dxa"/>
            <w:shd w:val="clear" w:color="auto" w:fill="auto"/>
            <w:hideMark/>
          </w:tcPr>
          <w:p w14:paraId="3EB65162" w14:textId="77777777" w:rsidR="007523B8" w:rsidRPr="009E06AA" w:rsidRDefault="007523B8" w:rsidP="008E63BA">
            <w:pPr>
              <w:pStyle w:val="TableText"/>
              <w:jc w:val="right"/>
              <w:rPr>
                <w:color w:val="000000"/>
              </w:rPr>
            </w:pPr>
            <w:r w:rsidRPr="009E06AA">
              <w:rPr>
                <w:rFonts w:cs="Calibri"/>
                <w:color w:val="000000"/>
                <w:szCs w:val="16"/>
              </w:rPr>
              <w:t> </w:t>
            </w:r>
          </w:p>
        </w:tc>
      </w:tr>
    </w:tbl>
    <w:p w14:paraId="4DE61B90" w14:textId="77777777" w:rsidR="007523B8" w:rsidRPr="009E06AA" w:rsidRDefault="007523B8" w:rsidP="007523B8">
      <w:pPr>
        <w:pStyle w:val="Noteundertable"/>
        <w:rPr>
          <w:rFonts w:cs="Calibri"/>
        </w:rPr>
      </w:pPr>
      <w:r w:rsidRPr="009E06AA">
        <w:rPr>
          <w:rFonts w:cs="Calibri"/>
          <w:b/>
          <w:bCs/>
        </w:rPr>
        <w:t>Note:</w:t>
      </w:r>
      <w:r w:rsidRPr="009E06AA">
        <w:rPr>
          <w:rFonts w:cs="Calibri"/>
        </w:rPr>
        <w:tab/>
        <w:t>Columns may not sum due to rounding. Percentages presented are calculated from unrounded values.</w:t>
      </w:r>
    </w:p>
    <w:p w14:paraId="0FBC3B0F" w14:textId="77777777" w:rsidR="007523B8" w:rsidRPr="009E06AA" w:rsidRDefault="007523B8" w:rsidP="007523B8">
      <w:pPr>
        <w:pStyle w:val="Table"/>
        <w:spacing w:before="240"/>
        <w:rPr>
          <w:i/>
        </w:rPr>
      </w:pPr>
      <w:bookmarkStart w:id="1443" w:name="_Toc160114472"/>
      <w:bookmarkStart w:id="1444" w:name="_Toc164153868"/>
      <w:r w:rsidRPr="009E06AA">
        <w:rPr>
          <w:rFonts w:cs="Calibri"/>
        </w:rPr>
        <w:t>Table 5.5.16</w:t>
      </w:r>
      <w:r w:rsidRPr="009E06AA">
        <w:rPr>
          <w:rFonts w:cs="Calibri"/>
        </w:rPr>
        <w:tab/>
        <w:t>Comparison of Excel-based and R-based systems for emissions from </w:t>
      </w:r>
      <w:r w:rsidRPr="009E06AA">
        <w:rPr>
          <w:rFonts w:cs="Calibri"/>
          <w:i/>
        </w:rPr>
        <w:t>Agricultural soils</w:t>
      </w:r>
      <w:bookmarkEnd w:id="1443"/>
      <w:bookmarkEnd w:id="1444"/>
      <w:r w:rsidRPr="009E06AA">
        <w:rPr>
          <w:rFonts w:cs="Calibri"/>
          <w:i/>
          <w:iCs/>
        </w:rPr>
        <w:t xml:space="preserve"> </w:t>
      </w:r>
    </w:p>
    <w:tbl>
      <w:tblPr>
        <w:tblW w:w="8505" w:type="dxa"/>
        <w:tblBorders>
          <w:top w:val="single" w:sz="2" w:space="0" w:color="1B556B" w:themeColor="text2"/>
          <w:bottom w:val="single" w:sz="2" w:space="0" w:color="1B556B" w:themeColor="text2"/>
          <w:insideH w:val="single" w:sz="2" w:space="0" w:color="1B556B" w:themeColor="text2"/>
        </w:tblBorders>
        <w:tblCellMar>
          <w:left w:w="85" w:type="dxa"/>
          <w:right w:w="85" w:type="dxa"/>
        </w:tblCellMar>
        <w:tblLook w:val="04A0" w:firstRow="1" w:lastRow="0" w:firstColumn="1" w:lastColumn="0" w:noHBand="0" w:noVBand="1"/>
      </w:tblPr>
      <w:tblGrid>
        <w:gridCol w:w="1484"/>
        <w:gridCol w:w="2569"/>
        <w:gridCol w:w="685"/>
        <w:gridCol w:w="685"/>
        <w:gridCol w:w="1541"/>
        <w:gridCol w:w="1541"/>
      </w:tblGrid>
      <w:tr w:rsidR="007523B8" w:rsidRPr="009E06AA" w14:paraId="580950C2" w14:textId="77777777" w:rsidTr="00B55F24">
        <w:tc>
          <w:tcPr>
            <w:tcW w:w="1474" w:type="dxa"/>
            <w:shd w:val="clear" w:color="000000" w:fill="1B556B"/>
            <w:vAlign w:val="bottom"/>
            <w:hideMark/>
          </w:tcPr>
          <w:p w14:paraId="43325676" w14:textId="77777777" w:rsidR="007523B8" w:rsidRPr="009E06AA" w:rsidRDefault="007523B8" w:rsidP="00B55F24">
            <w:pPr>
              <w:pStyle w:val="TableText"/>
              <w:rPr>
                <w:b/>
                <w:bCs/>
                <w:color w:val="FFFFFF" w:themeColor="background1"/>
              </w:rPr>
            </w:pPr>
            <w:r w:rsidRPr="009E06AA">
              <w:rPr>
                <w:b/>
                <w:bCs/>
                <w:color w:val="FFFFFF" w:themeColor="background1"/>
              </w:rPr>
              <w:t>Emissions (kt CO</w:t>
            </w:r>
            <w:r w:rsidRPr="009E06AA">
              <w:rPr>
                <w:b/>
                <w:bCs/>
                <w:color w:val="FFFFFF" w:themeColor="background1"/>
                <w:vertAlign w:val="subscript"/>
              </w:rPr>
              <w:t>2</w:t>
            </w:r>
            <w:r w:rsidRPr="009E06AA">
              <w:rPr>
                <w:b/>
                <w:bCs/>
                <w:color w:val="FFFFFF" w:themeColor="background1"/>
              </w:rPr>
              <w:t>-e)</w:t>
            </w:r>
          </w:p>
        </w:tc>
        <w:tc>
          <w:tcPr>
            <w:tcW w:w="2552" w:type="dxa"/>
            <w:shd w:val="clear" w:color="000000" w:fill="1B556B"/>
            <w:vAlign w:val="bottom"/>
            <w:hideMark/>
          </w:tcPr>
          <w:p w14:paraId="7D2BC68E" w14:textId="77777777" w:rsidR="007523B8" w:rsidRPr="009E06AA" w:rsidRDefault="007523B8" w:rsidP="00B55F24">
            <w:pPr>
              <w:pStyle w:val="TableText"/>
              <w:rPr>
                <w:b/>
                <w:bCs/>
                <w:color w:val="FFFFFF" w:themeColor="background1"/>
              </w:rPr>
            </w:pPr>
            <w:r w:rsidRPr="009E06AA">
              <w:rPr>
                <w:rFonts w:cs="Calibri"/>
                <w:color w:val="000000"/>
                <w:sz w:val="20"/>
                <w:szCs w:val="20"/>
              </w:rPr>
              <w:t> </w:t>
            </w:r>
          </w:p>
        </w:tc>
        <w:tc>
          <w:tcPr>
            <w:tcW w:w="680" w:type="dxa"/>
            <w:shd w:val="clear" w:color="000000" w:fill="1B556B"/>
            <w:vAlign w:val="bottom"/>
            <w:hideMark/>
          </w:tcPr>
          <w:p w14:paraId="136D1FB0" w14:textId="77777777" w:rsidR="007523B8" w:rsidRPr="009E06AA" w:rsidRDefault="007523B8" w:rsidP="008E63BA">
            <w:pPr>
              <w:pStyle w:val="TableText"/>
              <w:jc w:val="right"/>
              <w:rPr>
                <w:b/>
                <w:bCs/>
                <w:color w:val="FFFFFF" w:themeColor="background1"/>
              </w:rPr>
            </w:pPr>
            <w:r w:rsidRPr="009E06AA">
              <w:rPr>
                <w:rFonts w:cs="Calibri"/>
                <w:b/>
                <w:bCs/>
                <w:color w:val="FFFFFF" w:themeColor="background1"/>
                <w:szCs w:val="16"/>
              </w:rPr>
              <w:t>1990</w:t>
            </w:r>
          </w:p>
        </w:tc>
        <w:tc>
          <w:tcPr>
            <w:tcW w:w="680" w:type="dxa"/>
            <w:shd w:val="clear" w:color="000000" w:fill="1B556B"/>
            <w:vAlign w:val="bottom"/>
            <w:hideMark/>
          </w:tcPr>
          <w:p w14:paraId="5C655E34" w14:textId="77777777" w:rsidR="007523B8" w:rsidRPr="009E06AA" w:rsidRDefault="007523B8" w:rsidP="008E63BA">
            <w:pPr>
              <w:pStyle w:val="TableText"/>
              <w:jc w:val="right"/>
              <w:rPr>
                <w:b/>
                <w:bCs/>
                <w:color w:val="FFFFFF" w:themeColor="background1"/>
              </w:rPr>
            </w:pPr>
            <w:r w:rsidRPr="009E06AA">
              <w:rPr>
                <w:b/>
                <w:color w:val="FFFFFF" w:themeColor="background1"/>
              </w:rPr>
              <w:t>2021</w:t>
            </w:r>
          </w:p>
        </w:tc>
        <w:tc>
          <w:tcPr>
            <w:tcW w:w="1531" w:type="dxa"/>
            <w:shd w:val="clear" w:color="000000" w:fill="1B556B"/>
            <w:vAlign w:val="bottom"/>
            <w:hideMark/>
          </w:tcPr>
          <w:p w14:paraId="37DBE4BB" w14:textId="77777777" w:rsidR="007523B8" w:rsidRPr="009E06AA" w:rsidRDefault="007523B8" w:rsidP="008E63BA">
            <w:pPr>
              <w:pStyle w:val="TableText"/>
              <w:jc w:val="right"/>
              <w:rPr>
                <w:b/>
                <w:bCs/>
                <w:color w:val="FFFFFF" w:themeColor="background1"/>
              </w:rPr>
            </w:pPr>
            <w:r w:rsidRPr="009E06AA">
              <w:rPr>
                <w:rFonts w:cs="Calibri"/>
                <w:b/>
                <w:bCs/>
                <w:color w:val="FFFFFF" w:themeColor="background1"/>
                <w:szCs w:val="16"/>
              </w:rPr>
              <w:t>Change in emission outputs between 1990 and 2021 (kt CO</w:t>
            </w:r>
            <w:r w:rsidRPr="009E06AA">
              <w:rPr>
                <w:b/>
                <w:color w:val="FFFFFF"/>
                <w:vertAlign w:val="subscript"/>
              </w:rPr>
              <w:t>2</w:t>
            </w:r>
            <w:r w:rsidRPr="009E06AA">
              <w:rPr>
                <w:b/>
                <w:color w:val="FFFFFF"/>
              </w:rPr>
              <w:t>-e)</w:t>
            </w:r>
          </w:p>
        </w:tc>
        <w:tc>
          <w:tcPr>
            <w:tcW w:w="1531" w:type="dxa"/>
            <w:shd w:val="clear" w:color="000000" w:fill="1B556B"/>
            <w:vAlign w:val="bottom"/>
            <w:hideMark/>
          </w:tcPr>
          <w:p w14:paraId="09E2ACBC" w14:textId="77777777" w:rsidR="007523B8" w:rsidRPr="009E06AA" w:rsidRDefault="007523B8" w:rsidP="008E63BA">
            <w:pPr>
              <w:pStyle w:val="TableText"/>
              <w:jc w:val="right"/>
              <w:rPr>
                <w:b/>
                <w:bCs/>
                <w:color w:val="FFFFFF" w:themeColor="background1"/>
              </w:rPr>
            </w:pPr>
            <w:r w:rsidRPr="009E06AA">
              <w:rPr>
                <w:rFonts w:cs="Calibri"/>
                <w:b/>
                <w:bCs/>
                <w:color w:val="FFFFFF" w:themeColor="background1"/>
                <w:szCs w:val="16"/>
              </w:rPr>
              <w:t>Percentage change in emission outputs between 1990 and 2021 (%)</w:t>
            </w:r>
          </w:p>
        </w:tc>
      </w:tr>
      <w:tr w:rsidR="007523B8" w:rsidRPr="009E06AA" w14:paraId="024831B2" w14:textId="77777777" w:rsidTr="00167925">
        <w:tc>
          <w:tcPr>
            <w:tcW w:w="1474" w:type="dxa"/>
            <w:vMerge w:val="restart"/>
            <w:shd w:val="clear" w:color="auto" w:fill="auto"/>
            <w:vAlign w:val="center"/>
            <w:hideMark/>
          </w:tcPr>
          <w:p w14:paraId="786BFF9C" w14:textId="77777777" w:rsidR="007523B8" w:rsidRPr="009E06AA" w:rsidRDefault="007523B8" w:rsidP="00B55F24">
            <w:pPr>
              <w:pStyle w:val="TableText"/>
              <w:rPr>
                <w:color w:val="000000"/>
              </w:rPr>
            </w:pPr>
            <w:r w:rsidRPr="009E06AA">
              <w:rPr>
                <w:color w:val="000000"/>
              </w:rPr>
              <w:t xml:space="preserve">Total emissions from </w:t>
            </w:r>
            <w:r w:rsidRPr="009E06AA">
              <w:rPr>
                <w:i/>
                <w:iCs/>
                <w:color w:val="000000"/>
              </w:rPr>
              <w:t>Agricultural soils</w:t>
            </w:r>
            <w:r w:rsidRPr="009E06AA">
              <w:rPr>
                <w:color w:val="000000"/>
              </w:rPr>
              <w:t xml:space="preserve"> (kt CO</w:t>
            </w:r>
            <w:r w:rsidRPr="009E06AA">
              <w:rPr>
                <w:color w:val="000000"/>
                <w:vertAlign w:val="subscript"/>
              </w:rPr>
              <w:t>2</w:t>
            </w:r>
            <w:r w:rsidRPr="009E06AA">
              <w:rPr>
                <w:color w:val="000000"/>
              </w:rPr>
              <w:t>-e)</w:t>
            </w:r>
          </w:p>
        </w:tc>
        <w:tc>
          <w:tcPr>
            <w:tcW w:w="2552" w:type="dxa"/>
            <w:shd w:val="clear" w:color="auto" w:fill="auto"/>
            <w:vAlign w:val="center"/>
            <w:hideMark/>
          </w:tcPr>
          <w:p w14:paraId="6239FB68" w14:textId="77777777" w:rsidR="007523B8" w:rsidRPr="009E06AA" w:rsidRDefault="007523B8" w:rsidP="00B55F24">
            <w:pPr>
              <w:pStyle w:val="TableText"/>
              <w:rPr>
                <w:color w:val="000000"/>
              </w:rPr>
            </w:pPr>
            <w:r w:rsidRPr="009E06AA">
              <w:rPr>
                <w:rFonts w:cs="Calibri"/>
                <w:color w:val="000000"/>
                <w:szCs w:val="16"/>
              </w:rPr>
              <w:t>2023 (1990–2021) emissions estimate using previous excel model </w:t>
            </w:r>
          </w:p>
        </w:tc>
        <w:tc>
          <w:tcPr>
            <w:tcW w:w="680" w:type="dxa"/>
            <w:shd w:val="clear" w:color="auto" w:fill="auto"/>
            <w:hideMark/>
          </w:tcPr>
          <w:p w14:paraId="656EA8CF" w14:textId="77777777" w:rsidR="007523B8" w:rsidRPr="009E06AA" w:rsidRDefault="007523B8" w:rsidP="008E63BA">
            <w:pPr>
              <w:pStyle w:val="TableText"/>
              <w:jc w:val="right"/>
              <w:rPr>
                <w:color w:val="000000"/>
              </w:rPr>
            </w:pPr>
            <w:r w:rsidRPr="009E06AA">
              <w:rPr>
                <w:rFonts w:cs="Calibri"/>
                <w:color w:val="000000"/>
                <w:szCs w:val="16"/>
              </w:rPr>
              <w:t>4,639.1</w:t>
            </w:r>
          </w:p>
        </w:tc>
        <w:tc>
          <w:tcPr>
            <w:tcW w:w="680" w:type="dxa"/>
            <w:shd w:val="clear" w:color="auto" w:fill="auto"/>
            <w:hideMark/>
          </w:tcPr>
          <w:p w14:paraId="614EF9D8" w14:textId="77777777" w:rsidR="007523B8" w:rsidRPr="009E06AA" w:rsidRDefault="007523B8" w:rsidP="008E63BA">
            <w:pPr>
              <w:pStyle w:val="TableText"/>
              <w:jc w:val="right"/>
              <w:rPr>
                <w:color w:val="000000"/>
              </w:rPr>
            </w:pPr>
            <w:r w:rsidRPr="009E06AA">
              <w:rPr>
                <w:rFonts w:cs="Calibri"/>
                <w:color w:val="000000"/>
                <w:szCs w:val="16"/>
              </w:rPr>
              <w:t>6,505.1</w:t>
            </w:r>
          </w:p>
        </w:tc>
        <w:tc>
          <w:tcPr>
            <w:tcW w:w="1531" w:type="dxa"/>
            <w:shd w:val="clear" w:color="auto" w:fill="auto"/>
            <w:hideMark/>
          </w:tcPr>
          <w:p w14:paraId="2DD3BBD8" w14:textId="77777777" w:rsidR="007523B8" w:rsidRPr="009E06AA" w:rsidRDefault="007523B8" w:rsidP="008E63BA">
            <w:pPr>
              <w:pStyle w:val="TableText"/>
              <w:jc w:val="right"/>
              <w:rPr>
                <w:color w:val="000000"/>
              </w:rPr>
            </w:pPr>
            <w:r w:rsidRPr="009E06AA">
              <w:rPr>
                <w:rFonts w:cs="Calibri"/>
                <w:color w:val="000000"/>
                <w:szCs w:val="16"/>
              </w:rPr>
              <w:t>1,866.0</w:t>
            </w:r>
          </w:p>
        </w:tc>
        <w:tc>
          <w:tcPr>
            <w:tcW w:w="1531" w:type="dxa"/>
            <w:shd w:val="clear" w:color="auto" w:fill="auto"/>
            <w:hideMark/>
          </w:tcPr>
          <w:p w14:paraId="2EDA2849" w14:textId="77777777" w:rsidR="007523B8" w:rsidRPr="009E06AA" w:rsidRDefault="007523B8" w:rsidP="008E63BA">
            <w:pPr>
              <w:pStyle w:val="TableText"/>
              <w:jc w:val="right"/>
              <w:rPr>
                <w:color w:val="000000"/>
              </w:rPr>
            </w:pPr>
            <w:r w:rsidRPr="009E06AA">
              <w:rPr>
                <w:rFonts w:cs="Calibri"/>
                <w:color w:val="000000"/>
                <w:szCs w:val="16"/>
              </w:rPr>
              <w:t>40.2</w:t>
            </w:r>
          </w:p>
        </w:tc>
      </w:tr>
      <w:tr w:rsidR="007523B8" w:rsidRPr="009E06AA" w14:paraId="530BD0DB" w14:textId="77777777" w:rsidTr="00167925">
        <w:tc>
          <w:tcPr>
            <w:tcW w:w="1474" w:type="dxa"/>
            <w:vMerge/>
            <w:vAlign w:val="center"/>
            <w:hideMark/>
          </w:tcPr>
          <w:p w14:paraId="26A71D7B" w14:textId="77777777" w:rsidR="007523B8" w:rsidRPr="009E06AA" w:rsidRDefault="007523B8" w:rsidP="00B55F24">
            <w:pPr>
              <w:pStyle w:val="TableText"/>
              <w:rPr>
                <w:color w:val="000000"/>
              </w:rPr>
            </w:pPr>
          </w:p>
        </w:tc>
        <w:tc>
          <w:tcPr>
            <w:tcW w:w="2552" w:type="dxa"/>
            <w:shd w:val="clear" w:color="auto" w:fill="auto"/>
            <w:vAlign w:val="center"/>
            <w:hideMark/>
          </w:tcPr>
          <w:p w14:paraId="7422CAC7" w14:textId="77777777" w:rsidR="007523B8" w:rsidRPr="009E06AA" w:rsidRDefault="007523B8" w:rsidP="00B55F24">
            <w:pPr>
              <w:pStyle w:val="TableText"/>
              <w:rPr>
                <w:color w:val="000000"/>
              </w:rPr>
            </w:pPr>
            <w:r w:rsidRPr="009E06AA">
              <w:rPr>
                <w:rFonts w:cs="Calibri"/>
                <w:color w:val="000000"/>
                <w:szCs w:val="16"/>
              </w:rPr>
              <w:t>2023 (1990–2021) emissions estimate using new R model </w:t>
            </w:r>
          </w:p>
        </w:tc>
        <w:tc>
          <w:tcPr>
            <w:tcW w:w="680" w:type="dxa"/>
            <w:shd w:val="clear" w:color="auto" w:fill="auto"/>
            <w:hideMark/>
          </w:tcPr>
          <w:p w14:paraId="75CA35FE" w14:textId="77777777" w:rsidR="007523B8" w:rsidRPr="009E06AA" w:rsidRDefault="007523B8" w:rsidP="008E63BA">
            <w:pPr>
              <w:pStyle w:val="TableText"/>
              <w:jc w:val="right"/>
              <w:rPr>
                <w:color w:val="000000"/>
              </w:rPr>
            </w:pPr>
            <w:r w:rsidRPr="009E06AA">
              <w:rPr>
                <w:rFonts w:cs="Calibri"/>
                <w:color w:val="000000"/>
                <w:szCs w:val="16"/>
              </w:rPr>
              <w:t>4,578.9</w:t>
            </w:r>
          </w:p>
        </w:tc>
        <w:tc>
          <w:tcPr>
            <w:tcW w:w="680" w:type="dxa"/>
            <w:shd w:val="clear" w:color="auto" w:fill="auto"/>
            <w:hideMark/>
          </w:tcPr>
          <w:p w14:paraId="69863B4B" w14:textId="77777777" w:rsidR="007523B8" w:rsidRPr="009E06AA" w:rsidRDefault="007523B8" w:rsidP="008E63BA">
            <w:pPr>
              <w:pStyle w:val="TableText"/>
              <w:jc w:val="right"/>
              <w:rPr>
                <w:color w:val="000000"/>
              </w:rPr>
            </w:pPr>
            <w:r w:rsidRPr="009E06AA">
              <w:rPr>
                <w:rFonts w:cs="Calibri"/>
                <w:color w:val="000000"/>
                <w:szCs w:val="16"/>
              </w:rPr>
              <w:t>6,448.1</w:t>
            </w:r>
          </w:p>
        </w:tc>
        <w:tc>
          <w:tcPr>
            <w:tcW w:w="1531" w:type="dxa"/>
            <w:shd w:val="clear" w:color="auto" w:fill="auto"/>
            <w:hideMark/>
          </w:tcPr>
          <w:p w14:paraId="5D9DAD59" w14:textId="77777777" w:rsidR="007523B8" w:rsidRPr="009E06AA" w:rsidRDefault="007523B8" w:rsidP="008E63BA">
            <w:pPr>
              <w:pStyle w:val="TableText"/>
              <w:jc w:val="right"/>
              <w:rPr>
                <w:color w:val="000000"/>
              </w:rPr>
            </w:pPr>
            <w:r w:rsidRPr="009E06AA">
              <w:rPr>
                <w:rFonts w:cs="Calibri"/>
                <w:color w:val="000000"/>
                <w:szCs w:val="16"/>
              </w:rPr>
              <w:t>1,869.2</w:t>
            </w:r>
          </w:p>
        </w:tc>
        <w:tc>
          <w:tcPr>
            <w:tcW w:w="1531" w:type="dxa"/>
            <w:shd w:val="clear" w:color="auto" w:fill="auto"/>
            <w:hideMark/>
          </w:tcPr>
          <w:p w14:paraId="051007E7" w14:textId="77777777" w:rsidR="007523B8" w:rsidRPr="009E06AA" w:rsidRDefault="007523B8" w:rsidP="008E63BA">
            <w:pPr>
              <w:pStyle w:val="TableText"/>
              <w:jc w:val="right"/>
              <w:rPr>
                <w:color w:val="000000"/>
              </w:rPr>
            </w:pPr>
            <w:r w:rsidRPr="009E06AA">
              <w:rPr>
                <w:rFonts w:cs="Calibri"/>
                <w:color w:val="000000"/>
                <w:szCs w:val="16"/>
              </w:rPr>
              <w:t>40.8</w:t>
            </w:r>
          </w:p>
        </w:tc>
      </w:tr>
      <w:tr w:rsidR="007523B8" w:rsidRPr="009E06AA" w14:paraId="0AFE6689" w14:textId="77777777" w:rsidTr="00167925">
        <w:tc>
          <w:tcPr>
            <w:tcW w:w="1474" w:type="dxa"/>
            <w:vMerge/>
            <w:vAlign w:val="center"/>
            <w:hideMark/>
          </w:tcPr>
          <w:p w14:paraId="07583449" w14:textId="77777777" w:rsidR="007523B8" w:rsidRPr="009E06AA" w:rsidRDefault="007523B8" w:rsidP="00B55F24">
            <w:pPr>
              <w:pStyle w:val="TableText"/>
              <w:rPr>
                <w:color w:val="000000"/>
              </w:rPr>
            </w:pPr>
          </w:p>
        </w:tc>
        <w:tc>
          <w:tcPr>
            <w:tcW w:w="2552" w:type="dxa"/>
            <w:shd w:val="clear" w:color="auto" w:fill="auto"/>
            <w:vAlign w:val="center"/>
            <w:hideMark/>
          </w:tcPr>
          <w:p w14:paraId="5DDA7603" w14:textId="77777777" w:rsidR="007523B8" w:rsidRPr="009E06AA" w:rsidRDefault="007523B8" w:rsidP="00B55F24">
            <w:pPr>
              <w:pStyle w:val="TableText"/>
              <w:rPr>
                <w:color w:val="000000"/>
              </w:rPr>
            </w:pPr>
            <w:r w:rsidRPr="009E06AA">
              <w:rPr>
                <w:rFonts w:cs="Calibri"/>
                <w:color w:val="000000"/>
                <w:szCs w:val="16"/>
              </w:rPr>
              <w:t>Difference in emissions estimates compared with current inventory </w:t>
            </w:r>
          </w:p>
        </w:tc>
        <w:tc>
          <w:tcPr>
            <w:tcW w:w="680" w:type="dxa"/>
            <w:shd w:val="clear" w:color="auto" w:fill="auto"/>
            <w:hideMark/>
          </w:tcPr>
          <w:p w14:paraId="20EE3259" w14:textId="77777777" w:rsidR="007523B8" w:rsidRPr="009E06AA" w:rsidRDefault="007523B8" w:rsidP="008E63BA">
            <w:pPr>
              <w:pStyle w:val="TableText"/>
              <w:jc w:val="right"/>
              <w:rPr>
                <w:color w:val="000000"/>
              </w:rPr>
            </w:pPr>
            <w:r w:rsidRPr="009E06AA">
              <w:rPr>
                <w:rFonts w:cs="Calibri"/>
                <w:color w:val="000000"/>
                <w:szCs w:val="16"/>
              </w:rPr>
              <w:t>-60.2</w:t>
            </w:r>
          </w:p>
        </w:tc>
        <w:tc>
          <w:tcPr>
            <w:tcW w:w="680" w:type="dxa"/>
            <w:shd w:val="clear" w:color="auto" w:fill="auto"/>
            <w:hideMark/>
          </w:tcPr>
          <w:p w14:paraId="6D0E5154" w14:textId="77777777" w:rsidR="007523B8" w:rsidRPr="009E06AA" w:rsidRDefault="007523B8" w:rsidP="008E63BA">
            <w:pPr>
              <w:pStyle w:val="TableText"/>
              <w:jc w:val="right"/>
              <w:rPr>
                <w:color w:val="000000"/>
              </w:rPr>
            </w:pPr>
            <w:r w:rsidRPr="009E06AA">
              <w:rPr>
                <w:rFonts w:cs="Calibri"/>
                <w:color w:val="000000"/>
                <w:szCs w:val="16"/>
              </w:rPr>
              <w:t>-57.0</w:t>
            </w:r>
          </w:p>
        </w:tc>
        <w:tc>
          <w:tcPr>
            <w:tcW w:w="1531" w:type="dxa"/>
            <w:shd w:val="clear" w:color="auto" w:fill="auto"/>
            <w:hideMark/>
          </w:tcPr>
          <w:p w14:paraId="5952EAEA" w14:textId="77777777" w:rsidR="007523B8" w:rsidRPr="009E06AA" w:rsidRDefault="007523B8" w:rsidP="008E63BA">
            <w:pPr>
              <w:pStyle w:val="TableText"/>
              <w:jc w:val="right"/>
              <w:rPr>
                <w:color w:val="000000"/>
              </w:rPr>
            </w:pPr>
            <w:r w:rsidRPr="009E06AA">
              <w:rPr>
                <w:rFonts w:cs="Calibri"/>
                <w:color w:val="000000"/>
                <w:szCs w:val="16"/>
              </w:rPr>
              <w:t>3.2</w:t>
            </w:r>
          </w:p>
        </w:tc>
        <w:tc>
          <w:tcPr>
            <w:tcW w:w="1531" w:type="dxa"/>
            <w:shd w:val="clear" w:color="auto" w:fill="auto"/>
            <w:hideMark/>
          </w:tcPr>
          <w:p w14:paraId="5D0B0652" w14:textId="77777777" w:rsidR="007523B8" w:rsidRPr="009E06AA" w:rsidRDefault="007523B8" w:rsidP="008E63BA">
            <w:pPr>
              <w:pStyle w:val="TableText"/>
              <w:jc w:val="right"/>
              <w:rPr>
                <w:color w:val="000000"/>
              </w:rPr>
            </w:pPr>
            <w:r w:rsidRPr="009E06AA">
              <w:rPr>
                <w:rFonts w:cs="Calibri"/>
                <w:color w:val="000000"/>
                <w:szCs w:val="16"/>
              </w:rPr>
              <w:t> </w:t>
            </w:r>
          </w:p>
        </w:tc>
      </w:tr>
      <w:tr w:rsidR="007523B8" w:rsidRPr="009E06AA" w14:paraId="26DF545D" w14:textId="77777777" w:rsidTr="00167925">
        <w:tc>
          <w:tcPr>
            <w:tcW w:w="1474" w:type="dxa"/>
            <w:vMerge/>
            <w:vAlign w:val="center"/>
            <w:hideMark/>
          </w:tcPr>
          <w:p w14:paraId="5CB05B14" w14:textId="77777777" w:rsidR="007523B8" w:rsidRPr="009E06AA" w:rsidRDefault="007523B8" w:rsidP="00B55F24">
            <w:pPr>
              <w:pStyle w:val="TableText"/>
              <w:rPr>
                <w:color w:val="000000"/>
              </w:rPr>
            </w:pPr>
          </w:p>
        </w:tc>
        <w:tc>
          <w:tcPr>
            <w:tcW w:w="2552" w:type="dxa"/>
            <w:shd w:val="clear" w:color="auto" w:fill="auto"/>
            <w:vAlign w:val="center"/>
            <w:hideMark/>
          </w:tcPr>
          <w:p w14:paraId="74A2E8C7" w14:textId="77777777" w:rsidR="007523B8" w:rsidRPr="009E06AA" w:rsidRDefault="007523B8" w:rsidP="00B55F24">
            <w:pPr>
              <w:pStyle w:val="TableText"/>
              <w:rPr>
                <w:color w:val="000000"/>
              </w:rPr>
            </w:pPr>
            <w:r w:rsidRPr="009E06AA">
              <w:rPr>
                <w:rFonts w:cs="Calibri"/>
                <w:color w:val="000000"/>
                <w:szCs w:val="16"/>
              </w:rPr>
              <w:t>Percentage difference in emissions estimates (%)</w:t>
            </w:r>
          </w:p>
        </w:tc>
        <w:tc>
          <w:tcPr>
            <w:tcW w:w="680" w:type="dxa"/>
            <w:shd w:val="clear" w:color="auto" w:fill="auto"/>
            <w:hideMark/>
          </w:tcPr>
          <w:p w14:paraId="28C90451" w14:textId="77777777" w:rsidR="007523B8" w:rsidRPr="009E06AA" w:rsidRDefault="007523B8" w:rsidP="008E63BA">
            <w:pPr>
              <w:pStyle w:val="TableText"/>
              <w:jc w:val="right"/>
              <w:rPr>
                <w:color w:val="000000"/>
              </w:rPr>
            </w:pPr>
            <w:r w:rsidRPr="009E06AA">
              <w:rPr>
                <w:rFonts w:cs="Calibri"/>
                <w:color w:val="000000"/>
                <w:szCs w:val="16"/>
              </w:rPr>
              <w:t>-1.3</w:t>
            </w:r>
          </w:p>
        </w:tc>
        <w:tc>
          <w:tcPr>
            <w:tcW w:w="680" w:type="dxa"/>
            <w:shd w:val="clear" w:color="auto" w:fill="auto"/>
            <w:hideMark/>
          </w:tcPr>
          <w:p w14:paraId="42B7722A" w14:textId="77777777" w:rsidR="007523B8" w:rsidRPr="009E06AA" w:rsidRDefault="007523B8" w:rsidP="008E63BA">
            <w:pPr>
              <w:pStyle w:val="TableText"/>
              <w:jc w:val="right"/>
              <w:rPr>
                <w:color w:val="000000"/>
              </w:rPr>
            </w:pPr>
            <w:r w:rsidRPr="009E06AA">
              <w:rPr>
                <w:rFonts w:cs="Calibri"/>
                <w:color w:val="000000"/>
                <w:szCs w:val="16"/>
              </w:rPr>
              <w:t>-0.9</w:t>
            </w:r>
          </w:p>
        </w:tc>
        <w:tc>
          <w:tcPr>
            <w:tcW w:w="1531" w:type="dxa"/>
            <w:shd w:val="clear" w:color="auto" w:fill="auto"/>
            <w:hideMark/>
          </w:tcPr>
          <w:p w14:paraId="12A38DD3" w14:textId="77777777" w:rsidR="007523B8" w:rsidRPr="009E06AA" w:rsidRDefault="007523B8" w:rsidP="008E63BA">
            <w:pPr>
              <w:pStyle w:val="TableText"/>
              <w:jc w:val="right"/>
              <w:rPr>
                <w:color w:val="000000"/>
              </w:rPr>
            </w:pPr>
            <w:r w:rsidRPr="009E06AA">
              <w:rPr>
                <w:rFonts w:cs="Calibri"/>
                <w:color w:val="000000"/>
                <w:szCs w:val="16"/>
              </w:rPr>
              <w:t> </w:t>
            </w:r>
          </w:p>
        </w:tc>
        <w:tc>
          <w:tcPr>
            <w:tcW w:w="1531" w:type="dxa"/>
            <w:shd w:val="clear" w:color="auto" w:fill="auto"/>
            <w:hideMark/>
          </w:tcPr>
          <w:p w14:paraId="2784A5F4" w14:textId="77777777" w:rsidR="007523B8" w:rsidRPr="009E06AA" w:rsidRDefault="007523B8" w:rsidP="008E63BA">
            <w:pPr>
              <w:pStyle w:val="TableText"/>
              <w:jc w:val="right"/>
              <w:rPr>
                <w:color w:val="000000"/>
              </w:rPr>
            </w:pPr>
            <w:r w:rsidRPr="009E06AA">
              <w:rPr>
                <w:rFonts w:cs="Calibri"/>
                <w:color w:val="000000"/>
                <w:szCs w:val="16"/>
              </w:rPr>
              <w:t> </w:t>
            </w:r>
          </w:p>
        </w:tc>
      </w:tr>
    </w:tbl>
    <w:p w14:paraId="60B43BA4" w14:textId="77777777" w:rsidR="007523B8" w:rsidRPr="009E06AA" w:rsidRDefault="007523B8" w:rsidP="007523B8">
      <w:pPr>
        <w:pStyle w:val="Noteundertable"/>
        <w:rPr>
          <w:rFonts w:cs="Calibri"/>
        </w:rPr>
      </w:pPr>
      <w:r w:rsidRPr="009E06AA">
        <w:rPr>
          <w:rFonts w:cs="Calibri"/>
          <w:b/>
          <w:bCs/>
        </w:rPr>
        <w:t>Note:</w:t>
      </w:r>
      <w:r w:rsidRPr="009E06AA">
        <w:rPr>
          <w:rFonts w:cs="Calibri"/>
        </w:rPr>
        <w:tab/>
        <w:t>Columns may not sum due to rounding. Percentages presented are calculated from unrounded values.</w:t>
      </w:r>
    </w:p>
    <w:p w14:paraId="7D60E3D5" w14:textId="77777777" w:rsidR="007523B8" w:rsidRPr="009E06AA" w:rsidRDefault="007523B8" w:rsidP="007523B8">
      <w:pPr>
        <w:pStyle w:val="Table"/>
        <w:rPr>
          <w:rFonts w:cs="Calibri"/>
          <w:i/>
          <w:iCs/>
        </w:rPr>
      </w:pPr>
      <w:bookmarkStart w:id="1445" w:name="_Toc160114473"/>
      <w:bookmarkStart w:id="1446" w:name="_Toc164153869"/>
      <w:r w:rsidRPr="009E06AA">
        <w:rPr>
          <w:rFonts w:cs="Calibri"/>
        </w:rPr>
        <w:t>Table 5.5.17</w:t>
      </w:r>
      <w:r w:rsidRPr="009E06AA">
        <w:rPr>
          <w:rFonts w:cs="Calibri"/>
        </w:rPr>
        <w:tab/>
        <w:t>Comparison of model results with and without corrections from </w:t>
      </w:r>
      <w:r w:rsidRPr="009E06AA">
        <w:rPr>
          <w:rFonts w:cs="Calibri"/>
          <w:i/>
        </w:rPr>
        <w:t>Agricultural soils</w:t>
      </w:r>
      <w:bookmarkEnd w:id="1445"/>
      <w:bookmarkEnd w:id="1446"/>
      <w:r w:rsidRPr="009E06AA">
        <w:rPr>
          <w:rFonts w:cs="Calibri"/>
          <w:i/>
          <w:iCs/>
        </w:rPr>
        <w:t xml:space="preserve"> </w:t>
      </w:r>
    </w:p>
    <w:tbl>
      <w:tblPr>
        <w:tblW w:w="8505" w:type="dxa"/>
        <w:tblBorders>
          <w:top w:val="single" w:sz="2" w:space="0" w:color="1B556B" w:themeColor="text2"/>
          <w:bottom w:val="single" w:sz="2" w:space="0" w:color="1B556B" w:themeColor="text2"/>
          <w:insideH w:val="single" w:sz="2" w:space="0" w:color="1B556B" w:themeColor="text2"/>
        </w:tblBorders>
        <w:tblLook w:val="04A0" w:firstRow="1" w:lastRow="0" w:firstColumn="1" w:lastColumn="0" w:noHBand="0" w:noVBand="1"/>
      </w:tblPr>
      <w:tblGrid>
        <w:gridCol w:w="1577"/>
        <w:gridCol w:w="2393"/>
        <w:gridCol w:w="709"/>
        <w:gridCol w:w="708"/>
        <w:gridCol w:w="1560"/>
        <w:gridCol w:w="1558"/>
      </w:tblGrid>
      <w:tr w:rsidR="007523B8" w:rsidRPr="009E06AA" w14:paraId="1D23D35F" w14:textId="77777777" w:rsidTr="00B55F24">
        <w:tc>
          <w:tcPr>
            <w:tcW w:w="927" w:type="pct"/>
            <w:shd w:val="clear" w:color="000000" w:fill="1B556B"/>
            <w:vAlign w:val="bottom"/>
            <w:hideMark/>
          </w:tcPr>
          <w:p w14:paraId="091159BE" w14:textId="77777777" w:rsidR="007523B8" w:rsidRPr="009E06AA" w:rsidRDefault="007523B8" w:rsidP="00B55F24">
            <w:pPr>
              <w:pStyle w:val="TableText"/>
              <w:keepNext/>
              <w:rPr>
                <w:b/>
                <w:bCs/>
                <w:color w:val="FFFFFF" w:themeColor="background1"/>
              </w:rPr>
            </w:pPr>
            <w:r w:rsidRPr="009E06AA">
              <w:rPr>
                <w:b/>
                <w:bCs/>
                <w:color w:val="FFFFFF" w:themeColor="background1"/>
              </w:rPr>
              <w:t>Emissions (kt CO</w:t>
            </w:r>
            <w:r w:rsidRPr="009E06AA">
              <w:rPr>
                <w:b/>
                <w:bCs/>
                <w:color w:val="FFFFFF" w:themeColor="background1"/>
                <w:vertAlign w:val="subscript"/>
              </w:rPr>
              <w:t>2</w:t>
            </w:r>
            <w:r w:rsidRPr="009E06AA">
              <w:rPr>
                <w:b/>
                <w:bCs/>
                <w:color w:val="FFFFFF" w:themeColor="background1"/>
              </w:rPr>
              <w:t>-e)</w:t>
            </w:r>
          </w:p>
        </w:tc>
        <w:tc>
          <w:tcPr>
            <w:tcW w:w="1407" w:type="pct"/>
            <w:shd w:val="clear" w:color="000000" w:fill="1B556B"/>
            <w:vAlign w:val="bottom"/>
            <w:hideMark/>
          </w:tcPr>
          <w:p w14:paraId="79AC8F22" w14:textId="77777777" w:rsidR="007523B8" w:rsidRPr="009E06AA" w:rsidRDefault="007523B8" w:rsidP="00B55F24">
            <w:pPr>
              <w:pStyle w:val="TableText"/>
              <w:rPr>
                <w:b/>
                <w:bCs/>
                <w:color w:val="FFFFFF" w:themeColor="background1"/>
              </w:rPr>
            </w:pPr>
            <w:r w:rsidRPr="009E06AA">
              <w:rPr>
                <w:rFonts w:cs="Calibri"/>
                <w:color w:val="000000"/>
                <w:sz w:val="20"/>
                <w:szCs w:val="20"/>
              </w:rPr>
              <w:t> </w:t>
            </w:r>
          </w:p>
        </w:tc>
        <w:tc>
          <w:tcPr>
            <w:tcW w:w="417" w:type="pct"/>
            <w:shd w:val="clear" w:color="000000" w:fill="1B556B"/>
            <w:vAlign w:val="bottom"/>
            <w:hideMark/>
          </w:tcPr>
          <w:p w14:paraId="6BFC05A2" w14:textId="77777777" w:rsidR="007523B8" w:rsidRPr="009E06AA" w:rsidRDefault="007523B8" w:rsidP="008E63BA">
            <w:pPr>
              <w:pStyle w:val="TableText"/>
              <w:jc w:val="right"/>
              <w:rPr>
                <w:b/>
                <w:bCs/>
                <w:color w:val="FFFFFF" w:themeColor="background1"/>
              </w:rPr>
            </w:pPr>
            <w:r w:rsidRPr="009E06AA">
              <w:rPr>
                <w:rFonts w:cs="Calibri"/>
                <w:b/>
                <w:bCs/>
                <w:color w:val="FFFFFF" w:themeColor="background1"/>
                <w:szCs w:val="16"/>
              </w:rPr>
              <w:t>1990</w:t>
            </w:r>
          </w:p>
        </w:tc>
        <w:tc>
          <w:tcPr>
            <w:tcW w:w="416" w:type="pct"/>
            <w:shd w:val="clear" w:color="000000" w:fill="1B556B"/>
            <w:vAlign w:val="bottom"/>
            <w:hideMark/>
          </w:tcPr>
          <w:p w14:paraId="3E71027A" w14:textId="77777777" w:rsidR="007523B8" w:rsidRPr="009E06AA" w:rsidRDefault="007523B8" w:rsidP="008E63BA">
            <w:pPr>
              <w:pStyle w:val="TableText"/>
              <w:jc w:val="right"/>
              <w:rPr>
                <w:b/>
                <w:bCs/>
                <w:color w:val="FFFFFF" w:themeColor="background1"/>
              </w:rPr>
            </w:pPr>
            <w:r w:rsidRPr="009E06AA">
              <w:rPr>
                <w:rFonts w:cs="Calibri"/>
                <w:b/>
                <w:bCs/>
                <w:color w:val="FFFFFF" w:themeColor="background1"/>
                <w:szCs w:val="16"/>
              </w:rPr>
              <w:t>2021</w:t>
            </w:r>
          </w:p>
        </w:tc>
        <w:tc>
          <w:tcPr>
            <w:tcW w:w="917" w:type="pct"/>
            <w:shd w:val="clear" w:color="000000" w:fill="1B556B"/>
            <w:vAlign w:val="bottom"/>
            <w:hideMark/>
          </w:tcPr>
          <w:p w14:paraId="1078C815" w14:textId="77777777" w:rsidR="007523B8" w:rsidRPr="009E06AA" w:rsidRDefault="007523B8" w:rsidP="008E63BA">
            <w:pPr>
              <w:pStyle w:val="TableText"/>
              <w:jc w:val="right"/>
              <w:rPr>
                <w:b/>
                <w:bCs/>
                <w:color w:val="FFFFFF" w:themeColor="background1"/>
              </w:rPr>
            </w:pPr>
            <w:r w:rsidRPr="009E06AA">
              <w:rPr>
                <w:rFonts w:cs="Calibri"/>
                <w:b/>
                <w:bCs/>
                <w:color w:val="FFFFFF" w:themeColor="background1"/>
                <w:szCs w:val="16"/>
              </w:rPr>
              <w:t>Change in emission outputs between 1990 and 2021 (kt CO</w:t>
            </w:r>
            <w:r w:rsidRPr="009E06AA">
              <w:rPr>
                <w:rFonts w:cs="Calibri"/>
                <w:b/>
                <w:bCs/>
                <w:color w:val="FFFFFF"/>
                <w:szCs w:val="16"/>
                <w:vertAlign w:val="subscript"/>
              </w:rPr>
              <w:t>2</w:t>
            </w:r>
            <w:r w:rsidRPr="009E06AA">
              <w:rPr>
                <w:rFonts w:cs="Calibri"/>
                <w:b/>
                <w:bCs/>
                <w:color w:val="FFFFFF"/>
                <w:szCs w:val="16"/>
              </w:rPr>
              <w:t>-e)</w:t>
            </w:r>
          </w:p>
        </w:tc>
        <w:tc>
          <w:tcPr>
            <w:tcW w:w="916" w:type="pct"/>
            <w:shd w:val="clear" w:color="000000" w:fill="1B556B"/>
            <w:vAlign w:val="bottom"/>
            <w:hideMark/>
          </w:tcPr>
          <w:p w14:paraId="04A0853B" w14:textId="77777777" w:rsidR="007523B8" w:rsidRPr="009E06AA" w:rsidRDefault="007523B8" w:rsidP="008E63BA">
            <w:pPr>
              <w:pStyle w:val="TableText"/>
              <w:jc w:val="right"/>
              <w:rPr>
                <w:b/>
                <w:bCs/>
                <w:color w:val="FFFFFF" w:themeColor="background1"/>
              </w:rPr>
            </w:pPr>
            <w:r w:rsidRPr="009E06AA">
              <w:rPr>
                <w:rFonts w:cs="Calibri"/>
                <w:b/>
                <w:bCs/>
                <w:color w:val="FFFFFF" w:themeColor="background1"/>
                <w:szCs w:val="16"/>
              </w:rPr>
              <w:t>Percentage change in emission outputs between 1990 and 2021 (%)</w:t>
            </w:r>
          </w:p>
        </w:tc>
      </w:tr>
      <w:tr w:rsidR="007523B8" w:rsidRPr="009E06AA" w14:paraId="1BC74B8A" w14:textId="77777777" w:rsidTr="00B55F24">
        <w:tc>
          <w:tcPr>
            <w:tcW w:w="927" w:type="pct"/>
            <w:vMerge w:val="restart"/>
            <w:shd w:val="clear" w:color="auto" w:fill="auto"/>
            <w:vAlign w:val="center"/>
            <w:hideMark/>
          </w:tcPr>
          <w:p w14:paraId="02709A10" w14:textId="77777777" w:rsidR="007523B8" w:rsidRPr="009E06AA" w:rsidRDefault="007523B8" w:rsidP="00B55F24">
            <w:pPr>
              <w:pStyle w:val="TableText"/>
              <w:rPr>
                <w:color w:val="000000"/>
              </w:rPr>
            </w:pPr>
            <w:r w:rsidRPr="009E06AA">
              <w:rPr>
                <w:color w:val="000000"/>
              </w:rPr>
              <w:t xml:space="preserve">Total emissions from </w:t>
            </w:r>
            <w:r w:rsidRPr="009E06AA">
              <w:rPr>
                <w:i/>
                <w:iCs/>
                <w:color w:val="000000"/>
              </w:rPr>
              <w:t>Agricultural soils</w:t>
            </w:r>
            <w:r w:rsidRPr="009E06AA">
              <w:rPr>
                <w:color w:val="000000"/>
              </w:rPr>
              <w:t xml:space="preserve"> (kt CO</w:t>
            </w:r>
            <w:r w:rsidRPr="009E06AA">
              <w:rPr>
                <w:color w:val="000000"/>
                <w:vertAlign w:val="subscript"/>
              </w:rPr>
              <w:t>2</w:t>
            </w:r>
            <w:r w:rsidRPr="009E06AA">
              <w:rPr>
                <w:color w:val="000000"/>
              </w:rPr>
              <w:t>-e)</w:t>
            </w:r>
          </w:p>
        </w:tc>
        <w:tc>
          <w:tcPr>
            <w:tcW w:w="1407" w:type="pct"/>
            <w:shd w:val="clear" w:color="auto" w:fill="auto"/>
            <w:vAlign w:val="center"/>
            <w:hideMark/>
          </w:tcPr>
          <w:p w14:paraId="34D31448" w14:textId="77777777" w:rsidR="007523B8" w:rsidRPr="009E06AA" w:rsidRDefault="007523B8" w:rsidP="00B55F24">
            <w:pPr>
              <w:pStyle w:val="TableText"/>
              <w:rPr>
                <w:color w:val="000000"/>
              </w:rPr>
            </w:pPr>
            <w:r w:rsidRPr="009E06AA">
              <w:rPr>
                <w:rFonts w:cs="Calibri"/>
                <w:color w:val="000000"/>
                <w:szCs w:val="16"/>
              </w:rPr>
              <w:t>2023 (1990–2021) emissions estimate without corrections</w:t>
            </w:r>
          </w:p>
        </w:tc>
        <w:tc>
          <w:tcPr>
            <w:tcW w:w="417" w:type="pct"/>
            <w:shd w:val="clear" w:color="auto" w:fill="auto"/>
            <w:hideMark/>
          </w:tcPr>
          <w:p w14:paraId="20BDD80A" w14:textId="77777777" w:rsidR="007523B8" w:rsidRPr="009E06AA" w:rsidRDefault="007523B8" w:rsidP="008E63BA">
            <w:pPr>
              <w:pStyle w:val="TableText"/>
              <w:jc w:val="right"/>
              <w:rPr>
                <w:color w:val="000000"/>
              </w:rPr>
            </w:pPr>
            <w:r w:rsidRPr="009E06AA">
              <w:rPr>
                <w:rFonts w:cs="Calibri"/>
                <w:color w:val="000000"/>
                <w:szCs w:val="16"/>
              </w:rPr>
              <w:t>4,639.1</w:t>
            </w:r>
          </w:p>
        </w:tc>
        <w:tc>
          <w:tcPr>
            <w:tcW w:w="416" w:type="pct"/>
            <w:shd w:val="clear" w:color="auto" w:fill="auto"/>
            <w:hideMark/>
          </w:tcPr>
          <w:p w14:paraId="2E15C5DC" w14:textId="77777777" w:rsidR="007523B8" w:rsidRPr="009E06AA" w:rsidRDefault="007523B8" w:rsidP="008E63BA">
            <w:pPr>
              <w:pStyle w:val="TableText"/>
              <w:jc w:val="right"/>
              <w:rPr>
                <w:color w:val="000000"/>
              </w:rPr>
            </w:pPr>
            <w:r w:rsidRPr="009E06AA">
              <w:rPr>
                <w:rFonts w:cs="Calibri"/>
                <w:color w:val="000000"/>
                <w:szCs w:val="16"/>
              </w:rPr>
              <w:t>6,505.1</w:t>
            </w:r>
          </w:p>
        </w:tc>
        <w:tc>
          <w:tcPr>
            <w:tcW w:w="917" w:type="pct"/>
            <w:shd w:val="clear" w:color="auto" w:fill="auto"/>
            <w:hideMark/>
          </w:tcPr>
          <w:p w14:paraId="145454AD" w14:textId="77777777" w:rsidR="007523B8" w:rsidRPr="009E06AA" w:rsidRDefault="007523B8" w:rsidP="008E63BA">
            <w:pPr>
              <w:pStyle w:val="TableText"/>
              <w:jc w:val="right"/>
              <w:rPr>
                <w:color w:val="000000"/>
              </w:rPr>
            </w:pPr>
            <w:r w:rsidRPr="009E06AA">
              <w:rPr>
                <w:rFonts w:cs="Calibri"/>
                <w:color w:val="000000"/>
                <w:szCs w:val="16"/>
              </w:rPr>
              <w:t>1,866.0</w:t>
            </w:r>
          </w:p>
        </w:tc>
        <w:tc>
          <w:tcPr>
            <w:tcW w:w="916" w:type="pct"/>
            <w:shd w:val="clear" w:color="auto" w:fill="auto"/>
            <w:hideMark/>
          </w:tcPr>
          <w:p w14:paraId="02413CD4" w14:textId="77777777" w:rsidR="007523B8" w:rsidRPr="009E06AA" w:rsidRDefault="007523B8" w:rsidP="008E63BA">
            <w:pPr>
              <w:pStyle w:val="TableText"/>
              <w:jc w:val="right"/>
              <w:rPr>
                <w:color w:val="000000"/>
              </w:rPr>
            </w:pPr>
            <w:r w:rsidRPr="009E06AA">
              <w:rPr>
                <w:rFonts w:cs="Calibri"/>
                <w:color w:val="000000"/>
                <w:szCs w:val="16"/>
              </w:rPr>
              <w:t>40.2</w:t>
            </w:r>
          </w:p>
        </w:tc>
      </w:tr>
      <w:tr w:rsidR="007523B8" w:rsidRPr="009E06AA" w14:paraId="6ECF68CA" w14:textId="77777777" w:rsidTr="00B55F24">
        <w:tc>
          <w:tcPr>
            <w:tcW w:w="927" w:type="pct"/>
            <w:vMerge/>
            <w:vAlign w:val="center"/>
            <w:hideMark/>
          </w:tcPr>
          <w:p w14:paraId="47A99B4A" w14:textId="77777777" w:rsidR="007523B8" w:rsidRPr="009E06AA" w:rsidRDefault="007523B8" w:rsidP="00B55F24">
            <w:pPr>
              <w:pStyle w:val="TableText"/>
              <w:rPr>
                <w:color w:val="000000"/>
              </w:rPr>
            </w:pPr>
          </w:p>
        </w:tc>
        <w:tc>
          <w:tcPr>
            <w:tcW w:w="1407" w:type="pct"/>
            <w:shd w:val="clear" w:color="auto" w:fill="auto"/>
            <w:vAlign w:val="center"/>
            <w:hideMark/>
          </w:tcPr>
          <w:p w14:paraId="50B75287" w14:textId="77777777" w:rsidR="007523B8" w:rsidRPr="009E06AA" w:rsidRDefault="007523B8" w:rsidP="00B55F24">
            <w:pPr>
              <w:pStyle w:val="TableText"/>
              <w:rPr>
                <w:color w:val="000000"/>
              </w:rPr>
            </w:pPr>
            <w:r w:rsidRPr="009E06AA">
              <w:rPr>
                <w:rFonts w:cs="Calibri"/>
                <w:color w:val="000000"/>
                <w:szCs w:val="16"/>
              </w:rPr>
              <w:t>2023 (1990–2021) emissions estimate with corrections</w:t>
            </w:r>
          </w:p>
        </w:tc>
        <w:tc>
          <w:tcPr>
            <w:tcW w:w="417" w:type="pct"/>
            <w:shd w:val="clear" w:color="auto" w:fill="auto"/>
            <w:hideMark/>
          </w:tcPr>
          <w:p w14:paraId="23E5ED6C" w14:textId="77777777" w:rsidR="007523B8" w:rsidRPr="009E06AA" w:rsidRDefault="007523B8" w:rsidP="008E63BA">
            <w:pPr>
              <w:pStyle w:val="TableText"/>
              <w:jc w:val="right"/>
              <w:rPr>
                <w:color w:val="000000"/>
              </w:rPr>
            </w:pPr>
            <w:r w:rsidRPr="009E06AA">
              <w:rPr>
                <w:rFonts w:cs="Calibri"/>
                <w:color w:val="000000"/>
                <w:szCs w:val="16"/>
              </w:rPr>
              <w:t>4,614.5</w:t>
            </w:r>
          </w:p>
        </w:tc>
        <w:tc>
          <w:tcPr>
            <w:tcW w:w="416" w:type="pct"/>
            <w:shd w:val="clear" w:color="auto" w:fill="auto"/>
            <w:hideMark/>
          </w:tcPr>
          <w:p w14:paraId="46D1FCAF" w14:textId="77777777" w:rsidR="007523B8" w:rsidRPr="009E06AA" w:rsidRDefault="007523B8" w:rsidP="008E63BA">
            <w:pPr>
              <w:pStyle w:val="TableText"/>
              <w:jc w:val="right"/>
              <w:rPr>
                <w:color w:val="000000"/>
              </w:rPr>
            </w:pPr>
            <w:r w:rsidRPr="009E06AA">
              <w:rPr>
                <w:rFonts w:cs="Calibri"/>
                <w:color w:val="000000"/>
                <w:szCs w:val="16"/>
              </w:rPr>
              <w:t>6,619.1</w:t>
            </w:r>
          </w:p>
        </w:tc>
        <w:tc>
          <w:tcPr>
            <w:tcW w:w="917" w:type="pct"/>
            <w:shd w:val="clear" w:color="auto" w:fill="auto"/>
            <w:hideMark/>
          </w:tcPr>
          <w:p w14:paraId="00D7A51D" w14:textId="77777777" w:rsidR="007523B8" w:rsidRPr="009E06AA" w:rsidRDefault="007523B8" w:rsidP="008E63BA">
            <w:pPr>
              <w:pStyle w:val="TableText"/>
              <w:jc w:val="right"/>
              <w:rPr>
                <w:color w:val="000000"/>
              </w:rPr>
            </w:pPr>
            <w:r w:rsidRPr="009E06AA">
              <w:rPr>
                <w:rFonts w:cs="Calibri"/>
                <w:color w:val="000000"/>
                <w:szCs w:val="16"/>
              </w:rPr>
              <w:t>2,004.6</w:t>
            </w:r>
          </w:p>
        </w:tc>
        <w:tc>
          <w:tcPr>
            <w:tcW w:w="916" w:type="pct"/>
            <w:shd w:val="clear" w:color="auto" w:fill="auto"/>
            <w:hideMark/>
          </w:tcPr>
          <w:p w14:paraId="6BE5ED59" w14:textId="77777777" w:rsidR="007523B8" w:rsidRPr="009E06AA" w:rsidRDefault="007523B8" w:rsidP="008E63BA">
            <w:pPr>
              <w:pStyle w:val="TableText"/>
              <w:jc w:val="right"/>
              <w:rPr>
                <w:color w:val="000000"/>
              </w:rPr>
            </w:pPr>
            <w:r w:rsidRPr="009E06AA">
              <w:rPr>
                <w:rFonts w:cs="Calibri"/>
                <w:color w:val="000000"/>
                <w:szCs w:val="16"/>
              </w:rPr>
              <w:t>43.4</w:t>
            </w:r>
          </w:p>
        </w:tc>
      </w:tr>
      <w:tr w:rsidR="007523B8" w:rsidRPr="009E06AA" w14:paraId="14536A7D" w14:textId="77777777" w:rsidTr="00B55F24">
        <w:tc>
          <w:tcPr>
            <w:tcW w:w="927" w:type="pct"/>
            <w:vMerge/>
            <w:vAlign w:val="center"/>
            <w:hideMark/>
          </w:tcPr>
          <w:p w14:paraId="25F403B2" w14:textId="77777777" w:rsidR="007523B8" w:rsidRPr="009E06AA" w:rsidRDefault="007523B8" w:rsidP="00B55F24">
            <w:pPr>
              <w:pStyle w:val="TableText"/>
              <w:rPr>
                <w:color w:val="000000"/>
              </w:rPr>
            </w:pPr>
          </w:p>
        </w:tc>
        <w:tc>
          <w:tcPr>
            <w:tcW w:w="1407" w:type="pct"/>
            <w:shd w:val="clear" w:color="auto" w:fill="auto"/>
            <w:vAlign w:val="center"/>
            <w:hideMark/>
          </w:tcPr>
          <w:p w14:paraId="1D3E9650" w14:textId="77777777" w:rsidR="007523B8" w:rsidRPr="009E06AA" w:rsidRDefault="007523B8" w:rsidP="00B55F24">
            <w:pPr>
              <w:pStyle w:val="TableText"/>
              <w:rPr>
                <w:color w:val="000000"/>
              </w:rPr>
            </w:pPr>
            <w:r w:rsidRPr="009E06AA">
              <w:rPr>
                <w:rFonts w:cs="Calibri"/>
                <w:color w:val="000000"/>
                <w:szCs w:val="16"/>
              </w:rPr>
              <w:t>Difference in emissions estimates compared with current inventory </w:t>
            </w:r>
          </w:p>
        </w:tc>
        <w:tc>
          <w:tcPr>
            <w:tcW w:w="417" w:type="pct"/>
            <w:shd w:val="clear" w:color="auto" w:fill="auto"/>
            <w:hideMark/>
          </w:tcPr>
          <w:p w14:paraId="05193BF4" w14:textId="77777777" w:rsidR="007523B8" w:rsidRPr="009E06AA" w:rsidRDefault="007523B8" w:rsidP="008E63BA">
            <w:pPr>
              <w:pStyle w:val="TableText"/>
              <w:jc w:val="right"/>
              <w:rPr>
                <w:color w:val="000000"/>
              </w:rPr>
            </w:pPr>
            <w:r w:rsidRPr="009E06AA">
              <w:rPr>
                <w:rFonts w:cs="Calibri"/>
                <w:color w:val="000000"/>
                <w:szCs w:val="16"/>
              </w:rPr>
              <w:t>-24.6</w:t>
            </w:r>
          </w:p>
        </w:tc>
        <w:tc>
          <w:tcPr>
            <w:tcW w:w="416" w:type="pct"/>
            <w:shd w:val="clear" w:color="auto" w:fill="auto"/>
            <w:hideMark/>
          </w:tcPr>
          <w:p w14:paraId="341DBEA8" w14:textId="77777777" w:rsidR="007523B8" w:rsidRPr="009E06AA" w:rsidRDefault="007523B8" w:rsidP="008E63BA">
            <w:pPr>
              <w:pStyle w:val="TableText"/>
              <w:jc w:val="right"/>
              <w:rPr>
                <w:color w:val="000000"/>
              </w:rPr>
            </w:pPr>
            <w:r w:rsidRPr="009E06AA">
              <w:rPr>
                <w:rFonts w:cs="Calibri"/>
                <w:color w:val="000000"/>
                <w:szCs w:val="16"/>
              </w:rPr>
              <w:t>114.0</w:t>
            </w:r>
          </w:p>
        </w:tc>
        <w:tc>
          <w:tcPr>
            <w:tcW w:w="917" w:type="pct"/>
            <w:shd w:val="clear" w:color="auto" w:fill="auto"/>
            <w:hideMark/>
          </w:tcPr>
          <w:p w14:paraId="742803A7" w14:textId="77777777" w:rsidR="007523B8" w:rsidRPr="009E06AA" w:rsidRDefault="007523B8" w:rsidP="008E63BA">
            <w:pPr>
              <w:pStyle w:val="TableText"/>
              <w:jc w:val="right"/>
              <w:rPr>
                <w:color w:val="000000"/>
              </w:rPr>
            </w:pPr>
            <w:r w:rsidRPr="009E06AA">
              <w:rPr>
                <w:rFonts w:cs="Calibri"/>
                <w:color w:val="000000"/>
                <w:szCs w:val="16"/>
              </w:rPr>
              <w:t>138.6</w:t>
            </w:r>
          </w:p>
        </w:tc>
        <w:tc>
          <w:tcPr>
            <w:tcW w:w="916" w:type="pct"/>
            <w:shd w:val="clear" w:color="auto" w:fill="auto"/>
            <w:hideMark/>
          </w:tcPr>
          <w:p w14:paraId="3E210897" w14:textId="77777777" w:rsidR="007523B8" w:rsidRPr="009E06AA" w:rsidRDefault="007523B8" w:rsidP="008E63BA">
            <w:pPr>
              <w:pStyle w:val="TableText"/>
              <w:jc w:val="right"/>
              <w:rPr>
                <w:color w:val="000000"/>
              </w:rPr>
            </w:pPr>
            <w:r w:rsidRPr="009E06AA">
              <w:rPr>
                <w:rFonts w:cs="Calibri"/>
                <w:color w:val="000000"/>
                <w:szCs w:val="16"/>
              </w:rPr>
              <w:t> </w:t>
            </w:r>
          </w:p>
        </w:tc>
      </w:tr>
      <w:tr w:rsidR="007523B8" w:rsidRPr="009E06AA" w14:paraId="199A7403" w14:textId="77777777" w:rsidTr="00B55F24">
        <w:tc>
          <w:tcPr>
            <w:tcW w:w="927" w:type="pct"/>
            <w:vMerge/>
            <w:vAlign w:val="center"/>
            <w:hideMark/>
          </w:tcPr>
          <w:p w14:paraId="5F290AE2" w14:textId="77777777" w:rsidR="007523B8" w:rsidRPr="009E06AA" w:rsidRDefault="007523B8" w:rsidP="00B55F24">
            <w:pPr>
              <w:pStyle w:val="TableText"/>
              <w:rPr>
                <w:color w:val="000000"/>
              </w:rPr>
            </w:pPr>
          </w:p>
        </w:tc>
        <w:tc>
          <w:tcPr>
            <w:tcW w:w="1407" w:type="pct"/>
            <w:shd w:val="clear" w:color="auto" w:fill="auto"/>
            <w:vAlign w:val="center"/>
            <w:hideMark/>
          </w:tcPr>
          <w:p w14:paraId="44937943" w14:textId="77777777" w:rsidR="007523B8" w:rsidRPr="009E06AA" w:rsidRDefault="007523B8" w:rsidP="00B55F24">
            <w:pPr>
              <w:pStyle w:val="TableText"/>
              <w:rPr>
                <w:color w:val="000000"/>
              </w:rPr>
            </w:pPr>
            <w:r w:rsidRPr="009E06AA">
              <w:rPr>
                <w:rFonts w:cs="Calibri"/>
                <w:color w:val="000000"/>
                <w:szCs w:val="16"/>
              </w:rPr>
              <w:t>Percentage difference in emissions estimates (%)</w:t>
            </w:r>
          </w:p>
        </w:tc>
        <w:tc>
          <w:tcPr>
            <w:tcW w:w="417" w:type="pct"/>
            <w:shd w:val="clear" w:color="auto" w:fill="auto"/>
            <w:hideMark/>
          </w:tcPr>
          <w:p w14:paraId="689FCE2A" w14:textId="77777777" w:rsidR="007523B8" w:rsidRPr="009E06AA" w:rsidRDefault="007523B8" w:rsidP="008E63BA">
            <w:pPr>
              <w:pStyle w:val="TableText"/>
              <w:jc w:val="right"/>
              <w:rPr>
                <w:color w:val="000000"/>
              </w:rPr>
            </w:pPr>
            <w:r w:rsidRPr="009E06AA">
              <w:rPr>
                <w:rFonts w:cs="Calibri"/>
                <w:color w:val="000000"/>
                <w:szCs w:val="16"/>
              </w:rPr>
              <w:t>-0.5</w:t>
            </w:r>
          </w:p>
        </w:tc>
        <w:tc>
          <w:tcPr>
            <w:tcW w:w="416" w:type="pct"/>
            <w:shd w:val="clear" w:color="auto" w:fill="auto"/>
            <w:hideMark/>
          </w:tcPr>
          <w:p w14:paraId="55B4FE65" w14:textId="77777777" w:rsidR="007523B8" w:rsidRPr="009E06AA" w:rsidRDefault="007523B8" w:rsidP="008E63BA">
            <w:pPr>
              <w:pStyle w:val="TableText"/>
              <w:jc w:val="right"/>
              <w:rPr>
                <w:color w:val="000000"/>
              </w:rPr>
            </w:pPr>
            <w:r w:rsidRPr="009E06AA">
              <w:rPr>
                <w:rFonts w:cs="Calibri"/>
                <w:color w:val="000000"/>
                <w:szCs w:val="16"/>
              </w:rPr>
              <w:t>1.8</w:t>
            </w:r>
          </w:p>
        </w:tc>
        <w:tc>
          <w:tcPr>
            <w:tcW w:w="917" w:type="pct"/>
            <w:shd w:val="clear" w:color="auto" w:fill="auto"/>
            <w:hideMark/>
          </w:tcPr>
          <w:p w14:paraId="1B903A11" w14:textId="77777777" w:rsidR="007523B8" w:rsidRPr="009E06AA" w:rsidRDefault="007523B8" w:rsidP="008E63BA">
            <w:pPr>
              <w:pStyle w:val="TableText"/>
              <w:jc w:val="right"/>
              <w:rPr>
                <w:color w:val="000000"/>
              </w:rPr>
            </w:pPr>
            <w:r w:rsidRPr="009E06AA">
              <w:rPr>
                <w:rFonts w:cs="Calibri"/>
                <w:color w:val="000000"/>
                <w:szCs w:val="16"/>
              </w:rPr>
              <w:t> </w:t>
            </w:r>
          </w:p>
        </w:tc>
        <w:tc>
          <w:tcPr>
            <w:tcW w:w="916" w:type="pct"/>
            <w:shd w:val="clear" w:color="auto" w:fill="auto"/>
            <w:hideMark/>
          </w:tcPr>
          <w:p w14:paraId="07105BB2" w14:textId="77777777" w:rsidR="007523B8" w:rsidRPr="009E06AA" w:rsidRDefault="007523B8" w:rsidP="008E63BA">
            <w:pPr>
              <w:pStyle w:val="TableText"/>
              <w:jc w:val="right"/>
              <w:rPr>
                <w:color w:val="000000"/>
              </w:rPr>
            </w:pPr>
            <w:r w:rsidRPr="009E06AA">
              <w:rPr>
                <w:rFonts w:cs="Calibri"/>
                <w:color w:val="000000"/>
                <w:szCs w:val="16"/>
              </w:rPr>
              <w:t> </w:t>
            </w:r>
          </w:p>
        </w:tc>
      </w:tr>
    </w:tbl>
    <w:p w14:paraId="55616158" w14:textId="77777777" w:rsidR="007523B8" w:rsidRPr="009E06AA" w:rsidRDefault="007523B8" w:rsidP="00A14D1A">
      <w:pPr>
        <w:pStyle w:val="Noteundertable"/>
        <w:spacing w:after="80"/>
        <w:rPr>
          <w:rFonts w:cs="Calibri"/>
        </w:rPr>
      </w:pPr>
      <w:r w:rsidRPr="009E06AA">
        <w:rPr>
          <w:rFonts w:cs="Calibri"/>
          <w:b/>
          <w:bCs/>
        </w:rPr>
        <w:t>Note:</w:t>
      </w:r>
      <w:r w:rsidRPr="009E06AA">
        <w:rPr>
          <w:rFonts w:cs="Calibri"/>
        </w:rPr>
        <w:tab/>
        <w:t>Columns may not sum due to rounding. Percentages presented are calculated from unrounded values.</w:t>
      </w:r>
    </w:p>
    <w:p w14:paraId="13E04709" w14:textId="77777777" w:rsidR="007523B8" w:rsidRPr="009E06AA" w:rsidRDefault="007523B8" w:rsidP="007523B8">
      <w:pPr>
        <w:pStyle w:val="Heading3"/>
      </w:pPr>
      <w:r w:rsidRPr="009E06AA">
        <w:t>5.5.6</w:t>
      </w:r>
      <w:r w:rsidRPr="009E06AA">
        <w:tab/>
        <w:t>Category-specific planned improvements</w:t>
      </w:r>
      <w:bookmarkEnd w:id="1438"/>
      <w:r w:rsidRPr="009E06AA">
        <w:t xml:space="preserve"> </w:t>
      </w:r>
    </w:p>
    <w:p w14:paraId="1E11E47C" w14:textId="77777777" w:rsidR="007523B8" w:rsidRPr="009E06AA" w:rsidRDefault="007523B8" w:rsidP="00126E65">
      <w:pPr>
        <w:pStyle w:val="BodyText"/>
        <w:keepLines/>
        <w:spacing w:before="80" w:after="100"/>
        <w:rPr>
          <w:rFonts w:cs="Calibri"/>
        </w:rPr>
      </w:pPr>
      <w:r w:rsidRPr="009E06AA">
        <w:rPr>
          <w:rFonts w:cs="Calibri"/>
          <w:spacing w:val="-2"/>
        </w:rPr>
        <w:t>New Zealand</w:t>
      </w:r>
      <w:r w:rsidRPr="009E06AA">
        <w:rPr>
          <w:rFonts w:cs="Calibri"/>
        </w:rPr>
        <w:t xml:space="preserve"> is carrying out ongoing research to improve estimates of N</w:t>
      </w:r>
      <w:r w:rsidRPr="009E06AA">
        <w:rPr>
          <w:rFonts w:cs="Calibri"/>
          <w:vertAlign w:val="subscript"/>
        </w:rPr>
        <w:t>2</w:t>
      </w:r>
      <w:r w:rsidRPr="009E06AA">
        <w:rPr>
          <w:rFonts w:cs="Calibri"/>
        </w:rPr>
        <w:t>O emissions from the </w:t>
      </w:r>
      <w:r w:rsidRPr="009E06AA">
        <w:rPr>
          <w:rFonts w:cs="Calibri"/>
          <w:i/>
          <w:iCs/>
        </w:rPr>
        <w:t>Agricultural soils</w:t>
      </w:r>
      <w:r w:rsidRPr="009E06AA">
        <w:rPr>
          <w:rFonts w:cs="Calibri"/>
        </w:rPr>
        <w:t xml:space="preserve"> category. </w:t>
      </w:r>
      <w:bookmarkStart w:id="1447" w:name="_Hlk61527169"/>
      <w:r w:rsidRPr="009E06AA">
        <w:rPr>
          <w:rFonts w:cs="Calibri"/>
        </w:rPr>
        <w:t xml:space="preserve">The projects described below outline research focused specifically on the </w:t>
      </w:r>
      <w:r w:rsidRPr="009E06AA">
        <w:rPr>
          <w:rFonts w:cs="Calibri"/>
          <w:i/>
          <w:iCs/>
        </w:rPr>
        <w:t>Agricultural soils</w:t>
      </w:r>
      <w:r w:rsidRPr="009E06AA">
        <w:rPr>
          <w:rFonts w:cs="Calibri"/>
        </w:rPr>
        <w:t xml:space="preserve"> component of the Agriculture inventory sector. Several cross-cutting, broader projects that will improve the accuracy of emissions in multiple categories (including </w:t>
      </w:r>
      <w:r w:rsidRPr="009E06AA">
        <w:rPr>
          <w:rFonts w:cs="Calibri"/>
          <w:i/>
        </w:rPr>
        <w:t>Enteric fermentation</w:t>
      </w:r>
      <w:r w:rsidRPr="009E06AA">
        <w:rPr>
          <w:rFonts w:cs="Calibri"/>
        </w:rPr>
        <w:t xml:space="preserve">, </w:t>
      </w:r>
      <w:r w:rsidRPr="009E06AA">
        <w:rPr>
          <w:rFonts w:cs="Calibri"/>
          <w:i/>
        </w:rPr>
        <w:t>Manure management</w:t>
      </w:r>
      <w:r w:rsidRPr="009E06AA">
        <w:rPr>
          <w:rFonts w:cs="Calibri"/>
        </w:rPr>
        <w:t xml:space="preserve"> and </w:t>
      </w:r>
      <w:r w:rsidRPr="009E06AA">
        <w:rPr>
          <w:rFonts w:cs="Calibri"/>
          <w:i/>
          <w:iCs/>
        </w:rPr>
        <w:t>Agricultural soils</w:t>
      </w:r>
      <w:r w:rsidRPr="009E06AA">
        <w:rPr>
          <w:rFonts w:cs="Calibri"/>
        </w:rPr>
        <w:t>) are described in section 5.1.7.</w:t>
      </w:r>
      <w:bookmarkEnd w:id="1447"/>
    </w:p>
    <w:p w14:paraId="2F773613" w14:textId="77777777" w:rsidR="007523B8" w:rsidRPr="009E06AA" w:rsidRDefault="007523B8" w:rsidP="00511297">
      <w:pPr>
        <w:pStyle w:val="Heading5"/>
        <w:spacing w:before="220"/>
      </w:pPr>
      <w:r w:rsidRPr="009E06AA">
        <w:t>Nitrous oxide</w:t>
      </w:r>
      <w:r w:rsidRPr="009E06AA" w:rsidDel="00637A3F">
        <w:t xml:space="preserve"> </w:t>
      </w:r>
      <w:r w:rsidRPr="009E06AA">
        <w:t>emissions from nitrogen fertilisers</w:t>
      </w:r>
    </w:p>
    <w:p w14:paraId="0B624641" w14:textId="77777777" w:rsidR="007523B8" w:rsidRPr="009E06AA" w:rsidRDefault="007523B8" w:rsidP="00126E65">
      <w:pPr>
        <w:pStyle w:val="BodyText"/>
        <w:spacing w:before="80" w:after="100"/>
      </w:pPr>
      <w:r w:rsidRPr="009E06AA">
        <w:t xml:space="preserve">This project will investigate whether more disaggregated emission factors for different types of </w:t>
      </w:r>
      <w:r w:rsidRPr="009E06AA">
        <w:rPr>
          <w:spacing w:val="-2"/>
        </w:rPr>
        <w:t>nitrogen fertilisers are needed. The Agriculture inventory model estimates direct N</w:t>
      </w:r>
      <w:r w:rsidRPr="009E06AA">
        <w:rPr>
          <w:spacing w:val="-2"/>
          <w:vertAlign w:val="subscript"/>
        </w:rPr>
        <w:t>2</w:t>
      </w:r>
      <w:r w:rsidRPr="009E06AA">
        <w:rPr>
          <w:spacing w:val="-2"/>
        </w:rPr>
        <w:t>O emission</w:t>
      </w:r>
      <w:r w:rsidRPr="009E06AA">
        <w:t>s from the application of synthetic nitrogen fertiliser, and currently has separate emission factor (EF</w:t>
      </w:r>
      <w:r w:rsidRPr="009E06AA">
        <w:rPr>
          <w:vertAlign w:val="subscript"/>
        </w:rPr>
        <w:t>1</w:t>
      </w:r>
      <w:r w:rsidRPr="009E06AA">
        <w:t>) values for urea and non-urea fertiliser. Field trials are scheduled for 2024 to determine if there are different EF</w:t>
      </w:r>
      <w:r w:rsidRPr="009E06AA">
        <w:rPr>
          <w:vertAlign w:val="subscript"/>
        </w:rPr>
        <w:t>1</w:t>
      </w:r>
      <w:r w:rsidRPr="009E06AA">
        <w:t xml:space="preserve"> values for different types of non-urea nitrogen fertilisers.</w:t>
      </w:r>
    </w:p>
    <w:p w14:paraId="542DECCD" w14:textId="5646FBEA" w:rsidR="007523B8" w:rsidRPr="009E06AA" w:rsidRDefault="007523B8" w:rsidP="00511297">
      <w:pPr>
        <w:pStyle w:val="Heading5"/>
        <w:spacing w:before="220"/>
      </w:pPr>
      <w:r w:rsidRPr="009E06AA">
        <w:t>Measurements of nitrous oxide emissions in spring and summer to develop EF</w:t>
      </w:r>
      <w:r w:rsidRPr="009E06AA">
        <w:rPr>
          <w:vertAlign w:val="subscript"/>
        </w:rPr>
        <w:t>3</w:t>
      </w:r>
      <w:r w:rsidRPr="009E06AA">
        <w:t xml:space="preserve"> values that</w:t>
      </w:r>
      <w:r w:rsidR="00126E65" w:rsidRPr="009E06AA">
        <w:t> </w:t>
      </w:r>
      <w:r w:rsidRPr="009E06AA">
        <w:t>vary by season</w:t>
      </w:r>
    </w:p>
    <w:p w14:paraId="00E24F5D" w14:textId="77777777" w:rsidR="007523B8" w:rsidRPr="009E06AA" w:rsidRDefault="007523B8" w:rsidP="00126E65">
      <w:pPr>
        <w:pStyle w:val="BodyText"/>
        <w:spacing w:before="80" w:after="100"/>
      </w:pPr>
      <w:r w:rsidRPr="009E06AA">
        <w:t>The database used to produce country-specific N</w:t>
      </w:r>
      <w:r w:rsidRPr="009E06AA">
        <w:rPr>
          <w:vertAlign w:val="subscript"/>
        </w:rPr>
        <w:t>2</w:t>
      </w:r>
      <w:r w:rsidRPr="009E06AA">
        <w:t>O EF</w:t>
      </w:r>
      <w:r w:rsidRPr="009E06AA">
        <w:rPr>
          <w:vertAlign w:val="subscript"/>
        </w:rPr>
        <w:t>3</w:t>
      </w:r>
      <w:r w:rsidRPr="009E06AA">
        <w:t xml:space="preserve"> values is currently unbalanced by season, with ‘summer’ data representing only 11 per cent of the dataset and ‘spring’ data also being under-represented albeit to a lesser extent. A series of summer and spring-based N</w:t>
      </w:r>
      <w:r w:rsidRPr="009E06AA">
        <w:rPr>
          <w:vertAlign w:val="subscript"/>
        </w:rPr>
        <w:t>2</w:t>
      </w:r>
      <w:r w:rsidRPr="009E06AA">
        <w:t>O EF</w:t>
      </w:r>
      <w:r w:rsidRPr="009E06AA">
        <w:rPr>
          <w:vertAlign w:val="subscript"/>
        </w:rPr>
        <w:t>3</w:t>
      </w:r>
      <w:r w:rsidRPr="009E06AA">
        <w:t xml:space="preserve"> field studies across </w:t>
      </w:r>
      <w:r w:rsidRPr="009E06AA" w:rsidDel="006E4AE7">
        <w:rPr>
          <w:rFonts w:cs="Calibri"/>
          <w:spacing w:val="-2"/>
        </w:rPr>
        <w:t xml:space="preserve">New </w:t>
      </w:r>
      <w:r w:rsidRPr="009E06AA">
        <w:rPr>
          <w:rFonts w:cs="Calibri"/>
          <w:spacing w:val="-2"/>
        </w:rPr>
        <w:t>Zealand</w:t>
      </w:r>
      <w:r w:rsidRPr="009E06AA">
        <w:t xml:space="preserve"> will be conducted, with key soil and climate data also being reported on. This research will expand on the collection of the traditional set of soil and climate data, to provide for future development of Tier 3 emission factors via process-based modelling of the dataset.</w:t>
      </w:r>
    </w:p>
    <w:p w14:paraId="050B62ED" w14:textId="77777777" w:rsidR="007523B8" w:rsidRPr="009E06AA" w:rsidRDefault="007523B8" w:rsidP="00511297">
      <w:pPr>
        <w:pStyle w:val="Heading5"/>
        <w:spacing w:before="220"/>
      </w:pPr>
      <w:r w:rsidRPr="009E06AA">
        <w:t>Improving organic soil activity data</w:t>
      </w:r>
    </w:p>
    <w:p w14:paraId="20DEE429" w14:textId="77777777" w:rsidR="007523B8" w:rsidRPr="009E06AA" w:rsidRDefault="007523B8" w:rsidP="00126E65">
      <w:pPr>
        <w:pStyle w:val="BodyText"/>
        <w:spacing w:before="100" w:after="100"/>
      </w:pPr>
      <w:r w:rsidRPr="009E06AA">
        <w:t xml:space="preserve">This project will build on recently completed work assessing what is required for </w:t>
      </w:r>
      <w:r w:rsidRPr="009E06AA" w:rsidDel="00864E75">
        <w:rPr>
          <w:rFonts w:cs="Calibri"/>
          <w:spacing w:val="-2"/>
        </w:rPr>
        <w:t xml:space="preserve">New </w:t>
      </w:r>
      <w:r w:rsidRPr="009E06AA">
        <w:rPr>
          <w:rFonts w:cs="Calibri"/>
          <w:spacing w:val="-2"/>
        </w:rPr>
        <w:t>Zealand</w:t>
      </w:r>
      <w:r w:rsidRPr="009E06AA">
        <w:t xml:space="preserve"> to implement the 2013 IPCC Wetland Supplement into the inventory (IPCC, 2014). The 2006 IPCC Guidelines (IPCC, 2006) are still used to estimate greenhouse gas emissions from managed organic soils, however, improved activity data and national emission factors are required to improve the accuracy of emissions accounting and reduce associated uncertainties.</w:t>
      </w:r>
    </w:p>
    <w:p w14:paraId="21E3B180" w14:textId="77777777" w:rsidR="007523B8" w:rsidRPr="009E06AA" w:rsidRDefault="007523B8" w:rsidP="00511297">
      <w:pPr>
        <w:pStyle w:val="Heading5"/>
        <w:spacing w:before="220"/>
      </w:pPr>
      <w:r w:rsidRPr="009E06AA">
        <w:t>Inventory methodology for enhanced rock weathering</w:t>
      </w:r>
    </w:p>
    <w:p w14:paraId="371D4352" w14:textId="77777777" w:rsidR="007523B8" w:rsidRPr="009E06AA" w:rsidRDefault="007523B8" w:rsidP="00126E65">
      <w:pPr>
        <w:pStyle w:val="BodyText"/>
        <w:spacing w:before="100" w:after="100"/>
      </w:pPr>
      <w:r w:rsidRPr="009E06AA">
        <w:t xml:space="preserve">Enhanced rock weathering is an emerging negative emission technology and greenhouse gas mitigation tool. This has a large scope for application in </w:t>
      </w:r>
      <w:r w:rsidRPr="009E06AA" w:rsidDel="00B248BA">
        <w:rPr>
          <w:rFonts w:cs="Calibri"/>
          <w:spacing w:val="-2"/>
        </w:rPr>
        <w:t xml:space="preserve">New </w:t>
      </w:r>
      <w:r w:rsidRPr="009E06AA">
        <w:rPr>
          <w:rFonts w:cs="Calibri"/>
          <w:spacing w:val="-2"/>
        </w:rPr>
        <w:t>Zealand</w:t>
      </w:r>
      <w:r w:rsidRPr="009E06AA">
        <w:t xml:space="preserve">, considering the large deposits of silicate rock nationally and suitable agricultural land. This work aims to assess the availability and suitability of silicate rock deposits in </w:t>
      </w:r>
      <w:r w:rsidRPr="009E06AA" w:rsidDel="00BD6689">
        <w:rPr>
          <w:rFonts w:cs="Calibri"/>
          <w:spacing w:val="-2"/>
        </w:rPr>
        <w:t xml:space="preserve">New </w:t>
      </w:r>
      <w:r w:rsidRPr="009E06AA">
        <w:rPr>
          <w:rFonts w:cs="Calibri"/>
          <w:spacing w:val="-2"/>
        </w:rPr>
        <w:t>Zealand</w:t>
      </w:r>
      <w:r w:rsidRPr="009E06AA">
        <w:t xml:space="preserve">, while also complementing this with a gap analysis of other factors that require addressing before it can be robustly recognised in the inventory. It will also include a first draft of a potential </w:t>
      </w:r>
      <w:r w:rsidRPr="009E06AA">
        <w:rPr>
          <w:rFonts w:cs="Calibri"/>
          <w:spacing w:val="-2"/>
        </w:rPr>
        <w:t>New Zealand-</w:t>
      </w:r>
      <w:r w:rsidRPr="009E06AA">
        <w:t>specific inventory methodology.</w:t>
      </w:r>
    </w:p>
    <w:p w14:paraId="78AC6B61" w14:textId="77777777" w:rsidR="007523B8" w:rsidRPr="009E06AA" w:rsidRDefault="007523B8" w:rsidP="00511297">
      <w:pPr>
        <w:pStyle w:val="Heading5"/>
        <w:spacing w:before="220"/>
      </w:pPr>
      <w:r w:rsidRPr="009E06AA">
        <w:t>Review of nitrous oxide emissions from non-manure components of organic fertilisers</w:t>
      </w:r>
    </w:p>
    <w:p w14:paraId="09A04E72" w14:textId="77777777" w:rsidR="007523B8" w:rsidRPr="009E06AA" w:rsidRDefault="007523B8" w:rsidP="00126E65">
      <w:pPr>
        <w:pStyle w:val="BodyText"/>
        <w:spacing w:before="100" w:after="100"/>
      </w:pPr>
      <w:r w:rsidRPr="009E06AA">
        <w:t>This research will provide a review and update of recommendations for N</w:t>
      </w:r>
      <w:r w:rsidRPr="009E06AA">
        <w:rPr>
          <w:vertAlign w:val="subscript"/>
        </w:rPr>
        <w:t>2</w:t>
      </w:r>
      <w:r w:rsidRPr="009E06AA">
        <w:t>O emissions from non-manure components of organic fertilisers (van der Weerden et al., 2014). This includes identifying non-manure components of organic fertilisers applied to soil, estimating annual amounts of these components across the time series, and determining the suitability of the IPCC default emission factor (EF</w:t>
      </w:r>
      <w:r w:rsidRPr="009E06AA">
        <w:rPr>
          <w:vertAlign w:val="subscript"/>
        </w:rPr>
        <w:t>1</w:t>
      </w:r>
      <w:r w:rsidRPr="009E06AA">
        <w:t>) for estimating emissions from this source. It will also include a recommendation on whether non-manure organic fertiliser should be included in the national inventory or if continued use of ‘NE’ is justified.</w:t>
      </w:r>
    </w:p>
    <w:p w14:paraId="65EE1599" w14:textId="77777777" w:rsidR="007523B8" w:rsidRPr="009E06AA" w:rsidRDefault="007523B8" w:rsidP="00BF2A76">
      <w:pPr>
        <w:pStyle w:val="Heading5"/>
      </w:pPr>
      <w:r w:rsidRPr="009E06AA">
        <w:t>Developing a process-based nitrous oxide emissions model</w:t>
      </w:r>
    </w:p>
    <w:p w14:paraId="79BF7288" w14:textId="77777777" w:rsidR="007523B8" w:rsidRPr="009E06AA" w:rsidRDefault="007523B8" w:rsidP="007523B8">
      <w:pPr>
        <w:pStyle w:val="BodyText"/>
      </w:pPr>
      <w:r w:rsidRPr="009E06AA">
        <w:t>This research will investigate the potential of a process-based N</w:t>
      </w:r>
      <w:r w:rsidRPr="009E06AA">
        <w:rPr>
          <w:vertAlign w:val="subscript"/>
        </w:rPr>
        <w:t>2</w:t>
      </w:r>
      <w:r w:rsidRPr="009E06AA">
        <w:t xml:space="preserve">O emissions model suitable for inventory compilation. Process-based models require more inputs (e.g., weather, soil) than the existing Tier 2 methods. Such models are also likely to have a differing sensitivity to activity data than Tier 2 methods. This project will undertake a systematic and comprehensive analysis of the needs for any process-based model, the implications (benefits and challenges, quantitatively where possible) for implementing a process-based model. </w:t>
      </w:r>
    </w:p>
    <w:p w14:paraId="4099D773" w14:textId="77777777" w:rsidR="007523B8" w:rsidRPr="009E06AA" w:rsidRDefault="007523B8" w:rsidP="007523B8">
      <w:pPr>
        <w:pStyle w:val="Heading2"/>
      </w:pPr>
      <w:bookmarkStart w:id="1448" w:name="_Toc69611743"/>
      <w:bookmarkStart w:id="1449" w:name="_Toc69612699"/>
      <w:bookmarkStart w:id="1450" w:name="_Toc69612898"/>
      <w:bookmarkStart w:id="1451" w:name="_Toc69613158"/>
      <w:bookmarkStart w:id="1452" w:name="_Toc69633322"/>
      <w:bookmarkStart w:id="1453" w:name="_Toc69717487"/>
      <w:bookmarkStart w:id="1454" w:name="_Toc69802969"/>
      <w:bookmarkStart w:id="1455" w:name="_Toc69815106"/>
      <w:bookmarkStart w:id="1456" w:name="_Toc70492399"/>
      <w:bookmarkStart w:id="1457" w:name="_Toc101310606"/>
      <w:bookmarkStart w:id="1458" w:name="_Toc101318466"/>
      <w:bookmarkStart w:id="1459" w:name="_Toc101318571"/>
      <w:bookmarkStart w:id="1460" w:name="_Toc101318755"/>
      <w:bookmarkStart w:id="1461" w:name="_Toc101334031"/>
      <w:bookmarkStart w:id="1462" w:name="_Toc134847209"/>
      <w:bookmarkStart w:id="1463" w:name="_Toc139253939"/>
      <w:bookmarkStart w:id="1464" w:name="_Toc144710417"/>
      <w:bookmarkStart w:id="1465" w:name="_Toc165890371"/>
      <w:bookmarkStart w:id="1466" w:name="_Toc195322665"/>
      <w:bookmarkStart w:id="1467" w:name="_Toc235955531"/>
      <w:bookmarkStart w:id="1468" w:name="_Toc288316644"/>
      <w:bookmarkStart w:id="1469" w:name="_Toc352504864"/>
      <w:bookmarkStart w:id="1470" w:name="_Toc448321527"/>
      <w:bookmarkStart w:id="1471" w:name="_Toc481751389"/>
      <w:bookmarkStart w:id="1472" w:name="_Toc511116604"/>
      <w:bookmarkStart w:id="1473" w:name="_Toc5269366"/>
      <w:bookmarkStart w:id="1474" w:name="_Toc32570673"/>
      <w:bookmarkStart w:id="1475" w:name="_Toc36224406"/>
      <w:bookmarkStart w:id="1476" w:name="_Toc68786326"/>
      <w:bookmarkStart w:id="1477" w:name="_Toc131591241"/>
      <w:bookmarkStart w:id="1478" w:name="_Toc164154195"/>
      <w:r w:rsidRPr="009E06AA">
        <w:rPr>
          <w:bCs/>
        </w:rPr>
        <w:t>5.6</w:t>
      </w:r>
      <w:r w:rsidRPr="009E06AA">
        <w:tab/>
        <w:t>Prescribed burning of savanna (3.E)</w:t>
      </w:r>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p>
    <w:p w14:paraId="68EB1CFC" w14:textId="77777777" w:rsidR="007523B8" w:rsidRPr="009E06AA" w:rsidRDefault="007523B8" w:rsidP="007523B8">
      <w:pPr>
        <w:pStyle w:val="Heading3"/>
        <w:spacing w:before="240"/>
      </w:pPr>
      <w:bookmarkStart w:id="1479" w:name="_Toc32570674"/>
      <w:bookmarkStart w:id="1480" w:name="_Toc139253940"/>
      <w:r w:rsidRPr="009E06AA">
        <w:t>5.6.1</w:t>
      </w:r>
      <w:r w:rsidRPr="009E06AA">
        <w:tab/>
        <w:t>Category description</w:t>
      </w:r>
      <w:bookmarkEnd w:id="1479"/>
    </w:p>
    <w:p w14:paraId="1EC3D0F5" w14:textId="77777777" w:rsidR="007523B8" w:rsidRPr="009E06AA" w:rsidRDefault="007523B8" w:rsidP="007523B8">
      <w:pPr>
        <w:pStyle w:val="BodyText"/>
        <w:rPr>
          <w:rFonts w:cs="Calibri"/>
        </w:rPr>
      </w:pPr>
      <w:r w:rsidRPr="009E06AA">
        <w:rPr>
          <w:rFonts w:cs="Calibri"/>
        </w:rPr>
        <w:t>Prescribed burning of savanna is reported under the LULUCF sector from the 2016 submission onwards.</w:t>
      </w:r>
    </w:p>
    <w:p w14:paraId="5933FF93" w14:textId="77777777" w:rsidR="007523B8" w:rsidRPr="009E06AA" w:rsidRDefault="007523B8" w:rsidP="007523B8">
      <w:pPr>
        <w:pStyle w:val="Heading2"/>
        <w:spacing w:before="320"/>
      </w:pPr>
      <w:bookmarkStart w:id="1481" w:name="_Toc69611744"/>
      <w:bookmarkStart w:id="1482" w:name="_Toc69612700"/>
      <w:bookmarkStart w:id="1483" w:name="_Toc69612899"/>
      <w:bookmarkStart w:id="1484" w:name="_Toc69613159"/>
      <w:bookmarkStart w:id="1485" w:name="_Toc69633323"/>
      <w:bookmarkStart w:id="1486" w:name="_Toc69717488"/>
      <w:bookmarkStart w:id="1487" w:name="_Toc69802970"/>
      <w:bookmarkStart w:id="1488" w:name="_Toc69815107"/>
      <w:bookmarkStart w:id="1489" w:name="_Toc70492400"/>
      <w:bookmarkStart w:id="1490" w:name="_Toc101310607"/>
      <w:bookmarkStart w:id="1491" w:name="_Toc101318467"/>
      <w:bookmarkStart w:id="1492" w:name="_Toc101318572"/>
      <w:bookmarkStart w:id="1493" w:name="_Toc101318756"/>
      <w:bookmarkStart w:id="1494" w:name="_Toc101334032"/>
      <w:bookmarkStart w:id="1495" w:name="_Toc134847210"/>
      <w:bookmarkStart w:id="1496" w:name="_Toc139253945"/>
      <w:bookmarkStart w:id="1497" w:name="_Toc144710418"/>
      <w:bookmarkStart w:id="1498" w:name="_Toc165890372"/>
      <w:bookmarkStart w:id="1499" w:name="_Toc195322666"/>
      <w:bookmarkStart w:id="1500" w:name="_Toc235955532"/>
      <w:bookmarkStart w:id="1501" w:name="_Toc288316645"/>
      <w:bookmarkStart w:id="1502" w:name="_Toc352504865"/>
      <w:bookmarkStart w:id="1503" w:name="_Toc448321528"/>
      <w:bookmarkStart w:id="1504" w:name="_Toc481751390"/>
      <w:bookmarkStart w:id="1505" w:name="_Toc511116605"/>
      <w:bookmarkStart w:id="1506" w:name="_Toc5269367"/>
      <w:bookmarkStart w:id="1507" w:name="_Toc32570675"/>
      <w:bookmarkStart w:id="1508" w:name="_Toc36224407"/>
      <w:bookmarkStart w:id="1509" w:name="_Toc68786327"/>
      <w:bookmarkStart w:id="1510" w:name="_Toc131591242"/>
      <w:bookmarkStart w:id="1511" w:name="_Toc164154196"/>
      <w:bookmarkEnd w:id="1480"/>
      <w:r w:rsidRPr="009E06AA">
        <w:t>5.7</w:t>
      </w:r>
      <w:r w:rsidRPr="009E06AA">
        <w:tab/>
        <w:t>Field burning of agricultural residues (3.F)</w:t>
      </w:r>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p>
    <w:p w14:paraId="3AE08990" w14:textId="77777777" w:rsidR="007523B8" w:rsidRPr="009E06AA" w:rsidRDefault="007523B8" w:rsidP="007523B8">
      <w:pPr>
        <w:pStyle w:val="Heading3"/>
        <w:spacing w:before="240"/>
      </w:pPr>
      <w:bookmarkStart w:id="1512" w:name="_Toc139253946"/>
      <w:bookmarkStart w:id="1513" w:name="_Toc32570676"/>
      <w:r w:rsidRPr="009E06AA">
        <w:t>5.7.1</w:t>
      </w:r>
      <w:r w:rsidRPr="009E06AA">
        <w:tab/>
        <w:t>Category description</w:t>
      </w:r>
      <w:bookmarkEnd w:id="1512"/>
      <w:bookmarkEnd w:id="1513"/>
    </w:p>
    <w:p w14:paraId="530A2703" w14:textId="77777777" w:rsidR="007523B8" w:rsidRPr="009E06AA" w:rsidRDefault="007523B8" w:rsidP="007523B8">
      <w:pPr>
        <w:pStyle w:val="BodyText"/>
        <w:spacing w:after="100"/>
        <w:rPr>
          <w:rFonts w:cs="Calibri"/>
        </w:rPr>
      </w:pPr>
      <w:r w:rsidRPr="009E06AA">
        <w:rPr>
          <w:rFonts w:cs="Calibri"/>
          <w:i/>
          <w:iCs/>
        </w:rPr>
        <w:t>Field burning of agricultural residues</w:t>
      </w:r>
      <w:r w:rsidRPr="009E06AA">
        <w:rPr>
          <w:rFonts w:cs="Calibri"/>
        </w:rPr>
        <w:t xml:space="preserve"> contributed an estimated 20.9 kt CO</w:t>
      </w:r>
      <w:r w:rsidRPr="009E06AA">
        <w:rPr>
          <w:rFonts w:cs="Calibri"/>
          <w:vertAlign w:val="subscript"/>
        </w:rPr>
        <w:t>2</w:t>
      </w:r>
      <w:r w:rsidRPr="009E06AA">
        <w:rPr>
          <w:rFonts w:cs="Calibri"/>
        </w:rPr>
        <w:t>-e in 2022, which accounted for 0.05 per cent of Agriculture sector</w:t>
      </w:r>
      <w:r w:rsidRPr="009E06AA">
        <w:rPr>
          <w:rFonts w:cs="Calibri"/>
          <w:i/>
        </w:rPr>
        <w:t xml:space="preserve"> </w:t>
      </w:r>
      <w:r w:rsidRPr="009E06AA">
        <w:rPr>
          <w:rFonts w:cs="Calibri"/>
        </w:rPr>
        <w:t xml:space="preserve">emissions. Emissions from </w:t>
      </w:r>
      <w:r w:rsidRPr="009E06AA">
        <w:rPr>
          <w:rFonts w:cs="Calibri"/>
          <w:i/>
        </w:rPr>
        <w:t>Field burning of agricultural residues</w:t>
      </w:r>
      <w:r w:rsidRPr="009E06AA">
        <w:rPr>
          <w:rFonts w:cs="Calibri"/>
        </w:rPr>
        <w:t xml:space="preserve"> decreased 29.4 per cent (8.7 kt CO</w:t>
      </w:r>
      <w:r w:rsidRPr="009E06AA">
        <w:rPr>
          <w:rFonts w:cs="Calibri"/>
          <w:vertAlign w:val="subscript"/>
        </w:rPr>
        <w:t>2</w:t>
      </w:r>
      <w:r w:rsidRPr="009E06AA">
        <w:rPr>
          <w:rFonts w:cs="Calibri"/>
        </w:rPr>
        <w:t xml:space="preserve">-e) between 1990 and 2022. </w:t>
      </w:r>
    </w:p>
    <w:p w14:paraId="478785CA" w14:textId="77777777" w:rsidR="007523B8" w:rsidRPr="009E06AA" w:rsidRDefault="007523B8" w:rsidP="007523B8">
      <w:pPr>
        <w:pStyle w:val="BodyText"/>
        <w:spacing w:after="100"/>
        <w:rPr>
          <w:rFonts w:cs="Calibri"/>
        </w:rPr>
      </w:pPr>
      <w:r w:rsidRPr="009E06AA" w:rsidDel="00471472">
        <w:rPr>
          <w:rFonts w:cs="Calibri"/>
          <w:spacing w:val="-2"/>
        </w:rPr>
        <w:t xml:space="preserve">New </w:t>
      </w:r>
      <w:r w:rsidRPr="009E06AA">
        <w:rPr>
          <w:rFonts w:cs="Calibri"/>
          <w:spacing w:val="-2"/>
        </w:rPr>
        <w:t>Zealand</w:t>
      </w:r>
      <w:r w:rsidRPr="009E06AA">
        <w:rPr>
          <w:rFonts w:cs="Calibri"/>
        </w:rPr>
        <w:t xml:space="preserve"> reports emissions from burning barley, wheat and oats residue in this category. Maize, legume and other crop residues are not usually burned in </w:t>
      </w:r>
      <w:r w:rsidRPr="009E06AA" w:rsidDel="00471472">
        <w:rPr>
          <w:rFonts w:cs="Calibri"/>
          <w:spacing w:val="-2"/>
        </w:rPr>
        <w:t xml:space="preserve">New </w:t>
      </w:r>
      <w:r w:rsidRPr="009E06AA">
        <w:rPr>
          <w:rFonts w:cs="Calibri"/>
          <w:spacing w:val="-2"/>
        </w:rPr>
        <w:t>Zealand</w:t>
      </w:r>
      <w:r w:rsidRPr="009E06AA">
        <w:rPr>
          <w:rFonts w:cs="Calibri"/>
        </w:rPr>
        <w:t xml:space="preserve">. </w:t>
      </w:r>
    </w:p>
    <w:p w14:paraId="35247F35" w14:textId="77777777" w:rsidR="007523B8" w:rsidRPr="009E06AA" w:rsidRDefault="007523B8" w:rsidP="007523B8">
      <w:pPr>
        <w:pStyle w:val="BodyText"/>
        <w:spacing w:after="100"/>
        <w:rPr>
          <w:rFonts w:cs="Calibri"/>
        </w:rPr>
      </w:pPr>
      <w:r w:rsidRPr="009E06AA">
        <w:rPr>
          <w:rFonts w:cs="Calibri"/>
        </w:rPr>
        <w:t>The area of burning of residues varies between years due to climatic conditions, fire risk restrictions and the amount of residue removed before burning straw (Thomas et al., 2011). Burning of crop residues is not considered to be a net source of CO</w:t>
      </w:r>
      <w:r w:rsidRPr="009E06AA">
        <w:rPr>
          <w:rFonts w:cs="Calibri"/>
          <w:vertAlign w:val="subscript"/>
        </w:rPr>
        <w:t>2</w:t>
      </w:r>
      <w:r w:rsidRPr="009E06AA">
        <w:rPr>
          <w:rFonts w:cs="Calibri"/>
        </w:rPr>
        <w:t>, because the CO</w:t>
      </w:r>
      <w:r w:rsidRPr="009E06AA">
        <w:rPr>
          <w:rFonts w:cs="Calibri"/>
          <w:vertAlign w:val="subscript"/>
        </w:rPr>
        <w:t>2</w:t>
      </w:r>
      <w:r w:rsidRPr="009E06AA">
        <w:rPr>
          <w:rFonts w:cs="Calibri"/>
        </w:rPr>
        <w:t xml:space="preserve"> released into the atmosphere was absorbed by those crops earlier in the year. However, burning is a source of emissions of CH</w:t>
      </w:r>
      <w:r w:rsidRPr="009E06AA">
        <w:rPr>
          <w:rFonts w:cs="Calibri"/>
          <w:vertAlign w:val="subscript"/>
        </w:rPr>
        <w:t>4</w:t>
      </w:r>
      <w:r w:rsidRPr="009E06AA">
        <w:rPr>
          <w:rFonts w:cs="Calibri"/>
        </w:rPr>
        <w:t>, carbon monoxide (CO), N</w:t>
      </w:r>
      <w:r w:rsidRPr="009E06AA">
        <w:rPr>
          <w:rFonts w:cs="Calibri"/>
          <w:vertAlign w:val="subscript"/>
        </w:rPr>
        <w:t>2</w:t>
      </w:r>
      <w:r w:rsidRPr="009E06AA">
        <w:rPr>
          <w:rFonts w:cs="Calibri"/>
        </w:rPr>
        <w:t>O and NO</w:t>
      </w:r>
      <w:r w:rsidRPr="009E06AA">
        <w:rPr>
          <w:rFonts w:cs="Calibri"/>
          <w:vertAlign w:val="subscript"/>
        </w:rPr>
        <w:t>x</w:t>
      </w:r>
      <w:r w:rsidRPr="009E06AA">
        <w:rPr>
          <w:rFonts w:cs="Calibri"/>
        </w:rPr>
        <w:t xml:space="preserve"> (IPCC, 2006).</w:t>
      </w:r>
    </w:p>
    <w:p w14:paraId="5430F283" w14:textId="77777777" w:rsidR="007523B8" w:rsidRPr="009E06AA" w:rsidRDefault="007523B8" w:rsidP="007523B8">
      <w:pPr>
        <w:pStyle w:val="BodyText"/>
        <w:spacing w:after="100"/>
        <w:rPr>
          <w:rFonts w:cs="Calibri"/>
        </w:rPr>
      </w:pPr>
      <w:r w:rsidRPr="009E06AA">
        <w:rPr>
          <w:rFonts w:cs="Calibri"/>
          <w:i/>
        </w:rPr>
        <w:t>Burning of agricultural residues</w:t>
      </w:r>
      <w:r w:rsidRPr="009E06AA">
        <w:rPr>
          <w:rFonts w:cs="Calibri"/>
        </w:rPr>
        <w:t xml:space="preserve"> was not identified as a key category in 2022. </w:t>
      </w:r>
    </w:p>
    <w:p w14:paraId="74D478C2" w14:textId="77777777" w:rsidR="007523B8" w:rsidRPr="009E06AA" w:rsidRDefault="007523B8" w:rsidP="007523B8">
      <w:pPr>
        <w:pStyle w:val="Heading3"/>
        <w:spacing w:before="320"/>
      </w:pPr>
      <w:bookmarkStart w:id="1514" w:name="_Toc32570677"/>
      <w:r w:rsidRPr="009E06AA">
        <w:t>5.7.2</w:t>
      </w:r>
      <w:r w:rsidRPr="009E06AA">
        <w:tab/>
        <w:t>Methodological issues</w:t>
      </w:r>
      <w:bookmarkEnd w:id="1514"/>
      <w:r w:rsidRPr="009E06AA">
        <w:t xml:space="preserve"> </w:t>
      </w:r>
    </w:p>
    <w:p w14:paraId="16299D45" w14:textId="77777777" w:rsidR="007523B8" w:rsidRPr="009E06AA" w:rsidRDefault="007523B8" w:rsidP="007523B8">
      <w:pPr>
        <w:pStyle w:val="BodyText"/>
        <w:rPr>
          <w:rFonts w:cs="Calibri"/>
        </w:rPr>
      </w:pPr>
      <w:r w:rsidRPr="009E06AA">
        <w:rPr>
          <w:rFonts w:cs="Calibri"/>
        </w:rPr>
        <w:t xml:space="preserve">The emissions from burning agricultural residues are estimated using country-specific methodology and parameters (Thomas et al., 2008, 2011). A modification of the IPCC (1996) methodology considers differences in the available crop activity data from 1990 to 2004 compared with 2005 to 2022. </w:t>
      </w:r>
    </w:p>
    <w:p w14:paraId="55831E08" w14:textId="77777777" w:rsidR="007523B8" w:rsidRPr="009E06AA" w:rsidRDefault="007523B8" w:rsidP="007523B8">
      <w:pPr>
        <w:pStyle w:val="BodyText"/>
      </w:pPr>
      <w:r w:rsidRPr="009E06AA">
        <w:t>Following the IPCC (1996) methodology, CH</w:t>
      </w:r>
      <w:r w:rsidRPr="009E06AA">
        <w:rPr>
          <w:vertAlign w:val="subscript"/>
        </w:rPr>
        <w:t>4</w:t>
      </w:r>
      <w:r w:rsidRPr="009E06AA">
        <w:t>, CO, N</w:t>
      </w:r>
      <w:r w:rsidRPr="009E06AA">
        <w:rPr>
          <w:vertAlign w:val="subscript"/>
        </w:rPr>
        <w:t>2</w:t>
      </w:r>
      <w:r w:rsidRPr="009E06AA">
        <w:t>O and NO</w:t>
      </w:r>
      <w:r w:rsidRPr="009E06AA">
        <w:rPr>
          <w:vertAlign w:val="subscript"/>
        </w:rPr>
        <w:t xml:space="preserve">x </w:t>
      </w:r>
      <w:r w:rsidRPr="009E06AA">
        <w:t>emissions are calculated from the carbon and nitrogen released from the burned live and dead biomass residue using the ratios in table 5.7.1; the nitrogen released is derived from the carbon released using a carbon</w:t>
      </w:r>
      <w:r w:rsidRPr="009E06AA">
        <w:noBreakHyphen/>
        <w:t>to-nitrogen ratio.</w:t>
      </w:r>
    </w:p>
    <w:p w14:paraId="2223FB11" w14:textId="77777777" w:rsidR="007523B8" w:rsidRPr="009E06AA" w:rsidRDefault="007523B8" w:rsidP="007523B8">
      <w:pPr>
        <w:pStyle w:val="Table"/>
        <w:rPr>
          <w:rFonts w:cs="Calibri"/>
        </w:rPr>
      </w:pPr>
      <w:bookmarkStart w:id="1515" w:name="_Toc352504981"/>
      <w:bookmarkStart w:id="1516" w:name="_Toc441830890"/>
      <w:bookmarkStart w:id="1517" w:name="_Toc451176104"/>
      <w:bookmarkStart w:id="1518" w:name="_Toc481751534"/>
      <w:bookmarkStart w:id="1519" w:name="_Toc507158620"/>
      <w:bookmarkStart w:id="1520" w:name="_Toc511116754"/>
      <w:bookmarkStart w:id="1521" w:name="_Toc5269496"/>
      <w:bookmarkStart w:id="1522" w:name="_Toc32570943"/>
      <w:bookmarkStart w:id="1523" w:name="_Toc36224578"/>
      <w:bookmarkStart w:id="1524" w:name="_Toc68786463"/>
      <w:bookmarkStart w:id="1525" w:name="_Toc95574094"/>
      <w:bookmarkStart w:id="1526" w:name="_Toc127458283"/>
      <w:bookmarkStart w:id="1527" w:name="_Toc131591379"/>
      <w:bookmarkStart w:id="1528" w:name="_Toc160114474"/>
      <w:bookmarkStart w:id="1529" w:name="_Toc164153870"/>
      <w:r w:rsidRPr="009E06AA">
        <w:rPr>
          <w:rFonts w:cs="Calibri"/>
        </w:rPr>
        <w:t>Table 5.7.1</w:t>
      </w:r>
      <w:r w:rsidRPr="009E06AA">
        <w:rPr>
          <w:rFonts w:cs="Calibri"/>
        </w:rPr>
        <w:tab/>
        <w:t>Emission ratios for agricultural residue burning</w:t>
      </w:r>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p>
    <w:tbl>
      <w:tblPr>
        <w:tblW w:w="8505" w:type="dxa"/>
        <w:tblBorders>
          <w:top w:val="single" w:sz="4" w:space="0" w:color="1B556B" w:themeColor="text2"/>
          <w:bottom w:val="single" w:sz="4" w:space="0" w:color="1B556B" w:themeColor="text2"/>
          <w:insideH w:val="single" w:sz="4" w:space="0" w:color="1B556B" w:themeColor="text2"/>
        </w:tblBorders>
        <w:tblLook w:val="01E0" w:firstRow="1" w:lastRow="1" w:firstColumn="1" w:lastColumn="1" w:noHBand="0" w:noVBand="0"/>
      </w:tblPr>
      <w:tblGrid>
        <w:gridCol w:w="1726"/>
        <w:gridCol w:w="3204"/>
        <w:gridCol w:w="3575"/>
      </w:tblGrid>
      <w:tr w:rsidR="007523B8" w:rsidRPr="009E06AA" w14:paraId="7575B796" w14:textId="77777777" w:rsidTr="00B55F24">
        <w:tc>
          <w:tcPr>
            <w:tcW w:w="1611" w:type="dxa"/>
            <w:shd w:val="clear" w:color="auto" w:fill="1B556B"/>
            <w:vAlign w:val="bottom"/>
          </w:tcPr>
          <w:p w14:paraId="59636CB4" w14:textId="77777777" w:rsidR="007523B8" w:rsidRPr="009E06AA" w:rsidRDefault="007523B8" w:rsidP="00B55F24">
            <w:pPr>
              <w:pStyle w:val="TableTextBold"/>
              <w:keepNext/>
              <w:spacing w:before="50" w:after="50"/>
              <w:rPr>
                <w:noProof w:val="0"/>
                <w:color w:val="FFFFFF" w:themeColor="background1"/>
              </w:rPr>
            </w:pPr>
            <w:r w:rsidRPr="009E06AA">
              <w:rPr>
                <w:noProof w:val="0"/>
                <w:color w:val="FFFFFF" w:themeColor="background1"/>
              </w:rPr>
              <w:t>Gas</w:t>
            </w:r>
          </w:p>
        </w:tc>
        <w:tc>
          <w:tcPr>
            <w:tcW w:w="2990" w:type="dxa"/>
            <w:shd w:val="clear" w:color="auto" w:fill="1B556B"/>
            <w:vAlign w:val="bottom"/>
          </w:tcPr>
          <w:p w14:paraId="564E11B4" w14:textId="77777777" w:rsidR="007523B8" w:rsidRPr="009E06AA" w:rsidRDefault="007523B8" w:rsidP="002B7208">
            <w:pPr>
              <w:pStyle w:val="TableTextBold"/>
              <w:keepNext/>
              <w:spacing w:before="50" w:after="50"/>
              <w:jc w:val="right"/>
              <w:rPr>
                <w:noProof w:val="0"/>
                <w:color w:val="FFFFFF" w:themeColor="background1"/>
              </w:rPr>
            </w:pPr>
            <w:r w:rsidRPr="009E06AA">
              <w:rPr>
                <w:noProof w:val="0"/>
                <w:color w:val="FFFFFF" w:themeColor="background1"/>
              </w:rPr>
              <w:t xml:space="preserve">Emission ratio </w:t>
            </w:r>
            <w:r w:rsidRPr="009E06AA">
              <w:rPr>
                <w:b w:val="0"/>
                <w:noProof w:val="0"/>
                <w:color w:val="FFFFFF" w:themeColor="background1"/>
              </w:rPr>
              <w:br/>
            </w:r>
            <w:r w:rsidRPr="009E06AA">
              <w:rPr>
                <w:bCs/>
                <w:noProof w:val="0"/>
                <w:color w:val="FFFFFF" w:themeColor="background1"/>
              </w:rPr>
              <w:t>(Revised</w:t>
            </w:r>
            <w:r w:rsidRPr="009E06AA">
              <w:rPr>
                <w:b w:val="0"/>
                <w:noProof w:val="0"/>
                <w:color w:val="FFFFFF" w:themeColor="background1"/>
              </w:rPr>
              <w:t xml:space="preserve"> </w:t>
            </w:r>
            <w:r w:rsidRPr="009E06AA">
              <w:rPr>
                <w:noProof w:val="0"/>
                <w:color w:val="FFFFFF" w:themeColor="background1"/>
              </w:rPr>
              <w:t>IPCC 1996 Guidelines)</w:t>
            </w:r>
          </w:p>
        </w:tc>
        <w:tc>
          <w:tcPr>
            <w:tcW w:w="3337" w:type="dxa"/>
            <w:shd w:val="clear" w:color="auto" w:fill="1B556B"/>
          </w:tcPr>
          <w:p w14:paraId="0C09F7D7" w14:textId="77777777" w:rsidR="007523B8" w:rsidRPr="009E06AA" w:rsidRDefault="007523B8" w:rsidP="002B7208">
            <w:pPr>
              <w:pStyle w:val="TableTextBold"/>
              <w:keepNext/>
              <w:spacing w:before="50" w:after="50"/>
              <w:jc w:val="right"/>
              <w:rPr>
                <w:noProof w:val="0"/>
                <w:color w:val="FFFFFF" w:themeColor="background1"/>
              </w:rPr>
            </w:pPr>
            <w:r w:rsidRPr="009E06AA">
              <w:rPr>
                <w:noProof w:val="0"/>
                <w:color w:val="FFFFFF" w:themeColor="background1"/>
              </w:rPr>
              <w:t>Conversion ratio from carbon or nitrogen to specified greenhouse gas</w:t>
            </w:r>
            <w:r w:rsidRPr="009E06AA">
              <w:rPr>
                <w:noProof w:val="0"/>
                <w:color w:val="FFFFFF" w:themeColor="background1"/>
              </w:rPr>
              <w:br/>
              <w:t>(Revised IPCC 1996 Guidelines)</w:t>
            </w:r>
          </w:p>
        </w:tc>
      </w:tr>
      <w:tr w:rsidR="007523B8" w:rsidRPr="009E06AA" w14:paraId="3F6CA3FF" w14:textId="77777777" w:rsidTr="00B55F24">
        <w:tc>
          <w:tcPr>
            <w:tcW w:w="1611" w:type="dxa"/>
          </w:tcPr>
          <w:p w14:paraId="4010F672" w14:textId="77777777" w:rsidR="007523B8" w:rsidRPr="009E06AA" w:rsidRDefault="007523B8" w:rsidP="00B55F24">
            <w:pPr>
              <w:pStyle w:val="TableText"/>
              <w:keepNext/>
              <w:spacing w:before="40" w:after="40"/>
              <w:rPr>
                <w:rFonts w:cs="Calibri"/>
              </w:rPr>
            </w:pPr>
            <w:r w:rsidRPr="009E06AA">
              <w:rPr>
                <w:rFonts w:cs="Calibri"/>
              </w:rPr>
              <w:t>CH</w:t>
            </w:r>
            <w:r w:rsidRPr="009E06AA">
              <w:rPr>
                <w:rFonts w:cs="Calibri"/>
                <w:vertAlign w:val="subscript"/>
              </w:rPr>
              <w:t>4</w:t>
            </w:r>
          </w:p>
        </w:tc>
        <w:tc>
          <w:tcPr>
            <w:tcW w:w="2990" w:type="dxa"/>
          </w:tcPr>
          <w:p w14:paraId="65CB3E1E" w14:textId="77777777" w:rsidR="007523B8" w:rsidRPr="009E06AA" w:rsidRDefault="007523B8" w:rsidP="002B7208">
            <w:pPr>
              <w:pStyle w:val="TableText"/>
              <w:keepNext/>
              <w:spacing w:before="40" w:after="40"/>
              <w:jc w:val="right"/>
              <w:rPr>
                <w:rFonts w:cs="Calibri"/>
              </w:rPr>
            </w:pPr>
            <w:r w:rsidRPr="009E06AA">
              <w:rPr>
                <w:rFonts w:cs="Calibri"/>
              </w:rPr>
              <w:t>0.005</w:t>
            </w:r>
          </w:p>
        </w:tc>
        <w:tc>
          <w:tcPr>
            <w:tcW w:w="3337" w:type="dxa"/>
          </w:tcPr>
          <w:p w14:paraId="411AE269" w14:textId="77777777" w:rsidR="007523B8" w:rsidRPr="009E06AA" w:rsidRDefault="007523B8" w:rsidP="002B7208">
            <w:pPr>
              <w:pStyle w:val="TableText"/>
              <w:keepNext/>
              <w:spacing w:before="40" w:after="40"/>
              <w:jc w:val="right"/>
              <w:rPr>
                <w:rFonts w:cs="Calibri"/>
              </w:rPr>
            </w:pPr>
            <w:r w:rsidRPr="009E06AA">
              <w:rPr>
                <w:rFonts w:cs="Calibri"/>
              </w:rPr>
              <w:t>16/12</w:t>
            </w:r>
          </w:p>
        </w:tc>
      </w:tr>
      <w:tr w:rsidR="007523B8" w:rsidRPr="009E06AA" w14:paraId="1BD7C465" w14:textId="77777777" w:rsidTr="00B55F24">
        <w:tc>
          <w:tcPr>
            <w:tcW w:w="1611" w:type="dxa"/>
          </w:tcPr>
          <w:p w14:paraId="45DC3CE9" w14:textId="77777777" w:rsidR="007523B8" w:rsidRPr="009E06AA" w:rsidRDefault="007523B8" w:rsidP="00B55F24">
            <w:pPr>
              <w:pStyle w:val="TableText"/>
              <w:spacing w:before="40" w:after="40"/>
              <w:rPr>
                <w:rFonts w:cs="Calibri"/>
              </w:rPr>
            </w:pPr>
            <w:r w:rsidRPr="009E06AA">
              <w:rPr>
                <w:rFonts w:cs="Calibri"/>
              </w:rPr>
              <w:t>CO</w:t>
            </w:r>
          </w:p>
        </w:tc>
        <w:tc>
          <w:tcPr>
            <w:tcW w:w="2990" w:type="dxa"/>
          </w:tcPr>
          <w:p w14:paraId="2D19973B" w14:textId="77777777" w:rsidR="007523B8" w:rsidRPr="009E06AA" w:rsidRDefault="007523B8" w:rsidP="002B7208">
            <w:pPr>
              <w:pStyle w:val="TableText"/>
              <w:spacing w:before="40" w:after="40"/>
              <w:jc w:val="right"/>
              <w:rPr>
                <w:rFonts w:cs="Calibri"/>
              </w:rPr>
            </w:pPr>
            <w:r w:rsidRPr="009E06AA">
              <w:rPr>
                <w:rFonts w:cs="Calibri"/>
              </w:rPr>
              <w:t>0.06</w:t>
            </w:r>
          </w:p>
        </w:tc>
        <w:tc>
          <w:tcPr>
            <w:tcW w:w="3337" w:type="dxa"/>
          </w:tcPr>
          <w:p w14:paraId="49CB6B14" w14:textId="77777777" w:rsidR="007523B8" w:rsidRPr="009E06AA" w:rsidRDefault="007523B8" w:rsidP="002B7208">
            <w:pPr>
              <w:pStyle w:val="TableText"/>
              <w:spacing w:before="40" w:after="40"/>
              <w:jc w:val="right"/>
              <w:rPr>
                <w:rFonts w:cs="Calibri"/>
              </w:rPr>
            </w:pPr>
            <w:r w:rsidRPr="009E06AA">
              <w:rPr>
                <w:rFonts w:cs="Calibri"/>
              </w:rPr>
              <w:t>28/12</w:t>
            </w:r>
          </w:p>
        </w:tc>
      </w:tr>
      <w:tr w:rsidR="007523B8" w:rsidRPr="009E06AA" w14:paraId="7E6E7241" w14:textId="77777777" w:rsidTr="00B55F24">
        <w:tc>
          <w:tcPr>
            <w:tcW w:w="1611" w:type="dxa"/>
          </w:tcPr>
          <w:p w14:paraId="3F962045" w14:textId="77777777" w:rsidR="007523B8" w:rsidRPr="009E06AA" w:rsidRDefault="007523B8" w:rsidP="00B55F24">
            <w:pPr>
              <w:pStyle w:val="TableText"/>
              <w:spacing w:before="40" w:after="40"/>
              <w:rPr>
                <w:rFonts w:cs="Calibri"/>
              </w:rPr>
            </w:pPr>
            <w:r w:rsidRPr="009E06AA">
              <w:rPr>
                <w:rFonts w:cs="Calibri"/>
              </w:rPr>
              <w:t>N</w:t>
            </w:r>
            <w:r w:rsidRPr="009E06AA">
              <w:rPr>
                <w:rFonts w:cs="Calibri"/>
                <w:vertAlign w:val="subscript"/>
              </w:rPr>
              <w:t>2</w:t>
            </w:r>
            <w:r w:rsidRPr="009E06AA">
              <w:rPr>
                <w:rFonts w:cs="Calibri"/>
              </w:rPr>
              <w:t>O</w:t>
            </w:r>
          </w:p>
        </w:tc>
        <w:tc>
          <w:tcPr>
            <w:tcW w:w="2990" w:type="dxa"/>
          </w:tcPr>
          <w:p w14:paraId="7D60DF23" w14:textId="77777777" w:rsidR="007523B8" w:rsidRPr="009E06AA" w:rsidRDefault="007523B8" w:rsidP="002B7208">
            <w:pPr>
              <w:pStyle w:val="TableText"/>
              <w:spacing w:before="40" w:after="40"/>
              <w:jc w:val="right"/>
              <w:rPr>
                <w:rFonts w:cs="Calibri"/>
              </w:rPr>
            </w:pPr>
            <w:r w:rsidRPr="009E06AA">
              <w:rPr>
                <w:rFonts w:cs="Calibri"/>
              </w:rPr>
              <w:t>0.007</w:t>
            </w:r>
          </w:p>
        </w:tc>
        <w:tc>
          <w:tcPr>
            <w:tcW w:w="3337" w:type="dxa"/>
          </w:tcPr>
          <w:p w14:paraId="085D4D63" w14:textId="77777777" w:rsidR="007523B8" w:rsidRPr="009E06AA" w:rsidRDefault="007523B8" w:rsidP="002B7208">
            <w:pPr>
              <w:pStyle w:val="TableText"/>
              <w:spacing w:before="40" w:after="40"/>
              <w:jc w:val="right"/>
              <w:rPr>
                <w:rFonts w:cs="Calibri"/>
              </w:rPr>
            </w:pPr>
            <w:r w:rsidRPr="009E06AA">
              <w:rPr>
                <w:rFonts w:cs="Calibri"/>
              </w:rPr>
              <w:t>44/28</w:t>
            </w:r>
          </w:p>
        </w:tc>
      </w:tr>
      <w:tr w:rsidR="007523B8" w:rsidRPr="009E06AA" w14:paraId="32823FE7" w14:textId="77777777" w:rsidTr="00B55F24">
        <w:tc>
          <w:tcPr>
            <w:tcW w:w="1611" w:type="dxa"/>
          </w:tcPr>
          <w:p w14:paraId="6E2216A8" w14:textId="77777777" w:rsidR="007523B8" w:rsidRPr="009E06AA" w:rsidRDefault="007523B8" w:rsidP="00B55F24">
            <w:pPr>
              <w:pStyle w:val="TableText"/>
              <w:spacing w:before="40" w:after="40"/>
              <w:rPr>
                <w:rFonts w:cs="Calibri"/>
              </w:rPr>
            </w:pPr>
            <w:r w:rsidRPr="009E06AA">
              <w:rPr>
                <w:rFonts w:cs="Calibri"/>
              </w:rPr>
              <w:t>NO</w:t>
            </w:r>
            <w:r w:rsidRPr="009E06AA">
              <w:rPr>
                <w:rFonts w:cs="Calibri"/>
                <w:vertAlign w:val="subscript"/>
              </w:rPr>
              <w:t>x</w:t>
            </w:r>
          </w:p>
        </w:tc>
        <w:tc>
          <w:tcPr>
            <w:tcW w:w="2990" w:type="dxa"/>
          </w:tcPr>
          <w:p w14:paraId="2CCC0C5D" w14:textId="77777777" w:rsidR="007523B8" w:rsidRPr="009E06AA" w:rsidRDefault="007523B8" w:rsidP="002B7208">
            <w:pPr>
              <w:pStyle w:val="TableText"/>
              <w:spacing w:before="40" w:after="40"/>
              <w:jc w:val="right"/>
              <w:rPr>
                <w:rFonts w:cs="Calibri"/>
              </w:rPr>
            </w:pPr>
            <w:r w:rsidRPr="009E06AA">
              <w:rPr>
                <w:rFonts w:cs="Calibri"/>
              </w:rPr>
              <w:t>0.121</w:t>
            </w:r>
          </w:p>
        </w:tc>
        <w:tc>
          <w:tcPr>
            <w:tcW w:w="3337" w:type="dxa"/>
          </w:tcPr>
          <w:p w14:paraId="2B0323D4" w14:textId="77777777" w:rsidR="007523B8" w:rsidRPr="009E06AA" w:rsidRDefault="007523B8" w:rsidP="002B7208">
            <w:pPr>
              <w:pStyle w:val="TableText"/>
              <w:spacing w:before="40" w:after="40"/>
              <w:jc w:val="right"/>
              <w:rPr>
                <w:rFonts w:cs="Calibri"/>
              </w:rPr>
            </w:pPr>
            <w:r w:rsidRPr="009E06AA">
              <w:rPr>
                <w:rFonts w:cs="Calibri"/>
              </w:rPr>
              <w:t>46/14</w:t>
            </w:r>
          </w:p>
        </w:tc>
      </w:tr>
    </w:tbl>
    <w:p w14:paraId="49DA4A1F" w14:textId="1B9B363F" w:rsidR="007523B8" w:rsidRPr="009E06AA" w:rsidRDefault="007523B8" w:rsidP="007523B8">
      <w:pPr>
        <w:pStyle w:val="BodyText"/>
        <w:keepNext/>
        <w:spacing w:before="360"/>
        <w:rPr>
          <w:rFonts w:cs="Calibri"/>
        </w:rPr>
      </w:pPr>
      <w:r w:rsidRPr="009E06AA">
        <w:rPr>
          <w:rFonts w:cs="Calibri"/>
        </w:rPr>
        <w:t>The total emissions (CH</w:t>
      </w:r>
      <w:r w:rsidRPr="009E06AA">
        <w:rPr>
          <w:rFonts w:cs="Calibri"/>
          <w:vertAlign w:val="subscript"/>
        </w:rPr>
        <w:t>4</w:t>
      </w:r>
      <w:r w:rsidRPr="009E06AA">
        <w:rPr>
          <w:rFonts w:cs="Calibri"/>
        </w:rPr>
        <w:t>, CO, N</w:t>
      </w:r>
      <w:r w:rsidRPr="009E06AA">
        <w:rPr>
          <w:rFonts w:cs="Calibri"/>
          <w:vertAlign w:val="subscript"/>
        </w:rPr>
        <w:t>2</w:t>
      </w:r>
      <w:r w:rsidRPr="009E06AA">
        <w:rPr>
          <w:rFonts w:cs="Calibri"/>
        </w:rPr>
        <w:t>O and NO</w:t>
      </w:r>
      <w:r w:rsidRPr="009E06AA">
        <w:rPr>
          <w:rFonts w:cs="Calibri"/>
          <w:vertAlign w:val="subscript"/>
        </w:rPr>
        <w:t>x</w:t>
      </w:r>
      <w:r w:rsidRPr="009E06AA">
        <w:rPr>
          <w:rFonts w:cs="Calibri"/>
        </w:rPr>
        <w:t>) are calculated</w:t>
      </w:r>
      <w:r w:rsidR="002B7208" w:rsidRPr="009E06AA">
        <w:rPr>
          <w:rFonts w:cs="Calibri"/>
        </w:rPr>
        <w:t xml:space="preserve"> </w:t>
      </w:r>
      <w:r w:rsidR="00B26855" w:rsidRPr="009E06AA">
        <w:rPr>
          <w:rFonts w:cs="Calibri"/>
        </w:rPr>
        <w:t>as shown below</w:t>
      </w:r>
      <w:r w:rsidRPr="009E06AA">
        <w:rPr>
          <w:rFonts w:cs="Calibri"/>
        </w:rPr>
        <w:t>:</w:t>
      </w:r>
    </w:p>
    <w:p w14:paraId="565A72DC" w14:textId="77777777" w:rsidR="007523B8" w:rsidRPr="009E06AA" w:rsidRDefault="008975BF" w:rsidP="007523B8">
      <w:pPr>
        <w:pStyle w:val="BodyText"/>
        <w:keepNext/>
        <w:spacing w:before="60"/>
        <w:jc w:val="center"/>
      </w:pPr>
      <m:oMathPara>
        <m:oMath>
          <m:sSub>
            <m:sSubPr>
              <m:ctrlPr>
                <w:rPr>
                  <w:rFonts w:ascii="Cambria Math" w:hAnsi="Cambria Math"/>
                  <w:i/>
                  <w:sz w:val="24"/>
                  <w:szCs w:val="24"/>
                </w:rPr>
              </m:ctrlPr>
            </m:sSubPr>
            <m:e>
              <m:r>
                <w:rPr>
                  <w:rFonts w:ascii="Cambria Math" w:hAnsi="Cambria Math"/>
                  <w:sz w:val="24"/>
                  <w:szCs w:val="24"/>
                </w:rPr>
                <m:t>Emissions</m:t>
              </m:r>
            </m:e>
            <m:sub>
              <m:r>
                <w:rPr>
                  <w:rFonts w:ascii="Cambria Math" w:hAnsi="Cambria Math"/>
                  <w:sz w:val="24"/>
                  <w:szCs w:val="24"/>
                </w:rPr>
                <m:t>BURN</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AG</m:t>
              </m:r>
            </m:e>
            <m:sub>
              <m:r>
                <w:rPr>
                  <w:rFonts w:ascii="Cambria Math" w:hAnsi="Cambria Math"/>
                  <w:sz w:val="24"/>
                  <w:szCs w:val="24"/>
                </w:rPr>
                <m:t>BURN</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Frac</m:t>
              </m:r>
            </m:e>
            <m:sub>
              <m:r>
                <w:rPr>
                  <w:rFonts w:ascii="Cambria Math" w:hAnsi="Cambria Math"/>
                  <w:sz w:val="24"/>
                  <w:szCs w:val="24"/>
                </w:rPr>
                <m:t>OX</m:t>
              </m:r>
            </m:sub>
          </m:sSub>
          <m:r>
            <w:rPr>
              <w:rFonts w:ascii="Cambria Math" w:hAnsi="Cambria Math"/>
              <w:sz w:val="24"/>
              <w:szCs w:val="24"/>
            </w:rPr>
            <m:t>∙</m:t>
          </m:r>
          <m:r>
            <w:rPr>
              <w:rFonts w:ascii="Cambria Math" w:hAnsi="Cambria Math"/>
              <w:sz w:val="24"/>
              <w:szCs w:val="24"/>
            </w:rPr>
            <m:t>ER</m:t>
          </m:r>
          <m:r>
            <w:rPr>
              <w:rFonts w:ascii="Cambria Math" w:hAnsi="Cambria Math"/>
              <w:sz w:val="24"/>
              <w:szCs w:val="24"/>
            </w:rPr>
            <m:t>∙</m:t>
          </m:r>
          <m:r>
            <w:rPr>
              <w:rFonts w:ascii="Cambria Math" w:hAnsi="Cambria Math"/>
              <w:sz w:val="24"/>
              <w:szCs w:val="24"/>
            </w:rPr>
            <m:t>GCR</m:t>
          </m:r>
          <m:r>
            <w:rPr>
              <w:rFonts w:ascii="Cambria Math" w:hAnsi="Cambria Math"/>
              <w:sz w:val="24"/>
              <w:szCs w:val="24"/>
            </w:rPr>
            <m:t xml:space="preserve"> </m:t>
          </m:r>
        </m:oMath>
      </m:oMathPara>
    </w:p>
    <w:p w14:paraId="66F53577" w14:textId="77777777" w:rsidR="007523B8" w:rsidRPr="009E06AA" w:rsidRDefault="007523B8" w:rsidP="007523B8">
      <w:pPr>
        <w:pStyle w:val="BodyText"/>
        <w:spacing w:after="20"/>
        <w:ind w:left="964" w:hanging="964"/>
      </w:pPr>
      <w:r w:rsidRPr="009E06AA">
        <w:t>Where:</w:t>
      </w:r>
      <w:r w:rsidRPr="009E06AA">
        <w:tab/>
        <w:t>AG</w:t>
      </w:r>
      <w:r w:rsidRPr="009E06AA">
        <w:rPr>
          <w:vertAlign w:val="subscript"/>
        </w:rPr>
        <w:t>BURN</w:t>
      </w:r>
      <w:r w:rsidRPr="009E06AA">
        <w:t xml:space="preserve"> is the above-ground biomass burned (kt)</w:t>
      </w:r>
    </w:p>
    <w:p w14:paraId="6811045F" w14:textId="77777777" w:rsidR="007523B8" w:rsidRPr="009E06AA" w:rsidRDefault="007523B8" w:rsidP="007523B8">
      <w:pPr>
        <w:pStyle w:val="BodyText"/>
        <w:spacing w:before="60" w:after="20"/>
        <w:ind w:left="964"/>
      </w:pPr>
      <w:r w:rsidRPr="009E06AA">
        <w:t>Frac</w:t>
      </w:r>
      <w:r w:rsidRPr="009E06AA">
        <w:rPr>
          <w:vertAlign w:val="subscript"/>
        </w:rPr>
        <w:t>OX</w:t>
      </w:r>
      <w:r w:rsidRPr="009E06AA">
        <w:t xml:space="preserve"> is the fraction oxidised (see table 5.7.2) </w:t>
      </w:r>
    </w:p>
    <w:p w14:paraId="6FE1B129" w14:textId="77777777" w:rsidR="007523B8" w:rsidRPr="009E06AA" w:rsidRDefault="007523B8" w:rsidP="007523B8">
      <w:pPr>
        <w:pStyle w:val="BodyText"/>
        <w:spacing w:before="60" w:after="20"/>
        <w:ind w:left="964"/>
      </w:pPr>
      <w:r w:rsidRPr="009E06AA">
        <w:t xml:space="preserve">ER is the gas-specific emission ratio, and </w:t>
      </w:r>
    </w:p>
    <w:p w14:paraId="40566D60" w14:textId="77777777" w:rsidR="007523B8" w:rsidRPr="009E06AA" w:rsidRDefault="007523B8" w:rsidP="007A7F96">
      <w:pPr>
        <w:pStyle w:val="BodyText"/>
        <w:spacing w:before="60" w:after="80"/>
        <w:ind w:left="964"/>
      </w:pPr>
      <w:r w:rsidRPr="009E06AA">
        <w:t xml:space="preserve">GCR is the gas-conversion ratio (see table 5.7.1). </w:t>
      </w:r>
    </w:p>
    <w:p w14:paraId="4EAEE2E7" w14:textId="77777777" w:rsidR="007523B8" w:rsidRPr="009E06AA" w:rsidRDefault="007523B8" w:rsidP="007523B8">
      <w:pPr>
        <w:pStyle w:val="BodyText"/>
        <w:spacing w:after="60"/>
        <w:rPr>
          <w:rFonts w:cs="Calibri"/>
        </w:rPr>
      </w:pPr>
      <w:r w:rsidRPr="009E06AA">
        <w:rPr>
          <w:rFonts w:cs="Calibri"/>
        </w:rPr>
        <w:t>The calculation for AG</w:t>
      </w:r>
      <w:r w:rsidRPr="009E06AA">
        <w:rPr>
          <w:rFonts w:cs="Calibri"/>
          <w:vertAlign w:val="subscript"/>
        </w:rPr>
        <w:t xml:space="preserve">BURN </w:t>
      </w:r>
      <w:r w:rsidRPr="009E06AA">
        <w:rPr>
          <w:rFonts w:cs="Calibri"/>
        </w:rPr>
        <w:t>is different for 1990 to 2004 and 2005 to 2022, to account for changes in the availability of activity data over these periods. Stats NZ did not collect data on crop residue burning before 2005. Therefore, from 1990 to 2004, calculation of the amount of biomass residue burned (AG</w:t>
      </w:r>
      <w:r w:rsidRPr="009E06AA">
        <w:rPr>
          <w:rFonts w:cs="Calibri"/>
          <w:vertAlign w:val="subscript"/>
        </w:rPr>
        <w:t>BURN</w:t>
      </w:r>
      <w:r w:rsidRPr="009E06AA">
        <w:rPr>
          <w:rFonts w:cs="Calibri"/>
        </w:rPr>
        <w:t>) was based on the total mass of crop production (from the Stats NZ Agricultural Production Census and Survey) and assumed fractions burned for each crop, where:</w:t>
      </w:r>
    </w:p>
    <w:bookmarkStart w:id="1530" w:name="_1764398050"/>
    <w:bookmarkStart w:id="1531" w:name="_1767789155"/>
    <w:bookmarkEnd w:id="1530"/>
    <w:bookmarkEnd w:id="1531"/>
    <w:p w14:paraId="26438865" w14:textId="77777777" w:rsidR="007523B8" w:rsidRPr="00E50FE0" w:rsidRDefault="008975BF" w:rsidP="007523B8">
      <w:pPr>
        <w:pStyle w:val="BodyText"/>
        <w:spacing w:before="60"/>
        <w:jc w:val="center"/>
        <w:rPr>
          <w:rFonts w:cs="Calibri"/>
          <w:sz w:val="24"/>
          <w:szCs w:val="24"/>
        </w:rPr>
      </w:pPr>
      <m:oMathPara>
        <m:oMath>
          <m:sSub>
            <m:sSubPr>
              <m:ctrlPr>
                <w:rPr>
                  <w:rFonts w:ascii="Cambria Math" w:hAnsi="Cambria Math"/>
                  <w:i/>
                  <w:sz w:val="24"/>
                  <w:szCs w:val="24"/>
                </w:rPr>
              </m:ctrlPr>
            </m:sSubPr>
            <m:e>
              <m:sSub>
                <m:sSubPr>
                  <m:ctrlPr>
                    <w:rPr>
                      <w:rFonts w:ascii="Cambria Math" w:hAnsi="Cambria Math"/>
                      <w:i/>
                      <w:sz w:val="24"/>
                      <w:szCs w:val="24"/>
                    </w:rPr>
                  </m:ctrlPr>
                </m:sSubPr>
                <m:e>
                  <m:r>
                    <w:rPr>
                      <w:rFonts w:ascii="Cambria Math" w:hAnsi="Cambria Math"/>
                      <w:sz w:val="24"/>
                      <w:szCs w:val="24"/>
                    </w:rPr>
                    <m:t>AG</m:t>
                  </m:r>
                </m:e>
                <m:sub>
                  <m:r>
                    <w:rPr>
                      <w:rFonts w:ascii="Cambria Math" w:hAnsi="Cambria Math"/>
                      <w:sz w:val="24"/>
                      <w:szCs w:val="24"/>
                    </w:rPr>
                    <m:t>BURN</m:t>
                  </m:r>
                </m:sub>
              </m:sSub>
              <m:r>
                <w:rPr>
                  <w:rFonts w:ascii="Cambria Math" w:hAnsi="Cambria Math"/>
                  <w:sz w:val="24"/>
                  <w:szCs w:val="24"/>
                </w:rPr>
                <m:t>=</m:t>
              </m:r>
              <m:r>
                <w:rPr>
                  <w:rFonts w:ascii="Cambria Math" w:hAnsi="Cambria Math"/>
                  <w:sz w:val="24"/>
                  <w:szCs w:val="24"/>
                </w:rPr>
                <m:t>AG</m:t>
              </m:r>
            </m:e>
            <m:sub>
              <m:r>
                <w:rPr>
                  <w:rFonts w:ascii="Cambria Math" w:hAnsi="Cambria Math"/>
                  <w:sz w:val="24"/>
                  <w:szCs w:val="24"/>
                </w:rPr>
                <m:t>DM</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Frac</m:t>
              </m:r>
            </m:e>
            <m:sub>
              <m:r>
                <w:rPr>
                  <w:rFonts w:ascii="Cambria Math" w:hAnsi="Cambria Math"/>
                  <w:sz w:val="24"/>
                  <w:szCs w:val="24"/>
                </w:rPr>
                <m:t>AREA</m:t>
              </m:r>
              <m:r>
                <w:rPr>
                  <w:rFonts w:ascii="Cambria Math" w:hAnsi="Cambria Math"/>
                  <w:sz w:val="24"/>
                  <w:szCs w:val="24"/>
                </w:rPr>
                <m:t>-</m:t>
              </m:r>
              <m:r>
                <w:rPr>
                  <w:rFonts w:ascii="Cambria Math" w:hAnsi="Cambria Math"/>
                  <w:sz w:val="24"/>
                  <w:szCs w:val="24"/>
                </w:rPr>
                <m:t>BURN</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Frac</m:t>
              </m:r>
            </m:e>
            <m:sub>
              <m:r>
                <w:rPr>
                  <w:rFonts w:ascii="Cambria Math" w:hAnsi="Cambria Math"/>
                  <w:sz w:val="24"/>
                  <w:szCs w:val="24"/>
                </w:rPr>
                <m:t>RESIDUE</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Frac</m:t>
              </m:r>
            </m:e>
            <m:sub>
              <m:r>
                <w:rPr>
                  <w:rFonts w:ascii="Cambria Math" w:hAnsi="Cambria Math"/>
                  <w:sz w:val="24"/>
                  <w:szCs w:val="24"/>
                </w:rPr>
                <m:t>BURN</m:t>
              </m:r>
            </m:sub>
          </m:sSub>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-3</m:t>
              </m:r>
            </m:sup>
          </m:sSup>
          <m:r>
            <w:rPr>
              <w:rFonts w:ascii="Cambria Math" w:hAnsi="Cambria Math" w:cs="Calibri"/>
              <w:sz w:val="24"/>
              <w:szCs w:val="24"/>
            </w:rPr>
            <m:t xml:space="preserve"> </m:t>
          </m:r>
        </m:oMath>
      </m:oMathPara>
    </w:p>
    <w:p w14:paraId="07D44151" w14:textId="77777777" w:rsidR="007523B8" w:rsidRPr="009E06AA" w:rsidRDefault="007523B8" w:rsidP="007523B8">
      <w:pPr>
        <w:pStyle w:val="BodyText"/>
        <w:spacing w:after="0"/>
        <w:ind w:left="964" w:hanging="964"/>
        <w:rPr>
          <w:rFonts w:cs="Calibri"/>
        </w:rPr>
      </w:pPr>
      <w:r w:rsidRPr="009E06AA">
        <w:rPr>
          <w:rFonts w:cs="Calibri"/>
        </w:rPr>
        <w:t>Where:</w:t>
      </w:r>
      <w:r w:rsidRPr="009E06AA">
        <w:rPr>
          <w:rFonts w:cs="Calibri"/>
        </w:rPr>
        <w:tab/>
        <w:t>AG</w:t>
      </w:r>
      <w:r w:rsidRPr="009E06AA">
        <w:rPr>
          <w:rFonts w:cs="Calibri"/>
          <w:vertAlign w:val="subscript"/>
        </w:rPr>
        <w:t>DM</w:t>
      </w:r>
      <w:r w:rsidRPr="009E06AA">
        <w:rPr>
          <w:rFonts w:cs="Calibri"/>
        </w:rPr>
        <w:t xml:space="preserve"> is the above-ground residue (defined below)</w:t>
      </w:r>
    </w:p>
    <w:p w14:paraId="74DA83DC" w14:textId="77777777" w:rsidR="007523B8" w:rsidRPr="009E06AA" w:rsidRDefault="007523B8" w:rsidP="007523B8">
      <w:pPr>
        <w:pStyle w:val="BodyText"/>
        <w:spacing w:before="60" w:after="0"/>
        <w:ind w:left="964"/>
      </w:pPr>
      <w:r w:rsidRPr="009E06AA">
        <w:rPr>
          <w:rFonts w:cs="Calibri"/>
        </w:rPr>
        <w:t>Frac</w:t>
      </w:r>
      <w:r w:rsidRPr="009E06AA">
        <w:rPr>
          <w:rFonts w:cs="Calibri"/>
          <w:vertAlign w:val="subscript"/>
        </w:rPr>
        <w:t xml:space="preserve">AREA–BURN </w:t>
      </w:r>
      <w:r w:rsidRPr="009E06AA">
        <w:rPr>
          <w:rFonts w:cs="Calibri"/>
        </w:rPr>
        <w:t>is the proportion of crop area burned of the total production area (discussed further below)</w:t>
      </w:r>
    </w:p>
    <w:p w14:paraId="7E017B0A" w14:textId="77777777" w:rsidR="007523B8" w:rsidRPr="009E06AA" w:rsidRDefault="007523B8" w:rsidP="007523B8">
      <w:pPr>
        <w:pStyle w:val="BodyText"/>
        <w:spacing w:before="60" w:after="0"/>
        <w:ind w:left="964"/>
        <w:rPr>
          <w:rFonts w:cs="Calibri"/>
        </w:rPr>
      </w:pPr>
      <w:r w:rsidRPr="009E06AA">
        <w:rPr>
          <w:rFonts w:cs="Calibri"/>
        </w:rPr>
        <w:t>Frac</w:t>
      </w:r>
      <w:r w:rsidRPr="009E06AA">
        <w:rPr>
          <w:rFonts w:cs="Calibri"/>
          <w:vertAlign w:val="subscript"/>
        </w:rPr>
        <w:t>RESIDUE</w:t>
      </w:r>
      <w:r w:rsidRPr="009E06AA">
        <w:rPr>
          <w:rFonts w:cs="Calibri"/>
        </w:rPr>
        <w:t xml:space="preserve"> is the proportion of residue remaining after harvest (see table 5.7.2), and</w:t>
      </w:r>
    </w:p>
    <w:p w14:paraId="19DA3309" w14:textId="77777777" w:rsidR="007523B8" w:rsidRPr="009E06AA" w:rsidRDefault="007523B8" w:rsidP="007523B8">
      <w:pPr>
        <w:pStyle w:val="BodyText"/>
        <w:spacing w:before="60"/>
        <w:ind w:left="964"/>
        <w:rPr>
          <w:rFonts w:cs="Calibri"/>
        </w:rPr>
      </w:pPr>
      <w:r w:rsidRPr="009E06AA">
        <w:rPr>
          <w:rFonts w:cs="Calibri"/>
        </w:rPr>
        <w:t>Frac</w:t>
      </w:r>
      <w:r w:rsidRPr="009E06AA">
        <w:rPr>
          <w:rFonts w:cs="Calibri"/>
          <w:vertAlign w:val="subscript"/>
        </w:rPr>
        <w:t>BURN</w:t>
      </w:r>
      <w:r w:rsidRPr="009E06AA">
        <w:rPr>
          <w:rFonts w:cs="Calibri"/>
        </w:rPr>
        <w:t xml:space="preserve"> is the proportion of remaining residue burned (see table 5.7.2).</w:t>
      </w:r>
    </w:p>
    <w:p w14:paraId="62E4923F" w14:textId="77777777" w:rsidR="007523B8" w:rsidRPr="009E06AA" w:rsidRDefault="007523B8" w:rsidP="007523B8">
      <w:pPr>
        <w:pStyle w:val="BodyText"/>
        <w:spacing w:after="60"/>
      </w:pPr>
      <w:r w:rsidRPr="009E06AA">
        <w:t>The above-ground residue, AG</w:t>
      </w:r>
      <w:r w:rsidRPr="009E06AA">
        <w:rPr>
          <w:vertAlign w:val="subscript"/>
        </w:rPr>
        <w:t>DM</w:t>
      </w:r>
      <w:r w:rsidRPr="009E06AA">
        <w:t xml:space="preserve"> (tonnes), is:</w:t>
      </w:r>
    </w:p>
    <w:bookmarkStart w:id="1532" w:name="_1767789289"/>
    <w:bookmarkEnd w:id="1532"/>
    <w:p w14:paraId="75CB5AA4" w14:textId="77777777" w:rsidR="007523B8" w:rsidRPr="009E06AA" w:rsidRDefault="008975BF" w:rsidP="007523B8">
      <w:pPr>
        <w:pStyle w:val="BodyText"/>
        <w:spacing w:before="80" w:after="60"/>
        <w:jc w:val="center"/>
        <w:rPr>
          <w:rFonts w:cs="Calibri"/>
        </w:rPr>
      </w:pPr>
      <m:oMathPara>
        <m:oMath>
          <m:sSub>
            <m:sSubPr>
              <m:ctrlPr>
                <w:rPr>
                  <w:rFonts w:ascii="Cambria Math" w:hAnsi="Cambria Math"/>
                  <w:i/>
                  <w:sz w:val="24"/>
                  <w:szCs w:val="24"/>
                </w:rPr>
              </m:ctrlPr>
            </m:sSubPr>
            <m:e>
              <m:r>
                <w:rPr>
                  <w:rFonts w:ascii="Cambria Math" w:hAnsi="Cambria Math"/>
                  <w:sz w:val="24"/>
                  <w:szCs w:val="24"/>
                </w:rPr>
                <m:t>AG</m:t>
              </m:r>
            </m:e>
            <m:sub>
              <m:r>
                <w:rPr>
                  <w:rFonts w:ascii="Cambria Math" w:hAnsi="Cambria Math"/>
                  <w:sz w:val="24"/>
                  <w:szCs w:val="24"/>
                </w:rPr>
                <m:t>DM</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Prod</m:t>
                  </m:r>
                </m:e>
                <m:sub>
                  <m:r>
                    <w:rPr>
                      <w:rFonts w:ascii="Cambria Math" w:hAnsi="Cambria Math"/>
                      <w:sz w:val="24"/>
                      <w:szCs w:val="24"/>
                    </w:rPr>
                    <m:t>DM</m:t>
                  </m:r>
                </m:sub>
              </m:sSub>
            </m:num>
            <m:den>
              <m:r>
                <w:rPr>
                  <w:rFonts w:ascii="Cambria Math" w:hAnsi="Cambria Math"/>
                  <w:sz w:val="24"/>
                  <w:szCs w:val="24"/>
                </w:rPr>
                <m:t>HI</m:t>
              </m:r>
            </m:den>
          </m:f>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Prod</m:t>
              </m:r>
            </m:e>
            <m:sub>
              <m:r>
                <w:rPr>
                  <w:rFonts w:ascii="Cambria Math" w:hAnsi="Cambria Math"/>
                  <w:sz w:val="24"/>
                  <w:szCs w:val="24"/>
                </w:rPr>
                <m:t>DM</m:t>
              </m:r>
            </m:sub>
          </m:sSub>
        </m:oMath>
      </m:oMathPara>
    </w:p>
    <w:p w14:paraId="15614B07" w14:textId="77777777" w:rsidR="007523B8" w:rsidRPr="009E06AA" w:rsidRDefault="007523B8" w:rsidP="007523B8">
      <w:pPr>
        <w:pStyle w:val="BodyText"/>
        <w:spacing w:after="60"/>
        <w:ind w:left="964" w:hanging="964"/>
        <w:rPr>
          <w:rFonts w:cs="Calibri"/>
        </w:rPr>
      </w:pPr>
      <w:r w:rsidRPr="009E06AA">
        <w:rPr>
          <w:rFonts w:cs="Calibri"/>
        </w:rPr>
        <w:t>Where:</w:t>
      </w:r>
      <w:r w:rsidRPr="009E06AA">
        <w:rPr>
          <w:rFonts w:cs="Calibri"/>
        </w:rPr>
        <w:tab/>
        <w:t>HI is the harvest index (crop-specific, table 5.7.2), that is, the mass harvested over the total mass of above-ground biomass.</w:t>
      </w:r>
    </w:p>
    <w:p w14:paraId="50881259" w14:textId="77777777" w:rsidR="007523B8" w:rsidRPr="009E06AA" w:rsidRDefault="007523B8" w:rsidP="00BA544F">
      <w:pPr>
        <w:pStyle w:val="BodyText"/>
        <w:keepNext/>
        <w:spacing w:before="80"/>
        <w:rPr>
          <w:rFonts w:cs="Calibri"/>
        </w:rPr>
      </w:pPr>
      <w:r w:rsidRPr="009E06AA">
        <w:rPr>
          <w:rFonts w:cs="Calibri"/>
        </w:rPr>
        <w:t>The dry matter, Prod</w:t>
      </w:r>
      <w:r w:rsidRPr="009E06AA">
        <w:rPr>
          <w:rFonts w:cs="Calibri"/>
          <w:vertAlign w:val="subscript"/>
        </w:rPr>
        <w:t>DM</w:t>
      </w:r>
      <w:r w:rsidRPr="009E06AA">
        <w:rPr>
          <w:rFonts w:cs="Calibri"/>
        </w:rPr>
        <w:t xml:space="preserve"> (tonnes), available to be burned is:</w:t>
      </w:r>
    </w:p>
    <w:bookmarkStart w:id="1533" w:name="_1767789319"/>
    <w:bookmarkEnd w:id="1533"/>
    <w:p w14:paraId="0F34D320" w14:textId="77777777" w:rsidR="007523B8" w:rsidRPr="009E06AA" w:rsidRDefault="008975BF" w:rsidP="00BA544F">
      <w:pPr>
        <w:pStyle w:val="BodyText"/>
        <w:spacing w:before="0"/>
        <w:jc w:val="center"/>
        <w:rPr>
          <w:rFonts w:cs="Calibri"/>
          <w:sz w:val="24"/>
          <w:szCs w:val="24"/>
        </w:rPr>
      </w:pPr>
      <m:oMathPara>
        <m:oMath>
          <m:sSub>
            <m:sSubPr>
              <m:ctrlPr>
                <w:rPr>
                  <w:rFonts w:ascii="Cambria Math" w:hAnsi="Cambria Math"/>
                  <w:i/>
                  <w:sz w:val="24"/>
                  <w:szCs w:val="24"/>
                </w:rPr>
              </m:ctrlPr>
            </m:sSubPr>
            <m:e>
              <m:sSub>
                <m:sSubPr>
                  <m:ctrlPr>
                    <w:rPr>
                      <w:rFonts w:ascii="Cambria Math" w:hAnsi="Cambria Math"/>
                      <w:i/>
                      <w:sz w:val="24"/>
                      <w:szCs w:val="24"/>
                    </w:rPr>
                  </m:ctrlPr>
                </m:sSubPr>
                <m:e>
                  <m:r>
                    <w:rPr>
                      <w:rFonts w:ascii="Cambria Math" w:hAnsi="Cambria Math"/>
                      <w:sz w:val="24"/>
                      <w:szCs w:val="24"/>
                    </w:rPr>
                    <m:t>Prod</m:t>
                  </m:r>
                </m:e>
                <m:sub>
                  <m:r>
                    <w:rPr>
                      <w:rFonts w:ascii="Cambria Math" w:hAnsi="Cambria Math"/>
                      <w:sz w:val="24"/>
                      <w:szCs w:val="24"/>
                    </w:rPr>
                    <m:t>DM</m:t>
                  </m:r>
                </m:sub>
              </m:sSub>
              <m:r>
                <w:rPr>
                  <w:rFonts w:ascii="Cambria Math" w:hAnsi="Cambria Math"/>
                  <w:sz w:val="24"/>
                  <w:szCs w:val="24"/>
                </w:rPr>
                <m:t>=</m:t>
              </m:r>
              <m:r>
                <w:rPr>
                  <w:rFonts w:ascii="Cambria Math" w:hAnsi="Cambria Math"/>
                  <w:sz w:val="24"/>
                  <w:szCs w:val="24"/>
                </w:rPr>
                <m:t>Crop</m:t>
              </m:r>
            </m:e>
            <m:sub>
              <m:r>
                <w:rPr>
                  <w:rFonts w:ascii="Cambria Math" w:hAnsi="Cambria Math"/>
                  <w:sz w:val="24"/>
                  <w:szCs w:val="24"/>
                </w:rPr>
                <m:t>PROD</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Frac</m:t>
              </m:r>
            </m:e>
            <m:sub>
              <m:r>
                <w:rPr>
                  <w:rFonts w:ascii="Cambria Math" w:hAnsi="Cambria Math"/>
                  <w:sz w:val="24"/>
                  <w:szCs w:val="24"/>
                </w:rPr>
                <m:t>DM</m:t>
              </m:r>
            </m:sub>
          </m:sSub>
        </m:oMath>
      </m:oMathPara>
    </w:p>
    <w:p w14:paraId="78943096" w14:textId="77777777" w:rsidR="007523B8" w:rsidRPr="009E06AA" w:rsidRDefault="007523B8" w:rsidP="007A7F96">
      <w:pPr>
        <w:pStyle w:val="BodyText"/>
        <w:spacing w:before="60" w:after="0"/>
        <w:ind w:left="964" w:hanging="964"/>
        <w:rPr>
          <w:rFonts w:cs="Calibri"/>
        </w:rPr>
      </w:pPr>
      <w:r w:rsidRPr="009E06AA">
        <w:rPr>
          <w:rFonts w:cs="Calibri"/>
        </w:rPr>
        <w:t>Where:</w:t>
      </w:r>
      <w:r w:rsidRPr="009E06AA">
        <w:rPr>
          <w:rFonts w:cs="Calibri"/>
        </w:rPr>
        <w:tab/>
        <w:t>Crop</w:t>
      </w:r>
      <w:r w:rsidRPr="009E06AA">
        <w:rPr>
          <w:rFonts w:cs="Calibri"/>
          <w:vertAlign w:val="subscript"/>
        </w:rPr>
        <w:t>PROD</w:t>
      </w:r>
      <w:r w:rsidRPr="009E06AA">
        <w:rPr>
          <w:rFonts w:cs="Calibri"/>
        </w:rPr>
        <w:t xml:space="preserve"> is the annual crop production (tonnes) (Stats NZ Agricultural Production Census and Survey), and</w:t>
      </w:r>
    </w:p>
    <w:p w14:paraId="6818F302" w14:textId="77777777" w:rsidR="007523B8" w:rsidRPr="009E06AA" w:rsidRDefault="007523B8" w:rsidP="007523B8">
      <w:pPr>
        <w:pStyle w:val="BodyText"/>
        <w:spacing w:before="60"/>
        <w:ind w:left="964"/>
        <w:rPr>
          <w:rFonts w:cs="Calibri"/>
        </w:rPr>
      </w:pPr>
      <w:r w:rsidRPr="009E06AA">
        <w:rPr>
          <w:rFonts w:cs="Calibri"/>
        </w:rPr>
        <w:t>Frac</w:t>
      </w:r>
      <w:r w:rsidRPr="009E06AA">
        <w:rPr>
          <w:rFonts w:cs="Calibri"/>
          <w:vertAlign w:val="subscript"/>
        </w:rPr>
        <w:t>DM</w:t>
      </w:r>
      <w:r w:rsidRPr="009E06AA">
        <w:rPr>
          <w:rFonts w:cs="Calibri"/>
        </w:rPr>
        <w:t xml:space="preserve"> is the fraction of crop that is dry matter (crop specific, table 5.7.2).</w:t>
      </w:r>
    </w:p>
    <w:p w14:paraId="202F9222" w14:textId="77777777" w:rsidR="007523B8" w:rsidRPr="009E06AA" w:rsidRDefault="007523B8" w:rsidP="00D7550A">
      <w:pPr>
        <w:pStyle w:val="Table"/>
        <w:rPr>
          <w:rFonts w:cs="Calibri"/>
        </w:rPr>
      </w:pPr>
      <w:bookmarkStart w:id="1534" w:name="_Toc352504980"/>
      <w:bookmarkStart w:id="1535" w:name="_Toc441830891"/>
      <w:bookmarkStart w:id="1536" w:name="_Toc451176105"/>
      <w:bookmarkStart w:id="1537" w:name="_Toc481751535"/>
      <w:bookmarkStart w:id="1538" w:name="_Toc507158621"/>
      <w:bookmarkStart w:id="1539" w:name="_Toc511116755"/>
      <w:bookmarkStart w:id="1540" w:name="_Toc5269497"/>
      <w:bookmarkStart w:id="1541" w:name="_Toc32570944"/>
      <w:bookmarkStart w:id="1542" w:name="_Toc36224579"/>
      <w:bookmarkStart w:id="1543" w:name="_Toc68786464"/>
      <w:bookmarkStart w:id="1544" w:name="_Toc95574095"/>
      <w:bookmarkStart w:id="1545" w:name="_Toc127458284"/>
      <w:bookmarkStart w:id="1546" w:name="_Toc131591380"/>
      <w:bookmarkStart w:id="1547" w:name="_Toc160114475"/>
      <w:bookmarkStart w:id="1548" w:name="_Toc164153871"/>
      <w:r w:rsidRPr="009E06AA">
        <w:rPr>
          <w:rFonts w:cs="Calibri"/>
        </w:rPr>
        <w:t xml:space="preserve">Table 5.7.2 </w:t>
      </w:r>
      <w:r w:rsidRPr="009E06AA">
        <w:rPr>
          <w:rFonts w:cs="Calibri"/>
        </w:rPr>
        <w:tab/>
        <w:t>Values used to calculate New Zealand emissions from burning of agricultural residues</w:t>
      </w:r>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p>
    <w:tbl>
      <w:tblPr>
        <w:tblW w:w="8505" w:type="dxa"/>
        <w:tblBorders>
          <w:top w:val="single" w:sz="4" w:space="0" w:color="1B556B" w:themeColor="text2"/>
          <w:bottom w:val="single" w:sz="4" w:space="0" w:color="1B556B" w:themeColor="text2"/>
          <w:insideH w:val="single" w:sz="4" w:space="0" w:color="1B556B" w:themeColor="text2"/>
        </w:tblBorders>
        <w:tblLook w:val="0000" w:firstRow="0" w:lastRow="0" w:firstColumn="0" w:lastColumn="0" w:noHBand="0" w:noVBand="0"/>
      </w:tblPr>
      <w:tblGrid>
        <w:gridCol w:w="4695"/>
        <w:gridCol w:w="1270"/>
        <w:gridCol w:w="1270"/>
        <w:gridCol w:w="1270"/>
      </w:tblGrid>
      <w:tr w:rsidR="007523B8" w:rsidRPr="009E06AA" w14:paraId="4A386A96" w14:textId="77777777" w:rsidTr="00B55F24">
        <w:trPr>
          <w:tblHeader/>
        </w:trPr>
        <w:tc>
          <w:tcPr>
            <w:tcW w:w="4480" w:type="dxa"/>
            <w:shd w:val="clear" w:color="auto" w:fill="1B556B"/>
            <w:noWrap/>
            <w:vAlign w:val="bottom"/>
          </w:tcPr>
          <w:p w14:paraId="5C05E63C" w14:textId="77777777" w:rsidR="007523B8" w:rsidRPr="009E06AA" w:rsidRDefault="007523B8" w:rsidP="00387CF3">
            <w:pPr>
              <w:pStyle w:val="TableTextBold"/>
              <w:keepNext/>
              <w:spacing w:before="40" w:after="30"/>
              <w:rPr>
                <w:noProof w:val="0"/>
                <w:color w:val="FFFFFF" w:themeColor="background1"/>
                <w:szCs w:val="16"/>
              </w:rPr>
            </w:pPr>
          </w:p>
        </w:tc>
        <w:tc>
          <w:tcPr>
            <w:tcW w:w="1211" w:type="dxa"/>
            <w:shd w:val="clear" w:color="auto" w:fill="1B556B"/>
            <w:noWrap/>
            <w:vAlign w:val="bottom"/>
          </w:tcPr>
          <w:p w14:paraId="695E7B5D" w14:textId="77777777" w:rsidR="007523B8" w:rsidRPr="009E06AA" w:rsidRDefault="007523B8" w:rsidP="00387CF3">
            <w:pPr>
              <w:pStyle w:val="TableTextBold"/>
              <w:keepNext/>
              <w:spacing w:before="40" w:after="30"/>
              <w:jc w:val="right"/>
              <w:rPr>
                <w:noProof w:val="0"/>
                <w:color w:val="FFFFFF" w:themeColor="background1"/>
                <w:szCs w:val="16"/>
              </w:rPr>
            </w:pPr>
            <w:r w:rsidRPr="009E06AA">
              <w:rPr>
                <w:noProof w:val="0"/>
                <w:color w:val="FFFFFF" w:themeColor="background1"/>
                <w:szCs w:val="16"/>
              </w:rPr>
              <w:t>Barley</w:t>
            </w:r>
          </w:p>
        </w:tc>
        <w:tc>
          <w:tcPr>
            <w:tcW w:w="1211" w:type="dxa"/>
            <w:shd w:val="clear" w:color="auto" w:fill="1B556B"/>
            <w:noWrap/>
            <w:vAlign w:val="bottom"/>
          </w:tcPr>
          <w:p w14:paraId="68AF8A61" w14:textId="77777777" w:rsidR="007523B8" w:rsidRPr="009E06AA" w:rsidRDefault="007523B8" w:rsidP="00387CF3">
            <w:pPr>
              <w:pStyle w:val="TableTextBold"/>
              <w:keepNext/>
              <w:spacing w:before="40" w:after="30"/>
              <w:jc w:val="right"/>
              <w:rPr>
                <w:noProof w:val="0"/>
                <w:color w:val="FFFFFF" w:themeColor="background1"/>
                <w:szCs w:val="16"/>
              </w:rPr>
            </w:pPr>
            <w:r w:rsidRPr="009E06AA">
              <w:rPr>
                <w:noProof w:val="0"/>
                <w:color w:val="FFFFFF" w:themeColor="background1"/>
                <w:szCs w:val="16"/>
              </w:rPr>
              <w:t>Wheat</w:t>
            </w:r>
          </w:p>
        </w:tc>
        <w:tc>
          <w:tcPr>
            <w:tcW w:w="1211" w:type="dxa"/>
            <w:shd w:val="clear" w:color="auto" w:fill="1B556B"/>
            <w:noWrap/>
            <w:vAlign w:val="bottom"/>
          </w:tcPr>
          <w:p w14:paraId="315CA526" w14:textId="77777777" w:rsidR="007523B8" w:rsidRPr="009E06AA" w:rsidRDefault="007523B8" w:rsidP="00387CF3">
            <w:pPr>
              <w:pStyle w:val="TableTextBold"/>
              <w:keepNext/>
              <w:spacing w:before="40" w:after="30"/>
              <w:jc w:val="right"/>
              <w:rPr>
                <w:noProof w:val="0"/>
                <w:color w:val="FFFFFF" w:themeColor="background1"/>
                <w:szCs w:val="16"/>
              </w:rPr>
            </w:pPr>
            <w:r w:rsidRPr="009E06AA">
              <w:rPr>
                <w:noProof w:val="0"/>
                <w:color w:val="FFFFFF" w:themeColor="background1"/>
                <w:szCs w:val="16"/>
              </w:rPr>
              <w:t>Oats</w:t>
            </w:r>
          </w:p>
        </w:tc>
      </w:tr>
      <w:tr w:rsidR="007523B8" w:rsidRPr="009E06AA" w14:paraId="0411894F" w14:textId="77777777" w:rsidTr="00B55F24">
        <w:tc>
          <w:tcPr>
            <w:tcW w:w="4480" w:type="dxa"/>
            <w:noWrap/>
            <w:vAlign w:val="bottom"/>
          </w:tcPr>
          <w:p w14:paraId="715DD6C7" w14:textId="77777777" w:rsidR="007523B8" w:rsidRPr="009E06AA" w:rsidRDefault="007523B8" w:rsidP="00387CF3">
            <w:pPr>
              <w:pStyle w:val="TableText"/>
              <w:keepNext/>
              <w:spacing w:before="40" w:after="30"/>
              <w:rPr>
                <w:rFonts w:cs="Calibri"/>
                <w:szCs w:val="16"/>
              </w:rPr>
            </w:pPr>
            <w:r w:rsidRPr="009E06AA">
              <w:rPr>
                <w:rFonts w:cs="Calibri"/>
                <w:szCs w:val="16"/>
              </w:rPr>
              <w:t>Fraction oxidised</w:t>
            </w:r>
          </w:p>
        </w:tc>
        <w:tc>
          <w:tcPr>
            <w:tcW w:w="1211" w:type="dxa"/>
            <w:noWrap/>
            <w:vAlign w:val="bottom"/>
          </w:tcPr>
          <w:p w14:paraId="38058BC7" w14:textId="77777777" w:rsidR="007523B8" w:rsidRPr="009E06AA" w:rsidRDefault="007523B8" w:rsidP="00387CF3">
            <w:pPr>
              <w:pStyle w:val="TableText"/>
              <w:keepNext/>
              <w:spacing w:before="40" w:after="30"/>
              <w:jc w:val="right"/>
              <w:rPr>
                <w:rFonts w:cs="Calibri"/>
                <w:szCs w:val="16"/>
              </w:rPr>
            </w:pPr>
            <w:r w:rsidRPr="009E06AA">
              <w:rPr>
                <w:rFonts w:cs="Calibri"/>
                <w:szCs w:val="16"/>
              </w:rPr>
              <w:t>0.9</w:t>
            </w:r>
          </w:p>
        </w:tc>
        <w:tc>
          <w:tcPr>
            <w:tcW w:w="1211" w:type="dxa"/>
            <w:noWrap/>
            <w:vAlign w:val="bottom"/>
          </w:tcPr>
          <w:p w14:paraId="47D011F5" w14:textId="77777777" w:rsidR="007523B8" w:rsidRPr="009E06AA" w:rsidRDefault="007523B8" w:rsidP="00387CF3">
            <w:pPr>
              <w:pStyle w:val="TableText"/>
              <w:keepNext/>
              <w:spacing w:before="40" w:after="30"/>
              <w:jc w:val="right"/>
              <w:rPr>
                <w:rFonts w:cs="Calibri"/>
                <w:szCs w:val="16"/>
              </w:rPr>
            </w:pPr>
            <w:r w:rsidRPr="009E06AA">
              <w:rPr>
                <w:rFonts w:cs="Calibri"/>
                <w:szCs w:val="16"/>
              </w:rPr>
              <w:t>0.9</w:t>
            </w:r>
          </w:p>
        </w:tc>
        <w:tc>
          <w:tcPr>
            <w:tcW w:w="1211" w:type="dxa"/>
            <w:noWrap/>
            <w:vAlign w:val="bottom"/>
          </w:tcPr>
          <w:p w14:paraId="144DB47B" w14:textId="77777777" w:rsidR="007523B8" w:rsidRPr="009E06AA" w:rsidRDefault="007523B8" w:rsidP="00387CF3">
            <w:pPr>
              <w:pStyle w:val="TableText"/>
              <w:keepNext/>
              <w:spacing w:before="40" w:after="30"/>
              <w:jc w:val="right"/>
              <w:rPr>
                <w:rFonts w:cs="Calibri"/>
                <w:szCs w:val="16"/>
              </w:rPr>
            </w:pPr>
            <w:r w:rsidRPr="009E06AA">
              <w:rPr>
                <w:rFonts w:cs="Calibri"/>
                <w:szCs w:val="16"/>
              </w:rPr>
              <w:t>0.9</w:t>
            </w:r>
          </w:p>
        </w:tc>
      </w:tr>
      <w:tr w:rsidR="007523B8" w:rsidRPr="009E06AA" w14:paraId="79C5FEC5" w14:textId="77777777" w:rsidTr="00B55F24">
        <w:tc>
          <w:tcPr>
            <w:tcW w:w="4480" w:type="dxa"/>
            <w:noWrap/>
            <w:vAlign w:val="bottom"/>
          </w:tcPr>
          <w:p w14:paraId="2FCD5F23" w14:textId="77777777" w:rsidR="007523B8" w:rsidRPr="009E06AA" w:rsidRDefault="007523B8" w:rsidP="00387CF3">
            <w:pPr>
              <w:pStyle w:val="TableText"/>
              <w:keepNext/>
              <w:spacing w:before="40" w:after="30"/>
              <w:rPr>
                <w:rFonts w:cs="Calibri"/>
                <w:szCs w:val="16"/>
              </w:rPr>
            </w:pPr>
            <w:r w:rsidRPr="009E06AA">
              <w:rPr>
                <w:rFonts w:cs="Calibri"/>
                <w:szCs w:val="16"/>
              </w:rPr>
              <w:t>Residue remaining in field</w:t>
            </w:r>
          </w:p>
        </w:tc>
        <w:tc>
          <w:tcPr>
            <w:tcW w:w="1211" w:type="dxa"/>
            <w:noWrap/>
            <w:vAlign w:val="bottom"/>
          </w:tcPr>
          <w:p w14:paraId="74C78778" w14:textId="77777777" w:rsidR="007523B8" w:rsidRPr="009E06AA" w:rsidRDefault="007523B8" w:rsidP="00387CF3">
            <w:pPr>
              <w:pStyle w:val="TableText"/>
              <w:keepNext/>
              <w:spacing w:before="40" w:after="30"/>
              <w:jc w:val="right"/>
              <w:rPr>
                <w:rFonts w:cs="Calibri"/>
                <w:szCs w:val="16"/>
              </w:rPr>
            </w:pPr>
            <w:r w:rsidRPr="009E06AA">
              <w:rPr>
                <w:rFonts w:cs="Calibri"/>
                <w:szCs w:val="16"/>
              </w:rPr>
              <w:t>1</w:t>
            </w:r>
          </w:p>
        </w:tc>
        <w:tc>
          <w:tcPr>
            <w:tcW w:w="1211" w:type="dxa"/>
            <w:noWrap/>
            <w:vAlign w:val="bottom"/>
          </w:tcPr>
          <w:p w14:paraId="25A50AEB" w14:textId="77777777" w:rsidR="007523B8" w:rsidRPr="009E06AA" w:rsidRDefault="007523B8" w:rsidP="00387CF3">
            <w:pPr>
              <w:pStyle w:val="TableText"/>
              <w:keepNext/>
              <w:spacing w:before="40" w:after="30"/>
              <w:jc w:val="right"/>
              <w:rPr>
                <w:rFonts w:cs="Calibri"/>
                <w:szCs w:val="16"/>
              </w:rPr>
            </w:pPr>
            <w:r w:rsidRPr="009E06AA">
              <w:rPr>
                <w:rFonts w:cs="Calibri"/>
                <w:szCs w:val="16"/>
              </w:rPr>
              <w:t>1</w:t>
            </w:r>
          </w:p>
        </w:tc>
        <w:tc>
          <w:tcPr>
            <w:tcW w:w="1211" w:type="dxa"/>
            <w:noWrap/>
            <w:vAlign w:val="bottom"/>
          </w:tcPr>
          <w:p w14:paraId="47A0AAD1" w14:textId="77777777" w:rsidR="007523B8" w:rsidRPr="009E06AA" w:rsidRDefault="007523B8" w:rsidP="00387CF3">
            <w:pPr>
              <w:pStyle w:val="TableText"/>
              <w:keepNext/>
              <w:spacing w:before="40" w:after="30"/>
              <w:jc w:val="right"/>
              <w:rPr>
                <w:rFonts w:cs="Calibri"/>
                <w:szCs w:val="16"/>
              </w:rPr>
            </w:pPr>
            <w:r w:rsidRPr="009E06AA">
              <w:rPr>
                <w:rFonts w:cs="Calibri"/>
                <w:szCs w:val="16"/>
              </w:rPr>
              <w:t>1</w:t>
            </w:r>
          </w:p>
        </w:tc>
      </w:tr>
      <w:tr w:rsidR="007523B8" w:rsidRPr="009E06AA" w14:paraId="0966A780" w14:textId="77777777" w:rsidTr="00B55F24">
        <w:tc>
          <w:tcPr>
            <w:tcW w:w="4480" w:type="dxa"/>
            <w:noWrap/>
            <w:vAlign w:val="bottom"/>
          </w:tcPr>
          <w:p w14:paraId="3BCBCC85" w14:textId="77777777" w:rsidR="007523B8" w:rsidRPr="009E06AA" w:rsidRDefault="007523B8" w:rsidP="00387CF3">
            <w:pPr>
              <w:pStyle w:val="TableText"/>
              <w:spacing w:before="40" w:after="30"/>
              <w:rPr>
                <w:rFonts w:cs="Calibri"/>
                <w:szCs w:val="16"/>
              </w:rPr>
            </w:pPr>
            <w:r w:rsidRPr="009E06AA">
              <w:rPr>
                <w:rFonts w:cs="Calibri"/>
                <w:szCs w:val="16"/>
              </w:rPr>
              <w:t>Fraction of residue actually burned</w:t>
            </w:r>
          </w:p>
        </w:tc>
        <w:tc>
          <w:tcPr>
            <w:tcW w:w="1211" w:type="dxa"/>
            <w:noWrap/>
            <w:vAlign w:val="bottom"/>
          </w:tcPr>
          <w:p w14:paraId="1471D506" w14:textId="77777777" w:rsidR="007523B8" w:rsidRPr="009E06AA" w:rsidRDefault="007523B8" w:rsidP="00387CF3">
            <w:pPr>
              <w:pStyle w:val="TableText"/>
              <w:spacing w:before="40" w:after="30"/>
              <w:jc w:val="right"/>
              <w:rPr>
                <w:rFonts w:cs="Calibri"/>
                <w:szCs w:val="16"/>
              </w:rPr>
            </w:pPr>
            <w:r w:rsidRPr="009E06AA">
              <w:rPr>
                <w:rFonts w:cs="Calibri"/>
                <w:szCs w:val="16"/>
              </w:rPr>
              <w:t>0.7</w:t>
            </w:r>
          </w:p>
        </w:tc>
        <w:tc>
          <w:tcPr>
            <w:tcW w:w="1211" w:type="dxa"/>
            <w:noWrap/>
            <w:vAlign w:val="bottom"/>
          </w:tcPr>
          <w:p w14:paraId="6E05FE53" w14:textId="77777777" w:rsidR="007523B8" w:rsidRPr="009E06AA" w:rsidRDefault="007523B8" w:rsidP="00387CF3">
            <w:pPr>
              <w:pStyle w:val="TableText"/>
              <w:spacing w:before="40" w:after="30"/>
              <w:jc w:val="right"/>
              <w:rPr>
                <w:rFonts w:cs="Calibri"/>
                <w:szCs w:val="16"/>
              </w:rPr>
            </w:pPr>
            <w:r w:rsidRPr="009E06AA">
              <w:rPr>
                <w:rFonts w:cs="Calibri"/>
                <w:szCs w:val="16"/>
              </w:rPr>
              <w:t>0.7</w:t>
            </w:r>
          </w:p>
        </w:tc>
        <w:tc>
          <w:tcPr>
            <w:tcW w:w="1211" w:type="dxa"/>
            <w:noWrap/>
            <w:vAlign w:val="bottom"/>
          </w:tcPr>
          <w:p w14:paraId="76FAAA5D" w14:textId="77777777" w:rsidR="007523B8" w:rsidRPr="009E06AA" w:rsidRDefault="007523B8" w:rsidP="00387CF3">
            <w:pPr>
              <w:pStyle w:val="TableText"/>
              <w:spacing w:before="40" w:after="30"/>
              <w:jc w:val="right"/>
              <w:rPr>
                <w:rFonts w:cs="Calibri"/>
                <w:szCs w:val="16"/>
              </w:rPr>
            </w:pPr>
            <w:r w:rsidRPr="009E06AA">
              <w:rPr>
                <w:rFonts w:cs="Calibri"/>
                <w:szCs w:val="16"/>
              </w:rPr>
              <w:t>0.7</w:t>
            </w:r>
          </w:p>
        </w:tc>
      </w:tr>
      <w:tr w:rsidR="007523B8" w:rsidRPr="009E06AA" w14:paraId="21D1A8A4" w14:textId="77777777" w:rsidTr="00B55F24">
        <w:tc>
          <w:tcPr>
            <w:tcW w:w="4480" w:type="dxa"/>
            <w:noWrap/>
            <w:vAlign w:val="bottom"/>
          </w:tcPr>
          <w:p w14:paraId="42349AC3" w14:textId="77777777" w:rsidR="007523B8" w:rsidRPr="009E06AA" w:rsidRDefault="007523B8" w:rsidP="00387CF3">
            <w:pPr>
              <w:pStyle w:val="TableText"/>
              <w:spacing w:before="40" w:after="30"/>
              <w:rPr>
                <w:rFonts w:cs="Calibri"/>
                <w:szCs w:val="16"/>
              </w:rPr>
            </w:pPr>
            <w:r w:rsidRPr="009E06AA">
              <w:rPr>
                <w:rFonts w:cs="Calibri"/>
                <w:szCs w:val="16"/>
              </w:rPr>
              <w:t>Harvest index</w:t>
            </w:r>
          </w:p>
        </w:tc>
        <w:tc>
          <w:tcPr>
            <w:tcW w:w="1211" w:type="dxa"/>
            <w:noWrap/>
            <w:vAlign w:val="bottom"/>
          </w:tcPr>
          <w:p w14:paraId="77220CB1" w14:textId="77777777" w:rsidR="007523B8" w:rsidRPr="009E06AA" w:rsidRDefault="007523B8" w:rsidP="00387CF3">
            <w:pPr>
              <w:pStyle w:val="TableText"/>
              <w:spacing w:before="40" w:after="30"/>
              <w:jc w:val="right"/>
              <w:rPr>
                <w:rFonts w:cs="Calibri"/>
                <w:szCs w:val="16"/>
              </w:rPr>
            </w:pPr>
            <w:r w:rsidRPr="009E06AA">
              <w:rPr>
                <w:rFonts w:cs="Calibri"/>
                <w:szCs w:val="16"/>
              </w:rPr>
              <w:t>0.46</w:t>
            </w:r>
          </w:p>
        </w:tc>
        <w:tc>
          <w:tcPr>
            <w:tcW w:w="1211" w:type="dxa"/>
            <w:noWrap/>
            <w:vAlign w:val="bottom"/>
          </w:tcPr>
          <w:p w14:paraId="704DEB0B" w14:textId="77777777" w:rsidR="007523B8" w:rsidRPr="009E06AA" w:rsidRDefault="007523B8" w:rsidP="00387CF3">
            <w:pPr>
              <w:pStyle w:val="TableText"/>
              <w:spacing w:before="40" w:after="30"/>
              <w:jc w:val="right"/>
              <w:rPr>
                <w:rFonts w:cs="Calibri"/>
                <w:szCs w:val="16"/>
              </w:rPr>
            </w:pPr>
            <w:r w:rsidRPr="009E06AA">
              <w:rPr>
                <w:rFonts w:cs="Calibri"/>
                <w:szCs w:val="16"/>
              </w:rPr>
              <w:t>0.41</w:t>
            </w:r>
          </w:p>
        </w:tc>
        <w:tc>
          <w:tcPr>
            <w:tcW w:w="1211" w:type="dxa"/>
            <w:noWrap/>
            <w:vAlign w:val="bottom"/>
          </w:tcPr>
          <w:p w14:paraId="783EF1DD" w14:textId="77777777" w:rsidR="007523B8" w:rsidRPr="009E06AA" w:rsidRDefault="007523B8" w:rsidP="00387CF3">
            <w:pPr>
              <w:pStyle w:val="TableText"/>
              <w:spacing w:before="40" w:after="30"/>
              <w:jc w:val="right"/>
              <w:rPr>
                <w:rFonts w:cs="Calibri"/>
                <w:szCs w:val="16"/>
              </w:rPr>
            </w:pPr>
            <w:r w:rsidRPr="009E06AA">
              <w:rPr>
                <w:rFonts w:cs="Calibri"/>
                <w:szCs w:val="16"/>
              </w:rPr>
              <w:t>0.30</w:t>
            </w:r>
          </w:p>
        </w:tc>
      </w:tr>
      <w:tr w:rsidR="007523B8" w:rsidRPr="009E06AA" w14:paraId="3D42E506" w14:textId="77777777" w:rsidTr="00B55F24">
        <w:trPr>
          <w:trHeight w:val="165"/>
        </w:trPr>
        <w:tc>
          <w:tcPr>
            <w:tcW w:w="4480" w:type="dxa"/>
            <w:noWrap/>
            <w:vAlign w:val="bottom"/>
          </w:tcPr>
          <w:p w14:paraId="033F7113" w14:textId="77777777" w:rsidR="007523B8" w:rsidRPr="009E06AA" w:rsidRDefault="007523B8" w:rsidP="00387CF3">
            <w:pPr>
              <w:pStyle w:val="TableText"/>
              <w:spacing w:before="40" w:after="30"/>
              <w:rPr>
                <w:rFonts w:cs="Calibri"/>
                <w:szCs w:val="16"/>
              </w:rPr>
            </w:pPr>
            <w:r w:rsidRPr="009E06AA">
              <w:rPr>
                <w:rFonts w:cs="Calibri"/>
                <w:szCs w:val="16"/>
              </w:rPr>
              <w:t>Dry-matter fraction</w:t>
            </w:r>
          </w:p>
        </w:tc>
        <w:tc>
          <w:tcPr>
            <w:tcW w:w="1211" w:type="dxa"/>
            <w:noWrap/>
            <w:vAlign w:val="bottom"/>
          </w:tcPr>
          <w:p w14:paraId="33E1A30B" w14:textId="77777777" w:rsidR="007523B8" w:rsidRPr="009E06AA" w:rsidRDefault="007523B8" w:rsidP="00387CF3">
            <w:pPr>
              <w:pStyle w:val="TableText"/>
              <w:spacing w:before="40" w:after="30"/>
              <w:jc w:val="right"/>
              <w:rPr>
                <w:rFonts w:cs="Calibri"/>
                <w:szCs w:val="16"/>
              </w:rPr>
            </w:pPr>
            <w:r w:rsidRPr="009E06AA">
              <w:rPr>
                <w:rFonts w:cs="Calibri"/>
                <w:szCs w:val="16"/>
              </w:rPr>
              <w:t>0.86</w:t>
            </w:r>
          </w:p>
        </w:tc>
        <w:tc>
          <w:tcPr>
            <w:tcW w:w="1211" w:type="dxa"/>
            <w:noWrap/>
            <w:vAlign w:val="bottom"/>
          </w:tcPr>
          <w:p w14:paraId="7238BF3A" w14:textId="77777777" w:rsidR="007523B8" w:rsidRPr="009E06AA" w:rsidRDefault="007523B8" w:rsidP="00387CF3">
            <w:pPr>
              <w:pStyle w:val="TableText"/>
              <w:spacing w:before="40" w:after="30"/>
              <w:jc w:val="right"/>
              <w:rPr>
                <w:rFonts w:cs="Calibri"/>
                <w:szCs w:val="16"/>
              </w:rPr>
            </w:pPr>
            <w:r w:rsidRPr="009E06AA">
              <w:rPr>
                <w:rFonts w:cs="Calibri"/>
                <w:szCs w:val="16"/>
              </w:rPr>
              <w:t>0.86</w:t>
            </w:r>
          </w:p>
        </w:tc>
        <w:tc>
          <w:tcPr>
            <w:tcW w:w="1211" w:type="dxa"/>
            <w:noWrap/>
            <w:vAlign w:val="bottom"/>
          </w:tcPr>
          <w:p w14:paraId="060D09F0" w14:textId="77777777" w:rsidR="007523B8" w:rsidRPr="009E06AA" w:rsidRDefault="007523B8" w:rsidP="00387CF3">
            <w:pPr>
              <w:pStyle w:val="TableText"/>
              <w:spacing w:before="40" w:after="30"/>
              <w:jc w:val="right"/>
              <w:rPr>
                <w:rFonts w:cs="Calibri"/>
                <w:szCs w:val="16"/>
              </w:rPr>
            </w:pPr>
            <w:r w:rsidRPr="009E06AA">
              <w:rPr>
                <w:rFonts w:cs="Calibri"/>
                <w:szCs w:val="16"/>
              </w:rPr>
              <w:t>0.86</w:t>
            </w:r>
          </w:p>
        </w:tc>
      </w:tr>
      <w:tr w:rsidR="007523B8" w:rsidRPr="009E06AA" w14:paraId="232790AD" w14:textId="77777777" w:rsidTr="00B55F24">
        <w:tc>
          <w:tcPr>
            <w:tcW w:w="4480" w:type="dxa"/>
            <w:noWrap/>
            <w:vAlign w:val="bottom"/>
          </w:tcPr>
          <w:p w14:paraId="4A58F0CB" w14:textId="77777777" w:rsidR="007523B8" w:rsidRPr="009E06AA" w:rsidRDefault="007523B8" w:rsidP="00387CF3">
            <w:pPr>
              <w:pStyle w:val="TableText"/>
              <w:spacing w:before="40" w:after="30"/>
              <w:rPr>
                <w:rFonts w:cs="Calibri"/>
                <w:szCs w:val="16"/>
              </w:rPr>
            </w:pPr>
            <w:r w:rsidRPr="009E06AA">
              <w:rPr>
                <w:rFonts w:cs="Calibri"/>
                <w:szCs w:val="16"/>
              </w:rPr>
              <w:t>Fraction of nitrogen in biomass</w:t>
            </w:r>
          </w:p>
        </w:tc>
        <w:tc>
          <w:tcPr>
            <w:tcW w:w="1211" w:type="dxa"/>
            <w:noWrap/>
            <w:vAlign w:val="bottom"/>
          </w:tcPr>
          <w:p w14:paraId="511A7EE0" w14:textId="77777777" w:rsidR="007523B8" w:rsidRPr="009E06AA" w:rsidRDefault="007523B8" w:rsidP="00387CF3">
            <w:pPr>
              <w:pStyle w:val="TableText"/>
              <w:spacing w:before="40" w:after="30"/>
              <w:jc w:val="right"/>
              <w:rPr>
                <w:rFonts w:cs="Calibri"/>
                <w:szCs w:val="16"/>
              </w:rPr>
            </w:pPr>
            <w:r w:rsidRPr="009E06AA">
              <w:rPr>
                <w:rFonts w:cs="Calibri"/>
                <w:szCs w:val="16"/>
              </w:rPr>
              <w:t>0.005</w:t>
            </w:r>
          </w:p>
        </w:tc>
        <w:tc>
          <w:tcPr>
            <w:tcW w:w="1211" w:type="dxa"/>
            <w:noWrap/>
            <w:vAlign w:val="bottom"/>
          </w:tcPr>
          <w:p w14:paraId="00823D22" w14:textId="77777777" w:rsidR="007523B8" w:rsidRPr="009E06AA" w:rsidRDefault="007523B8" w:rsidP="00387CF3">
            <w:pPr>
              <w:pStyle w:val="TableText"/>
              <w:spacing w:before="40" w:after="30"/>
              <w:jc w:val="right"/>
              <w:rPr>
                <w:rFonts w:cs="Calibri"/>
                <w:szCs w:val="16"/>
              </w:rPr>
            </w:pPr>
            <w:r w:rsidRPr="009E06AA">
              <w:rPr>
                <w:rFonts w:cs="Calibri"/>
                <w:szCs w:val="16"/>
              </w:rPr>
              <w:t>0.005</w:t>
            </w:r>
          </w:p>
        </w:tc>
        <w:tc>
          <w:tcPr>
            <w:tcW w:w="1211" w:type="dxa"/>
            <w:noWrap/>
            <w:vAlign w:val="bottom"/>
          </w:tcPr>
          <w:p w14:paraId="1F6FE818" w14:textId="77777777" w:rsidR="007523B8" w:rsidRPr="009E06AA" w:rsidRDefault="007523B8" w:rsidP="00387CF3">
            <w:pPr>
              <w:pStyle w:val="TableText"/>
              <w:spacing w:before="40" w:after="30"/>
              <w:jc w:val="right"/>
              <w:rPr>
                <w:rFonts w:cs="Calibri"/>
                <w:szCs w:val="16"/>
              </w:rPr>
            </w:pPr>
            <w:r w:rsidRPr="009E06AA">
              <w:rPr>
                <w:rFonts w:cs="Calibri"/>
                <w:szCs w:val="16"/>
              </w:rPr>
              <w:t>0.005</w:t>
            </w:r>
          </w:p>
        </w:tc>
      </w:tr>
      <w:tr w:rsidR="007523B8" w:rsidRPr="009E06AA" w14:paraId="5D5E44B4" w14:textId="77777777" w:rsidTr="00B55F24">
        <w:tc>
          <w:tcPr>
            <w:tcW w:w="4480" w:type="dxa"/>
            <w:noWrap/>
            <w:vAlign w:val="bottom"/>
          </w:tcPr>
          <w:p w14:paraId="3FE6056B" w14:textId="77777777" w:rsidR="007523B8" w:rsidRPr="009E06AA" w:rsidRDefault="007523B8" w:rsidP="00387CF3">
            <w:pPr>
              <w:pStyle w:val="TableText"/>
              <w:spacing w:before="40" w:after="30"/>
              <w:rPr>
                <w:rFonts w:cs="Calibri"/>
                <w:szCs w:val="16"/>
              </w:rPr>
            </w:pPr>
            <w:r w:rsidRPr="009E06AA">
              <w:rPr>
                <w:rFonts w:cs="Calibri"/>
                <w:szCs w:val="16"/>
              </w:rPr>
              <w:t>Fraction of carbon in biomass</w:t>
            </w:r>
          </w:p>
        </w:tc>
        <w:tc>
          <w:tcPr>
            <w:tcW w:w="1211" w:type="dxa"/>
            <w:noWrap/>
            <w:vAlign w:val="bottom"/>
          </w:tcPr>
          <w:p w14:paraId="766A9D6A" w14:textId="77777777" w:rsidR="007523B8" w:rsidRPr="009E06AA" w:rsidRDefault="007523B8" w:rsidP="00387CF3">
            <w:pPr>
              <w:pStyle w:val="TableText"/>
              <w:spacing w:before="40" w:after="30"/>
              <w:jc w:val="right"/>
              <w:rPr>
                <w:rFonts w:cs="Calibri"/>
                <w:szCs w:val="16"/>
              </w:rPr>
            </w:pPr>
            <w:r w:rsidRPr="009E06AA">
              <w:rPr>
                <w:rFonts w:cs="Calibri"/>
                <w:szCs w:val="16"/>
              </w:rPr>
              <w:t>0.4567</w:t>
            </w:r>
          </w:p>
        </w:tc>
        <w:tc>
          <w:tcPr>
            <w:tcW w:w="1211" w:type="dxa"/>
            <w:noWrap/>
            <w:vAlign w:val="bottom"/>
          </w:tcPr>
          <w:p w14:paraId="7325F539" w14:textId="77777777" w:rsidR="007523B8" w:rsidRPr="009E06AA" w:rsidRDefault="007523B8" w:rsidP="00387CF3">
            <w:pPr>
              <w:pStyle w:val="TableText"/>
              <w:spacing w:before="40" w:after="30"/>
              <w:jc w:val="right"/>
              <w:rPr>
                <w:rFonts w:cs="Calibri"/>
                <w:szCs w:val="16"/>
              </w:rPr>
            </w:pPr>
            <w:r w:rsidRPr="009E06AA">
              <w:rPr>
                <w:rFonts w:cs="Calibri"/>
                <w:szCs w:val="16"/>
              </w:rPr>
              <w:t>0.4853</w:t>
            </w:r>
          </w:p>
        </w:tc>
        <w:tc>
          <w:tcPr>
            <w:tcW w:w="1211" w:type="dxa"/>
            <w:noWrap/>
            <w:vAlign w:val="bottom"/>
          </w:tcPr>
          <w:p w14:paraId="123D8685" w14:textId="77777777" w:rsidR="007523B8" w:rsidRPr="009E06AA" w:rsidRDefault="007523B8" w:rsidP="00387CF3">
            <w:pPr>
              <w:pStyle w:val="TableText"/>
              <w:spacing w:before="40" w:after="30"/>
              <w:jc w:val="right"/>
              <w:rPr>
                <w:rFonts w:cs="Calibri"/>
                <w:szCs w:val="16"/>
              </w:rPr>
            </w:pPr>
            <w:r w:rsidRPr="009E06AA">
              <w:rPr>
                <w:rFonts w:cs="Calibri"/>
                <w:szCs w:val="16"/>
              </w:rPr>
              <w:t>0.4567</w:t>
            </w:r>
          </w:p>
        </w:tc>
      </w:tr>
    </w:tbl>
    <w:p w14:paraId="047E8390" w14:textId="77777777" w:rsidR="007523B8" w:rsidRPr="009E06AA" w:rsidRDefault="007523B8" w:rsidP="00387CF3">
      <w:pPr>
        <w:pStyle w:val="Source"/>
        <w:spacing w:after="120"/>
        <w:rPr>
          <w:rFonts w:cs="Calibri"/>
          <w:szCs w:val="24"/>
        </w:rPr>
      </w:pPr>
      <w:r w:rsidRPr="009E06AA">
        <w:rPr>
          <w:rFonts w:cs="Calibri"/>
          <w:bCs/>
          <w:szCs w:val="24"/>
        </w:rPr>
        <w:t>Source:</w:t>
      </w:r>
      <w:r w:rsidRPr="009E06AA">
        <w:rPr>
          <w:rFonts w:cs="Calibri"/>
          <w:b/>
          <w:szCs w:val="24"/>
        </w:rPr>
        <w:tab/>
      </w:r>
      <w:r w:rsidRPr="009E06AA">
        <w:rPr>
          <w:rFonts w:cs="Calibri"/>
          <w:szCs w:val="24"/>
        </w:rPr>
        <w:t xml:space="preserve"> Thomas et al. (2011)</w:t>
      </w:r>
    </w:p>
    <w:p w14:paraId="0489DA72" w14:textId="77777777" w:rsidR="007523B8" w:rsidRPr="009E06AA" w:rsidRDefault="007523B8" w:rsidP="007523B8">
      <w:pPr>
        <w:pStyle w:val="BodyText"/>
        <w:spacing w:after="100"/>
      </w:pPr>
      <w:r w:rsidRPr="009E06AA">
        <w:t xml:space="preserve">From 2005 to 2022, calculation of the amount of biomass residue burned was based on information about the area of crop residue burning from the Stats NZ Agricultural Production Census and Surveys. </w:t>
      </w:r>
    </w:p>
    <w:p w14:paraId="378E048E" w14:textId="77777777" w:rsidR="007523B8" w:rsidRPr="009E06AA" w:rsidRDefault="007523B8" w:rsidP="007523B8">
      <w:pPr>
        <w:pStyle w:val="BodyText"/>
      </w:pPr>
      <w:r w:rsidRPr="009E06AA">
        <w:t>Biomass burned from 2005, AG</w:t>
      </w:r>
      <w:r w:rsidRPr="009E06AA">
        <w:rPr>
          <w:vertAlign w:val="subscript"/>
        </w:rPr>
        <w:t xml:space="preserve">BURN </w:t>
      </w:r>
      <w:r w:rsidRPr="009E06AA">
        <w:t>(as previously defined), is:</w:t>
      </w:r>
    </w:p>
    <w:bookmarkStart w:id="1549" w:name="_1767789419"/>
    <w:bookmarkEnd w:id="1549"/>
    <w:p w14:paraId="5E519DD1" w14:textId="77777777" w:rsidR="007523B8" w:rsidRPr="009E06AA" w:rsidRDefault="008975BF" w:rsidP="007523B8">
      <w:pPr>
        <w:pStyle w:val="BodyText"/>
        <w:spacing w:before="80" w:after="80"/>
        <w:jc w:val="center"/>
        <w:rPr>
          <w:rFonts w:cs="Calibri"/>
        </w:rPr>
      </w:pPr>
      <m:oMathPara>
        <m:oMath>
          <m:sSub>
            <m:sSubPr>
              <m:ctrlPr>
                <w:rPr>
                  <w:rFonts w:ascii="Cambria Math" w:hAnsi="Cambria Math"/>
                  <w:i/>
                  <w:sz w:val="24"/>
                  <w:szCs w:val="24"/>
                </w:rPr>
              </m:ctrlPr>
            </m:sSubPr>
            <m:e>
              <m:sSub>
                <m:sSubPr>
                  <m:ctrlPr>
                    <w:rPr>
                      <w:rFonts w:ascii="Cambria Math" w:hAnsi="Cambria Math"/>
                      <w:i/>
                      <w:sz w:val="24"/>
                      <w:szCs w:val="24"/>
                    </w:rPr>
                  </m:ctrlPr>
                </m:sSubPr>
                <m:e>
                  <m:r>
                    <w:rPr>
                      <w:rFonts w:ascii="Cambria Math" w:hAnsi="Cambria Math"/>
                      <w:sz w:val="24"/>
                      <w:szCs w:val="24"/>
                    </w:rPr>
                    <m:t>AG</m:t>
                  </m:r>
                </m:e>
                <m:sub>
                  <m:r>
                    <w:rPr>
                      <w:rFonts w:ascii="Cambria Math" w:hAnsi="Cambria Math"/>
                      <w:sz w:val="24"/>
                      <w:szCs w:val="24"/>
                    </w:rPr>
                    <m:t>BURN</m:t>
                  </m:r>
                </m:sub>
              </m:sSub>
              <m:r>
                <w:rPr>
                  <w:rFonts w:ascii="Cambria Math" w:hAnsi="Cambria Math"/>
                  <w:sz w:val="24"/>
                  <w:szCs w:val="24"/>
                </w:rPr>
                <m:t>=</m:t>
              </m:r>
              <m:r>
                <w:rPr>
                  <w:rFonts w:ascii="Cambria Math" w:hAnsi="Cambria Math"/>
                  <w:sz w:val="24"/>
                  <w:szCs w:val="24"/>
                </w:rPr>
                <m:t>AG</m:t>
              </m:r>
            </m:e>
            <m:sub>
              <m:r>
                <w:rPr>
                  <w:rFonts w:ascii="Cambria Math" w:hAnsi="Cambria Math"/>
                  <w:sz w:val="24"/>
                  <w:szCs w:val="24"/>
                </w:rPr>
                <m:t>DM</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Frac</m:t>
              </m:r>
            </m:e>
            <m:sub>
              <m:r>
                <w:rPr>
                  <w:rFonts w:ascii="Cambria Math" w:hAnsi="Cambria Math"/>
                  <w:sz w:val="24"/>
                  <w:szCs w:val="24"/>
                </w:rPr>
                <m:t>RESIDUE</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Frac</m:t>
              </m:r>
            </m:e>
            <m:sub>
              <m:r>
                <w:rPr>
                  <w:rFonts w:ascii="Cambria Math" w:hAnsi="Cambria Math"/>
                  <w:sz w:val="24"/>
                  <w:szCs w:val="24"/>
                </w:rPr>
                <m:t>BURN</m:t>
              </m:r>
            </m:sub>
          </m:sSub>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-3</m:t>
              </m:r>
            </m:sup>
          </m:sSup>
          <m:r>
            <w:rPr>
              <w:rFonts w:ascii="Cambria Math" w:hAnsi="Cambria Math" w:cs="Calibri"/>
              <w:sz w:val="24"/>
              <w:szCs w:val="24"/>
            </w:rPr>
            <m:t xml:space="preserve"> </m:t>
          </m:r>
        </m:oMath>
      </m:oMathPara>
    </w:p>
    <w:p w14:paraId="7C2039C8" w14:textId="77777777" w:rsidR="007523B8" w:rsidRPr="009E06AA" w:rsidRDefault="007523B8" w:rsidP="007523B8">
      <w:pPr>
        <w:pStyle w:val="BodyText"/>
        <w:keepNext/>
        <w:spacing w:after="40"/>
        <w:ind w:left="964" w:hanging="964"/>
        <w:rPr>
          <w:rFonts w:cs="Calibri"/>
        </w:rPr>
      </w:pPr>
      <w:r w:rsidRPr="009E06AA">
        <w:rPr>
          <w:rFonts w:cs="Calibri"/>
        </w:rPr>
        <w:t>Where:</w:t>
      </w:r>
      <w:r w:rsidRPr="009E06AA">
        <w:rPr>
          <w:rFonts w:cs="Calibri"/>
        </w:rPr>
        <w:tab/>
        <w:t>AG</w:t>
      </w:r>
      <w:r w:rsidRPr="009E06AA">
        <w:rPr>
          <w:rFonts w:cs="Calibri"/>
          <w:vertAlign w:val="subscript"/>
        </w:rPr>
        <w:t>DM</w:t>
      </w:r>
      <w:r w:rsidRPr="009E06AA">
        <w:rPr>
          <w:rFonts w:cs="Calibri"/>
        </w:rPr>
        <w:t xml:space="preserve"> is the amount of above-ground residue (tonnes)</w:t>
      </w:r>
    </w:p>
    <w:p w14:paraId="7B55AC35" w14:textId="77777777" w:rsidR="007523B8" w:rsidRPr="009E06AA" w:rsidRDefault="007523B8" w:rsidP="007523B8">
      <w:pPr>
        <w:pStyle w:val="BodyText"/>
        <w:spacing w:before="40" w:after="40"/>
        <w:ind w:left="964"/>
        <w:rPr>
          <w:rFonts w:cs="Calibri"/>
        </w:rPr>
      </w:pPr>
      <w:r w:rsidRPr="009E06AA">
        <w:rPr>
          <w:rFonts w:cs="Calibri"/>
        </w:rPr>
        <w:t>Frac</w:t>
      </w:r>
      <w:r w:rsidRPr="009E06AA">
        <w:rPr>
          <w:rFonts w:cs="Calibri"/>
          <w:vertAlign w:val="subscript"/>
        </w:rPr>
        <w:t>RESIDUE</w:t>
      </w:r>
      <w:r w:rsidRPr="009E06AA">
        <w:rPr>
          <w:rFonts w:cs="Calibri"/>
        </w:rPr>
        <w:t xml:space="preserve"> is the proportion of residue remaining after harvest (see table 5.7.2), and</w:t>
      </w:r>
    </w:p>
    <w:p w14:paraId="20BC6584" w14:textId="77777777" w:rsidR="007523B8" w:rsidRPr="009E06AA" w:rsidRDefault="007523B8" w:rsidP="007523B8">
      <w:pPr>
        <w:pStyle w:val="BodyText"/>
        <w:spacing w:before="40"/>
        <w:ind w:left="964"/>
        <w:rPr>
          <w:rFonts w:cs="Calibri"/>
        </w:rPr>
      </w:pPr>
      <w:r w:rsidRPr="009E06AA">
        <w:rPr>
          <w:rFonts w:cs="Calibri"/>
        </w:rPr>
        <w:t>Frac</w:t>
      </w:r>
      <w:r w:rsidRPr="009E06AA">
        <w:rPr>
          <w:rFonts w:cs="Calibri"/>
          <w:vertAlign w:val="subscript"/>
        </w:rPr>
        <w:t>BURN</w:t>
      </w:r>
      <w:r w:rsidRPr="009E06AA">
        <w:rPr>
          <w:rFonts w:cs="Calibri"/>
        </w:rPr>
        <w:t xml:space="preserve"> is the proportion of remaining residue burned.</w:t>
      </w:r>
    </w:p>
    <w:p w14:paraId="768F40F5" w14:textId="77777777" w:rsidR="007523B8" w:rsidRPr="009E06AA" w:rsidRDefault="007523B8" w:rsidP="007523B8">
      <w:pPr>
        <w:pStyle w:val="BodyText"/>
      </w:pPr>
      <w:r w:rsidRPr="009E06AA">
        <w:t>The above-ground residue, AG</w:t>
      </w:r>
      <w:r w:rsidRPr="009E06AA">
        <w:rPr>
          <w:vertAlign w:val="subscript"/>
        </w:rPr>
        <w:t xml:space="preserve">DM </w:t>
      </w:r>
      <w:r w:rsidRPr="009E06AA">
        <w:t>(tonnes), is:</w:t>
      </w:r>
    </w:p>
    <w:bookmarkStart w:id="1550" w:name="_1767789507"/>
    <w:bookmarkEnd w:id="1550"/>
    <w:p w14:paraId="70BBE632" w14:textId="77777777" w:rsidR="007523B8" w:rsidRPr="009E06AA" w:rsidRDefault="008975BF" w:rsidP="007523B8">
      <w:pPr>
        <w:pStyle w:val="BodyText"/>
        <w:spacing w:before="80" w:after="80"/>
        <w:jc w:val="center"/>
      </w:pPr>
      <m:oMathPara>
        <m:oMath>
          <m:sSub>
            <m:sSubPr>
              <m:ctrlPr>
                <w:rPr>
                  <w:rFonts w:ascii="Cambria Math" w:hAnsi="Cambria Math"/>
                  <w:i/>
                  <w:sz w:val="24"/>
                  <w:szCs w:val="24"/>
                </w:rPr>
              </m:ctrlPr>
            </m:sSubPr>
            <m:e>
              <m:r>
                <w:rPr>
                  <w:rFonts w:ascii="Cambria Math" w:hAnsi="Cambria Math"/>
                  <w:sz w:val="24"/>
                  <w:szCs w:val="24"/>
                </w:rPr>
                <m:t>AG</m:t>
              </m:r>
            </m:e>
            <m:sub>
              <m:r>
                <w:rPr>
                  <w:rFonts w:ascii="Cambria Math" w:hAnsi="Cambria Math"/>
                  <w:sz w:val="24"/>
                  <w:szCs w:val="24"/>
                </w:rPr>
                <m:t>DM</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Prod</m:t>
                  </m:r>
                </m:e>
                <m:sub>
                  <m:r>
                    <w:rPr>
                      <w:rFonts w:ascii="Cambria Math" w:hAnsi="Cambria Math"/>
                      <w:sz w:val="24"/>
                      <w:szCs w:val="24"/>
                    </w:rPr>
                    <m:t>DM</m:t>
                  </m:r>
                </m:sub>
              </m:sSub>
            </m:num>
            <m:den>
              <m:r>
                <w:rPr>
                  <w:rFonts w:ascii="Cambria Math" w:hAnsi="Cambria Math"/>
                  <w:sz w:val="24"/>
                  <w:szCs w:val="24"/>
                </w:rPr>
                <m:t>HI</m:t>
              </m:r>
            </m:den>
          </m:f>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Prod</m:t>
              </m:r>
            </m:e>
            <m:sub>
              <m:r>
                <w:rPr>
                  <w:rFonts w:ascii="Cambria Math" w:hAnsi="Cambria Math"/>
                  <w:sz w:val="24"/>
                  <w:szCs w:val="24"/>
                </w:rPr>
                <m:t>DM</m:t>
              </m:r>
            </m:sub>
          </m:sSub>
          <m:r>
            <w:rPr>
              <w:rFonts w:ascii="Cambria Math" w:hAnsi="Cambria Math"/>
              <w:sz w:val="24"/>
              <w:szCs w:val="24"/>
            </w:rPr>
            <m:t xml:space="preserve"> </m:t>
          </m:r>
        </m:oMath>
      </m:oMathPara>
    </w:p>
    <w:p w14:paraId="737AFB48" w14:textId="77777777" w:rsidR="007523B8" w:rsidRPr="009E06AA" w:rsidRDefault="007523B8" w:rsidP="007523B8">
      <w:pPr>
        <w:pStyle w:val="BodyText"/>
        <w:spacing w:after="0"/>
        <w:ind w:left="964" w:hanging="964"/>
        <w:rPr>
          <w:rFonts w:cs="Calibri"/>
        </w:rPr>
      </w:pPr>
      <w:r w:rsidRPr="009E06AA">
        <w:rPr>
          <w:rFonts w:cs="Calibri"/>
        </w:rPr>
        <w:t>Where:</w:t>
      </w:r>
      <w:r w:rsidRPr="009E06AA">
        <w:rPr>
          <w:rFonts w:cs="Calibri"/>
        </w:rPr>
        <w:tab/>
        <w:t>HI is the harvest index (crop specific, table 5.7.2); that is, the mass harvested over the total mass of above-ground biomass, and</w:t>
      </w:r>
    </w:p>
    <w:p w14:paraId="5006E161" w14:textId="77777777" w:rsidR="007523B8" w:rsidRPr="009E06AA" w:rsidRDefault="007523B8" w:rsidP="007523B8">
      <w:pPr>
        <w:pStyle w:val="BodyText"/>
        <w:spacing w:before="60"/>
        <w:ind w:left="964"/>
        <w:rPr>
          <w:rFonts w:cs="Calibri"/>
        </w:rPr>
      </w:pPr>
      <w:r w:rsidRPr="009E06AA">
        <w:rPr>
          <w:rFonts w:cs="Calibri"/>
        </w:rPr>
        <w:t>Prod</w:t>
      </w:r>
      <w:r w:rsidRPr="009E06AA">
        <w:rPr>
          <w:rFonts w:cs="Calibri"/>
          <w:vertAlign w:val="subscript"/>
        </w:rPr>
        <w:t>DM</w:t>
      </w:r>
      <w:r w:rsidRPr="009E06AA">
        <w:rPr>
          <w:rFonts w:cs="Calibri"/>
        </w:rPr>
        <w:t xml:space="preserve"> (measured in tonnes) is the dry matter production of the area burned and is determined as follows:</w:t>
      </w:r>
    </w:p>
    <w:p w14:paraId="3301398E" w14:textId="77777777" w:rsidR="007523B8" w:rsidRPr="009E06AA" w:rsidRDefault="007523B8" w:rsidP="007523B8">
      <w:pPr>
        <w:pStyle w:val="BodyText"/>
        <w:spacing w:before="60" w:after="80"/>
        <w:jc w:val="center"/>
        <w:rPr>
          <w:rFonts w:cs="Calibri"/>
        </w:rPr>
      </w:pPr>
      <w:bookmarkStart w:id="1551" w:name="_MON_1548661704"/>
      <w:bookmarkEnd w:id="1551"/>
      <w:r w:rsidRPr="009E06AA">
        <w:rPr>
          <w:rFonts w:cs="Calibri"/>
          <w:noProof/>
        </w:rPr>
        <w:drawing>
          <wp:inline distT="0" distB="0" distL="0" distR="0" wp14:anchorId="305767A6" wp14:editId="24300EF8">
            <wp:extent cx="4975120" cy="204717"/>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002055" cy="205825"/>
                    </a:xfrm>
                    <a:prstGeom prst="rect">
                      <a:avLst/>
                    </a:prstGeom>
                    <a:noFill/>
                    <a:ln>
                      <a:noFill/>
                    </a:ln>
                  </pic:spPr>
                </pic:pic>
              </a:graphicData>
            </a:graphic>
          </wp:inline>
        </w:drawing>
      </w:r>
    </w:p>
    <w:p w14:paraId="5109C4F7" w14:textId="77777777" w:rsidR="007523B8" w:rsidRPr="009E06AA" w:rsidRDefault="007523B8" w:rsidP="007523B8">
      <w:pPr>
        <w:pStyle w:val="BodyText"/>
        <w:spacing w:after="40"/>
        <w:ind w:left="964" w:hanging="964"/>
        <w:rPr>
          <w:rFonts w:cs="Calibri"/>
        </w:rPr>
      </w:pPr>
      <w:r w:rsidRPr="009E06AA">
        <w:rPr>
          <w:rFonts w:cs="Calibri"/>
        </w:rPr>
        <w:t>Where:</w:t>
      </w:r>
      <w:r w:rsidRPr="009E06AA">
        <w:rPr>
          <w:rFonts w:cs="Calibri"/>
        </w:rPr>
        <w:tab/>
        <w:t>Area</w:t>
      </w:r>
      <w:r w:rsidRPr="009E06AA">
        <w:rPr>
          <w:rFonts w:cs="Calibri"/>
          <w:vertAlign w:val="subscript"/>
        </w:rPr>
        <w:t>BURN</w:t>
      </w:r>
      <w:r w:rsidRPr="009E06AA">
        <w:rPr>
          <w:rFonts w:cs="Calibri"/>
        </w:rPr>
        <w:t xml:space="preserve"> is the annual area burned (hectare)</w:t>
      </w:r>
    </w:p>
    <w:p w14:paraId="7ED62366" w14:textId="77777777" w:rsidR="007523B8" w:rsidRPr="009E06AA" w:rsidRDefault="007523B8" w:rsidP="007523B8">
      <w:pPr>
        <w:pStyle w:val="BodyText"/>
        <w:spacing w:before="40" w:after="40"/>
        <w:ind w:left="964"/>
        <w:rPr>
          <w:rFonts w:cs="Calibri"/>
        </w:rPr>
      </w:pPr>
      <w:r w:rsidRPr="009E06AA">
        <w:rPr>
          <w:rFonts w:cs="Calibri"/>
        </w:rPr>
        <w:t xml:space="preserve">Y is the average crop yield (tonnes per hectare), and </w:t>
      </w:r>
    </w:p>
    <w:p w14:paraId="781900EE" w14:textId="77777777" w:rsidR="007523B8" w:rsidRPr="009E06AA" w:rsidRDefault="007523B8" w:rsidP="007523B8">
      <w:pPr>
        <w:pStyle w:val="BodyText"/>
        <w:spacing w:before="40"/>
        <w:ind w:left="964"/>
        <w:rPr>
          <w:rFonts w:cs="Calibri"/>
        </w:rPr>
      </w:pPr>
      <w:r w:rsidRPr="009E06AA">
        <w:rPr>
          <w:rFonts w:cs="Calibri"/>
        </w:rPr>
        <w:t>Frac</w:t>
      </w:r>
      <w:r w:rsidRPr="009E06AA">
        <w:rPr>
          <w:rFonts w:cs="Calibri"/>
          <w:vertAlign w:val="subscript"/>
        </w:rPr>
        <w:t>DM</w:t>
      </w:r>
      <w:r w:rsidRPr="009E06AA">
        <w:rPr>
          <w:rFonts w:cs="Calibri"/>
        </w:rPr>
        <w:t xml:space="preserve"> is the fraction of crop that is dry matter (crop specific, table 5.7.2).</w:t>
      </w:r>
    </w:p>
    <w:p w14:paraId="7245947B" w14:textId="77777777" w:rsidR="007523B8" w:rsidRPr="009E06AA" w:rsidRDefault="007523B8" w:rsidP="007523B8">
      <w:pPr>
        <w:pStyle w:val="BodyText"/>
        <w:spacing w:before="100" w:after="100"/>
      </w:pPr>
      <w:r w:rsidRPr="009E06AA">
        <w:t>The country-specific parameters for the proportion of residue burned, harvest indices, dry-matter fractions, the fraction oxidised and the carbon and nitrogen fractions of the residue (see table 5.7.2) are derived from the OverseerFM nutrient budget model for </w:t>
      </w:r>
      <w:r w:rsidRPr="009E06AA" w:rsidDel="00BE3CB1">
        <w:rPr>
          <w:rFonts w:cs="Calibri"/>
          <w:spacing w:val="-2"/>
        </w:rPr>
        <w:t xml:space="preserve">New </w:t>
      </w:r>
      <w:r w:rsidRPr="009E06AA">
        <w:rPr>
          <w:rFonts w:cs="Calibri"/>
          <w:spacing w:val="-2"/>
        </w:rPr>
        <w:t>Zealand</w:t>
      </w:r>
      <w:r w:rsidRPr="009E06AA">
        <w:t xml:space="preserve"> (Wheeler et al., 2003) and are the same as those used for estimates of emissions from crop residues (see section 5.5.2). Further detail is provided in Thomas et al. (2011).</w:t>
      </w:r>
    </w:p>
    <w:p w14:paraId="725E33C8" w14:textId="77777777" w:rsidR="007523B8" w:rsidRPr="009E06AA" w:rsidRDefault="007523B8" w:rsidP="007523B8">
      <w:pPr>
        <w:pStyle w:val="BodyText"/>
        <w:spacing w:before="100" w:after="100"/>
      </w:pPr>
      <w:r w:rsidRPr="009E06AA">
        <w:t xml:space="preserve">The recommended proportion of crop area burned for 1990 to 2004 was determined by a farmer survey and assumed to be 70 per cent of wheat, 50 per cent of barley and 50 per cent of oat crops (Thomas et al., 2011). These values are in alignment with Stats NZ data for 2005 to 2007 (2005 being the first year Stats NZ gathered these data) and are, therefore, applied to the years 1990 to 2004. From 2005, data on the total area of crop residues burned in </w:t>
      </w:r>
      <w:r w:rsidRPr="009E06AA" w:rsidDel="006C2A13">
        <w:rPr>
          <w:rFonts w:cs="Calibri"/>
          <w:spacing w:val="-2"/>
        </w:rPr>
        <w:t xml:space="preserve">New </w:t>
      </w:r>
      <w:r w:rsidRPr="009E06AA">
        <w:rPr>
          <w:rFonts w:cs="Calibri"/>
          <w:spacing w:val="-2"/>
        </w:rPr>
        <w:t>Zealand</w:t>
      </w:r>
      <w:r w:rsidRPr="009E06AA">
        <w:t xml:space="preserve"> were collected but, while the data show total residue burned at a regional and national level, they do not differentiate between cereal crop types. </w:t>
      </w:r>
    </w:p>
    <w:p w14:paraId="22F57EA9" w14:textId="77777777" w:rsidR="007523B8" w:rsidRPr="009E06AA" w:rsidRDefault="007523B8" w:rsidP="007523B8">
      <w:pPr>
        <w:pStyle w:val="BodyText"/>
      </w:pPr>
      <w:r w:rsidRPr="009E06AA">
        <w:t xml:space="preserve">For 2005 onwards, the same proportions of crop area burned for wheat (70 per cent), barley (50 per cent) and oats (50 per cent) were used. However, these areas were then multiplied by a constant factor </w:t>
      </w:r>
      <w:r w:rsidRPr="009E06AA">
        <w:rPr>
          <w:i/>
        </w:rPr>
        <w:t>K</w:t>
      </w:r>
      <w:r w:rsidRPr="009E06AA">
        <w:t xml:space="preserve"> such that the total area burned is consistent with the Agricultural Production Survey. This captures year-to-year variability, such as reduced burning during very dry and very wet years.</w:t>
      </w:r>
    </w:p>
    <w:p w14:paraId="3F08EEBD" w14:textId="77777777" w:rsidR="007523B8" w:rsidRPr="009E06AA" w:rsidRDefault="007523B8" w:rsidP="007523B8">
      <w:pPr>
        <w:pStyle w:val="BodyText"/>
        <w:spacing w:before="80"/>
        <w:rPr>
          <w:i/>
          <w:sz w:val="24"/>
        </w:rPr>
      </w:pPr>
      <m:oMathPara>
        <m:oMathParaPr>
          <m:jc m:val="center"/>
        </m:oMathParaPr>
        <m:oMath>
          <m:r>
            <w:rPr>
              <w:rFonts w:ascii="Cambria Math" w:hAnsi="Cambria Math"/>
              <w:sz w:val="24"/>
            </w:rPr>
            <m:t xml:space="preserve">K= </m:t>
          </m:r>
          <m:f>
            <m:fPr>
              <m:ctrlPr>
                <w:rPr>
                  <w:rFonts w:ascii="Cambria Math" w:hAnsi="Cambria Math"/>
                  <w:i/>
                  <w:sz w:val="24"/>
                </w:rPr>
              </m:ctrlPr>
            </m:fPr>
            <m:num>
              <m:r>
                <w:rPr>
                  <w:rFonts w:ascii="Cambria Math" w:hAnsi="Cambria Math"/>
                  <w:sz w:val="24"/>
                </w:rPr>
                <m:t>Total Area Burnt</m:t>
              </m:r>
            </m:num>
            <m:den>
              <m:sSub>
                <m:sSubPr>
                  <m:ctrlPr>
                    <w:rPr>
                      <w:rFonts w:ascii="Cambria Math" w:hAnsi="Cambria Math"/>
                      <w:i/>
                      <w:sz w:val="24"/>
                    </w:rPr>
                  </m:ctrlPr>
                </m:sSubPr>
                <m:e>
                  <m:r>
                    <w:rPr>
                      <w:rFonts w:ascii="Cambria Math" w:hAnsi="Cambria Math"/>
                      <w:sz w:val="24"/>
                    </w:rPr>
                    <m:t>0.7×Area Burnt</m:t>
                  </m:r>
                </m:e>
                <m:sub>
                  <m:r>
                    <w:rPr>
                      <w:rFonts w:ascii="Cambria Math" w:hAnsi="Cambria Math"/>
                      <w:sz w:val="24"/>
                    </w:rPr>
                    <m:t>Wheat</m:t>
                  </m:r>
                </m:sub>
              </m:sSub>
              <m:r>
                <w:rPr>
                  <w:rFonts w:ascii="Cambria Math" w:hAnsi="Cambria Math"/>
                  <w:sz w:val="24"/>
                </w:rPr>
                <m:t>+</m:t>
              </m:r>
              <m:sSub>
                <m:sSubPr>
                  <m:ctrlPr>
                    <w:rPr>
                      <w:rFonts w:ascii="Cambria Math" w:hAnsi="Cambria Math"/>
                      <w:i/>
                      <w:sz w:val="24"/>
                    </w:rPr>
                  </m:ctrlPr>
                </m:sSubPr>
                <m:e>
                  <m:r>
                    <w:rPr>
                      <w:rFonts w:ascii="Cambria Math" w:hAnsi="Cambria Math"/>
                      <w:sz w:val="24"/>
                    </w:rPr>
                    <m:t>0.5×Area Burnt</m:t>
                  </m:r>
                </m:e>
                <m:sub>
                  <m:r>
                    <w:rPr>
                      <w:rFonts w:ascii="Cambria Math" w:hAnsi="Cambria Math"/>
                      <w:sz w:val="24"/>
                    </w:rPr>
                    <m:t>Barley</m:t>
                  </m:r>
                </m:sub>
              </m:sSub>
              <m:r>
                <w:rPr>
                  <w:rFonts w:ascii="Cambria Math" w:hAnsi="Cambria Math"/>
                  <w:sz w:val="24"/>
                </w:rPr>
                <m:t>+</m:t>
              </m:r>
              <m:sSub>
                <m:sSubPr>
                  <m:ctrlPr>
                    <w:rPr>
                      <w:rFonts w:ascii="Cambria Math" w:hAnsi="Cambria Math"/>
                      <w:i/>
                      <w:sz w:val="24"/>
                    </w:rPr>
                  </m:ctrlPr>
                </m:sSubPr>
                <m:e>
                  <m:r>
                    <w:rPr>
                      <w:rFonts w:ascii="Cambria Math" w:hAnsi="Cambria Math"/>
                      <w:sz w:val="24"/>
                    </w:rPr>
                    <m:t>0.5×Area Burnt</m:t>
                  </m:r>
                </m:e>
                <m:sub>
                  <m:r>
                    <w:rPr>
                      <w:rFonts w:ascii="Cambria Math" w:hAnsi="Cambria Math"/>
                      <w:sz w:val="24"/>
                    </w:rPr>
                    <m:t>Oats</m:t>
                  </m:r>
                </m:sub>
              </m:sSub>
            </m:den>
          </m:f>
        </m:oMath>
      </m:oMathPara>
    </w:p>
    <w:p w14:paraId="54BB9E3A" w14:textId="77777777" w:rsidR="007523B8" w:rsidRPr="009E06AA" w:rsidRDefault="007523B8" w:rsidP="007523B8">
      <w:pPr>
        <w:pStyle w:val="BodyText"/>
        <w:keepLines/>
        <w:rPr>
          <w:rFonts w:cs="Calibri"/>
        </w:rPr>
      </w:pPr>
      <w:r w:rsidRPr="009E06AA">
        <w:rPr>
          <w:rFonts w:cs="Calibri"/>
        </w:rPr>
        <w:t>Expert opinion suggests that, if crop residue is to be burned, there is generally no prior removal for feed and bedding. Therefore, 100 per cent of residue is left for burning after the harvested proportion has been removed (i.e., Frac</w:t>
      </w:r>
      <w:r w:rsidRPr="009E06AA">
        <w:rPr>
          <w:rFonts w:cs="Calibri"/>
          <w:vertAlign w:val="subscript"/>
        </w:rPr>
        <w:t>REMOVE</w:t>
      </w:r>
      <w:r w:rsidRPr="009E06AA">
        <w:rPr>
          <w:rFonts w:cs="Calibri"/>
        </w:rPr>
        <w:t xml:space="preserve"> is assumed to be zero; Thomas et al., 2011). This is consistent with section 5.5.2. </w:t>
      </w:r>
    </w:p>
    <w:p w14:paraId="3CB2018B" w14:textId="77777777" w:rsidR="007523B8" w:rsidRPr="009E06AA" w:rsidRDefault="007523B8" w:rsidP="007523B8">
      <w:pPr>
        <w:pStyle w:val="Heading3"/>
        <w:spacing w:before="280"/>
      </w:pPr>
      <w:bookmarkStart w:id="1552" w:name="_Toc32570678"/>
      <w:r w:rsidRPr="009E06AA">
        <w:t>5.7.3</w:t>
      </w:r>
      <w:r w:rsidRPr="009E06AA">
        <w:tab/>
        <w:t>Uncertainty assessment and time-series consistency</w:t>
      </w:r>
      <w:bookmarkEnd w:id="1552"/>
    </w:p>
    <w:p w14:paraId="13F20F9C" w14:textId="77777777" w:rsidR="007523B8" w:rsidRPr="009E06AA" w:rsidRDefault="007523B8" w:rsidP="007523B8">
      <w:pPr>
        <w:pStyle w:val="BodyText"/>
        <w:spacing w:before="100" w:after="100"/>
      </w:pPr>
      <w:r w:rsidRPr="009E06AA">
        <w:t xml:space="preserve">The largest contributor to uncertainty in the estimated emissions is the fraction of agricultural residue burned in the field. Expert opinion for the fraction of crops burned in fields between 1990 and 2004 was taken from farmer surveys in the Canterbury area, where 80 per cent of cereal production occurs. Between 2005 and 2009, an average of 86 per cent of total residue burning occurred in Canterbury. Estimates of crop burning for 2020 were 40.6 per cent (calculated as a percentage of total crop area) and have ranged from a high in 2006 of </w:t>
      </w:r>
      <w:r w:rsidRPr="009E06AA">
        <w:rPr>
          <w:spacing w:val="-2"/>
        </w:rPr>
        <w:t>61.5 per cent to a low in 2015 of 29.3 per cent, reflecting variations in annual weather patterns</w:t>
      </w:r>
      <w:r w:rsidRPr="009E06AA">
        <w:t xml:space="preserve">. </w:t>
      </w:r>
    </w:p>
    <w:p w14:paraId="484D8C8B" w14:textId="77777777" w:rsidR="007523B8" w:rsidRPr="009E06AA" w:rsidRDefault="007523B8" w:rsidP="007523B8">
      <w:pPr>
        <w:pStyle w:val="BodyText"/>
        <w:spacing w:before="100" w:after="100"/>
      </w:pPr>
      <w:r w:rsidRPr="009E06AA">
        <w:t xml:space="preserve">The country-specific values for these parameters are those from the OverseerFM nutrient budget model for </w:t>
      </w:r>
      <w:r w:rsidRPr="009E06AA" w:rsidDel="00F131E1">
        <w:rPr>
          <w:rFonts w:cs="Calibri"/>
          <w:spacing w:val="-2"/>
        </w:rPr>
        <w:t xml:space="preserve">New </w:t>
      </w:r>
      <w:r w:rsidRPr="009E06AA">
        <w:rPr>
          <w:rFonts w:cs="Calibri"/>
          <w:spacing w:val="-2"/>
        </w:rPr>
        <w:t>Zealand</w:t>
      </w:r>
      <w:r w:rsidRPr="009E06AA">
        <w:t xml:space="preserve"> (Wheeler et al., 2003) and are the same as those used for estimates of emissions from crop residues. This provides consistency between the two emissions estimates for crop residue and crop burning.</w:t>
      </w:r>
    </w:p>
    <w:p w14:paraId="6215852A" w14:textId="77777777" w:rsidR="007523B8" w:rsidRPr="009E06AA" w:rsidRDefault="007523B8" w:rsidP="007523B8">
      <w:pPr>
        <w:pStyle w:val="BodyText"/>
        <w:spacing w:before="100" w:after="100"/>
      </w:pPr>
      <w:r w:rsidRPr="009E06AA">
        <w:t>The proportion of residue burned has been estimated as 70 per cent for the years 1990 to 2004 because this takes into account required fire break areas and differences in the methods used. The Agriculture inventory model also assumes that farmers will generally be aiming to have as close to complete combustion as possible.</w:t>
      </w:r>
    </w:p>
    <w:p w14:paraId="6EA27FD6" w14:textId="77777777" w:rsidR="007523B8" w:rsidRPr="009E06AA" w:rsidRDefault="007523B8" w:rsidP="007523B8">
      <w:pPr>
        <w:pStyle w:val="BodyText"/>
        <w:spacing w:before="100" w:after="100"/>
      </w:pPr>
      <w:r w:rsidRPr="009E06AA">
        <w:t>Although country-specific parameters have been developed, a conservative approach to uncertainty is taken, using the IPCC (2000) value of ±20 per cent for the emission factor uncertainty. Given that emissions from field burning are low, compared with emissions from the rest of Agriculture inventory sector, the uncertainties from field burning have little impact on total emission uncertainties.</w:t>
      </w:r>
    </w:p>
    <w:p w14:paraId="6B0F1DF0" w14:textId="77777777" w:rsidR="007523B8" w:rsidRPr="009E06AA" w:rsidRDefault="007523B8" w:rsidP="007523B8">
      <w:pPr>
        <w:pStyle w:val="Heading3"/>
        <w:spacing w:before="260"/>
      </w:pPr>
      <w:bookmarkStart w:id="1553" w:name="_Toc32570679"/>
      <w:r w:rsidRPr="009E06AA">
        <w:t>5.7.4</w:t>
      </w:r>
      <w:r w:rsidRPr="009E06AA">
        <w:tab/>
        <w:t>Category-specific QA/QC and verification</w:t>
      </w:r>
      <w:bookmarkEnd w:id="1553"/>
    </w:p>
    <w:p w14:paraId="3DFC814A" w14:textId="77777777" w:rsidR="007523B8" w:rsidRPr="009E06AA" w:rsidRDefault="007523B8" w:rsidP="007523B8">
      <w:pPr>
        <w:pStyle w:val="BodyText"/>
        <w:rPr>
          <w:rFonts w:cs="Calibri"/>
        </w:rPr>
      </w:pPr>
      <w:r w:rsidRPr="009E06AA">
        <w:rPr>
          <w:rFonts w:cs="Calibri"/>
        </w:rPr>
        <w:t xml:space="preserve">Plant and Food Research reviewed the implementation of the methodology to estimate emissions of </w:t>
      </w:r>
      <w:r w:rsidRPr="009E06AA">
        <w:rPr>
          <w:rFonts w:cs="Calibri"/>
          <w:spacing w:val="-2"/>
        </w:rPr>
        <w:t>N</w:t>
      </w:r>
      <w:r w:rsidRPr="009E06AA">
        <w:rPr>
          <w:rFonts w:cs="Calibri"/>
          <w:spacing w:val="-2"/>
          <w:vertAlign w:val="subscript"/>
        </w:rPr>
        <w:t>2</w:t>
      </w:r>
      <w:r w:rsidRPr="009E06AA">
        <w:rPr>
          <w:rFonts w:cs="Calibri"/>
          <w:spacing w:val="-2"/>
        </w:rPr>
        <w:t>O</w:t>
      </w:r>
      <w:r w:rsidRPr="009E06AA">
        <w:rPr>
          <w:rFonts w:cs="Calibri"/>
        </w:rPr>
        <w:t xml:space="preserve"> from crop residues, nitrogen-fixing crops and </w:t>
      </w:r>
      <w:r w:rsidRPr="009E06AA">
        <w:rPr>
          <w:rFonts w:cs="Calibri"/>
          <w:i/>
          <w:iCs/>
        </w:rPr>
        <w:t>Field</w:t>
      </w:r>
      <w:r w:rsidRPr="009E06AA">
        <w:rPr>
          <w:i/>
        </w:rPr>
        <w:t xml:space="preserve"> burning of agricultural residues</w:t>
      </w:r>
      <w:r w:rsidRPr="009E06AA">
        <w:rPr>
          <w:rFonts w:cs="Calibri"/>
        </w:rPr>
        <w:t xml:space="preserve"> (Thomas et al., 2008, 2011).</w:t>
      </w:r>
    </w:p>
    <w:p w14:paraId="1AF8CC87" w14:textId="77777777" w:rsidR="007523B8" w:rsidRPr="009E06AA" w:rsidRDefault="007523B8" w:rsidP="007523B8">
      <w:pPr>
        <w:pStyle w:val="Heading3"/>
        <w:spacing w:before="280"/>
      </w:pPr>
      <w:bookmarkStart w:id="1554" w:name="_Toc32570680"/>
      <w:r w:rsidRPr="009E06AA">
        <w:t>5.7.5</w:t>
      </w:r>
      <w:r w:rsidRPr="009E06AA">
        <w:tab/>
        <w:t>Category-specific recalculations</w:t>
      </w:r>
      <w:bookmarkEnd w:id="1554"/>
    </w:p>
    <w:p w14:paraId="55CB05F2" w14:textId="77777777" w:rsidR="007523B8" w:rsidRPr="009E06AA" w:rsidRDefault="007523B8" w:rsidP="007523B8">
      <w:pPr>
        <w:pStyle w:val="BodyText"/>
        <w:rPr>
          <w:rFonts w:cs="Calibri"/>
        </w:rPr>
      </w:pPr>
      <w:r w:rsidRPr="009E06AA">
        <w:rPr>
          <w:rFonts w:cs="Calibri"/>
        </w:rPr>
        <w:t>All activity data were updated with the latest available Stats NZ data.</w:t>
      </w:r>
    </w:p>
    <w:p w14:paraId="68B009E0" w14:textId="77777777" w:rsidR="007523B8" w:rsidRPr="009E06AA" w:rsidRDefault="007523B8" w:rsidP="007523B8">
      <w:pPr>
        <w:pStyle w:val="Heading3"/>
        <w:spacing w:before="280"/>
      </w:pPr>
      <w:bookmarkStart w:id="1555" w:name="_Toc32570681"/>
      <w:r w:rsidRPr="009E06AA">
        <w:t>5.7.6</w:t>
      </w:r>
      <w:r w:rsidRPr="009E06AA">
        <w:tab/>
        <w:t>Category-specific planned improvements</w:t>
      </w:r>
      <w:bookmarkEnd w:id="1555"/>
      <w:r w:rsidRPr="009E06AA">
        <w:t xml:space="preserve"> </w:t>
      </w:r>
    </w:p>
    <w:p w14:paraId="4477C4F8" w14:textId="77777777" w:rsidR="007523B8" w:rsidRPr="009E06AA" w:rsidRDefault="007523B8" w:rsidP="007523B8">
      <w:pPr>
        <w:pStyle w:val="BodyText"/>
        <w:rPr>
          <w:rFonts w:cs="Calibri"/>
        </w:rPr>
      </w:pPr>
      <w:r w:rsidRPr="009E06AA">
        <w:rPr>
          <w:rFonts w:cs="Calibri"/>
        </w:rPr>
        <w:t xml:space="preserve">No improvements are currently planned. </w:t>
      </w:r>
    </w:p>
    <w:p w14:paraId="41CC3BD4" w14:textId="77777777" w:rsidR="007523B8" w:rsidRPr="009E06AA" w:rsidRDefault="007523B8" w:rsidP="007523B8">
      <w:pPr>
        <w:pStyle w:val="Heading2"/>
      </w:pPr>
      <w:bookmarkStart w:id="1556" w:name="_Toc448321529"/>
      <w:bookmarkStart w:id="1557" w:name="_Toc481751391"/>
      <w:bookmarkStart w:id="1558" w:name="_Toc511116606"/>
      <w:bookmarkStart w:id="1559" w:name="_Toc5269368"/>
      <w:bookmarkStart w:id="1560" w:name="_Toc32570682"/>
      <w:bookmarkStart w:id="1561" w:name="_Toc36224408"/>
      <w:bookmarkStart w:id="1562" w:name="_Toc68786328"/>
      <w:bookmarkStart w:id="1563" w:name="_Toc131591243"/>
      <w:bookmarkStart w:id="1564" w:name="_Toc164154197"/>
      <w:r w:rsidRPr="009E06AA">
        <w:t>5.8</w:t>
      </w:r>
      <w:r w:rsidRPr="009E06AA">
        <w:tab/>
        <w:t>Liming (3.G)</w:t>
      </w:r>
      <w:bookmarkEnd w:id="1556"/>
      <w:bookmarkEnd w:id="1557"/>
      <w:bookmarkEnd w:id="1558"/>
      <w:bookmarkEnd w:id="1559"/>
      <w:bookmarkEnd w:id="1560"/>
      <w:bookmarkEnd w:id="1561"/>
      <w:bookmarkEnd w:id="1562"/>
      <w:bookmarkEnd w:id="1563"/>
      <w:bookmarkEnd w:id="1564"/>
      <w:r w:rsidRPr="009E06AA">
        <w:t xml:space="preserve"> </w:t>
      </w:r>
    </w:p>
    <w:p w14:paraId="532016C5" w14:textId="77777777" w:rsidR="007523B8" w:rsidRPr="009E06AA" w:rsidRDefault="007523B8" w:rsidP="007523B8">
      <w:pPr>
        <w:pStyle w:val="Heading3"/>
        <w:spacing w:before="240"/>
      </w:pPr>
      <w:bookmarkStart w:id="1565" w:name="_Toc32570683"/>
      <w:r w:rsidRPr="009E06AA">
        <w:t>5.8.1</w:t>
      </w:r>
      <w:r w:rsidRPr="009E06AA">
        <w:tab/>
        <w:t>Category description</w:t>
      </w:r>
      <w:bookmarkEnd w:id="1565"/>
    </w:p>
    <w:p w14:paraId="11166CD8" w14:textId="77777777" w:rsidR="007523B8" w:rsidRPr="009E06AA" w:rsidRDefault="007523B8" w:rsidP="007523B8">
      <w:pPr>
        <w:pStyle w:val="BodyText"/>
        <w:rPr>
          <w:rFonts w:cs="Calibri"/>
        </w:rPr>
      </w:pPr>
      <w:r w:rsidRPr="009E06AA">
        <w:rPr>
          <w:rFonts w:cs="Calibri"/>
        </w:rPr>
        <w:t xml:space="preserve">Emissions from </w:t>
      </w:r>
      <w:r w:rsidRPr="009E06AA">
        <w:rPr>
          <w:rFonts w:cs="Calibri"/>
          <w:i/>
          <w:iCs/>
        </w:rPr>
        <w:t xml:space="preserve">Liming </w:t>
      </w:r>
      <w:r w:rsidRPr="009E06AA">
        <w:rPr>
          <w:rFonts w:cs="Calibri"/>
        </w:rPr>
        <w:t>(the application of limestone and dolomite) contributed an estimated 445.6 kt CO</w:t>
      </w:r>
      <w:r w:rsidRPr="009E06AA">
        <w:rPr>
          <w:rFonts w:cs="Calibri"/>
          <w:vertAlign w:val="subscript"/>
        </w:rPr>
        <w:t>2</w:t>
      </w:r>
      <w:r w:rsidRPr="009E06AA">
        <w:rPr>
          <w:rFonts w:cs="Calibri"/>
        </w:rPr>
        <w:t xml:space="preserve">, representing </w:t>
      </w:r>
      <w:r w:rsidRPr="009E06AA">
        <w:t xml:space="preserve">0.6 per cent of </w:t>
      </w:r>
      <w:r w:rsidRPr="009E06AA">
        <w:rPr>
          <w:rFonts w:cs="Calibri"/>
          <w:spacing w:val="-2"/>
        </w:rPr>
        <w:t>New Zealand’s</w:t>
      </w:r>
      <w:r w:rsidRPr="009E06AA">
        <w:t xml:space="preserve"> gross emissions </w:t>
      </w:r>
      <w:r w:rsidRPr="009E06AA">
        <w:rPr>
          <w:rFonts w:cs="Calibri"/>
        </w:rPr>
        <w:t>and 1.1 per cent of Agriculture</w:t>
      </w:r>
      <w:r w:rsidRPr="009E06AA">
        <w:rPr>
          <w:rFonts w:cs="Calibri"/>
          <w:i/>
        </w:rPr>
        <w:t xml:space="preserve"> </w:t>
      </w:r>
      <w:r w:rsidRPr="009E06AA">
        <w:rPr>
          <w:rFonts w:cs="Calibri"/>
        </w:rPr>
        <w:t xml:space="preserve">emissions in 2022. </w:t>
      </w:r>
    </w:p>
    <w:p w14:paraId="245A55D0" w14:textId="77777777" w:rsidR="007523B8" w:rsidRPr="009E06AA" w:rsidRDefault="007523B8" w:rsidP="007523B8">
      <w:pPr>
        <w:pStyle w:val="BodyText"/>
      </w:pPr>
      <w:r w:rsidRPr="009E06AA">
        <w:t xml:space="preserve">In </w:t>
      </w:r>
      <w:r w:rsidRPr="009E06AA">
        <w:rPr>
          <w:spacing w:val="-2"/>
        </w:rPr>
        <w:t>New Zealand</w:t>
      </w:r>
      <w:r w:rsidRPr="009E06AA">
        <w:t>, lime and dolomite fertilisers are mainly applied to acidic grassland and cropland soils to reduce soil acidity and maintain or increase production of pasture and crops. Before the 2015 submission, emissions from lime and dolomite fertilisers were reported under chapter 6, LULUCF.</w:t>
      </w:r>
    </w:p>
    <w:p w14:paraId="389AE102" w14:textId="77777777" w:rsidR="007523B8" w:rsidRPr="009E06AA" w:rsidRDefault="007523B8" w:rsidP="007523B8">
      <w:pPr>
        <w:pStyle w:val="BodyText"/>
      </w:pPr>
      <w:r w:rsidRPr="009E06AA">
        <w:rPr>
          <w:i/>
        </w:rPr>
        <w:t>Liming</w:t>
      </w:r>
      <w:r w:rsidRPr="009E06AA">
        <w:t xml:space="preserve"> was identified as a key category for the Agriculture sector in 2022 (level and trend assessment).</w:t>
      </w:r>
    </w:p>
    <w:p w14:paraId="28B6D867" w14:textId="77777777" w:rsidR="007523B8" w:rsidRPr="009E06AA" w:rsidRDefault="007523B8" w:rsidP="007523B8">
      <w:pPr>
        <w:pStyle w:val="BodyText"/>
      </w:pPr>
      <w:r w:rsidRPr="009E06AA">
        <w:t xml:space="preserve">Emissions from </w:t>
      </w:r>
      <w:r w:rsidRPr="009E06AA">
        <w:rPr>
          <w:i/>
        </w:rPr>
        <w:t xml:space="preserve">Liming </w:t>
      </w:r>
      <w:r w:rsidRPr="009E06AA">
        <w:t>increased 50.3 per cent (149.1 kt CO</w:t>
      </w:r>
      <w:r w:rsidRPr="009E06AA">
        <w:rPr>
          <w:vertAlign w:val="subscript"/>
        </w:rPr>
        <w:t>2</w:t>
      </w:r>
      <w:r w:rsidRPr="009E06AA">
        <w:t>) between 1990 and 2022.</w:t>
      </w:r>
    </w:p>
    <w:p w14:paraId="0998B69F" w14:textId="77777777" w:rsidR="007523B8" w:rsidRPr="009E06AA" w:rsidRDefault="007523B8" w:rsidP="007523B8">
      <w:pPr>
        <w:pStyle w:val="Heading3"/>
        <w:spacing w:before="280"/>
      </w:pPr>
      <w:bookmarkStart w:id="1566" w:name="_Toc32570684"/>
      <w:r w:rsidRPr="009E06AA">
        <w:t>5.8.2</w:t>
      </w:r>
      <w:r w:rsidRPr="009E06AA">
        <w:tab/>
        <w:t>Methodological issues</w:t>
      </w:r>
      <w:bookmarkEnd w:id="1566"/>
    </w:p>
    <w:p w14:paraId="42A2A503" w14:textId="77777777" w:rsidR="007523B8" w:rsidRPr="009E06AA" w:rsidRDefault="007523B8" w:rsidP="007523B8">
      <w:pPr>
        <w:pStyle w:val="BodyText"/>
      </w:pPr>
      <w:r w:rsidRPr="009E06AA">
        <w:t xml:space="preserve">Data on agricultural lime (limestone and dolomite) application are collected by Stats NZ, as a part of its five-yearly Agricultural Production Census and annual Agricultural Production Survey in the intervening years. Analysis of the data indicates that, each year, around 90 per cent of agricultural lime used in </w:t>
      </w:r>
      <w:r w:rsidRPr="009E06AA" w:rsidDel="00B1255C">
        <w:t xml:space="preserve">New </w:t>
      </w:r>
      <w:r w:rsidRPr="009E06AA">
        <w:t>Zealand is applied to grassland, with the remaining 10 per cent applied to cropland.</w:t>
      </w:r>
    </w:p>
    <w:p w14:paraId="74A14738" w14:textId="77777777" w:rsidR="007523B8" w:rsidRPr="009E06AA" w:rsidRDefault="007523B8" w:rsidP="007523B8">
      <w:pPr>
        <w:pStyle w:val="BodyText"/>
      </w:pPr>
      <w:r w:rsidRPr="009E06AA">
        <w:t>New Zealand has not yet developed a country-specific methodology for calculating CO</w:t>
      </w:r>
      <w:r w:rsidRPr="009E06AA">
        <w:rPr>
          <w:vertAlign w:val="subscript"/>
        </w:rPr>
        <w:t>2</w:t>
      </w:r>
      <w:r w:rsidRPr="009E06AA">
        <w:t xml:space="preserve"> emissions from the application of limestone and dolomite. Emissions from </w:t>
      </w:r>
      <w:r w:rsidRPr="009E06AA">
        <w:rPr>
          <w:i/>
          <w:iCs/>
        </w:rPr>
        <w:t>Liming</w:t>
      </w:r>
      <w:r w:rsidRPr="009E06AA">
        <w:t xml:space="preserve"> are currently estimated by following the Tier 1 methodology (equation 11.12; IPCC, 2006), using default </w:t>
      </w:r>
      <w:r w:rsidRPr="009E06AA">
        <w:rPr>
          <w:spacing w:val="-2"/>
        </w:rPr>
        <w:t>emission factors for carbon conversion of 0.12 and 0.13 for limestone and dolomite respectively.</w:t>
      </w:r>
      <w:r w:rsidRPr="009E06AA">
        <w:t xml:space="preserve"> </w:t>
      </w:r>
    </w:p>
    <w:p w14:paraId="6A361518" w14:textId="77777777" w:rsidR="007523B8" w:rsidRPr="009E06AA" w:rsidRDefault="007523B8" w:rsidP="007523B8">
      <w:pPr>
        <w:pStyle w:val="Heading3"/>
      </w:pPr>
      <w:bookmarkStart w:id="1567" w:name="_Toc32570685"/>
      <w:r w:rsidRPr="009E06AA">
        <w:t>5.8.3</w:t>
      </w:r>
      <w:r w:rsidRPr="009E06AA">
        <w:tab/>
        <w:t>Activity data</w:t>
      </w:r>
      <w:bookmarkEnd w:id="1567"/>
    </w:p>
    <w:p w14:paraId="37D42D55" w14:textId="77777777" w:rsidR="007523B8" w:rsidRPr="009E06AA" w:rsidRDefault="007523B8" w:rsidP="007523B8">
      <w:pPr>
        <w:pStyle w:val="BodyText"/>
      </w:pPr>
      <w:r w:rsidRPr="009E06AA">
        <w:t xml:space="preserve">Limestone is more commonly applied than dolomite in </w:t>
      </w:r>
      <w:r w:rsidRPr="009E06AA" w:rsidDel="002D1DDD">
        <w:rPr>
          <w:rFonts w:cs="Calibri"/>
          <w:spacing w:val="-2"/>
        </w:rPr>
        <w:t xml:space="preserve">New </w:t>
      </w:r>
      <w:r w:rsidRPr="009E06AA">
        <w:rPr>
          <w:rFonts w:cs="Calibri"/>
          <w:spacing w:val="-2"/>
        </w:rPr>
        <w:t>Zealand</w:t>
      </w:r>
      <w:r w:rsidRPr="009E06AA">
        <w:t xml:space="preserve">. Limestone occurs and is extracted widely in </w:t>
      </w:r>
      <w:r w:rsidRPr="009E06AA">
        <w:rPr>
          <w:rFonts w:cs="Calibri"/>
          <w:spacing w:val="-2"/>
        </w:rPr>
        <w:t>New Zealand</w:t>
      </w:r>
      <w:r w:rsidRPr="009E06AA">
        <w:t xml:space="preserve"> whereas dolomite is only available from a smaller, localised source. Activity data sourced from the Stats NZ Agricultural Production Census show that limestone application has declined since 2002, while dolomite use peaked in 2010 and has fallen since then. The quantity of lime applied as limestone and dolomite varies each year and is influenced by several factors, including farm profitability (see figures 5.8.1 and 5.8.2). A correction factor of 0.82 is applied to the gross weight (tonnes) of lime use reported by Stats NZ. This correction factor is specified using research from Thomson et al. (2021) and accounts for impurities in the agricultural lime applied, as well the moisture content, so that emissions are based on the dry weight of calcium carbonate applied. </w:t>
      </w:r>
    </w:p>
    <w:p w14:paraId="61DBFA22" w14:textId="5F5D144C" w:rsidR="007523B8" w:rsidRPr="009E06AA" w:rsidRDefault="007523B8" w:rsidP="007523B8">
      <w:pPr>
        <w:pStyle w:val="Figure"/>
      </w:pPr>
      <w:bookmarkStart w:id="1568" w:name="_Toc447275698"/>
      <w:bookmarkStart w:id="1569" w:name="_Toc481752017"/>
      <w:bookmarkStart w:id="1570" w:name="_Toc507158476"/>
      <w:bookmarkStart w:id="1571" w:name="_Toc511116967"/>
      <w:bookmarkStart w:id="1572" w:name="_Toc5269697"/>
      <w:bookmarkStart w:id="1573" w:name="_Toc32570968"/>
      <w:bookmarkStart w:id="1574" w:name="_Toc36292798"/>
      <w:bookmarkStart w:id="1575" w:name="_Toc68786663"/>
      <w:bookmarkStart w:id="1576" w:name="_Toc95574124"/>
      <w:bookmarkStart w:id="1577" w:name="_Toc127458563"/>
      <w:bookmarkStart w:id="1578" w:name="_Toc131591565"/>
      <w:bookmarkStart w:id="1579" w:name="_Toc164154033"/>
      <w:r w:rsidRPr="009E06AA">
        <w:t>Figure 5.8.1</w:t>
      </w:r>
      <w:r w:rsidRPr="009E06AA">
        <w:tab/>
        <w:t>Limestone usage on agricultural land in New Zealand</w:t>
      </w:r>
      <w:r w:rsidR="00F85AF1" w:rsidRPr="009E06AA">
        <w:t>,</w:t>
      </w:r>
      <w:r w:rsidRPr="009E06AA">
        <w:t xml:space="preserve"> from 1990 to </w:t>
      </w:r>
      <w:bookmarkEnd w:id="1568"/>
      <w:bookmarkEnd w:id="1569"/>
      <w:bookmarkEnd w:id="1570"/>
      <w:bookmarkEnd w:id="1571"/>
      <w:bookmarkEnd w:id="1572"/>
      <w:bookmarkEnd w:id="1573"/>
      <w:bookmarkEnd w:id="1574"/>
      <w:bookmarkEnd w:id="1575"/>
      <w:bookmarkEnd w:id="1576"/>
      <w:bookmarkEnd w:id="1577"/>
      <w:bookmarkEnd w:id="1578"/>
      <w:r w:rsidRPr="009E06AA">
        <w:t>2022</w:t>
      </w:r>
      <w:bookmarkEnd w:id="1579"/>
    </w:p>
    <w:p w14:paraId="4F17C58A" w14:textId="77777777" w:rsidR="007523B8" w:rsidRPr="009E06AA" w:rsidRDefault="007523B8" w:rsidP="007523B8">
      <w:pPr>
        <w:pStyle w:val="BodyText"/>
      </w:pPr>
      <w:r w:rsidRPr="009E06AA">
        <w:rPr>
          <w:noProof/>
        </w:rPr>
        <w:drawing>
          <wp:inline distT="0" distB="0" distL="0" distR="0" wp14:anchorId="62BAF464" wp14:editId="393E984A">
            <wp:extent cx="5137785" cy="2948726"/>
            <wp:effectExtent l="0" t="0" r="5715"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b="1836"/>
                    <a:stretch/>
                  </pic:blipFill>
                  <pic:spPr bwMode="auto">
                    <a:xfrm>
                      <a:off x="0" y="0"/>
                      <a:ext cx="5158609" cy="2960678"/>
                    </a:xfrm>
                    <a:prstGeom prst="rect">
                      <a:avLst/>
                    </a:prstGeom>
                    <a:noFill/>
                    <a:ln>
                      <a:noFill/>
                    </a:ln>
                    <a:extLst>
                      <a:ext uri="{53640926-AAD7-44D8-BBD7-CCE9431645EC}">
                        <a14:shadowObscured xmlns:a14="http://schemas.microsoft.com/office/drawing/2010/main"/>
                      </a:ext>
                    </a:extLst>
                  </pic:spPr>
                </pic:pic>
              </a:graphicData>
            </a:graphic>
          </wp:inline>
        </w:drawing>
      </w:r>
    </w:p>
    <w:p w14:paraId="5E021B25" w14:textId="4B749990" w:rsidR="007523B8" w:rsidRPr="009E06AA" w:rsidRDefault="007523B8" w:rsidP="00245C00">
      <w:pPr>
        <w:pStyle w:val="Figure"/>
        <w:spacing w:before="160"/>
      </w:pPr>
      <w:bookmarkStart w:id="1580" w:name="_Toc131591566"/>
      <w:bookmarkStart w:id="1581" w:name="_Toc164154034"/>
      <w:r w:rsidRPr="009E06AA">
        <w:t>Figure 5.8.2</w:t>
      </w:r>
      <w:r w:rsidRPr="009E06AA">
        <w:tab/>
        <w:t>Dolomite usage on agricultural land in New Zealand</w:t>
      </w:r>
      <w:r w:rsidR="00F85AF1" w:rsidRPr="009E06AA">
        <w:t>,</w:t>
      </w:r>
      <w:r w:rsidRPr="009E06AA">
        <w:t xml:space="preserve"> from 1990 to </w:t>
      </w:r>
      <w:bookmarkEnd w:id="1580"/>
      <w:r w:rsidRPr="009E06AA">
        <w:rPr>
          <w:szCs w:val="18"/>
        </w:rPr>
        <w:t>2022</w:t>
      </w:r>
      <w:bookmarkEnd w:id="1581"/>
    </w:p>
    <w:p w14:paraId="11D83662" w14:textId="77777777" w:rsidR="007523B8" w:rsidRPr="009E06AA" w:rsidRDefault="007523B8" w:rsidP="007523B8">
      <w:pPr>
        <w:pStyle w:val="BodyText"/>
      </w:pPr>
      <w:bookmarkStart w:id="1582" w:name="_Toc32570686"/>
      <w:r w:rsidRPr="009E06AA">
        <w:rPr>
          <w:noProof/>
        </w:rPr>
        <w:drawing>
          <wp:inline distT="0" distB="0" distL="0" distR="0" wp14:anchorId="3165214E" wp14:editId="0FBB7FAF">
            <wp:extent cx="5138057" cy="2957478"/>
            <wp:effectExtent l="0" t="0" r="571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b="1550"/>
                    <a:stretch/>
                  </pic:blipFill>
                  <pic:spPr bwMode="auto">
                    <a:xfrm>
                      <a:off x="0" y="0"/>
                      <a:ext cx="5148753" cy="2963635"/>
                    </a:xfrm>
                    <a:prstGeom prst="rect">
                      <a:avLst/>
                    </a:prstGeom>
                    <a:noFill/>
                    <a:ln>
                      <a:noFill/>
                    </a:ln>
                    <a:extLst>
                      <a:ext uri="{53640926-AAD7-44D8-BBD7-CCE9431645EC}">
                        <a14:shadowObscured xmlns:a14="http://schemas.microsoft.com/office/drawing/2010/main"/>
                      </a:ext>
                    </a:extLst>
                  </pic:spPr>
                </pic:pic>
              </a:graphicData>
            </a:graphic>
          </wp:inline>
        </w:drawing>
      </w:r>
    </w:p>
    <w:p w14:paraId="2EAAFC35" w14:textId="77777777" w:rsidR="007523B8" w:rsidRPr="009E06AA" w:rsidRDefault="007523B8" w:rsidP="007523B8">
      <w:pPr>
        <w:pStyle w:val="Heading3"/>
      </w:pPr>
      <w:r w:rsidRPr="009E06AA">
        <w:t>5.8.4</w:t>
      </w:r>
      <w:r w:rsidRPr="009E06AA">
        <w:tab/>
        <w:t>Uncertainty assessment and time-series consistency</w:t>
      </w:r>
      <w:bookmarkEnd w:id="1582"/>
    </w:p>
    <w:p w14:paraId="709A5657" w14:textId="77777777" w:rsidR="007523B8" w:rsidRPr="009E06AA" w:rsidRDefault="007523B8" w:rsidP="007523B8">
      <w:pPr>
        <w:pStyle w:val="BodyText"/>
        <w:spacing w:before="100" w:after="100"/>
        <w:rPr>
          <w:rFonts w:cs="Calibri"/>
        </w:rPr>
      </w:pPr>
      <w:r w:rsidRPr="009E06AA">
        <w:rPr>
          <w:rFonts w:cs="Calibri"/>
        </w:rPr>
        <w:t>Using the IPCC (2006) Tier 1 methodology, default emission factors are used, which are based on the chemical formulae of lime and assume all carbon in lime is emitted as CO</w:t>
      </w:r>
      <w:r w:rsidRPr="009E06AA">
        <w:rPr>
          <w:rFonts w:cs="Calibri"/>
          <w:vertAlign w:val="subscript"/>
        </w:rPr>
        <w:t>2</w:t>
      </w:r>
      <w:r w:rsidRPr="009E06AA">
        <w:rPr>
          <w:rFonts w:cs="Calibri"/>
        </w:rPr>
        <w:t xml:space="preserve"> into the atmosphere. However, the 2006 IPCC Guidelines state that the maximum available carbon is not necessarily lost and that the emissions could be up to 50 per cent lower than estimated (IPCC, 2006).</w:t>
      </w:r>
    </w:p>
    <w:p w14:paraId="6BEF46AE" w14:textId="77777777" w:rsidR="007523B8" w:rsidRPr="009E06AA" w:rsidRDefault="007523B8" w:rsidP="007523B8">
      <w:pPr>
        <w:pStyle w:val="BodyText"/>
        <w:spacing w:before="100" w:after="100"/>
        <w:rPr>
          <w:rFonts w:cs="Calibri"/>
        </w:rPr>
      </w:pPr>
      <w:r w:rsidRPr="009E06AA">
        <w:rPr>
          <w:rFonts w:cs="Calibri"/>
        </w:rPr>
        <w:t xml:space="preserve">The Agricultural Production Census and Survey data used in the </w:t>
      </w:r>
      <w:r w:rsidRPr="009E06AA">
        <w:t>Agriculture</w:t>
      </w:r>
      <w:r w:rsidRPr="009E06AA">
        <w:rPr>
          <w:rFonts w:cs="Calibri"/>
        </w:rPr>
        <w:t xml:space="preserve"> inventory model have gaps in the time series: no data are available for 1991 or between 1997 and 2001. In the absence of other supporting data, linear interpolation has been used to estimate the data for these years.</w:t>
      </w:r>
    </w:p>
    <w:p w14:paraId="557783CF" w14:textId="77777777" w:rsidR="007523B8" w:rsidRPr="009E06AA" w:rsidRDefault="007523B8" w:rsidP="007523B8">
      <w:pPr>
        <w:pStyle w:val="Heading3"/>
        <w:spacing w:before="280"/>
      </w:pPr>
      <w:bookmarkStart w:id="1583" w:name="_Toc32570687"/>
      <w:r w:rsidRPr="009E06AA">
        <w:t>5.8.5</w:t>
      </w:r>
      <w:r w:rsidRPr="009E06AA">
        <w:tab/>
        <w:t>Category-specific QA/QC and verification</w:t>
      </w:r>
      <w:bookmarkEnd w:id="1583"/>
    </w:p>
    <w:p w14:paraId="65088D1D" w14:textId="77777777" w:rsidR="007523B8" w:rsidRPr="009E06AA" w:rsidRDefault="007523B8" w:rsidP="007523B8">
      <w:pPr>
        <w:pStyle w:val="BodyText"/>
        <w:spacing w:before="100" w:after="100"/>
        <w:rPr>
          <w:rFonts w:cs="Calibri"/>
        </w:rPr>
      </w:pPr>
      <w:r w:rsidRPr="009E06AA">
        <w:rPr>
          <w:rFonts w:cs="Calibri"/>
        </w:rPr>
        <w:t xml:space="preserve">In the preparation of this inventory, the data for </w:t>
      </w:r>
      <w:r w:rsidRPr="009E06AA">
        <w:rPr>
          <w:rFonts w:cs="Calibri"/>
          <w:i/>
        </w:rPr>
        <w:t>Liming</w:t>
      </w:r>
      <w:r w:rsidRPr="009E06AA">
        <w:rPr>
          <w:rFonts w:cs="Calibri"/>
        </w:rPr>
        <w:t xml:space="preserve"> underwent Tier 1 quality checks. Stats NZ, the agency that collects the activity data for </w:t>
      </w:r>
      <w:r w:rsidRPr="009E06AA">
        <w:rPr>
          <w:rFonts w:cs="Calibri"/>
          <w:i/>
        </w:rPr>
        <w:t>Liming</w:t>
      </w:r>
      <w:r w:rsidRPr="009E06AA">
        <w:rPr>
          <w:rFonts w:cs="Calibri"/>
        </w:rPr>
        <w:t>, also carries out a series of quality-assurance and quality-control procedures as part of the data collection carried out each year.</w:t>
      </w:r>
    </w:p>
    <w:p w14:paraId="141A877A" w14:textId="77777777" w:rsidR="007523B8" w:rsidRPr="009E06AA" w:rsidRDefault="007523B8" w:rsidP="007523B8">
      <w:pPr>
        <w:pStyle w:val="Heading3"/>
        <w:spacing w:before="280"/>
      </w:pPr>
      <w:bookmarkStart w:id="1584" w:name="_Toc32570688"/>
      <w:r w:rsidRPr="009E06AA">
        <w:t>5.8.6</w:t>
      </w:r>
      <w:r w:rsidRPr="009E06AA">
        <w:tab/>
        <w:t>Category-specific recalculations</w:t>
      </w:r>
      <w:bookmarkEnd w:id="1584"/>
    </w:p>
    <w:p w14:paraId="58CC030C" w14:textId="77777777" w:rsidR="007523B8" w:rsidRPr="009E06AA" w:rsidRDefault="007523B8" w:rsidP="007523B8">
      <w:pPr>
        <w:pStyle w:val="BodyText"/>
        <w:spacing w:before="100" w:after="100"/>
        <w:rPr>
          <w:rFonts w:cs="Calibri"/>
        </w:rPr>
      </w:pPr>
      <w:bookmarkStart w:id="1585" w:name="_Hlk91060203"/>
      <w:bookmarkStart w:id="1586" w:name="_Toc32570689"/>
      <w:r w:rsidRPr="009E06AA">
        <w:rPr>
          <w:rFonts w:cs="Calibri"/>
        </w:rPr>
        <w:t>No recalculations have been performed for CO</w:t>
      </w:r>
      <w:r w:rsidRPr="009E06AA">
        <w:rPr>
          <w:rFonts w:cs="Calibri"/>
          <w:vertAlign w:val="subscript"/>
        </w:rPr>
        <w:t>2</w:t>
      </w:r>
      <w:r w:rsidRPr="009E06AA">
        <w:rPr>
          <w:rFonts w:cs="Calibri"/>
        </w:rPr>
        <w:t xml:space="preserve"> emissions from </w:t>
      </w:r>
      <w:r w:rsidRPr="009E06AA">
        <w:rPr>
          <w:rFonts w:cs="Calibri"/>
          <w:i/>
          <w:iCs/>
        </w:rPr>
        <w:t>Liming</w:t>
      </w:r>
      <w:bookmarkEnd w:id="1585"/>
      <w:r w:rsidRPr="009E06AA">
        <w:rPr>
          <w:rFonts w:cs="Calibri"/>
        </w:rPr>
        <w:t xml:space="preserve"> in the 2024 (1990 to 2022) submission.</w:t>
      </w:r>
    </w:p>
    <w:p w14:paraId="259DD840" w14:textId="77777777" w:rsidR="007523B8" w:rsidRPr="009E06AA" w:rsidRDefault="007523B8" w:rsidP="007523B8">
      <w:pPr>
        <w:pStyle w:val="Heading3"/>
        <w:spacing w:before="280"/>
      </w:pPr>
      <w:r w:rsidRPr="009E06AA">
        <w:t>5.8.7</w:t>
      </w:r>
      <w:r w:rsidRPr="009E06AA">
        <w:tab/>
        <w:t>Category-specific planned improvements</w:t>
      </w:r>
      <w:bookmarkEnd w:id="1586"/>
    </w:p>
    <w:p w14:paraId="337DD083" w14:textId="77777777" w:rsidR="007523B8" w:rsidRPr="009E06AA" w:rsidRDefault="007523B8" w:rsidP="007523B8">
      <w:pPr>
        <w:pStyle w:val="BodyText"/>
        <w:spacing w:before="100" w:after="100"/>
        <w:rPr>
          <w:rFonts w:cs="Calibri"/>
        </w:rPr>
      </w:pPr>
      <w:r w:rsidRPr="009E06AA">
        <w:rPr>
          <w:rFonts w:cs="Calibri"/>
        </w:rPr>
        <w:t xml:space="preserve">No improvements are currently planned. </w:t>
      </w:r>
    </w:p>
    <w:p w14:paraId="7CB51371" w14:textId="77777777" w:rsidR="007523B8" w:rsidRPr="009E06AA" w:rsidRDefault="007523B8" w:rsidP="007523B8">
      <w:pPr>
        <w:pStyle w:val="Heading2"/>
        <w:spacing w:before="280"/>
      </w:pPr>
      <w:bookmarkStart w:id="1587" w:name="_Toc448321530"/>
      <w:bookmarkStart w:id="1588" w:name="_Toc481751392"/>
      <w:bookmarkStart w:id="1589" w:name="_Toc511116607"/>
      <w:bookmarkStart w:id="1590" w:name="_Toc5269369"/>
      <w:bookmarkStart w:id="1591" w:name="_Toc32570690"/>
      <w:bookmarkStart w:id="1592" w:name="_Toc36224409"/>
      <w:bookmarkStart w:id="1593" w:name="_Toc68786329"/>
      <w:bookmarkStart w:id="1594" w:name="_Toc131591244"/>
      <w:bookmarkStart w:id="1595" w:name="_Toc164154198"/>
      <w:r w:rsidRPr="009E06AA">
        <w:t>5.9</w:t>
      </w:r>
      <w:r w:rsidRPr="009E06AA">
        <w:tab/>
        <w:t>Urea application (3.H)</w:t>
      </w:r>
      <w:bookmarkEnd w:id="1587"/>
      <w:bookmarkEnd w:id="1588"/>
      <w:bookmarkEnd w:id="1589"/>
      <w:bookmarkEnd w:id="1590"/>
      <w:bookmarkEnd w:id="1591"/>
      <w:bookmarkEnd w:id="1592"/>
      <w:bookmarkEnd w:id="1593"/>
      <w:bookmarkEnd w:id="1594"/>
      <w:bookmarkEnd w:id="1595"/>
    </w:p>
    <w:p w14:paraId="49B7DECB" w14:textId="77777777" w:rsidR="007523B8" w:rsidRPr="009E06AA" w:rsidRDefault="007523B8" w:rsidP="007523B8">
      <w:pPr>
        <w:pStyle w:val="Heading3"/>
        <w:spacing w:before="180"/>
      </w:pPr>
      <w:bookmarkStart w:id="1596" w:name="_Toc32570691"/>
      <w:r w:rsidRPr="009E06AA">
        <w:t>5.9.1</w:t>
      </w:r>
      <w:r w:rsidRPr="009E06AA">
        <w:tab/>
        <w:t>Category description</w:t>
      </w:r>
      <w:bookmarkEnd w:id="1596"/>
    </w:p>
    <w:p w14:paraId="2DEAFE9E" w14:textId="77777777" w:rsidR="007523B8" w:rsidRPr="009E06AA" w:rsidRDefault="007523B8" w:rsidP="007523B8">
      <w:pPr>
        <w:pStyle w:val="BodyText"/>
        <w:spacing w:before="100" w:after="100"/>
      </w:pPr>
      <w:r w:rsidRPr="009E06AA">
        <w:t xml:space="preserve">Urea fertiliser accounts for the majority of synthetic nitrogen fertiliser used in </w:t>
      </w:r>
      <w:r w:rsidRPr="009E06AA" w:rsidDel="00961C4F">
        <w:t xml:space="preserve">New </w:t>
      </w:r>
      <w:r w:rsidRPr="009E06AA">
        <w:t xml:space="preserve">Zealand. It is mainly applied to dairy pastureland to boost pasture growth during the autumn and spring months (see figure 5.5.3). </w:t>
      </w:r>
    </w:p>
    <w:p w14:paraId="2B36CA51" w14:textId="77777777" w:rsidR="007523B8" w:rsidRPr="009E06AA" w:rsidRDefault="007523B8" w:rsidP="007523B8">
      <w:pPr>
        <w:pStyle w:val="BodyText"/>
        <w:spacing w:before="100" w:after="100"/>
      </w:pPr>
      <w:r w:rsidRPr="009E06AA">
        <w:rPr>
          <w:i/>
        </w:rPr>
        <w:t>Urea application</w:t>
      </w:r>
      <w:r w:rsidRPr="009E06AA">
        <w:t xml:space="preserve"> was identified as a key category for the Agriculture sector in 2021 (level and trend assessment).</w:t>
      </w:r>
    </w:p>
    <w:p w14:paraId="6FFC53E0" w14:textId="77777777" w:rsidR="007523B8" w:rsidRPr="009E06AA" w:rsidRDefault="007523B8" w:rsidP="007523B8">
      <w:pPr>
        <w:pStyle w:val="BodyText"/>
        <w:spacing w:before="100" w:after="100"/>
      </w:pPr>
      <w:r w:rsidRPr="009E06AA">
        <w:rPr>
          <w:i/>
        </w:rPr>
        <w:t>Urea application</w:t>
      </w:r>
      <w:r w:rsidRPr="009E06AA">
        <w:t xml:space="preserve"> contributed an estimated 404.9 kt CO</w:t>
      </w:r>
      <w:r w:rsidRPr="009E06AA">
        <w:rPr>
          <w:vertAlign w:val="subscript"/>
        </w:rPr>
        <w:t>2</w:t>
      </w:r>
      <w:r w:rsidRPr="009E06AA">
        <w:t>,</w:t>
      </w:r>
      <w:r w:rsidRPr="009E06AA">
        <w:rPr>
          <w:vertAlign w:val="subscript"/>
        </w:rPr>
        <w:t xml:space="preserve"> </w:t>
      </w:r>
      <w:r w:rsidRPr="009E06AA">
        <w:t xml:space="preserve">representing 0.5 per cent of </w:t>
      </w:r>
      <w:r w:rsidRPr="009E06AA">
        <w:rPr>
          <w:rFonts w:cs="Calibri"/>
          <w:spacing w:val="-2"/>
        </w:rPr>
        <w:t>New Zealand’s</w:t>
      </w:r>
      <w:r w:rsidRPr="009E06AA">
        <w:t xml:space="preserve"> gross emissions and 0.97 per cent of </w:t>
      </w:r>
      <w:r w:rsidRPr="009E06AA">
        <w:rPr>
          <w:iCs/>
        </w:rPr>
        <w:t xml:space="preserve">Agriculture </w:t>
      </w:r>
      <w:r w:rsidRPr="009E06AA">
        <w:t>emissions in 2022. Note that this is a decrease in emissions of nearly 27.0 per cent, compared with 2021, because of lower urea application due to higher nitrogen fertiliser prices and lower farming profitability</w:t>
      </w:r>
      <w:r w:rsidRPr="009E06AA" w:rsidDel="00CD2446">
        <w:t>.</w:t>
      </w:r>
    </w:p>
    <w:p w14:paraId="3E2A9908" w14:textId="77777777" w:rsidR="007523B8" w:rsidRPr="009E06AA" w:rsidRDefault="007523B8" w:rsidP="007523B8">
      <w:pPr>
        <w:pStyle w:val="BodyText"/>
        <w:spacing w:before="100" w:after="100"/>
      </w:pPr>
      <w:r w:rsidRPr="009E06AA">
        <w:t xml:space="preserve">Emissions from </w:t>
      </w:r>
      <w:r w:rsidRPr="009E06AA">
        <w:rPr>
          <w:i/>
        </w:rPr>
        <w:t>Urea application</w:t>
      </w:r>
      <w:r w:rsidRPr="009E06AA">
        <w:t xml:space="preserve"> increased 933.1 per cent between 1990 and 2022. Since 1990, the proportion of urea fertiliser applied (relative to total synthetic nitrogen fertiliser use) increased from 41.5 per cent to 75.8 per cent.</w:t>
      </w:r>
    </w:p>
    <w:p w14:paraId="033DAE0A" w14:textId="77777777" w:rsidR="007523B8" w:rsidRPr="009E06AA" w:rsidRDefault="007523B8" w:rsidP="007523B8">
      <w:pPr>
        <w:pStyle w:val="Heading3"/>
        <w:spacing w:before="280"/>
      </w:pPr>
      <w:bookmarkStart w:id="1597" w:name="_Toc32570692"/>
      <w:r w:rsidRPr="009E06AA">
        <w:t>5.9.2</w:t>
      </w:r>
      <w:r w:rsidRPr="009E06AA">
        <w:tab/>
        <w:t>Methodological issues</w:t>
      </w:r>
      <w:bookmarkEnd w:id="1597"/>
    </w:p>
    <w:p w14:paraId="704A58D9" w14:textId="77777777" w:rsidR="007523B8" w:rsidRPr="009E06AA" w:rsidRDefault="007523B8" w:rsidP="007523B8">
      <w:pPr>
        <w:pStyle w:val="BodyText"/>
      </w:pPr>
      <w:r w:rsidRPr="009E06AA">
        <w:t>There is no country-specific methodology on CO</w:t>
      </w:r>
      <w:r w:rsidRPr="009E06AA">
        <w:rPr>
          <w:vertAlign w:val="subscript"/>
        </w:rPr>
        <w:t>2</w:t>
      </w:r>
      <w:r w:rsidRPr="009E06AA">
        <w:t xml:space="preserve"> emissions from </w:t>
      </w:r>
      <w:r w:rsidRPr="009E06AA">
        <w:rPr>
          <w:i/>
        </w:rPr>
        <w:t>Urea application</w:t>
      </w:r>
      <w:r w:rsidRPr="009E06AA">
        <w:t xml:space="preserve"> for </w:t>
      </w:r>
      <w:r w:rsidRPr="009E06AA" w:rsidDel="009F0596">
        <w:rPr>
          <w:rFonts w:cs="Calibri"/>
          <w:spacing w:val="-2"/>
        </w:rPr>
        <w:t>New</w:t>
      </w:r>
      <w:r w:rsidRPr="009E06AA">
        <w:rPr>
          <w:rFonts w:cs="Calibri"/>
          <w:spacing w:val="-2"/>
        </w:rPr>
        <w:t> Zealand</w:t>
      </w:r>
      <w:r w:rsidRPr="009E06AA">
        <w:t xml:space="preserve">. Emissions associated with the application of urea are estimated using a Tier 1 methodology (equation 11.13; IPCC, 2006), using the default emission factor for carbon conversion of 0.20. </w:t>
      </w:r>
    </w:p>
    <w:p w14:paraId="6F3F64E8" w14:textId="77777777" w:rsidR="007523B8" w:rsidRPr="009E06AA" w:rsidRDefault="007523B8" w:rsidP="007523B8">
      <w:pPr>
        <w:pStyle w:val="BodyText"/>
      </w:pPr>
      <w:r w:rsidRPr="009E06AA">
        <w:t>Research into urease inhibitors (see section 5.5.2) has demonstrated they are effective in slowing down the activity of the urease enzyme that hydrolyses urea to ammonium (as reported in section 5.5.2), but urease inhibitors do not reduce the release of CO</w:t>
      </w:r>
      <w:r w:rsidRPr="009E06AA">
        <w:rPr>
          <w:vertAlign w:val="subscript"/>
        </w:rPr>
        <w:t>2</w:t>
      </w:r>
      <w:r w:rsidRPr="009E06AA">
        <w:t xml:space="preserve"> (S Saggar, pers. comm., 2014).</w:t>
      </w:r>
    </w:p>
    <w:p w14:paraId="6E0F1496" w14:textId="77777777" w:rsidR="007523B8" w:rsidRPr="009E06AA" w:rsidRDefault="007523B8" w:rsidP="007523B8">
      <w:pPr>
        <w:pStyle w:val="Heading3"/>
        <w:spacing w:before="280"/>
      </w:pPr>
      <w:bookmarkStart w:id="1598" w:name="_Toc32570693"/>
      <w:r w:rsidRPr="009E06AA">
        <w:t>5.9.3</w:t>
      </w:r>
      <w:r w:rsidRPr="009E06AA">
        <w:tab/>
        <w:t>Activity data</w:t>
      </w:r>
      <w:bookmarkEnd w:id="1598"/>
    </w:p>
    <w:p w14:paraId="5395A585" w14:textId="77777777" w:rsidR="007523B8" w:rsidRPr="009E06AA" w:rsidRDefault="007523B8" w:rsidP="007523B8">
      <w:pPr>
        <w:pStyle w:val="BodyText"/>
        <w:rPr>
          <w:rFonts w:cs="Calibri"/>
        </w:rPr>
      </w:pPr>
      <w:r w:rsidRPr="009E06AA">
        <w:rPr>
          <w:rFonts w:cs="Calibri"/>
        </w:rPr>
        <w:t xml:space="preserve">Data on the volume of synthetic nitrogen fertiliser used are provided by the Fertiliser Association of New Zealand from fertiliser company sales records from 1990 to 2022. From 1990 to 2013, data on the percentage of synthetic nitrogen fertiliser derived from urea were sourced from the International Fertilizer Industry Association online database and were used to calculate the amount of applied urea fertiliser. Since 2014, data for total nitrogen from synthetic nitrogen fertiliser derived from urea have been provided by the Fertiliser Association of New Zealand. </w:t>
      </w:r>
    </w:p>
    <w:p w14:paraId="2EFBAFDE" w14:textId="77777777" w:rsidR="007523B8" w:rsidRPr="009E06AA" w:rsidRDefault="007523B8" w:rsidP="007523B8">
      <w:pPr>
        <w:pStyle w:val="BodyText"/>
        <w:rPr>
          <w:rFonts w:cs="Calibri"/>
        </w:rPr>
      </w:pPr>
      <w:r w:rsidRPr="009E06AA">
        <w:rPr>
          <w:rFonts w:cs="Calibri"/>
        </w:rPr>
        <w:t xml:space="preserve">A large increase has occurred in nitrogen applied to agricultural land as urea fertiliser, from 24,586 tonnes nitrogen in 1990 to 254,000 tonnes in 2022. This is consistent with the increase in the total amount of synthetic nitrogen fertiliser applied, which is 5.65 times the amount used in 1990 (see reporting on the </w:t>
      </w:r>
      <w:r w:rsidRPr="009E06AA">
        <w:rPr>
          <w:rFonts w:cs="Calibri"/>
          <w:i/>
          <w:iCs/>
        </w:rPr>
        <w:t>Agricultural soils</w:t>
      </w:r>
      <w:r w:rsidRPr="009E06AA">
        <w:rPr>
          <w:rFonts w:cs="Calibri"/>
        </w:rPr>
        <w:t xml:space="preserve"> category and figure 5.5.2). </w:t>
      </w:r>
    </w:p>
    <w:p w14:paraId="0896953E" w14:textId="77777777" w:rsidR="007523B8" w:rsidRPr="009E06AA" w:rsidRDefault="007523B8" w:rsidP="007523B8">
      <w:pPr>
        <w:pStyle w:val="Heading3"/>
      </w:pPr>
      <w:bookmarkStart w:id="1599" w:name="_Toc32570694"/>
      <w:r w:rsidRPr="009E06AA">
        <w:t>5.9.4</w:t>
      </w:r>
      <w:r w:rsidRPr="009E06AA">
        <w:tab/>
        <w:t>Uncertainty assessment and time-series consistency</w:t>
      </w:r>
      <w:bookmarkEnd w:id="1599"/>
    </w:p>
    <w:p w14:paraId="13E82AD7" w14:textId="0323B443" w:rsidR="007523B8" w:rsidRPr="009E06AA" w:rsidRDefault="007523B8" w:rsidP="007523B8">
      <w:pPr>
        <w:pStyle w:val="BodyText"/>
        <w:rPr>
          <w:rFonts w:cs="Calibri"/>
        </w:rPr>
      </w:pPr>
      <w:r w:rsidRPr="009E06AA">
        <w:rPr>
          <w:rFonts w:cs="Calibri"/>
        </w:rPr>
        <w:t>Under the IPCC (2006) Tier 1 methodology, default emission factors are used, which are based on the chemical formulae of urea and assume all carbon in urea is emitted as CO</w:t>
      </w:r>
      <w:r w:rsidRPr="009E06AA">
        <w:rPr>
          <w:rFonts w:cs="Calibri"/>
          <w:vertAlign w:val="subscript"/>
        </w:rPr>
        <w:t>2</w:t>
      </w:r>
      <w:r w:rsidRPr="009E06AA">
        <w:rPr>
          <w:rFonts w:cs="Calibri"/>
        </w:rPr>
        <w:t xml:space="preserve"> into the atmosphere. However, the 2006 IPCC Guidelines state that the maximum available carbon is</w:t>
      </w:r>
      <w:r w:rsidR="00245C00" w:rsidRPr="009E06AA">
        <w:rPr>
          <w:rFonts w:cs="Calibri"/>
        </w:rPr>
        <w:t> </w:t>
      </w:r>
      <w:r w:rsidRPr="009E06AA">
        <w:rPr>
          <w:rFonts w:cs="Calibri"/>
        </w:rPr>
        <w:t>not necessarily lost and that the emissions could be up to 50 per cent lower (IPCC, 2006). This</w:t>
      </w:r>
      <w:r w:rsidR="00245C00" w:rsidRPr="009E06AA">
        <w:rPr>
          <w:rFonts w:cs="Calibri"/>
        </w:rPr>
        <w:t> </w:t>
      </w:r>
      <w:r w:rsidRPr="009E06AA">
        <w:rPr>
          <w:rFonts w:cs="Calibri"/>
        </w:rPr>
        <w:t>gives a lower uncertainty estimate of -50 per cent and an upper uncertainty estimate of 0 per cent.</w:t>
      </w:r>
      <w:r w:rsidRPr="009E06AA" w:rsidDel="00D42FD1">
        <w:rPr>
          <w:rFonts w:cs="Calibri"/>
        </w:rPr>
        <w:t xml:space="preserve"> </w:t>
      </w:r>
    </w:p>
    <w:p w14:paraId="4CC0403D" w14:textId="77777777" w:rsidR="007523B8" w:rsidRPr="009E06AA" w:rsidRDefault="007523B8" w:rsidP="007523B8">
      <w:pPr>
        <w:pStyle w:val="BodyText"/>
        <w:rPr>
          <w:rFonts w:cs="Calibri"/>
        </w:rPr>
      </w:pPr>
      <w:r w:rsidRPr="009E06AA">
        <w:rPr>
          <w:rFonts w:cs="Calibri"/>
        </w:rPr>
        <w:t xml:space="preserve">Sales data for synthetic nitrogen fertiliser have been supplied for all years by the Fertiliser Association of New Zealand, but the uncertainties in this data are not known. </w:t>
      </w:r>
    </w:p>
    <w:p w14:paraId="066D3E9A" w14:textId="77777777" w:rsidR="007523B8" w:rsidRPr="009E06AA" w:rsidRDefault="007523B8" w:rsidP="007523B8">
      <w:pPr>
        <w:pStyle w:val="Heading3"/>
      </w:pPr>
      <w:bookmarkStart w:id="1600" w:name="_Toc32570695"/>
      <w:r w:rsidRPr="009E06AA">
        <w:t>5.9.5</w:t>
      </w:r>
      <w:r w:rsidRPr="009E06AA">
        <w:tab/>
        <w:t>Category-specific QA/QC and verification</w:t>
      </w:r>
      <w:bookmarkEnd w:id="1600"/>
    </w:p>
    <w:p w14:paraId="280756A4" w14:textId="77777777" w:rsidR="007523B8" w:rsidRPr="009E06AA" w:rsidRDefault="007523B8" w:rsidP="007523B8">
      <w:pPr>
        <w:pStyle w:val="BodyText"/>
        <w:rPr>
          <w:rFonts w:cs="Calibri"/>
        </w:rPr>
      </w:pPr>
      <w:r w:rsidRPr="009E06AA">
        <w:rPr>
          <w:rFonts w:cs="Calibri"/>
        </w:rPr>
        <w:t>In the preparation of this inventory, the data for urea fertiliser underwent Tier 1 quality checks. The Fertiliser Association of New Zealand, the organisation that collects the sales activity information for synthetic nitrogen fertiliser, also carries out a series of quality</w:t>
      </w:r>
      <w:r w:rsidRPr="009E06AA">
        <w:rPr>
          <w:rFonts w:cs="Calibri"/>
        </w:rPr>
        <w:noBreakHyphen/>
        <w:t>assurance and quality-control procedures as a part of the data collection carried out each year and provides this data to the International Fertilizer Industry Association.</w:t>
      </w:r>
    </w:p>
    <w:p w14:paraId="3C938A00" w14:textId="77777777" w:rsidR="007523B8" w:rsidRPr="009E06AA" w:rsidRDefault="007523B8" w:rsidP="007523B8">
      <w:pPr>
        <w:pStyle w:val="Heading3"/>
      </w:pPr>
      <w:bookmarkStart w:id="1601" w:name="_Toc32570696"/>
      <w:r w:rsidRPr="009E06AA">
        <w:t>5.9.6</w:t>
      </w:r>
      <w:r w:rsidRPr="009E06AA">
        <w:tab/>
        <w:t>Category-specific recalculations</w:t>
      </w:r>
      <w:bookmarkEnd w:id="1601"/>
    </w:p>
    <w:p w14:paraId="0321F33A" w14:textId="77777777" w:rsidR="007523B8" w:rsidRPr="009E06AA" w:rsidRDefault="007523B8" w:rsidP="007523B8">
      <w:pPr>
        <w:pStyle w:val="BodyText"/>
        <w:rPr>
          <w:rFonts w:cs="Calibri"/>
        </w:rPr>
      </w:pPr>
      <w:r w:rsidRPr="009E06AA">
        <w:rPr>
          <w:rFonts w:cs="Calibri"/>
        </w:rPr>
        <w:t>No recalculations have been performed for CO</w:t>
      </w:r>
      <w:r w:rsidRPr="009E06AA">
        <w:rPr>
          <w:rFonts w:cs="Calibri"/>
          <w:vertAlign w:val="subscript"/>
        </w:rPr>
        <w:t>2</w:t>
      </w:r>
      <w:r w:rsidRPr="009E06AA">
        <w:rPr>
          <w:rFonts w:cs="Calibri"/>
        </w:rPr>
        <w:t xml:space="preserve"> emissions from urea in the 2024 (1990 to 2022) submission.</w:t>
      </w:r>
    </w:p>
    <w:p w14:paraId="487CA7A6" w14:textId="77777777" w:rsidR="007523B8" w:rsidRPr="009E06AA" w:rsidRDefault="007523B8" w:rsidP="007523B8">
      <w:pPr>
        <w:pStyle w:val="Heading3"/>
      </w:pPr>
      <w:bookmarkStart w:id="1602" w:name="_Toc32570697"/>
      <w:r w:rsidRPr="009E06AA">
        <w:t>5.9.7</w:t>
      </w:r>
      <w:r w:rsidRPr="009E06AA">
        <w:tab/>
        <w:t>Category-specific planned improvements</w:t>
      </w:r>
      <w:bookmarkEnd w:id="1602"/>
    </w:p>
    <w:p w14:paraId="71387241" w14:textId="77777777" w:rsidR="007523B8" w:rsidRPr="009E06AA" w:rsidRDefault="007523B8" w:rsidP="007523B8">
      <w:pPr>
        <w:pStyle w:val="BodyText"/>
        <w:rPr>
          <w:rFonts w:cs="Calibri"/>
        </w:rPr>
      </w:pPr>
      <w:r w:rsidRPr="009E06AA">
        <w:rPr>
          <w:rFonts w:cs="Calibri"/>
          <w:spacing w:val="-2"/>
        </w:rPr>
        <w:t>New Zealand</w:t>
      </w:r>
      <w:r w:rsidRPr="009E06AA">
        <w:rPr>
          <w:rFonts w:cs="Calibri"/>
        </w:rPr>
        <w:t xml:space="preserve"> will continue to update activity data on urea as the data become available from the Fertiliser Association of New Zealand that can be cross referenced with data collect in the annual Agricultural Production Survey.</w:t>
      </w:r>
    </w:p>
    <w:p w14:paraId="1D842E7D" w14:textId="77777777" w:rsidR="007523B8" w:rsidRPr="009E06AA" w:rsidRDefault="007523B8" w:rsidP="007523B8">
      <w:pPr>
        <w:pStyle w:val="Heading2"/>
      </w:pPr>
      <w:bookmarkStart w:id="1603" w:name="_Toc448321531"/>
      <w:bookmarkStart w:id="1604" w:name="_Toc481751393"/>
      <w:bookmarkStart w:id="1605" w:name="_Toc511116608"/>
      <w:bookmarkStart w:id="1606" w:name="_Toc5269370"/>
      <w:bookmarkStart w:id="1607" w:name="_Toc32570698"/>
      <w:bookmarkStart w:id="1608" w:name="_Toc36224410"/>
      <w:bookmarkStart w:id="1609" w:name="_Toc68786330"/>
      <w:bookmarkStart w:id="1610" w:name="_Toc131591245"/>
      <w:bookmarkStart w:id="1611" w:name="_Toc164154199"/>
      <w:r w:rsidRPr="009E06AA">
        <w:t xml:space="preserve">5.10 </w:t>
      </w:r>
      <w:r w:rsidRPr="009E06AA">
        <w:tab/>
        <w:t>Other carbon-containing fertilisers (3.I)</w:t>
      </w:r>
      <w:bookmarkEnd w:id="1603"/>
      <w:bookmarkEnd w:id="1604"/>
      <w:bookmarkEnd w:id="1605"/>
      <w:bookmarkEnd w:id="1606"/>
      <w:bookmarkEnd w:id="1607"/>
      <w:bookmarkEnd w:id="1608"/>
      <w:bookmarkEnd w:id="1609"/>
      <w:bookmarkEnd w:id="1610"/>
      <w:bookmarkEnd w:id="1611"/>
    </w:p>
    <w:p w14:paraId="72F82316" w14:textId="77777777" w:rsidR="007523B8" w:rsidRPr="009E06AA" w:rsidRDefault="007523B8" w:rsidP="007523B8">
      <w:pPr>
        <w:pStyle w:val="Heading3"/>
        <w:spacing w:before="240"/>
      </w:pPr>
      <w:bookmarkStart w:id="1612" w:name="_Toc32570699"/>
      <w:r w:rsidRPr="009E06AA">
        <w:t>5.10.1</w:t>
      </w:r>
      <w:r w:rsidRPr="009E06AA">
        <w:tab/>
        <w:t>Category description</w:t>
      </w:r>
      <w:bookmarkEnd w:id="1612"/>
    </w:p>
    <w:p w14:paraId="3466ED3E" w14:textId="77777777" w:rsidR="007523B8" w:rsidRPr="009E06AA" w:rsidRDefault="007523B8" w:rsidP="007523B8">
      <w:pPr>
        <w:pStyle w:val="BodyText"/>
      </w:pPr>
      <w:r w:rsidRPr="009E06AA">
        <w:t xml:space="preserve">Other carbon-containing synthetic fertilisers besides limestone, dolomite and urea (see sections 5.8 and 5.9) are not applied to agricultural land in </w:t>
      </w:r>
      <w:r w:rsidRPr="009E06AA" w:rsidDel="003838DD">
        <w:rPr>
          <w:rFonts w:cs="Calibri"/>
          <w:spacing w:val="-2"/>
        </w:rPr>
        <w:t xml:space="preserve">New </w:t>
      </w:r>
      <w:r w:rsidRPr="009E06AA">
        <w:rPr>
          <w:rFonts w:cs="Calibri"/>
          <w:spacing w:val="-2"/>
        </w:rPr>
        <w:t>Zealand</w:t>
      </w:r>
      <w:r w:rsidRPr="009E06AA">
        <w:t xml:space="preserve"> (T van der Weerden and C de Klein, pers. comm., 2015). </w:t>
      </w:r>
    </w:p>
    <w:p w14:paraId="6BA82CE0" w14:textId="77777777" w:rsidR="007523B8" w:rsidRPr="009E06AA" w:rsidRDefault="007523B8" w:rsidP="00245C00">
      <w:pPr>
        <w:pStyle w:val="Heading2"/>
        <w:spacing w:before="0" w:after="360"/>
      </w:pPr>
      <w:bookmarkStart w:id="1613" w:name="_Toc352504866"/>
      <w:bookmarkStart w:id="1614" w:name="_Toc448321532"/>
      <w:bookmarkStart w:id="1615" w:name="_Toc481751394"/>
      <w:bookmarkStart w:id="1616" w:name="_Toc511116609"/>
      <w:bookmarkStart w:id="1617" w:name="_Toc5269371"/>
      <w:bookmarkStart w:id="1618" w:name="_Toc32570700"/>
      <w:r w:rsidRPr="009E06AA">
        <w:rPr>
          <w:rStyle w:val="BodyTextChar"/>
        </w:rPr>
        <w:br w:type="page"/>
      </w:r>
      <w:bookmarkStart w:id="1619" w:name="_Toc36224411"/>
      <w:bookmarkStart w:id="1620" w:name="_Toc68786331"/>
      <w:bookmarkStart w:id="1621" w:name="_Toc131591246"/>
      <w:bookmarkStart w:id="1622" w:name="_Toc164154200"/>
      <w:r w:rsidRPr="009E06AA">
        <w:t>Chapter 5: References</w:t>
      </w:r>
      <w:bookmarkEnd w:id="1613"/>
      <w:bookmarkEnd w:id="1614"/>
      <w:bookmarkEnd w:id="1615"/>
      <w:bookmarkEnd w:id="1616"/>
      <w:bookmarkEnd w:id="1617"/>
      <w:bookmarkEnd w:id="1618"/>
      <w:bookmarkEnd w:id="1619"/>
      <w:bookmarkEnd w:id="1620"/>
      <w:bookmarkEnd w:id="1621"/>
      <w:bookmarkEnd w:id="1622"/>
    </w:p>
    <w:p w14:paraId="2DCE86E9" w14:textId="77777777" w:rsidR="007523B8" w:rsidRPr="009E06AA" w:rsidRDefault="007523B8" w:rsidP="007523B8">
      <w:pPr>
        <w:pStyle w:val="BodyText"/>
        <w:rPr>
          <w:rFonts w:cs="Calibri"/>
        </w:rPr>
      </w:pPr>
      <w:r w:rsidRPr="009E06AA">
        <w:rPr>
          <w:rFonts w:cs="Calibri"/>
        </w:rPr>
        <w:t xml:space="preserve">Some references may be downloaded </w:t>
      </w:r>
      <w:r w:rsidRPr="009E06AA">
        <w:t xml:space="preserve">directly from: </w:t>
      </w:r>
      <w:hyperlink r:id="rId116" w:history="1">
        <w:r w:rsidRPr="009E06AA">
          <w:rPr>
            <w:rStyle w:val="Hyperlink"/>
          </w:rPr>
          <w:t>mpi.govt.nz/news-and-resources/statistics-and-forecasting/greenhouse-gas-reporting/agriculture-greenhouse-gas-inventory-reports</w:t>
        </w:r>
      </w:hyperlink>
      <w:r w:rsidRPr="009E06AA">
        <w:rPr>
          <w:rFonts w:cs="Calibri"/>
        </w:rPr>
        <w:t>.</w:t>
      </w:r>
    </w:p>
    <w:p w14:paraId="671A6418" w14:textId="77777777" w:rsidR="007523B8" w:rsidRPr="009E06AA" w:rsidRDefault="007523B8" w:rsidP="007523B8">
      <w:pPr>
        <w:pStyle w:val="BodyText"/>
        <w:spacing w:after="240"/>
        <w:rPr>
          <w:rFonts w:cs="Calibri"/>
        </w:rPr>
      </w:pPr>
      <w:r w:rsidRPr="009E06AA">
        <w:rPr>
          <w:rFonts w:cs="Calibri"/>
        </w:rPr>
        <w:t xml:space="preserve">MPI is progressively making reports used for compiling the </w:t>
      </w:r>
      <w:r w:rsidRPr="009E06AA">
        <w:t>Agriculture</w:t>
      </w:r>
      <w:r w:rsidRPr="009E06AA">
        <w:rPr>
          <w:rFonts w:cs="Calibri"/>
        </w:rPr>
        <w:t xml:space="preserve"> inventory sector available on this page, where copyright permits. </w:t>
      </w:r>
    </w:p>
    <w:p w14:paraId="7A7EE98C" w14:textId="77777777" w:rsidR="007523B8" w:rsidRPr="009E06AA" w:rsidRDefault="007523B8" w:rsidP="007523B8">
      <w:pPr>
        <w:pStyle w:val="References"/>
      </w:pPr>
      <w:r w:rsidRPr="009E06AA">
        <w:t>Australian Government. Unpublished</w:t>
      </w:r>
      <w:r w:rsidRPr="009E06AA">
        <w:rPr>
          <w:i/>
        </w:rPr>
        <w:t xml:space="preserve">. </w:t>
      </w:r>
      <w:r w:rsidRPr="009E06AA">
        <w:t xml:space="preserve">Mutual Review of Components of National Inventory Systems: A Review between Australia and New Zealand. Provided by the Australian Government in 2014. </w:t>
      </w:r>
    </w:p>
    <w:p w14:paraId="71D29139" w14:textId="66FC5F19" w:rsidR="007523B8" w:rsidRPr="009E06AA" w:rsidRDefault="007523B8" w:rsidP="003709F7">
      <w:pPr>
        <w:pStyle w:val="References"/>
      </w:pPr>
      <w:r w:rsidRPr="009E06AA">
        <w:t xml:space="preserve">Australian Government. (2023). </w:t>
      </w:r>
      <w:hyperlink r:id="rId117" w:history="1">
        <w:r w:rsidRPr="003709F7">
          <w:rPr>
            <w:rStyle w:val="Hyperlink"/>
            <w:i/>
          </w:rPr>
          <w:t>2023 Common Reporting Table (CRT)</w:t>
        </w:r>
      </w:hyperlink>
      <w:r w:rsidRPr="009E06AA">
        <w:t>. Retrieved 12 December 2023.</w:t>
      </w:r>
    </w:p>
    <w:p w14:paraId="25DD0308" w14:textId="77777777" w:rsidR="007523B8" w:rsidRPr="009E06AA" w:rsidRDefault="007523B8" w:rsidP="007523B8">
      <w:pPr>
        <w:pStyle w:val="References"/>
      </w:pPr>
      <w:r w:rsidRPr="009E06AA">
        <w:t>Beare M, Thomas S, Clemens G, Hernandez-Ramirez G. Unpublished. Contributions of Pasture Renewal and N Mineralisation to N</w:t>
      </w:r>
      <w:r w:rsidRPr="009E06AA">
        <w:rPr>
          <w:vertAlign w:val="subscript"/>
        </w:rPr>
        <w:t>2</w:t>
      </w:r>
      <w:r w:rsidRPr="009E06AA">
        <w:t>O Emissions from Pastoral Farming Systems</w:t>
      </w:r>
      <w:r w:rsidRPr="009E06AA">
        <w:rPr>
          <w:i/>
        </w:rPr>
        <w:t>.</w:t>
      </w:r>
      <w:r w:rsidRPr="009E06AA">
        <w:t xml:space="preserve"> Report prepared for the Ministry for Primary Industries by Plant and Food Research in 2012.</w:t>
      </w:r>
    </w:p>
    <w:p w14:paraId="2ACA1D87" w14:textId="77777777" w:rsidR="007523B8" w:rsidRPr="009E06AA" w:rsidRDefault="007523B8" w:rsidP="007523B8">
      <w:pPr>
        <w:pStyle w:val="References"/>
      </w:pPr>
      <w:r w:rsidRPr="009E06AA">
        <w:t xml:space="preserve">Beef + Lamb New Zealand Ltd. 2022. </w:t>
      </w:r>
      <w:hyperlink r:id="rId118" w:history="1">
        <w:r w:rsidRPr="009E06AA">
          <w:rPr>
            <w:rStyle w:val="Hyperlink"/>
            <w:i/>
          </w:rPr>
          <w:t>Annual Report 2022</w:t>
        </w:r>
      </w:hyperlink>
      <w:r w:rsidRPr="009E06AA">
        <w:rPr>
          <w:iCs/>
        </w:rPr>
        <w:t>.</w:t>
      </w:r>
      <w:r w:rsidRPr="009E06AA">
        <w:t xml:space="preserve"> Retrieved 12 January 2024.</w:t>
      </w:r>
    </w:p>
    <w:p w14:paraId="26DB92CB" w14:textId="77777777" w:rsidR="007523B8" w:rsidRPr="009E06AA" w:rsidRDefault="007523B8" w:rsidP="007523B8">
      <w:pPr>
        <w:pStyle w:val="References"/>
      </w:pPr>
      <w:r w:rsidRPr="009E06AA">
        <w:t xml:space="preserve">Bown MD, Thomson BC, Muir PD. 2013. </w:t>
      </w:r>
      <w:r w:rsidRPr="009E06AA">
        <w:rPr>
          <w:i/>
        </w:rPr>
        <w:t>Evaluation of the Values for Pasture ME and N Content used in the National Greenhouse Gas Inventory</w:t>
      </w:r>
      <w:r w:rsidRPr="009E06AA">
        <w:t>. Report prepared for the Ministry for Primary Industries by On-Farm Research. Wellington: Ministry for Primary Industries.</w:t>
      </w:r>
    </w:p>
    <w:p w14:paraId="509B4BEA" w14:textId="77777777" w:rsidR="007523B8" w:rsidRPr="009E06AA" w:rsidRDefault="007523B8" w:rsidP="007523B8">
      <w:pPr>
        <w:pStyle w:val="References"/>
      </w:pPr>
      <w:r w:rsidRPr="009E06AA">
        <w:t xml:space="preserve">Burggraaf V, Benson C, Rollo M. 2022. </w:t>
      </w:r>
      <w:r w:rsidRPr="009E06AA">
        <w:rPr>
          <w:i/>
        </w:rPr>
        <w:t>Dairy cattle population model: Improving estimates of within-year population changes used in the inventory.</w:t>
      </w:r>
      <w:r w:rsidRPr="009E06AA">
        <w:t xml:space="preserve"> Report prepared for the Ministry for Primary Industries. Wellington: Ministry for Primary Industries.</w:t>
      </w:r>
    </w:p>
    <w:p w14:paraId="70BC2580" w14:textId="77777777" w:rsidR="007523B8" w:rsidRPr="009E06AA" w:rsidRDefault="007523B8" w:rsidP="007523B8">
      <w:pPr>
        <w:pStyle w:val="References"/>
      </w:pPr>
      <w:r w:rsidRPr="009E06AA">
        <w:t>Burggraaf V, Rollo M, de Klein CAM, Lio, J. Unpublished. A review of greenhouse gas emissions inventory methodology for farmed goats in New Zealand. Report prepared for the Ministry for Primary Industries by AgResearch in 2019.</w:t>
      </w:r>
    </w:p>
    <w:p w14:paraId="7CF78300" w14:textId="77777777" w:rsidR="007523B8" w:rsidRPr="009E06AA" w:rsidRDefault="007523B8" w:rsidP="007523B8">
      <w:pPr>
        <w:pStyle w:val="References"/>
      </w:pPr>
      <w:r w:rsidRPr="009E06AA">
        <w:t>Carran RA, Dewar D, Theobald PW. Unpublished. Methane and Nitrous Oxide Emissions from Sheep Dung. Report prepared for the Ministry of Agriculture and Forestry by the New Zealand Pastoral Agricultural Research Institute in 2003.</w:t>
      </w:r>
    </w:p>
    <w:p w14:paraId="3E699F98" w14:textId="77777777" w:rsidR="007523B8" w:rsidRPr="009E06AA" w:rsidRDefault="007523B8" w:rsidP="007523B8">
      <w:pPr>
        <w:pStyle w:val="References"/>
      </w:pPr>
      <w:r w:rsidRPr="009E06AA">
        <w:t>Carran RA, Theobald PW, Evans JP. 1995</w:t>
      </w:r>
      <w:r w:rsidRPr="009E06AA">
        <w:rPr>
          <w:i/>
        </w:rPr>
        <w:t xml:space="preserve">. </w:t>
      </w:r>
      <w:r w:rsidRPr="009E06AA">
        <w:t>Emissions of nitrous oxide from some grazed pasture soils in New Zealand</w:t>
      </w:r>
      <w:r w:rsidRPr="009E06AA">
        <w:rPr>
          <w:i/>
        </w:rPr>
        <w:t>.</w:t>
      </w:r>
      <w:r w:rsidRPr="009E06AA">
        <w:t xml:space="preserve"> </w:t>
      </w:r>
      <w:r w:rsidRPr="009E06AA">
        <w:rPr>
          <w:i/>
        </w:rPr>
        <w:t>Australian Journal of Soil Research</w:t>
      </w:r>
      <w:r w:rsidRPr="009E06AA">
        <w:t xml:space="preserve"> 33: 341–352.</w:t>
      </w:r>
    </w:p>
    <w:p w14:paraId="751C6926" w14:textId="77777777" w:rsidR="007523B8" w:rsidRPr="009E06AA" w:rsidRDefault="007523B8" w:rsidP="007523B8">
      <w:pPr>
        <w:pStyle w:val="References"/>
      </w:pPr>
      <w:r w:rsidRPr="009E06AA">
        <w:t xml:space="preserve">Chen D, Li Y, Kelly K, Eckard R. 2010. </w:t>
      </w:r>
      <w:r w:rsidRPr="009E06AA">
        <w:rPr>
          <w:i/>
        </w:rPr>
        <w:t>Simulation of N</w:t>
      </w:r>
      <w:r w:rsidRPr="009E06AA">
        <w:rPr>
          <w:i/>
          <w:vertAlign w:val="subscript"/>
        </w:rPr>
        <w:t>2</w:t>
      </w:r>
      <w:r w:rsidRPr="009E06AA">
        <w:rPr>
          <w:i/>
        </w:rPr>
        <w:t>O emissions from an irrigated dairy pasture treated with urea and urine in Southeastern Australia</w:t>
      </w:r>
      <w:r w:rsidRPr="009E06AA">
        <w:t xml:space="preserve">. Agriculture, Ecosystems &amp; Environment </w:t>
      </w:r>
      <w:r w:rsidRPr="009E06AA">
        <w:br/>
        <w:t>136(3–4): 333–342.</w:t>
      </w:r>
    </w:p>
    <w:p w14:paraId="5DFADC53" w14:textId="77777777" w:rsidR="007523B8" w:rsidRPr="009E06AA" w:rsidRDefault="007523B8" w:rsidP="007523B8">
      <w:pPr>
        <w:pStyle w:val="References"/>
      </w:pPr>
      <w:r w:rsidRPr="009E06AA">
        <w:t>Cichota R, Brown H, Snow VO, Wheeler DM, Hedderley D, Zyskowski R, Thomas S. 2010. A nitrogen balance model for environmental accountability in cropping systems</w:t>
      </w:r>
      <w:r w:rsidRPr="009E06AA">
        <w:rPr>
          <w:i/>
        </w:rPr>
        <w:t>.</w:t>
      </w:r>
      <w:r w:rsidRPr="009E06AA">
        <w:t xml:space="preserve"> </w:t>
      </w:r>
      <w:r w:rsidRPr="009E06AA">
        <w:rPr>
          <w:i/>
        </w:rPr>
        <w:t>New Zealand Journal of Crop and Horticultural Science</w:t>
      </w:r>
      <w:r w:rsidRPr="009E06AA">
        <w:t xml:space="preserve"> 38: 189–207. </w:t>
      </w:r>
    </w:p>
    <w:p w14:paraId="7BE3505D" w14:textId="77777777" w:rsidR="007523B8" w:rsidRPr="009E06AA" w:rsidRDefault="007523B8" w:rsidP="007523B8">
      <w:pPr>
        <w:pStyle w:val="References"/>
      </w:pPr>
      <w:r w:rsidRPr="009E06AA">
        <w:t xml:space="preserve">Clark H, Brookes I, Walcroft A. 2003. </w:t>
      </w:r>
      <w:r w:rsidRPr="009E06AA">
        <w:rPr>
          <w:i/>
        </w:rPr>
        <w:t xml:space="preserve">Enteric Methane Emissions from New Zealand Ruminants </w:t>
      </w:r>
      <w:r w:rsidRPr="009E06AA">
        <w:rPr>
          <w:i/>
        </w:rPr>
        <w:br/>
        <w:t>1990–2001 Calculated Using an IPCC Tier 2 Approach</w:t>
      </w:r>
      <w:r w:rsidRPr="009E06AA">
        <w:t>. Report prepared for the Ministry of Agriculture and Forestry by AgResearch and Massey University. Wellington: Ministry of Agriculture and Forestry.</w:t>
      </w:r>
    </w:p>
    <w:p w14:paraId="5A8EF56C" w14:textId="77777777" w:rsidR="007523B8" w:rsidRPr="009E06AA" w:rsidRDefault="007523B8" w:rsidP="007523B8">
      <w:pPr>
        <w:pStyle w:val="References"/>
      </w:pPr>
      <w:r w:rsidRPr="009E06AA">
        <w:t xml:space="preserve">Clark H. 2008a. </w:t>
      </w:r>
      <w:r w:rsidRPr="009E06AA">
        <w:rPr>
          <w:i/>
        </w:rPr>
        <w:t>A Comparison of Greenhouse Gas Emissions from the New Zealand Dairy Sector Calculated Using either a National or a Regional Approach</w:t>
      </w:r>
      <w:r w:rsidRPr="009E06AA">
        <w:t>. Report prepared for the Ministry of Agriculture and Forestry by AgResearch. Wellington: Ministry of Agriculture and Forestry.</w:t>
      </w:r>
    </w:p>
    <w:p w14:paraId="396A10F8" w14:textId="77777777" w:rsidR="007523B8" w:rsidRPr="009E06AA" w:rsidRDefault="007523B8" w:rsidP="007523B8">
      <w:pPr>
        <w:pStyle w:val="References"/>
      </w:pPr>
      <w:r w:rsidRPr="009E06AA">
        <w:t xml:space="preserve">Clark H. 2008b. </w:t>
      </w:r>
      <w:r w:rsidRPr="009E06AA">
        <w:rPr>
          <w:i/>
        </w:rPr>
        <w:t>Guidelines to Accompany Computerised Inventory</w:t>
      </w:r>
      <w:r w:rsidRPr="009E06AA">
        <w:t>. Report prepared for the Ministry of Agriculture and Forestry by AgResearch. Wellington: Ministry of Agriculture and Forestry.</w:t>
      </w:r>
    </w:p>
    <w:p w14:paraId="3519C0AD" w14:textId="77777777" w:rsidR="007523B8" w:rsidRPr="009E06AA" w:rsidRDefault="007523B8" w:rsidP="007523B8">
      <w:pPr>
        <w:pStyle w:val="References"/>
      </w:pPr>
      <w:r w:rsidRPr="009E06AA">
        <w:t xml:space="preserve">Clough, TJ. 2023. </w:t>
      </w:r>
      <w:r w:rsidRPr="009E06AA">
        <w:rPr>
          <w:i/>
        </w:rPr>
        <w:t>The Case for Including Ecopond in the New Zealand Greenhouse Gas Inventory as a Methane Mitigation Tool for Dairy Cattle Manure Management</w:t>
      </w:r>
      <w:r w:rsidRPr="009E06AA">
        <w:t xml:space="preserve">. Final report prepared for the Ministry for Primary Industries by Lincoln University. Wellington: Ministry for Primary Industries. </w:t>
      </w:r>
    </w:p>
    <w:p w14:paraId="38018ABC" w14:textId="77777777" w:rsidR="007523B8" w:rsidRPr="009E06AA" w:rsidRDefault="007523B8" w:rsidP="007523B8">
      <w:pPr>
        <w:pStyle w:val="References"/>
      </w:pPr>
      <w:r w:rsidRPr="009E06AA">
        <w:t xml:space="preserve">Clough TJ, Kelliher FM, Clark H, van der Weerden TJ. 2008. </w:t>
      </w:r>
      <w:r w:rsidRPr="009E06AA">
        <w:rPr>
          <w:i/>
        </w:rPr>
        <w:t>Incorporation of the Nitrification Inhibitor DCD into New Zealand’s 2009 National Inventory</w:t>
      </w:r>
      <w:r w:rsidRPr="009E06AA">
        <w:t>. Report prepared for the Ministry of Agriculture and Forestry by Lincoln University and AgResearch. Wellington: Ministry of Agriculture and Forestry.</w:t>
      </w:r>
    </w:p>
    <w:p w14:paraId="2E3418A1" w14:textId="77777777" w:rsidR="007523B8" w:rsidRPr="009E06AA" w:rsidRDefault="007523B8" w:rsidP="007523B8">
      <w:pPr>
        <w:pStyle w:val="References"/>
      </w:pPr>
      <w:r w:rsidRPr="009E06AA">
        <w:t>Clough TJ, Kelliher FM. Unpublished. Indirect Nitrous Oxide Emissions EF5</w:t>
      </w:r>
      <w:r w:rsidRPr="009E06AA">
        <w:rPr>
          <w:i/>
        </w:rPr>
        <w:t>.</w:t>
      </w:r>
      <w:r w:rsidRPr="009E06AA">
        <w:t xml:space="preserve"> Report prepared for the Ministry for Primary Industries by Lincoln University in 2014.</w:t>
      </w:r>
    </w:p>
    <w:p w14:paraId="1FA19329" w14:textId="77777777" w:rsidR="007523B8" w:rsidRPr="009E06AA" w:rsidRDefault="007523B8" w:rsidP="007523B8">
      <w:pPr>
        <w:pStyle w:val="References"/>
      </w:pPr>
      <w:r w:rsidRPr="009E06AA">
        <w:t xml:space="preserve">CSIRO. 1990. </w:t>
      </w:r>
      <w:r w:rsidRPr="009E06AA">
        <w:rPr>
          <w:i/>
        </w:rPr>
        <w:t>Ruminants: Feeding Standards for Australian Livestock</w:t>
      </w:r>
      <w:r w:rsidRPr="009E06AA">
        <w:t>. Victoria, Australia: Commonwealth Scientific and Industrial Research Organisation.</w:t>
      </w:r>
    </w:p>
    <w:p w14:paraId="149747FD" w14:textId="77777777" w:rsidR="007523B8" w:rsidRPr="009E06AA" w:rsidRDefault="007523B8" w:rsidP="007523B8">
      <w:pPr>
        <w:pStyle w:val="References"/>
      </w:pPr>
      <w:r w:rsidRPr="009E06AA">
        <w:t xml:space="preserve">CSIRO. 2007. </w:t>
      </w:r>
      <w:r w:rsidRPr="009E06AA">
        <w:rPr>
          <w:i/>
        </w:rPr>
        <w:t>Nutrient Requirements of Domesticated Ruminants</w:t>
      </w:r>
      <w:r w:rsidRPr="009E06AA">
        <w:t>. Victoria, Australia: Australian Agricultural Council, Ruminants Sub Committee</w:t>
      </w:r>
    </w:p>
    <w:p w14:paraId="0AB18251" w14:textId="571D0B5A" w:rsidR="007523B8" w:rsidRPr="009E06AA" w:rsidRDefault="007523B8" w:rsidP="007523B8">
      <w:pPr>
        <w:pStyle w:val="References"/>
      </w:pPr>
      <w:r w:rsidRPr="009E06AA">
        <w:t xml:space="preserve">Dairy Companies Association of New Zealand. 2022. </w:t>
      </w:r>
      <w:r w:rsidRPr="009E06AA">
        <w:rPr>
          <w:i/>
        </w:rPr>
        <w:t>Latest New Zealand Milk Production Data Report</w:t>
      </w:r>
      <w:r w:rsidRPr="009E06AA">
        <w:t xml:space="preserve">. Retrieved from </w:t>
      </w:r>
      <w:hyperlink r:id="rId119" w:history="1">
        <w:r w:rsidR="00054325" w:rsidRPr="009E06AA">
          <w:rPr>
            <w:rStyle w:val="Hyperlink"/>
          </w:rPr>
          <w:t>dcanz.com</w:t>
        </w:r>
      </w:hyperlink>
      <w:r w:rsidRPr="009E06AA">
        <w:t xml:space="preserve"> (13 February 2023).</w:t>
      </w:r>
    </w:p>
    <w:p w14:paraId="56E102E4" w14:textId="77777777" w:rsidR="007523B8" w:rsidRPr="009E06AA" w:rsidRDefault="007523B8" w:rsidP="007523B8">
      <w:pPr>
        <w:pStyle w:val="References"/>
      </w:pPr>
      <w:r w:rsidRPr="009E06AA">
        <w:t xml:space="preserve">DataGene Limited. 2023. </w:t>
      </w:r>
      <w:hyperlink r:id="rId120" w:history="1">
        <w:r w:rsidRPr="009E06AA">
          <w:rPr>
            <w:rStyle w:val="Hyperlink"/>
            <w:i/>
          </w:rPr>
          <w:t>Australian Dairy Herd Improvement Report 2023</w:t>
        </w:r>
      </w:hyperlink>
      <w:r w:rsidRPr="009E06AA">
        <w:t xml:space="preserve">. Melbourne: DataGene Limited. Retrieved 12 January 2024. </w:t>
      </w:r>
    </w:p>
    <w:p w14:paraId="1138B7C7" w14:textId="77777777" w:rsidR="007523B8" w:rsidRPr="009E06AA" w:rsidRDefault="007523B8" w:rsidP="007523B8">
      <w:pPr>
        <w:pStyle w:val="References"/>
      </w:pPr>
      <w:r w:rsidRPr="009E06AA">
        <w:t xml:space="preserve">de Klein CAM, Barton L, Sherlock RR, Li Z, Littlejohn RP. 2003. Estimating a nitrous oxide emission factor for animal urine from some New Zealand pastoral soils. </w:t>
      </w:r>
      <w:r w:rsidRPr="009E06AA">
        <w:rPr>
          <w:i/>
        </w:rPr>
        <w:t>Australian Journal of Soil Research</w:t>
      </w:r>
      <w:r w:rsidRPr="009E06AA">
        <w:t xml:space="preserve"> 41: 381–399.</w:t>
      </w:r>
    </w:p>
    <w:p w14:paraId="47EF03B1" w14:textId="77777777" w:rsidR="007523B8" w:rsidRPr="009E06AA" w:rsidRDefault="007523B8" w:rsidP="007523B8">
      <w:pPr>
        <w:pStyle w:val="References"/>
      </w:pPr>
      <w:r w:rsidRPr="009E06AA">
        <w:t>de Klein CAM, Luo J, Woodward KB, Styles T, Wise B, Lindsey S, Cox N. 2014. The effect of nitrogen concentration in synthetic cattle urine on nitrous oxide emissions</w:t>
      </w:r>
      <w:r w:rsidRPr="009E06AA">
        <w:rPr>
          <w:i/>
        </w:rPr>
        <w:t>.</w:t>
      </w:r>
      <w:r w:rsidRPr="009E06AA">
        <w:t xml:space="preserve"> </w:t>
      </w:r>
      <w:r w:rsidRPr="009E06AA">
        <w:rPr>
          <w:i/>
        </w:rPr>
        <w:t>Agriculture Ecosystems &amp; Environment</w:t>
      </w:r>
      <w:r w:rsidRPr="009E06AA">
        <w:t xml:space="preserve"> 188: 8–92.</w:t>
      </w:r>
    </w:p>
    <w:p w14:paraId="376D7232" w14:textId="77777777" w:rsidR="007523B8" w:rsidRPr="009E06AA" w:rsidRDefault="007523B8" w:rsidP="007523B8">
      <w:pPr>
        <w:pStyle w:val="References"/>
      </w:pPr>
      <w:r w:rsidRPr="009E06AA">
        <w:t xml:space="preserve">Dresser M, Hewitt A, Willoughby J, Bellis S. 2011. </w:t>
      </w:r>
      <w:r w:rsidRPr="009E06AA">
        <w:rPr>
          <w:i/>
        </w:rPr>
        <w:t>Area of Organic Soils</w:t>
      </w:r>
      <w:r w:rsidRPr="009E06AA">
        <w:t>. Report prepared for the Ministry of Agriculture and Forestry by Landcare Research. Wellington: Ministry of Agriculture and Forestry.</w:t>
      </w:r>
    </w:p>
    <w:p w14:paraId="7CC2BA48" w14:textId="77777777" w:rsidR="007523B8" w:rsidRPr="009E06AA" w:rsidRDefault="007523B8" w:rsidP="007523B8">
      <w:pPr>
        <w:pStyle w:val="References"/>
      </w:pPr>
      <w:r w:rsidRPr="009E06AA">
        <w:t xml:space="preserve">Fertiliser Association of New Zealand. 2024. </w:t>
      </w:r>
      <w:hyperlink r:id="rId121" w:history="1">
        <w:r w:rsidRPr="009E06AA">
          <w:rPr>
            <w:rStyle w:val="Hyperlink"/>
            <w:i/>
            <w:iCs/>
          </w:rPr>
          <w:t>About</w:t>
        </w:r>
      </w:hyperlink>
      <w:r w:rsidRPr="009E06AA">
        <w:t>. Retrieved 1 February 2024.</w:t>
      </w:r>
    </w:p>
    <w:p w14:paraId="55715F5B" w14:textId="77777777" w:rsidR="007523B8" w:rsidRPr="009E06AA" w:rsidRDefault="007523B8" w:rsidP="007523B8">
      <w:pPr>
        <w:pStyle w:val="References"/>
      </w:pPr>
      <w:r w:rsidRPr="009E06AA">
        <w:t xml:space="preserve">Fick J. 2010. </w:t>
      </w:r>
      <w:r w:rsidRPr="009E06AA">
        <w:rPr>
          <w:i/>
        </w:rPr>
        <w:t>Emission Estimations for the Commercial Chicken, Non-chicken and Layer Industries within New Zealand</w:t>
      </w:r>
      <w:r w:rsidRPr="009E06AA">
        <w:t>. Report prepared for the Ministry of Agriculture and Forestry by the Poultry Industry Association and Egg Producers Federation of New Zealand. Wellington: Ministry of Agriculture and Forestry.</w:t>
      </w:r>
    </w:p>
    <w:p w14:paraId="796401FE" w14:textId="77777777" w:rsidR="007523B8" w:rsidRPr="009E06AA" w:rsidRDefault="007523B8" w:rsidP="007523B8">
      <w:pPr>
        <w:pStyle w:val="References"/>
      </w:pPr>
      <w:r w:rsidRPr="009E06AA">
        <w:t xml:space="preserve">Fick J, Saggar S, Hill J, Giltrap D. 2011. </w:t>
      </w:r>
      <w:r w:rsidRPr="009E06AA">
        <w:rPr>
          <w:i/>
        </w:rPr>
        <w:t>Poultry Management in New Zealand: Production, Manure Management and Emissions Estimations for the Commercial Chicken, Turkey, Duck and Layer Industries within New Zealand</w:t>
      </w:r>
      <w:r w:rsidRPr="009E06AA">
        <w:t xml:space="preserve">. Report prepared for the Ministry of Agriculture and Forestry by Poultry Industry Association, Egg Producers Association, Landcare Research and Massey University. Wellington: Ministry of Agriculture and Forestry. </w:t>
      </w:r>
    </w:p>
    <w:p w14:paraId="0CAD689C" w14:textId="77777777" w:rsidR="007523B8" w:rsidRPr="009E06AA" w:rsidRDefault="007523B8" w:rsidP="007523B8">
      <w:pPr>
        <w:pStyle w:val="References"/>
      </w:pPr>
      <w:r w:rsidRPr="009E06AA">
        <w:t>Galbally I, Meyer C, Bentley S, Weeks I, Leuning R, Kelly K, Phillips F, Barker-Reid F, Gates W, Baigent R, Eckard R, Grace P. 2005. A study of environmental and management drivers of non-CO</w:t>
      </w:r>
      <w:r w:rsidRPr="009E06AA">
        <w:rPr>
          <w:vertAlign w:val="subscript"/>
        </w:rPr>
        <w:t>2</w:t>
      </w:r>
      <w:r w:rsidRPr="009E06AA">
        <w:t xml:space="preserve"> greenhouse gas emissions in Australian agroecosystems. </w:t>
      </w:r>
      <w:r w:rsidRPr="009E06AA">
        <w:rPr>
          <w:i/>
        </w:rPr>
        <w:t>Environmental Sciences</w:t>
      </w:r>
      <w:r w:rsidRPr="009E06AA">
        <w:t xml:space="preserve"> 2(2­3): 133–142.</w:t>
      </w:r>
    </w:p>
    <w:p w14:paraId="7392DB8C" w14:textId="77777777" w:rsidR="007523B8" w:rsidRPr="009E06AA" w:rsidRDefault="007523B8" w:rsidP="007523B8">
      <w:pPr>
        <w:pStyle w:val="References"/>
      </w:pPr>
      <w:r w:rsidRPr="009E06AA">
        <w:t xml:space="preserve">Geddes A, Mikaloff-Fletcher S, Schaefer H, Smale D, Brailsford G, Law R, Ausseil A. 2021. </w:t>
      </w:r>
      <w:r w:rsidRPr="009E06AA">
        <w:rPr>
          <w:i/>
        </w:rPr>
        <w:t>Atmospheric methane modelling: Evaluating Regional Methane Emission Using Inverse Modelling</w:t>
      </w:r>
      <w:r w:rsidRPr="009E06AA">
        <w:t>. MPI Technical Paper No: 2021/02. Report prepared for the Ministry for Primary Industries by NIWA and Landcare Research in 2020.</w:t>
      </w:r>
    </w:p>
    <w:p w14:paraId="63FD7082" w14:textId="77777777" w:rsidR="007523B8" w:rsidRPr="009E06AA" w:rsidRDefault="007523B8" w:rsidP="007523B8">
      <w:pPr>
        <w:pStyle w:val="References"/>
      </w:pPr>
      <w:r w:rsidRPr="009E06AA">
        <w:t>Giltrap D, McNeill S, Vickers S. Unpublished. Development of infrastructure to calculate agricultural greenhouse gas inventory emissions uncertainty in-house. Report prepared for the Ministry for Primary Industries by Landcare Research and RSV Consulting Ltd in 2016.</w:t>
      </w:r>
    </w:p>
    <w:p w14:paraId="0CD225BD" w14:textId="77777777" w:rsidR="007523B8" w:rsidRPr="009E06AA" w:rsidRDefault="007523B8" w:rsidP="007523B8">
      <w:pPr>
        <w:pStyle w:val="References"/>
      </w:pPr>
      <w:r w:rsidRPr="009E06AA">
        <w:t xml:space="preserve">Giltrap D, McNeill S. 2020. </w:t>
      </w:r>
      <w:r w:rsidRPr="009E06AA">
        <w:rPr>
          <w:i/>
        </w:rPr>
        <w:t>Revised pasture quality analysis in the agricultural greenhouse gas inventory</w:t>
      </w:r>
      <w:r w:rsidRPr="009E06AA">
        <w:t xml:space="preserve">. MPI Technical Paper No: 2021/01. Report prepared for the Ministry for Primary Industries by Manaaki Whenua – Landcare Research. Wellington: Ministry for Primary Industries. </w:t>
      </w:r>
    </w:p>
    <w:p w14:paraId="74FE7675" w14:textId="77777777" w:rsidR="007523B8" w:rsidRPr="009E06AA" w:rsidRDefault="007523B8" w:rsidP="007523B8">
      <w:pPr>
        <w:pStyle w:val="References"/>
      </w:pPr>
      <w:r w:rsidRPr="009E06AA">
        <w:t>Grainger C, Clarke T, McGinn SM, Auldist MJ, Beauchemin KA, Hannah MC, Waghorn GC, Clark H, Eckard RJ. 2007. Methane emissions from dairy cows measured with sulphur hexafluoride (SF6) tracer and chamber techniques</w:t>
      </w:r>
      <w:r w:rsidRPr="009E06AA">
        <w:rPr>
          <w:i/>
        </w:rPr>
        <w:t>. Journal of Dairy Science</w:t>
      </w:r>
      <w:r w:rsidRPr="009E06AA">
        <w:t xml:space="preserve"> 90(6): 2755–2766.</w:t>
      </w:r>
    </w:p>
    <w:p w14:paraId="61136C8D" w14:textId="77777777" w:rsidR="007523B8" w:rsidRPr="009E06AA" w:rsidRDefault="007523B8" w:rsidP="007523B8">
      <w:pPr>
        <w:pStyle w:val="References"/>
      </w:pPr>
      <w:r w:rsidRPr="009E06AA">
        <w:t>Henderson H, Cameron C. Unpublished. Review of the Methodology for Alpaca Population Estimations Used in the National Greenhouse Gas Inventory. Report prepared for the Ministry of Agriculture and Forestry in 2010.</w:t>
      </w:r>
    </w:p>
    <w:p w14:paraId="4138356A" w14:textId="77777777" w:rsidR="007523B8" w:rsidRPr="009E06AA" w:rsidRDefault="007523B8" w:rsidP="007523B8">
      <w:pPr>
        <w:pStyle w:val="References"/>
      </w:pPr>
      <w:r w:rsidRPr="009E06AA">
        <w:t xml:space="preserve">Hill, J. 2012. </w:t>
      </w:r>
      <w:r w:rsidRPr="009E06AA">
        <w:rPr>
          <w:i/>
        </w:rPr>
        <w:t>Recalculate Pork Industry Emissions Inventory</w:t>
      </w:r>
      <w:r w:rsidRPr="009E06AA">
        <w:t>. Report prepared for the Ministry of Agriculture and Forestry by Massey University and the New Zealand Pork Industry Board. Wellington: Ministry of Agriculture and Forestry.</w:t>
      </w:r>
    </w:p>
    <w:p w14:paraId="2465F555" w14:textId="77777777" w:rsidR="007523B8" w:rsidRPr="009E06AA" w:rsidRDefault="007523B8" w:rsidP="007523B8">
      <w:pPr>
        <w:pStyle w:val="References"/>
      </w:pPr>
      <w:r w:rsidRPr="009E06AA">
        <w:t xml:space="preserve">Hoogendoorn CJ, de Klein CAM, Rutherford AJ, Letica S, Devantier BP. 2008. The effect of increasing rates of nitrogen fertiliser and a nitrification inhibitor on the nitrous oxide emissions from urine patches on sheep grazed hill country pasture. </w:t>
      </w:r>
      <w:r w:rsidRPr="009E06AA">
        <w:rPr>
          <w:i/>
        </w:rPr>
        <w:t>Australian Journal of Experimental Agriculture</w:t>
      </w:r>
      <w:r w:rsidRPr="009E06AA">
        <w:t xml:space="preserve"> 48(2): 147–151.</w:t>
      </w:r>
    </w:p>
    <w:p w14:paraId="76817ED7" w14:textId="77777777" w:rsidR="007523B8" w:rsidRPr="009E06AA" w:rsidRDefault="007523B8" w:rsidP="007523B8">
      <w:pPr>
        <w:pStyle w:val="References"/>
      </w:pPr>
      <w:r w:rsidRPr="009E06AA">
        <w:t xml:space="preserve">Hoogendoorn CJ, Luo J, van der Weerden T, Saggar S, Wise B, Lloyd-West C, Judge A. 2013. </w:t>
      </w:r>
      <w:r w:rsidRPr="009E06AA">
        <w:rPr>
          <w:i/>
        </w:rPr>
        <w:t>Evaluation of beef cattle excreta nitrous oxide emission factors</w:t>
      </w:r>
      <w:r w:rsidRPr="009E06AA">
        <w:t>. Report prepared for the Ministry for Primary Industries by AgResearch in 2013. Wellington: Ministry for Primary Industries.</w:t>
      </w:r>
    </w:p>
    <w:p w14:paraId="60EBEA73" w14:textId="77777777" w:rsidR="007523B8" w:rsidRPr="009E06AA" w:rsidRDefault="007523B8" w:rsidP="007523B8">
      <w:pPr>
        <w:pStyle w:val="References"/>
      </w:pPr>
      <w:r w:rsidRPr="009E06AA">
        <w:t xml:space="preserve">IPCC. 1996. Houghton JT, Meira Filho LG, Lim B, Treanton K, Mamaty I, Bonduki Y, Griggs DJ, Callender BA (eds). </w:t>
      </w:r>
      <w:r w:rsidRPr="009E06AA">
        <w:rPr>
          <w:i/>
        </w:rPr>
        <w:t>IPCC/OECD/IEA. Revised 1996 IPCC Guidelines for National Greenhouse Gas Inventories</w:t>
      </w:r>
      <w:r w:rsidRPr="009E06AA">
        <w:t>. Bracknell: United Kingdom Meteorological Office.</w:t>
      </w:r>
    </w:p>
    <w:p w14:paraId="558E30CB" w14:textId="77777777" w:rsidR="007523B8" w:rsidRPr="009E06AA" w:rsidRDefault="007523B8" w:rsidP="007523B8">
      <w:pPr>
        <w:pStyle w:val="References"/>
      </w:pPr>
      <w:r w:rsidRPr="009E06AA">
        <w:t xml:space="preserve">IPCC. 2000. Penman J, Kruger D, Galbally I, Hiraishi T, Nyenzi B, Emmanuel S, Buendia L, Hoppaus R, Martinsen T, Meijer J, Miwa K, Tanabe K (eds). </w:t>
      </w:r>
      <w:r w:rsidRPr="009E06AA">
        <w:rPr>
          <w:i/>
        </w:rPr>
        <w:t>Good Practice Guidance and Uncertainty Management in National Greenhouse Gas Inventories</w:t>
      </w:r>
      <w:r w:rsidRPr="009E06AA">
        <w:t>. IPCC National Greenhouse Gas Inventories Programme. Published for the IPCC by the Institute for Global Environmental Strategies: Japan.</w:t>
      </w:r>
    </w:p>
    <w:p w14:paraId="4AF2AE9E" w14:textId="77777777" w:rsidR="007523B8" w:rsidRPr="009E06AA" w:rsidRDefault="007523B8" w:rsidP="007523B8">
      <w:pPr>
        <w:pStyle w:val="References"/>
      </w:pPr>
      <w:r w:rsidRPr="009E06AA">
        <w:t xml:space="preserve">IPCC. 2006. Eggleston HS, Buendia L, Miwa K, Ngara T, Tanabe K (eds). </w:t>
      </w:r>
      <w:r w:rsidRPr="009E06AA">
        <w:rPr>
          <w:i/>
        </w:rPr>
        <w:t>2006 IPCC Guidelines for National Greenhouse Gas Inventories. Volume 4. Agriculture, Forestry and Other Land Use</w:t>
      </w:r>
      <w:r w:rsidRPr="009E06AA">
        <w:t>. IPCC National Greenhouse Gas Inventories Programme. Published for the IPCC by the Institute for Global Environmental Strategies: Japan.</w:t>
      </w:r>
    </w:p>
    <w:p w14:paraId="5B21B931" w14:textId="77777777" w:rsidR="007523B8" w:rsidRPr="009E06AA" w:rsidRDefault="007523B8" w:rsidP="007523B8">
      <w:pPr>
        <w:pStyle w:val="References"/>
      </w:pPr>
      <w:r w:rsidRPr="009E06AA">
        <w:t xml:space="preserve">IPCC. 2007. Forster P, Ramaswamy V, Artaxo P, Berntsen T, Betts R, Fahey DW, Haywood J, Lean J, Lowe DC, Myhre G, Nganga J, Prinn R, Raga G, Schulz M, Van Dorland R. </w:t>
      </w:r>
      <w:r w:rsidRPr="009E06AA">
        <w:rPr>
          <w:i/>
          <w:iCs/>
        </w:rPr>
        <w:t>Changes in Atmospheric Constituents and in Radiative Forcing</w:t>
      </w:r>
      <w:r w:rsidRPr="009E06AA">
        <w:t xml:space="preserve">. In: S Solomon, D Qin, M Manning, Z Chen, M Marquis, KB Averyt, M Tignor and HL Miller (eds) Climate Change 2007: The Physical Science Basis. Contribution of Working Group I to the Fourth Assessment Report of the Intergovernmental Panel on Climate Change. Cambridge: Cambridge University Press. </w:t>
      </w:r>
    </w:p>
    <w:p w14:paraId="37CA65D1" w14:textId="1E0E8F04" w:rsidR="007523B8" w:rsidRPr="009E06AA" w:rsidRDefault="007523B8" w:rsidP="007523B8">
      <w:pPr>
        <w:pStyle w:val="References"/>
      </w:pPr>
      <w:r w:rsidRPr="009E06AA">
        <w:t xml:space="preserve">IPCC. 2013. </w:t>
      </w:r>
      <w:r w:rsidR="004655C5" w:rsidRPr="009E06AA">
        <w:t>Stocker TF, Qin D, Plattner G-K, Tignor M, Allen SK, Boschung J, Nauels</w:t>
      </w:r>
      <w:r w:rsidR="007378EC" w:rsidRPr="009E06AA">
        <w:t xml:space="preserve"> A</w:t>
      </w:r>
      <w:r w:rsidR="004655C5" w:rsidRPr="009E06AA">
        <w:t>, Xia</w:t>
      </w:r>
      <w:r w:rsidR="007378EC" w:rsidRPr="009E06AA">
        <w:t xml:space="preserve"> Y</w:t>
      </w:r>
      <w:r w:rsidR="004655C5" w:rsidRPr="009E06AA">
        <w:t xml:space="preserve">, Bex </w:t>
      </w:r>
      <w:r w:rsidR="007378EC" w:rsidRPr="009E06AA">
        <w:t>V,</w:t>
      </w:r>
      <w:r w:rsidR="004655C5" w:rsidRPr="009E06AA">
        <w:t xml:space="preserve"> Midgley </w:t>
      </w:r>
      <w:r w:rsidR="007378EC" w:rsidRPr="009E06AA">
        <w:t xml:space="preserve">PM </w:t>
      </w:r>
      <w:r w:rsidR="004655C5" w:rsidRPr="009E06AA">
        <w:t>(eds)</w:t>
      </w:r>
      <w:r w:rsidR="007378EC" w:rsidRPr="009E06AA">
        <w:t>.</w:t>
      </w:r>
      <w:r w:rsidR="004655C5" w:rsidRPr="009E06AA">
        <w:t xml:space="preserve"> </w:t>
      </w:r>
      <w:r w:rsidRPr="009E06AA">
        <w:rPr>
          <w:i/>
          <w:iCs/>
        </w:rPr>
        <w:t>Climate Change 2013:</w:t>
      </w:r>
      <w:r w:rsidRPr="009E06AA">
        <w:t xml:space="preserve"> </w:t>
      </w:r>
      <w:r w:rsidRPr="009E06AA">
        <w:rPr>
          <w:i/>
          <w:iCs/>
        </w:rPr>
        <w:t>The Physical Science Basis. Contribution of Working Group I to the Fifth Assessment Report of the Intergovernmental Panel on Climate Change</w:t>
      </w:r>
      <w:r w:rsidRPr="009E06AA">
        <w:t xml:space="preserve">. </w:t>
      </w:r>
      <w:r w:rsidR="007378EC" w:rsidRPr="009E06AA">
        <w:t xml:space="preserve">Cambridge: </w:t>
      </w:r>
      <w:r w:rsidRPr="009E06AA">
        <w:t xml:space="preserve">Cambridge University Press. </w:t>
      </w:r>
    </w:p>
    <w:p w14:paraId="6AB0D4AC" w14:textId="77777777" w:rsidR="007523B8" w:rsidRPr="009E06AA" w:rsidRDefault="007523B8" w:rsidP="007523B8">
      <w:pPr>
        <w:pStyle w:val="References"/>
        <w:rPr>
          <w:rFonts w:cs="Calibri"/>
          <w:szCs w:val="20"/>
        </w:rPr>
      </w:pPr>
      <w:r w:rsidRPr="009E06AA">
        <w:rPr>
          <w:rFonts w:cs="Calibri"/>
          <w:szCs w:val="20"/>
        </w:rPr>
        <w:t xml:space="preserve">IPCC. 2014. Hiraishi T, Krug T, Tanabe K, Srivastava N, Baasansuren J, Fukuda M, Troxler TG (eds). </w:t>
      </w:r>
      <w:r w:rsidRPr="009E06AA">
        <w:rPr>
          <w:rFonts w:cs="Calibri"/>
          <w:i/>
          <w:szCs w:val="20"/>
        </w:rPr>
        <w:t>2013 Supplement to the 2006 IPCC Guidelines for National Greenhouse Gas Inventories: Wetlands</w:t>
      </w:r>
      <w:r w:rsidRPr="009E06AA">
        <w:rPr>
          <w:rFonts w:cs="Calibri"/>
          <w:szCs w:val="20"/>
        </w:rPr>
        <w:t>. Switzerland: IPCC.</w:t>
      </w:r>
    </w:p>
    <w:p w14:paraId="1CDBAAD8" w14:textId="77777777" w:rsidR="007523B8" w:rsidRPr="009E06AA" w:rsidRDefault="007523B8" w:rsidP="007523B8">
      <w:pPr>
        <w:pStyle w:val="References"/>
      </w:pPr>
      <w:r w:rsidRPr="009E06AA">
        <w:t xml:space="preserve">IPCC. 2019. Calvo Buendia E, Tanabe K, Kranjc A, Baasansuren J, Fukuda M, Ngarize S, Osako A, Pyrozhenko Y, Shermanau P, Federici S (eds). </w:t>
      </w:r>
      <w:r w:rsidRPr="009E06AA">
        <w:rPr>
          <w:i/>
        </w:rPr>
        <w:t>2019 Refinement to the 2006 IPCC Guidelines for National Greenhouse Gas Inventories</w:t>
      </w:r>
      <w:r w:rsidRPr="009E06AA">
        <w:t>. Switzerland: IPCC.</w:t>
      </w:r>
    </w:p>
    <w:p w14:paraId="3235EA93" w14:textId="77777777" w:rsidR="007523B8" w:rsidRPr="009E06AA" w:rsidRDefault="007523B8" w:rsidP="007523B8">
      <w:pPr>
        <w:pStyle w:val="References"/>
      </w:pPr>
      <w:r w:rsidRPr="009E06AA">
        <w:t xml:space="preserve">Kelliher FM, Clark H, Smith MH, Lassey KR, Sedcole R. 2009. </w:t>
      </w:r>
      <w:r w:rsidRPr="009E06AA">
        <w:rPr>
          <w:i/>
        </w:rPr>
        <w:t>Reducing Uncertainty of the Enteric Methane Emissions Inventory</w:t>
      </w:r>
      <w:r w:rsidRPr="009E06AA">
        <w:t>. Report prepared for the Ministry of Agriculture and Forestry by Lincoln University, National Institute of Water and Atmospheric Research and AgResearch. Wellington: Ministry of Agriculture and Forestry.</w:t>
      </w:r>
    </w:p>
    <w:p w14:paraId="5974D587" w14:textId="77777777" w:rsidR="007523B8" w:rsidRPr="009E06AA" w:rsidRDefault="007523B8" w:rsidP="007523B8">
      <w:pPr>
        <w:pStyle w:val="References"/>
      </w:pPr>
      <w:r w:rsidRPr="009E06AA">
        <w:t xml:space="preserve">Kelliher FM, Cox N, van der Weerden TJ, de Klein CAM, Luo J, Cameron KC, Di HJ, Giltrap D, Rys G. 2014. Statistical analysis of nitrous oxide emission factors from pastoral agriculture field trials conducted in New Zealand. </w:t>
      </w:r>
      <w:r w:rsidRPr="009E06AA">
        <w:rPr>
          <w:i/>
        </w:rPr>
        <w:t>Environmental Pollution</w:t>
      </w:r>
      <w:r w:rsidRPr="009E06AA">
        <w:t xml:space="preserve"> 186: 63–66.</w:t>
      </w:r>
    </w:p>
    <w:p w14:paraId="72308ADC" w14:textId="77777777" w:rsidR="007523B8" w:rsidRPr="009E06AA" w:rsidRDefault="007523B8" w:rsidP="007523B8">
      <w:pPr>
        <w:pStyle w:val="References"/>
      </w:pPr>
      <w:r w:rsidRPr="009E06AA">
        <w:t>Kelliher FM, de Klein CAM. Unpublished. Review of New Zealand’s Fertiliser Nitrous Oxide Emission Factor (EF</w:t>
      </w:r>
      <w:r w:rsidRPr="009E06AA">
        <w:rPr>
          <w:vertAlign w:val="subscript"/>
        </w:rPr>
        <w:t>1</w:t>
      </w:r>
      <w:r w:rsidRPr="009E06AA">
        <w:t>) Data. Report prepared for the Ministry for the Environment by Landcare Research and AgResearch in 2006.</w:t>
      </w:r>
    </w:p>
    <w:p w14:paraId="4B4C0C90" w14:textId="77777777" w:rsidR="007523B8" w:rsidRPr="009E06AA" w:rsidRDefault="007523B8" w:rsidP="007523B8">
      <w:pPr>
        <w:pStyle w:val="References"/>
      </w:pPr>
      <w:r w:rsidRPr="009E06AA">
        <w:t xml:space="preserve">Kelliher FM, Henderson H and Cox N. 2017. The uncertainty of nitrous oxide emissions from grazed grasslands: A New Zealand case study. </w:t>
      </w:r>
      <w:r w:rsidRPr="009E06AA">
        <w:rPr>
          <w:i/>
        </w:rPr>
        <w:t>Atmospheric Environment</w:t>
      </w:r>
      <w:r w:rsidRPr="009E06AA">
        <w:t xml:space="preserve"> 148: 329–336.</w:t>
      </w:r>
    </w:p>
    <w:p w14:paraId="3F8AC6DB" w14:textId="77777777" w:rsidR="007523B8" w:rsidRPr="009E06AA" w:rsidRDefault="007523B8" w:rsidP="007523B8">
      <w:pPr>
        <w:pStyle w:val="References"/>
      </w:pPr>
      <w:r w:rsidRPr="009E06AA">
        <w:t xml:space="preserve">Kuikman PJ, van der Hoek KW, Smit A, Zwart K. 2006. Update of emission factors for nitrous oxide from agricultural soils on the basis of measurements in the Netherlands. </w:t>
      </w:r>
      <w:r w:rsidRPr="009E06AA">
        <w:rPr>
          <w:i/>
        </w:rPr>
        <w:t>Alterra Report 1217</w:t>
      </w:r>
      <w:r w:rsidRPr="009E06AA">
        <w:t>. Wageningen, The Netherlands: Alterra.</w:t>
      </w:r>
    </w:p>
    <w:p w14:paraId="49FB9188" w14:textId="77777777" w:rsidR="007523B8" w:rsidRPr="009E06AA" w:rsidRDefault="007523B8" w:rsidP="007523B8">
      <w:pPr>
        <w:pStyle w:val="References"/>
      </w:pPr>
      <w:r w:rsidRPr="009E06AA">
        <w:t xml:space="preserve">Lassey K. 2011. </w:t>
      </w:r>
      <w:r w:rsidRPr="009E06AA">
        <w:rPr>
          <w:i/>
        </w:rPr>
        <w:t>Methane Emissions and Nitrogen Excretion Rates for New Zealand Goats</w:t>
      </w:r>
      <w:r w:rsidRPr="009E06AA">
        <w:t xml:space="preserve">. Report for the Ministry of Agriculture and Forestry, National Institute of Water and Atmospheric Research. Wellington: National Institute of Water and Atmospheric Research. </w:t>
      </w:r>
    </w:p>
    <w:p w14:paraId="530ADD4E" w14:textId="77777777" w:rsidR="007523B8" w:rsidRPr="009E06AA" w:rsidRDefault="007523B8" w:rsidP="007523B8">
      <w:pPr>
        <w:pStyle w:val="References"/>
      </w:pPr>
      <w:r w:rsidRPr="009E06AA">
        <w:t xml:space="preserve">Lassey KR, Ulyatt MJ, Martin RJ, Walker CF, Shelton ID. 1997. Methane emissions measured directly from grazing livestock in New Zealand. </w:t>
      </w:r>
      <w:r w:rsidRPr="009E06AA">
        <w:rPr>
          <w:i/>
        </w:rPr>
        <w:t>Atmospheric Environment</w:t>
      </w:r>
      <w:r w:rsidRPr="009E06AA">
        <w:t xml:space="preserve"> 31: 2905–2914.</w:t>
      </w:r>
    </w:p>
    <w:p w14:paraId="62D8DD70" w14:textId="77777777" w:rsidR="007523B8" w:rsidRPr="009E06AA" w:rsidRDefault="007523B8" w:rsidP="007523B8">
      <w:pPr>
        <w:pStyle w:val="References"/>
      </w:pPr>
      <w:r w:rsidRPr="009E06AA">
        <w:t xml:space="preserve">Laubach J, Grover SPP, Taghizadeh-Toosi A, Sherlock RR, Gibbs J, Kelliher FM. 2012. </w:t>
      </w:r>
      <w:r w:rsidRPr="009E06AA">
        <w:rPr>
          <w:i/>
        </w:rPr>
        <w:t>Ammonium from Animal Excreta</w:t>
      </w:r>
      <w:r w:rsidRPr="009E06AA">
        <w:t xml:space="preserve">. MPI Technical Paper No: 2012/41. Wellington: Ministry for Primary Industries. </w:t>
      </w:r>
    </w:p>
    <w:p w14:paraId="34B4054E" w14:textId="77777777" w:rsidR="007523B8" w:rsidRPr="009E06AA" w:rsidRDefault="007523B8" w:rsidP="007523B8">
      <w:pPr>
        <w:pStyle w:val="References"/>
      </w:pPr>
      <w:r w:rsidRPr="009E06AA">
        <w:t xml:space="preserve">Laubach J, Kelliher FM. 2004. Measuring methane emission rates of a dairy cow herd by two micrometeorological techniques. </w:t>
      </w:r>
      <w:r w:rsidRPr="009E06AA">
        <w:rPr>
          <w:i/>
        </w:rPr>
        <w:t>Agricultural and Forest Meteorology</w:t>
      </w:r>
      <w:r w:rsidRPr="009E06AA">
        <w:t xml:space="preserve"> 125: 279–303.</w:t>
      </w:r>
    </w:p>
    <w:p w14:paraId="793C3F39" w14:textId="77777777" w:rsidR="007523B8" w:rsidRPr="009E06AA" w:rsidRDefault="007523B8" w:rsidP="007523B8">
      <w:pPr>
        <w:pStyle w:val="References"/>
      </w:pPr>
      <w:r w:rsidRPr="009E06AA">
        <w:t xml:space="preserve">Ledgard SF, Luo J, Sprosen MS, Wyatt J, Balvert S, Lindsey S. 2014. Effects of the nitrification inhibitor dicyandiamide (DCD) on pasture production, nitrous oxide emissions and nitrate leaching in Waikato, New Zealand. </w:t>
      </w:r>
      <w:r w:rsidRPr="009E06AA">
        <w:rPr>
          <w:i/>
        </w:rPr>
        <w:t>New Zealand Journal of Agricultural Research</w:t>
      </w:r>
      <w:r w:rsidRPr="009E06AA">
        <w:t xml:space="preserve"> 57(4): 294–315.</w:t>
      </w:r>
    </w:p>
    <w:p w14:paraId="17526F43" w14:textId="77777777" w:rsidR="007523B8" w:rsidRPr="009E06AA" w:rsidRDefault="007523B8" w:rsidP="007523B8">
      <w:pPr>
        <w:pStyle w:val="References"/>
      </w:pPr>
      <w:r w:rsidRPr="009E06AA">
        <w:t xml:space="preserve">LIC (Livestock Improvement Corporation Limited) and DairyNZ. 2023. </w:t>
      </w:r>
      <w:hyperlink r:id="rId122" w:history="1">
        <w:r w:rsidRPr="009E06AA">
          <w:rPr>
            <w:rStyle w:val="Hyperlink"/>
            <w:i/>
          </w:rPr>
          <w:t xml:space="preserve">New Zealand Dairy Statistics </w:t>
        </w:r>
        <w:r w:rsidRPr="009E06AA">
          <w:rPr>
            <w:rStyle w:val="Hyperlink"/>
            <w:i/>
          </w:rPr>
          <w:br/>
          <w:t>2022–2023</w:t>
        </w:r>
      </w:hyperlink>
      <w:r w:rsidRPr="009E06AA">
        <w:t>. Hamilton: DairyNZ. Retrieved 9 December 2023.</w:t>
      </w:r>
    </w:p>
    <w:p w14:paraId="50831310" w14:textId="6F583865" w:rsidR="007523B8" w:rsidRPr="009E06AA" w:rsidRDefault="007523B8" w:rsidP="007523B8">
      <w:pPr>
        <w:pStyle w:val="References"/>
      </w:pPr>
      <w:r w:rsidRPr="009E06AA">
        <w:t xml:space="preserve">LIC. 2009. </w:t>
      </w:r>
      <w:hyperlink r:id="rId123" w:history="1">
        <w:r w:rsidRPr="009E06AA">
          <w:rPr>
            <w:rStyle w:val="Hyperlink"/>
            <w:i/>
          </w:rPr>
          <w:t>100 Years of Herd Testing</w:t>
        </w:r>
      </w:hyperlink>
      <w:r w:rsidRPr="009E06AA">
        <w:t>. Hamilton: Livestock Improvement Corporation Limited. Retrieved 5</w:t>
      </w:r>
      <w:r w:rsidR="00245C00" w:rsidRPr="009E06AA">
        <w:t> </w:t>
      </w:r>
      <w:r w:rsidRPr="009E06AA">
        <w:t>January 2022.</w:t>
      </w:r>
    </w:p>
    <w:p w14:paraId="4F7F2FB8" w14:textId="77777777" w:rsidR="007523B8" w:rsidRPr="009E06AA" w:rsidRDefault="007523B8" w:rsidP="007523B8">
      <w:pPr>
        <w:pStyle w:val="References"/>
      </w:pPr>
      <w:r w:rsidRPr="009E06AA">
        <w:t xml:space="preserve">Luo J, Hoogendoorn C, van der Weerden T, Saggar S, de Klein C, Giltrap D. 2016. </w:t>
      </w:r>
      <w:r w:rsidRPr="009E06AA">
        <w:rPr>
          <w:i/>
        </w:rPr>
        <w:t>Nitrous oxide emission factors for animal excreta deposited on hill country steep slopes</w:t>
      </w:r>
      <w:r w:rsidRPr="009E06AA">
        <w:t>. Report prepared for the Ministry for Primary Industries by AgResearch Ltd. Wellington: Ministry for Primary Industries.</w:t>
      </w:r>
    </w:p>
    <w:p w14:paraId="5D5676B1" w14:textId="77777777" w:rsidR="007523B8" w:rsidRPr="009E06AA" w:rsidRDefault="007523B8" w:rsidP="007523B8">
      <w:pPr>
        <w:pStyle w:val="References"/>
      </w:pPr>
      <w:r w:rsidRPr="009E06AA">
        <w:t xml:space="preserve">Luo J, Hoogendoorn C, van der Weerden TJ, Saggar S, de Klein CAM, Giltrap D, Rollo M, Rys G. 2013. Nitrous oxide emissions from grazed hill land in New Zealand. </w:t>
      </w:r>
      <w:r w:rsidRPr="009E06AA">
        <w:rPr>
          <w:i/>
        </w:rPr>
        <w:t>Agriculture Ecosystems &amp; Environment</w:t>
      </w:r>
      <w:r w:rsidRPr="009E06AA">
        <w:t xml:space="preserve"> 181: 58–68.</w:t>
      </w:r>
    </w:p>
    <w:p w14:paraId="59143DC4" w14:textId="77777777" w:rsidR="007523B8" w:rsidRPr="009E06AA" w:rsidRDefault="007523B8" w:rsidP="007523B8">
      <w:pPr>
        <w:pStyle w:val="References"/>
      </w:pPr>
      <w:r w:rsidRPr="009E06AA">
        <w:t xml:space="preserve">Luo J, Saggar S, van der Weerden T, de Klein C. 2019a. Quantification of nitrous oxide emissions and emission factors from beef and dairy cattle excreta deposited on grazed pastoral hill lands. </w:t>
      </w:r>
      <w:r w:rsidRPr="009E06AA">
        <w:rPr>
          <w:i/>
        </w:rPr>
        <w:t>Agriculture, Ecosystems &amp; Environment</w:t>
      </w:r>
      <w:r w:rsidRPr="009E06AA">
        <w:t xml:space="preserve"> 270–271: 103–113.</w:t>
      </w:r>
    </w:p>
    <w:p w14:paraId="78925D65" w14:textId="77777777" w:rsidR="007523B8" w:rsidRPr="009E06AA" w:rsidRDefault="007523B8" w:rsidP="007523B8">
      <w:pPr>
        <w:pStyle w:val="References"/>
        <w:rPr>
          <w:rFonts w:cs="Calibri"/>
          <w:highlight w:val="yellow"/>
        </w:rPr>
      </w:pPr>
      <w:r w:rsidRPr="009E06AA">
        <w:rPr>
          <w:rFonts w:cs="Calibri"/>
        </w:rPr>
        <w:t xml:space="preserve">Luo J, van der Weerden T, Saggar S, de Klein C, Rollo M, Longhurst B. 2019b. </w:t>
      </w:r>
      <w:r w:rsidRPr="009E06AA">
        <w:rPr>
          <w:rFonts w:cs="Calibri"/>
          <w:i/>
          <w:iCs/>
        </w:rPr>
        <w:t>Refining New Zealand’s GHG Inventory Methodology: Manure Management – Final report</w:t>
      </w:r>
      <w:r w:rsidRPr="009E06AA">
        <w:rPr>
          <w:rFonts w:cs="Calibri"/>
        </w:rPr>
        <w:t>. Prepared for the Ministry for Primary Industries by AgResearch Ltd. Wellington: Ministry for Primary Industries.</w:t>
      </w:r>
    </w:p>
    <w:p w14:paraId="2215D9B0" w14:textId="77777777" w:rsidR="007523B8" w:rsidRPr="009E06AA" w:rsidRDefault="007523B8" w:rsidP="007523B8">
      <w:pPr>
        <w:pStyle w:val="References"/>
      </w:pPr>
      <w:r w:rsidRPr="009E06AA">
        <w:t xml:space="preserve">Luo J, Saggar S, van der Weerden T, Hong D, Lindsey S, Ouyang L, Luo D. 2023. </w:t>
      </w:r>
      <w:r w:rsidRPr="009E06AA">
        <w:rPr>
          <w:i/>
        </w:rPr>
        <w:t>N2O emission factors EF1 for fertilisers</w:t>
      </w:r>
      <w:r w:rsidRPr="009E06AA">
        <w:t>.</w:t>
      </w:r>
      <w:r w:rsidRPr="009E06AA">
        <w:rPr>
          <w:i/>
        </w:rPr>
        <w:t xml:space="preserve"> </w:t>
      </w:r>
      <w:r w:rsidRPr="009E06AA">
        <w:t xml:space="preserve">Final report prepared for the Ministry for Primary Industries by AgResearch. Wellington: Ministry for Primary Industries. </w:t>
      </w:r>
    </w:p>
    <w:p w14:paraId="3B4D014A" w14:textId="77777777" w:rsidR="007523B8" w:rsidRPr="009E06AA" w:rsidRDefault="007523B8" w:rsidP="007523B8">
      <w:pPr>
        <w:pStyle w:val="References"/>
      </w:pPr>
      <w:r w:rsidRPr="009E06AA">
        <w:t>Marsden KA, Holmberg JA, Jones DL, Chadwick DR. 2018. Sheep urine patch N</w:t>
      </w:r>
      <w:r w:rsidRPr="009E06AA">
        <w:rPr>
          <w:vertAlign w:val="subscript"/>
        </w:rPr>
        <w:t>2</w:t>
      </w:r>
      <w:r w:rsidRPr="009E06AA">
        <w:t xml:space="preserve">O emissions are lower from extensively-managed than intensively-managed grasslands. </w:t>
      </w:r>
      <w:r w:rsidRPr="009E06AA">
        <w:rPr>
          <w:i/>
        </w:rPr>
        <w:t>Agriculture Ecosystems &amp; Environment</w:t>
      </w:r>
      <w:r w:rsidRPr="009E06AA">
        <w:t xml:space="preserve"> 265: 264–274.</w:t>
      </w:r>
    </w:p>
    <w:p w14:paraId="1437513F" w14:textId="77777777" w:rsidR="007523B8" w:rsidRPr="009E06AA" w:rsidRDefault="007523B8" w:rsidP="007523B8">
      <w:pPr>
        <w:pStyle w:val="References"/>
      </w:pPr>
      <w:r w:rsidRPr="009E06AA">
        <w:t xml:space="preserve">MfE (Ministry for the Environment). 2022. </w:t>
      </w:r>
      <w:hyperlink r:id="rId124" w:history="1">
        <w:r w:rsidRPr="009E06AA">
          <w:rPr>
            <w:rStyle w:val="Hyperlink"/>
            <w:i/>
          </w:rPr>
          <w:t>New Zealand’s Eighth National Communication – Fulfilling reporting requirements under the United Nations Framework Convention on Climate Change and the Kyoto Protocol</w:t>
        </w:r>
      </w:hyperlink>
      <w:r w:rsidRPr="009E06AA">
        <w:t>. Wellington: Ministry for the Environment. Retrieved 5 January 2022.</w:t>
      </w:r>
    </w:p>
    <w:p w14:paraId="29349DCD" w14:textId="77777777" w:rsidR="007523B8" w:rsidRPr="009E06AA" w:rsidRDefault="007523B8" w:rsidP="007523B8">
      <w:pPr>
        <w:pStyle w:val="References"/>
      </w:pPr>
      <w:r w:rsidRPr="009E06AA">
        <w:t xml:space="preserve">MfE. 2023. </w:t>
      </w:r>
      <w:hyperlink r:id="rId125" w:history="1">
        <w:r w:rsidRPr="009E06AA">
          <w:rPr>
            <w:rStyle w:val="Hyperlink"/>
            <w:i/>
          </w:rPr>
          <w:t>New Zealand’s projected greenhouse gas emissions to 2050</w:t>
        </w:r>
      </w:hyperlink>
      <w:r w:rsidRPr="009E06AA">
        <w:rPr>
          <w:i/>
        </w:rPr>
        <w:t xml:space="preserve">. </w:t>
      </w:r>
      <w:r w:rsidRPr="009E06AA">
        <w:t>Retrieved 19 December 2023.</w:t>
      </w:r>
    </w:p>
    <w:p w14:paraId="629698FD" w14:textId="77777777" w:rsidR="007523B8" w:rsidRPr="009E06AA" w:rsidRDefault="007523B8" w:rsidP="007523B8">
      <w:pPr>
        <w:pStyle w:val="References"/>
      </w:pPr>
      <w:r w:rsidRPr="009E06AA">
        <w:t xml:space="preserve">MPI (Ministry for Primary Industries). 2022. </w:t>
      </w:r>
      <w:hyperlink r:id="rId126" w:history="1">
        <w:r w:rsidRPr="009E06AA">
          <w:rPr>
            <w:rStyle w:val="Hyperlink"/>
            <w:i/>
          </w:rPr>
          <w:t>Livestock slaughter statistics for sheep, cattle, goats, horses and pigs</w:t>
        </w:r>
      </w:hyperlink>
      <w:r w:rsidRPr="009E06AA">
        <w:t>. Retrieved 9 December 2023.</w:t>
      </w:r>
    </w:p>
    <w:p w14:paraId="467801BE" w14:textId="77777777" w:rsidR="007523B8" w:rsidRPr="009E06AA" w:rsidRDefault="007523B8" w:rsidP="007523B8">
      <w:pPr>
        <w:pStyle w:val="References"/>
      </w:pPr>
      <w:r w:rsidRPr="009E06AA">
        <w:t xml:space="preserve">MPI. 2023. </w:t>
      </w:r>
      <w:hyperlink r:id="rId127" w:history="1">
        <w:r w:rsidRPr="009E06AA">
          <w:rPr>
            <w:rStyle w:val="Hyperlink"/>
            <w:i/>
            <w:iCs/>
          </w:rPr>
          <w:t>Situation and Outlook for Primary Industries December 2023</w:t>
        </w:r>
      </w:hyperlink>
      <w:r w:rsidRPr="009E06AA">
        <w:rPr>
          <w:i/>
          <w:iCs/>
        </w:rPr>
        <w:t xml:space="preserve">. </w:t>
      </w:r>
      <w:r w:rsidRPr="009E06AA">
        <w:t>Retrieved 9 January 2024.</w:t>
      </w:r>
    </w:p>
    <w:p w14:paraId="04E7BC14" w14:textId="77777777" w:rsidR="007523B8" w:rsidRPr="009E06AA" w:rsidRDefault="007523B8" w:rsidP="007523B8">
      <w:pPr>
        <w:pStyle w:val="References"/>
      </w:pPr>
      <w:r w:rsidRPr="009E06AA">
        <w:t xml:space="preserve">Muir PD, Thomson BC, Askin DC. 2008. </w:t>
      </w:r>
      <w:r w:rsidRPr="009E06AA">
        <w:rPr>
          <w:i/>
        </w:rPr>
        <w:t>A Review of Dressing Out Percentage in New Zealand Livestock</w:t>
      </w:r>
      <w:r w:rsidRPr="009E06AA">
        <w:t>. Report prepared for the Ministry of Agriculture and Forestry by On-Farm Research and Kilu Consulting. Wellington: Ministry of Agriculture and Forestry.</w:t>
      </w:r>
    </w:p>
    <w:p w14:paraId="49270DE0" w14:textId="77777777" w:rsidR="007523B8" w:rsidRPr="009E06AA" w:rsidRDefault="007523B8" w:rsidP="007523B8">
      <w:pPr>
        <w:pStyle w:val="References"/>
      </w:pPr>
      <w:r w:rsidRPr="009E06AA">
        <w:t xml:space="preserve">Muir PD, Thomson BC. 2010. </w:t>
      </w:r>
      <w:r w:rsidRPr="009E06AA">
        <w:rPr>
          <w:i/>
        </w:rPr>
        <w:t>Better Estimation of National Ewe and Beef Cow Liveweights</w:t>
      </w:r>
      <w:r w:rsidRPr="009E06AA">
        <w:t>. Report prepared for the Ministry of Agriculture and Forestry by On-Farm Research. Wellington: Ministry of Agriculture and Forestry.</w:t>
      </w:r>
    </w:p>
    <w:p w14:paraId="7A4C3691" w14:textId="77777777" w:rsidR="007523B8" w:rsidRPr="009E06AA" w:rsidRDefault="007523B8" w:rsidP="007523B8">
      <w:pPr>
        <w:pStyle w:val="References"/>
      </w:pPr>
      <w:r w:rsidRPr="009E06AA">
        <w:t xml:space="preserve">Muller C, Sherlock RR, Williams PH. 1995. Direct field measurements of nitrous oxide emissions from urine-affected and urine-unaffected pasture in Canterbury. In: </w:t>
      </w:r>
      <w:r w:rsidRPr="009E06AA">
        <w:rPr>
          <w:i/>
        </w:rPr>
        <w:t>Proceedings of the Workshop on Fertilizer Requirements of Grazed Pasture and Field Crops: Macro and Micronutrients</w:t>
      </w:r>
      <w:r w:rsidRPr="009E06AA">
        <w:t>. Currie LD, Loganathan P (eds). Occasional Report No. 8. Palmerston North: Massey University. pp 243–34.</w:t>
      </w:r>
    </w:p>
    <w:p w14:paraId="58D663F7" w14:textId="77777777" w:rsidR="007523B8" w:rsidRPr="009E06AA" w:rsidRDefault="007523B8" w:rsidP="007523B8">
      <w:pPr>
        <w:pStyle w:val="References"/>
      </w:pPr>
      <w:r w:rsidRPr="009E06AA">
        <w:t xml:space="preserve">Pacheco D, Waghorn G, Rollo M. 2018. </w:t>
      </w:r>
      <w:r w:rsidRPr="009E06AA">
        <w:rPr>
          <w:i/>
        </w:rPr>
        <w:t>Methodology for Splitting Nitrogen between Livestock Dung and Urine</w:t>
      </w:r>
      <w:r w:rsidRPr="009E06AA">
        <w:t>. Report prepared for the Ministry for Primary Industries by AgResearch. Wellington: Ministry for Primary Industries.</w:t>
      </w:r>
    </w:p>
    <w:p w14:paraId="33C5EE59" w14:textId="77777777" w:rsidR="007523B8" w:rsidRPr="009E06AA" w:rsidRDefault="007523B8" w:rsidP="007523B8">
      <w:pPr>
        <w:pStyle w:val="References"/>
      </w:pPr>
      <w:r w:rsidRPr="009E06AA">
        <w:t xml:space="preserve">Pickering A, Gibbs J, Wear S, Fick J, Tomlin H. 2022. </w:t>
      </w:r>
      <w:hyperlink r:id="rId128" w:history="1">
        <w:r w:rsidRPr="009E06AA">
          <w:rPr>
            <w:rStyle w:val="Hyperlink"/>
            <w:i/>
          </w:rPr>
          <w:t>Methodology for Calculation of New Zealand’s Agricultural Greenhouse Gas Emissions</w:t>
        </w:r>
      </w:hyperlink>
      <w:r w:rsidRPr="009E06AA">
        <w:t>. Version 8. Wellington: Ministry for Primary Industries. Retrieved 13 February 2023.</w:t>
      </w:r>
    </w:p>
    <w:p w14:paraId="4B558A39" w14:textId="77777777" w:rsidR="007523B8" w:rsidRPr="009E06AA" w:rsidRDefault="007523B8" w:rsidP="007523B8">
      <w:pPr>
        <w:pStyle w:val="References"/>
      </w:pPr>
      <w:r w:rsidRPr="009E06AA">
        <w:t xml:space="preserve">Pinares-Patino CS, Ulyatt MJ, Waghorn GC, Lassey KR, Barry TN, Holmes CW, Johnson DE. 2003. Methane emission by alpaca and sheep fed on lucerne hay or grazed on pastures of perennial ryegrass/white clover or birdsfoot trefoil. </w:t>
      </w:r>
      <w:r w:rsidRPr="009E06AA">
        <w:rPr>
          <w:i/>
        </w:rPr>
        <w:t>Journal of Agricultural Science</w:t>
      </w:r>
      <w:r w:rsidRPr="009E06AA">
        <w:t xml:space="preserve"> 140: 215–226.</w:t>
      </w:r>
    </w:p>
    <w:p w14:paraId="2BA487E5" w14:textId="77777777" w:rsidR="007523B8" w:rsidRPr="009E06AA" w:rsidRDefault="007523B8" w:rsidP="007523B8">
      <w:pPr>
        <w:pStyle w:val="References"/>
      </w:pPr>
      <w:r w:rsidRPr="009E06AA">
        <w:t xml:space="preserve">Pratt C, Walcroft A, Shilton A, Guieysse B, Chung M, Craggs R, Heubeck S. 2012. </w:t>
      </w:r>
      <w:r w:rsidRPr="009E06AA">
        <w:rPr>
          <w:i/>
        </w:rPr>
        <w:t>Revised Methane Emission Factors and Parameters for Dairy Effluent Ponds</w:t>
      </w:r>
      <w:r w:rsidRPr="009E06AA">
        <w:t>. Report prepared for the Ministry for Primary Industries by Landcare Research, Massey University and the National Institute of Water and Atmospheric Research. Wellington: Ministry for Primary Industries.</w:t>
      </w:r>
    </w:p>
    <w:p w14:paraId="61FE3834" w14:textId="77777777" w:rsidR="007523B8" w:rsidRPr="009E06AA" w:rsidRDefault="007523B8" w:rsidP="007523B8">
      <w:pPr>
        <w:pStyle w:val="References"/>
      </w:pPr>
      <w:r w:rsidRPr="009E06AA">
        <w:t xml:space="preserve">Ritchie H. 2022. </w:t>
      </w:r>
      <w:r w:rsidRPr="009E06AA">
        <w:rPr>
          <w:i/>
        </w:rPr>
        <w:t>Updating emissions calculations for pigs in the New Zealand Greenhouse Gas Inventory Report</w:t>
      </w:r>
      <w:r w:rsidRPr="009E06AA">
        <w:t xml:space="preserve">. Draft report prepared for the Ministry for Primary Industries by NZ Pork. Wellington: Ministry for Primary Industries. </w:t>
      </w:r>
    </w:p>
    <w:p w14:paraId="70BEFED3" w14:textId="77777777" w:rsidR="007523B8" w:rsidRPr="009E06AA" w:rsidRDefault="007523B8" w:rsidP="007523B8">
      <w:pPr>
        <w:pStyle w:val="References"/>
      </w:pPr>
      <w:r w:rsidRPr="009E06AA">
        <w:t xml:space="preserve">Rollo M, Ledgard S, Longhurst B. 2017. </w:t>
      </w:r>
      <w:r w:rsidRPr="009E06AA">
        <w:rPr>
          <w:i/>
        </w:rPr>
        <w:t>Final Report: Trends in Dairy Effluent Management</w:t>
      </w:r>
      <w:r w:rsidRPr="009E06AA">
        <w:t>. Report prepared for the Ministry for Primary Industries by AgResearch. Wellington: Ministry for Primary Industries.</w:t>
      </w:r>
    </w:p>
    <w:p w14:paraId="6A42DFFB" w14:textId="77777777" w:rsidR="007523B8" w:rsidRPr="009E06AA" w:rsidRDefault="007523B8" w:rsidP="007523B8">
      <w:pPr>
        <w:pStyle w:val="References"/>
      </w:pPr>
      <w:r w:rsidRPr="009E06AA">
        <w:t>Saggar S, Clark H, Hedley C, Tate K, Carran A, Cosgrove G. Unpublished. Methane Emissions from Animal Dung and Waste Management Systems, and its Contribution to National Methane Budget. Landcare Research Contract Report: LC0301/02. Prepared for the Ministry of Agriculture and Forestry by Landcare Research in 2003.</w:t>
      </w:r>
    </w:p>
    <w:p w14:paraId="22979FCA" w14:textId="77777777" w:rsidR="007523B8" w:rsidRPr="009E06AA" w:rsidRDefault="007523B8" w:rsidP="007523B8">
      <w:pPr>
        <w:spacing w:after="120"/>
        <w:rPr>
          <w:sz w:val="20"/>
          <w:szCs w:val="20"/>
        </w:rPr>
      </w:pPr>
      <w:r w:rsidRPr="009E06AA">
        <w:rPr>
          <w:sz w:val="20"/>
          <w:szCs w:val="20"/>
        </w:rPr>
        <w:t xml:space="preserve">Saggar S, Giltrap DL, Davison R, Gibson R, de Klein C, Rollo M, Ettema P, Rys G. 2015. </w:t>
      </w:r>
      <w:r w:rsidRPr="009E06AA">
        <w:rPr>
          <w:sz w:val="20"/>
        </w:rPr>
        <w:t>Estimating direct N</w:t>
      </w:r>
      <w:r w:rsidRPr="009E06AA">
        <w:rPr>
          <w:sz w:val="20"/>
          <w:vertAlign w:val="subscript"/>
        </w:rPr>
        <w:t>2</w:t>
      </w:r>
      <w:r w:rsidRPr="009E06AA">
        <w:rPr>
          <w:sz w:val="20"/>
        </w:rPr>
        <w:t>O emissions from sheep, beef, and deer grazed pastures in New Zealand hill country: Accounting for the effect of land slope on the N</w:t>
      </w:r>
      <w:r w:rsidRPr="009E06AA">
        <w:rPr>
          <w:sz w:val="20"/>
          <w:vertAlign w:val="subscript"/>
        </w:rPr>
        <w:t>2</w:t>
      </w:r>
      <w:r w:rsidRPr="009E06AA">
        <w:rPr>
          <w:sz w:val="20"/>
        </w:rPr>
        <w:t>O emission factors from urine and dung</w:t>
      </w:r>
      <w:r w:rsidRPr="009E06AA">
        <w:rPr>
          <w:sz w:val="20"/>
          <w:szCs w:val="20"/>
        </w:rPr>
        <w:t xml:space="preserve">. </w:t>
      </w:r>
      <w:r w:rsidRPr="009E06AA">
        <w:rPr>
          <w:i/>
          <w:sz w:val="20"/>
        </w:rPr>
        <w:t>Agriculture Ecosystems &amp; Environment</w:t>
      </w:r>
      <w:r w:rsidRPr="009E06AA">
        <w:rPr>
          <w:sz w:val="20"/>
          <w:szCs w:val="20"/>
        </w:rPr>
        <w:t xml:space="preserve"> 205: 70–78.</w:t>
      </w:r>
    </w:p>
    <w:p w14:paraId="2DD9C8AC" w14:textId="77777777" w:rsidR="007523B8" w:rsidRPr="009E06AA" w:rsidRDefault="007523B8" w:rsidP="007523B8">
      <w:pPr>
        <w:pStyle w:val="References"/>
      </w:pPr>
      <w:r w:rsidRPr="009E06AA">
        <w:t xml:space="preserve">Saggar S, Singh J, Giltrap DL, Zaman M, Luo J, Rollo M, Kim D-G, Rys G, van der Weerden TJ. 2013. Quantification of reductions in ammonia emissions from fertiliser urea and animal urine in grazed pastures with urease inhibitors for Agriculture inventory: New Zealand as a case study. </w:t>
      </w:r>
      <w:r w:rsidRPr="009E06AA">
        <w:rPr>
          <w:i/>
        </w:rPr>
        <w:t>Science of the Total Environment</w:t>
      </w:r>
      <w:r w:rsidRPr="009E06AA">
        <w:t xml:space="preserve"> 465: 136–146.</w:t>
      </w:r>
    </w:p>
    <w:p w14:paraId="16F4427B" w14:textId="77777777" w:rsidR="007523B8" w:rsidRPr="009E06AA" w:rsidRDefault="007523B8" w:rsidP="007523B8">
      <w:pPr>
        <w:pStyle w:val="References"/>
      </w:pPr>
      <w:r w:rsidRPr="009E06AA">
        <w:t>Sherlock RR, de Klein C, Li Z. Unpublished. Determination of N</w:t>
      </w:r>
      <w:r w:rsidRPr="009E06AA">
        <w:rPr>
          <w:vertAlign w:val="subscript"/>
        </w:rPr>
        <w:t>2</w:t>
      </w:r>
      <w:r w:rsidRPr="009E06AA">
        <w:t>O and CH</w:t>
      </w:r>
      <w:r w:rsidRPr="009E06AA">
        <w:rPr>
          <w:vertAlign w:val="subscript"/>
        </w:rPr>
        <w:t>4</w:t>
      </w:r>
      <w:r w:rsidRPr="009E06AA">
        <w:t xml:space="preserve"> Emission Factors from Animal Excreta, following a Summer Application in Three Regions of New Zealand. A final report of an NzOnet study prepared for the Ministry of Agriculture and Forestry by Landcare Research, AgResearch and Lincoln University in 2003.</w:t>
      </w:r>
    </w:p>
    <w:p w14:paraId="33A733EA" w14:textId="77777777" w:rsidR="007523B8" w:rsidRPr="009E06AA" w:rsidRDefault="007523B8" w:rsidP="007523B8">
      <w:pPr>
        <w:pStyle w:val="References"/>
      </w:pPr>
      <w:r w:rsidRPr="009E06AA">
        <w:rPr>
          <w:spacing w:val="-2"/>
        </w:rPr>
        <w:t xml:space="preserve">Sherlock RR, Jewell P, Clough T. 2008. </w:t>
      </w:r>
      <w:r w:rsidRPr="009E06AA">
        <w:rPr>
          <w:i/>
          <w:spacing w:val="-2"/>
        </w:rPr>
        <w:t>Review of New Zealand Specific Frac</w:t>
      </w:r>
      <w:r w:rsidRPr="009E06AA">
        <w:rPr>
          <w:i/>
          <w:spacing w:val="-2"/>
          <w:vertAlign w:val="subscript"/>
        </w:rPr>
        <w:t>GASM</w:t>
      </w:r>
      <w:r w:rsidRPr="009E06AA">
        <w:rPr>
          <w:i/>
          <w:spacing w:val="-2"/>
        </w:rPr>
        <w:t xml:space="preserve"> and Frac</w:t>
      </w:r>
      <w:r w:rsidRPr="009E06AA">
        <w:rPr>
          <w:i/>
          <w:spacing w:val="-2"/>
          <w:vertAlign w:val="subscript"/>
        </w:rPr>
        <w:t>GASF</w:t>
      </w:r>
      <w:r w:rsidRPr="009E06AA">
        <w:rPr>
          <w:i/>
          <w:spacing w:val="-2"/>
        </w:rPr>
        <w:t xml:space="preserve"> Emissions</w:t>
      </w:r>
      <w:r w:rsidRPr="009E06AA">
        <w:rPr>
          <w:i/>
        </w:rPr>
        <w:t xml:space="preserve"> Factors</w:t>
      </w:r>
      <w:r w:rsidRPr="009E06AA">
        <w:t>. Report prepared for the Ministry of Agriculture and Forestry by Landcare Research and AgResearch. Wellington: Ministry of Agriculture and Forestry.</w:t>
      </w:r>
    </w:p>
    <w:p w14:paraId="307F5992" w14:textId="77777777" w:rsidR="007523B8" w:rsidRPr="009E06AA" w:rsidRDefault="007523B8" w:rsidP="007523B8">
      <w:pPr>
        <w:pStyle w:val="References"/>
      </w:pPr>
      <w:r w:rsidRPr="009E06AA">
        <w:rPr>
          <w:spacing w:val="-2"/>
        </w:rPr>
        <w:t xml:space="preserve">Statistics New Zealand (Stats NZ). 2021. </w:t>
      </w:r>
      <w:hyperlink r:id="rId129" w:history="1">
        <w:r w:rsidRPr="009E06AA">
          <w:rPr>
            <w:rStyle w:val="Hyperlink"/>
            <w:i/>
            <w:iCs/>
            <w:spacing w:val="-2"/>
          </w:rPr>
          <w:t>Fertilisers – nitrogen and phosphorus</w:t>
        </w:r>
      </w:hyperlink>
      <w:r w:rsidRPr="009E06AA">
        <w:rPr>
          <w:spacing w:val="-2"/>
        </w:rPr>
        <w:t>. Retrieved 12 January 2024</w:t>
      </w:r>
      <w:r w:rsidRPr="009E06AA">
        <w:t>.</w:t>
      </w:r>
    </w:p>
    <w:p w14:paraId="209C0D68" w14:textId="77777777" w:rsidR="007523B8" w:rsidRPr="009E06AA" w:rsidRDefault="007523B8" w:rsidP="007523B8">
      <w:pPr>
        <w:pStyle w:val="References"/>
      </w:pPr>
      <w:r w:rsidRPr="009E06AA">
        <w:t xml:space="preserve">Stats NZ. 2023. </w:t>
      </w:r>
      <w:hyperlink r:id="rId130" w:history="1">
        <w:r w:rsidRPr="009E06AA">
          <w:rPr>
            <w:rStyle w:val="Hyperlink"/>
            <w:i/>
            <w:iCs/>
          </w:rPr>
          <w:t>Agricultural production statistics: Year to June 2022 (final) – results by regional council, territorial authority, and farm type – corrected</w:t>
        </w:r>
      </w:hyperlink>
      <w:r w:rsidRPr="009E06AA">
        <w:t>. Retrieved 12 January 2024.</w:t>
      </w:r>
    </w:p>
    <w:p w14:paraId="1DBB20AE" w14:textId="77777777" w:rsidR="007523B8" w:rsidRPr="009E06AA" w:rsidRDefault="007523B8" w:rsidP="007523B8">
      <w:pPr>
        <w:pStyle w:val="References"/>
      </w:pPr>
      <w:r w:rsidRPr="009E06AA">
        <w:t xml:space="preserve">Stevens D, Rollo M, Vibart R, Chrystal J, Speirs B, Davison R, Burtt A. 2022. </w:t>
      </w:r>
      <w:r w:rsidRPr="009E06AA">
        <w:rPr>
          <w:i/>
        </w:rPr>
        <w:t>Sheep and Cattle Birth and Slaughter Dates</w:t>
      </w:r>
      <w:r w:rsidRPr="009E06AA">
        <w:t xml:space="preserve">. Final report prepared for the Ministry for Primary Industries. Wellington: Ministry for Primary Industries. </w:t>
      </w:r>
    </w:p>
    <w:p w14:paraId="2EE17B25" w14:textId="77777777" w:rsidR="007523B8" w:rsidRPr="009E06AA" w:rsidRDefault="007523B8" w:rsidP="007523B8">
      <w:pPr>
        <w:pStyle w:val="References"/>
      </w:pPr>
      <w:r w:rsidRPr="009E06AA">
        <w:t xml:space="preserve">Suttie J. 2012. </w:t>
      </w:r>
      <w:r w:rsidRPr="009E06AA">
        <w:rPr>
          <w:i/>
        </w:rPr>
        <w:t>Report to the Deer Industry New Zealand: Estimation of Deer Population and Productivity Data 1990 to 2012</w:t>
      </w:r>
      <w:r w:rsidRPr="009E06AA">
        <w:t xml:space="preserve">. Dunedin: Suttie Consulting Limited. </w:t>
      </w:r>
    </w:p>
    <w:p w14:paraId="1B3DFC4E" w14:textId="77777777" w:rsidR="007523B8" w:rsidRPr="009E06AA" w:rsidRDefault="007523B8" w:rsidP="007523B8">
      <w:pPr>
        <w:pStyle w:val="References"/>
      </w:pPr>
      <w:r w:rsidRPr="009E06AA">
        <w:t xml:space="preserve">Swainson N, Muetzel S, Clark H. 2016. </w:t>
      </w:r>
      <w:hyperlink r:id="rId131" w:history="1">
        <w:r w:rsidRPr="009E06AA">
          <w:rPr>
            <w:rStyle w:val="Hyperlink"/>
          </w:rPr>
          <w:t>Updated predictions of enteric methane emissions from sheep suitable for use in the New Zealand national greenhouse gas inventory</w:t>
        </w:r>
      </w:hyperlink>
      <w:r w:rsidRPr="009E06AA">
        <w:t xml:space="preserve">. </w:t>
      </w:r>
      <w:r w:rsidRPr="009E06AA">
        <w:rPr>
          <w:i/>
        </w:rPr>
        <w:t>Animal Production Science</w:t>
      </w:r>
      <w:r w:rsidRPr="009E06AA">
        <w:t xml:space="preserve"> 58: 973–979. Retrieved 5 January 2022.</w:t>
      </w:r>
    </w:p>
    <w:p w14:paraId="34050937" w14:textId="77777777" w:rsidR="007523B8" w:rsidRPr="009E06AA" w:rsidRDefault="007523B8" w:rsidP="007523B8">
      <w:pPr>
        <w:pStyle w:val="References"/>
      </w:pPr>
      <w:r w:rsidRPr="009E06AA">
        <w:t xml:space="preserve">Thomas S, Hume E, Fraser T Curtin D. 2011. </w:t>
      </w:r>
      <w:r w:rsidRPr="009E06AA">
        <w:rPr>
          <w:i/>
        </w:rPr>
        <w:t>Factors and Activity Data to Estimate Nitrous Oxide Emissions from Cropping Systems, and Stubble and Tussock Burning</w:t>
      </w:r>
      <w:r w:rsidRPr="009E06AA">
        <w:t xml:space="preserve">. Technical paper no. 2012/16. Report prepared for the Ministry of Agriculture and Forestry by Plant and Food Research (formerly Crop and Food Research). Wellington: Ministry of Agriculture and Forestry. </w:t>
      </w:r>
    </w:p>
    <w:p w14:paraId="403F4465" w14:textId="77777777" w:rsidR="007523B8" w:rsidRPr="009E06AA" w:rsidRDefault="007523B8" w:rsidP="007523B8">
      <w:pPr>
        <w:pStyle w:val="References"/>
      </w:pPr>
      <w:r w:rsidRPr="009E06AA">
        <w:t xml:space="preserve">Thomas S, Wallace D, Beare M. 2014. </w:t>
      </w:r>
      <w:r w:rsidRPr="009E06AA">
        <w:rPr>
          <w:i/>
        </w:rPr>
        <w:t>Pasture Renewal Activity Data and Factors for New Zealand</w:t>
      </w:r>
      <w:r w:rsidRPr="009E06AA">
        <w:t>. Report prepared for the Ministry for Primary Industries by Plant and Food Research. Wellington: Ministry for Primary Industries.</w:t>
      </w:r>
    </w:p>
    <w:p w14:paraId="562FA01F" w14:textId="77777777" w:rsidR="007523B8" w:rsidRPr="009E06AA" w:rsidRDefault="007523B8" w:rsidP="007523B8">
      <w:pPr>
        <w:pStyle w:val="References"/>
      </w:pPr>
      <w:r w:rsidRPr="009E06AA">
        <w:t xml:space="preserve">Thomas SM, Fraser T, Curtin D, Brown H, Lawrence E. 2008. </w:t>
      </w:r>
      <w:r w:rsidRPr="009E06AA">
        <w:rPr>
          <w:i/>
        </w:rPr>
        <w:t>Review of Nitrous Oxide Emission Factors and Activity Data for Crops</w:t>
      </w:r>
      <w:r w:rsidRPr="009E06AA">
        <w:t>. Report prepared for the Ministry of Agriculture and Forestry by Plant and Food Research. Wellington: Ministry of Agriculture and Forestry.</w:t>
      </w:r>
    </w:p>
    <w:p w14:paraId="7C1E9F66" w14:textId="77777777" w:rsidR="007523B8" w:rsidRPr="009E06AA" w:rsidRDefault="007523B8" w:rsidP="007523B8">
      <w:pPr>
        <w:pStyle w:val="References"/>
      </w:pPr>
      <w:r w:rsidRPr="009E06AA">
        <w:t xml:space="preserve">Thomas SM, Ledgard SF, Francis GS. 2005. Improving estimates of nitrate leaching for quantifying New Zealand’s indirect nitrous oxide emissions. </w:t>
      </w:r>
      <w:r w:rsidRPr="009E06AA">
        <w:rPr>
          <w:i/>
        </w:rPr>
        <w:t>Nutrient Cycling in Agroecosystems</w:t>
      </w:r>
      <w:r w:rsidRPr="009E06AA">
        <w:t xml:space="preserve"> 73: 213–226.</w:t>
      </w:r>
    </w:p>
    <w:p w14:paraId="3DD5F99A" w14:textId="77777777" w:rsidR="007523B8" w:rsidRPr="009E06AA" w:rsidRDefault="007523B8" w:rsidP="007523B8">
      <w:pPr>
        <w:pStyle w:val="References"/>
      </w:pPr>
      <w:r w:rsidRPr="009E06AA">
        <w:t>Thomas T. Unpublished. Assessment of the Methodology of Potato Area and Yield Activity Estimations used in the NZ National GHG Inventory. Report prepared for the Ministry of Agriculture and Forestry by Plant and Food Research in 2010.</w:t>
      </w:r>
    </w:p>
    <w:p w14:paraId="54D55200" w14:textId="77777777" w:rsidR="007523B8" w:rsidRPr="009E06AA" w:rsidRDefault="007523B8" w:rsidP="007523B8">
      <w:pPr>
        <w:pStyle w:val="References"/>
      </w:pPr>
      <w:r w:rsidRPr="009E06AA">
        <w:t xml:space="preserve">Thomson BC, Muir PD, Davison R, Clark H. 2010. </w:t>
      </w:r>
      <w:r w:rsidRPr="009E06AA">
        <w:rPr>
          <w:i/>
        </w:rPr>
        <w:t>Review of Population Models within the National Methane Inventory (2010)</w:t>
      </w:r>
      <w:r w:rsidRPr="009E06AA">
        <w:t>. Technical paper prepared for the Ministry of Agriculture and Forestry by On</w:t>
      </w:r>
      <w:r w:rsidRPr="009E06AA">
        <w:rPr>
          <w:rFonts w:ascii="Cambria Math" w:hAnsi="Cambria Math" w:cs="Cambria Math"/>
        </w:rPr>
        <w:t>‑</w:t>
      </w:r>
      <w:r w:rsidRPr="009E06AA">
        <w:t>Farm Research (with cooperation by Meat and Wool New Zealand and AgResearch Ltd). Wellington: Ministry of Agriculture and Forestry.</w:t>
      </w:r>
    </w:p>
    <w:p w14:paraId="16B7A7AA" w14:textId="77777777" w:rsidR="007523B8" w:rsidRPr="009E06AA" w:rsidRDefault="007523B8" w:rsidP="007523B8">
      <w:pPr>
        <w:pStyle w:val="References"/>
      </w:pPr>
      <w:r w:rsidRPr="009E06AA">
        <w:t xml:space="preserve">Thomson BC, Ward KR, Muir PD. 2021. </w:t>
      </w:r>
      <w:r w:rsidRPr="009E06AA">
        <w:rPr>
          <w:i/>
        </w:rPr>
        <w:t>Purity of agricultural lime and dolomite used in New Zealand</w:t>
      </w:r>
      <w:r w:rsidRPr="009E06AA">
        <w:t>. Final report prepared for the Ministry for Primary Industries. Wellington: Ministry for Primary Industries.</w:t>
      </w:r>
    </w:p>
    <w:p w14:paraId="1EA7DA2F" w14:textId="77777777" w:rsidR="007523B8" w:rsidRPr="009E06AA" w:rsidRDefault="007523B8" w:rsidP="007523B8">
      <w:pPr>
        <w:pStyle w:val="References"/>
      </w:pPr>
      <w:r w:rsidRPr="009E06AA">
        <w:t>Ulyatt MJ, Baker SK, McCrabb GJ, Lassey KR. 1999. Accuracy of the SF</w:t>
      </w:r>
      <w:r w:rsidRPr="009E06AA">
        <w:rPr>
          <w:vertAlign w:val="subscript"/>
        </w:rPr>
        <w:t>6</w:t>
      </w:r>
      <w:r w:rsidRPr="009E06AA">
        <w:t xml:space="preserve"> tracer technology and alternatives for field measurements. </w:t>
      </w:r>
      <w:r w:rsidRPr="009E06AA">
        <w:rPr>
          <w:i/>
        </w:rPr>
        <w:t>Australian Journal of Agricultural Research</w:t>
      </w:r>
      <w:r w:rsidRPr="009E06AA">
        <w:t xml:space="preserve"> 50: 1329–1334.</w:t>
      </w:r>
    </w:p>
    <w:p w14:paraId="286A041C" w14:textId="77777777" w:rsidR="007523B8" w:rsidRPr="009E06AA" w:rsidRDefault="007523B8" w:rsidP="007523B8">
      <w:pPr>
        <w:pStyle w:val="References"/>
      </w:pPr>
      <w:r w:rsidRPr="009E06AA">
        <w:t xml:space="preserve">van der Weerden A, de Klein C, Kelliher F, Rollo M. 2014. </w:t>
      </w:r>
      <w:r w:rsidRPr="009E06AA">
        <w:rPr>
          <w:i/>
        </w:rPr>
        <w:t>Reporting to 2006 IPCC Guidelines for N</w:t>
      </w:r>
      <w:r w:rsidRPr="009E06AA">
        <w:rPr>
          <w:i/>
          <w:vertAlign w:val="subscript"/>
        </w:rPr>
        <w:t>2</w:t>
      </w:r>
      <w:r w:rsidRPr="009E06AA">
        <w:rPr>
          <w:i/>
        </w:rPr>
        <w:t>O Emissions from Additional Sources of Organic N: Final Report</w:t>
      </w:r>
      <w:r w:rsidRPr="009E06AA">
        <w:t>. MPI Technical Report. Wellington: Ministry for Primary Industries.</w:t>
      </w:r>
    </w:p>
    <w:p w14:paraId="062C6125" w14:textId="77777777" w:rsidR="007523B8" w:rsidRPr="009E06AA" w:rsidRDefault="007523B8" w:rsidP="007523B8">
      <w:pPr>
        <w:pStyle w:val="References"/>
      </w:pPr>
      <w:r w:rsidRPr="009E06AA">
        <w:t xml:space="preserve">van der Weerden T, Cox N, Luo J, Di HJ, Podolyan A, Phillips RL, Saggar S, de Klein CAM, Ettema P, Rys G. 2016a. Refining the New Zealand nitrous oxide emission factor for urea fertiliser and farm dairy effluent. </w:t>
      </w:r>
      <w:r w:rsidRPr="009E06AA">
        <w:rPr>
          <w:i/>
        </w:rPr>
        <w:t>Agriculture Ecosystems &amp; Environment</w:t>
      </w:r>
      <w:r w:rsidRPr="009E06AA">
        <w:t xml:space="preserve"> 222: 133–137.</w:t>
      </w:r>
    </w:p>
    <w:p w14:paraId="6F977A0B" w14:textId="77777777" w:rsidR="007523B8" w:rsidRPr="009E06AA" w:rsidRDefault="007523B8" w:rsidP="007523B8">
      <w:pPr>
        <w:pStyle w:val="References"/>
      </w:pPr>
      <w:r w:rsidRPr="009E06AA">
        <w:t xml:space="preserve">van der Weerden T, Luo J, Cox N, Di HJ, Podolyan A, Phillips RL, Saggar S, de Klein CA, Ettema P, Rys G. 2016b. Nitrous oxide emissions from urea fertiliser and effluent with and without inhibitors applied to pasture. </w:t>
      </w:r>
      <w:r w:rsidRPr="009E06AA">
        <w:rPr>
          <w:i/>
        </w:rPr>
        <w:t>Agriculture Ecosystems &amp; Environment</w:t>
      </w:r>
      <w:r w:rsidRPr="009E06AA">
        <w:t xml:space="preserve"> 219: 58–70.</w:t>
      </w:r>
    </w:p>
    <w:p w14:paraId="2131DB47" w14:textId="77777777" w:rsidR="007523B8" w:rsidRPr="009E06AA" w:rsidRDefault="007523B8" w:rsidP="007523B8">
      <w:pPr>
        <w:pStyle w:val="References"/>
      </w:pPr>
      <w:r w:rsidRPr="009E06AA">
        <w:t xml:space="preserve">van der Weerden T, Noble A, Giltrap D, Luo S, Saggar S. 2019. </w:t>
      </w:r>
      <w:r w:rsidRPr="009E06AA">
        <w:rPr>
          <w:i/>
        </w:rPr>
        <w:t>Meta-analysis of nitrous oxide emission factors for excreta deposited onto pasture: Final report</w:t>
      </w:r>
      <w:r w:rsidRPr="009E06AA">
        <w:t>. MPI Technical Paper No: 2021/05. Report prepared for the Ministry for Primary Industries by AgResearch in 2019. Wellington: Ministry for Primary Industries.</w:t>
      </w:r>
    </w:p>
    <w:p w14:paraId="10B60032" w14:textId="77777777" w:rsidR="007523B8" w:rsidRPr="009E06AA" w:rsidRDefault="007523B8" w:rsidP="007523B8">
      <w:pPr>
        <w:pStyle w:val="References"/>
      </w:pPr>
      <w:r w:rsidRPr="009E06AA">
        <w:t xml:space="preserve">van der Weerden TJ, Luo J, de Klein CA, Hoogendoorn CJ, Littlejohn RP, Rys GJ. 2011. Disaggregating nitrous oxide emission factors for ruminant urine and dung deposited onto pastoral soils. </w:t>
      </w:r>
      <w:r w:rsidRPr="009E06AA">
        <w:rPr>
          <w:i/>
        </w:rPr>
        <w:t>Agriculture Ecosystems &amp; Environment</w:t>
      </w:r>
      <w:r w:rsidRPr="009E06AA">
        <w:t xml:space="preserve"> 141(3–4): 426–436.</w:t>
      </w:r>
    </w:p>
    <w:p w14:paraId="313249FE" w14:textId="77777777" w:rsidR="007523B8" w:rsidRPr="009E06AA" w:rsidRDefault="007523B8" w:rsidP="007523B8">
      <w:pPr>
        <w:pStyle w:val="References"/>
      </w:pPr>
      <w:r w:rsidRPr="009E06AA">
        <w:t xml:space="preserve">van der Weerden TJ, Noble AN, Luo J, de Klein CAM, Saggar S, Giltrap D, Gibbs J, Rys G. 2020. Meta-analysis of New Zealand’s nitrous oxide emission factors for ruminant excreta supports disaggregation based on excreta form, livestock type and slope class. </w:t>
      </w:r>
      <w:r w:rsidRPr="009E06AA">
        <w:rPr>
          <w:i/>
        </w:rPr>
        <w:t>Science of The Total Environment</w:t>
      </w:r>
      <w:r w:rsidRPr="009E06AA">
        <w:t xml:space="preserve"> 732. </w:t>
      </w:r>
    </w:p>
    <w:p w14:paraId="714D6837" w14:textId="77777777" w:rsidR="007523B8" w:rsidRPr="009E06AA" w:rsidRDefault="007523B8" w:rsidP="007523B8">
      <w:pPr>
        <w:pStyle w:val="References"/>
      </w:pPr>
      <w:r w:rsidRPr="009E06AA">
        <w:t>Waghorn G, Molano G, Cavanagh A. Unpublished(a). An Estimate of Whole Herd Methane Production from Cows at the Lincoln University Dairy Farm in October 2003. Final report prepared for Landcare Research NZ Ltd in 2003.</w:t>
      </w:r>
    </w:p>
    <w:p w14:paraId="41A4091B" w14:textId="77777777" w:rsidR="007523B8" w:rsidRPr="009E06AA" w:rsidRDefault="007523B8" w:rsidP="007523B8">
      <w:pPr>
        <w:pStyle w:val="References"/>
      </w:pPr>
      <w:r w:rsidRPr="009E06AA">
        <w:t>Waghorn G, Molano G, Lassey K. Unpublished(b). Estimates of Whole Herd Methane Production from Cows at the Lincoln University Dairy Farm in January and March 2002. A preliminary report prepared for Landcare Research NZ Ltd in 2002.</w:t>
      </w:r>
    </w:p>
    <w:p w14:paraId="4CFE25DA" w14:textId="77777777" w:rsidR="007523B8" w:rsidRPr="009E06AA" w:rsidRDefault="007523B8" w:rsidP="007523B8">
      <w:pPr>
        <w:pStyle w:val="References"/>
      </w:pPr>
      <w:r w:rsidRPr="009E06AA">
        <w:t xml:space="preserve">Welten B, Mercer G, Smith C, Sprosen M, Ledgard S. 2021. </w:t>
      </w:r>
      <w:r w:rsidRPr="009E06AA">
        <w:rPr>
          <w:i/>
        </w:rPr>
        <w:t>Refining estimates of nitrogen leaching for the New Zealand agricultural greenhouse gas inventory</w:t>
      </w:r>
      <w:r w:rsidRPr="009E06AA">
        <w:t xml:space="preserve">. Report prepared for the Ministry for Primary Industries. </w:t>
      </w:r>
    </w:p>
    <w:p w14:paraId="4CFEFC41" w14:textId="77777777" w:rsidR="007523B8" w:rsidRPr="009E06AA" w:rsidRDefault="007523B8" w:rsidP="007523B8">
      <w:pPr>
        <w:pStyle w:val="References"/>
      </w:pPr>
      <w:r w:rsidRPr="009E06AA">
        <w:t xml:space="preserve">Wheeler DM, Ledgard SF, de Klein CAM, Monaghan PL, Carey PL, McDowell RW, Johns KL. 2003. OVERSEER® Nutrient budgets – moving towards on-farm resource accounting. In: </w:t>
      </w:r>
      <w:r w:rsidRPr="009E06AA">
        <w:rPr>
          <w:i/>
        </w:rPr>
        <w:t>Proceedings of the New Zealand Grassland Association 2003</w:t>
      </w:r>
      <w:r w:rsidRPr="009E06AA">
        <w:t>. Palmerston North: New Zealand Grassland Association Inc.</w:t>
      </w:r>
    </w:p>
    <w:p w14:paraId="7991D96E" w14:textId="77777777" w:rsidR="006736AE" w:rsidRPr="009E06AA" w:rsidRDefault="006736AE" w:rsidP="007523B8">
      <w:pPr>
        <w:pStyle w:val="BodyText"/>
        <w:sectPr w:rsidR="006736AE" w:rsidRPr="009E06AA" w:rsidSect="00F66BF9">
          <w:footerReference w:type="even" r:id="rId132"/>
          <w:footerReference w:type="default" r:id="rId133"/>
          <w:pgSz w:w="11907" w:h="16840" w:code="9"/>
          <w:pgMar w:top="1418" w:right="1701" w:bottom="1418" w:left="1701" w:header="567" w:footer="567" w:gutter="0"/>
          <w:cols w:space="720"/>
        </w:sectPr>
      </w:pPr>
    </w:p>
    <w:p w14:paraId="462F81F2" w14:textId="77777777" w:rsidR="00053418" w:rsidRPr="009E06AA" w:rsidRDefault="00053418" w:rsidP="00053418">
      <w:pPr>
        <w:pStyle w:val="Heading1"/>
      </w:pPr>
      <w:bookmarkStart w:id="1623" w:name="_Toc391024696"/>
      <w:bookmarkStart w:id="1624" w:name="_Toc414531313"/>
      <w:bookmarkStart w:id="1625" w:name="_Toc474335455"/>
      <w:bookmarkStart w:id="1626" w:name="_Toc481751395"/>
      <w:bookmarkStart w:id="1627" w:name="_Toc522013947"/>
      <w:bookmarkStart w:id="1628" w:name="_Toc5269372"/>
      <w:bookmarkStart w:id="1629" w:name="_Toc36224412"/>
      <w:bookmarkStart w:id="1630" w:name="_Toc131591247"/>
      <w:bookmarkStart w:id="1631" w:name="_Toc158980293"/>
      <w:bookmarkStart w:id="1632" w:name="_Toc164154201"/>
      <w:r w:rsidRPr="009E06AA">
        <w:t>Chapter 6: Land Use, Land-Use Change and Forestry (LULUCF)</w:t>
      </w:r>
      <w:bookmarkEnd w:id="1623"/>
      <w:bookmarkEnd w:id="1624"/>
      <w:bookmarkEnd w:id="1625"/>
      <w:bookmarkEnd w:id="1626"/>
      <w:bookmarkEnd w:id="1627"/>
      <w:bookmarkEnd w:id="1628"/>
      <w:bookmarkEnd w:id="1629"/>
      <w:bookmarkEnd w:id="1630"/>
      <w:bookmarkEnd w:id="1631"/>
      <w:bookmarkEnd w:id="1632"/>
    </w:p>
    <w:p w14:paraId="2798F356" w14:textId="77777777" w:rsidR="00053418" w:rsidRPr="009E06AA" w:rsidRDefault="00053418" w:rsidP="00053418">
      <w:pPr>
        <w:pStyle w:val="Heading2"/>
        <w:spacing w:before="120"/>
      </w:pPr>
      <w:bookmarkStart w:id="1633" w:name="_Toc391024697"/>
      <w:bookmarkStart w:id="1634" w:name="_Toc414531314"/>
      <w:bookmarkStart w:id="1635" w:name="_Toc474335456"/>
      <w:bookmarkStart w:id="1636" w:name="_Toc481751396"/>
      <w:bookmarkStart w:id="1637" w:name="_Toc522013948"/>
      <w:bookmarkStart w:id="1638" w:name="_Toc5269373"/>
      <w:bookmarkStart w:id="1639" w:name="_Toc36224413"/>
      <w:bookmarkStart w:id="1640" w:name="_Toc131591248"/>
      <w:bookmarkStart w:id="1641" w:name="_Toc158980294"/>
      <w:bookmarkStart w:id="1642" w:name="_Toc164154202"/>
      <w:r w:rsidRPr="009E06AA">
        <w:t>6.1</w:t>
      </w:r>
      <w:r w:rsidRPr="009E06AA">
        <w:tab/>
        <w:t>Sector overview</w:t>
      </w:r>
      <w:bookmarkEnd w:id="1633"/>
      <w:bookmarkEnd w:id="1634"/>
      <w:bookmarkEnd w:id="1635"/>
      <w:bookmarkEnd w:id="1636"/>
      <w:bookmarkEnd w:id="1637"/>
      <w:bookmarkEnd w:id="1638"/>
      <w:bookmarkEnd w:id="1639"/>
      <w:bookmarkEnd w:id="1640"/>
      <w:bookmarkEnd w:id="1641"/>
      <w:bookmarkEnd w:id="1642"/>
    </w:p>
    <w:p w14:paraId="31BBFC97" w14:textId="77777777" w:rsidR="00053418" w:rsidRPr="009E06AA" w:rsidRDefault="00053418" w:rsidP="00053418">
      <w:pPr>
        <w:pStyle w:val="Heading3"/>
        <w:spacing w:before="240"/>
      </w:pPr>
      <w:r w:rsidRPr="009E06AA">
        <w:t>Net emissions summary</w:t>
      </w:r>
    </w:p>
    <w:p w14:paraId="13D5F83D" w14:textId="77777777" w:rsidR="00053418" w:rsidRPr="009E06AA" w:rsidRDefault="00053418" w:rsidP="00053418">
      <w:pPr>
        <w:pStyle w:val="Heading4"/>
      </w:pPr>
      <w:r w:rsidRPr="009E06AA">
        <w:t>2022</w:t>
      </w:r>
    </w:p>
    <w:p w14:paraId="12A0E54D" w14:textId="77777777" w:rsidR="00053418" w:rsidRPr="009E06AA" w:rsidRDefault="00053418" w:rsidP="00053418">
      <w:pPr>
        <w:pStyle w:val="BodyText"/>
      </w:pPr>
      <w:r w:rsidRPr="009E06AA">
        <w:t>In 2022, net emissions from the Land Use, Land-Use Change and Forestry (LULUCF) sector were -19,238.8 kilotonnes carbon dioxide equivalent (kt CO</w:t>
      </w:r>
      <w:r w:rsidRPr="009E06AA">
        <w:rPr>
          <w:vertAlign w:val="subscript"/>
        </w:rPr>
        <w:t>2</w:t>
      </w:r>
      <w:r w:rsidRPr="009E06AA">
        <w:t>-e) or -24.5 per cent of New Zealand’s gross greenhouse gas emissions. This comprises net emissions of -19,590.9 kt CO</w:t>
      </w:r>
      <w:r w:rsidRPr="009E06AA">
        <w:rPr>
          <w:vertAlign w:val="subscript"/>
        </w:rPr>
        <w:t>2</w:t>
      </w:r>
      <w:r w:rsidRPr="009E06AA">
        <w:t>, emissions of 82.3 kt CO</w:t>
      </w:r>
      <w:r w:rsidRPr="009E06AA">
        <w:rPr>
          <w:vertAlign w:val="subscript"/>
        </w:rPr>
        <w:t>2</w:t>
      </w:r>
      <w:r w:rsidRPr="009E06AA">
        <w:t>-e of methane (CH</w:t>
      </w:r>
      <w:r w:rsidRPr="009E06AA">
        <w:rPr>
          <w:vertAlign w:val="subscript"/>
        </w:rPr>
        <w:t>4</w:t>
      </w:r>
      <w:r w:rsidRPr="009E06AA">
        <w:t>) and 269.9 kt CO</w:t>
      </w:r>
      <w:r w:rsidRPr="009E06AA">
        <w:rPr>
          <w:vertAlign w:val="subscript"/>
        </w:rPr>
        <w:t>2</w:t>
      </w:r>
      <w:r w:rsidRPr="009E06AA">
        <w:t>-e of nitrous oxide (N</w:t>
      </w:r>
      <w:r w:rsidRPr="009E06AA">
        <w:rPr>
          <w:vertAlign w:val="subscript"/>
        </w:rPr>
        <w:t>2</w:t>
      </w:r>
      <w:r w:rsidRPr="009E06AA">
        <w:t xml:space="preserve">O). The category contributing the most to both removals and emissions is </w:t>
      </w:r>
      <w:r w:rsidRPr="009E06AA">
        <w:rPr>
          <w:i/>
          <w:iCs/>
        </w:rPr>
        <w:t>Forest land remaining forest land</w:t>
      </w:r>
      <w:r w:rsidRPr="009E06AA">
        <w:t xml:space="preserve">. This is because large removals result from the growth of all forests on this land and there are also large emissions from the sustainable harvest of New Zealand’s plantation forests. </w:t>
      </w:r>
    </w:p>
    <w:p w14:paraId="418963BC" w14:textId="77777777" w:rsidR="00053418" w:rsidRPr="009E06AA" w:rsidRDefault="00053418" w:rsidP="00053418">
      <w:pPr>
        <w:pStyle w:val="Heading4"/>
      </w:pPr>
      <w:r w:rsidRPr="009E06AA">
        <w:t>1990–2022</w:t>
      </w:r>
    </w:p>
    <w:p w14:paraId="4EC3F5F1" w14:textId="77777777" w:rsidR="00053418" w:rsidRPr="009E06AA" w:rsidRDefault="00053418" w:rsidP="00053418">
      <w:pPr>
        <w:pStyle w:val="BodyText"/>
      </w:pPr>
      <w:r w:rsidRPr="009E06AA">
        <w:rPr>
          <w:spacing w:val="-2"/>
        </w:rPr>
        <w:t xml:space="preserve">Net emissions in 2022 have increased by </w:t>
      </w:r>
      <w:r w:rsidRPr="009E06AA">
        <w:t>5,085.8</w:t>
      </w:r>
      <w:r w:rsidRPr="009E06AA">
        <w:rPr>
          <w:spacing w:val="-2"/>
        </w:rPr>
        <w:t xml:space="preserve"> kt CO</w:t>
      </w:r>
      <w:r w:rsidRPr="009E06AA">
        <w:rPr>
          <w:spacing w:val="-2"/>
          <w:vertAlign w:val="subscript"/>
        </w:rPr>
        <w:t>2</w:t>
      </w:r>
      <w:r w:rsidRPr="009E06AA">
        <w:rPr>
          <w:spacing w:val="-2"/>
        </w:rPr>
        <w:t>-e (</w:t>
      </w:r>
      <w:r w:rsidRPr="009E06AA">
        <w:rPr>
          <w:rFonts w:cs="Arial Bold"/>
          <w:color w:val="000000"/>
          <w:spacing w:val="-2"/>
        </w:rPr>
        <w:t xml:space="preserve">20.9 </w:t>
      </w:r>
      <w:r w:rsidRPr="009E06AA">
        <w:rPr>
          <w:spacing w:val="-2"/>
        </w:rPr>
        <w:t xml:space="preserve">per cent) from the 1990 level of </w:t>
      </w:r>
      <w:r w:rsidRPr="009E06AA">
        <w:rPr>
          <w:spacing w:val="-2"/>
        </w:rPr>
        <w:noBreakHyphen/>
      </w:r>
      <w:r w:rsidRPr="009E06AA">
        <w:t xml:space="preserve">24,324.6 </w:t>
      </w:r>
      <w:r w:rsidRPr="009E06AA">
        <w:rPr>
          <w:spacing w:val="-2"/>
        </w:rPr>
        <w:t>kt CO</w:t>
      </w:r>
      <w:r w:rsidRPr="009E06AA">
        <w:rPr>
          <w:spacing w:val="-2"/>
          <w:vertAlign w:val="subscript"/>
        </w:rPr>
        <w:t>2</w:t>
      </w:r>
      <w:r w:rsidRPr="009E06AA">
        <w:rPr>
          <w:spacing w:val="-2"/>
        </w:rPr>
        <w:t xml:space="preserve">-e (see table 6.1.1 and figure 6.1.1). This is largely due to a reduction in removals from </w:t>
      </w:r>
      <w:r w:rsidRPr="009E06AA">
        <w:rPr>
          <w:i/>
          <w:iCs/>
          <w:spacing w:val="-2"/>
        </w:rPr>
        <w:t xml:space="preserve">Forest land </w:t>
      </w:r>
      <w:r w:rsidRPr="009E06AA">
        <w:rPr>
          <w:spacing w:val="-2"/>
        </w:rPr>
        <w:t>and</w:t>
      </w:r>
      <w:r w:rsidRPr="009E06AA">
        <w:rPr>
          <w:i/>
          <w:iCs/>
          <w:spacing w:val="-2"/>
        </w:rPr>
        <w:t xml:space="preserve"> </w:t>
      </w:r>
      <w:r w:rsidRPr="009E06AA">
        <w:rPr>
          <w:spacing w:val="-2"/>
        </w:rPr>
        <w:t xml:space="preserve">an increase in emissions from </w:t>
      </w:r>
      <w:r w:rsidRPr="009E06AA">
        <w:rPr>
          <w:i/>
          <w:iCs/>
          <w:spacing w:val="-2"/>
        </w:rPr>
        <w:t>Grassland</w:t>
      </w:r>
      <w:r w:rsidRPr="009E06AA">
        <w:rPr>
          <w:spacing w:val="-2"/>
        </w:rPr>
        <w:t xml:space="preserve"> (mainly due to emissions from deforestation and conversions among grassland categories) since 1990</w:t>
      </w:r>
      <w:r w:rsidRPr="009E06AA">
        <w:rPr>
          <w:i/>
          <w:iCs/>
          <w:spacing w:val="-2"/>
        </w:rPr>
        <w:t>.</w:t>
      </w:r>
      <w:r w:rsidRPr="009E06AA">
        <w:t xml:space="preserve"> The reduction in removals from </w:t>
      </w:r>
      <w:r w:rsidRPr="009E06AA">
        <w:rPr>
          <w:i/>
          <w:iCs/>
        </w:rPr>
        <w:t xml:space="preserve">Forest land </w:t>
      </w:r>
      <w:r w:rsidRPr="009E06AA">
        <w:t xml:space="preserve">is driven by high current harvest rates (figure 6.4.3), which are a result of the significant land-use changes to forest land that occurred from the 1980s to the early 1990s (figure 6.4.1). The planted forests that were </w:t>
      </w:r>
      <w:r w:rsidRPr="009E06AA">
        <w:rPr>
          <w:spacing w:val="-2"/>
        </w:rPr>
        <w:t>established during this period have progressively been reaching harvesting age, and that will continu</w:t>
      </w:r>
      <w:r w:rsidRPr="009E06AA">
        <w:t>e into the mid</w:t>
      </w:r>
      <w:r w:rsidRPr="009E06AA">
        <w:rPr>
          <w:rStyle w:val="CommentReference"/>
          <w:rFonts w:asciiTheme="minorHAnsi" w:eastAsia="Arial" w:hAnsiTheme="minorHAnsi"/>
          <w:sz w:val="22"/>
          <w:szCs w:val="22"/>
          <w:lang w:eastAsia="en-US"/>
        </w:rPr>
        <w:t>-</w:t>
      </w:r>
      <w:r w:rsidRPr="009E06AA">
        <w:rPr>
          <w:rFonts w:eastAsia="Arial"/>
        </w:rPr>
        <w:t>2</w:t>
      </w:r>
      <w:r w:rsidRPr="009E06AA">
        <w:t>020s. As the high harvesting rates continue, the average age of the planted forest estate is reduced each year when the harvested forests are replanted. Young forest stands have low growth rates compared with older stands. Harvesting and replanting cycles of New Zealand’s planted forests will continue to affect the trajectory of New Zealand’s net emissions in the future due to their uneven age-class profile.</w:t>
      </w:r>
      <w:r w:rsidRPr="009E06AA">
        <w:rPr>
          <w:i/>
          <w:iCs/>
          <w:spacing w:val="-2"/>
        </w:rPr>
        <w:t xml:space="preserve"> </w:t>
      </w:r>
      <w:r w:rsidRPr="009E06AA">
        <w:rPr>
          <w:spacing w:val="-2"/>
        </w:rPr>
        <w:t xml:space="preserve">The increase in the production of harvested wood products has compensated for some of the emissions from the increase in forest harvesting. </w:t>
      </w:r>
    </w:p>
    <w:p w14:paraId="4EBF05CD" w14:textId="77777777" w:rsidR="00053418" w:rsidRPr="009E06AA" w:rsidRDefault="00053418" w:rsidP="00053418">
      <w:pPr>
        <w:pStyle w:val="Table"/>
      </w:pPr>
      <w:bookmarkStart w:id="1643" w:name="_Toc481751536"/>
      <w:bookmarkStart w:id="1644" w:name="_Toc522010593"/>
      <w:bookmarkStart w:id="1645" w:name="_Toc5269498"/>
      <w:bookmarkStart w:id="1646" w:name="_Toc33529374"/>
      <w:bookmarkStart w:id="1647" w:name="_Toc36224580"/>
      <w:bookmarkStart w:id="1648" w:name="_Toc65243575"/>
      <w:bookmarkStart w:id="1649" w:name="_Toc131591381"/>
      <w:bookmarkStart w:id="1650" w:name="_Toc158979939"/>
      <w:bookmarkStart w:id="1651" w:name="_Toc164153872"/>
      <w:r w:rsidRPr="009E06AA">
        <w:t xml:space="preserve">Table 6.1.1 </w:t>
      </w:r>
      <w:r w:rsidRPr="009E06AA">
        <w:tab/>
        <w:t>New Zealand’s greenhouse gas net emissions for the LULUCF sector by category</w:t>
      </w:r>
      <w:r w:rsidRPr="009E06AA">
        <w:br/>
        <w:t xml:space="preserve">in 1990 and </w:t>
      </w:r>
      <w:bookmarkEnd w:id="1643"/>
      <w:bookmarkEnd w:id="1644"/>
      <w:bookmarkEnd w:id="1645"/>
      <w:bookmarkEnd w:id="1646"/>
      <w:bookmarkEnd w:id="1647"/>
      <w:bookmarkEnd w:id="1648"/>
      <w:r w:rsidRPr="009E06AA">
        <w:t>2022</w:t>
      </w:r>
      <w:bookmarkEnd w:id="1649"/>
      <w:bookmarkEnd w:id="1650"/>
      <w:bookmarkEnd w:id="1651"/>
    </w:p>
    <w:tbl>
      <w:tblPr>
        <w:tblW w:w="8505" w:type="dxa"/>
        <w:tblBorders>
          <w:top w:val="single" w:sz="4" w:space="0" w:color="1B556B" w:themeColor="text2"/>
          <w:bottom w:val="single" w:sz="4" w:space="0" w:color="1B556B" w:themeColor="text2"/>
          <w:insideH w:val="single" w:sz="4" w:space="0" w:color="1B556B" w:themeColor="text2"/>
        </w:tblBorders>
        <w:tblLayout w:type="fixed"/>
        <w:tblLook w:val="0420" w:firstRow="1" w:lastRow="0" w:firstColumn="0" w:lastColumn="0" w:noHBand="0" w:noVBand="1"/>
      </w:tblPr>
      <w:tblGrid>
        <w:gridCol w:w="3172"/>
        <w:gridCol w:w="1042"/>
        <w:gridCol w:w="1120"/>
        <w:gridCol w:w="1730"/>
        <w:gridCol w:w="1441"/>
      </w:tblGrid>
      <w:tr w:rsidR="00053418" w:rsidRPr="009E06AA" w14:paraId="5A0A21D6" w14:textId="77777777" w:rsidTr="00B55F24">
        <w:trPr>
          <w:tblHeader/>
        </w:trPr>
        <w:tc>
          <w:tcPr>
            <w:tcW w:w="3119" w:type="dxa"/>
            <w:tcBorders>
              <w:bottom w:val="nil"/>
            </w:tcBorders>
            <w:shd w:val="clear" w:color="auto" w:fill="1B556B"/>
            <w:tcMar>
              <w:top w:w="0" w:type="dxa"/>
              <w:left w:w="85" w:type="dxa"/>
              <w:bottom w:w="0" w:type="dxa"/>
              <w:right w:w="85" w:type="dxa"/>
            </w:tcMar>
            <w:vAlign w:val="center"/>
          </w:tcPr>
          <w:p w14:paraId="114E6EDB" w14:textId="77777777" w:rsidR="00053418" w:rsidRPr="009E06AA" w:rsidRDefault="00053418" w:rsidP="00B55F24">
            <w:pPr>
              <w:pStyle w:val="TableText"/>
              <w:spacing w:before="40" w:after="40"/>
              <w:rPr>
                <w:szCs w:val="16"/>
              </w:rPr>
            </w:pPr>
          </w:p>
        </w:tc>
        <w:tc>
          <w:tcPr>
            <w:tcW w:w="2126" w:type="dxa"/>
            <w:gridSpan w:val="2"/>
            <w:tcBorders>
              <w:bottom w:val="nil"/>
            </w:tcBorders>
            <w:shd w:val="clear" w:color="auto" w:fill="1B556B"/>
            <w:tcMar>
              <w:top w:w="0" w:type="dxa"/>
              <w:left w:w="85" w:type="dxa"/>
              <w:bottom w:w="0" w:type="dxa"/>
              <w:right w:w="85" w:type="dxa"/>
            </w:tcMar>
            <w:vAlign w:val="center"/>
          </w:tcPr>
          <w:p w14:paraId="08FF71D2" w14:textId="77777777" w:rsidR="00053418" w:rsidRPr="009E06AA" w:rsidRDefault="00053418" w:rsidP="00B55F24">
            <w:pPr>
              <w:pStyle w:val="TableText"/>
              <w:spacing w:before="40" w:after="40"/>
              <w:jc w:val="center"/>
              <w:rPr>
                <w:szCs w:val="16"/>
              </w:rPr>
            </w:pPr>
            <w:r w:rsidRPr="009E06AA">
              <w:rPr>
                <w:rFonts w:eastAsia="Calibri" w:cs="Calibri"/>
                <w:b/>
                <w:color w:val="FFFFFF"/>
                <w:szCs w:val="16"/>
              </w:rPr>
              <w:t>Net emissions (kt CO</w:t>
            </w:r>
            <w:r w:rsidRPr="009E06AA">
              <w:rPr>
                <w:rFonts w:eastAsia="Calibri" w:cs="Calibri"/>
                <w:b/>
                <w:color w:val="FFFFFF"/>
                <w:szCs w:val="16"/>
                <w:vertAlign w:val="subscript"/>
              </w:rPr>
              <w:t>2</w:t>
            </w:r>
            <w:r w:rsidRPr="009E06AA">
              <w:rPr>
                <w:rFonts w:eastAsia="Calibri" w:cs="Calibri"/>
                <w:b/>
                <w:color w:val="FFFFFF"/>
                <w:szCs w:val="16"/>
              </w:rPr>
              <w:t>-e)</w:t>
            </w:r>
          </w:p>
        </w:tc>
        <w:tc>
          <w:tcPr>
            <w:tcW w:w="1701" w:type="dxa"/>
            <w:tcBorders>
              <w:bottom w:val="nil"/>
            </w:tcBorders>
            <w:shd w:val="clear" w:color="auto" w:fill="1B556B"/>
            <w:tcMar>
              <w:top w:w="0" w:type="dxa"/>
              <w:left w:w="85" w:type="dxa"/>
              <w:bottom w:w="0" w:type="dxa"/>
              <w:right w:w="85" w:type="dxa"/>
            </w:tcMar>
            <w:vAlign w:val="center"/>
          </w:tcPr>
          <w:p w14:paraId="4ABE49D9" w14:textId="77777777" w:rsidR="00053418" w:rsidRPr="009E06AA" w:rsidRDefault="00053418" w:rsidP="00B55F24">
            <w:pPr>
              <w:pStyle w:val="TableText"/>
              <w:spacing w:before="40" w:after="40"/>
              <w:jc w:val="center"/>
              <w:rPr>
                <w:szCs w:val="16"/>
              </w:rPr>
            </w:pPr>
            <w:r w:rsidRPr="009E06AA">
              <w:rPr>
                <w:rFonts w:eastAsia="Calibri" w:cs="Calibri"/>
                <w:b/>
                <w:color w:val="FFFFFF"/>
                <w:szCs w:val="16"/>
              </w:rPr>
              <w:t>Difference (kt CO</w:t>
            </w:r>
            <w:r w:rsidRPr="009E06AA">
              <w:rPr>
                <w:rFonts w:eastAsia="Calibri" w:cs="Calibri"/>
                <w:b/>
                <w:color w:val="FFFFFF"/>
                <w:szCs w:val="16"/>
                <w:vertAlign w:val="subscript"/>
              </w:rPr>
              <w:t>2</w:t>
            </w:r>
            <w:r w:rsidRPr="009E06AA">
              <w:rPr>
                <w:rFonts w:eastAsia="Calibri" w:cs="Calibri"/>
                <w:b/>
                <w:color w:val="FFFFFF"/>
                <w:szCs w:val="16"/>
              </w:rPr>
              <w:t>-e)</w:t>
            </w:r>
          </w:p>
        </w:tc>
        <w:tc>
          <w:tcPr>
            <w:tcW w:w="1417" w:type="dxa"/>
            <w:tcBorders>
              <w:bottom w:val="nil"/>
            </w:tcBorders>
            <w:shd w:val="clear" w:color="auto" w:fill="1B556B"/>
            <w:tcMar>
              <w:top w:w="0" w:type="dxa"/>
              <w:left w:w="85" w:type="dxa"/>
              <w:bottom w:w="0" w:type="dxa"/>
              <w:right w:w="85" w:type="dxa"/>
            </w:tcMar>
            <w:vAlign w:val="center"/>
          </w:tcPr>
          <w:p w14:paraId="0123EB65" w14:textId="77777777" w:rsidR="00053418" w:rsidRPr="009E06AA" w:rsidRDefault="00053418" w:rsidP="00B55F24">
            <w:pPr>
              <w:pStyle w:val="TableText"/>
              <w:spacing w:before="40" w:after="40"/>
              <w:jc w:val="center"/>
              <w:rPr>
                <w:szCs w:val="16"/>
              </w:rPr>
            </w:pPr>
            <w:r w:rsidRPr="009E06AA">
              <w:rPr>
                <w:rFonts w:eastAsia="Calibri" w:cs="Calibri"/>
                <w:b/>
                <w:color w:val="FFFFFF"/>
                <w:szCs w:val="16"/>
              </w:rPr>
              <w:t>% change</w:t>
            </w:r>
          </w:p>
        </w:tc>
      </w:tr>
      <w:tr w:rsidR="00053418" w:rsidRPr="009E06AA" w14:paraId="7ED9A2F0" w14:textId="77777777" w:rsidTr="00B55F24">
        <w:trPr>
          <w:tblHeader/>
        </w:trPr>
        <w:tc>
          <w:tcPr>
            <w:tcW w:w="3119" w:type="dxa"/>
            <w:tcBorders>
              <w:top w:val="nil"/>
            </w:tcBorders>
            <w:shd w:val="clear" w:color="auto" w:fill="1B556B"/>
            <w:tcMar>
              <w:top w:w="0" w:type="dxa"/>
              <w:left w:w="85" w:type="dxa"/>
              <w:bottom w:w="0" w:type="dxa"/>
              <w:right w:w="85" w:type="dxa"/>
            </w:tcMar>
            <w:vAlign w:val="center"/>
          </w:tcPr>
          <w:p w14:paraId="51C0E5A9" w14:textId="77777777" w:rsidR="00053418" w:rsidRPr="009E06AA" w:rsidRDefault="00053418" w:rsidP="00B55F24">
            <w:pPr>
              <w:pStyle w:val="TableText"/>
              <w:spacing w:before="0" w:after="40"/>
              <w:rPr>
                <w:szCs w:val="16"/>
              </w:rPr>
            </w:pPr>
            <w:r w:rsidRPr="009E06AA">
              <w:rPr>
                <w:rFonts w:eastAsia="Calibri" w:cs="Calibri"/>
                <w:b/>
                <w:color w:val="FFFFFF"/>
                <w:szCs w:val="16"/>
              </w:rPr>
              <w:t>Land use category</w:t>
            </w:r>
          </w:p>
        </w:tc>
        <w:tc>
          <w:tcPr>
            <w:tcW w:w="1025" w:type="dxa"/>
            <w:tcBorders>
              <w:top w:val="nil"/>
            </w:tcBorders>
            <w:shd w:val="clear" w:color="auto" w:fill="1B556B"/>
            <w:tcMar>
              <w:top w:w="0" w:type="dxa"/>
              <w:left w:w="85" w:type="dxa"/>
              <w:bottom w:w="0" w:type="dxa"/>
              <w:right w:w="85" w:type="dxa"/>
            </w:tcMar>
            <w:vAlign w:val="center"/>
          </w:tcPr>
          <w:p w14:paraId="70375E4E" w14:textId="77777777" w:rsidR="00053418" w:rsidRPr="009E06AA" w:rsidRDefault="00053418" w:rsidP="003D6A24">
            <w:pPr>
              <w:pStyle w:val="TableText"/>
              <w:spacing w:before="0" w:after="40"/>
              <w:jc w:val="right"/>
              <w:rPr>
                <w:szCs w:val="16"/>
              </w:rPr>
            </w:pPr>
            <w:r w:rsidRPr="009E06AA">
              <w:rPr>
                <w:rFonts w:eastAsia="Calibri" w:cs="Calibri"/>
                <w:b/>
                <w:color w:val="FFFFFF"/>
                <w:szCs w:val="16"/>
              </w:rPr>
              <w:t>1990</w:t>
            </w:r>
          </w:p>
        </w:tc>
        <w:tc>
          <w:tcPr>
            <w:tcW w:w="1101" w:type="dxa"/>
            <w:tcBorders>
              <w:top w:val="nil"/>
            </w:tcBorders>
            <w:shd w:val="clear" w:color="auto" w:fill="1B556B"/>
            <w:tcMar>
              <w:top w:w="0" w:type="dxa"/>
              <w:left w:w="85" w:type="dxa"/>
              <w:bottom w:w="0" w:type="dxa"/>
              <w:right w:w="85" w:type="dxa"/>
            </w:tcMar>
            <w:vAlign w:val="center"/>
          </w:tcPr>
          <w:p w14:paraId="1729D558" w14:textId="77777777" w:rsidR="00053418" w:rsidRPr="009E06AA" w:rsidRDefault="00053418" w:rsidP="003D6A24">
            <w:pPr>
              <w:pStyle w:val="TableText"/>
              <w:spacing w:before="0" w:after="40"/>
              <w:jc w:val="right"/>
              <w:rPr>
                <w:szCs w:val="16"/>
              </w:rPr>
            </w:pPr>
            <w:r w:rsidRPr="009E06AA">
              <w:rPr>
                <w:rFonts w:eastAsia="Calibri" w:cs="Calibri"/>
                <w:b/>
                <w:color w:val="FFFFFF"/>
                <w:szCs w:val="16"/>
              </w:rPr>
              <w:t>2022</w:t>
            </w:r>
          </w:p>
        </w:tc>
        <w:tc>
          <w:tcPr>
            <w:tcW w:w="1701" w:type="dxa"/>
            <w:tcBorders>
              <w:top w:val="nil"/>
            </w:tcBorders>
            <w:shd w:val="clear" w:color="auto" w:fill="1B556B"/>
            <w:tcMar>
              <w:top w:w="0" w:type="dxa"/>
              <w:left w:w="85" w:type="dxa"/>
              <w:bottom w:w="0" w:type="dxa"/>
              <w:right w:w="85" w:type="dxa"/>
            </w:tcMar>
            <w:vAlign w:val="center"/>
          </w:tcPr>
          <w:p w14:paraId="3AEA3FF3" w14:textId="77777777" w:rsidR="00053418" w:rsidRPr="009E06AA" w:rsidRDefault="00053418" w:rsidP="003D6A24">
            <w:pPr>
              <w:pStyle w:val="TableText"/>
              <w:spacing w:before="0" w:after="40"/>
              <w:jc w:val="right"/>
              <w:rPr>
                <w:szCs w:val="16"/>
              </w:rPr>
            </w:pPr>
            <w:r w:rsidRPr="009E06AA">
              <w:rPr>
                <w:rFonts w:eastAsia="Calibri" w:cs="Calibri"/>
                <w:b/>
                <w:color w:val="FFFFFF"/>
                <w:szCs w:val="16"/>
              </w:rPr>
              <w:t>1990–2022</w:t>
            </w:r>
          </w:p>
        </w:tc>
        <w:tc>
          <w:tcPr>
            <w:tcW w:w="1417" w:type="dxa"/>
            <w:tcBorders>
              <w:top w:val="nil"/>
            </w:tcBorders>
            <w:shd w:val="clear" w:color="auto" w:fill="1B556B"/>
            <w:tcMar>
              <w:top w:w="0" w:type="dxa"/>
              <w:left w:w="85" w:type="dxa"/>
              <w:bottom w:w="0" w:type="dxa"/>
              <w:right w:w="85" w:type="dxa"/>
            </w:tcMar>
            <w:vAlign w:val="center"/>
          </w:tcPr>
          <w:p w14:paraId="47A422D8" w14:textId="77777777" w:rsidR="00053418" w:rsidRPr="009E06AA" w:rsidRDefault="00053418" w:rsidP="003D6A24">
            <w:pPr>
              <w:pStyle w:val="TableText"/>
              <w:spacing w:before="0" w:after="40"/>
              <w:jc w:val="right"/>
              <w:rPr>
                <w:szCs w:val="16"/>
              </w:rPr>
            </w:pPr>
            <w:r w:rsidRPr="009E06AA">
              <w:rPr>
                <w:rFonts w:eastAsia="Calibri" w:cs="Calibri"/>
                <w:b/>
                <w:color w:val="FFFFFF"/>
                <w:szCs w:val="16"/>
              </w:rPr>
              <w:t>1990–2022</w:t>
            </w:r>
          </w:p>
        </w:tc>
      </w:tr>
      <w:tr w:rsidR="00053418" w:rsidRPr="009E06AA" w14:paraId="0C4E3433" w14:textId="77777777" w:rsidTr="00B55F24">
        <w:tc>
          <w:tcPr>
            <w:tcW w:w="3119" w:type="dxa"/>
            <w:shd w:val="clear" w:color="auto" w:fill="FFFFFF"/>
            <w:tcMar>
              <w:top w:w="0" w:type="dxa"/>
              <w:left w:w="85" w:type="dxa"/>
              <w:bottom w:w="0" w:type="dxa"/>
              <w:right w:w="85" w:type="dxa"/>
            </w:tcMar>
            <w:vAlign w:val="center"/>
          </w:tcPr>
          <w:p w14:paraId="7E4CD5A8" w14:textId="77777777" w:rsidR="00053418" w:rsidRPr="009E06AA" w:rsidRDefault="00053418" w:rsidP="00B55F24">
            <w:pPr>
              <w:pStyle w:val="TableText"/>
              <w:spacing w:before="40" w:after="40"/>
              <w:rPr>
                <w:szCs w:val="16"/>
              </w:rPr>
            </w:pPr>
            <w:r w:rsidRPr="009E06AA">
              <w:rPr>
                <w:rFonts w:eastAsia="Calibri" w:cs="Calibri"/>
                <w:color w:val="000000"/>
                <w:szCs w:val="16"/>
              </w:rPr>
              <w:t>Forest land</w:t>
            </w:r>
          </w:p>
        </w:tc>
        <w:tc>
          <w:tcPr>
            <w:tcW w:w="1025" w:type="dxa"/>
            <w:shd w:val="clear" w:color="auto" w:fill="FFFFFF"/>
            <w:tcMar>
              <w:top w:w="0" w:type="dxa"/>
              <w:left w:w="85" w:type="dxa"/>
              <w:bottom w:w="0" w:type="dxa"/>
              <w:right w:w="85" w:type="dxa"/>
            </w:tcMar>
            <w:vAlign w:val="center"/>
          </w:tcPr>
          <w:p w14:paraId="64AD93A0" w14:textId="77777777" w:rsidR="00053418" w:rsidRPr="009E06AA" w:rsidRDefault="00053418" w:rsidP="003D6A24">
            <w:pPr>
              <w:pStyle w:val="TableText"/>
              <w:spacing w:before="40" w:after="40"/>
              <w:jc w:val="right"/>
              <w:rPr>
                <w:szCs w:val="16"/>
              </w:rPr>
            </w:pPr>
            <w:r w:rsidRPr="009E06AA">
              <w:rPr>
                <w:rFonts w:eastAsia="Calibri" w:cs="Calibri"/>
                <w:color w:val="000000"/>
                <w:szCs w:val="16"/>
              </w:rPr>
              <w:t>-23,311.8</w:t>
            </w:r>
          </w:p>
        </w:tc>
        <w:tc>
          <w:tcPr>
            <w:tcW w:w="1101" w:type="dxa"/>
            <w:shd w:val="clear" w:color="auto" w:fill="FFFFFF"/>
            <w:tcMar>
              <w:top w:w="0" w:type="dxa"/>
              <w:left w:w="85" w:type="dxa"/>
              <w:bottom w:w="0" w:type="dxa"/>
              <w:right w:w="85" w:type="dxa"/>
            </w:tcMar>
            <w:vAlign w:val="center"/>
          </w:tcPr>
          <w:p w14:paraId="72055C3B" w14:textId="77777777" w:rsidR="00053418" w:rsidRPr="009E06AA" w:rsidRDefault="00053418" w:rsidP="003D6A24">
            <w:pPr>
              <w:pStyle w:val="TableText"/>
              <w:spacing w:before="40" w:after="40"/>
              <w:jc w:val="right"/>
              <w:rPr>
                <w:szCs w:val="16"/>
              </w:rPr>
            </w:pPr>
            <w:r w:rsidRPr="009E06AA">
              <w:rPr>
                <w:rFonts w:eastAsia="Calibri" w:cs="Calibri"/>
                <w:color w:val="000000"/>
                <w:szCs w:val="16"/>
              </w:rPr>
              <w:t>-17,274.3</w:t>
            </w:r>
          </w:p>
        </w:tc>
        <w:tc>
          <w:tcPr>
            <w:tcW w:w="1701" w:type="dxa"/>
            <w:shd w:val="clear" w:color="auto" w:fill="FFFFFF"/>
            <w:tcMar>
              <w:top w:w="0" w:type="dxa"/>
              <w:left w:w="85" w:type="dxa"/>
              <w:bottom w:w="0" w:type="dxa"/>
              <w:right w:w="85" w:type="dxa"/>
            </w:tcMar>
            <w:vAlign w:val="center"/>
          </w:tcPr>
          <w:p w14:paraId="52B02DFB" w14:textId="77777777" w:rsidR="00053418" w:rsidRPr="009E06AA" w:rsidRDefault="00053418" w:rsidP="003D6A24">
            <w:pPr>
              <w:pStyle w:val="TableText"/>
              <w:spacing w:before="40" w:after="40"/>
              <w:jc w:val="right"/>
              <w:rPr>
                <w:szCs w:val="16"/>
              </w:rPr>
            </w:pPr>
            <w:r w:rsidRPr="009E06AA">
              <w:rPr>
                <w:rFonts w:eastAsia="Calibri" w:cs="Calibri"/>
                <w:color w:val="000000"/>
                <w:szCs w:val="16"/>
              </w:rPr>
              <w:t>6,037.4</w:t>
            </w:r>
          </w:p>
        </w:tc>
        <w:tc>
          <w:tcPr>
            <w:tcW w:w="1417" w:type="dxa"/>
            <w:shd w:val="clear" w:color="auto" w:fill="FFFFFF"/>
            <w:tcMar>
              <w:top w:w="0" w:type="dxa"/>
              <w:left w:w="85" w:type="dxa"/>
              <w:bottom w:w="0" w:type="dxa"/>
              <w:right w:w="85" w:type="dxa"/>
            </w:tcMar>
            <w:vAlign w:val="center"/>
          </w:tcPr>
          <w:p w14:paraId="4BE0DB69" w14:textId="77777777" w:rsidR="00053418" w:rsidRPr="009E06AA" w:rsidRDefault="00053418" w:rsidP="003D6A24">
            <w:pPr>
              <w:pStyle w:val="TableText"/>
              <w:spacing w:before="40" w:after="40"/>
              <w:jc w:val="right"/>
              <w:rPr>
                <w:szCs w:val="16"/>
              </w:rPr>
            </w:pPr>
            <w:r w:rsidRPr="009E06AA">
              <w:rPr>
                <w:rFonts w:eastAsia="Calibri" w:cs="Calibri"/>
                <w:color w:val="000000"/>
                <w:szCs w:val="16"/>
              </w:rPr>
              <w:t>25.9</w:t>
            </w:r>
          </w:p>
        </w:tc>
      </w:tr>
      <w:tr w:rsidR="00053418" w:rsidRPr="009E06AA" w14:paraId="7DE1C435" w14:textId="77777777" w:rsidTr="00B55F24">
        <w:tc>
          <w:tcPr>
            <w:tcW w:w="3119" w:type="dxa"/>
            <w:shd w:val="clear" w:color="auto" w:fill="FFFFFF"/>
            <w:tcMar>
              <w:top w:w="0" w:type="dxa"/>
              <w:left w:w="85" w:type="dxa"/>
              <w:bottom w:w="0" w:type="dxa"/>
              <w:right w:w="85" w:type="dxa"/>
            </w:tcMar>
            <w:vAlign w:val="center"/>
          </w:tcPr>
          <w:p w14:paraId="2F352EF8" w14:textId="77777777" w:rsidR="00053418" w:rsidRPr="009E06AA" w:rsidRDefault="00053418" w:rsidP="00B55F24">
            <w:pPr>
              <w:pStyle w:val="TableText"/>
              <w:spacing w:before="40" w:after="40"/>
              <w:rPr>
                <w:szCs w:val="16"/>
              </w:rPr>
            </w:pPr>
            <w:r w:rsidRPr="009E06AA">
              <w:rPr>
                <w:rFonts w:eastAsia="Calibri" w:cs="Calibri"/>
                <w:color w:val="000000"/>
                <w:szCs w:val="16"/>
              </w:rPr>
              <w:t>Cropland</w:t>
            </w:r>
          </w:p>
        </w:tc>
        <w:tc>
          <w:tcPr>
            <w:tcW w:w="1025" w:type="dxa"/>
            <w:shd w:val="clear" w:color="auto" w:fill="FFFFFF"/>
            <w:tcMar>
              <w:top w:w="0" w:type="dxa"/>
              <w:left w:w="85" w:type="dxa"/>
              <w:bottom w:w="0" w:type="dxa"/>
              <w:right w:w="85" w:type="dxa"/>
            </w:tcMar>
            <w:vAlign w:val="center"/>
          </w:tcPr>
          <w:p w14:paraId="26579A8A" w14:textId="77777777" w:rsidR="00053418" w:rsidRPr="009E06AA" w:rsidRDefault="00053418" w:rsidP="003D6A24">
            <w:pPr>
              <w:pStyle w:val="TableText"/>
              <w:spacing w:before="40" w:after="40"/>
              <w:jc w:val="right"/>
              <w:rPr>
                <w:szCs w:val="16"/>
              </w:rPr>
            </w:pPr>
            <w:r w:rsidRPr="009E06AA">
              <w:rPr>
                <w:rFonts w:eastAsia="Calibri" w:cs="Calibri"/>
                <w:color w:val="000000"/>
                <w:szCs w:val="16"/>
              </w:rPr>
              <w:t>476.3</w:t>
            </w:r>
          </w:p>
        </w:tc>
        <w:tc>
          <w:tcPr>
            <w:tcW w:w="1101" w:type="dxa"/>
            <w:shd w:val="clear" w:color="auto" w:fill="FFFFFF"/>
            <w:tcMar>
              <w:top w:w="0" w:type="dxa"/>
              <w:left w:w="85" w:type="dxa"/>
              <w:bottom w:w="0" w:type="dxa"/>
              <w:right w:w="85" w:type="dxa"/>
            </w:tcMar>
            <w:vAlign w:val="center"/>
          </w:tcPr>
          <w:p w14:paraId="09D06DB0" w14:textId="77777777" w:rsidR="00053418" w:rsidRPr="009E06AA" w:rsidRDefault="00053418" w:rsidP="003D6A24">
            <w:pPr>
              <w:pStyle w:val="TableText"/>
              <w:spacing w:before="40" w:after="40"/>
              <w:jc w:val="right"/>
              <w:rPr>
                <w:szCs w:val="16"/>
              </w:rPr>
            </w:pPr>
            <w:r w:rsidRPr="009E06AA">
              <w:rPr>
                <w:rFonts w:eastAsia="Calibri" w:cs="Calibri"/>
                <w:color w:val="000000"/>
                <w:szCs w:val="16"/>
              </w:rPr>
              <w:t>711.9</w:t>
            </w:r>
          </w:p>
        </w:tc>
        <w:tc>
          <w:tcPr>
            <w:tcW w:w="1701" w:type="dxa"/>
            <w:shd w:val="clear" w:color="auto" w:fill="FFFFFF"/>
            <w:tcMar>
              <w:top w:w="0" w:type="dxa"/>
              <w:left w:w="85" w:type="dxa"/>
              <w:bottom w:w="0" w:type="dxa"/>
              <w:right w:w="85" w:type="dxa"/>
            </w:tcMar>
            <w:vAlign w:val="center"/>
          </w:tcPr>
          <w:p w14:paraId="1C0CAC57" w14:textId="77777777" w:rsidR="00053418" w:rsidRPr="009E06AA" w:rsidRDefault="00053418" w:rsidP="003D6A24">
            <w:pPr>
              <w:pStyle w:val="TableText"/>
              <w:spacing w:before="40" w:after="40"/>
              <w:jc w:val="right"/>
              <w:rPr>
                <w:szCs w:val="16"/>
              </w:rPr>
            </w:pPr>
            <w:r w:rsidRPr="009E06AA">
              <w:rPr>
                <w:rFonts w:eastAsia="Calibri" w:cs="Calibri"/>
                <w:color w:val="000000"/>
                <w:szCs w:val="16"/>
              </w:rPr>
              <w:t>235.7</w:t>
            </w:r>
          </w:p>
        </w:tc>
        <w:tc>
          <w:tcPr>
            <w:tcW w:w="1417" w:type="dxa"/>
            <w:shd w:val="clear" w:color="auto" w:fill="FFFFFF"/>
            <w:tcMar>
              <w:top w:w="0" w:type="dxa"/>
              <w:left w:w="85" w:type="dxa"/>
              <w:bottom w:w="0" w:type="dxa"/>
              <w:right w:w="85" w:type="dxa"/>
            </w:tcMar>
            <w:vAlign w:val="center"/>
          </w:tcPr>
          <w:p w14:paraId="2D3C504F" w14:textId="77777777" w:rsidR="00053418" w:rsidRPr="009E06AA" w:rsidRDefault="00053418" w:rsidP="003D6A24">
            <w:pPr>
              <w:pStyle w:val="TableText"/>
              <w:spacing w:before="40" w:after="40"/>
              <w:jc w:val="right"/>
              <w:rPr>
                <w:szCs w:val="16"/>
              </w:rPr>
            </w:pPr>
            <w:r w:rsidRPr="009E06AA">
              <w:rPr>
                <w:rFonts w:eastAsia="Calibri" w:cs="Calibri"/>
                <w:color w:val="000000"/>
                <w:szCs w:val="16"/>
              </w:rPr>
              <w:t>49.5</w:t>
            </w:r>
          </w:p>
        </w:tc>
      </w:tr>
      <w:tr w:rsidR="00053418" w:rsidRPr="009E06AA" w14:paraId="789D7487" w14:textId="77777777" w:rsidTr="00B55F24">
        <w:tc>
          <w:tcPr>
            <w:tcW w:w="3119" w:type="dxa"/>
            <w:shd w:val="clear" w:color="auto" w:fill="FFFFFF"/>
            <w:tcMar>
              <w:top w:w="0" w:type="dxa"/>
              <w:left w:w="85" w:type="dxa"/>
              <w:bottom w:w="0" w:type="dxa"/>
              <w:right w:w="85" w:type="dxa"/>
            </w:tcMar>
            <w:vAlign w:val="center"/>
          </w:tcPr>
          <w:p w14:paraId="59311977" w14:textId="77777777" w:rsidR="00053418" w:rsidRPr="009E06AA" w:rsidRDefault="00053418" w:rsidP="00B55F24">
            <w:pPr>
              <w:pStyle w:val="TableText"/>
              <w:spacing w:before="40" w:after="40"/>
              <w:rPr>
                <w:szCs w:val="16"/>
              </w:rPr>
            </w:pPr>
            <w:r w:rsidRPr="009E06AA">
              <w:rPr>
                <w:rFonts w:eastAsia="Calibri" w:cs="Calibri"/>
                <w:color w:val="000000"/>
                <w:szCs w:val="16"/>
              </w:rPr>
              <w:t>Grassland</w:t>
            </w:r>
          </w:p>
        </w:tc>
        <w:tc>
          <w:tcPr>
            <w:tcW w:w="1025" w:type="dxa"/>
            <w:shd w:val="clear" w:color="auto" w:fill="FFFFFF"/>
            <w:tcMar>
              <w:top w:w="0" w:type="dxa"/>
              <w:left w:w="85" w:type="dxa"/>
              <w:bottom w:w="0" w:type="dxa"/>
              <w:right w:w="85" w:type="dxa"/>
            </w:tcMar>
            <w:vAlign w:val="center"/>
          </w:tcPr>
          <w:p w14:paraId="4BAADFF1" w14:textId="77777777" w:rsidR="00053418" w:rsidRPr="009E06AA" w:rsidRDefault="00053418" w:rsidP="003D6A24">
            <w:pPr>
              <w:pStyle w:val="TableText"/>
              <w:spacing w:before="40" w:after="40"/>
              <w:jc w:val="right"/>
              <w:rPr>
                <w:szCs w:val="16"/>
              </w:rPr>
            </w:pPr>
            <w:r w:rsidRPr="009E06AA">
              <w:rPr>
                <w:rFonts w:eastAsia="Calibri" w:cs="Calibri"/>
                <w:color w:val="000000"/>
                <w:szCs w:val="16"/>
              </w:rPr>
              <w:t>826.2</w:t>
            </w:r>
          </w:p>
        </w:tc>
        <w:tc>
          <w:tcPr>
            <w:tcW w:w="1101" w:type="dxa"/>
            <w:shd w:val="clear" w:color="auto" w:fill="FFFFFF"/>
            <w:tcMar>
              <w:top w:w="0" w:type="dxa"/>
              <w:left w:w="85" w:type="dxa"/>
              <w:bottom w:w="0" w:type="dxa"/>
              <w:right w:w="85" w:type="dxa"/>
            </w:tcMar>
            <w:vAlign w:val="center"/>
          </w:tcPr>
          <w:p w14:paraId="755E0819" w14:textId="77777777" w:rsidR="00053418" w:rsidRPr="009E06AA" w:rsidRDefault="00053418" w:rsidP="003D6A24">
            <w:pPr>
              <w:pStyle w:val="TableText"/>
              <w:spacing w:before="40" w:after="40"/>
              <w:jc w:val="right"/>
              <w:rPr>
                <w:szCs w:val="16"/>
              </w:rPr>
            </w:pPr>
            <w:r w:rsidRPr="009E06AA">
              <w:rPr>
                <w:rFonts w:eastAsia="Calibri" w:cs="Calibri"/>
                <w:color w:val="000000"/>
                <w:szCs w:val="16"/>
              </w:rPr>
              <w:t>3,665.7</w:t>
            </w:r>
          </w:p>
        </w:tc>
        <w:tc>
          <w:tcPr>
            <w:tcW w:w="1701" w:type="dxa"/>
            <w:shd w:val="clear" w:color="auto" w:fill="FFFFFF"/>
            <w:tcMar>
              <w:top w:w="0" w:type="dxa"/>
              <w:left w:w="85" w:type="dxa"/>
              <w:bottom w:w="0" w:type="dxa"/>
              <w:right w:w="85" w:type="dxa"/>
            </w:tcMar>
            <w:vAlign w:val="center"/>
          </w:tcPr>
          <w:p w14:paraId="3369A856" w14:textId="77777777" w:rsidR="00053418" w:rsidRPr="009E06AA" w:rsidRDefault="00053418" w:rsidP="003D6A24">
            <w:pPr>
              <w:pStyle w:val="TableText"/>
              <w:spacing w:before="40" w:after="40"/>
              <w:jc w:val="right"/>
              <w:rPr>
                <w:szCs w:val="16"/>
              </w:rPr>
            </w:pPr>
            <w:r w:rsidRPr="009E06AA">
              <w:rPr>
                <w:rFonts w:eastAsia="Calibri" w:cs="Calibri"/>
                <w:color w:val="000000"/>
                <w:szCs w:val="16"/>
              </w:rPr>
              <w:t>2,839.5</w:t>
            </w:r>
          </w:p>
        </w:tc>
        <w:tc>
          <w:tcPr>
            <w:tcW w:w="1417" w:type="dxa"/>
            <w:shd w:val="clear" w:color="auto" w:fill="FFFFFF"/>
            <w:tcMar>
              <w:top w:w="0" w:type="dxa"/>
              <w:left w:w="85" w:type="dxa"/>
              <w:bottom w:w="0" w:type="dxa"/>
              <w:right w:w="85" w:type="dxa"/>
            </w:tcMar>
            <w:vAlign w:val="center"/>
          </w:tcPr>
          <w:p w14:paraId="776BAB74" w14:textId="77777777" w:rsidR="00053418" w:rsidRPr="009E06AA" w:rsidRDefault="00053418" w:rsidP="003D6A24">
            <w:pPr>
              <w:pStyle w:val="TableText"/>
              <w:spacing w:before="40" w:after="40"/>
              <w:jc w:val="right"/>
              <w:rPr>
                <w:szCs w:val="16"/>
              </w:rPr>
            </w:pPr>
            <w:r w:rsidRPr="009E06AA">
              <w:rPr>
                <w:rFonts w:eastAsia="Calibri" w:cs="Calibri"/>
                <w:color w:val="000000"/>
                <w:szCs w:val="16"/>
              </w:rPr>
              <w:t>343.7</w:t>
            </w:r>
          </w:p>
        </w:tc>
      </w:tr>
      <w:tr w:rsidR="00053418" w:rsidRPr="009E06AA" w14:paraId="0EC8A6CD" w14:textId="77777777" w:rsidTr="00B55F24">
        <w:tc>
          <w:tcPr>
            <w:tcW w:w="3119" w:type="dxa"/>
            <w:shd w:val="clear" w:color="auto" w:fill="FFFFFF"/>
            <w:tcMar>
              <w:top w:w="0" w:type="dxa"/>
              <w:left w:w="85" w:type="dxa"/>
              <w:bottom w:w="0" w:type="dxa"/>
              <w:right w:w="85" w:type="dxa"/>
            </w:tcMar>
            <w:vAlign w:val="center"/>
          </w:tcPr>
          <w:p w14:paraId="4B8C54C1" w14:textId="77777777" w:rsidR="00053418" w:rsidRPr="009E06AA" w:rsidRDefault="00053418" w:rsidP="00B55F24">
            <w:pPr>
              <w:pStyle w:val="TableText"/>
              <w:spacing w:before="40" w:after="40"/>
              <w:rPr>
                <w:szCs w:val="16"/>
              </w:rPr>
            </w:pPr>
            <w:r w:rsidRPr="009E06AA">
              <w:rPr>
                <w:rFonts w:eastAsia="Calibri" w:cs="Calibri"/>
                <w:color w:val="000000"/>
                <w:szCs w:val="16"/>
              </w:rPr>
              <w:t>Wetlands</w:t>
            </w:r>
          </w:p>
        </w:tc>
        <w:tc>
          <w:tcPr>
            <w:tcW w:w="1025" w:type="dxa"/>
            <w:shd w:val="clear" w:color="auto" w:fill="FFFFFF"/>
            <w:tcMar>
              <w:top w:w="0" w:type="dxa"/>
              <w:left w:w="85" w:type="dxa"/>
              <w:bottom w:w="0" w:type="dxa"/>
              <w:right w:w="85" w:type="dxa"/>
            </w:tcMar>
            <w:vAlign w:val="center"/>
          </w:tcPr>
          <w:p w14:paraId="619C57BD" w14:textId="77777777" w:rsidR="00053418" w:rsidRPr="009E06AA" w:rsidRDefault="00053418" w:rsidP="003D6A24">
            <w:pPr>
              <w:pStyle w:val="TableText"/>
              <w:spacing w:before="40" w:after="40"/>
              <w:jc w:val="right"/>
              <w:rPr>
                <w:szCs w:val="16"/>
              </w:rPr>
            </w:pPr>
            <w:r w:rsidRPr="009E06AA">
              <w:rPr>
                <w:rFonts w:eastAsia="Calibri" w:cs="Calibri"/>
                <w:color w:val="000000"/>
                <w:szCs w:val="16"/>
              </w:rPr>
              <w:t>-8.3</w:t>
            </w:r>
          </w:p>
        </w:tc>
        <w:tc>
          <w:tcPr>
            <w:tcW w:w="1101" w:type="dxa"/>
            <w:shd w:val="clear" w:color="auto" w:fill="FFFFFF"/>
            <w:tcMar>
              <w:top w:w="0" w:type="dxa"/>
              <w:left w:w="85" w:type="dxa"/>
              <w:bottom w:w="0" w:type="dxa"/>
              <w:right w:w="85" w:type="dxa"/>
            </w:tcMar>
            <w:vAlign w:val="center"/>
          </w:tcPr>
          <w:p w14:paraId="45DECF84" w14:textId="77777777" w:rsidR="00053418" w:rsidRPr="009E06AA" w:rsidRDefault="00053418" w:rsidP="003D6A24">
            <w:pPr>
              <w:pStyle w:val="TableText"/>
              <w:spacing w:before="40" w:after="40"/>
              <w:jc w:val="right"/>
              <w:rPr>
                <w:szCs w:val="16"/>
              </w:rPr>
            </w:pPr>
            <w:r w:rsidRPr="009E06AA">
              <w:rPr>
                <w:rFonts w:eastAsia="Calibri" w:cs="Calibri"/>
                <w:color w:val="000000"/>
                <w:szCs w:val="16"/>
              </w:rPr>
              <w:t>8.0</w:t>
            </w:r>
          </w:p>
        </w:tc>
        <w:tc>
          <w:tcPr>
            <w:tcW w:w="1701" w:type="dxa"/>
            <w:shd w:val="clear" w:color="auto" w:fill="FFFFFF"/>
            <w:tcMar>
              <w:top w:w="0" w:type="dxa"/>
              <w:left w:w="85" w:type="dxa"/>
              <w:bottom w:w="0" w:type="dxa"/>
              <w:right w:w="85" w:type="dxa"/>
            </w:tcMar>
            <w:vAlign w:val="center"/>
          </w:tcPr>
          <w:p w14:paraId="0FCBDD56" w14:textId="77777777" w:rsidR="00053418" w:rsidRPr="009E06AA" w:rsidRDefault="00053418" w:rsidP="003D6A24">
            <w:pPr>
              <w:pStyle w:val="TableText"/>
              <w:spacing w:before="40" w:after="40"/>
              <w:jc w:val="right"/>
              <w:rPr>
                <w:szCs w:val="16"/>
              </w:rPr>
            </w:pPr>
            <w:r w:rsidRPr="009E06AA">
              <w:rPr>
                <w:rFonts w:eastAsia="Calibri" w:cs="Calibri"/>
                <w:color w:val="000000"/>
                <w:szCs w:val="16"/>
              </w:rPr>
              <w:t>16.3</w:t>
            </w:r>
          </w:p>
        </w:tc>
        <w:tc>
          <w:tcPr>
            <w:tcW w:w="1417" w:type="dxa"/>
            <w:shd w:val="clear" w:color="auto" w:fill="FFFFFF"/>
            <w:tcMar>
              <w:top w:w="0" w:type="dxa"/>
              <w:left w:w="85" w:type="dxa"/>
              <w:bottom w:w="0" w:type="dxa"/>
              <w:right w:w="85" w:type="dxa"/>
            </w:tcMar>
            <w:vAlign w:val="center"/>
          </w:tcPr>
          <w:p w14:paraId="1AF6F2AD" w14:textId="77777777" w:rsidR="00053418" w:rsidRPr="009E06AA" w:rsidRDefault="00053418" w:rsidP="003D6A24">
            <w:pPr>
              <w:pStyle w:val="TableText"/>
              <w:spacing w:before="40" w:after="40"/>
              <w:jc w:val="right"/>
              <w:rPr>
                <w:szCs w:val="16"/>
              </w:rPr>
            </w:pPr>
            <w:r w:rsidRPr="009E06AA">
              <w:rPr>
                <w:rFonts w:eastAsia="Calibri" w:cs="Calibri"/>
                <w:color w:val="000000"/>
                <w:szCs w:val="16"/>
              </w:rPr>
              <w:t>196.6</w:t>
            </w:r>
          </w:p>
        </w:tc>
      </w:tr>
      <w:tr w:rsidR="00053418" w:rsidRPr="009E06AA" w14:paraId="452AAD6B" w14:textId="77777777" w:rsidTr="00B55F24">
        <w:tc>
          <w:tcPr>
            <w:tcW w:w="3119" w:type="dxa"/>
            <w:shd w:val="clear" w:color="auto" w:fill="FFFFFF"/>
            <w:tcMar>
              <w:top w:w="0" w:type="dxa"/>
              <w:left w:w="85" w:type="dxa"/>
              <w:bottom w:w="0" w:type="dxa"/>
              <w:right w:w="85" w:type="dxa"/>
            </w:tcMar>
            <w:vAlign w:val="center"/>
          </w:tcPr>
          <w:p w14:paraId="42B3B2AE" w14:textId="77777777" w:rsidR="00053418" w:rsidRPr="009E06AA" w:rsidRDefault="00053418" w:rsidP="00B55F24">
            <w:pPr>
              <w:pStyle w:val="TableText"/>
              <w:spacing w:before="40" w:after="40"/>
              <w:rPr>
                <w:szCs w:val="16"/>
              </w:rPr>
            </w:pPr>
            <w:r w:rsidRPr="009E06AA">
              <w:rPr>
                <w:rFonts w:eastAsia="Calibri" w:cs="Calibri"/>
                <w:color w:val="000000"/>
                <w:szCs w:val="16"/>
              </w:rPr>
              <w:t>Settlements</w:t>
            </w:r>
          </w:p>
        </w:tc>
        <w:tc>
          <w:tcPr>
            <w:tcW w:w="1025" w:type="dxa"/>
            <w:shd w:val="clear" w:color="auto" w:fill="FFFFFF"/>
            <w:tcMar>
              <w:top w:w="0" w:type="dxa"/>
              <w:left w:w="85" w:type="dxa"/>
              <w:bottom w:w="0" w:type="dxa"/>
              <w:right w:w="85" w:type="dxa"/>
            </w:tcMar>
            <w:vAlign w:val="center"/>
          </w:tcPr>
          <w:p w14:paraId="02DA9D7F" w14:textId="77777777" w:rsidR="00053418" w:rsidRPr="009E06AA" w:rsidRDefault="00053418" w:rsidP="003D6A24">
            <w:pPr>
              <w:pStyle w:val="TableText"/>
              <w:spacing w:before="40" w:after="40"/>
              <w:jc w:val="right"/>
              <w:rPr>
                <w:szCs w:val="16"/>
              </w:rPr>
            </w:pPr>
            <w:r w:rsidRPr="009E06AA">
              <w:rPr>
                <w:rFonts w:eastAsia="Calibri" w:cs="Calibri"/>
                <w:color w:val="000000"/>
                <w:szCs w:val="16"/>
              </w:rPr>
              <w:t>78.9</w:t>
            </w:r>
          </w:p>
        </w:tc>
        <w:tc>
          <w:tcPr>
            <w:tcW w:w="1101" w:type="dxa"/>
            <w:shd w:val="clear" w:color="auto" w:fill="FFFFFF"/>
            <w:tcMar>
              <w:top w:w="0" w:type="dxa"/>
              <w:left w:w="85" w:type="dxa"/>
              <w:bottom w:w="0" w:type="dxa"/>
              <w:right w:w="85" w:type="dxa"/>
            </w:tcMar>
            <w:vAlign w:val="center"/>
          </w:tcPr>
          <w:p w14:paraId="17D8D446" w14:textId="77777777" w:rsidR="00053418" w:rsidRPr="009E06AA" w:rsidRDefault="00053418" w:rsidP="003D6A24">
            <w:pPr>
              <w:pStyle w:val="TableText"/>
              <w:spacing w:before="40" w:after="40"/>
              <w:jc w:val="right"/>
              <w:rPr>
                <w:szCs w:val="16"/>
              </w:rPr>
            </w:pPr>
            <w:r w:rsidRPr="009E06AA">
              <w:rPr>
                <w:rFonts w:eastAsia="Calibri" w:cs="Calibri"/>
                <w:color w:val="000000"/>
                <w:szCs w:val="16"/>
              </w:rPr>
              <w:t>118.0</w:t>
            </w:r>
          </w:p>
        </w:tc>
        <w:tc>
          <w:tcPr>
            <w:tcW w:w="1701" w:type="dxa"/>
            <w:shd w:val="clear" w:color="auto" w:fill="FFFFFF"/>
            <w:tcMar>
              <w:top w:w="0" w:type="dxa"/>
              <w:left w:w="85" w:type="dxa"/>
              <w:bottom w:w="0" w:type="dxa"/>
              <w:right w:w="85" w:type="dxa"/>
            </w:tcMar>
            <w:vAlign w:val="center"/>
          </w:tcPr>
          <w:p w14:paraId="745451AD" w14:textId="77777777" w:rsidR="00053418" w:rsidRPr="009E06AA" w:rsidRDefault="00053418" w:rsidP="003D6A24">
            <w:pPr>
              <w:pStyle w:val="TableText"/>
              <w:spacing w:before="40" w:after="40"/>
              <w:jc w:val="right"/>
              <w:rPr>
                <w:szCs w:val="16"/>
              </w:rPr>
            </w:pPr>
            <w:r w:rsidRPr="009E06AA">
              <w:rPr>
                <w:rFonts w:eastAsia="Calibri" w:cs="Calibri"/>
                <w:color w:val="000000"/>
                <w:szCs w:val="16"/>
              </w:rPr>
              <w:t>39.1</w:t>
            </w:r>
          </w:p>
        </w:tc>
        <w:tc>
          <w:tcPr>
            <w:tcW w:w="1417" w:type="dxa"/>
            <w:shd w:val="clear" w:color="auto" w:fill="FFFFFF"/>
            <w:tcMar>
              <w:top w:w="0" w:type="dxa"/>
              <w:left w:w="85" w:type="dxa"/>
              <w:bottom w:w="0" w:type="dxa"/>
              <w:right w:w="85" w:type="dxa"/>
            </w:tcMar>
            <w:vAlign w:val="center"/>
          </w:tcPr>
          <w:p w14:paraId="61CE5F4B" w14:textId="77777777" w:rsidR="00053418" w:rsidRPr="009E06AA" w:rsidRDefault="00053418" w:rsidP="003D6A24">
            <w:pPr>
              <w:pStyle w:val="TableText"/>
              <w:spacing w:before="40" w:after="40"/>
              <w:jc w:val="right"/>
              <w:rPr>
                <w:szCs w:val="16"/>
              </w:rPr>
            </w:pPr>
            <w:r w:rsidRPr="009E06AA">
              <w:rPr>
                <w:rFonts w:eastAsia="Calibri" w:cs="Calibri"/>
                <w:color w:val="000000"/>
                <w:szCs w:val="16"/>
              </w:rPr>
              <w:t>49.6</w:t>
            </w:r>
          </w:p>
        </w:tc>
      </w:tr>
      <w:tr w:rsidR="00053418" w:rsidRPr="009E06AA" w14:paraId="2A859C3F" w14:textId="77777777" w:rsidTr="00B55F24">
        <w:tc>
          <w:tcPr>
            <w:tcW w:w="3119" w:type="dxa"/>
            <w:shd w:val="clear" w:color="auto" w:fill="FFFFFF"/>
            <w:tcMar>
              <w:top w:w="0" w:type="dxa"/>
              <w:left w:w="85" w:type="dxa"/>
              <w:bottom w:w="0" w:type="dxa"/>
              <w:right w:w="85" w:type="dxa"/>
            </w:tcMar>
            <w:vAlign w:val="center"/>
          </w:tcPr>
          <w:p w14:paraId="114BAE4D" w14:textId="77777777" w:rsidR="00053418" w:rsidRPr="009E06AA" w:rsidRDefault="00053418" w:rsidP="00B55F24">
            <w:pPr>
              <w:pStyle w:val="TableText"/>
              <w:spacing w:before="40" w:after="40"/>
              <w:rPr>
                <w:szCs w:val="16"/>
              </w:rPr>
            </w:pPr>
            <w:r w:rsidRPr="009E06AA">
              <w:rPr>
                <w:rFonts w:eastAsia="Calibri" w:cs="Calibri"/>
                <w:color w:val="000000"/>
                <w:szCs w:val="16"/>
              </w:rPr>
              <w:t>Other land</w:t>
            </w:r>
          </w:p>
        </w:tc>
        <w:tc>
          <w:tcPr>
            <w:tcW w:w="1025" w:type="dxa"/>
            <w:shd w:val="clear" w:color="auto" w:fill="FFFFFF"/>
            <w:tcMar>
              <w:top w:w="0" w:type="dxa"/>
              <w:left w:w="85" w:type="dxa"/>
              <w:bottom w:w="0" w:type="dxa"/>
              <w:right w:w="85" w:type="dxa"/>
            </w:tcMar>
            <w:vAlign w:val="center"/>
          </w:tcPr>
          <w:p w14:paraId="1F6A7DF1" w14:textId="77777777" w:rsidR="00053418" w:rsidRPr="009E06AA" w:rsidRDefault="00053418" w:rsidP="003D6A24">
            <w:pPr>
              <w:pStyle w:val="TableText"/>
              <w:spacing w:before="40" w:after="40"/>
              <w:jc w:val="right"/>
              <w:rPr>
                <w:szCs w:val="16"/>
              </w:rPr>
            </w:pPr>
            <w:r w:rsidRPr="009E06AA">
              <w:rPr>
                <w:rFonts w:eastAsia="Calibri" w:cs="Calibri"/>
                <w:color w:val="000000"/>
                <w:szCs w:val="16"/>
              </w:rPr>
              <w:t>14.8</w:t>
            </w:r>
          </w:p>
        </w:tc>
        <w:tc>
          <w:tcPr>
            <w:tcW w:w="1101" w:type="dxa"/>
            <w:shd w:val="clear" w:color="auto" w:fill="FFFFFF"/>
            <w:tcMar>
              <w:top w:w="0" w:type="dxa"/>
              <w:left w:w="85" w:type="dxa"/>
              <w:bottom w:w="0" w:type="dxa"/>
              <w:right w:w="85" w:type="dxa"/>
            </w:tcMar>
            <w:vAlign w:val="center"/>
          </w:tcPr>
          <w:p w14:paraId="536E4258" w14:textId="77777777" w:rsidR="00053418" w:rsidRPr="009E06AA" w:rsidRDefault="00053418" w:rsidP="003D6A24">
            <w:pPr>
              <w:pStyle w:val="TableText"/>
              <w:spacing w:before="40" w:after="40"/>
              <w:jc w:val="right"/>
              <w:rPr>
                <w:szCs w:val="16"/>
              </w:rPr>
            </w:pPr>
            <w:r w:rsidRPr="009E06AA">
              <w:rPr>
                <w:rFonts w:eastAsia="Calibri" w:cs="Calibri"/>
                <w:color w:val="000000"/>
                <w:szCs w:val="16"/>
              </w:rPr>
              <w:t>90.7</w:t>
            </w:r>
          </w:p>
        </w:tc>
        <w:tc>
          <w:tcPr>
            <w:tcW w:w="1701" w:type="dxa"/>
            <w:shd w:val="clear" w:color="auto" w:fill="FFFFFF"/>
            <w:tcMar>
              <w:top w:w="0" w:type="dxa"/>
              <w:left w:w="85" w:type="dxa"/>
              <w:bottom w:w="0" w:type="dxa"/>
              <w:right w:w="85" w:type="dxa"/>
            </w:tcMar>
            <w:vAlign w:val="center"/>
          </w:tcPr>
          <w:p w14:paraId="47F401DC" w14:textId="77777777" w:rsidR="00053418" w:rsidRPr="009E06AA" w:rsidRDefault="00053418" w:rsidP="003D6A24">
            <w:pPr>
              <w:pStyle w:val="TableText"/>
              <w:spacing w:before="40" w:after="40"/>
              <w:jc w:val="right"/>
              <w:rPr>
                <w:szCs w:val="16"/>
              </w:rPr>
            </w:pPr>
            <w:r w:rsidRPr="009E06AA">
              <w:rPr>
                <w:rFonts w:eastAsia="Calibri" w:cs="Calibri"/>
                <w:color w:val="000000"/>
                <w:szCs w:val="16"/>
              </w:rPr>
              <w:t>76.0</w:t>
            </w:r>
          </w:p>
        </w:tc>
        <w:tc>
          <w:tcPr>
            <w:tcW w:w="1417" w:type="dxa"/>
            <w:shd w:val="clear" w:color="auto" w:fill="FFFFFF"/>
            <w:tcMar>
              <w:top w:w="0" w:type="dxa"/>
              <w:left w:w="85" w:type="dxa"/>
              <w:bottom w:w="0" w:type="dxa"/>
              <w:right w:w="85" w:type="dxa"/>
            </w:tcMar>
            <w:vAlign w:val="center"/>
          </w:tcPr>
          <w:p w14:paraId="76F8313B" w14:textId="77777777" w:rsidR="00053418" w:rsidRPr="009E06AA" w:rsidRDefault="00053418" w:rsidP="003D6A24">
            <w:pPr>
              <w:pStyle w:val="TableText"/>
              <w:spacing w:before="40" w:after="40"/>
              <w:jc w:val="right"/>
              <w:rPr>
                <w:szCs w:val="16"/>
              </w:rPr>
            </w:pPr>
            <w:r w:rsidRPr="009E06AA">
              <w:rPr>
                <w:rFonts w:eastAsia="Calibri" w:cs="Calibri"/>
                <w:color w:val="000000"/>
                <w:szCs w:val="16"/>
              </w:rPr>
              <w:t>514.8</w:t>
            </w:r>
          </w:p>
        </w:tc>
      </w:tr>
      <w:tr w:rsidR="00053418" w:rsidRPr="009E06AA" w14:paraId="44A5BDC5" w14:textId="77777777" w:rsidTr="00B55F24">
        <w:tc>
          <w:tcPr>
            <w:tcW w:w="3119" w:type="dxa"/>
            <w:shd w:val="clear" w:color="auto" w:fill="FFFFFF"/>
            <w:tcMar>
              <w:top w:w="0" w:type="dxa"/>
              <w:left w:w="85" w:type="dxa"/>
              <w:bottom w:w="0" w:type="dxa"/>
              <w:right w:w="85" w:type="dxa"/>
            </w:tcMar>
            <w:vAlign w:val="center"/>
          </w:tcPr>
          <w:p w14:paraId="62C7E172" w14:textId="77777777" w:rsidR="00053418" w:rsidRPr="009E06AA" w:rsidRDefault="00053418" w:rsidP="00B55F24">
            <w:pPr>
              <w:pStyle w:val="TableText"/>
              <w:spacing w:before="40" w:after="40"/>
              <w:rPr>
                <w:szCs w:val="16"/>
              </w:rPr>
            </w:pPr>
            <w:r w:rsidRPr="009E06AA">
              <w:rPr>
                <w:rFonts w:eastAsia="Calibri" w:cs="Calibri"/>
                <w:color w:val="000000"/>
                <w:szCs w:val="16"/>
              </w:rPr>
              <w:t>Indirect emissions*</w:t>
            </w:r>
          </w:p>
        </w:tc>
        <w:tc>
          <w:tcPr>
            <w:tcW w:w="1025" w:type="dxa"/>
            <w:shd w:val="clear" w:color="auto" w:fill="FFFFFF"/>
            <w:tcMar>
              <w:top w:w="0" w:type="dxa"/>
              <w:left w:w="85" w:type="dxa"/>
              <w:bottom w:w="0" w:type="dxa"/>
              <w:right w:w="85" w:type="dxa"/>
            </w:tcMar>
            <w:vAlign w:val="center"/>
          </w:tcPr>
          <w:p w14:paraId="2920B3F9" w14:textId="77777777" w:rsidR="00053418" w:rsidRPr="009E06AA" w:rsidRDefault="00053418" w:rsidP="003D6A24">
            <w:pPr>
              <w:pStyle w:val="TableText"/>
              <w:spacing w:before="40" w:after="40"/>
              <w:jc w:val="right"/>
              <w:rPr>
                <w:szCs w:val="16"/>
              </w:rPr>
            </w:pPr>
            <w:r w:rsidRPr="009E06AA">
              <w:rPr>
                <w:rFonts w:eastAsia="Calibri" w:cs="Calibri"/>
                <w:color w:val="000000"/>
                <w:szCs w:val="16"/>
              </w:rPr>
              <w:t>37.1</w:t>
            </w:r>
          </w:p>
        </w:tc>
        <w:tc>
          <w:tcPr>
            <w:tcW w:w="1101" w:type="dxa"/>
            <w:shd w:val="clear" w:color="auto" w:fill="FFFFFF"/>
            <w:tcMar>
              <w:top w:w="0" w:type="dxa"/>
              <w:left w:w="85" w:type="dxa"/>
              <w:bottom w:w="0" w:type="dxa"/>
              <w:right w:w="85" w:type="dxa"/>
            </w:tcMar>
            <w:vAlign w:val="center"/>
          </w:tcPr>
          <w:p w14:paraId="66A51DF6" w14:textId="77777777" w:rsidR="00053418" w:rsidRPr="009E06AA" w:rsidRDefault="00053418" w:rsidP="003D6A24">
            <w:pPr>
              <w:pStyle w:val="TableText"/>
              <w:spacing w:before="40" w:after="40"/>
              <w:jc w:val="right"/>
              <w:rPr>
                <w:szCs w:val="16"/>
              </w:rPr>
            </w:pPr>
            <w:r w:rsidRPr="009E06AA">
              <w:rPr>
                <w:rFonts w:eastAsia="Calibri" w:cs="Calibri"/>
                <w:color w:val="000000"/>
                <w:szCs w:val="16"/>
              </w:rPr>
              <w:t>23.5</w:t>
            </w:r>
          </w:p>
        </w:tc>
        <w:tc>
          <w:tcPr>
            <w:tcW w:w="1701" w:type="dxa"/>
            <w:shd w:val="clear" w:color="auto" w:fill="FFFFFF"/>
            <w:tcMar>
              <w:top w:w="0" w:type="dxa"/>
              <w:left w:w="85" w:type="dxa"/>
              <w:bottom w:w="0" w:type="dxa"/>
              <w:right w:w="85" w:type="dxa"/>
            </w:tcMar>
            <w:vAlign w:val="center"/>
          </w:tcPr>
          <w:p w14:paraId="677B63A5" w14:textId="77777777" w:rsidR="00053418" w:rsidRPr="009E06AA" w:rsidRDefault="00053418" w:rsidP="003D6A24">
            <w:pPr>
              <w:pStyle w:val="TableText"/>
              <w:spacing w:before="40" w:after="40"/>
              <w:jc w:val="right"/>
              <w:rPr>
                <w:szCs w:val="16"/>
              </w:rPr>
            </w:pPr>
            <w:r w:rsidRPr="009E06AA">
              <w:rPr>
                <w:rFonts w:eastAsia="Calibri" w:cs="Calibri"/>
                <w:color w:val="000000"/>
                <w:szCs w:val="16"/>
              </w:rPr>
              <w:t>-13.6</w:t>
            </w:r>
          </w:p>
        </w:tc>
        <w:tc>
          <w:tcPr>
            <w:tcW w:w="1417" w:type="dxa"/>
            <w:shd w:val="clear" w:color="auto" w:fill="FFFFFF"/>
            <w:tcMar>
              <w:top w:w="0" w:type="dxa"/>
              <w:left w:w="85" w:type="dxa"/>
              <w:bottom w:w="0" w:type="dxa"/>
              <w:right w:w="85" w:type="dxa"/>
            </w:tcMar>
            <w:vAlign w:val="center"/>
          </w:tcPr>
          <w:p w14:paraId="03AAA5C2" w14:textId="77777777" w:rsidR="00053418" w:rsidRPr="009E06AA" w:rsidRDefault="00053418" w:rsidP="003D6A24">
            <w:pPr>
              <w:pStyle w:val="TableText"/>
              <w:spacing w:before="40" w:after="40"/>
              <w:jc w:val="right"/>
              <w:rPr>
                <w:szCs w:val="16"/>
              </w:rPr>
            </w:pPr>
            <w:r w:rsidRPr="009E06AA">
              <w:rPr>
                <w:rFonts w:eastAsia="Calibri" w:cs="Calibri"/>
                <w:color w:val="000000"/>
                <w:szCs w:val="16"/>
              </w:rPr>
              <w:t>-36.6</w:t>
            </w:r>
          </w:p>
        </w:tc>
      </w:tr>
      <w:tr w:rsidR="00053418" w:rsidRPr="009E06AA" w14:paraId="41CC7434" w14:textId="77777777" w:rsidTr="00B55F24">
        <w:tc>
          <w:tcPr>
            <w:tcW w:w="3119" w:type="dxa"/>
            <w:shd w:val="clear" w:color="auto" w:fill="FFFFFF"/>
            <w:tcMar>
              <w:top w:w="0" w:type="dxa"/>
              <w:left w:w="85" w:type="dxa"/>
              <w:bottom w:w="0" w:type="dxa"/>
              <w:right w:w="85" w:type="dxa"/>
            </w:tcMar>
            <w:vAlign w:val="center"/>
          </w:tcPr>
          <w:p w14:paraId="256E148C" w14:textId="77777777" w:rsidR="00053418" w:rsidRPr="009E06AA" w:rsidRDefault="00053418" w:rsidP="00B55F24">
            <w:pPr>
              <w:pStyle w:val="TableText"/>
              <w:spacing w:before="40" w:after="40"/>
              <w:rPr>
                <w:szCs w:val="16"/>
              </w:rPr>
            </w:pPr>
            <w:r w:rsidRPr="009E06AA">
              <w:rPr>
                <w:rFonts w:eastAsia="Calibri" w:cs="Calibri"/>
                <w:color w:val="000000"/>
                <w:szCs w:val="16"/>
              </w:rPr>
              <w:t>Harvested wood products</w:t>
            </w:r>
          </w:p>
        </w:tc>
        <w:tc>
          <w:tcPr>
            <w:tcW w:w="1025" w:type="dxa"/>
            <w:shd w:val="clear" w:color="auto" w:fill="FFFFFF"/>
            <w:tcMar>
              <w:top w:w="0" w:type="dxa"/>
              <w:left w:w="85" w:type="dxa"/>
              <w:bottom w:w="0" w:type="dxa"/>
              <w:right w:w="85" w:type="dxa"/>
            </w:tcMar>
            <w:vAlign w:val="center"/>
          </w:tcPr>
          <w:p w14:paraId="0B16FA81" w14:textId="77777777" w:rsidR="00053418" w:rsidRPr="009E06AA" w:rsidRDefault="00053418" w:rsidP="003D6A24">
            <w:pPr>
              <w:pStyle w:val="TableText"/>
              <w:spacing w:before="40" w:after="40"/>
              <w:jc w:val="right"/>
              <w:rPr>
                <w:szCs w:val="16"/>
              </w:rPr>
            </w:pPr>
            <w:r w:rsidRPr="009E06AA">
              <w:rPr>
                <w:rFonts w:eastAsia="Calibri" w:cs="Calibri"/>
                <w:color w:val="000000"/>
                <w:szCs w:val="16"/>
              </w:rPr>
              <w:t>-2,437.8</w:t>
            </w:r>
          </w:p>
        </w:tc>
        <w:tc>
          <w:tcPr>
            <w:tcW w:w="1101" w:type="dxa"/>
            <w:shd w:val="clear" w:color="auto" w:fill="FFFFFF"/>
            <w:tcMar>
              <w:top w:w="0" w:type="dxa"/>
              <w:left w:w="85" w:type="dxa"/>
              <w:bottom w:w="0" w:type="dxa"/>
              <w:right w:w="85" w:type="dxa"/>
            </w:tcMar>
            <w:vAlign w:val="center"/>
          </w:tcPr>
          <w:p w14:paraId="0B94F0D2" w14:textId="77777777" w:rsidR="00053418" w:rsidRPr="009E06AA" w:rsidRDefault="00053418" w:rsidP="003D6A24">
            <w:pPr>
              <w:pStyle w:val="TableText"/>
              <w:spacing w:before="40" w:after="40"/>
              <w:jc w:val="right"/>
              <w:rPr>
                <w:szCs w:val="16"/>
              </w:rPr>
            </w:pPr>
            <w:r w:rsidRPr="009E06AA">
              <w:rPr>
                <w:rFonts w:eastAsia="Calibri" w:cs="Calibri"/>
                <w:color w:val="000000"/>
                <w:szCs w:val="16"/>
              </w:rPr>
              <w:t>-6,582.3</w:t>
            </w:r>
          </w:p>
        </w:tc>
        <w:tc>
          <w:tcPr>
            <w:tcW w:w="1701" w:type="dxa"/>
            <w:shd w:val="clear" w:color="auto" w:fill="FFFFFF"/>
            <w:tcMar>
              <w:top w:w="0" w:type="dxa"/>
              <w:left w:w="85" w:type="dxa"/>
              <w:bottom w:w="0" w:type="dxa"/>
              <w:right w:w="85" w:type="dxa"/>
            </w:tcMar>
            <w:vAlign w:val="center"/>
          </w:tcPr>
          <w:p w14:paraId="6BE7667A" w14:textId="77777777" w:rsidR="00053418" w:rsidRPr="009E06AA" w:rsidRDefault="00053418" w:rsidP="003D6A24">
            <w:pPr>
              <w:pStyle w:val="TableText"/>
              <w:spacing w:before="40" w:after="40"/>
              <w:jc w:val="right"/>
              <w:rPr>
                <w:szCs w:val="16"/>
              </w:rPr>
            </w:pPr>
            <w:r w:rsidRPr="009E06AA">
              <w:rPr>
                <w:rFonts w:eastAsia="Calibri" w:cs="Calibri"/>
                <w:color w:val="000000"/>
                <w:szCs w:val="16"/>
              </w:rPr>
              <w:t>-4,144.5</w:t>
            </w:r>
          </w:p>
        </w:tc>
        <w:tc>
          <w:tcPr>
            <w:tcW w:w="1417" w:type="dxa"/>
            <w:shd w:val="clear" w:color="auto" w:fill="FFFFFF"/>
            <w:tcMar>
              <w:top w:w="0" w:type="dxa"/>
              <w:left w:w="85" w:type="dxa"/>
              <w:bottom w:w="0" w:type="dxa"/>
              <w:right w:w="85" w:type="dxa"/>
            </w:tcMar>
            <w:vAlign w:val="center"/>
          </w:tcPr>
          <w:p w14:paraId="27534D62" w14:textId="77777777" w:rsidR="00053418" w:rsidRPr="009E06AA" w:rsidRDefault="00053418" w:rsidP="003D6A24">
            <w:pPr>
              <w:pStyle w:val="TableText"/>
              <w:spacing w:before="40" w:after="40"/>
              <w:jc w:val="right"/>
              <w:rPr>
                <w:szCs w:val="16"/>
              </w:rPr>
            </w:pPr>
            <w:r w:rsidRPr="009E06AA">
              <w:rPr>
                <w:rFonts w:eastAsia="Calibri" w:cs="Calibri"/>
                <w:color w:val="000000"/>
                <w:szCs w:val="16"/>
              </w:rPr>
              <w:t>-170.0</w:t>
            </w:r>
          </w:p>
        </w:tc>
      </w:tr>
      <w:tr w:rsidR="00053418" w:rsidRPr="009E06AA" w14:paraId="3A15F7EF" w14:textId="77777777" w:rsidTr="00B55F24">
        <w:tc>
          <w:tcPr>
            <w:tcW w:w="3119" w:type="dxa"/>
            <w:shd w:val="clear" w:color="auto" w:fill="FFFFFF"/>
            <w:tcMar>
              <w:top w:w="0" w:type="dxa"/>
              <w:left w:w="85" w:type="dxa"/>
              <w:bottom w:w="0" w:type="dxa"/>
              <w:right w:w="85" w:type="dxa"/>
            </w:tcMar>
            <w:vAlign w:val="center"/>
          </w:tcPr>
          <w:p w14:paraId="5B92D34B" w14:textId="77777777" w:rsidR="00053418" w:rsidRPr="009E06AA" w:rsidRDefault="00053418" w:rsidP="00B55F24">
            <w:pPr>
              <w:pStyle w:val="TableText"/>
              <w:spacing w:before="40" w:after="40"/>
              <w:rPr>
                <w:szCs w:val="16"/>
              </w:rPr>
            </w:pPr>
            <w:r w:rsidRPr="009E06AA">
              <w:rPr>
                <w:rFonts w:eastAsia="Calibri" w:cs="Calibri"/>
                <w:b/>
                <w:color w:val="1B556B"/>
                <w:szCs w:val="16"/>
              </w:rPr>
              <w:t>Total LULUCF</w:t>
            </w:r>
          </w:p>
        </w:tc>
        <w:tc>
          <w:tcPr>
            <w:tcW w:w="1025" w:type="dxa"/>
            <w:shd w:val="clear" w:color="auto" w:fill="FFFFFF"/>
            <w:tcMar>
              <w:top w:w="0" w:type="dxa"/>
              <w:left w:w="85" w:type="dxa"/>
              <w:bottom w:w="0" w:type="dxa"/>
              <w:right w:w="85" w:type="dxa"/>
            </w:tcMar>
            <w:vAlign w:val="center"/>
          </w:tcPr>
          <w:p w14:paraId="2AC0CD5F" w14:textId="77777777" w:rsidR="00053418" w:rsidRPr="009E06AA" w:rsidRDefault="00053418" w:rsidP="003D6A24">
            <w:pPr>
              <w:pStyle w:val="TableText"/>
              <w:spacing w:before="40" w:after="40"/>
              <w:jc w:val="right"/>
              <w:rPr>
                <w:szCs w:val="16"/>
              </w:rPr>
            </w:pPr>
            <w:r w:rsidRPr="009E06AA">
              <w:rPr>
                <w:rFonts w:eastAsia="Calibri" w:cs="Calibri"/>
                <w:b/>
                <w:color w:val="1B556B"/>
                <w:szCs w:val="16"/>
              </w:rPr>
              <w:t>-24,324.6</w:t>
            </w:r>
          </w:p>
        </w:tc>
        <w:tc>
          <w:tcPr>
            <w:tcW w:w="1101" w:type="dxa"/>
            <w:shd w:val="clear" w:color="auto" w:fill="FFFFFF"/>
            <w:tcMar>
              <w:top w:w="0" w:type="dxa"/>
              <w:left w:w="85" w:type="dxa"/>
              <w:bottom w:w="0" w:type="dxa"/>
              <w:right w:w="85" w:type="dxa"/>
            </w:tcMar>
            <w:vAlign w:val="center"/>
          </w:tcPr>
          <w:p w14:paraId="41938948" w14:textId="77777777" w:rsidR="00053418" w:rsidRPr="009E06AA" w:rsidRDefault="00053418" w:rsidP="003D6A24">
            <w:pPr>
              <w:pStyle w:val="TableText"/>
              <w:spacing w:before="40" w:after="40"/>
              <w:jc w:val="right"/>
              <w:rPr>
                <w:szCs w:val="16"/>
              </w:rPr>
            </w:pPr>
            <w:r w:rsidRPr="009E06AA">
              <w:rPr>
                <w:rFonts w:eastAsia="Calibri" w:cs="Calibri"/>
                <w:b/>
                <w:color w:val="1B556B"/>
                <w:szCs w:val="16"/>
              </w:rPr>
              <w:t>-19,238.8</w:t>
            </w:r>
          </w:p>
        </w:tc>
        <w:tc>
          <w:tcPr>
            <w:tcW w:w="1701" w:type="dxa"/>
            <w:shd w:val="clear" w:color="auto" w:fill="FFFFFF"/>
            <w:tcMar>
              <w:top w:w="0" w:type="dxa"/>
              <w:left w:w="85" w:type="dxa"/>
              <w:bottom w:w="0" w:type="dxa"/>
              <w:right w:w="85" w:type="dxa"/>
            </w:tcMar>
            <w:vAlign w:val="center"/>
          </w:tcPr>
          <w:p w14:paraId="54066BD7" w14:textId="77777777" w:rsidR="00053418" w:rsidRPr="009E06AA" w:rsidRDefault="00053418" w:rsidP="003D6A24">
            <w:pPr>
              <w:pStyle w:val="TableText"/>
              <w:spacing w:before="40" w:after="40"/>
              <w:jc w:val="right"/>
              <w:rPr>
                <w:szCs w:val="16"/>
              </w:rPr>
            </w:pPr>
            <w:r w:rsidRPr="009E06AA">
              <w:rPr>
                <w:rFonts w:eastAsia="Calibri" w:cs="Calibri"/>
                <w:b/>
                <w:color w:val="1B556B"/>
                <w:szCs w:val="16"/>
              </w:rPr>
              <w:t>5,085.8</w:t>
            </w:r>
          </w:p>
        </w:tc>
        <w:tc>
          <w:tcPr>
            <w:tcW w:w="1417" w:type="dxa"/>
            <w:shd w:val="clear" w:color="auto" w:fill="FFFFFF"/>
            <w:tcMar>
              <w:top w:w="0" w:type="dxa"/>
              <w:left w:w="85" w:type="dxa"/>
              <w:bottom w:w="0" w:type="dxa"/>
              <w:right w:w="85" w:type="dxa"/>
            </w:tcMar>
            <w:vAlign w:val="center"/>
          </w:tcPr>
          <w:p w14:paraId="15640B66" w14:textId="77777777" w:rsidR="00053418" w:rsidRPr="009E06AA" w:rsidRDefault="00053418" w:rsidP="003D6A24">
            <w:pPr>
              <w:pStyle w:val="TableText"/>
              <w:spacing w:before="40" w:after="40"/>
              <w:jc w:val="right"/>
              <w:rPr>
                <w:szCs w:val="16"/>
              </w:rPr>
            </w:pPr>
            <w:r w:rsidRPr="009E06AA">
              <w:rPr>
                <w:rFonts w:eastAsia="Calibri" w:cs="Calibri"/>
                <w:b/>
                <w:color w:val="1B556B"/>
                <w:szCs w:val="16"/>
              </w:rPr>
              <w:t>20.9</w:t>
            </w:r>
          </w:p>
        </w:tc>
      </w:tr>
    </w:tbl>
    <w:p w14:paraId="77D56848" w14:textId="77777777" w:rsidR="00053418" w:rsidRPr="009E06AA" w:rsidRDefault="00053418" w:rsidP="00053418">
      <w:pPr>
        <w:pStyle w:val="Noteundertable"/>
        <w:spacing w:after="0"/>
      </w:pPr>
      <w:r w:rsidRPr="009E06AA">
        <w:rPr>
          <w:b/>
          <w:bCs/>
        </w:rPr>
        <w:t>Notes:</w:t>
      </w:r>
      <w:r w:rsidRPr="009E06AA">
        <w:tab/>
        <w:t xml:space="preserve">Net emissions are expressed as a negative value in the table to help the reader in clarifying that the value is a removal (of carbon dioxide equivalent from the atmosphere) and not an emission. Columns may not total due to rounding. Percentages presented are calculated from unrounded values. </w:t>
      </w:r>
    </w:p>
    <w:p w14:paraId="510E97E7" w14:textId="77777777" w:rsidR="00053418" w:rsidRPr="009E06AA" w:rsidRDefault="00053418" w:rsidP="00053418">
      <w:pPr>
        <w:pStyle w:val="Noteundertable"/>
        <w:ind w:firstLine="0"/>
      </w:pPr>
      <w:r w:rsidRPr="009E06AA">
        <w:t>* Indirect emissions as a result of nitrous oxide emissions from leaching and runoff are not disaggregated by land use category in the common reporting tables and are reported separately under non-carbon dioxide emissions in section 6.10.4.</w:t>
      </w:r>
    </w:p>
    <w:p w14:paraId="37E65B99" w14:textId="51AE005E" w:rsidR="00053418" w:rsidRPr="009E06AA" w:rsidRDefault="00053418" w:rsidP="00053418">
      <w:pPr>
        <w:pStyle w:val="Figure"/>
      </w:pPr>
      <w:bookmarkStart w:id="1652" w:name="_Toc405448081"/>
      <w:bookmarkStart w:id="1653" w:name="_Toc414531613"/>
      <w:bookmarkStart w:id="1654" w:name="_Toc474914636"/>
      <w:bookmarkStart w:id="1655" w:name="_Toc481752018"/>
      <w:bookmarkStart w:id="1656" w:name="_Toc522010696"/>
      <w:bookmarkStart w:id="1657" w:name="_Toc5269699"/>
      <w:bookmarkStart w:id="1658" w:name="_Toc33529470"/>
      <w:bookmarkStart w:id="1659" w:name="_Toc36292800"/>
      <w:bookmarkStart w:id="1660" w:name="_Toc65244092"/>
      <w:bookmarkStart w:id="1661" w:name="_Toc131591567"/>
      <w:bookmarkStart w:id="1662" w:name="_Toc158979907"/>
      <w:bookmarkStart w:id="1663" w:name="_Toc164154035"/>
      <w:r w:rsidRPr="009E06AA">
        <w:t>Figure 6.1.1</w:t>
      </w:r>
      <w:r w:rsidRPr="009E06AA">
        <w:tab/>
        <w:t>New Zealand’s annual net emissions from the LULUCF sector</w:t>
      </w:r>
      <w:r w:rsidR="00F85AF1" w:rsidRPr="009E06AA">
        <w:t>,</w:t>
      </w:r>
      <w:r w:rsidRPr="009E06AA">
        <w:t xml:space="preserve"> from 1990 to </w:t>
      </w:r>
      <w:bookmarkEnd w:id="1652"/>
      <w:bookmarkEnd w:id="1653"/>
      <w:bookmarkEnd w:id="1654"/>
      <w:bookmarkEnd w:id="1655"/>
      <w:bookmarkEnd w:id="1656"/>
      <w:bookmarkEnd w:id="1657"/>
      <w:bookmarkEnd w:id="1658"/>
      <w:bookmarkEnd w:id="1659"/>
      <w:bookmarkEnd w:id="1660"/>
      <w:r w:rsidRPr="009E06AA">
        <w:t>2022</w:t>
      </w:r>
      <w:bookmarkEnd w:id="1661"/>
      <w:bookmarkEnd w:id="1662"/>
      <w:bookmarkEnd w:id="1663"/>
    </w:p>
    <w:p w14:paraId="1B54DEE4" w14:textId="77777777" w:rsidR="00053418" w:rsidRPr="009E06AA" w:rsidRDefault="00053418" w:rsidP="00053418">
      <w:pPr>
        <w:pStyle w:val="BodyText"/>
        <w:jc w:val="center"/>
      </w:pPr>
      <w:r w:rsidRPr="009E06AA">
        <w:rPr>
          <w:noProof/>
        </w:rPr>
        <w:drawing>
          <wp:inline distT="0" distB="0" distL="0" distR="0" wp14:anchorId="147BBC8E" wp14:editId="44BDD1B4">
            <wp:extent cx="4572000" cy="3593990"/>
            <wp:effectExtent l="0" t="0" r="0" b="6985"/>
            <wp:docPr id="931595204" name="Picture 931595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rotWithShape="1">
                    <a:blip r:embed="rId134" cstate="print">
                      <a:extLst>
                        <a:ext uri="{28A0092B-C50C-407E-A947-70E740481C1C}">
                          <a14:useLocalDpi xmlns:a14="http://schemas.microsoft.com/office/drawing/2010/main" val="0"/>
                        </a:ext>
                      </a:extLst>
                    </a:blip>
                    <a:srcRect/>
                    <a:stretch/>
                  </pic:blipFill>
                  <pic:spPr bwMode="auto">
                    <a:xfrm>
                      <a:off x="0" y="0"/>
                      <a:ext cx="4572000" cy="3593990"/>
                    </a:xfrm>
                    <a:prstGeom prst="rect">
                      <a:avLst/>
                    </a:prstGeom>
                    <a:ln>
                      <a:noFill/>
                    </a:ln>
                    <a:extLst>
                      <a:ext uri="{53640926-AAD7-44D8-BBD7-CCE9431645EC}">
                        <a14:shadowObscured xmlns:a14="http://schemas.microsoft.com/office/drawing/2010/main"/>
                      </a:ext>
                    </a:extLst>
                  </pic:spPr>
                </pic:pic>
              </a:graphicData>
            </a:graphic>
          </wp:inline>
        </w:drawing>
      </w:r>
    </w:p>
    <w:p w14:paraId="21F7904B" w14:textId="77777777" w:rsidR="00053418" w:rsidRPr="009E06AA" w:rsidRDefault="00053418" w:rsidP="00053418">
      <w:pPr>
        <w:pStyle w:val="BodyText"/>
      </w:pPr>
      <w:r w:rsidRPr="009E06AA">
        <w:t xml:space="preserve">Emissions in the LULUCF sector are primarily driven by the harvest of production forests, deforestation and the decomposition of organic material following these activities. Removals are primarily from the sequestration of carbon that occurs due to plant growth and an increase in the size of the </w:t>
      </w:r>
      <w:r w:rsidRPr="009E06AA">
        <w:rPr>
          <w:i/>
          <w:iCs/>
        </w:rPr>
        <w:t xml:space="preserve">Harvested wood products </w:t>
      </w:r>
      <w:r w:rsidRPr="009E06AA">
        <w:t>pool. Nitrous oxide can be emitted from the ecosystem as a by-product of nitrification and de</w:t>
      </w:r>
      <w:r w:rsidRPr="009E06AA">
        <w:noBreakHyphen/>
        <w:t>nitrification, and the burning of organic matter. Other gases released during biomass burning include CH</w:t>
      </w:r>
      <w:r w:rsidRPr="009E06AA">
        <w:rPr>
          <w:vertAlign w:val="subscript"/>
        </w:rPr>
        <w:t>4</w:t>
      </w:r>
      <w:r w:rsidRPr="009E06AA">
        <w:t>, carbon monoxide (CO), other oxides of nitrogen (NO</w:t>
      </w:r>
      <w:r w:rsidRPr="009E06AA">
        <w:rPr>
          <w:vertAlign w:val="subscript"/>
        </w:rPr>
        <w:t>x</w:t>
      </w:r>
      <w:r w:rsidRPr="009E06AA">
        <w:t xml:space="preserve">) and non-methane volatile organic compounds (NMVOCs). </w:t>
      </w:r>
    </w:p>
    <w:p w14:paraId="31676151" w14:textId="77777777" w:rsidR="00053418" w:rsidRPr="009E06AA" w:rsidRDefault="00053418" w:rsidP="00053418">
      <w:pPr>
        <w:pStyle w:val="Heading4"/>
      </w:pPr>
      <w:r w:rsidRPr="009E06AA">
        <w:t>2021–2022</w:t>
      </w:r>
    </w:p>
    <w:p w14:paraId="660D329F" w14:textId="77777777" w:rsidR="00053418" w:rsidRPr="009E06AA" w:rsidRDefault="00053418" w:rsidP="00053418">
      <w:pPr>
        <w:pStyle w:val="BodyText"/>
      </w:pPr>
      <w:r w:rsidRPr="009E06AA">
        <w:t>Net emissions from the LULUCF sector increased between 2021 and 2022 by 1,266.8 kt CO</w:t>
      </w:r>
      <w:r w:rsidRPr="009E06AA">
        <w:rPr>
          <w:vertAlign w:val="subscript"/>
        </w:rPr>
        <w:t>2</w:t>
      </w:r>
      <w:r w:rsidRPr="009E06AA">
        <w:t xml:space="preserve">-e (6.2 per cent) (see table 6.1.2). </w:t>
      </w:r>
    </w:p>
    <w:p w14:paraId="235BE191" w14:textId="77777777" w:rsidR="00053418" w:rsidRPr="009E06AA" w:rsidRDefault="00053418" w:rsidP="00053418">
      <w:r w:rsidRPr="009E06AA">
        <w:t xml:space="preserve">The largest change occurred in the </w:t>
      </w:r>
      <w:r w:rsidRPr="009E06AA">
        <w:rPr>
          <w:i/>
          <w:iCs/>
        </w:rPr>
        <w:t>Harvested wood products</w:t>
      </w:r>
      <w:r w:rsidRPr="009E06AA" w:rsidDel="00D049EC">
        <w:t xml:space="preserve"> </w:t>
      </w:r>
      <w:r w:rsidRPr="009E06AA">
        <w:t>category, with an increase in emissions of 2,223.7 kt CO</w:t>
      </w:r>
      <w:r w:rsidRPr="009E06AA">
        <w:rPr>
          <w:vertAlign w:val="subscript"/>
        </w:rPr>
        <w:t>2</w:t>
      </w:r>
      <w:r w:rsidRPr="009E06AA">
        <w:t>-e. The reason for this change was a decrease in harvesting of planted forests between 2021 and 2022 (figure 6.4.3). The</w:t>
      </w:r>
      <w:r w:rsidRPr="009E06AA" w:rsidDel="00DE1520">
        <w:t xml:space="preserve"> </w:t>
      </w:r>
      <w:r w:rsidRPr="009E06AA">
        <w:rPr>
          <w:i/>
          <w:iCs/>
        </w:rPr>
        <w:t>Grassland</w:t>
      </w:r>
      <w:r w:rsidRPr="009E06AA" w:rsidDel="002A4FF2">
        <w:rPr>
          <w:i/>
          <w:iCs/>
        </w:rPr>
        <w:t xml:space="preserve"> </w:t>
      </w:r>
      <w:r w:rsidRPr="009E06AA">
        <w:t>category had the second-largest change, with a decrease in emissions of 700.1 kt CO</w:t>
      </w:r>
      <w:r w:rsidRPr="009E06AA">
        <w:rPr>
          <w:vertAlign w:val="subscript"/>
        </w:rPr>
        <w:t>2</w:t>
      </w:r>
      <w:r w:rsidRPr="009E06AA">
        <w:t xml:space="preserve">-e, which was driven by lower deforestation rates in 2022 compared with 2021. The </w:t>
      </w:r>
      <w:r w:rsidRPr="009E06AA">
        <w:rPr>
          <w:i/>
          <w:iCs/>
        </w:rPr>
        <w:t xml:space="preserve">Forest land </w:t>
      </w:r>
      <w:r w:rsidRPr="009E06AA">
        <w:t>category had the third-largest change, with a decrease in emissions of 286.4 kt CO</w:t>
      </w:r>
      <w:r w:rsidRPr="009E06AA">
        <w:rPr>
          <w:vertAlign w:val="subscript"/>
        </w:rPr>
        <w:t>2</w:t>
      </w:r>
      <w:r w:rsidRPr="009E06AA">
        <w:t>-e. This was driven by the lower harvesting rate but was partially offset by high levels of afforestation in 2022 (afforestation generally causes an increase in net emissions in the year of planting due to losses in soil carbon and biomass from the land-use change).</w:t>
      </w:r>
    </w:p>
    <w:p w14:paraId="16E94F6B" w14:textId="77777777" w:rsidR="00053418" w:rsidRPr="009E06AA" w:rsidRDefault="00053418" w:rsidP="00053418">
      <w:pPr>
        <w:pStyle w:val="Table"/>
        <w:spacing w:before="100"/>
      </w:pPr>
      <w:bookmarkStart w:id="1664" w:name="_Toc131591382"/>
      <w:bookmarkStart w:id="1665" w:name="_Toc158979940"/>
      <w:bookmarkStart w:id="1666" w:name="_Toc164153873"/>
      <w:r w:rsidRPr="009E06AA">
        <w:t xml:space="preserve">Table 6.1.2 </w:t>
      </w:r>
      <w:r w:rsidRPr="009E06AA">
        <w:tab/>
        <w:t>New Zealand’s greenhouse gas net emissions for the LULUCF sector by land use category in 2021 and 2022</w:t>
      </w:r>
      <w:bookmarkEnd w:id="1664"/>
      <w:bookmarkEnd w:id="1665"/>
      <w:bookmarkEnd w:id="1666"/>
    </w:p>
    <w:tbl>
      <w:tblPr>
        <w:tblW w:w="8498" w:type="dxa"/>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3402"/>
        <w:gridCol w:w="993"/>
        <w:gridCol w:w="992"/>
        <w:gridCol w:w="1843"/>
        <w:gridCol w:w="1268"/>
      </w:tblGrid>
      <w:tr w:rsidR="00053418" w:rsidRPr="009E06AA" w14:paraId="6BC20AD3" w14:textId="77777777" w:rsidTr="00B55F24">
        <w:trPr>
          <w:tblHeader/>
        </w:trPr>
        <w:tc>
          <w:tcPr>
            <w:tcW w:w="3402" w:type="dxa"/>
            <w:shd w:val="clear" w:color="auto" w:fill="1B556B"/>
            <w:tcMar>
              <w:top w:w="0" w:type="dxa"/>
              <w:left w:w="85" w:type="dxa"/>
              <w:bottom w:w="0" w:type="dxa"/>
              <w:right w:w="85" w:type="dxa"/>
            </w:tcMar>
            <w:vAlign w:val="bottom"/>
          </w:tcPr>
          <w:p w14:paraId="0F988A40" w14:textId="77777777" w:rsidR="00053418" w:rsidRPr="009E06AA" w:rsidRDefault="00053418" w:rsidP="00B55F24">
            <w:pPr>
              <w:pStyle w:val="TableText"/>
              <w:spacing w:before="40" w:after="40"/>
            </w:pPr>
          </w:p>
        </w:tc>
        <w:tc>
          <w:tcPr>
            <w:tcW w:w="1985" w:type="dxa"/>
            <w:gridSpan w:val="2"/>
            <w:shd w:val="clear" w:color="auto" w:fill="1B556B"/>
            <w:tcMar>
              <w:top w:w="0" w:type="dxa"/>
              <w:left w:w="85" w:type="dxa"/>
              <w:bottom w:w="0" w:type="dxa"/>
              <w:right w:w="85" w:type="dxa"/>
            </w:tcMar>
            <w:vAlign w:val="bottom"/>
          </w:tcPr>
          <w:p w14:paraId="69FC6C93" w14:textId="77777777" w:rsidR="00053418" w:rsidRPr="009E06AA" w:rsidRDefault="00053418" w:rsidP="00B55F24">
            <w:pPr>
              <w:pStyle w:val="TableText"/>
              <w:spacing w:before="40" w:after="40"/>
              <w:jc w:val="center"/>
            </w:pPr>
            <w:r w:rsidRPr="009E06AA">
              <w:rPr>
                <w:rFonts w:eastAsia="Calibri" w:cs="Calibri"/>
                <w:b/>
                <w:color w:val="FFFFFF"/>
                <w:szCs w:val="16"/>
              </w:rPr>
              <w:t>(kt CO₂-e)</w:t>
            </w:r>
          </w:p>
        </w:tc>
        <w:tc>
          <w:tcPr>
            <w:tcW w:w="1843" w:type="dxa"/>
            <w:shd w:val="clear" w:color="auto" w:fill="1B556B"/>
            <w:tcMar>
              <w:top w:w="0" w:type="dxa"/>
              <w:left w:w="85" w:type="dxa"/>
              <w:bottom w:w="0" w:type="dxa"/>
              <w:right w:w="85" w:type="dxa"/>
            </w:tcMar>
            <w:vAlign w:val="bottom"/>
          </w:tcPr>
          <w:p w14:paraId="13DE2D81" w14:textId="77777777" w:rsidR="00053418" w:rsidRPr="009E06AA" w:rsidRDefault="00053418" w:rsidP="00B55F24">
            <w:pPr>
              <w:pStyle w:val="TableText"/>
              <w:spacing w:before="40" w:after="40"/>
              <w:jc w:val="center"/>
            </w:pPr>
            <w:r w:rsidRPr="009E06AA">
              <w:rPr>
                <w:rFonts w:eastAsia="Calibri" w:cs="Calibri"/>
                <w:b/>
                <w:color w:val="FFFFFF"/>
                <w:szCs w:val="16"/>
              </w:rPr>
              <w:t>Difference (kt CO₂-e)</w:t>
            </w:r>
          </w:p>
        </w:tc>
        <w:tc>
          <w:tcPr>
            <w:tcW w:w="1268" w:type="dxa"/>
            <w:shd w:val="clear" w:color="auto" w:fill="1B556B"/>
            <w:tcMar>
              <w:top w:w="0" w:type="dxa"/>
              <w:left w:w="85" w:type="dxa"/>
              <w:bottom w:w="0" w:type="dxa"/>
              <w:right w:w="85" w:type="dxa"/>
            </w:tcMar>
            <w:vAlign w:val="bottom"/>
          </w:tcPr>
          <w:p w14:paraId="4D846922" w14:textId="77777777" w:rsidR="00053418" w:rsidRPr="009E06AA" w:rsidRDefault="00053418" w:rsidP="00B55F24">
            <w:pPr>
              <w:pStyle w:val="TableText"/>
              <w:spacing w:before="40" w:after="40"/>
              <w:jc w:val="center"/>
            </w:pPr>
            <w:r w:rsidRPr="009E06AA">
              <w:rPr>
                <w:rFonts w:eastAsia="Calibri" w:cs="Calibri"/>
                <w:b/>
                <w:color w:val="FFFFFF"/>
                <w:szCs w:val="16"/>
              </w:rPr>
              <w:t>% change</w:t>
            </w:r>
          </w:p>
        </w:tc>
      </w:tr>
      <w:tr w:rsidR="00053418" w:rsidRPr="009E06AA" w14:paraId="2F551A11" w14:textId="77777777" w:rsidTr="00B55F24">
        <w:trPr>
          <w:tblHeader/>
        </w:trPr>
        <w:tc>
          <w:tcPr>
            <w:tcW w:w="3402" w:type="dxa"/>
            <w:shd w:val="clear" w:color="auto" w:fill="1B556B"/>
            <w:tcMar>
              <w:top w:w="0" w:type="dxa"/>
              <w:left w:w="85" w:type="dxa"/>
              <w:bottom w:w="0" w:type="dxa"/>
              <w:right w:w="85" w:type="dxa"/>
            </w:tcMar>
            <w:vAlign w:val="bottom"/>
          </w:tcPr>
          <w:p w14:paraId="0E2639D1" w14:textId="77777777" w:rsidR="00053418" w:rsidRPr="009E06AA" w:rsidRDefault="00053418" w:rsidP="00B55F24">
            <w:pPr>
              <w:pStyle w:val="TableText"/>
              <w:spacing w:before="0" w:after="40"/>
            </w:pPr>
            <w:r w:rsidRPr="009E06AA">
              <w:rPr>
                <w:rFonts w:eastAsia="Calibri" w:cs="Calibri"/>
                <w:b/>
                <w:color w:val="FFFFFF"/>
                <w:szCs w:val="16"/>
              </w:rPr>
              <w:t>Category</w:t>
            </w:r>
          </w:p>
        </w:tc>
        <w:tc>
          <w:tcPr>
            <w:tcW w:w="993" w:type="dxa"/>
            <w:shd w:val="clear" w:color="auto" w:fill="1B556B"/>
            <w:tcMar>
              <w:top w:w="0" w:type="dxa"/>
              <w:left w:w="85" w:type="dxa"/>
              <w:bottom w:w="0" w:type="dxa"/>
              <w:right w:w="85" w:type="dxa"/>
            </w:tcMar>
            <w:vAlign w:val="bottom"/>
          </w:tcPr>
          <w:p w14:paraId="6B84AF76" w14:textId="77777777" w:rsidR="00053418" w:rsidRPr="009E06AA" w:rsidRDefault="00053418" w:rsidP="003D6A24">
            <w:pPr>
              <w:pStyle w:val="TableText"/>
              <w:spacing w:before="0" w:after="40"/>
              <w:jc w:val="right"/>
            </w:pPr>
            <w:r w:rsidRPr="009E06AA">
              <w:rPr>
                <w:rFonts w:eastAsia="Calibri" w:cs="Calibri"/>
                <w:b/>
                <w:color w:val="FFFFFF"/>
                <w:szCs w:val="16"/>
              </w:rPr>
              <w:t>2021</w:t>
            </w:r>
          </w:p>
        </w:tc>
        <w:tc>
          <w:tcPr>
            <w:tcW w:w="992" w:type="dxa"/>
            <w:shd w:val="clear" w:color="auto" w:fill="1B556B"/>
            <w:tcMar>
              <w:top w:w="0" w:type="dxa"/>
              <w:left w:w="85" w:type="dxa"/>
              <w:bottom w:w="0" w:type="dxa"/>
              <w:right w:w="85" w:type="dxa"/>
            </w:tcMar>
            <w:vAlign w:val="bottom"/>
          </w:tcPr>
          <w:p w14:paraId="5C4C25F8" w14:textId="77777777" w:rsidR="00053418" w:rsidRPr="009E06AA" w:rsidRDefault="00053418" w:rsidP="003D6A24">
            <w:pPr>
              <w:pStyle w:val="TableText"/>
              <w:spacing w:before="0" w:after="40"/>
              <w:jc w:val="right"/>
            </w:pPr>
            <w:r w:rsidRPr="009E06AA">
              <w:rPr>
                <w:rFonts w:eastAsia="Calibri" w:cs="Calibri"/>
                <w:b/>
                <w:color w:val="FFFFFF"/>
                <w:szCs w:val="16"/>
              </w:rPr>
              <w:t>2022</w:t>
            </w:r>
          </w:p>
        </w:tc>
        <w:tc>
          <w:tcPr>
            <w:tcW w:w="1843" w:type="dxa"/>
            <w:shd w:val="clear" w:color="auto" w:fill="1B556B"/>
            <w:tcMar>
              <w:top w:w="0" w:type="dxa"/>
              <w:left w:w="85" w:type="dxa"/>
              <w:bottom w:w="0" w:type="dxa"/>
              <w:right w:w="85" w:type="dxa"/>
            </w:tcMar>
            <w:vAlign w:val="bottom"/>
          </w:tcPr>
          <w:p w14:paraId="70598EB5" w14:textId="77777777" w:rsidR="00053418" w:rsidRPr="009E06AA" w:rsidRDefault="00053418" w:rsidP="003D6A24">
            <w:pPr>
              <w:pStyle w:val="TableText"/>
              <w:spacing w:before="0" w:after="40"/>
              <w:jc w:val="right"/>
            </w:pPr>
            <w:r w:rsidRPr="009E06AA">
              <w:rPr>
                <w:rFonts w:eastAsia="Calibri" w:cs="Calibri"/>
                <w:b/>
                <w:color w:val="FFFFFF"/>
                <w:szCs w:val="16"/>
              </w:rPr>
              <w:t>2021–22</w:t>
            </w:r>
          </w:p>
        </w:tc>
        <w:tc>
          <w:tcPr>
            <w:tcW w:w="1268" w:type="dxa"/>
            <w:shd w:val="clear" w:color="auto" w:fill="1B556B"/>
            <w:tcMar>
              <w:top w:w="0" w:type="dxa"/>
              <w:left w:w="85" w:type="dxa"/>
              <w:bottom w:w="0" w:type="dxa"/>
              <w:right w:w="85" w:type="dxa"/>
            </w:tcMar>
            <w:vAlign w:val="bottom"/>
          </w:tcPr>
          <w:p w14:paraId="36C49A02" w14:textId="77777777" w:rsidR="00053418" w:rsidRPr="009E06AA" w:rsidRDefault="00053418" w:rsidP="003D6A24">
            <w:pPr>
              <w:pStyle w:val="TableText"/>
              <w:spacing w:before="0" w:after="40"/>
              <w:jc w:val="right"/>
            </w:pPr>
            <w:r w:rsidRPr="009E06AA">
              <w:rPr>
                <w:rFonts w:eastAsia="Calibri" w:cs="Calibri"/>
                <w:b/>
                <w:color w:val="FFFFFF"/>
                <w:szCs w:val="16"/>
              </w:rPr>
              <w:t>2021–22</w:t>
            </w:r>
          </w:p>
        </w:tc>
      </w:tr>
      <w:tr w:rsidR="00053418" w:rsidRPr="009E06AA" w14:paraId="5F5891C5" w14:textId="77777777" w:rsidTr="00B55F24">
        <w:tc>
          <w:tcPr>
            <w:tcW w:w="3402" w:type="dxa"/>
            <w:shd w:val="clear" w:color="auto" w:fill="FFFFFF"/>
            <w:tcMar>
              <w:top w:w="0" w:type="dxa"/>
              <w:left w:w="85" w:type="dxa"/>
              <w:bottom w:w="0" w:type="dxa"/>
              <w:right w:w="85" w:type="dxa"/>
            </w:tcMar>
            <w:vAlign w:val="center"/>
          </w:tcPr>
          <w:p w14:paraId="6ED5C1C2" w14:textId="77777777" w:rsidR="00053418" w:rsidRPr="009E06AA" w:rsidRDefault="00053418" w:rsidP="00B55F24">
            <w:pPr>
              <w:pStyle w:val="TableText"/>
              <w:spacing w:before="40" w:after="40"/>
            </w:pPr>
            <w:r w:rsidRPr="009E06AA">
              <w:rPr>
                <w:rFonts w:eastAsia="Calibri" w:cs="Calibri"/>
                <w:color w:val="000000"/>
                <w:szCs w:val="16"/>
              </w:rPr>
              <w:t>Forest land</w:t>
            </w:r>
          </w:p>
        </w:tc>
        <w:tc>
          <w:tcPr>
            <w:tcW w:w="993" w:type="dxa"/>
            <w:shd w:val="clear" w:color="auto" w:fill="FFFFFF"/>
            <w:tcMar>
              <w:top w:w="0" w:type="dxa"/>
              <w:left w:w="85" w:type="dxa"/>
              <w:bottom w:w="0" w:type="dxa"/>
              <w:right w:w="85" w:type="dxa"/>
            </w:tcMar>
            <w:vAlign w:val="center"/>
          </w:tcPr>
          <w:p w14:paraId="1977298A" w14:textId="77777777" w:rsidR="00053418" w:rsidRPr="009E06AA" w:rsidRDefault="00053418" w:rsidP="003D6A24">
            <w:pPr>
              <w:pStyle w:val="TableText"/>
              <w:spacing w:before="40" w:after="40"/>
              <w:jc w:val="right"/>
            </w:pPr>
            <w:r w:rsidRPr="009E06AA">
              <w:rPr>
                <w:rFonts w:eastAsia="Calibri" w:cs="Calibri"/>
                <w:color w:val="000000"/>
                <w:szCs w:val="16"/>
              </w:rPr>
              <w:t>-16,987.9</w:t>
            </w:r>
          </w:p>
        </w:tc>
        <w:tc>
          <w:tcPr>
            <w:tcW w:w="992" w:type="dxa"/>
            <w:shd w:val="clear" w:color="auto" w:fill="FFFFFF"/>
            <w:tcMar>
              <w:top w:w="0" w:type="dxa"/>
              <w:left w:w="85" w:type="dxa"/>
              <w:bottom w:w="0" w:type="dxa"/>
              <w:right w:w="85" w:type="dxa"/>
            </w:tcMar>
            <w:vAlign w:val="center"/>
          </w:tcPr>
          <w:p w14:paraId="0B814291" w14:textId="77777777" w:rsidR="00053418" w:rsidRPr="009E06AA" w:rsidRDefault="00053418" w:rsidP="003D6A24">
            <w:pPr>
              <w:pStyle w:val="TableText"/>
              <w:spacing w:before="40" w:after="40"/>
              <w:jc w:val="right"/>
            </w:pPr>
            <w:r w:rsidRPr="009E06AA">
              <w:rPr>
                <w:rFonts w:eastAsia="Calibri" w:cs="Calibri"/>
                <w:color w:val="000000"/>
                <w:szCs w:val="16"/>
              </w:rPr>
              <w:t>-17,274.3</w:t>
            </w:r>
          </w:p>
        </w:tc>
        <w:tc>
          <w:tcPr>
            <w:tcW w:w="1843" w:type="dxa"/>
            <w:shd w:val="clear" w:color="auto" w:fill="FFFFFF"/>
            <w:tcMar>
              <w:top w:w="0" w:type="dxa"/>
              <w:left w:w="85" w:type="dxa"/>
              <w:bottom w:w="0" w:type="dxa"/>
              <w:right w:w="85" w:type="dxa"/>
            </w:tcMar>
            <w:vAlign w:val="center"/>
          </w:tcPr>
          <w:p w14:paraId="78E36753" w14:textId="77777777" w:rsidR="00053418" w:rsidRPr="009E06AA" w:rsidRDefault="00053418" w:rsidP="003D6A24">
            <w:pPr>
              <w:pStyle w:val="TableText"/>
              <w:spacing w:before="40" w:after="40"/>
              <w:jc w:val="right"/>
            </w:pPr>
            <w:r w:rsidRPr="009E06AA">
              <w:rPr>
                <w:rFonts w:eastAsia="Calibri" w:cs="Calibri"/>
                <w:color w:val="000000"/>
                <w:szCs w:val="16"/>
              </w:rPr>
              <w:t>-286.4</w:t>
            </w:r>
          </w:p>
        </w:tc>
        <w:tc>
          <w:tcPr>
            <w:tcW w:w="1268" w:type="dxa"/>
            <w:shd w:val="clear" w:color="auto" w:fill="FFFFFF"/>
            <w:tcMar>
              <w:top w:w="0" w:type="dxa"/>
              <w:left w:w="85" w:type="dxa"/>
              <w:bottom w:w="0" w:type="dxa"/>
              <w:right w:w="85" w:type="dxa"/>
            </w:tcMar>
            <w:vAlign w:val="center"/>
          </w:tcPr>
          <w:p w14:paraId="46FFD343" w14:textId="77777777" w:rsidR="00053418" w:rsidRPr="009E06AA" w:rsidRDefault="00053418" w:rsidP="003D6A24">
            <w:pPr>
              <w:pStyle w:val="TableText"/>
              <w:spacing w:before="40" w:after="40"/>
              <w:jc w:val="right"/>
            </w:pPr>
            <w:r w:rsidRPr="009E06AA">
              <w:rPr>
                <w:rFonts w:eastAsia="Calibri" w:cs="Calibri"/>
                <w:color w:val="000000"/>
                <w:szCs w:val="16"/>
              </w:rPr>
              <w:t>-1.7</w:t>
            </w:r>
          </w:p>
        </w:tc>
      </w:tr>
      <w:tr w:rsidR="00053418" w:rsidRPr="009E06AA" w14:paraId="32960D55" w14:textId="77777777" w:rsidTr="00B55F24">
        <w:tc>
          <w:tcPr>
            <w:tcW w:w="3402" w:type="dxa"/>
            <w:shd w:val="clear" w:color="auto" w:fill="FFFFFF"/>
            <w:tcMar>
              <w:top w:w="0" w:type="dxa"/>
              <w:left w:w="85" w:type="dxa"/>
              <w:bottom w:w="0" w:type="dxa"/>
              <w:right w:w="85" w:type="dxa"/>
            </w:tcMar>
            <w:vAlign w:val="center"/>
          </w:tcPr>
          <w:p w14:paraId="63DD2A00" w14:textId="77777777" w:rsidR="00053418" w:rsidRPr="009E06AA" w:rsidRDefault="00053418" w:rsidP="00B55F24">
            <w:pPr>
              <w:pStyle w:val="TableText"/>
              <w:spacing w:before="40" w:after="40"/>
            </w:pPr>
            <w:r w:rsidRPr="009E06AA">
              <w:rPr>
                <w:rFonts w:eastAsia="Calibri" w:cs="Calibri"/>
                <w:color w:val="000000"/>
                <w:szCs w:val="16"/>
              </w:rPr>
              <w:t>Cropland</w:t>
            </w:r>
          </w:p>
        </w:tc>
        <w:tc>
          <w:tcPr>
            <w:tcW w:w="993" w:type="dxa"/>
            <w:shd w:val="clear" w:color="auto" w:fill="FFFFFF"/>
            <w:tcMar>
              <w:top w:w="0" w:type="dxa"/>
              <w:left w:w="85" w:type="dxa"/>
              <w:bottom w:w="0" w:type="dxa"/>
              <w:right w:w="85" w:type="dxa"/>
            </w:tcMar>
            <w:vAlign w:val="center"/>
          </w:tcPr>
          <w:p w14:paraId="36A1305F" w14:textId="77777777" w:rsidR="00053418" w:rsidRPr="009E06AA" w:rsidRDefault="00053418" w:rsidP="003D6A24">
            <w:pPr>
              <w:pStyle w:val="TableText"/>
              <w:spacing w:before="40" w:after="40"/>
              <w:jc w:val="right"/>
            </w:pPr>
            <w:r w:rsidRPr="009E06AA">
              <w:rPr>
                <w:rFonts w:eastAsia="Calibri" w:cs="Calibri"/>
                <w:color w:val="000000"/>
                <w:szCs w:val="16"/>
              </w:rPr>
              <w:t>670.3</w:t>
            </w:r>
          </w:p>
        </w:tc>
        <w:tc>
          <w:tcPr>
            <w:tcW w:w="992" w:type="dxa"/>
            <w:shd w:val="clear" w:color="auto" w:fill="FFFFFF"/>
            <w:tcMar>
              <w:top w:w="0" w:type="dxa"/>
              <w:left w:w="85" w:type="dxa"/>
              <w:bottom w:w="0" w:type="dxa"/>
              <w:right w:w="85" w:type="dxa"/>
            </w:tcMar>
            <w:vAlign w:val="center"/>
          </w:tcPr>
          <w:p w14:paraId="60C97557" w14:textId="77777777" w:rsidR="00053418" w:rsidRPr="009E06AA" w:rsidRDefault="00053418" w:rsidP="003D6A24">
            <w:pPr>
              <w:pStyle w:val="TableText"/>
              <w:spacing w:before="40" w:after="40"/>
              <w:jc w:val="right"/>
            </w:pPr>
            <w:r w:rsidRPr="009E06AA">
              <w:rPr>
                <w:rFonts w:eastAsia="Calibri" w:cs="Calibri"/>
                <w:color w:val="000000"/>
                <w:szCs w:val="16"/>
              </w:rPr>
              <w:t>711.9</w:t>
            </w:r>
          </w:p>
        </w:tc>
        <w:tc>
          <w:tcPr>
            <w:tcW w:w="1843" w:type="dxa"/>
            <w:shd w:val="clear" w:color="auto" w:fill="FFFFFF"/>
            <w:tcMar>
              <w:top w:w="0" w:type="dxa"/>
              <w:left w:w="85" w:type="dxa"/>
              <w:bottom w:w="0" w:type="dxa"/>
              <w:right w:w="85" w:type="dxa"/>
            </w:tcMar>
            <w:vAlign w:val="center"/>
          </w:tcPr>
          <w:p w14:paraId="2BA779BA" w14:textId="77777777" w:rsidR="00053418" w:rsidRPr="009E06AA" w:rsidRDefault="00053418" w:rsidP="003D6A24">
            <w:pPr>
              <w:pStyle w:val="TableText"/>
              <w:spacing w:before="40" w:after="40"/>
              <w:jc w:val="right"/>
            </w:pPr>
            <w:r w:rsidRPr="009E06AA">
              <w:rPr>
                <w:rFonts w:eastAsia="Calibri" w:cs="Calibri"/>
                <w:color w:val="000000"/>
                <w:szCs w:val="16"/>
              </w:rPr>
              <w:t>41.6</w:t>
            </w:r>
          </w:p>
        </w:tc>
        <w:tc>
          <w:tcPr>
            <w:tcW w:w="1268" w:type="dxa"/>
            <w:shd w:val="clear" w:color="auto" w:fill="FFFFFF"/>
            <w:tcMar>
              <w:top w:w="0" w:type="dxa"/>
              <w:left w:w="85" w:type="dxa"/>
              <w:bottom w:w="0" w:type="dxa"/>
              <w:right w:w="85" w:type="dxa"/>
            </w:tcMar>
            <w:vAlign w:val="center"/>
          </w:tcPr>
          <w:p w14:paraId="52F5965B" w14:textId="77777777" w:rsidR="00053418" w:rsidRPr="009E06AA" w:rsidRDefault="00053418" w:rsidP="003D6A24">
            <w:pPr>
              <w:pStyle w:val="TableText"/>
              <w:spacing w:before="40" w:after="40"/>
              <w:jc w:val="right"/>
            </w:pPr>
            <w:r w:rsidRPr="009E06AA">
              <w:rPr>
                <w:rFonts w:eastAsia="Calibri" w:cs="Calibri"/>
                <w:color w:val="000000"/>
                <w:szCs w:val="16"/>
              </w:rPr>
              <w:t>6.2</w:t>
            </w:r>
          </w:p>
        </w:tc>
      </w:tr>
      <w:tr w:rsidR="00053418" w:rsidRPr="009E06AA" w14:paraId="3C4EE27D" w14:textId="77777777" w:rsidTr="00B55F24">
        <w:tc>
          <w:tcPr>
            <w:tcW w:w="3402" w:type="dxa"/>
            <w:shd w:val="clear" w:color="auto" w:fill="FFFFFF"/>
            <w:tcMar>
              <w:top w:w="0" w:type="dxa"/>
              <w:left w:w="85" w:type="dxa"/>
              <w:bottom w:w="0" w:type="dxa"/>
              <w:right w:w="85" w:type="dxa"/>
            </w:tcMar>
            <w:vAlign w:val="center"/>
          </w:tcPr>
          <w:p w14:paraId="418A3B6A" w14:textId="77777777" w:rsidR="00053418" w:rsidRPr="009E06AA" w:rsidRDefault="00053418" w:rsidP="00B55F24">
            <w:pPr>
              <w:pStyle w:val="TableText"/>
              <w:spacing w:before="40" w:after="40"/>
            </w:pPr>
            <w:r w:rsidRPr="009E06AA">
              <w:rPr>
                <w:rFonts w:eastAsia="Calibri" w:cs="Calibri"/>
                <w:color w:val="000000"/>
                <w:szCs w:val="16"/>
              </w:rPr>
              <w:t>Grassland</w:t>
            </w:r>
          </w:p>
        </w:tc>
        <w:tc>
          <w:tcPr>
            <w:tcW w:w="993" w:type="dxa"/>
            <w:shd w:val="clear" w:color="auto" w:fill="FFFFFF"/>
            <w:tcMar>
              <w:top w:w="0" w:type="dxa"/>
              <w:left w:w="85" w:type="dxa"/>
              <w:bottom w:w="0" w:type="dxa"/>
              <w:right w:w="85" w:type="dxa"/>
            </w:tcMar>
            <w:vAlign w:val="center"/>
          </w:tcPr>
          <w:p w14:paraId="6F161A8F" w14:textId="77777777" w:rsidR="00053418" w:rsidRPr="009E06AA" w:rsidRDefault="00053418" w:rsidP="003D6A24">
            <w:pPr>
              <w:pStyle w:val="TableText"/>
              <w:spacing w:before="40" w:after="40"/>
              <w:jc w:val="right"/>
            </w:pPr>
            <w:r w:rsidRPr="009E06AA">
              <w:rPr>
                <w:rFonts w:eastAsia="Calibri" w:cs="Calibri"/>
                <w:color w:val="000000"/>
                <w:szCs w:val="16"/>
              </w:rPr>
              <w:t>4,365.7</w:t>
            </w:r>
          </w:p>
        </w:tc>
        <w:tc>
          <w:tcPr>
            <w:tcW w:w="992" w:type="dxa"/>
            <w:shd w:val="clear" w:color="auto" w:fill="FFFFFF"/>
            <w:tcMar>
              <w:top w:w="0" w:type="dxa"/>
              <w:left w:w="85" w:type="dxa"/>
              <w:bottom w:w="0" w:type="dxa"/>
              <w:right w:w="85" w:type="dxa"/>
            </w:tcMar>
            <w:vAlign w:val="center"/>
          </w:tcPr>
          <w:p w14:paraId="3E05E3F9" w14:textId="77777777" w:rsidR="00053418" w:rsidRPr="009E06AA" w:rsidRDefault="00053418" w:rsidP="003D6A24">
            <w:pPr>
              <w:pStyle w:val="TableText"/>
              <w:spacing w:before="40" w:after="40"/>
              <w:jc w:val="right"/>
            </w:pPr>
            <w:r w:rsidRPr="009E06AA">
              <w:rPr>
                <w:rFonts w:eastAsia="Calibri" w:cs="Calibri"/>
                <w:color w:val="000000"/>
                <w:szCs w:val="16"/>
              </w:rPr>
              <w:t>3,665.7</w:t>
            </w:r>
          </w:p>
        </w:tc>
        <w:tc>
          <w:tcPr>
            <w:tcW w:w="1843" w:type="dxa"/>
            <w:shd w:val="clear" w:color="auto" w:fill="FFFFFF"/>
            <w:tcMar>
              <w:top w:w="0" w:type="dxa"/>
              <w:left w:w="85" w:type="dxa"/>
              <w:bottom w:w="0" w:type="dxa"/>
              <w:right w:w="85" w:type="dxa"/>
            </w:tcMar>
            <w:vAlign w:val="center"/>
          </w:tcPr>
          <w:p w14:paraId="0307A366" w14:textId="77777777" w:rsidR="00053418" w:rsidRPr="009E06AA" w:rsidRDefault="00053418" w:rsidP="003D6A24">
            <w:pPr>
              <w:pStyle w:val="TableText"/>
              <w:spacing w:before="40" w:after="40"/>
              <w:jc w:val="right"/>
            </w:pPr>
            <w:r w:rsidRPr="009E06AA">
              <w:rPr>
                <w:rFonts w:eastAsia="Calibri" w:cs="Calibri"/>
                <w:color w:val="000000"/>
                <w:szCs w:val="16"/>
              </w:rPr>
              <w:t>-700.1</w:t>
            </w:r>
          </w:p>
        </w:tc>
        <w:tc>
          <w:tcPr>
            <w:tcW w:w="1268" w:type="dxa"/>
            <w:shd w:val="clear" w:color="auto" w:fill="FFFFFF"/>
            <w:tcMar>
              <w:top w:w="0" w:type="dxa"/>
              <w:left w:w="85" w:type="dxa"/>
              <w:bottom w:w="0" w:type="dxa"/>
              <w:right w:w="85" w:type="dxa"/>
            </w:tcMar>
            <w:vAlign w:val="center"/>
          </w:tcPr>
          <w:p w14:paraId="57142EA9" w14:textId="77777777" w:rsidR="00053418" w:rsidRPr="009E06AA" w:rsidRDefault="00053418" w:rsidP="003D6A24">
            <w:pPr>
              <w:pStyle w:val="TableText"/>
              <w:spacing w:before="40" w:after="40"/>
              <w:jc w:val="right"/>
            </w:pPr>
            <w:r w:rsidRPr="009E06AA">
              <w:rPr>
                <w:rFonts w:eastAsia="Calibri" w:cs="Calibri"/>
                <w:color w:val="000000"/>
                <w:szCs w:val="16"/>
              </w:rPr>
              <w:t>-16.0</w:t>
            </w:r>
          </w:p>
        </w:tc>
      </w:tr>
      <w:tr w:rsidR="00053418" w:rsidRPr="009E06AA" w14:paraId="0A26B3EB" w14:textId="77777777" w:rsidTr="00B55F24">
        <w:tc>
          <w:tcPr>
            <w:tcW w:w="3402" w:type="dxa"/>
            <w:shd w:val="clear" w:color="auto" w:fill="FFFFFF"/>
            <w:tcMar>
              <w:top w:w="0" w:type="dxa"/>
              <w:left w:w="85" w:type="dxa"/>
              <w:bottom w:w="0" w:type="dxa"/>
              <w:right w:w="85" w:type="dxa"/>
            </w:tcMar>
            <w:vAlign w:val="center"/>
          </w:tcPr>
          <w:p w14:paraId="39539EC4" w14:textId="77777777" w:rsidR="00053418" w:rsidRPr="009E06AA" w:rsidRDefault="00053418" w:rsidP="00B55F24">
            <w:pPr>
              <w:pStyle w:val="TableText"/>
              <w:spacing w:before="40" w:after="40"/>
            </w:pPr>
            <w:r w:rsidRPr="009E06AA">
              <w:rPr>
                <w:rFonts w:eastAsia="Calibri" w:cs="Calibri"/>
                <w:color w:val="000000"/>
                <w:szCs w:val="16"/>
              </w:rPr>
              <w:t>Wetlands</w:t>
            </w:r>
          </w:p>
        </w:tc>
        <w:tc>
          <w:tcPr>
            <w:tcW w:w="993" w:type="dxa"/>
            <w:shd w:val="clear" w:color="auto" w:fill="FFFFFF"/>
            <w:tcMar>
              <w:top w:w="0" w:type="dxa"/>
              <w:left w:w="85" w:type="dxa"/>
              <w:bottom w:w="0" w:type="dxa"/>
              <w:right w:w="85" w:type="dxa"/>
            </w:tcMar>
            <w:vAlign w:val="center"/>
          </w:tcPr>
          <w:p w14:paraId="57FE985F" w14:textId="77777777" w:rsidR="00053418" w:rsidRPr="009E06AA" w:rsidRDefault="00053418" w:rsidP="003D6A24">
            <w:pPr>
              <w:pStyle w:val="TableText"/>
              <w:spacing w:before="40" w:after="40"/>
              <w:jc w:val="right"/>
            </w:pPr>
            <w:r w:rsidRPr="009E06AA">
              <w:rPr>
                <w:rFonts w:eastAsia="Calibri" w:cs="Calibri"/>
                <w:color w:val="000000"/>
                <w:szCs w:val="16"/>
              </w:rPr>
              <w:t>8.7</w:t>
            </w:r>
          </w:p>
        </w:tc>
        <w:tc>
          <w:tcPr>
            <w:tcW w:w="992" w:type="dxa"/>
            <w:shd w:val="clear" w:color="auto" w:fill="FFFFFF"/>
            <w:tcMar>
              <w:top w:w="0" w:type="dxa"/>
              <w:left w:w="85" w:type="dxa"/>
              <w:bottom w:w="0" w:type="dxa"/>
              <w:right w:w="85" w:type="dxa"/>
            </w:tcMar>
            <w:vAlign w:val="center"/>
          </w:tcPr>
          <w:p w14:paraId="5D28662D" w14:textId="77777777" w:rsidR="00053418" w:rsidRPr="009E06AA" w:rsidRDefault="00053418" w:rsidP="003D6A24">
            <w:pPr>
              <w:pStyle w:val="TableText"/>
              <w:spacing w:before="40" w:after="40"/>
              <w:jc w:val="right"/>
            </w:pPr>
            <w:r w:rsidRPr="009E06AA">
              <w:rPr>
                <w:rFonts w:eastAsia="Calibri" w:cs="Calibri"/>
                <w:color w:val="000000"/>
                <w:szCs w:val="16"/>
              </w:rPr>
              <w:t>8.0</w:t>
            </w:r>
          </w:p>
        </w:tc>
        <w:tc>
          <w:tcPr>
            <w:tcW w:w="1843" w:type="dxa"/>
            <w:shd w:val="clear" w:color="auto" w:fill="FFFFFF"/>
            <w:tcMar>
              <w:top w:w="0" w:type="dxa"/>
              <w:left w:w="85" w:type="dxa"/>
              <w:bottom w:w="0" w:type="dxa"/>
              <w:right w:w="85" w:type="dxa"/>
            </w:tcMar>
            <w:vAlign w:val="center"/>
          </w:tcPr>
          <w:p w14:paraId="71E4BB3D" w14:textId="77777777" w:rsidR="00053418" w:rsidRPr="009E06AA" w:rsidRDefault="00053418" w:rsidP="003D6A24">
            <w:pPr>
              <w:pStyle w:val="TableText"/>
              <w:spacing w:before="40" w:after="40"/>
              <w:jc w:val="right"/>
            </w:pPr>
            <w:r w:rsidRPr="009E06AA">
              <w:rPr>
                <w:rFonts w:eastAsia="Calibri" w:cs="Calibri"/>
                <w:color w:val="000000"/>
                <w:szCs w:val="16"/>
              </w:rPr>
              <w:t>-0.7</w:t>
            </w:r>
          </w:p>
        </w:tc>
        <w:tc>
          <w:tcPr>
            <w:tcW w:w="1268" w:type="dxa"/>
            <w:shd w:val="clear" w:color="auto" w:fill="FFFFFF"/>
            <w:tcMar>
              <w:top w:w="0" w:type="dxa"/>
              <w:left w:w="85" w:type="dxa"/>
              <w:bottom w:w="0" w:type="dxa"/>
              <w:right w:w="85" w:type="dxa"/>
            </w:tcMar>
            <w:vAlign w:val="center"/>
          </w:tcPr>
          <w:p w14:paraId="6EF00CC4" w14:textId="77777777" w:rsidR="00053418" w:rsidRPr="009E06AA" w:rsidRDefault="00053418" w:rsidP="003D6A24">
            <w:pPr>
              <w:pStyle w:val="TableText"/>
              <w:spacing w:before="40" w:after="40"/>
              <w:jc w:val="right"/>
            </w:pPr>
            <w:r w:rsidRPr="009E06AA">
              <w:rPr>
                <w:rFonts w:eastAsia="Calibri" w:cs="Calibri"/>
                <w:color w:val="000000"/>
                <w:szCs w:val="16"/>
              </w:rPr>
              <w:t>-8.0</w:t>
            </w:r>
          </w:p>
        </w:tc>
      </w:tr>
      <w:tr w:rsidR="00053418" w:rsidRPr="009E06AA" w14:paraId="133308DE" w14:textId="77777777" w:rsidTr="00B55F24">
        <w:tc>
          <w:tcPr>
            <w:tcW w:w="3402" w:type="dxa"/>
            <w:shd w:val="clear" w:color="auto" w:fill="FFFFFF"/>
            <w:tcMar>
              <w:top w:w="0" w:type="dxa"/>
              <w:left w:w="85" w:type="dxa"/>
              <w:bottom w:w="0" w:type="dxa"/>
              <w:right w:w="85" w:type="dxa"/>
            </w:tcMar>
            <w:vAlign w:val="center"/>
          </w:tcPr>
          <w:p w14:paraId="09D0E377" w14:textId="77777777" w:rsidR="00053418" w:rsidRPr="009E06AA" w:rsidRDefault="00053418" w:rsidP="00B55F24">
            <w:pPr>
              <w:pStyle w:val="TableText"/>
              <w:spacing w:before="40" w:after="40"/>
            </w:pPr>
            <w:r w:rsidRPr="009E06AA">
              <w:rPr>
                <w:rFonts w:eastAsia="Calibri" w:cs="Calibri"/>
                <w:color w:val="000000"/>
                <w:szCs w:val="16"/>
              </w:rPr>
              <w:t>Settlements</w:t>
            </w:r>
          </w:p>
        </w:tc>
        <w:tc>
          <w:tcPr>
            <w:tcW w:w="993" w:type="dxa"/>
            <w:shd w:val="clear" w:color="auto" w:fill="FFFFFF"/>
            <w:tcMar>
              <w:top w:w="0" w:type="dxa"/>
              <w:left w:w="85" w:type="dxa"/>
              <w:bottom w:w="0" w:type="dxa"/>
              <w:right w:w="85" w:type="dxa"/>
            </w:tcMar>
            <w:vAlign w:val="center"/>
          </w:tcPr>
          <w:p w14:paraId="2DB2FC56" w14:textId="77777777" w:rsidR="00053418" w:rsidRPr="009E06AA" w:rsidRDefault="00053418" w:rsidP="003D6A24">
            <w:pPr>
              <w:pStyle w:val="TableText"/>
              <w:spacing w:before="40" w:after="40"/>
              <w:jc w:val="right"/>
            </w:pPr>
            <w:r w:rsidRPr="009E06AA">
              <w:rPr>
                <w:rFonts w:eastAsia="Calibri" w:cs="Calibri"/>
                <w:color w:val="000000"/>
                <w:szCs w:val="16"/>
              </w:rPr>
              <w:t>121.8</w:t>
            </w:r>
          </w:p>
        </w:tc>
        <w:tc>
          <w:tcPr>
            <w:tcW w:w="992" w:type="dxa"/>
            <w:shd w:val="clear" w:color="auto" w:fill="FFFFFF"/>
            <w:tcMar>
              <w:top w:w="0" w:type="dxa"/>
              <w:left w:w="85" w:type="dxa"/>
              <w:bottom w:w="0" w:type="dxa"/>
              <w:right w:w="85" w:type="dxa"/>
            </w:tcMar>
            <w:vAlign w:val="center"/>
          </w:tcPr>
          <w:p w14:paraId="46873A3F" w14:textId="77777777" w:rsidR="00053418" w:rsidRPr="009E06AA" w:rsidRDefault="00053418" w:rsidP="003D6A24">
            <w:pPr>
              <w:pStyle w:val="TableText"/>
              <w:spacing w:before="40" w:after="40"/>
              <w:jc w:val="right"/>
            </w:pPr>
            <w:r w:rsidRPr="009E06AA">
              <w:rPr>
                <w:rFonts w:eastAsia="Calibri" w:cs="Calibri"/>
                <w:color w:val="000000"/>
                <w:szCs w:val="16"/>
              </w:rPr>
              <w:t>118.0</w:t>
            </w:r>
          </w:p>
        </w:tc>
        <w:tc>
          <w:tcPr>
            <w:tcW w:w="1843" w:type="dxa"/>
            <w:shd w:val="clear" w:color="auto" w:fill="FFFFFF"/>
            <w:tcMar>
              <w:top w:w="0" w:type="dxa"/>
              <w:left w:w="85" w:type="dxa"/>
              <w:bottom w:w="0" w:type="dxa"/>
              <w:right w:w="85" w:type="dxa"/>
            </w:tcMar>
            <w:vAlign w:val="center"/>
          </w:tcPr>
          <w:p w14:paraId="4CD255E8" w14:textId="77777777" w:rsidR="00053418" w:rsidRPr="009E06AA" w:rsidRDefault="00053418" w:rsidP="003D6A24">
            <w:pPr>
              <w:pStyle w:val="TableText"/>
              <w:spacing w:before="40" w:after="40"/>
              <w:jc w:val="right"/>
            </w:pPr>
            <w:r w:rsidRPr="009E06AA">
              <w:rPr>
                <w:rFonts w:eastAsia="Calibri" w:cs="Calibri"/>
                <w:color w:val="000000"/>
                <w:szCs w:val="16"/>
              </w:rPr>
              <w:t>-3.8</w:t>
            </w:r>
          </w:p>
        </w:tc>
        <w:tc>
          <w:tcPr>
            <w:tcW w:w="1268" w:type="dxa"/>
            <w:shd w:val="clear" w:color="auto" w:fill="FFFFFF"/>
            <w:tcMar>
              <w:top w:w="0" w:type="dxa"/>
              <w:left w:w="85" w:type="dxa"/>
              <w:bottom w:w="0" w:type="dxa"/>
              <w:right w:w="85" w:type="dxa"/>
            </w:tcMar>
            <w:vAlign w:val="center"/>
          </w:tcPr>
          <w:p w14:paraId="3C368903" w14:textId="77777777" w:rsidR="00053418" w:rsidRPr="009E06AA" w:rsidRDefault="00053418" w:rsidP="003D6A24">
            <w:pPr>
              <w:pStyle w:val="TableText"/>
              <w:spacing w:before="40" w:after="40"/>
              <w:jc w:val="right"/>
            </w:pPr>
            <w:r w:rsidRPr="009E06AA">
              <w:rPr>
                <w:rFonts w:eastAsia="Calibri" w:cs="Calibri"/>
                <w:color w:val="000000"/>
                <w:szCs w:val="16"/>
              </w:rPr>
              <w:t>-3.1</w:t>
            </w:r>
          </w:p>
        </w:tc>
      </w:tr>
      <w:tr w:rsidR="00053418" w:rsidRPr="009E06AA" w14:paraId="563E158A" w14:textId="77777777" w:rsidTr="00B55F24">
        <w:tc>
          <w:tcPr>
            <w:tcW w:w="3402" w:type="dxa"/>
            <w:shd w:val="clear" w:color="auto" w:fill="FFFFFF"/>
            <w:tcMar>
              <w:top w:w="0" w:type="dxa"/>
              <w:left w:w="85" w:type="dxa"/>
              <w:bottom w:w="0" w:type="dxa"/>
              <w:right w:w="85" w:type="dxa"/>
            </w:tcMar>
            <w:vAlign w:val="center"/>
          </w:tcPr>
          <w:p w14:paraId="27E7D8C8" w14:textId="77777777" w:rsidR="00053418" w:rsidRPr="009E06AA" w:rsidRDefault="00053418" w:rsidP="00B55F24">
            <w:pPr>
              <w:pStyle w:val="TableText"/>
              <w:spacing w:before="40" w:after="40"/>
            </w:pPr>
            <w:r w:rsidRPr="009E06AA">
              <w:rPr>
                <w:rFonts w:eastAsia="Calibri" w:cs="Calibri"/>
                <w:color w:val="000000"/>
                <w:szCs w:val="16"/>
              </w:rPr>
              <w:t>Other land</w:t>
            </w:r>
          </w:p>
        </w:tc>
        <w:tc>
          <w:tcPr>
            <w:tcW w:w="993" w:type="dxa"/>
            <w:shd w:val="clear" w:color="auto" w:fill="FFFFFF"/>
            <w:tcMar>
              <w:top w:w="0" w:type="dxa"/>
              <w:left w:w="85" w:type="dxa"/>
              <w:bottom w:w="0" w:type="dxa"/>
              <w:right w:w="85" w:type="dxa"/>
            </w:tcMar>
            <w:vAlign w:val="center"/>
          </w:tcPr>
          <w:p w14:paraId="047449FA" w14:textId="77777777" w:rsidR="00053418" w:rsidRPr="009E06AA" w:rsidRDefault="00053418" w:rsidP="003D6A24">
            <w:pPr>
              <w:pStyle w:val="TableText"/>
              <w:spacing w:before="40" w:after="40"/>
              <w:jc w:val="right"/>
            </w:pPr>
            <w:r w:rsidRPr="009E06AA">
              <w:rPr>
                <w:rFonts w:eastAsia="Calibri" w:cs="Calibri"/>
                <w:color w:val="000000"/>
                <w:szCs w:val="16"/>
              </w:rPr>
              <w:t>101.3</w:t>
            </w:r>
          </w:p>
        </w:tc>
        <w:tc>
          <w:tcPr>
            <w:tcW w:w="992" w:type="dxa"/>
            <w:shd w:val="clear" w:color="auto" w:fill="FFFFFF"/>
            <w:tcMar>
              <w:top w:w="0" w:type="dxa"/>
              <w:left w:w="85" w:type="dxa"/>
              <w:bottom w:w="0" w:type="dxa"/>
              <w:right w:w="85" w:type="dxa"/>
            </w:tcMar>
            <w:vAlign w:val="center"/>
          </w:tcPr>
          <w:p w14:paraId="7C469CB6" w14:textId="77777777" w:rsidR="00053418" w:rsidRPr="009E06AA" w:rsidRDefault="00053418" w:rsidP="003D6A24">
            <w:pPr>
              <w:pStyle w:val="TableText"/>
              <w:spacing w:before="40" w:after="40"/>
              <w:jc w:val="right"/>
            </w:pPr>
            <w:r w:rsidRPr="009E06AA">
              <w:rPr>
                <w:rFonts w:eastAsia="Calibri" w:cs="Calibri"/>
                <w:color w:val="000000"/>
                <w:szCs w:val="16"/>
              </w:rPr>
              <w:t>90.7</w:t>
            </w:r>
          </w:p>
        </w:tc>
        <w:tc>
          <w:tcPr>
            <w:tcW w:w="1843" w:type="dxa"/>
            <w:shd w:val="clear" w:color="auto" w:fill="FFFFFF"/>
            <w:tcMar>
              <w:top w:w="0" w:type="dxa"/>
              <w:left w:w="85" w:type="dxa"/>
              <w:bottom w:w="0" w:type="dxa"/>
              <w:right w:w="85" w:type="dxa"/>
            </w:tcMar>
            <w:vAlign w:val="center"/>
          </w:tcPr>
          <w:p w14:paraId="3BF6E85B" w14:textId="77777777" w:rsidR="00053418" w:rsidRPr="009E06AA" w:rsidRDefault="00053418" w:rsidP="003D6A24">
            <w:pPr>
              <w:pStyle w:val="TableText"/>
              <w:spacing w:before="40" w:after="40"/>
              <w:jc w:val="right"/>
            </w:pPr>
            <w:r w:rsidRPr="009E06AA">
              <w:rPr>
                <w:rFonts w:eastAsia="Calibri" w:cs="Calibri"/>
                <w:color w:val="000000"/>
                <w:szCs w:val="16"/>
              </w:rPr>
              <w:t>-10.6</w:t>
            </w:r>
          </w:p>
        </w:tc>
        <w:tc>
          <w:tcPr>
            <w:tcW w:w="1268" w:type="dxa"/>
            <w:shd w:val="clear" w:color="auto" w:fill="FFFFFF"/>
            <w:tcMar>
              <w:top w:w="0" w:type="dxa"/>
              <w:left w:w="85" w:type="dxa"/>
              <w:bottom w:w="0" w:type="dxa"/>
              <w:right w:w="85" w:type="dxa"/>
            </w:tcMar>
            <w:vAlign w:val="center"/>
          </w:tcPr>
          <w:p w14:paraId="0A3CB6D1" w14:textId="77777777" w:rsidR="00053418" w:rsidRPr="009E06AA" w:rsidRDefault="00053418" w:rsidP="003D6A24">
            <w:pPr>
              <w:pStyle w:val="TableText"/>
              <w:spacing w:before="40" w:after="40"/>
              <w:jc w:val="right"/>
            </w:pPr>
            <w:r w:rsidRPr="009E06AA">
              <w:rPr>
                <w:rFonts w:eastAsia="Calibri" w:cs="Calibri"/>
                <w:color w:val="000000"/>
                <w:szCs w:val="16"/>
              </w:rPr>
              <w:t>-10.5</w:t>
            </w:r>
          </w:p>
        </w:tc>
      </w:tr>
      <w:tr w:rsidR="00053418" w:rsidRPr="009E06AA" w14:paraId="1B2C50BB" w14:textId="77777777" w:rsidTr="00B55F24">
        <w:tc>
          <w:tcPr>
            <w:tcW w:w="3402" w:type="dxa"/>
            <w:shd w:val="clear" w:color="auto" w:fill="FFFFFF"/>
            <w:tcMar>
              <w:top w:w="0" w:type="dxa"/>
              <w:left w:w="85" w:type="dxa"/>
              <w:bottom w:w="0" w:type="dxa"/>
              <w:right w:w="85" w:type="dxa"/>
            </w:tcMar>
            <w:vAlign w:val="center"/>
          </w:tcPr>
          <w:p w14:paraId="26CD3004" w14:textId="77777777" w:rsidR="00053418" w:rsidRPr="009E06AA" w:rsidRDefault="00053418" w:rsidP="00B55F24">
            <w:pPr>
              <w:pStyle w:val="TableText"/>
              <w:spacing w:before="40" w:after="40"/>
            </w:pPr>
            <w:r w:rsidRPr="009E06AA">
              <w:rPr>
                <w:rFonts w:eastAsia="Calibri" w:cs="Calibri"/>
                <w:color w:val="000000"/>
                <w:szCs w:val="16"/>
              </w:rPr>
              <w:t>Indirect emissions*</w:t>
            </w:r>
          </w:p>
        </w:tc>
        <w:tc>
          <w:tcPr>
            <w:tcW w:w="993" w:type="dxa"/>
            <w:shd w:val="clear" w:color="auto" w:fill="FFFFFF"/>
            <w:tcMar>
              <w:top w:w="0" w:type="dxa"/>
              <w:left w:w="85" w:type="dxa"/>
              <w:bottom w:w="0" w:type="dxa"/>
              <w:right w:w="85" w:type="dxa"/>
            </w:tcMar>
            <w:vAlign w:val="center"/>
          </w:tcPr>
          <w:p w14:paraId="28B7DDF9" w14:textId="77777777" w:rsidR="00053418" w:rsidRPr="009E06AA" w:rsidRDefault="00053418" w:rsidP="003D6A24">
            <w:pPr>
              <w:pStyle w:val="TableText"/>
              <w:spacing w:before="40" w:after="40"/>
              <w:jc w:val="right"/>
            </w:pPr>
            <w:r w:rsidRPr="009E06AA">
              <w:rPr>
                <w:rFonts w:eastAsia="Calibri" w:cs="Calibri"/>
                <w:color w:val="000000"/>
                <w:szCs w:val="16"/>
              </w:rPr>
              <w:t>20.5</w:t>
            </w:r>
          </w:p>
        </w:tc>
        <w:tc>
          <w:tcPr>
            <w:tcW w:w="992" w:type="dxa"/>
            <w:shd w:val="clear" w:color="auto" w:fill="FFFFFF"/>
            <w:tcMar>
              <w:top w:w="0" w:type="dxa"/>
              <w:left w:w="85" w:type="dxa"/>
              <w:bottom w:w="0" w:type="dxa"/>
              <w:right w:w="85" w:type="dxa"/>
            </w:tcMar>
            <w:vAlign w:val="center"/>
          </w:tcPr>
          <w:p w14:paraId="30CB6F1A" w14:textId="77777777" w:rsidR="00053418" w:rsidRPr="009E06AA" w:rsidRDefault="00053418" w:rsidP="003D6A24">
            <w:pPr>
              <w:pStyle w:val="TableText"/>
              <w:spacing w:before="40" w:after="40"/>
              <w:jc w:val="right"/>
            </w:pPr>
            <w:r w:rsidRPr="009E06AA">
              <w:rPr>
                <w:rFonts w:eastAsia="Calibri" w:cs="Calibri"/>
                <w:color w:val="000000"/>
                <w:szCs w:val="16"/>
              </w:rPr>
              <w:t>23.5</w:t>
            </w:r>
          </w:p>
        </w:tc>
        <w:tc>
          <w:tcPr>
            <w:tcW w:w="1843" w:type="dxa"/>
            <w:shd w:val="clear" w:color="auto" w:fill="FFFFFF"/>
            <w:tcMar>
              <w:top w:w="0" w:type="dxa"/>
              <w:left w:w="85" w:type="dxa"/>
              <w:bottom w:w="0" w:type="dxa"/>
              <w:right w:w="85" w:type="dxa"/>
            </w:tcMar>
            <w:vAlign w:val="center"/>
          </w:tcPr>
          <w:p w14:paraId="07720387" w14:textId="77777777" w:rsidR="00053418" w:rsidRPr="009E06AA" w:rsidRDefault="00053418" w:rsidP="003D6A24">
            <w:pPr>
              <w:pStyle w:val="TableText"/>
              <w:spacing w:before="40" w:after="40"/>
              <w:jc w:val="right"/>
            </w:pPr>
            <w:r w:rsidRPr="009E06AA">
              <w:rPr>
                <w:rFonts w:eastAsia="Calibri" w:cs="Calibri"/>
                <w:color w:val="000000"/>
                <w:szCs w:val="16"/>
              </w:rPr>
              <w:t>3.0</w:t>
            </w:r>
          </w:p>
        </w:tc>
        <w:tc>
          <w:tcPr>
            <w:tcW w:w="1268" w:type="dxa"/>
            <w:shd w:val="clear" w:color="auto" w:fill="FFFFFF"/>
            <w:tcMar>
              <w:top w:w="0" w:type="dxa"/>
              <w:left w:w="85" w:type="dxa"/>
              <w:bottom w:w="0" w:type="dxa"/>
              <w:right w:w="85" w:type="dxa"/>
            </w:tcMar>
            <w:vAlign w:val="center"/>
          </w:tcPr>
          <w:p w14:paraId="3BFE05AB" w14:textId="77777777" w:rsidR="00053418" w:rsidRPr="009E06AA" w:rsidRDefault="00053418" w:rsidP="003D6A24">
            <w:pPr>
              <w:pStyle w:val="TableText"/>
              <w:spacing w:before="40" w:after="40"/>
              <w:jc w:val="right"/>
            </w:pPr>
            <w:r w:rsidRPr="009E06AA">
              <w:rPr>
                <w:rFonts w:eastAsia="Calibri" w:cs="Calibri"/>
                <w:color w:val="000000"/>
                <w:szCs w:val="16"/>
              </w:rPr>
              <w:t>14.8</w:t>
            </w:r>
          </w:p>
        </w:tc>
      </w:tr>
      <w:tr w:rsidR="00053418" w:rsidRPr="009E06AA" w14:paraId="4F1A0629" w14:textId="77777777" w:rsidTr="00B55F24">
        <w:tc>
          <w:tcPr>
            <w:tcW w:w="3402" w:type="dxa"/>
            <w:shd w:val="clear" w:color="auto" w:fill="FFFFFF"/>
            <w:tcMar>
              <w:top w:w="0" w:type="dxa"/>
              <w:left w:w="85" w:type="dxa"/>
              <w:bottom w:w="0" w:type="dxa"/>
              <w:right w:w="85" w:type="dxa"/>
            </w:tcMar>
            <w:vAlign w:val="center"/>
          </w:tcPr>
          <w:p w14:paraId="0E21E716" w14:textId="77777777" w:rsidR="00053418" w:rsidRPr="009E06AA" w:rsidRDefault="00053418" w:rsidP="00B55F24">
            <w:pPr>
              <w:pStyle w:val="TableText"/>
              <w:spacing w:before="40" w:after="40"/>
            </w:pPr>
            <w:r w:rsidRPr="009E06AA">
              <w:rPr>
                <w:rFonts w:eastAsia="Calibri" w:cs="Calibri"/>
                <w:color w:val="000000"/>
                <w:szCs w:val="16"/>
              </w:rPr>
              <w:t>Harvested wood products</w:t>
            </w:r>
          </w:p>
        </w:tc>
        <w:tc>
          <w:tcPr>
            <w:tcW w:w="993" w:type="dxa"/>
            <w:shd w:val="clear" w:color="auto" w:fill="FFFFFF"/>
            <w:tcMar>
              <w:top w:w="0" w:type="dxa"/>
              <w:left w:w="85" w:type="dxa"/>
              <w:bottom w:w="0" w:type="dxa"/>
              <w:right w:w="85" w:type="dxa"/>
            </w:tcMar>
            <w:vAlign w:val="center"/>
          </w:tcPr>
          <w:p w14:paraId="45AADF9A" w14:textId="77777777" w:rsidR="00053418" w:rsidRPr="009E06AA" w:rsidRDefault="00053418" w:rsidP="003D6A24">
            <w:pPr>
              <w:pStyle w:val="TableText"/>
              <w:spacing w:before="40" w:after="40"/>
              <w:jc w:val="right"/>
            </w:pPr>
            <w:r w:rsidRPr="009E06AA">
              <w:rPr>
                <w:rFonts w:eastAsia="Calibri" w:cs="Calibri"/>
                <w:color w:val="000000"/>
                <w:szCs w:val="16"/>
              </w:rPr>
              <w:t>-8,806.0</w:t>
            </w:r>
          </w:p>
        </w:tc>
        <w:tc>
          <w:tcPr>
            <w:tcW w:w="992" w:type="dxa"/>
            <w:shd w:val="clear" w:color="auto" w:fill="FFFFFF"/>
            <w:tcMar>
              <w:top w:w="0" w:type="dxa"/>
              <w:left w:w="85" w:type="dxa"/>
              <w:bottom w:w="0" w:type="dxa"/>
              <w:right w:w="85" w:type="dxa"/>
            </w:tcMar>
            <w:vAlign w:val="center"/>
          </w:tcPr>
          <w:p w14:paraId="47510205" w14:textId="77777777" w:rsidR="00053418" w:rsidRPr="009E06AA" w:rsidRDefault="00053418" w:rsidP="003D6A24">
            <w:pPr>
              <w:pStyle w:val="TableText"/>
              <w:spacing w:before="40" w:after="40"/>
              <w:jc w:val="right"/>
            </w:pPr>
            <w:r w:rsidRPr="009E06AA">
              <w:rPr>
                <w:rFonts w:eastAsia="Calibri" w:cs="Calibri"/>
                <w:color w:val="000000"/>
                <w:szCs w:val="16"/>
              </w:rPr>
              <w:t>-6,582.3</w:t>
            </w:r>
          </w:p>
        </w:tc>
        <w:tc>
          <w:tcPr>
            <w:tcW w:w="1843" w:type="dxa"/>
            <w:shd w:val="clear" w:color="auto" w:fill="FFFFFF"/>
            <w:tcMar>
              <w:top w:w="0" w:type="dxa"/>
              <w:left w:w="85" w:type="dxa"/>
              <w:bottom w:w="0" w:type="dxa"/>
              <w:right w:w="85" w:type="dxa"/>
            </w:tcMar>
            <w:vAlign w:val="center"/>
          </w:tcPr>
          <w:p w14:paraId="09C742F3" w14:textId="77777777" w:rsidR="00053418" w:rsidRPr="009E06AA" w:rsidRDefault="00053418" w:rsidP="003D6A24">
            <w:pPr>
              <w:pStyle w:val="TableText"/>
              <w:spacing w:before="40" w:after="40"/>
              <w:jc w:val="right"/>
            </w:pPr>
            <w:r w:rsidRPr="009E06AA">
              <w:rPr>
                <w:rFonts w:eastAsia="Calibri" w:cs="Calibri"/>
                <w:color w:val="000000"/>
                <w:szCs w:val="16"/>
              </w:rPr>
              <w:t>2,223.7</w:t>
            </w:r>
          </w:p>
        </w:tc>
        <w:tc>
          <w:tcPr>
            <w:tcW w:w="1268" w:type="dxa"/>
            <w:shd w:val="clear" w:color="auto" w:fill="FFFFFF"/>
            <w:tcMar>
              <w:top w:w="0" w:type="dxa"/>
              <w:left w:w="85" w:type="dxa"/>
              <w:bottom w:w="0" w:type="dxa"/>
              <w:right w:w="85" w:type="dxa"/>
            </w:tcMar>
            <w:vAlign w:val="center"/>
          </w:tcPr>
          <w:p w14:paraId="3C60228B" w14:textId="77777777" w:rsidR="00053418" w:rsidRPr="009E06AA" w:rsidRDefault="00053418" w:rsidP="003D6A24">
            <w:pPr>
              <w:pStyle w:val="TableText"/>
              <w:spacing w:before="40" w:after="40"/>
              <w:jc w:val="right"/>
            </w:pPr>
            <w:r w:rsidRPr="009E06AA">
              <w:rPr>
                <w:rFonts w:eastAsia="Calibri" w:cs="Calibri"/>
                <w:color w:val="000000"/>
                <w:szCs w:val="16"/>
              </w:rPr>
              <w:t>25.3</w:t>
            </w:r>
          </w:p>
        </w:tc>
      </w:tr>
      <w:tr w:rsidR="00053418" w:rsidRPr="009E06AA" w14:paraId="7777F429" w14:textId="77777777" w:rsidTr="00B55F24">
        <w:tc>
          <w:tcPr>
            <w:tcW w:w="3402" w:type="dxa"/>
            <w:shd w:val="clear" w:color="auto" w:fill="FFFFFF"/>
            <w:tcMar>
              <w:top w:w="0" w:type="dxa"/>
              <w:left w:w="85" w:type="dxa"/>
              <w:bottom w:w="0" w:type="dxa"/>
              <w:right w:w="85" w:type="dxa"/>
            </w:tcMar>
            <w:vAlign w:val="center"/>
          </w:tcPr>
          <w:p w14:paraId="346B40AA" w14:textId="77777777" w:rsidR="00053418" w:rsidRPr="009E06AA" w:rsidRDefault="00053418" w:rsidP="00B55F24">
            <w:pPr>
              <w:pStyle w:val="TableText"/>
              <w:spacing w:before="40" w:after="40"/>
            </w:pPr>
            <w:r w:rsidRPr="009E06AA">
              <w:rPr>
                <w:rFonts w:eastAsia="Calibri" w:cs="Calibri"/>
                <w:b/>
                <w:color w:val="1B556B"/>
                <w:szCs w:val="16"/>
              </w:rPr>
              <w:t>Total LULUCF</w:t>
            </w:r>
          </w:p>
        </w:tc>
        <w:tc>
          <w:tcPr>
            <w:tcW w:w="993" w:type="dxa"/>
            <w:shd w:val="clear" w:color="auto" w:fill="FFFFFF"/>
            <w:tcMar>
              <w:top w:w="0" w:type="dxa"/>
              <w:left w:w="85" w:type="dxa"/>
              <w:bottom w:w="0" w:type="dxa"/>
              <w:right w:w="85" w:type="dxa"/>
            </w:tcMar>
            <w:vAlign w:val="center"/>
          </w:tcPr>
          <w:p w14:paraId="119C9792" w14:textId="77777777" w:rsidR="00053418" w:rsidRPr="009E06AA" w:rsidRDefault="00053418" w:rsidP="003D6A24">
            <w:pPr>
              <w:pStyle w:val="TableText"/>
              <w:spacing w:before="40" w:after="40"/>
              <w:jc w:val="right"/>
            </w:pPr>
            <w:r w:rsidRPr="009E06AA">
              <w:rPr>
                <w:rFonts w:eastAsia="Calibri" w:cs="Calibri"/>
                <w:b/>
                <w:color w:val="1B556B"/>
                <w:szCs w:val="16"/>
              </w:rPr>
              <w:t>-20,505.6</w:t>
            </w:r>
          </w:p>
        </w:tc>
        <w:tc>
          <w:tcPr>
            <w:tcW w:w="992" w:type="dxa"/>
            <w:shd w:val="clear" w:color="auto" w:fill="FFFFFF"/>
            <w:tcMar>
              <w:top w:w="0" w:type="dxa"/>
              <w:left w:w="85" w:type="dxa"/>
              <w:bottom w:w="0" w:type="dxa"/>
              <w:right w:w="85" w:type="dxa"/>
            </w:tcMar>
            <w:vAlign w:val="center"/>
          </w:tcPr>
          <w:p w14:paraId="3F6F7F66" w14:textId="77777777" w:rsidR="00053418" w:rsidRPr="009E06AA" w:rsidRDefault="00053418" w:rsidP="003D6A24">
            <w:pPr>
              <w:pStyle w:val="TableText"/>
              <w:spacing w:before="40" w:after="40"/>
              <w:jc w:val="right"/>
            </w:pPr>
            <w:r w:rsidRPr="009E06AA">
              <w:rPr>
                <w:rFonts w:eastAsia="Calibri" w:cs="Calibri"/>
                <w:b/>
                <w:color w:val="1B556B"/>
                <w:szCs w:val="16"/>
              </w:rPr>
              <w:t>-19,238.8</w:t>
            </w:r>
          </w:p>
        </w:tc>
        <w:tc>
          <w:tcPr>
            <w:tcW w:w="1843" w:type="dxa"/>
            <w:shd w:val="clear" w:color="auto" w:fill="FFFFFF"/>
            <w:tcMar>
              <w:top w:w="0" w:type="dxa"/>
              <w:left w:w="85" w:type="dxa"/>
              <w:bottom w:w="0" w:type="dxa"/>
              <w:right w:w="85" w:type="dxa"/>
            </w:tcMar>
            <w:vAlign w:val="center"/>
          </w:tcPr>
          <w:p w14:paraId="33775135" w14:textId="77777777" w:rsidR="00053418" w:rsidRPr="009E06AA" w:rsidRDefault="00053418" w:rsidP="003D6A24">
            <w:pPr>
              <w:pStyle w:val="TableText"/>
              <w:spacing w:before="40" w:after="40"/>
              <w:jc w:val="right"/>
            </w:pPr>
            <w:r w:rsidRPr="009E06AA">
              <w:rPr>
                <w:rFonts w:eastAsia="Calibri" w:cs="Calibri"/>
                <w:b/>
                <w:color w:val="1B556B"/>
                <w:szCs w:val="16"/>
              </w:rPr>
              <w:t>1,266.8</w:t>
            </w:r>
          </w:p>
        </w:tc>
        <w:tc>
          <w:tcPr>
            <w:tcW w:w="1268" w:type="dxa"/>
            <w:shd w:val="clear" w:color="auto" w:fill="FFFFFF"/>
            <w:tcMar>
              <w:top w:w="0" w:type="dxa"/>
              <w:left w:w="85" w:type="dxa"/>
              <w:bottom w:w="0" w:type="dxa"/>
              <w:right w:w="85" w:type="dxa"/>
            </w:tcMar>
            <w:vAlign w:val="center"/>
          </w:tcPr>
          <w:p w14:paraId="03734057" w14:textId="77777777" w:rsidR="00053418" w:rsidRPr="009E06AA" w:rsidRDefault="00053418" w:rsidP="003D6A24">
            <w:pPr>
              <w:pStyle w:val="TableText"/>
              <w:spacing w:before="40" w:after="40"/>
              <w:jc w:val="right"/>
            </w:pPr>
            <w:r w:rsidRPr="009E06AA">
              <w:rPr>
                <w:rFonts w:eastAsia="Calibri" w:cs="Calibri"/>
                <w:b/>
                <w:color w:val="1B556B"/>
                <w:szCs w:val="16"/>
              </w:rPr>
              <w:t>6.2</w:t>
            </w:r>
          </w:p>
        </w:tc>
      </w:tr>
    </w:tbl>
    <w:p w14:paraId="4FDECFB1" w14:textId="62C26D16" w:rsidR="00053418" w:rsidRPr="009E06AA" w:rsidRDefault="00053418" w:rsidP="00053418">
      <w:pPr>
        <w:pStyle w:val="Noteundertable"/>
        <w:spacing w:after="0"/>
      </w:pPr>
      <w:r w:rsidRPr="009E06AA">
        <w:rPr>
          <w:b/>
        </w:rPr>
        <w:t>Note:</w:t>
      </w:r>
      <w:r w:rsidRPr="009E06AA">
        <w:tab/>
        <w:t>* Indirect emissions as a result of nitrous oxide emissions from leaching and runoff are not disaggregated by land use category in the common reporting tables and are reported separately under non-carbon dioxide emissions in section 6.10.4.</w:t>
      </w:r>
    </w:p>
    <w:p w14:paraId="31D28A73" w14:textId="77777777" w:rsidR="00053418" w:rsidRPr="009E06AA" w:rsidRDefault="00053418" w:rsidP="00053418">
      <w:pPr>
        <w:pStyle w:val="Heading3"/>
      </w:pPr>
      <w:r w:rsidRPr="009E06AA">
        <w:t>6.1.1</w:t>
      </w:r>
      <w:r w:rsidRPr="009E06AA">
        <w:tab/>
        <w:t>National circumstance</w:t>
      </w:r>
    </w:p>
    <w:p w14:paraId="75162CC0" w14:textId="77777777" w:rsidR="00053418" w:rsidRPr="009E06AA" w:rsidRDefault="00053418" w:rsidP="00053418">
      <w:pPr>
        <w:pStyle w:val="BodyText"/>
      </w:pPr>
      <w:r w:rsidRPr="009E06AA">
        <w:t>New Zealand has a land area of nearly 270,000 square kilometres with extensive coastlines (approximately 19,800 kilometres). This land mass is made up of two main islands, the North Island and South Island, as well as smaller outlying islands. New Zealand has a temperate climate, highly influenced by the surrounding ocean. Around 60 per cent of the land is hilly or mountainous, with around 425,000 kilometres of rivers and streams, and almost 4,000 lakes that are larger than a hectare (Ministry for the Environment and Stats NZ, 2017).</w:t>
      </w:r>
    </w:p>
    <w:p w14:paraId="6EBFACD2" w14:textId="77777777" w:rsidR="00053418" w:rsidRPr="009E06AA" w:rsidRDefault="00053418" w:rsidP="00053418">
      <w:pPr>
        <w:pStyle w:val="BodyText"/>
        <w:spacing w:before="100" w:after="100"/>
      </w:pPr>
      <w:r w:rsidRPr="009E06AA">
        <w:t>Since 1990, approximately 10.7 per cent of New Zealand’s total land area has undergone land</w:t>
      </w:r>
      <w:r w:rsidRPr="009E06AA">
        <w:noBreakHyphen/>
        <w:t xml:space="preserve">use change. </w:t>
      </w:r>
      <w:r w:rsidRPr="009E06AA">
        <w:rPr>
          <w:spacing w:val="-2"/>
        </w:rPr>
        <w:t xml:space="preserve">Before human settlement, natural forests were </w:t>
      </w:r>
      <w:r w:rsidRPr="009E06AA">
        <w:t>New Zealand’s</w:t>
      </w:r>
      <w:r w:rsidRPr="009E06AA">
        <w:rPr>
          <w:spacing w:val="-2"/>
        </w:rPr>
        <w:t xml:space="preserve"> predominant land cover, estimated at 85 per cent to 90 per cent of total land area (McGlone, 2009). Natural forest now covers approximately 29 per cent of </w:t>
      </w:r>
      <w:r w:rsidRPr="009E06AA">
        <w:t>New Zealand’s</w:t>
      </w:r>
      <w:r w:rsidRPr="009E06AA">
        <w:rPr>
          <w:spacing w:val="-2"/>
        </w:rPr>
        <w:t xml:space="preserve"> total land area, having been replaced predominantly by agricultural land uses (Ewers et al., 2006). </w:t>
      </w:r>
      <w:r w:rsidRPr="009E06AA">
        <w:t>Demand for accessible land has also led to the modification of a large proportion of New Zealand’s vegetated wetland areas to provide pastoral land cover. Just over 10 per cent of wetlands present before European settlement remain across New Zealand (McGlone, 2009). For a summary of land use area in 2022 in New Zealand, see table 6.1.3.</w:t>
      </w:r>
    </w:p>
    <w:p w14:paraId="4A55E3DB" w14:textId="77777777" w:rsidR="00053418" w:rsidRPr="009E06AA" w:rsidRDefault="00053418" w:rsidP="00053418">
      <w:pPr>
        <w:pStyle w:val="BodyText"/>
      </w:pPr>
      <w:r w:rsidRPr="009E06AA">
        <w:t xml:space="preserve">New Zealand forests are either held on privately owned land or in the publicly owned </w:t>
      </w:r>
      <w:r w:rsidRPr="009E06AA">
        <w:rPr>
          <w:spacing w:val="-2"/>
        </w:rPr>
        <w:t>conservation estate (an area of approximately 8.5 million hectares; Ministry for the Environmen</w:t>
      </w:r>
      <w:r w:rsidRPr="009E06AA">
        <w:t xml:space="preserve">t </w:t>
      </w:r>
      <w:r w:rsidRPr="009E06AA">
        <w:rPr>
          <w:spacing w:val="-2"/>
        </w:rPr>
        <w:t xml:space="preserve">and Stats NZ, 2018). Consequently, all forests in </w:t>
      </w:r>
      <w:r w:rsidRPr="009E06AA">
        <w:t>New Zealand</w:t>
      </w:r>
      <w:r w:rsidRPr="009E06AA">
        <w:rPr>
          <w:spacing w:val="-2"/>
        </w:rPr>
        <w:t xml:space="preserve"> meet the 2006 Intergovernmenta</w:t>
      </w:r>
      <w:r w:rsidRPr="009E06AA">
        <w:t>l Panel on Climate Change (IPCC) Guidelines definition of managed land, which is “</w:t>
      </w:r>
      <w:r w:rsidRPr="009E06AA">
        <w:rPr>
          <w:iCs/>
        </w:rPr>
        <w:t>land where human interventions and practices have been applied to perform production, ecological or social functions</w:t>
      </w:r>
      <w:r w:rsidRPr="009E06AA">
        <w:t>” (IPCC, 2006a). Therefore, both forests planted for timber production and natural forests managed for conservation purposes are considered managed forests.</w:t>
      </w:r>
    </w:p>
    <w:p w14:paraId="5C13343B" w14:textId="77777777" w:rsidR="00053418" w:rsidRPr="009E06AA" w:rsidRDefault="00053418" w:rsidP="00053418">
      <w:pPr>
        <w:pStyle w:val="BodyText"/>
      </w:pPr>
      <w:r w:rsidRPr="009E06AA">
        <w:t>No timber is legally harvested from natural forests in the publicly owned conservation estate other than in exceptional circumstances where legislation allows. Most other harvesting of natural forests is required by law to be undertaken on a sustainable basis (Forests Act 1949).</w:t>
      </w:r>
    </w:p>
    <w:p w14:paraId="67C795F2" w14:textId="77777777" w:rsidR="00053418" w:rsidRPr="009E06AA" w:rsidRDefault="00053418" w:rsidP="00053418">
      <w:pPr>
        <w:pStyle w:val="BodyText"/>
      </w:pPr>
      <w:r w:rsidRPr="009E06AA">
        <w:t>Plantation forestry and agricultural industries form the core of New Zealand’s economy and are the main determinants of New Zealand’s LULUCF emissions profile. Intensive forest management, combined with a temperate climate, fertile soils and high rainfall, means New Zealand has one of the highest rates of exotic forest growth among Annex I countries.</w:t>
      </w:r>
    </w:p>
    <w:p w14:paraId="6ED04EEF" w14:textId="77777777" w:rsidR="00053418" w:rsidRPr="009E06AA" w:rsidRDefault="00053418" w:rsidP="00053418">
      <w:pPr>
        <w:pStyle w:val="BodyText"/>
      </w:pPr>
      <w:r w:rsidRPr="009E06AA">
        <w:t>New Zealand’s exotic forest plantation estate is intensively managed for production forestry, with rapid-growing genotypes selected and enhanced for optimum growth. Rates of afforestation, reforestation, harvesting and deforestation are strongly influenced by market conditions for harvested timber, competition for land use and introduced government policies. One such policy has been the introduction of the New Zealand Emissions Trading Scheme (NZ ETS) in 2008 and the inclusion of forestry within the scheme (Ministry for Primary Industries, 2015). The forestry component of the NZ ETS was included to encourage new forest planting and disincentivise deforestation. An unintended consequence of this policy was that large-scale deforestation of pre-1990 planted forest occurred in 2007 (30,222 hectares) before the policy’s introduction as landowners deforested to avoid potential future liabilities (see figure 6.1.1 and figure 6.1.2). Changes in afforestation and deforestation rates show they correlate strongly with fluctuations in the NZ ETS carbon price (figure 6.1.2). However, afforestation and deforestation rates are also affected by other market conditions and other government initiatives, which are summarised in annex A5.2.5 ‘Forest land methodologies’.</w:t>
      </w:r>
    </w:p>
    <w:p w14:paraId="487127DA" w14:textId="77777777" w:rsidR="00053418" w:rsidRPr="009E06AA" w:rsidRDefault="00053418" w:rsidP="00053418">
      <w:pPr>
        <w:pStyle w:val="Table"/>
      </w:pPr>
      <w:bookmarkStart w:id="1667" w:name="_Toc443645354"/>
      <w:bookmarkStart w:id="1668" w:name="_Toc474914573"/>
      <w:bookmarkStart w:id="1669" w:name="_Toc481751537"/>
      <w:bookmarkStart w:id="1670" w:name="_Toc522010594"/>
      <w:bookmarkStart w:id="1671" w:name="_Toc5269499"/>
      <w:bookmarkStart w:id="1672" w:name="_Toc33529375"/>
      <w:bookmarkStart w:id="1673" w:name="_Toc36224581"/>
      <w:bookmarkStart w:id="1674" w:name="_Toc65243576"/>
      <w:bookmarkStart w:id="1675" w:name="_Toc131591383"/>
      <w:bookmarkStart w:id="1676" w:name="_Toc158979941"/>
      <w:bookmarkStart w:id="1677" w:name="_Toc164153874"/>
      <w:r w:rsidRPr="009E06AA">
        <w:t xml:space="preserve">Table 6.1.3 </w:t>
      </w:r>
      <w:r w:rsidRPr="009E06AA">
        <w:tab/>
        <w:t xml:space="preserve">Land use in New Zealand in </w:t>
      </w:r>
      <w:bookmarkEnd w:id="1667"/>
      <w:bookmarkEnd w:id="1668"/>
      <w:bookmarkEnd w:id="1669"/>
      <w:bookmarkEnd w:id="1670"/>
      <w:bookmarkEnd w:id="1671"/>
      <w:bookmarkEnd w:id="1672"/>
      <w:bookmarkEnd w:id="1673"/>
      <w:bookmarkEnd w:id="1674"/>
      <w:r w:rsidRPr="009E06AA">
        <w:t>2022</w:t>
      </w:r>
      <w:bookmarkEnd w:id="1675"/>
      <w:bookmarkEnd w:id="1676"/>
      <w:bookmarkEnd w:id="1677"/>
    </w:p>
    <w:tbl>
      <w:tblPr>
        <w:tblW w:w="8504" w:type="dxa"/>
        <w:tblBorders>
          <w:top w:val="single" w:sz="4" w:space="0" w:color="1B556B" w:themeColor="text2"/>
          <w:bottom w:val="single" w:sz="4" w:space="0" w:color="1B556B" w:themeColor="text2"/>
          <w:insideH w:val="single" w:sz="4" w:space="0" w:color="1B556B" w:themeColor="text2"/>
        </w:tblBorders>
        <w:tblLayout w:type="fixed"/>
        <w:tblLook w:val="0420" w:firstRow="1" w:lastRow="0" w:firstColumn="0" w:lastColumn="0" w:noHBand="0" w:noVBand="1"/>
      </w:tblPr>
      <w:tblGrid>
        <w:gridCol w:w="1985"/>
        <w:gridCol w:w="2551"/>
        <w:gridCol w:w="1560"/>
        <w:gridCol w:w="2408"/>
      </w:tblGrid>
      <w:tr w:rsidR="00053418" w:rsidRPr="009E06AA" w14:paraId="7E2EC931" w14:textId="77777777" w:rsidTr="00B55F24">
        <w:trPr>
          <w:tblHeader/>
        </w:trPr>
        <w:tc>
          <w:tcPr>
            <w:tcW w:w="1985" w:type="dxa"/>
            <w:shd w:val="clear" w:color="auto" w:fill="1B556B"/>
            <w:tcMar>
              <w:top w:w="0" w:type="dxa"/>
              <w:left w:w="85" w:type="dxa"/>
              <w:bottom w:w="0" w:type="dxa"/>
              <w:right w:w="85" w:type="dxa"/>
            </w:tcMar>
            <w:vAlign w:val="center"/>
          </w:tcPr>
          <w:p w14:paraId="3812A7F1" w14:textId="77777777" w:rsidR="00053418" w:rsidRPr="009E06AA" w:rsidRDefault="00053418" w:rsidP="00B55F24">
            <w:pPr>
              <w:pStyle w:val="TableTextBold"/>
              <w:spacing w:before="40" w:after="40"/>
              <w:rPr>
                <w:noProof w:val="0"/>
                <w:color w:val="FFFFFF" w:themeColor="background1"/>
                <w:szCs w:val="16"/>
              </w:rPr>
            </w:pPr>
            <w:r w:rsidRPr="009E06AA">
              <w:rPr>
                <w:noProof w:val="0"/>
                <w:color w:val="FFFFFF" w:themeColor="background1"/>
                <w:szCs w:val="16"/>
              </w:rPr>
              <w:t>Category</w:t>
            </w:r>
          </w:p>
        </w:tc>
        <w:tc>
          <w:tcPr>
            <w:tcW w:w="2551" w:type="dxa"/>
            <w:shd w:val="clear" w:color="auto" w:fill="1B556B"/>
            <w:tcMar>
              <w:top w:w="0" w:type="dxa"/>
              <w:left w:w="85" w:type="dxa"/>
              <w:bottom w:w="0" w:type="dxa"/>
              <w:right w:w="85" w:type="dxa"/>
            </w:tcMar>
            <w:vAlign w:val="center"/>
          </w:tcPr>
          <w:p w14:paraId="3EC1A8E9" w14:textId="77777777" w:rsidR="00053418" w:rsidRPr="009E06AA" w:rsidRDefault="00053418" w:rsidP="00B55F24">
            <w:pPr>
              <w:pStyle w:val="TableTextBold"/>
              <w:spacing w:before="40" w:after="40"/>
              <w:rPr>
                <w:noProof w:val="0"/>
                <w:color w:val="FFFFFF" w:themeColor="background1"/>
                <w:szCs w:val="16"/>
              </w:rPr>
            </w:pPr>
            <w:r w:rsidRPr="009E06AA">
              <w:rPr>
                <w:noProof w:val="0"/>
                <w:color w:val="FFFFFF" w:themeColor="background1"/>
                <w:szCs w:val="16"/>
              </w:rPr>
              <w:t>Land use</w:t>
            </w:r>
          </w:p>
        </w:tc>
        <w:tc>
          <w:tcPr>
            <w:tcW w:w="1560" w:type="dxa"/>
            <w:shd w:val="clear" w:color="auto" w:fill="1B556B"/>
            <w:tcMar>
              <w:top w:w="0" w:type="dxa"/>
              <w:left w:w="85" w:type="dxa"/>
              <w:bottom w:w="0" w:type="dxa"/>
              <w:right w:w="85" w:type="dxa"/>
            </w:tcMar>
            <w:vAlign w:val="center"/>
          </w:tcPr>
          <w:p w14:paraId="2679BCC0" w14:textId="77777777" w:rsidR="00053418" w:rsidRPr="009E06AA" w:rsidRDefault="00053418" w:rsidP="00314B3B">
            <w:pPr>
              <w:pStyle w:val="TableTextBold"/>
              <w:spacing w:before="40" w:after="40"/>
              <w:jc w:val="right"/>
              <w:rPr>
                <w:noProof w:val="0"/>
                <w:color w:val="FFFFFF" w:themeColor="background1"/>
                <w:szCs w:val="16"/>
              </w:rPr>
            </w:pPr>
            <w:r w:rsidRPr="009E06AA">
              <w:rPr>
                <w:noProof w:val="0"/>
                <w:color w:val="FFFFFF" w:themeColor="background1"/>
                <w:szCs w:val="16"/>
              </w:rPr>
              <w:t>Area (kha)</w:t>
            </w:r>
          </w:p>
        </w:tc>
        <w:tc>
          <w:tcPr>
            <w:tcW w:w="2408" w:type="dxa"/>
            <w:shd w:val="clear" w:color="auto" w:fill="1B556B"/>
            <w:tcMar>
              <w:top w:w="0" w:type="dxa"/>
              <w:left w:w="85" w:type="dxa"/>
              <w:bottom w:w="0" w:type="dxa"/>
              <w:right w:w="85" w:type="dxa"/>
            </w:tcMar>
            <w:vAlign w:val="center"/>
          </w:tcPr>
          <w:p w14:paraId="274ADDE1" w14:textId="77777777" w:rsidR="00053418" w:rsidRPr="009E06AA" w:rsidRDefault="00053418" w:rsidP="00314B3B">
            <w:pPr>
              <w:pStyle w:val="TableTextBold"/>
              <w:spacing w:before="40" w:after="40"/>
              <w:jc w:val="right"/>
              <w:rPr>
                <w:noProof w:val="0"/>
                <w:color w:val="FFFFFF" w:themeColor="background1"/>
                <w:szCs w:val="16"/>
              </w:rPr>
            </w:pPr>
            <w:r w:rsidRPr="009E06AA">
              <w:rPr>
                <w:noProof w:val="0"/>
                <w:color w:val="FFFFFF" w:themeColor="background1"/>
                <w:szCs w:val="16"/>
              </w:rPr>
              <w:t>Proportion of total area (%)</w:t>
            </w:r>
          </w:p>
        </w:tc>
      </w:tr>
      <w:tr w:rsidR="00053418" w:rsidRPr="009E06AA" w14:paraId="25C4FE23" w14:textId="77777777" w:rsidTr="00B55F24">
        <w:tc>
          <w:tcPr>
            <w:tcW w:w="1985" w:type="dxa"/>
            <w:shd w:val="clear" w:color="auto" w:fill="FFFFFF"/>
            <w:tcMar>
              <w:top w:w="0" w:type="dxa"/>
              <w:left w:w="85" w:type="dxa"/>
              <w:bottom w:w="0" w:type="dxa"/>
              <w:right w:w="85" w:type="dxa"/>
            </w:tcMar>
            <w:vAlign w:val="center"/>
          </w:tcPr>
          <w:p w14:paraId="63E94F70" w14:textId="77777777" w:rsidR="00053418" w:rsidRPr="009E06AA" w:rsidRDefault="00053418" w:rsidP="00B55F24">
            <w:pPr>
              <w:pStyle w:val="TableText"/>
              <w:spacing w:before="40" w:after="40"/>
              <w:rPr>
                <w:szCs w:val="16"/>
              </w:rPr>
            </w:pPr>
            <w:r w:rsidRPr="009E06AA">
              <w:rPr>
                <w:color w:val="000000"/>
                <w:szCs w:val="16"/>
              </w:rPr>
              <w:t>Forest land</w:t>
            </w:r>
          </w:p>
        </w:tc>
        <w:tc>
          <w:tcPr>
            <w:tcW w:w="2551" w:type="dxa"/>
            <w:shd w:val="clear" w:color="auto" w:fill="FFFFFF"/>
            <w:tcMar>
              <w:top w:w="0" w:type="dxa"/>
              <w:left w:w="85" w:type="dxa"/>
              <w:bottom w:w="0" w:type="dxa"/>
              <w:right w:w="85" w:type="dxa"/>
            </w:tcMar>
            <w:vAlign w:val="center"/>
          </w:tcPr>
          <w:p w14:paraId="08997899" w14:textId="77777777" w:rsidR="00053418" w:rsidRPr="009E06AA" w:rsidRDefault="00053418" w:rsidP="00B55F24">
            <w:pPr>
              <w:pStyle w:val="TableText"/>
              <w:spacing w:before="40" w:after="40"/>
              <w:rPr>
                <w:szCs w:val="16"/>
              </w:rPr>
            </w:pPr>
            <w:r w:rsidRPr="009E06AA">
              <w:rPr>
                <w:color w:val="000000"/>
                <w:szCs w:val="16"/>
              </w:rPr>
              <w:t>Pre-1990 natural forest</w:t>
            </w:r>
          </w:p>
        </w:tc>
        <w:tc>
          <w:tcPr>
            <w:tcW w:w="1560" w:type="dxa"/>
            <w:shd w:val="clear" w:color="auto" w:fill="FFFFFF"/>
            <w:tcMar>
              <w:top w:w="0" w:type="dxa"/>
              <w:left w:w="85" w:type="dxa"/>
              <w:bottom w:w="0" w:type="dxa"/>
              <w:right w:w="85" w:type="dxa"/>
            </w:tcMar>
            <w:vAlign w:val="center"/>
          </w:tcPr>
          <w:p w14:paraId="02B43132" w14:textId="77777777" w:rsidR="00053418" w:rsidRPr="009E06AA" w:rsidRDefault="00053418" w:rsidP="00314B3B">
            <w:pPr>
              <w:pStyle w:val="TableText"/>
              <w:spacing w:before="40" w:after="40"/>
              <w:jc w:val="right"/>
              <w:rPr>
                <w:szCs w:val="16"/>
              </w:rPr>
            </w:pPr>
            <w:r w:rsidRPr="009E06AA">
              <w:rPr>
                <w:color w:val="000000"/>
                <w:szCs w:val="16"/>
              </w:rPr>
              <w:t>7,746.403</w:t>
            </w:r>
          </w:p>
        </w:tc>
        <w:tc>
          <w:tcPr>
            <w:tcW w:w="2408" w:type="dxa"/>
            <w:shd w:val="clear" w:color="auto" w:fill="FFFFFF"/>
            <w:tcMar>
              <w:top w:w="0" w:type="dxa"/>
              <w:left w:w="85" w:type="dxa"/>
              <w:bottom w:w="0" w:type="dxa"/>
              <w:right w:w="85" w:type="dxa"/>
            </w:tcMar>
            <w:vAlign w:val="center"/>
          </w:tcPr>
          <w:p w14:paraId="55CFF3B3" w14:textId="77777777" w:rsidR="00053418" w:rsidRPr="009E06AA" w:rsidRDefault="00053418" w:rsidP="00314B3B">
            <w:pPr>
              <w:pStyle w:val="TableText"/>
              <w:spacing w:before="40" w:after="40"/>
              <w:jc w:val="right"/>
              <w:rPr>
                <w:szCs w:val="16"/>
              </w:rPr>
            </w:pPr>
            <w:r w:rsidRPr="009E06AA">
              <w:rPr>
                <w:color w:val="000000"/>
                <w:szCs w:val="16"/>
              </w:rPr>
              <w:t>28.8</w:t>
            </w:r>
          </w:p>
        </w:tc>
      </w:tr>
      <w:tr w:rsidR="00053418" w:rsidRPr="009E06AA" w14:paraId="4848D5FE" w14:textId="77777777" w:rsidTr="00B55F24">
        <w:tc>
          <w:tcPr>
            <w:tcW w:w="1985" w:type="dxa"/>
            <w:shd w:val="clear" w:color="auto" w:fill="FFFFFF"/>
            <w:tcMar>
              <w:top w:w="0" w:type="dxa"/>
              <w:left w:w="85" w:type="dxa"/>
              <w:bottom w:w="0" w:type="dxa"/>
              <w:right w:w="85" w:type="dxa"/>
            </w:tcMar>
            <w:vAlign w:val="center"/>
          </w:tcPr>
          <w:p w14:paraId="1156429C" w14:textId="77777777" w:rsidR="00053418" w:rsidRPr="009E06AA" w:rsidRDefault="00053418" w:rsidP="00B55F24">
            <w:pPr>
              <w:pStyle w:val="TableText"/>
              <w:spacing w:before="40" w:after="40"/>
              <w:rPr>
                <w:szCs w:val="16"/>
              </w:rPr>
            </w:pPr>
          </w:p>
        </w:tc>
        <w:tc>
          <w:tcPr>
            <w:tcW w:w="2551" w:type="dxa"/>
            <w:shd w:val="clear" w:color="auto" w:fill="FFFFFF"/>
            <w:tcMar>
              <w:top w:w="0" w:type="dxa"/>
              <w:left w:w="85" w:type="dxa"/>
              <w:bottom w:w="0" w:type="dxa"/>
              <w:right w:w="85" w:type="dxa"/>
            </w:tcMar>
            <w:vAlign w:val="center"/>
          </w:tcPr>
          <w:p w14:paraId="35460F7F" w14:textId="77777777" w:rsidR="00053418" w:rsidRPr="009E06AA" w:rsidRDefault="00053418" w:rsidP="00B55F24">
            <w:pPr>
              <w:pStyle w:val="TableText"/>
              <w:spacing w:before="40" w:after="40"/>
              <w:rPr>
                <w:szCs w:val="16"/>
              </w:rPr>
            </w:pPr>
            <w:r w:rsidRPr="009E06AA">
              <w:rPr>
                <w:color w:val="000000"/>
                <w:szCs w:val="16"/>
              </w:rPr>
              <w:t>Pre-1990 planted forest</w:t>
            </w:r>
          </w:p>
        </w:tc>
        <w:tc>
          <w:tcPr>
            <w:tcW w:w="1560" w:type="dxa"/>
            <w:shd w:val="clear" w:color="auto" w:fill="FFFFFF"/>
            <w:tcMar>
              <w:top w:w="0" w:type="dxa"/>
              <w:left w:w="85" w:type="dxa"/>
              <w:bottom w:w="0" w:type="dxa"/>
              <w:right w:w="85" w:type="dxa"/>
            </w:tcMar>
            <w:vAlign w:val="center"/>
          </w:tcPr>
          <w:p w14:paraId="5BCD5726" w14:textId="77777777" w:rsidR="00053418" w:rsidRPr="009E06AA" w:rsidRDefault="00053418" w:rsidP="00314B3B">
            <w:pPr>
              <w:pStyle w:val="TableText"/>
              <w:spacing w:before="40" w:after="40"/>
              <w:jc w:val="right"/>
              <w:rPr>
                <w:szCs w:val="16"/>
              </w:rPr>
            </w:pPr>
            <w:r w:rsidRPr="009E06AA">
              <w:rPr>
                <w:color w:val="000000"/>
                <w:szCs w:val="16"/>
              </w:rPr>
              <w:t>1,433.599</w:t>
            </w:r>
          </w:p>
        </w:tc>
        <w:tc>
          <w:tcPr>
            <w:tcW w:w="2408" w:type="dxa"/>
            <w:shd w:val="clear" w:color="auto" w:fill="FFFFFF"/>
            <w:tcMar>
              <w:top w:w="0" w:type="dxa"/>
              <w:left w:w="85" w:type="dxa"/>
              <w:bottom w:w="0" w:type="dxa"/>
              <w:right w:w="85" w:type="dxa"/>
            </w:tcMar>
            <w:vAlign w:val="center"/>
          </w:tcPr>
          <w:p w14:paraId="6F9528BD" w14:textId="77777777" w:rsidR="00053418" w:rsidRPr="009E06AA" w:rsidRDefault="00053418" w:rsidP="00314B3B">
            <w:pPr>
              <w:pStyle w:val="TableText"/>
              <w:spacing w:before="40" w:after="40"/>
              <w:jc w:val="right"/>
              <w:rPr>
                <w:szCs w:val="16"/>
              </w:rPr>
            </w:pPr>
            <w:r w:rsidRPr="009E06AA">
              <w:rPr>
                <w:color w:val="000000"/>
                <w:szCs w:val="16"/>
              </w:rPr>
              <w:t>5.3</w:t>
            </w:r>
          </w:p>
        </w:tc>
      </w:tr>
      <w:tr w:rsidR="00053418" w:rsidRPr="009E06AA" w14:paraId="540C715E" w14:textId="77777777" w:rsidTr="00B55F24">
        <w:tc>
          <w:tcPr>
            <w:tcW w:w="1985" w:type="dxa"/>
            <w:shd w:val="clear" w:color="auto" w:fill="FFFFFF"/>
            <w:tcMar>
              <w:top w:w="0" w:type="dxa"/>
              <w:left w:w="85" w:type="dxa"/>
              <w:bottom w:w="0" w:type="dxa"/>
              <w:right w:w="85" w:type="dxa"/>
            </w:tcMar>
            <w:vAlign w:val="center"/>
          </w:tcPr>
          <w:p w14:paraId="2D464A84" w14:textId="77777777" w:rsidR="00053418" w:rsidRPr="009E06AA" w:rsidRDefault="00053418" w:rsidP="00B55F24">
            <w:pPr>
              <w:pStyle w:val="TableText"/>
              <w:spacing w:before="40" w:after="40"/>
              <w:rPr>
                <w:szCs w:val="16"/>
              </w:rPr>
            </w:pPr>
          </w:p>
        </w:tc>
        <w:tc>
          <w:tcPr>
            <w:tcW w:w="2551" w:type="dxa"/>
            <w:shd w:val="clear" w:color="auto" w:fill="FFFFFF"/>
            <w:tcMar>
              <w:top w:w="0" w:type="dxa"/>
              <w:left w:w="85" w:type="dxa"/>
              <w:bottom w:w="0" w:type="dxa"/>
              <w:right w:w="85" w:type="dxa"/>
            </w:tcMar>
            <w:vAlign w:val="center"/>
          </w:tcPr>
          <w:p w14:paraId="7CA56A3D" w14:textId="77777777" w:rsidR="00053418" w:rsidRPr="009E06AA" w:rsidRDefault="00053418" w:rsidP="00B55F24">
            <w:pPr>
              <w:pStyle w:val="TableText"/>
              <w:spacing w:before="40" w:after="40"/>
              <w:rPr>
                <w:szCs w:val="16"/>
              </w:rPr>
            </w:pPr>
            <w:r w:rsidRPr="009E06AA">
              <w:rPr>
                <w:color w:val="000000"/>
                <w:szCs w:val="16"/>
              </w:rPr>
              <w:t>Post-1989 planted forest</w:t>
            </w:r>
          </w:p>
        </w:tc>
        <w:tc>
          <w:tcPr>
            <w:tcW w:w="1560" w:type="dxa"/>
            <w:shd w:val="clear" w:color="auto" w:fill="FFFFFF"/>
            <w:tcMar>
              <w:top w:w="0" w:type="dxa"/>
              <w:left w:w="85" w:type="dxa"/>
              <w:bottom w:w="0" w:type="dxa"/>
              <w:right w:w="85" w:type="dxa"/>
            </w:tcMar>
            <w:vAlign w:val="center"/>
          </w:tcPr>
          <w:p w14:paraId="70E9A084" w14:textId="77777777" w:rsidR="00053418" w:rsidRPr="009E06AA" w:rsidRDefault="00053418" w:rsidP="00314B3B">
            <w:pPr>
              <w:pStyle w:val="TableText"/>
              <w:spacing w:before="40" w:after="40"/>
              <w:jc w:val="right"/>
              <w:rPr>
                <w:szCs w:val="16"/>
              </w:rPr>
            </w:pPr>
            <w:r w:rsidRPr="009E06AA">
              <w:rPr>
                <w:color w:val="000000"/>
                <w:szCs w:val="16"/>
              </w:rPr>
              <w:t>807.249</w:t>
            </w:r>
          </w:p>
        </w:tc>
        <w:tc>
          <w:tcPr>
            <w:tcW w:w="2408" w:type="dxa"/>
            <w:shd w:val="clear" w:color="auto" w:fill="FFFFFF"/>
            <w:tcMar>
              <w:top w:w="0" w:type="dxa"/>
              <w:left w:w="85" w:type="dxa"/>
              <w:bottom w:w="0" w:type="dxa"/>
              <w:right w:w="85" w:type="dxa"/>
            </w:tcMar>
            <w:vAlign w:val="center"/>
          </w:tcPr>
          <w:p w14:paraId="4DBFD99E" w14:textId="77777777" w:rsidR="00053418" w:rsidRPr="009E06AA" w:rsidRDefault="00053418" w:rsidP="00314B3B">
            <w:pPr>
              <w:pStyle w:val="TableText"/>
              <w:spacing w:before="40" w:after="40"/>
              <w:jc w:val="right"/>
              <w:rPr>
                <w:szCs w:val="16"/>
              </w:rPr>
            </w:pPr>
            <w:r w:rsidRPr="009E06AA">
              <w:rPr>
                <w:color w:val="000000"/>
                <w:szCs w:val="16"/>
              </w:rPr>
              <w:t>3.0</w:t>
            </w:r>
          </w:p>
        </w:tc>
      </w:tr>
      <w:tr w:rsidR="00053418" w:rsidRPr="009E06AA" w14:paraId="1DEF22DB" w14:textId="77777777" w:rsidTr="00B55F24">
        <w:tc>
          <w:tcPr>
            <w:tcW w:w="1985" w:type="dxa"/>
            <w:shd w:val="clear" w:color="auto" w:fill="FFFFFF"/>
            <w:tcMar>
              <w:top w:w="0" w:type="dxa"/>
              <w:left w:w="85" w:type="dxa"/>
              <w:bottom w:w="0" w:type="dxa"/>
              <w:right w:w="85" w:type="dxa"/>
            </w:tcMar>
            <w:vAlign w:val="center"/>
          </w:tcPr>
          <w:p w14:paraId="7C65FD5C" w14:textId="77777777" w:rsidR="00053418" w:rsidRPr="009E06AA" w:rsidRDefault="00053418" w:rsidP="00B55F24">
            <w:pPr>
              <w:pStyle w:val="TableText"/>
              <w:spacing w:before="40" w:after="40"/>
              <w:rPr>
                <w:szCs w:val="16"/>
              </w:rPr>
            </w:pPr>
          </w:p>
        </w:tc>
        <w:tc>
          <w:tcPr>
            <w:tcW w:w="2551" w:type="dxa"/>
            <w:shd w:val="clear" w:color="auto" w:fill="FFFFFF"/>
            <w:tcMar>
              <w:top w:w="0" w:type="dxa"/>
              <w:left w:w="85" w:type="dxa"/>
              <w:bottom w:w="0" w:type="dxa"/>
              <w:right w:w="85" w:type="dxa"/>
            </w:tcMar>
            <w:vAlign w:val="center"/>
          </w:tcPr>
          <w:p w14:paraId="6FB5A6EF" w14:textId="77777777" w:rsidR="00053418" w:rsidRPr="009E06AA" w:rsidRDefault="00053418" w:rsidP="00B55F24">
            <w:pPr>
              <w:pStyle w:val="TableText"/>
              <w:spacing w:before="40" w:after="40"/>
              <w:rPr>
                <w:szCs w:val="16"/>
              </w:rPr>
            </w:pPr>
            <w:r w:rsidRPr="009E06AA">
              <w:rPr>
                <w:color w:val="000000"/>
                <w:szCs w:val="16"/>
              </w:rPr>
              <w:t>Post-1989 natural forest</w:t>
            </w:r>
          </w:p>
        </w:tc>
        <w:tc>
          <w:tcPr>
            <w:tcW w:w="1560" w:type="dxa"/>
            <w:shd w:val="clear" w:color="auto" w:fill="FFFFFF"/>
            <w:tcMar>
              <w:top w:w="0" w:type="dxa"/>
              <w:left w:w="85" w:type="dxa"/>
              <w:bottom w:w="0" w:type="dxa"/>
              <w:right w:w="85" w:type="dxa"/>
            </w:tcMar>
            <w:vAlign w:val="center"/>
          </w:tcPr>
          <w:p w14:paraId="26D20A0C" w14:textId="77777777" w:rsidR="00053418" w:rsidRPr="009E06AA" w:rsidRDefault="00053418" w:rsidP="00314B3B">
            <w:pPr>
              <w:pStyle w:val="TableText"/>
              <w:spacing w:before="40" w:after="40"/>
              <w:jc w:val="right"/>
              <w:rPr>
                <w:szCs w:val="16"/>
              </w:rPr>
            </w:pPr>
            <w:r w:rsidRPr="009E06AA">
              <w:rPr>
                <w:color w:val="000000"/>
                <w:szCs w:val="16"/>
              </w:rPr>
              <w:t>106.898</w:t>
            </w:r>
          </w:p>
        </w:tc>
        <w:tc>
          <w:tcPr>
            <w:tcW w:w="2408" w:type="dxa"/>
            <w:shd w:val="clear" w:color="auto" w:fill="FFFFFF"/>
            <w:tcMar>
              <w:top w:w="0" w:type="dxa"/>
              <w:left w:w="85" w:type="dxa"/>
              <w:bottom w:w="0" w:type="dxa"/>
              <w:right w:w="85" w:type="dxa"/>
            </w:tcMar>
            <w:vAlign w:val="center"/>
          </w:tcPr>
          <w:p w14:paraId="62D84580" w14:textId="77777777" w:rsidR="00053418" w:rsidRPr="009E06AA" w:rsidRDefault="00053418" w:rsidP="00314B3B">
            <w:pPr>
              <w:pStyle w:val="TableText"/>
              <w:spacing w:before="40" w:after="40"/>
              <w:jc w:val="right"/>
              <w:rPr>
                <w:szCs w:val="16"/>
              </w:rPr>
            </w:pPr>
            <w:r w:rsidRPr="009E06AA">
              <w:rPr>
                <w:color w:val="000000"/>
                <w:szCs w:val="16"/>
              </w:rPr>
              <w:t>0.4</w:t>
            </w:r>
          </w:p>
        </w:tc>
      </w:tr>
      <w:tr w:rsidR="00053418" w:rsidRPr="009E06AA" w14:paraId="652F7FAA" w14:textId="77777777" w:rsidTr="00B55F24">
        <w:tc>
          <w:tcPr>
            <w:tcW w:w="1985" w:type="dxa"/>
            <w:shd w:val="clear" w:color="auto" w:fill="FFFFFF"/>
            <w:tcMar>
              <w:top w:w="0" w:type="dxa"/>
              <w:left w:w="85" w:type="dxa"/>
              <w:bottom w:w="0" w:type="dxa"/>
              <w:right w:w="85" w:type="dxa"/>
            </w:tcMar>
            <w:vAlign w:val="center"/>
          </w:tcPr>
          <w:p w14:paraId="7A18FFDA" w14:textId="77777777" w:rsidR="00053418" w:rsidRPr="009E06AA" w:rsidRDefault="00053418" w:rsidP="00B55F24">
            <w:pPr>
              <w:pStyle w:val="TableText"/>
              <w:spacing w:before="40" w:after="40"/>
              <w:rPr>
                <w:szCs w:val="16"/>
              </w:rPr>
            </w:pPr>
          </w:p>
        </w:tc>
        <w:tc>
          <w:tcPr>
            <w:tcW w:w="2551" w:type="dxa"/>
            <w:shd w:val="clear" w:color="auto" w:fill="FFFFFF"/>
            <w:tcMar>
              <w:top w:w="0" w:type="dxa"/>
              <w:left w:w="85" w:type="dxa"/>
              <w:bottom w:w="0" w:type="dxa"/>
              <w:right w:w="85" w:type="dxa"/>
            </w:tcMar>
            <w:vAlign w:val="center"/>
          </w:tcPr>
          <w:p w14:paraId="2C1C354C" w14:textId="77777777" w:rsidR="00053418" w:rsidRPr="009E06AA" w:rsidRDefault="00053418" w:rsidP="00B55F24">
            <w:pPr>
              <w:pStyle w:val="TableText"/>
              <w:spacing w:before="40" w:after="40"/>
              <w:rPr>
                <w:szCs w:val="16"/>
              </w:rPr>
            </w:pPr>
            <w:r w:rsidRPr="009E06AA">
              <w:rPr>
                <w:i/>
                <w:color w:val="000000"/>
                <w:szCs w:val="16"/>
              </w:rPr>
              <w:t>Subtotal</w:t>
            </w:r>
          </w:p>
        </w:tc>
        <w:tc>
          <w:tcPr>
            <w:tcW w:w="1560" w:type="dxa"/>
            <w:shd w:val="clear" w:color="auto" w:fill="FFFFFF"/>
            <w:tcMar>
              <w:top w:w="0" w:type="dxa"/>
              <w:left w:w="85" w:type="dxa"/>
              <w:bottom w:w="0" w:type="dxa"/>
              <w:right w:w="85" w:type="dxa"/>
            </w:tcMar>
            <w:vAlign w:val="center"/>
          </w:tcPr>
          <w:p w14:paraId="51357C0D" w14:textId="77777777" w:rsidR="00053418" w:rsidRPr="009E06AA" w:rsidRDefault="00053418" w:rsidP="00314B3B">
            <w:pPr>
              <w:pStyle w:val="TableText"/>
              <w:spacing w:before="40" w:after="40"/>
              <w:jc w:val="right"/>
              <w:rPr>
                <w:szCs w:val="16"/>
              </w:rPr>
            </w:pPr>
            <w:r w:rsidRPr="009E06AA">
              <w:rPr>
                <w:i/>
                <w:color w:val="000000"/>
                <w:szCs w:val="16"/>
              </w:rPr>
              <w:t>10,094.149</w:t>
            </w:r>
          </w:p>
        </w:tc>
        <w:tc>
          <w:tcPr>
            <w:tcW w:w="2408" w:type="dxa"/>
            <w:shd w:val="clear" w:color="auto" w:fill="FFFFFF"/>
            <w:tcMar>
              <w:top w:w="0" w:type="dxa"/>
              <w:left w:w="85" w:type="dxa"/>
              <w:bottom w:w="0" w:type="dxa"/>
              <w:right w:w="85" w:type="dxa"/>
            </w:tcMar>
            <w:vAlign w:val="center"/>
          </w:tcPr>
          <w:p w14:paraId="0BE4D797" w14:textId="77777777" w:rsidR="00053418" w:rsidRPr="009E06AA" w:rsidRDefault="00053418" w:rsidP="00314B3B">
            <w:pPr>
              <w:pStyle w:val="TableText"/>
              <w:spacing w:before="40" w:after="40"/>
              <w:jc w:val="right"/>
              <w:rPr>
                <w:szCs w:val="16"/>
              </w:rPr>
            </w:pPr>
            <w:r w:rsidRPr="009E06AA">
              <w:rPr>
                <w:i/>
                <w:color w:val="000000"/>
                <w:szCs w:val="16"/>
              </w:rPr>
              <w:t>37.5</w:t>
            </w:r>
          </w:p>
        </w:tc>
      </w:tr>
      <w:tr w:rsidR="00053418" w:rsidRPr="009E06AA" w14:paraId="47E92C1E" w14:textId="77777777" w:rsidTr="00B55F24">
        <w:tc>
          <w:tcPr>
            <w:tcW w:w="1985" w:type="dxa"/>
            <w:shd w:val="clear" w:color="auto" w:fill="FFFFFF"/>
            <w:tcMar>
              <w:top w:w="0" w:type="dxa"/>
              <w:left w:w="85" w:type="dxa"/>
              <w:bottom w:w="0" w:type="dxa"/>
              <w:right w:w="85" w:type="dxa"/>
            </w:tcMar>
            <w:vAlign w:val="center"/>
          </w:tcPr>
          <w:p w14:paraId="6A41855B" w14:textId="77777777" w:rsidR="00053418" w:rsidRPr="009E06AA" w:rsidRDefault="00053418" w:rsidP="00B55F24">
            <w:pPr>
              <w:pStyle w:val="TableText"/>
              <w:spacing w:before="40" w:after="40"/>
              <w:rPr>
                <w:szCs w:val="16"/>
              </w:rPr>
            </w:pPr>
            <w:r w:rsidRPr="009E06AA">
              <w:rPr>
                <w:color w:val="000000"/>
                <w:szCs w:val="16"/>
              </w:rPr>
              <w:t>Cropland</w:t>
            </w:r>
          </w:p>
        </w:tc>
        <w:tc>
          <w:tcPr>
            <w:tcW w:w="2551" w:type="dxa"/>
            <w:shd w:val="clear" w:color="auto" w:fill="FFFFFF"/>
            <w:tcMar>
              <w:top w:w="0" w:type="dxa"/>
              <w:left w:w="85" w:type="dxa"/>
              <w:bottom w:w="0" w:type="dxa"/>
              <w:right w:w="85" w:type="dxa"/>
            </w:tcMar>
            <w:vAlign w:val="center"/>
          </w:tcPr>
          <w:p w14:paraId="6EA5E3C6" w14:textId="77777777" w:rsidR="00053418" w:rsidRPr="009E06AA" w:rsidRDefault="00053418" w:rsidP="00B55F24">
            <w:pPr>
              <w:pStyle w:val="TableText"/>
              <w:spacing w:before="40" w:after="40"/>
              <w:rPr>
                <w:szCs w:val="16"/>
              </w:rPr>
            </w:pPr>
            <w:r w:rsidRPr="009E06AA">
              <w:rPr>
                <w:color w:val="000000"/>
                <w:szCs w:val="16"/>
              </w:rPr>
              <w:t>Annual</w:t>
            </w:r>
          </w:p>
        </w:tc>
        <w:tc>
          <w:tcPr>
            <w:tcW w:w="1560" w:type="dxa"/>
            <w:shd w:val="clear" w:color="auto" w:fill="FFFFFF"/>
            <w:tcMar>
              <w:top w:w="0" w:type="dxa"/>
              <w:left w:w="85" w:type="dxa"/>
              <w:bottom w:w="0" w:type="dxa"/>
              <w:right w:w="85" w:type="dxa"/>
            </w:tcMar>
            <w:vAlign w:val="center"/>
          </w:tcPr>
          <w:p w14:paraId="6D201C76" w14:textId="77777777" w:rsidR="00053418" w:rsidRPr="009E06AA" w:rsidRDefault="00053418" w:rsidP="00314B3B">
            <w:pPr>
              <w:pStyle w:val="TableText"/>
              <w:spacing w:before="40" w:after="40"/>
              <w:jc w:val="right"/>
              <w:rPr>
                <w:szCs w:val="16"/>
              </w:rPr>
            </w:pPr>
            <w:r w:rsidRPr="009E06AA">
              <w:rPr>
                <w:color w:val="000000"/>
                <w:szCs w:val="16"/>
              </w:rPr>
              <w:t>383.459</w:t>
            </w:r>
          </w:p>
        </w:tc>
        <w:tc>
          <w:tcPr>
            <w:tcW w:w="2408" w:type="dxa"/>
            <w:shd w:val="clear" w:color="auto" w:fill="FFFFFF"/>
            <w:tcMar>
              <w:top w:w="0" w:type="dxa"/>
              <w:left w:w="85" w:type="dxa"/>
              <w:bottom w:w="0" w:type="dxa"/>
              <w:right w:w="85" w:type="dxa"/>
            </w:tcMar>
            <w:vAlign w:val="center"/>
          </w:tcPr>
          <w:p w14:paraId="03F0CCB0" w14:textId="77777777" w:rsidR="00053418" w:rsidRPr="009E06AA" w:rsidRDefault="00053418" w:rsidP="00314B3B">
            <w:pPr>
              <w:pStyle w:val="TableText"/>
              <w:spacing w:before="40" w:after="40"/>
              <w:jc w:val="right"/>
              <w:rPr>
                <w:szCs w:val="16"/>
              </w:rPr>
            </w:pPr>
            <w:r w:rsidRPr="009E06AA">
              <w:rPr>
                <w:color w:val="000000"/>
                <w:szCs w:val="16"/>
              </w:rPr>
              <w:t>1.4</w:t>
            </w:r>
          </w:p>
        </w:tc>
      </w:tr>
      <w:tr w:rsidR="00053418" w:rsidRPr="009E06AA" w14:paraId="61873241" w14:textId="77777777" w:rsidTr="00B55F24">
        <w:tc>
          <w:tcPr>
            <w:tcW w:w="1985" w:type="dxa"/>
            <w:shd w:val="clear" w:color="auto" w:fill="FFFFFF"/>
            <w:tcMar>
              <w:top w:w="0" w:type="dxa"/>
              <w:left w:w="85" w:type="dxa"/>
              <w:bottom w:w="0" w:type="dxa"/>
              <w:right w:w="85" w:type="dxa"/>
            </w:tcMar>
            <w:vAlign w:val="center"/>
          </w:tcPr>
          <w:p w14:paraId="574E4CDE" w14:textId="77777777" w:rsidR="00053418" w:rsidRPr="009E06AA" w:rsidRDefault="00053418" w:rsidP="00B55F24">
            <w:pPr>
              <w:pStyle w:val="TableText"/>
              <w:spacing w:before="40" w:after="40"/>
              <w:rPr>
                <w:szCs w:val="16"/>
              </w:rPr>
            </w:pPr>
          </w:p>
        </w:tc>
        <w:tc>
          <w:tcPr>
            <w:tcW w:w="2551" w:type="dxa"/>
            <w:shd w:val="clear" w:color="auto" w:fill="FFFFFF"/>
            <w:tcMar>
              <w:top w:w="0" w:type="dxa"/>
              <w:left w:w="85" w:type="dxa"/>
              <w:bottom w:w="0" w:type="dxa"/>
              <w:right w:w="85" w:type="dxa"/>
            </w:tcMar>
            <w:vAlign w:val="center"/>
          </w:tcPr>
          <w:p w14:paraId="71E7D5E9" w14:textId="77777777" w:rsidR="00053418" w:rsidRPr="009E06AA" w:rsidRDefault="00053418" w:rsidP="00B55F24">
            <w:pPr>
              <w:pStyle w:val="TableText"/>
              <w:spacing w:before="40" w:after="40"/>
              <w:rPr>
                <w:szCs w:val="16"/>
              </w:rPr>
            </w:pPr>
            <w:r w:rsidRPr="009E06AA">
              <w:rPr>
                <w:color w:val="000000"/>
                <w:szCs w:val="16"/>
              </w:rPr>
              <w:t>Perennial</w:t>
            </w:r>
          </w:p>
        </w:tc>
        <w:tc>
          <w:tcPr>
            <w:tcW w:w="1560" w:type="dxa"/>
            <w:shd w:val="clear" w:color="auto" w:fill="FFFFFF"/>
            <w:tcMar>
              <w:top w:w="0" w:type="dxa"/>
              <w:left w:w="85" w:type="dxa"/>
              <w:bottom w:w="0" w:type="dxa"/>
              <w:right w:w="85" w:type="dxa"/>
            </w:tcMar>
            <w:vAlign w:val="center"/>
          </w:tcPr>
          <w:p w14:paraId="66062FBF" w14:textId="77777777" w:rsidR="00053418" w:rsidRPr="009E06AA" w:rsidRDefault="00053418" w:rsidP="00314B3B">
            <w:pPr>
              <w:pStyle w:val="TableText"/>
              <w:spacing w:before="40" w:after="40"/>
              <w:jc w:val="right"/>
              <w:rPr>
                <w:szCs w:val="16"/>
              </w:rPr>
            </w:pPr>
            <w:r w:rsidRPr="009E06AA">
              <w:rPr>
                <w:color w:val="000000"/>
                <w:szCs w:val="16"/>
              </w:rPr>
              <w:t>106.689</w:t>
            </w:r>
          </w:p>
        </w:tc>
        <w:tc>
          <w:tcPr>
            <w:tcW w:w="2408" w:type="dxa"/>
            <w:shd w:val="clear" w:color="auto" w:fill="FFFFFF"/>
            <w:tcMar>
              <w:top w:w="0" w:type="dxa"/>
              <w:left w:w="85" w:type="dxa"/>
              <w:bottom w:w="0" w:type="dxa"/>
              <w:right w:w="85" w:type="dxa"/>
            </w:tcMar>
            <w:vAlign w:val="center"/>
          </w:tcPr>
          <w:p w14:paraId="1662A601" w14:textId="77777777" w:rsidR="00053418" w:rsidRPr="009E06AA" w:rsidRDefault="00053418" w:rsidP="00314B3B">
            <w:pPr>
              <w:pStyle w:val="TableText"/>
              <w:spacing w:before="40" w:after="40"/>
              <w:jc w:val="right"/>
              <w:rPr>
                <w:szCs w:val="16"/>
              </w:rPr>
            </w:pPr>
            <w:r w:rsidRPr="009E06AA">
              <w:rPr>
                <w:color w:val="000000"/>
                <w:szCs w:val="16"/>
              </w:rPr>
              <w:t>0.4</w:t>
            </w:r>
          </w:p>
        </w:tc>
      </w:tr>
      <w:tr w:rsidR="00053418" w:rsidRPr="009E06AA" w14:paraId="6368EEE9" w14:textId="77777777" w:rsidTr="00B55F24">
        <w:tc>
          <w:tcPr>
            <w:tcW w:w="1985" w:type="dxa"/>
            <w:shd w:val="clear" w:color="auto" w:fill="FFFFFF"/>
            <w:tcMar>
              <w:top w:w="0" w:type="dxa"/>
              <w:left w:w="85" w:type="dxa"/>
              <w:bottom w:w="0" w:type="dxa"/>
              <w:right w:w="85" w:type="dxa"/>
            </w:tcMar>
            <w:vAlign w:val="center"/>
          </w:tcPr>
          <w:p w14:paraId="1A9FC2CE" w14:textId="77777777" w:rsidR="00053418" w:rsidRPr="009E06AA" w:rsidRDefault="00053418" w:rsidP="00B55F24">
            <w:pPr>
              <w:pStyle w:val="TableText"/>
              <w:spacing w:before="40" w:after="40"/>
              <w:rPr>
                <w:szCs w:val="16"/>
              </w:rPr>
            </w:pPr>
          </w:p>
        </w:tc>
        <w:tc>
          <w:tcPr>
            <w:tcW w:w="2551" w:type="dxa"/>
            <w:shd w:val="clear" w:color="auto" w:fill="FFFFFF"/>
            <w:tcMar>
              <w:top w:w="0" w:type="dxa"/>
              <w:left w:w="85" w:type="dxa"/>
              <w:bottom w:w="0" w:type="dxa"/>
              <w:right w:w="85" w:type="dxa"/>
            </w:tcMar>
            <w:vAlign w:val="center"/>
          </w:tcPr>
          <w:p w14:paraId="7E010E7B" w14:textId="77777777" w:rsidR="00053418" w:rsidRPr="009E06AA" w:rsidRDefault="00053418" w:rsidP="00B55F24">
            <w:pPr>
              <w:pStyle w:val="TableText"/>
              <w:spacing w:before="40" w:after="40"/>
              <w:rPr>
                <w:szCs w:val="16"/>
              </w:rPr>
            </w:pPr>
            <w:r w:rsidRPr="009E06AA">
              <w:rPr>
                <w:i/>
                <w:color w:val="000000"/>
                <w:szCs w:val="16"/>
              </w:rPr>
              <w:t>Subtotal</w:t>
            </w:r>
          </w:p>
        </w:tc>
        <w:tc>
          <w:tcPr>
            <w:tcW w:w="1560" w:type="dxa"/>
            <w:shd w:val="clear" w:color="auto" w:fill="FFFFFF"/>
            <w:tcMar>
              <w:top w:w="0" w:type="dxa"/>
              <w:left w:w="85" w:type="dxa"/>
              <w:bottom w:w="0" w:type="dxa"/>
              <w:right w:w="85" w:type="dxa"/>
            </w:tcMar>
            <w:vAlign w:val="center"/>
          </w:tcPr>
          <w:p w14:paraId="099586FD" w14:textId="77777777" w:rsidR="00053418" w:rsidRPr="009E06AA" w:rsidRDefault="00053418" w:rsidP="00314B3B">
            <w:pPr>
              <w:pStyle w:val="TableText"/>
              <w:spacing w:before="40" w:after="40"/>
              <w:jc w:val="right"/>
              <w:rPr>
                <w:szCs w:val="16"/>
              </w:rPr>
            </w:pPr>
            <w:r w:rsidRPr="009E06AA">
              <w:rPr>
                <w:i/>
                <w:color w:val="000000"/>
                <w:szCs w:val="16"/>
              </w:rPr>
              <w:t>490.148</w:t>
            </w:r>
          </w:p>
        </w:tc>
        <w:tc>
          <w:tcPr>
            <w:tcW w:w="2408" w:type="dxa"/>
            <w:shd w:val="clear" w:color="auto" w:fill="FFFFFF"/>
            <w:tcMar>
              <w:top w:w="0" w:type="dxa"/>
              <w:left w:w="85" w:type="dxa"/>
              <w:bottom w:w="0" w:type="dxa"/>
              <w:right w:w="85" w:type="dxa"/>
            </w:tcMar>
            <w:vAlign w:val="center"/>
          </w:tcPr>
          <w:p w14:paraId="48684697" w14:textId="77777777" w:rsidR="00053418" w:rsidRPr="009E06AA" w:rsidRDefault="00053418" w:rsidP="00314B3B">
            <w:pPr>
              <w:pStyle w:val="TableText"/>
              <w:spacing w:before="40" w:after="40"/>
              <w:jc w:val="right"/>
              <w:rPr>
                <w:szCs w:val="16"/>
              </w:rPr>
            </w:pPr>
            <w:r w:rsidRPr="009E06AA">
              <w:rPr>
                <w:i/>
                <w:color w:val="000000"/>
                <w:szCs w:val="16"/>
              </w:rPr>
              <w:t>1.8</w:t>
            </w:r>
          </w:p>
        </w:tc>
      </w:tr>
      <w:tr w:rsidR="00053418" w:rsidRPr="009E06AA" w14:paraId="4481CB2E" w14:textId="77777777" w:rsidTr="00B55F24">
        <w:tc>
          <w:tcPr>
            <w:tcW w:w="1985" w:type="dxa"/>
            <w:shd w:val="clear" w:color="auto" w:fill="FFFFFF"/>
            <w:tcMar>
              <w:top w:w="0" w:type="dxa"/>
              <w:left w:w="85" w:type="dxa"/>
              <w:bottom w:w="0" w:type="dxa"/>
              <w:right w:w="85" w:type="dxa"/>
            </w:tcMar>
            <w:vAlign w:val="center"/>
          </w:tcPr>
          <w:p w14:paraId="4BA25B9A" w14:textId="77777777" w:rsidR="00053418" w:rsidRPr="009E06AA" w:rsidRDefault="00053418" w:rsidP="00B55F24">
            <w:pPr>
              <w:pStyle w:val="TableText"/>
              <w:spacing w:before="40" w:after="40"/>
              <w:rPr>
                <w:szCs w:val="16"/>
              </w:rPr>
            </w:pPr>
            <w:r w:rsidRPr="009E06AA">
              <w:rPr>
                <w:color w:val="000000"/>
                <w:szCs w:val="16"/>
              </w:rPr>
              <w:t>Grassland</w:t>
            </w:r>
          </w:p>
        </w:tc>
        <w:tc>
          <w:tcPr>
            <w:tcW w:w="2551" w:type="dxa"/>
            <w:shd w:val="clear" w:color="auto" w:fill="FFFFFF"/>
            <w:tcMar>
              <w:top w:w="0" w:type="dxa"/>
              <w:left w:w="85" w:type="dxa"/>
              <w:bottom w:w="0" w:type="dxa"/>
              <w:right w:w="85" w:type="dxa"/>
            </w:tcMar>
            <w:vAlign w:val="center"/>
          </w:tcPr>
          <w:p w14:paraId="2EA0FF8F" w14:textId="77777777" w:rsidR="00053418" w:rsidRPr="009E06AA" w:rsidRDefault="00053418" w:rsidP="00B55F24">
            <w:pPr>
              <w:pStyle w:val="TableText"/>
              <w:spacing w:before="40" w:after="40"/>
              <w:rPr>
                <w:szCs w:val="16"/>
              </w:rPr>
            </w:pPr>
            <w:r w:rsidRPr="009E06AA">
              <w:rPr>
                <w:color w:val="000000"/>
                <w:szCs w:val="16"/>
              </w:rPr>
              <w:t>High producing</w:t>
            </w:r>
          </w:p>
        </w:tc>
        <w:tc>
          <w:tcPr>
            <w:tcW w:w="1560" w:type="dxa"/>
            <w:shd w:val="clear" w:color="auto" w:fill="FFFFFF"/>
            <w:tcMar>
              <w:top w:w="0" w:type="dxa"/>
              <w:left w:w="85" w:type="dxa"/>
              <w:bottom w:w="0" w:type="dxa"/>
              <w:right w:w="85" w:type="dxa"/>
            </w:tcMar>
            <w:vAlign w:val="center"/>
          </w:tcPr>
          <w:p w14:paraId="7178D7E7" w14:textId="77777777" w:rsidR="00053418" w:rsidRPr="009E06AA" w:rsidRDefault="00053418" w:rsidP="00314B3B">
            <w:pPr>
              <w:pStyle w:val="TableText"/>
              <w:spacing w:before="40" w:after="40"/>
              <w:jc w:val="right"/>
              <w:rPr>
                <w:szCs w:val="16"/>
              </w:rPr>
            </w:pPr>
            <w:r w:rsidRPr="009E06AA">
              <w:rPr>
                <w:color w:val="000000"/>
                <w:szCs w:val="16"/>
              </w:rPr>
              <w:t>6,775.342</w:t>
            </w:r>
          </w:p>
        </w:tc>
        <w:tc>
          <w:tcPr>
            <w:tcW w:w="2408" w:type="dxa"/>
            <w:shd w:val="clear" w:color="auto" w:fill="FFFFFF"/>
            <w:tcMar>
              <w:top w:w="0" w:type="dxa"/>
              <w:left w:w="85" w:type="dxa"/>
              <w:bottom w:w="0" w:type="dxa"/>
              <w:right w:w="85" w:type="dxa"/>
            </w:tcMar>
            <w:vAlign w:val="center"/>
          </w:tcPr>
          <w:p w14:paraId="43FFB9A5" w14:textId="77777777" w:rsidR="00053418" w:rsidRPr="009E06AA" w:rsidRDefault="00053418" w:rsidP="00314B3B">
            <w:pPr>
              <w:pStyle w:val="TableText"/>
              <w:spacing w:before="40" w:after="40"/>
              <w:jc w:val="right"/>
              <w:rPr>
                <w:szCs w:val="16"/>
              </w:rPr>
            </w:pPr>
            <w:r w:rsidRPr="009E06AA">
              <w:rPr>
                <w:color w:val="000000"/>
                <w:szCs w:val="16"/>
              </w:rPr>
              <w:t>25.2</w:t>
            </w:r>
          </w:p>
        </w:tc>
      </w:tr>
      <w:tr w:rsidR="00053418" w:rsidRPr="009E06AA" w14:paraId="65AE132A" w14:textId="77777777" w:rsidTr="00B55F24">
        <w:tc>
          <w:tcPr>
            <w:tcW w:w="1985" w:type="dxa"/>
            <w:shd w:val="clear" w:color="auto" w:fill="FFFFFF"/>
            <w:tcMar>
              <w:top w:w="0" w:type="dxa"/>
              <w:left w:w="85" w:type="dxa"/>
              <w:bottom w:w="0" w:type="dxa"/>
              <w:right w:w="85" w:type="dxa"/>
            </w:tcMar>
            <w:vAlign w:val="center"/>
          </w:tcPr>
          <w:p w14:paraId="425C6E31" w14:textId="77777777" w:rsidR="00053418" w:rsidRPr="009E06AA" w:rsidRDefault="00053418" w:rsidP="00B55F24">
            <w:pPr>
              <w:pStyle w:val="TableText"/>
              <w:spacing w:before="40" w:after="40"/>
              <w:rPr>
                <w:szCs w:val="16"/>
              </w:rPr>
            </w:pPr>
          </w:p>
        </w:tc>
        <w:tc>
          <w:tcPr>
            <w:tcW w:w="2551" w:type="dxa"/>
            <w:shd w:val="clear" w:color="auto" w:fill="FFFFFF"/>
            <w:tcMar>
              <w:top w:w="0" w:type="dxa"/>
              <w:left w:w="85" w:type="dxa"/>
              <w:bottom w:w="0" w:type="dxa"/>
              <w:right w:w="85" w:type="dxa"/>
            </w:tcMar>
            <w:vAlign w:val="center"/>
          </w:tcPr>
          <w:p w14:paraId="6EFC1667" w14:textId="77777777" w:rsidR="00053418" w:rsidRPr="009E06AA" w:rsidRDefault="00053418" w:rsidP="00B55F24">
            <w:pPr>
              <w:pStyle w:val="TableText"/>
              <w:spacing w:before="40" w:after="40"/>
              <w:rPr>
                <w:szCs w:val="16"/>
              </w:rPr>
            </w:pPr>
            <w:r w:rsidRPr="009E06AA">
              <w:rPr>
                <w:color w:val="000000"/>
                <w:szCs w:val="16"/>
              </w:rPr>
              <w:t>Low producing</w:t>
            </w:r>
          </w:p>
        </w:tc>
        <w:tc>
          <w:tcPr>
            <w:tcW w:w="1560" w:type="dxa"/>
            <w:shd w:val="clear" w:color="auto" w:fill="FFFFFF"/>
            <w:tcMar>
              <w:top w:w="0" w:type="dxa"/>
              <w:left w:w="85" w:type="dxa"/>
              <w:bottom w:w="0" w:type="dxa"/>
              <w:right w:w="85" w:type="dxa"/>
            </w:tcMar>
            <w:vAlign w:val="center"/>
          </w:tcPr>
          <w:p w14:paraId="57F46DFE" w14:textId="77777777" w:rsidR="00053418" w:rsidRPr="009E06AA" w:rsidRDefault="00053418" w:rsidP="00314B3B">
            <w:pPr>
              <w:pStyle w:val="TableText"/>
              <w:spacing w:before="40" w:after="40"/>
              <w:jc w:val="right"/>
              <w:rPr>
                <w:szCs w:val="16"/>
              </w:rPr>
            </w:pPr>
            <w:r w:rsidRPr="009E06AA">
              <w:rPr>
                <w:color w:val="000000"/>
                <w:szCs w:val="16"/>
              </w:rPr>
              <w:t>6,292.807</w:t>
            </w:r>
          </w:p>
        </w:tc>
        <w:tc>
          <w:tcPr>
            <w:tcW w:w="2408" w:type="dxa"/>
            <w:shd w:val="clear" w:color="auto" w:fill="FFFFFF"/>
            <w:tcMar>
              <w:top w:w="0" w:type="dxa"/>
              <w:left w:w="85" w:type="dxa"/>
              <w:bottom w:w="0" w:type="dxa"/>
              <w:right w:w="85" w:type="dxa"/>
            </w:tcMar>
            <w:vAlign w:val="center"/>
          </w:tcPr>
          <w:p w14:paraId="572C9DC9" w14:textId="77777777" w:rsidR="00053418" w:rsidRPr="009E06AA" w:rsidRDefault="00053418" w:rsidP="00314B3B">
            <w:pPr>
              <w:pStyle w:val="TableText"/>
              <w:spacing w:before="40" w:after="40"/>
              <w:jc w:val="right"/>
              <w:rPr>
                <w:szCs w:val="16"/>
              </w:rPr>
            </w:pPr>
            <w:r w:rsidRPr="009E06AA">
              <w:rPr>
                <w:color w:val="000000"/>
                <w:szCs w:val="16"/>
              </w:rPr>
              <w:t>23.4</w:t>
            </w:r>
          </w:p>
        </w:tc>
      </w:tr>
      <w:tr w:rsidR="00053418" w:rsidRPr="009E06AA" w14:paraId="3C9F9D11" w14:textId="77777777" w:rsidTr="00B55F24">
        <w:tc>
          <w:tcPr>
            <w:tcW w:w="1985" w:type="dxa"/>
            <w:shd w:val="clear" w:color="auto" w:fill="FFFFFF"/>
            <w:tcMar>
              <w:top w:w="0" w:type="dxa"/>
              <w:left w:w="85" w:type="dxa"/>
              <w:bottom w:w="0" w:type="dxa"/>
              <w:right w:w="85" w:type="dxa"/>
            </w:tcMar>
            <w:vAlign w:val="center"/>
          </w:tcPr>
          <w:p w14:paraId="622228B8" w14:textId="77777777" w:rsidR="00053418" w:rsidRPr="009E06AA" w:rsidRDefault="00053418" w:rsidP="00B55F24">
            <w:pPr>
              <w:pStyle w:val="TableText"/>
              <w:spacing w:before="40" w:after="40"/>
              <w:rPr>
                <w:szCs w:val="16"/>
              </w:rPr>
            </w:pPr>
          </w:p>
        </w:tc>
        <w:tc>
          <w:tcPr>
            <w:tcW w:w="2551" w:type="dxa"/>
            <w:shd w:val="clear" w:color="auto" w:fill="FFFFFF"/>
            <w:tcMar>
              <w:top w:w="0" w:type="dxa"/>
              <w:left w:w="85" w:type="dxa"/>
              <w:bottom w:w="0" w:type="dxa"/>
              <w:right w:w="85" w:type="dxa"/>
            </w:tcMar>
            <w:vAlign w:val="center"/>
          </w:tcPr>
          <w:p w14:paraId="5380FB5A" w14:textId="77777777" w:rsidR="00053418" w:rsidRPr="009E06AA" w:rsidRDefault="00053418" w:rsidP="00B55F24">
            <w:pPr>
              <w:pStyle w:val="TableText"/>
              <w:spacing w:before="40" w:after="40"/>
              <w:rPr>
                <w:szCs w:val="16"/>
              </w:rPr>
            </w:pPr>
            <w:r w:rsidRPr="009E06AA">
              <w:rPr>
                <w:color w:val="000000"/>
                <w:szCs w:val="16"/>
              </w:rPr>
              <w:t>With woody biomass</w:t>
            </w:r>
          </w:p>
        </w:tc>
        <w:tc>
          <w:tcPr>
            <w:tcW w:w="1560" w:type="dxa"/>
            <w:shd w:val="clear" w:color="auto" w:fill="FFFFFF"/>
            <w:tcMar>
              <w:top w:w="0" w:type="dxa"/>
              <w:left w:w="85" w:type="dxa"/>
              <w:bottom w:w="0" w:type="dxa"/>
              <w:right w:w="85" w:type="dxa"/>
            </w:tcMar>
            <w:vAlign w:val="center"/>
          </w:tcPr>
          <w:p w14:paraId="163783BD" w14:textId="77777777" w:rsidR="00053418" w:rsidRPr="009E06AA" w:rsidRDefault="00053418" w:rsidP="00314B3B">
            <w:pPr>
              <w:pStyle w:val="TableText"/>
              <w:spacing w:before="40" w:after="40"/>
              <w:jc w:val="right"/>
              <w:rPr>
                <w:szCs w:val="16"/>
              </w:rPr>
            </w:pPr>
            <w:r w:rsidRPr="009E06AA">
              <w:rPr>
                <w:color w:val="000000"/>
                <w:szCs w:val="16"/>
              </w:rPr>
              <w:t>1,351.821</w:t>
            </w:r>
          </w:p>
        </w:tc>
        <w:tc>
          <w:tcPr>
            <w:tcW w:w="2408" w:type="dxa"/>
            <w:shd w:val="clear" w:color="auto" w:fill="FFFFFF"/>
            <w:tcMar>
              <w:top w:w="0" w:type="dxa"/>
              <w:left w:w="85" w:type="dxa"/>
              <w:bottom w:w="0" w:type="dxa"/>
              <w:right w:w="85" w:type="dxa"/>
            </w:tcMar>
            <w:vAlign w:val="center"/>
          </w:tcPr>
          <w:p w14:paraId="6AC5AD8B" w14:textId="77777777" w:rsidR="00053418" w:rsidRPr="009E06AA" w:rsidRDefault="00053418" w:rsidP="00314B3B">
            <w:pPr>
              <w:pStyle w:val="TableText"/>
              <w:spacing w:before="40" w:after="40"/>
              <w:jc w:val="right"/>
              <w:rPr>
                <w:szCs w:val="16"/>
              </w:rPr>
            </w:pPr>
            <w:r w:rsidRPr="009E06AA">
              <w:rPr>
                <w:color w:val="000000"/>
                <w:szCs w:val="16"/>
              </w:rPr>
              <w:t>5.0</w:t>
            </w:r>
          </w:p>
        </w:tc>
      </w:tr>
      <w:tr w:rsidR="00053418" w:rsidRPr="009E06AA" w14:paraId="015C09DD" w14:textId="77777777" w:rsidTr="00B55F24">
        <w:tc>
          <w:tcPr>
            <w:tcW w:w="1985" w:type="dxa"/>
            <w:shd w:val="clear" w:color="auto" w:fill="FFFFFF"/>
            <w:tcMar>
              <w:top w:w="0" w:type="dxa"/>
              <w:left w:w="85" w:type="dxa"/>
              <w:bottom w:w="0" w:type="dxa"/>
              <w:right w:w="85" w:type="dxa"/>
            </w:tcMar>
            <w:vAlign w:val="center"/>
          </w:tcPr>
          <w:p w14:paraId="52595A7C" w14:textId="77777777" w:rsidR="00053418" w:rsidRPr="009E06AA" w:rsidRDefault="00053418" w:rsidP="00B55F24">
            <w:pPr>
              <w:pStyle w:val="TableText"/>
              <w:spacing w:before="40" w:after="40"/>
              <w:rPr>
                <w:szCs w:val="16"/>
              </w:rPr>
            </w:pPr>
          </w:p>
        </w:tc>
        <w:tc>
          <w:tcPr>
            <w:tcW w:w="2551" w:type="dxa"/>
            <w:shd w:val="clear" w:color="auto" w:fill="FFFFFF"/>
            <w:tcMar>
              <w:top w:w="0" w:type="dxa"/>
              <w:left w:w="85" w:type="dxa"/>
              <w:bottom w:w="0" w:type="dxa"/>
              <w:right w:w="85" w:type="dxa"/>
            </w:tcMar>
            <w:vAlign w:val="center"/>
          </w:tcPr>
          <w:p w14:paraId="48F1218F" w14:textId="77777777" w:rsidR="00053418" w:rsidRPr="009E06AA" w:rsidRDefault="00053418" w:rsidP="00B55F24">
            <w:pPr>
              <w:pStyle w:val="TableText"/>
              <w:spacing w:before="40" w:after="40"/>
              <w:rPr>
                <w:szCs w:val="16"/>
              </w:rPr>
            </w:pPr>
            <w:r w:rsidRPr="009E06AA">
              <w:rPr>
                <w:i/>
                <w:color w:val="000000"/>
                <w:szCs w:val="16"/>
              </w:rPr>
              <w:t>Subtotal</w:t>
            </w:r>
          </w:p>
        </w:tc>
        <w:tc>
          <w:tcPr>
            <w:tcW w:w="1560" w:type="dxa"/>
            <w:shd w:val="clear" w:color="auto" w:fill="FFFFFF"/>
            <w:tcMar>
              <w:top w:w="0" w:type="dxa"/>
              <w:left w:w="85" w:type="dxa"/>
              <w:bottom w:w="0" w:type="dxa"/>
              <w:right w:w="85" w:type="dxa"/>
            </w:tcMar>
            <w:vAlign w:val="center"/>
          </w:tcPr>
          <w:p w14:paraId="65A154F9" w14:textId="77777777" w:rsidR="00053418" w:rsidRPr="009E06AA" w:rsidRDefault="00053418" w:rsidP="00314B3B">
            <w:pPr>
              <w:pStyle w:val="TableText"/>
              <w:spacing w:before="40" w:after="40"/>
              <w:jc w:val="right"/>
              <w:rPr>
                <w:szCs w:val="16"/>
              </w:rPr>
            </w:pPr>
            <w:r w:rsidRPr="009E06AA">
              <w:rPr>
                <w:i/>
                <w:color w:val="000000"/>
                <w:szCs w:val="16"/>
              </w:rPr>
              <w:t>14,419.970</w:t>
            </w:r>
          </w:p>
        </w:tc>
        <w:tc>
          <w:tcPr>
            <w:tcW w:w="2408" w:type="dxa"/>
            <w:shd w:val="clear" w:color="auto" w:fill="FFFFFF"/>
            <w:tcMar>
              <w:top w:w="0" w:type="dxa"/>
              <w:left w:w="85" w:type="dxa"/>
              <w:bottom w:w="0" w:type="dxa"/>
              <w:right w:w="85" w:type="dxa"/>
            </w:tcMar>
            <w:vAlign w:val="center"/>
          </w:tcPr>
          <w:p w14:paraId="7945AF1E" w14:textId="77777777" w:rsidR="00053418" w:rsidRPr="009E06AA" w:rsidRDefault="00053418" w:rsidP="00314B3B">
            <w:pPr>
              <w:pStyle w:val="TableText"/>
              <w:spacing w:before="40" w:after="40"/>
              <w:jc w:val="right"/>
              <w:rPr>
                <w:szCs w:val="16"/>
              </w:rPr>
            </w:pPr>
            <w:r w:rsidRPr="009E06AA">
              <w:rPr>
                <w:i/>
                <w:color w:val="000000"/>
                <w:szCs w:val="16"/>
              </w:rPr>
              <w:t>53.6</w:t>
            </w:r>
          </w:p>
        </w:tc>
      </w:tr>
      <w:tr w:rsidR="00053418" w:rsidRPr="009E06AA" w14:paraId="77553B9E" w14:textId="77777777" w:rsidTr="00B55F24">
        <w:tc>
          <w:tcPr>
            <w:tcW w:w="1985" w:type="dxa"/>
            <w:shd w:val="clear" w:color="auto" w:fill="FFFFFF"/>
            <w:tcMar>
              <w:top w:w="0" w:type="dxa"/>
              <w:left w:w="85" w:type="dxa"/>
              <w:bottom w:w="0" w:type="dxa"/>
              <w:right w:w="85" w:type="dxa"/>
            </w:tcMar>
            <w:vAlign w:val="center"/>
          </w:tcPr>
          <w:p w14:paraId="42F30F6B" w14:textId="77777777" w:rsidR="00053418" w:rsidRPr="009E06AA" w:rsidRDefault="00053418" w:rsidP="00B55F24">
            <w:pPr>
              <w:pStyle w:val="TableText"/>
              <w:spacing w:before="40" w:after="40"/>
              <w:rPr>
                <w:szCs w:val="16"/>
              </w:rPr>
            </w:pPr>
            <w:r w:rsidRPr="009E06AA">
              <w:rPr>
                <w:color w:val="000000"/>
                <w:szCs w:val="16"/>
              </w:rPr>
              <w:t>Wetlands</w:t>
            </w:r>
          </w:p>
        </w:tc>
        <w:tc>
          <w:tcPr>
            <w:tcW w:w="2551" w:type="dxa"/>
            <w:shd w:val="clear" w:color="auto" w:fill="FFFFFF"/>
            <w:tcMar>
              <w:top w:w="0" w:type="dxa"/>
              <w:left w:w="85" w:type="dxa"/>
              <w:bottom w:w="0" w:type="dxa"/>
              <w:right w:w="85" w:type="dxa"/>
            </w:tcMar>
            <w:vAlign w:val="center"/>
          </w:tcPr>
          <w:p w14:paraId="01A35531" w14:textId="77777777" w:rsidR="00053418" w:rsidRPr="009E06AA" w:rsidRDefault="00053418" w:rsidP="00B55F24">
            <w:pPr>
              <w:pStyle w:val="TableText"/>
              <w:spacing w:before="40" w:after="40"/>
              <w:rPr>
                <w:szCs w:val="16"/>
              </w:rPr>
            </w:pPr>
            <w:r w:rsidRPr="009E06AA">
              <w:rPr>
                <w:color w:val="000000"/>
                <w:szCs w:val="16"/>
              </w:rPr>
              <w:t>Open water</w:t>
            </w:r>
          </w:p>
        </w:tc>
        <w:tc>
          <w:tcPr>
            <w:tcW w:w="1560" w:type="dxa"/>
            <w:shd w:val="clear" w:color="auto" w:fill="FFFFFF"/>
            <w:tcMar>
              <w:top w:w="0" w:type="dxa"/>
              <w:left w:w="85" w:type="dxa"/>
              <w:bottom w:w="0" w:type="dxa"/>
              <w:right w:w="85" w:type="dxa"/>
            </w:tcMar>
            <w:vAlign w:val="center"/>
          </w:tcPr>
          <w:p w14:paraId="7207E528" w14:textId="77777777" w:rsidR="00053418" w:rsidRPr="009E06AA" w:rsidRDefault="00053418" w:rsidP="00314B3B">
            <w:pPr>
              <w:pStyle w:val="TableText"/>
              <w:spacing w:before="40" w:after="40"/>
              <w:jc w:val="right"/>
              <w:rPr>
                <w:szCs w:val="16"/>
              </w:rPr>
            </w:pPr>
            <w:r w:rsidRPr="009E06AA">
              <w:rPr>
                <w:color w:val="000000"/>
                <w:szCs w:val="16"/>
              </w:rPr>
              <w:t>537.246</w:t>
            </w:r>
          </w:p>
        </w:tc>
        <w:tc>
          <w:tcPr>
            <w:tcW w:w="2408" w:type="dxa"/>
            <w:shd w:val="clear" w:color="auto" w:fill="FFFFFF"/>
            <w:tcMar>
              <w:top w:w="0" w:type="dxa"/>
              <w:left w:w="85" w:type="dxa"/>
              <w:bottom w:w="0" w:type="dxa"/>
              <w:right w:w="85" w:type="dxa"/>
            </w:tcMar>
            <w:vAlign w:val="center"/>
          </w:tcPr>
          <w:p w14:paraId="33EF1DC1" w14:textId="77777777" w:rsidR="00053418" w:rsidRPr="009E06AA" w:rsidRDefault="00053418" w:rsidP="00314B3B">
            <w:pPr>
              <w:pStyle w:val="TableText"/>
              <w:spacing w:before="40" w:after="40"/>
              <w:jc w:val="right"/>
              <w:rPr>
                <w:szCs w:val="16"/>
              </w:rPr>
            </w:pPr>
            <w:r w:rsidRPr="009E06AA">
              <w:rPr>
                <w:color w:val="000000"/>
                <w:szCs w:val="16"/>
              </w:rPr>
              <w:t>2.0</w:t>
            </w:r>
          </w:p>
        </w:tc>
      </w:tr>
      <w:tr w:rsidR="00053418" w:rsidRPr="009E06AA" w14:paraId="2419CF09" w14:textId="77777777" w:rsidTr="00B55F24">
        <w:tc>
          <w:tcPr>
            <w:tcW w:w="1985" w:type="dxa"/>
            <w:shd w:val="clear" w:color="auto" w:fill="FFFFFF"/>
            <w:tcMar>
              <w:top w:w="0" w:type="dxa"/>
              <w:left w:w="85" w:type="dxa"/>
              <w:bottom w:w="0" w:type="dxa"/>
              <w:right w:w="85" w:type="dxa"/>
            </w:tcMar>
            <w:vAlign w:val="center"/>
          </w:tcPr>
          <w:p w14:paraId="1BDD19AE" w14:textId="77777777" w:rsidR="00053418" w:rsidRPr="009E06AA" w:rsidRDefault="00053418" w:rsidP="00B55F24">
            <w:pPr>
              <w:pStyle w:val="TableText"/>
              <w:spacing w:before="40" w:after="40"/>
              <w:rPr>
                <w:szCs w:val="16"/>
              </w:rPr>
            </w:pPr>
          </w:p>
        </w:tc>
        <w:tc>
          <w:tcPr>
            <w:tcW w:w="2551" w:type="dxa"/>
            <w:shd w:val="clear" w:color="auto" w:fill="FFFFFF"/>
            <w:tcMar>
              <w:top w:w="0" w:type="dxa"/>
              <w:left w:w="85" w:type="dxa"/>
              <w:bottom w:w="0" w:type="dxa"/>
              <w:right w:w="85" w:type="dxa"/>
            </w:tcMar>
            <w:vAlign w:val="center"/>
          </w:tcPr>
          <w:p w14:paraId="0C2EF6AA" w14:textId="77777777" w:rsidR="00053418" w:rsidRPr="009E06AA" w:rsidRDefault="00053418" w:rsidP="00B55F24">
            <w:pPr>
              <w:pStyle w:val="TableText"/>
              <w:spacing w:before="40" w:after="40"/>
              <w:rPr>
                <w:szCs w:val="16"/>
              </w:rPr>
            </w:pPr>
            <w:r w:rsidRPr="009E06AA">
              <w:rPr>
                <w:color w:val="000000"/>
                <w:szCs w:val="16"/>
              </w:rPr>
              <w:t>Vegetated</w:t>
            </w:r>
          </w:p>
        </w:tc>
        <w:tc>
          <w:tcPr>
            <w:tcW w:w="1560" w:type="dxa"/>
            <w:shd w:val="clear" w:color="auto" w:fill="FFFFFF"/>
            <w:tcMar>
              <w:top w:w="0" w:type="dxa"/>
              <w:left w:w="85" w:type="dxa"/>
              <w:bottom w:w="0" w:type="dxa"/>
              <w:right w:w="85" w:type="dxa"/>
            </w:tcMar>
            <w:vAlign w:val="center"/>
          </w:tcPr>
          <w:p w14:paraId="00B9920E" w14:textId="77777777" w:rsidR="00053418" w:rsidRPr="009E06AA" w:rsidRDefault="00053418" w:rsidP="00314B3B">
            <w:pPr>
              <w:pStyle w:val="TableText"/>
              <w:spacing w:before="40" w:after="40"/>
              <w:jc w:val="right"/>
              <w:rPr>
                <w:szCs w:val="16"/>
              </w:rPr>
            </w:pPr>
            <w:r w:rsidRPr="009E06AA">
              <w:rPr>
                <w:color w:val="000000"/>
                <w:szCs w:val="16"/>
              </w:rPr>
              <w:t>243.752</w:t>
            </w:r>
          </w:p>
        </w:tc>
        <w:tc>
          <w:tcPr>
            <w:tcW w:w="2408" w:type="dxa"/>
            <w:shd w:val="clear" w:color="auto" w:fill="FFFFFF"/>
            <w:tcMar>
              <w:top w:w="0" w:type="dxa"/>
              <w:left w:w="85" w:type="dxa"/>
              <w:bottom w:w="0" w:type="dxa"/>
              <w:right w:w="85" w:type="dxa"/>
            </w:tcMar>
            <w:vAlign w:val="center"/>
          </w:tcPr>
          <w:p w14:paraId="6A24E2B3" w14:textId="77777777" w:rsidR="00053418" w:rsidRPr="009E06AA" w:rsidRDefault="00053418" w:rsidP="00314B3B">
            <w:pPr>
              <w:pStyle w:val="TableText"/>
              <w:spacing w:before="40" w:after="40"/>
              <w:jc w:val="right"/>
              <w:rPr>
                <w:szCs w:val="16"/>
              </w:rPr>
            </w:pPr>
            <w:r w:rsidRPr="009E06AA">
              <w:rPr>
                <w:color w:val="000000"/>
                <w:szCs w:val="16"/>
              </w:rPr>
              <w:t>0.9</w:t>
            </w:r>
          </w:p>
        </w:tc>
      </w:tr>
      <w:tr w:rsidR="00053418" w:rsidRPr="009E06AA" w14:paraId="09D34CCA" w14:textId="77777777" w:rsidTr="00B55F24">
        <w:tc>
          <w:tcPr>
            <w:tcW w:w="1985" w:type="dxa"/>
            <w:shd w:val="clear" w:color="auto" w:fill="FFFFFF"/>
            <w:tcMar>
              <w:top w:w="0" w:type="dxa"/>
              <w:left w:w="85" w:type="dxa"/>
              <w:bottom w:w="0" w:type="dxa"/>
              <w:right w:w="85" w:type="dxa"/>
            </w:tcMar>
            <w:vAlign w:val="center"/>
          </w:tcPr>
          <w:p w14:paraId="0D2861B1" w14:textId="77777777" w:rsidR="00053418" w:rsidRPr="009E06AA" w:rsidRDefault="00053418" w:rsidP="00B55F24">
            <w:pPr>
              <w:pStyle w:val="TableText"/>
              <w:spacing w:before="40" w:after="40"/>
              <w:rPr>
                <w:szCs w:val="16"/>
              </w:rPr>
            </w:pPr>
          </w:p>
        </w:tc>
        <w:tc>
          <w:tcPr>
            <w:tcW w:w="2551" w:type="dxa"/>
            <w:shd w:val="clear" w:color="auto" w:fill="FFFFFF"/>
            <w:tcMar>
              <w:top w:w="0" w:type="dxa"/>
              <w:left w:w="85" w:type="dxa"/>
              <w:bottom w:w="0" w:type="dxa"/>
              <w:right w:w="85" w:type="dxa"/>
            </w:tcMar>
            <w:vAlign w:val="center"/>
          </w:tcPr>
          <w:p w14:paraId="61387979" w14:textId="77777777" w:rsidR="00053418" w:rsidRPr="009E06AA" w:rsidRDefault="00053418" w:rsidP="00B55F24">
            <w:pPr>
              <w:pStyle w:val="TableText"/>
              <w:spacing w:before="40" w:after="40"/>
              <w:rPr>
                <w:szCs w:val="16"/>
              </w:rPr>
            </w:pPr>
            <w:r w:rsidRPr="009E06AA">
              <w:rPr>
                <w:i/>
                <w:color w:val="000000"/>
                <w:szCs w:val="16"/>
              </w:rPr>
              <w:t>Subtotal</w:t>
            </w:r>
          </w:p>
        </w:tc>
        <w:tc>
          <w:tcPr>
            <w:tcW w:w="1560" w:type="dxa"/>
            <w:shd w:val="clear" w:color="auto" w:fill="FFFFFF"/>
            <w:tcMar>
              <w:top w:w="0" w:type="dxa"/>
              <w:left w:w="85" w:type="dxa"/>
              <w:bottom w:w="0" w:type="dxa"/>
              <w:right w:w="85" w:type="dxa"/>
            </w:tcMar>
            <w:vAlign w:val="center"/>
          </w:tcPr>
          <w:p w14:paraId="4E98FD4F" w14:textId="77777777" w:rsidR="00053418" w:rsidRPr="009E06AA" w:rsidRDefault="00053418" w:rsidP="00314B3B">
            <w:pPr>
              <w:pStyle w:val="TableText"/>
              <w:spacing w:before="40" w:after="40"/>
              <w:jc w:val="right"/>
              <w:rPr>
                <w:szCs w:val="16"/>
              </w:rPr>
            </w:pPr>
            <w:r w:rsidRPr="009E06AA">
              <w:rPr>
                <w:i/>
                <w:color w:val="000000"/>
                <w:szCs w:val="16"/>
              </w:rPr>
              <w:t>780.998</w:t>
            </w:r>
          </w:p>
        </w:tc>
        <w:tc>
          <w:tcPr>
            <w:tcW w:w="2408" w:type="dxa"/>
            <w:shd w:val="clear" w:color="auto" w:fill="FFFFFF"/>
            <w:tcMar>
              <w:top w:w="0" w:type="dxa"/>
              <w:left w:w="85" w:type="dxa"/>
              <w:bottom w:w="0" w:type="dxa"/>
              <w:right w:w="85" w:type="dxa"/>
            </w:tcMar>
            <w:vAlign w:val="center"/>
          </w:tcPr>
          <w:p w14:paraId="5E3A9E2F" w14:textId="77777777" w:rsidR="00053418" w:rsidRPr="009E06AA" w:rsidRDefault="00053418" w:rsidP="00314B3B">
            <w:pPr>
              <w:pStyle w:val="TableText"/>
              <w:spacing w:before="40" w:after="40"/>
              <w:jc w:val="right"/>
              <w:rPr>
                <w:szCs w:val="16"/>
              </w:rPr>
            </w:pPr>
            <w:r w:rsidRPr="009E06AA">
              <w:rPr>
                <w:i/>
                <w:color w:val="000000"/>
                <w:szCs w:val="16"/>
              </w:rPr>
              <w:t>2.9</w:t>
            </w:r>
          </w:p>
        </w:tc>
      </w:tr>
      <w:tr w:rsidR="00053418" w:rsidRPr="009E06AA" w14:paraId="0804B04D" w14:textId="77777777" w:rsidTr="00B55F24">
        <w:tc>
          <w:tcPr>
            <w:tcW w:w="1985" w:type="dxa"/>
            <w:shd w:val="clear" w:color="auto" w:fill="FFFFFF"/>
            <w:tcMar>
              <w:top w:w="0" w:type="dxa"/>
              <w:left w:w="85" w:type="dxa"/>
              <w:bottom w:w="0" w:type="dxa"/>
              <w:right w:w="85" w:type="dxa"/>
            </w:tcMar>
            <w:vAlign w:val="center"/>
          </w:tcPr>
          <w:p w14:paraId="0A35A173" w14:textId="77777777" w:rsidR="00053418" w:rsidRPr="009E06AA" w:rsidRDefault="00053418" w:rsidP="00B55F24">
            <w:pPr>
              <w:pStyle w:val="TableText"/>
              <w:spacing w:before="40" w:after="40"/>
              <w:rPr>
                <w:szCs w:val="16"/>
              </w:rPr>
            </w:pPr>
            <w:r w:rsidRPr="009E06AA">
              <w:rPr>
                <w:color w:val="000000"/>
                <w:szCs w:val="16"/>
              </w:rPr>
              <w:t>Settlements</w:t>
            </w:r>
          </w:p>
        </w:tc>
        <w:tc>
          <w:tcPr>
            <w:tcW w:w="2551" w:type="dxa"/>
            <w:shd w:val="clear" w:color="auto" w:fill="FFFFFF"/>
            <w:tcMar>
              <w:top w:w="0" w:type="dxa"/>
              <w:left w:w="85" w:type="dxa"/>
              <w:bottom w:w="0" w:type="dxa"/>
              <w:right w:w="85" w:type="dxa"/>
            </w:tcMar>
            <w:vAlign w:val="center"/>
          </w:tcPr>
          <w:p w14:paraId="467F77DE" w14:textId="77777777" w:rsidR="00053418" w:rsidRPr="009E06AA" w:rsidRDefault="00053418" w:rsidP="00B55F24">
            <w:pPr>
              <w:pStyle w:val="TableText"/>
              <w:spacing w:before="40" w:after="40"/>
              <w:rPr>
                <w:szCs w:val="16"/>
              </w:rPr>
            </w:pPr>
          </w:p>
        </w:tc>
        <w:tc>
          <w:tcPr>
            <w:tcW w:w="1560" w:type="dxa"/>
            <w:shd w:val="clear" w:color="auto" w:fill="FFFFFF"/>
            <w:tcMar>
              <w:top w:w="0" w:type="dxa"/>
              <w:left w:w="85" w:type="dxa"/>
              <w:bottom w:w="0" w:type="dxa"/>
              <w:right w:w="85" w:type="dxa"/>
            </w:tcMar>
            <w:vAlign w:val="center"/>
          </w:tcPr>
          <w:p w14:paraId="2326573E" w14:textId="77777777" w:rsidR="00053418" w:rsidRPr="009E06AA" w:rsidRDefault="00053418" w:rsidP="00314B3B">
            <w:pPr>
              <w:pStyle w:val="TableText"/>
              <w:spacing w:before="40" w:after="40"/>
              <w:jc w:val="right"/>
              <w:rPr>
                <w:szCs w:val="16"/>
              </w:rPr>
            </w:pPr>
            <w:r w:rsidRPr="009E06AA">
              <w:rPr>
                <w:color w:val="000000"/>
                <w:szCs w:val="16"/>
              </w:rPr>
              <w:t>242.694</w:t>
            </w:r>
          </w:p>
        </w:tc>
        <w:tc>
          <w:tcPr>
            <w:tcW w:w="2408" w:type="dxa"/>
            <w:shd w:val="clear" w:color="auto" w:fill="FFFFFF"/>
            <w:tcMar>
              <w:top w:w="0" w:type="dxa"/>
              <w:left w:w="85" w:type="dxa"/>
              <w:bottom w:w="0" w:type="dxa"/>
              <w:right w:w="85" w:type="dxa"/>
            </w:tcMar>
            <w:vAlign w:val="center"/>
          </w:tcPr>
          <w:p w14:paraId="10EDA5F7" w14:textId="77777777" w:rsidR="00053418" w:rsidRPr="009E06AA" w:rsidRDefault="00053418" w:rsidP="00314B3B">
            <w:pPr>
              <w:pStyle w:val="TableText"/>
              <w:spacing w:before="40" w:after="40"/>
              <w:jc w:val="right"/>
              <w:rPr>
                <w:szCs w:val="16"/>
              </w:rPr>
            </w:pPr>
            <w:r w:rsidRPr="009E06AA">
              <w:rPr>
                <w:color w:val="000000"/>
                <w:szCs w:val="16"/>
              </w:rPr>
              <w:t>0.9</w:t>
            </w:r>
          </w:p>
        </w:tc>
      </w:tr>
      <w:tr w:rsidR="00053418" w:rsidRPr="009E06AA" w14:paraId="095CD3F8" w14:textId="77777777" w:rsidTr="00B55F24">
        <w:tc>
          <w:tcPr>
            <w:tcW w:w="1985" w:type="dxa"/>
            <w:shd w:val="clear" w:color="auto" w:fill="FFFFFF"/>
            <w:tcMar>
              <w:top w:w="0" w:type="dxa"/>
              <w:left w:w="85" w:type="dxa"/>
              <w:bottom w:w="0" w:type="dxa"/>
              <w:right w:w="85" w:type="dxa"/>
            </w:tcMar>
            <w:vAlign w:val="center"/>
          </w:tcPr>
          <w:p w14:paraId="36EC3CF6" w14:textId="77777777" w:rsidR="00053418" w:rsidRPr="009E06AA" w:rsidRDefault="00053418" w:rsidP="00B55F24">
            <w:pPr>
              <w:pStyle w:val="TableText"/>
              <w:spacing w:before="40" w:after="40"/>
              <w:rPr>
                <w:szCs w:val="16"/>
              </w:rPr>
            </w:pPr>
            <w:r w:rsidRPr="009E06AA">
              <w:rPr>
                <w:color w:val="000000"/>
                <w:szCs w:val="16"/>
              </w:rPr>
              <w:t>Other land</w:t>
            </w:r>
          </w:p>
        </w:tc>
        <w:tc>
          <w:tcPr>
            <w:tcW w:w="2551" w:type="dxa"/>
            <w:shd w:val="clear" w:color="auto" w:fill="FFFFFF"/>
            <w:tcMar>
              <w:top w:w="0" w:type="dxa"/>
              <w:left w:w="85" w:type="dxa"/>
              <w:bottom w:w="0" w:type="dxa"/>
              <w:right w:w="85" w:type="dxa"/>
            </w:tcMar>
            <w:vAlign w:val="center"/>
          </w:tcPr>
          <w:p w14:paraId="1FEB6BAE" w14:textId="77777777" w:rsidR="00053418" w:rsidRPr="009E06AA" w:rsidRDefault="00053418" w:rsidP="00B55F24">
            <w:pPr>
              <w:pStyle w:val="TableText"/>
              <w:spacing w:before="40" w:after="40"/>
              <w:rPr>
                <w:szCs w:val="16"/>
              </w:rPr>
            </w:pPr>
          </w:p>
        </w:tc>
        <w:tc>
          <w:tcPr>
            <w:tcW w:w="1560" w:type="dxa"/>
            <w:shd w:val="clear" w:color="auto" w:fill="FFFFFF"/>
            <w:tcMar>
              <w:top w:w="0" w:type="dxa"/>
              <w:left w:w="85" w:type="dxa"/>
              <w:bottom w:w="0" w:type="dxa"/>
              <w:right w:w="85" w:type="dxa"/>
            </w:tcMar>
            <w:vAlign w:val="center"/>
          </w:tcPr>
          <w:p w14:paraId="258EC289" w14:textId="77777777" w:rsidR="00053418" w:rsidRPr="009E06AA" w:rsidRDefault="00053418" w:rsidP="00314B3B">
            <w:pPr>
              <w:pStyle w:val="TableText"/>
              <w:spacing w:before="40" w:after="40"/>
              <w:jc w:val="right"/>
              <w:rPr>
                <w:szCs w:val="16"/>
              </w:rPr>
            </w:pPr>
            <w:r w:rsidRPr="009E06AA">
              <w:rPr>
                <w:color w:val="000000"/>
                <w:szCs w:val="16"/>
              </w:rPr>
              <w:t>897.126</w:t>
            </w:r>
          </w:p>
        </w:tc>
        <w:tc>
          <w:tcPr>
            <w:tcW w:w="2408" w:type="dxa"/>
            <w:shd w:val="clear" w:color="auto" w:fill="FFFFFF"/>
            <w:tcMar>
              <w:top w:w="0" w:type="dxa"/>
              <w:left w:w="85" w:type="dxa"/>
              <w:bottom w:w="0" w:type="dxa"/>
              <w:right w:w="85" w:type="dxa"/>
            </w:tcMar>
            <w:vAlign w:val="center"/>
          </w:tcPr>
          <w:p w14:paraId="70C9D0D1" w14:textId="77777777" w:rsidR="00053418" w:rsidRPr="009E06AA" w:rsidRDefault="00053418" w:rsidP="00314B3B">
            <w:pPr>
              <w:pStyle w:val="TableText"/>
              <w:spacing w:before="40" w:after="40"/>
              <w:jc w:val="right"/>
              <w:rPr>
                <w:szCs w:val="16"/>
              </w:rPr>
            </w:pPr>
            <w:r w:rsidRPr="009E06AA">
              <w:rPr>
                <w:color w:val="000000"/>
                <w:szCs w:val="16"/>
              </w:rPr>
              <w:t>3.3</w:t>
            </w:r>
          </w:p>
        </w:tc>
      </w:tr>
      <w:tr w:rsidR="00053418" w:rsidRPr="009E06AA" w14:paraId="6B99D2F9" w14:textId="77777777" w:rsidTr="00B55F24">
        <w:tc>
          <w:tcPr>
            <w:tcW w:w="1985" w:type="dxa"/>
            <w:shd w:val="clear" w:color="auto" w:fill="FFFFFF"/>
            <w:tcMar>
              <w:top w:w="0" w:type="dxa"/>
              <w:left w:w="85" w:type="dxa"/>
              <w:bottom w:w="0" w:type="dxa"/>
              <w:right w:w="85" w:type="dxa"/>
            </w:tcMar>
            <w:vAlign w:val="center"/>
          </w:tcPr>
          <w:p w14:paraId="493C9641" w14:textId="77777777" w:rsidR="00053418" w:rsidRPr="009E06AA" w:rsidRDefault="00053418" w:rsidP="00B55F24">
            <w:pPr>
              <w:pStyle w:val="TableText"/>
              <w:spacing w:before="40" w:after="40"/>
              <w:rPr>
                <w:b/>
                <w:bCs/>
                <w:szCs w:val="16"/>
              </w:rPr>
            </w:pPr>
            <w:r w:rsidRPr="009E06AA">
              <w:rPr>
                <w:b/>
                <w:bCs/>
                <w:color w:val="1B556B"/>
                <w:szCs w:val="16"/>
              </w:rPr>
              <w:t>Total</w:t>
            </w:r>
          </w:p>
        </w:tc>
        <w:tc>
          <w:tcPr>
            <w:tcW w:w="2551" w:type="dxa"/>
            <w:shd w:val="clear" w:color="auto" w:fill="FFFFFF"/>
            <w:tcMar>
              <w:top w:w="0" w:type="dxa"/>
              <w:left w:w="85" w:type="dxa"/>
              <w:bottom w:w="0" w:type="dxa"/>
              <w:right w:w="85" w:type="dxa"/>
            </w:tcMar>
            <w:vAlign w:val="center"/>
          </w:tcPr>
          <w:p w14:paraId="345D0831" w14:textId="77777777" w:rsidR="00053418" w:rsidRPr="009E06AA" w:rsidRDefault="00053418" w:rsidP="00B55F24">
            <w:pPr>
              <w:pStyle w:val="TableText"/>
              <w:spacing w:before="40" w:after="40"/>
              <w:rPr>
                <w:b/>
                <w:bCs/>
                <w:szCs w:val="16"/>
              </w:rPr>
            </w:pPr>
          </w:p>
        </w:tc>
        <w:tc>
          <w:tcPr>
            <w:tcW w:w="1560" w:type="dxa"/>
            <w:shd w:val="clear" w:color="auto" w:fill="FFFFFF"/>
            <w:tcMar>
              <w:top w:w="0" w:type="dxa"/>
              <w:left w:w="85" w:type="dxa"/>
              <w:bottom w:w="0" w:type="dxa"/>
              <w:right w:w="85" w:type="dxa"/>
            </w:tcMar>
            <w:vAlign w:val="center"/>
          </w:tcPr>
          <w:p w14:paraId="70100BB3" w14:textId="77777777" w:rsidR="00053418" w:rsidRPr="009E06AA" w:rsidRDefault="00053418" w:rsidP="00314B3B">
            <w:pPr>
              <w:pStyle w:val="TableText"/>
              <w:spacing w:before="40" w:after="40"/>
              <w:jc w:val="right"/>
              <w:rPr>
                <w:b/>
                <w:bCs/>
                <w:szCs w:val="16"/>
              </w:rPr>
            </w:pPr>
            <w:r w:rsidRPr="009E06AA">
              <w:rPr>
                <w:b/>
                <w:bCs/>
                <w:color w:val="1B556B"/>
                <w:szCs w:val="16"/>
              </w:rPr>
              <w:t>26,925.085</w:t>
            </w:r>
          </w:p>
        </w:tc>
        <w:tc>
          <w:tcPr>
            <w:tcW w:w="2408" w:type="dxa"/>
            <w:shd w:val="clear" w:color="auto" w:fill="FFFFFF"/>
            <w:tcMar>
              <w:top w:w="0" w:type="dxa"/>
              <w:left w:w="85" w:type="dxa"/>
              <w:bottom w:w="0" w:type="dxa"/>
              <w:right w:w="85" w:type="dxa"/>
            </w:tcMar>
            <w:vAlign w:val="center"/>
          </w:tcPr>
          <w:p w14:paraId="329DD24E" w14:textId="77777777" w:rsidR="00053418" w:rsidRPr="009E06AA" w:rsidRDefault="00053418" w:rsidP="00314B3B">
            <w:pPr>
              <w:pStyle w:val="TableText"/>
              <w:spacing w:before="40" w:after="40"/>
              <w:jc w:val="right"/>
              <w:rPr>
                <w:b/>
                <w:bCs/>
                <w:szCs w:val="16"/>
              </w:rPr>
            </w:pPr>
            <w:r w:rsidRPr="009E06AA">
              <w:rPr>
                <w:b/>
                <w:bCs/>
                <w:color w:val="1B556B"/>
                <w:szCs w:val="16"/>
              </w:rPr>
              <w:t>100.0</w:t>
            </w:r>
          </w:p>
        </w:tc>
      </w:tr>
    </w:tbl>
    <w:p w14:paraId="073F9618" w14:textId="77777777" w:rsidR="00053418" w:rsidRPr="009E06AA" w:rsidRDefault="00053418" w:rsidP="00053418">
      <w:pPr>
        <w:pStyle w:val="Noteundertable"/>
        <w:spacing w:after="80"/>
      </w:pPr>
      <w:r w:rsidRPr="009E06AA">
        <w:rPr>
          <w:b/>
        </w:rPr>
        <w:t>Note:</w:t>
      </w:r>
      <w:r w:rsidRPr="009E06AA">
        <w:tab/>
        <w:t>Areas as at 31 December 2022. Columns may not total due to rounding. Percentages presented are calculated from unrounded values.</w:t>
      </w:r>
    </w:p>
    <w:p w14:paraId="2D6DBF1B" w14:textId="1B50E846" w:rsidR="00053418" w:rsidRPr="009E06AA" w:rsidRDefault="00053418" w:rsidP="00053418">
      <w:pPr>
        <w:pStyle w:val="Figure"/>
        <w:spacing w:before="240" w:after="80"/>
      </w:pPr>
      <w:bookmarkStart w:id="1678" w:name="_Toc131591568"/>
      <w:bookmarkStart w:id="1679" w:name="_Toc158979908"/>
      <w:bookmarkStart w:id="1680" w:name="_Toc164154036"/>
      <w:r w:rsidRPr="009E06AA">
        <w:t>Figure 6.1.2</w:t>
      </w:r>
      <w:r w:rsidRPr="009E06AA">
        <w:tab/>
        <w:t>Comparison of afforestation and deforestation rates with the changing NZ ETS unit price</w:t>
      </w:r>
      <w:r w:rsidR="00F85AF1" w:rsidRPr="009E06AA">
        <w:t>,</w:t>
      </w:r>
      <w:r w:rsidRPr="009E06AA">
        <w:t xml:space="preserve"> from 2004 to 2022</w:t>
      </w:r>
      <w:bookmarkEnd w:id="1678"/>
      <w:bookmarkEnd w:id="1679"/>
      <w:bookmarkEnd w:id="1680"/>
    </w:p>
    <w:p w14:paraId="664944F9" w14:textId="77777777" w:rsidR="00053418" w:rsidRPr="009E06AA" w:rsidRDefault="00053418" w:rsidP="00053418">
      <w:pPr>
        <w:pStyle w:val="BodyText"/>
        <w:jc w:val="center"/>
      </w:pPr>
      <w:r w:rsidRPr="009E06AA">
        <w:rPr>
          <w:noProof/>
        </w:rPr>
        <w:drawing>
          <wp:inline distT="0" distB="0" distL="0" distR="0" wp14:anchorId="33DE4B05" wp14:editId="470FD07B">
            <wp:extent cx="4572000" cy="3609892"/>
            <wp:effectExtent l="0" t="0" r="0" b="0"/>
            <wp:docPr id="2104112236" name="Picture 2104112236" descr="A graph of a graph showing the growth of the stock mark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4112236"/>
                    <pic:cNvPicPr/>
                  </pic:nvPicPr>
                  <pic:blipFill rotWithShape="1">
                    <a:blip r:embed="rId135" cstate="print">
                      <a:extLst>
                        <a:ext uri="{28A0092B-C50C-407E-A947-70E740481C1C}">
                          <a14:useLocalDpi xmlns:a14="http://schemas.microsoft.com/office/drawing/2010/main" val="0"/>
                        </a:ext>
                      </a:extLst>
                    </a:blip>
                    <a:srcRect/>
                    <a:stretch/>
                  </pic:blipFill>
                  <pic:spPr bwMode="auto">
                    <a:xfrm>
                      <a:off x="0" y="0"/>
                      <a:ext cx="4572000" cy="3609892"/>
                    </a:xfrm>
                    <a:prstGeom prst="rect">
                      <a:avLst/>
                    </a:prstGeom>
                    <a:ln>
                      <a:noFill/>
                    </a:ln>
                    <a:extLst>
                      <a:ext uri="{53640926-AAD7-44D8-BBD7-CCE9431645EC}">
                        <a14:shadowObscured xmlns:a14="http://schemas.microsoft.com/office/drawing/2010/main"/>
                      </a:ext>
                    </a:extLst>
                  </pic:spPr>
                </pic:pic>
              </a:graphicData>
            </a:graphic>
          </wp:inline>
        </w:drawing>
      </w:r>
    </w:p>
    <w:p w14:paraId="23E80051" w14:textId="77777777" w:rsidR="00053418" w:rsidRPr="009E06AA" w:rsidRDefault="00053418" w:rsidP="00053418">
      <w:pPr>
        <w:pStyle w:val="Heading3"/>
        <w:spacing w:before="320"/>
      </w:pPr>
      <w:r w:rsidRPr="009E06AA">
        <w:t>6.1.2</w:t>
      </w:r>
      <w:r w:rsidRPr="009E06AA">
        <w:tab/>
        <w:t>Methodological tiers and coverage of pools applied in the LULUCF sector</w:t>
      </w:r>
    </w:p>
    <w:p w14:paraId="1660E092" w14:textId="77777777" w:rsidR="00053418" w:rsidRPr="009E06AA" w:rsidRDefault="00053418" w:rsidP="00053418">
      <w:pPr>
        <w:pStyle w:val="BodyText"/>
        <w:spacing w:before="100" w:after="100"/>
      </w:pPr>
      <w:r w:rsidRPr="009E06AA">
        <w:t>New Zealand</w:t>
      </w:r>
      <w:r w:rsidRPr="009E06AA">
        <w:rPr>
          <w:spacing w:val="-2"/>
        </w:rPr>
        <w:t xml:space="preserve"> </w:t>
      </w:r>
      <w:r w:rsidRPr="009E06AA">
        <w:t xml:space="preserve">uses a combination of Tier 1, Tier 2 and Tier 3 methods, as described in the 2006 IPCC General Guidance and Reporting (IPCC, 2006b), for estimating net emissions for the LULUCF sector. A Tier 1 approach has been used to estimate carbon stock change in the four biomass pools (above-ground and below-ground biomass, dead wood and litter) for all land uses except </w:t>
      </w:r>
      <w:r w:rsidRPr="009E06AA">
        <w:rPr>
          <w:i/>
        </w:rPr>
        <w:t>Forest land</w:t>
      </w:r>
      <w:r w:rsidRPr="009E06AA">
        <w:t xml:space="preserve">, </w:t>
      </w:r>
      <w:r w:rsidRPr="009E06AA">
        <w:rPr>
          <w:i/>
          <w:iCs/>
        </w:rPr>
        <w:t>Perennial cropland</w:t>
      </w:r>
      <w:r w:rsidRPr="009E06AA">
        <w:t>,</w:t>
      </w:r>
      <w:r w:rsidRPr="009E06AA">
        <w:rPr>
          <w:i/>
          <w:iCs/>
        </w:rPr>
        <w:t xml:space="preserve"> Vegetated wetland</w:t>
      </w:r>
      <w:r w:rsidRPr="009E06AA">
        <w:t xml:space="preserve"> and </w:t>
      </w:r>
      <w:r w:rsidRPr="009E06AA">
        <w:rPr>
          <w:i/>
          <w:iCs/>
        </w:rPr>
        <w:t>Grassland with woody biomass</w:t>
      </w:r>
      <w:r w:rsidRPr="009E06AA">
        <w:t>, which use Tier 2 or Tier 3 approaches.</w:t>
      </w:r>
    </w:p>
    <w:p w14:paraId="1D93FCE9" w14:textId="77777777" w:rsidR="00053418" w:rsidRPr="009E06AA" w:rsidRDefault="00053418" w:rsidP="00053418">
      <w:pPr>
        <w:pStyle w:val="BodyText"/>
        <w:spacing w:before="100" w:after="100"/>
      </w:pPr>
      <w:r w:rsidRPr="009E06AA">
        <w:t>For all land uses, Tier 1 approaches are used to estimate carbon stock changes in organic soils, and a Tier 2 modelling approach is applied to estimate soil organic carbon (SOC) changes from mineral soils. This model is described in more detail in annex A5.2.4 ‘Mineral soils’.</w:t>
      </w:r>
    </w:p>
    <w:p w14:paraId="515A2F24" w14:textId="77777777" w:rsidR="00053418" w:rsidRPr="009E06AA" w:rsidRDefault="00053418" w:rsidP="00053418">
      <w:pPr>
        <w:pStyle w:val="BodyText"/>
        <w:spacing w:before="100" w:after="100"/>
      </w:pPr>
      <w:r w:rsidRPr="009E06AA">
        <w:t>New Zealand’s forests are disaggregated into four reporting categories to represent the different growth characteristics of the forest types more accurately: pre-1990 planted forest, pre-1990 natural forest, post-1989 planted forest and post-1989 natural forest. The terms ‘post-1989’ and ‘pre-1990’ distinguish between forests growing on land that was forested</w:t>
      </w:r>
      <w:r w:rsidRPr="009E06AA" w:rsidDel="00DC120C">
        <w:t xml:space="preserve"> </w:t>
      </w:r>
      <w:r w:rsidRPr="009E06AA">
        <w:t>at 31 December 1989 and those growing on land that was not forested at that date. The terms ‘natural’ and ‘planted’ forest are used to identify whether the trees were established from natural regeneration or from managed planting. The term ‘harvesting’ refers to temporary forest loss as part of ongoing forestry land use, whereas ‘deforestation’ refers to permanent destocking of forest as a result of land-use change.</w:t>
      </w:r>
    </w:p>
    <w:p w14:paraId="0BCF5046" w14:textId="77777777" w:rsidR="00053418" w:rsidRPr="009E06AA" w:rsidRDefault="00053418" w:rsidP="00053418">
      <w:pPr>
        <w:spacing w:before="100" w:after="100"/>
      </w:pPr>
      <w:r w:rsidRPr="009E06AA">
        <w:t xml:space="preserve">Similarly, the species compositions reported in the </w:t>
      </w:r>
      <w:r w:rsidRPr="009E06AA">
        <w:rPr>
          <w:i/>
          <w:iCs/>
        </w:rPr>
        <w:t>Grassland</w:t>
      </w:r>
      <w:r w:rsidRPr="009E06AA">
        <w:t xml:space="preserve"> category are diverse, ranging from different grass types to woody trees that do not meet New Zealand’s forest definition. To allow for this, the </w:t>
      </w:r>
      <w:r w:rsidRPr="009E06AA">
        <w:rPr>
          <w:i/>
          <w:iCs/>
        </w:rPr>
        <w:t>Grassland</w:t>
      </w:r>
      <w:r w:rsidRPr="009E06AA">
        <w:t xml:space="preserve"> category is divided into four types for modelling the net emissions from land-use change.</w:t>
      </w:r>
    </w:p>
    <w:p w14:paraId="2B4738E4" w14:textId="77777777" w:rsidR="00053418" w:rsidRPr="009E06AA" w:rsidRDefault="00053418" w:rsidP="00053418">
      <w:pPr>
        <w:pStyle w:val="Heading4"/>
      </w:pPr>
      <w:r w:rsidRPr="009E06AA">
        <w:t>Calculation of national emission estimates</w:t>
      </w:r>
    </w:p>
    <w:p w14:paraId="665E43CA" w14:textId="77777777" w:rsidR="00053418" w:rsidRPr="009E06AA" w:rsidRDefault="00053418" w:rsidP="00053418">
      <w:pPr>
        <w:pStyle w:val="BodyText"/>
        <w:spacing w:before="100" w:after="100"/>
      </w:pPr>
      <w:r w:rsidRPr="009E06AA">
        <w:t xml:space="preserve">The methods used to estimate carbon (C) by pool for each land use are summarised in table 6.1.4. Biomass carbon stocks in each land use before conversion, emission factors to estimate carbon stock changes and annual growth in biomass carbon stocks after land use conversion are summarised in the relevant category sections in this chapter. Activity data are estimated using wall-to-wall mapping from satellite imagery and other ancillary data sets and are described in more detail in, section 6.3.1 and annex A5.2.1. </w:t>
      </w:r>
    </w:p>
    <w:p w14:paraId="495B88BB" w14:textId="77777777" w:rsidR="00053418" w:rsidRPr="009E06AA" w:rsidRDefault="00053418" w:rsidP="00053418">
      <w:pPr>
        <w:pStyle w:val="Table"/>
      </w:pPr>
      <w:bookmarkStart w:id="1681" w:name="_Toc280630449"/>
      <w:bookmarkStart w:id="1682" w:name="_Toc310423392"/>
      <w:bookmarkStart w:id="1683" w:name="_Toc318362685"/>
      <w:bookmarkStart w:id="1684" w:name="_Toc342470747"/>
      <w:bookmarkStart w:id="1685" w:name="_Toc352504987"/>
      <w:bookmarkStart w:id="1686" w:name="_Toc378853276"/>
      <w:bookmarkStart w:id="1687" w:name="_Toc391024074"/>
      <w:bookmarkStart w:id="1688" w:name="_Toc410028817"/>
      <w:bookmarkStart w:id="1689" w:name="_Toc414531445"/>
      <w:bookmarkStart w:id="1690" w:name="_Toc443645357"/>
      <w:bookmarkStart w:id="1691" w:name="_Toc474914576"/>
      <w:bookmarkStart w:id="1692" w:name="_Toc481751540"/>
      <w:bookmarkStart w:id="1693" w:name="_Toc522010597"/>
      <w:bookmarkStart w:id="1694" w:name="_Toc5269502"/>
      <w:bookmarkStart w:id="1695" w:name="_Toc33529378"/>
      <w:bookmarkStart w:id="1696" w:name="_Toc36224584"/>
      <w:bookmarkStart w:id="1697" w:name="_Toc65243579"/>
      <w:bookmarkStart w:id="1698" w:name="_Toc131591384"/>
      <w:bookmarkStart w:id="1699" w:name="_Toc158979942"/>
      <w:bookmarkStart w:id="1700" w:name="_Toc164153875"/>
      <w:r w:rsidRPr="009E06AA">
        <w:t>Table 6.1.4</w:t>
      </w:r>
      <w:r w:rsidRPr="009E06AA">
        <w:tab/>
        <w:t>Relationships between land use, carbon pool and method of calculation used by New Zealand</w:t>
      </w:r>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p>
    <w:tbl>
      <w:tblPr>
        <w:tblW w:w="8562" w:type="dxa"/>
        <w:tblBorders>
          <w:top w:val="single" w:sz="4" w:space="0" w:color="1B556B" w:themeColor="text2"/>
          <w:bottom w:val="single" w:sz="4" w:space="0" w:color="1B556B" w:themeColor="text2"/>
          <w:insideH w:val="single" w:sz="4" w:space="0" w:color="1B556B" w:themeColor="text2"/>
          <w:insideV w:val="single" w:sz="4" w:space="0" w:color="1B556B" w:themeColor="text2"/>
        </w:tblBorders>
        <w:tblLayout w:type="fixed"/>
        <w:tblCellMar>
          <w:left w:w="57" w:type="dxa"/>
          <w:right w:w="57" w:type="dxa"/>
        </w:tblCellMar>
        <w:tblLook w:val="04A0" w:firstRow="1" w:lastRow="0" w:firstColumn="1" w:lastColumn="0" w:noHBand="0" w:noVBand="1"/>
      </w:tblPr>
      <w:tblGrid>
        <w:gridCol w:w="1109"/>
        <w:gridCol w:w="1276"/>
        <w:gridCol w:w="1276"/>
        <w:gridCol w:w="1301"/>
        <w:gridCol w:w="1251"/>
        <w:gridCol w:w="1134"/>
        <w:gridCol w:w="1215"/>
      </w:tblGrid>
      <w:tr w:rsidR="00053418" w:rsidRPr="009E06AA" w14:paraId="2042D1AB" w14:textId="77777777" w:rsidTr="00B55F24">
        <w:trPr>
          <w:tblHeader/>
        </w:trPr>
        <w:tc>
          <w:tcPr>
            <w:tcW w:w="1109" w:type="dxa"/>
            <w:shd w:val="clear" w:color="auto" w:fill="1B556B" w:themeFill="text2"/>
            <w:vAlign w:val="bottom"/>
            <w:hideMark/>
          </w:tcPr>
          <w:p w14:paraId="57993A6F" w14:textId="77777777" w:rsidR="00053418" w:rsidRPr="009E06AA" w:rsidRDefault="00053418" w:rsidP="00B55F24">
            <w:pPr>
              <w:pStyle w:val="TableTextBold"/>
              <w:keepNext/>
              <w:spacing w:before="40" w:after="40"/>
              <w:rPr>
                <w:rFonts w:cs="Segoe UI"/>
                <w:noProof w:val="0"/>
                <w:color w:val="FFFFFF"/>
                <w:szCs w:val="16"/>
              </w:rPr>
            </w:pPr>
            <w:r w:rsidRPr="009E06AA">
              <w:rPr>
                <w:rFonts w:cs="Segoe UI"/>
                <w:noProof w:val="0"/>
                <w:color w:val="FFFFFF"/>
                <w:szCs w:val="16"/>
              </w:rPr>
              <w:t>Reporting category</w:t>
            </w:r>
          </w:p>
        </w:tc>
        <w:tc>
          <w:tcPr>
            <w:tcW w:w="2552" w:type="dxa"/>
            <w:gridSpan w:val="2"/>
            <w:tcBorders>
              <w:bottom w:val="single" w:sz="4" w:space="0" w:color="1B556B" w:themeColor="text2"/>
            </w:tcBorders>
            <w:shd w:val="clear" w:color="auto" w:fill="1B556B" w:themeFill="text2"/>
            <w:vAlign w:val="bottom"/>
            <w:hideMark/>
          </w:tcPr>
          <w:p w14:paraId="2C639FA0" w14:textId="77777777" w:rsidR="00053418" w:rsidRPr="009E06AA" w:rsidRDefault="00053418" w:rsidP="00B55F24">
            <w:pPr>
              <w:pStyle w:val="TableTextBold"/>
              <w:keepNext/>
              <w:spacing w:before="40" w:after="40"/>
              <w:jc w:val="center"/>
              <w:rPr>
                <w:rFonts w:cs="Segoe UI"/>
                <w:noProof w:val="0"/>
                <w:color w:val="FFFFFF"/>
                <w:szCs w:val="16"/>
              </w:rPr>
            </w:pPr>
            <w:r w:rsidRPr="009E06AA">
              <w:rPr>
                <w:rFonts w:cs="Segoe UI"/>
                <w:noProof w:val="0"/>
                <w:color w:val="FFFFFF"/>
                <w:szCs w:val="16"/>
              </w:rPr>
              <w:t>Living biomass</w:t>
            </w:r>
          </w:p>
        </w:tc>
        <w:tc>
          <w:tcPr>
            <w:tcW w:w="2552" w:type="dxa"/>
            <w:gridSpan w:val="2"/>
            <w:tcBorders>
              <w:bottom w:val="single" w:sz="4" w:space="0" w:color="1B556B" w:themeColor="text2"/>
            </w:tcBorders>
            <w:shd w:val="clear" w:color="auto" w:fill="1B556B" w:themeFill="text2"/>
            <w:vAlign w:val="bottom"/>
            <w:hideMark/>
          </w:tcPr>
          <w:p w14:paraId="04EF74CD" w14:textId="77777777" w:rsidR="00053418" w:rsidRPr="009E06AA" w:rsidRDefault="00053418" w:rsidP="00B55F24">
            <w:pPr>
              <w:pStyle w:val="TableTextBold"/>
              <w:keepNext/>
              <w:spacing w:before="40" w:after="40"/>
              <w:jc w:val="center"/>
              <w:rPr>
                <w:rFonts w:cs="Segoe UI"/>
                <w:noProof w:val="0"/>
                <w:color w:val="FFFFFF"/>
                <w:szCs w:val="16"/>
              </w:rPr>
            </w:pPr>
            <w:r w:rsidRPr="009E06AA">
              <w:rPr>
                <w:rFonts w:cs="Segoe UI"/>
                <w:noProof w:val="0"/>
                <w:color w:val="FFFFFF"/>
                <w:szCs w:val="16"/>
              </w:rPr>
              <w:t>Dead organic matter</w:t>
            </w:r>
          </w:p>
        </w:tc>
        <w:tc>
          <w:tcPr>
            <w:tcW w:w="2292" w:type="dxa"/>
            <w:gridSpan w:val="2"/>
            <w:tcBorders>
              <w:bottom w:val="single" w:sz="4" w:space="0" w:color="1B556B" w:themeColor="text2"/>
            </w:tcBorders>
            <w:shd w:val="clear" w:color="auto" w:fill="1B556B" w:themeFill="text2"/>
            <w:vAlign w:val="bottom"/>
            <w:hideMark/>
          </w:tcPr>
          <w:p w14:paraId="71608E5F" w14:textId="77777777" w:rsidR="00053418" w:rsidRPr="009E06AA" w:rsidRDefault="00053418" w:rsidP="00B55F24">
            <w:pPr>
              <w:pStyle w:val="TableTextBold"/>
              <w:keepNext/>
              <w:spacing w:before="40" w:after="40"/>
              <w:jc w:val="center"/>
              <w:rPr>
                <w:rFonts w:cs="Segoe UI"/>
                <w:noProof w:val="0"/>
                <w:color w:val="FFFFFF"/>
                <w:szCs w:val="16"/>
              </w:rPr>
            </w:pPr>
            <w:r w:rsidRPr="009E06AA">
              <w:rPr>
                <w:rFonts w:cs="Segoe UI"/>
                <w:noProof w:val="0"/>
                <w:color w:val="FFFFFF"/>
                <w:szCs w:val="16"/>
              </w:rPr>
              <w:t>Soils</w:t>
            </w:r>
          </w:p>
        </w:tc>
      </w:tr>
      <w:tr w:rsidR="00053418" w:rsidRPr="009E06AA" w14:paraId="292B3AA6" w14:textId="77777777" w:rsidTr="00B55F24">
        <w:trPr>
          <w:tblHeader/>
        </w:trPr>
        <w:tc>
          <w:tcPr>
            <w:tcW w:w="1109" w:type="dxa"/>
            <w:vMerge w:val="restart"/>
            <w:vAlign w:val="bottom"/>
            <w:hideMark/>
          </w:tcPr>
          <w:p w14:paraId="3E724A0A" w14:textId="77777777" w:rsidR="00053418" w:rsidRPr="009E06AA" w:rsidRDefault="00053418" w:rsidP="00B55F24">
            <w:pPr>
              <w:pStyle w:val="TableTextBold"/>
              <w:spacing w:after="40"/>
              <w:rPr>
                <w:noProof w:val="0"/>
                <w:szCs w:val="16"/>
              </w:rPr>
            </w:pPr>
            <w:r w:rsidRPr="009E06AA">
              <w:rPr>
                <w:noProof w:val="0"/>
                <w:szCs w:val="16"/>
              </w:rPr>
              <w:t>Land use</w:t>
            </w:r>
          </w:p>
        </w:tc>
        <w:tc>
          <w:tcPr>
            <w:tcW w:w="1276" w:type="dxa"/>
            <w:vMerge w:val="restart"/>
            <w:tcBorders>
              <w:right w:val="nil"/>
            </w:tcBorders>
            <w:vAlign w:val="bottom"/>
            <w:hideMark/>
          </w:tcPr>
          <w:p w14:paraId="418F2EF6" w14:textId="77777777" w:rsidR="00053418" w:rsidRPr="009E06AA" w:rsidRDefault="00053418" w:rsidP="00B55F24">
            <w:pPr>
              <w:pStyle w:val="TableTextBold"/>
              <w:keepNext/>
              <w:spacing w:before="40" w:after="40"/>
              <w:jc w:val="center"/>
              <w:rPr>
                <w:rFonts w:cs="Segoe UI"/>
                <w:noProof w:val="0"/>
                <w:szCs w:val="16"/>
              </w:rPr>
            </w:pPr>
            <w:r w:rsidRPr="009E06AA">
              <w:rPr>
                <w:rFonts w:cs="Segoe UI"/>
                <w:noProof w:val="0"/>
                <w:szCs w:val="16"/>
              </w:rPr>
              <w:t>Above-ground biomass</w:t>
            </w:r>
          </w:p>
        </w:tc>
        <w:tc>
          <w:tcPr>
            <w:tcW w:w="1276" w:type="dxa"/>
            <w:vMerge w:val="restart"/>
            <w:tcBorders>
              <w:left w:val="nil"/>
              <w:right w:val="nil"/>
            </w:tcBorders>
            <w:vAlign w:val="bottom"/>
            <w:hideMark/>
          </w:tcPr>
          <w:p w14:paraId="2D09583A" w14:textId="77777777" w:rsidR="00053418" w:rsidRPr="009E06AA" w:rsidRDefault="00053418" w:rsidP="00B55F24">
            <w:pPr>
              <w:pStyle w:val="TableTextBold"/>
              <w:keepNext/>
              <w:spacing w:before="40" w:after="40"/>
              <w:jc w:val="center"/>
              <w:rPr>
                <w:rFonts w:cs="Segoe UI"/>
                <w:noProof w:val="0"/>
                <w:szCs w:val="16"/>
              </w:rPr>
            </w:pPr>
            <w:r w:rsidRPr="009E06AA">
              <w:rPr>
                <w:rFonts w:cs="Segoe UI"/>
                <w:noProof w:val="0"/>
                <w:szCs w:val="16"/>
              </w:rPr>
              <w:t>Below-ground biomass</w:t>
            </w:r>
          </w:p>
        </w:tc>
        <w:tc>
          <w:tcPr>
            <w:tcW w:w="1301" w:type="dxa"/>
            <w:vMerge w:val="restart"/>
            <w:tcBorders>
              <w:left w:val="nil"/>
              <w:right w:val="nil"/>
            </w:tcBorders>
            <w:vAlign w:val="bottom"/>
            <w:hideMark/>
          </w:tcPr>
          <w:p w14:paraId="5A8A8023" w14:textId="77777777" w:rsidR="00053418" w:rsidRPr="009E06AA" w:rsidRDefault="00053418" w:rsidP="00B55F24">
            <w:pPr>
              <w:pStyle w:val="TableTextBold"/>
              <w:keepNext/>
              <w:spacing w:before="40" w:after="40"/>
              <w:jc w:val="center"/>
              <w:rPr>
                <w:rFonts w:cs="Segoe UI"/>
                <w:noProof w:val="0"/>
                <w:szCs w:val="16"/>
              </w:rPr>
            </w:pPr>
            <w:r w:rsidRPr="009E06AA">
              <w:rPr>
                <w:rFonts w:cs="Segoe UI"/>
                <w:noProof w:val="0"/>
                <w:szCs w:val="16"/>
              </w:rPr>
              <w:t>Dead wood</w:t>
            </w:r>
          </w:p>
        </w:tc>
        <w:tc>
          <w:tcPr>
            <w:tcW w:w="1251" w:type="dxa"/>
            <w:vMerge w:val="restart"/>
            <w:tcBorders>
              <w:left w:val="nil"/>
            </w:tcBorders>
            <w:vAlign w:val="bottom"/>
            <w:hideMark/>
          </w:tcPr>
          <w:p w14:paraId="0E629B1B" w14:textId="77777777" w:rsidR="00053418" w:rsidRPr="009E06AA" w:rsidRDefault="00053418" w:rsidP="00B55F24">
            <w:pPr>
              <w:pStyle w:val="TableTextBold"/>
              <w:keepNext/>
              <w:spacing w:before="40" w:after="40"/>
              <w:jc w:val="center"/>
              <w:rPr>
                <w:rFonts w:cs="Segoe UI"/>
                <w:noProof w:val="0"/>
                <w:szCs w:val="16"/>
              </w:rPr>
            </w:pPr>
            <w:r w:rsidRPr="009E06AA">
              <w:rPr>
                <w:rFonts w:cs="Segoe UI"/>
                <w:noProof w:val="0"/>
                <w:szCs w:val="16"/>
              </w:rPr>
              <w:t>Litter</w:t>
            </w:r>
          </w:p>
        </w:tc>
        <w:tc>
          <w:tcPr>
            <w:tcW w:w="2292" w:type="dxa"/>
            <w:gridSpan w:val="2"/>
            <w:tcBorders>
              <w:bottom w:val="nil"/>
            </w:tcBorders>
            <w:vAlign w:val="bottom"/>
            <w:hideMark/>
          </w:tcPr>
          <w:p w14:paraId="77E50CDC" w14:textId="77777777" w:rsidR="00053418" w:rsidRPr="009E06AA" w:rsidRDefault="00053418" w:rsidP="00B55F24">
            <w:pPr>
              <w:pStyle w:val="TableTextBold"/>
              <w:keepNext/>
              <w:spacing w:before="40" w:after="0"/>
              <w:jc w:val="center"/>
              <w:rPr>
                <w:rFonts w:cs="Segoe UI"/>
                <w:noProof w:val="0"/>
                <w:szCs w:val="16"/>
              </w:rPr>
            </w:pPr>
            <w:r w:rsidRPr="009E06AA">
              <w:rPr>
                <w:rFonts w:cs="Segoe UI"/>
                <w:noProof w:val="0"/>
                <w:szCs w:val="16"/>
              </w:rPr>
              <w:t>Soil organic matter</w:t>
            </w:r>
          </w:p>
        </w:tc>
      </w:tr>
      <w:tr w:rsidR="00053418" w:rsidRPr="009E06AA" w14:paraId="6F2715E9" w14:textId="77777777" w:rsidTr="00B55F24">
        <w:trPr>
          <w:tblHeader/>
        </w:trPr>
        <w:tc>
          <w:tcPr>
            <w:tcW w:w="1109" w:type="dxa"/>
            <w:vMerge/>
            <w:vAlign w:val="center"/>
            <w:hideMark/>
          </w:tcPr>
          <w:p w14:paraId="7A75CD57" w14:textId="77777777" w:rsidR="00053418" w:rsidRPr="009E06AA" w:rsidRDefault="00053418" w:rsidP="00B55F24">
            <w:pPr>
              <w:spacing w:before="40" w:after="40"/>
              <w:rPr>
                <w:rFonts w:ascii="Segoe UI" w:hAnsi="Segoe UI" w:cs="Segoe UI"/>
                <w:b/>
                <w:sz w:val="16"/>
                <w:szCs w:val="16"/>
              </w:rPr>
            </w:pPr>
          </w:p>
        </w:tc>
        <w:tc>
          <w:tcPr>
            <w:tcW w:w="1276" w:type="dxa"/>
            <w:vMerge/>
            <w:tcBorders>
              <w:bottom w:val="single" w:sz="4" w:space="0" w:color="1B556B" w:themeColor="text2"/>
              <w:right w:val="nil"/>
            </w:tcBorders>
            <w:vAlign w:val="center"/>
            <w:hideMark/>
          </w:tcPr>
          <w:p w14:paraId="1453770C" w14:textId="77777777" w:rsidR="00053418" w:rsidRPr="009E06AA" w:rsidRDefault="00053418" w:rsidP="00B55F24">
            <w:pPr>
              <w:spacing w:before="40" w:after="40"/>
              <w:rPr>
                <w:rFonts w:ascii="Segoe UI" w:hAnsi="Segoe UI" w:cs="Segoe UI"/>
                <w:b/>
                <w:sz w:val="16"/>
                <w:szCs w:val="16"/>
              </w:rPr>
            </w:pPr>
          </w:p>
        </w:tc>
        <w:tc>
          <w:tcPr>
            <w:tcW w:w="1276" w:type="dxa"/>
            <w:vMerge/>
            <w:tcBorders>
              <w:left w:val="nil"/>
              <w:bottom w:val="single" w:sz="4" w:space="0" w:color="1B556B" w:themeColor="text2"/>
              <w:right w:val="nil"/>
            </w:tcBorders>
            <w:vAlign w:val="center"/>
            <w:hideMark/>
          </w:tcPr>
          <w:p w14:paraId="610AC553" w14:textId="77777777" w:rsidR="00053418" w:rsidRPr="009E06AA" w:rsidRDefault="00053418" w:rsidP="00B55F24">
            <w:pPr>
              <w:spacing w:before="40" w:after="40"/>
              <w:rPr>
                <w:rFonts w:ascii="Segoe UI" w:hAnsi="Segoe UI" w:cs="Segoe UI"/>
                <w:b/>
                <w:sz w:val="16"/>
                <w:szCs w:val="16"/>
              </w:rPr>
            </w:pPr>
          </w:p>
        </w:tc>
        <w:tc>
          <w:tcPr>
            <w:tcW w:w="1301" w:type="dxa"/>
            <w:vMerge/>
            <w:tcBorders>
              <w:left w:val="nil"/>
              <w:bottom w:val="single" w:sz="4" w:space="0" w:color="1B556B" w:themeColor="text2"/>
              <w:right w:val="nil"/>
            </w:tcBorders>
            <w:vAlign w:val="center"/>
            <w:hideMark/>
          </w:tcPr>
          <w:p w14:paraId="7540E34E" w14:textId="77777777" w:rsidR="00053418" w:rsidRPr="009E06AA" w:rsidRDefault="00053418" w:rsidP="00B55F24">
            <w:pPr>
              <w:spacing w:before="40" w:after="40"/>
              <w:rPr>
                <w:rFonts w:ascii="Segoe UI" w:hAnsi="Segoe UI" w:cs="Segoe UI"/>
                <w:b/>
                <w:sz w:val="16"/>
                <w:szCs w:val="16"/>
              </w:rPr>
            </w:pPr>
          </w:p>
        </w:tc>
        <w:tc>
          <w:tcPr>
            <w:tcW w:w="1251" w:type="dxa"/>
            <w:vMerge/>
            <w:tcBorders>
              <w:left w:val="nil"/>
              <w:bottom w:val="single" w:sz="4" w:space="0" w:color="1B556B" w:themeColor="text2"/>
            </w:tcBorders>
            <w:vAlign w:val="center"/>
            <w:hideMark/>
          </w:tcPr>
          <w:p w14:paraId="555D2597" w14:textId="77777777" w:rsidR="00053418" w:rsidRPr="009E06AA" w:rsidRDefault="00053418" w:rsidP="00B55F24">
            <w:pPr>
              <w:spacing w:before="40" w:after="40"/>
              <w:rPr>
                <w:rFonts w:ascii="Segoe UI" w:hAnsi="Segoe UI" w:cs="Segoe UI"/>
                <w:b/>
                <w:sz w:val="16"/>
                <w:szCs w:val="16"/>
              </w:rPr>
            </w:pPr>
          </w:p>
        </w:tc>
        <w:tc>
          <w:tcPr>
            <w:tcW w:w="1134" w:type="dxa"/>
            <w:tcBorders>
              <w:top w:val="nil"/>
              <w:right w:val="nil"/>
            </w:tcBorders>
            <w:vAlign w:val="bottom"/>
            <w:hideMark/>
          </w:tcPr>
          <w:p w14:paraId="7177EE3D" w14:textId="77777777" w:rsidR="00053418" w:rsidRPr="009E06AA" w:rsidRDefault="00053418" w:rsidP="00B55F24">
            <w:pPr>
              <w:pStyle w:val="TableTextBold"/>
              <w:keepNext/>
              <w:spacing w:before="0" w:after="40" w:line="256" w:lineRule="auto"/>
              <w:jc w:val="center"/>
              <w:rPr>
                <w:rFonts w:cs="Segoe UI"/>
                <w:noProof w:val="0"/>
                <w:szCs w:val="16"/>
              </w:rPr>
            </w:pPr>
            <w:r w:rsidRPr="009E06AA">
              <w:rPr>
                <w:rFonts w:cs="Segoe UI"/>
                <w:noProof w:val="0"/>
                <w:szCs w:val="16"/>
              </w:rPr>
              <w:t>Mineral soils</w:t>
            </w:r>
          </w:p>
        </w:tc>
        <w:tc>
          <w:tcPr>
            <w:tcW w:w="1158" w:type="dxa"/>
            <w:tcBorders>
              <w:top w:val="nil"/>
              <w:left w:val="nil"/>
            </w:tcBorders>
            <w:tcMar>
              <w:top w:w="0" w:type="dxa"/>
              <w:left w:w="108" w:type="dxa"/>
              <w:bottom w:w="0" w:type="dxa"/>
              <w:right w:w="57" w:type="dxa"/>
            </w:tcMar>
            <w:vAlign w:val="bottom"/>
            <w:hideMark/>
          </w:tcPr>
          <w:p w14:paraId="20FB98F1" w14:textId="77777777" w:rsidR="00053418" w:rsidRPr="009E06AA" w:rsidRDefault="00053418" w:rsidP="00B55F24">
            <w:pPr>
              <w:pStyle w:val="TableTextBold"/>
              <w:keepNext/>
              <w:spacing w:before="0" w:after="40" w:line="256" w:lineRule="auto"/>
              <w:jc w:val="center"/>
              <w:rPr>
                <w:rFonts w:cs="Segoe UI"/>
                <w:noProof w:val="0"/>
                <w:szCs w:val="16"/>
              </w:rPr>
            </w:pPr>
            <w:r w:rsidRPr="009E06AA">
              <w:rPr>
                <w:rFonts w:cs="Segoe UI"/>
                <w:noProof w:val="0"/>
                <w:szCs w:val="16"/>
              </w:rPr>
              <w:t>Organic soils</w:t>
            </w:r>
          </w:p>
        </w:tc>
      </w:tr>
      <w:tr w:rsidR="00053418" w:rsidRPr="009E06AA" w14:paraId="19848F91" w14:textId="77777777" w:rsidTr="00B55F24">
        <w:tc>
          <w:tcPr>
            <w:tcW w:w="1109" w:type="dxa"/>
            <w:hideMark/>
          </w:tcPr>
          <w:p w14:paraId="49808CF8" w14:textId="77777777" w:rsidR="00053418" w:rsidRPr="009E06AA" w:rsidRDefault="00053418" w:rsidP="00B55F24">
            <w:pPr>
              <w:pStyle w:val="TableText"/>
              <w:spacing w:before="40" w:after="40"/>
              <w:rPr>
                <w:rFonts w:cs="Segoe UI"/>
                <w:szCs w:val="16"/>
              </w:rPr>
            </w:pPr>
            <w:r w:rsidRPr="009E06AA">
              <w:rPr>
                <w:rFonts w:cs="Segoe UI"/>
                <w:szCs w:val="16"/>
              </w:rPr>
              <w:t xml:space="preserve">Pre-1990 natural forest </w:t>
            </w:r>
          </w:p>
        </w:tc>
        <w:tc>
          <w:tcPr>
            <w:tcW w:w="1276" w:type="dxa"/>
            <w:tcBorders>
              <w:right w:val="nil"/>
            </w:tcBorders>
            <w:tcMar>
              <w:top w:w="0" w:type="dxa"/>
              <w:left w:w="108" w:type="dxa"/>
              <w:bottom w:w="0" w:type="dxa"/>
              <w:right w:w="28" w:type="dxa"/>
            </w:tcMar>
            <w:hideMark/>
          </w:tcPr>
          <w:p w14:paraId="63ACF3B6" w14:textId="77777777" w:rsidR="00053418" w:rsidRPr="009E06AA" w:rsidRDefault="00053418" w:rsidP="00B55F24">
            <w:pPr>
              <w:pStyle w:val="TableText"/>
              <w:keepNext/>
              <w:spacing w:before="40" w:after="40"/>
              <w:rPr>
                <w:rFonts w:cs="Segoe UI"/>
                <w:szCs w:val="16"/>
              </w:rPr>
            </w:pPr>
            <w:r w:rsidRPr="009E06AA">
              <w:rPr>
                <w:rFonts w:cs="Segoe UI"/>
                <w:szCs w:val="16"/>
              </w:rPr>
              <w:t>Plot measurements; allometric equations</w:t>
            </w:r>
          </w:p>
        </w:tc>
        <w:tc>
          <w:tcPr>
            <w:tcW w:w="1276" w:type="dxa"/>
            <w:tcBorders>
              <w:left w:val="nil"/>
              <w:right w:val="nil"/>
            </w:tcBorders>
            <w:tcMar>
              <w:top w:w="0" w:type="dxa"/>
              <w:left w:w="108" w:type="dxa"/>
              <w:bottom w:w="0" w:type="dxa"/>
              <w:right w:w="28" w:type="dxa"/>
            </w:tcMar>
            <w:hideMark/>
          </w:tcPr>
          <w:p w14:paraId="7D0E835A" w14:textId="77777777" w:rsidR="00053418" w:rsidRPr="009E06AA" w:rsidRDefault="00053418" w:rsidP="00B55F24">
            <w:pPr>
              <w:pStyle w:val="TableText"/>
              <w:keepNext/>
              <w:spacing w:before="40" w:after="40"/>
              <w:rPr>
                <w:rFonts w:cs="Segoe UI"/>
                <w:szCs w:val="16"/>
              </w:rPr>
            </w:pPr>
            <w:r w:rsidRPr="009E06AA">
              <w:rPr>
                <w:szCs w:val="16"/>
              </w:rPr>
              <w:t xml:space="preserve">Estimated as the ratio of below-ground biomass to above-ground </w:t>
            </w:r>
            <w:r w:rsidRPr="009E06AA" w:rsidDel="00F72565">
              <w:rPr>
                <w:szCs w:val="16"/>
              </w:rPr>
              <w:t>biomass</w:t>
            </w:r>
          </w:p>
        </w:tc>
        <w:tc>
          <w:tcPr>
            <w:tcW w:w="1301" w:type="dxa"/>
            <w:tcBorders>
              <w:left w:val="nil"/>
              <w:right w:val="nil"/>
            </w:tcBorders>
            <w:tcMar>
              <w:top w:w="0" w:type="dxa"/>
              <w:left w:w="108" w:type="dxa"/>
              <w:bottom w:w="0" w:type="dxa"/>
              <w:right w:w="28" w:type="dxa"/>
            </w:tcMar>
            <w:hideMark/>
          </w:tcPr>
          <w:p w14:paraId="30D205AA" w14:textId="77777777" w:rsidR="00053418" w:rsidRPr="009E06AA" w:rsidRDefault="00053418" w:rsidP="00B55F24">
            <w:pPr>
              <w:pStyle w:val="TableText"/>
              <w:keepNext/>
              <w:spacing w:before="40" w:after="40"/>
              <w:rPr>
                <w:rFonts w:cs="Segoe UI"/>
                <w:szCs w:val="16"/>
              </w:rPr>
            </w:pPr>
            <w:r w:rsidRPr="009E06AA">
              <w:rPr>
                <w:szCs w:val="16"/>
              </w:rPr>
              <w:t>Modelled from plot measurements; allometric equations</w:t>
            </w:r>
          </w:p>
        </w:tc>
        <w:tc>
          <w:tcPr>
            <w:tcW w:w="1251" w:type="dxa"/>
            <w:tcBorders>
              <w:left w:val="nil"/>
            </w:tcBorders>
            <w:tcMar>
              <w:top w:w="0" w:type="dxa"/>
              <w:left w:w="108" w:type="dxa"/>
              <w:bottom w:w="0" w:type="dxa"/>
              <w:right w:w="28" w:type="dxa"/>
            </w:tcMar>
            <w:hideMark/>
          </w:tcPr>
          <w:p w14:paraId="043008E1" w14:textId="77777777" w:rsidR="00053418" w:rsidRPr="009E06AA" w:rsidRDefault="00053418" w:rsidP="00B55F24">
            <w:pPr>
              <w:pStyle w:val="TableText"/>
              <w:keepNext/>
              <w:spacing w:before="40" w:after="40"/>
              <w:rPr>
                <w:rFonts w:cs="Segoe UI"/>
                <w:szCs w:val="16"/>
              </w:rPr>
            </w:pPr>
            <w:r w:rsidRPr="009E06AA">
              <w:rPr>
                <w:szCs w:val="16"/>
              </w:rPr>
              <w:t>Plot samples; laboratory analysis of samples collected at plots</w:t>
            </w:r>
          </w:p>
        </w:tc>
        <w:tc>
          <w:tcPr>
            <w:tcW w:w="1134" w:type="dxa"/>
            <w:hideMark/>
          </w:tcPr>
          <w:p w14:paraId="41D1431B" w14:textId="77777777" w:rsidR="00053418" w:rsidRPr="009E06AA" w:rsidRDefault="00053418" w:rsidP="00B55F24">
            <w:pPr>
              <w:pStyle w:val="TableText"/>
              <w:keepNext/>
              <w:spacing w:before="40" w:after="40"/>
              <w:rPr>
                <w:rFonts w:cs="Segoe UI"/>
                <w:szCs w:val="16"/>
              </w:rPr>
            </w:pPr>
            <w:r w:rsidRPr="009E06AA">
              <w:rPr>
                <w:rFonts w:cs="Segoe UI"/>
                <w:szCs w:val="16"/>
              </w:rPr>
              <w:t>Tier 2, country-specific data and model</w:t>
            </w:r>
          </w:p>
        </w:tc>
        <w:tc>
          <w:tcPr>
            <w:tcW w:w="1158" w:type="dxa"/>
            <w:hideMark/>
          </w:tcPr>
          <w:p w14:paraId="14083276" w14:textId="77777777" w:rsidR="00053418" w:rsidRPr="009E06AA" w:rsidRDefault="00053418" w:rsidP="00B55F24">
            <w:pPr>
              <w:pStyle w:val="TableText"/>
              <w:keepNext/>
              <w:spacing w:before="40" w:after="40"/>
              <w:ind w:right="-107"/>
              <w:rPr>
                <w:rFonts w:cs="Segoe UI"/>
                <w:szCs w:val="16"/>
              </w:rPr>
            </w:pPr>
            <w:r w:rsidRPr="009E06AA">
              <w:rPr>
                <w:rFonts w:cs="Segoe UI"/>
                <w:szCs w:val="16"/>
              </w:rPr>
              <w:t>Not applicable</w:t>
            </w:r>
          </w:p>
        </w:tc>
      </w:tr>
      <w:tr w:rsidR="00053418" w:rsidRPr="009E06AA" w14:paraId="5B03E113" w14:textId="77777777" w:rsidTr="00B55F24">
        <w:tc>
          <w:tcPr>
            <w:tcW w:w="1109" w:type="dxa"/>
          </w:tcPr>
          <w:p w14:paraId="0D847815" w14:textId="77777777" w:rsidR="00053418" w:rsidRPr="009E06AA" w:rsidRDefault="00053418" w:rsidP="00B55F24">
            <w:pPr>
              <w:pStyle w:val="TableText"/>
              <w:spacing w:before="40" w:after="40"/>
              <w:rPr>
                <w:rFonts w:cs="Segoe UI"/>
                <w:szCs w:val="16"/>
              </w:rPr>
            </w:pPr>
            <w:r w:rsidRPr="009E06AA">
              <w:rPr>
                <w:rFonts w:cs="Segoe UI"/>
                <w:szCs w:val="16"/>
              </w:rPr>
              <w:t>Pre-1990 planted forest</w:t>
            </w:r>
          </w:p>
        </w:tc>
        <w:tc>
          <w:tcPr>
            <w:tcW w:w="1276" w:type="dxa"/>
            <w:tcBorders>
              <w:right w:val="nil"/>
            </w:tcBorders>
            <w:tcMar>
              <w:top w:w="0" w:type="dxa"/>
              <w:left w:w="108" w:type="dxa"/>
              <w:bottom w:w="0" w:type="dxa"/>
              <w:right w:w="28" w:type="dxa"/>
            </w:tcMar>
          </w:tcPr>
          <w:p w14:paraId="2DFF7F44" w14:textId="77777777" w:rsidR="00053418" w:rsidRPr="009E06AA" w:rsidRDefault="00053418" w:rsidP="00B55F24">
            <w:pPr>
              <w:pStyle w:val="TableText"/>
              <w:keepNext/>
              <w:spacing w:before="40" w:after="40"/>
              <w:rPr>
                <w:rFonts w:cs="Segoe UI"/>
                <w:szCs w:val="16"/>
              </w:rPr>
            </w:pPr>
            <w:r w:rsidRPr="009E06AA">
              <w:rPr>
                <w:rFonts w:eastAsia="Segoe UI" w:cs="Segoe UI"/>
                <w:szCs w:val="16"/>
              </w:rPr>
              <w:t>Modelled through allometric equations, then included in national yield tables</w:t>
            </w:r>
          </w:p>
        </w:tc>
        <w:tc>
          <w:tcPr>
            <w:tcW w:w="1276" w:type="dxa"/>
            <w:tcBorders>
              <w:left w:val="nil"/>
              <w:right w:val="nil"/>
            </w:tcBorders>
            <w:tcMar>
              <w:top w:w="0" w:type="dxa"/>
              <w:left w:w="108" w:type="dxa"/>
              <w:bottom w:w="0" w:type="dxa"/>
              <w:right w:w="28" w:type="dxa"/>
            </w:tcMar>
          </w:tcPr>
          <w:p w14:paraId="3DC2320A" w14:textId="77777777" w:rsidR="00053418" w:rsidRPr="009E06AA" w:rsidRDefault="00053418" w:rsidP="00B55F24">
            <w:pPr>
              <w:pStyle w:val="TableText"/>
              <w:keepNext/>
              <w:spacing w:before="40" w:after="40"/>
              <w:rPr>
                <w:szCs w:val="16"/>
              </w:rPr>
            </w:pPr>
            <w:r w:rsidRPr="009E06AA">
              <w:rPr>
                <w:szCs w:val="16"/>
              </w:rPr>
              <w:t>Estimated as the ratio of below-ground biomass to above-ground biomass </w:t>
            </w:r>
          </w:p>
        </w:tc>
        <w:tc>
          <w:tcPr>
            <w:tcW w:w="1301" w:type="dxa"/>
            <w:tcBorders>
              <w:left w:val="nil"/>
              <w:right w:val="nil"/>
            </w:tcBorders>
            <w:tcMar>
              <w:top w:w="0" w:type="dxa"/>
              <w:left w:w="108" w:type="dxa"/>
              <w:bottom w:w="0" w:type="dxa"/>
              <w:right w:w="28" w:type="dxa"/>
            </w:tcMar>
          </w:tcPr>
          <w:p w14:paraId="5E067768" w14:textId="77777777" w:rsidR="00053418" w:rsidRPr="009E06AA" w:rsidRDefault="00053418" w:rsidP="00B55F24">
            <w:pPr>
              <w:pStyle w:val="TableText"/>
              <w:keepNext/>
              <w:spacing w:before="40" w:after="40"/>
              <w:rPr>
                <w:szCs w:val="16"/>
              </w:rPr>
            </w:pPr>
            <w:r w:rsidRPr="009E06AA">
              <w:rPr>
                <w:szCs w:val="16"/>
              </w:rPr>
              <w:t>Allometric model using plot measurements, included in national yield tables. Harvest residues added to dead wood pool through CRA </w:t>
            </w:r>
          </w:p>
        </w:tc>
        <w:tc>
          <w:tcPr>
            <w:tcW w:w="1251" w:type="dxa"/>
            <w:tcBorders>
              <w:left w:val="nil"/>
            </w:tcBorders>
            <w:tcMar>
              <w:top w:w="0" w:type="dxa"/>
              <w:left w:w="108" w:type="dxa"/>
              <w:bottom w:w="0" w:type="dxa"/>
              <w:right w:w="28" w:type="dxa"/>
            </w:tcMar>
          </w:tcPr>
          <w:p w14:paraId="391FBF73" w14:textId="77777777" w:rsidR="00053418" w:rsidRPr="009E06AA" w:rsidRDefault="00053418" w:rsidP="00B55F24">
            <w:pPr>
              <w:pStyle w:val="TableText"/>
              <w:keepNext/>
              <w:spacing w:before="40" w:after="40"/>
              <w:rPr>
                <w:szCs w:val="16"/>
              </w:rPr>
            </w:pPr>
            <w:r w:rsidRPr="009E06AA">
              <w:rPr>
                <w:szCs w:val="16"/>
              </w:rPr>
              <w:t>Allometric model and percentage of above-ground biomass </w:t>
            </w:r>
          </w:p>
        </w:tc>
        <w:tc>
          <w:tcPr>
            <w:tcW w:w="1134" w:type="dxa"/>
          </w:tcPr>
          <w:p w14:paraId="1200837C" w14:textId="77777777" w:rsidR="00053418" w:rsidRPr="009E06AA" w:rsidRDefault="00053418" w:rsidP="00B55F24">
            <w:pPr>
              <w:pStyle w:val="TableText"/>
              <w:keepNext/>
              <w:spacing w:before="40" w:after="40"/>
              <w:rPr>
                <w:rFonts w:cs="Segoe UI"/>
                <w:szCs w:val="16"/>
              </w:rPr>
            </w:pPr>
            <w:r w:rsidRPr="009E06AA">
              <w:rPr>
                <w:rFonts w:cs="Segoe UI"/>
                <w:szCs w:val="16"/>
              </w:rPr>
              <w:t>Tier 2, country-specific data and model</w:t>
            </w:r>
          </w:p>
        </w:tc>
        <w:tc>
          <w:tcPr>
            <w:tcW w:w="1158" w:type="dxa"/>
          </w:tcPr>
          <w:p w14:paraId="38C0E452" w14:textId="77777777" w:rsidR="00053418" w:rsidRPr="009E06AA" w:rsidRDefault="00053418" w:rsidP="00B55F24">
            <w:pPr>
              <w:pStyle w:val="TableText"/>
              <w:keepNext/>
              <w:spacing w:before="40" w:after="40"/>
              <w:rPr>
                <w:rFonts w:cs="Segoe UI"/>
                <w:szCs w:val="16"/>
              </w:rPr>
            </w:pPr>
            <w:r w:rsidRPr="009E06AA">
              <w:rPr>
                <w:rFonts w:cs="Segoe UI"/>
                <w:szCs w:val="16"/>
              </w:rPr>
              <w:t>IPCC Tier 1 default parameters</w:t>
            </w:r>
          </w:p>
        </w:tc>
      </w:tr>
      <w:tr w:rsidR="00053418" w:rsidRPr="009E06AA" w14:paraId="7F254F2D" w14:textId="77777777" w:rsidTr="00B55F24">
        <w:tc>
          <w:tcPr>
            <w:tcW w:w="1109" w:type="dxa"/>
          </w:tcPr>
          <w:p w14:paraId="3EDE7416" w14:textId="77777777" w:rsidR="00053418" w:rsidRPr="009E06AA" w:rsidRDefault="00053418" w:rsidP="00B55F24">
            <w:pPr>
              <w:pStyle w:val="TableText"/>
              <w:spacing w:before="40" w:after="40"/>
              <w:rPr>
                <w:szCs w:val="16"/>
              </w:rPr>
            </w:pPr>
            <w:r w:rsidRPr="009E06AA">
              <w:rPr>
                <w:szCs w:val="16"/>
              </w:rPr>
              <w:t xml:space="preserve">Post-1989 natural forest </w:t>
            </w:r>
          </w:p>
        </w:tc>
        <w:tc>
          <w:tcPr>
            <w:tcW w:w="1276" w:type="dxa"/>
            <w:tcBorders>
              <w:bottom w:val="single" w:sz="4" w:space="0" w:color="1B556B" w:themeColor="text2"/>
              <w:right w:val="nil"/>
            </w:tcBorders>
            <w:tcMar>
              <w:top w:w="0" w:type="dxa"/>
              <w:left w:w="108" w:type="dxa"/>
              <w:bottom w:w="0" w:type="dxa"/>
              <w:right w:w="28" w:type="dxa"/>
            </w:tcMar>
          </w:tcPr>
          <w:p w14:paraId="77185631" w14:textId="77777777" w:rsidR="00053418" w:rsidRPr="009E06AA" w:rsidRDefault="00053418" w:rsidP="00B55F24">
            <w:pPr>
              <w:pStyle w:val="TableText"/>
              <w:keepNext/>
              <w:spacing w:before="40" w:after="40"/>
              <w:rPr>
                <w:rFonts w:eastAsia="Segoe UI" w:cs="Segoe UI"/>
                <w:szCs w:val="16"/>
              </w:rPr>
            </w:pPr>
            <w:r w:rsidRPr="009E06AA">
              <w:rPr>
                <w:rFonts w:cs="Segoe UI"/>
                <w:szCs w:val="16"/>
              </w:rPr>
              <w:t>Allometric model</w:t>
            </w:r>
          </w:p>
        </w:tc>
        <w:tc>
          <w:tcPr>
            <w:tcW w:w="1276" w:type="dxa"/>
            <w:tcBorders>
              <w:left w:val="nil"/>
              <w:bottom w:val="single" w:sz="4" w:space="0" w:color="1B556B" w:themeColor="text2"/>
              <w:right w:val="nil"/>
            </w:tcBorders>
            <w:tcMar>
              <w:top w:w="0" w:type="dxa"/>
              <w:left w:w="108" w:type="dxa"/>
              <w:bottom w:w="0" w:type="dxa"/>
              <w:right w:w="28" w:type="dxa"/>
            </w:tcMar>
          </w:tcPr>
          <w:p w14:paraId="7BAF8CB5" w14:textId="77777777" w:rsidR="00053418" w:rsidRPr="009E06AA" w:rsidRDefault="00053418" w:rsidP="00B55F24">
            <w:pPr>
              <w:pStyle w:val="TableText"/>
              <w:keepNext/>
              <w:spacing w:before="40" w:after="40"/>
              <w:rPr>
                <w:szCs w:val="16"/>
              </w:rPr>
            </w:pPr>
            <w:r w:rsidRPr="009E06AA">
              <w:rPr>
                <w:szCs w:val="16"/>
              </w:rPr>
              <w:t xml:space="preserve">Estimated as the ratio of below-ground biomass to above-ground </w:t>
            </w:r>
            <w:r w:rsidRPr="009E06AA" w:rsidDel="004734F1">
              <w:rPr>
                <w:szCs w:val="16"/>
              </w:rPr>
              <w:t>biomass</w:t>
            </w:r>
          </w:p>
        </w:tc>
        <w:tc>
          <w:tcPr>
            <w:tcW w:w="1301" w:type="dxa"/>
            <w:tcBorders>
              <w:left w:val="nil"/>
              <w:bottom w:val="single" w:sz="4" w:space="0" w:color="1B556B" w:themeColor="text2"/>
              <w:right w:val="nil"/>
            </w:tcBorders>
            <w:tcMar>
              <w:top w:w="0" w:type="dxa"/>
              <w:left w:w="108" w:type="dxa"/>
              <w:bottom w:w="0" w:type="dxa"/>
              <w:right w:w="28" w:type="dxa"/>
            </w:tcMar>
          </w:tcPr>
          <w:p w14:paraId="18B60626" w14:textId="77777777" w:rsidR="00053418" w:rsidRPr="009E06AA" w:rsidRDefault="00053418" w:rsidP="00B55F24">
            <w:pPr>
              <w:pStyle w:val="TableText"/>
              <w:keepNext/>
              <w:spacing w:before="40" w:after="40"/>
              <w:rPr>
                <w:szCs w:val="16"/>
              </w:rPr>
            </w:pPr>
            <w:r w:rsidRPr="009E06AA">
              <w:rPr>
                <w:rFonts w:cs="Segoe UI"/>
                <w:szCs w:val="16"/>
              </w:rPr>
              <w:t>Modelled from plot measurements; allometric model</w:t>
            </w:r>
          </w:p>
        </w:tc>
        <w:tc>
          <w:tcPr>
            <w:tcW w:w="1251" w:type="dxa"/>
            <w:tcBorders>
              <w:left w:val="nil"/>
              <w:bottom w:val="single" w:sz="4" w:space="0" w:color="1B556B" w:themeColor="text2"/>
            </w:tcBorders>
            <w:tcMar>
              <w:top w:w="0" w:type="dxa"/>
              <w:left w:w="108" w:type="dxa"/>
              <w:bottom w:w="0" w:type="dxa"/>
              <w:right w:w="28" w:type="dxa"/>
            </w:tcMar>
          </w:tcPr>
          <w:p w14:paraId="1A16A62A" w14:textId="77777777" w:rsidR="00053418" w:rsidRPr="009E06AA" w:rsidRDefault="00053418" w:rsidP="00B55F24">
            <w:pPr>
              <w:pStyle w:val="TableText"/>
              <w:keepNext/>
              <w:spacing w:before="40" w:after="40"/>
              <w:rPr>
                <w:szCs w:val="16"/>
              </w:rPr>
            </w:pPr>
            <w:r w:rsidRPr="009E06AA">
              <w:rPr>
                <w:rFonts w:cs="Segoe UI"/>
                <w:szCs w:val="16"/>
              </w:rPr>
              <w:t>Allometric model and percentage of above-ground biomass</w:t>
            </w:r>
          </w:p>
        </w:tc>
        <w:tc>
          <w:tcPr>
            <w:tcW w:w="1134" w:type="dxa"/>
          </w:tcPr>
          <w:p w14:paraId="71F1623C" w14:textId="77777777" w:rsidR="00053418" w:rsidRPr="009E06AA" w:rsidRDefault="00053418" w:rsidP="00B55F24">
            <w:pPr>
              <w:pStyle w:val="TableText"/>
              <w:keepNext/>
              <w:spacing w:before="40" w:after="40"/>
              <w:rPr>
                <w:rFonts w:cs="Segoe UI"/>
                <w:szCs w:val="16"/>
              </w:rPr>
            </w:pPr>
            <w:r w:rsidRPr="009E06AA">
              <w:rPr>
                <w:rFonts w:cs="Segoe UI"/>
                <w:szCs w:val="16"/>
              </w:rPr>
              <w:t>Tier 2, country-specific data and model</w:t>
            </w:r>
          </w:p>
        </w:tc>
        <w:tc>
          <w:tcPr>
            <w:tcW w:w="1158" w:type="dxa"/>
          </w:tcPr>
          <w:p w14:paraId="545294DA" w14:textId="77777777" w:rsidR="00053418" w:rsidRPr="009E06AA" w:rsidRDefault="00053418" w:rsidP="00B55F24">
            <w:pPr>
              <w:pStyle w:val="TableText"/>
              <w:keepNext/>
              <w:spacing w:before="40" w:after="40"/>
              <w:rPr>
                <w:rFonts w:cs="Segoe UI"/>
                <w:szCs w:val="16"/>
              </w:rPr>
            </w:pPr>
            <w:r w:rsidRPr="009E06AA">
              <w:rPr>
                <w:rFonts w:cs="Segoe UI"/>
                <w:szCs w:val="16"/>
              </w:rPr>
              <w:t>IPCC Tier 1 default parameters</w:t>
            </w:r>
          </w:p>
        </w:tc>
      </w:tr>
      <w:tr w:rsidR="00053418" w:rsidRPr="009E06AA" w14:paraId="22FFE6A9" w14:textId="77777777" w:rsidTr="00B55F24">
        <w:tc>
          <w:tcPr>
            <w:tcW w:w="1109" w:type="dxa"/>
          </w:tcPr>
          <w:p w14:paraId="555B6556" w14:textId="77777777" w:rsidR="00053418" w:rsidRPr="009E06AA" w:rsidRDefault="00053418" w:rsidP="00B55F24">
            <w:pPr>
              <w:pStyle w:val="TableText"/>
              <w:spacing w:before="40" w:after="40"/>
              <w:rPr>
                <w:szCs w:val="16"/>
              </w:rPr>
            </w:pPr>
            <w:r w:rsidRPr="009E06AA">
              <w:rPr>
                <w:szCs w:val="16"/>
              </w:rPr>
              <w:t>Post-1989 planted forest</w:t>
            </w:r>
          </w:p>
        </w:tc>
        <w:tc>
          <w:tcPr>
            <w:tcW w:w="1276" w:type="dxa"/>
            <w:tcBorders>
              <w:right w:val="nil"/>
            </w:tcBorders>
            <w:tcMar>
              <w:top w:w="0" w:type="dxa"/>
              <w:left w:w="108" w:type="dxa"/>
              <w:bottom w:w="0" w:type="dxa"/>
              <w:right w:w="28" w:type="dxa"/>
            </w:tcMar>
          </w:tcPr>
          <w:p w14:paraId="2E4B74FA" w14:textId="77777777" w:rsidR="00053418" w:rsidRPr="009E06AA" w:rsidRDefault="00053418" w:rsidP="00B55F24">
            <w:pPr>
              <w:pStyle w:val="TableText"/>
              <w:keepNext/>
              <w:spacing w:before="40" w:after="40"/>
              <w:rPr>
                <w:rFonts w:cs="Segoe UI"/>
                <w:szCs w:val="16"/>
              </w:rPr>
            </w:pPr>
            <w:r w:rsidRPr="009E06AA">
              <w:rPr>
                <w:szCs w:val="16"/>
              </w:rPr>
              <w:t>Modelled through allometric equations, then included in national yield tables </w:t>
            </w:r>
          </w:p>
        </w:tc>
        <w:tc>
          <w:tcPr>
            <w:tcW w:w="1276" w:type="dxa"/>
            <w:tcBorders>
              <w:left w:val="nil"/>
              <w:right w:val="nil"/>
            </w:tcBorders>
            <w:tcMar>
              <w:top w:w="0" w:type="dxa"/>
              <w:left w:w="108" w:type="dxa"/>
              <w:bottom w:w="0" w:type="dxa"/>
              <w:right w:w="28" w:type="dxa"/>
            </w:tcMar>
          </w:tcPr>
          <w:p w14:paraId="1FD36168" w14:textId="77777777" w:rsidR="00053418" w:rsidRPr="009E06AA" w:rsidRDefault="00053418" w:rsidP="00B55F24">
            <w:pPr>
              <w:pStyle w:val="TableText"/>
              <w:keepNext/>
              <w:spacing w:before="40" w:after="40"/>
              <w:rPr>
                <w:szCs w:val="16"/>
              </w:rPr>
            </w:pPr>
            <w:r w:rsidRPr="009E06AA">
              <w:rPr>
                <w:szCs w:val="16"/>
              </w:rPr>
              <w:t>Estimated as the ratio of below-ground biomass to above-ground biomass </w:t>
            </w:r>
          </w:p>
        </w:tc>
        <w:tc>
          <w:tcPr>
            <w:tcW w:w="1301" w:type="dxa"/>
            <w:tcBorders>
              <w:left w:val="nil"/>
              <w:right w:val="nil"/>
            </w:tcBorders>
            <w:tcMar>
              <w:top w:w="0" w:type="dxa"/>
              <w:left w:w="108" w:type="dxa"/>
              <w:bottom w:w="0" w:type="dxa"/>
              <w:right w:w="28" w:type="dxa"/>
            </w:tcMar>
          </w:tcPr>
          <w:p w14:paraId="0B4C8A4F" w14:textId="77777777" w:rsidR="00053418" w:rsidRPr="009E06AA" w:rsidRDefault="00053418" w:rsidP="00B55F24">
            <w:pPr>
              <w:pStyle w:val="TableText"/>
              <w:keepNext/>
              <w:spacing w:before="40" w:after="40"/>
              <w:rPr>
                <w:rFonts w:cs="Segoe UI"/>
                <w:szCs w:val="16"/>
              </w:rPr>
            </w:pPr>
            <w:r w:rsidRPr="009E06AA">
              <w:rPr>
                <w:szCs w:val="16"/>
              </w:rPr>
              <w:t>Allometric model using plot measurements, included in national yield tables. Harvest residues added to dead wood pool through CRA</w:t>
            </w:r>
          </w:p>
        </w:tc>
        <w:tc>
          <w:tcPr>
            <w:tcW w:w="1251" w:type="dxa"/>
            <w:tcBorders>
              <w:left w:val="nil"/>
            </w:tcBorders>
            <w:tcMar>
              <w:top w:w="0" w:type="dxa"/>
              <w:left w:w="108" w:type="dxa"/>
              <w:bottom w:w="0" w:type="dxa"/>
              <w:right w:w="28" w:type="dxa"/>
            </w:tcMar>
          </w:tcPr>
          <w:p w14:paraId="12629CAB" w14:textId="77777777" w:rsidR="00053418" w:rsidRPr="009E06AA" w:rsidRDefault="00053418" w:rsidP="00B55F24">
            <w:pPr>
              <w:pStyle w:val="TableText"/>
              <w:keepNext/>
              <w:spacing w:before="40" w:after="40"/>
              <w:rPr>
                <w:rFonts w:cs="Segoe UI"/>
                <w:szCs w:val="16"/>
              </w:rPr>
            </w:pPr>
            <w:r w:rsidRPr="009E06AA">
              <w:rPr>
                <w:szCs w:val="16"/>
              </w:rPr>
              <w:t>Allometric model and percentage of above-ground biomass </w:t>
            </w:r>
          </w:p>
        </w:tc>
        <w:tc>
          <w:tcPr>
            <w:tcW w:w="1134" w:type="dxa"/>
          </w:tcPr>
          <w:p w14:paraId="6C2106CA" w14:textId="77777777" w:rsidR="00053418" w:rsidRPr="009E06AA" w:rsidRDefault="00053418" w:rsidP="00B55F24">
            <w:pPr>
              <w:pStyle w:val="TableText"/>
              <w:keepNext/>
              <w:spacing w:before="40" w:after="40"/>
              <w:rPr>
                <w:rFonts w:cs="Segoe UI"/>
                <w:szCs w:val="16"/>
              </w:rPr>
            </w:pPr>
            <w:r w:rsidRPr="009E06AA">
              <w:rPr>
                <w:rFonts w:cs="Segoe UI"/>
                <w:szCs w:val="16"/>
              </w:rPr>
              <w:t>Tier 2, country-specific data and model</w:t>
            </w:r>
          </w:p>
        </w:tc>
        <w:tc>
          <w:tcPr>
            <w:tcW w:w="1158" w:type="dxa"/>
          </w:tcPr>
          <w:p w14:paraId="4A0E55D7" w14:textId="77777777" w:rsidR="00053418" w:rsidRPr="009E06AA" w:rsidRDefault="00053418" w:rsidP="00B55F24">
            <w:pPr>
              <w:pStyle w:val="TableText"/>
              <w:keepNext/>
              <w:spacing w:before="40" w:after="40"/>
              <w:rPr>
                <w:rFonts w:cs="Segoe UI"/>
                <w:szCs w:val="16"/>
              </w:rPr>
            </w:pPr>
            <w:r w:rsidRPr="009E06AA">
              <w:rPr>
                <w:rFonts w:cs="Segoe UI"/>
                <w:szCs w:val="16"/>
              </w:rPr>
              <w:t>IPCC Tier 1 default parameters</w:t>
            </w:r>
          </w:p>
        </w:tc>
      </w:tr>
      <w:tr w:rsidR="00053418" w:rsidRPr="009E06AA" w14:paraId="003321BE" w14:textId="77777777" w:rsidTr="00B55F24">
        <w:tc>
          <w:tcPr>
            <w:tcW w:w="1109" w:type="dxa"/>
          </w:tcPr>
          <w:p w14:paraId="4E4094CB" w14:textId="77777777" w:rsidR="00053418" w:rsidRPr="009E06AA" w:rsidRDefault="00053418" w:rsidP="00B55F24">
            <w:pPr>
              <w:pStyle w:val="TableText"/>
              <w:spacing w:before="40" w:after="40"/>
              <w:rPr>
                <w:szCs w:val="16"/>
              </w:rPr>
            </w:pPr>
            <w:r w:rsidRPr="009E06AA">
              <w:rPr>
                <w:szCs w:val="16"/>
              </w:rPr>
              <w:t>Cropland –annual</w:t>
            </w:r>
          </w:p>
        </w:tc>
        <w:tc>
          <w:tcPr>
            <w:tcW w:w="1276" w:type="dxa"/>
            <w:tcBorders>
              <w:bottom w:val="single" w:sz="4" w:space="0" w:color="1B556B" w:themeColor="text2"/>
              <w:right w:val="nil"/>
            </w:tcBorders>
            <w:tcMar>
              <w:top w:w="0" w:type="dxa"/>
              <w:left w:w="108" w:type="dxa"/>
              <w:bottom w:w="0" w:type="dxa"/>
              <w:right w:w="28" w:type="dxa"/>
            </w:tcMar>
          </w:tcPr>
          <w:p w14:paraId="1E9920D1" w14:textId="77777777" w:rsidR="00053418" w:rsidRPr="009E06AA" w:rsidRDefault="00053418" w:rsidP="00B55F24">
            <w:pPr>
              <w:pStyle w:val="TableText"/>
              <w:spacing w:before="40" w:after="40"/>
              <w:rPr>
                <w:szCs w:val="16"/>
              </w:rPr>
            </w:pPr>
            <w:r w:rsidRPr="009E06AA">
              <w:rPr>
                <w:szCs w:val="16"/>
              </w:rPr>
              <w:t>IPCC Tier 1 default parameters</w:t>
            </w:r>
          </w:p>
        </w:tc>
        <w:tc>
          <w:tcPr>
            <w:tcW w:w="1276" w:type="dxa"/>
            <w:tcBorders>
              <w:left w:val="nil"/>
              <w:bottom w:val="single" w:sz="4" w:space="0" w:color="1B556B" w:themeColor="text2"/>
              <w:right w:val="nil"/>
            </w:tcBorders>
            <w:tcMar>
              <w:top w:w="0" w:type="dxa"/>
              <w:left w:w="108" w:type="dxa"/>
              <w:bottom w:w="0" w:type="dxa"/>
              <w:right w:w="28" w:type="dxa"/>
            </w:tcMar>
          </w:tcPr>
          <w:p w14:paraId="738CA912" w14:textId="77777777" w:rsidR="00053418" w:rsidRPr="009E06AA" w:rsidRDefault="00053418" w:rsidP="00B55F24">
            <w:pPr>
              <w:pStyle w:val="TableText"/>
              <w:spacing w:before="40" w:after="40"/>
              <w:rPr>
                <w:szCs w:val="16"/>
              </w:rPr>
            </w:pPr>
            <w:r w:rsidRPr="009E06AA">
              <w:rPr>
                <w:szCs w:val="16"/>
              </w:rPr>
              <w:t>IPCC Tier 1 default parameters (NE)</w:t>
            </w:r>
          </w:p>
        </w:tc>
        <w:tc>
          <w:tcPr>
            <w:tcW w:w="1301" w:type="dxa"/>
            <w:tcBorders>
              <w:left w:val="nil"/>
              <w:bottom w:val="single" w:sz="4" w:space="0" w:color="1B556B" w:themeColor="text2"/>
              <w:right w:val="nil"/>
            </w:tcBorders>
            <w:tcMar>
              <w:top w:w="0" w:type="dxa"/>
              <w:left w:w="108" w:type="dxa"/>
              <w:bottom w:w="0" w:type="dxa"/>
              <w:right w:w="28" w:type="dxa"/>
            </w:tcMar>
          </w:tcPr>
          <w:p w14:paraId="763F0BC0" w14:textId="77777777" w:rsidR="00053418" w:rsidRPr="009E06AA" w:rsidRDefault="00053418" w:rsidP="00B55F24">
            <w:pPr>
              <w:pStyle w:val="TableText"/>
              <w:spacing w:before="40" w:after="40"/>
              <w:rPr>
                <w:szCs w:val="16"/>
              </w:rPr>
            </w:pPr>
            <w:r w:rsidRPr="009E06AA">
              <w:rPr>
                <w:szCs w:val="16"/>
              </w:rPr>
              <w:t>Tier 2, country-specific data and model</w:t>
            </w:r>
          </w:p>
        </w:tc>
        <w:tc>
          <w:tcPr>
            <w:tcW w:w="1251" w:type="dxa"/>
            <w:tcBorders>
              <w:left w:val="nil"/>
              <w:bottom w:val="single" w:sz="4" w:space="0" w:color="1B556B" w:themeColor="text2"/>
            </w:tcBorders>
            <w:tcMar>
              <w:top w:w="0" w:type="dxa"/>
              <w:left w:w="108" w:type="dxa"/>
              <w:bottom w:w="0" w:type="dxa"/>
              <w:right w:w="28" w:type="dxa"/>
            </w:tcMar>
          </w:tcPr>
          <w:p w14:paraId="6BB2BA76" w14:textId="77777777" w:rsidR="00053418" w:rsidRPr="009E06AA" w:rsidRDefault="00053418" w:rsidP="00B55F24">
            <w:pPr>
              <w:pStyle w:val="TableText"/>
              <w:spacing w:before="40" w:after="40"/>
              <w:rPr>
                <w:szCs w:val="16"/>
              </w:rPr>
            </w:pPr>
            <w:r w:rsidRPr="009E06AA">
              <w:rPr>
                <w:szCs w:val="16"/>
              </w:rPr>
              <w:t>IPCC Tier 1 default parameters</w:t>
            </w:r>
          </w:p>
        </w:tc>
        <w:tc>
          <w:tcPr>
            <w:tcW w:w="1134" w:type="dxa"/>
          </w:tcPr>
          <w:p w14:paraId="42A8287E" w14:textId="77777777" w:rsidR="00053418" w:rsidRPr="009E06AA" w:rsidRDefault="00053418" w:rsidP="00B55F24">
            <w:pPr>
              <w:pStyle w:val="TableText"/>
              <w:spacing w:before="40" w:after="40"/>
              <w:rPr>
                <w:szCs w:val="16"/>
              </w:rPr>
            </w:pPr>
          </w:p>
        </w:tc>
        <w:tc>
          <w:tcPr>
            <w:tcW w:w="1158" w:type="dxa"/>
          </w:tcPr>
          <w:p w14:paraId="48264BB4" w14:textId="77777777" w:rsidR="00053418" w:rsidRPr="009E06AA" w:rsidRDefault="00053418" w:rsidP="00B55F24">
            <w:pPr>
              <w:pStyle w:val="TableText"/>
              <w:spacing w:before="40" w:after="40"/>
              <w:rPr>
                <w:szCs w:val="16"/>
              </w:rPr>
            </w:pPr>
          </w:p>
        </w:tc>
      </w:tr>
      <w:tr w:rsidR="00053418" w:rsidRPr="009E06AA" w14:paraId="2B4A46EA" w14:textId="77777777" w:rsidTr="00B55F24">
        <w:tc>
          <w:tcPr>
            <w:tcW w:w="1109" w:type="dxa"/>
            <w:hideMark/>
          </w:tcPr>
          <w:p w14:paraId="44A23856" w14:textId="77777777" w:rsidR="00053418" w:rsidRPr="009E06AA" w:rsidRDefault="00053418" w:rsidP="00B55F24">
            <w:pPr>
              <w:pStyle w:val="TableText"/>
              <w:spacing w:before="40" w:after="40"/>
              <w:rPr>
                <w:rFonts w:cs="Segoe UI"/>
                <w:szCs w:val="16"/>
              </w:rPr>
            </w:pPr>
            <w:r w:rsidRPr="009E06AA">
              <w:rPr>
                <w:rFonts w:cs="Segoe UI"/>
                <w:szCs w:val="16"/>
              </w:rPr>
              <w:t>Cropland – perennial</w:t>
            </w:r>
          </w:p>
        </w:tc>
        <w:tc>
          <w:tcPr>
            <w:tcW w:w="2552" w:type="dxa"/>
            <w:gridSpan w:val="2"/>
            <w:tcBorders>
              <w:right w:val="nil"/>
            </w:tcBorders>
            <w:hideMark/>
          </w:tcPr>
          <w:p w14:paraId="1E580B92" w14:textId="77777777" w:rsidR="00053418" w:rsidRPr="009E06AA" w:rsidRDefault="00053418" w:rsidP="00B55F24">
            <w:pPr>
              <w:pStyle w:val="TableText"/>
              <w:spacing w:before="40" w:after="40"/>
              <w:rPr>
                <w:rFonts w:cs="Segoe UI"/>
                <w:szCs w:val="16"/>
              </w:rPr>
            </w:pPr>
            <w:r w:rsidRPr="009E06AA">
              <w:rPr>
                <w:rFonts w:cs="Segoe UI"/>
                <w:szCs w:val="16"/>
              </w:rPr>
              <w:t>Country-specific emission factor</w:t>
            </w:r>
          </w:p>
        </w:tc>
        <w:tc>
          <w:tcPr>
            <w:tcW w:w="2552" w:type="dxa"/>
            <w:gridSpan w:val="2"/>
            <w:tcBorders>
              <w:left w:val="nil"/>
            </w:tcBorders>
            <w:hideMark/>
          </w:tcPr>
          <w:p w14:paraId="32C0971D" w14:textId="77777777" w:rsidR="00053418" w:rsidRPr="009E06AA" w:rsidRDefault="00053418" w:rsidP="00B55F24">
            <w:pPr>
              <w:pStyle w:val="TableText"/>
              <w:spacing w:before="40" w:after="40"/>
              <w:rPr>
                <w:rFonts w:cs="Segoe UI"/>
                <w:szCs w:val="16"/>
              </w:rPr>
            </w:pPr>
            <w:r w:rsidRPr="009E06AA">
              <w:rPr>
                <w:rFonts w:cs="Segoe UI"/>
                <w:szCs w:val="16"/>
              </w:rPr>
              <w:t>IPCC Tier 1 default parameters (NE)</w:t>
            </w:r>
          </w:p>
        </w:tc>
        <w:tc>
          <w:tcPr>
            <w:tcW w:w="1134" w:type="dxa"/>
            <w:hideMark/>
          </w:tcPr>
          <w:p w14:paraId="2171FA6B" w14:textId="77777777" w:rsidR="00053418" w:rsidRPr="009E06AA" w:rsidRDefault="00053418" w:rsidP="00B55F24">
            <w:pPr>
              <w:pStyle w:val="TableText"/>
              <w:spacing w:before="40" w:after="40"/>
              <w:rPr>
                <w:rFonts w:cs="Segoe UI"/>
                <w:szCs w:val="16"/>
              </w:rPr>
            </w:pPr>
            <w:r w:rsidRPr="009E06AA">
              <w:rPr>
                <w:rFonts w:cs="Segoe UI"/>
                <w:szCs w:val="16"/>
              </w:rPr>
              <w:t>Tier 2, country-specific data and model</w:t>
            </w:r>
          </w:p>
        </w:tc>
        <w:tc>
          <w:tcPr>
            <w:tcW w:w="1158" w:type="dxa"/>
            <w:hideMark/>
          </w:tcPr>
          <w:p w14:paraId="2CA0AE45" w14:textId="77777777" w:rsidR="00053418" w:rsidRPr="009E06AA" w:rsidRDefault="00053418" w:rsidP="00B55F24">
            <w:pPr>
              <w:pStyle w:val="TableText"/>
              <w:spacing w:before="40" w:after="40"/>
              <w:rPr>
                <w:rFonts w:cs="Segoe UI"/>
                <w:szCs w:val="16"/>
              </w:rPr>
            </w:pPr>
            <w:r w:rsidRPr="009E06AA">
              <w:rPr>
                <w:rFonts w:cs="Segoe UI"/>
                <w:szCs w:val="16"/>
              </w:rPr>
              <w:t>IPCC Tier 1 default parameters</w:t>
            </w:r>
          </w:p>
        </w:tc>
      </w:tr>
      <w:tr w:rsidR="00053418" w:rsidRPr="009E06AA" w14:paraId="649F12F2" w14:textId="77777777" w:rsidTr="00B55F24">
        <w:tc>
          <w:tcPr>
            <w:tcW w:w="1109" w:type="dxa"/>
            <w:hideMark/>
          </w:tcPr>
          <w:p w14:paraId="5B8F3B2D" w14:textId="77777777" w:rsidR="00053418" w:rsidRPr="009E06AA" w:rsidRDefault="00053418" w:rsidP="00B55F24">
            <w:pPr>
              <w:pStyle w:val="TableText"/>
              <w:spacing w:before="40" w:after="40"/>
              <w:rPr>
                <w:rFonts w:cs="Segoe UI"/>
                <w:szCs w:val="16"/>
              </w:rPr>
            </w:pPr>
            <w:r w:rsidRPr="009E06AA">
              <w:rPr>
                <w:rFonts w:cs="Segoe UI"/>
                <w:szCs w:val="16"/>
              </w:rPr>
              <w:t>Grassland (high and low producing)</w:t>
            </w:r>
          </w:p>
        </w:tc>
        <w:tc>
          <w:tcPr>
            <w:tcW w:w="2552" w:type="dxa"/>
            <w:gridSpan w:val="2"/>
            <w:tcBorders>
              <w:right w:val="nil"/>
            </w:tcBorders>
            <w:hideMark/>
          </w:tcPr>
          <w:p w14:paraId="20DE01B8" w14:textId="77777777" w:rsidR="00053418" w:rsidRPr="009E06AA" w:rsidRDefault="00053418" w:rsidP="00B55F24">
            <w:pPr>
              <w:pStyle w:val="TableText"/>
              <w:spacing w:before="40" w:after="40"/>
              <w:rPr>
                <w:rFonts w:cs="Segoe UI"/>
                <w:szCs w:val="16"/>
              </w:rPr>
            </w:pPr>
            <w:r w:rsidRPr="009E06AA">
              <w:rPr>
                <w:rFonts w:cs="Segoe UI"/>
                <w:szCs w:val="16"/>
              </w:rPr>
              <w:t>IPCC Tier 1 default parameters</w:t>
            </w:r>
          </w:p>
        </w:tc>
        <w:tc>
          <w:tcPr>
            <w:tcW w:w="2552" w:type="dxa"/>
            <w:gridSpan w:val="2"/>
            <w:tcBorders>
              <w:left w:val="nil"/>
            </w:tcBorders>
            <w:hideMark/>
          </w:tcPr>
          <w:p w14:paraId="7FF4B78C" w14:textId="77777777" w:rsidR="00053418" w:rsidRPr="009E06AA" w:rsidRDefault="00053418" w:rsidP="00B55F24">
            <w:pPr>
              <w:pStyle w:val="TableText"/>
              <w:spacing w:before="40" w:after="40"/>
              <w:rPr>
                <w:rFonts w:cs="Segoe UI"/>
                <w:szCs w:val="16"/>
              </w:rPr>
            </w:pPr>
            <w:r w:rsidRPr="009E06AA">
              <w:rPr>
                <w:rFonts w:cs="Segoe UI"/>
                <w:szCs w:val="16"/>
              </w:rPr>
              <w:t>IPCC Tier 1 default parameters (NE)</w:t>
            </w:r>
          </w:p>
        </w:tc>
        <w:tc>
          <w:tcPr>
            <w:tcW w:w="1134" w:type="dxa"/>
            <w:hideMark/>
          </w:tcPr>
          <w:p w14:paraId="6A326F8A" w14:textId="77777777" w:rsidR="00053418" w:rsidRPr="009E06AA" w:rsidRDefault="00053418" w:rsidP="00B55F24">
            <w:pPr>
              <w:pStyle w:val="TableText"/>
              <w:spacing w:before="40" w:after="40"/>
              <w:rPr>
                <w:rFonts w:cs="Segoe UI"/>
                <w:szCs w:val="16"/>
              </w:rPr>
            </w:pPr>
            <w:r w:rsidRPr="009E06AA">
              <w:rPr>
                <w:rFonts w:cs="Segoe UI"/>
                <w:szCs w:val="16"/>
              </w:rPr>
              <w:t>Tier 2, country-specific data and model</w:t>
            </w:r>
          </w:p>
        </w:tc>
        <w:tc>
          <w:tcPr>
            <w:tcW w:w="1158" w:type="dxa"/>
            <w:hideMark/>
          </w:tcPr>
          <w:p w14:paraId="2BEE00BD" w14:textId="77777777" w:rsidR="00053418" w:rsidRPr="009E06AA" w:rsidRDefault="00053418" w:rsidP="00B55F24">
            <w:pPr>
              <w:pStyle w:val="TableText"/>
              <w:spacing w:before="40" w:after="40"/>
              <w:rPr>
                <w:rFonts w:cs="Segoe UI"/>
                <w:szCs w:val="16"/>
              </w:rPr>
            </w:pPr>
            <w:r w:rsidRPr="009E06AA">
              <w:rPr>
                <w:rFonts w:cs="Segoe UI"/>
                <w:szCs w:val="16"/>
              </w:rPr>
              <w:t>IPCC Tier 1 default parameters</w:t>
            </w:r>
          </w:p>
        </w:tc>
      </w:tr>
      <w:tr w:rsidR="00053418" w:rsidRPr="009E06AA" w14:paraId="382F088F" w14:textId="77777777" w:rsidTr="00B55F24">
        <w:tc>
          <w:tcPr>
            <w:tcW w:w="1109" w:type="dxa"/>
            <w:hideMark/>
          </w:tcPr>
          <w:p w14:paraId="45A6C846" w14:textId="77777777" w:rsidR="00053418" w:rsidRPr="009E06AA" w:rsidRDefault="00053418" w:rsidP="00B55F24">
            <w:pPr>
              <w:pStyle w:val="TableText"/>
              <w:spacing w:before="40" w:after="40"/>
              <w:rPr>
                <w:rFonts w:cs="Segoe UI"/>
                <w:szCs w:val="16"/>
              </w:rPr>
            </w:pPr>
            <w:r w:rsidRPr="009E06AA">
              <w:rPr>
                <w:rFonts w:cs="Segoe UI"/>
                <w:szCs w:val="16"/>
              </w:rPr>
              <w:t xml:space="preserve">Grassland with woody biomass – transitional </w:t>
            </w:r>
          </w:p>
        </w:tc>
        <w:tc>
          <w:tcPr>
            <w:tcW w:w="5104" w:type="dxa"/>
            <w:gridSpan w:val="4"/>
            <w:hideMark/>
          </w:tcPr>
          <w:p w14:paraId="2A5DF0A9" w14:textId="77777777" w:rsidR="00053418" w:rsidRPr="009E06AA" w:rsidRDefault="00053418" w:rsidP="00B55F24">
            <w:pPr>
              <w:pStyle w:val="TableText"/>
              <w:spacing w:before="40" w:after="40"/>
              <w:rPr>
                <w:rFonts w:cs="Segoe UI"/>
                <w:szCs w:val="16"/>
              </w:rPr>
            </w:pPr>
            <w:r w:rsidRPr="009E06AA">
              <w:rPr>
                <w:rFonts w:cs="Segoe UI"/>
                <w:szCs w:val="16"/>
              </w:rPr>
              <w:t>Country-specific emission factor</w:t>
            </w:r>
          </w:p>
        </w:tc>
        <w:tc>
          <w:tcPr>
            <w:tcW w:w="1134" w:type="dxa"/>
            <w:hideMark/>
          </w:tcPr>
          <w:p w14:paraId="70E644F4" w14:textId="77777777" w:rsidR="00053418" w:rsidRPr="009E06AA" w:rsidRDefault="00053418" w:rsidP="00B55F24">
            <w:pPr>
              <w:pStyle w:val="TableText"/>
              <w:spacing w:before="40" w:after="40"/>
              <w:rPr>
                <w:rFonts w:cs="Segoe UI"/>
                <w:szCs w:val="16"/>
              </w:rPr>
            </w:pPr>
            <w:r w:rsidRPr="009E06AA">
              <w:rPr>
                <w:rFonts w:cs="Segoe UI"/>
                <w:szCs w:val="16"/>
              </w:rPr>
              <w:t>Tier 2, country-specific data and model</w:t>
            </w:r>
          </w:p>
        </w:tc>
        <w:tc>
          <w:tcPr>
            <w:tcW w:w="1158" w:type="dxa"/>
            <w:hideMark/>
          </w:tcPr>
          <w:p w14:paraId="4CF0425F" w14:textId="77777777" w:rsidR="00053418" w:rsidRPr="009E06AA" w:rsidRDefault="00053418" w:rsidP="00B55F24">
            <w:pPr>
              <w:pStyle w:val="TableText"/>
              <w:spacing w:before="40" w:after="40"/>
              <w:rPr>
                <w:rFonts w:cs="Segoe UI"/>
                <w:szCs w:val="16"/>
              </w:rPr>
            </w:pPr>
            <w:r w:rsidRPr="009E06AA">
              <w:rPr>
                <w:rFonts w:cs="Segoe UI"/>
                <w:szCs w:val="16"/>
              </w:rPr>
              <w:t>IPCC Tier 1 default parameters</w:t>
            </w:r>
          </w:p>
        </w:tc>
      </w:tr>
      <w:tr w:rsidR="00053418" w:rsidRPr="009E06AA" w14:paraId="6CD76BF2" w14:textId="77777777" w:rsidTr="00B55F24">
        <w:tc>
          <w:tcPr>
            <w:tcW w:w="1109" w:type="dxa"/>
          </w:tcPr>
          <w:p w14:paraId="7F682BD0" w14:textId="77777777" w:rsidR="00053418" w:rsidRPr="009E06AA" w:rsidRDefault="00053418" w:rsidP="00B55F24">
            <w:pPr>
              <w:pStyle w:val="TableText"/>
              <w:spacing w:before="40" w:after="40"/>
              <w:rPr>
                <w:rFonts w:cs="Segoe UI"/>
                <w:szCs w:val="16"/>
              </w:rPr>
            </w:pPr>
            <w:r w:rsidRPr="009E06AA">
              <w:rPr>
                <w:rFonts w:cs="Segoe UI"/>
                <w:szCs w:val="16"/>
              </w:rPr>
              <w:t>Grassland with woody biomass –permanent</w:t>
            </w:r>
          </w:p>
        </w:tc>
        <w:tc>
          <w:tcPr>
            <w:tcW w:w="5104" w:type="dxa"/>
            <w:gridSpan w:val="4"/>
          </w:tcPr>
          <w:p w14:paraId="5A65D0E8" w14:textId="77777777" w:rsidR="00053418" w:rsidRPr="009E06AA" w:rsidRDefault="00053418" w:rsidP="00B55F24">
            <w:pPr>
              <w:pStyle w:val="TableText"/>
              <w:spacing w:before="40" w:after="40"/>
              <w:rPr>
                <w:rFonts w:cs="Segoe UI"/>
                <w:szCs w:val="16"/>
              </w:rPr>
            </w:pPr>
            <w:r w:rsidRPr="009E06AA">
              <w:rPr>
                <w:rFonts w:cs="Segoe UI"/>
                <w:szCs w:val="16"/>
              </w:rPr>
              <w:t>Country-specific emission factor</w:t>
            </w:r>
          </w:p>
        </w:tc>
        <w:tc>
          <w:tcPr>
            <w:tcW w:w="1134" w:type="dxa"/>
          </w:tcPr>
          <w:p w14:paraId="0F0C4859" w14:textId="77777777" w:rsidR="00053418" w:rsidRPr="009E06AA" w:rsidRDefault="00053418" w:rsidP="00B55F24">
            <w:pPr>
              <w:pStyle w:val="TableText"/>
              <w:spacing w:before="40" w:after="40"/>
              <w:rPr>
                <w:rFonts w:cs="Segoe UI"/>
                <w:szCs w:val="16"/>
              </w:rPr>
            </w:pPr>
            <w:r w:rsidRPr="009E06AA">
              <w:rPr>
                <w:rFonts w:cs="Segoe UI"/>
                <w:szCs w:val="16"/>
              </w:rPr>
              <w:t>Tier 2, country-specific data and model</w:t>
            </w:r>
          </w:p>
        </w:tc>
        <w:tc>
          <w:tcPr>
            <w:tcW w:w="1158" w:type="dxa"/>
          </w:tcPr>
          <w:p w14:paraId="65403FAB" w14:textId="77777777" w:rsidR="00053418" w:rsidRPr="009E06AA" w:rsidRDefault="00053418" w:rsidP="00B55F24">
            <w:pPr>
              <w:pStyle w:val="TableText"/>
              <w:spacing w:before="40" w:after="40"/>
              <w:rPr>
                <w:rFonts w:cs="Segoe UI"/>
                <w:szCs w:val="16"/>
              </w:rPr>
            </w:pPr>
            <w:r w:rsidRPr="009E06AA">
              <w:rPr>
                <w:rFonts w:cs="Segoe UI"/>
                <w:szCs w:val="16"/>
              </w:rPr>
              <w:t>IPCC Tier 1 default parameters</w:t>
            </w:r>
          </w:p>
        </w:tc>
      </w:tr>
      <w:tr w:rsidR="00053418" w:rsidRPr="009E06AA" w14:paraId="04B29285" w14:textId="77777777" w:rsidTr="00B55F24">
        <w:tc>
          <w:tcPr>
            <w:tcW w:w="1109" w:type="dxa"/>
            <w:hideMark/>
          </w:tcPr>
          <w:p w14:paraId="1F55012D" w14:textId="77777777" w:rsidR="00053418" w:rsidRPr="009E06AA" w:rsidRDefault="00053418" w:rsidP="00B55F24">
            <w:pPr>
              <w:pStyle w:val="TableText"/>
              <w:spacing w:before="40" w:after="40"/>
              <w:rPr>
                <w:rFonts w:cs="Segoe UI"/>
                <w:szCs w:val="16"/>
              </w:rPr>
            </w:pPr>
            <w:r w:rsidRPr="009E06AA">
              <w:rPr>
                <w:rFonts w:cs="Segoe UI"/>
                <w:szCs w:val="16"/>
              </w:rPr>
              <w:t>Wetlands – open water</w:t>
            </w:r>
          </w:p>
        </w:tc>
        <w:tc>
          <w:tcPr>
            <w:tcW w:w="5104" w:type="dxa"/>
            <w:gridSpan w:val="4"/>
            <w:tcBorders>
              <w:bottom w:val="single" w:sz="4" w:space="0" w:color="1B556B" w:themeColor="text2"/>
            </w:tcBorders>
            <w:hideMark/>
          </w:tcPr>
          <w:p w14:paraId="1B1AE24F" w14:textId="77777777" w:rsidR="00053418" w:rsidRPr="009E06AA" w:rsidRDefault="00053418" w:rsidP="00B55F24">
            <w:pPr>
              <w:pStyle w:val="TableText"/>
              <w:spacing w:before="40" w:after="40"/>
              <w:rPr>
                <w:rFonts w:cs="Segoe UI"/>
                <w:szCs w:val="16"/>
              </w:rPr>
            </w:pPr>
            <w:r w:rsidRPr="009E06AA">
              <w:rPr>
                <w:rFonts w:cs="Segoe UI"/>
                <w:szCs w:val="16"/>
              </w:rPr>
              <w:t>IPCC Tier 1 default parameters (NE)</w:t>
            </w:r>
          </w:p>
        </w:tc>
        <w:tc>
          <w:tcPr>
            <w:tcW w:w="1134" w:type="dxa"/>
            <w:hideMark/>
          </w:tcPr>
          <w:p w14:paraId="7168A4B2" w14:textId="77777777" w:rsidR="00053418" w:rsidRPr="009E06AA" w:rsidRDefault="00053418" w:rsidP="00B55F24">
            <w:pPr>
              <w:pStyle w:val="TableText"/>
              <w:spacing w:before="40" w:after="40"/>
              <w:rPr>
                <w:rFonts w:cs="Segoe UI"/>
                <w:szCs w:val="16"/>
              </w:rPr>
            </w:pPr>
            <w:r w:rsidRPr="009E06AA">
              <w:rPr>
                <w:rFonts w:cs="Segoe UI"/>
                <w:szCs w:val="16"/>
              </w:rPr>
              <w:t>Tier 2, country-specific data and model</w:t>
            </w:r>
          </w:p>
        </w:tc>
        <w:tc>
          <w:tcPr>
            <w:tcW w:w="1158" w:type="dxa"/>
            <w:hideMark/>
          </w:tcPr>
          <w:p w14:paraId="5683431D" w14:textId="77777777" w:rsidR="00053418" w:rsidRPr="009E06AA" w:rsidRDefault="00053418" w:rsidP="00B55F24">
            <w:pPr>
              <w:pStyle w:val="TableText"/>
              <w:spacing w:before="40" w:after="40"/>
              <w:rPr>
                <w:rFonts w:cs="Segoe UI"/>
                <w:szCs w:val="16"/>
              </w:rPr>
            </w:pPr>
            <w:r w:rsidRPr="009E06AA">
              <w:rPr>
                <w:rFonts w:cs="Segoe UI"/>
                <w:szCs w:val="16"/>
              </w:rPr>
              <w:t xml:space="preserve">IPCC Tier 1 default parameters </w:t>
            </w:r>
          </w:p>
        </w:tc>
      </w:tr>
      <w:tr w:rsidR="00053418" w:rsidRPr="009E06AA" w14:paraId="37A40577" w14:textId="77777777" w:rsidTr="00B55F24">
        <w:tc>
          <w:tcPr>
            <w:tcW w:w="1109" w:type="dxa"/>
          </w:tcPr>
          <w:p w14:paraId="51ABA9C5" w14:textId="77777777" w:rsidR="00053418" w:rsidRPr="009E06AA" w:rsidRDefault="00053418" w:rsidP="00B55F24">
            <w:pPr>
              <w:pStyle w:val="TableText"/>
              <w:spacing w:before="40" w:after="40"/>
              <w:rPr>
                <w:rFonts w:cs="Segoe UI"/>
                <w:szCs w:val="16"/>
              </w:rPr>
            </w:pPr>
            <w:r w:rsidRPr="009E06AA">
              <w:rPr>
                <w:rFonts w:cs="Segoe UI"/>
                <w:szCs w:val="16"/>
              </w:rPr>
              <w:t xml:space="preserve">Wetlands – vegetated </w:t>
            </w:r>
          </w:p>
        </w:tc>
        <w:tc>
          <w:tcPr>
            <w:tcW w:w="2552" w:type="dxa"/>
            <w:gridSpan w:val="2"/>
            <w:tcBorders>
              <w:right w:val="nil"/>
            </w:tcBorders>
          </w:tcPr>
          <w:p w14:paraId="419CBFE9" w14:textId="77777777" w:rsidR="00053418" w:rsidRPr="009E06AA" w:rsidRDefault="00053418" w:rsidP="00B55F24">
            <w:pPr>
              <w:pStyle w:val="TableText"/>
              <w:spacing w:before="40" w:after="40"/>
              <w:rPr>
                <w:rFonts w:cs="Segoe UI"/>
                <w:szCs w:val="16"/>
              </w:rPr>
            </w:pPr>
            <w:r w:rsidRPr="009E06AA">
              <w:rPr>
                <w:rFonts w:cs="Segoe UI"/>
                <w:szCs w:val="16"/>
              </w:rPr>
              <w:t>Country-specific emission factor</w:t>
            </w:r>
            <w:r w:rsidRPr="009E06AA" w:rsidDel="00DB0C80">
              <w:rPr>
                <w:rFonts w:cs="Segoe UI"/>
                <w:szCs w:val="16"/>
              </w:rPr>
              <w:t xml:space="preserve"> </w:t>
            </w:r>
          </w:p>
        </w:tc>
        <w:tc>
          <w:tcPr>
            <w:tcW w:w="2552" w:type="dxa"/>
            <w:gridSpan w:val="2"/>
            <w:tcBorders>
              <w:left w:val="nil"/>
            </w:tcBorders>
          </w:tcPr>
          <w:p w14:paraId="357B2337" w14:textId="77777777" w:rsidR="00053418" w:rsidRPr="009E06AA" w:rsidRDefault="00053418" w:rsidP="00B55F24">
            <w:pPr>
              <w:pStyle w:val="TableText"/>
              <w:spacing w:before="40" w:after="40"/>
              <w:rPr>
                <w:rFonts w:cs="Segoe UI"/>
                <w:szCs w:val="16"/>
              </w:rPr>
            </w:pPr>
            <w:r w:rsidRPr="009E06AA">
              <w:rPr>
                <w:rFonts w:cs="Segoe UI"/>
                <w:szCs w:val="16"/>
              </w:rPr>
              <w:t>IPCC Tier 1 default parameters (NE)</w:t>
            </w:r>
          </w:p>
        </w:tc>
        <w:tc>
          <w:tcPr>
            <w:tcW w:w="1134" w:type="dxa"/>
          </w:tcPr>
          <w:p w14:paraId="5002B917" w14:textId="77777777" w:rsidR="00053418" w:rsidRPr="009E06AA" w:rsidRDefault="00053418" w:rsidP="00B55F24">
            <w:pPr>
              <w:pStyle w:val="TableText"/>
              <w:spacing w:before="40" w:after="40"/>
              <w:rPr>
                <w:rFonts w:cs="Segoe UI"/>
                <w:szCs w:val="16"/>
              </w:rPr>
            </w:pPr>
            <w:r w:rsidRPr="009E06AA">
              <w:rPr>
                <w:rFonts w:cs="Segoe UI"/>
                <w:szCs w:val="16"/>
              </w:rPr>
              <w:t>Tier 2, country-specific data and model</w:t>
            </w:r>
          </w:p>
        </w:tc>
        <w:tc>
          <w:tcPr>
            <w:tcW w:w="1215" w:type="dxa"/>
          </w:tcPr>
          <w:p w14:paraId="13838578" w14:textId="77777777" w:rsidR="00053418" w:rsidRPr="009E06AA" w:rsidRDefault="00053418" w:rsidP="00B55F24">
            <w:pPr>
              <w:pStyle w:val="TableText"/>
              <w:spacing w:before="40" w:after="40"/>
              <w:rPr>
                <w:rFonts w:cs="Segoe UI"/>
                <w:szCs w:val="16"/>
              </w:rPr>
            </w:pPr>
            <w:r w:rsidRPr="009E06AA">
              <w:rPr>
                <w:rFonts w:cs="Segoe UI"/>
                <w:szCs w:val="16"/>
              </w:rPr>
              <w:t xml:space="preserve">IPCC Tier 1 default parameters </w:t>
            </w:r>
          </w:p>
        </w:tc>
      </w:tr>
      <w:tr w:rsidR="00053418" w:rsidRPr="009E06AA" w14:paraId="4B3C0EEF" w14:textId="77777777" w:rsidTr="00B55F24">
        <w:tc>
          <w:tcPr>
            <w:tcW w:w="1109" w:type="dxa"/>
            <w:hideMark/>
          </w:tcPr>
          <w:p w14:paraId="2A727AE7" w14:textId="77777777" w:rsidR="00053418" w:rsidRPr="009E06AA" w:rsidRDefault="00053418" w:rsidP="00B55F24">
            <w:pPr>
              <w:pStyle w:val="TableText"/>
              <w:spacing w:before="40" w:after="40"/>
              <w:rPr>
                <w:rFonts w:cs="Segoe UI"/>
                <w:szCs w:val="16"/>
              </w:rPr>
            </w:pPr>
            <w:r w:rsidRPr="009E06AA">
              <w:rPr>
                <w:rFonts w:cs="Segoe UI"/>
                <w:szCs w:val="16"/>
              </w:rPr>
              <w:t>Settlements</w:t>
            </w:r>
          </w:p>
        </w:tc>
        <w:tc>
          <w:tcPr>
            <w:tcW w:w="5104" w:type="dxa"/>
            <w:gridSpan w:val="4"/>
            <w:hideMark/>
          </w:tcPr>
          <w:p w14:paraId="04E1AD23" w14:textId="77777777" w:rsidR="00053418" w:rsidRPr="009E06AA" w:rsidRDefault="00053418" w:rsidP="00B55F24">
            <w:pPr>
              <w:pStyle w:val="TableText"/>
              <w:spacing w:before="40" w:after="40"/>
              <w:rPr>
                <w:rFonts w:cs="Segoe UI"/>
                <w:szCs w:val="16"/>
              </w:rPr>
            </w:pPr>
            <w:r w:rsidRPr="009E06AA">
              <w:rPr>
                <w:rFonts w:cs="Segoe UI"/>
                <w:szCs w:val="16"/>
              </w:rPr>
              <w:t>IPCC Tier 1 default parameter (NE)</w:t>
            </w:r>
          </w:p>
        </w:tc>
        <w:tc>
          <w:tcPr>
            <w:tcW w:w="1134" w:type="dxa"/>
            <w:hideMark/>
          </w:tcPr>
          <w:p w14:paraId="60BBDA8D" w14:textId="77777777" w:rsidR="00053418" w:rsidRPr="009E06AA" w:rsidRDefault="00053418" w:rsidP="00B55F24">
            <w:pPr>
              <w:pStyle w:val="TableText"/>
              <w:spacing w:before="40" w:after="40"/>
              <w:rPr>
                <w:rFonts w:cs="Segoe UI"/>
                <w:szCs w:val="16"/>
              </w:rPr>
            </w:pPr>
            <w:r w:rsidRPr="009E06AA">
              <w:rPr>
                <w:rFonts w:cs="Segoe UI"/>
                <w:szCs w:val="16"/>
              </w:rPr>
              <w:t>Tier 2, country-specific data and model</w:t>
            </w:r>
          </w:p>
        </w:tc>
        <w:tc>
          <w:tcPr>
            <w:tcW w:w="1158" w:type="dxa"/>
            <w:hideMark/>
          </w:tcPr>
          <w:p w14:paraId="21BC2DF7" w14:textId="77777777" w:rsidR="00053418" w:rsidRPr="009E06AA" w:rsidRDefault="00053418" w:rsidP="00B55F24">
            <w:pPr>
              <w:pStyle w:val="TableText"/>
              <w:spacing w:before="40" w:after="40"/>
              <w:rPr>
                <w:rFonts w:cs="Segoe UI"/>
                <w:szCs w:val="16"/>
              </w:rPr>
            </w:pPr>
            <w:r w:rsidRPr="009E06AA">
              <w:rPr>
                <w:rFonts w:cs="Segoe UI"/>
                <w:szCs w:val="16"/>
              </w:rPr>
              <w:t>NE</w:t>
            </w:r>
          </w:p>
        </w:tc>
      </w:tr>
      <w:tr w:rsidR="00053418" w:rsidRPr="009E06AA" w14:paraId="4A1970A9" w14:textId="77777777" w:rsidTr="00B55F24">
        <w:tc>
          <w:tcPr>
            <w:tcW w:w="1109" w:type="dxa"/>
            <w:hideMark/>
          </w:tcPr>
          <w:p w14:paraId="5A15B51F" w14:textId="77777777" w:rsidR="00053418" w:rsidRPr="009E06AA" w:rsidRDefault="00053418" w:rsidP="00B55F24">
            <w:pPr>
              <w:pStyle w:val="TableText"/>
              <w:spacing w:before="40" w:after="40"/>
              <w:rPr>
                <w:rFonts w:cs="Segoe UI"/>
                <w:szCs w:val="16"/>
              </w:rPr>
            </w:pPr>
            <w:r w:rsidRPr="009E06AA">
              <w:rPr>
                <w:rFonts w:cs="Segoe UI"/>
                <w:szCs w:val="16"/>
              </w:rPr>
              <w:t>Other land</w:t>
            </w:r>
          </w:p>
        </w:tc>
        <w:tc>
          <w:tcPr>
            <w:tcW w:w="5104" w:type="dxa"/>
            <w:gridSpan w:val="4"/>
            <w:hideMark/>
          </w:tcPr>
          <w:p w14:paraId="0DD25F59" w14:textId="77777777" w:rsidR="00053418" w:rsidRPr="009E06AA" w:rsidRDefault="00053418" w:rsidP="00B55F24">
            <w:pPr>
              <w:pStyle w:val="TableText"/>
              <w:spacing w:before="40" w:after="40"/>
              <w:rPr>
                <w:rFonts w:cs="Segoe UI"/>
                <w:szCs w:val="16"/>
              </w:rPr>
            </w:pPr>
            <w:r w:rsidRPr="009E06AA">
              <w:rPr>
                <w:rFonts w:cs="Segoe UI"/>
                <w:szCs w:val="16"/>
              </w:rPr>
              <w:t>IPCC Tier 1 default parameter (NE)</w:t>
            </w:r>
          </w:p>
        </w:tc>
        <w:tc>
          <w:tcPr>
            <w:tcW w:w="1134" w:type="dxa"/>
            <w:hideMark/>
          </w:tcPr>
          <w:p w14:paraId="5AA0A130" w14:textId="77777777" w:rsidR="00053418" w:rsidRPr="009E06AA" w:rsidRDefault="00053418" w:rsidP="00B55F24">
            <w:pPr>
              <w:pStyle w:val="TableText"/>
              <w:spacing w:before="40" w:after="40"/>
              <w:rPr>
                <w:rFonts w:cs="Segoe UI"/>
                <w:szCs w:val="16"/>
              </w:rPr>
            </w:pPr>
            <w:r w:rsidRPr="009E06AA">
              <w:rPr>
                <w:rFonts w:cs="Segoe UI"/>
                <w:szCs w:val="16"/>
              </w:rPr>
              <w:t>Tier 2, country-specific data and model</w:t>
            </w:r>
          </w:p>
        </w:tc>
        <w:tc>
          <w:tcPr>
            <w:tcW w:w="1158" w:type="dxa"/>
            <w:hideMark/>
          </w:tcPr>
          <w:p w14:paraId="5F548FB1" w14:textId="77777777" w:rsidR="00053418" w:rsidRPr="009E06AA" w:rsidRDefault="00053418" w:rsidP="00B55F24">
            <w:pPr>
              <w:pStyle w:val="TableText"/>
              <w:spacing w:before="40" w:after="40"/>
              <w:rPr>
                <w:rFonts w:cs="Segoe UI"/>
                <w:szCs w:val="16"/>
              </w:rPr>
            </w:pPr>
            <w:r w:rsidRPr="009E06AA">
              <w:rPr>
                <w:rFonts w:cs="Segoe UI"/>
                <w:szCs w:val="16"/>
              </w:rPr>
              <w:t>NE</w:t>
            </w:r>
          </w:p>
        </w:tc>
      </w:tr>
    </w:tbl>
    <w:p w14:paraId="4D03EACC" w14:textId="77777777" w:rsidR="00053418" w:rsidRPr="009E06AA" w:rsidRDefault="00053418" w:rsidP="00053418">
      <w:pPr>
        <w:pStyle w:val="Noteundertable"/>
      </w:pPr>
      <w:r w:rsidRPr="009E06AA">
        <w:rPr>
          <w:b/>
        </w:rPr>
        <w:t>Note:</w:t>
      </w:r>
      <w:r w:rsidRPr="009E06AA">
        <w:tab/>
        <w:t>CRA = Calculation and Reporting Application; NE = not estimated</w:t>
      </w:r>
      <w:r w:rsidRPr="009E06AA" w:rsidDel="00AB2497">
        <w:t>.</w:t>
      </w:r>
      <w:r w:rsidRPr="009E06AA">
        <w:t xml:space="preserve"> See the methodology sections for an explanation of soil carbon calculations (annex A5.2.4) and forest models, C_Change and Forest Carbon Predictor (annex A5.2.5). </w:t>
      </w:r>
    </w:p>
    <w:p w14:paraId="2A536110" w14:textId="77777777" w:rsidR="00053418" w:rsidRPr="009E06AA" w:rsidRDefault="00053418" w:rsidP="00053418">
      <w:pPr>
        <w:pStyle w:val="BodyText"/>
        <w:spacing w:before="100" w:after="100"/>
      </w:pPr>
      <w:r w:rsidRPr="009E06AA">
        <w:t xml:space="preserve">To calculate emissions for the New Zealand LULUCF sector, the following data are used: </w:t>
      </w:r>
    </w:p>
    <w:p w14:paraId="5BBF6B31" w14:textId="77777777" w:rsidR="00053418" w:rsidRPr="009E06AA" w:rsidRDefault="00053418" w:rsidP="00053418">
      <w:pPr>
        <w:pStyle w:val="Bullet"/>
        <w:numPr>
          <w:ilvl w:val="0"/>
          <w:numId w:val="29"/>
        </w:numPr>
        <w:spacing w:after="100"/>
        <w:ind w:left="397" w:hanging="397"/>
      </w:pPr>
      <w:r w:rsidRPr="009E06AA">
        <w:t>land use and land-use change area data from 1962 to 1989, which provide land in a transition state as at 1990 for each land use (see annex A5.2.2)</w:t>
      </w:r>
    </w:p>
    <w:p w14:paraId="59802279" w14:textId="77777777" w:rsidR="00053418" w:rsidRPr="009E06AA" w:rsidRDefault="00053418" w:rsidP="00053418">
      <w:pPr>
        <w:pStyle w:val="Bullet"/>
        <w:numPr>
          <w:ilvl w:val="0"/>
          <w:numId w:val="29"/>
        </w:numPr>
        <w:spacing w:after="100"/>
        <w:ind w:left="397" w:hanging="397"/>
      </w:pPr>
      <w:r w:rsidRPr="009E06AA">
        <w:t>annual land use and land-use change area data from 1990 to 2022 (see annex A5.2.2)</w:t>
      </w:r>
    </w:p>
    <w:p w14:paraId="23B75679" w14:textId="77777777" w:rsidR="00053418" w:rsidRPr="009E06AA" w:rsidRDefault="00053418" w:rsidP="00053418">
      <w:pPr>
        <w:pStyle w:val="Bullet"/>
        <w:numPr>
          <w:ilvl w:val="0"/>
          <w:numId w:val="29"/>
        </w:numPr>
        <w:spacing w:after="100"/>
        <w:ind w:left="397" w:hanging="397"/>
      </w:pPr>
      <w:r w:rsidRPr="009E06AA">
        <w:t>biomass carbon stocks per hectare before land use conversion, and annual growth in biomass carbon stocks per hectare following conversion (described in more detail under each land use category)</w:t>
      </w:r>
    </w:p>
    <w:p w14:paraId="4B7D239E" w14:textId="77777777" w:rsidR="00053418" w:rsidRPr="009E06AA" w:rsidRDefault="00053418" w:rsidP="00053418">
      <w:pPr>
        <w:pStyle w:val="Bullet"/>
        <w:numPr>
          <w:ilvl w:val="0"/>
          <w:numId w:val="29"/>
        </w:numPr>
        <w:spacing w:after="100"/>
        <w:ind w:left="397" w:hanging="397"/>
      </w:pPr>
      <w:r w:rsidRPr="009E06AA">
        <w:t xml:space="preserve">estimates of planted forest harvest area and harvest age-class distribution (see section 6.4 and annex A5.2.5) </w:t>
      </w:r>
    </w:p>
    <w:p w14:paraId="1ACC3F10" w14:textId="77777777" w:rsidR="00053418" w:rsidRPr="009E06AA" w:rsidRDefault="00053418" w:rsidP="00053418">
      <w:pPr>
        <w:pStyle w:val="Bullet"/>
        <w:numPr>
          <w:ilvl w:val="0"/>
          <w:numId w:val="29"/>
        </w:numPr>
        <w:spacing w:after="100"/>
        <w:ind w:left="397" w:hanging="397"/>
      </w:pPr>
      <w:r w:rsidRPr="009E06AA">
        <w:t>a forest age profile for pre-1990 planted forests and post-1989 planted forests</w:t>
      </w:r>
    </w:p>
    <w:p w14:paraId="289C1A69" w14:textId="77777777" w:rsidR="00053418" w:rsidRPr="009E06AA" w:rsidRDefault="00053418" w:rsidP="00053418">
      <w:pPr>
        <w:pStyle w:val="Bullet"/>
        <w:numPr>
          <w:ilvl w:val="0"/>
          <w:numId w:val="29"/>
        </w:numPr>
        <w:spacing w:after="100"/>
        <w:ind w:left="397" w:hanging="397"/>
      </w:pPr>
      <w:r w:rsidRPr="009E06AA">
        <w:t>age-based biomass carbon yield tables for pre-1990 planted forests and post-1989 planted and natural forests (see section 6.4.2)</w:t>
      </w:r>
    </w:p>
    <w:p w14:paraId="07AE0092" w14:textId="77777777" w:rsidR="00053418" w:rsidRPr="009E06AA" w:rsidRDefault="00053418" w:rsidP="00053418">
      <w:pPr>
        <w:pStyle w:val="Bullet"/>
        <w:numPr>
          <w:ilvl w:val="0"/>
          <w:numId w:val="29"/>
        </w:numPr>
        <w:spacing w:after="100"/>
        <w:ind w:left="397" w:hanging="397"/>
      </w:pPr>
      <w:r w:rsidRPr="009E06AA">
        <w:t>growth increment for pre-1990 natural forest (see section 6.4.2)</w:t>
      </w:r>
    </w:p>
    <w:p w14:paraId="39588D06" w14:textId="77777777" w:rsidR="00053418" w:rsidRPr="009E06AA" w:rsidRDefault="00053418" w:rsidP="00053418">
      <w:pPr>
        <w:pStyle w:val="Bullet"/>
        <w:numPr>
          <w:ilvl w:val="0"/>
          <w:numId w:val="29"/>
        </w:numPr>
        <w:spacing w:after="100"/>
        <w:ind w:left="397" w:hanging="397"/>
      </w:pPr>
      <w:r w:rsidRPr="009E06AA">
        <w:t>emission factors and country-level activity data on biomass burning (see section 6.11.8)</w:t>
      </w:r>
    </w:p>
    <w:p w14:paraId="1526EA8F" w14:textId="77777777" w:rsidR="00053418" w:rsidRPr="009E06AA" w:rsidRDefault="00053418" w:rsidP="00053418">
      <w:pPr>
        <w:pStyle w:val="Bullet"/>
        <w:numPr>
          <w:ilvl w:val="0"/>
          <w:numId w:val="29"/>
        </w:numPr>
        <w:ind w:left="397" w:hanging="397"/>
      </w:pPr>
      <w:r w:rsidRPr="009E06AA">
        <w:t>IPCC default conversion factors for converting C to CO</w:t>
      </w:r>
      <w:r w:rsidRPr="009E06AA">
        <w:rPr>
          <w:vertAlign w:val="subscript"/>
        </w:rPr>
        <w:t>2</w:t>
      </w:r>
      <w:r w:rsidRPr="009E06AA">
        <w:t xml:space="preserve">. </w:t>
      </w:r>
    </w:p>
    <w:p w14:paraId="11013F74" w14:textId="77777777" w:rsidR="00053418" w:rsidRPr="009E06AA" w:rsidRDefault="00053418" w:rsidP="00053418">
      <w:pPr>
        <w:pStyle w:val="BodyText"/>
      </w:pPr>
      <w:r w:rsidRPr="009E06AA">
        <w:t>The formula used to calculate emissions from biomass changes on land use conversion is:</w:t>
      </w:r>
    </w:p>
    <w:tbl>
      <w:tblPr>
        <w:tblW w:w="7700" w:type="dxa"/>
        <w:jc w:val="center"/>
        <w:tblLayout w:type="fixed"/>
        <w:tblCellMar>
          <w:left w:w="28" w:type="dxa"/>
          <w:right w:w="28" w:type="dxa"/>
        </w:tblCellMar>
        <w:tblLook w:val="04A0" w:firstRow="1" w:lastRow="0" w:firstColumn="1" w:lastColumn="0" w:noHBand="0" w:noVBand="1"/>
      </w:tblPr>
      <w:tblGrid>
        <w:gridCol w:w="310"/>
        <w:gridCol w:w="1420"/>
        <w:gridCol w:w="283"/>
        <w:gridCol w:w="1134"/>
        <w:gridCol w:w="284"/>
        <w:gridCol w:w="290"/>
        <w:gridCol w:w="284"/>
        <w:gridCol w:w="1694"/>
        <w:gridCol w:w="290"/>
        <w:gridCol w:w="992"/>
        <w:gridCol w:w="284"/>
        <w:gridCol w:w="435"/>
      </w:tblGrid>
      <w:tr w:rsidR="00053418" w:rsidRPr="009E06AA" w14:paraId="52AF0E79" w14:textId="77777777" w:rsidTr="00B55F24">
        <w:trPr>
          <w:trHeight w:val="1130"/>
          <w:jc w:val="center"/>
        </w:trPr>
        <w:tc>
          <w:tcPr>
            <w:tcW w:w="310" w:type="dxa"/>
            <w:vAlign w:val="center"/>
          </w:tcPr>
          <w:p w14:paraId="77EBEDE6" w14:textId="77777777" w:rsidR="00053418" w:rsidRPr="009E06AA" w:rsidRDefault="00053418" w:rsidP="00B55F24">
            <w:pPr>
              <w:rPr>
                <w:rFonts w:ascii="Cambria Math" w:hAnsi="Cambria Math" w:cs="Segoe UI"/>
                <w:sz w:val="144"/>
                <w:szCs w:val="144"/>
              </w:rPr>
            </w:pPr>
            <w:r w:rsidRPr="009E06AA">
              <w:rPr>
                <w:rFonts w:ascii="Cambria Math" w:hAnsi="Cambria Math" w:cs="Segoe UI"/>
                <w:sz w:val="56"/>
                <w:szCs w:val="144"/>
              </w:rPr>
              <w:t>(</w:t>
            </w:r>
          </w:p>
        </w:tc>
        <w:tc>
          <w:tcPr>
            <w:tcW w:w="1420" w:type="dxa"/>
            <w:vAlign w:val="center"/>
          </w:tcPr>
          <w:p w14:paraId="31128991" w14:textId="77777777" w:rsidR="00053418" w:rsidRPr="009E06AA" w:rsidRDefault="00053418" w:rsidP="00B55F24">
            <w:pPr>
              <w:jc w:val="center"/>
              <w:rPr>
                <w:rFonts w:ascii="Cambria Math" w:hAnsi="Cambria Math" w:cs="Segoe UI"/>
                <w:i/>
                <w:sz w:val="18"/>
              </w:rPr>
            </w:pPr>
            <w:r w:rsidRPr="009E06AA">
              <w:rPr>
                <w:rFonts w:ascii="Cambria Math" w:hAnsi="Cambria Math" w:cs="Segoe UI"/>
                <w:i/>
                <w:sz w:val="18"/>
              </w:rPr>
              <w:t>Loss of biomass present in previous crop</w:t>
            </w:r>
          </w:p>
        </w:tc>
        <w:tc>
          <w:tcPr>
            <w:tcW w:w="283" w:type="dxa"/>
            <w:vAlign w:val="center"/>
          </w:tcPr>
          <w:p w14:paraId="2F3440A4" w14:textId="77777777" w:rsidR="00053418" w:rsidRPr="009E06AA" w:rsidRDefault="00053418" w:rsidP="00B55F24">
            <w:pPr>
              <w:rPr>
                <w:rFonts w:ascii="Cambria Math" w:hAnsi="Cambria Math" w:cs="Segoe UI"/>
                <w:i/>
                <w:sz w:val="18"/>
              </w:rPr>
            </w:pPr>
            <w:r w:rsidRPr="009E06AA">
              <w:rPr>
                <w:rFonts w:ascii="Cambria Math" w:hAnsi="Cambria Math" w:cs="Segoe UI"/>
                <w:i/>
                <w:sz w:val="18"/>
              </w:rPr>
              <w:t xml:space="preserve"> ×</w:t>
            </w:r>
          </w:p>
        </w:tc>
        <w:tc>
          <w:tcPr>
            <w:tcW w:w="1134" w:type="dxa"/>
            <w:vAlign w:val="center"/>
          </w:tcPr>
          <w:p w14:paraId="02A09991" w14:textId="77777777" w:rsidR="00053418" w:rsidRPr="009E06AA" w:rsidRDefault="00053418" w:rsidP="00B55F24">
            <w:pPr>
              <w:jc w:val="center"/>
              <w:rPr>
                <w:rFonts w:ascii="Cambria Math" w:hAnsi="Cambria Math" w:cs="Segoe UI"/>
                <w:i/>
                <w:sz w:val="18"/>
              </w:rPr>
            </w:pPr>
            <w:r w:rsidRPr="009E06AA">
              <w:rPr>
                <w:rFonts w:ascii="Cambria Math" w:hAnsi="Cambria Math" w:cs="Segoe UI"/>
                <w:i/>
                <w:sz w:val="18"/>
              </w:rPr>
              <w:t>Activity data (Area)</w:t>
            </w:r>
          </w:p>
        </w:tc>
        <w:tc>
          <w:tcPr>
            <w:tcW w:w="284" w:type="dxa"/>
            <w:vAlign w:val="center"/>
          </w:tcPr>
          <w:p w14:paraId="662FF5D0" w14:textId="77777777" w:rsidR="00053418" w:rsidRPr="009E06AA" w:rsidRDefault="00053418" w:rsidP="00B55F24">
            <w:pPr>
              <w:rPr>
                <w:rFonts w:ascii="Cambria Math" w:hAnsi="Cambria Math" w:cs="Segoe UI"/>
                <w:i/>
              </w:rPr>
            </w:pPr>
            <w:r w:rsidRPr="009E06AA">
              <w:rPr>
                <w:rFonts w:ascii="Cambria Math" w:hAnsi="Cambria Math" w:cs="Segoe UI"/>
                <w:sz w:val="56"/>
                <w:szCs w:val="144"/>
              </w:rPr>
              <w:t>)</w:t>
            </w:r>
          </w:p>
        </w:tc>
        <w:tc>
          <w:tcPr>
            <w:tcW w:w="290" w:type="dxa"/>
            <w:vAlign w:val="center"/>
          </w:tcPr>
          <w:p w14:paraId="58F617DC" w14:textId="77777777" w:rsidR="00053418" w:rsidRPr="009E06AA" w:rsidRDefault="00053418" w:rsidP="00B55F24">
            <w:pPr>
              <w:rPr>
                <w:rFonts w:ascii="Cambria Math" w:hAnsi="Cambria Math" w:cs="Segoe UI"/>
                <w:i/>
              </w:rPr>
            </w:pPr>
            <w:r w:rsidRPr="009E06AA">
              <w:rPr>
                <w:rFonts w:ascii="Cambria Math" w:hAnsi="Cambria Math" w:cs="Segoe UI"/>
                <w:i/>
              </w:rPr>
              <w:t>+</w:t>
            </w:r>
          </w:p>
        </w:tc>
        <w:tc>
          <w:tcPr>
            <w:tcW w:w="284" w:type="dxa"/>
            <w:vAlign w:val="center"/>
          </w:tcPr>
          <w:p w14:paraId="73FE47F5" w14:textId="77777777" w:rsidR="00053418" w:rsidRPr="009E06AA" w:rsidRDefault="00053418" w:rsidP="00B55F24">
            <w:pPr>
              <w:rPr>
                <w:rFonts w:ascii="Cambria Math" w:hAnsi="Cambria Math" w:cs="Segoe UI"/>
                <w:i/>
              </w:rPr>
            </w:pPr>
            <w:r w:rsidRPr="009E06AA">
              <w:rPr>
                <w:rFonts w:ascii="Cambria Math" w:hAnsi="Cambria Math" w:cs="Segoe UI"/>
                <w:sz w:val="56"/>
                <w:szCs w:val="144"/>
              </w:rPr>
              <w:t>(</w:t>
            </w:r>
          </w:p>
        </w:tc>
        <w:tc>
          <w:tcPr>
            <w:tcW w:w="1694" w:type="dxa"/>
            <w:vAlign w:val="center"/>
          </w:tcPr>
          <w:p w14:paraId="7D1B7790" w14:textId="77777777" w:rsidR="00053418" w:rsidRPr="009E06AA" w:rsidRDefault="00053418" w:rsidP="00B55F24">
            <w:pPr>
              <w:jc w:val="center"/>
              <w:rPr>
                <w:rFonts w:ascii="Cambria Math" w:hAnsi="Cambria Math" w:cs="Segoe UI"/>
                <w:i/>
                <w:sz w:val="18"/>
              </w:rPr>
            </w:pPr>
            <w:r w:rsidRPr="009E06AA">
              <w:rPr>
                <w:rFonts w:ascii="Cambria Math" w:hAnsi="Cambria Math" w:cs="Segoe UI"/>
                <w:i/>
                <w:sz w:val="18"/>
              </w:rPr>
              <w:t>Annual growth in biomass carbon stocks in new land use</w:t>
            </w:r>
          </w:p>
        </w:tc>
        <w:tc>
          <w:tcPr>
            <w:tcW w:w="290" w:type="dxa"/>
            <w:vAlign w:val="center"/>
          </w:tcPr>
          <w:p w14:paraId="21C6CF5E" w14:textId="77777777" w:rsidR="00053418" w:rsidRPr="009E06AA" w:rsidRDefault="00053418" w:rsidP="00B55F24">
            <w:pPr>
              <w:jc w:val="center"/>
              <w:rPr>
                <w:rFonts w:ascii="Cambria Math" w:hAnsi="Cambria Math" w:cs="Segoe UI"/>
                <w:i/>
                <w:sz w:val="18"/>
              </w:rPr>
            </w:pPr>
            <w:r w:rsidRPr="009E06AA">
              <w:rPr>
                <w:rFonts w:ascii="Cambria Math" w:hAnsi="Cambria Math" w:cs="Segoe UI"/>
                <w:i/>
                <w:sz w:val="18"/>
              </w:rPr>
              <w:t>×</w:t>
            </w:r>
          </w:p>
        </w:tc>
        <w:tc>
          <w:tcPr>
            <w:tcW w:w="992" w:type="dxa"/>
            <w:vAlign w:val="center"/>
          </w:tcPr>
          <w:p w14:paraId="630E0CF5" w14:textId="77777777" w:rsidR="00053418" w:rsidRPr="009E06AA" w:rsidRDefault="00053418" w:rsidP="00B55F24">
            <w:pPr>
              <w:spacing w:before="120"/>
              <w:jc w:val="center"/>
              <w:rPr>
                <w:rFonts w:ascii="Cambria Math" w:hAnsi="Cambria Math" w:cs="Segoe UI"/>
                <w:i/>
                <w:sz w:val="18"/>
              </w:rPr>
            </w:pPr>
            <w:r w:rsidRPr="009E06AA">
              <w:rPr>
                <w:rFonts w:ascii="Cambria Math" w:hAnsi="Cambria Math" w:cs="Segoe UI"/>
                <w:i/>
                <w:sz w:val="18"/>
              </w:rPr>
              <w:t>Activity data (Area)</w:t>
            </w:r>
          </w:p>
        </w:tc>
        <w:tc>
          <w:tcPr>
            <w:tcW w:w="284" w:type="dxa"/>
            <w:vAlign w:val="center"/>
          </w:tcPr>
          <w:p w14:paraId="2D13FB9B" w14:textId="77777777" w:rsidR="00053418" w:rsidRPr="009E06AA" w:rsidRDefault="00053418" w:rsidP="00B55F24">
            <w:pPr>
              <w:jc w:val="center"/>
              <w:rPr>
                <w:rFonts w:ascii="Cambria Math" w:hAnsi="Cambria Math" w:cs="Segoe UI"/>
                <w:i/>
              </w:rPr>
            </w:pPr>
            <w:r w:rsidRPr="009E06AA">
              <w:rPr>
                <w:rFonts w:ascii="Cambria Math" w:hAnsi="Cambria Math" w:cs="Segoe UI"/>
                <w:sz w:val="56"/>
                <w:szCs w:val="144"/>
              </w:rPr>
              <w:t>)</w:t>
            </w:r>
          </w:p>
        </w:tc>
        <w:tc>
          <w:tcPr>
            <w:tcW w:w="435" w:type="dxa"/>
          </w:tcPr>
          <w:p w14:paraId="72A832A9" w14:textId="77777777" w:rsidR="00053418" w:rsidRPr="009E06AA" w:rsidRDefault="00053418" w:rsidP="00B55F24">
            <w:pPr>
              <w:rPr>
                <w:rFonts w:ascii="Cambria Math" w:hAnsi="Cambria Math" w:cs="Segoe UI"/>
                <w:i/>
              </w:rPr>
            </w:pPr>
          </w:p>
          <w:p w14:paraId="39AC76EE" w14:textId="77777777" w:rsidR="00053418" w:rsidRPr="009E06AA" w:rsidRDefault="00053418" w:rsidP="00B55F24">
            <w:pPr>
              <w:rPr>
                <w:rFonts w:ascii="Cambria Math" w:hAnsi="Cambria Math" w:cs="Segoe UI"/>
                <w:i/>
              </w:rPr>
            </w:pPr>
          </w:p>
          <w:p w14:paraId="285B53EA" w14:textId="77777777" w:rsidR="00053418" w:rsidRPr="009E06AA" w:rsidRDefault="00053418" w:rsidP="00B55F24">
            <w:pPr>
              <w:rPr>
                <w:rFonts w:ascii="Cambria Math" w:hAnsi="Cambria Math" w:cs="Segoe UI"/>
                <w:sz w:val="56"/>
                <w:szCs w:val="144"/>
              </w:rPr>
            </w:pPr>
            <w:r w:rsidRPr="009E06AA">
              <w:rPr>
                <w:rFonts w:ascii="Cambria Math" w:hAnsi="Cambria Math" w:cs="Segoe UI"/>
                <w:i/>
              </w:rPr>
              <w:t>(1)</w:t>
            </w:r>
          </w:p>
        </w:tc>
      </w:tr>
    </w:tbl>
    <w:p w14:paraId="20CB2953" w14:textId="77777777" w:rsidR="00053418" w:rsidRPr="009E06AA" w:rsidRDefault="00053418" w:rsidP="00053418">
      <w:pPr>
        <w:pStyle w:val="BodyText"/>
        <w:spacing w:before="180"/>
      </w:pPr>
      <w:r w:rsidRPr="009E06AA">
        <w:t xml:space="preserve">The formula used to calculate emissions from mineral soil changes on land use conversion is: </w:t>
      </w:r>
    </w:p>
    <w:tbl>
      <w:tblPr>
        <w:tblW w:w="7479" w:type="dxa"/>
        <w:jc w:val="center"/>
        <w:tblLayout w:type="fixed"/>
        <w:tblLook w:val="04A0" w:firstRow="1" w:lastRow="0" w:firstColumn="1" w:lastColumn="0" w:noHBand="0" w:noVBand="1"/>
      </w:tblPr>
      <w:tblGrid>
        <w:gridCol w:w="2093"/>
        <w:gridCol w:w="425"/>
        <w:gridCol w:w="2268"/>
        <w:gridCol w:w="284"/>
        <w:gridCol w:w="425"/>
        <w:gridCol w:w="850"/>
        <w:gridCol w:w="426"/>
        <w:gridCol w:w="708"/>
      </w:tblGrid>
      <w:tr w:rsidR="00053418" w:rsidRPr="009E06AA" w14:paraId="4833F290" w14:textId="77777777" w:rsidTr="00B55F24">
        <w:trPr>
          <w:jc w:val="center"/>
        </w:trPr>
        <w:tc>
          <w:tcPr>
            <w:tcW w:w="2093" w:type="dxa"/>
          </w:tcPr>
          <w:p w14:paraId="2CFD282D" w14:textId="77777777" w:rsidR="00053418" w:rsidRPr="009E06AA" w:rsidRDefault="00053418" w:rsidP="00B55F24">
            <w:pPr>
              <w:jc w:val="center"/>
              <w:rPr>
                <w:rFonts w:ascii="Cambria Math" w:hAnsi="Cambria Math" w:cs="Segoe UI"/>
                <w:i/>
                <w:sz w:val="18"/>
              </w:rPr>
            </w:pPr>
            <w:r w:rsidRPr="009E06AA">
              <w:rPr>
                <w:rFonts w:ascii="Cambria Math" w:hAnsi="Cambria Math" w:cs="Segoe UI"/>
                <w:i/>
                <w:sz w:val="18"/>
              </w:rPr>
              <w:t>Mineral soil carbon at steady state in the new land use</w:t>
            </w:r>
          </w:p>
        </w:tc>
        <w:tc>
          <w:tcPr>
            <w:tcW w:w="425" w:type="dxa"/>
            <w:vAlign w:val="center"/>
          </w:tcPr>
          <w:p w14:paraId="06FB03B8" w14:textId="77777777" w:rsidR="00053418" w:rsidRPr="009E06AA" w:rsidRDefault="00053418" w:rsidP="00B55F24">
            <w:pPr>
              <w:jc w:val="center"/>
              <w:rPr>
                <w:rFonts w:ascii="Cambria Math" w:hAnsi="Cambria Math" w:cs="Segoe UI"/>
                <w:i/>
                <w:sz w:val="18"/>
              </w:rPr>
            </w:pPr>
            <w:r w:rsidRPr="009E06AA">
              <w:rPr>
                <w:rFonts w:ascii="Cambria Math" w:hAnsi="Cambria Math" w:cs="Segoe UI"/>
                <w:i/>
                <w:sz w:val="18"/>
              </w:rPr>
              <w:t>—</w:t>
            </w:r>
          </w:p>
        </w:tc>
        <w:tc>
          <w:tcPr>
            <w:tcW w:w="2268" w:type="dxa"/>
          </w:tcPr>
          <w:p w14:paraId="66CA5440" w14:textId="77777777" w:rsidR="00053418" w:rsidRPr="009E06AA" w:rsidRDefault="00053418" w:rsidP="00B55F24">
            <w:pPr>
              <w:jc w:val="center"/>
              <w:rPr>
                <w:rFonts w:ascii="Cambria Math" w:hAnsi="Cambria Math" w:cs="Segoe UI"/>
                <w:i/>
                <w:sz w:val="18"/>
              </w:rPr>
            </w:pPr>
            <w:r w:rsidRPr="009E06AA">
              <w:rPr>
                <w:rFonts w:ascii="Cambria Math" w:hAnsi="Cambria Math" w:cs="Segoe UI"/>
                <w:i/>
                <w:sz w:val="18"/>
              </w:rPr>
              <w:t>Mineral soil carbon at steady state in the previous land use</w:t>
            </w:r>
          </w:p>
        </w:tc>
        <w:tc>
          <w:tcPr>
            <w:tcW w:w="284" w:type="dxa"/>
            <w:vMerge w:val="restart"/>
            <w:vAlign w:val="center"/>
          </w:tcPr>
          <w:p w14:paraId="7B0F141B" w14:textId="77777777" w:rsidR="00053418" w:rsidRPr="009E06AA" w:rsidRDefault="00053418" w:rsidP="00B55F24">
            <w:pPr>
              <w:jc w:val="center"/>
              <w:rPr>
                <w:rFonts w:ascii="Cambria Math" w:hAnsi="Cambria Math" w:cs="Segoe UI"/>
                <w:i/>
                <w:sz w:val="18"/>
              </w:rPr>
            </w:pPr>
            <w:r w:rsidRPr="009E06AA">
              <w:rPr>
                <w:rFonts w:ascii="Cambria Math" w:hAnsi="Cambria Math" w:cs="Segoe UI"/>
                <w:i/>
                <w:sz w:val="18"/>
              </w:rPr>
              <w:t>×</w:t>
            </w:r>
          </w:p>
        </w:tc>
        <w:tc>
          <w:tcPr>
            <w:tcW w:w="425" w:type="dxa"/>
            <w:vMerge w:val="restart"/>
            <w:vAlign w:val="center"/>
          </w:tcPr>
          <w:p w14:paraId="0C834F7D" w14:textId="77777777" w:rsidR="00053418" w:rsidRPr="009E06AA" w:rsidRDefault="00053418" w:rsidP="00B55F24">
            <w:pPr>
              <w:jc w:val="center"/>
              <w:rPr>
                <w:rFonts w:ascii="Cambria Math" w:hAnsi="Cambria Math" w:cs="Segoe UI"/>
                <w:i/>
                <w:sz w:val="18"/>
              </w:rPr>
            </w:pPr>
            <w:r w:rsidRPr="009E06AA">
              <w:rPr>
                <w:rFonts w:ascii="Cambria Math" w:hAnsi="Cambria Math" w:cs="Segoe UI"/>
                <w:sz w:val="56"/>
                <w:szCs w:val="144"/>
              </w:rPr>
              <w:t>(</w:t>
            </w:r>
          </w:p>
        </w:tc>
        <w:tc>
          <w:tcPr>
            <w:tcW w:w="850" w:type="dxa"/>
            <w:vMerge w:val="restart"/>
            <w:vAlign w:val="center"/>
          </w:tcPr>
          <w:p w14:paraId="248D35AB" w14:textId="77777777" w:rsidR="00053418" w:rsidRPr="009E06AA" w:rsidRDefault="00053418" w:rsidP="00B55F24">
            <w:pPr>
              <w:jc w:val="center"/>
              <w:rPr>
                <w:rFonts w:ascii="Cambria Math" w:hAnsi="Cambria Math" w:cs="Segoe UI"/>
                <w:i/>
                <w:sz w:val="18"/>
              </w:rPr>
            </w:pPr>
            <w:r w:rsidRPr="009E06AA">
              <w:rPr>
                <w:rFonts w:ascii="Cambria Math" w:hAnsi="Cambria Math" w:cs="Segoe UI"/>
                <w:i/>
                <w:sz w:val="18"/>
              </w:rPr>
              <w:t>Activity data (Area)</w:t>
            </w:r>
          </w:p>
        </w:tc>
        <w:tc>
          <w:tcPr>
            <w:tcW w:w="426" w:type="dxa"/>
            <w:vMerge w:val="restart"/>
            <w:vAlign w:val="center"/>
          </w:tcPr>
          <w:p w14:paraId="5850B0FE" w14:textId="77777777" w:rsidR="00053418" w:rsidRPr="009E06AA" w:rsidRDefault="00053418" w:rsidP="00B55F24">
            <w:pPr>
              <w:jc w:val="center"/>
              <w:rPr>
                <w:rFonts w:ascii="Cambria Math" w:hAnsi="Cambria Math" w:cs="Segoe UI"/>
                <w:i/>
                <w:sz w:val="18"/>
              </w:rPr>
            </w:pPr>
            <w:r w:rsidRPr="009E06AA">
              <w:rPr>
                <w:rFonts w:ascii="Cambria Math" w:hAnsi="Cambria Math" w:cs="Segoe UI"/>
                <w:sz w:val="56"/>
                <w:szCs w:val="144"/>
              </w:rPr>
              <w:t>)</w:t>
            </w:r>
          </w:p>
        </w:tc>
        <w:tc>
          <w:tcPr>
            <w:tcW w:w="708" w:type="dxa"/>
            <w:vMerge w:val="restart"/>
            <w:vAlign w:val="center"/>
          </w:tcPr>
          <w:p w14:paraId="2AA2F23E" w14:textId="77777777" w:rsidR="00053418" w:rsidRPr="009E06AA" w:rsidRDefault="00053418" w:rsidP="00B55F24">
            <w:pPr>
              <w:jc w:val="right"/>
              <w:rPr>
                <w:rFonts w:ascii="Cambria Math" w:hAnsi="Cambria Math" w:cs="Segoe UI"/>
                <w:sz w:val="56"/>
                <w:szCs w:val="144"/>
              </w:rPr>
            </w:pPr>
            <w:r w:rsidRPr="009E06AA">
              <w:rPr>
                <w:rFonts w:ascii="Cambria Math" w:hAnsi="Cambria Math" w:cs="Segoe UI"/>
                <w:i/>
              </w:rPr>
              <w:t>(2)</w:t>
            </w:r>
          </w:p>
        </w:tc>
      </w:tr>
      <w:tr w:rsidR="00053418" w:rsidRPr="009E06AA" w14:paraId="226C7391" w14:textId="77777777" w:rsidTr="00B55F24">
        <w:trPr>
          <w:trHeight w:val="99"/>
          <w:jc w:val="center"/>
        </w:trPr>
        <w:tc>
          <w:tcPr>
            <w:tcW w:w="4786" w:type="dxa"/>
            <w:gridSpan w:val="3"/>
          </w:tcPr>
          <w:p w14:paraId="0BED6771" w14:textId="77777777" w:rsidR="00053418" w:rsidRPr="009E06AA" w:rsidRDefault="00053418" w:rsidP="00B55F24">
            <w:pPr>
              <w:jc w:val="center"/>
              <w:rPr>
                <w:rFonts w:ascii="Cambria Math" w:hAnsi="Cambria Math" w:cs="Segoe UI"/>
                <w:i/>
                <w:sz w:val="18"/>
                <w:szCs w:val="16"/>
              </w:rPr>
            </w:pPr>
            <w:r w:rsidRPr="009E06AA">
              <w:rPr>
                <w:rFonts w:ascii="Cambria Math" w:hAnsi="Cambria Math" w:cs="Segoe UI"/>
                <w:i/>
                <w:sz w:val="18"/>
                <w:szCs w:val="16"/>
              </w:rPr>
              <w:t>________________________________________________</w:t>
            </w:r>
          </w:p>
        </w:tc>
        <w:tc>
          <w:tcPr>
            <w:tcW w:w="284" w:type="dxa"/>
            <w:vMerge/>
          </w:tcPr>
          <w:p w14:paraId="2DA60775" w14:textId="77777777" w:rsidR="00053418" w:rsidRPr="009E06AA" w:rsidRDefault="00053418" w:rsidP="00B55F24">
            <w:pPr>
              <w:jc w:val="center"/>
              <w:rPr>
                <w:rFonts w:ascii="Cambria Math" w:hAnsi="Cambria Math" w:cs="Segoe UI"/>
                <w:i/>
                <w:sz w:val="18"/>
              </w:rPr>
            </w:pPr>
          </w:p>
        </w:tc>
        <w:tc>
          <w:tcPr>
            <w:tcW w:w="425" w:type="dxa"/>
            <w:vMerge/>
          </w:tcPr>
          <w:p w14:paraId="5578F030" w14:textId="77777777" w:rsidR="00053418" w:rsidRPr="009E06AA" w:rsidRDefault="00053418" w:rsidP="00B55F24">
            <w:pPr>
              <w:jc w:val="center"/>
              <w:rPr>
                <w:rFonts w:ascii="Cambria Math" w:hAnsi="Cambria Math" w:cs="Segoe UI"/>
                <w:i/>
                <w:sz w:val="18"/>
              </w:rPr>
            </w:pPr>
          </w:p>
        </w:tc>
        <w:tc>
          <w:tcPr>
            <w:tcW w:w="850" w:type="dxa"/>
            <w:vMerge/>
          </w:tcPr>
          <w:p w14:paraId="1BA355BB" w14:textId="77777777" w:rsidR="00053418" w:rsidRPr="009E06AA" w:rsidRDefault="00053418" w:rsidP="00B55F24">
            <w:pPr>
              <w:jc w:val="center"/>
              <w:rPr>
                <w:rFonts w:ascii="Cambria Math" w:hAnsi="Cambria Math" w:cs="Segoe UI"/>
                <w:i/>
                <w:sz w:val="18"/>
              </w:rPr>
            </w:pPr>
          </w:p>
        </w:tc>
        <w:tc>
          <w:tcPr>
            <w:tcW w:w="426" w:type="dxa"/>
            <w:vMerge/>
          </w:tcPr>
          <w:p w14:paraId="641C96D0" w14:textId="77777777" w:rsidR="00053418" w:rsidRPr="009E06AA" w:rsidRDefault="00053418" w:rsidP="00B55F24">
            <w:pPr>
              <w:jc w:val="center"/>
              <w:rPr>
                <w:rFonts w:ascii="Cambria Math" w:hAnsi="Cambria Math" w:cs="Segoe UI"/>
                <w:i/>
                <w:sz w:val="18"/>
              </w:rPr>
            </w:pPr>
          </w:p>
        </w:tc>
        <w:tc>
          <w:tcPr>
            <w:tcW w:w="708" w:type="dxa"/>
            <w:vMerge/>
          </w:tcPr>
          <w:p w14:paraId="37D28606" w14:textId="77777777" w:rsidR="00053418" w:rsidRPr="009E06AA" w:rsidRDefault="00053418" w:rsidP="00B55F24">
            <w:pPr>
              <w:jc w:val="center"/>
              <w:rPr>
                <w:rFonts w:ascii="Cambria Math" w:hAnsi="Cambria Math" w:cs="Segoe UI"/>
                <w:i/>
                <w:sz w:val="18"/>
              </w:rPr>
            </w:pPr>
          </w:p>
        </w:tc>
      </w:tr>
      <w:tr w:rsidR="00053418" w:rsidRPr="009E06AA" w14:paraId="2B6966FF" w14:textId="77777777" w:rsidTr="00B55F24">
        <w:trPr>
          <w:jc w:val="center"/>
        </w:trPr>
        <w:tc>
          <w:tcPr>
            <w:tcW w:w="4786" w:type="dxa"/>
            <w:gridSpan w:val="3"/>
            <w:vAlign w:val="bottom"/>
          </w:tcPr>
          <w:p w14:paraId="359A3DEB" w14:textId="77777777" w:rsidR="00053418" w:rsidRPr="009E06AA" w:rsidRDefault="00053418" w:rsidP="00B55F24">
            <w:pPr>
              <w:spacing w:before="120"/>
              <w:jc w:val="center"/>
              <w:rPr>
                <w:rFonts w:ascii="Cambria Math" w:hAnsi="Cambria Math" w:cs="Segoe UI"/>
                <w:i/>
                <w:sz w:val="18"/>
              </w:rPr>
            </w:pPr>
            <w:r w:rsidRPr="009E06AA">
              <w:rPr>
                <w:rFonts w:ascii="Cambria Math" w:hAnsi="Cambria Math" w:cs="Segoe UI"/>
                <w:i/>
                <w:sz w:val="18"/>
              </w:rPr>
              <w:t>20 years (transition period)</w:t>
            </w:r>
          </w:p>
        </w:tc>
        <w:tc>
          <w:tcPr>
            <w:tcW w:w="284" w:type="dxa"/>
            <w:vMerge/>
          </w:tcPr>
          <w:p w14:paraId="79463BB5" w14:textId="77777777" w:rsidR="00053418" w:rsidRPr="009E06AA" w:rsidRDefault="00053418" w:rsidP="00B55F24">
            <w:pPr>
              <w:jc w:val="center"/>
              <w:rPr>
                <w:rFonts w:ascii="Cambria Math" w:hAnsi="Cambria Math" w:cs="Segoe UI"/>
                <w:i/>
                <w:sz w:val="18"/>
              </w:rPr>
            </w:pPr>
          </w:p>
        </w:tc>
        <w:tc>
          <w:tcPr>
            <w:tcW w:w="425" w:type="dxa"/>
            <w:vMerge/>
          </w:tcPr>
          <w:p w14:paraId="166D78B5" w14:textId="77777777" w:rsidR="00053418" w:rsidRPr="009E06AA" w:rsidRDefault="00053418" w:rsidP="00B55F24">
            <w:pPr>
              <w:jc w:val="center"/>
              <w:rPr>
                <w:rFonts w:ascii="Cambria Math" w:hAnsi="Cambria Math" w:cs="Segoe UI"/>
                <w:i/>
                <w:sz w:val="18"/>
              </w:rPr>
            </w:pPr>
          </w:p>
        </w:tc>
        <w:tc>
          <w:tcPr>
            <w:tcW w:w="850" w:type="dxa"/>
            <w:vMerge/>
          </w:tcPr>
          <w:p w14:paraId="00BC653D" w14:textId="77777777" w:rsidR="00053418" w:rsidRPr="009E06AA" w:rsidRDefault="00053418" w:rsidP="00B55F24">
            <w:pPr>
              <w:jc w:val="center"/>
              <w:rPr>
                <w:rFonts w:ascii="Cambria Math" w:hAnsi="Cambria Math" w:cs="Segoe UI"/>
                <w:i/>
                <w:sz w:val="18"/>
              </w:rPr>
            </w:pPr>
          </w:p>
        </w:tc>
        <w:tc>
          <w:tcPr>
            <w:tcW w:w="426" w:type="dxa"/>
            <w:vMerge/>
          </w:tcPr>
          <w:p w14:paraId="56849273" w14:textId="77777777" w:rsidR="00053418" w:rsidRPr="009E06AA" w:rsidRDefault="00053418" w:rsidP="00B55F24">
            <w:pPr>
              <w:jc w:val="center"/>
              <w:rPr>
                <w:rFonts w:ascii="Cambria Math" w:hAnsi="Cambria Math" w:cs="Segoe UI"/>
                <w:i/>
                <w:sz w:val="18"/>
              </w:rPr>
            </w:pPr>
          </w:p>
        </w:tc>
        <w:tc>
          <w:tcPr>
            <w:tcW w:w="708" w:type="dxa"/>
            <w:vMerge/>
          </w:tcPr>
          <w:p w14:paraId="36F335F2" w14:textId="77777777" w:rsidR="00053418" w:rsidRPr="009E06AA" w:rsidRDefault="00053418" w:rsidP="00B55F24">
            <w:pPr>
              <w:jc w:val="center"/>
              <w:rPr>
                <w:rFonts w:ascii="Cambria Math" w:hAnsi="Cambria Math" w:cs="Segoe UI"/>
                <w:i/>
                <w:sz w:val="18"/>
              </w:rPr>
            </w:pPr>
          </w:p>
        </w:tc>
      </w:tr>
    </w:tbl>
    <w:p w14:paraId="05A11590" w14:textId="77777777" w:rsidR="00053418" w:rsidRPr="009E06AA" w:rsidRDefault="00053418" w:rsidP="00053418">
      <w:pPr>
        <w:pStyle w:val="BodyText"/>
        <w:keepNext/>
        <w:spacing w:before="240"/>
      </w:pPr>
      <w:r w:rsidRPr="009E06AA">
        <w:t>For example, the annual change in carbon stock in the first year of conversion of 100 hectares of low</w:t>
      </w:r>
      <w:r w:rsidRPr="009E06AA">
        <w:rPr>
          <w:i/>
        </w:rPr>
        <w:t xml:space="preserve"> </w:t>
      </w:r>
      <w:r w:rsidRPr="009E06AA">
        <w:t>producing grassland to perennial cropland would be calculated as follows:</w:t>
      </w:r>
    </w:p>
    <w:p w14:paraId="0FC4EF63" w14:textId="77777777" w:rsidR="00053418" w:rsidRPr="009E06AA" w:rsidRDefault="00053418" w:rsidP="00053418">
      <w:pPr>
        <w:pStyle w:val="BodyText"/>
        <w:keepNext/>
        <w:tabs>
          <w:tab w:val="right" w:pos="7938"/>
        </w:tabs>
        <w:spacing w:before="60" w:after="0"/>
        <w:ind w:left="851"/>
        <w:jc w:val="center"/>
        <w:rPr>
          <w:rFonts w:ascii="Cambria Math" w:hAnsi="Cambria Math"/>
          <w:i/>
          <w:iCs/>
          <w:sz w:val="20"/>
          <w:szCs w:val="20"/>
        </w:rPr>
      </w:pPr>
      <w:r w:rsidRPr="009E06AA">
        <w:rPr>
          <w:rFonts w:ascii="Cambria Math" w:hAnsi="Cambria Math"/>
          <w:i/>
          <w:iCs/>
          <w:sz w:val="20"/>
          <w:szCs w:val="20"/>
        </w:rPr>
        <w:t xml:space="preserve">Biomass change = (–2.867 </w:t>
      </w:r>
      <w:r w:rsidRPr="009E06AA">
        <w:rPr>
          <w:rFonts w:ascii="Cambria Math" w:hAnsi="Cambria Math"/>
          <w:i/>
          <w:iCs/>
          <w:sz w:val="16"/>
          <w:szCs w:val="20"/>
        </w:rPr>
        <w:t>×</w:t>
      </w:r>
      <w:r w:rsidRPr="009E06AA">
        <w:rPr>
          <w:rFonts w:ascii="Cambria Math" w:hAnsi="Cambria Math"/>
          <w:i/>
          <w:iCs/>
          <w:sz w:val="20"/>
          <w:szCs w:val="20"/>
        </w:rPr>
        <w:t xml:space="preserve"> 100) + (0.67 </w:t>
      </w:r>
      <w:r w:rsidRPr="009E06AA">
        <w:rPr>
          <w:rFonts w:ascii="Cambria Math" w:hAnsi="Cambria Math"/>
          <w:i/>
          <w:iCs/>
          <w:sz w:val="16"/>
          <w:szCs w:val="20"/>
        </w:rPr>
        <w:t>×</w:t>
      </w:r>
      <w:r w:rsidRPr="009E06AA">
        <w:rPr>
          <w:rFonts w:ascii="Cambria Math" w:hAnsi="Cambria Math"/>
          <w:i/>
          <w:iCs/>
          <w:sz w:val="20"/>
          <w:szCs w:val="20"/>
        </w:rPr>
        <w:t xml:space="preserve"> 100) = –219.7 tonnes C</w:t>
      </w:r>
      <w:r w:rsidRPr="009E06AA">
        <w:rPr>
          <w:i/>
          <w:iCs/>
          <w:sz w:val="20"/>
          <w:szCs w:val="20"/>
        </w:rPr>
        <w:tab/>
      </w:r>
      <w:r w:rsidRPr="009E06AA">
        <w:rPr>
          <w:rFonts w:ascii="Cambria Math" w:hAnsi="Cambria Math"/>
          <w:i/>
          <w:iCs/>
          <w:sz w:val="20"/>
          <w:szCs w:val="20"/>
        </w:rPr>
        <w:t>(1)</w:t>
      </w:r>
    </w:p>
    <w:p w14:paraId="112053AD" w14:textId="77777777" w:rsidR="00053418" w:rsidRPr="009E06AA" w:rsidRDefault="00053418" w:rsidP="00053418">
      <w:pPr>
        <w:pStyle w:val="BodyText"/>
        <w:tabs>
          <w:tab w:val="right" w:pos="7938"/>
        </w:tabs>
        <w:spacing w:before="80" w:after="0"/>
        <w:ind w:left="851"/>
        <w:jc w:val="center"/>
        <w:rPr>
          <w:rFonts w:ascii="Cambria Math" w:hAnsi="Cambria Math"/>
          <w:i/>
          <w:iCs/>
          <w:sz w:val="20"/>
          <w:szCs w:val="20"/>
        </w:rPr>
      </w:pPr>
      <w:r w:rsidRPr="009E06AA">
        <w:rPr>
          <w:rFonts w:ascii="Cambria Math" w:hAnsi="Cambria Math"/>
          <w:i/>
          <w:iCs/>
          <w:sz w:val="20"/>
          <w:szCs w:val="20"/>
        </w:rPr>
        <w:t xml:space="preserve">Mineral soil change = ((88.44 – 105.98) / 20) </w:t>
      </w:r>
      <w:r w:rsidRPr="009E06AA">
        <w:rPr>
          <w:rFonts w:ascii="Cambria Math" w:hAnsi="Cambria Math"/>
          <w:i/>
          <w:iCs/>
          <w:sz w:val="16"/>
          <w:szCs w:val="20"/>
        </w:rPr>
        <w:t>×</w:t>
      </w:r>
      <w:r w:rsidRPr="009E06AA">
        <w:rPr>
          <w:rFonts w:ascii="Cambria Math" w:hAnsi="Cambria Math"/>
          <w:i/>
          <w:iCs/>
          <w:sz w:val="20"/>
          <w:szCs w:val="20"/>
        </w:rPr>
        <w:t xml:space="preserve"> 100 = –87.7 tonnes C </w:t>
      </w:r>
      <w:r w:rsidRPr="009E06AA">
        <w:rPr>
          <w:rFonts w:ascii="Cambria Math" w:hAnsi="Cambria Math"/>
          <w:i/>
          <w:iCs/>
          <w:sz w:val="20"/>
          <w:szCs w:val="20"/>
        </w:rPr>
        <w:tab/>
        <w:t>(2)</w:t>
      </w:r>
    </w:p>
    <w:p w14:paraId="2036DBDB" w14:textId="77777777" w:rsidR="00053418" w:rsidRPr="009E06AA" w:rsidRDefault="00053418" w:rsidP="00053418">
      <w:pPr>
        <w:pStyle w:val="BodyText"/>
        <w:tabs>
          <w:tab w:val="right" w:pos="7938"/>
        </w:tabs>
        <w:spacing w:before="80" w:after="0"/>
        <w:ind w:left="851"/>
        <w:jc w:val="center"/>
        <w:rPr>
          <w:rFonts w:ascii="Cambria Math" w:hAnsi="Cambria Math"/>
          <w:i/>
          <w:iCs/>
          <w:sz w:val="20"/>
          <w:szCs w:val="20"/>
        </w:rPr>
      </w:pPr>
      <w:r w:rsidRPr="009E06AA">
        <w:rPr>
          <w:rFonts w:ascii="Cambria Math" w:hAnsi="Cambria Math"/>
          <w:i/>
          <w:iCs/>
          <w:sz w:val="20"/>
          <w:szCs w:val="20"/>
        </w:rPr>
        <w:t>Total carbon stock change = –307.4 tonnes C</w:t>
      </w:r>
    </w:p>
    <w:p w14:paraId="739D2963" w14:textId="77777777" w:rsidR="00053418" w:rsidRPr="009E06AA" w:rsidRDefault="00053418" w:rsidP="00053418">
      <w:pPr>
        <w:pStyle w:val="BodyText"/>
        <w:tabs>
          <w:tab w:val="right" w:pos="7938"/>
        </w:tabs>
        <w:spacing w:before="80" w:after="0"/>
        <w:ind w:left="851"/>
        <w:jc w:val="center"/>
        <w:rPr>
          <w:rFonts w:ascii="Cambria Math" w:hAnsi="Cambria Math"/>
          <w:i/>
          <w:iCs/>
          <w:sz w:val="20"/>
          <w:szCs w:val="20"/>
        </w:rPr>
      </w:pPr>
      <w:r w:rsidRPr="009E06AA">
        <w:rPr>
          <w:rFonts w:ascii="Cambria Math" w:hAnsi="Cambria Math"/>
          <w:i/>
          <w:iCs/>
          <w:sz w:val="20"/>
          <w:szCs w:val="20"/>
        </w:rPr>
        <w:t xml:space="preserve">Total emissions = (carbon stock change / 1,000 </w:t>
      </w:r>
      <w:r w:rsidRPr="009E06AA">
        <w:rPr>
          <w:rFonts w:ascii="Cambria Math" w:hAnsi="Cambria Math"/>
          <w:i/>
          <w:iCs/>
          <w:sz w:val="16"/>
          <w:szCs w:val="20"/>
        </w:rPr>
        <w:t>×</w:t>
      </w:r>
      <w:r w:rsidRPr="009E06AA">
        <w:rPr>
          <w:rFonts w:ascii="Cambria Math" w:hAnsi="Cambria Math"/>
          <w:i/>
          <w:iCs/>
          <w:sz w:val="20"/>
          <w:szCs w:val="20"/>
        </w:rPr>
        <w:t xml:space="preserve"> –1) </w:t>
      </w:r>
      <w:r w:rsidRPr="009E06AA">
        <w:rPr>
          <w:rFonts w:ascii="Cambria Math" w:hAnsi="Cambria Math"/>
          <w:i/>
          <w:iCs/>
          <w:sz w:val="16"/>
          <w:szCs w:val="20"/>
        </w:rPr>
        <w:t>×</w:t>
      </w:r>
      <w:r w:rsidRPr="009E06AA">
        <w:rPr>
          <w:rFonts w:ascii="Cambria Math" w:hAnsi="Cambria Math"/>
          <w:i/>
          <w:iCs/>
          <w:sz w:val="20"/>
          <w:szCs w:val="20"/>
        </w:rPr>
        <w:t xml:space="preserve"> (44/12)</w:t>
      </w:r>
    </w:p>
    <w:p w14:paraId="6F49AA15" w14:textId="77777777" w:rsidR="00053418" w:rsidRPr="009E06AA" w:rsidRDefault="00053418" w:rsidP="00053418">
      <w:pPr>
        <w:pStyle w:val="BodyText"/>
        <w:tabs>
          <w:tab w:val="right" w:pos="7938"/>
        </w:tabs>
        <w:spacing w:before="80"/>
        <w:ind w:left="851"/>
        <w:jc w:val="center"/>
        <w:rPr>
          <w:rFonts w:ascii="Cambria Math" w:hAnsi="Cambria Math"/>
          <w:i/>
          <w:iCs/>
          <w:sz w:val="20"/>
          <w:szCs w:val="20"/>
        </w:rPr>
      </w:pPr>
      <w:r w:rsidRPr="009E06AA">
        <w:rPr>
          <w:rFonts w:ascii="Cambria Math" w:hAnsi="Cambria Math"/>
          <w:i/>
          <w:iCs/>
          <w:sz w:val="20"/>
          <w:szCs w:val="20"/>
        </w:rPr>
        <w:t>Total emissions = 1.127 kt CO</w:t>
      </w:r>
      <w:r w:rsidRPr="009E06AA">
        <w:rPr>
          <w:rFonts w:ascii="Cambria Math" w:hAnsi="Cambria Math"/>
          <w:i/>
          <w:iCs/>
          <w:sz w:val="20"/>
          <w:szCs w:val="20"/>
          <w:vertAlign w:val="subscript"/>
        </w:rPr>
        <w:t>2</w:t>
      </w:r>
    </w:p>
    <w:p w14:paraId="780ECFDA" w14:textId="77777777" w:rsidR="00053418" w:rsidRPr="009E06AA" w:rsidRDefault="00053418" w:rsidP="00053418">
      <w:pPr>
        <w:pStyle w:val="BodyText"/>
        <w:spacing w:before="100" w:after="100"/>
      </w:pPr>
      <w:r w:rsidRPr="009E06AA">
        <w:t xml:space="preserve">These calculations have been performed to produce estimates of annual carbon stock and carbon stock changes since 1990. </w:t>
      </w:r>
    </w:p>
    <w:p w14:paraId="6B48D182" w14:textId="77777777" w:rsidR="00053418" w:rsidRPr="009E06AA" w:rsidRDefault="00053418" w:rsidP="00053418">
      <w:pPr>
        <w:pStyle w:val="BodyText"/>
        <w:spacing w:before="100" w:after="100"/>
      </w:pPr>
      <w:r w:rsidRPr="009E06AA">
        <w:t>Note: New Zealand applies the 2006 IPCC Guidelines (IPCC, 2006a) default transition period of 20 years. The area of all land use categories is reported in the conversion status for 20 years, after which it is reported in the land remaining land categories.</w:t>
      </w:r>
    </w:p>
    <w:p w14:paraId="639A570B" w14:textId="77777777" w:rsidR="00053418" w:rsidRPr="009E06AA" w:rsidRDefault="00053418" w:rsidP="00053418">
      <w:pPr>
        <w:pStyle w:val="Heading4"/>
        <w:spacing w:before="200"/>
      </w:pPr>
      <w:bookmarkStart w:id="1701" w:name="_Toc280630208"/>
      <w:bookmarkStart w:id="1702" w:name="_Toc255466297"/>
      <w:bookmarkStart w:id="1703" w:name="_Toc261513104"/>
      <w:bookmarkStart w:id="1704" w:name="_Toc261513717"/>
      <w:r w:rsidRPr="009E06AA">
        <w:t>New Zealand Land Use and Carbon Analysis System</w:t>
      </w:r>
      <w:bookmarkEnd w:id="1701"/>
    </w:p>
    <w:p w14:paraId="330A33B6" w14:textId="77777777" w:rsidR="00053418" w:rsidRPr="009E06AA" w:rsidRDefault="00053418" w:rsidP="00053418">
      <w:pPr>
        <w:pStyle w:val="BodyText"/>
        <w:spacing w:before="100" w:after="100"/>
      </w:pPr>
      <w:r w:rsidRPr="009E06AA">
        <w:t>New Zealand’s LULUCF estimates are calculated using a programme of data collection and modelling called the Land Use and Carbon Analysis System (LUCAS)</w:t>
      </w:r>
      <w:r w:rsidRPr="009E06AA">
        <w:rPr>
          <w:color w:val="000000" w:themeColor="text1"/>
        </w:rPr>
        <w:t>.</w:t>
      </w:r>
      <w:r w:rsidRPr="009E06AA">
        <w:t xml:space="preserve"> This data management system stores, manages and retrieves data for international greenhouse gas reporting for the LULUCF sector. Further details on LUCAS, as well as the databases and applications it draws on, are provided in annex A5.2.9. </w:t>
      </w:r>
      <w:bookmarkEnd w:id="1702"/>
      <w:bookmarkEnd w:id="1703"/>
      <w:bookmarkEnd w:id="1704"/>
    </w:p>
    <w:p w14:paraId="296EAA7B" w14:textId="77777777" w:rsidR="00053418" w:rsidRPr="009E06AA" w:rsidRDefault="00053418" w:rsidP="00053418">
      <w:pPr>
        <w:pStyle w:val="Heading3"/>
        <w:spacing w:before="240"/>
      </w:pPr>
      <w:bookmarkStart w:id="1705" w:name="_Toc280630220"/>
      <w:r w:rsidRPr="009E06AA">
        <w:t>6.1.3</w:t>
      </w:r>
      <w:r w:rsidRPr="009E06AA">
        <w:tab/>
        <w:t>Uncertainties in LULUCF</w:t>
      </w:r>
      <w:bookmarkEnd w:id="1705"/>
    </w:p>
    <w:p w14:paraId="158EF09A" w14:textId="77777777" w:rsidR="00053418" w:rsidRPr="009E06AA" w:rsidRDefault="00053418" w:rsidP="00053418">
      <w:pPr>
        <w:pStyle w:val="BodyText"/>
        <w:spacing w:before="100" w:after="100"/>
      </w:pPr>
      <w:r w:rsidRPr="009E06AA">
        <w:t xml:space="preserve">Uncertainty for the LULUCF sector has been calculated as 65.6 per cent using the Approach 1 </w:t>
      </w:r>
      <w:r w:rsidRPr="009E06AA">
        <w:br/>
        <w:t>– propagation of error method as specified in volume 1, chapter 3 of the 2006 IPCC General Guidance and Reporting (IPCC, 2006b). These uncertainties incorporate natural variability, measurement error and model prediction error. Given this uncertainty, net emissions from the LULUCF sector could range from -6,621.2 kt CO</w:t>
      </w:r>
      <w:r w:rsidRPr="009E06AA">
        <w:rPr>
          <w:vertAlign w:val="subscript"/>
        </w:rPr>
        <w:t>2</w:t>
      </w:r>
      <w:r w:rsidRPr="009E06AA">
        <w:t>-e to -31,856.4 kt CO</w:t>
      </w:r>
      <w:r w:rsidRPr="009E06AA">
        <w:rPr>
          <w:vertAlign w:val="subscript"/>
        </w:rPr>
        <w:t>2</w:t>
      </w:r>
      <w:r w:rsidRPr="009E06AA">
        <w:t xml:space="preserve">-e. Table 6.1.5 shows the three land use categories within the LULUCF sector that make the greatest contribution to uncertainty in the net carbon emissions for the sector. These are given in descending order. </w:t>
      </w:r>
    </w:p>
    <w:p w14:paraId="27B0F51A" w14:textId="77777777" w:rsidR="00053418" w:rsidRPr="009E06AA" w:rsidRDefault="00053418" w:rsidP="00053418">
      <w:pPr>
        <w:pStyle w:val="Table"/>
      </w:pPr>
      <w:bookmarkStart w:id="1706" w:name="_Toc310423396"/>
      <w:bookmarkStart w:id="1707" w:name="_Toc318362689"/>
      <w:bookmarkStart w:id="1708" w:name="_Toc342470751"/>
      <w:bookmarkStart w:id="1709" w:name="_Toc352504991"/>
      <w:bookmarkStart w:id="1710" w:name="_Toc378853277"/>
      <w:bookmarkStart w:id="1711" w:name="_Toc391024075"/>
      <w:bookmarkStart w:id="1712" w:name="_Toc410028818"/>
      <w:bookmarkStart w:id="1713" w:name="_Toc414531446"/>
      <w:bookmarkStart w:id="1714" w:name="_Toc443645359"/>
      <w:bookmarkStart w:id="1715" w:name="_Toc474914578"/>
      <w:bookmarkStart w:id="1716" w:name="_Toc481751542"/>
      <w:bookmarkStart w:id="1717" w:name="_Toc522010599"/>
      <w:bookmarkStart w:id="1718" w:name="_Toc5269504"/>
      <w:bookmarkStart w:id="1719" w:name="_Toc33529380"/>
      <w:bookmarkStart w:id="1720" w:name="_Toc36224586"/>
      <w:bookmarkStart w:id="1721" w:name="_Toc65243581"/>
      <w:bookmarkStart w:id="1722" w:name="_Toc131591385"/>
      <w:bookmarkStart w:id="1723" w:name="_Toc158979943"/>
      <w:bookmarkStart w:id="1724" w:name="_Toc164153876"/>
      <w:r w:rsidRPr="009E06AA">
        <w:t>Table 6.1.5</w:t>
      </w:r>
      <w:r w:rsidRPr="009E06AA">
        <w:tab/>
        <w:t>Land use categories making the greatest contribution to uncertainty in the LULUCF sector</w:t>
      </w:r>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p>
    <w:tbl>
      <w:tblPr>
        <w:tblW w:w="8505" w:type="dxa"/>
        <w:tblBorders>
          <w:top w:val="single" w:sz="4" w:space="0" w:color="1B556B" w:themeColor="text2"/>
          <w:bottom w:val="single" w:sz="4" w:space="0" w:color="1B556B" w:themeColor="text2"/>
          <w:insideH w:val="single" w:sz="4" w:space="0" w:color="1B556B" w:themeColor="text2"/>
        </w:tblBorders>
        <w:tblLook w:val="04A0" w:firstRow="1" w:lastRow="0" w:firstColumn="1" w:lastColumn="0" w:noHBand="0" w:noVBand="1"/>
      </w:tblPr>
      <w:tblGrid>
        <w:gridCol w:w="4678"/>
        <w:gridCol w:w="3827"/>
      </w:tblGrid>
      <w:tr w:rsidR="00053418" w:rsidRPr="009E06AA" w14:paraId="75B4BA6C" w14:textId="77777777" w:rsidTr="00B55F24">
        <w:tc>
          <w:tcPr>
            <w:tcW w:w="4678" w:type="dxa"/>
            <w:shd w:val="clear" w:color="auto" w:fill="1B556B" w:themeFill="text2"/>
            <w:noWrap/>
            <w:vAlign w:val="bottom"/>
            <w:hideMark/>
          </w:tcPr>
          <w:p w14:paraId="4AB79FEA" w14:textId="77777777" w:rsidR="00053418" w:rsidRPr="009E06AA" w:rsidRDefault="00053418" w:rsidP="00B55F24">
            <w:pPr>
              <w:pStyle w:val="TableTextBold"/>
              <w:keepNext/>
              <w:spacing w:before="40" w:after="40"/>
              <w:rPr>
                <w:rFonts w:eastAsia="Arial Bold"/>
                <w:noProof w:val="0"/>
                <w:color w:val="FFFFFF"/>
              </w:rPr>
            </w:pPr>
            <w:r w:rsidRPr="009E06AA">
              <w:rPr>
                <w:rFonts w:eastAsia="Arial Bold"/>
                <w:noProof w:val="0"/>
                <w:color w:val="FFFFFF"/>
              </w:rPr>
              <w:t>Land use category</w:t>
            </w:r>
          </w:p>
        </w:tc>
        <w:tc>
          <w:tcPr>
            <w:tcW w:w="3827" w:type="dxa"/>
            <w:shd w:val="clear" w:color="auto" w:fill="1B556B" w:themeFill="text2"/>
            <w:noWrap/>
            <w:vAlign w:val="bottom"/>
            <w:hideMark/>
          </w:tcPr>
          <w:p w14:paraId="017EBA10" w14:textId="77777777" w:rsidR="00053418" w:rsidRPr="009E06AA" w:rsidRDefault="00053418" w:rsidP="00314B3B">
            <w:pPr>
              <w:pStyle w:val="TableTextBold"/>
              <w:keepNext/>
              <w:spacing w:before="40" w:after="40"/>
              <w:jc w:val="right"/>
              <w:rPr>
                <w:rFonts w:eastAsia="Arial Bold"/>
                <w:noProof w:val="0"/>
                <w:color w:val="FFFFFF"/>
              </w:rPr>
            </w:pPr>
            <w:r w:rsidRPr="009E06AA">
              <w:rPr>
                <w:rFonts w:eastAsia="Arial Bold"/>
                <w:noProof w:val="0"/>
                <w:color w:val="FFFFFF"/>
              </w:rPr>
              <w:t>Uncertainty introduced into emissions for LULUCF (%)</w:t>
            </w:r>
          </w:p>
        </w:tc>
      </w:tr>
      <w:tr w:rsidR="00053418" w:rsidRPr="009E06AA" w14:paraId="0A765917" w14:textId="77777777" w:rsidTr="00B55F24">
        <w:tc>
          <w:tcPr>
            <w:tcW w:w="4678" w:type="dxa"/>
            <w:shd w:val="clear" w:color="auto" w:fill="auto"/>
            <w:noWrap/>
            <w:hideMark/>
          </w:tcPr>
          <w:p w14:paraId="3160AD6F" w14:textId="77777777" w:rsidR="00053418" w:rsidRPr="009E06AA" w:rsidRDefault="00053418" w:rsidP="00B55F24">
            <w:pPr>
              <w:pStyle w:val="TableText"/>
              <w:keepNext/>
              <w:spacing w:before="40" w:after="40"/>
              <w:rPr>
                <w:rFonts w:eastAsia="Arial Bold"/>
              </w:rPr>
            </w:pPr>
            <w:r w:rsidRPr="009E06AA">
              <w:rPr>
                <w:rFonts w:eastAsia="Arial Bold"/>
              </w:rPr>
              <w:t>Pre-1990 planted forest</w:t>
            </w:r>
          </w:p>
        </w:tc>
        <w:tc>
          <w:tcPr>
            <w:tcW w:w="3827" w:type="dxa"/>
            <w:shd w:val="clear" w:color="auto" w:fill="auto"/>
            <w:noWrap/>
            <w:hideMark/>
          </w:tcPr>
          <w:p w14:paraId="64EA456D" w14:textId="77777777" w:rsidR="00053418" w:rsidRPr="009E06AA" w:rsidRDefault="00053418" w:rsidP="00314B3B">
            <w:pPr>
              <w:pStyle w:val="TableText"/>
              <w:spacing w:before="40" w:after="40"/>
              <w:jc w:val="right"/>
              <w:rPr>
                <w:rFonts w:eastAsia="Arial Bold"/>
              </w:rPr>
            </w:pPr>
            <w:r w:rsidRPr="009E06AA">
              <w:t>± 53.0</w:t>
            </w:r>
          </w:p>
        </w:tc>
      </w:tr>
      <w:tr w:rsidR="00053418" w:rsidRPr="009E06AA" w14:paraId="063710A7" w14:textId="77777777" w:rsidTr="00B55F24">
        <w:tc>
          <w:tcPr>
            <w:tcW w:w="4678" w:type="dxa"/>
            <w:shd w:val="clear" w:color="auto" w:fill="auto"/>
            <w:noWrap/>
            <w:hideMark/>
          </w:tcPr>
          <w:p w14:paraId="79448FCF" w14:textId="77777777" w:rsidR="00053418" w:rsidRPr="009E06AA" w:rsidRDefault="00053418" w:rsidP="00B55F24">
            <w:pPr>
              <w:pStyle w:val="TableText"/>
              <w:keepNext/>
              <w:spacing w:before="40" w:after="40"/>
              <w:rPr>
                <w:rFonts w:eastAsia="Arial Bold"/>
              </w:rPr>
            </w:pPr>
            <w:r w:rsidRPr="009E06AA">
              <w:rPr>
                <w:rFonts w:eastAsia="Arial Bold"/>
              </w:rPr>
              <w:t>Post-1989 planted forest</w:t>
            </w:r>
          </w:p>
        </w:tc>
        <w:tc>
          <w:tcPr>
            <w:tcW w:w="3827" w:type="dxa"/>
            <w:shd w:val="clear" w:color="auto" w:fill="auto"/>
            <w:noWrap/>
            <w:hideMark/>
          </w:tcPr>
          <w:p w14:paraId="564DEAD7" w14:textId="77777777" w:rsidR="00053418" w:rsidRPr="009E06AA" w:rsidRDefault="00053418" w:rsidP="00314B3B">
            <w:pPr>
              <w:pStyle w:val="TableText"/>
              <w:spacing w:before="40" w:after="40"/>
              <w:jc w:val="right"/>
              <w:rPr>
                <w:rFonts w:eastAsia="Arial Bold"/>
              </w:rPr>
            </w:pPr>
            <w:r w:rsidRPr="009E06AA">
              <w:t>± 23.4</w:t>
            </w:r>
          </w:p>
        </w:tc>
      </w:tr>
      <w:tr w:rsidR="00053418" w:rsidRPr="009E06AA" w14:paraId="342DE668" w14:textId="77777777" w:rsidTr="00B55F24">
        <w:tc>
          <w:tcPr>
            <w:tcW w:w="4678" w:type="dxa"/>
            <w:shd w:val="clear" w:color="auto" w:fill="auto"/>
            <w:noWrap/>
            <w:hideMark/>
          </w:tcPr>
          <w:p w14:paraId="09868248" w14:textId="77777777" w:rsidR="00053418" w:rsidRPr="009E06AA" w:rsidRDefault="00053418" w:rsidP="00B55F24">
            <w:pPr>
              <w:pStyle w:val="TableText"/>
              <w:spacing w:before="40" w:after="40"/>
              <w:rPr>
                <w:rFonts w:eastAsia="Arial Bold"/>
              </w:rPr>
            </w:pPr>
            <w:r w:rsidRPr="009E06AA">
              <w:rPr>
                <w:rFonts w:eastAsia="Arial Bold"/>
              </w:rPr>
              <w:t>Harvested wood products</w:t>
            </w:r>
          </w:p>
        </w:tc>
        <w:tc>
          <w:tcPr>
            <w:tcW w:w="3827" w:type="dxa"/>
            <w:shd w:val="clear" w:color="auto" w:fill="auto"/>
            <w:noWrap/>
            <w:hideMark/>
          </w:tcPr>
          <w:p w14:paraId="0840ACB2" w14:textId="77777777" w:rsidR="00053418" w:rsidRPr="009E06AA" w:rsidRDefault="00053418" w:rsidP="00314B3B">
            <w:pPr>
              <w:pStyle w:val="TableText"/>
              <w:spacing w:before="40" w:after="40"/>
              <w:jc w:val="right"/>
              <w:rPr>
                <w:rFonts w:eastAsia="Arial Bold"/>
              </w:rPr>
            </w:pPr>
            <w:r w:rsidRPr="009E06AA">
              <w:t>± 23.3</w:t>
            </w:r>
          </w:p>
        </w:tc>
      </w:tr>
    </w:tbl>
    <w:p w14:paraId="5FECF108" w14:textId="77777777" w:rsidR="00053418" w:rsidRPr="009E06AA" w:rsidRDefault="00053418" w:rsidP="00053418">
      <w:pPr>
        <w:pStyle w:val="BodyText"/>
        <w:spacing w:before="240" w:after="100"/>
      </w:pPr>
      <w:r w:rsidRPr="009E06AA">
        <w:t>The greatest contribution of uncertainty to the LULUCF sector arises from pre-1990 planted forest in the</w:t>
      </w:r>
      <w:r w:rsidRPr="009E06AA">
        <w:rPr>
          <w:i/>
        </w:rPr>
        <w:t xml:space="preserve"> Forest land </w:t>
      </w:r>
      <w:r w:rsidRPr="009E06AA">
        <w:t>category</w:t>
      </w:r>
      <w:r w:rsidRPr="009E06AA">
        <w:rPr>
          <w:i/>
        </w:rPr>
        <w:t>.</w:t>
      </w:r>
      <w:r w:rsidRPr="009E06AA">
        <w:t xml:space="preserve"> The age structure of the pre-1990 planted forest estate results in large removals from growth and large emissions from harvesting. The uncertainty is calculated by combining the uncertainty of both the emissions from harvest and those from forest growth. This results in a high uncertainty relative to the net emissions estimate from both the carbon gains and losses. </w:t>
      </w:r>
    </w:p>
    <w:p w14:paraId="1FE7A42A" w14:textId="77777777" w:rsidR="00053418" w:rsidRPr="009E06AA" w:rsidRDefault="00053418" w:rsidP="00053418">
      <w:pPr>
        <w:pStyle w:val="BodyText"/>
        <w:spacing w:before="100" w:after="100"/>
      </w:pPr>
      <w:r w:rsidRPr="009E06AA">
        <w:t>The second-greatest contribution of uncertainty to the LULUCF sector comes from the post-1989 planted forest in the</w:t>
      </w:r>
      <w:r w:rsidRPr="009E06AA">
        <w:rPr>
          <w:i/>
        </w:rPr>
        <w:t xml:space="preserve"> Forest land </w:t>
      </w:r>
      <w:r w:rsidRPr="009E06AA">
        <w:t xml:space="preserve">category. The age structure of the post-1989 planted forest estate also results in large removals from growth and large emissions from harvesting. Because </w:t>
      </w:r>
      <w:r w:rsidRPr="009E06AA">
        <w:rPr>
          <w:spacing w:val="-2"/>
        </w:rPr>
        <w:t>of the</w:t>
      </w:r>
      <w:r w:rsidRPr="009E06AA" w:rsidDel="00F81B1B">
        <w:rPr>
          <w:spacing w:val="-2"/>
        </w:rPr>
        <w:t xml:space="preserve"> </w:t>
      </w:r>
      <w:r w:rsidRPr="009E06AA">
        <w:rPr>
          <w:spacing w:val="-2"/>
        </w:rPr>
        <w:t>uncertainty in these two factors, combined with the large scale of emissions and removals i</w:t>
      </w:r>
      <w:r w:rsidRPr="009E06AA">
        <w:t>n this category,</w:t>
      </w:r>
      <w:r w:rsidRPr="009E06AA" w:rsidDel="00F81B1B">
        <w:t xml:space="preserve"> </w:t>
      </w:r>
      <w:r w:rsidRPr="009E06AA">
        <w:t xml:space="preserve">post-1989 planted forest makes a high contribution of uncertainty to the LULUCF sector. </w:t>
      </w:r>
    </w:p>
    <w:p w14:paraId="14919416" w14:textId="77777777" w:rsidR="00053418" w:rsidRPr="009E06AA" w:rsidRDefault="00053418" w:rsidP="00053418">
      <w:pPr>
        <w:pStyle w:val="BodyText"/>
      </w:pPr>
      <w:r w:rsidRPr="009E06AA">
        <w:rPr>
          <w:i/>
        </w:rPr>
        <w:t>Harvested wood products</w:t>
      </w:r>
      <w:r w:rsidRPr="009E06AA">
        <w:t xml:space="preserve"> provide the third-greatest contribution to uncertainty in the LULUCF sector. This is driven by large removals in the category and relatively high uncertainty associated with the end-use and discard rates of New Zealand wood (±68.2 per cent).</w:t>
      </w:r>
    </w:p>
    <w:p w14:paraId="2FEAC5A4" w14:textId="77777777" w:rsidR="00053418" w:rsidRPr="009E06AA" w:rsidRDefault="00053418" w:rsidP="00053418">
      <w:pPr>
        <w:pStyle w:val="BodyText"/>
      </w:pPr>
      <w:r w:rsidRPr="009E06AA">
        <w:t>Further information on uncertainties and the reasons for their relative contributions to the LULUCF sector, as well as details on emission factor and activity data uncertainties for specific land uses and non-CO</w:t>
      </w:r>
      <w:r w:rsidRPr="009E06AA">
        <w:rPr>
          <w:vertAlign w:val="subscript"/>
        </w:rPr>
        <w:t>2</w:t>
      </w:r>
      <w:r w:rsidRPr="009E06AA">
        <w:t xml:space="preserve"> emissions are given within the relevant category sections of this chapter. </w:t>
      </w:r>
    </w:p>
    <w:p w14:paraId="5CAD0084" w14:textId="77777777" w:rsidR="00053418" w:rsidRPr="009E06AA" w:rsidRDefault="00053418" w:rsidP="00053418">
      <w:pPr>
        <w:pStyle w:val="Heading3"/>
        <w:spacing w:before="280"/>
      </w:pPr>
      <w:bookmarkStart w:id="1725" w:name="_Toc280630221"/>
      <w:r w:rsidRPr="009E06AA">
        <w:t>6.1.4</w:t>
      </w:r>
      <w:r w:rsidRPr="009E06AA">
        <w:tab/>
        <w:t>Recalculations in LULUCF</w:t>
      </w:r>
      <w:bookmarkEnd w:id="1725"/>
    </w:p>
    <w:p w14:paraId="73F99CEB" w14:textId="77777777" w:rsidR="00053418" w:rsidRPr="009E06AA" w:rsidRDefault="00053418" w:rsidP="00053418">
      <w:pPr>
        <w:pStyle w:val="BodyText"/>
      </w:pPr>
      <w:r w:rsidRPr="009E06AA">
        <w:t>Throughout this chapter, recalculations are presented by applying 100-year time horizon global warming potential values from the Intergovernmental Panel on Climate Change (IPCC) Fifth Assessment Report (IPCC, 2013) for both the previous and current submission to ensure a like-for-like comparison (IPCC, 2006b). The change from applying the 100-year time horizon global warming potential values from the IPCC’s Fourth Assessment Report (IPCC, 2007) in the previous submission, to applying the Fifth Assessment Report values in the current submission, has not been considered as a recalculation to the inventory.</w:t>
      </w:r>
    </w:p>
    <w:p w14:paraId="4A05E2D3" w14:textId="77777777" w:rsidR="00053418" w:rsidRPr="009E06AA" w:rsidRDefault="00053418" w:rsidP="00053418">
      <w:pPr>
        <w:pStyle w:val="BodyText"/>
      </w:pPr>
      <w:r w:rsidRPr="009E06AA">
        <w:t xml:space="preserve">For the 2024 submission, New Zealand has recalculated its emissions estimates for the LULUCF sector from 1990 to 2021. The recalculations incorporate new activity data from land use mapping and updated emission factors. These recalculations have improved the accuracy, consistency and completeness of the LULUCF estimates. </w:t>
      </w:r>
    </w:p>
    <w:p w14:paraId="5EDB9171" w14:textId="77777777" w:rsidR="00053418" w:rsidRPr="009E06AA" w:rsidRDefault="00053418" w:rsidP="00053418">
      <w:pPr>
        <w:pStyle w:val="BodyText"/>
      </w:pPr>
      <w:r w:rsidRPr="009E06AA">
        <w:t>As a result of the recalculations, estimates of net emissions in 1990 have decreased by 20.4</w:t>
      </w:r>
      <w:r w:rsidRPr="009E06AA" w:rsidDel="00277D68">
        <w:t xml:space="preserve"> </w:t>
      </w:r>
      <w:r w:rsidRPr="009E06AA">
        <w:t xml:space="preserve">per </w:t>
      </w:r>
      <w:r w:rsidRPr="009E06AA">
        <w:rPr>
          <w:spacing w:val="-2"/>
        </w:rPr>
        <w:t>cent, and net emissions in 2021 have increased by 2.8 per cent (see table 6.1.6). The impact of these recalculations on net CO</w:t>
      </w:r>
      <w:r w:rsidRPr="009E06AA">
        <w:rPr>
          <w:spacing w:val="-2"/>
          <w:vertAlign w:val="subscript"/>
        </w:rPr>
        <w:t>2</w:t>
      </w:r>
      <w:r w:rsidRPr="009E06AA">
        <w:rPr>
          <w:spacing w:val="-2"/>
        </w:rPr>
        <w:t>-e emissions in each land use category is provided in table 6.1.7</w:t>
      </w:r>
      <w:r w:rsidRPr="009E06AA">
        <w:t xml:space="preserve">. </w:t>
      </w:r>
    </w:p>
    <w:p w14:paraId="28677F42" w14:textId="77777777" w:rsidR="00053418" w:rsidRPr="009E06AA" w:rsidRDefault="00053418" w:rsidP="00053418">
      <w:pPr>
        <w:pStyle w:val="Table"/>
      </w:pPr>
      <w:bookmarkStart w:id="1726" w:name="_Toc310423397"/>
      <w:bookmarkStart w:id="1727" w:name="_Toc318362690"/>
      <w:bookmarkStart w:id="1728" w:name="_Toc342470752"/>
      <w:bookmarkStart w:id="1729" w:name="_Toc352504992"/>
      <w:bookmarkStart w:id="1730" w:name="_Toc378853278"/>
      <w:bookmarkStart w:id="1731" w:name="_Toc391024076"/>
      <w:bookmarkStart w:id="1732" w:name="_Toc410028819"/>
      <w:bookmarkStart w:id="1733" w:name="_Toc414531447"/>
      <w:bookmarkStart w:id="1734" w:name="_Toc443645360"/>
      <w:bookmarkStart w:id="1735" w:name="_Toc474914579"/>
      <w:bookmarkStart w:id="1736" w:name="_Toc481751543"/>
      <w:bookmarkStart w:id="1737" w:name="_Toc522010600"/>
      <w:bookmarkStart w:id="1738" w:name="_Toc5269505"/>
      <w:bookmarkStart w:id="1739" w:name="_Toc33529381"/>
      <w:bookmarkStart w:id="1740" w:name="_Toc36224587"/>
      <w:bookmarkStart w:id="1741" w:name="_Toc65243582"/>
      <w:bookmarkStart w:id="1742" w:name="_Toc131591386"/>
      <w:bookmarkStart w:id="1743" w:name="_Toc158979944"/>
      <w:bookmarkStart w:id="1744" w:name="_Toc164153877"/>
      <w:r w:rsidRPr="009E06AA">
        <w:t>Table 6.1.6</w:t>
      </w:r>
      <w:r w:rsidRPr="009E06AA">
        <w:tab/>
        <w:t>Recalculations to New Zealand’s total net LULUCF emissions</w:t>
      </w:r>
      <w:bookmarkEnd w:id="1726"/>
      <w:bookmarkEnd w:id="1727"/>
      <w:bookmarkEnd w:id="1728"/>
      <w:bookmarkEnd w:id="1729"/>
      <w:bookmarkEnd w:id="1730"/>
      <w:r w:rsidRPr="009E06AA">
        <w:t xml:space="preserve"> for 1990 and</w:t>
      </w:r>
      <w:bookmarkEnd w:id="1731"/>
      <w:r w:rsidRPr="009E06AA">
        <w:t> </w:t>
      </w:r>
      <w:bookmarkEnd w:id="1732"/>
      <w:bookmarkEnd w:id="1733"/>
      <w:bookmarkEnd w:id="1734"/>
      <w:bookmarkEnd w:id="1735"/>
      <w:bookmarkEnd w:id="1736"/>
      <w:bookmarkEnd w:id="1737"/>
      <w:bookmarkEnd w:id="1738"/>
      <w:bookmarkEnd w:id="1739"/>
      <w:bookmarkEnd w:id="1740"/>
      <w:bookmarkEnd w:id="1741"/>
      <w:r w:rsidRPr="009E06AA">
        <w:t>2021</w:t>
      </w:r>
      <w:bookmarkEnd w:id="1742"/>
      <w:bookmarkEnd w:id="1743"/>
      <w:bookmarkEnd w:id="1744"/>
    </w:p>
    <w:tbl>
      <w:tblPr>
        <w:tblW w:w="8505" w:type="dxa"/>
        <w:tblBorders>
          <w:top w:val="single" w:sz="4" w:space="0" w:color="1B556B" w:themeColor="text2"/>
          <w:bottom w:val="single" w:sz="4" w:space="0" w:color="1B556B" w:themeColor="text2"/>
          <w:insideH w:val="single" w:sz="4" w:space="0" w:color="1B556B" w:themeColor="text2"/>
        </w:tblBorders>
        <w:tblLayout w:type="fixed"/>
        <w:tblLook w:val="0420" w:firstRow="1" w:lastRow="0" w:firstColumn="0" w:lastColumn="0" w:noHBand="0" w:noVBand="1"/>
      </w:tblPr>
      <w:tblGrid>
        <w:gridCol w:w="2594"/>
        <w:gridCol w:w="1585"/>
        <w:gridCol w:w="1730"/>
        <w:gridCol w:w="1298"/>
        <w:gridCol w:w="1298"/>
      </w:tblGrid>
      <w:tr w:rsidR="00053418" w:rsidRPr="009E06AA" w14:paraId="084372F7" w14:textId="77777777" w:rsidTr="00B55F24">
        <w:trPr>
          <w:tblHeader/>
        </w:trPr>
        <w:tc>
          <w:tcPr>
            <w:tcW w:w="2552" w:type="dxa"/>
            <w:shd w:val="clear" w:color="auto" w:fill="1B556B"/>
            <w:tcMar>
              <w:top w:w="0" w:type="dxa"/>
              <w:left w:w="85" w:type="dxa"/>
              <w:bottom w:w="0" w:type="dxa"/>
              <w:right w:w="85" w:type="dxa"/>
            </w:tcMar>
            <w:vAlign w:val="center"/>
          </w:tcPr>
          <w:p w14:paraId="2589CD56" w14:textId="77777777" w:rsidR="00053418" w:rsidRPr="009E06AA" w:rsidRDefault="00053418" w:rsidP="00B55F24">
            <w:pPr>
              <w:pStyle w:val="TableText"/>
              <w:spacing w:after="0"/>
              <w:jc w:val="center"/>
            </w:pPr>
          </w:p>
        </w:tc>
        <w:tc>
          <w:tcPr>
            <w:tcW w:w="3260" w:type="dxa"/>
            <w:gridSpan w:val="2"/>
            <w:shd w:val="clear" w:color="auto" w:fill="1B556B"/>
            <w:tcMar>
              <w:top w:w="0" w:type="dxa"/>
              <w:left w:w="85" w:type="dxa"/>
              <w:bottom w:w="0" w:type="dxa"/>
              <w:right w:w="85" w:type="dxa"/>
            </w:tcMar>
            <w:vAlign w:val="center"/>
          </w:tcPr>
          <w:p w14:paraId="32972539" w14:textId="77777777" w:rsidR="00053418" w:rsidRPr="009E06AA" w:rsidRDefault="00053418" w:rsidP="00B55F24">
            <w:pPr>
              <w:pStyle w:val="TableText"/>
              <w:tabs>
                <w:tab w:val="left" w:pos="725"/>
              </w:tabs>
              <w:spacing w:after="0"/>
              <w:jc w:val="center"/>
            </w:pPr>
            <w:r w:rsidRPr="009E06AA">
              <w:rPr>
                <w:rFonts w:eastAsia="Calibri" w:cs="Calibri"/>
                <w:b/>
                <w:color w:val="FFFFFF"/>
                <w:szCs w:val="16"/>
              </w:rPr>
              <w:t>Reported net emissions (kt CO₂-e)</w:t>
            </w:r>
          </w:p>
        </w:tc>
        <w:tc>
          <w:tcPr>
            <w:tcW w:w="2552" w:type="dxa"/>
            <w:gridSpan w:val="2"/>
            <w:shd w:val="clear" w:color="auto" w:fill="1B556B"/>
            <w:tcMar>
              <w:top w:w="0" w:type="dxa"/>
              <w:left w:w="85" w:type="dxa"/>
              <w:bottom w:w="0" w:type="dxa"/>
              <w:right w:w="85" w:type="dxa"/>
            </w:tcMar>
            <w:vAlign w:val="center"/>
          </w:tcPr>
          <w:p w14:paraId="6B7BD266" w14:textId="77777777" w:rsidR="00053418" w:rsidRPr="009E06AA" w:rsidRDefault="00053418" w:rsidP="00B55F24">
            <w:pPr>
              <w:pStyle w:val="TableText"/>
              <w:tabs>
                <w:tab w:val="left" w:pos="813"/>
              </w:tabs>
              <w:spacing w:after="0"/>
              <w:jc w:val="center"/>
            </w:pPr>
            <w:r w:rsidRPr="009E06AA">
              <w:rPr>
                <w:rFonts w:eastAsia="Calibri" w:cs="Calibri"/>
                <w:b/>
                <w:color w:val="FFFFFF"/>
                <w:szCs w:val="16"/>
              </w:rPr>
              <w:t>Change in estimate</w:t>
            </w:r>
          </w:p>
        </w:tc>
      </w:tr>
      <w:tr w:rsidR="00053418" w:rsidRPr="009E06AA" w14:paraId="436C871F" w14:textId="77777777" w:rsidTr="00B55F24">
        <w:trPr>
          <w:tblHeader/>
        </w:trPr>
        <w:tc>
          <w:tcPr>
            <w:tcW w:w="2552" w:type="dxa"/>
            <w:shd w:val="clear" w:color="auto" w:fill="1B556B"/>
            <w:tcMar>
              <w:top w:w="0" w:type="dxa"/>
              <w:left w:w="85" w:type="dxa"/>
              <w:bottom w:w="0" w:type="dxa"/>
              <w:right w:w="85" w:type="dxa"/>
            </w:tcMar>
            <w:vAlign w:val="center"/>
          </w:tcPr>
          <w:p w14:paraId="1E9E3464" w14:textId="77777777" w:rsidR="00053418" w:rsidRPr="009E06AA" w:rsidRDefault="00053418" w:rsidP="00B55F24">
            <w:pPr>
              <w:pStyle w:val="TableText"/>
            </w:pPr>
            <w:r w:rsidRPr="009E06AA">
              <w:rPr>
                <w:rFonts w:eastAsia="Calibri" w:cs="Calibri"/>
                <w:b/>
                <w:color w:val="FFFFFF"/>
                <w:szCs w:val="16"/>
              </w:rPr>
              <w:t>Year</w:t>
            </w:r>
          </w:p>
        </w:tc>
        <w:tc>
          <w:tcPr>
            <w:tcW w:w="1559" w:type="dxa"/>
            <w:shd w:val="clear" w:color="auto" w:fill="1B556B"/>
            <w:tcMar>
              <w:top w:w="0" w:type="dxa"/>
              <w:left w:w="85" w:type="dxa"/>
              <w:bottom w:w="0" w:type="dxa"/>
              <w:right w:w="85" w:type="dxa"/>
            </w:tcMar>
            <w:vAlign w:val="center"/>
          </w:tcPr>
          <w:p w14:paraId="364C9ED2" w14:textId="77777777" w:rsidR="00053418" w:rsidRPr="009E06AA" w:rsidRDefault="00053418" w:rsidP="00314B3B">
            <w:pPr>
              <w:pStyle w:val="TableText"/>
              <w:jc w:val="right"/>
            </w:pPr>
            <w:r w:rsidRPr="009E06AA">
              <w:rPr>
                <w:rFonts w:eastAsia="Calibri" w:cs="Calibri"/>
                <w:b/>
                <w:color w:val="FFFFFF"/>
                <w:szCs w:val="16"/>
              </w:rPr>
              <w:t>2023 submission</w:t>
            </w:r>
          </w:p>
        </w:tc>
        <w:tc>
          <w:tcPr>
            <w:tcW w:w="1701" w:type="dxa"/>
            <w:shd w:val="clear" w:color="auto" w:fill="1B556B"/>
            <w:tcMar>
              <w:top w:w="0" w:type="dxa"/>
              <w:left w:w="85" w:type="dxa"/>
              <w:bottom w:w="0" w:type="dxa"/>
              <w:right w:w="85" w:type="dxa"/>
            </w:tcMar>
            <w:vAlign w:val="center"/>
          </w:tcPr>
          <w:p w14:paraId="3475A47F" w14:textId="77777777" w:rsidR="00053418" w:rsidRPr="009E06AA" w:rsidRDefault="00053418" w:rsidP="00314B3B">
            <w:pPr>
              <w:pStyle w:val="TableText"/>
              <w:jc w:val="right"/>
            </w:pPr>
            <w:r w:rsidRPr="009E06AA">
              <w:rPr>
                <w:rFonts w:eastAsia="Calibri" w:cs="Calibri"/>
                <w:b/>
                <w:color w:val="FFFFFF"/>
                <w:szCs w:val="16"/>
              </w:rPr>
              <w:t>2024 submission</w:t>
            </w:r>
          </w:p>
        </w:tc>
        <w:tc>
          <w:tcPr>
            <w:tcW w:w="1276" w:type="dxa"/>
            <w:shd w:val="clear" w:color="auto" w:fill="1B556B"/>
            <w:tcMar>
              <w:top w:w="0" w:type="dxa"/>
              <w:left w:w="85" w:type="dxa"/>
              <w:bottom w:w="0" w:type="dxa"/>
              <w:right w:w="85" w:type="dxa"/>
            </w:tcMar>
            <w:vAlign w:val="center"/>
          </w:tcPr>
          <w:p w14:paraId="20347D8C" w14:textId="77777777" w:rsidR="00053418" w:rsidRPr="009E06AA" w:rsidRDefault="00053418" w:rsidP="00314B3B">
            <w:pPr>
              <w:pStyle w:val="TableText"/>
              <w:jc w:val="right"/>
            </w:pPr>
            <w:r w:rsidRPr="009E06AA">
              <w:rPr>
                <w:rFonts w:eastAsia="Calibri" w:cs="Calibri"/>
                <w:b/>
                <w:color w:val="FFFFFF"/>
                <w:szCs w:val="16"/>
              </w:rPr>
              <w:t>(kt CO</w:t>
            </w:r>
            <w:r w:rsidRPr="009E06AA">
              <w:rPr>
                <w:rFonts w:eastAsia="Calibri" w:cs="Calibri"/>
                <w:b/>
                <w:color w:val="FFFFFF"/>
                <w:szCs w:val="16"/>
                <w:vertAlign w:val="subscript"/>
              </w:rPr>
              <w:t>2</w:t>
            </w:r>
            <w:r w:rsidRPr="009E06AA">
              <w:rPr>
                <w:rFonts w:eastAsia="Calibri" w:cs="Calibri"/>
                <w:b/>
                <w:color w:val="FFFFFF"/>
                <w:szCs w:val="16"/>
              </w:rPr>
              <w:t>e)</w:t>
            </w:r>
          </w:p>
        </w:tc>
        <w:tc>
          <w:tcPr>
            <w:tcW w:w="1276" w:type="dxa"/>
            <w:shd w:val="clear" w:color="auto" w:fill="1B556B"/>
            <w:tcMar>
              <w:top w:w="0" w:type="dxa"/>
              <w:left w:w="85" w:type="dxa"/>
              <w:bottom w:w="0" w:type="dxa"/>
              <w:right w:w="85" w:type="dxa"/>
            </w:tcMar>
            <w:vAlign w:val="center"/>
          </w:tcPr>
          <w:p w14:paraId="18C11C6F" w14:textId="77777777" w:rsidR="00053418" w:rsidRPr="009E06AA" w:rsidRDefault="00053418" w:rsidP="00314B3B">
            <w:pPr>
              <w:pStyle w:val="TableText"/>
              <w:jc w:val="right"/>
            </w:pPr>
            <w:r w:rsidRPr="009E06AA">
              <w:rPr>
                <w:rFonts w:eastAsia="Calibri" w:cs="Calibri"/>
                <w:b/>
                <w:color w:val="FFFFFF"/>
                <w:szCs w:val="16"/>
              </w:rPr>
              <w:t>(%)</w:t>
            </w:r>
          </w:p>
        </w:tc>
      </w:tr>
      <w:tr w:rsidR="00053418" w:rsidRPr="009E06AA" w14:paraId="592A4FF9" w14:textId="77777777" w:rsidTr="00B55F24">
        <w:tc>
          <w:tcPr>
            <w:tcW w:w="2552" w:type="dxa"/>
            <w:shd w:val="clear" w:color="auto" w:fill="FFFFFF"/>
            <w:tcMar>
              <w:top w:w="0" w:type="dxa"/>
              <w:left w:w="85" w:type="dxa"/>
              <w:bottom w:w="0" w:type="dxa"/>
              <w:right w:w="85" w:type="dxa"/>
            </w:tcMar>
            <w:vAlign w:val="center"/>
          </w:tcPr>
          <w:p w14:paraId="35887DF7" w14:textId="77777777" w:rsidR="00053418" w:rsidRPr="009E06AA" w:rsidRDefault="00053418" w:rsidP="00B55F24">
            <w:pPr>
              <w:pStyle w:val="TableText"/>
              <w:spacing w:before="40" w:after="40"/>
            </w:pPr>
            <w:r w:rsidRPr="009E06AA">
              <w:rPr>
                <w:rFonts w:eastAsia="Calibri" w:cs="Calibri"/>
                <w:color w:val="000000"/>
                <w:szCs w:val="16"/>
              </w:rPr>
              <w:t>1990</w:t>
            </w:r>
          </w:p>
        </w:tc>
        <w:tc>
          <w:tcPr>
            <w:tcW w:w="1559" w:type="dxa"/>
            <w:shd w:val="clear" w:color="auto" w:fill="FFFFFF"/>
            <w:tcMar>
              <w:top w:w="0" w:type="dxa"/>
              <w:left w:w="85" w:type="dxa"/>
              <w:bottom w:w="0" w:type="dxa"/>
              <w:right w:w="85" w:type="dxa"/>
            </w:tcMar>
            <w:vAlign w:val="center"/>
          </w:tcPr>
          <w:p w14:paraId="50552E11" w14:textId="77777777" w:rsidR="00053418" w:rsidRPr="009E06AA" w:rsidRDefault="00053418" w:rsidP="00314B3B">
            <w:pPr>
              <w:pStyle w:val="TableText"/>
              <w:spacing w:before="40" w:after="40"/>
              <w:jc w:val="right"/>
            </w:pPr>
            <w:r w:rsidRPr="009E06AA">
              <w:rPr>
                <w:rFonts w:eastAsia="Calibri" w:cs="Calibri"/>
                <w:color w:val="000000"/>
                <w:szCs w:val="16"/>
              </w:rPr>
              <w:t>-20,199.1</w:t>
            </w:r>
          </w:p>
        </w:tc>
        <w:tc>
          <w:tcPr>
            <w:tcW w:w="1701" w:type="dxa"/>
            <w:shd w:val="clear" w:color="auto" w:fill="FFFFFF"/>
            <w:tcMar>
              <w:top w:w="0" w:type="dxa"/>
              <w:left w:w="85" w:type="dxa"/>
              <w:bottom w:w="0" w:type="dxa"/>
              <w:right w:w="85" w:type="dxa"/>
            </w:tcMar>
            <w:vAlign w:val="center"/>
          </w:tcPr>
          <w:p w14:paraId="6ED52AFF" w14:textId="77777777" w:rsidR="00053418" w:rsidRPr="009E06AA" w:rsidRDefault="00053418" w:rsidP="00314B3B">
            <w:pPr>
              <w:pStyle w:val="TableText"/>
              <w:spacing w:before="40" w:after="40"/>
              <w:jc w:val="right"/>
            </w:pPr>
            <w:r w:rsidRPr="009E06AA">
              <w:rPr>
                <w:rFonts w:eastAsia="Calibri" w:cs="Calibri"/>
                <w:color w:val="000000"/>
                <w:szCs w:val="16"/>
              </w:rPr>
              <w:t>-24,324.6</w:t>
            </w:r>
          </w:p>
        </w:tc>
        <w:tc>
          <w:tcPr>
            <w:tcW w:w="1276" w:type="dxa"/>
            <w:shd w:val="clear" w:color="auto" w:fill="FFFFFF"/>
            <w:tcMar>
              <w:top w:w="0" w:type="dxa"/>
              <w:left w:w="85" w:type="dxa"/>
              <w:bottom w:w="0" w:type="dxa"/>
              <w:right w:w="85" w:type="dxa"/>
            </w:tcMar>
            <w:vAlign w:val="center"/>
          </w:tcPr>
          <w:p w14:paraId="02DF7D44" w14:textId="77777777" w:rsidR="00053418" w:rsidRPr="009E06AA" w:rsidRDefault="00053418" w:rsidP="00314B3B">
            <w:pPr>
              <w:pStyle w:val="TableText"/>
              <w:spacing w:before="40" w:after="40"/>
              <w:jc w:val="right"/>
            </w:pPr>
            <w:r w:rsidRPr="009E06AA">
              <w:rPr>
                <w:rFonts w:eastAsia="Calibri" w:cs="Calibri"/>
                <w:color w:val="000000"/>
                <w:szCs w:val="16"/>
              </w:rPr>
              <w:t>-4,125.5</w:t>
            </w:r>
          </w:p>
        </w:tc>
        <w:tc>
          <w:tcPr>
            <w:tcW w:w="1276" w:type="dxa"/>
            <w:shd w:val="clear" w:color="auto" w:fill="FFFFFF"/>
            <w:tcMar>
              <w:top w:w="0" w:type="dxa"/>
              <w:left w:w="85" w:type="dxa"/>
              <w:bottom w:w="0" w:type="dxa"/>
              <w:right w:w="85" w:type="dxa"/>
            </w:tcMar>
            <w:vAlign w:val="center"/>
          </w:tcPr>
          <w:p w14:paraId="52D53A4C" w14:textId="77777777" w:rsidR="00053418" w:rsidRPr="009E06AA" w:rsidRDefault="00053418" w:rsidP="00314B3B">
            <w:pPr>
              <w:pStyle w:val="TableText"/>
              <w:spacing w:before="40" w:after="40"/>
              <w:jc w:val="right"/>
            </w:pPr>
            <w:r w:rsidRPr="009E06AA">
              <w:rPr>
                <w:rFonts w:eastAsia="Calibri" w:cs="Calibri"/>
                <w:color w:val="000000"/>
                <w:szCs w:val="16"/>
              </w:rPr>
              <w:t>-20.4</w:t>
            </w:r>
          </w:p>
        </w:tc>
      </w:tr>
      <w:tr w:rsidR="00053418" w:rsidRPr="009E06AA" w14:paraId="5C74B7D5" w14:textId="77777777" w:rsidTr="00B55F24">
        <w:tc>
          <w:tcPr>
            <w:tcW w:w="2552" w:type="dxa"/>
            <w:shd w:val="clear" w:color="auto" w:fill="FFFFFF"/>
            <w:tcMar>
              <w:top w:w="0" w:type="dxa"/>
              <w:left w:w="85" w:type="dxa"/>
              <w:bottom w:w="0" w:type="dxa"/>
              <w:right w:w="85" w:type="dxa"/>
            </w:tcMar>
            <w:vAlign w:val="center"/>
          </w:tcPr>
          <w:p w14:paraId="474AF68C" w14:textId="77777777" w:rsidR="00053418" w:rsidRPr="009E06AA" w:rsidRDefault="00053418" w:rsidP="00B55F24">
            <w:pPr>
              <w:pStyle w:val="TableText"/>
              <w:spacing w:before="40" w:after="40"/>
            </w:pPr>
            <w:r w:rsidRPr="009E06AA">
              <w:rPr>
                <w:rFonts w:eastAsia="Calibri" w:cs="Calibri"/>
                <w:color w:val="000000"/>
                <w:szCs w:val="16"/>
              </w:rPr>
              <w:t>2021</w:t>
            </w:r>
          </w:p>
        </w:tc>
        <w:tc>
          <w:tcPr>
            <w:tcW w:w="1559" w:type="dxa"/>
            <w:shd w:val="clear" w:color="auto" w:fill="FFFFFF"/>
            <w:tcMar>
              <w:top w:w="0" w:type="dxa"/>
              <w:left w:w="85" w:type="dxa"/>
              <w:bottom w:w="0" w:type="dxa"/>
              <w:right w:w="85" w:type="dxa"/>
            </w:tcMar>
            <w:vAlign w:val="center"/>
          </w:tcPr>
          <w:p w14:paraId="21E132B3" w14:textId="77777777" w:rsidR="00053418" w:rsidRPr="009E06AA" w:rsidRDefault="00053418" w:rsidP="00314B3B">
            <w:pPr>
              <w:pStyle w:val="TableText"/>
              <w:spacing w:before="40" w:after="40"/>
              <w:jc w:val="right"/>
            </w:pPr>
            <w:r w:rsidRPr="009E06AA">
              <w:rPr>
                <w:rFonts w:eastAsia="Calibri" w:cs="Calibri"/>
                <w:color w:val="000000"/>
                <w:szCs w:val="16"/>
              </w:rPr>
              <w:t>-21,101.6</w:t>
            </w:r>
          </w:p>
        </w:tc>
        <w:tc>
          <w:tcPr>
            <w:tcW w:w="1701" w:type="dxa"/>
            <w:shd w:val="clear" w:color="auto" w:fill="FFFFFF"/>
            <w:tcMar>
              <w:top w:w="0" w:type="dxa"/>
              <w:left w:w="85" w:type="dxa"/>
              <w:bottom w:w="0" w:type="dxa"/>
              <w:right w:w="85" w:type="dxa"/>
            </w:tcMar>
            <w:vAlign w:val="center"/>
          </w:tcPr>
          <w:p w14:paraId="5762CEB3" w14:textId="77777777" w:rsidR="00053418" w:rsidRPr="009E06AA" w:rsidRDefault="00053418" w:rsidP="00314B3B">
            <w:pPr>
              <w:pStyle w:val="TableText"/>
              <w:spacing w:before="40" w:after="40"/>
              <w:jc w:val="right"/>
            </w:pPr>
            <w:r w:rsidRPr="009E06AA">
              <w:rPr>
                <w:rFonts w:eastAsia="Calibri" w:cs="Calibri"/>
                <w:color w:val="000000"/>
                <w:szCs w:val="16"/>
              </w:rPr>
              <w:t>-20,505.6</w:t>
            </w:r>
          </w:p>
        </w:tc>
        <w:tc>
          <w:tcPr>
            <w:tcW w:w="1276" w:type="dxa"/>
            <w:shd w:val="clear" w:color="auto" w:fill="FFFFFF"/>
            <w:tcMar>
              <w:top w:w="0" w:type="dxa"/>
              <w:left w:w="85" w:type="dxa"/>
              <w:bottom w:w="0" w:type="dxa"/>
              <w:right w:w="85" w:type="dxa"/>
            </w:tcMar>
            <w:vAlign w:val="center"/>
          </w:tcPr>
          <w:p w14:paraId="04A0826C" w14:textId="77777777" w:rsidR="00053418" w:rsidRPr="009E06AA" w:rsidRDefault="00053418" w:rsidP="00314B3B">
            <w:pPr>
              <w:pStyle w:val="TableText"/>
              <w:spacing w:before="40" w:after="40"/>
              <w:jc w:val="right"/>
            </w:pPr>
            <w:r w:rsidRPr="009E06AA">
              <w:rPr>
                <w:rFonts w:eastAsia="Calibri" w:cs="Calibri"/>
                <w:color w:val="000000"/>
                <w:szCs w:val="16"/>
              </w:rPr>
              <w:t>596.1</w:t>
            </w:r>
          </w:p>
        </w:tc>
        <w:tc>
          <w:tcPr>
            <w:tcW w:w="1276" w:type="dxa"/>
            <w:shd w:val="clear" w:color="auto" w:fill="FFFFFF"/>
            <w:tcMar>
              <w:top w:w="0" w:type="dxa"/>
              <w:left w:w="85" w:type="dxa"/>
              <w:bottom w:w="0" w:type="dxa"/>
              <w:right w:w="85" w:type="dxa"/>
            </w:tcMar>
            <w:vAlign w:val="center"/>
          </w:tcPr>
          <w:p w14:paraId="1CB81119" w14:textId="77777777" w:rsidR="00053418" w:rsidRPr="009E06AA" w:rsidRDefault="00053418" w:rsidP="00314B3B">
            <w:pPr>
              <w:pStyle w:val="TableText"/>
              <w:spacing w:before="40" w:after="40"/>
              <w:jc w:val="right"/>
            </w:pPr>
            <w:r w:rsidRPr="009E06AA">
              <w:rPr>
                <w:rFonts w:eastAsia="Calibri" w:cs="Calibri"/>
                <w:color w:val="000000"/>
                <w:szCs w:val="16"/>
              </w:rPr>
              <w:t>2.8</w:t>
            </w:r>
          </w:p>
        </w:tc>
      </w:tr>
    </w:tbl>
    <w:p w14:paraId="04BD58B9" w14:textId="77777777" w:rsidR="00053418" w:rsidRPr="009E06AA" w:rsidRDefault="00053418" w:rsidP="00053418">
      <w:pPr>
        <w:pStyle w:val="Table"/>
        <w:spacing w:before="360"/>
      </w:pPr>
      <w:bookmarkStart w:id="1745" w:name="_Toc310423398"/>
      <w:bookmarkStart w:id="1746" w:name="_Toc318362691"/>
      <w:bookmarkStart w:id="1747" w:name="_Toc342470753"/>
      <w:bookmarkStart w:id="1748" w:name="_Toc352504993"/>
      <w:bookmarkStart w:id="1749" w:name="_Toc378853279"/>
      <w:bookmarkStart w:id="1750" w:name="_Toc391024077"/>
      <w:bookmarkStart w:id="1751" w:name="_Toc410028820"/>
      <w:bookmarkStart w:id="1752" w:name="_Toc414531448"/>
      <w:bookmarkStart w:id="1753" w:name="_Toc443645361"/>
      <w:bookmarkStart w:id="1754" w:name="_Toc474914580"/>
      <w:bookmarkStart w:id="1755" w:name="_Toc481751544"/>
      <w:bookmarkStart w:id="1756" w:name="_Toc522010601"/>
      <w:bookmarkStart w:id="1757" w:name="_Toc5269506"/>
      <w:bookmarkStart w:id="1758" w:name="_Toc33529382"/>
      <w:bookmarkStart w:id="1759" w:name="_Toc36224588"/>
      <w:bookmarkStart w:id="1760" w:name="_Toc65243583"/>
      <w:bookmarkStart w:id="1761" w:name="_Toc131591387"/>
      <w:bookmarkStart w:id="1762" w:name="_Toc158979945"/>
      <w:bookmarkStart w:id="1763" w:name="_Toc164153878"/>
      <w:r w:rsidRPr="009E06AA">
        <w:t>Table 6.1.7</w:t>
      </w:r>
      <w:r w:rsidRPr="009E06AA">
        <w:tab/>
        <w:t>Recalculations to New Zealand’s net LULUCF emissions for 1990 and</w:t>
      </w:r>
      <w:bookmarkEnd w:id="1745"/>
      <w:bookmarkEnd w:id="1746"/>
      <w:bookmarkEnd w:id="1747"/>
      <w:bookmarkEnd w:id="1748"/>
      <w:r w:rsidRPr="009E06AA">
        <w:t> </w:t>
      </w:r>
      <w:bookmarkEnd w:id="1749"/>
      <w:bookmarkEnd w:id="1750"/>
      <w:bookmarkEnd w:id="1751"/>
      <w:bookmarkEnd w:id="1752"/>
      <w:r w:rsidRPr="009E06AA">
        <w:t xml:space="preserve">2021 by </w:t>
      </w:r>
      <w:bookmarkEnd w:id="1753"/>
      <w:r w:rsidRPr="009E06AA">
        <w:t>category</w:t>
      </w:r>
      <w:bookmarkEnd w:id="1754"/>
      <w:bookmarkEnd w:id="1755"/>
      <w:bookmarkEnd w:id="1756"/>
      <w:bookmarkEnd w:id="1757"/>
      <w:bookmarkEnd w:id="1758"/>
      <w:bookmarkEnd w:id="1759"/>
      <w:bookmarkEnd w:id="1760"/>
      <w:bookmarkEnd w:id="1761"/>
      <w:bookmarkEnd w:id="1762"/>
      <w:bookmarkEnd w:id="1763"/>
    </w:p>
    <w:tbl>
      <w:tblPr>
        <w:tblW w:w="8505" w:type="dxa"/>
        <w:tblBorders>
          <w:top w:val="single" w:sz="4" w:space="0" w:color="1B556B" w:themeColor="text2"/>
          <w:bottom w:val="single" w:sz="4" w:space="0" w:color="1B556B" w:themeColor="text2"/>
          <w:insideH w:val="single" w:sz="4" w:space="0" w:color="1B556B" w:themeColor="text2"/>
        </w:tblBorders>
        <w:tblLayout w:type="fixed"/>
        <w:tblLook w:val="0420" w:firstRow="1" w:lastRow="0" w:firstColumn="0" w:lastColumn="0" w:noHBand="0" w:noVBand="1"/>
      </w:tblPr>
      <w:tblGrid>
        <w:gridCol w:w="1935"/>
        <w:gridCol w:w="1131"/>
        <w:gridCol w:w="1131"/>
        <w:gridCol w:w="1131"/>
        <w:gridCol w:w="1131"/>
        <w:gridCol w:w="1023"/>
        <w:gridCol w:w="1023"/>
      </w:tblGrid>
      <w:tr w:rsidR="00053418" w:rsidRPr="009E06AA" w14:paraId="7E1F5E13" w14:textId="77777777" w:rsidTr="00B55F24">
        <w:trPr>
          <w:tblHeader/>
        </w:trPr>
        <w:tc>
          <w:tcPr>
            <w:tcW w:w="1928" w:type="dxa"/>
            <w:shd w:val="clear" w:color="auto" w:fill="1B556B"/>
            <w:tcMar>
              <w:top w:w="0" w:type="dxa"/>
              <w:left w:w="85" w:type="dxa"/>
              <w:bottom w:w="0" w:type="dxa"/>
              <w:right w:w="85" w:type="dxa"/>
            </w:tcMar>
            <w:vAlign w:val="bottom"/>
          </w:tcPr>
          <w:p w14:paraId="6F016BB9" w14:textId="77777777" w:rsidR="00053418" w:rsidRPr="009E06AA" w:rsidRDefault="00053418" w:rsidP="00B55F24">
            <w:pPr>
              <w:pStyle w:val="TableText"/>
            </w:pPr>
          </w:p>
        </w:tc>
        <w:tc>
          <w:tcPr>
            <w:tcW w:w="3384" w:type="dxa"/>
            <w:gridSpan w:val="3"/>
            <w:shd w:val="clear" w:color="auto" w:fill="1B556B"/>
            <w:tcMar>
              <w:top w:w="0" w:type="dxa"/>
              <w:left w:w="85" w:type="dxa"/>
              <w:bottom w:w="0" w:type="dxa"/>
              <w:right w:w="85" w:type="dxa"/>
            </w:tcMar>
            <w:vAlign w:val="bottom"/>
          </w:tcPr>
          <w:p w14:paraId="248E9317" w14:textId="77777777" w:rsidR="00053418" w:rsidRPr="009E06AA" w:rsidRDefault="00053418" w:rsidP="00B55F24">
            <w:pPr>
              <w:pStyle w:val="TableText"/>
              <w:tabs>
                <w:tab w:val="left" w:pos="1095"/>
              </w:tabs>
              <w:jc w:val="center"/>
            </w:pPr>
            <w:r w:rsidRPr="009E06AA">
              <w:rPr>
                <w:rFonts w:eastAsia="Calibri" w:cs="Calibri"/>
                <w:b/>
                <w:color w:val="FFFFFF"/>
                <w:szCs w:val="16"/>
              </w:rPr>
              <w:t>Net emissions (kt CO₂-e)</w:t>
            </w:r>
          </w:p>
        </w:tc>
        <w:tc>
          <w:tcPr>
            <w:tcW w:w="3168" w:type="dxa"/>
            <w:gridSpan w:val="3"/>
            <w:shd w:val="clear" w:color="auto" w:fill="1B556B"/>
            <w:tcMar>
              <w:top w:w="0" w:type="dxa"/>
              <w:left w:w="85" w:type="dxa"/>
              <w:bottom w:w="0" w:type="dxa"/>
              <w:right w:w="85" w:type="dxa"/>
            </w:tcMar>
            <w:vAlign w:val="bottom"/>
          </w:tcPr>
          <w:p w14:paraId="0CADAF01" w14:textId="77777777" w:rsidR="00053418" w:rsidRPr="009E06AA" w:rsidRDefault="00053418" w:rsidP="00B55F24">
            <w:pPr>
              <w:pStyle w:val="TableText"/>
              <w:jc w:val="center"/>
            </w:pPr>
          </w:p>
        </w:tc>
      </w:tr>
      <w:tr w:rsidR="00053418" w:rsidRPr="009E06AA" w14:paraId="5EFA899F" w14:textId="77777777" w:rsidTr="00B55F24">
        <w:trPr>
          <w:tblHeader/>
        </w:trPr>
        <w:tc>
          <w:tcPr>
            <w:tcW w:w="1928" w:type="dxa"/>
            <w:shd w:val="clear" w:color="auto" w:fill="1B556B"/>
            <w:tcMar>
              <w:top w:w="0" w:type="dxa"/>
              <w:left w:w="85" w:type="dxa"/>
              <w:bottom w:w="0" w:type="dxa"/>
              <w:right w:w="85" w:type="dxa"/>
            </w:tcMar>
            <w:vAlign w:val="bottom"/>
          </w:tcPr>
          <w:p w14:paraId="1468FF42" w14:textId="77777777" w:rsidR="00053418" w:rsidRPr="009E06AA" w:rsidRDefault="00053418" w:rsidP="00B55F24">
            <w:pPr>
              <w:pStyle w:val="TableText"/>
              <w:spacing w:before="0"/>
            </w:pPr>
            <w:r w:rsidRPr="009E06AA">
              <w:rPr>
                <w:rFonts w:eastAsia="Calibri" w:cs="Calibri"/>
                <w:b/>
                <w:color w:val="FFFFFF"/>
                <w:szCs w:val="16"/>
              </w:rPr>
              <w:t>Land use category</w:t>
            </w:r>
          </w:p>
        </w:tc>
        <w:tc>
          <w:tcPr>
            <w:tcW w:w="1128" w:type="dxa"/>
            <w:shd w:val="clear" w:color="auto" w:fill="1B556B"/>
            <w:tcMar>
              <w:top w:w="0" w:type="dxa"/>
              <w:left w:w="85" w:type="dxa"/>
              <w:bottom w:w="0" w:type="dxa"/>
              <w:right w:w="85" w:type="dxa"/>
            </w:tcMar>
            <w:vAlign w:val="bottom"/>
          </w:tcPr>
          <w:p w14:paraId="1B15404D" w14:textId="77777777" w:rsidR="00053418" w:rsidRPr="009E06AA" w:rsidRDefault="00053418" w:rsidP="00314B3B">
            <w:pPr>
              <w:pStyle w:val="TableText"/>
              <w:spacing w:before="0"/>
              <w:jc w:val="right"/>
            </w:pPr>
            <w:r w:rsidRPr="009E06AA">
              <w:rPr>
                <w:rFonts w:eastAsia="Calibri" w:cs="Calibri"/>
                <w:b/>
                <w:color w:val="FFFFFF"/>
                <w:szCs w:val="16"/>
              </w:rPr>
              <w:t>2023 submission: 1990 estimate</w:t>
            </w:r>
          </w:p>
        </w:tc>
        <w:tc>
          <w:tcPr>
            <w:tcW w:w="1128" w:type="dxa"/>
            <w:shd w:val="clear" w:color="auto" w:fill="1B556B"/>
            <w:tcMar>
              <w:top w:w="0" w:type="dxa"/>
              <w:left w:w="85" w:type="dxa"/>
              <w:bottom w:w="0" w:type="dxa"/>
              <w:right w:w="85" w:type="dxa"/>
            </w:tcMar>
            <w:vAlign w:val="bottom"/>
          </w:tcPr>
          <w:p w14:paraId="19507BBA" w14:textId="77777777" w:rsidR="00053418" w:rsidRPr="009E06AA" w:rsidRDefault="00053418" w:rsidP="00314B3B">
            <w:pPr>
              <w:pStyle w:val="TableText"/>
              <w:spacing w:before="0"/>
              <w:jc w:val="right"/>
            </w:pPr>
            <w:r w:rsidRPr="009E06AA">
              <w:rPr>
                <w:rFonts w:eastAsia="Calibri" w:cs="Calibri"/>
                <w:b/>
                <w:color w:val="FFFFFF"/>
                <w:szCs w:val="16"/>
              </w:rPr>
              <w:t>2024 submission: 1990 estimate</w:t>
            </w:r>
          </w:p>
        </w:tc>
        <w:tc>
          <w:tcPr>
            <w:tcW w:w="1128" w:type="dxa"/>
            <w:shd w:val="clear" w:color="auto" w:fill="1B556B"/>
            <w:tcMar>
              <w:top w:w="0" w:type="dxa"/>
              <w:left w:w="85" w:type="dxa"/>
              <w:bottom w:w="0" w:type="dxa"/>
              <w:right w:w="85" w:type="dxa"/>
            </w:tcMar>
            <w:vAlign w:val="bottom"/>
          </w:tcPr>
          <w:p w14:paraId="3FA7596D" w14:textId="77777777" w:rsidR="00053418" w:rsidRPr="009E06AA" w:rsidRDefault="00053418" w:rsidP="00314B3B">
            <w:pPr>
              <w:pStyle w:val="TableText"/>
              <w:spacing w:before="0"/>
              <w:jc w:val="right"/>
            </w:pPr>
            <w:r w:rsidRPr="009E06AA">
              <w:rPr>
                <w:rFonts w:eastAsia="Calibri" w:cs="Calibri"/>
                <w:b/>
                <w:color w:val="FFFFFF"/>
                <w:szCs w:val="16"/>
              </w:rPr>
              <w:t>2023 submission: 2021 estimate</w:t>
            </w:r>
          </w:p>
        </w:tc>
        <w:tc>
          <w:tcPr>
            <w:tcW w:w="1128" w:type="dxa"/>
            <w:shd w:val="clear" w:color="auto" w:fill="1B556B"/>
            <w:tcMar>
              <w:top w:w="0" w:type="dxa"/>
              <w:left w:w="85" w:type="dxa"/>
              <w:bottom w:w="0" w:type="dxa"/>
              <w:right w:w="85" w:type="dxa"/>
            </w:tcMar>
            <w:vAlign w:val="bottom"/>
          </w:tcPr>
          <w:p w14:paraId="121E6FAF" w14:textId="77777777" w:rsidR="00053418" w:rsidRPr="009E06AA" w:rsidRDefault="00053418" w:rsidP="00314B3B">
            <w:pPr>
              <w:pStyle w:val="TableText"/>
              <w:spacing w:before="0"/>
              <w:jc w:val="right"/>
            </w:pPr>
            <w:r w:rsidRPr="009E06AA">
              <w:rPr>
                <w:rFonts w:eastAsia="Calibri" w:cs="Calibri"/>
                <w:b/>
                <w:color w:val="FFFFFF"/>
                <w:szCs w:val="16"/>
              </w:rPr>
              <w:t>2024 submission: 2021 estimate</w:t>
            </w:r>
          </w:p>
        </w:tc>
        <w:tc>
          <w:tcPr>
            <w:tcW w:w="1020" w:type="dxa"/>
            <w:shd w:val="clear" w:color="auto" w:fill="1B556B"/>
            <w:tcMar>
              <w:top w:w="0" w:type="dxa"/>
              <w:left w:w="85" w:type="dxa"/>
              <w:bottom w:w="0" w:type="dxa"/>
              <w:right w:w="85" w:type="dxa"/>
            </w:tcMar>
            <w:vAlign w:val="bottom"/>
          </w:tcPr>
          <w:p w14:paraId="34AF522F" w14:textId="77777777" w:rsidR="00053418" w:rsidRPr="009E06AA" w:rsidRDefault="00053418" w:rsidP="00314B3B">
            <w:pPr>
              <w:pStyle w:val="TableText"/>
              <w:spacing w:before="0"/>
              <w:jc w:val="right"/>
            </w:pPr>
            <w:r w:rsidRPr="009E06AA">
              <w:rPr>
                <w:rFonts w:eastAsia="Calibri" w:cs="Calibri"/>
                <w:b/>
                <w:color w:val="FFFFFF"/>
                <w:szCs w:val="16"/>
              </w:rPr>
              <w:t>Change in 1990 estimate (%)</w:t>
            </w:r>
          </w:p>
        </w:tc>
        <w:tc>
          <w:tcPr>
            <w:tcW w:w="1020" w:type="dxa"/>
            <w:shd w:val="clear" w:color="auto" w:fill="1B556B"/>
            <w:tcMar>
              <w:top w:w="0" w:type="dxa"/>
              <w:left w:w="85" w:type="dxa"/>
              <w:bottom w:w="0" w:type="dxa"/>
              <w:right w:w="85" w:type="dxa"/>
            </w:tcMar>
            <w:vAlign w:val="bottom"/>
          </w:tcPr>
          <w:p w14:paraId="44F0A519" w14:textId="77777777" w:rsidR="00053418" w:rsidRPr="009E06AA" w:rsidRDefault="00053418" w:rsidP="00314B3B">
            <w:pPr>
              <w:pStyle w:val="TableText"/>
              <w:spacing w:before="0"/>
              <w:jc w:val="right"/>
            </w:pPr>
            <w:r w:rsidRPr="009E06AA">
              <w:rPr>
                <w:rFonts w:eastAsia="Calibri" w:cs="Calibri"/>
                <w:b/>
                <w:color w:val="FFFFFF"/>
                <w:szCs w:val="16"/>
              </w:rPr>
              <w:t>Change in 2021 estimate (%)</w:t>
            </w:r>
          </w:p>
        </w:tc>
      </w:tr>
      <w:tr w:rsidR="00053418" w:rsidRPr="009E06AA" w14:paraId="33930AA8" w14:textId="77777777" w:rsidTr="00B55F24">
        <w:tc>
          <w:tcPr>
            <w:tcW w:w="1928" w:type="dxa"/>
            <w:shd w:val="clear" w:color="auto" w:fill="FFFFFF"/>
            <w:tcMar>
              <w:top w:w="0" w:type="dxa"/>
              <w:left w:w="85" w:type="dxa"/>
              <w:bottom w:w="0" w:type="dxa"/>
              <w:right w:w="85" w:type="dxa"/>
            </w:tcMar>
            <w:vAlign w:val="center"/>
          </w:tcPr>
          <w:p w14:paraId="4C7E74EC" w14:textId="77777777" w:rsidR="00053418" w:rsidRPr="009E06AA" w:rsidRDefault="00053418" w:rsidP="00B55F24">
            <w:pPr>
              <w:pStyle w:val="TableText"/>
            </w:pPr>
            <w:r w:rsidRPr="009E06AA">
              <w:rPr>
                <w:rFonts w:eastAsia="Calibri" w:cs="Calibri"/>
                <w:color w:val="000000"/>
                <w:szCs w:val="16"/>
              </w:rPr>
              <w:t>Forest land</w:t>
            </w:r>
          </w:p>
        </w:tc>
        <w:tc>
          <w:tcPr>
            <w:tcW w:w="1128" w:type="dxa"/>
            <w:shd w:val="clear" w:color="auto" w:fill="FFFFFF"/>
            <w:tcMar>
              <w:top w:w="0" w:type="dxa"/>
              <w:left w:w="85" w:type="dxa"/>
              <w:bottom w:w="0" w:type="dxa"/>
              <w:right w:w="85" w:type="dxa"/>
            </w:tcMar>
            <w:vAlign w:val="center"/>
          </w:tcPr>
          <w:p w14:paraId="2A586B9C" w14:textId="77777777" w:rsidR="00053418" w:rsidRPr="009E06AA" w:rsidRDefault="00053418" w:rsidP="00314B3B">
            <w:pPr>
              <w:pStyle w:val="TableText"/>
              <w:jc w:val="right"/>
            </w:pPr>
            <w:r w:rsidRPr="009E06AA">
              <w:rPr>
                <w:rFonts w:eastAsia="Calibri" w:cs="Calibri"/>
                <w:color w:val="000000"/>
                <w:szCs w:val="16"/>
              </w:rPr>
              <w:t>-19,066.7</w:t>
            </w:r>
          </w:p>
        </w:tc>
        <w:tc>
          <w:tcPr>
            <w:tcW w:w="1128" w:type="dxa"/>
            <w:shd w:val="clear" w:color="auto" w:fill="FFFFFF"/>
            <w:tcMar>
              <w:top w:w="0" w:type="dxa"/>
              <w:left w:w="85" w:type="dxa"/>
              <w:bottom w:w="0" w:type="dxa"/>
              <w:right w:w="85" w:type="dxa"/>
            </w:tcMar>
            <w:vAlign w:val="center"/>
          </w:tcPr>
          <w:p w14:paraId="1D250C67" w14:textId="77777777" w:rsidR="00053418" w:rsidRPr="009E06AA" w:rsidRDefault="00053418" w:rsidP="00314B3B">
            <w:pPr>
              <w:pStyle w:val="TableText"/>
              <w:jc w:val="right"/>
            </w:pPr>
            <w:r w:rsidRPr="009E06AA">
              <w:rPr>
                <w:rFonts w:eastAsia="Calibri" w:cs="Calibri"/>
                <w:color w:val="000000"/>
                <w:szCs w:val="16"/>
              </w:rPr>
              <w:t>-23,311.8</w:t>
            </w:r>
          </w:p>
        </w:tc>
        <w:tc>
          <w:tcPr>
            <w:tcW w:w="1128" w:type="dxa"/>
            <w:shd w:val="clear" w:color="auto" w:fill="FFFFFF"/>
            <w:tcMar>
              <w:top w:w="0" w:type="dxa"/>
              <w:left w:w="85" w:type="dxa"/>
              <w:bottom w:w="0" w:type="dxa"/>
              <w:right w:w="85" w:type="dxa"/>
            </w:tcMar>
            <w:vAlign w:val="center"/>
          </w:tcPr>
          <w:p w14:paraId="31597EE5" w14:textId="77777777" w:rsidR="00053418" w:rsidRPr="009E06AA" w:rsidRDefault="00053418" w:rsidP="00314B3B">
            <w:pPr>
              <w:pStyle w:val="TableText"/>
              <w:jc w:val="right"/>
            </w:pPr>
            <w:r w:rsidRPr="009E06AA">
              <w:rPr>
                <w:rFonts w:eastAsia="Calibri" w:cs="Calibri"/>
                <w:color w:val="000000"/>
                <w:szCs w:val="16"/>
              </w:rPr>
              <w:t>-15,799.6</w:t>
            </w:r>
          </w:p>
        </w:tc>
        <w:tc>
          <w:tcPr>
            <w:tcW w:w="1128" w:type="dxa"/>
            <w:shd w:val="clear" w:color="auto" w:fill="FFFFFF"/>
            <w:tcMar>
              <w:top w:w="0" w:type="dxa"/>
              <w:left w:w="85" w:type="dxa"/>
              <w:bottom w:w="0" w:type="dxa"/>
              <w:right w:w="85" w:type="dxa"/>
            </w:tcMar>
            <w:vAlign w:val="center"/>
          </w:tcPr>
          <w:p w14:paraId="5165E8DD" w14:textId="77777777" w:rsidR="00053418" w:rsidRPr="009E06AA" w:rsidRDefault="00053418" w:rsidP="00314B3B">
            <w:pPr>
              <w:pStyle w:val="TableText"/>
              <w:jc w:val="right"/>
            </w:pPr>
            <w:r w:rsidRPr="009E06AA">
              <w:rPr>
                <w:rFonts w:eastAsia="Calibri" w:cs="Calibri"/>
                <w:color w:val="000000"/>
                <w:szCs w:val="16"/>
              </w:rPr>
              <w:t>-16,987.9</w:t>
            </w:r>
          </w:p>
        </w:tc>
        <w:tc>
          <w:tcPr>
            <w:tcW w:w="1020" w:type="dxa"/>
            <w:shd w:val="clear" w:color="auto" w:fill="FFFFFF"/>
            <w:tcMar>
              <w:top w:w="0" w:type="dxa"/>
              <w:left w:w="85" w:type="dxa"/>
              <w:bottom w:w="0" w:type="dxa"/>
              <w:right w:w="85" w:type="dxa"/>
            </w:tcMar>
            <w:vAlign w:val="center"/>
          </w:tcPr>
          <w:p w14:paraId="4DA33FAD" w14:textId="77777777" w:rsidR="00053418" w:rsidRPr="009E06AA" w:rsidRDefault="00053418" w:rsidP="00314B3B">
            <w:pPr>
              <w:pStyle w:val="TableText"/>
              <w:jc w:val="right"/>
            </w:pPr>
            <w:r w:rsidRPr="009E06AA">
              <w:rPr>
                <w:rFonts w:eastAsia="Calibri" w:cs="Calibri"/>
                <w:color w:val="000000"/>
                <w:szCs w:val="16"/>
              </w:rPr>
              <w:t>-22.3</w:t>
            </w:r>
          </w:p>
        </w:tc>
        <w:tc>
          <w:tcPr>
            <w:tcW w:w="1020" w:type="dxa"/>
            <w:shd w:val="clear" w:color="auto" w:fill="FFFFFF"/>
            <w:tcMar>
              <w:top w:w="0" w:type="dxa"/>
              <w:left w:w="85" w:type="dxa"/>
              <w:bottom w:w="0" w:type="dxa"/>
              <w:right w:w="85" w:type="dxa"/>
            </w:tcMar>
            <w:vAlign w:val="center"/>
          </w:tcPr>
          <w:p w14:paraId="0ACE9E14" w14:textId="77777777" w:rsidR="00053418" w:rsidRPr="009E06AA" w:rsidRDefault="00053418" w:rsidP="00314B3B">
            <w:pPr>
              <w:pStyle w:val="TableText"/>
              <w:jc w:val="right"/>
            </w:pPr>
            <w:r w:rsidRPr="009E06AA">
              <w:rPr>
                <w:rFonts w:eastAsia="Calibri" w:cs="Calibri"/>
                <w:color w:val="000000"/>
                <w:szCs w:val="16"/>
              </w:rPr>
              <w:t>-7.5</w:t>
            </w:r>
          </w:p>
        </w:tc>
      </w:tr>
      <w:tr w:rsidR="00053418" w:rsidRPr="009E06AA" w14:paraId="3242E1ED" w14:textId="77777777" w:rsidTr="00B55F24">
        <w:tc>
          <w:tcPr>
            <w:tcW w:w="1928" w:type="dxa"/>
            <w:shd w:val="clear" w:color="auto" w:fill="FFFFFF"/>
            <w:tcMar>
              <w:top w:w="0" w:type="dxa"/>
              <w:left w:w="85" w:type="dxa"/>
              <w:bottom w:w="0" w:type="dxa"/>
              <w:right w:w="85" w:type="dxa"/>
            </w:tcMar>
            <w:vAlign w:val="center"/>
          </w:tcPr>
          <w:p w14:paraId="2B0C9B03" w14:textId="77777777" w:rsidR="00053418" w:rsidRPr="009E06AA" w:rsidRDefault="00053418" w:rsidP="00B55F24">
            <w:pPr>
              <w:pStyle w:val="TableText"/>
            </w:pPr>
            <w:r w:rsidRPr="009E06AA">
              <w:rPr>
                <w:rFonts w:eastAsia="Calibri" w:cs="Calibri"/>
                <w:color w:val="000000"/>
                <w:szCs w:val="16"/>
              </w:rPr>
              <w:t>Cropland</w:t>
            </w:r>
          </w:p>
        </w:tc>
        <w:tc>
          <w:tcPr>
            <w:tcW w:w="1128" w:type="dxa"/>
            <w:shd w:val="clear" w:color="auto" w:fill="FFFFFF"/>
            <w:tcMar>
              <w:top w:w="0" w:type="dxa"/>
              <w:left w:w="85" w:type="dxa"/>
              <w:bottom w:w="0" w:type="dxa"/>
              <w:right w:w="85" w:type="dxa"/>
            </w:tcMar>
            <w:vAlign w:val="center"/>
          </w:tcPr>
          <w:p w14:paraId="1DA37C9C" w14:textId="77777777" w:rsidR="00053418" w:rsidRPr="009E06AA" w:rsidRDefault="00053418" w:rsidP="00314B3B">
            <w:pPr>
              <w:pStyle w:val="TableText"/>
              <w:jc w:val="right"/>
            </w:pPr>
            <w:r w:rsidRPr="009E06AA">
              <w:rPr>
                <w:rFonts w:eastAsia="Calibri" w:cs="Calibri"/>
                <w:color w:val="000000"/>
                <w:szCs w:val="16"/>
              </w:rPr>
              <w:t>475.7</w:t>
            </w:r>
          </w:p>
        </w:tc>
        <w:tc>
          <w:tcPr>
            <w:tcW w:w="1128" w:type="dxa"/>
            <w:shd w:val="clear" w:color="auto" w:fill="FFFFFF"/>
            <w:tcMar>
              <w:top w:w="0" w:type="dxa"/>
              <w:left w:w="85" w:type="dxa"/>
              <w:bottom w:w="0" w:type="dxa"/>
              <w:right w:w="85" w:type="dxa"/>
            </w:tcMar>
            <w:vAlign w:val="center"/>
          </w:tcPr>
          <w:p w14:paraId="23F04131" w14:textId="77777777" w:rsidR="00053418" w:rsidRPr="009E06AA" w:rsidRDefault="00053418" w:rsidP="00314B3B">
            <w:pPr>
              <w:pStyle w:val="TableText"/>
              <w:jc w:val="right"/>
            </w:pPr>
            <w:r w:rsidRPr="009E06AA">
              <w:rPr>
                <w:rFonts w:eastAsia="Calibri" w:cs="Calibri"/>
                <w:color w:val="000000"/>
                <w:szCs w:val="16"/>
              </w:rPr>
              <w:t>476.3</w:t>
            </w:r>
          </w:p>
        </w:tc>
        <w:tc>
          <w:tcPr>
            <w:tcW w:w="1128" w:type="dxa"/>
            <w:shd w:val="clear" w:color="auto" w:fill="FFFFFF"/>
            <w:tcMar>
              <w:top w:w="0" w:type="dxa"/>
              <w:left w:w="85" w:type="dxa"/>
              <w:bottom w:w="0" w:type="dxa"/>
              <w:right w:w="85" w:type="dxa"/>
            </w:tcMar>
            <w:vAlign w:val="center"/>
          </w:tcPr>
          <w:p w14:paraId="5301CA71" w14:textId="77777777" w:rsidR="00053418" w:rsidRPr="009E06AA" w:rsidRDefault="00053418" w:rsidP="00314B3B">
            <w:pPr>
              <w:pStyle w:val="TableText"/>
              <w:jc w:val="right"/>
            </w:pPr>
            <w:r w:rsidRPr="009E06AA">
              <w:rPr>
                <w:rFonts w:eastAsia="Calibri" w:cs="Calibri"/>
                <w:color w:val="000000"/>
                <w:szCs w:val="16"/>
              </w:rPr>
              <w:t>377.6</w:t>
            </w:r>
          </w:p>
        </w:tc>
        <w:tc>
          <w:tcPr>
            <w:tcW w:w="1128" w:type="dxa"/>
            <w:shd w:val="clear" w:color="auto" w:fill="FFFFFF"/>
            <w:tcMar>
              <w:top w:w="0" w:type="dxa"/>
              <w:left w:w="85" w:type="dxa"/>
              <w:bottom w:w="0" w:type="dxa"/>
              <w:right w:w="85" w:type="dxa"/>
            </w:tcMar>
            <w:vAlign w:val="center"/>
          </w:tcPr>
          <w:p w14:paraId="06C0427F" w14:textId="77777777" w:rsidR="00053418" w:rsidRPr="009E06AA" w:rsidRDefault="00053418" w:rsidP="00314B3B">
            <w:pPr>
              <w:pStyle w:val="TableText"/>
              <w:jc w:val="right"/>
            </w:pPr>
            <w:r w:rsidRPr="009E06AA">
              <w:rPr>
                <w:rFonts w:eastAsia="Calibri" w:cs="Calibri"/>
                <w:color w:val="000000"/>
                <w:szCs w:val="16"/>
              </w:rPr>
              <w:t>670.3</w:t>
            </w:r>
          </w:p>
        </w:tc>
        <w:tc>
          <w:tcPr>
            <w:tcW w:w="1020" w:type="dxa"/>
            <w:shd w:val="clear" w:color="auto" w:fill="FFFFFF"/>
            <w:tcMar>
              <w:top w:w="0" w:type="dxa"/>
              <w:left w:w="85" w:type="dxa"/>
              <w:bottom w:w="0" w:type="dxa"/>
              <w:right w:w="85" w:type="dxa"/>
            </w:tcMar>
            <w:vAlign w:val="center"/>
          </w:tcPr>
          <w:p w14:paraId="18C3B5C4" w14:textId="77777777" w:rsidR="00053418" w:rsidRPr="009E06AA" w:rsidRDefault="00053418" w:rsidP="00314B3B">
            <w:pPr>
              <w:pStyle w:val="TableText"/>
              <w:jc w:val="right"/>
            </w:pPr>
            <w:r w:rsidRPr="009E06AA">
              <w:rPr>
                <w:rFonts w:eastAsia="Calibri" w:cs="Calibri"/>
                <w:color w:val="000000"/>
                <w:szCs w:val="16"/>
              </w:rPr>
              <w:t>0.1</w:t>
            </w:r>
          </w:p>
        </w:tc>
        <w:tc>
          <w:tcPr>
            <w:tcW w:w="1020" w:type="dxa"/>
            <w:shd w:val="clear" w:color="auto" w:fill="FFFFFF"/>
            <w:tcMar>
              <w:top w:w="0" w:type="dxa"/>
              <w:left w:w="85" w:type="dxa"/>
              <w:bottom w:w="0" w:type="dxa"/>
              <w:right w:w="85" w:type="dxa"/>
            </w:tcMar>
            <w:vAlign w:val="center"/>
          </w:tcPr>
          <w:p w14:paraId="2720D973" w14:textId="77777777" w:rsidR="00053418" w:rsidRPr="009E06AA" w:rsidRDefault="00053418" w:rsidP="00314B3B">
            <w:pPr>
              <w:pStyle w:val="TableText"/>
              <w:jc w:val="right"/>
            </w:pPr>
            <w:r w:rsidRPr="009E06AA">
              <w:rPr>
                <w:rFonts w:eastAsia="Calibri" w:cs="Calibri"/>
                <w:color w:val="000000"/>
                <w:szCs w:val="16"/>
              </w:rPr>
              <w:t>77.5</w:t>
            </w:r>
          </w:p>
        </w:tc>
      </w:tr>
      <w:tr w:rsidR="00053418" w:rsidRPr="009E06AA" w14:paraId="28EB813F" w14:textId="77777777" w:rsidTr="00B55F24">
        <w:tc>
          <w:tcPr>
            <w:tcW w:w="1928" w:type="dxa"/>
            <w:shd w:val="clear" w:color="auto" w:fill="FFFFFF"/>
            <w:tcMar>
              <w:top w:w="0" w:type="dxa"/>
              <w:left w:w="85" w:type="dxa"/>
              <w:bottom w:w="0" w:type="dxa"/>
              <w:right w:w="85" w:type="dxa"/>
            </w:tcMar>
            <w:vAlign w:val="center"/>
          </w:tcPr>
          <w:p w14:paraId="4AE21012" w14:textId="77777777" w:rsidR="00053418" w:rsidRPr="009E06AA" w:rsidRDefault="00053418" w:rsidP="00B55F24">
            <w:pPr>
              <w:pStyle w:val="TableText"/>
            </w:pPr>
            <w:r w:rsidRPr="009E06AA">
              <w:rPr>
                <w:rFonts w:eastAsia="Calibri" w:cs="Calibri"/>
                <w:color w:val="000000"/>
                <w:szCs w:val="16"/>
              </w:rPr>
              <w:t>Grassland</w:t>
            </w:r>
          </w:p>
        </w:tc>
        <w:tc>
          <w:tcPr>
            <w:tcW w:w="1128" w:type="dxa"/>
            <w:shd w:val="clear" w:color="auto" w:fill="FFFFFF"/>
            <w:tcMar>
              <w:top w:w="0" w:type="dxa"/>
              <w:left w:w="85" w:type="dxa"/>
              <w:bottom w:w="0" w:type="dxa"/>
              <w:right w:w="85" w:type="dxa"/>
            </w:tcMar>
            <w:vAlign w:val="center"/>
          </w:tcPr>
          <w:p w14:paraId="5D8F6D9C" w14:textId="77777777" w:rsidR="00053418" w:rsidRPr="009E06AA" w:rsidRDefault="00053418" w:rsidP="00314B3B">
            <w:pPr>
              <w:pStyle w:val="TableText"/>
              <w:jc w:val="right"/>
            </w:pPr>
            <w:r w:rsidRPr="009E06AA">
              <w:rPr>
                <w:rFonts w:eastAsia="Calibri" w:cs="Calibri"/>
                <w:color w:val="000000"/>
                <w:szCs w:val="16"/>
              </w:rPr>
              <w:t>755.8</w:t>
            </w:r>
          </w:p>
        </w:tc>
        <w:tc>
          <w:tcPr>
            <w:tcW w:w="1128" w:type="dxa"/>
            <w:shd w:val="clear" w:color="auto" w:fill="FFFFFF"/>
            <w:tcMar>
              <w:top w:w="0" w:type="dxa"/>
              <w:left w:w="85" w:type="dxa"/>
              <w:bottom w:w="0" w:type="dxa"/>
              <w:right w:w="85" w:type="dxa"/>
            </w:tcMar>
            <w:vAlign w:val="center"/>
          </w:tcPr>
          <w:p w14:paraId="626CE92A" w14:textId="77777777" w:rsidR="00053418" w:rsidRPr="009E06AA" w:rsidRDefault="00053418" w:rsidP="00314B3B">
            <w:pPr>
              <w:pStyle w:val="TableText"/>
              <w:jc w:val="right"/>
            </w:pPr>
            <w:r w:rsidRPr="009E06AA">
              <w:rPr>
                <w:rFonts w:eastAsia="Calibri" w:cs="Calibri"/>
                <w:color w:val="000000"/>
                <w:szCs w:val="16"/>
              </w:rPr>
              <w:t>826.2</w:t>
            </w:r>
          </w:p>
        </w:tc>
        <w:tc>
          <w:tcPr>
            <w:tcW w:w="1128" w:type="dxa"/>
            <w:shd w:val="clear" w:color="auto" w:fill="FFFFFF"/>
            <w:tcMar>
              <w:top w:w="0" w:type="dxa"/>
              <w:left w:w="85" w:type="dxa"/>
              <w:bottom w:w="0" w:type="dxa"/>
              <w:right w:w="85" w:type="dxa"/>
            </w:tcMar>
            <w:vAlign w:val="center"/>
          </w:tcPr>
          <w:p w14:paraId="0739D4E4" w14:textId="77777777" w:rsidR="00053418" w:rsidRPr="009E06AA" w:rsidRDefault="00053418" w:rsidP="00314B3B">
            <w:pPr>
              <w:pStyle w:val="TableText"/>
              <w:jc w:val="right"/>
            </w:pPr>
            <w:r w:rsidRPr="009E06AA">
              <w:rPr>
                <w:rFonts w:eastAsia="Calibri" w:cs="Calibri"/>
                <w:color w:val="000000"/>
                <w:szCs w:val="16"/>
              </w:rPr>
              <w:t>2,743.9</w:t>
            </w:r>
          </w:p>
        </w:tc>
        <w:tc>
          <w:tcPr>
            <w:tcW w:w="1128" w:type="dxa"/>
            <w:shd w:val="clear" w:color="auto" w:fill="FFFFFF"/>
            <w:tcMar>
              <w:top w:w="0" w:type="dxa"/>
              <w:left w:w="85" w:type="dxa"/>
              <w:bottom w:w="0" w:type="dxa"/>
              <w:right w:w="85" w:type="dxa"/>
            </w:tcMar>
            <w:vAlign w:val="center"/>
          </w:tcPr>
          <w:p w14:paraId="50A8E021" w14:textId="77777777" w:rsidR="00053418" w:rsidRPr="009E06AA" w:rsidRDefault="00053418" w:rsidP="00314B3B">
            <w:pPr>
              <w:pStyle w:val="TableText"/>
              <w:jc w:val="right"/>
            </w:pPr>
            <w:r w:rsidRPr="009E06AA">
              <w:rPr>
                <w:rFonts w:eastAsia="Calibri" w:cs="Calibri"/>
                <w:color w:val="000000"/>
                <w:szCs w:val="16"/>
              </w:rPr>
              <w:t>4,365.7</w:t>
            </w:r>
          </w:p>
        </w:tc>
        <w:tc>
          <w:tcPr>
            <w:tcW w:w="1020" w:type="dxa"/>
            <w:shd w:val="clear" w:color="auto" w:fill="FFFFFF"/>
            <w:tcMar>
              <w:top w:w="0" w:type="dxa"/>
              <w:left w:w="85" w:type="dxa"/>
              <w:bottom w:w="0" w:type="dxa"/>
              <w:right w:w="85" w:type="dxa"/>
            </w:tcMar>
            <w:vAlign w:val="center"/>
          </w:tcPr>
          <w:p w14:paraId="79AB3FC1" w14:textId="77777777" w:rsidR="00053418" w:rsidRPr="009E06AA" w:rsidRDefault="00053418" w:rsidP="00314B3B">
            <w:pPr>
              <w:pStyle w:val="TableText"/>
              <w:jc w:val="right"/>
            </w:pPr>
            <w:r w:rsidRPr="009E06AA">
              <w:rPr>
                <w:rFonts w:eastAsia="Calibri" w:cs="Calibri"/>
                <w:color w:val="000000"/>
                <w:szCs w:val="16"/>
              </w:rPr>
              <w:t>9.3</w:t>
            </w:r>
          </w:p>
        </w:tc>
        <w:tc>
          <w:tcPr>
            <w:tcW w:w="1020" w:type="dxa"/>
            <w:shd w:val="clear" w:color="auto" w:fill="FFFFFF"/>
            <w:tcMar>
              <w:top w:w="0" w:type="dxa"/>
              <w:left w:w="85" w:type="dxa"/>
              <w:bottom w:w="0" w:type="dxa"/>
              <w:right w:w="85" w:type="dxa"/>
            </w:tcMar>
            <w:vAlign w:val="center"/>
          </w:tcPr>
          <w:p w14:paraId="39B9D34A" w14:textId="77777777" w:rsidR="00053418" w:rsidRPr="009E06AA" w:rsidRDefault="00053418" w:rsidP="00314B3B">
            <w:pPr>
              <w:pStyle w:val="TableText"/>
              <w:jc w:val="right"/>
            </w:pPr>
            <w:r w:rsidRPr="009E06AA">
              <w:rPr>
                <w:rFonts w:eastAsia="Calibri" w:cs="Calibri"/>
                <w:color w:val="000000"/>
                <w:szCs w:val="16"/>
              </w:rPr>
              <w:t>59.1</w:t>
            </w:r>
          </w:p>
        </w:tc>
      </w:tr>
      <w:tr w:rsidR="00053418" w:rsidRPr="009E06AA" w14:paraId="5AB6F691" w14:textId="77777777" w:rsidTr="00B55F24">
        <w:tc>
          <w:tcPr>
            <w:tcW w:w="1928" w:type="dxa"/>
            <w:shd w:val="clear" w:color="auto" w:fill="FFFFFF"/>
            <w:tcMar>
              <w:top w:w="0" w:type="dxa"/>
              <w:left w:w="85" w:type="dxa"/>
              <w:bottom w:w="0" w:type="dxa"/>
              <w:right w:w="85" w:type="dxa"/>
            </w:tcMar>
            <w:vAlign w:val="center"/>
          </w:tcPr>
          <w:p w14:paraId="6DCA0CAD" w14:textId="77777777" w:rsidR="00053418" w:rsidRPr="009E06AA" w:rsidRDefault="00053418" w:rsidP="00B55F24">
            <w:pPr>
              <w:pStyle w:val="TableText"/>
            </w:pPr>
            <w:r w:rsidRPr="009E06AA">
              <w:rPr>
                <w:rFonts w:eastAsia="Calibri" w:cs="Calibri"/>
                <w:color w:val="000000"/>
                <w:szCs w:val="16"/>
              </w:rPr>
              <w:t>Wetlands</w:t>
            </w:r>
          </w:p>
        </w:tc>
        <w:tc>
          <w:tcPr>
            <w:tcW w:w="1128" w:type="dxa"/>
            <w:shd w:val="clear" w:color="auto" w:fill="FFFFFF"/>
            <w:tcMar>
              <w:top w:w="0" w:type="dxa"/>
              <w:left w:w="85" w:type="dxa"/>
              <w:bottom w:w="0" w:type="dxa"/>
              <w:right w:w="85" w:type="dxa"/>
            </w:tcMar>
            <w:vAlign w:val="center"/>
          </w:tcPr>
          <w:p w14:paraId="7B552AED" w14:textId="77777777" w:rsidR="00053418" w:rsidRPr="009E06AA" w:rsidRDefault="00053418" w:rsidP="00314B3B">
            <w:pPr>
              <w:pStyle w:val="TableText"/>
              <w:jc w:val="right"/>
            </w:pPr>
            <w:r w:rsidRPr="009E06AA">
              <w:rPr>
                <w:rFonts w:eastAsia="Calibri" w:cs="Calibri"/>
                <w:color w:val="000000"/>
                <w:szCs w:val="16"/>
              </w:rPr>
              <w:t>-8.4</w:t>
            </w:r>
          </w:p>
        </w:tc>
        <w:tc>
          <w:tcPr>
            <w:tcW w:w="1128" w:type="dxa"/>
            <w:shd w:val="clear" w:color="auto" w:fill="FFFFFF"/>
            <w:tcMar>
              <w:top w:w="0" w:type="dxa"/>
              <w:left w:w="85" w:type="dxa"/>
              <w:bottom w:w="0" w:type="dxa"/>
              <w:right w:w="85" w:type="dxa"/>
            </w:tcMar>
            <w:vAlign w:val="center"/>
          </w:tcPr>
          <w:p w14:paraId="0D5CBD76" w14:textId="77777777" w:rsidR="00053418" w:rsidRPr="009E06AA" w:rsidRDefault="00053418" w:rsidP="00314B3B">
            <w:pPr>
              <w:pStyle w:val="TableText"/>
              <w:jc w:val="right"/>
            </w:pPr>
            <w:r w:rsidRPr="009E06AA">
              <w:rPr>
                <w:rFonts w:eastAsia="Calibri" w:cs="Calibri"/>
                <w:color w:val="000000"/>
                <w:szCs w:val="16"/>
              </w:rPr>
              <w:t>-8.3</w:t>
            </w:r>
          </w:p>
        </w:tc>
        <w:tc>
          <w:tcPr>
            <w:tcW w:w="1128" w:type="dxa"/>
            <w:shd w:val="clear" w:color="auto" w:fill="FFFFFF"/>
            <w:tcMar>
              <w:top w:w="0" w:type="dxa"/>
              <w:left w:w="85" w:type="dxa"/>
              <w:bottom w:w="0" w:type="dxa"/>
              <w:right w:w="85" w:type="dxa"/>
            </w:tcMar>
            <w:vAlign w:val="center"/>
          </w:tcPr>
          <w:p w14:paraId="39DD18FB" w14:textId="77777777" w:rsidR="00053418" w:rsidRPr="009E06AA" w:rsidRDefault="00053418" w:rsidP="00314B3B">
            <w:pPr>
              <w:pStyle w:val="TableText"/>
              <w:jc w:val="right"/>
            </w:pPr>
            <w:r w:rsidRPr="009E06AA">
              <w:rPr>
                <w:rFonts w:eastAsia="Calibri" w:cs="Calibri"/>
                <w:color w:val="000000"/>
                <w:szCs w:val="16"/>
              </w:rPr>
              <w:t>11.4</w:t>
            </w:r>
          </w:p>
        </w:tc>
        <w:tc>
          <w:tcPr>
            <w:tcW w:w="1128" w:type="dxa"/>
            <w:shd w:val="clear" w:color="auto" w:fill="FFFFFF"/>
            <w:tcMar>
              <w:top w:w="0" w:type="dxa"/>
              <w:left w:w="85" w:type="dxa"/>
              <w:bottom w:w="0" w:type="dxa"/>
              <w:right w:w="85" w:type="dxa"/>
            </w:tcMar>
            <w:vAlign w:val="center"/>
          </w:tcPr>
          <w:p w14:paraId="7214291A" w14:textId="77777777" w:rsidR="00053418" w:rsidRPr="009E06AA" w:rsidRDefault="00053418" w:rsidP="00314B3B">
            <w:pPr>
              <w:pStyle w:val="TableText"/>
              <w:jc w:val="right"/>
            </w:pPr>
            <w:r w:rsidRPr="009E06AA">
              <w:rPr>
                <w:rFonts w:eastAsia="Calibri" w:cs="Calibri"/>
                <w:color w:val="000000"/>
                <w:szCs w:val="16"/>
              </w:rPr>
              <w:t>8.7</w:t>
            </w:r>
          </w:p>
        </w:tc>
        <w:tc>
          <w:tcPr>
            <w:tcW w:w="1020" w:type="dxa"/>
            <w:shd w:val="clear" w:color="auto" w:fill="FFFFFF"/>
            <w:tcMar>
              <w:top w:w="0" w:type="dxa"/>
              <w:left w:w="85" w:type="dxa"/>
              <w:bottom w:w="0" w:type="dxa"/>
              <w:right w:w="85" w:type="dxa"/>
            </w:tcMar>
            <w:vAlign w:val="center"/>
          </w:tcPr>
          <w:p w14:paraId="0A79B512" w14:textId="77777777" w:rsidR="00053418" w:rsidRPr="009E06AA" w:rsidRDefault="00053418" w:rsidP="00314B3B">
            <w:pPr>
              <w:pStyle w:val="TableText"/>
              <w:jc w:val="right"/>
            </w:pPr>
            <w:r w:rsidRPr="009E06AA">
              <w:rPr>
                <w:rFonts w:eastAsia="Calibri" w:cs="Calibri"/>
                <w:color w:val="000000"/>
                <w:szCs w:val="16"/>
              </w:rPr>
              <w:t>1.8</w:t>
            </w:r>
          </w:p>
        </w:tc>
        <w:tc>
          <w:tcPr>
            <w:tcW w:w="1020" w:type="dxa"/>
            <w:shd w:val="clear" w:color="auto" w:fill="FFFFFF"/>
            <w:tcMar>
              <w:top w:w="0" w:type="dxa"/>
              <w:left w:w="85" w:type="dxa"/>
              <w:bottom w:w="0" w:type="dxa"/>
              <w:right w:w="85" w:type="dxa"/>
            </w:tcMar>
            <w:vAlign w:val="center"/>
          </w:tcPr>
          <w:p w14:paraId="7A24394B" w14:textId="77777777" w:rsidR="00053418" w:rsidRPr="009E06AA" w:rsidRDefault="00053418" w:rsidP="00314B3B">
            <w:pPr>
              <w:pStyle w:val="TableText"/>
              <w:jc w:val="right"/>
            </w:pPr>
            <w:r w:rsidRPr="009E06AA">
              <w:rPr>
                <w:rFonts w:eastAsia="Calibri" w:cs="Calibri"/>
                <w:color w:val="000000"/>
                <w:szCs w:val="16"/>
              </w:rPr>
              <w:t>-23.9</w:t>
            </w:r>
          </w:p>
        </w:tc>
      </w:tr>
      <w:tr w:rsidR="00053418" w:rsidRPr="009E06AA" w14:paraId="675AD6D8" w14:textId="77777777" w:rsidTr="00B55F24">
        <w:tc>
          <w:tcPr>
            <w:tcW w:w="1928" w:type="dxa"/>
            <w:shd w:val="clear" w:color="auto" w:fill="FFFFFF"/>
            <w:tcMar>
              <w:top w:w="0" w:type="dxa"/>
              <w:left w:w="85" w:type="dxa"/>
              <w:bottom w:w="0" w:type="dxa"/>
              <w:right w:w="85" w:type="dxa"/>
            </w:tcMar>
            <w:vAlign w:val="center"/>
          </w:tcPr>
          <w:p w14:paraId="381E107D" w14:textId="77777777" w:rsidR="00053418" w:rsidRPr="009E06AA" w:rsidRDefault="00053418" w:rsidP="00B55F24">
            <w:pPr>
              <w:pStyle w:val="TableText"/>
            </w:pPr>
            <w:r w:rsidRPr="009E06AA">
              <w:rPr>
                <w:rFonts w:eastAsia="Calibri" w:cs="Calibri"/>
                <w:color w:val="000000"/>
                <w:szCs w:val="16"/>
              </w:rPr>
              <w:t>Settlements</w:t>
            </w:r>
          </w:p>
        </w:tc>
        <w:tc>
          <w:tcPr>
            <w:tcW w:w="1128" w:type="dxa"/>
            <w:shd w:val="clear" w:color="auto" w:fill="FFFFFF"/>
            <w:tcMar>
              <w:top w:w="0" w:type="dxa"/>
              <w:left w:w="85" w:type="dxa"/>
              <w:bottom w:w="0" w:type="dxa"/>
              <w:right w:w="85" w:type="dxa"/>
            </w:tcMar>
            <w:vAlign w:val="center"/>
          </w:tcPr>
          <w:p w14:paraId="746B4FE4" w14:textId="77777777" w:rsidR="00053418" w:rsidRPr="009E06AA" w:rsidRDefault="00053418" w:rsidP="00314B3B">
            <w:pPr>
              <w:pStyle w:val="TableText"/>
              <w:jc w:val="right"/>
            </w:pPr>
            <w:r w:rsidRPr="009E06AA">
              <w:rPr>
                <w:rFonts w:eastAsia="Calibri" w:cs="Calibri"/>
                <w:color w:val="000000"/>
                <w:szCs w:val="16"/>
              </w:rPr>
              <w:t>75.7</w:t>
            </w:r>
          </w:p>
        </w:tc>
        <w:tc>
          <w:tcPr>
            <w:tcW w:w="1128" w:type="dxa"/>
            <w:shd w:val="clear" w:color="auto" w:fill="FFFFFF"/>
            <w:tcMar>
              <w:top w:w="0" w:type="dxa"/>
              <w:left w:w="85" w:type="dxa"/>
              <w:bottom w:w="0" w:type="dxa"/>
              <w:right w:w="85" w:type="dxa"/>
            </w:tcMar>
            <w:vAlign w:val="center"/>
          </w:tcPr>
          <w:p w14:paraId="53E4DEC7" w14:textId="77777777" w:rsidR="00053418" w:rsidRPr="009E06AA" w:rsidRDefault="00053418" w:rsidP="00314B3B">
            <w:pPr>
              <w:pStyle w:val="TableText"/>
              <w:jc w:val="right"/>
            </w:pPr>
            <w:r w:rsidRPr="009E06AA">
              <w:rPr>
                <w:rFonts w:eastAsia="Calibri" w:cs="Calibri"/>
                <w:color w:val="000000"/>
                <w:szCs w:val="16"/>
              </w:rPr>
              <w:t>78.9</w:t>
            </w:r>
          </w:p>
        </w:tc>
        <w:tc>
          <w:tcPr>
            <w:tcW w:w="1128" w:type="dxa"/>
            <w:shd w:val="clear" w:color="auto" w:fill="FFFFFF"/>
            <w:tcMar>
              <w:top w:w="0" w:type="dxa"/>
              <w:left w:w="85" w:type="dxa"/>
              <w:bottom w:w="0" w:type="dxa"/>
              <w:right w:w="85" w:type="dxa"/>
            </w:tcMar>
            <w:vAlign w:val="center"/>
          </w:tcPr>
          <w:p w14:paraId="0E43695D" w14:textId="77777777" w:rsidR="00053418" w:rsidRPr="009E06AA" w:rsidRDefault="00053418" w:rsidP="00314B3B">
            <w:pPr>
              <w:pStyle w:val="TableText"/>
              <w:jc w:val="right"/>
            </w:pPr>
            <w:r w:rsidRPr="009E06AA">
              <w:rPr>
                <w:rFonts w:eastAsia="Calibri" w:cs="Calibri"/>
                <w:color w:val="000000"/>
                <w:szCs w:val="16"/>
              </w:rPr>
              <w:t>122.2</w:t>
            </w:r>
          </w:p>
        </w:tc>
        <w:tc>
          <w:tcPr>
            <w:tcW w:w="1128" w:type="dxa"/>
            <w:shd w:val="clear" w:color="auto" w:fill="FFFFFF"/>
            <w:tcMar>
              <w:top w:w="0" w:type="dxa"/>
              <w:left w:w="85" w:type="dxa"/>
              <w:bottom w:w="0" w:type="dxa"/>
              <w:right w:w="85" w:type="dxa"/>
            </w:tcMar>
            <w:vAlign w:val="center"/>
          </w:tcPr>
          <w:p w14:paraId="4B2DCBEF" w14:textId="77777777" w:rsidR="00053418" w:rsidRPr="009E06AA" w:rsidRDefault="00053418" w:rsidP="00314B3B">
            <w:pPr>
              <w:pStyle w:val="TableText"/>
              <w:jc w:val="right"/>
            </w:pPr>
            <w:r w:rsidRPr="009E06AA">
              <w:rPr>
                <w:rFonts w:eastAsia="Calibri" w:cs="Calibri"/>
                <w:color w:val="000000"/>
                <w:szCs w:val="16"/>
              </w:rPr>
              <w:t>121.8</w:t>
            </w:r>
          </w:p>
        </w:tc>
        <w:tc>
          <w:tcPr>
            <w:tcW w:w="1020" w:type="dxa"/>
            <w:shd w:val="clear" w:color="auto" w:fill="FFFFFF"/>
            <w:tcMar>
              <w:top w:w="0" w:type="dxa"/>
              <w:left w:w="85" w:type="dxa"/>
              <w:bottom w:w="0" w:type="dxa"/>
              <w:right w:w="85" w:type="dxa"/>
            </w:tcMar>
            <w:vAlign w:val="center"/>
          </w:tcPr>
          <w:p w14:paraId="36F55DAD" w14:textId="77777777" w:rsidR="00053418" w:rsidRPr="009E06AA" w:rsidRDefault="00053418" w:rsidP="00314B3B">
            <w:pPr>
              <w:pStyle w:val="TableText"/>
              <w:jc w:val="right"/>
            </w:pPr>
            <w:r w:rsidRPr="009E06AA">
              <w:rPr>
                <w:rFonts w:eastAsia="Calibri" w:cs="Calibri"/>
                <w:color w:val="000000"/>
                <w:szCs w:val="16"/>
              </w:rPr>
              <w:t>4.2</w:t>
            </w:r>
          </w:p>
        </w:tc>
        <w:tc>
          <w:tcPr>
            <w:tcW w:w="1020" w:type="dxa"/>
            <w:shd w:val="clear" w:color="auto" w:fill="FFFFFF"/>
            <w:tcMar>
              <w:top w:w="0" w:type="dxa"/>
              <w:left w:w="85" w:type="dxa"/>
              <w:bottom w:w="0" w:type="dxa"/>
              <w:right w:w="85" w:type="dxa"/>
            </w:tcMar>
            <w:vAlign w:val="center"/>
          </w:tcPr>
          <w:p w14:paraId="7E17851E" w14:textId="77777777" w:rsidR="00053418" w:rsidRPr="009E06AA" w:rsidRDefault="00053418" w:rsidP="00314B3B">
            <w:pPr>
              <w:pStyle w:val="TableText"/>
              <w:jc w:val="right"/>
            </w:pPr>
            <w:r w:rsidRPr="009E06AA">
              <w:rPr>
                <w:rFonts w:eastAsia="Calibri" w:cs="Calibri"/>
                <w:color w:val="000000"/>
                <w:szCs w:val="16"/>
              </w:rPr>
              <w:t>-0.3</w:t>
            </w:r>
          </w:p>
        </w:tc>
      </w:tr>
      <w:tr w:rsidR="00053418" w:rsidRPr="009E06AA" w14:paraId="68800B94" w14:textId="77777777" w:rsidTr="00B55F24">
        <w:tc>
          <w:tcPr>
            <w:tcW w:w="1928" w:type="dxa"/>
            <w:shd w:val="clear" w:color="auto" w:fill="FFFFFF"/>
            <w:tcMar>
              <w:top w:w="0" w:type="dxa"/>
              <w:left w:w="85" w:type="dxa"/>
              <w:bottom w:w="0" w:type="dxa"/>
              <w:right w:w="85" w:type="dxa"/>
            </w:tcMar>
            <w:vAlign w:val="center"/>
          </w:tcPr>
          <w:p w14:paraId="22F0FB8E" w14:textId="77777777" w:rsidR="00053418" w:rsidRPr="009E06AA" w:rsidRDefault="00053418" w:rsidP="00B55F24">
            <w:pPr>
              <w:pStyle w:val="TableText"/>
            </w:pPr>
            <w:r w:rsidRPr="009E06AA">
              <w:rPr>
                <w:rFonts w:eastAsia="Calibri" w:cs="Calibri"/>
                <w:color w:val="000000"/>
                <w:szCs w:val="16"/>
              </w:rPr>
              <w:t>Other land</w:t>
            </w:r>
          </w:p>
        </w:tc>
        <w:tc>
          <w:tcPr>
            <w:tcW w:w="1128" w:type="dxa"/>
            <w:shd w:val="clear" w:color="auto" w:fill="FFFFFF"/>
            <w:tcMar>
              <w:top w:w="0" w:type="dxa"/>
              <w:left w:w="85" w:type="dxa"/>
              <w:bottom w:w="0" w:type="dxa"/>
              <w:right w:w="85" w:type="dxa"/>
            </w:tcMar>
            <w:vAlign w:val="center"/>
          </w:tcPr>
          <w:p w14:paraId="11EF3D52" w14:textId="77777777" w:rsidR="00053418" w:rsidRPr="009E06AA" w:rsidRDefault="00053418" w:rsidP="00314B3B">
            <w:pPr>
              <w:pStyle w:val="TableText"/>
              <w:jc w:val="right"/>
            </w:pPr>
            <w:r w:rsidRPr="009E06AA">
              <w:rPr>
                <w:rFonts w:eastAsia="Calibri" w:cs="Calibri"/>
                <w:color w:val="000000"/>
                <w:szCs w:val="16"/>
              </w:rPr>
              <w:t>13.8</w:t>
            </w:r>
          </w:p>
        </w:tc>
        <w:tc>
          <w:tcPr>
            <w:tcW w:w="1128" w:type="dxa"/>
            <w:shd w:val="clear" w:color="auto" w:fill="FFFFFF"/>
            <w:tcMar>
              <w:top w:w="0" w:type="dxa"/>
              <w:left w:w="85" w:type="dxa"/>
              <w:bottom w:w="0" w:type="dxa"/>
              <w:right w:w="85" w:type="dxa"/>
            </w:tcMar>
            <w:vAlign w:val="center"/>
          </w:tcPr>
          <w:p w14:paraId="22103840" w14:textId="77777777" w:rsidR="00053418" w:rsidRPr="009E06AA" w:rsidRDefault="00053418" w:rsidP="00314B3B">
            <w:pPr>
              <w:pStyle w:val="TableText"/>
              <w:jc w:val="right"/>
            </w:pPr>
            <w:r w:rsidRPr="009E06AA">
              <w:rPr>
                <w:rFonts w:eastAsia="Calibri" w:cs="Calibri"/>
                <w:color w:val="000000"/>
                <w:szCs w:val="16"/>
              </w:rPr>
              <w:t>14.8</w:t>
            </w:r>
          </w:p>
        </w:tc>
        <w:tc>
          <w:tcPr>
            <w:tcW w:w="1128" w:type="dxa"/>
            <w:shd w:val="clear" w:color="auto" w:fill="FFFFFF"/>
            <w:tcMar>
              <w:top w:w="0" w:type="dxa"/>
              <w:left w:w="85" w:type="dxa"/>
              <w:bottom w:w="0" w:type="dxa"/>
              <w:right w:w="85" w:type="dxa"/>
            </w:tcMar>
            <w:vAlign w:val="center"/>
          </w:tcPr>
          <w:p w14:paraId="634AB156" w14:textId="77777777" w:rsidR="00053418" w:rsidRPr="009E06AA" w:rsidRDefault="00053418" w:rsidP="00314B3B">
            <w:pPr>
              <w:pStyle w:val="TableText"/>
              <w:jc w:val="right"/>
            </w:pPr>
            <w:r w:rsidRPr="009E06AA">
              <w:rPr>
                <w:rFonts w:eastAsia="Calibri" w:cs="Calibri"/>
                <w:color w:val="000000"/>
                <w:szCs w:val="16"/>
              </w:rPr>
              <w:t>85.2</w:t>
            </w:r>
          </w:p>
        </w:tc>
        <w:tc>
          <w:tcPr>
            <w:tcW w:w="1128" w:type="dxa"/>
            <w:shd w:val="clear" w:color="auto" w:fill="FFFFFF"/>
            <w:tcMar>
              <w:top w:w="0" w:type="dxa"/>
              <w:left w:w="85" w:type="dxa"/>
              <w:bottom w:w="0" w:type="dxa"/>
              <w:right w:w="85" w:type="dxa"/>
            </w:tcMar>
            <w:vAlign w:val="center"/>
          </w:tcPr>
          <w:p w14:paraId="43821206" w14:textId="77777777" w:rsidR="00053418" w:rsidRPr="009E06AA" w:rsidRDefault="00053418" w:rsidP="00314B3B">
            <w:pPr>
              <w:pStyle w:val="TableText"/>
              <w:jc w:val="right"/>
            </w:pPr>
            <w:r w:rsidRPr="009E06AA">
              <w:rPr>
                <w:rFonts w:eastAsia="Calibri" w:cs="Calibri"/>
                <w:color w:val="000000"/>
                <w:szCs w:val="16"/>
              </w:rPr>
              <w:t>101.3</w:t>
            </w:r>
          </w:p>
        </w:tc>
        <w:tc>
          <w:tcPr>
            <w:tcW w:w="1020" w:type="dxa"/>
            <w:shd w:val="clear" w:color="auto" w:fill="FFFFFF"/>
            <w:tcMar>
              <w:top w:w="0" w:type="dxa"/>
              <w:left w:w="85" w:type="dxa"/>
              <w:bottom w:w="0" w:type="dxa"/>
              <w:right w:w="85" w:type="dxa"/>
            </w:tcMar>
            <w:vAlign w:val="center"/>
          </w:tcPr>
          <w:p w14:paraId="6FFA4B97" w14:textId="77777777" w:rsidR="00053418" w:rsidRPr="009E06AA" w:rsidRDefault="00053418" w:rsidP="00314B3B">
            <w:pPr>
              <w:pStyle w:val="TableText"/>
              <w:jc w:val="right"/>
            </w:pPr>
            <w:r w:rsidRPr="009E06AA">
              <w:rPr>
                <w:rFonts w:eastAsia="Calibri" w:cs="Calibri"/>
                <w:color w:val="000000"/>
                <w:szCs w:val="16"/>
              </w:rPr>
              <w:t>7.3</w:t>
            </w:r>
          </w:p>
        </w:tc>
        <w:tc>
          <w:tcPr>
            <w:tcW w:w="1020" w:type="dxa"/>
            <w:shd w:val="clear" w:color="auto" w:fill="FFFFFF"/>
            <w:tcMar>
              <w:top w:w="0" w:type="dxa"/>
              <w:left w:w="85" w:type="dxa"/>
              <w:bottom w:w="0" w:type="dxa"/>
              <w:right w:w="85" w:type="dxa"/>
            </w:tcMar>
            <w:vAlign w:val="center"/>
          </w:tcPr>
          <w:p w14:paraId="7032D0C5" w14:textId="77777777" w:rsidR="00053418" w:rsidRPr="009E06AA" w:rsidRDefault="00053418" w:rsidP="00314B3B">
            <w:pPr>
              <w:pStyle w:val="TableText"/>
              <w:jc w:val="right"/>
            </w:pPr>
            <w:r w:rsidRPr="009E06AA">
              <w:rPr>
                <w:rFonts w:eastAsia="Calibri" w:cs="Calibri"/>
                <w:color w:val="000000"/>
                <w:szCs w:val="16"/>
              </w:rPr>
              <w:t>18.9</w:t>
            </w:r>
          </w:p>
        </w:tc>
      </w:tr>
      <w:tr w:rsidR="00053418" w:rsidRPr="009E06AA" w14:paraId="05CA1D1C" w14:textId="77777777" w:rsidTr="00B55F24">
        <w:tc>
          <w:tcPr>
            <w:tcW w:w="1928" w:type="dxa"/>
            <w:shd w:val="clear" w:color="auto" w:fill="FFFFFF"/>
            <w:tcMar>
              <w:top w:w="0" w:type="dxa"/>
              <w:left w:w="85" w:type="dxa"/>
              <w:bottom w:w="0" w:type="dxa"/>
              <w:right w:w="85" w:type="dxa"/>
            </w:tcMar>
            <w:vAlign w:val="center"/>
          </w:tcPr>
          <w:p w14:paraId="134909E8" w14:textId="77777777" w:rsidR="00053418" w:rsidRPr="009E06AA" w:rsidRDefault="00053418" w:rsidP="00B55F24">
            <w:pPr>
              <w:pStyle w:val="TableText"/>
            </w:pPr>
            <w:r w:rsidRPr="009E06AA">
              <w:rPr>
                <w:rFonts w:eastAsia="Calibri" w:cs="Calibri"/>
                <w:color w:val="000000"/>
                <w:szCs w:val="16"/>
              </w:rPr>
              <w:t>Indirect emissions</w:t>
            </w:r>
          </w:p>
        </w:tc>
        <w:tc>
          <w:tcPr>
            <w:tcW w:w="1128" w:type="dxa"/>
            <w:shd w:val="clear" w:color="auto" w:fill="FFFFFF"/>
            <w:tcMar>
              <w:top w:w="0" w:type="dxa"/>
              <w:left w:w="85" w:type="dxa"/>
              <w:bottom w:w="0" w:type="dxa"/>
              <w:right w:w="85" w:type="dxa"/>
            </w:tcMar>
            <w:vAlign w:val="center"/>
          </w:tcPr>
          <w:p w14:paraId="740DB44A" w14:textId="77777777" w:rsidR="00053418" w:rsidRPr="009E06AA" w:rsidRDefault="00053418" w:rsidP="00314B3B">
            <w:pPr>
              <w:pStyle w:val="TableText"/>
              <w:jc w:val="right"/>
            </w:pPr>
            <w:r w:rsidRPr="009E06AA">
              <w:rPr>
                <w:rFonts w:eastAsia="Calibri" w:cs="Calibri"/>
                <w:color w:val="000000"/>
                <w:szCs w:val="16"/>
              </w:rPr>
              <w:t>36.3</w:t>
            </w:r>
          </w:p>
        </w:tc>
        <w:tc>
          <w:tcPr>
            <w:tcW w:w="1128" w:type="dxa"/>
            <w:shd w:val="clear" w:color="auto" w:fill="FFFFFF"/>
            <w:tcMar>
              <w:top w:w="0" w:type="dxa"/>
              <w:left w:w="85" w:type="dxa"/>
              <w:bottom w:w="0" w:type="dxa"/>
              <w:right w:w="85" w:type="dxa"/>
            </w:tcMar>
            <w:vAlign w:val="center"/>
          </w:tcPr>
          <w:p w14:paraId="4CCA5EC3" w14:textId="77777777" w:rsidR="00053418" w:rsidRPr="009E06AA" w:rsidRDefault="00053418" w:rsidP="00314B3B">
            <w:pPr>
              <w:pStyle w:val="TableText"/>
              <w:jc w:val="right"/>
            </w:pPr>
            <w:r w:rsidRPr="009E06AA">
              <w:rPr>
                <w:rFonts w:eastAsia="Calibri" w:cs="Calibri"/>
                <w:color w:val="000000"/>
                <w:szCs w:val="16"/>
              </w:rPr>
              <w:t>37.1</w:t>
            </w:r>
          </w:p>
        </w:tc>
        <w:tc>
          <w:tcPr>
            <w:tcW w:w="1128" w:type="dxa"/>
            <w:shd w:val="clear" w:color="auto" w:fill="FFFFFF"/>
            <w:tcMar>
              <w:top w:w="0" w:type="dxa"/>
              <w:left w:w="85" w:type="dxa"/>
              <w:bottom w:w="0" w:type="dxa"/>
              <w:right w:w="85" w:type="dxa"/>
            </w:tcMar>
            <w:vAlign w:val="center"/>
          </w:tcPr>
          <w:p w14:paraId="0AA23DA1" w14:textId="77777777" w:rsidR="00053418" w:rsidRPr="009E06AA" w:rsidRDefault="00053418" w:rsidP="00314B3B">
            <w:pPr>
              <w:pStyle w:val="TableText"/>
              <w:jc w:val="right"/>
            </w:pPr>
            <w:r w:rsidRPr="009E06AA">
              <w:rPr>
                <w:rFonts w:eastAsia="Calibri" w:cs="Calibri"/>
                <w:color w:val="000000"/>
                <w:szCs w:val="16"/>
              </w:rPr>
              <w:t>16.4</w:t>
            </w:r>
          </w:p>
        </w:tc>
        <w:tc>
          <w:tcPr>
            <w:tcW w:w="1128" w:type="dxa"/>
            <w:shd w:val="clear" w:color="auto" w:fill="FFFFFF"/>
            <w:tcMar>
              <w:top w:w="0" w:type="dxa"/>
              <w:left w:w="85" w:type="dxa"/>
              <w:bottom w:w="0" w:type="dxa"/>
              <w:right w:w="85" w:type="dxa"/>
            </w:tcMar>
            <w:vAlign w:val="center"/>
          </w:tcPr>
          <w:p w14:paraId="0D22F45A" w14:textId="77777777" w:rsidR="00053418" w:rsidRPr="009E06AA" w:rsidRDefault="00053418" w:rsidP="00314B3B">
            <w:pPr>
              <w:pStyle w:val="TableText"/>
              <w:jc w:val="right"/>
            </w:pPr>
            <w:r w:rsidRPr="009E06AA">
              <w:rPr>
                <w:rFonts w:eastAsia="Calibri" w:cs="Calibri"/>
                <w:color w:val="000000"/>
                <w:szCs w:val="16"/>
              </w:rPr>
              <w:t>20.5</w:t>
            </w:r>
          </w:p>
        </w:tc>
        <w:tc>
          <w:tcPr>
            <w:tcW w:w="1020" w:type="dxa"/>
            <w:shd w:val="clear" w:color="auto" w:fill="FFFFFF"/>
            <w:tcMar>
              <w:top w:w="0" w:type="dxa"/>
              <w:left w:w="85" w:type="dxa"/>
              <w:bottom w:w="0" w:type="dxa"/>
              <w:right w:w="85" w:type="dxa"/>
            </w:tcMar>
            <w:vAlign w:val="center"/>
          </w:tcPr>
          <w:p w14:paraId="1104D047" w14:textId="77777777" w:rsidR="00053418" w:rsidRPr="009E06AA" w:rsidRDefault="00053418" w:rsidP="00314B3B">
            <w:pPr>
              <w:pStyle w:val="TableText"/>
              <w:jc w:val="right"/>
            </w:pPr>
            <w:r w:rsidRPr="009E06AA">
              <w:rPr>
                <w:rFonts w:eastAsia="Calibri" w:cs="Calibri"/>
                <w:color w:val="000000"/>
                <w:szCs w:val="16"/>
              </w:rPr>
              <w:t>2.3</w:t>
            </w:r>
          </w:p>
        </w:tc>
        <w:tc>
          <w:tcPr>
            <w:tcW w:w="1020" w:type="dxa"/>
            <w:shd w:val="clear" w:color="auto" w:fill="FFFFFF"/>
            <w:tcMar>
              <w:top w:w="0" w:type="dxa"/>
              <w:left w:w="85" w:type="dxa"/>
              <w:bottom w:w="0" w:type="dxa"/>
              <w:right w:w="85" w:type="dxa"/>
            </w:tcMar>
            <w:vAlign w:val="center"/>
          </w:tcPr>
          <w:p w14:paraId="00B6F463" w14:textId="77777777" w:rsidR="00053418" w:rsidRPr="009E06AA" w:rsidRDefault="00053418" w:rsidP="00314B3B">
            <w:pPr>
              <w:pStyle w:val="TableText"/>
              <w:jc w:val="right"/>
            </w:pPr>
            <w:r w:rsidRPr="009E06AA">
              <w:rPr>
                <w:rFonts w:eastAsia="Calibri" w:cs="Calibri"/>
                <w:color w:val="000000"/>
                <w:szCs w:val="16"/>
              </w:rPr>
              <w:t>24.7</w:t>
            </w:r>
          </w:p>
        </w:tc>
      </w:tr>
      <w:tr w:rsidR="00053418" w:rsidRPr="009E06AA" w14:paraId="3095E12C" w14:textId="77777777" w:rsidTr="00B55F24">
        <w:tc>
          <w:tcPr>
            <w:tcW w:w="1928" w:type="dxa"/>
            <w:shd w:val="clear" w:color="auto" w:fill="FFFFFF"/>
            <w:tcMar>
              <w:top w:w="0" w:type="dxa"/>
              <w:left w:w="85" w:type="dxa"/>
              <w:bottom w:w="0" w:type="dxa"/>
              <w:right w:w="85" w:type="dxa"/>
            </w:tcMar>
            <w:vAlign w:val="center"/>
          </w:tcPr>
          <w:p w14:paraId="35CB75EB" w14:textId="77777777" w:rsidR="00053418" w:rsidRPr="009E06AA" w:rsidRDefault="00053418" w:rsidP="00B55F24">
            <w:pPr>
              <w:pStyle w:val="TableText"/>
            </w:pPr>
            <w:r w:rsidRPr="009E06AA">
              <w:rPr>
                <w:rFonts w:eastAsia="Calibri" w:cs="Calibri"/>
                <w:color w:val="000000"/>
                <w:szCs w:val="16"/>
              </w:rPr>
              <w:t>Harvested wood products</w:t>
            </w:r>
          </w:p>
        </w:tc>
        <w:tc>
          <w:tcPr>
            <w:tcW w:w="1128" w:type="dxa"/>
            <w:shd w:val="clear" w:color="auto" w:fill="FFFFFF"/>
            <w:tcMar>
              <w:top w:w="0" w:type="dxa"/>
              <w:left w:w="85" w:type="dxa"/>
              <w:bottom w:w="0" w:type="dxa"/>
              <w:right w:w="85" w:type="dxa"/>
            </w:tcMar>
            <w:vAlign w:val="center"/>
          </w:tcPr>
          <w:p w14:paraId="597786ED" w14:textId="77777777" w:rsidR="00053418" w:rsidRPr="009E06AA" w:rsidRDefault="00053418" w:rsidP="00314B3B">
            <w:pPr>
              <w:pStyle w:val="TableText"/>
              <w:jc w:val="right"/>
            </w:pPr>
            <w:r w:rsidRPr="009E06AA">
              <w:rPr>
                <w:rFonts w:eastAsia="Calibri" w:cs="Calibri"/>
                <w:color w:val="000000"/>
                <w:szCs w:val="16"/>
              </w:rPr>
              <w:t>-2,481.2</w:t>
            </w:r>
          </w:p>
        </w:tc>
        <w:tc>
          <w:tcPr>
            <w:tcW w:w="1128" w:type="dxa"/>
            <w:shd w:val="clear" w:color="auto" w:fill="FFFFFF"/>
            <w:tcMar>
              <w:top w:w="0" w:type="dxa"/>
              <w:left w:w="85" w:type="dxa"/>
              <w:bottom w:w="0" w:type="dxa"/>
              <w:right w:w="85" w:type="dxa"/>
            </w:tcMar>
            <w:vAlign w:val="center"/>
          </w:tcPr>
          <w:p w14:paraId="598028C8" w14:textId="77777777" w:rsidR="00053418" w:rsidRPr="009E06AA" w:rsidRDefault="00053418" w:rsidP="00314B3B">
            <w:pPr>
              <w:pStyle w:val="TableText"/>
              <w:jc w:val="right"/>
            </w:pPr>
            <w:r w:rsidRPr="009E06AA">
              <w:rPr>
                <w:rFonts w:eastAsia="Calibri" w:cs="Calibri"/>
                <w:color w:val="000000"/>
                <w:szCs w:val="16"/>
              </w:rPr>
              <w:t>-2,437.8</w:t>
            </w:r>
          </w:p>
        </w:tc>
        <w:tc>
          <w:tcPr>
            <w:tcW w:w="1128" w:type="dxa"/>
            <w:shd w:val="clear" w:color="auto" w:fill="FFFFFF"/>
            <w:tcMar>
              <w:top w:w="0" w:type="dxa"/>
              <w:left w:w="85" w:type="dxa"/>
              <w:bottom w:w="0" w:type="dxa"/>
              <w:right w:w="85" w:type="dxa"/>
            </w:tcMar>
            <w:vAlign w:val="center"/>
          </w:tcPr>
          <w:p w14:paraId="24A97612" w14:textId="77777777" w:rsidR="00053418" w:rsidRPr="009E06AA" w:rsidRDefault="00053418" w:rsidP="00314B3B">
            <w:pPr>
              <w:pStyle w:val="TableText"/>
              <w:jc w:val="right"/>
            </w:pPr>
            <w:r w:rsidRPr="009E06AA">
              <w:rPr>
                <w:rFonts w:eastAsia="Calibri" w:cs="Calibri"/>
                <w:color w:val="000000"/>
                <w:szCs w:val="16"/>
              </w:rPr>
              <w:t>-8,658.8</w:t>
            </w:r>
          </w:p>
        </w:tc>
        <w:tc>
          <w:tcPr>
            <w:tcW w:w="1128" w:type="dxa"/>
            <w:shd w:val="clear" w:color="auto" w:fill="FFFFFF"/>
            <w:tcMar>
              <w:top w:w="0" w:type="dxa"/>
              <w:left w:w="85" w:type="dxa"/>
              <w:bottom w:w="0" w:type="dxa"/>
              <w:right w:w="85" w:type="dxa"/>
            </w:tcMar>
            <w:vAlign w:val="center"/>
          </w:tcPr>
          <w:p w14:paraId="14235C38" w14:textId="77777777" w:rsidR="00053418" w:rsidRPr="009E06AA" w:rsidRDefault="00053418" w:rsidP="00314B3B">
            <w:pPr>
              <w:pStyle w:val="TableText"/>
              <w:jc w:val="right"/>
            </w:pPr>
            <w:r w:rsidRPr="009E06AA">
              <w:rPr>
                <w:rFonts w:eastAsia="Calibri" w:cs="Calibri"/>
                <w:color w:val="000000"/>
                <w:szCs w:val="16"/>
              </w:rPr>
              <w:t>-8,806.0</w:t>
            </w:r>
          </w:p>
        </w:tc>
        <w:tc>
          <w:tcPr>
            <w:tcW w:w="1020" w:type="dxa"/>
            <w:shd w:val="clear" w:color="auto" w:fill="FFFFFF"/>
            <w:tcMar>
              <w:top w:w="0" w:type="dxa"/>
              <w:left w:w="85" w:type="dxa"/>
              <w:bottom w:w="0" w:type="dxa"/>
              <w:right w:w="85" w:type="dxa"/>
            </w:tcMar>
            <w:vAlign w:val="center"/>
          </w:tcPr>
          <w:p w14:paraId="2B95955B" w14:textId="77777777" w:rsidR="00053418" w:rsidRPr="009E06AA" w:rsidRDefault="00053418" w:rsidP="00314B3B">
            <w:pPr>
              <w:pStyle w:val="TableText"/>
              <w:jc w:val="right"/>
            </w:pPr>
            <w:r w:rsidRPr="009E06AA">
              <w:rPr>
                <w:rFonts w:eastAsia="Calibri" w:cs="Calibri"/>
                <w:color w:val="000000"/>
                <w:szCs w:val="16"/>
              </w:rPr>
              <w:t>1.8</w:t>
            </w:r>
          </w:p>
        </w:tc>
        <w:tc>
          <w:tcPr>
            <w:tcW w:w="1020" w:type="dxa"/>
            <w:shd w:val="clear" w:color="auto" w:fill="FFFFFF"/>
            <w:tcMar>
              <w:top w:w="0" w:type="dxa"/>
              <w:left w:w="85" w:type="dxa"/>
              <w:bottom w:w="0" w:type="dxa"/>
              <w:right w:w="85" w:type="dxa"/>
            </w:tcMar>
            <w:vAlign w:val="center"/>
          </w:tcPr>
          <w:p w14:paraId="248F82B3" w14:textId="77777777" w:rsidR="00053418" w:rsidRPr="009E06AA" w:rsidRDefault="00053418" w:rsidP="00314B3B">
            <w:pPr>
              <w:pStyle w:val="TableText"/>
              <w:jc w:val="right"/>
            </w:pPr>
            <w:r w:rsidRPr="009E06AA">
              <w:rPr>
                <w:rFonts w:eastAsia="Calibri" w:cs="Calibri"/>
                <w:color w:val="000000"/>
                <w:szCs w:val="16"/>
              </w:rPr>
              <w:t>-1.7</w:t>
            </w:r>
          </w:p>
        </w:tc>
      </w:tr>
      <w:tr w:rsidR="00053418" w:rsidRPr="009E06AA" w14:paraId="5D779C3B" w14:textId="77777777" w:rsidTr="00B55F24">
        <w:tc>
          <w:tcPr>
            <w:tcW w:w="1928" w:type="dxa"/>
            <w:shd w:val="clear" w:color="auto" w:fill="FFFFFF"/>
            <w:tcMar>
              <w:top w:w="0" w:type="dxa"/>
              <w:left w:w="85" w:type="dxa"/>
              <w:bottom w:w="0" w:type="dxa"/>
              <w:right w:w="85" w:type="dxa"/>
            </w:tcMar>
            <w:vAlign w:val="center"/>
          </w:tcPr>
          <w:p w14:paraId="00EC2E27" w14:textId="77777777" w:rsidR="00053418" w:rsidRPr="009E06AA" w:rsidRDefault="00053418" w:rsidP="00B55F24">
            <w:pPr>
              <w:pStyle w:val="TableText"/>
            </w:pPr>
            <w:r w:rsidRPr="009E06AA">
              <w:rPr>
                <w:rFonts w:eastAsia="Calibri" w:cs="Calibri"/>
                <w:b/>
                <w:color w:val="1B556B"/>
                <w:szCs w:val="16"/>
              </w:rPr>
              <w:t>Total</w:t>
            </w:r>
          </w:p>
        </w:tc>
        <w:tc>
          <w:tcPr>
            <w:tcW w:w="1128" w:type="dxa"/>
            <w:shd w:val="clear" w:color="auto" w:fill="FFFFFF"/>
            <w:tcMar>
              <w:top w:w="0" w:type="dxa"/>
              <w:left w:w="85" w:type="dxa"/>
              <w:bottom w:w="0" w:type="dxa"/>
              <w:right w:w="85" w:type="dxa"/>
            </w:tcMar>
            <w:vAlign w:val="center"/>
          </w:tcPr>
          <w:p w14:paraId="7FB3477C" w14:textId="77777777" w:rsidR="00053418" w:rsidRPr="009E06AA" w:rsidRDefault="00053418" w:rsidP="00314B3B">
            <w:pPr>
              <w:pStyle w:val="TableText"/>
              <w:jc w:val="right"/>
            </w:pPr>
            <w:r w:rsidRPr="009E06AA">
              <w:rPr>
                <w:rFonts w:eastAsia="Calibri" w:cs="Calibri"/>
                <w:b/>
                <w:color w:val="1B556B"/>
                <w:szCs w:val="16"/>
              </w:rPr>
              <w:t>-20,199.1</w:t>
            </w:r>
          </w:p>
        </w:tc>
        <w:tc>
          <w:tcPr>
            <w:tcW w:w="1128" w:type="dxa"/>
            <w:shd w:val="clear" w:color="auto" w:fill="FFFFFF"/>
            <w:tcMar>
              <w:top w:w="0" w:type="dxa"/>
              <w:left w:w="85" w:type="dxa"/>
              <w:bottom w:w="0" w:type="dxa"/>
              <w:right w:w="85" w:type="dxa"/>
            </w:tcMar>
            <w:vAlign w:val="center"/>
          </w:tcPr>
          <w:p w14:paraId="1BCA5E88" w14:textId="77777777" w:rsidR="00053418" w:rsidRPr="009E06AA" w:rsidRDefault="00053418" w:rsidP="00314B3B">
            <w:pPr>
              <w:pStyle w:val="TableText"/>
              <w:jc w:val="right"/>
            </w:pPr>
            <w:r w:rsidRPr="009E06AA">
              <w:rPr>
                <w:rFonts w:eastAsia="Calibri" w:cs="Calibri"/>
                <w:b/>
                <w:color w:val="1B556B"/>
                <w:szCs w:val="16"/>
              </w:rPr>
              <w:t>-24,324.6</w:t>
            </w:r>
          </w:p>
        </w:tc>
        <w:tc>
          <w:tcPr>
            <w:tcW w:w="1128" w:type="dxa"/>
            <w:shd w:val="clear" w:color="auto" w:fill="FFFFFF"/>
            <w:tcMar>
              <w:top w:w="0" w:type="dxa"/>
              <w:left w:w="85" w:type="dxa"/>
              <w:bottom w:w="0" w:type="dxa"/>
              <w:right w:w="85" w:type="dxa"/>
            </w:tcMar>
            <w:vAlign w:val="center"/>
          </w:tcPr>
          <w:p w14:paraId="3D993770" w14:textId="77777777" w:rsidR="00053418" w:rsidRPr="009E06AA" w:rsidRDefault="00053418" w:rsidP="00314B3B">
            <w:pPr>
              <w:pStyle w:val="TableText"/>
              <w:jc w:val="right"/>
            </w:pPr>
            <w:r w:rsidRPr="009E06AA">
              <w:rPr>
                <w:rFonts w:eastAsia="Calibri" w:cs="Calibri"/>
                <w:b/>
                <w:color w:val="1B556B"/>
                <w:szCs w:val="16"/>
              </w:rPr>
              <w:t>-21,101.6</w:t>
            </w:r>
          </w:p>
        </w:tc>
        <w:tc>
          <w:tcPr>
            <w:tcW w:w="1128" w:type="dxa"/>
            <w:shd w:val="clear" w:color="auto" w:fill="FFFFFF"/>
            <w:tcMar>
              <w:top w:w="0" w:type="dxa"/>
              <w:left w:w="85" w:type="dxa"/>
              <w:bottom w:w="0" w:type="dxa"/>
              <w:right w:w="85" w:type="dxa"/>
            </w:tcMar>
            <w:vAlign w:val="center"/>
          </w:tcPr>
          <w:p w14:paraId="39F087B9" w14:textId="77777777" w:rsidR="00053418" w:rsidRPr="009E06AA" w:rsidRDefault="00053418" w:rsidP="00314B3B">
            <w:pPr>
              <w:pStyle w:val="TableText"/>
              <w:jc w:val="right"/>
            </w:pPr>
            <w:r w:rsidRPr="009E06AA">
              <w:rPr>
                <w:rFonts w:eastAsia="Calibri" w:cs="Calibri"/>
                <w:b/>
                <w:color w:val="1B556B"/>
                <w:szCs w:val="16"/>
              </w:rPr>
              <w:t>-20,505.6</w:t>
            </w:r>
          </w:p>
        </w:tc>
        <w:tc>
          <w:tcPr>
            <w:tcW w:w="1020" w:type="dxa"/>
            <w:shd w:val="clear" w:color="auto" w:fill="FFFFFF"/>
            <w:tcMar>
              <w:top w:w="0" w:type="dxa"/>
              <w:left w:w="85" w:type="dxa"/>
              <w:bottom w:w="0" w:type="dxa"/>
              <w:right w:w="85" w:type="dxa"/>
            </w:tcMar>
            <w:vAlign w:val="center"/>
          </w:tcPr>
          <w:p w14:paraId="5B939B59" w14:textId="77777777" w:rsidR="00053418" w:rsidRPr="009E06AA" w:rsidRDefault="00053418" w:rsidP="00314B3B">
            <w:pPr>
              <w:pStyle w:val="TableText"/>
              <w:jc w:val="right"/>
            </w:pPr>
            <w:r w:rsidRPr="009E06AA">
              <w:rPr>
                <w:rFonts w:eastAsia="Calibri" w:cs="Calibri"/>
                <w:b/>
                <w:color w:val="1B556B"/>
                <w:szCs w:val="16"/>
              </w:rPr>
              <w:t>-20.4</w:t>
            </w:r>
          </w:p>
        </w:tc>
        <w:tc>
          <w:tcPr>
            <w:tcW w:w="1020" w:type="dxa"/>
            <w:shd w:val="clear" w:color="auto" w:fill="FFFFFF"/>
            <w:tcMar>
              <w:top w:w="0" w:type="dxa"/>
              <w:left w:w="85" w:type="dxa"/>
              <w:bottom w:w="0" w:type="dxa"/>
              <w:right w:w="85" w:type="dxa"/>
            </w:tcMar>
            <w:vAlign w:val="center"/>
          </w:tcPr>
          <w:p w14:paraId="48BB88B0" w14:textId="77777777" w:rsidR="00053418" w:rsidRPr="009E06AA" w:rsidRDefault="00053418" w:rsidP="00314B3B">
            <w:pPr>
              <w:pStyle w:val="TableText"/>
              <w:jc w:val="right"/>
            </w:pPr>
            <w:r w:rsidRPr="009E06AA">
              <w:rPr>
                <w:rFonts w:eastAsia="Calibri" w:cs="Calibri"/>
                <w:b/>
                <w:color w:val="1B556B"/>
                <w:szCs w:val="16"/>
              </w:rPr>
              <w:t>2.8</w:t>
            </w:r>
          </w:p>
        </w:tc>
      </w:tr>
    </w:tbl>
    <w:p w14:paraId="50B16A89" w14:textId="77777777" w:rsidR="00053418" w:rsidRPr="009E06AA" w:rsidRDefault="00053418" w:rsidP="00053418">
      <w:pPr>
        <w:pStyle w:val="Noteundertable"/>
        <w:ind w:left="720" w:hanging="720"/>
        <w:rPr>
          <w:b/>
        </w:rPr>
      </w:pPr>
      <w:r w:rsidRPr="009E06AA">
        <w:rPr>
          <w:b/>
        </w:rPr>
        <w:t>Note:</w:t>
      </w:r>
      <w:r w:rsidRPr="009E06AA">
        <w:tab/>
      </w:r>
      <w:r w:rsidRPr="009E06AA">
        <w:tab/>
      </w:r>
      <w:r w:rsidRPr="009E06AA">
        <w:rPr>
          <w:spacing w:val="-2"/>
        </w:rPr>
        <w:t>Net emissions are expressed as a negative value in the table to help clarify that the value is a removal (of</w:t>
      </w:r>
      <w:r w:rsidRPr="009E06AA">
        <w:t xml:space="preserve"> carbon dioxide equivalent from the atmosphere) and not an emission. Columns may not total due to rounding. Indirect emissions as a result of nitrous oxide emissions from leaching and runoff are not disaggregated by land use category </w:t>
      </w:r>
      <w:r w:rsidRPr="009E06AA">
        <w:rPr>
          <w:spacing w:val="-2"/>
        </w:rPr>
        <w:t>in the common reporting tables and are reported separately under non</w:t>
      </w:r>
      <w:r w:rsidRPr="009E06AA">
        <w:rPr>
          <w:spacing w:val="-2"/>
        </w:rPr>
        <w:noBreakHyphen/>
        <w:t>carbon dioxide emissions in section 6.11.4.</w:t>
      </w:r>
    </w:p>
    <w:p w14:paraId="4150E136" w14:textId="77777777" w:rsidR="00053418" w:rsidRPr="009E06AA" w:rsidRDefault="00053418" w:rsidP="00053418">
      <w:pPr>
        <w:pStyle w:val="BodyText"/>
        <w:spacing w:after="100"/>
      </w:pPr>
      <w:r w:rsidRPr="009E06AA">
        <w:t>The main differences between this submission and previous estimates of New Zealand’s LULUCF emissions reported in the 2023 submission are the result of the changes made to the </w:t>
      </w:r>
      <w:r w:rsidRPr="009E06AA">
        <w:rPr>
          <w:i/>
        </w:rPr>
        <w:t>Forest land</w:t>
      </w:r>
      <w:r w:rsidRPr="009E06AA">
        <w:t xml:space="preserve"> category. Note that </w:t>
      </w:r>
      <w:r w:rsidRPr="009E06AA">
        <w:rPr>
          <w:i/>
        </w:rPr>
        <w:t>Forest land</w:t>
      </w:r>
      <w:r w:rsidRPr="009E06AA">
        <w:t xml:space="preserve"> contributes the greatest net emissions to the LULUCF sector and contributes the greatest uncertainty, therefore, improvements to </w:t>
      </w:r>
      <w:r w:rsidRPr="009E06AA">
        <w:rPr>
          <w:i/>
          <w:iCs/>
        </w:rPr>
        <w:t>Forest land</w:t>
      </w:r>
      <w:r w:rsidRPr="009E06AA">
        <w:t xml:space="preserve"> are generally prioritised.</w:t>
      </w:r>
    </w:p>
    <w:p w14:paraId="56DCAD7B" w14:textId="77777777" w:rsidR="00053418" w:rsidRPr="009E06AA" w:rsidRDefault="00053418" w:rsidP="00053418">
      <w:pPr>
        <w:pStyle w:val="BodyText"/>
        <w:spacing w:after="100"/>
      </w:pPr>
      <w:r w:rsidRPr="009E06AA">
        <w:t>The following five improvements have resulted in the biggest changes in the recalculations.</w:t>
      </w:r>
    </w:p>
    <w:p w14:paraId="6AF831DB" w14:textId="77777777" w:rsidR="00053418" w:rsidRPr="009E06AA" w:rsidRDefault="00053418" w:rsidP="00DF09FC">
      <w:pPr>
        <w:pStyle w:val="Numberedparagraph"/>
      </w:pPr>
      <w:r w:rsidRPr="009E06AA">
        <w:t>The yield tables</w:t>
      </w:r>
      <w:r w:rsidRPr="009E06AA">
        <w:rPr>
          <w:rStyle w:val="FootnoteReference"/>
        </w:rPr>
        <w:footnoteReference w:id="53"/>
      </w:r>
      <w:r w:rsidRPr="009E06AA">
        <w:t xml:space="preserve"> used for pre-1990 and post-1989 planted forest have been updated to provide more accurate and up-to-date estimates of carbon stock change. All planted forest yield tables have been updated to include plots measured up until the 2022 field measurement season. Updates to planted forest yield tables have resulted in a decrease in emissions of approximately 330.8 kt CO</w:t>
      </w:r>
      <w:r w:rsidRPr="009E06AA">
        <w:rPr>
          <w:vertAlign w:val="subscript"/>
        </w:rPr>
        <w:t>2</w:t>
      </w:r>
      <w:r w:rsidRPr="009E06AA">
        <w:t>-e in 1990 and an increase in emissions of approximately 383.2 kt CO</w:t>
      </w:r>
      <w:r w:rsidRPr="009E06AA">
        <w:rPr>
          <w:vertAlign w:val="subscript"/>
        </w:rPr>
        <w:t>2</w:t>
      </w:r>
      <w:r w:rsidRPr="009E06AA">
        <w:t>-e in 2021.</w:t>
      </w:r>
    </w:p>
    <w:p w14:paraId="4E9D8728" w14:textId="77777777" w:rsidR="00053418" w:rsidRPr="009E06AA" w:rsidRDefault="00053418" w:rsidP="00DF09FC">
      <w:pPr>
        <w:pStyle w:val="Numberedparagraph"/>
      </w:pPr>
      <w:r w:rsidRPr="009E06AA">
        <w:t xml:space="preserve">A series of planted forest modelling improvements were made. The </w:t>
      </w:r>
      <w:r w:rsidRPr="009E06AA" w:rsidDel="001925AB">
        <w:t xml:space="preserve">key </w:t>
      </w:r>
      <w:r w:rsidRPr="009E06AA">
        <w:t xml:space="preserve">component was a revision of the pre-1990 planted forest harvesting time series between 1980 and 1989, which is now derived from historical roundwood removal data (Ministry for Primary Industries, 2023a) converted to area. This change means annual harvest area during this time period better reflects reality, and the emissions estimate for 1990 is stabilised among submissions. The collective impact on emissions made by the planted forest modelling improvements has been quantified relative to the National Inventory Report (NIR) 2023 submission. The largest impact is in 1990 where the improvement reduced emissions by </w:t>
      </w:r>
      <w:r w:rsidRPr="009E06AA">
        <w:rPr>
          <w:color w:val="333333"/>
        </w:rPr>
        <w:t>approximately 3</w:t>
      </w:r>
      <w:r w:rsidRPr="009E06AA">
        <w:t xml:space="preserve">,898.8 </w:t>
      </w:r>
      <w:r w:rsidRPr="009E06AA">
        <w:rPr>
          <w:color w:val="333333"/>
        </w:rPr>
        <w:t>kt CO</w:t>
      </w:r>
      <w:r w:rsidRPr="009E06AA">
        <w:rPr>
          <w:color w:val="333333"/>
          <w:vertAlign w:val="subscript"/>
        </w:rPr>
        <w:t>2</w:t>
      </w:r>
      <w:r w:rsidRPr="009E06AA">
        <w:rPr>
          <w:color w:val="333333"/>
        </w:rPr>
        <w:t xml:space="preserve">-e. The impact on 2021 emissions is an increase of approximately 216.9 </w:t>
      </w:r>
      <w:r w:rsidRPr="009E06AA">
        <w:t>kt CO</w:t>
      </w:r>
      <w:r w:rsidRPr="009E06AA">
        <w:rPr>
          <w:vertAlign w:val="subscript"/>
        </w:rPr>
        <w:t>2</w:t>
      </w:r>
      <w:r w:rsidRPr="009E06AA">
        <w:t>-e.</w:t>
      </w:r>
    </w:p>
    <w:p w14:paraId="0C56F941" w14:textId="77777777" w:rsidR="00053418" w:rsidRPr="009E06AA" w:rsidRDefault="00053418" w:rsidP="00DF09FC">
      <w:pPr>
        <w:pStyle w:val="Numberedparagraph"/>
      </w:pPr>
      <w:r w:rsidRPr="009E06AA">
        <w:t xml:space="preserve">The 2024 NIR submission is based on a new land use map (2020) including wall-to-wall mapping of land-use change up to 31 December 2020. The 2020 land use map includes the following mapping updates: </w:t>
      </w:r>
    </w:p>
    <w:p w14:paraId="7FA4DF6B" w14:textId="77777777" w:rsidR="00053418" w:rsidRPr="009E06AA" w:rsidRDefault="00053418" w:rsidP="00053418">
      <w:pPr>
        <w:pStyle w:val="Sub-bullet"/>
        <w:spacing w:after="100"/>
      </w:pPr>
      <w:r w:rsidRPr="009E06AA">
        <w:t>addition of land use classifications as at 31 December 2020 including the mapping of areas of afforestation, deforestation occurring since 2016 and all other land use changes occurring between non-forest land uses</w:t>
      </w:r>
    </w:p>
    <w:p w14:paraId="731BFD89" w14:textId="77777777" w:rsidR="00053418" w:rsidRPr="009E06AA" w:rsidRDefault="00053418" w:rsidP="00053418">
      <w:pPr>
        <w:pStyle w:val="Sub-bullet"/>
        <w:spacing w:after="100"/>
      </w:pPr>
      <w:r w:rsidRPr="009E06AA">
        <w:t>corrections to the mapping of mature</w:t>
      </w:r>
      <w:r w:rsidRPr="009E06AA">
        <w:rPr>
          <w:i/>
          <w:iCs/>
        </w:rPr>
        <w:t xml:space="preserve"> </w:t>
      </w:r>
      <w:r w:rsidRPr="009E06AA">
        <w:t xml:space="preserve">planted forest throughout the </w:t>
      </w:r>
      <w:r w:rsidRPr="009E06AA">
        <w:rPr>
          <w:rFonts w:cs="Arial"/>
        </w:rPr>
        <w:t>land use map</w:t>
      </w:r>
      <w:r w:rsidRPr="009E06AA">
        <w:t xml:space="preserve"> time series from 1990 based on independent mapping using deep-learning techniques</w:t>
      </w:r>
    </w:p>
    <w:p w14:paraId="13DA5FBE" w14:textId="77777777" w:rsidR="00053418" w:rsidRPr="009E06AA" w:rsidRDefault="00053418" w:rsidP="00053418">
      <w:pPr>
        <w:pStyle w:val="Sub-bullet"/>
        <w:spacing w:after="100"/>
      </w:pPr>
      <w:r w:rsidRPr="009E06AA">
        <w:t xml:space="preserve">corrections to the mapping of </w:t>
      </w:r>
      <w:r w:rsidRPr="009E06AA">
        <w:rPr>
          <w:i/>
          <w:iCs/>
        </w:rPr>
        <w:t>Other land</w:t>
      </w:r>
      <w:r w:rsidRPr="009E06AA">
        <w:t xml:space="preserve"> where it transitions unrealistically to or from a land use class with a high soil carbon value (e.g., </w:t>
      </w:r>
      <w:r w:rsidRPr="009E06AA">
        <w:rPr>
          <w:i/>
          <w:iCs/>
        </w:rPr>
        <w:t>Perennial cropland</w:t>
      </w:r>
      <w:r w:rsidRPr="009E06AA">
        <w:t>)</w:t>
      </w:r>
    </w:p>
    <w:p w14:paraId="3B97AFF3" w14:textId="77777777" w:rsidR="00053418" w:rsidRPr="009E06AA" w:rsidRDefault="00053418" w:rsidP="00053418">
      <w:pPr>
        <w:pStyle w:val="Sub-bullet"/>
        <w:spacing w:after="100"/>
      </w:pPr>
      <w:r w:rsidRPr="009E06AA">
        <w:t xml:space="preserve">updates to the mapping of </w:t>
      </w:r>
      <w:r w:rsidRPr="009E06AA">
        <w:rPr>
          <w:i/>
          <w:iCs/>
        </w:rPr>
        <w:t>V</w:t>
      </w:r>
      <w:r w:rsidRPr="009E06AA">
        <w:rPr>
          <w:i/>
        </w:rPr>
        <w:t>egetated wetland</w:t>
      </w:r>
      <w:r w:rsidRPr="009E06AA">
        <w:t xml:space="preserve"> based on the Land Cover Database version 5 (LCDB5)</w:t>
      </w:r>
    </w:p>
    <w:p w14:paraId="4545D265" w14:textId="77777777" w:rsidR="00053418" w:rsidRPr="009E06AA" w:rsidRDefault="00053418" w:rsidP="00053418">
      <w:pPr>
        <w:pStyle w:val="Sub-bullet"/>
        <w:spacing w:after="100"/>
      </w:pPr>
      <w:r w:rsidRPr="009E06AA">
        <w:t xml:space="preserve">corrections to the mapping of </w:t>
      </w:r>
      <w:r w:rsidRPr="009E06AA">
        <w:rPr>
          <w:i/>
          <w:iCs/>
        </w:rPr>
        <w:t>Annual cropland</w:t>
      </w:r>
      <w:r w:rsidRPr="009E06AA">
        <w:t xml:space="preserve"> and </w:t>
      </w:r>
      <w:r w:rsidRPr="009E06AA">
        <w:rPr>
          <w:i/>
          <w:iCs/>
        </w:rPr>
        <w:t xml:space="preserve">Grassland </w:t>
      </w:r>
      <w:r w:rsidRPr="009E06AA">
        <w:t xml:space="preserve">based on time-series analysis of the frequency of cultivation visible in satellite imagery. This is largely responsible for the 77.5 per cent increase in the 2021 emissions estimate for </w:t>
      </w:r>
      <w:r w:rsidRPr="009E06AA">
        <w:rPr>
          <w:i/>
          <w:iCs/>
        </w:rPr>
        <w:t>Cropland</w:t>
      </w:r>
    </w:p>
    <w:p w14:paraId="22A553B8" w14:textId="77777777" w:rsidR="00053418" w:rsidRPr="009E06AA" w:rsidRDefault="00053418" w:rsidP="00053418">
      <w:pPr>
        <w:pStyle w:val="Sub-bullet"/>
        <w:spacing w:after="100"/>
      </w:pPr>
      <w:r w:rsidRPr="009E06AA">
        <w:t>the cumulative impact of these mapping changes is an increase in 1990 emissions by 46.7 kt CO</w:t>
      </w:r>
      <w:r w:rsidRPr="009E06AA">
        <w:rPr>
          <w:vertAlign w:val="subscript"/>
        </w:rPr>
        <w:t>2</w:t>
      </w:r>
      <w:r w:rsidRPr="009E06AA">
        <w:t>-e and an increase to 2021 emissions by 54.1 kt CO</w:t>
      </w:r>
      <w:r w:rsidRPr="009E06AA">
        <w:rPr>
          <w:vertAlign w:val="subscript"/>
        </w:rPr>
        <w:t>2</w:t>
      </w:r>
      <w:r w:rsidRPr="009E06AA">
        <w:t>-e.</w:t>
      </w:r>
    </w:p>
    <w:p w14:paraId="3B898A51" w14:textId="2DD2BF96" w:rsidR="00053418" w:rsidRPr="009E06AA" w:rsidRDefault="00053418" w:rsidP="00623BA7">
      <w:pPr>
        <w:pStyle w:val="Numberedparagraph"/>
      </w:pPr>
      <w:r w:rsidRPr="009E06AA">
        <w:t>Improvements to the method used to estimate deforestation have been made. All deforestation is now mapped up to 2020 and incorporated into the 2020 land use map. Planted forest deforestation occurring in 2021 and 2022 was estimated using a trend extrapolation approach from the deforestation mapped in earlier years. For the 2024 NIR submission, that extrapolation approach has been modified to tie the pre-1990 planted forest deforestation estimates to the trend present in the results of the Afforestation and</w:t>
      </w:r>
      <w:r w:rsidR="00DC42C0" w:rsidRPr="009E06AA">
        <w:t> </w:t>
      </w:r>
      <w:r w:rsidRPr="009E06AA">
        <w:t>Deforestation Intentions Survey (Manley, 2023).</w:t>
      </w:r>
      <w:r w:rsidRPr="009E06AA" w:rsidDel="003E5B34">
        <w:rPr>
          <w:rStyle w:val="CommentReference"/>
          <w:rFonts w:eastAsia="Arial"/>
          <w:sz w:val="22"/>
          <w:szCs w:val="22"/>
        </w:rPr>
        <w:t xml:space="preserve"> </w:t>
      </w:r>
      <w:r w:rsidRPr="009E06AA">
        <w:rPr>
          <w:rStyle w:val="CommentReference"/>
          <w:rFonts w:eastAsia="Arial"/>
          <w:sz w:val="22"/>
          <w:szCs w:val="22"/>
        </w:rPr>
        <w:t>T</w:t>
      </w:r>
      <w:r w:rsidRPr="009E06AA">
        <w:t>he emissions impact of revising the deforestation estimate for 2021 is an increase of approximately 374.9 kt CO</w:t>
      </w:r>
      <w:r w:rsidRPr="009E06AA">
        <w:rPr>
          <w:vertAlign w:val="subscript"/>
        </w:rPr>
        <w:t>2</w:t>
      </w:r>
      <w:r w:rsidRPr="009E06AA">
        <w:t>-e (for further detail on this improvement, see section</w:t>
      </w:r>
      <w:r w:rsidRPr="009E06AA" w:rsidDel="00A333FE">
        <w:t xml:space="preserve"> </w:t>
      </w:r>
      <w:r w:rsidRPr="009E06AA">
        <w:t xml:space="preserve">6.4.5 and annex A5.2.2). This improvement is also largely responsible for the 59.1 per cent increase in emissions reported in the </w:t>
      </w:r>
      <w:r w:rsidRPr="009E06AA">
        <w:rPr>
          <w:i/>
        </w:rPr>
        <w:t>Grassland</w:t>
      </w:r>
      <w:r w:rsidRPr="009E06AA">
        <w:t xml:space="preserve"> category for 2021 (given most deforested land is converted to </w:t>
      </w:r>
      <w:r w:rsidRPr="009E06AA">
        <w:rPr>
          <w:i/>
          <w:iCs/>
        </w:rPr>
        <w:t>Grassland</w:t>
      </w:r>
      <w:r w:rsidRPr="009E06AA">
        <w:t xml:space="preserve">). </w:t>
      </w:r>
    </w:p>
    <w:p w14:paraId="268C226A" w14:textId="77777777" w:rsidR="00053418" w:rsidRPr="009E06AA" w:rsidRDefault="00053418" w:rsidP="00DF09FC">
      <w:pPr>
        <w:pStyle w:val="Numberedparagraph"/>
      </w:pPr>
      <w:r w:rsidRPr="009E06AA">
        <w:t>An updated harvested wood product model has been developed for the 2024 NIR submission. This model incorporates New Zealand-specific weighted half-life values for harvested wood products produced and consumed in both the domestic and export markets.</w:t>
      </w:r>
      <w:r w:rsidRPr="009E06AA">
        <w:rPr>
          <w:rFonts w:ascii="Arial" w:hAnsi="Arial" w:cs="Arial"/>
        </w:rPr>
        <w:t xml:space="preserve"> </w:t>
      </w:r>
      <w:r w:rsidRPr="009E06AA">
        <w:t xml:space="preserve">The emissions impact of this change is an increase in emissions of approximately </w:t>
      </w:r>
      <w:r w:rsidRPr="009E06AA">
        <w:rPr>
          <w:spacing w:val="-2"/>
        </w:rPr>
        <w:t>43.2 kt CO</w:t>
      </w:r>
      <w:r w:rsidRPr="009E06AA">
        <w:rPr>
          <w:spacing w:val="-2"/>
          <w:vertAlign w:val="subscript"/>
        </w:rPr>
        <w:t>2</w:t>
      </w:r>
      <w:r w:rsidRPr="009E06AA">
        <w:rPr>
          <w:spacing w:val="-2"/>
        </w:rPr>
        <w:t>-e in 1990 and an increase in emissions of approximately 157.8 kt CO</w:t>
      </w:r>
      <w:r w:rsidRPr="009E06AA">
        <w:rPr>
          <w:spacing w:val="-2"/>
          <w:vertAlign w:val="subscript"/>
        </w:rPr>
        <w:t>2</w:t>
      </w:r>
      <w:r w:rsidRPr="009E06AA">
        <w:rPr>
          <w:spacing w:val="-2"/>
        </w:rPr>
        <w:t>-e in 2021</w:t>
      </w:r>
      <w:r w:rsidRPr="009E06AA">
        <w:t>.</w:t>
      </w:r>
    </w:p>
    <w:p w14:paraId="6910FFF1" w14:textId="77777777" w:rsidR="00053418" w:rsidRPr="009E06AA" w:rsidRDefault="00053418" w:rsidP="00053418">
      <w:pPr>
        <w:pStyle w:val="BodyText"/>
        <w:spacing w:after="100"/>
      </w:pPr>
      <w:r w:rsidRPr="009E06AA">
        <w:t xml:space="preserve">More information on the recalculations is provided in the relevant category-specific recalculations sections below and in chapter 10. </w:t>
      </w:r>
    </w:p>
    <w:p w14:paraId="4C37ACAC" w14:textId="77777777" w:rsidR="00053418" w:rsidRPr="009E06AA" w:rsidRDefault="00053418" w:rsidP="00053418">
      <w:pPr>
        <w:pStyle w:val="Heading3"/>
        <w:spacing w:before="280"/>
      </w:pPr>
      <w:bookmarkStart w:id="1764" w:name="_Toc280630222"/>
      <w:r w:rsidRPr="009E06AA">
        <w:t>6.1.5</w:t>
      </w:r>
      <w:r w:rsidRPr="009E06AA">
        <w:tab/>
        <w:t>LULUCF planned improvements</w:t>
      </w:r>
      <w:bookmarkEnd w:id="1764"/>
    </w:p>
    <w:p w14:paraId="0EE82073" w14:textId="77777777" w:rsidR="00053418" w:rsidRPr="009E06AA" w:rsidRDefault="00053418" w:rsidP="00053418">
      <w:pPr>
        <w:pStyle w:val="BodyText"/>
        <w:spacing w:after="100"/>
        <w:rPr>
          <w:spacing w:val="-2"/>
        </w:rPr>
      </w:pPr>
      <w:r w:rsidRPr="009E06AA">
        <w:t>The LULUCF</w:t>
      </w:r>
      <w:r w:rsidRPr="009E06AA" w:rsidDel="009430C8">
        <w:t xml:space="preserve"> sector has </w:t>
      </w:r>
      <w:r w:rsidRPr="009E06AA">
        <w:t xml:space="preserve">a plan of continuous improvement and has introduced several improvements in this submission. Once a year, potential category-specific improvements are ranked in order of priority according to expert review team (ERT) recommendations, key category analysis and contribution to uncertainty in the sector. The improvement priority list is then compared with available resources and capability before a final improvements plan, for </w:t>
      </w:r>
      <w:r w:rsidRPr="009E06AA">
        <w:rPr>
          <w:spacing w:val="-2"/>
        </w:rPr>
        <w:t>the current NIR and – in the case of the long-term improvements – for future NIRs, is agreed on.</w:t>
      </w:r>
    </w:p>
    <w:p w14:paraId="7A3186B5" w14:textId="77777777" w:rsidR="00053418" w:rsidRPr="009E06AA" w:rsidRDefault="00053418" w:rsidP="00053418">
      <w:pPr>
        <w:pStyle w:val="BodyText"/>
        <w:spacing w:after="100"/>
      </w:pPr>
      <w:r w:rsidRPr="009E06AA">
        <w:t>Category-specific planned improvements for the 2025 and future submissions are reported separately under each of the relevant category sections of this chapter. The major themes are to:</w:t>
      </w:r>
    </w:p>
    <w:p w14:paraId="5909D107" w14:textId="77777777" w:rsidR="00053418" w:rsidRPr="009E06AA" w:rsidRDefault="00053418" w:rsidP="00053418">
      <w:pPr>
        <w:pStyle w:val="Bullet"/>
        <w:numPr>
          <w:ilvl w:val="0"/>
          <w:numId w:val="29"/>
        </w:numPr>
        <w:spacing w:after="100"/>
        <w:ind w:left="397" w:hanging="397"/>
      </w:pPr>
      <w:r w:rsidRPr="009E06AA">
        <w:t xml:space="preserve">continue with method development to implement the 2006 IPCC Guidelines (IPCC, 2006a) </w:t>
      </w:r>
    </w:p>
    <w:p w14:paraId="68A4DC5F" w14:textId="087950B7" w:rsidR="00053418" w:rsidRPr="009E06AA" w:rsidRDefault="00053418" w:rsidP="00053418">
      <w:pPr>
        <w:pStyle w:val="Bullet"/>
        <w:numPr>
          <w:ilvl w:val="0"/>
          <w:numId w:val="29"/>
        </w:numPr>
        <w:spacing w:after="100"/>
        <w:ind w:left="397" w:hanging="397"/>
      </w:pPr>
      <w:r w:rsidRPr="009E06AA">
        <w:t xml:space="preserve">continue to re-measure the pre-1990 natural forest ground plot inventory on a continuous </w:t>
      </w:r>
      <w:r w:rsidRPr="009E06AA">
        <w:rPr>
          <w:spacing w:val="-2"/>
        </w:rPr>
        <w:t>basis (on a 10-year cycle). The data collected to date from the complete third measurement</w:t>
      </w:r>
      <w:r w:rsidR="000B5A02" w:rsidRPr="009E06AA">
        <w:t xml:space="preserve"> </w:t>
      </w:r>
      <w:r w:rsidRPr="009E06AA">
        <w:t>cycle will be analysed and integrated into the 2026 submission. The current post-1989 natural forest plot network will be re-measured in 2023/24</w:t>
      </w:r>
    </w:p>
    <w:p w14:paraId="17A718C2" w14:textId="77777777" w:rsidR="00053418" w:rsidRPr="009E06AA" w:rsidRDefault="00053418" w:rsidP="00053418">
      <w:pPr>
        <w:pStyle w:val="Bullet"/>
        <w:numPr>
          <w:ilvl w:val="0"/>
          <w:numId w:val="29"/>
        </w:numPr>
        <w:spacing w:after="100"/>
        <w:ind w:left="397" w:hanging="397"/>
      </w:pPr>
      <w:r w:rsidRPr="009E06AA">
        <w:t>continue to re-measure the complete planted forest plot network (pre-1990 and post</w:t>
      </w:r>
      <w:r w:rsidRPr="009E06AA">
        <w:noBreakHyphen/>
        <w:t xml:space="preserve">1989) on a continuous basis (on a five-year cycle). The data will be incorporated into the NIR as they become available </w:t>
      </w:r>
    </w:p>
    <w:p w14:paraId="006D81B4" w14:textId="77777777" w:rsidR="00053418" w:rsidRPr="009E06AA" w:rsidRDefault="00053418" w:rsidP="00053418">
      <w:pPr>
        <w:pStyle w:val="Bullet"/>
        <w:numPr>
          <w:ilvl w:val="0"/>
          <w:numId w:val="29"/>
        </w:numPr>
        <w:spacing w:after="100"/>
        <w:ind w:left="397" w:hanging="397"/>
      </w:pPr>
      <w:r w:rsidRPr="009E06AA">
        <w:t xml:space="preserve">continue to improve land use mapping by using information collected through the NZ ETS. The NZ ETS provides an ongoing source of mapping information on forest extent and age, along with information on deforestation activity and carbon equivalent forest activities. This will be used as part of a continuous improvement programme to update the 1989, 2007, 2012, 2016 and 2020 land use maps </w:t>
      </w:r>
    </w:p>
    <w:p w14:paraId="041584DA" w14:textId="77777777" w:rsidR="00053418" w:rsidRPr="009E06AA" w:rsidRDefault="00053418" w:rsidP="00053418">
      <w:pPr>
        <w:pStyle w:val="Bullet"/>
        <w:numPr>
          <w:ilvl w:val="0"/>
          <w:numId w:val="29"/>
        </w:numPr>
        <w:spacing w:after="100"/>
        <w:ind w:left="397" w:hanging="397"/>
      </w:pPr>
      <w:r w:rsidRPr="009E06AA">
        <w:t>confirmation of mapped areas of deforestation for areas cleared during 2021 and 2022</w:t>
      </w:r>
    </w:p>
    <w:p w14:paraId="489643FC" w14:textId="77777777" w:rsidR="00053418" w:rsidRPr="009E06AA" w:rsidRDefault="00053418" w:rsidP="00053418">
      <w:pPr>
        <w:pStyle w:val="Bullet"/>
        <w:numPr>
          <w:ilvl w:val="0"/>
          <w:numId w:val="29"/>
        </w:numPr>
        <w:spacing w:after="100"/>
        <w:ind w:left="397" w:hanging="397"/>
      </w:pPr>
      <w:r w:rsidRPr="009E06AA">
        <w:t>review of deforestation occurring before 2017 to check land use status for evidence of replanting</w:t>
      </w:r>
    </w:p>
    <w:p w14:paraId="47BB0700" w14:textId="77777777" w:rsidR="00053418" w:rsidRPr="009E06AA" w:rsidRDefault="00053418" w:rsidP="00053418">
      <w:pPr>
        <w:pStyle w:val="Bullet"/>
        <w:numPr>
          <w:ilvl w:val="0"/>
          <w:numId w:val="29"/>
        </w:numPr>
        <w:spacing w:after="100"/>
        <w:ind w:left="397" w:hanging="397"/>
      </w:pPr>
      <w:r w:rsidRPr="009E06AA">
        <w:t>incorporate research that refines the extent and identifies nutrient status and drainage depth</w:t>
      </w:r>
      <w:r w:rsidRPr="009E06AA" w:rsidDel="00C672A8">
        <w:t xml:space="preserve"> </w:t>
      </w:r>
      <w:r w:rsidRPr="009E06AA">
        <w:t xml:space="preserve">of drained organic soils, as well as develops suitable emission factors for them, to enable the application of the 2013 </w:t>
      </w:r>
      <w:r w:rsidRPr="009E06AA">
        <w:rPr>
          <w:i/>
        </w:rPr>
        <w:t>Wetlands</w:t>
      </w:r>
      <w:r w:rsidRPr="009E06AA">
        <w:t xml:space="preserve"> supplement</w:t>
      </w:r>
    </w:p>
    <w:p w14:paraId="6D086D87" w14:textId="77777777" w:rsidR="00053418" w:rsidRPr="009E06AA" w:rsidRDefault="00053418" w:rsidP="00053418">
      <w:pPr>
        <w:pStyle w:val="Bullet"/>
        <w:numPr>
          <w:ilvl w:val="0"/>
          <w:numId w:val="29"/>
        </w:numPr>
        <w:ind w:left="397" w:hanging="397"/>
      </w:pPr>
      <w:r w:rsidRPr="009E06AA">
        <w:t xml:space="preserve">improve the SOC reference stock values for </w:t>
      </w:r>
      <w:r w:rsidRPr="009E06AA">
        <w:rPr>
          <w:i/>
          <w:iCs/>
        </w:rPr>
        <w:t>Cropland</w:t>
      </w:r>
      <w:r w:rsidRPr="009E06AA">
        <w:t xml:space="preserve"> and </w:t>
      </w:r>
      <w:r w:rsidRPr="009E06AA">
        <w:rPr>
          <w:i/>
          <w:iCs/>
        </w:rPr>
        <w:t>Grassland</w:t>
      </w:r>
      <w:r w:rsidRPr="009E06AA">
        <w:t xml:space="preserve"> through data being collected as part of a 12-year longitudinal study to measure the impact of management practices on agricultural soils</w:t>
      </w:r>
    </w:p>
    <w:p w14:paraId="775ECEC6" w14:textId="77777777" w:rsidR="00053418" w:rsidRPr="009E06AA" w:rsidRDefault="00053418" w:rsidP="00053418">
      <w:pPr>
        <w:pStyle w:val="Bullet"/>
        <w:numPr>
          <w:ilvl w:val="0"/>
          <w:numId w:val="29"/>
        </w:numPr>
        <w:spacing w:after="100"/>
        <w:ind w:left="397" w:hanging="397"/>
      </w:pPr>
      <w:r w:rsidRPr="009E06AA">
        <w:t xml:space="preserve">improve the Soil Carbon Monitoring System (Soil CMS). </w:t>
      </w:r>
      <w:r w:rsidRPr="009E06AA">
        <w:rPr>
          <w:rFonts w:asciiTheme="minorHAnsi" w:hAnsiTheme="minorHAnsi" w:cstheme="minorBidi"/>
          <w:color w:val="000000" w:themeColor="text1"/>
        </w:rPr>
        <w:t>This work will improve New Zealand’s soil carbon stock change estimates</w:t>
      </w:r>
      <w:r w:rsidRPr="009E06AA">
        <w:rPr>
          <w:rFonts w:asciiTheme="minorHAnsi" w:hAnsiTheme="minorHAnsi"/>
          <w:color w:val="000000" w:themeColor="text1"/>
        </w:rPr>
        <w:t xml:space="preserve"> b</w:t>
      </w:r>
      <w:r w:rsidRPr="009E06AA">
        <w:rPr>
          <w:rFonts w:asciiTheme="minorHAnsi" w:hAnsiTheme="minorHAnsi" w:cstheme="minorBidi"/>
          <w:color w:val="000000" w:themeColor="text1"/>
        </w:rPr>
        <w:t>y developing a new modelling approach and addressing key measurement gaps. This work will substantially improve the accuracy of soil carbon estimates and provide a framework to include management effects within land uses. This planned improvement will help address</w:t>
      </w:r>
      <w:r w:rsidRPr="009E06AA">
        <w:t xml:space="preserve"> review recommendations L.1 and L.12 2023 (FCCC/ARR/2022/NZL, UNFCCC, 2023). Data will be incorporated into the NIR as they become available.</w:t>
      </w:r>
    </w:p>
    <w:p w14:paraId="0B2F7027" w14:textId="77777777" w:rsidR="00053418" w:rsidRPr="009E06AA" w:rsidRDefault="00053418" w:rsidP="00053418">
      <w:pPr>
        <w:pStyle w:val="Heading2"/>
        <w:spacing w:before="320"/>
      </w:pPr>
      <w:bookmarkStart w:id="1765" w:name="_Toc361645361"/>
      <w:bookmarkStart w:id="1766" w:name="_Toc391024698"/>
      <w:bookmarkStart w:id="1767" w:name="_Toc414531315"/>
      <w:bookmarkStart w:id="1768" w:name="_Toc474335457"/>
      <w:bookmarkStart w:id="1769" w:name="_Toc481751397"/>
      <w:bookmarkStart w:id="1770" w:name="_Toc522013949"/>
      <w:bookmarkStart w:id="1771" w:name="_Toc5269374"/>
      <w:bookmarkStart w:id="1772" w:name="_Toc36224414"/>
      <w:bookmarkStart w:id="1773" w:name="_Toc131591249"/>
      <w:bookmarkStart w:id="1774" w:name="_Toc158980295"/>
      <w:bookmarkStart w:id="1775" w:name="_Toc164154203"/>
      <w:r w:rsidRPr="009E06AA">
        <w:t>6.2</w:t>
      </w:r>
      <w:r w:rsidRPr="009E06AA">
        <w:tab/>
      </w:r>
      <w:r w:rsidRPr="009E06AA">
        <w:rPr>
          <w:szCs w:val="32"/>
          <w:shd w:val="clear" w:color="auto" w:fill="FFFFFF"/>
        </w:rPr>
        <w:t>Land use definitions and the land representation approach(es) used and their correspondence to the land use, land-use change and forestry categories</w:t>
      </w:r>
      <w:bookmarkEnd w:id="1765"/>
      <w:bookmarkEnd w:id="1766"/>
      <w:bookmarkEnd w:id="1767"/>
      <w:bookmarkEnd w:id="1768"/>
      <w:bookmarkEnd w:id="1769"/>
      <w:bookmarkEnd w:id="1770"/>
      <w:bookmarkEnd w:id="1771"/>
      <w:bookmarkEnd w:id="1772"/>
      <w:bookmarkEnd w:id="1773"/>
      <w:bookmarkEnd w:id="1774"/>
      <w:bookmarkEnd w:id="1775"/>
    </w:p>
    <w:p w14:paraId="35EE4323" w14:textId="77777777" w:rsidR="00053418" w:rsidRPr="009E06AA" w:rsidRDefault="00053418" w:rsidP="00053418">
      <w:pPr>
        <w:pStyle w:val="Heading3"/>
        <w:spacing w:before="240"/>
      </w:pPr>
      <w:r w:rsidRPr="009E06AA">
        <w:t>6.2.1</w:t>
      </w:r>
      <w:r w:rsidRPr="009E06AA">
        <w:tab/>
        <w:t>Land use category definitions</w:t>
      </w:r>
    </w:p>
    <w:p w14:paraId="10926DAF" w14:textId="77777777" w:rsidR="00053418" w:rsidRPr="009E06AA" w:rsidRDefault="00053418" w:rsidP="00053418">
      <w:pPr>
        <w:pStyle w:val="BodyText"/>
      </w:pPr>
      <w:r w:rsidRPr="009E06AA">
        <w:t>The land use categories and matching land uses New Zealand reports for are shown in table 6.2.1.</w:t>
      </w:r>
    </w:p>
    <w:p w14:paraId="5C868F7D" w14:textId="77777777" w:rsidR="00053418" w:rsidRPr="009E06AA" w:rsidRDefault="00053418" w:rsidP="00053418">
      <w:pPr>
        <w:pStyle w:val="Table"/>
      </w:pPr>
      <w:bookmarkStart w:id="1776" w:name="_Toc158979946"/>
      <w:bookmarkStart w:id="1777" w:name="_Toc164153879"/>
      <w:r w:rsidRPr="009E06AA">
        <w:t>Table 6.2.1</w:t>
      </w:r>
      <w:r w:rsidRPr="009E06AA">
        <w:tab/>
        <w:t>New Zealand’s land use categories and land uses</w:t>
      </w:r>
      <w:bookmarkEnd w:id="1776"/>
      <w:bookmarkEnd w:id="1777"/>
    </w:p>
    <w:tbl>
      <w:tblPr>
        <w:tblW w:w="8505" w:type="dxa"/>
        <w:tblBorders>
          <w:bottom w:val="single" w:sz="8" w:space="0" w:color="365F91"/>
        </w:tblBorders>
        <w:tblLook w:val="04A0" w:firstRow="1" w:lastRow="0" w:firstColumn="1" w:lastColumn="0" w:noHBand="0" w:noVBand="1"/>
      </w:tblPr>
      <w:tblGrid>
        <w:gridCol w:w="3114"/>
        <w:gridCol w:w="5391"/>
      </w:tblGrid>
      <w:tr w:rsidR="00053418" w:rsidRPr="009E06AA" w14:paraId="75CE7B66" w14:textId="77777777" w:rsidTr="00B55F24">
        <w:trPr>
          <w:tblHeader/>
        </w:trPr>
        <w:tc>
          <w:tcPr>
            <w:tcW w:w="2427" w:type="dxa"/>
            <w:tcBorders>
              <w:top w:val="single" w:sz="4" w:space="0" w:color="1B556B" w:themeColor="text2"/>
              <w:bottom w:val="single" w:sz="4" w:space="0" w:color="1B556B" w:themeColor="text2"/>
              <w:right w:val="nil"/>
            </w:tcBorders>
            <w:shd w:val="clear" w:color="auto" w:fill="1B556B" w:themeFill="text2"/>
          </w:tcPr>
          <w:p w14:paraId="313BA21A" w14:textId="77777777" w:rsidR="00053418" w:rsidRPr="009E06AA" w:rsidRDefault="00053418" w:rsidP="00B55F24">
            <w:pPr>
              <w:pStyle w:val="TableTextBold"/>
              <w:keepNext/>
              <w:spacing w:before="50" w:after="40"/>
              <w:rPr>
                <w:rFonts w:eastAsia="Arial Bold"/>
                <w:noProof w:val="0"/>
                <w:color w:val="FFFFFF"/>
              </w:rPr>
            </w:pPr>
            <w:r w:rsidRPr="009E06AA">
              <w:rPr>
                <w:rFonts w:eastAsia="Arial Bold"/>
                <w:noProof w:val="0"/>
                <w:color w:val="FFFFFF"/>
              </w:rPr>
              <w:t xml:space="preserve">IPCC category </w:t>
            </w:r>
          </w:p>
        </w:tc>
        <w:tc>
          <w:tcPr>
            <w:tcW w:w="4202" w:type="dxa"/>
            <w:tcBorders>
              <w:top w:val="single" w:sz="4" w:space="0" w:color="1B556B" w:themeColor="text2"/>
              <w:bottom w:val="single" w:sz="4" w:space="0" w:color="1B556B" w:themeColor="text2"/>
            </w:tcBorders>
            <w:shd w:val="clear" w:color="auto" w:fill="1B556B" w:themeFill="text2"/>
          </w:tcPr>
          <w:p w14:paraId="57C6844E" w14:textId="77777777" w:rsidR="00053418" w:rsidRPr="009E06AA" w:rsidRDefault="00053418" w:rsidP="00B55F24">
            <w:pPr>
              <w:pStyle w:val="TableTextBold"/>
              <w:spacing w:before="50" w:after="40"/>
              <w:rPr>
                <w:rFonts w:eastAsia="Arial Bold"/>
                <w:noProof w:val="0"/>
                <w:color w:val="FFFFFF"/>
              </w:rPr>
            </w:pPr>
            <w:r w:rsidRPr="009E06AA">
              <w:rPr>
                <w:rFonts w:eastAsia="Arial Bold"/>
                <w:noProof w:val="0"/>
                <w:color w:val="FFFFFF"/>
              </w:rPr>
              <w:t xml:space="preserve">New Zealand land use </w:t>
            </w:r>
          </w:p>
        </w:tc>
      </w:tr>
      <w:tr w:rsidR="00053418" w:rsidRPr="009E06AA" w14:paraId="16DB22DA" w14:textId="77777777" w:rsidTr="00B55F24">
        <w:tc>
          <w:tcPr>
            <w:tcW w:w="2427" w:type="dxa"/>
            <w:tcBorders>
              <w:top w:val="single" w:sz="4" w:space="0" w:color="1B556B" w:themeColor="text2"/>
              <w:bottom w:val="nil"/>
              <w:right w:val="nil"/>
            </w:tcBorders>
            <w:shd w:val="clear" w:color="auto" w:fill="auto"/>
          </w:tcPr>
          <w:p w14:paraId="0D60FACF" w14:textId="77777777" w:rsidR="00053418" w:rsidRPr="009E06AA" w:rsidRDefault="00053418" w:rsidP="00B55F24">
            <w:pPr>
              <w:pStyle w:val="TableText"/>
              <w:spacing w:before="40" w:after="40"/>
              <w:rPr>
                <w:rFonts w:eastAsia="Arial Bold"/>
              </w:rPr>
            </w:pPr>
            <w:r w:rsidRPr="009E06AA">
              <w:rPr>
                <w:rFonts w:eastAsia="Arial Bold"/>
              </w:rPr>
              <w:t xml:space="preserve">Forest land </w:t>
            </w:r>
          </w:p>
        </w:tc>
        <w:tc>
          <w:tcPr>
            <w:tcW w:w="4202" w:type="dxa"/>
            <w:tcBorders>
              <w:top w:val="single" w:sz="4" w:space="0" w:color="1B556B" w:themeColor="text2"/>
              <w:bottom w:val="single" w:sz="4" w:space="0" w:color="1B556B" w:themeColor="text2"/>
            </w:tcBorders>
            <w:shd w:val="clear" w:color="auto" w:fill="auto"/>
          </w:tcPr>
          <w:p w14:paraId="5C828953" w14:textId="77777777" w:rsidR="00053418" w:rsidRPr="009E06AA" w:rsidRDefault="00053418" w:rsidP="00B55F24">
            <w:pPr>
              <w:pStyle w:val="TableText"/>
              <w:spacing w:before="40" w:after="40"/>
              <w:rPr>
                <w:rFonts w:eastAsia="Arial Bold"/>
              </w:rPr>
            </w:pPr>
            <w:r w:rsidRPr="009E06AA">
              <w:rPr>
                <w:rFonts w:eastAsia="Arial Bold"/>
              </w:rPr>
              <w:t xml:space="preserve">Pre-1990 natural </w:t>
            </w:r>
          </w:p>
        </w:tc>
      </w:tr>
      <w:tr w:rsidR="00053418" w:rsidRPr="009E06AA" w14:paraId="1983FC72" w14:textId="77777777" w:rsidTr="00B55F24">
        <w:tc>
          <w:tcPr>
            <w:tcW w:w="2427" w:type="dxa"/>
            <w:tcBorders>
              <w:top w:val="nil"/>
              <w:bottom w:val="nil"/>
              <w:right w:val="nil"/>
            </w:tcBorders>
            <w:shd w:val="clear" w:color="auto" w:fill="auto"/>
          </w:tcPr>
          <w:p w14:paraId="6FD4B5AC" w14:textId="77777777" w:rsidR="00053418" w:rsidRPr="009E06AA" w:rsidRDefault="00053418" w:rsidP="00B55F24">
            <w:pPr>
              <w:pStyle w:val="TableText"/>
              <w:spacing w:before="40" w:after="40"/>
              <w:rPr>
                <w:rFonts w:eastAsia="Arial Bold"/>
              </w:rPr>
            </w:pPr>
          </w:p>
        </w:tc>
        <w:tc>
          <w:tcPr>
            <w:tcW w:w="4202" w:type="dxa"/>
            <w:tcBorders>
              <w:top w:val="single" w:sz="4" w:space="0" w:color="1B556B" w:themeColor="text2"/>
              <w:bottom w:val="single" w:sz="4" w:space="0" w:color="1B556B" w:themeColor="text2"/>
            </w:tcBorders>
            <w:shd w:val="clear" w:color="auto" w:fill="auto"/>
          </w:tcPr>
          <w:p w14:paraId="4E4A7554" w14:textId="77777777" w:rsidR="00053418" w:rsidRPr="009E06AA" w:rsidRDefault="00053418" w:rsidP="00B55F24">
            <w:pPr>
              <w:pStyle w:val="TableText"/>
              <w:spacing w:before="40" w:after="40"/>
              <w:rPr>
                <w:rFonts w:eastAsia="Arial Bold"/>
              </w:rPr>
            </w:pPr>
            <w:r w:rsidRPr="009E06AA">
              <w:rPr>
                <w:rFonts w:eastAsia="Arial Bold"/>
              </w:rPr>
              <w:t xml:space="preserve">Pre-1990 planted </w:t>
            </w:r>
          </w:p>
        </w:tc>
      </w:tr>
      <w:tr w:rsidR="00053418" w:rsidRPr="009E06AA" w14:paraId="046F6877" w14:textId="77777777" w:rsidTr="00B55F24">
        <w:tc>
          <w:tcPr>
            <w:tcW w:w="2427" w:type="dxa"/>
            <w:tcBorders>
              <w:bottom w:val="nil"/>
              <w:right w:val="nil"/>
            </w:tcBorders>
            <w:shd w:val="clear" w:color="auto" w:fill="auto"/>
          </w:tcPr>
          <w:p w14:paraId="77786E96" w14:textId="77777777" w:rsidR="00053418" w:rsidRPr="009E06AA" w:rsidRDefault="00053418" w:rsidP="00B55F24">
            <w:pPr>
              <w:pStyle w:val="TableText"/>
              <w:spacing w:before="40" w:after="40"/>
              <w:rPr>
                <w:rFonts w:eastAsia="Arial Bold"/>
              </w:rPr>
            </w:pPr>
          </w:p>
        </w:tc>
        <w:tc>
          <w:tcPr>
            <w:tcW w:w="4202" w:type="dxa"/>
            <w:tcBorders>
              <w:top w:val="single" w:sz="4" w:space="0" w:color="1B556B" w:themeColor="text2"/>
              <w:bottom w:val="single" w:sz="4" w:space="0" w:color="1B556B" w:themeColor="text2"/>
            </w:tcBorders>
            <w:shd w:val="clear" w:color="auto" w:fill="auto"/>
          </w:tcPr>
          <w:p w14:paraId="62377424" w14:textId="7CCB495E" w:rsidR="00053418" w:rsidRPr="009E06AA" w:rsidRDefault="00053418" w:rsidP="00B55F24">
            <w:pPr>
              <w:pStyle w:val="TableText"/>
              <w:spacing w:before="40" w:after="40"/>
              <w:rPr>
                <w:rFonts w:eastAsia="Arial Bold"/>
              </w:rPr>
            </w:pPr>
            <w:r w:rsidRPr="009E06AA">
              <w:rPr>
                <w:rFonts w:eastAsia="Arial Bold"/>
              </w:rPr>
              <w:t>Post-1989 natural</w:t>
            </w:r>
            <w:r w:rsidRPr="009E06AA">
              <w:rPr>
                <w:rFonts w:eastAsia="Arial Bold"/>
                <w:vertAlign w:val="superscript"/>
              </w:rPr>
              <w:t>1</w:t>
            </w:r>
          </w:p>
        </w:tc>
      </w:tr>
      <w:tr w:rsidR="00053418" w:rsidRPr="009E06AA" w14:paraId="7161F131" w14:textId="77777777" w:rsidTr="00B55F24">
        <w:tc>
          <w:tcPr>
            <w:tcW w:w="2427" w:type="dxa"/>
            <w:tcBorders>
              <w:bottom w:val="single" w:sz="4" w:space="0" w:color="1B556B" w:themeColor="text2"/>
              <w:right w:val="nil"/>
            </w:tcBorders>
            <w:shd w:val="clear" w:color="auto" w:fill="auto"/>
          </w:tcPr>
          <w:p w14:paraId="41075979" w14:textId="77777777" w:rsidR="00053418" w:rsidRPr="009E06AA" w:rsidRDefault="00053418" w:rsidP="00B55F24">
            <w:pPr>
              <w:pStyle w:val="TableText"/>
              <w:spacing w:before="40" w:after="40"/>
              <w:rPr>
                <w:rFonts w:eastAsia="Arial Bold"/>
              </w:rPr>
            </w:pPr>
          </w:p>
        </w:tc>
        <w:tc>
          <w:tcPr>
            <w:tcW w:w="4202" w:type="dxa"/>
            <w:tcBorders>
              <w:top w:val="single" w:sz="4" w:space="0" w:color="1B556B" w:themeColor="text2"/>
              <w:bottom w:val="single" w:sz="2" w:space="0" w:color="365F91"/>
            </w:tcBorders>
            <w:shd w:val="clear" w:color="auto" w:fill="auto"/>
          </w:tcPr>
          <w:p w14:paraId="5200524B" w14:textId="7FC24882" w:rsidR="00053418" w:rsidRPr="009E06AA" w:rsidRDefault="00053418" w:rsidP="00B55F24">
            <w:pPr>
              <w:pStyle w:val="TableText"/>
              <w:spacing w:before="40" w:after="40"/>
              <w:rPr>
                <w:rFonts w:eastAsia="Arial Bold"/>
              </w:rPr>
            </w:pPr>
            <w:r w:rsidRPr="009E06AA">
              <w:rPr>
                <w:rFonts w:eastAsia="Arial Bold"/>
              </w:rPr>
              <w:t>Post-1989 planted</w:t>
            </w:r>
            <w:r w:rsidRPr="009E06AA">
              <w:rPr>
                <w:rFonts w:eastAsia="Arial Bold"/>
                <w:vertAlign w:val="superscript"/>
              </w:rPr>
              <w:t>1</w:t>
            </w:r>
          </w:p>
        </w:tc>
      </w:tr>
      <w:tr w:rsidR="00053418" w:rsidRPr="009E06AA" w14:paraId="572C0C7F" w14:textId="77777777" w:rsidTr="00B55F24">
        <w:tc>
          <w:tcPr>
            <w:tcW w:w="2427" w:type="dxa"/>
            <w:tcBorders>
              <w:top w:val="single" w:sz="4" w:space="0" w:color="1B556B" w:themeColor="text2"/>
              <w:bottom w:val="nil"/>
              <w:right w:val="nil"/>
            </w:tcBorders>
            <w:shd w:val="clear" w:color="auto" w:fill="auto"/>
          </w:tcPr>
          <w:p w14:paraId="556EDEDC" w14:textId="77777777" w:rsidR="00053418" w:rsidRPr="009E06AA" w:rsidRDefault="00053418" w:rsidP="00B55F24">
            <w:pPr>
              <w:pStyle w:val="TableText"/>
              <w:spacing w:before="40" w:after="40"/>
              <w:rPr>
                <w:rFonts w:eastAsia="Arial Bold"/>
              </w:rPr>
            </w:pPr>
            <w:r w:rsidRPr="009E06AA">
              <w:rPr>
                <w:rFonts w:eastAsia="Arial Bold"/>
              </w:rPr>
              <w:t xml:space="preserve">Cropland </w:t>
            </w:r>
          </w:p>
        </w:tc>
        <w:tc>
          <w:tcPr>
            <w:tcW w:w="4202" w:type="dxa"/>
            <w:tcBorders>
              <w:top w:val="single" w:sz="2" w:space="0" w:color="365F91"/>
              <w:bottom w:val="single" w:sz="4" w:space="0" w:color="1B556B" w:themeColor="text2"/>
            </w:tcBorders>
            <w:shd w:val="clear" w:color="auto" w:fill="auto"/>
          </w:tcPr>
          <w:p w14:paraId="196873B8" w14:textId="77777777" w:rsidR="00053418" w:rsidRPr="009E06AA" w:rsidRDefault="00053418" w:rsidP="00B55F24">
            <w:pPr>
              <w:pStyle w:val="TableText"/>
              <w:spacing w:before="40" w:after="40"/>
              <w:rPr>
                <w:rFonts w:eastAsia="Arial Bold"/>
              </w:rPr>
            </w:pPr>
            <w:r w:rsidRPr="009E06AA">
              <w:rPr>
                <w:rFonts w:eastAsia="Arial Bold"/>
              </w:rPr>
              <w:t xml:space="preserve">Annual </w:t>
            </w:r>
          </w:p>
        </w:tc>
      </w:tr>
      <w:tr w:rsidR="00053418" w:rsidRPr="009E06AA" w14:paraId="22C01BF9" w14:textId="77777777" w:rsidTr="00B55F24">
        <w:tc>
          <w:tcPr>
            <w:tcW w:w="2427" w:type="dxa"/>
            <w:tcBorders>
              <w:bottom w:val="single" w:sz="4" w:space="0" w:color="1B556B" w:themeColor="text2"/>
              <w:right w:val="nil"/>
            </w:tcBorders>
            <w:shd w:val="clear" w:color="auto" w:fill="auto"/>
          </w:tcPr>
          <w:p w14:paraId="4FE835E2" w14:textId="77777777" w:rsidR="00053418" w:rsidRPr="009E06AA" w:rsidRDefault="00053418" w:rsidP="00B55F24">
            <w:pPr>
              <w:pStyle w:val="TableText"/>
              <w:spacing w:before="40" w:after="40"/>
              <w:rPr>
                <w:rFonts w:eastAsia="Arial Bold"/>
              </w:rPr>
            </w:pPr>
          </w:p>
        </w:tc>
        <w:tc>
          <w:tcPr>
            <w:tcW w:w="4202" w:type="dxa"/>
            <w:tcBorders>
              <w:top w:val="single" w:sz="4" w:space="0" w:color="1B556B" w:themeColor="text2"/>
              <w:bottom w:val="single" w:sz="4" w:space="0" w:color="1B556B" w:themeColor="text2"/>
            </w:tcBorders>
            <w:shd w:val="clear" w:color="auto" w:fill="auto"/>
          </w:tcPr>
          <w:p w14:paraId="1A67FF76" w14:textId="77777777" w:rsidR="00053418" w:rsidRPr="009E06AA" w:rsidRDefault="00053418" w:rsidP="00B55F24">
            <w:pPr>
              <w:pStyle w:val="TableText"/>
              <w:spacing w:before="40" w:after="40"/>
              <w:rPr>
                <w:rFonts w:eastAsia="Arial Bold"/>
              </w:rPr>
            </w:pPr>
            <w:r w:rsidRPr="009E06AA">
              <w:rPr>
                <w:rFonts w:eastAsia="Arial Bold"/>
              </w:rPr>
              <w:t xml:space="preserve">Perennial </w:t>
            </w:r>
          </w:p>
        </w:tc>
      </w:tr>
      <w:tr w:rsidR="00053418" w:rsidRPr="009E06AA" w14:paraId="73A8B38D" w14:textId="77777777" w:rsidTr="00B55F24">
        <w:tc>
          <w:tcPr>
            <w:tcW w:w="2427" w:type="dxa"/>
            <w:tcBorders>
              <w:top w:val="single" w:sz="4" w:space="0" w:color="1B556B" w:themeColor="text2"/>
              <w:bottom w:val="nil"/>
              <w:right w:val="nil"/>
            </w:tcBorders>
            <w:shd w:val="clear" w:color="auto" w:fill="auto"/>
          </w:tcPr>
          <w:p w14:paraId="3EFDEB96" w14:textId="77777777" w:rsidR="00053418" w:rsidRPr="009E06AA" w:rsidRDefault="00053418" w:rsidP="00B55F24">
            <w:pPr>
              <w:pStyle w:val="TableText"/>
              <w:spacing w:before="40" w:after="40"/>
              <w:rPr>
                <w:rFonts w:eastAsia="Arial Bold"/>
              </w:rPr>
            </w:pPr>
            <w:r w:rsidRPr="009E06AA">
              <w:rPr>
                <w:rFonts w:eastAsia="Arial Bold"/>
              </w:rPr>
              <w:t xml:space="preserve">Grassland </w:t>
            </w:r>
          </w:p>
        </w:tc>
        <w:tc>
          <w:tcPr>
            <w:tcW w:w="4202" w:type="dxa"/>
            <w:tcBorders>
              <w:top w:val="single" w:sz="4" w:space="0" w:color="1B556B" w:themeColor="text2"/>
              <w:bottom w:val="single" w:sz="4" w:space="0" w:color="1B556B" w:themeColor="text2"/>
            </w:tcBorders>
            <w:shd w:val="clear" w:color="auto" w:fill="auto"/>
          </w:tcPr>
          <w:p w14:paraId="2E43A1F3" w14:textId="77777777" w:rsidR="00053418" w:rsidRPr="009E06AA" w:rsidRDefault="00053418" w:rsidP="00B55F24">
            <w:pPr>
              <w:pStyle w:val="TableText"/>
              <w:spacing w:before="40" w:after="40"/>
              <w:rPr>
                <w:rFonts w:eastAsia="Arial Bold"/>
              </w:rPr>
            </w:pPr>
            <w:r w:rsidRPr="009E06AA">
              <w:rPr>
                <w:rFonts w:eastAsia="Arial Bold"/>
              </w:rPr>
              <w:t xml:space="preserve">High producing </w:t>
            </w:r>
          </w:p>
        </w:tc>
      </w:tr>
      <w:tr w:rsidR="00053418" w:rsidRPr="009E06AA" w14:paraId="2E209C5C" w14:textId="77777777" w:rsidTr="00B55F24">
        <w:tc>
          <w:tcPr>
            <w:tcW w:w="2427" w:type="dxa"/>
            <w:tcBorders>
              <w:bottom w:val="nil"/>
              <w:right w:val="nil"/>
            </w:tcBorders>
            <w:shd w:val="clear" w:color="auto" w:fill="auto"/>
          </w:tcPr>
          <w:p w14:paraId="29FD24FB" w14:textId="77777777" w:rsidR="00053418" w:rsidRPr="009E06AA" w:rsidRDefault="00053418" w:rsidP="00B55F24">
            <w:pPr>
              <w:pStyle w:val="TableText"/>
              <w:spacing w:before="40" w:after="40"/>
              <w:rPr>
                <w:rFonts w:eastAsia="Arial Bold"/>
              </w:rPr>
            </w:pPr>
          </w:p>
        </w:tc>
        <w:tc>
          <w:tcPr>
            <w:tcW w:w="4202" w:type="dxa"/>
            <w:tcBorders>
              <w:top w:val="single" w:sz="4" w:space="0" w:color="1B556B" w:themeColor="text2"/>
              <w:bottom w:val="single" w:sz="4" w:space="0" w:color="1B556B" w:themeColor="text2"/>
            </w:tcBorders>
            <w:shd w:val="clear" w:color="auto" w:fill="auto"/>
          </w:tcPr>
          <w:p w14:paraId="6F80754A" w14:textId="77777777" w:rsidR="00053418" w:rsidRPr="009E06AA" w:rsidRDefault="00053418" w:rsidP="00B55F24">
            <w:pPr>
              <w:pStyle w:val="TableText"/>
              <w:spacing w:before="40" w:after="40"/>
              <w:rPr>
                <w:rFonts w:eastAsia="Arial Bold"/>
              </w:rPr>
            </w:pPr>
            <w:r w:rsidRPr="009E06AA">
              <w:rPr>
                <w:rFonts w:eastAsia="Arial Bold"/>
              </w:rPr>
              <w:t xml:space="preserve">Low producing </w:t>
            </w:r>
          </w:p>
        </w:tc>
      </w:tr>
      <w:tr w:rsidR="00053418" w:rsidRPr="009E06AA" w14:paraId="51C13F96" w14:textId="77777777" w:rsidTr="00B55F24">
        <w:tc>
          <w:tcPr>
            <w:tcW w:w="2427" w:type="dxa"/>
            <w:tcBorders>
              <w:top w:val="nil"/>
              <w:bottom w:val="single" w:sz="4" w:space="0" w:color="1B556B" w:themeColor="text2"/>
              <w:right w:val="nil"/>
            </w:tcBorders>
            <w:shd w:val="clear" w:color="auto" w:fill="auto"/>
          </w:tcPr>
          <w:p w14:paraId="341B2E4B" w14:textId="77777777" w:rsidR="00053418" w:rsidRPr="009E06AA" w:rsidRDefault="00053418" w:rsidP="00B55F24">
            <w:pPr>
              <w:pStyle w:val="TableText"/>
              <w:spacing w:before="40" w:after="40"/>
              <w:rPr>
                <w:rFonts w:eastAsia="Arial Bold"/>
              </w:rPr>
            </w:pPr>
          </w:p>
        </w:tc>
        <w:tc>
          <w:tcPr>
            <w:tcW w:w="4202" w:type="dxa"/>
            <w:tcBorders>
              <w:top w:val="single" w:sz="4" w:space="0" w:color="1B556B" w:themeColor="text2"/>
              <w:bottom w:val="single" w:sz="4" w:space="0" w:color="1B556B" w:themeColor="text2"/>
            </w:tcBorders>
            <w:shd w:val="clear" w:color="auto" w:fill="auto"/>
          </w:tcPr>
          <w:p w14:paraId="11CBC7EB" w14:textId="77777777" w:rsidR="00053418" w:rsidRPr="009E06AA" w:rsidRDefault="00053418" w:rsidP="00B55F24">
            <w:pPr>
              <w:pStyle w:val="TableText"/>
              <w:spacing w:before="40" w:after="40"/>
              <w:rPr>
                <w:rFonts w:eastAsia="Arial Bold"/>
              </w:rPr>
            </w:pPr>
            <w:r w:rsidRPr="009E06AA">
              <w:rPr>
                <w:rFonts w:eastAsia="Arial Bold"/>
              </w:rPr>
              <w:t>With woody biomass</w:t>
            </w:r>
          </w:p>
        </w:tc>
      </w:tr>
      <w:tr w:rsidR="00053418" w:rsidRPr="009E06AA" w14:paraId="1BA08B47" w14:textId="77777777" w:rsidTr="00B55F24">
        <w:tc>
          <w:tcPr>
            <w:tcW w:w="2427" w:type="dxa"/>
            <w:tcBorders>
              <w:top w:val="single" w:sz="4" w:space="0" w:color="1B556B" w:themeColor="text2"/>
              <w:bottom w:val="nil"/>
              <w:right w:val="nil"/>
            </w:tcBorders>
            <w:shd w:val="clear" w:color="auto" w:fill="auto"/>
          </w:tcPr>
          <w:p w14:paraId="7DB146B0" w14:textId="77777777" w:rsidR="00053418" w:rsidRPr="009E06AA" w:rsidRDefault="00053418" w:rsidP="00B55F24">
            <w:pPr>
              <w:pStyle w:val="TableText"/>
              <w:spacing w:before="40" w:after="40"/>
            </w:pPr>
            <w:r w:rsidRPr="009E06AA">
              <w:t>Wetlands</w:t>
            </w:r>
          </w:p>
        </w:tc>
        <w:tc>
          <w:tcPr>
            <w:tcW w:w="4202" w:type="dxa"/>
            <w:tcBorders>
              <w:top w:val="single" w:sz="4" w:space="0" w:color="1B556B" w:themeColor="text2"/>
              <w:bottom w:val="single" w:sz="4" w:space="0" w:color="1B556B" w:themeColor="text2"/>
            </w:tcBorders>
            <w:shd w:val="clear" w:color="auto" w:fill="auto"/>
          </w:tcPr>
          <w:p w14:paraId="14F1CF0B" w14:textId="77777777" w:rsidR="00053418" w:rsidRPr="009E06AA" w:rsidRDefault="00053418" w:rsidP="00B55F24">
            <w:pPr>
              <w:pStyle w:val="TableText"/>
              <w:keepNext/>
              <w:spacing w:before="40" w:after="40"/>
              <w:rPr>
                <w:rFonts w:eastAsia="Arial Bold"/>
              </w:rPr>
            </w:pPr>
            <w:r w:rsidRPr="009E06AA">
              <w:rPr>
                <w:rFonts w:eastAsia="Arial Bold"/>
              </w:rPr>
              <w:t xml:space="preserve">Open water </w:t>
            </w:r>
          </w:p>
        </w:tc>
      </w:tr>
      <w:tr w:rsidR="00053418" w:rsidRPr="009E06AA" w14:paraId="0D047ECC" w14:textId="77777777" w:rsidTr="00B55F24">
        <w:tc>
          <w:tcPr>
            <w:tcW w:w="2427" w:type="dxa"/>
            <w:tcBorders>
              <w:top w:val="nil"/>
              <w:bottom w:val="single" w:sz="4" w:space="0" w:color="1B556B" w:themeColor="text2"/>
              <w:right w:val="nil"/>
            </w:tcBorders>
            <w:shd w:val="clear" w:color="auto" w:fill="auto"/>
          </w:tcPr>
          <w:p w14:paraId="790BD1B2" w14:textId="77777777" w:rsidR="00053418" w:rsidRPr="009E06AA" w:rsidRDefault="00053418" w:rsidP="00B55F24">
            <w:pPr>
              <w:pStyle w:val="TableText"/>
              <w:spacing w:before="40" w:after="40"/>
            </w:pPr>
          </w:p>
        </w:tc>
        <w:tc>
          <w:tcPr>
            <w:tcW w:w="4202" w:type="dxa"/>
            <w:tcBorders>
              <w:top w:val="single" w:sz="4" w:space="0" w:color="1B556B" w:themeColor="text2"/>
              <w:bottom w:val="single" w:sz="4" w:space="0" w:color="1B556B" w:themeColor="text2"/>
            </w:tcBorders>
            <w:shd w:val="clear" w:color="auto" w:fill="auto"/>
          </w:tcPr>
          <w:p w14:paraId="55788EA0" w14:textId="77777777" w:rsidR="00053418" w:rsidRPr="009E06AA" w:rsidRDefault="00053418" w:rsidP="00B55F24">
            <w:pPr>
              <w:pStyle w:val="TableText"/>
              <w:keepNext/>
              <w:spacing w:before="40" w:after="40"/>
              <w:rPr>
                <w:rFonts w:eastAsia="Arial Bold"/>
              </w:rPr>
            </w:pPr>
            <w:r w:rsidRPr="009E06AA">
              <w:rPr>
                <w:rFonts w:eastAsia="Arial Bold"/>
              </w:rPr>
              <w:t xml:space="preserve">Vegetated </w:t>
            </w:r>
          </w:p>
        </w:tc>
      </w:tr>
      <w:tr w:rsidR="00053418" w:rsidRPr="009E06AA" w14:paraId="09805DCC" w14:textId="77777777" w:rsidTr="00B55F24">
        <w:tc>
          <w:tcPr>
            <w:tcW w:w="2427" w:type="dxa"/>
            <w:tcBorders>
              <w:top w:val="single" w:sz="4" w:space="0" w:color="1B556B" w:themeColor="text2"/>
              <w:bottom w:val="single" w:sz="4" w:space="0" w:color="1B556B" w:themeColor="text2"/>
              <w:right w:val="nil"/>
            </w:tcBorders>
            <w:shd w:val="clear" w:color="auto" w:fill="auto"/>
          </w:tcPr>
          <w:p w14:paraId="00811674" w14:textId="77777777" w:rsidR="00053418" w:rsidRPr="009E06AA" w:rsidRDefault="00053418" w:rsidP="00B55F24">
            <w:pPr>
              <w:pStyle w:val="TableText"/>
              <w:spacing w:before="40" w:after="40"/>
              <w:rPr>
                <w:rFonts w:eastAsia="Arial Bold"/>
              </w:rPr>
            </w:pPr>
            <w:r w:rsidRPr="009E06AA">
              <w:rPr>
                <w:rFonts w:eastAsia="Arial Bold"/>
              </w:rPr>
              <w:t>Settlements</w:t>
            </w:r>
          </w:p>
        </w:tc>
        <w:tc>
          <w:tcPr>
            <w:tcW w:w="4202" w:type="dxa"/>
            <w:tcBorders>
              <w:top w:val="single" w:sz="4" w:space="0" w:color="1B556B" w:themeColor="text2"/>
              <w:bottom w:val="single" w:sz="4" w:space="0" w:color="1B556B" w:themeColor="text2"/>
            </w:tcBorders>
            <w:shd w:val="clear" w:color="auto" w:fill="auto"/>
          </w:tcPr>
          <w:p w14:paraId="73471869" w14:textId="77777777" w:rsidR="00053418" w:rsidRPr="009E06AA" w:rsidRDefault="00053418" w:rsidP="00B55F24">
            <w:pPr>
              <w:pStyle w:val="TableText"/>
              <w:spacing w:before="40" w:after="40"/>
              <w:rPr>
                <w:rFonts w:eastAsia="Arial Bold"/>
              </w:rPr>
            </w:pPr>
            <w:r w:rsidRPr="009E06AA">
              <w:rPr>
                <w:rFonts w:eastAsia="Arial Bold"/>
              </w:rPr>
              <w:t>Settlements</w:t>
            </w:r>
          </w:p>
        </w:tc>
      </w:tr>
      <w:tr w:rsidR="00053418" w:rsidRPr="009E06AA" w14:paraId="67916F77" w14:textId="77777777" w:rsidTr="00B55F24">
        <w:tc>
          <w:tcPr>
            <w:tcW w:w="2427" w:type="dxa"/>
            <w:tcBorders>
              <w:top w:val="single" w:sz="4" w:space="0" w:color="1B556B" w:themeColor="text2"/>
              <w:bottom w:val="single" w:sz="4" w:space="0" w:color="1B556B" w:themeColor="text2"/>
              <w:right w:val="nil"/>
            </w:tcBorders>
            <w:shd w:val="clear" w:color="auto" w:fill="auto"/>
          </w:tcPr>
          <w:p w14:paraId="1C9B1E79" w14:textId="77777777" w:rsidR="00053418" w:rsidRPr="009E06AA" w:rsidRDefault="00053418" w:rsidP="00B55F24">
            <w:pPr>
              <w:pStyle w:val="TableText"/>
              <w:spacing w:before="40" w:after="40"/>
              <w:rPr>
                <w:rFonts w:eastAsia="Arial Bold"/>
              </w:rPr>
            </w:pPr>
            <w:r w:rsidRPr="009E06AA">
              <w:rPr>
                <w:rFonts w:eastAsia="Arial Bold"/>
              </w:rPr>
              <w:t>Other land</w:t>
            </w:r>
          </w:p>
        </w:tc>
        <w:tc>
          <w:tcPr>
            <w:tcW w:w="4202" w:type="dxa"/>
            <w:tcBorders>
              <w:top w:val="single" w:sz="4" w:space="0" w:color="1B556B" w:themeColor="text2"/>
              <w:bottom w:val="single" w:sz="4" w:space="0" w:color="1B556B" w:themeColor="text2"/>
            </w:tcBorders>
            <w:shd w:val="clear" w:color="auto" w:fill="auto"/>
          </w:tcPr>
          <w:p w14:paraId="05ECC6C0" w14:textId="77777777" w:rsidR="00053418" w:rsidRPr="009E06AA" w:rsidRDefault="00053418" w:rsidP="00B55F24">
            <w:pPr>
              <w:pStyle w:val="TableText"/>
              <w:spacing w:before="40" w:after="40"/>
              <w:rPr>
                <w:rFonts w:eastAsia="Arial Bold"/>
              </w:rPr>
            </w:pPr>
            <w:r w:rsidRPr="009E06AA">
              <w:rPr>
                <w:rFonts w:eastAsia="Arial Bold"/>
              </w:rPr>
              <w:t>Other land</w:t>
            </w:r>
          </w:p>
        </w:tc>
      </w:tr>
    </w:tbl>
    <w:p w14:paraId="516E1F84" w14:textId="3BE4C70E" w:rsidR="00053418" w:rsidRPr="009E06AA" w:rsidRDefault="00053418" w:rsidP="00053418">
      <w:pPr>
        <w:pStyle w:val="Noteundertable"/>
        <w:spacing w:after="0"/>
      </w:pPr>
      <w:r w:rsidRPr="009E06AA">
        <w:rPr>
          <w:b/>
        </w:rPr>
        <w:t>Note:</w:t>
      </w:r>
      <w:r w:rsidRPr="009E06AA">
        <w:tab/>
      </w:r>
      <w:r w:rsidRPr="00417017">
        <w:rPr>
          <w:vertAlign w:val="superscript"/>
        </w:rPr>
        <w:t>1</w:t>
      </w:r>
      <w:r w:rsidRPr="009E06AA">
        <w:t xml:space="preserve"> Mapped as a single land use but stratified into ‘post-1989 natural’ and ‘post-1989 planted’ for calculating carbon stock and stock change using data from the plot network.</w:t>
      </w:r>
    </w:p>
    <w:p w14:paraId="08BBEB64" w14:textId="77777777" w:rsidR="00053418" w:rsidRPr="009E06AA" w:rsidRDefault="00053418" w:rsidP="00053418">
      <w:pPr>
        <w:pStyle w:val="BodyText"/>
        <w:spacing w:after="100"/>
      </w:pPr>
      <w:r w:rsidRPr="009E06AA">
        <w:t>The land uses were chosen for their conformance with the dominant types in New Zealand, while still enabling reporting under the land use categories specified in the 2006 IPCC Guidelines</w:t>
      </w:r>
      <w:r w:rsidRPr="009E06AA" w:rsidDel="00663F9D">
        <w:t xml:space="preserve"> </w:t>
      </w:r>
      <w:r w:rsidRPr="009E06AA">
        <w:t xml:space="preserve">(IPCC, 2006a). </w:t>
      </w:r>
    </w:p>
    <w:p w14:paraId="2C42060A" w14:textId="77777777" w:rsidR="00053418" w:rsidRPr="009E06AA" w:rsidRDefault="00053418" w:rsidP="00053418">
      <w:pPr>
        <w:pStyle w:val="BodyText"/>
        <w:spacing w:before="100" w:after="100"/>
      </w:pPr>
      <w:r w:rsidRPr="009E06AA">
        <w:t xml:space="preserve">The national thresholds used by New Zealand to define </w:t>
      </w:r>
      <w:r w:rsidRPr="009E06AA">
        <w:rPr>
          <w:i/>
        </w:rPr>
        <w:t>Forest land</w:t>
      </w:r>
      <w:r w:rsidRPr="009E06AA">
        <w:t xml:space="preserve"> are: </w:t>
      </w:r>
    </w:p>
    <w:p w14:paraId="7BEE75A3" w14:textId="77777777" w:rsidR="00053418" w:rsidRPr="009E06AA" w:rsidRDefault="00053418" w:rsidP="00053418">
      <w:pPr>
        <w:pStyle w:val="Bullet"/>
        <w:numPr>
          <w:ilvl w:val="0"/>
          <w:numId w:val="29"/>
        </w:numPr>
        <w:spacing w:after="100"/>
        <w:ind w:left="397" w:hanging="397"/>
      </w:pPr>
      <w:r w:rsidRPr="009E06AA">
        <w:t>a minimum area of 1 hectare</w:t>
      </w:r>
    </w:p>
    <w:p w14:paraId="0623DD6A" w14:textId="77777777" w:rsidR="00053418" w:rsidRPr="009E06AA" w:rsidRDefault="00053418" w:rsidP="00053418">
      <w:pPr>
        <w:pStyle w:val="Bullet"/>
        <w:numPr>
          <w:ilvl w:val="0"/>
          <w:numId w:val="29"/>
        </w:numPr>
        <w:spacing w:after="100"/>
        <w:ind w:left="397" w:hanging="397"/>
      </w:pPr>
      <w:r w:rsidRPr="009E06AA">
        <w:t>a crown cover of at least 30 per cent</w:t>
      </w:r>
    </w:p>
    <w:p w14:paraId="28F1CDE7" w14:textId="77777777" w:rsidR="00053418" w:rsidRPr="009E06AA" w:rsidRDefault="00053418" w:rsidP="00053418">
      <w:pPr>
        <w:pStyle w:val="Bullet"/>
        <w:numPr>
          <w:ilvl w:val="0"/>
          <w:numId w:val="29"/>
        </w:numPr>
        <w:spacing w:after="100"/>
        <w:ind w:left="397" w:hanging="397"/>
      </w:pPr>
      <w:r w:rsidRPr="009E06AA">
        <w:t xml:space="preserve">a minimum height of 5 metres at maturity </w:t>
      </w:r>
      <w:r w:rsidRPr="009E06AA">
        <w:rPr>
          <w:i/>
          <w:iCs/>
        </w:rPr>
        <w:t>in situ</w:t>
      </w:r>
      <w:r w:rsidRPr="009E06AA">
        <w:t xml:space="preserve"> (Ministry for the Environment, 2006)</w:t>
      </w:r>
    </w:p>
    <w:p w14:paraId="5F74D8B4" w14:textId="77777777" w:rsidR="00053418" w:rsidRPr="009E06AA" w:rsidRDefault="00053418" w:rsidP="00053418">
      <w:pPr>
        <w:pStyle w:val="Bullet"/>
        <w:numPr>
          <w:ilvl w:val="0"/>
          <w:numId w:val="29"/>
        </w:numPr>
        <w:ind w:left="397" w:hanging="397"/>
      </w:pPr>
      <w:r w:rsidRPr="009E06AA">
        <w:t xml:space="preserve">a minimum forest width of 30 metres from canopy edge to canopy edge. </w:t>
      </w:r>
    </w:p>
    <w:p w14:paraId="20AA5DAA" w14:textId="77777777" w:rsidR="00053418" w:rsidRPr="009E06AA" w:rsidRDefault="00053418" w:rsidP="00053418">
      <w:pPr>
        <w:pStyle w:val="BodyText"/>
        <w:spacing w:before="100" w:after="100"/>
      </w:pPr>
      <w:r w:rsidRPr="009E06AA">
        <w:t xml:space="preserve">The definitions of New Zealand’s land uses, as they have been mapped, are provided in table 6.2.2. Further details are included in </w:t>
      </w:r>
      <w:r w:rsidRPr="009E06AA">
        <w:rPr>
          <w:i/>
        </w:rPr>
        <w:t>Land Use and Carbon Analysis System:</w:t>
      </w:r>
      <w:r w:rsidRPr="009E06AA">
        <w:t xml:space="preserve"> </w:t>
      </w:r>
      <w:r w:rsidRPr="009E06AA">
        <w:rPr>
          <w:i/>
        </w:rPr>
        <w:t xml:space="preserve">Satellite imagery interpretation guide for land use classes </w:t>
      </w:r>
      <w:r w:rsidRPr="009E06AA">
        <w:t>(2nd edition) (Ministry for the Environment, 2012).</w:t>
      </w:r>
    </w:p>
    <w:p w14:paraId="42D8084B" w14:textId="77777777" w:rsidR="00053418" w:rsidRPr="009E06AA" w:rsidRDefault="00053418" w:rsidP="00053418">
      <w:pPr>
        <w:pStyle w:val="Table"/>
      </w:pPr>
      <w:bookmarkStart w:id="1778" w:name="_Toc158979947"/>
      <w:bookmarkStart w:id="1779" w:name="_Toc164153880"/>
      <w:r w:rsidRPr="009E06AA">
        <w:t>Table 6.2.2</w:t>
      </w:r>
      <w:r w:rsidRPr="009E06AA">
        <w:tab/>
        <w:t>New Zealand’s mapping definitions for each land use</w:t>
      </w:r>
      <w:bookmarkEnd w:id="1778"/>
      <w:bookmarkEnd w:id="1779"/>
    </w:p>
    <w:tbl>
      <w:tblPr>
        <w:tblW w:w="8505" w:type="dxa"/>
        <w:tblLook w:val="01E0" w:firstRow="1" w:lastRow="1" w:firstColumn="1" w:lastColumn="1" w:noHBand="0" w:noVBand="0"/>
      </w:tblPr>
      <w:tblGrid>
        <w:gridCol w:w="1276"/>
        <w:gridCol w:w="7229"/>
      </w:tblGrid>
      <w:tr w:rsidR="00053418" w:rsidRPr="009E06AA" w14:paraId="3B0F6BCA" w14:textId="77777777" w:rsidTr="00B55F24">
        <w:trPr>
          <w:tblHeader/>
        </w:trPr>
        <w:tc>
          <w:tcPr>
            <w:tcW w:w="1276" w:type="dxa"/>
            <w:tcBorders>
              <w:top w:val="single" w:sz="4" w:space="0" w:color="1B556B" w:themeColor="text2"/>
              <w:bottom w:val="single" w:sz="4" w:space="0" w:color="1B556B" w:themeColor="text2"/>
            </w:tcBorders>
            <w:shd w:val="clear" w:color="auto" w:fill="1B556B" w:themeFill="text2"/>
          </w:tcPr>
          <w:p w14:paraId="74C2EE4C" w14:textId="77777777" w:rsidR="00053418" w:rsidRPr="009E06AA" w:rsidRDefault="00053418" w:rsidP="00B55F24">
            <w:pPr>
              <w:pStyle w:val="TableTextBold"/>
              <w:rPr>
                <w:noProof w:val="0"/>
                <w:color w:val="FFFFFF"/>
              </w:rPr>
            </w:pPr>
            <w:r w:rsidRPr="009E06AA">
              <w:rPr>
                <w:noProof w:val="0"/>
                <w:color w:val="FFFFFF"/>
              </w:rPr>
              <w:t>Land use</w:t>
            </w:r>
          </w:p>
        </w:tc>
        <w:tc>
          <w:tcPr>
            <w:tcW w:w="7229" w:type="dxa"/>
            <w:tcBorders>
              <w:top w:val="single" w:sz="4" w:space="0" w:color="1B556B" w:themeColor="text2"/>
              <w:bottom w:val="single" w:sz="4" w:space="0" w:color="1B556B" w:themeColor="text2"/>
            </w:tcBorders>
            <w:shd w:val="clear" w:color="auto" w:fill="1B556B" w:themeFill="text2"/>
            <w:vAlign w:val="bottom"/>
          </w:tcPr>
          <w:p w14:paraId="753CDDA1" w14:textId="77777777" w:rsidR="00053418" w:rsidRPr="009E06AA" w:rsidRDefault="00053418" w:rsidP="00B55F24">
            <w:pPr>
              <w:pStyle w:val="TableTextBold"/>
              <w:rPr>
                <w:noProof w:val="0"/>
                <w:color w:val="FFFFFF"/>
              </w:rPr>
            </w:pPr>
            <w:r w:rsidRPr="009E06AA">
              <w:rPr>
                <w:noProof w:val="0"/>
                <w:color w:val="FFFFFF"/>
              </w:rPr>
              <w:t>Definition</w:t>
            </w:r>
          </w:p>
        </w:tc>
      </w:tr>
      <w:tr w:rsidR="00053418" w:rsidRPr="009E06AA" w14:paraId="308E8E1E" w14:textId="77777777" w:rsidTr="00B55F24">
        <w:tc>
          <w:tcPr>
            <w:tcW w:w="1276" w:type="dxa"/>
            <w:tcBorders>
              <w:top w:val="single" w:sz="4" w:space="0" w:color="1B556B" w:themeColor="text2"/>
              <w:bottom w:val="single" w:sz="4" w:space="0" w:color="1B556B" w:themeColor="text2"/>
            </w:tcBorders>
          </w:tcPr>
          <w:p w14:paraId="59A6F96D" w14:textId="77777777" w:rsidR="00053418" w:rsidRPr="009E06AA" w:rsidRDefault="00053418" w:rsidP="00B55F24">
            <w:pPr>
              <w:pStyle w:val="TableText"/>
              <w:rPr>
                <w:b/>
              </w:rPr>
            </w:pPr>
            <w:r w:rsidRPr="009E06AA">
              <w:rPr>
                <w:b/>
              </w:rPr>
              <w:t xml:space="preserve">Pre-1990 natural forest </w:t>
            </w:r>
          </w:p>
        </w:tc>
        <w:tc>
          <w:tcPr>
            <w:tcW w:w="7229" w:type="dxa"/>
            <w:tcBorders>
              <w:top w:val="single" w:sz="4" w:space="0" w:color="1B556B" w:themeColor="text2"/>
              <w:bottom w:val="single" w:sz="4" w:space="0" w:color="1B556B" w:themeColor="text2"/>
            </w:tcBorders>
          </w:tcPr>
          <w:p w14:paraId="75BBAAA7" w14:textId="77777777" w:rsidR="00053418" w:rsidRPr="009E06AA" w:rsidRDefault="00053418" w:rsidP="00B55F24">
            <w:pPr>
              <w:pStyle w:val="TableText"/>
              <w:spacing w:after="40"/>
            </w:pPr>
            <w:r w:rsidRPr="009E06AA">
              <w:t>Areas that, on 1 January 1990, were and presently include:</w:t>
            </w:r>
          </w:p>
          <w:p w14:paraId="3B8EC3A0" w14:textId="77777777" w:rsidR="00053418" w:rsidRPr="009E06AA" w:rsidRDefault="00053418" w:rsidP="00053418">
            <w:pPr>
              <w:pStyle w:val="TableBullet"/>
              <w:spacing w:before="0" w:after="40"/>
            </w:pPr>
            <w:r w:rsidRPr="009E06AA">
              <w:t xml:space="preserve">tall indigenous forest </w:t>
            </w:r>
          </w:p>
          <w:p w14:paraId="6EF3ADCF" w14:textId="77777777" w:rsidR="00053418" w:rsidRPr="009E06AA" w:rsidRDefault="00053418" w:rsidP="00053418">
            <w:pPr>
              <w:pStyle w:val="TableBullet"/>
              <w:spacing w:before="0" w:after="40"/>
            </w:pPr>
            <w:r w:rsidRPr="009E06AA">
              <w:t>self-sown exotic trees, such as wilding pines and grey willows (where managed as forest)</w:t>
            </w:r>
          </w:p>
          <w:p w14:paraId="155FD27E" w14:textId="77777777" w:rsidR="00053418" w:rsidRPr="009E06AA" w:rsidRDefault="00053418" w:rsidP="00053418">
            <w:pPr>
              <w:pStyle w:val="TableBullet"/>
              <w:spacing w:before="0" w:after="40"/>
            </w:pPr>
            <w:r w:rsidRPr="009E06AA">
              <w:t>broadleaved hardwood shrubland, k</w:t>
            </w:r>
            <w:r w:rsidRPr="009E06AA">
              <w:rPr>
                <w:rFonts w:cs="Calibri"/>
              </w:rPr>
              <w:t>ā</w:t>
            </w:r>
            <w:r w:rsidRPr="009E06AA">
              <w:t>nuka–m</w:t>
            </w:r>
            <w:r w:rsidRPr="009E06AA">
              <w:rPr>
                <w:rFonts w:cs="Calibri"/>
              </w:rPr>
              <w:t>ā</w:t>
            </w:r>
            <w:r w:rsidRPr="009E06AA">
              <w:t>nuka (</w:t>
            </w:r>
            <w:r w:rsidRPr="009E06AA">
              <w:rPr>
                <w:i/>
              </w:rPr>
              <w:t>Leptospermum</w:t>
            </w:r>
            <w:r w:rsidRPr="009E06AA">
              <w:t xml:space="preserve"> </w:t>
            </w:r>
            <w:r w:rsidRPr="009E06AA">
              <w:rPr>
                <w:i/>
              </w:rPr>
              <w:t>scoparium</w:t>
            </w:r>
            <w:r w:rsidRPr="009E06AA">
              <w:t>–</w:t>
            </w:r>
            <w:r w:rsidRPr="009E06AA">
              <w:rPr>
                <w:i/>
              </w:rPr>
              <w:t>Kunzea</w:t>
            </w:r>
            <w:r w:rsidRPr="009E06AA">
              <w:t xml:space="preserve"> spp.) shrubland and other woody shrubland (≥30 per cent cover, with potential to reach ≥5 metres at maturity </w:t>
            </w:r>
            <w:r w:rsidRPr="009E06AA">
              <w:rPr>
                <w:i/>
              </w:rPr>
              <w:t>in situ</w:t>
            </w:r>
            <w:r w:rsidRPr="009E06AA">
              <w:t xml:space="preserve"> under current land management within 30–40 years)</w:t>
            </w:r>
          </w:p>
          <w:p w14:paraId="181ADBA8" w14:textId="77777777" w:rsidR="00053418" w:rsidRPr="009E06AA" w:rsidRDefault="00053418" w:rsidP="00053418">
            <w:pPr>
              <w:pStyle w:val="TableBullet"/>
              <w:spacing w:before="0" w:after="40"/>
            </w:pPr>
            <w:r w:rsidRPr="009E06AA">
              <w:t xml:space="preserve">areas of bare ground of any size that were previously forested but, due to natural disturbances (e.g., erosion, storms, fire), have temporarily lost vegetation cover </w:t>
            </w:r>
          </w:p>
          <w:p w14:paraId="59697221" w14:textId="77777777" w:rsidR="00053418" w:rsidRPr="009E06AA" w:rsidRDefault="00053418" w:rsidP="00053418">
            <w:pPr>
              <w:pStyle w:val="TableBullet"/>
              <w:spacing w:before="0" w:after="40"/>
            </w:pPr>
            <w:r w:rsidRPr="009E06AA">
              <w:t xml:space="preserve">areas that were planted forest at 1990 but are subsequently managed to regenerate with natural species that will meet the forest definition </w:t>
            </w:r>
          </w:p>
          <w:p w14:paraId="3D4C3B5F" w14:textId="77777777" w:rsidR="00053418" w:rsidRPr="009E06AA" w:rsidRDefault="00053418" w:rsidP="00053418">
            <w:pPr>
              <w:pStyle w:val="TableBullet"/>
              <w:spacing w:before="0"/>
            </w:pPr>
            <w:r w:rsidRPr="009E06AA">
              <w:t>roads and tracks less than 30 metres in width and other temporarily unstocked areas associated with a forest land use.</w:t>
            </w:r>
          </w:p>
        </w:tc>
      </w:tr>
      <w:tr w:rsidR="00053418" w:rsidRPr="009E06AA" w14:paraId="32076530" w14:textId="77777777" w:rsidTr="00B55F24">
        <w:tc>
          <w:tcPr>
            <w:tcW w:w="1276" w:type="dxa"/>
            <w:tcBorders>
              <w:top w:val="single" w:sz="4" w:space="0" w:color="1B556B" w:themeColor="text2"/>
              <w:bottom w:val="single" w:sz="4" w:space="0" w:color="365F91"/>
            </w:tcBorders>
          </w:tcPr>
          <w:p w14:paraId="67EEF03C" w14:textId="77777777" w:rsidR="00053418" w:rsidRPr="009E06AA" w:rsidRDefault="00053418" w:rsidP="00B55F24">
            <w:pPr>
              <w:pStyle w:val="TableText"/>
              <w:spacing w:before="40"/>
              <w:rPr>
                <w:b/>
              </w:rPr>
            </w:pPr>
            <w:r w:rsidRPr="009E06AA">
              <w:rPr>
                <w:b/>
              </w:rPr>
              <w:t>Pre-1990 planted forest</w:t>
            </w:r>
          </w:p>
        </w:tc>
        <w:tc>
          <w:tcPr>
            <w:tcW w:w="7229" w:type="dxa"/>
            <w:tcBorders>
              <w:top w:val="single" w:sz="4" w:space="0" w:color="1B556B" w:themeColor="text2"/>
              <w:bottom w:val="single" w:sz="4" w:space="0" w:color="365F91"/>
            </w:tcBorders>
          </w:tcPr>
          <w:p w14:paraId="548317BF" w14:textId="77777777" w:rsidR="00053418" w:rsidRPr="009E06AA" w:rsidRDefault="00053418" w:rsidP="00B55F24">
            <w:pPr>
              <w:pStyle w:val="TableText"/>
              <w:spacing w:before="40" w:after="40"/>
            </w:pPr>
            <w:r w:rsidRPr="009E06AA">
              <w:t>Areas that, on 1 January 1990, were and presently include:</w:t>
            </w:r>
          </w:p>
          <w:p w14:paraId="4432CE15" w14:textId="77777777" w:rsidR="00053418" w:rsidRPr="009E06AA" w:rsidRDefault="00053418" w:rsidP="00053418">
            <w:pPr>
              <w:pStyle w:val="TableBullet"/>
              <w:spacing w:before="0" w:after="40"/>
            </w:pPr>
            <w:r w:rsidRPr="009E06AA">
              <w:t>radiata pine (</w:t>
            </w:r>
            <w:r w:rsidRPr="009E06AA">
              <w:rPr>
                <w:i/>
              </w:rPr>
              <w:t>Pinus radiata</w:t>
            </w:r>
            <w:r w:rsidRPr="009E06AA">
              <w:t>), Douglas fir (</w:t>
            </w:r>
            <w:r w:rsidRPr="009E06AA">
              <w:rPr>
                <w:i/>
              </w:rPr>
              <w:t>Pseudotsuga menziesii</w:t>
            </w:r>
            <w:r w:rsidRPr="009E06AA">
              <w:t>), eucalypts (</w:t>
            </w:r>
            <w:r w:rsidRPr="009E06AA">
              <w:rPr>
                <w:i/>
              </w:rPr>
              <w:t xml:space="preserve">Eucalyptus </w:t>
            </w:r>
            <w:r w:rsidRPr="009E06AA">
              <w:t xml:space="preserve">spp.) or other planted species (with potential to reach ≥5 metre height at maturity </w:t>
            </w:r>
            <w:r w:rsidRPr="009E06AA">
              <w:rPr>
                <w:i/>
              </w:rPr>
              <w:t>in situ</w:t>
            </w:r>
            <w:r w:rsidRPr="009E06AA">
              <w:t>) established before 1 January 1990 or replanted on land that was forest land as at 31 December 1989</w:t>
            </w:r>
          </w:p>
          <w:p w14:paraId="6C18D158" w14:textId="77777777" w:rsidR="00053418" w:rsidRPr="009E06AA" w:rsidRDefault="00053418" w:rsidP="00053418">
            <w:pPr>
              <w:pStyle w:val="TableBullet"/>
              <w:spacing w:before="0" w:after="40"/>
            </w:pPr>
            <w:r w:rsidRPr="009E06AA">
              <w:t>exotic forest species that were planted after 31 December 1989 on land that was natural forest</w:t>
            </w:r>
          </w:p>
          <w:p w14:paraId="0F241562" w14:textId="77777777" w:rsidR="00053418" w:rsidRPr="009E06AA" w:rsidRDefault="00053418" w:rsidP="00053418">
            <w:pPr>
              <w:pStyle w:val="TableBullet"/>
              <w:spacing w:before="0" w:after="40"/>
            </w:pPr>
            <w:r w:rsidRPr="009E06AA">
              <w:t>riparian or erosion control plantings that meet the forest definition and that were planted before 1 January 1990</w:t>
            </w:r>
          </w:p>
          <w:p w14:paraId="7655002E" w14:textId="77777777" w:rsidR="00053418" w:rsidRPr="009E06AA" w:rsidRDefault="00053418" w:rsidP="00053418">
            <w:pPr>
              <w:pStyle w:val="TableBullet"/>
              <w:spacing w:before="0" w:after="40"/>
            </w:pPr>
            <w:r w:rsidRPr="009E06AA">
              <w:t>harvested areas within pre-1990 planted forest (assuming these will be replanted, unless deforestation is later detected)</w:t>
            </w:r>
          </w:p>
          <w:p w14:paraId="35F4CBAA" w14:textId="77777777" w:rsidR="00053418" w:rsidRPr="009E06AA" w:rsidRDefault="00053418" w:rsidP="00053418">
            <w:pPr>
              <w:pStyle w:val="TableBullet"/>
              <w:spacing w:before="0" w:after="40"/>
            </w:pPr>
            <w:r w:rsidRPr="009E06AA">
              <w:t xml:space="preserve">roads, tracks, skid sites and other temporarily unstocked areas less than 30 metres in width associated with a forest land use </w:t>
            </w:r>
          </w:p>
          <w:p w14:paraId="0B36026A" w14:textId="77777777" w:rsidR="00053418" w:rsidRPr="009E06AA" w:rsidRDefault="00053418" w:rsidP="00053418">
            <w:pPr>
              <w:pStyle w:val="TableBullet"/>
              <w:spacing w:before="0" w:after="40"/>
            </w:pPr>
            <w:r w:rsidRPr="009E06AA">
              <w:t>areas of bare ground of any size that were previously forested at 31 December 1989 but, due to natural disturbances (e.g., erosion, storms, fire), have lost vegetation cover.</w:t>
            </w:r>
          </w:p>
        </w:tc>
      </w:tr>
      <w:tr w:rsidR="00053418" w:rsidRPr="009E06AA" w14:paraId="07805714" w14:textId="77777777" w:rsidTr="00B55F24">
        <w:tc>
          <w:tcPr>
            <w:tcW w:w="1276" w:type="dxa"/>
            <w:tcBorders>
              <w:top w:val="single" w:sz="4" w:space="0" w:color="365F91"/>
              <w:bottom w:val="single" w:sz="4" w:space="0" w:color="365F91"/>
            </w:tcBorders>
          </w:tcPr>
          <w:p w14:paraId="60C1C39E" w14:textId="77777777" w:rsidR="00053418" w:rsidRPr="009E06AA" w:rsidRDefault="00053418" w:rsidP="00B55F24">
            <w:pPr>
              <w:pStyle w:val="TableText"/>
              <w:spacing w:before="40"/>
              <w:rPr>
                <w:b/>
              </w:rPr>
            </w:pPr>
            <w:r w:rsidRPr="009E06AA">
              <w:rPr>
                <w:b/>
              </w:rPr>
              <w:t xml:space="preserve">Post-1989 forest </w:t>
            </w:r>
          </w:p>
        </w:tc>
        <w:tc>
          <w:tcPr>
            <w:tcW w:w="7229" w:type="dxa"/>
            <w:tcBorders>
              <w:top w:val="single" w:sz="4" w:space="0" w:color="365F91"/>
              <w:bottom w:val="single" w:sz="4" w:space="0" w:color="365F91"/>
            </w:tcBorders>
          </w:tcPr>
          <w:p w14:paraId="047A74CB" w14:textId="77777777" w:rsidR="00053418" w:rsidRPr="009E06AA" w:rsidRDefault="00053418" w:rsidP="00B55F24">
            <w:pPr>
              <w:pStyle w:val="TableText"/>
              <w:spacing w:before="40" w:after="40"/>
            </w:pPr>
            <w:r w:rsidRPr="009E06AA">
              <w:t>Includes post-1989 planted forest, which consists of:</w:t>
            </w:r>
          </w:p>
          <w:p w14:paraId="68DF54E7" w14:textId="77777777" w:rsidR="00053418" w:rsidRPr="009E06AA" w:rsidRDefault="00053418" w:rsidP="00053418">
            <w:pPr>
              <w:pStyle w:val="TableBullet"/>
              <w:spacing w:before="0" w:after="20"/>
            </w:pPr>
            <w:r w:rsidRPr="009E06AA">
              <w:t>exotic forest (with the potential to reach ≥5 metre height at maturity</w:t>
            </w:r>
            <w:r w:rsidRPr="009E06AA">
              <w:rPr>
                <w:i/>
              </w:rPr>
              <w:t xml:space="preserve"> in situ</w:t>
            </w:r>
            <w:r w:rsidRPr="009E06AA">
              <w:t>) planted or established on land that was non-forest land as at 31 December 1989 (e.g., radiata pine, Douglas fir, eucalypts or other planted species)</w:t>
            </w:r>
          </w:p>
          <w:p w14:paraId="5AC914DB" w14:textId="77777777" w:rsidR="00053418" w:rsidRPr="009E06AA" w:rsidRDefault="00053418" w:rsidP="00053418">
            <w:pPr>
              <w:pStyle w:val="TableBullet"/>
              <w:spacing w:before="0" w:after="20"/>
            </w:pPr>
            <w:r w:rsidRPr="009E06AA">
              <w:t>riparian or erosion control plantings that meet the forest definition and that were planted after 31 December 1989</w:t>
            </w:r>
          </w:p>
          <w:p w14:paraId="6F3207D2" w14:textId="77777777" w:rsidR="00053418" w:rsidRPr="009E06AA" w:rsidRDefault="00053418" w:rsidP="00053418">
            <w:pPr>
              <w:pStyle w:val="TableBullet"/>
              <w:spacing w:before="0" w:after="0"/>
            </w:pPr>
            <w:r w:rsidRPr="009E06AA">
              <w:t>harvested areas within post-1989 forest land (assuming these will be replanted, unless deforestation is later detected).</w:t>
            </w:r>
          </w:p>
          <w:p w14:paraId="6D630390" w14:textId="77777777" w:rsidR="00053418" w:rsidRPr="009E06AA" w:rsidRDefault="00053418" w:rsidP="00B55F24">
            <w:pPr>
              <w:pStyle w:val="TableText"/>
              <w:spacing w:after="40"/>
            </w:pPr>
            <w:r w:rsidRPr="009E06AA">
              <w:t>Includes post-1989 natural forest, which consists of:</w:t>
            </w:r>
          </w:p>
          <w:p w14:paraId="0A8CAA52" w14:textId="77777777" w:rsidR="00053418" w:rsidRPr="009E06AA" w:rsidRDefault="00053418" w:rsidP="00053418">
            <w:pPr>
              <w:pStyle w:val="TableBullet"/>
              <w:spacing w:before="0" w:after="20"/>
            </w:pPr>
            <w:r w:rsidRPr="009E06AA">
              <w:t>forests arising from natural regeneration of indigenous tree species as a result of management change after 31 December 1989</w:t>
            </w:r>
          </w:p>
          <w:p w14:paraId="516EBAC5" w14:textId="77777777" w:rsidR="00053418" w:rsidRPr="009E06AA" w:rsidRDefault="00053418" w:rsidP="00053418">
            <w:pPr>
              <w:pStyle w:val="TableBullet"/>
              <w:spacing w:before="0" w:after="20"/>
            </w:pPr>
            <w:r w:rsidRPr="009E06AA">
              <w:t>self-sown exotic trees, such as wilding conifers or grey willows, established after 31 December 1989 (where managed as forest).</w:t>
            </w:r>
          </w:p>
          <w:p w14:paraId="1FFFED23" w14:textId="77777777" w:rsidR="00053418" w:rsidRPr="009E06AA" w:rsidRDefault="00053418" w:rsidP="00B55F24">
            <w:pPr>
              <w:pStyle w:val="TableText"/>
              <w:spacing w:before="40" w:after="40"/>
            </w:pPr>
            <w:r w:rsidRPr="009E06AA">
              <w:t>Includes areas within post-1989 natural forest or post-1989 planted forest that are:</w:t>
            </w:r>
          </w:p>
          <w:p w14:paraId="38391BD3" w14:textId="77777777" w:rsidR="00053418" w:rsidRPr="009E06AA" w:rsidRDefault="00053418" w:rsidP="00053418">
            <w:pPr>
              <w:pStyle w:val="TableBullet"/>
              <w:spacing w:before="0" w:after="40"/>
            </w:pPr>
            <w:r w:rsidRPr="009E06AA">
              <w:t>roads, tracks, skid sites and other temporarily unstocked areas associated with a forest land use</w:t>
            </w:r>
          </w:p>
          <w:p w14:paraId="01ED4BC4" w14:textId="77777777" w:rsidR="00053418" w:rsidRPr="009E06AA" w:rsidRDefault="00053418" w:rsidP="00053418">
            <w:pPr>
              <w:pStyle w:val="TableBullet"/>
              <w:spacing w:before="0" w:after="40"/>
            </w:pPr>
            <w:r w:rsidRPr="009E06AA">
              <w:t>areas of bare ground of any size that were previously forested (established after 31 December 1989) but, due to natural disturbances (e.g., erosion, storms, fire), have lost vegetation cover.</w:t>
            </w:r>
          </w:p>
        </w:tc>
      </w:tr>
      <w:tr w:rsidR="00053418" w:rsidRPr="009E06AA" w14:paraId="7FC5FAA4" w14:textId="77777777" w:rsidTr="00B55F24">
        <w:tc>
          <w:tcPr>
            <w:tcW w:w="1276" w:type="dxa"/>
            <w:tcBorders>
              <w:top w:val="single" w:sz="4" w:space="0" w:color="365F91"/>
              <w:bottom w:val="single" w:sz="4" w:space="0" w:color="365F91"/>
            </w:tcBorders>
          </w:tcPr>
          <w:p w14:paraId="61994892" w14:textId="77777777" w:rsidR="00053418" w:rsidRPr="009E06AA" w:rsidRDefault="00053418" w:rsidP="00B55F24">
            <w:pPr>
              <w:pStyle w:val="TableText"/>
              <w:spacing w:before="40"/>
              <w:rPr>
                <w:b/>
              </w:rPr>
            </w:pPr>
            <w:r w:rsidRPr="009E06AA">
              <w:rPr>
                <w:b/>
              </w:rPr>
              <w:t>Annual cropland</w:t>
            </w:r>
          </w:p>
        </w:tc>
        <w:tc>
          <w:tcPr>
            <w:tcW w:w="7229" w:type="dxa"/>
            <w:tcBorders>
              <w:top w:val="single" w:sz="4" w:space="0" w:color="365F91"/>
              <w:bottom w:val="single" w:sz="4" w:space="0" w:color="365F91"/>
            </w:tcBorders>
          </w:tcPr>
          <w:p w14:paraId="5082039D" w14:textId="77777777" w:rsidR="00053418" w:rsidRPr="009E06AA" w:rsidRDefault="00053418" w:rsidP="00B55F24">
            <w:pPr>
              <w:pStyle w:val="TableText"/>
              <w:spacing w:before="40" w:after="20"/>
            </w:pPr>
            <w:r w:rsidRPr="009E06AA">
              <w:t>Includes:</w:t>
            </w:r>
          </w:p>
          <w:p w14:paraId="26D16EE2" w14:textId="77777777" w:rsidR="00053418" w:rsidRPr="009E06AA" w:rsidRDefault="00053418" w:rsidP="00053418">
            <w:pPr>
              <w:pStyle w:val="TableBullet"/>
              <w:spacing w:before="0" w:after="20"/>
            </w:pPr>
            <w:r w:rsidRPr="009E06AA">
              <w:t>all annual crops</w:t>
            </w:r>
          </w:p>
          <w:p w14:paraId="4B97AD91" w14:textId="77777777" w:rsidR="00053418" w:rsidRPr="009E06AA" w:rsidRDefault="00053418" w:rsidP="00053418">
            <w:pPr>
              <w:pStyle w:val="TableBullet"/>
              <w:spacing w:before="0" w:after="20"/>
            </w:pPr>
            <w:r w:rsidRPr="009E06AA">
              <w:t>all cultivated bare ground</w:t>
            </w:r>
          </w:p>
          <w:p w14:paraId="14EA68DF" w14:textId="77777777" w:rsidR="00053418" w:rsidRPr="009E06AA" w:rsidRDefault="00053418" w:rsidP="00053418">
            <w:pPr>
              <w:pStyle w:val="TableBullet"/>
              <w:spacing w:before="0"/>
            </w:pPr>
            <w:r w:rsidRPr="009E06AA">
              <w:t>linear shelterbelts associated with annual cropland.</w:t>
            </w:r>
          </w:p>
        </w:tc>
      </w:tr>
      <w:tr w:rsidR="00053418" w:rsidRPr="009E06AA" w14:paraId="798CC0C2" w14:textId="77777777" w:rsidTr="00B55F24">
        <w:tc>
          <w:tcPr>
            <w:tcW w:w="1276" w:type="dxa"/>
            <w:tcBorders>
              <w:top w:val="single" w:sz="4" w:space="0" w:color="365F91"/>
              <w:bottom w:val="single" w:sz="4" w:space="0" w:color="365F91"/>
            </w:tcBorders>
          </w:tcPr>
          <w:p w14:paraId="692D584B" w14:textId="77777777" w:rsidR="00053418" w:rsidRPr="009E06AA" w:rsidRDefault="00053418" w:rsidP="00B55F24">
            <w:pPr>
              <w:pStyle w:val="TableText"/>
              <w:spacing w:before="40"/>
              <w:rPr>
                <w:b/>
              </w:rPr>
            </w:pPr>
            <w:r w:rsidRPr="009E06AA">
              <w:rPr>
                <w:b/>
              </w:rPr>
              <w:t>Perennial cropland</w:t>
            </w:r>
          </w:p>
        </w:tc>
        <w:tc>
          <w:tcPr>
            <w:tcW w:w="7229" w:type="dxa"/>
            <w:tcBorders>
              <w:top w:val="single" w:sz="4" w:space="0" w:color="365F91"/>
              <w:bottom w:val="single" w:sz="4" w:space="0" w:color="365F91"/>
            </w:tcBorders>
          </w:tcPr>
          <w:p w14:paraId="0BA112AF" w14:textId="77777777" w:rsidR="00053418" w:rsidRPr="009E06AA" w:rsidRDefault="00053418" w:rsidP="00B55F24">
            <w:pPr>
              <w:pStyle w:val="TableText"/>
              <w:spacing w:before="40" w:after="20"/>
            </w:pPr>
            <w:r w:rsidRPr="009E06AA">
              <w:t>Includes:</w:t>
            </w:r>
          </w:p>
          <w:p w14:paraId="3D568A75" w14:textId="77777777" w:rsidR="00053418" w:rsidRPr="009E06AA" w:rsidRDefault="00053418" w:rsidP="00053418">
            <w:pPr>
              <w:pStyle w:val="TableBullet"/>
              <w:spacing w:before="0" w:after="20"/>
            </w:pPr>
            <w:r w:rsidRPr="009E06AA">
              <w:t>all orchards and vineyards</w:t>
            </w:r>
          </w:p>
          <w:p w14:paraId="3C0A7DE6" w14:textId="77777777" w:rsidR="00053418" w:rsidRPr="009E06AA" w:rsidRDefault="00053418" w:rsidP="00053418">
            <w:pPr>
              <w:pStyle w:val="TableBullet"/>
              <w:spacing w:before="0" w:after="40"/>
            </w:pPr>
            <w:r w:rsidRPr="009E06AA">
              <w:t>linear shelterbelts associated with perennial cropland.</w:t>
            </w:r>
          </w:p>
        </w:tc>
      </w:tr>
      <w:tr w:rsidR="00053418" w:rsidRPr="009E06AA" w14:paraId="1900F09C" w14:textId="77777777" w:rsidTr="00B55F24">
        <w:tc>
          <w:tcPr>
            <w:tcW w:w="1276" w:type="dxa"/>
            <w:tcBorders>
              <w:top w:val="single" w:sz="4" w:space="0" w:color="365F91"/>
              <w:bottom w:val="single" w:sz="4" w:space="0" w:color="365F91"/>
            </w:tcBorders>
          </w:tcPr>
          <w:p w14:paraId="27CBDB5F" w14:textId="77777777" w:rsidR="00053418" w:rsidRPr="009E06AA" w:rsidRDefault="00053418" w:rsidP="00B55F24">
            <w:pPr>
              <w:pStyle w:val="TableText"/>
              <w:rPr>
                <w:b/>
              </w:rPr>
            </w:pPr>
            <w:r w:rsidRPr="009E06AA">
              <w:rPr>
                <w:b/>
              </w:rPr>
              <w:t>High producing grassland</w:t>
            </w:r>
          </w:p>
        </w:tc>
        <w:tc>
          <w:tcPr>
            <w:tcW w:w="7229" w:type="dxa"/>
            <w:tcBorders>
              <w:top w:val="single" w:sz="4" w:space="0" w:color="365F91"/>
              <w:bottom w:val="single" w:sz="4" w:space="0" w:color="365F91"/>
            </w:tcBorders>
          </w:tcPr>
          <w:p w14:paraId="52AB9FF5" w14:textId="77777777" w:rsidR="00053418" w:rsidRPr="009E06AA" w:rsidRDefault="00053418" w:rsidP="00B55F24">
            <w:pPr>
              <w:pStyle w:val="TableText"/>
              <w:spacing w:after="20"/>
            </w:pPr>
            <w:r w:rsidRPr="009E06AA">
              <w:t>Includes:</w:t>
            </w:r>
          </w:p>
          <w:p w14:paraId="1D2448AE" w14:textId="77777777" w:rsidR="00053418" w:rsidRPr="009E06AA" w:rsidRDefault="00053418" w:rsidP="00053418">
            <w:pPr>
              <w:pStyle w:val="TableBullet"/>
              <w:spacing w:before="0" w:after="20"/>
            </w:pPr>
            <w:r w:rsidRPr="009E06AA">
              <w:t>grassland with high-quality pasture species</w:t>
            </w:r>
          </w:p>
          <w:p w14:paraId="14050A6A" w14:textId="77777777" w:rsidR="00053418" w:rsidRPr="009E06AA" w:rsidRDefault="00053418" w:rsidP="00053418">
            <w:pPr>
              <w:pStyle w:val="TableBullet"/>
              <w:spacing w:before="0" w:after="20"/>
            </w:pPr>
            <w:r w:rsidRPr="009E06AA">
              <w:t>linear shelterbelts that are &lt;1 hectare in area or &lt;30 metres in mean width (larger shelterbelts are mapped separately as grassland with woody biomass)</w:t>
            </w:r>
          </w:p>
          <w:p w14:paraId="206D37C3" w14:textId="77777777" w:rsidR="00053418" w:rsidRPr="009E06AA" w:rsidRDefault="00053418" w:rsidP="00053418">
            <w:pPr>
              <w:pStyle w:val="TableBullet"/>
              <w:spacing w:before="0"/>
            </w:pPr>
            <w:r w:rsidRPr="009E06AA">
              <w:t>areas of bare ground of any size that were previously grassland but, due to natural disturbances (e.g., erosion), have lost vegetation cover.</w:t>
            </w:r>
          </w:p>
        </w:tc>
      </w:tr>
      <w:tr w:rsidR="00053418" w:rsidRPr="009E06AA" w14:paraId="71F0E54B" w14:textId="77777777" w:rsidTr="00B55F24">
        <w:tc>
          <w:tcPr>
            <w:tcW w:w="1276" w:type="dxa"/>
            <w:tcBorders>
              <w:top w:val="single" w:sz="4" w:space="0" w:color="365F91"/>
              <w:bottom w:val="single" w:sz="4" w:space="0" w:color="365F91"/>
            </w:tcBorders>
          </w:tcPr>
          <w:p w14:paraId="541B500F" w14:textId="77777777" w:rsidR="00053418" w:rsidRPr="009E06AA" w:rsidRDefault="00053418" w:rsidP="00B55F24">
            <w:pPr>
              <w:pStyle w:val="TableText"/>
              <w:rPr>
                <w:b/>
              </w:rPr>
            </w:pPr>
            <w:r w:rsidRPr="009E06AA">
              <w:rPr>
                <w:b/>
              </w:rPr>
              <w:t>Low producing grassland</w:t>
            </w:r>
          </w:p>
        </w:tc>
        <w:tc>
          <w:tcPr>
            <w:tcW w:w="7229" w:type="dxa"/>
            <w:tcBorders>
              <w:top w:val="single" w:sz="4" w:space="0" w:color="365F91"/>
              <w:bottom w:val="single" w:sz="4" w:space="0" w:color="365F91"/>
            </w:tcBorders>
          </w:tcPr>
          <w:p w14:paraId="36DB42EA" w14:textId="77777777" w:rsidR="00053418" w:rsidRPr="009E06AA" w:rsidRDefault="00053418" w:rsidP="00B55F24">
            <w:pPr>
              <w:pStyle w:val="TableText"/>
              <w:spacing w:after="20"/>
            </w:pPr>
            <w:r w:rsidRPr="009E06AA">
              <w:t>Includes:</w:t>
            </w:r>
          </w:p>
          <w:p w14:paraId="14A2E154" w14:textId="77777777" w:rsidR="00053418" w:rsidRPr="009E06AA" w:rsidRDefault="00053418" w:rsidP="00053418">
            <w:pPr>
              <w:pStyle w:val="TableBullet"/>
              <w:spacing w:before="0" w:after="20"/>
            </w:pPr>
            <w:r w:rsidRPr="009E06AA">
              <w:t xml:space="preserve">low-fertility grassland and tussock grasslands (e.g., </w:t>
            </w:r>
            <w:r w:rsidRPr="009E06AA">
              <w:rPr>
                <w:i/>
              </w:rPr>
              <w:t>Chionochloa</w:t>
            </w:r>
            <w:r w:rsidRPr="009E06AA">
              <w:t xml:space="preserve"> and </w:t>
            </w:r>
            <w:r w:rsidRPr="009E06AA">
              <w:rPr>
                <w:i/>
              </w:rPr>
              <w:t xml:space="preserve">Festuca </w:t>
            </w:r>
            <w:r w:rsidRPr="009E06AA">
              <w:t>spp.)</w:t>
            </w:r>
          </w:p>
          <w:p w14:paraId="47AB1095" w14:textId="77777777" w:rsidR="00053418" w:rsidRPr="009E06AA" w:rsidRDefault="00053418" w:rsidP="00053418">
            <w:pPr>
              <w:pStyle w:val="TableBullet"/>
              <w:spacing w:before="0" w:after="20"/>
            </w:pPr>
            <w:r w:rsidRPr="009E06AA">
              <w:t>mostly hill country</w:t>
            </w:r>
          </w:p>
          <w:p w14:paraId="08A7FF65" w14:textId="77777777" w:rsidR="00053418" w:rsidRPr="009E06AA" w:rsidRDefault="00053418" w:rsidP="00053418">
            <w:pPr>
              <w:pStyle w:val="TableBullet"/>
              <w:spacing w:before="0" w:after="20"/>
            </w:pPr>
            <w:r w:rsidRPr="009E06AA">
              <w:t>montane herbfields either at an altitude higher than above-timberline vegetation or where the herbfields are not mixed up with woody vegetation</w:t>
            </w:r>
          </w:p>
          <w:p w14:paraId="2FFD824F" w14:textId="77777777" w:rsidR="00053418" w:rsidRPr="009E06AA" w:rsidRDefault="00053418" w:rsidP="00053418">
            <w:pPr>
              <w:pStyle w:val="TableBullet"/>
              <w:spacing w:before="0" w:after="20"/>
            </w:pPr>
            <w:r w:rsidRPr="009E06AA">
              <w:t>linear shelterbelts that are &lt;1 hectare in area or &lt;30 metres in mean width (larger shelterbelts are mapped separately as grassland with woody biomass)</w:t>
            </w:r>
          </w:p>
          <w:p w14:paraId="2B7CE884" w14:textId="77777777" w:rsidR="00053418" w:rsidRPr="009E06AA" w:rsidRDefault="00053418" w:rsidP="00053418">
            <w:pPr>
              <w:pStyle w:val="TableBullet"/>
              <w:spacing w:before="0"/>
            </w:pPr>
            <w:r w:rsidRPr="009E06AA">
              <w:t>other areas of limited vegetation cover and significant bare soil, including erosion and coastal herbaceous sand-dune vegetation.</w:t>
            </w:r>
          </w:p>
        </w:tc>
      </w:tr>
      <w:tr w:rsidR="00053418" w:rsidRPr="009E06AA" w14:paraId="212B31F0" w14:textId="77777777" w:rsidTr="00B55F24">
        <w:tc>
          <w:tcPr>
            <w:tcW w:w="1276" w:type="dxa"/>
            <w:tcBorders>
              <w:top w:val="single" w:sz="4" w:space="0" w:color="365F91"/>
              <w:bottom w:val="single" w:sz="4" w:space="0" w:color="365F91"/>
            </w:tcBorders>
          </w:tcPr>
          <w:p w14:paraId="41996A2D" w14:textId="77777777" w:rsidR="00053418" w:rsidRPr="009E06AA" w:rsidRDefault="00053418" w:rsidP="00B55F24">
            <w:pPr>
              <w:pStyle w:val="TableText"/>
              <w:rPr>
                <w:b/>
              </w:rPr>
            </w:pPr>
            <w:r w:rsidRPr="009E06AA">
              <w:rPr>
                <w:b/>
              </w:rPr>
              <w:t>Grassland with woody biomass</w:t>
            </w:r>
          </w:p>
        </w:tc>
        <w:tc>
          <w:tcPr>
            <w:tcW w:w="7229" w:type="dxa"/>
            <w:tcBorders>
              <w:top w:val="single" w:sz="4" w:space="0" w:color="365F91"/>
              <w:bottom w:val="single" w:sz="4" w:space="0" w:color="365F91"/>
            </w:tcBorders>
          </w:tcPr>
          <w:p w14:paraId="358B2AF9" w14:textId="77777777" w:rsidR="00053418" w:rsidRPr="009E06AA" w:rsidRDefault="00053418" w:rsidP="00B55F24">
            <w:pPr>
              <w:pStyle w:val="TableText"/>
              <w:spacing w:after="40"/>
            </w:pPr>
            <w:r w:rsidRPr="009E06AA">
              <w:t>Includes:</w:t>
            </w:r>
          </w:p>
          <w:p w14:paraId="36FC5824" w14:textId="77777777" w:rsidR="00053418" w:rsidRPr="009E06AA" w:rsidRDefault="00053418" w:rsidP="00053418">
            <w:pPr>
              <w:pStyle w:val="TableBullet"/>
              <w:spacing w:before="0" w:after="40"/>
            </w:pPr>
            <w:r w:rsidRPr="009E06AA">
              <w:t>grassland with matagouri (</w:t>
            </w:r>
            <w:r w:rsidRPr="009E06AA">
              <w:rPr>
                <w:i/>
              </w:rPr>
              <w:t>Discaria toumatou</w:t>
            </w:r>
            <w:r w:rsidRPr="009E06AA">
              <w:t>) and sweet briar (</w:t>
            </w:r>
            <w:r w:rsidRPr="009E06AA">
              <w:rPr>
                <w:i/>
              </w:rPr>
              <w:t>Rosa rubiginosa</w:t>
            </w:r>
            <w:r w:rsidRPr="009E06AA">
              <w:t xml:space="preserve">), broadleaved hardwood shrubland (e.g., māhoe – </w:t>
            </w:r>
            <w:r w:rsidRPr="009E06AA">
              <w:rPr>
                <w:i/>
              </w:rPr>
              <w:t>Melicytus ramiflorus</w:t>
            </w:r>
            <w:r w:rsidRPr="009E06AA">
              <w:t>), wineberry (</w:t>
            </w:r>
            <w:r w:rsidRPr="009E06AA">
              <w:rPr>
                <w:i/>
              </w:rPr>
              <w:t>Aristotelia serrata</w:t>
            </w:r>
            <w:r w:rsidRPr="009E06AA">
              <w:t xml:space="preserve">), </w:t>
            </w:r>
            <w:r w:rsidRPr="009E06AA">
              <w:rPr>
                <w:i/>
              </w:rPr>
              <w:t>Pseudopanax</w:t>
            </w:r>
            <w:r w:rsidRPr="009E06AA">
              <w:t xml:space="preserve"> spp., </w:t>
            </w:r>
            <w:r w:rsidRPr="009E06AA">
              <w:rPr>
                <w:i/>
              </w:rPr>
              <w:t>Pittosporum</w:t>
            </w:r>
            <w:r w:rsidRPr="009E06AA">
              <w:t xml:space="preserve"> spp.), kānuka–mānuka (</w:t>
            </w:r>
            <w:r w:rsidRPr="009E06AA">
              <w:rPr>
                <w:i/>
              </w:rPr>
              <w:t>Leptospermum</w:t>
            </w:r>
            <w:r w:rsidRPr="009E06AA">
              <w:t xml:space="preserve"> </w:t>
            </w:r>
            <w:r w:rsidRPr="009E06AA">
              <w:rPr>
                <w:i/>
              </w:rPr>
              <w:t>scoparium</w:t>
            </w:r>
            <w:r w:rsidRPr="009E06AA">
              <w:t>–</w:t>
            </w:r>
            <w:r w:rsidRPr="009E06AA">
              <w:rPr>
                <w:i/>
              </w:rPr>
              <w:t>Kunzea</w:t>
            </w:r>
            <w:r w:rsidRPr="009E06AA">
              <w:t xml:space="preserve"> spp.) shrubland, coastal and other woody shrubland (&lt;5 metres tall and any percentage of cover) where, under current management or environmental conditions (climate and/or soil), it is expected that the forest criteria will not be met over a 30- to 40-year period</w:t>
            </w:r>
          </w:p>
          <w:p w14:paraId="09CE3413" w14:textId="77777777" w:rsidR="00053418" w:rsidRPr="009E06AA" w:rsidRDefault="00053418" w:rsidP="00053418">
            <w:pPr>
              <w:pStyle w:val="TableBullet"/>
              <w:spacing w:before="0" w:after="20"/>
            </w:pPr>
            <w:r w:rsidRPr="009E06AA">
              <w:t>above-timberline shrubland vegetation intermixed with montane herbfields (does not have the potential to reach &gt;5 metres in height</w:t>
            </w:r>
            <w:r w:rsidRPr="009E06AA">
              <w:rPr>
                <w:i/>
              </w:rPr>
              <w:t xml:space="preserve"> in situ</w:t>
            </w:r>
            <w:r w:rsidRPr="009E06AA">
              <w:t>)</w:t>
            </w:r>
          </w:p>
          <w:p w14:paraId="46B06BF5" w14:textId="77777777" w:rsidR="00053418" w:rsidRPr="009E06AA" w:rsidRDefault="00053418" w:rsidP="00053418">
            <w:pPr>
              <w:pStyle w:val="TableBullet"/>
              <w:spacing w:before="0" w:after="20"/>
            </w:pPr>
            <w:r w:rsidRPr="009E06AA">
              <w:t>grassland with tall tree species (&lt;30 per cent cover), such as golf courses in rural areas (except where the Land Cover Database has classified these as settlements)</w:t>
            </w:r>
          </w:p>
          <w:p w14:paraId="792A728A" w14:textId="77777777" w:rsidR="00053418" w:rsidRPr="009E06AA" w:rsidRDefault="00053418" w:rsidP="00053418">
            <w:pPr>
              <w:pStyle w:val="TableBullet"/>
              <w:spacing w:before="0" w:after="20"/>
            </w:pPr>
            <w:r w:rsidRPr="009E06AA">
              <w:t>grassland with riparian or erosion control plantings (&lt;30 per cent cover)</w:t>
            </w:r>
          </w:p>
          <w:p w14:paraId="6C78FE7C" w14:textId="77777777" w:rsidR="00053418" w:rsidRPr="009E06AA" w:rsidRDefault="00053418" w:rsidP="00053418">
            <w:pPr>
              <w:pStyle w:val="TableBullet"/>
              <w:spacing w:before="0" w:after="20"/>
            </w:pPr>
            <w:r w:rsidRPr="009E06AA">
              <w:t>linear shelterbelts that are &gt;1 hectare in area and &lt;30 metres in mean width</w:t>
            </w:r>
          </w:p>
          <w:p w14:paraId="78C7B9AE" w14:textId="77777777" w:rsidR="00053418" w:rsidRPr="009E06AA" w:rsidRDefault="00053418" w:rsidP="00053418">
            <w:pPr>
              <w:pStyle w:val="TableBullet"/>
              <w:spacing w:before="0"/>
            </w:pPr>
            <w:r w:rsidRPr="009E06AA">
              <w:t>areas of bare ground of any size that previously contained grassland with woody biomass but, due to natural disturbances (e.g., erosion, fire), have lost vegetation cover.</w:t>
            </w:r>
          </w:p>
        </w:tc>
      </w:tr>
      <w:tr w:rsidR="00053418" w:rsidRPr="009E06AA" w14:paraId="2C724693" w14:textId="77777777" w:rsidTr="00B55F24">
        <w:tc>
          <w:tcPr>
            <w:tcW w:w="1276" w:type="dxa"/>
            <w:tcBorders>
              <w:top w:val="single" w:sz="4" w:space="0" w:color="365F91"/>
              <w:bottom w:val="single" w:sz="4" w:space="0" w:color="365F91"/>
            </w:tcBorders>
          </w:tcPr>
          <w:p w14:paraId="1127830E" w14:textId="77777777" w:rsidR="00053418" w:rsidRPr="009E06AA" w:rsidRDefault="00053418" w:rsidP="00B55F24">
            <w:pPr>
              <w:pStyle w:val="TableText"/>
              <w:rPr>
                <w:b/>
              </w:rPr>
            </w:pPr>
            <w:r w:rsidRPr="009E06AA">
              <w:rPr>
                <w:b/>
              </w:rPr>
              <w:t>Open water</w:t>
            </w:r>
          </w:p>
        </w:tc>
        <w:tc>
          <w:tcPr>
            <w:tcW w:w="7229" w:type="dxa"/>
            <w:tcBorders>
              <w:top w:val="single" w:sz="4" w:space="0" w:color="365F91"/>
              <w:bottom w:val="single" w:sz="4" w:space="0" w:color="365F91"/>
            </w:tcBorders>
          </w:tcPr>
          <w:p w14:paraId="33DB72C6" w14:textId="77777777" w:rsidR="00053418" w:rsidRPr="009E06AA" w:rsidRDefault="00053418" w:rsidP="00B55F24">
            <w:pPr>
              <w:pStyle w:val="TableText"/>
              <w:spacing w:after="20"/>
            </w:pPr>
            <w:r w:rsidRPr="009E06AA">
              <w:t>Includes:</w:t>
            </w:r>
          </w:p>
          <w:p w14:paraId="04CEE2BC" w14:textId="77777777" w:rsidR="00053418" w:rsidRPr="009E06AA" w:rsidRDefault="00053418" w:rsidP="00053418">
            <w:pPr>
              <w:pStyle w:val="TableBullet"/>
              <w:spacing w:before="0" w:after="20"/>
            </w:pPr>
            <w:r w:rsidRPr="009E06AA">
              <w:t xml:space="preserve">lakes, rivers, dams and reservoirs </w:t>
            </w:r>
          </w:p>
          <w:p w14:paraId="0FDD00BF" w14:textId="77777777" w:rsidR="00053418" w:rsidRPr="009E06AA" w:rsidRDefault="00053418" w:rsidP="00053418">
            <w:pPr>
              <w:pStyle w:val="TableBullet"/>
              <w:spacing w:before="0"/>
            </w:pPr>
            <w:r w:rsidRPr="009E06AA">
              <w:t>estuarine–tidal areas including mangroves.</w:t>
            </w:r>
          </w:p>
        </w:tc>
      </w:tr>
      <w:tr w:rsidR="00053418" w:rsidRPr="009E06AA" w14:paraId="35D6967F" w14:textId="77777777" w:rsidTr="00B55F24">
        <w:tc>
          <w:tcPr>
            <w:tcW w:w="1276" w:type="dxa"/>
            <w:tcBorders>
              <w:top w:val="single" w:sz="4" w:space="0" w:color="365F91"/>
              <w:bottom w:val="single" w:sz="4" w:space="0" w:color="365F91"/>
            </w:tcBorders>
          </w:tcPr>
          <w:p w14:paraId="370A4F2B" w14:textId="77777777" w:rsidR="00053418" w:rsidRPr="009E06AA" w:rsidRDefault="00053418" w:rsidP="00B55F24">
            <w:pPr>
              <w:pStyle w:val="TableText"/>
              <w:rPr>
                <w:b/>
              </w:rPr>
            </w:pPr>
            <w:r w:rsidRPr="009E06AA">
              <w:rPr>
                <w:b/>
              </w:rPr>
              <w:t>Vegetated wetland</w:t>
            </w:r>
          </w:p>
        </w:tc>
        <w:tc>
          <w:tcPr>
            <w:tcW w:w="7229" w:type="dxa"/>
            <w:tcBorders>
              <w:top w:val="single" w:sz="4" w:space="0" w:color="365F91"/>
              <w:bottom w:val="single" w:sz="4" w:space="0" w:color="365F91"/>
            </w:tcBorders>
          </w:tcPr>
          <w:p w14:paraId="218BEF54" w14:textId="77777777" w:rsidR="00053418" w:rsidRPr="009E06AA" w:rsidRDefault="00053418" w:rsidP="00B55F24">
            <w:pPr>
              <w:pStyle w:val="TableText"/>
              <w:spacing w:after="20"/>
            </w:pPr>
            <w:r w:rsidRPr="009E06AA">
              <w:t>Includes:</w:t>
            </w:r>
          </w:p>
          <w:p w14:paraId="106920AB" w14:textId="77777777" w:rsidR="00053418" w:rsidRPr="009E06AA" w:rsidRDefault="00053418" w:rsidP="00053418">
            <w:pPr>
              <w:pStyle w:val="TableBullet"/>
              <w:spacing w:before="0" w:after="20"/>
            </w:pPr>
            <w:r w:rsidRPr="009E06AA">
              <w:t xml:space="preserve">herbaceous and/or non-forest woody vegetation, including trees of any stature, in a wetland context (periodically or permanently flooded) </w:t>
            </w:r>
          </w:p>
          <w:p w14:paraId="2C16E79C" w14:textId="77777777" w:rsidR="00053418" w:rsidRPr="009E06AA" w:rsidRDefault="00053418" w:rsidP="00053418">
            <w:pPr>
              <w:pStyle w:val="TableBullet"/>
              <w:spacing w:before="0" w:after="20"/>
            </w:pPr>
            <w:r w:rsidRPr="009E06AA">
              <w:t>areas under peat extraction</w:t>
            </w:r>
          </w:p>
          <w:p w14:paraId="05C01AF3" w14:textId="77777777" w:rsidR="00053418" w:rsidRPr="009E06AA" w:rsidRDefault="00053418" w:rsidP="00053418">
            <w:pPr>
              <w:pStyle w:val="TableBullet"/>
              <w:spacing w:before="0"/>
            </w:pPr>
            <w:r w:rsidRPr="009E06AA">
              <w:t>estuarine–tidal areas including mangroves.</w:t>
            </w:r>
          </w:p>
        </w:tc>
      </w:tr>
      <w:tr w:rsidR="00053418" w:rsidRPr="009E06AA" w14:paraId="5DD48198" w14:textId="77777777" w:rsidTr="00B55F24">
        <w:tc>
          <w:tcPr>
            <w:tcW w:w="1276" w:type="dxa"/>
            <w:tcBorders>
              <w:top w:val="single" w:sz="4" w:space="0" w:color="365F91"/>
              <w:bottom w:val="single" w:sz="4" w:space="0" w:color="365F91"/>
            </w:tcBorders>
          </w:tcPr>
          <w:p w14:paraId="04586526" w14:textId="77777777" w:rsidR="00053418" w:rsidRPr="009E06AA" w:rsidRDefault="00053418" w:rsidP="00B55F24">
            <w:pPr>
              <w:pStyle w:val="TableTextBold"/>
              <w:rPr>
                <w:noProof w:val="0"/>
              </w:rPr>
            </w:pPr>
            <w:r w:rsidRPr="009E06AA">
              <w:rPr>
                <w:noProof w:val="0"/>
              </w:rPr>
              <w:t>Settlements</w:t>
            </w:r>
          </w:p>
        </w:tc>
        <w:tc>
          <w:tcPr>
            <w:tcW w:w="7229" w:type="dxa"/>
            <w:tcBorders>
              <w:top w:val="single" w:sz="4" w:space="0" w:color="365F91"/>
              <w:bottom w:val="single" w:sz="4" w:space="0" w:color="365F91"/>
            </w:tcBorders>
          </w:tcPr>
          <w:p w14:paraId="4E2D2291" w14:textId="77777777" w:rsidR="00053418" w:rsidRPr="009E06AA" w:rsidRDefault="00053418" w:rsidP="00B55F24">
            <w:pPr>
              <w:pStyle w:val="TableText"/>
              <w:spacing w:after="20"/>
            </w:pPr>
            <w:r w:rsidRPr="009E06AA">
              <w:t>Includes:</w:t>
            </w:r>
          </w:p>
          <w:p w14:paraId="3494049F" w14:textId="77777777" w:rsidR="00053418" w:rsidRPr="009E06AA" w:rsidRDefault="00053418" w:rsidP="00053418">
            <w:pPr>
              <w:pStyle w:val="TableBullet"/>
              <w:spacing w:before="0" w:after="20"/>
            </w:pPr>
            <w:r w:rsidRPr="009E06AA">
              <w:t>built-up areas and impervious surfaces</w:t>
            </w:r>
          </w:p>
          <w:p w14:paraId="2D82097A" w14:textId="77777777" w:rsidR="00053418" w:rsidRPr="009E06AA" w:rsidRDefault="00053418" w:rsidP="00053418">
            <w:pPr>
              <w:pStyle w:val="TableBullet"/>
              <w:spacing w:before="0" w:after="20"/>
            </w:pPr>
            <w:r w:rsidRPr="009E06AA">
              <w:t>grassland within ‘settlements’ including recreational areas, urban parklands and open spaces that do not meet the forest definition</w:t>
            </w:r>
          </w:p>
          <w:p w14:paraId="70B24C42" w14:textId="77777777" w:rsidR="00053418" w:rsidRPr="009E06AA" w:rsidRDefault="00053418" w:rsidP="00053418">
            <w:pPr>
              <w:pStyle w:val="TableBullet"/>
              <w:spacing w:before="0" w:after="20"/>
            </w:pPr>
            <w:r w:rsidRPr="009E06AA">
              <w:t>major roading infrastructure</w:t>
            </w:r>
          </w:p>
          <w:p w14:paraId="03247000" w14:textId="77777777" w:rsidR="00053418" w:rsidRPr="009E06AA" w:rsidRDefault="00053418" w:rsidP="00053418">
            <w:pPr>
              <w:pStyle w:val="TableBullet"/>
              <w:spacing w:before="0" w:after="20"/>
            </w:pPr>
            <w:r w:rsidRPr="009E06AA">
              <w:t>airports and runways</w:t>
            </w:r>
          </w:p>
          <w:p w14:paraId="27E95265" w14:textId="77777777" w:rsidR="00053418" w:rsidRPr="009E06AA" w:rsidRDefault="00053418" w:rsidP="00053418">
            <w:pPr>
              <w:pStyle w:val="TableBullet"/>
              <w:spacing w:before="0" w:after="20"/>
            </w:pPr>
            <w:r w:rsidRPr="009E06AA">
              <w:t xml:space="preserve">dam infrastructure </w:t>
            </w:r>
          </w:p>
          <w:p w14:paraId="3D0AAE7B" w14:textId="77777777" w:rsidR="00053418" w:rsidRPr="009E06AA" w:rsidRDefault="00053418" w:rsidP="00053418">
            <w:pPr>
              <w:pStyle w:val="TableBullet"/>
              <w:spacing w:before="0"/>
            </w:pPr>
            <w:r w:rsidRPr="009E06AA">
              <w:t>urban subdivisions under construction.</w:t>
            </w:r>
          </w:p>
        </w:tc>
      </w:tr>
      <w:tr w:rsidR="00053418" w:rsidRPr="009E06AA" w14:paraId="5DEF7A1D" w14:textId="77777777" w:rsidTr="00B55F24">
        <w:tc>
          <w:tcPr>
            <w:tcW w:w="1276" w:type="dxa"/>
            <w:tcBorders>
              <w:top w:val="single" w:sz="4" w:space="0" w:color="365F91"/>
              <w:bottom w:val="single" w:sz="4" w:space="0" w:color="365F91"/>
            </w:tcBorders>
          </w:tcPr>
          <w:p w14:paraId="3C7C870D" w14:textId="77777777" w:rsidR="00053418" w:rsidRPr="009E06AA" w:rsidRDefault="00053418" w:rsidP="00B55F24">
            <w:pPr>
              <w:pStyle w:val="TableText"/>
              <w:rPr>
                <w:b/>
              </w:rPr>
            </w:pPr>
            <w:r w:rsidRPr="009E06AA">
              <w:rPr>
                <w:b/>
              </w:rPr>
              <w:t>Other land</w:t>
            </w:r>
          </w:p>
        </w:tc>
        <w:tc>
          <w:tcPr>
            <w:tcW w:w="7229" w:type="dxa"/>
            <w:tcBorders>
              <w:top w:val="single" w:sz="4" w:space="0" w:color="365F91"/>
              <w:bottom w:val="single" w:sz="4" w:space="0" w:color="365F91"/>
            </w:tcBorders>
          </w:tcPr>
          <w:p w14:paraId="1055C79B" w14:textId="77777777" w:rsidR="00053418" w:rsidRPr="009E06AA" w:rsidRDefault="00053418" w:rsidP="00B55F24">
            <w:pPr>
              <w:pStyle w:val="TableText"/>
              <w:spacing w:after="20"/>
            </w:pPr>
            <w:r w:rsidRPr="009E06AA">
              <w:t>Includes:</w:t>
            </w:r>
          </w:p>
          <w:p w14:paraId="45D73C88" w14:textId="77777777" w:rsidR="00053418" w:rsidRPr="009E06AA" w:rsidRDefault="00053418" w:rsidP="00053418">
            <w:pPr>
              <w:pStyle w:val="TableBullet"/>
              <w:spacing w:before="0" w:after="20"/>
            </w:pPr>
            <w:r w:rsidRPr="009E06AA">
              <w:t>montane rock and/or scree</w:t>
            </w:r>
          </w:p>
          <w:p w14:paraId="6D3A0239" w14:textId="77777777" w:rsidR="00053418" w:rsidRPr="009E06AA" w:rsidRDefault="00053418" w:rsidP="00053418">
            <w:pPr>
              <w:pStyle w:val="TableBullet"/>
              <w:spacing w:before="0" w:after="20"/>
            </w:pPr>
            <w:r w:rsidRPr="009E06AA">
              <w:t>river gravels, rocky outcrops, sand dunes and beaches, coastal cliffs, mines (including spoil), quarries</w:t>
            </w:r>
          </w:p>
          <w:p w14:paraId="65743639" w14:textId="77777777" w:rsidR="00053418" w:rsidRPr="009E06AA" w:rsidRDefault="00053418" w:rsidP="00053418">
            <w:pPr>
              <w:pStyle w:val="TableBullet"/>
              <w:spacing w:before="0" w:after="20"/>
            </w:pPr>
            <w:r w:rsidRPr="009E06AA">
              <w:t>permanent ice and/or snow and glaciers</w:t>
            </w:r>
          </w:p>
          <w:p w14:paraId="365109BD" w14:textId="77777777" w:rsidR="00053418" w:rsidRPr="009E06AA" w:rsidRDefault="00053418" w:rsidP="00053418">
            <w:pPr>
              <w:pStyle w:val="TableBullet"/>
              <w:spacing w:before="0"/>
            </w:pPr>
            <w:r w:rsidRPr="009E06AA">
              <w:t>any other remaining land that does not fall into any of the other land use categories as described in volume 4, section 3.2 of the 2006 IPCC Guidelines (IPCC, 2006a).</w:t>
            </w:r>
          </w:p>
        </w:tc>
      </w:tr>
    </w:tbl>
    <w:p w14:paraId="472C9E4D" w14:textId="77777777" w:rsidR="00053418" w:rsidRPr="009E06AA" w:rsidRDefault="00053418" w:rsidP="00053418">
      <w:pPr>
        <w:pStyle w:val="Heading3"/>
      </w:pPr>
      <w:r w:rsidRPr="009E06AA">
        <w:t>6.2.2</w:t>
      </w:r>
      <w:r w:rsidRPr="009E06AA">
        <w:tab/>
        <w:t>Land representation approaches</w:t>
      </w:r>
    </w:p>
    <w:p w14:paraId="15C1BBCE" w14:textId="5A18AD1F" w:rsidR="00053418" w:rsidRPr="009E06AA" w:rsidRDefault="00053418" w:rsidP="00053418">
      <w:pPr>
        <w:pStyle w:val="BodyText"/>
      </w:pPr>
      <w:r w:rsidRPr="009E06AA">
        <w:t xml:space="preserve">New Zealand uses a combination of </w:t>
      </w:r>
      <w:r w:rsidR="008C4ECA">
        <w:t>a</w:t>
      </w:r>
      <w:r w:rsidRPr="009E06AA">
        <w:t>pproaches 2 and 3 to determine annual land-use changes occurring between 1 January 1990 and 31 December 2022 (section 2.2.4, IPCC, 2014). This includes wall-to-wall mapping of all land use classes described in table 6.2.3 every four to five years (</w:t>
      </w:r>
      <w:r w:rsidR="008C4ECA">
        <w:t>a</w:t>
      </w:r>
      <w:r w:rsidRPr="009E06AA">
        <w:t>pproach 3), combined with other non-spatial activity data sets to infer the timing of land-use change between major mapping updates (</w:t>
      </w:r>
      <w:r w:rsidR="008C4ECA">
        <w:t>a</w:t>
      </w:r>
      <w:r w:rsidRPr="009E06AA">
        <w:t>pproach 2).</w:t>
      </w:r>
    </w:p>
    <w:p w14:paraId="444E7A6B" w14:textId="163DE7D4" w:rsidR="00053418" w:rsidRPr="009E06AA" w:rsidRDefault="00053418" w:rsidP="00053418">
      <w:pPr>
        <w:pStyle w:val="BodyText"/>
      </w:pPr>
      <w:r w:rsidRPr="009E06AA">
        <w:t xml:space="preserve">An Approach 2 method is used to estimate gross land use transitions before 1990 using a variety of different sources and following the methodology described in Watts (unpublished) and reviewed in Hunter and McNeill (unpublished). This further described in annex A5.2.2. Applying this methodology allows for the land use transition matrix for the period 1962 to 1989 to be obtained (see table 6.2.3). </w:t>
      </w:r>
    </w:p>
    <w:p w14:paraId="11BB37A3" w14:textId="77777777" w:rsidR="00053418" w:rsidRPr="009E06AA" w:rsidRDefault="00053418" w:rsidP="00053418">
      <w:pPr>
        <w:pStyle w:val="BodyText"/>
        <w:sectPr w:rsidR="00053418" w:rsidRPr="009E06AA" w:rsidSect="00F66BF9">
          <w:footerReference w:type="even" r:id="rId136"/>
          <w:footerReference w:type="default" r:id="rId137"/>
          <w:pgSz w:w="11906" w:h="16838" w:code="9"/>
          <w:pgMar w:top="1418" w:right="1701" w:bottom="1418" w:left="1701" w:header="567" w:footer="567" w:gutter="0"/>
          <w:cols w:space="708"/>
          <w:docGrid w:linePitch="360"/>
        </w:sectPr>
      </w:pPr>
    </w:p>
    <w:p w14:paraId="565216BF" w14:textId="130190E0" w:rsidR="00053418" w:rsidRPr="009E06AA" w:rsidRDefault="00053418" w:rsidP="00053418">
      <w:pPr>
        <w:pStyle w:val="Table"/>
        <w:spacing w:before="0"/>
      </w:pPr>
      <w:bookmarkStart w:id="1780" w:name="_Toc158979948"/>
      <w:bookmarkStart w:id="1781" w:name="_Toc164153881"/>
      <w:r w:rsidRPr="009E06AA">
        <w:t>Table 6.2.3</w:t>
      </w:r>
      <w:r w:rsidRPr="009E06AA">
        <w:tab/>
        <w:t>New Zealand’s land-use change matrix</w:t>
      </w:r>
      <w:r w:rsidR="00D70323" w:rsidRPr="009E06AA">
        <w:t>,</w:t>
      </w:r>
      <w:r w:rsidRPr="009E06AA">
        <w:t xml:space="preserve"> from 1962 to 1989</w:t>
      </w:r>
      <w:bookmarkEnd w:id="1780"/>
      <w:bookmarkEnd w:id="1781"/>
    </w:p>
    <w:tbl>
      <w:tblPr>
        <w:tblW w:w="13948" w:type="dxa"/>
        <w:tblBorders>
          <w:top w:val="single" w:sz="4" w:space="0" w:color="1B556B" w:themeColor="text2"/>
          <w:bottom w:val="single" w:sz="4" w:space="0" w:color="1B556B" w:themeColor="text2"/>
          <w:insideH w:val="single" w:sz="4" w:space="0" w:color="1B556B" w:themeColor="text2"/>
        </w:tblBorders>
        <w:tblLayout w:type="fixed"/>
        <w:tblLook w:val="0420" w:firstRow="1" w:lastRow="0" w:firstColumn="0" w:lastColumn="0" w:noHBand="0" w:noVBand="1"/>
      </w:tblPr>
      <w:tblGrid>
        <w:gridCol w:w="1140"/>
        <w:gridCol w:w="11"/>
        <w:gridCol w:w="2300"/>
        <w:gridCol w:w="719"/>
        <w:gridCol w:w="719"/>
        <w:gridCol w:w="719"/>
        <w:gridCol w:w="719"/>
        <w:gridCol w:w="719"/>
        <w:gridCol w:w="719"/>
        <w:gridCol w:w="719"/>
        <w:gridCol w:w="719"/>
        <w:gridCol w:w="719"/>
        <w:gridCol w:w="719"/>
        <w:gridCol w:w="719"/>
        <w:gridCol w:w="719"/>
        <w:gridCol w:w="719"/>
        <w:gridCol w:w="1150"/>
      </w:tblGrid>
      <w:tr w:rsidR="00053418" w:rsidRPr="009E06AA" w14:paraId="49ED9849" w14:textId="77777777" w:rsidTr="000434DD">
        <w:trPr>
          <w:tblHeader/>
        </w:trPr>
        <w:tc>
          <w:tcPr>
            <w:tcW w:w="1140" w:type="dxa"/>
            <w:tcBorders>
              <w:bottom w:val="nil"/>
              <w:right w:val="nil"/>
            </w:tcBorders>
            <w:shd w:val="clear" w:color="auto" w:fill="1B556B"/>
            <w:tcMar>
              <w:top w:w="0" w:type="dxa"/>
              <w:left w:w="57" w:type="dxa"/>
              <w:bottom w:w="0" w:type="dxa"/>
              <w:right w:w="57" w:type="dxa"/>
            </w:tcMar>
            <w:vAlign w:val="bottom"/>
          </w:tcPr>
          <w:p w14:paraId="263F6F83" w14:textId="77777777" w:rsidR="00053418" w:rsidRPr="009E06AA" w:rsidRDefault="00053418" w:rsidP="00B55F24">
            <w:pPr>
              <w:pStyle w:val="TableText"/>
              <w:rPr>
                <w:b/>
                <w:bCs/>
                <w:color w:val="FFFFFF" w:themeColor="background1"/>
              </w:rPr>
            </w:pPr>
          </w:p>
        </w:tc>
        <w:tc>
          <w:tcPr>
            <w:tcW w:w="2311" w:type="dxa"/>
            <w:gridSpan w:val="2"/>
            <w:vMerge w:val="restart"/>
            <w:tcBorders>
              <w:left w:val="nil"/>
              <w:bottom w:val="nil"/>
            </w:tcBorders>
            <w:shd w:val="clear" w:color="auto" w:fill="1B556B"/>
            <w:vAlign w:val="bottom"/>
          </w:tcPr>
          <w:p w14:paraId="6AA5AB0F" w14:textId="77777777" w:rsidR="00053418" w:rsidRPr="009E06AA" w:rsidRDefault="00053418" w:rsidP="00B55F24">
            <w:pPr>
              <w:pStyle w:val="TableText"/>
              <w:rPr>
                <w:b/>
                <w:bCs/>
                <w:color w:val="FFFFFF" w:themeColor="background1"/>
              </w:rPr>
            </w:pPr>
            <w:r w:rsidRPr="009E06AA">
              <w:rPr>
                <w:b/>
                <w:bCs/>
                <w:color w:val="FFFFFF" w:themeColor="background1"/>
              </w:rPr>
              <w:t>1962 land use</w:t>
            </w:r>
          </w:p>
        </w:tc>
        <w:tc>
          <w:tcPr>
            <w:tcW w:w="2876" w:type="dxa"/>
            <w:gridSpan w:val="4"/>
            <w:tcBorders>
              <w:bottom w:val="nil"/>
            </w:tcBorders>
            <w:shd w:val="clear" w:color="auto" w:fill="1B556B"/>
            <w:tcMar>
              <w:top w:w="0" w:type="dxa"/>
              <w:left w:w="57" w:type="dxa"/>
              <w:bottom w:w="0" w:type="dxa"/>
              <w:right w:w="57" w:type="dxa"/>
            </w:tcMar>
            <w:vAlign w:val="center"/>
          </w:tcPr>
          <w:p w14:paraId="70A060AC" w14:textId="77777777" w:rsidR="00053418" w:rsidRPr="009E06AA" w:rsidRDefault="00053418" w:rsidP="00B55F24">
            <w:pPr>
              <w:pStyle w:val="TableText"/>
              <w:spacing w:after="0"/>
              <w:jc w:val="center"/>
              <w:rPr>
                <w:b/>
                <w:bCs/>
                <w:color w:val="FFFFFF" w:themeColor="background1"/>
              </w:rPr>
            </w:pPr>
            <w:r w:rsidRPr="009E06AA">
              <w:rPr>
                <w:b/>
                <w:bCs/>
                <w:color w:val="FFFFFF" w:themeColor="background1"/>
              </w:rPr>
              <w:t>Forest land</w:t>
            </w:r>
          </w:p>
        </w:tc>
        <w:tc>
          <w:tcPr>
            <w:tcW w:w="1438" w:type="dxa"/>
            <w:gridSpan w:val="2"/>
            <w:tcBorders>
              <w:bottom w:val="nil"/>
            </w:tcBorders>
            <w:shd w:val="clear" w:color="auto" w:fill="1B556B"/>
            <w:tcMar>
              <w:top w:w="0" w:type="dxa"/>
              <w:left w:w="57" w:type="dxa"/>
              <w:bottom w:w="0" w:type="dxa"/>
              <w:right w:w="57" w:type="dxa"/>
            </w:tcMar>
            <w:vAlign w:val="center"/>
          </w:tcPr>
          <w:p w14:paraId="53A99AD9" w14:textId="77777777" w:rsidR="00053418" w:rsidRPr="009E06AA" w:rsidRDefault="00053418" w:rsidP="00B55F24">
            <w:pPr>
              <w:pStyle w:val="TableText"/>
              <w:spacing w:after="0"/>
              <w:jc w:val="center"/>
              <w:rPr>
                <w:b/>
                <w:bCs/>
                <w:color w:val="FFFFFF" w:themeColor="background1"/>
              </w:rPr>
            </w:pPr>
            <w:r w:rsidRPr="009E06AA">
              <w:rPr>
                <w:b/>
                <w:bCs/>
                <w:color w:val="FFFFFF" w:themeColor="background1"/>
              </w:rPr>
              <w:t>Cropland</w:t>
            </w:r>
          </w:p>
        </w:tc>
        <w:tc>
          <w:tcPr>
            <w:tcW w:w="2157" w:type="dxa"/>
            <w:gridSpan w:val="3"/>
            <w:tcBorders>
              <w:bottom w:val="nil"/>
            </w:tcBorders>
            <w:shd w:val="clear" w:color="auto" w:fill="1B556B"/>
            <w:tcMar>
              <w:top w:w="0" w:type="dxa"/>
              <w:left w:w="57" w:type="dxa"/>
              <w:bottom w:w="0" w:type="dxa"/>
              <w:right w:w="57" w:type="dxa"/>
            </w:tcMar>
            <w:vAlign w:val="center"/>
          </w:tcPr>
          <w:p w14:paraId="2CA6541F" w14:textId="77777777" w:rsidR="00053418" w:rsidRPr="009E06AA" w:rsidRDefault="00053418" w:rsidP="00B55F24">
            <w:pPr>
              <w:pStyle w:val="TableText"/>
              <w:spacing w:after="0"/>
              <w:jc w:val="center"/>
              <w:rPr>
                <w:b/>
                <w:bCs/>
                <w:color w:val="FFFFFF" w:themeColor="background1"/>
              </w:rPr>
            </w:pPr>
            <w:r w:rsidRPr="009E06AA">
              <w:rPr>
                <w:b/>
                <w:bCs/>
                <w:color w:val="FFFFFF" w:themeColor="background1"/>
              </w:rPr>
              <w:t>Grassland</w:t>
            </w:r>
          </w:p>
        </w:tc>
        <w:tc>
          <w:tcPr>
            <w:tcW w:w="1438" w:type="dxa"/>
            <w:gridSpan w:val="2"/>
            <w:tcBorders>
              <w:bottom w:val="nil"/>
            </w:tcBorders>
            <w:shd w:val="clear" w:color="auto" w:fill="1B556B"/>
            <w:tcMar>
              <w:top w:w="0" w:type="dxa"/>
              <w:left w:w="57" w:type="dxa"/>
              <w:bottom w:w="0" w:type="dxa"/>
              <w:right w:w="57" w:type="dxa"/>
            </w:tcMar>
            <w:vAlign w:val="center"/>
          </w:tcPr>
          <w:p w14:paraId="03F5E236" w14:textId="77777777" w:rsidR="00053418" w:rsidRPr="009E06AA" w:rsidRDefault="00053418" w:rsidP="00B55F24">
            <w:pPr>
              <w:pStyle w:val="TableText"/>
              <w:spacing w:after="0"/>
              <w:jc w:val="center"/>
              <w:rPr>
                <w:b/>
                <w:bCs/>
                <w:color w:val="FFFFFF" w:themeColor="background1"/>
              </w:rPr>
            </w:pPr>
            <w:r w:rsidRPr="009E06AA">
              <w:rPr>
                <w:b/>
                <w:bCs/>
                <w:color w:val="FFFFFF" w:themeColor="background1"/>
              </w:rPr>
              <w:t>Wetlands</w:t>
            </w:r>
          </w:p>
        </w:tc>
        <w:tc>
          <w:tcPr>
            <w:tcW w:w="2588" w:type="dxa"/>
            <w:gridSpan w:val="3"/>
            <w:tcBorders>
              <w:bottom w:val="nil"/>
            </w:tcBorders>
            <w:shd w:val="clear" w:color="auto" w:fill="1B556B"/>
            <w:tcMar>
              <w:top w:w="0" w:type="dxa"/>
              <w:left w:w="57" w:type="dxa"/>
              <w:bottom w:w="0" w:type="dxa"/>
              <w:right w:w="57" w:type="dxa"/>
            </w:tcMar>
            <w:vAlign w:val="center"/>
          </w:tcPr>
          <w:p w14:paraId="0AF3E6E5" w14:textId="77777777" w:rsidR="00053418" w:rsidRPr="009E06AA" w:rsidRDefault="00053418" w:rsidP="00B55F24">
            <w:pPr>
              <w:pStyle w:val="TableText"/>
              <w:rPr>
                <w:b/>
                <w:bCs/>
                <w:color w:val="FFFFFF" w:themeColor="background1"/>
              </w:rPr>
            </w:pPr>
          </w:p>
        </w:tc>
      </w:tr>
      <w:tr w:rsidR="00053418" w:rsidRPr="009E06AA" w14:paraId="24A7E617" w14:textId="77777777" w:rsidTr="000434DD">
        <w:trPr>
          <w:trHeight w:val="884"/>
          <w:tblHeader/>
        </w:trPr>
        <w:tc>
          <w:tcPr>
            <w:tcW w:w="1140" w:type="dxa"/>
            <w:tcBorders>
              <w:top w:val="nil"/>
              <w:bottom w:val="nil"/>
              <w:right w:val="nil"/>
            </w:tcBorders>
            <w:shd w:val="clear" w:color="auto" w:fill="1B556B"/>
            <w:tcMar>
              <w:top w:w="0" w:type="dxa"/>
              <w:left w:w="57" w:type="dxa"/>
              <w:bottom w:w="0" w:type="dxa"/>
              <w:right w:w="57" w:type="dxa"/>
            </w:tcMar>
            <w:vAlign w:val="bottom"/>
          </w:tcPr>
          <w:p w14:paraId="3AF81218" w14:textId="77777777" w:rsidR="00053418" w:rsidRPr="009E06AA" w:rsidRDefault="00053418" w:rsidP="00B55F24">
            <w:pPr>
              <w:pStyle w:val="TableText"/>
              <w:rPr>
                <w:b/>
                <w:bCs/>
                <w:color w:val="FFFFFF" w:themeColor="background1"/>
              </w:rPr>
            </w:pPr>
            <w:r w:rsidRPr="009E06AA">
              <w:rPr>
                <w:b/>
                <w:bCs/>
                <w:color w:val="FFFFFF" w:themeColor="background1"/>
              </w:rPr>
              <w:t>1989 land use</w:t>
            </w:r>
          </w:p>
        </w:tc>
        <w:tc>
          <w:tcPr>
            <w:tcW w:w="2311" w:type="dxa"/>
            <w:gridSpan w:val="2"/>
            <w:vMerge/>
            <w:tcBorders>
              <w:top w:val="nil"/>
              <w:left w:val="nil"/>
              <w:bottom w:val="nil"/>
            </w:tcBorders>
            <w:shd w:val="clear" w:color="auto" w:fill="1B556B"/>
            <w:vAlign w:val="bottom"/>
          </w:tcPr>
          <w:p w14:paraId="59DAF9EF" w14:textId="77777777" w:rsidR="00053418" w:rsidRPr="009E06AA" w:rsidRDefault="00053418" w:rsidP="00B55F24">
            <w:pPr>
              <w:pStyle w:val="TableText"/>
              <w:rPr>
                <w:b/>
                <w:bCs/>
                <w:color w:val="FFFFFF" w:themeColor="background1"/>
              </w:rPr>
            </w:pPr>
          </w:p>
        </w:tc>
        <w:tc>
          <w:tcPr>
            <w:tcW w:w="719" w:type="dxa"/>
            <w:tcBorders>
              <w:top w:val="nil"/>
              <w:bottom w:val="nil"/>
            </w:tcBorders>
            <w:shd w:val="clear" w:color="auto" w:fill="1B556B"/>
            <w:tcMar>
              <w:top w:w="0" w:type="dxa"/>
              <w:left w:w="57" w:type="dxa"/>
              <w:bottom w:w="0" w:type="dxa"/>
              <w:right w:w="57" w:type="dxa"/>
            </w:tcMar>
            <w:textDirection w:val="btLr"/>
            <w:vAlign w:val="bottom"/>
          </w:tcPr>
          <w:p w14:paraId="40B33026" w14:textId="77777777" w:rsidR="00053418" w:rsidRPr="009E06AA" w:rsidRDefault="00053418" w:rsidP="00BD450F">
            <w:pPr>
              <w:pStyle w:val="TableText"/>
              <w:ind w:left="57"/>
              <w:rPr>
                <w:b/>
                <w:bCs/>
                <w:color w:val="FFFFFF" w:themeColor="background1"/>
              </w:rPr>
            </w:pPr>
            <w:r w:rsidRPr="009E06AA">
              <w:rPr>
                <w:b/>
                <w:bCs/>
                <w:color w:val="FFFFFF" w:themeColor="background1"/>
              </w:rPr>
              <w:t>Pre-1990 natural</w:t>
            </w:r>
          </w:p>
        </w:tc>
        <w:tc>
          <w:tcPr>
            <w:tcW w:w="719" w:type="dxa"/>
            <w:tcBorders>
              <w:top w:val="nil"/>
              <w:bottom w:val="nil"/>
            </w:tcBorders>
            <w:shd w:val="clear" w:color="auto" w:fill="1B556B"/>
            <w:tcMar>
              <w:top w:w="0" w:type="dxa"/>
              <w:left w:w="57" w:type="dxa"/>
              <w:bottom w:w="0" w:type="dxa"/>
              <w:right w:w="57" w:type="dxa"/>
            </w:tcMar>
            <w:textDirection w:val="btLr"/>
            <w:vAlign w:val="bottom"/>
          </w:tcPr>
          <w:p w14:paraId="354AF1FB" w14:textId="77777777" w:rsidR="00053418" w:rsidRPr="009E06AA" w:rsidRDefault="00053418" w:rsidP="00BD450F">
            <w:pPr>
              <w:pStyle w:val="TableText"/>
              <w:ind w:left="57"/>
              <w:rPr>
                <w:b/>
                <w:bCs/>
                <w:color w:val="FFFFFF" w:themeColor="background1"/>
              </w:rPr>
            </w:pPr>
            <w:r w:rsidRPr="009E06AA">
              <w:rPr>
                <w:b/>
                <w:bCs/>
                <w:color w:val="FFFFFF" w:themeColor="background1"/>
              </w:rPr>
              <w:t>Pre-1990 planted</w:t>
            </w:r>
          </w:p>
        </w:tc>
        <w:tc>
          <w:tcPr>
            <w:tcW w:w="719" w:type="dxa"/>
            <w:tcBorders>
              <w:top w:val="nil"/>
              <w:bottom w:val="nil"/>
            </w:tcBorders>
            <w:shd w:val="clear" w:color="auto" w:fill="1B556B"/>
            <w:tcMar>
              <w:top w:w="0" w:type="dxa"/>
              <w:left w:w="57" w:type="dxa"/>
              <w:bottom w:w="0" w:type="dxa"/>
              <w:right w:w="57" w:type="dxa"/>
            </w:tcMar>
            <w:textDirection w:val="btLr"/>
            <w:vAlign w:val="bottom"/>
          </w:tcPr>
          <w:p w14:paraId="1731EB4D" w14:textId="77777777" w:rsidR="00053418" w:rsidRPr="009E06AA" w:rsidRDefault="00053418" w:rsidP="00BD450F">
            <w:pPr>
              <w:pStyle w:val="TableText"/>
              <w:ind w:left="57"/>
              <w:rPr>
                <w:b/>
                <w:bCs/>
                <w:color w:val="FFFFFF" w:themeColor="background1"/>
              </w:rPr>
            </w:pPr>
            <w:r w:rsidRPr="009E06AA">
              <w:rPr>
                <w:b/>
                <w:bCs/>
                <w:color w:val="FFFFFF" w:themeColor="background1"/>
              </w:rPr>
              <w:t>Post-1989 planted</w:t>
            </w:r>
          </w:p>
        </w:tc>
        <w:tc>
          <w:tcPr>
            <w:tcW w:w="719" w:type="dxa"/>
            <w:tcBorders>
              <w:top w:val="nil"/>
              <w:bottom w:val="nil"/>
            </w:tcBorders>
            <w:shd w:val="clear" w:color="auto" w:fill="1B556B"/>
            <w:tcMar>
              <w:top w:w="0" w:type="dxa"/>
              <w:left w:w="57" w:type="dxa"/>
              <w:bottom w:w="0" w:type="dxa"/>
              <w:right w:w="57" w:type="dxa"/>
            </w:tcMar>
            <w:textDirection w:val="btLr"/>
            <w:vAlign w:val="bottom"/>
          </w:tcPr>
          <w:p w14:paraId="711C9687" w14:textId="77777777" w:rsidR="00053418" w:rsidRPr="009E06AA" w:rsidRDefault="00053418" w:rsidP="00BD450F">
            <w:pPr>
              <w:pStyle w:val="TableText"/>
              <w:ind w:left="57"/>
              <w:rPr>
                <w:b/>
                <w:bCs/>
                <w:color w:val="FFFFFF" w:themeColor="background1"/>
              </w:rPr>
            </w:pPr>
            <w:r w:rsidRPr="009E06AA">
              <w:rPr>
                <w:b/>
                <w:bCs/>
                <w:color w:val="FFFFFF" w:themeColor="background1"/>
              </w:rPr>
              <w:t>Post-1989 natural</w:t>
            </w:r>
          </w:p>
        </w:tc>
        <w:tc>
          <w:tcPr>
            <w:tcW w:w="719" w:type="dxa"/>
            <w:tcBorders>
              <w:top w:val="nil"/>
              <w:bottom w:val="nil"/>
            </w:tcBorders>
            <w:shd w:val="clear" w:color="auto" w:fill="1B556B"/>
            <w:tcMar>
              <w:top w:w="0" w:type="dxa"/>
              <w:left w:w="57" w:type="dxa"/>
              <w:bottom w:w="0" w:type="dxa"/>
              <w:right w:w="57" w:type="dxa"/>
            </w:tcMar>
            <w:textDirection w:val="btLr"/>
            <w:vAlign w:val="bottom"/>
          </w:tcPr>
          <w:p w14:paraId="70C7A3AA" w14:textId="77777777" w:rsidR="00053418" w:rsidRPr="009E06AA" w:rsidRDefault="00053418" w:rsidP="00BD450F">
            <w:pPr>
              <w:pStyle w:val="TableText"/>
              <w:ind w:left="57"/>
              <w:rPr>
                <w:b/>
                <w:bCs/>
                <w:color w:val="FFFFFF" w:themeColor="background1"/>
              </w:rPr>
            </w:pPr>
            <w:r w:rsidRPr="009E06AA">
              <w:rPr>
                <w:b/>
                <w:bCs/>
                <w:color w:val="FFFFFF" w:themeColor="background1"/>
              </w:rPr>
              <w:t>Annual</w:t>
            </w:r>
          </w:p>
        </w:tc>
        <w:tc>
          <w:tcPr>
            <w:tcW w:w="719" w:type="dxa"/>
            <w:tcBorders>
              <w:top w:val="nil"/>
              <w:bottom w:val="nil"/>
            </w:tcBorders>
            <w:shd w:val="clear" w:color="auto" w:fill="1B556B"/>
            <w:tcMar>
              <w:top w:w="0" w:type="dxa"/>
              <w:left w:w="57" w:type="dxa"/>
              <w:bottom w:w="0" w:type="dxa"/>
              <w:right w:w="57" w:type="dxa"/>
            </w:tcMar>
            <w:textDirection w:val="btLr"/>
            <w:vAlign w:val="bottom"/>
          </w:tcPr>
          <w:p w14:paraId="35DE9CE1" w14:textId="77777777" w:rsidR="00053418" w:rsidRPr="009E06AA" w:rsidRDefault="00053418" w:rsidP="00BD450F">
            <w:pPr>
              <w:pStyle w:val="TableText"/>
              <w:ind w:left="57"/>
              <w:rPr>
                <w:b/>
                <w:bCs/>
                <w:color w:val="FFFFFF" w:themeColor="background1"/>
              </w:rPr>
            </w:pPr>
            <w:r w:rsidRPr="009E06AA">
              <w:rPr>
                <w:b/>
                <w:bCs/>
                <w:color w:val="FFFFFF" w:themeColor="background1"/>
              </w:rPr>
              <w:t>Perennial</w:t>
            </w:r>
          </w:p>
        </w:tc>
        <w:tc>
          <w:tcPr>
            <w:tcW w:w="719" w:type="dxa"/>
            <w:tcBorders>
              <w:top w:val="nil"/>
              <w:bottom w:val="nil"/>
            </w:tcBorders>
            <w:shd w:val="clear" w:color="auto" w:fill="1B556B"/>
            <w:tcMar>
              <w:top w:w="0" w:type="dxa"/>
              <w:left w:w="57" w:type="dxa"/>
              <w:bottom w:w="0" w:type="dxa"/>
              <w:right w:w="57" w:type="dxa"/>
            </w:tcMar>
            <w:textDirection w:val="btLr"/>
            <w:vAlign w:val="bottom"/>
          </w:tcPr>
          <w:p w14:paraId="383541C6" w14:textId="77777777" w:rsidR="00053418" w:rsidRPr="009E06AA" w:rsidRDefault="00053418" w:rsidP="00BD450F">
            <w:pPr>
              <w:pStyle w:val="TableText"/>
              <w:ind w:left="57"/>
              <w:rPr>
                <w:b/>
                <w:bCs/>
                <w:color w:val="FFFFFF" w:themeColor="background1"/>
              </w:rPr>
            </w:pPr>
            <w:r w:rsidRPr="009E06AA">
              <w:rPr>
                <w:b/>
                <w:bCs/>
                <w:color w:val="FFFFFF" w:themeColor="background1"/>
              </w:rPr>
              <w:t>High producing</w:t>
            </w:r>
          </w:p>
        </w:tc>
        <w:tc>
          <w:tcPr>
            <w:tcW w:w="719" w:type="dxa"/>
            <w:tcBorders>
              <w:top w:val="nil"/>
              <w:bottom w:val="nil"/>
            </w:tcBorders>
            <w:shd w:val="clear" w:color="auto" w:fill="1B556B"/>
            <w:tcMar>
              <w:top w:w="0" w:type="dxa"/>
              <w:left w:w="57" w:type="dxa"/>
              <w:bottom w:w="0" w:type="dxa"/>
              <w:right w:w="57" w:type="dxa"/>
            </w:tcMar>
            <w:textDirection w:val="btLr"/>
            <w:vAlign w:val="bottom"/>
          </w:tcPr>
          <w:p w14:paraId="6E292131" w14:textId="77777777" w:rsidR="00053418" w:rsidRPr="009E06AA" w:rsidRDefault="00053418" w:rsidP="00BD450F">
            <w:pPr>
              <w:pStyle w:val="TableText"/>
              <w:ind w:left="57"/>
              <w:rPr>
                <w:b/>
                <w:bCs/>
                <w:color w:val="FFFFFF" w:themeColor="background1"/>
              </w:rPr>
            </w:pPr>
            <w:r w:rsidRPr="009E06AA">
              <w:rPr>
                <w:b/>
                <w:bCs/>
                <w:color w:val="FFFFFF" w:themeColor="background1"/>
              </w:rPr>
              <w:t>Low producing</w:t>
            </w:r>
          </w:p>
        </w:tc>
        <w:tc>
          <w:tcPr>
            <w:tcW w:w="719" w:type="dxa"/>
            <w:tcBorders>
              <w:top w:val="nil"/>
              <w:bottom w:val="nil"/>
            </w:tcBorders>
            <w:shd w:val="clear" w:color="auto" w:fill="1B556B"/>
            <w:tcMar>
              <w:top w:w="0" w:type="dxa"/>
              <w:left w:w="57" w:type="dxa"/>
              <w:bottom w:w="0" w:type="dxa"/>
              <w:right w:w="57" w:type="dxa"/>
            </w:tcMar>
            <w:textDirection w:val="btLr"/>
            <w:vAlign w:val="bottom"/>
          </w:tcPr>
          <w:p w14:paraId="3AEB53F4" w14:textId="77777777" w:rsidR="00053418" w:rsidRPr="009E06AA" w:rsidRDefault="00053418" w:rsidP="00BD450F">
            <w:pPr>
              <w:pStyle w:val="TableText"/>
              <w:ind w:left="57"/>
              <w:rPr>
                <w:b/>
                <w:bCs/>
                <w:color w:val="FFFFFF" w:themeColor="background1"/>
              </w:rPr>
            </w:pPr>
            <w:r w:rsidRPr="009E06AA">
              <w:rPr>
                <w:b/>
                <w:bCs/>
                <w:color w:val="FFFFFF" w:themeColor="background1"/>
              </w:rPr>
              <w:t>With woody biomass</w:t>
            </w:r>
          </w:p>
        </w:tc>
        <w:tc>
          <w:tcPr>
            <w:tcW w:w="719" w:type="dxa"/>
            <w:tcBorders>
              <w:top w:val="nil"/>
              <w:bottom w:val="nil"/>
            </w:tcBorders>
            <w:shd w:val="clear" w:color="auto" w:fill="1B556B"/>
            <w:tcMar>
              <w:top w:w="0" w:type="dxa"/>
              <w:left w:w="57" w:type="dxa"/>
              <w:bottom w:w="0" w:type="dxa"/>
              <w:right w:w="57" w:type="dxa"/>
            </w:tcMar>
            <w:textDirection w:val="btLr"/>
            <w:vAlign w:val="bottom"/>
          </w:tcPr>
          <w:p w14:paraId="71009AEB" w14:textId="77777777" w:rsidR="00053418" w:rsidRPr="009E06AA" w:rsidRDefault="00053418" w:rsidP="00BD450F">
            <w:pPr>
              <w:pStyle w:val="TableText"/>
              <w:ind w:left="57"/>
              <w:rPr>
                <w:b/>
                <w:bCs/>
                <w:color w:val="FFFFFF" w:themeColor="background1"/>
              </w:rPr>
            </w:pPr>
            <w:r w:rsidRPr="009E06AA">
              <w:rPr>
                <w:b/>
                <w:bCs/>
                <w:color w:val="FFFFFF" w:themeColor="background1"/>
              </w:rPr>
              <w:t>Open water</w:t>
            </w:r>
          </w:p>
        </w:tc>
        <w:tc>
          <w:tcPr>
            <w:tcW w:w="719" w:type="dxa"/>
            <w:tcBorders>
              <w:top w:val="nil"/>
              <w:bottom w:val="nil"/>
            </w:tcBorders>
            <w:shd w:val="clear" w:color="auto" w:fill="1B556B"/>
            <w:tcMar>
              <w:top w:w="0" w:type="dxa"/>
              <w:left w:w="57" w:type="dxa"/>
              <w:bottom w:w="0" w:type="dxa"/>
              <w:right w:w="57" w:type="dxa"/>
            </w:tcMar>
            <w:textDirection w:val="btLr"/>
            <w:vAlign w:val="bottom"/>
          </w:tcPr>
          <w:p w14:paraId="3F441D10" w14:textId="77777777" w:rsidR="00053418" w:rsidRPr="009E06AA" w:rsidRDefault="00053418" w:rsidP="00BD450F">
            <w:pPr>
              <w:pStyle w:val="TableText"/>
              <w:ind w:left="57"/>
              <w:rPr>
                <w:b/>
                <w:bCs/>
                <w:color w:val="FFFFFF" w:themeColor="background1"/>
              </w:rPr>
            </w:pPr>
            <w:r w:rsidRPr="009E06AA">
              <w:rPr>
                <w:b/>
                <w:bCs/>
                <w:color w:val="FFFFFF" w:themeColor="background1"/>
              </w:rPr>
              <w:t>Vegetated</w:t>
            </w:r>
          </w:p>
        </w:tc>
        <w:tc>
          <w:tcPr>
            <w:tcW w:w="719" w:type="dxa"/>
            <w:tcBorders>
              <w:top w:val="nil"/>
              <w:bottom w:val="nil"/>
            </w:tcBorders>
            <w:shd w:val="clear" w:color="auto" w:fill="1B556B"/>
            <w:tcMar>
              <w:top w:w="0" w:type="dxa"/>
              <w:left w:w="57" w:type="dxa"/>
              <w:bottom w:w="0" w:type="dxa"/>
              <w:right w:w="57" w:type="dxa"/>
            </w:tcMar>
            <w:textDirection w:val="btLr"/>
            <w:vAlign w:val="bottom"/>
          </w:tcPr>
          <w:p w14:paraId="331BB3AC" w14:textId="77777777" w:rsidR="00053418" w:rsidRPr="009E06AA" w:rsidRDefault="00053418" w:rsidP="00BD450F">
            <w:pPr>
              <w:pStyle w:val="TableText"/>
              <w:ind w:left="57"/>
              <w:rPr>
                <w:b/>
                <w:bCs/>
                <w:color w:val="FFFFFF" w:themeColor="background1"/>
              </w:rPr>
            </w:pPr>
            <w:r w:rsidRPr="009E06AA">
              <w:rPr>
                <w:b/>
                <w:bCs/>
                <w:color w:val="FFFFFF" w:themeColor="background1"/>
              </w:rPr>
              <w:t>Settlements</w:t>
            </w:r>
          </w:p>
        </w:tc>
        <w:tc>
          <w:tcPr>
            <w:tcW w:w="719" w:type="dxa"/>
            <w:tcBorders>
              <w:top w:val="nil"/>
              <w:bottom w:val="nil"/>
            </w:tcBorders>
            <w:shd w:val="clear" w:color="auto" w:fill="1B556B"/>
            <w:tcMar>
              <w:top w:w="0" w:type="dxa"/>
              <w:left w:w="57" w:type="dxa"/>
              <w:bottom w:w="0" w:type="dxa"/>
              <w:right w:w="57" w:type="dxa"/>
            </w:tcMar>
            <w:textDirection w:val="btLr"/>
            <w:vAlign w:val="bottom"/>
          </w:tcPr>
          <w:p w14:paraId="48C8A48D" w14:textId="77777777" w:rsidR="00053418" w:rsidRPr="009E06AA" w:rsidRDefault="00053418" w:rsidP="00BD450F">
            <w:pPr>
              <w:pStyle w:val="TableText"/>
              <w:ind w:left="57"/>
              <w:rPr>
                <w:b/>
                <w:bCs/>
                <w:color w:val="FFFFFF" w:themeColor="background1"/>
              </w:rPr>
            </w:pPr>
            <w:r w:rsidRPr="009E06AA">
              <w:rPr>
                <w:b/>
                <w:bCs/>
                <w:color w:val="FFFFFF" w:themeColor="background1"/>
              </w:rPr>
              <w:t>Other land</w:t>
            </w:r>
          </w:p>
        </w:tc>
        <w:tc>
          <w:tcPr>
            <w:tcW w:w="1150" w:type="dxa"/>
            <w:tcBorders>
              <w:top w:val="nil"/>
              <w:bottom w:val="nil"/>
            </w:tcBorders>
            <w:shd w:val="clear" w:color="auto" w:fill="1B556B"/>
            <w:tcMar>
              <w:top w:w="0" w:type="dxa"/>
              <w:left w:w="57" w:type="dxa"/>
              <w:bottom w:w="0" w:type="dxa"/>
              <w:right w:w="57" w:type="dxa"/>
            </w:tcMar>
            <w:vAlign w:val="bottom"/>
          </w:tcPr>
          <w:p w14:paraId="545D919C" w14:textId="77777777" w:rsidR="00053418" w:rsidRPr="009E06AA" w:rsidRDefault="00053418" w:rsidP="00B55F24">
            <w:pPr>
              <w:pStyle w:val="TableText"/>
              <w:jc w:val="right"/>
              <w:rPr>
                <w:b/>
                <w:bCs/>
                <w:color w:val="FFFFFF" w:themeColor="background1"/>
              </w:rPr>
            </w:pPr>
            <w:r w:rsidRPr="009E06AA">
              <w:rPr>
                <w:b/>
                <w:bCs/>
                <w:color w:val="FFFFFF" w:themeColor="background1"/>
              </w:rPr>
              <w:t>Net area 31 Dec 1989 (kha)</w:t>
            </w:r>
          </w:p>
        </w:tc>
      </w:tr>
      <w:tr w:rsidR="00053418" w:rsidRPr="009E06AA" w14:paraId="053C1E98" w14:textId="77777777" w:rsidTr="000434DD">
        <w:tc>
          <w:tcPr>
            <w:tcW w:w="1151" w:type="dxa"/>
            <w:gridSpan w:val="2"/>
            <w:vMerge w:val="restart"/>
            <w:tcBorders>
              <w:top w:val="nil"/>
            </w:tcBorders>
            <w:shd w:val="clear" w:color="auto" w:fill="FFFFFF"/>
            <w:tcMar>
              <w:top w:w="0" w:type="dxa"/>
              <w:left w:w="57" w:type="dxa"/>
              <w:bottom w:w="0" w:type="dxa"/>
              <w:right w:w="57" w:type="dxa"/>
            </w:tcMar>
          </w:tcPr>
          <w:p w14:paraId="5832C0B8" w14:textId="77777777" w:rsidR="00053418" w:rsidRPr="009E06AA" w:rsidRDefault="00053418" w:rsidP="00B55F24">
            <w:pPr>
              <w:pStyle w:val="TableText"/>
              <w:rPr>
                <w:b/>
                <w:bCs/>
              </w:rPr>
            </w:pPr>
            <w:r w:rsidRPr="009E06AA">
              <w:rPr>
                <w:b/>
                <w:bCs/>
                <w:color w:val="000000"/>
              </w:rPr>
              <w:t>Forest land</w:t>
            </w:r>
          </w:p>
        </w:tc>
        <w:tc>
          <w:tcPr>
            <w:tcW w:w="2300" w:type="dxa"/>
            <w:tcBorders>
              <w:top w:val="nil"/>
            </w:tcBorders>
            <w:shd w:val="clear" w:color="auto" w:fill="FFFFFF"/>
            <w:tcMar>
              <w:top w:w="0" w:type="dxa"/>
              <w:left w:w="57" w:type="dxa"/>
              <w:bottom w:w="0" w:type="dxa"/>
              <w:right w:w="57" w:type="dxa"/>
            </w:tcMar>
          </w:tcPr>
          <w:p w14:paraId="2E182DCF" w14:textId="77777777" w:rsidR="00053418" w:rsidRPr="009E06AA" w:rsidRDefault="00053418" w:rsidP="00B55F24">
            <w:pPr>
              <w:pStyle w:val="TableText"/>
            </w:pPr>
            <w:r w:rsidRPr="009E06AA">
              <w:rPr>
                <w:color w:val="000000"/>
              </w:rPr>
              <w:t>Pre-1990 natural</w:t>
            </w:r>
          </w:p>
        </w:tc>
        <w:tc>
          <w:tcPr>
            <w:tcW w:w="719" w:type="dxa"/>
            <w:tcBorders>
              <w:top w:val="nil"/>
            </w:tcBorders>
            <w:shd w:val="clear" w:color="auto" w:fill="D2DDE1"/>
            <w:tcMar>
              <w:top w:w="0" w:type="dxa"/>
              <w:left w:w="57" w:type="dxa"/>
              <w:bottom w:w="0" w:type="dxa"/>
              <w:right w:w="57" w:type="dxa"/>
            </w:tcMar>
          </w:tcPr>
          <w:p w14:paraId="70A2254E" w14:textId="77777777" w:rsidR="00053418" w:rsidRPr="009E06AA" w:rsidRDefault="00053418" w:rsidP="00F271D5">
            <w:pPr>
              <w:pStyle w:val="TableText"/>
              <w:jc w:val="right"/>
            </w:pPr>
            <w:r w:rsidRPr="009E06AA">
              <w:rPr>
                <w:color w:val="000000"/>
              </w:rPr>
              <w:t>7,775</w:t>
            </w:r>
          </w:p>
        </w:tc>
        <w:tc>
          <w:tcPr>
            <w:tcW w:w="719" w:type="dxa"/>
            <w:tcBorders>
              <w:top w:val="nil"/>
            </w:tcBorders>
            <w:shd w:val="clear" w:color="auto" w:fill="FFFFFF"/>
            <w:tcMar>
              <w:top w:w="0" w:type="dxa"/>
              <w:left w:w="57" w:type="dxa"/>
              <w:bottom w:w="0" w:type="dxa"/>
              <w:right w:w="57" w:type="dxa"/>
            </w:tcMar>
          </w:tcPr>
          <w:p w14:paraId="177E09A4" w14:textId="77777777" w:rsidR="00053418" w:rsidRPr="009E06AA" w:rsidRDefault="00053418" w:rsidP="00F271D5">
            <w:pPr>
              <w:pStyle w:val="TableText"/>
              <w:jc w:val="right"/>
            </w:pPr>
          </w:p>
        </w:tc>
        <w:tc>
          <w:tcPr>
            <w:tcW w:w="719" w:type="dxa"/>
            <w:tcBorders>
              <w:top w:val="nil"/>
            </w:tcBorders>
            <w:shd w:val="clear" w:color="auto" w:fill="FFFFFF"/>
            <w:tcMar>
              <w:top w:w="0" w:type="dxa"/>
              <w:left w:w="57" w:type="dxa"/>
              <w:bottom w:w="0" w:type="dxa"/>
              <w:right w:w="57" w:type="dxa"/>
            </w:tcMar>
          </w:tcPr>
          <w:p w14:paraId="5944860F" w14:textId="77777777" w:rsidR="00053418" w:rsidRPr="009E06AA" w:rsidRDefault="00053418" w:rsidP="00F271D5">
            <w:pPr>
              <w:pStyle w:val="TableText"/>
              <w:jc w:val="right"/>
            </w:pPr>
          </w:p>
        </w:tc>
        <w:tc>
          <w:tcPr>
            <w:tcW w:w="719" w:type="dxa"/>
            <w:tcBorders>
              <w:top w:val="nil"/>
            </w:tcBorders>
            <w:shd w:val="clear" w:color="auto" w:fill="FFFFFF"/>
            <w:tcMar>
              <w:top w:w="0" w:type="dxa"/>
              <w:left w:w="57" w:type="dxa"/>
              <w:bottom w:w="0" w:type="dxa"/>
              <w:right w:w="57" w:type="dxa"/>
            </w:tcMar>
          </w:tcPr>
          <w:p w14:paraId="34D7D11B" w14:textId="77777777" w:rsidR="00053418" w:rsidRPr="009E06AA" w:rsidRDefault="00053418" w:rsidP="00F271D5">
            <w:pPr>
              <w:pStyle w:val="TableText"/>
              <w:jc w:val="right"/>
            </w:pPr>
          </w:p>
        </w:tc>
        <w:tc>
          <w:tcPr>
            <w:tcW w:w="719" w:type="dxa"/>
            <w:tcBorders>
              <w:top w:val="nil"/>
            </w:tcBorders>
            <w:shd w:val="clear" w:color="auto" w:fill="FFFFFF"/>
            <w:tcMar>
              <w:top w:w="0" w:type="dxa"/>
              <w:left w:w="57" w:type="dxa"/>
              <w:bottom w:w="0" w:type="dxa"/>
              <w:right w:w="57" w:type="dxa"/>
            </w:tcMar>
          </w:tcPr>
          <w:p w14:paraId="567DC29D" w14:textId="77777777" w:rsidR="00053418" w:rsidRPr="009E06AA" w:rsidRDefault="00053418" w:rsidP="00F271D5">
            <w:pPr>
              <w:pStyle w:val="TableText"/>
              <w:jc w:val="right"/>
            </w:pPr>
          </w:p>
        </w:tc>
        <w:tc>
          <w:tcPr>
            <w:tcW w:w="719" w:type="dxa"/>
            <w:tcBorders>
              <w:top w:val="nil"/>
            </w:tcBorders>
            <w:shd w:val="clear" w:color="auto" w:fill="FFFFFF"/>
            <w:tcMar>
              <w:top w:w="0" w:type="dxa"/>
              <w:left w:w="57" w:type="dxa"/>
              <w:bottom w:w="0" w:type="dxa"/>
              <w:right w:w="57" w:type="dxa"/>
            </w:tcMar>
          </w:tcPr>
          <w:p w14:paraId="319FD7A7" w14:textId="77777777" w:rsidR="00053418" w:rsidRPr="009E06AA" w:rsidRDefault="00053418" w:rsidP="00F271D5">
            <w:pPr>
              <w:pStyle w:val="TableText"/>
              <w:jc w:val="right"/>
            </w:pPr>
          </w:p>
        </w:tc>
        <w:tc>
          <w:tcPr>
            <w:tcW w:w="719" w:type="dxa"/>
            <w:tcBorders>
              <w:top w:val="nil"/>
            </w:tcBorders>
            <w:shd w:val="clear" w:color="auto" w:fill="FFFFFF"/>
            <w:tcMar>
              <w:top w:w="0" w:type="dxa"/>
              <w:left w:w="57" w:type="dxa"/>
              <w:bottom w:w="0" w:type="dxa"/>
              <w:right w:w="57" w:type="dxa"/>
            </w:tcMar>
          </w:tcPr>
          <w:p w14:paraId="5C20FA9B" w14:textId="77777777" w:rsidR="00053418" w:rsidRPr="009E06AA" w:rsidRDefault="00053418" w:rsidP="00F271D5">
            <w:pPr>
              <w:pStyle w:val="TableText"/>
              <w:jc w:val="right"/>
            </w:pPr>
          </w:p>
        </w:tc>
        <w:tc>
          <w:tcPr>
            <w:tcW w:w="719" w:type="dxa"/>
            <w:tcBorders>
              <w:top w:val="nil"/>
            </w:tcBorders>
            <w:shd w:val="clear" w:color="auto" w:fill="FFFFFF"/>
            <w:tcMar>
              <w:top w:w="0" w:type="dxa"/>
              <w:left w:w="57" w:type="dxa"/>
              <w:bottom w:w="0" w:type="dxa"/>
              <w:right w:w="57" w:type="dxa"/>
            </w:tcMar>
          </w:tcPr>
          <w:p w14:paraId="783AFD72" w14:textId="77777777" w:rsidR="00053418" w:rsidRPr="009E06AA" w:rsidRDefault="00053418" w:rsidP="00F271D5">
            <w:pPr>
              <w:pStyle w:val="TableText"/>
              <w:jc w:val="right"/>
            </w:pPr>
          </w:p>
        </w:tc>
        <w:tc>
          <w:tcPr>
            <w:tcW w:w="719" w:type="dxa"/>
            <w:tcBorders>
              <w:top w:val="nil"/>
            </w:tcBorders>
            <w:shd w:val="clear" w:color="auto" w:fill="FFFFFF"/>
            <w:tcMar>
              <w:top w:w="0" w:type="dxa"/>
              <w:left w:w="57" w:type="dxa"/>
              <w:bottom w:w="0" w:type="dxa"/>
              <w:right w:w="57" w:type="dxa"/>
            </w:tcMar>
          </w:tcPr>
          <w:p w14:paraId="0A1A0943" w14:textId="77777777" w:rsidR="00053418" w:rsidRPr="009E06AA" w:rsidRDefault="00053418" w:rsidP="00F271D5">
            <w:pPr>
              <w:pStyle w:val="TableText"/>
              <w:jc w:val="right"/>
            </w:pPr>
            <w:r w:rsidRPr="009E06AA">
              <w:rPr>
                <w:color w:val="000000"/>
              </w:rPr>
              <w:t>42</w:t>
            </w:r>
          </w:p>
        </w:tc>
        <w:tc>
          <w:tcPr>
            <w:tcW w:w="719" w:type="dxa"/>
            <w:tcBorders>
              <w:top w:val="nil"/>
            </w:tcBorders>
            <w:shd w:val="clear" w:color="auto" w:fill="FFFFFF"/>
            <w:tcMar>
              <w:top w:w="0" w:type="dxa"/>
              <w:left w:w="57" w:type="dxa"/>
              <w:bottom w:w="0" w:type="dxa"/>
              <w:right w:w="57" w:type="dxa"/>
            </w:tcMar>
          </w:tcPr>
          <w:p w14:paraId="23E1F2C8" w14:textId="77777777" w:rsidR="00053418" w:rsidRPr="009E06AA" w:rsidRDefault="00053418" w:rsidP="00F271D5">
            <w:pPr>
              <w:pStyle w:val="TableText"/>
              <w:jc w:val="right"/>
            </w:pPr>
          </w:p>
        </w:tc>
        <w:tc>
          <w:tcPr>
            <w:tcW w:w="719" w:type="dxa"/>
            <w:tcBorders>
              <w:top w:val="nil"/>
            </w:tcBorders>
            <w:shd w:val="clear" w:color="auto" w:fill="FFFFFF"/>
            <w:tcMar>
              <w:top w:w="0" w:type="dxa"/>
              <w:left w:w="57" w:type="dxa"/>
              <w:bottom w:w="0" w:type="dxa"/>
              <w:right w:w="57" w:type="dxa"/>
            </w:tcMar>
          </w:tcPr>
          <w:p w14:paraId="2E2BB946" w14:textId="77777777" w:rsidR="00053418" w:rsidRPr="009E06AA" w:rsidRDefault="00053418" w:rsidP="00F271D5">
            <w:pPr>
              <w:pStyle w:val="TableText"/>
              <w:jc w:val="right"/>
            </w:pPr>
          </w:p>
        </w:tc>
        <w:tc>
          <w:tcPr>
            <w:tcW w:w="719" w:type="dxa"/>
            <w:tcBorders>
              <w:top w:val="nil"/>
            </w:tcBorders>
            <w:shd w:val="clear" w:color="auto" w:fill="FFFFFF"/>
            <w:tcMar>
              <w:top w:w="0" w:type="dxa"/>
              <w:left w:w="57" w:type="dxa"/>
              <w:bottom w:w="0" w:type="dxa"/>
              <w:right w:w="57" w:type="dxa"/>
            </w:tcMar>
          </w:tcPr>
          <w:p w14:paraId="5E6F8B5E" w14:textId="77777777" w:rsidR="00053418" w:rsidRPr="009E06AA" w:rsidRDefault="00053418" w:rsidP="00F271D5">
            <w:pPr>
              <w:pStyle w:val="TableText"/>
              <w:jc w:val="right"/>
            </w:pPr>
          </w:p>
        </w:tc>
        <w:tc>
          <w:tcPr>
            <w:tcW w:w="719" w:type="dxa"/>
            <w:tcBorders>
              <w:top w:val="nil"/>
            </w:tcBorders>
            <w:shd w:val="clear" w:color="auto" w:fill="FFFFFF"/>
            <w:tcMar>
              <w:top w:w="0" w:type="dxa"/>
              <w:left w:w="57" w:type="dxa"/>
              <w:bottom w:w="0" w:type="dxa"/>
              <w:right w:w="57" w:type="dxa"/>
            </w:tcMar>
          </w:tcPr>
          <w:p w14:paraId="78428649" w14:textId="77777777" w:rsidR="00053418" w:rsidRPr="009E06AA" w:rsidRDefault="00053418" w:rsidP="00F271D5">
            <w:pPr>
              <w:pStyle w:val="TableText"/>
              <w:jc w:val="right"/>
            </w:pPr>
          </w:p>
        </w:tc>
        <w:tc>
          <w:tcPr>
            <w:tcW w:w="1150" w:type="dxa"/>
            <w:tcBorders>
              <w:top w:val="nil"/>
            </w:tcBorders>
            <w:shd w:val="clear" w:color="auto" w:fill="FFFFFF"/>
            <w:tcMar>
              <w:top w:w="0" w:type="dxa"/>
              <w:left w:w="57" w:type="dxa"/>
              <w:bottom w:w="0" w:type="dxa"/>
              <w:right w:w="57" w:type="dxa"/>
            </w:tcMar>
          </w:tcPr>
          <w:p w14:paraId="2B26A95D" w14:textId="77777777" w:rsidR="00053418" w:rsidRPr="009E06AA" w:rsidRDefault="00053418" w:rsidP="00F271D5">
            <w:pPr>
              <w:pStyle w:val="TableText"/>
              <w:jc w:val="right"/>
            </w:pPr>
            <w:r w:rsidRPr="009E06AA">
              <w:rPr>
                <w:color w:val="000000"/>
              </w:rPr>
              <w:t>7,817</w:t>
            </w:r>
          </w:p>
        </w:tc>
      </w:tr>
      <w:tr w:rsidR="00053418" w:rsidRPr="009E06AA" w14:paraId="16BD8A02" w14:textId="77777777" w:rsidTr="00B55F24">
        <w:tc>
          <w:tcPr>
            <w:tcW w:w="1151" w:type="dxa"/>
            <w:gridSpan w:val="2"/>
            <w:vMerge/>
            <w:shd w:val="clear" w:color="auto" w:fill="FFFFFF"/>
            <w:tcMar>
              <w:top w:w="0" w:type="dxa"/>
              <w:left w:w="57" w:type="dxa"/>
              <w:bottom w:w="0" w:type="dxa"/>
              <w:right w:w="57" w:type="dxa"/>
            </w:tcMar>
          </w:tcPr>
          <w:p w14:paraId="6E6E5D78" w14:textId="77777777" w:rsidR="00053418" w:rsidRPr="009E06AA" w:rsidRDefault="00053418" w:rsidP="00B55F24">
            <w:pPr>
              <w:pStyle w:val="TableText"/>
              <w:rPr>
                <w:b/>
                <w:bCs/>
              </w:rPr>
            </w:pPr>
          </w:p>
        </w:tc>
        <w:tc>
          <w:tcPr>
            <w:tcW w:w="2300" w:type="dxa"/>
            <w:shd w:val="clear" w:color="auto" w:fill="FFFFFF"/>
            <w:tcMar>
              <w:top w:w="0" w:type="dxa"/>
              <w:left w:w="57" w:type="dxa"/>
              <w:bottom w:w="0" w:type="dxa"/>
              <w:right w:w="57" w:type="dxa"/>
            </w:tcMar>
          </w:tcPr>
          <w:p w14:paraId="1B04C3E6" w14:textId="77777777" w:rsidR="00053418" w:rsidRPr="009E06AA" w:rsidRDefault="00053418" w:rsidP="00B55F24">
            <w:pPr>
              <w:pStyle w:val="TableText"/>
            </w:pPr>
            <w:r w:rsidRPr="009E06AA">
              <w:rPr>
                <w:color w:val="000000"/>
              </w:rPr>
              <w:t>Pre-1990 planted</w:t>
            </w:r>
          </w:p>
        </w:tc>
        <w:tc>
          <w:tcPr>
            <w:tcW w:w="719" w:type="dxa"/>
            <w:shd w:val="clear" w:color="auto" w:fill="FFFFFF"/>
            <w:tcMar>
              <w:top w:w="0" w:type="dxa"/>
              <w:left w:w="57" w:type="dxa"/>
              <w:bottom w:w="0" w:type="dxa"/>
              <w:right w:w="57" w:type="dxa"/>
            </w:tcMar>
          </w:tcPr>
          <w:p w14:paraId="20DC1969" w14:textId="77777777" w:rsidR="00053418" w:rsidRPr="009E06AA" w:rsidRDefault="00053418" w:rsidP="00F271D5">
            <w:pPr>
              <w:pStyle w:val="TableText"/>
              <w:jc w:val="right"/>
            </w:pPr>
            <w:r w:rsidRPr="009E06AA">
              <w:rPr>
                <w:color w:val="000000"/>
              </w:rPr>
              <w:t>301</w:t>
            </w:r>
          </w:p>
        </w:tc>
        <w:tc>
          <w:tcPr>
            <w:tcW w:w="719" w:type="dxa"/>
            <w:shd w:val="clear" w:color="auto" w:fill="D2DDE1"/>
            <w:tcMar>
              <w:top w:w="0" w:type="dxa"/>
              <w:left w:w="57" w:type="dxa"/>
              <w:bottom w:w="0" w:type="dxa"/>
              <w:right w:w="57" w:type="dxa"/>
            </w:tcMar>
          </w:tcPr>
          <w:p w14:paraId="36C7963B" w14:textId="77777777" w:rsidR="00053418" w:rsidRPr="009E06AA" w:rsidRDefault="00053418" w:rsidP="00F271D5">
            <w:pPr>
              <w:pStyle w:val="TableText"/>
              <w:jc w:val="right"/>
            </w:pPr>
            <w:r w:rsidRPr="009E06AA">
              <w:rPr>
                <w:color w:val="000000"/>
              </w:rPr>
              <w:t>452</w:t>
            </w:r>
          </w:p>
        </w:tc>
        <w:tc>
          <w:tcPr>
            <w:tcW w:w="719" w:type="dxa"/>
            <w:shd w:val="clear" w:color="auto" w:fill="FFFFFF"/>
            <w:tcMar>
              <w:top w:w="0" w:type="dxa"/>
              <w:left w:w="57" w:type="dxa"/>
              <w:bottom w:w="0" w:type="dxa"/>
              <w:right w:w="57" w:type="dxa"/>
            </w:tcMar>
          </w:tcPr>
          <w:p w14:paraId="21DB1B0B"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6DA94504"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11C9AA5C"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0099414D"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126ACB17"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25FDF9F7" w14:textId="77777777" w:rsidR="00053418" w:rsidRPr="009E06AA" w:rsidRDefault="00053418" w:rsidP="00F271D5">
            <w:pPr>
              <w:pStyle w:val="TableText"/>
              <w:jc w:val="right"/>
            </w:pPr>
            <w:r w:rsidRPr="009E06AA">
              <w:rPr>
                <w:color w:val="000000"/>
              </w:rPr>
              <w:t>398</w:t>
            </w:r>
          </w:p>
        </w:tc>
        <w:tc>
          <w:tcPr>
            <w:tcW w:w="719" w:type="dxa"/>
            <w:shd w:val="clear" w:color="auto" w:fill="FFFFFF"/>
            <w:tcMar>
              <w:top w:w="0" w:type="dxa"/>
              <w:left w:w="57" w:type="dxa"/>
              <w:bottom w:w="0" w:type="dxa"/>
              <w:right w:w="57" w:type="dxa"/>
            </w:tcMar>
          </w:tcPr>
          <w:p w14:paraId="1B6B3816" w14:textId="77777777" w:rsidR="00053418" w:rsidRPr="009E06AA" w:rsidRDefault="00053418" w:rsidP="00F271D5">
            <w:pPr>
              <w:pStyle w:val="TableText"/>
              <w:jc w:val="right"/>
            </w:pPr>
            <w:r w:rsidRPr="009E06AA">
              <w:rPr>
                <w:color w:val="000000"/>
              </w:rPr>
              <w:t>393</w:t>
            </w:r>
          </w:p>
        </w:tc>
        <w:tc>
          <w:tcPr>
            <w:tcW w:w="719" w:type="dxa"/>
            <w:shd w:val="clear" w:color="auto" w:fill="FFFFFF"/>
            <w:tcMar>
              <w:top w:w="0" w:type="dxa"/>
              <w:left w:w="57" w:type="dxa"/>
              <w:bottom w:w="0" w:type="dxa"/>
              <w:right w:w="57" w:type="dxa"/>
            </w:tcMar>
          </w:tcPr>
          <w:p w14:paraId="7B535A6D"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47C0F328"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503D28D0"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555380E3" w14:textId="77777777" w:rsidR="00053418" w:rsidRPr="009E06AA" w:rsidRDefault="00053418" w:rsidP="00F271D5">
            <w:pPr>
              <w:pStyle w:val="TableText"/>
              <w:jc w:val="right"/>
            </w:pPr>
          </w:p>
        </w:tc>
        <w:tc>
          <w:tcPr>
            <w:tcW w:w="1150" w:type="dxa"/>
            <w:shd w:val="clear" w:color="auto" w:fill="FFFFFF"/>
            <w:tcMar>
              <w:top w:w="0" w:type="dxa"/>
              <w:left w:w="57" w:type="dxa"/>
              <w:bottom w:w="0" w:type="dxa"/>
              <w:right w:w="57" w:type="dxa"/>
            </w:tcMar>
          </w:tcPr>
          <w:p w14:paraId="7F846FAF" w14:textId="77777777" w:rsidR="00053418" w:rsidRPr="009E06AA" w:rsidRDefault="00053418" w:rsidP="00F271D5">
            <w:pPr>
              <w:pStyle w:val="TableText"/>
              <w:jc w:val="right"/>
            </w:pPr>
            <w:r w:rsidRPr="009E06AA">
              <w:rPr>
                <w:color w:val="000000"/>
              </w:rPr>
              <w:t>1,545</w:t>
            </w:r>
          </w:p>
        </w:tc>
      </w:tr>
      <w:tr w:rsidR="00053418" w:rsidRPr="009E06AA" w14:paraId="3AF39E82" w14:textId="77777777" w:rsidTr="00B55F24">
        <w:tc>
          <w:tcPr>
            <w:tcW w:w="1151" w:type="dxa"/>
            <w:gridSpan w:val="2"/>
            <w:vMerge/>
            <w:shd w:val="clear" w:color="auto" w:fill="FFFFFF"/>
            <w:tcMar>
              <w:top w:w="0" w:type="dxa"/>
              <w:left w:w="57" w:type="dxa"/>
              <w:bottom w:w="0" w:type="dxa"/>
              <w:right w:w="57" w:type="dxa"/>
            </w:tcMar>
          </w:tcPr>
          <w:p w14:paraId="006424E7" w14:textId="77777777" w:rsidR="00053418" w:rsidRPr="009E06AA" w:rsidRDefault="00053418" w:rsidP="00B55F24">
            <w:pPr>
              <w:pStyle w:val="TableText"/>
              <w:rPr>
                <w:b/>
                <w:bCs/>
              </w:rPr>
            </w:pPr>
          </w:p>
        </w:tc>
        <w:tc>
          <w:tcPr>
            <w:tcW w:w="2300" w:type="dxa"/>
            <w:shd w:val="clear" w:color="auto" w:fill="FFFFFF"/>
            <w:tcMar>
              <w:top w:w="0" w:type="dxa"/>
              <w:left w:w="57" w:type="dxa"/>
              <w:bottom w:w="0" w:type="dxa"/>
              <w:right w:w="57" w:type="dxa"/>
            </w:tcMar>
          </w:tcPr>
          <w:p w14:paraId="1CE871E9" w14:textId="77777777" w:rsidR="00053418" w:rsidRPr="009E06AA" w:rsidRDefault="00053418" w:rsidP="00B55F24">
            <w:pPr>
              <w:pStyle w:val="TableText"/>
            </w:pPr>
            <w:r w:rsidRPr="009E06AA">
              <w:rPr>
                <w:color w:val="000000"/>
              </w:rPr>
              <w:t>Post-1989 planted</w:t>
            </w:r>
          </w:p>
        </w:tc>
        <w:tc>
          <w:tcPr>
            <w:tcW w:w="719" w:type="dxa"/>
            <w:shd w:val="clear" w:color="auto" w:fill="FFFFFF"/>
            <w:tcMar>
              <w:top w:w="0" w:type="dxa"/>
              <w:left w:w="57" w:type="dxa"/>
              <w:bottom w:w="0" w:type="dxa"/>
              <w:right w:w="57" w:type="dxa"/>
            </w:tcMar>
          </w:tcPr>
          <w:p w14:paraId="1C66AFC5"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2A71DC4E" w14:textId="77777777" w:rsidR="00053418" w:rsidRPr="009E06AA" w:rsidRDefault="00053418" w:rsidP="00F271D5">
            <w:pPr>
              <w:pStyle w:val="TableText"/>
              <w:jc w:val="right"/>
            </w:pPr>
          </w:p>
        </w:tc>
        <w:tc>
          <w:tcPr>
            <w:tcW w:w="719" w:type="dxa"/>
            <w:shd w:val="clear" w:color="auto" w:fill="D2DDE1"/>
            <w:tcMar>
              <w:top w:w="0" w:type="dxa"/>
              <w:left w:w="57" w:type="dxa"/>
              <w:bottom w:w="0" w:type="dxa"/>
              <w:right w:w="57" w:type="dxa"/>
            </w:tcMar>
          </w:tcPr>
          <w:p w14:paraId="6D1D579A"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19B6A2CA"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0E8FCBF8"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3D909F7E"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704379AA"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679F673E"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6948925B"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2023AF49"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14085186"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1E2C3888"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21816B63" w14:textId="77777777" w:rsidR="00053418" w:rsidRPr="009E06AA" w:rsidRDefault="00053418" w:rsidP="00F271D5">
            <w:pPr>
              <w:pStyle w:val="TableText"/>
              <w:jc w:val="right"/>
            </w:pPr>
          </w:p>
        </w:tc>
        <w:tc>
          <w:tcPr>
            <w:tcW w:w="1150" w:type="dxa"/>
            <w:shd w:val="clear" w:color="auto" w:fill="FFFFFF"/>
            <w:tcMar>
              <w:top w:w="0" w:type="dxa"/>
              <w:left w:w="57" w:type="dxa"/>
              <w:bottom w:w="0" w:type="dxa"/>
              <w:right w:w="57" w:type="dxa"/>
            </w:tcMar>
          </w:tcPr>
          <w:p w14:paraId="7D016E5B" w14:textId="77777777" w:rsidR="00053418" w:rsidRPr="009E06AA" w:rsidRDefault="00053418" w:rsidP="00F271D5">
            <w:pPr>
              <w:pStyle w:val="TableText"/>
              <w:jc w:val="right"/>
            </w:pPr>
          </w:p>
        </w:tc>
      </w:tr>
      <w:tr w:rsidR="00053418" w:rsidRPr="009E06AA" w14:paraId="72E7194A" w14:textId="77777777" w:rsidTr="00B55F24">
        <w:tc>
          <w:tcPr>
            <w:tcW w:w="1151" w:type="dxa"/>
            <w:gridSpan w:val="2"/>
            <w:vMerge/>
            <w:shd w:val="clear" w:color="auto" w:fill="FFFFFF"/>
            <w:tcMar>
              <w:top w:w="0" w:type="dxa"/>
              <w:left w:w="57" w:type="dxa"/>
              <w:bottom w:w="0" w:type="dxa"/>
              <w:right w:w="57" w:type="dxa"/>
            </w:tcMar>
          </w:tcPr>
          <w:p w14:paraId="2F14A809" w14:textId="77777777" w:rsidR="00053418" w:rsidRPr="009E06AA" w:rsidRDefault="00053418" w:rsidP="00B55F24">
            <w:pPr>
              <w:pStyle w:val="TableText"/>
              <w:rPr>
                <w:b/>
                <w:bCs/>
              </w:rPr>
            </w:pPr>
          </w:p>
        </w:tc>
        <w:tc>
          <w:tcPr>
            <w:tcW w:w="2300" w:type="dxa"/>
            <w:shd w:val="clear" w:color="auto" w:fill="FFFFFF"/>
            <w:tcMar>
              <w:top w:w="0" w:type="dxa"/>
              <w:left w:w="57" w:type="dxa"/>
              <w:bottom w:w="0" w:type="dxa"/>
              <w:right w:w="57" w:type="dxa"/>
            </w:tcMar>
          </w:tcPr>
          <w:p w14:paraId="467F2DB2" w14:textId="77777777" w:rsidR="00053418" w:rsidRPr="009E06AA" w:rsidRDefault="00053418" w:rsidP="00B55F24">
            <w:pPr>
              <w:pStyle w:val="TableText"/>
            </w:pPr>
            <w:r w:rsidRPr="009E06AA">
              <w:rPr>
                <w:color w:val="000000"/>
              </w:rPr>
              <w:t>Post-1989 natural</w:t>
            </w:r>
          </w:p>
        </w:tc>
        <w:tc>
          <w:tcPr>
            <w:tcW w:w="719" w:type="dxa"/>
            <w:shd w:val="clear" w:color="auto" w:fill="FFFFFF"/>
            <w:tcMar>
              <w:top w:w="0" w:type="dxa"/>
              <w:left w:w="57" w:type="dxa"/>
              <w:bottom w:w="0" w:type="dxa"/>
              <w:right w:w="57" w:type="dxa"/>
            </w:tcMar>
          </w:tcPr>
          <w:p w14:paraId="1808E9FF"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2905976E"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568F2EDA" w14:textId="77777777" w:rsidR="00053418" w:rsidRPr="009E06AA" w:rsidRDefault="00053418" w:rsidP="00F271D5">
            <w:pPr>
              <w:pStyle w:val="TableText"/>
              <w:jc w:val="right"/>
            </w:pPr>
          </w:p>
        </w:tc>
        <w:tc>
          <w:tcPr>
            <w:tcW w:w="719" w:type="dxa"/>
            <w:shd w:val="clear" w:color="auto" w:fill="D2DDE1"/>
            <w:tcMar>
              <w:top w:w="0" w:type="dxa"/>
              <w:left w:w="57" w:type="dxa"/>
              <w:bottom w:w="0" w:type="dxa"/>
              <w:right w:w="57" w:type="dxa"/>
            </w:tcMar>
          </w:tcPr>
          <w:p w14:paraId="4E053D82"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3A1575AD"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64503255"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73A7C177"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05B5E33A"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2DDAD840"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3FA6E139"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001B169C"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2A3F1C6A"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5231DBC2" w14:textId="77777777" w:rsidR="00053418" w:rsidRPr="009E06AA" w:rsidRDefault="00053418" w:rsidP="00F271D5">
            <w:pPr>
              <w:pStyle w:val="TableText"/>
              <w:jc w:val="right"/>
            </w:pPr>
          </w:p>
        </w:tc>
        <w:tc>
          <w:tcPr>
            <w:tcW w:w="1150" w:type="dxa"/>
            <w:shd w:val="clear" w:color="auto" w:fill="FFFFFF"/>
            <w:tcMar>
              <w:top w:w="0" w:type="dxa"/>
              <w:left w:w="57" w:type="dxa"/>
              <w:bottom w:w="0" w:type="dxa"/>
              <w:right w:w="57" w:type="dxa"/>
            </w:tcMar>
          </w:tcPr>
          <w:p w14:paraId="5DC8941E" w14:textId="77777777" w:rsidR="00053418" w:rsidRPr="009E06AA" w:rsidRDefault="00053418" w:rsidP="00F271D5">
            <w:pPr>
              <w:pStyle w:val="TableText"/>
              <w:jc w:val="right"/>
            </w:pPr>
          </w:p>
        </w:tc>
      </w:tr>
      <w:tr w:rsidR="00053418" w:rsidRPr="009E06AA" w14:paraId="056CA3A9" w14:textId="77777777" w:rsidTr="00B55F24">
        <w:tc>
          <w:tcPr>
            <w:tcW w:w="1151" w:type="dxa"/>
            <w:gridSpan w:val="2"/>
            <w:vMerge w:val="restart"/>
            <w:shd w:val="clear" w:color="auto" w:fill="FFFFFF"/>
            <w:tcMar>
              <w:top w:w="0" w:type="dxa"/>
              <w:left w:w="57" w:type="dxa"/>
              <w:bottom w:w="0" w:type="dxa"/>
              <w:right w:w="57" w:type="dxa"/>
            </w:tcMar>
          </w:tcPr>
          <w:p w14:paraId="26C21648" w14:textId="77777777" w:rsidR="00053418" w:rsidRPr="009E06AA" w:rsidRDefault="00053418" w:rsidP="00B55F24">
            <w:pPr>
              <w:pStyle w:val="TableText"/>
              <w:rPr>
                <w:b/>
                <w:bCs/>
              </w:rPr>
            </w:pPr>
            <w:r w:rsidRPr="009E06AA">
              <w:rPr>
                <w:b/>
                <w:bCs/>
                <w:color w:val="000000"/>
              </w:rPr>
              <w:t>Cropland</w:t>
            </w:r>
          </w:p>
        </w:tc>
        <w:tc>
          <w:tcPr>
            <w:tcW w:w="2300" w:type="dxa"/>
            <w:shd w:val="clear" w:color="auto" w:fill="FFFFFF"/>
            <w:tcMar>
              <w:top w:w="0" w:type="dxa"/>
              <w:left w:w="57" w:type="dxa"/>
              <w:bottom w:w="0" w:type="dxa"/>
              <w:right w:w="57" w:type="dxa"/>
            </w:tcMar>
          </w:tcPr>
          <w:p w14:paraId="7EDD9F4B" w14:textId="77777777" w:rsidR="00053418" w:rsidRPr="009E06AA" w:rsidRDefault="00053418" w:rsidP="00B55F24">
            <w:pPr>
              <w:pStyle w:val="TableText"/>
            </w:pPr>
            <w:r w:rsidRPr="009E06AA">
              <w:rPr>
                <w:color w:val="000000"/>
              </w:rPr>
              <w:t>Annual</w:t>
            </w:r>
          </w:p>
        </w:tc>
        <w:tc>
          <w:tcPr>
            <w:tcW w:w="719" w:type="dxa"/>
            <w:shd w:val="clear" w:color="auto" w:fill="FFFFFF"/>
            <w:tcMar>
              <w:top w:w="0" w:type="dxa"/>
              <w:left w:w="57" w:type="dxa"/>
              <w:bottom w:w="0" w:type="dxa"/>
              <w:right w:w="57" w:type="dxa"/>
            </w:tcMar>
          </w:tcPr>
          <w:p w14:paraId="173509F8"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68CC1D2C"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79881605"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74C1B360" w14:textId="77777777" w:rsidR="00053418" w:rsidRPr="009E06AA" w:rsidRDefault="00053418" w:rsidP="00F271D5">
            <w:pPr>
              <w:pStyle w:val="TableText"/>
              <w:jc w:val="right"/>
            </w:pPr>
          </w:p>
        </w:tc>
        <w:tc>
          <w:tcPr>
            <w:tcW w:w="719" w:type="dxa"/>
            <w:shd w:val="clear" w:color="auto" w:fill="D2DDE1"/>
            <w:tcMar>
              <w:top w:w="0" w:type="dxa"/>
              <w:left w:w="57" w:type="dxa"/>
              <w:bottom w:w="0" w:type="dxa"/>
              <w:right w:w="57" w:type="dxa"/>
            </w:tcMar>
          </w:tcPr>
          <w:p w14:paraId="460B69ED" w14:textId="77777777" w:rsidR="00053418" w:rsidRPr="009E06AA" w:rsidRDefault="00053418" w:rsidP="00F271D5">
            <w:pPr>
              <w:pStyle w:val="TableText"/>
              <w:jc w:val="right"/>
            </w:pPr>
            <w:r w:rsidRPr="009E06AA">
              <w:rPr>
                <w:color w:val="000000"/>
              </w:rPr>
              <w:t>325</w:t>
            </w:r>
          </w:p>
        </w:tc>
        <w:tc>
          <w:tcPr>
            <w:tcW w:w="719" w:type="dxa"/>
            <w:shd w:val="clear" w:color="auto" w:fill="FFFFFF"/>
            <w:tcMar>
              <w:top w:w="0" w:type="dxa"/>
              <w:left w:w="57" w:type="dxa"/>
              <w:bottom w:w="0" w:type="dxa"/>
              <w:right w:w="57" w:type="dxa"/>
            </w:tcMar>
          </w:tcPr>
          <w:p w14:paraId="3EEB9345"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6E7DA6AA" w14:textId="77777777" w:rsidR="00053418" w:rsidRPr="009E06AA" w:rsidRDefault="00053418" w:rsidP="00F271D5">
            <w:pPr>
              <w:pStyle w:val="TableText"/>
              <w:jc w:val="right"/>
            </w:pPr>
            <w:r w:rsidRPr="009E06AA">
              <w:rPr>
                <w:color w:val="000000"/>
              </w:rPr>
              <w:t>21</w:t>
            </w:r>
          </w:p>
        </w:tc>
        <w:tc>
          <w:tcPr>
            <w:tcW w:w="719" w:type="dxa"/>
            <w:shd w:val="clear" w:color="auto" w:fill="FFFFFF"/>
            <w:tcMar>
              <w:top w:w="0" w:type="dxa"/>
              <w:left w:w="57" w:type="dxa"/>
              <w:bottom w:w="0" w:type="dxa"/>
              <w:right w:w="57" w:type="dxa"/>
            </w:tcMar>
          </w:tcPr>
          <w:p w14:paraId="656FB779" w14:textId="77777777" w:rsidR="00053418" w:rsidRPr="009E06AA" w:rsidRDefault="00053418" w:rsidP="00F271D5">
            <w:pPr>
              <w:pStyle w:val="TableText"/>
              <w:jc w:val="right"/>
            </w:pPr>
            <w:r w:rsidRPr="009E06AA">
              <w:rPr>
                <w:color w:val="000000"/>
              </w:rPr>
              <w:t>9</w:t>
            </w:r>
          </w:p>
        </w:tc>
        <w:tc>
          <w:tcPr>
            <w:tcW w:w="719" w:type="dxa"/>
            <w:shd w:val="clear" w:color="auto" w:fill="FFFFFF"/>
            <w:tcMar>
              <w:top w:w="0" w:type="dxa"/>
              <w:left w:w="57" w:type="dxa"/>
              <w:bottom w:w="0" w:type="dxa"/>
              <w:right w:w="57" w:type="dxa"/>
            </w:tcMar>
          </w:tcPr>
          <w:p w14:paraId="09DE9692"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3B430AF3"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1607D0B1"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44DDC38F"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0AA413B4" w14:textId="77777777" w:rsidR="00053418" w:rsidRPr="009E06AA" w:rsidRDefault="00053418" w:rsidP="00F271D5">
            <w:pPr>
              <w:pStyle w:val="TableText"/>
              <w:jc w:val="right"/>
            </w:pPr>
          </w:p>
        </w:tc>
        <w:tc>
          <w:tcPr>
            <w:tcW w:w="1150" w:type="dxa"/>
            <w:shd w:val="clear" w:color="auto" w:fill="FFFFFF"/>
            <w:tcMar>
              <w:top w:w="0" w:type="dxa"/>
              <w:left w:w="57" w:type="dxa"/>
              <w:bottom w:w="0" w:type="dxa"/>
              <w:right w:w="57" w:type="dxa"/>
            </w:tcMar>
          </w:tcPr>
          <w:p w14:paraId="53949032" w14:textId="77777777" w:rsidR="00053418" w:rsidRPr="009E06AA" w:rsidRDefault="00053418" w:rsidP="00F271D5">
            <w:pPr>
              <w:pStyle w:val="TableText"/>
              <w:jc w:val="right"/>
            </w:pPr>
            <w:r w:rsidRPr="009E06AA">
              <w:rPr>
                <w:color w:val="000000"/>
              </w:rPr>
              <w:t>355</w:t>
            </w:r>
          </w:p>
        </w:tc>
      </w:tr>
      <w:tr w:rsidR="00053418" w:rsidRPr="009E06AA" w14:paraId="0B8C0660" w14:textId="77777777" w:rsidTr="00B55F24">
        <w:tc>
          <w:tcPr>
            <w:tcW w:w="1151" w:type="dxa"/>
            <w:gridSpan w:val="2"/>
            <w:vMerge/>
            <w:shd w:val="clear" w:color="auto" w:fill="FFFFFF"/>
            <w:tcMar>
              <w:top w:w="0" w:type="dxa"/>
              <w:left w:w="57" w:type="dxa"/>
              <w:bottom w:w="0" w:type="dxa"/>
              <w:right w:w="57" w:type="dxa"/>
            </w:tcMar>
          </w:tcPr>
          <w:p w14:paraId="33CF4789" w14:textId="77777777" w:rsidR="00053418" w:rsidRPr="009E06AA" w:rsidRDefault="00053418" w:rsidP="00B55F24">
            <w:pPr>
              <w:pStyle w:val="TableText"/>
              <w:rPr>
                <w:b/>
                <w:bCs/>
              </w:rPr>
            </w:pPr>
          </w:p>
        </w:tc>
        <w:tc>
          <w:tcPr>
            <w:tcW w:w="2300" w:type="dxa"/>
            <w:shd w:val="clear" w:color="auto" w:fill="FFFFFF"/>
            <w:tcMar>
              <w:top w:w="0" w:type="dxa"/>
              <w:left w:w="57" w:type="dxa"/>
              <w:bottom w:w="0" w:type="dxa"/>
              <w:right w:w="57" w:type="dxa"/>
            </w:tcMar>
          </w:tcPr>
          <w:p w14:paraId="31F83500" w14:textId="77777777" w:rsidR="00053418" w:rsidRPr="009E06AA" w:rsidRDefault="00053418" w:rsidP="00B55F24">
            <w:pPr>
              <w:pStyle w:val="TableText"/>
            </w:pPr>
            <w:r w:rsidRPr="009E06AA">
              <w:rPr>
                <w:color w:val="000000"/>
              </w:rPr>
              <w:t>Perennial</w:t>
            </w:r>
          </w:p>
        </w:tc>
        <w:tc>
          <w:tcPr>
            <w:tcW w:w="719" w:type="dxa"/>
            <w:shd w:val="clear" w:color="auto" w:fill="FFFFFF"/>
            <w:tcMar>
              <w:top w:w="0" w:type="dxa"/>
              <w:left w:w="57" w:type="dxa"/>
              <w:bottom w:w="0" w:type="dxa"/>
              <w:right w:w="57" w:type="dxa"/>
            </w:tcMar>
          </w:tcPr>
          <w:p w14:paraId="1A161FDD"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5DD1131C"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38D7115C"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2DC1B763"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7BA516F2" w14:textId="77777777" w:rsidR="00053418" w:rsidRPr="009E06AA" w:rsidRDefault="00053418" w:rsidP="00F271D5">
            <w:pPr>
              <w:pStyle w:val="TableText"/>
              <w:jc w:val="right"/>
            </w:pPr>
            <w:r w:rsidRPr="009E06AA">
              <w:rPr>
                <w:color w:val="000000"/>
              </w:rPr>
              <w:t>1</w:t>
            </w:r>
          </w:p>
        </w:tc>
        <w:tc>
          <w:tcPr>
            <w:tcW w:w="719" w:type="dxa"/>
            <w:shd w:val="clear" w:color="auto" w:fill="D2DDE1"/>
            <w:tcMar>
              <w:top w:w="0" w:type="dxa"/>
              <w:left w:w="57" w:type="dxa"/>
              <w:bottom w:w="0" w:type="dxa"/>
              <w:right w:w="57" w:type="dxa"/>
            </w:tcMar>
          </w:tcPr>
          <w:p w14:paraId="076E34C8" w14:textId="77777777" w:rsidR="00053418" w:rsidRPr="009E06AA" w:rsidRDefault="00053418" w:rsidP="00F271D5">
            <w:pPr>
              <w:pStyle w:val="TableText"/>
              <w:jc w:val="right"/>
            </w:pPr>
            <w:r w:rsidRPr="009E06AA">
              <w:rPr>
                <w:color w:val="000000"/>
              </w:rPr>
              <w:t>59</w:t>
            </w:r>
          </w:p>
        </w:tc>
        <w:tc>
          <w:tcPr>
            <w:tcW w:w="719" w:type="dxa"/>
            <w:shd w:val="clear" w:color="auto" w:fill="FFFFFF"/>
            <w:tcMar>
              <w:top w:w="0" w:type="dxa"/>
              <w:left w:w="57" w:type="dxa"/>
              <w:bottom w:w="0" w:type="dxa"/>
              <w:right w:w="57" w:type="dxa"/>
            </w:tcMar>
          </w:tcPr>
          <w:p w14:paraId="29EBA1AB" w14:textId="77777777" w:rsidR="00053418" w:rsidRPr="009E06AA" w:rsidRDefault="00053418" w:rsidP="00F271D5">
            <w:pPr>
              <w:pStyle w:val="TableText"/>
              <w:jc w:val="right"/>
            </w:pPr>
            <w:r w:rsidRPr="009E06AA">
              <w:rPr>
                <w:color w:val="000000"/>
              </w:rPr>
              <w:t>5</w:t>
            </w:r>
          </w:p>
        </w:tc>
        <w:tc>
          <w:tcPr>
            <w:tcW w:w="719" w:type="dxa"/>
            <w:shd w:val="clear" w:color="auto" w:fill="FFFFFF"/>
            <w:tcMar>
              <w:top w:w="0" w:type="dxa"/>
              <w:left w:w="57" w:type="dxa"/>
              <w:bottom w:w="0" w:type="dxa"/>
              <w:right w:w="57" w:type="dxa"/>
            </w:tcMar>
          </w:tcPr>
          <w:p w14:paraId="4FA5DBC3" w14:textId="77777777" w:rsidR="00053418" w:rsidRPr="009E06AA" w:rsidRDefault="00053418" w:rsidP="00F271D5">
            <w:pPr>
              <w:pStyle w:val="TableText"/>
              <w:jc w:val="right"/>
            </w:pPr>
            <w:r w:rsidRPr="009E06AA">
              <w:rPr>
                <w:color w:val="000000"/>
              </w:rPr>
              <w:t>5</w:t>
            </w:r>
          </w:p>
        </w:tc>
        <w:tc>
          <w:tcPr>
            <w:tcW w:w="719" w:type="dxa"/>
            <w:shd w:val="clear" w:color="auto" w:fill="FFFFFF"/>
            <w:tcMar>
              <w:top w:w="0" w:type="dxa"/>
              <w:left w:w="57" w:type="dxa"/>
              <w:bottom w:w="0" w:type="dxa"/>
              <w:right w:w="57" w:type="dxa"/>
            </w:tcMar>
          </w:tcPr>
          <w:p w14:paraId="28EC9BFC"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1828EBB7"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74E784CC"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70DE8496"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23915FB6" w14:textId="77777777" w:rsidR="00053418" w:rsidRPr="009E06AA" w:rsidRDefault="00053418" w:rsidP="00F271D5">
            <w:pPr>
              <w:pStyle w:val="TableText"/>
              <w:jc w:val="right"/>
            </w:pPr>
          </w:p>
        </w:tc>
        <w:tc>
          <w:tcPr>
            <w:tcW w:w="1150" w:type="dxa"/>
            <w:shd w:val="clear" w:color="auto" w:fill="FFFFFF"/>
            <w:tcMar>
              <w:top w:w="0" w:type="dxa"/>
              <w:left w:w="57" w:type="dxa"/>
              <w:bottom w:w="0" w:type="dxa"/>
              <w:right w:w="57" w:type="dxa"/>
            </w:tcMar>
          </w:tcPr>
          <w:p w14:paraId="1B118E47" w14:textId="77777777" w:rsidR="00053418" w:rsidRPr="009E06AA" w:rsidRDefault="00053418" w:rsidP="00F271D5">
            <w:pPr>
              <w:pStyle w:val="TableText"/>
              <w:jc w:val="right"/>
            </w:pPr>
            <w:r w:rsidRPr="009E06AA">
              <w:rPr>
                <w:color w:val="000000"/>
              </w:rPr>
              <w:t>69</w:t>
            </w:r>
          </w:p>
        </w:tc>
      </w:tr>
      <w:tr w:rsidR="00053418" w:rsidRPr="009E06AA" w14:paraId="71EE0258" w14:textId="77777777" w:rsidTr="00B55F24">
        <w:tc>
          <w:tcPr>
            <w:tcW w:w="1151" w:type="dxa"/>
            <w:gridSpan w:val="2"/>
            <w:vMerge w:val="restart"/>
            <w:shd w:val="clear" w:color="auto" w:fill="FFFFFF"/>
            <w:tcMar>
              <w:top w:w="0" w:type="dxa"/>
              <w:left w:w="57" w:type="dxa"/>
              <w:bottom w:w="0" w:type="dxa"/>
              <w:right w:w="57" w:type="dxa"/>
            </w:tcMar>
          </w:tcPr>
          <w:p w14:paraId="15DD366B" w14:textId="77777777" w:rsidR="00053418" w:rsidRPr="009E06AA" w:rsidRDefault="00053418" w:rsidP="00B55F24">
            <w:pPr>
              <w:pStyle w:val="TableText"/>
              <w:rPr>
                <w:b/>
                <w:bCs/>
              </w:rPr>
            </w:pPr>
            <w:r w:rsidRPr="009E06AA">
              <w:rPr>
                <w:b/>
                <w:bCs/>
                <w:color w:val="000000"/>
              </w:rPr>
              <w:t>Grassland</w:t>
            </w:r>
          </w:p>
        </w:tc>
        <w:tc>
          <w:tcPr>
            <w:tcW w:w="2300" w:type="dxa"/>
            <w:shd w:val="clear" w:color="auto" w:fill="FFFFFF"/>
            <w:tcMar>
              <w:top w:w="0" w:type="dxa"/>
              <w:left w:w="57" w:type="dxa"/>
              <w:bottom w:w="0" w:type="dxa"/>
              <w:right w:w="57" w:type="dxa"/>
            </w:tcMar>
          </w:tcPr>
          <w:p w14:paraId="627D5A6C" w14:textId="77777777" w:rsidR="00053418" w:rsidRPr="009E06AA" w:rsidRDefault="00053418" w:rsidP="00B55F24">
            <w:pPr>
              <w:pStyle w:val="TableText"/>
            </w:pPr>
            <w:r w:rsidRPr="009E06AA">
              <w:rPr>
                <w:color w:val="000000"/>
              </w:rPr>
              <w:t>High producing</w:t>
            </w:r>
          </w:p>
        </w:tc>
        <w:tc>
          <w:tcPr>
            <w:tcW w:w="719" w:type="dxa"/>
            <w:shd w:val="clear" w:color="auto" w:fill="FFFFFF"/>
            <w:tcMar>
              <w:top w:w="0" w:type="dxa"/>
              <w:left w:w="57" w:type="dxa"/>
              <w:bottom w:w="0" w:type="dxa"/>
              <w:right w:w="57" w:type="dxa"/>
            </w:tcMar>
          </w:tcPr>
          <w:p w14:paraId="7E02B9DF" w14:textId="77777777" w:rsidR="00053418" w:rsidRPr="009E06AA" w:rsidRDefault="00053418" w:rsidP="00F271D5">
            <w:pPr>
              <w:pStyle w:val="TableText"/>
              <w:jc w:val="right"/>
            </w:pPr>
            <w:r w:rsidRPr="009E06AA">
              <w:rPr>
                <w:color w:val="000000"/>
              </w:rPr>
              <w:t>84</w:t>
            </w:r>
          </w:p>
        </w:tc>
        <w:tc>
          <w:tcPr>
            <w:tcW w:w="719" w:type="dxa"/>
            <w:shd w:val="clear" w:color="auto" w:fill="FFFFFF"/>
            <w:tcMar>
              <w:top w:w="0" w:type="dxa"/>
              <w:left w:w="57" w:type="dxa"/>
              <w:bottom w:w="0" w:type="dxa"/>
              <w:right w:w="57" w:type="dxa"/>
            </w:tcMar>
          </w:tcPr>
          <w:p w14:paraId="49A19BA5"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57DCD7B1"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4E4B7778"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40330C16" w14:textId="77777777" w:rsidR="00053418" w:rsidRPr="009E06AA" w:rsidRDefault="00053418" w:rsidP="00F271D5">
            <w:pPr>
              <w:pStyle w:val="TableText"/>
              <w:jc w:val="right"/>
            </w:pPr>
            <w:r w:rsidRPr="009E06AA">
              <w:rPr>
                <w:color w:val="000000"/>
              </w:rPr>
              <w:t>23</w:t>
            </w:r>
          </w:p>
        </w:tc>
        <w:tc>
          <w:tcPr>
            <w:tcW w:w="719" w:type="dxa"/>
            <w:shd w:val="clear" w:color="auto" w:fill="FFFFFF"/>
            <w:tcMar>
              <w:top w:w="0" w:type="dxa"/>
              <w:left w:w="57" w:type="dxa"/>
              <w:bottom w:w="0" w:type="dxa"/>
              <w:right w:w="57" w:type="dxa"/>
            </w:tcMar>
          </w:tcPr>
          <w:p w14:paraId="01638B80" w14:textId="77777777" w:rsidR="00053418" w:rsidRPr="009E06AA" w:rsidRDefault="00053418" w:rsidP="00F271D5">
            <w:pPr>
              <w:pStyle w:val="TableText"/>
              <w:jc w:val="right"/>
            </w:pPr>
            <w:r w:rsidRPr="009E06AA">
              <w:rPr>
                <w:color w:val="000000"/>
              </w:rPr>
              <w:t>20</w:t>
            </w:r>
          </w:p>
        </w:tc>
        <w:tc>
          <w:tcPr>
            <w:tcW w:w="719" w:type="dxa"/>
            <w:shd w:val="clear" w:color="auto" w:fill="D2DDE1"/>
            <w:tcMar>
              <w:top w:w="0" w:type="dxa"/>
              <w:left w:w="57" w:type="dxa"/>
              <w:bottom w:w="0" w:type="dxa"/>
              <w:right w:w="57" w:type="dxa"/>
            </w:tcMar>
          </w:tcPr>
          <w:p w14:paraId="62EB695E" w14:textId="77777777" w:rsidR="00053418" w:rsidRPr="009E06AA" w:rsidRDefault="00053418" w:rsidP="00F271D5">
            <w:pPr>
              <w:pStyle w:val="TableText"/>
              <w:jc w:val="right"/>
            </w:pPr>
            <w:r w:rsidRPr="009E06AA">
              <w:rPr>
                <w:color w:val="000000"/>
              </w:rPr>
              <w:t>4,809</w:t>
            </w:r>
          </w:p>
        </w:tc>
        <w:tc>
          <w:tcPr>
            <w:tcW w:w="719" w:type="dxa"/>
            <w:shd w:val="clear" w:color="auto" w:fill="FFFFFF"/>
            <w:tcMar>
              <w:top w:w="0" w:type="dxa"/>
              <w:left w:w="57" w:type="dxa"/>
              <w:bottom w:w="0" w:type="dxa"/>
              <w:right w:w="57" w:type="dxa"/>
            </w:tcMar>
          </w:tcPr>
          <w:p w14:paraId="7C361A01" w14:textId="77777777" w:rsidR="00053418" w:rsidRPr="009E06AA" w:rsidRDefault="00053418" w:rsidP="00F271D5">
            <w:pPr>
              <w:pStyle w:val="TableText"/>
              <w:jc w:val="right"/>
            </w:pPr>
            <w:r w:rsidRPr="009E06AA">
              <w:rPr>
                <w:color w:val="000000"/>
              </w:rPr>
              <w:t>461</w:t>
            </w:r>
          </w:p>
        </w:tc>
        <w:tc>
          <w:tcPr>
            <w:tcW w:w="719" w:type="dxa"/>
            <w:shd w:val="clear" w:color="auto" w:fill="FFFFFF"/>
            <w:tcMar>
              <w:top w:w="0" w:type="dxa"/>
              <w:left w:w="57" w:type="dxa"/>
              <w:bottom w:w="0" w:type="dxa"/>
              <w:right w:w="57" w:type="dxa"/>
            </w:tcMar>
          </w:tcPr>
          <w:p w14:paraId="4290A262" w14:textId="77777777" w:rsidR="00053418" w:rsidRPr="009E06AA" w:rsidRDefault="00053418" w:rsidP="00F271D5">
            <w:pPr>
              <w:pStyle w:val="TableText"/>
              <w:jc w:val="right"/>
            </w:pPr>
            <w:r w:rsidRPr="009E06AA">
              <w:rPr>
                <w:color w:val="000000"/>
              </w:rPr>
              <w:t>345</w:t>
            </w:r>
          </w:p>
        </w:tc>
        <w:tc>
          <w:tcPr>
            <w:tcW w:w="719" w:type="dxa"/>
            <w:shd w:val="clear" w:color="auto" w:fill="FFFFFF"/>
            <w:tcMar>
              <w:top w:w="0" w:type="dxa"/>
              <w:left w:w="57" w:type="dxa"/>
              <w:bottom w:w="0" w:type="dxa"/>
              <w:right w:w="57" w:type="dxa"/>
            </w:tcMar>
          </w:tcPr>
          <w:p w14:paraId="41B2538E"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713C5323" w14:textId="77777777" w:rsidR="00053418" w:rsidRPr="009E06AA" w:rsidRDefault="00053418" w:rsidP="00F271D5">
            <w:pPr>
              <w:pStyle w:val="TableText"/>
              <w:jc w:val="right"/>
            </w:pPr>
            <w:r w:rsidRPr="009E06AA">
              <w:rPr>
                <w:color w:val="000000"/>
              </w:rPr>
              <w:t>98</w:t>
            </w:r>
          </w:p>
        </w:tc>
        <w:tc>
          <w:tcPr>
            <w:tcW w:w="719" w:type="dxa"/>
            <w:shd w:val="clear" w:color="auto" w:fill="FFFFFF"/>
            <w:tcMar>
              <w:top w:w="0" w:type="dxa"/>
              <w:left w:w="57" w:type="dxa"/>
              <w:bottom w:w="0" w:type="dxa"/>
              <w:right w:w="57" w:type="dxa"/>
            </w:tcMar>
          </w:tcPr>
          <w:p w14:paraId="324E5CC7"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034A09E6" w14:textId="77777777" w:rsidR="00053418" w:rsidRPr="009E06AA" w:rsidRDefault="00053418" w:rsidP="00F271D5">
            <w:pPr>
              <w:pStyle w:val="TableText"/>
              <w:jc w:val="right"/>
            </w:pPr>
          </w:p>
        </w:tc>
        <w:tc>
          <w:tcPr>
            <w:tcW w:w="1150" w:type="dxa"/>
            <w:shd w:val="clear" w:color="auto" w:fill="FFFFFF"/>
            <w:tcMar>
              <w:top w:w="0" w:type="dxa"/>
              <w:left w:w="57" w:type="dxa"/>
              <w:bottom w:w="0" w:type="dxa"/>
              <w:right w:w="57" w:type="dxa"/>
            </w:tcMar>
          </w:tcPr>
          <w:p w14:paraId="4A6A7A98" w14:textId="77777777" w:rsidR="00053418" w:rsidRPr="009E06AA" w:rsidRDefault="00053418" w:rsidP="00F271D5">
            <w:pPr>
              <w:pStyle w:val="TableText"/>
              <w:jc w:val="right"/>
            </w:pPr>
            <w:r w:rsidRPr="009E06AA">
              <w:rPr>
                <w:color w:val="000000"/>
              </w:rPr>
              <w:t>5,840</w:t>
            </w:r>
          </w:p>
        </w:tc>
      </w:tr>
      <w:tr w:rsidR="00053418" w:rsidRPr="009E06AA" w14:paraId="078E6A1C" w14:textId="77777777" w:rsidTr="00B55F24">
        <w:tc>
          <w:tcPr>
            <w:tcW w:w="1151" w:type="dxa"/>
            <w:gridSpan w:val="2"/>
            <w:vMerge/>
            <w:shd w:val="clear" w:color="auto" w:fill="FFFFFF"/>
            <w:tcMar>
              <w:top w:w="0" w:type="dxa"/>
              <w:left w:w="57" w:type="dxa"/>
              <w:bottom w:w="0" w:type="dxa"/>
              <w:right w:w="57" w:type="dxa"/>
            </w:tcMar>
          </w:tcPr>
          <w:p w14:paraId="52DCD4BE" w14:textId="77777777" w:rsidR="00053418" w:rsidRPr="009E06AA" w:rsidRDefault="00053418" w:rsidP="00B55F24">
            <w:pPr>
              <w:pStyle w:val="TableText"/>
              <w:rPr>
                <w:b/>
                <w:bCs/>
              </w:rPr>
            </w:pPr>
          </w:p>
        </w:tc>
        <w:tc>
          <w:tcPr>
            <w:tcW w:w="2300" w:type="dxa"/>
            <w:shd w:val="clear" w:color="auto" w:fill="FFFFFF"/>
            <w:tcMar>
              <w:top w:w="0" w:type="dxa"/>
              <w:left w:w="57" w:type="dxa"/>
              <w:bottom w:w="0" w:type="dxa"/>
              <w:right w:w="57" w:type="dxa"/>
            </w:tcMar>
          </w:tcPr>
          <w:p w14:paraId="7CDA50B7" w14:textId="77777777" w:rsidR="00053418" w:rsidRPr="009E06AA" w:rsidRDefault="00053418" w:rsidP="00B55F24">
            <w:pPr>
              <w:pStyle w:val="TableText"/>
            </w:pPr>
            <w:r w:rsidRPr="009E06AA">
              <w:rPr>
                <w:color w:val="000000"/>
              </w:rPr>
              <w:t>Low producing</w:t>
            </w:r>
          </w:p>
        </w:tc>
        <w:tc>
          <w:tcPr>
            <w:tcW w:w="719" w:type="dxa"/>
            <w:shd w:val="clear" w:color="auto" w:fill="FFFFFF"/>
            <w:tcMar>
              <w:top w:w="0" w:type="dxa"/>
              <w:left w:w="57" w:type="dxa"/>
              <w:bottom w:w="0" w:type="dxa"/>
              <w:right w:w="57" w:type="dxa"/>
            </w:tcMar>
          </w:tcPr>
          <w:p w14:paraId="5E57788F" w14:textId="77777777" w:rsidR="00053418" w:rsidRPr="009E06AA" w:rsidRDefault="00053418" w:rsidP="00F271D5">
            <w:pPr>
              <w:pStyle w:val="TableText"/>
              <w:jc w:val="right"/>
            </w:pPr>
            <w:r w:rsidRPr="009E06AA">
              <w:rPr>
                <w:color w:val="000000"/>
              </w:rPr>
              <w:t>427</w:t>
            </w:r>
          </w:p>
        </w:tc>
        <w:tc>
          <w:tcPr>
            <w:tcW w:w="719" w:type="dxa"/>
            <w:shd w:val="clear" w:color="auto" w:fill="FFFFFF"/>
            <w:tcMar>
              <w:top w:w="0" w:type="dxa"/>
              <w:left w:w="57" w:type="dxa"/>
              <w:bottom w:w="0" w:type="dxa"/>
              <w:right w:w="57" w:type="dxa"/>
            </w:tcMar>
          </w:tcPr>
          <w:p w14:paraId="5CB8FE5C"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4002E54A"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4A2327DE"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41BD3D46"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13E4872A"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41221CD7" w14:textId="77777777" w:rsidR="00053418" w:rsidRPr="009E06AA" w:rsidRDefault="00053418" w:rsidP="00F271D5">
            <w:pPr>
              <w:pStyle w:val="TableText"/>
              <w:jc w:val="right"/>
            </w:pPr>
          </w:p>
        </w:tc>
        <w:tc>
          <w:tcPr>
            <w:tcW w:w="719" w:type="dxa"/>
            <w:shd w:val="clear" w:color="auto" w:fill="D2DDE1"/>
            <w:tcMar>
              <w:top w:w="0" w:type="dxa"/>
              <w:left w:w="57" w:type="dxa"/>
              <w:bottom w:w="0" w:type="dxa"/>
              <w:right w:w="57" w:type="dxa"/>
            </w:tcMar>
          </w:tcPr>
          <w:p w14:paraId="54B941FD" w14:textId="77777777" w:rsidR="00053418" w:rsidRPr="009E06AA" w:rsidRDefault="00053418" w:rsidP="00F271D5">
            <w:pPr>
              <w:pStyle w:val="TableText"/>
              <w:jc w:val="right"/>
            </w:pPr>
            <w:r w:rsidRPr="009E06AA">
              <w:rPr>
                <w:color w:val="000000"/>
              </w:rPr>
              <w:t>7,448</w:t>
            </w:r>
          </w:p>
        </w:tc>
        <w:tc>
          <w:tcPr>
            <w:tcW w:w="719" w:type="dxa"/>
            <w:shd w:val="clear" w:color="auto" w:fill="FFFFFF"/>
            <w:tcMar>
              <w:top w:w="0" w:type="dxa"/>
              <w:left w:w="57" w:type="dxa"/>
              <w:bottom w:w="0" w:type="dxa"/>
              <w:right w:w="57" w:type="dxa"/>
            </w:tcMar>
          </w:tcPr>
          <w:p w14:paraId="6225779A" w14:textId="77777777" w:rsidR="00053418" w:rsidRPr="009E06AA" w:rsidRDefault="00053418" w:rsidP="00F271D5">
            <w:pPr>
              <w:pStyle w:val="TableText"/>
              <w:jc w:val="right"/>
            </w:pPr>
            <w:r w:rsidRPr="009E06AA">
              <w:rPr>
                <w:color w:val="000000"/>
              </w:rPr>
              <w:t>30</w:t>
            </w:r>
          </w:p>
        </w:tc>
        <w:tc>
          <w:tcPr>
            <w:tcW w:w="719" w:type="dxa"/>
            <w:shd w:val="clear" w:color="auto" w:fill="FFFFFF"/>
            <w:tcMar>
              <w:top w:w="0" w:type="dxa"/>
              <w:left w:w="57" w:type="dxa"/>
              <w:bottom w:w="0" w:type="dxa"/>
              <w:right w:w="57" w:type="dxa"/>
            </w:tcMar>
          </w:tcPr>
          <w:p w14:paraId="526A2FFA"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4EBF6C47"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20A9AD32"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286622FE" w14:textId="77777777" w:rsidR="00053418" w:rsidRPr="009E06AA" w:rsidRDefault="00053418" w:rsidP="00F271D5">
            <w:pPr>
              <w:pStyle w:val="TableText"/>
              <w:jc w:val="right"/>
            </w:pPr>
          </w:p>
        </w:tc>
        <w:tc>
          <w:tcPr>
            <w:tcW w:w="1150" w:type="dxa"/>
            <w:shd w:val="clear" w:color="auto" w:fill="FFFFFF"/>
            <w:tcMar>
              <w:top w:w="0" w:type="dxa"/>
              <w:left w:w="57" w:type="dxa"/>
              <w:bottom w:w="0" w:type="dxa"/>
              <w:right w:w="57" w:type="dxa"/>
            </w:tcMar>
          </w:tcPr>
          <w:p w14:paraId="71593D37" w14:textId="77777777" w:rsidR="00053418" w:rsidRPr="009E06AA" w:rsidRDefault="00053418" w:rsidP="00F271D5">
            <w:pPr>
              <w:pStyle w:val="TableText"/>
              <w:jc w:val="right"/>
            </w:pPr>
            <w:r w:rsidRPr="009E06AA">
              <w:rPr>
                <w:color w:val="000000"/>
              </w:rPr>
              <w:t>7,905</w:t>
            </w:r>
          </w:p>
        </w:tc>
      </w:tr>
      <w:tr w:rsidR="00053418" w:rsidRPr="009E06AA" w14:paraId="2D581B1D" w14:textId="77777777" w:rsidTr="00B55F24">
        <w:tc>
          <w:tcPr>
            <w:tcW w:w="1151" w:type="dxa"/>
            <w:gridSpan w:val="2"/>
            <w:vMerge/>
            <w:shd w:val="clear" w:color="auto" w:fill="FFFFFF"/>
            <w:tcMar>
              <w:top w:w="0" w:type="dxa"/>
              <w:left w:w="57" w:type="dxa"/>
              <w:bottom w:w="0" w:type="dxa"/>
              <w:right w:w="57" w:type="dxa"/>
            </w:tcMar>
          </w:tcPr>
          <w:p w14:paraId="7D8962D9" w14:textId="77777777" w:rsidR="00053418" w:rsidRPr="009E06AA" w:rsidRDefault="00053418" w:rsidP="00B55F24">
            <w:pPr>
              <w:pStyle w:val="TableText"/>
              <w:rPr>
                <w:b/>
                <w:bCs/>
              </w:rPr>
            </w:pPr>
          </w:p>
        </w:tc>
        <w:tc>
          <w:tcPr>
            <w:tcW w:w="2300" w:type="dxa"/>
            <w:shd w:val="clear" w:color="auto" w:fill="FFFFFF"/>
            <w:tcMar>
              <w:top w:w="0" w:type="dxa"/>
              <w:left w:w="57" w:type="dxa"/>
              <w:bottom w:w="0" w:type="dxa"/>
              <w:right w:w="57" w:type="dxa"/>
            </w:tcMar>
          </w:tcPr>
          <w:p w14:paraId="1AA22542" w14:textId="77777777" w:rsidR="00053418" w:rsidRPr="009E06AA" w:rsidRDefault="00053418" w:rsidP="00B55F24">
            <w:pPr>
              <w:pStyle w:val="TableText"/>
            </w:pPr>
            <w:r w:rsidRPr="009E06AA">
              <w:rPr>
                <w:color w:val="000000"/>
              </w:rPr>
              <w:t>With woody biomass</w:t>
            </w:r>
          </w:p>
        </w:tc>
        <w:tc>
          <w:tcPr>
            <w:tcW w:w="719" w:type="dxa"/>
            <w:shd w:val="clear" w:color="auto" w:fill="FFFFFF"/>
            <w:tcMar>
              <w:top w:w="0" w:type="dxa"/>
              <w:left w:w="57" w:type="dxa"/>
              <w:bottom w:w="0" w:type="dxa"/>
              <w:right w:w="57" w:type="dxa"/>
            </w:tcMar>
          </w:tcPr>
          <w:p w14:paraId="597C035B" w14:textId="77777777" w:rsidR="00053418" w:rsidRPr="009E06AA" w:rsidRDefault="00053418" w:rsidP="00F271D5">
            <w:pPr>
              <w:pStyle w:val="TableText"/>
              <w:jc w:val="right"/>
            </w:pPr>
            <w:r w:rsidRPr="009E06AA">
              <w:rPr>
                <w:color w:val="000000"/>
              </w:rPr>
              <w:t>77</w:t>
            </w:r>
          </w:p>
        </w:tc>
        <w:tc>
          <w:tcPr>
            <w:tcW w:w="719" w:type="dxa"/>
            <w:shd w:val="clear" w:color="auto" w:fill="FFFFFF"/>
            <w:tcMar>
              <w:top w:w="0" w:type="dxa"/>
              <w:left w:w="57" w:type="dxa"/>
              <w:bottom w:w="0" w:type="dxa"/>
              <w:right w:w="57" w:type="dxa"/>
            </w:tcMar>
          </w:tcPr>
          <w:p w14:paraId="0599A49C"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724CB362"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038AB815"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7BC4AC4E"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431332C2"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528F1138"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55947BE4" w14:textId="77777777" w:rsidR="00053418" w:rsidRPr="009E06AA" w:rsidRDefault="00053418" w:rsidP="00F271D5">
            <w:pPr>
              <w:pStyle w:val="TableText"/>
              <w:jc w:val="right"/>
            </w:pPr>
            <w:r w:rsidRPr="009E06AA">
              <w:rPr>
                <w:color w:val="000000"/>
              </w:rPr>
              <w:t>491</w:t>
            </w:r>
          </w:p>
        </w:tc>
        <w:tc>
          <w:tcPr>
            <w:tcW w:w="719" w:type="dxa"/>
            <w:shd w:val="clear" w:color="auto" w:fill="D2DDE1"/>
            <w:tcMar>
              <w:top w:w="0" w:type="dxa"/>
              <w:left w:w="57" w:type="dxa"/>
              <w:bottom w:w="0" w:type="dxa"/>
              <w:right w:w="57" w:type="dxa"/>
            </w:tcMar>
          </w:tcPr>
          <w:p w14:paraId="3C61BEE8" w14:textId="77777777" w:rsidR="00053418" w:rsidRPr="009E06AA" w:rsidRDefault="00053418" w:rsidP="00F271D5">
            <w:pPr>
              <w:pStyle w:val="TableText"/>
              <w:jc w:val="right"/>
            </w:pPr>
            <w:r w:rsidRPr="009E06AA">
              <w:rPr>
                <w:color w:val="000000"/>
              </w:rPr>
              <w:t>943</w:t>
            </w:r>
          </w:p>
        </w:tc>
        <w:tc>
          <w:tcPr>
            <w:tcW w:w="719" w:type="dxa"/>
            <w:shd w:val="clear" w:color="auto" w:fill="FFFFFF"/>
            <w:tcMar>
              <w:top w:w="0" w:type="dxa"/>
              <w:left w:w="57" w:type="dxa"/>
              <w:bottom w:w="0" w:type="dxa"/>
              <w:right w:w="57" w:type="dxa"/>
            </w:tcMar>
          </w:tcPr>
          <w:p w14:paraId="0CE5A566"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6106E8BC"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611B545A"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707FFBA6" w14:textId="77777777" w:rsidR="00053418" w:rsidRPr="009E06AA" w:rsidRDefault="00053418" w:rsidP="00F271D5">
            <w:pPr>
              <w:pStyle w:val="TableText"/>
              <w:jc w:val="right"/>
            </w:pPr>
          </w:p>
        </w:tc>
        <w:tc>
          <w:tcPr>
            <w:tcW w:w="1150" w:type="dxa"/>
            <w:shd w:val="clear" w:color="auto" w:fill="FFFFFF"/>
            <w:tcMar>
              <w:top w:w="0" w:type="dxa"/>
              <w:left w:w="57" w:type="dxa"/>
              <w:bottom w:w="0" w:type="dxa"/>
              <w:right w:w="57" w:type="dxa"/>
            </w:tcMar>
          </w:tcPr>
          <w:p w14:paraId="78E61247" w14:textId="77777777" w:rsidR="00053418" w:rsidRPr="009E06AA" w:rsidRDefault="00053418" w:rsidP="00F271D5">
            <w:pPr>
              <w:pStyle w:val="TableText"/>
              <w:jc w:val="right"/>
            </w:pPr>
            <w:r w:rsidRPr="009E06AA">
              <w:rPr>
                <w:color w:val="000000"/>
              </w:rPr>
              <w:t>1,510</w:t>
            </w:r>
          </w:p>
        </w:tc>
      </w:tr>
      <w:tr w:rsidR="00053418" w:rsidRPr="009E06AA" w14:paraId="4ADD5670" w14:textId="77777777" w:rsidTr="00B55F24">
        <w:tc>
          <w:tcPr>
            <w:tcW w:w="1151" w:type="dxa"/>
            <w:gridSpan w:val="2"/>
            <w:vMerge w:val="restart"/>
            <w:shd w:val="clear" w:color="auto" w:fill="FFFFFF"/>
            <w:tcMar>
              <w:top w:w="0" w:type="dxa"/>
              <w:left w:w="57" w:type="dxa"/>
              <w:bottom w:w="0" w:type="dxa"/>
              <w:right w:w="57" w:type="dxa"/>
            </w:tcMar>
          </w:tcPr>
          <w:p w14:paraId="281501FA" w14:textId="77777777" w:rsidR="00053418" w:rsidRPr="009E06AA" w:rsidRDefault="00053418" w:rsidP="00B55F24">
            <w:pPr>
              <w:pStyle w:val="TableText"/>
              <w:rPr>
                <w:b/>
                <w:bCs/>
              </w:rPr>
            </w:pPr>
            <w:r w:rsidRPr="009E06AA">
              <w:rPr>
                <w:b/>
                <w:bCs/>
                <w:color w:val="000000"/>
              </w:rPr>
              <w:t>Wetlands</w:t>
            </w:r>
          </w:p>
        </w:tc>
        <w:tc>
          <w:tcPr>
            <w:tcW w:w="2300" w:type="dxa"/>
            <w:shd w:val="clear" w:color="auto" w:fill="FFFFFF"/>
            <w:tcMar>
              <w:top w:w="0" w:type="dxa"/>
              <w:left w:w="57" w:type="dxa"/>
              <w:bottom w:w="0" w:type="dxa"/>
              <w:right w:w="57" w:type="dxa"/>
            </w:tcMar>
          </w:tcPr>
          <w:p w14:paraId="48F99083" w14:textId="77777777" w:rsidR="00053418" w:rsidRPr="009E06AA" w:rsidRDefault="00053418" w:rsidP="00B55F24">
            <w:pPr>
              <w:pStyle w:val="TableText"/>
            </w:pPr>
            <w:r w:rsidRPr="009E06AA">
              <w:rPr>
                <w:color w:val="000000"/>
              </w:rPr>
              <w:t>Open water</w:t>
            </w:r>
          </w:p>
        </w:tc>
        <w:tc>
          <w:tcPr>
            <w:tcW w:w="719" w:type="dxa"/>
            <w:shd w:val="clear" w:color="auto" w:fill="FFFFFF"/>
            <w:tcMar>
              <w:top w:w="0" w:type="dxa"/>
              <w:left w:w="57" w:type="dxa"/>
              <w:bottom w:w="0" w:type="dxa"/>
              <w:right w:w="57" w:type="dxa"/>
            </w:tcMar>
          </w:tcPr>
          <w:p w14:paraId="2929D060" w14:textId="77777777" w:rsidR="00053418" w:rsidRPr="009E06AA" w:rsidRDefault="00053418" w:rsidP="00F271D5">
            <w:pPr>
              <w:pStyle w:val="TableText"/>
              <w:jc w:val="right"/>
            </w:pPr>
            <w:r w:rsidRPr="009E06AA">
              <w:rPr>
                <w:color w:val="000000"/>
              </w:rPr>
              <w:t>14</w:t>
            </w:r>
          </w:p>
        </w:tc>
        <w:tc>
          <w:tcPr>
            <w:tcW w:w="719" w:type="dxa"/>
            <w:shd w:val="clear" w:color="auto" w:fill="FFFFFF"/>
            <w:tcMar>
              <w:top w:w="0" w:type="dxa"/>
              <w:left w:w="57" w:type="dxa"/>
              <w:bottom w:w="0" w:type="dxa"/>
              <w:right w:w="57" w:type="dxa"/>
            </w:tcMar>
          </w:tcPr>
          <w:p w14:paraId="442BC419"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5E0EC906"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7842D221"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36842BDB"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079351BF"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39B3B00E"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3D75CE3F"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6B761376" w14:textId="77777777" w:rsidR="00053418" w:rsidRPr="009E06AA" w:rsidRDefault="00053418" w:rsidP="00F271D5">
            <w:pPr>
              <w:pStyle w:val="TableText"/>
              <w:jc w:val="right"/>
            </w:pPr>
          </w:p>
        </w:tc>
        <w:tc>
          <w:tcPr>
            <w:tcW w:w="719" w:type="dxa"/>
            <w:shd w:val="clear" w:color="auto" w:fill="D2DDE1"/>
            <w:tcMar>
              <w:top w:w="0" w:type="dxa"/>
              <w:left w:w="57" w:type="dxa"/>
              <w:bottom w:w="0" w:type="dxa"/>
              <w:right w:w="57" w:type="dxa"/>
            </w:tcMar>
          </w:tcPr>
          <w:p w14:paraId="2BD58822" w14:textId="77777777" w:rsidR="00053418" w:rsidRPr="009E06AA" w:rsidRDefault="00053418" w:rsidP="00F271D5">
            <w:pPr>
              <w:pStyle w:val="TableText"/>
              <w:jc w:val="right"/>
            </w:pPr>
            <w:r w:rsidRPr="009E06AA">
              <w:rPr>
                <w:color w:val="000000"/>
              </w:rPr>
              <w:t>513</w:t>
            </w:r>
          </w:p>
        </w:tc>
        <w:tc>
          <w:tcPr>
            <w:tcW w:w="719" w:type="dxa"/>
            <w:shd w:val="clear" w:color="auto" w:fill="FFFFFF"/>
            <w:tcMar>
              <w:top w:w="0" w:type="dxa"/>
              <w:left w:w="57" w:type="dxa"/>
              <w:bottom w:w="0" w:type="dxa"/>
              <w:right w:w="57" w:type="dxa"/>
            </w:tcMar>
          </w:tcPr>
          <w:p w14:paraId="39D45A57"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229A9B37"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20415E21" w14:textId="77777777" w:rsidR="00053418" w:rsidRPr="009E06AA" w:rsidRDefault="00053418" w:rsidP="00F271D5">
            <w:pPr>
              <w:pStyle w:val="TableText"/>
              <w:jc w:val="right"/>
            </w:pPr>
          </w:p>
        </w:tc>
        <w:tc>
          <w:tcPr>
            <w:tcW w:w="1150" w:type="dxa"/>
            <w:shd w:val="clear" w:color="auto" w:fill="FFFFFF"/>
            <w:tcMar>
              <w:top w:w="0" w:type="dxa"/>
              <w:left w:w="57" w:type="dxa"/>
              <w:bottom w:w="0" w:type="dxa"/>
              <w:right w:w="57" w:type="dxa"/>
            </w:tcMar>
          </w:tcPr>
          <w:p w14:paraId="06C4E6F7" w14:textId="77777777" w:rsidR="00053418" w:rsidRPr="009E06AA" w:rsidRDefault="00053418" w:rsidP="00F271D5">
            <w:pPr>
              <w:pStyle w:val="TableText"/>
              <w:jc w:val="right"/>
            </w:pPr>
            <w:r w:rsidRPr="009E06AA">
              <w:rPr>
                <w:color w:val="000000"/>
              </w:rPr>
              <w:t>527</w:t>
            </w:r>
          </w:p>
        </w:tc>
      </w:tr>
      <w:tr w:rsidR="00053418" w:rsidRPr="009E06AA" w14:paraId="7172CF67" w14:textId="77777777" w:rsidTr="00B55F24">
        <w:tc>
          <w:tcPr>
            <w:tcW w:w="1151" w:type="dxa"/>
            <w:gridSpan w:val="2"/>
            <w:vMerge/>
            <w:shd w:val="clear" w:color="auto" w:fill="FFFFFF"/>
            <w:tcMar>
              <w:top w:w="0" w:type="dxa"/>
              <w:left w:w="57" w:type="dxa"/>
              <w:bottom w:w="0" w:type="dxa"/>
              <w:right w:w="57" w:type="dxa"/>
            </w:tcMar>
          </w:tcPr>
          <w:p w14:paraId="2849F62F" w14:textId="77777777" w:rsidR="00053418" w:rsidRPr="009E06AA" w:rsidRDefault="00053418" w:rsidP="00B55F24">
            <w:pPr>
              <w:pStyle w:val="TableText"/>
              <w:rPr>
                <w:b/>
                <w:bCs/>
              </w:rPr>
            </w:pPr>
          </w:p>
        </w:tc>
        <w:tc>
          <w:tcPr>
            <w:tcW w:w="2300" w:type="dxa"/>
            <w:shd w:val="clear" w:color="auto" w:fill="FFFFFF"/>
            <w:tcMar>
              <w:top w:w="0" w:type="dxa"/>
              <w:left w:w="57" w:type="dxa"/>
              <w:bottom w:w="0" w:type="dxa"/>
              <w:right w:w="57" w:type="dxa"/>
            </w:tcMar>
          </w:tcPr>
          <w:p w14:paraId="38762757" w14:textId="77777777" w:rsidR="00053418" w:rsidRPr="009E06AA" w:rsidRDefault="00053418" w:rsidP="00B55F24">
            <w:pPr>
              <w:pStyle w:val="TableText"/>
            </w:pPr>
            <w:r w:rsidRPr="009E06AA">
              <w:rPr>
                <w:color w:val="000000"/>
              </w:rPr>
              <w:t>Vegetated</w:t>
            </w:r>
          </w:p>
        </w:tc>
        <w:tc>
          <w:tcPr>
            <w:tcW w:w="719" w:type="dxa"/>
            <w:shd w:val="clear" w:color="auto" w:fill="FFFFFF"/>
            <w:tcMar>
              <w:top w:w="0" w:type="dxa"/>
              <w:left w:w="57" w:type="dxa"/>
              <w:bottom w:w="0" w:type="dxa"/>
              <w:right w:w="57" w:type="dxa"/>
            </w:tcMar>
          </w:tcPr>
          <w:p w14:paraId="27D00C46"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7373A0D5"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35EE0F8E"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08D77DF3"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4E079211"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137B7843"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02C14CE7"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4CAFF3FD"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153001FD"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6DC8FF8E" w14:textId="77777777" w:rsidR="00053418" w:rsidRPr="009E06AA" w:rsidRDefault="00053418" w:rsidP="00F271D5">
            <w:pPr>
              <w:pStyle w:val="TableText"/>
              <w:jc w:val="right"/>
            </w:pPr>
          </w:p>
        </w:tc>
        <w:tc>
          <w:tcPr>
            <w:tcW w:w="719" w:type="dxa"/>
            <w:shd w:val="clear" w:color="auto" w:fill="D2DDE1"/>
            <w:tcMar>
              <w:top w:w="0" w:type="dxa"/>
              <w:left w:w="57" w:type="dxa"/>
              <w:bottom w:w="0" w:type="dxa"/>
              <w:right w:w="57" w:type="dxa"/>
            </w:tcMar>
          </w:tcPr>
          <w:p w14:paraId="5300D0B6" w14:textId="77777777" w:rsidR="00053418" w:rsidRPr="009E06AA" w:rsidRDefault="00053418" w:rsidP="00F271D5">
            <w:pPr>
              <w:pStyle w:val="TableText"/>
              <w:jc w:val="right"/>
            </w:pPr>
            <w:r w:rsidRPr="009E06AA">
              <w:rPr>
                <w:color w:val="000000"/>
              </w:rPr>
              <w:t>254</w:t>
            </w:r>
          </w:p>
        </w:tc>
        <w:tc>
          <w:tcPr>
            <w:tcW w:w="719" w:type="dxa"/>
            <w:shd w:val="clear" w:color="auto" w:fill="FFFFFF"/>
            <w:tcMar>
              <w:top w:w="0" w:type="dxa"/>
              <w:left w:w="57" w:type="dxa"/>
              <w:bottom w:w="0" w:type="dxa"/>
              <w:right w:w="57" w:type="dxa"/>
            </w:tcMar>
          </w:tcPr>
          <w:p w14:paraId="6153C622"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65E4F565" w14:textId="77777777" w:rsidR="00053418" w:rsidRPr="009E06AA" w:rsidRDefault="00053418" w:rsidP="00F271D5">
            <w:pPr>
              <w:pStyle w:val="TableText"/>
              <w:jc w:val="right"/>
            </w:pPr>
          </w:p>
        </w:tc>
        <w:tc>
          <w:tcPr>
            <w:tcW w:w="1150" w:type="dxa"/>
            <w:shd w:val="clear" w:color="auto" w:fill="FFFFFF"/>
            <w:tcMar>
              <w:top w:w="0" w:type="dxa"/>
              <w:left w:w="57" w:type="dxa"/>
              <w:bottom w:w="0" w:type="dxa"/>
              <w:right w:w="57" w:type="dxa"/>
            </w:tcMar>
          </w:tcPr>
          <w:p w14:paraId="1BA704E0" w14:textId="77777777" w:rsidR="00053418" w:rsidRPr="009E06AA" w:rsidRDefault="00053418" w:rsidP="00F271D5">
            <w:pPr>
              <w:pStyle w:val="TableText"/>
              <w:jc w:val="right"/>
            </w:pPr>
            <w:r w:rsidRPr="009E06AA">
              <w:rPr>
                <w:color w:val="000000"/>
              </w:rPr>
              <w:t>254</w:t>
            </w:r>
          </w:p>
        </w:tc>
      </w:tr>
      <w:tr w:rsidR="00053418" w:rsidRPr="009E06AA" w14:paraId="23DFD0EB" w14:textId="77777777" w:rsidTr="00B55F24">
        <w:tc>
          <w:tcPr>
            <w:tcW w:w="1151" w:type="dxa"/>
            <w:gridSpan w:val="2"/>
            <w:shd w:val="clear" w:color="auto" w:fill="FFFFFF"/>
            <w:tcMar>
              <w:top w:w="0" w:type="dxa"/>
              <w:left w:w="57" w:type="dxa"/>
              <w:bottom w:w="0" w:type="dxa"/>
              <w:right w:w="57" w:type="dxa"/>
            </w:tcMar>
          </w:tcPr>
          <w:p w14:paraId="5C8B8DF0" w14:textId="77777777" w:rsidR="00053418" w:rsidRPr="009E06AA" w:rsidRDefault="00053418" w:rsidP="00B55F24">
            <w:pPr>
              <w:pStyle w:val="TableText"/>
              <w:rPr>
                <w:b/>
                <w:bCs/>
              </w:rPr>
            </w:pPr>
            <w:r w:rsidRPr="009E06AA">
              <w:rPr>
                <w:b/>
                <w:bCs/>
                <w:color w:val="000000"/>
              </w:rPr>
              <w:t>Settlements</w:t>
            </w:r>
          </w:p>
        </w:tc>
        <w:tc>
          <w:tcPr>
            <w:tcW w:w="2300" w:type="dxa"/>
            <w:shd w:val="clear" w:color="auto" w:fill="FFFFFF"/>
            <w:tcMar>
              <w:top w:w="0" w:type="dxa"/>
              <w:left w:w="57" w:type="dxa"/>
              <w:bottom w:w="0" w:type="dxa"/>
              <w:right w:w="57" w:type="dxa"/>
            </w:tcMar>
          </w:tcPr>
          <w:p w14:paraId="70D12333" w14:textId="77777777" w:rsidR="00053418" w:rsidRPr="009E06AA" w:rsidRDefault="00053418" w:rsidP="00B55F24">
            <w:pPr>
              <w:pStyle w:val="TableText"/>
            </w:pPr>
            <w:r w:rsidRPr="009E06AA">
              <w:rPr>
                <w:color w:val="000000"/>
              </w:rPr>
              <w:t>Settlements</w:t>
            </w:r>
          </w:p>
        </w:tc>
        <w:tc>
          <w:tcPr>
            <w:tcW w:w="719" w:type="dxa"/>
            <w:shd w:val="clear" w:color="auto" w:fill="FFFFFF"/>
            <w:tcMar>
              <w:top w:w="0" w:type="dxa"/>
              <w:left w:w="57" w:type="dxa"/>
              <w:bottom w:w="0" w:type="dxa"/>
              <w:right w:w="57" w:type="dxa"/>
            </w:tcMar>
          </w:tcPr>
          <w:p w14:paraId="224054C3" w14:textId="77777777" w:rsidR="00053418" w:rsidRPr="009E06AA" w:rsidRDefault="00053418" w:rsidP="00F271D5">
            <w:pPr>
              <w:pStyle w:val="TableText"/>
              <w:jc w:val="right"/>
            </w:pPr>
            <w:r w:rsidRPr="009E06AA">
              <w:rPr>
                <w:color w:val="000000"/>
              </w:rPr>
              <w:t>5</w:t>
            </w:r>
          </w:p>
        </w:tc>
        <w:tc>
          <w:tcPr>
            <w:tcW w:w="719" w:type="dxa"/>
            <w:shd w:val="clear" w:color="auto" w:fill="FFFFFF"/>
            <w:tcMar>
              <w:top w:w="0" w:type="dxa"/>
              <w:left w:w="57" w:type="dxa"/>
              <w:bottom w:w="0" w:type="dxa"/>
              <w:right w:w="57" w:type="dxa"/>
            </w:tcMar>
          </w:tcPr>
          <w:p w14:paraId="190092C9"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460BE99C"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520DCF2D"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76D1D274" w14:textId="77777777" w:rsidR="00053418" w:rsidRPr="009E06AA" w:rsidRDefault="00053418" w:rsidP="00F271D5">
            <w:pPr>
              <w:pStyle w:val="TableText"/>
              <w:jc w:val="right"/>
            </w:pPr>
            <w:r w:rsidRPr="009E06AA">
              <w:rPr>
                <w:color w:val="000000"/>
              </w:rPr>
              <w:t>6</w:t>
            </w:r>
          </w:p>
        </w:tc>
        <w:tc>
          <w:tcPr>
            <w:tcW w:w="719" w:type="dxa"/>
            <w:shd w:val="clear" w:color="auto" w:fill="FFFFFF"/>
            <w:tcMar>
              <w:top w:w="0" w:type="dxa"/>
              <w:left w:w="57" w:type="dxa"/>
              <w:bottom w:w="0" w:type="dxa"/>
              <w:right w:w="57" w:type="dxa"/>
            </w:tcMar>
          </w:tcPr>
          <w:p w14:paraId="6A839590"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550DA508" w14:textId="77777777" w:rsidR="00053418" w:rsidRPr="009E06AA" w:rsidRDefault="00053418" w:rsidP="00F271D5">
            <w:pPr>
              <w:pStyle w:val="TableText"/>
              <w:jc w:val="right"/>
            </w:pPr>
            <w:r w:rsidRPr="009E06AA">
              <w:rPr>
                <w:color w:val="000000"/>
              </w:rPr>
              <w:t>7</w:t>
            </w:r>
          </w:p>
        </w:tc>
        <w:tc>
          <w:tcPr>
            <w:tcW w:w="719" w:type="dxa"/>
            <w:shd w:val="clear" w:color="auto" w:fill="FFFFFF"/>
            <w:tcMar>
              <w:top w:w="0" w:type="dxa"/>
              <w:left w:w="57" w:type="dxa"/>
              <w:bottom w:w="0" w:type="dxa"/>
              <w:right w:w="57" w:type="dxa"/>
            </w:tcMar>
          </w:tcPr>
          <w:p w14:paraId="0780F715" w14:textId="77777777" w:rsidR="00053418" w:rsidRPr="009E06AA" w:rsidRDefault="00053418" w:rsidP="00F271D5">
            <w:pPr>
              <w:pStyle w:val="TableText"/>
              <w:jc w:val="right"/>
            </w:pPr>
            <w:r w:rsidRPr="009E06AA">
              <w:rPr>
                <w:color w:val="000000"/>
              </w:rPr>
              <w:t>4</w:t>
            </w:r>
          </w:p>
        </w:tc>
        <w:tc>
          <w:tcPr>
            <w:tcW w:w="719" w:type="dxa"/>
            <w:shd w:val="clear" w:color="auto" w:fill="FFFFFF"/>
            <w:tcMar>
              <w:top w:w="0" w:type="dxa"/>
              <w:left w:w="57" w:type="dxa"/>
              <w:bottom w:w="0" w:type="dxa"/>
              <w:right w:w="57" w:type="dxa"/>
            </w:tcMar>
          </w:tcPr>
          <w:p w14:paraId="79938591" w14:textId="77777777" w:rsidR="00053418" w:rsidRPr="009E06AA" w:rsidRDefault="00053418" w:rsidP="00F271D5">
            <w:pPr>
              <w:pStyle w:val="TableText"/>
              <w:jc w:val="right"/>
            </w:pPr>
            <w:r w:rsidRPr="009E06AA">
              <w:rPr>
                <w:color w:val="000000"/>
              </w:rPr>
              <w:t>1</w:t>
            </w:r>
          </w:p>
        </w:tc>
        <w:tc>
          <w:tcPr>
            <w:tcW w:w="719" w:type="dxa"/>
            <w:shd w:val="clear" w:color="auto" w:fill="FFFFFF"/>
            <w:tcMar>
              <w:top w:w="0" w:type="dxa"/>
              <w:left w:w="57" w:type="dxa"/>
              <w:bottom w:w="0" w:type="dxa"/>
              <w:right w:w="57" w:type="dxa"/>
            </w:tcMar>
          </w:tcPr>
          <w:p w14:paraId="2B77FA92"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34D48649" w14:textId="77777777" w:rsidR="00053418" w:rsidRPr="009E06AA" w:rsidRDefault="00053418" w:rsidP="00F271D5">
            <w:pPr>
              <w:pStyle w:val="TableText"/>
              <w:jc w:val="right"/>
            </w:pPr>
          </w:p>
        </w:tc>
        <w:tc>
          <w:tcPr>
            <w:tcW w:w="719" w:type="dxa"/>
            <w:shd w:val="clear" w:color="auto" w:fill="D2DDE1"/>
            <w:tcMar>
              <w:top w:w="0" w:type="dxa"/>
              <w:left w:w="57" w:type="dxa"/>
              <w:bottom w:w="0" w:type="dxa"/>
              <w:right w:w="57" w:type="dxa"/>
            </w:tcMar>
          </w:tcPr>
          <w:p w14:paraId="583070CA" w14:textId="77777777" w:rsidR="00053418" w:rsidRPr="009E06AA" w:rsidRDefault="00053418" w:rsidP="00F271D5">
            <w:pPr>
              <w:pStyle w:val="TableText"/>
              <w:jc w:val="right"/>
            </w:pPr>
            <w:r w:rsidRPr="009E06AA">
              <w:rPr>
                <w:color w:val="000000"/>
              </w:rPr>
              <w:t>185</w:t>
            </w:r>
          </w:p>
        </w:tc>
        <w:tc>
          <w:tcPr>
            <w:tcW w:w="719" w:type="dxa"/>
            <w:shd w:val="clear" w:color="auto" w:fill="FFFFFF"/>
            <w:tcMar>
              <w:top w:w="0" w:type="dxa"/>
              <w:left w:w="57" w:type="dxa"/>
              <w:bottom w:w="0" w:type="dxa"/>
              <w:right w:w="57" w:type="dxa"/>
            </w:tcMar>
          </w:tcPr>
          <w:p w14:paraId="5563E028" w14:textId="77777777" w:rsidR="00053418" w:rsidRPr="009E06AA" w:rsidRDefault="00053418" w:rsidP="00F271D5">
            <w:pPr>
              <w:pStyle w:val="TableText"/>
              <w:jc w:val="right"/>
            </w:pPr>
          </w:p>
        </w:tc>
        <w:tc>
          <w:tcPr>
            <w:tcW w:w="1150" w:type="dxa"/>
            <w:shd w:val="clear" w:color="auto" w:fill="FFFFFF"/>
            <w:tcMar>
              <w:top w:w="0" w:type="dxa"/>
              <w:left w:w="57" w:type="dxa"/>
              <w:bottom w:w="0" w:type="dxa"/>
              <w:right w:w="57" w:type="dxa"/>
            </w:tcMar>
          </w:tcPr>
          <w:p w14:paraId="739B3226" w14:textId="77777777" w:rsidR="00053418" w:rsidRPr="009E06AA" w:rsidRDefault="00053418" w:rsidP="00F271D5">
            <w:pPr>
              <w:pStyle w:val="TableText"/>
              <w:jc w:val="right"/>
            </w:pPr>
            <w:r w:rsidRPr="009E06AA">
              <w:rPr>
                <w:color w:val="000000"/>
              </w:rPr>
              <w:t>208</w:t>
            </w:r>
          </w:p>
        </w:tc>
      </w:tr>
      <w:tr w:rsidR="00053418" w:rsidRPr="009E06AA" w14:paraId="12764F96" w14:textId="77777777" w:rsidTr="00B55F24">
        <w:tc>
          <w:tcPr>
            <w:tcW w:w="1151" w:type="dxa"/>
            <w:gridSpan w:val="2"/>
            <w:shd w:val="clear" w:color="auto" w:fill="FFFFFF"/>
            <w:tcMar>
              <w:top w:w="0" w:type="dxa"/>
              <w:left w:w="57" w:type="dxa"/>
              <w:bottom w:w="0" w:type="dxa"/>
              <w:right w:w="57" w:type="dxa"/>
            </w:tcMar>
          </w:tcPr>
          <w:p w14:paraId="5C5E9D9D" w14:textId="77777777" w:rsidR="00053418" w:rsidRPr="009E06AA" w:rsidRDefault="00053418" w:rsidP="00B55F24">
            <w:pPr>
              <w:pStyle w:val="TableText"/>
              <w:rPr>
                <w:b/>
                <w:bCs/>
              </w:rPr>
            </w:pPr>
            <w:r w:rsidRPr="009E06AA">
              <w:rPr>
                <w:b/>
                <w:bCs/>
                <w:color w:val="000000"/>
              </w:rPr>
              <w:t>Other land</w:t>
            </w:r>
          </w:p>
        </w:tc>
        <w:tc>
          <w:tcPr>
            <w:tcW w:w="2300" w:type="dxa"/>
            <w:shd w:val="clear" w:color="auto" w:fill="FFFFFF"/>
            <w:tcMar>
              <w:top w:w="0" w:type="dxa"/>
              <w:left w:w="57" w:type="dxa"/>
              <w:bottom w:w="0" w:type="dxa"/>
              <w:right w:w="57" w:type="dxa"/>
            </w:tcMar>
          </w:tcPr>
          <w:p w14:paraId="34D16C7F" w14:textId="77777777" w:rsidR="00053418" w:rsidRPr="009E06AA" w:rsidRDefault="00053418" w:rsidP="00B55F24">
            <w:pPr>
              <w:pStyle w:val="TableText"/>
            </w:pPr>
            <w:r w:rsidRPr="009E06AA">
              <w:rPr>
                <w:color w:val="000000"/>
              </w:rPr>
              <w:t>Other land</w:t>
            </w:r>
          </w:p>
        </w:tc>
        <w:tc>
          <w:tcPr>
            <w:tcW w:w="719" w:type="dxa"/>
            <w:shd w:val="clear" w:color="auto" w:fill="FFFFFF"/>
            <w:tcMar>
              <w:top w:w="0" w:type="dxa"/>
              <w:left w:w="57" w:type="dxa"/>
              <w:bottom w:w="0" w:type="dxa"/>
              <w:right w:w="57" w:type="dxa"/>
            </w:tcMar>
          </w:tcPr>
          <w:p w14:paraId="613C2385"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5B2B87EC"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300A4413"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14E2507E"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49369F1B"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4F82A487"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61EEA116"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1AA6C53A"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0AE8FBB2"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270C82EE"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26079ED5" w14:textId="77777777" w:rsidR="00053418" w:rsidRPr="009E06AA" w:rsidRDefault="00053418" w:rsidP="00F271D5">
            <w:pPr>
              <w:pStyle w:val="TableText"/>
              <w:jc w:val="right"/>
            </w:pPr>
          </w:p>
        </w:tc>
        <w:tc>
          <w:tcPr>
            <w:tcW w:w="719" w:type="dxa"/>
            <w:shd w:val="clear" w:color="auto" w:fill="FFFFFF"/>
            <w:tcMar>
              <w:top w:w="0" w:type="dxa"/>
              <w:left w:w="57" w:type="dxa"/>
              <w:bottom w:w="0" w:type="dxa"/>
              <w:right w:w="57" w:type="dxa"/>
            </w:tcMar>
          </w:tcPr>
          <w:p w14:paraId="0D6517F7" w14:textId="77777777" w:rsidR="00053418" w:rsidRPr="009E06AA" w:rsidRDefault="00053418" w:rsidP="00F271D5">
            <w:pPr>
              <w:pStyle w:val="TableText"/>
              <w:jc w:val="right"/>
            </w:pPr>
          </w:p>
        </w:tc>
        <w:tc>
          <w:tcPr>
            <w:tcW w:w="719" w:type="dxa"/>
            <w:shd w:val="clear" w:color="auto" w:fill="D2DDE1"/>
            <w:tcMar>
              <w:top w:w="0" w:type="dxa"/>
              <w:left w:w="57" w:type="dxa"/>
              <w:bottom w:w="0" w:type="dxa"/>
              <w:right w:w="57" w:type="dxa"/>
            </w:tcMar>
          </w:tcPr>
          <w:p w14:paraId="7A551640" w14:textId="77777777" w:rsidR="00053418" w:rsidRPr="009E06AA" w:rsidRDefault="00053418" w:rsidP="00F271D5">
            <w:pPr>
              <w:pStyle w:val="TableText"/>
              <w:jc w:val="right"/>
            </w:pPr>
            <w:r w:rsidRPr="009E06AA">
              <w:rPr>
                <w:color w:val="000000"/>
              </w:rPr>
              <w:t>896</w:t>
            </w:r>
          </w:p>
        </w:tc>
        <w:tc>
          <w:tcPr>
            <w:tcW w:w="1150" w:type="dxa"/>
            <w:shd w:val="clear" w:color="auto" w:fill="FFFFFF"/>
            <w:tcMar>
              <w:top w:w="0" w:type="dxa"/>
              <w:left w:w="57" w:type="dxa"/>
              <w:bottom w:w="0" w:type="dxa"/>
              <w:right w:w="57" w:type="dxa"/>
            </w:tcMar>
          </w:tcPr>
          <w:p w14:paraId="2D4385F2" w14:textId="77777777" w:rsidR="00053418" w:rsidRPr="009E06AA" w:rsidRDefault="00053418" w:rsidP="00F271D5">
            <w:pPr>
              <w:pStyle w:val="TableText"/>
              <w:jc w:val="right"/>
            </w:pPr>
            <w:r w:rsidRPr="009E06AA">
              <w:rPr>
                <w:color w:val="000000"/>
              </w:rPr>
              <w:t>896</w:t>
            </w:r>
          </w:p>
        </w:tc>
      </w:tr>
      <w:tr w:rsidR="00053418" w:rsidRPr="009E06AA" w14:paraId="3F563669" w14:textId="77777777" w:rsidTr="00B55F24">
        <w:tc>
          <w:tcPr>
            <w:tcW w:w="3451" w:type="dxa"/>
            <w:gridSpan w:val="3"/>
            <w:shd w:val="clear" w:color="auto" w:fill="FFFFFF"/>
            <w:tcMar>
              <w:top w:w="0" w:type="dxa"/>
              <w:left w:w="57" w:type="dxa"/>
              <w:bottom w:w="0" w:type="dxa"/>
              <w:right w:w="57" w:type="dxa"/>
            </w:tcMar>
          </w:tcPr>
          <w:p w14:paraId="5FD7E995" w14:textId="77777777" w:rsidR="00053418" w:rsidRPr="009E06AA" w:rsidRDefault="00053418" w:rsidP="00B55F24">
            <w:pPr>
              <w:pStyle w:val="TableText"/>
              <w:rPr>
                <w:b/>
                <w:bCs/>
              </w:rPr>
            </w:pPr>
            <w:r w:rsidRPr="009E06AA">
              <w:rPr>
                <w:b/>
                <w:bCs/>
                <w:color w:val="1B556B"/>
              </w:rPr>
              <w:t>Area as at 1 Jan 1962 (kha)</w:t>
            </w:r>
          </w:p>
        </w:tc>
        <w:tc>
          <w:tcPr>
            <w:tcW w:w="719" w:type="dxa"/>
            <w:shd w:val="clear" w:color="auto" w:fill="FFFFFF"/>
            <w:tcMar>
              <w:top w:w="0" w:type="dxa"/>
              <w:left w:w="57" w:type="dxa"/>
              <w:bottom w:w="0" w:type="dxa"/>
              <w:right w:w="57" w:type="dxa"/>
            </w:tcMar>
          </w:tcPr>
          <w:p w14:paraId="7928ECE4" w14:textId="77777777" w:rsidR="00053418" w:rsidRPr="009E06AA" w:rsidRDefault="00053418" w:rsidP="00F271D5">
            <w:pPr>
              <w:pStyle w:val="TableText"/>
              <w:jc w:val="right"/>
              <w:rPr>
                <w:b/>
                <w:bCs/>
              </w:rPr>
            </w:pPr>
            <w:r w:rsidRPr="009E06AA">
              <w:rPr>
                <w:b/>
                <w:bCs/>
                <w:color w:val="1B556B"/>
              </w:rPr>
              <w:t>8,683</w:t>
            </w:r>
          </w:p>
        </w:tc>
        <w:tc>
          <w:tcPr>
            <w:tcW w:w="719" w:type="dxa"/>
            <w:shd w:val="clear" w:color="auto" w:fill="FFFFFF"/>
            <w:tcMar>
              <w:top w:w="0" w:type="dxa"/>
              <w:left w:w="57" w:type="dxa"/>
              <w:bottom w:w="0" w:type="dxa"/>
              <w:right w:w="57" w:type="dxa"/>
            </w:tcMar>
          </w:tcPr>
          <w:p w14:paraId="3214D905" w14:textId="77777777" w:rsidR="00053418" w:rsidRPr="009E06AA" w:rsidRDefault="00053418" w:rsidP="00F271D5">
            <w:pPr>
              <w:pStyle w:val="TableText"/>
              <w:jc w:val="right"/>
              <w:rPr>
                <w:b/>
                <w:bCs/>
              </w:rPr>
            </w:pPr>
            <w:r w:rsidRPr="009E06AA">
              <w:rPr>
                <w:b/>
                <w:bCs/>
                <w:color w:val="1B556B"/>
              </w:rPr>
              <w:t>452</w:t>
            </w:r>
          </w:p>
        </w:tc>
        <w:tc>
          <w:tcPr>
            <w:tcW w:w="719" w:type="dxa"/>
            <w:shd w:val="clear" w:color="auto" w:fill="FFFFFF"/>
            <w:tcMar>
              <w:top w:w="0" w:type="dxa"/>
              <w:left w:w="57" w:type="dxa"/>
              <w:bottom w:w="0" w:type="dxa"/>
              <w:right w:w="57" w:type="dxa"/>
            </w:tcMar>
          </w:tcPr>
          <w:p w14:paraId="64D667C3" w14:textId="77777777" w:rsidR="00053418" w:rsidRPr="009E06AA" w:rsidRDefault="00053418" w:rsidP="00F271D5">
            <w:pPr>
              <w:pStyle w:val="TableText"/>
              <w:jc w:val="right"/>
              <w:rPr>
                <w:b/>
                <w:bCs/>
              </w:rPr>
            </w:pPr>
          </w:p>
        </w:tc>
        <w:tc>
          <w:tcPr>
            <w:tcW w:w="719" w:type="dxa"/>
            <w:shd w:val="clear" w:color="auto" w:fill="FFFFFF"/>
            <w:tcMar>
              <w:top w:w="0" w:type="dxa"/>
              <w:left w:w="57" w:type="dxa"/>
              <w:bottom w:w="0" w:type="dxa"/>
              <w:right w:w="57" w:type="dxa"/>
            </w:tcMar>
          </w:tcPr>
          <w:p w14:paraId="1057809B" w14:textId="77777777" w:rsidR="00053418" w:rsidRPr="009E06AA" w:rsidRDefault="00053418" w:rsidP="00F271D5">
            <w:pPr>
              <w:pStyle w:val="TableText"/>
              <w:jc w:val="right"/>
              <w:rPr>
                <w:b/>
                <w:bCs/>
              </w:rPr>
            </w:pPr>
          </w:p>
        </w:tc>
        <w:tc>
          <w:tcPr>
            <w:tcW w:w="719" w:type="dxa"/>
            <w:shd w:val="clear" w:color="auto" w:fill="FFFFFF"/>
            <w:tcMar>
              <w:top w:w="0" w:type="dxa"/>
              <w:left w:w="57" w:type="dxa"/>
              <w:bottom w:w="0" w:type="dxa"/>
              <w:right w:w="57" w:type="dxa"/>
            </w:tcMar>
          </w:tcPr>
          <w:p w14:paraId="07ED68D8" w14:textId="77777777" w:rsidR="00053418" w:rsidRPr="009E06AA" w:rsidRDefault="00053418" w:rsidP="00F271D5">
            <w:pPr>
              <w:pStyle w:val="TableText"/>
              <w:jc w:val="right"/>
              <w:rPr>
                <w:b/>
                <w:bCs/>
              </w:rPr>
            </w:pPr>
            <w:r w:rsidRPr="009E06AA">
              <w:rPr>
                <w:b/>
                <w:bCs/>
                <w:color w:val="1B556B"/>
              </w:rPr>
              <w:t>355</w:t>
            </w:r>
          </w:p>
        </w:tc>
        <w:tc>
          <w:tcPr>
            <w:tcW w:w="719" w:type="dxa"/>
            <w:shd w:val="clear" w:color="auto" w:fill="FFFFFF"/>
            <w:tcMar>
              <w:top w:w="0" w:type="dxa"/>
              <w:left w:w="57" w:type="dxa"/>
              <w:bottom w:w="0" w:type="dxa"/>
              <w:right w:w="57" w:type="dxa"/>
            </w:tcMar>
          </w:tcPr>
          <w:p w14:paraId="39DBD23A" w14:textId="77777777" w:rsidR="00053418" w:rsidRPr="009E06AA" w:rsidRDefault="00053418" w:rsidP="00F271D5">
            <w:pPr>
              <w:pStyle w:val="TableText"/>
              <w:jc w:val="right"/>
              <w:rPr>
                <w:b/>
                <w:bCs/>
              </w:rPr>
            </w:pPr>
            <w:r w:rsidRPr="009E06AA">
              <w:rPr>
                <w:b/>
                <w:bCs/>
                <w:color w:val="1B556B"/>
              </w:rPr>
              <w:t>78</w:t>
            </w:r>
          </w:p>
        </w:tc>
        <w:tc>
          <w:tcPr>
            <w:tcW w:w="719" w:type="dxa"/>
            <w:shd w:val="clear" w:color="auto" w:fill="FFFFFF"/>
            <w:tcMar>
              <w:top w:w="0" w:type="dxa"/>
              <w:left w:w="57" w:type="dxa"/>
              <w:bottom w:w="0" w:type="dxa"/>
              <w:right w:w="57" w:type="dxa"/>
            </w:tcMar>
          </w:tcPr>
          <w:p w14:paraId="411CD7E8" w14:textId="77777777" w:rsidR="00053418" w:rsidRPr="009E06AA" w:rsidRDefault="00053418" w:rsidP="00F271D5">
            <w:pPr>
              <w:pStyle w:val="TableText"/>
              <w:jc w:val="right"/>
              <w:rPr>
                <w:b/>
                <w:bCs/>
              </w:rPr>
            </w:pPr>
            <w:r w:rsidRPr="009E06AA">
              <w:rPr>
                <w:b/>
                <w:bCs/>
                <w:color w:val="1B556B"/>
              </w:rPr>
              <w:t>4,842</w:t>
            </w:r>
          </w:p>
        </w:tc>
        <w:tc>
          <w:tcPr>
            <w:tcW w:w="719" w:type="dxa"/>
            <w:shd w:val="clear" w:color="auto" w:fill="FFFFFF"/>
            <w:tcMar>
              <w:top w:w="0" w:type="dxa"/>
              <w:left w:w="57" w:type="dxa"/>
              <w:bottom w:w="0" w:type="dxa"/>
              <w:right w:w="57" w:type="dxa"/>
            </w:tcMar>
          </w:tcPr>
          <w:p w14:paraId="0A93BB26" w14:textId="77777777" w:rsidR="00053418" w:rsidRPr="009E06AA" w:rsidRDefault="00053418" w:rsidP="00F271D5">
            <w:pPr>
              <w:pStyle w:val="TableText"/>
              <w:jc w:val="right"/>
              <w:rPr>
                <w:b/>
                <w:bCs/>
              </w:rPr>
            </w:pPr>
            <w:r w:rsidRPr="009E06AA">
              <w:rPr>
                <w:b/>
                <w:bCs/>
                <w:color w:val="1B556B"/>
              </w:rPr>
              <w:t>8,816</w:t>
            </w:r>
          </w:p>
        </w:tc>
        <w:tc>
          <w:tcPr>
            <w:tcW w:w="719" w:type="dxa"/>
            <w:shd w:val="clear" w:color="auto" w:fill="FFFFFF"/>
            <w:tcMar>
              <w:top w:w="0" w:type="dxa"/>
              <w:left w:w="57" w:type="dxa"/>
              <w:bottom w:w="0" w:type="dxa"/>
              <w:right w:w="57" w:type="dxa"/>
            </w:tcMar>
          </w:tcPr>
          <w:p w14:paraId="607F4871" w14:textId="77777777" w:rsidR="00053418" w:rsidRPr="009E06AA" w:rsidRDefault="00053418" w:rsidP="00F271D5">
            <w:pPr>
              <w:pStyle w:val="TableText"/>
              <w:jc w:val="right"/>
              <w:rPr>
                <w:b/>
                <w:bCs/>
              </w:rPr>
            </w:pPr>
            <w:r w:rsidRPr="009E06AA">
              <w:rPr>
                <w:b/>
                <w:bCs/>
                <w:color w:val="1B556B"/>
              </w:rPr>
              <w:t>1,753</w:t>
            </w:r>
          </w:p>
        </w:tc>
        <w:tc>
          <w:tcPr>
            <w:tcW w:w="719" w:type="dxa"/>
            <w:shd w:val="clear" w:color="auto" w:fill="FFFFFF"/>
            <w:tcMar>
              <w:top w:w="0" w:type="dxa"/>
              <w:left w:w="57" w:type="dxa"/>
              <w:bottom w:w="0" w:type="dxa"/>
              <w:right w:w="57" w:type="dxa"/>
            </w:tcMar>
          </w:tcPr>
          <w:p w14:paraId="0E0AF444" w14:textId="77777777" w:rsidR="00053418" w:rsidRPr="009E06AA" w:rsidRDefault="00053418" w:rsidP="00F271D5">
            <w:pPr>
              <w:pStyle w:val="TableText"/>
              <w:jc w:val="right"/>
              <w:rPr>
                <w:b/>
                <w:bCs/>
              </w:rPr>
            </w:pPr>
            <w:r w:rsidRPr="009E06AA">
              <w:rPr>
                <w:b/>
                <w:bCs/>
                <w:color w:val="1B556B"/>
              </w:rPr>
              <w:t>513</w:t>
            </w:r>
          </w:p>
        </w:tc>
        <w:tc>
          <w:tcPr>
            <w:tcW w:w="719" w:type="dxa"/>
            <w:shd w:val="clear" w:color="auto" w:fill="FFFFFF"/>
            <w:tcMar>
              <w:top w:w="0" w:type="dxa"/>
              <w:left w:w="57" w:type="dxa"/>
              <w:bottom w:w="0" w:type="dxa"/>
              <w:right w:w="57" w:type="dxa"/>
            </w:tcMar>
          </w:tcPr>
          <w:p w14:paraId="554986AE" w14:textId="77777777" w:rsidR="00053418" w:rsidRPr="009E06AA" w:rsidRDefault="00053418" w:rsidP="00F271D5">
            <w:pPr>
              <w:pStyle w:val="TableText"/>
              <w:jc w:val="right"/>
              <w:rPr>
                <w:b/>
                <w:bCs/>
              </w:rPr>
            </w:pPr>
            <w:r w:rsidRPr="009E06AA">
              <w:rPr>
                <w:b/>
                <w:bCs/>
                <w:color w:val="1B556B"/>
              </w:rPr>
              <w:t>351</w:t>
            </w:r>
          </w:p>
        </w:tc>
        <w:tc>
          <w:tcPr>
            <w:tcW w:w="719" w:type="dxa"/>
            <w:shd w:val="clear" w:color="auto" w:fill="FFFFFF"/>
            <w:tcMar>
              <w:top w:w="0" w:type="dxa"/>
              <w:left w:w="57" w:type="dxa"/>
              <w:bottom w:w="0" w:type="dxa"/>
              <w:right w:w="57" w:type="dxa"/>
            </w:tcMar>
          </w:tcPr>
          <w:p w14:paraId="00C0A0F9" w14:textId="77777777" w:rsidR="00053418" w:rsidRPr="009E06AA" w:rsidRDefault="00053418" w:rsidP="00F271D5">
            <w:pPr>
              <w:pStyle w:val="TableText"/>
              <w:jc w:val="right"/>
              <w:rPr>
                <w:b/>
                <w:bCs/>
              </w:rPr>
            </w:pPr>
            <w:r w:rsidRPr="009E06AA">
              <w:rPr>
                <w:b/>
                <w:bCs/>
                <w:color w:val="1B556B"/>
              </w:rPr>
              <w:t>185</w:t>
            </w:r>
          </w:p>
        </w:tc>
        <w:tc>
          <w:tcPr>
            <w:tcW w:w="719" w:type="dxa"/>
            <w:shd w:val="clear" w:color="auto" w:fill="FFFFFF"/>
            <w:tcMar>
              <w:top w:w="0" w:type="dxa"/>
              <w:left w:w="57" w:type="dxa"/>
              <w:bottom w:w="0" w:type="dxa"/>
              <w:right w:w="57" w:type="dxa"/>
            </w:tcMar>
          </w:tcPr>
          <w:p w14:paraId="78EC292D" w14:textId="77777777" w:rsidR="00053418" w:rsidRPr="009E06AA" w:rsidRDefault="00053418" w:rsidP="00F271D5">
            <w:pPr>
              <w:pStyle w:val="TableText"/>
              <w:jc w:val="right"/>
              <w:rPr>
                <w:b/>
                <w:bCs/>
              </w:rPr>
            </w:pPr>
            <w:r w:rsidRPr="009E06AA">
              <w:rPr>
                <w:b/>
                <w:bCs/>
                <w:color w:val="1B556B"/>
              </w:rPr>
              <w:t>896</w:t>
            </w:r>
          </w:p>
        </w:tc>
        <w:tc>
          <w:tcPr>
            <w:tcW w:w="1150" w:type="dxa"/>
            <w:shd w:val="clear" w:color="auto" w:fill="D2DDE1"/>
            <w:tcMar>
              <w:top w:w="0" w:type="dxa"/>
              <w:left w:w="57" w:type="dxa"/>
              <w:bottom w:w="0" w:type="dxa"/>
              <w:right w:w="57" w:type="dxa"/>
            </w:tcMar>
          </w:tcPr>
          <w:p w14:paraId="16F49072" w14:textId="77777777" w:rsidR="00053418" w:rsidRPr="009E06AA" w:rsidRDefault="00053418" w:rsidP="00F271D5">
            <w:pPr>
              <w:pStyle w:val="TableText"/>
              <w:jc w:val="right"/>
              <w:rPr>
                <w:b/>
                <w:bCs/>
              </w:rPr>
            </w:pPr>
            <w:r w:rsidRPr="009E06AA">
              <w:rPr>
                <w:b/>
                <w:bCs/>
                <w:color w:val="1B556B"/>
              </w:rPr>
              <w:t>26,925</w:t>
            </w:r>
          </w:p>
        </w:tc>
      </w:tr>
      <w:tr w:rsidR="00053418" w:rsidRPr="009E06AA" w14:paraId="22A07BEB" w14:textId="77777777" w:rsidTr="00B55F24">
        <w:tc>
          <w:tcPr>
            <w:tcW w:w="3451" w:type="dxa"/>
            <w:gridSpan w:val="3"/>
            <w:shd w:val="clear" w:color="auto" w:fill="FFFFFF"/>
            <w:tcMar>
              <w:top w:w="0" w:type="dxa"/>
              <w:left w:w="57" w:type="dxa"/>
              <w:bottom w:w="0" w:type="dxa"/>
              <w:right w:w="57" w:type="dxa"/>
            </w:tcMar>
          </w:tcPr>
          <w:p w14:paraId="6972418B" w14:textId="77777777" w:rsidR="00053418" w:rsidRPr="009E06AA" w:rsidRDefault="00053418" w:rsidP="00B55F24">
            <w:pPr>
              <w:pStyle w:val="TableText"/>
              <w:rPr>
                <w:b/>
                <w:bCs/>
              </w:rPr>
            </w:pPr>
            <w:r w:rsidRPr="009E06AA">
              <w:rPr>
                <w:b/>
                <w:bCs/>
                <w:color w:val="1B556B"/>
              </w:rPr>
              <w:t>Net change 1 Jan 1962–31 Dec 1989</w:t>
            </w:r>
          </w:p>
        </w:tc>
        <w:tc>
          <w:tcPr>
            <w:tcW w:w="719" w:type="dxa"/>
            <w:shd w:val="clear" w:color="auto" w:fill="FFFFFF"/>
            <w:tcMar>
              <w:top w:w="0" w:type="dxa"/>
              <w:left w:w="57" w:type="dxa"/>
              <w:bottom w:w="0" w:type="dxa"/>
              <w:right w:w="57" w:type="dxa"/>
            </w:tcMar>
          </w:tcPr>
          <w:p w14:paraId="5F4964CF" w14:textId="77777777" w:rsidR="00053418" w:rsidRPr="009E06AA" w:rsidRDefault="00053418" w:rsidP="00F271D5">
            <w:pPr>
              <w:pStyle w:val="TableText"/>
              <w:jc w:val="right"/>
              <w:rPr>
                <w:b/>
                <w:bCs/>
              </w:rPr>
            </w:pPr>
            <w:r w:rsidRPr="009E06AA">
              <w:rPr>
                <w:b/>
                <w:bCs/>
                <w:color w:val="1B556B"/>
              </w:rPr>
              <w:t>-866</w:t>
            </w:r>
          </w:p>
        </w:tc>
        <w:tc>
          <w:tcPr>
            <w:tcW w:w="719" w:type="dxa"/>
            <w:shd w:val="clear" w:color="auto" w:fill="FFFFFF"/>
            <w:tcMar>
              <w:top w:w="0" w:type="dxa"/>
              <w:left w:w="57" w:type="dxa"/>
              <w:bottom w:w="0" w:type="dxa"/>
              <w:right w:w="57" w:type="dxa"/>
            </w:tcMar>
          </w:tcPr>
          <w:p w14:paraId="1DAD47F2" w14:textId="77777777" w:rsidR="00053418" w:rsidRPr="009E06AA" w:rsidRDefault="00053418" w:rsidP="00F271D5">
            <w:pPr>
              <w:pStyle w:val="TableText"/>
              <w:jc w:val="right"/>
              <w:rPr>
                <w:b/>
                <w:bCs/>
              </w:rPr>
            </w:pPr>
            <w:r w:rsidRPr="009E06AA">
              <w:rPr>
                <w:b/>
                <w:bCs/>
                <w:color w:val="1B556B"/>
              </w:rPr>
              <w:t>1,092</w:t>
            </w:r>
          </w:p>
        </w:tc>
        <w:tc>
          <w:tcPr>
            <w:tcW w:w="719" w:type="dxa"/>
            <w:shd w:val="clear" w:color="auto" w:fill="FFFFFF"/>
            <w:tcMar>
              <w:top w:w="0" w:type="dxa"/>
              <w:left w:w="57" w:type="dxa"/>
              <w:bottom w:w="0" w:type="dxa"/>
              <w:right w:w="57" w:type="dxa"/>
            </w:tcMar>
          </w:tcPr>
          <w:p w14:paraId="1BADD43A" w14:textId="77777777" w:rsidR="00053418" w:rsidRPr="009E06AA" w:rsidRDefault="00053418" w:rsidP="00F271D5">
            <w:pPr>
              <w:pStyle w:val="TableText"/>
              <w:jc w:val="right"/>
              <w:rPr>
                <w:b/>
                <w:bCs/>
              </w:rPr>
            </w:pPr>
          </w:p>
        </w:tc>
        <w:tc>
          <w:tcPr>
            <w:tcW w:w="719" w:type="dxa"/>
            <w:shd w:val="clear" w:color="auto" w:fill="FFFFFF"/>
            <w:tcMar>
              <w:top w:w="0" w:type="dxa"/>
              <w:left w:w="57" w:type="dxa"/>
              <w:bottom w:w="0" w:type="dxa"/>
              <w:right w:w="57" w:type="dxa"/>
            </w:tcMar>
          </w:tcPr>
          <w:p w14:paraId="76B36938" w14:textId="77777777" w:rsidR="00053418" w:rsidRPr="009E06AA" w:rsidRDefault="00053418" w:rsidP="00F271D5">
            <w:pPr>
              <w:pStyle w:val="TableText"/>
              <w:jc w:val="right"/>
              <w:rPr>
                <w:b/>
                <w:bCs/>
              </w:rPr>
            </w:pPr>
          </w:p>
        </w:tc>
        <w:tc>
          <w:tcPr>
            <w:tcW w:w="719" w:type="dxa"/>
            <w:shd w:val="clear" w:color="auto" w:fill="FFFFFF"/>
            <w:tcMar>
              <w:top w:w="0" w:type="dxa"/>
              <w:left w:w="57" w:type="dxa"/>
              <w:bottom w:w="0" w:type="dxa"/>
              <w:right w:w="57" w:type="dxa"/>
            </w:tcMar>
          </w:tcPr>
          <w:p w14:paraId="5BD8735E" w14:textId="77777777" w:rsidR="00053418" w:rsidRPr="009E06AA" w:rsidRDefault="00053418" w:rsidP="00F271D5">
            <w:pPr>
              <w:pStyle w:val="TableText"/>
              <w:jc w:val="right"/>
              <w:rPr>
                <w:b/>
                <w:bCs/>
              </w:rPr>
            </w:pPr>
            <w:r w:rsidRPr="009E06AA">
              <w:rPr>
                <w:b/>
                <w:bCs/>
                <w:color w:val="1B556B"/>
              </w:rPr>
              <w:t>0</w:t>
            </w:r>
          </w:p>
        </w:tc>
        <w:tc>
          <w:tcPr>
            <w:tcW w:w="719" w:type="dxa"/>
            <w:shd w:val="clear" w:color="auto" w:fill="FFFFFF"/>
            <w:tcMar>
              <w:top w:w="0" w:type="dxa"/>
              <w:left w:w="57" w:type="dxa"/>
              <w:bottom w:w="0" w:type="dxa"/>
              <w:right w:w="57" w:type="dxa"/>
            </w:tcMar>
          </w:tcPr>
          <w:p w14:paraId="19CEB7E4" w14:textId="77777777" w:rsidR="00053418" w:rsidRPr="009E06AA" w:rsidRDefault="00053418" w:rsidP="00F271D5">
            <w:pPr>
              <w:pStyle w:val="TableText"/>
              <w:jc w:val="right"/>
              <w:rPr>
                <w:b/>
                <w:bCs/>
              </w:rPr>
            </w:pPr>
            <w:r w:rsidRPr="009E06AA">
              <w:rPr>
                <w:b/>
                <w:bCs/>
                <w:color w:val="1B556B"/>
              </w:rPr>
              <w:t>-9</w:t>
            </w:r>
          </w:p>
        </w:tc>
        <w:tc>
          <w:tcPr>
            <w:tcW w:w="719" w:type="dxa"/>
            <w:shd w:val="clear" w:color="auto" w:fill="FFFFFF"/>
            <w:tcMar>
              <w:top w:w="0" w:type="dxa"/>
              <w:left w:w="57" w:type="dxa"/>
              <w:bottom w:w="0" w:type="dxa"/>
              <w:right w:w="57" w:type="dxa"/>
            </w:tcMar>
          </w:tcPr>
          <w:p w14:paraId="2A715808" w14:textId="77777777" w:rsidR="00053418" w:rsidRPr="009E06AA" w:rsidRDefault="00053418" w:rsidP="00F271D5">
            <w:pPr>
              <w:pStyle w:val="TableText"/>
              <w:jc w:val="right"/>
              <w:rPr>
                <w:b/>
                <w:bCs/>
              </w:rPr>
            </w:pPr>
            <w:r w:rsidRPr="009E06AA">
              <w:rPr>
                <w:b/>
                <w:bCs/>
                <w:color w:val="1B556B"/>
              </w:rPr>
              <w:t>998</w:t>
            </w:r>
          </w:p>
        </w:tc>
        <w:tc>
          <w:tcPr>
            <w:tcW w:w="719" w:type="dxa"/>
            <w:shd w:val="clear" w:color="auto" w:fill="FFFFFF"/>
            <w:tcMar>
              <w:top w:w="0" w:type="dxa"/>
              <w:left w:w="57" w:type="dxa"/>
              <w:bottom w:w="0" w:type="dxa"/>
              <w:right w:w="57" w:type="dxa"/>
            </w:tcMar>
          </w:tcPr>
          <w:p w14:paraId="594AF935" w14:textId="77777777" w:rsidR="00053418" w:rsidRPr="009E06AA" w:rsidRDefault="00053418" w:rsidP="00F271D5">
            <w:pPr>
              <w:pStyle w:val="TableText"/>
              <w:jc w:val="right"/>
              <w:rPr>
                <w:b/>
                <w:bCs/>
              </w:rPr>
            </w:pPr>
            <w:r w:rsidRPr="009E06AA">
              <w:rPr>
                <w:b/>
                <w:bCs/>
                <w:color w:val="1B556B"/>
              </w:rPr>
              <w:t>-911</w:t>
            </w:r>
          </w:p>
        </w:tc>
        <w:tc>
          <w:tcPr>
            <w:tcW w:w="719" w:type="dxa"/>
            <w:shd w:val="clear" w:color="auto" w:fill="FFFFFF"/>
            <w:tcMar>
              <w:top w:w="0" w:type="dxa"/>
              <w:left w:w="57" w:type="dxa"/>
              <w:bottom w:w="0" w:type="dxa"/>
              <w:right w:w="57" w:type="dxa"/>
            </w:tcMar>
          </w:tcPr>
          <w:p w14:paraId="2C4738FA" w14:textId="77777777" w:rsidR="00053418" w:rsidRPr="009E06AA" w:rsidRDefault="00053418" w:rsidP="00F271D5">
            <w:pPr>
              <w:pStyle w:val="TableText"/>
              <w:jc w:val="right"/>
              <w:rPr>
                <w:b/>
                <w:bCs/>
              </w:rPr>
            </w:pPr>
            <w:r w:rsidRPr="009E06AA">
              <w:rPr>
                <w:b/>
                <w:bCs/>
                <w:color w:val="1B556B"/>
              </w:rPr>
              <w:t>-244</w:t>
            </w:r>
          </w:p>
        </w:tc>
        <w:tc>
          <w:tcPr>
            <w:tcW w:w="719" w:type="dxa"/>
            <w:shd w:val="clear" w:color="auto" w:fill="FFFFFF"/>
            <w:tcMar>
              <w:top w:w="0" w:type="dxa"/>
              <w:left w:w="57" w:type="dxa"/>
              <w:bottom w:w="0" w:type="dxa"/>
              <w:right w:w="57" w:type="dxa"/>
            </w:tcMar>
          </w:tcPr>
          <w:p w14:paraId="436196AD" w14:textId="77777777" w:rsidR="00053418" w:rsidRPr="009E06AA" w:rsidRDefault="00053418" w:rsidP="00F271D5">
            <w:pPr>
              <w:pStyle w:val="TableText"/>
              <w:jc w:val="right"/>
              <w:rPr>
                <w:b/>
                <w:bCs/>
              </w:rPr>
            </w:pPr>
            <w:r w:rsidRPr="009E06AA">
              <w:rPr>
                <w:b/>
                <w:bCs/>
                <w:color w:val="1B556B"/>
              </w:rPr>
              <w:t>14</w:t>
            </w:r>
          </w:p>
        </w:tc>
        <w:tc>
          <w:tcPr>
            <w:tcW w:w="719" w:type="dxa"/>
            <w:shd w:val="clear" w:color="auto" w:fill="FFFFFF"/>
            <w:tcMar>
              <w:top w:w="0" w:type="dxa"/>
              <w:left w:w="57" w:type="dxa"/>
              <w:bottom w:w="0" w:type="dxa"/>
              <w:right w:w="57" w:type="dxa"/>
            </w:tcMar>
          </w:tcPr>
          <w:p w14:paraId="11DE4C1C" w14:textId="77777777" w:rsidR="00053418" w:rsidRPr="009E06AA" w:rsidRDefault="00053418" w:rsidP="00F271D5">
            <w:pPr>
              <w:pStyle w:val="TableText"/>
              <w:jc w:val="right"/>
              <w:rPr>
                <w:b/>
                <w:bCs/>
              </w:rPr>
            </w:pPr>
            <w:r w:rsidRPr="009E06AA">
              <w:rPr>
                <w:b/>
                <w:bCs/>
                <w:color w:val="1B556B"/>
              </w:rPr>
              <w:t>-98</w:t>
            </w:r>
          </w:p>
        </w:tc>
        <w:tc>
          <w:tcPr>
            <w:tcW w:w="719" w:type="dxa"/>
            <w:shd w:val="clear" w:color="auto" w:fill="FFFFFF"/>
            <w:tcMar>
              <w:top w:w="0" w:type="dxa"/>
              <w:left w:w="57" w:type="dxa"/>
              <w:bottom w:w="0" w:type="dxa"/>
              <w:right w:w="57" w:type="dxa"/>
            </w:tcMar>
          </w:tcPr>
          <w:p w14:paraId="181A78CF" w14:textId="77777777" w:rsidR="00053418" w:rsidRPr="009E06AA" w:rsidRDefault="00053418" w:rsidP="00F271D5">
            <w:pPr>
              <w:pStyle w:val="TableText"/>
              <w:jc w:val="right"/>
              <w:rPr>
                <w:b/>
                <w:bCs/>
              </w:rPr>
            </w:pPr>
            <w:r w:rsidRPr="009E06AA">
              <w:rPr>
                <w:b/>
                <w:bCs/>
                <w:color w:val="1B556B"/>
              </w:rPr>
              <w:t>23</w:t>
            </w:r>
          </w:p>
        </w:tc>
        <w:tc>
          <w:tcPr>
            <w:tcW w:w="719" w:type="dxa"/>
            <w:shd w:val="clear" w:color="auto" w:fill="FFFFFF"/>
            <w:tcMar>
              <w:top w:w="0" w:type="dxa"/>
              <w:left w:w="57" w:type="dxa"/>
              <w:bottom w:w="0" w:type="dxa"/>
              <w:right w:w="57" w:type="dxa"/>
            </w:tcMar>
          </w:tcPr>
          <w:p w14:paraId="4A995E3D" w14:textId="77777777" w:rsidR="00053418" w:rsidRPr="009E06AA" w:rsidRDefault="00053418" w:rsidP="00F271D5">
            <w:pPr>
              <w:pStyle w:val="TableText"/>
              <w:jc w:val="right"/>
              <w:rPr>
                <w:b/>
                <w:bCs/>
              </w:rPr>
            </w:pPr>
            <w:r w:rsidRPr="009E06AA">
              <w:rPr>
                <w:b/>
                <w:bCs/>
                <w:color w:val="1B556B"/>
              </w:rPr>
              <w:t>0</w:t>
            </w:r>
          </w:p>
        </w:tc>
        <w:tc>
          <w:tcPr>
            <w:tcW w:w="1150" w:type="dxa"/>
            <w:shd w:val="clear" w:color="auto" w:fill="FFFFFF"/>
            <w:tcMar>
              <w:top w:w="0" w:type="dxa"/>
              <w:left w:w="57" w:type="dxa"/>
              <w:bottom w:w="0" w:type="dxa"/>
              <w:right w:w="57" w:type="dxa"/>
            </w:tcMar>
          </w:tcPr>
          <w:p w14:paraId="78C1171C" w14:textId="77777777" w:rsidR="00053418" w:rsidRPr="009E06AA" w:rsidRDefault="00053418" w:rsidP="00F271D5">
            <w:pPr>
              <w:pStyle w:val="TableText"/>
              <w:jc w:val="right"/>
              <w:rPr>
                <w:b/>
                <w:bCs/>
              </w:rPr>
            </w:pPr>
            <w:r w:rsidRPr="009E06AA">
              <w:rPr>
                <w:b/>
                <w:bCs/>
                <w:color w:val="1B556B"/>
              </w:rPr>
              <w:t>0</w:t>
            </w:r>
          </w:p>
        </w:tc>
      </w:tr>
      <w:tr w:rsidR="00053418" w:rsidRPr="009E06AA" w14:paraId="73474B74" w14:textId="77777777" w:rsidTr="00B55F24">
        <w:tc>
          <w:tcPr>
            <w:tcW w:w="3451" w:type="dxa"/>
            <w:gridSpan w:val="3"/>
            <w:shd w:val="clear" w:color="auto" w:fill="FFFFFF"/>
            <w:tcMar>
              <w:top w:w="0" w:type="dxa"/>
              <w:left w:w="57" w:type="dxa"/>
              <w:bottom w:w="0" w:type="dxa"/>
              <w:right w:w="57" w:type="dxa"/>
            </w:tcMar>
          </w:tcPr>
          <w:p w14:paraId="01BEABD5" w14:textId="77777777" w:rsidR="00053418" w:rsidRPr="009E06AA" w:rsidRDefault="00053418" w:rsidP="00B55F24">
            <w:pPr>
              <w:pStyle w:val="TableText"/>
              <w:rPr>
                <w:b/>
                <w:bCs/>
              </w:rPr>
            </w:pPr>
            <w:r w:rsidRPr="009E06AA">
              <w:rPr>
                <w:b/>
                <w:bCs/>
                <w:color w:val="1B556B"/>
              </w:rPr>
              <w:t>Net change 1962–89 (%)</w:t>
            </w:r>
          </w:p>
        </w:tc>
        <w:tc>
          <w:tcPr>
            <w:tcW w:w="719" w:type="dxa"/>
            <w:shd w:val="clear" w:color="auto" w:fill="FFFFFF"/>
            <w:tcMar>
              <w:top w:w="0" w:type="dxa"/>
              <w:left w:w="57" w:type="dxa"/>
              <w:bottom w:w="0" w:type="dxa"/>
              <w:right w:w="57" w:type="dxa"/>
            </w:tcMar>
          </w:tcPr>
          <w:p w14:paraId="0AD2CC78" w14:textId="77777777" w:rsidR="00053418" w:rsidRPr="009E06AA" w:rsidRDefault="00053418" w:rsidP="00F271D5">
            <w:pPr>
              <w:pStyle w:val="TableText"/>
              <w:jc w:val="right"/>
              <w:rPr>
                <w:b/>
                <w:bCs/>
              </w:rPr>
            </w:pPr>
            <w:r w:rsidRPr="009E06AA">
              <w:rPr>
                <w:b/>
                <w:bCs/>
                <w:color w:val="1B556B"/>
              </w:rPr>
              <w:t>-10.0</w:t>
            </w:r>
          </w:p>
        </w:tc>
        <w:tc>
          <w:tcPr>
            <w:tcW w:w="719" w:type="dxa"/>
            <w:shd w:val="clear" w:color="auto" w:fill="FFFFFF"/>
            <w:tcMar>
              <w:top w:w="0" w:type="dxa"/>
              <w:left w:w="57" w:type="dxa"/>
              <w:bottom w:w="0" w:type="dxa"/>
              <w:right w:w="57" w:type="dxa"/>
            </w:tcMar>
          </w:tcPr>
          <w:p w14:paraId="53FAD303" w14:textId="77777777" w:rsidR="00053418" w:rsidRPr="009E06AA" w:rsidRDefault="00053418" w:rsidP="00F271D5">
            <w:pPr>
              <w:pStyle w:val="TableText"/>
              <w:jc w:val="right"/>
              <w:rPr>
                <w:b/>
                <w:bCs/>
              </w:rPr>
            </w:pPr>
            <w:r w:rsidRPr="009E06AA">
              <w:rPr>
                <w:b/>
                <w:bCs/>
                <w:color w:val="1B556B"/>
              </w:rPr>
              <w:t>241.5</w:t>
            </w:r>
          </w:p>
        </w:tc>
        <w:tc>
          <w:tcPr>
            <w:tcW w:w="719" w:type="dxa"/>
            <w:shd w:val="clear" w:color="auto" w:fill="FFFFFF"/>
            <w:tcMar>
              <w:top w:w="0" w:type="dxa"/>
              <w:left w:w="57" w:type="dxa"/>
              <w:bottom w:w="0" w:type="dxa"/>
              <w:right w:w="57" w:type="dxa"/>
            </w:tcMar>
          </w:tcPr>
          <w:p w14:paraId="587E0C7F" w14:textId="77777777" w:rsidR="00053418" w:rsidRPr="009E06AA" w:rsidRDefault="00053418" w:rsidP="00F271D5">
            <w:pPr>
              <w:pStyle w:val="TableText"/>
              <w:jc w:val="right"/>
              <w:rPr>
                <w:b/>
                <w:bCs/>
              </w:rPr>
            </w:pPr>
          </w:p>
        </w:tc>
        <w:tc>
          <w:tcPr>
            <w:tcW w:w="719" w:type="dxa"/>
            <w:shd w:val="clear" w:color="auto" w:fill="FFFFFF"/>
            <w:tcMar>
              <w:top w:w="0" w:type="dxa"/>
              <w:left w:w="57" w:type="dxa"/>
              <w:bottom w:w="0" w:type="dxa"/>
              <w:right w:w="57" w:type="dxa"/>
            </w:tcMar>
          </w:tcPr>
          <w:p w14:paraId="76B23CB3" w14:textId="77777777" w:rsidR="00053418" w:rsidRPr="009E06AA" w:rsidRDefault="00053418" w:rsidP="00F271D5">
            <w:pPr>
              <w:pStyle w:val="TableText"/>
              <w:jc w:val="right"/>
              <w:rPr>
                <w:b/>
                <w:bCs/>
              </w:rPr>
            </w:pPr>
          </w:p>
        </w:tc>
        <w:tc>
          <w:tcPr>
            <w:tcW w:w="719" w:type="dxa"/>
            <w:shd w:val="clear" w:color="auto" w:fill="FFFFFF"/>
            <w:tcMar>
              <w:top w:w="0" w:type="dxa"/>
              <w:left w:w="57" w:type="dxa"/>
              <w:bottom w:w="0" w:type="dxa"/>
              <w:right w:w="57" w:type="dxa"/>
            </w:tcMar>
          </w:tcPr>
          <w:p w14:paraId="2ECF93B1" w14:textId="77777777" w:rsidR="00053418" w:rsidRPr="009E06AA" w:rsidRDefault="00053418" w:rsidP="00F271D5">
            <w:pPr>
              <w:pStyle w:val="TableText"/>
              <w:jc w:val="right"/>
              <w:rPr>
                <w:b/>
                <w:bCs/>
              </w:rPr>
            </w:pPr>
            <w:r w:rsidRPr="009E06AA">
              <w:rPr>
                <w:b/>
                <w:bCs/>
                <w:color w:val="1B556B"/>
              </w:rPr>
              <w:t>0.0</w:t>
            </w:r>
          </w:p>
        </w:tc>
        <w:tc>
          <w:tcPr>
            <w:tcW w:w="719" w:type="dxa"/>
            <w:shd w:val="clear" w:color="auto" w:fill="FFFFFF"/>
            <w:tcMar>
              <w:top w:w="0" w:type="dxa"/>
              <w:left w:w="57" w:type="dxa"/>
              <w:bottom w:w="0" w:type="dxa"/>
              <w:right w:w="57" w:type="dxa"/>
            </w:tcMar>
          </w:tcPr>
          <w:p w14:paraId="6C61C018" w14:textId="77777777" w:rsidR="00053418" w:rsidRPr="009E06AA" w:rsidRDefault="00053418" w:rsidP="00F271D5">
            <w:pPr>
              <w:pStyle w:val="TableText"/>
              <w:jc w:val="right"/>
              <w:rPr>
                <w:b/>
                <w:bCs/>
              </w:rPr>
            </w:pPr>
            <w:r w:rsidRPr="009E06AA">
              <w:rPr>
                <w:b/>
                <w:bCs/>
                <w:color w:val="1B556B"/>
              </w:rPr>
              <w:t>-11.8</w:t>
            </w:r>
          </w:p>
        </w:tc>
        <w:tc>
          <w:tcPr>
            <w:tcW w:w="719" w:type="dxa"/>
            <w:shd w:val="clear" w:color="auto" w:fill="FFFFFF"/>
            <w:tcMar>
              <w:top w:w="0" w:type="dxa"/>
              <w:left w:w="57" w:type="dxa"/>
              <w:bottom w:w="0" w:type="dxa"/>
              <w:right w:w="57" w:type="dxa"/>
            </w:tcMar>
          </w:tcPr>
          <w:p w14:paraId="7D134DE7" w14:textId="77777777" w:rsidR="00053418" w:rsidRPr="009E06AA" w:rsidRDefault="00053418" w:rsidP="00F271D5">
            <w:pPr>
              <w:pStyle w:val="TableText"/>
              <w:jc w:val="right"/>
              <w:rPr>
                <w:b/>
                <w:bCs/>
              </w:rPr>
            </w:pPr>
            <w:r w:rsidRPr="009E06AA">
              <w:rPr>
                <w:b/>
                <w:bCs/>
                <w:color w:val="1B556B"/>
              </w:rPr>
              <w:t>20.6</w:t>
            </w:r>
          </w:p>
        </w:tc>
        <w:tc>
          <w:tcPr>
            <w:tcW w:w="719" w:type="dxa"/>
            <w:shd w:val="clear" w:color="auto" w:fill="FFFFFF"/>
            <w:tcMar>
              <w:top w:w="0" w:type="dxa"/>
              <w:left w:w="57" w:type="dxa"/>
              <w:bottom w:w="0" w:type="dxa"/>
              <w:right w:w="57" w:type="dxa"/>
            </w:tcMar>
          </w:tcPr>
          <w:p w14:paraId="68A09A6A" w14:textId="77777777" w:rsidR="00053418" w:rsidRPr="009E06AA" w:rsidRDefault="00053418" w:rsidP="00F271D5">
            <w:pPr>
              <w:pStyle w:val="TableText"/>
              <w:jc w:val="right"/>
              <w:rPr>
                <w:b/>
                <w:bCs/>
              </w:rPr>
            </w:pPr>
            <w:r w:rsidRPr="009E06AA">
              <w:rPr>
                <w:b/>
                <w:bCs/>
                <w:color w:val="1B556B"/>
              </w:rPr>
              <w:t>-10.3</w:t>
            </w:r>
          </w:p>
        </w:tc>
        <w:tc>
          <w:tcPr>
            <w:tcW w:w="719" w:type="dxa"/>
            <w:shd w:val="clear" w:color="auto" w:fill="FFFFFF"/>
            <w:tcMar>
              <w:top w:w="0" w:type="dxa"/>
              <w:left w:w="57" w:type="dxa"/>
              <w:bottom w:w="0" w:type="dxa"/>
              <w:right w:w="57" w:type="dxa"/>
            </w:tcMar>
          </w:tcPr>
          <w:p w14:paraId="7450CC51" w14:textId="77777777" w:rsidR="00053418" w:rsidRPr="009E06AA" w:rsidRDefault="00053418" w:rsidP="00F271D5">
            <w:pPr>
              <w:pStyle w:val="TableText"/>
              <w:jc w:val="right"/>
              <w:rPr>
                <w:b/>
                <w:bCs/>
              </w:rPr>
            </w:pPr>
            <w:r w:rsidRPr="009E06AA">
              <w:rPr>
                <w:b/>
                <w:bCs/>
                <w:color w:val="1B556B"/>
              </w:rPr>
              <w:t>-13.9</w:t>
            </w:r>
          </w:p>
        </w:tc>
        <w:tc>
          <w:tcPr>
            <w:tcW w:w="719" w:type="dxa"/>
            <w:shd w:val="clear" w:color="auto" w:fill="FFFFFF"/>
            <w:tcMar>
              <w:top w:w="0" w:type="dxa"/>
              <w:left w:w="57" w:type="dxa"/>
              <w:bottom w:w="0" w:type="dxa"/>
              <w:right w:w="57" w:type="dxa"/>
            </w:tcMar>
          </w:tcPr>
          <w:p w14:paraId="5ABB2A46" w14:textId="77777777" w:rsidR="00053418" w:rsidRPr="009E06AA" w:rsidRDefault="00053418" w:rsidP="00F271D5">
            <w:pPr>
              <w:pStyle w:val="TableText"/>
              <w:jc w:val="right"/>
              <w:rPr>
                <w:b/>
                <w:bCs/>
              </w:rPr>
            </w:pPr>
            <w:r w:rsidRPr="009E06AA">
              <w:rPr>
                <w:b/>
                <w:bCs/>
                <w:color w:val="1B556B"/>
              </w:rPr>
              <w:t>2.8</w:t>
            </w:r>
          </w:p>
        </w:tc>
        <w:tc>
          <w:tcPr>
            <w:tcW w:w="719" w:type="dxa"/>
            <w:shd w:val="clear" w:color="auto" w:fill="FFFFFF"/>
            <w:tcMar>
              <w:top w:w="0" w:type="dxa"/>
              <w:left w:w="57" w:type="dxa"/>
              <w:bottom w:w="0" w:type="dxa"/>
              <w:right w:w="57" w:type="dxa"/>
            </w:tcMar>
          </w:tcPr>
          <w:p w14:paraId="59519A2B" w14:textId="77777777" w:rsidR="00053418" w:rsidRPr="009E06AA" w:rsidRDefault="00053418" w:rsidP="00F271D5">
            <w:pPr>
              <w:pStyle w:val="TableText"/>
              <w:jc w:val="right"/>
              <w:rPr>
                <w:b/>
                <w:bCs/>
              </w:rPr>
            </w:pPr>
            <w:r w:rsidRPr="009E06AA">
              <w:rPr>
                <w:b/>
                <w:bCs/>
                <w:color w:val="1B556B"/>
              </w:rPr>
              <w:t>-27.9</w:t>
            </w:r>
          </w:p>
        </w:tc>
        <w:tc>
          <w:tcPr>
            <w:tcW w:w="719" w:type="dxa"/>
            <w:shd w:val="clear" w:color="auto" w:fill="FFFFFF"/>
            <w:tcMar>
              <w:top w:w="0" w:type="dxa"/>
              <w:left w:w="57" w:type="dxa"/>
              <w:bottom w:w="0" w:type="dxa"/>
              <w:right w:w="57" w:type="dxa"/>
            </w:tcMar>
          </w:tcPr>
          <w:p w14:paraId="2A943C30" w14:textId="77777777" w:rsidR="00053418" w:rsidRPr="009E06AA" w:rsidRDefault="00053418" w:rsidP="00F271D5">
            <w:pPr>
              <w:pStyle w:val="TableText"/>
              <w:jc w:val="right"/>
              <w:rPr>
                <w:b/>
                <w:bCs/>
              </w:rPr>
            </w:pPr>
            <w:r w:rsidRPr="009E06AA">
              <w:rPr>
                <w:b/>
                <w:bCs/>
                <w:color w:val="1B556B"/>
              </w:rPr>
              <w:t>12.6</w:t>
            </w:r>
          </w:p>
        </w:tc>
        <w:tc>
          <w:tcPr>
            <w:tcW w:w="719" w:type="dxa"/>
            <w:shd w:val="clear" w:color="auto" w:fill="FFFFFF"/>
            <w:tcMar>
              <w:top w:w="0" w:type="dxa"/>
              <w:left w:w="57" w:type="dxa"/>
              <w:bottom w:w="0" w:type="dxa"/>
              <w:right w:w="57" w:type="dxa"/>
            </w:tcMar>
          </w:tcPr>
          <w:p w14:paraId="13D5CBBE" w14:textId="77777777" w:rsidR="00053418" w:rsidRPr="009E06AA" w:rsidRDefault="00053418" w:rsidP="00F271D5">
            <w:pPr>
              <w:pStyle w:val="TableText"/>
              <w:jc w:val="right"/>
              <w:rPr>
                <w:b/>
                <w:bCs/>
              </w:rPr>
            </w:pPr>
            <w:r w:rsidRPr="009E06AA">
              <w:rPr>
                <w:b/>
                <w:bCs/>
                <w:color w:val="1B556B"/>
              </w:rPr>
              <w:t>0.0</w:t>
            </w:r>
          </w:p>
        </w:tc>
        <w:tc>
          <w:tcPr>
            <w:tcW w:w="1150" w:type="dxa"/>
            <w:shd w:val="clear" w:color="auto" w:fill="FFFFFF"/>
            <w:tcMar>
              <w:top w:w="0" w:type="dxa"/>
              <w:left w:w="57" w:type="dxa"/>
              <w:bottom w:w="0" w:type="dxa"/>
              <w:right w:w="57" w:type="dxa"/>
            </w:tcMar>
          </w:tcPr>
          <w:p w14:paraId="0BF5E462" w14:textId="77777777" w:rsidR="00053418" w:rsidRPr="009E06AA" w:rsidRDefault="00053418" w:rsidP="00F271D5">
            <w:pPr>
              <w:pStyle w:val="TableText"/>
              <w:jc w:val="right"/>
              <w:rPr>
                <w:b/>
                <w:bCs/>
              </w:rPr>
            </w:pPr>
            <w:r w:rsidRPr="009E06AA">
              <w:rPr>
                <w:b/>
                <w:bCs/>
                <w:color w:val="1B556B"/>
              </w:rPr>
              <w:t>0.0</w:t>
            </w:r>
          </w:p>
        </w:tc>
      </w:tr>
    </w:tbl>
    <w:p w14:paraId="1126A8C4" w14:textId="77777777" w:rsidR="00053418" w:rsidRPr="009E06AA" w:rsidRDefault="00053418" w:rsidP="00053418">
      <w:pPr>
        <w:pStyle w:val="BodyText"/>
      </w:pPr>
    </w:p>
    <w:p w14:paraId="132511FE" w14:textId="77777777" w:rsidR="00053418" w:rsidRPr="009E06AA" w:rsidRDefault="00053418" w:rsidP="00053418">
      <w:pPr>
        <w:pStyle w:val="BodyText"/>
        <w:sectPr w:rsidR="00053418" w:rsidRPr="009E06AA" w:rsidSect="00F66BF9">
          <w:footerReference w:type="default" r:id="rId138"/>
          <w:pgSz w:w="16838" w:h="11906" w:orient="landscape" w:code="9"/>
          <w:pgMar w:top="1701" w:right="1418" w:bottom="1701" w:left="1418" w:header="567" w:footer="567" w:gutter="0"/>
          <w:cols w:space="708"/>
          <w:docGrid w:linePitch="360"/>
        </w:sectPr>
      </w:pPr>
    </w:p>
    <w:p w14:paraId="102FE5E3" w14:textId="77777777" w:rsidR="00053418" w:rsidRPr="009E06AA" w:rsidRDefault="00053418" w:rsidP="00053418">
      <w:pPr>
        <w:pStyle w:val="Heading2"/>
        <w:spacing w:before="0"/>
      </w:pPr>
      <w:bookmarkStart w:id="1782" w:name="_Toc158980296"/>
      <w:bookmarkStart w:id="1783" w:name="_Toc164154204"/>
      <w:r w:rsidRPr="009E06AA">
        <w:t>6.3</w:t>
      </w:r>
      <w:r w:rsidRPr="009E06AA">
        <w:tab/>
        <w:t>Country-specific approaches</w:t>
      </w:r>
      <w:bookmarkEnd w:id="1782"/>
      <w:bookmarkEnd w:id="1783"/>
    </w:p>
    <w:p w14:paraId="1892FA2D" w14:textId="77777777" w:rsidR="00053418" w:rsidRPr="009E06AA" w:rsidRDefault="00053418" w:rsidP="00053418">
      <w:pPr>
        <w:pStyle w:val="Heading3"/>
        <w:spacing w:before="240"/>
      </w:pPr>
      <w:r w:rsidRPr="009E06AA">
        <w:t>6.3.1</w:t>
      </w:r>
      <w:r w:rsidRPr="009E06AA">
        <w:tab/>
        <w:t>Information on approaches used for representing land areas and on land use databases used for the inventory preparation</w:t>
      </w:r>
    </w:p>
    <w:p w14:paraId="5994597A" w14:textId="77777777" w:rsidR="00053418" w:rsidRPr="009E06AA" w:rsidRDefault="00053418" w:rsidP="00053418">
      <w:pPr>
        <w:pStyle w:val="Heading4"/>
      </w:pPr>
      <w:r w:rsidRPr="009E06AA">
        <w:t>General approach</w:t>
      </w:r>
    </w:p>
    <w:p w14:paraId="2B3981F3" w14:textId="77777777" w:rsidR="00053418" w:rsidRPr="009E06AA" w:rsidRDefault="00053418" w:rsidP="00053418">
      <w:pPr>
        <w:pStyle w:val="BodyText"/>
      </w:pPr>
      <w:r w:rsidRPr="009E06AA">
        <w:t xml:space="preserve">Areas of land use and land-use change between 1990 and 2020 are based on five wall-to-wall land use maps derived from satellite imagery at nominal mapping dates of 31 December 1989, 31 December 2007, 31 December 2012, 31 December 2016 and 31 December 2020 (see figure 6.3.1). Data from the 2020 land use map is introduced for the first time for this submission. </w:t>
      </w:r>
      <w:r w:rsidRPr="009E06AA">
        <w:rPr>
          <w:spacing w:val="-2"/>
        </w:rPr>
        <w:t>Information on the methods used to compile these land use maps can be found in annex A5.2.1.</w:t>
      </w:r>
    </w:p>
    <w:p w14:paraId="583B1EF1" w14:textId="77777777" w:rsidR="00053418" w:rsidRPr="009E06AA" w:rsidRDefault="00053418" w:rsidP="00053418">
      <w:pPr>
        <w:pStyle w:val="BodyText"/>
      </w:pPr>
      <w:r w:rsidRPr="009E06AA">
        <w:t>These maps are managed in a single spatial database to ensure consistency in the tracking of land-use change and to ensure any corrections to land use classifications are replicated through the entire time series. Information on the spatial data management system can be found in annex A5.2.9.</w:t>
      </w:r>
    </w:p>
    <w:p w14:paraId="6F1EF151" w14:textId="77777777" w:rsidR="00053418" w:rsidRPr="009E06AA" w:rsidRDefault="00053418" w:rsidP="00053418">
      <w:pPr>
        <w:pStyle w:val="BodyText"/>
      </w:pPr>
      <w:r w:rsidRPr="009E06AA">
        <w:t xml:space="preserve">Area information from these maps is interpolated and extrapolated to obtain a complete time series of land-use change occurring between 1990 and 2022 (see annex A5.2.2). Ancillary data – including aerial photography, additional satellite imagery, data from the NZ ETS and other national survey data – are used to support data interpolation and map production. Further information on the mapping methodology and imagery used, as well as the interpolation and extrapolation process to obtain a complete time series of land-use change occurring between 1990 and 2022 can be found in annex A5.2.2. </w:t>
      </w:r>
    </w:p>
    <w:p w14:paraId="111CB49A" w14:textId="77777777" w:rsidR="00053418" w:rsidRPr="009E06AA" w:rsidRDefault="00053418" w:rsidP="00053418">
      <w:pPr>
        <w:pStyle w:val="Figure"/>
      </w:pPr>
      <w:bookmarkStart w:id="1784" w:name="_Toc158979909"/>
      <w:bookmarkStart w:id="1785" w:name="_Toc164154037"/>
      <w:r w:rsidRPr="009E06AA">
        <w:t>Figure 6.3.1</w:t>
      </w:r>
      <w:r w:rsidRPr="009E06AA">
        <w:tab/>
        <w:t>Land use map of New Zealand as at 31 December 2020</w:t>
      </w:r>
      <w:bookmarkEnd w:id="1784"/>
      <w:bookmarkEnd w:id="1785"/>
    </w:p>
    <w:p w14:paraId="15493B4F" w14:textId="77777777" w:rsidR="00053418" w:rsidRPr="009E06AA" w:rsidRDefault="00053418" w:rsidP="00053418">
      <w:pPr>
        <w:spacing w:before="120" w:after="120"/>
      </w:pPr>
      <w:r w:rsidRPr="009E06AA">
        <w:rPr>
          <w:noProof/>
        </w:rPr>
        <w:drawing>
          <wp:inline distT="0" distB="0" distL="0" distR="0" wp14:anchorId="40277188" wp14:editId="2EDE00C6">
            <wp:extent cx="5111340" cy="6048000"/>
            <wp:effectExtent l="0" t="0" r="0" b="0"/>
            <wp:docPr id="1745218009" name="Picture 1745218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218009" name="Picture 1745218009"/>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a:stretch/>
                  </pic:blipFill>
                  <pic:spPr bwMode="auto">
                    <a:xfrm>
                      <a:off x="0" y="0"/>
                      <a:ext cx="5111340" cy="6048000"/>
                    </a:xfrm>
                    <a:prstGeom prst="rect">
                      <a:avLst/>
                    </a:prstGeom>
                    <a:noFill/>
                    <a:ln>
                      <a:noFill/>
                    </a:ln>
                    <a:extLst>
                      <a:ext uri="{53640926-AAD7-44D8-BBD7-CCE9431645EC}">
                        <a14:shadowObscured xmlns:a14="http://schemas.microsoft.com/office/drawing/2010/main"/>
                      </a:ext>
                    </a:extLst>
                  </pic:spPr>
                </pic:pic>
              </a:graphicData>
            </a:graphic>
          </wp:inline>
        </w:drawing>
      </w:r>
    </w:p>
    <w:p w14:paraId="3575047D" w14:textId="77777777" w:rsidR="00053418" w:rsidRPr="009E06AA" w:rsidRDefault="00053418" w:rsidP="00053418">
      <w:pPr>
        <w:pStyle w:val="Noteundertable"/>
        <w:spacing w:after="0"/>
      </w:pPr>
      <w:r w:rsidRPr="009E06AA">
        <w:rPr>
          <w:b/>
        </w:rPr>
        <w:t>Note:</w:t>
      </w:r>
      <w:r w:rsidRPr="009E06AA">
        <w:tab/>
        <w:t>The inset map is of the Chatham Islands, which lie approximately 660 kilometres south-east of the south</w:t>
      </w:r>
      <w:r w:rsidRPr="009E06AA">
        <w:noBreakHyphen/>
        <w:t xml:space="preserve">eastern corner of the North Island. </w:t>
      </w:r>
    </w:p>
    <w:p w14:paraId="653A117D" w14:textId="77777777" w:rsidR="00053418" w:rsidRPr="009E06AA" w:rsidRDefault="00053418" w:rsidP="00053418">
      <w:pPr>
        <w:pStyle w:val="Heading4"/>
      </w:pPr>
      <w:r w:rsidRPr="009E06AA">
        <w:t>Updates for this submission</w:t>
      </w:r>
    </w:p>
    <w:p w14:paraId="7FBDDFB1" w14:textId="77777777" w:rsidR="00053418" w:rsidRPr="009E06AA" w:rsidRDefault="00053418" w:rsidP="00053418">
      <w:pPr>
        <w:pStyle w:val="BodyText"/>
        <w:spacing w:before="100" w:after="100"/>
      </w:pPr>
      <w:r w:rsidRPr="009E06AA">
        <w:t>For this submission, a new land use map, with a nominal mapping date of 31 December 2020, has been added to the time series (see annex A5.2.1). Improvements have also been made to the 1989, 2007, 2012 and 2016 land use maps. This year, improvements have focused on:</w:t>
      </w:r>
    </w:p>
    <w:p w14:paraId="323B9019" w14:textId="77777777" w:rsidR="00053418" w:rsidRPr="009E06AA" w:rsidRDefault="00053418" w:rsidP="00053418">
      <w:pPr>
        <w:pStyle w:val="Bullet"/>
        <w:numPr>
          <w:ilvl w:val="0"/>
          <w:numId w:val="29"/>
        </w:numPr>
        <w:spacing w:after="100"/>
        <w:ind w:left="397" w:hanging="397"/>
      </w:pPr>
      <w:r w:rsidRPr="009E06AA">
        <w:t xml:space="preserve">updates to the extent of forest areas based on independent mapping using a deep-learning method that was trialled as part of the 2020 land use map production </w:t>
      </w:r>
    </w:p>
    <w:p w14:paraId="3213E03B" w14:textId="77777777" w:rsidR="00053418" w:rsidRPr="009E06AA" w:rsidRDefault="00053418" w:rsidP="00053418">
      <w:pPr>
        <w:pStyle w:val="Bullet"/>
        <w:numPr>
          <w:ilvl w:val="0"/>
          <w:numId w:val="29"/>
        </w:numPr>
        <w:spacing w:after="100"/>
        <w:ind w:left="397" w:hanging="397"/>
      </w:pPr>
      <w:r w:rsidRPr="009E06AA">
        <w:t>updates to the mapping of vegetated wetlands based on wetland mapping from LCDB5</w:t>
      </w:r>
    </w:p>
    <w:p w14:paraId="3F8E0669" w14:textId="77777777" w:rsidR="00053418" w:rsidRPr="009E06AA" w:rsidRDefault="00053418" w:rsidP="00053418">
      <w:pPr>
        <w:pStyle w:val="Bullet"/>
        <w:numPr>
          <w:ilvl w:val="0"/>
          <w:numId w:val="29"/>
        </w:numPr>
        <w:spacing w:after="100"/>
        <w:ind w:left="397" w:hanging="397"/>
      </w:pPr>
      <w:r w:rsidRPr="009E06AA">
        <w:t>updates to the area of deforestation mapped prior to 2019 based on a cross-check of previous incremental change detection processes that may have missed cumulative small areas of forest loss occurring over multiple years.</w:t>
      </w:r>
    </w:p>
    <w:p w14:paraId="4698AEDB" w14:textId="77777777" w:rsidR="00053418" w:rsidRPr="009E06AA" w:rsidRDefault="00053418" w:rsidP="00053418">
      <w:pPr>
        <w:pStyle w:val="Heading4"/>
      </w:pPr>
      <w:r w:rsidRPr="009E06AA">
        <w:t>Quality assurance/quality control (QA/QC) and verification</w:t>
      </w:r>
    </w:p>
    <w:p w14:paraId="6A78D0B0" w14:textId="77777777" w:rsidR="00053418" w:rsidRPr="009E06AA" w:rsidRDefault="00053418" w:rsidP="00053418">
      <w:pPr>
        <w:pStyle w:val="BodyText"/>
      </w:pPr>
      <w:r w:rsidRPr="009E06AA">
        <w:t>Quality-control and quality-assurance procedures have been adopted for all data collection and data analyses, consistent with the 2006 IPCC Guidelines</w:t>
      </w:r>
      <w:r w:rsidRPr="009E06AA" w:rsidDel="00663F9D">
        <w:t xml:space="preserve"> </w:t>
      </w:r>
      <w:r w:rsidRPr="009E06AA">
        <w:t xml:space="preserve">(IPCC, 2006a) and New Zealand’s inventory quality-control and quality-assurance plan. Data quality and data assurance plans are established for each type of data used to determine carbon stock and stock changes, as well as for the mapping of the areal extent and spatial location of land-use changes. Further information on QA/QC procedures specific to mapping can be found in annex A5.2.1. </w:t>
      </w:r>
    </w:p>
    <w:p w14:paraId="37EAD491" w14:textId="77777777" w:rsidR="00053418" w:rsidRPr="009E06AA" w:rsidRDefault="00053418" w:rsidP="00053418">
      <w:pPr>
        <w:pStyle w:val="Heading4"/>
      </w:pPr>
      <w:r w:rsidRPr="009E06AA">
        <w:t>Planned improvements</w:t>
      </w:r>
    </w:p>
    <w:p w14:paraId="46E99657" w14:textId="77777777" w:rsidR="00053418" w:rsidRPr="009E06AA" w:rsidRDefault="00053418" w:rsidP="00053418">
      <w:pPr>
        <w:pStyle w:val="BodyText"/>
      </w:pPr>
      <w:r w:rsidRPr="009E06AA">
        <w:t>By October 2024, the following improvements will be made to land use activity data:</w:t>
      </w:r>
    </w:p>
    <w:p w14:paraId="0A397561" w14:textId="77777777" w:rsidR="00053418" w:rsidRPr="009E06AA" w:rsidRDefault="00053418" w:rsidP="00053418">
      <w:pPr>
        <w:pStyle w:val="Bullet"/>
        <w:numPr>
          <w:ilvl w:val="0"/>
          <w:numId w:val="29"/>
        </w:numPr>
        <w:ind w:left="397" w:hanging="397"/>
      </w:pPr>
      <w:r w:rsidRPr="009E06AA">
        <w:t>confirmation of mapped areas of deforestation for areas cleared during 2021 and 2022</w:t>
      </w:r>
    </w:p>
    <w:p w14:paraId="5958C1AF" w14:textId="77777777" w:rsidR="00053418" w:rsidRPr="009E06AA" w:rsidRDefault="00053418" w:rsidP="00053418">
      <w:pPr>
        <w:pStyle w:val="Bullet"/>
        <w:numPr>
          <w:ilvl w:val="0"/>
          <w:numId w:val="29"/>
        </w:numPr>
        <w:ind w:left="397" w:hanging="397"/>
      </w:pPr>
      <w:r w:rsidRPr="009E06AA">
        <w:t>review of pre-2017 deforestation to check land use status for evidence of replanting</w:t>
      </w:r>
    </w:p>
    <w:p w14:paraId="3D0B404C" w14:textId="77777777" w:rsidR="00053418" w:rsidRPr="009E06AA" w:rsidRDefault="00053418" w:rsidP="00053418">
      <w:pPr>
        <w:pStyle w:val="Bullet"/>
        <w:numPr>
          <w:ilvl w:val="0"/>
          <w:numId w:val="29"/>
        </w:numPr>
        <w:ind w:left="397" w:hanging="397"/>
      </w:pPr>
      <w:r w:rsidRPr="009E06AA">
        <w:t>updates to the 2020 land use map based on forestry mapping entered into the NZ ETS.</w:t>
      </w:r>
    </w:p>
    <w:p w14:paraId="73AE88C2" w14:textId="77777777" w:rsidR="00053418" w:rsidRPr="009E06AA" w:rsidRDefault="00053418" w:rsidP="00053418">
      <w:pPr>
        <w:pStyle w:val="BodyText"/>
      </w:pPr>
      <w:r w:rsidRPr="009E06AA">
        <w:t>Following these improvements, the plan is to complete an accuracy assessment of the map series with a focus on the accuracy of land-use change mapping.</w:t>
      </w:r>
    </w:p>
    <w:p w14:paraId="09C182ED" w14:textId="77777777" w:rsidR="00053418" w:rsidRPr="009E06AA" w:rsidDel="00B261BF" w:rsidRDefault="00053418" w:rsidP="00053418">
      <w:pPr>
        <w:pStyle w:val="Heading3"/>
        <w:spacing w:before="240"/>
      </w:pPr>
      <w:r w:rsidRPr="009E06AA" w:rsidDel="00B261BF">
        <w:t>6.3.2</w:t>
      </w:r>
      <w:r w:rsidRPr="009E06AA" w:rsidDel="00B261BF">
        <w:tab/>
        <w:t>Information on approaches used for natural disturbances, if applicable</w:t>
      </w:r>
    </w:p>
    <w:p w14:paraId="5FC868BB" w14:textId="77777777" w:rsidR="00053418" w:rsidRPr="009E06AA" w:rsidDel="00B261BF" w:rsidRDefault="00053418" w:rsidP="00053418">
      <w:pPr>
        <w:pStyle w:val="BodyText"/>
      </w:pPr>
      <w:r w:rsidRPr="009E06AA" w:rsidDel="00B261BF">
        <w:t>In its Nationally Determined Contribution under the Paris Agreement, New Zealand has indicated it will continue applying provisions to address natural disturbances on managed lands. The approach for implementing this will build on existing guidance, including using the default method described in section 2.3.9.6 of the Kyoto Protocol Supplement (IPCC, 2014) for</w:t>
      </w:r>
      <w:r w:rsidRPr="009E06AA">
        <w:t> </w:t>
      </w:r>
      <w:r w:rsidRPr="009E06AA" w:rsidDel="00B261BF">
        <w:t>calculating the background level of natural disturbances.</w:t>
      </w:r>
    </w:p>
    <w:p w14:paraId="2666B556" w14:textId="77777777" w:rsidR="00053418" w:rsidRPr="009E06AA" w:rsidDel="00B261BF" w:rsidRDefault="00053418" w:rsidP="00053418">
      <w:pPr>
        <w:pStyle w:val="BodyText"/>
        <w:rPr>
          <w:lang w:eastAsia="en-US"/>
        </w:rPr>
      </w:pPr>
      <w:r w:rsidRPr="009E06AA" w:rsidDel="00B261BF">
        <w:rPr>
          <w:lang w:eastAsia="en-US"/>
        </w:rPr>
        <w:t xml:space="preserve">Following guidance from the Kyoto Protocol, the types of natural disturbances New Zealand intends to exclude from the accounting are: </w:t>
      </w:r>
    </w:p>
    <w:p w14:paraId="4D477131" w14:textId="77777777" w:rsidR="00053418" w:rsidRPr="009E06AA" w:rsidDel="00B261BF" w:rsidRDefault="00053418" w:rsidP="00053418">
      <w:pPr>
        <w:pStyle w:val="Bullet"/>
        <w:numPr>
          <w:ilvl w:val="0"/>
          <w:numId w:val="29"/>
        </w:numPr>
        <w:ind w:left="397" w:hanging="397"/>
        <w:rPr>
          <w:rFonts w:cs="Calibri"/>
          <w:color w:val="000000"/>
          <w:sz w:val="20"/>
          <w:szCs w:val="20"/>
          <w:lang w:eastAsia="en-US"/>
        </w:rPr>
      </w:pPr>
      <w:r w:rsidRPr="009E06AA" w:rsidDel="00B261BF">
        <w:t xml:space="preserve">wildfires </w:t>
      </w:r>
    </w:p>
    <w:p w14:paraId="48CE538B" w14:textId="77777777" w:rsidR="00053418" w:rsidRPr="009E06AA" w:rsidDel="00B261BF" w:rsidRDefault="00053418" w:rsidP="00053418">
      <w:pPr>
        <w:pStyle w:val="Bullet"/>
        <w:numPr>
          <w:ilvl w:val="0"/>
          <w:numId w:val="29"/>
        </w:numPr>
        <w:ind w:left="397" w:hanging="397"/>
        <w:rPr>
          <w:rFonts w:cs="Calibri"/>
          <w:color w:val="000000"/>
          <w:lang w:eastAsia="en-US"/>
        </w:rPr>
      </w:pPr>
      <w:r w:rsidRPr="009E06AA" w:rsidDel="00B261BF">
        <w:rPr>
          <w:rFonts w:cs="Calibri"/>
          <w:color w:val="000000"/>
          <w:lang w:eastAsia="en-US"/>
        </w:rPr>
        <w:t xml:space="preserve">invertebrate and vertebrate pests and diseases </w:t>
      </w:r>
    </w:p>
    <w:p w14:paraId="2E67E72B" w14:textId="77777777" w:rsidR="00053418" w:rsidRPr="009E06AA" w:rsidDel="00B261BF" w:rsidRDefault="00053418" w:rsidP="00053418">
      <w:pPr>
        <w:pStyle w:val="Bullet"/>
        <w:numPr>
          <w:ilvl w:val="0"/>
          <w:numId w:val="29"/>
        </w:numPr>
        <w:ind w:left="397" w:hanging="397"/>
        <w:rPr>
          <w:rFonts w:cs="Calibri"/>
          <w:color w:val="000000"/>
          <w:lang w:eastAsia="en-US"/>
        </w:rPr>
      </w:pPr>
      <w:r w:rsidRPr="009E06AA" w:rsidDel="00B261BF">
        <w:rPr>
          <w:rFonts w:cs="Calibri"/>
          <w:color w:val="000000"/>
          <w:lang w:eastAsia="en-US"/>
        </w:rPr>
        <w:t xml:space="preserve">extreme weather events </w:t>
      </w:r>
    </w:p>
    <w:p w14:paraId="631C3722" w14:textId="77777777" w:rsidR="00053418" w:rsidRPr="009E06AA" w:rsidDel="00B261BF" w:rsidRDefault="00053418" w:rsidP="00053418">
      <w:pPr>
        <w:pStyle w:val="Bullet"/>
        <w:numPr>
          <w:ilvl w:val="0"/>
          <w:numId w:val="29"/>
        </w:numPr>
        <w:ind w:left="397" w:hanging="397"/>
        <w:rPr>
          <w:rFonts w:cs="Calibri"/>
          <w:color w:val="000000"/>
          <w:sz w:val="20"/>
          <w:szCs w:val="20"/>
          <w:lang w:eastAsia="en-US"/>
        </w:rPr>
      </w:pPr>
      <w:r w:rsidRPr="009E06AA" w:rsidDel="00B261BF">
        <w:rPr>
          <w:rFonts w:cs="Calibri"/>
          <w:color w:val="000000"/>
          <w:lang w:eastAsia="en-US"/>
        </w:rPr>
        <w:t xml:space="preserve">geological disturbances. </w:t>
      </w:r>
    </w:p>
    <w:p w14:paraId="4C7BFD60" w14:textId="77777777" w:rsidR="00053418" w:rsidRPr="009E06AA" w:rsidDel="00B261BF" w:rsidRDefault="00053418" w:rsidP="00053418">
      <w:pPr>
        <w:pStyle w:val="BodyText"/>
      </w:pPr>
      <w:r w:rsidRPr="009E06AA" w:rsidDel="00B261BF">
        <w:t xml:space="preserve">In all cases except fire, New Zealand will assume a zero baseline for the calibration period. While other natural disturbance events may have occurred throughout the calibration period, assumptions will be made for the purposes of calculating the background level using the approach described above. </w:t>
      </w:r>
    </w:p>
    <w:p w14:paraId="4BB4268A" w14:textId="77777777" w:rsidR="00053418" w:rsidRPr="009E06AA" w:rsidRDefault="00053418" w:rsidP="00053418">
      <w:pPr>
        <w:pStyle w:val="Heading3"/>
        <w:spacing w:before="240"/>
      </w:pPr>
      <w:r w:rsidRPr="009E06AA">
        <w:t>6.3.</w:t>
      </w:r>
      <w:r w:rsidRPr="009E06AA" w:rsidDel="00B261BF">
        <w:t>3</w:t>
      </w:r>
      <w:r w:rsidRPr="009E06AA">
        <w:tab/>
        <w:t>Information on approaches used for reporting harvested wood products</w:t>
      </w:r>
    </w:p>
    <w:p w14:paraId="59374DBA" w14:textId="4B5F42D0" w:rsidR="00053418" w:rsidRPr="009E06AA" w:rsidRDefault="00053418" w:rsidP="00053418">
      <w:pPr>
        <w:pStyle w:val="BodyText"/>
      </w:pPr>
      <w:r w:rsidRPr="009E06AA">
        <w:t xml:space="preserve">New Zealand applies the production approach to report </w:t>
      </w:r>
      <w:r w:rsidRPr="009E06AA">
        <w:rPr>
          <w:i/>
          <w:iCs/>
        </w:rPr>
        <w:t xml:space="preserve">Harvested </w:t>
      </w:r>
      <w:r w:rsidRPr="009E06AA">
        <w:rPr>
          <w:i/>
        </w:rPr>
        <w:t>wood products</w:t>
      </w:r>
      <w:r w:rsidRPr="009E06AA">
        <w:t>. To do this,</w:t>
      </w:r>
      <w:r w:rsidR="00E33E8B" w:rsidRPr="009E06AA">
        <w:t> </w:t>
      </w:r>
      <w:r w:rsidRPr="009E06AA">
        <w:t xml:space="preserve">New Zealand has adapted the default </w:t>
      </w:r>
      <w:r w:rsidRPr="009E06AA">
        <w:rPr>
          <w:i/>
        </w:rPr>
        <w:t>Harvested wood products</w:t>
      </w:r>
      <w:r w:rsidRPr="009E06AA">
        <w:t xml:space="preserve"> model and uses a Tier 2 method</w:t>
      </w:r>
      <w:r w:rsidR="00E33E8B" w:rsidRPr="009E06AA">
        <w:t xml:space="preserve"> </w:t>
      </w:r>
      <w:r w:rsidRPr="009E06AA">
        <w:t>(section 12.2.1.2, IPCC, 2006a), which involves using country-specific activity data and parameters (Wakelin et al., 2020; Wekesa, 2022).</w:t>
      </w:r>
    </w:p>
    <w:p w14:paraId="39ADD15B" w14:textId="77777777" w:rsidR="00053418" w:rsidRPr="009E06AA" w:rsidRDefault="00053418" w:rsidP="00053418">
      <w:pPr>
        <w:pStyle w:val="BodyText"/>
      </w:pPr>
      <w:r w:rsidRPr="009E06AA">
        <w:t xml:space="preserve">Further information is provided in section 6.10. </w:t>
      </w:r>
    </w:p>
    <w:p w14:paraId="5C456267" w14:textId="77777777" w:rsidR="00053418" w:rsidRPr="009E06AA" w:rsidRDefault="00053418" w:rsidP="00053418">
      <w:pPr>
        <w:pStyle w:val="Heading2"/>
      </w:pPr>
      <w:bookmarkStart w:id="1786" w:name="_Toc373395710"/>
      <w:bookmarkStart w:id="1787" w:name="_Toc391024700"/>
      <w:bookmarkStart w:id="1788" w:name="_Toc414531317"/>
      <w:bookmarkStart w:id="1789" w:name="_Toc474335459"/>
      <w:bookmarkStart w:id="1790" w:name="_Toc481751399"/>
      <w:bookmarkStart w:id="1791" w:name="_Toc522013951"/>
      <w:bookmarkStart w:id="1792" w:name="_Toc5269376"/>
      <w:bookmarkStart w:id="1793" w:name="_Toc36224416"/>
      <w:bookmarkStart w:id="1794" w:name="_Toc131591250"/>
      <w:bookmarkStart w:id="1795" w:name="_Toc158980297"/>
      <w:bookmarkStart w:id="1796" w:name="_Toc164154205"/>
      <w:r w:rsidRPr="009E06AA">
        <w:t>6.4</w:t>
      </w:r>
      <w:r w:rsidRPr="009E06AA">
        <w:tab/>
        <w:t>Forest land (4A)</w:t>
      </w:r>
      <w:bookmarkEnd w:id="1786"/>
      <w:bookmarkEnd w:id="1787"/>
      <w:bookmarkEnd w:id="1788"/>
      <w:bookmarkEnd w:id="1789"/>
      <w:bookmarkEnd w:id="1790"/>
      <w:bookmarkEnd w:id="1791"/>
      <w:bookmarkEnd w:id="1792"/>
      <w:bookmarkEnd w:id="1793"/>
      <w:bookmarkEnd w:id="1794"/>
      <w:bookmarkEnd w:id="1795"/>
      <w:bookmarkEnd w:id="1796"/>
    </w:p>
    <w:p w14:paraId="6CDCFB28" w14:textId="77777777" w:rsidR="00053418" w:rsidRPr="009E06AA" w:rsidRDefault="00053418" w:rsidP="00053418">
      <w:pPr>
        <w:pStyle w:val="Heading3"/>
        <w:spacing w:before="240"/>
      </w:pPr>
      <w:bookmarkStart w:id="1797" w:name="_Toc255466325"/>
      <w:bookmarkStart w:id="1798" w:name="_Toc261513132"/>
      <w:bookmarkStart w:id="1799" w:name="_Toc261513745"/>
      <w:bookmarkStart w:id="1800" w:name="_Toc280630241"/>
      <w:bookmarkStart w:id="1801" w:name="_Toc373395711"/>
      <w:r w:rsidRPr="009E06AA">
        <w:t>6.4.1</w:t>
      </w:r>
      <w:r w:rsidRPr="009E06AA">
        <w:tab/>
        <w:t>Description</w:t>
      </w:r>
      <w:bookmarkEnd w:id="1797"/>
      <w:bookmarkEnd w:id="1798"/>
      <w:bookmarkEnd w:id="1799"/>
      <w:bookmarkEnd w:id="1800"/>
      <w:bookmarkEnd w:id="1801"/>
    </w:p>
    <w:p w14:paraId="749C2364" w14:textId="77777777" w:rsidR="00053418" w:rsidRPr="009E06AA" w:rsidRDefault="00053418" w:rsidP="00053418">
      <w:pPr>
        <w:pStyle w:val="BodyText"/>
        <w:spacing w:before="100" w:after="100"/>
      </w:pPr>
      <w:r w:rsidRPr="009E06AA">
        <w:t xml:space="preserve">In 2022, </w:t>
      </w:r>
      <w:r w:rsidRPr="009E06AA">
        <w:rPr>
          <w:i/>
        </w:rPr>
        <w:t>Forest land</w:t>
      </w:r>
      <w:r w:rsidRPr="009E06AA">
        <w:t xml:space="preserve"> contributed </w:t>
      </w:r>
      <w:r w:rsidRPr="009E06AA">
        <w:rPr>
          <w:rFonts w:eastAsia="Calibri" w:cs="Calibri"/>
          <w:color w:val="000000"/>
        </w:rPr>
        <w:t>-17,274.3</w:t>
      </w:r>
      <w:r w:rsidRPr="009E06AA">
        <w:t xml:space="preserve"> kt CO</w:t>
      </w:r>
      <w:r w:rsidRPr="009E06AA">
        <w:rPr>
          <w:vertAlign w:val="subscript"/>
        </w:rPr>
        <w:t>2</w:t>
      </w:r>
      <w:r w:rsidRPr="009E06AA">
        <w:t xml:space="preserve">-e of net emissions. Net emissions from </w:t>
      </w:r>
      <w:r w:rsidRPr="009E06AA">
        <w:rPr>
          <w:i/>
        </w:rPr>
        <w:t xml:space="preserve">Forest </w:t>
      </w:r>
      <w:r w:rsidRPr="009E06AA">
        <w:rPr>
          <w:i/>
          <w:spacing w:val="-2"/>
        </w:rPr>
        <w:t>land</w:t>
      </w:r>
      <w:r w:rsidRPr="009E06AA">
        <w:rPr>
          <w:spacing w:val="-2"/>
        </w:rPr>
        <w:t xml:space="preserve"> have increased by </w:t>
      </w:r>
      <w:r w:rsidRPr="009E06AA">
        <w:rPr>
          <w:rFonts w:eastAsia="Calibri" w:cs="Calibri"/>
          <w:color w:val="000000"/>
          <w:spacing w:val="-2"/>
        </w:rPr>
        <w:t>6,037.4</w:t>
      </w:r>
      <w:r w:rsidRPr="009E06AA">
        <w:rPr>
          <w:spacing w:val="-2"/>
        </w:rPr>
        <w:t xml:space="preserve"> kt CO</w:t>
      </w:r>
      <w:r w:rsidRPr="009E06AA">
        <w:rPr>
          <w:spacing w:val="-2"/>
          <w:vertAlign w:val="subscript"/>
        </w:rPr>
        <w:t>2</w:t>
      </w:r>
      <w:r w:rsidRPr="009E06AA">
        <w:rPr>
          <w:spacing w:val="-2"/>
        </w:rPr>
        <w:t>-e (25.9 per cent) from the 1990 level of -23,311.8 kt CO</w:t>
      </w:r>
      <w:r w:rsidRPr="009E06AA">
        <w:rPr>
          <w:spacing w:val="-2"/>
          <w:vertAlign w:val="subscript"/>
        </w:rPr>
        <w:t>2</w:t>
      </w:r>
      <w:r w:rsidRPr="009E06AA">
        <w:rPr>
          <w:spacing w:val="-2"/>
        </w:rPr>
        <w:t>-e</w:t>
      </w:r>
      <w:r w:rsidRPr="009E06AA">
        <w:t xml:space="preserve"> (see table 6.4.1). Between 1990 and 2022,</w:t>
      </w:r>
      <w:r w:rsidRPr="009E06AA">
        <w:rPr>
          <w:i/>
        </w:rPr>
        <w:t xml:space="preserve"> Forest land</w:t>
      </w:r>
      <w:r w:rsidRPr="009E06AA">
        <w:t xml:space="preserve"> is the most significant contributor to </w:t>
      </w:r>
      <w:r w:rsidRPr="009E06AA">
        <w:rPr>
          <w:spacing w:val="-4"/>
        </w:rPr>
        <w:t>carbon stock changes in the LULUCF sector. In 2022, forests comprised 37.5 per cent (10.1 million</w:t>
      </w:r>
      <w:r w:rsidRPr="009E06AA">
        <w:t xml:space="preserve"> </w:t>
      </w:r>
      <w:r w:rsidRPr="009E06AA">
        <w:rPr>
          <w:spacing w:val="-2"/>
        </w:rPr>
        <w:t xml:space="preserve">hectares) of New Zealand’s total land area. Note that emissions for the </w:t>
      </w:r>
      <w:r w:rsidRPr="009E06AA">
        <w:rPr>
          <w:i/>
          <w:spacing w:val="-2"/>
        </w:rPr>
        <w:t>Harvested wood products</w:t>
      </w:r>
      <w:r w:rsidRPr="009E06AA">
        <w:t xml:space="preserve"> category are reported separately within the CRTs and are described further in section 6.10. </w:t>
      </w:r>
    </w:p>
    <w:p w14:paraId="2506A8E5" w14:textId="77777777" w:rsidR="00053418" w:rsidRPr="009E06AA" w:rsidRDefault="00053418" w:rsidP="00053418">
      <w:pPr>
        <w:pStyle w:val="BodyText"/>
      </w:pPr>
      <w:r w:rsidRPr="009E06AA">
        <w:t xml:space="preserve">In 2022, </w:t>
      </w:r>
      <w:r w:rsidRPr="009E06AA">
        <w:rPr>
          <w:i/>
        </w:rPr>
        <w:t>Forest land remaining forest land</w:t>
      </w:r>
      <w:r w:rsidRPr="009E06AA">
        <w:t xml:space="preserve"> and </w:t>
      </w:r>
      <w:r w:rsidRPr="009E06AA">
        <w:rPr>
          <w:i/>
        </w:rPr>
        <w:t>Land converted to forest land</w:t>
      </w:r>
      <w:r w:rsidRPr="009E06AA">
        <w:t xml:space="preserve"> were key categories (based on a trend and level assessment). </w:t>
      </w:r>
    </w:p>
    <w:p w14:paraId="0B8A0C85" w14:textId="77777777" w:rsidR="00053418" w:rsidRPr="009E06AA" w:rsidRDefault="00053418" w:rsidP="00053418">
      <w:pPr>
        <w:pStyle w:val="Table"/>
      </w:pPr>
      <w:bookmarkStart w:id="1802" w:name="_Toc280630453"/>
      <w:bookmarkStart w:id="1803" w:name="_Toc310423404"/>
      <w:bookmarkStart w:id="1804" w:name="_Toc318362697"/>
      <w:bookmarkStart w:id="1805" w:name="_Toc342470759"/>
      <w:bookmarkStart w:id="1806" w:name="_Toc352504999"/>
      <w:bookmarkStart w:id="1807" w:name="_Toc373395724"/>
      <w:bookmarkStart w:id="1808" w:name="_Toc378853290"/>
      <w:bookmarkStart w:id="1809" w:name="_Toc391024088"/>
      <w:bookmarkStart w:id="1810" w:name="_Toc410028831"/>
      <w:bookmarkStart w:id="1811" w:name="_Toc414531459"/>
      <w:bookmarkStart w:id="1812" w:name="_Toc443645372"/>
      <w:bookmarkStart w:id="1813" w:name="_Toc474914591"/>
      <w:bookmarkStart w:id="1814" w:name="_Toc481751555"/>
      <w:bookmarkStart w:id="1815" w:name="_Toc522010612"/>
      <w:bookmarkStart w:id="1816" w:name="_Toc5269517"/>
      <w:bookmarkStart w:id="1817" w:name="_Toc33529391"/>
      <w:bookmarkStart w:id="1818" w:name="_Toc36224597"/>
      <w:bookmarkStart w:id="1819" w:name="_Toc131591391"/>
      <w:bookmarkStart w:id="1820" w:name="_Toc158979949"/>
      <w:bookmarkStart w:id="1821" w:name="_Toc164153882"/>
      <w:r w:rsidRPr="009E06AA">
        <w:t>Table 6.4.1</w:t>
      </w:r>
      <w:r w:rsidRPr="009E06AA">
        <w:tab/>
        <w:t xml:space="preserve">New Zealand’s land-use change for the </w:t>
      </w:r>
      <w:r w:rsidRPr="009E06AA">
        <w:rPr>
          <w:i/>
        </w:rPr>
        <w:t>Forest land</w:t>
      </w:r>
      <w:r w:rsidRPr="009E06AA">
        <w:t xml:space="preserve"> category, and associated</w:t>
      </w:r>
      <w:r w:rsidRPr="009E06AA">
        <w:br/>
        <w:t>CO</w:t>
      </w:r>
      <w:r w:rsidRPr="009E06AA">
        <w:rPr>
          <w:vertAlign w:val="subscript"/>
        </w:rPr>
        <w:t>2</w:t>
      </w:r>
      <w:r w:rsidRPr="009E06AA">
        <w:t>-e emissions</w:t>
      </w:r>
      <w:bookmarkEnd w:id="1802"/>
      <w:bookmarkEnd w:id="1803"/>
      <w:bookmarkEnd w:id="1804"/>
      <w:bookmarkEnd w:id="1805"/>
      <w:bookmarkEnd w:id="1806"/>
      <w:bookmarkEnd w:id="1807"/>
      <w:bookmarkEnd w:id="1808"/>
      <w:r w:rsidRPr="009E06AA">
        <w:t xml:space="preserve">, in 1990 and </w:t>
      </w:r>
      <w:bookmarkEnd w:id="1809"/>
      <w:bookmarkEnd w:id="1810"/>
      <w:bookmarkEnd w:id="1811"/>
      <w:bookmarkEnd w:id="1812"/>
      <w:bookmarkEnd w:id="1813"/>
      <w:bookmarkEnd w:id="1814"/>
      <w:bookmarkEnd w:id="1815"/>
      <w:bookmarkEnd w:id="1816"/>
      <w:bookmarkEnd w:id="1817"/>
      <w:bookmarkEnd w:id="1818"/>
      <w:r w:rsidRPr="009E06AA">
        <w:t>2022</w:t>
      </w:r>
      <w:bookmarkEnd w:id="1819"/>
      <w:bookmarkEnd w:id="1820"/>
      <w:bookmarkEnd w:id="1821"/>
    </w:p>
    <w:tbl>
      <w:tblPr>
        <w:tblW w:w="8505" w:type="dxa"/>
        <w:tblBorders>
          <w:top w:val="single" w:sz="4" w:space="0" w:color="1B556B" w:themeColor="text2"/>
          <w:bottom w:val="single" w:sz="4" w:space="0" w:color="1B556B" w:themeColor="text2"/>
          <w:insideH w:val="single" w:sz="4" w:space="0" w:color="1B556B" w:themeColor="text2"/>
          <w:insideV w:val="single" w:sz="4" w:space="0" w:color="1B556B" w:themeColor="text2"/>
        </w:tblBorders>
        <w:tblLayout w:type="fixed"/>
        <w:tblLook w:val="0420" w:firstRow="1" w:lastRow="0" w:firstColumn="0" w:lastColumn="0" w:noHBand="0" w:noVBand="1"/>
      </w:tblPr>
      <w:tblGrid>
        <w:gridCol w:w="2533"/>
        <w:gridCol w:w="1014"/>
        <w:gridCol w:w="1014"/>
        <w:gridCol w:w="1127"/>
        <w:gridCol w:w="845"/>
        <w:gridCol w:w="845"/>
        <w:gridCol w:w="1127"/>
      </w:tblGrid>
      <w:tr w:rsidR="00053418" w:rsidRPr="009E06AA" w14:paraId="7CBFC490" w14:textId="77777777" w:rsidTr="00B55F24">
        <w:trPr>
          <w:tblHeader/>
        </w:trPr>
        <w:tc>
          <w:tcPr>
            <w:tcW w:w="2551" w:type="dxa"/>
            <w:shd w:val="clear" w:color="auto" w:fill="1B556B"/>
            <w:tcMar>
              <w:top w:w="0" w:type="dxa"/>
              <w:left w:w="85" w:type="dxa"/>
              <w:bottom w:w="0" w:type="dxa"/>
              <w:right w:w="85" w:type="dxa"/>
            </w:tcMar>
            <w:vAlign w:val="center"/>
          </w:tcPr>
          <w:p w14:paraId="4A0F0E0D" w14:textId="77777777" w:rsidR="00053418" w:rsidRPr="009E06AA" w:rsidRDefault="00053418" w:rsidP="00B55F24">
            <w:pPr>
              <w:pStyle w:val="TableText"/>
            </w:pPr>
          </w:p>
        </w:tc>
        <w:tc>
          <w:tcPr>
            <w:tcW w:w="3174" w:type="dxa"/>
            <w:gridSpan w:val="3"/>
            <w:shd w:val="clear" w:color="auto" w:fill="1B556B"/>
            <w:tcMar>
              <w:top w:w="0" w:type="dxa"/>
              <w:left w:w="85" w:type="dxa"/>
              <w:bottom w:w="0" w:type="dxa"/>
              <w:right w:w="85" w:type="dxa"/>
            </w:tcMar>
            <w:vAlign w:val="center"/>
          </w:tcPr>
          <w:p w14:paraId="3E9AEA5B" w14:textId="77777777" w:rsidR="00053418" w:rsidRPr="009E06AA" w:rsidRDefault="00053418" w:rsidP="00DC42C0">
            <w:pPr>
              <w:pStyle w:val="TableText"/>
              <w:spacing w:after="0"/>
              <w:jc w:val="center"/>
            </w:pPr>
            <w:r w:rsidRPr="009E06AA">
              <w:rPr>
                <w:rFonts w:eastAsia="Calibri" w:cs="Calibri"/>
                <w:b/>
                <w:color w:val="FFFFFF"/>
                <w:szCs w:val="16"/>
              </w:rPr>
              <w:t>Net area (ha)</w:t>
            </w:r>
          </w:p>
        </w:tc>
        <w:tc>
          <w:tcPr>
            <w:tcW w:w="2834" w:type="dxa"/>
            <w:gridSpan w:val="3"/>
            <w:shd w:val="clear" w:color="auto" w:fill="1B556B"/>
            <w:tcMar>
              <w:top w:w="0" w:type="dxa"/>
              <w:left w:w="85" w:type="dxa"/>
              <w:bottom w:w="0" w:type="dxa"/>
              <w:right w:w="85" w:type="dxa"/>
            </w:tcMar>
            <w:vAlign w:val="center"/>
          </w:tcPr>
          <w:p w14:paraId="581D7289" w14:textId="77777777" w:rsidR="00053418" w:rsidRPr="009E06AA" w:rsidRDefault="00053418" w:rsidP="00DC42C0">
            <w:pPr>
              <w:pStyle w:val="TableText"/>
              <w:spacing w:after="0"/>
              <w:jc w:val="center"/>
            </w:pPr>
            <w:r w:rsidRPr="009E06AA">
              <w:rPr>
                <w:rFonts w:eastAsia="Calibri" w:cs="Calibri"/>
                <w:b/>
                <w:color w:val="FFFFFF"/>
                <w:szCs w:val="16"/>
              </w:rPr>
              <w:t>Net emissions (kt CO₂-e)</w:t>
            </w:r>
          </w:p>
        </w:tc>
      </w:tr>
      <w:tr w:rsidR="00053418" w:rsidRPr="009E06AA" w14:paraId="71951089" w14:textId="77777777" w:rsidTr="00D4367D">
        <w:trPr>
          <w:tblHeader/>
        </w:trPr>
        <w:tc>
          <w:tcPr>
            <w:tcW w:w="2551" w:type="dxa"/>
            <w:shd w:val="clear" w:color="auto" w:fill="1B556B"/>
            <w:tcMar>
              <w:top w:w="0" w:type="dxa"/>
              <w:left w:w="85" w:type="dxa"/>
              <w:bottom w:w="0" w:type="dxa"/>
              <w:right w:w="85" w:type="dxa"/>
            </w:tcMar>
            <w:vAlign w:val="bottom"/>
          </w:tcPr>
          <w:p w14:paraId="63E4BD80" w14:textId="77777777" w:rsidR="00053418" w:rsidRPr="009E06AA" w:rsidRDefault="00053418" w:rsidP="00E27551">
            <w:pPr>
              <w:pStyle w:val="TableText"/>
              <w:spacing w:before="0"/>
            </w:pPr>
            <w:r w:rsidRPr="009E06AA">
              <w:rPr>
                <w:rFonts w:eastAsia="Calibri" w:cs="Calibri"/>
                <w:b/>
                <w:color w:val="FFFFFF"/>
                <w:szCs w:val="16"/>
              </w:rPr>
              <w:t>Land use category</w:t>
            </w:r>
          </w:p>
        </w:tc>
        <w:tc>
          <w:tcPr>
            <w:tcW w:w="1020" w:type="dxa"/>
            <w:tcBorders>
              <w:bottom w:val="single" w:sz="4" w:space="0" w:color="1B556B" w:themeColor="text2"/>
            </w:tcBorders>
            <w:shd w:val="clear" w:color="auto" w:fill="1B556B"/>
            <w:tcMar>
              <w:top w:w="0" w:type="dxa"/>
              <w:left w:w="85" w:type="dxa"/>
              <w:bottom w:w="0" w:type="dxa"/>
              <w:right w:w="85" w:type="dxa"/>
            </w:tcMar>
            <w:vAlign w:val="bottom"/>
          </w:tcPr>
          <w:p w14:paraId="5946B4A2" w14:textId="77777777" w:rsidR="00053418" w:rsidRPr="009E06AA" w:rsidRDefault="00053418" w:rsidP="0066542C">
            <w:pPr>
              <w:pStyle w:val="TableText"/>
              <w:spacing w:before="0"/>
              <w:jc w:val="right"/>
            </w:pPr>
            <w:r w:rsidRPr="009E06AA">
              <w:rPr>
                <w:rFonts w:eastAsia="Calibri" w:cs="Calibri"/>
                <w:b/>
                <w:color w:val="FFFFFF"/>
                <w:szCs w:val="16"/>
              </w:rPr>
              <w:t>1990</w:t>
            </w:r>
          </w:p>
        </w:tc>
        <w:tc>
          <w:tcPr>
            <w:tcW w:w="1020" w:type="dxa"/>
            <w:tcBorders>
              <w:bottom w:val="single" w:sz="4" w:space="0" w:color="1B556B" w:themeColor="text2"/>
            </w:tcBorders>
            <w:shd w:val="clear" w:color="auto" w:fill="1B556B"/>
            <w:tcMar>
              <w:top w:w="0" w:type="dxa"/>
              <w:left w:w="85" w:type="dxa"/>
              <w:bottom w:w="0" w:type="dxa"/>
              <w:right w:w="85" w:type="dxa"/>
            </w:tcMar>
            <w:vAlign w:val="bottom"/>
          </w:tcPr>
          <w:p w14:paraId="088CA297" w14:textId="77777777" w:rsidR="00053418" w:rsidRPr="009E06AA" w:rsidRDefault="00053418" w:rsidP="0066542C">
            <w:pPr>
              <w:pStyle w:val="TableText"/>
              <w:spacing w:before="0"/>
              <w:jc w:val="right"/>
            </w:pPr>
            <w:r w:rsidRPr="009E06AA">
              <w:rPr>
                <w:rFonts w:eastAsia="Calibri" w:cs="Calibri"/>
                <w:b/>
                <w:color w:val="FFFFFF"/>
                <w:szCs w:val="16"/>
              </w:rPr>
              <w:t>2022</w:t>
            </w:r>
          </w:p>
        </w:tc>
        <w:tc>
          <w:tcPr>
            <w:tcW w:w="1134" w:type="dxa"/>
            <w:tcBorders>
              <w:bottom w:val="single" w:sz="4" w:space="0" w:color="1B556B" w:themeColor="text2"/>
            </w:tcBorders>
            <w:shd w:val="clear" w:color="auto" w:fill="1B556B"/>
            <w:tcMar>
              <w:top w:w="0" w:type="dxa"/>
              <w:left w:w="85" w:type="dxa"/>
              <w:bottom w:w="0" w:type="dxa"/>
              <w:right w:w="85" w:type="dxa"/>
            </w:tcMar>
            <w:vAlign w:val="bottom"/>
          </w:tcPr>
          <w:p w14:paraId="16463860" w14:textId="77777777" w:rsidR="00053418" w:rsidRPr="009E06AA" w:rsidRDefault="00053418" w:rsidP="0066542C">
            <w:pPr>
              <w:pStyle w:val="TableText"/>
              <w:spacing w:before="0"/>
              <w:jc w:val="right"/>
            </w:pPr>
            <w:r w:rsidRPr="009E06AA">
              <w:rPr>
                <w:rFonts w:eastAsia="Calibri" w:cs="Calibri"/>
                <w:b/>
                <w:color w:val="FFFFFF"/>
                <w:szCs w:val="16"/>
              </w:rPr>
              <w:t>Change from 1990 (%)</w:t>
            </w:r>
          </w:p>
        </w:tc>
        <w:tc>
          <w:tcPr>
            <w:tcW w:w="850" w:type="dxa"/>
            <w:tcBorders>
              <w:bottom w:val="single" w:sz="4" w:space="0" w:color="1B556B" w:themeColor="text2"/>
            </w:tcBorders>
            <w:shd w:val="clear" w:color="auto" w:fill="1B556B"/>
            <w:tcMar>
              <w:top w:w="0" w:type="dxa"/>
              <w:left w:w="85" w:type="dxa"/>
              <w:bottom w:w="0" w:type="dxa"/>
              <w:right w:w="85" w:type="dxa"/>
            </w:tcMar>
            <w:vAlign w:val="bottom"/>
          </w:tcPr>
          <w:p w14:paraId="1EED7339" w14:textId="77777777" w:rsidR="00053418" w:rsidRPr="009E06AA" w:rsidRDefault="00053418" w:rsidP="0066542C">
            <w:pPr>
              <w:pStyle w:val="TableText"/>
              <w:spacing w:before="0"/>
              <w:jc w:val="right"/>
            </w:pPr>
            <w:r w:rsidRPr="009E06AA">
              <w:rPr>
                <w:rFonts w:eastAsia="Calibri" w:cs="Calibri"/>
                <w:b/>
                <w:color w:val="FFFFFF"/>
                <w:szCs w:val="16"/>
              </w:rPr>
              <w:t>1990</w:t>
            </w:r>
          </w:p>
        </w:tc>
        <w:tc>
          <w:tcPr>
            <w:tcW w:w="850" w:type="dxa"/>
            <w:tcBorders>
              <w:bottom w:val="single" w:sz="4" w:space="0" w:color="1B556B" w:themeColor="text2"/>
            </w:tcBorders>
            <w:shd w:val="clear" w:color="auto" w:fill="1B556B"/>
            <w:tcMar>
              <w:top w:w="0" w:type="dxa"/>
              <w:left w:w="85" w:type="dxa"/>
              <w:bottom w:w="0" w:type="dxa"/>
              <w:right w:w="85" w:type="dxa"/>
            </w:tcMar>
            <w:vAlign w:val="bottom"/>
          </w:tcPr>
          <w:p w14:paraId="166A1BF7" w14:textId="77777777" w:rsidR="00053418" w:rsidRPr="009E06AA" w:rsidRDefault="00053418" w:rsidP="0066542C">
            <w:pPr>
              <w:pStyle w:val="TableText"/>
              <w:spacing w:before="0"/>
              <w:jc w:val="right"/>
            </w:pPr>
            <w:r w:rsidRPr="009E06AA">
              <w:rPr>
                <w:rFonts w:eastAsia="Calibri" w:cs="Calibri"/>
                <w:b/>
                <w:color w:val="FFFFFF"/>
                <w:szCs w:val="16"/>
              </w:rPr>
              <w:t>2022</w:t>
            </w:r>
          </w:p>
        </w:tc>
        <w:tc>
          <w:tcPr>
            <w:tcW w:w="1134" w:type="dxa"/>
            <w:shd w:val="clear" w:color="auto" w:fill="1B556B"/>
            <w:tcMar>
              <w:top w:w="0" w:type="dxa"/>
              <w:left w:w="85" w:type="dxa"/>
              <w:bottom w:w="0" w:type="dxa"/>
              <w:right w:w="85" w:type="dxa"/>
            </w:tcMar>
            <w:vAlign w:val="bottom"/>
          </w:tcPr>
          <w:p w14:paraId="7FBF866D" w14:textId="77777777" w:rsidR="00053418" w:rsidRPr="009E06AA" w:rsidRDefault="00053418" w:rsidP="0066542C">
            <w:pPr>
              <w:pStyle w:val="TableText"/>
              <w:spacing w:before="0"/>
              <w:jc w:val="right"/>
            </w:pPr>
            <w:r w:rsidRPr="009E06AA">
              <w:rPr>
                <w:rFonts w:eastAsia="Calibri" w:cs="Calibri"/>
                <w:b/>
                <w:color w:val="FFFFFF"/>
                <w:szCs w:val="16"/>
              </w:rPr>
              <w:t>Change from 1990 (%)</w:t>
            </w:r>
          </w:p>
        </w:tc>
      </w:tr>
      <w:tr w:rsidR="00053418" w:rsidRPr="009E06AA" w14:paraId="797769F6" w14:textId="77777777" w:rsidTr="00D4367D">
        <w:tc>
          <w:tcPr>
            <w:tcW w:w="2551" w:type="dxa"/>
            <w:tcBorders>
              <w:right w:val="nil"/>
            </w:tcBorders>
            <w:shd w:val="clear" w:color="auto" w:fill="FFFFFF"/>
            <w:tcMar>
              <w:top w:w="0" w:type="dxa"/>
              <w:left w:w="85" w:type="dxa"/>
              <w:bottom w:w="0" w:type="dxa"/>
              <w:right w:w="85" w:type="dxa"/>
            </w:tcMar>
            <w:vAlign w:val="center"/>
          </w:tcPr>
          <w:p w14:paraId="7EA84B3B" w14:textId="77777777" w:rsidR="00053418" w:rsidRPr="009E06AA" w:rsidRDefault="00053418" w:rsidP="00E27551">
            <w:pPr>
              <w:pStyle w:val="TableText"/>
              <w:spacing w:before="40" w:after="40"/>
            </w:pPr>
            <w:r w:rsidRPr="009E06AA">
              <w:rPr>
                <w:rFonts w:eastAsia="Calibri" w:cs="Calibri"/>
                <w:color w:val="000000"/>
                <w:szCs w:val="16"/>
              </w:rPr>
              <w:t>Forest land remaining forest land</w:t>
            </w:r>
          </w:p>
        </w:tc>
        <w:tc>
          <w:tcPr>
            <w:tcW w:w="1020" w:type="dxa"/>
            <w:tcBorders>
              <w:left w:val="nil"/>
              <w:right w:val="nil"/>
            </w:tcBorders>
            <w:shd w:val="clear" w:color="auto" w:fill="FFFFFF"/>
            <w:tcMar>
              <w:top w:w="0" w:type="dxa"/>
              <w:left w:w="85" w:type="dxa"/>
              <w:bottom w:w="0" w:type="dxa"/>
              <w:right w:w="85" w:type="dxa"/>
            </w:tcMar>
            <w:vAlign w:val="center"/>
          </w:tcPr>
          <w:p w14:paraId="195B1331" w14:textId="77777777" w:rsidR="00053418" w:rsidRPr="009E06AA" w:rsidRDefault="00053418" w:rsidP="0066542C">
            <w:pPr>
              <w:pStyle w:val="TableText"/>
              <w:spacing w:before="40" w:after="40"/>
              <w:jc w:val="right"/>
            </w:pPr>
            <w:r w:rsidRPr="009E06AA">
              <w:rPr>
                <w:rFonts w:eastAsia="Calibri" w:cs="Calibri"/>
                <w:color w:val="000000"/>
                <w:szCs w:val="16"/>
              </w:rPr>
              <w:t>8,540,818</w:t>
            </w:r>
          </w:p>
        </w:tc>
        <w:tc>
          <w:tcPr>
            <w:tcW w:w="1020" w:type="dxa"/>
            <w:tcBorders>
              <w:left w:val="nil"/>
              <w:right w:val="nil"/>
            </w:tcBorders>
            <w:shd w:val="clear" w:color="auto" w:fill="FFFFFF"/>
            <w:tcMar>
              <w:top w:w="0" w:type="dxa"/>
              <w:left w:w="85" w:type="dxa"/>
              <w:bottom w:w="0" w:type="dxa"/>
              <w:right w:w="85" w:type="dxa"/>
            </w:tcMar>
            <w:vAlign w:val="center"/>
          </w:tcPr>
          <w:p w14:paraId="55FC02E9" w14:textId="77777777" w:rsidR="00053418" w:rsidRPr="009E06AA" w:rsidRDefault="00053418" w:rsidP="0066542C">
            <w:pPr>
              <w:pStyle w:val="TableText"/>
              <w:spacing w:before="40" w:after="40"/>
              <w:jc w:val="right"/>
            </w:pPr>
            <w:r w:rsidRPr="009E06AA">
              <w:rPr>
                <w:rFonts w:eastAsia="Calibri" w:cs="Calibri"/>
                <w:color w:val="000000"/>
                <w:szCs w:val="16"/>
              </w:rPr>
              <w:t>9,701,360</w:t>
            </w:r>
          </w:p>
        </w:tc>
        <w:tc>
          <w:tcPr>
            <w:tcW w:w="1134" w:type="dxa"/>
            <w:tcBorders>
              <w:left w:val="nil"/>
              <w:right w:val="nil"/>
            </w:tcBorders>
            <w:shd w:val="clear" w:color="auto" w:fill="FFFFFF"/>
            <w:tcMar>
              <w:top w:w="0" w:type="dxa"/>
              <w:left w:w="85" w:type="dxa"/>
              <w:bottom w:w="0" w:type="dxa"/>
              <w:right w:w="85" w:type="dxa"/>
            </w:tcMar>
            <w:vAlign w:val="center"/>
          </w:tcPr>
          <w:p w14:paraId="400882C1" w14:textId="77777777" w:rsidR="00053418" w:rsidRPr="009E06AA" w:rsidRDefault="00053418" w:rsidP="0066542C">
            <w:pPr>
              <w:pStyle w:val="TableText"/>
              <w:spacing w:before="40" w:after="40"/>
              <w:jc w:val="right"/>
            </w:pPr>
            <w:r w:rsidRPr="009E06AA">
              <w:rPr>
                <w:rFonts w:eastAsia="Calibri" w:cs="Calibri"/>
                <w:color w:val="000000"/>
                <w:szCs w:val="16"/>
              </w:rPr>
              <w:t>13.6</w:t>
            </w:r>
          </w:p>
        </w:tc>
        <w:tc>
          <w:tcPr>
            <w:tcW w:w="850" w:type="dxa"/>
            <w:tcBorders>
              <w:left w:val="nil"/>
              <w:right w:val="nil"/>
            </w:tcBorders>
            <w:shd w:val="clear" w:color="auto" w:fill="FFFFFF"/>
            <w:tcMar>
              <w:top w:w="0" w:type="dxa"/>
              <w:left w:w="85" w:type="dxa"/>
              <w:bottom w:w="0" w:type="dxa"/>
              <w:right w:w="85" w:type="dxa"/>
            </w:tcMar>
            <w:vAlign w:val="center"/>
          </w:tcPr>
          <w:p w14:paraId="218D0559" w14:textId="77777777" w:rsidR="00053418" w:rsidRPr="009E06AA" w:rsidRDefault="00053418" w:rsidP="0066542C">
            <w:pPr>
              <w:pStyle w:val="TableText"/>
              <w:spacing w:before="40" w:after="40"/>
              <w:jc w:val="right"/>
            </w:pPr>
            <w:r w:rsidRPr="009E06AA">
              <w:rPr>
                <w:rFonts w:eastAsia="Calibri" w:cs="Calibri"/>
                <w:color w:val="000000"/>
                <w:szCs w:val="16"/>
              </w:rPr>
              <w:t>-5,338.8</w:t>
            </w:r>
          </w:p>
        </w:tc>
        <w:tc>
          <w:tcPr>
            <w:tcW w:w="850" w:type="dxa"/>
            <w:tcBorders>
              <w:left w:val="nil"/>
              <w:right w:val="nil"/>
            </w:tcBorders>
            <w:shd w:val="clear" w:color="auto" w:fill="FFFFFF"/>
            <w:tcMar>
              <w:top w:w="0" w:type="dxa"/>
              <w:left w:w="85" w:type="dxa"/>
              <w:bottom w:w="0" w:type="dxa"/>
              <w:right w:w="85" w:type="dxa"/>
            </w:tcMar>
            <w:vAlign w:val="center"/>
          </w:tcPr>
          <w:p w14:paraId="3A12FC00" w14:textId="77777777" w:rsidR="00053418" w:rsidRPr="009E06AA" w:rsidRDefault="00053418" w:rsidP="0066542C">
            <w:pPr>
              <w:pStyle w:val="TableText"/>
              <w:spacing w:before="40" w:after="40"/>
              <w:jc w:val="right"/>
            </w:pPr>
            <w:r w:rsidRPr="009E06AA">
              <w:rPr>
                <w:rFonts w:eastAsia="Calibri" w:cs="Calibri"/>
                <w:color w:val="000000"/>
                <w:szCs w:val="16"/>
              </w:rPr>
              <w:t>-14,849.6</w:t>
            </w:r>
          </w:p>
        </w:tc>
        <w:tc>
          <w:tcPr>
            <w:tcW w:w="1134" w:type="dxa"/>
            <w:tcBorders>
              <w:left w:val="nil"/>
            </w:tcBorders>
            <w:shd w:val="clear" w:color="auto" w:fill="FFFFFF"/>
            <w:tcMar>
              <w:top w:w="0" w:type="dxa"/>
              <w:left w:w="85" w:type="dxa"/>
              <w:bottom w:w="0" w:type="dxa"/>
              <w:right w:w="85" w:type="dxa"/>
            </w:tcMar>
            <w:vAlign w:val="center"/>
          </w:tcPr>
          <w:p w14:paraId="055A6F95" w14:textId="77777777" w:rsidR="00053418" w:rsidRPr="009E06AA" w:rsidRDefault="00053418" w:rsidP="0066542C">
            <w:pPr>
              <w:pStyle w:val="TableText"/>
              <w:spacing w:before="40" w:after="40"/>
              <w:jc w:val="right"/>
            </w:pPr>
            <w:r w:rsidRPr="009E06AA">
              <w:rPr>
                <w:rFonts w:eastAsia="Calibri" w:cs="Calibri"/>
                <w:color w:val="000000"/>
                <w:szCs w:val="16"/>
              </w:rPr>
              <w:t>-178.1</w:t>
            </w:r>
          </w:p>
        </w:tc>
      </w:tr>
      <w:tr w:rsidR="00053418" w:rsidRPr="009E06AA" w14:paraId="114F8F86" w14:textId="77777777" w:rsidTr="00D4367D">
        <w:tc>
          <w:tcPr>
            <w:tcW w:w="2551" w:type="dxa"/>
            <w:tcBorders>
              <w:right w:val="nil"/>
            </w:tcBorders>
            <w:shd w:val="clear" w:color="auto" w:fill="FFFFFF"/>
            <w:tcMar>
              <w:top w:w="0" w:type="dxa"/>
              <w:left w:w="85" w:type="dxa"/>
              <w:bottom w:w="0" w:type="dxa"/>
              <w:right w:w="85" w:type="dxa"/>
            </w:tcMar>
            <w:vAlign w:val="center"/>
          </w:tcPr>
          <w:p w14:paraId="75290377" w14:textId="77777777" w:rsidR="00053418" w:rsidRPr="009E06AA" w:rsidRDefault="00053418" w:rsidP="00E27551">
            <w:pPr>
              <w:pStyle w:val="TableText"/>
              <w:spacing w:before="40" w:after="40"/>
            </w:pPr>
            <w:r w:rsidRPr="009E06AA">
              <w:rPr>
                <w:rFonts w:eastAsia="Calibri" w:cs="Calibri"/>
                <w:color w:val="000000"/>
                <w:szCs w:val="16"/>
              </w:rPr>
              <w:t>Land converted to forest land</w:t>
            </w:r>
          </w:p>
        </w:tc>
        <w:tc>
          <w:tcPr>
            <w:tcW w:w="1020" w:type="dxa"/>
            <w:tcBorders>
              <w:left w:val="nil"/>
              <w:right w:val="nil"/>
            </w:tcBorders>
            <w:shd w:val="clear" w:color="auto" w:fill="FFFFFF"/>
            <w:tcMar>
              <w:top w:w="0" w:type="dxa"/>
              <w:left w:w="85" w:type="dxa"/>
              <w:bottom w:w="0" w:type="dxa"/>
              <w:right w:w="85" w:type="dxa"/>
            </w:tcMar>
            <w:vAlign w:val="center"/>
          </w:tcPr>
          <w:p w14:paraId="4176EB3C" w14:textId="77777777" w:rsidR="00053418" w:rsidRPr="009E06AA" w:rsidRDefault="00053418" w:rsidP="0066542C">
            <w:pPr>
              <w:pStyle w:val="TableText"/>
              <w:spacing w:before="40" w:after="40"/>
              <w:jc w:val="right"/>
            </w:pPr>
            <w:r w:rsidRPr="009E06AA">
              <w:rPr>
                <w:rFonts w:eastAsia="Calibri" w:cs="Calibri"/>
                <w:color w:val="000000"/>
                <w:szCs w:val="16"/>
              </w:rPr>
              <w:t>820,953</w:t>
            </w:r>
          </w:p>
        </w:tc>
        <w:tc>
          <w:tcPr>
            <w:tcW w:w="1020" w:type="dxa"/>
            <w:tcBorders>
              <w:left w:val="nil"/>
              <w:right w:val="nil"/>
            </w:tcBorders>
            <w:shd w:val="clear" w:color="auto" w:fill="FFFFFF"/>
            <w:tcMar>
              <w:top w:w="0" w:type="dxa"/>
              <w:left w:w="85" w:type="dxa"/>
              <w:bottom w:w="0" w:type="dxa"/>
              <w:right w:w="85" w:type="dxa"/>
            </w:tcMar>
            <w:vAlign w:val="center"/>
          </w:tcPr>
          <w:p w14:paraId="0A2B3225" w14:textId="77777777" w:rsidR="00053418" w:rsidRPr="009E06AA" w:rsidRDefault="00053418" w:rsidP="0066542C">
            <w:pPr>
              <w:pStyle w:val="TableText"/>
              <w:spacing w:before="40" w:after="40"/>
              <w:jc w:val="right"/>
            </w:pPr>
            <w:r w:rsidRPr="009E06AA">
              <w:rPr>
                <w:rFonts w:eastAsia="Calibri" w:cs="Calibri"/>
                <w:color w:val="000000"/>
                <w:szCs w:val="16"/>
              </w:rPr>
              <w:t>392,788</w:t>
            </w:r>
          </w:p>
        </w:tc>
        <w:tc>
          <w:tcPr>
            <w:tcW w:w="1134" w:type="dxa"/>
            <w:tcBorders>
              <w:left w:val="nil"/>
              <w:right w:val="nil"/>
            </w:tcBorders>
            <w:shd w:val="clear" w:color="auto" w:fill="FFFFFF"/>
            <w:tcMar>
              <w:top w:w="0" w:type="dxa"/>
              <w:left w:w="85" w:type="dxa"/>
              <w:bottom w:w="0" w:type="dxa"/>
              <w:right w:w="85" w:type="dxa"/>
            </w:tcMar>
            <w:vAlign w:val="center"/>
          </w:tcPr>
          <w:p w14:paraId="362F64A6" w14:textId="77777777" w:rsidR="00053418" w:rsidRPr="009E06AA" w:rsidRDefault="00053418" w:rsidP="0066542C">
            <w:pPr>
              <w:pStyle w:val="TableText"/>
              <w:spacing w:before="40" w:after="40"/>
              <w:jc w:val="right"/>
            </w:pPr>
            <w:r w:rsidRPr="009E06AA">
              <w:rPr>
                <w:rFonts w:eastAsia="Calibri" w:cs="Calibri"/>
                <w:color w:val="000000"/>
                <w:szCs w:val="16"/>
              </w:rPr>
              <w:t>-52.2</w:t>
            </w:r>
          </w:p>
        </w:tc>
        <w:tc>
          <w:tcPr>
            <w:tcW w:w="850" w:type="dxa"/>
            <w:tcBorders>
              <w:left w:val="nil"/>
              <w:right w:val="nil"/>
            </w:tcBorders>
            <w:shd w:val="clear" w:color="auto" w:fill="FFFFFF"/>
            <w:tcMar>
              <w:top w:w="0" w:type="dxa"/>
              <w:left w:w="85" w:type="dxa"/>
              <w:bottom w:w="0" w:type="dxa"/>
              <w:right w:w="85" w:type="dxa"/>
            </w:tcMar>
            <w:vAlign w:val="center"/>
          </w:tcPr>
          <w:p w14:paraId="5334F86A" w14:textId="77777777" w:rsidR="00053418" w:rsidRPr="009E06AA" w:rsidRDefault="00053418" w:rsidP="0066542C">
            <w:pPr>
              <w:pStyle w:val="TableText"/>
              <w:spacing w:before="40" w:after="40"/>
              <w:jc w:val="right"/>
            </w:pPr>
            <w:r w:rsidRPr="009E06AA">
              <w:rPr>
                <w:rFonts w:eastAsia="Calibri" w:cs="Calibri"/>
                <w:color w:val="000000"/>
                <w:szCs w:val="16"/>
              </w:rPr>
              <w:t>-17,973.0</w:t>
            </w:r>
          </w:p>
        </w:tc>
        <w:tc>
          <w:tcPr>
            <w:tcW w:w="850" w:type="dxa"/>
            <w:tcBorders>
              <w:left w:val="nil"/>
              <w:right w:val="nil"/>
            </w:tcBorders>
            <w:shd w:val="clear" w:color="auto" w:fill="FFFFFF"/>
            <w:tcMar>
              <w:top w:w="0" w:type="dxa"/>
              <w:left w:w="85" w:type="dxa"/>
              <w:bottom w:w="0" w:type="dxa"/>
              <w:right w:w="85" w:type="dxa"/>
            </w:tcMar>
            <w:vAlign w:val="center"/>
          </w:tcPr>
          <w:p w14:paraId="322AD89E" w14:textId="77777777" w:rsidR="00053418" w:rsidRPr="009E06AA" w:rsidRDefault="00053418" w:rsidP="0066542C">
            <w:pPr>
              <w:pStyle w:val="TableText"/>
              <w:spacing w:before="40" w:after="40"/>
              <w:jc w:val="right"/>
            </w:pPr>
            <w:r w:rsidRPr="009E06AA">
              <w:rPr>
                <w:rFonts w:eastAsia="Calibri" w:cs="Calibri"/>
                <w:color w:val="000000"/>
                <w:szCs w:val="16"/>
              </w:rPr>
              <w:t>-2,424.7</w:t>
            </w:r>
          </w:p>
        </w:tc>
        <w:tc>
          <w:tcPr>
            <w:tcW w:w="1134" w:type="dxa"/>
            <w:tcBorders>
              <w:left w:val="nil"/>
            </w:tcBorders>
            <w:shd w:val="clear" w:color="auto" w:fill="FFFFFF"/>
            <w:tcMar>
              <w:top w:w="0" w:type="dxa"/>
              <w:left w:w="85" w:type="dxa"/>
              <w:bottom w:w="0" w:type="dxa"/>
              <w:right w:w="85" w:type="dxa"/>
            </w:tcMar>
            <w:vAlign w:val="center"/>
          </w:tcPr>
          <w:p w14:paraId="30C504A2" w14:textId="77777777" w:rsidR="00053418" w:rsidRPr="009E06AA" w:rsidRDefault="00053418" w:rsidP="0066542C">
            <w:pPr>
              <w:pStyle w:val="TableText"/>
              <w:spacing w:before="40" w:after="40"/>
              <w:jc w:val="right"/>
            </w:pPr>
            <w:r w:rsidRPr="009E06AA">
              <w:rPr>
                <w:rFonts w:eastAsia="Calibri" w:cs="Calibri"/>
                <w:color w:val="000000"/>
                <w:szCs w:val="16"/>
              </w:rPr>
              <w:t>86.5</w:t>
            </w:r>
          </w:p>
        </w:tc>
      </w:tr>
      <w:tr w:rsidR="00053418" w:rsidRPr="009E06AA" w14:paraId="060BAFB2" w14:textId="77777777" w:rsidTr="00D4367D">
        <w:tc>
          <w:tcPr>
            <w:tcW w:w="2551" w:type="dxa"/>
            <w:tcBorders>
              <w:right w:val="nil"/>
            </w:tcBorders>
            <w:shd w:val="clear" w:color="auto" w:fill="FFFFFF"/>
            <w:tcMar>
              <w:top w:w="0" w:type="dxa"/>
              <w:left w:w="85" w:type="dxa"/>
              <w:bottom w:w="0" w:type="dxa"/>
              <w:right w:w="85" w:type="dxa"/>
            </w:tcMar>
            <w:vAlign w:val="center"/>
          </w:tcPr>
          <w:p w14:paraId="3441C4E6" w14:textId="77777777" w:rsidR="00053418" w:rsidRPr="009E06AA" w:rsidRDefault="00053418" w:rsidP="00E27551">
            <w:pPr>
              <w:pStyle w:val="TableText"/>
              <w:spacing w:before="40" w:after="40"/>
            </w:pPr>
            <w:r w:rsidRPr="009E06AA">
              <w:rPr>
                <w:rFonts w:eastAsia="Calibri" w:cs="Calibri"/>
                <w:b/>
                <w:color w:val="1B556B"/>
                <w:szCs w:val="16"/>
              </w:rPr>
              <w:t>Total</w:t>
            </w:r>
          </w:p>
        </w:tc>
        <w:tc>
          <w:tcPr>
            <w:tcW w:w="1020" w:type="dxa"/>
            <w:tcBorders>
              <w:left w:val="nil"/>
              <w:right w:val="nil"/>
            </w:tcBorders>
            <w:shd w:val="clear" w:color="auto" w:fill="FFFFFF"/>
            <w:tcMar>
              <w:top w:w="0" w:type="dxa"/>
              <w:left w:w="85" w:type="dxa"/>
              <w:bottom w:w="0" w:type="dxa"/>
              <w:right w:w="85" w:type="dxa"/>
            </w:tcMar>
            <w:vAlign w:val="center"/>
          </w:tcPr>
          <w:p w14:paraId="5A2B6E64" w14:textId="77777777" w:rsidR="00053418" w:rsidRPr="009E06AA" w:rsidRDefault="00053418" w:rsidP="0066542C">
            <w:pPr>
              <w:pStyle w:val="TableText"/>
              <w:spacing w:before="40" w:after="40"/>
              <w:jc w:val="right"/>
            </w:pPr>
            <w:r w:rsidRPr="009E06AA">
              <w:rPr>
                <w:rFonts w:eastAsia="Calibri" w:cs="Calibri"/>
                <w:b/>
                <w:color w:val="1B556B"/>
                <w:szCs w:val="16"/>
              </w:rPr>
              <w:t>9,361,770</w:t>
            </w:r>
          </w:p>
        </w:tc>
        <w:tc>
          <w:tcPr>
            <w:tcW w:w="1020" w:type="dxa"/>
            <w:tcBorders>
              <w:left w:val="nil"/>
              <w:right w:val="nil"/>
            </w:tcBorders>
            <w:shd w:val="clear" w:color="auto" w:fill="FFFFFF"/>
            <w:tcMar>
              <w:top w:w="0" w:type="dxa"/>
              <w:left w:w="85" w:type="dxa"/>
              <w:bottom w:w="0" w:type="dxa"/>
              <w:right w:w="85" w:type="dxa"/>
            </w:tcMar>
            <w:vAlign w:val="center"/>
          </w:tcPr>
          <w:p w14:paraId="4F36CD11" w14:textId="77777777" w:rsidR="00053418" w:rsidRPr="009E06AA" w:rsidRDefault="00053418" w:rsidP="0066542C">
            <w:pPr>
              <w:pStyle w:val="TableText"/>
              <w:spacing w:before="40" w:after="40"/>
              <w:jc w:val="right"/>
            </w:pPr>
            <w:r w:rsidRPr="009E06AA">
              <w:rPr>
                <w:rFonts w:eastAsia="Calibri" w:cs="Calibri"/>
                <w:b/>
                <w:color w:val="1B556B"/>
                <w:szCs w:val="16"/>
              </w:rPr>
              <w:t>10,094,149</w:t>
            </w:r>
          </w:p>
        </w:tc>
        <w:tc>
          <w:tcPr>
            <w:tcW w:w="1134" w:type="dxa"/>
            <w:tcBorders>
              <w:left w:val="nil"/>
              <w:right w:val="nil"/>
            </w:tcBorders>
            <w:shd w:val="clear" w:color="auto" w:fill="FFFFFF"/>
            <w:tcMar>
              <w:top w:w="0" w:type="dxa"/>
              <w:left w:w="85" w:type="dxa"/>
              <w:bottom w:w="0" w:type="dxa"/>
              <w:right w:w="85" w:type="dxa"/>
            </w:tcMar>
            <w:vAlign w:val="center"/>
          </w:tcPr>
          <w:p w14:paraId="0465DDBF" w14:textId="77777777" w:rsidR="00053418" w:rsidRPr="009E06AA" w:rsidRDefault="00053418" w:rsidP="0066542C">
            <w:pPr>
              <w:pStyle w:val="TableText"/>
              <w:spacing w:before="40" w:after="40"/>
              <w:jc w:val="right"/>
            </w:pPr>
            <w:r w:rsidRPr="009E06AA">
              <w:rPr>
                <w:rFonts w:eastAsia="Calibri" w:cs="Calibri"/>
                <w:b/>
                <w:color w:val="1B556B"/>
                <w:szCs w:val="16"/>
              </w:rPr>
              <w:t>7.8</w:t>
            </w:r>
          </w:p>
        </w:tc>
        <w:tc>
          <w:tcPr>
            <w:tcW w:w="850" w:type="dxa"/>
            <w:tcBorders>
              <w:left w:val="nil"/>
              <w:right w:val="nil"/>
            </w:tcBorders>
            <w:shd w:val="clear" w:color="auto" w:fill="FFFFFF"/>
            <w:tcMar>
              <w:top w:w="0" w:type="dxa"/>
              <w:left w:w="85" w:type="dxa"/>
              <w:bottom w:w="0" w:type="dxa"/>
              <w:right w:w="85" w:type="dxa"/>
            </w:tcMar>
            <w:vAlign w:val="center"/>
          </w:tcPr>
          <w:p w14:paraId="52F89053" w14:textId="77777777" w:rsidR="00053418" w:rsidRPr="009E06AA" w:rsidRDefault="00053418" w:rsidP="0066542C">
            <w:pPr>
              <w:pStyle w:val="TableText"/>
              <w:spacing w:before="40" w:after="40"/>
              <w:jc w:val="right"/>
            </w:pPr>
            <w:r w:rsidRPr="009E06AA">
              <w:rPr>
                <w:rFonts w:eastAsia="Calibri" w:cs="Calibri"/>
                <w:b/>
                <w:color w:val="1B556B"/>
                <w:szCs w:val="16"/>
              </w:rPr>
              <w:t>-23,311.8</w:t>
            </w:r>
          </w:p>
        </w:tc>
        <w:tc>
          <w:tcPr>
            <w:tcW w:w="850" w:type="dxa"/>
            <w:tcBorders>
              <w:left w:val="nil"/>
              <w:right w:val="nil"/>
            </w:tcBorders>
            <w:shd w:val="clear" w:color="auto" w:fill="FFFFFF"/>
            <w:tcMar>
              <w:top w:w="0" w:type="dxa"/>
              <w:left w:w="85" w:type="dxa"/>
              <w:bottom w:w="0" w:type="dxa"/>
              <w:right w:w="85" w:type="dxa"/>
            </w:tcMar>
            <w:vAlign w:val="center"/>
          </w:tcPr>
          <w:p w14:paraId="24C592E0" w14:textId="77777777" w:rsidR="00053418" w:rsidRPr="009E06AA" w:rsidRDefault="00053418" w:rsidP="0066542C">
            <w:pPr>
              <w:pStyle w:val="TableText"/>
              <w:spacing w:before="40" w:after="40"/>
              <w:jc w:val="right"/>
            </w:pPr>
            <w:r w:rsidRPr="009E06AA">
              <w:rPr>
                <w:rFonts w:eastAsia="Calibri" w:cs="Calibri"/>
                <w:b/>
                <w:color w:val="1B556B"/>
                <w:szCs w:val="16"/>
              </w:rPr>
              <w:t>-17,274.3</w:t>
            </w:r>
          </w:p>
        </w:tc>
        <w:tc>
          <w:tcPr>
            <w:tcW w:w="1134" w:type="dxa"/>
            <w:tcBorders>
              <w:left w:val="nil"/>
            </w:tcBorders>
            <w:shd w:val="clear" w:color="auto" w:fill="FFFFFF"/>
            <w:tcMar>
              <w:top w:w="0" w:type="dxa"/>
              <w:left w:w="85" w:type="dxa"/>
              <w:bottom w:w="0" w:type="dxa"/>
              <w:right w:w="85" w:type="dxa"/>
            </w:tcMar>
            <w:vAlign w:val="center"/>
          </w:tcPr>
          <w:p w14:paraId="4AA0633B" w14:textId="77777777" w:rsidR="00053418" w:rsidRPr="009E06AA" w:rsidRDefault="00053418" w:rsidP="0066542C">
            <w:pPr>
              <w:pStyle w:val="TableText"/>
              <w:spacing w:before="40" w:after="40"/>
              <w:jc w:val="right"/>
            </w:pPr>
            <w:r w:rsidRPr="009E06AA">
              <w:rPr>
                <w:rFonts w:eastAsia="Calibri" w:cs="Calibri"/>
                <w:b/>
                <w:color w:val="1B556B"/>
                <w:szCs w:val="16"/>
              </w:rPr>
              <w:t>25.9</w:t>
            </w:r>
          </w:p>
        </w:tc>
      </w:tr>
    </w:tbl>
    <w:p w14:paraId="095FEA4D" w14:textId="34EFCF44" w:rsidR="00053418" w:rsidRPr="009E06AA" w:rsidRDefault="00053418" w:rsidP="00053418">
      <w:pPr>
        <w:pStyle w:val="Noteundertable"/>
        <w:spacing w:after="80"/>
      </w:pPr>
      <w:r w:rsidRPr="009E06AA">
        <w:rPr>
          <w:b/>
        </w:rPr>
        <w:t>Note:</w:t>
      </w:r>
      <w:r w:rsidRPr="009E06AA">
        <w:tab/>
        <w:t xml:space="preserve">Net area in 1990 is as at 1 January 1990; net area in 2022 is as at 31 December 2022. The area of </w:t>
      </w:r>
      <w:r w:rsidRPr="009E06AA">
        <w:rPr>
          <w:i/>
        </w:rPr>
        <w:t>Land converted to forest land</w:t>
      </w:r>
      <w:r w:rsidRPr="009E06AA">
        <w:t xml:space="preserve"> includes land converted up to 20 years earlier, and net area values include land in</w:t>
      </w:r>
      <w:r w:rsidR="00E27551" w:rsidRPr="009E06AA">
        <w:t> </w:t>
      </w:r>
      <w:r w:rsidRPr="009E06AA">
        <w:t>a</w:t>
      </w:r>
      <w:r w:rsidR="00E27551" w:rsidRPr="009E06AA">
        <w:t> </w:t>
      </w:r>
      <w:r w:rsidRPr="009E06AA">
        <w:t xml:space="preserve">state of conversion (due to land-use change before 1990) and afforestation since 1990. Net emission estimates are for the whole year indicated. Columns may not total due to rounding, and percentages presented are calculated from unrounded values. </w:t>
      </w:r>
    </w:p>
    <w:p w14:paraId="3FAC4D03" w14:textId="77777777" w:rsidR="00053418" w:rsidRPr="009E06AA" w:rsidRDefault="00053418" w:rsidP="00053418">
      <w:pPr>
        <w:pStyle w:val="BodyText"/>
      </w:pPr>
      <w:r w:rsidRPr="009E06AA">
        <w:t xml:space="preserve">New Zealand has applied the following parameters for land to be classified as </w:t>
      </w:r>
      <w:r w:rsidRPr="009E06AA">
        <w:rPr>
          <w:i/>
          <w:iCs/>
        </w:rPr>
        <w:t>Forest land</w:t>
      </w:r>
      <w:r w:rsidRPr="009E06AA">
        <w:t xml:space="preserve">: </w:t>
      </w:r>
    </w:p>
    <w:p w14:paraId="5013390A" w14:textId="77777777" w:rsidR="00053418" w:rsidRPr="009E06AA" w:rsidRDefault="00053418" w:rsidP="00053418">
      <w:pPr>
        <w:pStyle w:val="Bullet"/>
        <w:numPr>
          <w:ilvl w:val="0"/>
          <w:numId w:val="29"/>
        </w:numPr>
        <w:ind w:left="397" w:hanging="397"/>
      </w:pPr>
      <w:r w:rsidRPr="009E06AA">
        <w:t>minimum area of 1 hectare</w:t>
      </w:r>
    </w:p>
    <w:p w14:paraId="0C802361" w14:textId="77777777" w:rsidR="00053418" w:rsidRPr="009E06AA" w:rsidRDefault="00053418" w:rsidP="00053418">
      <w:pPr>
        <w:pStyle w:val="Bullet"/>
        <w:numPr>
          <w:ilvl w:val="0"/>
          <w:numId w:val="29"/>
        </w:numPr>
        <w:ind w:left="397" w:hanging="397"/>
      </w:pPr>
      <w:r w:rsidRPr="009E06AA">
        <w:t xml:space="preserve">potential to reach a minimum height of 5 metres </w:t>
      </w:r>
    </w:p>
    <w:p w14:paraId="2ADA058C" w14:textId="77777777" w:rsidR="00053418" w:rsidRPr="009E06AA" w:rsidRDefault="00053418" w:rsidP="00053418">
      <w:pPr>
        <w:pStyle w:val="Bullet"/>
        <w:numPr>
          <w:ilvl w:val="0"/>
          <w:numId w:val="29"/>
        </w:numPr>
        <w:ind w:left="397" w:hanging="397"/>
      </w:pPr>
      <w:r w:rsidRPr="009E06AA">
        <w:t>potential to reach a minimum crown cover of 30 per cent</w:t>
      </w:r>
    </w:p>
    <w:p w14:paraId="0913A660" w14:textId="77777777" w:rsidR="00053418" w:rsidRPr="009E06AA" w:rsidRDefault="00053418" w:rsidP="00053418">
      <w:pPr>
        <w:pStyle w:val="Bullet"/>
        <w:numPr>
          <w:ilvl w:val="0"/>
          <w:numId w:val="29"/>
        </w:numPr>
        <w:ind w:left="397" w:hanging="397"/>
      </w:pPr>
      <w:r w:rsidRPr="009E06AA">
        <w:t xml:space="preserve">a minimum forest width of 30 metres from canopy edge to canopy edge. </w:t>
      </w:r>
    </w:p>
    <w:p w14:paraId="51E27489" w14:textId="77777777" w:rsidR="00053418" w:rsidRPr="009E06AA" w:rsidRDefault="00053418" w:rsidP="00053418">
      <w:pPr>
        <w:pStyle w:val="BodyText"/>
      </w:pPr>
      <w:r w:rsidRPr="009E06AA">
        <w:t xml:space="preserve">Where the height and canopy cover parameters are not met at the time of mapping, the land has been classified as </w:t>
      </w:r>
      <w:r w:rsidRPr="009E06AA">
        <w:rPr>
          <w:i/>
        </w:rPr>
        <w:t>Forest land</w:t>
      </w:r>
      <w:r w:rsidRPr="009E06AA">
        <w:t xml:space="preserve"> if the land-management practice(s) and local site conditions (including climate) are such that the forest parameters will be met over a 30- to 40-year timeframe. Note that New Zealand does not report linear shelterbelts under the </w:t>
      </w:r>
      <w:r w:rsidRPr="009E06AA">
        <w:rPr>
          <w:i/>
        </w:rPr>
        <w:t>Forest land</w:t>
      </w:r>
      <w:r w:rsidRPr="009E06AA">
        <w:t xml:space="preserve"> category because they are not on land managed as forest. They form part of non-forest land uses, namely </w:t>
      </w:r>
      <w:r w:rsidRPr="009E06AA">
        <w:rPr>
          <w:i/>
        </w:rPr>
        <w:t>Cropland</w:t>
      </w:r>
      <w:r w:rsidRPr="009E06AA">
        <w:t xml:space="preserve"> and </w:t>
      </w:r>
      <w:r w:rsidRPr="009E06AA">
        <w:rPr>
          <w:i/>
        </w:rPr>
        <w:t>Grassland</w:t>
      </w:r>
      <w:r w:rsidRPr="009E06AA">
        <w:t xml:space="preserve"> (as shelter to crops and/or animals). </w:t>
      </w:r>
    </w:p>
    <w:p w14:paraId="779D866E" w14:textId="77777777" w:rsidR="00053418" w:rsidRPr="009E06AA" w:rsidRDefault="00053418" w:rsidP="00053418">
      <w:pPr>
        <w:pStyle w:val="BodyText"/>
      </w:pPr>
      <w:r w:rsidRPr="009E06AA">
        <w:t xml:space="preserve">New Zealand uses four </w:t>
      </w:r>
      <w:r w:rsidRPr="009E06AA">
        <w:rPr>
          <w:i/>
        </w:rPr>
        <w:t>Forest land</w:t>
      </w:r>
      <w:r w:rsidRPr="009E06AA">
        <w:t xml:space="preserve"> types: pre-1990 natural forest (predominantly native forest), pre-1990 planted forest (predominantly </w:t>
      </w:r>
      <w:r w:rsidRPr="009E06AA">
        <w:rPr>
          <w:i/>
        </w:rPr>
        <w:t>Pinus radiata</w:t>
      </w:r>
      <w:r w:rsidRPr="009E06AA">
        <w:t>), post-1989 planted forest and post-1989 natural forest (where post-1989 forests are those established after 31 December 1989). The definitions used for mapping these land uses are given in table 6.2.2.</w:t>
      </w:r>
    </w:p>
    <w:p w14:paraId="713B21EB" w14:textId="77777777" w:rsidR="00053418" w:rsidRPr="009E06AA" w:rsidRDefault="00053418" w:rsidP="00053418">
      <w:pPr>
        <w:pStyle w:val="BodyText"/>
      </w:pPr>
      <w:r w:rsidRPr="009E06AA">
        <w:t>Table 6.4.2 shows land-use change by forest land type since 1990 and the associated CO</w:t>
      </w:r>
      <w:r w:rsidRPr="009E06AA">
        <w:rPr>
          <w:vertAlign w:val="subscript"/>
        </w:rPr>
        <w:t>2</w:t>
      </w:r>
      <w:r w:rsidRPr="009E06AA">
        <w:t xml:space="preserve"> emissions from carbon stock change (note: non-CO</w:t>
      </w:r>
      <w:r w:rsidRPr="009E06AA">
        <w:rPr>
          <w:vertAlign w:val="subscript"/>
        </w:rPr>
        <w:t>2</w:t>
      </w:r>
      <w:r w:rsidRPr="009E06AA">
        <w:t xml:space="preserve"> emissions are reported elsewhere). </w:t>
      </w:r>
    </w:p>
    <w:p w14:paraId="04912D3C" w14:textId="77777777" w:rsidR="00053418" w:rsidRPr="009E06AA" w:rsidRDefault="00053418" w:rsidP="00053418">
      <w:pPr>
        <w:pStyle w:val="Table"/>
      </w:pPr>
      <w:bookmarkStart w:id="1822" w:name="_Toc310423405"/>
      <w:bookmarkStart w:id="1823" w:name="_Toc318362698"/>
      <w:bookmarkStart w:id="1824" w:name="_Toc342470760"/>
      <w:bookmarkStart w:id="1825" w:name="_Toc352505000"/>
      <w:bookmarkStart w:id="1826" w:name="_Toc373395725"/>
      <w:bookmarkStart w:id="1827" w:name="_Toc378853291"/>
      <w:bookmarkStart w:id="1828" w:name="_Toc474914592"/>
      <w:bookmarkStart w:id="1829" w:name="_Toc481751556"/>
      <w:bookmarkStart w:id="1830" w:name="_Toc522010613"/>
      <w:bookmarkStart w:id="1831" w:name="_Toc5269518"/>
      <w:bookmarkStart w:id="1832" w:name="_Toc33529392"/>
      <w:bookmarkStart w:id="1833" w:name="_Toc36224598"/>
      <w:bookmarkStart w:id="1834" w:name="_Toc131591392"/>
      <w:bookmarkStart w:id="1835" w:name="_Toc158979950"/>
      <w:bookmarkStart w:id="1836" w:name="_Toc164153883"/>
      <w:bookmarkStart w:id="1837" w:name="_Toc391024089"/>
      <w:bookmarkStart w:id="1838" w:name="_Toc410028832"/>
      <w:bookmarkStart w:id="1839" w:name="_Toc414531460"/>
      <w:bookmarkStart w:id="1840" w:name="_Toc443645373"/>
      <w:r w:rsidRPr="009E06AA">
        <w:t>Table 6.4.2</w:t>
      </w:r>
      <w:r w:rsidRPr="009E06AA">
        <w:tab/>
        <w:t>Change in land area and associated CO</w:t>
      </w:r>
      <w:r w:rsidRPr="009E06AA">
        <w:rPr>
          <w:vertAlign w:val="subscript"/>
        </w:rPr>
        <w:t>2</w:t>
      </w:r>
      <w:r w:rsidRPr="009E06AA">
        <w:t xml:space="preserve"> emissions from carbon stock change</w:t>
      </w:r>
      <w:bookmarkEnd w:id="1822"/>
      <w:bookmarkEnd w:id="1823"/>
      <w:bookmarkEnd w:id="1824"/>
      <w:bookmarkEnd w:id="1825"/>
      <w:bookmarkEnd w:id="1826"/>
      <w:bookmarkEnd w:id="1827"/>
      <w:r w:rsidRPr="009E06AA">
        <w:br/>
        <w:t>between 1990 and 2022 for New Zealand’s</w:t>
      </w:r>
      <w:r w:rsidRPr="009E06AA">
        <w:rPr>
          <w:i/>
        </w:rPr>
        <w:t xml:space="preserve"> Forest land</w:t>
      </w:r>
      <w:bookmarkEnd w:id="1828"/>
      <w:bookmarkEnd w:id="1829"/>
      <w:bookmarkEnd w:id="1830"/>
      <w:bookmarkEnd w:id="1831"/>
      <w:bookmarkEnd w:id="1832"/>
      <w:bookmarkEnd w:id="1833"/>
      <w:bookmarkEnd w:id="1834"/>
      <w:bookmarkEnd w:id="1835"/>
      <w:bookmarkEnd w:id="1836"/>
      <w:r w:rsidRPr="009E06AA">
        <w:t xml:space="preserve"> </w:t>
      </w:r>
      <w:bookmarkEnd w:id="1837"/>
      <w:bookmarkEnd w:id="1838"/>
      <w:bookmarkEnd w:id="1839"/>
      <w:bookmarkEnd w:id="1840"/>
    </w:p>
    <w:tbl>
      <w:tblPr>
        <w:tblW w:w="8505" w:type="dxa"/>
        <w:tblBorders>
          <w:top w:val="single" w:sz="4" w:space="0" w:color="1B556B" w:themeColor="text2"/>
          <w:bottom w:val="single" w:sz="4" w:space="0" w:color="1B556B" w:themeColor="text2"/>
          <w:insideH w:val="single" w:sz="4" w:space="0" w:color="1B556B" w:themeColor="text2"/>
        </w:tblBorders>
        <w:tblLayout w:type="fixed"/>
        <w:tblLook w:val="0420" w:firstRow="1" w:lastRow="0" w:firstColumn="0" w:lastColumn="0" w:noHBand="0" w:noVBand="1"/>
      </w:tblPr>
      <w:tblGrid>
        <w:gridCol w:w="1930"/>
        <w:gridCol w:w="1095"/>
        <w:gridCol w:w="1096"/>
        <w:gridCol w:w="1096"/>
        <w:gridCol w:w="1096"/>
        <w:gridCol w:w="1096"/>
        <w:gridCol w:w="1096"/>
      </w:tblGrid>
      <w:tr w:rsidR="00053418" w:rsidRPr="009E06AA" w14:paraId="39441A96" w14:textId="77777777" w:rsidTr="00B55F24">
        <w:trPr>
          <w:tblHeader/>
        </w:trPr>
        <w:tc>
          <w:tcPr>
            <w:tcW w:w="1928" w:type="dxa"/>
            <w:shd w:val="clear" w:color="auto" w:fill="1B556B"/>
            <w:vAlign w:val="center"/>
          </w:tcPr>
          <w:p w14:paraId="508109D3" w14:textId="77777777" w:rsidR="00053418" w:rsidRPr="009E06AA" w:rsidRDefault="00053418" w:rsidP="00B55F24">
            <w:pPr>
              <w:pStyle w:val="TableTextBold"/>
              <w:spacing w:after="40"/>
              <w:rPr>
                <w:noProof w:val="0"/>
              </w:rPr>
            </w:pPr>
          </w:p>
        </w:tc>
        <w:tc>
          <w:tcPr>
            <w:tcW w:w="2188" w:type="dxa"/>
            <w:gridSpan w:val="2"/>
            <w:shd w:val="clear" w:color="auto" w:fill="1B556B"/>
            <w:vAlign w:val="center"/>
          </w:tcPr>
          <w:p w14:paraId="0162B1E2" w14:textId="77777777" w:rsidR="00053418" w:rsidRPr="009E06AA" w:rsidRDefault="00053418" w:rsidP="00B55F24">
            <w:pPr>
              <w:pStyle w:val="TableTextBold"/>
              <w:spacing w:after="40"/>
              <w:jc w:val="center"/>
              <w:rPr>
                <w:noProof w:val="0"/>
              </w:rPr>
            </w:pPr>
            <w:r w:rsidRPr="009E06AA">
              <w:rPr>
                <w:rFonts w:eastAsia="Calibri" w:cs="Calibri"/>
                <w:noProof w:val="0"/>
                <w:color w:val="FFFFFF"/>
                <w:szCs w:val="16"/>
              </w:rPr>
              <w:t>Net area (ha)</w:t>
            </w:r>
          </w:p>
        </w:tc>
        <w:tc>
          <w:tcPr>
            <w:tcW w:w="1094" w:type="dxa"/>
            <w:shd w:val="clear" w:color="auto" w:fill="1B556B"/>
            <w:vAlign w:val="center"/>
          </w:tcPr>
          <w:p w14:paraId="424ED07E" w14:textId="77777777" w:rsidR="00053418" w:rsidRPr="009E06AA" w:rsidRDefault="00053418" w:rsidP="00B55F24">
            <w:pPr>
              <w:pStyle w:val="TableTextBold"/>
              <w:spacing w:after="40"/>
              <w:jc w:val="center"/>
              <w:rPr>
                <w:noProof w:val="0"/>
              </w:rPr>
            </w:pPr>
            <w:r w:rsidRPr="009E06AA">
              <w:rPr>
                <w:rFonts w:eastAsia="Calibri" w:cs="Calibri"/>
                <w:noProof w:val="0"/>
                <w:color w:val="FFFFFF"/>
                <w:szCs w:val="16"/>
              </w:rPr>
              <w:t>Change from</w:t>
            </w:r>
          </w:p>
        </w:tc>
        <w:tc>
          <w:tcPr>
            <w:tcW w:w="2188" w:type="dxa"/>
            <w:gridSpan w:val="2"/>
            <w:shd w:val="clear" w:color="auto" w:fill="1B556B"/>
            <w:vAlign w:val="center"/>
          </w:tcPr>
          <w:p w14:paraId="64A13DC0" w14:textId="77777777" w:rsidR="00053418" w:rsidRPr="009E06AA" w:rsidRDefault="00053418" w:rsidP="00B55F24">
            <w:pPr>
              <w:pStyle w:val="TableTextBold"/>
              <w:spacing w:after="40"/>
              <w:jc w:val="center"/>
              <w:rPr>
                <w:noProof w:val="0"/>
              </w:rPr>
            </w:pPr>
            <w:r w:rsidRPr="009E06AA">
              <w:rPr>
                <w:rFonts w:eastAsia="Calibri" w:cs="Calibri"/>
                <w:noProof w:val="0"/>
                <w:color w:val="FFFFFF"/>
                <w:szCs w:val="16"/>
              </w:rPr>
              <w:t>Net emissions (kt CO₂ only)</w:t>
            </w:r>
          </w:p>
        </w:tc>
        <w:tc>
          <w:tcPr>
            <w:tcW w:w="1094" w:type="dxa"/>
            <w:shd w:val="clear" w:color="auto" w:fill="1B556B"/>
            <w:vAlign w:val="center"/>
          </w:tcPr>
          <w:p w14:paraId="18CADB19" w14:textId="77777777" w:rsidR="00053418" w:rsidRPr="009E06AA" w:rsidRDefault="00053418" w:rsidP="00B55F24">
            <w:pPr>
              <w:pStyle w:val="TableTextBold"/>
              <w:spacing w:after="40"/>
              <w:jc w:val="center"/>
              <w:rPr>
                <w:noProof w:val="0"/>
              </w:rPr>
            </w:pPr>
            <w:r w:rsidRPr="009E06AA">
              <w:rPr>
                <w:rFonts w:eastAsia="Calibri" w:cs="Calibri"/>
                <w:noProof w:val="0"/>
                <w:color w:val="FFFFFF"/>
                <w:szCs w:val="16"/>
              </w:rPr>
              <w:t>Change from</w:t>
            </w:r>
          </w:p>
        </w:tc>
      </w:tr>
      <w:tr w:rsidR="00053418" w:rsidRPr="009E06AA" w14:paraId="780B37D4" w14:textId="77777777" w:rsidTr="00B55F24">
        <w:trPr>
          <w:tblHeader/>
        </w:trPr>
        <w:tc>
          <w:tcPr>
            <w:tcW w:w="1928" w:type="dxa"/>
            <w:shd w:val="clear" w:color="auto" w:fill="1B556B"/>
            <w:vAlign w:val="center"/>
          </w:tcPr>
          <w:p w14:paraId="04BCB16E" w14:textId="77777777" w:rsidR="00053418" w:rsidRPr="009E06AA" w:rsidRDefault="00053418" w:rsidP="00B55F24">
            <w:pPr>
              <w:pStyle w:val="TableTextBold"/>
              <w:spacing w:before="0"/>
              <w:rPr>
                <w:noProof w:val="0"/>
              </w:rPr>
            </w:pPr>
            <w:r w:rsidRPr="009E06AA">
              <w:rPr>
                <w:rFonts w:eastAsia="Calibri" w:cs="Calibri"/>
                <w:noProof w:val="0"/>
                <w:color w:val="FFFFFF"/>
                <w:szCs w:val="16"/>
              </w:rPr>
              <w:t>Land use</w:t>
            </w:r>
          </w:p>
        </w:tc>
        <w:tc>
          <w:tcPr>
            <w:tcW w:w="1094" w:type="dxa"/>
            <w:shd w:val="clear" w:color="auto" w:fill="1B556B"/>
            <w:vAlign w:val="center"/>
          </w:tcPr>
          <w:p w14:paraId="55EF80A2" w14:textId="77777777" w:rsidR="00053418" w:rsidRPr="009E06AA" w:rsidRDefault="00053418" w:rsidP="0066542C">
            <w:pPr>
              <w:pStyle w:val="TableTextBold"/>
              <w:spacing w:before="0"/>
              <w:jc w:val="right"/>
              <w:rPr>
                <w:noProof w:val="0"/>
              </w:rPr>
            </w:pPr>
            <w:r w:rsidRPr="009E06AA">
              <w:rPr>
                <w:rFonts w:eastAsia="Calibri" w:cs="Calibri"/>
                <w:noProof w:val="0"/>
                <w:color w:val="FFFFFF"/>
                <w:szCs w:val="16"/>
              </w:rPr>
              <w:t>1990</w:t>
            </w:r>
          </w:p>
        </w:tc>
        <w:tc>
          <w:tcPr>
            <w:tcW w:w="1094" w:type="dxa"/>
            <w:shd w:val="clear" w:color="auto" w:fill="1B556B"/>
            <w:vAlign w:val="center"/>
          </w:tcPr>
          <w:p w14:paraId="60269F1E" w14:textId="77777777" w:rsidR="00053418" w:rsidRPr="009E06AA" w:rsidRDefault="00053418" w:rsidP="0066542C">
            <w:pPr>
              <w:pStyle w:val="TableTextBold"/>
              <w:spacing w:before="0"/>
              <w:jc w:val="right"/>
              <w:rPr>
                <w:noProof w:val="0"/>
              </w:rPr>
            </w:pPr>
            <w:r w:rsidRPr="009E06AA">
              <w:rPr>
                <w:rFonts w:eastAsia="Calibri" w:cs="Calibri"/>
                <w:noProof w:val="0"/>
                <w:color w:val="FFFFFF"/>
                <w:szCs w:val="16"/>
              </w:rPr>
              <w:t>2022</w:t>
            </w:r>
          </w:p>
        </w:tc>
        <w:tc>
          <w:tcPr>
            <w:tcW w:w="1094" w:type="dxa"/>
            <w:shd w:val="clear" w:color="auto" w:fill="1B556B"/>
            <w:vAlign w:val="center"/>
          </w:tcPr>
          <w:p w14:paraId="44B31AB0" w14:textId="77777777" w:rsidR="00053418" w:rsidRPr="009E06AA" w:rsidRDefault="00053418" w:rsidP="0066542C">
            <w:pPr>
              <w:pStyle w:val="TableTextBold"/>
              <w:spacing w:before="0"/>
              <w:jc w:val="right"/>
              <w:rPr>
                <w:noProof w:val="0"/>
              </w:rPr>
            </w:pPr>
            <w:r w:rsidRPr="009E06AA">
              <w:rPr>
                <w:rFonts w:eastAsia="Calibri" w:cs="Calibri"/>
                <w:noProof w:val="0"/>
                <w:color w:val="FFFFFF"/>
                <w:szCs w:val="16"/>
              </w:rPr>
              <w:t>1990 (%)</w:t>
            </w:r>
          </w:p>
        </w:tc>
        <w:tc>
          <w:tcPr>
            <w:tcW w:w="1094" w:type="dxa"/>
            <w:shd w:val="clear" w:color="auto" w:fill="1B556B"/>
            <w:vAlign w:val="center"/>
          </w:tcPr>
          <w:p w14:paraId="2613B525" w14:textId="77777777" w:rsidR="00053418" w:rsidRPr="009E06AA" w:rsidRDefault="00053418" w:rsidP="0066542C">
            <w:pPr>
              <w:pStyle w:val="TableTextBold"/>
              <w:spacing w:before="0"/>
              <w:jc w:val="right"/>
              <w:rPr>
                <w:noProof w:val="0"/>
              </w:rPr>
            </w:pPr>
            <w:r w:rsidRPr="009E06AA">
              <w:rPr>
                <w:rFonts w:eastAsia="Calibri" w:cs="Calibri"/>
                <w:noProof w:val="0"/>
                <w:color w:val="FFFFFF"/>
                <w:szCs w:val="16"/>
              </w:rPr>
              <w:t>1990</w:t>
            </w:r>
          </w:p>
        </w:tc>
        <w:tc>
          <w:tcPr>
            <w:tcW w:w="1094" w:type="dxa"/>
            <w:shd w:val="clear" w:color="auto" w:fill="1B556B"/>
            <w:vAlign w:val="center"/>
          </w:tcPr>
          <w:p w14:paraId="5D1912CC" w14:textId="77777777" w:rsidR="00053418" w:rsidRPr="009E06AA" w:rsidRDefault="00053418" w:rsidP="0066542C">
            <w:pPr>
              <w:pStyle w:val="TableTextBold"/>
              <w:spacing w:before="0"/>
              <w:jc w:val="right"/>
              <w:rPr>
                <w:noProof w:val="0"/>
              </w:rPr>
            </w:pPr>
            <w:r w:rsidRPr="009E06AA">
              <w:rPr>
                <w:rFonts w:eastAsia="Calibri" w:cs="Calibri"/>
                <w:noProof w:val="0"/>
                <w:color w:val="FFFFFF"/>
                <w:szCs w:val="16"/>
              </w:rPr>
              <w:t>2022</w:t>
            </w:r>
          </w:p>
        </w:tc>
        <w:tc>
          <w:tcPr>
            <w:tcW w:w="1094" w:type="dxa"/>
            <w:shd w:val="clear" w:color="auto" w:fill="1B556B"/>
            <w:vAlign w:val="center"/>
          </w:tcPr>
          <w:p w14:paraId="25F30B74" w14:textId="77777777" w:rsidR="00053418" w:rsidRPr="009E06AA" w:rsidRDefault="00053418" w:rsidP="0066542C">
            <w:pPr>
              <w:pStyle w:val="TableTextBold"/>
              <w:spacing w:before="0"/>
              <w:jc w:val="right"/>
              <w:rPr>
                <w:noProof w:val="0"/>
              </w:rPr>
            </w:pPr>
            <w:r w:rsidRPr="009E06AA">
              <w:rPr>
                <w:rFonts w:eastAsia="Calibri" w:cs="Calibri"/>
                <w:noProof w:val="0"/>
                <w:color w:val="FFFFFF"/>
                <w:szCs w:val="16"/>
              </w:rPr>
              <w:t>1990 (%)</w:t>
            </w:r>
          </w:p>
        </w:tc>
      </w:tr>
      <w:tr w:rsidR="00053418" w:rsidRPr="009E06AA" w14:paraId="4DE3F0EC" w14:textId="77777777" w:rsidTr="00B55F24">
        <w:tc>
          <w:tcPr>
            <w:tcW w:w="1928" w:type="dxa"/>
            <w:shd w:val="clear" w:color="auto" w:fill="FFFFFF"/>
            <w:vAlign w:val="center"/>
          </w:tcPr>
          <w:p w14:paraId="6169C649" w14:textId="77777777" w:rsidR="00053418" w:rsidRPr="009E06AA" w:rsidRDefault="00053418" w:rsidP="00B55F24">
            <w:pPr>
              <w:pStyle w:val="TableText"/>
              <w:spacing w:before="40" w:after="40"/>
            </w:pPr>
            <w:r w:rsidRPr="009E06AA">
              <w:t>Pre-1990 natural forest</w:t>
            </w:r>
          </w:p>
        </w:tc>
        <w:tc>
          <w:tcPr>
            <w:tcW w:w="1094" w:type="dxa"/>
            <w:shd w:val="clear" w:color="auto" w:fill="FFFFFF"/>
            <w:vAlign w:val="center"/>
          </w:tcPr>
          <w:p w14:paraId="31E8CB8B" w14:textId="77777777" w:rsidR="00053418" w:rsidRPr="009E06AA" w:rsidRDefault="00053418" w:rsidP="0066542C">
            <w:pPr>
              <w:pStyle w:val="TableText"/>
              <w:spacing w:before="40" w:after="40"/>
              <w:jc w:val="right"/>
            </w:pPr>
            <w:r w:rsidRPr="009E06AA">
              <w:t>7,816,946</w:t>
            </w:r>
          </w:p>
        </w:tc>
        <w:tc>
          <w:tcPr>
            <w:tcW w:w="1094" w:type="dxa"/>
            <w:shd w:val="clear" w:color="auto" w:fill="FFFFFF"/>
            <w:vAlign w:val="center"/>
          </w:tcPr>
          <w:p w14:paraId="4AD551FC" w14:textId="77777777" w:rsidR="00053418" w:rsidRPr="009E06AA" w:rsidRDefault="00053418" w:rsidP="0066542C">
            <w:pPr>
              <w:pStyle w:val="TableText"/>
              <w:spacing w:before="40" w:after="40"/>
              <w:jc w:val="right"/>
            </w:pPr>
            <w:r w:rsidRPr="009E06AA">
              <w:t>7,746,403</w:t>
            </w:r>
          </w:p>
        </w:tc>
        <w:tc>
          <w:tcPr>
            <w:tcW w:w="1094" w:type="dxa"/>
            <w:shd w:val="clear" w:color="auto" w:fill="FFFFFF"/>
            <w:vAlign w:val="center"/>
          </w:tcPr>
          <w:p w14:paraId="74B71D1D" w14:textId="77777777" w:rsidR="00053418" w:rsidRPr="009E06AA" w:rsidRDefault="00053418" w:rsidP="0066542C">
            <w:pPr>
              <w:pStyle w:val="TableText"/>
              <w:spacing w:before="40" w:after="40"/>
              <w:jc w:val="right"/>
            </w:pPr>
            <w:r w:rsidRPr="009E06AA">
              <w:t>-0.9</w:t>
            </w:r>
          </w:p>
        </w:tc>
        <w:tc>
          <w:tcPr>
            <w:tcW w:w="1094" w:type="dxa"/>
            <w:shd w:val="clear" w:color="auto" w:fill="FFFFFF"/>
            <w:vAlign w:val="center"/>
          </w:tcPr>
          <w:p w14:paraId="2FE4E94E" w14:textId="77777777" w:rsidR="00053418" w:rsidRPr="009E06AA" w:rsidRDefault="00053418" w:rsidP="0066542C">
            <w:pPr>
              <w:pStyle w:val="TableText"/>
              <w:spacing w:before="40" w:after="40"/>
              <w:jc w:val="right"/>
            </w:pPr>
            <w:r w:rsidRPr="009E06AA">
              <w:t>-1,363.5</w:t>
            </w:r>
          </w:p>
        </w:tc>
        <w:tc>
          <w:tcPr>
            <w:tcW w:w="1094" w:type="dxa"/>
            <w:shd w:val="clear" w:color="auto" w:fill="FFFFFF"/>
            <w:vAlign w:val="center"/>
          </w:tcPr>
          <w:p w14:paraId="7BD73444" w14:textId="77777777" w:rsidR="00053418" w:rsidRPr="009E06AA" w:rsidRDefault="00053418" w:rsidP="0066542C">
            <w:pPr>
              <w:pStyle w:val="TableText"/>
              <w:spacing w:before="40" w:after="40"/>
              <w:jc w:val="right"/>
            </w:pPr>
            <w:r w:rsidRPr="009E06AA">
              <w:t>-1,440.1</w:t>
            </w:r>
          </w:p>
        </w:tc>
        <w:tc>
          <w:tcPr>
            <w:tcW w:w="1094" w:type="dxa"/>
            <w:shd w:val="clear" w:color="auto" w:fill="FFFFFF"/>
            <w:vAlign w:val="center"/>
          </w:tcPr>
          <w:p w14:paraId="09FD1A3B" w14:textId="77777777" w:rsidR="00053418" w:rsidRPr="009E06AA" w:rsidRDefault="00053418" w:rsidP="0066542C">
            <w:pPr>
              <w:pStyle w:val="TableText"/>
              <w:spacing w:before="40" w:after="40"/>
              <w:jc w:val="right"/>
            </w:pPr>
            <w:r w:rsidRPr="009E06AA">
              <w:t>-5.6</w:t>
            </w:r>
          </w:p>
        </w:tc>
      </w:tr>
      <w:tr w:rsidR="00053418" w:rsidRPr="009E06AA" w14:paraId="31C2CB4F" w14:textId="77777777" w:rsidTr="00B55F24">
        <w:tc>
          <w:tcPr>
            <w:tcW w:w="1928" w:type="dxa"/>
            <w:shd w:val="clear" w:color="auto" w:fill="FFFFFF"/>
            <w:vAlign w:val="center"/>
          </w:tcPr>
          <w:p w14:paraId="3C9E5D02" w14:textId="77777777" w:rsidR="00053418" w:rsidRPr="009E06AA" w:rsidRDefault="00053418" w:rsidP="00B55F24">
            <w:pPr>
              <w:pStyle w:val="TableText"/>
              <w:spacing w:before="40" w:after="40"/>
            </w:pPr>
            <w:r w:rsidRPr="009E06AA">
              <w:t>Pre-1990 planted forest</w:t>
            </w:r>
          </w:p>
        </w:tc>
        <w:tc>
          <w:tcPr>
            <w:tcW w:w="1094" w:type="dxa"/>
            <w:shd w:val="clear" w:color="auto" w:fill="FFFFFF"/>
            <w:vAlign w:val="center"/>
          </w:tcPr>
          <w:p w14:paraId="2262F650" w14:textId="77777777" w:rsidR="00053418" w:rsidRPr="009E06AA" w:rsidRDefault="00053418" w:rsidP="0066542C">
            <w:pPr>
              <w:pStyle w:val="TableText"/>
              <w:spacing w:before="40" w:after="40"/>
              <w:jc w:val="right"/>
            </w:pPr>
            <w:r w:rsidRPr="009E06AA">
              <w:t>1,544,824</w:t>
            </w:r>
          </w:p>
        </w:tc>
        <w:tc>
          <w:tcPr>
            <w:tcW w:w="1094" w:type="dxa"/>
            <w:shd w:val="clear" w:color="auto" w:fill="FFFFFF"/>
            <w:vAlign w:val="center"/>
          </w:tcPr>
          <w:p w14:paraId="499013B5" w14:textId="77777777" w:rsidR="00053418" w:rsidRPr="009E06AA" w:rsidRDefault="00053418" w:rsidP="0066542C">
            <w:pPr>
              <w:pStyle w:val="TableText"/>
              <w:spacing w:before="40" w:after="40"/>
              <w:jc w:val="right"/>
            </w:pPr>
            <w:r w:rsidRPr="009E06AA">
              <w:t>1,433,599</w:t>
            </w:r>
          </w:p>
        </w:tc>
        <w:tc>
          <w:tcPr>
            <w:tcW w:w="1094" w:type="dxa"/>
            <w:shd w:val="clear" w:color="auto" w:fill="FFFFFF"/>
            <w:vAlign w:val="center"/>
          </w:tcPr>
          <w:p w14:paraId="3750ECE2" w14:textId="77777777" w:rsidR="00053418" w:rsidRPr="009E06AA" w:rsidRDefault="00053418" w:rsidP="0066542C">
            <w:pPr>
              <w:pStyle w:val="TableText"/>
              <w:spacing w:before="40" w:after="40"/>
              <w:jc w:val="right"/>
            </w:pPr>
            <w:r w:rsidRPr="009E06AA">
              <w:t>-7.2</w:t>
            </w:r>
          </w:p>
        </w:tc>
        <w:tc>
          <w:tcPr>
            <w:tcW w:w="1094" w:type="dxa"/>
            <w:shd w:val="clear" w:color="auto" w:fill="FFFFFF"/>
            <w:vAlign w:val="center"/>
          </w:tcPr>
          <w:p w14:paraId="369C63AF" w14:textId="77777777" w:rsidR="00053418" w:rsidRPr="009E06AA" w:rsidRDefault="00053418" w:rsidP="0066542C">
            <w:pPr>
              <w:pStyle w:val="TableText"/>
              <w:spacing w:before="40" w:after="40"/>
              <w:jc w:val="right"/>
            </w:pPr>
            <w:r w:rsidRPr="009E06AA">
              <w:t>-22,323.8</w:t>
            </w:r>
          </w:p>
        </w:tc>
        <w:tc>
          <w:tcPr>
            <w:tcW w:w="1094" w:type="dxa"/>
            <w:shd w:val="clear" w:color="auto" w:fill="FFFFFF"/>
            <w:vAlign w:val="center"/>
          </w:tcPr>
          <w:p w14:paraId="28A8F24A" w14:textId="77777777" w:rsidR="00053418" w:rsidRPr="009E06AA" w:rsidRDefault="00053418" w:rsidP="0066542C">
            <w:pPr>
              <w:pStyle w:val="TableText"/>
              <w:spacing w:before="40" w:after="40"/>
              <w:jc w:val="right"/>
            </w:pPr>
            <w:r w:rsidRPr="009E06AA">
              <w:t>-12,614.1</w:t>
            </w:r>
          </w:p>
        </w:tc>
        <w:tc>
          <w:tcPr>
            <w:tcW w:w="1094" w:type="dxa"/>
            <w:shd w:val="clear" w:color="auto" w:fill="FFFFFF"/>
            <w:vAlign w:val="center"/>
          </w:tcPr>
          <w:p w14:paraId="7463BFD2" w14:textId="77777777" w:rsidR="00053418" w:rsidRPr="009E06AA" w:rsidRDefault="00053418" w:rsidP="0066542C">
            <w:pPr>
              <w:pStyle w:val="TableText"/>
              <w:spacing w:before="40" w:after="40"/>
              <w:jc w:val="right"/>
            </w:pPr>
            <w:r w:rsidRPr="009E06AA">
              <w:t>43.5</w:t>
            </w:r>
          </w:p>
        </w:tc>
      </w:tr>
      <w:tr w:rsidR="00053418" w:rsidRPr="009E06AA" w14:paraId="161E3CD9" w14:textId="77777777" w:rsidTr="00B55F24">
        <w:tc>
          <w:tcPr>
            <w:tcW w:w="1928" w:type="dxa"/>
            <w:shd w:val="clear" w:color="auto" w:fill="FFFFFF"/>
            <w:vAlign w:val="center"/>
          </w:tcPr>
          <w:p w14:paraId="18FE5E75" w14:textId="77777777" w:rsidR="00053418" w:rsidRPr="009E06AA" w:rsidRDefault="00053418" w:rsidP="00B55F24">
            <w:pPr>
              <w:pStyle w:val="TableText"/>
              <w:spacing w:before="40" w:after="40"/>
            </w:pPr>
            <w:r w:rsidRPr="009E06AA">
              <w:t>Post-1989 planted forest</w:t>
            </w:r>
          </w:p>
        </w:tc>
        <w:tc>
          <w:tcPr>
            <w:tcW w:w="1094" w:type="dxa"/>
            <w:shd w:val="clear" w:color="auto" w:fill="FFFFFF"/>
            <w:vAlign w:val="center"/>
          </w:tcPr>
          <w:p w14:paraId="717A704A" w14:textId="77777777" w:rsidR="00053418" w:rsidRPr="009E06AA" w:rsidRDefault="00053418" w:rsidP="0066542C">
            <w:pPr>
              <w:pStyle w:val="TableText"/>
              <w:spacing w:before="40" w:after="40"/>
              <w:jc w:val="right"/>
            </w:pPr>
            <w:r w:rsidRPr="009E06AA">
              <w:t>0</w:t>
            </w:r>
          </w:p>
        </w:tc>
        <w:tc>
          <w:tcPr>
            <w:tcW w:w="1094" w:type="dxa"/>
            <w:shd w:val="clear" w:color="auto" w:fill="FFFFFF"/>
            <w:vAlign w:val="center"/>
          </w:tcPr>
          <w:p w14:paraId="0132B329" w14:textId="77777777" w:rsidR="00053418" w:rsidRPr="009E06AA" w:rsidRDefault="00053418" w:rsidP="0066542C">
            <w:pPr>
              <w:pStyle w:val="TableText"/>
              <w:spacing w:before="40" w:after="40"/>
              <w:jc w:val="right"/>
            </w:pPr>
            <w:r w:rsidRPr="009E06AA">
              <w:t>807,249</w:t>
            </w:r>
          </w:p>
        </w:tc>
        <w:tc>
          <w:tcPr>
            <w:tcW w:w="1094" w:type="dxa"/>
            <w:shd w:val="clear" w:color="auto" w:fill="FFFFFF"/>
            <w:vAlign w:val="center"/>
          </w:tcPr>
          <w:p w14:paraId="110FCB25" w14:textId="77777777" w:rsidR="00053418" w:rsidRPr="009E06AA" w:rsidRDefault="00053418" w:rsidP="0066542C">
            <w:pPr>
              <w:pStyle w:val="TableText"/>
              <w:spacing w:before="40" w:after="40"/>
              <w:jc w:val="right"/>
            </w:pPr>
          </w:p>
        </w:tc>
        <w:tc>
          <w:tcPr>
            <w:tcW w:w="1094" w:type="dxa"/>
            <w:shd w:val="clear" w:color="auto" w:fill="FFFFFF"/>
            <w:vAlign w:val="center"/>
          </w:tcPr>
          <w:p w14:paraId="25F0F41B" w14:textId="77777777" w:rsidR="00053418" w:rsidRPr="009E06AA" w:rsidRDefault="00053418" w:rsidP="0066542C">
            <w:pPr>
              <w:pStyle w:val="TableText"/>
              <w:spacing w:before="40" w:after="40"/>
              <w:jc w:val="right"/>
            </w:pPr>
            <w:r w:rsidRPr="009E06AA">
              <w:t>163.8</w:t>
            </w:r>
          </w:p>
        </w:tc>
        <w:tc>
          <w:tcPr>
            <w:tcW w:w="1094" w:type="dxa"/>
            <w:shd w:val="clear" w:color="auto" w:fill="FFFFFF"/>
            <w:vAlign w:val="center"/>
          </w:tcPr>
          <w:p w14:paraId="27D16E7D" w14:textId="77777777" w:rsidR="00053418" w:rsidRPr="009E06AA" w:rsidRDefault="00053418" w:rsidP="0066542C">
            <w:pPr>
              <w:pStyle w:val="TableText"/>
              <w:spacing w:before="40" w:after="40"/>
              <w:jc w:val="right"/>
            </w:pPr>
            <w:r w:rsidRPr="009E06AA">
              <w:t>-2,759.2</w:t>
            </w:r>
          </w:p>
        </w:tc>
        <w:tc>
          <w:tcPr>
            <w:tcW w:w="1094" w:type="dxa"/>
            <w:shd w:val="clear" w:color="auto" w:fill="FFFFFF"/>
            <w:vAlign w:val="center"/>
          </w:tcPr>
          <w:p w14:paraId="288875DC" w14:textId="77777777" w:rsidR="00053418" w:rsidRPr="009E06AA" w:rsidRDefault="00053418" w:rsidP="0066542C">
            <w:pPr>
              <w:pStyle w:val="TableText"/>
              <w:spacing w:before="40" w:after="40"/>
              <w:jc w:val="right"/>
            </w:pPr>
            <w:r w:rsidRPr="009E06AA">
              <w:t>-1,784.7</w:t>
            </w:r>
          </w:p>
        </w:tc>
      </w:tr>
      <w:tr w:rsidR="00053418" w:rsidRPr="009E06AA" w14:paraId="3B3DF14C" w14:textId="77777777" w:rsidTr="00B55F24">
        <w:tc>
          <w:tcPr>
            <w:tcW w:w="1928" w:type="dxa"/>
            <w:shd w:val="clear" w:color="auto" w:fill="FFFFFF"/>
            <w:vAlign w:val="center"/>
          </w:tcPr>
          <w:p w14:paraId="21110A57" w14:textId="77777777" w:rsidR="00053418" w:rsidRPr="009E06AA" w:rsidRDefault="00053418" w:rsidP="00B55F24">
            <w:pPr>
              <w:pStyle w:val="TableText"/>
              <w:spacing w:before="40" w:after="40"/>
            </w:pPr>
            <w:r w:rsidRPr="009E06AA">
              <w:t>Post-1989 natural forest</w:t>
            </w:r>
          </w:p>
        </w:tc>
        <w:tc>
          <w:tcPr>
            <w:tcW w:w="1094" w:type="dxa"/>
            <w:shd w:val="clear" w:color="auto" w:fill="FFFFFF"/>
            <w:vAlign w:val="center"/>
          </w:tcPr>
          <w:p w14:paraId="25C681F6" w14:textId="77777777" w:rsidR="00053418" w:rsidRPr="009E06AA" w:rsidRDefault="00053418" w:rsidP="0066542C">
            <w:pPr>
              <w:pStyle w:val="TableText"/>
              <w:spacing w:before="40" w:after="40"/>
              <w:jc w:val="right"/>
            </w:pPr>
            <w:r w:rsidRPr="009E06AA">
              <w:t>0</w:t>
            </w:r>
          </w:p>
        </w:tc>
        <w:tc>
          <w:tcPr>
            <w:tcW w:w="1094" w:type="dxa"/>
            <w:shd w:val="clear" w:color="auto" w:fill="FFFFFF"/>
            <w:vAlign w:val="center"/>
          </w:tcPr>
          <w:p w14:paraId="4B748E19" w14:textId="77777777" w:rsidR="00053418" w:rsidRPr="009E06AA" w:rsidRDefault="00053418" w:rsidP="0066542C">
            <w:pPr>
              <w:pStyle w:val="TableText"/>
              <w:spacing w:before="40" w:after="40"/>
              <w:jc w:val="right"/>
            </w:pPr>
            <w:r w:rsidRPr="009E06AA">
              <w:t>106,898</w:t>
            </w:r>
          </w:p>
        </w:tc>
        <w:tc>
          <w:tcPr>
            <w:tcW w:w="1094" w:type="dxa"/>
            <w:shd w:val="clear" w:color="auto" w:fill="FFFFFF"/>
            <w:vAlign w:val="center"/>
          </w:tcPr>
          <w:p w14:paraId="517C4177" w14:textId="77777777" w:rsidR="00053418" w:rsidRPr="009E06AA" w:rsidRDefault="00053418" w:rsidP="0066542C">
            <w:pPr>
              <w:pStyle w:val="TableText"/>
              <w:spacing w:before="40" w:after="40"/>
              <w:jc w:val="right"/>
            </w:pPr>
          </w:p>
        </w:tc>
        <w:tc>
          <w:tcPr>
            <w:tcW w:w="1094" w:type="dxa"/>
            <w:shd w:val="clear" w:color="auto" w:fill="FFFFFF"/>
            <w:vAlign w:val="center"/>
          </w:tcPr>
          <w:p w14:paraId="26E85570" w14:textId="77777777" w:rsidR="00053418" w:rsidRPr="009E06AA" w:rsidRDefault="00053418" w:rsidP="0066542C">
            <w:pPr>
              <w:pStyle w:val="TableText"/>
              <w:spacing w:before="40" w:after="40"/>
              <w:jc w:val="right"/>
            </w:pPr>
            <w:r w:rsidRPr="009E06AA">
              <w:t>3.8</w:t>
            </w:r>
          </w:p>
        </w:tc>
        <w:tc>
          <w:tcPr>
            <w:tcW w:w="1094" w:type="dxa"/>
            <w:shd w:val="clear" w:color="auto" w:fill="FFFFFF"/>
            <w:vAlign w:val="center"/>
          </w:tcPr>
          <w:p w14:paraId="3A22700C" w14:textId="77777777" w:rsidR="00053418" w:rsidRPr="009E06AA" w:rsidRDefault="00053418" w:rsidP="0066542C">
            <w:pPr>
              <w:pStyle w:val="TableText"/>
              <w:spacing w:before="40" w:after="40"/>
              <w:jc w:val="right"/>
            </w:pPr>
            <w:r w:rsidRPr="009E06AA">
              <w:t>-719.2</w:t>
            </w:r>
          </w:p>
        </w:tc>
        <w:tc>
          <w:tcPr>
            <w:tcW w:w="1094" w:type="dxa"/>
            <w:shd w:val="clear" w:color="auto" w:fill="FFFFFF"/>
            <w:vAlign w:val="center"/>
          </w:tcPr>
          <w:p w14:paraId="56314557" w14:textId="77777777" w:rsidR="00053418" w:rsidRPr="009E06AA" w:rsidRDefault="00053418" w:rsidP="0066542C">
            <w:pPr>
              <w:pStyle w:val="TableText"/>
              <w:spacing w:before="40" w:after="40"/>
              <w:jc w:val="right"/>
            </w:pPr>
            <w:r w:rsidRPr="009E06AA">
              <w:t>-19,261.2</w:t>
            </w:r>
          </w:p>
        </w:tc>
      </w:tr>
      <w:tr w:rsidR="00053418" w:rsidRPr="009E06AA" w14:paraId="40A8DC8F" w14:textId="77777777" w:rsidTr="00B55F24">
        <w:tc>
          <w:tcPr>
            <w:tcW w:w="1928" w:type="dxa"/>
            <w:shd w:val="clear" w:color="auto" w:fill="FFFFFF"/>
            <w:vAlign w:val="center"/>
          </w:tcPr>
          <w:p w14:paraId="525ED084" w14:textId="77777777" w:rsidR="00053418" w:rsidRPr="009E06AA" w:rsidRDefault="00053418" w:rsidP="00B55F24">
            <w:pPr>
              <w:pStyle w:val="TableText"/>
              <w:spacing w:before="40" w:after="40"/>
            </w:pPr>
            <w:r w:rsidRPr="009E06AA">
              <w:rPr>
                <w:b/>
                <w:color w:val="1B556B"/>
              </w:rPr>
              <w:t>Total</w:t>
            </w:r>
          </w:p>
        </w:tc>
        <w:tc>
          <w:tcPr>
            <w:tcW w:w="1094" w:type="dxa"/>
            <w:shd w:val="clear" w:color="auto" w:fill="FFFFFF"/>
            <w:vAlign w:val="center"/>
          </w:tcPr>
          <w:p w14:paraId="1A7244FA" w14:textId="77777777" w:rsidR="00053418" w:rsidRPr="009E06AA" w:rsidRDefault="00053418" w:rsidP="0066542C">
            <w:pPr>
              <w:pStyle w:val="TableText"/>
              <w:spacing w:before="40" w:after="40"/>
              <w:jc w:val="right"/>
            </w:pPr>
            <w:r w:rsidRPr="009E06AA">
              <w:rPr>
                <w:b/>
                <w:color w:val="1B556B"/>
              </w:rPr>
              <w:t>9,361,770</w:t>
            </w:r>
          </w:p>
        </w:tc>
        <w:tc>
          <w:tcPr>
            <w:tcW w:w="1094" w:type="dxa"/>
            <w:shd w:val="clear" w:color="auto" w:fill="FFFFFF"/>
            <w:vAlign w:val="center"/>
          </w:tcPr>
          <w:p w14:paraId="2CCCE950" w14:textId="77777777" w:rsidR="00053418" w:rsidRPr="009E06AA" w:rsidRDefault="00053418" w:rsidP="0066542C">
            <w:pPr>
              <w:pStyle w:val="TableText"/>
              <w:spacing w:before="40" w:after="40"/>
              <w:jc w:val="right"/>
            </w:pPr>
            <w:r w:rsidRPr="009E06AA">
              <w:rPr>
                <w:b/>
                <w:color w:val="1B556B"/>
              </w:rPr>
              <w:t>10,094,149</w:t>
            </w:r>
          </w:p>
        </w:tc>
        <w:tc>
          <w:tcPr>
            <w:tcW w:w="1094" w:type="dxa"/>
            <w:shd w:val="clear" w:color="auto" w:fill="FFFFFF"/>
            <w:vAlign w:val="center"/>
          </w:tcPr>
          <w:p w14:paraId="4C1F6845" w14:textId="77777777" w:rsidR="00053418" w:rsidRPr="009E06AA" w:rsidRDefault="00053418" w:rsidP="0066542C">
            <w:pPr>
              <w:pStyle w:val="TableText"/>
              <w:spacing w:before="40" w:after="40"/>
              <w:jc w:val="right"/>
            </w:pPr>
            <w:r w:rsidRPr="009E06AA">
              <w:rPr>
                <w:b/>
                <w:color w:val="1B556B"/>
              </w:rPr>
              <w:t>7.8</w:t>
            </w:r>
          </w:p>
        </w:tc>
        <w:tc>
          <w:tcPr>
            <w:tcW w:w="1094" w:type="dxa"/>
            <w:shd w:val="clear" w:color="auto" w:fill="FFFFFF"/>
            <w:vAlign w:val="center"/>
          </w:tcPr>
          <w:p w14:paraId="6BF00079" w14:textId="77777777" w:rsidR="00053418" w:rsidRPr="009E06AA" w:rsidRDefault="00053418" w:rsidP="0066542C">
            <w:pPr>
              <w:pStyle w:val="TableText"/>
              <w:spacing w:before="40" w:after="40"/>
              <w:jc w:val="right"/>
            </w:pPr>
            <w:r w:rsidRPr="009E06AA">
              <w:rPr>
                <w:b/>
                <w:color w:val="1B556B"/>
              </w:rPr>
              <w:t>-23,519.8</w:t>
            </w:r>
          </w:p>
        </w:tc>
        <w:tc>
          <w:tcPr>
            <w:tcW w:w="1094" w:type="dxa"/>
            <w:shd w:val="clear" w:color="auto" w:fill="FFFFFF"/>
            <w:vAlign w:val="center"/>
          </w:tcPr>
          <w:p w14:paraId="714F00E3" w14:textId="77777777" w:rsidR="00053418" w:rsidRPr="009E06AA" w:rsidRDefault="00053418" w:rsidP="0066542C">
            <w:pPr>
              <w:pStyle w:val="TableText"/>
              <w:spacing w:before="40" w:after="40"/>
              <w:jc w:val="right"/>
            </w:pPr>
            <w:r w:rsidRPr="009E06AA">
              <w:rPr>
                <w:b/>
                <w:color w:val="1B556B"/>
              </w:rPr>
              <w:t>-17,532.5</w:t>
            </w:r>
          </w:p>
        </w:tc>
        <w:tc>
          <w:tcPr>
            <w:tcW w:w="1094" w:type="dxa"/>
            <w:shd w:val="clear" w:color="auto" w:fill="FFFFFF"/>
            <w:vAlign w:val="center"/>
          </w:tcPr>
          <w:p w14:paraId="7EE20A0F" w14:textId="77777777" w:rsidR="00053418" w:rsidRPr="009E06AA" w:rsidRDefault="00053418" w:rsidP="0066542C">
            <w:pPr>
              <w:pStyle w:val="TableText"/>
              <w:spacing w:before="40" w:after="40"/>
              <w:jc w:val="right"/>
            </w:pPr>
            <w:r w:rsidRPr="009E06AA">
              <w:rPr>
                <w:b/>
                <w:color w:val="1B556B"/>
              </w:rPr>
              <w:t>25.5</w:t>
            </w:r>
          </w:p>
        </w:tc>
      </w:tr>
    </w:tbl>
    <w:p w14:paraId="29221E36" w14:textId="77777777" w:rsidR="00053418" w:rsidRPr="009E06AA" w:rsidRDefault="00053418" w:rsidP="00882528">
      <w:pPr>
        <w:pStyle w:val="Noteundertable"/>
      </w:pPr>
      <w:r w:rsidRPr="009E06AA">
        <w:rPr>
          <w:b/>
        </w:rPr>
        <w:t>Note:</w:t>
      </w:r>
      <w:r w:rsidRPr="009E06AA">
        <w:tab/>
        <w:t xml:space="preserve">NA = not applicable. Net area in 1990 is as at 1 January 1990; net area in 2022 is as at 31 December 2022. Net area values include land in a state of conversion to forest (due to land-use change before 1990) and afforestation since 1990. Net emissions estimates are for the whole year indicated. Columns may not total due to rounding. Emissions associated with the conversion of forest to other land uses are reported in the land use category the land is converted to. </w:t>
      </w:r>
    </w:p>
    <w:p w14:paraId="1CEDC34E" w14:textId="77777777" w:rsidR="00053418" w:rsidRPr="009E06AA" w:rsidRDefault="00053418" w:rsidP="00053418">
      <w:pPr>
        <w:pStyle w:val="BodyText"/>
      </w:pPr>
      <w:r w:rsidRPr="009E06AA">
        <w:t>Table 6.4.3 shows New Zealand’s carbon stock change by carbon pool and forest land type within the</w:t>
      </w:r>
      <w:r w:rsidRPr="009E06AA">
        <w:rPr>
          <w:rFonts w:cs="Arial Bold"/>
        </w:rPr>
        <w:t xml:space="preserve"> </w:t>
      </w:r>
      <w:r w:rsidRPr="009E06AA">
        <w:rPr>
          <w:rFonts w:cs="Arial Bold"/>
          <w:i/>
        </w:rPr>
        <w:t>Forest</w:t>
      </w:r>
      <w:r w:rsidRPr="009E06AA">
        <w:rPr>
          <w:i/>
        </w:rPr>
        <w:t xml:space="preserve"> land</w:t>
      </w:r>
      <w:r w:rsidRPr="009E06AA">
        <w:t xml:space="preserve"> category from 1990 to 2022. Over this period, the total carbon stock stored in </w:t>
      </w:r>
      <w:r w:rsidRPr="009E06AA">
        <w:rPr>
          <w:i/>
        </w:rPr>
        <w:t>Forest land</w:t>
      </w:r>
      <w:r w:rsidRPr="009E06AA">
        <w:t xml:space="preserve"> has increased by 228,146.7 kt C, equivalent to emissions of </w:t>
      </w:r>
      <w:r w:rsidRPr="009E06AA">
        <w:noBreakHyphen/>
        <w:t>836,537.7 tonnes CO</w:t>
      </w:r>
      <w:r w:rsidRPr="009E06AA">
        <w:rPr>
          <w:vertAlign w:val="subscript"/>
        </w:rPr>
        <w:t>2</w:t>
      </w:r>
      <w:r w:rsidRPr="009E06AA">
        <w:t xml:space="preserve"> since 1990. </w:t>
      </w:r>
    </w:p>
    <w:p w14:paraId="686A37F6" w14:textId="70E2FB31" w:rsidR="00053418" w:rsidRPr="009E06AA" w:rsidDel="00A96DD7" w:rsidRDefault="00053418" w:rsidP="00053418">
      <w:pPr>
        <w:pStyle w:val="Table"/>
      </w:pPr>
      <w:bookmarkStart w:id="1841" w:name="_Toc280630454"/>
      <w:bookmarkStart w:id="1842" w:name="_Toc310423406"/>
      <w:bookmarkStart w:id="1843" w:name="_Toc318362699"/>
      <w:bookmarkStart w:id="1844" w:name="_Toc342470761"/>
      <w:bookmarkStart w:id="1845" w:name="_Toc352505001"/>
      <w:bookmarkStart w:id="1846" w:name="_Toc373395726"/>
      <w:bookmarkStart w:id="1847" w:name="_Toc378853292"/>
      <w:bookmarkStart w:id="1848" w:name="_Toc391024090"/>
      <w:bookmarkStart w:id="1849" w:name="_Toc410028833"/>
      <w:bookmarkStart w:id="1850" w:name="_Toc414531461"/>
      <w:bookmarkStart w:id="1851" w:name="_Toc443645374"/>
      <w:bookmarkStart w:id="1852" w:name="_Toc474914593"/>
      <w:bookmarkStart w:id="1853" w:name="_Toc481751557"/>
      <w:bookmarkStart w:id="1854" w:name="_Toc522010614"/>
      <w:bookmarkStart w:id="1855" w:name="_Toc5269519"/>
      <w:bookmarkStart w:id="1856" w:name="_Toc33529393"/>
      <w:bookmarkStart w:id="1857" w:name="_Toc36224599"/>
      <w:bookmarkStart w:id="1858" w:name="_Toc158979951"/>
      <w:bookmarkStart w:id="1859" w:name="_Toc164153884"/>
      <w:bookmarkStart w:id="1860" w:name="_Toc131591393"/>
      <w:r w:rsidRPr="009E06AA">
        <w:t>Table 6.4.3</w:t>
      </w:r>
      <w:r w:rsidRPr="009E06AA">
        <w:tab/>
        <w:t>New Zealand’s net carbon stock change by carbon pool for the</w:t>
      </w:r>
      <w:r w:rsidRPr="009E06AA">
        <w:rPr>
          <w:rFonts w:cs="Arial Bold"/>
        </w:rPr>
        <w:t xml:space="preserve"> </w:t>
      </w:r>
      <w:r w:rsidRPr="009E06AA">
        <w:rPr>
          <w:rFonts w:cs="Arial Bold"/>
          <w:i/>
        </w:rPr>
        <w:t>Forest</w:t>
      </w:r>
      <w:r w:rsidRPr="009E06AA">
        <w:rPr>
          <w:i/>
        </w:rPr>
        <w:t xml:space="preserve"> land </w:t>
      </w:r>
      <w:r w:rsidRPr="009E06AA">
        <w:t>category</w:t>
      </w:r>
      <w:r w:rsidR="00801FDD" w:rsidRPr="009E06AA">
        <w:t>,</w:t>
      </w:r>
      <w:r w:rsidRPr="009E06AA">
        <w:br/>
        <w:t>from 1990 to</w:t>
      </w:r>
      <w:bookmarkEnd w:id="1841"/>
      <w:bookmarkEnd w:id="1842"/>
      <w:bookmarkEnd w:id="1843"/>
      <w:bookmarkEnd w:id="1844"/>
      <w:bookmarkEnd w:id="1845"/>
      <w:bookmarkEnd w:id="1846"/>
      <w:bookmarkEnd w:id="1847"/>
      <w:bookmarkEnd w:id="1848"/>
      <w:r w:rsidRPr="009E06AA">
        <w:t> </w:t>
      </w:r>
      <w:bookmarkEnd w:id="1849"/>
      <w:bookmarkEnd w:id="1850"/>
      <w:bookmarkEnd w:id="1851"/>
      <w:bookmarkEnd w:id="1852"/>
      <w:bookmarkEnd w:id="1853"/>
      <w:bookmarkEnd w:id="1854"/>
      <w:bookmarkEnd w:id="1855"/>
      <w:bookmarkEnd w:id="1856"/>
      <w:bookmarkEnd w:id="1857"/>
      <w:r w:rsidRPr="009E06AA">
        <w:t>2022</w:t>
      </w:r>
      <w:bookmarkEnd w:id="1858"/>
      <w:bookmarkEnd w:id="1859"/>
    </w:p>
    <w:tbl>
      <w:tblPr>
        <w:tblW w:w="8505" w:type="dxa"/>
        <w:tblBorders>
          <w:top w:val="single" w:sz="4" w:space="0" w:color="1B556B"/>
          <w:bottom w:val="single" w:sz="4" w:space="0" w:color="1B556B"/>
          <w:insideH w:val="single" w:sz="4" w:space="0" w:color="1B556B"/>
        </w:tblBorders>
        <w:tblLayout w:type="fixed"/>
        <w:tblCellMar>
          <w:left w:w="85" w:type="dxa"/>
          <w:right w:w="85" w:type="dxa"/>
        </w:tblCellMar>
        <w:tblLook w:val="0420" w:firstRow="1" w:lastRow="0" w:firstColumn="0" w:lastColumn="0" w:noHBand="0" w:noVBand="1"/>
      </w:tblPr>
      <w:tblGrid>
        <w:gridCol w:w="1814"/>
        <w:gridCol w:w="1276"/>
        <w:gridCol w:w="1701"/>
        <w:gridCol w:w="992"/>
        <w:gridCol w:w="1134"/>
        <w:gridCol w:w="1588"/>
      </w:tblGrid>
      <w:tr w:rsidR="00053418" w:rsidRPr="009E06AA" w14:paraId="62D80A7D" w14:textId="77777777" w:rsidTr="00B55F24">
        <w:trPr>
          <w:tblHeader/>
        </w:trPr>
        <w:tc>
          <w:tcPr>
            <w:tcW w:w="1814" w:type="dxa"/>
            <w:tcBorders>
              <w:bottom w:val="single" w:sz="4" w:space="0" w:color="1B556B"/>
            </w:tcBorders>
            <w:shd w:val="clear" w:color="auto" w:fill="1B556B"/>
            <w:vAlign w:val="center"/>
          </w:tcPr>
          <w:p w14:paraId="4DF1D426" w14:textId="77777777" w:rsidR="00053418" w:rsidRPr="009E06AA" w:rsidRDefault="00053418" w:rsidP="00B55F24">
            <w:pPr>
              <w:pStyle w:val="TableTextBold"/>
              <w:rPr>
                <w:noProof w:val="0"/>
                <w:color w:val="FFFFFF" w:themeColor="background1"/>
              </w:rPr>
            </w:pPr>
          </w:p>
        </w:tc>
        <w:tc>
          <w:tcPr>
            <w:tcW w:w="5103" w:type="dxa"/>
            <w:gridSpan w:val="4"/>
            <w:tcBorders>
              <w:bottom w:val="single" w:sz="4" w:space="0" w:color="1B556B"/>
            </w:tcBorders>
            <w:shd w:val="clear" w:color="auto" w:fill="1B556B"/>
            <w:vAlign w:val="center"/>
          </w:tcPr>
          <w:p w14:paraId="51649257" w14:textId="77777777" w:rsidR="00053418" w:rsidRPr="009E06AA" w:rsidRDefault="00053418" w:rsidP="00B55F24">
            <w:pPr>
              <w:pStyle w:val="TableTextBold"/>
              <w:spacing w:before="40" w:after="40"/>
              <w:jc w:val="center"/>
              <w:rPr>
                <w:noProof w:val="0"/>
                <w:color w:val="FFFFFF" w:themeColor="background1"/>
              </w:rPr>
            </w:pPr>
            <w:r w:rsidRPr="009E06AA">
              <w:rPr>
                <w:rFonts w:eastAsia="Calibri" w:cs="Calibri"/>
                <w:noProof w:val="0"/>
                <w:color w:val="FFFFFF" w:themeColor="background1"/>
                <w:szCs w:val="16"/>
              </w:rPr>
              <w:t>Net carbon stock change 1990–2022 (kt C)</w:t>
            </w:r>
          </w:p>
        </w:tc>
        <w:tc>
          <w:tcPr>
            <w:tcW w:w="1588" w:type="dxa"/>
            <w:tcBorders>
              <w:bottom w:val="single" w:sz="4" w:space="0" w:color="1B556B"/>
            </w:tcBorders>
            <w:shd w:val="clear" w:color="auto" w:fill="1B556B"/>
            <w:vAlign w:val="center"/>
          </w:tcPr>
          <w:p w14:paraId="1A4EF9F6" w14:textId="77777777" w:rsidR="00053418" w:rsidRPr="009E06AA" w:rsidRDefault="00053418" w:rsidP="00B55F24">
            <w:pPr>
              <w:pStyle w:val="TableTextBold"/>
              <w:spacing w:after="0"/>
              <w:jc w:val="center"/>
              <w:rPr>
                <w:noProof w:val="0"/>
                <w:color w:val="FFFFFF" w:themeColor="background1"/>
              </w:rPr>
            </w:pPr>
            <w:r w:rsidRPr="009E06AA">
              <w:rPr>
                <w:rFonts w:eastAsia="Calibri" w:cs="Calibri"/>
                <w:noProof w:val="0"/>
                <w:color w:val="FFFFFF" w:themeColor="background1"/>
                <w:szCs w:val="16"/>
              </w:rPr>
              <w:t>Emissions 1990–2022</w:t>
            </w:r>
          </w:p>
        </w:tc>
      </w:tr>
      <w:tr w:rsidR="00053418" w:rsidRPr="009E06AA" w14:paraId="5142315B" w14:textId="77777777" w:rsidTr="00B55F24">
        <w:trPr>
          <w:tblHeader/>
        </w:trPr>
        <w:tc>
          <w:tcPr>
            <w:tcW w:w="1814" w:type="dxa"/>
            <w:tcBorders>
              <w:bottom w:val="nil"/>
            </w:tcBorders>
            <w:shd w:val="clear" w:color="auto" w:fill="1B556B"/>
            <w:vAlign w:val="center"/>
          </w:tcPr>
          <w:p w14:paraId="15173920" w14:textId="77777777" w:rsidR="00053418" w:rsidRPr="009E06AA" w:rsidRDefault="00053418" w:rsidP="00B55F24">
            <w:pPr>
              <w:pStyle w:val="TableTextBold"/>
              <w:rPr>
                <w:noProof w:val="0"/>
                <w:color w:val="FFFFFF" w:themeColor="background1"/>
              </w:rPr>
            </w:pPr>
            <w:r w:rsidRPr="009E06AA">
              <w:rPr>
                <w:rFonts w:eastAsia="Calibri" w:cs="Calibri"/>
                <w:noProof w:val="0"/>
                <w:color w:val="FFFFFF" w:themeColor="background1"/>
                <w:szCs w:val="16"/>
              </w:rPr>
              <w:t>Land use</w:t>
            </w:r>
          </w:p>
        </w:tc>
        <w:tc>
          <w:tcPr>
            <w:tcW w:w="1276" w:type="dxa"/>
            <w:tcBorders>
              <w:bottom w:val="nil"/>
            </w:tcBorders>
            <w:shd w:val="clear" w:color="auto" w:fill="1B556B"/>
            <w:vAlign w:val="center"/>
          </w:tcPr>
          <w:p w14:paraId="36F740B1" w14:textId="77777777" w:rsidR="00053418" w:rsidRPr="009E06AA" w:rsidRDefault="00053418" w:rsidP="0066542C">
            <w:pPr>
              <w:pStyle w:val="TableTextBold"/>
              <w:jc w:val="right"/>
              <w:rPr>
                <w:noProof w:val="0"/>
                <w:color w:val="FFFFFF" w:themeColor="background1"/>
              </w:rPr>
            </w:pPr>
            <w:r w:rsidRPr="009E06AA">
              <w:rPr>
                <w:rFonts w:eastAsia="Calibri" w:cs="Calibri"/>
                <w:noProof w:val="0"/>
                <w:color w:val="FFFFFF" w:themeColor="background1"/>
                <w:szCs w:val="16"/>
              </w:rPr>
              <w:t>Living biomass</w:t>
            </w:r>
          </w:p>
        </w:tc>
        <w:tc>
          <w:tcPr>
            <w:tcW w:w="1701" w:type="dxa"/>
            <w:tcBorders>
              <w:bottom w:val="nil"/>
            </w:tcBorders>
            <w:shd w:val="clear" w:color="auto" w:fill="1B556B"/>
            <w:vAlign w:val="center"/>
          </w:tcPr>
          <w:p w14:paraId="46798564" w14:textId="77777777" w:rsidR="00053418" w:rsidRPr="009E06AA" w:rsidRDefault="00053418" w:rsidP="0066542C">
            <w:pPr>
              <w:pStyle w:val="TableTextBold"/>
              <w:jc w:val="right"/>
              <w:rPr>
                <w:noProof w:val="0"/>
                <w:color w:val="FFFFFF" w:themeColor="background1"/>
              </w:rPr>
            </w:pPr>
            <w:r w:rsidRPr="009E06AA">
              <w:rPr>
                <w:rFonts w:eastAsia="Calibri" w:cs="Calibri"/>
                <w:noProof w:val="0"/>
                <w:color w:val="FFFFFF" w:themeColor="background1"/>
                <w:szCs w:val="16"/>
              </w:rPr>
              <w:t>Dead organic matter</w:t>
            </w:r>
          </w:p>
        </w:tc>
        <w:tc>
          <w:tcPr>
            <w:tcW w:w="992" w:type="dxa"/>
            <w:tcBorders>
              <w:bottom w:val="nil"/>
            </w:tcBorders>
            <w:shd w:val="clear" w:color="auto" w:fill="1B556B"/>
            <w:vAlign w:val="center"/>
          </w:tcPr>
          <w:p w14:paraId="3EFF24EB" w14:textId="77777777" w:rsidR="00053418" w:rsidRPr="009E06AA" w:rsidRDefault="00053418" w:rsidP="0066542C">
            <w:pPr>
              <w:pStyle w:val="TableTextBold"/>
              <w:jc w:val="right"/>
              <w:rPr>
                <w:noProof w:val="0"/>
                <w:color w:val="FFFFFF" w:themeColor="background1"/>
              </w:rPr>
            </w:pPr>
            <w:r w:rsidRPr="009E06AA">
              <w:rPr>
                <w:rFonts w:eastAsia="Calibri" w:cs="Calibri"/>
                <w:noProof w:val="0"/>
                <w:color w:val="FFFFFF" w:themeColor="background1"/>
                <w:szCs w:val="16"/>
              </w:rPr>
              <w:t>Soils</w:t>
            </w:r>
          </w:p>
        </w:tc>
        <w:tc>
          <w:tcPr>
            <w:tcW w:w="1134" w:type="dxa"/>
            <w:tcBorders>
              <w:bottom w:val="nil"/>
            </w:tcBorders>
            <w:shd w:val="clear" w:color="auto" w:fill="1B556B"/>
            <w:vAlign w:val="center"/>
          </w:tcPr>
          <w:p w14:paraId="5D38322C" w14:textId="77777777" w:rsidR="00053418" w:rsidRPr="009E06AA" w:rsidRDefault="00053418" w:rsidP="0066542C">
            <w:pPr>
              <w:pStyle w:val="TableTextBold"/>
              <w:jc w:val="right"/>
              <w:rPr>
                <w:noProof w:val="0"/>
                <w:color w:val="FFFFFF" w:themeColor="background1"/>
              </w:rPr>
            </w:pPr>
            <w:r w:rsidRPr="009E06AA">
              <w:rPr>
                <w:rFonts w:eastAsia="Calibri" w:cs="Calibri"/>
                <w:noProof w:val="0"/>
                <w:color w:val="FFFFFF" w:themeColor="background1"/>
                <w:szCs w:val="16"/>
              </w:rPr>
              <w:t>Total</w:t>
            </w:r>
          </w:p>
        </w:tc>
        <w:tc>
          <w:tcPr>
            <w:tcW w:w="1588" w:type="dxa"/>
            <w:tcBorders>
              <w:bottom w:val="nil"/>
            </w:tcBorders>
            <w:shd w:val="clear" w:color="auto" w:fill="1B556B"/>
            <w:vAlign w:val="center"/>
          </w:tcPr>
          <w:p w14:paraId="4FE9A3EA" w14:textId="77777777" w:rsidR="00053418" w:rsidRPr="009E06AA" w:rsidRDefault="00053418" w:rsidP="0066542C">
            <w:pPr>
              <w:pStyle w:val="TableTextBold"/>
              <w:jc w:val="right"/>
              <w:rPr>
                <w:noProof w:val="0"/>
                <w:color w:val="FFFFFF" w:themeColor="background1"/>
              </w:rPr>
            </w:pPr>
            <w:r w:rsidRPr="009E06AA">
              <w:rPr>
                <w:rFonts w:eastAsia="Calibri" w:cs="Calibri"/>
                <w:noProof w:val="0"/>
                <w:color w:val="FFFFFF" w:themeColor="background1"/>
                <w:szCs w:val="16"/>
              </w:rPr>
              <w:t>(kt CO₂)</w:t>
            </w:r>
          </w:p>
        </w:tc>
      </w:tr>
      <w:tr w:rsidR="00053418" w:rsidRPr="009E06AA" w14:paraId="4BFE9E29" w14:textId="77777777" w:rsidTr="00B55F24">
        <w:trPr>
          <w:trHeight w:val="283"/>
        </w:trPr>
        <w:tc>
          <w:tcPr>
            <w:tcW w:w="1814" w:type="dxa"/>
            <w:tcBorders>
              <w:top w:val="nil"/>
            </w:tcBorders>
            <w:shd w:val="clear" w:color="auto" w:fill="FFFFFF"/>
            <w:vAlign w:val="center"/>
          </w:tcPr>
          <w:p w14:paraId="736C58BB" w14:textId="77777777" w:rsidR="00053418" w:rsidRPr="009E06AA" w:rsidRDefault="00053418" w:rsidP="00B654F6">
            <w:pPr>
              <w:pStyle w:val="TableText"/>
              <w:spacing w:before="40" w:after="40"/>
            </w:pPr>
            <w:r w:rsidRPr="009E06AA">
              <w:t>Pre-1990 natural forest</w:t>
            </w:r>
          </w:p>
        </w:tc>
        <w:tc>
          <w:tcPr>
            <w:tcW w:w="1276" w:type="dxa"/>
            <w:tcBorders>
              <w:top w:val="nil"/>
            </w:tcBorders>
            <w:shd w:val="clear" w:color="auto" w:fill="FFFFFF"/>
            <w:vAlign w:val="center"/>
          </w:tcPr>
          <w:p w14:paraId="1E94F49F" w14:textId="77777777" w:rsidR="00053418" w:rsidRPr="009E06AA" w:rsidRDefault="00053418" w:rsidP="00B654F6">
            <w:pPr>
              <w:pStyle w:val="TableText"/>
              <w:spacing w:before="40" w:after="40"/>
              <w:jc w:val="right"/>
            </w:pPr>
            <w:r w:rsidRPr="009E06AA">
              <w:t>11,078.2</w:t>
            </w:r>
          </w:p>
        </w:tc>
        <w:tc>
          <w:tcPr>
            <w:tcW w:w="1701" w:type="dxa"/>
            <w:tcBorders>
              <w:top w:val="nil"/>
            </w:tcBorders>
            <w:shd w:val="clear" w:color="auto" w:fill="FFFFFF"/>
            <w:vAlign w:val="center"/>
          </w:tcPr>
          <w:p w14:paraId="537946CF" w14:textId="77777777" w:rsidR="00053418" w:rsidRPr="009E06AA" w:rsidRDefault="00053418" w:rsidP="00B654F6">
            <w:pPr>
              <w:pStyle w:val="TableText"/>
              <w:spacing w:before="40" w:after="40"/>
              <w:jc w:val="right"/>
            </w:pPr>
            <w:r w:rsidRPr="009E06AA">
              <w:t>1,090.0</w:t>
            </w:r>
          </w:p>
        </w:tc>
        <w:tc>
          <w:tcPr>
            <w:tcW w:w="992" w:type="dxa"/>
            <w:tcBorders>
              <w:top w:val="nil"/>
            </w:tcBorders>
            <w:shd w:val="clear" w:color="auto" w:fill="FFFFFF"/>
            <w:vAlign w:val="center"/>
          </w:tcPr>
          <w:p w14:paraId="6E9E653D" w14:textId="77777777" w:rsidR="00053418" w:rsidRPr="009E06AA" w:rsidRDefault="00053418" w:rsidP="00B654F6">
            <w:pPr>
              <w:pStyle w:val="TableText"/>
              <w:spacing w:before="40" w:after="40"/>
              <w:jc w:val="right"/>
            </w:pPr>
            <w:r w:rsidRPr="009E06AA">
              <w:t>-134.8</w:t>
            </w:r>
          </w:p>
        </w:tc>
        <w:tc>
          <w:tcPr>
            <w:tcW w:w="1134" w:type="dxa"/>
            <w:tcBorders>
              <w:top w:val="nil"/>
            </w:tcBorders>
            <w:shd w:val="clear" w:color="auto" w:fill="FFFFFF"/>
            <w:vAlign w:val="center"/>
          </w:tcPr>
          <w:p w14:paraId="4D9EC088" w14:textId="77777777" w:rsidR="00053418" w:rsidRPr="009E06AA" w:rsidRDefault="00053418" w:rsidP="00B654F6">
            <w:pPr>
              <w:pStyle w:val="TableText"/>
              <w:spacing w:before="40" w:after="40"/>
              <w:jc w:val="right"/>
            </w:pPr>
            <w:r w:rsidRPr="009E06AA">
              <w:t>12,033.3</w:t>
            </w:r>
          </w:p>
        </w:tc>
        <w:tc>
          <w:tcPr>
            <w:tcW w:w="1588" w:type="dxa"/>
            <w:tcBorders>
              <w:top w:val="nil"/>
            </w:tcBorders>
            <w:shd w:val="clear" w:color="auto" w:fill="FFFFFF"/>
            <w:vAlign w:val="center"/>
          </w:tcPr>
          <w:p w14:paraId="5E4D067C" w14:textId="77777777" w:rsidR="00053418" w:rsidRPr="009E06AA" w:rsidRDefault="00053418" w:rsidP="00B654F6">
            <w:pPr>
              <w:pStyle w:val="TableText"/>
              <w:spacing w:before="40" w:after="40"/>
              <w:jc w:val="right"/>
            </w:pPr>
            <w:r w:rsidRPr="009E06AA">
              <w:t>-44,122.2</w:t>
            </w:r>
          </w:p>
        </w:tc>
      </w:tr>
      <w:tr w:rsidR="00053418" w:rsidRPr="009E06AA" w14:paraId="654BC2F8" w14:textId="77777777" w:rsidTr="00B55F24">
        <w:trPr>
          <w:trHeight w:val="283"/>
        </w:trPr>
        <w:tc>
          <w:tcPr>
            <w:tcW w:w="1814" w:type="dxa"/>
            <w:shd w:val="clear" w:color="auto" w:fill="FFFFFF"/>
            <w:vAlign w:val="center"/>
          </w:tcPr>
          <w:p w14:paraId="02065FF1" w14:textId="77777777" w:rsidR="00053418" w:rsidRPr="009E06AA" w:rsidRDefault="00053418" w:rsidP="00B654F6">
            <w:pPr>
              <w:pStyle w:val="TableText"/>
              <w:spacing w:before="40" w:after="40"/>
            </w:pPr>
            <w:r w:rsidRPr="009E06AA">
              <w:t>Pre-1990 planted forest</w:t>
            </w:r>
          </w:p>
        </w:tc>
        <w:tc>
          <w:tcPr>
            <w:tcW w:w="1276" w:type="dxa"/>
            <w:shd w:val="clear" w:color="auto" w:fill="FFFFFF"/>
            <w:vAlign w:val="center"/>
          </w:tcPr>
          <w:p w14:paraId="499B5A3F" w14:textId="77777777" w:rsidR="00053418" w:rsidRPr="009E06AA" w:rsidRDefault="00053418" w:rsidP="00B654F6">
            <w:pPr>
              <w:pStyle w:val="TableText"/>
              <w:spacing w:before="40" w:after="40"/>
              <w:jc w:val="right"/>
            </w:pPr>
            <w:r w:rsidRPr="009E06AA">
              <w:t>112,597.1</w:t>
            </w:r>
          </w:p>
        </w:tc>
        <w:tc>
          <w:tcPr>
            <w:tcW w:w="1701" w:type="dxa"/>
            <w:shd w:val="clear" w:color="auto" w:fill="FFFFFF"/>
            <w:vAlign w:val="center"/>
          </w:tcPr>
          <w:p w14:paraId="67E1F77B" w14:textId="77777777" w:rsidR="00053418" w:rsidRPr="009E06AA" w:rsidRDefault="00053418" w:rsidP="00B654F6">
            <w:pPr>
              <w:pStyle w:val="TableText"/>
              <w:spacing w:before="40" w:after="40"/>
              <w:jc w:val="right"/>
            </w:pPr>
            <w:r w:rsidRPr="009E06AA">
              <w:t>16,808.4</w:t>
            </w:r>
          </w:p>
        </w:tc>
        <w:tc>
          <w:tcPr>
            <w:tcW w:w="992" w:type="dxa"/>
            <w:shd w:val="clear" w:color="auto" w:fill="FFFFFF"/>
            <w:vAlign w:val="center"/>
          </w:tcPr>
          <w:p w14:paraId="62E01D4C" w14:textId="77777777" w:rsidR="00053418" w:rsidRPr="009E06AA" w:rsidRDefault="00053418" w:rsidP="00B654F6">
            <w:pPr>
              <w:pStyle w:val="TableText"/>
              <w:spacing w:before="40" w:after="40"/>
              <w:jc w:val="right"/>
            </w:pPr>
            <w:r w:rsidRPr="009E06AA">
              <w:t>-4,381.6</w:t>
            </w:r>
          </w:p>
        </w:tc>
        <w:tc>
          <w:tcPr>
            <w:tcW w:w="1134" w:type="dxa"/>
            <w:shd w:val="clear" w:color="auto" w:fill="FFFFFF"/>
            <w:vAlign w:val="center"/>
          </w:tcPr>
          <w:p w14:paraId="4AD0D0DD" w14:textId="77777777" w:rsidR="00053418" w:rsidRPr="009E06AA" w:rsidRDefault="00053418" w:rsidP="00B654F6">
            <w:pPr>
              <w:pStyle w:val="TableText"/>
              <w:spacing w:before="40" w:after="40"/>
              <w:jc w:val="right"/>
            </w:pPr>
            <w:r w:rsidRPr="009E06AA">
              <w:t>125,024.0</w:t>
            </w:r>
          </w:p>
        </w:tc>
        <w:tc>
          <w:tcPr>
            <w:tcW w:w="1588" w:type="dxa"/>
            <w:shd w:val="clear" w:color="auto" w:fill="FFFFFF"/>
            <w:vAlign w:val="center"/>
          </w:tcPr>
          <w:p w14:paraId="47E98979" w14:textId="77777777" w:rsidR="00053418" w:rsidRPr="009E06AA" w:rsidRDefault="00053418" w:rsidP="00B654F6">
            <w:pPr>
              <w:pStyle w:val="TableText"/>
              <w:spacing w:before="40" w:after="40"/>
              <w:jc w:val="right"/>
            </w:pPr>
            <w:r w:rsidRPr="009E06AA">
              <w:t>-458,421.2</w:t>
            </w:r>
          </w:p>
        </w:tc>
      </w:tr>
      <w:tr w:rsidR="00053418" w:rsidRPr="009E06AA" w14:paraId="1C6C88EA" w14:textId="77777777" w:rsidTr="00B55F24">
        <w:trPr>
          <w:trHeight w:val="283"/>
        </w:trPr>
        <w:tc>
          <w:tcPr>
            <w:tcW w:w="1814" w:type="dxa"/>
            <w:shd w:val="clear" w:color="auto" w:fill="FFFFFF"/>
            <w:vAlign w:val="center"/>
          </w:tcPr>
          <w:p w14:paraId="26838008" w14:textId="77777777" w:rsidR="00053418" w:rsidRPr="009E06AA" w:rsidRDefault="00053418" w:rsidP="00B654F6">
            <w:pPr>
              <w:pStyle w:val="TableText"/>
              <w:spacing w:before="40" w:after="40"/>
            </w:pPr>
            <w:r w:rsidRPr="009E06AA">
              <w:t>Post-1989 planted forest</w:t>
            </w:r>
          </w:p>
        </w:tc>
        <w:tc>
          <w:tcPr>
            <w:tcW w:w="1276" w:type="dxa"/>
            <w:shd w:val="clear" w:color="auto" w:fill="FFFFFF"/>
            <w:vAlign w:val="center"/>
          </w:tcPr>
          <w:p w14:paraId="1DD387E1" w14:textId="77777777" w:rsidR="00053418" w:rsidRPr="009E06AA" w:rsidRDefault="00053418" w:rsidP="00B654F6">
            <w:pPr>
              <w:pStyle w:val="TableText"/>
              <w:spacing w:before="40" w:after="40"/>
              <w:jc w:val="right"/>
            </w:pPr>
            <w:r w:rsidRPr="009E06AA">
              <w:t>81,384.2</w:t>
            </w:r>
          </w:p>
        </w:tc>
        <w:tc>
          <w:tcPr>
            <w:tcW w:w="1701" w:type="dxa"/>
            <w:shd w:val="clear" w:color="auto" w:fill="FFFFFF"/>
            <w:vAlign w:val="center"/>
          </w:tcPr>
          <w:p w14:paraId="57107577" w14:textId="77777777" w:rsidR="00053418" w:rsidRPr="009E06AA" w:rsidRDefault="00053418" w:rsidP="00B654F6">
            <w:pPr>
              <w:pStyle w:val="TableText"/>
              <w:spacing w:before="40" w:after="40"/>
              <w:jc w:val="right"/>
            </w:pPr>
            <w:r w:rsidRPr="009E06AA">
              <w:t>14,893.6</w:t>
            </w:r>
          </w:p>
        </w:tc>
        <w:tc>
          <w:tcPr>
            <w:tcW w:w="992" w:type="dxa"/>
            <w:shd w:val="clear" w:color="auto" w:fill="FFFFFF"/>
            <w:vAlign w:val="center"/>
          </w:tcPr>
          <w:p w14:paraId="2D772EF2" w14:textId="77777777" w:rsidR="00053418" w:rsidRPr="009E06AA" w:rsidRDefault="00053418" w:rsidP="00B654F6">
            <w:pPr>
              <w:pStyle w:val="TableText"/>
              <w:spacing w:before="40" w:after="40"/>
              <w:jc w:val="right"/>
            </w:pPr>
            <w:r w:rsidRPr="009E06AA">
              <w:t>-7,871.6</w:t>
            </w:r>
          </w:p>
        </w:tc>
        <w:tc>
          <w:tcPr>
            <w:tcW w:w="1134" w:type="dxa"/>
            <w:shd w:val="clear" w:color="auto" w:fill="FFFFFF"/>
            <w:vAlign w:val="center"/>
          </w:tcPr>
          <w:p w14:paraId="5050D626" w14:textId="77777777" w:rsidR="00053418" w:rsidRPr="009E06AA" w:rsidRDefault="00053418" w:rsidP="00B654F6">
            <w:pPr>
              <w:pStyle w:val="TableText"/>
              <w:spacing w:before="40" w:after="40"/>
              <w:jc w:val="right"/>
            </w:pPr>
            <w:r w:rsidRPr="009E06AA">
              <w:t>88,406.2</w:t>
            </w:r>
          </w:p>
        </w:tc>
        <w:tc>
          <w:tcPr>
            <w:tcW w:w="1588" w:type="dxa"/>
            <w:shd w:val="clear" w:color="auto" w:fill="FFFFFF"/>
            <w:vAlign w:val="center"/>
          </w:tcPr>
          <w:p w14:paraId="483460A6" w14:textId="77777777" w:rsidR="00053418" w:rsidRPr="009E06AA" w:rsidRDefault="00053418" w:rsidP="00B654F6">
            <w:pPr>
              <w:pStyle w:val="TableText"/>
              <w:spacing w:before="40" w:after="40"/>
              <w:jc w:val="right"/>
            </w:pPr>
            <w:r w:rsidRPr="009E06AA">
              <w:t>-324,156.0</w:t>
            </w:r>
          </w:p>
        </w:tc>
      </w:tr>
      <w:tr w:rsidR="00053418" w:rsidRPr="009E06AA" w14:paraId="486D8188" w14:textId="77777777" w:rsidTr="00B55F24">
        <w:trPr>
          <w:trHeight w:val="283"/>
        </w:trPr>
        <w:tc>
          <w:tcPr>
            <w:tcW w:w="1814" w:type="dxa"/>
            <w:shd w:val="clear" w:color="auto" w:fill="FFFFFF"/>
            <w:vAlign w:val="center"/>
          </w:tcPr>
          <w:p w14:paraId="0ACD2CDD" w14:textId="77777777" w:rsidR="00053418" w:rsidRPr="009E06AA" w:rsidRDefault="00053418" w:rsidP="00B654F6">
            <w:pPr>
              <w:pStyle w:val="TableText"/>
              <w:spacing w:before="40" w:after="40"/>
            </w:pPr>
            <w:r w:rsidRPr="009E06AA">
              <w:t>Post-1989 natural forest</w:t>
            </w:r>
          </w:p>
        </w:tc>
        <w:tc>
          <w:tcPr>
            <w:tcW w:w="1276" w:type="dxa"/>
            <w:shd w:val="clear" w:color="auto" w:fill="FFFFFF"/>
            <w:vAlign w:val="center"/>
          </w:tcPr>
          <w:p w14:paraId="7C3EC212" w14:textId="77777777" w:rsidR="00053418" w:rsidRPr="009E06AA" w:rsidRDefault="00053418" w:rsidP="00B654F6">
            <w:pPr>
              <w:pStyle w:val="TableText"/>
              <w:spacing w:before="40" w:after="40"/>
              <w:jc w:val="right"/>
            </w:pPr>
            <w:r w:rsidRPr="009E06AA">
              <w:t>3,359.6</w:t>
            </w:r>
          </w:p>
        </w:tc>
        <w:tc>
          <w:tcPr>
            <w:tcW w:w="1701" w:type="dxa"/>
            <w:shd w:val="clear" w:color="auto" w:fill="FFFFFF"/>
            <w:vAlign w:val="center"/>
          </w:tcPr>
          <w:p w14:paraId="0EA817B1" w14:textId="77777777" w:rsidR="00053418" w:rsidRPr="009E06AA" w:rsidRDefault="00053418" w:rsidP="00B654F6">
            <w:pPr>
              <w:pStyle w:val="TableText"/>
              <w:spacing w:before="40" w:after="40"/>
              <w:jc w:val="right"/>
            </w:pPr>
            <w:r w:rsidRPr="009E06AA">
              <w:t>37.0</w:t>
            </w:r>
          </w:p>
        </w:tc>
        <w:tc>
          <w:tcPr>
            <w:tcW w:w="992" w:type="dxa"/>
            <w:shd w:val="clear" w:color="auto" w:fill="FFFFFF"/>
            <w:vAlign w:val="center"/>
          </w:tcPr>
          <w:p w14:paraId="61A18B2F" w14:textId="77777777" w:rsidR="00053418" w:rsidRPr="009E06AA" w:rsidRDefault="00053418" w:rsidP="00B654F6">
            <w:pPr>
              <w:pStyle w:val="TableText"/>
              <w:spacing w:before="40" w:after="40"/>
              <w:jc w:val="right"/>
            </w:pPr>
            <w:r w:rsidRPr="009E06AA">
              <w:t>-713.4</w:t>
            </w:r>
          </w:p>
        </w:tc>
        <w:tc>
          <w:tcPr>
            <w:tcW w:w="1134" w:type="dxa"/>
            <w:shd w:val="clear" w:color="auto" w:fill="FFFFFF"/>
            <w:vAlign w:val="center"/>
          </w:tcPr>
          <w:p w14:paraId="0D657886" w14:textId="77777777" w:rsidR="00053418" w:rsidRPr="009E06AA" w:rsidRDefault="00053418" w:rsidP="00B654F6">
            <w:pPr>
              <w:pStyle w:val="TableText"/>
              <w:spacing w:before="40" w:after="40"/>
              <w:jc w:val="right"/>
            </w:pPr>
            <w:r w:rsidRPr="009E06AA">
              <w:t>2,683.2</w:t>
            </w:r>
          </w:p>
        </w:tc>
        <w:tc>
          <w:tcPr>
            <w:tcW w:w="1588" w:type="dxa"/>
            <w:shd w:val="clear" w:color="auto" w:fill="FFFFFF"/>
            <w:vAlign w:val="center"/>
          </w:tcPr>
          <w:p w14:paraId="08CD561E" w14:textId="77777777" w:rsidR="00053418" w:rsidRPr="009E06AA" w:rsidRDefault="00053418" w:rsidP="00B654F6">
            <w:pPr>
              <w:pStyle w:val="TableText"/>
              <w:spacing w:before="40" w:after="40"/>
              <w:jc w:val="right"/>
            </w:pPr>
            <w:r w:rsidRPr="009E06AA">
              <w:t>-9,838.3</w:t>
            </w:r>
          </w:p>
        </w:tc>
      </w:tr>
      <w:tr w:rsidR="00053418" w:rsidRPr="009E06AA" w14:paraId="45A0948B" w14:textId="77777777" w:rsidTr="00B55F24">
        <w:trPr>
          <w:trHeight w:val="283"/>
        </w:trPr>
        <w:tc>
          <w:tcPr>
            <w:tcW w:w="1814" w:type="dxa"/>
            <w:shd w:val="clear" w:color="auto" w:fill="FFFFFF"/>
            <w:vAlign w:val="center"/>
          </w:tcPr>
          <w:p w14:paraId="2C0F26EF" w14:textId="77777777" w:rsidR="00053418" w:rsidRPr="009E06AA" w:rsidRDefault="00053418" w:rsidP="00B654F6">
            <w:pPr>
              <w:pStyle w:val="TableText"/>
              <w:spacing w:before="40" w:after="40"/>
            </w:pPr>
            <w:r w:rsidRPr="009E06AA">
              <w:rPr>
                <w:b/>
                <w:color w:val="1B556B"/>
              </w:rPr>
              <w:t>Total</w:t>
            </w:r>
          </w:p>
        </w:tc>
        <w:tc>
          <w:tcPr>
            <w:tcW w:w="1276" w:type="dxa"/>
            <w:shd w:val="clear" w:color="auto" w:fill="FFFFFF"/>
            <w:vAlign w:val="center"/>
          </w:tcPr>
          <w:p w14:paraId="5C556136" w14:textId="77777777" w:rsidR="00053418" w:rsidRPr="009E06AA" w:rsidRDefault="00053418" w:rsidP="00B654F6">
            <w:pPr>
              <w:pStyle w:val="TableText"/>
              <w:spacing w:before="40" w:after="40"/>
              <w:jc w:val="right"/>
            </w:pPr>
            <w:r w:rsidRPr="009E06AA">
              <w:rPr>
                <w:b/>
                <w:color w:val="1B556B"/>
              </w:rPr>
              <w:t>208,419.1</w:t>
            </w:r>
          </w:p>
        </w:tc>
        <w:tc>
          <w:tcPr>
            <w:tcW w:w="1701" w:type="dxa"/>
            <w:shd w:val="clear" w:color="auto" w:fill="FFFFFF"/>
            <w:vAlign w:val="center"/>
          </w:tcPr>
          <w:p w14:paraId="527F2BE8" w14:textId="77777777" w:rsidR="00053418" w:rsidRPr="009E06AA" w:rsidRDefault="00053418" w:rsidP="00B654F6">
            <w:pPr>
              <w:pStyle w:val="TableText"/>
              <w:spacing w:before="40" w:after="40"/>
              <w:jc w:val="right"/>
            </w:pPr>
            <w:r w:rsidRPr="009E06AA">
              <w:rPr>
                <w:b/>
                <w:color w:val="1B556B"/>
              </w:rPr>
              <w:t>32,829.1</w:t>
            </w:r>
          </w:p>
        </w:tc>
        <w:tc>
          <w:tcPr>
            <w:tcW w:w="992" w:type="dxa"/>
            <w:shd w:val="clear" w:color="auto" w:fill="FFFFFF"/>
            <w:vAlign w:val="center"/>
          </w:tcPr>
          <w:p w14:paraId="73C45492" w14:textId="77777777" w:rsidR="00053418" w:rsidRPr="009E06AA" w:rsidRDefault="00053418" w:rsidP="00B654F6">
            <w:pPr>
              <w:pStyle w:val="TableText"/>
              <w:spacing w:before="40" w:after="40"/>
              <w:jc w:val="right"/>
            </w:pPr>
            <w:r w:rsidRPr="009E06AA">
              <w:rPr>
                <w:b/>
                <w:color w:val="1B556B"/>
              </w:rPr>
              <w:t>-13,101.5</w:t>
            </w:r>
          </w:p>
        </w:tc>
        <w:tc>
          <w:tcPr>
            <w:tcW w:w="1134" w:type="dxa"/>
            <w:shd w:val="clear" w:color="auto" w:fill="FFFFFF"/>
            <w:vAlign w:val="center"/>
          </w:tcPr>
          <w:p w14:paraId="4DED5774" w14:textId="77777777" w:rsidR="00053418" w:rsidRPr="009E06AA" w:rsidRDefault="00053418" w:rsidP="00B654F6">
            <w:pPr>
              <w:pStyle w:val="TableText"/>
              <w:spacing w:before="40" w:after="40"/>
              <w:jc w:val="right"/>
            </w:pPr>
            <w:r w:rsidRPr="009E06AA">
              <w:rPr>
                <w:b/>
                <w:color w:val="1B556B"/>
              </w:rPr>
              <w:t>228,146.7</w:t>
            </w:r>
          </w:p>
        </w:tc>
        <w:tc>
          <w:tcPr>
            <w:tcW w:w="1588" w:type="dxa"/>
            <w:shd w:val="clear" w:color="auto" w:fill="FFFFFF"/>
            <w:vAlign w:val="center"/>
          </w:tcPr>
          <w:p w14:paraId="2540E511" w14:textId="77777777" w:rsidR="00053418" w:rsidRPr="009E06AA" w:rsidRDefault="00053418" w:rsidP="00B654F6">
            <w:pPr>
              <w:pStyle w:val="TableText"/>
              <w:spacing w:before="40" w:after="40"/>
              <w:jc w:val="right"/>
            </w:pPr>
            <w:r w:rsidRPr="009E06AA">
              <w:rPr>
                <w:b/>
                <w:color w:val="1B556B"/>
              </w:rPr>
              <w:t>-836,537.7</w:t>
            </w:r>
          </w:p>
        </w:tc>
      </w:tr>
    </w:tbl>
    <w:bookmarkEnd w:id="1860"/>
    <w:p w14:paraId="3C6F6A65" w14:textId="77777777" w:rsidR="00053418" w:rsidRPr="009E06AA" w:rsidRDefault="00053418" w:rsidP="00882528">
      <w:pPr>
        <w:pStyle w:val="Noteundertable"/>
      </w:pPr>
      <w:r w:rsidRPr="009E06AA">
        <w:rPr>
          <w:b/>
        </w:rPr>
        <w:t>Note:</w:t>
      </w:r>
      <w:r w:rsidRPr="009E06AA">
        <w:tab/>
        <w:t>Emissions associated with the conversion of forest are reported in the land use category the land is converted to. Columns may not total due to rounding.</w:t>
      </w:r>
    </w:p>
    <w:p w14:paraId="19516CA0" w14:textId="77777777" w:rsidR="00053418" w:rsidRPr="009E06AA" w:rsidRDefault="00053418" w:rsidP="00053418">
      <w:pPr>
        <w:pStyle w:val="BodyText"/>
      </w:pPr>
      <w:r w:rsidRPr="009E06AA">
        <w:t>New Zealand’s emissions profile in the LULUCF sector is predominantly influenced by plantation forestry. The rapid growth rates of plantation forest relative to natural forest, and the timing of afforestation and harvesting cycles drive the emissions profile and will continue to do so in the future.</w:t>
      </w:r>
    </w:p>
    <w:p w14:paraId="63C0F7FC" w14:textId="77777777" w:rsidR="00053418" w:rsidRPr="009E06AA" w:rsidRDefault="00053418" w:rsidP="00053418">
      <w:pPr>
        <w:pStyle w:val="Heading3"/>
      </w:pPr>
      <w:bookmarkStart w:id="1861" w:name="_Toc255466330"/>
      <w:bookmarkStart w:id="1862" w:name="_Toc261513137"/>
      <w:bookmarkStart w:id="1863" w:name="_Toc261513750"/>
      <w:bookmarkStart w:id="1864" w:name="_Toc280630246"/>
      <w:bookmarkStart w:id="1865" w:name="_Toc373395712"/>
      <w:r w:rsidRPr="009E06AA">
        <w:t>6.4.2</w:t>
      </w:r>
      <w:r w:rsidRPr="009E06AA">
        <w:tab/>
        <w:t>Methodological issues</w:t>
      </w:r>
      <w:bookmarkEnd w:id="1861"/>
      <w:bookmarkEnd w:id="1862"/>
      <w:bookmarkEnd w:id="1863"/>
      <w:bookmarkEnd w:id="1864"/>
      <w:bookmarkEnd w:id="1865"/>
    </w:p>
    <w:p w14:paraId="7CF671C8" w14:textId="77777777" w:rsidR="00053418" w:rsidRPr="009E06AA" w:rsidRDefault="00053418" w:rsidP="00053418">
      <w:pPr>
        <w:pStyle w:val="Heading4"/>
      </w:pPr>
      <w:bookmarkStart w:id="1866" w:name="_Hlk73696479"/>
      <w:r w:rsidRPr="009E06AA">
        <w:t>Afforestation/reforestation</w:t>
      </w:r>
    </w:p>
    <w:bookmarkEnd w:id="1866"/>
    <w:p w14:paraId="157813CC" w14:textId="77777777" w:rsidR="00053418" w:rsidRPr="009E06AA" w:rsidRDefault="00053418" w:rsidP="00053418">
      <w:pPr>
        <w:pStyle w:val="BodyText"/>
      </w:pPr>
      <w:r w:rsidRPr="009E06AA">
        <w:t>Afforestation and reforestation areas of planted and natural forests are derived from a combination of land use mapping, national statistics and forestry scheme data. Annual rates of afforestation</w:t>
      </w:r>
      <w:r w:rsidRPr="009E06AA" w:rsidDel="008937E1">
        <w:t>/</w:t>
      </w:r>
      <w:r w:rsidRPr="009E06AA">
        <w:t>reforestation are shown in figure 6.4.1 and are influenced greatly by market and policy conditions at the time, as described in section 6.1.1. Further details on how the area of afforestation is calculated are provided in annex A5.2.2.</w:t>
      </w:r>
    </w:p>
    <w:p w14:paraId="3A9C429D" w14:textId="4C16B70D" w:rsidR="00053418" w:rsidRPr="009E06AA" w:rsidRDefault="00053418" w:rsidP="00053418">
      <w:pPr>
        <w:pStyle w:val="Figure"/>
        <w:spacing w:after="60"/>
      </w:pPr>
      <w:bookmarkStart w:id="1867" w:name="_Toc474914646"/>
      <w:bookmarkStart w:id="1868" w:name="_Toc481752028"/>
      <w:bookmarkStart w:id="1869" w:name="_Toc522010706"/>
      <w:bookmarkStart w:id="1870" w:name="_Toc5269709"/>
      <w:bookmarkStart w:id="1871" w:name="_Toc33529481"/>
      <w:bookmarkStart w:id="1872" w:name="_Toc36292811"/>
      <w:bookmarkStart w:id="1873" w:name="_Toc131591570"/>
      <w:bookmarkStart w:id="1874" w:name="_Toc158979910"/>
      <w:bookmarkStart w:id="1875" w:name="_Toc164154038"/>
      <w:r w:rsidRPr="009E06AA">
        <w:t>Figure 6.4.1</w:t>
      </w:r>
      <w:r w:rsidRPr="009E06AA">
        <w:tab/>
        <w:t>Annual areas of afforestation</w:t>
      </w:r>
      <w:r w:rsidRPr="009E06AA" w:rsidDel="005B41AB">
        <w:t>/</w:t>
      </w:r>
      <w:r w:rsidRPr="009E06AA">
        <w:t>reforestation in New Zealand</w:t>
      </w:r>
      <w:r w:rsidR="00E454F9" w:rsidRPr="009E06AA">
        <w:t>,</w:t>
      </w:r>
      <w:r w:rsidRPr="009E06AA">
        <w:t xml:space="preserve"> from 1990 to </w:t>
      </w:r>
      <w:bookmarkEnd w:id="1867"/>
      <w:bookmarkEnd w:id="1868"/>
      <w:bookmarkEnd w:id="1869"/>
      <w:bookmarkEnd w:id="1870"/>
      <w:bookmarkEnd w:id="1871"/>
      <w:bookmarkEnd w:id="1872"/>
      <w:r w:rsidRPr="009E06AA">
        <w:t>2022</w:t>
      </w:r>
      <w:bookmarkEnd w:id="1873"/>
      <w:bookmarkEnd w:id="1874"/>
      <w:bookmarkEnd w:id="1875"/>
    </w:p>
    <w:p w14:paraId="17B46225" w14:textId="77777777" w:rsidR="00053418" w:rsidRPr="009E06AA" w:rsidRDefault="00053418" w:rsidP="00053418">
      <w:pPr>
        <w:pStyle w:val="BodyText"/>
        <w:jc w:val="center"/>
      </w:pPr>
      <w:r w:rsidRPr="009E06AA">
        <w:rPr>
          <w:noProof/>
        </w:rPr>
        <w:drawing>
          <wp:inline distT="0" distB="0" distL="0" distR="0" wp14:anchorId="2F8EFEBC" wp14:editId="1A78FF11">
            <wp:extent cx="4554000" cy="3564000"/>
            <wp:effectExtent l="0" t="0" r="0" b="0"/>
            <wp:docPr id="721002248" name="Picture 721002248" descr="A graph of different colored colum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rotWithShape="1">
                    <a:blip r:embed="rId140" cstate="print">
                      <a:extLst>
                        <a:ext uri="{28A0092B-C50C-407E-A947-70E740481C1C}">
                          <a14:useLocalDpi xmlns:a14="http://schemas.microsoft.com/office/drawing/2010/main" val="0"/>
                        </a:ext>
                      </a:extLst>
                    </a:blip>
                    <a:srcRect/>
                    <a:stretch/>
                  </pic:blipFill>
                  <pic:spPr bwMode="auto">
                    <a:xfrm>
                      <a:off x="0" y="0"/>
                      <a:ext cx="4554000" cy="3564000"/>
                    </a:xfrm>
                    <a:prstGeom prst="rect">
                      <a:avLst/>
                    </a:prstGeom>
                    <a:ln>
                      <a:noFill/>
                    </a:ln>
                    <a:extLst>
                      <a:ext uri="{53640926-AAD7-44D8-BBD7-CCE9431645EC}">
                        <a14:shadowObscured xmlns:a14="http://schemas.microsoft.com/office/drawing/2010/main"/>
                      </a:ext>
                    </a:extLst>
                  </pic:spPr>
                </pic:pic>
              </a:graphicData>
            </a:graphic>
          </wp:inline>
        </w:drawing>
      </w:r>
    </w:p>
    <w:p w14:paraId="7E25E880" w14:textId="77777777" w:rsidR="00053418" w:rsidRPr="009E06AA" w:rsidRDefault="00053418" w:rsidP="00053418">
      <w:pPr>
        <w:pStyle w:val="Noteundertable"/>
        <w:spacing w:before="0"/>
      </w:pPr>
      <w:r w:rsidRPr="009E06AA">
        <w:rPr>
          <w:b/>
        </w:rPr>
        <w:t>Note:</w:t>
      </w:r>
      <w:r w:rsidRPr="009E06AA">
        <w:tab/>
        <w:t>Details on how afforestation area is calculated are provided in annex A5.2.2.</w:t>
      </w:r>
    </w:p>
    <w:p w14:paraId="0F556625" w14:textId="77777777" w:rsidR="00053418" w:rsidRPr="009E06AA" w:rsidRDefault="00053418" w:rsidP="00053418">
      <w:pPr>
        <w:pStyle w:val="BodyText"/>
      </w:pPr>
      <w:r w:rsidRPr="009E06AA">
        <w:t>Post-1989 planted forests did not become a net sink until 1996 (see figure 6.4.2), when net removals from forest growth surpassed net emissions. These emissions were due to the loss of biomass in carbon stocks associated with the previous land use before conversion, in addition to the loss of soil carbon associated with a land-use change to forestry.</w:t>
      </w:r>
    </w:p>
    <w:p w14:paraId="5A3C65CB" w14:textId="1E7950B5" w:rsidR="00053418" w:rsidRPr="009E06AA" w:rsidRDefault="00053418" w:rsidP="00053418">
      <w:pPr>
        <w:pStyle w:val="Figure"/>
        <w:spacing w:after="60"/>
      </w:pPr>
      <w:bookmarkStart w:id="1876" w:name="_Toc280630493"/>
      <w:bookmarkStart w:id="1877" w:name="_Toc318362751"/>
      <w:bookmarkStart w:id="1878" w:name="_Toc342470831"/>
      <w:bookmarkStart w:id="1879" w:name="_Toc352505159"/>
      <w:bookmarkStart w:id="1880" w:name="_Toc373395719"/>
      <w:bookmarkStart w:id="1881" w:name="_Toc378853342"/>
      <w:bookmarkStart w:id="1882" w:name="_Toc405448092"/>
      <w:bookmarkStart w:id="1883" w:name="_Toc414531624"/>
      <w:bookmarkStart w:id="1884" w:name="_Toc474914647"/>
      <w:bookmarkStart w:id="1885" w:name="_Toc481752029"/>
      <w:bookmarkStart w:id="1886" w:name="_Toc522010707"/>
      <w:bookmarkStart w:id="1887" w:name="_Toc5269710"/>
      <w:bookmarkStart w:id="1888" w:name="_Toc33529482"/>
      <w:bookmarkStart w:id="1889" w:name="_Toc36292812"/>
      <w:bookmarkStart w:id="1890" w:name="_Toc131591571"/>
      <w:bookmarkStart w:id="1891" w:name="_Toc158979911"/>
      <w:bookmarkStart w:id="1892" w:name="_Toc164154039"/>
      <w:r w:rsidRPr="009E06AA">
        <w:t>Figure 6.4.2</w:t>
      </w:r>
      <w:r w:rsidRPr="009E06AA">
        <w:tab/>
        <w:t>New Zealand’s net carbon dioxide removals by post-1989 planted forests</w:t>
      </w:r>
      <w:r w:rsidR="00E454F9" w:rsidRPr="009E06AA">
        <w:t>,</w:t>
      </w:r>
      <w:r w:rsidRPr="009E06AA">
        <w:t xml:space="preserve"> from 1990 to </w:t>
      </w:r>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r w:rsidRPr="009E06AA">
        <w:t>2022</w:t>
      </w:r>
      <w:bookmarkEnd w:id="1890"/>
      <w:bookmarkEnd w:id="1891"/>
      <w:bookmarkEnd w:id="1892"/>
    </w:p>
    <w:p w14:paraId="5A19FA1B" w14:textId="77777777" w:rsidR="00053418" w:rsidRPr="009E06AA" w:rsidRDefault="00053418" w:rsidP="00053418">
      <w:pPr>
        <w:pStyle w:val="BodyText"/>
        <w:jc w:val="center"/>
      </w:pPr>
      <w:r w:rsidRPr="009E06AA">
        <w:rPr>
          <w:noProof/>
        </w:rPr>
        <w:drawing>
          <wp:inline distT="0" distB="0" distL="0" distR="0" wp14:anchorId="7932FD32" wp14:editId="3172C193">
            <wp:extent cx="4533849" cy="3564000"/>
            <wp:effectExtent l="0" t="0" r="635" b="0"/>
            <wp:docPr id="427113464" name="Picture 427113464"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rotWithShape="1">
                    <a:blip r:embed="rId141" cstate="print">
                      <a:extLst>
                        <a:ext uri="{28A0092B-C50C-407E-A947-70E740481C1C}">
                          <a14:useLocalDpi xmlns:a14="http://schemas.microsoft.com/office/drawing/2010/main" val="0"/>
                        </a:ext>
                      </a:extLst>
                    </a:blip>
                    <a:srcRect/>
                    <a:stretch/>
                  </pic:blipFill>
                  <pic:spPr bwMode="auto">
                    <a:xfrm>
                      <a:off x="0" y="0"/>
                      <a:ext cx="4533849" cy="3564000"/>
                    </a:xfrm>
                    <a:prstGeom prst="rect">
                      <a:avLst/>
                    </a:prstGeom>
                    <a:ln>
                      <a:noFill/>
                    </a:ln>
                    <a:extLst>
                      <a:ext uri="{53640926-AAD7-44D8-BBD7-CCE9431645EC}">
                        <a14:shadowObscured xmlns:a14="http://schemas.microsoft.com/office/drawing/2010/main"/>
                      </a:ext>
                    </a:extLst>
                  </pic:spPr>
                </pic:pic>
              </a:graphicData>
            </a:graphic>
          </wp:inline>
        </w:drawing>
      </w:r>
      <w:bookmarkStart w:id="1893" w:name="_Hlk73696492"/>
    </w:p>
    <w:p w14:paraId="319CC416" w14:textId="77777777" w:rsidR="00053418" w:rsidRPr="009E06AA" w:rsidRDefault="00053418" w:rsidP="00053418">
      <w:pPr>
        <w:pStyle w:val="Heading4"/>
      </w:pPr>
      <w:r w:rsidRPr="009E06AA">
        <w:t>Harvesting</w:t>
      </w:r>
      <w:bookmarkEnd w:id="1893"/>
    </w:p>
    <w:p w14:paraId="661B5782" w14:textId="6969A291" w:rsidR="00053418" w:rsidRPr="009E06AA" w:rsidRDefault="00053418" w:rsidP="00053418">
      <w:pPr>
        <w:pStyle w:val="BodyText"/>
      </w:pPr>
      <w:r w:rsidRPr="009E06AA">
        <w:t>The annual planted forest harvest area (both pre-1990 and post-1989 planted forest combined) from 1990 to 2022 is shown in figure 6.4.3. The method used to calculate the harvest area is outlined in annex A5.2.5 ‘Calculation of harvest area’. Emissions from harvesting are dependent on the age of the forest being harvested. To accurately reflect the actual harvest ages that occur, and therefore the associated emissions, a harvest age profile is</w:t>
      </w:r>
      <w:r w:rsidR="00E27551" w:rsidRPr="009E06AA">
        <w:t> </w:t>
      </w:r>
      <w:r w:rsidRPr="009E06AA">
        <w:t xml:space="preserve">applied to the harvest area to determine the harvest area by age. Detailed methodology on how the harvest age profile is calculated for post-1989 planted forest and pre-1990 planted forest can be found in annex A5.2.5 ‘Calculation of harvest area by age and forest age profile’, and addresses ERT recommendation L.17/FCCC/ARR/2019/NZL (UNFCCC, 2020). </w:t>
      </w:r>
    </w:p>
    <w:p w14:paraId="41F8F60F" w14:textId="77777777" w:rsidR="00053418" w:rsidRPr="009E06AA" w:rsidRDefault="00053418" w:rsidP="00053418">
      <w:pPr>
        <w:pStyle w:val="BodyText"/>
      </w:pPr>
      <w:r w:rsidRPr="009E06AA">
        <w:t xml:space="preserve">Only a minimal proportion of timber harvested is from the natural forest estate. In 2022, an estimated 0.03 per cent of New Zealand’s total forest timber production was from the harvesting of natural forests (Ministry for Primary Industries, 2023b). </w:t>
      </w:r>
    </w:p>
    <w:p w14:paraId="07048381" w14:textId="2F19E135" w:rsidR="00053418" w:rsidRPr="009E06AA" w:rsidRDefault="00053418" w:rsidP="00053418">
      <w:pPr>
        <w:pStyle w:val="Figure"/>
      </w:pPr>
      <w:bookmarkStart w:id="1894" w:name="_Toc474914649"/>
      <w:bookmarkStart w:id="1895" w:name="_Toc481752031"/>
      <w:bookmarkStart w:id="1896" w:name="_Toc522010709"/>
      <w:bookmarkStart w:id="1897" w:name="_Toc5269711"/>
      <w:bookmarkStart w:id="1898" w:name="_Toc33529484"/>
      <w:bookmarkStart w:id="1899" w:name="_Toc36292814"/>
      <w:bookmarkStart w:id="1900" w:name="_Toc131591572"/>
      <w:bookmarkStart w:id="1901" w:name="_Toc158979912"/>
      <w:bookmarkStart w:id="1902" w:name="_Toc164154040"/>
      <w:r w:rsidRPr="009E06AA">
        <w:t>Figure 6.4.3</w:t>
      </w:r>
      <w:r w:rsidRPr="009E06AA">
        <w:tab/>
        <w:t>New Zealand’s area of planted forest harvest (inclusive of deforestation)</w:t>
      </w:r>
      <w:r w:rsidR="00E454F9" w:rsidRPr="009E06AA">
        <w:t>,</w:t>
      </w:r>
      <w:r w:rsidRPr="009E06AA">
        <w:t xml:space="preserve"> from 1990</w:t>
      </w:r>
      <w:bookmarkEnd w:id="1894"/>
      <w:bookmarkEnd w:id="1895"/>
      <w:r w:rsidRPr="009E06AA">
        <w:t> to </w:t>
      </w:r>
      <w:bookmarkEnd w:id="1896"/>
      <w:bookmarkEnd w:id="1897"/>
      <w:bookmarkEnd w:id="1898"/>
      <w:bookmarkEnd w:id="1899"/>
      <w:r w:rsidRPr="009E06AA">
        <w:t>2022</w:t>
      </w:r>
      <w:bookmarkEnd w:id="1900"/>
      <w:bookmarkEnd w:id="1901"/>
      <w:bookmarkEnd w:id="1902"/>
    </w:p>
    <w:p w14:paraId="5335AE79" w14:textId="77777777" w:rsidR="00053418" w:rsidRPr="009E06AA" w:rsidRDefault="00053418" w:rsidP="00053418">
      <w:pPr>
        <w:pStyle w:val="BodyText"/>
        <w:jc w:val="center"/>
      </w:pPr>
      <w:r w:rsidRPr="009E06AA">
        <w:rPr>
          <w:noProof/>
        </w:rPr>
        <w:drawing>
          <wp:inline distT="0" distB="0" distL="0" distR="0" wp14:anchorId="0CCD5601" wp14:editId="3C690E2C">
            <wp:extent cx="4572000" cy="3657600"/>
            <wp:effectExtent l="0" t="0" r="0" b="0"/>
            <wp:docPr id="1936606025" name="Picture 1936606025" descr="A line graph with numbers and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606025" name="Picture 1936606025" descr="A line graph with numbers and a line&#10;&#10;Description automatically generated"/>
                    <pic:cNvPicPr>
                      <a:picLocks noChangeAspect="1" noChangeArrowheads="1"/>
                    </pic:cNvPicPr>
                  </pic:nvPicPr>
                  <pic:blipFill>
                    <a:blip r:embed="rId142" cstate="print"/>
                    <a:stretch>
                      <a:fillRect/>
                    </a:stretch>
                  </pic:blipFill>
                  <pic:spPr bwMode="auto">
                    <a:xfrm>
                      <a:off x="0" y="0"/>
                      <a:ext cx="63500" cy="50800"/>
                    </a:xfrm>
                    <a:prstGeom prst="rect">
                      <a:avLst/>
                    </a:prstGeom>
                    <a:noFill/>
                  </pic:spPr>
                </pic:pic>
              </a:graphicData>
            </a:graphic>
          </wp:inline>
        </w:drawing>
      </w:r>
    </w:p>
    <w:p w14:paraId="4D734427" w14:textId="77777777" w:rsidR="00053418" w:rsidRPr="009E06AA" w:rsidRDefault="00053418" w:rsidP="00053418">
      <w:pPr>
        <w:pStyle w:val="Heading4"/>
      </w:pPr>
      <w:bookmarkStart w:id="1903" w:name="_Hlk73696500"/>
      <w:r w:rsidRPr="009E06AA">
        <w:t>Deforestation</w:t>
      </w:r>
    </w:p>
    <w:bookmarkEnd w:id="1903"/>
    <w:p w14:paraId="5A0A7118" w14:textId="77777777" w:rsidR="00053418" w:rsidRPr="009E06AA" w:rsidRDefault="00053418" w:rsidP="00053418">
      <w:pPr>
        <w:pStyle w:val="BodyText"/>
      </w:pPr>
      <w:r w:rsidRPr="009E06AA">
        <w:t xml:space="preserve">In 2022, an estimated 4,202 hectares of </w:t>
      </w:r>
      <w:r w:rsidRPr="009E06AA">
        <w:rPr>
          <w:i/>
        </w:rPr>
        <w:t>Forest land</w:t>
      </w:r>
      <w:r w:rsidRPr="009E06AA">
        <w:t xml:space="preserve"> were converted to other land uses, primarily </w:t>
      </w:r>
      <w:r w:rsidRPr="009E06AA">
        <w:rPr>
          <w:i/>
        </w:rPr>
        <w:t>Grassland</w:t>
      </w:r>
      <w:r w:rsidRPr="009E06AA">
        <w:t xml:space="preserve">. Table 6.4.4 and figure 6.4.4 show the areas of </w:t>
      </w:r>
      <w:r w:rsidRPr="009E06AA">
        <w:rPr>
          <w:i/>
        </w:rPr>
        <w:t>Forest land</w:t>
      </w:r>
      <w:r w:rsidRPr="009E06AA">
        <w:t xml:space="preserve"> subject to deforestation since 1990 and in 2022. Figure 6.4.4 also illustrates how planted forest deforestation increased leading up to 2008 and then decreased after the introduction of the NZ ETS in 2008.</w:t>
      </w:r>
    </w:p>
    <w:p w14:paraId="5DA19942" w14:textId="77777777" w:rsidR="00053418" w:rsidRPr="009E06AA" w:rsidRDefault="00053418" w:rsidP="00053418">
      <w:pPr>
        <w:pStyle w:val="Table"/>
      </w:pPr>
      <w:bookmarkStart w:id="1904" w:name="_Toc280630455"/>
      <w:bookmarkStart w:id="1905" w:name="_Toc310423407"/>
      <w:bookmarkStart w:id="1906" w:name="_Toc318362700"/>
      <w:bookmarkStart w:id="1907" w:name="_Toc342470762"/>
      <w:bookmarkStart w:id="1908" w:name="_Toc352505002"/>
      <w:bookmarkStart w:id="1909" w:name="_Toc373395727"/>
      <w:bookmarkStart w:id="1910" w:name="_Toc378853293"/>
      <w:bookmarkStart w:id="1911" w:name="_Toc391024091"/>
      <w:bookmarkStart w:id="1912" w:name="_Toc410028834"/>
      <w:bookmarkStart w:id="1913" w:name="_Toc414531462"/>
      <w:bookmarkStart w:id="1914" w:name="_Toc443645375"/>
      <w:bookmarkStart w:id="1915" w:name="_Toc474914594"/>
      <w:bookmarkStart w:id="1916" w:name="_Toc481751558"/>
      <w:bookmarkStart w:id="1917" w:name="_Toc522010615"/>
      <w:bookmarkStart w:id="1918" w:name="_Toc5269520"/>
      <w:bookmarkStart w:id="1919" w:name="_Toc33529394"/>
      <w:bookmarkStart w:id="1920" w:name="_Toc36224600"/>
      <w:bookmarkStart w:id="1921" w:name="_Toc131591394"/>
      <w:bookmarkStart w:id="1922" w:name="_Toc158979952"/>
      <w:bookmarkStart w:id="1923" w:name="_Toc164153885"/>
      <w:r w:rsidRPr="009E06AA">
        <w:t>Table 6.4.4</w:t>
      </w:r>
      <w:r w:rsidRPr="009E06AA">
        <w:tab/>
        <w:t xml:space="preserve">New Zealand’s </w:t>
      </w:r>
      <w:r w:rsidRPr="009E06AA">
        <w:rPr>
          <w:i/>
        </w:rPr>
        <w:t xml:space="preserve">Forest land </w:t>
      </w:r>
      <w:r w:rsidRPr="009E06AA">
        <w:t>subject to deforestation</w:t>
      </w:r>
      <w:bookmarkEnd w:id="1904"/>
      <w:bookmarkEnd w:id="1905"/>
      <w:bookmarkEnd w:id="1906"/>
      <w:bookmarkEnd w:id="1907"/>
      <w:bookmarkEnd w:id="1908"/>
      <w:bookmarkEnd w:id="1909"/>
      <w:bookmarkEnd w:id="1910"/>
      <w:bookmarkEnd w:id="1911"/>
      <w:bookmarkEnd w:id="1912"/>
      <w:r w:rsidRPr="009E06AA">
        <w:t xml:space="preserve">, 1990 and </w:t>
      </w:r>
      <w:bookmarkEnd w:id="1913"/>
      <w:bookmarkEnd w:id="1914"/>
      <w:bookmarkEnd w:id="1915"/>
      <w:bookmarkEnd w:id="1916"/>
      <w:bookmarkEnd w:id="1917"/>
      <w:bookmarkEnd w:id="1918"/>
      <w:bookmarkEnd w:id="1919"/>
      <w:bookmarkEnd w:id="1920"/>
      <w:r w:rsidRPr="009E06AA">
        <w:t>2022</w:t>
      </w:r>
      <w:bookmarkEnd w:id="1921"/>
      <w:bookmarkEnd w:id="1922"/>
      <w:bookmarkEnd w:id="1923"/>
    </w:p>
    <w:tbl>
      <w:tblPr>
        <w:tblW w:w="0" w:type="auto"/>
        <w:tblBorders>
          <w:top w:val="single" w:sz="4" w:space="0" w:color="1B556B" w:themeColor="text2"/>
          <w:bottom w:val="single" w:sz="4" w:space="0" w:color="1B556B" w:themeColor="text2"/>
          <w:insideH w:val="single" w:sz="4" w:space="0" w:color="1B556B" w:themeColor="text2"/>
        </w:tblBorders>
        <w:tblLayout w:type="fixed"/>
        <w:tblLook w:val="0420" w:firstRow="1" w:lastRow="0" w:firstColumn="0" w:lastColumn="0" w:noHBand="0" w:noVBand="1"/>
      </w:tblPr>
      <w:tblGrid>
        <w:gridCol w:w="1984"/>
        <w:gridCol w:w="1304"/>
        <w:gridCol w:w="1304"/>
        <w:gridCol w:w="1304"/>
        <w:gridCol w:w="1304"/>
        <w:gridCol w:w="1304"/>
      </w:tblGrid>
      <w:tr w:rsidR="00053418" w:rsidRPr="009E06AA" w14:paraId="0E608B03" w14:textId="77777777" w:rsidTr="00B55F24">
        <w:trPr>
          <w:tblHeader/>
        </w:trPr>
        <w:tc>
          <w:tcPr>
            <w:tcW w:w="1984" w:type="dxa"/>
            <w:shd w:val="clear" w:color="auto" w:fill="1B556B"/>
            <w:tcMar>
              <w:top w:w="0" w:type="dxa"/>
              <w:left w:w="85" w:type="dxa"/>
              <w:bottom w:w="0" w:type="dxa"/>
              <w:right w:w="85" w:type="dxa"/>
            </w:tcMar>
            <w:vAlign w:val="center"/>
          </w:tcPr>
          <w:p w14:paraId="1B815644" w14:textId="77777777" w:rsidR="00053418" w:rsidRPr="009E06AA" w:rsidRDefault="00053418" w:rsidP="00B55F24">
            <w:pPr>
              <w:pStyle w:val="TableText"/>
              <w:spacing w:after="0"/>
            </w:pPr>
          </w:p>
        </w:tc>
        <w:tc>
          <w:tcPr>
            <w:tcW w:w="3912" w:type="dxa"/>
            <w:gridSpan w:val="3"/>
            <w:shd w:val="clear" w:color="auto" w:fill="1B556B"/>
            <w:tcMar>
              <w:top w:w="0" w:type="dxa"/>
              <w:left w:w="85" w:type="dxa"/>
              <w:bottom w:w="0" w:type="dxa"/>
              <w:right w:w="85" w:type="dxa"/>
            </w:tcMar>
            <w:vAlign w:val="center"/>
          </w:tcPr>
          <w:p w14:paraId="4BD727A6" w14:textId="77777777" w:rsidR="00053418" w:rsidRPr="009E06AA" w:rsidRDefault="00053418" w:rsidP="00B55F24">
            <w:pPr>
              <w:pStyle w:val="TableText"/>
              <w:spacing w:after="0"/>
              <w:jc w:val="center"/>
            </w:pPr>
            <w:r w:rsidRPr="009E06AA">
              <w:rPr>
                <w:rFonts w:eastAsia="Calibri" w:cs="Calibri"/>
                <w:b/>
                <w:color w:val="FFFFFF"/>
                <w:szCs w:val="16"/>
              </w:rPr>
              <w:t>Deforestation since 1990</w:t>
            </w:r>
          </w:p>
        </w:tc>
        <w:tc>
          <w:tcPr>
            <w:tcW w:w="2608" w:type="dxa"/>
            <w:gridSpan w:val="2"/>
            <w:shd w:val="clear" w:color="auto" w:fill="1B556B"/>
            <w:tcMar>
              <w:top w:w="0" w:type="dxa"/>
              <w:left w:w="85" w:type="dxa"/>
              <w:bottom w:w="0" w:type="dxa"/>
              <w:right w:w="85" w:type="dxa"/>
            </w:tcMar>
            <w:vAlign w:val="center"/>
          </w:tcPr>
          <w:p w14:paraId="1818E6F2" w14:textId="77777777" w:rsidR="00053418" w:rsidRPr="009E06AA" w:rsidRDefault="00053418" w:rsidP="00B55F24">
            <w:pPr>
              <w:pStyle w:val="TableText"/>
              <w:spacing w:after="0"/>
              <w:jc w:val="center"/>
            </w:pPr>
            <w:r w:rsidRPr="009E06AA">
              <w:rPr>
                <w:rFonts w:eastAsia="Calibri" w:cs="Calibri"/>
                <w:b/>
                <w:color w:val="FFFFFF"/>
                <w:szCs w:val="16"/>
              </w:rPr>
              <w:t>Deforestation in 2022</w:t>
            </w:r>
          </w:p>
        </w:tc>
      </w:tr>
      <w:tr w:rsidR="00053418" w:rsidRPr="009E06AA" w14:paraId="049CA3D8" w14:textId="77777777" w:rsidTr="00B55F24">
        <w:trPr>
          <w:tblHeader/>
        </w:trPr>
        <w:tc>
          <w:tcPr>
            <w:tcW w:w="1984" w:type="dxa"/>
            <w:shd w:val="clear" w:color="auto" w:fill="1B556B"/>
            <w:tcMar>
              <w:top w:w="0" w:type="dxa"/>
              <w:left w:w="85" w:type="dxa"/>
              <w:bottom w:w="0" w:type="dxa"/>
              <w:right w:w="85" w:type="dxa"/>
            </w:tcMar>
            <w:vAlign w:val="bottom"/>
          </w:tcPr>
          <w:p w14:paraId="28C1B54D" w14:textId="77777777" w:rsidR="00053418" w:rsidRPr="009E06AA" w:rsidRDefault="00053418" w:rsidP="00B55F24">
            <w:pPr>
              <w:pStyle w:val="TableText"/>
            </w:pPr>
            <w:r w:rsidRPr="009E06AA">
              <w:rPr>
                <w:rFonts w:eastAsia="Calibri" w:cs="Calibri"/>
                <w:b/>
                <w:color w:val="FFFFFF"/>
                <w:szCs w:val="16"/>
              </w:rPr>
              <w:t>Land use</w:t>
            </w:r>
          </w:p>
        </w:tc>
        <w:tc>
          <w:tcPr>
            <w:tcW w:w="1304" w:type="dxa"/>
            <w:shd w:val="clear" w:color="auto" w:fill="1B556B"/>
            <w:tcMar>
              <w:top w:w="0" w:type="dxa"/>
              <w:left w:w="85" w:type="dxa"/>
              <w:bottom w:w="0" w:type="dxa"/>
              <w:right w:w="85" w:type="dxa"/>
            </w:tcMar>
            <w:vAlign w:val="bottom"/>
          </w:tcPr>
          <w:p w14:paraId="2A552231" w14:textId="77777777" w:rsidR="00053418" w:rsidRPr="009E06AA" w:rsidRDefault="00053418" w:rsidP="009A3078">
            <w:pPr>
              <w:pStyle w:val="TableText"/>
              <w:jc w:val="right"/>
            </w:pPr>
            <w:r w:rsidRPr="009E06AA">
              <w:rPr>
                <w:rFonts w:eastAsia="Calibri" w:cs="Calibri"/>
                <w:b/>
                <w:color w:val="FFFFFF"/>
                <w:szCs w:val="16"/>
              </w:rPr>
              <w:t>Area of forest in 1990 (ha)</w:t>
            </w:r>
          </w:p>
        </w:tc>
        <w:tc>
          <w:tcPr>
            <w:tcW w:w="1304" w:type="dxa"/>
            <w:shd w:val="clear" w:color="auto" w:fill="1B556B"/>
            <w:tcMar>
              <w:top w:w="0" w:type="dxa"/>
              <w:left w:w="85" w:type="dxa"/>
              <w:bottom w:w="0" w:type="dxa"/>
              <w:right w:w="85" w:type="dxa"/>
            </w:tcMar>
            <w:vAlign w:val="bottom"/>
          </w:tcPr>
          <w:p w14:paraId="1F0D75C3" w14:textId="77777777" w:rsidR="00053418" w:rsidRPr="009E06AA" w:rsidRDefault="00053418" w:rsidP="009A3078">
            <w:pPr>
              <w:pStyle w:val="TableText"/>
              <w:jc w:val="right"/>
            </w:pPr>
            <w:r w:rsidRPr="009E06AA">
              <w:rPr>
                <w:rFonts w:eastAsia="Calibri" w:cs="Calibri"/>
                <w:b/>
                <w:color w:val="FFFFFF"/>
                <w:szCs w:val="16"/>
              </w:rPr>
              <w:t>Area (ha)</w:t>
            </w:r>
          </w:p>
        </w:tc>
        <w:tc>
          <w:tcPr>
            <w:tcW w:w="1304" w:type="dxa"/>
            <w:shd w:val="clear" w:color="auto" w:fill="1B556B"/>
            <w:tcMar>
              <w:top w:w="0" w:type="dxa"/>
              <w:left w:w="85" w:type="dxa"/>
              <w:bottom w:w="0" w:type="dxa"/>
              <w:right w:w="85" w:type="dxa"/>
            </w:tcMar>
            <w:vAlign w:val="bottom"/>
          </w:tcPr>
          <w:p w14:paraId="626B8A03" w14:textId="77777777" w:rsidR="00053418" w:rsidRPr="009E06AA" w:rsidRDefault="00053418" w:rsidP="009A3078">
            <w:pPr>
              <w:pStyle w:val="TableText"/>
              <w:jc w:val="right"/>
            </w:pPr>
            <w:r w:rsidRPr="009E06AA">
              <w:rPr>
                <w:rFonts w:eastAsia="Calibri" w:cs="Calibri"/>
                <w:b/>
                <w:color w:val="FFFFFF"/>
                <w:szCs w:val="16"/>
              </w:rPr>
              <w:t>Proportion of 1990 area (%)</w:t>
            </w:r>
          </w:p>
        </w:tc>
        <w:tc>
          <w:tcPr>
            <w:tcW w:w="1304" w:type="dxa"/>
            <w:shd w:val="clear" w:color="auto" w:fill="1B556B"/>
            <w:tcMar>
              <w:top w:w="0" w:type="dxa"/>
              <w:left w:w="85" w:type="dxa"/>
              <w:bottom w:w="0" w:type="dxa"/>
              <w:right w:w="85" w:type="dxa"/>
            </w:tcMar>
            <w:vAlign w:val="bottom"/>
          </w:tcPr>
          <w:p w14:paraId="529A7C91" w14:textId="77777777" w:rsidR="00053418" w:rsidRPr="009E06AA" w:rsidRDefault="00053418" w:rsidP="009A3078">
            <w:pPr>
              <w:pStyle w:val="TableText"/>
              <w:jc w:val="right"/>
            </w:pPr>
            <w:r w:rsidRPr="009E06AA">
              <w:rPr>
                <w:rFonts w:eastAsia="Calibri" w:cs="Calibri"/>
                <w:b/>
                <w:color w:val="FFFFFF"/>
                <w:szCs w:val="16"/>
              </w:rPr>
              <w:t>Area (ha)</w:t>
            </w:r>
          </w:p>
        </w:tc>
        <w:tc>
          <w:tcPr>
            <w:tcW w:w="1304" w:type="dxa"/>
            <w:shd w:val="clear" w:color="auto" w:fill="1B556B"/>
            <w:tcMar>
              <w:top w:w="0" w:type="dxa"/>
              <w:left w:w="85" w:type="dxa"/>
              <w:bottom w:w="0" w:type="dxa"/>
              <w:right w:w="85" w:type="dxa"/>
            </w:tcMar>
            <w:vAlign w:val="bottom"/>
          </w:tcPr>
          <w:p w14:paraId="0BA99A99" w14:textId="77777777" w:rsidR="00053418" w:rsidRPr="009E06AA" w:rsidRDefault="00053418" w:rsidP="009A3078">
            <w:pPr>
              <w:pStyle w:val="TableText"/>
              <w:jc w:val="right"/>
            </w:pPr>
            <w:r w:rsidRPr="009E06AA">
              <w:rPr>
                <w:rFonts w:eastAsia="Calibri" w:cs="Calibri"/>
                <w:b/>
                <w:color w:val="FFFFFF"/>
                <w:szCs w:val="16"/>
              </w:rPr>
              <w:t>Proportion of 1990 area (%)</w:t>
            </w:r>
          </w:p>
        </w:tc>
      </w:tr>
      <w:tr w:rsidR="00053418" w:rsidRPr="009E06AA" w14:paraId="286138E1" w14:textId="77777777" w:rsidTr="00B55F24">
        <w:tc>
          <w:tcPr>
            <w:tcW w:w="1984" w:type="dxa"/>
            <w:shd w:val="clear" w:color="auto" w:fill="FFFFFF"/>
            <w:tcMar>
              <w:top w:w="0" w:type="dxa"/>
              <w:left w:w="85" w:type="dxa"/>
              <w:bottom w:w="0" w:type="dxa"/>
              <w:right w:w="85" w:type="dxa"/>
            </w:tcMar>
            <w:vAlign w:val="center"/>
          </w:tcPr>
          <w:p w14:paraId="08465B28" w14:textId="77777777" w:rsidR="00053418" w:rsidRPr="009E06AA" w:rsidRDefault="00053418" w:rsidP="00B55F24">
            <w:pPr>
              <w:pStyle w:val="TableText"/>
              <w:spacing w:before="40" w:after="40"/>
            </w:pPr>
            <w:r w:rsidRPr="009E06AA">
              <w:rPr>
                <w:rFonts w:eastAsia="Calibri" w:cs="Calibri"/>
                <w:color w:val="000000"/>
                <w:szCs w:val="16"/>
              </w:rPr>
              <w:t>Pre-1990 natural forest</w:t>
            </w:r>
          </w:p>
        </w:tc>
        <w:tc>
          <w:tcPr>
            <w:tcW w:w="1304" w:type="dxa"/>
            <w:shd w:val="clear" w:color="auto" w:fill="FFFFFF"/>
            <w:tcMar>
              <w:top w:w="0" w:type="dxa"/>
              <w:left w:w="85" w:type="dxa"/>
              <w:bottom w:w="0" w:type="dxa"/>
              <w:right w:w="85" w:type="dxa"/>
            </w:tcMar>
            <w:vAlign w:val="center"/>
          </w:tcPr>
          <w:p w14:paraId="0E23BE2A" w14:textId="77777777" w:rsidR="00053418" w:rsidRPr="009E06AA" w:rsidRDefault="00053418" w:rsidP="009A3078">
            <w:pPr>
              <w:pStyle w:val="TableText"/>
              <w:spacing w:before="40" w:after="40"/>
              <w:jc w:val="right"/>
            </w:pPr>
            <w:r w:rsidRPr="009E06AA">
              <w:rPr>
                <w:rFonts w:eastAsia="Calibri" w:cs="Calibri"/>
                <w:color w:val="000000"/>
                <w:szCs w:val="16"/>
              </w:rPr>
              <w:t>7,816,946</w:t>
            </w:r>
          </w:p>
        </w:tc>
        <w:tc>
          <w:tcPr>
            <w:tcW w:w="1304" w:type="dxa"/>
            <w:shd w:val="clear" w:color="auto" w:fill="FFFFFF"/>
            <w:tcMar>
              <w:top w:w="0" w:type="dxa"/>
              <w:left w:w="85" w:type="dxa"/>
              <w:bottom w:w="0" w:type="dxa"/>
              <w:right w:w="85" w:type="dxa"/>
            </w:tcMar>
            <w:vAlign w:val="center"/>
          </w:tcPr>
          <w:p w14:paraId="0C430051" w14:textId="77777777" w:rsidR="00053418" w:rsidRPr="009E06AA" w:rsidRDefault="00053418" w:rsidP="009A3078">
            <w:pPr>
              <w:pStyle w:val="TableText"/>
              <w:spacing w:before="40" w:after="40"/>
              <w:jc w:val="right"/>
            </w:pPr>
            <w:r w:rsidRPr="009E06AA">
              <w:rPr>
                <w:rFonts w:eastAsia="Calibri" w:cs="Calibri"/>
                <w:color w:val="000000"/>
                <w:szCs w:val="16"/>
              </w:rPr>
              <w:t>48,194</w:t>
            </w:r>
          </w:p>
        </w:tc>
        <w:tc>
          <w:tcPr>
            <w:tcW w:w="1304" w:type="dxa"/>
            <w:shd w:val="clear" w:color="auto" w:fill="FFFFFF"/>
            <w:tcMar>
              <w:top w:w="0" w:type="dxa"/>
              <w:left w:w="85" w:type="dxa"/>
              <w:bottom w:w="0" w:type="dxa"/>
              <w:right w:w="85" w:type="dxa"/>
            </w:tcMar>
            <w:vAlign w:val="center"/>
          </w:tcPr>
          <w:p w14:paraId="016FD99A" w14:textId="77777777" w:rsidR="00053418" w:rsidRPr="009E06AA" w:rsidRDefault="00053418" w:rsidP="009A3078">
            <w:pPr>
              <w:pStyle w:val="TableText"/>
              <w:spacing w:before="40" w:after="40"/>
              <w:jc w:val="right"/>
            </w:pPr>
            <w:r w:rsidRPr="009E06AA">
              <w:rPr>
                <w:rFonts w:eastAsia="Calibri" w:cs="Calibri"/>
                <w:color w:val="000000"/>
                <w:szCs w:val="16"/>
              </w:rPr>
              <w:t>0.62</w:t>
            </w:r>
          </w:p>
        </w:tc>
        <w:tc>
          <w:tcPr>
            <w:tcW w:w="1304" w:type="dxa"/>
            <w:shd w:val="clear" w:color="auto" w:fill="FFFFFF"/>
            <w:tcMar>
              <w:top w:w="0" w:type="dxa"/>
              <w:left w:w="85" w:type="dxa"/>
              <w:bottom w:w="0" w:type="dxa"/>
              <w:right w:w="85" w:type="dxa"/>
            </w:tcMar>
            <w:vAlign w:val="center"/>
          </w:tcPr>
          <w:p w14:paraId="3AFBA8EF" w14:textId="77777777" w:rsidR="00053418" w:rsidRPr="009E06AA" w:rsidRDefault="00053418" w:rsidP="009A3078">
            <w:pPr>
              <w:pStyle w:val="TableText"/>
              <w:spacing w:before="40" w:after="40"/>
              <w:jc w:val="right"/>
            </w:pPr>
            <w:r w:rsidRPr="009E06AA">
              <w:rPr>
                <w:rFonts w:eastAsia="Calibri" w:cs="Calibri"/>
                <w:color w:val="000000"/>
                <w:szCs w:val="16"/>
              </w:rPr>
              <w:t>575</w:t>
            </w:r>
          </w:p>
        </w:tc>
        <w:tc>
          <w:tcPr>
            <w:tcW w:w="1304" w:type="dxa"/>
            <w:shd w:val="clear" w:color="auto" w:fill="FFFFFF"/>
            <w:tcMar>
              <w:top w:w="0" w:type="dxa"/>
              <w:left w:w="85" w:type="dxa"/>
              <w:bottom w:w="0" w:type="dxa"/>
              <w:right w:w="85" w:type="dxa"/>
            </w:tcMar>
            <w:vAlign w:val="center"/>
          </w:tcPr>
          <w:p w14:paraId="638CB74F" w14:textId="77777777" w:rsidR="00053418" w:rsidRPr="009E06AA" w:rsidRDefault="00053418" w:rsidP="009A3078">
            <w:pPr>
              <w:pStyle w:val="TableText"/>
              <w:spacing w:before="40" w:after="40"/>
              <w:jc w:val="right"/>
            </w:pPr>
            <w:r w:rsidRPr="009E06AA">
              <w:rPr>
                <w:rFonts w:eastAsia="Calibri" w:cs="Calibri"/>
                <w:color w:val="000000"/>
                <w:szCs w:val="16"/>
              </w:rPr>
              <w:t>0.01</w:t>
            </w:r>
          </w:p>
        </w:tc>
      </w:tr>
      <w:tr w:rsidR="00053418" w:rsidRPr="009E06AA" w14:paraId="363E920A" w14:textId="77777777" w:rsidTr="00B55F24">
        <w:tc>
          <w:tcPr>
            <w:tcW w:w="1984" w:type="dxa"/>
            <w:shd w:val="clear" w:color="auto" w:fill="FFFFFF"/>
            <w:tcMar>
              <w:top w:w="0" w:type="dxa"/>
              <w:left w:w="85" w:type="dxa"/>
              <w:bottom w:w="0" w:type="dxa"/>
              <w:right w:w="85" w:type="dxa"/>
            </w:tcMar>
            <w:vAlign w:val="center"/>
          </w:tcPr>
          <w:p w14:paraId="34CFC7C9" w14:textId="77777777" w:rsidR="00053418" w:rsidRPr="009E06AA" w:rsidRDefault="00053418" w:rsidP="00B55F24">
            <w:pPr>
              <w:pStyle w:val="TableText"/>
              <w:spacing w:before="40" w:after="40"/>
            </w:pPr>
            <w:r w:rsidRPr="009E06AA">
              <w:rPr>
                <w:rFonts w:eastAsia="Calibri" w:cs="Calibri"/>
                <w:color w:val="000000"/>
                <w:szCs w:val="16"/>
              </w:rPr>
              <w:t>Pre-1990 planted forest</w:t>
            </w:r>
          </w:p>
        </w:tc>
        <w:tc>
          <w:tcPr>
            <w:tcW w:w="1304" w:type="dxa"/>
            <w:shd w:val="clear" w:color="auto" w:fill="FFFFFF"/>
            <w:tcMar>
              <w:top w:w="0" w:type="dxa"/>
              <w:left w:w="85" w:type="dxa"/>
              <w:bottom w:w="0" w:type="dxa"/>
              <w:right w:w="85" w:type="dxa"/>
            </w:tcMar>
            <w:vAlign w:val="center"/>
          </w:tcPr>
          <w:p w14:paraId="22303EC4" w14:textId="77777777" w:rsidR="00053418" w:rsidRPr="009E06AA" w:rsidRDefault="00053418" w:rsidP="009A3078">
            <w:pPr>
              <w:pStyle w:val="TableText"/>
              <w:spacing w:before="40" w:after="40"/>
              <w:jc w:val="right"/>
            </w:pPr>
            <w:r w:rsidRPr="009E06AA">
              <w:rPr>
                <w:rFonts w:eastAsia="Calibri" w:cs="Calibri"/>
                <w:color w:val="000000"/>
                <w:szCs w:val="16"/>
              </w:rPr>
              <w:t>1,544,824</w:t>
            </w:r>
          </w:p>
        </w:tc>
        <w:tc>
          <w:tcPr>
            <w:tcW w:w="1304" w:type="dxa"/>
            <w:shd w:val="clear" w:color="auto" w:fill="FFFFFF"/>
            <w:tcMar>
              <w:top w:w="0" w:type="dxa"/>
              <w:left w:w="85" w:type="dxa"/>
              <w:bottom w:w="0" w:type="dxa"/>
              <w:right w:w="85" w:type="dxa"/>
            </w:tcMar>
            <w:vAlign w:val="center"/>
          </w:tcPr>
          <w:p w14:paraId="2FE4A964" w14:textId="77777777" w:rsidR="00053418" w:rsidRPr="009E06AA" w:rsidRDefault="00053418" w:rsidP="009A3078">
            <w:pPr>
              <w:pStyle w:val="TableText"/>
              <w:spacing w:before="40" w:after="40"/>
              <w:jc w:val="right"/>
            </w:pPr>
            <w:r w:rsidRPr="009E06AA">
              <w:rPr>
                <w:rFonts w:eastAsia="Calibri" w:cs="Calibri"/>
                <w:color w:val="000000"/>
                <w:szCs w:val="16"/>
              </w:rPr>
              <w:t>136,464</w:t>
            </w:r>
          </w:p>
        </w:tc>
        <w:tc>
          <w:tcPr>
            <w:tcW w:w="1304" w:type="dxa"/>
            <w:shd w:val="clear" w:color="auto" w:fill="FFFFFF"/>
            <w:tcMar>
              <w:top w:w="0" w:type="dxa"/>
              <w:left w:w="85" w:type="dxa"/>
              <w:bottom w:w="0" w:type="dxa"/>
              <w:right w:w="85" w:type="dxa"/>
            </w:tcMar>
            <w:vAlign w:val="center"/>
          </w:tcPr>
          <w:p w14:paraId="7243200A" w14:textId="77777777" w:rsidR="00053418" w:rsidRPr="009E06AA" w:rsidRDefault="00053418" w:rsidP="009A3078">
            <w:pPr>
              <w:pStyle w:val="TableText"/>
              <w:spacing w:before="40" w:after="40"/>
              <w:jc w:val="right"/>
            </w:pPr>
            <w:r w:rsidRPr="009E06AA">
              <w:rPr>
                <w:rFonts w:eastAsia="Calibri" w:cs="Calibri"/>
                <w:color w:val="000000"/>
                <w:szCs w:val="16"/>
              </w:rPr>
              <w:t>8.83</w:t>
            </w:r>
          </w:p>
        </w:tc>
        <w:tc>
          <w:tcPr>
            <w:tcW w:w="1304" w:type="dxa"/>
            <w:shd w:val="clear" w:color="auto" w:fill="FFFFFF"/>
            <w:tcMar>
              <w:top w:w="0" w:type="dxa"/>
              <w:left w:w="85" w:type="dxa"/>
              <w:bottom w:w="0" w:type="dxa"/>
              <w:right w:w="85" w:type="dxa"/>
            </w:tcMar>
            <w:vAlign w:val="center"/>
          </w:tcPr>
          <w:p w14:paraId="1431211D" w14:textId="77777777" w:rsidR="00053418" w:rsidRPr="009E06AA" w:rsidRDefault="00053418" w:rsidP="009A3078">
            <w:pPr>
              <w:pStyle w:val="TableText"/>
              <w:spacing w:before="40" w:after="40"/>
              <w:jc w:val="right"/>
            </w:pPr>
            <w:r w:rsidRPr="009E06AA">
              <w:rPr>
                <w:rFonts w:eastAsia="Calibri" w:cs="Calibri"/>
                <w:color w:val="000000"/>
                <w:szCs w:val="16"/>
              </w:rPr>
              <w:t>369</w:t>
            </w:r>
          </w:p>
        </w:tc>
        <w:tc>
          <w:tcPr>
            <w:tcW w:w="1304" w:type="dxa"/>
            <w:shd w:val="clear" w:color="auto" w:fill="FFFFFF"/>
            <w:tcMar>
              <w:top w:w="0" w:type="dxa"/>
              <w:left w:w="85" w:type="dxa"/>
              <w:bottom w:w="0" w:type="dxa"/>
              <w:right w:w="85" w:type="dxa"/>
            </w:tcMar>
            <w:vAlign w:val="center"/>
          </w:tcPr>
          <w:p w14:paraId="3BD00437" w14:textId="77777777" w:rsidR="00053418" w:rsidRPr="009E06AA" w:rsidRDefault="00053418" w:rsidP="009A3078">
            <w:pPr>
              <w:pStyle w:val="TableText"/>
              <w:spacing w:before="40" w:after="40"/>
              <w:jc w:val="right"/>
            </w:pPr>
            <w:r w:rsidRPr="009E06AA">
              <w:rPr>
                <w:rFonts w:eastAsia="Calibri" w:cs="Calibri"/>
                <w:color w:val="000000"/>
                <w:szCs w:val="16"/>
              </w:rPr>
              <w:t>0.02</w:t>
            </w:r>
          </w:p>
        </w:tc>
      </w:tr>
      <w:tr w:rsidR="00053418" w:rsidRPr="009E06AA" w14:paraId="7B4C843F" w14:textId="77777777" w:rsidTr="00B55F24">
        <w:tc>
          <w:tcPr>
            <w:tcW w:w="1984" w:type="dxa"/>
            <w:shd w:val="clear" w:color="auto" w:fill="FFFFFF"/>
            <w:tcMar>
              <w:top w:w="0" w:type="dxa"/>
              <w:left w:w="85" w:type="dxa"/>
              <w:bottom w:w="0" w:type="dxa"/>
              <w:right w:w="85" w:type="dxa"/>
            </w:tcMar>
            <w:vAlign w:val="center"/>
          </w:tcPr>
          <w:p w14:paraId="19755E3B" w14:textId="77777777" w:rsidR="00053418" w:rsidRPr="009E06AA" w:rsidRDefault="00053418" w:rsidP="00B55F24">
            <w:pPr>
              <w:pStyle w:val="TableText"/>
              <w:spacing w:before="40" w:after="40"/>
            </w:pPr>
            <w:r w:rsidRPr="009E06AA">
              <w:rPr>
                <w:rFonts w:eastAsia="Calibri" w:cs="Calibri"/>
                <w:color w:val="000000"/>
                <w:szCs w:val="16"/>
              </w:rPr>
              <w:t>Post-1989 planted forest</w:t>
            </w:r>
          </w:p>
        </w:tc>
        <w:tc>
          <w:tcPr>
            <w:tcW w:w="1304" w:type="dxa"/>
            <w:shd w:val="clear" w:color="auto" w:fill="FFFFFF"/>
            <w:tcMar>
              <w:top w:w="0" w:type="dxa"/>
              <w:left w:w="85" w:type="dxa"/>
              <w:bottom w:w="0" w:type="dxa"/>
              <w:right w:w="85" w:type="dxa"/>
            </w:tcMar>
            <w:vAlign w:val="center"/>
          </w:tcPr>
          <w:p w14:paraId="46ACB3AE" w14:textId="77777777" w:rsidR="00053418" w:rsidRPr="009E06AA" w:rsidRDefault="00053418" w:rsidP="009A3078">
            <w:pPr>
              <w:pStyle w:val="TableText"/>
              <w:spacing w:before="40" w:after="40"/>
              <w:jc w:val="right"/>
            </w:pPr>
            <w:r w:rsidRPr="009E06AA">
              <w:rPr>
                <w:rFonts w:eastAsia="Calibri" w:cs="Calibri"/>
                <w:color w:val="000000"/>
                <w:szCs w:val="16"/>
              </w:rPr>
              <w:t>0</w:t>
            </w:r>
          </w:p>
        </w:tc>
        <w:tc>
          <w:tcPr>
            <w:tcW w:w="1304" w:type="dxa"/>
            <w:shd w:val="clear" w:color="auto" w:fill="FFFFFF"/>
            <w:tcMar>
              <w:top w:w="0" w:type="dxa"/>
              <w:left w:w="85" w:type="dxa"/>
              <w:bottom w:w="0" w:type="dxa"/>
              <w:right w:w="85" w:type="dxa"/>
            </w:tcMar>
            <w:vAlign w:val="center"/>
          </w:tcPr>
          <w:p w14:paraId="6A760787" w14:textId="77777777" w:rsidR="00053418" w:rsidRPr="009E06AA" w:rsidRDefault="00053418" w:rsidP="009A3078">
            <w:pPr>
              <w:pStyle w:val="TableText"/>
              <w:spacing w:before="40" w:after="40"/>
              <w:jc w:val="right"/>
            </w:pPr>
            <w:r w:rsidRPr="009E06AA">
              <w:rPr>
                <w:rFonts w:eastAsia="Calibri" w:cs="Calibri"/>
                <w:color w:val="000000"/>
                <w:szCs w:val="16"/>
              </w:rPr>
              <w:t>60,071</w:t>
            </w:r>
          </w:p>
        </w:tc>
        <w:tc>
          <w:tcPr>
            <w:tcW w:w="1304" w:type="dxa"/>
            <w:shd w:val="clear" w:color="auto" w:fill="FFFFFF"/>
            <w:tcMar>
              <w:top w:w="0" w:type="dxa"/>
              <w:left w:w="85" w:type="dxa"/>
              <w:bottom w:w="0" w:type="dxa"/>
              <w:right w:w="85" w:type="dxa"/>
            </w:tcMar>
            <w:vAlign w:val="center"/>
          </w:tcPr>
          <w:p w14:paraId="4D0BC6C5" w14:textId="77777777" w:rsidR="00053418" w:rsidRPr="009E06AA" w:rsidRDefault="00053418" w:rsidP="009A3078">
            <w:pPr>
              <w:pStyle w:val="TableText"/>
              <w:spacing w:before="40" w:after="40"/>
              <w:jc w:val="right"/>
            </w:pPr>
            <w:r w:rsidRPr="009E06AA">
              <w:rPr>
                <w:rFonts w:eastAsia="Calibri" w:cs="Calibri"/>
                <w:color w:val="000000"/>
                <w:szCs w:val="16"/>
              </w:rPr>
              <w:t>NA</w:t>
            </w:r>
          </w:p>
        </w:tc>
        <w:tc>
          <w:tcPr>
            <w:tcW w:w="1304" w:type="dxa"/>
            <w:shd w:val="clear" w:color="auto" w:fill="FFFFFF"/>
            <w:tcMar>
              <w:top w:w="0" w:type="dxa"/>
              <w:left w:w="85" w:type="dxa"/>
              <w:bottom w:w="0" w:type="dxa"/>
              <w:right w:w="85" w:type="dxa"/>
            </w:tcMar>
            <w:vAlign w:val="center"/>
          </w:tcPr>
          <w:p w14:paraId="57D54FA7" w14:textId="77777777" w:rsidR="00053418" w:rsidRPr="009E06AA" w:rsidRDefault="00053418" w:rsidP="009A3078">
            <w:pPr>
              <w:pStyle w:val="TableText"/>
              <w:spacing w:before="40" w:after="40"/>
              <w:jc w:val="right"/>
            </w:pPr>
            <w:r w:rsidRPr="009E06AA">
              <w:rPr>
                <w:rFonts w:eastAsia="Calibri" w:cs="Calibri"/>
                <w:color w:val="000000"/>
                <w:szCs w:val="16"/>
              </w:rPr>
              <w:t>3,141</w:t>
            </w:r>
          </w:p>
        </w:tc>
        <w:tc>
          <w:tcPr>
            <w:tcW w:w="1304" w:type="dxa"/>
            <w:shd w:val="clear" w:color="auto" w:fill="FFFFFF"/>
            <w:tcMar>
              <w:top w:w="0" w:type="dxa"/>
              <w:left w:w="85" w:type="dxa"/>
              <w:bottom w:w="0" w:type="dxa"/>
              <w:right w:w="85" w:type="dxa"/>
            </w:tcMar>
            <w:vAlign w:val="center"/>
          </w:tcPr>
          <w:p w14:paraId="2D5D9C93" w14:textId="77777777" w:rsidR="00053418" w:rsidRPr="009E06AA" w:rsidRDefault="00053418" w:rsidP="009A3078">
            <w:pPr>
              <w:pStyle w:val="TableText"/>
              <w:spacing w:before="40" w:after="40"/>
              <w:jc w:val="right"/>
            </w:pPr>
            <w:r w:rsidRPr="009E06AA">
              <w:rPr>
                <w:rFonts w:eastAsia="Calibri" w:cs="Calibri"/>
                <w:color w:val="000000"/>
                <w:szCs w:val="16"/>
              </w:rPr>
              <w:t>NA</w:t>
            </w:r>
          </w:p>
        </w:tc>
      </w:tr>
      <w:tr w:rsidR="00053418" w:rsidRPr="009E06AA" w14:paraId="05415C89" w14:textId="77777777" w:rsidTr="00B55F24">
        <w:tc>
          <w:tcPr>
            <w:tcW w:w="1984" w:type="dxa"/>
            <w:shd w:val="clear" w:color="auto" w:fill="FFFFFF"/>
            <w:tcMar>
              <w:top w:w="0" w:type="dxa"/>
              <w:left w:w="85" w:type="dxa"/>
              <w:bottom w:w="0" w:type="dxa"/>
              <w:right w:w="85" w:type="dxa"/>
            </w:tcMar>
            <w:vAlign w:val="center"/>
          </w:tcPr>
          <w:p w14:paraId="417A64B7" w14:textId="77777777" w:rsidR="00053418" w:rsidRPr="009E06AA" w:rsidRDefault="00053418" w:rsidP="00B55F24">
            <w:pPr>
              <w:pStyle w:val="TableText"/>
              <w:spacing w:before="40" w:after="40"/>
            </w:pPr>
            <w:r w:rsidRPr="009E06AA">
              <w:rPr>
                <w:rFonts w:eastAsia="Calibri" w:cs="Calibri"/>
                <w:color w:val="000000"/>
                <w:szCs w:val="16"/>
              </w:rPr>
              <w:t>Post-1989 natural forest</w:t>
            </w:r>
          </w:p>
        </w:tc>
        <w:tc>
          <w:tcPr>
            <w:tcW w:w="1304" w:type="dxa"/>
            <w:shd w:val="clear" w:color="auto" w:fill="FFFFFF"/>
            <w:tcMar>
              <w:top w:w="0" w:type="dxa"/>
              <w:left w:w="85" w:type="dxa"/>
              <w:bottom w:w="0" w:type="dxa"/>
              <w:right w:w="85" w:type="dxa"/>
            </w:tcMar>
            <w:vAlign w:val="center"/>
          </w:tcPr>
          <w:p w14:paraId="0F7695D4" w14:textId="77777777" w:rsidR="00053418" w:rsidRPr="009E06AA" w:rsidRDefault="00053418" w:rsidP="009A3078">
            <w:pPr>
              <w:pStyle w:val="TableText"/>
              <w:spacing w:before="40" w:after="40"/>
              <w:jc w:val="right"/>
            </w:pPr>
            <w:r w:rsidRPr="009E06AA">
              <w:rPr>
                <w:rFonts w:eastAsia="Calibri" w:cs="Calibri"/>
                <w:color w:val="000000"/>
                <w:szCs w:val="16"/>
              </w:rPr>
              <w:t>0</w:t>
            </w:r>
          </w:p>
        </w:tc>
        <w:tc>
          <w:tcPr>
            <w:tcW w:w="1304" w:type="dxa"/>
            <w:shd w:val="clear" w:color="auto" w:fill="FFFFFF"/>
            <w:tcMar>
              <w:top w:w="0" w:type="dxa"/>
              <w:left w:w="85" w:type="dxa"/>
              <w:bottom w:w="0" w:type="dxa"/>
              <w:right w:w="85" w:type="dxa"/>
            </w:tcMar>
            <w:vAlign w:val="center"/>
          </w:tcPr>
          <w:p w14:paraId="535E9538" w14:textId="77777777" w:rsidR="00053418" w:rsidRPr="009E06AA" w:rsidRDefault="00053418" w:rsidP="009A3078">
            <w:pPr>
              <w:pStyle w:val="TableText"/>
              <w:spacing w:before="40" w:after="40"/>
              <w:jc w:val="right"/>
            </w:pPr>
            <w:r w:rsidRPr="009E06AA">
              <w:rPr>
                <w:rFonts w:eastAsia="Calibri" w:cs="Calibri"/>
                <w:color w:val="000000"/>
                <w:szCs w:val="16"/>
              </w:rPr>
              <w:t>1,499</w:t>
            </w:r>
          </w:p>
        </w:tc>
        <w:tc>
          <w:tcPr>
            <w:tcW w:w="1304" w:type="dxa"/>
            <w:shd w:val="clear" w:color="auto" w:fill="FFFFFF"/>
            <w:tcMar>
              <w:top w:w="0" w:type="dxa"/>
              <w:left w:w="85" w:type="dxa"/>
              <w:bottom w:w="0" w:type="dxa"/>
              <w:right w:w="85" w:type="dxa"/>
            </w:tcMar>
            <w:vAlign w:val="center"/>
          </w:tcPr>
          <w:p w14:paraId="6E8F6FD0" w14:textId="77777777" w:rsidR="00053418" w:rsidRPr="009E06AA" w:rsidRDefault="00053418" w:rsidP="009A3078">
            <w:pPr>
              <w:pStyle w:val="TableText"/>
              <w:spacing w:before="40" w:after="40"/>
              <w:jc w:val="right"/>
            </w:pPr>
            <w:r w:rsidRPr="009E06AA">
              <w:rPr>
                <w:rFonts w:eastAsia="Calibri" w:cs="Calibri"/>
                <w:color w:val="000000"/>
                <w:szCs w:val="16"/>
              </w:rPr>
              <w:t>NA</w:t>
            </w:r>
          </w:p>
        </w:tc>
        <w:tc>
          <w:tcPr>
            <w:tcW w:w="1304" w:type="dxa"/>
            <w:shd w:val="clear" w:color="auto" w:fill="FFFFFF"/>
            <w:tcMar>
              <w:top w:w="0" w:type="dxa"/>
              <w:left w:w="85" w:type="dxa"/>
              <w:bottom w:w="0" w:type="dxa"/>
              <w:right w:w="85" w:type="dxa"/>
            </w:tcMar>
            <w:vAlign w:val="center"/>
          </w:tcPr>
          <w:p w14:paraId="0FC1830A" w14:textId="77777777" w:rsidR="00053418" w:rsidRPr="009E06AA" w:rsidRDefault="00053418" w:rsidP="009A3078">
            <w:pPr>
              <w:pStyle w:val="TableText"/>
              <w:spacing w:before="40" w:after="40"/>
              <w:jc w:val="right"/>
            </w:pPr>
            <w:r w:rsidRPr="009E06AA">
              <w:rPr>
                <w:rFonts w:eastAsia="Calibri" w:cs="Calibri"/>
                <w:color w:val="000000"/>
                <w:szCs w:val="16"/>
              </w:rPr>
              <w:t>117</w:t>
            </w:r>
          </w:p>
        </w:tc>
        <w:tc>
          <w:tcPr>
            <w:tcW w:w="1304" w:type="dxa"/>
            <w:shd w:val="clear" w:color="auto" w:fill="FFFFFF"/>
            <w:tcMar>
              <w:top w:w="0" w:type="dxa"/>
              <w:left w:w="85" w:type="dxa"/>
              <w:bottom w:w="0" w:type="dxa"/>
              <w:right w:w="85" w:type="dxa"/>
            </w:tcMar>
            <w:vAlign w:val="center"/>
          </w:tcPr>
          <w:p w14:paraId="0DCCCF82" w14:textId="77777777" w:rsidR="00053418" w:rsidRPr="009E06AA" w:rsidRDefault="00053418" w:rsidP="009A3078">
            <w:pPr>
              <w:pStyle w:val="TableText"/>
              <w:spacing w:before="40" w:after="40"/>
              <w:jc w:val="right"/>
            </w:pPr>
            <w:r w:rsidRPr="009E06AA">
              <w:rPr>
                <w:rFonts w:eastAsia="Calibri" w:cs="Calibri"/>
                <w:color w:val="000000"/>
                <w:szCs w:val="16"/>
              </w:rPr>
              <w:t>NA</w:t>
            </w:r>
          </w:p>
        </w:tc>
      </w:tr>
      <w:tr w:rsidR="00053418" w:rsidRPr="009E06AA" w14:paraId="6B8671AE" w14:textId="77777777" w:rsidTr="00B55F24">
        <w:tc>
          <w:tcPr>
            <w:tcW w:w="1984" w:type="dxa"/>
            <w:shd w:val="clear" w:color="auto" w:fill="FFFFFF"/>
            <w:tcMar>
              <w:top w:w="0" w:type="dxa"/>
              <w:left w:w="85" w:type="dxa"/>
              <w:bottom w:w="0" w:type="dxa"/>
              <w:right w:w="85" w:type="dxa"/>
            </w:tcMar>
            <w:vAlign w:val="center"/>
          </w:tcPr>
          <w:p w14:paraId="3787B0FD" w14:textId="77777777" w:rsidR="00053418" w:rsidRPr="009E06AA" w:rsidRDefault="00053418" w:rsidP="00B55F24">
            <w:pPr>
              <w:pStyle w:val="TableText"/>
              <w:spacing w:before="40" w:after="40"/>
            </w:pPr>
            <w:r w:rsidRPr="009E06AA">
              <w:rPr>
                <w:rFonts w:eastAsia="Calibri" w:cs="Calibri"/>
                <w:b/>
                <w:color w:val="1B556B"/>
                <w:szCs w:val="16"/>
              </w:rPr>
              <w:t>Total</w:t>
            </w:r>
          </w:p>
        </w:tc>
        <w:tc>
          <w:tcPr>
            <w:tcW w:w="1304" w:type="dxa"/>
            <w:shd w:val="clear" w:color="auto" w:fill="FFFFFF"/>
            <w:tcMar>
              <w:top w:w="0" w:type="dxa"/>
              <w:left w:w="85" w:type="dxa"/>
              <w:bottom w:w="0" w:type="dxa"/>
              <w:right w:w="85" w:type="dxa"/>
            </w:tcMar>
            <w:vAlign w:val="center"/>
          </w:tcPr>
          <w:p w14:paraId="6B9D9CBE" w14:textId="77777777" w:rsidR="00053418" w:rsidRPr="009E06AA" w:rsidRDefault="00053418" w:rsidP="009A3078">
            <w:pPr>
              <w:pStyle w:val="TableText"/>
              <w:spacing w:before="40" w:after="40"/>
              <w:jc w:val="right"/>
            </w:pPr>
            <w:r w:rsidRPr="009E06AA">
              <w:rPr>
                <w:rFonts w:eastAsia="Calibri" w:cs="Calibri"/>
                <w:b/>
                <w:color w:val="1B556B"/>
                <w:szCs w:val="16"/>
              </w:rPr>
              <w:t>9,361,770</w:t>
            </w:r>
          </w:p>
        </w:tc>
        <w:tc>
          <w:tcPr>
            <w:tcW w:w="1304" w:type="dxa"/>
            <w:shd w:val="clear" w:color="auto" w:fill="FFFFFF"/>
            <w:tcMar>
              <w:top w:w="0" w:type="dxa"/>
              <w:left w:w="85" w:type="dxa"/>
              <w:bottom w:w="0" w:type="dxa"/>
              <w:right w:w="85" w:type="dxa"/>
            </w:tcMar>
            <w:vAlign w:val="center"/>
          </w:tcPr>
          <w:p w14:paraId="18932621" w14:textId="77777777" w:rsidR="00053418" w:rsidRPr="009E06AA" w:rsidRDefault="00053418" w:rsidP="009A3078">
            <w:pPr>
              <w:pStyle w:val="TableText"/>
              <w:spacing w:before="40" w:after="40"/>
              <w:jc w:val="right"/>
            </w:pPr>
            <w:r w:rsidRPr="009E06AA">
              <w:rPr>
                <w:rFonts w:eastAsia="Calibri" w:cs="Calibri"/>
                <w:b/>
                <w:color w:val="1B556B"/>
                <w:szCs w:val="16"/>
              </w:rPr>
              <w:t>246,228</w:t>
            </w:r>
          </w:p>
        </w:tc>
        <w:tc>
          <w:tcPr>
            <w:tcW w:w="1304" w:type="dxa"/>
            <w:shd w:val="clear" w:color="auto" w:fill="FFFFFF"/>
            <w:tcMar>
              <w:top w:w="0" w:type="dxa"/>
              <w:left w:w="85" w:type="dxa"/>
              <w:bottom w:w="0" w:type="dxa"/>
              <w:right w:w="85" w:type="dxa"/>
            </w:tcMar>
            <w:vAlign w:val="center"/>
          </w:tcPr>
          <w:p w14:paraId="602A7243" w14:textId="77777777" w:rsidR="00053418" w:rsidRPr="009E06AA" w:rsidRDefault="00053418" w:rsidP="009A3078">
            <w:pPr>
              <w:pStyle w:val="TableText"/>
              <w:spacing w:before="40" w:after="40"/>
              <w:jc w:val="right"/>
            </w:pPr>
            <w:r w:rsidRPr="009E06AA">
              <w:rPr>
                <w:rFonts w:eastAsia="Calibri" w:cs="Calibri"/>
                <w:b/>
                <w:color w:val="1B556B"/>
                <w:szCs w:val="16"/>
              </w:rPr>
              <w:t>2.63</w:t>
            </w:r>
          </w:p>
        </w:tc>
        <w:tc>
          <w:tcPr>
            <w:tcW w:w="1304" w:type="dxa"/>
            <w:shd w:val="clear" w:color="auto" w:fill="FFFFFF"/>
            <w:tcMar>
              <w:top w:w="0" w:type="dxa"/>
              <w:left w:w="85" w:type="dxa"/>
              <w:bottom w:w="0" w:type="dxa"/>
              <w:right w:w="85" w:type="dxa"/>
            </w:tcMar>
            <w:vAlign w:val="center"/>
          </w:tcPr>
          <w:p w14:paraId="576E6FF8" w14:textId="77777777" w:rsidR="00053418" w:rsidRPr="009E06AA" w:rsidRDefault="00053418" w:rsidP="009A3078">
            <w:pPr>
              <w:pStyle w:val="TableText"/>
              <w:spacing w:before="40" w:after="40"/>
              <w:jc w:val="right"/>
            </w:pPr>
            <w:r w:rsidRPr="009E06AA">
              <w:rPr>
                <w:rFonts w:eastAsia="Calibri" w:cs="Calibri"/>
                <w:b/>
                <w:color w:val="1B556B"/>
                <w:szCs w:val="16"/>
              </w:rPr>
              <w:t>4,202</w:t>
            </w:r>
          </w:p>
        </w:tc>
        <w:tc>
          <w:tcPr>
            <w:tcW w:w="1304" w:type="dxa"/>
            <w:shd w:val="clear" w:color="auto" w:fill="FFFFFF"/>
            <w:tcMar>
              <w:top w:w="0" w:type="dxa"/>
              <w:left w:w="85" w:type="dxa"/>
              <w:bottom w:w="0" w:type="dxa"/>
              <w:right w:w="85" w:type="dxa"/>
            </w:tcMar>
            <w:vAlign w:val="center"/>
          </w:tcPr>
          <w:p w14:paraId="42CA720F" w14:textId="77777777" w:rsidR="00053418" w:rsidRPr="009E06AA" w:rsidRDefault="00053418" w:rsidP="009A3078">
            <w:pPr>
              <w:pStyle w:val="TableText"/>
              <w:spacing w:before="40" w:after="40"/>
              <w:jc w:val="right"/>
            </w:pPr>
            <w:r w:rsidRPr="009E06AA">
              <w:rPr>
                <w:rFonts w:eastAsia="Calibri" w:cs="Calibri"/>
                <w:b/>
                <w:color w:val="1B556B"/>
                <w:szCs w:val="16"/>
              </w:rPr>
              <w:t>0.04</w:t>
            </w:r>
          </w:p>
        </w:tc>
      </w:tr>
    </w:tbl>
    <w:p w14:paraId="1FC3FDF3" w14:textId="77777777" w:rsidR="00053418" w:rsidRPr="009E06AA" w:rsidRDefault="00053418" w:rsidP="00053418">
      <w:pPr>
        <w:pStyle w:val="Noteundertable"/>
      </w:pPr>
      <w:r w:rsidRPr="009E06AA">
        <w:rPr>
          <w:b/>
        </w:rPr>
        <w:t>Note:</w:t>
      </w:r>
      <w:r w:rsidRPr="009E06AA">
        <w:tab/>
        <w:t>NA = not applicable. The 2022 areas are as at 31 December 2022; 1990 areas are as at 1 January 1990 and, therefore, differ from 1990 area values in the common reporting tables, which are as at 31 December 1990. Columns may not total due to rounding.</w:t>
      </w:r>
    </w:p>
    <w:p w14:paraId="3CF20FBF" w14:textId="77777777" w:rsidR="00053418" w:rsidRPr="009E06AA" w:rsidRDefault="00053418" w:rsidP="00053418">
      <w:pPr>
        <w:pStyle w:val="Figure"/>
      </w:pPr>
      <w:bookmarkStart w:id="1924" w:name="_Toc33529483"/>
      <w:bookmarkStart w:id="1925" w:name="_Toc36292813"/>
      <w:bookmarkStart w:id="1926" w:name="_Toc131591573"/>
      <w:bookmarkStart w:id="1927" w:name="_Toc158979913"/>
      <w:bookmarkStart w:id="1928" w:name="_Toc164154041"/>
      <w:r w:rsidRPr="009E06AA">
        <w:t>Figure 6.4.4</w:t>
      </w:r>
      <w:r w:rsidRPr="009E06AA">
        <w:tab/>
        <w:t xml:space="preserve">New Zealand’s area of deforestation since 1990, by </w:t>
      </w:r>
      <w:r w:rsidRPr="009E06AA">
        <w:rPr>
          <w:i/>
        </w:rPr>
        <w:t>Forest land</w:t>
      </w:r>
      <w:r w:rsidRPr="009E06AA">
        <w:t xml:space="preserve"> category</w:t>
      </w:r>
      <w:bookmarkEnd w:id="1924"/>
      <w:bookmarkEnd w:id="1925"/>
      <w:bookmarkEnd w:id="1926"/>
      <w:bookmarkEnd w:id="1927"/>
      <w:bookmarkEnd w:id="1928"/>
    </w:p>
    <w:p w14:paraId="2D52DC44" w14:textId="77777777" w:rsidR="00053418" w:rsidRPr="009E06AA" w:rsidRDefault="00053418" w:rsidP="00053418">
      <w:pPr>
        <w:pStyle w:val="BodyText"/>
        <w:jc w:val="center"/>
      </w:pPr>
      <w:r w:rsidRPr="009E06AA">
        <w:rPr>
          <w:noProof/>
        </w:rPr>
        <w:drawing>
          <wp:inline distT="0" distB="0" distL="0" distR="0" wp14:anchorId="25519576" wp14:editId="627BBB2F">
            <wp:extent cx="4572000" cy="3578087"/>
            <wp:effectExtent l="0" t="0" r="0" b="3810"/>
            <wp:docPr id="1576015318" name="Picture 1576015318" descr="A graph of a number of tre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6015318"/>
                    <pic:cNvPicPr/>
                  </pic:nvPicPr>
                  <pic:blipFill rotWithShape="1">
                    <a:blip r:embed="rId143" cstate="print">
                      <a:extLst>
                        <a:ext uri="{28A0092B-C50C-407E-A947-70E740481C1C}">
                          <a14:useLocalDpi xmlns:a14="http://schemas.microsoft.com/office/drawing/2010/main" val="0"/>
                        </a:ext>
                      </a:extLst>
                    </a:blip>
                    <a:srcRect/>
                    <a:stretch/>
                  </pic:blipFill>
                  <pic:spPr bwMode="auto">
                    <a:xfrm>
                      <a:off x="0" y="0"/>
                      <a:ext cx="4572000" cy="3578087"/>
                    </a:xfrm>
                    <a:prstGeom prst="rect">
                      <a:avLst/>
                    </a:prstGeom>
                    <a:ln>
                      <a:noFill/>
                    </a:ln>
                    <a:extLst>
                      <a:ext uri="{53640926-AAD7-44D8-BBD7-CCE9431645EC}">
                        <a14:shadowObscured xmlns:a14="http://schemas.microsoft.com/office/drawing/2010/main"/>
                      </a:ext>
                    </a:extLst>
                  </pic:spPr>
                </pic:pic>
              </a:graphicData>
            </a:graphic>
          </wp:inline>
        </w:drawing>
      </w:r>
    </w:p>
    <w:p w14:paraId="5ED8FA49" w14:textId="77777777" w:rsidR="00053418" w:rsidRPr="009E06AA" w:rsidRDefault="00053418" w:rsidP="00053418">
      <w:pPr>
        <w:pStyle w:val="BodyText"/>
      </w:pPr>
      <w:r w:rsidRPr="009E06AA">
        <w:t>New Zealand assumes instant emissions of all biomass carbon at the time of deforestation, based on the following.</w:t>
      </w:r>
    </w:p>
    <w:p w14:paraId="4506BDB4" w14:textId="77777777" w:rsidR="00053418" w:rsidRPr="009E06AA" w:rsidRDefault="00053418" w:rsidP="00053418">
      <w:pPr>
        <w:pStyle w:val="Bullet"/>
        <w:numPr>
          <w:ilvl w:val="0"/>
          <w:numId w:val="29"/>
        </w:numPr>
        <w:ind w:left="397" w:hanging="397"/>
      </w:pPr>
      <w:r w:rsidRPr="009E06AA">
        <w:t xml:space="preserve">The majority of deforestation since 2000 has resulted from land conversion to </w:t>
      </w:r>
      <w:r w:rsidRPr="009E06AA">
        <w:rPr>
          <w:i/>
          <w:iCs/>
        </w:rPr>
        <w:t>Grassland</w:t>
      </w:r>
      <w:r w:rsidRPr="009E06AA">
        <w:t>, leading to the rapid removal of all biomass as the land is prepared for farming.</w:t>
      </w:r>
    </w:p>
    <w:p w14:paraId="2EA86D8C" w14:textId="77777777" w:rsidR="00053418" w:rsidRPr="009E06AA" w:rsidRDefault="00053418" w:rsidP="00053418">
      <w:pPr>
        <w:pStyle w:val="Bullet"/>
        <w:numPr>
          <w:ilvl w:val="0"/>
          <w:numId w:val="29"/>
        </w:numPr>
        <w:ind w:left="397" w:hanging="397"/>
      </w:pPr>
      <w:r w:rsidRPr="009E06AA">
        <w:t>It is not practical to estimate emissions from residues following deforestation activity given the rapid conversion from one land use to another and the multiple methods of removing residues. Furthermore, estimating biomass residue and decay rates for multiple disposal methods is difficult and costly.</w:t>
      </w:r>
    </w:p>
    <w:p w14:paraId="0E7F4E75" w14:textId="0E81A02C" w:rsidR="00053418" w:rsidRPr="009E06AA" w:rsidRDefault="00053418" w:rsidP="00053418">
      <w:pPr>
        <w:pStyle w:val="BodyText"/>
      </w:pPr>
      <w:r w:rsidRPr="009E06AA">
        <w:t>Estimates of deforestation emissions for pre-1990 natural forest are based on the type of vegetation deforested (tall forest or regenerating). The area of pre-1990 natural forest deforestation is sub-classified as tall forest or regenerating using spatial data on land cover (sourced from LCDB5 using the 2008 map year). These forest categories are defined in table 6.4.5. Tall forest deforestation emissions are determined from the average carbon stock per hectare in biomass for tall forests. Regenerating forest deforestation emissions are determined from the average carbon stock per hectare in biomass for regenerating forests. All carbon in biomass, for both tall and regenerating forest, is assumed in the calculations to</w:t>
      </w:r>
      <w:r w:rsidR="00554A58" w:rsidRPr="009E06AA">
        <w:t> </w:t>
      </w:r>
      <w:r w:rsidRPr="009E06AA">
        <w:t>be an instantaneous emission at the time of deforestation, because no information on the</w:t>
      </w:r>
      <w:r w:rsidR="00554A58" w:rsidRPr="009E06AA">
        <w:t> </w:t>
      </w:r>
      <w:r w:rsidRPr="009E06AA">
        <w:t>time lag of emissions from dead organic matter or below-ground biomass is currently available. Table 6.4.6 shows the</w:t>
      </w:r>
      <w:r w:rsidRPr="009E06AA" w:rsidDel="00E24861">
        <w:t xml:space="preserve"> </w:t>
      </w:r>
      <w:r w:rsidRPr="009E06AA">
        <w:t>areas of these two forest categories and table 6.4.7 shows the</w:t>
      </w:r>
      <w:r w:rsidR="00554A58" w:rsidRPr="009E06AA">
        <w:t> </w:t>
      </w:r>
      <w:r w:rsidRPr="009E06AA">
        <w:t>areas of pre-1990 natural forest deforestation split by these two forest types.</w:t>
      </w:r>
    </w:p>
    <w:p w14:paraId="44F193A1" w14:textId="77777777" w:rsidR="00053418" w:rsidRPr="009E06AA" w:rsidRDefault="00053418" w:rsidP="00053418">
      <w:pPr>
        <w:pStyle w:val="Table"/>
      </w:pPr>
      <w:bookmarkStart w:id="1929" w:name="_Toc131591395"/>
      <w:bookmarkStart w:id="1930" w:name="_Toc158979953"/>
      <w:bookmarkStart w:id="1931" w:name="_Toc164153886"/>
      <w:r w:rsidRPr="009E06AA">
        <w:t>Table 6.4.5</w:t>
      </w:r>
      <w:r w:rsidRPr="009E06AA">
        <w:tab/>
        <w:t>Pre-1990 natural forest categories and description</w:t>
      </w:r>
      <w:bookmarkEnd w:id="1929"/>
      <w:bookmarkEnd w:id="1930"/>
      <w:bookmarkEnd w:id="1931"/>
    </w:p>
    <w:tbl>
      <w:tblPr>
        <w:tblW w:w="8505" w:type="dxa"/>
        <w:tblBorders>
          <w:top w:val="single" w:sz="4" w:space="0" w:color="1B556B" w:themeColor="text2"/>
          <w:bottom w:val="single" w:sz="4" w:space="0" w:color="1B556B" w:themeColor="text2"/>
          <w:insideH w:val="single" w:sz="4" w:space="0" w:color="1B556B" w:themeColor="text2"/>
        </w:tblBorders>
        <w:tblLook w:val="04A0" w:firstRow="1" w:lastRow="0" w:firstColumn="1" w:lastColumn="0" w:noHBand="0" w:noVBand="1"/>
      </w:tblPr>
      <w:tblGrid>
        <w:gridCol w:w="1843"/>
        <w:gridCol w:w="6662"/>
      </w:tblGrid>
      <w:tr w:rsidR="00053418" w:rsidRPr="009E06AA" w14:paraId="476111F7" w14:textId="77777777" w:rsidTr="00B55F24">
        <w:trPr>
          <w:tblHeader/>
        </w:trPr>
        <w:tc>
          <w:tcPr>
            <w:tcW w:w="1843" w:type="dxa"/>
            <w:shd w:val="clear" w:color="auto" w:fill="1B556B"/>
            <w:hideMark/>
          </w:tcPr>
          <w:p w14:paraId="02B95904" w14:textId="77777777" w:rsidR="00053418" w:rsidRPr="009E06AA" w:rsidRDefault="00053418" w:rsidP="00B55F24">
            <w:pPr>
              <w:pStyle w:val="TableTextBold"/>
              <w:spacing w:before="50" w:after="50" w:line="256" w:lineRule="auto"/>
              <w:rPr>
                <w:noProof w:val="0"/>
                <w:color w:val="FFFFFF"/>
              </w:rPr>
            </w:pPr>
            <w:r w:rsidRPr="009E06AA">
              <w:rPr>
                <w:noProof w:val="0"/>
                <w:color w:val="FFFFFF"/>
              </w:rPr>
              <w:t>Natural forest category</w:t>
            </w:r>
          </w:p>
        </w:tc>
        <w:tc>
          <w:tcPr>
            <w:tcW w:w="6662" w:type="dxa"/>
            <w:shd w:val="clear" w:color="auto" w:fill="1B556B"/>
            <w:hideMark/>
          </w:tcPr>
          <w:p w14:paraId="1B98938C" w14:textId="77777777" w:rsidR="00053418" w:rsidRPr="009E06AA" w:rsidRDefault="00053418" w:rsidP="00B55F24">
            <w:pPr>
              <w:pStyle w:val="TableTextBold"/>
              <w:spacing w:before="50" w:after="50" w:line="256" w:lineRule="auto"/>
              <w:rPr>
                <w:noProof w:val="0"/>
                <w:color w:val="FFFFFF"/>
              </w:rPr>
            </w:pPr>
            <w:r w:rsidRPr="009E06AA">
              <w:rPr>
                <w:noProof w:val="0"/>
                <w:color w:val="FFFFFF"/>
              </w:rPr>
              <w:t>Description</w:t>
            </w:r>
          </w:p>
        </w:tc>
      </w:tr>
      <w:tr w:rsidR="00053418" w:rsidRPr="009E06AA" w14:paraId="5BA6B9AA" w14:textId="77777777" w:rsidTr="00B55F24">
        <w:tc>
          <w:tcPr>
            <w:tcW w:w="1843" w:type="dxa"/>
            <w:hideMark/>
          </w:tcPr>
          <w:p w14:paraId="71FB12BC" w14:textId="77777777" w:rsidR="00053418" w:rsidRPr="009E06AA" w:rsidRDefault="00053418" w:rsidP="00B55F24">
            <w:pPr>
              <w:pStyle w:val="TableText"/>
              <w:spacing w:before="50" w:after="50" w:line="256" w:lineRule="auto"/>
              <w:rPr>
                <w:rFonts w:cs="Arial Bold"/>
                <w:szCs w:val="16"/>
              </w:rPr>
            </w:pPr>
            <w:r w:rsidRPr="009E06AA">
              <w:rPr>
                <w:rFonts w:cs="Arial Bold"/>
                <w:szCs w:val="16"/>
              </w:rPr>
              <w:t>Tall</w:t>
            </w:r>
          </w:p>
        </w:tc>
        <w:tc>
          <w:tcPr>
            <w:tcW w:w="6662" w:type="dxa"/>
          </w:tcPr>
          <w:p w14:paraId="480AA69D" w14:textId="77777777" w:rsidR="00053418" w:rsidRPr="009E06AA" w:rsidRDefault="00053418" w:rsidP="00B55F24">
            <w:pPr>
              <w:pStyle w:val="TableText"/>
              <w:spacing w:before="50" w:after="50" w:line="256" w:lineRule="auto"/>
              <w:rPr>
                <w:rFonts w:cs="Arial Bold"/>
                <w:szCs w:val="16"/>
              </w:rPr>
            </w:pPr>
            <w:r w:rsidRPr="009E06AA">
              <w:rPr>
                <w:rFonts w:cs="Arial Bold"/>
                <w:szCs w:val="16"/>
              </w:rPr>
              <w:t>Made up of two LCDB5 classes: 1. indigenous forest; tall forest dominated by indigenous conifer, broadleaved or beech species; 2. broadleaved indigenous hardwoods; lowland scrub communities dominated by indigenous mixed broadleaved shrubs.</w:t>
            </w:r>
          </w:p>
        </w:tc>
      </w:tr>
      <w:tr w:rsidR="00053418" w:rsidRPr="009E06AA" w14:paraId="569AC32C" w14:textId="77777777" w:rsidTr="00B55F24">
        <w:tc>
          <w:tcPr>
            <w:tcW w:w="1843" w:type="dxa"/>
          </w:tcPr>
          <w:p w14:paraId="262D866D" w14:textId="77777777" w:rsidR="00053418" w:rsidRPr="009E06AA" w:rsidRDefault="00053418" w:rsidP="00B55F24">
            <w:pPr>
              <w:pStyle w:val="TableText"/>
              <w:spacing w:before="50" w:after="50" w:line="256" w:lineRule="auto"/>
              <w:rPr>
                <w:rFonts w:cs="Arial Bold"/>
                <w:szCs w:val="16"/>
              </w:rPr>
            </w:pPr>
            <w:r w:rsidRPr="009E06AA">
              <w:rPr>
                <w:rFonts w:cs="Arial Bold"/>
                <w:szCs w:val="16"/>
              </w:rPr>
              <w:t>Regenerating</w:t>
            </w:r>
          </w:p>
        </w:tc>
        <w:tc>
          <w:tcPr>
            <w:tcW w:w="6662" w:type="dxa"/>
          </w:tcPr>
          <w:p w14:paraId="3B8ACB01" w14:textId="77777777" w:rsidR="00053418" w:rsidRPr="009E06AA" w:rsidRDefault="00053418" w:rsidP="00B55F24">
            <w:pPr>
              <w:pStyle w:val="TableText"/>
              <w:spacing w:before="50" w:after="50" w:line="256" w:lineRule="auto"/>
              <w:rPr>
                <w:rFonts w:cs="Arial Bold"/>
                <w:szCs w:val="16"/>
              </w:rPr>
            </w:pPr>
            <w:r w:rsidRPr="009E06AA">
              <w:rPr>
                <w:rFonts w:cs="Arial Bold"/>
                <w:szCs w:val="16"/>
              </w:rPr>
              <w:t>All other areas mapped as pre-1990 natural forest that fall outside the two LCDB5 classes above. Represents areas recovering from previous disturbances.</w:t>
            </w:r>
          </w:p>
        </w:tc>
      </w:tr>
    </w:tbl>
    <w:p w14:paraId="0A3E58B6" w14:textId="77777777" w:rsidR="00053418" w:rsidRPr="009E06AA" w:rsidRDefault="00053418" w:rsidP="00053418">
      <w:pPr>
        <w:pStyle w:val="Noteundertable"/>
      </w:pPr>
      <w:r w:rsidRPr="009E06AA">
        <w:rPr>
          <w:b/>
          <w:bCs/>
        </w:rPr>
        <w:t>Note:</w:t>
      </w:r>
      <w:r w:rsidRPr="009E06AA">
        <w:t xml:space="preserve"> </w:t>
      </w:r>
      <w:r w:rsidRPr="009E06AA">
        <w:tab/>
        <w:t>LCDB5 = Land Cover Database version 5.</w:t>
      </w:r>
    </w:p>
    <w:p w14:paraId="14DDFCE9" w14:textId="77777777" w:rsidR="00053418" w:rsidRPr="009E06AA" w:rsidRDefault="00053418" w:rsidP="00053418">
      <w:pPr>
        <w:pStyle w:val="Table"/>
      </w:pPr>
      <w:bookmarkStart w:id="1932" w:name="_Toc131591396"/>
      <w:bookmarkStart w:id="1933" w:name="_Toc158979954"/>
      <w:bookmarkStart w:id="1934" w:name="_Toc164153887"/>
      <w:r w:rsidRPr="009E06AA">
        <w:t>Table 6.4.6</w:t>
      </w:r>
      <w:r w:rsidRPr="009E06AA">
        <w:tab/>
        <w:t>Areas of tall and regenerating pre-1990 natural forest in 1990 and 2022</w:t>
      </w:r>
      <w:bookmarkEnd w:id="1932"/>
      <w:bookmarkEnd w:id="1933"/>
      <w:bookmarkEnd w:id="1934"/>
    </w:p>
    <w:tbl>
      <w:tblPr>
        <w:tblW w:w="8505" w:type="dxa"/>
        <w:tblInd w:w="5"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835"/>
        <w:gridCol w:w="2835"/>
        <w:gridCol w:w="2835"/>
      </w:tblGrid>
      <w:tr w:rsidR="00053418" w:rsidRPr="009E06AA" w14:paraId="1D99BC83" w14:textId="77777777" w:rsidTr="00B55F24">
        <w:trPr>
          <w:tblHeader/>
        </w:trPr>
        <w:tc>
          <w:tcPr>
            <w:tcW w:w="2835" w:type="dxa"/>
            <w:shd w:val="clear" w:color="auto" w:fill="1B556B"/>
            <w:tcMar>
              <w:top w:w="0" w:type="dxa"/>
              <w:left w:w="85" w:type="dxa"/>
              <w:bottom w:w="0" w:type="dxa"/>
              <w:right w:w="85" w:type="dxa"/>
            </w:tcMar>
            <w:vAlign w:val="center"/>
          </w:tcPr>
          <w:p w14:paraId="233C325D" w14:textId="77777777" w:rsidR="00053418" w:rsidRPr="009E06AA" w:rsidRDefault="00053418" w:rsidP="00B55F24">
            <w:pPr>
              <w:pStyle w:val="TableText"/>
              <w:spacing w:before="50" w:after="50"/>
              <w:rPr>
                <w:b/>
                <w:bCs/>
                <w:color w:val="FFFFFF" w:themeColor="background1"/>
              </w:rPr>
            </w:pPr>
            <w:r w:rsidRPr="009E06AA">
              <w:rPr>
                <w:b/>
                <w:bCs/>
                <w:color w:val="FFFFFF" w:themeColor="background1"/>
              </w:rPr>
              <w:t>Natural forest category</w:t>
            </w:r>
          </w:p>
        </w:tc>
        <w:tc>
          <w:tcPr>
            <w:tcW w:w="2835" w:type="dxa"/>
            <w:shd w:val="clear" w:color="auto" w:fill="1B556B"/>
            <w:tcMar>
              <w:top w:w="0" w:type="dxa"/>
              <w:left w:w="85" w:type="dxa"/>
              <w:bottom w:w="0" w:type="dxa"/>
              <w:right w:w="85" w:type="dxa"/>
            </w:tcMar>
            <w:vAlign w:val="center"/>
          </w:tcPr>
          <w:p w14:paraId="5764EAB5" w14:textId="77777777" w:rsidR="00053418" w:rsidRPr="009E06AA" w:rsidRDefault="00053418" w:rsidP="009A3078">
            <w:pPr>
              <w:pStyle w:val="TableText"/>
              <w:spacing w:before="50" w:after="50"/>
              <w:jc w:val="right"/>
              <w:rPr>
                <w:b/>
                <w:bCs/>
                <w:color w:val="FFFFFF" w:themeColor="background1"/>
              </w:rPr>
            </w:pPr>
            <w:r w:rsidRPr="009E06AA">
              <w:rPr>
                <w:b/>
                <w:bCs/>
                <w:color w:val="FFFFFF" w:themeColor="background1"/>
              </w:rPr>
              <w:t>Area of forest in 1990 (ha)</w:t>
            </w:r>
          </w:p>
        </w:tc>
        <w:tc>
          <w:tcPr>
            <w:tcW w:w="2835" w:type="dxa"/>
            <w:shd w:val="clear" w:color="auto" w:fill="1B556B"/>
            <w:tcMar>
              <w:top w:w="0" w:type="dxa"/>
              <w:left w:w="85" w:type="dxa"/>
              <w:bottom w:w="0" w:type="dxa"/>
              <w:right w:w="85" w:type="dxa"/>
            </w:tcMar>
            <w:vAlign w:val="center"/>
          </w:tcPr>
          <w:p w14:paraId="558D0230" w14:textId="77777777" w:rsidR="00053418" w:rsidRPr="009E06AA" w:rsidRDefault="00053418" w:rsidP="009A3078">
            <w:pPr>
              <w:pStyle w:val="TableText"/>
              <w:spacing w:before="50" w:after="50"/>
              <w:jc w:val="right"/>
              <w:rPr>
                <w:b/>
                <w:bCs/>
                <w:color w:val="FFFFFF" w:themeColor="background1"/>
              </w:rPr>
            </w:pPr>
            <w:r w:rsidRPr="009E06AA">
              <w:rPr>
                <w:b/>
                <w:bCs/>
                <w:color w:val="FFFFFF" w:themeColor="background1"/>
              </w:rPr>
              <w:t>Area of forest in 2022 (ha)</w:t>
            </w:r>
          </w:p>
        </w:tc>
      </w:tr>
      <w:tr w:rsidR="00053418" w:rsidRPr="009E06AA" w14:paraId="161B807E" w14:textId="77777777" w:rsidTr="00B55F24">
        <w:tc>
          <w:tcPr>
            <w:tcW w:w="2835" w:type="dxa"/>
            <w:shd w:val="clear" w:color="auto" w:fill="FFFFFF"/>
            <w:tcMar>
              <w:top w:w="0" w:type="dxa"/>
              <w:left w:w="85" w:type="dxa"/>
              <w:bottom w:w="0" w:type="dxa"/>
              <w:right w:w="85" w:type="dxa"/>
            </w:tcMar>
            <w:vAlign w:val="center"/>
          </w:tcPr>
          <w:p w14:paraId="2DE1B599" w14:textId="77777777" w:rsidR="00053418" w:rsidRPr="009E06AA" w:rsidRDefault="00053418" w:rsidP="00B55F24">
            <w:pPr>
              <w:pStyle w:val="TableText"/>
              <w:spacing w:before="50" w:after="50"/>
            </w:pPr>
            <w:r w:rsidRPr="009E06AA">
              <w:rPr>
                <w:color w:val="000000"/>
              </w:rPr>
              <w:t>Tall forest</w:t>
            </w:r>
          </w:p>
        </w:tc>
        <w:tc>
          <w:tcPr>
            <w:tcW w:w="2835" w:type="dxa"/>
            <w:shd w:val="clear" w:color="auto" w:fill="FFFFFF"/>
            <w:tcMar>
              <w:top w:w="0" w:type="dxa"/>
              <w:left w:w="85" w:type="dxa"/>
              <w:bottom w:w="0" w:type="dxa"/>
              <w:right w:w="85" w:type="dxa"/>
            </w:tcMar>
            <w:vAlign w:val="center"/>
          </w:tcPr>
          <w:p w14:paraId="4700776A" w14:textId="77777777" w:rsidR="00053418" w:rsidRPr="009E06AA" w:rsidRDefault="00053418" w:rsidP="009A3078">
            <w:pPr>
              <w:pStyle w:val="TableText"/>
              <w:spacing w:before="50" w:after="50"/>
              <w:jc w:val="right"/>
            </w:pPr>
            <w:r w:rsidRPr="009E06AA">
              <w:rPr>
                <w:color w:val="000000"/>
              </w:rPr>
              <w:t>6,690,297</w:t>
            </w:r>
          </w:p>
        </w:tc>
        <w:tc>
          <w:tcPr>
            <w:tcW w:w="2835" w:type="dxa"/>
            <w:shd w:val="clear" w:color="auto" w:fill="FFFFFF"/>
            <w:tcMar>
              <w:top w:w="0" w:type="dxa"/>
              <w:left w:w="85" w:type="dxa"/>
              <w:bottom w:w="0" w:type="dxa"/>
              <w:right w:w="85" w:type="dxa"/>
            </w:tcMar>
            <w:vAlign w:val="center"/>
          </w:tcPr>
          <w:p w14:paraId="77F1E643" w14:textId="77777777" w:rsidR="00053418" w:rsidRPr="009E06AA" w:rsidRDefault="00053418" w:rsidP="009A3078">
            <w:pPr>
              <w:pStyle w:val="TableText"/>
              <w:spacing w:before="50" w:after="50"/>
              <w:jc w:val="right"/>
            </w:pPr>
            <w:r w:rsidRPr="009E06AA">
              <w:rPr>
                <w:color w:val="000000"/>
              </w:rPr>
              <w:t>6,669,021</w:t>
            </w:r>
          </w:p>
        </w:tc>
      </w:tr>
      <w:tr w:rsidR="00053418" w:rsidRPr="009E06AA" w14:paraId="5D065822" w14:textId="77777777" w:rsidTr="00B55F24">
        <w:tc>
          <w:tcPr>
            <w:tcW w:w="2835" w:type="dxa"/>
            <w:shd w:val="clear" w:color="auto" w:fill="FFFFFF"/>
            <w:tcMar>
              <w:top w:w="0" w:type="dxa"/>
              <w:left w:w="85" w:type="dxa"/>
              <w:bottom w:w="0" w:type="dxa"/>
              <w:right w:w="85" w:type="dxa"/>
            </w:tcMar>
            <w:vAlign w:val="center"/>
          </w:tcPr>
          <w:p w14:paraId="381D27D5" w14:textId="77777777" w:rsidR="00053418" w:rsidRPr="009E06AA" w:rsidRDefault="00053418" w:rsidP="00B55F24">
            <w:pPr>
              <w:pStyle w:val="TableText"/>
              <w:spacing w:before="50" w:after="50"/>
            </w:pPr>
            <w:r w:rsidRPr="009E06AA">
              <w:rPr>
                <w:color w:val="000000"/>
              </w:rPr>
              <w:t>Regenerating forest</w:t>
            </w:r>
          </w:p>
        </w:tc>
        <w:tc>
          <w:tcPr>
            <w:tcW w:w="2835" w:type="dxa"/>
            <w:shd w:val="clear" w:color="auto" w:fill="FFFFFF"/>
            <w:tcMar>
              <w:top w:w="0" w:type="dxa"/>
              <w:left w:w="85" w:type="dxa"/>
              <w:bottom w:w="0" w:type="dxa"/>
              <w:right w:w="85" w:type="dxa"/>
            </w:tcMar>
            <w:vAlign w:val="center"/>
          </w:tcPr>
          <w:p w14:paraId="518DE9D9" w14:textId="77777777" w:rsidR="00053418" w:rsidRPr="009E06AA" w:rsidRDefault="00053418" w:rsidP="009A3078">
            <w:pPr>
              <w:pStyle w:val="TableText"/>
              <w:spacing w:before="50" w:after="50"/>
              <w:jc w:val="right"/>
            </w:pPr>
            <w:r w:rsidRPr="009E06AA">
              <w:rPr>
                <w:color w:val="000000"/>
              </w:rPr>
              <w:t>1,126,650</w:t>
            </w:r>
          </w:p>
        </w:tc>
        <w:tc>
          <w:tcPr>
            <w:tcW w:w="2835" w:type="dxa"/>
            <w:shd w:val="clear" w:color="auto" w:fill="FFFFFF"/>
            <w:tcMar>
              <w:top w:w="0" w:type="dxa"/>
              <w:left w:w="85" w:type="dxa"/>
              <w:bottom w:w="0" w:type="dxa"/>
              <w:right w:w="85" w:type="dxa"/>
            </w:tcMar>
            <w:vAlign w:val="center"/>
          </w:tcPr>
          <w:p w14:paraId="4C511102" w14:textId="77777777" w:rsidR="00053418" w:rsidRPr="009E06AA" w:rsidRDefault="00053418" w:rsidP="009A3078">
            <w:pPr>
              <w:pStyle w:val="TableText"/>
              <w:spacing w:before="50" w:after="50"/>
              <w:jc w:val="right"/>
            </w:pPr>
            <w:r w:rsidRPr="009E06AA">
              <w:rPr>
                <w:color w:val="000000"/>
              </w:rPr>
              <w:t>1,077,382</w:t>
            </w:r>
          </w:p>
        </w:tc>
      </w:tr>
      <w:tr w:rsidR="00053418" w:rsidRPr="009E06AA" w14:paraId="05113097" w14:textId="77777777" w:rsidTr="00B55F24">
        <w:tc>
          <w:tcPr>
            <w:tcW w:w="2835" w:type="dxa"/>
            <w:shd w:val="clear" w:color="auto" w:fill="FFFFFF"/>
            <w:tcMar>
              <w:top w:w="0" w:type="dxa"/>
              <w:left w:w="85" w:type="dxa"/>
              <w:bottom w:w="0" w:type="dxa"/>
              <w:right w:w="85" w:type="dxa"/>
            </w:tcMar>
            <w:vAlign w:val="center"/>
          </w:tcPr>
          <w:p w14:paraId="57700B75" w14:textId="77777777" w:rsidR="00053418" w:rsidRPr="009E06AA" w:rsidRDefault="00053418" w:rsidP="00B55F24">
            <w:pPr>
              <w:pStyle w:val="TableText"/>
              <w:spacing w:before="50" w:after="50"/>
              <w:rPr>
                <w:b/>
                <w:bCs/>
              </w:rPr>
            </w:pPr>
            <w:r w:rsidRPr="009E06AA">
              <w:rPr>
                <w:b/>
                <w:bCs/>
                <w:color w:val="1B556B"/>
              </w:rPr>
              <w:t>Total</w:t>
            </w:r>
          </w:p>
        </w:tc>
        <w:tc>
          <w:tcPr>
            <w:tcW w:w="2835" w:type="dxa"/>
            <w:shd w:val="clear" w:color="auto" w:fill="FFFFFF"/>
            <w:tcMar>
              <w:top w:w="0" w:type="dxa"/>
              <w:left w:w="85" w:type="dxa"/>
              <w:bottom w:w="0" w:type="dxa"/>
              <w:right w:w="85" w:type="dxa"/>
            </w:tcMar>
            <w:vAlign w:val="center"/>
          </w:tcPr>
          <w:p w14:paraId="0074720E" w14:textId="77777777" w:rsidR="00053418" w:rsidRPr="009E06AA" w:rsidRDefault="00053418" w:rsidP="009A3078">
            <w:pPr>
              <w:pStyle w:val="TableText"/>
              <w:spacing w:before="50" w:after="50"/>
              <w:jc w:val="right"/>
              <w:rPr>
                <w:b/>
                <w:bCs/>
              </w:rPr>
            </w:pPr>
            <w:r w:rsidRPr="009E06AA">
              <w:rPr>
                <w:b/>
                <w:bCs/>
                <w:color w:val="1B556B"/>
              </w:rPr>
              <w:t>7,816,946</w:t>
            </w:r>
          </w:p>
        </w:tc>
        <w:tc>
          <w:tcPr>
            <w:tcW w:w="2835" w:type="dxa"/>
            <w:shd w:val="clear" w:color="auto" w:fill="FFFFFF"/>
            <w:tcMar>
              <w:top w:w="0" w:type="dxa"/>
              <w:left w:w="85" w:type="dxa"/>
              <w:bottom w:w="0" w:type="dxa"/>
              <w:right w:w="85" w:type="dxa"/>
            </w:tcMar>
            <w:vAlign w:val="center"/>
          </w:tcPr>
          <w:p w14:paraId="0E4841CE" w14:textId="77777777" w:rsidR="00053418" w:rsidRPr="009E06AA" w:rsidRDefault="00053418" w:rsidP="009A3078">
            <w:pPr>
              <w:pStyle w:val="TableText"/>
              <w:spacing w:before="50" w:after="50"/>
              <w:jc w:val="right"/>
              <w:rPr>
                <w:b/>
                <w:bCs/>
              </w:rPr>
            </w:pPr>
            <w:r w:rsidRPr="009E06AA">
              <w:rPr>
                <w:b/>
                <w:bCs/>
                <w:color w:val="1B556B"/>
              </w:rPr>
              <w:t>7,746,403</w:t>
            </w:r>
          </w:p>
        </w:tc>
      </w:tr>
    </w:tbl>
    <w:p w14:paraId="7F81CB09" w14:textId="0EE1839A" w:rsidR="00053418" w:rsidRPr="009E06AA" w:rsidRDefault="00053418" w:rsidP="00053418">
      <w:pPr>
        <w:pStyle w:val="Table"/>
        <w:spacing w:before="360"/>
      </w:pPr>
      <w:bookmarkStart w:id="1935" w:name="_Toc131591397"/>
      <w:bookmarkStart w:id="1936" w:name="_Toc158979955"/>
      <w:bookmarkStart w:id="1937" w:name="_Toc164153888"/>
      <w:r w:rsidRPr="009E06AA">
        <w:t>Table 6.4.7</w:t>
      </w:r>
      <w:r w:rsidRPr="009E06AA">
        <w:tab/>
        <w:t>New Zealand’s pre-1990 natural forest deforestation area (ha), for natural forest categories, estimated by type</w:t>
      </w:r>
      <w:r w:rsidR="00E454F9" w:rsidRPr="009E06AA">
        <w:t>,</w:t>
      </w:r>
      <w:r w:rsidRPr="009E06AA">
        <w:t> from 1990</w:t>
      </w:r>
      <w:r w:rsidRPr="009E06AA">
        <w:rPr>
          <w:rFonts w:ascii="Arial" w:hAnsi="Arial" w:cs="Arial"/>
        </w:rPr>
        <w:t> </w:t>
      </w:r>
      <w:r w:rsidRPr="009E06AA">
        <w:t>to</w:t>
      </w:r>
      <w:r w:rsidRPr="009E06AA">
        <w:rPr>
          <w:rFonts w:ascii="Arial" w:hAnsi="Arial" w:cs="Arial"/>
        </w:rPr>
        <w:t> </w:t>
      </w:r>
      <w:r w:rsidRPr="009E06AA">
        <w:t>2022</w:t>
      </w:r>
      <w:bookmarkEnd w:id="1935"/>
      <w:bookmarkEnd w:id="1936"/>
      <w:bookmarkEnd w:id="1937"/>
      <w:r w:rsidRPr="009E06AA">
        <w:t> </w:t>
      </w:r>
    </w:p>
    <w:tbl>
      <w:tblPr>
        <w:tblW w:w="8501" w:type="dxa"/>
        <w:tblBorders>
          <w:top w:val="single" w:sz="4" w:space="0" w:color="1B556B" w:themeColor="text2"/>
          <w:bottom w:val="single" w:sz="4" w:space="0" w:color="1B556B" w:themeColor="text2"/>
          <w:insideH w:val="single" w:sz="4" w:space="0" w:color="1B556B" w:themeColor="text2"/>
        </w:tblBorders>
        <w:tblLayout w:type="fixed"/>
        <w:tblLook w:val="0420" w:firstRow="1" w:lastRow="0" w:firstColumn="0" w:lastColumn="0" w:noHBand="0" w:noVBand="1"/>
      </w:tblPr>
      <w:tblGrid>
        <w:gridCol w:w="2268"/>
        <w:gridCol w:w="993"/>
        <w:gridCol w:w="850"/>
        <w:gridCol w:w="851"/>
        <w:gridCol w:w="708"/>
        <w:gridCol w:w="709"/>
        <w:gridCol w:w="709"/>
        <w:gridCol w:w="709"/>
        <w:gridCol w:w="704"/>
      </w:tblGrid>
      <w:tr w:rsidR="00053418" w:rsidRPr="009E06AA" w14:paraId="6A56F357" w14:textId="77777777" w:rsidTr="00B55F24">
        <w:trPr>
          <w:tblHeader/>
        </w:trPr>
        <w:tc>
          <w:tcPr>
            <w:tcW w:w="2268" w:type="dxa"/>
            <w:shd w:val="clear" w:color="auto" w:fill="1B556B"/>
            <w:tcMar>
              <w:top w:w="0" w:type="dxa"/>
              <w:left w:w="85" w:type="dxa"/>
              <w:bottom w:w="0" w:type="dxa"/>
              <w:right w:w="85" w:type="dxa"/>
            </w:tcMar>
            <w:vAlign w:val="center"/>
          </w:tcPr>
          <w:p w14:paraId="315706FA" w14:textId="77777777" w:rsidR="00053418" w:rsidRPr="009E06AA" w:rsidRDefault="00053418" w:rsidP="00B55F24">
            <w:pPr>
              <w:pStyle w:val="TableTextBold"/>
              <w:spacing w:before="50" w:after="0"/>
              <w:rPr>
                <w:noProof w:val="0"/>
                <w:color w:val="FFFFFF" w:themeColor="background1"/>
              </w:rPr>
            </w:pPr>
          </w:p>
        </w:tc>
        <w:tc>
          <w:tcPr>
            <w:tcW w:w="6233" w:type="dxa"/>
            <w:gridSpan w:val="8"/>
            <w:shd w:val="clear" w:color="auto" w:fill="1B556B"/>
            <w:tcMar>
              <w:top w:w="0" w:type="dxa"/>
              <w:left w:w="85" w:type="dxa"/>
              <w:bottom w:w="0" w:type="dxa"/>
              <w:right w:w="85" w:type="dxa"/>
            </w:tcMar>
            <w:vAlign w:val="center"/>
          </w:tcPr>
          <w:p w14:paraId="72B379DC" w14:textId="77777777" w:rsidR="00053418" w:rsidRPr="009E06AA" w:rsidRDefault="00053418" w:rsidP="00B55F24">
            <w:pPr>
              <w:pStyle w:val="TableTextBold"/>
              <w:spacing w:before="50" w:after="0"/>
              <w:jc w:val="center"/>
              <w:rPr>
                <w:noProof w:val="0"/>
                <w:color w:val="FFFFFF" w:themeColor="background1"/>
              </w:rPr>
            </w:pPr>
            <w:r w:rsidRPr="009E06AA">
              <w:rPr>
                <w:noProof w:val="0"/>
                <w:color w:val="FFFFFF" w:themeColor="background1"/>
              </w:rPr>
              <w:t>Area of deforestation (ha)</w:t>
            </w:r>
          </w:p>
        </w:tc>
      </w:tr>
      <w:tr w:rsidR="00053418" w:rsidRPr="009E06AA" w14:paraId="2C5601E7" w14:textId="77777777" w:rsidTr="00B55F24">
        <w:trPr>
          <w:tblHeader/>
        </w:trPr>
        <w:tc>
          <w:tcPr>
            <w:tcW w:w="2268" w:type="dxa"/>
            <w:shd w:val="clear" w:color="auto" w:fill="1B556B"/>
            <w:tcMar>
              <w:top w:w="0" w:type="dxa"/>
              <w:left w:w="85" w:type="dxa"/>
              <w:bottom w:w="0" w:type="dxa"/>
              <w:right w:w="85" w:type="dxa"/>
            </w:tcMar>
            <w:vAlign w:val="bottom"/>
          </w:tcPr>
          <w:p w14:paraId="24C24BB7" w14:textId="77777777" w:rsidR="00053418" w:rsidRPr="009E06AA" w:rsidRDefault="00053418" w:rsidP="00B55F24">
            <w:pPr>
              <w:pStyle w:val="TableTextBold"/>
              <w:spacing w:before="50" w:after="50"/>
              <w:rPr>
                <w:noProof w:val="0"/>
                <w:color w:val="FFFFFF" w:themeColor="background1"/>
              </w:rPr>
            </w:pPr>
            <w:r w:rsidRPr="009E06AA">
              <w:rPr>
                <w:noProof w:val="0"/>
                <w:color w:val="FFFFFF" w:themeColor="background1"/>
              </w:rPr>
              <w:t>Natural forest category</w:t>
            </w:r>
          </w:p>
        </w:tc>
        <w:tc>
          <w:tcPr>
            <w:tcW w:w="993" w:type="dxa"/>
            <w:shd w:val="clear" w:color="auto" w:fill="1B556B"/>
            <w:tcMar>
              <w:top w:w="0" w:type="dxa"/>
              <w:left w:w="85" w:type="dxa"/>
              <w:bottom w:w="0" w:type="dxa"/>
              <w:right w:w="85" w:type="dxa"/>
            </w:tcMar>
            <w:vAlign w:val="bottom"/>
          </w:tcPr>
          <w:p w14:paraId="4CDF6FAA" w14:textId="77777777" w:rsidR="00053418" w:rsidRPr="009E06AA" w:rsidRDefault="00053418" w:rsidP="009A3078">
            <w:pPr>
              <w:pStyle w:val="TableTextBold"/>
              <w:spacing w:before="50" w:after="50"/>
              <w:jc w:val="right"/>
              <w:rPr>
                <w:noProof w:val="0"/>
                <w:color w:val="FFFFFF" w:themeColor="background1"/>
              </w:rPr>
            </w:pPr>
            <w:r w:rsidRPr="009E06AA">
              <w:rPr>
                <w:noProof w:val="0"/>
                <w:color w:val="FFFFFF" w:themeColor="background1"/>
              </w:rPr>
              <w:t>1990–2007</w:t>
            </w:r>
          </w:p>
        </w:tc>
        <w:tc>
          <w:tcPr>
            <w:tcW w:w="850" w:type="dxa"/>
            <w:shd w:val="clear" w:color="auto" w:fill="1B556B"/>
            <w:tcMar>
              <w:top w:w="0" w:type="dxa"/>
              <w:left w:w="85" w:type="dxa"/>
              <w:bottom w:w="0" w:type="dxa"/>
              <w:right w:w="85" w:type="dxa"/>
            </w:tcMar>
            <w:vAlign w:val="bottom"/>
          </w:tcPr>
          <w:p w14:paraId="32CBB1D6" w14:textId="77777777" w:rsidR="00053418" w:rsidRPr="009E06AA" w:rsidRDefault="00053418" w:rsidP="009A3078">
            <w:pPr>
              <w:pStyle w:val="TableTextBold"/>
              <w:spacing w:before="50" w:after="50"/>
              <w:jc w:val="right"/>
              <w:rPr>
                <w:noProof w:val="0"/>
                <w:color w:val="FFFFFF" w:themeColor="background1"/>
              </w:rPr>
            </w:pPr>
            <w:r w:rsidRPr="009E06AA">
              <w:rPr>
                <w:noProof w:val="0"/>
                <w:color w:val="FFFFFF" w:themeColor="background1"/>
              </w:rPr>
              <w:t>2008–12</w:t>
            </w:r>
          </w:p>
        </w:tc>
        <w:tc>
          <w:tcPr>
            <w:tcW w:w="851" w:type="dxa"/>
            <w:shd w:val="clear" w:color="auto" w:fill="1B556B"/>
            <w:tcMar>
              <w:top w:w="0" w:type="dxa"/>
              <w:left w:w="85" w:type="dxa"/>
              <w:bottom w:w="0" w:type="dxa"/>
              <w:right w:w="85" w:type="dxa"/>
            </w:tcMar>
            <w:vAlign w:val="bottom"/>
          </w:tcPr>
          <w:p w14:paraId="4B7239DB" w14:textId="77777777" w:rsidR="00053418" w:rsidRPr="009E06AA" w:rsidRDefault="00053418" w:rsidP="009A3078">
            <w:pPr>
              <w:pStyle w:val="TableTextBold"/>
              <w:spacing w:before="50" w:after="50"/>
              <w:jc w:val="right"/>
              <w:rPr>
                <w:noProof w:val="0"/>
                <w:color w:val="FFFFFF" w:themeColor="background1"/>
              </w:rPr>
            </w:pPr>
            <w:r w:rsidRPr="009E06AA">
              <w:rPr>
                <w:noProof w:val="0"/>
                <w:color w:val="FFFFFF" w:themeColor="background1"/>
              </w:rPr>
              <w:t>2013–17</w:t>
            </w:r>
          </w:p>
        </w:tc>
        <w:tc>
          <w:tcPr>
            <w:tcW w:w="708" w:type="dxa"/>
            <w:shd w:val="clear" w:color="auto" w:fill="1B556B"/>
            <w:tcMar>
              <w:top w:w="0" w:type="dxa"/>
              <w:left w:w="85" w:type="dxa"/>
              <w:bottom w:w="0" w:type="dxa"/>
              <w:right w:w="85" w:type="dxa"/>
            </w:tcMar>
            <w:vAlign w:val="bottom"/>
          </w:tcPr>
          <w:p w14:paraId="78225B99" w14:textId="77777777" w:rsidR="00053418" w:rsidRPr="009E06AA" w:rsidRDefault="00053418" w:rsidP="009A3078">
            <w:pPr>
              <w:pStyle w:val="TableTextBold"/>
              <w:spacing w:before="50" w:after="50"/>
              <w:jc w:val="right"/>
              <w:rPr>
                <w:noProof w:val="0"/>
                <w:color w:val="FFFFFF" w:themeColor="background1"/>
              </w:rPr>
            </w:pPr>
            <w:r w:rsidRPr="009E06AA">
              <w:rPr>
                <w:noProof w:val="0"/>
                <w:color w:val="FFFFFF" w:themeColor="background1"/>
              </w:rPr>
              <w:t>2018</w:t>
            </w:r>
          </w:p>
        </w:tc>
        <w:tc>
          <w:tcPr>
            <w:tcW w:w="709" w:type="dxa"/>
            <w:shd w:val="clear" w:color="auto" w:fill="1B556B"/>
            <w:tcMar>
              <w:top w:w="0" w:type="dxa"/>
              <w:left w:w="85" w:type="dxa"/>
              <w:bottom w:w="0" w:type="dxa"/>
              <w:right w:w="85" w:type="dxa"/>
            </w:tcMar>
            <w:vAlign w:val="bottom"/>
          </w:tcPr>
          <w:p w14:paraId="59210301" w14:textId="77777777" w:rsidR="00053418" w:rsidRPr="009E06AA" w:rsidRDefault="00053418" w:rsidP="009A3078">
            <w:pPr>
              <w:pStyle w:val="TableTextBold"/>
              <w:spacing w:before="50" w:after="50"/>
              <w:jc w:val="right"/>
              <w:rPr>
                <w:noProof w:val="0"/>
                <w:color w:val="FFFFFF" w:themeColor="background1"/>
              </w:rPr>
            </w:pPr>
            <w:r w:rsidRPr="009E06AA">
              <w:rPr>
                <w:noProof w:val="0"/>
                <w:color w:val="FFFFFF" w:themeColor="background1"/>
              </w:rPr>
              <w:t>2019</w:t>
            </w:r>
          </w:p>
        </w:tc>
        <w:tc>
          <w:tcPr>
            <w:tcW w:w="709" w:type="dxa"/>
            <w:shd w:val="clear" w:color="auto" w:fill="1B556B"/>
            <w:tcMar>
              <w:top w:w="0" w:type="dxa"/>
              <w:left w:w="85" w:type="dxa"/>
              <w:bottom w:w="0" w:type="dxa"/>
              <w:right w:w="85" w:type="dxa"/>
            </w:tcMar>
            <w:vAlign w:val="bottom"/>
          </w:tcPr>
          <w:p w14:paraId="627D121B" w14:textId="77777777" w:rsidR="00053418" w:rsidRPr="009E06AA" w:rsidRDefault="00053418" w:rsidP="009A3078">
            <w:pPr>
              <w:pStyle w:val="TableTextBold"/>
              <w:spacing w:before="50" w:after="50"/>
              <w:jc w:val="right"/>
              <w:rPr>
                <w:noProof w:val="0"/>
                <w:color w:val="FFFFFF" w:themeColor="background1"/>
              </w:rPr>
            </w:pPr>
            <w:r w:rsidRPr="009E06AA">
              <w:rPr>
                <w:noProof w:val="0"/>
                <w:color w:val="FFFFFF" w:themeColor="background1"/>
              </w:rPr>
              <w:t>2020</w:t>
            </w:r>
          </w:p>
        </w:tc>
        <w:tc>
          <w:tcPr>
            <w:tcW w:w="709" w:type="dxa"/>
            <w:shd w:val="clear" w:color="auto" w:fill="1B556B"/>
            <w:tcMar>
              <w:top w:w="0" w:type="dxa"/>
              <w:left w:w="85" w:type="dxa"/>
              <w:bottom w:w="0" w:type="dxa"/>
              <w:right w:w="85" w:type="dxa"/>
            </w:tcMar>
            <w:vAlign w:val="bottom"/>
          </w:tcPr>
          <w:p w14:paraId="732C805B" w14:textId="77777777" w:rsidR="00053418" w:rsidRPr="009E06AA" w:rsidRDefault="00053418" w:rsidP="009A3078">
            <w:pPr>
              <w:pStyle w:val="TableTextBold"/>
              <w:spacing w:before="50" w:after="50"/>
              <w:jc w:val="right"/>
              <w:rPr>
                <w:noProof w:val="0"/>
                <w:color w:val="FFFFFF" w:themeColor="background1"/>
              </w:rPr>
            </w:pPr>
            <w:r w:rsidRPr="009E06AA">
              <w:rPr>
                <w:noProof w:val="0"/>
                <w:color w:val="FFFFFF" w:themeColor="background1"/>
              </w:rPr>
              <w:t>2021</w:t>
            </w:r>
            <w:r w:rsidRPr="009E06AA">
              <w:rPr>
                <w:noProof w:val="0"/>
                <w:color w:val="FFFFFF" w:themeColor="background1"/>
                <w:vertAlign w:val="superscript"/>
              </w:rPr>
              <w:t xml:space="preserve"> P</w:t>
            </w:r>
          </w:p>
        </w:tc>
        <w:tc>
          <w:tcPr>
            <w:tcW w:w="704" w:type="dxa"/>
            <w:shd w:val="clear" w:color="auto" w:fill="1B556B"/>
            <w:tcMar>
              <w:top w:w="0" w:type="dxa"/>
              <w:left w:w="85" w:type="dxa"/>
              <w:bottom w:w="0" w:type="dxa"/>
              <w:right w:w="85" w:type="dxa"/>
            </w:tcMar>
            <w:vAlign w:val="bottom"/>
          </w:tcPr>
          <w:p w14:paraId="0D450824" w14:textId="77777777" w:rsidR="00053418" w:rsidRPr="009E06AA" w:rsidRDefault="00053418" w:rsidP="009A3078">
            <w:pPr>
              <w:pStyle w:val="TableTextBold"/>
              <w:spacing w:before="50" w:after="50"/>
              <w:jc w:val="right"/>
              <w:rPr>
                <w:noProof w:val="0"/>
                <w:color w:val="FFFFFF" w:themeColor="background1"/>
              </w:rPr>
            </w:pPr>
            <w:r w:rsidRPr="009E06AA">
              <w:rPr>
                <w:noProof w:val="0"/>
                <w:color w:val="FFFFFF" w:themeColor="background1"/>
              </w:rPr>
              <w:t>2022</w:t>
            </w:r>
            <w:r w:rsidRPr="009E06AA">
              <w:rPr>
                <w:noProof w:val="0"/>
                <w:color w:val="FFFFFF" w:themeColor="background1"/>
                <w:vertAlign w:val="superscript"/>
              </w:rPr>
              <w:t xml:space="preserve"> P</w:t>
            </w:r>
          </w:p>
        </w:tc>
      </w:tr>
      <w:tr w:rsidR="00053418" w:rsidRPr="009E06AA" w14:paraId="7FB2A800" w14:textId="77777777" w:rsidTr="00B55F24">
        <w:tc>
          <w:tcPr>
            <w:tcW w:w="2268" w:type="dxa"/>
            <w:shd w:val="clear" w:color="auto" w:fill="FFFFFF"/>
            <w:tcMar>
              <w:top w:w="0" w:type="dxa"/>
              <w:left w:w="85" w:type="dxa"/>
              <w:bottom w:w="0" w:type="dxa"/>
              <w:right w:w="85" w:type="dxa"/>
            </w:tcMar>
            <w:vAlign w:val="center"/>
          </w:tcPr>
          <w:p w14:paraId="7A93D6ED" w14:textId="77777777" w:rsidR="00053418" w:rsidRPr="009E06AA" w:rsidRDefault="00053418" w:rsidP="00B55F24">
            <w:pPr>
              <w:pStyle w:val="TableText"/>
              <w:spacing w:before="50" w:after="50"/>
            </w:pPr>
            <w:r w:rsidRPr="009E06AA">
              <w:rPr>
                <w:color w:val="000000"/>
              </w:rPr>
              <w:t>Tall forest</w:t>
            </w:r>
          </w:p>
        </w:tc>
        <w:tc>
          <w:tcPr>
            <w:tcW w:w="993" w:type="dxa"/>
            <w:shd w:val="clear" w:color="auto" w:fill="FFFFFF"/>
            <w:tcMar>
              <w:top w:w="0" w:type="dxa"/>
              <w:left w:w="85" w:type="dxa"/>
              <w:bottom w:w="0" w:type="dxa"/>
              <w:right w:w="85" w:type="dxa"/>
            </w:tcMar>
            <w:vAlign w:val="center"/>
          </w:tcPr>
          <w:p w14:paraId="14A94467" w14:textId="77777777" w:rsidR="00053418" w:rsidRPr="009E06AA" w:rsidRDefault="00053418" w:rsidP="009A3078">
            <w:pPr>
              <w:pStyle w:val="TableText"/>
              <w:spacing w:before="50" w:after="50"/>
              <w:jc w:val="right"/>
            </w:pPr>
            <w:r w:rsidRPr="009E06AA">
              <w:rPr>
                <w:color w:val="000000"/>
              </w:rPr>
              <w:t>9,497</w:t>
            </w:r>
          </w:p>
        </w:tc>
        <w:tc>
          <w:tcPr>
            <w:tcW w:w="850" w:type="dxa"/>
            <w:shd w:val="clear" w:color="auto" w:fill="FFFFFF"/>
            <w:tcMar>
              <w:top w:w="0" w:type="dxa"/>
              <w:left w:w="85" w:type="dxa"/>
              <w:bottom w:w="0" w:type="dxa"/>
              <w:right w:w="85" w:type="dxa"/>
            </w:tcMar>
            <w:vAlign w:val="center"/>
          </w:tcPr>
          <w:p w14:paraId="3CB1D219" w14:textId="77777777" w:rsidR="00053418" w:rsidRPr="009E06AA" w:rsidRDefault="00053418" w:rsidP="009A3078">
            <w:pPr>
              <w:pStyle w:val="TableText"/>
              <w:spacing w:before="50" w:after="50"/>
              <w:jc w:val="right"/>
            </w:pPr>
            <w:r w:rsidRPr="009E06AA">
              <w:rPr>
                <w:color w:val="000000"/>
              </w:rPr>
              <w:t>2,660</w:t>
            </w:r>
          </w:p>
        </w:tc>
        <w:tc>
          <w:tcPr>
            <w:tcW w:w="851" w:type="dxa"/>
            <w:shd w:val="clear" w:color="auto" w:fill="FFFFFF"/>
            <w:tcMar>
              <w:top w:w="0" w:type="dxa"/>
              <w:left w:w="85" w:type="dxa"/>
              <w:bottom w:w="0" w:type="dxa"/>
              <w:right w:w="85" w:type="dxa"/>
            </w:tcMar>
            <w:vAlign w:val="center"/>
          </w:tcPr>
          <w:p w14:paraId="0CD5E925" w14:textId="77777777" w:rsidR="00053418" w:rsidRPr="009E06AA" w:rsidRDefault="00053418" w:rsidP="009A3078">
            <w:pPr>
              <w:pStyle w:val="TableText"/>
              <w:spacing w:before="50" w:after="50"/>
              <w:jc w:val="right"/>
            </w:pPr>
            <w:r w:rsidRPr="009E06AA">
              <w:rPr>
                <w:color w:val="000000"/>
              </w:rPr>
              <w:t>1,981</w:t>
            </w:r>
          </w:p>
        </w:tc>
        <w:tc>
          <w:tcPr>
            <w:tcW w:w="708" w:type="dxa"/>
            <w:shd w:val="clear" w:color="auto" w:fill="FFFFFF"/>
            <w:tcMar>
              <w:top w:w="0" w:type="dxa"/>
              <w:left w:w="85" w:type="dxa"/>
              <w:bottom w:w="0" w:type="dxa"/>
              <w:right w:w="85" w:type="dxa"/>
            </w:tcMar>
            <w:vAlign w:val="center"/>
          </w:tcPr>
          <w:p w14:paraId="055DDEAD" w14:textId="77777777" w:rsidR="00053418" w:rsidRPr="009E06AA" w:rsidRDefault="00053418" w:rsidP="009A3078">
            <w:pPr>
              <w:pStyle w:val="TableText"/>
              <w:spacing w:before="50" w:after="50"/>
              <w:jc w:val="right"/>
            </w:pPr>
            <w:r w:rsidRPr="009E06AA">
              <w:rPr>
                <w:color w:val="000000"/>
              </w:rPr>
              <w:t>221</w:t>
            </w:r>
          </w:p>
        </w:tc>
        <w:tc>
          <w:tcPr>
            <w:tcW w:w="709" w:type="dxa"/>
            <w:shd w:val="clear" w:color="auto" w:fill="FFFFFF"/>
            <w:tcMar>
              <w:top w:w="0" w:type="dxa"/>
              <w:left w:w="85" w:type="dxa"/>
              <w:bottom w:w="0" w:type="dxa"/>
              <w:right w:w="85" w:type="dxa"/>
            </w:tcMar>
            <w:vAlign w:val="center"/>
          </w:tcPr>
          <w:p w14:paraId="7D344918" w14:textId="77777777" w:rsidR="00053418" w:rsidRPr="009E06AA" w:rsidRDefault="00053418" w:rsidP="009A3078">
            <w:pPr>
              <w:pStyle w:val="TableText"/>
              <w:spacing w:before="50" w:after="50"/>
              <w:jc w:val="right"/>
            </w:pPr>
            <w:r w:rsidRPr="009E06AA">
              <w:rPr>
                <w:color w:val="000000"/>
              </w:rPr>
              <w:t>258</w:t>
            </w:r>
          </w:p>
        </w:tc>
        <w:tc>
          <w:tcPr>
            <w:tcW w:w="709" w:type="dxa"/>
            <w:shd w:val="clear" w:color="auto" w:fill="FFFFFF"/>
            <w:tcMar>
              <w:top w:w="0" w:type="dxa"/>
              <w:left w:w="85" w:type="dxa"/>
              <w:bottom w:w="0" w:type="dxa"/>
              <w:right w:w="85" w:type="dxa"/>
            </w:tcMar>
            <w:vAlign w:val="center"/>
          </w:tcPr>
          <w:p w14:paraId="59E50B0A" w14:textId="77777777" w:rsidR="00053418" w:rsidRPr="009E06AA" w:rsidRDefault="00053418" w:rsidP="009A3078">
            <w:pPr>
              <w:pStyle w:val="TableText"/>
              <w:spacing w:before="50" w:after="50"/>
              <w:jc w:val="right"/>
            </w:pPr>
            <w:r w:rsidRPr="009E06AA">
              <w:rPr>
                <w:color w:val="000000"/>
              </w:rPr>
              <w:t>239</w:t>
            </w:r>
          </w:p>
        </w:tc>
        <w:tc>
          <w:tcPr>
            <w:tcW w:w="709" w:type="dxa"/>
            <w:shd w:val="clear" w:color="auto" w:fill="FFFFFF"/>
            <w:tcMar>
              <w:top w:w="0" w:type="dxa"/>
              <w:left w:w="85" w:type="dxa"/>
              <w:bottom w:w="0" w:type="dxa"/>
              <w:right w:w="85" w:type="dxa"/>
            </w:tcMar>
            <w:vAlign w:val="center"/>
          </w:tcPr>
          <w:p w14:paraId="42E55912" w14:textId="77777777" w:rsidR="00053418" w:rsidRPr="009E06AA" w:rsidRDefault="00053418" w:rsidP="009A3078">
            <w:pPr>
              <w:pStyle w:val="TableText"/>
              <w:spacing w:before="50" w:after="50"/>
              <w:jc w:val="right"/>
            </w:pPr>
            <w:r w:rsidRPr="009E06AA">
              <w:rPr>
                <w:color w:val="000000"/>
              </w:rPr>
              <w:t>239</w:t>
            </w:r>
          </w:p>
        </w:tc>
        <w:tc>
          <w:tcPr>
            <w:tcW w:w="704" w:type="dxa"/>
            <w:shd w:val="clear" w:color="auto" w:fill="FFFFFF"/>
            <w:tcMar>
              <w:top w:w="0" w:type="dxa"/>
              <w:left w:w="85" w:type="dxa"/>
              <w:bottom w:w="0" w:type="dxa"/>
              <w:right w:w="85" w:type="dxa"/>
            </w:tcMar>
            <w:vAlign w:val="center"/>
          </w:tcPr>
          <w:p w14:paraId="7396EA97" w14:textId="77777777" w:rsidR="00053418" w:rsidRPr="009E06AA" w:rsidRDefault="00053418" w:rsidP="009A3078">
            <w:pPr>
              <w:pStyle w:val="TableText"/>
              <w:spacing w:before="50" w:after="50"/>
              <w:jc w:val="right"/>
            </w:pPr>
            <w:r w:rsidRPr="009E06AA">
              <w:rPr>
                <w:color w:val="000000"/>
              </w:rPr>
              <w:t>239</w:t>
            </w:r>
          </w:p>
        </w:tc>
      </w:tr>
      <w:tr w:rsidR="00053418" w:rsidRPr="009E06AA" w14:paraId="2F0FED8A" w14:textId="77777777" w:rsidTr="00B55F24">
        <w:tc>
          <w:tcPr>
            <w:tcW w:w="2268" w:type="dxa"/>
            <w:shd w:val="clear" w:color="auto" w:fill="FFFFFF"/>
            <w:tcMar>
              <w:top w:w="0" w:type="dxa"/>
              <w:left w:w="85" w:type="dxa"/>
              <w:bottom w:w="0" w:type="dxa"/>
              <w:right w:w="85" w:type="dxa"/>
            </w:tcMar>
            <w:vAlign w:val="center"/>
          </w:tcPr>
          <w:p w14:paraId="03E3FFAA" w14:textId="77777777" w:rsidR="00053418" w:rsidRPr="009E06AA" w:rsidRDefault="00053418" w:rsidP="00B55F24">
            <w:pPr>
              <w:pStyle w:val="TableText"/>
              <w:spacing w:before="50" w:after="50"/>
            </w:pPr>
            <w:r w:rsidRPr="009E06AA">
              <w:rPr>
                <w:color w:val="000000"/>
              </w:rPr>
              <w:t>Regenerating</w:t>
            </w:r>
          </w:p>
        </w:tc>
        <w:tc>
          <w:tcPr>
            <w:tcW w:w="993" w:type="dxa"/>
            <w:shd w:val="clear" w:color="auto" w:fill="FFFFFF"/>
            <w:tcMar>
              <w:top w:w="0" w:type="dxa"/>
              <w:left w:w="85" w:type="dxa"/>
              <w:bottom w:w="0" w:type="dxa"/>
              <w:right w:w="85" w:type="dxa"/>
            </w:tcMar>
            <w:vAlign w:val="center"/>
          </w:tcPr>
          <w:p w14:paraId="5CD3D361" w14:textId="77777777" w:rsidR="00053418" w:rsidRPr="009E06AA" w:rsidRDefault="00053418" w:rsidP="009A3078">
            <w:pPr>
              <w:pStyle w:val="TableText"/>
              <w:spacing w:before="50" w:after="50"/>
              <w:jc w:val="right"/>
            </w:pPr>
            <w:r w:rsidRPr="009E06AA">
              <w:rPr>
                <w:color w:val="000000"/>
              </w:rPr>
              <w:t>23,669</w:t>
            </w:r>
          </w:p>
        </w:tc>
        <w:tc>
          <w:tcPr>
            <w:tcW w:w="850" w:type="dxa"/>
            <w:shd w:val="clear" w:color="auto" w:fill="FFFFFF"/>
            <w:tcMar>
              <w:top w:w="0" w:type="dxa"/>
              <w:left w:w="85" w:type="dxa"/>
              <w:bottom w:w="0" w:type="dxa"/>
              <w:right w:w="85" w:type="dxa"/>
            </w:tcMar>
            <w:vAlign w:val="center"/>
          </w:tcPr>
          <w:p w14:paraId="45611A09" w14:textId="77777777" w:rsidR="00053418" w:rsidRPr="009E06AA" w:rsidRDefault="00053418" w:rsidP="009A3078">
            <w:pPr>
              <w:pStyle w:val="TableText"/>
              <w:spacing w:before="50" w:after="50"/>
              <w:jc w:val="right"/>
            </w:pPr>
            <w:r w:rsidRPr="009E06AA">
              <w:rPr>
                <w:color w:val="000000"/>
              </w:rPr>
              <w:t>5,125</w:t>
            </w:r>
          </w:p>
        </w:tc>
        <w:tc>
          <w:tcPr>
            <w:tcW w:w="851" w:type="dxa"/>
            <w:shd w:val="clear" w:color="auto" w:fill="FFFFFF"/>
            <w:tcMar>
              <w:top w:w="0" w:type="dxa"/>
              <w:left w:w="85" w:type="dxa"/>
              <w:bottom w:w="0" w:type="dxa"/>
              <w:right w:w="85" w:type="dxa"/>
            </w:tcMar>
            <w:vAlign w:val="center"/>
          </w:tcPr>
          <w:p w14:paraId="3930B764" w14:textId="77777777" w:rsidR="00053418" w:rsidRPr="009E06AA" w:rsidRDefault="00053418" w:rsidP="009A3078">
            <w:pPr>
              <w:pStyle w:val="TableText"/>
              <w:spacing w:before="50" w:after="50"/>
              <w:jc w:val="right"/>
            </w:pPr>
            <w:r w:rsidRPr="009E06AA">
              <w:rPr>
                <w:color w:val="000000"/>
              </w:rPr>
              <w:t>2,386</w:t>
            </w:r>
          </w:p>
        </w:tc>
        <w:tc>
          <w:tcPr>
            <w:tcW w:w="708" w:type="dxa"/>
            <w:shd w:val="clear" w:color="auto" w:fill="FFFFFF"/>
            <w:tcMar>
              <w:top w:w="0" w:type="dxa"/>
              <w:left w:w="85" w:type="dxa"/>
              <w:bottom w:w="0" w:type="dxa"/>
              <w:right w:w="85" w:type="dxa"/>
            </w:tcMar>
            <w:vAlign w:val="center"/>
          </w:tcPr>
          <w:p w14:paraId="1CF8554A" w14:textId="77777777" w:rsidR="00053418" w:rsidRPr="009E06AA" w:rsidRDefault="00053418" w:rsidP="009A3078">
            <w:pPr>
              <w:pStyle w:val="TableText"/>
              <w:spacing w:before="50" w:after="50"/>
              <w:jc w:val="right"/>
            </w:pPr>
            <w:r w:rsidRPr="009E06AA">
              <w:rPr>
                <w:color w:val="000000"/>
              </w:rPr>
              <w:t>343</w:t>
            </w:r>
          </w:p>
        </w:tc>
        <w:tc>
          <w:tcPr>
            <w:tcW w:w="709" w:type="dxa"/>
            <w:shd w:val="clear" w:color="auto" w:fill="FFFFFF"/>
            <w:tcMar>
              <w:top w:w="0" w:type="dxa"/>
              <w:left w:w="85" w:type="dxa"/>
              <w:bottom w:w="0" w:type="dxa"/>
              <w:right w:w="85" w:type="dxa"/>
            </w:tcMar>
            <w:vAlign w:val="center"/>
          </w:tcPr>
          <w:p w14:paraId="7DECC92D" w14:textId="77777777" w:rsidR="00053418" w:rsidRPr="009E06AA" w:rsidRDefault="00053418" w:rsidP="009A3078">
            <w:pPr>
              <w:pStyle w:val="TableText"/>
              <w:spacing w:before="50" w:after="50"/>
              <w:jc w:val="right"/>
            </w:pPr>
            <w:r w:rsidRPr="009E06AA">
              <w:rPr>
                <w:color w:val="000000"/>
              </w:rPr>
              <w:t>350</w:t>
            </w:r>
          </w:p>
        </w:tc>
        <w:tc>
          <w:tcPr>
            <w:tcW w:w="709" w:type="dxa"/>
            <w:shd w:val="clear" w:color="auto" w:fill="FFFFFF"/>
            <w:tcMar>
              <w:top w:w="0" w:type="dxa"/>
              <w:left w:w="85" w:type="dxa"/>
              <w:bottom w:w="0" w:type="dxa"/>
              <w:right w:w="85" w:type="dxa"/>
            </w:tcMar>
            <w:vAlign w:val="center"/>
          </w:tcPr>
          <w:p w14:paraId="7FEEC69E" w14:textId="77777777" w:rsidR="00053418" w:rsidRPr="009E06AA" w:rsidRDefault="00053418" w:rsidP="009A3078">
            <w:pPr>
              <w:pStyle w:val="TableText"/>
              <w:spacing w:before="50" w:after="50"/>
              <w:jc w:val="right"/>
            </w:pPr>
            <w:r w:rsidRPr="009E06AA">
              <w:rPr>
                <w:color w:val="000000"/>
              </w:rPr>
              <w:t>314</w:t>
            </w:r>
          </w:p>
        </w:tc>
        <w:tc>
          <w:tcPr>
            <w:tcW w:w="709" w:type="dxa"/>
            <w:shd w:val="clear" w:color="auto" w:fill="FFFFFF"/>
            <w:tcMar>
              <w:top w:w="0" w:type="dxa"/>
              <w:left w:w="85" w:type="dxa"/>
              <w:bottom w:w="0" w:type="dxa"/>
              <w:right w:w="85" w:type="dxa"/>
            </w:tcMar>
            <w:vAlign w:val="center"/>
          </w:tcPr>
          <w:p w14:paraId="0646A499" w14:textId="77777777" w:rsidR="00053418" w:rsidRPr="009E06AA" w:rsidRDefault="00053418" w:rsidP="009A3078">
            <w:pPr>
              <w:pStyle w:val="TableText"/>
              <w:spacing w:before="50" w:after="50"/>
              <w:jc w:val="right"/>
            </w:pPr>
            <w:r w:rsidRPr="009E06AA">
              <w:rPr>
                <w:color w:val="000000"/>
              </w:rPr>
              <w:t>336</w:t>
            </w:r>
          </w:p>
        </w:tc>
        <w:tc>
          <w:tcPr>
            <w:tcW w:w="704" w:type="dxa"/>
            <w:shd w:val="clear" w:color="auto" w:fill="FFFFFF"/>
            <w:tcMar>
              <w:top w:w="0" w:type="dxa"/>
              <w:left w:w="85" w:type="dxa"/>
              <w:bottom w:w="0" w:type="dxa"/>
              <w:right w:w="85" w:type="dxa"/>
            </w:tcMar>
            <w:vAlign w:val="center"/>
          </w:tcPr>
          <w:p w14:paraId="5F25252C" w14:textId="77777777" w:rsidR="00053418" w:rsidRPr="009E06AA" w:rsidRDefault="00053418" w:rsidP="009A3078">
            <w:pPr>
              <w:pStyle w:val="TableText"/>
              <w:spacing w:before="50" w:after="50"/>
              <w:jc w:val="right"/>
            </w:pPr>
            <w:r w:rsidRPr="009E06AA">
              <w:rPr>
                <w:color w:val="000000"/>
              </w:rPr>
              <w:t>336</w:t>
            </w:r>
          </w:p>
        </w:tc>
      </w:tr>
      <w:tr w:rsidR="00053418" w:rsidRPr="009E06AA" w14:paraId="21811490" w14:textId="77777777" w:rsidTr="00B55F24">
        <w:tc>
          <w:tcPr>
            <w:tcW w:w="2268" w:type="dxa"/>
            <w:shd w:val="clear" w:color="auto" w:fill="FFFFFF"/>
            <w:tcMar>
              <w:top w:w="0" w:type="dxa"/>
              <w:left w:w="85" w:type="dxa"/>
              <w:bottom w:w="0" w:type="dxa"/>
              <w:right w:w="85" w:type="dxa"/>
            </w:tcMar>
            <w:vAlign w:val="center"/>
          </w:tcPr>
          <w:p w14:paraId="111897D5" w14:textId="77777777" w:rsidR="00053418" w:rsidRPr="009E06AA" w:rsidRDefault="00053418" w:rsidP="00B55F24">
            <w:pPr>
              <w:pStyle w:val="TableText"/>
              <w:spacing w:before="50" w:after="50"/>
            </w:pPr>
            <w:r w:rsidRPr="009E06AA">
              <w:rPr>
                <w:color w:val="1B556B"/>
              </w:rPr>
              <w:t>Total</w:t>
            </w:r>
          </w:p>
        </w:tc>
        <w:tc>
          <w:tcPr>
            <w:tcW w:w="993" w:type="dxa"/>
            <w:shd w:val="clear" w:color="auto" w:fill="FFFFFF"/>
            <w:tcMar>
              <w:top w:w="0" w:type="dxa"/>
              <w:left w:w="85" w:type="dxa"/>
              <w:bottom w:w="0" w:type="dxa"/>
              <w:right w:w="85" w:type="dxa"/>
            </w:tcMar>
            <w:vAlign w:val="center"/>
          </w:tcPr>
          <w:p w14:paraId="778591E7" w14:textId="77777777" w:rsidR="00053418" w:rsidRPr="009E06AA" w:rsidRDefault="00053418" w:rsidP="009A3078">
            <w:pPr>
              <w:pStyle w:val="TableText"/>
              <w:spacing w:before="50" w:after="50"/>
              <w:jc w:val="right"/>
            </w:pPr>
            <w:r w:rsidRPr="009E06AA">
              <w:rPr>
                <w:color w:val="1B556B"/>
              </w:rPr>
              <w:t>33,166</w:t>
            </w:r>
          </w:p>
        </w:tc>
        <w:tc>
          <w:tcPr>
            <w:tcW w:w="850" w:type="dxa"/>
            <w:shd w:val="clear" w:color="auto" w:fill="FFFFFF"/>
            <w:tcMar>
              <w:top w:w="0" w:type="dxa"/>
              <w:left w:w="85" w:type="dxa"/>
              <w:bottom w:w="0" w:type="dxa"/>
              <w:right w:w="85" w:type="dxa"/>
            </w:tcMar>
            <w:vAlign w:val="center"/>
          </w:tcPr>
          <w:p w14:paraId="5A3B4EB7" w14:textId="77777777" w:rsidR="00053418" w:rsidRPr="009E06AA" w:rsidRDefault="00053418" w:rsidP="009A3078">
            <w:pPr>
              <w:pStyle w:val="TableText"/>
              <w:spacing w:before="50" w:after="50"/>
              <w:jc w:val="right"/>
            </w:pPr>
            <w:r w:rsidRPr="009E06AA">
              <w:rPr>
                <w:color w:val="1B556B"/>
              </w:rPr>
              <w:t>7,785</w:t>
            </w:r>
          </w:p>
        </w:tc>
        <w:tc>
          <w:tcPr>
            <w:tcW w:w="851" w:type="dxa"/>
            <w:shd w:val="clear" w:color="auto" w:fill="FFFFFF"/>
            <w:tcMar>
              <w:top w:w="0" w:type="dxa"/>
              <w:left w:w="85" w:type="dxa"/>
              <w:bottom w:w="0" w:type="dxa"/>
              <w:right w:w="85" w:type="dxa"/>
            </w:tcMar>
            <w:vAlign w:val="center"/>
          </w:tcPr>
          <w:p w14:paraId="3047AFCD" w14:textId="77777777" w:rsidR="00053418" w:rsidRPr="009E06AA" w:rsidRDefault="00053418" w:rsidP="009A3078">
            <w:pPr>
              <w:pStyle w:val="TableText"/>
              <w:spacing w:before="50" w:after="50"/>
              <w:jc w:val="right"/>
            </w:pPr>
            <w:r w:rsidRPr="009E06AA">
              <w:rPr>
                <w:color w:val="1B556B"/>
              </w:rPr>
              <w:t>4,367</w:t>
            </w:r>
          </w:p>
        </w:tc>
        <w:tc>
          <w:tcPr>
            <w:tcW w:w="708" w:type="dxa"/>
            <w:shd w:val="clear" w:color="auto" w:fill="FFFFFF"/>
            <w:tcMar>
              <w:top w:w="0" w:type="dxa"/>
              <w:left w:w="85" w:type="dxa"/>
              <w:bottom w:w="0" w:type="dxa"/>
              <w:right w:w="85" w:type="dxa"/>
            </w:tcMar>
            <w:vAlign w:val="center"/>
          </w:tcPr>
          <w:p w14:paraId="493025D6" w14:textId="77777777" w:rsidR="00053418" w:rsidRPr="009E06AA" w:rsidRDefault="00053418" w:rsidP="009A3078">
            <w:pPr>
              <w:pStyle w:val="TableText"/>
              <w:spacing w:before="50" w:after="50"/>
              <w:jc w:val="right"/>
            </w:pPr>
            <w:r w:rsidRPr="009E06AA">
              <w:rPr>
                <w:color w:val="1B556B"/>
              </w:rPr>
              <w:t>564</w:t>
            </w:r>
          </w:p>
        </w:tc>
        <w:tc>
          <w:tcPr>
            <w:tcW w:w="709" w:type="dxa"/>
            <w:shd w:val="clear" w:color="auto" w:fill="FFFFFF"/>
            <w:tcMar>
              <w:top w:w="0" w:type="dxa"/>
              <w:left w:w="85" w:type="dxa"/>
              <w:bottom w:w="0" w:type="dxa"/>
              <w:right w:w="85" w:type="dxa"/>
            </w:tcMar>
            <w:vAlign w:val="center"/>
          </w:tcPr>
          <w:p w14:paraId="57285ED4" w14:textId="77777777" w:rsidR="00053418" w:rsidRPr="009E06AA" w:rsidRDefault="00053418" w:rsidP="009A3078">
            <w:pPr>
              <w:pStyle w:val="TableText"/>
              <w:spacing w:before="50" w:after="50"/>
              <w:jc w:val="right"/>
            </w:pPr>
            <w:r w:rsidRPr="009E06AA">
              <w:rPr>
                <w:color w:val="1B556B"/>
              </w:rPr>
              <w:t>609</w:t>
            </w:r>
          </w:p>
        </w:tc>
        <w:tc>
          <w:tcPr>
            <w:tcW w:w="709" w:type="dxa"/>
            <w:shd w:val="clear" w:color="auto" w:fill="FFFFFF"/>
            <w:tcMar>
              <w:top w:w="0" w:type="dxa"/>
              <w:left w:w="85" w:type="dxa"/>
              <w:bottom w:w="0" w:type="dxa"/>
              <w:right w:w="85" w:type="dxa"/>
            </w:tcMar>
            <w:vAlign w:val="center"/>
          </w:tcPr>
          <w:p w14:paraId="42CACDEC" w14:textId="77777777" w:rsidR="00053418" w:rsidRPr="009E06AA" w:rsidRDefault="00053418" w:rsidP="009A3078">
            <w:pPr>
              <w:pStyle w:val="TableText"/>
              <w:spacing w:before="50" w:after="50"/>
              <w:jc w:val="right"/>
            </w:pPr>
            <w:r w:rsidRPr="009E06AA">
              <w:rPr>
                <w:color w:val="1B556B"/>
              </w:rPr>
              <w:t>553</w:t>
            </w:r>
          </w:p>
        </w:tc>
        <w:tc>
          <w:tcPr>
            <w:tcW w:w="709" w:type="dxa"/>
            <w:shd w:val="clear" w:color="auto" w:fill="FFFFFF"/>
            <w:tcMar>
              <w:top w:w="0" w:type="dxa"/>
              <w:left w:w="85" w:type="dxa"/>
              <w:bottom w:w="0" w:type="dxa"/>
              <w:right w:w="85" w:type="dxa"/>
            </w:tcMar>
            <w:vAlign w:val="center"/>
          </w:tcPr>
          <w:p w14:paraId="794AA794" w14:textId="77777777" w:rsidR="00053418" w:rsidRPr="009E06AA" w:rsidRDefault="00053418" w:rsidP="009A3078">
            <w:pPr>
              <w:pStyle w:val="TableText"/>
              <w:spacing w:before="50" w:after="50"/>
              <w:jc w:val="right"/>
            </w:pPr>
            <w:r w:rsidRPr="009E06AA">
              <w:rPr>
                <w:color w:val="1B556B"/>
              </w:rPr>
              <w:t>575</w:t>
            </w:r>
          </w:p>
        </w:tc>
        <w:tc>
          <w:tcPr>
            <w:tcW w:w="704" w:type="dxa"/>
            <w:shd w:val="clear" w:color="auto" w:fill="FFFFFF"/>
            <w:tcMar>
              <w:top w:w="0" w:type="dxa"/>
              <w:left w:w="85" w:type="dxa"/>
              <w:bottom w:w="0" w:type="dxa"/>
              <w:right w:w="85" w:type="dxa"/>
            </w:tcMar>
            <w:vAlign w:val="center"/>
          </w:tcPr>
          <w:p w14:paraId="400BD898" w14:textId="77777777" w:rsidR="00053418" w:rsidRPr="009E06AA" w:rsidRDefault="00053418" w:rsidP="009A3078">
            <w:pPr>
              <w:pStyle w:val="TableText"/>
              <w:spacing w:before="50" w:after="50"/>
              <w:jc w:val="right"/>
            </w:pPr>
            <w:r w:rsidRPr="009E06AA">
              <w:rPr>
                <w:color w:val="1B556B"/>
              </w:rPr>
              <w:t>575</w:t>
            </w:r>
          </w:p>
        </w:tc>
      </w:tr>
    </w:tbl>
    <w:p w14:paraId="6FFEADE1" w14:textId="77777777" w:rsidR="00053418" w:rsidRPr="009E06AA" w:rsidRDefault="00053418" w:rsidP="00053418">
      <w:pPr>
        <w:pStyle w:val="Noteundertable"/>
        <w:ind w:left="0" w:firstLine="0"/>
        <w:rPr>
          <w:rFonts w:ascii="Yu Gothic Light" w:hAnsi="Yu Gothic Light" w:cs="Yu Gothic Light"/>
        </w:rPr>
      </w:pPr>
      <w:r w:rsidRPr="009E06AA">
        <w:rPr>
          <w:b/>
        </w:rPr>
        <w:t>Note</w:t>
      </w:r>
      <w:r w:rsidRPr="009E06AA">
        <w:t>:</w:t>
      </w:r>
      <w:r w:rsidRPr="009E06AA">
        <w:tab/>
        <w:t>P = provisional figure (figures for 2021–22 are provisional). Columns may not total due to rounding. </w:t>
      </w:r>
    </w:p>
    <w:p w14:paraId="18617B37" w14:textId="77777777" w:rsidR="00053418" w:rsidRPr="009E06AA" w:rsidRDefault="00053418" w:rsidP="00053418">
      <w:pPr>
        <w:pStyle w:val="BodyText"/>
      </w:pPr>
      <w:r w:rsidRPr="009E06AA">
        <w:t>Estimates of biomass burning emissions associated with deforestation are provided in section 6.11.8.</w:t>
      </w:r>
    </w:p>
    <w:p w14:paraId="6EC0A4CD" w14:textId="77777777" w:rsidR="00053418" w:rsidRPr="009E06AA" w:rsidRDefault="00053418" w:rsidP="00053418">
      <w:pPr>
        <w:pStyle w:val="BodyText"/>
      </w:pPr>
      <w:r w:rsidRPr="009E06AA">
        <w:t xml:space="preserve">Deforestation emissions are reported in the relevant </w:t>
      </w:r>
      <w:r w:rsidRPr="009E06AA">
        <w:rPr>
          <w:i/>
        </w:rPr>
        <w:t>Land converted to</w:t>
      </w:r>
      <w:r w:rsidRPr="009E06AA">
        <w:t xml:space="preserve"> category, as are all emissions from land-use change. </w:t>
      </w:r>
    </w:p>
    <w:p w14:paraId="6F7F32AC" w14:textId="77777777" w:rsidR="00053418" w:rsidRPr="009E06AA" w:rsidRDefault="00053418" w:rsidP="00053418">
      <w:pPr>
        <w:pStyle w:val="Heading4"/>
      </w:pPr>
      <w:bookmarkStart w:id="1938" w:name="_Hlk73698248"/>
      <w:r w:rsidRPr="009E06AA">
        <w:t>National forest inventory</w:t>
      </w:r>
    </w:p>
    <w:bookmarkEnd w:id="1938"/>
    <w:p w14:paraId="7DC7E764" w14:textId="77777777" w:rsidR="00053418" w:rsidRPr="009E06AA" w:rsidRDefault="00053418" w:rsidP="00053418">
      <w:pPr>
        <w:pStyle w:val="BodyText"/>
      </w:pPr>
      <w:r w:rsidRPr="009E06AA">
        <w:rPr>
          <w:rFonts w:cs="Calibri"/>
        </w:rPr>
        <w:t>New Zealand</w:t>
      </w:r>
      <w:r w:rsidRPr="009E06AA">
        <w:t xml:space="preserve"> has established a sampling framework for forest inventory purposes based on an 8-kilometre national grid system (8 kilometres north–south by 8 kilometres east–west). The grid has a randomly selected origin and provides an unbiased framework for establishing plots for field and/or Light Detection and Ranging (LiDAR) measurements. The network is subdivided into a 4-kilometre grid for measurement of post-1989 forest. Forest monitoring plots are established and measured where a grid point falls in the land use to be sampled. Figure 6.4.5 and figure 6.4.6 show the distribution of </w:t>
      </w:r>
      <w:r w:rsidRPr="009E06AA">
        <w:rPr>
          <w:rFonts w:asciiTheme="minorHAnsi" w:hAnsiTheme="minorHAnsi" w:cstheme="minorHAnsi"/>
        </w:rPr>
        <w:t>carbon monitoring plots for pre-1990 natural and planted forest and post-1989 natural and planted forest throughout New Zealand</w:t>
      </w:r>
      <w:r w:rsidRPr="009E06AA">
        <w:t xml:space="preserve">. A further description of the plot network can be found in annex A5.2.5 ‘National forest inventory’. </w:t>
      </w:r>
    </w:p>
    <w:p w14:paraId="7904F1B8" w14:textId="77777777" w:rsidR="00053418" w:rsidRPr="009E06AA" w:rsidRDefault="00053418" w:rsidP="00053418">
      <w:pPr>
        <w:pStyle w:val="Figure"/>
      </w:pPr>
      <w:bookmarkStart w:id="1939" w:name="_Toc280630494"/>
      <w:bookmarkStart w:id="1940" w:name="_Toc318362753"/>
      <w:bookmarkStart w:id="1941" w:name="_Toc342470833"/>
      <w:bookmarkStart w:id="1942" w:name="_Toc352505161"/>
      <w:bookmarkStart w:id="1943" w:name="_Toc373395721"/>
      <w:bookmarkStart w:id="1944" w:name="_Toc378853344"/>
      <w:bookmarkStart w:id="1945" w:name="_Toc405448094"/>
      <w:bookmarkStart w:id="1946" w:name="_Toc414531626"/>
      <w:bookmarkStart w:id="1947" w:name="_Toc474914650"/>
      <w:bookmarkStart w:id="1948" w:name="_Toc481752032"/>
      <w:bookmarkStart w:id="1949" w:name="_Toc522010710"/>
      <w:bookmarkStart w:id="1950" w:name="_Toc5269712"/>
      <w:bookmarkStart w:id="1951" w:name="_Toc33529485"/>
      <w:bookmarkStart w:id="1952" w:name="_Toc36292815"/>
      <w:bookmarkStart w:id="1953" w:name="_Toc131591574"/>
      <w:bookmarkStart w:id="1954" w:name="_Toc158979914"/>
      <w:bookmarkStart w:id="1955" w:name="_Toc164154042"/>
      <w:r w:rsidRPr="009E06AA">
        <w:t>Figure 6.4.5</w:t>
      </w:r>
      <w:r w:rsidRPr="009E06AA">
        <w:tab/>
        <w:t>Location of New Zealand’s pre-1990 forest carbon monitoring plots</w:t>
      </w:r>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p>
    <w:p w14:paraId="4DBA0C90" w14:textId="77777777" w:rsidR="00053418" w:rsidRPr="009E06AA" w:rsidRDefault="00053418" w:rsidP="00053418">
      <w:pPr>
        <w:pStyle w:val="BodyText"/>
      </w:pPr>
      <w:r w:rsidRPr="009E06AA">
        <w:rPr>
          <w:noProof/>
        </w:rPr>
        <w:drawing>
          <wp:inline distT="0" distB="0" distL="0" distR="0" wp14:anchorId="2F9B40A5" wp14:editId="398C9D4F">
            <wp:extent cx="5400000" cy="7788321"/>
            <wp:effectExtent l="0" t="0" r="0" b="3175"/>
            <wp:docPr id="120" name="Picture 12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Map&#10;&#10;Description automatically generated"/>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a:stretch/>
                  </pic:blipFill>
                  <pic:spPr bwMode="auto">
                    <a:xfrm>
                      <a:off x="0" y="0"/>
                      <a:ext cx="5400000" cy="7788321"/>
                    </a:xfrm>
                    <a:prstGeom prst="rect">
                      <a:avLst/>
                    </a:prstGeom>
                    <a:noFill/>
                    <a:ln>
                      <a:noFill/>
                    </a:ln>
                    <a:extLst>
                      <a:ext uri="{53640926-AAD7-44D8-BBD7-CCE9431645EC}">
                        <a14:shadowObscured xmlns:a14="http://schemas.microsoft.com/office/drawing/2010/main"/>
                      </a:ext>
                    </a:extLst>
                  </pic:spPr>
                </pic:pic>
              </a:graphicData>
            </a:graphic>
          </wp:inline>
        </w:drawing>
      </w:r>
    </w:p>
    <w:p w14:paraId="7580DFBA" w14:textId="77777777" w:rsidR="00053418" w:rsidRPr="009E06AA" w:rsidRDefault="00053418" w:rsidP="00053418">
      <w:pPr>
        <w:pStyle w:val="Figure"/>
      </w:pPr>
      <w:bookmarkStart w:id="1956" w:name="_Toc33529486"/>
      <w:bookmarkStart w:id="1957" w:name="_Toc36292816"/>
      <w:bookmarkStart w:id="1958" w:name="_Toc131591575"/>
      <w:bookmarkStart w:id="1959" w:name="_Toc158979915"/>
      <w:bookmarkStart w:id="1960" w:name="_Toc164154043"/>
      <w:bookmarkStart w:id="1961" w:name="_Toc255466332"/>
      <w:bookmarkStart w:id="1962" w:name="_Toc261513139"/>
      <w:bookmarkStart w:id="1963" w:name="_Toc261513752"/>
      <w:bookmarkStart w:id="1964" w:name="_Toc280630248"/>
      <w:r w:rsidRPr="009E06AA">
        <w:t>Figure 6.4.6</w:t>
      </w:r>
      <w:r w:rsidRPr="009E06AA">
        <w:tab/>
        <w:t>Location of New Zealand’s post-1989 forest plots</w:t>
      </w:r>
      <w:bookmarkEnd w:id="1956"/>
      <w:bookmarkEnd w:id="1957"/>
      <w:bookmarkEnd w:id="1958"/>
      <w:bookmarkEnd w:id="1959"/>
      <w:bookmarkEnd w:id="1960"/>
    </w:p>
    <w:p w14:paraId="6C13E697" w14:textId="77777777" w:rsidR="00053418" w:rsidRPr="009E06AA" w:rsidRDefault="00053418" w:rsidP="00053418">
      <w:pPr>
        <w:pStyle w:val="BodyText"/>
      </w:pPr>
      <w:r w:rsidRPr="009E06AA">
        <w:rPr>
          <w:noProof/>
        </w:rPr>
        <w:drawing>
          <wp:inline distT="0" distB="0" distL="0" distR="0" wp14:anchorId="47C3341E" wp14:editId="2EF2F423">
            <wp:extent cx="5399405" cy="7723301"/>
            <wp:effectExtent l="0" t="0" r="0" b="0"/>
            <wp:docPr id="121" name="Picture 12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Map&#10;&#10;Description automatically generated"/>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a:stretch/>
                  </pic:blipFill>
                  <pic:spPr bwMode="auto">
                    <a:xfrm>
                      <a:off x="0" y="0"/>
                      <a:ext cx="5400000" cy="7724152"/>
                    </a:xfrm>
                    <a:prstGeom prst="rect">
                      <a:avLst/>
                    </a:prstGeom>
                    <a:noFill/>
                    <a:ln>
                      <a:noFill/>
                    </a:ln>
                    <a:extLst>
                      <a:ext uri="{53640926-AAD7-44D8-BBD7-CCE9431645EC}">
                        <a14:shadowObscured xmlns:a14="http://schemas.microsoft.com/office/drawing/2010/main"/>
                      </a:ext>
                    </a:extLst>
                  </pic:spPr>
                </pic:pic>
              </a:graphicData>
            </a:graphic>
          </wp:inline>
        </w:drawing>
      </w:r>
    </w:p>
    <w:p w14:paraId="52823128" w14:textId="77777777" w:rsidR="00053418" w:rsidRPr="009E06AA" w:rsidRDefault="00053418" w:rsidP="00053418">
      <w:pPr>
        <w:pStyle w:val="Heading4"/>
      </w:pPr>
      <w:bookmarkStart w:id="1965" w:name="_Toc255466331"/>
      <w:bookmarkStart w:id="1966" w:name="_Toc261513138"/>
      <w:bookmarkStart w:id="1967" w:name="_Toc261513751"/>
      <w:bookmarkStart w:id="1968" w:name="_Toc280630247"/>
      <w:bookmarkEnd w:id="1961"/>
      <w:bookmarkEnd w:id="1962"/>
      <w:bookmarkEnd w:id="1963"/>
      <w:bookmarkEnd w:id="1964"/>
      <w:r w:rsidRPr="009E06AA">
        <w:t>Forest land remaining forest land</w:t>
      </w:r>
      <w:bookmarkEnd w:id="1965"/>
      <w:bookmarkEnd w:id="1966"/>
      <w:bookmarkEnd w:id="1967"/>
      <w:bookmarkEnd w:id="1968"/>
      <w:r w:rsidRPr="009E06AA">
        <w:t xml:space="preserve"> (4.A.1)</w:t>
      </w:r>
    </w:p>
    <w:p w14:paraId="67A4A093" w14:textId="77777777" w:rsidR="00053418" w:rsidRPr="009E06AA" w:rsidRDefault="00053418" w:rsidP="00BF2A76">
      <w:pPr>
        <w:pStyle w:val="Heading5"/>
      </w:pPr>
      <w:r w:rsidRPr="009E06AA">
        <w:t>Living biomass and dead organic matter</w:t>
      </w:r>
    </w:p>
    <w:p w14:paraId="31B10776" w14:textId="77777777" w:rsidR="00053418" w:rsidRPr="009E06AA" w:rsidRDefault="00053418" w:rsidP="00053418">
      <w:pPr>
        <w:pStyle w:val="BodyText"/>
      </w:pPr>
      <w:r w:rsidRPr="009E06AA">
        <w:t>Emissions and removals for the living biomass and dead organic matter pools have been calculated using Tier 2 and Tier 3 methods. At each forest plot, data are collected to calculate the volumes of trees, shrubs and dead organic matter present. These measurements are then used to estimate the carbon stocks for the biomass pools of:</w:t>
      </w:r>
    </w:p>
    <w:p w14:paraId="6F780E75" w14:textId="77777777" w:rsidR="00053418" w:rsidRPr="009E06AA" w:rsidRDefault="00053418" w:rsidP="00053418">
      <w:pPr>
        <w:pStyle w:val="Bullet"/>
        <w:numPr>
          <w:ilvl w:val="0"/>
          <w:numId w:val="29"/>
        </w:numPr>
        <w:ind w:left="397" w:hanging="397"/>
      </w:pPr>
      <w:r w:rsidRPr="009E06AA">
        <w:t>living biomass (comprising above-ground biomass and below-ground biomass)</w:t>
      </w:r>
    </w:p>
    <w:p w14:paraId="6BCFA17A" w14:textId="77777777" w:rsidR="00053418" w:rsidRPr="009E06AA" w:rsidRDefault="00053418" w:rsidP="00053418">
      <w:pPr>
        <w:pStyle w:val="Bullet"/>
        <w:numPr>
          <w:ilvl w:val="0"/>
          <w:numId w:val="29"/>
        </w:numPr>
        <w:ind w:left="397" w:hanging="397"/>
      </w:pPr>
      <w:r w:rsidRPr="009E06AA">
        <w:t>dead organic matter (comprising dead wood and litter).</w:t>
      </w:r>
    </w:p>
    <w:p w14:paraId="1772B2A5" w14:textId="77777777" w:rsidR="00053418" w:rsidRPr="009E06AA" w:rsidRDefault="00053418" w:rsidP="00053418">
      <w:pPr>
        <w:pStyle w:val="BodyText"/>
      </w:pPr>
      <w:r w:rsidRPr="009E06AA">
        <w:t xml:space="preserve">The method used to calculate the carbon stock in each biomass pool from the information collected at each plot, for each forest classification, is summarised in table 6.4.8. </w:t>
      </w:r>
    </w:p>
    <w:p w14:paraId="263C1805" w14:textId="77777777" w:rsidR="00053418" w:rsidRPr="009E06AA" w:rsidRDefault="00053418" w:rsidP="00053418">
      <w:pPr>
        <w:pStyle w:val="BodyText"/>
      </w:pPr>
      <w:r w:rsidRPr="009E06AA">
        <w:t>Carbon stocks in natural forest are estimated directly from the inventory plots. Further detail on methods can be found in annex A5.2.5 ‘National forest inventory’.</w:t>
      </w:r>
    </w:p>
    <w:p w14:paraId="6A723482" w14:textId="77777777" w:rsidR="00053418" w:rsidRPr="009E06AA" w:rsidRDefault="00053418" w:rsidP="00053418">
      <w:pPr>
        <w:pStyle w:val="BodyText"/>
        <w:rPr>
          <w:rFonts w:eastAsia="Segoe UI" w:hAnsi="Segoe UI" w:cs="Segoe UI"/>
        </w:rPr>
      </w:pPr>
      <w:r w:rsidRPr="009E06AA">
        <w:t xml:space="preserve">The carbon stocks for pre-1990 and post-1989 planted forest are calculated from yield tables </w:t>
      </w:r>
      <w:r w:rsidRPr="009E06AA">
        <w:rPr>
          <w:spacing w:val="-2"/>
        </w:rPr>
        <w:t xml:space="preserve">derived from the inventory plots, </w:t>
      </w:r>
      <w:r w:rsidRPr="009E06AA">
        <w:rPr>
          <w:rFonts w:eastAsia="Segoe UI" w:cs="Segoe UI"/>
          <w:spacing w:val="-2"/>
        </w:rPr>
        <w:t>which are then applied to an estimated age-class distribution</w:t>
      </w:r>
      <w:r w:rsidRPr="009E06AA">
        <w:rPr>
          <w:rFonts w:eastAsia="Segoe UI" w:hAnsi="Segoe UI" w:cs="Segoe UI"/>
        </w:rPr>
        <w:t>.</w:t>
      </w:r>
      <w:r w:rsidRPr="009E06AA">
        <w:t xml:space="preserve"> </w:t>
      </w:r>
      <w:r w:rsidRPr="009E06AA">
        <w:rPr>
          <w:rFonts w:eastAsia="Segoe UI" w:hAnsi="Segoe UI" w:cs="Segoe UI"/>
        </w:rPr>
        <w:t xml:space="preserve">The yield tables are based on plots measured in 2021 and 2022 combined with all other plots measured since 2007, which are created using interpolation for multiple measurements (Paul et al., unpublished (a)). </w:t>
      </w:r>
    </w:p>
    <w:p w14:paraId="3A553E03" w14:textId="77777777" w:rsidR="00053418" w:rsidRPr="009E06AA" w:rsidRDefault="00053418" w:rsidP="00053418">
      <w:pPr>
        <w:pStyle w:val="BodyText"/>
        <w:rPr>
          <w:rFonts w:eastAsia="Segoe UI" w:hAnsi="Segoe UI" w:cs="Segoe UI"/>
        </w:rPr>
      </w:pPr>
      <w:r w:rsidRPr="009E06AA">
        <w:rPr>
          <w:rFonts w:eastAsia="Segoe UI" w:hAnsi="Segoe UI" w:cs="Segoe UI"/>
        </w:rPr>
        <w:t xml:space="preserve">A single yield table is applied to the post-1989 planted forest estate and two period-specific yield tables are applied to the pre-1990 planted forest estate based on plant date: pre-1990 forest planted before 1990 and pre-1990 forest planted from 1990 onwards. </w:t>
      </w:r>
    </w:p>
    <w:p w14:paraId="7338CA4F" w14:textId="329790D7" w:rsidR="00053418" w:rsidRPr="009E06AA" w:rsidRDefault="00053418" w:rsidP="00053418">
      <w:pPr>
        <w:pStyle w:val="BodyText"/>
        <w:spacing w:before="100" w:after="100"/>
      </w:pPr>
      <w:r w:rsidRPr="009E06AA">
        <w:t>The use of period-specific yield tables allows for a more accurate estimate of carbon stock gains and losses from planted forests through time. The planted forest y</w:t>
      </w:r>
      <w:r w:rsidRPr="009E06AA">
        <w:rPr>
          <w:rFonts w:cs="Arial"/>
          <w:bCs/>
        </w:rPr>
        <w:t xml:space="preserve">ield tables (presented in annex A.5.2.5 </w:t>
      </w:r>
      <w:r w:rsidRPr="009E06AA">
        <w:t>‘</w:t>
      </w:r>
      <w:r w:rsidRPr="009E06AA">
        <w:rPr>
          <w:rFonts w:cs="Arial"/>
          <w:bCs/>
        </w:rPr>
        <w:t>Planted forest yield tables</w:t>
      </w:r>
      <w:r w:rsidRPr="009E06AA">
        <w:t>’</w:t>
      </w:r>
      <w:r w:rsidRPr="009E06AA">
        <w:rPr>
          <w:rFonts w:cs="Arial"/>
          <w:bCs/>
        </w:rPr>
        <w:t>) show that pre-1990 planted forests planted after 1990 have a higher total biomass yield than post-1989 planted forests in most ages. Partly, this</w:t>
      </w:r>
      <w:r w:rsidR="00554A58" w:rsidRPr="009E06AA">
        <w:rPr>
          <w:rFonts w:cs="Arial"/>
          <w:bCs/>
        </w:rPr>
        <w:t> </w:t>
      </w:r>
      <w:r w:rsidRPr="009E06AA">
        <w:rPr>
          <w:rFonts w:cs="Arial"/>
          <w:bCs/>
        </w:rPr>
        <w:t>is the result of the different age-class distributions in those two forest classes. In general, re</w:t>
      </w:r>
      <w:r w:rsidRPr="009E06AA">
        <w:rPr>
          <w:rFonts w:cs="Arial"/>
          <w:bCs/>
        </w:rPr>
        <w:noBreakHyphen/>
        <w:t xml:space="preserve">planted pre-1990 forests with younger trees show greater productivity (fast early growth), which is partly due to genetic improvements in stock planted more recently relative to stock planted more than 20 years ago. These younger stands have often not yet been thinned to their final stocking, which also affects their carbon stock and sequestration trajectory. In </w:t>
      </w:r>
      <w:r w:rsidRPr="009E06AA">
        <w:rPr>
          <w:rFonts w:cs="Arial"/>
          <w:bCs/>
          <w:spacing w:val="-2"/>
        </w:rPr>
        <w:t>addition, plots with slower growing tree species, such as Douglas fir, cypresses, coastal redwood</w:t>
      </w:r>
      <w:r w:rsidRPr="009E06AA">
        <w:rPr>
          <w:rFonts w:cs="Arial"/>
          <w:bCs/>
        </w:rPr>
        <w:t xml:space="preserve"> and </w:t>
      </w:r>
      <w:r w:rsidRPr="009E06AA" w:rsidDel="00237BDE">
        <w:rPr>
          <w:rFonts w:cs="Arial"/>
          <w:bCs/>
        </w:rPr>
        <w:t xml:space="preserve">slower growing </w:t>
      </w:r>
      <w:r w:rsidRPr="009E06AA">
        <w:rPr>
          <w:rFonts w:cs="Arial"/>
          <w:bCs/>
        </w:rPr>
        <w:t>eucalyptus</w:t>
      </w:r>
      <w:r w:rsidRPr="009E06AA" w:rsidDel="00237BDE">
        <w:rPr>
          <w:rFonts w:cs="Arial"/>
          <w:bCs/>
        </w:rPr>
        <w:t xml:space="preserve"> species</w:t>
      </w:r>
      <w:r w:rsidRPr="009E06AA">
        <w:rPr>
          <w:rFonts w:cs="Arial"/>
          <w:bCs/>
        </w:rPr>
        <w:t xml:space="preserve"> are now an increasing part of the post-1989 estate, reducing the overall sequestration rate for this forest type. Less productive species are likely to</w:t>
      </w:r>
      <w:r w:rsidR="00CA334E" w:rsidRPr="009E06AA">
        <w:rPr>
          <w:rFonts w:cs="Arial"/>
          <w:bCs/>
        </w:rPr>
        <w:t> </w:t>
      </w:r>
      <w:r w:rsidRPr="009E06AA">
        <w:rPr>
          <w:rFonts w:cs="Arial"/>
          <w:bCs/>
        </w:rPr>
        <w:t>be managed on longer rotations, and this can result in older age classes being dominated by relatively slow growing plots, lowering the combined species yield trajectory.</w:t>
      </w:r>
      <w:r w:rsidRPr="009E06AA">
        <w:t xml:space="preserve"> In contrast, if a single-period yield table for all years was used for pre-1990 planted forest, the 1990 base year estimate would keep shifting due to the influence of more recently established plots. </w:t>
      </w:r>
    </w:p>
    <w:p w14:paraId="64B63501" w14:textId="77777777" w:rsidR="00053418" w:rsidRPr="009E06AA" w:rsidRDefault="00053418" w:rsidP="00053418">
      <w:pPr>
        <w:pStyle w:val="BodyText"/>
      </w:pPr>
      <w:r w:rsidRPr="009E06AA">
        <w:t xml:space="preserve">Where there has been a land-use change between natural forest and planted forest, the associated carbon changes are reported under </w:t>
      </w:r>
      <w:r w:rsidRPr="009E06AA">
        <w:rPr>
          <w:i/>
        </w:rPr>
        <w:t>Forest land remaining forest land</w:t>
      </w:r>
      <w:r w:rsidRPr="009E06AA">
        <w:rPr>
          <w:iCs/>
        </w:rPr>
        <w:t xml:space="preserve">, </w:t>
      </w:r>
      <w:r w:rsidRPr="009E06AA">
        <w:t xml:space="preserve">provided the forest has already been established for 20 years. </w:t>
      </w:r>
    </w:p>
    <w:p w14:paraId="3D1C4E64" w14:textId="77777777" w:rsidR="00053418" w:rsidRPr="009E06AA" w:rsidRDefault="00053418" w:rsidP="00053418">
      <w:pPr>
        <w:pStyle w:val="BodyText"/>
      </w:pPr>
      <w:r w:rsidRPr="009E06AA">
        <w:t xml:space="preserve">Where pre-1990 forest has undergone a deforestation event, changed to a different land use (such as </w:t>
      </w:r>
      <w:r w:rsidRPr="009E06AA">
        <w:rPr>
          <w:i/>
          <w:iCs/>
        </w:rPr>
        <w:t>Grassland</w:t>
      </w:r>
      <w:r w:rsidRPr="009E06AA">
        <w:t xml:space="preserve">), and then subsequently undergone another land-use change back to </w:t>
      </w:r>
      <w:r w:rsidRPr="009E06AA">
        <w:rPr>
          <w:i/>
          <w:iCs/>
        </w:rPr>
        <w:t>Forest land</w:t>
      </w:r>
      <w:r w:rsidRPr="009E06AA">
        <w:t xml:space="preserve">, the land use will be classified as pre-1990 forest. This is in line with the category definitions outlined in table 6.2.2. </w:t>
      </w:r>
    </w:p>
    <w:p w14:paraId="01F822CE" w14:textId="77777777" w:rsidR="00053418" w:rsidRPr="009E06AA" w:rsidRDefault="00053418" w:rsidP="00053418">
      <w:pPr>
        <w:pStyle w:val="BodyText"/>
      </w:pPr>
      <w:r w:rsidRPr="009E06AA">
        <w:t xml:space="preserve">Detailed methodology on the plot network, sampling methods and yield table derivation, as well as validation of the yield tables with the measured plot data, can be found in annexes A5.2.5 ‘National forest inventory’ and A5.2.5 ‘Forest land model validations’. </w:t>
      </w:r>
    </w:p>
    <w:p w14:paraId="275BEF76" w14:textId="77777777" w:rsidR="00053418" w:rsidRPr="009E06AA" w:rsidRDefault="00053418" w:rsidP="00053418">
      <w:pPr>
        <w:pStyle w:val="Table"/>
      </w:pPr>
      <w:bookmarkStart w:id="1969" w:name="_Toc280630456"/>
      <w:bookmarkStart w:id="1970" w:name="_Toc310423408"/>
      <w:bookmarkStart w:id="1971" w:name="_Toc318362701"/>
      <w:bookmarkStart w:id="1972" w:name="_Toc342470763"/>
      <w:bookmarkStart w:id="1973" w:name="_Toc352505003"/>
      <w:bookmarkStart w:id="1974" w:name="_Toc373395728"/>
      <w:bookmarkStart w:id="1975" w:name="_Toc378853294"/>
      <w:bookmarkStart w:id="1976" w:name="_Toc391024092"/>
      <w:bookmarkStart w:id="1977" w:name="_Toc410028835"/>
      <w:bookmarkStart w:id="1978" w:name="_Toc414531463"/>
      <w:bookmarkStart w:id="1979" w:name="_Toc443645376"/>
      <w:bookmarkStart w:id="1980" w:name="_Toc474914595"/>
      <w:bookmarkStart w:id="1981" w:name="_Toc481751559"/>
      <w:bookmarkStart w:id="1982" w:name="_Toc522010616"/>
      <w:bookmarkStart w:id="1983" w:name="_Toc5269521"/>
      <w:bookmarkStart w:id="1984" w:name="_Toc131591398"/>
      <w:bookmarkStart w:id="1985" w:name="_Toc158979956"/>
      <w:bookmarkStart w:id="1986" w:name="_Toc164153889"/>
      <w:r w:rsidRPr="009E06AA">
        <w:t>Table 6.4.8</w:t>
      </w:r>
      <w:r w:rsidRPr="009E06AA">
        <w:tab/>
        <w:t>Summary of methods used to calculate New Zealand’s forest biomass</w:t>
      </w:r>
      <w:r w:rsidRPr="009E06AA">
        <w:br/>
        <w:t>carbon stock from plot data</w:t>
      </w:r>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p>
    <w:tbl>
      <w:tblPr>
        <w:tblW w:w="8505" w:type="dxa"/>
        <w:tblBorders>
          <w:top w:val="single" w:sz="4" w:space="0" w:color="1B556B"/>
          <w:bottom w:val="single" w:sz="4" w:space="0" w:color="1B556B"/>
          <w:right w:val="single" w:sz="4" w:space="0" w:color="1B556B"/>
          <w:insideH w:val="single" w:sz="4" w:space="0" w:color="1B556B"/>
          <w:insideV w:val="single" w:sz="4" w:space="0" w:color="1B556B"/>
        </w:tblBorders>
        <w:tblLayout w:type="fixed"/>
        <w:tblCellMar>
          <w:left w:w="85" w:type="dxa"/>
          <w:right w:w="85" w:type="dxa"/>
        </w:tblCellMar>
        <w:tblLook w:val="04A0" w:firstRow="1" w:lastRow="0" w:firstColumn="1" w:lastColumn="0" w:noHBand="0" w:noVBand="1"/>
      </w:tblPr>
      <w:tblGrid>
        <w:gridCol w:w="1419"/>
        <w:gridCol w:w="1276"/>
        <w:gridCol w:w="1716"/>
        <w:gridCol w:w="2369"/>
        <w:gridCol w:w="1725"/>
      </w:tblGrid>
      <w:tr w:rsidR="00053418" w:rsidRPr="009E06AA" w14:paraId="12ABA364" w14:textId="77777777" w:rsidTr="00B55F24">
        <w:trPr>
          <w:tblHeader/>
        </w:trPr>
        <w:tc>
          <w:tcPr>
            <w:tcW w:w="834" w:type="pct"/>
            <w:tcBorders>
              <w:right w:val="nil"/>
            </w:tcBorders>
            <w:shd w:val="clear" w:color="auto" w:fill="1B556B"/>
          </w:tcPr>
          <w:p w14:paraId="0CFE454F" w14:textId="77777777" w:rsidR="00053418" w:rsidRPr="009E06AA" w:rsidRDefault="00053418" w:rsidP="00B55F24">
            <w:pPr>
              <w:pStyle w:val="TableTextBold"/>
              <w:rPr>
                <w:noProof w:val="0"/>
                <w:color w:val="FFFFFF"/>
              </w:rPr>
            </w:pPr>
          </w:p>
        </w:tc>
        <w:tc>
          <w:tcPr>
            <w:tcW w:w="1759" w:type="pct"/>
            <w:gridSpan w:val="2"/>
            <w:tcBorders>
              <w:left w:val="nil"/>
              <w:bottom w:val="single" w:sz="4" w:space="0" w:color="1B556B"/>
              <w:right w:val="nil"/>
            </w:tcBorders>
            <w:shd w:val="clear" w:color="auto" w:fill="1B556B"/>
          </w:tcPr>
          <w:p w14:paraId="11B59E1A" w14:textId="77777777" w:rsidR="00053418" w:rsidRPr="009E06AA" w:rsidRDefault="00053418" w:rsidP="00B55F24">
            <w:pPr>
              <w:pStyle w:val="TableTextBold"/>
              <w:rPr>
                <w:noProof w:val="0"/>
                <w:color w:val="FFFFFF"/>
              </w:rPr>
            </w:pPr>
            <w:r w:rsidRPr="009E06AA">
              <w:rPr>
                <w:noProof w:val="0"/>
                <w:color w:val="FFFFFF"/>
              </w:rPr>
              <w:t>Pool</w:t>
            </w:r>
          </w:p>
        </w:tc>
        <w:tc>
          <w:tcPr>
            <w:tcW w:w="1393" w:type="pct"/>
            <w:tcBorders>
              <w:left w:val="nil"/>
              <w:bottom w:val="single" w:sz="4" w:space="0" w:color="1B556B"/>
              <w:right w:val="nil"/>
            </w:tcBorders>
            <w:shd w:val="clear" w:color="auto" w:fill="1B556B"/>
          </w:tcPr>
          <w:p w14:paraId="7F7EF9F9" w14:textId="77777777" w:rsidR="00053418" w:rsidRPr="009E06AA" w:rsidRDefault="00053418" w:rsidP="00B55F24">
            <w:pPr>
              <w:pStyle w:val="TableTextBold"/>
              <w:rPr>
                <w:noProof w:val="0"/>
                <w:color w:val="FFFFFF"/>
              </w:rPr>
            </w:pPr>
            <w:r w:rsidRPr="009E06AA">
              <w:rPr>
                <w:noProof w:val="0"/>
                <w:color w:val="FFFFFF"/>
              </w:rPr>
              <w:t>Method</w:t>
            </w:r>
          </w:p>
        </w:tc>
        <w:tc>
          <w:tcPr>
            <w:tcW w:w="1014" w:type="pct"/>
            <w:tcBorders>
              <w:left w:val="nil"/>
              <w:bottom w:val="single" w:sz="4" w:space="0" w:color="1B556B"/>
              <w:right w:val="nil"/>
            </w:tcBorders>
            <w:shd w:val="clear" w:color="auto" w:fill="1B556B"/>
          </w:tcPr>
          <w:p w14:paraId="4548BDF1" w14:textId="77777777" w:rsidR="00053418" w:rsidRPr="009E06AA" w:rsidRDefault="00053418" w:rsidP="00B55F24">
            <w:pPr>
              <w:pStyle w:val="TableTextBold"/>
              <w:rPr>
                <w:noProof w:val="0"/>
                <w:color w:val="FFFFFF"/>
              </w:rPr>
            </w:pPr>
            <w:r w:rsidRPr="009E06AA">
              <w:rPr>
                <w:noProof w:val="0"/>
                <w:color w:val="FFFFFF"/>
              </w:rPr>
              <w:t>Source</w:t>
            </w:r>
          </w:p>
        </w:tc>
      </w:tr>
      <w:tr w:rsidR="00053418" w:rsidRPr="009E06AA" w14:paraId="3018F831" w14:textId="77777777" w:rsidTr="00B55F24">
        <w:tc>
          <w:tcPr>
            <w:tcW w:w="834" w:type="pct"/>
            <w:vMerge w:val="restart"/>
            <w:tcBorders>
              <w:right w:val="nil"/>
            </w:tcBorders>
          </w:tcPr>
          <w:p w14:paraId="5DA7E8D3" w14:textId="77777777" w:rsidR="00053418" w:rsidRPr="009E06AA" w:rsidRDefault="00053418" w:rsidP="00B55F24">
            <w:pPr>
              <w:pStyle w:val="TableText"/>
              <w:rPr>
                <w:b/>
              </w:rPr>
            </w:pPr>
            <w:r w:rsidRPr="009E06AA">
              <w:rPr>
                <w:b/>
              </w:rPr>
              <w:t>Pre-1990 natural forest</w:t>
            </w:r>
          </w:p>
        </w:tc>
        <w:tc>
          <w:tcPr>
            <w:tcW w:w="750" w:type="pct"/>
            <w:vMerge w:val="restart"/>
            <w:tcBorders>
              <w:left w:val="nil"/>
              <w:right w:val="nil"/>
            </w:tcBorders>
          </w:tcPr>
          <w:p w14:paraId="0D9BDB05" w14:textId="77777777" w:rsidR="00053418" w:rsidRPr="009E06AA" w:rsidRDefault="00053418" w:rsidP="00B55F24">
            <w:pPr>
              <w:pStyle w:val="TableText"/>
              <w:rPr>
                <w:b/>
              </w:rPr>
            </w:pPr>
            <w:r w:rsidRPr="009E06AA">
              <w:rPr>
                <w:b/>
              </w:rPr>
              <w:t>Living biomass</w:t>
            </w:r>
          </w:p>
        </w:tc>
        <w:tc>
          <w:tcPr>
            <w:tcW w:w="1009" w:type="pct"/>
            <w:tcBorders>
              <w:left w:val="nil"/>
              <w:bottom w:val="nil"/>
              <w:right w:val="nil"/>
            </w:tcBorders>
          </w:tcPr>
          <w:p w14:paraId="2F2E05AA" w14:textId="77777777" w:rsidR="00053418" w:rsidRPr="009E06AA" w:rsidRDefault="00053418" w:rsidP="00B55F24">
            <w:pPr>
              <w:pStyle w:val="TableText"/>
            </w:pPr>
            <w:r w:rsidRPr="009E06AA">
              <w:t>Above-ground biomass</w:t>
            </w:r>
          </w:p>
        </w:tc>
        <w:tc>
          <w:tcPr>
            <w:tcW w:w="1393" w:type="pct"/>
            <w:tcBorders>
              <w:left w:val="nil"/>
              <w:bottom w:val="nil"/>
              <w:right w:val="nil"/>
            </w:tcBorders>
          </w:tcPr>
          <w:p w14:paraId="139C231A" w14:textId="77777777" w:rsidR="00053418" w:rsidRPr="009E06AA" w:rsidRDefault="00053418" w:rsidP="00B55F24">
            <w:pPr>
              <w:pStyle w:val="TableText"/>
            </w:pPr>
            <w:r w:rsidRPr="009E06AA">
              <w:t>Plot measurements; allometric equations</w:t>
            </w:r>
          </w:p>
        </w:tc>
        <w:tc>
          <w:tcPr>
            <w:tcW w:w="1014" w:type="pct"/>
            <w:tcBorders>
              <w:left w:val="nil"/>
              <w:bottom w:val="nil"/>
              <w:right w:val="nil"/>
            </w:tcBorders>
          </w:tcPr>
          <w:p w14:paraId="67FB55D7" w14:textId="77777777" w:rsidR="00053418" w:rsidRPr="009E06AA" w:rsidRDefault="00053418" w:rsidP="00B55F24">
            <w:pPr>
              <w:pStyle w:val="TableText"/>
            </w:pPr>
            <w:r w:rsidRPr="009E06AA">
              <w:t>Paul et al. (2021)</w:t>
            </w:r>
          </w:p>
        </w:tc>
      </w:tr>
      <w:tr w:rsidR="00053418" w:rsidRPr="009E06AA" w14:paraId="5B0DECB0" w14:textId="77777777" w:rsidTr="00B55F24">
        <w:tc>
          <w:tcPr>
            <w:tcW w:w="834" w:type="pct"/>
            <w:vMerge/>
            <w:tcBorders>
              <w:right w:val="nil"/>
            </w:tcBorders>
          </w:tcPr>
          <w:p w14:paraId="48F63688" w14:textId="77777777" w:rsidR="00053418" w:rsidRPr="009E06AA" w:rsidRDefault="00053418" w:rsidP="00B55F24">
            <w:pPr>
              <w:pStyle w:val="TableText"/>
              <w:rPr>
                <w:b/>
              </w:rPr>
            </w:pPr>
          </w:p>
        </w:tc>
        <w:tc>
          <w:tcPr>
            <w:tcW w:w="750" w:type="pct"/>
            <w:vMerge/>
            <w:tcBorders>
              <w:left w:val="nil"/>
              <w:right w:val="nil"/>
            </w:tcBorders>
          </w:tcPr>
          <w:p w14:paraId="2896EB3B" w14:textId="77777777" w:rsidR="00053418" w:rsidRPr="009E06AA" w:rsidRDefault="00053418" w:rsidP="00B55F24">
            <w:pPr>
              <w:pStyle w:val="TableText"/>
              <w:rPr>
                <w:b/>
              </w:rPr>
            </w:pPr>
          </w:p>
        </w:tc>
        <w:tc>
          <w:tcPr>
            <w:tcW w:w="1009" w:type="pct"/>
            <w:tcBorders>
              <w:top w:val="nil"/>
              <w:left w:val="nil"/>
              <w:right w:val="nil"/>
            </w:tcBorders>
          </w:tcPr>
          <w:p w14:paraId="40CAF885" w14:textId="77777777" w:rsidR="00053418" w:rsidRPr="009E06AA" w:rsidRDefault="00053418" w:rsidP="00B55F24">
            <w:pPr>
              <w:pStyle w:val="TableText"/>
              <w:spacing w:before="20"/>
            </w:pPr>
            <w:r w:rsidRPr="009E06AA">
              <w:t>Below-ground biomass</w:t>
            </w:r>
          </w:p>
        </w:tc>
        <w:tc>
          <w:tcPr>
            <w:tcW w:w="1393" w:type="pct"/>
            <w:tcBorders>
              <w:top w:val="nil"/>
              <w:left w:val="nil"/>
              <w:right w:val="nil"/>
            </w:tcBorders>
          </w:tcPr>
          <w:p w14:paraId="45ACE819" w14:textId="77777777" w:rsidR="00053418" w:rsidRPr="009E06AA" w:rsidRDefault="00053418" w:rsidP="00B55F24">
            <w:pPr>
              <w:pStyle w:val="TableText"/>
              <w:spacing w:before="20"/>
            </w:pPr>
            <w:r w:rsidRPr="009E06AA">
              <w:t xml:space="preserve">Estimated as the ratio of below-ground biomass to above-ground biomass </w:t>
            </w:r>
          </w:p>
        </w:tc>
        <w:tc>
          <w:tcPr>
            <w:tcW w:w="1014" w:type="pct"/>
            <w:tcBorders>
              <w:top w:val="nil"/>
              <w:left w:val="nil"/>
              <w:right w:val="nil"/>
            </w:tcBorders>
          </w:tcPr>
          <w:p w14:paraId="1550E27F" w14:textId="77777777" w:rsidR="00053418" w:rsidRPr="009E06AA" w:rsidRDefault="00053418" w:rsidP="00B55F24">
            <w:pPr>
              <w:pStyle w:val="TableText"/>
              <w:spacing w:before="20"/>
            </w:pPr>
            <w:r w:rsidRPr="009E06AA">
              <w:t>Paul et al. (2021); Easdale et al. (2019)</w:t>
            </w:r>
          </w:p>
        </w:tc>
      </w:tr>
      <w:tr w:rsidR="00053418" w:rsidRPr="009E06AA" w14:paraId="7944A426" w14:textId="77777777" w:rsidTr="00B55F24">
        <w:tc>
          <w:tcPr>
            <w:tcW w:w="834" w:type="pct"/>
            <w:vMerge/>
            <w:tcBorders>
              <w:right w:val="nil"/>
            </w:tcBorders>
          </w:tcPr>
          <w:p w14:paraId="403E11E0" w14:textId="77777777" w:rsidR="00053418" w:rsidRPr="009E06AA" w:rsidRDefault="00053418" w:rsidP="00B55F24">
            <w:pPr>
              <w:pStyle w:val="TableText"/>
              <w:rPr>
                <w:b/>
              </w:rPr>
            </w:pPr>
          </w:p>
        </w:tc>
        <w:tc>
          <w:tcPr>
            <w:tcW w:w="750" w:type="pct"/>
            <w:vMerge w:val="restart"/>
            <w:tcBorders>
              <w:left w:val="nil"/>
              <w:right w:val="nil"/>
            </w:tcBorders>
          </w:tcPr>
          <w:p w14:paraId="28409478" w14:textId="77777777" w:rsidR="00053418" w:rsidRPr="009E06AA" w:rsidRDefault="00053418" w:rsidP="00B55F24">
            <w:pPr>
              <w:pStyle w:val="TableText"/>
              <w:rPr>
                <w:b/>
              </w:rPr>
            </w:pPr>
            <w:r w:rsidRPr="009E06AA">
              <w:rPr>
                <w:b/>
              </w:rPr>
              <w:t>Dead organic matter</w:t>
            </w:r>
          </w:p>
        </w:tc>
        <w:tc>
          <w:tcPr>
            <w:tcW w:w="1009" w:type="pct"/>
            <w:tcBorders>
              <w:top w:val="nil"/>
              <w:left w:val="nil"/>
              <w:bottom w:val="nil"/>
              <w:right w:val="nil"/>
            </w:tcBorders>
          </w:tcPr>
          <w:p w14:paraId="508C8E1E" w14:textId="77777777" w:rsidR="00053418" w:rsidRPr="009E06AA" w:rsidRDefault="00053418" w:rsidP="00B55F24">
            <w:pPr>
              <w:pStyle w:val="TableText"/>
            </w:pPr>
            <w:r w:rsidRPr="009E06AA">
              <w:t>Dead wood</w:t>
            </w:r>
          </w:p>
        </w:tc>
        <w:tc>
          <w:tcPr>
            <w:tcW w:w="1393" w:type="pct"/>
            <w:tcBorders>
              <w:top w:val="nil"/>
              <w:left w:val="nil"/>
              <w:bottom w:val="nil"/>
              <w:right w:val="nil"/>
            </w:tcBorders>
          </w:tcPr>
          <w:p w14:paraId="3B34FC86" w14:textId="77777777" w:rsidR="00053418" w:rsidRPr="009E06AA" w:rsidRDefault="00053418" w:rsidP="00B55F24">
            <w:pPr>
              <w:pStyle w:val="TableText"/>
            </w:pPr>
            <w:r w:rsidRPr="009E06AA">
              <w:t xml:space="preserve">Modelled from plot measurements; allometric equations </w:t>
            </w:r>
          </w:p>
        </w:tc>
        <w:tc>
          <w:tcPr>
            <w:tcW w:w="1014" w:type="pct"/>
            <w:tcBorders>
              <w:top w:val="nil"/>
              <w:left w:val="nil"/>
              <w:bottom w:val="nil"/>
              <w:right w:val="nil"/>
            </w:tcBorders>
          </w:tcPr>
          <w:p w14:paraId="7AC88288" w14:textId="77777777" w:rsidR="00053418" w:rsidRPr="009E06AA" w:rsidRDefault="00053418" w:rsidP="00B55F24">
            <w:pPr>
              <w:pStyle w:val="TableText"/>
            </w:pPr>
            <w:r w:rsidRPr="009E06AA">
              <w:t xml:space="preserve">Garrett et al. (2019); Paul et al. (2021); Kimberley et al. (2019) </w:t>
            </w:r>
          </w:p>
        </w:tc>
      </w:tr>
      <w:tr w:rsidR="00053418" w:rsidRPr="009E06AA" w14:paraId="0845A65F" w14:textId="77777777" w:rsidTr="00B55F24">
        <w:tc>
          <w:tcPr>
            <w:tcW w:w="834" w:type="pct"/>
            <w:vMerge/>
            <w:tcBorders>
              <w:right w:val="nil"/>
            </w:tcBorders>
          </w:tcPr>
          <w:p w14:paraId="595A32AD" w14:textId="77777777" w:rsidR="00053418" w:rsidRPr="009E06AA" w:rsidRDefault="00053418" w:rsidP="00B55F24">
            <w:pPr>
              <w:pStyle w:val="TableText"/>
              <w:rPr>
                <w:b/>
              </w:rPr>
            </w:pPr>
          </w:p>
        </w:tc>
        <w:tc>
          <w:tcPr>
            <w:tcW w:w="750" w:type="pct"/>
            <w:vMerge/>
            <w:tcBorders>
              <w:left w:val="nil"/>
              <w:right w:val="nil"/>
            </w:tcBorders>
          </w:tcPr>
          <w:p w14:paraId="7456EDD6" w14:textId="77777777" w:rsidR="00053418" w:rsidRPr="009E06AA" w:rsidRDefault="00053418" w:rsidP="00B55F24">
            <w:pPr>
              <w:pStyle w:val="TableText"/>
              <w:rPr>
                <w:b/>
              </w:rPr>
            </w:pPr>
          </w:p>
        </w:tc>
        <w:tc>
          <w:tcPr>
            <w:tcW w:w="1009" w:type="pct"/>
            <w:tcBorders>
              <w:top w:val="nil"/>
              <w:left w:val="nil"/>
              <w:right w:val="nil"/>
            </w:tcBorders>
          </w:tcPr>
          <w:p w14:paraId="45EF2686" w14:textId="77777777" w:rsidR="00053418" w:rsidRPr="009E06AA" w:rsidRDefault="00053418" w:rsidP="00B55F24">
            <w:pPr>
              <w:pStyle w:val="TableText"/>
              <w:spacing w:before="20"/>
            </w:pPr>
            <w:r w:rsidRPr="009E06AA">
              <w:t>Litter</w:t>
            </w:r>
          </w:p>
        </w:tc>
        <w:tc>
          <w:tcPr>
            <w:tcW w:w="1393" w:type="pct"/>
            <w:tcBorders>
              <w:top w:val="nil"/>
              <w:left w:val="nil"/>
              <w:right w:val="nil"/>
            </w:tcBorders>
          </w:tcPr>
          <w:p w14:paraId="02A5BF38" w14:textId="77777777" w:rsidR="00053418" w:rsidRPr="009E06AA" w:rsidRDefault="00053418" w:rsidP="00B55F24">
            <w:pPr>
              <w:pStyle w:val="TableText"/>
              <w:spacing w:before="20"/>
            </w:pPr>
            <w:r w:rsidRPr="009E06AA">
              <w:t xml:space="preserve">Plot samples; laboratory analysis of samples collected at plots </w:t>
            </w:r>
          </w:p>
        </w:tc>
        <w:tc>
          <w:tcPr>
            <w:tcW w:w="1014" w:type="pct"/>
            <w:tcBorders>
              <w:top w:val="nil"/>
              <w:left w:val="nil"/>
              <w:right w:val="nil"/>
            </w:tcBorders>
          </w:tcPr>
          <w:p w14:paraId="2BA58756" w14:textId="77777777" w:rsidR="00053418" w:rsidRPr="009E06AA" w:rsidRDefault="00053418" w:rsidP="00B55F24">
            <w:pPr>
              <w:pStyle w:val="TableText"/>
              <w:spacing w:before="20"/>
            </w:pPr>
            <w:r w:rsidRPr="009E06AA">
              <w:t>Paul et al. (2021); Garrett (unpublished)</w:t>
            </w:r>
          </w:p>
        </w:tc>
      </w:tr>
      <w:tr w:rsidR="00053418" w:rsidRPr="009E06AA" w14:paraId="5ADEB979" w14:textId="77777777" w:rsidTr="00B55F24">
        <w:tc>
          <w:tcPr>
            <w:tcW w:w="834" w:type="pct"/>
            <w:tcBorders>
              <w:bottom w:val="nil"/>
              <w:right w:val="nil"/>
            </w:tcBorders>
          </w:tcPr>
          <w:p w14:paraId="730C307F" w14:textId="77777777" w:rsidR="00053418" w:rsidRPr="009E06AA" w:rsidRDefault="00053418" w:rsidP="00B55F24">
            <w:pPr>
              <w:pStyle w:val="TableText"/>
              <w:rPr>
                <w:b/>
              </w:rPr>
            </w:pPr>
            <w:r w:rsidRPr="009E06AA">
              <w:rPr>
                <w:b/>
              </w:rPr>
              <w:t>Post-1989 natural forest</w:t>
            </w:r>
          </w:p>
        </w:tc>
        <w:tc>
          <w:tcPr>
            <w:tcW w:w="750" w:type="pct"/>
            <w:tcBorders>
              <w:left w:val="nil"/>
              <w:bottom w:val="nil"/>
              <w:right w:val="nil"/>
            </w:tcBorders>
          </w:tcPr>
          <w:p w14:paraId="35AD7BDD" w14:textId="77777777" w:rsidR="00053418" w:rsidRPr="009E06AA" w:rsidRDefault="00053418" w:rsidP="00B55F24">
            <w:pPr>
              <w:pStyle w:val="TableText"/>
            </w:pPr>
            <w:r w:rsidRPr="009E06AA">
              <w:rPr>
                <w:b/>
              </w:rPr>
              <w:t>Living biomass</w:t>
            </w:r>
          </w:p>
        </w:tc>
        <w:tc>
          <w:tcPr>
            <w:tcW w:w="1009" w:type="pct"/>
            <w:tcBorders>
              <w:left w:val="nil"/>
              <w:bottom w:val="nil"/>
              <w:right w:val="nil"/>
            </w:tcBorders>
          </w:tcPr>
          <w:p w14:paraId="5B758D59" w14:textId="77777777" w:rsidR="00053418" w:rsidRPr="009E06AA" w:rsidRDefault="00053418" w:rsidP="00B55F24">
            <w:pPr>
              <w:pStyle w:val="TableText"/>
            </w:pPr>
            <w:r w:rsidRPr="009E06AA">
              <w:t>Above-ground biomass</w:t>
            </w:r>
          </w:p>
        </w:tc>
        <w:tc>
          <w:tcPr>
            <w:tcW w:w="1393" w:type="pct"/>
            <w:tcBorders>
              <w:left w:val="nil"/>
              <w:bottom w:val="nil"/>
              <w:right w:val="nil"/>
            </w:tcBorders>
          </w:tcPr>
          <w:p w14:paraId="47BC74C9" w14:textId="77777777" w:rsidR="00053418" w:rsidRPr="009E06AA" w:rsidRDefault="00053418" w:rsidP="00B55F24">
            <w:pPr>
              <w:pStyle w:val="TableText"/>
            </w:pPr>
            <w:r w:rsidRPr="009E06AA">
              <w:t>Plot measurements; allometric equations</w:t>
            </w:r>
          </w:p>
        </w:tc>
        <w:tc>
          <w:tcPr>
            <w:tcW w:w="1014" w:type="pct"/>
            <w:tcBorders>
              <w:left w:val="nil"/>
              <w:bottom w:val="nil"/>
              <w:right w:val="nil"/>
            </w:tcBorders>
          </w:tcPr>
          <w:p w14:paraId="23D91A9D" w14:textId="77777777" w:rsidR="00053418" w:rsidRPr="009E06AA" w:rsidRDefault="00053418" w:rsidP="00B55F24">
            <w:pPr>
              <w:pStyle w:val="TableText"/>
            </w:pPr>
            <w:r w:rsidRPr="009E06AA">
              <w:t>Paul et al. (2021)</w:t>
            </w:r>
          </w:p>
        </w:tc>
      </w:tr>
      <w:tr w:rsidR="00053418" w:rsidRPr="009E06AA" w14:paraId="28D12BD6" w14:textId="77777777" w:rsidTr="00B55F24">
        <w:tc>
          <w:tcPr>
            <w:tcW w:w="834" w:type="pct"/>
            <w:tcBorders>
              <w:top w:val="nil"/>
              <w:bottom w:val="nil"/>
              <w:right w:val="nil"/>
            </w:tcBorders>
          </w:tcPr>
          <w:p w14:paraId="2D7E38E4" w14:textId="77777777" w:rsidR="00053418" w:rsidRPr="009E06AA" w:rsidRDefault="00053418" w:rsidP="00B55F24">
            <w:pPr>
              <w:pStyle w:val="TableText"/>
              <w:spacing w:before="20"/>
              <w:rPr>
                <w:b/>
              </w:rPr>
            </w:pPr>
          </w:p>
        </w:tc>
        <w:tc>
          <w:tcPr>
            <w:tcW w:w="750" w:type="pct"/>
            <w:tcBorders>
              <w:top w:val="nil"/>
              <w:left w:val="nil"/>
              <w:right w:val="nil"/>
            </w:tcBorders>
          </w:tcPr>
          <w:p w14:paraId="5E5945D0" w14:textId="77777777" w:rsidR="00053418" w:rsidRPr="009E06AA" w:rsidRDefault="00053418" w:rsidP="00B55F24">
            <w:pPr>
              <w:pStyle w:val="TableText"/>
              <w:spacing w:before="20"/>
            </w:pPr>
          </w:p>
        </w:tc>
        <w:tc>
          <w:tcPr>
            <w:tcW w:w="1009" w:type="pct"/>
            <w:tcBorders>
              <w:top w:val="nil"/>
              <w:left w:val="nil"/>
              <w:right w:val="nil"/>
            </w:tcBorders>
          </w:tcPr>
          <w:p w14:paraId="21D8253D" w14:textId="77777777" w:rsidR="00053418" w:rsidRPr="009E06AA" w:rsidRDefault="00053418" w:rsidP="00B55F24">
            <w:pPr>
              <w:pStyle w:val="TableText"/>
              <w:spacing w:before="20"/>
            </w:pPr>
            <w:r w:rsidRPr="009E06AA">
              <w:t>Below-ground biomass</w:t>
            </w:r>
          </w:p>
        </w:tc>
        <w:tc>
          <w:tcPr>
            <w:tcW w:w="1393" w:type="pct"/>
            <w:tcBorders>
              <w:top w:val="nil"/>
              <w:left w:val="nil"/>
              <w:right w:val="nil"/>
            </w:tcBorders>
          </w:tcPr>
          <w:p w14:paraId="7C19657B" w14:textId="77777777" w:rsidR="00053418" w:rsidRPr="009E06AA" w:rsidRDefault="00053418" w:rsidP="00B55F24">
            <w:pPr>
              <w:pStyle w:val="TableText"/>
              <w:spacing w:before="20"/>
            </w:pPr>
            <w:r w:rsidRPr="009E06AA">
              <w:t>Estimated as the ratio of below-ground biomass to above-ground biomass</w:t>
            </w:r>
          </w:p>
        </w:tc>
        <w:tc>
          <w:tcPr>
            <w:tcW w:w="1014" w:type="pct"/>
            <w:tcBorders>
              <w:top w:val="nil"/>
              <w:left w:val="nil"/>
              <w:right w:val="nil"/>
            </w:tcBorders>
          </w:tcPr>
          <w:p w14:paraId="75571518" w14:textId="77777777" w:rsidR="00053418" w:rsidRPr="009E06AA" w:rsidRDefault="00053418" w:rsidP="00B55F24">
            <w:pPr>
              <w:pStyle w:val="TableText"/>
              <w:spacing w:before="20"/>
            </w:pPr>
            <w:r w:rsidRPr="009E06AA">
              <w:t>Paul et al. (unpublished(b)); Easdale et al. (2019)</w:t>
            </w:r>
          </w:p>
        </w:tc>
      </w:tr>
      <w:tr w:rsidR="00053418" w:rsidRPr="009E06AA" w14:paraId="3AAF3691" w14:textId="77777777" w:rsidTr="00B55F24">
        <w:tc>
          <w:tcPr>
            <w:tcW w:w="834" w:type="pct"/>
            <w:tcBorders>
              <w:top w:val="nil"/>
              <w:bottom w:val="nil"/>
              <w:right w:val="nil"/>
            </w:tcBorders>
          </w:tcPr>
          <w:p w14:paraId="7B8B7CCB" w14:textId="77777777" w:rsidR="00053418" w:rsidRPr="009E06AA" w:rsidRDefault="00053418" w:rsidP="00B55F24">
            <w:pPr>
              <w:pStyle w:val="TableText"/>
            </w:pPr>
          </w:p>
        </w:tc>
        <w:tc>
          <w:tcPr>
            <w:tcW w:w="750" w:type="pct"/>
            <w:tcBorders>
              <w:left w:val="nil"/>
              <w:bottom w:val="nil"/>
              <w:right w:val="nil"/>
            </w:tcBorders>
          </w:tcPr>
          <w:p w14:paraId="313F5F99" w14:textId="77777777" w:rsidR="00053418" w:rsidRPr="009E06AA" w:rsidRDefault="00053418" w:rsidP="00B55F24">
            <w:pPr>
              <w:pStyle w:val="TableTextBold"/>
              <w:rPr>
                <w:noProof w:val="0"/>
              </w:rPr>
            </w:pPr>
            <w:r w:rsidRPr="009E06AA">
              <w:rPr>
                <w:noProof w:val="0"/>
              </w:rPr>
              <w:t>Dead organic matter</w:t>
            </w:r>
          </w:p>
        </w:tc>
        <w:tc>
          <w:tcPr>
            <w:tcW w:w="1009" w:type="pct"/>
            <w:tcBorders>
              <w:left w:val="nil"/>
              <w:bottom w:val="nil"/>
              <w:right w:val="nil"/>
            </w:tcBorders>
          </w:tcPr>
          <w:p w14:paraId="67434121" w14:textId="77777777" w:rsidR="00053418" w:rsidRPr="009E06AA" w:rsidRDefault="00053418" w:rsidP="00B55F24">
            <w:pPr>
              <w:pStyle w:val="TableText"/>
            </w:pPr>
            <w:r w:rsidRPr="009E06AA">
              <w:t>Dead wood</w:t>
            </w:r>
          </w:p>
        </w:tc>
        <w:tc>
          <w:tcPr>
            <w:tcW w:w="1393" w:type="pct"/>
            <w:tcBorders>
              <w:left w:val="nil"/>
              <w:bottom w:val="nil"/>
              <w:right w:val="nil"/>
            </w:tcBorders>
          </w:tcPr>
          <w:p w14:paraId="1A2672F2" w14:textId="77777777" w:rsidR="00053418" w:rsidRPr="009E06AA" w:rsidRDefault="00053418" w:rsidP="00B55F24">
            <w:pPr>
              <w:pStyle w:val="TableText"/>
              <w:rPr>
                <w:rFonts w:cs="Segoe UI"/>
                <w:szCs w:val="16"/>
              </w:rPr>
            </w:pPr>
            <w:r w:rsidRPr="009E06AA">
              <w:rPr>
                <w:rFonts w:cs="Segoe UI"/>
                <w:szCs w:val="16"/>
              </w:rPr>
              <w:t>Modelled from plot measurements; allometric model</w:t>
            </w:r>
          </w:p>
        </w:tc>
        <w:tc>
          <w:tcPr>
            <w:tcW w:w="1014" w:type="pct"/>
            <w:tcBorders>
              <w:left w:val="nil"/>
              <w:bottom w:val="nil"/>
              <w:right w:val="nil"/>
            </w:tcBorders>
          </w:tcPr>
          <w:p w14:paraId="50146D3A" w14:textId="77777777" w:rsidR="00053418" w:rsidRPr="009E06AA" w:rsidRDefault="00053418" w:rsidP="00B55F24">
            <w:pPr>
              <w:pStyle w:val="TableText"/>
            </w:pPr>
            <w:r w:rsidRPr="009E06AA">
              <w:t>Garrett et al. (2019); Paul et al. (unpublished(b)); Kimberley et al. (2019)</w:t>
            </w:r>
          </w:p>
        </w:tc>
      </w:tr>
      <w:tr w:rsidR="00053418" w:rsidRPr="009E06AA" w14:paraId="45EF60DD" w14:textId="77777777" w:rsidTr="00B55F24">
        <w:tc>
          <w:tcPr>
            <w:tcW w:w="834" w:type="pct"/>
            <w:tcBorders>
              <w:top w:val="nil"/>
              <w:right w:val="nil"/>
            </w:tcBorders>
          </w:tcPr>
          <w:p w14:paraId="6ECD331D" w14:textId="77777777" w:rsidR="00053418" w:rsidRPr="009E06AA" w:rsidRDefault="00053418" w:rsidP="00B55F24">
            <w:pPr>
              <w:pStyle w:val="TableText"/>
              <w:spacing w:before="20"/>
            </w:pPr>
          </w:p>
        </w:tc>
        <w:tc>
          <w:tcPr>
            <w:tcW w:w="750" w:type="pct"/>
            <w:tcBorders>
              <w:top w:val="nil"/>
              <w:left w:val="nil"/>
              <w:right w:val="nil"/>
            </w:tcBorders>
          </w:tcPr>
          <w:p w14:paraId="512EC297" w14:textId="77777777" w:rsidR="00053418" w:rsidRPr="009E06AA" w:rsidRDefault="00053418" w:rsidP="00B55F24">
            <w:pPr>
              <w:pStyle w:val="TableTextBold"/>
              <w:spacing w:before="20"/>
              <w:rPr>
                <w:noProof w:val="0"/>
              </w:rPr>
            </w:pPr>
          </w:p>
        </w:tc>
        <w:tc>
          <w:tcPr>
            <w:tcW w:w="1009" w:type="pct"/>
            <w:tcBorders>
              <w:top w:val="nil"/>
              <w:left w:val="nil"/>
              <w:right w:val="nil"/>
            </w:tcBorders>
          </w:tcPr>
          <w:p w14:paraId="09EBF9CB" w14:textId="77777777" w:rsidR="00053418" w:rsidRPr="009E06AA" w:rsidRDefault="00053418" w:rsidP="00B55F24">
            <w:pPr>
              <w:pStyle w:val="TableText"/>
              <w:spacing w:before="20"/>
            </w:pPr>
            <w:r w:rsidRPr="009E06AA">
              <w:t>Litter</w:t>
            </w:r>
          </w:p>
        </w:tc>
        <w:tc>
          <w:tcPr>
            <w:tcW w:w="1393" w:type="pct"/>
            <w:tcBorders>
              <w:top w:val="nil"/>
              <w:left w:val="nil"/>
              <w:right w:val="nil"/>
            </w:tcBorders>
          </w:tcPr>
          <w:p w14:paraId="3CDA998B" w14:textId="77777777" w:rsidR="00053418" w:rsidRPr="009E06AA" w:rsidRDefault="00053418" w:rsidP="00B55F24">
            <w:pPr>
              <w:pStyle w:val="TableText"/>
              <w:spacing w:before="20"/>
              <w:rPr>
                <w:rFonts w:cs="Segoe UI"/>
                <w:szCs w:val="16"/>
              </w:rPr>
            </w:pPr>
            <w:r w:rsidRPr="009E06AA">
              <w:rPr>
                <w:rFonts w:cs="Segoe UI"/>
                <w:szCs w:val="16"/>
              </w:rPr>
              <w:t>Allometric model and percentage of above-ground biomass</w:t>
            </w:r>
          </w:p>
        </w:tc>
        <w:tc>
          <w:tcPr>
            <w:tcW w:w="1014" w:type="pct"/>
            <w:tcBorders>
              <w:top w:val="nil"/>
              <w:left w:val="nil"/>
              <w:right w:val="nil"/>
            </w:tcBorders>
          </w:tcPr>
          <w:p w14:paraId="29413733" w14:textId="77777777" w:rsidR="00053418" w:rsidRPr="009E06AA" w:rsidRDefault="00053418" w:rsidP="00B55F24">
            <w:pPr>
              <w:pStyle w:val="TableText"/>
              <w:spacing w:before="20"/>
            </w:pPr>
            <w:r w:rsidRPr="009E06AA">
              <w:t>Paul et al. (unpublished(b)); Garrett (unpublished)</w:t>
            </w:r>
          </w:p>
        </w:tc>
      </w:tr>
      <w:tr w:rsidR="00053418" w:rsidRPr="009E06AA" w14:paraId="5126CFEB" w14:textId="77777777" w:rsidTr="00B55F24">
        <w:tc>
          <w:tcPr>
            <w:tcW w:w="834" w:type="pct"/>
            <w:tcBorders>
              <w:bottom w:val="nil"/>
              <w:right w:val="nil"/>
            </w:tcBorders>
          </w:tcPr>
          <w:p w14:paraId="0B63E71D" w14:textId="77777777" w:rsidR="00053418" w:rsidRPr="009E06AA" w:rsidRDefault="00053418" w:rsidP="00B55F24">
            <w:pPr>
              <w:pStyle w:val="TableText"/>
            </w:pPr>
            <w:r w:rsidRPr="009E06AA">
              <w:rPr>
                <w:b/>
              </w:rPr>
              <w:t>Pre-1990 planted forest</w:t>
            </w:r>
          </w:p>
        </w:tc>
        <w:tc>
          <w:tcPr>
            <w:tcW w:w="750" w:type="pct"/>
            <w:tcBorders>
              <w:left w:val="nil"/>
              <w:bottom w:val="nil"/>
              <w:right w:val="nil"/>
            </w:tcBorders>
          </w:tcPr>
          <w:p w14:paraId="12A5FB6F" w14:textId="77777777" w:rsidR="00053418" w:rsidRPr="009E06AA" w:rsidRDefault="00053418" w:rsidP="00B55F24">
            <w:pPr>
              <w:pStyle w:val="TableText"/>
            </w:pPr>
            <w:r w:rsidRPr="009E06AA">
              <w:rPr>
                <w:b/>
              </w:rPr>
              <w:t>Living biomass</w:t>
            </w:r>
          </w:p>
        </w:tc>
        <w:tc>
          <w:tcPr>
            <w:tcW w:w="1009" w:type="pct"/>
            <w:tcBorders>
              <w:left w:val="nil"/>
              <w:bottom w:val="nil"/>
              <w:right w:val="nil"/>
            </w:tcBorders>
          </w:tcPr>
          <w:p w14:paraId="04AB9823" w14:textId="77777777" w:rsidR="00053418" w:rsidRPr="009E06AA" w:rsidRDefault="00053418" w:rsidP="00B55F24">
            <w:pPr>
              <w:pStyle w:val="TableText"/>
            </w:pPr>
            <w:r w:rsidRPr="009E06AA">
              <w:t>Above-ground biomass</w:t>
            </w:r>
          </w:p>
        </w:tc>
        <w:tc>
          <w:tcPr>
            <w:tcW w:w="1393" w:type="pct"/>
            <w:tcBorders>
              <w:left w:val="nil"/>
              <w:bottom w:val="nil"/>
              <w:right w:val="nil"/>
            </w:tcBorders>
          </w:tcPr>
          <w:p w14:paraId="45F81CC7" w14:textId="77777777" w:rsidR="00053418" w:rsidRPr="009E06AA" w:rsidRDefault="00053418" w:rsidP="00B55F24">
            <w:pPr>
              <w:pStyle w:val="TableText"/>
            </w:pPr>
            <w:r w:rsidRPr="009E06AA">
              <w:t>Modelled through allometric equations, then included in national yield tables</w:t>
            </w:r>
          </w:p>
        </w:tc>
        <w:tc>
          <w:tcPr>
            <w:tcW w:w="1014" w:type="pct"/>
            <w:tcBorders>
              <w:left w:val="nil"/>
              <w:bottom w:val="nil"/>
              <w:right w:val="nil"/>
            </w:tcBorders>
          </w:tcPr>
          <w:p w14:paraId="5A74E29F" w14:textId="77777777" w:rsidR="00053418" w:rsidRPr="009E06AA" w:rsidRDefault="00053418" w:rsidP="00B55F24">
            <w:pPr>
              <w:pStyle w:val="TableText"/>
            </w:pPr>
            <w:r w:rsidRPr="009E06AA">
              <w:t>Paul et al. (unpublished(a))</w:t>
            </w:r>
          </w:p>
        </w:tc>
      </w:tr>
      <w:tr w:rsidR="00053418" w:rsidRPr="009E06AA" w14:paraId="52116152" w14:textId="77777777" w:rsidTr="00B55F24">
        <w:tc>
          <w:tcPr>
            <w:tcW w:w="834" w:type="pct"/>
            <w:tcBorders>
              <w:top w:val="nil"/>
              <w:bottom w:val="nil"/>
              <w:right w:val="nil"/>
            </w:tcBorders>
          </w:tcPr>
          <w:p w14:paraId="59034243" w14:textId="77777777" w:rsidR="00053418" w:rsidRPr="009E06AA" w:rsidRDefault="00053418" w:rsidP="00B55F24">
            <w:pPr>
              <w:pStyle w:val="TableText"/>
            </w:pPr>
          </w:p>
        </w:tc>
        <w:tc>
          <w:tcPr>
            <w:tcW w:w="750" w:type="pct"/>
            <w:tcBorders>
              <w:top w:val="nil"/>
              <w:left w:val="nil"/>
              <w:right w:val="nil"/>
            </w:tcBorders>
          </w:tcPr>
          <w:p w14:paraId="6D11E0A6" w14:textId="77777777" w:rsidR="00053418" w:rsidRPr="009E06AA" w:rsidRDefault="00053418" w:rsidP="00B55F24">
            <w:pPr>
              <w:pStyle w:val="TableText"/>
              <w:spacing w:before="20"/>
            </w:pPr>
          </w:p>
        </w:tc>
        <w:tc>
          <w:tcPr>
            <w:tcW w:w="1009" w:type="pct"/>
            <w:tcBorders>
              <w:top w:val="nil"/>
              <w:left w:val="nil"/>
              <w:right w:val="nil"/>
            </w:tcBorders>
          </w:tcPr>
          <w:p w14:paraId="61E4381D" w14:textId="77777777" w:rsidR="00053418" w:rsidRPr="009E06AA" w:rsidRDefault="00053418" w:rsidP="00B55F24">
            <w:pPr>
              <w:pStyle w:val="TableText"/>
              <w:spacing w:before="20"/>
            </w:pPr>
            <w:r w:rsidRPr="009E06AA">
              <w:t>Below-ground biomass</w:t>
            </w:r>
          </w:p>
        </w:tc>
        <w:tc>
          <w:tcPr>
            <w:tcW w:w="1393" w:type="pct"/>
            <w:tcBorders>
              <w:top w:val="nil"/>
              <w:left w:val="nil"/>
              <w:right w:val="nil"/>
            </w:tcBorders>
          </w:tcPr>
          <w:p w14:paraId="0B499B76" w14:textId="77777777" w:rsidR="00053418" w:rsidRPr="009E06AA" w:rsidRDefault="00053418" w:rsidP="00B55F24">
            <w:pPr>
              <w:pStyle w:val="TableText"/>
              <w:spacing w:before="20"/>
            </w:pPr>
            <w:r w:rsidRPr="009E06AA">
              <w:t>Estimated as the ratio of below-ground biomass to above-ground biomass</w:t>
            </w:r>
          </w:p>
        </w:tc>
        <w:tc>
          <w:tcPr>
            <w:tcW w:w="1014" w:type="pct"/>
            <w:tcBorders>
              <w:top w:val="nil"/>
              <w:left w:val="nil"/>
              <w:right w:val="nil"/>
            </w:tcBorders>
          </w:tcPr>
          <w:p w14:paraId="21DDB910" w14:textId="77777777" w:rsidR="00053418" w:rsidRPr="009E06AA" w:rsidRDefault="00053418" w:rsidP="00B55F24">
            <w:pPr>
              <w:pStyle w:val="TableText"/>
              <w:spacing w:before="20"/>
            </w:pPr>
            <w:r w:rsidRPr="009E06AA">
              <w:t>Paul et al. (unpublished(a))</w:t>
            </w:r>
          </w:p>
        </w:tc>
      </w:tr>
      <w:tr w:rsidR="00053418" w:rsidRPr="009E06AA" w14:paraId="0574C4E9" w14:textId="77777777" w:rsidTr="00B55F24">
        <w:tc>
          <w:tcPr>
            <w:tcW w:w="834" w:type="pct"/>
            <w:tcBorders>
              <w:top w:val="nil"/>
              <w:bottom w:val="nil"/>
              <w:right w:val="nil"/>
            </w:tcBorders>
          </w:tcPr>
          <w:p w14:paraId="7FCF5DB4" w14:textId="77777777" w:rsidR="00053418" w:rsidRPr="009E06AA" w:rsidRDefault="00053418" w:rsidP="00B55F24">
            <w:pPr>
              <w:pStyle w:val="TableText"/>
            </w:pPr>
          </w:p>
        </w:tc>
        <w:tc>
          <w:tcPr>
            <w:tcW w:w="750" w:type="pct"/>
            <w:tcBorders>
              <w:left w:val="nil"/>
              <w:bottom w:val="nil"/>
              <w:right w:val="nil"/>
            </w:tcBorders>
          </w:tcPr>
          <w:p w14:paraId="514AB734" w14:textId="77777777" w:rsidR="00053418" w:rsidRPr="009E06AA" w:rsidRDefault="00053418" w:rsidP="00B55F24">
            <w:pPr>
              <w:pStyle w:val="TableText"/>
            </w:pPr>
            <w:r w:rsidRPr="009E06AA">
              <w:rPr>
                <w:b/>
              </w:rPr>
              <w:t>Dead organic matter</w:t>
            </w:r>
          </w:p>
        </w:tc>
        <w:tc>
          <w:tcPr>
            <w:tcW w:w="1009" w:type="pct"/>
            <w:tcBorders>
              <w:left w:val="nil"/>
              <w:bottom w:val="nil"/>
              <w:right w:val="nil"/>
            </w:tcBorders>
          </w:tcPr>
          <w:p w14:paraId="3A6326A0" w14:textId="77777777" w:rsidR="00053418" w:rsidRPr="009E06AA" w:rsidRDefault="00053418" w:rsidP="00B55F24">
            <w:pPr>
              <w:pStyle w:val="TableText"/>
            </w:pPr>
            <w:r w:rsidRPr="009E06AA">
              <w:t>Dead wood</w:t>
            </w:r>
          </w:p>
        </w:tc>
        <w:tc>
          <w:tcPr>
            <w:tcW w:w="1393" w:type="pct"/>
            <w:tcBorders>
              <w:left w:val="nil"/>
              <w:bottom w:val="nil"/>
              <w:right w:val="nil"/>
            </w:tcBorders>
          </w:tcPr>
          <w:p w14:paraId="08CD8EB6" w14:textId="77777777" w:rsidR="00053418" w:rsidRPr="009E06AA" w:rsidRDefault="00053418" w:rsidP="00B55F24">
            <w:pPr>
              <w:pStyle w:val="TableText"/>
            </w:pPr>
            <w:r w:rsidRPr="009E06AA">
              <w:t>Allometric model using plot measurements, included in national yield tables. Harvest residues added to dead wood pool through CRA</w:t>
            </w:r>
          </w:p>
        </w:tc>
        <w:tc>
          <w:tcPr>
            <w:tcW w:w="1014" w:type="pct"/>
            <w:tcBorders>
              <w:left w:val="nil"/>
              <w:bottom w:val="nil"/>
              <w:right w:val="nil"/>
            </w:tcBorders>
          </w:tcPr>
          <w:p w14:paraId="50E893A3" w14:textId="77777777" w:rsidR="00053418" w:rsidRPr="009E06AA" w:rsidRDefault="00053418" w:rsidP="00B55F24">
            <w:pPr>
              <w:pStyle w:val="TableText"/>
            </w:pPr>
            <w:r w:rsidRPr="009E06AA">
              <w:t>Paul et al. (unpublished(a))</w:t>
            </w:r>
          </w:p>
        </w:tc>
      </w:tr>
      <w:tr w:rsidR="00053418" w:rsidRPr="009E06AA" w14:paraId="413AF721" w14:textId="77777777" w:rsidTr="00B55F24">
        <w:tc>
          <w:tcPr>
            <w:tcW w:w="834" w:type="pct"/>
            <w:tcBorders>
              <w:top w:val="nil"/>
              <w:right w:val="nil"/>
            </w:tcBorders>
          </w:tcPr>
          <w:p w14:paraId="6BB2D950" w14:textId="77777777" w:rsidR="00053418" w:rsidRPr="009E06AA" w:rsidRDefault="00053418" w:rsidP="00B55F24">
            <w:pPr>
              <w:pStyle w:val="TableText"/>
            </w:pPr>
          </w:p>
        </w:tc>
        <w:tc>
          <w:tcPr>
            <w:tcW w:w="750" w:type="pct"/>
            <w:tcBorders>
              <w:top w:val="nil"/>
              <w:left w:val="nil"/>
              <w:right w:val="nil"/>
            </w:tcBorders>
          </w:tcPr>
          <w:p w14:paraId="4747B485" w14:textId="77777777" w:rsidR="00053418" w:rsidRPr="009E06AA" w:rsidRDefault="00053418" w:rsidP="00B55F24">
            <w:pPr>
              <w:pStyle w:val="TableText"/>
              <w:spacing w:before="20"/>
            </w:pPr>
          </w:p>
        </w:tc>
        <w:tc>
          <w:tcPr>
            <w:tcW w:w="1009" w:type="pct"/>
            <w:tcBorders>
              <w:top w:val="nil"/>
              <w:left w:val="nil"/>
              <w:right w:val="nil"/>
            </w:tcBorders>
          </w:tcPr>
          <w:p w14:paraId="24E51FDF" w14:textId="77777777" w:rsidR="00053418" w:rsidRPr="009E06AA" w:rsidRDefault="00053418" w:rsidP="00B55F24">
            <w:pPr>
              <w:pStyle w:val="TableText"/>
              <w:spacing w:before="20"/>
            </w:pPr>
            <w:r w:rsidRPr="009E06AA">
              <w:t>Litter</w:t>
            </w:r>
          </w:p>
        </w:tc>
        <w:tc>
          <w:tcPr>
            <w:tcW w:w="1393" w:type="pct"/>
            <w:tcBorders>
              <w:top w:val="nil"/>
              <w:left w:val="nil"/>
              <w:right w:val="nil"/>
            </w:tcBorders>
          </w:tcPr>
          <w:p w14:paraId="0504616B" w14:textId="77777777" w:rsidR="00053418" w:rsidRPr="009E06AA" w:rsidRDefault="00053418" w:rsidP="00B55F24">
            <w:pPr>
              <w:pStyle w:val="TableText"/>
              <w:spacing w:before="20"/>
            </w:pPr>
            <w:r w:rsidRPr="009E06AA">
              <w:rPr>
                <w:rFonts w:cs="Segoe UI"/>
                <w:szCs w:val="16"/>
              </w:rPr>
              <w:t>Allometric model and percentage of above-ground biomass</w:t>
            </w:r>
          </w:p>
        </w:tc>
        <w:tc>
          <w:tcPr>
            <w:tcW w:w="1014" w:type="pct"/>
            <w:tcBorders>
              <w:top w:val="nil"/>
              <w:left w:val="nil"/>
              <w:right w:val="nil"/>
            </w:tcBorders>
          </w:tcPr>
          <w:p w14:paraId="1419EA37" w14:textId="77777777" w:rsidR="00053418" w:rsidRPr="009E06AA" w:rsidRDefault="00053418" w:rsidP="00B55F24">
            <w:pPr>
              <w:pStyle w:val="TableText"/>
              <w:spacing w:before="20"/>
            </w:pPr>
            <w:r w:rsidRPr="009E06AA">
              <w:t>Paul et al. (unpublished(a))</w:t>
            </w:r>
          </w:p>
        </w:tc>
      </w:tr>
      <w:tr w:rsidR="00053418" w:rsidRPr="009E06AA" w14:paraId="3725A651" w14:textId="77777777" w:rsidTr="00B55F24">
        <w:tc>
          <w:tcPr>
            <w:tcW w:w="834" w:type="pct"/>
            <w:tcBorders>
              <w:bottom w:val="nil"/>
              <w:right w:val="nil"/>
            </w:tcBorders>
          </w:tcPr>
          <w:p w14:paraId="0E277AD8" w14:textId="77777777" w:rsidR="00053418" w:rsidRPr="009E06AA" w:rsidRDefault="00053418" w:rsidP="00B55F24">
            <w:pPr>
              <w:pStyle w:val="TableText"/>
              <w:rPr>
                <w:b/>
              </w:rPr>
            </w:pPr>
            <w:r w:rsidRPr="009E06AA">
              <w:rPr>
                <w:b/>
              </w:rPr>
              <w:t>Post-1989 planted forest</w:t>
            </w:r>
          </w:p>
        </w:tc>
        <w:tc>
          <w:tcPr>
            <w:tcW w:w="750" w:type="pct"/>
            <w:tcBorders>
              <w:left w:val="nil"/>
              <w:bottom w:val="nil"/>
              <w:right w:val="nil"/>
            </w:tcBorders>
          </w:tcPr>
          <w:p w14:paraId="1BA05962" w14:textId="77777777" w:rsidR="00053418" w:rsidRPr="009E06AA" w:rsidRDefault="00053418" w:rsidP="00B55F24">
            <w:pPr>
              <w:pStyle w:val="TableText"/>
            </w:pPr>
            <w:r w:rsidRPr="009E06AA">
              <w:rPr>
                <w:b/>
              </w:rPr>
              <w:t>Living biomass</w:t>
            </w:r>
          </w:p>
        </w:tc>
        <w:tc>
          <w:tcPr>
            <w:tcW w:w="1009" w:type="pct"/>
            <w:tcBorders>
              <w:left w:val="nil"/>
              <w:bottom w:val="nil"/>
              <w:right w:val="nil"/>
            </w:tcBorders>
          </w:tcPr>
          <w:p w14:paraId="7191BED1" w14:textId="77777777" w:rsidR="00053418" w:rsidRPr="009E06AA" w:rsidRDefault="00053418" w:rsidP="00B55F24">
            <w:pPr>
              <w:pStyle w:val="TableText"/>
            </w:pPr>
            <w:r w:rsidRPr="009E06AA">
              <w:t>Above-ground biomass</w:t>
            </w:r>
          </w:p>
        </w:tc>
        <w:tc>
          <w:tcPr>
            <w:tcW w:w="1393" w:type="pct"/>
            <w:tcBorders>
              <w:left w:val="nil"/>
              <w:bottom w:val="nil"/>
              <w:right w:val="nil"/>
            </w:tcBorders>
          </w:tcPr>
          <w:p w14:paraId="7F525D4B" w14:textId="77777777" w:rsidR="00053418" w:rsidRPr="009E06AA" w:rsidRDefault="00053418" w:rsidP="00B55F24">
            <w:pPr>
              <w:pStyle w:val="TableText"/>
            </w:pPr>
            <w:r w:rsidRPr="009E06AA">
              <w:t>Modelled through allometric equations, then included in national yield tables</w:t>
            </w:r>
          </w:p>
        </w:tc>
        <w:tc>
          <w:tcPr>
            <w:tcW w:w="1014" w:type="pct"/>
            <w:tcBorders>
              <w:left w:val="nil"/>
              <w:bottom w:val="nil"/>
              <w:right w:val="nil"/>
            </w:tcBorders>
          </w:tcPr>
          <w:p w14:paraId="15D212BD" w14:textId="77777777" w:rsidR="00053418" w:rsidRPr="009E06AA" w:rsidRDefault="00053418" w:rsidP="00B55F24">
            <w:pPr>
              <w:pStyle w:val="TableText"/>
            </w:pPr>
            <w:r w:rsidRPr="009E06AA">
              <w:t>Paul et al. (unpublished(a))</w:t>
            </w:r>
          </w:p>
        </w:tc>
      </w:tr>
      <w:tr w:rsidR="00053418" w:rsidRPr="009E06AA" w14:paraId="29C7B962" w14:textId="77777777" w:rsidTr="00B55F24">
        <w:tc>
          <w:tcPr>
            <w:tcW w:w="834" w:type="pct"/>
            <w:tcBorders>
              <w:top w:val="nil"/>
              <w:bottom w:val="nil"/>
              <w:right w:val="nil"/>
            </w:tcBorders>
          </w:tcPr>
          <w:p w14:paraId="3A6A3A1B" w14:textId="77777777" w:rsidR="00053418" w:rsidRPr="009E06AA" w:rsidRDefault="00053418" w:rsidP="00B55F24">
            <w:pPr>
              <w:pStyle w:val="TableText"/>
              <w:spacing w:before="20"/>
            </w:pPr>
          </w:p>
        </w:tc>
        <w:tc>
          <w:tcPr>
            <w:tcW w:w="750" w:type="pct"/>
            <w:tcBorders>
              <w:top w:val="nil"/>
              <w:left w:val="nil"/>
              <w:right w:val="nil"/>
            </w:tcBorders>
          </w:tcPr>
          <w:p w14:paraId="1843FEFE" w14:textId="77777777" w:rsidR="00053418" w:rsidRPr="009E06AA" w:rsidRDefault="00053418" w:rsidP="00B55F24">
            <w:pPr>
              <w:pStyle w:val="TableText"/>
              <w:spacing w:before="20"/>
            </w:pPr>
          </w:p>
        </w:tc>
        <w:tc>
          <w:tcPr>
            <w:tcW w:w="1009" w:type="pct"/>
            <w:tcBorders>
              <w:top w:val="nil"/>
              <w:left w:val="nil"/>
              <w:right w:val="nil"/>
            </w:tcBorders>
          </w:tcPr>
          <w:p w14:paraId="039A204E" w14:textId="77777777" w:rsidR="00053418" w:rsidRPr="009E06AA" w:rsidRDefault="00053418" w:rsidP="00B55F24">
            <w:pPr>
              <w:pStyle w:val="TableText"/>
              <w:spacing w:before="20"/>
            </w:pPr>
            <w:r w:rsidRPr="009E06AA">
              <w:t>Below-ground biomass</w:t>
            </w:r>
          </w:p>
        </w:tc>
        <w:tc>
          <w:tcPr>
            <w:tcW w:w="1393" w:type="pct"/>
            <w:tcBorders>
              <w:top w:val="nil"/>
              <w:left w:val="nil"/>
              <w:right w:val="nil"/>
            </w:tcBorders>
          </w:tcPr>
          <w:p w14:paraId="4AD6157F" w14:textId="77777777" w:rsidR="00053418" w:rsidRPr="009E06AA" w:rsidRDefault="00053418" w:rsidP="00B55F24">
            <w:pPr>
              <w:pStyle w:val="TableText"/>
              <w:spacing w:before="20"/>
            </w:pPr>
            <w:r w:rsidRPr="009E06AA">
              <w:t>Estimated as the ratio of below-ground biomass to above-ground biomass</w:t>
            </w:r>
          </w:p>
        </w:tc>
        <w:tc>
          <w:tcPr>
            <w:tcW w:w="1014" w:type="pct"/>
            <w:tcBorders>
              <w:top w:val="nil"/>
              <w:left w:val="nil"/>
              <w:right w:val="nil"/>
            </w:tcBorders>
          </w:tcPr>
          <w:p w14:paraId="120375B7" w14:textId="77777777" w:rsidR="00053418" w:rsidRPr="009E06AA" w:rsidRDefault="00053418" w:rsidP="00B55F24">
            <w:pPr>
              <w:pStyle w:val="TableText"/>
              <w:spacing w:before="20"/>
            </w:pPr>
            <w:r w:rsidRPr="009E06AA">
              <w:t>Paul et al. (unpublished(a))</w:t>
            </w:r>
          </w:p>
        </w:tc>
      </w:tr>
      <w:tr w:rsidR="00053418" w:rsidRPr="009E06AA" w14:paraId="0E209279" w14:textId="77777777" w:rsidTr="00B55F24">
        <w:tc>
          <w:tcPr>
            <w:tcW w:w="834" w:type="pct"/>
            <w:tcBorders>
              <w:top w:val="nil"/>
              <w:bottom w:val="nil"/>
              <w:right w:val="nil"/>
            </w:tcBorders>
          </w:tcPr>
          <w:p w14:paraId="6E1FBE83" w14:textId="77777777" w:rsidR="00053418" w:rsidRPr="009E06AA" w:rsidRDefault="00053418" w:rsidP="00B55F24">
            <w:pPr>
              <w:pStyle w:val="TableText"/>
            </w:pPr>
          </w:p>
        </w:tc>
        <w:tc>
          <w:tcPr>
            <w:tcW w:w="750" w:type="pct"/>
            <w:tcBorders>
              <w:left w:val="nil"/>
              <w:bottom w:val="nil"/>
              <w:right w:val="nil"/>
            </w:tcBorders>
          </w:tcPr>
          <w:p w14:paraId="52DCA698" w14:textId="77777777" w:rsidR="00053418" w:rsidRPr="009E06AA" w:rsidRDefault="00053418" w:rsidP="00B55F24">
            <w:pPr>
              <w:pStyle w:val="TableText"/>
            </w:pPr>
            <w:r w:rsidRPr="009E06AA">
              <w:rPr>
                <w:b/>
              </w:rPr>
              <w:t>Dead organic matter</w:t>
            </w:r>
          </w:p>
        </w:tc>
        <w:tc>
          <w:tcPr>
            <w:tcW w:w="1009" w:type="pct"/>
            <w:tcBorders>
              <w:left w:val="nil"/>
              <w:bottom w:val="nil"/>
              <w:right w:val="nil"/>
            </w:tcBorders>
          </w:tcPr>
          <w:p w14:paraId="75EFEA8F" w14:textId="77777777" w:rsidR="00053418" w:rsidRPr="009E06AA" w:rsidRDefault="00053418" w:rsidP="00B55F24">
            <w:pPr>
              <w:pStyle w:val="TableText"/>
            </w:pPr>
            <w:r w:rsidRPr="009E06AA">
              <w:t>Dead wood</w:t>
            </w:r>
          </w:p>
        </w:tc>
        <w:tc>
          <w:tcPr>
            <w:tcW w:w="1393" w:type="pct"/>
            <w:tcBorders>
              <w:left w:val="nil"/>
              <w:bottom w:val="nil"/>
              <w:right w:val="nil"/>
            </w:tcBorders>
          </w:tcPr>
          <w:p w14:paraId="10066BE2" w14:textId="77777777" w:rsidR="00053418" w:rsidRPr="009E06AA" w:rsidRDefault="00053418" w:rsidP="00B55F24">
            <w:pPr>
              <w:pStyle w:val="TableText"/>
            </w:pPr>
            <w:r w:rsidRPr="009E06AA">
              <w:t>Allometric model using plot measurements, included in national yield tables. Harvest residues added to dead wood pool through CRA</w:t>
            </w:r>
          </w:p>
        </w:tc>
        <w:tc>
          <w:tcPr>
            <w:tcW w:w="1014" w:type="pct"/>
            <w:tcBorders>
              <w:left w:val="nil"/>
              <w:bottom w:val="nil"/>
              <w:right w:val="nil"/>
            </w:tcBorders>
          </w:tcPr>
          <w:p w14:paraId="6165815C" w14:textId="77777777" w:rsidR="00053418" w:rsidRPr="009E06AA" w:rsidRDefault="00053418" w:rsidP="00B55F24">
            <w:pPr>
              <w:pStyle w:val="TableText"/>
            </w:pPr>
            <w:r w:rsidRPr="009E06AA">
              <w:t>Paul et al. (unpublished(a))</w:t>
            </w:r>
          </w:p>
        </w:tc>
      </w:tr>
      <w:tr w:rsidR="00053418" w:rsidRPr="009E06AA" w14:paraId="50BD2423" w14:textId="77777777" w:rsidTr="00B55F24">
        <w:tc>
          <w:tcPr>
            <w:tcW w:w="834" w:type="pct"/>
            <w:tcBorders>
              <w:top w:val="nil"/>
              <w:right w:val="nil"/>
            </w:tcBorders>
          </w:tcPr>
          <w:p w14:paraId="129FDC97" w14:textId="77777777" w:rsidR="00053418" w:rsidRPr="009E06AA" w:rsidRDefault="00053418" w:rsidP="00B55F24">
            <w:pPr>
              <w:pStyle w:val="TableText"/>
              <w:spacing w:before="20"/>
            </w:pPr>
          </w:p>
        </w:tc>
        <w:tc>
          <w:tcPr>
            <w:tcW w:w="750" w:type="pct"/>
            <w:tcBorders>
              <w:top w:val="nil"/>
              <w:left w:val="nil"/>
              <w:right w:val="nil"/>
            </w:tcBorders>
          </w:tcPr>
          <w:p w14:paraId="19DE3BEA" w14:textId="77777777" w:rsidR="00053418" w:rsidRPr="009E06AA" w:rsidRDefault="00053418" w:rsidP="00B55F24">
            <w:pPr>
              <w:pStyle w:val="TableText"/>
              <w:spacing w:before="20"/>
            </w:pPr>
          </w:p>
        </w:tc>
        <w:tc>
          <w:tcPr>
            <w:tcW w:w="1009" w:type="pct"/>
            <w:tcBorders>
              <w:top w:val="nil"/>
              <w:left w:val="nil"/>
              <w:right w:val="nil"/>
            </w:tcBorders>
          </w:tcPr>
          <w:p w14:paraId="7DAD362D" w14:textId="77777777" w:rsidR="00053418" w:rsidRPr="009E06AA" w:rsidRDefault="00053418" w:rsidP="00B55F24">
            <w:pPr>
              <w:pStyle w:val="TableText"/>
              <w:spacing w:before="20"/>
            </w:pPr>
            <w:r w:rsidRPr="009E06AA">
              <w:t>Litter</w:t>
            </w:r>
          </w:p>
        </w:tc>
        <w:tc>
          <w:tcPr>
            <w:tcW w:w="1393" w:type="pct"/>
            <w:tcBorders>
              <w:top w:val="nil"/>
              <w:left w:val="nil"/>
              <w:right w:val="nil"/>
            </w:tcBorders>
          </w:tcPr>
          <w:p w14:paraId="7904690F" w14:textId="77777777" w:rsidR="00053418" w:rsidRPr="009E06AA" w:rsidRDefault="00053418" w:rsidP="00B55F24">
            <w:pPr>
              <w:pStyle w:val="TableText"/>
              <w:spacing w:before="20"/>
            </w:pPr>
            <w:r w:rsidRPr="009E06AA">
              <w:rPr>
                <w:rFonts w:cs="Segoe UI"/>
                <w:szCs w:val="16"/>
              </w:rPr>
              <w:t>Allometric model and percentage of above-ground biomass</w:t>
            </w:r>
          </w:p>
        </w:tc>
        <w:tc>
          <w:tcPr>
            <w:tcW w:w="1014" w:type="pct"/>
            <w:tcBorders>
              <w:top w:val="nil"/>
              <w:left w:val="nil"/>
              <w:right w:val="nil"/>
            </w:tcBorders>
          </w:tcPr>
          <w:p w14:paraId="393F6973" w14:textId="77777777" w:rsidR="00053418" w:rsidRPr="009E06AA" w:rsidRDefault="00053418" w:rsidP="00B55F24">
            <w:pPr>
              <w:pStyle w:val="TableText"/>
              <w:spacing w:before="20"/>
            </w:pPr>
            <w:r w:rsidRPr="009E06AA">
              <w:t>Paul et al. (unpublished(a))</w:t>
            </w:r>
          </w:p>
        </w:tc>
      </w:tr>
    </w:tbl>
    <w:p w14:paraId="032037DF" w14:textId="77777777" w:rsidR="00053418" w:rsidRPr="009E06AA" w:rsidRDefault="00053418" w:rsidP="00053418">
      <w:pPr>
        <w:pStyle w:val="Noteundertable"/>
      </w:pPr>
      <w:bookmarkStart w:id="1987" w:name="_Toc255466335"/>
      <w:bookmarkStart w:id="1988" w:name="_Toc261513142"/>
      <w:bookmarkStart w:id="1989" w:name="_Toc261513755"/>
      <w:r w:rsidRPr="009E06AA">
        <w:rPr>
          <w:b/>
          <w:bCs/>
        </w:rPr>
        <w:t>Note:</w:t>
      </w:r>
      <w:r w:rsidRPr="009E06AA">
        <w:tab/>
        <w:t>CRA = Calculation and Reporting Application.</w:t>
      </w:r>
    </w:p>
    <w:p w14:paraId="060C21BC" w14:textId="77777777" w:rsidR="00053418" w:rsidRPr="009E06AA" w:rsidRDefault="00053418" w:rsidP="00BF2A76">
      <w:pPr>
        <w:pStyle w:val="Heading5"/>
      </w:pPr>
      <w:r w:rsidRPr="009E06AA">
        <w:t>Soil organic carbon</w:t>
      </w:r>
      <w:bookmarkEnd w:id="1987"/>
      <w:bookmarkEnd w:id="1988"/>
      <w:bookmarkEnd w:id="1989"/>
      <w:r w:rsidRPr="009E06AA">
        <w:t xml:space="preserve"> </w:t>
      </w:r>
    </w:p>
    <w:p w14:paraId="1A76D3DC" w14:textId="77777777" w:rsidR="00053418" w:rsidRPr="009E06AA" w:rsidRDefault="00053418" w:rsidP="00053418">
      <w:pPr>
        <w:pStyle w:val="BodyText"/>
      </w:pPr>
      <w:r w:rsidRPr="009E06AA">
        <w:t xml:space="preserve">Soil organic carbon stocks in </w:t>
      </w:r>
      <w:r w:rsidRPr="009E06AA">
        <w:rPr>
          <w:i/>
        </w:rPr>
        <w:t>Forest land</w:t>
      </w:r>
      <w:r w:rsidRPr="009E06AA">
        <w:t xml:space="preserve"> </w:t>
      </w:r>
      <w:r w:rsidRPr="009E06AA">
        <w:rPr>
          <w:i/>
        </w:rPr>
        <w:t>remaining forest land</w:t>
      </w:r>
      <w:r w:rsidRPr="009E06AA">
        <w:t xml:space="preserve"> are estimated using a Tier 2 method for mineral soils, as described in annex A5.2.4 ‘Mineral soils’</w:t>
      </w:r>
      <w:r w:rsidRPr="009E06AA" w:rsidDel="00EC515B">
        <w:t>.</w:t>
      </w:r>
      <w:r w:rsidRPr="009E06AA">
        <w:t xml:space="preserve"> </w:t>
      </w:r>
    </w:p>
    <w:p w14:paraId="5BAA6FFC" w14:textId="77777777" w:rsidR="00053418" w:rsidRPr="009E06AA" w:rsidRDefault="00053418" w:rsidP="00053418">
      <w:pPr>
        <w:pStyle w:val="BodyText"/>
      </w:pPr>
      <w:r w:rsidRPr="009E06AA">
        <w:t>For organic soils, IPCC good practice guidance is limited to the estimation of carbon emissions associated with the drainage of organic soils in managed forests (IPCC, 2006a, section 4.2.3.1). In New Zealand, natural forests are not drained and, therefore, oxidation processes associated with drainage are not occurring. It is therefore assumed that there are no carbon emissions from organic soils in pre-1990 natural forest land remaining pre</w:t>
      </w:r>
      <w:r w:rsidRPr="009E06AA">
        <w:noBreakHyphen/>
        <w:t xml:space="preserve">1990 natural forest land. A Tier 1 approach for pre-1990 planted, post-1989 planted and post-1989 natural </w:t>
      </w:r>
      <w:r w:rsidRPr="009E06AA">
        <w:rPr>
          <w:i/>
          <w:iCs/>
        </w:rPr>
        <w:t>Forest land remaining forest land</w:t>
      </w:r>
      <w:r w:rsidRPr="009E06AA">
        <w:t xml:space="preserve"> is applied and is described further in annex A5.2.4 ‘Organic soils’. </w:t>
      </w:r>
    </w:p>
    <w:p w14:paraId="3496F5AB" w14:textId="77777777" w:rsidR="00053418" w:rsidRPr="009E06AA" w:rsidRDefault="00053418" w:rsidP="00BF2A76">
      <w:pPr>
        <w:pStyle w:val="Heading5"/>
      </w:pPr>
      <w:r w:rsidRPr="009E06AA">
        <w:t>Non-CO</w:t>
      </w:r>
      <w:r w:rsidRPr="009E06AA">
        <w:rPr>
          <w:vertAlign w:val="subscript"/>
        </w:rPr>
        <w:t>2</w:t>
      </w:r>
      <w:r w:rsidRPr="009E06AA">
        <w:t xml:space="preserve"> emissions for Forest land </w:t>
      </w:r>
    </w:p>
    <w:p w14:paraId="1E5B7E7C" w14:textId="77777777" w:rsidR="00053418" w:rsidRPr="009E06AA" w:rsidRDefault="00053418" w:rsidP="00053418">
      <w:pPr>
        <w:pStyle w:val="BodyText"/>
      </w:pPr>
      <w:r w:rsidRPr="009E06AA">
        <w:t>Direct and indirect N</w:t>
      </w:r>
      <w:r w:rsidRPr="009E06AA">
        <w:rPr>
          <w:vertAlign w:val="subscript"/>
        </w:rPr>
        <w:t>2</w:t>
      </w:r>
      <w:r w:rsidRPr="009E06AA">
        <w:t>O emissions from fertilisation of forest land and disturbance associated with land use management conversion are described in section 6.11. Note that the calculations of indirect N</w:t>
      </w:r>
      <w:r w:rsidRPr="009E06AA">
        <w:rPr>
          <w:vertAlign w:val="subscript"/>
        </w:rPr>
        <w:t>2</w:t>
      </w:r>
      <w:r w:rsidRPr="009E06AA">
        <w:t xml:space="preserve">O are not disaggregated by subcategory and are therefore not included in the emission subtotals for </w:t>
      </w:r>
      <w:r w:rsidRPr="009E06AA">
        <w:rPr>
          <w:i/>
        </w:rPr>
        <w:t>Forest land</w:t>
      </w:r>
      <w:r w:rsidRPr="009E06AA">
        <w:t>.</w:t>
      </w:r>
    </w:p>
    <w:p w14:paraId="37101AF6" w14:textId="77777777" w:rsidR="00053418" w:rsidRPr="009E06AA" w:rsidRDefault="00053418" w:rsidP="00053418">
      <w:pPr>
        <w:pStyle w:val="Heading4"/>
      </w:pPr>
      <w:bookmarkStart w:id="1990" w:name="_Toc255466343"/>
      <w:bookmarkStart w:id="1991" w:name="_Toc261513150"/>
      <w:bookmarkStart w:id="1992" w:name="_Toc261513763"/>
      <w:bookmarkStart w:id="1993" w:name="_Toc280630251"/>
      <w:r w:rsidRPr="009E06AA">
        <w:t>Land converted to forest land</w:t>
      </w:r>
      <w:bookmarkEnd w:id="1990"/>
      <w:bookmarkEnd w:id="1991"/>
      <w:bookmarkEnd w:id="1992"/>
      <w:bookmarkEnd w:id="1993"/>
      <w:r w:rsidRPr="009E06AA">
        <w:t xml:space="preserve"> (4.A.2)</w:t>
      </w:r>
    </w:p>
    <w:p w14:paraId="7FE726E1" w14:textId="7F926664" w:rsidR="00053418" w:rsidRPr="009E06AA" w:rsidRDefault="00053418" w:rsidP="00053418">
      <w:pPr>
        <w:pStyle w:val="BodyText"/>
        <w:spacing w:before="100" w:after="100"/>
      </w:pPr>
      <w:r w:rsidRPr="009E06AA">
        <w:t xml:space="preserve">All </w:t>
      </w:r>
      <w:r w:rsidRPr="009E06AA">
        <w:rPr>
          <w:i/>
        </w:rPr>
        <w:t>Land converted to forest land</w:t>
      </w:r>
      <w:r w:rsidRPr="009E06AA">
        <w:t xml:space="preserve"> since 1 January 1990, either by planting or as a result of</w:t>
      </w:r>
      <w:r w:rsidR="00CA334E" w:rsidRPr="009E06AA">
        <w:t> </w:t>
      </w:r>
      <w:r w:rsidRPr="009E06AA">
        <w:t>human-induced changes in land-management practice (e.g., removing grazing stock and</w:t>
      </w:r>
      <w:r w:rsidR="00CA334E" w:rsidRPr="009E06AA">
        <w:t> </w:t>
      </w:r>
      <w:r w:rsidRPr="009E06AA">
        <w:t>actively facilitating the regeneration of tree species), is included as post-1989 forest. Post</w:t>
      </w:r>
      <w:r w:rsidRPr="009E06AA">
        <w:noBreakHyphen/>
        <w:t>1989 forest is split into two divisions for calculating emissions and removals: post</w:t>
      </w:r>
      <w:r w:rsidRPr="009E06AA">
        <w:noBreakHyphen/>
        <w:t xml:space="preserve">1989 natural forest and post-1989 planted forest. </w:t>
      </w:r>
    </w:p>
    <w:p w14:paraId="61CB8BEF" w14:textId="77777777" w:rsidR="00053418" w:rsidRPr="009E06AA" w:rsidRDefault="00053418" w:rsidP="00053418">
      <w:pPr>
        <w:pStyle w:val="BodyText"/>
        <w:spacing w:before="100" w:after="100"/>
        <w:rPr>
          <w:spacing w:val="-2"/>
        </w:rPr>
      </w:pPr>
      <w:r w:rsidRPr="009E06AA">
        <w:t>The area of land converted to natural and planted forests is derived from a combination of land use mapping, national statistics and forestry scheme data. Further details on how the area of new forest establishment is calculated are provided in annex A5.2.2.</w:t>
      </w:r>
    </w:p>
    <w:p w14:paraId="58C435F3" w14:textId="77777777" w:rsidR="00053418" w:rsidRPr="009E06AA" w:rsidRDefault="00053418" w:rsidP="00053418">
      <w:pPr>
        <w:pStyle w:val="BodyText"/>
        <w:spacing w:before="100" w:after="100"/>
        <w:rPr>
          <w:spacing w:val="-2"/>
        </w:rPr>
      </w:pPr>
      <w:r w:rsidRPr="009E06AA">
        <w:rPr>
          <w:spacing w:val="-2"/>
        </w:rPr>
        <w:t xml:space="preserve">When non-forest land is converted to forest land, all carbon in living biomass that was present at the time of forest establishment is assumed to be instantly emitted as a result of forest establishment preparation, with the exception of </w:t>
      </w:r>
      <w:r w:rsidRPr="009E06AA">
        <w:rPr>
          <w:i/>
          <w:iCs/>
          <w:spacing w:val="-2"/>
        </w:rPr>
        <w:t>Grassland with woody biomass</w:t>
      </w:r>
      <w:r w:rsidRPr="009E06AA">
        <w:rPr>
          <w:spacing w:val="-2"/>
        </w:rPr>
        <w:t xml:space="preserve">. Conversions from </w:t>
      </w:r>
      <w:r w:rsidRPr="009E06AA">
        <w:rPr>
          <w:i/>
          <w:iCs/>
          <w:spacing w:val="-2"/>
        </w:rPr>
        <w:t>Grassland with woody biomass</w:t>
      </w:r>
      <w:r w:rsidRPr="009E06AA">
        <w:rPr>
          <w:spacing w:val="-2"/>
        </w:rPr>
        <w:t xml:space="preserve"> to post-1989 natural forest represent ecological succession and do not involve the clearance of vegetation. A special case yield table (see </w:t>
      </w:r>
      <w:r w:rsidRPr="009E06AA">
        <w:rPr>
          <w:rFonts w:asciiTheme="minorHAnsi" w:hAnsiTheme="minorHAnsi" w:cstheme="minorHAnsi"/>
        </w:rPr>
        <w:t>annex A5.2.</w:t>
      </w:r>
      <w:r w:rsidRPr="009E06AA" w:rsidDel="002D24D7">
        <w:rPr>
          <w:rFonts w:asciiTheme="minorHAnsi" w:hAnsiTheme="minorHAnsi" w:cstheme="minorHAnsi"/>
        </w:rPr>
        <w:t>5</w:t>
      </w:r>
      <w:r w:rsidRPr="009E06AA">
        <w:rPr>
          <w:rFonts w:asciiTheme="minorHAnsi" w:hAnsiTheme="minorHAnsi" w:cstheme="minorHAnsi"/>
        </w:rPr>
        <w:t xml:space="preserve">, </w:t>
      </w:r>
      <w:r w:rsidRPr="009E06AA">
        <w:rPr>
          <w:spacing w:val="-2"/>
        </w:rPr>
        <w:t>table A5.2.18) is used in these instances. This yield table has the same starting carbon stock as </w:t>
      </w:r>
      <w:r w:rsidRPr="009E06AA">
        <w:rPr>
          <w:i/>
          <w:iCs/>
          <w:spacing w:val="-2"/>
        </w:rPr>
        <w:t>Grassland with woody biomass</w:t>
      </w:r>
      <w:r w:rsidRPr="009E06AA">
        <w:rPr>
          <w:spacing w:val="-2"/>
        </w:rPr>
        <w:t xml:space="preserve">, therefore resulting in no net emissions occurring from biomass in the first year after conversion. This does not affect net </w:t>
      </w:r>
      <w:r w:rsidRPr="009E06AA">
        <w:t>CO</w:t>
      </w:r>
      <w:r w:rsidRPr="009E06AA">
        <w:rPr>
          <w:vertAlign w:val="subscript"/>
        </w:rPr>
        <w:t>2</w:t>
      </w:r>
      <w:r w:rsidRPr="009E06AA">
        <w:rPr>
          <w:spacing w:val="-2"/>
        </w:rPr>
        <w:t xml:space="preserve"> removals by the time the forest reaches the age of 30 years, but affects the year in which reported emissions and removals occur. </w:t>
      </w:r>
    </w:p>
    <w:p w14:paraId="7A569B38" w14:textId="77777777" w:rsidR="00053418" w:rsidRPr="009E06AA" w:rsidRDefault="00053418" w:rsidP="00053418">
      <w:pPr>
        <w:pStyle w:val="BodyText"/>
        <w:spacing w:before="100" w:after="100"/>
      </w:pPr>
      <w:r w:rsidRPr="009E06AA">
        <w:rPr>
          <w:rFonts w:asciiTheme="minorHAnsi" w:hAnsiTheme="minorHAnsi" w:cstheme="minorHAnsi"/>
        </w:rPr>
        <w:t>Of the non-forest land converted to post-1989 forest between 1990 and 2022, approximately</w:t>
      </w:r>
      <w:r w:rsidRPr="009E06AA">
        <w:rPr>
          <w:spacing w:val="-2"/>
        </w:rPr>
        <w:t xml:space="preserve"> 55.5 per cent has been converted from </w:t>
      </w:r>
      <w:r w:rsidRPr="009E06AA">
        <w:rPr>
          <w:i/>
          <w:iCs/>
          <w:spacing w:val="-2"/>
        </w:rPr>
        <w:t>L</w:t>
      </w:r>
      <w:r w:rsidRPr="009E06AA">
        <w:rPr>
          <w:i/>
          <w:spacing w:val="-2"/>
        </w:rPr>
        <w:t>ow producing grassland</w:t>
      </w:r>
      <w:r w:rsidRPr="009E06AA">
        <w:rPr>
          <w:spacing w:val="-2"/>
        </w:rPr>
        <w:t xml:space="preserve">, 19.9 per cent from </w:t>
      </w:r>
      <w:r w:rsidRPr="009E06AA">
        <w:rPr>
          <w:i/>
          <w:iCs/>
          <w:spacing w:val="-2"/>
        </w:rPr>
        <w:t>Grassland with woody biomass</w:t>
      </w:r>
      <w:r w:rsidRPr="009E06AA">
        <w:rPr>
          <w:spacing w:val="-2"/>
        </w:rPr>
        <w:t xml:space="preserve"> and a further 24.9 per cent from high producing grassland. Note that the grassland type allocated to afforestation in non-mapped years is proportionally based on previously mapped years. </w:t>
      </w:r>
      <w:r w:rsidRPr="009E06AA">
        <w:rPr>
          <w:i/>
          <w:iCs/>
          <w:spacing w:val="-2"/>
        </w:rPr>
        <w:t>Grassland with woody biomass</w:t>
      </w:r>
      <w:r w:rsidRPr="009E06AA">
        <w:rPr>
          <w:spacing w:val="-2"/>
        </w:rPr>
        <w:t xml:space="preserve"> provides the largest source of emissions associated with land-use change to planted forest, due to the amount of biomass present before land use conversion. </w:t>
      </w:r>
    </w:p>
    <w:p w14:paraId="678D9B6B" w14:textId="77777777" w:rsidR="00053418" w:rsidRPr="009E06AA" w:rsidRDefault="00053418" w:rsidP="00053418">
      <w:pPr>
        <w:pStyle w:val="BodyText"/>
        <w:spacing w:before="100" w:after="100"/>
      </w:pPr>
      <w:r w:rsidRPr="009E06AA">
        <w:t>Details on the methods, plot network, sampling framework and biomass pools for both post</w:t>
      </w:r>
      <w:r w:rsidRPr="009E06AA">
        <w:noBreakHyphen/>
        <w:t xml:space="preserve">1989 planted and post-1989 natural forest are provided in annex A5.2.5 ‘National forest inventory’. </w:t>
      </w:r>
    </w:p>
    <w:p w14:paraId="3E903D40" w14:textId="77777777" w:rsidR="00053418" w:rsidRPr="009E06AA" w:rsidRDefault="00053418" w:rsidP="00053418">
      <w:pPr>
        <w:pStyle w:val="Heading3"/>
      </w:pPr>
      <w:bookmarkStart w:id="1994" w:name="_Toc255466354"/>
      <w:bookmarkStart w:id="1995" w:name="_Toc261513161"/>
      <w:bookmarkStart w:id="1996" w:name="_Toc261513774"/>
      <w:bookmarkStart w:id="1997" w:name="_Toc280630254"/>
      <w:bookmarkStart w:id="1998" w:name="_Toc373395713"/>
      <w:r w:rsidRPr="009E06AA">
        <w:t>6</w:t>
      </w:r>
      <w:bookmarkStart w:id="1999" w:name="_Hlk73363629"/>
      <w:r w:rsidRPr="009E06AA">
        <w:t>.4.3</w:t>
      </w:r>
      <w:r w:rsidRPr="009E06AA">
        <w:tab/>
        <w:t>Uncertainty assessment and time-series consistency</w:t>
      </w:r>
      <w:bookmarkEnd w:id="1994"/>
      <w:bookmarkEnd w:id="1995"/>
      <w:bookmarkEnd w:id="1996"/>
      <w:bookmarkEnd w:id="1997"/>
      <w:bookmarkEnd w:id="1998"/>
    </w:p>
    <w:p w14:paraId="3E8A90E0" w14:textId="77777777" w:rsidR="00053418" w:rsidRPr="009E06AA" w:rsidRDefault="00053418" w:rsidP="00053418">
      <w:pPr>
        <w:pStyle w:val="BodyText"/>
      </w:pPr>
      <w:r w:rsidRPr="009E06AA">
        <w:t xml:space="preserve">The uncertainty in net carbon emissions from </w:t>
      </w:r>
      <w:r w:rsidRPr="009E06AA">
        <w:rPr>
          <w:i/>
          <w:iCs/>
        </w:rPr>
        <w:t>Forest land</w:t>
      </w:r>
      <w:r w:rsidRPr="009E06AA">
        <w:t xml:space="preserve"> was 66.9 per cent in 2022. The uncertainty in net carbon emissions from </w:t>
      </w:r>
      <w:r w:rsidRPr="009E06AA">
        <w:rPr>
          <w:i/>
        </w:rPr>
        <w:t>Forest land</w:t>
      </w:r>
      <w:r w:rsidRPr="009E06AA">
        <w:t xml:space="preserve"> accounted for 60.9 per cent of the total uncertainty in emissions from the LULUCF sector. The uncertainty associated with the emissions from each forest class is shown in table 6.4.9. The methods used to calculate the uncertainty are further described in annex A5.2.8. </w:t>
      </w:r>
    </w:p>
    <w:p w14:paraId="64E4A5EF" w14:textId="77777777" w:rsidR="00053418" w:rsidRPr="009E06AA" w:rsidRDefault="00053418" w:rsidP="00053418">
      <w:pPr>
        <w:pStyle w:val="BodyText"/>
      </w:pPr>
      <w:r w:rsidRPr="009E06AA">
        <w:t xml:space="preserve">Time-series consistency is ensured by applying consistent methods and full recalculations in the event of any refinement or improvement to methodology. </w:t>
      </w:r>
    </w:p>
    <w:p w14:paraId="32BEA362" w14:textId="77777777" w:rsidR="00053418" w:rsidRPr="009E06AA" w:rsidRDefault="00053418" w:rsidP="00053418">
      <w:pPr>
        <w:pStyle w:val="Table"/>
      </w:pPr>
      <w:bookmarkStart w:id="2000" w:name="_Toc131591399"/>
      <w:bookmarkStart w:id="2001" w:name="_Toc158979957"/>
      <w:bookmarkStart w:id="2002" w:name="_Toc164153890"/>
      <w:r w:rsidRPr="009E06AA">
        <w:t>Table 6.4.9</w:t>
      </w:r>
      <w:r w:rsidRPr="009E06AA">
        <w:tab/>
        <w:t xml:space="preserve">Uncertainty in carbon stock change emissions in 2022 from </w:t>
      </w:r>
      <w:r w:rsidRPr="009E06AA">
        <w:rPr>
          <w:i/>
        </w:rPr>
        <w:t>Forest land</w:t>
      </w:r>
      <w:bookmarkEnd w:id="2000"/>
      <w:bookmarkEnd w:id="2001"/>
      <w:bookmarkEnd w:id="2002"/>
    </w:p>
    <w:tbl>
      <w:tblPr>
        <w:tblW w:w="8505" w:type="dxa"/>
        <w:tblLayout w:type="fixed"/>
        <w:tblLook w:val="04A0" w:firstRow="1" w:lastRow="0" w:firstColumn="1" w:lastColumn="0" w:noHBand="0" w:noVBand="1"/>
      </w:tblPr>
      <w:tblGrid>
        <w:gridCol w:w="1985"/>
        <w:gridCol w:w="1559"/>
        <w:gridCol w:w="2126"/>
        <w:gridCol w:w="2835"/>
      </w:tblGrid>
      <w:tr w:rsidR="00053418" w:rsidRPr="009E06AA" w14:paraId="6AD3D4C0" w14:textId="77777777" w:rsidTr="00B55F24">
        <w:tc>
          <w:tcPr>
            <w:tcW w:w="1985" w:type="dxa"/>
            <w:tcBorders>
              <w:top w:val="single" w:sz="4" w:space="0" w:color="1B556B" w:themeColor="text2"/>
            </w:tcBorders>
            <w:shd w:val="clear" w:color="auto" w:fill="1B556B" w:themeFill="text2"/>
            <w:vAlign w:val="bottom"/>
          </w:tcPr>
          <w:p w14:paraId="568EAD1C" w14:textId="77777777" w:rsidR="00053418" w:rsidRPr="009E06AA" w:rsidRDefault="00053418" w:rsidP="00B55F24">
            <w:pPr>
              <w:pStyle w:val="TableTextBold"/>
              <w:spacing w:before="50" w:after="50"/>
              <w:rPr>
                <w:noProof w:val="0"/>
                <w:color w:val="FFFFFF"/>
                <w:szCs w:val="16"/>
              </w:rPr>
            </w:pPr>
          </w:p>
        </w:tc>
        <w:tc>
          <w:tcPr>
            <w:tcW w:w="1559" w:type="dxa"/>
            <w:tcBorders>
              <w:top w:val="single" w:sz="4" w:space="0" w:color="1B556B" w:themeColor="text2"/>
            </w:tcBorders>
            <w:shd w:val="clear" w:color="auto" w:fill="1B556B" w:themeFill="text2"/>
            <w:vAlign w:val="bottom"/>
          </w:tcPr>
          <w:p w14:paraId="3A93E217" w14:textId="77777777" w:rsidR="00053418" w:rsidRPr="009E06AA" w:rsidRDefault="00053418" w:rsidP="000C57A2">
            <w:pPr>
              <w:pStyle w:val="TableTextBold"/>
              <w:spacing w:before="50" w:after="50"/>
              <w:jc w:val="right"/>
              <w:rPr>
                <w:noProof w:val="0"/>
                <w:color w:val="FFFFFF"/>
                <w:szCs w:val="16"/>
              </w:rPr>
            </w:pPr>
            <w:r w:rsidRPr="009E06AA">
              <w:rPr>
                <w:noProof w:val="0"/>
                <w:color w:val="FFFFFF"/>
                <w:szCs w:val="16"/>
              </w:rPr>
              <w:t>Emissions (kt CO</w:t>
            </w:r>
            <w:r w:rsidRPr="009E06AA">
              <w:rPr>
                <w:noProof w:val="0"/>
                <w:color w:val="FFFFFF"/>
                <w:szCs w:val="16"/>
                <w:vertAlign w:val="subscript"/>
              </w:rPr>
              <w:t>2</w:t>
            </w:r>
            <w:r w:rsidRPr="009E06AA">
              <w:rPr>
                <w:noProof w:val="0"/>
                <w:color w:val="FFFFFF"/>
                <w:szCs w:val="16"/>
              </w:rPr>
              <w:t>-e)</w:t>
            </w:r>
          </w:p>
        </w:tc>
        <w:tc>
          <w:tcPr>
            <w:tcW w:w="2126" w:type="dxa"/>
            <w:tcBorders>
              <w:top w:val="single" w:sz="4" w:space="0" w:color="1B556B" w:themeColor="text2"/>
            </w:tcBorders>
            <w:shd w:val="clear" w:color="auto" w:fill="1B556B" w:themeFill="text2"/>
            <w:vAlign w:val="bottom"/>
          </w:tcPr>
          <w:p w14:paraId="56555ACE" w14:textId="77777777" w:rsidR="00053418" w:rsidRPr="009E06AA" w:rsidRDefault="00053418" w:rsidP="000C57A2">
            <w:pPr>
              <w:pStyle w:val="TableTextBold"/>
              <w:spacing w:before="50" w:after="50"/>
              <w:jc w:val="right"/>
              <w:rPr>
                <w:noProof w:val="0"/>
                <w:color w:val="FFFFFF"/>
                <w:szCs w:val="16"/>
              </w:rPr>
            </w:pPr>
            <w:r w:rsidRPr="009E06AA">
              <w:rPr>
                <w:noProof w:val="0"/>
                <w:color w:val="FFFFFF"/>
                <w:szCs w:val="16"/>
              </w:rPr>
              <w:t>Uncertainty in emissions (%)</w:t>
            </w:r>
          </w:p>
        </w:tc>
        <w:tc>
          <w:tcPr>
            <w:tcW w:w="2835" w:type="dxa"/>
            <w:tcBorders>
              <w:top w:val="single" w:sz="4" w:space="0" w:color="1B556B" w:themeColor="text2"/>
            </w:tcBorders>
            <w:shd w:val="clear" w:color="auto" w:fill="1B556B" w:themeFill="text2"/>
            <w:vAlign w:val="bottom"/>
          </w:tcPr>
          <w:p w14:paraId="2389717F" w14:textId="77777777" w:rsidR="00053418" w:rsidRPr="009E06AA" w:rsidRDefault="00053418" w:rsidP="000C57A2">
            <w:pPr>
              <w:pStyle w:val="TableTextBold"/>
              <w:spacing w:before="50" w:after="50"/>
              <w:jc w:val="right"/>
              <w:rPr>
                <w:noProof w:val="0"/>
                <w:color w:val="FFFFFF"/>
                <w:szCs w:val="16"/>
              </w:rPr>
            </w:pPr>
            <w:r w:rsidRPr="009E06AA">
              <w:rPr>
                <w:noProof w:val="0"/>
                <w:color w:val="FFFFFF"/>
                <w:szCs w:val="16"/>
              </w:rPr>
              <w:t>Contribution to LULUCF uncertainty (%)</w:t>
            </w:r>
          </w:p>
        </w:tc>
      </w:tr>
      <w:tr w:rsidR="00053418" w:rsidRPr="009E06AA" w14:paraId="532C5132" w14:textId="77777777" w:rsidTr="00B55F24">
        <w:tc>
          <w:tcPr>
            <w:tcW w:w="1985" w:type="dxa"/>
            <w:tcBorders>
              <w:top w:val="single" w:sz="4" w:space="0" w:color="1B556B" w:themeColor="text2"/>
              <w:bottom w:val="single" w:sz="4" w:space="0" w:color="365F91"/>
            </w:tcBorders>
            <w:vAlign w:val="bottom"/>
          </w:tcPr>
          <w:p w14:paraId="5B95ABC1" w14:textId="77777777" w:rsidR="00053418" w:rsidRPr="009E06AA" w:rsidRDefault="00053418" w:rsidP="00B55F24">
            <w:pPr>
              <w:pStyle w:val="TableText"/>
              <w:spacing w:before="50" w:after="50"/>
              <w:rPr>
                <w:szCs w:val="16"/>
              </w:rPr>
            </w:pPr>
            <w:r w:rsidRPr="009E06AA">
              <w:rPr>
                <w:rFonts w:cs="Calibri"/>
                <w:color w:val="000000"/>
                <w:szCs w:val="16"/>
              </w:rPr>
              <w:t>Pre-1990 planted forest</w:t>
            </w:r>
          </w:p>
        </w:tc>
        <w:tc>
          <w:tcPr>
            <w:tcW w:w="1559" w:type="dxa"/>
            <w:tcBorders>
              <w:top w:val="single" w:sz="4" w:space="0" w:color="1B556B" w:themeColor="text2"/>
              <w:bottom w:val="single" w:sz="4" w:space="0" w:color="365F91"/>
            </w:tcBorders>
            <w:vAlign w:val="bottom"/>
          </w:tcPr>
          <w:p w14:paraId="17EAFB6F" w14:textId="77777777" w:rsidR="00053418" w:rsidRPr="009E06AA" w:rsidRDefault="00053418" w:rsidP="000C57A2">
            <w:pPr>
              <w:pStyle w:val="TableText"/>
              <w:spacing w:before="50" w:after="50"/>
              <w:jc w:val="right"/>
              <w:rPr>
                <w:szCs w:val="16"/>
              </w:rPr>
            </w:pPr>
            <w:r w:rsidRPr="009E06AA">
              <w:rPr>
                <w:rFonts w:cs="Calibri"/>
                <w:color w:val="000000"/>
                <w:szCs w:val="16"/>
              </w:rPr>
              <w:t>-12,614.0</w:t>
            </w:r>
          </w:p>
        </w:tc>
        <w:tc>
          <w:tcPr>
            <w:tcW w:w="2126" w:type="dxa"/>
            <w:tcBorders>
              <w:top w:val="single" w:sz="4" w:space="0" w:color="1B556B" w:themeColor="text2"/>
              <w:bottom w:val="single" w:sz="4" w:space="0" w:color="365F91"/>
            </w:tcBorders>
            <w:vAlign w:val="bottom"/>
          </w:tcPr>
          <w:p w14:paraId="2CBC8F84" w14:textId="77777777" w:rsidR="00053418" w:rsidRPr="009E06AA" w:rsidRDefault="00053418" w:rsidP="000C57A2">
            <w:pPr>
              <w:pStyle w:val="TableText"/>
              <w:spacing w:before="50" w:after="50"/>
              <w:jc w:val="right"/>
              <w:rPr>
                <w:rFonts w:cs="Segoe UI"/>
                <w:szCs w:val="16"/>
              </w:rPr>
            </w:pPr>
            <w:r w:rsidRPr="009E06AA">
              <w:rPr>
                <w:rFonts w:cs="Calibri"/>
                <w:color w:val="000000"/>
                <w:szCs w:val="16"/>
              </w:rPr>
              <w:t>80.9</w:t>
            </w:r>
          </w:p>
        </w:tc>
        <w:tc>
          <w:tcPr>
            <w:tcW w:w="2835" w:type="dxa"/>
            <w:tcBorders>
              <w:top w:val="single" w:sz="4" w:space="0" w:color="1B556B" w:themeColor="text2"/>
              <w:bottom w:val="single" w:sz="4" w:space="0" w:color="365F91"/>
            </w:tcBorders>
            <w:vAlign w:val="bottom"/>
          </w:tcPr>
          <w:p w14:paraId="58DA8BA6" w14:textId="77777777" w:rsidR="00053418" w:rsidRPr="009E06AA" w:rsidRDefault="00053418" w:rsidP="000C57A2">
            <w:pPr>
              <w:pStyle w:val="TableText"/>
              <w:spacing w:before="50" w:after="50"/>
              <w:jc w:val="right"/>
              <w:rPr>
                <w:rFonts w:cs="Segoe UI"/>
                <w:szCs w:val="16"/>
              </w:rPr>
            </w:pPr>
            <w:r w:rsidRPr="009E06AA">
              <w:rPr>
                <w:rFonts w:cs="Calibri"/>
                <w:color w:val="000000"/>
                <w:szCs w:val="16"/>
              </w:rPr>
              <w:t>53.0</w:t>
            </w:r>
          </w:p>
        </w:tc>
      </w:tr>
      <w:tr w:rsidR="00053418" w:rsidRPr="009E06AA" w14:paraId="5BA6CD2C" w14:textId="77777777" w:rsidTr="00B55F24">
        <w:tc>
          <w:tcPr>
            <w:tcW w:w="1985" w:type="dxa"/>
            <w:tcBorders>
              <w:top w:val="single" w:sz="4" w:space="0" w:color="365F91"/>
              <w:bottom w:val="single" w:sz="4" w:space="0" w:color="365F91"/>
            </w:tcBorders>
            <w:vAlign w:val="bottom"/>
          </w:tcPr>
          <w:p w14:paraId="6633C899" w14:textId="77777777" w:rsidR="00053418" w:rsidRPr="009E06AA" w:rsidRDefault="00053418" w:rsidP="00B55F24">
            <w:pPr>
              <w:pStyle w:val="TableText"/>
              <w:spacing w:before="50" w:after="50"/>
              <w:rPr>
                <w:szCs w:val="16"/>
              </w:rPr>
            </w:pPr>
            <w:r w:rsidRPr="009E06AA">
              <w:rPr>
                <w:rFonts w:cs="Calibri"/>
                <w:color w:val="000000"/>
                <w:szCs w:val="16"/>
              </w:rPr>
              <w:t>Post-1989 planted forest</w:t>
            </w:r>
          </w:p>
        </w:tc>
        <w:tc>
          <w:tcPr>
            <w:tcW w:w="1559" w:type="dxa"/>
            <w:tcBorders>
              <w:top w:val="single" w:sz="4" w:space="0" w:color="365F91"/>
              <w:bottom w:val="single" w:sz="4" w:space="0" w:color="365F91"/>
            </w:tcBorders>
            <w:vAlign w:val="bottom"/>
          </w:tcPr>
          <w:p w14:paraId="6BA382D3" w14:textId="77777777" w:rsidR="00053418" w:rsidRPr="009E06AA" w:rsidRDefault="00053418" w:rsidP="000C57A2">
            <w:pPr>
              <w:pStyle w:val="TableText"/>
              <w:spacing w:before="50" w:after="50"/>
              <w:jc w:val="right"/>
              <w:rPr>
                <w:szCs w:val="16"/>
              </w:rPr>
            </w:pPr>
            <w:r w:rsidRPr="009E06AA">
              <w:rPr>
                <w:rFonts w:cs="Calibri"/>
                <w:color w:val="000000"/>
                <w:szCs w:val="16"/>
              </w:rPr>
              <w:t>-2,759.2</w:t>
            </w:r>
          </w:p>
        </w:tc>
        <w:tc>
          <w:tcPr>
            <w:tcW w:w="2126" w:type="dxa"/>
            <w:tcBorders>
              <w:top w:val="single" w:sz="4" w:space="0" w:color="365F91"/>
              <w:bottom w:val="single" w:sz="4" w:space="0" w:color="365F91"/>
            </w:tcBorders>
            <w:vAlign w:val="bottom"/>
          </w:tcPr>
          <w:p w14:paraId="7ADED268" w14:textId="77777777" w:rsidR="00053418" w:rsidRPr="009E06AA" w:rsidRDefault="00053418" w:rsidP="000C57A2">
            <w:pPr>
              <w:pStyle w:val="TableText"/>
              <w:spacing w:before="50" w:after="50"/>
              <w:jc w:val="right"/>
              <w:rPr>
                <w:rFonts w:cs="Segoe UI"/>
                <w:szCs w:val="16"/>
              </w:rPr>
            </w:pPr>
            <w:r w:rsidRPr="009E06AA">
              <w:rPr>
                <w:rFonts w:cs="Calibri"/>
                <w:color w:val="000000"/>
                <w:szCs w:val="16"/>
              </w:rPr>
              <w:t>163.1</w:t>
            </w:r>
          </w:p>
        </w:tc>
        <w:tc>
          <w:tcPr>
            <w:tcW w:w="2835" w:type="dxa"/>
            <w:tcBorders>
              <w:top w:val="single" w:sz="4" w:space="0" w:color="365F91"/>
              <w:bottom w:val="single" w:sz="4" w:space="0" w:color="365F91"/>
            </w:tcBorders>
            <w:vAlign w:val="bottom"/>
          </w:tcPr>
          <w:p w14:paraId="513AE66D" w14:textId="77777777" w:rsidR="00053418" w:rsidRPr="009E06AA" w:rsidRDefault="00053418" w:rsidP="000C57A2">
            <w:pPr>
              <w:pStyle w:val="TableText"/>
              <w:spacing w:before="50" w:after="50"/>
              <w:jc w:val="right"/>
              <w:rPr>
                <w:rFonts w:cs="Segoe UI"/>
                <w:szCs w:val="16"/>
              </w:rPr>
            </w:pPr>
            <w:r w:rsidRPr="009E06AA">
              <w:rPr>
                <w:rFonts w:cs="Calibri"/>
                <w:color w:val="000000"/>
                <w:szCs w:val="16"/>
              </w:rPr>
              <w:t>23.4</w:t>
            </w:r>
          </w:p>
        </w:tc>
      </w:tr>
      <w:tr w:rsidR="00053418" w:rsidRPr="009E06AA" w14:paraId="3FDA781F" w14:textId="77777777" w:rsidTr="00B55F24">
        <w:tc>
          <w:tcPr>
            <w:tcW w:w="1985" w:type="dxa"/>
            <w:tcBorders>
              <w:top w:val="single" w:sz="4" w:space="0" w:color="365F91"/>
              <w:bottom w:val="single" w:sz="4" w:space="0" w:color="365F91"/>
            </w:tcBorders>
            <w:vAlign w:val="bottom"/>
          </w:tcPr>
          <w:p w14:paraId="2919E834" w14:textId="77777777" w:rsidR="00053418" w:rsidRPr="009E06AA" w:rsidRDefault="00053418" w:rsidP="00B55F24">
            <w:pPr>
              <w:pStyle w:val="TableText"/>
              <w:spacing w:before="50" w:after="50"/>
              <w:rPr>
                <w:szCs w:val="16"/>
              </w:rPr>
            </w:pPr>
            <w:r w:rsidRPr="009E06AA">
              <w:rPr>
                <w:rFonts w:cs="Calibri"/>
                <w:color w:val="000000"/>
                <w:szCs w:val="16"/>
              </w:rPr>
              <w:t>Pre-1990 natural forest</w:t>
            </w:r>
          </w:p>
        </w:tc>
        <w:tc>
          <w:tcPr>
            <w:tcW w:w="1559" w:type="dxa"/>
            <w:tcBorders>
              <w:top w:val="single" w:sz="4" w:space="0" w:color="365F91"/>
              <w:bottom w:val="single" w:sz="4" w:space="0" w:color="365F91"/>
            </w:tcBorders>
            <w:vAlign w:val="bottom"/>
          </w:tcPr>
          <w:p w14:paraId="61EDD6D9" w14:textId="77777777" w:rsidR="00053418" w:rsidRPr="009E06AA" w:rsidRDefault="00053418" w:rsidP="000C57A2">
            <w:pPr>
              <w:pStyle w:val="TableText"/>
              <w:spacing w:before="50" w:after="50"/>
              <w:jc w:val="right"/>
              <w:rPr>
                <w:szCs w:val="16"/>
              </w:rPr>
            </w:pPr>
            <w:r w:rsidRPr="009E06AA">
              <w:rPr>
                <w:rFonts w:cs="Calibri"/>
                <w:color w:val="000000"/>
                <w:szCs w:val="16"/>
              </w:rPr>
              <w:t>-1,440.1</w:t>
            </w:r>
          </w:p>
        </w:tc>
        <w:tc>
          <w:tcPr>
            <w:tcW w:w="2126" w:type="dxa"/>
            <w:tcBorders>
              <w:top w:val="single" w:sz="4" w:space="0" w:color="365F91"/>
              <w:bottom w:val="single" w:sz="4" w:space="0" w:color="365F91"/>
            </w:tcBorders>
            <w:vAlign w:val="bottom"/>
          </w:tcPr>
          <w:p w14:paraId="7C58395D" w14:textId="77777777" w:rsidR="00053418" w:rsidRPr="009E06AA" w:rsidRDefault="00053418" w:rsidP="000C57A2">
            <w:pPr>
              <w:pStyle w:val="TableText"/>
              <w:spacing w:before="50" w:after="50"/>
              <w:jc w:val="right"/>
              <w:rPr>
                <w:rFonts w:cs="Segoe UI"/>
                <w:szCs w:val="16"/>
              </w:rPr>
            </w:pPr>
            <w:r w:rsidRPr="009E06AA">
              <w:rPr>
                <w:rFonts w:cs="Calibri"/>
                <w:color w:val="000000"/>
                <w:szCs w:val="16"/>
              </w:rPr>
              <w:t>250.2</w:t>
            </w:r>
          </w:p>
        </w:tc>
        <w:tc>
          <w:tcPr>
            <w:tcW w:w="2835" w:type="dxa"/>
            <w:tcBorders>
              <w:top w:val="single" w:sz="4" w:space="0" w:color="365F91"/>
              <w:bottom w:val="single" w:sz="4" w:space="0" w:color="365F91"/>
            </w:tcBorders>
            <w:vAlign w:val="bottom"/>
          </w:tcPr>
          <w:p w14:paraId="5F9DB29F" w14:textId="77777777" w:rsidR="00053418" w:rsidRPr="009E06AA" w:rsidRDefault="00053418" w:rsidP="000C57A2">
            <w:pPr>
              <w:pStyle w:val="TableText"/>
              <w:spacing w:before="50" w:after="50"/>
              <w:jc w:val="right"/>
              <w:rPr>
                <w:rFonts w:cs="Segoe UI"/>
                <w:szCs w:val="16"/>
              </w:rPr>
            </w:pPr>
            <w:r w:rsidRPr="009E06AA">
              <w:rPr>
                <w:rFonts w:cs="Calibri"/>
                <w:color w:val="000000"/>
                <w:szCs w:val="16"/>
              </w:rPr>
              <w:t>18.7</w:t>
            </w:r>
          </w:p>
        </w:tc>
      </w:tr>
      <w:tr w:rsidR="00053418" w:rsidRPr="009E06AA" w14:paraId="34E353B6" w14:textId="77777777" w:rsidTr="00B55F24">
        <w:tc>
          <w:tcPr>
            <w:tcW w:w="1985" w:type="dxa"/>
            <w:tcBorders>
              <w:top w:val="single" w:sz="4" w:space="0" w:color="365F91"/>
              <w:bottom w:val="single" w:sz="4" w:space="0" w:color="365F91"/>
            </w:tcBorders>
            <w:vAlign w:val="bottom"/>
          </w:tcPr>
          <w:p w14:paraId="3B3F087E" w14:textId="77777777" w:rsidR="00053418" w:rsidRPr="009E06AA" w:rsidRDefault="00053418" w:rsidP="00B55F24">
            <w:pPr>
              <w:pStyle w:val="TableText"/>
              <w:spacing w:before="50" w:after="50"/>
              <w:rPr>
                <w:szCs w:val="16"/>
              </w:rPr>
            </w:pPr>
            <w:r w:rsidRPr="009E06AA">
              <w:rPr>
                <w:rFonts w:cs="Calibri"/>
                <w:color w:val="000000"/>
                <w:szCs w:val="16"/>
              </w:rPr>
              <w:t>Post-1989 natural forest</w:t>
            </w:r>
          </w:p>
        </w:tc>
        <w:tc>
          <w:tcPr>
            <w:tcW w:w="1559" w:type="dxa"/>
            <w:tcBorders>
              <w:top w:val="single" w:sz="4" w:space="0" w:color="365F91"/>
              <w:bottom w:val="single" w:sz="4" w:space="0" w:color="365F91"/>
            </w:tcBorders>
            <w:vAlign w:val="bottom"/>
          </w:tcPr>
          <w:p w14:paraId="7C358B55" w14:textId="77777777" w:rsidR="00053418" w:rsidRPr="009E06AA" w:rsidRDefault="00053418" w:rsidP="000C57A2">
            <w:pPr>
              <w:pStyle w:val="TableText"/>
              <w:spacing w:before="50" w:after="50"/>
              <w:jc w:val="right"/>
              <w:rPr>
                <w:szCs w:val="16"/>
              </w:rPr>
            </w:pPr>
            <w:r w:rsidRPr="009E06AA">
              <w:rPr>
                <w:rFonts w:cs="Calibri"/>
                <w:color w:val="000000"/>
                <w:szCs w:val="16"/>
              </w:rPr>
              <w:t>-719.2</w:t>
            </w:r>
          </w:p>
        </w:tc>
        <w:tc>
          <w:tcPr>
            <w:tcW w:w="2126" w:type="dxa"/>
            <w:tcBorders>
              <w:top w:val="single" w:sz="4" w:space="0" w:color="365F91"/>
              <w:bottom w:val="single" w:sz="4" w:space="0" w:color="365F91"/>
            </w:tcBorders>
            <w:vAlign w:val="bottom"/>
          </w:tcPr>
          <w:p w14:paraId="2D2F399C" w14:textId="77777777" w:rsidR="00053418" w:rsidRPr="009E06AA" w:rsidRDefault="00053418" w:rsidP="000C57A2">
            <w:pPr>
              <w:pStyle w:val="TableText"/>
              <w:spacing w:before="50" w:after="50"/>
              <w:jc w:val="right"/>
              <w:rPr>
                <w:rFonts w:cs="Segoe UI"/>
                <w:szCs w:val="16"/>
              </w:rPr>
            </w:pPr>
            <w:r w:rsidRPr="009E06AA">
              <w:rPr>
                <w:rFonts w:cs="Calibri"/>
                <w:color w:val="000000"/>
                <w:szCs w:val="16"/>
              </w:rPr>
              <w:t>35.4</w:t>
            </w:r>
          </w:p>
        </w:tc>
        <w:tc>
          <w:tcPr>
            <w:tcW w:w="2835" w:type="dxa"/>
            <w:tcBorders>
              <w:top w:val="single" w:sz="4" w:space="0" w:color="365F91"/>
              <w:bottom w:val="single" w:sz="4" w:space="0" w:color="365F91"/>
            </w:tcBorders>
            <w:vAlign w:val="bottom"/>
          </w:tcPr>
          <w:p w14:paraId="07C1E7B9" w14:textId="77777777" w:rsidR="00053418" w:rsidRPr="009E06AA" w:rsidRDefault="00053418" w:rsidP="000C57A2">
            <w:pPr>
              <w:pStyle w:val="TableText"/>
              <w:spacing w:before="50" w:after="50"/>
              <w:jc w:val="right"/>
              <w:rPr>
                <w:rFonts w:cs="Segoe UI"/>
                <w:szCs w:val="16"/>
              </w:rPr>
            </w:pPr>
            <w:r w:rsidRPr="009E06AA">
              <w:rPr>
                <w:rFonts w:cs="Calibri"/>
                <w:color w:val="000000"/>
                <w:szCs w:val="16"/>
              </w:rPr>
              <w:t>1.3</w:t>
            </w:r>
          </w:p>
        </w:tc>
      </w:tr>
      <w:tr w:rsidR="00053418" w:rsidRPr="009E06AA" w14:paraId="52FECBF9" w14:textId="77777777" w:rsidTr="00B55F24">
        <w:tc>
          <w:tcPr>
            <w:tcW w:w="1985" w:type="dxa"/>
            <w:tcBorders>
              <w:top w:val="single" w:sz="4" w:space="0" w:color="365F91"/>
              <w:bottom w:val="single" w:sz="4" w:space="0" w:color="365F91"/>
            </w:tcBorders>
          </w:tcPr>
          <w:p w14:paraId="100F4D1B" w14:textId="77777777" w:rsidR="00053418" w:rsidRPr="009E06AA" w:rsidRDefault="00053418" w:rsidP="00B55F24">
            <w:pPr>
              <w:pStyle w:val="Tableboldblue"/>
              <w:spacing w:before="50" w:after="50"/>
              <w:jc w:val="right"/>
              <w:rPr>
                <w:rFonts w:ascii="Arial Bold" w:hAnsi="Arial Bold" w:cs="Arial Bold"/>
                <w:color w:val="000000"/>
                <w:szCs w:val="16"/>
              </w:rPr>
            </w:pPr>
            <w:r w:rsidRPr="009E06AA">
              <w:rPr>
                <w:szCs w:val="16"/>
              </w:rPr>
              <w:t>Total</w:t>
            </w:r>
            <w:r w:rsidRPr="009E06AA">
              <w:rPr>
                <w:rFonts w:ascii="Arial Bold" w:hAnsi="Arial Bold" w:cs="Arial Bold"/>
                <w:color w:val="000000"/>
                <w:szCs w:val="16"/>
              </w:rPr>
              <w:t xml:space="preserve"> </w:t>
            </w:r>
          </w:p>
        </w:tc>
        <w:tc>
          <w:tcPr>
            <w:tcW w:w="1559" w:type="dxa"/>
            <w:tcBorders>
              <w:top w:val="single" w:sz="4" w:space="0" w:color="365F91"/>
              <w:bottom w:val="single" w:sz="4" w:space="0" w:color="365F91"/>
            </w:tcBorders>
            <w:vAlign w:val="bottom"/>
          </w:tcPr>
          <w:p w14:paraId="360DAC12" w14:textId="77777777" w:rsidR="00053418" w:rsidRPr="009E06AA" w:rsidRDefault="00053418" w:rsidP="000C57A2">
            <w:pPr>
              <w:pStyle w:val="Tableboldblue"/>
              <w:spacing w:before="50" w:after="50"/>
              <w:jc w:val="right"/>
              <w:rPr>
                <w:rFonts w:cs="Calibri"/>
              </w:rPr>
            </w:pPr>
            <w:r w:rsidRPr="009E06AA">
              <w:rPr>
                <w:rFonts w:cs="Calibri"/>
              </w:rPr>
              <w:t>-17,532.5</w:t>
            </w:r>
          </w:p>
        </w:tc>
        <w:tc>
          <w:tcPr>
            <w:tcW w:w="2126" w:type="dxa"/>
            <w:tcBorders>
              <w:top w:val="single" w:sz="4" w:space="0" w:color="365F91"/>
              <w:bottom w:val="single" w:sz="4" w:space="0" w:color="365F91"/>
            </w:tcBorders>
            <w:vAlign w:val="bottom"/>
          </w:tcPr>
          <w:p w14:paraId="458F0F45" w14:textId="77777777" w:rsidR="00053418" w:rsidRPr="009E06AA" w:rsidRDefault="00053418" w:rsidP="000C57A2">
            <w:pPr>
              <w:pStyle w:val="Tableboldblue"/>
              <w:spacing w:before="50" w:after="50"/>
              <w:jc w:val="right"/>
              <w:rPr>
                <w:rFonts w:cs="Calibri"/>
              </w:rPr>
            </w:pPr>
            <w:r w:rsidRPr="009E06AA">
              <w:rPr>
                <w:rFonts w:cs="Calibri"/>
              </w:rPr>
              <w:t>66.9</w:t>
            </w:r>
          </w:p>
        </w:tc>
        <w:tc>
          <w:tcPr>
            <w:tcW w:w="2835" w:type="dxa"/>
            <w:tcBorders>
              <w:top w:val="single" w:sz="4" w:space="0" w:color="365F91"/>
              <w:bottom w:val="single" w:sz="4" w:space="0" w:color="365F91"/>
            </w:tcBorders>
            <w:vAlign w:val="bottom"/>
          </w:tcPr>
          <w:p w14:paraId="1C49B704" w14:textId="77777777" w:rsidR="00053418" w:rsidRPr="009E06AA" w:rsidRDefault="00053418" w:rsidP="000C57A2">
            <w:pPr>
              <w:pStyle w:val="Tableboldblue"/>
              <w:spacing w:before="50" w:after="50"/>
              <w:jc w:val="right"/>
              <w:rPr>
                <w:rFonts w:cs="Calibri"/>
              </w:rPr>
            </w:pPr>
            <w:r w:rsidRPr="009E06AA">
              <w:rPr>
                <w:rFonts w:cs="Calibri"/>
              </w:rPr>
              <w:t>60.9</w:t>
            </w:r>
          </w:p>
        </w:tc>
      </w:tr>
    </w:tbl>
    <w:p w14:paraId="13E40027" w14:textId="77777777" w:rsidR="00053418" w:rsidRPr="009E06AA" w:rsidRDefault="00053418" w:rsidP="000C57A2">
      <w:pPr>
        <w:pStyle w:val="Heading3"/>
        <w:spacing w:before="400"/>
      </w:pPr>
      <w:bookmarkStart w:id="2003" w:name="_Toc255466360"/>
      <w:bookmarkStart w:id="2004" w:name="_Toc261513167"/>
      <w:bookmarkStart w:id="2005" w:name="_Toc261513780"/>
      <w:bookmarkStart w:id="2006" w:name="_Toc280630258"/>
      <w:bookmarkStart w:id="2007" w:name="_Toc373395714"/>
      <w:bookmarkEnd w:id="1999"/>
      <w:r w:rsidRPr="009E06AA">
        <w:t>6.4.4</w:t>
      </w:r>
      <w:r w:rsidRPr="009E06AA">
        <w:tab/>
        <w:t>Category-specific QA/QC and verification</w:t>
      </w:r>
      <w:bookmarkEnd w:id="2003"/>
      <w:bookmarkEnd w:id="2004"/>
      <w:bookmarkEnd w:id="2005"/>
      <w:bookmarkEnd w:id="2006"/>
      <w:bookmarkEnd w:id="2007"/>
    </w:p>
    <w:p w14:paraId="2CE692D7" w14:textId="77777777" w:rsidR="00053418" w:rsidRPr="009E06AA" w:rsidRDefault="00053418" w:rsidP="00053418">
      <w:pPr>
        <w:pStyle w:val="BodyText"/>
      </w:pPr>
      <w:r w:rsidRPr="009E06AA">
        <w:t xml:space="preserve">Carbon dioxide emissions from both </w:t>
      </w:r>
      <w:r w:rsidRPr="009E06AA">
        <w:rPr>
          <w:i/>
        </w:rPr>
        <w:t>Forest land remaining forest land</w:t>
      </w:r>
      <w:r w:rsidRPr="009E06AA">
        <w:t xml:space="preserve"> and </w:t>
      </w:r>
      <w:r w:rsidRPr="009E06AA">
        <w:rPr>
          <w:i/>
        </w:rPr>
        <w:t xml:space="preserve">Land converted to forest land </w:t>
      </w:r>
      <w:r w:rsidRPr="009E06AA">
        <w:t>are key categories for both level and trend assessments. In the preparation of this inventory, the data for these emissions underwent Tier 1 QA and QC checks as well as Tier 2 category-specific QA and QC checks. Details of these checks are provided in annex A5.2.5 ‘National forest inventory’.</w:t>
      </w:r>
    </w:p>
    <w:p w14:paraId="249BFE33" w14:textId="77777777" w:rsidR="00053418" w:rsidRPr="009E06AA" w:rsidRDefault="00053418" w:rsidP="00053418">
      <w:pPr>
        <w:pStyle w:val="Heading3"/>
        <w:spacing w:before="280"/>
      </w:pPr>
      <w:r w:rsidRPr="009E06AA">
        <w:t>6.4.5</w:t>
      </w:r>
      <w:r w:rsidRPr="009E06AA">
        <w:tab/>
        <w:t>Category-specific recalculations</w:t>
      </w:r>
    </w:p>
    <w:p w14:paraId="0F73B7EE" w14:textId="77777777" w:rsidR="00053418" w:rsidRPr="009E06AA" w:rsidRDefault="00053418" w:rsidP="00053418">
      <w:pPr>
        <w:pStyle w:val="BodyText"/>
      </w:pPr>
      <w:r w:rsidRPr="009E06AA">
        <w:t xml:space="preserve">In this submission, New Zealand has recalculated its emission estimates for the whole LULUCF sector from 1990, including the </w:t>
      </w:r>
      <w:r w:rsidRPr="009E06AA">
        <w:rPr>
          <w:i/>
        </w:rPr>
        <w:t>Forest land</w:t>
      </w:r>
      <w:r w:rsidRPr="009E06AA">
        <w:t xml:space="preserve"> category. These recalculations used improved activity data, as well as improved emission factors. The impact of the recalculations on net CO</w:t>
      </w:r>
      <w:r w:rsidRPr="009E06AA">
        <w:rPr>
          <w:vertAlign w:val="subscript"/>
        </w:rPr>
        <w:t>2</w:t>
      </w:r>
      <w:r w:rsidRPr="009E06AA">
        <w:t xml:space="preserve">-e emission estimates for the </w:t>
      </w:r>
      <w:r w:rsidRPr="009E06AA">
        <w:rPr>
          <w:i/>
        </w:rPr>
        <w:t>Forest land</w:t>
      </w:r>
      <w:r w:rsidRPr="009E06AA">
        <w:t xml:space="preserve"> category is provided in table 6.4.10. The differences shown are a result of recalculations for all carbon pools required in reporting for </w:t>
      </w:r>
      <w:r w:rsidRPr="009E06AA">
        <w:rPr>
          <w:i/>
          <w:iCs/>
        </w:rPr>
        <w:t>Forest land</w:t>
      </w:r>
      <w:r w:rsidRPr="009E06AA">
        <w:t xml:space="preserve"> under the LULUCF sector. </w:t>
      </w:r>
    </w:p>
    <w:p w14:paraId="6563F149" w14:textId="77777777" w:rsidR="00053418" w:rsidRPr="009E06AA" w:rsidRDefault="00053418" w:rsidP="00053418">
      <w:pPr>
        <w:pStyle w:val="Table"/>
      </w:pPr>
      <w:bookmarkStart w:id="2008" w:name="_Toc280630460"/>
      <w:bookmarkStart w:id="2009" w:name="_Toc310423413"/>
      <w:bookmarkStart w:id="2010" w:name="_Toc318362706"/>
      <w:bookmarkStart w:id="2011" w:name="_Toc342470768"/>
      <w:bookmarkStart w:id="2012" w:name="_Toc352505008"/>
      <w:bookmarkStart w:id="2013" w:name="_Toc373395733"/>
      <w:bookmarkStart w:id="2014" w:name="_Toc378853299"/>
      <w:bookmarkStart w:id="2015" w:name="_Toc391024097"/>
      <w:bookmarkStart w:id="2016" w:name="_Toc410028840"/>
      <w:bookmarkStart w:id="2017" w:name="_Toc414531468"/>
      <w:bookmarkStart w:id="2018" w:name="_Toc443645381"/>
      <w:bookmarkStart w:id="2019" w:name="_Toc474914600"/>
      <w:bookmarkStart w:id="2020" w:name="_Toc481751564"/>
      <w:bookmarkStart w:id="2021" w:name="_Toc522010621"/>
      <w:bookmarkStart w:id="2022" w:name="_Toc5269526"/>
      <w:bookmarkStart w:id="2023" w:name="_Toc33529400"/>
      <w:bookmarkStart w:id="2024" w:name="_Toc36224606"/>
      <w:bookmarkStart w:id="2025" w:name="_Toc131591400"/>
      <w:bookmarkStart w:id="2026" w:name="_Toc158979958"/>
      <w:bookmarkStart w:id="2027" w:name="_Toc164153891"/>
      <w:r w:rsidRPr="009E06AA">
        <w:t xml:space="preserve">Table 6.4.10 </w:t>
      </w:r>
      <w:r w:rsidRPr="009E06AA">
        <w:tab/>
        <w:t xml:space="preserve">Recalculations of New Zealand’s estimates for the </w:t>
      </w:r>
      <w:r w:rsidRPr="009E06AA">
        <w:rPr>
          <w:i/>
        </w:rPr>
        <w:t>Forest land</w:t>
      </w:r>
      <w:r w:rsidRPr="009E06AA">
        <w:t xml:space="preserve"> category in 1990 and</w:t>
      </w:r>
      <w:bookmarkEnd w:id="2008"/>
      <w:bookmarkEnd w:id="2009"/>
      <w:bookmarkEnd w:id="2010"/>
      <w:bookmarkEnd w:id="2011"/>
      <w:bookmarkEnd w:id="2012"/>
      <w:bookmarkEnd w:id="2013"/>
      <w:bookmarkEnd w:id="2014"/>
      <w:bookmarkEnd w:id="2015"/>
      <w:r w:rsidRPr="009E06AA">
        <w:t> </w:t>
      </w:r>
      <w:bookmarkEnd w:id="2016"/>
      <w:bookmarkEnd w:id="2017"/>
      <w:bookmarkEnd w:id="2018"/>
      <w:bookmarkEnd w:id="2019"/>
      <w:bookmarkEnd w:id="2020"/>
      <w:bookmarkEnd w:id="2021"/>
      <w:bookmarkEnd w:id="2022"/>
      <w:bookmarkEnd w:id="2023"/>
      <w:bookmarkEnd w:id="2024"/>
      <w:r w:rsidRPr="009E06AA">
        <w:t>2021</w:t>
      </w:r>
      <w:bookmarkEnd w:id="2025"/>
      <w:bookmarkEnd w:id="2026"/>
      <w:bookmarkEnd w:id="2027"/>
      <w:r w:rsidRPr="009E06AA">
        <w:t xml:space="preserve"> </w:t>
      </w:r>
    </w:p>
    <w:tbl>
      <w:tblPr>
        <w:tblW w:w="8504" w:type="dxa"/>
        <w:tblBorders>
          <w:top w:val="single" w:sz="4" w:space="0" w:color="1B556B" w:themeColor="text2"/>
          <w:bottom w:val="single" w:sz="4" w:space="0" w:color="1B556B" w:themeColor="text2"/>
          <w:insideH w:val="single" w:sz="4" w:space="0" w:color="1B556B" w:themeColor="text2"/>
        </w:tblBorders>
        <w:tblLayout w:type="fixed"/>
        <w:tblLook w:val="0420" w:firstRow="1" w:lastRow="0" w:firstColumn="0" w:lastColumn="0" w:noHBand="0" w:noVBand="1"/>
      </w:tblPr>
      <w:tblGrid>
        <w:gridCol w:w="2268"/>
        <w:gridCol w:w="1559"/>
        <w:gridCol w:w="1559"/>
        <w:gridCol w:w="2268"/>
        <w:gridCol w:w="850"/>
      </w:tblGrid>
      <w:tr w:rsidR="00053418" w:rsidRPr="009E06AA" w14:paraId="68DE29E1" w14:textId="77777777" w:rsidTr="00B55F24">
        <w:trPr>
          <w:tblHeader/>
        </w:trPr>
        <w:tc>
          <w:tcPr>
            <w:tcW w:w="2268" w:type="dxa"/>
            <w:shd w:val="clear" w:color="auto" w:fill="1B556B"/>
            <w:tcMar>
              <w:top w:w="0" w:type="dxa"/>
              <w:left w:w="85" w:type="dxa"/>
              <w:bottom w:w="0" w:type="dxa"/>
              <w:right w:w="85" w:type="dxa"/>
            </w:tcMar>
            <w:vAlign w:val="center"/>
          </w:tcPr>
          <w:p w14:paraId="462C76D4" w14:textId="77777777" w:rsidR="00053418" w:rsidRPr="009E06AA" w:rsidRDefault="00053418" w:rsidP="00B55F24">
            <w:pPr>
              <w:pStyle w:val="TableText"/>
              <w:spacing w:before="50" w:after="50"/>
            </w:pPr>
          </w:p>
        </w:tc>
        <w:tc>
          <w:tcPr>
            <w:tcW w:w="1559" w:type="dxa"/>
            <w:shd w:val="clear" w:color="auto" w:fill="1B556B"/>
            <w:tcMar>
              <w:top w:w="0" w:type="dxa"/>
              <w:left w:w="85" w:type="dxa"/>
              <w:bottom w:w="0" w:type="dxa"/>
              <w:right w:w="85" w:type="dxa"/>
            </w:tcMar>
            <w:vAlign w:val="center"/>
          </w:tcPr>
          <w:p w14:paraId="32D77FC7" w14:textId="77777777" w:rsidR="00053418" w:rsidRPr="009E06AA" w:rsidRDefault="00053418" w:rsidP="000C57A2">
            <w:pPr>
              <w:pStyle w:val="TableText"/>
              <w:spacing w:before="50" w:after="50"/>
              <w:jc w:val="right"/>
            </w:pPr>
            <w:r w:rsidRPr="009E06AA">
              <w:rPr>
                <w:rFonts w:eastAsia="Calibri" w:cs="Calibri"/>
                <w:b/>
                <w:color w:val="FFFFFF"/>
                <w:szCs w:val="16"/>
              </w:rPr>
              <w:t>2023 submission</w:t>
            </w:r>
          </w:p>
        </w:tc>
        <w:tc>
          <w:tcPr>
            <w:tcW w:w="1559" w:type="dxa"/>
            <w:shd w:val="clear" w:color="auto" w:fill="1B556B"/>
            <w:tcMar>
              <w:top w:w="0" w:type="dxa"/>
              <w:left w:w="85" w:type="dxa"/>
              <w:bottom w:w="0" w:type="dxa"/>
              <w:right w:w="85" w:type="dxa"/>
            </w:tcMar>
            <w:vAlign w:val="center"/>
          </w:tcPr>
          <w:p w14:paraId="104DCA31" w14:textId="77777777" w:rsidR="00053418" w:rsidRPr="009E06AA" w:rsidRDefault="00053418" w:rsidP="000C57A2">
            <w:pPr>
              <w:pStyle w:val="TableText"/>
              <w:spacing w:before="50" w:after="50"/>
              <w:jc w:val="right"/>
            </w:pPr>
            <w:r w:rsidRPr="009E06AA">
              <w:rPr>
                <w:rFonts w:eastAsia="Calibri" w:cs="Calibri"/>
                <w:b/>
                <w:color w:val="FFFFFF"/>
                <w:szCs w:val="16"/>
              </w:rPr>
              <w:t>2024 submission</w:t>
            </w:r>
          </w:p>
        </w:tc>
        <w:tc>
          <w:tcPr>
            <w:tcW w:w="2268" w:type="dxa"/>
            <w:shd w:val="clear" w:color="auto" w:fill="1B556B"/>
            <w:tcMar>
              <w:top w:w="0" w:type="dxa"/>
              <w:left w:w="85" w:type="dxa"/>
              <w:bottom w:w="0" w:type="dxa"/>
              <w:right w:w="85" w:type="dxa"/>
            </w:tcMar>
            <w:vAlign w:val="center"/>
          </w:tcPr>
          <w:p w14:paraId="13526590" w14:textId="77777777" w:rsidR="00053418" w:rsidRPr="009E06AA" w:rsidRDefault="00053418" w:rsidP="000C57A2">
            <w:pPr>
              <w:pStyle w:val="TableText"/>
              <w:spacing w:before="50" w:after="50"/>
              <w:jc w:val="right"/>
            </w:pPr>
            <w:r w:rsidRPr="009E06AA">
              <w:rPr>
                <w:rFonts w:eastAsia="Calibri" w:cs="Calibri"/>
                <w:b/>
                <w:color w:val="FFFFFF"/>
                <w:szCs w:val="16"/>
              </w:rPr>
              <w:t>Change from 2023 submission</w:t>
            </w:r>
          </w:p>
        </w:tc>
        <w:tc>
          <w:tcPr>
            <w:tcW w:w="850" w:type="dxa"/>
            <w:shd w:val="clear" w:color="auto" w:fill="1B556B"/>
            <w:tcMar>
              <w:top w:w="0" w:type="dxa"/>
              <w:left w:w="85" w:type="dxa"/>
              <w:bottom w:w="0" w:type="dxa"/>
              <w:right w:w="85" w:type="dxa"/>
            </w:tcMar>
            <w:vAlign w:val="center"/>
          </w:tcPr>
          <w:p w14:paraId="5B0EFBC9" w14:textId="77777777" w:rsidR="00053418" w:rsidRPr="009E06AA" w:rsidRDefault="00053418" w:rsidP="000C57A2">
            <w:pPr>
              <w:pStyle w:val="TableText"/>
              <w:spacing w:before="50" w:after="50"/>
              <w:jc w:val="right"/>
            </w:pPr>
            <w:r w:rsidRPr="009E06AA">
              <w:rPr>
                <w:rFonts w:eastAsia="Calibri" w:cs="Calibri"/>
                <w:b/>
                <w:color w:val="FFFFFF"/>
                <w:szCs w:val="16"/>
              </w:rPr>
              <w:t>% change</w:t>
            </w:r>
          </w:p>
        </w:tc>
      </w:tr>
      <w:tr w:rsidR="00053418" w:rsidRPr="009E06AA" w14:paraId="6A69B0A4" w14:textId="77777777" w:rsidTr="00B55F24">
        <w:tc>
          <w:tcPr>
            <w:tcW w:w="2268" w:type="dxa"/>
            <w:shd w:val="clear" w:color="auto" w:fill="FFFFFF"/>
            <w:tcMar>
              <w:top w:w="0" w:type="dxa"/>
              <w:left w:w="85" w:type="dxa"/>
              <w:bottom w:w="0" w:type="dxa"/>
              <w:right w:w="85" w:type="dxa"/>
            </w:tcMar>
            <w:vAlign w:val="center"/>
          </w:tcPr>
          <w:p w14:paraId="2DF9911A" w14:textId="77777777" w:rsidR="00053418" w:rsidRPr="009E06AA" w:rsidRDefault="00053418" w:rsidP="00B55F24">
            <w:pPr>
              <w:pStyle w:val="TableText"/>
              <w:spacing w:before="50" w:after="50"/>
            </w:pPr>
            <w:r w:rsidRPr="009E06AA">
              <w:rPr>
                <w:rFonts w:eastAsia="Calibri" w:cs="Calibri"/>
                <w:b/>
                <w:color w:val="1B556B"/>
                <w:szCs w:val="16"/>
              </w:rPr>
              <w:t>Net emissions (kt CO</w:t>
            </w:r>
            <w:r w:rsidRPr="009E06AA">
              <w:rPr>
                <w:rFonts w:eastAsia="Calibri" w:cs="Calibri"/>
                <w:b/>
                <w:color w:val="1B556B"/>
                <w:szCs w:val="16"/>
                <w:vertAlign w:val="subscript"/>
              </w:rPr>
              <w:t>2</w:t>
            </w:r>
            <w:r w:rsidRPr="009E06AA">
              <w:rPr>
                <w:rFonts w:eastAsia="Calibri" w:cs="Calibri"/>
                <w:b/>
                <w:color w:val="1B556B"/>
                <w:szCs w:val="16"/>
              </w:rPr>
              <w:t>-e)</w:t>
            </w:r>
          </w:p>
        </w:tc>
        <w:tc>
          <w:tcPr>
            <w:tcW w:w="1559" w:type="dxa"/>
            <w:shd w:val="clear" w:color="auto" w:fill="FFFFFF"/>
            <w:tcMar>
              <w:top w:w="0" w:type="dxa"/>
              <w:left w:w="85" w:type="dxa"/>
              <w:bottom w:w="0" w:type="dxa"/>
              <w:right w:w="85" w:type="dxa"/>
            </w:tcMar>
            <w:vAlign w:val="center"/>
          </w:tcPr>
          <w:p w14:paraId="5A406FA8" w14:textId="77777777" w:rsidR="00053418" w:rsidRPr="009E06AA" w:rsidRDefault="00053418" w:rsidP="000C57A2">
            <w:pPr>
              <w:pStyle w:val="TableText"/>
              <w:spacing w:before="50" w:after="50"/>
              <w:jc w:val="right"/>
            </w:pPr>
          </w:p>
        </w:tc>
        <w:tc>
          <w:tcPr>
            <w:tcW w:w="1559" w:type="dxa"/>
            <w:shd w:val="clear" w:color="auto" w:fill="FFFFFF"/>
            <w:tcMar>
              <w:top w:w="0" w:type="dxa"/>
              <w:left w:w="85" w:type="dxa"/>
              <w:bottom w:w="0" w:type="dxa"/>
              <w:right w:w="85" w:type="dxa"/>
            </w:tcMar>
            <w:vAlign w:val="center"/>
          </w:tcPr>
          <w:p w14:paraId="7508585E" w14:textId="77777777" w:rsidR="00053418" w:rsidRPr="009E06AA" w:rsidRDefault="00053418" w:rsidP="000C57A2">
            <w:pPr>
              <w:pStyle w:val="TableText"/>
              <w:spacing w:before="50" w:after="50"/>
              <w:jc w:val="right"/>
            </w:pPr>
          </w:p>
        </w:tc>
        <w:tc>
          <w:tcPr>
            <w:tcW w:w="2268" w:type="dxa"/>
            <w:shd w:val="clear" w:color="auto" w:fill="FFFFFF"/>
            <w:tcMar>
              <w:top w:w="0" w:type="dxa"/>
              <w:left w:w="85" w:type="dxa"/>
              <w:bottom w:w="0" w:type="dxa"/>
              <w:right w:w="85" w:type="dxa"/>
            </w:tcMar>
            <w:vAlign w:val="center"/>
          </w:tcPr>
          <w:p w14:paraId="5C331445" w14:textId="77777777" w:rsidR="00053418" w:rsidRPr="009E06AA" w:rsidRDefault="00053418" w:rsidP="000C57A2">
            <w:pPr>
              <w:pStyle w:val="TableText"/>
              <w:spacing w:before="50" w:after="50"/>
              <w:jc w:val="right"/>
            </w:pPr>
          </w:p>
        </w:tc>
        <w:tc>
          <w:tcPr>
            <w:tcW w:w="850" w:type="dxa"/>
            <w:shd w:val="clear" w:color="auto" w:fill="FFFFFF"/>
            <w:tcMar>
              <w:top w:w="0" w:type="dxa"/>
              <w:left w:w="85" w:type="dxa"/>
              <w:bottom w:w="0" w:type="dxa"/>
              <w:right w:w="85" w:type="dxa"/>
            </w:tcMar>
            <w:vAlign w:val="center"/>
          </w:tcPr>
          <w:p w14:paraId="2E9D7A4D" w14:textId="77777777" w:rsidR="00053418" w:rsidRPr="009E06AA" w:rsidRDefault="00053418" w:rsidP="000C57A2">
            <w:pPr>
              <w:pStyle w:val="TableText"/>
              <w:spacing w:before="50" w:after="50"/>
              <w:jc w:val="right"/>
            </w:pPr>
          </w:p>
        </w:tc>
      </w:tr>
      <w:tr w:rsidR="00053418" w:rsidRPr="009E06AA" w14:paraId="6A9D68CA" w14:textId="77777777" w:rsidTr="00B55F24">
        <w:tc>
          <w:tcPr>
            <w:tcW w:w="2268" w:type="dxa"/>
            <w:shd w:val="clear" w:color="auto" w:fill="FFFFFF"/>
            <w:tcMar>
              <w:top w:w="0" w:type="dxa"/>
              <w:left w:w="85" w:type="dxa"/>
              <w:bottom w:w="0" w:type="dxa"/>
              <w:right w:w="85" w:type="dxa"/>
            </w:tcMar>
            <w:vAlign w:val="center"/>
          </w:tcPr>
          <w:p w14:paraId="73AA6728" w14:textId="77777777" w:rsidR="00053418" w:rsidRPr="009E06AA" w:rsidRDefault="00053418" w:rsidP="00B55F24">
            <w:pPr>
              <w:pStyle w:val="TableText"/>
              <w:spacing w:before="50" w:after="50"/>
            </w:pPr>
            <w:r w:rsidRPr="009E06AA">
              <w:rPr>
                <w:rFonts w:eastAsia="Calibri" w:cs="Calibri"/>
                <w:color w:val="000000"/>
                <w:szCs w:val="16"/>
              </w:rPr>
              <w:t>1990</w:t>
            </w:r>
          </w:p>
        </w:tc>
        <w:tc>
          <w:tcPr>
            <w:tcW w:w="1559" w:type="dxa"/>
            <w:shd w:val="clear" w:color="auto" w:fill="FFFFFF"/>
            <w:tcMar>
              <w:top w:w="0" w:type="dxa"/>
              <w:left w:w="85" w:type="dxa"/>
              <w:bottom w:w="0" w:type="dxa"/>
              <w:right w:w="85" w:type="dxa"/>
            </w:tcMar>
            <w:vAlign w:val="center"/>
          </w:tcPr>
          <w:p w14:paraId="6B4452BA" w14:textId="77777777" w:rsidR="00053418" w:rsidRPr="009E06AA" w:rsidRDefault="00053418" w:rsidP="000C57A2">
            <w:pPr>
              <w:pStyle w:val="TableText"/>
              <w:spacing w:before="50" w:after="50"/>
              <w:jc w:val="right"/>
            </w:pPr>
            <w:r w:rsidRPr="009E06AA">
              <w:rPr>
                <w:rFonts w:eastAsia="Calibri" w:cs="Calibri"/>
                <w:color w:val="000000"/>
                <w:szCs w:val="16"/>
              </w:rPr>
              <w:t>-19,066.7</w:t>
            </w:r>
          </w:p>
        </w:tc>
        <w:tc>
          <w:tcPr>
            <w:tcW w:w="1559" w:type="dxa"/>
            <w:shd w:val="clear" w:color="auto" w:fill="FFFFFF"/>
            <w:tcMar>
              <w:top w:w="0" w:type="dxa"/>
              <w:left w:w="85" w:type="dxa"/>
              <w:bottom w:w="0" w:type="dxa"/>
              <w:right w:w="85" w:type="dxa"/>
            </w:tcMar>
            <w:vAlign w:val="center"/>
          </w:tcPr>
          <w:p w14:paraId="3726AAAC" w14:textId="77777777" w:rsidR="00053418" w:rsidRPr="009E06AA" w:rsidRDefault="00053418" w:rsidP="000C57A2">
            <w:pPr>
              <w:pStyle w:val="TableText"/>
              <w:spacing w:before="50" w:after="50"/>
              <w:jc w:val="right"/>
            </w:pPr>
            <w:r w:rsidRPr="009E06AA">
              <w:rPr>
                <w:rFonts w:eastAsia="Calibri" w:cs="Calibri"/>
                <w:color w:val="000000"/>
                <w:szCs w:val="16"/>
              </w:rPr>
              <w:t>-23,311.8</w:t>
            </w:r>
          </w:p>
        </w:tc>
        <w:tc>
          <w:tcPr>
            <w:tcW w:w="2268" w:type="dxa"/>
            <w:shd w:val="clear" w:color="auto" w:fill="FFFFFF"/>
            <w:tcMar>
              <w:top w:w="0" w:type="dxa"/>
              <w:left w:w="85" w:type="dxa"/>
              <w:bottom w:w="0" w:type="dxa"/>
              <w:right w:w="85" w:type="dxa"/>
            </w:tcMar>
            <w:vAlign w:val="center"/>
          </w:tcPr>
          <w:p w14:paraId="616E611F" w14:textId="77777777" w:rsidR="00053418" w:rsidRPr="009E06AA" w:rsidRDefault="00053418" w:rsidP="000C57A2">
            <w:pPr>
              <w:pStyle w:val="TableText"/>
              <w:spacing w:before="50" w:after="50"/>
              <w:jc w:val="right"/>
            </w:pPr>
            <w:r w:rsidRPr="009E06AA">
              <w:rPr>
                <w:rFonts w:eastAsia="Calibri" w:cs="Calibri"/>
                <w:color w:val="000000"/>
                <w:szCs w:val="16"/>
              </w:rPr>
              <w:t>-4,245.1</w:t>
            </w:r>
          </w:p>
        </w:tc>
        <w:tc>
          <w:tcPr>
            <w:tcW w:w="850" w:type="dxa"/>
            <w:shd w:val="clear" w:color="auto" w:fill="FFFFFF"/>
            <w:tcMar>
              <w:top w:w="0" w:type="dxa"/>
              <w:left w:w="85" w:type="dxa"/>
              <w:bottom w:w="0" w:type="dxa"/>
              <w:right w:w="85" w:type="dxa"/>
            </w:tcMar>
            <w:vAlign w:val="center"/>
          </w:tcPr>
          <w:p w14:paraId="6290DDE4" w14:textId="77777777" w:rsidR="00053418" w:rsidRPr="009E06AA" w:rsidRDefault="00053418" w:rsidP="000C57A2">
            <w:pPr>
              <w:pStyle w:val="TableText"/>
              <w:spacing w:before="50" w:after="50"/>
              <w:jc w:val="right"/>
            </w:pPr>
            <w:r w:rsidRPr="009E06AA">
              <w:rPr>
                <w:rFonts w:eastAsia="Calibri" w:cs="Calibri"/>
                <w:color w:val="000000"/>
                <w:szCs w:val="16"/>
              </w:rPr>
              <w:t>-22.3</w:t>
            </w:r>
          </w:p>
        </w:tc>
      </w:tr>
      <w:tr w:rsidR="00053418" w:rsidRPr="009E06AA" w14:paraId="0D795CDD" w14:textId="77777777" w:rsidTr="00B55F24">
        <w:tc>
          <w:tcPr>
            <w:tcW w:w="2268" w:type="dxa"/>
            <w:shd w:val="clear" w:color="auto" w:fill="FFFFFF"/>
            <w:tcMar>
              <w:top w:w="0" w:type="dxa"/>
              <w:left w:w="85" w:type="dxa"/>
              <w:bottom w:w="0" w:type="dxa"/>
              <w:right w:w="85" w:type="dxa"/>
            </w:tcMar>
            <w:vAlign w:val="center"/>
          </w:tcPr>
          <w:p w14:paraId="33C9FBFA" w14:textId="77777777" w:rsidR="00053418" w:rsidRPr="009E06AA" w:rsidRDefault="00053418" w:rsidP="00B55F24">
            <w:pPr>
              <w:pStyle w:val="TableText"/>
              <w:spacing w:before="50" w:after="50"/>
            </w:pPr>
            <w:r w:rsidRPr="009E06AA">
              <w:rPr>
                <w:rFonts w:eastAsia="Calibri" w:cs="Calibri"/>
                <w:color w:val="000000"/>
                <w:szCs w:val="16"/>
              </w:rPr>
              <w:t>2021</w:t>
            </w:r>
          </w:p>
        </w:tc>
        <w:tc>
          <w:tcPr>
            <w:tcW w:w="1559" w:type="dxa"/>
            <w:shd w:val="clear" w:color="auto" w:fill="FFFFFF"/>
            <w:tcMar>
              <w:top w:w="0" w:type="dxa"/>
              <w:left w:w="85" w:type="dxa"/>
              <w:bottom w:w="0" w:type="dxa"/>
              <w:right w:w="85" w:type="dxa"/>
            </w:tcMar>
            <w:vAlign w:val="center"/>
          </w:tcPr>
          <w:p w14:paraId="66D4838E" w14:textId="77777777" w:rsidR="00053418" w:rsidRPr="009E06AA" w:rsidRDefault="00053418" w:rsidP="000C57A2">
            <w:pPr>
              <w:pStyle w:val="TableText"/>
              <w:spacing w:before="50" w:after="50"/>
              <w:jc w:val="right"/>
            </w:pPr>
            <w:r w:rsidRPr="009E06AA">
              <w:rPr>
                <w:rFonts w:eastAsia="Calibri" w:cs="Calibri"/>
                <w:color w:val="000000"/>
                <w:szCs w:val="16"/>
              </w:rPr>
              <w:t>-15,799.6</w:t>
            </w:r>
          </w:p>
        </w:tc>
        <w:tc>
          <w:tcPr>
            <w:tcW w:w="1559" w:type="dxa"/>
            <w:shd w:val="clear" w:color="auto" w:fill="FFFFFF"/>
            <w:tcMar>
              <w:top w:w="0" w:type="dxa"/>
              <w:left w:w="85" w:type="dxa"/>
              <w:bottom w:w="0" w:type="dxa"/>
              <w:right w:w="85" w:type="dxa"/>
            </w:tcMar>
            <w:vAlign w:val="center"/>
          </w:tcPr>
          <w:p w14:paraId="01C7C158" w14:textId="77777777" w:rsidR="00053418" w:rsidRPr="009E06AA" w:rsidRDefault="00053418" w:rsidP="000C57A2">
            <w:pPr>
              <w:pStyle w:val="TableText"/>
              <w:spacing w:before="50" w:after="50"/>
              <w:jc w:val="right"/>
            </w:pPr>
            <w:r w:rsidRPr="009E06AA">
              <w:rPr>
                <w:rFonts w:eastAsia="Calibri" w:cs="Calibri"/>
                <w:color w:val="000000"/>
                <w:szCs w:val="16"/>
              </w:rPr>
              <w:t>-16,987.9</w:t>
            </w:r>
          </w:p>
        </w:tc>
        <w:tc>
          <w:tcPr>
            <w:tcW w:w="2268" w:type="dxa"/>
            <w:shd w:val="clear" w:color="auto" w:fill="FFFFFF"/>
            <w:tcMar>
              <w:top w:w="0" w:type="dxa"/>
              <w:left w:w="85" w:type="dxa"/>
              <w:bottom w:w="0" w:type="dxa"/>
              <w:right w:w="85" w:type="dxa"/>
            </w:tcMar>
            <w:vAlign w:val="center"/>
          </w:tcPr>
          <w:p w14:paraId="67510FE1" w14:textId="77777777" w:rsidR="00053418" w:rsidRPr="009E06AA" w:rsidRDefault="00053418" w:rsidP="000C57A2">
            <w:pPr>
              <w:pStyle w:val="TableText"/>
              <w:spacing w:before="50" w:after="50"/>
              <w:jc w:val="right"/>
            </w:pPr>
            <w:r w:rsidRPr="009E06AA">
              <w:rPr>
                <w:rFonts w:eastAsia="Calibri" w:cs="Calibri"/>
                <w:color w:val="000000"/>
                <w:szCs w:val="16"/>
              </w:rPr>
              <w:t>-1,188.3</w:t>
            </w:r>
          </w:p>
        </w:tc>
        <w:tc>
          <w:tcPr>
            <w:tcW w:w="850" w:type="dxa"/>
            <w:shd w:val="clear" w:color="auto" w:fill="FFFFFF"/>
            <w:tcMar>
              <w:top w:w="0" w:type="dxa"/>
              <w:left w:w="85" w:type="dxa"/>
              <w:bottom w:w="0" w:type="dxa"/>
              <w:right w:w="85" w:type="dxa"/>
            </w:tcMar>
            <w:vAlign w:val="center"/>
          </w:tcPr>
          <w:p w14:paraId="2BDB0C73" w14:textId="77777777" w:rsidR="00053418" w:rsidRPr="009E06AA" w:rsidRDefault="00053418" w:rsidP="000C57A2">
            <w:pPr>
              <w:pStyle w:val="TableText"/>
              <w:spacing w:before="50" w:after="50"/>
              <w:jc w:val="right"/>
            </w:pPr>
            <w:r w:rsidRPr="009E06AA">
              <w:rPr>
                <w:rFonts w:eastAsia="Calibri" w:cs="Calibri"/>
                <w:color w:val="000000"/>
                <w:szCs w:val="16"/>
              </w:rPr>
              <w:t>-7.5</w:t>
            </w:r>
          </w:p>
        </w:tc>
      </w:tr>
      <w:tr w:rsidR="00053418" w:rsidRPr="009E06AA" w14:paraId="6AA755A1" w14:textId="77777777" w:rsidTr="00B55F24">
        <w:tc>
          <w:tcPr>
            <w:tcW w:w="2268" w:type="dxa"/>
            <w:shd w:val="clear" w:color="auto" w:fill="FFFFFF"/>
            <w:tcMar>
              <w:top w:w="0" w:type="dxa"/>
              <w:left w:w="85" w:type="dxa"/>
              <w:bottom w:w="0" w:type="dxa"/>
              <w:right w:w="85" w:type="dxa"/>
            </w:tcMar>
            <w:vAlign w:val="center"/>
          </w:tcPr>
          <w:p w14:paraId="03EC4FE6" w14:textId="77777777" w:rsidR="00053418" w:rsidRPr="009E06AA" w:rsidRDefault="00053418" w:rsidP="00B55F24">
            <w:pPr>
              <w:pStyle w:val="TableText"/>
              <w:spacing w:before="50" w:after="50"/>
            </w:pPr>
            <w:r w:rsidRPr="009E06AA">
              <w:rPr>
                <w:rFonts w:eastAsia="Calibri" w:cs="Calibri"/>
                <w:b/>
                <w:color w:val="1B556B"/>
                <w:szCs w:val="16"/>
              </w:rPr>
              <w:t>Area (hectares)</w:t>
            </w:r>
          </w:p>
        </w:tc>
        <w:tc>
          <w:tcPr>
            <w:tcW w:w="1559" w:type="dxa"/>
            <w:shd w:val="clear" w:color="auto" w:fill="FFFFFF"/>
            <w:tcMar>
              <w:top w:w="0" w:type="dxa"/>
              <w:left w:w="85" w:type="dxa"/>
              <w:bottom w:w="0" w:type="dxa"/>
              <w:right w:w="85" w:type="dxa"/>
            </w:tcMar>
            <w:vAlign w:val="center"/>
          </w:tcPr>
          <w:p w14:paraId="1BC1D438" w14:textId="77777777" w:rsidR="00053418" w:rsidRPr="009E06AA" w:rsidRDefault="00053418" w:rsidP="000C57A2">
            <w:pPr>
              <w:pStyle w:val="TableText"/>
              <w:spacing w:before="50" w:after="50"/>
              <w:jc w:val="right"/>
            </w:pPr>
          </w:p>
        </w:tc>
        <w:tc>
          <w:tcPr>
            <w:tcW w:w="1559" w:type="dxa"/>
            <w:shd w:val="clear" w:color="auto" w:fill="FFFFFF"/>
            <w:tcMar>
              <w:top w:w="0" w:type="dxa"/>
              <w:left w:w="85" w:type="dxa"/>
              <w:bottom w:w="0" w:type="dxa"/>
              <w:right w:w="85" w:type="dxa"/>
            </w:tcMar>
            <w:vAlign w:val="center"/>
          </w:tcPr>
          <w:p w14:paraId="75F71B84" w14:textId="77777777" w:rsidR="00053418" w:rsidRPr="009E06AA" w:rsidRDefault="00053418" w:rsidP="000C57A2">
            <w:pPr>
              <w:pStyle w:val="TableText"/>
              <w:spacing w:before="50" w:after="50"/>
              <w:jc w:val="right"/>
            </w:pPr>
          </w:p>
        </w:tc>
        <w:tc>
          <w:tcPr>
            <w:tcW w:w="2268" w:type="dxa"/>
            <w:shd w:val="clear" w:color="auto" w:fill="FFFFFF"/>
            <w:tcMar>
              <w:top w:w="0" w:type="dxa"/>
              <w:left w:w="85" w:type="dxa"/>
              <w:bottom w:w="0" w:type="dxa"/>
              <w:right w:w="85" w:type="dxa"/>
            </w:tcMar>
            <w:vAlign w:val="center"/>
          </w:tcPr>
          <w:p w14:paraId="23E7997B" w14:textId="77777777" w:rsidR="00053418" w:rsidRPr="009E06AA" w:rsidRDefault="00053418" w:rsidP="000C57A2">
            <w:pPr>
              <w:pStyle w:val="TableText"/>
              <w:spacing w:before="50" w:after="50"/>
              <w:jc w:val="right"/>
            </w:pPr>
          </w:p>
        </w:tc>
        <w:tc>
          <w:tcPr>
            <w:tcW w:w="850" w:type="dxa"/>
            <w:shd w:val="clear" w:color="auto" w:fill="FFFFFF"/>
            <w:tcMar>
              <w:top w:w="0" w:type="dxa"/>
              <w:left w:w="85" w:type="dxa"/>
              <w:bottom w:w="0" w:type="dxa"/>
              <w:right w:w="85" w:type="dxa"/>
            </w:tcMar>
            <w:vAlign w:val="center"/>
          </w:tcPr>
          <w:p w14:paraId="06F7C759" w14:textId="77777777" w:rsidR="00053418" w:rsidRPr="009E06AA" w:rsidRDefault="00053418" w:rsidP="000C57A2">
            <w:pPr>
              <w:pStyle w:val="TableText"/>
              <w:spacing w:before="50" w:after="50"/>
              <w:jc w:val="right"/>
            </w:pPr>
          </w:p>
        </w:tc>
      </w:tr>
      <w:tr w:rsidR="00053418" w:rsidRPr="009E06AA" w14:paraId="5881C229" w14:textId="77777777" w:rsidTr="00B55F24">
        <w:tc>
          <w:tcPr>
            <w:tcW w:w="2268" w:type="dxa"/>
            <w:shd w:val="clear" w:color="auto" w:fill="FFFFFF"/>
            <w:tcMar>
              <w:top w:w="0" w:type="dxa"/>
              <w:left w:w="85" w:type="dxa"/>
              <w:bottom w:w="0" w:type="dxa"/>
              <w:right w:w="85" w:type="dxa"/>
            </w:tcMar>
            <w:vAlign w:val="center"/>
          </w:tcPr>
          <w:p w14:paraId="308CF973" w14:textId="77777777" w:rsidR="00053418" w:rsidRPr="009E06AA" w:rsidRDefault="00053418" w:rsidP="00B55F24">
            <w:pPr>
              <w:pStyle w:val="TableText"/>
              <w:spacing w:before="50" w:after="50"/>
            </w:pPr>
            <w:r w:rsidRPr="009E06AA">
              <w:rPr>
                <w:rFonts w:eastAsia="Calibri" w:cs="Calibri"/>
                <w:color w:val="000000"/>
                <w:szCs w:val="16"/>
              </w:rPr>
              <w:t>1990</w:t>
            </w:r>
          </w:p>
        </w:tc>
        <w:tc>
          <w:tcPr>
            <w:tcW w:w="1559" w:type="dxa"/>
            <w:shd w:val="clear" w:color="auto" w:fill="FFFFFF"/>
            <w:tcMar>
              <w:top w:w="0" w:type="dxa"/>
              <w:left w:w="85" w:type="dxa"/>
              <w:bottom w:w="0" w:type="dxa"/>
              <w:right w:w="85" w:type="dxa"/>
            </w:tcMar>
            <w:vAlign w:val="center"/>
          </w:tcPr>
          <w:p w14:paraId="2B4A8333" w14:textId="77777777" w:rsidR="00053418" w:rsidRPr="009E06AA" w:rsidRDefault="00053418" w:rsidP="000C57A2">
            <w:pPr>
              <w:pStyle w:val="TableText"/>
              <w:spacing w:before="50" w:after="50"/>
              <w:jc w:val="right"/>
            </w:pPr>
            <w:r w:rsidRPr="009E06AA">
              <w:rPr>
                <w:rFonts w:eastAsia="Calibri" w:cs="Calibri"/>
                <w:color w:val="000000"/>
                <w:szCs w:val="16"/>
              </w:rPr>
              <w:t>9,379,712</w:t>
            </w:r>
          </w:p>
        </w:tc>
        <w:tc>
          <w:tcPr>
            <w:tcW w:w="1559" w:type="dxa"/>
            <w:shd w:val="clear" w:color="auto" w:fill="FFFFFF"/>
            <w:tcMar>
              <w:top w:w="0" w:type="dxa"/>
              <w:left w:w="85" w:type="dxa"/>
              <w:bottom w:w="0" w:type="dxa"/>
              <w:right w:w="85" w:type="dxa"/>
            </w:tcMar>
            <w:vAlign w:val="center"/>
          </w:tcPr>
          <w:p w14:paraId="64980DDF" w14:textId="77777777" w:rsidR="00053418" w:rsidRPr="009E06AA" w:rsidRDefault="00053418" w:rsidP="000C57A2">
            <w:pPr>
              <w:pStyle w:val="TableText"/>
              <w:spacing w:before="50" w:after="50"/>
              <w:jc w:val="right"/>
            </w:pPr>
            <w:r w:rsidRPr="009E06AA">
              <w:rPr>
                <w:rFonts w:eastAsia="Calibri" w:cs="Calibri"/>
                <w:color w:val="000000"/>
                <w:szCs w:val="16"/>
              </w:rPr>
              <w:t>9,374,620</w:t>
            </w:r>
          </w:p>
        </w:tc>
        <w:tc>
          <w:tcPr>
            <w:tcW w:w="2268" w:type="dxa"/>
            <w:shd w:val="clear" w:color="auto" w:fill="FFFFFF"/>
            <w:tcMar>
              <w:top w:w="0" w:type="dxa"/>
              <w:left w:w="85" w:type="dxa"/>
              <w:bottom w:w="0" w:type="dxa"/>
              <w:right w:w="85" w:type="dxa"/>
            </w:tcMar>
            <w:vAlign w:val="center"/>
          </w:tcPr>
          <w:p w14:paraId="385915C1" w14:textId="77777777" w:rsidR="00053418" w:rsidRPr="009E06AA" w:rsidRDefault="00053418" w:rsidP="000C57A2">
            <w:pPr>
              <w:pStyle w:val="TableText"/>
              <w:spacing w:before="50" w:after="50"/>
              <w:jc w:val="right"/>
            </w:pPr>
            <w:r w:rsidRPr="009E06AA">
              <w:rPr>
                <w:rFonts w:eastAsia="Calibri" w:cs="Calibri"/>
                <w:color w:val="000000"/>
                <w:szCs w:val="16"/>
              </w:rPr>
              <w:t>-5,092</w:t>
            </w:r>
          </w:p>
        </w:tc>
        <w:tc>
          <w:tcPr>
            <w:tcW w:w="850" w:type="dxa"/>
            <w:shd w:val="clear" w:color="auto" w:fill="FFFFFF"/>
            <w:tcMar>
              <w:top w:w="0" w:type="dxa"/>
              <w:left w:w="85" w:type="dxa"/>
              <w:bottom w:w="0" w:type="dxa"/>
              <w:right w:w="85" w:type="dxa"/>
            </w:tcMar>
            <w:vAlign w:val="center"/>
          </w:tcPr>
          <w:p w14:paraId="4CA45C9D" w14:textId="77777777" w:rsidR="00053418" w:rsidRPr="009E06AA" w:rsidRDefault="00053418" w:rsidP="000C57A2">
            <w:pPr>
              <w:pStyle w:val="TableText"/>
              <w:spacing w:before="50" w:after="50"/>
              <w:jc w:val="right"/>
            </w:pPr>
            <w:r w:rsidRPr="009E06AA">
              <w:rPr>
                <w:rFonts w:eastAsia="Calibri" w:cs="Calibri"/>
                <w:color w:val="000000"/>
                <w:szCs w:val="16"/>
              </w:rPr>
              <w:t>-0.1</w:t>
            </w:r>
          </w:p>
        </w:tc>
      </w:tr>
      <w:tr w:rsidR="00053418" w:rsidRPr="009E06AA" w14:paraId="76BEB41B" w14:textId="77777777" w:rsidTr="00B55F24">
        <w:tc>
          <w:tcPr>
            <w:tcW w:w="2268" w:type="dxa"/>
            <w:shd w:val="clear" w:color="auto" w:fill="FFFFFF"/>
            <w:tcMar>
              <w:top w:w="0" w:type="dxa"/>
              <w:left w:w="85" w:type="dxa"/>
              <w:bottom w:w="0" w:type="dxa"/>
              <w:right w:w="85" w:type="dxa"/>
            </w:tcMar>
            <w:vAlign w:val="center"/>
          </w:tcPr>
          <w:p w14:paraId="0502718B" w14:textId="77777777" w:rsidR="00053418" w:rsidRPr="009E06AA" w:rsidRDefault="00053418" w:rsidP="00B55F24">
            <w:pPr>
              <w:pStyle w:val="TableText"/>
              <w:spacing w:before="50" w:after="50"/>
            </w:pPr>
            <w:r w:rsidRPr="009E06AA">
              <w:rPr>
                <w:rFonts w:eastAsia="Calibri" w:cs="Calibri"/>
                <w:color w:val="000000"/>
                <w:szCs w:val="16"/>
              </w:rPr>
              <w:t>2021</w:t>
            </w:r>
          </w:p>
        </w:tc>
        <w:tc>
          <w:tcPr>
            <w:tcW w:w="1559" w:type="dxa"/>
            <w:shd w:val="clear" w:color="auto" w:fill="FFFFFF"/>
            <w:tcMar>
              <w:top w:w="0" w:type="dxa"/>
              <w:left w:w="85" w:type="dxa"/>
              <w:bottom w:w="0" w:type="dxa"/>
              <w:right w:w="85" w:type="dxa"/>
            </w:tcMar>
            <w:vAlign w:val="center"/>
          </w:tcPr>
          <w:p w14:paraId="49CAA262" w14:textId="77777777" w:rsidR="00053418" w:rsidRPr="009E06AA" w:rsidRDefault="00053418" w:rsidP="000C57A2">
            <w:pPr>
              <w:pStyle w:val="TableText"/>
              <w:spacing w:before="50" w:after="50"/>
              <w:jc w:val="right"/>
            </w:pPr>
            <w:r w:rsidRPr="009E06AA">
              <w:rPr>
                <w:rFonts w:eastAsia="Calibri" w:cs="Calibri"/>
                <w:color w:val="000000"/>
                <w:szCs w:val="16"/>
              </w:rPr>
              <w:t>10,017,264</w:t>
            </w:r>
          </w:p>
        </w:tc>
        <w:tc>
          <w:tcPr>
            <w:tcW w:w="1559" w:type="dxa"/>
            <w:shd w:val="clear" w:color="auto" w:fill="FFFFFF"/>
            <w:tcMar>
              <w:top w:w="0" w:type="dxa"/>
              <w:left w:w="85" w:type="dxa"/>
              <w:bottom w:w="0" w:type="dxa"/>
              <w:right w:w="85" w:type="dxa"/>
            </w:tcMar>
            <w:vAlign w:val="center"/>
          </w:tcPr>
          <w:p w14:paraId="7DC46EFA" w14:textId="77777777" w:rsidR="00053418" w:rsidRPr="009E06AA" w:rsidRDefault="00053418" w:rsidP="000C57A2">
            <w:pPr>
              <w:pStyle w:val="TableText"/>
              <w:spacing w:before="50" w:after="50"/>
              <w:jc w:val="right"/>
            </w:pPr>
            <w:r w:rsidRPr="009E06AA">
              <w:rPr>
                <w:rFonts w:eastAsia="Calibri" w:cs="Calibri"/>
                <w:color w:val="000000"/>
                <w:szCs w:val="16"/>
              </w:rPr>
              <w:t>10,011,914</w:t>
            </w:r>
          </w:p>
        </w:tc>
        <w:tc>
          <w:tcPr>
            <w:tcW w:w="2268" w:type="dxa"/>
            <w:shd w:val="clear" w:color="auto" w:fill="FFFFFF"/>
            <w:tcMar>
              <w:top w:w="0" w:type="dxa"/>
              <w:left w:w="85" w:type="dxa"/>
              <w:bottom w:w="0" w:type="dxa"/>
              <w:right w:w="85" w:type="dxa"/>
            </w:tcMar>
            <w:vAlign w:val="center"/>
          </w:tcPr>
          <w:p w14:paraId="73E263CE" w14:textId="77777777" w:rsidR="00053418" w:rsidRPr="009E06AA" w:rsidRDefault="00053418" w:rsidP="000C57A2">
            <w:pPr>
              <w:pStyle w:val="TableText"/>
              <w:spacing w:before="50" w:after="50"/>
              <w:jc w:val="right"/>
            </w:pPr>
            <w:r w:rsidRPr="009E06AA">
              <w:rPr>
                <w:rFonts w:eastAsia="Calibri" w:cs="Calibri"/>
                <w:color w:val="000000"/>
                <w:szCs w:val="16"/>
              </w:rPr>
              <w:t>-5,350</w:t>
            </w:r>
          </w:p>
        </w:tc>
        <w:tc>
          <w:tcPr>
            <w:tcW w:w="850" w:type="dxa"/>
            <w:shd w:val="clear" w:color="auto" w:fill="FFFFFF"/>
            <w:tcMar>
              <w:top w:w="0" w:type="dxa"/>
              <w:left w:w="85" w:type="dxa"/>
              <w:bottom w:w="0" w:type="dxa"/>
              <w:right w:w="85" w:type="dxa"/>
            </w:tcMar>
            <w:vAlign w:val="center"/>
          </w:tcPr>
          <w:p w14:paraId="4F1BC0C2" w14:textId="77777777" w:rsidR="00053418" w:rsidRPr="009E06AA" w:rsidRDefault="00053418" w:rsidP="000C57A2">
            <w:pPr>
              <w:pStyle w:val="TableText"/>
              <w:spacing w:before="50" w:after="50"/>
              <w:jc w:val="right"/>
            </w:pPr>
            <w:r w:rsidRPr="009E06AA">
              <w:rPr>
                <w:rFonts w:eastAsia="Calibri" w:cs="Calibri"/>
                <w:color w:val="000000"/>
                <w:szCs w:val="16"/>
              </w:rPr>
              <w:t>-0.1</w:t>
            </w:r>
          </w:p>
        </w:tc>
      </w:tr>
    </w:tbl>
    <w:p w14:paraId="0D1063A7" w14:textId="77777777" w:rsidR="00053418" w:rsidRPr="009E06AA" w:rsidRDefault="00053418" w:rsidP="00053418">
      <w:pPr>
        <w:pStyle w:val="Noteundertable"/>
      </w:pPr>
      <w:r w:rsidRPr="009E06AA">
        <w:rPr>
          <w:b/>
        </w:rPr>
        <w:t>Note:</w:t>
      </w:r>
      <w:r w:rsidRPr="009E06AA">
        <w:tab/>
        <w:t xml:space="preserve">Areas are as at the end of the year indicated. </w:t>
      </w:r>
    </w:p>
    <w:p w14:paraId="48CBAA40" w14:textId="77777777" w:rsidR="00053418" w:rsidRPr="009E06AA" w:rsidRDefault="00053418" w:rsidP="00053418">
      <w:pPr>
        <w:pStyle w:val="BodyText"/>
      </w:pPr>
      <w:r w:rsidRPr="009E06AA">
        <w:rPr>
          <w:spacing w:val="-2"/>
        </w:rPr>
        <w:t xml:space="preserve">For </w:t>
      </w:r>
      <w:r w:rsidRPr="009E06AA">
        <w:rPr>
          <w:i/>
          <w:spacing w:val="-2"/>
        </w:rPr>
        <w:t>Forest land</w:t>
      </w:r>
      <w:r w:rsidRPr="009E06AA">
        <w:rPr>
          <w:spacing w:val="-2"/>
        </w:rPr>
        <w:t>, a number of improvements made to both the planted and natural forest activity</w:t>
      </w:r>
      <w:r w:rsidRPr="009E06AA">
        <w:t xml:space="preserve"> data led to a recalculation across the time series. These are described in more detail below.</w:t>
      </w:r>
      <w:bookmarkStart w:id="2028" w:name="_Toc255466362"/>
      <w:bookmarkStart w:id="2029" w:name="_Toc261513169"/>
      <w:bookmarkStart w:id="2030" w:name="_Toc261513782"/>
      <w:bookmarkStart w:id="2031" w:name="_Toc280630260"/>
      <w:r w:rsidRPr="009E06AA">
        <w:t xml:space="preserve"> </w:t>
      </w:r>
    </w:p>
    <w:p w14:paraId="484F3603" w14:textId="77777777" w:rsidR="00053418" w:rsidRPr="009E06AA" w:rsidRDefault="00053418" w:rsidP="00BF2A76">
      <w:pPr>
        <w:pStyle w:val="Heading5"/>
      </w:pPr>
      <w:r w:rsidRPr="009E06AA">
        <w:t>Activity data</w:t>
      </w:r>
      <w:bookmarkEnd w:id="2028"/>
      <w:bookmarkEnd w:id="2029"/>
      <w:bookmarkEnd w:id="2030"/>
      <w:bookmarkEnd w:id="2031"/>
    </w:p>
    <w:p w14:paraId="21D7E5FC" w14:textId="77777777" w:rsidR="00053418" w:rsidRPr="009E06AA" w:rsidRDefault="00053418" w:rsidP="00053418">
      <w:pPr>
        <w:pStyle w:val="BodyText"/>
      </w:pPr>
      <w:r w:rsidRPr="009E06AA">
        <w:t>For this submission, activity data were updated with the incorporation of the 2020 land use map (section 6.3.1).</w:t>
      </w:r>
    </w:p>
    <w:p w14:paraId="729EC6AA" w14:textId="77777777" w:rsidR="00053418" w:rsidRPr="009E06AA" w:rsidRDefault="00053418" w:rsidP="00053418">
      <w:pPr>
        <w:pStyle w:val="BodyText"/>
        <w:rPr>
          <w:rFonts w:cs="Arial"/>
        </w:rPr>
      </w:pPr>
      <w:bookmarkStart w:id="2032" w:name="_Toc255466366"/>
      <w:bookmarkStart w:id="2033" w:name="_Toc261513173"/>
      <w:bookmarkStart w:id="2034" w:name="_Toc261513786"/>
      <w:r w:rsidRPr="009E06AA">
        <w:rPr>
          <w:spacing w:val="-2"/>
        </w:rPr>
        <w:t>The area estimates of afforestation and deforestation were updated from those in the previous</w:t>
      </w:r>
      <w:r w:rsidRPr="009E06AA">
        <w:t xml:space="preserve"> submission, due to updates in forestry scheme data and new deforestation mapping (see annex A5.2.2). </w:t>
      </w:r>
      <w:r w:rsidRPr="009E06AA">
        <w:rPr>
          <w:rFonts w:cs="Arial"/>
        </w:rPr>
        <w:t>All deforestation is now mapped up to 2020 and incorporated into the 2020 LUM.</w:t>
      </w:r>
      <w:r w:rsidRPr="009E06AA">
        <w:rPr>
          <w:rStyle w:val="BulletChar"/>
          <w:rFonts w:eastAsiaTheme="minorEastAsia" w:cs="Arial"/>
        </w:rPr>
        <w:t xml:space="preserve"> </w:t>
      </w:r>
      <w:r w:rsidRPr="009E06AA">
        <w:rPr>
          <w:rFonts w:cs="Arial"/>
        </w:rPr>
        <w:t>Total deforestation for 2020 increased from the previous estimate of approximately 3,600 hectares to a mapped area of 6,900 hectares. The emissions impact of this update for 2020 was an increase of approximately 600</w:t>
      </w:r>
      <w:r w:rsidRPr="009E06AA">
        <w:rPr>
          <w:rFonts w:cs="Arial"/>
          <w:color w:val="333333"/>
        </w:rPr>
        <w:t xml:space="preserve"> kt CO</w:t>
      </w:r>
      <w:r w:rsidRPr="009E06AA">
        <w:rPr>
          <w:rFonts w:cs="Arial"/>
          <w:color w:val="333333"/>
          <w:vertAlign w:val="subscript"/>
        </w:rPr>
        <w:t>2</w:t>
      </w:r>
      <w:r w:rsidRPr="009E06AA">
        <w:rPr>
          <w:rFonts w:cs="Arial"/>
          <w:color w:val="333333"/>
        </w:rPr>
        <w:t>-e</w:t>
      </w:r>
      <w:r w:rsidRPr="009E06AA">
        <w:rPr>
          <w:rFonts w:cs="Arial"/>
        </w:rPr>
        <w:t>. Small corrections to deforestation mapping across the time series were made, leading to minor changes in total deforestation area for each year from 2008 to 2019 inclusive. </w:t>
      </w:r>
    </w:p>
    <w:p w14:paraId="50386AF5" w14:textId="77777777" w:rsidR="00053418" w:rsidRPr="009E06AA" w:rsidRDefault="00053418" w:rsidP="00053418">
      <w:pPr>
        <w:pStyle w:val="BodyText"/>
      </w:pPr>
      <w:r w:rsidRPr="009E06AA">
        <w:rPr>
          <w:rFonts w:cs="Arial"/>
        </w:rPr>
        <w:t>For pre-1990 natural forest and post-1989 natural forest, defores</w:t>
      </w:r>
      <w:r w:rsidRPr="009E06AA">
        <w:t xml:space="preserve">tation estimates for 2021 and 2022 were calculated as the average deforestation area for the last three mapped years (2018 to 2020), the same method applied in previous submissions. </w:t>
      </w:r>
    </w:p>
    <w:p w14:paraId="1F6C14F1" w14:textId="77777777" w:rsidR="00053418" w:rsidRPr="009E06AA" w:rsidRDefault="00053418" w:rsidP="00053418">
      <w:pPr>
        <w:pStyle w:val="BodyText"/>
      </w:pPr>
      <w:r w:rsidRPr="009E06AA">
        <w:t>Planted forest deforestation occurring in 2021 was estimated in the NIR 2023 submission using a trend extrapolation approach from the deforestation mapped in earlier years. For the 2024 NIR submission that extrapolation approach was modified to tie the pre-1990 planted forest deforestation estimates to the trend observed in data from the 2022 Afforestation and Deforestation Intentions Survey (Manley, 2023). This modified approach to the deforestation estimation did not affect the total estimated deforestation area but changed the split between pre-1990 and post-1989 planted forest deforestation, with slightly less deforestation coming from the pre-1990 planted forest class. </w:t>
      </w:r>
    </w:p>
    <w:p w14:paraId="106C3686" w14:textId="7527A9C0" w:rsidR="00053418" w:rsidRPr="009E06AA" w:rsidRDefault="00053418" w:rsidP="00053418">
      <w:pPr>
        <w:pStyle w:val="BodyText"/>
      </w:pPr>
      <w:r w:rsidRPr="009E06AA">
        <w:t>The additional area of 2020 planted forest deforestation also affected the 2021 estimate, because this area is included in the trend extrapolation calculation for the 2021 estimate. The overall emissions impact for 2021 is an increase of approximately 374.9</w:t>
      </w:r>
      <w:r w:rsidRPr="009E06AA">
        <w:rPr>
          <w:color w:val="333333"/>
        </w:rPr>
        <w:t xml:space="preserve"> kt CO</w:t>
      </w:r>
      <w:r w:rsidRPr="009E06AA">
        <w:rPr>
          <w:color w:val="333333"/>
          <w:vertAlign w:val="subscript"/>
        </w:rPr>
        <w:t>2</w:t>
      </w:r>
      <w:r w:rsidRPr="009E06AA">
        <w:rPr>
          <w:color w:val="333333"/>
        </w:rPr>
        <w:t>-e</w:t>
      </w:r>
      <w:r w:rsidRPr="009E06AA">
        <w:t>. Across all forest categories, total deforestation in 2021 increased from approximately 2,500 hectares in</w:t>
      </w:r>
      <w:r w:rsidR="00CA334E" w:rsidRPr="009E06AA">
        <w:t> </w:t>
      </w:r>
      <w:r w:rsidRPr="009E06AA">
        <w:t xml:space="preserve">the NIR 2023 submission to 4,800 hectares in this submission. </w:t>
      </w:r>
    </w:p>
    <w:p w14:paraId="22746569" w14:textId="77777777" w:rsidR="00053418" w:rsidRPr="009E06AA" w:rsidRDefault="00053418" w:rsidP="00BF2A76">
      <w:pPr>
        <w:pStyle w:val="Heading5"/>
      </w:pPr>
      <w:r w:rsidRPr="009E06AA">
        <w:t xml:space="preserve">Planted forest – yield tables, harvest model, harvesting and planting time series and multiple land-use changes </w:t>
      </w:r>
    </w:p>
    <w:p w14:paraId="66631F7F" w14:textId="77777777" w:rsidR="00053418" w:rsidRPr="009E06AA" w:rsidRDefault="00053418" w:rsidP="00053418">
      <w:pPr>
        <w:pStyle w:val="BodyText"/>
        <w:spacing w:after="100"/>
      </w:pPr>
      <w:r w:rsidRPr="009E06AA">
        <w:t>In this submission, yield tables for pre-1990 planted forest and post-1989 planted forest were updated to incorporate new data collected in 2021 and 2022 (see annex A5.2.5 ‘Planted forest yield tables’). Updated planted forest yield tables resulted in a decrease in emissions in 1990 of approximately 330.8 kt CO</w:t>
      </w:r>
      <w:r w:rsidRPr="009E06AA">
        <w:rPr>
          <w:vertAlign w:val="subscript"/>
        </w:rPr>
        <w:t>2</w:t>
      </w:r>
      <w:r w:rsidRPr="009E06AA">
        <w:t>-e and an increase in emissions in 2021 of approximately 383.2 kt CO</w:t>
      </w:r>
      <w:r w:rsidRPr="009E06AA">
        <w:rPr>
          <w:vertAlign w:val="subscript"/>
        </w:rPr>
        <w:t>2</w:t>
      </w:r>
      <w:r w:rsidRPr="009E06AA">
        <w:t xml:space="preserve">-e. </w:t>
      </w:r>
      <w:r w:rsidRPr="009E06AA">
        <w:rPr>
          <w:rFonts w:asciiTheme="minorHAnsi" w:hAnsiTheme="minorHAnsi"/>
          <w:color w:val="000000" w:themeColor="text1"/>
        </w:rPr>
        <w:t>This appears to be driven by reduced estimated growth rates in mid-age pre-1990 planted forest stands.</w:t>
      </w:r>
      <w:r w:rsidRPr="009E06AA">
        <w:rPr>
          <w:rFonts w:asciiTheme="minorHAnsi" w:hAnsiTheme="minorHAnsi"/>
        </w:rPr>
        <w:t xml:space="preserve"> </w:t>
      </w:r>
    </w:p>
    <w:p w14:paraId="03BC2761" w14:textId="77777777" w:rsidR="00053418" w:rsidRPr="009E06AA" w:rsidRDefault="00053418" w:rsidP="00053418">
      <w:pPr>
        <w:pStyle w:val="BodyText"/>
        <w:spacing w:after="100"/>
      </w:pPr>
      <w:r w:rsidRPr="009E06AA">
        <w:t xml:space="preserve">For this submission, the planted forest models were subject to a major review and a range of modelling procedures were improved. </w:t>
      </w:r>
      <w:r w:rsidRPr="009E06AA">
        <w:rPr>
          <w:rFonts w:asciiTheme="minorHAnsi" w:hAnsiTheme="minorHAnsi"/>
          <w:color w:val="333333"/>
        </w:rPr>
        <w:t xml:space="preserve">These accounted for the largest component of any recalculations in emission estimates across the time series. Recalculations were quantified </w:t>
      </w:r>
      <w:r w:rsidRPr="009E06AA">
        <w:rPr>
          <w:rFonts w:cs="Arial"/>
          <w:color w:val="000000" w:themeColor="text1"/>
        </w:rPr>
        <w:t xml:space="preserve">relative to the NIR 2023 submission, with the largest impact affecting emission estimates for 1990 where the improvement reduced emissions by </w:t>
      </w:r>
      <w:r w:rsidRPr="009E06AA">
        <w:rPr>
          <w:rFonts w:cs="Arial"/>
          <w:color w:val="333333"/>
        </w:rPr>
        <w:t xml:space="preserve">approximately </w:t>
      </w:r>
      <w:r w:rsidRPr="009E06AA">
        <w:rPr>
          <w:rFonts w:cs="Arial"/>
          <w:color w:val="000000" w:themeColor="text1"/>
        </w:rPr>
        <w:t xml:space="preserve">3,898.8 </w:t>
      </w:r>
      <w:r w:rsidRPr="009E06AA">
        <w:rPr>
          <w:rFonts w:cs="Arial"/>
          <w:color w:val="333333"/>
        </w:rPr>
        <w:t>kt CO</w:t>
      </w:r>
      <w:r w:rsidRPr="009E06AA">
        <w:rPr>
          <w:rFonts w:cs="Arial"/>
          <w:color w:val="333333"/>
          <w:vertAlign w:val="subscript"/>
        </w:rPr>
        <w:t>2</w:t>
      </w:r>
      <w:r w:rsidRPr="009E06AA">
        <w:rPr>
          <w:rFonts w:cs="Arial"/>
          <w:color w:val="333333"/>
        </w:rPr>
        <w:t xml:space="preserve">-e. The impact on 2021 emissions was an increase of approximately 216.9 </w:t>
      </w:r>
      <w:r w:rsidRPr="009E06AA">
        <w:t>kt CO</w:t>
      </w:r>
      <w:r w:rsidRPr="009E06AA">
        <w:rPr>
          <w:vertAlign w:val="subscript"/>
        </w:rPr>
        <w:t>2</w:t>
      </w:r>
      <w:r w:rsidRPr="009E06AA">
        <w:t>-e. These improvements included:</w:t>
      </w:r>
    </w:p>
    <w:p w14:paraId="643F585A" w14:textId="77777777" w:rsidR="00053418" w:rsidRPr="009E06AA" w:rsidRDefault="00053418" w:rsidP="00053418">
      <w:pPr>
        <w:pStyle w:val="Bullet"/>
        <w:numPr>
          <w:ilvl w:val="0"/>
          <w:numId w:val="29"/>
        </w:numPr>
        <w:ind w:left="397" w:hanging="397"/>
      </w:pPr>
      <w:r w:rsidRPr="009E06AA">
        <w:rPr>
          <w:rFonts w:asciiTheme="minorHAnsi" w:hAnsiTheme="minorHAnsi" w:cstheme="minorHAnsi"/>
          <w:color w:val="333333"/>
        </w:rPr>
        <w:t xml:space="preserve">revision of the harvesting time series between 1980 and 1989. The harvest area for this period is now </w:t>
      </w:r>
      <w:r w:rsidRPr="009E06AA">
        <w:t xml:space="preserve">derived from Ministry for Primary Industries (MPI) historical roundwood removal data converted to area (Ministry for Primary Industries, 2023a). </w:t>
      </w:r>
      <w:r w:rsidRPr="009E06AA">
        <w:rPr>
          <w:rFonts w:asciiTheme="minorHAnsi" w:hAnsiTheme="minorHAnsi" w:cstheme="minorHAnsi"/>
          <w:color w:val="333333"/>
          <w:shd w:val="clear" w:color="auto" w:fill="FFFFFF"/>
        </w:rPr>
        <w:t>By constraining the harvesting area during this period, the model better reflects harvesting activity that would have occurred then, in addition to ensuring greater stability with the 1990 estimate. Earlier submissions used a model that had no constraint on harvesting prior to 1990. This resulted in a material increase, in each new NIR submission, of the emissions reported for 1990, due to emissions from the deadwood pool from previous years</w:t>
      </w:r>
    </w:p>
    <w:p w14:paraId="6D2D63A9" w14:textId="77777777" w:rsidR="00053418" w:rsidRPr="009E06AA" w:rsidRDefault="00053418" w:rsidP="00053418">
      <w:pPr>
        <w:pStyle w:val="Bullet"/>
        <w:numPr>
          <w:ilvl w:val="0"/>
          <w:numId w:val="29"/>
        </w:numPr>
        <w:ind w:left="397" w:hanging="397"/>
      </w:pPr>
      <w:r w:rsidRPr="009E06AA">
        <w:rPr>
          <w:bdr w:val="none" w:sz="0" w:space="0" w:color="auto" w:frame="1"/>
        </w:rPr>
        <w:t>revision of how the harvest age profile is calculated, with priority given to consistency across submissions</w:t>
      </w:r>
    </w:p>
    <w:p w14:paraId="01554AFA" w14:textId="77777777" w:rsidR="00053418" w:rsidRPr="009E06AA" w:rsidRDefault="00053418" w:rsidP="00053418">
      <w:pPr>
        <w:pStyle w:val="Bullet"/>
        <w:numPr>
          <w:ilvl w:val="0"/>
          <w:numId w:val="29"/>
        </w:numPr>
        <w:ind w:left="397" w:hanging="397"/>
      </w:pPr>
      <w:r w:rsidRPr="009E06AA">
        <w:t>refinement of the harvest model to better simulate multiple rotation harvests, ensuring the model will function optimally in the future</w:t>
      </w:r>
    </w:p>
    <w:p w14:paraId="402A009C" w14:textId="77777777" w:rsidR="00053418" w:rsidRPr="009E06AA" w:rsidRDefault="00053418" w:rsidP="00053418">
      <w:pPr>
        <w:pStyle w:val="Bullet"/>
        <w:numPr>
          <w:ilvl w:val="0"/>
          <w:numId w:val="29"/>
        </w:numPr>
        <w:ind w:left="397" w:hanging="397"/>
      </w:pPr>
      <w:r w:rsidRPr="009E06AA">
        <w:t xml:space="preserve">fine-tuning calculation of the 1962 to 1989 planting time series, which is now based on a five-year moving average (as opposed to a one-year average) of </w:t>
      </w:r>
      <w:r w:rsidRPr="009E06AA">
        <w:rPr>
          <w:rFonts w:eastAsia="Calibri"/>
        </w:rPr>
        <w:t>National Exotic Forest Description</w:t>
      </w:r>
      <w:r w:rsidRPr="009E06AA">
        <w:t xml:space="preserve"> data sets</w:t>
      </w:r>
    </w:p>
    <w:p w14:paraId="26662576" w14:textId="77777777" w:rsidR="00053418" w:rsidRPr="009E06AA" w:rsidRDefault="00053418" w:rsidP="00053418">
      <w:pPr>
        <w:pStyle w:val="Bullet"/>
        <w:numPr>
          <w:ilvl w:val="0"/>
          <w:numId w:val="29"/>
        </w:numPr>
        <w:ind w:left="397" w:hanging="397"/>
      </w:pPr>
      <w:r w:rsidRPr="009E06AA">
        <w:t>improvement to how the organic soil harvesting area and age is determined and incorporated into the overall destocking by age profile.</w:t>
      </w:r>
    </w:p>
    <w:p w14:paraId="37B7D511" w14:textId="77777777" w:rsidR="00053418" w:rsidRPr="009E06AA" w:rsidRDefault="00053418" w:rsidP="00053418">
      <w:pPr>
        <w:pStyle w:val="BodyText"/>
      </w:pPr>
      <w:r w:rsidRPr="009E06AA">
        <w:t>Other modelling processes that were improved had only a minor impact on emissions. These included:</w:t>
      </w:r>
    </w:p>
    <w:p w14:paraId="2275C5AB" w14:textId="77777777" w:rsidR="00053418" w:rsidRPr="009E06AA" w:rsidRDefault="00053418" w:rsidP="00053418">
      <w:pPr>
        <w:pStyle w:val="Bullet"/>
        <w:numPr>
          <w:ilvl w:val="0"/>
          <w:numId w:val="29"/>
        </w:numPr>
        <w:ind w:left="397" w:hanging="397"/>
      </w:pPr>
      <w:r w:rsidRPr="009E06AA">
        <w:t xml:space="preserve">improving the process by which the land use map is initially ingested and transformed prior to executing the planted forest models, which enabled extra model validations through subsequent modelling steps </w:t>
      </w:r>
    </w:p>
    <w:p w14:paraId="1B2CF875" w14:textId="77777777" w:rsidR="00053418" w:rsidRPr="009E06AA" w:rsidRDefault="00053418" w:rsidP="00053418">
      <w:pPr>
        <w:pStyle w:val="Bullet"/>
        <w:numPr>
          <w:ilvl w:val="0"/>
          <w:numId w:val="29"/>
        </w:numPr>
        <w:ind w:left="397" w:hanging="397"/>
      </w:pPr>
      <w:r w:rsidRPr="009E06AA">
        <w:t>identifying and correcting minor errors found in these new model validation steps</w:t>
      </w:r>
    </w:p>
    <w:p w14:paraId="274450FC" w14:textId="77777777" w:rsidR="00053418" w:rsidRPr="009E06AA" w:rsidRDefault="00053418" w:rsidP="00053418">
      <w:pPr>
        <w:pStyle w:val="Bullet"/>
        <w:numPr>
          <w:ilvl w:val="0"/>
          <w:numId w:val="29"/>
        </w:numPr>
        <w:ind w:left="397" w:hanging="397"/>
      </w:pPr>
      <w:r w:rsidRPr="009E06AA">
        <w:t xml:space="preserve">improving the process by which multiple land-use changes are managed (it is becoming more common for mapping polygons to undergo multiple land-use changes as new land use maps are incorporated). This ensures model flexibility (removing any future need to pre-define new patterns of multiple land-use change) and consistency with standard interpolation procedures used in other parts of the modelling process. </w:t>
      </w:r>
    </w:p>
    <w:p w14:paraId="02E39B08" w14:textId="77777777" w:rsidR="00053418" w:rsidRPr="009E06AA" w:rsidRDefault="00053418" w:rsidP="00053418">
      <w:pPr>
        <w:pStyle w:val="BodyText"/>
      </w:pPr>
      <w:r w:rsidRPr="009E06AA">
        <w:t>Collectively, the planted forest modelling improvements will significantly improve the consistency of LULUCF time series between this and future inventory submissions. The importance of consistency among submissions is highlighted in the 2006 IPCC Guidelines as a significant indicator of inventory quality (IPCC, 2006a, section 1.4). Further details on methods applied in this submission are provided in annex A5.2.5.</w:t>
      </w:r>
    </w:p>
    <w:p w14:paraId="70BF4052" w14:textId="77777777" w:rsidR="00053418" w:rsidRPr="009E06AA" w:rsidRDefault="00053418" w:rsidP="00BF2A76">
      <w:pPr>
        <w:pStyle w:val="Heading5"/>
      </w:pPr>
      <w:r w:rsidRPr="009E06AA">
        <w:t xml:space="preserve">Natural forest – </w:t>
      </w:r>
      <w:r w:rsidRPr="009E06AA" w:rsidDel="009D4E4E">
        <w:t xml:space="preserve">updates to </w:t>
      </w:r>
      <w:r w:rsidRPr="009E06AA">
        <w:t>yield tables and emissions calculations</w:t>
      </w:r>
    </w:p>
    <w:p w14:paraId="74136F64" w14:textId="77777777" w:rsidR="00053418" w:rsidRPr="009E06AA" w:rsidRDefault="00053418" w:rsidP="00053418">
      <w:pPr>
        <w:pStyle w:val="BodyText"/>
      </w:pPr>
      <w:r w:rsidRPr="009E06AA">
        <w:t>In this submission, there are no recalculations associated with natural forest yield tables.</w:t>
      </w:r>
      <w:r w:rsidRPr="009E06AA" w:rsidDel="005B6A7A">
        <w:t xml:space="preserve"> </w:t>
      </w:r>
      <w:r w:rsidRPr="009E06AA">
        <w:t>Yield tables for both pre-1990 natural forest and post-1989 natural forest were last updated for the</w:t>
      </w:r>
      <w:r w:rsidRPr="009E06AA" w:rsidDel="005B17E0">
        <w:t xml:space="preserve"> </w:t>
      </w:r>
      <w:r w:rsidRPr="009E06AA">
        <w:t>2022 submission</w:t>
      </w:r>
      <w:r w:rsidRPr="009E06AA" w:rsidDel="00761B2B">
        <w:t xml:space="preserve"> </w:t>
      </w:r>
      <w:r w:rsidRPr="009E06AA">
        <w:t>(see annex A5.2.5 ‘Natural forest carbon stock change estimates and yield tables’).</w:t>
      </w:r>
    </w:p>
    <w:p w14:paraId="28A54BF0" w14:textId="77777777" w:rsidR="00053418" w:rsidRPr="009E06AA" w:rsidRDefault="00053418" w:rsidP="00053418">
      <w:pPr>
        <w:pStyle w:val="Heading3"/>
      </w:pPr>
      <w:bookmarkStart w:id="2035" w:name="_Toc255466368"/>
      <w:bookmarkStart w:id="2036" w:name="_Toc261513175"/>
      <w:bookmarkStart w:id="2037" w:name="_Toc261513788"/>
      <w:bookmarkStart w:id="2038" w:name="_Toc280630262"/>
      <w:bookmarkStart w:id="2039" w:name="_Toc373395716"/>
      <w:bookmarkStart w:id="2040" w:name="_Toc139253961"/>
      <w:bookmarkEnd w:id="2032"/>
      <w:bookmarkEnd w:id="2033"/>
      <w:bookmarkEnd w:id="2034"/>
      <w:r w:rsidRPr="009E06AA">
        <w:t>6.4.6</w:t>
      </w:r>
      <w:r w:rsidRPr="009E06AA">
        <w:tab/>
        <w:t>Category-specific planned improvements</w:t>
      </w:r>
      <w:bookmarkEnd w:id="2035"/>
      <w:bookmarkEnd w:id="2036"/>
      <w:bookmarkEnd w:id="2037"/>
      <w:bookmarkEnd w:id="2038"/>
      <w:bookmarkEnd w:id="2039"/>
      <w:bookmarkEnd w:id="2040"/>
    </w:p>
    <w:p w14:paraId="685EEC5C" w14:textId="77777777" w:rsidR="00053418" w:rsidRPr="009E06AA" w:rsidRDefault="00053418" w:rsidP="007E44FD">
      <w:pPr>
        <w:pStyle w:val="Heading4"/>
      </w:pPr>
      <w:r w:rsidRPr="009E06AA">
        <w:t>Plot networks and yield tables</w:t>
      </w:r>
    </w:p>
    <w:p w14:paraId="1C9E6BC7" w14:textId="77777777" w:rsidR="00053418" w:rsidRPr="009E06AA" w:rsidRDefault="00053418" w:rsidP="00053418">
      <w:pPr>
        <w:pStyle w:val="BodyText"/>
      </w:pPr>
      <w:r w:rsidRPr="009E06AA">
        <w:t xml:space="preserve">New Zealand will continue to measure the pre-1990 natural forest plot network on a 10-year cycle and analyse the data collected as they become available. An updated analysis is anticipated to be ready for the NIR 2026 submission. The current post-1989 natural forest plot network will be re-measured in 2023/24. </w:t>
      </w:r>
    </w:p>
    <w:p w14:paraId="0499696B" w14:textId="77777777" w:rsidR="00053418" w:rsidRPr="009E06AA" w:rsidRDefault="00053418" w:rsidP="00053418">
      <w:pPr>
        <w:pStyle w:val="BodyText"/>
      </w:pPr>
      <w:r w:rsidRPr="009E06AA">
        <w:t xml:space="preserve">When sufficient data are available, an additional yield table will be developed for post-1989 natural forest. This will be produced by disaggregating data from plots dominated by exotic vegetation (typically </w:t>
      </w:r>
      <w:r w:rsidRPr="009E06AA">
        <w:rPr>
          <w:i/>
          <w:iCs/>
        </w:rPr>
        <w:t>Pinus spp.</w:t>
      </w:r>
      <w:r w:rsidRPr="009E06AA">
        <w:t xml:space="preserve"> or ‘wilding pines’) from those dominated by native vegetation communities. The current method of including both vegetation types in the one yield table, due to a low sample size for the post-1989 natural forest (a total of 25 plots), limits its applicability in reporting carbon stock change and other areas of conservation and environmental management. At present, these yield tables should always be reported clearly as being the combination of both native and exotic post-1989 natural forest. Providing sufficient funding can be attained, the number of post-1989 natural forest plots surveyed will be increased in future to provide an</w:t>
      </w:r>
      <w:r w:rsidRPr="009E06AA" w:rsidDel="00190075">
        <w:t xml:space="preserve"> </w:t>
      </w:r>
      <w:r w:rsidRPr="009E06AA">
        <w:t>overall sample large enough to separate into native and exotic communities and two respective yield tables.</w:t>
      </w:r>
    </w:p>
    <w:p w14:paraId="0C6DE339" w14:textId="77777777" w:rsidR="00053418" w:rsidRPr="009E06AA" w:rsidRDefault="00053418" w:rsidP="00053418">
      <w:pPr>
        <w:pStyle w:val="BodyText"/>
      </w:pPr>
      <w:r w:rsidRPr="009E06AA">
        <w:t>The complete planted forest plot network (pre-1990 and post</w:t>
      </w:r>
      <w:r w:rsidRPr="009E06AA">
        <w:noBreakHyphen/>
        <w:t xml:space="preserve">1989) is being re-measured on a continuous basis (at five-year intervals). These data will be incorporated into the NIR as they become available. </w:t>
      </w:r>
    </w:p>
    <w:p w14:paraId="6EB2C1C5" w14:textId="77777777" w:rsidR="00053418" w:rsidRPr="009E06AA" w:rsidRDefault="00053418" w:rsidP="007E44FD">
      <w:pPr>
        <w:pStyle w:val="Heading4"/>
      </w:pPr>
      <w:r w:rsidRPr="009E06AA">
        <w:t>Natural forest plot data</w:t>
      </w:r>
    </w:p>
    <w:p w14:paraId="5AC08805" w14:textId="77777777" w:rsidR="00053418" w:rsidRPr="009E06AA" w:rsidRDefault="00053418" w:rsidP="00053418">
      <w:pPr>
        <w:pStyle w:val="BodyText"/>
      </w:pPr>
      <w:r w:rsidRPr="009E06AA">
        <w:t xml:space="preserve">Work has recently been undertaken to improve the quality of the LUCAS pre-1990 natural forest plot data through a series of corrections (Arnst and Vickers, unpublished). These corrections will reduce the need for individual analysts to identify and carry out corrections before using the data, which will enhance the robustness and repeatability of all subsequent analyses undertaken using these data. It is intended that this corrected data set will be used in future analyses of the natural forest plot data. </w:t>
      </w:r>
    </w:p>
    <w:p w14:paraId="272EFF8F" w14:textId="77777777" w:rsidR="00053418" w:rsidRPr="009E06AA" w:rsidRDefault="00053418" w:rsidP="00053418">
      <w:pPr>
        <w:pStyle w:val="BodyText"/>
      </w:pPr>
      <w:r w:rsidRPr="009E06AA">
        <w:t>Electronic data capture by field teams was implemented in 2020 to 2021, supplementing the paper plot sheets previously used. Subsequently, QA/QC on the entire set of stem-related data (i.e., diameter, height, species) has been possible prior to upload into the database, improving on the 10 per cent previously checked. These checks have shown that electronic data capture has markedly improved data quality, with stem-related data able to be uploaded with all errors or omissions identified and amended. These data will be included in analysis following the completion of the full pre-1990 natural forest plot measurement cycle in 2023 to 2024.</w:t>
      </w:r>
    </w:p>
    <w:p w14:paraId="510EDF53" w14:textId="77777777" w:rsidR="00053418" w:rsidRPr="009E06AA" w:rsidRDefault="00053418" w:rsidP="007E44FD">
      <w:pPr>
        <w:pStyle w:val="Heading4"/>
      </w:pPr>
      <w:r w:rsidRPr="009E06AA">
        <w:t>Mapping and activity data</w:t>
      </w:r>
    </w:p>
    <w:p w14:paraId="429A4CD7" w14:textId="77777777" w:rsidR="00053418" w:rsidRPr="009E06AA" w:rsidRDefault="00053418" w:rsidP="00053418">
      <w:pPr>
        <w:pStyle w:val="BodyText"/>
        <w:rPr>
          <w:rFonts w:eastAsiaTheme="minorEastAsia"/>
        </w:rPr>
      </w:pPr>
      <w:r w:rsidRPr="009E06AA">
        <w:t xml:space="preserve">Mapping of forest areas will be improved through changes to the 2020 LUM. Planned forest-specific mapping improvements include </w:t>
      </w:r>
      <w:r w:rsidRPr="009E06AA">
        <w:rPr>
          <w:rFonts w:eastAsiaTheme="minorEastAsia"/>
        </w:rPr>
        <w:t>mapping of newly planted forests through data supplied from government-funded forestry scheme mapping, including the NZ ETS, and identified in Sentinel-2 satellite imagery.</w:t>
      </w:r>
    </w:p>
    <w:p w14:paraId="3482BE34" w14:textId="77777777" w:rsidR="00053418" w:rsidRPr="009E06AA" w:rsidRDefault="00053418" w:rsidP="007E44FD">
      <w:pPr>
        <w:pStyle w:val="Heading4"/>
      </w:pPr>
      <w:r w:rsidRPr="009E06AA">
        <w:t>Planted forest model</w:t>
      </w:r>
    </w:p>
    <w:p w14:paraId="16C7B286" w14:textId="77777777" w:rsidR="00053418" w:rsidRPr="009E06AA" w:rsidRDefault="00053418" w:rsidP="00053418">
      <w:pPr>
        <w:pStyle w:val="BodyText"/>
      </w:pPr>
      <w:r w:rsidRPr="009E06AA">
        <w:t xml:space="preserve">Quality-assurance and quality-control processes for checking and improving consistency </w:t>
      </w:r>
      <w:r w:rsidRPr="009E06AA">
        <w:rPr>
          <w:spacing w:val="-2"/>
        </w:rPr>
        <w:t>between different data sets are planned for a future submission. Currently, a few inconsistencies</w:t>
      </w:r>
      <w:r w:rsidRPr="009E06AA">
        <w:t xml:space="preserve"> require further investigation and remediation. These inconsistencies include:</w:t>
      </w:r>
    </w:p>
    <w:p w14:paraId="06188C29" w14:textId="77777777" w:rsidR="00053418" w:rsidRPr="009E06AA" w:rsidRDefault="00053418" w:rsidP="00053418">
      <w:pPr>
        <w:pStyle w:val="Bullet"/>
        <w:numPr>
          <w:ilvl w:val="0"/>
          <w:numId w:val="29"/>
        </w:numPr>
        <w:ind w:left="397" w:hanging="397"/>
      </w:pPr>
      <w:r w:rsidRPr="009E06AA">
        <w:t>the estimated annual volume removed from planted forests, based on the Calculation and Reporting Application model, is not entirely consistent with estimated annual roundwood volume statistics produced by MPI (Ministry for Primary Industries, 2023b) for part of the time series (1990 to 2015). Note that a comparison between the two data sources across the time series was carried out and is further described in annex A5.2.5 ‘Forest land model validations’</w:t>
      </w:r>
    </w:p>
    <w:p w14:paraId="76C5AD53" w14:textId="77777777" w:rsidR="00053418" w:rsidRPr="009E06AA" w:rsidRDefault="00053418" w:rsidP="00053418">
      <w:pPr>
        <w:pStyle w:val="Bullet"/>
        <w:numPr>
          <w:ilvl w:val="0"/>
          <w:numId w:val="29"/>
        </w:numPr>
        <w:ind w:left="397" w:hanging="397"/>
      </w:pPr>
      <w:r w:rsidRPr="009E06AA">
        <w:t>the pre-1990 planted forest average carbon stock per hectare estimated from the Calculation and Reporting Application model is greater than the average carbon stock per hectare estimated from plots in the forest inventory (further described in annex A5.2.5 ‘Forest land model validations’)</w:t>
      </w:r>
    </w:p>
    <w:p w14:paraId="18973E58" w14:textId="77777777" w:rsidR="00053418" w:rsidRPr="009E06AA" w:rsidRDefault="00053418" w:rsidP="00053418">
      <w:pPr>
        <w:pStyle w:val="Bullet"/>
        <w:numPr>
          <w:ilvl w:val="0"/>
          <w:numId w:val="29"/>
        </w:numPr>
        <w:ind w:left="397" w:hanging="397"/>
      </w:pPr>
      <w:r w:rsidRPr="009E06AA">
        <w:t>the pre-1990 planted forest yield tables have higher carbon stock per hectare estimates on average than plots measured in the planted forest inventory (further described in annex A5.2.5 ‘Forest land model validations’).</w:t>
      </w:r>
    </w:p>
    <w:p w14:paraId="7D3F6CBD" w14:textId="77777777" w:rsidR="00053418" w:rsidRPr="009E06AA" w:rsidRDefault="00053418" w:rsidP="00053418">
      <w:pPr>
        <w:pStyle w:val="Heading2"/>
      </w:pPr>
      <w:bookmarkStart w:id="2041" w:name="_Toc255466369"/>
      <w:bookmarkStart w:id="2042" w:name="_Toc261513176"/>
      <w:bookmarkStart w:id="2043" w:name="_Toc261513789"/>
      <w:bookmarkStart w:id="2044" w:name="_Toc280630263"/>
      <w:bookmarkStart w:id="2045" w:name="_Toc310423453"/>
      <w:bookmarkStart w:id="2046" w:name="_Toc342470719"/>
      <w:bookmarkStart w:id="2047" w:name="_Toc352504871"/>
      <w:bookmarkStart w:id="2048" w:name="_Toc391024701"/>
      <w:bookmarkStart w:id="2049" w:name="_Toc414531318"/>
      <w:bookmarkStart w:id="2050" w:name="_Toc474335460"/>
      <w:bookmarkStart w:id="2051" w:name="_Toc481751400"/>
      <w:bookmarkStart w:id="2052" w:name="_Toc522013952"/>
      <w:bookmarkStart w:id="2053" w:name="_Toc5269377"/>
      <w:bookmarkStart w:id="2054" w:name="_Toc36224417"/>
      <w:bookmarkStart w:id="2055" w:name="_Toc131591251"/>
      <w:bookmarkStart w:id="2056" w:name="_Toc158980298"/>
      <w:bookmarkStart w:id="2057" w:name="_Toc164154206"/>
      <w:r w:rsidRPr="009E06AA">
        <w:t>6.5</w:t>
      </w:r>
      <w:r w:rsidRPr="009E06AA">
        <w:tab/>
        <w:t>Cropland (4B)</w:t>
      </w:r>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p>
    <w:p w14:paraId="053B8666" w14:textId="77777777" w:rsidR="00053418" w:rsidRPr="009E06AA" w:rsidRDefault="00053418" w:rsidP="00053418">
      <w:pPr>
        <w:pStyle w:val="Heading3"/>
        <w:spacing w:before="240"/>
      </w:pPr>
      <w:bookmarkStart w:id="2058" w:name="_Toc139253963"/>
      <w:bookmarkStart w:id="2059" w:name="_Toc255466370"/>
      <w:bookmarkStart w:id="2060" w:name="_Toc261513177"/>
      <w:bookmarkStart w:id="2061" w:name="_Toc261513790"/>
      <w:bookmarkStart w:id="2062" w:name="_Toc280630264"/>
      <w:r w:rsidRPr="009E06AA">
        <w:t>6.5.1</w:t>
      </w:r>
      <w:r w:rsidRPr="009E06AA">
        <w:tab/>
        <w:t>Description</w:t>
      </w:r>
      <w:bookmarkEnd w:id="2058"/>
      <w:bookmarkEnd w:id="2059"/>
      <w:bookmarkEnd w:id="2060"/>
      <w:bookmarkEnd w:id="2061"/>
      <w:bookmarkEnd w:id="2062"/>
    </w:p>
    <w:p w14:paraId="579FB4B8" w14:textId="77777777" w:rsidR="00053418" w:rsidRPr="009E06AA" w:rsidRDefault="00053418" w:rsidP="00053418">
      <w:pPr>
        <w:pStyle w:val="BodyText"/>
      </w:pPr>
      <w:r w:rsidRPr="009E06AA">
        <w:rPr>
          <w:spacing w:val="-2"/>
        </w:rPr>
        <w:t xml:space="preserve">In 2022, the net emissions from </w:t>
      </w:r>
      <w:r w:rsidRPr="009E06AA">
        <w:rPr>
          <w:i/>
          <w:spacing w:val="-2"/>
        </w:rPr>
        <w:t>Cropland</w:t>
      </w:r>
      <w:r w:rsidRPr="009E06AA">
        <w:rPr>
          <w:spacing w:val="-2"/>
        </w:rPr>
        <w:t xml:space="preserve"> were </w:t>
      </w:r>
      <w:r w:rsidRPr="009E06AA">
        <w:t>711.9</w:t>
      </w:r>
      <w:r w:rsidRPr="009E06AA">
        <w:rPr>
          <w:bCs/>
          <w:spacing w:val="-2"/>
        </w:rPr>
        <w:t xml:space="preserve"> </w:t>
      </w:r>
      <w:r w:rsidRPr="009E06AA">
        <w:rPr>
          <w:spacing w:val="-2"/>
        </w:rPr>
        <w:t>kt CO</w:t>
      </w:r>
      <w:r w:rsidRPr="009E06AA">
        <w:rPr>
          <w:spacing w:val="-2"/>
          <w:vertAlign w:val="subscript"/>
        </w:rPr>
        <w:t>2</w:t>
      </w:r>
      <w:r w:rsidRPr="009E06AA">
        <w:rPr>
          <w:spacing w:val="-2"/>
        </w:rPr>
        <w:t xml:space="preserve">-e, comprising </w:t>
      </w:r>
      <w:r w:rsidRPr="009E06AA">
        <w:t>687.3</w:t>
      </w:r>
      <w:r w:rsidRPr="009E06AA">
        <w:rPr>
          <w:spacing w:val="-2"/>
        </w:rPr>
        <w:t xml:space="preserve"> kt </w:t>
      </w:r>
      <w:r w:rsidRPr="009E06AA">
        <w:t>CO</w:t>
      </w:r>
      <w:r w:rsidRPr="009E06AA">
        <w:rPr>
          <w:spacing w:val="-2"/>
          <w:vertAlign w:val="subscript"/>
        </w:rPr>
        <w:t>2</w:t>
      </w:r>
      <w:r w:rsidRPr="009E06AA">
        <w:t xml:space="preserve"> from carbon stock change and 0.09 kt N</w:t>
      </w:r>
      <w:r w:rsidRPr="009E06AA">
        <w:rPr>
          <w:vertAlign w:val="subscript"/>
        </w:rPr>
        <w:t>2</w:t>
      </w:r>
      <w:r w:rsidRPr="009E06AA">
        <w:t>O (24.6 kt CO</w:t>
      </w:r>
      <w:r w:rsidRPr="009E06AA">
        <w:rPr>
          <w:vertAlign w:val="subscript"/>
        </w:rPr>
        <w:t>2</w:t>
      </w:r>
      <w:r w:rsidRPr="009E06AA">
        <w:t xml:space="preserve">-e) from the nitrogen mineralisation on </w:t>
      </w:r>
      <w:r w:rsidRPr="009E06AA">
        <w:rPr>
          <w:i/>
        </w:rPr>
        <w:t>Land converted to cropland</w:t>
      </w:r>
      <w:r w:rsidRPr="009E06AA">
        <w:t xml:space="preserve">. Net emissions from </w:t>
      </w:r>
      <w:r w:rsidRPr="009E06AA">
        <w:rPr>
          <w:i/>
        </w:rPr>
        <w:t>Cropland</w:t>
      </w:r>
      <w:r w:rsidRPr="009E06AA">
        <w:t xml:space="preserve"> have increased by 235.7 kt CO</w:t>
      </w:r>
      <w:r w:rsidRPr="009E06AA">
        <w:rPr>
          <w:vertAlign w:val="subscript"/>
        </w:rPr>
        <w:t>2</w:t>
      </w:r>
      <w:r w:rsidRPr="009E06AA">
        <w:t xml:space="preserve">-e (49.5 per cent) from the 1990 level when net emissions were </w:t>
      </w:r>
      <w:r w:rsidRPr="009E06AA">
        <w:rPr>
          <w:bCs/>
        </w:rPr>
        <w:t xml:space="preserve">476.3 </w:t>
      </w:r>
      <w:r w:rsidRPr="009E06AA">
        <w:t>kt CO</w:t>
      </w:r>
      <w:r w:rsidRPr="009E06AA">
        <w:rPr>
          <w:vertAlign w:val="subscript"/>
        </w:rPr>
        <w:t>2</w:t>
      </w:r>
      <w:r w:rsidRPr="009E06AA">
        <w:t xml:space="preserve">-e (see table 6.5.1). </w:t>
      </w:r>
    </w:p>
    <w:p w14:paraId="24E4E37E" w14:textId="77777777" w:rsidR="00053418" w:rsidRPr="009E06AA" w:rsidRDefault="00053418" w:rsidP="00053418">
      <w:pPr>
        <w:pStyle w:val="Table"/>
      </w:pPr>
      <w:bookmarkStart w:id="2063" w:name="_Toc280630461"/>
      <w:bookmarkStart w:id="2064" w:name="_Toc310423414"/>
      <w:bookmarkStart w:id="2065" w:name="_Toc318362707"/>
      <w:bookmarkStart w:id="2066" w:name="_Toc342470769"/>
      <w:bookmarkStart w:id="2067" w:name="_Toc352505009"/>
      <w:bookmarkStart w:id="2068" w:name="_Toc378853300"/>
      <w:bookmarkStart w:id="2069" w:name="_Toc391024098"/>
      <w:bookmarkStart w:id="2070" w:name="_Toc410028841"/>
      <w:bookmarkStart w:id="2071" w:name="_Toc414531469"/>
      <w:bookmarkStart w:id="2072" w:name="_Toc443645382"/>
      <w:bookmarkStart w:id="2073" w:name="_Toc474914601"/>
      <w:bookmarkStart w:id="2074" w:name="_Toc481751565"/>
      <w:bookmarkStart w:id="2075" w:name="_Toc522010622"/>
      <w:bookmarkStart w:id="2076" w:name="_Toc5269527"/>
      <w:bookmarkStart w:id="2077" w:name="_Toc33529401"/>
      <w:bookmarkStart w:id="2078" w:name="_Toc36224607"/>
      <w:bookmarkStart w:id="2079" w:name="_Toc65243604"/>
      <w:bookmarkStart w:id="2080" w:name="_Toc131591401"/>
      <w:bookmarkStart w:id="2081" w:name="_Toc158979959"/>
      <w:bookmarkStart w:id="2082" w:name="_Toc164153892"/>
      <w:r w:rsidRPr="009E06AA">
        <w:t>Table 6.5.1</w:t>
      </w:r>
      <w:r w:rsidRPr="009E06AA">
        <w:tab/>
        <w:t xml:space="preserve">New Zealand’s land-use change by </w:t>
      </w:r>
      <w:r w:rsidRPr="009E06AA">
        <w:rPr>
          <w:i/>
        </w:rPr>
        <w:t>Cropland</w:t>
      </w:r>
      <w:r w:rsidRPr="009E06AA">
        <w:t xml:space="preserve"> category, and associated </w:t>
      </w:r>
      <w:r w:rsidRPr="009E06AA">
        <w:br/>
        <w:t>CO</w:t>
      </w:r>
      <w:r w:rsidRPr="009E06AA">
        <w:rPr>
          <w:vertAlign w:val="subscript"/>
        </w:rPr>
        <w:t>2</w:t>
      </w:r>
      <w:r w:rsidRPr="009E06AA">
        <w:t>-e emissions</w:t>
      </w:r>
      <w:bookmarkEnd w:id="2063"/>
      <w:bookmarkEnd w:id="2064"/>
      <w:bookmarkEnd w:id="2065"/>
      <w:bookmarkEnd w:id="2066"/>
      <w:bookmarkEnd w:id="2067"/>
      <w:bookmarkEnd w:id="2068"/>
      <w:r w:rsidRPr="009E06AA">
        <w:t xml:space="preserve">, 1990 </w:t>
      </w:r>
      <w:bookmarkEnd w:id="2069"/>
      <w:r w:rsidRPr="009E06AA">
        <w:t xml:space="preserve">and </w:t>
      </w:r>
      <w:bookmarkEnd w:id="2070"/>
      <w:bookmarkEnd w:id="2071"/>
      <w:bookmarkEnd w:id="2072"/>
      <w:bookmarkEnd w:id="2073"/>
      <w:bookmarkEnd w:id="2074"/>
      <w:bookmarkEnd w:id="2075"/>
      <w:bookmarkEnd w:id="2076"/>
      <w:bookmarkEnd w:id="2077"/>
      <w:bookmarkEnd w:id="2078"/>
      <w:bookmarkEnd w:id="2079"/>
      <w:r w:rsidRPr="009E06AA">
        <w:t>2022</w:t>
      </w:r>
      <w:bookmarkEnd w:id="2080"/>
      <w:bookmarkEnd w:id="2081"/>
      <w:bookmarkEnd w:id="2082"/>
    </w:p>
    <w:tbl>
      <w:tblPr>
        <w:tblW w:w="0" w:type="auto"/>
        <w:tblBorders>
          <w:top w:val="single" w:sz="4" w:space="0" w:color="1B556B" w:themeColor="text2"/>
          <w:bottom w:val="single" w:sz="4" w:space="0" w:color="1B556B" w:themeColor="text2"/>
          <w:insideH w:val="single" w:sz="4" w:space="0" w:color="1B556B" w:themeColor="text2"/>
        </w:tblBorders>
        <w:tblLayout w:type="fixed"/>
        <w:tblLook w:val="0420" w:firstRow="1" w:lastRow="0" w:firstColumn="0" w:lastColumn="0" w:noHBand="0" w:noVBand="1"/>
      </w:tblPr>
      <w:tblGrid>
        <w:gridCol w:w="2551"/>
        <w:gridCol w:w="1020"/>
        <w:gridCol w:w="1020"/>
        <w:gridCol w:w="1134"/>
        <w:gridCol w:w="850"/>
        <w:gridCol w:w="850"/>
        <w:gridCol w:w="1134"/>
      </w:tblGrid>
      <w:tr w:rsidR="00053418" w:rsidRPr="009E06AA" w14:paraId="242C4044" w14:textId="77777777" w:rsidTr="00B55F24">
        <w:trPr>
          <w:tblHeader/>
        </w:trPr>
        <w:tc>
          <w:tcPr>
            <w:tcW w:w="2551" w:type="dxa"/>
            <w:shd w:val="clear" w:color="auto" w:fill="1B556B"/>
            <w:tcMar>
              <w:top w:w="0" w:type="dxa"/>
              <w:left w:w="85" w:type="dxa"/>
              <w:bottom w:w="0" w:type="dxa"/>
              <w:right w:w="85" w:type="dxa"/>
            </w:tcMar>
            <w:vAlign w:val="center"/>
          </w:tcPr>
          <w:p w14:paraId="7BF81AC8" w14:textId="77777777" w:rsidR="00053418" w:rsidRPr="009E06AA" w:rsidRDefault="00053418" w:rsidP="00B55F24">
            <w:pPr>
              <w:pStyle w:val="TableText"/>
              <w:spacing w:after="0"/>
            </w:pPr>
          </w:p>
        </w:tc>
        <w:tc>
          <w:tcPr>
            <w:tcW w:w="3174" w:type="dxa"/>
            <w:gridSpan w:val="3"/>
            <w:shd w:val="clear" w:color="auto" w:fill="1B556B"/>
            <w:tcMar>
              <w:top w:w="0" w:type="dxa"/>
              <w:left w:w="85" w:type="dxa"/>
              <w:bottom w:w="0" w:type="dxa"/>
              <w:right w:w="85" w:type="dxa"/>
            </w:tcMar>
            <w:vAlign w:val="center"/>
          </w:tcPr>
          <w:p w14:paraId="78286BD4" w14:textId="77777777" w:rsidR="00053418" w:rsidRPr="009E06AA" w:rsidRDefault="00053418" w:rsidP="00B55F24">
            <w:pPr>
              <w:pStyle w:val="TableText"/>
              <w:spacing w:after="0"/>
              <w:jc w:val="center"/>
            </w:pPr>
            <w:r w:rsidRPr="009E06AA">
              <w:rPr>
                <w:rFonts w:eastAsia="Calibri" w:cs="Calibri"/>
                <w:b/>
                <w:color w:val="FFFFFF"/>
                <w:szCs w:val="16"/>
              </w:rPr>
              <w:t>Net area (ha)</w:t>
            </w:r>
          </w:p>
        </w:tc>
        <w:tc>
          <w:tcPr>
            <w:tcW w:w="2834" w:type="dxa"/>
            <w:gridSpan w:val="3"/>
            <w:shd w:val="clear" w:color="auto" w:fill="1B556B"/>
            <w:tcMar>
              <w:top w:w="0" w:type="dxa"/>
              <w:left w:w="85" w:type="dxa"/>
              <w:bottom w:w="0" w:type="dxa"/>
              <w:right w:w="85" w:type="dxa"/>
            </w:tcMar>
            <w:vAlign w:val="center"/>
          </w:tcPr>
          <w:p w14:paraId="41BDA9EA" w14:textId="77777777" w:rsidR="00053418" w:rsidRPr="009E06AA" w:rsidRDefault="00053418" w:rsidP="00B55F24">
            <w:pPr>
              <w:pStyle w:val="TableText"/>
              <w:spacing w:after="0"/>
              <w:jc w:val="center"/>
            </w:pPr>
            <w:r w:rsidRPr="009E06AA">
              <w:rPr>
                <w:rFonts w:eastAsia="Calibri" w:cs="Calibri"/>
                <w:b/>
                <w:color w:val="FFFFFF"/>
                <w:szCs w:val="16"/>
              </w:rPr>
              <w:t>Net emissions (kt CO₂-e)</w:t>
            </w:r>
          </w:p>
        </w:tc>
      </w:tr>
      <w:tr w:rsidR="00053418" w:rsidRPr="009E06AA" w14:paraId="52906DE4" w14:textId="77777777" w:rsidTr="00B55F24">
        <w:trPr>
          <w:tblHeader/>
        </w:trPr>
        <w:tc>
          <w:tcPr>
            <w:tcW w:w="2551" w:type="dxa"/>
            <w:shd w:val="clear" w:color="auto" w:fill="1B556B"/>
            <w:tcMar>
              <w:top w:w="0" w:type="dxa"/>
              <w:left w:w="85" w:type="dxa"/>
              <w:bottom w:w="0" w:type="dxa"/>
              <w:right w:w="85" w:type="dxa"/>
            </w:tcMar>
            <w:vAlign w:val="bottom"/>
          </w:tcPr>
          <w:p w14:paraId="50AA2467" w14:textId="77777777" w:rsidR="00053418" w:rsidRPr="009E06AA" w:rsidRDefault="00053418" w:rsidP="00B55F24">
            <w:pPr>
              <w:pStyle w:val="TableText"/>
              <w:spacing w:before="40"/>
            </w:pPr>
            <w:r w:rsidRPr="009E06AA">
              <w:rPr>
                <w:rFonts w:eastAsia="Calibri" w:cs="Calibri"/>
                <w:b/>
                <w:color w:val="FFFFFF"/>
                <w:szCs w:val="16"/>
              </w:rPr>
              <w:t>Land use category</w:t>
            </w:r>
          </w:p>
        </w:tc>
        <w:tc>
          <w:tcPr>
            <w:tcW w:w="1020" w:type="dxa"/>
            <w:shd w:val="clear" w:color="auto" w:fill="1B556B"/>
            <w:tcMar>
              <w:top w:w="0" w:type="dxa"/>
              <w:left w:w="85" w:type="dxa"/>
              <w:bottom w:w="0" w:type="dxa"/>
              <w:right w:w="85" w:type="dxa"/>
            </w:tcMar>
            <w:vAlign w:val="bottom"/>
          </w:tcPr>
          <w:p w14:paraId="2A4369FF" w14:textId="77777777" w:rsidR="00053418" w:rsidRPr="009E06AA" w:rsidRDefault="00053418" w:rsidP="00002ACF">
            <w:pPr>
              <w:pStyle w:val="TableText"/>
              <w:spacing w:before="40"/>
              <w:jc w:val="right"/>
            </w:pPr>
            <w:r w:rsidRPr="009E06AA">
              <w:rPr>
                <w:rFonts w:eastAsia="Calibri" w:cs="Calibri"/>
                <w:b/>
                <w:color w:val="FFFFFF"/>
                <w:szCs w:val="16"/>
              </w:rPr>
              <w:t>1990</w:t>
            </w:r>
          </w:p>
        </w:tc>
        <w:tc>
          <w:tcPr>
            <w:tcW w:w="1020" w:type="dxa"/>
            <w:shd w:val="clear" w:color="auto" w:fill="1B556B"/>
            <w:tcMar>
              <w:top w:w="0" w:type="dxa"/>
              <w:left w:w="85" w:type="dxa"/>
              <w:bottom w:w="0" w:type="dxa"/>
              <w:right w:w="85" w:type="dxa"/>
            </w:tcMar>
            <w:vAlign w:val="bottom"/>
          </w:tcPr>
          <w:p w14:paraId="774628A9" w14:textId="77777777" w:rsidR="00053418" w:rsidRPr="009E06AA" w:rsidRDefault="00053418" w:rsidP="00002ACF">
            <w:pPr>
              <w:pStyle w:val="TableText"/>
              <w:spacing w:before="40"/>
              <w:jc w:val="right"/>
            </w:pPr>
            <w:r w:rsidRPr="009E06AA">
              <w:rPr>
                <w:rFonts w:eastAsia="Calibri" w:cs="Calibri"/>
                <w:b/>
                <w:color w:val="FFFFFF"/>
                <w:szCs w:val="16"/>
              </w:rPr>
              <w:t>2022</w:t>
            </w:r>
          </w:p>
        </w:tc>
        <w:tc>
          <w:tcPr>
            <w:tcW w:w="1134" w:type="dxa"/>
            <w:shd w:val="clear" w:color="auto" w:fill="1B556B"/>
            <w:tcMar>
              <w:top w:w="0" w:type="dxa"/>
              <w:left w:w="85" w:type="dxa"/>
              <w:bottom w:w="0" w:type="dxa"/>
              <w:right w:w="85" w:type="dxa"/>
            </w:tcMar>
            <w:vAlign w:val="bottom"/>
          </w:tcPr>
          <w:p w14:paraId="5992D11B" w14:textId="77777777" w:rsidR="00053418" w:rsidRPr="009E06AA" w:rsidRDefault="00053418" w:rsidP="00002ACF">
            <w:pPr>
              <w:pStyle w:val="TableText"/>
              <w:spacing w:before="40"/>
              <w:jc w:val="right"/>
            </w:pPr>
            <w:r w:rsidRPr="009E06AA">
              <w:rPr>
                <w:rFonts w:eastAsia="Calibri" w:cs="Calibri"/>
                <w:b/>
                <w:color w:val="FFFFFF"/>
                <w:szCs w:val="16"/>
              </w:rPr>
              <w:t>Change from 1990 (%)</w:t>
            </w:r>
          </w:p>
        </w:tc>
        <w:tc>
          <w:tcPr>
            <w:tcW w:w="850" w:type="dxa"/>
            <w:shd w:val="clear" w:color="auto" w:fill="1B556B"/>
            <w:tcMar>
              <w:top w:w="0" w:type="dxa"/>
              <w:left w:w="85" w:type="dxa"/>
              <w:bottom w:w="0" w:type="dxa"/>
              <w:right w:w="85" w:type="dxa"/>
            </w:tcMar>
            <w:vAlign w:val="bottom"/>
          </w:tcPr>
          <w:p w14:paraId="706CE06F" w14:textId="77777777" w:rsidR="00053418" w:rsidRPr="009E06AA" w:rsidRDefault="00053418" w:rsidP="00002ACF">
            <w:pPr>
              <w:pStyle w:val="TableText"/>
              <w:spacing w:before="40"/>
              <w:jc w:val="right"/>
            </w:pPr>
            <w:r w:rsidRPr="009E06AA">
              <w:rPr>
                <w:rFonts w:eastAsia="Calibri" w:cs="Calibri"/>
                <w:b/>
                <w:color w:val="FFFFFF"/>
                <w:szCs w:val="16"/>
              </w:rPr>
              <w:t>1990</w:t>
            </w:r>
          </w:p>
        </w:tc>
        <w:tc>
          <w:tcPr>
            <w:tcW w:w="850" w:type="dxa"/>
            <w:shd w:val="clear" w:color="auto" w:fill="1B556B"/>
            <w:tcMar>
              <w:top w:w="0" w:type="dxa"/>
              <w:left w:w="85" w:type="dxa"/>
              <w:bottom w:w="0" w:type="dxa"/>
              <w:right w:w="85" w:type="dxa"/>
            </w:tcMar>
            <w:vAlign w:val="bottom"/>
          </w:tcPr>
          <w:p w14:paraId="1BEAE42F" w14:textId="77777777" w:rsidR="00053418" w:rsidRPr="009E06AA" w:rsidRDefault="00053418" w:rsidP="00002ACF">
            <w:pPr>
              <w:pStyle w:val="TableText"/>
              <w:spacing w:before="40"/>
              <w:jc w:val="right"/>
            </w:pPr>
            <w:r w:rsidRPr="009E06AA">
              <w:rPr>
                <w:rFonts w:eastAsia="Calibri" w:cs="Calibri"/>
                <w:b/>
                <w:color w:val="FFFFFF"/>
                <w:szCs w:val="16"/>
              </w:rPr>
              <w:t>2022</w:t>
            </w:r>
          </w:p>
        </w:tc>
        <w:tc>
          <w:tcPr>
            <w:tcW w:w="1134" w:type="dxa"/>
            <w:shd w:val="clear" w:color="auto" w:fill="1B556B"/>
            <w:tcMar>
              <w:top w:w="0" w:type="dxa"/>
              <w:left w:w="85" w:type="dxa"/>
              <w:bottom w:w="0" w:type="dxa"/>
              <w:right w:w="85" w:type="dxa"/>
            </w:tcMar>
            <w:vAlign w:val="bottom"/>
          </w:tcPr>
          <w:p w14:paraId="1D409B3E" w14:textId="77777777" w:rsidR="00053418" w:rsidRPr="009E06AA" w:rsidRDefault="00053418" w:rsidP="00002ACF">
            <w:pPr>
              <w:pStyle w:val="TableText"/>
              <w:spacing w:before="40"/>
              <w:jc w:val="right"/>
            </w:pPr>
            <w:r w:rsidRPr="009E06AA">
              <w:rPr>
                <w:rFonts w:eastAsia="Calibri" w:cs="Calibri"/>
                <w:b/>
                <w:color w:val="FFFFFF"/>
                <w:szCs w:val="16"/>
              </w:rPr>
              <w:t>Change from 1990 (%)</w:t>
            </w:r>
          </w:p>
        </w:tc>
      </w:tr>
      <w:tr w:rsidR="00053418" w:rsidRPr="009E06AA" w14:paraId="281142AC" w14:textId="77777777" w:rsidTr="00B55F24">
        <w:tc>
          <w:tcPr>
            <w:tcW w:w="2551" w:type="dxa"/>
            <w:shd w:val="clear" w:color="auto" w:fill="FFFFFF"/>
            <w:tcMar>
              <w:top w:w="0" w:type="dxa"/>
              <w:left w:w="85" w:type="dxa"/>
              <w:bottom w:w="0" w:type="dxa"/>
              <w:right w:w="85" w:type="dxa"/>
            </w:tcMar>
            <w:vAlign w:val="center"/>
          </w:tcPr>
          <w:p w14:paraId="09D4B1E7" w14:textId="77777777" w:rsidR="00053418" w:rsidRPr="009E06AA" w:rsidRDefault="00053418" w:rsidP="00B55F24">
            <w:pPr>
              <w:pStyle w:val="TableText"/>
              <w:spacing w:before="50" w:after="50"/>
            </w:pPr>
            <w:r w:rsidRPr="009E06AA">
              <w:rPr>
                <w:rFonts w:eastAsia="Calibri" w:cs="Calibri"/>
                <w:color w:val="000000"/>
                <w:szCs w:val="16"/>
              </w:rPr>
              <w:t>Cropland remaining cropland</w:t>
            </w:r>
          </w:p>
        </w:tc>
        <w:tc>
          <w:tcPr>
            <w:tcW w:w="1020" w:type="dxa"/>
            <w:shd w:val="clear" w:color="auto" w:fill="FFFFFF"/>
            <w:tcMar>
              <w:top w:w="0" w:type="dxa"/>
              <w:left w:w="85" w:type="dxa"/>
              <w:bottom w:w="0" w:type="dxa"/>
              <w:right w:w="85" w:type="dxa"/>
            </w:tcMar>
            <w:vAlign w:val="center"/>
          </w:tcPr>
          <w:p w14:paraId="3FB997E0" w14:textId="77777777" w:rsidR="00053418" w:rsidRPr="009E06AA" w:rsidRDefault="00053418" w:rsidP="00002ACF">
            <w:pPr>
              <w:pStyle w:val="TableText"/>
              <w:spacing w:before="50" w:after="50"/>
              <w:jc w:val="right"/>
            </w:pPr>
            <w:r w:rsidRPr="009E06AA">
              <w:rPr>
                <w:rFonts w:eastAsia="Calibri" w:cs="Calibri"/>
                <w:color w:val="000000"/>
                <w:szCs w:val="16"/>
              </w:rPr>
              <w:t>395,550</w:t>
            </w:r>
          </w:p>
        </w:tc>
        <w:tc>
          <w:tcPr>
            <w:tcW w:w="1020" w:type="dxa"/>
            <w:shd w:val="clear" w:color="auto" w:fill="FFFFFF"/>
            <w:tcMar>
              <w:top w:w="0" w:type="dxa"/>
              <w:left w:w="85" w:type="dxa"/>
              <w:bottom w:w="0" w:type="dxa"/>
              <w:right w:w="85" w:type="dxa"/>
            </w:tcMar>
            <w:vAlign w:val="center"/>
          </w:tcPr>
          <w:p w14:paraId="4E04459D" w14:textId="77777777" w:rsidR="00053418" w:rsidRPr="009E06AA" w:rsidRDefault="00053418" w:rsidP="00002ACF">
            <w:pPr>
              <w:pStyle w:val="TableText"/>
              <w:spacing w:before="50" w:after="50"/>
              <w:jc w:val="right"/>
            </w:pPr>
            <w:r w:rsidRPr="009E06AA">
              <w:rPr>
                <w:rFonts w:eastAsia="Calibri" w:cs="Calibri"/>
                <w:color w:val="000000"/>
                <w:szCs w:val="16"/>
              </w:rPr>
              <w:t>374,488</w:t>
            </w:r>
          </w:p>
        </w:tc>
        <w:tc>
          <w:tcPr>
            <w:tcW w:w="1134" w:type="dxa"/>
            <w:shd w:val="clear" w:color="auto" w:fill="FFFFFF"/>
            <w:tcMar>
              <w:top w:w="0" w:type="dxa"/>
              <w:left w:w="85" w:type="dxa"/>
              <w:bottom w:w="0" w:type="dxa"/>
              <w:right w:w="85" w:type="dxa"/>
            </w:tcMar>
            <w:vAlign w:val="center"/>
          </w:tcPr>
          <w:p w14:paraId="14EF7EB1" w14:textId="77777777" w:rsidR="00053418" w:rsidRPr="009E06AA" w:rsidRDefault="00053418" w:rsidP="00002ACF">
            <w:pPr>
              <w:pStyle w:val="TableText"/>
              <w:spacing w:before="50" w:after="50"/>
              <w:jc w:val="right"/>
            </w:pPr>
            <w:r w:rsidRPr="009E06AA">
              <w:rPr>
                <w:rFonts w:eastAsia="Calibri" w:cs="Calibri"/>
                <w:color w:val="000000"/>
                <w:szCs w:val="16"/>
              </w:rPr>
              <w:t>-5.3</w:t>
            </w:r>
          </w:p>
        </w:tc>
        <w:tc>
          <w:tcPr>
            <w:tcW w:w="850" w:type="dxa"/>
            <w:shd w:val="clear" w:color="auto" w:fill="FFFFFF"/>
            <w:tcMar>
              <w:top w:w="0" w:type="dxa"/>
              <w:left w:w="85" w:type="dxa"/>
              <w:bottom w:w="0" w:type="dxa"/>
              <w:right w:w="85" w:type="dxa"/>
            </w:tcMar>
            <w:vAlign w:val="center"/>
          </w:tcPr>
          <w:p w14:paraId="42DBF9EF" w14:textId="77777777" w:rsidR="00053418" w:rsidRPr="009E06AA" w:rsidRDefault="00053418" w:rsidP="00002ACF">
            <w:pPr>
              <w:pStyle w:val="TableText"/>
              <w:spacing w:before="50" w:after="50"/>
              <w:jc w:val="right"/>
            </w:pPr>
            <w:r w:rsidRPr="009E06AA">
              <w:rPr>
                <w:rFonts w:eastAsia="Calibri" w:cs="Calibri"/>
                <w:color w:val="000000"/>
                <w:szCs w:val="16"/>
              </w:rPr>
              <w:t>350.9</w:t>
            </w:r>
          </w:p>
        </w:tc>
        <w:tc>
          <w:tcPr>
            <w:tcW w:w="850" w:type="dxa"/>
            <w:shd w:val="clear" w:color="auto" w:fill="FFFFFF"/>
            <w:tcMar>
              <w:top w:w="0" w:type="dxa"/>
              <w:left w:w="85" w:type="dxa"/>
              <w:bottom w:w="0" w:type="dxa"/>
              <w:right w:w="85" w:type="dxa"/>
            </w:tcMar>
            <w:vAlign w:val="center"/>
          </w:tcPr>
          <w:p w14:paraId="0C10110E" w14:textId="77777777" w:rsidR="00053418" w:rsidRPr="009E06AA" w:rsidRDefault="00053418" w:rsidP="00002ACF">
            <w:pPr>
              <w:pStyle w:val="TableText"/>
              <w:spacing w:before="50" w:after="50"/>
              <w:jc w:val="right"/>
            </w:pPr>
            <w:r w:rsidRPr="009E06AA">
              <w:rPr>
                <w:rFonts w:eastAsia="Calibri" w:cs="Calibri"/>
                <w:color w:val="000000"/>
                <w:szCs w:val="16"/>
              </w:rPr>
              <w:t>265.3</w:t>
            </w:r>
          </w:p>
        </w:tc>
        <w:tc>
          <w:tcPr>
            <w:tcW w:w="1134" w:type="dxa"/>
            <w:shd w:val="clear" w:color="auto" w:fill="FFFFFF"/>
            <w:tcMar>
              <w:top w:w="0" w:type="dxa"/>
              <w:left w:w="85" w:type="dxa"/>
              <w:bottom w:w="0" w:type="dxa"/>
              <w:right w:w="85" w:type="dxa"/>
            </w:tcMar>
            <w:vAlign w:val="center"/>
          </w:tcPr>
          <w:p w14:paraId="5F6B07A6" w14:textId="77777777" w:rsidR="00053418" w:rsidRPr="009E06AA" w:rsidRDefault="00053418" w:rsidP="00002ACF">
            <w:pPr>
              <w:pStyle w:val="TableText"/>
              <w:spacing w:before="50" w:after="50"/>
              <w:jc w:val="right"/>
            </w:pPr>
            <w:r w:rsidRPr="009E06AA">
              <w:rPr>
                <w:rFonts w:eastAsia="Calibri" w:cs="Calibri"/>
                <w:color w:val="000000"/>
                <w:szCs w:val="16"/>
              </w:rPr>
              <w:t>-24.4</w:t>
            </w:r>
          </w:p>
        </w:tc>
      </w:tr>
      <w:tr w:rsidR="00053418" w:rsidRPr="009E06AA" w14:paraId="1421D95E" w14:textId="77777777" w:rsidTr="00B55F24">
        <w:tc>
          <w:tcPr>
            <w:tcW w:w="2551" w:type="dxa"/>
            <w:shd w:val="clear" w:color="auto" w:fill="FFFFFF"/>
            <w:tcMar>
              <w:top w:w="0" w:type="dxa"/>
              <w:left w:w="85" w:type="dxa"/>
              <w:bottom w:w="0" w:type="dxa"/>
              <w:right w:w="85" w:type="dxa"/>
            </w:tcMar>
            <w:vAlign w:val="center"/>
          </w:tcPr>
          <w:p w14:paraId="39379262" w14:textId="77777777" w:rsidR="00053418" w:rsidRPr="009E06AA" w:rsidRDefault="00053418" w:rsidP="00B55F24">
            <w:pPr>
              <w:pStyle w:val="TableText"/>
              <w:spacing w:before="50" w:after="50"/>
            </w:pPr>
            <w:r w:rsidRPr="009E06AA">
              <w:rPr>
                <w:rFonts w:eastAsia="Calibri" w:cs="Calibri"/>
                <w:color w:val="000000"/>
                <w:szCs w:val="16"/>
              </w:rPr>
              <w:t>Land converted to cropland</w:t>
            </w:r>
          </w:p>
        </w:tc>
        <w:tc>
          <w:tcPr>
            <w:tcW w:w="1020" w:type="dxa"/>
            <w:shd w:val="clear" w:color="auto" w:fill="FFFFFF"/>
            <w:tcMar>
              <w:top w:w="0" w:type="dxa"/>
              <w:left w:w="85" w:type="dxa"/>
              <w:bottom w:w="0" w:type="dxa"/>
              <w:right w:w="85" w:type="dxa"/>
            </w:tcMar>
            <w:vAlign w:val="center"/>
          </w:tcPr>
          <w:p w14:paraId="23F78189" w14:textId="77777777" w:rsidR="00053418" w:rsidRPr="009E06AA" w:rsidRDefault="00053418" w:rsidP="00002ACF">
            <w:pPr>
              <w:pStyle w:val="TableText"/>
              <w:spacing w:before="50" w:after="50"/>
              <w:jc w:val="right"/>
            </w:pPr>
            <w:r w:rsidRPr="009E06AA">
              <w:rPr>
                <w:rFonts w:eastAsia="Calibri" w:cs="Calibri"/>
                <w:color w:val="000000"/>
                <w:szCs w:val="16"/>
              </w:rPr>
              <w:t>28,303</w:t>
            </w:r>
          </w:p>
        </w:tc>
        <w:tc>
          <w:tcPr>
            <w:tcW w:w="1020" w:type="dxa"/>
            <w:shd w:val="clear" w:color="auto" w:fill="FFFFFF"/>
            <w:tcMar>
              <w:top w:w="0" w:type="dxa"/>
              <w:left w:w="85" w:type="dxa"/>
              <w:bottom w:w="0" w:type="dxa"/>
              <w:right w:w="85" w:type="dxa"/>
            </w:tcMar>
            <w:vAlign w:val="center"/>
          </w:tcPr>
          <w:p w14:paraId="693126A1" w14:textId="77777777" w:rsidR="00053418" w:rsidRPr="009E06AA" w:rsidRDefault="00053418" w:rsidP="00002ACF">
            <w:pPr>
              <w:pStyle w:val="TableText"/>
              <w:spacing w:before="50" w:after="50"/>
              <w:jc w:val="right"/>
            </w:pPr>
            <w:r w:rsidRPr="009E06AA">
              <w:rPr>
                <w:rFonts w:eastAsia="Calibri" w:cs="Calibri"/>
                <w:color w:val="000000"/>
                <w:szCs w:val="16"/>
              </w:rPr>
              <w:t>115,660</w:t>
            </w:r>
          </w:p>
        </w:tc>
        <w:tc>
          <w:tcPr>
            <w:tcW w:w="1134" w:type="dxa"/>
            <w:shd w:val="clear" w:color="auto" w:fill="FFFFFF"/>
            <w:tcMar>
              <w:top w:w="0" w:type="dxa"/>
              <w:left w:w="85" w:type="dxa"/>
              <w:bottom w:w="0" w:type="dxa"/>
              <w:right w:w="85" w:type="dxa"/>
            </w:tcMar>
            <w:vAlign w:val="center"/>
          </w:tcPr>
          <w:p w14:paraId="1DA3E1BB" w14:textId="77777777" w:rsidR="00053418" w:rsidRPr="009E06AA" w:rsidRDefault="00053418" w:rsidP="00002ACF">
            <w:pPr>
              <w:pStyle w:val="TableText"/>
              <w:spacing w:before="50" w:after="50"/>
              <w:jc w:val="right"/>
            </w:pPr>
            <w:r w:rsidRPr="009E06AA">
              <w:rPr>
                <w:rFonts w:eastAsia="Calibri" w:cs="Calibri"/>
                <w:color w:val="000000"/>
                <w:szCs w:val="16"/>
              </w:rPr>
              <w:t>308.6</w:t>
            </w:r>
          </w:p>
        </w:tc>
        <w:tc>
          <w:tcPr>
            <w:tcW w:w="850" w:type="dxa"/>
            <w:shd w:val="clear" w:color="auto" w:fill="FFFFFF"/>
            <w:tcMar>
              <w:top w:w="0" w:type="dxa"/>
              <w:left w:w="85" w:type="dxa"/>
              <w:bottom w:w="0" w:type="dxa"/>
              <w:right w:w="85" w:type="dxa"/>
            </w:tcMar>
            <w:vAlign w:val="center"/>
          </w:tcPr>
          <w:p w14:paraId="33178459" w14:textId="77777777" w:rsidR="00053418" w:rsidRPr="009E06AA" w:rsidRDefault="00053418" w:rsidP="00002ACF">
            <w:pPr>
              <w:pStyle w:val="TableText"/>
              <w:spacing w:before="50" w:after="50"/>
              <w:jc w:val="right"/>
            </w:pPr>
            <w:r w:rsidRPr="009E06AA">
              <w:rPr>
                <w:rFonts w:eastAsia="Calibri" w:cs="Calibri"/>
                <w:color w:val="000000"/>
                <w:szCs w:val="16"/>
              </w:rPr>
              <w:t>125.4</w:t>
            </w:r>
          </w:p>
        </w:tc>
        <w:tc>
          <w:tcPr>
            <w:tcW w:w="850" w:type="dxa"/>
            <w:shd w:val="clear" w:color="auto" w:fill="FFFFFF"/>
            <w:tcMar>
              <w:top w:w="0" w:type="dxa"/>
              <w:left w:w="85" w:type="dxa"/>
              <w:bottom w:w="0" w:type="dxa"/>
              <w:right w:w="85" w:type="dxa"/>
            </w:tcMar>
            <w:vAlign w:val="center"/>
          </w:tcPr>
          <w:p w14:paraId="283D13C3" w14:textId="77777777" w:rsidR="00053418" w:rsidRPr="009E06AA" w:rsidRDefault="00053418" w:rsidP="00002ACF">
            <w:pPr>
              <w:pStyle w:val="TableText"/>
              <w:spacing w:before="50" w:after="50"/>
              <w:jc w:val="right"/>
            </w:pPr>
            <w:r w:rsidRPr="009E06AA">
              <w:rPr>
                <w:rFonts w:eastAsia="Calibri" w:cs="Calibri"/>
                <w:color w:val="000000"/>
                <w:szCs w:val="16"/>
              </w:rPr>
              <w:t>446.6</w:t>
            </w:r>
          </w:p>
        </w:tc>
        <w:tc>
          <w:tcPr>
            <w:tcW w:w="1134" w:type="dxa"/>
            <w:shd w:val="clear" w:color="auto" w:fill="FFFFFF"/>
            <w:tcMar>
              <w:top w:w="0" w:type="dxa"/>
              <w:left w:w="85" w:type="dxa"/>
              <w:bottom w:w="0" w:type="dxa"/>
              <w:right w:w="85" w:type="dxa"/>
            </w:tcMar>
            <w:vAlign w:val="center"/>
          </w:tcPr>
          <w:p w14:paraId="4A2BF9FA" w14:textId="77777777" w:rsidR="00053418" w:rsidRPr="009E06AA" w:rsidRDefault="00053418" w:rsidP="00002ACF">
            <w:pPr>
              <w:pStyle w:val="TableText"/>
              <w:spacing w:before="50" w:after="50"/>
              <w:jc w:val="right"/>
            </w:pPr>
            <w:r w:rsidRPr="009E06AA">
              <w:rPr>
                <w:rFonts w:eastAsia="Calibri" w:cs="Calibri"/>
                <w:color w:val="000000"/>
                <w:szCs w:val="16"/>
              </w:rPr>
              <w:t>256.2</w:t>
            </w:r>
          </w:p>
        </w:tc>
      </w:tr>
      <w:tr w:rsidR="00053418" w:rsidRPr="009E06AA" w14:paraId="4C3FC08A" w14:textId="77777777" w:rsidTr="00B55F24">
        <w:tc>
          <w:tcPr>
            <w:tcW w:w="2551" w:type="dxa"/>
            <w:shd w:val="clear" w:color="auto" w:fill="FFFFFF"/>
            <w:tcMar>
              <w:top w:w="0" w:type="dxa"/>
              <w:left w:w="85" w:type="dxa"/>
              <w:bottom w:w="0" w:type="dxa"/>
              <w:right w:w="85" w:type="dxa"/>
            </w:tcMar>
            <w:vAlign w:val="center"/>
          </w:tcPr>
          <w:p w14:paraId="719CB40D" w14:textId="77777777" w:rsidR="00053418" w:rsidRPr="009E06AA" w:rsidRDefault="00053418" w:rsidP="00B55F24">
            <w:pPr>
              <w:pStyle w:val="TableText"/>
              <w:spacing w:before="50" w:after="50"/>
            </w:pPr>
            <w:r w:rsidRPr="009E06AA">
              <w:rPr>
                <w:rFonts w:eastAsia="Calibri" w:cs="Calibri"/>
                <w:b/>
                <w:color w:val="1B556B"/>
                <w:szCs w:val="16"/>
              </w:rPr>
              <w:t>Total</w:t>
            </w:r>
          </w:p>
        </w:tc>
        <w:tc>
          <w:tcPr>
            <w:tcW w:w="1020" w:type="dxa"/>
            <w:shd w:val="clear" w:color="auto" w:fill="FFFFFF"/>
            <w:tcMar>
              <w:top w:w="0" w:type="dxa"/>
              <w:left w:w="85" w:type="dxa"/>
              <w:bottom w:w="0" w:type="dxa"/>
              <w:right w:w="85" w:type="dxa"/>
            </w:tcMar>
            <w:vAlign w:val="center"/>
          </w:tcPr>
          <w:p w14:paraId="23B44CD0" w14:textId="77777777" w:rsidR="00053418" w:rsidRPr="009E06AA" w:rsidRDefault="00053418" w:rsidP="00002ACF">
            <w:pPr>
              <w:pStyle w:val="TableText"/>
              <w:spacing w:before="50" w:after="50"/>
              <w:jc w:val="right"/>
            </w:pPr>
            <w:r w:rsidRPr="009E06AA">
              <w:rPr>
                <w:rFonts w:eastAsia="Calibri" w:cs="Calibri"/>
                <w:b/>
                <w:color w:val="1B556B"/>
                <w:szCs w:val="16"/>
              </w:rPr>
              <w:t>423,853</w:t>
            </w:r>
          </w:p>
        </w:tc>
        <w:tc>
          <w:tcPr>
            <w:tcW w:w="1020" w:type="dxa"/>
            <w:shd w:val="clear" w:color="auto" w:fill="FFFFFF"/>
            <w:tcMar>
              <w:top w:w="0" w:type="dxa"/>
              <w:left w:w="85" w:type="dxa"/>
              <w:bottom w:w="0" w:type="dxa"/>
              <w:right w:w="85" w:type="dxa"/>
            </w:tcMar>
            <w:vAlign w:val="center"/>
          </w:tcPr>
          <w:p w14:paraId="56F3853A" w14:textId="77777777" w:rsidR="00053418" w:rsidRPr="009E06AA" w:rsidRDefault="00053418" w:rsidP="00002ACF">
            <w:pPr>
              <w:pStyle w:val="TableText"/>
              <w:spacing w:before="50" w:after="50"/>
              <w:jc w:val="right"/>
            </w:pPr>
            <w:r w:rsidRPr="009E06AA">
              <w:rPr>
                <w:rFonts w:eastAsia="Calibri" w:cs="Calibri"/>
                <w:b/>
                <w:color w:val="1B556B"/>
                <w:szCs w:val="16"/>
              </w:rPr>
              <w:t>490,148</w:t>
            </w:r>
          </w:p>
        </w:tc>
        <w:tc>
          <w:tcPr>
            <w:tcW w:w="1134" w:type="dxa"/>
            <w:shd w:val="clear" w:color="auto" w:fill="FFFFFF"/>
            <w:tcMar>
              <w:top w:w="0" w:type="dxa"/>
              <w:left w:w="85" w:type="dxa"/>
              <w:bottom w:w="0" w:type="dxa"/>
              <w:right w:w="85" w:type="dxa"/>
            </w:tcMar>
            <w:vAlign w:val="center"/>
          </w:tcPr>
          <w:p w14:paraId="574AEEB7" w14:textId="77777777" w:rsidR="00053418" w:rsidRPr="009E06AA" w:rsidRDefault="00053418" w:rsidP="00002ACF">
            <w:pPr>
              <w:pStyle w:val="TableText"/>
              <w:spacing w:before="50" w:after="50"/>
              <w:jc w:val="right"/>
            </w:pPr>
            <w:r w:rsidRPr="009E06AA">
              <w:rPr>
                <w:rFonts w:eastAsia="Calibri" w:cs="Calibri"/>
                <w:b/>
                <w:color w:val="1B556B"/>
                <w:szCs w:val="16"/>
              </w:rPr>
              <w:t>15.6</w:t>
            </w:r>
          </w:p>
        </w:tc>
        <w:tc>
          <w:tcPr>
            <w:tcW w:w="850" w:type="dxa"/>
            <w:shd w:val="clear" w:color="auto" w:fill="FFFFFF"/>
            <w:tcMar>
              <w:top w:w="0" w:type="dxa"/>
              <w:left w:w="85" w:type="dxa"/>
              <w:bottom w:w="0" w:type="dxa"/>
              <w:right w:w="85" w:type="dxa"/>
            </w:tcMar>
            <w:vAlign w:val="center"/>
          </w:tcPr>
          <w:p w14:paraId="70B4CADA" w14:textId="77777777" w:rsidR="00053418" w:rsidRPr="009E06AA" w:rsidRDefault="00053418" w:rsidP="00002ACF">
            <w:pPr>
              <w:pStyle w:val="TableText"/>
              <w:spacing w:before="50" w:after="50"/>
              <w:jc w:val="right"/>
            </w:pPr>
            <w:r w:rsidRPr="009E06AA">
              <w:rPr>
                <w:rFonts w:eastAsia="Calibri" w:cs="Calibri"/>
                <w:b/>
                <w:color w:val="1B556B"/>
                <w:szCs w:val="16"/>
              </w:rPr>
              <w:t>476.3</w:t>
            </w:r>
          </w:p>
        </w:tc>
        <w:tc>
          <w:tcPr>
            <w:tcW w:w="850" w:type="dxa"/>
            <w:shd w:val="clear" w:color="auto" w:fill="FFFFFF"/>
            <w:tcMar>
              <w:top w:w="0" w:type="dxa"/>
              <w:left w:w="85" w:type="dxa"/>
              <w:bottom w:w="0" w:type="dxa"/>
              <w:right w:w="85" w:type="dxa"/>
            </w:tcMar>
            <w:vAlign w:val="center"/>
          </w:tcPr>
          <w:p w14:paraId="62D70E5F" w14:textId="77777777" w:rsidR="00053418" w:rsidRPr="009E06AA" w:rsidRDefault="00053418" w:rsidP="00002ACF">
            <w:pPr>
              <w:pStyle w:val="TableText"/>
              <w:spacing w:before="50" w:after="50"/>
              <w:jc w:val="right"/>
            </w:pPr>
            <w:r w:rsidRPr="009E06AA">
              <w:rPr>
                <w:rFonts w:eastAsia="Calibri" w:cs="Calibri"/>
                <w:b/>
                <w:color w:val="1B556B"/>
                <w:szCs w:val="16"/>
              </w:rPr>
              <w:t>711.9</w:t>
            </w:r>
          </w:p>
        </w:tc>
        <w:tc>
          <w:tcPr>
            <w:tcW w:w="1134" w:type="dxa"/>
            <w:shd w:val="clear" w:color="auto" w:fill="FFFFFF"/>
            <w:tcMar>
              <w:top w:w="0" w:type="dxa"/>
              <w:left w:w="85" w:type="dxa"/>
              <w:bottom w:w="0" w:type="dxa"/>
              <w:right w:w="85" w:type="dxa"/>
            </w:tcMar>
            <w:vAlign w:val="center"/>
          </w:tcPr>
          <w:p w14:paraId="6F4F320B" w14:textId="77777777" w:rsidR="00053418" w:rsidRPr="009E06AA" w:rsidRDefault="00053418" w:rsidP="00002ACF">
            <w:pPr>
              <w:pStyle w:val="TableText"/>
              <w:spacing w:before="50" w:after="50"/>
              <w:jc w:val="right"/>
            </w:pPr>
            <w:r w:rsidRPr="009E06AA">
              <w:rPr>
                <w:rFonts w:eastAsia="Calibri" w:cs="Calibri"/>
                <w:b/>
                <w:color w:val="1B556B"/>
                <w:szCs w:val="16"/>
              </w:rPr>
              <w:t>49.5</w:t>
            </w:r>
          </w:p>
        </w:tc>
      </w:tr>
    </w:tbl>
    <w:p w14:paraId="44CA4161" w14:textId="77777777" w:rsidR="00053418" w:rsidRPr="009E06AA" w:rsidRDefault="00053418" w:rsidP="00053418">
      <w:pPr>
        <w:pStyle w:val="Noteundertable"/>
      </w:pPr>
      <w:r w:rsidRPr="009E06AA">
        <w:rPr>
          <w:b/>
        </w:rPr>
        <w:t>Note:</w:t>
      </w:r>
      <w:r w:rsidRPr="009E06AA">
        <w:tab/>
        <w:t xml:space="preserve">Net area in 1990 is as at 1 January 1990; net area in 2022 is as at 31 December 2022. </w:t>
      </w:r>
      <w:r w:rsidRPr="009E06AA">
        <w:rPr>
          <w:i/>
        </w:rPr>
        <w:t>Land converted to cropland</w:t>
      </w:r>
      <w:r w:rsidRPr="009E06AA">
        <w:t xml:space="preserve"> includes land converted up to 20 years earlier. Net emission values are for the whole year indicated. Values include carbon dioxide equivalent emissions from nitrous oxide</w:t>
      </w:r>
      <w:r w:rsidRPr="009E06AA" w:rsidDel="008E1888">
        <w:t xml:space="preserve"> </w:t>
      </w:r>
      <w:r w:rsidRPr="009E06AA">
        <w:t xml:space="preserve">from cultivation of land. </w:t>
      </w:r>
    </w:p>
    <w:p w14:paraId="1E3AF883" w14:textId="77777777" w:rsidR="00053418" w:rsidRPr="009E06AA" w:rsidRDefault="00053418" w:rsidP="00053418">
      <w:pPr>
        <w:pStyle w:val="BodyText"/>
      </w:pPr>
      <w:r w:rsidRPr="009E06AA">
        <w:t xml:space="preserve">The </w:t>
      </w:r>
      <w:r w:rsidRPr="009E06AA">
        <w:rPr>
          <w:i/>
        </w:rPr>
        <w:t>Land converted to cropland</w:t>
      </w:r>
      <w:r w:rsidRPr="009E06AA">
        <w:t xml:space="preserve"> category is responsible for the majority of </w:t>
      </w:r>
      <w:r w:rsidRPr="009E06AA">
        <w:rPr>
          <w:i/>
        </w:rPr>
        <w:t>Cropland</w:t>
      </w:r>
      <w:r w:rsidRPr="009E06AA">
        <w:t xml:space="preserve"> emissions. This category comprised 23.6 per cent of all </w:t>
      </w:r>
      <w:r w:rsidRPr="009E06AA">
        <w:rPr>
          <w:i/>
        </w:rPr>
        <w:t>Cropland</w:t>
      </w:r>
      <w:r w:rsidRPr="009E06AA">
        <w:t xml:space="preserve"> area in 2022. </w:t>
      </w:r>
    </w:p>
    <w:p w14:paraId="575C7E00" w14:textId="77777777" w:rsidR="00053418" w:rsidRPr="009E06AA" w:rsidRDefault="00053418" w:rsidP="00053418">
      <w:pPr>
        <w:pStyle w:val="BodyText"/>
      </w:pPr>
      <w:r w:rsidRPr="009E06AA">
        <w:t xml:space="preserve">Most emissions due to carbon stock change that have occurred in the </w:t>
      </w:r>
      <w:r w:rsidRPr="009E06AA">
        <w:rPr>
          <w:i/>
        </w:rPr>
        <w:t>Cropland</w:t>
      </w:r>
      <w:r w:rsidRPr="009E06AA">
        <w:t xml:space="preserve"> category since 1990 are in the SOC pool (4,719.4</w:t>
      </w:r>
      <w:r w:rsidRPr="009E06AA">
        <w:rPr>
          <w:b/>
          <w:bCs/>
        </w:rPr>
        <w:t xml:space="preserve"> </w:t>
      </w:r>
      <w:r w:rsidRPr="009E06AA">
        <w:t xml:space="preserve">kt C) (see table 6.5.2). Within the SOC pool, the majority of changes in carbon stocks result from drained organic soils (3,320.5 kt C). This is because organic soils continue to lose carbon even after the 20-year transition period (IPCC, 2006a). </w:t>
      </w:r>
    </w:p>
    <w:p w14:paraId="125A99A0" w14:textId="40AC244C" w:rsidR="00053418" w:rsidRPr="009E06AA" w:rsidRDefault="00053418" w:rsidP="00053418">
      <w:pPr>
        <w:pStyle w:val="Table"/>
      </w:pPr>
      <w:bookmarkStart w:id="2083" w:name="_Toc378853301"/>
      <w:bookmarkStart w:id="2084" w:name="_Toc391024099"/>
      <w:bookmarkStart w:id="2085" w:name="_Toc410028842"/>
      <w:bookmarkStart w:id="2086" w:name="_Toc414531470"/>
      <w:bookmarkStart w:id="2087" w:name="_Toc443645383"/>
      <w:bookmarkStart w:id="2088" w:name="_Toc474914602"/>
      <w:bookmarkStart w:id="2089" w:name="_Toc481751566"/>
      <w:bookmarkStart w:id="2090" w:name="_Toc522010623"/>
      <w:bookmarkStart w:id="2091" w:name="_Toc5269528"/>
      <w:bookmarkStart w:id="2092" w:name="_Toc33529402"/>
      <w:bookmarkStart w:id="2093" w:name="_Toc36224608"/>
      <w:bookmarkStart w:id="2094" w:name="_Toc65243605"/>
      <w:bookmarkStart w:id="2095" w:name="_Toc131591402"/>
      <w:bookmarkStart w:id="2096" w:name="_Toc158979960"/>
      <w:bookmarkStart w:id="2097" w:name="_Toc164153893"/>
      <w:r w:rsidRPr="009E06AA">
        <w:t>Table 6.5.2</w:t>
      </w:r>
      <w:r w:rsidRPr="009E06AA">
        <w:tab/>
        <w:t>New Zealand’s carbon stock change by carbon pool for the</w:t>
      </w:r>
      <w:r w:rsidRPr="009E06AA">
        <w:rPr>
          <w:rFonts w:cs="Arial Bold"/>
        </w:rPr>
        <w:t xml:space="preserve"> </w:t>
      </w:r>
      <w:r w:rsidRPr="009E06AA">
        <w:rPr>
          <w:rFonts w:cs="Arial Bold"/>
          <w:i/>
        </w:rPr>
        <w:t>Crop</w:t>
      </w:r>
      <w:r w:rsidRPr="009E06AA">
        <w:rPr>
          <w:i/>
        </w:rPr>
        <w:t>land</w:t>
      </w:r>
      <w:r w:rsidRPr="009E06AA">
        <w:t xml:space="preserve"> category</w:t>
      </w:r>
      <w:r w:rsidR="00A011A9" w:rsidRPr="009E06AA">
        <w:t>,</w:t>
      </w:r>
      <w:r w:rsidRPr="009E06AA">
        <w:br/>
        <w:t>from 1990 to</w:t>
      </w:r>
      <w:bookmarkEnd w:id="2083"/>
      <w:bookmarkEnd w:id="2084"/>
      <w:r w:rsidRPr="009E06AA">
        <w:t> </w:t>
      </w:r>
      <w:bookmarkEnd w:id="2085"/>
      <w:bookmarkEnd w:id="2086"/>
      <w:bookmarkEnd w:id="2087"/>
      <w:bookmarkEnd w:id="2088"/>
      <w:bookmarkEnd w:id="2089"/>
      <w:bookmarkEnd w:id="2090"/>
      <w:bookmarkEnd w:id="2091"/>
      <w:bookmarkEnd w:id="2092"/>
      <w:bookmarkEnd w:id="2093"/>
      <w:bookmarkEnd w:id="2094"/>
      <w:r w:rsidRPr="009E06AA">
        <w:t>2022</w:t>
      </w:r>
      <w:bookmarkEnd w:id="2095"/>
      <w:bookmarkEnd w:id="2096"/>
      <w:bookmarkEnd w:id="2097"/>
    </w:p>
    <w:tbl>
      <w:tblPr>
        <w:tblW w:w="8505" w:type="dxa"/>
        <w:tblBorders>
          <w:top w:val="single" w:sz="4" w:space="0" w:color="1B556B" w:themeColor="text2"/>
          <w:bottom w:val="single" w:sz="4" w:space="0" w:color="1B556B" w:themeColor="text2"/>
          <w:insideH w:val="single" w:sz="4" w:space="0" w:color="1B556B" w:themeColor="text2"/>
        </w:tblBorders>
        <w:tblLayout w:type="fixed"/>
        <w:tblLook w:val="0420" w:firstRow="1" w:lastRow="0" w:firstColumn="0" w:lastColumn="0" w:noHBand="0" w:noVBand="1"/>
      </w:tblPr>
      <w:tblGrid>
        <w:gridCol w:w="1560"/>
        <w:gridCol w:w="1275"/>
        <w:gridCol w:w="1560"/>
        <w:gridCol w:w="1134"/>
        <w:gridCol w:w="1275"/>
        <w:gridCol w:w="1701"/>
      </w:tblGrid>
      <w:tr w:rsidR="00053418" w:rsidRPr="009E06AA" w14:paraId="7ADA7A98" w14:textId="77777777" w:rsidTr="00CA334E">
        <w:trPr>
          <w:tblHeader/>
        </w:trPr>
        <w:tc>
          <w:tcPr>
            <w:tcW w:w="1560" w:type="dxa"/>
            <w:tcBorders>
              <w:bottom w:val="single" w:sz="4" w:space="0" w:color="1B556B" w:themeColor="text2"/>
            </w:tcBorders>
            <w:shd w:val="clear" w:color="auto" w:fill="1B556B"/>
            <w:tcMar>
              <w:top w:w="0" w:type="dxa"/>
              <w:left w:w="85" w:type="dxa"/>
              <w:bottom w:w="0" w:type="dxa"/>
              <w:right w:w="85" w:type="dxa"/>
            </w:tcMar>
            <w:vAlign w:val="bottom"/>
          </w:tcPr>
          <w:p w14:paraId="38C43783" w14:textId="77777777" w:rsidR="00053418" w:rsidRPr="009E06AA" w:rsidRDefault="00053418" w:rsidP="00B55F24">
            <w:pPr>
              <w:pStyle w:val="TableText"/>
              <w:spacing w:before="50" w:after="0"/>
            </w:pPr>
          </w:p>
        </w:tc>
        <w:tc>
          <w:tcPr>
            <w:tcW w:w="5244" w:type="dxa"/>
            <w:gridSpan w:val="4"/>
            <w:tcBorders>
              <w:bottom w:val="single" w:sz="4" w:space="0" w:color="1B556B" w:themeColor="text2"/>
            </w:tcBorders>
            <w:shd w:val="clear" w:color="auto" w:fill="1B556B"/>
            <w:tcMar>
              <w:top w:w="0" w:type="dxa"/>
              <w:left w:w="85" w:type="dxa"/>
              <w:bottom w:w="0" w:type="dxa"/>
              <w:right w:w="85" w:type="dxa"/>
            </w:tcMar>
            <w:vAlign w:val="bottom"/>
          </w:tcPr>
          <w:p w14:paraId="5A9272C2" w14:textId="77777777" w:rsidR="00053418" w:rsidRPr="009E06AA" w:rsidRDefault="00053418" w:rsidP="00B55F24">
            <w:pPr>
              <w:pStyle w:val="TableText"/>
              <w:spacing w:before="50" w:after="40"/>
              <w:jc w:val="center"/>
            </w:pPr>
            <w:r w:rsidRPr="009E06AA">
              <w:rPr>
                <w:rFonts w:eastAsia="Calibri" w:cs="Calibri"/>
                <w:b/>
                <w:color w:val="FFFFFF"/>
                <w:szCs w:val="16"/>
              </w:rPr>
              <w:t>Net carbon stock change 1990–2022 (kt C)</w:t>
            </w:r>
          </w:p>
        </w:tc>
        <w:tc>
          <w:tcPr>
            <w:tcW w:w="1701" w:type="dxa"/>
            <w:tcBorders>
              <w:bottom w:val="single" w:sz="4" w:space="0" w:color="1B556B" w:themeColor="text2"/>
            </w:tcBorders>
            <w:shd w:val="clear" w:color="auto" w:fill="1B556B"/>
            <w:tcMar>
              <w:top w:w="0" w:type="dxa"/>
              <w:left w:w="85" w:type="dxa"/>
              <w:bottom w:w="0" w:type="dxa"/>
              <w:right w:w="85" w:type="dxa"/>
            </w:tcMar>
            <w:vAlign w:val="bottom"/>
          </w:tcPr>
          <w:p w14:paraId="3F4951F8" w14:textId="77777777" w:rsidR="00053418" w:rsidRPr="009E06AA" w:rsidRDefault="00053418" w:rsidP="00B55F24">
            <w:pPr>
              <w:pStyle w:val="TableText"/>
              <w:spacing w:before="50" w:after="0"/>
              <w:jc w:val="center"/>
            </w:pPr>
            <w:r w:rsidRPr="009E06AA">
              <w:rPr>
                <w:rFonts w:eastAsia="Calibri" w:cs="Calibri"/>
                <w:b/>
                <w:color w:val="FFFFFF"/>
                <w:szCs w:val="16"/>
              </w:rPr>
              <w:t>Emissions 1990–2022</w:t>
            </w:r>
          </w:p>
        </w:tc>
      </w:tr>
      <w:tr w:rsidR="00053418" w:rsidRPr="009E06AA" w14:paraId="30819813" w14:textId="77777777" w:rsidTr="00CA334E">
        <w:trPr>
          <w:tblHeader/>
        </w:trPr>
        <w:tc>
          <w:tcPr>
            <w:tcW w:w="1560" w:type="dxa"/>
            <w:tcBorders>
              <w:bottom w:val="nil"/>
            </w:tcBorders>
            <w:shd w:val="clear" w:color="auto" w:fill="1B556B"/>
            <w:tcMar>
              <w:top w:w="0" w:type="dxa"/>
              <w:left w:w="85" w:type="dxa"/>
              <w:bottom w:w="0" w:type="dxa"/>
              <w:right w:w="85" w:type="dxa"/>
            </w:tcMar>
            <w:vAlign w:val="center"/>
          </w:tcPr>
          <w:p w14:paraId="2A9E21D1" w14:textId="77777777" w:rsidR="00053418" w:rsidRPr="009E06AA" w:rsidRDefault="00053418" w:rsidP="00B55F24">
            <w:pPr>
              <w:pStyle w:val="TableText"/>
              <w:spacing w:before="50" w:after="50"/>
            </w:pPr>
            <w:r w:rsidRPr="009E06AA">
              <w:rPr>
                <w:rFonts w:eastAsia="Calibri" w:cs="Calibri"/>
                <w:b/>
                <w:color w:val="FFFFFF"/>
                <w:szCs w:val="16"/>
              </w:rPr>
              <w:t>Land use</w:t>
            </w:r>
          </w:p>
        </w:tc>
        <w:tc>
          <w:tcPr>
            <w:tcW w:w="1275" w:type="dxa"/>
            <w:tcBorders>
              <w:bottom w:val="nil"/>
            </w:tcBorders>
            <w:shd w:val="clear" w:color="auto" w:fill="1B556B"/>
            <w:tcMar>
              <w:top w:w="0" w:type="dxa"/>
              <w:left w:w="85" w:type="dxa"/>
              <w:bottom w:w="0" w:type="dxa"/>
              <w:right w:w="85" w:type="dxa"/>
            </w:tcMar>
            <w:vAlign w:val="center"/>
          </w:tcPr>
          <w:p w14:paraId="0F840780" w14:textId="77777777" w:rsidR="00053418" w:rsidRPr="009E06AA" w:rsidRDefault="00053418" w:rsidP="00002ACF">
            <w:pPr>
              <w:pStyle w:val="TableText"/>
              <w:spacing w:before="50" w:after="50"/>
              <w:jc w:val="right"/>
            </w:pPr>
            <w:r w:rsidRPr="009E06AA">
              <w:rPr>
                <w:rFonts w:eastAsia="Calibri" w:cs="Calibri"/>
                <w:b/>
                <w:color w:val="FFFFFF"/>
                <w:szCs w:val="16"/>
              </w:rPr>
              <w:t>Living biomass</w:t>
            </w:r>
          </w:p>
        </w:tc>
        <w:tc>
          <w:tcPr>
            <w:tcW w:w="1560" w:type="dxa"/>
            <w:tcBorders>
              <w:bottom w:val="nil"/>
            </w:tcBorders>
            <w:shd w:val="clear" w:color="auto" w:fill="1B556B"/>
            <w:tcMar>
              <w:top w:w="0" w:type="dxa"/>
              <w:left w:w="85" w:type="dxa"/>
              <w:bottom w:w="0" w:type="dxa"/>
              <w:right w:w="85" w:type="dxa"/>
            </w:tcMar>
            <w:vAlign w:val="center"/>
          </w:tcPr>
          <w:p w14:paraId="5720724B" w14:textId="77777777" w:rsidR="00053418" w:rsidRPr="009E06AA" w:rsidRDefault="00053418" w:rsidP="00002ACF">
            <w:pPr>
              <w:pStyle w:val="TableText"/>
              <w:spacing w:before="50" w:after="50"/>
              <w:jc w:val="right"/>
            </w:pPr>
            <w:r w:rsidRPr="009E06AA">
              <w:rPr>
                <w:rFonts w:eastAsia="Calibri" w:cs="Calibri"/>
                <w:b/>
                <w:color w:val="FFFFFF"/>
                <w:szCs w:val="16"/>
              </w:rPr>
              <w:t>Dead organic matter</w:t>
            </w:r>
          </w:p>
        </w:tc>
        <w:tc>
          <w:tcPr>
            <w:tcW w:w="1134" w:type="dxa"/>
            <w:tcBorders>
              <w:bottom w:val="nil"/>
            </w:tcBorders>
            <w:shd w:val="clear" w:color="auto" w:fill="1B556B"/>
            <w:tcMar>
              <w:top w:w="0" w:type="dxa"/>
              <w:left w:w="85" w:type="dxa"/>
              <w:bottom w:w="0" w:type="dxa"/>
              <w:right w:w="85" w:type="dxa"/>
            </w:tcMar>
            <w:vAlign w:val="center"/>
          </w:tcPr>
          <w:p w14:paraId="12CD9B50" w14:textId="77777777" w:rsidR="00053418" w:rsidRPr="009E06AA" w:rsidRDefault="00053418" w:rsidP="00002ACF">
            <w:pPr>
              <w:pStyle w:val="TableText"/>
              <w:spacing w:before="50" w:after="50"/>
              <w:jc w:val="right"/>
            </w:pPr>
            <w:r w:rsidRPr="009E06AA">
              <w:rPr>
                <w:rFonts w:eastAsia="Calibri" w:cs="Calibri"/>
                <w:b/>
                <w:color w:val="FFFFFF"/>
                <w:szCs w:val="16"/>
              </w:rPr>
              <w:t>Soils</w:t>
            </w:r>
          </w:p>
        </w:tc>
        <w:tc>
          <w:tcPr>
            <w:tcW w:w="1275" w:type="dxa"/>
            <w:tcBorders>
              <w:bottom w:val="nil"/>
            </w:tcBorders>
            <w:shd w:val="clear" w:color="auto" w:fill="1B556B"/>
            <w:tcMar>
              <w:top w:w="0" w:type="dxa"/>
              <w:left w:w="85" w:type="dxa"/>
              <w:bottom w:w="0" w:type="dxa"/>
              <w:right w:w="85" w:type="dxa"/>
            </w:tcMar>
            <w:vAlign w:val="center"/>
          </w:tcPr>
          <w:p w14:paraId="74CC0D66" w14:textId="77777777" w:rsidR="00053418" w:rsidRPr="009E06AA" w:rsidRDefault="00053418" w:rsidP="00002ACF">
            <w:pPr>
              <w:pStyle w:val="TableText"/>
              <w:spacing w:before="50" w:after="50"/>
              <w:jc w:val="right"/>
            </w:pPr>
            <w:r w:rsidRPr="009E06AA">
              <w:rPr>
                <w:rFonts w:eastAsia="Calibri" w:cs="Calibri"/>
                <w:b/>
                <w:color w:val="FFFFFF"/>
                <w:szCs w:val="16"/>
              </w:rPr>
              <w:t>Total</w:t>
            </w:r>
          </w:p>
        </w:tc>
        <w:tc>
          <w:tcPr>
            <w:tcW w:w="1701" w:type="dxa"/>
            <w:tcBorders>
              <w:bottom w:val="nil"/>
            </w:tcBorders>
            <w:shd w:val="clear" w:color="auto" w:fill="1B556B"/>
            <w:tcMar>
              <w:top w:w="0" w:type="dxa"/>
              <w:left w:w="85" w:type="dxa"/>
              <w:bottom w:w="0" w:type="dxa"/>
              <w:right w:w="85" w:type="dxa"/>
            </w:tcMar>
            <w:vAlign w:val="center"/>
          </w:tcPr>
          <w:p w14:paraId="532AEAE1" w14:textId="77777777" w:rsidR="00053418" w:rsidRPr="009E06AA" w:rsidRDefault="00053418" w:rsidP="00002ACF">
            <w:pPr>
              <w:pStyle w:val="TableText"/>
              <w:spacing w:before="50" w:after="50"/>
              <w:jc w:val="right"/>
            </w:pPr>
            <w:r w:rsidRPr="009E06AA">
              <w:rPr>
                <w:rFonts w:eastAsia="Calibri" w:cs="Calibri"/>
                <w:b/>
                <w:color w:val="FFFFFF"/>
                <w:szCs w:val="16"/>
              </w:rPr>
              <w:t>(kt CO₂)</w:t>
            </w:r>
          </w:p>
        </w:tc>
      </w:tr>
      <w:tr w:rsidR="00053418" w:rsidRPr="009E06AA" w14:paraId="70B5A380" w14:textId="77777777" w:rsidTr="00CA334E">
        <w:tc>
          <w:tcPr>
            <w:tcW w:w="1560" w:type="dxa"/>
            <w:tcBorders>
              <w:top w:val="nil"/>
            </w:tcBorders>
            <w:shd w:val="clear" w:color="auto" w:fill="FFFFFF"/>
            <w:tcMar>
              <w:top w:w="0" w:type="dxa"/>
              <w:left w:w="85" w:type="dxa"/>
              <w:bottom w:w="0" w:type="dxa"/>
              <w:right w:w="85" w:type="dxa"/>
            </w:tcMar>
            <w:vAlign w:val="center"/>
          </w:tcPr>
          <w:p w14:paraId="76B3DEAD" w14:textId="77777777" w:rsidR="00053418" w:rsidRPr="009E06AA" w:rsidRDefault="00053418" w:rsidP="00B55F24">
            <w:pPr>
              <w:pStyle w:val="TableText"/>
              <w:spacing w:before="50" w:after="50"/>
            </w:pPr>
            <w:r w:rsidRPr="009E06AA">
              <w:rPr>
                <w:rFonts w:eastAsia="Calibri" w:cs="Calibri"/>
                <w:color w:val="000000"/>
                <w:szCs w:val="16"/>
              </w:rPr>
              <w:t>Annual cropland</w:t>
            </w:r>
          </w:p>
        </w:tc>
        <w:tc>
          <w:tcPr>
            <w:tcW w:w="1275" w:type="dxa"/>
            <w:tcBorders>
              <w:top w:val="nil"/>
            </w:tcBorders>
            <w:shd w:val="clear" w:color="auto" w:fill="FFFFFF"/>
            <w:tcMar>
              <w:top w:w="0" w:type="dxa"/>
              <w:left w:w="85" w:type="dxa"/>
              <w:bottom w:w="0" w:type="dxa"/>
              <w:right w:w="85" w:type="dxa"/>
            </w:tcMar>
            <w:vAlign w:val="center"/>
          </w:tcPr>
          <w:p w14:paraId="6D728184" w14:textId="77777777" w:rsidR="00053418" w:rsidRPr="009E06AA" w:rsidRDefault="00053418" w:rsidP="00002ACF">
            <w:pPr>
              <w:pStyle w:val="TableText"/>
              <w:spacing w:before="50" w:after="50"/>
              <w:jc w:val="right"/>
            </w:pPr>
            <w:r w:rsidRPr="009E06AA">
              <w:rPr>
                <w:rFonts w:eastAsia="Calibri" w:cs="Calibri"/>
                <w:color w:val="000000"/>
                <w:szCs w:val="16"/>
              </w:rPr>
              <w:t>-321.9</w:t>
            </w:r>
          </w:p>
        </w:tc>
        <w:tc>
          <w:tcPr>
            <w:tcW w:w="1560" w:type="dxa"/>
            <w:tcBorders>
              <w:top w:val="nil"/>
            </w:tcBorders>
            <w:shd w:val="clear" w:color="auto" w:fill="FFFFFF"/>
            <w:tcMar>
              <w:top w:w="0" w:type="dxa"/>
              <w:left w:w="85" w:type="dxa"/>
              <w:bottom w:w="0" w:type="dxa"/>
              <w:right w:w="85" w:type="dxa"/>
            </w:tcMar>
            <w:vAlign w:val="center"/>
          </w:tcPr>
          <w:p w14:paraId="5CDF89BB" w14:textId="77777777" w:rsidR="00053418" w:rsidRPr="009E06AA" w:rsidRDefault="00053418" w:rsidP="00002ACF">
            <w:pPr>
              <w:pStyle w:val="TableText"/>
              <w:spacing w:before="50" w:after="50"/>
              <w:jc w:val="right"/>
            </w:pPr>
            <w:r w:rsidRPr="009E06AA">
              <w:rPr>
                <w:rFonts w:eastAsia="Calibri" w:cs="Calibri"/>
                <w:color w:val="000000"/>
                <w:szCs w:val="16"/>
              </w:rPr>
              <w:t>-13.5</w:t>
            </w:r>
          </w:p>
        </w:tc>
        <w:tc>
          <w:tcPr>
            <w:tcW w:w="1134" w:type="dxa"/>
            <w:tcBorders>
              <w:top w:val="nil"/>
            </w:tcBorders>
            <w:shd w:val="clear" w:color="auto" w:fill="FFFFFF"/>
            <w:tcMar>
              <w:top w:w="0" w:type="dxa"/>
              <w:left w:w="85" w:type="dxa"/>
              <w:bottom w:w="0" w:type="dxa"/>
              <w:right w:w="85" w:type="dxa"/>
            </w:tcMar>
            <w:vAlign w:val="center"/>
          </w:tcPr>
          <w:p w14:paraId="06B3B09D" w14:textId="77777777" w:rsidR="00053418" w:rsidRPr="009E06AA" w:rsidRDefault="00053418" w:rsidP="00002ACF">
            <w:pPr>
              <w:pStyle w:val="TableText"/>
              <w:spacing w:before="50" w:after="50"/>
              <w:jc w:val="right"/>
            </w:pPr>
            <w:r w:rsidRPr="009E06AA">
              <w:rPr>
                <w:rFonts w:eastAsia="Calibri" w:cs="Calibri"/>
                <w:color w:val="000000"/>
                <w:szCs w:val="16"/>
              </w:rPr>
              <w:t>-3,240.8</w:t>
            </w:r>
          </w:p>
        </w:tc>
        <w:tc>
          <w:tcPr>
            <w:tcW w:w="1275" w:type="dxa"/>
            <w:tcBorders>
              <w:top w:val="nil"/>
            </w:tcBorders>
            <w:shd w:val="clear" w:color="auto" w:fill="FFFFFF"/>
            <w:tcMar>
              <w:top w:w="0" w:type="dxa"/>
              <w:left w:w="85" w:type="dxa"/>
              <w:bottom w:w="0" w:type="dxa"/>
              <w:right w:w="85" w:type="dxa"/>
            </w:tcMar>
            <w:vAlign w:val="center"/>
          </w:tcPr>
          <w:p w14:paraId="368B3D2B" w14:textId="77777777" w:rsidR="00053418" w:rsidRPr="009E06AA" w:rsidRDefault="00053418" w:rsidP="00002ACF">
            <w:pPr>
              <w:pStyle w:val="TableText"/>
              <w:spacing w:before="50" w:after="50"/>
              <w:jc w:val="right"/>
            </w:pPr>
            <w:r w:rsidRPr="009E06AA">
              <w:rPr>
                <w:rFonts w:eastAsia="Calibri" w:cs="Calibri"/>
                <w:color w:val="000000"/>
                <w:szCs w:val="16"/>
              </w:rPr>
              <w:t>-3,576.2</w:t>
            </w:r>
          </w:p>
        </w:tc>
        <w:tc>
          <w:tcPr>
            <w:tcW w:w="1701" w:type="dxa"/>
            <w:tcBorders>
              <w:top w:val="nil"/>
            </w:tcBorders>
            <w:shd w:val="clear" w:color="auto" w:fill="FFFFFF"/>
            <w:tcMar>
              <w:top w:w="0" w:type="dxa"/>
              <w:left w:w="85" w:type="dxa"/>
              <w:bottom w:w="0" w:type="dxa"/>
              <w:right w:w="85" w:type="dxa"/>
            </w:tcMar>
            <w:vAlign w:val="center"/>
          </w:tcPr>
          <w:p w14:paraId="16B67510" w14:textId="77777777" w:rsidR="00053418" w:rsidRPr="009E06AA" w:rsidRDefault="00053418" w:rsidP="00002ACF">
            <w:pPr>
              <w:pStyle w:val="TableText"/>
              <w:spacing w:before="50" w:after="50"/>
              <w:jc w:val="right"/>
            </w:pPr>
            <w:r w:rsidRPr="009E06AA">
              <w:rPr>
                <w:rFonts w:eastAsia="Calibri" w:cs="Calibri"/>
                <w:color w:val="000000"/>
                <w:szCs w:val="16"/>
              </w:rPr>
              <w:t>13,112.6</w:t>
            </w:r>
          </w:p>
        </w:tc>
      </w:tr>
      <w:tr w:rsidR="00053418" w:rsidRPr="009E06AA" w14:paraId="73318260" w14:textId="77777777" w:rsidTr="00B55F24">
        <w:tc>
          <w:tcPr>
            <w:tcW w:w="1560" w:type="dxa"/>
            <w:shd w:val="clear" w:color="auto" w:fill="FFFFFF"/>
            <w:tcMar>
              <w:top w:w="0" w:type="dxa"/>
              <w:left w:w="85" w:type="dxa"/>
              <w:bottom w:w="0" w:type="dxa"/>
              <w:right w:w="85" w:type="dxa"/>
            </w:tcMar>
            <w:vAlign w:val="center"/>
          </w:tcPr>
          <w:p w14:paraId="034E6AA7" w14:textId="77777777" w:rsidR="00053418" w:rsidRPr="009E06AA" w:rsidRDefault="00053418" w:rsidP="00B55F24">
            <w:pPr>
              <w:pStyle w:val="TableText"/>
              <w:spacing w:before="50" w:after="50"/>
            </w:pPr>
            <w:r w:rsidRPr="009E06AA">
              <w:rPr>
                <w:rFonts w:eastAsia="Calibri" w:cs="Calibri"/>
                <w:color w:val="000000"/>
                <w:szCs w:val="16"/>
              </w:rPr>
              <w:t>Perennial cropland</w:t>
            </w:r>
          </w:p>
        </w:tc>
        <w:tc>
          <w:tcPr>
            <w:tcW w:w="1275" w:type="dxa"/>
            <w:shd w:val="clear" w:color="auto" w:fill="FFFFFF"/>
            <w:tcMar>
              <w:top w:w="0" w:type="dxa"/>
              <w:left w:w="85" w:type="dxa"/>
              <w:bottom w:w="0" w:type="dxa"/>
              <w:right w:w="85" w:type="dxa"/>
            </w:tcMar>
            <w:vAlign w:val="center"/>
          </w:tcPr>
          <w:p w14:paraId="725E3399" w14:textId="77777777" w:rsidR="00053418" w:rsidRPr="009E06AA" w:rsidRDefault="00053418" w:rsidP="00002ACF">
            <w:pPr>
              <w:pStyle w:val="TableText"/>
              <w:spacing w:before="50" w:after="50"/>
              <w:jc w:val="right"/>
            </w:pPr>
            <w:r w:rsidRPr="009E06AA">
              <w:rPr>
                <w:rFonts w:eastAsia="Calibri" w:cs="Calibri"/>
                <w:color w:val="000000"/>
                <w:szCs w:val="16"/>
              </w:rPr>
              <w:t>393.3</w:t>
            </w:r>
          </w:p>
        </w:tc>
        <w:tc>
          <w:tcPr>
            <w:tcW w:w="1560" w:type="dxa"/>
            <w:shd w:val="clear" w:color="auto" w:fill="FFFFFF"/>
            <w:tcMar>
              <w:top w:w="0" w:type="dxa"/>
              <w:left w:w="85" w:type="dxa"/>
              <w:bottom w:w="0" w:type="dxa"/>
              <w:right w:w="85" w:type="dxa"/>
            </w:tcMar>
            <w:vAlign w:val="center"/>
          </w:tcPr>
          <w:p w14:paraId="22EE77DC" w14:textId="77777777" w:rsidR="00053418" w:rsidRPr="009E06AA" w:rsidRDefault="00053418" w:rsidP="00002ACF">
            <w:pPr>
              <w:pStyle w:val="TableText"/>
              <w:spacing w:before="50" w:after="50"/>
              <w:jc w:val="right"/>
            </w:pPr>
            <w:r w:rsidRPr="009E06AA">
              <w:rPr>
                <w:rFonts w:eastAsia="Calibri" w:cs="Calibri"/>
                <w:color w:val="000000"/>
                <w:szCs w:val="16"/>
              </w:rPr>
              <w:t>-9.3</w:t>
            </w:r>
          </w:p>
        </w:tc>
        <w:tc>
          <w:tcPr>
            <w:tcW w:w="1134" w:type="dxa"/>
            <w:shd w:val="clear" w:color="auto" w:fill="FFFFFF"/>
            <w:tcMar>
              <w:top w:w="0" w:type="dxa"/>
              <w:left w:w="85" w:type="dxa"/>
              <w:bottom w:w="0" w:type="dxa"/>
              <w:right w:w="85" w:type="dxa"/>
            </w:tcMar>
            <w:vAlign w:val="center"/>
          </w:tcPr>
          <w:p w14:paraId="31790678" w14:textId="77777777" w:rsidR="00053418" w:rsidRPr="009E06AA" w:rsidRDefault="00053418" w:rsidP="00002ACF">
            <w:pPr>
              <w:pStyle w:val="TableText"/>
              <w:spacing w:before="50" w:after="50"/>
              <w:jc w:val="right"/>
            </w:pPr>
            <w:r w:rsidRPr="009E06AA">
              <w:rPr>
                <w:rFonts w:eastAsia="Calibri" w:cs="Calibri"/>
                <w:color w:val="000000"/>
                <w:szCs w:val="16"/>
              </w:rPr>
              <w:t>-1,478.6</w:t>
            </w:r>
          </w:p>
        </w:tc>
        <w:tc>
          <w:tcPr>
            <w:tcW w:w="1275" w:type="dxa"/>
            <w:shd w:val="clear" w:color="auto" w:fill="FFFFFF"/>
            <w:tcMar>
              <w:top w:w="0" w:type="dxa"/>
              <w:left w:w="85" w:type="dxa"/>
              <w:bottom w:w="0" w:type="dxa"/>
              <w:right w:w="85" w:type="dxa"/>
            </w:tcMar>
            <w:vAlign w:val="center"/>
          </w:tcPr>
          <w:p w14:paraId="0AF9F161" w14:textId="77777777" w:rsidR="00053418" w:rsidRPr="009E06AA" w:rsidRDefault="00053418" w:rsidP="00002ACF">
            <w:pPr>
              <w:pStyle w:val="TableText"/>
              <w:spacing w:before="50" w:after="50"/>
              <w:jc w:val="right"/>
            </w:pPr>
            <w:r w:rsidRPr="009E06AA">
              <w:rPr>
                <w:rFonts w:eastAsia="Calibri" w:cs="Calibri"/>
                <w:color w:val="000000"/>
                <w:szCs w:val="16"/>
              </w:rPr>
              <w:t>-1,094.6</w:t>
            </w:r>
          </w:p>
        </w:tc>
        <w:tc>
          <w:tcPr>
            <w:tcW w:w="1701" w:type="dxa"/>
            <w:shd w:val="clear" w:color="auto" w:fill="FFFFFF"/>
            <w:tcMar>
              <w:top w:w="0" w:type="dxa"/>
              <w:left w:w="85" w:type="dxa"/>
              <w:bottom w:w="0" w:type="dxa"/>
              <w:right w:w="85" w:type="dxa"/>
            </w:tcMar>
            <w:vAlign w:val="center"/>
          </w:tcPr>
          <w:p w14:paraId="31ADCA2A" w14:textId="77777777" w:rsidR="00053418" w:rsidRPr="009E06AA" w:rsidRDefault="00053418" w:rsidP="00002ACF">
            <w:pPr>
              <w:pStyle w:val="TableText"/>
              <w:spacing w:before="50" w:after="50"/>
              <w:jc w:val="right"/>
            </w:pPr>
            <w:r w:rsidRPr="009E06AA">
              <w:rPr>
                <w:rFonts w:eastAsia="Calibri" w:cs="Calibri"/>
                <w:color w:val="000000"/>
                <w:szCs w:val="16"/>
              </w:rPr>
              <w:t>4,013.6</w:t>
            </w:r>
          </w:p>
        </w:tc>
      </w:tr>
      <w:tr w:rsidR="00053418" w:rsidRPr="009E06AA" w14:paraId="679AB880" w14:textId="77777777" w:rsidTr="00B55F24">
        <w:tc>
          <w:tcPr>
            <w:tcW w:w="1560" w:type="dxa"/>
            <w:shd w:val="clear" w:color="auto" w:fill="FFFFFF"/>
            <w:tcMar>
              <w:top w:w="0" w:type="dxa"/>
              <w:left w:w="85" w:type="dxa"/>
              <w:bottom w:w="0" w:type="dxa"/>
              <w:right w:w="85" w:type="dxa"/>
            </w:tcMar>
            <w:vAlign w:val="center"/>
          </w:tcPr>
          <w:p w14:paraId="4D6383E7" w14:textId="77777777" w:rsidR="00053418" w:rsidRPr="009E06AA" w:rsidRDefault="00053418" w:rsidP="00B55F24">
            <w:pPr>
              <w:pStyle w:val="TableText"/>
              <w:spacing w:before="50" w:after="50"/>
            </w:pPr>
            <w:r w:rsidRPr="009E06AA">
              <w:rPr>
                <w:rFonts w:eastAsia="Calibri" w:cs="Calibri"/>
                <w:b/>
                <w:color w:val="1B556B"/>
                <w:szCs w:val="16"/>
              </w:rPr>
              <w:t>Total</w:t>
            </w:r>
          </w:p>
        </w:tc>
        <w:tc>
          <w:tcPr>
            <w:tcW w:w="1275" w:type="dxa"/>
            <w:shd w:val="clear" w:color="auto" w:fill="FFFFFF"/>
            <w:tcMar>
              <w:top w:w="0" w:type="dxa"/>
              <w:left w:w="85" w:type="dxa"/>
              <w:bottom w:w="0" w:type="dxa"/>
              <w:right w:w="85" w:type="dxa"/>
            </w:tcMar>
            <w:vAlign w:val="center"/>
          </w:tcPr>
          <w:p w14:paraId="7DC80576" w14:textId="77777777" w:rsidR="00053418" w:rsidRPr="009E06AA" w:rsidRDefault="00053418" w:rsidP="00002ACF">
            <w:pPr>
              <w:pStyle w:val="TableText"/>
              <w:spacing w:before="50" w:after="50"/>
              <w:jc w:val="right"/>
            </w:pPr>
            <w:r w:rsidRPr="009E06AA">
              <w:rPr>
                <w:rFonts w:eastAsia="Calibri" w:cs="Calibri"/>
                <w:b/>
                <w:color w:val="1B556B"/>
                <w:szCs w:val="16"/>
              </w:rPr>
              <w:t>71.4</w:t>
            </w:r>
          </w:p>
        </w:tc>
        <w:tc>
          <w:tcPr>
            <w:tcW w:w="1560" w:type="dxa"/>
            <w:shd w:val="clear" w:color="auto" w:fill="FFFFFF"/>
            <w:tcMar>
              <w:top w:w="0" w:type="dxa"/>
              <w:left w:w="85" w:type="dxa"/>
              <w:bottom w:w="0" w:type="dxa"/>
              <w:right w:w="85" w:type="dxa"/>
            </w:tcMar>
            <w:vAlign w:val="center"/>
          </w:tcPr>
          <w:p w14:paraId="7D868A2E" w14:textId="77777777" w:rsidR="00053418" w:rsidRPr="009E06AA" w:rsidRDefault="00053418" w:rsidP="00002ACF">
            <w:pPr>
              <w:pStyle w:val="TableText"/>
              <w:spacing w:before="50" w:after="50"/>
              <w:jc w:val="right"/>
            </w:pPr>
            <w:r w:rsidRPr="009E06AA">
              <w:rPr>
                <w:rFonts w:eastAsia="Calibri" w:cs="Calibri"/>
                <w:b/>
                <w:color w:val="1B556B"/>
                <w:szCs w:val="16"/>
              </w:rPr>
              <w:t>-22.8</w:t>
            </w:r>
          </w:p>
        </w:tc>
        <w:tc>
          <w:tcPr>
            <w:tcW w:w="1134" w:type="dxa"/>
            <w:shd w:val="clear" w:color="auto" w:fill="FFFFFF"/>
            <w:tcMar>
              <w:top w:w="0" w:type="dxa"/>
              <w:left w:w="85" w:type="dxa"/>
              <w:bottom w:w="0" w:type="dxa"/>
              <w:right w:w="85" w:type="dxa"/>
            </w:tcMar>
            <w:vAlign w:val="center"/>
          </w:tcPr>
          <w:p w14:paraId="2D7012E7" w14:textId="77777777" w:rsidR="00053418" w:rsidRPr="009E06AA" w:rsidRDefault="00053418" w:rsidP="00002ACF">
            <w:pPr>
              <w:pStyle w:val="TableText"/>
              <w:spacing w:before="50" w:after="50"/>
              <w:jc w:val="right"/>
            </w:pPr>
            <w:r w:rsidRPr="009E06AA">
              <w:rPr>
                <w:rFonts w:eastAsia="Calibri" w:cs="Calibri"/>
                <w:b/>
                <w:color w:val="1B556B"/>
                <w:szCs w:val="16"/>
              </w:rPr>
              <w:t>-4,719.4</w:t>
            </w:r>
          </w:p>
        </w:tc>
        <w:tc>
          <w:tcPr>
            <w:tcW w:w="1275" w:type="dxa"/>
            <w:shd w:val="clear" w:color="auto" w:fill="FFFFFF"/>
            <w:tcMar>
              <w:top w:w="0" w:type="dxa"/>
              <w:left w:w="85" w:type="dxa"/>
              <w:bottom w:w="0" w:type="dxa"/>
              <w:right w:w="85" w:type="dxa"/>
            </w:tcMar>
            <w:vAlign w:val="center"/>
          </w:tcPr>
          <w:p w14:paraId="3F91FC10" w14:textId="77777777" w:rsidR="00053418" w:rsidRPr="009E06AA" w:rsidRDefault="00053418" w:rsidP="00002ACF">
            <w:pPr>
              <w:pStyle w:val="TableText"/>
              <w:spacing w:before="50" w:after="50"/>
              <w:jc w:val="right"/>
            </w:pPr>
            <w:r w:rsidRPr="009E06AA">
              <w:rPr>
                <w:rFonts w:eastAsia="Calibri" w:cs="Calibri"/>
                <w:b/>
                <w:color w:val="1B556B"/>
                <w:szCs w:val="16"/>
              </w:rPr>
              <w:t>-4,670.8</w:t>
            </w:r>
          </w:p>
        </w:tc>
        <w:tc>
          <w:tcPr>
            <w:tcW w:w="1701" w:type="dxa"/>
            <w:shd w:val="clear" w:color="auto" w:fill="FFFFFF"/>
            <w:tcMar>
              <w:top w:w="0" w:type="dxa"/>
              <w:left w:w="85" w:type="dxa"/>
              <w:bottom w:w="0" w:type="dxa"/>
              <w:right w:w="85" w:type="dxa"/>
            </w:tcMar>
            <w:vAlign w:val="center"/>
          </w:tcPr>
          <w:p w14:paraId="5E7FCAFA" w14:textId="77777777" w:rsidR="00053418" w:rsidRPr="009E06AA" w:rsidRDefault="00053418" w:rsidP="00002ACF">
            <w:pPr>
              <w:pStyle w:val="TableText"/>
              <w:spacing w:before="50" w:after="50"/>
              <w:jc w:val="right"/>
            </w:pPr>
            <w:r w:rsidRPr="009E06AA">
              <w:rPr>
                <w:rFonts w:eastAsia="Calibri" w:cs="Calibri"/>
                <w:b/>
                <w:color w:val="1B556B"/>
                <w:szCs w:val="16"/>
              </w:rPr>
              <w:t>17,126.2</w:t>
            </w:r>
          </w:p>
        </w:tc>
      </w:tr>
    </w:tbl>
    <w:p w14:paraId="35A504FB" w14:textId="77777777" w:rsidR="00053418" w:rsidRPr="009E06AA" w:rsidRDefault="00053418" w:rsidP="00053418">
      <w:pPr>
        <w:pStyle w:val="Noteundertable"/>
      </w:pPr>
      <w:r w:rsidRPr="009E06AA">
        <w:rPr>
          <w:b/>
        </w:rPr>
        <w:t>Note:</w:t>
      </w:r>
      <w:r w:rsidRPr="009E06AA">
        <w:tab/>
        <w:t xml:space="preserve">This table includes carbon dioxide emissions from carbon stock change only (so it does not include emissions from nitrous oxide disturbance). The reported dead organic matter losses result from the loss of dead organic matter of woody land use categories on conversion to cropland. Columns may not total due to rounding. </w:t>
      </w:r>
    </w:p>
    <w:p w14:paraId="16BCDC0A" w14:textId="77777777" w:rsidR="00053418" w:rsidRPr="009E06AA" w:rsidRDefault="00053418" w:rsidP="00053418">
      <w:pPr>
        <w:pStyle w:val="BodyText"/>
      </w:pPr>
      <w:r w:rsidRPr="009E06AA">
        <w:t xml:space="preserve">Table 6.5.3 shows land-use change by </w:t>
      </w:r>
      <w:r w:rsidRPr="009E06AA">
        <w:rPr>
          <w:i/>
        </w:rPr>
        <w:t>Cropland</w:t>
      </w:r>
      <w:r w:rsidRPr="009E06AA">
        <w:t xml:space="preserve"> land use since 1990, and the associated CO</w:t>
      </w:r>
      <w:r w:rsidRPr="009E06AA">
        <w:rPr>
          <w:vertAlign w:val="subscript"/>
        </w:rPr>
        <w:t>2</w:t>
      </w:r>
      <w:r w:rsidRPr="009E06AA">
        <w:t xml:space="preserve"> emissions from carbon stock change. The </w:t>
      </w:r>
      <w:r w:rsidRPr="009E06AA">
        <w:rPr>
          <w:i/>
        </w:rPr>
        <w:t>Cropland</w:t>
      </w:r>
      <w:r w:rsidRPr="009E06AA">
        <w:t xml:space="preserve"> category in New Zealand is separated into two land use types: annual and perennial. In 2022, annual cropland accounted for 1.4 per cent of total land area, and perennial cropland accounted for 0.4 per cent of total land area in New Zealand. </w:t>
      </w:r>
    </w:p>
    <w:p w14:paraId="665230B7" w14:textId="77777777" w:rsidR="00053418" w:rsidRPr="009E06AA" w:rsidRDefault="00053418" w:rsidP="00053418">
      <w:pPr>
        <w:pStyle w:val="BodyText"/>
      </w:pPr>
      <w:r w:rsidRPr="009E06AA">
        <w:t xml:space="preserve">Annual crops include cereals, grains, oil seeds, vegetables, root crops and forages. Perennial crops include orchards, vineyards and their associated shelterbelts except where these shelterbelts meet the criteria for the </w:t>
      </w:r>
      <w:r w:rsidRPr="009E06AA">
        <w:rPr>
          <w:i/>
        </w:rPr>
        <w:t>Forest land</w:t>
      </w:r>
      <w:r w:rsidRPr="009E06AA">
        <w:t xml:space="preserve"> category. </w:t>
      </w:r>
    </w:p>
    <w:p w14:paraId="7A23C873" w14:textId="77777777" w:rsidR="00053418" w:rsidRPr="009E06AA" w:rsidRDefault="00053418" w:rsidP="00053418">
      <w:pPr>
        <w:pStyle w:val="BodyText"/>
      </w:pPr>
      <w:r w:rsidRPr="009E06AA">
        <w:t xml:space="preserve">The amount of carbon stored in, emitted by or removed from </w:t>
      </w:r>
      <w:r w:rsidRPr="009E06AA">
        <w:rPr>
          <w:i/>
        </w:rPr>
        <w:t>Cropland</w:t>
      </w:r>
      <w:r w:rsidRPr="009E06AA">
        <w:t xml:space="preserve"> depends on crop type, management practices, soil properties and climate variables. Annual crops are harvested each year, with little long-term storage of carbon in biomass. Woody vegetation in orchards stores more carbon in biomass, with the amount largely determined by the crop species and presence of shelterbelts. </w:t>
      </w:r>
    </w:p>
    <w:p w14:paraId="49CDDA2A" w14:textId="77777777" w:rsidR="00053418" w:rsidRPr="009E06AA" w:rsidRDefault="00053418" w:rsidP="00053418">
      <w:pPr>
        <w:pStyle w:val="Table"/>
      </w:pPr>
      <w:bookmarkStart w:id="2098" w:name="_Toc310423415"/>
      <w:bookmarkStart w:id="2099" w:name="_Toc318362708"/>
      <w:bookmarkStart w:id="2100" w:name="_Toc342470770"/>
      <w:bookmarkStart w:id="2101" w:name="_Toc352505010"/>
      <w:bookmarkStart w:id="2102" w:name="_Toc378853302"/>
      <w:bookmarkStart w:id="2103" w:name="_Toc391024100"/>
      <w:bookmarkStart w:id="2104" w:name="_Toc410028843"/>
      <w:bookmarkStart w:id="2105" w:name="_Toc414531471"/>
      <w:bookmarkStart w:id="2106" w:name="_Toc443645384"/>
      <w:bookmarkStart w:id="2107" w:name="_Toc474914603"/>
      <w:bookmarkStart w:id="2108" w:name="_Toc481751567"/>
      <w:bookmarkStart w:id="2109" w:name="_Toc522010624"/>
      <w:bookmarkStart w:id="2110" w:name="_Toc5269529"/>
      <w:bookmarkStart w:id="2111" w:name="_Toc33529403"/>
      <w:bookmarkStart w:id="2112" w:name="_Toc36224609"/>
      <w:bookmarkStart w:id="2113" w:name="_Toc65243606"/>
      <w:bookmarkStart w:id="2114" w:name="_Toc131591403"/>
      <w:bookmarkStart w:id="2115" w:name="_Toc158979961"/>
      <w:bookmarkStart w:id="2116" w:name="_Toc164153894"/>
      <w:r w:rsidRPr="009E06AA">
        <w:t>Table 6.5.3</w:t>
      </w:r>
      <w:r w:rsidRPr="009E06AA">
        <w:tab/>
        <w:t xml:space="preserve">New Zealand’s land-use change by </w:t>
      </w:r>
      <w:r w:rsidRPr="009E06AA">
        <w:rPr>
          <w:i/>
        </w:rPr>
        <w:t>Cropland</w:t>
      </w:r>
      <w:r w:rsidRPr="009E06AA">
        <w:t xml:space="preserve"> land use, and associated CO</w:t>
      </w:r>
      <w:r w:rsidRPr="009E06AA">
        <w:rPr>
          <w:vertAlign w:val="subscript"/>
        </w:rPr>
        <w:t>2</w:t>
      </w:r>
      <w:r w:rsidRPr="009E06AA">
        <w:t xml:space="preserve"> emissions from carbon stock change</w:t>
      </w:r>
      <w:bookmarkEnd w:id="2098"/>
      <w:bookmarkEnd w:id="2099"/>
      <w:bookmarkEnd w:id="2100"/>
      <w:bookmarkEnd w:id="2101"/>
      <w:bookmarkEnd w:id="2102"/>
      <w:r w:rsidRPr="009E06AA">
        <w:t>, from 1990 to</w:t>
      </w:r>
      <w:bookmarkEnd w:id="2103"/>
      <w:r w:rsidRPr="009E06AA">
        <w:t> </w:t>
      </w:r>
      <w:bookmarkEnd w:id="2104"/>
      <w:bookmarkEnd w:id="2105"/>
      <w:bookmarkEnd w:id="2106"/>
      <w:bookmarkEnd w:id="2107"/>
      <w:bookmarkEnd w:id="2108"/>
      <w:bookmarkEnd w:id="2109"/>
      <w:bookmarkEnd w:id="2110"/>
      <w:bookmarkEnd w:id="2111"/>
      <w:bookmarkEnd w:id="2112"/>
      <w:bookmarkEnd w:id="2113"/>
      <w:r w:rsidRPr="009E06AA">
        <w:t>2022</w:t>
      </w:r>
      <w:bookmarkEnd w:id="2114"/>
      <w:bookmarkEnd w:id="2115"/>
      <w:bookmarkEnd w:id="2116"/>
    </w:p>
    <w:tbl>
      <w:tblPr>
        <w:tblW w:w="8505" w:type="dxa"/>
        <w:tblBorders>
          <w:top w:val="single" w:sz="4" w:space="0" w:color="1B556B" w:themeColor="text2"/>
          <w:bottom w:val="single" w:sz="4" w:space="0" w:color="1B556B" w:themeColor="text2"/>
          <w:insideH w:val="single" w:sz="4" w:space="0" w:color="1B556B" w:themeColor="text2"/>
        </w:tblBorders>
        <w:tblLayout w:type="fixed"/>
        <w:tblLook w:val="0420" w:firstRow="1" w:lastRow="0" w:firstColumn="0" w:lastColumn="0" w:noHBand="0" w:noVBand="1"/>
      </w:tblPr>
      <w:tblGrid>
        <w:gridCol w:w="1621"/>
        <w:gridCol w:w="1037"/>
        <w:gridCol w:w="980"/>
        <w:gridCol w:w="1259"/>
        <w:gridCol w:w="1119"/>
        <w:gridCol w:w="1258"/>
        <w:gridCol w:w="1231"/>
      </w:tblGrid>
      <w:tr w:rsidR="00053418" w:rsidRPr="009E06AA" w14:paraId="2A8B87EE" w14:textId="77777777" w:rsidTr="00B55F24">
        <w:trPr>
          <w:tblHeader/>
        </w:trPr>
        <w:tc>
          <w:tcPr>
            <w:tcW w:w="1644" w:type="dxa"/>
            <w:shd w:val="clear" w:color="auto" w:fill="1B556B"/>
            <w:tcMar>
              <w:top w:w="0" w:type="dxa"/>
              <w:left w:w="85" w:type="dxa"/>
              <w:bottom w:w="0" w:type="dxa"/>
              <w:right w:w="85" w:type="dxa"/>
            </w:tcMar>
            <w:vAlign w:val="bottom"/>
          </w:tcPr>
          <w:p w14:paraId="793756CB" w14:textId="77777777" w:rsidR="00053418" w:rsidRPr="009E06AA" w:rsidRDefault="00053418" w:rsidP="00B55F24">
            <w:pPr>
              <w:pStyle w:val="TableText"/>
              <w:spacing w:after="0"/>
            </w:pPr>
          </w:p>
        </w:tc>
        <w:tc>
          <w:tcPr>
            <w:tcW w:w="2042" w:type="dxa"/>
            <w:gridSpan w:val="2"/>
            <w:shd w:val="clear" w:color="auto" w:fill="1B556B"/>
            <w:tcMar>
              <w:top w:w="0" w:type="dxa"/>
              <w:left w:w="85" w:type="dxa"/>
              <w:bottom w:w="0" w:type="dxa"/>
              <w:right w:w="85" w:type="dxa"/>
            </w:tcMar>
            <w:vAlign w:val="bottom"/>
          </w:tcPr>
          <w:p w14:paraId="5B09AC45" w14:textId="77777777" w:rsidR="00053418" w:rsidRPr="009E06AA" w:rsidRDefault="00053418" w:rsidP="00B55F24">
            <w:pPr>
              <w:pStyle w:val="TableText"/>
              <w:spacing w:after="0"/>
              <w:jc w:val="center"/>
            </w:pPr>
            <w:r w:rsidRPr="009E06AA">
              <w:rPr>
                <w:rFonts w:eastAsia="Calibri" w:cs="Calibri"/>
                <w:b/>
                <w:color w:val="FFFFFF"/>
                <w:szCs w:val="16"/>
              </w:rPr>
              <w:t>Net area (ha)</w:t>
            </w:r>
          </w:p>
        </w:tc>
        <w:tc>
          <w:tcPr>
            <w:tcW w:w="1276" w:type="dxa"/>
            <w:vMerge w:val="restart"/>
            <w:shd w:val="clear" w:color="auto" w:fill="1B556B"/>
            <w:tcMar>
              <w:top w:w="0" w:type="dxa"/>
              <w:left w:w="85" w:type="dxa"/>
              <w:bottom w:w="0" w:type="dxa"/>
              <w:right w:w="85" w:type="dxa"/>
            </w:tcMar>
            <w:vAlign w:val="bottom"/>
          </w:tcPr>
          <w:p w14:paraId="1D22BD18" w14:textId="77777777" w:rsidR="00053418" w:rsidRPr="009E06AA" w:rsidRDefault="00053418" w:rsidP="00B55F24">
            <w:pPr>
              <w:pStyle w:val="TableText"/>
              <w:jc w:val="right"/>
            </w:pPr>
            <w:r w:rsidRPr="009E06AA">
              <w:rPr>
                <w:rFonts w:eastAsia="Calibri" w:cs="Calibri"/>
                <w:b/>
                <w:color w:val="FFFFFF"/>
                <w:szCs w:val="16"/>
              </w:rPr>
              <w:t>Change from 1990 (%)</w:t>
            </w:r>
          </w:p>
        </w:tc>
        <w:tc>
          <w:tcPr>
            <w:tcW w:w="2409" w:type="dxa"/>
            <w:gridSpan w:val="2"/>
            <w:shd w:val="clear" w:color="auto" w:fill="1B556B"/>
            <w:tcMar>
              <w:top w:w="0" w:type="dxa"/>
              <w:left w:w="85" w:type="dxa"/>
              <w:bottom w:w="0" w:type="dxa"/>
              <w:right w:w="85" w:type="dxa"/>
            </w:tcMar>
            <w:vAlign w:val="bottom"/>
          </w:tcPr>
          <w:p w14:paraId="58BCF604" w14:textId="77777777" w:rsidR="00053418" w:rsidRPr="009E06AA" w:rsidRDefault="00053418" w:rsidP="00B55F24">
            <w:pPr>
              <w:pStyle w:val="TableText"/>
              <w:spacing w:after="0"/>
              <w:jc w:val="center"/>
            </w:pPr>
            <w:r w:rsidRPr="009E06AA">
              <w:rPr>
                <w:rFonts w:eastAsia="Calibri" w:cs="Calibri"/>
                <w:b/>
                <w:color w:val="FFFFFF"/>
                <w:szCs w:val="16"/>
              </w:rPr>
              <w:t>Net emissions (kt CO₂ only)</w:t>
            </w:r>
          </w:p>
        </w:tc>
        <w:tc>
          <w:tcPr>
            <w:tcW w:w="1247" w:type="dxa"/>
            <w:vMerge w:val="restart"/>
            <w:shd w:val="clear" w:color="auto" w:fill="1B556B"/>
            <w:tcMar>
              <w:top w:w="0" w:type="dxa"/>
              <w:left w:w="85" w:type="dxa"/>
              <w:bottom w:w="0" w:type="dxa"/>
              <w:right w:w="85" w:type="dxa"/>
            </w:tcMar>
            <w:vAlign w:val="bottom"/>
          </w:tcPr>
          <w:p w14:paraId="6436EF69" w14:textId="77777777" w:rsidR="00053418" w:rsidRPr="009E06AA" w:rsidRDefault="00053418" w:rsidP="00002ACF">
            <w:pPr>
              <w:pStyle w:val="TableText"/>
              <w:spacing w:after="0"/>
              <w:jc w:val="right"/>
            </w:pPr>
            <w:r w:rsidRPr="009E06AA">
              <w:rPr>
                <w:rFonts w:eastAsia="Calibri" w:cs="Calibri"/>
                <w:b/>
                <w:color w:val="FFFFFF"/>
                <w:szCs w:val="16"/>
              </w:rPr>
              <w:t>Change from 1990 (%)</w:t>
            </w:r>
          </w:p>
        </w:tc>
      </w:tr>
      <w:tr w:rsidR="00053418" w:rsidRPr="009E06AA" w14:paraId="21C7256A" w14:textId="77777777" w:rsidTr="00B55F24">
        <w:trPr>
          <w:tblHeader/>
        </w:trPr>
        <w:tc>
          <w:tcPr>
            <w:tcW w:w="1644" w:type="dxa"/>
            <w:shd w:val="clear" w:color="auto" w:fill="1B556B"/>
            <w:tcMar>
              <w:top w:w="0" w:type="dxa"/>
              <w:left w:w="85" w:type="dxa"/>
              <w:bottom w:w="0" w:type="dxa"/>
              <w:right w:w="85" w:type="dxa"/>
            </w:tcMar>
            <w:vAlign w:val="bottom"/>
          </w:tcPr>
          <w:p w14:paraId="45EA87CF" w14:textId="77777777" w:rsidR="00053418" w:rsidRPr="009E06AA" w:rsidRDefault="00053418" w:rsidP="00B55F24">
            <w:pPr>
              <w:pStyle w:val="TableText"/>
            </w:pPr>
            <w:r w:rsidRPr="009E06AA">
              <w:rPr>
                <w:rFonts w:eastAsia="Calibri" w:cs="Calibri"/>
                <w:b/>
                <w:color w:val="FFFFFF"/>
                <w:szCs w:val="16"/>
              </w:rPr>
              <w:t>Land use</w:t>
            </w:r>
          </w:p>
        </w:tc>
        <w:tc>
          <w:tcPr>
            <w:tcW w:w="1050" w:type="dxa"/>
            <w:shd w:val="clear" w:color="auto" w:fill="1B556B"/>
            <w:tcMar>
              <w:top w:w="0" w:type="dxa"/>
              <w:left w:w="85" w:type="dxa"/>
              <w:bottom w:w="0" w:type="dxa"/>
              <w:right w:w="85" w:type="dxa"/>
            </w:tcMar>
            <w:vAlign w:val="bottom"/>
          </w:tcPr>
          <w:p w14:paraId="5168DB94" w14:textId="77777777" w:rsidR="00053418" w:rsidRPr="009E06AA" w:rsidRDefault="00053418" w:rsidP="00002ACF">
            <w:pPr>
              <w:pStyle w:val="TableText"/>
              <w:jc w:val="right"/>
            </w:pPr>
            <w:r w:rsidRPr="009E06AA">
              <w:rPr>
                <w:rFonts w:eastAsia="Calibri" w:cs="Calibri"/>
                <w:b/>
                <w:color w:val="FFFFFF"/>
                <w:szCs w:val="16"/>
              </w:rPr>
              <w:t>1990</w:t>
            </w:r>
          </w:p>
        </w:tc>
        <w:tc>
          <w:tcPr>
            <w:tcW w:w="992" w:type="dxa"/>
            <w:shd w:val="clear" w:color="auto" w:fill="1B556B"/>
            <w:tcMar>
              <w:top w:w="0" w:type="dxa"/>
              <w:left w:w="85" w:type="dxa"/>
              <w:bottom w:w="0" w:type="dxa"/>
              <w:right w:w="85" w:type="dxa"/>
            </w:tcMar>
            <w:vAlign w:val="bottom"/>
          </w:tcPr>
          <w:p w14:paraId="3EBC8C44" w14:textId="77777777" w:rsidR="00053418" w:rsidRPr="009E06AA" w:rsidRDefault="00053418" w:rsidP="00002ACF">
            <w:pPr>
              <w:pStyle w:val="TableText"/>
              <w:jc w:val="right"/>
            </w:pPr>
            <w:r w:rsidRPr="009E06AA">
              <w:rPr>
                <w:rFonts w:eastAsia="Calibri" w:cs="Calibri"/>
                <w:b/>
                <w:color w:val="FFFFFF"/>
                <w:szCs w:val="16"/>
              </w:rPr>
              <w:t>2022</w:t>
            </w:r>
          </w:p>
        </w:tc>
        <w:tc>
          <w:tcPr>
            <w:tcW w:w="1276" w:type="dxa"/>
            <w:vMerge/>
            <w:shd w:val="clear" w:color="auto" w:fill="1B556B"/>
            <w:tcMar>
              <w:top w:w="0" w:type="dxa"/>
              <w:left w:w="85" w:type="dxa"/>
              <w:bottom w:w="0" w:type="dxa"/>
              <w:right w:w="85" w:type="dxa"/>
            </w:tcMar>
            <w:vAlign w:val="bottom"/>
          </w:tcPr>
          <w:p w14:paraId="625DDBD3" w14:textId="77777777" w:rsidR="00053418" w:rsidRPr="009E06AA" w:rsidRDefault="00053418" w:rsidP="00002ACF">
            <w:pPr>
              <w:pStyle w:val="TableText"/>
              <w:jc w:val="right"/>
            </w:pPr>
          </w:p>
        </w:tc>
        <w:tc>
          <w:tcPr>
            <w:tcW w:w="1134" w:type="dxa"/>
            <w:shd w:val="clear" w:color="auto" w:fill="1B556B"/>
            <w:tcMar>
              <w:top w:w="0" w:type="dxa"/>
              <w:left w:w="85" w:type="dxa"/>
              <w:bottom w:w="0" w:type="dxa"/>
              <w:right w:w="85" w:type="dxa"/>
            </w:tcMar>
            <w:vAlign w:val="bottom"/>
          </w:tcPr>
          <w:p w14:paraId="45C726A9" w14:textId="77777777" w:rsidR="00053418" w:rsidRPr="009E06AA" w:rsidRDefault="00053418" w:rsidP="00002ACF">
            <w:pPr>
              <w:pStyle w:val="TableText"/>
              <w:jc w:val="right"/>
            </w:pPr>
            <w:r w:rsidRPr="009E06AA">
              <w:rPr>
                <w:rFonts w:eastAsia="Calibri" w:cs="Calibri"/>
                <w:b/>
                <w:color w:val="FFFFFF"/>
                <w:szCs w:val="16"/>
              </w:rPr>
              <w:t>1990</w:t>
            </w:r>
          </w:p>
        </w:tc>
        <w:tc>
          <w:tcPr>
            <w:tcW w:w="1275" w:type="dxa"/>
            <w:shd w:val="clear" w:color="auto" w:fill="1B556B"/>
            <w:tcMar>
              <w:top w:w="0" w:type="dxa"/>
              <w:left w:w="85" w:type="dxa"/>
              <w:bottom w:w="0" w:type="dxa"/>
              <w:right w:w="85" w:type="dxa"/>
            </w:tcMar>
            <w:vAlign w:val="bottom"/>
          </w:tcPr>
          <w:p w14:paraId="042308A6" w14:textId="77777777" w:rsidR="00053418" w:rsidRPr="009E06AA" w:rsidRDefault="00053418" w:rsidP="00002ACF">
            <w:pPr>
              <w:pStyle w:val="TableText"/>
              <w:jc w:val="right"/>
            </w:pPr>
            <w:r w:rsidRPr="009E06AA">
              <w:rPr>
                <w:rFonts w:eastAsia="Calibri" w:cs="Calibri"/>
                <w:b/>
                <w:color w:val="FFFFFF"/>
                <w:szCs w:val="16"/>
              </w:rPr>
              <w:t>2022</w:t>
            </w:r>
          </w:p>
        </w:tc>
        <w:tc>
          <w:tcPr>
            <w:tcW w:w="1247" w:type="dxa"/>
            <w:vMerge/>
            <w:shd w:val="clear" w:color="auto" w:fill="1B556B"/>
            <w:tcMar>
              <w:top w:w="0" w:type="dxa"/>
              <w:left w:w="85" w:type="dxa"/>
              <w:bottom w:w="0" w:type="dxa"/>
              <w:right w:w="85" w:type="dxa"/>
            </w:tcMar>
            <w:vAlign w:val="bottom"/>
          </w:tcPr>
          <w:p w14:paraId="4F0F8752" w14:textId="77777777" w:rsidR="00053418" w:rsidRPr="009E06AA" w:rsidRDefault="00053418" w:rsidP="00002ACF">
            <w:pPr>
              <w:pStyle w:val="TableText"/>
              <w:jc w:val="right"/>
            </w:pPr>
          </w:p>
        </w:tc>
      </w:tr>
      <w:tr w:rsidR="00053418" w:rsidRPr="009E06AA" w14:paraId="34DF55A1" w14:textId="77777777" w:rsidTr="00B55F24">
        <w:tc>
          <w:tcPr>
            <w:tcW w:w="1644" w:type="dxa"/>
            <w:shd w:val="clear" w:color="auto" w:fill="FFFFFF"/>
            <w:tcMar>
              <w:top w:w="0" w:type="dxa"/>
              <w:left w:w="85" w:type="dxa"/>
              <w:bottom w:w="0" w:type="dxa"/>
              <w:right w:w="85" w:type="dxa"/>
            </w:tcMar>
            <w:vAlign w:val="center"/>
          </w:tcPr>
          <w:p w14:paraId="6FF31811" w14:textId="77777777" w:rsidR="00053418" w:rsidRPr="009E06AA" w:rsidRDefault="00053418" w:rsidP="00B55F24">
            <w:pPr>
              <w:pStyle w:val="TableText"/>
            </w:pPr>
            <w:r w:rsidRPr="009E06AA">
              <w:rPr>
                <w:rFonts w:eastAsia="Calibri" w:cs="Calibri"/>
                <w:color w:val="000000"/>
                <w:szCs w:val="16"/>
              </w:rPr>
              <w:t>Annual cropland</w:t>
            </w:r>
          </w:p>
        </w:tc>
        <w:tc>
          <w:tcPr>
            <w:tcW w:w="1050" w:type="dxa"/>
            <w:shd w:val="clear" w:color="auto" w:fill="FFFFFF"/>
            <w:tcMar>
              <w:top w:w="0" w:type="dxa"/>
              <w:left w:w="85" w:type="dxa"/>
              <w:bottom w:w="0" w:type="dxa"/>
              <w:right w:w="85" w:type="dxa"/>
            </w:tcMar>
            <w:vAlign w:val="center"/>
          </w:tcPr>
          <w:p w14:paraId="5BEF25BB" w14:textId="77777777" w:rsidR="00053418" w:rsidRPr="009E06AA" w:rsidRDefault="00053418" w:rsidP="00002ACF">
            <w:pPr>
              <w:pStyle w:val="TableText"/>
              <w:jc w:val="right"/>
            </w:pPr>
            <w:r w:rsidRPr="009E06AA">
              <w:rPr>
                <w:rFonts w:eastAsia="Calibri" w:cs="Calibri"/>
                <w:color w:val="000000"/>
                <w:szCs w:val="16"/>
              </w:rPr>
              <w:t>354,852</w:t>
            </w:r>
          </w:p>
        </w:tc>
        <w:tc>
          <w:tcPr>
            <w:tcW w:w="992" w:type="dxa"/>
            <w:shd w:val="clear" w:color="auto" w:fill="FFFFFF"/>
            <w:tcMar>
              <w:top w:w="0" w:type="dxa"/>
              <w:left w:w="85" w:type="dxa"/>
              <w:bottom w:w="0" w:type="dxa"/>
              <w:right w:w="85" w:type="dxa"/>
            </w:tcMar>
            <w:vAlign w:val="center"/>
          </w:tcPr>
          <w:p w14:paraId="008763F5" w14:textId="77777777" w:rsidR="00053418" w:rsidRPr="009E06AA" w:rsidRDefault="00053418" w:rsidP="00002ACF">
            <w:pPr>
              <w:pStyle w:val="TableText"/>
              <w:jc w:val="right"/>
            </w:pPr>
            <w:r w:rsidRPr="009E06AA">
              <w:rPr>
                <w:rFonts w:eastAsia="Calibri" w:cs="Calibri"/>
                <w:color w:val="000000"/>
                <w:szCs w:val="16"/>
              </w:rPr>
              <w:t>383,459</w:t>
            </w:r>
          </w:p>
        </w:tc>
        <w:tc>
          <w:tcPr>
            <w:tcW w:w="1276" w:type="dxa"/>
            <w:shd w:val="clear" w:color="auto" w:fill="FFFFFF"/>
            <w:tcMar>
              <w:top w:w="0" w:type="dxa"/>
              <w:left w:w="85" w:type="dxa"/>
              <w:bottom w:w="0" w:type="dxa"/>
              <w:right w:w="85" w:type="dxa"/>
            </w:tcMar>
            <w:vAlign w:val="center"/>
          </w:tcPr>
          <w:p w14:paraId="65126C7E" w14:textId="77777777" w:rsidR="00053418" w:rsidRPr="009E06AA" w:rsidRDefault="00053418" w:rsidP="00002ACF">
            <w:pPr>
              <w:pStyle w:val="TableText"/>
              <w:jc w:val="right"/>
            </w:pPr>
            <w:r w:rsidRPr="009E06AA">
              <w:rPr>
                <w:rFonts w:eastAsia="Calibri" w:cs="Calibri"/>
                <w:color w:val="000000"/>
                <w:szCs w:val="16"/>
              </w:rPr>
              <w:t>8.1</w:t>
            </w:r>
          </w:p>
        </w:tc>
        <w:tc>
          <w:tcPr>
            <w:tcW w:w="1134" w:type="dxa"/>
            <w:shd w:val="clear" w:color="auto" w:fill="FFFFFF"/>
            <w:tcMar>
              <w:top w:w="0" w:type="dxa"/>
              <w:left w:w="85" w:type="dxa"/>
              <w:bottom w:w="0" w:type="dxa"/>
              <w:right w:w="85" w:type="dxa"/>
            </w:tcMar>
            <w:vAlign w:val="center"/>
          </w:tcPr>
          <w:p w14:paraId="0ED90A59" w14:textId="77777777" w:rsidR="00053418" w:rsidRPr="009E06AA" w:rsidRDefault="00053418" w:rsidP="00002ACF">
            <w:pPr>
              <w:pStyle w:val="TableText"/>
              <w:jc w:val="right"/>
            </w:pPr>
            <w:r w:rsidRPr="009E06AA">
              <w:rPr>
                <w:rFonts w:eastAsia="Calibri" w:cs="Calibri"/>
                <w:color w:val="000000"/>
                <w:szCs w:val="16"/>
              </w:rPr>
              <w:t>343.5</w:t>
            </w:r>
          </w:p>
        </w:tc>
        <w:tc>
          <w:tcPr>
            <w:tcW w:w="1275" w:type="dxa"/>
            <w:shd w:val="clear" w:color="auto" w:fill="FFFFFF"/>
            <w:tcMar>
              <w:top w:w="0" w:type="dxa"/>
              <w:left w:w="85" w:type="dxa"/>
              <w:bottom w:w="0" w:type="dxa"/>
              <w:right w:w="85" w:type="dxa"/>
            </w:tcMar>
            <w:vAlign w:val="center"/>
          </w:tcPr>
          <w:p w14:paraId="376EBED7" w14:textId="77777777" w:rsidR="00053418" w:rsidRPr="009E06AA" w:rsidRDefault="00053418" w:rsidP="00002ACF">
            <w:pPr>
              <w:pStyle w:val="TableText"/>
              <w:jc w:val="right"/>
            </w:pPr>
            <w:r w:rsidRPr="009E06AA">
              <w:rPr>
                <w:rFonts w:eastAsia="Calibri" w:cs="Calibri"/>
                <w:color w:val="000000"/>
                <w:szCs w:val="16"/>
              </w:rPr>
              <w:t>625.1</w:t>
            </w:r>
          </w:p>
        </w:tc>
        <w:tc>
          <w:tcPr>
            <w:tcW w:w="1247" w:type="dxa"/>
            <w:shd w:val="clear" w:color="auto" w:fill="FFFFFF"/>
            <w:tcMar>
              <w:top w:w="0" w:type="dxa"/>
              <w:left w:w="85" w:type="dxa"/>
              <w:bottom w:w="0" w:type="dxa"/>
              <w:right w:w="85" w:type="dxa"/>
            </w:tcMar>
            <w:vAlign w:val="center"/>
          </w:tcPr>
          <w:p w14:paraId="2E9C1506" w14:textId="77777777" w:rsidR="00053418" w:rsidRPr="009E06AA" w:rsidRDefault="00053418" w:rsidP="00002ACF">
            <w:pPr>
              <w:pStyle w:val="TableText"/>
              <w:jc w:val="right"/>
            </w:pPr>
            <w:r w:rsidRPr="009E06AA">
              <w:rPr>
                <w:rFonts w:eastAsia="Calibri" w:cs="Calibri"/>
                <w:color w:val="000000"/>
                <w:szCs w:val="16"/>
              </w:rPr>
              <w:t>82.0</w:t>
            </w:r>
          </w:p>
        </w:tc>
      </w:tr>
      <w:tr w:rsidR="00053418" w:rsidRPr="009E06AA" w14:paraId="4F5DD234" w14:textId="77777777" w:rsidTr="00B55F24">
        <w:tc>
          <w:tcPr>
            <w:tcW w:w="1644" w:type="dxa"/>
            <w:shd w:val="clear" w:color="auto" w:fill="FFFFFF"/>
            <w:tcMar>
              <w:top w:w="0" w:type="dxa"/>
              <w:left w:w="85" w:type="dxa"/>
              <w:bottom w:w="0" w:type="dxa"/>
              <w:right w:w="85" w:type="dxa"/>
            </w:tcMar>
            <w:vAlign w:val="center"/>
          </w:tcPr>
          <w:p w14:paraId="76E4E225" w14:textId="77777777" w:rsidR="00053418" w:rsidRPr="009E06AA" w:rsidRDefault="00053418" w:rsidP="00B55F24">
            <w:pPr>
              <w:pStyle w:val="TableText"/>
            </w:pPr>
            <w:r w:rsidRPr="009E06AA">
              <w:rPr>
                <w:rFonts w:eastAsia="Calibri" w:cs="Calibri"/>
                <w:color w:val="000000"/>
                <w:szCs w:val="16"/>
              </w:rPr>
              <w:t>Perennial cropland</w:t>
            </w:r>
          </w:p>
        </w:tc>
        <w:tc>
          <w:tcPr>
            <w:tcW w:w="1050" w:type="dxa"/>
            <w:shd w:val="clear" w:color="auto" w:fill="FFFFFF"/>
            <w:tcMar>
              <w:top w:w="0" w:type="dxa"/>
              <w:left w:w="85" w:type="dxa"/>
              <w:bottom w:w="0" w:type="dxa"/>
              <w:right w:w="85" w:type="dxa"/>
            </w:tcMar>
            <w:vAlign w:val="center"/>
          </w:tcPr>
          <w:p w14:paraId="45C48B6B" w14:textId="77777777" w:rsidR="00053418" w:rsidRPr="009E06AA" w:rsidRDefault="00053418" w:rsidP="00002ACF">
            <w:pPr>
              <w:pStyle w:val="TableText"/>
              <w:jc w:val="right"/>
            </w:pPr>
            <w:r w:rsidRPr="009E06AA">
              <w:rPr>
                <w:rFonts w:eastAsia="Calibri" w:cs="Calibri"/>
                <w:color w:val="000000"/>
                <w:szCs w:val="16"/>
              </w:rPr>
              <w:t>69,001</w:t>
            </w:r>
          </w:p>
        </w:tc>
        <w:tc>
          <w:tcPr>
            <w:tcW w:w="992" w:type="dxa"/>
            <w:shd w:val="clear" w:color="auto" w:fill="FFFFFF"/>
            <w:tcMar>
              <w:top w:w="0" w:type="dxa"/>
              <w:left w:w="85" w:type="dxa"/>
              <w:bottom w:w="0" w:type="dxa"/>
              <w:right w:w="85" w:type="dxa"/>
            </w:tcMar>
            <w:vAlign w:val="center"/>
          </w:tcPr>
          <w:p w14:paraId="202569F4" w14:textId="77777777" w:rsidR="00053418" w:rsidRPr="009E06AA" w:rsidRDefault="00053418" w:rsidP="00002ACF">
            <w:pPr>
              <w:pStyle w:val="TableText"/>
              <w:jc w:val="right"/>
            </w:pPr>
            <w:r w:rsidRPr="009E06AA">
              <w:rPr>
                <w:rFonts w:eastAsia="Calibri" w:cs="Calibri"/>
                <w:color w:val="000000"/>
                <w:szCs w:val="16"/>
              </w:rPr>
              <w:t>106,689</w:t>
            </w:r>
          </w:p>
        </w:tc>
        <w:tc>
          <w:tcPr>
            <w:tcW w:w="1276" w:type="dxa"/>
            <w:shd w:val="clear" w:color="auto" w:fill="FFFFFF"/>
            <w:tcMar>
              <w:top w:w="0" w:type="dxa"/>
              <w:left w:w="85" w:type="dxa"/>
              <w:bottom w:w="0" w:type="dxa"/>
              <w:right w:w="85" w:type="dxa"/>
            </w:tcMar>
            <w:vAlign w:val="center"/>
          </w:tcPr>
          <w:p w14:paraId="565E8690" w14:textId="77777777" w:rsidR="00053418" w:rsidRPr="009E06AA" w:rsidRDefault="00053418" w:rsidP="00002ACF">
            <w:pPr>
              <w:pStyle w:val="TableText"/>
              <w:jc w:val="right"/>
            </w:pPr>
            <w:r w:rsidRPr="009E06AA">
              <w:rPr>
                <w:rFonts w:eastAsia="Calibri" w:cs="Calibri"/>
                <w:color w:val="000000"/>
                <w:szCs w:val="16"/>
              </w:rPr>
              <w:t>54.6</w:t>
            </w:r>
          </w:p>
        </w:tc>
        <w:tc>
          <w:tcPr>
            <w:tcW w:w="1134" w:type="dxa"/>
            <w:shd w:val="clear" w:color="auto" w:fill="FFFFFF"/>
            <w:tcMar>
              <w:top w:w="0" w:type="dxa"/>
              <w:left w:w="85" w:type="dxa"/>
              <w:bottom w:w="0" w:type="dxa"/>
              <w:right w:w="85" w:type="dxa"/>
            </w:tcMar>
            <w:vAlign w:val="center"/>
          </w:tcPr>
          <w:p w14:paraId="035D22C0" w14:textId="77777777" w:rsidR="00053418" w:rsidRPr="009E06AA" w:rsidRDefault="00053418" w:rsidP="00002ACF">
            <w:pPr>
              <w:pStyle w:val="TableText"/>
              <w:jc w:val="right"/>
            </w:pPr>
            <w:r w:rsidRPr="009E06AA">
              <w:rPr>
                <w:rFonts w:eastAsia="Calibri" w:cs="Calibri"/>
                <w:color w:val="000000"/>
                <w:szCs w:val="16"/>
              </w:rPr>
              <w:t>126.1</w:t>
            </w:r>
          </w:p>
        </w:tc>
        <w:tc>
          <w:tcPr>
            <w:tcW w:w="1275" w:type="dxa"/>
            <w:shd w:val="clear" w:color="auto" w:fill="FFFFFF"/>
            <w:tcMar>
              <w:top w:w="0" w:type="dxa"/>
              <w:left w:w="85" w:type="dxa"/>
              <w:bottom w:w="0" w:type="dxa"/>
              <w:right w:w="85" w:type="dxa"/>
            </w:tcMar>
            <w:vAlign w:val="center"/>
          </w:tcPr>
          <w:p w14:paraId="270ACA76" w14:textId="77777777" w:rsidR="00053418" w:rsidRPr="009E06AA" w:rsidRDefault="00053418" w:rsidP="00002ACF">
            <w:pPr>
              <w:pStyle w:val="TableText"/>
              <w:jc w:val="right"/>
            </w:pPr>
            <w:r w:rsidRPr="009E06AA">
              <w:rPr>
                <w:rFonts w:eastAsia="Calibri" w:cs="Calibri"/>
                <w:color w:val="000000"/>
                <w:szCs w:val="16"/>
              </w:rPr>
              <w:t>62.2</w:t>
            </w:r>
          </w:p>
        </w:tc>
        <w:tc>
          <w:tcPr>
            <w:tcW w:w="1247" w:type="dxa"/>
            <w:shd w:val="clear" w:color="auto" w:fill="FFFFFF"/>
            <w:tcMar>
              <w:top w:w="0" w:type="dxa"/>
              <w:left w:w="85" w:type="dxa"/>
              <w:bottom w:w="0" w:type="dxa"/>
              <w:right w:w="85" w:type="dxa"/>
            </w:tcMar>
            <w:vAlign w:val="center"/>
          </w:tcPr>
          <w:p w14:paraId="6405D8DF" w14:textId="77777777" w:rsidR="00053418" w:rsidRPr="009E06AA" w:rsidRDefault="00053418" w:rsidP="00002ACF">
            <w:pPr>
              <w:pStyle w:val="TableText"/>
              <w:jc w:val="right"/>
            </w:pPr>
            <w:r w:rsidRPr="009E06AA">
              <w:rPr>
                <w:rFonts w:eastAsia="Calibri" w:cs="Calibri"/>
                <w:color w:val="000000"/>
                <w:szCs w:val="16"/>
              </w:rPr>
              <w:t>-50.7</w:t>
            </w:r>
          </w:p>
        </w:tc>
      </w:tr>
      <w:tr w:rsidR="00053418" w:rsidRPr="009E06AA" w14:paraId="0AD597BF" w14:textId="77777777" w:rsidTr="00B55F24">
        <w:tc>
          <w:tcPr>
            <w:tcW w:w="1644" w:type="dxa"/>
            <w:shd w:val="clear" w:color="auto" w:fill="FFFFFF"/>
            <w:tcMar>
              <w:top w:w="0" w:type="dxa"/>
              <w:left w:w="85" w:type="dxa"/>
              <w:bottom w:w="0" w:type="dxa"/>
              <w:right w:w="85" w:type="dxa"/>
            </w:tcMar>
            <w:vAlign w:val="center"/>
          </w:tcPr>
          <w:p w14:paraId="5D560402" w14:textId="77777777" w:rsidR="00053418" w:rsidRPr="009E06AA" w:rsidRDefault="00053418" w:rsidP="00B55F24">
            <w:pPr>
              <w:pStyle w:val="TableText"/>
            </w:pPr>
            <w:r w:rsidRPr="009E06AA">
              <w:rPr>
                <w:rFonts w:eastAsia="Calibri" w:cs="Calibri"/>
                <w:b/>
                <w:color w:val="1B556B"/>
                <w:szCs w:val="16"/>
              </w:rPr>
              <w:t>Total</w:t>
            </w:r>
          </w:p>
        </w:tc>
        <w:tc>
          <w:tcPr>
            <w:tcW w:w="1050" w:type="dxa"/>
            <w:shd w:val="clear" w:color="auto" w:fill="FFFFFF"/>
            <w:tcMar>
              <w:top w:w="0" w:type="dxa"/>
              <w:left w:w="85" w:type="dxa"/>
              <w:bottom w:w="0" w:type="dxa"/>
              <w:right w:w="85" w:type="dxa"/>
            </w:tcMar>
            <w:vAlign w:val="center"/>
          </w:tcPr>
          <w:p w14:paraId="47E4A8E0" w14:textId="77777777" w:rsidR="00053418" w:rsidRPr="009E06AA" w:rsidRDefault="00053418" w:rsidP="00002ACF">
            <w:pPr>
              <w:pStyle w:val="TableText"/>
              <w:jc w:val="right"/>
            </w:pPr>
            <w:r w:rsidRPr="009E06AA">
              <w:rPr>
                <w:rFonts w:eastAsia="Calibri" w:cs="Calibri"/>
                <w:b/>
                <w:color w:val="1B556B"/>
                <w:szCs w:val="16"/>
              </w:rPr>
              <w:t>423,853</w:t>
            </w:r>
          </w:p>
        </w:tc>
        <w:tc>
          <w:tcPr>
            <w:tcW w:w="992" w:type="dxa"/>
            <w:shd w:val="clear" w:color="auto" w:fill="FFFFFF"/>
            <w:tcMar>
              <w:top w:w="0" w:type="dxa"/>
              <w:left w:w="85" w:type="dxa"/>
              <w:bottom w:w="0" w:type="dxa"/>
              <w:right w:w="85" w:type="dxa"/>
            </w:tcMar>
            <w:vAlign w:val="center"/>
          </w:tcPr>
          <w:p w14:paraId="2A2F85A6" w14:textId="77777777" w:rsidR="00053418" w:rsidRPr="009E06AA" w:rsidRDefault="00053418" w:rsidP="00002ACF">
            <w:pPr>
              <w:pStyle w:val="TableText"/>
              <w:jc w:val="right"/>
            </w:pPr>
            <w:r w:rsidRPr="009E06AA">
              <w:rPr>
                <w:rFonts w:eastAsia="Calibri" w:cs="Calibri"/>
                <w:b/>
                <w:color w:val="1B556B"/>
                <w:szCs w:val="16"/>
              </w:rPr>
              <w:t>490,148</w:t>
            </w:r>
          </w:p>
        </w:tc>
        <w:tc>
          <w:tcPr>
            <w:tcW w:w="1276" w:type="dxa"/>
            <w:shd w:val="clear" w:color="auto" w:fill="FFFFFF"/>
            <w:tcMar>
              <w:top w:w="0" w:type="dxa"/>
              <w:left w:w="85" w:type="dxa"/>
              <w:bottom w:w="0" w:type="dxa"/>
              <w:right w:w="85" w:type="dxa"/>
            </w:tcMar>
            <w:vAlign w:val="center"/>
          </w:tcPr>
          <w:p w14:paraId="7C26F6D6" w14:textId="77777777" w:rsidR="00053418" w:rsidRPr="009E06AA" w:rsidRDefault="00053418" w:rsidP="00002ACF">
            <w:pPr>
              <w:pStyle w:val="TableText"/>
              <w:jc w:val="right"/>
            </w:pPr>
            <w:r w:rsidRPr="009E06AA">
              <w:rPr>
                <w:rFonts w:eastAsia="Calibri" w:cs="Calibri"/>
                <w:b/>
                <w:color w:val="1B556B"/>
                <w:szCs w:val="16"/>
              </w:rPr>
              <w:t>15.6</w:t>
            </w:r>
          </w:p>
        </w:tc>
        <w:tc>
          <w:tcPr>
            <w:tcW w:w="1134" w:type="dxa"/>
            <w:shd w:val="clear" w:color="auto" w:fill="FFFFFF"/>
            <w:tcMar>
              <w:top w:w="0" w:type="dxa"/>
              <w:left w:w="85" w:type="dxa"/>
              <w:bottom w:w="0" w:type="dxa"/>
              <w:right w:w="85" w:type="dxa"/>
            </w:tcMar>
            <w:vAlign w:val="center"/>
          </w:tcPr>
          <w:p w14:paraId="7DD85F28" w14:textId="77777777" w:rsidR="00053418" w:rsidRPr="009E06AA" w:rsidRDefault="00053418" w:rsidP="00002ACF">
            <w:pPr>
              <w:pStyle w:val="TableText"/>
              <w:jc w:val="right"/>
            </w:pPr>
            <w:r w:rsidRPr="009E06AA">
              <w:rPr>
                <w:rFonts w:eastAsia="Calibri" w:cs="Calibri"/>
                <w:b/>
                <w:color w:val="1B556B"/>
                <w:szCs w:val="16"/>
              </w:rPr>
              <w:t>469.5</w:t>
            </w:r>
          </w:p>
        </w:tc>
        <w:tc>
          <w:tcPr>
            <w:tcW w:w="1275" w:type="dxa"/>
            <w:shd w:val="clear" w:color="auto" w:fill="FFFFFF"/>
            <w:tcMar>
              <w:top w:w="0" w:type="dxa"/>
              <w:left w:w="85" w:type="dxa"/>
              <w:bottom w:w="0" w:type="dxa"/>
              <w:right w:w="85" w:type="dxa"/>
            </w:tcMar>
            <w:vAlign w:val="center"/>
          </w:tcPr>
          <w:p w14:paraId="70C785A1" w14:textId="77777777" w:rsidR="00053418" w:rsidRPr="009E06AA" w:rsidRDefault="00053418" w:rsidP="00002ACF">
            <w:pPr>
              <w:pStyle w:val="TableText"/>
              <w:jc w:val="right"/>
            </w:pPr>
            <w:r w:rsidRPr="009E06AA">
              <w:rPr>
                <w:rFonts w:eastAsia="Calibri" w:cs="Calibri"/>
                <w:b/>
                <w:color w:val="1B556B"/>
                <w:szCs w:val="16"/>
              </w:rPr>
              <w:t>687.3</w:t>
            </w:r>
          </w:p>
        </w:tc>
        <w:tc>
          <w:tcPr>
            <w:tcW w:w="1247" w:type="dxa"/>
            <w:shd w:val="clear" w:color="auto" w:fill="FFFFFF"/>
            <w:tcMar>
              <w:top w:w="0" w:type="dxa"/>
              <w:left w:w="85" w:type="dxa"/>
              <w:bottom w:w="0" w:type="dxa"/>
              <w:right w:w="85" w:type="dxa"/>
            </w:tcMar>
            <w:vAlign w:val="center"/>
          </w:tcPr>
          <w:p w14:paraId="315E5452" w14:textId="77777777" w:rsidR="00053418" w:rsidRPr="009E06AA" w:rsidRDefault="00053418" w:rsidP="00002ACF">
            <w:pPr>
              <w:pStyle w:val="TableText"/>
              <w:jc w:val="right"/>
            </w:pPr>
            <w:r w:rsidRPr="009E06AA">
              <w:rPr>
                <w:rFonts w:eastAsia="Calibri" w:cs="Calibri"/>
                <w:b/>
                <w:color w:val="1B556B"/>
                <w:szCs w:val="16"/>
              </w:rPr>
              <w:t>46.4</w:t>
            </w:r>
          </w:p>
        </w:tc>
      </w:tr>
    </w:tbl>
    <w:p w14:paraId="3F2B3894" w14:textId="77777777" w:rsidR="00053418" w:rsidRPr="009E06AA" w:rsidRDefault="00053418" w:rsidP="00053418">
      <w:pPr>
        <w:pStyle w:val="Noteundertable"/>
      </w:pPr>
      <w:r w:rsidRPr="009E06AA">
        <w:rPr>
          <w:b/>
        </w:rPr>
        <w:t>Note:</w:t>
      </w:r>
      <w:r w:rsidRPr="009E06AA">
        <w:rPr>
          <w:b/>
        </w:rPr>
        <w:tab/>
      </w:r>
      <w:r w:rsidRPr="009E06AA">
        <w:t>Net area in 1990 is as at 1 January 1990; net area in 2022 is as at 31 December 2022. This table includes carbon dioxide emissions from carbon stock change only. Columns may not total due to rounding.</w:t>
      </w:r>
    </w:p>
    <w:p w14:paraId="78265676" w14:textId="77777777" w:rsidR="00053418" w:rsidRPr="009E06AA" w:rsidRDefault="00053418" w:rsidP="00053418">
      <w:pPr>
        <w:pStyle w:val="BodyText"/>
      </w:pPr>
      <w:r w:rsidRPr="009E06AA">
        <w:t xml:space="preserve">A summary of land-use change within the </w:t>
      </w:r>
      <w:r w:rsidRPr="009E06AA">
        <w:rPr>
          <w:i/>
        </w:rPr>
        <w:t>Cropland</w:t>
      </w:r>
      <w:r w:rsidRPr="009E06AA">
        <w:t xml:space="preserve"> category, by land use type and land conversion status, is provided in table 6.5.4. This shows that land-use change within the </w:t>
      </w:r>
      <w:r w:rsidRPr="009E06AA">
        <w:rPr>
          <w:i/>
        </w:rPr>
        <w:t>Cropland</w:t>
      </w:r>
      <w:r w:rsidRPr="009E06AA">
        <w:t xml:space="preserve"> category has been dominated by conversions to annual cropland.</w:t>
      </w:r>
    </w:p>
    <w:p w14:paraId="71CFDEC1" w14:textId="2F4280CA" w:rsidR="00053418" w:rsidRPr="009E06AA" w:rsidRDefault="00053418" w:rsidP="00053418">
      <w:pPr>
        <w:pStyle w:val="Table"/>
      </w:pPr>
      <w:bookmarkStart w:id="2117" w:name="_Toc310423416"/>
      <w:bookmarkStart w:id="2118" w:name="_Toc318362709"/>
      <w:bookmarkStart w:id="2119" w:name="_Toc342470771"/>
      <w:bookmarkStart w:id="2120" w:name="_Toc352505011"/>
      <w:bookmarkStart w:id="2121" w:name="_Toc378853303"/>
      <w:bookmarkStart w:id="2122" w:name="_Toc391024101"/>
      <w:bookmarkStart w:id="2123" w:name="_Toc410028844"/>
      <w:bookmarkStart w:id="2124" w:name="_Toc414531472"/>
      <w:bookmarkStart w:id="2125" w:name="_Toc443645385"/>
      <w:bookmarkStart w:id="2126" w:name="_Toc474914604"/>
      <w:bookmarkStart w:id="2127" w:name="_Toc481751568"/>
      <w:bookmarkStart w:id="2128" w:name="_Toc522010625"/>
      <w:bookmarkStart w:id="2129" w:name="_Toc5269530"/>
      <w:bookmarkStart w:id="2130" w:name="_Toc33529404"/>
      <w:bookmarkStart w:id="2131" w:name="_Toc36224610"/>
      <w:bookmarkStart w:id="2132" w:name="_Toc65243607"/>
      <w:bookmarkStart w:id="2133" w:name="_Toc131591404"/>
      <w:bookmarkStart w:id="2134" w:name="_Toc158979962"/>
      <w:bookmarkStart w:id="2135" w:name="_Toc164153895"/>
      <w:r w:rsidRPr="009E06AA">
        <w:t>Table 6.5.4</w:t>
      </w:r>
      <w:r w:rsidRPr="009E06AA">
        <w:tab/>
        <w:t xml:space="preserve">New Zealand’s land-use change for the </w:t>
      </w:r>
      <w:r w:rsidRPr="009E06AA">
        <w:rPr>
          <w:i/>
        </w:rPr>
        <w:t>Cropland</w:t>
      </w:r>
      <w:r w:rsidRPr="009E06AA">
        <w:t xml:space="preserve"> category</w:t>
      </w:r>
      <w:r w:rsidR="00782E7B" w:rsidRPr="009E06AA">
        <w:t>,</w:t>
      </w:r>
      <w:r w:rsidRPr="009E06AA">
        <w:t xml:space="preserve"> from 1990 to</w:t>
      </w:r>
      <w:bookmarkEnd w:id="2117"/>
      <w:bookmarkEnd w:id="2118"/>
      <w:bookmarkEnd w:id="2119"/>
      <w:bookmarkEnd w:id="2120"/>
      <w:bookmarkEnd w:id="2121"/>
      <w:bookmarkEnd w:id="2122"/>
      <w:r w:rsidRPr="009E06AA">
        <w:t> </w:t>
      </w:r>
      <w:bookmarkEnd w:id="2123"/>
      <w:bookmarkEnd w:id="2124"/>
      <w:bookmarkEnd w:id="2125"/>
      <w:bookmarkEnd w:id="2126"/>
      <w:bookmarkEnd w:id="2127"/>
      <w:bookmarkEnd w:id="2128"/>
      <w:bookmarkEnd w:id="2129"/>
      <w:bookmarkEnd w:id="2130"/>
      <w:bookmarkEnd w:id="2131"/>
      <w:bookmarkEnd w:id="2132"/>
      <w:r w:rsidRPr="009E06AA">
        <w:t>2022</w:t>
      </w:r>
      <w:bookmarkEnd w:id="2133"/>
      <w:bookmarkEnd w:id="2134"/>
      <w:bookmarkEnd w:id="2135"/>
    </w:p>
    <w:tbl>
      <w:tblPr>
        <w:tblW w:w="0" w:type="auto"/>
        <w:tblBorders>
          <w:top w:val="single" w:sz="4" w:space="0" w:color="1B556B" w:themeColor="text2"/>
          <w:bottom w:val="single" w:sz="4" w:space="0" w:color="1B556B" w:themeColor="text2"/>
          <w:insideH w:val="single" w:sz="4" w:space="0" w:color="1B556B" w:themeColor="text2"/>
        </w:tblBorders>
        <w:tblLayout w:type="fixed"/>
        <w:tblLook w:val="0420" w:firstRow="1" w:lastRow="0" w:firstColumn="0" w:lastColumn="0" w:noHBand="0" w:noVBand="1"/>
      </w:tblPr>
      <w:tblGrid>
        <w:gridCol w:w="2268"/>
        <w:gridCol w:w="2268"/>
        <w:gridCol w:w="1304"/>
        <w:gridCol w:w="1304"/>
        <w:gridCol w:w="1304"/>
      </w:tblGrid>
      <w:tr w:rsidR="00053418" w:rsidRPr="009E06AA" w14:paraId="6E3F48DE" w14:textId="77777777" w:rsidTr="00B55F24">
        <w:trPr>
          <w:tblHeader/>
        </w:trPr>
        <w:tc>
          <w:tcPr>
            <w:tcW w:w="2268" w:type="dxa"/>
            <w:shd w:val="clear" w:color="auto" w:fill="1B556B"/>
            <w:tcMar>
              <w:top w:w="0" w:type="dxa"/>
              <w:left w:w="85" w:type="dxa"/>
              <w:bottom w:w="0" w:type="dxa"/>
              <w:right w:w="85" w:type="dxa"/>
            </w:tcMar>
            <w:vAlign w:val="bottom"/>
          </w:tcPr>
          <w:p w14:paraId="4EA195E9" w14:textId="77777777" w:rsidR="00053418" w:rsidRPr="009E06AA" w:rsidRDefault="00053418" w:rsidP="00B55F24">
            <w:pPr>
              <w:pStyle w:val="TableText"/>
              <w:spacing w:before="50" w:after="50"/>
              <w:rPr>
                <w:b/>
                <w:bCs/>
                <w:color w:val="FFFFFF" w:themeColor="background1"/>
              </w:rPr>
            </w:pPr>
            <w:r w:rsidRPr="009E06AA">
              <w:rPr>
                <w:b/>
                <w:bCs/>
                <w:color w:val="FFFFFF" w:themeColor="background1"/>
              </w:rPr>
              <w:t>Cropland category</w:t>
            </w:r>
          </w:p>
        </w:tc>
        <w:tc>
          <w:tcPr>
            <w:tcW w:w="2268" w:type="dxa"/>
            <w:shd w:val="clear" w:color="auto" w:fill="1B556B"/>
            <w:tcMar>
              <w:top w:w="0" w:type="dxa"/>
              <w:left w:w="85" w:type="dxa"/>
              <w:bottom w:w="0" w:type="dxa"/>
              <w:right w:w="85" w:type="dxa"/>
            </w:tcMar>
            <w:vAlign w:val="bottom"/>
          </w:tcPr>
          <w:p w14:paraId="2800F8F7" w14:textId="77777777" w:rsidR="00053418" w:rsidRPr="009E06AA" w:rsidRDefault="00053418" w:rsidP="00B55F24">
            <w:pPr>
              <w:pStyle w:val="TableText"/>
              <w:spacing w:before="50" w:after="50"/>
              <w:rPr>
                <w:b/>
                <w:bCs/>
                <w:color w:val="FFFFFF" w:themeColor="background1"/>
              </w:rPr>
            </w:pPr>
          </w:p>
        </w:tc>
        <w:tc>
          <w:tcPr>
            <w:tcW w:w="1304" w:type="dxa"/>
            <w:shd w:val="clear" w:color="auto" w:fill="1B556B"/>
            <w:tcMar>
              <w:top w:w="0" w:type="dxa"/>
              <w:left w:w="85" w:type="dxa"/>
              <w:bottom w:w="0" w:type="dxa"/>
              <w:right w:w="85" w:type="dxa"/>
            </w:tcMar>
            <w:vAlign w:val="bottom"/>
          </w:tcPr>
          <w:p w14:paraId="485BF618" w14:textId="77777777" w:rsidR="00053418" w:rsidRPr="009E06AA" w:rsidRDefault="00053418" w:rsidP="00002ACF">
            <w:pPr>
              <w:pStyle w:val="TableText"/>
              <w:spacing w:before="50" w:after="50"/>
              <w:jc w:val="right"/>
              <w:rPr>
                <w:b/>
                <w:bCs/>
                <w:color w:val="FFFFFF" w:themeColor="background1"/>
              </w:rPr>
            </w:pPr>
            <w:r w:rsidRPr="009E06AA">
              <w:rPr>
                <w:b/>
                <w:bCs/>
                <w:color w:val="FFFFFF" w:themeColor="background1"/>
              </w:rPr>
              <w:t>Net area (ha) as at 1990</w:t>
            </w:r>
          </w:p>
        </w:tc>
        <w:tc>
          <w:tcPr>
            <w:tcW w:w="1304" w:type="dxa"/>
            <w:shd w:val="clear" w:color="auto" w:fill="1B556B"/>
            <w:tcMar>
              <w:top w:w="0" w:type="dxa"/>
              <w:left w:w="85" w:type="dxa"/>
              <w:bottom w:w="0" w:type="dxa"/>
              <w:right w:w="85" w:type="dxa"/>
            </w:tcMar>
            <w:vAlign w:val="bottom"/>
          </w:tcPr>
          <w:p w14:paraId="0AFCD2CF" w14:textId="77777777" w:rsidR="00053418" w:rsidRPr="009E06AA" w:rsidRDefault="00053418" w:rsidP="00002ACF">
            <w:pPr>
              <w:pStyle w:val="TableText"/>
              <w:spacing w:before="50" w:after="50"/>
              <w:jc w:val="right"/>
              <w:rPr>
                <w:b/>
                <w:bCs/>
                <w:color w:val="FFFFFF" w:themeColor="background1"/>
              </w:rPr>
            </w:pPr>
            <w:r w:rsidRPr="009E06AA">
              <w:rPr>
                <w:b/>
                <w:bCs/>
                <w:color w:val="FFFFFF" w:themeColor="background1"/>
              </w:rPr>
              <w:t>Net area (ha) as at 2022</w:t>
            </w:r>
          </w:p>
        </w:tc>
        <w:tc>
          <w:tcPr>
            <w:tcW w:w="1304" w:type="dxa"/>
            <w:shd w:val="clear" w:color="auto" w:fill="1B556B"/>
            <w:tcMar>
              <w:top w:w="0" w:type="dxa"/>
              <w:left w:w="85" w:type="dxa"/>
              <w:bottom w:w="0" w:type="dxa"/>
              <w:right w:w="85" w:type="dxa"/>
            </w:tcMar>
            <w:vAlign w:val="bottom"/>
          </w:tcPr>
          <w:p w14:paraId="20300BBE" w14:textId="77777777" w:rsidR="00053418" w:rsidRPr="009E06AA" w:rsidRDefault="00053418" w:rsidP="00002ACF">
            <w:pPr>
              <w:pStyle w:val="TableText"/>
              <w:spacing w:before="50" w:after="50"/>
              <w:jc w:val="right"/>
              <w:rPr>
                <w:b/>
                <w:bCs/>
                <w:color w:val="FFFFFF" w:themeColor="background1"/>
              </w:rPr>
            </w:pPr>
            <w:r w:rsidRPr="009E06AA">
              <w:rPr>
                <w:b/>
                <w:bCs/>
                <w:color w:val="FFFFFF" w:themeColor="background1"/>
              </w:rPr>
              <w:t>Change from 1990 (%)</w:t>
            </w:r>
          </w:p>
        </w:tc>
      </w:tr>
      <w:tr w:rsidR="00053418" w:rsidRPr="009E06AA" w14:paraId="61DE3307" w14:textId="77777777" w:rsidTr="00B55F24">
        <w:tc>
          <w:tcPr>
            <w:tcW w:w="2268" w:type="dxa"/>
            <w:shd w:val="clear" w:color="auto" w:fill="FFFFFF"/>
            <w:tcMar>
              <w:top w:w="0" w:type="dxa"/>
              <w:left w:w="85" w:type="dxa"/>
              <w:bottom w:w="0" w:type="dxa"/>
              <w:right w:w="85" w:type="dxa"/>
            </w:tcMar>
            <w:vAlign w:val="center"/>
          </w:tcPr>
          <w:p w14:paraId="0CDB6C7B" w14:textId="77777777" w:rsidR="00053418" w:rsidRPr="009E06AA" w:rsidRDefault="00053418" w:rsidP="00B55F24">
            <w:pPr>
              <w:pStyle w:val="TableText"/>
              <w:spacing w:before="50" w:after="50"/>
            </w:pPr>
            <w:r w:rsidRPr="009E06AA">
              <w:rPr>
                <w:color w:val="000000"/>
              </w:rPr>
              <w:t>Cropland remaining cropland</w:t>
            </w:r>
          </w:p>
        </w:tc>
        <w:tc>
          <w:tcPr>
            <w:tcW w:w="2268" w:type="dxa"/>
            <w:shd w:val="clear" w:color="auto" w:fill="FFFFFF"/>
            <w:tcMar>
              <w:top w:w="0" w:type="dxa"/>
              <w:left w:w="85" w:type="dxa"/>
              <w:bottom w:w="0" w:type="dxa"/>
              <w:right w:w="85" w:type="dxa"/>
            </w:tcMar>
            <w:vAlign w:val="center"/>
          </w:tcPr>
          <w:p w14:paraId="58DD59AA" w14:textId="77777777" w:rsidR="00053418" w:rsidRPr="009E06AA" w:rsidRDefault="00053418" w:rsidP="00B55F24">
            <w:pPr>
              <w:pStyle w:val="TableText"/>
              <w:spacing w:before="50" w:after="50"/>
            </w:pPr>
            <w:r w:rsidRPr="009E06AA">
              <w:rPr>
                <w:color w:val="000000"/>
              </w:rPr>
              <w:t>Annual remaining annual</w:t>
            </w:r>
          </w:p>
        </w:tc>
        <w:tc>
          <w:tcPr>
            <w:tcW w:w="1304" w:type="dxa"/>
            <w:shd w:val="clear" w:color="auto" w:fill="FFFFFF"/>
            <w:tcMar>
              <w:top w:w="0" w:type="dxa"/>
              <w:left w:w="85" w:type="dxa"/>
              <w:bottom w:w="0" w:type="dxa"/>
              <w:right w:w="85" w:type="dxa"/>
            </w:tcMar>
            <w:vAlign w:val="center"/>
          </w:tcPr>
          <w:p w14:paraId="3EC5A454" w14:textId="77777777" w:rsidR="00053418" w:rsidRPr="009E06AA" w:rsidRDefault="00053418" w:rsidP="00002ACF">
            <w:pPr>
              <w:pStyle w:val="TableText"/>
              <w:spacing w:before="50" w:after="50"/>
              <w:jc w:val="right"/>
            </w:pPr>
            <w:r w:rsidRPr="009E06AA">
              <w:rPr>
                <w:color w:val="000000"/>
              </w:rPr>
              <w:t>333,369</w:t>
            </w:r>
          </w:p>
        </w:tc>
        <w:tc>
          <w:tcPr>
            <w:tcW w:w="1304" w:type="dxa"/>
            <w:shd w:val="clear" w:color="auto" w:fill="FFFFFF"/>
            <w:tcMar>
              <w:top w:w="0" w:type="dxa"/>
              <w:left w:w="85" w:type="dxa"/>
              <w:bottom w:w="0" w:type="dxa"/>
              <w:right w:w="85" w:type="dxa"/>
            </w:tcMar>
            <w:vAlign w:val="center"/>
          </w:tcPr>
          <w:p w14:paraId="3F3DEEA0" w14:textId="77777777" w:rsidR="00053418" w:rsidRPr="009E06AA" w:rsidRDefault="00053418" w:rsidP="00002ACF">
            <w:pPr>
              <w:pStyle w:val="TableText"/>
              <w:spacing w:before="50" w:after="50"/>
              <w:jc w:val="right"/>
            </w:pPr>
            <w:r w:rsidRPr="009E06AA">
              <w:rPr>
                <w:color w:val="000000"/>
              </w:rPr>
              <w:t>280,654</w:t>
            </w:r>
          </w:p>
        </w:tc>
        <w:tc>
          <w:tcPr>
            <w:tcW w:w="1304" w:type="dxa"/>
            <w:shd w:val="clear" w:color="auto" w:fill="FFFFFF"/>
            <w:tcMar>
              <w:top w:w="0" w:type="dxa"/>
              <w:left w:w="85" w:type="dxa"/>
              <w:bottom w:w="0" w:type="dxa"/>
              <w:right w:w="85" w:type="dxa"/>
            </w:tcMar>
            <w:vAlign w:val="center"/>
          </w:tcPr>
          <w:p w14:paraId="45F84E3C" w14:textId="77777777" w:rsidR="00053418" w:rsidRPr="009E06AA" w:rsidRDefault="00053418" w:rsidP="00002ACF">
            <w:pPr>
              <w:pStyle w:val="TableText"/>
              <w:spacing w:before="50" w:after="50"/>
              <w:jc w:val="right"/>
            </w:pPr>
            <w:r w:rsidRPr="009E06AA">
              <w:rPr>
                <w:color w:val="000000"/>
              </w:rPr>
              <w:t>-15.8</w:t>
            </w:r>
          </w:p>
        </w:tc>
      </w:tr>
      <w:tr w:rsidR="00053418" w:rsidRPr="009E06AA" w14:paraId="771F0F49" w14:textId="77777777" w:rsidTr="00B55F24">
        <w:tc>
          <w:tcPr>
            <w:tcW w:w="2268" w:type="dxa"/>
            <w:shd w:val="clear" w:color="auto" w:fill="FFFFFF"/>
            <w:tcMar>
              <w:top w:w="0" w:type="dxa"/>
              <w:left w:w="85" w:type="dxa"/>
              <w:bottom w:w="0" w:type="dxa"/>
              <w:right w:w="85" w:type="dxa"/>
            </w:tcMar>
            <w:vAlign w:val="center"/>
          </w:tcPr>
          <w:p w14:paraId="24588E94" w14:textId="77777777" w:rsidR="00053418" w:rsidRPr="009E06AA" w:rsidRDefault="00053418" w:rsidP="00B55F24">
            <w:pPr>
              <w:pStyle w:val="TableText"/>
              <w:spacing w:before="50" w:after="50"/>
            </w:pPr>
          </w:p>
        </w:tc>
        <w:tc>
          <w:tcPr>
            <w:tcW w:w="2268" w:type="dxa"/>
            <w:shd w:val="clear" w:color="auto" w:fill="FFFFFF"/>
            <w:tcMar>
              <w:top w:w="0" w:type="dxa"/>
              <w:left w:w="85" w:type="dxa"/>
              <w:bottom w:w="0" w:type="dxa"/>
              <w:right w:w="85" w:type="dxa"/>
            </w:tcMar>
            <w:vAlign w:val="center"/>
          </w:tcPr>
          <w:p w14:paraId="746280FB" w14:textId="77777777" w:rsidR="00053418" w:rsidRPr="009E06AA" w:rsidRDefault="00053418" w:rsidP="00B55F24">
            <w:pPr>
              <w:pStyle w:val="TableText"/>
              <w:spacing w:before="50" w:after="50"/>
            </w:pPr>
            <w:r w:rsidRPr="009E06AA">
              <w:rPr>
                <w:color w:val="000000"/>
              </w:rPr>
              <w:t>Perennial remaining perennial</w:t>
            </w:r>
          </w:p>
        </w:tc>
        <w:tc>
          <w:tcPr>
            <w:tcW w:w="1304" w:type="dxa"/>
            <w:shd w:val="clear" w:color="auto" w:fill="FFFFFF"/>
            <w:tcMar>
              <w:top w:w="0" w:type="dxa"/>
              <w:left w:w="85" w:type="dxa"/>
              <w:bottom w:w="0" w:type="dxa"/>
              <w:right w:w="85" w:type="dxa"/>
            </w:tcMar>
            <w:vAlign w:val="center"/>
          </w:tcPr>
          <w:p w14:paraId="01FB0663" w14:textId="77777777" w:rsidR="00053418" w:rsidRPr="009E06AA" w:rsidRDefault="00053418" w:rsidP="00002ACF">
            <w:pPr>
              <w:pStyle w:val="TableText"/>
              <w:spacing w:before="50" w:after="50"/>
              <w:jc w:val="right"/>
            </w:pPr>
            <w:r w:rsidRPr="009E06AA">
              <w:rPr>
                <w:color w:val="000000"/>
              </w:rPr>
              <w:t>61,534</w:t>
            </w:r>
          </w:p>
        </w:tc>
        <w:tc>
          <w:tcPr>
            <w:tcW w:w="1304" w:type="dxa"/>
            <w:shd w:val="clear" w:color="auto" w:fill="FFFFFF"/>
            <w:tcMar>
              <w:top w:w="0" w:type="dxa"/>
              <w:left w:w="85" w:type="dxa"/>
              <w:bottom w:w="0" w:type="dxa"/>
              <w:right w:w="85" w:type="dxa"/>
            </w:tcMar>
            <w:vAlign w:val="center"/>
          </w:tcPr>
          <w:p w14:paraId="1630B858" w14:textId="77777777" w:rsidR="00053418" w:rsidRPr="009E06AA" w:rsidRDefault="00053418" w:rsidP="00002ACF">
            <w:pPr>
              <w:pStyle w:val="TableText"/>
              <w:spacing w:before="50" w:after="50"/>
              <w:jc w:val="right"/>
            </w:pPr>
            <w:r w:rsidRPr="009E06AA">
              <w:rPr>
                <w:color w:val="000000"/>
              </w:rPr>
              <w:t>88,712</w:t>
            </w:r>
          </w:p>
        </w:tc>
        <w:tc>
          <w:tcPr>
            <w:tcW w:w="1304" w:type="dxa"/>
            <w:shd w:val="clear" w:color="auto" w:fill="FFFFFF"/>
            <w:tcMar>
              <w:top w:w="0" w:type="dxa"/>
              <w:left w:w="85" w:type="dxa"/>
              <w:bottom w:w="0" w:type="dxa"/>
              <w:right w:w="85" w:type="dxa"/>
            </w:tcMar>
            <w:vAlign w:val="center"/>
          </w:tcPr>
          <w:p w14:paraId="661CBA2C" w14:textId="77777777" w:rsidR="00053418" w:rsidRPr="009E06AA" w:rsidRDefault="00053418" w:rsidP="00002ACF">
            <w:pPr>
              <w:pStyle w:val="TableText"/>
              <w:spacing w:before="50" w:after="50"/>
              <w:jc w:val="right"/>
            </w:pPr>
            <w:r w:rsidRPr="009E06AA">
              <w:rPr>
                <w:color w:val="000000"/>
              </w:rPr>
              <w:t>44.2</w:t>
            </w:r>
          </w:p>
        </w:tc>
      </w:tr>
      <w:tr w:rsidR="00053418" w:rsidRPr="009E06AA" w14:paraId="3AE8D721" w14:textId="77777777" w:rsidTr="00B55F24">
        <w:tc>
          <w:tcPr>
            <w:tcW w:w="2268" w:type="dxa"/>
            <w:shd w:val="clear" w:color="auto" w:fill="FFFFFF"/>
            <w:tcMar>
              <w:top w:w="0" w:type="dxa"/>
              <w:left w:w="85" w:type="dxa"/>
              <w:bottom w:w="0" w:type="dxa"/>
              <w:right w:w="85" w:type="dxa"/>
            </w:tcMar>
            <w:vAlign w:val="center"/>
          </w:tcPr>
          <w:p w14:paraId="7D9A5389" w14:textId="77777777" w:rsidR="00053418" w:rsidRPr="009E06AA" w:rsidRDefault="00053418" w:rsidP="00B55F24">
            <w:pPr>
              <w:pStyle w:val="TableText"/>
              <w:spacing w:before="50" w:after="50"/>
            </w:pPr>
          </w:p>
        </w:tc>
        <w:tc>
          <w:tcPr>
            <w:tcW w:w="2268" w:type="dxa"/>
            <w:shd w:val="clear" w:color="auto" w:fill="FFFFFF"/>
            <w:tcMar>
              <w:top w:w="0" w:type="dxa"/>
              <w:left w:w="85" w:type="dxa"/>
              <w:bottom w:w="0" w:type="dxa"/>
              <w:right w:w="85" w:type="dxa"/>
            </w:tcMar>
            <w:vAlign w:val="center"/>
          </w:tcPr>
          <w:p w14:paraId="24839DE4" w14:textId="77777777" w:rsidR="00053418" w:rsidRPr="009E06AA" w:rsidRDefault="00053418" w:rsidP="00B55F24">
            <w:pPr>
              <w:pStyle w:val="TableText"/>
              <w:spacing w:before="50" w:after="50"/>
            </w:pPr>
            <w:r w:rsidRPr="009E06AA">
              <w:rPr>
                <w:color w:val="000000"/>
              </w:rPr>
              <w:t>Annual to perennial</w:t>
            </w:r>
          </w:p>
        </w:tc>
        <w:tc>
          <w:tcPr>
            <w:tcW w:w="1304" w:type="dxa"/>
            <w:shd w:val="clear" w:color="auto" w:fill="FFFFFF"/>
            <w:tcMar>
              <w:top w:w="0" w:type="dxa"/>
              <w:left w:w="85" w:type="dxa"/>
              <w:bottom w:w="0" w:type="dxa"/>
              <w:right w:w="85" w:type="dxa"/>
            </w:tcMar>
            <w:vAlign w:val="center"/>
          </w:tcPr>
          <w:p w14:paraId="684CF5B0" w14:textId="77777777" w:rsidR="00053418" w:rsidRPr="009E06AA" w:rsidRDefault="00053418" w:rsidP="00002ACF">
            <w:pPr>
              <w:pStyle w:val="TableText"/>
              <w:spacing w:before="50" w:after="50"/>
              <w:jc w:val="right"/>
            </w:pPr>
            <w:r w:rsidRPr="009E06AA">
              <w:rPr>
                <w:color w:val="000000"/>
              </w:rPr>
              <w:t>647</w:t>
            </w:r>
          </w:p>
        </w:tc>
        <w:tc>
          <w:tcPr>
            <w:tcW w:w="1304" w:type="dxa"/>
            <w:shd w:val="clear" w:color="auto" w:fill="FFFFFF"/>
            <w:tcMar>
              <w:top w:w="0" w:type="dxa"/>
              <w:left w:w="85" w:type="dxa"/>
              <w:bottom w:w="0" w:type="dxa"/>
              <w:right w:w="85" w:type="dxa"/>
            </w:tcMar>
            <w:vAlign w:val="center"/>
          </w:tcPr>
          <w:p w14:paraId="6B7A542D" w14:textId="77777777" w:rsidR="00053418" w:rsidRPr="009E06AA" w:rsidRDefault="00053418" w:rsidP="00002ACF">
            <w:pPr>
              <w:pStyle w:val="TableText"/>
              <w:spacing w:before="50" w:after="50"/>
              <w:jc w:val="right"/>
            </w:pPr>
            <w:r w:rsidRPr="009E06AA">
              <w:rPr>
                <w:color w:val="000000"/>
              </w:rPr>
              <w:t>3,957</w:t>
            </w:r>
          </w:p>
        </w:tc>
        <w:tc>
          <w:tcPr>
            <w:tcW w:w="1304" w:type="dxa"/>
            <w:shd w:val="clear" w:color="auto" w:fill="FFFFFF"/>
            <w:tcMar>
              <w:top w:w="0" w:type="dxa"/>
              <w:left w:w="85" w:type="dxa"/>
              <w:bottom w:w="0" w:type="dxa"/>
              <w:right w:w="85" w:type="dxa"/>
            </w:tcMar>
            <w:vAlign w:val="center"/>
          </w:tcPr>
          <w:p w14:paraId="4EFC2A1F" w14:textId="77777777" w:rsidR="00053418" w:rsidRPr="009E06AA" w:rsidRDefault="00053418" w:rsidP="00002ACF">
            <w:pPr>
              <w:pStyle w:val="TableText"/>
              <w:spacing w:before="50" w:after="50"/>
              <w:jc w:val="right"/>
            </w:pPr>
            <w:r w:rsidRPr="009E06AA">
              <w:rPr>
                <w:color w:val="000000"/>
              </w:rPr>
              <w:t>511.4</w:t>
            </w:r>
          </w:p>
        </w:tc>
      </w:tr>
      <w:tr w:rsidR="00053418" w:rsidRPr="009E06AA" w14:paraId="6DCC9110" w14:textId="77777777" w:rsidTr="00B55F24">
        <w:tc>
          <w:tcPr>
            <w:tcW w:w="2268" w:type="dxa"/>
            <w:shd w:val="clear" w:color="auto" w:fill="FFFFFF"/>
            <w:tcMar>
              <w:top w:w="0" w:type="dxa"/>
              <w:left w:w="85" w:type="dxa"/>
              <w:bottom w:w="0" w:type="dxa"/>
              <w:right w:w="85" w:type="dxa"/>
            </w:tcMar>
            <w:vAlign w:val="center"/>
          </w:tcPr>
          <w:p w14:paraId="1191EE19" w14:textId="77777777" w:rsidR="00053418" w:rsidRPr="009E06AA" w:rsidRDefault="00053418" w:rsidP="00B55F24">
            <w:pPr>
              <w:pStyle w:val="TableText"/>
              <w:spacing w:before="50" w:after="50"/>
            </w:pPr>
          </w:p>
        </w:tc>
        <w:tc>
          <w:tcPr>
            <w:tcW w:w="2268" w:type="dxa"/>
            <w:shd w:val="clear" w:color="auto" w:fill="FFFFFF"/>
            <w:tcMar>
              <w:top w:w="0" w:type="dxa"/>
              <w:left w:w="85" w:type="dxa"/>
              <w:bottom w:w="0" w:type="dxa"/>
              <w:right w:w="85" w:type="dxa"/>
            </w:tcMar>
            <w:vAlign w:val="center"/>
          </w:tcPr>
          <w:p w14:paraId="2667F825" w14:textId="77777777" w:rsidR="00053418" w:rsidRPr="009E06AA" w:rsidRDefault="00053418" w:rsidP="00B55F24">
            <w:pPr>
              <w:pStyle w:val="TableText"/>
              <w:spacing w:before="50" w:after="50"/>
            </w:pPr>
            <w:r w:rsidRPr="009E06AA">
              <w:rPr>
                <w:color w:val="000000"/>
              </w:rPr>
              <w:t>Perennial to annual</w:t>
            </w:r>
          </w:p>
        </w:tc>
        <w:tc>
          <w:tcPr>
            <w:tcW w:w="1304" w:type="dxa"/>
            <w:shd w:val="clear" w:color="auto" w:fill="FFFFFF"/>
            <w:tcMar>
              <w:top w:w="0" w:type="dxa"/>
              <w:left w:w="85" w:type="dxa"/>
              <w:bottom w:w="0" w:type="dxa"/>
              <w:right w:w="85" w:type="dxa"/>
            </w:tcMar>
            <w:vAlign w:val="center"/>
          </w:tcPr>
          <w:p w14:paraId="7DA76CB8" w14:textId="77777777" w:rsidR="00053418" w:rsidRPr="009E06AA" w:rsidRDefault="00053418" w:rsidP="00002ACF">
            <w:pPr>
              <w:pStyle w:val="TableText"/>
              <w:spacing w:before="50" w:after="50"/>
              <w:jc w:val="right"/>
            </w:pPr>
            <w:r w:rsidRPr="009E06AA">
              <w:rPr>
                <w:color w:val="000000"/>
              </w:rPr>
              <w:t>0</w:t>
            </w:r>
          </w:p>
        </w:tc>
        <w:tc>
          <w:tcPr>
            <w:tcW w:w="1304" w:type="dxa"/>
            <w:shd w:val="clear" w:color="auto" w:fill="FFFFFF"/>
            <w:tcMar>
              <w:top w:w="0" w:type="dxa"/>
              <w:left w:w="85" w:type="dxa"/>
              <w:bottom w:w="0" w:type="dxa"/>
              <w:right w:w="85" w:type="dxa"/>
            </w:tcMar>
            <w:vAlign w:val="center"/>
          </w:tcPr>
          <w:p w14:paraId="1B02C169" w14:textId="77777777" w:rsidR="00053418" w:rsidRPr="009E06AA" w:rsidRDefault="00053418" w:rsidP="00002ACF">
            <w:pPr>
              <w:pStyle w:val="TableText"/>
              <w:spacing w:before="50" w:after="50"/>
              <w:jc w:val="right"/>
            </w:pPr>
            <w:r w:rsidRPr="009E06AA">
              <w:rPr>
                <w:color w:val="000000"/>
              </w:rPr>
              <w:t>1,165</w:t>
            </w:r>
          </w:p>
        </w:tc>
        <w:tc>
          <w:tcPr>
            <w:tcW w:w="1304" w:type="dxa"/>
            <w:shd w:val="clear" w:color="auto" w:fill="FFFFFF"/>
            <w:tcMar>
              <w:top w:w="0" w:type="dxa"/>
              <w:left w:w="85" w:type="dxa"/>
              <w:bottom w:w="0" w:type="dxa"/>
              <w:right w:w="85" w:type="dxa"/>
            </w:tcMar>
            <w:vAlign w:val="center"/>
          </w:tcPr>
          <w:p w14:paraId="53C2A8A4" w14:textId="77777777" w:rsidR="00053418" w:rsidRPr="009E06AA" w:rsidRDefault="00053418" w:rsidP="00002ACF">
            <w:pPr>
              <w:pStyle w:val="TableText"/>
              <w:spacing w:before="50" w:after="50"/>
              <w:jc w:val="right"/>
            </w:pPr>
            <w:r w:rsidRPr="009E06AA">
              <w:rPr>
                <w:color w:val="000000"/>
              </w:rPr>
              <w:t>NA</w:t>
            </w:r>
          </w:p>
        </w:tc>
      </w:tr>
      <w:tr w:rsidR="00053418" w:rsidRPr="009E06AA" w14:paraId="3852400F" w14:textId="77777777" w:rsidTr="00B55F24">
        <w:tc>
          <w:tcPr>
            <w:tcW w:w="2268" w:type="dxa"/>
            <w:shd w:val="clear" w:color="auto" w:fill="FFFFFF"/>
            <w:tcMar>
              <w:top w:w="0" w:type="dxa"/>
              <w:left w:w="85" w:type="dxa"/>
              <w:bottom w:w="0" w:type="dxa"/>
              <w:right w:w="85" w:type="dxa"/>
            </w:tcMar>
            <w:vAlign w:val="center"/>
          </w:tcPr>
          <w:p w14:paraId="5BE60BD2" w14:textId="77777777" w:rsidR="00053418" w:rsidRPr="009E06AA" w:rsidRDefault="00053418" w:rsidP="00B55F24">
            <w:pPr>
              <w:pStyle w:val="TableText"/>
              <w:spacing w:before="50" w:after="50"/>
            </w:pPr>
          </w:p>
        </w:tc>
        <w:tc>
          <w:tcPr>
            <w:tcW w:w="2268" w:type="dxa"/>
            <w:shd w:val="clear" w:color="auto" w:fill="FFFFFF"/>
            <w:tcMar>
              <w:top w:w="0" w:type="dxa"/>
              <w:left w:w="85" w:type="dxa"/>
              <w:bottom w:w="0" w:type="dxa"/>
              <w:right w:w="85" w:type="dxa"/>
            </w:tcMar>
            <w:vAlign w:val="center"/>
          </w:tcPr>
          <w:p w14:paraId="23605E9E" w14:textId="77777777" w:rsidR="00053418" w:rsidRPr="009E06AA" w:rsidRDefault="00053418" w:rsidP="00B55F24">
            <w:pPr>
              <w:pStyle w:val="TableText"/>
              <w:spacing w:before="50" w:after="50"/>
            </w:pPr>
            <w:r w:rsidRPr="009E06AA">
              <w:rPr>
                <w:i/>
                <w:color w:val="000000"/>
              </w:rPr>
              <w:t>Subtotal</w:t>
            </w:r>
          </w:p>
        </w:tc>
        <w:tc>
          <w:tcPr>
            <w:tcW w:w="1304" w:type="dxa"/>
            <w:shd w:val="clear" w:color="auto" w:fill="FFFFFF"/>
            <w:tcMar>
              <w:top w:w="0" w:type="dxa"/>
              <w:left w:w="85" w:type="dxa"/>
              <w:bottom w:w="0" w:type="dxa"/>
              <w:right w:w="85" w:type="dxa"/>
            </w:tcMar>
            <w:vAlign w:val="center"/>
          </w:tcPr>
          <w:p w14:paraId="431A9962" w14:textId="77777777" w:rsidR="00053418" w:rsidRPr="009E06AA" w:rsidRDefault="00053418" w:rsidP="00002ACF">
            <w:pPr>
              <w:pStyle w:val="TableText"/>
              <w:spacing w:before="50" w:after="50"/>
              <w:jc w:val="right"/>
            </w:pPr>
            <w:r w:rsidRPr="009E06AA">
              <w:rPr>
                <w:i/>
                <w:color w:val="000000"/>
              </w:rPr>
              <w:t>395,550</w:t>
            </w:r>
          </w:p>
        </w:tc>
        <w:tc>
          <w:tcPr>
            <w:tcW w:w="1304" w:type="dxa"/>
            <w:shd w:val="clear" w:color="auto" w:fill="FFFFFF"/>
            <w:tcMar>
              <w:top w:w="0" w:type="dxa"/>
              <w:left w:w="85" w:type="dxa"/>
              <w:bottom w:w="0" w:type="dxa"/>
              <w:right w:w="85" w:type="dxa"/>
            </w:tcMar>
            <w:vAlign w:val="center"/>
          </w:tcPr>
          <w:p w14:paraId="6E7B111A" w14:textId="77777777" w:rsidR="00053418" w:rsidRPr="009E06AA" w:rsidRDefault="00053418" w:rsidP="00002ACF">
            <w:pPr>
              <w:pStyle w:val="TableText"/>
              <w:spacing w:before="50" w:after="50"/>
              <w:jc w:val="right"/>
            </w:pPr>
            <w:r w:rsidRPr="009E06AA">
              <w:rPr>
                <w:i/>
                <w:color w:val="000000"/>
              </w:rPr>
              <w:t>374,488</w:t>
            </w:r>
          </w:p>
        </w:tc>
        <w:tc>
          <w:tcPr>
            <w:tcW w:w="1304" w:type="dxa"/>
            <w:shd w:val="clear" w:color="auto" w:fill="FFFFFF"/>
            <w:tcMar>
              <w:top w:w="0" w:type="dxa"/>
              <w:left w:w="85" w:type="dxa"/>
              <w:bottom w:w="0" w:type="dxa"/>
              <w:right w:w="85" w:type="dxa"/>
            </w:tcMar>
            <w:vAlign w:val="center"/>
          </w:tcPr>
          <w:p w14:paraId="024BFDBF" w14:textId="77777777" w:rsidR="00053418" w:rsidRPr="009E06AA" w:rsidRDefault="00053418" w:rsidP="00002ACF">
            <w:pPr>
              <w:pStyle w:val="TableText"/>
              <w:spacing w:before="50" w:after="50"/>
              <w:jc w:val="right"/>
            </w:pPr>
            <w:r w:rsidRPr="009E06AA">
              <w:rPr>
                <w:i/>
                <w:color w:val="000000"/>
              </w:rPr>
              <w:t>-5.3</w:t>
            </w:r>
          </w:p>
        </w:tc>
      </w:tr>
      <w:tr w:rsidR="00053418" w:rsidRPr="009E06AA" w14:paraId="11BBBFC3" w14:textId="77777777" w:rsidTr="00B55F24">
        <w:tc>
          <w:tcPr>
            <w:tcW w:w="2268" w:type="dxa"/>
            <w:shd w:val="clear" w:color="auto" w:fill="FFFFFF"/>
            <w:tcMar>
              <w:top w:w="0" w:type="dxa"/>
              <w:left w:w="85" w:type="dxa"/>
              <w:bottom w:w="0" w:type="dxa"/>
              <w:right w:w="85" w:type="dxa"/>
            </w:tcMar>
            <w:vAlign w:val="center"/>
          </w:tcPr>
          <w:p w14:paraId="467057B8" w14:textId="77777777" w:rsidR="00053418" w:rsidRPr="009E06AA" w:rsidRDefault="00053418" w:rsidP="00B55F24">
            <w:pPr>
              <w:pStyle w:val="TableText"/>
              <w:spacing w:before="50" w:after="50"/>
            </w:pPr>
            <w:r w:rsidRPr="009E06AA">
              <w:rPr>
                <w:color w:val="000000"/>
              </w:rPr>
              <w:t>Land converted to cropland</w:t>
            </w:r>
          </w:p>
        </w:tc>
        <w:tc>
          <w:tcPr>
            <w:tcW w:w="2268" w:type="dxa"/>
            <w:shd w:val="clear" w:color="auto" w:fill="FFFFFF"/>
            <w:tcMar>
              <w:top w:w="0" w:type="dxa"/>
              <w:left w:w="85" w:type="dxa"/>
              <w:bottom w:w="0" w:type="dxa"/>
              <w:right w:w="85" w:type="dxa"/>
            </w:tcMar>
            <w:vAlign w:val="center"/>
          </w:tcPr>
          <w:p w14:paraId="5EE1F746" w14:textId="77777777" w:rsidR="00053418" w:rsidRPr="009E06AA" w:rsidRDefault="00053418" w:rsidP="00B55F24">
            <w:pPr>
              <w:pStyle w:val="TableText"/>
              <w:spacing w:before="50" w:after="50"/>
            </w:pPr>
            <w:r w:rsidRPr="009E06AA">
              <w:rPr>
                <w:color w:val="000000"/>
              </w:rPr>
              <w:t>Annual cropland</w:t>
            </w:r>
          </w:p>
        </w:tc>
        <w:tc>
          <w:tcPr>
            <w:tcW w:w="1304" w:type="dxa"/>
            <w:shd w:val="clear" w:color="auto" w:fill="FFFFFF"/>
            <w:tcMar>
              <w:top w:w="0" w:type="dxa"/>
              <w:left w:w="85" w:type="dxa"/>
              <w:bottom w:w="0" w:type="dxa"/>
              <w:right w:w="85" w:type="dxa"/>
            </w:tcMar>
            <w:vAlign w:val="center"/>
          </w:tcPr>
          <w:p w14:paraId="1DD81292" w14:textId="77777777" w:rsidR="00053418" w:rsidRPr="009E06AA" w:rsidRDefault="00053418" w:rsidP="00002ACF">
            <w:pPr>
              <w:pStyle w:val="TableText"/>
              <w:spacing w:before="50" w:after="50"/>
              <w:jc w:val="right"/>
            </w:pPr>
            <w:r w:rsidRPr="009E06AA">
              <w:rPr>
                <w:color w:val="000000"/>
              </w:rPr>
              <w:t>21,483</w:t>
            </w:r>
          </w:p>
        </w:tc>
        <w:tc>
          <w:tcPr>
            <w:tcW w:w="1304" w:type="dxa"/>
            <w:shd w:val="clear" w:color="auto" w:fill="FFFFFF"/>
            <w:tcMar>
              <w:top w:w="0" w:type="dxa"/>
              <w:left w:w="85" w:type="dxa"/>
              <w:bottom w:w="0" w:type="dxa"/>
              <w:right w:w="85" w:type="dxa"/>
            </w:tcMar>
            <w:vAlign w:val="center"/>
          </w:tcPr>
          <w:p w14:paraId="054D323A" w14:textId="77777777" w:rsidR="00053418" w:rsidRPr="009E06AA" w:rsidRDefault="00053418" w:rsidP="00002ACF">
            <w:pPr>
              <w:pStyle w:val="TableText"/>
              <w:spacing w:before="50" w:after="50"/>
              <w:jc w:val="right"/>
            </w:pPr>
            <w:r w:rsidRPr="009E06AA">
              <w:rPr>
                <w:color w:val="000000"/>
              </w:rPr>
              <w:t>101,640</w:t>
            </w:r>
          </w:p>
        </w:tc>
        <w:tc>
          <w:tcPr>
            <w:tcW w:w="1304" w:type="dxa"/>
            <w:shd w:val="clear" w:color="auto" w:fill="FFFFFF"/>
            <w:tcMar>
              <w:top w:w="0" w:type="dxa"/>
              <w:left w:w="85" w:type="dxa"/>
              <w:bottom w:w="0" w:type="dxa"/>
              <w:right w:w="85" w:type="dxa"/>
            </w:tcMar>
            <w:vAlign w:val="center"/>
          </w:tcPr>
          <w:p w14:paraId="7D8C7D9C" w14:textId="77777777" w:rsidR="00053418" w:rsidRPr="009E06AA" w:rsidRDefault="00053418" w:rsidP="00002ACF">
            <w:pPr>
              <w:pStyle w:val="TableText"/>
              <w:spacing w:before="50" w:after="50"/>
              <w:jc w:val="right"/>
            </w:pPr>
            <w:r w:rsidRPr="009E06AA">
              <w:rPr>
                <w:color w:val="000000"/>
              </w:rPr>
              <w:t>373.1</w:t>
            </w:r>
          </w:p>
        </w:tc>
      </w:tr>
      <w:tr w:rsidR="00053418" w:rsidRPr="009E06AA" w14:paraId="749E6A44" w14:textId="77777777" w:rsidTr="00B55F24">
        <w:tc>
          <w:tcPr>
            <w:tcW w:w="2268" w:type="dxa"/>
            <w:shd w:val="clear" w:color="auto" w:fill="FFFFFF"/>
            <w:tcMar>
              <w:top w:w="0" w:type="dxa"/>
              <w:left w:w="85" w:type="dxa"/>
              <w:bottom w:w="0" w:type="dxa"/>
              <w:right w:w="85" w:type="dxa"/>
            </w:tcMar>
            <w:vAlign w:val="center"/>
          </w:tcPr>
          <w:p w14:paraId="6AB85981" w14:textId="77777777" w:rsidR="00053418" w:rsidRPr="009E06AA" w:rsidRDefault="00053418" w:rsidP="00B55F24">
            <w:pPr>
              <w:pStyle w:val="TableText"/>
              <w:spacing w:before="50" w:after="50"/>
            </w:pPr>
          </w:p>
        </w:tc>
        <w:tc>
          <w:tcPr>
            <w:tcW w:w="2268" w:type="dxa"/>
            <w:shd w:val="clear" w:color="auto" w:fill="FFFFFF"/>
            <w:tcMar>
              <w:top w:w="0" w:type="dxa"/>
              <w:left w:w="85" w:type="dxa"/>
              <w:bottom w:w="0" w:type="dxa"/>
              <w:right w:w="85" w:type="dxa"/>
            </w:tcMar>
            <w:vAlign w:val="center"/>
          </w:tcPr>
          <w:p w14:paraId="3D4E9683" w14:textId="77777777" w:rsidR="00053418" w:rsidRPr="009E06AA" w:rsidRDefault="00053418" w:rsidP="00B55F24">
            <w:pPr>
              <w:pStyle w:val="TableText"/>
              <w:spacing w:before="50" w:after="50"/>
            </w:pPr>
            <w:r w:rsidRPr="009E06AA">
              <w:rPr>
                <w:color w:val="000000"/>
              </w:rPr>
              <w:t>Perennial cropland</w:t>
            </w:r>
          </w:p>
        </w:tc>
        <w:tc>
          <w:tcPr>
            <w:tcW w:w="1304" w:type="dxa"/>
            <w:shd w:val="clear" w:color="auto" w:fill="FFFFFF"/>
            <w:tcMar>
              <w:top w:w="0" w:type="dxa"/>
              <w:left w:w="85" w:type="dxa"/>
              <w:bottom w:w="0" w:type="dxa"/>
              <w:right w:w="85" w:type="dxa"/>
            </w:tcMar>
            <w:vAlign w:val="center"/>
          </w:tcPr>
          <w:p w14:paraId="0AF0E19B" w14:textId="77777777" w:rsidR="00053418" w:rsidRPr="009E06AA" w:rsidRDefault="00053418" w:rsidP="00002ACF">
            <w:pPr>
              <w:pStyle w:val="TableText"/>
              <w:spacing w:before="50" w:after="50"/>
              <w:jc w:val="right"/>
            </w:pPr>
            <w:r w:rsidRPr="009E06AA">
              <w:rPr>
                <w:color w:val="000000"/>
              </w:rPr>
              <w:t>6,820</w:t>
            </w:r>
          </w:p>
        </w:tc>
        <w:tc>
          <w:tcPr>
            <w:tcW w:w="1304" w:type="dxa"/>
            <w:shd w:val="clear" w:color="auto" w:fill="FFFFFF"/>
            <w:tcMar>
              <w:top w:w="0" w:type="dxa"/>
              <w:left w:w="85" w:type="dxa"/>
              <w:bottom w:w="0" w:type="dxa"/>
              <w:right w:w="85" w:type="dxa"/>
            </w:tcMar>
            <w:vAlign w:val="center"/>
          </w:tcPr>
          <w:p w14:paraId="560BABC2" w14:textId="77777777" w:rsidR="00053418" w:rsidRPr="009E06AA" w:rsidRDefault="00053418" w:rsidP="00002ACF">
            <w:pPr>
              <w:pStyle w:val="TableText"/>
              <w:spacing w:before="50" w:after="50"/>
              <w:jc w:val="right"/>
            </w:pPr>
            <w:r w:rsidRPr="009E06AA">
              <w:rPr>
                <w:color w:val="000000"/>
              </w:rPr>
              <w:t>14,020</w:t>
            </w:r>
          </w:p>
        </w:tc>
        <w:tc>
          <w:tcPr>
            <w:tcW w:w="1304" w:type="dxa"/>
            <w:shd w:val="clear" w:color="auto" w:fill="FFFFFF"/>
            <w:tcMar>
              <w:top w:w="0" w:type="dxa"/>
              <w:left w:w="85" w:type="dxa"/>
              <w:bottom w:w="0" w:type="dxa"/>
              <w:right w:w="85" w:type="dxa"/>
            </w:tcMar>
            <w:vAlign w:val="center"/>
          </w:tcPr>
          <w:p w14:paraId="18C91103" w14:textId="77777777" w:rsidR="00053418" w:rsidRPr="009E06AA" w:rsidRDefault="00053418" w:rsidP="00002ACF">
            <w:pPr>
              <w:pStyle w:val="TableText"/>
              <w:spacing w:before="50" w:after="50"/>
              <w:jc w:val="right"/>
            </w:pPr>
            <w:r w:rsidRPr="009E06AA">
              <w:rPr>
                <w:color w:val="000000"/>
              </w:rPr>
              <w:t>105.6</w:t>
            </w:r>
          </w:p>
        </w:tc>
      </w:tr>
      <w:tr w:rsidR="00053418" w:rsidRPr="009E06AA" w14:paraId="4F4701AB" w14:textId="77777777" w:rsidTr="00B55F24">
        <w:tc>
          <w:tcPr>
            <w:tcW w:w="2268" w:type="dxa"/>
            <w:shd w:val="clear" w:color="auto" w:fill="FFFFFF"/>
            <w:tcMar>
              <w:top w:w="0" w:type="dxa"/>
              <w:left w:w="85" w:type="dxa"/>
              <w:bottom w:w="0" w:type="dxa"/>
              <w:right w:w="85" w:type="dxa"/>
            </w:tcMar>
            <w:vAlign w:val="center"/>
          </w:tcPr>
          <w:p w14:paraId="7C5FAC29" w14:textId="77777777" w:rsidR="00053418" w:rsidRPr="009E06AA" w:rsidRDefault="00053418" w:rsidP="00B55F24">
            <w:pPr>
              <w:pStyle w:val="TableText"/>
              <w:spacing w:before="50" w:after="50"/>
            </w:pPr>
          </w:p>
        </w:tc>
        <w:tc>
          <w:tcPr>
            <w:tcW w:w="2268" w:type="dxa"/>
            <w:shd w:val="clear" w:color="auto" w:fill="FFFFFF"/>
            <w:tcMar>
              <w:top w:w="0" w:type="dxa"/>
              <w:left w:w="85" w:type="dxa"/>
              <w:bottom w:w="0" w:type="dxa"/>
              <w:right w:w="85" w:type="dxa"/>
            </w:tcMar>
            <w:vAlign w:val="center"/>
          </w:tcPr>
          <w:p w14:paraId="7D5C8BAA" w14:textId="77777777" w:rsidR="00053418" w:rsidRPr="009E06AA" w:rsidRDefault="00053418" w:rsidP="00B55F24">
            <w:pPr>
              <w:pStyle w:val="TableText"/>
              <w:spacing w:before="50" w:after="50"/>
            </w:pPr>
            <w:r w:rsidRPr="009E06AA">
              <w:rPr>
                <w:i/>
                <w:color w:val="000000"/>
              </w:rPr>
              <w:t>Subtotal</w:t>
            </w:r>
          </w:p>
        </w:tc>
        <w:tc>
          <w:tcPr>
            <w:tcW w:w="1304" w:type="dxa"/>
            <w:shd w:val="clear" w:color="auto" w:fill="FFFFFF"/>
            <w:tcMar>
              <w:top w:w="0" w:type="dxa"/>
              <w:left w:w="85" w:type="dxa"/>
              <w:bottom w:w="0" w:type="dxa"/>
              <w:right w:w="85" w:type="dxa"/>
            </w:tcMar>
            <w:vAlign w:val="center"/>
          </w:tcPr>
          <w:p w14:paraId="6266F2D0" w14:textId="77777777" w:rsidR="00053418" w:rsidRPr="009E06AA" w:rsidRDefault="00053418" w:rsidP="00002ACF">
            <w:pPr>
              <w:pStyle w:val="TableText"/>
              <w:spacing w:before="50" w:after="50"/>
              <w:jc w:val="right"/>
            </w:pPr>
            <w:r w:rsidRPr="009E06AA">
              <w:rPr>
                <w:i/>
                <w:color w:val="000000"/>
              </w:rPr>
              <w:t>28,303</w:t>
            </w:r>
          </w:p>
        </w:tc>
        <w:tc>
          <w:tcPr>
            <w:tcW w:w="1304" w:type="dxa"/>
            <w:shd w:val="clear" w:color="auto" w:fill="FFFFFF"/>
            <w:tcMar>
              <w:top w:w="0" w:type="dxa"/>
              <w:left w:w="85" w:type="dxa"/>
              <w:bottom w:w="0" w:type="dxa"/>
              <w:right w:w="85" w:type="dxa"/>
            </w:tcMar>
            <w:vAlign w:val="center"/>
          </w:tcPr>
          <w:p w14:paraId="227E11B9" w14:textId="77777777" w:rsidR="00053418" w:rsidRPr="009E06AA" w:rsidRDefault="00053418" w:rsidP="00002ACF">
            <w:pPr>
              <w:pStyle w:val="TableText"/>
              <w:spacing w:before="50" w:after="50"/>
              <w:jc w:val="right"/>
            </w:pPr>
            <w:r w:rsidRPr="009E06AA">
              <w:rPr>
                <w:i/>
                <w:color w:val="000000"/>
              </w:rPr>
              <w:t>115,660</w:t>
            </w:r>
          </w:p>
        </w:tc>
        <w:tc>
          <w:tcPr>
            <w:tcW w:w="1304" w:type="dxa"/>
            <w:shd w:val="clear" w:color="auto" w:fill="FFFFFF"/>
            <w:tcMar>
              <w:top w:w="0" w:type="dxa"/>
              <w:left w:w="85" w:type="dxa"/>
              <w:bottom w:w="0" w:type="dxa"/>
              <w:right w:w="85" w:type="dxa"/>
            </w:tcMar>
            <w:vAlign w:val="center"/>
          </w:tcPr>
          <w:p w14:paraId="597A98DB" w14:textId="77777777" w:rsidR="00053418" w:rsidRPr="009E06AA" w:rsidRDefault="00053418" w:rsidP="00002ACF">
            <w:pPr>
              <w:pStyle w:val="TableText"/>
              <w:spacing w:before="50" w:after="50"/>
              <w:jc w:val="right"/>
            </w:pPr>
            <w:r w:rsidRPr="009E06AA">
              <w:rPr>
                <w:i/>
                <w:color w:val="000000"/>
              </w:rPr>
              <w:t>308.6</w:t>
            </w:r>
          </w:p>
        </w:tc>
      </w:tr>
      <w:tr w:rsidR="00053418" w:rsidRPr="009E06AA" w14:paraId="2E8BABD0" w14:textId="77777777" w:rsidTr="00B55F24">
        <w:tc>
          <w:tcPr>
            <w:tcW w:w="2268" w:type="dxa"/>
            <w:shd w:val="clear" w:color="auto" w:fill="FFFFFF"/>
            <w:tcMar>
              <w:top w:w="0" w:type="dxa"/>
              <w:left w:w="85" w:type="dxa"/>
              <w:bottom w:w="0" w:type="dxa"/>
              <w:right w:w="85" w:type="dxa"/>
            </w:tcMar>
            <w:vAlign w:val="center"/>
          </w:tcPr>
          <w:p w14:paraId="7217DD7A" w14:textId="77777777" w:rsidR="00053418" w:rsidRPr="009E06AA" w:rsidRDefault="00053418" w:rsidP="00B55F24">
            <w:pPr>
              <w:pStyle w:val="TableText"/>
              <w:spacing w:before="50" w:after="50"/>
              <w:rPr>
                <w:b/>
                <w:bCs/>
              </w:rPr>
            </w:pPr>
            <w:r w:rsidRPr="009E06AA">
              <w:rPr>
                <w:b/>
                <w:bCs/>
                <w:color w:val="1B556B"/>
              </w:rPr>
              <w:t>Total</w:t>
            </w:r>
          </w:p>
        </w:tc>
        <w:tc>
          <w:tcPr>
            <w:tcW w:w="2268" w:type="dxa"/>
            <w:shd w:val="clear" w:color="auto" w:fill="FFFFFF"/>
            <w:tcMar>
              <w:top w:w="0" w:type="dxa"/>
              <w:left w:w="85" w:type="dxa"/>
              <w:bottom w:w="0" w:type="dxa"/>
              <w:right w:w="85" w:type="dxa"/>
            </w:tcMar>
            <w:vAlign w:val="center"/>
          </w:tcPr>
          <w:p w14:paraId="189881CA" w14:textId="77777777" w:rsidR="00053418" w:rsidRPr="009E06AA" w:rsidRDefault="00053418" w:rsidP="00B55F24">
            <w:pPr>
              <w:pStyle w:val="TableText"/>
              <w:spacing w:before="50" w:after="50"/>
              <w:rPr>
                <w:b/>
                <w:bCs/>
              </w:rPr>
            </w:pPr>
          </w:p>
        </w:tc>
        <w:tc>
          <w:tcPr>
            <w:tcW w:w="1304" w:type="dxa"/>
            <w:shd w:val="clear" w:color="auto" w:fill="FFFFFF"/>
            <w:tcMar>
              <w:top w:w="0" w:type="dxa"/>
              <w:left w:w="85" w:type="dxa"/>
              <w:bottom w:w="0" w:type="dxa"/>
              <w:right w:w="85" w:type="dxa"/>
            </w:tcMar>
            <w:vAlign w:val="center"/>
          </w:tcPr>
          <w:p w14:paraId="2DB7EE96" w14:textId="77777777" w:rsidR="00053418" w:rsidRPr="009E06AA" w:rsidRDefault="00053418" w:rsidP="00002ACF">
            <w:pPr>
              <w:pStyle w:val="TableText"/>
              <w:spacing w:before="50" w:after="50"/>
              <w:jc w:val="right"/>
              <w:rPr>
                <w:b/>
                <w:bCs/>
              </w:rPr>
            </w:pPr>
            <w:r w:rsidRPr="009E06AA">
              <w:rPr>
                <w:b/>
                <w:bCs/>
                <w:color w:val="1B556B"/>
              </w:rPr>
              <w:t>423,853</w:t>
            </w:r>
          </w:p>
        </w:tc>
        <w:tc>
          <w:tcPr>
            <w:tcW w:w="1304" w:type="dxa"/>
            <w:shd w:val="clear" w:color="auto" w:fill="FFFFFF"/>
            <w:tcMar>
              <w:top w:w="0" w:type="dxa"/>
              <w:left w:w="85" w:type="dxa"/>
              <w:bottom w:w="0" w:type="dxa"/>
              <w:right w:w="85" w:type="dxa"/>
            </w:tcMar>
            <w:vAlign w:val="center"/>
          </w:tcPr>
          <w:p w14:paraId="0448BFEC" w14:textId="77777777" w:rsidR="00053418" w:rsidRPr="009E06AA" w:rsidRDefault="00053418" w:rsidP="00002ACF">
            <w:pPr>
              <w:pStyle w:val="TableText"/>
              <w:spacing w:before="50" w:after="50"/>
              <w:jc w:val="right"/>
              <w:rPr>
                <w:b/>
                <w:bCs/>
              </w:rPr>
            </w:pPr>
            <w:r w:rsidRPr="009E06AA">
              <w:rPr>
                <w:b/>
                <w:bCs/>
                <w:color w:val="1B556B"/>
              </w:rPr>
              <w:t>490,148</w:t>
            </w:r>
          </w:p>
        </w:tc>
        <w:tc>
          <w:tcPr>
            <w:tcW w:w="1304" w:type="dxa"/>
            <w:shd w:val="clear" w:color="auto" w:fill="FFFFFF"/>
            <w:tcMar>
              <w:top w:w="0" w:type="dxa"/>
              <w:left w:w="85" w:type="dxa"/>
              <w:bottom w:w="0" w:type="dxa"/>
              <w:right w:w="85" w:type="dxa"/>
            </w:tcMar>
            <w:vAlign w:val="center"/>
          </w:tcPr>
          <w:p w14:paraId="75F76286" w14:textId="77777777" w:rsidR="00053418" w:rsidRPr="009E06AA" w:rsidRDefault="00053418" w:rsidP="00002ACF">
            <w:pPr>
              <w:pStyle w:val="TableText"/>
              <w:spacing w:before="50" w:after="50"/>
              <w:jc w:val="right"/>
              <w:rPr>
                <w:b/>
                <w:bCs/>
              </w:rPr>
            </w:pPr>
            <w:r w:rsidRPr="009E06AA">
              <w:rPr>
                <w:b/>
                <w:bCs/>
                <w:color w:val="1B556B"/>
              </w:rPr>
              <w:t>15.6</w:t>
            </w:r>
          </w:p>
        </w:tc>
      </w:tr>
    </w:tbl>
    <w:p w14:paraId="3F4B0B3A" w14:textId="77777777" w:rsidR="00053418" w:rsidRPr="009E06AA" w:rsidRDefault="00053418" w:rsidP="00053418">
      <w:pPr>
        <w:pStyle w:val="Noteundertable"/>
      </w:pPr>
      <w:r w:rsidRPr="009E06AA">
        <w:rPr>
          <w:b/>
        </w:rPr>
        <w:t>Note:</w:t>
      </w:r>
      <w:r w:rsidRPr="009E06AA">
        <w:tab/>
        <w:t>NA = not applicable. This table shows the change between 1 January 1990 and 31 December 2022. Columns may not total due to rounding.</w:t>
      </w:r>
    </w:p>
    <w:p w14:paraId="3CFA808B" w14:textId="77777777" w:rsidR="00053418" w:rsidRPr="009E06AA" w:rsidRDefault="00053418" w:rsidP="00053418">
      <w:pPr>
        <w:pStyle w:val="BodyText"/>
        <w:spacing w:before="100" w:after="100"/>
      </w:pPr>
      <w:r w:rsidRPr="009E06AA">
        <w:t xml:space="preserve">In 2022, </w:t>
      </w:r>
      <w:r w:rsidRPr="009E06AA">
        <w:rPr>
          <w:i/>
        </w:rPr>
        <w:t>Cropland remaining cropland</w:t>
      </w:r>
      <w:r w:rsidRPr="009E06AA">
        <w:t xml:space="preserve"> and</w:t>
      </w:r>
      <w:r w:rsidRPr="009E06AA">
        <w:rPr>
          <w:i/>
          <w:iCs/>
        </w:rPr>
        <w:t xml:space="preserve"> </w:t>
      </w:r>
      <w:r w:rsidRPr="009E06AA">
        <w:rPr>
          <w:rFonts w:cs="Calibri"/>
          <w:i/>
          <w:iCs/>
          <w:color w:val="000000"/>
        </w:rPr>
        <w:t>Land Converted to Cropland</w:t>
      </w:r>
      <w:r w:rsidRPr="009E06AA">
        <w:t xml:space="preserve"> were identified as key categories for the level and trend assessment in 2022.</w:t>
      </w:r>
      <w:bookmarkStart w:id="2136" w:name="_Toc139253964"/>
      <w:bookmarkStart w:id="2137" w:name="_Toc255466373"/>
      <w:bookmarkStart w:id="2138" w:name="_Toc261513180"/>
      <w:bookmarkStart w:id="2139" w:name="_Toc261513793"/>
      <w:bookmarkStart w:id="2140" w:name="_Toc280630265"/>
    </w:p>
    <w:p w14:paraId="7122317B" w14:textId="77777777" w:rsidR="00053418" w:rsidRPr="009E06AA" w:rsidRDefault="00053418" w:rsidP="00053418">
      <w:pPr>
        <w:pStyle w:val="Heading3"/>
        <w:spacing w:before="180"/>
      </w:pPr>
      <w:r w:rsidRPr="009E06AA">
        <w:t>6.5.2</w:t>
      </w:r>
      <w:r w:rsidRPr="009E06AA">
        <w:tab/>
        <w:t>Methodological issues</w:t>
      </w:r>
      <w:bookmarkEnd w:id="2136"/>
      <w:bookmarkEnd w:id="2137"/>
      <w:bookmarkEnd w:id="2138"/>
      <w:bookmarkEnd w:id="2139"/>
      <w:bookmarkEnd w:id="2140"/>
      <w:r w:rsidRPr="009E06AA">
        <w:t xml:space="preserve"> </w:t>
      </w:r>
    </w:p>
    <w:p w14:paraId="47D1257B" w14:textId="77777777" w:rsidR="00053418" w:rsidRPr="009E06AA" w:rsidRDefault="00053418" w:rsidP="00053418">
      <w:pPr>
        <w:pStyle w:val="BodyText"/>
      </w:pPr>
      <w:r w:rsidRPr="009E06AA">
        <w:t xml:space="preserve">Emissions and removals for the living biomass and dead organic matter pools have been calculated using IPCC Tier 1 emission factors for annual cropland, Tier 2 emission factors for perennial cropland (Davis and Wakelin, unpublished) and activity data as described in section 6.2. Emissions and removals by the SOC pool are estimated using a Tier 2 method for mineral soils and IPCC Tier 1 defaults for organic soils, as described in annex A5.2.4. </w:t>
      </w:r>
    </w:p>
    <w:p w14:paraId="3D97CBCE" w14:textId="77777777" w:rsidR="00053418" w:rsidRPr="009E06AA" w:rsidRDefault="00053418" w:rsidP="00053418">
      <w:pPr>
        <w:pStyle w:val="BodyText"/>
      </w:pPr>
      <w:r w:rsidRPr="009E06AA">
        <w:t xml:space="preserve">A summary of the New Zealand emission factors and other parameters used to estimate greenhouse gas emissions for the </w:t>
      </w:r>
      <w:r w:rsidRPr="009E06AA">
        <w:rPr>
          <w:i/>
        </w:rPr>
        <w:t>Cropland</w:t>
      </w:r>
      <w:r w:rsidRPr="009E06AA">
        <w:t xml:space="preserve"> category is provided in table 6.5.5. </w:t>
      </w:r>
      <w:bookmarkStart w:id="2141" w:name="_Toc310423418"/>
      <w:bookmarkStart w:id="2142" w:name="_Toc318362711"/>
      <w:bookmarkStart w:id="2143" w:name="_Toc342470773"/>
      <w:bookmarkStart w:id="2144" w:name="_Toc352505013"/>
      <w:bookmarkStart w:id="2145" w:name="_Toc378853304"/>
    </w:p>
    <w:p w14:paraId="03727BCD" w14:textId="77777777" w:rsidR="00053418" w:rsidRPr="009E06AA" w:rsidRDefault="00053418" w:rsidP="00053418">
      <w:pPr>
        <w:pStyle w:val="Table"/>
      </w:pPr>
      <w:bookmarkStart w:id="2146" w:name="_Toc391024102"/>
      <w:bookmarkStart w:id="2147" w:name="_Toc410028845"/>
      <w:bookmarkStart w:id="2148" w:name="_Toc414531473"/>
      <w:bookmarkStart w:id="2149" w:name="_Toc443645386"/>
      <w:bookmarkStart w:id="2150" w:name="_Toc474914605"/>
      <w:bookmarkStart w:id="2151" w:name="_Toc481751569"/>
      <w:bookmarkStart w:id="2152" w:name="_Toc522010626"/>
      <w:bookmarkStart w:id="2153" w:name="_Toc5269531"/>
      <w:bookmarkStart w:id="2154" w:name="_Toc33529405"/>
      <w:bookmarkStart w:id="2155" w:name="_Toc36224611"/>
      <w:bookmarkStart w:id="2156" w:name="_Toc65243608"/>
      <w:bookmarkStart w:id="2157" w:name="_Toc131591405"/>
      <w:bookmarkStart w:id="2158" w:name="_Toc158979963"/>
      <w:bookmarkStart w:id="2159" w:name="_Toc164153896"/>
      <w:r w:rsidRPr="009E06AA">
        <w:t>Table 6.5.5</w:t>
      </w:r>
      <w:r w:rsidRPr="009E06AA">
        <w:tab/>
        <w:t>Summary of New Zealand’s carbon stock change emission factors for the </w:t>
      </w:r>
      <w:r w:rsidRPr="009E06AA">
        <w:rPr>
          <w:i/>
        </w:rPr>
        <w:t>Cropland</w:t>
      </w:r>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r w:rsidRPr="009E06AA">
        <w:t xml:space="preserve"> category</w:t>
      </w:r>
      <w:bookmarkEnd w:id="2157"/>
      <w:bookmarkEnd w:id="2158"/>
      <w:bookmarkEnd w:id="2159"/>
      <w:r w:rsidRPr="009E06AA">
        <w:t xml:space="preserve"> </w:t>
      </w:r>
    </w:p>
    <w:tbl>
      <w:tblPr>
        <w:tblW w:w="8505" w:type="dxa"/>
        <w:tblLayout w:type="fixed"/>
        <w:tblCellMar>
          <w:left w:w="85" w:type="dxa"/>
          <w:right w:w="57" w:type="dxa"/>
        </w:tblCellMar>
        <w:tblLook w:val="04A0" w:firstRow="1" w:lastRow="0" w:firstColumn="1" w:lastColumn="0" w:noHBand="0" w:noVBand="1"/>
      </w:tblPr>
      <w:tblGrid>
        <w:gridCol w:w="886"/>
        <w:gridCol w:w="1535"/>
        <w:gridCol w:w="1122"/>
        <w:gridCol w:w="1241"/>
        <w:gridCol w:w="1028"/>
        <w:gridCol w:w="2693"/>
      </w:tblGrid>
      <w:tr w:rsidR="00053418" w:rsidRPr="009E06AA" w14:paraId="21236851" w14:textId="77777777" w:rsidTr="00B55F24">
        <w:trPr>
          <w:tblHeader/>
        </w:trPr>
        <w:tc>
          <w:tcPr>
            <w:tcW w:w="886" w:type="dxa"/>
            <w:tcBorders>
              <w:top w:val="single" w:sz="4" w:space="0" w:color="1B556B"/>
              <w:bottom w:val="single" w:sz="4" w:space="0" w:color="1B556B"/>
            </w:tcBorders>
            <w:shd w:val="clear" w:color="auto" w:fill="1B556B"/>
            <w:vAlign w:val="bottom"/>
          </w:tcPr>
          <w:p w14:paraId="5A041268" w14:textId="77777777" w:rsidR="00053418" w:rsidRPr="009E06AA" w:rsidRDefault="00053418" w:rsidP="00B55F24">
            <w:pPr>
              <w:pStyle w:val="TableTextBold"/>
              <w:keepNext/>
              <w:spacing w:before="40" w:after="40"/>
              <w:rPr>
                <w:rFonts w:cs="Segoe UI"/>
                <w:noProof w:val="0"/>
                <w:color w:val="FFFFFF"/>
                <w:szCs w:val="16"/>
              </w:rPr>
            </w:pPr>
            <w:r w:rsidRPr="009E06AA">
              <w:rPr>
                <w:rFonts w:cs="Segoe UI"/>
                <w:noProof w:val="0"/>
                <w:color w:val="FFFFFF"/>
                <w:szCs w:val="16"/>
              </w:rPr>
              <w:t>Land use</w:t>
            </w:r>
          </w:p>
        </w:tc>
        <w:tc>
          <w:tcPr>
            <w:tcW w:w="1535" w:type="dxa"/>
            <w:tcBorders>
              <w:top w:val="single" w:sz="4" w:space="0" w:color="1B556B"/>
              <w:bottom w:val="single" w:sz="4" w:space="0" w:color="1B556B"/>
            </w:tcBorders>
            <w:shd w:val="clear" w:color="auto" w:fill="1B556B"/>
            <w:vAlign w:val="bottom"/>
          </w:tcPr>
          <w:p w14:paraId="6942FCB1" w14:textId="77777777" w:rsidR="00053418" w:rsidRPr="009E06AA" w:rsidRDefault="00053418" w:rsidP="00B55F24">
            <w:pPr>
              <w:pStyle w:val="TableTextBold"/>
              <w:keepNext/>
              <w:spacing w:before="40" w:after="40"/>
              <w:rPr>
                <w:rFonts w:cs="Segoe UI"/>
                <w:noProof w:val="0"/>
                <w:color w:val="FFFFFF"/>
                <w:szCs w:val="16"/>
              </w:rPr>
            </w:pPr>
            <w:r w:rsidRPr="009E06AA">
              <w:rPr>
                <w:rFonts w:cs="Segoe UI"/>
                <w:noProof w:val="0"/>
                <w:color w:val="FFFFFF"/>
                <w:szCs w:val="16"/>
              </w:rPr>
              <w:t>Carbon pool</w:t>
            </w:r>
          </w:p>
        </w:tc>
        <w:tc>
          <w:tcPr>
            <w:tcW w:w="1122" w:type="dxa"/>
            <w:tcBorders>
              <w:top w:val="single" w:sz="4" w:space="0" w:color="1B556B"/>
              <w:bottom w:val="single" w:sz="4" w:space="0" w:color="1B556B"/>
            </w:tcBorders>
            <w:shd w:val="clear" w:color="auto" w:fill="1B556B"/>
            <w:vAlign w:val="bottom"/>
          </w:tcPr>
          <w:p w14:paraId="49E4F522" w14:textId="77777777" w:rsidR="00053418" w:rsidRPr="009E06AA" w:rsidRDefault="00053418" w:rsidP="00B55F24">
            <w:pPr>
              <w:pStyle w:val="TableTextBold"/>
              <w:keepNext/>
              <w:spacing w:before="40" w:after="40"/>
              <w:jc w:val="center"/>
              <w:rPr>
                <w:rFonts w:cs="Segoe UI"/>
                <w:noProof w:val="0"/>
                <w:color w:val="FFFFFF"/>
                <w:szCs w:val="16"/>
              </w:rPr>
            </w:pPr>
            <w:r w:rsidRPr="009E06AA">
              <w:rPr>
                <w:rFonts w:cs="Segoe UI"/>
                <w:noProof w:val="0"/>
                <w:color w:val="FFFFFF"/>
                <w:szCs w:val="16"/>
              </w:rPr>
              <w:t xml:space="preserve">Steady state carbon stock </w:t>
            </w:r>
            <w:r w:rsidRPr="009E06AA">
              <w:rPr>
                <w:rFonts w:cs="Segoe UI"/>
                <w:noProof w:val="0"/>
                <w:color w:val="FFFFFF"/>
                <w:szCs w:val="16"/>
              </w:rPr>
              <w:br/>
              <w:t>(t C ha</w:t>
            </w:r>
            <w:r w:rsidRPr="009E06AA">
              <w:rPr>
                <w:rFonts w:cs="Segoe UI"/>
                <w:noProof w:val="0"/>
                <w:color w:val="FFFFFF"/>
                <w:szCs w:val="16"/>
                <w:vertAlign w:val="superscript"/>
              </w:rPr>
              <w:t>–1</w:t>
            </w:r>
            <w:r w:rsidRPr="009E06AA">
              <w:rPr>
                <w:rFonts w:cs="Segoe UI"/>
                <w:noProof w:val="0"/>
                <w:color w:val="FFFFFF"/>
                <w:szCs w:val="16"/>
              </w:rPr>
              <w:t>)</w:t>
            </w:r>
          </w:p>
        </w:tc>
        <w:tc>
          <w:tcPr>
            <w:tcW w:w="1241" w:type="dxa"/>
            <w:tcBorders>
              <w:top w:val="single" w:sz="4" w:space="0" w:color="1B556B"/>
              <w:bottom w:val="single" w:sz="4" w:space="0" w:color="1B556B"/>
            </w:tcBorders>
            <w:shd w:val="clear" w:color="auto" w:fill="1B556B"/>
            <w:vAlign w:val="bottom"/>
          </w:tcPr>
          <w:p w14:paraId="6F9CE33A" w14:textId="77777777" w:rsidR="00053418" w:rsidRPr="009E06AA" w:rsidRDefault="00053418" w:rsidP="00B55F24">
            <w:pPr>
              <w:pStyle w:val="TableTextBold"/>
              <w:keepNext/>
              <w:spacing w:before="40" w:after="40"/>
              <w:jc w:val="center"/>
              <w:rPr>
                <w:rFonts w:cs="Segoe UI"/>
                <w:noProof w:val="0"/>
                <w:color w:val="FFFFFF"/>
                <w:szCs w:val="16"/>
              </w:rPr>
            </w:pPr>
            <w:r w:rsidRPr="009E06AA">
              <w:rPr>
                <w:rFonts w:cs="Segoe UI"/>
                <w:noProof w:val="0"/>
                <w:color w:val="FFFFFF"/>
                <w:szCs w:val="16"/>
              </w:rPr>
              <w:t xml:space="preserve">Annual carbon stock change </w:t>
            </w:r>
            <w:r w:rsidRPr="009E06AA">
              <w:rPr>
                <w:rFonts w:cs="Segoe UI"/>
                <w:noProof w:val="0"/>
                <w:color w:val="FFFFFF"/>
                <w:szCs w:val="16"/>
              </w:rPr>
              <w:br/>
              <w:t>(t C ha</w:t>
            </w:r>
            <w:r w:rsidRPr="009E06AA">
              <w:rPr>
                <w:rFonts w:cs="Segoe UI"/>
                <w:noProof w:val="0"/>
                <w:color w:val="FFFFFF"/>
                <w:szCs w:val="16"/>
                <w:vertAlign w:val="superscript"/>
              </w:rPr>
              <w:t>–1</w:t>
            </w:r>
            <w:r w:rsidRPr="009E06AA">
              <w:rPr>
                <w:rFonts w:cs="Segoe UI"/>
                <w:noProof w:val="0"/>
                <w:color w:val="FFFFFF"/>
                <w:szCs w:val="16"/>
              </w:rPr>
              <w:t>)</w:t>
            </w:r>
          </w:p>
        </w:tc>
        <w:tc>
          <w:tcPr>
            <w:tcW w:w="1028" w:type="dxa"/>
            <w:tcBorders>
              <w:top w:val="single" w:sz="4" w:space="0" w:color="1B556B"/>
              <w:bottom w:val="single" w:sz="4" w:space="0" w:color="1B556B"/>
            </w:tcBorders>
            <w:shd w:val="clear" w:color="auto" w:fill="1B556B"/>
            <w:vAlign w:val="bottom"/>
          </w:tcPr>
          <w:p w14:paraId="70C62C04" w14:textId="77777777" w:rsidR="00053418" w:rsidRPr="009E06AA" w:rsidRDefault="00053418" w:rsidP="00B55F24">
            <w:pPr>
              <w:pStyle w:val="TableTextBold"/>
              <w:keepNext/>
              <w:spacing w:before="40" w:after="40"/>
              <w:jc w:val="center"/>
              <w:rPr>
                <w:rFonts w:cs="Segoe UI"/>
                <w:noProof w:val="0"/>
                <w:color w:val="FFFFFF"/>
                <w:szCs w:val="16"/>
              </w:rPr>
            </w:pPr>
            <w:r w:rsidRPr="009E06AA">
              <w:rPr>
                <w:rFonts w:cs="Segoe UI"/>
                <w:noProof w:val="0"/>
                <w:color w:val="FFFFFF"/>
                <w:szCs w:val="16"/>
              </w:rPr>
              <w:t>Years to reach steady state</w:t>
            </w:r>
          </w:p>
        </w:tc>
        <w:tc>
          <w:tcPr>
            <w:tcW w:w="2693" w:type="dxa"/>
            <w:tcBorders>
              <w:top w:val="single" w:sz="4" w:space="0" w:color="1B556B"/>
              <w:bottom w:val="single" w:sz="4" w:space="0" w:color="1B556B"/>
            </w:tcBorders>
            <w:shd w:val="clear" w:color="auto" w:fill="1B556B"/>
            <w:vAlign w:val="bottom"/>
          </w:tcPr>
          <w:p w14:paraId="7D9390B5" w14:textId="77777777" w:rsidR="00053418" w:rsidRPr="009E06AA" w:rsidRDefault="00053418" w:rsidP="00B55F24">
            <w:pPr>
              <w:pStyle w:val="TableTextBold"/>
              <w:keepNext/>
              <w:spacing w:before="40" w:after="40"/>
              <w:rPr>
                <w:rFonts w:cs="Segoe UI"/>
                <w:noProof w:val="0"/>
                <w:color w:val="FFFFFF"/>
                <w:szCs w:val="16"/>
              </w:rPr>
            </w:pPr>
            <w:r w:rsidRPr="009E06AA">
              <w:rPr>
                <w:rFonts w:cs="Segoe UI"/>
                <w:noProof w:val="0"/>
                <w:color w:val="FFFFFF"/>
                <w:szCs w:val="16"/>
              </w:rPr>
              <w:t>Source</w:t>
            </w:r>
          </w:p>
        </w:tc>
      </w:tr>
      <w:tr w:rsidR="00053418" w:rsidRPr="009E06AA" w14:paraId="4BBAD180" w14:textId="77777777" w:rsidTr="00B55F24">
        <w:tc>
          <w:tcPr>
            <w:tcW w:w="886" w:type="dxa"/>
            <w:tcBorders>
              <w:top w:val="single" w:sz="4" w:space="0" w:color="1B556B"/>
            </w:tcBorders>
          </w:tcPr>
          <w:p w14:paraId="6665A8F1" w14:textId="77777777" w:rsidR="00053418" w:rsidRPr="009E06AA" w:rsidRDefault="00053418" w:rsidP="00B55F24">
            <w:pPr>
              <w:pStyle w:val="TableTextBold"/>
              <w:keepNext/>
              <w:spacing w:before="40" w:after="40"/>
              <w:rPr>
                <w:rFonts w:cs="Segoe UI"/>
                <w:noProof w:val="0"/>
                <w:szCs w:val="16"/>
              </w:rPr>
            </w:pPr>
            <w:r w:rsidRPr="009E06AA">
              <w:rPr>
                <w:rFonts w:cs="Segoe UI"/>
                <w:noProof w:val="0"/>
                <w:szCs w:val="16"/>
              </w:rPr>
              <w:t>Annual</w:t>
            </w:r>
          </w:p>
        </w:tc>
        <w:tc>
          <w:tcPr>
            <w:tcW w:w="1535" w:type="dxa"/>
            <w:tcBorders>
              <w:top w:val="single" w:sz="4" w:space="0" w:color="1B556B"/>
              <w:bottom w:val="single" w:sz="4" w:space="0" w:color="1B556B"/>
            </w:tcBorders>
          </w:tcPr>
          <w:p w14:paraId="650F0442" w14:textId="77777777" w:rsidR="00053418" w:rsidRPr="009E06AA" w:rsidRDefault="00053418" w:rsidP="00B55F24">
            <w:pPr>
              <w:pStyle w:val="TableText"/>
              <w:keepNext/>
              <w:spacing w:before="40" w:after="40"/>
              <w:rPr>
                <w:rFonts w:cs="Segoe UI"/>
                <w:szCs w:val="16"/>
              </w:rPr>
            </w:pPr>
            <w:r w:rsidRPr="009E06AA">
              <w:rPr>
                <w:rFonts w:cs="Segoe UI"/>
                <w:szCs w:val="16"/>
              </w:rPr>
              <w:t>Biomass</w:t>
            </w:r>
          </w:p>
        </w:tc>
        <w:tc>
          <w:tcPr>
            <w:tcW w:w="1122" w:type="dxa"/>
            <w:tcBorders>
              <w:top w:val="single" w:sz="4" w:space="0" w:color="1B556B"/>
              <w:bottom w:val="single" w:sz="4" w:space="0" w:color="1B556B"/>
            </w:tcBorders>
          </w:tcPr>
          <w:p w14:paraId="0C234899" w14:textId="77777777" w:rsidR="00053418" w:rsidRPr="009E06AA" w:rsidRDefault="00053418" w:rsidP="00B55F24">
            <w:pPr>
              <w:pStyle w:val="TableText"/>
              <w:keepNext/>
              <w:spacing w:before="40" w:after="40"/>
              <w:jc w:val="center"/>
              <w:rPr>
                <w:rFonts w:cs="Segoe UI"/>
                <w:szCs w:val="16"/>
              </w:rPr>
            </w:pPr>
          </w:p>
        </w:tc>
        <w:tc>
          <w:tcPr>
            <w:tcW w:w="1241" w:type="dxa"/>
            <w:tcBorders>
              <w:top w:val="single" w:sz="4" w:space="0" w:color="1B556B"/>
              <w:bottom w:val="single" w:sz="4" w:space="0" w:color="1B556B"/>
            </w:tcBorders>
          </w:tcPr>
          <w:p w14:paraId="40A4C948" w14:textId="77777777" w:rsidR="00053418" w:rsidRPr="009E06AA" w:rsidRDefault="00053418" w:rsidP="00B55F24">
            <w:pPr>
              <w:pStyle w:val="TableText"/>
              <w:keepNext/>
              <w:spacing w:before="40" w:after="40"/>
              <w:jc w:val="center"/>
              <w:rPr>
                <w:rFonts w:cs="Segoe UI"/>
                <w:szCs w:val="16"/>
              </w:rPr>
            </w:pPr>
          </w:p>
        </w:tc>
        <w:tc>
          <w:tcPr>
            <w:tcW w:w="1028" w:type="dxa"/>
            <w:tcBorders>
              <w:top w:val="single" w:sz="4" w:space="0" w:color="1B556B"/>
              <w:bottom w:val="single" w:sz="4" w:space="0" w:color="1B556B"/>
            </w:tcBorders>
          </w:tcPr>
          <w:p w14:paraId="0CCAB5BD" w14:textId="77777777" w:rsidR="00053418" w:rsidRPr="009E06AA" w:rsidRDefault="00053418" w:rsidP="00B55F24">
            <w:pPr>
              <w:pStyle w:val="TableText"/>
              <w:keepNext/>
              <w:spacing w:before="40" w:after="40"/>
              <w:jc w:val="center"/>
              <w:rPr>
                <w:rFonts w:cs="Segoe UI"/>
                <w:szCs w:val="16"/>
              </w:rPr>
            </w:pPr>
          </w:p>
        </w:tc>
        <w:tc>
          <w:tcPr>
            <w:tcW w:w="2693" w:type="dxa"/>
            <w:tcBorders>
              <w:top w:val="single" w:sz="4" w:space="0" w:color="1B556B"/>
              <w:bottom w:val="single" w:sz="4" w:space="0" w:color="1B556B"/>
            </w:tcBorders>
          </w:tcPr>
          <w:p w14:paraId="57AABA52" w14:textId="77777777" w:rsidR="00053418" w:rsidRPr="009E06AA" w:rsidRDefault="00053418" w:rsidP="00B55F24">
            <w:pPr>
              <w:pStyle w:val="TableText"/>
              <w:keepNext/>
              <w:spacing w:before="40" w:after="40"/>
              <w:rPr>
                <w:rFonts w:cs="Segoe UI"/>
                <w:szCs w:val="16"/>
              </w:rPr>
            </w:pPr>
          </w:p>
        </w:tc>
      </w:tr>
      <w:tr w:rsidR="00053418" w:rsidRPr="009E06AA" w14:paraId="5A950A02" w14:textId="77777777" w:rsidTr="00F763BD">
        <w:tc>
          <w:tcPr>
            <w:tcW w:w="886" w:type="dxa"/>
          </w:tcPr>
          <w:p w14:paraId="5904030D" w14:textId="77777777" w:rsidR="00053418" w:rsidRPr="009E06AA" w:rsidRDefault="00053418" w:rsidP="00B55F24">
            <w:pPr>
              <w:pStyle w:val="TableText"/>
              <w:spacing w:before="40" w:after="40"/>
              <w:rPr>
                <w:rFonts w:cs="Segoe UI"/>
                <w:szCs w:val="16"/>
              </w:rPr>
            </w:pPr>
            <w:r w:rsidRPr="009E06AA">
              <w:rPr>
                <w:rFonts w:cs="Segoe UI"/>
                <w:szCs w:val="16"/>
              </w:rPr>
              <w:t> </w:t>
            </w:r>
          </w:p>
        </w:tc>
        <w:tc>
          <w:tcPr>
            <w:tcW w:w="1535" w:type="dxa"/>
            <w:tcBorders>
              <w:top w:val="single" w:sz="4" w:space="0" w:color="1B556B"/>
              <w:bottom w:val="single" w:sz="4" w:space="0" w:color="1B556B"/>
            </w:tcBorders>
          </w:tcPr>
          <w:p w14:paraId="09F5E49D" w14:textId="77777777" w:rsidR="00053418" w:rsidRPr="009E06AA" w:rsidRDefault="00053418" w:rsidP="00B55F24">
            <w:pPr>
              <w:pStyle w:val="TableText"/>
              <w:keepNext/>
              <w:spacing w:before="40" w:after="40"/>
              <w:rPr>
                <w:rFonts w:cs="Segoe UI"/>
                <w:szCs w:val="16"/>
              </w:rPr>
            </w:pPr>
            <w:r w:rsidRPr="009E06AA">
              <w:rPr>
                <w:rFonts w:cs="Segoe UI"/>
                <w:szCs w:val="16"/>
              </w:rPr>
              <w:t>Living biomass</w:t>
            </w:r>
          </w:p>
        </w:tc>
        <w:tc>
          <w:tcPr>
            <w:tcW w:w="1122" w:type="dxa"/>
            <w:tcBorders>
              <w:top w:val="single" w:sz="4" w:space="0" w:color="1B556B"/>
              <w:bottom w:val="single" w:sz="4" w:space="0" w:color="1B556B"/>
            </w:tcBorders>
          </w:tcPr>
          <w:p w14:paraId="39501B2D" w14:textId="77777777" w:rsidR="00053418" w:rsidRPr="009E06AA" w:rsidRDefault="00053418" w:rsidP="00F763BD">
            <w:pPr>
              <w:pStyle w:val="TableText"/>
              <w:keepNext/>
              <w:spacing w:before="40" w:after="40"/>
              <w:jc w:val="right"/>
              <w:rPr>
                <w:rFonts w:cs="Segoe UI"/>
                <w:szCs w:val="16"/>
              </w:rPr>
            </w:pPr>
            <w:r w:rsidRPr="009E06AA">
              <w:rPr>
                <w:rFonts w:cs="Segoe UI"/>
                <w:szCs w:val="16"/>
              </w:rPr>
              <w:t>5.0</w:t>
            </w:r>
          </w:p>
        </w:tc>
        <w:tc>
          <w:tcPr>
            <w:tcW w:w="1241" w:type="dxa"/>
            <w:tcBorders>
              <w:top w:val="single" w:sz="4" w:space="0" w:color="1B556B"/>
              <w:bottom w:val="single" w:sz="4" w:space="0" w:color="1B556B"/>
            </w:tcBorders>
          </w:tcPr>
          <w:p w14:paraId="512F5368" w14:textId="77777777" w:rsidR="00053418" w:rsidRPr="009E06AA" w:rsidRDefault="00053418" w:rsidP="00F763BD">
            <w:pPr>
              <w:pStyle w:val="TableText"/>
              <w:keepNext/>
              <w:spacing w:before="40" w:after="40"/>
              <w:jc w:val="right"/>
              <w:rPr>
                <w:rFonts w:cs="Segoe UI"/>
                <w:szCs w:val="16"/>
              </w:rPr>
            </w:pPr>
            <w:r w:rsidRPr="009E06AA">
              <w:rPr>
                <w:rFonts w:cs="Segoe UI"/>
                <w:szCs w:val="16"/>
              </w:rPr>
              <w:t>NA</w:t>
            </w:r>
          </w:p>
        </w:tc>
        <w:tc>
          <w:tcPr>
            <w:tcW w:w="1028" w:type="dxa"/>
            <w:tcBorders>
              <w:top w:val="single" w:sz="4" w:space="0" w:color="1B556B"/>
              <w:bottom w:val="single" w:sz="4" w:space="0" w:color="1B556B"/>
            </w:tcBorders>
            <w:tcMar>
              <w:right w:w="85" w:type="dxa"/>
            </w:tcMar>
          </w:tcPr>
          <w:p w14:paraId="1F9F9041" w14:textId="77777777" w:rsidR="00053418" w:rsidRPr="009E06AA" w:rsidRDefault="00053418" w:rsidP="00F763BD">
            <w:pPr>
              <w:pStyle w:val="TableText"/>
              <w:keepNext/>
              <w:spacing w:before="40" w:after="40"/>
              <w:jc w:val="right"/>
              <w:rPr>
                <w:rFonts w:cs="Segoe UI"/>
                <w:szCs w:val="16"/>
              </w:rPr>
            </w:pPr>
            <w:r w:rsidRPr="009E06AA">
              <w:rPr>
                <w:rFonts w:cs="Segoe UI"/>
                <w:szCs w:val="16"/>
              </w:rPr>
              <w:t>1</w:t>
            </w:r>
          </w:p>
        </w:tc>
        <w:tc>
          <w:tcPr>
            <w:tcW w:w="2693" w:type="dxa"/>
            <w:tcBorders>
              <w:top w:val="single" w:sz="4" w:space="0" w:color="1B556B"/>
              <w:bottom w:val="single" w:sz="4" w:space="0" w:color="1B556B"/>
            </w:tcBorders>
          </w:tcPr>
          <w:p w14:paraId="476DCE6D" w14:textId="77777777" w:rsidR="00053418" w:rsidRPr="009E06AA" w:rsidRDefault="00053418" w:rsidP="00B55F24">
            <w:pPr>
              <w:pStyle w:val="TableText"/>
              <w:keepNext/>
              <w:spacing w:before="40" w:after="40"/>
              <w:rPr>
                <w:rFonts w:cs="Segoe UI"/>
                <w:szCs w:val="16"/>
              </w:rPr>
            </w:pPr>
            <w:r w:rsidRPr="009E06AA">
              <w:rPr>
                <w:rFonts w:cs="Segoe UI"/>
                <w:szCs w:val="16"/>
              </w:rPr>
              <w:t>IPCC default (table 5.9, IPCC, 2006a)</w:t>
            </w:r>
          </w:p>
        </w:tc>
      </w:tr>
      <w:tr w:rsidR="00053418" w:rsidRPr="009E06AA" w14:paraId="52DFB41B" w14:textId="77777777" w:rsidTr="00F763BD">
        <w:tc>
          <w:tcPr>
            <w:tcW w:w="886" w:type="dxa"/>
          </w:tcPr>
          <w:p w14:paraId="22ADC379" w14:textId="77777777" w:rsidR="00053418" w:rsidRPr="009E06AA" w:rsidRDefault="00053418" w:rsidP="00B55F24">
            <w:pPr>
              <w:pStyle w:val="TableText"/>
              <w:spacing w:before="40" w:after="40"/>
              <w:rPr>
                <w:rFonts w:cs="Segoe UI"/>
                <w:szCs w:val="16"/>
              </w:rPr>
            </w:pPr>
            <w:r w:rsidRPr="009E06AA">
              <w:rPr>
                <w:rFonts w:cs="Segoe UI"/>
                <w:szCs w:val="16"/>
              </w:rPr>
              <w:t> </w:t>
            </w:r>
          </w:p>
        </w:tc>
        <w:tc>
          <w:tcPr>
            <w:tcW w:w="1535" w:type="dxa"/>
            <w:tcBorders>
              <w:top w:val="single" w:sz="4" w:space="0" w:color="1B556B"/>
              <w:bottom w:val="single" w:sz="4" w:space="0" w:color="1B556B"/>
            </w:tcBorders>
          </w:tcPr>
          <w:p w14:paraId="7F30BD23" w14:textId="77777777" w:rsidR="00053418" w:rsidRPr="009E06AA" w:rsidRDefault="00053418" w:rsidP="00B55F24">
            <w:pPr>
              <w:pStyle w:val="TableText"/>
              <w:spacing w:before="40" w:after="40"/>
              <w:rPr>
                <w:rFonts w:cs="Segoe UI"/>
                <w:szCs w:val="16"/>
              </w:rPr>
            </w:pPr>
            <w:r w:rsidRPr="009E06AA">
              <w:rPr>
                <w:rFonts w:cs="Segoe UI"/>
                <w:szCs w:val="16"/>
              </w:rPr>
              <w:t>Dead organic matter</w:t>
            </w:r>
          </w:p>
        </w:tc>
        <w:tc>
          <w:tcPr>
            <w:tcW w:w="1122" w:type="dxa"/>
            <w:tcBorders>
              <w:top w:val="single" w:sz="4" w:space="0" w:color="1B556B"/>
              <w:bottom w:val="single" w:sz="4" w:space="0" w:color="1B556B"/>
            </w:tcBorders>
          </w:tcPr>
          <w:p w14:paraId="0BD4F329" w14:textId="77777777" w:rsidR="00053418" w:rsidRPr="009E06AA" w:rsidRDefault="00053418" w:rsidP="00F763BD">
            <w:pPr>
              <w:pStyle w:val="TableText"/>
              <w:spacing w:before="40" w:after="40"/>
              <w:jc w:val="right"/>
              <w:rPr>
                <w:rFonts w:cs="Segoe UI"/>
                <w:szCs w:val="16"/>
              </w:rPr>
            </w:pPr>
            <w:r w:rsidRPr="009E06AA">
              <w:rPr>
                <w:rFonts w:cs="Segoe UI"/>
                <w:szCs w:val="16"/>
              </w:rPr>
              <w:t>NE</w:t>
            </w:r>
          </w:p>
        </w:tc>
        <w:tc>
          <w:tcPr>
            <w:tcW w:w="1241" w:type="dxa"/>
            <w:tcBorders>
              <w:top w:val="single" w:sz="4" w:space="0" w:color="1B556B"/>
              <w:bottom w:val="single" w:sz="4" w:space="0" w:color="1B556B"/>
            </w:tcBorders>
          </w:tcPr>
          <w:p w14:paraId="038120B9" w14:textId="77777777" w:rsidR="00053418" w:rsidRPr="009E06AA" w:rsidRDefault="00053418" w:rsidP="00F763BD">
            <w:pPr>
              <w:pStyle w:val="TableText"/>
              <w:spacing w:before="40" w:after="40"/>
              <w:jc w:val="right"/>
              <w:rPr>
                <w:rFonts w:cs="Segoe UI"/>
                <w:szCs w:val="16"/>
              </w:rPr>
            </w:pPr>
            <w:r w:rsidRPr="009E06AA">
              <w:rPr>
                <w:rFonts w:cs="Segoe UI"/>
                <w:szCs w:val="16"/>
              </w:rPr>
              <w:t>NE</w:t>
            </w:r>
          </w:p>
        </w:tc>
        <w:tc>
          <w:tcPr>
            <w:tcW w:w="1028" w:type="dxa"/>
            <w:tcBorders>
              <w:top w:val="single" w:sz="4" w:space="0" w:color="1B556B"/>
              <w:bottom w:val="single" w:sz="4" w:space="0" w:color="1B556B"/>
            </w:tcBorders>
            <w:tcMar>
              <w:right w:w="85" w:type="dxa"/>
            </w:tcMar>
          </w:tcPr>
          <w:p w14:paraId="0BD10EDC" w14:textId="77777777" w:rsidR="00053418" w:rsidRPr="009E06AA" w:rsidRDefault="00053418" w:rsidP="00F763BD">
            <w:pPr>
              <w:pStyle w:val="TableText"/>
              <w:spacing w:before="40" w:after="40"/>
              <w:jc w:val="right"/>
              <w:rPr>
                <w:rFonts w:cs="Segoe UI"/>
                <w:szCs w:val="16"/>
              </w:rPr>
            </w:pPr>
            <w:r w:rsidRPr="009E06AA">
              <w:rPr>
                <w:rFonts w:cs="Segoe UI"/>
                <w:szCs w:val="16"/>
              </w:rPr>
              <w:t>NA</w:t>
            </w:r>
          </w:p>
        </w:tc>
        <w:tc>
          <w:tcPr>
            <w:tcW w:w="2693" w:type="dxa"/>
            <w:tcBorders>
              <w:top w:val="single" w:sz="4" w:space="0" w:color="1B556B"/>
              <w:bottom w:val="single" w:sz="4" w:space="0" w:color="1B556B"/>
            </w:tcBorders>
          </w:tcPr>
          <w:p w14:paraId="6E33C37E" w14:textId="77777777" w:rsidR="00053418" w:rsidRPr="009E06AA" w:rsidRDefault="00053418" w:rsidP="00B55F24">
            <w:pPr>
              <w:pStyle w:val="TableText"/>
              <w:spacing w:before="40" w:after="40"/>
              <w:rPr>
                <w:rFonts w:cs="Segoe UI"/>
                <w:szCs w:val="16"/>
              </w:rPr>
            </w:pPr>
            <w:r w:rsidRPr="009E06AA">
              <w:rPr>
                <w:rFonts w:cs="Segoe UI"/>
                <w:szCs w:val="16"/>
              </w:rPr>
              <w:t>No IPCC guidelines</w:t>
            </w:r>
          </w:p>
        </w:tc>
      </w:tr>
      <w:tr w:rsidR="00053418" w:rsidRPr="009E06AA" w14:paraId="1D62810E" w14:textId="77777777" w:rsidTr="00F763BD">
        <w:tc>
          <w:tcPr>
            <w:tcW w:w="886" w:type="dxa"/>
          </w:tcPr>
          <w:p w14:paraId="6B0D490C" w14:textId="77777777" w:rsidR="00053418" w:rsidRPr="009E06AA" w:rsidRDefault="00053418" w:rsidP="00B55F24">
            <w:pPr>
              <w:pStyle w:val="TableText"/>
              <w:spacing w:before="40" w:after="40"/>
              <w:rPr>
                <w:rFonts w:cs="Segoe UI"/>
                <w:szCs w:val="16"/>
              </w:rPr>
            </w:pPr>
            <w:r w:rsidRPr="009E06AA">
              <w:rPr>
                <w:rFonts w:cs="Segoe UI"/>
                <w:szCs w:val="16"/>
              </w:rPr>
              <w:t> </w:t>
            </w:r>
          </w:p>
        </w:tc>
        <w:tc>
          <w:tcPr>
            <w:tcW w:w="1535" w:type="dxa"/>
            <w:tcBorders>
              <w:top w:val="single" w:sz="4" w:space="0" w:color="1B556B"/>
              <w:bottom w:val="single" w:sz="4" w:space="0" w:color="1B556B"/>
            </w:tcBorders>
          </w:tcPr>
          <w:p w14:paraId="77B83802" w14:textId="77777777" w:rsidR="00053418" w:rsidRPr="009E06AA" w:rsidRDefault="00053418" w:rsidP="00B55F24">
            <w:pPr>
              <w:pStyle w:val="TableText"/>
              <w:spacing w:before="40" w:after="40"/>
              <w:rPr>
                <w:rFonts w:cs="Segoe UI"/>
                <w:szCs w:val="16"/>
              </w:rPr>
            </w:pPr>
            <w:r w:rsidRPr="009E06AA">
              <w:rPr>
                <w:rFonts w:cs="Segoe UI"/>
                <w:szCs w:val="16"/>
              </w:rPr>
              <w:t>Soils</w:t>
            </w:r>
          </w:p>
        </w:tc>
        <w:tc>
          <w:tcPr>
            <w:tcW w:w="1122" w:type="dxa"/>
            <w:tcBorders>
              <w:top w:val="single" w:sz="4" w:space="0" w:color="1B556B"/>
              <w:bottom w:val="single" w:sz="4" w:space="0" w:color="1B556B"/>
            </w:tcBorders>
          </w:tcPr>
          <w:p w14:paraId="71499F3B" w14:textId="77777777" w:rsidR="00053418" w:rsidRPr="009E06AA" w:rsidRDefault="00053418" w:rsidP="00F763BD">
            <w:pPr>
              <w:pStyle w:val="TableText"/>
              <w:spacing w:before="40" w:after="40"/>
              <w:jc w:val="right"/>
              <w:rPr>
                <w:rFonts w:cs="Segoe UI"/>
                <w:szCs w:val="16"/>
              </w:rPr>
            </w:pPr>
          </w:p>
        </w:tc>
        <w:tc>
          <w:tcPr>
            <w:tcW w:w="1241" w:type="dxa"/>
            <w:tcBorders>
              <w:top w:val="single" w:sz="4" w:space="0" w:color="1B556B"/>
              <w:bottom w:val="single" w:sz="4" w:space="0" w:color="1B556B"/>
            </w:tcBorders>
          </w:tcPr>
          <w:p w14:paraId="306E9A0A" w14:textId="77777777" w:rsidR="00053418" w:rsidRPr="009E06AA" w:rsidRDefault="00053418" w:rsidP="00F763BD">
            <w:pPr>
              <w:pStyle w:val="TableText"/>
              <w:spacing w:before="40" w:after="40"/>
              <w:jc w:val="right"/>
              <w:rPr>
                <w:rFonts w:cs="Segoe UI"/>
                <w:szCs w:val="16"/>
              </w:rPr>
            </w:pPr>
          </w:p>
        </w:tc>
        <w:tc>
          <w:tcPr>
            <w:tcW w:w="1028" w:type="dxa"/>
            <w:tcBorders>
              <w:top w:val="single" w:sz="4" w:space="0" w:color="1B556B"/>
              <w:bottom w:val="single" w:sz="4" w:space="0" w:color="1B556B"/>
            </w:tcBorders>
            <w:tcMar>
              <w:right w:w="85" w:type="dxa"/>
            </w:tcMar>
          </w:tcPr>
          <w:p w14:paraId="1E183200" w14:textId="77777777" w:rsidR="00053418" w:rsidRPr="009E06AA" w:rsidRDefault="00053418" w:rsidP="00F763BD">
            <w:pPr>
              <w:pStyle w:val="TableText"/>
              <w:spacing w:before="40" w:after="40"/>
              <w:jc w:val="right"/>
              <w:rPr>
                <w:rFonts w:cs="Segoe UI"/>
                <w:szCs w:val="16"/>
              </w:rPr>
            </w:pPr>
          </w:p>
        </w:tc>
        <w:tc>
          <w:tcPr>
            <w:tcW w:w="2693" w:type="dxa"/>
            <w:tcBorders>
              <w:top w:val="single" w:sz="4" w:space="0" w:color="1B556B"/>
              <w:bottom w:val="single" w:sz="4" w:space="0" w:color="1B556B"/>
            </w:tcBorders>
          </w:tcPr>
          <w:p w14:paraId="2142DE9A" w14:textId="77777777" w:rsidR="00053418" w:rsidRPr="009E06AA" w:rsidRDefault="00053418" w:rsidP="00B55F24">
            <w:pPr>
              <w:pStyle w:val="TableText"/>
              <w:spacing w:before="40" w:after="40"/>
              <w:rPr>
                <w:rFonts w:cs="Segoe UI"/>
                <w:szCs w:val="16"/>
              </w:rPr>
            </w:pPr>
          </w:p>
        </w:tc>
      </w:tr>
      <w:tr w:rsidR="00053418" w:rsidRPr="009E06AA" w14:paraId="6518DF02" w14:textId="77777777" w:rsidTr="00F763BD">
        <w:tc>
          <w:tcPr>
            <w:tcW w:w="886" w:type="dxa"/>
          </w:tcPr>
          <w:p w14:paraId="66FDB805" w14:textId="77777777" w:rsidR="00053418" w:rsidRPr="009E06AA" w:rsidRDefault="00053418" w:rsidP="00B55F24">
            <w:pPr>
              <w:pStyle w:val="TableText"/>
              <w:spacing w:before="40" w:after="40"/>
              <w:rPr>
                <w:rFonts w:cs="Segoe UI"/>
                <w:szCs w:val="16"/>
              </w:rPr>
            </w:pPr>
          </w:p>
        </w:tc>
        <w:tc>
          <w:tcPr>
            <w:tcW w:w="1535" w:type="dxa"/>
            <w:tcBorders>
              <w:top w:val="single" w:sz="4" w:space="0" w:color="1B556B"/>
              <w:bottom w:val="single" w:sz="4" w:space="0" w:color="1B556B"/>
            </w:tcBorders>
          </w:tcPr>
          <w:p w14:paraId="2E899207" w14:textId="77777777" w:rsidR="00053418" w:rsidRPr="009E06AA" w:rsidRDefault="00053418" w:rsidP="00B55F24">
            <w:pPr>
              <w:pStyle w:val="TableText"/>
              <w:spacing w:before="40" w:after="40"/>
              <w:rPr>
                <w:rFonts w:cs="Segoe UI"/>
                <w:szCs w:val="16"/>
              </w:rPr>
            </w:pPr>
            <w:r w:rsidRPr="009E06AA">
              <w:rPr>
                <w:rFonts w:cs="Segoe UI"/>
                <w:szCs w:val="16"/>
              </w:rPr>
              <w:t xml:space="preserve">Mineral </w:t>
            </w:r>
          </w:p>
        </w:tc>
        <w:tc>
          <w:tcPr>
            <w:tcW w:w="1122" w:type="dxa"/>
            <w:tcBorders>
              <w:top w:val="single" w:sz="4" w:space="0" w:color="1B556B"/>
              <w:bottom w:val="single" w:sz="4" w:space="0" w:color="1B556B"/>
            </w:tcBorders>
          </w:tcPr>
          <w:p w14:paraId="6EB3D3D5" w14:textId="77777777" w:rsidR="00053418" w:rsidRPr="009E06AA" w:rsidRDefault="00053418" w:rsidP="00F763BD">
            <w:pPr>
              <w:pStyle w:val="TableText"/>
              <w:spacing w:before="40" w:after="40"/>
              <w:jc w:val="right"/>
              <w:rPr>
                <w:rFonts w:cs="Segoe UI"/>
                <w:szCs w:val="16"/>
              </w:rPr>
            </w:pPr>
            <w:r w:rsidRPr="009E06AA">
              <w:rPr>
                <w:rFonts w:cs="Segoe UI"/>
                <w:szCs w:val="16"/>
              </w:rPr>
              <w:t>89.77</w:t>
            </w:r>
          </w:p>
        </w:tc>
        <w:tc>
          <w:tcPr>
            <w:tcW w:w="1241" w:type="dxa"/>
            <w:tcBorders>
              <w:top w:val="single" w:sz="4" w:space="0" w:color="1B556B"/>
              <w:bottom w:val="single" w:sz="4" w:space="0" w:color="1B556B"/>
            </w:tcBorders>
          </w:tcPr>
          <w:p w14:paraId="03D2828D" w14:textId="77777777" w:rsidR="00053418" w:rsidRPr="009E06AA" w:rsidRDefault="00053418" w:rsidP="00F763BD">
            <w:pPr>
              <w:pStyle w:val="TableText"/>
              <w:spacing w:before="40" w:after="40"/>
              <w:jc w:val="right"/>
              <w:rPr>
                <w:rFonts w:cs="Segoe UI"/>
                <w:szCs w:val="16"/>
              </w:rPr>
            </w:pPr>
            <w:r w:rsidRPr="009E06AA">
              <w:rPr>
                <w:rFonts w:cs="Segoe UI"/>
                <w:szCs w:val="16"/>
              </w:rPr>
              <w:t>*</w:t>
            </w:r>
          </w:p>
        </w:tc>
        <w:tc>
          <w:tcPr>
            <w:tcW w:w="1028" w:type="dxa"/>
            <w:tcBorders>
              <w:top w:val="single" w:sz="4" w:space="0" w:color="1B556B"/>
              <w:bottom w:val="single" w:sz="4" w:space="0" w:color="1B556B"/>
            </w:tcBorders>
            <w:tcMar>
              <w:right w:w="85" w:type="dxa"/>
            </w:tcMar>
          </w:tcPr>
          <w:p w14:paraId="3DE70B8D" w14:textId="77777777" w:rsidR="00053418" w:rsidRPr="009E06AA" w:rsidRDefault="00053418" w:rsidP="00F763BD">
            <w:pPr>
              <w:pStyle w:val="TableText"/>
              <w:spacing w:before="40" w:after="40"/>
              <w:jc w:val="right"/>
              <w:rPr>
                <w:rFonts w:cs="Segoe UI"/>
                <w:szCs w:val="16"/>
              </w:rPr>
            </w:pPr>
            <w:r w:rsidRPr="009E06AA">
              <w:rPr>
                <w:rFonts w:cs="Segoe UI"/>
                <w:szCs w:val="16"/>
              </w:rPr>
              <w:t>20</w:t>
            </w:r>
          </w:p>
        </w:tc>
        <w:tc>
          <w:tcPr>
            <w:tcW w:w="2693" w:type="dxa"/>
            <w:tcBorders>
              <w:top w:val="single" w:sz="4" w:space="0" w:color="1B556B"/>
              <w:bottom w:val="single" w:sz="4" w:space="0" w:color="1B556B"/>
            </w:tcBorders>
          </w:tcPr>
          <w:p w14:paraId="63B30021" w14:textId="77777777" w:rsidR="00053418" w:rsidRPr="009E06AA" w:rsidRDefault="00053418" w:rsidP="00B55F24">
            <w:pPr>
              <w:pStyle w:val="TableText"/>
              <w:spacing w:before="40" w:after="40"/>
              <w:rPr>
                <w:rFonts w:cs="Segoe UI"/>
                <w:szCs w:val="16"/>
              </w:rPr>
            </w:pPr>
            <w:r w:rsidRPr="009E06AA">
              <w:rPr>
                <w:rFonts w:cs="Segoe UI"/>
                <w:szCs w:val="16"/>
              </w:rPr>
              <w:t>New Zealand-specific EF (McNeill and Barringer, unpublished)</w:t>
            </w:r>
          </w:p>
        </w:tc>
      </w:tr>
      <w:tr w:rsidR="00053418" w:rsidRPr="009E06AA" w14:paraId="77FD3A8B" w14:textId="77777777" w:rsidTr="00F763BD">
        <w:tc>
          <w:tcPr>
            <w:tcW w:w="886" w:type="dxa"/>
            <w:tcBorders>
              <w:bottom w:val="single" w:sz="4" w:space="0" w:color="1B556B"/>
            </w:tcBorders>
          </w:tcPr>
          <w:p w14:paraId="06303495" w14:textId="77777777" w:rsidR="00053418" w:rsidRPr="009E06AA" w:rsidRDefault="00053418" w:rsidP="00B55F24">
            <w:pPr>
              <w:pStyle w:val="TableText"/>
              <w:spacing w:before="40" w:after="40"/>
              <w:rPr>
                <w:rFonts w:cs="Segoe UI"/>
                <w:szCs w:val="16"/>
              </w:rPr>
            </w:pPr>
          </w:p>
        </w:tc>
        <w:tc>
          <w:tcPr>
            <w:tcW w:w="1535" w:type="dxa"/>
            <w:tcBorders>
              <w:top w:val="single" w:sz="4" w:space="0" w:color="1B556B"/>
              <w:bottom w:val="single" w:sz="4" w:space="0" w:color="1B556B"/>
            </w:tcBorders>
          </w:tcPr>
          <w:p w14:paraId="025DFE57" w14:textId="77777777" w:rsidR="00053418" w:rsidRPr="009E06AA" w:rsidRDefault="00053418" w:rsidP="00B55F24">
            <w:pPr>
              <w:pStyle w:val="TableText"/>
              <w:spacing w:before="40" w:after="40"/>
              <w:rPr>
                <w:rFonts w:cs="Segoe UI"/>
                <w:szCs w:val="16"/>
              </w:rPr>
            </w:pPr>
            <w:r w:rsidRPr="009E06AA">
              <w:rPr>
                <w:rFonts w:cs="Segoe UI"/>
                <w:szCs w:val="16"/>
              </w:rPr>
              <w:t xml:space="preserve">Organic </w:t>
            </w:r>
          </w:p>
        </w:tc>
        <w:tc>
          <w:tcPr>
            <w:tcW w:w="1122" w:type="dxa"/>
            <w:tcBorders>
              <w:top w:val="single" w:sz="4" w:space="0" w:color="1B556B"/>
              <w:bottom w:val="single" w:sz="4" w:space="0" w:color="1B556B"/>
            </w:tcBorders>
          </w:tcPr>
          <w:p w14:paraId="6AF30AA6" w14:textId="77777777" w:rsidR="00053418" w:rsidRPr="009E06AA" w:rsidRDefault="00053418" w:rsidP="00F763BD">
            <w:pPr>
              <w:pStyle w:val="TableText"/>
              <w:spacing w:before="40" w:after="40"/>
              <w:jc w:val="right"/>
              <w:rPr>
                <w:rFonts w:cs="Segoe UI"/>
                <w:szCs w:val="16"/>
              </w:rPr>
            </w:pPr>
            <w:r w:rsidRPr="009E06AA">
              <w:rPr>
                <w:rFonts w:cs="Segoe UI"/>
                <w:szCs w:val="16"/>
              </w:rPr>
              <w:t>NE</w:t>
            </w:r>
          </w:p>
        </w:tc>
        <w:tc>
          <w:tcPr>
            <w:tcW w:w="1241" w:type="dxa"/>
            <w:tcBorders>
              <w:top w:val="single" w:sz="4" w:space="0" w:color="1B556B"/>
              <w:bottom w:val="single" w:sz="4" w:space="0" w:color="1B556B"/>
            </w:tcBorders>
          </w:tcPr>
          <w:p w14:paraId="08EC613F" w14:textId="77777777" w:rsidR="00053418" w:rsidRPr="009E06AA" w:rsidRDefault="00053418" w:rsidP="00F763BD">
            <w:pPr>
              <w:pStyle w:val="TableText"/>
              <w:spacing w:before="40" w:after="40"/>
              <w:jc w:val="right"/>
              <w:rPr>
                <w:rFonts w:cs="Segoe UI"/>
                <w:szCs w:val="16"/>
              </w:rPr>
            </w:pPr>
            <w:r w:rsidRPr="009E06AA">
              <w:rPr>
                <w:rFonts w:cs="Segoe UI"/>
                <w:szCs w:val="16"/>
              </w:rPr>
              <w:t>-5.0 or -10.0**</w:t>
            </w:r>
          </w:p>
        </w:tc>
        <w:tc>
          <w:tcPr>
            <w:tcW w:w="1028" w:type="dxa"/>
            <w:tcBorders>
              <w:top w:val="single" w:sz="4" w:space="0" w:color="1B556B"/>
              <w:bottom w:val="single" w:sz="4" w:space="0" w:color="1B556B"/>
            </w:tcBorders>
            <w:tcMar>
              <w:right w:w="85" w:type="dxa"/>
            </w:tcMar>
          </w:tcPr>
          <w:p w14:paraId="6F5B5752" w14:textId="77777777" w:rsidR="00053418" w:rsidRPr="009E06AA" w:rsidRDefault="00053418" w:rsidP="00F763BD">
            <w:pPr>
              <w:pStyle w:val="TableText"/>
              <w:spacing w:before="40" w:after="40"/>
              <w:jc w:val="right"/>
              <w:rPr>
                <w:rFonts w:cs="Segoe UI"/>
                <w:szCs w:val="16"/>
              </w:rPr>
            </w:pPr>
          </w:p>
        </w:tc>
        <w:tc>
          <w:tcPr>
            <w:tcW w:w="2693" w:type="dxa"/>
            <w:tcBorders>
              <w:top w:val="single" w:sz="4" w:space="0" w:color="1B556B"/>
              <w:bottom w:val="single" w:sz="4" w:space="0" w:color="1B556B"/>
            </w:tcBorders>
          </w:tcPr>
          <w:p w14:paraId="1E31CFCA" w14:textId="77777777" w:rsidR="00053418" w:rsidRPr="009E06AA" w:rsidRDefault="00053418" w:rsidP="00B55F24">
            <w:pPr>
              <w:pStyle w:val="TableText"/>
              <w:spacing w:before="40" w:after="40"/>
              <w:rPr>
                <w:rFonts w:cs="Segoe UI"/>
                <w:szCs w:val="16"/>
              </w:rPr>
            </w:pPr>
            <w:r w:rsidRPr="009E06AA">
              <w:rPr>
                <w:rFonts w:cs="Segoe UI"/>
                <w:szCs w:val="16"/>
              </w:rPr>
              <w:t>IPCC Tier 1 default (table 5.6, IPCC, 2006a)</w:t>
            </w:r>
          </w:p>
        </w:tc>
      </w:tr>
      <w:tr w:rsidR="00053418" w:rsidRPr="009E06AA" w14:paraId="7353DF07" w14:textId="77777777" w:rsidTr="00F763BD">
        <w:tc>
          <w:tcPr>
            <w:tcW w:w="886" w:type="dxa"/>
            <w:tcBorders>
              <w:top w:val="single" w:sz="4" w:space="0" w:color="1B556B"/>
            </w:tcBorders>
          </w:tcPr>
          <w:p w14:paraId="48BBCF3F" w14:textId="77777777" w:rsidR="00053418" w:rsidRPr="009E06AA" w:rsidRDefault="00053418" w:rsidP="00B55F24">
            <w:pPr>
              <w:pStyle w:val="TableTextBold"/>
              <w:spacing w:before="40" w:after="40"/>
              <w:rPr>
                <w:noProof w:val="0"/>
              </w:rPr>
            </w:pPr>
            <w:r w:rsidRPr="009E06AA">
              <w:rPr>
                <w:noProof w:val="0"/>
              </w:rPr>
              <w:t>Perennial</w:t>
            </w:r>
          </w:p>
        </w:tc>
        <w:tc>
          <w:tcPr>
            <w:tcW w:w="1535" w:type="dxa"/>
            <w:tcBorders>
              <w:top w:val="single" w:sz="4" w:space="0" w:color="1B556B"/>
              <w:bottom w:val="single" w:sz="4" w:space="0" w:color="1B556B"/>
            </w:tcBorders>
          </w:tcPr>
          <w:p w14:paraId="680A7B53" w14:textId="77777777" w:rsidR="00053418" w:rsidRPr="009E06AA" w:rsidRDefault="00053418" w:rsidP="00B55F24">
            <w:pPr>
              <w:pStyle w:val="TableText"/>
              <w:keepNext/>
              <w:spacing w:before="40" w:after="40"/>
              <w:rPr>
                <w:rFonts w:cs="Segoe UI"/>
                <w:szCs w:val="16"/>
              </w:rPr>
            </w:pPr>
            <w:r w:rsidRPr="009E06AA">
              <w:rPr>
                <w:rFonts w:cs="Segoe UI"/>
                <w:szCs w:val="16"/>
              </w:rPr>
              <w:t>Biomass</w:t>
            </w:r>
          </w:p>
        </w:tc>
        <w:tc>
          <w:tcPr>
            <w:tcW w:w="1122" w:type="dxa"/>
            <w:tcBorders>
              <w:top w:val="single" w:sz="4" w:space="0" w:color="1B556B"/>
              <w:bottom w:val="single" w:sz="4" w:space="0" w:color="1B556B"/>
            </w:tcBorders>
          </w:tcPr>
          <w:p w14:paraId="752A1E61" w14:textId="77777777" w:rsidR="00053418" w:rsidRPr="009E06AA" w:rsidRDefault="00053418" w:rsidP="00F763BD">
            <w:pPr>
              <w:pStyle w:val="TableText"/>
              <w:keepNext/>
              <w:spacing w:before="40" w:after="40"/>
              <w:jc w:val="right"/>
              <w:rPr>
                <w:rFonts w:cs="Segoe UI"/>
                <w:szCs w:val="16"/>
              </w:rPr>
            </w:pPr>
          </w:p>
        </w:tc>
        <w:tc>
          <w:tcPr>
            <w:tcW w:w="1241" w:type="dxa"/>
            <w:tcBorders>
              <w:top w:val="single" w:sz="4" w:space="0" w:color="1B556B"/>
              <w:bottom w:val="single" w:sz="4" w:space="0" w:color="1B556B"/>
            </w:tcBorders>
          </w:tcPr>
          <w:p w14:paraId="6BDC5969" w14:textId="77777777" w:rsidR="00053418" w:rsidRPr="009E06AA" w:rsidRDefault="00053418" w:rsidP="00F763BD">
            <w:pPr>
              <w:pStyle w:val="TableText"/>
              <w:keepNext/>
              <w:spacing w:before="40" w:after="40"/>
              <w:jc w:val="right"/>
              <w:rPr>
                <w:rFonts w:cs="Segoe UI"/>
                <w:szCs w:val="16"/>
              </w:rPr>
            </w:pPr>
          </w:p>
        </w:tc>
        <w:tc>
          <w:tcPr>
            <w:tcW w:w="1028" w:type="dxa"/>
            <w:tcBorders>
              <w:top w:val="single" w:sz="4" w:space="0" w:color="1B556B"/>
              <w:bottom w:val="single" w:sz="4" w:space="0" w:color="1B556B"/>
            </w:tcBorders>
            <w:tcMar>
              <w:right w:w="85" w:type="dxa"/>
            </w:tcMar>
          </w:tcPr>
          <w:p w14:paraId="7F5EF9D1" w14:textId="77777777" w:rsidR="00053418" w:rsidRPr="009E06AA" w:rsidRDefault="00053418" w:rsidP="00F763BD">
            <w:pPr>
              <w:pStyle w:val="TableText"/>
              <w:keepNext/>
              <w:spacing w:before="40" w:after="40"/>
              <w:jc w:val="right"/>
              <w:rPr>
                <w:rFonts w:cs="Segoe UI"/>
                <w:szCs w:val="16"/>
              </w:rPr>
            </w:pPr>
          </w:p>
        </w:tc>
        <w:tc>
          <w:tcPr>
            <w:tcW w:w="2693" w:type="dxa"/>
            <w:tcBorders>
              <w:top w:val="single" w:sz="4" w:space="0" w:color="1B556B"/>
              <w:bottom w:val="single" w:sz="4" w:space="0" w:color="1B556B"/>
            </w:tcBorders>
          </w:tcPr>
          <w:p w14:paraId="79A2BDAF" w14:textId="77777777" w:rsidR="00053418" w:rsidRPr="009E06AA" w:rsidRDefault="00053418" w:rsidP="00B55F24">
            <w:pPr>
              <w:pStyle w:val="TableText"/>
              <w:keepNext/>
              <w:spacing w:before="40" w:after="40"/>
              <w:rPr>
                <w:rFonts w:cs="Segoe UI"/>
                <w:szCs w:val="16"/>
              </w:rPr>
            </w:pPr>
          </w:p>
        </w:tc>
      </w:tr>
      <w:tr w:rsidR="00053418" w:rsidRPr="009E06AA" w14:paraId="16594502" w14:textId="77777777" w:rsidTr="00F763BD">
        <w:tc>
          <w:tcPr>
            <w:tcW w:w="886" w:type="dxa"/>
          </w:tcPr>
          <w:p w14:paraId="73A00481" w14:textId="77777777" w:rsidR="00053418" w:rsidRPr="009E06AA" w:rsidRDefault="00053418" w:rsidP="00B55F24">
            <w:pPr>
              <w:pStyle w:val="TableText"/>
              <w:spacing w:before="40" w:after="40"/>
            </w:pPr>
            <w:r w:rsidRPr="009E06AA">
              <w:t> </w:t>
            </w:r>
          </w:p>
        </w:tc>
        <w:tc>
          <w:tcPr>
            <w:tcW w:w="1535" w:type="dxa"/>
            <w:tcBorders>
              <w:top w:val="single" w:sz="4" w:space="0" w:color="1B556B"/>
              <w:bottom w:val="single" w:sz="4" w:space="0" w:color="1B556B"/>
            </w:tcBorders>
          </w:tcPr>
          <w:p w14:paraId="5CD9B788" w14:textId="77777777" w:rsidR="00053418" w:rsidRPr="009E06AA" w:rsidRDefault="00053418" w:rsidP="00B55F24">
            <w:pPr>
              <w:pStyle w:val="TableText"/>
              <w:keepNext/>
              <w:spacing w:before="40" w:after="40"/>
              <w:rPr>
                <w:rFonts w:cs="Segoe UI"/>
                <w:szCs w:val="16"/>
              </w:rPr>
            </w:pPr>
            <w:r w:rsidRPr="009E06AA">
              <w:rPr>
                <w:rFonts w:cs="Segoe UI"/>
                <w:szCs w:val="16"/>
              </w:rPr>
              <w:t>Living biomass</w:t>
            </w:r>
          </w:p>
        </w:tc>
        <w:tc>
          <w:tcPr>
            <w:tcW w:w="1122" w:type="dxa"/>
            <w:tcBorders>
              <w:top w:val="single" w:sz="4" w:space="0" w:color="1B556B"/>
              <w:bottom w:val="single" w:sz="4" w:space="0" w:color="1B556B"/>
            </w:tcBorders>
          </w:tcPr>
          <w:p w14:paraId="2762C130" w14:textId="77777777" w:rsidR="00053418" w:rsidRPr="009E06AA" w:rsidRDefault="00053418" w:rsidP="00F763BD">
            <w:pPr>
              <w:pStyle w:val="TableText"/>
              <w:keepNext/>
              <w:spacing w:before="40" w:after="40"/>
              <w:jc w:val="right"/>
              <w:rPr>
                <w:rFonts w:cs="Segoe UI"/>
                <w:szCs w:val="16"/>
              </w:rPr>
            </w:pPr>
            <w:r w:rsidRPr="009E06AA">
              <w:rPr>
                <w:rFonts w:cs="Segoe UI"/>
                <w:szCs w:val="16"/>
              </w:rPr>
              <w:t>18.76</w:t>
            </w:r>
          </w:p>
        </w:tc>
        <w:tc>
          <w:tcPr>
            <w:tcW w:w="1241" w:type="dxa"/>
            <w:tcBorders>
              <w:top w:val="single" w:sz="4" w:space="0" w:color="1B556B"/>
              <w:bottom w:val="single" w:sz="4" w:space="0" w:color="1B556B"/>
            </w:tcBorders>
          </w:tcPr>
          <w:p w14:paraId="129A0DAE" w14:textId="77777777" w:rsidR="00053418" w:rsidRPr="009E06AA" w:rsidRDefault="00053418" w:rsidP="00F763BD">
            <w:pPr>
              <w:pStyle w:val="TableText"/>
              <w:keepNext/>
              <w:spacing w:before="40" w:after="40"/>
              <w:jc w:val="right"/>
              <w:rPr>
                <w:rFonts w:cs="Segoe UI"/>
                <w:szCs w:val="16"/>
              </w:rPr>
            </w:pPr>
            <w:r w:rsidRPr="009E06AA">
              <w:rPr>
                <w:rFonts w:cs="Segoe UI"/>
                <w:szCs w:val="16"/>
              </w:rPr>
              <w:t>0.67</w:t>
            </w:r>
          </w:p>
        </w:tc>
        <w:tc>
          <w:tcPr>
            <w:tcW w:w="1028" w:type="dxa"/>
            <w:tcBorders>
              <w:top w:val="single" w:sz="4" w:space="0" w:color="1B556B"/>
              <w:bottom w:val="single" w:sz="4" w:space="0" w:color="1B556B"/>
            </w:tcBorders>
            <w:tcMar>
              <w:right w:w="85" w:type="dxa"/>
            </w:tcMar>
          </w:tcPr>
          <w:p w14:paraId="3B0B8B60" w14:textId="77777777" w:rsidR="00053418" w:rsidRPr="009E06AA" w:rsidRDefault="00053418" w:rsidP="00F763BD">
            <w:pPr>
              <w:pStyle w:val="TableText"/>
              <w:keepNext/>
              <w:spacing w:before="40" w:after="40"/>
              <w:jc w:val="right"/>
              <w:rPr>
                <w:rFonts w:cs="Segoe UI"/>
                <w:szCs w:val="16"/>
              </w:rPr>
            </w:pPr>
            <w:r w:rsidRPr="009E06AA">
              <w:rPr>
                <w:rFonts w:cs="Segoe UI"/>
                <w:szCs w:val="16"/>
              </w:rPr>
              <w:t>28</w:t>
            </w:r>
          </w:p>
        </w:tc>
        <w:tc>
          <w:tcPr>
            <w:tcW w:w="2693" w:type="dxa"/>
            <w:tcBorders>
              <w:top w:val="single" w:sz="4" w:space="0" w:color="1B556B"/>
              <w:bottom w:val="single" w:sz="4" w:space="0" w:color="1B556B"/>
            </w:tcBorders>
          </w:tcPr>
          <w:p w14:paraId="44EEC06F" w14:textId="77777777" w:rsidR="00053418" w:rsidRPr="009E06AA" w:rsidRDefault="00053418" w:rsidP="00B55F24">
            <w:pPr>
              <w:pStyle w:val="TableText"/>
              <w:keepNext/>
              <w:spacing w:before="40" w:after="40"/>
              <w:rPr>
                <w:rFonts w:cs="Segoe UI"/>
                <w:szCs w:val="16"/>
              </w:rPr>
            </w:pPr>
            <w:r w:rsidRPr="009E06AA">
              <w:rPr>
                <w:rFonts w:cs="Segoe UI"/>
                <w:szCs w:val="16"/>
              </w:rPr>
              <w:t>New Zealand-specific EF (Davis and Wakelin, unpublished)</w:t>
            </w:r>
          </w:p>
        </w:tc>
      </w:tr>
      <w:tr w:rsidR="00053418" w:rsidRPr="009E06AA" w14:paraId="27AD9F26" w14:textId="77777777" w:rsidTr="00F763BD">
        <w:tc>
          <w:tcPr>
            <w:tcW w:w="886" w:type="dxa"/>
          </w:tcPr>
          <w:p w14:paraId="79B919AA" w14:textId="77777777" w:rsidR="00053418" w:rsidRPr="009E06AA" w:rsidRDefault="00053418" w:rsidP="00B55F24">
            <w:pPr>
              <w:pStyle w:val="TableText"/>
              <w:spacing w:before="40" w:after="40"/>
              <w:rPr>
                <w:rFonts w:cs="Segoe UI"/>
                <w:szCs w:val="16"/>
              </w:rPr>
            </w:pPr>
            <w:r w:rsidRPr="009E06AA">
              <w:rPr>
                <w:rFonts w:cs="Segoe UI"/>
                <w:szCs w:val="16"/>
              </w:rPr>
              <w:t> </w:t>
            </w:r>
          </w:p>
        </w:tc>
        <w:tc>
          <w:tcPr>
            <w:tcW w:w="1535" w:type="dxa"/>
            <w:tcBorders>
              <w:top w:val="single" w:sz="4" w:space="0" w:color="1B556B"/>
              <w:bottom w:val="single" w:sz="4" w:space="0" w:color="1B556B"/>
            </w:tcBorders>
          </w:tcPr>
          <w:p w14:paraId="4D1A9AF3" w14:textId="77777777" w:rsidR="00053418" w:rsidRPr="009E06AA" w:rsidRDefault="00053418" w:rsidP="00B55F24">
            <w:pPr>
              <w:pStyle w:val="TableText"/>
              <w:spacing w:before="40" w:after="40"/>
              <w:rPr>
                <w:rFonts w:cs="Segoe UI"/>
                <w:szCs w:val="16"/>
              </w:rPr>
            </w:pPr>
            <w:r w:rsidRPr="009E06AA">
              <w:rPr>
                <w:rFonts w:cs="Segoe UI"/>
                <w:szCs w:val="16"/>
              </w:rPr>
              <w:t>Dead organic matter</w:t>
            </w:r>
          </w:p>
        </w:tc>
        <w:tc>
          <w:tcPr>
            <w:tcW w:w="1122" w:type="dxa"/>
            <w:tcBorders>
              <w:top w:val="single" w:sz="4" w:space="0" w:color="1B556B"/>
              <w:bottom w:val="single" w:sz="4" w:space="0" w:color="1B556B"/>
            </w:tcBorders>
          </w:tcPr>
          <w:p w14:paraId="10B7306D" w14:textId="77777777" w:rsidR="00053418" w:rsidRPr="009E06AA" w:rsidRDefault="00053418" w:rsidP="00F763BD">
            <w:pPr>
              <w:pStyle w:val="TableText"/>
              <w:spacing w:before="40" w:after="40"/>
              <w:jc w:val="right"/>
              <w:rPr>
                <w:rFonts w:cs="Segoe UI"/>
                <w:szCs w:val="16"/>
              </w:rPr>
            </w:pPr>
            <w:r w:rsidRPr="009E06AA">
              <w:rPr>
                <w:rFonts w:cs="Segoe UI"/>
                <w:szCs w:val="16"/>
              </w:rPr>
              <w:t>NE</w:t>
            </w:r>
          </w:p>
        </w:tc>
        <w:tc>
          <w:tcPr>
            <w:tcW w:w="1241" w:type="dxa"/>
            <w:tcBorders>
              <w:top w:val="single" w:sz="4" w:space="0" w:color="1B556B"/>
              <w:bottom w:val="single" w:sz="4" w:space="0" w:color="1B556B"/>
            </w:tcBorders>
          </w:tcPr>
          <w:p w14:paraId="5EC97866" w14:textId="77777777" w:rsidR="00053418" w:rsidRPr="009E06AA" w:rsidRDefault="00053418" w:rsidP="00F763BD">
            <w:pPr>
              <w:pStyle w:val="TableText"/>
              <w:spacing w:before="40" w:after="40"/>
              <w:jc w:val="right"/>
              <w:rPr>
                <w:rFonts w:cs="Segoe UI"/>
                <w:szCs w:val="16"/>
              </w:rPr>
            </w:pPr>
            <w:r w:rsidRPr="009E06AA">
              <w:rPr>
                <w:rFonts w:cs="Segoe UI"/>
                <w:szCs w:val="16"/>
              </w:rPr>
              <w:t>NE</w:t>
            </w:r>
          </w:p>
        </w:tc>
        <w:tc>
          <w:tcPr>
            <w:tcW w:w="1028" w:type="dxa"/>
            <w:tcBorders>
              <w:top w:val="single" w:sz="4" w:space="0" w:color="1B556B"/>
              <w:bottom w:val="single" w:sz="4" w:space="0" w:color="1B556B"/>
            </w:tcBorders>
            <w:tcMar>
              <w:right w:w="85" w:type="dxa"/>
            </w:tcMar>
          </w:tcPr>
          <w:p w14:paraId="721CC0BC" w14:textId="77777777" w:rsidR="00053418" w:rsidRPr="009E06AA" w:rsidRDefault="00053418" w:rsidP="00F763BD">
            <w:pPr>
              <w:pStyle w:val="TableText"/>
              <w:spacing w:before="40" w:after="40"/>
              <w:jc w:val="right"/>
              <w:rPr>
                <w:rFonts w:cs="Segoe UI"/>
                <w:szCs w:val="16"/>
              </w:rPr>
            </w:pPr>
            <w:r w:rsidRPr="009E06AA">
              <w:rPr>
                <w:rFonts w:cs="Segoe UI"/>
                <w:szCs w:val="16"/>
              </w:rPr>
              <w:t>NA</w:t>
            </w:r>
          </w:p>
        </w:tc>
        <w:tc>
          <w:tcPr>
            <w:tcW w:w="2693" w:type="dxa"/>
            <w:tcBorders>
              <w:top w:val="single" w:sz="4" w:space="0" w:color="1B556B"/>
              <w:bottom w:val="single" w:sz="4" w:space="0" w:color="1B556B"/>
            </w:tcBorders>
          </w:tcPr>
          <w:p w14:paraId="541AEAC6" w14:textId="77777777" w:rsidR="00053418" w:rsidRPr="009E06AA" w:rsidRDefault="00053418" w:rsidP="00B55F24">
            <w:pPr>
              <w:pStyle w:val="TableText"/>
              <w:spacing w:before="40" w:after="40"/>
              <w:rPr>
                <w:rFonts w:cs="Segoe UI"/>
                <w:szCs w:val="16"/>
              </w:rPr>
            </w:pPr>
            <w:r w:rsidRPr="009E06AA">
              <w:rPr>
                <w:rFonts w:cs="Segoe UI"/>
                <w:szCs w:val="16"/>
              </w:rPr>
              <w:t>No IPCC guidelines</w:t>
            </w:r>
          </w:p>
        </w:tc>
      </w:tr>
      <w:tr w:rsidR="00053418" w:rsidRPr="009E06AA" w14:paraId="12ACDB94" w14:textId="77777777" w:rsidTr="00F763BD">
        <w:tc>
          <w:tcPr>
            <w:tcW w:w="886" w:type="dxa"/>
          </w:tcPr>
          <w:p w14:paraId="4ABF39E3" w14:textId="77777777" w:rsidR="00053418" w:rsidRPr="009E06AA" w:rsidRDefault="00053418" w:rsidP="00B55F24">
            <w:pPr>
              <w:pStyle w:val="TableText"/>
              <w:spacing w:before="40" w:after="40"/>
              <w:rPr>
                <w:rFonts w:cs="Segoe UI"/>
                <w:szCs w:val="16"/>
              </w:rPr>
            </w:pPr>
            <w:r w:rsidRPr="009E06AA">
              <w:rPr>
                <w:rFonts w:cs="Segoe UI"/>
                <w:szCs w:val="16"/>
              </w:rPr>
              <w:t> </w:t>
            </w:r>
          </w:p>
        </w:tc>
        <w:tc>
          <w:tcPr>
            <w:tcW w:w="1535" w:type="dxa"/>
            <w:tcBorders>
              <w:top w:val="single" w:sz="4" w:space="0" w:color="1B556B"/>
              <w:bottom w:val="single" w:sz="4" w:space="0" w:color="1B556B"/>
            </w:tcBorders>
          </w:tcPr>
          <w:p w14:paraId="251CA570" w14:textId="77777777" w:rsidR="00053418" w:rsidRPr="009E06AA" w:rsidRDefault="00053418" w:rsidP="00B55F24">
            <w:pPr>
              <w:pStyle w:val="TableText"/>
              <w:keepNext/>
              <w:spacing w:before="40" w:after="40"/>
              <w:rPr>
                <w:rFonts w:cs="Segoe UI"/>
                <w:szCs w:val="16"/>
              </w:rPr>
            </w:pPr>
            <w:r w:rsidRPr="009E06AA">
              <w:rPr>
                <w:rFonts w:cs="Segoe UI"/>
                <w:szCs w:val="16"/>
              </w:rPr>
              <w:t>Soils</w:t>
            </w:r>
          </w:p>
        </w:tc>
        <w:tc>
          <w:tcPr>
            <w:tcW w:w="1122" w:type="dxa"/>
            <w:tcBorders>
              <w:top w:val="single" w:sz="4" w:space="0" w:color="1B556B"/>
              <w:bottom w:val="single" w:sz="4" w:space="0" w:color="1B556B"/>
            </w:tcBorders>
          </w:tcPr>
          <w:p w14:paraId="570389B6" w14:textId="77777777" w:rsidR="00053418" w:rsidRPr="009E06AA" w:rsidRDefault="00053418" w:rsidP="00F763BD">
            <w:pPr>
              <w:pStyle w:val="TableText"/>
              <w:keepNext/>
              <w:spacing w:before="40" w:after="40"/>
              <w:jc w:val="right"/>
              <w:rPr>
                <w:rFonts w:cs="Segoe UI"/>
                <w:szCs w:val="16"/>
              </w:rPr>
            </w:pPr>
          </w:p>
        </w:tc>
        <w:tc>
          <w:tcPr>
            <w:tcW w:w="1241" w:type="dxa"/>
            <w:tcBorders>
              <w:top w:val="single" w:sz="4" w:space="0" w:color="1B556B"/>
              <w:bottom w:val="single" w:sz="4" w:space="0" w:color="1B556B"/>
            </w:tcBorders>
          </w:tcPr>
          <w:p w14:paraId="3DC6E4A8" w14:textId="77777777" w:rsidR="00053418" w:rsidRPr="009E06AA" w:rsidRDefault="00053418" w:rsidP="00F763BD">
            <w:pPr>
              <w:pStyle w:val="TableText"/>
              <w:keepNext/>
              <w:spacing w:before="40" w:after="40"/>
              <w:jc w:val="right"/>
              <w:rPr>
                <w:rFonts w:cs="Segoe UI"/>
                <w:szCs w:val="16"/>
              </w:rPr>
            </w:pPr>
          </w:p>
        </w:tc>
        <w:tc>
          <w:tcPr>
            <w:tcW w:w="1028" w:type="dxa"/>
            <w:tcBorders>
              <w:top w:val="single" w:sz="4" w:space="0" w:color="1B556B"/>
              <w:bottom w:val="single" w:sz="4" w:space="0" w:color="1B556B"/>
            </w:tcBorders>
            <w:tcMar>
              <w:right w:w="85" w:type="dxa"/>
            </w:tcMar>
          </w:tcPr>
          <w:p w14:paraId="123EDD32" w14:textId="77777777" w:rsidR="00053418" w:rsidRPr="009E06AA" w:rsidRDefault="00053418" w:rsidP="00F763BD">
            <w:pPr>
              <w:pStyle w:val="TableText"/>
              <w:keepNext/>
              <w:spacing w:before="40" w:after="40"/>
              <w:jc w:val="right"/>
              <w:rPr>
                <w:rFonts w:cs="Segoe UI"/>
                <w:szCs w:val="16"/>
              </w:rPr>
            </w:pPr>
          </w:p>
        </w:tc>
        <w:tc>
          <w:tcPr>
            <w:tcW w:w="2693" w:type="dxa"/>
            <w:tcBorders>
              <w:top w:val="single" w:sz="4" w:space="0" w:color="1B556B"/>
              <w:bottom w:val="single" w:sz="4" w:space="0" w:color="1B556B"/>
            </w:tcBorders>
          </w:tcPr>
          <w:p w14:paraId="10B88AAD" w14:textId="77777777" w:rsidR="00053418" w:rsidRPr="009E06AA" w:rsidRDefault="00053418" w:rsidP="00B55F24">
            <w:pPr>
              <w:pStyle w:val="TableText"/>
              <w:keepNext/>
              <w:spacing w:before="40" w:after="40"/>
              <w:rPr>
                <w:rFonts w:cs="Segoe UI"/>
                <w:szCs w:val="16"/>
              </w:rPr>
            </w:pPr>
          </w:p>
        </w:tc>
      </w:tr>
      <w:tr w:rsidR="00053418" w:rsidRPr="009E06AA" w14:paraId="76365E72" w14:textId="77777777" w:rsidTr="00F763BD">
        <w:tc>
          <w:tcPr>
            <w:tcW w:w="886" w:type="dxa"/>
          </w:tcPr>
          <w:p w14:paraId="0C70703F" w14:textId="77777777" w:rsidR="00053418" w:rsidRPr="009E06AA" w:rsidRDefault="00053418" w:rsidP="00B55F24">
            <w:pPr>
              <w:pStyle w:val="TableText"/>
              <w:spacing w:before="40" w:after="40"/>
            </w:pPr>
          </w:p>
        </w:tc>
        <w:tc>
          <w:tcPr>
            <w:tcW w:w="1535" w:type="dxa"/>
            <w:tcBorders>
              <w:top w:val="single" w:sz="4" w:space="0" w:color="1B556B"/>
              <w:bottom w:val="single" w:sz="4" w:space="0" w:color="1B556B"/>
            </w:tcBorders>
          </w:tcPr>
          <w:p w14:paraId="508ECC32" w14:textId="77777777" w:rsidR="00053418" w:rsidRPr="009E06AA" w:rsidRDefault="00053418" w:rsidP="00B55F24">
            <w:pPr>
              <w:pStyle w:val="TableText"/>
              <w:keepNext/>
              <w:spacing w:before="40" w:after="40"/>
              <w:rPr>
                <w:rFonts w:cs="Segoe UI"/>
                <w:szCs w:val="16"/>
              </w:rPr>
            </w:pPr>
            <w:r w:rsidRPr="009E06AA">
              <w:rPr>
                <w:rFonts w:cs="Segoe UI"/>
                <w:szCs w:val="16"/>
              </w:rPr>
              <w:t xml:space="preserve">Mineral </w:t>
            </w:r>
          </w:p>
        </w:tc>
        <w:tc>
          <w:tcPr>
            <w:tcW w:w="1122" w:type="dxa"/>
            <w:tcBorders>
              <w:top w:val="single" w:sz="4" w:space="0" w:color="1B556B"/>
              <w:bottom w:val="single" w:sz="4" w:space="0" w:color="1B556B"/>
            </w:tcBorders>
          </w:tcPr>
          <w:p w14:paraId="113C738F" w14:textId="77777777" w:rsidR="00053418" w:rsidRPr="009E06AA" w:rsidRDefault="00053418" w:rsidP="00F763BD">
            <w:pPr>
              <w:pStyle w:val="TableText"/>
              <w:keepNext/>
              <w:spacing w:before="40" w:after="40"/>
              <w:jc w:val="right"/>
              <w:rPr>
                <w:rFonts w:cs="Segoe UI"/>
                <w:szCs w:val="16"/>
              </w:rPr>
            </w:pPr>
            <w:r w:rsidRPr="009E06AA">
              <w:rPr>
                <w:rFonts w:cs="Segoe UI"/>
                <w:szCs w:val="16"/>
              </w:rPr>
              <w:t>88.44</w:t>
            </w:r>
          </w:p>
        </w:tc>
        <w:tc>
          <w:tcPr>
            <w:tcW w:w="1241" w:type="dxa"/>
            <w:tcBorders>
              <w:top w:val="single" w:sz="4" w:space="0" w:color="1B556B"/>
              <w:bottom w:val="single" w:sz="4" w:space="0" w:color="1B556B"/>
            </w:tcBorders>
          </w:tcPr>
          <w:p w14:paraId="5729DCCF" w14:textId="77777777" w:rsidR="00053418" w:rsidRPr="009E06AA" w:rsidRDefault="00053418" w:rsidP="00F763BD">
            <w:pPr>
              <w:pStyle w:val="TableText"/>
              <w:keepNext/>
              <w:spacing w:before="40" w:after="40"/>
              <w:jc w:val="right"/>
              <w:rPr>
                <w:rFonts w:cs="Segoe UI"/>
                <w:szCs w:val="16"/>
              </w:rPr>
            </w:pPr>
            <w:r w:rsidRPr="009E06AA">
              <w:rPr>
                <w:rFonts w:cs="Segoe UI"/>
                <w:szCs w:val="16"/>
              </w:rPr>
              <w:t>*</w:t>
            </w:r>
          </w:p>
        </w:tc>
        <w:tc>
          <w:tcPr>
            <w:tcW w:w="1028" w:type="dxa"/>
            <w:tcBorders>
              <w:top w:val="single" w:sz="4" w:space="0" w:color="1B556B"/>
              <w:bottom w:val="single" w:sz="4" w:space="0" w:color="1B556B"/>
            </w:tcBorders>
            <w:tcMar>
              <w:right w:w="85" w:type="dxa"/>
            </w:tcMar>
          </w:tcPr>
          <w:p w14:paraId="7C08E350" w14:textId="77777777" w:rsidR="00053418" w:rsidRPr="009E06AA" w:rsidRDefault="00053418" w:rsidP="00F763BD">
            <w:pPr>
              <w:pStyle w:val="TableText"/>
              <w:keepNext/>
              <w:spacing w:before="40" w:after="40"/>
              <w:jc w:val="right"/>
              <w:rPr>
                <w:rFonts w:cs="Segoe UI"/>
                <w:szCs w:val="16"/>
              </w:rPr>
            </w:pPr>
            <w:r w:rsidRPr="009E06AA">
              <w:rPr>
                <w:rFonts w:cs="Segoe UI"/>
                <w:szCs w:val="16"/>
              </w:rPr>
              <w:t>20</w:t>
            </w:r>
          </w:p>
        </w:tc>
        <w:tc>
          <w:tcPr>
            <w:tcW w:w="2693" w:type="dxa"/>
            <w:tcBorders>
              <w:top w:val="single" w:sz="4" w:space="0" w:color="1B556B"/>
              <w:bottom w:val="single" w:sz="4" w:space="0" w:color="1B556B"/>
            </w:tcBorders>
          </w:tcPr>
          <w:p w14:paraId="7C056666" w14:textId="77777777" w:rsidR="00053418" w:rsidRPr="009E06AA" w:rsidRDefault="00053418" w:rsidP="00B55F24">
            <w:pPr>
              <w:pStyle w:val="TableText"/>
              <w:keepNext/>
              <w:spacing w:before="40" w:after="40"/>
              <w:rPr>
                <w:rFonts w:cs="Segoe UI"/>
                <w:szCs w:val="16"/>
              </w:rPr>
            </w:pPr>
            <w:r w:rsidRPr="009E06AA">
              <w:rPr>
                <w:rFonts w:cs="Segoe UI"/>
                <w:szCs w:val="16"/>
              </w:rPr>
              <w:t>New Zealand-specific EF (McNeill and Barringer, unpublished)</w:t>
            </w:r>
          </w:p>
        </w:tc>
      </w:tr>
      <w:tr w:rsidR="00053418" w:rsidRPr="009E06AA" w14:paraId="6DAE8F92" w14:textId="77777777" w:rsidTr="00B55F24">
        <w:tc>
          <w:tcPr>
            <w:tcW w:w="886" w:type="dxa"/>
            <w:tcBorders>
              <w:bottom w:val="single" w:sz="4" w:space="0" w:color="1B556B"/>
            </w:tcBorders>
          </w:tcPr>
          <w:p w14:paraId="1ED2444F" w14:textId="77777777" w:rsidR="00053418" w:rsidRPr="009E06AA" w:rsidRDefault="00053418" w:rsidP="00B55F24">
            <w:pPr>
              <w:pStyle w:val="TableText"/>
              <w:spacing w:before="40" w:after="40"/>
              <w:rPr>
                <w:rFonts w:cs="Segoe UI"/>
                <w:szCs w:val="16"/>
              </w:rPr>
            </w:pPr>
          </w:p>
        </w:tc>
        <w:tc>
          <w:tcPr>
            <w:tcW w:w="1535" w:type="dxa"/>
            <w:tcBorders>
              <w:top w:val="single" w:sz="4" w:space="0" w:color="1B556B"/>
              <w:bottom w:val="single" w:sz="4" w:space="0" w:color="1B556B"/>
            </w:tcBorders>
          </w:tcPr>
          <w:p w14:paraId="03935F26" w14:textId="77777777" w:rsidR="00053418" w:rsidRPr="009E06AA" w:rsidRDefault="00053418" w:rsidP="00B55F24">
            <w:pPr>
              <w:pStyle w:val="TableText"/>
              <w:spacing w:before="40" w:after="40"/>
              <w:rPr>
                <w:rFonts w:cs="Segoe UI"/>
                <w:szCs w:val="16"/>
              </w:rPr>
            </w:pPr>
            <w:r w:rsidRPr="009E06AA">
              <w:rPr>
                <w:rFonts w:cs="Segoe UI"/>
                <w:szCs w:val="16"/>
              </w:rPr>
              <w:t>Organic</w:t>
            </w:r>
          </w:p>
        </w:tc>
        <w:tc>
          <w:tcPr>
            <w:tcW w:w="1122" w:type="dxa"/>
            <w:tcBorders>
              <w:top w:val="single" w:sz="4" w:space="0" w:color="1B556B"/>
              <w:bottom w:val="single" w:sz="4" w:space="0" w:color="1B556B"/>
            </w:tcBorders>
          </w:tcPr>
          <w:p w14:paraId="47B5DD1E" w14:textId="77777777" w:rsidR="00053418" w:rsidRPr="009E06AA" w:rsidRDefault="00053418" w:rsidP="00F763BD">
            <w:pPr>
              <w:pStyle w:val="TableText"/>
              <w:spacing w:before="40" w:after="40"/>
              <w:jc w:val="right"/>
              <w:rPr>
                <w:rFonts w:cs="Segoe UI"/>
                <w:szCs w:val="16"/>
              </w:rPr>
            </w:pPr>
            <w:r w:rsidRPr="009E06AA">
              <w:rPr>
                <w:rFonts w:cs="Segoe UI"/>
                <w:szCs w:val="16"/>
              </w:rPr>
              <w:t>NE</w:t>
            </w:r>
          </w:p>
        </w:tc>
        <w:tc>
          <w:tcPr>
            <w:tcW w:w="1241" w:type="dxa"/>
            <w:tcBorders>
              <w:top w:val="single" w:sz="4" w:space="0" w:color="1B556B"/>
              <w:bottom w:val="single" w:sz="4" w:space="0" w:color="1B556B"/>
            </w:tcBorders>
          </w:tcPr>
          <w:p w14:paraId="26F09719" w14:textId="77777777" w:rsidR="00053418" w:rsidRPr="009E06AA" w:rsidRDefault="00053418" w:rsidP="00F763BD">
            <w:pPr>
              <w:pStyle w:val="TableText"/>
              <w:spacing w:before="40" w:after="40"/>
              <w:jc w:val="right"/>
              <w:rPr>
                <w:rFonts w:cs="Segoe UI"/>
                <w:szCs w:val="16"/>
              </w:rPr>
            </w:pPr>
            <w:r w:rsidRPr="009E06AA">
              <w:rPr>
                <w:rFonts w:cs="Segoe UI"/>
                <w:szCs w:val="16"/>
              </w:rPr>
              <w:t>-5.0 or -10.0**</w:t>
            </w:r>
          </w:p>
        </w:tc>
        <w:tc>
          <w:tcPr>
            <w:tcW w:w="1028" w:type="dxa"/>
            <w:tcBorders>
              <w:top w:val="single" w:sz="4" w:space="0" w:color="1B556B"/>
              <w:bottom w:val="single" w:sz="4" w:space="0" w:color="1B556B"/>
            </w:tcBorders>
          </w:tcPr>
          <w:p w14:paraId="76E173B1" w14:textId="77777777" w:rsidR="00053418" w:rsidRPr="009E06AA" w:rsidRDefault="00053418" w:rsidP="00F763BD">
            <w:pPr>
              <w:pStyle w:val="TableText"/>
              <w:spacing w:before="40" w:after="40"/>
              <w:jc w:val="right"/>
              <w:rPr>
                <w:rFonts w:cs="Segoe UI"/>
                <w:szCs w:val="16"/>
              </w:rPr>
            </w:pPr>
          </w:p>
        </w:tc>
        <w:tc>
          <w:tcPr>
            <w:tcW w:w="2693" w:type="dxa"/>
            <w:tcBorders>
              <w:top w:val="single" w:sz="4" w:space="0" w:color="1B556B"/>
              <w:bottom w:val="single" w:sz="4" w:space="0" w:color="1B556B"/>
            </w:tcBorders>
          </w:tcPr>
          <w:p w14:paraId="422056CB" w14:textId="77777777" w:rsidR="00053418" w:rsidRPr="009E06AA" w:rsidRDefault="00053418" w:rsidP="00B55F24">
            <w:pPr>
              <w:pStyle w:val="TableText"/>
              <w:spacing w:before="40" w:after="40"/>
              <w:rPr>
                <w:rFonts w:cs="Segoe UI"/>
                <w:szCs w:val="16"/>
              </w:rPr>
            </w:pPr>
            <w:r w:rsidRPr="009E06AA">
              <w:rPr>
                <w:rFonts w:cs="Segoe UI"/>
                <w:szCs w:val="16"/>
              </w:rPr>
              <w:t>IPCC Tier 1 default (table 5.6, IPCC, 2006a)</w:t>
            </w:r>
          </w:p>
        </w:tc>
      </w:tr>
    </w:tbl>
    <w:p w14:paraId="5CC6CE78" w14:textId="77777777" w:rsidR="00053418" w:rsidRPr="009E06AA" w:rsidRDefault="00053418" w:rsidP="00053418">
      <w:pPr>
        <w:pStyle w:val="Noteundertable"/>
        <w:spacing w:after="0"/>
      </w:pPr>
      <w:r w:rsidRPr="009E06AA">
        <w:rPr>
          <w:b/>
        </w:rPr>
        <w:t>Note:</w:t>
      </w:r>
      <w:r w:rsidRPr="009E06AA">
        <w:tab/>
        <w:t>EF = emission factor; NA = not applicable; NE = not estimated. * Annual carbon stock change in mineral soils on land undergoing land-use change will depend on the land use category the land has been converted to or from; see annex A5.2.4 ‘Mineral soils’.</w:t>
      </w:r>
      <w:r w:rsidRPr="009E06AA">
        <w:rPr>
          <w:szCs w:val="18"/>
        </w:rPr>
        <w:t xml:space="preserve"> ** The emission factor for organic soils is -5.0 tonnes C ha</w:t>
      </w:r>
      <w:r w:rsidRPr="009E06AA">
        <w:rPr>
          <w:szCs w:val="18"/>
          <w:vertAlign w:val="superscript"/>
        </w:rPr>
        <w:t xml:space="preserve">–1 </w:t>
      </w:r>
      <w:r w:rsidRPr="009E06AA">
        <w:rPr>
          <w:szCs w:val="18"/>
        </w:rPr>
        <w:t>yr</w:t>
      </w:r>
      <w:r w:rsidRPr="009E06AA">
        <w:rPr>
          <w:szCs w:val="18"/>
          <w:vertAlign w:val="superscript"/>
        </w:rPr>
        <w:t>–1</w:t>
      </w:r>
      <w:r w:rsidRPr="009E06AA">
        <w:rPr>
          <w:szCs w:val="18"/>
        </w:rPr>
        <w:t xml:space="preserve"> for cold temperate regions and -10.0 tonnes C ha</w:t>
      </w:r>
      <w:r w:rsidRPr="009E06AA">
        <w:rPr>
          <w:szCs w:val="18"/>
          <w:vertAlign w:val="superscript"/>
        </w:rPr>
        <w:t xml:space="preserve">–1 </w:t>
      </w:r>
      <w:r w:rsidRPr="009E06AA">
        <w:rPr>
          <w:szCs w:val="18"/>
        </w:rPr>
        <w:t>yr</w:t>
      </w:r>
      <w:r w:rsidRPr="009E06AA">
        <w:rPr>
          <w:szCs w:val="18"/>
          <w:vertAlign w:val="superscript"/>
        </w:rPr>
        <w:t>–1</w:t>
      </w:r>
      <w:r w:rsidRPr="009E06AA">
        <w:rPr>
          <w:szCs w:val="18"/>
        </w:rPr>
        <w:t xml:space="preserve"> for warm temperate regions.</w:t>
      </w:r>
    </w:p>
    <w:p w14:paraId="51EBCA4D" w14:textId="77777777" w:rsidR="00053418" w:rsidRPr="009E06AA" w:rsidRDefault="00053418" w:rsidP="00053418">
      <w:pPr>
        <w:pStyle w:val="Heading4"/>
      </w:pPr>
      <w:bookmarkStart w:id="2160" w:name="_Toc280630266"/>
      <w:r w:rsidRPr="009E06AA">
        <w:t>Cropland remaining cropland</w:t>
      </w:r>
      <w:bookmarkEnd w:id="2160"/>
      <w:r w:rsidRPr="009E06AA">
        <w:t xml:space="preserve"> (4.B.1)</w:t>
      </w:r>
    </w:p>
    <w:p w14:paraId="5DBCDDB6" w14:textId="77777777" w:rsidR="00053418" w:rsidRPr="009E06AA" w:rsidRDefault="00053418" w:rsidP="00053418">
      <w:pPr>
        <w:pStyle w:val="BodyText"/>
      </w:pPr>
      <w:r w:rsidRPr="009E06AA">
        <w:t xml:space="preserve">For </w:t>
      </w:r>
      <w:r w:rsidRPr="009E06AA">
        <w:rPr>
          <w:i/>
        </w:rPr>
        <w:t>Cropland remaining cropland</w:t>
      </w:r>
      <w:r w:rsidRPr="009E06AA">
        <w:t xml:space="preserve">, the Tier 1 assumption is that for annual cropland there is no change in biomass carbon stocks after the first year (IPCC, 2006a, section 5.2.1). The rationale is that the increase in biomass stocks in a single year is equal to the biomass losses from harvest and mortality in that same year. For perennial cropland, there is a change in carbon stocks associated with a land-use change. Where land-use change has occurred between the </w:t>
      </w:r>
      <w:r w:rsidRPr="009E06AA">
        <w:rPr>
          <w:i/>
        </w:rPr>
        <w:t>Cropland</w:t>
      </w:r>
      <w:r w:rsidRPr="009E06AA">
        <w:t xml:space="preserve"> land use categories, carbon stock changes are reported in </w:t>
      </w:r>
      <w:r w:rsidRPr="009E06AA">
        <w:rPr>
          <w:i/>
        </w:rPr>
        <w:t>Cropland remaining cropland</w:t>
      </w:r>
      <w:r w:rsidRPr="009E06AA">
        <w:t xml:space="preserve">. </w:t>
      </w:r>
    </w:p>
    <w:p w14:paraId="319284FB" w14:textId="77777777" w:rsidR="00053418" w:rsidRPr="009E06AA" w:rsidRDefault="00053418" w:rsidP="00BF2A76">
      <w:pPr>
        <w:pStyle w:val="Heading5"/>
      </w:pPr>
      <w:bookmarkStart w:id="2161" w:name="_Toc255466375"/>
      <w:bookmarkStart w:id="2162" w:name="_Toc261513182"/>
      <w:bookmarkStart w:id="2163" w:name="_Toc261513795"/>
      <w:bookmarkStart w:id="2164" w:name="_Toc280630267"/>
      <w:r w:rsidRPr="009E06AA">
        <w:t>Living biomass</w:t>
      </w:r>
      <w:bookmarkEnd w:id="2161"/>
      <w:bookmarkEnd w:id="2162"/>
      <w:bookmarkEnd w:id="2163"/>
      <w:bookmarkEnd w:id="2164"/>
    </w:p>
    <w:p w14:paraId="5D04604E" w14:textId="77777777" w:rsidR="00053418" w:rsidRPr="009E06AA" w:rsidRDefault="00053418" w:rsidP="00053418">
      <w:pPr>
        <w:pStyle w:val="BodyText"/>
      </w:pPr>
      <w:r w:rsidRPr="009E06AA">
        <w:t>To estimate carbon stock change in living biomass for annual cropland converted to perennial cropland, New Zealand is using Tier 1 defaults for biomass carbon stocks at harvest (table 5.9, IPCC, 2006a). The Tier 1 method for estimating carbon change assumes carbon stocks in biomass immediately after conversion are zero; that is, the land is cleared of all vegetation before planting crops (5.0 tonnes C ha</w:t>
      </w:r>
      <w:r w:rsidRPr="009E06AA">
        <w:rPr>
          <w:vertAlign w:val="superscript"/>
        </w:rPr>
        <w:t>–1</w:t>
      </w:r>
      <w:r w:rsidRPr="009E06AA">
        <w:t xml:space="preserve"> is instantly oxidised in the year of conversion). </w:t>
      </w:r>
    </w:p>
    <w:p w14:paraId="0BEF8959" w14:textId="77777777" w:rsidR="00053418" w:rsidRPr="009E06AA" w:rsidRDefault="00053418" w:rsidP="00053418">
      <w:pPr>
        <w:pStyle w:val="BodyText"/>
        <w:spacing w:after="100"/>
      </w:pPr>
      <w:r w:rsidRPr="009E06AA">
        <w:t>To estimate growth after conversion of annual cropland to perennial cropland, New Zealand uses the biomass accumulation rate of 0.67 tonnes C ha</w:t>
      </w:r>
      <w:r w:rsidRPr="009E06AA">
        <w:rPr>
          <w:vertAlign w:val="superscript"/>
        </w:rPr>
        <w:t xml:space="preserve">–1 </w:t>
      </w:r>
      <w:r w:rsidRPr="009E06AA">
        <w:t>yr</w:t>
      </w:r>
      <w:r w:rsidRPr="009E06AA">
        <w:rPr>
          <w:vertAlign w:val="superscript"/>
        </w:rPr>
        <w:t>–1</w:t>
      </w:r>
      <w:r w:rsidRPr="009E06AA">
        <w:t>. This value is based on the New Zealand-specific value of 18.76 tonnes C ha</w:t>
      </w:r>
      <w:r w:rsidRPr="009E06AA">
        <w:rPr>
          <w:spacing w:val="-2"/>
          <w:vertAlign w:val="superscript"/>
        </w:rPr>
        <w:t>–1</w:t>
      </w:r>
      <w:r w:rsidRPr="009E06AA">
        <w:t xml:space="preserve"> (</w:t>
      </w:r>
      <w:r w:rsidRPr="009E06AA">
        <w:rPr>
          <w:spacing w:val="-2"/>
        </w:rPr>
        <w:t xml:space="preserve">Davis and Wakelin, </w:t>
      </w:r>
      <w:r w:rsidRPr="009E06AA">
        <w:t>unpublished) sequestered over 28 years. It is assumed any biomass gains after this 28-year period are compensated for by biomass loss from pruning and other management practices, resulting in a net zero change in biomass stock of perennial cropland remaining perennial cropland.</w:t>
      </w:r>
    </w:p>
    <w:p w14:paraId="7F74DC37" w14:textId="77777777" w:rsidR="00053418" w:rsidRPr="009E06AA" w:rsidRDefault="00053418" w:rsidP="000011F9">
      <w:pPr>
        <w:pStyle w:val="BodyText"/>
        <w:spacing w:before="100" w:after="100"/>
      </w:pPr>
      <w:r w:rsidRPr="009E06AA">
        <w:t xml:space="preserve">The assumption of net zero change in biomass stock after 28 years may be overly simplistic, as outlined by the ERT recommendation L.21, 2019 (FCCC/ARR/2019/NZL, UNFCCC, 2020). However, activity data for biomass stock change beyond 28 years, or temporary destocking, are not available annually. Collection of these data is unlikely in the short to medium term because the funding required for research and method development is being prioritised for the </w:t>
      </w:r>
      <w:r w:rsidRPr="009E06AA">
        <w:rPr>
          <w:i/>
          <w:iCs/>
        </w:rPr>
        <w:t>Forest land</w:t>
      </w:r>
      <w:r w:rsidRPr="009E06AA">
        <w:t xml:space="preserve"> category. </w:t>
      </w:r>
    </w:p>
    <w:p w14:paraId="413135B9" w14:textId="77777777" w:rsidR="00053418" w:rsidRPr="009E06AA" w:rsidRDefault="00053418" w:rsidP="000011F9">
      <w:pPr>
        <w:pStyle w:val="BodyText"/>
        <w:spacing w:before="100" w:after="100"/>
      </w:pPr>
      <w:r w:rsidRPr="009E06AA">
        <w:t xml:space="preserve">The available activity data do not provide information on areas of perennial cropland temporarily destocked; therefore, no losses in carbon stock due to temporary destocking are reported. Consequently, no gains in these areas are reported either when they are restocked. </w:t>
      </w:r>
    </w:p>
    <w:p w14:paraId="17E6CAE8" w14:textId="77777777" w:rsidR="00053418" w:rsidRPr="009E06AA" w:rsidRDefault="00053418" w:rsidP="000011F9">
      <w:pPr>
        <w:pStyle w:val="Heading5"/>
        <w:spacing w:before="220"/>
      </w:pPr>
      <w:bookmarkStart w:id="2165" w:name="_Toc255466376"/>
      <w:bookmarkStart w:id="2166" w:name="_Toc261513183"/>
      <w:bookmarkStart w:id="2167" w:name="_Toc261513796"/>
      <w:bookmarkStart w:id="2168" w:name="_Toc280630268"/>
      <w:r w:rsidRPr="009E06AA">
        <w:t>Dead organic matter</w:t>
      </w:r>
      <w:bookmarkEnd w:id="2165"/>
      <w:bookmarkEnd w:id="2166"/>
      <w:bookmarkEnd w:id="2167"/>
      <w:bookmarkEnd w:id="2168"/>
    </w:p>
    <w:p w14:paraId="0C02F1D0" w14:textId="77777777" w:rsidR="00053418" w:rsidRPr="009E06AA" w:rsidRDefault="00053418" w:rsidP="000011F9">
      <w:pPr>
        <w:pStyle w:val="BodyText"/>
        <w:spacing w:before="100" w:after="100"/>
      </w:pPr>
      <w:r w:rsidRPr="009E06AA">
        <w:t xml:space="preserve">New Zealand does not report estimates of dead organic matter in this category. The notation key NE (not estimated) is used in the CRTs, in accordance with paragraph 37(b) of </w:t>
      </w:r>
      <w:r w:rsidRPr="009E06AA">
        <w:rPr>
          <w:spacing w:val="-2"/>
        </w:rPr>
        <w:t>Decision 24/CP.19 (UNFCCC, 2014). There is insufficient information to provide a basic approach with default parameters to estimate carbon stock change in dead organic matter pools</w:t>
      </w:r>
      <w:r w:rsidRPr="009E06AA">
        <w:t xml:space="preserve"> in </w:t>
      </w:r>
      <w:r w:rsidRPr="009E06AA">
        <w:rPr>
          <w:i/>
        </w:rPr>
        <w:t>Cropland</w:t>
      </w:r>
      <w:r w:rsidRPr="009E06AA">
        <w:t xml:space="preserve"> </w:t>
      </w:r>
      <w:r w:rsidRPr="009E06AA">
        <w:rPr>
          <w:i/>
        </w:rPr>
        <w:t>remaining cropland</w:t>
      </w:r>
      <w:r w:rsidRPr="009E06AA">
        <w:t xml:space="preserve"> and, consequently, no Tier 1 method is provided (IPCC, 2006a).</w:t>
      </w:r>
    </w:p>
    <w:p w14:paraId="68036FA2" w14:textId="77777777" w:rsidR="00053418" w:rsidRPr="009E06AA" w:rsidRDefault="00053418" w:rsidP="000011F9">
      <w:pPr>
        <w:pStyle w:val="Heading5"/>
        <w:spacing w:before="220"/>
      </w:pPr>
      <w:bookmarkStart w:id="2169" w:name="_Toc255466377"/>
      <w:bookmarkStart w:id="2170" w:name="_Toc261513184"/>
      <w:bookmarkStart w:id="2171" w:name="_Toc261513797"/>
      <w:bookmarkStart w:id="2172" w:name="_Toc280630269"/>
      <w:r w:rsidRPr="009E06AA">
        <w:t>Soil organic carbon</w:t>
      </w:r>
      <w:bookmarkEnd w:id="2169"/>
      <w:bookmarkEnd w:id="2170"/>
      <w:bookmarkEnd w:id="2171"/>
      <w:bookmarkEnd w:id="2172"/>
      <w:r w:rsidRPr="009E06AA">
        <w:t xml:space="preserve"> </w:t>
      </w:r>
    </w:p>
    <w:p w14:paraId="66DE8718" w14:textId="77777777" w:rsidR="00053418" w:rsidRPr="009E06AA" w:rsidRDefault="00053418" w:rsidP="00053418">
      <w:pPr>
        <w:pStyle w:val="BodyText"/>
        <w:spacing w:before="100" w:after="100"/>
      </w:pPr>
      <w:bookmarkStart w:id="2173" w:name="_Toc255466381"/>
      <w:bookmarkStart w:id="2174" w:name="_Toc261513188"/>
      <w:bookmarkStart w:id="2175" w:name="_Toc261513801"/>
      <w:bookmarkStart w:id="2176" w:name="_Toc280630272"/>
      <w:r w:rsidRPr="009E06AA">
        <w:t xml:space="preserve">Soil organic carbon stocks in mineral soil for </w:t>
      </w:r>
      <w:r w:rsidRPr="009E06AA">
        <w:rPr>
          <w:i/>
        </w:rPr>
        <w:t>Cropland remaining cropland</w:t>
      </w:r>
      <w:r w:rsidRPr="009E06AA">
        <w:t xml:space="preserve"> are estimated using a Tier 2 method (see annex A5.2.4 ‘Mineral soils’). For organic soils, loss of soil carbon is estimated using the Tier 1 method as described in annex A5.2.4 ‘Organic soils’. </w:t>
      </w:r>
    </w:p>
    <w:p w14:paraId="01F19D7B" w14:textId="77777777" w:rsidR="00053418" w:rsidRPr="009E06AA" w:rsidRDefault="00053418" w:rsidP="00053418">
      <w:pPr>
        <w:pStyle w:val="BodyText"/>
        <w:spacing w:before="100" w:after="100"/>
      </w:pPr>
      <w:r w:rsidRPr="009E06AA">
        <w:t xml:space="preserve">Mineral soil carbon change for annual cropland converted to perennial cropland and vice versa is estimated using the IPCC default method of applying a linear rate of change over 20 years (equation 2.25, IPCC, 2006a). </w:t>
      </w:r>
    </w:p>
    <w:p w14:paraId="2D333188" w14:textId="77777777" w:rsidR="00053418" w:rsidRPr="009E06AA" w:rsidRDefault="00053418" w:rsidP="000011F9">
      <w:pPr>
        <w:pStyle w:val="Heading5"/>
        <w:spacing w:before="220"/>
      </w:pPr>
      <w:r w:rsidRPr="009E06AA">
        <w:t>Non-CO</w:t>
      </w:r>
      <w:r w:rsidRPr="009E06AA">
        <w:rPr>
          <w:vertAlign w:val="subscript"/>
        </w:rPr>
        <w:t>2</w:t>
      </w:r>
      <w:r w:rsidRPr="009E06AA">
        <w:t xml:space="preserve"> emissions</w:t>
      </w:r>
    </w:p>
    <w:p w14:paraId="1FFFEA94" w14:textId="77777777" w:rsidR="00053418" w:rsidRPr="009E06AA" w:rsidRDefault="00053418" w:rsidP="00053418">
      <w:pPr>
        <w:pStyle w:val="BodyText"/>
        <w:spacing w:before="100" w:after="100"/>
      </w:pPr>
      <w:r w:rsidRPr="009E06AA">
        <w:t>All direct and indirect N</w:t>
      </w:r>
      <w:r w:rsidRPr="009E06AA">
        <w:rPr>
          <w:vertAlign w:val="subscript"/>
        </w:rPr>
        <w:t>2</w:t>
      </w:r>
      <w:r w:rsidRPr="009E06AA">
        <w:t xml:space="preserve">O emissions occurring from management activities in </w:t>
      </w:r>
      <w:r w:rsidRPr="009E06AA">
        <w:rPr>
          <w:i/>
        </w:rPr>
        <w:t>Cropland remaining cropland</w:t>
      </w:r>
      <w:r w:rsidRPr="009E06AA">
        <w:t xml:space="preserve"> are reported under the Agriculture sector. </w:t>
      </w:r>
    </w:p>
    <w:p w14:paraId="37D6F4C7" w14:textId="77777777" w:rsidR="00053418" w:rsidRPr="009E06AA" w:rsidRDefault="00053418" w:rsidP="00053418">
      <w:pPr>
        <w:pStyle w:val="Heading4"/>
      </w:pPr>
      <w:r w:rsidRPr="009E06AA">
        <w:t>Land converted to cropland</w:t>
      </w:r>
      <w:bookmarkEnd w:id="2173"/>
      <w:bookmarkEnd w:id="2174"/>
      <w:bookmarkEnd w:id="2175"/>
      <w:bookmarkEnd w:id="2176"/>
      <w:r w:rsidRPr="009E06AA">
        <w:t xml:space="preserve"> (4.B.2)</w:t>
      </w:r>
    </w:p>
    <w:p w14:paraId="4C7934EF" w14:textId="77777777" w:rsidR="00053418" w:rsidRPr="009E06AA" w:rsidRDefault="00053418" w:rsidP="000011F9">
      <w:pPr>
        <w:pStyle w:val="Heading5"/>
        <w:spacing w:before="180"/>
      </w:pPr>
      <w:bookmarkStart w:id="2177" w:name="_Toc255466382"/>
      <w:bookmarkStart w:id="2178" w:name="_Toc261513189"/>
      <w:bookmarkStart w:id="2179" w:name="_Toc261513802"/>
      <w:bookmarkStart w:id="2180" w:name="_Toc280630273"/>
      <w:r w:rsidRPr="009E06AA">
        <w:t>Living biomass</w:t>
      </w:r>
      <w:bookmarkEnd w:id="2177"/>
      <w:bookmarkEnd w:id="2178"/>
      <w:bookmarkEnd w:id="2179"/>
      <w:bookmarkEnd w:id="2180"/>
    </w:p>
    <w:p w14:paraId="60F088F8" w14:textId="77777777" w:rsidR="00053418" w:rsidRPr="009E06AA" w:rsidRDefault="00053418" w:rsidP="00053418">
      <w:pPr>
        <w:pStyle w:val="BodyText"/>
        <w:spacing w:before="100" w:after="100"/>
      </w:pPr>
      <w:r w:rsidRPr="009E06AA">
        <w:t xml:space="preserve">New Zealand uses a Tier 1 method, and a combination of IPCC default and New Zealand-specific emission factors, to calculate emissions for </w:t>
      </w:r>
      <w:r w:rsidRPr="009E06AA">
        <w:rPr>
          <w:i/>
        </w:rPr>
        <w:t>Land converted to cropland</w:t>
      </w:r>
      <w:r w:rsidRPr="009E06AA">
        <w:t xml:space="preserve">. The Tier 1 method multiplies the area of </w:t>
      </w:r>
      <w:r w:rsidRPr="009E06AA">
        <w:rPr>
          <w:i/>
        </w:rPr>
        <w:t>Land converted to cropland</w:t>
      </w:r>
      <w:r w:rsidRPr="009E06AA">
        <w:t xml:space="preserve"> annually by the carbon stock change per area for that type of conversion. </w:t>
      </w:r>
    </w:p>
    <w:p w14:paraId="06C36B43" w14:textId="77777777" w:rsidR="00053418" w:rsidRPr="009E06AA" w:rsidRDefault="00053418" w:rsidP="00053418">
      <w:pPr>
        <w:pStyle w:val="BodyText"/>
        <w:spacing w:before="100" w:after="100"/>
      </w:pPr>
      <w:r w:rsidRPr="009E06AA">
        <w:t>The Tier 1 method assumes carbon in living biomass and dead organic matter immediately after conversion is zero; that is, the land is cleared of all vegetation before planting crops. The amount of biomass cleared when land at steady state is converted is dependent on the land use category undergoing the conversion and is described further under each category-specific section in this chapter.</w:t>
      </w:r>
    </w:p>
    <w:p w14:paraId="11F6A2AA" w14:textId="77777777" w:rsidR="00053418" w:rsidRPr="009E06AA" w:rsidRDefault="00053418" w:rsidP="00053418">
      <w:pPr>
        <w:pStyle w:val="BodyText"/>
      </w:pPr>
      <w:r w:rsidRPr="009E06AA">
        <w:t>The Tier 1 method also includes changes in carbon stocks from one year of growth in the year conversion takes place, as outlined in equation 2.5 of the 2006 IPCC Guidelines (IPCC, 2006a).</w:t>
      </w:r>
    </w:p>
    <w:p w14:paraId="3DCB0583" w14:textId="77777777" w:rsidR="00053418" w:rsidRPr="009E06AA" w:rsidRDefault="00053418" w:rsidP="00053418">
      <w:pPr>
        <w:pStyle w:val="BodyText"/>
      </w:pPr>
      <w:r w:rsidRPr="009E06AA">
        <w:t>To estimate growth after conversion to annual cropland, New Zealand uses the IPCC default biomass accumulation rate of 5.0 tonnes C ha</w:t>
      </w:r>
      <w:r w:rsidRPr="009E06AA">
        <w:rPr>
          <w:vertAlign w:val="superscript"/>
        </w:rPr>
        <w:t>–1</w:t>
      </w:r>
      <w:r w:rsidRPr="009E06AA">
        <w:t xml:space="preserve"> for the first year following conversion (table 5.9, IPCC, 2006a). After the first year, any increase in biomass stocks in annual cropland </w:t>
      </w:r>
      <w:r w:rsidRPr="009E06AA">
        <w:rPr>
          <w:spacing w:val="-2"/>
        </w:rPr>
        <w:t>is assumed equal to biomass losses from harvest and mortality in that same year and, therefore</w:t>
      </w:r>
      <w:r w:rsidRPr="009E06AA">
        <w:t xml:space="preserve">, after the first year there is no net accumulation of biomass carbon stocks in </w:t>
      </w:r>
      <w:r w:rsidRPr="009E06AA">
        <w:rPr>
          <w:iCs/>
        </w:rPr>
        <w:t>annual</w:t>
      </w:r>
      <w:r w:rsidRPr="009E06AA">
        <w:rPr>
          <w:i/>
        </w:rPr>
        <w:t xml:space="preserve"> </w:t>
      </w:r>
      <w:r w:rsidRPr="009E06AA">
        <w:rPr>
          <w:iCs/>
        </w:rPr>
        <w:t>cropland remaining annual cropland</w:t>
      </w:r>
      <w:r w:rsidRPr="009E06AA">
        <w:t xml:space="preserve"> (IPCC, 2006a, section 5.2.1).</w:t>
      </w:r>
    </w:p>
    <w:p w14:paraId="309F3D72" w14:textId="77777777" w:rsidR="00053418" w:rsidRPr="009E06AA" w:rsidRDefault="00053418" w:rsidP="00053418">
      <w:pPr>
        <w:pStyle w:val="BodyText"/>
      </w:pPr>
      <w:r w:rsidRPr="009E06AA">
        <w:t>To estimate growth after conversion to perennial cropland, New Zealand uses the biomass accumulation rate of 0.67 tonnes C ha</w:t>
      </w:r>
      <w:r w:rsidRPr="009E06AA">
        <w:rPr>
          <w:vertAlign w:val="superscript"/>
        </w:rPr>
        <w:t xml:space="preserve">–1 </w:t>
      </w:r>
      <w:r w:rsidRPr="009E06AA">
        <w:t>yr</w:t>
      </w:r>
      <w:r w:rsidRPr="009E06AA">
        <w:rPr>
          <w:vertAlign w:val="superscript"/>
        </w:rPr>
        <w:t>–1</w:t>
      </w:r>
      <w:r w:rsidRPr="009E06AA">
        <w:t xml:space="preserve"> until 18.76 tonnes C ha</w:t>
      </w:r>
      <w:r w:rsidRPr="009E06AA">
        <w:rPr>
          <w:spacing w:val="-2"/>
          <w:vertAlign w:val="superscript"/>
        </w:rPr>
        <w:t>–1</w:t>
      </w:r>
      <w:r w:rsidRPr="009E06AA">
        <w:t xml:space="preserve"> is reached, as described in the </w:t>
      </w:r>
      <w:r w:rsidRPr="009E06AA">
        <w:rPr>
          <w:i/>
          <w:iCs/>
        </w:rPr>
        <w:t>Cropland remaining cropland</w:t>
      </w:r>
      <w:r w:rsidRPr="009E06AA">
        <w:t xml:space="preserve"> section above. The final eight years of biomass gain are reported in </w:t>
      </w:r>
      <w:r w:rsidRPr="009E06AA">
        <w:rPr>
          <w:i/>
          <w:iCs/>
        </w:rPr>
        <w:t>Cropland remaining cropland</w:t>
      </w:r>
      <w:r w:rsidRPr="009E06AA">
        <w:t xml:space="preserve"> because the 2006 IPCC Guidelines (IPCC, 2006a) default transition period of 20 years has been applied across the entire LULUCF sector. </w:t>
      </w:r>
    </w:p>
    <w:p w14:paraId="6805037F" w14:textId="77777777" w:rsidR="00053418" w:rsidRPr="009E06AA" w:rsidRDefault="00053418" w:rsidP="00BF2A76">
      <w:pPr>
        <w:pStyle w:val="Heading5"/>
      </w:pPr>
      <w:bookmarkStart w:id="2181" w:name="_Toc255466383"/>
      <w:bookmarkStart w:id="2182" w:name="_Toc261513190"/>
      <w:bookmarkStart w:id="2183" w:name="_Toc261513803"/>
      <w:bookmarkStart w:id="2184" w:name="_Toc280630274"/>
      <w:r w:rsidRPr="009E06AA">
        <w:t>Dead organic matter</w:t>
      </w:r>
      <w:bookmarkEnd w:id="2181"/>
      <w:bookmarkEnd w:id="2182"/>
      <w:bookmarkEnd w:id="2183"/>
      <w:bookmarkEnd w:id="2184"/>
    </w:p>
    <w:p w14:paraId="23640B1C" w14:textId="77777777" w:rsidR="00053418" w:rsidRPr="009E06AA" w:rsidRDefault="00053418" w:rsidP="00053418">
      <w:pPr>
        <w:pStyle w:val="BodyText"/>
      </w:pPr>
      <w:r w:rsidRPr="009E06AA">
        <w:t xml:space="preserve">New Zealand reports only losses in dead organic matter associated with the previous land use for this category. The losses are calculated based on the carbon in dead organic matter at the site before conversion to </w:t>
      </w:r>
      <w:r w:rsidRPr="009E06AA">
        <w:rPr>
          <w:i/>
        </w:rPr>
        <w:t>Cropland</w:t>
      </w:r>
      <w:r w:rsidRPr="009E06AA">
        <w:t xml:space="preserve">. It is assumed that, immediately after conversion, dead organic matter is zero (all carbon in dead organic matter before conversion is instantly oxidised in the year of conversion). There is insufficient information to estimate gain in carbon stock in dead organic matter pools after land is converted to </w:t>
      </w:r>
      <w:r w:rsidRPr="009E06AA">
        <w:rPr>
          <w:i/>
        </w:rPr>
        <w:t>Cropland</w:t>
      </w:r>
      <w:r w:rsidRPr="009E06AA">
        <w:t xml:space="preserve"> (IPCC, 2006a). Consequently, where there are no dead organic matter losses associated with the previous land use, the notation key NA (not applicable) is used in the CRTs in accordance with Decision 24/CP.19 (UNFCCC, 2014) because a given source and/or sink category does not result in emissions or removals of a specific gas.</w:t>
      </w:r>
    </w:p>
    <w:p w14:paraId="500B0132" w14:textId="77777777" w:rsidR="00053418" w:rsidRPr="009E06AA" w:rsidRDefault="00053418" w:rsidP="00BF2A76">
      <w:pPr>
        <w:pStyle w:val="Heading5"/>
      </w:pPr>
      <w:bookmarkStart w:id="2185" w:name="_Toc255466384"/>
      <w:bookmarkStart w:id="2186" w:name="_Toc261513191"/>
      <w:bookmarkStart w:id="2187" w:name="_Toc261513804"/>
      <w:bookmarkStart w:id="2188" w:name="_Toc280630275"/>
      <w:r w:rsidRPr="009E06AA">
        <w:t>Soil organic carbon</w:t>
      </w:r>
      <w:bookmarkEnd w:id="2185"/>
      <w:bookmarkEnd w:id="2186"/>
      <w:bookmarkEnd w:id="2187"/>
      <w:bookmarkEnd w:id="2188"/>
      <w:r w:rsidRPr="009E06AA">
        <w:t xml:space="preserve"> </w:t>
      </w:r>
    </w:p>
    <w:p w14:paraId="5139B4B4" w14:textId="77777777" w:rsidR="00053418" w:rsidRPr="009E06AA" w:rsidRDefault="00053418" w:rsidP="00053418">
      <w:pPr>
        <w:pStyle w:val="BodyText"/>
        <w:spacing w:before="80" w:after="100"/>
      </w:pPr>
      <w:bookmarkStart w:id="2189" w:name="_Toc255466385"/>
      <w:bookmarkStart w:id="2190" w:name="_Toc261513192"/>
      <w:bookmarkStart w:id="2191" w:name="_Toc261513805"/>
      <w:bookmarkStart w:id="2192" w:name="_Toc280630276"/>
      <w:r w:rsidRPr="009E06AA">
        <w:rPr>
          <w:spacing w:val="-2"/>
        </w:rPr>
        <w:t xml:space="preserve">Soil organic carbon stocks in </w:t>
      </w:r>
      <w:r w:rsidRPr="009E06AA">
        <w:rPr>
          <w:i/>
          <w:spacing w:val="-2"/>
        </w:rPr>
        <w:t>Land converted to cropland</w:t>
      </w:r>
      <w:r w:rsidRPr="009E06AA">
        <w:rPr>
          <w:spacing w:val="-2"/>
        </w:rPr>
        <w:t xml:space="preserve"> are estimated using a Tier 2 method for mineral soils and a Tier 1 method for organic soils (see annex A5.2.4, for further information)</w:t>
      </w:r>
      <w:r w:rsidRPr="009E06AA">
        <w:t xml:space="preserve">. </w:t>
      </w:r>
    </w:p>
    <w:p w14:paraId="2DD6398E" w14:textId="77777777" w:rsidR="00053418" w:rsidRPr="009E06AA" w:rsidRDefault="00053418" w:rsidP="00BF2A76">
      <w:pPr>
        <w:pStyle w:val="Heading5"/>
      </w:pPr>
      <w:r w:rsidRPr="009E06AA">
        <w:t>Non-CO</w:t>
      </w:r>
      <w:r w:rsidRPr="009E06AA">
        <w:rPr>
          <w:vertAlign w:val="subscript"/>
        </w:rPr>
        <w:t>2</w:t>
      </w:r>
      <w:r w:rsidRPr="009E06AA">
        <w:t xml:space="preserve"> emissions</w:t>
      </w:r>
      <w:bookmarkEnd w:id="2189"/>
      <w:bookmarkEnd w:id="2190"/>
      <w:bookmarkEnd w:id="2191"/>
      <w:bookmarkEnd w:id="2192"/>
    </w:p>
    <w:p w14:paraId="0E6AC01A" w14:textId="77777777" w:rsidR="00053418" w:rsidRPr="009E06AA" w:rsidRDefault="00053418" w:rsidP="00053418">
      <w:pPr>
        <w:pStyle w:val="BodyText"/>
      </w:pPr>
      <w:r w:rsidRPr="009E06AA">
        <w:t xml:space="preserve">Nitrous oxide emissions from disturbance associated with land use conversion to </w:t>
      </w:r>
      <w:r w:rsidRPr="009E06AA">
        <w:rPr>
          <w:i/>
        </w:rPr>
        <w:t>Cropland</w:t>
      </w:r>
      <w:r w:rsidRPr="009E06AA">
        <w:t xml:space="preserve"> and land use management are described in section 6.11. </w:t>
      </w:r>
    </w:p>
    <w:p w14:paraId="30584BCF" w14:textId="77777777" w:rsidR="00053418" w:rsidRPr="009E06AA" w:rsidRDefault="00053418" w:rsidP="00053418">
      <w:pPr>
        <w:pStyle w:val="Heading3"/>
      </w:pPr>
      <w:bookmarkStart w:id="2193" w:name="_Toc139253965"/>
      <w:bookmarkStart w:id="2194" w:name="_Toc255466388"/>
      <w:bookmarkStart w:id="2195" w:name="_Toc261513195"/>
      <w:bookmarkStart w:id="2196" w:name="_Toc261513808"/>
      <w:bookmarkStart w:id="2197" w:name="_Toc280630277"/>
      <w:r w:rsidRPr="009E06AA">
        <w:t>6.5.3</w:t>
      </w:r>
      <w:r w:rsidRPr="009E06AA">
        <w:tab/>
        <w:t>Uncertainty assessment and time-series consistency</w:t>
      </w:r>
      <w:bookmarkEnd w:id="2193"/>
      <w:bookmarkEnd w:id="2194"/>
      <w:bookmarkEnd w:id="2195"/>
      <w:bookmarkEnd w:id="2196"/>
      <w:bookmarkEnd w:id="2197"/>
    </w:p>
    <w:p w14:paraId="46611E0A" w14:textId="77777777" w:rsidR="00053418" w:rsidRPr="009E06AA" w:rsidRDefault="00053418" w:rsidP="00053418">
      <w:pPr>
        <w:pStyle w:val="BodyText"/>
      </w:pPr>
      <w:r w:rsidRPr="009E06AA">
        <w:t xml:space="preserve">The uncertainty in net carbon emissions from </w:t>
      </w:r>
      <w:r w:rsidRPr="009E06AA">
        <w:rPr>
          <w:i/>
          <w:iCs/>
        </w:rPr>
        <w:t>Cropland</w:t>
      </w:r>
      <w:r w:rsidRPr="009E06AA">
        <w:t xml:space="preserve"> was 59.7 per cent in 2022. The uncertainty in net carbon emissions from </w:t>
      </w:r>
      <w:r w:rsidRPr="009E06AA">
        <w:rPr>
          <w:i/>
        </w:rPr>
        <w:t>Cropland</w:t>
      </w:r>
      <w:r w:rsidRPr="009E06AA">
        <w:t xml:space="preserve"> accounted for 2.1 per cent of the total uncertainty in emissions from the LULUCF sector. The uncertainty associated with the emissions from each </w:t>
      </w:r>
      <w:r w:rsidRPr="009E06AA">
        <w:rPr>
          <w:i/>
          <w:iCs/>
        </w:rPr>
        <w:t>Cropland</w:t>
      </w:r>
      <w:r w:rsidRPr="009E06AA">
        <w:t xml:space="preserve"> class is shown in table 6.5.6. The methods used to calculate the uncertainty are further described in annex A5.2.8. </w:t>
      </w:r>
    </w:p>
    <w:p w14:paraId="16CA374F" w14:textId="77777777" w:rsidR="00053418" w:rsidRPr="009E06AA" w:rsidRDefault="00053418" w:rsidP="00053418">
      <w:pPr>
        <w:pStyle w:val="BodyText"/>
      </w:pPr>
      <w:r w:rsidRPr="009E06AA">
        <w:t xml:space="preserve">Time-series consistency is ensured by applying consistent methods and full recalculations in the event of any refinement or improvement to methodology. </w:t>
      </w:r>
    </w:p>
    <w:p w14:paraId="66B884B9" w14:textId="77777777" w:rsidR="00053418" w:rsidRPr="009E06AA" w:rsidRDefault="00053418" w:rsidP="00053418">
      <w:pPr>
        <w:pStyle w:val="Table"/>
      </w:pPr>
      <w:bookmarkStart w:id="2198" w:name="_Toc131591406"/>
      <w:bookmarkStart w:id="2199" w:name="_Toc158979964"/>
      <w:bookmarkStart w:id="2200" w:name="_Toc164153897"/>
      <w:bookmarkStart w:id="2201" w:name="_Toc280630463"/>
      <w:bookmarkStart w:id="2202" w:name="_Toc310423419"/>
      <w:bookmarkStart w:id="2203" w:name="_Toc318362712"/>
      <w:bookmarkStart w:id="2204" w:name="_Toc342470774"/>
      <w:bookmarkStart w:id="2205" w:name="_Toc352505014"/>
      <w:bookmarkStart w:id="2206" w:name="_Toc378853305"/>
      <w:bookmarkStart w:id="2207" w:name="_Toc391024103"/>
      <w:bookmarkStart w:id="2208" w:name="_Toc410028846"/>
      <w:bookmarkStart w:id="2209" w:name="_Toc414531474"/>
      <w:bookmarkStart w:id="2210" w:name="_Toc443645387"/>
      <w:bookmarkStart w:id="2211" w:name="_Toc474914606"/>
      <w:bookmarkStart w:id="2212" w:name="_Toc481751570"/>
      <w:bookmarkStart w:id="2213" w:name="_Toc522010627"/>
      <w:bookmarkStart w:id="2214" w:name="_Toc5269532"/>
      <w:bookmarkStart w:id="2215" w:name="_Toc33529406"/>
      <w:bookmarkStart w:id="2216" w:name="_Toc36224612"/>
      <w:bookmarkStart w:id="2217" w:name="_Toc65243609"/>
      <w:r w:rsidRPr="009E06AA">
        <w:t>Table 6.5.6</w:t>
      </w:r>
      <w:r w:rsidRPr="009E06AA">
        <w:tab/>
        <w:t xml:space="preserve">Uncertainty in net carbon stock change emissions in 2022 for </w:t>
      </w:r>
      <w:r w:rsidRPr="009E06AA">
        <w:rPr>
          <w:bCs/>
        </w:rPr>
        <w:t xml:space="preserve">the </w:t>
      </w:r>
      <w:r w:rsidRPr="009E06AA">
        <w:rPr>
          <w:i/>
        </w:rPr>
        <w:t>Cropland</w:t>
      </w:r>
      <w:r w:rsidRPr="009E06AA">
        <w:t xml:space="preserve"> </w:t>
      </w:r>
      <w:r w:rsidRPr="009E06AA">
        <w:rPr>
          <w:bCs/>
          <w:iCs/>
        </w:rPr>
        <w:t>category</w:t>
      </w:r>
      <w:bookmarkEnd w:id="2198"/>
      <w:bookmarkEnd w:id="2199"/>
      <w:bookmarkEnd w:id="2200"/>
    </w:p>
    <w:tbl>
      <w:tblPr>
        <w:tblW w:w="8505" w:type="dxa"/>
        <w:tblLayout w:type="fixed"/>
        <w:tblLook w:val="04A0" w:firstRow="1" w:lastRow="0" w:firstColumn="1" w:lastColumn="0" w:noHBand="0" w:noVBand="1"/>
      </w:tblPr>
      <w:tblGrid>
        <w:gridCol w:w="1554"/>
        <w:gridCol w:w="1835"/>
        <w:gridCol w:w="2259"/>
        <w:gridCol w:w="2857"/>
      </w:tblGrid>
      <w:tr w:rsidR="00053418" w:rsidRPr="009E06AA" w14:paraId="372CBA3A" w14:textId="77777777" w:rsidTr="00B55F24">
        <w:tc>
          <w:tcPr>
            <w:tcW w:w="1554" w:type="dxa"/>
            <w:tcBorders>
              <w:top w:val="single" w:sz="4" w:space="0" w:color="1B556B" w:themeColor="text2"/>
            </w:tcBorders>
            <w:shd w:val="clear" w:color="auto" w:fill="1B556B" w:themeFill="text2"/>
            <w:vAlign w:val="bottom"/>
          </w:tcPr>
          <w:p w14:paraId="4FC8A1CB" w14:textId="77777777" w:rsidR="00053418" w:rsidRPr="009E06AA" w:rsidRDefault="00053418" w:rsidP="00B55F24">
            <w:pPr>
              <w:pStyle w:val="TableTextBold"/>
              <w:keepNext/>
              <w:spacing w:before="40" w:after="40"/>
              <w:rPr>
                <w:noProof w:val="0"/>
                <w:color w:val="FFFFFF"/>
                <w:szCs w:val="16"/>
              </w:rPr>
            </w:pPr>
            <w:r w:rsidRPr="009E06AA">
              <w:rPr>
                <w:noProof w:val="0"/>
                <w:color w:val="FFFFFF" w:themeColor="background1"/>
                <w:szCs w:val="16"/>
              </w:rPr>
              <w:t>Land use</w:t>
            </w:r>
          </w:p>
        </w:tc>
        <w:tc>
          <w:tcPr>
            <w:tcW w:w="1835" w:type="dxa"/>
            <w:tcBorders>
              <w:top w:val="single" w:sz="4" w:space="0" w:color="1B556B" w:themeColor="text2"/>
            </w:tcBorders>
            <w:shd w:val="clear" w:color="auto" w:fill="1B556B" w:themeFill="text2"/>
            <w:vAlign w:val="bottom"/>
          </w:tcPr>
          <w:p w14:paraId="5EF3DADC" w14:textId="77777777" w:rsidR="00053418" w:rsidRPr="009E06AA" w:rsidRDefault="00053418" w:rsidP="000E3614">
            <w:pPr>
              <w:pStyle w:val="TableTextBold"/>
              <w:spacing w:before="40" w:after="40"/>
              <w:jc w:val="right"/>
              <w:rPr>
                <w:noProof w:val="0"/>
                <w:color w:val="FFFFFF"/>
                <w:szCs w:val="16"/>
              </w:rPr>
            </w:pPr>
            <w:r w:rsidRPr="009E06AA">
              <w:rPr>
                <w:noProof w:val="0"/>
                <w:color w:val="FFFFFF"/>
                <w:szCs w:val="16"/>
              </w:rPr>
              <w:t>Emissions (kt CO</w:t>
            </w:r>
            <w:r w:rsidRPr="009E06AA">
              <w:rPr>
                <w:noProof w:val="0"/>
                <w:color w:val="FFFFFF"/>
                <w:szCs w:val="16"/>
                <w:vertAlign w:val="subscript"/>
              </w:rPr>
              <w:t>2</w:t>
            </w:r>
            <w:r w:rsidRPr="009E06AA">
              <w:rPr>
                <w:noProof w:val="0"/>
                <w:color w:val="FFFFFF"/>
                <w:szCs w:val="16"/>
              </w:rPr>
              <w:t>-e)</w:t>
            </w:r>
          </w:p>
        </w:tc>
        <w:tc>
          <w:tcPr>
            <w:tcW w:w="2259" w:type="dxa"/>
            <w:tcBorders>
              <w:top w:val="single" w:sz="4" w:space="0" w:color="1B556B" w:themeColor="text2"/>
            </w:tcBorders>
            <w:shd w:val="clear" w:color="auto" w:fill="1B556B" w:themeFill="text2"/>
            <w:vAlign w:val="bottom"/>
          </w:tcPr>
          <w:p w14:paraId="4C201C43" w14:textId="77777777" w:rsidR="00053418" w:rsidRPr="009E06AA" w:rsidRDefault="00053418" w:rsidP="000E3614">
            <w:pPr>
              <w:pStyle w:val="TableTextBold"/>
              <w:spacing w:before="40" w:after="40"/>
              <w:jc w:val="right"/>
              <w:rPr>
                <w:noProof w:val="0"/>
                <w:color w:val="FFFFFF"/>
                <w:szCs w:val="16"/>
              </w:rPr>
            </w:pPr>
            <w:r w:rsidRPr="009E06AA">
              <w:rPr>
                <w:noProof w:val="0"/>
                <w:color w:val="FFFFFF"/>
                <w:szCs w:val="16"/>
              </w:rPr>
              <w:t>Uncertainty in emissions (%)</w:t>
            </w:r>
          </w:p>
        </w:tc>
        <w:tc>
          <w:tcPr>
            <w:tcW w:w="2857" w:type="dxa"/>
            <w:tcBorders>
              <w:top w:val="single" w:sz="4" w:space="0" w:color="1B556B" w:themeColor="text2"/>
            </w:tcBorders>
            <w:shd w:val="clear" w:color="auto" w:fill="1B556B" w:themeFill="text2"/>
            <w:vAlign w:val="bottom"/>
          </w:tcPr>
          <w:p w14:paraId="06E9173A" w14:textId="77777777" w:rsidR="00053418" w:rsidRPr="009E06AA" w:rsidRDefault="00053418" w:rsidP="000E3614">
            <w:pPr>
              <w:pStyle w:val="TableTextBold"/>
              <w:spacing w:before="40" w:after="40"/>
              <w:jc w:val="right"/>
              <w:rPr>
                <w:noProof w:val="0"/>
                <w:color w:val="FFFFFF"/>
                <w:szCs w:val="16"/>
              </w:rPr>
            </w:pPr>
            <w:r w:rsidRPr="009E06AA">
              <w:rPr>
                <w:noProof w:val="0"/>
                <w:color w:val="FFFFFF"/>
                <w:szCs w:val="16"/>
              </w:rPr>
              <w:t>Contribution to LULUCF uncertainty (%)</w:t>
            </w:r>
          </w:p>
        </w:tc>
      </w:tr>
      <w:tr w:rsidR="00053418" w:rsidRPr="009E06AA" w14:paraId="773F8B41" w14:textId="77777777" w:rsidTr="00B55F24">
        <w:tc>
          <w:tcPr>
            <w:tcW w:w="1554" w:type="dxa"/>
            <w:tcBorders>
              <w:top w:val="single" w:sz="4" w:space="0" w:color="1B556B" w:themeColor="text2"/>
              <w:bottom w:val="single" w:sz="4" w:space="0" w:color="365F91"/>
            </w:tcBorders>
          </w:tcPr>
          <w:p w14:paraId="49F118B7" w14:textId="77777777" w:rsidR="00053418" w:rsidRPr="009E06AA" w:rsidRDefault="00053418" w:rsidP="00B55F24">
            <w:pPr>
              <w:pStyle w:val="TableText"/>
              <w:spacing w:before="40" w:after="40"/>
            </w:pPr>
            <w:r w:rsidRPr="009E06AA">
              <w:t>Annual cropland</w:t>
            </w:r>
          </w:p>
        </w:tc>
        <w:tc>
          <w:tcPr>
            <w:tcW w:w="1835" w:type="dxa"/>
            <w:tcBorders>
              <w:top w:val="single" w:sz="4" w:space="0" w:color="1B556B" w:themeColor="text2"/>
              <w:bottom w:val="single" w:sz="4" w:space="0" w:color="365F91"/>
            </w:tcBorders>
            <w:vAlign w:val="bottom"/>
          </w:tcPr>
          <w:p w14:paraId="414DEF8F" w14:textId="77777777" w:rsidR="00053418" w:rsidRPr="009E06AA" w:rsidRDefault="00053418" w:rsidP="000E3614">
            <w:pPr>
              <w:pStyle w:val="TableText"/>
              <w:spacing w:before="40" w:after="40"/>
              <w:jc w:val="right"/>
              <w:rPr>
                <w:szCs w:val="16"/>
              </w:rPr>
            </w:pPr>
            <w:r w:rsidRPr="009E06AA">
              <w:rPr>
                <w:rFonts w:cs="Calibri"/>
                <w:color w:val="000000"/>
                <w:szCs w:val="16"/>
              </w:rPr>
              <w:t>625.1</w:t>
            </w:r>
          </w:p>
        </w:tc>
        <w:tc>
          <w:tcPr>
            <w:tcW w:w="2259" w:type="dxa"/>
            <w:tcBorders>
              <w:top w:val="single" w:sz="4" w:space="0" w:color="1B556B" w:themeColor="text2"/>
              <w:bottom w:val="single" w:sz="4" w:space="0" w:color="365F91"/>
            </w:tcBorders>
            <w:vAlign w:val="bottom"/>
          </w:tcPr>
          <w:p w14:paraId="65EC1AF0" w14:textId="77777777" w:rsidR="00053418" w:rsidRPr="009E06AA" w:rsidRDefault="00053418" w:rsidP="000E3614">
            <w:pPr>
              <w:pStyle w:val="TableText"/>
              <w:spacing w:before="40" w:after="40"/>
              <w:jc w:val="right"/>
              <w:rPr>
                <w:szCs w:val="16"/>
              </w:rPr>
            </w:pPr>
            <w:r w:rsidRPr="009E06AA">
              <w:rPr>
                <w:rFonts w:cs="Calibri"/>
                <w:color w:val="000000"/>
                <w:szCs w:val="16"/>
              </w:rPr>
              <w:t>64.0</w:t>
            </w:r>
          </w:p>
        </w:tc>
        <w:tc>
          <w:tcPr>
            <w:tcW w:w="2857" w:type="dxa"/>
            <w:tcBorders>
              <w:top w:val="single" w:sz="4" w:space="0" w:color="1B556B" w:themeColor="text2"/>
              <w:bottom w:val="single" w:sz="4" w:space="0" w:color="365F91"/>
            </w:tcBorders>
            <w:vAlign w:val="bottom"/>
          </w:tcPr>
          <w:p w14:paraId="2DD248CC" w14:textId="77777777" w:rsidR="00053418" w:rsidRPr="009E06AA" w:rsidRDefault="00053418" w:rsidP="000E3614">
            <w:pPr>
              <w:pStyle w:val="TableText"/>
              <w:spacing w:before="40" w:after="40"/>
              <w:jc w:val="right"/>
              <w:rPr>
                <w:szCs w:val="16"/>
              </w:rPr>
            </w:pPr>
            <w:r w:rsidRPr="009E06AA">
              <w:rPr>
                <w:rFonts w:cs="Calibri"/>
                <w:color w:val="000000"/>
                <w:szCs w:val="16"/>
              </w:rPr>
              <w:t>2.1</w:t>
            </w:r>
          </w:p>
        </w:tc>
      </w:tr>
      <w:tr w:rsidR="00053418" w:rsidRPr="009E06AA" w14:paraId="6E4AB03A" w14:textId="77777777" w:rsidTr="00B55F24">
        <w:tc>
          <w:tcPr>
            <w:tcW w:w="1554" w:type="dxa"/>
            <w:tcBorders>
              <w:top w:val="single" w:sz="4" w:space="0" w:color="365F91"/>
              <w:bottom w:val="single" w:sz="4" w:space="0" w:color="365F91"/>
            </w:tcBorders>
          </w:tcPr>
          <w:p w14:paraId="5BCE31F3" w14:textId="77777777" w:rsidR="00053418" w:rsidRPr="009E06AA" w:rsidRDefault="00053418" w:rsidP="00B55F24">
            <w:pPr>
              <w:pStyle w:val="TableText"/>
              <w:spacing w:before="40" w:after="40"/>
            </w:pPr>
            <w:r w:rsidRPr="009E06AA">
              <w:t>Perennial cropland</w:t>
            </w:r>
          </w:p>
        </w:tc>
        <w:tc>
          <w:tcPr>
            <w:tcW w:w="1835" w:type="dxa"/>
            <w:tcBorders>
              <w:top w:val="single" w:sz="4" w:space="0" w:color="365F91"/>
              <w:bottom w:val="single" w:sz="4" w:space="0" w:color="365F91"/>
            </w:tcBorders>
            <w:vAlign w:val="bottom"/>
          </w:tcPr>
          <w:p w14:paraId="105F2281" w14:textId="77777777" w:rsidR="00053418" w:rsidRPr="009E06AA" w:rsidRDefault="00053418" w:rsidP="000E3614">
            <w:pPr>
              <w:pStyle w:val="TableText"/>
              <w:spacing w:before="40" w:after="40"/>
              <w:jc w:val="right"/>
              <w:rPr>
                <w:szCs w:val="16"/>
              </w:rPr>
            </w:pPr>
            <w:r w:rsidRPr="009E06AA">
              <w:rPr>
                <w:rFonts w:cs="Calibri"/>
                <w:color w:val="000000"/>
                <w:szCs w:val="16"/>
              </w:rPr>
              <w:t>62.2</w:t>
            </w:r>
          </w:p>
        </w:tc>
        <w:tc>
          <w:tcPr>
            <w:tcW w:w="2259" w:type="dxa"/>
            <w:tcBorders>
              <w:top w:val="single" w:sz="4" w:space="0" w:color="365F91"/>
              <w:bottom w:val="single" w:sz="4" w:space="0" w:color="365F91"/>
            </w:tcBorders>
            <w:vAlign w:val="bottom"/>
          </w:tcPr>
          <w:p w14:paraId="2CBB5F91" w14:textId="77777777" w:rsidR="00053418" w:rsidRPr="009E06AA" w:rsidRDefault="00053418" w:rsidP="000E3614">
            <w:pPr>
              <w:pStyle w:val="TableText"/>
              <w:spacing w:before="40" w:after="40"/>
              <w:jc w:val="right"/>
              <w:rPr>
                <w:szCs w:val="16"/>
              </w:rPr>
            </w:pPr>
            <w:r w:rsidRPr="009E06AA">
              <w:rPr>
                <w:rFonts w:cs="Calibri"/>
                <w:color w:val="000000"/>
                <w:szCs w:val="16"/>
              </w:rPr>
              <w:t>148.3</w:t>
            </w:r>
          </w:p>
        </w:tc>
        <w:tc>
          <w:tcPr>
            <w:tcW w:w="2857" w:type="dxa"/>
            <w:tcBorders>
              <w:top w:val="single" w:sz="4" w:space="0" w:color="365F91"/>
              <w:bottom w:val="single" w:sz="4" w:space="0" w:color="365F91"/>
            </w:tcBorders>
            <w:vAlign w:val="bottom"/>
          </w:tcPr>
          <w:p w14:paraId="2B4E1A10" w14:textId="77777777" w:rsidR="00053418" w:rsidRPr="009E06AA" w:rsidRDefault="00053418" w:rsidP="000E3614">
            <w:pPr>
              <w:pStyle w:val="TableText"/>
              <w:spacing w:before="40" w:after="40"/>
              <w:jc w:val="right"/>
              <w:rPr>
                <w:szCs w:val="16"/>
              </w:rPr>
            </w:pPr>
            <w:r w:rsidRPr="009E06AA">
              <w:rPr>
                <w:rFonts w:cs="Calibri"/>
                <w:color w:val="000000"/>
                <w:szCs w:val="16"/>
              </w:rPr>
              <w:t>0.5</w:t>
            </w:r>
          </w:p>
        </w:tc>
      </w:tr>
      <w:tr w:rsidR="00053418" w:rsidRPr="009E06AA" w14:paraId="1D306998" w14:textId="77777777" w:rsidTr="00B55F24">
        <w:tc>
          <w:tcPr>
            <w:tcW w:w="1554" w:type="dxa"/>
            <w:tcBorders>
              <w:top w:val="single" w:sz="4" w:space="0" w:color="365F91"/>
              <w:bottom w:val="single" w:sz="4" w:space="0" w:color="365F91"/>
            </w:tcBorders>
          </w:tcPr>
          <w:p w14:paraId="425787CC" w14:textId="77777777" w:rsidR="00053418" w:rsidRPr="009E06AA" w:rsidRDefault="00053418" w:rsidP="00B55F24">
            <w:pPr>
              <w:pStyle w:val="TableTextBold"/>
              <w:spacing w:before="40" w:after="40"/>
              <w:rPr>
                <w:noProof w:val="0"/>
                <w:color w:val="1B556B"/>
              </w:rPr>
            </w:pPr>
            <w:r w:rsidRPr="009E06AA">
              <w:rPr>
                <w:noProof w:val="0"/>
                <w:color w:val="1B556B"/>
              </w:rPr>
              <w:t xml:space="preserve">Total </w:t>
            </w:r>
          </w:p>
        </w:tc>
        <w:tc>
          <w:tcPr>
            <w:tcW w:w="1835" w:type="dxa"/>
            <w:tcBorders>
              <w:top w:val="single" w:sz="4" w:space="0" w:color="365F91"/>
              <w:bottom w:val="single" w:sz="4" w:space="0" w:color="365F91"/>
            </w:tcBorders>
            <w:vAlign w:val="bottom"/>
          </w:tcPr>
          <w:p w14:paraId="33017826" w14:textId="77777777" w:rsidR="00053418" w:rsidRPr="009E06AA" w:rsidRDefault="00053418" w:rsidP="000E3614">
            <w:pPr>
              <w:pStyle w:val="TableTextBold"/>
              <w:spacing w:before="40" w:after="40"/>
              <w:jc w:val="right"/>
              <w:rPr>
                <w:noProof w:val="0"/>
                <w:color w:val="1B556B" w:themeColor="text2"/>
              </w:rPr>
            </w:pPr>
            <w:r w:rsidRPr="009E06AA">
              <w:rPr>
                <w:rFonts w:cs="Calibri"/>
                <w:noProof w:val="0"/>
                <w:color w:val="1B556B" w:themeColor="text2"/>
              </w:rPr>
              <w:t>687.3</w:t>
            </w:r>
          </w:p>
        </w:tc>
        <w:tc>
          <w:tcPr>
            <w:tcW w:w="2259" w:type="dxa"/>
            <w:tcBorders>
              <w:top w:val="single" w:sz="4" w:space="0" w:color="365F91"/>
              <w:bottom w:val="single" w:sz="4" w:space="0" w:color="365F91"/>
            </w:tcBorders>
            <w:vAlign w:val="bottom"/>
          </w:tcPr>
          <w:p w14:paraId="5A6B17E1" w14:textId="77777777" w:rsidR="00053418" w:rsidRPr="009E06AA" w:rsidRDefault="00053418" w:rsidP="000E3614">
            <w:pPr>
              <w:pStyle w:val="TableTextBold"/>
              <w:spacing w:before="40" w:after="40"/>
              <w:jc w:val="right"/>
              <w:rPr>
                <w:noProof w:val="0"/>
                <w:color w:val="1B556B" w:themeColor="text2"/>
              </w:rPr>
            </w:pPr>
            <w:r w:rsidRPr="009E06AA">
              <w:rPr>
                <w:rFonts w:cs="Calibri"/>
                <w:noProof w:val="0"/>
                <w:color w:val="1B556B" w:themeColor="text2"/>
              </w:rPr>
              <w:t>59.7</w:t>
            </w:r>
          </w:p>
        </w:tc>
        <w:tc>
          <w:tcPr>
            <w:tcW w:w="2857" w:type="dxa"/>
            <w:tcBorders>
              <w:top w:val="single" w:sz="4" w:space="0" w:color="365F91"/>
              <w:bottom w:val="single" w:sz="4" w:space="0" w:color="365F91"/>
            </w:tcBorders>
            <w:vAlign w:val="bottom"/>
          </w:tcPr>
          <w:p w14:paraId="597FF6EB" w14:textId="77777777" w:rsidR="00053418" w:rsidRPr="009E06AA" w:rsidRDefault="00053418" w:rsidP="000E3614">
            <w:pPr>
              <w:pStyle w:val="TableTextBold"/>
              <w:spacing w:before="40" w:after="40"/>
              <w:jc w:val="right"/>
              <w:rPr>
                <w:noProof w:val="0"/>
                <w:color w:val="1B556B" w:themeColor="text2"/>
              </w:rPr>
            </w:pPr>
            <w:r w:rsidRPr="009E06AA">
              <w:rPr>
                <w:rFonts w:cs="Calibri"/>
                <w:noProof w:val="0"/>
                <w:color w:val="1B556B" w:themeColor="text2"/>
              </w:rPr>
              <w:t>2.1</w:t>
            </w:r>
          </w:p>
        </w:tc>
      </w:tr>
    </w:tbl>
    <w:p w14:paraId="654FA5FD" w14:textId="77777777" w:rsidR="00053418" w:rsidRPr="009E06AA" w:rsidRDefault="00053418" w:rsidP="009F0FA8">
      <w:pPr>
        <w:pStyle w:val="Heading3"/>
        <w:spacing w:before="400"/>
      </w:pPr>
      <w:bookmarkStart w:id="2218" w:name="_Toc139253966"/>
      <w:bookmarkStart w:id="2219" w:name="_Toc255466389"/>
      <w:bookmarkStart w:id="2220" w:name="_Toc261513196"/>
      <w:bookmarkStart w:id="2221" w:name="_Toc261513809"/>
      <w:bookmarkStart w:id="2222" w:name="_Toc280630278"/>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r w:rsidRPr="009E06AA">
        <w:t>6.5.4</w:t>
      </w:r>
      <w:r w:rsidRPr="009E06AA">
        <w:tab/>
        <w:t>Category-specific QA/QC and verification</w:t>
      </w:r>
      <w:bookmarkEnd w:id="2218"/>
      <w:bookmarkEnd w:id="2219"/>
      <w:bookmarkEnd w:id="2220"/>
      <w:bookmarkEnd w:id="2221"/>
      <w:bookmarkEnd w:id="2222"/>
    </w:p>
    <w:p w14:paraId="3B9FB679" w14:textId="77777777" w:rsidR="00053418" w:rsidRPr="009E06AA" w:rsidRDefault="00053418" w:rsidP="00053418">
      <w:pPr>
        <w:pStyle w:val="BodyText"/>
      </w:pPr>
      <w:r w:rsidRPr="009E06AA">
        <w:t>In the preparation of this inventory, the data for CO</w:t>
      </w:r>
      <w:r w:rsidRPr="009E06AA">
        <w:rPr>
          <w:vertAlign w:val="subscript"/>
        </w:rPr>
        <w:t>2</w:t>
      </w:r>
      <w:r w:rsidRPr="009E06AA">
        <w:t xml:space="preserve"> emissions from the </w:t>
      </w:r>
      <w:r w:rsidRPr="009E06AA">
        <w:rPr>
          <w:i/>
        </w:rPr>
        <w:t>Land converted to cropland</w:t>
      </w:r>
      <w:r w:rsidRPr="009E06AA">
        <w:t xml:space="preserve"> category underwent Tier 1 quality checks. </w:t>
      </w:r>
      <w:r w:rsidRPr="009E06AA">
        <w:rPr>
          <w:i/>
        </w:rPr>
        <w:t>Cropland remaining cropland</w:t>
      </w:r>
      <w:r w:rsidRPr="009E06AA">
        <w:t xml:space="preserve"> and </w:t>
      </w:r>
      <w:r w:rsidRPr="009E06AA">
        <w:rPr>
          <w:rFonts w:cs="Calibri"/>
          <w:i/>
          <w:iCs/>
          <w:color w:val="000000"/>
        </w:rPr>
        <w:t>Land Converted to Cropland</w:t>
      </w:r>
      <w:r w:rsidRPr="009E06AA">
        <w:t xml:space="preserve"> were identified as key categories for the level and trend assessment in 2022. As part of verification of the New Zealand-specific above-ground biomass emission factor for perennial cropland, this factor has been compared with the IPCC default for temperate perennial cropland (table 5.1, IPCC, 2006a). The New Zealand value for above-</w:t>
      </w:r>
      <w:r w:rsidRPr="009E06AA">
        <w:rPr>
          <w:spacing w:val="-2"/>
        </w:rPr>
        <w:t>ground biomass of 18.76 tonnes C ha</w:t>
      </w:r>
      <w:r w:rsidRPr="009E06AA">
        <w:rPr>
          <w:spacing w:val="-2"/>
          <w:vertAlign w:val="superscript"/>
        </w:rPr>
        <w:t xml:space="preserve">–1 </w:t>
      </w:r>
      <w:r w:rsidRPr="009E06AA">
        <w:rPr>
          <w:spacing w:val="-2"/>
        </w:rPr>
        <w:t>is much lower than the default value of 63 tonnes C ha</w:t>
      </w:r>
      <w:r w:rsidRPr="009E06AA">
        <w:rPr>
          <w:spacing w:val="-2"/>
          <w:vertAlign w:val="superscript"/>
        </w:rPr>
        <w:t>–1</w:t>
      </w:r>
      <w:r w:rsidRPr="009E06AA">
        <w:t xml:space="preserve"> provided in the 2006 IPCC Guidelines (IPCC, 2006a). Further research into the differences between the values has shown the IPCC default value is based on just four studies of agroforestry systems where crops are grown in rotation with trees and none of these studies is New Zealand specific. The country-specific emission factor used is based on a New Zealand study, taking into account that New Zealand’s main perennial crops are not grown in rotation with trees (i.e., are not part of an agroforestry system) and that a significant proportion of New Zealand’s main perennial crops are vine fruit, such as</w:t>
      </w:r>
      <w:r w:rsidRPr="009E06AA" w:rsidDel="00563489">
        <w:t xml:space="preserve"> </w:t>
      </w:r>
      <w:r w:rsidRPr="009E06AA">
        <w:t>kiwifruit and grapes (Davis and Wakelin, unpublished). This means</w:t>
      </w:r>
      <w:r w:rsidRPr="009E06AA" w:rsidDel="00563489">
        <w:t xml:space="preserve"> </w:t>
      </w:r>
      <w:r w:rsidRPr="009E06AA">
        <w:t xml:space="preserve">the country-specific value has lower carbon stocks per hectare in living biomass at maturity than the </w:t>
      </w:r>
      <w:r w:rsidRPr="009E06AA">
        <w:rPr>
          <w:i/>
        </w:rPr>
        <w:t>Cropland</w:t>
      </w:r>
      <w:r w:rsidRPr="009E06AA">
        <w:t xml:space="preserve"> types included in the study on which the IPCC default value is based. </w:t>
      </w:r>
    </w:p>
    <w:p w14:paraId="79281872" w14:textId="77777777" w:rsidR="00053418" w:rsidRPr="009E06AA" w:rsidRDefault="00053418" w:rsidP="009F0FA8">
      <w:pPr>
        <w:pStyle w:val="Heading3"/>
        <w:spacing w:before="320"/>
      </w:pPr>
      <w:bookmarkStart w:id="2223" w:name="_Toc139253967"/>
      <w:bookmarkStart w:id="2224" w:name="_Toc255466390"/>
      <w:bookmarkStart w:id="2225" w:name="_Toc261513197"/>
      <w:bookmarkStart w:id="2226" w:name="_Toc261513810"/>
      <w:bookmarkStart w:id="2227" w:name="_Toc280630279"/>
      <w:r w:rsidRPr="009E06AA">
        <w:t>6.5.5</w:t>
      </w:r>
      <w:r w:rsidRPr="009E06AA">
        <w:tab/>
        <w:t>Category-specific recalculations</w:t>
      </w:r>
      <w:bookmarkEnd w:id="2223"/>
      <w:bookmarkEnd w:id="2224"/>
      <w:bookmarkEnd w:id="2225"/>
      <w:bookmarkEnd w:id="2226"/>
      <w:bookmarkEnd w:id="2227"/>
    </w:p>
    <w:p w14:paraId="123EBB1D" w14:textId="77777777" w:rsidR="00053418" w:rsidRPr="009E06AA" w:rsidRDefault="00053418" w:rsidP="00053418">
      <w:pPr>
        <w:pStyle w:val="BodyText"/>
      </w:pPr>
      <w:r w:rsidRPr="009E06AA">
        <w:t xml:space="preserve">Recalculations of the entire time series were carried out for this category as a result of updated activity data. Updates to activity data included the </w:t>
      </w:r>
      <w:r w:rsidRPr="009E06AA">
        <w:rPr>
          <w:rFonts w:cs="Calibri"/>
          <w:color w:val="000000" w:themeColor="text1"/>
          <w:bdr w:val="none" w:sz="0" w:space="0" w:color="auto" w:frame="1"/>
        </w:rPr>
        <w:t xml:space="preserve">introduction of multitemporal normalized difference vegetation index (NDVI) mapping, which was used to inform categorisation of </w:t>
      </w:r>
      <w:r w:rsidRPr="009E06AA">
        <w:rPr>
          <w:rFonts w:cs="Calibri"/>
          <w:i/>
          <w:iCs/>
          <w:color w:val="000000" w:themeColor="text1"/>
          <w:bdr w:val="none" w:sz="0" w:space="0" w:color="auto" w:frame="1"/>
        </w:rPr>
        <w:t>Grassland</w:t>
      </w:r>
      <w:r w:rsidRPr="009E06AA">
        <w:rPr>
          <w:rFonts w:cs="Calibri"/>
          <w:color w:val="000000" w:themeColor="text1"/>
          <w:bdr w:val="none" w:sz="0" w:space="0" w:color="auto" w:frame="1"/>
        </w:rPr>
        <w:t xml:space="preserve"> and </w:t>
      </w:r>
      <w:r w:rsidRPr="009E06AA">
        <w:rPr>
          <w:rFonts w:cs="Calibri"/>
          <w:i/>
          <w:iCs/>
          <w:color w:val="000000" w:themeColor="text1"/>
          <w:bdr w:val="none" w:sz="0" w:space="0" w:color="auto" w:frame="1"/>
        </w:rPr>
        <w:t>Cropland</w:t>
      </w:r>
      <w:r w:rsidRPr="009E06AA">
        <w:rPr>
          <w:rFonts w:cs="Calibri"/>
          <w:color w:val="000000" w:themeColor="text1"/>
          <w:bdr w:val="none" w:sz="0" w:space="0" w:color="auto" w:frame="1"/>
        </w:rPr>
        <w:t xml:space="preserve">. Given the inherent seasonal variability in </w:t>
      </w:r>
      <w:r w:rsidRPr="009E06AA">
        <w:rPr>
          <w:rFonts w:cs="Calibri"/>
          <w:i/>
          <w:iCs/>
          <w:color w:val="000000" w:themeColor="text1"/>
          <w:bdr w:val="none" w:sz="0" w:space="0" w:color="auto" w:frame="1"/>
        </w:rPr>
        <w:t>Annual cropland</w:t>
      </w:r>
      <w:r w:rsidRPr="009E06AA">
        <w:rPr>
          <w:rFonts w:cs="Calibri"/>
          <w:color w:val="000000" w:themeColor="text1"/>
          <w:bdr w:val="none" w:sz="0" w:space="0" w:color="auto" w:frame="1"/>
        </w:rPr>
        <w:t xml:space="preserve">, differentiating </w:t>
      </w:r>
      <w:r w:rsidRPr="009E06AA">
        <w:rPr>
          <w:rFonts w:cs="Calibri"/>
          <w:i/>
          <w:iCs/>
          <w:color w:val="000000" w:themeColor="text1"/>
          <w:bdr w:val="none" w:sz="0" w:space="0" w:color="auto" w:frame="1"/>
        </w:rPr>
        <w:t>Annual cropland</w:t>
      </w:r>
      <w:r w:rsidRPr="009E06AA">
        <w:rPr>
          <w:rFonts w:cs="Calibri"/>
          <w:color w:val="000000" w:themeColor="text1"/>
          <w:bdr w:val="none" w:sz="0" w:space="0" w:color="auto" w:frame="1"/>
        </w:rPr>
        <w:t xml:space="preserve"> from </w:t>
      </w:r>
      <w:r w:rsidRPr="009E06AA">
        <w:rPr>
          <w:rFonts w:cs="Calibri"/>
          <w:i/>
          <w:iCs/>
          <w:color w:val="000000" w:themeColor="text1"/>
          <w:bdr w:val="none" w:sz="0" w:space="0" w:color="auto" w:frame="1"/>
        </w:rPr>
        <w:t>Grassland</w:t>
      </w:r>
      <w:r w:rsidRPr="009E06AA">
        <w:rPr>
          <w:rFonts w:cs="Calibri"/>
          <w:color w:val="000000" w:themeColor="text1"/>
          <w:bdr w:val="none" w:sz="0" w:space="0" w:color="auto" w:frame="1"/>
        </w:rPr>
        <w:t xml:space="preserve"> has been difficult in the past. By utilising multitemporal NDVI data captured over the past five years (2017 to 2021), 16,298 hectares of land previously mapped as </w:t>
      </w:r>
      <w:r w:rsidRPr="009E06AA">
        <w:rPr>
          <w:rFonts w:cs="Calibri"/>
          <w:i/>
          <w:iCs/>
          <w:color w:val="000000" w:themeColor="text1"/>
          <w:bdr w:val="none" w:sz="0" w:space="0" w:color="auto" w:frame="1"/>
        </w:rPr>
        <w:t>Grassland</w:t>
      </w:r>
      <w:r w:rsidRPr="009E06AA">
        <w:rPr>
          <w:rFonts w:cs="Calibri"/>
          <w:color w:val="000000" w:themeColor="text1"/>
          <w:bdr w:val="none" w:sz="0" w:space="0" w:color="auto" w:frame="1"/>
        </w:rPr>
        <w:t xml:space="preserve"> were converted to </w:t>
      </w:r>
      <w:r w:rsidRPr="009E06AA">
        <w:rPr>
          <w:rFonts w:cs="Calibri"/>
          <w:i/>
          <w:iCs/>
          <w:color w:val="000000" w:themeColor="text1"/>
          <w:bdr w:val="none" w:sz="0" w:space="0" w:color="auto" w:frame="1"/>
        </w:rPr>
        <w:t>Annual cropland</w:t>
      </w:r>
      <w:r w:rsidRPr="009E06AA">
        <w:rPr>
          <w:rFonts w:cs="Calibri"/>
          <w:color w:val="000000" w:themeColor="text1"/>
          <w:bdr w:val="none" w:sz="0" w:space="0" w:color="auto" w:frame="1"/>
        </w:rPr>
        <w:t>.</w:t>
      </w:r>
      <w:r w:rsidRPr="009E06AA">
        <w:t xml:space="preserve"> This led to a significant increase in 2021 </w:t>
      </w:r>
      <w:r w:rsidRPr="009E06AA">
        <w:rPr>
          <w:i/>
          <w:iCs/>
        </w:rPr>
        <w:t>Cropland</w:t>
      </w:r>
      <w:r w:rsidRPr="009E06AA">
        <w:t xml:space="preserve"> emissions, as shown in table 6.5.7. Further detail can be found in annex A5.2.1. Updates to emission factors applied on conversion from</w:t>
      </w:r>
      <w:r w:rsidRPr="009E06AA" w:rsidDel="00164B96">
        <w:t xml:space="preserve"> </w:t>
      </w:r>
      <w:r w:rsidRPr="009E06AA">
        <w:rPr>
          <w:i/>
        </w:rPr>
        <w:t>Forest land</w:t>
      </w:r>
      <w:r w:rsidRPr="009E06AA">
        <w:t xml:space="preserve"> to </w:t>
      </w:r>
      <w:r w:rsidRPr="009E06AA">
        <w:rPr>
          <w:i/>
        </w:rPr>
        <w:t>Cropland</w:t>
      </w:r>
      <w:r w:rsidRPr="009E06AA">
        <w:t xml:space="preserve"> also occurred, due to changes to the planted forest yield tables and average deforestation age. The impact of recalculations on net CO</w:t>
      </w:r>
      <w:r w:rsidRPr="009E06AA">
        <w:rPr>
          <w:vertAlign w:val="subscript"/>
        </w:rPr>
        <w:t>2</w:t>
      </w:r>
      <w:r w:rsidRPr="009E06AA">
        <w:t xml:space="preserve">-e emission estimates for the </w:t>
      </w:r>
      <w:r w:rsidRPr="009E06AA">
        <w:rPr>
          <w:i/>
        </w:rPr>
        <w:t>Cropland</w:t>
      </w:r>
      <w:r w:rsidRPr="009E06AA">
        <w:t xml:space="preserve"> category is shown in table 6.5.7.</w:t>
      </w:r>
    </w:p>
    <w:p w14:paraId="0B9CF804" w14:textId="77777777" w:rsidR="00053418" w:rsidRPr="009E06AA" w:rsidRDefault="00053418" w:rsidP="00053418">
      <w:pPr>
        <w:pStyle w:val="Table"/>
      </w:pPr>
      <w:bookmarkStart w:id="2228" w:name="_Toc280630464"/>
      <w:bookmarkStart w:id="2229" w:name="_Toc310423420"/>
      <w:bookmarkStart w:id="2230" w:name="_Toc318362713"/>
      <w:bookmarkStart w:id="2231" w:name="_Toc342470775"/>
      <w:bookmarkStart w:id="2232" w:name="_Toc352505015"/>
      <w:bookmarkStart w:id="2233" w:name="_Toc378853306"/>
      <w:bookmarkStart w:id="2234" w:name="_Toc391024104"/>
      <w:bookmarkStart w:id="2235" w:name="_Toc410028847"/>
      <w:bookmarkStart w:id="2236" w:name="_Toc414531475"/>
      <w:bookmarkStart w:id="2237" w:name="_Toc443645388"/>
      <w:bookmarkStart w:id="2238" w:name="_Toc474914607"/>
      <w:bookmarkStart w:id="2239" w:name="_Toc481751571"/>
      <w:bookmarkStart w:id="2240" w:name="_Toc522010628"/>
      <w:bookmarkStart w:id="2241" w:name="_Toc5269533"/>
      <w:bookmarkStart w:id="2242" w:name="_Toc33529407"/>
      <w:bookmarkStart w:id="2243" w:name="_Toc36224613"/>
      <w:bookmarkStart w:id="2244" w:name="_Toc65243610"/>
      <w:bookmarkStart w:id="2245" w:name="_Toc131591407"/>
      <w:bookmarkStart w:id="2246" w:name="_Toc158979965"/>
      <w:bookmarkStart w:id="2247" w:name="_Toc164153898"/>
      <w:r w:rsidRPr="009E06AA">
        <w:t>Table 6.5.7</w:t>
      </w:r>
      <w:r w:rsidRPr="009E06AA">
        <w:tab/>
        <w:t xml:space="preserve">Recalculations of New Zealand’s net emissions from the </w:t>
      </w:r>
      <w:r w:rsidRPr="009E06AA">
        <w:rPr>
          <w:i/>
        </w:rPr>
        <w:t>Cropland</w:t>
      </w:r>
      <w:r w:rsidRPr="009E06AA">
        <w:t xml:space="preserve"> category in 1990 and</w:t>
      </w:r>
      <w:bookmarkEnd w:id="2228"/>
      <w:bookmarkEnd w:id="2229"/>
      <w:bookmarkEnd w:id="2230"/>
      <w:bookmarkEnd w:id="2231"/>
      <w:bookmarkEnd w:id="2232"/>
      <w:bookmarkEnd w:id="2233"/>
      <w:bookmarkEnd w:id="2234"/>
      <w:r w:rsidRPr="009E06AA">
        <w:t> </w:t>
      </w:r>
      <w:bookmarkEnd w:id="2235"/>
      <w:bookmarkEnd w:id="2236"/>
      <w:bookmarkEnd w:id="2237"/>
      <w:bookmarkEnd w:id="2238"/>
      <w:bookmarkEnd w:id="2239"/>
      <w:bookmarkEnd w:id="2240"/>
      <w:bookmarkEnd w:id="2241"/>
      <w:bookmarkEnd w:id="2242"/>
      <w:bookmarkEnd w:id="2243"/>
      <w:bookmarkEnd w:id="2244"/>
      <w:r w:rsidRPr="009E06AA">
        <w:t>2021</w:t>
      </w:r>
      <w:bookmarkEnd w:id="2245"/>
      <w:bookmarkEnd w:id="2246"/>
      <w:bookmarkEnd w:id="2247"/>
      <w:r w:rsidRPr="009E06AA">
        <w:t xml:space="preserve"> </w:t>
      </w:r>
    </w:p>
    <w:tbl>
      <w:tblPr>
        <w:tblW w:w="8505" w:type="dxa"/>
        <w:tblBorders>
          <w:top w:val="single" w:sz="4" w:space="0" w:color="1B556B" w:themeColor="text2"/>
          <w:bottom w:val="single" w:sz="4" w:space="0" w:color="1B556B" w:themeColor="text2"/>
          <w:insideH w:val="single" w:sz="4" w:space="0" w:color="1B556B" w:themeColor="text2"/>
        </w:tblBorders>
        <w:tblLayout w:type="fixed"/>
        <w:tblLook w:val="0420" w:firstRow="1" w:lastRow="0" w:firstColumn="0" w:lastColumn="0" w:noHBand="0" w:noVBand="1"/>
      </w:tblPr>
      <w:tblGrid>
        <w:gridCol w:w="2269"/>
        <w:gridCol w:w="1559"/>
        <w:gridCol w:w="1559"/>
        <w:gridCol w:w="2268"/>
        <w:gridCol w:w="850"/>
      </w:tblGrid>
      <w:tr w:rsidR="00053418" w:rsidRPr="009E06AA" w14:paraId="6B6AF55C" w14:textId="77777777" w:rsidTr="00B55F24">
        <w:trPr>
          <w:tblHeader/>
        </w:trPr>
        <w:tc>
          <w:tcPr>
            <w:tcW w:w="2268" w:type="dxa"/>
            <w:shd w:val="clear" w:color="auto" w:fill="1B556B"/>
            <w:tcMar>
              <w:top w:w="0" w:type="dxa"/>
              <w:left w:w="85" w:type="dxa"/>
              <w:bottom w:w="0" w:type="dxa"/>
              <w:right w:w="85" w:type="dxa"/>
            </w:tcMar>
            <w:vAlign w:val="center"/>
          </w:tcPr>
          <w:p w14:paraId="1FE378F0" w14:textId="77777777" w:rsidR="00053418" w:rsidRPr="009E06AA" w:rsidRDefault="00053418" w:rsidP="00B55F24">
            <w:pPr>
              <w:pStyle w:val="TableText"/>
              <w:spacing w:before="40" w:after="40"/>
            </w:pPr>
            <w:bookmarkStart w:id="2248" w:name="_Toc139253968"/>
            <w:bookmarkStart w:id="2249" w:name="_Toc255466391"/>
            <w:bookmarkStart w:id="2250" w:name="_Toc261513198"/>
            <w:bookmarkStart w:id="2251" w:name="_Toc261513811"/>
            <w:bookmarkStart w:id="2252" w:name="_Toc280630283"/>
          </w:p>
        </w:tc>
        <w:tc>
          <w:tcPr>
            <w:tcW w:w="1559" w:type="dxa"/>
            <w:shd w:val="clear" w:color="auto" w:fill="1B556B"/>
            <w:tcMar>
              <w:top w:w="0" w:type="dxa"/>
              <w:left w:w="85" w:type="dxa"/>
              <w:bottom w:w="0" w:type="dxa"/>
              <w:right w:w="85" w:type="dxa"/>
            </w:tcMar>
            <w:vAlign w:val="center"/>
          </w:tcPr>
          <w:p w14:paraId="74A34D9A" w14:textId="77777777" w:rsidR="00053418" w:rsidRPr="009E06AA" w:rsidRDefault="00053418" w:rsidP="000E3614">
            <w:pPr>
              <w:pStyle w:val="TableText"/>
              <w:spacing w:before="40" w:after="40"/>
              <w:jc w:val="right"/>
            </w:pPr>
            <w:r w:rsidRPr="009E06AA">
              <w:rPr>
                <w:rFonts w:eastAsia="Calibri" w:cs="Calibri"/>
                <w:b/>
                <w:color w:val="FFFFFF"/>
                <w:szCs w:val="16"/>
              </w:rPr>
              <w:t>2023 submission</w:t>
            </w:r>
          </w:p>
        </w:tc>
        <w:tc>
          <w:tcPr>
            <w:tcW w:w="1559" w:type="dxa"/>
            <w:shd w:val="clear" w:color="auto" w:fill="1B556B"/>
            <w:tcMar>
              <w:top w:w="0" w:type="dxa"/>
              <w:left w:w="85" w:type="dxa"/>
              <w:bottom w:w="0" w:type="dxa"/>
              <w:right w:w="85" w:type="dxa"/>
            </w:tcMar>
            <w:vAlign w:val="center"/>
          </w:tcPr>
          <w:p w14:paraId="37E4F28D" w14:textId="77777777" w:rsidR="00053418" w:rsidRPr="009E06AA" w:rsidRDefault="00053418" w:rsidP="000E3614">
            <w:pPr>
              <w:pStyle w:val="TableText"/>
              <w:spacing w:before="40" w:after="40"/>
              <w:jc w:val="right"/>
            </w:pPr>
            <w:r w:rsidRPr="009E06AA">
              <w:rPr>
                <w:rFonts w:eastAsia="Calibri" w:cs="Calibri"/>
                <w:b/>
                <w:color w:val="FFFFFF"/>
                <w:szCs w:val="16"/>
              </w:rPr>
              <w:t>2024 submission</w:t>
            </w:r>
          </w:p>
        </w:tc>
        <w:tc>
          <w:tcPr>
            <w:tcW w:w="2268" w:type="dxa"/>
            <w:shd w:val="clear" w:color="auto" w:fill="1B556B"/>
            <w:tcMar>
              <w:top w:w="0" w:type="dxa"/>
              <w:left w:w="85" w:type="dxa"/>
              <w:bottom w:w="0" w:type="dxa"/>
              <w:right w:w="85" w:type="dxa"/>
            </w:tcMar>
            <w:vAlign w:val="center"/>
          </w:tcPr>
          <w:p w14:paraId="6539CA63" w14:textId="77777777" w:rsidR="00053418" w:rsidRPr="009E06AA" w:rsidRDefault="00053418" w:rsidP="000E3614">
            <w:pPr>
              <w:pStyle w:val="TableText"/>
              <w:spacing w:before="40" w:after="40"/>
              <w:jc w:val="right"/>
            </w:pPr>
            <w:r w:rsidRPr="009E06AA">
              <w:rPr>
                <w:rFonts w:eastAsia="Calibri" w:cs="Calibri"/>
                <w:b/>
                <w:color w:val="FFFFFF"/>
                <w:szCs w:val="16"/>
              </w:rPr>
              <w:t>Change from 2023 submission</w:t>
            </w:r>
          </w:p>
        </w:tc>
        <w:tc>
          <w:tcPr>
            <w:tcW w:w="850" w:type="dxa"/>
            <w:shd w:val="clear" w:color="auto" w:fill="1B556B"/>
            <w:tcMar>
              <w:top w:w="0" w:type="dxa"/>
              <w:left w:w="85" w:type="dxa"/>
              <w:bottom w:w="0" w:type="dxa"/>
              <w:right w:w="85" w:type="dxa"/>
            </w:tcMar>
            <w:vAlign w:val="center"/>
          </w:tcPr>
          <w:p w14:paraId="75161685" w14:textId="77777777" w:rsidR="00053418" w:rsidRPr="009E06AA" w:rsidRDefault="00053418" w:rsidP="000E3614">
            <w:pPr>
              <w:pStyle w:val="TableText"/>
              <w:spacing w:before="40" w:after="40"/>
              <w:jc w:val="right"/>
            </w:pPr>
            <w:r w:rsidRPr="009E06AA">
              <w:rPr>
                <w:rFonts w:eastAsia="Calibri" w:cs="Calibri"/>
                <w:b/>
                <w:color w:val="FFFFFF"/>
                <w:szCs w:val="16"/>
              </w:rPr>
              <w:t>% change</w:t>
            </w:r>
          </w:p>
        </w:tc>
      </w:tr>
      <w:tr w:rsidR="00053418" w:rsidRPr="009E06AA" w14:paraId="0CE6E3A9" w14:textId="77777777" w:rsidTr="00B55F24">
        <w:tc>
          <w:tcPr>
            <w:tcW w:w="2268" w:type="dxa"/>
            <w:shd w:val="clear" w:color="auto" w:fill="FFFFFF"/>
            <w:tcMar>
              <w:top w:w="0" w:type="dxa"/>
              <w:left w:w="85" w:type="dxa"/>
              <w:bottom w:w="0" w:type="dxa"/>
              <w:right w:w="85" w:type="dxa"/>
            </w:tcMar>
            <w:vAlign w:val="center"/>
          </w:tcPr>
          <w:p w14:paraId="0153ACCF" w14:textId="77777777" w:rsidR="00053418" w:rsidRPr="009E06AA" w:rsidRDefault="00053418" w:rsidP="00B55F24">
            <w:pPr>
              <w:pStyle w:val="TableText"/>
              <w:spacing w:before="40" w:after="40"/>
            </w:pPr>
            <w:r w:rsidRPr="009E06AA">
              <w:rPr>
                <w:rFonts w:eastAsia="Calibri" w:cs="Calibri"/>
                <w:b/>
                <w:color w:val="1B556B"/>
                <w:szCs w:val="16"/>
              </w:rPr>
              <w:t>Net emissions (kt CO</w:t>
            </w:r>
            <w:r w:rsidRPr="009E06AA">
              <w:rPr>
                <w:rFonts w:eastAsia="Calibri" w:cs="Calibri"/>
                <w:b/>
                <w:color w:val="1B556B"/>
                <w:szCs w:val="16"/>
                <w:vertAlign w:val="subscript"/>
              </w:rPr>
              <w:t>2</w:t>
            </w:r>
            <w:r w:rsidRPr="009E06AA">
              <w:rPr>
                <w:rFonts w:eastAsia="Calibri" w:cs="Calibri"/>
                <w:b/>
                <w:color w:val="1B556B"/>
                <w:szCs w:val="16"/>
              </w:rPr>
              <w:t>-e)</w:t>
            </w:r>
          </w:p>
        </w:tc>
        <w:tc>
          <w:tcPr>
            <w:tcW w:w="1559" w:type="dxa"/>
            <w:shd w:val="clear" w:color="auto" w:fill="FFFFFF"/>
            <w:tcMar>
              <w:top w:w="0" w:type="dxa"/>
              <w:left w:w="85" w:type="dxa"/>
              <w:bottom w:w="0" w:type="dxa"/>
              <w:right w:w="85" w:type="dxa"/>
            </w:tcMar>
            <w:vAlign w:val="center"/>
          </w:tcPr>
          <w:p w14:paraId="02192159" w14:textId="77777777" w:rsidR="00053418" w:rsidRPr="009E06AA" w:rsidRDefault="00053418" w:rsidP="000E3614">
            <w:pPr>
              <w:pStyle w:val="TableText"/>
              <w:spacing w:before="40" w:after="40"/>
              <w:jc w:val="right"/>
            </w:pPr>
          </w:p>
        </w:tc>
        <w:tc>
          <w:tcPr>
            <w:tcW w:w="1559" w:type="dxa"/>
            <w:shd w:val="clear" w:color="auto" w:fill="FFFFFF"/>
            <w:tcMar>
              <w:top w:w="0" w:type="dxa"/>
              <w:left w:w="85" w:type="dxa"/>
              <w:bottom w:w="0" w:type="dxa"/>
              <w:right w:w="85" w:type="dxa"/>
            </w:tcMar>
            <w:vAlign w:val="center"/>
          </w:tcPr>
          <w:p w14:paraId="192103E4" w14:textId="77777777" w:rsidR="00053418" w:rsidRPr="009E06AA" w:rsidRDefault="00053418" w:rsidP="000E3614">
            <w:pPr>
              <w:pStyle w:val="TableText"/>
              <w:spacing w:before="40" w:after="40"/>
              <w:jc w:val="right"/>
            </w:pPr>
          </w:p>
        </w:tc>
        <w:tc>
          <w:tcPr>
            <w:tcW w:w="2268" w:type="dxa"/>
            <w:shd w:val="clear" w:color="auto" w:fill="FFFFFF"/>
            <w:tcMar>
              <w:top w:w="0" w:type="dxa"/>
              <w:left w:w="85" w:type="dxa"/>
              <w:bottom w:w="0" w:type="dxa"/>
              <w:right w:w="85" w:type="dxa"/>
            </w:tcMar>
            <w:vAlign w:val="center"/>
          </w:tcPr>
          <w:p w14:paraId="229EF56B" w14:textId="77777777" w:rsidR="00053418" w:rsidRPr="009E06AA" w:rsidRDefault="00053418" w:rsidP="000E3614">
            <w:pPr>
              <w:pStyle w:val="TableText"/>
              <w:spacing w:before="40" w:after="40"/>
              <w:jc w:val="right"/>
            </w:pPr>
          </w:p>
        </w:tc>
        <w:tc>
          <w:tcPr>
            <w:tcW w:w="850" w:type="dxa"/>
            <w:shd w:val="clear" w:color="auto" w:fill="FFFFFF"/>
            <w:tcMar>
              <w:top w:w="0" w:type="dxa"/>
              <w:left w:w="85" w:type="dxa"/>
              <w:bottom w:w="0" w:type="dxa"/>
              <w:right w:w="85" w:type="dxa"/>
            </w:tcMar>
            <w:vAlign w:val="center"/>
          </w:tcPr>
          <w:p w14:paraId="4739BBD0" w14:textId="77777777" w:rsidR="00053418" w:rsidRPr="009E06AA" w:rsidRDefault="00053418" w:rsidP="000E3614">
            <w:pPr>
              <w:pStyle w:val="TableText"/>
              <w:spacing w:before="40" w:after="40"/>
              <w:jc w:val="right"/>
            </w:pPr>
          </w:p>
        </w:tc>
      </w:tr>
      <w:tr w:rsidR="00053418" w:rsidRPr="009E06AA" w14:paraId="09A99247" w14:textId="77777777" w:rsidTr="00B55F24">
        <w:tc>
          <w:tcPr>
            <w:tcW w:w="2268" w:type="dxa"/>
            <w:shd w:val="clear" w:color="auto" w:fill="FFFFFF"/>
            <w:tcMar>
              <w:top w:w="0" w:type="dxa"/>
              <w:left w:w="85" w:type="dxa"/>
              <w:bottom w:w="0" w:type="dxa"/>
              <w:right w:w="85" w:type="dxa"/>
            </w:tcMar>
            <w:vAlign w:val="center"/>
          </w:tcPr>
          <w:p w14:paraId="10B871F6" w14:textId="77777777" w:rsidR="00053418" w:rsidRPr="009E06AA" w:rsidRDefault="00053418" w:rsidP="00B55F24">
            <w:pPr>
              <w:pStyle w:val="TableText"/>
              <w:spacing w:before="40" w:after="40"/>
            </w:pPr>
            <w:r w:rsidRPr="009E06AA">
              <w:rPr>
                <w:rFonts w:eastAsia="Calibri" w:cs="Calibri"/>
                <w:color w:val="000000"/>
                <w:szCs w:val="16"/>
              </w:rPr>
              <w:t>1990</w:t>
            </w:r>
          </w:p>
        </w:tc>
        <w:tc>
          <w:tcPr>
            <w:tcW w:w="1559" w:type="dxa"/>
            <w:shd w:val="clear" w:color="auto" w:fill="FFFFFF"/>
            <w:tcMar>
              <w:top w:w="0" w:type="dxa"/>
              <w:left w:w="85" w:type="dxa"/>
              <w:bottom w:w="0" w:type="dxa"/>
              <w:right w:w="85" w:type="dxa"/>
            </w:tcMar>
            <w:vAlign w:val="center"/>
          </w:tcPr>
          <w:p w14:paraId="0EF89A40" w14:textId="77777777" w:rsidR="00053418" w:rsidRPr="009E06AA" w:rsidRDefault="00053418" w:rsidP="000E3614">
            <w:pPr>
              <w:pStyle w:val="TableText"/>
              <w:spacing w:before="40" w:after="40"/>
              <w:jc w:val="right"/>
            </w:pPr>
            <w:r w:rsidRPr="009E06AA">
              <w:rPr>
                <w:rFonts w:eastAsia="Calibri" w:cs="Calibri"/>
                <w:color w:val="000000"/>
                <w:szCs w:val="16"/>
              </w:rPr>
              <w:t>475.7</w:t>
            </w:r>
          </w:p>
        </w:tc>
        <w:tc>
          <w:tcPr>
            <w:tcW w:w="1559" w:type="dxa"/>
            <w:shd w:val="clear" w:color="auto" w:fill="FFFFFF"/>
            <w:tcMar>
              <w:top w:w="0" w:type="dxa"/>
              <w:left w:w="85" w:type="dxa"/>
              <w:bottom w:w="0" w:type="dxa"/>
              <w:right w:w="85" w:type="dxa"/>
            </w:tcMar>
            <w:vAlign w:val="center"/>
          </w:tcPr>
          <w:p w14:paraId="72423F58" w14:textId="77777777" w:rsidR="00053418" w:rsidRPr="009E06AA" w:rsidRDefault="00053418" w:rsidP="000E3614">
            <w:pPr>
              <w:pStyle w:val="TableText"/>
              <w:spacing w:before="40" w:after="40"/>
              <w:jc w:val="right"/>
            </w:pPr>
            <w:r w:rsidRPr="009E06AA">
              <w:rPr>
                <w:rFonts w:eastAsia="Calibri" w:cs="Calibri"/>
                <w:color w:val="000000"/>
                <w:szCs w:val="16"/>
              </w:rPr>
              <w:t>476.3</w:t>
            </w:r>
          </w:p>
        </w:tc>
        <w:tc>
          <w:tcPr>
            <w:tcW w:w="2268" w:type="dxa"/>
            <w:shd w:val="clear" w:color="auto" w:fill="FFFFFF"/>
            <w:tcMar>
              <w:top w:w="0" w:type="dxa"/>
              <w:left w:w="85" w:type="dxa"/>
              <w:bottom w:w="0" w:type="dxa"/>
              <w:right w:w="85" w:type="dxa"/>
            </w:tcMar>
            <w:vAlign w:val="center"/>
          </w:tcPr>
          <w:p w14:paraId="728518B7" w14:textId="77777777" w:rsidR="00053418" w:rsidRPr="009E06AA" w:rsidRDefault="00053418" w:rsidP="000E3614">
            <w:pPr>
              <w:pStyle w:val="TableText"/>
              <w:spacing w:before="40" w:after="40"/>
              <w:jc w:val="right"/>
            </w:pPr>
            <w:r w:rsidRPr="009E06AA">
              <w:rPr>
                <w:rFonts w:eastAsia="Calibri" w:cs="Calibri"/>
                <w:color w:val="000000"/>
                <w:szCs w:val="16"/>
              </w:rPr>
              <w:t>0.6</w:t>
            </w:r>
          </w:p>
        </w:tc>
        <w:tc>
          <w:tcPr>
            <w:tcW w:w="850" w:type="dxa"/>
            <w:shd w:val="clear" w:color="auto" w:fill="FFFFFF"/>
            <w:tcMar>
              <w:top w:w="0" w:type="dxa"/>
              <w:left w:w="85" w:type="dxa"/>
              <w:bottom w:w="0" w:type="dxa"/>
              <w:right w:w="85" w:type="dxa"/>
            </w:tcMar>
            <w:vAlign w:val="center"/>
          </w:tcPr>
          <w:p w14:paraId="77120728" w14:textId="77777777" w:rsidR="00053418" w:rsidRPr="009E06AA" w:rsidRDefault="00053418" w:rsidP="000E3614">
            <w:pPr>
              <w:pStyle w:val="TableText"/>
              <w:spacing w:before="40" w:after="40"/>
              <w:jc w:val="right"/>
            </w:pPr>
            <w:r w:rsidRPr="009E06AA">
              <w:rPr>
                <w:rFonts w:eastAsia="Calibri" w:cs="Calibri"/>
                <w:color w:val="000000"/>
                <w:szCs w:val="16"/>
              </w:rPr>
              <w:t>0.1</w:t>
            </w:r>
          </w:p>
        </w:tc>
      </w:tr>
      <w:tr w:rsidR="00053418" w:rsidRPr="009E06AA" w14:paraId="539A101E" w14:textId="77777777" w:rsidTr="00B55F24">
        <w:tc>
          <w:tcPr>
            <w:tcW w:w="2268" w:type="dxa"/>
            <w:shd w:val="clear" w:color="auto" w:fill="FFFFFF"/>
            <w:tcMar>
              <w:top w:w="0" w:type="dxa"/>
              <w:left w:w="85" w:type="dxa"/>
              <w:bottom w:w="0" w:type="dxa"/>
              <w:right w:w="85" w:type="dxa"/>
            </w:tcMar>
            <w:vAlign w:val="center"/>
          </w:tcPr>
          <w:p w14:paraId="495D744D" w14:textId="77777777" w:rsidR="00053418" w:rsidRPr="009E06AA" w:rsidRDefault="00053418" w:rsidP="00B55F24">
            <w:pPr>
              <w:pStyle w:val="TableText"/>
              <w:spacing w:before="40" w:after="40"/>
            </w:pPr>
            <w:r w:rsidRPr="009E06AA">
              <w:rPr>
                <w:rFonts w:eastAsia="Calibri" w:cs="Calibri"/>
                <w:color w:val="000000"/>
                <w:szCs w:val="16"/>
              </w:rPr>
              <w:t>2021</w:t>
            </w:r>
          </w:p>
        </w:tc>
        <w:tc>
          <w:tcPr>
            <w:tcW w:w="1559" w:type="dxa"/>
            <w:shd w:val="clear" w:color="auto" w:fill="FFFFFF"/>
            <w:tcMar>
              <w:top w:w="0" w:type="dxa"/>
              <w:left w:w="85" w:type="dxa"/>
              <w:bottom w:w="0" w:type="dxa"/>
              <w:right w:w="85" w:type="dxa"/>
            </w:tcMar>
            <w:vAlign w:val="center"/>
          </w:tcPr>
          <w:p w14:paraId="214384E4" w14:textId="77777777" w:rsidR="00053418" w:rsidRPr="009E06AA" w:rsidRDefault="00053418" w:rsidP="000E3614">
            <w:pPr>
              <w:pStyle w:val="TableText"/>
              <w:spacing w:before="40" w:after="40"/>
              <w:jc w:val="right"/>
            </w:pPr>
            <w:r w:rsidRPr="009E06AA">
              <w:rPr>
                <w:rFonts w:eastAsia="Calibri" w:cs="Calibri"/>
                <w:color w:val="000000"/>
                <w:szCs w:val="16"/>
              </w:rPr>
              <w:t>377.6</w:t>
            </w:r>
          </w:p>
        </w:tc>
        <w:tc>
          <w:tcPr>
            <w:tcW w:w="1559" w:type="dxa"/>
            <w:shd w:val="clear" w:color="auto" w:fill="FFFFFF"/>
            <w:tcMar>
              <w:top w:w="0" w:type="dxa"/>
              <w:left w:w="85" w:type="dxa"/>
              <w:bottom w:w="0" w:type="dxa"/>
              <w:right w:w="85" w:type="dxa"/>
            </w:tcMar>
            <w:vAlign w:val="center"/>
          </w:tcPr>
          <w:p w14:paraId="364DED47" w14:textId="77777777" w:rsidR="00053418" w:rsidRPr="009E06AA" w:rsidRDefault="00053418" w:rsidP="000E3614">
            <w:pPr>
              <w:pStyle w:val="TableText"/>
              <w:spacing w:before="40" w:after="40"/>
              <w:jc w:val="right"/>
            </w:pPr>
            <w:r w:rsidRPr="009E06AA">
              <w:rPr>
                <w:rFonts w:eastAsia="Calibri" w:cs="Calibri"/>
                <w:color w:val="000000"/>
                <w:szCs w:val="16"/>
              </w:rPr>
              <w:t>670.3</w:t>
            </w:r>
          </w:p>
        </w:tc>
        <w:tc>
          <w:tcPr>
            <w:tcW w:w="2268" w:type="dxa"/>
            <w:shd w:val="clear" w:color="auto" w:fill="FFFFFF"/>
            <w:tcMar>
              <w:top w:w="0" w:type="dxa"/>
              <w:left w:w="85" w:type="dxa"/>
              <w:bottom w:w="0" w:type="dxa"/>
              <w:right w:w="85" w:type="dxa"/>
            </w:tcMar>
            <w:vAlign w:val="center"/>
          </w:tcPr>
          <w:p w14:paraId="66949D73" w14:textId="77777777" w:rsidR="00053418" w:rsidRPr="009E06AA" w:rsidRDefault="00053418" w:rsidP="000E3614">
            <w:pPr>
              <w:pStyle w:val="TableText"/>
              <w:spacing w:before="40" w:after="40"/>
              <w:jc w:val="right"/>
            </w:pPr>
            <w:r w:rsidRPr="009E06AA">
              <w:rPr>
                <w:rFonts w:eastAsia="Calibri" w:cs="Calibri"/>
                <w:color w:val="000000"/>
                <w:szCs w:val="16"/>
              </w:rPr>
              <w:t>292.7</w:t>
            </w:r>
          </w:p>
        </w:tc>
        <w:tc>
          <w:tcPr>
            <w:tcW w:w="850" w:type="dxa"/>
            <w:shd w:val="clear" w:color="auto" w:fill="FFFFFF"/>
            <w:tcMar>
              <w:top w:w="0" w:type="dxa"/>
              <w:left w:w="85" w:type="dxa"/>
              <w:bottom w:w="0" w:type="dxa"/>
              <w:right w:w="85" w:type="dxa"/>
            </w:tcMar>
            <w:vAlign w:val="center"/>
          </w:tcPr>
          <w:p w14:paraId="6E692AC1" w14:textId="77777777" w:rsidR="00053418" w:rsidRPr="009E06AA" w:rsidRDefault="00053418" w:rsidP="000E3614">
            <w:pPr>
              <w:pStyle w:val="TableText"/>
              <w:spacing w:before="40" w:after="40"/>
              <w:jc w:val="right"/>
            </w:pPr>
            <w:r w:rsidRPr="009E06AA">
              <w:rPr>
                <w:rFonts w:eastAsia="Calibri" w:cs="Calibri"/>
                <w:color w:val="000000"/>
                <w:szCs w:val="16"/>
              </w:rPr>
              <w:t>77.5</w:t>
            </w:r>
          </w:p>
        </w:tc>
      </w:tr>
      <w:tr w:rsidR="00053418" w:rsidRPr="009E06AA" w14:paraId="75EDDFE8" w14:textId="77777777" w:rsidTr="00B55F24">
        <w:tc>
          <w:tcPr>
            <w:tcW w:w="2268" w:type="dxa"/>
            <w:shd w:val="clear" w:color="auto" w:fill="FFFFFF"/>
            <w:tcMar>
              <w:top w:w="0" w:type="dxa"/>
              <w:left w:w="85" w:type="dxa"/>
              <w:bottom w:w="0" w:type="dxa"/>
              <w:right w:w="85" w:type="dxa"/>
            </w:tcMar>
            <w:vAlign w:val="center"/>
          </w:tcPr>
          <w:p w14:paraId="58693F37" w14:textId="77777777" w:rsidR="00053418" w:rsidRPr="009E06AA" w:rsidRDefault="00053418" w:rsidP="00B55F24">
            <w:pPr>
              <w:pStyle w:val="TableText"/>
              <w:spacing w:before="40" w:after="40"/>
            </w:pPr>
            <w:r w:rsidRPr="009E06AA">
              <w:rPr>
                <w:rFonts w:eastAsia="Calibri" w:cs="Calibri"/>
                <w:b/>
                <w:color w:val="1B556B"/>
                <w:szCs w:val="16"/>
              </w:rPr>
              <w:t>Area (hectares)</w:t>
            </w:r>
          </w:p>
        </w:tc>
        <w:tc>
          <w:tcPr>
            <w:tcW w:w="1559" w:type="dxa"/>
            <w:shd w:val="clear" w:color="auto" w:fill="FFFFFF"/>
            <w:tcMar>
              <w:top w:w="0" w:type="dxa"/>
              <w:left w:w="85" w:type="dxa"/>
              <w:bottom w:w="0" w:type="dxa"/>
              <w:right w:w="85" w:type="dxa"/>
            </w:tcMar>
            <w:vAlign w:val="center"/>
          </w:tcPr>
          <w:p w14:paraId="58AB0588" w14:textId="77777777" w:rsidR="00053418" w:rsidRPr="009E06AA" w:rsidRDefault="00053418" w:rsidP="000E3614">
            <w:pPr>
              <w:pStyle w:val="TableText"/>
              <w:spacing w:before="40" w:after="40"/>
              <w:jc w:val="right"/>
            </w:pPr>
          </w:p>
        </w:tc>
        <w:tc>
          <w:tcPr>
            <w:tcW w:w="1559" w:type="dxa"/>
            <w:shd w:val="clear" w:color="auto" w:fill="FFFFFF"/>
            <w:tcMar>
              <w:top w:w="0" w:type="dxa"/>
              <w:left w:w="85" w:type="dxa"/>
              <w:bottom w:w="0" w:type="dxa"/>
              <w:right w:w="85" w:type="dxa"/>
            </w:tcMar>
            <w:vAlign w:val="center"/>
          </w:tcPr>
          <w:p w14:paraId="34002978" w14:textId="77777777" w:rsidR="00053418" w:rsidRPr="009E06AA" w:rsidRDefault="00053418" w:rsidP="000E3614">
            <w:pPr>
              <w:pStyle w:val="TableText"/>
              <w:spacing w:before="40" w:after="40"/>
              <w:jc w:val="right"/>
            </w:pPr>
          </w:p>
        </w:tc>
        <w:tc>
          <w:tcPr>
            <w:tcW w:w="2268" w:type="dxa"/>
            <w:shd w:val="clear" w:color="auto" w:fill="FFFFFF"/>
            <w:tcMar>
              <w:top w:w="0" w:type="dxa"/>
              <w:left w:w="85" w:type="dxa"/>
              <w:bottom w:w="0" w:type="dxa"/>
              <w:right w:w="85" w:type="dxa"/>
            </w:tcMar>
            <w:vAlign w:val="center"/>
          </w:tcPr>
          <w:p w14:paraId="0543AC20" w14:textId="77777777" w:rsidR="00053418" w:rsidRPr="009E06AA" w:rsidRDefault="00053418" w:rsidP="000E3614">
            <w:pPr>
              <w:pStyle w:val="TableText"/>
              <w:spacing w:before="40" w:after="40"/>
              <w:jc w:val="right"/>
            </w:pPr>
          </w:p>
        </w:tc>
        <w:tc>
          <w:tcPr>
            <w:tcW w:w="850" w:type="dxa"/>
            <w:shd w:val="clear" w:color="auto" w:fill="FFFFFF"/>
            <w:tcMar>
              <w:top w:w="0" w:type="dxa"/>
              <w:left w:w="85" w:type="dxa"/>
              <w:bottom w:w="0" w:type="dxa"/>
              <w:right w:w="85" w:type="dxa"/>
            </w:tcMar>
            <w:vAlign w:val="center"/>
          </w:tcPr>
          <w:p w14:paraId="102EFEB3" w14:textId="77777777" w:rsidR="00053418" w:rsidRPr="009E06AA" w:rsidRDefault="00053418" w:rsidP="000E3614">
            <w:pPr>
              <w:pStyle w:val="TableText"/>
              <w:spacing w:before="40" w:after="40"/>
              <w:jc w:val="right"/>
            </w:pPr>
          </w:p>
        </w:tc>
      </w:tr>
      <w:tr w:rsidR="00053418" w:rsidRPr="009E06AA" w14:paraId="7DD91037" w14:textId="77777777" w:rsidTr="00B55F24">
        <w:tc>
          <w:tcPr>
            <w:tcW w:w="2268" w:type="dxa"/>
            <w:shd w:val="clear" w:color="auto" w:fill="FFFFFF"/>
            <w:tcMar>
              <w:top w:w="0" w:type="dxa"/>
              <w:left w:w="85" w:type="dxa"/>
              <w:bottom w:w="0" w:type="dxa"/>
              <w:right w:w="85" w:type="dxa"/>
            </w:tcMar>
            <w:vAlign w:val="center"/>
          </w:tcPr>
          <w:p w14:paraId="41B3C10A" w14:textId="77777777" w:rsidR="00053418" w:rsidRPr="009E06AA" w:rsidRDefault="00053418" w:rsidP="00B55F24">
            <w:pPr>
              <w:pStyle w:val="TableText"/>
              <w:spacing w:before="40" w:after="40"/>
            </w:pPr>
            <w:r w:rsidRPr="009E06AA">
              <w:rPr>
                <w:rFonts w:eastAsia="Calibri" w:cs="Calibri"/>
                <w:color w:val="000000"/>
                <w:szCs w:val="16"/>
              </w:rPr>
              <w:t>1990</w:t>
            </w:r>
          </w:p>
        </w:tc>
        <w:tc>
          <w:tcPr>
            <w:tcW w:w="1559" w:type="dxa"/>
            <w:shd w:val="clear" w:color="auto" w:fill="FFFFFF"/>
            <w:tcMar>
              <w:top w:w="0" w:type="dxa"/>
              <w:left w:w="85" w:type="dxa"/>
              <w:bottom w:w="0" w:type="dxa"/>
              <w:right w:w="85" w:type="dxa"/>
            </w:tcMar>
            <w:vAlign w:val="center"/>
          </w:tcPr>
          <w:p w14:paraId="28017CEB" w14:textId="77777777" w:rsidR="00053418" w:rsidRPr="009E06AA" w:rsidRDefault="00053418" w:rsidP="000E3614">
            <w:pPr>
              <w:pStyle w:val="TableText"/>
              <w:spacing w:before="40" w:after="40"/>
              <w:jc w:val="right"/>
            </w:pPr>
            <w:r w:rsidRPr="009E06AA">
              <w:rPr>
                <w:rFonts w:eastAsia="Calibri" w:cs="Calibri"/>
                <w:color w:val="000000"/>
                <w:szCs w:val="16"/>
              </w:rPr>
              <w:t>426,639</w:t>
            </w:r>
          </w:p>
        </w:tc>
        <w:tc>
          <w:tcPr>
            <w:tcW w:w="1559" w:type="dxa"/>
            <w:shd w:val="clear" w:color="auto" w:fill="FFFFFF"/>
            <w:tcMar>
              <w:top w:w="0" w:type="dxa"/>
              <w:left w:w="85" w:type="dxa"/>
              <w:bottom w:w="0" w:type="dxa"/>
              <w:right w:w="85" w:type="dxa"/>
            </w:tcMar>
            <w:vAlign w:val="center"/>
          </w:tcPr>
          <w:p w14:paraId="5C220681" w14:textId="77777777" w:rsidR="00053418" w:rsidRPr="009E06AA" w:rsidRDefault="00053418" w:rsidP="000E3614">
            <w:pPr>
              <w:pStyle w:val="TableText"/>
              <w:spacing w:before="40" w:after="40"/>
              <w:jc w:val="right"/>
            </w:pPr>
            <w:r w:rsidRPr="009E06AA">
              <w:rPr>
                <w:rFonts w:eastAsia="Calibri" w:cs="Calibri"/>
                <w:color w:val="000000"/>
                <w:szCs w:val="16"/>
              </w:rPr>
              <w:t>426,588</w:t>
            </w:r>
          </w:p>
        </w:tc>
        <w:tc>
          <w:tcPr>
            <w:tcW w:w="2268" w:type="dxa"/>
            <w:shd w:val="clear" w:color="auto" w:fill="FFFFFF"/>
            <w:tcMar>
              <w:top w:w="0" w:type="dxa"/>
              <w:left w:w="85" w:type="dxa"/>
              <w:bottom w:w="0" w:type="dxa"/>
              <w:right w:w="85" w:type="dxa"/>
            </w:tcMar>
            <w:vAlign w:val="center"/>
          </w:tcPr>
          <w:p w14:paraId="2060797A" w14:textId="77777777" w:rsidR="00053418" w:rsidRPr="009E06AA" w:rsidRDefault="00053418" w:rsidP="000E3614">
            <w:pPr>
              <w:pStyle w:val="TableText"/>
              <w:spacing w:before="40" w:after="40"/>
              <w:jc w:val="right"/>
            </w:pPr>
            <w:r w:rsidRPr="009E06AA">
              <w:rPr>
                <w:rFonts w:eastAsia="Calibri" w:cs="Calibri"/>
                <w:color w:val="000000"/>
                <w:szCs w:val="16"/>
              </w:rPr>
              <w:t>-51</w:t>
            </w:r>
          </w:p>
        </w:tc>
        <w:tc>
          <w:tcPr>
            <w:tcW w:w="850" w:type="dxa"/>
            <w:shd w:val="clear" w:color="auto" w:fill="FFFFFF"/>
            <w:tcMar>
              <w:top w:w="0" w:type="dxa"/>
              <w:left w:w="85" w:type="dxa"/>
              <w:bottom w:w="0" w:type="dxa"/>
              <w:right w:w="85" w:type="dxa"/>
            </w:tcMar>
            <w:vAlign w:val="center"/>
          </w:tcPr>
          <w:p w14:paraId="30210567" w14:textId="77777777" w:rsidR="00053418" w:rsidRPr="009E06AA" w:rsidRDefault="00053418" w:rsidP="000E3614">
            <w:pPr>
              <w:pStyle w:val="TableText"/>
              <w:spacing w:before="40" w:after="40"/>
              <w:jc w:val="right"/>
            </w:pPr>
            <w:r w:rsidRPr="009E06AA">
              <w:rPr>
                <w:rFonts w:eastAsia="Calibri" w:cs="Calibri"/>
                <w:color w:val="000000"/>
                <w:szCs w:val="16"/>
              </w:rPr>
              <w:t>-0.0</w:t>
            </w:r>
          </w:p>
        </w:tc>
      </w:tr>
      <w:tr w:rsidR="00053418" w:rsidRPr="009E06AA" w14:paraId="2AC9A3FF" w14:textId="77777777" w:rsidTr="00B55F24">
        <w:tc>
          <w:tcPr>
            <w:tcW w:w="2268" w:type="dxa"/>
            <w:shd w:val="clear" w:color="auto" w:fill="FFFFFF"/>
            <w:tcMar>
              <w:top w:w="0" w:type="dxa"/>
              <w:left w:w="85" w:type="dxa"/>
              <w:bottom w:w="0" w:type="dxa"/>
              <w:right w:w="85" w:type="dxa"/>
            </w:tcMar>
            <w:vAlign w:val="center"/>
          </w:tcPr>
          <w:p w14:paraId="0B4FF8FB" w14:textId="77777777" w:rsidR="00053418" w:rsidRPr="009E06AA" w:rsidRDefault="00053418" w:rsidP="00B55F24">
            <w:pPr>
              <w:pStyle w:val="TableText"/>
              <w:spacing w:before="40" w:after="40"/>
            </w:pPr>
            <w:r w:rsidRPr="009E06AA">
              <w:rPr>
                <w:rFonts w:eastAsia="Calibri" w:cs="Calibri"/>
                <w:color w:val="000000"/>
                <w:szCs w:val="16"/>
              </w:rPr>
              <w:t>2021</w:t>
            </w:r>
          </w:p>
        </w:tc>
        <w:tc>
          <w:tcPr>
            <w:tcW w:w="1559" w:type="dxa"/>
            <w:shd w:val="clear" w:color="auto" w:fill="FFFFFF"/>
            <w:tcMar>
              <w:top w:w="0" w:type="dxa"/>
              <w:left w:w="85" w:type="dxa"/>
              <w:bottom w:w="0" w:type="dxa"/>
              <w:right w:w="85" w:type="dxa"/>
            </w:tcMar>
            <w:vAlign w:val="center"/>
          </w:tcPr>
          <w:p w14:paraId="160F7759" w14:textId="77777777" w:rsidR="00053418" w:rsidRPr="009E06AA" w:rsidRDefault="00053418" w:rsidP="000E3614">
            <w:pPr>
              <w:pStyle w:val="TableText"/>
              <w:spacing w:before="40" w:after="40"/>
              <w:jc w:val="right"/>
            </w:pPr>
            <w:r w:rsidRPr="009E06AA">
              <w:rPr>
                <w:rFonts w:eastAsia="Calibri" w:cs="Calibri"/>
                <w:color w:val="000000"/>
                <w:szCs w:val="16"/>
              </w:rPr>
              <w:t>476,728</w:t>
            </w:r>
          </w:p>
        </w:tc>
        <w:tc>
          <w:tcPr>
            <w:tcW w:w="1559" w:type="dxa"/>
            <w:shd w:val="clear" w:color="auto" w:fill="FFFFFF"/>
            <w:tcMar>
              <w:top w:w="0" w:type="dxa"/>
              <w:left w:w="85" w:type="dxa"/>
              <w:bottom w:w="0" w:type="dxa"/>
              <w:right w:w="85" w:type="dxa"/>
            </w:tcMar>
            <w:vAlign w:val="center"/>
          </w:tcPr>
          <w:p w14:paraId="6A6253B7" w14:textId="77777777" w:rsidR="00053418" w:rsidRPr="009E06AA" w:rsidRDefault="00053418" w:rsidP="000E3614">
            <w:pPr>
              <w:pStyle w:val="TableText"/>
              <w:spacing w:before="40" w:after="40"/>
              <w:jc w:val="right"/>
            </w:pPr>
            <w:r w:rsidRPr="009E06AA">
              <w:rPr>
                <w:rFonts w:eastAsia="Calibri" w:cs="Calibri"/>
                <w:color w:val="000000"/>
                <w:szCs w:val="16"/>
              </w:rPr>
              <w:t>482,654</w:t>
            </w:r>
          </w:p>
        </w:tc>
        <w:tc>
          <w:tcPr>
            <w:tcW w:w="2268" w:type="dxa"/>
            <w:shd w:val="clear" w:color="auto" w:fill="FFFFFF"/>
            <w:tcMar>
              <w:top w:w="0" w:type="dxa"/>
              <w:left w:w="85" w:type="dxa"/>
              <w:bottom w:w="0" w:type="dxa"/>
              <w:right w:w="85" w:type="dxa"/>
            </w:tcMar>
            <w:vAlign w:val="center"/>
          </w:tcPr>
          <w:p w14:paraId="59329122" w14:textId="77777777" w:rsidR="00053418" w:rsidRPr="009E06AA" w:rsidRDefault="00053418" w:rsidP="000E3614">
            <w:pPr>
              <w:pStyle w:val="TableText"/>
              <w:spacing w:before="40" w:after="40"/>
              <w:jc w:val="right"/>
            </w:pPr>
            <w:r w:rsidRPr="009E06AA">
              <w:rPr>
                <w:rFonts w:eastAsia="Calibri" w:cs="Calibri"/>
                <w:color w:val="000000"/>
                <w:szCs w:val="16"/>
              </w:rPr>
              <w:t>5,926</w:t>
            </w:r>
          </w:p>
        </w:tc>
        <w:tc>
          <w:tcPr>
            <w:tcW w:w="850" w:type="dxa"/>
            <w:shd w:val="clear" w:color="auto" w:fill="FFFFFF"/>
            <w:tcMar>
              <w:top w:w="0" w:type="dxa"/>
              <w:left w:w="85" w:type="dxa"/>
              <w:bottom w:w="0" w:type="dxa"/>
              <w:right w:w="85" w:type="dxa"/>
            </w:tcMar>
            <w:vAlign w:val="center"/>
          </w:tcPr>
          <w:p w14:paraId="03F6B6A6" w14:textId="77777777" w:rsidR="00053418" w:rsidRPr="009E06AA" w:rsidRDefault="00053418" w:rsidP="000E3614">
            <w:pPr>
              <w:pStyle w:val="TableText"/>
              <w:spacing w:before="40" w:after="40"/>
              <w:jc w:val="right"/>
            </w:pPr>
            <w:r w:rsidRPr="009E06AA">
              <w:rPr>
                <w:rFonts w:eastAsia="Calibri" w:cs="Calibri"/>
                <w:color w:val="000000"/>
                <w:szCs w:val="16"/>
              </w:rPr>
              <w:t>1.2</w:t>
            </w:r>
          </w:p>
        </w:tc>
      </w:tr>
    </w:tbl>
    <w:p w14:paraId="14A52F21" w14:textId="77777777" w:rsidR="00053418" w:rsidRPr="009E06AA" w:rsidRDefault="00053418" w:rsidP="00053418">
      <w:pPr>
        <w:pStyle w:val="Noteundertable"/>
        <w:spacing w:after="80"/>
      </w:pPr>
      <w:r w:rsidRPr="009E06AA">
        <w:rPr>
          <w:b/>
        </w:rPr>
        <w:t>Note:</w:t>
      </w:r>
      <w:r w:rsidRPr="009E06AA">
        <w:tab/>
        <w:t>Columns may not total due to rounding.</w:t>
      </w:r>
    </w:p>
    <w:p w14:paraId="200DAF06" w14:textId="77777777" w:rsidR="00053418" w:rsidRPr="009E06AA" w:rsidRDefault="00053418" w:rsidP="00053418">
      <w:pPr>
        <w:pStyle w:val="Heading3"/>
      </w:pPr>
      <w:r w:rsidRPr="009E06AA">
        <w:t>6.5.6</w:t>
      </w:r>
      <w:r w:rsidRPr="009E06AA">
        <w:tab/>
        <w:t>Category-specific planned improvements</w:t>
      </w:r>
      <w:bookmarkEnd w:id="2248"/>
      <w:bookmarkEnd w:id="2249"/>
      <w:bookmarkEnd w:id="2250"/>
      <w:bookmarkEnd w:id="2251"/>
      <w:bookmarkEnd w:id="2252"/>
    </w:p>
    <w:p w14:paraId="48004F32" w14:textId="77777777" w:rsidR="00053418" w:rsidRPr="009E06AA" w:rsidRDefault="00053418" w:rsidP="00053418">
      <w:pPr>
        <w:pStyle w:val="BodyText"/>
      </w:pPr>
      <w:r w:rsidRPr="009E06AA">
        <w:t xml:space="preserve">A longitudinal study on the impact of management practices on </w:t>
      </w:r>
      <w:r w:rsidRPr="009E06AA">
        <w:rPr>
          <w:i/>
          <w:iCs/>
        </w:rPr>
        <w:t>Grassland</w:t>
      </w:r>
      <w:r w:rsidRPr="009E06AA">
        <w:t xml:space="preserve"> and </w:t>
      </w:r>
      <w:r w:rsidRPr="009E06AA">
        <w:rPr>
          <w:i/>
          <w:iCs/>
        </w:rPr>
        <w:t>Cropland</w:t>
      </w:r>
      <w:r w:rsidRPr="009E06AA">
        <w:t xml:space="preserve"> soils is under way (Manaaki Whenua Landcare Research, 2020). This study will collect time-series data on a network of 500 soil sample plots over 12 years. This is likely to improve the SOC reference values for </w:t>
      </w:r>
      <w:r w:rsidRPr="009E06AA">
        <w:rPr>
          <w:i/>
          <w:iCs/>
        </w:rPr>
        <w:t xml:space="preserve">Cropland </w:t>
      </w:r>
      <w:r w:rsidRPr="009E06AA">
        <w:t xml:space="preserve">and help address L.12, 2023 raised in the ERT review report of the 2022 submission (FCCC/ARR/2022/NZL, UNFCCC, 2023). These data are not expected to be available for several years. </w:t>
      </w:r>
    </w:p>
    <w:p w14:paraId="4EEB1F15" w14:textId="2078030E" w:rsidR="00053418" w:rsidRPr="009E06AA" w:rsidRDefault="00053418" w:rsidP="00053418">
      <w:pPr>
        <w:pStyle w:val="BodyText"/>
      </w:pPr>
      <w:r w:rsidRPr="009E06AA">
        <w:t>In isolation, the above-mentioned study may help improve SOC reference values but will not address review recommendation L.1, 2023 raised in the ERT review report of the 2022 submission (FCCC/ARR/2022/NZL, UNFCCC, 2023). The report</w:t>
      </w:r>
      <w:r w:rsidRPr="009E06AA" w:rsidDel="0002696E">
        <w:t xml:space="preserve"> </w:t>
      </w:r>
      <w:r w:rsidRPr="009E06AA">
        <w:t xml:space="preserve">questioned whether the estimated SOC reference values were systematically overestimated or underestimated given that land-use change is most likely to occur on a subset of each land use category. The current soils model also assumes land use management practices are static and cannot be updated to include activity data on improvements in soil management practices. However, new funding has recently been acquired to update the Soil CMS and therefore will help address review recommendation L.1, 2023 (FCCC/ARR/2022/NZL, UNFCCC, 2023). </w:t>
      </w:r>
      <w:r w:rsidRPr="009E06AA">
        <w:rPr>
          <w:rFonts w:asciiTheme="minorHAnsi" w:hAnsiTheme="minorHAnsi"/>
          <w:color w:val="000000" w:themeColor="text1"/>
        </w:rPr>
        <w:t xml:space="preserve">This work will improve New Zealand’s soil carbon stock change estimates in </w:t>
      </w:r>
      <w:r w:rsidRPr="009E06AA">
        <w:rPr>
          <w:rFonts w:asciiTheme="minorHAnsi" w:hAnsiTheme="minorHAnsi"/>
          <w:i/>
          <w:color w:val="000000" w:themeColor="text1"/>
        </w:rPr>
        <w:t>Cropland</w:t>
      </w:r>
      <w:r w:rsidRPr="009E06AA">
        <w:rPr>
          <w:rFonts w:asciiTheme="minorHAnsi" w:hAnsiTheme="minorHAnsi"/>
          <w:color w:val="000000" w:themeColor="text1"/>
        </w:rPr>
        <w:t xml:space="preserve"> and other categories by developing a new modelling approach and addressing key measurement gaps. This work will</w:t>
      </w:r>
      <w:r w:rsidR="009F0FA8" w:rsidRPr="009E06AA">
        <w:rPr>
          <w:rFonts w:asciiTheme="minorHAnsi" w:hAnsiTheme="minorHAnsi"/>
          <w:color w:val="000000" w:themeColor="text1"/>
        </w:rPr>
        <w:t> </w:t>
      </w:r>
      <w:r w:rsidRPr="009E06AA">
        <w:rPr>
          <w:rFonts w:asciiTheme="minorHAnsi" w:hAnsiTheme="minorHAnsi"/>
          <w:color w:val="000000" w:themeColor="text1"/>
        </w:rPr>
        <w:t>substantially improve the accuracy of soil carbon estimates and provide a framework to include management effects within land uses.</w:t>
      </w:r>
      <w:r w:rsidRPr="009E06AA">
        <w:t xml:space="preserve"> The data will be incorporated into the NIR as they become available.</w:t>
      </w:r>
    </w:p>
    <w:p w14:paraId="2D145461" w14:textId="77777777" w:rsidR="00053418" w:rsidRPr="009E06AA" w:rsidRDefault="00053418" w:rsidP="00053418">
      <w:pPr>
        <w:pStyle w:val="Heading2"/>
      </w:pPr>
      <w:bookmarkStart w:id="2253" w:name="_Toc69611750"/>
      <w:bookmarkStart w:id="2254" w:name="_Toc69612706"/>
      <w:bookmarkStart w:id="2255" w:name="_Toc69612905"/>
      <w:bookmarkStart w:id="2256" w:name="_Toc69613165"/>
      <w:bookmarkStart w:id="2257" w:name="_Toc69633329"/>
      <w:bookmarkStart w:id="2258" w:name="_Toc69717494"/>
      <w:bookmarkStart w:id="2259" w:name="_Toc69802976"/>
      <w:bookmarkStart w:id="2260" w:name="_Toc69815113"/>
      <w:bookmarkStart w:id="2261" w:name="_Toc70492406"/>
      <w:bookmarkStart w:id="2262" w:name="_Toc101310612"/>
      <w:bookmarkStart w:id="2263" w:name="_Toc101318472"/>
      <w:bookmarkStart w:id="2264" w:name="_Toc101318577"/>
      <w:bookmarkStart w:id="2265" w:name="_Toc101318761"/>
      <w:bookmarkStart w:id="2266" w:name="_Toc101334037"/>
      <w:bookmarkStart w:id="2267" w:name="_Toc134847215"/>
      <w:bookmarkStart w:id="2268" w:name="_Toc139253969"/>
      <w:bookmarkStart w:id="2269" w:name="_Toc144710423"/>
      <w:bookmarkStart w:id="2270" w:name="_Toc165890377"/>
      <w:bookmarkStart w:id="2271" w:name="_Toc195322671"/>
      <w:bookmarkStart w:id="2272" w:name="_Toc255466392"/>
      <w:bookmarkStart w:id="2273" w:name="_Toc261513199"/>
      <w:bookmarkStart w:id="2274" w:name="_Toc261513812"/>
      <w:bookmarkStart w:id="2275" w:name="_Toc280630284"/>
      <w:bookmarkStart w:id="2276" w:name="_Toc310423454"/>
      <w:bookmarkStart w:id="2277" w:name="_Toc342470720"/>
      <w:bookmarkStart w:id="2278" w:name="_Toc352504872"/>
      <w:bookmarkStart w:id="2279" w:name="_Toc391024702"/>
      <w:bookmarkStart w:id="2280" w:name="_Toc414531319"/>
      <w:bookmarkStart w:id="2281" w:name="_Toc474335461"/>
      <w:bookmarkStart w:id="2282" w:name="_Toc481751401"/>
      <w:bookmarkStart w:id="2283" w:name="_Toc522013953"/>
      <w:bookmarkStart w:id="2284" w:name="_Toc5269378"/>
      <w:bookmarkStart w:id="2285" w:name="_Toc36224418"/>
      <w:bookmarkStart w:id="2286" w:name="_Toc131591252"/>
      <w:bookmarkStart w:id="2287" w:name="_Toc158980299"/>
      <w:bookmarkStart w:id="2288" w:name="_Toc164154207"/>
      <w:r w:rsidRPr="009E06AA">
        <w:t>6.6</w:t>
      </w:r>
      <w:r w:rsidRPr="009E06AA">
        <w:tab/>
        <w:t>Grassland (4C)</w:t>
      </w:r>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p>
    <w:p w14:paraId="7FF5C85A" w14:textId="77777777" w:rsidR="00053418" w:rsidRPr="009E06AA" w:rsidRDefault="00053418" w:rsidP="00053418">
      <w:pPr>
        <w:pStyle w:val="Heading3"/>
        <w:spacing w:before="240"/>
      </w:pPr>
      <w:bookmarkStart w:id="2289" w:name="_Toc139253970"/>
      <w:bookmarkStart w:id="2290" w:name="_Toc255466393"/>
      <w:bookmarkStart w:id="2291" w:name="_Toc261513200"/>
      <w:bookmarkStart w:id="2292" w:name="_Toc261513813"/>
      <w:bookmarkStart w:id="2293" w:name="_Toc280630285"/>
      <w:r w:rsidRPr="009E06AA">
        <w:t>6.6.1</w:t>
      </w:r>
      <w:r w:rsidRPr="009E06AA">
        <w:tab/>
        <w:t>Description</w:t>
      </w:r>
      <w:bookmarkEnd w:id="2289"/>
      <w:bookmarkEnd w:id="2290"/>
      <w:bookmarkEnd w:id="2291"/>
      <w:bookmarkEnd w:id="2292"/>
      <w:bookmarkEnd w:id="2293"/>
    </w:p>
    <w:p w14:paraId="131430F7" w14:textId="77777777" w:rsidR="00053418" w:rsidRPr="009E06AA" w:rsidRDefault="00053418" w:rsidP="00053418">
      <w:pPr>
        <w:pStyle w:val="BodyText"/>
      </w:pPr>
      <w:r w:rsidRPr="009E06AA">
        <w:t xml:space="preserve">In 2022, the net emissions from </w:t>
      </w:r>
      <w:r w:rsidRPr="009E06AA">
        <w:rPr>
          <w:i/>
        </w:rPr>
        <w:t>Grassland</w:t>
      </w:r>
      <w:r w:rsidRPr="009E06AA">
        <w:t xml:space="preserve"> were 3,665.7 kt CO2-e (see table 6.6.1). These emissions comprise 3,623.7 kt CO</w:t>
      </w:r>
      <w:r w:rsidRPr="009E06AA">
        <w:rPr>
          <w:vertAlign w:val="subscript"/>
        </w:rPr>
        <w:t>2</w:t>
      </w:r>
      <w:r w:rsidRPr="009E06AA">
        <w:t xml:space="preserve"> emissions from carbon stock change, 0.07 kt N</w:t>
      </w:r>
      <w:r w:rsidRPr="009E06AA">
        <w:rPr>
          <w:vertAlign w:val="subscript"/>
        </w:rPr>
        <w:t>2</w:t>
      </w:r>
      <w:r w:rsidRPr="009E06AA">
        <w:t>O (19.8 kt CO</w:t>
      </w:r>
      <w:r w:rsidRPr="009E06AA">
        <w:rPr>
          <w:vertAlign w:val="subscript"/>
        </w:rPr>
        <w:t>2</w:t>
      </w:r>
      <w:r w:rsidRPr="009E06AA">
        <w:noBreakHyphen/>
        <w:t>e) and 0.8 kt CH</w:t>
      </w:r>
      <w:r w:rsidRPr="009E06AA">
        <w:rPr>
          <w:vertAlign w:val="subscript"/>
        </w:rPr>
        <w:t>4</w:t>
      </w:r>
      <w:r w:rsidRPr="009E06AA">
        <w:t xml:space="preserve"> (22.1 kt CO</w:t>
      </w:r>
      <w:r w:rsidRPr="009E06AA">
        <w:rPr>
          <w:vertAlign w:val="subscript"/>
        </w:rPr>
        <w:t>2</w:t>
      </w:r>
      <w:r w:rsidRPr="009E06AA">
        <w:t xml:space="preserve">-e) emissions from </w:t>
      </w:r>
      <w:r w:rsidRPr="009E06AA">
        <w:rPr>
          <w:i/>
        </w:rPr>
        <w:t>Biomass burning</w:t>
      </w:r>
      <w:r w:rsidRPr="009E06AA">
        <w:t xml:space="preserve"> and nitrogen mineralisation on </w:t>
      </w:r>
      <w:r w:rsidRPr="009E06AA">
        <w:rPr>
          <w:i/>
        </w:rPr>
        <w:t>Land converted to grassland</w:t>
      </w:r>
      <w:r w:rsidRPr="009E06AA">
        <w:t>.</w:t>
      </w:r>
    </w:p>
    <w:p w14:paraId="08A72869" w14:textId="77777777" w:rsidR="00053418" w:rsidRPr="009E06AA" w:rsidRDefault="00053418" w:rsidP="00053418">
      <w:pPr>
        <w:pStyle w:val="BodyText"/>
      </w:pPr>
      <w:r w:rsidRPr="009E06AA">
        <w:t xml:space="preserve">Net emissions from </w:t>
      </w:r>
      <w:r w:rsidRPr="009E06AA">
        <w:rPr>
          <w:i/>
        </w:rPr>
        <w:t xml:space="preserve">Grassland </w:t>
      </w:r>
      <w:r w:rsidRPr="009E06AA">
        <w:t>have increased by 2,839.5 kt CO</w:t>
      </w:r>
      <w:r w:rsidRPr="009E06AA">
        <w:rPr>
          <w:vertAlign w:val="subscript"/>
        </w:rPr>
        <w:t>2</w:t>
      </w:r>
      <w:r w:rsidRPr="009E06AA">
        <w:t xml:space="preserve">-e (343.7 per cent) from the 1990 level of </w:t>
      </w:r>
      <w:r w:rsidRPr="009E06AA">
        <w:rPr>
          <w:bCs/>
        </w:rPr>
        <w:t xml:space="preserve">826.2 </w:t>
      </w:r>
      <w:r w:rsidRPr="009E06AA">
        <w:t>kt CO</w:t>
      </w:r>
      <w:r w:rsidRPr="009E06AA">
        <w:rPr>
          <w:vertAlign w:val="subscript"/>
        </w:rPr>
        <w:t>2</w:t>
      </w:r>
      <w:r w:rsidRPr="009E06AA">
        <w:t>-e (see table 6.6.1). The majority of this change occurred in pre-1990 planted forest converted to high producing grassland and is the effect of deforestation that involves large losses in the living biomass pool.</w:t>
      </w:r>
    </w:p>
    <w:p w14:paraId="0FC5EBDC" w14:textId="77777777" w:rsidR="00053418" w:rsidRPr="009E06AA" w:rsidRDefault="00053418" w:rsidP="00053418">
      <w:pPr>
        <w:pStyle w:val="BodyText"/>
      </w:pPr>
      <w:r w:rsidRPr="009E06AA">
        <w:t xml:space="preserve">The </w:t>
      </w:r>
      <w:r w:rsidRPr="009E06AA">
        <w:rPr>
          <w:i/>
        </w:rPr>
        <w:t>Grassland remaining grassland</w:t>
      </w:r>
      <w:r w:rsidRPr="009E06AA">
        <w:t xml:space="preserve"> and </w:t>
      </w:r>
      <w:r w:rsidRPr="009E06AA">
        <w:rPr>
          <w:i/>
        </w:rPr>
        <w:t>Land converted to grassland</w:t>
      </w:r>
      <w:r w:rsidRPr="009E06AA">
        <w:t xml:space="preserve"> categories were identified as key categories for the level and trend assessment in 2022.</w:t>
      </w:r>
    </w:p>
    <w:p w14:paraId="36F614BD" w14:textId="77777777" w:rsidR="00053418" w:rsidRPr="009E06AA" w:rsidRDefault="00053418" w:rsidP="00053418">
      <w:pPr>
        <w:pStyle w:val="Table"/>
      </w:pPr>
      <w:bookmarkStart w:id="2294" w:name="_Toc280630465"/>
      <w:bookmarkStart w:id="2295" w:name="_Toc310423421"/>
      <w:bookmarkStart w:id="2296" w:name="_Toc318362714"/>
      <w:bookmarkStart w:id="2297" w:name="_Toc342470776"/>
      <w:bookmarkStart w:id="2298" w:name="_Toc352505016"/>
      <w:bookmarkStart w:id="2299" w:name="_Toc378853307"/>
      <w:bookmarkStart w:id="2300" w:name="_Toc391024105"/>
      <w:bookmarkStart w:id="2301" w:name="_Toc410028848"/>
      <w:bookmarkStart w:id="2302" w:name="_Toc414531476"/>
      <w:bookmarkStart w:id="2303" w:name="_Toc443645389"/>
      <w:bookmarkStart w:id="2304" w:name="_Toc474914608"/>
      <w:bookmarkStart w:id="2305" w:name="_Toc481751572"/>
      <w:bookmarkStart w:id="2306" w:name="_Toc522010629"/>
      <w:bookmarkStart w:id="2307" w:name="_Toc5269534"/>
      <w:bookmarkStart w:id="2308" w:name="_Toc33529408"/>
      <w:bookmarkStart w:id="2309" w:name="_Toc36224614"/>
      <w:bookmarkStart w:id="2310" w:name="_Toc131591408"/>
      <w:bookmarkStart w:id="2311" w:name="_Toc158979966"/>
      <w:bookmarkStart w:id="2312" w:name="_Toc164153899"/>
      <w:r w:rsidRPr="009E06AA">
        <w:t>Table 6.6.1</w:t>
      </w:r>
      <w:r w:rsidRPr="009E06AA">
        <w:tab/>
      </w:r>
      <w:r w:rsidRPr="009E06AA">
        <w:rPr>
          <w:szCs w:val="18"/>
        </w:rPr>
        <w:t xml:space="preserve">New Zealand’s land-use change for the </w:t>
      </w:r>
      <w:r w:rsidRPr="009E06AA">
        <w:rPr>
          <w:i/>
          <w:szCs w:val="18"/>
        </w:rPr>
        <w:t>Grassland</w:t>
      </w:r>
      <w:r w:rsidRPr="009E06AA">
        <w:rPr>
          <w:szCs w:val="18"/>
        </w:rPr>
        <w:t xml:space="preserve"> category, and associated</w:t>
      </w:r>
      <w:r w:rsidRPr="009E06AA">
        <w:rPr>
          <w:szCs w:val="18"/>
        </w:rPr>
        <w:br/>
        <w:t>CO</w:t>
      </w:r>
      <w:r w:rsidRPr="009E06AA">
        <w:rPr>
          <w:szCs w:val="18"/>
          <w:vertAlign w:val="subscript"/>
        </w:rPr>
        <w:t>2</w:t>
      </w:r>
      <w:r w:rsidRPr="009E06AA">
        <w:rPr>
          <w:szCs w:val="18"/>
        </w:rPr>
        <w:noBreakHyphen/>
        <w:t>e emissions</w:t>
      </w:r>
      <w:r w:rsidRPr="009E06AA">
        <w:t>, from 1990 to</w:t>
      </w:r>
      <w:bookmarkEnd w:id="2294"/>
      <w:bookmarkEnd w:id="2295"/>
      <w:bookmarkEnd w:id="2296"/>
      <w:bookmarkEnd w:id="2297"/>
      <w:bookmarkEnd w:id="2298"/>
      <w:r w:rsidRPr="009E06AA">
        <w:t> </w:t>
      </w:r>
      <w:bookmarkEnd w:id="2299"/>
      <w:bookmarkEnd w:id="2300"/>
      <w:bookmarkEnd w:id="2301"/>
      <w:bookmarkEnd w:id="2302"/>
      <w:bookmarkEnd w:id="2303"/>
      <w:bookmarkEnd w:id="2304"/>
      <w:bookmarkEnd w:id="2305"/>
      <w:bookmarkEnd w:id="2306"/>
      <w:bookmarkEnd w:id="2307"/>
      <w:bookmarkEnd w:id="2308"/>
      <w:bookmarkEnd w:id="2309"/>
      <w:r w:rsidRPr="009E06AA">
        <w:t>2022</w:t>
      </w:r>
      <w:bookmarkEnd w:id="2310"/>
      <w:bookmarkEnd w:id="2311"/>
      <w:bookmarkEnd w:id="2312"/>
    </w:p>
    <w:tbl>
      <w:tblPr>
        <w:tblW w:w="8505" w:type="dxa"/>
        <w:tblBorders>
          <w:top w:val="single" w:sz="4" w:space="0" w:color="1B556B" w:themeColor="text2"/>
          <w:bottom w:val="single" w:sz="4" w:space="0" w:color="1B556B" w:themeColor="text2"/>
          <w:insideH w:val="single" w:sz="4" w:space="0" w:color="1B556B" w:themeColor="text2"/>
        </w:tblBorders>
        <w:tblLayout w:type="fixed"/>
        <w:tblLook w:val="0420" w:firstRow="1" w:lastRow="0" w:firstColumn="0" w:lastColumn="0" w:noHBand="0" w:noVBand="1"/>
      </w:tblPr>
      <w:tblGrid>
        <w:gridCol w:w="2533"/>
        <w:gridCol w:w="1014"/>
        <w:gridCol w:w="1014"/>
        <w:gridCol w:w="1127"/>
        <w:gridCol w:w="845"/>
        <w:gridCol w:w="845"/>
        <w:gridCol w:w="1127"/>
      </w:tblGrid>
      <w:tr w:rsidR="00053418" w:rsidRPr="009E06AA" w14:paraId="1FD5EEE5" w14:textId="77777777" w:rsidTr="00B55F24">
        <w:trPr>
          <w:tblHeader/>
        </w:trPr>
        <w:tc>
          <w:tcPr>
            <w:tcW w:w="2551" w:type="dxa"/>
            <w:shd w:val="clear" w:color="auto" w:fill="1B556B"/>
            <w:tcMar>
              <w:top w:w="0" w:type="dxa"/>
              <w:left w:w="85" w:type="dxa"/>
              <w:bottom w:w="0" w:type="dxa"/>
              <w:right w:w="85" w:type="dxa"/>
            </w:tcMar>
            <w:vAlign w:val="center"/>
          </w:tcPr>
          <w:p w14:paraId="19866AE2" w14:textId="77777777" w:rsidR="00053418" w:rsidRPr="009E06AA" w:rsidRDefault="00053418" w:rsidP="00B55F24">
            <w:pPr>
              <w:pStyle w:val="TableText"/>
              <w:spacing w:before="40" w:after="0"/>
              <w:jc w:val="center"/>
            </w:pPr>
          </w:p>
        </w:tc>
        <w:tc>
          <w:tcPr>
            <w:tcW w:w="3174" w:type="dxa"/>
            <w:gridSpan w:val="3"/>
            <w:shd w:val="clear" w:color="auto" w:fill="1B556B"/>
            <w:tcMar>
              <w:top w:w="0" w:type="dxa"/>
              <w:left w:w="85" w:type="dxa"/>
              <w:bottom w:w="0" w:type="dxa"/>
              <w:right w:w="85" w:type="dxa"/>
            </w:tcMar>
            <w:vAlign w:val="center"/>
          </w:tcPr>
          <w:p w14:paraId="54BF19DF" w14:textId="77777777" w:rsidR="00053418" w:rsidRPr="009E06AA" w:rsidRDefault="00053418" w:rsidP="00B55F24">
            <w:pPr>
              <w:pStyle w:val="TableText"/>
              <w:spacing w:after="0"/>
              <w:jc w:val="center"/>
            </w:pPr>
            <w:r w:rsidRPr="009E06AA">
              <w:rPr>
                <w:rFonts w:eastAsia="Calibri" w:cs="Calibri"/>
                <w:b/>
                <w:color w:val="FFFFFF"/>
                <w:szCs w:val="16"/>
              </w:rPr>
              <w:t>Net area (ha)</w:t>
            </w:r>
          </w:p>
        </w:tc>
        <w:tc>
          <w:tcPr>
            <w:tcW w:w="2834" w:type="dxa"/>
            <w:gridSpan w:val="3"/>
            <w:shd w:val="clear" w:color="auto" w:fill="1B556B"/>
            <w:tcMar>
              <w:top w:w="0" w:type="dxa"/>
              <w:left w:w="85" w:type="dxa"/>
              <w:bottom w:w="0" w:type="dxa"/>
              <w:right w:w="85" w:type="dxa"/>
            </w:tcMar>
            <w:vAlign w:val="center"/>
          </w:tcPr>
          <w:p w14:paraId="42505B93" w14:textId="77777777" w:rsidR="00053418" w:rsidRPr="009E06AA" w:rsidRDefault="00053418" w:rsidP="00B55F24">
            <w:pPr>
              <w:pStyle w:val="TableText"/>
              <w:spacing w:before="40" w:after="0"/>
              <w:jc w:val="center"/>
            </w:pPr>
            <w:r w:rsidRPr="009E06AA">
              <w:rPr>
                <w:rFonts w:eastAsia="Calibri" w:cs="Calibri"/>
                <w:b/>
                <w:color w:val="FFFFFF"/>
                <w:szCs w:val="16"/>
              </w:rPr>
              <w:t>Net emissions (kt CO₂-e)</w:t>
            </w:r>
          </w:p>
        </w:tc>
      </w:tr>
      <w:tr w:rsidR="00053418" w:rsidRPr="009E06AA" w14:paraId="16581D55" w14:textId="77777777" w:rsidTr="00B55F24">
        <w:trPr>
          <w:tblHeader/>
        </w:trPr>
        <w:tc>
          <w:tcPr>
            <w:tcW w:w="2551" w:type="dxa"/>
            <w:shd w:val="clear" w:color="auto" w:fill="1B556B"/>
            <w:tcMar>
              <w:top w:w="0" w:type="dxa"/>
              <w:left w:w="85" w:type="dxa"/>
              <w:bottom w:w="0" w:type="dxa"/>
              <w:right w:w="85" w:type="dxa"/>
            </w:tcMar>
            <w:vAlign w:val="bottom"/>
          </w:tcPr>
          <w:p w14:paraId="6D3A8E85" w14:textId="77777777" w:rsidR="00053418" w:rsidRPr="009E06AA" w:rsidRDefault="00053418" w:rsidP="00B55F24">
            <w:pPr>
              <w:pStyle w:val="TableText"/>
              <w:spacing w:before="40" w:after="40"/>
            </w:pPr>
            <w:r w:rsidRPr="009E06AA">
              <w:rPr>
                <w:rFonts w:eastAsia="Calibri" w:cs="Calibri"/>
                <w:b/>
                <w:color w:val="FFFFFF"/>
                <w:szCs w:val="16"/>
              </w:rPr>
              <w:t>Land use category</w:t>
            </w:r>
          </w:p>
        </w:tc>
        <w:tc>
          <w:tcPr>
            <w:tcW w:w="1020" w:type="dxa"/>
            <w:shd w:val="clear" w:color="auto" w:fill="1B556B"/>
            <w:tcMar>
              <w:top w:w="0" w:type="dxa"/>
              <w:left w:w="85" w:type="dxa"/>
              <w:bottom w:w="0" w:type="dxa"/>
              <w:right w:w="85" w:type="dxa"/>
            </w:tcMar>
            <w:vAlign w:val="bottom"/>
          </w:tcPr>
          <w:p w14:paraId="7A7A8185" w14:textId="77777777" w:rsidR="00053418" w:rsidRPr="009E06AA" w:rsidRDefault="00053418" w:rsidP="000E3614">
            <w:pPr>
              <w:pStyle w:val="TableText"/>
              <w:spacing w:before="40" w:after="40"/>
              <w:jc w:val="right"/>
            </w:pPr>
            <w:r w:rsidRPr="009E06AA">
              <w:rPr>
                <w:rFonts w:eastAsia="Calibri" w:cs="Calibri"/>
                <w:b/>
                <w:color w:val="FFFFFF"/>
                <w:szCs w:val="16"/>
              </w:rPr>
              <w:t>1990</w:t>
            </w:r>
          </w:p>
        </w:tc>
        <w:tc>
          <w:tcPr>
            <w:tcW w:w="1020" w:type="dxa"/>
            <w:shd w:val="clear" w:color="auto" w:fill="1B556B"/>
            <w:tcMar>
              <w:top w:w="0" w:type="dxa"/>
              <w:left w:w="85" w:type="dxa"/>
              <w:bottom w:w="0" w:type="dxa"/>
              <w:right w:w="85" w:type="dxa"/>
            </w:tcMar>
            <w:vAlign w:val="bottom"/>
          </w:tcPr>
          <w:p w14:paraId="48C7B93C" w14:textId="77777777" w:rsidR="00053418" w:rsidRPr="009E06AA" w:rsidRDefault="00053418" w:rsidP="000E3614">
            <w:pPr>
              <w:pStyle w:val="TableText"/>
              <w:spacing w:before="40" w:after="40"/>
              <w:jc w:val="right"/>
            </w:pPr>
            <w:r w:rsidRPr="009E06AA">
              <w:rPr>
                <w:rFonts w:eastAsia="Calibri" w:cs="Calibri"/>
                <w:b/>
                <w:color w:val="FFFFFF"/>
                <w:szCs w:val="16"/>
              </w:rPr>
              <w:t>2022</w:t>
            </w:r>
          </w:p>
        </w:tc>
        <w:tc>
          <w:tcPr>
            <w:tcW w:w="1134" w:type="dxa"/>
            <w:shd w:val="clear" w:color="auto" w:fill="1B556B"/>
            <w:tcMar>
              <w:top w:w="0" w:type="dxa"/>
              <w:left w:w="85" w:type="dxa"/>
              <w:bottom w:w="0" w:type="dxa"/>
              <w:right w:w="85" w:type="dxa"/>
            </w:tcMar>
            <w:vAlign w:val="bottom"/>
          </w:tcPr>
          <w:p w14:paraId="311A1E9F" w14:textId="77777777" w:rsidR="00053418" w:rsidRPr="009E06AA" w:rsidRDefault="00053418" w:rsidP="000E3614">
            <w:pPr>
              <w:pStyle w:val="TableText"/>
              <w:spacing w:before="40" w:after="40"/>
              <w:jc w:val="right"/>
            </w:pPr>
            <w:r w:rsidRPr="009E06AA">
              <w:rPr>
                <w:rFonts w:eastAsia="Calibri" w:cs="Calibri"/>
                <w:b/>
                <w:color w:val="FFFFFF"/>
                <w:szCs w:val="16"/>
              </w:rPr>
              <w:t>Change from 1990 (%)</w:t>
            </w:r>
          </w:p>
        </w:tc>
        <w:tc>
          <w:tcPr>
            <w:tcW w:w="850" w:type="dxa"/>
            <w:shd w:val="clear" w:color="auto" w:fill="1B556B"/>
            <w:tcMar>
              <w:top w:w="0" w:type="dxa"/>
              <w:left w:w="85" w:type="dxa"/>
              <w:bottom w:w="0" w:type="dxa"/>
              <w:right w:w="85" w:type="dxa"/>
            </w:tcMar>
            <w:vAlign w:val="bottom"/>
          </w:tcPr>
          <w:p w14:paraId="52157BD9" w14:textId="77777777" w:rsidR="00053418" w:rsidRPr="009E06AA" w:rsidRDefault="00053418" w:rsidP="000E3614">
            <w:pPr>
              <w:pStyle w:val="TableText"/>
              <w:spacing w:before="40" w:after="40"/>
              <w:jc w:val="right"/>
            </w:pPr>
            <w:r w:rsidRPr="009E06AA">
              <w:rPr>
                <w:rFonts w:eastAsia="Calibri" w:cs="Calibri"/>
                <w:b/>
                <w:color w:val="FFFFFF"/>
                <w:szCs w:val="16"/>
              </w:rPr>
              <w:t>1990</w:t>
            </w:r>
          </w:p>
        </w:tc>
        <w:tc>
          <w:tcPr>
            <w:tcW w:w="850" w:type="dxa"/>
            <w:shd w:val="clear" w:color="auto" w:fill="1B556B"/>
            <w:tcMar>
              <w:top w:w="0" w:type="dxa"/>
              <w:left w:w="85" w:type="dxa"/>
              <w:bottom w:w="0" w:type="dxa"/>
              <w:right w:w="85" w:type="dxa"/>
            </w:tcMar>
            <w:vAlign w:val="bottom"/>
          </w:tcPr>
          <w:p w14:paraId="1D3D159E" w14:textId="77777777" w:rsidR="00053418" w:rsidRPr="009E06AA" w:rsidRDefault="00053418" w:rsidP="000E3614">
            <w:pPr>
              <w:pStyle w:val="TableText"/>
              <w:spacing w:before="40" w:after="40"/>
              <w:jc w:val="right"/>
            </w:pPr>
            <w:r w:rsidRPr="009E06AA">
              <w:rPr>
                <w:rFonts w:eastAsia="Calibri" w:cs="Calibri"/>
                <w:b/>
                <w:color w:val="FFFFFF"/>
                <w:szCs w:val="16"/>
              </w:rPr>
              <w:t>2022</w:t>
            </w:r>
          </w:p>
        </w:tc>
        <w:tc>
          <w:tcPr>
            <w:tcW w:w="1134" w:type="dxa"/>
            <w:shd w:val="clear" w:color="auto" w:fill="1B556B"/>
            <w:tcMar>
              <w:top w:w="0" w:type="dxa"/>
              <w:left w:w="85" w:type="dxa"/>
              <w:bottom w:w="0" w:type="dxa"/>
              <w:right w:w="85" w:type="dxa"/>
            </w:tcMar>
            <w:vAlign w:val="bottom"/>
          </w:tcPr>
          <w:p w14:paraId="4B730373" w14:textId="77777777" w:rsidR="00053418" w:rsidRPr="009E06AA" w:rsidRDefault="00053418" w:rsidP="000E3614">
            <w:pPr>
              <w:pStyle w:val="TableText"/>
              <w:spacing w:before="40" w:after="40"/>
              <w:jc w:val="right"/>
            </w:pPr>
            <w:r w:rsidRPr="009E06AA">
              <w:rPr>
                <w:rFonts w:eastAsia="Calibri" w:cs="Calibri"/>
                <w:b/>
                <w:color w:val="FFFFFF"/>
                <w:szCs w:val="16"/>
              </w:rPr>
              <w:t>Change from 1990 (%)</w:t>
            </w:r>
          </w:p>
        </w:tc>
      </w:tr>
      <w:tr w:rsidR="00053418" w:rsidRPr="009E06AA" w14:paraId="1C0B050A" w14:textId="77777777" w:rsidTr="00B55F24">
        <w:tc>
          <w:tcPr>
            <w:tcW w:w="2551" w:type="dxa"/>
            <w:shd w:val="clear" w:color="auto" w:fill="FFFFFF"/>
            <w:tcMar>
              <w:top w:w="0" w:type="dxa"/>
              <w:left w:w="85" w:type="dxa"/>
              <w:bottom w:w="0" w:type="dxa"/>
              <w:right w:w="85" w:type="dxa"/>
            </w:tcMar>
            <w:vAlign w:val="center"/>
          </w:tcPr>
          <w:p w14:paraId="4D6A1574" w14:textId="77777777" w:rsidR="00053418" w:rsidRPr="009E06AA" w:rsidRDefault="00053418" w:rsidP="00B55F24">
            <w:pPr>
              <w:pStyle w:val="TableText"/>
              <w:spacing w:before="40" w:after="40"/>
            </w:pPr>
            <w:r w:rsidRPr="009E06AA">
              <w:rPr>
                <w:rFonts w:eastAsia="Calibri" w:cs="Calibri"/>
                <w:color w:val="000000"/>
                <w:szCs w:val="16"/>
              </w:rPr>
              <w:t>Grassland remaining grassland</w:t>
            </w:r>
          </w:p>
        </w:tc>
        <w:tc>
          <w:tcPr>
            <w:tcW w:w="1020" w:type="dxa"/>
            <w:shd w:val="clear" w:color="auto" w:fill="FFFFFF"/>
            <w:tcMar>
              <w:top w:w="0" w:type="dxa"/>
              <w:left w:w="85" w:type="dxa"/>
              <w:bottom w:w="0" w:type="dxa"/>
              <w:right w:w="85" w:type="dxa"/>
            </w:tcMar>
            <w:vAlign w:val="center"/>
          </w:tcPr>
          <w:p w14:paraId="79C5D93B" w14:textId="77777777" w:rsidR="00053418" w:rsidRPr="009E06AA" w:rsidRDefault="00053418" w:rsidP="000E3614">
            <w:pPr>
              <w:pStyle w:val="TableText"/>
              <w:spacing w:before="40" w:after="40"/>
              <w:jc w:val="right"/>
            </w:pPr>
            <w:r w:rsidRPr="009E06AA">
              <w:rPr>
                <w:rFonts w:eastAsia="Calibri" w:cs="Calibri"/>
                <w:color w:val="000000"/>
                <w:szCs w:val="16"/>
              </w:rPr>
              <w:t>14,903,327</w:t>
            </w:r>
          </w:p>
        </w:tc>
        <w:tc>
          <w:tcPr>
            <w:tcW w:w="1020" w:type="dxa"/>
            <w:shd w:val="clear" w:color="auto" w:fill="FFFFFF"/>
            <w:tcMar>
              <w:top w:w="0" w:type="dxa"/>
              <w:left w:w="85" w:type="dxa"/>
              <w:bottom w:w="0" w:type="dxa"/>
              <w:right w:w="85" w:type="dxa"/>
            </w:tcMar>
            <w:vAlign w:val="center"/>
          </w:tcPr>
          <w:p w14:paraId="362BA153" w14:textId="77777777" w:rsidR="00053418" w:rsidRPr="009E06AA" w:rsidRDefault="00053418" w:rsidP="000E3614">
            <w:pPr>
              <w:pStyle w:val="TableText"/>
              <w:spacing w:before="40" w:after="40"/>
              <w:jc w:val="right"/>
            </w:pPr>
            <w:r w:rsidRPr="009E06AA">
              <w:rPr>
                <w:rFonts w:eastAsia="Calibri" w:cs="Calibri"/>
                <w:color w:val="000000"/>
                <w:szCs w:val="16"/>
              </w:rPr>
              <w:t>14,130,540</w:t>
            </w:r>
          </w:p>
        </w:tc>
        <w:tc>
          <w:tcPr>
            <w:tcW w:w="1134" w:type="dxa"/>
            <w:shd w:val="clear" w:color="auto" w:fill="FFFFFF"/>
            <w:tcMar>
              <w:top w:w="0" w:type="dxa"/>
              <w:left w:w="85" w:type="dxa"/>
              <w:bottom w:w="0" w:type="dxa"/>
              <w:right w:w="85" w:type="dxa"/>
            </w:tcMar>
            <w:vAlign w:val="center"/>
          </w:tcPr>
          <w:p w14:paraId="42D8AE6A" w14:textId="77777777" w:rsidR="00053418" w:rsidRPr="009E06AA" w:rsidRDefault="00053418" w:rsidP="000E3614">
            <w:pPr>
              <w:pStyle w:val="TableText"/>
              <w:spacing w:before="40" w:after="40"/>
              <w:jc w:val="right"/>
            </w:pPr>
            <w:r w:rsidRPr="009E06AA">
              <w:rPr>
                <w:rFonts w:eastAsia="Calibri" w:cs="Calibri"/>
                <w:color w:val="000000"/>
                <w:szCs w:val="16"/>
              </w:rPr>
              <w:t>-5.2</w:t>
            </w:r>
          </w:p>
        </w:tc>
        <w:tc>
          <w:tcPr>
            <w:tcW w:w="850" w:type="dxa"/>
            <w:shd w:val="clear" w:color="auto" w:fill="FFFFFF"/>
            <w:tcMar>
              <w:top w:w="0" w:type="dxa"/>
              <w:left w:w="85" w:type="dxa"/>
              <w:bottom w:w="0" w:type="dxa"/>
              <w:right w:w="85" w:type="dxa"/>
            </w:tcMar>
            <w:vAlign w:val="center"/>
          </w:tcPr>
          <w:p w14:paraId="0DA7FA5E" w14:textId="77777777" w:rsidR="00053418" w:rsidRPr="009E06AA" w:rsidRDefault="00053418" w:rsidP="000E3614">
            <w:pPr>
              <w:pStyle w:val="TableText"/>
              <w:spacing w:before="40" w:after="40"/>
              <w:jc w:val="right"/>
            </w:pPr>
            <w:r w:rsidRPr="009E06AA">
              <w:rPr>
                <w:rFonts w:eastAsia="Calibri" w:cs="Calibri"/>
                <w:color w:val="000000"/>
                <w:szCs w:val="16"/>
              </w:rPr>
              <w:t>310.7</w:t>
            </w:r>
          </w:p>
        </w:tc>
        <w:tc>
          <w:tcPr>
            <w:tcW w:w="850" w:type="dxa"/>
            <w:shd w:val="clear" w:color="auto" w:fill="FFFFFF"/>
            <w:tcMar>
              <w:top w:w="0" w:type="dxa"/>
              <w:left w:w="85" w:type="dxa"/>
              <w:bottom w:w="0" w:type="dxa"/>
              <w:right w:w="85" w:type="dxa"/>
            </w:tcMar>
            <w:vAlign w:val="center"/>
          </w:tcPr>
          <w:p w14:paraId="003CA42C" w14:textId="77777777" w:rsidR="00053418" w:rsidRPr="009E06AA" w:rsidRDefault="00053418" w:rsidP="000E3614">
            <w:pPr>
              <w:pStyle w:val="TableText"/>
              <w:spacing w:before="40" w:after="40"/>
              <w:jc w:val="right"/>
            </w:pPr>
            <w:r w:rsidRPr="009E06AA">
              <w:rPr>
                <w:rFonts w:eastAsia="Calibri" w:cs="Calibri"/>
                <w:color w:val="000000"/>
                <w:szCs w:val="16"/>
              </w:rPr>
              <w:t>1,340.4</w:t>
            </w:r>
          </w:p>
        </w:tc>
        <w:tc>
          <w:tcPr>
            <w:tcW w:w="1134" w:type="dxa"/>
            <w:shd w:val="clear" w:color="auto" w:fill="FFFFFF"/>
            <w:tcMar>
              <w:top w:w="0" w:type="dxa"/>
              <w:left w:w="85" w:type="dxa"/>
              <w:bottom w:w="0" w:type="dxa"/>
              <w:right w:w="85" w:type="dxa"/>
            </w:tcMar>
            <w:vAlign w:val="center"/>
          </w:tcPr>
          <w:p w14:paraId="3172CC0E" w14:textId="77777777" w:rsidR="00053418" w:rsidRPr="009E06AA" w:rsidRDefault="00053418" w:rsidP="000E3614">
            <w:pPr>
              <w:pStyle w:val="TableText"/>
              <w:spacing w:before="40" w:after="40"/>
              <w:jc w:val="right"/>
            </w:pPr>
            <w:r w:rsidRPr="009E06AA">
              <w:rPr>
                <w:rFonts w:eastAsia="Calibri" w:cs="Calibri"/>
                <w:color w:val="000000"/>
                <w:szCs w:val="16"/>
              </w:rPr>
              <w:t>331.4</w:t>
            </w:r>
          </w:p>
        </w:tc>
      </w:tr>
      <w:tr w:rsidR="00053418" w:rsidRPr="009E06AA" w14:paraId="572ABDE0" w14:textId="77777777" w:rsidTr="00B55F24">
        <w:tc>
          <w:tcPr>
            <w:tcW w:w="2551" w:type="dxa"/>
            <w:shd w:val="clear" w:color="auto" w:fill="FFFFFF"/>
            <w:tcMar>
              <w:top w:w="0" w:type="dxa"/>
              <w:left w:w="85" w:type="dxa"/>
              <w:bottom w:w="0" w:type="dxa"/>
              <w:right w:w="85" w:type="dxa"/>
            </w:tcMar>
            <w:vAlign w:val="center"/>
          </w:tcPr>
          <w:p w14:paraId="6DCD0B39" w14:textId="77777777" w:rsidR="00053418" w:rsidRPr="009E06AA" w:rsidRDefault="00053418" w:rsidP="00B55F24">
            <w:pPr>
              <w:pStyle w:val="TableText"/>
              <w:spacing w:before="40" w:after="40"/>
            </w:pPr>
            <w:r w:rsidRPr="009E06AA">
              <w:rPr>
                <w:rFonts w:eastAsia="Calibri" w:cs="Calibri"/>
                <w:color w:val="000000"/>
                <w:szCs w:val="16"/>
              </w:rPr>
              <w:t>Land converted to grassland</w:t>
            </w:r>
          </w:p>
        </w:tc>
        <w:tc>
          <w:tcPr>
            <w:tcW w:w="1020" w:type="dxa"/>
            <w:shd w:val="clear" w:color="auto" w:fill="FFFFFF"/>
            <w:tcMar>
              <w:top w:w="0" w:type="dxa"/>
              <w:left w:w="85" w:type="dxa"/>
              <w:bottom w:w="0" w:type="dxa"/>
              <w:right w:w="85" w:type="dxa"/>
            </w:tcMar>
            <w:vAlign w:val="center"/>
          </w:tcPr>
          <w:p w14:paraId="6E348B8E" w14:textId="77777777" w:rsidR="00053418" w:rsidRPr="009E06AA" w:rsidRDefault="00053418" w:rsidP="000E3614">
            <w:pPr>
              <w:pStyle w:val="TableText"/>
              <w:spacing w:before="40" w:after="40"/>
              <w:jc w:val="right"/>
            </w:pPr>
            <w:r w:rsidRPr="009E06AA">
              <w:rPr>
                <w:rFonts w:eastAsia="Calibri" w:cs="Calibri"/>
                <w:color w:val="000000"/>
                <w:szCs w:val="16"/>
              </w:rPr>
              <w:t>351,137</w:t>
            </w:r>
          </w:p>
        </w:tc>
        <w:tc>
          <w:tcPr>
            <w:tcW w:w="1020" w:type="dxa"/>
            <w:shd w:val="clear" w:color="auto" w:fill="FFFFFF"/>
            <w:tcMar>
              <w:top w:w="0" w:type="dxa"/>
              <w:left w:w="85" w:type="dxa"/>
              <w:bottom w:w="0" w:type="dxa"/>
              <w:right w:w="85" w:type="dxa"/>
            </w:tcMar>
            <w:vAlign w:val="center"/>
          </w:tcPr>
          <w:p w14:paraId="70DABE8B" w14:textId="77777777" w:rsidR="00053418" w:rsidRPr="009E06AA" w:rsidRDefault="00053418" w:rsidP="000E3614">
            <w:pPr>
              <w:pStyle w:val="TableText"/>
              <w:spacing w:before="40" w:after="40"/>
              <w:jc w:val="right"/>
            </w:pPr>
            <w:r w:rsidRPr="009E06AA">
              <w:rPr>
                <w:rFonts w:eastAsia="Calibri" w:cs="Calibri"/>
                <w:color w:val="000000"/>
                <w:szCs w:val="16"/>
              </w:rPr>
              <w:t>289,430</w:t>
            </w:r>
          </w:p>
        </w:tc>
        <w:tc>
          <w:tcPr>
            <w:tcW w:w="1134" w:type="dxa"/>
            <w:shd w:val="clear" w:color="auto" w:fill="FFFFFF"/>
            <w:tcMar>
              <w:top w:w="0" w:type="dxa"/>
              <w:left w:w="85" w:type="dxa"/>
              <w:bottom w:w="0" w:type="dxa"/>
              <w:right w:w="85" w:type="dxa"/>
            </w:tcMar>
            <w:vAlign w:val="center"/>
          </w:tcPr>
          <w:p w14:paraId="12CCD35C" w14:textId="77777777" w:rsidR="00053418" w:rsidRPr="009E06AA" w:rsidRDefault="00053418" w:rsidP="000E3614">
            <w:pPr>
              <w:pStyle w:val="TableText"/>
              <w:spacing w:before="40" w:after="40"/>
              <w:jc w:val="right"/>
            </w:pPr>
            <w:r w:rsidRPr="009E06AA">
              <w:rPr>
                <w:rFonts w:eastAsia="Calibri" w:cs="Calibri"/>
                <w:color w:val="000000"/>
                <w:szCs w:val="16"/>
              </w:rPr>
              <w:t>-17.6</w:t>
            </w:r>
          </w:p>
        </w:tc>
        <w:tc>
          <w:tcPr>
            <w:tcW w:w="850" w:type="dxa"/>
            <w:shd w:val="clear" w:color="auto" w:fill="FFFFFF"/>
            <w:tcMar>
              <w:top w:w="0" w:type="dxa"/>
              <w:left w:w="85" w:type="dxa"/>
              <w:bottom w:w="0" w:type="dxa"/>
              <w:right w:w="85" w:type="dxa"/>
            </w:tcMar>
            <w:vAlign w:val="center"/>
          </w:tcPr>
          <w:p w14:paraId="56D52372" w14:textId="77777777" w:rsidR="00053418" w:rsidRPr="009E06AA" w:rsidRDefault="00053418" w:rsidP="000E3614">
            <w:pPr>
              <w:pStyle w:val="TableText"/>
              <w:spacing w:before="40" w:after="40"/>
              <w:jc w:val="right"/>
            </w:pPr>
            <w:r w:rsidRPr="009E06AA">
              <w:rPr>
                <w:rFonts w:eastAsia="Calibri" w:cs="Calibri"/>
                <w:color w:val="000000"/>
                <w:szCs w:val="16"/>
              </w:rPr>
              <w:t>515.5</w:t>
            </w:r>
          </w:p>
        </w:tc>
        <w:tc>
          <w:tcPr>
            <w:tcW w:w="850" w:type="dxa"/>
            <w:shd w:val="clear" w:color="auto" w:fill="FFFFFF"/>
            <w:tcMar>
              <w:top w:w="0" w:type="dxa"/>
              <w:left w:w="85" w:type="dxa"/>
              <w:bottom w:w="0" w:type="dxa"/>
              <w:right w:w="85" w:type="dxa"/>
            </w:tcMar>
            <w:vAlign w:val="center"/>
          </w:tcPr>
          <w:p w14:paraId="49BDC101" w14:textId="77777777" w:rsidR="00053418" w:rsidRPr="009E06AA" w:rsidRDefault="00053418" w:rsidP="000E3614">
            <w:pPr>
              <w:pStyle w:val="TableText"/>
              <w:spacing w:before="40" w:after="40"/>
              <w:jc w:val="right"/>
            </w:pPr>
            <w:r w:rsidRPr="009E06AA">
              <w:rPr>
                <w:rFonts w:eastAsia="Calibri" w:cs="Calibri"/>
                <w:color w:val="000000"/>
                <w:szCs w:val="16"/>
              </w:rPr>
              <w:t>2,325.2</w:t>
            </w:r>
          </w:p>
        </w:tc>
        <w:tc>
          <w:tcPr>
            <w:tcW w:w="1134" w:type="dxa"/>
            <w:shd w:val="clear" w:color="auto" w:fill="FFFFFF"/>
            <w:tcMar>
              <w:top w:w="0" w:type="dxa"/>
              <w:left w:w="85" w:type="dxa"/>
              <w:bottom w:w="0" w:type="dxa"/>
              <w:right w:w="85" w:type="dxa"/>
            </w:tcMar>
            <w:vAlign w:val="center"/>
          </w:tcPr>
          <w:p w14:paraId="0FA20F1E" w14:textId="77777777" w:rsidR="00053418" w:rsidRPr="009E06AA" w:rsidRDefault="00053418" w:rsidP="000E3614">
            <w:pPr>
              <w:pStyle w:val="TableText"/>
              <w:spacing w:before="40" w:after="40"/>
              <w:jc w:val="right"/>
            </w:pPr>
            <w:r w:rsidRPr="009E06AA">
              <w:rPr>
                <w:rFonts w:eastAsia="Calibri" w:cs="Calibri"/>
                <w:color w:val="000000"/>
                <w:szCs w:val="16"/>
              </w:rPr>
              <w:t>351.1</w:t>
            </w:r>
          </w:p>
        </w:tc>
      </w:tr>
      <w:tr w:rsidR="00053418" w:rsidRPr="009E06AA" w14:paraId="786F4DC3" w14:textId="77777777" w:rsidTr="00B55F24">
        <w:tc>
          <w:tcPr>
            <w:tcW w:w="2551" w:type="dxa"/>
            <w:shd w:val="clear" w:color="auto" w:fill="FFFFFF"/>
            <w:tcMar>
              <w:top w:w="0" w:type="dxa"/>
              <w:left w:w="85" w:type="dxa"/>
              <w:bottom w:w="0" w:type="dxa"/>
              <w:right w:w="85" w:type="dxa"/>
            </w:tcMar>
            <w:vAlign w:val="center"/>
          </w:tcPr>
          <w:p w14:paraId="1DC31B42" w14:textId="77777777" w:rsidR="00053418" w:rsidRPr="009E06AA" w:rsidRDefault="00053418" w:rsidP="00B55F24">
            <w:pPr>
              <w:pStyle w:val="TableText"/>
              <w:spacing w:before="40" w:after="40"/>
            </w:pPr>
            <w:r w:rsidRPr="009E06AA">
              <w:rPr>
                <w:rFonts w:eastAsia="Calibri" w:cs="Calibri"/>
                <w:b/>
                <w:color w:val="1B556B"/>
                <w:szCs w:val="16"/>
              </w:rPr>
              <w:t>Total</w:t>
            </w:r>
          </w:p>
        </w:tc>
        <w:tc>
          <w:tcPr>
            <w:tcW w:w="1020" w:type="dxa"/>
            <w:shd w:val="clear" w:color="auto" w:fill="FFFFFF"/>
            <w:tcMar>
              <w:top w:w="0" w:type="dxa"/>
              <w:left w:w="85" w:type="dxa"/>
              <w:bottom w:w="0" w:type="dxa"/>
              <w:right w:w="85" w:type="dxa"/>
            </w:tcMar>
            <w:vAlign w:val="center"/>
          </w:tcPr>
          <w:p w14:paraId="60F9877E" w14:textId="77777777" w:rsidR="00053418" w:rsidRPr="009E06AA" w:rsidRDefault="00053418" w:rsidP="000E3614">
            <w:pPr>
              <w:pStyle w:val="TableText"/>
              <w:spacing w:before="40" w:after="40"/>
              <w:jc w:val="right"/>
            </w:pPr>
            <w:r w:rsidRPr="009E06AA">
              <w:rPr>
                <w:rFonts w:eastAsia="Calibri" w:cs="Calibri"/>
                <w:b/>
                <w:color w:val="1B556B"/>
                <w:szCs w:val="16"/>
              </w:rPr>
              <w:t>15,254,463</w:t>
            </w:r>
          </w:p>
        </w:tc>
        <w:tc>
          <w:tcPr>
            <w:tcW w:w="1020" w:type="dxa"/>
            <w:shd w:val="clear" w:color="auto" w:fill="FFFFFF"/>
            <w:tcMar>
              <w:top w:w="0" w:type="dxa"/>
              <w:left w:w="85" w:type="dxa"/>
              <w:bottom w:w="0" w:type="dxa"/>
              <w:right w:w="85" w:type="dxa"/>
            </w:tcMar>
            <w:vAlign w:val="center"/>
          </w:tcPr>
          <w:p w14:paraId="5FCFE8C7" w14:textId="77777777" w:rsidR="00053418" w:rsidRPr="009E06AA" w:rsidRDefault="00053418" w:rsidP="000E3614">
            <w:pPr>
              <w:pStyle w:val="TableText"/>
              <w:spacing w:before="40" w:after="40"/>
              <w:jc w:val="right"/>
            </w:pPr>
            <w:r w:rsidRPr="009E06AA">
              <w:rPr>
                <w:rFonts w:eastAsia="Calibri" w:cs="Calibri"/>
                <w:b/>
                <w:color w:val="1B556B"/>
                <w:szCs w:val="16"/>
              </w:rPr>
              <w:t>14,419,970</w:t>
            </w:r>
          </w:p>
        </w:tc>
        <w:tc>
          <w:tcPr>
            <w:tcW w:w="1134" w:type="dxa"/>
            <w:shd w:val="clear" w:color="auto" w:fill="FFFFFF"/>
            <w:tcMar>
              <w:top w:w="0" w:type="dxa"/>
              <w:left w:w="85" w:type="dxa"/>
              <w:bottom w:w="0" w:type="dxa"/>
              <w:right w:w="85" w:type="dxa"/>
            </w:tcMar>
            <w:vAlign w:val="center"/>
          </w:tcPr>
          <w:p w14:paraId="46220BBC" w14:textId="77777777" w:rsidR="00053418" w:rsidRPr="009E06AA" w:rsidRDefault="00053418" w:rsidP="000E3614">
            <w:pPr>
              <w:pStyle w:val="TableText"/>
              <w:spacing w:before="40" w:after="40"/>
              <w:jc w:val="right"/>
            </w:pPr>
            <w:r w:rsidRPr="009E06AA">
              <w:rPr>
                <w:rFonts w:eastAsia="Calibri" w:cs="Calibri"/>
                <w:b/>
                <w:color w:val="1B556B"/>
                <w:szCs w:val="16"/>
              </w:rPr>
              <w:t>-5.5</w:t>
            </w:r>
          </w:p>
        </w:tc>
        <w:tc>
          <w:tcPr>
            <w:tcW w:w="850" w:type="dxa"/>
            <w:shd w:val="clear" w:color="auto" w:fill="FFFFFF"/>
            <w:tcMar>
              <w:top w:w="0" w:type="dxa"/>
              <w:left w:w="85" w:type="dxa"/>
              <w:bottom w:w="0" w:type="dxa"/>
              <w:right w:w="85" w:type="dxa"/>
            </w:tcMar>
            <w:vAlign w:val="center"/>
          </w:tcPr>
          <w:p w14:paraId="2329054A" w14:textId="77777777" w:rsidR="00053418" w:rsidRPr="009E06AA" w:rsidRDefault="00053418" w:rsidP="000E3614">
            <w:pPr>
              <w:pStyle w:val="TableText"/>
              <w:spacing w:before="40" w:after="40"/>
              <w:jc w:val="right"/>
            </w:pPr>
            <w:r w:rsidRPr="009E06AA">
              <w:rPr>
                <w:rFonts w:eastAsia="Calibri" w:cs="Calibri"/>
                <w:b/>
                <w:color w:val="1B556B"/>
                <w:szCs w:val="16"/>
              </w:rPr>
              <w:t>826.2</w:t>
            </w:r>
          </w:p>
        </w:tc>
        <w:tc>
          <w:tcPr>
            <w:tcW w:w="850" w:type="dxa"/>
            <w:shd w:val="clear" w:color="auto" w:fill="FFFFFF"/>
            <w:tcMar>
              <w:top w:w="0" w:type="dxa"/>
              <w:left w:w="85" w:type="dxa"/>
              <w:bottom w:w="0" w:type="dxa"/>
              <w:right w:w="85" w:type="dxa"/>
            </w:tcMar>
            <w:vAlign w:val="center"/>
          </w:tcPr>
          <w:p w14:paraId="77BCA120" w14:textId="77777777" w:rsidR="00053418" w:rsidRPr="009E06AA" w:rsidRDefault="00053418" w:rsidP="000E3614">
            <w:pPr>
              <w:pStyle w:val="TableText"/>
              <w:spacing w:before="40" w:after="40"/>
              <w:jc w:val="right"/>
            </w:pPr>
            <w:r w:rsidRPr="009E06AA">
              <w:rPr>
                <w:rFonts w:eastAsia="Calibri" w:cs="Calibri"/>
                <w:b/>
                <w:color w:val="1B556B"/>
                <w:szCs w:val="16"/>
              </w:rPr>
              <w:t>3,665.7</w:t>
            </w:r>
          </w:p>
        </w:tc>
        <w:tc>
          <w:tcPr>
            <w:tcW w:w="1134" w:type="dxa"/>
            <w:shd w:val="clear" w:color="auto" w:fill="FFFFFF"/>
            <w:tcMar>
              <w:top w:w="0" w:type="dxa"/>
              <w:left w:w="85" w:type="dxa"/>
              <w:bottom w:w="0" w:type="dxa"/>
              <w:right w:w="85" w:type="dxa"/>
            </w:tcMar>
            <w:vAlign w:val="center"/>
          </w:tcPr>
          <w:p w14:paraId="1A7E4023" w14:textId="77777777" w:rsidR="00053418" w:rsidRPr="009E06AA" w:rsidRDefault="00053418" w:rsidP="000E3614">
            <w:pPr>
              <w:pStyle w:val="TableText"/>
              <w:spacing w:before="40" w:after="40"/>
              <w:jc w:val="right"/>
            </w:pPr>
            <w:r w:rsidRPr="009E06AA">
              <w:rPr>
                <w:rFonts w:eastAsia="Calibri" w:cs="Calibri"/>
                <w:b/>
                <w:color w:val="1B556B"/>
                <w:szCs w:val="16"/>
              </w:rPr>
              <w:t>343.7</w:t>
            </w:r>
          </w:p>
        </w:tc>
      </w:tr>
    </w:tbl>
    <w:p w14:paraId="610723E1" w14:textId="77777777" w:rsidR="00053418" w:rsidRPr="009E06AA" w:rsidRDefault="00053418" w:rsidP="00053418">
      <w:pPr>
        <w:pStyle w:val="Noteundertable"/>
        <w:rPr>
          <w:rFonts w:eastAsia="Segoe UI"/>
        </w:rPr>
      </w:pPr>
      <w:r w:rsidRPr="009E06AA">
        <w:rPr>
          <w:rFonts w:eastAsia="Segoe UI"/>
          <w:b/>
        </w:rPr>
        <w:t>Note:</w:t>
      </w:r>
      <w:r w:rsidRPr="009E06AA">
        <w:rPr>
          <w:rFonts w:eastAsia="Segoe UI"/>
        </w:rPr>
        <w:tab/>
      </w:r>
      <w:r w:rsidRPr="009E06AA">
        <w:t xml:space="preserve">Net area in 1990 is as at 1 January 1990; net area in 2022 is as at 31 December 2022. </w:t>
      </w:r>
      <w:r w:rsidRPr="009E06AA">
        <w:rPr>
          <w:i/>
        </w:rPr>
        <w:t>Land converted to grassland</w:t>
      </w:r>
      <w:r w:rsidRPr="009E06AA">
        <w:t xml:space="preserve"> includes land converted up to 20 years earlier. Net emission estimates are for the whole year indicated. Columns may not total due to rounding.</w:t>
      </w:r>
    </w:p>
    <w:p w14:paraId="69F85A42" w14:textId="77777777" w:rsidR="00053418" w:rsidRPr="009E06AA" w:rsidRDefault="00053418" w:rsidP="00053418">
      <w:pPr>
        <w:pStyle w:val="BodyText"/>
      </w:pPr>
      <w:r w:rsidRPr="009E06AA">
        <w:t xml:space="preserve">In New Zealand, the </w:t>
      </w:r>
      <w:r w:rsidRPr="009E06AA">
        <w:rPr>
          <w:i/>
        </w:rPr>
        <w:t>Grassland</w:t>
      </w:r>
      <w:r w:rsidRPr="009E06AA">
        <w:t xml:space="preserve"> category is used to describe a range of land cover types. In this submission, three types of </w:t>
      </w:r>
      <w:r w:rsidRPr="009E06AA">
        <w:rPr>
          <w:i/>
        </w:rPr>
        <w:t>Grassland</w:t>
      </w:r>
      <w:r w:rsidRPr="009E06AA">
        <w:t xml:space="preserve"> are used: high producing, low producing and with woody biomass. Detailed descriptions of each </w:t>
      </w:r>
      <w:r w:rsidRPr="009E06AA">
        <w:rPr>
          <w:i/>
        </w:rPr>
        <w:t>Grassland</w:t>
      </w:r>
      <w:r w:rsidRPr="009E06AA">
        <w:t xml:space="preserve"> type can be found in table 6.2.2 and are briefly summarised below:</w:t>
      </w:r>
    </w:p>
    <w:p w14:paraId="77AB88EA" w14:textId="77777777" w:rsidR="00053418" w:rsidRPr="009E06AA" w:rsidRDefault="00053418" w:rsidP="00053418">
      <w:pPr>
        <w:pStyle w:val="Bullet"/>
        <w:numPr>
          <w:ilvl w:val="0"/>
          <w:numId w:val="29"/>
        </w:numPr>
        <w:ind w:left="397" w:hanging="397"/>
      </w:pPr>
      <w:r w:rsidRPr="009E06AA">
        <w:rPr>
          <w:i/>
          <w:iCs/>
        </w:rPr>
        <w:t xml:space="preserve">High producing grassland </w:t>
      </w:r>
      <w:r w:rsidRPr="009E06AA">
        <w:t>– intensively managed pasture land</w:t>
      </w:r>
    </w:p>
    <w:p w14:paraId="0AB06B47" w14:textId="77777777" w:rsidR="00053418" w:rsidRPr="009E06AA" w:rsidRDefault="00053418" w:rsidP="00053418">
      <w:pPr>
        <w:pStyle w:val="Bullet"/>
        <w:numPr>
          <w:ilvl w:val="0"/>
          <w:numId w:val="29"/>
        </w:numPr>
        <w:ind w:left="397" w:hanging="397"/>
      </w:pPr>
      <w:r w:rsidRPr="009E06AA">
        <w:rPr>
          <w:i/>
          <w:iCs/>
        </w:rPr>
        <w:t>Low producing grassland</w:t>
      </w:r>
      <w:r w:rsidRPr="009E06AA">
        <w:t xml:space="preserve"> – low-fertility grasses on hill country, areas of native tussock and areas composed of low, shrubby vegetation, both above and below the timberline</w:t>
      </w:r>
    </w:p>
    <w:p w14:paraId="2D10366C" w14:textId="77777777" w:rsidR="00053418" w:rsidRPr="009E06AA" w:rsidRDefault="00053418" w:rsidP="00053418">
      <w:pPr>
        <w:pStyle w:val="Bullet"/>
        <w:numPr>
          <w:ilvl w:val="0"/>
          <w:numId w:val="29"/>
        </w:numPr>
        <w:ind w:left="397" w:hanging="397"/>
      </w:pPr>
      <w:r w:rsidRPr="009E06AA">
        <w:rPr>
          <w:i/>
          <w:iCs/>
        </w:rPr>
        <w:t>Grassland with woody biomass</w:t>
      </w:r>
      <w:r w:rsidRPr="009E06AA">
        <w:t xml:space="preserve"> – grassland areas where the cover of woody species is less than 30 per cent and/or does not meet, nor has the potential to meet, the New Zealand forest definition due to the current management regime (e.g., periodically cleared for grazing), or due to characteristics of the vegetation or environmental constraints (e.g., alpine shrubland).</w:t>
      </w:r>
    </w:p>
    <w:p w14:paraId="6204867A" w14:textId="77777777" w:rsidR="00053418" w:rsidRPr="009E06AA" w:rsidRDefault="00053418" w:rsidP="00053418">
      <w:pPr>
        <w:pStyle w:val="BodyText"/>
      </w:pPr>
      <w:r w:rsidRPr="009E06AA">
        <w:rPr>
          <w:i/>
          <w:iCs/>
        </w:rPr>
        <w:t>Grassland with woody biomass</w:t>
      </w:r>
      <w:r w:rsidRPr="009E06AA">
        <w:t xml:space="preserve"> is a diverse land use and has therefore been disaggregated into two types: permanent (51.1 per cent) and transitional (48.9 per cent), and is described in table 6.6.2. A grid-based assessment of </w:t>
      </w:r>
      <w:r w:rsidRPr="009E06AA">
        <w:rPr>
          <w:i/>
          <w:iCs/>
        </w:rPr>
        <w:t>Grassland with woody biomass</w:t>
      </w:r>
      <w:r w:rsidRPr="009E06AA">
        <w:t xml:space="preserve"> was used to determine this disaggregation; this was done through a combination of plot measurements and virtual assessments of grid points where plots did not exist (Wakelin and Beets, unpublished). Separate emission factors for each type of </w:t>
      </w:r>
      <w:r w:rsidRPr="009E06AA">
        <w:rPr>
          <w:i/>
          <w:iCs/>
        </w:rPr>
        <w:t>Grassland with woody biomass</w:t>
      </w:r>
      <w:r w:rsidRPr="009E06AA">
        <w:t xml:space="preserve"> are derived from the LUCAS national plot network (Wakelin and Beets, unpublished). Within the CRTs, reporting on </w:t>
      </w:r>
      <w:r w:rsidRPr="009E06AA">
        <w:rPr>
          <w:i/>
          <w:iCs/>
        </w:rPr>
        <w:t>Grassland with woody biomass</w:t>
      </w:r>
      <w:r w:rsidRPr="009E06AA">
        <w:t xml:space="preserve"> is at the aggregate level. </w:t>
      </w:r>
    </w:p>
    <w:p w14:paraId="62A7EDD4" w14:textId="77777777" w:rsidR="00053418" w:rsidRPr="009E06AA" w:rsidRDefault="00053418" w:rsidP="00053418">
      <w:pPr>
        <w:pStyle w:val="Table"/>
      </w:pPr>
      <w:bookmarkStart w:id="2313" w:name="_Toc131591409"/>
      <w:bookmarkStart w:id="2314" w:name="_Toc158979967"/>
      <w:bookmarkStart w:id="2315" w:name="_Toc164153900"/>
      <w:r w:rsidRPr="009E06AA">
        <w:t>Table 6.6.2</w:t>
      </w:r>
      <w:r w:rsidRPr="009E06AA">
        <w:tab/>
      </w:r>
      <w:r w:rsidRPr="009E06AA">
        <w:rPr>
          <w:i/>
          <w:iCs/>
        </w:rPr>
        <w:t>Grassland with woody biomass</w:t>
      </w:r>
      <w:r w:rsidRPr="009E06AA">
        <w:t xml:space="preserve"> categories and description</w:t>
      </w:r>
      <w:bookmarkEnd w:id="2313"/>
      <w:bookmarkEnd w:id="2314"/>
      <w:bookmarkEnd w:id="2315"/>
    </w:p>
    <w:tbl>
      <w:tblPr>
        <w:tblW w:w="8505" w:type="dxa"/>
        <w:tblBorders>
          <w:top w:val="single" w:sz="4" w:space="0" w:color="365F91"/>
          <w:bottom w:val="single" w:sz="4" w:space="0" w:color="365F91"/>
          <w:insideH w:val="single" w:sz="4" w:space="0" w:color="365F91"/>
          <w:insideV w:val="single" w:sz="4" w:space="0" w:color="365F91"/>
        </w:tblBorders>
        <w:tblCellMar>
          <w:right w:w="85" w:type="dxa"/>
        </w:tblCellMar>
        <w:tblLook w:val="04A0" w:firstRow="1" w:lastRow="0" w:firstColumn="1" w:lastColumn="0" w:noHBand="0" w:noVBand="1"/>
      </w:tblPr>
      <w:tblGrid>
        <w:gridCol w:w="1985"/>
        <w:gridCol w:w="3260"/>
        <w:gridCol w:w="3260"/>
      </w:tblGrid>
      <w:tr w:rsidR="00053418" w:rsidRPr="009E06AA" w14:paraId="6282E54A" w14:textId="77777777" w:rsidTr="00B55F24">
        <w:trPr>
          <w:tblHeader/>
        </w:trPr>
        <w:tc>
          <w:tcPr>
            <w:tcW w:w="1985" w:type="dxa"/>
            <w:tcBorders>
              <w:top w:val="single" w:sz="4" w:space="0" w:color="1B556B"/>
              <w:left w:val="nil"/>
              <w:bottom w:val="single" w:sz="4" w:space="0" w:color="1B556B"/>
              <w:right w:val="nil"/>
            </w:tcBorders>
            <w:shd w:val="clear" w:color="auto" w:fill="1B556B" w:themeFill="text2"/>
            <w:hideMark/>
          </w:tcPr>
          <w:p w14:paraId="5F5BD35A" w14:textId="77777777" w:rsidR="00053418" w:rsidRPr="009E06AA" w:rsidRDefault="00053418" w:rsidP="00B55F24">
            <w:pPr>
              <w:pStyle w:val="TableTextBold"/>
              <w:spacing w:before="50" w:after="50" w:line="256" w:lineRule="auto"/>
              <w:rPr>
                <w:noProof w:val="0"/>
                <w:color w:val="FFFFFF"/>
              </w:rPr>
            </w:pPr>
            <w:r w:rsidRPr="009E06AA">
              <w:rPr>
                <w:noProof w:val="0"/>
                <w:color w:val="FFFFFF"/>
              </w:rPr>
              <w:t>Grassland with woody biomass categories</w:t>
            </w:r>
          </w:p>
        </w:tc>
        <w:tc>
          <w:tcPr>
            <w:tcW w:w="3260" w:type="dxa"/>
            <w:tcBorders>
              <w:top w:val="single" w:sz="4" w:space="0" w:color="1B556B"/>
              <w:left w:val="nil"/>
              <w:bottom w:val="single" w:sz="4" w:space="0" w:color="1B556B"/>
              <w:right w:val="nil"/>
            </w:tcBorders>
            <w:shd w:val="clear" w:color="auto" w:fill="1B556B" w:themeFill="text2"/>
            <w:vAlign w:val="bottom"/>
            <w:hideMark/>
          </w:tcPr>
          <w:p w14:paraId="60C80EC4" w14:textId="77777777" w:rsidR="00053418" w:rsidRPr="009E06AA" w:rsidRDefault="00053418" w:rsidP="00B55F24">
            <w:pPr>
              <w:pStyle w:val="TableTextBold"/>
              <w:spacing w:before="50" w:after="50" w:line="256" w:lineRule="auto"/>
              <w:rPr>
                <w:noProof w:val="0"/>
                <w:color w:val="FFFFFF"/>
              </w:rPr>
            </w:pPr>
            <w:r w:rsidRPr="009E06AA">
              <w:rPr>
                <w:noProof w:val="0"/>
                <w:color w:val="FFFFFF"/>
              </w:rPr>
              <w:t>Description</w:t>
            </w:r>
          </w:p>
        </w:tc>
        <w:tc>
          <w:tcPr>
            <w:tcW w:w="3260" w:type="dxa"/>
            <w:tcBorders>
              <w:top w:val="single" w:sz="4" w:space="0" w:color="1B556B"/>
              <w:left w:val="nil"/>
              <w:bottom w:val="single" w:sz="4" w:space="0" w:color="1B556B"/>
              <w:right w:val="single" w:sz="4" w:space="0" w:color="365F91"/>
            </w:tcBorders>
            <w:shd w:val="clear" w:color="auto" w:fill="1B556B" w:themeFill="text2"/>
            <w:vAlign w:val="bottom"/>
          </w:tcPr>
          <w:p w14:paraId="75EB64B2" w14:textId="77777777" w:rsidR="00053418" w:rsidRPr="009E06AA" w:rsidRDefault="00053418" w:rsidP="00B55F24">
            <w:pPr>
              <w:pStyle w:val="TableTextBold"/>
              <w:spacing w:before="50" w:after="50" w:line="256" w:lineRule="auto"/>
              <w:rPr>
                <w:noProof w:val="0"/>
                <w:color w:val="FFFFFF"/>
              </w:rPr>
            </w:pPr>
            <w:r w:rsidRPr="009E06AA">
              <w:rPr>
                <w:noProof w:val="0"/>
                <w:color w:val="FFFFFF"/>
              </w:rPr>
              <w:t xml:space="preserve">Expected occurrence </w:t>
            </w:r>
          </w:p>
        </w:tc>
      </w:tr>
      <w:tr w:rsidR="00053418" w:rsidRPr="009E06AA" w14:paraId="19780E5B" w14:textId="77777777" w:rsidTr="00B55F24">
        <w:tc>
          <w:tcPr>
            <w:tcW w:w="1985" w:type="dxa"/>
            <w:tcBorders>
              <w:top w:val="single" w:sz="4" w:space="0" w:color="1B556B"/>
              <w:left w:val="nil"/>
              <w:bottom w:val="single" w:sz="4" w:space="0" w:color="365F91"/>
              <w:right w:val="nil"/>
            </w:tcBorders>
            <w:hideMark/>
          </w:tcPr>
          <w:p w14:paraId="52A345FC" w14:textId="77777777" w:rsidR="00053418" w:rsidRPr="009E06AA" w:rsidRDefault="00053418" w:rsidP="00B55F24">
            <w:pPr>
              <w:pStyle w:val="TableText"/>
              <w:spacing w:before="50" w:after="50" w:line="256" w:lineRule="auto"/>
              <w:rPr>
                <w:rFonts w:cs="Arial Bold"/>
                <w:szCs w:val="16"/>
              </w:rPr>
            </w:pPr>
            <w:r w:rsidRPr="009E06AA">
              <w:rPr>
                <w:rFonts w:cs="Arial Bold"/>
                <w:szCs w:val="16"/>
              </w:rPr>
              <w:t xml:space="preserve">Transitional </w:t>
            </w:r>
          </w:p>
        </w:tc>
        <w:tc>
          <w:tcPr>
            <w:tcW w:w="3260" w:type="dxa"/>
            <w:tcBorders>
              <w:top w:val="single" w:sz="4" w:space="0" w:color="1B556B"/>
              <w:left w:val="nil"/>
              <w:bottom w:val="single" w:sz="4" w:space="0" w:color="365F91"/>
              <w:right w:val="nil"/>
            </w:tcBorders>
            <w:hideMark/>
          </w:tcPr>
          <w:p w14:paraId="5CC0C949" w14:textId="77777777" w:rsidR="00053418" w:rsidRPr="009E06AA" w:rsidRDefault="00053418" w:rsidP="00B55F24">
            <w:pPr>
              <w:pStyle w:val="TableText"/>
              <w:spacing w:before="50" w:after="50" w:line="256" w:lineRule="auto"/>
              <w:rPr>
                <w:rFonts w:cs="Arial Bold"/>
                <w:szCs w:val="16"/>
              </w:rPr>
            </w:pPr>
            <w:r w:rsidRPr="009E06AA">
              <w:rPr>
                <w:rFonts w:cs="Arial Bold"/>
                <w:szCs w:val="16"/>
              </w:rPr>
              <w:t xml:space="preserve">Areas of woody shrublands within farmland that </w:t>
            </w:r>
            <w:r w:rsidRPr="009E06AA">
              <w:t>do not become forest over a 30- to 40</w:t>
            </w:r>
            <w:r w:rsidRPr="009E06AA">
              <w:noBreakHyphen/>
              <w:t>year timeframe (Trotter and MacKay, unpublished).</w:t>
            </w:r>
          </w:p>
        </w:tc>
        <w:tc>
          <w:tcPr>
            <w:tcW w:w="3260" w:type="dxa"/>
            <w:tcBorders>
              <w:top w:val="single" w:sz="4" w:space="0" w:color="1B556B"/>
              <w:left w:val="nil"/>
              <w:bottom w:val="single" w:sz="4" w:space="0" w:color="365F91"/>
              <w:right w:val="nil"/>
            </w:tcBorders>
          </w:tcPr>
          <w:p w14:paraId="6AF6CF35" w14:textId="77777777" w:rsidR="00053418" w:rsidRPr="009E06AA" w:rsidRDefault="00053418" w:rsidP="00B55F24">
            <w:pPr>
              <w:pStyle w:val="TableText"/>
              <w:spacing w:before="50" w:after="50" w:line="256" w:lineRule="auto"/>
              <w:rPr>
                <w:rFonts w:cs="Arial Bold"/>
                <w:szCs w:val="16"/>
              </w:rPr>
            </w:pPr>
            <w:r w:rsidRPr="009E06AA">
              <w:rPr>
                <w:rFonts w:cs="Arial Bold"/>
                <w:szCs w:val="16"/>
              </w:rPr>
              <w:t xml:space="preserve">Where livestock grazes areas of woody shrubland or where woody shrubland is managed in other ways (e.g., spraying) to prevent it from becoming forest. </w:t>
            </w:r>
          </w:p>
        </w:tc>
      </w:tr>
      <w:tr w:rsidR="00053418" w:rsidRPr="009E06AA" w14:paraId="5FDCF770" w14:textId="77777777" w:rsidTr="00B55F24">
        <w:tc>
          <w:tcPr>
            <w:tcW w:w="1985" w:type="dxa"/>
            <w:tcBorders>
              <w:top w:val="single" w:sz="4" w:space="0" w:color="365F91"/>
              <w:left w:val="nil"/>
              <w:bottom w:val="single" w:sz="4" w:space="0" w:color="365F91"/>
              <w:right w:val="nil"/>
            </w:tcBorders>
          </w:tcPr>
          <w:p w14:paraId="2DCB7454" w14:textId="77777777" w:rsidR="00053418" w:rsidRPr="009E06AA" w:rsidRDefault="00053418" w:rsidP="00B55F24">
            <w:pPr>
              <w:pStyle w:val="TableText"/>
              <w:spacing w:before="50" w:after="50" w:line="256" w:lineRule="auto"/>
              <w:rPr>
                <w:rFonts w:cs="Arial Bold"/>
                <w:szCs w:val="16"/>
              </w:rPr>
            </w:pPr>
            <w:r w:rsidRPr="009E06AA">
              <w:rPr>
                <w:rFonts w:cs="Arial Bold"/>
                <w:szCs w:val="16"/>
              </w:rPr>
              <w:t>Permanent</w:t>
            </w:r>
          </w:p>
        </w:tc>
        <w:tc>
          <w:tcPr>
            <w:tcW w:w="3260" w:type="dxa"/>
            <w:tcBorders>
              <w:top w:val="single" w:sz="4" w:space="0" w:color="365F91"/>
              <w:left w:val="nil"/>
              <w:bottom w:val="single" w:sz="4" w:space="0" w:color="365F91"/>
              <w:right w:val="nil"/>
            </w:tcBorders>
            <w:hideMark/>
          </w:tcPr>
          <w:p w14:paraId="713A87FD" w14:textId="77777777" w:rsidR="00053418" w:rsidRPr="009E06AA" w:rsidRDefault="00053418" w:rsidP="00B55F24">
            <w:pPr>
              <w:pStyle w:val="TableText"/>
              <w:spacing w:before="50" w:after="50" w:line="256" w:lineRule="auto"/>
              <w:rPr>
                <w:rFonts w:cs="Arial Bold"/>
                <w:szCs w:val="16"/>
              </w:rPr>
            </w:pPr>
            <w:r w:rsidRPr="009E06AA">
              <w:rPr>
                <w:rFonts w:cs="Arial Bold"/>
                <w:szCs w:val="16"/>
              </w:rPr>
              <w:t xml:space="preserve">Land covered by woody vegetation that does not meet the forest definition and is not expected to do so under current ecological, management or environmental conditions. </w:t>
            </w:r>
          </w:p>
        </w:tc>
        <w:tc>
          <w:tcPr>
            <w:tcW w:w="3260" w:type="dxa"/>
            <w:tcBorders>
              <w:top w:val="single" w:sz="4" w:space="0" w:color="365F91"/>
              <w:left w:val="nil"/>
              <w:bottom w:val="single" w:sz="4" w:space="0" w:color="365F91"/>
              <w:right w:val="nil"/>
            </w:tcBorders>
          </w:tcPr>
          <w:p w14:paraId="6D7FEE11" w14:textId="77777777" w:rsidR="00053418" w:rsidRPr="009E06AA" w:rsidRDefault="00053418" w:rsidP="00B55F24">
            <w:pPr>
              <w:pStyle w:val="TableText"/>
              <w:spacing w:before="50" w:after="50" w:line="256" w:lineRule="auto"/>
              <w:rPr>
                <w:rFonts w:cs="Arial Bold"/>
                <w:szCs w:val="16"/>
              </w:rPr>
            </w:pPr>
            <w:r w:rsidRPr="009E06AA">
              <w:rPr>
                <w:rFonts w:cs="Arial Bold"/>
                <w:szCs w:val="16"/>
              </w:rPr>
              <w:t>Where abiotic conditions at a site are conducive to low-stature vegetation; for example, vegetation growing at high altitudes, on low-fertility soil or on frost flats.</w:t>
            </w:r>
          </w:p>
        </w:tc>
      </w:tr>
    </w:tbl>
    <w:p w14:paraId="3B0D67DE" w14:textId="77777777" w:rsidR="00053418" w:rsidRPr="009E06AA" w:rsidRDefault="00053418" w:rsidP="00053418">
      <w:pPr>
        <w:pStyle w:val="BodyText"/>
        <w:spacing w:before="240"/>
      </w:pPr>
      <w:r w:rsidRPr="009E06AA">
        <w:t xml:space="preserve">In 2022, there were 6,775,342 hectares of </w:t>
      </w:r>
      <w:r w:rsidRPr="009E06AA">
        <w:rPr>
          <w:i/>
          <w:iCs/>
        </w:rPr>
        <w:t>H</w:t>
      </w:r>
      <w:r w:rsidRPr="009E06AA">
        <w:rPr>
          <w:i/>
        </w:rPr>
        <w:t>igh producing grassland</w:t>
      </w:r>
      <w:r w:rsidRPr="009E06AA">
        <w:t xml:space="preserve"> (25.2 per cent of total land area), 6,292,807 hectares of low producing grassland (23.4 per cent of total land area) and 1,351,821 hectares of </w:t>
      </w:r>
      <w:r w:rsidRPr="009E06AA">
        <w:rPr>
          <w:i/>
          <w:iCs/>
        </w:rPr>
        <w:t>Grassland with woody biomass</w:t>
      </w:r>
      <w:r w:rsidRPr="009E06AA">
        <w:t xml:space="preserve"> (5.0 per cent of total land area). The area </w:t>
      </w:r>
      <w:r w:rsidRPr="009E06AA">
        <w:rPr>
          <w:i/>
          <w:iCs/>
        </w:rPr>
        <w:t>of Grassland with woody biomass</w:t>
      </w:r>
      <w:r w:rsidRPr="009E06AA">
        <w:t xml:space="preserve"> comprises 479,596 hectares of permanent and 872,225 hectares of transitional </w:t>
      </w:r>
      <w:r w:rsidRPr="009E06AA">
        <w:rPr>
          <w:i/>
          <w:iCs/>
        </w:rPr>
        <w:t>Grassland with woody biomass</w:t>
      </w:r>
      <w:r w:rsidRPr="009E06AA">
        <w:t xml:space="preserve">. </w:t>
      </w:r>
    </w:p>
    <w:p w14:paraId="0C5683DF" w14:textId="77777777" w:rsidR="00053418" w:rsidRPr="009E06AA" w:rsidRDefault="00053418" w:rsidP="00053418">
      <w:pPr>
        <w:pStyle w:val="BodyText"/>
      </w:pPr>
      <w:r w:rsidRPr="009E06AA">
        <w:t xml:space="preserve">From 1990 to 2022, the net carbon stock change attributed to </w:t>
      </w:r>
      <w:r w:rsidRPr="009E06AA">
        <w:rPr>
          <w:i/>
        </w:rPr>
        <w:t>Grassland</w:t>
      </w:r>
      <w:r w:rsidRPr="009E06AA">
        <w:t xml:space="preserve"> was a loss of 46,732.4 kt C, equivalent to 171,352.0 kt CO</w:t>
      </w:r>
      <w:r w:rsidRPr="009E06AA">
        <w:rPr>
          <w:vertAlign w:val="subscript"/>
        </w:rPr>
        <w:t>2</w:t>
      </w:r>
      <w:r w:rsidRPr="009E06AA">
        <w:t xml:space="preserve"> emissions (see table 6.6.3). The majority of these emissions are due to the loss of living biomass carbon stock associated with </w:t>
      </w:r>
      <w:r w:rsidRPr="009E06AA">
        <w:rPr>
          <w:i/>
        </w:rPr>
        <w:t>Forest land</w:t>
      </w:r>
      <w:r w:rsidRPr="009E06AA">
        <w:t xml:space="preserve"> conversion to </w:t>
      </w:r>
      <w:r w:rsidRPr="009E06AA">
        <w:rPr>
          <w:i/>
        </w:rPr>
        <w:t>Grassland</w:t>
      </w:r>
      <w:r w:rsidRPr="009E06AA">
        <w:t xml:space="preserve"> (deforestation). </w:t>
      </w:r>
    </w:p>
    <w:p w14:paraId="6E0DBBC7" w14:textId="43665517" w:rsidR="00053418" w:rsidRPr="009E06AA" w:rsidRDefault="00053418" w:rsidP="00053418">
      <w:pPr>
        <w:pStyle w:val="Table"/>
      </w:pPr>
      <w:bookmarkStart w:id="2316" w:name="_Toc280630467"/>
      <w:bookmarkStart w:id="2317" w:name="_Toc310423423"/>
      <w:bookmarkStart w:id="2318" w:name="_Toc318362716"/>
      <w:bookmarkStart w:id="2319" w:name="_Toc342470778"/>
      <w:bookmarkStart w:id="2320" w:name="_Toc352505018"/>
      <w:bookmarkStart w:id="2321" w:name="_Toc378853308"/>
      <w:bookmarkStart w:id="2322" w:name="_Toc391024106"/>
      <w:bookmarkStart w:id="2323" w:name="_Toc410028849"/>
      <w:bookmarkStart w:id="2324" w:name="_Toc414531477"/>
      <w:bookmarkStart w:id="2325" w:name="_Toc443645390"/>
      <w:bookmarkStart w:id="2326" w:name="_Toc474914609"/>
      <w:bookmarkStart w:id="2327" w:name="_Toc481751573"/>
      <w:bookmarkStart w:id="2328" w:name="_Toc522010630"/>
      <w:bookmarkStart w:id="2329" w:name="_Toc5269535"/>
      <w:bookmarkStart w:id="2330" w:name="_Toc33529409"/>
      <w:bookmarkStart w:id="2331" w:name="_Toc36224615"/>
      <w:bookmarkStart w:id="2332" w:name="_Toc131591410"/>
      <w:bookmarkStart w:id="2333" w:name="_Toc158979968"/>
      <w:bookmarkStart w:id="2334" w:name="_Toc164153901"/>
      <w:r w:rsidRPr="009E06AA">
        <w:t>Table 6.6.3</w:t>
      </w:r>
      <w:r w:rsidRPr="009E06AA">
        <w:tab/>
        <w:t>New Zealand’s carbon stock change by carbon pool for the</w:t>
      </w:r>
      <w:r w:rsidRPr="009E06AA">
        <w:rPr>
          <w:rFonts w:cs="Arial Bold"/>
        </w:rPr>
        <w:t xml:space="preserve"> </w:t>
      </w:r>
      <w:r w:rsidRPr="009E06AA">
        <w:rPr>
          <w:rFonts w:cs="Arial Bold"/>
          <w:i/>
        </w:rPr>
        <w:t>Grassland</w:t>
      </w:r>
      <w:r w:rsidRPr="009E06AA">
        <w:t xml:space="preserve"> category</w:t>
      </w:r>
      <w:r w:rsidR="00A011A9" w:rsidRPr="009E06AA">
        <w:t>,</w:t>
      </w:r>
      <w:r w:rsidRPr="009E06AA">
        <w:br/>
        <w:t>from 1990 to</w:t>
      </w:r>
      <w:bookmarkEnd w:id="2316"/>
      <w:bookmarkEnd w:id="2317"/>
      <w:bookmarkEnd w:id="2318"/>
      <w:bookmarkEnd w:id="2319"/>
      <w:bookmarkEnd w:id="2320"/>
      <w:bookmarkEnd w:id="2321"/>
      <w:bookmarkEnd w:id="2322"/>
      <w:r w:rsidRPr="009E06AA">
        <w:t> </w:t>
      </w:r>
      <w:bookmarkEnd w:id="2323"/>
      <w:bookmarkEnd w:id="2324"/>
      <w:bookmarkEnd w:id="2325"/>
      <w:bookmarkEnd w:id="2326"/>
      <w:bookmarkEnd w:id="2327"/>
      <w:bookmarkEnd w:id="2328"/>
      <w:bookmarkEnd w:id="2329"/>
      <w:bookmarkEnd w:id="2330"/>
      <w:bookmarkEnd w:id="2331"/>
      <w:r w:rsidRPr="009E06AA">
        <w:t>2022</w:t>
      </w:r>
      <w:bookmarkEnd w:id="2332"/>
      <w:bookmarkEnd w:id="2333"/>
      <w:bookmarkEnd w:id="2334"/>
    </w:p>
    <w:tbl>
      <w:tblPr>
        <w:tblW w:w="8505" w:type="dxa"/>
        <w:tblBorders>
          <w:top w:val="single" w:sz="4" w:space="0" w:color="1B556B" w:themeColor="text2"/>
          <w:bottom w:val="single" w:sz="4" w:space="0" w:color="1B556B" w:themeColor="text2"/>
          <w:insideH w:val="single" w:sz="4" w:space="0" w:color="1B556B" w:themeColor="text2"/>
        </w:tblBorders>
        <w:tblLayout w:type="fixed"/>
        <w:tblLook w:val="0420" w:firstRow="1" w:lastRow="0" w:firstColumn="0" w:lastColumn="0" w:noHBand="0" w:noVBand="1"/>
      </w:tblPr>
      <w:tblGrid>
        <w:gridCol w:w="2383"/>
        <w:gridCol w:w="1161"/>
        <w:gridCol w:w="1559"/>
        <w:gridCol w:w="851"/>
        <w:gridCol w:w="850"/>
        <w:gridCol w:w="1701"/>
      </w:tblGrid>
      <w:tr w:rsidR="00053418" w:rsidRPr="009E06AA" w14:paraId="2CFE4387" w14:textId="77777777" w:rsidTr="00B55F24">
        <w:trPr>
          <w:tblHeader/>
        </w:trPr>
        <w:tc>
          <w:tcPr>
            <w:tcW w:w="2383" w:type="dxa"/>
            <w:shd w:val="clear" w:color="auto" w:fill="1B556B"/>
            <w:tcMar>
              <w:top w:w="0" w:type="dxa"/>
              <w:left w:w="85" w:type="dxa"/>
              <w:bottom w:w="0" w:type="dxa"/>
              <w:right w:w="85" w:type="dxa"/>
            </w:tcMar>
            <w:vAlign w:val="center"/>
          </w:tcPr>
          <w:p w14:paraId="1FE9C339" w14:textId="77777777" w:rsidR="00053418" w:rsidRPr="009E06AA" w:rsidRDefault="00053418" w:rsidP="00B55F24">
            <w:pPr>
              <w:pStyle w:val="TableText"/>
              <w:keepNext/>
              <w:spacing w:after="0"/>
              <w:jc w:val="center"/>
            </w:pPr>
          </w:p>
        </w:tc>
        <w:tc>
          <w:tcPr>
            <w:tcW w:w="4421" w:type="dxa"/>
            <w:gridSpan w:val="4"/>
            <w:shd w:val="clear" w:color="auto" w:fill="1B556B"/>
            <w:tcMar>
              <w:top w:w="0" w:type="dxa"/>
              <w:left w:w="85" w:type="dxa"/>
              <w:bottom w:w="0" w:type="dxa"/>
              <w:right w:w="85" w:type="dxa"/>
            </w:tcMar>
            <w:vAlign w:val="center"/>
          </w:tcPr>
          <w:p w14:paraId="65F313FB" w14:textId="77777777" w:rsidR="00053418" w:rsidRPr="009E06AA" w:rsidRDefault="00053418" w:rsidP="00B55F24">
            <w:pPr>
              <w:pStyle w:val="TableText"/>
              <w:keepNext/>
              <w:spacing w:after="0"/>
              <w:jc w:val="center"/>
            </w:pPr>
            <w:r w:rsidRPr="009E06AA">
              <w:rPr>
                <w:rFonts w:eastAsia="Calibri" w:cs="Calibri"/>
                <w:b/>
                <w:color w:val="FFFFFF"/>
                <w:szCs w:val="16"/>
              </w:rPr>
              <w:t>Net carbon stock change 1990–2022 (kt C)</w:t>
            </w:r>
          </w:p>
        </w:tc>
        <w:tc>
          <w:tcPr>
            <w:tcW w:w="1701" w:type="dxa"/>
            <w:shd w:val="clear" w:color="auto" w:fill="1B556B"/>
            <w:tcMar>
              <w:top w:w="0" w:type="dxa"/>
              <w:left w:w="85" w:type="dxa"/>
              <w:bottom w:w="0" w:type="dxa"/>
              <w:right w:w="85" w:type="dxa"/>
            </w:tcMar>
            <w:vAlign w:val="center"/>
          </w:tcPr>
          <w:p w14:paraId="39527FD1" w14:textId="77777777" w:rsidR="00053418" w:rsidRPr="009E06AA" w:rsidRDefault="00053418" w:rsidP="00B55F24">
            <w:pPr>
              <w:pStyle w:val="TableText"/>
              <w:keepNext/>
              <w:spacing w:after="0"/>
              <w:jc w:val="center"/>
            </w:pPr>
            <w:r w:rsidRPr="009E06AA">
              <w:rPr>
                <w:rFonts w:eastAsia="Calibri" w:cs="Calibri"/>
                <w:b/>
                <w:color w:val="FFFFFF"/>
                <w:szCs w:val="16"/>
              </w:rPr>
              <w:t>Emissions 1990–2022</w:t>
            </w:r>
          </w:p>
        </w:tc>
      </w:tr>
      <w:tr w:rsidR="00053418" w:rsidRPr="009E06AA" w14:paraId="4FEBCD05" w14:textId="77777777" w:rsidTr="00B55F24">
        <w:trPr>
          <w:tblHeader/>
        </w:trPr>
        <w:tc>
          <w:tcPr>
            <w:tcW w:w="2383" w:type="dxa"/>
            <w:shd w:val="clear" w:color="auto" w:fill="1B556B"/>
            <w:tcMar>
              <w:top w:w="0" w:type="dxa"/>
              <w:left w:w="85" w:type="dxa"/>
              <w:bottom w:w="0" w:type="dxa"/>
              <w:right w:w="85" w:type="dxa"/>
            </w:tcMar>
            <w:vAlign w:val="center"/>
          </w:tcPr>
          <w:p w14:paraId="31715A46" w14:textId="77777777" w:rsidR="00053418" w:rsidRPr="009E06AA" w:rsidRDefault="00053418" w:rsidP="00B55F24">
            <w:pPr>
              <w:pStyle w:val="TableText"/>
              <w:keepNext/>
              <w:spacing w:before="40" w:after="40"/>
            </w:pPr>
            <w:r w:rsidRPr="009E06AA">
              <w:rPr>
                <w:rFonts w:eastAsia="Calibri" w:cs="Calibri"/>
                <w:b/>
                <w:color w:val="FFFFFF"/>
                <w:szCs w:val="16"/>
              </w:rPr>
              <w:t>Land use</w:t>
            </w:r>
          </w:p>
        </w:tc>
        <w:tc>
          <w:tcPr>
            <w:tcW w:w="1161" w:type="dxa"/>
            <w:shd w:val="clear" w:color="auto" w:fill="1B556B"/>
            <w:tcMar>
              <w:top w:w="0" w:type="dxa"/>
              <w:left w:w="85" w:type="dxa"/>
              <w:bottom w:w="0" w:type="dxa"/>
              <w:right w:w="85" w:type="dxa"/>
            </w:tcMar>
            <w:vAlign w:val="center"/>
          </w:tcPr>
          <w:p w14:paraId="64A10D2A" w14:textId="77777777" w:rsidR="00053418" w:rsidRPr="009E06AA" w:rsidRDefault="00053418" w:rsidP="00FA728E">
            <w:pPr>
              <w:pStyle w:val="TableText"/>
              <w:keepNext/>
              <w:spacing w:before="40" w:after="40"/>
              <w:jc w:val="right"/>
            </w:pPr>
            <w:r w:rsidRPr="009E06AA">
              <w:rPr>
                <w:rFonts w:eastAsia="Calibri" w:cs="Calibri"/>
                <w:b/>
                <w:color w:val="FFFFFF"/>
                <w:szCs w:val="16"/>
              </w:rPr>
              <w:t>Living biomass</w:t>
            </w:r>
          </w:p>
        </w:tc>
        <w:tc>
          <w:tcPr>
            <w:tcW w:w="1559" w:type="dxa"/>
            <w:shd w:val="clear" w:color="auto" w:fill="1B556B"/>
            <w:tcMar>
              <w:top w:w="0" w:type="dxa"/>
              <w:left w:w="85" w:type="dxa"/>
              <w:bottom w:w="0" w:type="dxa"/>
              <w:right w:w="85" w:type="dxa"/>
            </w:tcMar>
            <w:vAlign w:val="center"/>
          </w:tcPr>
          <w:p w14:paraId="1182E704" w14:textId="77777777" w:rsidR="00053418" w:rsidRPr="009E06AA" w:rsidRDefault="00053418" w:rsidP="00FA728E">
            <w:pPr>
              <w:pStyle w:val="TableText"/>
              <w:keepNext/>
              <w:spacing w:before="40" w:after="40"/>
              <w:jc w:val="right"/>
            </w:pPr>
            <w:r w:rsidRPr="009E06AA">
              <w:rPr>
                <w:rFonts w:eastAsia="Calibri" w:cs="Calibri"/>
                <w:b/>
                <w:color w:val="FFFFFF"/>
                <w:szCs w:val="16"/>
              </w:rPr>
              <w:t>Dead organic matter</w:t>
            </w:r>
          </w:p>
        </w:tc>
        <w:tc>
          <w:tcPr>
            <w:tcW w:w="851" w:type="dxa"/>
            <w:shd w:val="clear" w:color="auto" w:fill="1B556B"/>
            <w:tcMar>
              <w:top w:w="0" w:type="dxa"/>
              <w:left w:w="85" w:type="dxa"/>
              <w:bottom w:w="0" w:type="dxa"/>
              <w:right w:w="85" w:type="dxa"/>
            </w:tcMar>
            <w:vAlign w:val="center"/>
          </w:tcPr>
          <w:p w14:paraId="65E5475D" w14:textId="77777777" w:rsidR="00053418" w:rsidRPr="009E06AA" w:rsidRDefault="00053418" w:rsidP="00FA728E">
            <w:pPr>
              <w:pStyle w:val="TableText"/>
              <w:keepNext/>
              <w:spacing w:before="40" w:after="40"/>
              <w:jc w:val="right"/>
            </w:pPr>
            <w:r w:rsidRPr="009E06AA">
              <w:rPr>
                <w:rFonts w:eastAsia="Calibri" w:cs="Calibri"/>
                <w:b/>
                <w:color w:val="FFFFFF"/>
                <w:szCs w:val="16"/>
              </w:rPr>
              <w:t>Soils</w:t>
            </w:r>
          </w:p>
        </w:tc>
        <w:tc>
          <w:tcPr>
            <w:tcW w:w="850" w:type="dxa"/>
            <w:shd w:val="clear" w:color="auto" w:fill="1B556B"/>
            <w:tcMar>
              <w:top w:w="0" w:type="dxa"/>
              <w:left w:w="85" w:type="dxa"/>
              <w:bottom w:w="0" w:type="dxa"/>
              <w:right w:w="85" w:type="dxa"/>
            </w:tcMar>
            <w:vAlign w:val="center"/>
          </w:tcPr>
          <w:p w14:paraId="27EF9C7E" w14:textId="77777777" w:rsidR="00053418" w:rsidRPr="009E06AA" w:rsidRDefault="00053418" w:rsidP="00FA728E">
            <w:pPr>
              <w:pStyle w:val="TableText"/>
              <w:keepNext/>
              <w:spacing w:before="40" w:after="40"/>
              <w:jc w:val="right"/>
            </w:pPr>
            <w:r w:rsidRPr="009E06AA">
              <w:rPr>
                <w:rFonts w:eastAsia="Calibri" w:cs="Calibri"/>
                <w:b/>
                <w:color w:val="FFFFFF"/>
                <w:szCs w:val="16"/>
              </w:rPr>
              <w:t>Total</w:t>
            </w:r>
          </w:p>
        </w:tc>
        <w:tc>
          <w:tcPr>
            <w:tcW w:w="1701" w:type="dxa"/>
            <w:shd w:val="clear" w:color="auto" w:fill="1B556B"/>
            <w:tcMar>
              <w:top w:w="0" w:type="dxa"/>
              <w:left w:w="85" w:type="dxa"/>
              <w:bottom w:w="0" w:type="dxa"/>
              <w:right w:w="85" w:type="dxa"/>
            </w:tcMar>
            <w:vAlign w:val="center"/>
          </w:tcPr>
          <w:p w14:paraId="2E536238" w14:textId="77777777" w:rsidR="00053418" w:rsidRPr="009E06AA" w:rsidRDefault="00053418" w:rsidP="00FA728E">
            <w:pPr>
              <w:pStyle w:val="TableText"/>
              <w:keepNext/>
              <w:spacing w:before="40" w:after="40"/>
              <w:jc w:val="right"/>
            </w:pPr>
            <w:r w:rsidRPr="009E06AA">
              <w:rPr>
                <w:rFonts w:eastAsia="Calibri" w:cs="Calibri"/>
                <w:b/>
                <w:color w:val="FFFFFF"/>
                <w:szCs w:val="16"/>
              </w:rPr>
              <w:t>(kt CO₂)</w:t>
            </w:r>
          </w:p>
        </w:tc>
      </w:tr>
      <w:tr w:rsidR="00053418" w:rsidRPr="009E06AA" w14:paraId="1E62A498" w14:textId="77777777" w:rsidTr="00B55F24">
        <w:tc>
          <w:tcPr>
            <w:tcW w:w="2383" w:type="dxa"/>
            <w:shd w:val="clear" w:color="auto" w:fill="FFFFFF"/>
            <w:tcMar>
              <w:top w:w="0" w:type="dxa"/>
              <w:left w:w="85" w:type="dxa"/>
              <w:bottom w:w="0" w:type="dxa"/>
              <w:right w:w="85" w:type="dxa"/>
            </w:tcMar>
            <w:vAlign w:val="center"/>
          </w:tcPr>
          <w:p w14:paraId="24250805" w14:textId="77777777" w:rsidR="00053418" w:rsidRPr="009E06AA" w:rsidRDefault="00053418" w:rsidP="00B55F24">
            <w:pPr>
              <w:pStyle w:val="TableText"/>
              <w:keepNext/>
              <w:spacing w:before="40" w:after="40"/>
            </w:pPr>
            <w:r w:rsidRPr="009E06AA">
              <w:rPr>
                <w:rFonts w:eastAsia="Calibri" w:cs="Calibri"/>
                <w:color w:val="000000"/>
                <w:szCs w:val="16"/>
              </w:rPr>
              <w:t>Grassland – high producing</w:t>
            </w:r>
          </w:p>
        </w:tc>
        <w:tc>
          <w:tcPr>
            <w:tcW w:w="1161" w:type="dxa"/>
            <w:shd w:val="clear" w:color="auto" w:fill="FFFFFF"/>
            <w:tcMar>
              <w:top w:w="0" w:type="dxa"/>
              <w:left w:w="85" w:type="dxa"/>
              <w:bottom w:w="0" w:type="dxa"/>
              <w:right w:w="85" w:type="dxa"/>
            </w:tcMar>
            <w:vAlign w:val="center"/>
          </w:tcPr>
          <w:p w14:paraId="3BB15B11" w14:textId="77777777" w:rsidR="00053418" w:rsidRPr="009E06AA" w:rsidRDefault="00053418" w:rsidP="00FA728E">
            <w:pPr>
              <w:pStyle w:val="TableText"/>
              <w:keepNext/>
              <w:spacing w:before="40" w:after="40"/>
              <w:jc w:val="right"/>
            </w:pPr>
            <w:r w:rsidRPr="009E06AA">
              <w:rPr>
                <w:rFonts w:eastAsia="Calibri" w:cs="Calibri"/>
                <w:color w:val="000000"/>
                <w:szCs w:val="16"/>
              </w:rPr>
              <w:t>-18,547.0</w:t>
            </w:r>
          </w:p>
        </w:tc>
        <w:tc>
          <w:tcPr>
            <w:tcW w:w="1559" w:type="dxa"/>
            <w:shd w:val="clear" w:color="auto" w:fill="FFFFFF"/>
            <w:tcMar>
              <w:top w:w="0" w:type="dxa"/>
              <w:left w:w="85" w:type="dxa"/>
              <w:bottom w:w="0" w:type="dxa"/>
              <w:right w:w="85" w:type="dxa"/>
            </w:tcMar>
            <w:vAlign w:val="center"/>
          </w:tcPr>
          <w:p w14:paraId="1DFF7E4F" w14:textId="77777777" w:rsidR="00053418" w:rsidRPr="009E06AA" w:rsidRDefault="00053418" w:rsidP="00FA728E">
            <w:pPr>
              <w:pStyle w:val="TableText"/>
              <w:keepNext/>
              <w:spacing w:before="40" w:after="40"/>
              <w:jc w:val="right"/>
            </w:pPr>
            <w:r w:rsidRPr="009E06AA">
              <w:rPr>
                <w:rFonts w:eastAsia="Calibri" w:cs="Calibri"/>
                <w:color w:val="000000"/>
                <w:szCs w:val="16"/>
              </w:rPr>
              <w:t>-2,295.4</w:t>
            </w:r>
          </w:p>
        </w:tc>
        <w:tc>
          <w:tcPr>
            <w:tcW w:w="851" w:type="dxa"/>
            <w:shd w:val="clear" w:color="auto" w:fill="FFFFFF"/>
            <w:tcMar>
              <w:top w:w="0" w:type="dxa"/>
              <w:left w:w="85" w:type="dxa"/>
              <w:bottom w:w="0" w:type="dxa"/>
              <w:right w:w="85" w:type="dxa"/>
            </w:tcMar>
            <w:vAlign w:val="center"/>
          </w:tcPr>
          <w:p w14:paraId="6D9D5C16" w14:textId="77777777" w:rsidR="00053418" w:rsidRPr="009E06AA" w:rsidRDefault="00053418" w:rsidP="00FA728E">
            <w:pPr>
              <w:pStyle w:val="TableText"/>
              <w:keepNext/>
              <w:spacing w:before="40" w:after="40"/>
              <w:jc w:val="right"/>
            </w:pPr>
            <w:r w:rsidRPr="009E06AA">
              <w:rPr>
                <w:rFonts w:eastAsia="Calibri" w:cs="Calibri"/>
                <w:color w:val="000000"/>
                <w:szCs w:val="16"/>
              </w:rPr>
              <w:t>-9,315.9</w:t>
            </w:r>
          </w:p>
        </w:tc>
        <w:tc>
          <w:tcPr>
            <w:tcW w:w="850" w:type="dxa"/>
            <w:shd w:val="clear" w:color="auto" w:fill="FFFFFF"/>
            <w:tcMar>
              <w:top w:w="0" w:type="dxa"/>
              <w:left w:w="85" w:type="dxa"/>
              <w:bottom w:w="0" w:type="dxa"/>
              <w:right w:w="85" w:type="dxa"/>
            </w:tcMar>
            <w:vAlign w:val="center"/>
          </w:tcPr>
          <w:p w14:paraId="48E2AB75" w14:textId="77777777" w:rsidR="00053418" w:rsidRPr="009E06AA" w:rsidRDefault="00053418" w:rsidP="00FA728E">
            <w:pPr>
              <w:pStyle w:val="TableText"/>
              <w:keepNext/>
              <w:spacing w:before="40" w:after="40"/>
              <w:jc w:val="right"/>
            </w:pPr>
            <w:r w:rsidRPr="009E06AA">
              <w:rPr>
                <w:rFonts w:eastAsia="Calibri" w:cs="Calibri"/>
                <w:color w:val="000000"/>
                <w:szCs w:val="16"/>
              </w:rPr>
              <w:t>-30,158.2</w:t>
            </w:r>
          </w:p>
        </w:tc>
        <w:tc>
          <w:tcPr>
            <w:tcW w:w="1701" w:type="dxa"/>
            <w:shd w:val="clear" w:color="auto" w:fill="FFFFFF"/>
            <w:tcMar>
              <w:top w:w="0" w:type="dxa"/>
              <w:left w:w="85" w:type="dxa"/>
              <w:bottom w:w="0" w:type="dxa"/>
              <w:right w:w="85" w:type="dxa"/>
            </w:tcMar>
            <w:vAlign w:val="center"/>
          </w:tcPr>
          <w:p w14:paraId="3AD87DE6" w14:textId="77777777" w:rsidR="00053418" w:rsidRPr="009E06AA" w:rsidRDefault="00053418" w:rsidP="00FA728E">
            <w:pPr>
              <w:pStyle w:val="TableText"/>
              <w:keepNext/>
              <w:spacing w:before="40" w:after="40"/>
              <w:jc w:val="right"/>
            </w:pPr>
            <w:r w:rsidRPr="009E06AA">
              <w:rPr>
                <w:rFonts w:eastAsia="Calibri" w:cs="Calibri"/>
                <w:color w:val="000000"/>
                <w:szCs w:val="16"/>
              </w:rPr>
              <w:t>110,580.0</w:t>
            </w:r>
          </w:p>
        </w:tc>
      </w:tr>
      <w:tr w:rsidR="00053418" w:rsidRPr="009E06AA" w14:paraId="5C3D1211" w14:textId="77777777" w:rsidTr="00B55F24">
        <w:tc>
          <w:tcPr>
            <w:tcW w:w="2383" w:type="dxa"/>
            <w:shd w:val="clear" w:color="auto" w:fill="FFFFFF"/>
            <w:tcMar>
              <w:top w:w="0" w:type="dxa"/>
              <w:left w:w="85" w:type="dxa"/>
              <w:bottom w:w="0" w:type="dxa"/>
              <w:right w:w="85" w:type="dxa"/>
            </w:tcMar>
            <w:vAlign w:val="center"/>
          </w:tcPr>
          <w:p w14:paraId="49510BFF" w14:textId="77777777" w:rsidR="00053418" w:rsidRPr="009E06AA" w:rsidRDefault="00053418" w:rsidP="00B55F24">
            <w:pPr>
              <w:pStyle w:val="TableText"/>
              <w:keepNext/>
              <w:spacing w:before="40" w:after="40"/>
            </w:pPr>
            <w:r w:rsidRPr="009E06AA">
              <w:rPr>
                <w:rFonts w:eastAsia="Calibri" w:cs="Calibri"/>
                <w:color w:val="000000"/>
                <w:szCs w:val="16"/>
              </w:rPr>
              <w:t>Grassland – low producing</w:t>
            </w:r>
          </w:p>
        </w:tc>
        <w:tc>
          <w:tcPr>
            <w:tcW w:w="1161" w:type="dxa"/>
            <w:shd w:val="clear" w:color="auto" w:fill="FFFFFF"/>
            <w:tcMar>
              <w:top w:w="0" w:type="dxa"/>
              <w:left w:w="85" w:type="dxa"/>
              <w:bottom w:w="0" w:type="dxa"/>
              <w:right w:w="85" w:type="dxa"/>
            </w:tcMar>
            <w:vAlign w:val="center"/>
          </w:tcPr>
          <w:p w14:paraId="454618FE" w14:textId="77777777" w:rsidR="00053418" w:rsidRPr="009E06AA" w:rsidRDefault="00053418" w:rsidP="00FA728E">
            <w:pPr>
              <w:pStyle w:val="TableText"/>
              <w:keepNext/>
              <w:spacing w:before="40" w:after="40"/>
              <w:jc w:val="right"/>
            </w:pPr>
            <w:r w:rsidRPr="009E06AA">
              <w:rPr>
                <w:rFonts w:eastAsia="Calibri" w:cs="Calibri"/>
                <w:color w:val="000000"/>
                <w:szCs w:val="16"/>
              </w:rPr>
              <w:t>-10,595.4</w:t>
            </w:r>
          </w:p>
        </w:tc>
        <w:tc>
          <w:tcPr>
            <w:tcW w:w="1559" w:type="dxa"/>
            <w:shd w:val="clear" w:color="auto" w:fill="FFFFFF"/>
            <w:tcMar>
              <w:top w:w="0" w:type="dxa"/>
              <w:left w:w="85" w:type="dxa"/>
              <w:bottom w:w="0" w:type="dxa"/>
              <w:right w:w="85" w:type="dxa"/>
            </w:tcMar>
            <w:vAlign w:val="center"/>
          </w:tcPr>
          <w:p w14:paraId="2D399C92" w14:textId="77777777" w:rsidR="00053418" w:rsidRPr="009E06AA" w:rsidRDefault="00053418" w:rsidP="00FA728E">
            <w:pPr>
              <w:pStyle w:val="TableText"/>
              <w:keepNext/>
              <w:spacing w:before="40" w:after="40"/>
              <w:jc w:val="right"/>
            </w:pPr>
            <w:r w:rsidRPr="009E06AA">
              <w:rPr>
                <w:rFonts w:eastAsia="Calibri" w:cs="Calibri"/>
                <w:color w:val="000000"/>
                <w:szCs w:val="16"/>
              </w:rPr>
              <w:t>-1,415.9</w:t>
            </w:r>
          </w:p>
        </w:tc>
        <w:tc>
          <w:tcPr>
            <w:tcW w:w="851" w:type="dxa"/>
            <w:shd w:val="clear" w:color="auto" w:fill="FFFFFF"/>
            <w:tcMar>
              <w:top w:w="0" w:type="dxa"/>
              <w:left w:w="85" w:type="dxa"/>
              <w:bottom w:w="0" w:type="dxa"/>
              <w:right w:w="85" w:type="dxa"/>
            </w:tcMar>
            <w:vAlign w:val="center"/>
          </w:tcPr>
          <w:p w14:paraId="16384DC8" w14:textId="77777777" w:rsidR="00053418" w:rsidRPr="009E06AA" w:rsidRDefault="00053418" w:rsidP="00FA728E">
            <w:pPr>
              <w:pStyle w:val="TableText"/>
              <w:keepNext/>
              <w:spacing w:before="40" w:after="40"/>
              <w:jc w:val="right"/>
            </w:pPr>
            <w:r w:rsidRPr="009E06AA">
              <w:rPr>
                <w:rFonts w:eastAsia="Calibri" w:cs="Calibri"/>
                <w:color w:val="000000"/>
                <w:szCs w:val="16"/>
              </w:rPr>
              <w:t>689.5</w:t>
            </w:r>
          </w:p>
        </w:tc>
        <w:tc>
          <w:tcPr>
            <w:tcW w:w="850" w:type="dxa"/>
            <w:shd w:val="clear" w:color="auto" w:fill="FFFFFF"/>
            <w:tcMar>
              <w:top w:w="0" w:type="dxa"/>
              <w:left w:w="85" w:type="dxa"/>
              <w:bottom w:w="0" w:type="dxa"/>
              <w:right w:w="85" w:type="dxa"/>
            </w:tcMar>
            <w:vAlign w:val="center"/>
          </w:tcPr>
          <w:p w14:paraId="090CA2BD" w14:textId="77777777" w:rsidR="00053418" w:rsidRPr="009E06AA" w:rsidRDefault="00053418" w:rsidP="00FA728E">
            <w:pPr>
              <w:pStyle w:val="TableText"/>
              <w:keepNext/>
              <w:spacing w:before="40" w:after="40"/>
              <w:jc w:val="right"/>
            </w:pPr>
            <w:r w:rsidRPr="009E06AA">
              <w:rPr>
                <w:rFonts w:eastAsia="Calibri" w:cs="Calibri"/>
                <w:color w:val="000000"/>
                <w:szCs w:val="16"/>
              </w:rPr>
              <w:t>-11,321.8</w:t>
            </w:r>
          </w:p>
        </w:tc>
        <w:tc>
          <w:tcPr>
            <w:tcW w:w="1701" w:type="dxa"/>
            <w:shd w:val="clear" w:color="auto" w:fill="FFFFFF"/>
            <w:tcMar>
              <w:top w:w="0" w:type="dxa"/>
              <w:left w:w="85" w:type="dxa"/>
              <w:bottom w:w="0" w:type="dxa"/>
              <w:right w:w="85" w:type="dxa"/>
            </w:tcMar>
            <w:vAlign w:val="center"/>
          </w:tcPr>
          <w:p w14:paraId="44CBDF29" w14:textId="77777777" w:rsidR="00053418" w:rsidRPr="009E06AA" w:rsidRDefault="00053418" w:rsidP="00FA728E">
            <w:pPr>
              <w:pStyle w:val="TableText"/>
              <w:keepNext/>
              <w:spacing w:before="40" w:after="40"/>
              <w:jc w:val="right"/>
            </w:pPr>
            <w:r w:rsidRPr="009E06AA">
              <w:rPr>
                <w:rFonts w:eastAsia="Calibri" w:cs="Calibri"/>
                <w:color w:val="000000"/>
                <w:szCs w:val="16"/>
              </w:rPr>
              <w:t>41,513.4</w:t>
            </w:r>
          </w:p>
        </w:tc>
      </w:tr>
      <w:tr w:rsidR="00053418" w:rsidRPr="009E06AA" w14:paraId="23D39711" w14:textId="77777777" w:rsidTr="00B55F24">
        <w:tc>
          <w:tcPr>
            <w:tcW w:w="2383" w:type="dxa"/>
            <w:shd w:val="clear" w:color="auto" w:fill="FFFFFF"/>
            <w:tcMar>
              <w:top w:w="0" w:type="dxa"/>
              <w:left w:w="85" w:type="dxa"/>
              <w:bottom w:w="0" w:type="dxa"/>
              <w:right w:w="85" w:type="dxa"/>
            </w:tcMar>
            <w:vAlign w:val="center"/>
          </w:tcPr>
          <w:p w14:paraId="2DEAFEC7" w14:textId="77777777" w:rsidR="00053418" w:rsidRPr="009E06AA" w:rsidRDefault="00053418" w:rsidP="00B55F24">
            <w:pPr>
              <w:pStyle w:val="TableText"/>
              <w:spacing w:before="40" w:after="40"/>
            </w:pPr>
            <w:r w:rsidRPr="009E06AA">
              <w:rPr>
                <w:rFonts w:eastAsia="Calibri" w:cs="Calibri"/>
                <w:color w:val="000000"/>
                <w:szCs w:val="16"/>
              </w:rPr>
              <w:t>Grassland – with woody biomass</w:t>
            </w:r>
          </w:p>
        </w:tc>
        <w:tc>
          <w:tcPr>
            <w:tcW w:w="1161" w:type="dxa"/>
            <w:shd w:val="clear" w:color="auto" w:fill="FFFFFF"/>
            <w:tcMar>
              <w:top w:w="0" w:type="dxa"/>
              <w:left w:w="85" w:type="dxa"/>
              <w:bottom w:w="0" w:type="dxa"/>
              <w:right w:w="85" w:type="dxa"/>
            </w:tcMar>
            <w:vAlign w:val="center"/>
          </w:tcPr>
          <w:p w14:paraId="2B3CE1A6" w14:textId="77777777" w:rsidR="00053418" w:rsidRPr="009E06AA" w:rsidRDefault="00053418" w:rsidP="00FA728E">
            <w:pPr>
              <w:pStyle w:val="TableText"/>
              <w:spacing w:before="40" w:after="40"/>
              <w:jc w:val="right"/>
            </w:pPr>
            <w:r w:rsidRPr="009E06AA">
              <w:rPr>
                <w:rFonts w:eastAsia="Calibri" w:cs="Calibri"/>
                <w:color w:val="000000"/>
                <w:szCs w:val="16"/>
              </w:rPr>
              <w:t>-3,667.0</w:t>
            </w:r>
          </w:p>
        </w:tc>
        <w:tc>
          <w:tcPr>
            <w:tcW w:w="1559" w:type="dxa"/>
            <w:shd w:val="clear" w:color="auto" w:fill="FFFFFF"/>
            <w:tcMar>
              <w:top w:w="0" w:type="dxa"/>
              <w:left w:w="85" w:type="dxa"/>
              <w:bottom w:w="0" w:type="dxa"/>
              <w:right w:w="85" w:type="dxa"/>
            </w:tcMar>
            <w:vAlign w:val="center"/>
          </w:tcPr>
          <w:p w14:paraId="59A97079" w14:textId="77777777" w:rsidR="00053418" w:rsidRPr="009E06AA" w:rsidRDefault="00053418" w:rsidP="00FA728E">
            <w:pPr>
              <w:pStyle w:val="TableText"/>
              <w:spacing w:before="40" w:after="40"/>
              <w:jc w:val="right"/>
            </w:pPr>
            <w:r w:rsidRPr="009E06AA">
              <w:rPr>
                <w:rFonts w:eastAsia="Calibri" w:cs="Calibri"/>
                <w:color w:val="000000"/>
                <w:szCs w:val="16"/>
              </w:rPr>
              <w:t>-641.4</w:t>
            </w:r>
          </w:p>
        </w:tc>
        <w:tc>
          <w:tcPr>
            <w:tcW w:w="851" w:type="dxa"/>
            <w:shd w:val="clear" w:color="auto" w:fill="FFFFFF"/>
            <w:tcMar>
              <w:top w:w="0" w:type="dxa"/>
              <w:left w:w="85" w:type="dxa"/>
              <w:bottom w:w="0" w:type="dxa"/>
              <w:right w:w="85" w:type="dxa"/>
            </w:tcMar>
            <w:vAlign w:val="center"/>
          </w:tcPr>
          <w:p w14:paraId="544CC39F" w14:textId="77777777" w:rsidR="00053418" w:rsidRPr="009E06AA" w:rsidRDefault="00053418" w:rsidP="00FA728E">
            <w:pPr>
              <w:pStyle w:val="TableText"/>
              <w:spacing w:before="40" w:after="40"/>
              <w:jc w:val="right"/>
            </w:pPr>
            <w:r w:rsidRPr="009E06AA">
              <w:rPr>
                <w:rFonts w:eastAsia="Calibri" w:cs="Calibri"/>
                <w:color w:val="000000"/>
                <w:szCs w:val="16"/>
              </w:rPr>
              <w:t>-944.0</w:t>
            </w:r>
          </w:p>
        </w:tc>
        <w:tc>
          <w:tcPr>
            <w:tcW w:w="850" w:type="dxa"/>
            <w:shd w:val="clear" w:color="auto" w:fill="FFFFFF"/>
            <w:tcMar>
              <w:top w:w="0" w:type="dxa"/>
              <w:left w:w="85" w:type="dxa"/>
              <w:bottom w:w="0" w:type="dxa"/>
              <w:right w:w="85" w:type="dxa"/>
            </w:tcMar>
            <w:vAlign w:val="center"/>
          </w:tcPr>
          <w:p w14:paraId="1FF999A8" w14:textId="77777777" w:rsidR="00053418" w:rsidRPr="009E06AA" w:rsidRDefault="00053418" w:rsidP="00FA728E">
            <w:pPr>
              <w:pStyle w:val="TableText"/>
              <w:spacing w:before="40" w:after="40"/>
              <w:jc w:val="right"/>
            </w:pPr>
            <w:r w:rsidRPr="009E06AA">
              <w:rPr>
                <w:rFonts w:eastAsia="Calibri" w:cs="Calibri"/>
                <w:color w:val="000000"/>
                <w:szCs w:val="16"/>
              </w:rPr>
              <w:t>-5,252.3</w:t>
            </w:r>
          </w:p>
        </w:tc>
        <w:tc>
          <w:tcPr>
            <w:tcW w:w="1701" w:type="dxa"/>
            <w:shd w:val="clear" w:color="auto" w:fill="FFFFFF"/>
            <w:tcMar>
              <w:top w:w="0" w:type="dxa"/>
              <w:left w:w="85" w:type="dxa"/>
              <w:bottom w:w="0" w:type="dxa"/>
              <w:right w:w="85" w:type="dxa"/>
            </w:tcMar>
            <w:vAlign w:val="center"/>
          </w:tcPr>
          <w:p w14:paraId="45889547" w14:textId="77777777" w:rsidR="00053418" w:rsidRPr="009E06AA" w:rsidRDefault="00053418" w:rsidP="00FA728E">
            <w:pPr>
              <w:pStyle w:val="TableText"/>
              <w:spacing w:before="40" w:after="40"/>
              <w:jc w:val="right"/>
            </w:pPr>
            <w:r w:rsidRPr="009E06AA">
              <w:rPr>
                <w:rFonts w:eastAsia="Calibri" w:cs="Calibri"/>
                <w:color w:val="000000"/>
                <w:szCs w:val="16"/>
              </w:rPr>
              <w:t>19,258.6</w:t>
            </w:r>
          </w:p>
        </w:tc>
      </w:tr>
      <w:tr w:rsidR="00053418" w:rsidRPr="009E06AA" w14:paraId="3E10F576" w14:textId="77777777" w:rsidTr="00B55F24">
        <w:tc>
          <w:tcPr>
            <w:tcW w:w="2383" w:type="dxa"/>
            <w:shd w:val="clear" w:color="auto" w:fill="FFFFFF"/>
            <w:tcMar>
              <w:top w:w="0" w:type="dxa"/>
              <w:left w:w="85" w:type="dxa"/>
              <w:bottom w:w="0" w:type="dxa"/>
              <w:right w:w="85" w:type="dxa"/>
            </w:tcMar>
            <w:vAlign w:val="center"/>
          </w:tcPr>
          <w:p w14:paraId="07572B97" w14:textId="77777777" w:rsidR="00053418" w:rsidRPr="009E06AA" w:rsidRDefault="00053418" w:rsidP="00B55F24">
            <w:pPr>
              <w:pStyle w:val="TableText"/>
              <w:spacing w:before="40" w:after="40"/>
            </w:pPr>
            <w:r w:rsidRPr="009E06AA">
              <w:rPr>
                <w:rFonts w:eastAsia="Calibri" w:cs="Calibri"/>
                <w:b/>
                <w:color w:val="1B556B"/>
                <w:szCs w:val="16"/>
              </w:rPr>
              <w:t>Total</w:t>
            </w:r>
          </w:p>
        </w:tc>
        <w:tc>
          <w:tcPr>
            <w:tcW w:w="1161" w:type="dxa"/>
            <w:shd w:val="clear" w:color="auto" w:fill="FFFFFF"/>
            <w:tcMar>
              <w:top w:w="0" w:type="dxa"/>
              <w:left w:w="85" w:type="dxa"/>
              <w:bottom w:w="0" w:type="dxa"/>
              <w:right w:w="85" w:type="dxa"/>
            </w:tcMar>
            <w:vAlign w:val="center"/>
          </w:tcPr>
          <w:p w14:paraId="362FED1D" w14:textId="77777777" w:rsidR="00053418" w:rsidRPr="009E06AA" w:rsidRDefault="00053418" w:rsidP="00FA728E">
            <w:pPr>
              <w:pStyle w:val="TableText"/>
              <w:spacing w:before="40" w:after="40"/>
              <w:jc w:val="right"/>
            </w:pPr>
            <w:r w:rsidRPr="009E06AA">
              <w:rPr>
                <w:rFonts w:eastAsia="Calibri" w:cs="Calibri"/>
                <w:b/>
                <w:color w:val="1B556B"/>
                <w:szCs w:val="16"/>
              </w:rPr>
              <w:t>-32,809.3</w:t>
            </w:r>
          </w:p>
        </w:tc>
        <w:tc>
          <w:tcPr>
            <w:tcW w:w="1559" w:type="dxa"/>
            <w:shd w:val="clear" w:color="auto" w:fill="FFFFFF"/>
            <w:tcMar>
              <w:top w:w="0" w:type="dxa"/>
              <w:left w:w="85" w:type="dxa"/>
              <w:bottom w:w="0" w:type="dxa"/>
              <w:right w:w="85" w:type="dxa"/>
            </w:tcMar>
            <w:vAlign w:val="center"/>
          </w:tcPr>
          <w:p w14:paraId="67A84048" w14:textId="77777777" w:rsidR="00053418" w:rsidRPr="009E06AA" w:rsidRDefault="00053418" w:rsidP="00FA728E">
            <w:pPr>
              <w:pStyle w:val="TableText"/>
              <w:spacing w:before="40" w:after="40"/>
              <w:jc w:val="right"/>
            </w:pPr>
            <w:r w:rsidRPr="009E06AA">
              <w:rPr>
                <w:rFonts w:eastAsia="Calibri" w:cs="Calibri"/>
                <w:b/>
                <w:color w:val="1B556B"/>
                <w:szCs w:val="16"/>
              </w:rPr>
              <w:t>-4,352.7</w:t>
            </w:r>
          </w:p>
        </w:tc>
        <w:tc>
          <w:tcPr>
            <w:tcW w:w="851" w:type="dxa"/>
            <w:shd w:val="clear" w:color="auto" w:fill="FFFFFF"/>
            <w:tcMar>
              <w:top w:w="0" w:type="dxa"/>
              <w:left w:w="85" w:type="dxa"/>
              <w:bottom w:w="0" w:type="dxa"/>
              <w:right w:w="85" w:type="dxa"/>
            </w:tcMar>
            <w:vAlign w:val="center"/>
          </w:tcPr>
          <w:p w14:paraId="3CB706B0" w14:textId="77777777" w:rsidR="00053418" w:rsidRPr="009E06AA" w:rsidRDefault="00053418" w:rsidP="00FA728E">
            <w:pPr>
              <w:pStyle w:val="TableText"/>
              <w:spacing w:before="40" w:after="40"/>
              <w:jc w:val="right"/>
            </w:pPr>
            <w:r w:rsidRPr="009E06AA">
              <w:rPr>
                <w:rFonts w:eastAsia="Calibri" w:cs="Calibri"/>
                <w:b/>
                <w:color w:val="1B556B"/>
                <w:szCs w:val="16"/>
              </w:rPr>
              <w:t>-9,570.4</w:t>
            </w:r>
          </w:p>
        </w:tc>
        <w:tc>
          <w:tcPr>
            <w:tcW w:w="850" w:type="dxa"/>
            <w:shd w:val="clear" w:color="auto" w:fill="FFFFFF"/>
            <w:tcMar>
              <w:top w:w="0" w:type="dxa"/>
              <w:left w:w="85" w:type="dxa"/>
              <w:bottom w:w="0" w:type="dxa"/>
              <w:right w:w="85" w:type="dxa"/>
            </w:tcMar>
            <w:vAlign w:val="center"/>
          </w:tcPr>
          <w:p w14:paraId="5488636E" w14:textId="77777777" w:rsidR="00053418" w:rsidRPr="009E06AA" w:rsidRDefault="00053418" w:rsidP="00FA728E">
            <w:pPr>
              <w:pStyle w:val="TableText"/>
              <w:spacing w:before="40" w:after="40"/>
              <w:jc w:val="right"/>
            </w:pPr>
            <w:r w:rsidRPr="009E06AA">
              <w:rPr>
                <w:rFonts w:eastAsia="Calibri" w:cs="Calibri"/>
                <w:b/>
                <w:color w:val="1B556B"/>
                <w:szCs w:val="16"/>
              </w:rPr>
              <w:t>-46,732.4</w:t>
            </w:r>
          </w:p>
        </w:tc>
        <w:tc>
          <w:tcPr>
            <w:tcW w:w="1701" w:type="dxa"/>
            <w:shd w:val="clear" w:color="auto" w:fill="FFFFFF"/>
            <w:tcMar>
              <w:top w:w="0" w:type="dxa"/>
              <w:left w:w="85" w:type="dxa"/>
              <w:bottom w:w="0" w:type="dxa"/>
              <w:right w:w="85" w:type="dxa"/>
            </w:tcMar>
            <w:vAlign w:val="center"/>
          </w:tcPr>
          <w:p w14:paraId="0F5B5678" w14:textId="77777777" w:rsidR="00053418" w:rsidRPr="009E06AA" w:rsidRDefault="00053418" w:rsidP="00FA728E">
            <w:pPr>
              <w:pStyle w:val="TableText"/>
              <w:spacing w:before="40" w:after="40"/>
              <w:jc w:val="right"/>
            </w:pPr>
            <w:r w:rsidRPr="009E06AA">
              <w:rPr>
                <w:rFonts w:eastAsia="Calibri" w:cs="Calibri"/>
                <w:b/>
                <w:color w:val="1B556B"/>
                <w:szCs w:val="16"/>
              </w:rPr>
              <w:t>171,352.0</w:t>
            </w:r>
          </w:p>
        </w:tc>
      </w:tr>
    </w:tbl>
    <w:p w14:paraId="2BA58EBA" w14:textId="77777777" w:rsidR="00053418" w:rsidRPr="009E06AA" w:rsidRDefault="00053418" w:rsidP="00053418">
      <w:pPr>
        <w:pStyle w:val="Noteundertable"/>
        <w:spacing w:after="0"/>
      </w:pPr>
      <w:r w:rsidRPr="009E06AA">
        <w:rPr>
          <w:b/>
          <w:bCs/>
        </w:rPr>
        <w:t>Note</w:t>
      </w:r>
      <w:r w:rsidRPr="009E06AA">
        <w:rPr>
          <w:b/>
        </w:rPr>
        <w:t>:</w:t>
      </w:r>
      <w:r w:rsidRPr="009E06AA">
        <w:tab/>
        <w:t>Columns may not total due to rounding.</w:t>
      </w:r>
    </w:p>
    <w:p w14:paraId="09614DC4" w14:textId="77777777" w:rsidR="00053418" w:rsidRPr="009E06AA" w:rsidRDefault="00053418" w:rsidP="00F8292C">
      <w:pPr>
        <w:pStyle w:val="Heading4"/>
      </w:pPr>
      <w:bookmarkStart w:id="2335" w:name="_Toc255466394"/>
      <w:bookmarkStart w:id="2336" w:name="_Toc261513201"/>
      <w:bookmarkStart w:id="2337" w:name="_Toc261513814"/>
      <w:bookmarkStart w:id="2338" w:name="_Toc280630286"/>
      <w:r w:rsidRPr="009E06AA">
        <w:t>Grassland remaining grassland</w:t>
      </w:r>
      <w:bookmarkEnd w:id="2335"/>
      <w:bookmarkEnd w:id="2336"/>
      <w:bookmarkEnd w:id="2337"/>
      <w:bookmarkEnd w:id="2338"/>
    </w:p>
    <w:p w14:paraId="74F103A9" w14:textId="77777777" w:rsidR="00053418" w:rsidRPr="009E06AA" w:rsidRDefault="00053418" w:rsidP="00053418">
      <w:pPr>
        <w:pStyle w:val="BodyText"/>
        <w:spacing w:before="100" w:after="100"/>
      </w:pPr>
      <w:r w:rsidRPr="009E06AA">
        <w:t xml:space="preserve">There were 14,130,540 hectares of </w:t>
      </w:r>
      <w:r w:rsidRPr="009E06AA">
        <w:rPr>
          <w:i/>
        </w:rPr>
        <w:t>Grassland remaining grassland</w:t>
      </w:r>
      <w:r w:rsidRPr="009E06AA">
        <w:t xml:space="preserve"> as at 2022, equivalent to 52.5 per cent of New Zealand’s total land area. </w:t>
      </w:r>
    </w:p>
    <w:p w14:paraId="5D2651B8" w14:textId="77777777" w:rsidR="00053418" w:rsidRPr="009E06AA" w:rsidRDefault="00053418" w:rsidP="00F8292C">
      <w:pPr>
        <w:pStyle w:val="Heading4"/>
      </w:pPr>
      <w:bookmarkStart w:id="2339" w:name="_Toc255466395"/>
      <w:bookmarkStart w:id="2340" w:name="_Toc261513202"/>
      <w:bookmarkStart w:id="2341" w:name="_Toc261513815"/>
      <w:bookmarkStart w:id="2342" w:name="_Toc280630287"/>
      <w:r w:rsidRPr="009E06AA">
        <w:t>Land converted to grassland</w:t>
      </w:r>
      <w:bookmarkEnd w:id="2339"/>
      <w:bookmarkEnd w:id="2340"/>
      <w:bookmarkEnd w:id="2341"/>
      <w:bookmarkEnd w:id="2342"/>
    </w:p>
    <w:p w14:paraId="2219EC44" w14:textId="77777777" w:rsidR="00053418" w:rsidRPr="009E06AA" w:rsidRDefault="00053418" w:rsidP="00053418">
      <w:pPr>
        <w:pStyle w:val="BodyText"/>
        <w:spacing w:before="100" w:after="100"/>
      </w:pPr>
      <w:r w:rsidRPr="009E06AA">
        <w:t xml:space="preserve">In 2022, an estimated 10,988 hectares of land were converted to </w:t>
      </w:r>
      <w:r w:rsidRPr="009E06AA">
        <w:rPr>
          <w:i/>
        </w:rPr>
        <w:t>Grassland</w:t>
      </w:r>
      <w:r w:rsidRPr="009E06AA">
        <w:t xml:space="preserve">, while 101,777 hectares of </w:t>
      </w:r>
      <w:r w:rsidRPr="009E06AA">
        <w:rPr>
          <w:i/>
        </w:rPr>
        <w:t>Grassland</w:t>
      </w:r>
      <w:r w:rsidRPr="009E06AA">
        <w:t xml:space="preserve"> were converted to other land use categories.</w:t>
      </w:r>
    </w:p>
    <w:p w14:paraId="5789C02C" w14:textId="77777777" w:rsidR="00053418" w:rsidRPr="009E06AA" w:rsidRDefault="00053418" w:rsidP="00053418">
      <w:pPr>
        <w:pStyle w:val="BodyText"/>
        <w:spacing w:before="100" w:after="100"/>
      </w:pPr>
      <w:r w:rsidRPr="009E06AA">
        <w:t xml:space="preserve">The majority (70.8 per cent) of </w:t>
      </w:r>
      <w:r w:rsidRPr="009E06AA">
        <w:rPr>
          <w:i/>
        </w:rPr>
        <w:t>Land converted to grassland</w:t>
      </w:r>
      <w:r w:rsidRPr="009E06AA">
        <w:t xml:space="preserve"> since 1 January 1990 is land that was previously </w:t>
      </w:r>
      <w:r w:rsidRPr="009E06AA">
        <w:rPr>
          <w:i/>
        </w:rPr>
        <w:t>Forest land</w:t>
      </w:r>
      <w:r w:rsidRPr="009E06AA">
        <w:t xml:space="preserve">. The 239,506 hectares of </w:t>
      </w:r>
      <w:r w:rsidRPr="009E06AA">
        <w:rPr>
          <w:i/>
        </w:rPr>
        <w:t>Forest land</w:t>
      </w:r>
      <w:r w:rsidRPr="009E06AA">
        <w:t xml:space="preserve"> converted to </w:t>
      </w:r>
      <w:r w:rsidRPr="009E06AA">
        <w:rPr>
          <w:i/>
        </w:rPr>
        <w:t>Grassland</w:t>
      </w:r>
      <w:r w:rsidRPr="009E06AA">
        <w:t xml:space="preserve"> since 1 January 1990 comprise an estimated 133,087 hectares of pre-1990 planted forest, 58,934 hectares of post-1989 planted forest, 46,001 hectares of pre-1990 natural forest and 1,484 hectares of post-1989 natural forest. For more information on deforestation, see annex A5.2.2. Land-use change of </w:t>
      </w:r>
      <w:r w:rsidRPr="009E06AA">
        <w:rPr>
          <w:i/>
        </w:rPr>
        <w:t>Forest land</w:t>
      </w:r>
      <w:r w:rsidRPr="009E06AA">
        <w:t xml:space="preserve"> to </w:t>
      </w:r>
      <w:r w:rsidRPr="009E06AA">
        <w:rPr>
          <w:i/>
        </w:rPr>
        <w:t xml:space="preserve">Grassland </w:t>
      </w:r>
      <w:r w:rsidRPr="009E06AA">
        <w:t>resulted in net emissions of 2,542.8 kt CO</w:t>
      </w:r>
      <w:r w:rsidRPr="009E06AA">
        <w:rPr>
          <w:vertAlign w:val="subscript"/>
        </w:rPr>
        <w:t xml:space="preserve">2 </w:t>
      </w:r>
      <w:r w:rsidRPr="009E06AA">
        <w:t>in 2022.</w:t>
      </w:r>
    </w:p>
    <w:p w14:paraId="5A9E3F29" w14:textId="77777777" w:rsidR="00053418" w:rsidRPr="009E06AA" w:rsidRDefault="00053418" w:rsidP="00053418">
      <w:pPr>
        <w:pStyle w:val="Heading3"/>
      </w:pPr>
      <w:bookmarkStart w:id="2343" w:name="_Toc139253971"/>
      <w:bookmarkStart w:id="2344" w:name="_Toc255466396"/>
      <w:bookmarkStart w:id="2345" w:name="_Toc261513203"/>
      <w:bookmarkStart w:id="2346" w:name="_Toc261513816"/>
      <w:bookmarkStart w:id="2347" w:name="_Toc280630288"/>
      <w:r w:rsidRPr="009E06AA">
        <w:t>6.6.2</w:t>
      </w:r>
      <w:r w:rsidRPr="009E06AA">
        <w:tab/>
        <w:t>Methodological issues</w:t>
      </w:r>
      <w:bookmarkEnd w:id="2343"/>
      <w:bookmarkEnd w:id="2344"/>
      <w:bookmarkEnd w:id="2345"/>
      <w:bookmarkEnd w:id="2346"/>
      <w:bookmarkEnd w:id="2347"/>
    </w:p>
    <w:p w14:paraId="03E9E64F" w14:textId="6A28125C" w:rsidR="00053418" w:rsidRPr="009E06AA" w:rsidRDefault="00053418" w:rsidP="00053418">
      <w:pPr>
        <w:pStyle w:val="BodyText"/>
        <w:spacing w:before="100" w:after="100"/>
        <w:rPr>
          <w:spacing w:val="-2"/>
        </w:rPr>
      </w:pPr>
      <w:r w:rsidRPr="009E06AA">
        <w:t xml:space="preserve">Emissions and removals from living biomass and dead organic matter have been calculated using a combination of IPCC Tier 1 emission factors and country-specific factors (see table 6.6.4). Emissions and removals from mineral soils are estimated using a </w:t>
      </w:r>
      <w:r w:rsidRPr="009E06AA">
        <w:rPr>
          <w:spacing w:val="-2"/>
        </w:rPr>
        <w:t>Tier 2 method,</w:t>
      </w:r>
      <w:r w:rsidR="00560019" w:rsidRPr="009E06AA">
        <w:rPr>
          <w:spacing w:val="-2"/>
        </w:rPr>
        <w:t xml:space="preserve"> </w:t>
      </w:r>
      <w:r w:rsidRPr="009E06AA">
        <w:rPr>
          <w:spacing w:val="-2"/>
        </w:rPr>
        <w:t xml:space="preserve">whereas organic soils are estimated using a Tier 1 method (see annex A5.2.4). </w:t>
      </w:r>
    </w:p>
    <w:p w14:paraId="3F351315" w14:textId="77777777" w:rsidR="00053418" w:rsidRPr="009E06AA" w:rsidRDefault="00053418" w:rsidP="00053418">
      <w:pPr>
        <w:pStyle w:val="Table"/>
      </w:pPr>
      <w:bookmarkStart w:id="2348" w:name="_Toc310423425"/>
      <w:bookmarkStart w:id="2349" w:name="_Toc318362718"/>
      <w:bookmarkStart w:id="2350" w:name="_Toc342470780"/>
      <w:bookmarkStart w:id="2351" w:name="_Toc352505020"/>
      <w:bookmarkStart w:id="2352" w:name="_Toc378853309"/>
      <w:bookmarkStart w:id="2353" w:name="_Toc391024107"/>
      <w:bookmarkStart w:id="2354" w:name="_Toc410028850"/>
      <w:bookmarkStart w:id="2355" w:name="_Toc414531478"/>
      <w:bookmarkStart w:id="2356" w:name="_Toc443645391"/>
      <w:bookmarkStart w:id="2357" w:name="_Toc474914610"/>
      <w:bookmarkStart w:id="2358" w:name="_Toc481751574"/>
      <w:bookmarkStart w:id="2359" w:name="_Toc522010631"/>
      <w:bookmarkStart w:id="2360" w:name="_Toc5269536"/>
      <w:bookmarkStart w:id="2361" w:name="_Toc33529410"/>
      <w:bookmarkStart w:id="2362" w:name="_Toc36224616"/>
      <w:bookmarkStart w:id="2363" w:name="_Toc131591411"/>
      <w:bookmarkStart w:id="2364" w:name="_Toc158979969"/>
      <w:bookmarkStart w:id="2365" w:name="_Toc164153902"/>
      <w:bookmarkStart w:id="2366" w:name="_Toc255466397"/>
      <w:bookmarkStart w:id="2367" w:name="_Toc261513204"/>
      <w:bookmarkStart w:id="2368" w:name="_Toc261513817"/>
      <w:r w:rsidRPr="009E06AA">
        <w:t>Table 6.6.4</w:t>
      </w:r>
      <w:r w:rsidRPr="009E06AA">
        <w:tab/>
        <w:t xml:space="preserve">Summary of New Zealand’s biomass emission factors for </w:t>
      </w:r>
      <w:r w:rsidRPr="009E06AA">
        <w:rPr>
          <w:i/>
        </w:rPr>
        <w:t>Grassland</w:t>
      </w:r>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p>
    <w:tbl>
      <w:tblPr>
        <w:tblW w:w="8505" w:type="dxa"/>
        <w:tblLook w:val="04A0" w:firstRow="1" w:lastRow="0" w:firstColumn="1" w:lastColumn="0" w:noHBand="0" w:noVBand="1"/>
      </w:tblPr>
      <w:tblGrid>
        <w:gridCol w:w="1246"/>
        <w:gridCol w:w="1731"/>
        <w:gridCol w:w="1276"/>
        <w:gridCol w:w="1276"/>
        <w:gridCol w:w="1275"/>
        <w:gridCol w:w="1701"/>
      </w:tblGrid>
      <w:tr w:rsidR="00053418" w:rsidRPr="009E06AA" w14:paraId="4DB7F4D8" w14:textId="77777777" w:rsidTr="00B55F24">
        <w:trPr>
          <w:trHeight w:val="20"/>
          <w:tblHeader/>
        </w:trPr>
        <w:tc>
          <w:tcPr>
            <w:tcW w:w="1246" w:type="dxa"/>
            <w:tcBorders>
              <w:top w:val="single" w:sz="4" w:space="0" w:color="1B556B"/>
              <w:bottom w:val="single" w:sz="4" w:space="0" w:color="1B556B"/>
            </w:tcBorders>
            <w:shd w:val="clear" w:color="auto" w:fill="1B556B" w:themeFill="text2"/>
            <w:vAlign w:val="bottom"/>
          </w:tcPr>
          <w:p w14:paraId="7229D0D0" w14:textId="77777777" w:rsidR="00053418" w:rsidRPr="009E06AA" w:rsidRDefault="00053418" w:rsidP="00B55F24">
            <w:pPr>
              <w:pStyle w:val="TableTextBold"/>
              <w:keepNext/>
              <w:spacing w:before="30" w:after="30"/>
              <w:rPr>
                <w:rFonts w:cs="Calibri"/>
                <w:noProof w:val="0"/>
                <w:color w:val="FFFFFF"/>
                <w:szCs w:val="16"/>
              </w:rPr>
            </w:pPr>
            <w:r w:rsidRPr="009E06AA">
              <w:rPr>
                <w:rFonts w:cs="Calibri"/>
                <w:noProof w:val="0"/>
                <w:color w:val="FFFFFF"/>
                <w:szCs w:val="16"/>
              </w:rPr>
              <w:t>Land use</w:t>
            </w:r>
          </w:p>
        </w:tc>
        <w:tc>
          <w:tcPr>
            <w:tcW w:w="1731" w:type="dxa"/>
            <w:tcBorders>
              <w:top w:val="single" w:sz="4" w:space="0" w:color="1B556B"/>
              <w:bottom w:val="single" w:sz="4" w:space="0" w:color="1B556B"/>
            </w:tcBorders>
            <w:shd w:val="clear" w:color="auto" w:fill="1B556B" w:themeFill="text2"/>
            <w:vAlign w:val="bottom"/>
          </w:tcPr>
          <w:p w14:paraId="493CA0A4" w14:textId="77777777" w:rsidR="00053418" w:rsidRPr="009E06AA" w:rsidRDefault="00053418" w:rsidP="00B55F24">
            <w:pPr>
              <w:pStyle w:val="TableTextBold"/>
              <w:spacing w:before="30" w:after="30"/>
              <w:rPr>
                <w:rFonts w:cs="Calibri"/>
                <w:noProof w:val="0"/>
                <w:color w:val="FFFFFF"/>
                <w:szCs w:val="16"/>
              </w:rPr>
            </w:pPr>
            <w:r w:rsidRPr="009E06AA">
              <w:rPr>
                <w:rFonts w:cs="Calibri"/>
                <w:noProof w:val="0"/>
                <w:color w:val="FFFFFF"/>
                <w:szCs w:val="16"/>
              </w:rPr>
              <w:t>Carbon pool</w:t>
            </w:r>
          </w:p>
        </w:tc>
        <w:tc>
          <w:tcPr>
            <w:tcW w:w="1276" w:type="dxa"/>
            <w:tcBorders>
              <w:top w:val="single" w:sz="4" w:space="0" w:color="1B556B"/>
              <w:bottom w:val="single" w:sz="4" w:space="0" w:color="1B556B"/>
            </w:tcBorders>
            <w:shd w:val="clear" w:color="auto" w:fill="1B556B" w:themeFill="text2"/>
            <w:vAlign w:val="bottom"/>
          </w:tcPr>
          <w:p w14:paraId="35EB8EC4" w14:textId="77777777" w:rsidR="00053418" w:rsidRPr="009E06AA" w:rsidRDefault="00053418" w:rsidP="00FA728E">
            <w:pPr>
              <w:pStyle w:val="TableTextBold"/>
              <w:spacing w:before="30" w:after="30"/>
              <w:jc w:val="right"/>
              <w:rPr>
                <w:rFonts w:cs="Calibri"/>
                <w:noProof w:val="0"/>
                <w:color w:val="FFFFFF"/>
                <w:szCs w:val="16"/>
              </w:rPr>
            </w:pPr>
            <w:r w:rsidRPr="009E06AA">
              <w:rPr>
                <w:rFonts w:cs="Calibri"/>
                <w:noProof w:val="0"/>
                <w:color w:val="FFFFFF"/>
                <w:szCs w:val="16"/>
              </w:rPr>
              <w:t>Steady state carbon stock</w:t>
            </w:r>
            <w:r w:rsidRPr="009E06AA">
              <w:rPr>
                <w:rFonts w:cs="Calibri"/>
                <w:noProof w:val="0"/>
                <w:color w:val="FFFFFF"/>
                <w:szCs w:val="16"/>
              </w:rPr>
              <w:br/>
              <w:t>(t C ha</w:t>
            </w:r>
            <w:r w:rsidRPr="009E06AA">
              <w:rPr>
                <w:rFonts w:cs="Calibri"/>
                <w:noProof w:val="0"/>
                <w:color w:val="FFFFFF"/>
                <w:szCs w:val="16"/>
                <w:vertAlign w:val="superscript"/>
              </w:rPr>
              <w:t>–1</w:t>
            </w:r>
            <w:r w:rsidRPr="009E06AA">
              <w:rPr>
                <w:rFonts w:cs="Calibri"/>
                <w:noProof w:val="0"/>
                <w:color w:val="FFFFFF"/>
                <w:szCs w:val="16"/>
              </w:rPr>
              <w:t>)</w:t>
            </w:r>
          </w:p>
        </w:tc>
        <w:tc>
          <w:tcPr>
            <w:tcW w:w="1276" w:type="dxa"/>
            <w:tcBorders>
              <w:top w:val="single" w:sz="4" w:space="0" w:color="1B556B"/>
              <w:bottom w:val="single" w:sz="4" w:space="0" w:color="1B556B"/>
            </w:tcBorders>
            <w:shd w:val="clear" w:color="auto" w:fill="1B556B" w:themeFill="text2"/>
            <w:vAlign w:val="bottom"/>
          </w:tcPr>
          <w:p w14:paraId="28D0D138" w14:textId="77777777" w:rsidR="00053418" w:rsidRPr="009E06AA" w:rsidRDefault="00053418" w:rsidP="00FA728E">
            <w:pPr>
              <w:pStyle w:val="TableTextBold"/>
              <w:spacing w:before="30" w:after="30"/>
              <w:jc w:val="right"/>
              <w:rPr>
                <w:rFonts w:cs="Calibri"/>
                <w:noProof w:val="0"/>
                <w:color w:val="FFFFFF"/>
                <w:szCs w:val="16"/>
              </w:rPr>
            </w:pPr>
            <w:r w:rsidRPr="009E06AA">
              <w:rPr>
                <w:rFonts w:cs="Calibri"/>
                <w:noProof w:val="0"/>
                <w:color w:val="FFFFFF"/>
                <w:szCs w:val="16"/>
              </w:rPr>
              <w:t xml:space="preserve">Annual carbon accumulation </w:t>
            </w:r>
            <w:r w:rsidRPr="009E06AA">
              <w:rPr>
                <w:rFonts w:cs="Calibri"/>
                <w:noProof w:val="0"/>
                <w:color w:val="FFFFFF"/>
                <w:szCs w:val="16"/>
              </w:rPr>
              <w:br/>
              <w:t>(t C ha</w:t>
            </w:r>
            <w:r w:rsidRPr="009E06AA">
              <w:rPr>
                <w:rFonts w:cs="Calibri"/>
                <w:noProof w:val="0"/>
                <w:color w:val="FFFFFF"/>
                <w:szCs w:val="16"/>
                <w:vertAlign w:val="superscript"/>
              </w:rPr>
              <w:t>–1</w:t>
            </w:r>
            <w:r w:rsidRPr="009E06AA">
              <w:rPr>
                <w:rFonts w:cs="Calibri"/>
                <w:noProof w:val="0"/>
                <w:color w:val="FFFFFF"/>
                <w:szCs w:val="16"/>
              </w:rPr>
              <w:t>)</w:t>
            </w:r>
          </w:p>
        </w:tc>
        <w:tc>
          <w:tcPr>
            <w:tcW w:w="1275" w:type="dxa"/>
            <w:tcBorders>
              <w:top w:val="single" w:sz="4" w:space="0" w:color="1B556B"/>
              <w:bottom w:val="single" w:sz="4" w:space="0" w:color="1B556B"/>
            </w:tcBorders>
            <w:shd w:val="clear" w:color="auto" w:fill="1B556B" w:themeFill="text2"/>
            <w:vAlign w:val="bottom"/>
          </w:tcPr>
          <w:p w14:paraId="6DF706EA" w14:textId="77777777" w:rsidR="00053418" w:rsidRPr="009E06AA" w:rsidRDefault="00053418" w:rsidP="00FA728E">
            <w:pPr>
              <w:pStyle w:val="TableTextBold"/>
              <w:spacing w:before="30" w:after="30"/>
              <w:jc w:val="right"/>
              <w:rPr>
                <w:rFonts w:cs="Calibri"/>
                <w:noProof w:val="0"/>
                <w:color w:val="FFFFFF"/>
                <w:szCs w:val="16"/>
              </w:rPr>
            </w:pPr>
            <w:r w:rsidRPr="009E06AA">
              <w:rPr>
                <w:rFonts w:cs="Calibri"/>
                <w:noProof w:val="0"/>
                <w:color w:val="FFFFFF"/>
                <w:szCs w:val="16"/>
              </w:rPr>
              <w:t>Years to reach steady state</w:t>
            </w:r>
          </w:p>
        </w:tc>
        <w:tc>
          <w:tcPr>
            <w:tcW w:w="1701" w:type="dxa"/>
            <w:tcBorders>
              <w:top w:val="single" w:sz="4" w:space="0" w:color="1B556B"/>
              <w:bottom w:val="single" w:sz="4" w:space="0" w:color="1B556B"/>
            </w:tcBorders>
            <w:shd w:val="clear" w:color="auto" w:fill="1B556B" w:themeFill="text2"/>
            <w:vAlign w:val="bottom"/>
          </w:tcPr>
          <w:p w14:paraId="38D13A57" w14:textId="77777777" w:rsidR="00053418" w:rsidRPr="009E06AA" w:rsidRDefault="00053418" w:rsidP="00B55F24">
            <w:pPr>
              <w:pStyle w:val="TableTextBold"/>
              <w:spacing w:before="30" w:after="30"/>
              <w:rPr>
                <w:rFonts w:cs="Calibri"/>
                <w:noProof w:val="0"/>
                <w:color w:val="FFFFFF"/>
                <w:szCs w:val="16"/>
              </w:rPr>
            </w:pPr>
            <w:r w:rsidRPr="009E06AA">
              <w:rPr>
                <w:rFonts w:cs="Calibri"/>
                <w:noProof w:val="0"/>
                <w:color w:val="FFFFFF"/>
                <w:szCs w:val="16"/>
              </w:rPr>
              <w:t>Source</w:t>
            </w:r>
          </w:p>
        </w:tc>
      </w:tr>
      <w:tr w:rsidR="00053418" w:rsidRPr="009E06AA" w14:paraId="214DD631" w14:textId="77777777" w:rsidTr="00B55F24">
        <w:trPr>
          <w:trHeight w:val="20"/>
        </w:trPr>
        <w:tc>
          <w:tcPr>
            <w:tcW w:w="1246" w:type="dxa"/>
            <w:vMerge w:val="restart"/>
            <w:tcBorders>
              <w:top w:val="single" w:sz="4" w:space="0" w:color="1B556B"/>
            </w:tcBorders>
          </w:tcPr>
          <w:p w14:paraId="2538E91F" w14:textId="77777777" w:rsidR="00053418" w:rsidRPr="009E06AA" w:rsidRDefault="00053418" w:rsidP="00B55F24">
            <w:pPr>
              <w:pStyle w:val="TableText"/>
              <w:spacing w:before="30" w:after="30"/>
              <w:rPr>
                <w:rFonts w:cs="Calibri"/>
                <w:szCs w:val="16"/>
              </w:rPr>
            </w:pPr>
            <w:r w:rsidRPr="009E06AA">
              <w:rPr>
                <w:rFonts w:cs="Calibri"/>
                <w:szCs w:val="16"/>
              </w:rPr>
              <w:t>High producing</w:t>
            </w:r>
          </w:p>
        </w:tc>
        <w:tc>
          <w:tcPr>
            <w:tcW w:w="1731" w:type="dxa"/>
            <w:tcBorders>
              <w:top w:val="single" w:sz="4" w:space="0" w:color="1B556B"/>
              <w:bottom w:val="single" w:sz="4" w:space="0" w:color="1B556B"/>
            </w:tcBorders>
          </w:tcPr>
          <w:p w14:paraId="13541E42" w14:textId="77777777" w:rsidR="00053418" w:rsidRPr="009E06AA" w:rsidRDefault="00053418" w:rsidP="00B55F24">
            <w:pPr>
              <w:pStyle w:val="TableText"/>
              <w:spacing w:before="30" w:after="30"/>
              <w:rPr>
                <w:rFonts w:cs="Calibri"/>
                <w:b/>
                <w:szCs w:val="16"/>
              </w:rPr>
            </w:pPr>
            <w:r w:rsidRPr="009E06AA">
              <w:rPr>
                <w:rFonts w:cs="Calibri"/>
                <w:b/>
                <w:szCs w:val="16"/>
              </w:rPr>
              <w:t>Total biomass</w:t>
            </w:r>
          </w:p>
        </w:tc>
        <w:tc>
          <w:tcPr>
            <w:tcW w:w="1276" w:type="dxa"/>
            <w:tcBorders>
              <w:top w:val="single" w:sz="4" w:space="0" w:color="1B556B"/>
              <w:bottom w:val="single" w:sz="4" w:space="0" w:color="1B556B"/>
            </w:tcBorders>
          </w:tcPr>
          <w:p w14:paraId="1D199535" w14:textId="77777777" w:rsidR="00053418" w:rsidRPr="009E06AA" w:rsidRDefault="00053418" w:rsidP="00FA728E">
            <w:pPr>
              <w:pStyle w:val="TableText"/>
              <w:spacing w:before="30" w:after="30"/>
              <w:jc w:val="right"/>
              <w:rPr>
                <w:rFonts w:cs="Calibri"/>
                <w:b/>
                <w:szCs w:val="16"/>
              </w:rPr>
            </w:pPr>
            <w:r w:rsidRPr="009E06AA">
              <w:rPr>
                <w:rFonts w:cs="Calibri"/>
                <w:b/>
                <w:szCs w:val="16"/>
              </w:rPr>
              <w:t>6.345</w:t>
            </w:r>
          </w:p>
        </w:tc>
        <w:tc>
          <w:tcPr>
            <w:tcW w:w="1276" w:type="dxa"/>
            <w:tcBorders>
              <w:top w:val="single" w:sz="4" w:space="0" w:color="1B556B"/>
              <w:bottom w:val="single" w:sz="4" w:space="0" w:color="1B556B"/>
            </w:tcBorders>
          </w:tcPr>
          <w:p w14:paraId="797DD3D0" w14:textId="77777777" w:rsidR="00053418" w:rsidRPr="009E06AA" w:rsidRDefault="00053418" w:rsidP="00FA728E">
            <w:pPr>
              <w:pStyle w:val="TableText"/>
              <w:spacing w:before="30" w:after="30"/>
              <w:jc w:val="right"/>
              <w:rPr>
                <w:rFonts w:cs="Calibri"/>
                <w:b/>
                <w:szCs w:val="16"/>
              </w:rPr>
            </w:pPr>
            <w:r w:rsidRPr="009E06AA">
              <w:rPr>
                <w:rFonts w:cs="Calibri"/>
                <w:b/>
                <w:szCs w:val="16"/>
              </w:rPr>
              <w:t>6.345</w:t>
            </w:r>
          </w:p>
        </w:tc>
        <w:tc>
          <w:tcPr>
            <w:tcW w:w="1275" w:type="dxa"/>
            <w:tcBorders>
              <w:top w:val="single" w:sz="4" w:space="0" w:color="1B556B"/>
              <w:bottom w:val="single" w:sz="4" w:space="0" w:color="1B556B"/>
            </w:tcBorders>
          </w:tcPr>
          <w:p w14:paraId="6B33D04A" w14:textId="77777777" w:rsidR="00053418" w:rsidRPr="009E06AA" w:rsidRDefault="00053418" w:rsidP="00FA728E">
            <w:pPr>
              <w:pStyle w:val="TableText"/>
              <w:spacing w:before="30" w:after="30"/>
              <w:jc w:val="right"/>
              <w:rPr>
                <w:rFonts w:cs="Calibri"/>
                <w:b/>
                <w:szCs w:val="16"/>
              </w:rPr>
            </w:pPr>
            <w:r w:rsidRPr="009E06AA">
              <w:rPr>
                <w:rFonts w:cs="Calibri"/>
                <w:b/>
                <w:szCs w:val="16"/>
              </w:rPr>
              <w:t>1</w:t>
            </w:r>
          </w:p>
        </w:tc>
        <w:tc>
          <w:tcPr>
            <w:tcW w:w="1701" w:type="dxa"/>
            <w:vMerge w:val="restart"/>
            <w:tcBorders>
              <w:top w:val="single" w:sz="4" w:space="0" w:color="1B556B"/>
              <w:bottom w:val="single" w:sz="4" w:space="0" w:color="365F91"/>
            </w:tcBorders>
          </w:tcPr>
          <w:p w14:paraId="3DCA9F4B" w14:textId="77777777" w:rsidR="00053418" w:rsidRPr="009E06AA" w:rsidRDefault="00053418" w:rsidP="00B55F24">
            <w:pPr>
              <w:pStyle w:val="TableText"/>
              <w:spacing w:before="30" w:after="30"/>
              <w:rPr>
                <w:rFonts w:cs="Calibri"/>
                <w:szCs w:val="16"/>
              </w:rPr>
            </w:pPr>
            <w:r w:rsidRPr="009E06AA">
              <w:rPr>
                <w:rFonts w:cs="Calibri"/>
                <w:szCs w:val="16"/>
              </w:rPr>
              <w:t>IPCC (2006a), table 6.4</w:t>
            </w:r>
          </w:p>
        </w:tc>
      </w:tr>
      <w:tr w:rsidR="00053418" w:rsidRPr="009E06AA" w14:paraId="5BB72540" w14:textId="77777777" w:rsidTr="00B55F24">
        <w:trPr>
          <w:trHeight w:val="20"/>
        </w:trPr>
        <w:tc>
          <w:tcPr>
            <w:tcW w:w="1246" w:type="dxa"/>
            <w:vMerge/>
          </w:tcPr>
          <w:p w14:paraId="421ED664" w14:textId="77777777" w:rsidR="00053418" w:rsidRPr="009E06AA" w:rsidRDefault="00053418" w:rsidP="00B55F24">
            <w:pPr>
              <w:pStyle w:val="TableText"/>
              <w:spacing w:before="30" w:after="30"/>
              <w:rPr>
                <w:rFonts w:cs="Calibri"/>
                <w:szCs w:val="16"/>
              </w:rPr>
            </w:pPr>
          </w:p>
        </w:tc>
        <w:tc>
          <w:tcPr>
            <w:tcW w:w="1731" w:type="dxa"/>
            <w:tcBorders>
              <w:top w:val="single" w:sz="4" w:space="0" w:color="1B556B"/>
              <w:bottom w:val="single" w:sz="4" w:space="0" w:color="1B556B"/>
            </w:tcBorders>
          </w:tcPr>
          <w:p w14:paraId="341383D5" w14:textId="77777777" w:rsidR="00053418" w:rsidRPr="009E06AA" w:rsidRDefault="00053418" w:rsidP="00B55F24">
            <w:pPr>
              <w:pStyle w:val="TableText"/>
              <w:spacing w:before="30" w:after="30"/>
              <w:rPr>
                <w:rFonts w:cs="Calibri"/>
                <w:i/>
                <w:szCs w:val="16"/>
              </w:rPr>
            </w:pPr>
            <w:r w:rsidRPr="009E06AA">
              <w:rPr>
                <w:rFonts w:cs="Calibri"/>
                <w:i/>
                <w:szCs w:val="16"/>
              </w:rPr>
              <w:t>Living biomass</w:t>
            </w:r>
          </w:p>
        </w:tc>
        <w:tc>
          <w:tcPr>
            <w:tcW w:w="1276" w:type="dxa"/>
            <w:tcBorders>
              <w:top w:val="single" w:sz="4" w:space="0" w:color="1B556B"/>
              <w:bottom w:val="single" w:sz="4" w:space="0" w:color="1B556B"/>
            </w:tcBorders>
          </w:tcPr>
          <w:p w14:paraId="6BB5637C" w14:textId="77777777" w:rsidR="00053418" w:rsidRPr="009E06AA" w:rsidRDefault="00053418" w:rsidP="00FA728E">
            <w:pPr>
              <w:pStyle w:val="TableText"/>
              <w:spacing w:before="30" w:after="30"/>
              <w:jc w:val="right"/>
              <w:rPr>
                <w:rFonts w:cs="Calibri"/>
                <w:szCs w:val="16"/>
              </w:rPr>
            </w:pPr>
          </w:p>
        </w:tc>
        <w:tc>
          <w:tcPr>
            <w:tcW w:w="1276" w:type="dxa"/>
            <w:tcBorders>
              <w:top w:val="single" w:sz="4" w:space="0" w:color="1B556B"/>
              <w:bottom w:val="single" w:sz="4" w:space="0" w:color="1B556B"/>
            </w:tcBorders>
          </w:tcPr>
          <w:p w14:paraId="28B67579" w14:textId="77777777" w:rsidR="00053418" w:rsidRPr="009E06AA" w:rsidRDefault="00053418" w:rsidP="00FA728E">
            <w:pPr>
              <w:pStyle w:val="TableText"/>
              <w:spacing w:before="30" w:after="30"/>
              <w:jc w:val="right"/>
              <w:rPr>
                <w:rFonts w:cs="Calibri"/>
                <w:szCs w:val="16"/>
              </w:rPr>
            </w:pPr>
          </w:p>
        </w:tc>
        <w:tc>
          <w:tcPr>
            <w:tcW w:w="1275" w:type="dxa"/>
            <w:tcBorders>
              <w:top w:val="single" w:sz="4" w:space="0" w:color="1B556B"/>
              <w:bottom w:val="single" w:sz="4" w:space="0" w:color="1B556B"/>
            </w:tcBorders>
          </w:tcPr>
          <w:p w14:paraId="7AC56C4F" w14:textId="77777777" w:rsidR="00053418" w:rsidRPr="009E06AA" w:rsidRDefault="00053418" w:rsidP="00FA728E">
            <w:pPr>
              <w:pStyle w:val="TableText"/>
              <w:spacing w:before="30" w:after="30"/>
              <w:jc w:val="right"/>
              <w:rPr>
                <w:rFonts w:cs="Calibri"/>
                <w:szCs w:val="16"/>
              </w:rPr>
            </w:pPr>
          </w:p>
        </w:tc>
        <w:tc>
          <w:tcPr>
            <w:tcW w:w="1701" w:type="dxa"/>
            <w:vMerge/>
          </w:tcPr>
          <w:p w14:paraId="02D90C3D" w14:textId="77777777" w:rsidR="00053418" w:rsidRPr="009E06AA" w:rsidRDefault="00053418" w:rsidP="00B55F24">
            <w:pPr>
              <w:pStyle w:val="TableText"/>
              <w:spacing w:before="30" w:after="30"/>
              <w:rPr>
                <w:rFonts w:cs="Calibri"/>
                <w:szCs w:val="16"/>
              </w:rPr>
            </w:pPr>
          </w:p>
        </w:tc>
      </w:tr>
      <w:tr w:rsidR="00053418" w:rsidRPr="009E06AA" w14:paraId="38D415C0" w14:textId="77777777" w:rsidTr="00B55F24">
        <w:trPr>
          <w:trHeight w:val="20"/>
        </w:trPr>
        <w:tc>
          <w:tcPr>
            <w:tcW w:w="1246" w:type="dxa"/>
            <w:vMerge/>
          </w:tcPr>
          <w:p w14:paraId="1C1CDEB9" w14:textId="77777777" w:rsidR="00053418" w:rsidRPr="009E06AA" w:rsidRDefault="00053418" w:rsidP="00B55F24">
            <w:pPr>
              <w:pStyle w:val="TableText"/>
              <w:spacing w:before="30" w:after="30"/>
              <w:rPr>
                <w:rFonts w:cs="Calibri"/>
                <w:szCs w:val="16"/>
              </w:rPr>
            </w:pPr>
          </w:p>
        </w:tc>
        <w:tc>
          <w:tcPr>
            <w:tcW w:w="1731" w:type="dxa"/>
            <w:tcBorders>
              <w:top w:val="single" w:sz="4" w:space="0" w:color="1B556B"/>
              <w:bottom w:val="single" w:sz="4" w:space="0" w:color="1B556B"/>
            </w:tcBorders>
          </w:tcPr>
          <w:p w14:paraId="1A991ADA" w14:textId="77777777" w:rsidR="00053418" w:rsidRPr="009E06AA" w:rsidRDefault="00053418" w:rsidP="00B55F24">
            <w:pPr>
              <w:pStyle w:val="TableText"/>
              <w:spacing w:before="30" w:after="30"/>
              <w:rPr>
                <w:rFonts w:cs="Calibri"/>
                <w:szCs w:val="16"/>
              </w:rPr>
            </w:pPr>
            <w:r w:rsidRPr="009E06AA">
              <w:rPr>
                <w:rFonts w:cs="Calibri"/>
                <w:szCs w:val="16"/>
              </w:rPr>
              <w:tab/>
              <w:t>AGB</w:t>
            </w:r>
          </w:p>
        </w:tc>
        <w:tc>
          <w:tcPr>
            <w:tcW w:w="1276" w:type="dxa"/>
            <w:tcBorders>
              <w:top w:val="single" w:sz="4" w:space="0" w:color="1B556B"/>
              <w:bottom w:val="single" w:sz="4" w:space="0" w:color="1B556B"/>
            </w:tcBorders>
          </w:tcPr>
          <w:p w14:paraId="7EA7E725" w14:textId="77777777" w:rsidR="00053418" w:rsidRPr="009E06AA" w:rsidRDefault="00053418" w:rsidP="00FA728E">
            <w:pPr>
              <w:pStyle w:val="TableText"/>
              <w:spacing w:before="30" w:after="30"/>
              <w:jc w:val="right"/>
              <w:rPr>
                <w:rFonts w:cs="Calibri"/>
                <w:szCs w:val="16"/>
              </w:rPr>
            </w:pPr>
            <w:r w:rsidRPr="009E06AA">
              <w:rPr>
                <w:rFonts w:cs="Calibri"/>
                <w:szCs w:val="16"/>
              </w:rPr>
              <w:t>1.269</w:t>
            </w:r>
          </w:p>
        </w:tc>
        <w:tc>
          <w:tcPr>
            <w:tcW w:w="1276" w:type="dxa"/>
            <w:tcBorders>
              <w:top w:val="single" w:sz="4" w:space="0" w:color="1B556B"/>
              <w:bottom w:val="single" w:sz="4" w:space="0" w:color="1B556B"/>
            </w:tcBorders>
          </w:tcPr>
          <w:p w14:paraId="0A5B815D" w14:textId="77777777" w:rsidR="00053418" w:rsidRPr="009E06AA" w:rsidRDefault="00053418" w:rsidP="00FA728E">
            <w:pPr>
              <w:pStyle w:val="TableText"/>
              <w:spacing w:before="30" w:after="30"/>
              <w:jc w:val="right"/>
              <w:rPr>
                <w:rFonts w:cs="Calibri"/>
                <w:szCs w:val="16"/>
              </w:rPr>
            </w:pPr>
            <w:r w:rsidRPr="009E06AA">
              <w:rPr>
                <w:rFonts w:cs="Calibri"/>
                <w:szCs w:val="16"/>
              </w:rPr>
              <w:t>1.269</w:t>
            </w:r>
          </w:p>
        </w:tc>
        <w:tc>
          <w:tcPr>
            <w:tcW w:w="1275" w:type="dxa"/>
            <w:tcBorders>
              <w:top w:val="single" w:sz="4" w:space="0" w:color="1B556B"/>
              <w:bottom w:val="single" w:sz="4" w:space="0" w:color="1B556B"/>
            </w:tcBorders>
          </w:tcPr>
          <w:p w14:paraId="737E7744" w14:textId="77777777" w:rsidR="00053418" w:rsidRPr="009E06AA" w:rsidRDefault="00053418" w:rsidP="00FA728E">
            <w:pPr>
              <w:pStyle w:val="TableText"/>
              <w:spacing w:before="30" w:after="30"/>
              <w:jc w:val="right"/>
              <w:rPr>
                <w:rFonts w:cs="Calibri"/>
                <w:szCs w:val="16"/>
              </w:rPr>
            </w:pPr>
            <w:r w:rsidRPr="009E06AA">
              <w:rPr>
                <w:rFonts w:cs="Calibri"/>
                <w:szCs w:val="16"/>
              </w:rPr>
              <w:t>1</w:t>
            </w:r>
          </w:p>
        </w:tc>
        <w:tc>
          <w:tcPr>
            <w:tcW w:w="1701" w:type="dxa"/>
            <w:vMerge/>
          </w:tcPr>
          <w:p w14:paraId="55B26B88" w14:textId="77777777" w:rsidR="00053418" w:rsidRPr="009E06AA" w:rsidRDefault="00053418" w:rsidP="00B55F24">
            <w:pPr>
              <w:pStyle w:val="TableText"/>
              <w:spacing w:before="30" w:after="30"/>
              <w:rPr>
                <w:rFonts w:cs="Calibri"/>
                <w:szCs w:val="16"/>
              </w:rPr>
            </w:pPr>
          </w:p>
        </w:tc>
      </w:tr>
      <w:tr w:rsidR="00053418" w:rsidRPr="009E06AA" w14:paraId="54B43A9F" w14:textId="77777777" w:rsidTr="00B55F24">
        <w:trPr>
          <w:trHeight w:val="20"/>
        </w:trPr>
        <w:tc>
          <w:tcPr>
            <w:tcW w:w="1246" w:type="dxa"/>
            <w:vMerge/>
          </w:tcPr>
          <w:p w14:paraId="3B533C52" w14:textId="77777777" w:rsidR="00053418" w:rsidRPr="009E06AA" w:rsidRDefault="00053418" w:rsidP="00B55F24">
            <w:pPr>
              <w:pStyle w:val="TableText"/>
              <w:spacing w:before="30" w:after="30"/>
              <w:rPr>
                <w:rFonts w:cs="Calibri"/>
                <w:szCs w:val="16"/>
              </w:rPr>
            </w:pPr>
          </w:p>
        </w:tc>
        <w:tc>
          <w:tcPr>
            <w:tcW w:w="1731" w:type="dxa"/>
            <w:tcBorders>
              <w:top w:val="single" w:sz="4" w:space="0" w:color="1B556B"/>
              <w:bottom w:val="single" w:sz="4" w:space="0" w:color="1B556B"/>
            </w:tcBorders>
          </w:tcPr>
          <w:p w14:paraId="033DD9E7" w14:textId="77777777" w:rsidR="00053418" w:rsidRPr="009E06AA" w:rsidRDefault="00053418" w:rsidP="00B55F24">
            <w:pPr>
              <w:pStyle w:val="TableText"/>
              <w:spacing w:before="30" w:after="30"/>
              <w:rPr>
                <w:rFonts w:cs="Calibri"/>
                <w:szCs w:val="16"/>
              </w:rPr>
            </w:pPr>
            <w:r w:rsidRPr="009E06AA">
              <w:rPr>
                <w:rFonts w:cs="Calibri"/>
                <w:szCs w:val="16"/>
              </w:rPr>
              <w:tab/>
              <w:t>BGB</w:t>
            </w:r>
          </w:p>
        </w:tc>
        <w:tc>
          <w:tcPr>
            <w:tcW w:w="1276" w:type="dxa"/>
            <w:tcBorders>
              <w:top w:val="single" w:sz="4" w:space="0" w:color="1B556B"/>
              <w:bottom w:val="single" w:sz="4" w:space="0" w:color="1B556B"/>
            </w:tcBorders>
          </w:tcPr>
          <w:p w14:paraId="76DD2AA9" w14:textId="77777777" w:rsidR="00053418" w:rsidRPr="009E06AA" w:rsidRDefault="00053418" w:rsidP="00FA728E">
            <w:pPr>
              <w:pStyle w:val="TableText"/>
              <w:spacing w:before="30" w:after="30"/>
              <w:jc w:val="right"/>
              <w:rPr>
                <w:rFonts w:cs="Calibri"/>
                <w:szCs w:val="16"/>
              </w:rPr>
            </w:pPr>
            <w:r w:rsidRPr="009E06AA">
              <w:rPr>
                <w:rFonts w:cs="Calibri"/>
                <w:szCs w:val="16"/>
              </w:rPr>
              <w:t>5.076</w:t>
            </w:r>
          </w:p>
        </w:tc>
        <w:tc>
          <w:tcPr>
            <w:tcW w:w="1276" w:type="dxa"/>
            <w:tcBorders>
              <w:top w:val="single" w:sz="4" w:space="0" w:color="1B556B"/>
              <w:bottom w:val="single" w:sz="4" w:space="0" w:color="1B556B"/>
            </w:tcBorders>
          </w:tcPr>
          <w:p w14:paraId="1DBA9AFF" w14:textId="77777777" w:rsidR="00053418" w:rsidRPr="009E06AA" w:rsidRDefault="00053418" w:rsidP="00FA728E">
            <w:pPr>
              <w:pStyle w:val="TableText"/>
              <w:spacing w:before="30" w:after="30"/>
              <w:jc w:val="right"/>
              <w:rPr>
                <w:rFonts w:cs="Calibri"/>
                <w:szCs w:val="16"/>
              </w:rPr>
            </w:pPr>
            <w:r w:rsidRPr="009E06AA">
              <w:rPr>
                <w:rFonts w:cs="Calibri"/>
                <w:szCs w:val="16"/>
              </w:rPr>
              <w:t>5.076</w:t>
            </w:r>
          </w:p>
        </w:tc>
        <w:tc>
          <w:tcPr>
            <w:tcW w:w="1275" w:type="dxa"/>
            <w:tcBorders>
              <w:top w:val="single" w:sz="4" w:space="0" w:color="1B556B"/>
              <w:bottom w:val="single" w:sz="4" w:space="0" w:color="1B556B"/>
            </w:tcBorders>
          </w:tcPr>
          <w:p w14:paraId="1AD8EDF3" w14:textId="77777777" w:rsidR="00053418" w:rsidRPr="009E06AA" w:rsidRDefault="00053418" w:rsidP="00FA728E">
            <w:pPr>
              <w:pStyle w:val="TableText"/>
              <w:spacing w:before="30" w:after="30"/>
              <w:jc w:val="right"/>
              <w:rPr>
                <w:rFonts w:cs="Calibri"/>
                <w:szCs w:val="16"/>
              </w:rPr>
            </w:pPr>
            <w:r w:rsidRPr="009E06AA">
              <w:rPr>
                <w:rFonts w:cs="Calibri"/>
                <w:szCs w:val="16"/>
              </w:rPr>
              <w:t>1</w:t>
            </w:r>
          </w:p>
        </w:tc>
        <w:tc>
          <w:tcPr>
            <w:tcW w:w="1701" w:type="dxa"/>
            <w:vMerge/>
            <w:tcBorders>
              <w:bottom w:val="single" w:sz="4" w:space="0" w:color="1B556B"/>
            </w:tcBorders>
          </w:tcPr>
          <w:p w14:paraId="0F2D376E" w14:textId="77777777" w:rsidR="00053418" w:rsidRPr="009E06AA" w:rsidRDefault="00053418" w:rsidP="00B55F24">
            <w:pPr>
              <w:pStyle w:val="TableText"/>
              <w:spacing w:before="30" w:after="30"/>
              <w:rPr>
                <w:rFonts w:cs="Calibri"/>
                <w:szCs w:val="16"/>
              </w:rPr>
            </w:pPr>
          </w:p>
        </w:tc>
      </w:tr>
      <w:tr w:rsidR="00053418" w:rsidRPr="009E06AA" w14:paraId="630A200F" w14:textId="77777777" w:rsidTr="00B55F24">
        <w:trPr>
          <w:trHeight w:val="20"/>
        </w:trPr>
        <w:tc>
          <w:tcPr>
            <w:tcW w:w="1246" w:type="dxa"/>
            <w:vMerge/>
            <w:tcBorders>
              <w:bottom w:val="single" w:sz="4" w:space="0" w:color="1B556B"/>
            </w:tcBorders>
          </w:tcPr>
          <w:p w14:paraId="2139C06D" w14:textId="77777777" w:rsidR="00053418" w:rsidRPr="009E06AA" w:rsidRDefault="00053418" w:rsidP="00B55F24">
            <w:pPr>
              <w:pStyle w:val="TableText"/>
              <w:spacing w:before="30" w:after="30"/>
              <w:rPr>
                <w:rFonts w:cs="Calibri"/>
                <w:szCs w:val="16"/>
              </w:rPr>
            </w:pPr>
          </w:p>
        </w:tc>
        <w:tc>
          <w:tcPr>
            <w:tcW w:w="1731" w:type="dxa"/>
            <w:tcBorders>
              <w:top w:val="single" w:sz="4" w:space="0" w:color="1B556B"/>
              <w:bottom w:val="single" w:sz="4" w:space="0" w:color="1B556B"/>
            </w:tcBorders>
          </w:tcPr>
          <w:p w14:paraId="3F97E732" w14:textId="77777777" w:rsidR="00053418" w:rsidRPr="009E06AA" w:rsidRDefault="00053418" w:rsidP="00B55F24">
            <w:pPr>
              <w:pStyle w:val="TableText"/>
              <w:spacing w:before="30" w:after="30"/>
              <w:rPr>
                <w:rFonts w:cs="Calibri"/>
                <w:i/>
                <w:szCs w:val="16"/>
              </w:rPr>
            </w:pPr>
            <w:r w:rsidRPr="009E06AA">
              <w:rPr>
                <w:rFonts w:cs="Calibri"/>
                <w:i/>
                <w:szCs w:val="16"/>
              </w:rPr>
              <w:t>Dead organic matter</w:t>
            </w:r>
          </w:p>
        </w:tc>
        <w:tc>
          <w:tcPr>
            <w:tcW w:w="1276" w:type="dxa"/>
            <w:tcBorders>
              <w:top w:val="single" w:sz="4" w:space="0" w:color="1B556B"/>
              <w:bottom w:val="single" w:sz="4" w:space="0" w:color="1B556B"/>
            </w:tcBorders>
          </w:tcPr>
          <w:p w14:paraId="418D3B96" w14:textId="77777777" w:rsidR="00053418" w:rsidRPr="009E06AA" w:rsidRDefault="00053418" w:rsidP="00FA728E">
            <w:pPr>
              <w:pStyle w:val="TableText"/>
              <w:spacing w:before="30" w:after="30"/>
              <w:jc w:val="right"/>
              <w:rPr>
                <w:rFonts w:cs="Calibri"/>
                <w:szCs w:val="16"/>
              </w:rPr>
            </w:pPr>
            <w:r w:rsidRPr="009E06AA">
              <w:rPr>
                <w:rFonts w:cs="Calibri"/>
                <w:szCs w:val="16"/>
              </w:rPr>
              <w:t>NE</w:t>
            </w:r>
          </w:p>
        </w:tc>
        <w:tc>
          <w:tcPr>
            <w:tcW w:w="1276" w:type="dxa"/>
            <w:tcBorders>
              <w:top w:val="single" w:sz="4" w:space="0" w:color="1B556B"/>
              <w:bottom w:val="single" w:sz="4" w:space="0" w:color="1B556B"/>
            </w:tcBorders>
          </w:tcPr>
          <w:p w14:paraId="6233BBD6" w14:textId="77777777" w:rsidR="00053418" w:rsidRPr="009E06AA" w:rsidRDefault="00053418" w:rsidP="00FA728E">
            <w:pPr>
              <w:pStyle w:val="TableText"/>
              <w:spacing w:before="30" w:after="30"/>
              <w:jc w:val="right"/>
              <w:rPr>
                <w:rFonts w:cs="Calibri"/>
                <w:szCs w:val="16"/>
              </w:rPr>
            </w:pPr>
            <w:r w:rsidRPr="009E06AA">
              <w:rPr>
                <w:rFonts w:cs="Calibri"/>
                <w:szCs w:val="16"/>
              </w:rPr>
              <w:t>NA</w:t>
            </w:r>
          </w:p>
        </w:tc>
        <w:tc>
          <w:tcPr>
            <w:tcW w:w="1275" w:type="dxa"/>
            <w:tcBorders>
              <w:top w:val="single" w:sz="4" w:space="0" w:color="1B556B"/>
              <w:bottom w:val="single" w:sz="4" w:space="0" w:color="1B556B"/>
            </w:tcBorders>
          </w:tcPr>
          <w:p w14:paraId="75B9F27B" w14:textId="77777777" w:rsidR="00053418" w:rsidRPr="009E06AA" w:rsidRDefault="00053418" w:rsidP="00FA728E">
            <w:pPr>
              <w:pStyle w:val="TableText"/>
              <w:spacing w:before="30" w:after="30"/>
              <w:jc w:val="right"/>
              <w:rPr>
                <w:rFonts w:cs="Calibri"/>
                <w:szCs w:val="16"/>
              </w:rPr>
            </w:pPr>
            <w:r w:rsidRPr="009E06AA">
              <w:rPr>
                <w:rFonts w:cs="Calibri"/>
                <w:szCs w:val="16"/>
              </w:rPr>
              <w:t>NA</w:t>
            </w:r>
          </w:p>
        </w:tc>
        <w:tc>
          <w:tcPr>
            <w:tcW w:w="1701" w:type="dxa"/>
            <w:tcBorders>
              <w:top w:val="single" w:sz="4" w:space="0" w:color="1B556B"/>
              <w:bottom w:val="single" w:sz="4" w:space="0" w:color="1B556B"/>
            </w:tcBorders>
          </w:tcPr>
          <w:p w14:paraId="79984E8B" w14:textId="77777777" w:rsidR="00053418" w:rsidRPr="009E06AA" w:rsidRDefault="00053418" w:rsidP="00B55F24">
            <w:pPr>
              <w:pStyle w:val="TableText"/>
              <w:spacing w:before="30" w:after="30"/>
              <w:rPr>
                <w:rFonts w:cs="Calibri"/>
                <w:szCs w:val="16"/>
              </w:rPr>
            </w:pPr>
            <w:r w:rsidRPr="009E06AA">
              <w:rPr>
                <w:rFonts w:cs="Calibri"/>
                <w:szCs w:val="16"/>
              </w:rPr>
              <w:t>No IPCC guidelines</w:t>
            </w:r>
          </w:p>
        </w:tc>
      </w:tr>
      <w:tr w:rsidR="00053418" w:rsidRPr="009E06AA" w14:paraId="79D5C029" w14:textId="77777777" w:rsidTr="00B55F24">
        <w:trPr>
          <w:trHeight w:val="20"/>
        </w:trPr>
        <w:tc>
          <w:tcPr>
            <w:tcW w:w="1246" w:type="dxa"/>
            <w:vMerge w:val="restart"/>
            <w:tcBorders>
              <w:top w:val="single" w:sz="4" w:space="0" w:color="1B556B"/>
              <w:bottom w:val="single" w:sz="4" w:space="0" w:color="1B556B"/>
            </w:tcBorders>
          </w:tcPr>
          <w:p w14:paraId="167CB924" w14:textId="77777777" w:rsidR="00053418" w:rsidRPr="009E06AA" w:rsidRDefault="00053418" w:rsidP="00B55F24">
            <w:pPr>
              <w:pStyle w:val="TableText"/>
              <w:spacing w:before="30" w:after="30"/>
              <w:rPr>
                <w:rFonts w:cs="Calibri"/>
                <w:szCs w:val="16"/>
              </w:rPr>
            </w:pPr>
            <w:r w:rsidRPr="009E06AA">
              <w:rPr>
                <w:rFonts w:cs="Calibri"/>
                <w:szCs w:val="16"/>
              </w:rPr>
              <w:t>Low producing</w:t>
            </w:r>
          </w:p>
        </w:tc>
        <w:tc>
          <w:tcPr>
            <w:tcW w:w="1731" w:type="dxa"/>
            <w:tcBorders>
              <w:top w:val="single" w:sz="4" w:space="0" w:color="1B556B"/>
              <w:bottom w:val="single" w:sz="4" w:space="0" w:color="1B556B"/>
            </w:tcBorders>
          </w:tcPr>
          <w:p w14:paraId="49D75DD0" w14:textId="77777777" w:rsidR="00053418" w:rsidRPr="009E06AA" w:rsidRDefault="00053418" w:rsidP="00B55F24">
            <w:pPr>
              <w:pStyle w:val="TableText"/>
              <w:spacing w:before="30" w:after="30"/>
              <w:rPr>
                <w:rFonts w:cs="Calibri"/>
                <w:b/>
                <w:szCs w:val="16"/>
              </w:rPr>
            </w:pPr>
            <w:r w:rsidRPr="009E06AA">
              <w:rPr>
                <w:rFonts w:cs="Calibri"/>
                <w:b/>
                <w:szCs w:val="16"/>
              </w:rPr>
              <w:t>Total biomass</w:t>
            </w:r>
          </w:p>
        </w:tc>
        <w:tc>
          <w:tcPr>
            <w:tcW w:w="1276" w:type="dxa"/>
            <w:tcBorders>
              <w:top w:val="single" w:sz="4" w:space="0" w:color="1B556B"/>
              <w:bottom w:val="single" w:sz="4" w:space="0" w:color="1B556B"/>
            </w:tcBorders>
          </w:tcPr>
          <w:p w14:paraId="6636D631" w14:textId="77777777" w:rsidR="00053418" w:rsidRPr="009E06AA" w:rsidRDefault="00053418" w:rsidP="00FA728E">
            <w:pPr>
              <w:pStyle w:val="TableText"/>
              <w:spacing w:before="30" w:after="30"/>
              <w:jc w:val="right"/>
              <w:rPr>
                <w:rFonts w:cs="Calibri"/>
                <w:b/>
                <w:szCs w:val="16"/>
              </w:rPr>
            </w:pPr>
            <w:r w:rsidRPr="009E06AA">
              <w:rPr>
                <w:rFonts w:cs="Calibri"/>
                <w:b/>
                <w:szCs w:val="16"/>
              </w:rPr>
              <w:t>2.867</w:t>
            </w:r>
          </w:p>
        </w:tc>
        <w:tc>
          <w:tcPr>
            <w:tcW w:w="1276" w:type="dxa"/>
            <w:tcBorders>
              <w:top w:val="single" w:sz="4" w:space="0" w:color="1B556B"/>
              <w:bottom w:val="single" w:sz="4" w:space="0" w:color="1B556B"/>
            </w:tcBorders>
          </w:tcPr>
          <w:p w14:paraId="60C409A3" w14:textId="77777777" w:rsidR="00053418" w:rsidRPr="009E06AA" w:rsidRDefault="00053418" w:rsidP="00FA728E">
            <w:pPr>
              <w:pStyle w:val="TableText"/>
              <w:spacing w:before="30" w:after="30"/>
              <w:jc w:val="right"/>
              <w:rPr>
                <w:rFonts w:cs="Calibri"/>
                <w:b/>
                <w:szCs w:val="16"/>
              </w:rPr>
            </w:pPr>
            <w:r w:rsidRPr="009E06AA">
              <w:rPr>
                <w:rFonts w:cs="Calibri"/>
                <w:b/>
                <w:szCs w:val="16"/>
              </w:rPr>
              <w:t>2.867</w:t>
            </w:r>
          </w:p>
        </w:tc>
        <w:tc>
          <w:tcPr>
            <w:tcW w:w="1275" w:type="dxa"/>
            <w:tcBorders>
              <w:top w:val="single" w:sz="4" w:space="0" w:color="1B556B"/>
              <w:bottom w:val="single" w:sz="4" w:space="0" w:color="1B556B"/>
            </w:tcBorders>
          </w:tcPr>
          <w:p w14:paraId="5BB2AB5F" w14:textId="77777777" w:rsidR="00053418" w:rsidRPr="009E06AA" w:rsidRDefault="00053418" w:rsidP="00FA728E">
            <w:pPr>
              <w:pStyle w:val="TableText"/>
              <w:spacing w:before="30" w:after="30"/>
              <w:jc w:val="right"/>
              <w:rPr>
                <w:rFonts w:cs="Calibri"/>
                <w:b/>
                <w:szCs w:val="16"/>
              </w:rPr>
            </w:pPr>
            <w:r w:rsidRPr="009E06AA">
              <w:rPr>
                <w:rFonts w:cs="Calibri"/>
                <w:b/>
                <w:szCs w:val="16"/>
              </w:rPr>
              <w:t>1</w:t>
            </w:r>
          </w:p>
        </w:tc>
        <w:tc>
          <w:tcPr>
            <w:tcW w:w="1701" w:type="dxa"/>
            <w:vMerge w:val="restart"/>
            <w:tcBorders>
              <w:top w:val="single" w:sz="4" w:space="0" w:color="1B556B"/>
              <w:bottom w:val="single" w:sz="4" w:space="0" w:color="365F91"/>
            </w:tcBorders>
          </w:tcPr>
          <w:p w14:paraId="706550B2" w14:textId="77777777" w:rsidR="00053418" w:rsidRPr="009E06AA" w:rsidRDefault="00053418" w:rsidP="00B55F24">
            <w:pPr>
              <w:pStyle w:val="TableText"/>
              <w:spacing w:before="30" w:after="30"/>
              <w:rPr>
                <w:rFonts w:cs="Calibri"/>
                <w:szCs w:val="16"/>
              </w:rPr>
            </w:pPr>
            <w:r w:rsidRPr="009E06AA">
              <w:rPr>
                <w:rFonts w:cs="Calibri"/>
                <w:szCs w:val="16"/>
              </w:rPr>
              <w:t>IPCC (2006a), table 6.4</w:t>
            </w:r>
          </w:p>
        </w:tc>
      </w:tr>
      <w:tr w:rsidR="00053418" w:rsidRPr="009E06AA" w14:paraId="7B8689B2" w14:textId="77777777" w:rsidTr="00B55F24">
        <w:trPr>
          <w:trHeight w:val="20"/>
        </w:trPr>
        <w:tc>
          <w:tcPr>
            <w:tcW w:w="1246" w:type="dxa"/>
            <w:vMerge/>
            <w:tcBorders>
              <w:bottom w:val="single" w:sz="4" w:space="0" w:color="1B556B"/>
            </w:tcBorders>
          </w:tcPr>
          <w:p w14:paraId="1839DCB5" w14:textId="77777777" w:rsidR="00053418" w:rsidRPr="009E06AA" w:rsidRDefault="00053418" w:rsidP="00B55F24">
            <w:pPr>
              <w:pStyle w:val="TableText"/>
              <w:spacing w:before="30" w:after="30"/>
              <w:rPr>
                <w:rFonts w:cs="Calibri"/>
                <w:szCs w:val="16"/>
              </w:rPr>
            </w:pPr>
          </w:p>
        </w:tc>
        <w:tc>
          <w:tcPr>
            <w:tcW w:w="1731" w:type="dxa"/>
            <w:tcBorders>
              <w:top w:val="single" w:sz="4" w:space="0" w:color="1B556B"/>
              <w:bottom w:val="single" w:sz="4" w:space="0" w:color="1B556B"/>
            </w:tcBorders>
          </w:tcPr>
          <w:p w14:paraId="7ED4D04F" w14:textId="77777777" w:rsidR="00053418" w:rsidRPr="009E06AA" w:rsidRDefault="00053418" w:rsidP="00B55F24">
            <w:pPr>
              <w:pStyle w:val="TableText"/>
              <w:spacing w:before="30" w:after="30"/>
              <w:rPr>
                <w:rFonts w:cs="Calibri"/>
                <w:i/>
                <w:szCs w:val="16"/>
              </w:rPr>
            </w:pPr>
            <w:r w:rsidRPr="009E06AA">
              <w:rPr>
                <w:rFonts w:cs="Calibri"/>
                <w:i/>
                <w:szCs w:val="16"/>
              </w:rPr>
              <w:t>Living biomass</w:t>
            </w:r>
          </w:p>
        </w:tc>
        <w:tc>
          <w:tcPr>
            <w:tcW w:w="1276" w:type="dxa"/>
            <w:tcBorders>
              <w:top w:val="single" w:sz="4" w:space="0" w:color="1B556B"/>
              <w:bottom w:val="single" w:sz="4" w:space="0" w:color="1B556B"/>
            </w:tcBorders>
          </w:tcPr>
          <w:p w14:paraId="45486E9F" w14:textId="77777777" w:rsidR="00053418" w:rsidRPr="009E06AA" w:rsidRDefault="00053418" w:rsidP="00FA728E">
            <w:pPr>
              <w:pStyle w:val="TableText"/>
              <w:spacing w:before="30" w:after="30"/>
              <w:jc w:val="right"/>
              <w:rPr>
                <w:rFonts w:cs="Calibri"/>
                <w:szCs w:val="16"/>
              </w:rPr>
            </w:pPr>
          </w:p>
        </w:tc>
        <w:tc>
          <w:tcPr>
            <w:tcW w:w="1276" w:type="dxa"/>
            <w:tcBorders>
              <w:top w:val="single" w:sz="4" w:space="0" w:color="1B556B"/>
              <w:bottom w:val="single" w:sz="4" w:space="0" w:color="1B556B"/>
            </w:tcBorders>
          </w:tcPr>
          <w:p w14:paraId="06C8906C" w14:textId="77777777" w:rsidR="00053418" w:rsidRPr="009E06AA" w:rsidRDefault="00053418" w:rsidP="00FA728E">
            <w:pPr>
              <w:pStyle w:val="TableText"/>
              <w:spacing w:before="30" w:after="30"/>
              <w:jc w:val="right"/>
              <w:rPr>
                <w:rFonts w:cs="Calibri"/>
                <w:szCs w:val="16"/>
              </w:rPr>
            </w:pPr>
          </w:p>
        </w:tc>
        <w:tc>
          <w:tcPr>
            <w:tcW w:w="1275" w:type="dxa"/>
            <w:tcBorders>
              <w:top w:val="single" w:sz="4" w:space="0" w:color="1B556B"/>
              <w:bottom w:val="single" w:sz="4" w:space="0" w:color="1B556B"/>
            </w:tcBorders>
          </w:tcPr>
          <w:p w14:paraId="57593DB9" w14:textId="77777777" w:rsidR="00053418" w:rsidRPr="009E06AA" w:rsidRDefault="00053418" w:rsidP="00FA728E">
            <w:pPr>
              <w:pStyle w:val="TableText"/>
              <w:spacing w:before="30" w:after="30"/>
              <w:jc w:val="right"/>
              <w:rPr>
                <w:rFonts w:cs="Calibri"/>
                <w:szCs w:val="16"/>
              </w:rPr>
            </w:pPr>
          </w:p>
        </w:tc>
        <w:tc>
          <w:tcPr>
            <w:tcW w:w="1701" w:type="dxa"/>
            <w:vMerge/>
          </w:tcPr>
          <w:p w14:paraId="15A1CEC8" w14:textId="77777777" w:rsidR="00053418" w:rsidRPr="009E06AA" w:rsidRDefault="00053418" w:rsidP="00B55F24">
            <w:pPr>
              <w:pStyle w:val="TableText"/>
              <w:spacing w:before="30" w:after="30"/>
              <w:rPr>
                <w:rFonts w:cs="Calibri"/>
                <w:szCs w:val="16"/>
              </w:rPr>
            </w:pPr>
          </w:p>
        </w:tc>
      </w:tr>
      <w:tr w:rsidR="00053418" w:rsidRPr="009E06AA" w14:paraId="49E47F7C" w14:textId="77777777" w:rsidTr="00B55F24">
        <w:trPr>
          <w:trHeight w:val="20"/>
        </w:trPr>
        <w:tc>
          <w:tcPr>
            <w:tcW w:w="1246" w:type="dxa"/>
            <w:vMerge/>
            <w:tcBorders>
              <w:bottom w:val="single" w:sz="4" w:space="0" w:color="1B556B"/>
            </w:tcBorders>
          </w:tcPr>
          <w:p w14:paraId="735D76F5" w14:textId="77777777" w:rsidR="00053418" w:rsidRPr="009E06AA" w:rsidRDefault="00053418" w:rsidP="00B55F24">
            <w:pPr>
              <w:pStyle w:val="TableText"/>
              <w:spacing w:before="30" w:after="30"/>
              <w:rPr>
                <w:rFonts w:cs="Calibri"/>
                <w:szCs w:val="16"/>
              </w:rPr>
            </w:pPr>
          </w:p>
        </w:tc>
        <w:tc>
          <w:tcPr>
            <w:tcW w:w="1731" w:type="dxa"/>
            <w:tcBorders>
              <w:top w:val="single" w:sz="4" w:space="0" w:color="1B556B"/>
              <w:bottom w:val="single" w:sz="4" w:space="0" w:color="1B556B"/>
            </w:tcBorders>
          </w:tcPr>
          <w:p w14:paraId="63A99A99" w14:textId="77777777" w:rsidR="00053418" w:rsidRPr="009E06AA" w:rsidRDefault="00053418" w:rsidP="00B55F24">
            <w:pPr>
              <w:pStyle w:val="TableText"/>
              <w:spacing w:before="30" w:after="30"/>
              <w:rPr>
                <w:rFonts w:cs="Calibri"/>
                <w:szCs w:val="16"/>
              </w:rPr>
            </w:pPr>
            <w:r w:rsidRPr="009E06AA">
              <w:rPr>
                <w:rFonts w:cs="Calibri"/>
                <w:szCs w:val="16"/>
              </w:rPr>
              <w:tab/>
              <w:t>AGB</w:t>
            </w:r>
          </w:p>
        </w:tc>
        <w:tc>
          <w:tcPr>
            <w:tcW w:w="1276" w:type="dxa"/>
            <w:tcBorders>
              <w:top w:val="single" w:sz="4" w:space="0" w:color="1B556B"/>
              <w:bottom w:val="single" w:sz="4" w:space="0" w:color="1B556B"/>
            </w:tcBorders>
          </w:tcPr>
          <w:p w14:paraId="7C9CDAB0" w14:textId="77777777" w:rsidR="00053418" w:rsidRPr="009E06AA" w:rsidRDefault="00053418" w:rsidP="00FA728E">
            <w:pPr>
              <w:pStyle w:val="TableText"/>
              <w:spacing w:before="30" w:after="30"/>
              <w:jc w:val="right"/>
              <w:rPr>
                <w:rFonts w:cs="Calibri"/>
                <w:szCs w:val="16"/>
              </w:rPr>
            </w:pPr>
            <w:r w:rsidRPr="009E06AA">
              <w:rPr>
                <w:rFonts w:cs="Calibri"/>
                <w:szCs w:val="16"/>
              </w:rPr>
              <w:t>0.752</w:t>
            </w:r>
          </w:p>
        </w:tc>
        <w:tc>
          <w:tcPr>
            <w:tcW w:w="1276" w:type="dxa"/>
            <w:tcBorders>
              <w:top w:val="single" w:sz="4" w:space="0" w:color="1B556B"/>
              <w:bottom w:val="single" w:sz="4" w:space="0" w:color="1B556B"/>
            </w:tcBorders>
          </w:tcPr>
          <w:p w14:paraId="287E7C7D" w14:textId="77777777" w:rsidR="00053418" w:rsidRPr="009E06AA" w:rsidRDefault="00053418" w:rsidP="00FA728E">
            <w:pPr>
              <w:pStyle w:val="TableText"/>
              <w:spacing w:before="30" w:after="30"/>
              <w:jc w:val="right"/>
              <w:rPr>
                <w:rFonts w:cs="Calibri"/>
                <w:szCs w:val="16"/>
              </w:rPr>
            </w:pPr>
            <w:r w:rsidRPr="009E06AA">
              <w:rPr>
                <w:rFonts w:cs="Calibri"/>
                <w:szCs w:val="16"/>
              </w:rPr>
              <w:t>0.752</w:t>
            </w:r>
          </w:p>
        </w:tc>
        <w:tc>
          <w:tcPr>
            <w:tcW w:w="1275" w:type="dxa"/>
            <w:tcBorders>
              <w:top w:val="single" w:sz="4" w:space="0" w:color="1B556B"/>
              <w:bottom w:val="single" w:sz="4" w:space="0" w:color="1B556B"/>
            </w:tcBorders>
          </w:tcPr>
          <w:p w14:paraId="177A8647" w14:textId="77777777" w:rsidR="00053418" w:rsidRPr="009E06AA" w:rsidRDefault="00053418" w:rsidP="00FA728E">
            <w:pPr>
              <w:pStyle w:val="TableText"/>
              <w:spacing w:before="30" w:after="30"/>
              <w:jc w:val="right"/>
              <w:rPr>
                <w:rFonts w:cs="Calibri"/>
                <w:szCs w:val="16"/>
              </w:rPr>
            </w:pPr>
            <w:r w:rsidRPr="009E06AA">
              <w:rPr>
                <w:rFonts w:cs="Calibri"/>
                <w:szCs w:val="16"/>
              </w:rPr>
              <w:t>1</w:t>
            </w:r>
          </w:p>
        </w:tc>
        <w:tc>
          <w:tcPr>
            <w:tcW w:w="1701" w:type="dxa"/>
            <w:vMerge/>
          </w:tcPr>
          <w:p w14:paraId="527E147A" w14:textId="77777777" w:rsidR="00053418" w:rsidRPr="009E06AA" w:rsidRDefault="00053418" w:rsidP="00B55F24">
            <w:pPr>
              <w:pStyle w:val="TableText"/>
              <w:spacing w:before="30" w:after="30"/>
              <w:rPr>
                <w:rFonts w:cs="Calibri"/>
                <w:szCs w:val="16"/>
              </w:rPr>
            </w:pPr>
          </w:p>
        </w:tc>
      </w:tr>
      <w:tr w:rsidR="00053418" w:rsidRPr="009E06AA" w14:paraId="256585DB" w14:textId="77777777" w:rsidTr="00B55F24">
        <w:trPr>
          <w:trHeight w:val="20"/>
        </w:trPr>
        <w:tc>
          <w:tcPr>
            <w:tcW w:w="1246" w:type="dxa"/>
            <w:vMerge/>
            <w:tcBorders>
              <w:bottom w:val="single" w:sz="4" w:space="0" w:color="1B556B"/>
            </w:tcBorders>
          </w:tcPr>
          <w:p w14:paraId="5DFB98DA" w14:textId="77777777" w:rsidR="00053418" w:rsidRPr="009E06AA" w:rsidRDefault="00053418" w:rsidP="00B55F24">
            <w:pPr>
              <w:pStyle w:val="TableText"/>
              <w:spacing w:before="30" w:after="30"/>
              <w:rPr>
                <w:rFonts w:cs="Calibri"/>
                <w:szCs w:val="16"/>
              </w:rPr>
            </w:pPr>
          </w:p>
        </w:tc>
        <w:tc>
          <w:tcPr>
            <w:tcW w:w="1731" w:type="dxa"/>
            <w:tcBorders>
              <w:top w:val="single" w:sz="4" w:space="0" w:color="1B556B"/>
              <w:bottom w:val="single" w:sz="4" w:space="0" w:color="1B556B"/>
            </w:tcBorders>
          </w:tcPr>
          <w:p w14:paraId="1823D71D" w14:textId="77777777" w:rsidR="00053418" w:rsidRPr="009E06AA" w:rsidRDefault="00053418" w:rsidP="00B55F24">
            <w:pPr>
              <w:pStyle w:val="TableText"/>
              <w:spacing w:before="30" w:after="30"/>
              <w:rPr>
                <w:rFonts w:cs="Calibri"/>
                <w:szCs w:val="16"/>
              </w:rPr>
            </w:pPr>
            <w:r w:rsidRPr="009E06AA">
              <w:rPr>
                <w:rFonts w:cs="Calibri"/>
                <w:szCs w:val="16"/>
              </w:rPr>
              <w:tab/>
              <w:t>BGB</w:t>
            </w:r>
          </w:p>
        </w:tc>
        <w:tc>
          <w:tcPr>
            <w:tcW w:w="1276" w:type="dxa"/>
            <w:tcBorders>
              <w:top w:val="single" w:sz="4" w:space="0" w:color="1B556B"/>
              <w:bottom w:val="single" w:sz="4" w:space="0" w:color="1B556B"/>
            </w:tcBorders>
          </w:tcPr>
          <w:p w14:paraId="320026F0" w14:textId="77777777" w:rsidR="00053418" w:rsidRPr="009E06AA" w:rsidRDefault="00053418" w:rsidP="00FA728E">
            <w:pPr>
              <w:pStyle w:val="TableText"/>
              <w:spacing w:before="30" w:after="30"/>
              <w:jc w:val="right"/>
              <w:rPr>
                <w:rFonts w:cs="Calibri"/>
                <w:szCs w:val="16"/>
              </w:rPr>
            </w:pPr>
            <w:r w:rsidRPr="009E06AA">
              <w:rPr>
                <w:rFonts w:cs="Calibri"/>
                <w:szCs w:val="16"/>
              </w:rPr>
              <w:t>2.115</w:t>
            </w:r>
          </w:p>
        </w:tc>
        <w:tc>
          <w:tcPr>
            <w:tcW w:w="1276" w:type="dxa"/>
            <w:tcBorders>
              <w:top w:val="single" w:sz="4" w:space="0" w:color="1B556B"/>
              <w:bottom w:val="single" w:sz="4" w:space="0" w:color="1B556B"/>
            </w:tcBorders>
          </w:tcPr>
          <w:p w14:paraId="4AE28FE4" w14:textId="77777777" w:rsidR="00053418" w:rsidRPr="009E06AA" w:rsidRDefault="00053418" w:rsidP="00FA728E">
            <w:pPr>
              <w:pStyle w:val="TableText"/>
              <w:spacing w:before="30" w:after="30"/>
              <w:jc w:val="right"/>
              <w:rPr>
                <w:rFonts w:cs="Calibri"/>
                <w:szCs w:val="16"/>
              </w:rPr>
            </w:pPr>
            <w:r w:rsidRPr="009E06AA">
              <w:rPr>
                <w:rFonts w:cs="Calibri"/>
                <w:szCs w:val="16"/>
              </w:rPr>
              <w:t>2.115</w:t>
            </w:r>
          </w:p>
        </w:tc>
        <w:tc>
          <w:tcPr>
            <w:tcW w:w="1275" w:type="dxa"/>
            <w:tcBorders>
              <w:top w:val="single" w:sz="4" w:space="0" w:color="1B556B"/>
              <w:bottom w:val="single" w:sz="4" w:space="0" w:color="1B556B"/>
            </w:tcBorders>
          </w:tcPr>
          <w:p w14:paraId="70B6FB56" w14:textId="77777777" w:rsidR="00053418" w:rsidRPr="009E06AA" w:rsidRDefault="00053418" w:rsidP="00FA728E">
            <w:pPr>
              <w:pStyle w:val="TableText"/>
              <w:spacing w:before="30" w:after="30"/>
              <w:jc w:val="right"/>
              <w:rPr>
                <w:rFonts w:cs="Calibri"/>
                <w:szCs w:val="16"/>
              </w:rPr>
            </w:pPr>
            <w:r w:rsidRPr="009E06AA">
              <w:rPr>
                <w:rFonts w:cs="Calibri"/>
                <w:szCs w:val="16"/>
              </w:rPr>
              <w:t>1</w:t>
            </w:r>
          </w:p>
        </w:tc>
        <w:tc>
          <w:tcPr>
            <w:tcW w:w="1701" w:type="dxa"/>
            <w:vMerge/>
          </w:tcPr>
          <w:p w14:paraId="36D50675" w14:textId="77777777" w:rsidR="00053418" w:rsidRPr="009E06AA" w:rsidRDefault="00053418" w:rsidP="00B55F24">
            <w:pPr>
              <w:pStyle w:val="TableText"/>
              <w:spacing w:before="30" w:after="30"/>
              <w:rPr>
                <w:rFonts w:cs="Calibri"/>
                <w:szCs w:val="16"/>
              </w:rPr>
            </w:pPr>
          </w:p>
        </w:tc>
      </w:tr>
      <w:tr w:rsidR="00053418" w:rsidRPr="009E06AA" w14:paraId="7A3D9B76" w14:textId="77777777" w:rsidTr="00B55F24">
        <w:trPr>
          <w:trHeight w:val="20"/>
        </w:trPr>
        <w:tc>
          <w:tcPr>
            <w:tcW w:w="1246" w:type="dxa"/>
            <w:vMerge/>
            <w:tcBorders>
              <w:bottom w:val="single" w:sz="4" w:space="0" w:color="1B556B"/>
            </w:tcBorders>
          </w:tcPr>
          <w:p w14:paraId="42CCE3BF" w14:textId="77777777" w:rsidR="00053418" w:rsidRPr="009E06AA" w:rsidRDefault="00053418" w:rsidP="00B55F24">
            <w:pPr>
              <w:pStyle w:val="TableText"/>
              <w:spacing w:before="30" w:after="30"/>
              <w:rPr>
                <w:rFonts w:cs="Calibri"/>
                <w:szCs w:val="16"/>
              </w:rPr>
            </w:pPr>
          </w:p>
        </w:tc>
        <w:tc>
          <w:tcPr>
            <w:tcW w:w="1731" w:type="dxa"/>
            <w:tcBorders>
              <w:top w:val="single" w:sz="4" w:space="0" w:color="1B556B"/>
              <w:bottom w:val="single" w:sz="4" w:space="0" w:color="1B556B"/>
            </w:tcBorders>
          </w:tcPr>
          <w:p w14:paraId="4949F146" w14:textId="77777777" w:rsidR="00053418" w:rsidRPr="009E06AA" w:rsidRDefault="00053418" w:rsidP="00B55F24">
            <w:pPr>
              <w:pStyle w:val="TableText"/>
              <w:spacing w:before="30" w:after="30"/>
              <w:rPr>
                <w:rFonts w:cs="Calibri"/>
                <w:i/>
                <w:szCs w:val="16"/>
              </w:rPr>
            </w:pPr>
            <w:r w:rsidRPr="009E06AA">
              <w:rPr>
                <w:rFonts w:cs="Calibri"/>
                <w:i/>
                <w:szCs w:val="16"/>
              </w:rPr>
              <w:t>Dead organic matter</w:t>
            </w:r>
          </w:p>
        </w:tc>
        <w:tc>
          <w:tcPr>
            <w:tcW w:w="1276" w:type="dxa"/>
            <w:tcBorders>
              <w:top w:val="single" w:sz="4" w:space="0" w:color="1B556B"/>
              <w:bottom w:val="single" w:sz="4" w:space="0" w:color="1B556B"/>
            </w:tcBorders>
          </w:tcPr>
          <w:p w14:paraId="34B9F0EF" w14:textId="77777777" w:rsidR="00053418" w:rsidRPr="009E06AA" w:rsidRDefault="00053418" w:rsidP="00FA728E">
            <w:pPr>
              <w:pStyle w:val="TableText"/>
              <w:spacing w:before="30" w:after="30"/>
              <w:jc w:val="right"/>
              <w:rPr>
                <w:rFonts w:cs="Calibri"/>
                <w:szCs w:val="16"/>
              </w:rPr>
            </w:pPr>
            <w:r w:rsidRPr="009E06AA">
              <w:rPr>
                <w:rFonts w:cs="Calibri"/>
                <w:szCs w:val="16"/>
              </w:rPr>
              <w:t>NE</w:t>
            </w:r>
          </w:p>
        </w:tc>
        <w:tc>
          <w:tcPr>
            <w:tcW w:w="1276" w:type="dxa"/>
            <w:tcBorders>
              <w:top w:val="single" w:sz="4" w:space="0" w:color="1B556B"/>
              <w:bottom w:val="single" w:sz="4" w:space="0" w:color="1B556B"/>
            </w:tcBorders>
          </w:tcPr>
          <w:p w14:paraId="5C5CC6E1" w14:textId="77777777" w:rsidR="00053418" w:rsidRPr="009E06AA" w:rsidRDefault="00053418" w:rsidP="00FA728E">
            <w:pPr>
              <w:pStyle w:val="TableText"/>
              <w:spacing w:before="30" w:after="30"/>
              <w:jc w:val="right"/>
              <w:rPr>
                <w:rFonts w:cs="Calibri"/>
                <w:szCs w:val="16"/>
              </w:rPr>
            </w:pPr>
            <w:r w:rsidRPr="009E06AA">
              <w:rPr>
                <w:rFonts w:cs="Calibri"/>
                <w:szCs w:val="16"/>
              </w:rPr>
              <w:t>NA</w:t>
            </w:r>
          </w:p>
        </w:tc>
        <w:tc>
          <w:tcPr>
            <w:tcW w:w="1275" w:type="dxa"/>
            <w:tcBorders>
              <w:top w:val="single" w:sz="4" w:space="0" w:color="1B556B"/>
              <w:bottom w:val="single" w:sz="4" w:space="0" w:color="1B556B"/>
            </w:tcBorders>
          </w:tcPr>
          <w:p w14:paraId="6E469F92" w14:textId="77777777" w:rsidR="00053418" w:rsidRPr="009E06AA" w:rsidRDefault="00053418" w:rsidP="00FA728E">
            <w:pPr>
              <w:pStyle w:val="TableText"/>
              <w:spacing w:before="30" w:after="30"/>
              <w:jc w:val="right"/>
              <w:rPr>
                <w:rFonts w:cs="Calibri"/>
                <w:szCs w:val="16"/>
              </w:rPr>
            </w:pPr>
            <w:r w:rsidRPr="009E06AA">
              <w:rPr>
                <w:rFonts w:cs="Calibri"/>
                <w:szCs w:val="16"/>
              </w:rPr>
              <w:t>NA</w:t>
            </w:r>
          </w:p>
        </w:tc>
        <w:tc>
          <w:tcPr>
            <w:tcW w:w="1701" w:type="dxa"/>
            <w:tcBorders>
              <w:top w:val="single" w:sz="4" w:space="0" w:color="365F91"/>
              <w:bottom w:val="single" w:sz="4" w:space="0" w:color="1B556B"/>
            </w:tcBorders>
          </w:tcPr>
          <w:p w14:paraId="26648B38" w14:textId="77777777" w:rsidR="00053418" w:rsidRPr="009E06AA" w:rsidRDefault="00053418" w:rsidP="00B55F24">
            <w:pPr>
              <w:pStyle w:val="TableText"/>
              <w:spacing w:before="30" w:after="30"/>
              <w:rPr>
                <w:rFonts w:cs="Calibri"/>
                <w:szCs w:val="16"/>
              </w:rPr>
            </w:pPr>
            <w:r w:rsidRPr="009E06AA">
              <w:rPr>
                <w:rFonts w:cs="Calibri"/>
                <w:szCs w:val="16"/>
              </w:rPr>
              <w:t>No IPCC guidelines</w:t>
            </w:r>
          </w:p>
        </w:tc>
      </w:tr>
      <w:tr w:rsidR="00053418" w:rsidRPr="009E06AA" w14:paraId="1B543BDE" w14:textId="77777777" w:rsidTr="00B55F24">
        <w:trPr>
          <w:trHeight w:val="20"/>
        </w:trPr>
        <w:tc>
          <w:tcPr>
            <w:tcW w:w="1246" w:type="dxa"/>
            <w:vMerge w:val="restart"/>
            <w:tcBorders>
              <w:top w:val="single" w:sz="4" w:space="0" w:color="1B556B"/>
              <w:bottom w:val="single" w:sz="4" w:space="0" w:color="1B556B"/>
            </w:tcBorders>
          </w:tcPr>
          <w:p w14:paraId="2881FFF2" w14:textId="77777777" w:rsidR="00053418" w:rsidRPr="009E06AA" w:rsidRDefault="00053418" w:rsidP="00B55F24">
            <w:pPr>
              <w:pStyle w:val="TableText"/>
              <w:spacing w:before="30" w:after="30"/>
              <w:rPr>
                <w:rFonts w:cs="Calibri"/>
                <w:szCs w:val="16"/>
              </w:rPr>
            </w:pPr>
            <w:r w:rsidRPr="009E06AA">
              <w:rPr>
                <w:rFonts w:cs="Calibri"/>
                <w:szCs w:val="16"/>
              </w:rPr>
              <w:t>With woody biomass –transitional</w:t>
            </w:r>
          </w:p>
        </w:tc>
        <w:tc>
          <w:tcPr>
            <w:tcW w:w="1731" w:type="dxa"/>
            <w:tcBorders>
              <w:top w:val="single" w:sz="4" w:space="0" w:color="1B556B"/>
              <w:bottom w:val="single" w:sz="4" w:space="0" w:color="365F91"/>
            </w:tcBorders>
          </w:tcPr>
          <w:p w14:paraId="1E44A6FB" w14:textId="77777777" w:rsidR="00053418" w:rsidRPr="009E06AA" w:rsidRDefault="00053418" w:rsidP="00B55F24">
            <w:pPr>
              <w:pStyle w:val="TableText"/>
              <w:spacing w:before="30" w:after="30"/>
              <w:rPr>
                <w:rFonts w:cs="Calibri"/>
                <w:b/>
                <w:szCs w:val="16"/>
              </w:rPr>
            </w:pPr>
            <w:r w:rsidRPr="009E06AA">
              <w:rPr>
                <w:rFonts w:cs="Calibri"/>
                <w:b/>
                <w:szCs w:val="16"/>
              </w:rPr>
              <w:t>Total biomass</w:t>
            </w:r>
          </w:p>
        </w:tc>
        <w:tc>
          <w:tcPr>
            <w:tcW w:w="1276" w:type="dxa"/>
            <w:tcBorders>
              <w:top w:val="single" w:sz="4" w:space="0" w:color="1B556B"/>
              <w:bottom w:val="single" w:sz="4" w:space="0" w:color="365F91"/>
            </w:tcBorders>
          </w:tcPr>
          <w:p w14:paraId="4AC6AA46" w14:textId="77777777" w:rsidR="00053418" w:rsidRPr="009E06AA" w:rsidRDefault="00053418" w:rsidP="00FA728E">
            <w:pPr>
              <w:pStyle w:val="TableText"/>
              <w:spacing w:before="30" w:after="30"/>
              <w:jc w:val="right"/>
              <w:rPr>
                <w:rFonts w:cs="Calibri"/>
                <w:b/>
                <w:szCs w:val="16"/>
              </w:rPr>
            </w:pPr>
            <w:r w:rsidRPr="009E06AA">
              <w:rPr>
                <w:rFonts w:cs="Calibri"/>
                <w:b/>
                <w:szCs w:val="16"/>
              </w:rPr>
              <w:t>13.05</w:t>
            </w:r>
          </w:p>
        </w:tc>
        <w:tc>
          <w:tcPr>
            <w:tcW w:w="1276" w:type="dxa"/>
            <w:tcBorders>
              <w:top w:val="single" w:sz="4" w:space="0" w:color="1B556B"/>
              <w:bottom w:val="single" w:sz="4" w:space="0" w:color="365F91"/>
            </w:tcBorders>
          </w:tcPr>
          <w:p w14:paraId="427F1705" w14:textId="77777777" w:rsidR="00053418" w:rsidRPr="009E06AA" w:rsidRDefault="00053418" w:rsidP="00FA728E">
            <w:pPr>
              <w:pStyle w:val="TableText"/>
              <w:spacing w:before="30" w:after="30"/>
              <w:jc w:val="right"/>
              <w:rPr>
                <w:rFonts w:cs="Calibri"/>
                <w:b/>
                <w:szCs w:val="16"/>
              </w:rPr>
            </w:pPr>
            <w:r w:rsidRPr="009E06AA">
              <w:rPr>
                <w:rFonts w:cs="Calibri"/>
                <w:b/>
                <w:szCs w:val="16"/>
              </w:rPr>
              <w:t>0.48</w:t>
            </w:r>
          </w:p>
        </w:tc>
        <w:tc>
          <w:tcPr>
            <w:tcW w:w="1275" w:type="dxa"/>
            <w:tcBorders>
              <w:top w:val="single" w:sz="4" w:space="0" w:color="1B556B"/>
              <w:bottom w:val="single" w:sz="4" w:space="0" w:color="365F91"/>
            </w:tcBorders>
          </w:tcPr>
          <w:p w14:paraId="20A3019F" w14:textId="77777777" w:rsidR="00053418" w:rsidRPr="009E06AA" w:rsidRDefault="00053418" w:rsidP="00FA728E">
            <w:pPr>
              <w:pStyle w:val="TableText"/>
              <w:spacing w:before="30" w:after="30"/>
              <w:jc w:val="right"/>
              <w:rPr>
                <w:rFonts w:cs="Calibri"/>
                <w:b/>
                <w:szCs w:val="16"/>
              </w:rPr>
            </w:pPr>
            <w:r w:rsidRPr="009E06AA">
              <w:rPr>
                <w:rFonts w:cs="Calibri"/>
                <w:b/>
                <w:szCs w:val="16"/>
              </w:rPr>
              <w:t>20</w:t>
            </w:r>
          </w:p>
        </w:tc>
        <w:tc>
          <w:tcPr>
            <w:tcW w:w="1701" w:type="dxa"/>
            <w:vMerge w:val="restart"/>
            <w:tcBorders>
              <w:top w:val="single" w:sz="4" w:space="0" w:color="1B556B"/>
              <w:bottom w:val="single" w:sz="4" w:space="0" w:color="365F91"/>
            </w:tcBorders>
          </w:tcPr>
          <w:p w14:paraId="2881EC55" w14:textId="77777777" w:rsidR="00053418" w:rsidRPr="009E06AA" w:rsidRDefault="00053418" w:rsidP="00B55F24">
            <w:pPr>
              <w:pStyle w:val="TableText"/>
              <w:spacing w:before="30" w:after="30"/>
              <w:rPr>
                <w:rFonts w:cs="Calibri"/>
                <w:szCs w:val="16"/>
              </w:rPr>
            </w:pPr>
            <w:r w:rsidRPr="009E06AA">
              <w:rPr>
                <w:rFonts w:cs="Calibri"/>
                <w:szCs w:val="16"/>
              </w:rPr>
              <w:t>Wakelin and Beets (unpublished)</w:t>
            </w:r>
          </w:p>
        </w:tc>
      </w:tr>
      <w:tr w:rsidR="00053418" w:rsidRPr="009E06AA" w14:paraId="0706C8E7" w14:textId="77777777" w:rsidTr="00B55F24">
        <w:trPr>
          <w:trHeight w:val="20"/>
        </w:trPr>
        <w:tc>
          <w:tcPr>
            <w:tcW w:w="1246" w:type="dxa"/>
            <w:vMerge/>
            <w:tcBorders>
              <w:bottom w:val="single" w:sz="4" w:space="0" w:color="1B556B"/>
            </w:tcBorders>
          </w:tcPr>
          <w:p w14:paraId="098975F7" w14:textId="77777777" w:rsidR="00053418" w:rsidRPr="009E06AA" w:rsidRDefault="00053418" w:rsidP="00B55F24">
            <w:pPr>
              <w:pStyle w:val="TableText"/>
              <w:spacing w:before="30" w:after="30"/>
              <w:rPr>
                <w:rFonts w:cs="Calibri"/>
                <w:szCs w:val="16"/>
              </w:rPr>
            </w:pPr>
          </w:p>
        </w:tc>
        <w:tc>
          <w:tcPr>
            <w:tcW w:w="1731" w:type="dxa"/>
            <w:tcBorders>
              <w:top w:val="single" w:sz="4" w:space="0" w:color="365F91"/>
              <w:bottom w:val="single" w:sz="4" w:space="0" w:color="365F91"/>
            </w:tcBorders>
          </w:tcPr>
          <w:p w14:paraId="797F2EB0" w14:textId="77777777" w:rsidR="00053418" w:rsidRPr="009E06AA" w:rsidRDefault="00053418" w:rsidP="00B55F24">
            <w:pPr>
              <w:pStyle w:val="TableText"/>
              <w:spacing w:before="30" w:after="30"/>
              <w:rPr>
                <w:rFonts w:cs="Calibri"/>
                <w:i/>
                <w:szCs w:val="16"/>
              </w:rPr>
            </w:pPr>
            <w:r w:rsidRPr="009E06AA">
              <w:rPr>
                <w:rFonts w:cs="Calibri"/>
                <w:i/>
                <w:szCs w:val="16"/>
              </w:rPr>
              <w:t>Living biomass</w:t>
            </w:r>
          </w:p>
        </w:tc>
        <w:tc>
          <w:tcPr>
            <w:tcW w:w="1276" w:type="dxa"/>
            <w:tcBorders>
              <w:top w:val="single" w:sz="4" w:space="0" w:color="365F91"/>
              <w:bottom w:val="single" w:sz="4" w:space="0" w:color="365F91"/>
            </w:tcBorders>
          </w:tcPr>
          <w:p w14:paraId="1F2F0B5A" w14:textId="77777777" w:rsidR="00053418" w:rsidRPr="009E06AA" w:rsidRDefault="00053418" w:rsidP="00FA728E">
            <w:pPr>
              <w:pStyle w:val="TableText"/>
              <w:spacing w:before="30" w:after="30"/>
              <w:jc w:val="right"/>
              <w:rPr>
                <w:rFonts w:cs="Calibri"/>
                <w:szCs w:val="16"/>
              </w:rPr>
            </w:pPr>
          </w:p>
        </w:tc>
        <w:tc>
          <w:tcPr>
            <w:tcW w:w="1276" w:type="dxa"/>
            <w:tcBorders>
              <w:top w:val="single" w:sz="4" w:space="0" w:color="365F91"/>
              <w:bottom w:val="single" w:sz="4" w:space="0" w:color="365F91"/>
            </w:tcBorders>
          </w:tcPr>
          <w:p w14:paraId="6AD34772" w14:textId="77777777" w:rsidR="00053418" w:rsidRPr="009E06AA" w:rsidRDefault="00053418" w:rsidP="00FA728E">
            <w:pPr>
              <w:pStyle w:val="TableText"/>
              <w:spacing w:before="30" w:after="30"/>
              <w:jc w:val="right"/>
              <w:rPr>
                <w:rFonts w:cs="Calibri"/>
                <w:szCs w:val="16"/>
              </w:rPr>
            </w:pPr>
          </w:p>
        </w:tc>
        <w:tc>
          <w:tcPr>
            <w:tcW w:w="1275" w:type="dxa"/>
            <w:tcBorders>
              <w:top w:val="single" w:sz="4" w:space="0" w:color="365F91"/>
              <w:bottom w:val="single" w:sz="4" w:space="0" w:color="365F91"/>
            </w:tcBorders>
          </w:tcPr>
          <w:p w14:paraId="4668D2C1" w14:textId="77777777" w:rsidR="00053418" w:rsidRPr="009E06AA" w:rsidRDefault="00053418" w:rsidP="00FA728E">
            <w:pPr>
              <w:pStyle w:val="TableText"/>
              <w:spacing w:before="30" w:after="30"/>
              <w:jc w:val="right"/>
              <w:rPr>
                <w:rFonts w:cs="Calibri"/>
                <w:szCs w:val="16"/>
              </w:rPr>
            </w:pPr>
          </w:p>
        </w:tc>
        <w:tc>
          <w:tcPr>
            <w:tcW w:w="1701" w:type="dxa"/>
            <w:vMerge/>
          </w:tcPr>
          <w:p w14:paraId="3E6A1725" w14:textId="77777777" w:rsidR="00053418" w:rsidRPr="009E06AA" w:rsidRDefault="00053418" w:rsidP="00B55F24">
            <w:pPr>
              <w:pStyle w:val="TableText"/>
              <w:spacing w:before="30" w:after="30"/>
              <w:rPr>
                <w:rFonts w:cs="Calibri"/>
                <w:szCs w:val="16"/>
              </w:rPr>
            </w:pPr>
          </w:p>
        </w:tc>
      </w:tr>
      <w:tr w:rsidR="00053418" w:rsidRPr="009E06AA" w14:paraId="66E1B956" w14:textId="77777777" w:rsidTr="00B55F24">
        <w:trPr>
          <w:trHeight w:val="20"/>
        </w:trPr>
        <w:tc>
          <w:tcPr>
            <w:tcW w:w="1246" w:type="dxa"/>
            <w:vMerge/>
            <w:tcBorders>
              <w:bottom w:val="single" w:sz="4" w:space="0" w:color="1B556B"/>
            </w:tcBorders>
          </w:tcPr>
          <w:p w14:paraId="2A55ECF5" w14:textId="77777777" w:rsidR="00053418" w:rsidRPr="009E06AA" w:rsidRDefault="00053418" w:rsidP="00B55F24">
            <w:pPr>
              <w:pStyle w:val="TableText"/>
              <w:spacing w:before="30" w:after="30"/>
              <w:rPr>
                <w:rFonts w:cs="Calibri"/>
                <w:szCs w:val="16"/>
              </w:rPr>
            </w:pPr>
          </w:p>
        </w:tc>
        <w:tc>
          <w:tcPr>
            <w:tcW w:w="1731" w:type="dxa"/>
            <w:tcBorders>
              <w:top w:val="single" w:sz="4" w:space="0" w:color="365F91"/>
              <w:bottom w:val="single" w:sz="4" w:space="0" w:color="365F91"/>
            </w:tcBorders>
          </w:tcPr>
          <w:p w14:paraId="3D703ED5" w14:textId="77777777" w:rsidR="00053418" w:rsidRPr="009E06AA" w:rsidRDefault="00053418" w:rsidP="00B55F24">
            <w:pPr>
              <w:pStyle w:val="TableText"/>
              <w:spacing w:before="30" w:after="30"/>
              <w:rPr>
                <w:rFonts w:cs="Calibri"/>
                <w:szCs w:val="16"/>
              </w:rPr>
            </w:pPr>
            <w:r w:rsidRPr="009E06AA">
              <w:rPr>
                <w:rFonts w:cs="Calibri"/>
                <w:szCs w:val="16"/>
              </w:rPr>
              <w:tab/>
              <w:t>AGB</w:t>
            </w:r>
          </w:p>
        </w:tc>
        <w:tc>
          <w:tcPr>
            <w:tcW w:w="1276" w:type="dxa"/>
            <w:tcBorders>
              <w:top w:val="single" w:sz="4" w:space="0" w:color="365F91"/>
              <w:bottom w:val="single" w:sz="4" w:space="0" w:color="365F91"/>
            </w:tcBorders>
          </w:tcPr>
          <w:p w14:paraId="16274454" w14:textId="77777777" w:rsidR="00053418" w:rsidRPr="009E06AA" w:rsidRDefault="00053418" w:rsidP="00FA728E">
            <w:pPr>
              <w:pStyle w:val="TableText"/>
              <w:spacing w:before="30" w:after="30"/>
              <w:jc w:val="right"/>
              <w:rPr>
                <w:rFonts w:cs="Calibri"/>
                <w:szCs w:val="16"/>
              </w:rPr>
            </w:pPr>
            <w:r w:rsidRPr="009E06AA">
              <w:rPr>
                <w:rFonts w:cs="Calibri"/>
                <w:szCs w:val="16"/>
              </w:rPr>
              <w:t>9.35</w:t>
            </w:r>
          </w:p>
        </w:tc>
        <w:tc>
          <w:tcPr>
            <w:tcW w:w="1276" w:type="dxa"/>
            <w:tcBorders>
              <w:top w:val="single" w:sz="4" w:space="0" w:color="365F91"/>
              <w:bottom w:val="single" w:sz="4" w:space="0" w:color="365F91"/>
            </w:tcBorders>
          </w:tcPr>
          <w:p w14:paraId="7B7500E9" w14:textId="77777777" w:rsidR="00053418" w:rsidRPr="009E06AA" w:rsidRDefault="00053418" w:rsidP="00FA728E">
            <w:pPr>
              <w:pStyle w:val="TableText"/>
              <w:spacing w:before="30" w:after="30"/>
              <w:jc w:val="right"/>
              <w:rPr>
                <w:rFonts w:cs="Calibri"/>
                <w:szCs w:val="16"/>
              </w:rPr>
            </w:pPr>
            <w:r w:rsidRPr="009E06AA">
              <w:rPr>
                <w:rFonts w:cs="Calibri"/>
                <w:szCs w:val="16"/>
              </w:rPr>
              <w:t>0.36</w:t>
            </w:r>
          </w:p>
        </w:tc>
        <w:tc>
          <w:tcPr>
            <w:tcW w:w="1275" w:type="dxa"/>
            <w:tcBorders>
              <w:top w:val="single" w:sz="4" w:space="0" w:color="365F91"/>
              <w:bottom w:val="single" w:sz="4" w:space="0" w:color="365F91"/>
            </w:tcBorders>
          </w:tcPr>
          <w:p w14:paraId="52B0E5E7" w14:textId="77777777" w:rsidR="00053418" w:rsidRPr="009E06AA" w:rsidRDefault="00053418" w:rsidP="00FA728E">
            <w:pPr>
              <w:pStyle w:val="TableText"/>
              <w:spacing w:before="30" w:after="30"/>
              <w:jc w:val="right"/>
              <w:rPr>
                <w:rFonts w:cs="Calibri"/>
                <w:szCs w:val="16"/>
              </w:rPr>
            </w:pPr>
            <w:r w:rsidRPr="009E06AA">
              <w:rPr>
                <w:rFonts w:cs="Calibri"/>
                <w:szCs w:val="16"/>
              </w:rPr>
              <w:t>20</w:t>
            </w:r>
          </w:p>
        </w:tc>
        <w:tc>
          <w:tcPr>
            <w:tcW w:w="1701" w:type="dxa"/>
            <w:vMerge/>
          </w:tcPr>
          <w:p w14:paraId="6770A11D" w14:textId="77777777" w:rsidR="00053418" w:rsidRPr="009E06AA" w:rsidRDefault="00053418" w:rsidP="00B55F24">
            <w:pPr>
              <w:pStyle w:val="TableText"/>
              <w:spacing w:before="30" w:after="30"/>
              <w:rPr>
                <w:rFonts w:cs="Calibri"/>
                <w:szCs w:val="16"/>
              </w:rPr>
            </w:pPr>
          </w:p>
        </w:tc>
      </w:tr>
      <w:tr w:rsidR="00053418" w:rsidRPr="009E06AA" w14:paraId="68886971" w14:textId="77777777" w:rsidTr="00B55F24">
        <w:trPr>
          <w:trHeight w:val="20"/>
        </w:trPr>
        <w:tc>
          <w:tcPr>
            <w:tcW w:w="1246" w:type="dxa"/>
            <w:vMerge/>
            <w:tcBorders>
              <w:bottom w:val="single" w:sz="4" w:space="0" w:color="1B556B"/>
            </w:tcBorders>
          </w:tcPr>
          <w:p w14:paraId="7C901658" w14:textId="77777777" w:rsidR="00053418" w:rsidRPr="009E06AA" w:rsidRDefault="00053418" w:rsidP="00B55F24">
            <w:pPr>
              <w:pStyle w:val="TableText"/>
              <w:spacing w:before="30" w:after="30"/>
              <w:rPr>
                <w:rFonts w:cs="Calibri"/>
                <w:szCs w:val="16"/>
              </w:rPr>
            </w:pPr>
          </w:p>
        </w:tc>
        <w:tc>
          <w:tcPr>
            <w:tcW w:w="1731" w:type="dxa"/>
            <w:tcBorders>
              <w:top w:val="single" w:sz="4" w:space="0" w:color="365F91"/>
              <w:bottom w:val="single" w:sz="4" w:space="0" w:color="365F91"/>
            </w:tcBorders>
          </w:tcPr>
          <w:p w14:paraId="3EB622B5" w14:textId="77777777" w:rsidR="00053418" w:rsidRPr="009E06AA" w:rsidRDefault="00053418" w:rsidP="00B55F24">
            <w:pPr>
              <w:pStyle w:val="TableText"/>
              <w:spacing w:before="30" w:after="30"/>
              <w:rPr>
                <w:rFonts w:cs="Calibri"/>
                <w:szCs w:val="16"/>
              </w:rPr>
            </w:pPr>
            <w:r w:rsidRPr="009E06AA">
              <w:rPr>
                <w:rFonts w:cs="Calibri"/>
                <w:szCs w:val="16"/>
              </w:rPr>
              <w:tab/>
              <w:t>BGB</w:t>
            </w:r>
          </w:p>
        </w:tc>
        <w:tc>
          <w:tcPr>
            <w:tcW w:w="1276" w:type="dxa"/>
            <w:tcBorders>
              <w:top w:val="single" w:sz="4" w:space="0" w:color="365F91"/>
              <w:bottom w:val="single" w:sz="4" w:space="0" w:color="365F91"/>
            </w:tcBorders>
          </w:tcPr>
          <w:p w14:paraId="6C5E5397" w14:textId="77777777" w:rsidR="00053418" w:rsidRPr="009E06AA" w:rsidRDefault="00053418" w:rsidP="00FA728E">
            <w:pPr>
              <w:pStyle w:val="TableText"/>
              <w:spacing w:before="30" w:after="30"/>
              <w:jc w:val="right"/>
              <w:rPr>
                <w:rFonts w:cs="Calibri"/>
                <w:szCs w:val="16"/>
              </w:rPr>
            </w:pPr>
            <w:r w:rsidRPr="009E06AA">
              <w:rPr>
                <w:rFonts w:cs="Calibri"/>
                <w:szCs w:val="16"/>
              </w:rPr>
              <w:t>3.05</w:t>
            </w:r>
          </w:p>
        </w:tc>
        <w:tc>
          <w:tcPr>
            <w:tcW w:w="1276" w:type="dxa"/>
            <w:tcBorders>
              <w:top w:val="single" w:sz="4" w:space="0" w:color="365F91"/>
              <w:bottom w:val="single" w:sz="4" w:space="0" w:color="365F91"/>
            </w:tcBorders>
          </w:tcPr>
          <w:p w14:paraId="79B9BFE3" w14:textId="77777777" w:rsidR="00053418" w:rsidRPr="009E06AA" w:rsidRDefault="00053418" w:rsidP="00FA728E">
            <w:pPr>
              <w:pStyle w:val="TableText"/>
              <w:spacing w:before="30" w:after="30"/>
              <w:jc w:val="right"/>
              <w:rPr>
                <w:rFonts w:cs="Calibri"/>
                <w:szCs w:val="16"/>
              </w:rPr>
            </w:pPr>
            <w:r w:rsidRPr="009E06AA">
              <w:rPr>
                <w:rFonts w:cs="Calibri"/>
                <w:szCs w:val="16"/>
              </w:rPr>
              <w:t>0.08</w:t>
            </w:r>
          </w:p>
        </w:tc>
        <w:tc>
          <w:tcPr>
            <w:tcW w:w="1275" w:type="dxa"/>
            <w:tcBorders>
              <w:top w:val="single" w:sz="4" w:space="0" w:color="365F91"/>
              <w:bottom w:val="single" w:sz="4" w:space="0" w:color="365F91"/>
            </w:tcBorders>
          </w:tcPr>
          <w:p w14:paraId="6603675E" w14:textId="77777777" w:rsidR="00053418" w:rsidRPr="009E06AA" w:rsidRDefault="00053418" w:rsidP="00FA728E">
            <w:pPr>
              <w:pStyle w:val="TableText"/>
              <w:spacing w:before="30" w:after="30"/>
              <w:jc w:val="right"/>
              <w:rPr>
                <w:rFonts w:cs="Calibri"/>
                <w:szCs w:val="16"/>
              </w:rPr>
            </w:pPr>
            <w:r w:rsidRPr="009E06AA">
              <w:rPr>
                <w:rFonts w:cs="Calibri"/>
                <w:szCs w:val="16"/>
              </w:rPr>
              <w:t>20</w:t>
            </w:r>
          </w:p>
        </w:tc>
        <w:tc>
          <w:tcPr>
            <w:tcW w:w="1701" w:type="dxa"/>
            <w:vMerge/>
          </w:tcPr>
          <w:p w14:paraId="2BA15D63" w14:textId="77777777" w:rsidR="00053418" w:rsidRPr="009E06AA" w:rsidRDefault="00053418" w:rsidP="00B55F24">
            <w:pPr>
              <w:pStyle w:val="TableText"/>
              <w:spacing w:before="30" w:after="30"/>
              <w:rPr>
                <w:rFonts w:cs="Calibri"/>
                <w:szCs w:val="16"/>
              </w:rPr>
            </w:pPr>
          </w:p>
        </w:tc>
      </w:tr>
      <w:tr w:rsidR="00053418" w:rsidRPr="009E06AA" w14:paraId="53DC2F11" w14:textId="77777777" w:rsidTr="00B55F24">
        <w:trPr>
          <w:trHeight w:val="20"/>
        </w:trPr>
        <w:tc>
          <w:tcPr>
            <w:tcW w:w="1246" w:type="dxa"/>
            <w:vMerge/>
            <w:tcBorders>
              <w:bottom w:val="single" w:sz="4" w:space="0" w:color="1B556B"/>
            </w:tcBorders>
          </w:tcPr>
          <w:p w14:paraId="54420305" w14:textId="77777777" w:rsidR="00053418" w:rsidRPr="009E06AA" w:rsidRDefault="00053418" w:rsidP="00B55F24">
            <w:pPr>
              <w:pStyle w:val="TableText"/>
              <w:spacing w:before="30" w:after="30"/>
              <w:rPr>
                <w:rFonts w:cs="Calibri"/>
                <w:szCs w:val="16"/>
              </w:rPr>
            </w:pPr>
          </w:p>
        </w:tc>
        <w:tc>
          <w:tcPr>
            <w:tcW w:w="1731" w:type="dxa"/>
            <w:tcBorders>
              <w:top w:val="single" w:sz="4" w:space="0" w:color="365F91"/>
              <w:bottom w:val="single" w:sz="4" w:space="0" w:color="365F91"/>
            </w:tcBorders>
          </w:tcPr>
          <w:p w14:paraId="037AB109" w14:textId="77777777" w:rsidR="00053418" w:rsidRPr="009E06AA" w:rsidRDefault="00053418" w:rsidP="00B55F24">
            <w:pPr>
              <w:pStyle w:val="TableText"/>
              <w:spacing w:before="30" w:after="30"/>
              <w:rPr>
                <w:rFonts w:cs="Calibri"/>
                <w:i/>
                <w:szCs w:val="16"/>
              </w:rPr>
            </w:pPr>
            <w:r w:rsidRPr="009E06AA">
              <w:rPr>
                <w:rFonts w:cs="Calibri"/>
                <w:i/>
                <w:szCs w:val="16"/>
              </w:rPr>
              <w:t>Dead organic matter</w:t>
            </w:r>
          </w:p>
        </w:tc>
        <w:tc>
          <w:tcPr>
            <w:tcW w:w="1276" w:type="dxa"/>
            <w:tcBorders>
              <w:top w:val="single" w:sz="4" w:space="0" w:color="365F91"/>
              <w:bottom w:val="single" w:sz="4" w:space="0" w:color="365F91"/>
            </w:tcBorders>
          </w:tcPr>
          <w:p w14:paraId="14E64E0F" w14:textId="77777777" w:rsidR="00053418" w:rsidRPr="009E06AA" w:rsidRDefault="00053418" w:rsidP="00B55F24">
            <w:pPr>
              <w:pStyle w:val="TableText"/>
              <w:spacing w:before="30" w:after="30"/>
              <w:jc w:val="center"/>
              <w:rPr>
                <w:rFonts w:cs="Calibri"/>
                <w:szCs w:val="16"/>
              </w:rPr>
            </w:pPr>
          </w:p>
        </w:tc>
        <w:tc>
          <w:tcPr>
            <w:tcW w:w="1276" w:type="dxa"/>
            <w:tcBorders>
              <w:top w:val="single" w:sz="4" w:space="0" w:color="365F91"/>
              <w:bottom w:val="single" w:sz="4" w:space="0" w:color="365F91"/>
            </w:tcBorders>
          </w:tcPr>
          <w:p w14:paraId="624D5A3B" w14:textId="77777777" w:rsidR="00053418" w:rsidRPr="009E06AA" w:rsidRDefault="00053418" w:rsidP="00B55F24">
            <w:pPr>
              <w:pStyle w:val="TableText"/>
              <w:spacing w:before="30" w:after="30"/>
              <w:jc w:val="center"/>
              <w:rPr>
                <w:rFonts w:cs="Calibri"/>
                <w:szCs w:val="16"/>
              </w:rPr>
            </w:pPr>
          </w:p>
        </w:tc>
        <w:tc>
          <w:tcPr>
            <w:tcW w:w="1275" w:type="dxa"/>
            <w:tcBorders>
              <w:top w:val="single" w:sz="4" w:space="0" w:color="365F91"/>
              <w:bottom w:val="single" w:sz="4" w:space="0" w:color="365F91"/>
            </w:tcBorders>
          </w:tcPr>
          <w:p w14:paraId="4C8B7FE5" w14:textId="77777777" w:rsidR="00053418" w:rsidRPr="009E06AA" w:rsidRDefault="00053418" w:rsidP="00B55F24">
            <w:pPr>
              <w:pStyle w:val="TableText"/>
              <w:spacing w:before="30" w:after="30"/>
              <w:jc w:val="center"/>
              <w:rPr>
                <w:rFonts w:cs="Calibri"/>
                <w:szCs w:val="16"/>
              </w:rPr>
            </w:pPr>
          </w:p>
        </w:tc>
        <w:tc>
          <w:tcPr>
            <w:tcW w:w="1701" w:type="dxa"/>
            <w:vMerge/>
          </w:tcPr>
          <w:p w14:paraId="1EB654B4" w14:textId="77777777" w:rsidR="00053418" w:rsidRPr="009E06AA" w:rsidRDefault="00053418" w:rsidP="00B55F24">
            <w:pPr>
              <w:pStyle w:val="TableText"/>
              <w:spacing w:before="30" w:after="30"/>
              <w:rPr>
                <w:rFonts w:cs="Calibri"/>
                <w:szCs w:val="16"/>
              </w:rPr>
            </w:pPr>
          </w:p>
        </w:tc>
      </w:tr>
      <w:tr w:rsidR="00053418" w:rsidRPr="009E06AA" w14:paraId="219C7B8A" w14:textId="77777777" w:rsidTr="00B55F24">
        <w:trPr>
          <w:trHeight w:val="20"/>
        </w:trPr>
        <w:tc>
          <w:tcPr>
            <w:tcW w:w="1246" w:type="dxa"/>
            <w:vMerge/>
            <w:tcBorders>
              <w:bottom w:val="single" w:sz="4" w:space="0" w:color="1B556B"/>
            </w:tcBorders>
          </w:tcPr>
          <w:p w14:paraId="4106896D" w14:textId="77777777" w:rsidR="00053418" w:rsidRPr="009E06AA" w:rsidRDefault="00053418" w:rsidP="00B55F24">
            <w:pPr>
              <w:pStyle w:val="TableText"/>
              <w:spacing w:before="30" w:after="30"/>
              <w:rPr>
                <w:rFonts w:cs="Calibri"/>
                <w:szCs w:val="16"/>
              </w:rPr>
            </w:pPr>
          </w:p>
        </w:tc>
        <w:tc>
          <w:tcPr>
            <w:tcW w:w="1731" w:type="dxa"/>
            <w:tcBorders>
              <w:top w:val="single" w:sz="4" w:space="0" w:color="365F91"/>
              <w:bottom w:val="single" w:sz="4" w:space="0" w:color="365F91"/>
            </w:tcBorders>
          </w:tcPr>
          <w:p w14:paraId="32D2E3CE" w14:textId="77777777" w:rsidR="00053418" w:rsidRPr="009E06AA" w:rsidRDefault="00053418" w:rsidP="00B55F24">
            <w:pPr>
              <w:pStyle w:val="TableText"/>
              <w:spacing w:before="30" w:after="30"/>
              <w:rPr>
                <w:rFonts w:cs="Calibri"/>
                <w:szCs w:val="16"/>
              </w:rPr>
            </w:pPr>
            <w:r w:rsidRPr="009E06AA">
              <w:rPr>
                <w:rFonts w:cs="Calibri"/>
                <w:szCs w:val="16"/>
              </w:rPr>
              <w:tab/>
              <w:t>Dead wood</w:t>
            </w:r>
          </w:p>
        </w:tc>
        <w:tc>
          <w:tcPr>
            <w:tcW w:w="1276" w:type="dxa"/>
            <w:tcBorders>
              <w:top w:val="single" w:sz="4" w:space="0" w:color="365F91"/>
              <w:bottom w:val="single" w:sz="4" w:space="0" w:color="365F91"/>
            </w:tcBorders>
          </w:tcPr>
          <w:p w14:paraId="5F7A1B11" w14:textId="77777777" w:rsidR="00053418" w:rsidRPr="009E06AA" w:rsidRDefault="00053418" w:rsidP="00FA728E">
            <w:pPr>
              <w:pStyle w:val="TableText"/>
              <w:spacing w:before="30" w:after="30"/>
              <w:jc w:val="right"/>
              <w:rPr>
                <w:rFonts w:cs="Calibri"/>
                <w:szCs w:val="16"/>
              </w:rPr>
            </w:pPr>
            <w:r w:rsidRPr="009E06AA">
              <w:rPr>
                <w:rFonts w:cs="Calibri"/>
                <w:szCs w:val="16"/>
              </w:rPr>
              <w:t>0.10</w:t>
            </w:r>
          </w:p>
        </w:tc>
        <w:tc>
          <w:tcPr>
            <w:tcW w:w="1276" w:type="dxa"/>
            <w:tcBorders>
              <w:top w:val="single" w:sz="4" w:space="0" w:color="365F91"/>
              <w:bottom w:val="single" w:sz="4" w:space="0" w:color="365F91"/>
            </w:tcBorders>
          </w:tcPr>
          <w:p w14:paraId="6A6D5515" w14:textId="77777777" w:rsidR="00053418" w:rsidRPr="009E06AA" w:rsidRDefault="00053418" w:rsidP="00FA728E">
            <w:pPr>
              <w:pStyle w:val="TableText"/>
              <w:spacing w:before="30" w:after="30"/>
              <w:jc w:val="right"/>
              <w:rPr>
                <w:rFonts w:cs="Calibri"/>
                <w:szCs w:val="16"/>
              </w:rPr>
            </w:pPr>
            <w:r w:rsidRPr="009E06AA">
              <w:rPr>
                <w:rFonts w:cs="Calibri"/>
                <w:szCs w:val="16"/>
              </w:rPr>
              <w:t>0.004</w:t>
            </w:r>
          </w:p>
        </w:tc>
        <w:tc>
          <w:tcPr>
            <w:tcW w:w="1275" w:type="dxa"/>
            <w:tcBorders>
              <w:top w:val="single" w:sz="4" w:space="0" w:color="365F91"/>
              <w:bottom w:val="single" w:sz="4" w:space="0" w:color="365F91"/>
            </w:tcBorders>
          </w:tcPr>
          <w:p w14:paraId="7F65F4C5" w14:textId="77777777" w:rsidR="00053418" w:rsidRPr="009E06AA" w:rsidRDefault="00053418" w:rsidP="00FA728E">
            <w:pPr>
              <w:pStyle w:val="TableText"/>
              <w:spacing w:before="30" w:after="30"/>
              <w:jc w:val="right"/>
              <w:rPr>
                <w:rFonts w:cs="Calibri"/>
                <w:szCs w:val="16"/>
              </w:rPr>
            </w:pPr>
            <w:r w:rsidRPr="009E06AA">
              <w:rPr>
                <w:rFonts w:cs="Calibri"/>
                <w:szCs w:val="16"/>
              </w:rPr>
              <w:t>20</w:t>
            </w:r>
          </w:p>
        </w:tc>
        <w:tc>
          <w:tcPr>
            <w:tcW w:w="1701" w:type="dxa"/>
            <w:vMerge/>
          </w:tcPr>
          <w:p w14:paraId="056C2A39" w14:textId="77777777" w:rsidR="00053418" w:rsidRPr="009E06AA" w:rsidRDefault="00053418" w:rsidP="00B55F24">
            <w:pPr>
              <w:pStyle w:val="TableText"/>
              <w:spacing w:before="30" w:after="30"/>
              <w:rPr>
                <w:rFonts w:cs="Calibri"/>
                <w:szCs w:val="16"/>
              </w:rPr>
            </w:pPr>
          </w:p>
        </w:tc>
      </w:tr>
      <w:tr w:rsidR="00053418" w:rsidRPr="009E06AA" w14:paraId="5809511A" w14:textId="77777777" w:rsidTr="00B55F24">
        <w:trPr>
          <w:trHeight w:val="20"/>
        </w:trPr>
        <w:tc>
          <w:tcPr>
            <w:tcW w:w="1246" w:type="dxa"/>
            <w:vMerge/>
            <w:tcBorders>
              <w:bottom w:val="single" w:sz="4" w:space="0" w:color="1B556B"/>
            </w:tcBorders>
          </w:tcPr>
          <w:p w14:paraId="0B3C24C5" w14:textId="77777777" w:rsidR="00053418" w:rsidRPr="009E06AA" w:rsidRDefault="00053418" w:rsidP="00B55F24">
            <w:pPr>
              <w:pStyle w:val="TableText"/>
              <w:spacing w:before="30" w:after="30"/>
              <w:rPr>
                <w:rFonts w:cs="Calibri"/>
                <w:szCs w:val="16"/>
              </w:rPr>
            </w:pPr>
          </w:p>
        </w:tc>
        <w:tc>
          <w:tcPr>
            <w:tcW w:w="1731" w:type="dxa"/>
            <w:tcBorders>
              <w:top w:val="single" w:sz="4" w:space="0" w:color="365F91"/>
              <w:bottom w:val="single" w:sz="4" w:space="0" w:color="1B556B"/>
            </w:tcBorders>
          </w:tcPr>
          <w:p w14:paraId="1D5B3F8F" w14:textId="77777777" w:rsidR="00053418" w:rsidRPr="009E06AA" w:rsidRDefault="00053418" w:rsidP="00B55F24">
            <w:pPr>
              <w:pStyle w:val="TableText"/>
              <w:spacing w:before="30" w:after="30"/>
              <w:rPr>
                <w:rFonts w:cs="Calibri"/>
                <w:szCs w:val="16"/>
              </w:rPr>
            </w:pPr>
            <w:r w:rsidRPr="009E06AA">
              <w:rPr>
                <w:rFonts w:cs="Calibri"/>
                <w:szCs w:val="16"/>
              </w:rPr>
              <w:tab/>
              <w:t>Litter</w:t>
            </w:r>
          </w:p>
        </w:tc>
        <w:tc>
          <w:tcPr>
            <w:tcW w:w="1276" w:type="dxa"/>
            <w:tcBorders>
              <w:top w:val="single" w:sz="4" w:space="0" w:color="365F91"/>
              <w:bottom w:val="single" w:sz="4" w:space="0" w:color="1B556B"/>
            </w:tcBorders>
          </w:tcPr>
          <w:p w14:paraId="50A207F2" w14:textId="77777777" w:rsidR="00053418" w:rsidRPr="009E06AA" w:rsidRDefault="00053418" w:rsidP="00FA728E">
            <w:pPr>
              <w:pStyle w:val="TableText"/>
              <w:spacing w:before="30" w:after="30"/>
              <w:jc w:val="right"/>
              <w:rPr>
                <w:rFonts w:cs="Calibri"/>
                <w:szCs w:val="16"/>
              </w:rPr>
            </w:pPr>
            <w:r w:rsidRPr="009E06AA">
              <w:rPr>
                <w:rFonts w:cs="Calibri"/>
                <w:szCs w:val="16"/>
              </w:rPr>
              <w:t>0.55</w:t>
            </w:r>
          </w:p>
        </w:tc>
        <w:tc>
          <w:tcPr>
            <w:tcW w:w="1276" w:type="dxa"/>
            <w:tcBorders>
              <w:top w:val="single" w:sz="4" w:space="0" w:color="365F91"/>
              <w:bottom w:val="single" w:sz="4" w:space="0" w:color="1B556B"/>
            </w:tcBorders>
          </w:tcPr>
          <w:p w14:paraId="7317B530" w14:textId="77777777" w:rsidR="00053418" w:rsidRPr="009E06AA" w:rsidRDefault="00053418" w:rsidP="00FA728E">
            <w:pPr>
              <w:pStyle w:val="TableText"/>
              <w:spacing w:before="30" w:after="30"/>
              <w:jc w:val="right"/>
              <w:rPr>
                <w:rFonts w:cs="Calibri"/>
                <w:szCs w:val="16"/>
              </w:rPr>
            </w:pPr>
            <w:r w:rsidRPr="009E06AA">
              <w:rPr>
                <w:rFonts w:cs="Calibri"/>
                <w:szCs w:val="16"/>
              </w:rPr>
              <w:t>0.02</w:t>
            </w:r>
          </w:p>
        </w:tc>
        <w:tc>
          <w:tcPr>
            <w:tcW w:w="1275" w:type="dxa"/>
            <w:tcBorders>
              <w:top w:val="single" w:sz="4" w:space="0" w:color="365F91"/>
              <w:bottom w:val="single" w:sz="4" w:space="0" w:color="1B556B"/>
            </w:tcBorders>
          </w:tcPr>
          <w:p w14:paraId="6F8EF050" w14:textId="77777777" w:rsidR="00053418" w:rsidRPr="009E06AA" w:rsidRDefault="00053418" w:rsidP="00FA728E">
            <w:pPr>
              <w:pStyle w:val="TableText"/>
              <w:spacing w:before="30" w:after="30"/>
              <w:jc w:val="right"/>
              <w:rPr>
                <w:rFonts w:cs="Calibri"/>
                <w:szCs w:val="16"/>
              </w:rPr>
            </w:pPr>
            <w:r w:rsidRPr="009E06AA">
              <w:rPr>
                <w:rFonts w:cs="Calibri"/>
                <w:szCs w:val="16"/>
              </w:rPr>
              <w:t>20</w:t>
            </w:r>
          </w:p>
        </w:tc>
        <w:tc>
          <w:tcPr>
            <w:tcW w:w="1701" w:type="dxa"/>
            <w:vMerge/>
            <w:tcBorders>
              <w:bottom w:val="single" w:sz="4" w:space="0" w:color="1B556B"/>
            </w:tcBorders>
          </w:tcPr>
          <w:p w14:paraId="59A63342" w14:textId="77777777" w:rsidR="00053418" w:rsidRPr="009E06AA" w:rsidRDefault="00053418" w:rsidP="00B55F24">
            <w:pPr>
              <w:pStyle w:val="TableText"/>
              <w:spacing w:before="30" w:after="30"/>
              <w:rPr>
                <w:rFonts w:cs="Calibri"/>
                <w:szCs w:val="16"/>
              </w:rPr>
            </w:pPr>
          </w:p>
        </w:tc>
      </w:tr>
      <w:tr w:rsidR="00053418" w:rsidRPr="009E06AA" w14:paraId="6D1AF04E" w14:textId="77777777" w:rsidTr="00B55F24">
        <w:trPr>
          <w:trHeight w:val="20"/>
        </w:trPr>
        <w:tc>
          <w:tcPr>
            <w:tcW w:w="1246" w:type="dxa"/>
            <w:vMerge w:val="restart"/>
            <w:tcBorders>
              <w:top w:val="single" w:sz="4" w:space="0" w:color="1B556B"/>
              <w:bottom w:val="single" w:sz="4" w:space="0" w:color="1B556B"/>
            </w:tcBorders>
          </w:tcPr>
          <w:p w14:paraId="78794263" w14:textId="77777777" w:rsidR="00053418" w:rsidRPr="009E06AA" w:rsidRDefault="00053418" w:rsidP="00B55F24">
            <w:pPr>
              <w:pStyle w:val="TableText"/>
              <w:spacing w:before="30" w:after="30"/>
              <w:rPr>
                <w:rFonts w:cs="Calibri"/>
                <w:szCs w:val="16"/>
              </w:rPr>
            </w:pPr>
            <w:r w:rsidRPr="009E06AA">
              <w:rPr>
                <w:rFonts w:cs="Calibri"/>
                <w:szCs w:val="16"/>
              </w:rPr>
              <w:t>With woody biomass – permanent</w:t>
            </w:r>
          </w:p>
        </w:tc>
        <w:tc>
          <w:tcPr>
            <w:tcW w:w="1731" w:type="dxa"/>
            <w:tcBorders>
              <w:top w:val="single" w:sz="4" w:space="0" w:color="1B556B"/>
              <w:bottom w:val="single" w:sz="4" w:space="0" w:color="1B556B"/>
            </w:tcBorders>
          </w:tcPr>
          <w:p w14:paraId="5EF4B80A" w14:textId="77777777" w:rsidR="00053418" w:rsidRPr="009E06AA" w:rsidRDefault="00053418" w:rsidP="00B55F24">
            <w:pPr>
              <w:pStyle w:val="TableText"/>
              <w:spacing w:before="30" w:after="30"/>
              <w:rPr>
                <w:rFonts w:cs="Calibri"/>
                <w:b/>
                <w:szCs w:val="16"/>
              </w:rPr>
            </w:pPr>
            <w:r w:rsidRPr="009E06AA">
              <w:rPr>
                <w:rFonts w:cs="Calibri"/>
                <w:b/>
                <w:szCs w:val="16"/>
              </w:rPr>
              <w:t>Total biomass</w:t>
            </w:r>
          </w:p>
        </w:tc>
        <w:tc>
          <w:tcPr>
            <w:tcW w:w="1276" w:type="dxa"/>
            <w:tcBorders>
              <w:top w:val="single" w:sz="4" w:space="0" w:color="1B556B"/>
              <w:bottom w:val="single" w:sz="4" w:space="0" w:color="1B556B"/>
            </w:tcBorders>
          </w:tcPr>
          <w:p w14:paraId="6D453D02" w14:textId="77777777" w:rsidR="00053418" w:rsidRPr="009E06AA" w:rsidRDefault="00053418" w:rsidP="00FA728E">
            <w:pPr>
              <w:pStyle w:val="TableText"/>
              <w:spacing w:before="30" w:after="30"/>
              <w:jc w:val="right"/>
              <w:rPr>
                <w:rFonts w:cs="Calibri"/>
                <w:b/>
                <w:szCs w:val="16"/>
              </w:rPr>
            </w:pPr>
            <w:r w:rsidRPr="009E06AA">
              <w:rPr>
                <w:rFonts w:cs="Calibri"/>
                <w:b/>
                <w:szCs w:val="16"/>
              </w:rPr>
              <w:t>60.57</w:t>
            </w:r>
          </w:p>
        </w:tc>
        <w:tc>
          <w:tcPr>
            <w:tcW w:w="1276" w:type="dxa"/>
            <w:tcBorders>
              <w:top w:val="single" w:sz="4" w:space="0" w:color="1B556B"/>
              <w:bottom w:val="single" w:sz="4" w:space="0" w:color="1B556B"/>
            </w:tcBorders>
          </w:tcPr>
          <w:p w14:paraId="14426CB7" w14:textId="77777777" w:rsidR="00053418" w:rsidRPr="009E06AA" w:rsidRDefault="00053418" w:rsidP="00FA728E">
            <w:pPr>
              <w:pStyle w:val="TableText"/>
              <w:spacing w:before="30" w:after="30"/>
              <w:jc w:val="right"/>
              <w:rPr>
                <w:rFonts w:cs="Calibri"/>
                <w:b/>
                <w:szCs w:val="16"/>
              </w:rPr>
            </w:pPr>
            <w:r w:rsidRPr="009E06AA">
              <w:rPr>
                <w:rFonts w:cs="Calibri"/>
                <w:b/>
                <w:bCs/>
                <w:szCs w:val="16"/>
              </w:rPr>
              <w:t>NO</w:t>
            </w:r>
          </w:p>
        </w:tc>
        <w:tc>
          <w:tcPr>
            <w:tcW w:w="1275" w:type="dxa"/>
            <w:tcBorders>
              <w:top w:val="single" w:sz="4" w:space="0" w:color="1B556B"/>
              <w:bottom w:val="single" w:sz="4" w:space="0" w:color="1B556B"/>
            </w:tcBorders>
          </w:tcPr>
          <w:p w14:paraId="53516D0A" w14:textId="77777777" w:rsidR="00053418" w:rsidRPr="009E06AA" w:rsidRDefault="00053418" w:rsidP="00FA728E">
            <w:pPr>
              <w:pStyle w:val="TableText"/>
              <w:spacing w:before="30" w:after="30"/>
              <w:jc w:val="right"/>
              <w:rPr>
                <w:rFonts w:cs="Calibri"/>
                <w:b/>
                <w:szCs w:val="16"/>
              </w:rPr>
            </w:pPr>
            <w:r w:rsidRPr="009E06AA">
              <w:rPr>
                <w:rFonts w:cs="Calibri"/>
                <w:b/>
                <w:bCs/>
                <w:szCs w:val="16"/>
              </w:rPr>
              <w:t>NO</w:t>
            </w:r>
          </w:p>
        </w:tc>
        <w:tc>
          <w:tcPr>
            <w:tcW w:w="1701" w:type="dxa"/>
            <w:vMerge w:val="restart"/>
            <w:tcBorders>
              <w:top w:val="single" w:sz="4" w:space="0" w:color="1B556B"/>
              <w:bottom w:val="single" w:sz="4" w:space="0" w:color="1B556B"/>
            </w:tcBorders>
          </w:tcPr>
          <w:p w14:paraId="75D0FA30" w14:textId="77777777" w:rsidR="00053418" w:rsidRPr="009E06AA" w:rsidRDefault="00053418" w:rsidP="00B55F24">
            <w:pPr>
              <w:pStyle w:val="TableText"/>
              <w:spacing w:before="30" w:after="30"/>
              <w:rPr>
                <w:rFonts w:cs="Calibri"/>
                <w:szCs w:val="16"/>
              </w:rPr>
            </w:pPr>
            <w:r w:rsidRPr="009E06AA">
              <w:rPr>
                <w:rFonts w:cs="Calibri"/>
                <w:szCs w:val="16"/>
              </w:rPr>
              <w:t>Wakelin and Beets (unpublished)</w:t>
            </w:r>
          </w:p>
        </w:tc>
      </w:tr>
      <w:tr w:rsidR="00053418" w:rsidRPr="009E06AA" w14:paraId="56FB9280" w14:textId="77777777" w:rsidTr="00B55F24">
        <w:trPr>
          <w:trHeight w:val="20"/>
        </w:trPr>
        <w:tc>
          <w:tcPr>
            <w:tcW w:w="1246" w:type="dxa"/>
            <w:vMerge/>
            <w:tcBorders>
              <w:top w:val="single" w:sz="4" w:space="0" w:color="1B556B"/>
              <w:bottom w:val="single" w:sz="4" w:space="0" w:color="1B556B"/>
            </w:tcBorders>
          </w:tcPr>
          <w:p w14:paraId="3D81DDB1" w14:textId="77777777" w:rsidR="00053418" w:rsidRPr="009E06AA" w:rsidRDefault="00053418" w:rsidP="00B55F24">
            <w:pPr>
              <w:pStyle w:val="TableText"/>
              <w:spacing w:before="30" w:after="30"/>
              <w:rPr>
                <w:rFonts w:cs="Calibri"/>
                <w:szCs w:val="16"/>
              </w:rPr>
            </w:pPr>
          </w:p>
        </w:tc>
        <w:tc>
          <w:tcPr>
            <w:tcW w:w="1731" w:type="dxa"/>
            <w:tcBorders>
              <w:top w:val="single" w:sz="4" w:space="0" w:color="1B556B"/>
              <w:bottom w:val="single" w:sz="4" w:space="0" w:color="1B556B"/>
            </w:tcBorders>
          </w:tcPr>
          <w:p w14:paraId="3A22A4CB" w14:textId="77777777" w:rsidR="00053418" w:rsidRPr="009E06AA" w:rsidRDefault="00053418" w:rsidP="00B55F24">
            <w:pPr>
              <w:pStyle w:val="TableText"/>
              <w:spacing w:before="30" w:after="30"/>
              <w:rPr>
                <w:rFonts w:cs="Calibri"/>
                <w:i/>
                <w:szCs w:val="16"/>
              </w:rPr>
            </w:pPr>
            <w:r w:rsidRPr="009E06AA">
              <w:rPr>
                <w:rFonts w:cs="Calibri"/>
                <w:i/>
                <w:szCs w:val="16"/>
              </w:rPr>
              <w:t>Living biomass</w:t>
            </w:r>
          </w:p>
        </w:tc>
        <w:tc>
          <w:tcPr>
            <w:tcW w:w="1276" w:type="dxa"/>
            <w:tcBorders>
              <w:top w:val="single" w:sz="4" w:space="0" w:color="1B556B"/>
              <w:bottom w:val="single" w:sz="4" w:space="0" w:color="1B556B"/>
            </w:tcBorders>
          </w:tcPr>
          <w:p w14:paraId="5E18E340" w14:textId="77777777" w:rsidR="00053418" w:rsidRPr="009E06AA" w:rsidRDefault="00053418" w:rsidP="00FA728E">
            <w:pPr>
              <w:pStyle w:val="TableText"/>
              <w:spacing w:before="30" w:after="30"/>
              <w:jc w:val="right"/>
              <w:rPr>
                <w:rFonts w:cs="Calibri"/>
                <w:szCs w:val="16"/>
              </w:rPr>
            </w:pPr>
          </w:p>
        </w:tc>
        <w:tc>
          <w:tcPr>
            <w:tcW w:w="1276" w:type="dxa"/>
            <w:tcBorders>
              <w:top w:val="single" w:sz="4" w:space="0" w:color="1B556B"/>
              <w:bottom w:val="single" w:sz="4" w:space="0" w:color="1B556B"/>
            </w:tcBorders>
          </w:tcPr>
          <w:p w14:paraId="7BD2F07A" w14:textId="77777777" w:rsidR="00053418" w:rsidRPr="009E06AA" w:rsidRDefault="00053418" w:rsidP="00FA728E">
            <w:pPr>
              <w:pStyle w:val="TableText"/>
              <w:spacing w:before="30" w:after="30"/>
              <w:jc w:val="right"/>
              <w:rPr>
                <w:rFonts w:cs="Calibri"/>
                <w:szCs w:val="16"/>
              </w:rPr>
            </w:pPr>
          </w:p>
        </w:tc>
        <w:tc>
          <w:tcPr>
            <w:tcW w:w="1275" w:type="dxa"/>
            <w:tcBorders>
              <w:top w:val="single" w:sz="4" w:space="0" w:color="1B556B"/>
              <w:bottom w:val="single" w:sz="4" w:space="0" w:color="1B556B"/>
            </w:tcBorders>
          </w:tcPr>
          <w:p w14:paraId="66607D8A" w14:textId="77777777" w:rsidR="00053418" w:rsidRPr="009E06AA" w:rsidRDefault="00053418" w:rsidP="00FA728E">
            <w:pPr>
              <w:pStyle w:val="TableText"/>
              <w:spacing w:before="30" w:after="30"/>
              <w:jc w:val="right"/>
              <w:rPr>
                <w:rFonts w:cs="Calibri"/>
                <w:szCs w:val="16"/>
              </w:rPr>
            </w:pPr>
          </w:p>
        </w:tc>
        <w:tc>
          <w:tcPr>
            <w:tcW w:w="1701" w:type="dxa"/>
            <w:vMerge/>
            <w:tcBorders>
              <w:top w:val="single" w:sz="4" w:space="0" w:color="1B556B"/>
              <w:bottom w:val="single" w:sz="4" w:space="0" w:color="1B556B"/>
            </w:tcBorders>
          </w:tcPr>
          <w:p w14:paraId="1EBD15D7" w14:textId="77777777" w:rsidR="00053418" w:rsidRPr="009E06AA" w:rsidRDefault="00053418" w:rsidP="00B55F24">
            <w:pPr>
              <w:pStyle w:val="TableText"/>
              <w:spacing w:before="30" w:after="30"/>
              <w:rPr>
                <w:rFonts w:cs="Calibri"/>
                <w:szCs w:val="16"/>
              </w:rPr>
            </w:pPr>
          </w:p>
        </w:tc>
      </w:tr>
      <w:tr w:rsidR="00053418" w:rsidRPr="009E06AA" w14:paraId="4AD7E156" w14:textId="77777777" w:rsidTr="00B55F24">
        <w:trPr>
          <w:trHeight w:val="20"/>
        </w:trPr>
        <w:tc>
          <w:tcPr>
            <w:tcW w:w="1246" w:type="dxa"/>
            <w:vMerge/>
            <w:tcBorders>
              <w:bottom w:val="single" w:sz="4" w:space="0" w:color="1B556B"/>
            </w:tcBorders>
          </w:tcPr>
          <w:p w14:paraId="0C301796" w14:textId="77777777" w:rsidR="00053418" w:rsidRPr="009E06AA" w:rsidRDefault="00053418" w:rsidP="00B55F24">
            <w:pPr>
              <w:pStyle w:val="TableText"/>
              <w:spacing w:before="30" w:after="30"/>
              <w:rPr>
                <w:rFonts w:cs="Calibri"/>
                <w:szCs w:val="16"/>
              </w:rPr>
            </w:pPr>
          </w:p>
        </w:tc>
        <w:tc>
          <w:tcPr>
            <w:tcW w:w="1731" w:type="dxa"/>
            <w:tcBorders>
              <w:top w:val="single" w:sz="4" w:space="0" w:color="1B556B"/>
              <w:bottom w:val="single" w:sz="4" w:space="0" w:color="1B556B"/>
            </w:tcBorders>
          </w:tcPr>
          <w:p w14:paraId="2C059C3A" w14:textId="77777777" w:rsidR="00053418" w:rsidRPr="009E06AA" w:rsidRDefault="00053418" w:rsidP="00B55F24">
            <w:pPr>
              <w:pStyle w:val="TableText"/>
              <w:spacing w:before="30" w:after="30"/>
              <w:rPr>
                <w:rFonts w:cs="Calibri"/>
                <w:szCs w:val="16"/>
              </w:rPr>
            </w:pPr>
            <w:r w:rsidRPr="009E06AA">
              <w:rPr>
                <w:rFonts w:cs="Calibri"/>
                <w:szCs w:val="16"/>
              </w:rPr>
              <w:tab/>
              <w:t>AGB</w:t>
            </w:r>
          </w:p>
        </w:tc>
        <w:tc>
          <w:tcPr>
            <w:tcW w:w="1276" w:type="dxa"/>
            <w:tcBorders>
              <w:top w:val="single" w:sz="4" w:space="0" w:color="1B556B"/>
              <w:bottom w:val="single" w:sz="4" w:space="0" w:color="1B556B"/>
            </w:tcBorders>
          </w:tcPr>
          <w:p w14:paraId="6E472287" w14:textId="77777777" w:rsidR="00053418" w:rsidRPr="009E06AA" w:rsidRDefault="00053418" w:rsidP="00FA728E">
            <w:pPr>
              <w:pStyle w:val="TableText"/>
              <w:spacing w:before="30" w:after="30"/>
              <w:jc w:val="right"/>
              <w:rPr>
                <w:rFonts w:cs="Calibri"/>
                <w:szCs w:val="16"/>
              </w:rPr>
            </w:pPr>
            <w:r w:rsidRPr="009E06AA">
              <w:rPr>
                <w:rFonts w:cs="Calibri"/>
                <w:szCs w:val="16"/>
              </w:rPr>
              <w:t>45.18</w:t>
            </w:r>
          </w:p>
        </w:tc>
        <w:tc>
          <w:tcPr>
            <w:tcW w:w="1276" w:type="dxa"/>
            <w:tcBorders>
              <w:top w:val="single" w:sz="4" w:space="0" w:color="1B556B"/>
              <w:bottom w:val="single" w:sz="4" w:space="0" w:color="1B556B"/>
            </w:tcBorders>
          </w:tcPr>
          <w:p w14:paraId="3A047D7E" w14:textId="77777777" w:rsidR="00053418" w:rsidRPr="009E06AA" w:rsidRDefault="00053418" w:rsidP="00FA728E">
            <w:pPr>
              <w:pStyle w:val="TableText"/>
              <w:spacing w:before="30" w:after="30"/>
              <w:jc w:val="right"/>
              <w:rPr>
                <w:rFonts w:cs="Calibri"/>
                <w:szCs w:val="16"/>
              </w:rPr>
            </w:pPr>
            <w:r w:rsidRPr="009E06AA">
              <w:rPr>
                <w:rFonts w:cs="Calibri"/>
                <w:szCs w:val="16"/>
              </w:rPr>
              <w:t>NO</w:t>
            </w:r>
          </w:p>
        </w:tc>
        <w:tc>
          <w:tcPr>
            <w:tcW w:w="1275" w:type="dxa"/>
            <w:tcBorders>
              <w:top w:val="single" w:sz="4" w:space="0" w:color="1B556B"/>
              <w:bottom w:val="single" w:sz="4" w:space="0" w:color="1B556B"/>
            </w:tcBorders>
          </w:tcPr>
          <w:p w14:paraId="594F2CB4" w14:textId="77777777" w:rsidR="00053418" w:rsidRPr="009E06AA" w:rsidRDefault="00053418" w:rsidP="00FA728E">
            <w:pPr>
              <w:pStyle w:val="TableText"/>
              <w:spacing w:before="30" w:after="30"/>
              <w:jc w:val="right"/>
              <w:rPr>
                <w:rFonts w:cs="Calibri"/>
                <w:szCs w:val="16"/>
              </w:rPr>
            </w:pPr>
            <w:r w:rsidRPr="009E06AA">
              <w:rPr>
                <w:rFonts w:cs="Calibri"/>
                <w:b/>
                <w:bCs/>
                <w:szCs w:val="16"/>
              </w:rPr>
              <w:t>NO</w:t>
            </w:r>
          </w:p>
        </w:tc>
        <w:tc>
          <w:tcPr>
            <w:tcW w:w="1701" w:type="dxa"/>
            <w:vMerge/>
            <w:tcBorders>
              <w:bottom w:val="single" w:sz="4" w:space="0" w:color="1B556B"/>
            </w:tcBorders>
          </w:tcPr>
          <w:p w14:paraId="4D72DEBD" w14:textId="77777777" w:rsidR="00053418" w:rsidRPr="009E06AA" w:rsidRDefault="00053418" w:rsidP="00B55F24">
            <w:pPr>
              <w:pStyle w:val="TableText"/>
              <w:spacing w:before="30" w:after="30"/>
              <w:rPr>
                <w:rFonts w:cs="Calibri"/>
                <w:szCs w:val="16"/>
              </w:rPr>
            </w:pPr>
          </w:p>
        </w:tc>
      </w:tr>
      <w:tr w:rsidR="00053418" w:rsidRPr="009E06AA" w14:paraId="54001A92" w14:textId="77777777" w:rsidTr="00B55F24">
        <w:trPr>
          <w:trHeight w:val="20"/>
        </w:trPr>
        <w:tc>
          <w:tcPr>
            <w:tcW w:w="1246" w:type="dxa"/>
            <w:vMerge/>
            <w:tcBorders>
              <w:bottom w:val="single" w:sz="4" w:space="0" w:color="1B556B"/>
            </w:tcBorders>
          </w:tcPr>
          <w:p w14:paraId="56EC7090" w14:textId="77777777" w:rsidR="00053418" w:rsidRPr="009E06AA" w:rsidRDefault="00053418" w:rsidP="00B55F24">
            <w:pPr>
              <w:pStyle w:val="TableText"/>
              <w:spacing w:before="30" w:after="30"/>
              <w:rPr>
                <w:rFonts w:cs="Calibri"/>
                <w:szCs w:val="16"/>
              </w:rPr>
            </w:pPr>
          </w:p>
        </w:tc>
        <w:tc>
          <w:tcPr>
            <w:tcW w:w="1731" w:type="dxa"/>
            <w:tcBorders>
              <w:top w:val="single" w:sz="4" w:space="0" w:color="1B556B"/>
              <w:bottom w:val="single" w:sz="4" w:space="0" w:color="1B556B"/>
            </w:tcBorders>
          </w:tcPr>
          <w:p w14:paraId="47A739BA" w14:textId="77777777" w:rsidR="00053418" w:rsidRPr="009E06AA" w:rsidRDefault="00053418" w:rsidP="00B55F24">
            <w:pPr>
              <w:pStyle w:val="TableText"/>
              <w:spacing w:before="30" w:after="30"/>
              <w:rPr>
                <w:rFonts w:cs="Calibri"/>
                <w:szCs w:val="16"/>
              </w:rPr>
            </w:pPr>
            <w:r w:rsidRPr="009E06AA">
              <w:rPr>
                <w:rFonts w:cs="Calibri"/>
                <w:szCs w:val="16"/>
              </w:rPr>
              <w:tab/>
              <w:t>BGB</w:t>
            </w:r>
          </w:p>
        </w:tc>
        <w:tc>
          <w:tcPr>
            <w:tcW w:w="1276" w:type="dxa"/>
            <w:tcBorders>
              <w:top w:val="single" w:sz="4" w:space="0" w:color="1B556B"/>
              <w:bottom w:val="single" w:sz="4" w:space="0" w:color="1B556B"/>
            </w:tcBorders>
          </w:tcPr>
          <w:p w14:paraId="755E603F" w14:textId="77777777" w:rsidR="00053418" w:rsidRPr="009E06AA" w:rsidRDefault="00053418" w:rsidP="00FA728E">
            <w:pPr>
              <w:pStyle w:val="TableText"/>
              <w:spacing w:before="30" w:after="30"/>
              <w:jc w:val="right"/>
              <w:rPr>
                <w:rFonts w:cs="Calibri"/>
                <w:szCs w:val="16"/>
              </w:rPr>
            </w:pPr>
            <w:r w:rsidRPr="009E06AA">
              <w:rPr>
                <w:rFonts w:cs="Calibri"/>
                <w:szCs w:val="16"/>
              </w:rPr>
              <w:t>11.71</w:t>
            </w:r>
          </w:p>
        </w:tc>
        <w:tc>
          <w:tcPr>
            <w:tcW w:w="1276" w:type="dxa"/>
            <w:tcBorders>
              <w:top w:val="single" w:sz="4" w:space="0" w:color="1B556B"/>
              <w:bottom w:val="single" w:sz="4" w:space="0" w:color="1B556B"/>
            </w:tcBorders>
          </w:tcPr>
          <w:p w14:paraId="409F3C42" w14:textId="77777777" w:rsidR="00053418" w:rsidRPr="009E06AA" w:rsidRDefault="00053418" w:rsidP="00FA728E">
            <w:pPr>
              <w:pStyle w:val="TableText"/>
              <w:spacing w:before="30" w:after="30"/>
              <w:jc w:val="right"/>
              <w:rPr>
                <w:rFonts w:cs="Calibri"/>
                <w:szCs w:val="16"/>
              </w:rPr>
            </w:pPr>
            <w:r w:rsidRPr="009E06AA">
              <w:rPr>
                <w:rFonts w:cs="Calibri"/>
                <w:szCs w:val="16"/>
              </w:rPr>
              <w:t>NO</w:t>
            </w:r>
          </w:p>
        </w:tc>
        <w:tc>
          <w:tcPr>
            <w:tcW w:w="1275" w:type="dxa"/>
            <w:tcBorders>
              <w:top w:val="single" w:sz="4" w:space="0" w:color="1B556B"/>
              <w:bottom w:val="single" w:sz="4" w:space="0" w:color="1B556B"/>
            </w:tcBorders>
          </w:tcPr>
          <w:p w14:paraId="37D7950E" w14:textId="77777777" w:rsidR="00053418" w:rsidRPr="009E06AA" w:rsidRDefault="00053418" w:rsidP="00FA728E">
            <w:pPr>
              <w:pStyle w:val="TableText"/>
              <w:spacing w:before="30" w:after="30"/>
              <w:jc w:val="right"/>
              <w:rPr>
                <w:rFonts w:cs="Calibri"/>
                <w:szCs w:val="16"/>
              </w:rPr>
            </w:pPr>
            <w:r w:rsidRPr="009E06AA">
              <w:rPr>
                <w:rFonts w:cs="Calibri"/>
                <w:b/>
                <w:bCs/>
                <w:szCs w:val="16"/>
              </w:rPr>
              <w:t>NO</w:t>
            </w:r>
          </w:p>
        </w:tc>
        <w:tc>
          <w:tcPr>
            <w:tcW w:w="1701" w:type="dxa"/>
            <w:vMerge/>
            <w:tcBorders>
              <w:bottom w:val="single" w:sz="4" w:space="0" w:color="1B556B"/>
            </w:tcBorders>
          </w:tcPr>
          <w:p w14:paraId="647E1532" w14:textId="77777777" w:rsidR="00053418" w:rsidRPr="009E06AA" w:rsidRDefault="00053418" w:rsidP="00B55F24">
            <w:pPr>
              <w:pStyle w:val="TableText"/>
              <w:spacing w:before="30" w:after="30"/>
              <w:rPr>
                <w:rFonts w:cs="Calibri"/>
                <w:szCs w:val="16"/>
              </w:rPr>
            </w:pPr>
          </w:p>
        </w:tc>
      </w:tr>
      <w:tr w:rsidR="00053418" w:rsidRPr="009E06AA" w14:paraId="4427A353" w14:textId="77777777" w:rsidTr="00B55F24">
        <w:trPr>
          <w:trHeight w:val="20"/>
        </w:trPr>
        <w:tc>
          <w:tcPr>
            <w:tcW w:w="1246" w:type="dxa"/>
            <w:vMerge/>
            <w:tcBorders>
              <w:bottom w:val="single" w:sz="4" w:space="0" w:color="1B556B"/>
            </w:tcBorders>
          </w:tcPr>
          <w:p w14:paraId="23083319" w14:textId="77777777" w:rsidR="00053418" w:rsidRPr="009E06AA" w:rsidRDefault="00053418" w:rsidP="00B55F24">
            <w:pPr>
              <w:pStyle w:val="TableText"/>
              <w:spacing w:before="30" w:after="30"/>
              <w:rPr>
                <w:rFonts w:cs="Calibri"/>
                <w:szCs w:val="16"/>
              </w:rPr>
            </w:pPr>
          </w:p>
        </w:tc>
        <w:tc>
          <w:tcPr>
            <w:tcW w:w="1731" w:type="dxa"/>
            <w:tcBorders>
              <w:top w:val="single" w:sz="4" w:space="0" w:color="1B556B"/>
              <w:bottom w:val="single" w:sz="4" w:space="0" w:color="1B556B"/>
            </w:tcBorders>
          </w:tcPr>
          <w:p w14:paraId="0C9D1AAE" w14:textId="77777777" w:rsidR="00053418" w:rsidRPr="009E06AA" w:rsidRDefault="00053418" w:rsidP="00B55F24">
            <w:pPr>
              <w:pStyle w:val="TableText"/>
              <w:spacing w:before="30" w:after="30"/>
              <w:rPr>
                <w:rFonts w:cs="Calibri"/>
                <w:i/>
                <w:szCs w:val="16"/>
              </w:rPr>
            </w:pPr>
            <w:r w:rsidRPr="009E06AA">
              <w:rPr>
                <w:rFonts w:cs="Calibri"/>
                <w:i/>
                <w:szCs w:val="16"/>
              </w:rPr>
              <w:t>Dead organic matter</w:t>
            </w:r>
          </w:p>
        </w:tc>
        <w:tc>
          <w:tcPr>
            <w:tcW w:w="1276" w:type="dxa"/>
            <w:tcBorders>
              <w:top w:val="single" w:sz="4" w:space="0" w:color="1B556B"/>
              <w:bottom w:val="single" w:sz="4" w:space="0" w:color="1B556B"/>
            </w:tcBorders>
          </w:tcPr>
          <w:p w14:paraId="02153B77" w14:textId="77777777" w:rsidR="00053418" w:rsidRPr="009E06AA" w:rsidRDefault="00053418" w:rsidP="00FA728E">
            <w:pPr>
              <w:pStyle w:val="TableText"/>
              <w:spacing w:before="30" w:after="30"/>
              <w:jc w:val="right"/>
              <w:rPr>
                <w:rFonts w:cs="Calibri"/>
                <w:szCs w:val="16"/>
              </w:rPr>
            </w:pPr>
          </w:p>
        </w:tc>
        <w:tc>
          <w:tcPr>
            <w:tcW w:w="1276" w:type="dxa"/>
            <w:tcBorders>
              <w:top w:val="single" w:sz="4" w:space="0" w:color="1B556B"/>
              <w:bottom w:val="single" w:sz="4" w:space="0" w:color="1B556B"/>
            </w:tcBorders>
          </w:tcPr>
          <w:p w14:paraId="0396E4D4" w14:textId="77777777" w:rsidR="00053418" w:rsidRPr="009E06AA" w:rsidRDefault="00053418" w:rsidP="00FA728E">
            <w:pPr>
              <w:pStyle w:val="TableText"/>
              <w:spacing w:before="30" w:after="30"/>
              <w:jc w:val="right"/>
              <w:rPr>
                <w:rFonts w:cs="Calibri"/>
                <w:szCs w:val="16"/>
              </w:rPr>
            </w:pPr>
          </w:p>
        </w:tc>
        <w:tc>
          <w:tcPr>
            <w:tcW w:w="1275" w:type="dxa"/>
            <w:tcBorders>
              <w:top w:val="single" w:sz="4" w:space="0" w:color="1B556B"/>
              <w:bottom w:val="single" w:sz="4" w:space="0" w:color="1B556B"/>
            </w:tcBorders>
          </w:tcPr>
          <w:p w14:paraId="4ED54D05" w14:textId="77777777" w:rsidR="00053418" w:rsidRPr="009E06AA" w:rsidRDefault="00053418" w:rsidP="00FA728E">
            <w:pPr>
              <w:pStyle w:val="TableText"/>
              <w:spacing w:before="30" w:after="30"/>
              <w:jc w:val="right"/>
              <w:rPr>
                <w:rFonts w:cs="Calibri"/>
                <w:szCs w:val="16"/>
              </w:rPr>
            </w:pPr>
            <w:r w:rsidRPr="009E06AA">
              <w:rPr>
                <w:rFonts w:cs="Calibri"/>
                <w:b/>
                <w:bCs/>
                <w:szCs w:val="16"/>
              </w:rPr>
              <w:t>NO</w:t>
            </w:r>
          </w:p>
        </w:tc>
        <w:tc>
          <w:tcPr>
            <w:tcW w:w="1701" w:type="dxa"/>
            <w:vMerge/>
            <w:tcBorders>
              <w:bottom w:val="single" w:sz="4" w:space="0" w:color="1B556B"/>
            </w:tcBorders>
          </w:tcPr>
          <w:p w14:paraId="67F88588" w14:textId="77777777" w:rsidR="00053418" w:rsidRPr="009E06AA" w:rsidRDefault="00053418" w:rsidP="00B55F24">
            <w:pPr>
              <w:pStyle w:val="TableText"/>
              <w:spacing w:before="30" w:after="30"/>
              <w:rPr>
                <w:rFonts w:cs="Calibri"/>
                <w:szCs w:val="16"/>
              </w:rPr>
            </w:pPr>
          </w:p>
        </w:tc>
      </w:tr>
      <w:tr w:rsidR="00053418" w:rsidRPr="009E06AA" w14:paraId="2AD22BF7" w14:textId="77777777" w:rsidTr="00B55F24">
        <w:trPr>
          <w:trHeight w:val="20"/>
        </w:trPr>
        <w:tc>
          <w:tcPr>
            <w:tcW w:w="1246" w:type="dxa"/>
            <w:vMerge/>
            <w:tcBorders>
              <w:bottom w:val="single" w:sz="4" w:space="0" w:color="1B556B"/>
            </w:tcBorders>
          </w:tcPr>
          <w:p w14:paraId="3FB176BA" w14:textId="77777777" w:rsidR="00053418" w:rsidRPr="009E06AA" w:rsidRDefault="00053418" w:rsidP="00B55F24">
            <w:pPr>
              <w:pStyle w:val="TableText"/>
              <w:spacing w:before="30" w:after="30"/>
              <w:rPr>
                <w:rFonts w:cs="Calibri"/>
                <w:szCs w:val="16"/>
              </w:rPr>
            </w:pPr>
          </w:p>
        </w:tc>
        <w:tc>
          <w:tcPr>
            <w:tcW w:w="1731" w:type="dxa"/>
            <w:tcBorders>
              <w:top w:val="single" w:sz="4" w:space="0" w:color="1B556B"/>
              <w:bottom w:val="single" w:sz="4" w:space="0" w:color="1B556B"/>
            </w:tcBorders>
          </w:tcPr>
          <w:p w14:paraId="162493AA" w14:textId="77777777" w:rsidR="00053418" w:rsidRPr="009E06AA" w:rsidRDefault="00053418" w:rsidP="00B55F24">
            <w:pPr>
              <w:pStyle w:val="TableText"/>
              <w:spacing w:before="30" w:after="30"/>
              <w:rPr>
                <w:rFonts w:cs="Calibri"/>
                <w:szCs w:val="16"/>
              </w:rPr>
            </w:pPr>
            <w:r w:rsidRPr="009E06AA">
              <w:rPr>
                <w:rFonts w:cs="Calibri"/>
                <w:szCs w:val="16"/>
              </w:rPr>
              <w:tab/>
              <w:t>Dead wood</w:t>
            </w:r>
          </w:p>
        </w:tc>
        <w:tc>
          <w:tcPr>
            <w:tcW w:w="1276" w:type="dxa"/>
            <w:tcBorders>
              <w:top w:val="single" w:sz="4" w:space="0" w:color="1B556B"/>
              <w:bottom w:val="single" w:sz="4" w:space="0" w:color="1B556B"/>
            </w:tcBorders>
          </w:tcPr>
          <w:p w14:paraId="1441AF49" w14:textId="77777777" w:rsidR="00053418" w:rsidRPr="009E06AA" w:rsidRDefault="00053418" w:rsidP="00FA728E">
            <w:pPr>
              <w:pStyle w:val="TableText"/>
              <w:spacing w:before="30" w:after="30"/>
              <w:jc w:val="right"/>
              <w:rPr>
                <w:rFonts w:cs="Calibri"/>
                <w:szCs w:val="16"/>
              </w:rPr>
            </w:pPr>
            <w:r w:rsidRPr="009E06AA">
              <w:rPr>
                <w:rFonts w:cs="Calibri"/>
                <w:szCs w:val="16"/>
              </w:rPr>
              <w:t>3.68</w:t>
            </w:r>
          </w:p>
        </w:tc>
        <w:tc>
          <w:tcPr>
            <w:tcW w:w="1276" w:type="dxa"/>
            <w:tcBorders>
              <w:top w:val="single" w:sz="4" w:space="0" w:color="1B556B"/>
              <w:bottom w:val="single" w:sz="4" w:space="0" w:color="1B556B"/>
            </w:tcBorders>
          </w:tcPr>
          <w:p w14:paraId="36EE44C8" w14:textId="77777777" w:rsidR="00053418" w:rsidRPr="009E06AA" w:rsidRDefault="00053418" w:rsidP="00FA728E">
            <w:pPr>
              <w:pStyle w:val="TableText"/>
              <w:spacing w:before="30" w:after="30"/>
              <w:jc w:val="right"/>
              <w:rPr>
                <w:rFonts w:cs="Calibri"/>
                <w:szCs w:val="16"/>
              </w:rPr>
            </w:pPr>
            <w:r w:rsidRPr="009E06AA">
              <w:rPr>
                <w:rFonts w:cs="Calibri"/>
                <w:szCs w:val="16"/>
              </w:rPr>
              <w:t>NO</w:t>
            </w:r>
          </w:p>
        </w:tc>
        <w:tc>
          <w:tcPr>
            <w:tcW w:w="1275" w:type="dxa"/>
            <w:tcBorders>
              <w:top w:val="single" w:sz="4" w:space="0" w:color="1B556B"/>
              <w:bottom w:val="single" w:sz="4" w:space="0" w:color="1B556B"/>
            </w:tcBorders>
          </w:tcPr>
          <w:p w14:paraId="6DD18E83" w14:textId="77777777" w:rsidR="00053418" w:rsidRPr="009E06AA" w:rsidRDefault="00053418" w:rsidP="00FA728E">
            <w:pPr>
              <w:pStyle w:val="TableText"/>
              <w:spacing w:before="30" w:after="30"/>
              <w:jc w:val="right"/>
              <w:rPr>
                <w:rFonts w:cs="Calibri"/>
                <w:szCs w:val="16"/>
              </w:rPr>
            </w:pPr>
            <w:r w:rsidRPr="009E06AA">
              <w:rPr>
                <w:rFonts w:cs="Calibri"/>
                <w:b/>
                <w:bCs/>
                <w:szCs w:val="16"/>
              </w:rPr>
              <w:t>NO</w:t>
            </w:r>
          </w:p>
        </w:tc>
        <w:tc>
          <w:tcPr>
            <w:tcW w:w="1701" w:type="dxa"/>
            <w:vMerge/>
            <w:tcBorders>
              <w:bottom w:val="single" w:sz="4" w:space="0" w:color="1B556B"/>
            </w:tcBorders>
          </w:tcPr>
          <w:p w14:paraId="1B5519F9" w14:textId="77777777" w:rsidR="00053418" w:rsidRPr="009E06AA" w:rsidRDefault="00053418" w:rsidP="00B55F24">
            <w:pPr>
              <w:pStyle w:val="TableText"/>
              <w:spacing w:before="30" w:after="30"/>
              <w:rPr>
                <w:rFonts w:cs="Calibri"/>
                <w:szCs w:val="16"/>
              </w:rPr>
            </w:pPr>
          </w:p>
        </w:tc>
      </w:tr>
      <w:tr w:rsidR="00053418" w:rsidRPr="009E06AA" w14:paraId="6AEB8C7A" w14:textId="77777777" w:rsidTr="00B55F24">
        <w:trPr>
          <w:trHeight w:val="20"/>
        </w:trPr>
        <w:tc>
          <w:tcPr>
            <w:tcW w:w="1246" w:type="dxa"/>
            <w:vMerge/>
            <w:tcBorders>
              <w:bottom w:val="single" w:sz="4" w:space="0" w:color="1B556B"/>
            </w:tcBorders>
          </w:tcPr>
          <w:p w14:paraId="5BED79A5" w14:textId="77777777" w:rsidR="00053418" w:rsidRPr="009E06AA" w:rsidRDefault="00053418" w:rsidP="00B55F24">
            <w:pPr>
              <w:pStyle w:val="TableText"/>
              <w:spacing w:before="30" w:after="30"/>
              <w:rPr>
                <w:rFonts w:cs="Calibri"/>
                <w:szCs w:val="16"/>
              </w:rPr>
            </w:pPr>
          </w:p>
        </w:tc>
        <w:tc>
          <w:tcPr>
            <w:tcW w:w="1731" w:type="dxa"/>
            <w:tcBorders>
              <w:top w:val="single" w:sz="4" w:space="0" w:color="1B556B"/>
              <w:bottom w:val="single" w:sz="4" w:space="0" w:color="1B556B"/>
            </w:tcBorders>
          </w:tcPr>
          <w:p w14:paraId="4060A3C1" w14:textId="77777777" w:rsidR="00053418" w:rsidRPr="009E06AA" w:rsidRDefault="00053418" w:rsidP="00B55F24">
            <w:pPr>
              <w:pStyle w:val="TableText"/>
              <w:spacing w:before="30" w:after="30"/>
              <w:rPr>
                <w:rFonts w:cs="Calibri"/>
                <w:szCs w:val="16"/>
              </w:rPr>
            </w:pPr>
            <w:r w:rsidRPr="009E06AA">
              <w:rPr>
                <w:rFonts w:cs="Calibri"/>
                <w:szCs w:val="16"/>
              </w:rPr>
              <w:tab/>
              <w:t>Litter</w:t>
            </w:r>
          </w:p>
        </w:tc>
        <w:tc>
          <w:tcPr>
            <w:tcW w:w="1276" w:type="dxa"/>
            <w:tcBorders>
              <w:top w:val="single" w:sz="4" w:space="0" w:color="1B556B"/>
              <w:bottom w:val="single" w:sz="4" w:space="0" w:color="1B556B"/>
            </w:tcBorders>
          </w:tcPr>
          <w:p w14:paraId="567703C5" w14:textId="77777777" w:rsidR="00053418" w:rsidRPr="009E06AA" w:rsidRDefault="00053418" w:rsidP="00FA728E">
            <w:pPr>
              <w:pStyle w:val="TableText"/>
              <w:spacing w:before="30" w:after="30"/>
              <w:jc w:val="right"/>
              <w:rPr>
                <w:rFonts w:cs="Calibri"/>
                <w:szCs w:val="16"/>
              </w:rPr>
            </w:pPr>
            <w:r w:rsidRPr="009E06AA">
              <w:rPr>
                <w:rFonts w:cs="Calibri"/>
                <w:szCs w:val="16"/>
              </w:rPr>
              <w:t>0.00</w:t>
            </w:r>
          </w:p>
        </w:tc>
        <w:tc>
          <w:tcPr>
            <w:tcW w:w="1276" w:type="dxa"/>
            <w:tcBorders>
              <w:top w:val="single" w:sz="4" w:space="0" w:color="1B556B"/>
              <w:bottom w:val="single" w:sz="4" w:space="0" w:color="1B556B"/>
            </w:tcBorders>
          </w:tcPr>
          <w:p w14:paraId="2ED8828C" w14:textId="77777777" w:rsidR="00053418" w:rsidRPr="009E06AA" w:rsidRDefault="00053418" w:rsidP="00FA728E">
            <w:pPr>
              <w:pStyle w:val="TableText"/>
              <w:spacing w:before="30" w:after="30"/>
              <w:jc w:val="right"/>
              <w:rPr>
                <w:rFonts w:cs="Calibri"/>
                <w:szCs w:val="16"/>
              </w:rPr>
            </w:pPr>
            <w:r w:rsidRPr="009E06AA">
              <w:rPr>
                <w:rFonts w:cs="Calibri"/>
                <w:szCs w:val="16"/>
              </w:rPr>
              <w:t>NO</w:t>
            </w:r>
          </w:p>
        </w:tc>
        <w:tc>
          <w:tcPr>
            <w:tcW w:w="1275" w:type="dxa"/>
            <w:tcBorders>
              <w:top w:val="single" w:sz="4" w:space="0" w:color="1B556B"/>
              <w:bottom w:val="single" w:sz="4" w:space="0" w:color="1B556B"/>
            </w:tcBorders>
          </w:tcPr>
          <w:p w14:paraId="4314F081" w14:textId="77777777" w:rsidR="00053418" w:rsidRPr="009E06AA" w:rsidRDefault="00053418" w:rsidP="00FA728E">
            <w:pPr>
              <w:pStyle w:val="TableText"/>
              <w:spacing w:before="30" w:after="30"/>
              <w:jc w:val="right"/>
              <w:rPr>
                <w:rFonts w:cs="Calibri"/>
                <w:szCs w:val="16"/>
              </w:rPr>
            </w:pPr>
            <w:r w:rsidRPr="009E06AA">
              <w:rPr>
                <w:rFonts w:cs="Calibri"/>
                <w:b/>
                <w:bCs/>
                <w:szCs w:val="16"/>
              </w:rPr>
              <w:t>NO</w:t>
            </w:r>
          </w:p>
        </w:tc>
        <w:tc>
          <w:tcPr>
            <w:tcW w:w="1701" w:type="dxa"/>
            <w:vMerge/>
            <w:tcBorders>
              <w:bottom w:val="single" w:sz="4" w:space="0" w:color="1B556B"/>
            </w:tcBorders>
          </w:tcPr>
          <w:p w14:paraId="155B4ED2" w14:textId="77777777" w:rsidR="00053418" w:rsidRPr="009E06AA" w:rsidRDefault="00053418" w:rsidP="00B55F24">
            <w:pPr>
              <w:pStyle w:val="TableText"/>
              <w:spacing w:before="30" w:after="30"/>
              <w:rPr>
                <w:rFonts w:cs="Calibri"/>
                <w:szCs w:val="16"/>
              </w:rPr>
            </w:pPr>
          </w:p>
        </w:tc>
      </w:tr>
    </w:tbl>
    <w:p w14:paraId="69791B61" w14:textId="77777777" w:rsidR="00053418" w:rsidRPr="009E06AA" w:rsidRDefault="00053418" w:rsidP="00053418">
      <w:pPr>
        <w:pStyle w:val="Noteundertable"/>
      </w:pPr>
      <w:r w:rsidRPr="009E06AA">
        <w:rPr>
          <w:b/>
        </w:rPr>
        <w:t>Note:</w:t>
      </w:r>
      <w:r w:rsidRPr="009E06AA">
        <w:tab/>
        <w:t xml:space="preserve">AGB = above-ground biomass; BGB = below-ground biomass; NA = not applicable; NE = not estimated; NO = not occurring. Columns may not total due to rounding. The </w:t>
      </w:r>
      <w:r w:rsidRPr="009E06AA">
        <w:rPr>
          <w:i/>
          <w:iCs/>
        </w:rPr>
        <w:t>H</w:t>
      </w:r>
      <w:r w:rsidRPr="009E06AA">
        <w:rPr>
          <w:i/>
        </w:rPr>
        <w:t>igh producing grassland</w:t>
      </w:r>
      <w:r w:rsidRPr="009E06AA">
        <w:t xml:space="preserve"> figure is based on the Warm temperate – wet figure from table 6.4 of the 2006 IPCC Guidelines, and the </w:t>
      </w:r>
      <w:r w:rsidRPr="009E06AA">
        <w:rPr>
          <w:i/>
          <w:iCs/>
        </w:rPr>
        <w:t>L</w:t>
      </w:r>
      <w:r w:rsidRPr="009E06AA">
        <w:rPr>
          <w:i/>
        </w:rPr>
        <w:t>ow producing grassland</w:t>
      </w:r>
      <w:r w:rsidRPr="009E06AA">
        <w:t xml:space="preserve"> figure is based on the Warm temperate – dry figure from the same table (IPCC, 2006a), with a carbon fraction of 0.47 applied to both. Note that the annual accumulation rates for </w:t>
      </w:r>
      <w:r w:rsidRPr="009E06AA">
        <w:rPr>
          <w:i/>
          <w:iCs/>
        </w:rPr>
        <w:t>Grassland with woody biomass</w:t>
      </w:r>
      <w:r w:rsidRPr="009E06AA">
        <w:t xml:space="preserve"> – transitional do not equal the total biomass steady state carbon stock value over 20 years because the starting stock value at year 1 is 3.54 t C ha</w:t>
      </w:r>
      <w:r w:rsidRPr="009E06AA">
        <w:rPr>
          <w:vertAlign w:val="superscript"/>
        </w:rPr>
        <w:t>–1</w:t>
      </w:r>
      <w:r w:rsidRPr="009E06AA">
        <w:t xml:space="preserve">. </w:t>
      </w:r>
    </w:p>
    <w:p w14:paraId="661C4A34" w14:textId="77777777" w:rsidR="00053418" w:rsidRPr="009E06AA" w:rsidRDefault="00053418" w:rsidP="00053418">
      <w:pPr>
        <w:pStyle w:val="Heading4"/>
      </w:pPr>
      <w:bookmarkStart w:id="2369" w:name="_Toc280630289"/>
      <w:r w:rsidRPr="009E06AA">
        <w:t>Grassland remaining grassland</w:t>
      </w:r>
      <w:bookmarkEnd w:id="2366"/>
      <w:bookmarkEnd w:id="2367"/>
      <w:bookmarkEnd w:id="2368"/>
      <w:bookmarkEnd w:id="2369"/>
      <w:r w:rsidRPr="009E06AA">
        <w:t xml:space="preserve"> (4.C.1)</w:t>
      </w:r>
    </w:p>
    <w:p w14:paraId="6657914B" w14:textId="77777777" w:rsidR="00053418" w:rsidRPr="009E06AA" w:rsidRDefault="00053418" w:rsidP="00053418">
      <w:pPr>
        <w:pStyle w:val="BodyText"/>
      </w:pPr>
      <w:r w:rsidRPr="009E06AA">
        <w:t xml:space="preserve">For </w:t>
      </w:r>
      <w:r w:rsidRPr="009E06AA">
        <w:rPr>
          <w:i/>
        </w:rPr>
        <w:t>Grassland remaining grassland</w:t>
      </w:r>
      <w:r w:rsidRPr="009E06AA">
        <w:t xml:space="preserve">, the Tier 1 assumption is there is no change in carbon stocks for </w:t>
      </w:r>
      <w:r w:rsidRPr="009E06AA">
        <w:rPr>
          <w:i/>
          <w:iCs/>
        </w:rPr>
        <w:t>Grassland</w:t>
      </w:r>
      <w:r w:rsidRPr="009E06AA">
        <w:t xml:space="preserve"> remaining in the same </w:t>
      </w:r>
      <w:r w:rsidRPr="009E06AA">
        <w:rPr>
          <w:i/>
          <w:iCs/>
        </w:rPr>
        <w:t>Grassland</w:t>
      </w:r>
      <w:r w:rsidRPr="009E06AA">
        <w:t xml:space="preserve"> category (section 6.2.1.1 of IPCC, 2006a). The rationale is that, where management practices are static, carbon stocks will be in an approximately steady state; that is, carbon gain through plant growth is roughly balanced by losses. New Zealand has reported NA in the CRTs where there is no land-use change at the category level because no emissions or removals are assumed to have occurred. However, a significant area (483,059 hectares) is currently in a state of conversion from one </w:t>
      </w:r>
      <w:r w:rsidRPr="009E06AA">
        <w:rPr>
          <w:i/>
          <w:iCs/>
        </w:rPr>
        <w:t>Grassland</w:t>
      </w:r>
      <w:r w:rsidRPr="009E06AA">
        <w:t xml:space="preserve"> type to another. The carbon stock changes for these land-use changes are reported under </w:t>
      </w:r>
      <w:r w:rsidRPr="009E06AA">
        <w:rPr>
          <w:i/>
        </w:rPr>
        <w:t>Grassland remaining grassland</w:t>
      </w:r>
      <w:r w:rsidRPr="009E06AA">
        <w:t>.</w:t>
      </w:r>
    </w:p>
    <w:p w14:paraId="486DD35F" w14:textId="77777777" w:rsidR="00053418" w:rsidRPr="009E06AA" w:rsidRDefault="00053418" w:rsidP="00BF2A76">
      <w:pPr>
        <w:pStyle w:val="Heading5"/>
      </w:pPr>
      <w:bookmarkStart w:id="2370" w:name="_Toc255466398"/>
      <w:bookmarkStart w:id="2371" w:name="_Toc261513205"/>
      <w:bookmarkStart w:id="2372" w:name="_Toc261513818"/>
      <w:bookmarkStart w:id="2373" w:name="_Toc280630290"/>
      <w:r w:rsidRPr="009E06AA">
        <w:t>Living biomass</w:t>
      </w:r>
      <w:bookmarkEnd w:id="2370"/>
      <w:bookmarkEnd w:id="2371"/>
      <w:bookmarkEnd w:id="2372"/>
      <w:bookmarkEnd w:id="2373"/>
    </w:p>
    <w:p w14:paraId="3852B748" w14:textId="77777777" w:rsidR="00053418" w:rsidRPr="009E06AA" w:rsidRDefault="00053418" w:rsidP="00053418">
      <w:pPr>
        <w:pStyle w:val="BodyText"/>
      </w:pPr>
      <w:r w:rsidRPr="009E06AA">
        <w:t xml:space="preserve">To calculate carbon stock change in living biomass on land converted from one </w:t>
      </w:r>
      <w:r w:rsidRPr="009E06AA">
        <w:rPr>
          <w:i/>
          <w:iCs/>
        </w:rPr>
        <w:t xml:space="preserve">Grassland </w:t>
      </w:r>
      <w:r w:rsidRPr="009E06AA">
        <w:t xml:space="preserve">category to another (e.g., </w:t>
      </w:r>
      <w:r w:rsidRPr="009E06AA">
        <w:rPr>
          <w:i/>
          <w:iCs/>
        </w:rPr>
        <w:t>Low producing grassland</w:t>
      </w:r>
      <w:r w:rsidRPr="009E06AA">
        <w:t xml:space="preserve"> converted to </w:t>
      </w:r>
      <w:r w:rsidRPr="009E06AA">
        <w:rPr>
          <w:i/>
          <w:iCs/>
        </w:rPr>
        <w:t>High producing grassland</w:t>
      </w:r>
      <w:r w:rsidRPr="009E06AA">
        <w:t xml:space="preserve">), it is assumed the carbon in living biomass immediately after conversion is zero; that is, the land is cleared of all vegetation. In the same year, carbon stocks in living biomass increase by the amount given in table 6.6.4, representing the annual growth in biomass for land converted to another land use. </w:t>
      </w:r>
    </w:p>
    <w:p w14:paraId="584E21D7" w14:textId="77777777" w:rsidR="00053418" w:rsidRPr="009E06AA" w:rsidRDefault="00053418" w:rsidP="00BF2A76">
      <w:pPr>
        <w:pStyle w:val="Heading5"/>
      </w:pPr>
      <w:bookmarkStart w:id="2374" w:name="_Toc255466399"/>
      <w:bookmarkStart w:id="2375" w:name="_Toc261513206"/>
      <w:bookmarkStart w:id="2376" w:name="_Toc261513819"/>
      <w:bookmarkStart w:id="2377" w:name="_Toc280630291"/>
      <w:r w:rsidRPr="009E06AA">
        <w:t>Dead organic matter</w:t>
      </w:r>
      <w:bookmarkEnd w:id="2374"/>
      <w:bookmarkEnd w:id="2375"/>
      <w:bookmarkEnd w:id="2376"/>
      <w:bookmarkEnd w:id="2377"/>
    </w:p>
    <w:p w14:paraId="48752965" w14:textId="77777777" w:rsidR="00053418" w:rsidRPr="009E06AA" w:rsidRDefault="00053418" w:rsidP="00053418">
      <w:pPr>
        <w:pStyle w:val="BodyText"/>
      </w:pPr>
      <w:r w:rsidRPr="009E06AA">
        <w:t xml:space="preserve">New Zealand does not report estimates of dead organic matter for </w:t>
      </w:r>
      <w:r w:rsidRPr="009E06AA">
        <w:rPr>
          <w:i/>
          <w:iCs/>
        </w:rPr>
        <w:t>H</w:t>
      </w:r>
      <w:r w:rsidRPr="009E06AA">
        <w:rPr>
          <w:i/>
        </w:rPr>
        <w:t>igh producing grassland</w:t>
      </w:r>
      <w:r w:rsidRPr="009E06AA">
        <w:t xml:space="preserve"> or </w:t>
      </w:r>
      <w:r w:rsidRPr="009E06AA">
        <w:rPr>
          <w:i/>
          <w:iCs/>
        </w:rPr>
        <w:t>L</w:t>
      </w:r>
      <w:r w:rsidRPr="009E06AA">
        <w:rPr>
          <w:i/>
        </w:rPr>
        <w:t>ow producing grassland</w:t>
      </w:r>
      <w:r w:rsidRPr="009E06AA">
        <w:t xml:space="preserve"> because there are no Tier 1 defaults provided in the 2006 IPCC Guidelines (IPCC, 2006a). There is insufficient information to develop default coefficients for estimating the dead organic matter pool for these two categories (IPCC, 2006a). The notation key NE is used in the CRTs. </w:t>
      </w:r>
    </w:p>
    <w:p w14:paraId="51C1DDEF" w14:textId="77777777" w:rsidR="00053418" w:rsidRPr="009E06AA" w:rsidRDefault="00053418" w:rsidP="00053418">
      <w:pPr>
        <w:pStyle w:val="BodyText"/>
      </w:pPr>
      <w:r w:rsidRPr="009E06AA">
        <w:t xml:space="preserve">For </w:t>
      </w:r>
      <w:r w:rsidRPr="009E06AA">
        <w:rPr>
          <w:i/>
          <w:iCs/>
        </w:rPr>
        <w:t>Grassland with woody biomass</w:t>
      </w:r>
      <w:r w:rsidRPr="009E06AA">
        <w:t>, an estimate of dead organic matter is derived from the LUCAS national plot network (Wakelin and Beets, unpublished), and estimates of changes in dead organic matter stocks with conversion to and from this land use are reported.</w:t>
      </w:r>
    </w:p>
    <w:p w14:paraId="156BF64A" w14:textId="77777777" w:rsidR="00053418" w:rsidRPr="009E06AA" w:rsidRDefault="00053418" w:rsidP="00BF2A76">
      <w:pPr>
        <w:pStyle w:val="Heading5"/>
      </w:pPr>
      <w:bookmarkStart w:id="2378" w:name="_Toc255466400"/>
      <w:bookmarkStart w:id="2379" w:name="_Toc261513207"/>
      <w:bookmarkStart w:id="2380" w:name="_Toc261513820"/>
      <w:bookmarkStart w:id="2381" w:name="_Toc280630292"/>
      <w:r w:rsidRPr="009E06AA">
        <w:t>Soil organic carbon</w:t>
      </w:r>
      <w:bookmarkEnd w:id="2378"/>
      <w:bookmarkEnd w:id="2379"/>
      <w:bookmarkEnd w:id="2380"/>
      <w:bookmarkEnd w:id="2381"/>
      <w:r w:rsidRPr="009E06AA">
        <w:t xml:space="preserve"> </w:t>
      </w:r>
    </w:p>
    <w:p w14:paraId="69D42DE7" w14:textId="77777777" w:rsidR="00053418" w:rsidRPr="009E06AA" w:rsidRDefault="00053418" w:rsidP="00053418">
      <w:pPr>
        <w:pStyle w:val="BodyText"/>
      </w:pPr>
      <w:bookmarkStart w:id="2382" w:name="_Toc255466401"/>
      <w:bookmarkStart w:id="2383" w:name="_Toc261513208"/>
      <w:bookmarkStart w:id="2384" w:name="_Toc261513821"/>
      <w:r w:rsidRPr="009E06AA">
        <w:t xml:space="preserve">Soil organic carbon stocks in </w:t>
      </w:r>
      <w:r w:rsidRPr="009E06AA">
        <w:rPr>
          <w:i/>
        </w:rPr>
        <w:t>Grassland remaining grassland</w:t>
      </w:r>
      <w:r w:rsidRPr="009E06AA">
        <w:t xml:space="preserve"> are estimated using a Tier 2 method for mineral soils and a Tier 1 method for organic soils (see annex A5.2.4). </w:t>
      </w:r>
      <w:bookmarkStart w:id="2385" w:name="_Toc255466404"/>
      <w:bookmarkStart w:id="2386" w:name="_Toc261513211"/>
      <w:bookmarkStart w:id="2387" w:name="_Toc261513824"/>
      <w:bookmarkStart w:id="2388" w:name="_Toc280630295"/>
      <w:bookmarkEnd w:id="2382"/>
      <w:bookmarkEnd w:id="2383"/>
      <w:bookmarkEnd w:id="2384"/>
    </w:p>
    <w:p w14:paraId="0BF1D987" w14:textId="77777777" w:rsidR="00053418" w:rsidRPr="009E06AA" w:rsidRDefault="00053418" w:rsidP="00BF2A76">
      <w:pPr>
        <w:pStyle w:val="Heading5"/>
      </w:pPr>
      <w:r w:rsidRPr="009E06AA">
        <w:t>Non-CO</w:t>
      </w:r>
      <w:r w:rsidRPr="009E06AA">
        <w:rPr>
          <w:vertAlign w:val="subscript"/>
        </w:rPr>
        <w:t>2</w:t>
      </w:r>
      <w:r w:rsidRPr="009E06AA">
        <w:t xml:space="preserve"> emissions</w:t>
      </w:r>
    </w:p>
    <w:p w14:paraId="5832C504" w14:textId="77777777" w:rsidR="00053418" w:rsidRPr="009E06AA" w:rsidRDefault="00053418" w:rsidP="00053418">
      <w:pPr>
        <w:pStyle w:val="BodyText"/>
      </w:pPr>
      <w:r w:rsidRPr="009E06AA">
        <w:t>Direct and indirect N</w:t>
      </w:r>
      <w:r w:rsidRPr="009E06AA">
        <w:rPr>
          <w:vertAlign w:val="subscript"/>
        </w:rPr>
        <w:t>2</w:t>
      </w:r>
      <w:r w:rsidRPr="009E06AA">
        <w:t xml:space="preserve">O emissions occurring as a result of nitrogen inputs, as well as drainage of managed soils, in </w:t>
      </w:r>
      <w:r w:rsidRPr="009E06AA">
        <w:rPr>
          <w:i/>
        </w:rPr>
        <w:t>Grassland remaining grassland</w:t>
      </w:r>
      <w:r w:rsidRPr="009E06AA">
        <w:t xml:space="preserve"> are reported under the Agriculture sector. </w:t>
      </w:r>
    </w:p>
    <w:p w14:paraId="2EBD1467" w14:textId="77777777" w:rsidR="00053418" w:rsidRPr="009E06AA" w:rsidRDefault="00053418" w:rsidP="00053418">
      <w:pPr>
        <w:pStyle w:val="Heading4"/>
      </w:pPr>
      <w:r w:rsidRPr="009E06AA">
        <w:t>Land converted to grassland</w:t>
      </w:r>
      <w:bookmarkEnd w:id="2385"/>
      <w:bookmarkEnd w:id="2386"/>
      <w:bookmarkEnd w:id="2387"/>
      <w:bookmarkEnd w:id="2388"/>
      <w:r w:rsidRPr="009E06AA">
        <w:t xml:space="preserve"> (4.C.2)</w:t>
      </w:r>
    </w:p>
    <w:p w14:paraId="26C4871D" w14:textId="77777777" w:rsidR="00053418" w:rsidRPr="009E06AA" w:rsidRDefault="00053418" w:rsidP="00FA728E">
      <w:pPr>
        <w:pStyle w:val="Heading5"/>
        <w:spacing w:before="180"/>
      </w:pPr>
      <w:bookmarkStart w:id="2389" w:name="_Toc255466405"/>
      <w:bookmarkStart w:id="2390" w:name="_Toc261513212"/>
      <w:bookmarkStart w:id="2391" w:name="_Toc261513825"/>
      <w:bookmarkStart w:id="2392" w:name="_Toc280630296"/>
      <w:r w:rsidRPr="009E06AA">
        <w:t>Living biomass</w:t>
      </w:r>
      <w:bookmarkEnd w:id="2389"/>
      <w:bookmarkEnd w:id="2390"/>
      <w:bookmarkEnd w:id="2391"/>
      <w:bookmarkEnd w:id="2392"/>
    </w:p>
    <w:p w14:paraId="5C803940" w14:textId="77777777" w:rsidR="00053418" w:rsidRPr="009E06AA" w:rsidRDefault="00053418" w:rsidP="00053418">
      <w:pPr>
        <w:pStyle w:val="BodyText"/>
      </w:pPr>
      <w:r w:rsidRPr="009E06AA">
        <w:t xml:space="preserve">New Zealand applies a Tier 1 method to calculate emissions for </w:t>
      </w:r>
      <w:r w:rsidRPr="009E06AA">
        <w:rPr>
          <w:i/>
        </w:rPr>
        <w:t>Land converted to grassland</w:t>
      </w:r>
      <w:r w:rsidRPr="009E06AA">
        <w:t xml:space="preserve">. The Tier 1 method multiplies the area of </w:t>
      </w:r>
      <w:r w:rsidRPr="009E06AA">
        <w:rPr>
          <w:i/>
        </w:rPr>
        <w:t>Land converted to grassland</w:t>
      </w:r>
      <w:r w:rsidRPr="009E06AA">
        <w:t xml:space="preserve"> annually by the carbon stock change per area for that type of conversion. </w:t>
      </w:r>
    </w:p>
    <w:p w14:paraId="3E2144A9" w14:textId="77777777" w:rsidR="00053418" w:rsidRPr="009E06AA" w:rsidRDefault="00053418" w:rsidP="00053418">
      <w:pPr>
        <w:pStyle w:val="BodyText"/>
      </w:pPr>
      <w:r w:rsidRPr="009E06AA">
        <w:t xml:space="preserve">The Tier 1 method assumes carbon in living biomass immediately after conversion is zero; that is, the land is cleared of all vegetation at conversion and is instantly oxidised. The Tier 1 method also includes changes in carbon stocks from one year of growth from the </w:t>
      </w:r>
      <w:r w:rsidRPr="009E06AA">
        <w:rPr>
          <w:i/>
          <w:iCs/>
        </w:rPr>
        <w:t>Grassland</w:t>
      </w:r>
      <w:r w:rsidRPr="009E06AA">
        <w:t xml:space="preserve"> category that land was converted to in the year conversion takes place, as outlined in equation 2.9 of the 2006 IPCC Guidelines (IPCC, 2006a).</w:t>
      </w:r>
    </w:p>
    <w:p w14:paraId="1D53DD44" w14:textId="77777777" w:rsidR="00053418" w:rsidRPr="009E06AA" w:rsidRDefault="00053418" w:rsidP="00BF2A76">
      <w:pPr>
        <w:pStyle w:val="Heading5"/>
      </w:pPr>
      <w:bookmarkStart w:id="2393" w:name="_Toc255466406"/>
      <w:bookmarkStart w:id="2394" w:name="_Toc261513213"/>
      <w:bookmarkStart w:id="2395" w:name="_Toc261513826"/>
      <w:bookmarkStart w:id="2396" w:name="_Toc280630297"/>
      <w:r w:rsidRPr="009E06AA">
        <w:t>Dead organic matter</w:t>
      </w:r>
      <w:bookmarkEnd w:id="2393"/>
      <w:bookmarkEnd w:id="2394"/>
      <w:bookmarkEnd w:id="2395"/>
      <w:bookmarkEnd w:id="2396"/>
    </w:p>
    <w:p w14:paraId="355C3353" w14:textId="77777777" w:rsidR="00053418" w:rsidRPr="009E06AA" w:rsidRDefault="00053418" w:rsidP="00053418">
      <w:pPr>
        <w:pStyle w:val="BodyText"/>
      </w:pPr>
      <w:r w:rsidRPr="009E06AA">
        <w:rPr>
          <w:spacing w:val="-2"/>
        </w:rPr>
        <w:t xml:space="preserve">For land conversion to </w:t>
      </w:r>
      <w:r w:rsidRPr="009E06AA">
        <w:rPr>
          <w:i/>
          <w:iCs/>
          <w:spacing w:val="-2"/>
        </w:rPr>
        <w:t>H</w:t>
      </w:r>
      <w:r w:rsidRPr="009E06AA">
        <w:rPr>
          <w:i/>
          <w:spacing w:val="-2"/>
        </w:rPr>
        <w:t xml:space="preserve">igh producing grassland </w:t>
      </w:r>
      <w:r w:rsidRPr="009E06AA">
        <w:rPr>
          <w:spacing w:val="-2"/>
        </w:rPr>
        <w:t>and</w:t>
      </w:r>
      <w:r w:rsidRPr="009E06AA">
        <w:rPr>
          <w:i/>
          <w:spacing w:val="-2"/>
        </w:rPr>
        <w:t xml:space="preserve"> </w:t>
      </w:r>
      <w:r w:rsidRPr="009E06AA">
        <w:rPr>
          <w:i/>
          <w:iCs/>
          <w:spacing w:val="-2"/>
        </w:rPr>
        <w:t>L</w:t>
      </w:r>
      <w:r w:rsidRPr="009E06AA">
        <w:rPr>
          <w:i/>
          <w:spacing w:val="-2"/>
        </w:rPr>
        <w:t>ow producing grassland</w:t>
      </w:r>
      <w:r w:rsidRPr="009E06AA">
        <w:rPr>
          <w:spacing w:val="-2"/>
        </w:rPr>
        <w:t xml:space="preserve">, New Zealand reports only losses in dead organic matter. The losses are calculated based on the carbon in dead organic matter at the site before conversion to </w:t>
      </w:r>
      <w:r w:rsidRPr="009E06AA">
        <w:rPr>
          <w:i/>
          <w:spacing w:val="-2"/>
        </w:rPr>
        <w:t>Grassland</w:t>
      </w:r>
      <w:r w:rsidRPr="009E06AA">
        <w:rPr>
          <w:spacing w:val="-2"/>
        </w:rPr>
        <w:t xml:space="preserve">. It is assumed that, immediately after conversion, the carbon in the dead organic matter pool is zero (all carbon in dead organic matter before conversion is instantly oxidised in the year of conversion). New Zealand applies the Tier 1 default method to high and low producing grassland land uses, which assumes there is no dead wood or litter accumulating in </w:t>
      </w:r>
      <w:r w:rsidRPr="009E06AA">
        <w:rPr>
          <w:i/>
          <w:spacing w:val="-2"/>
        </w:rPr>
        <w:t>Land converted to grassland</w:t>
      </w:r>
      <w:r w:rsidRPr="009E06AA">
        <w:rPr>
          <w:spacing w:val="-2"/>
        </w:rPr>
        <w:t xml:space="preserve"> (IPCC, 2006a). Therefore, where there are no dead organic matter losses associated with the previous land use, the notation key NE is used in the CRTs, in accordance with Decision 24/CP.19 (UNFCCC, 2014</w:t>
      </w:r>
      <w:r w:rsidRPr="009E06AA">
        <w:t>).</w:t>
      </w:r>
    </w:p>
    <w:p w14:paraId="2D29C4C8" w14:textId="77777777" w:rsidR="00053418" w:rsidRPr="009E06AA" w:rsidRDefault="00053418" w:rsidP="00053418">
      <w:pPr>
        <w:pStyle w:val="BodyText"/>
      </w:pPr>
      <w:r w:rsidRPr="009E06AA">
        <w:t xml:space="preserve">Where land is converted to </w:t>
      </w:r>
      <w:r w:rsidRPr="009E06AA">
        <w:rPr>
          <w:i/>
          <w:iCs/>
        </w:rPr>
        <w:t>Grassland with woody biomass</w:t>
      </w:r>
      <w:r w:rsidRPr="009E06AA">
        <w:t>, dead organic matter accumulates to 0.65 tonnes C ha</w:t>
      </w:r>
      <w:r w:rsidRPr="009E06AA">
        <w:rPr>
          <w:vertAlign w:val="superscript"/>
        </w:rPr>
        <w:t>–1</w:t>
      </w:r>
      <w:r w:rsidRPr="009E06AA">
        <w:t xml:space="preserve"> (see table 6.6.4) over 20 years (the IPCC default period for land to reach steady state (IPCC, 2006a).</w:t>
      </w:r>
    </w:p>
    <w:p w14:paraId="366EE707" w14:textId="77777777" w:rsidR="00053418" w:rsidRPr="009E06AA" w:rsidRDefault="00053418" w:rsidP="00BF2A76">
      <w:pPr>
        <w:pStyle w:val="Heading5"/>
      </w:pPr>
      <w:bookmarkStart w:id="2397" w:name="_Toc255466407"/>
      <w:bookmarkStart w:id="2398" w:name="_Toc261513214"/>
      <w:bookmarkStart w:id="2399" w:name="_Toc261513827"/>
      <w:bookmarkStart w:id="2400" w:name="_Toc280630298"/>
      <w:bookmarkStart w:id="2401" w:name="_Toc139253972"/>
      <w:r w:rsidRPr="009E06AA">
        <w:t>Soil organic carbon</w:t>
      </w:r>
      <w:bookmarkEnd w:id="2397"/>
      <w:bookmarkEnd w:id="2398"/>
      <w:bookmarkEnd w:id="2399"/>
      <w:bookmarkEnd w:id="2400"/>
    </w:p>
    <w:p w14:paraId="57A1BE20" w14:textId="77777777" w:rsidR="00053418" w:rsidRPr="009E06AA" w:rsidRDefault="00053418" w:rsidP="00053418">
      <w:pPr>
        <w:pStyle w:val="BodyText"/>
      </w:pPr>
      <w:r w:rsidRPr="009E06AA">
        <w:t xml:space="preserve">Soil organic carbon stocks in </w:t>
      </w:r>
      <w:r w:rsidRPr="009E06AA">
        <w:rPr>
          <w:i/>
        </w:rPr>
        <w:t>Land converted to grassland</w:t>
      </w:r>
      <w:r w:rsidRPr="009E06AA">
        <w:t xml:space="preserve"> are estimated using a Tier 2 method for mineral soils and a Tier 1 method for organic soils (see annex A5.2.4). </w:t>
      </w:r>
    </w:p>
    <w:p w14:paraId="7307AF82" w14:textId="77777777" w:rsidR="00053418" w:rsidRPr="009E06AA" w:rsidRDefault="00053418" w:rsidP="00BF2A76">
      <w:pPr>
        <w:pStyle w:val="Heading5"/>
      </w:pPr>
      <w:r w:rsidRPr="009E06AA">
        <w:t>Non-CO</w:t>
      </w:r>
      <w:r w:rsidRPr="009E06AA">
        <w:rPr>
          <w:vertAlign w:val="subscript"/>
        </w:rPr>
        <w:t>2</w:t>
      </w:r>
      <w:r w:rsidRPr="009E06AA">
        <w:t xml:space="preserve"> emissions</w:t>
      </w:r>
    </w:p>
    <w:p w14:paraId="08E4FEEC" w14:textId="77777777" w:rsidR="00053418" w:rsidRPr="009E06AA" w:rsidRDefault="00053418" w:rsidP="00053418">
      <w:pPr>
        <w:pStyle w:val="BodyText"/>
      </w:pPr>
      <w:r w:rsidRPr="009E06AA">
        <w:t>Nitrous oxide emissions from disturbance associated with land use conversion to </w:t>
      </w:r>
      <w:r w:rsidRPr="009E06AA">
        <w:rPr>
          <w:i/>
          <w:iCs/>
        </w:rPr>
        <w:t xml:space="preserve">Grassland </w:t>
      </w:r>
      <w:r w:rsidRPr="009E06AA">
        <w:t xml:space="preserve">and land use management are described in section 6.11. </w:t>
      </w:r>
    </w:p>
    <w:p w14:paraId="54145E67" w14:textId="77777777" w:rsidR="00053418" w:rsidRPr="009E06AA" w:rsidRDefault="00053418" w:rsidP="00053418">
      <w:pPr>
        <w:pStyle w:val="Heading3"/>
      </w:pPr>
      <w:bookmarkStart w:id="2402" w:name="_Toc255466410"/>
      <w:bookmarkStart w:id="2403" w:name="_Toc261513217"/>
      <w:bookmarkStart w:id="2404" w:name="_Toc261513830"/>
      <w:bookmarkStart w:id="2405" w:name="_Toc280630300"/>
      <w:r w:rsidRPr="009E06AA">
        <w:t>6.6.3</w:t>
      </w:r>
      <w:r w:rsidRPr="009E06AA">
        <w:tab/>
        <w:t>Uncertainty assessment and time-series consistency</w:t>
      </w:r>
      <w:bookmarkEnd w:id="2401"/>
      <w:bookmarkEnd w:id="2402"/>
      <w:bookmarkEnd w:id="2403"/>
      <w:bookmarkEnd w:id="2404"/>
      <w:bookmarkEnd w:id="2405"/>
    </w:p>
    <w:p w14:paraId="2C7677E0" w14:textId="77777777" w:rsidR="00053418" w:rsidRPr="009E06AA" w:rsidRDefault="00053418" w:rsidP="00053418">
      <w:pPr>
        <w:pStyle w:val="BodyText"/>
        <w:keepLines/>
      </w:pPr>
      <w:bookmarkStart w:id="2406" w:name="_Hlk73364961"/>
      <w:r w:rsidRPr="009E06AA">
        <w:t xml:space="preserve">The uncertainty in net carbon emissions from </w:t>
      </w:r>
      <w:r w:rsidRPr="009E06AA">
        <w:rPr>
          <w:i/>
        </w:rPr>
        <w:t>Grassland</w:t>
      </w:r>
      <w:r w:rsidRPr="009E06AA">
        <w:t xml:space="preserve"> was 33.3 per cent in 2022. The uncertainty in net carbon emissions from </w:t>
      </w:r>
      <w:r w:rsidRPr="009E06AA">
        <w:rPr>
          <w:i/>
        </w:rPr>
        <w:t>Grassland</w:t>
      </w:r>
      <w:r w:rsidRPr="009E06AA">
        <w:t xml:space="preserve"> accounted for 6.3 per cent of the total uncertainty in emissions from the LULUCF sector. The uncertainty associated with the emissions from each </w:t>
      </w:r>
      <w:r w:rsidRPr="009E06AA">
        <w:rPr>
          <w:i/>
        </w:rPr>
        <w:t>Grassland</w:t>
      </w:r>
      <w:r w:rsidRPr="009E06AA">
        <w:t xml:space="preserve"> class is shown in table 6.6.5. The methods used to calculate the uncertainty are further described in annex A5.2.8. </w:t>
      </w:r>
    </w:p>
    <w:p w14:paraId="57E199C6" w14:textId="77777777" w:rsidR="00053418" w:rsidRPr="009E06AA" w:rsidRDefault="00053418" w:rsidP="00053418">
      <w:pPr>
        <w:pStyle w:val="BodyText"/>
      </w:pPr>
      <w:r w:rsidRPr="009E06AA">
        <w:t xml:space="preserve">Time-series consistency is ensured by applying consistent methods and full recalculations in the event of any refinement or improvement to methodology. </w:t>
      </w:r>
    </w:p>
    <w:p w14:paraId="04D53320" w14:textId="77777777" w:rsidR="00053418" w:rsidRPr="009E06AA" w:rsidRDefault="00053418" w:rsidP="00053418">
      <w:pPr>
        <w:pStyle w:val="Table"/>
      </w:pPr>
      <w:bookmarkStart w:id="2407" w:name="_Toc131591412"/>
      <w:bookmarkStart w:id="2408" w:name="_Toc158979970"/>
      <w:bookmarkStart w:id="2409" w:name="_Toc164153903"/>
      <w:r w:rsidRPr="009E06AA">
        <w:t>Table 6.6.5</w:t>
      </w:r>
      <w:r w:rsidRPr="009E06AA">
        <w:tab/>
        <w:t xml:space="preserve">Uncertainty in carbon stock change emissions in 2022 for </w:t>
      </w:r>
      <w:r w:rsidRPr="009E06AA">
        <w:rPr>
          <w:i/>
        </w:rPr>
        <w:t>Grassland</w:t>
      </w:r>
      <w:bookmarkEnd w:id="2407"/>
      <w:bookmarkEnd w:id="2408"/>
      <w:bookmarkEnd w:id="2409"/>
      <w:r w:rsidRPr="009E06AA">
        <w:t xml:space="preserve"> </w:t>
      </w:r>
    </w:p>
    <w:tbl>
      <w:tblPr>
        <w:tblW w:w="8505" w:type="dxa"/>
        <w:tblLayout w:type="fixed"/>
        <w:tblLook w:val="04A0" w:firstRow="1" w:lastRow="0" w:firstColumn="1" w:lastColumn="0" w:noHBand="0" w:noVBand="1"/>
      </w:tblPr>
      <w:tblGrid>
        <w:gridCol w:w="2851"/>
        <w:gridCol w:w="1883"/>
        <w:gridCol w:w="1883"/>
        <w:gridCol w:w="1888"/>
      </w:tblGrid>
      <w:tr w:rsidR="00053418" w:rsidRPr="009E06AA" w14:paraId="7A79D245" w14:textId="77777777" w:rsidTr="00B55F24">
        <w:tc>
          <w:tcPr>
            <w:tcW w:w="2851" w:type="dxa"/>
            <w:tcBorders>
              <w:top w:val="single" w:sz="4" w:space="0" w:color="1B556B" w:themeColor="text2"/>
              <w:bottom w:val="single" w:sz="4" w:space="0" w:color="1B556B" w:themeColor="text2"/>
            </w:tcBorders>
            <w:shd w:val="clear" w:color="auto" w:fill="1B556B" w:themeFill="text2"/>
            <w:vAlign w:val="bottom"/>
          </w:tcPr>
          <w:p w14:paraId="0216FF36" w14:textId="77777777" w:rsidR="00053418" w:rsidRPr="009E06AA" w:rsidRDefault="00053418" w:rsidP="00B55F24">
            <w:pPr>
              <w:pStyle w:val="TableTextBold"/>
              <w:keepNext/>
              <w:spacing w:before="50" w:after="50"/>
              <w:rPr>
                <w:noProof w:val="0"/>
                <w:color w:val="FFFFFF"/>
                <w:szCs w:val="16"/>
              </w:rPr>
            </w:pPr>
          </w:p>
        </w:tc>
        <w:tc>
          <w:tcPr>
            <w:tcW w:w="1883" w:type="dxa"/>
            <w:tcBorders>
              <w:top w:val="single" w:sz="4" w:space="0" w:color="1B556B" w:themeColor="text2"/>
              <w:bottom w:val="single" w:sz="4" w:space="0" w:color="1B556B" w:themeColor="text2"/>
            </w:tcBorders>
            <w:shd w:val="clear" w:color="auto" w:fill="1B556B" w:themeFill="text2"/>
            <w:vAlign w:val="bottom"/>
          </w:tcPr>
          <w:p w14:paraId="47497104" w14:textId="77777777" w:rsidR="00053418" w:rsidRPr="009E06AA" w:rsidRDefault="00053418" w:rsidP="00FA728E">
            <w:pPr>
              <w:pStyle w:val="TableTextBold"/>
              <w:spacing w:before="50" w:after="50"/>
              <w:jc w:val="right"/>
              <w:rPr>
                <w:noProof w:val="0"/>
                <w:color w:val="FFFFFF"/>
                <w:szCs w:val="16"/>
              </w:rPr>
            </w:pPr>
            <w:r w:rsidRPr="009E06AA">
              <w:rPr>
                <w:noProof w:val="0"/>
                <w:color w:val="FFFFFF"/>
                <w:szCs w:val="16"/>
              </w:rPr>
              <w:t xml:space="preserve">Emissions </w:t>
            </w:r>
            <w:r w:rsidRPr="009E06AA">
              <w:rPr>
                <w:noProof w:val="0"/>
                <w:color w:val="FFFFFF"/>
                <w:szCs w:val="16"/>
              </w:rPr>
              <w:br/>
              <w:t>(kt CO</w:t>
            </w:r>
            <w:r w:rsidRPr="009E06AA">
              <w:rPr>
                <w:noProof w:val="0"/>
                <w:color w:val="FFFFFF"/>
                <w:szCs w:val="16"/>
                <w:vertAlign w:val="subscript"/>
              </w:rPr>
              <w:t>2</w:t>
            </w:r>
            <w:r w:rsidRPr="009E06AA">
              <w:rPr>
                <w:noProof w:val="0"/>
                <w:color w:val="FFFFFF"/>
                <w:szCs w:val="16"/>
              </w:rPr>
              <w:t>-e)</w:t>
            </w:r>
          </w:p>
        </w:tc>
        <w:tc>
          <w:tcPr>
            <w:tcW w:w="1883" w:type="dxa"/>
            <w:tcBorders>
              <w:top w:val="single" w:sz="4" w:space="0" w:color="1B556B" w:themeColor="text2"/>
              <w:bottom w:val="single" w:sz="4" w:space="0" w:color="1B556B" w:themeColor="text2"/>
            </w:tcBorders>
            <w:shd w:val="clear" w:color="auto" w:fill="1B556B" w:themeFill="text2"/>
            <w:vAlign w:val="bottom"/>
          </w:tcPr>
          <w:p w14:paraId="67817B59" w14:textId="77777777" w:rsidR="00053418" w:rsidRPr="009E06AA" w:rsidRDefault="00053418" w:rsidP="00FA728E">
            <w:pPr>
              <w:pStyle w:val="TableTextBold"/>
              <w:spacing w:before="50" w:after="50"/>
              <w:jc w:val="right"/>
              <w:rPr>
                <w:noProof w:val="0"/>
                <w:color w:val="FFFFFF"/>
                <w:szCs w:val="16"/>
              </w:rPr>
            </w:pPr>
            <w:r w:rsidRPr="009E06AA">
              <w:rPr>
                <w:noProof w:val="0"/>
                <w:color w:val="FFFFFF"/>
                <w:szCs w:val="16"/>
              </w:rPr>
              <w:t>Uncertainty in emissions (%)</w:t>
            </w:r>
          </w:p>
        </w:tc>
        <w:tc>
          <w:tcPr>
            <w:tcW w:w="1888" w:type="dxa"/>
            <w:tcBorders>
              <w:top w:val="single" w:sz="4" w:space="0" w:color="1B556B" w:themeColor="text2"/>
              <w:bottom w:val="single" w:sz="4" w:space="0" w:color="1B556B" w:themeColor="text2"/>
            </w:tcBorders>
            <w:shd w:val="clear" w:color="auto" w:fill="1B556B" w:themeFill="text2"/>
            <w:vAlign w:val="bottom"/>
          </w:tcPr>
          <w:p w14:paraId="6D65EE74" w14:textId="77777777" w:rsidR="00053418" w:rsidRPr="009E06AA" w:rsidRDefault="00053418" w:rsidP="00FA728E">
            <w:pPr>
              <w:pStyle w:val="TableTextBold"/>
              <w:spacing w:before="50" w:after="50"/>
              <w:jc w:val="right"/>
              <w:rPr>
                <w:noProof w:val="0"/>
                <w:color w:val="FFFFFF"/>
                <w:szCs w:val="16"/>
              </w:rPr>
            </w:pPr>
            <w:r w:rsidRPr="009E06AA">
              <w:rPr>
                <w:noProof w:val="0"/>
                <w:color w:val="FFFFFF"/>
                <w:szCs w:val="16"/>
              </w:rPr>
              <w:t>Contribution to LULUCF uncertainty (%)</w:t>
            </w:r>
          </w:p>
        </w:tc>
      </w:tr>
      <w:tr w:rsidR="00053418" w:rsidRPr="009E06AA" w14:paraId="470CB1FE" w14:textId="77777777" w:rsidTr="00B55F24">
        <w:tc>
          <w:tcPr>
            <w:tcW w:w="2851" w:type="dxa"/>
            <w:tcBorders>
              <w:top w:val="single" w:sz="4" w:space="0" w:color="1B556B" w:themeColor="text2"/>
              <w:bottom w:val="single" w:sz="4" w:space="0" w:color="1B556B" w:themeColor="text2"/>
            </w:tcBorders>
          </w:tcPr>
          <w:p w14:paraId="2E84A444" w14:textId="77777777" w:rsidR="00053418" w:rsidRPr="009E06AA" w:rsidRDefault="00053418" w:rsidP="00B55F24">
            <w:pPr>
              <w:pStyle w:val="TableText"/>
              <w:spacing w:before="50" w:after="50"/>
              <w:rPr>
                <w:szCs w:val="16"/>
              </w:rPr>
            </w:pPr>
            <w:r w:rsidRPr="009E06AA">
              <w:rPr>
                <w:szCs w:val="16"/>
              </w:rPr>
              <w:t>Grassland – low producing</w:t>
            </w:r>
          </w:p>
        </w:tc>
        <w:tc>
          <w:tcPr>
            <w:tcW w:w="1883" w:type="dxa"/>
            <w:tcBorders>
              <w:top w:val="single" w:sz="4" w:space="0" w:color="1B556B" w:themeColor="text2"/>
              <w:bottom w:val="single" w:sz="4" w:space="0" w:color="1B556B" w:themeColor="text2"/>
            </w:tcBorders>
            <w:vAlign w:val="bottom"/>
          </w:tcPr>
          <w:p w14:paraId="319EA0A4" w14:textId="77777777" w:rsidR="00053418" w:rsidRPr="009E06AA" w:rsidRDefault="00053418" w:rsidP="00FA728E">
            <w:pPr>
              <w:pStyle w:val="TableText"/>
              <w:spacing w:before="50" w:after="50"/>
              <w:jc w:val="right"/>
              <w:rPr>
                <w:szCs w:val="16"/>
              </w:rPr>
            </w:pPr>
            <w:r w:rsidRPr="009E06AA">
              <w:rPr>
                <w:rFonts w:cs="Calibri"/>
                <w:color w:val="000000"/>
                <w:szCs w:val="16"/>
              </w:rPr>
              <w:t>2,261.9</w:t>
            </w:r>
          </w:p>
        </w:tc>
        <w:tc>
          <w:tcPr>
            <w:tcW w:w="1883" w:type="dxa"/>
            <w:tcBorders>
              <w:top w:val="single" w:sz="4" w:space="0" w:color="1B556B" w:themeColor="text2"/>
              <w:bottom w:val="single" w:sz="4" w:space="0" w:color="1B556B" w:themeColor="text2"/>
            </w:tcBorders>
            <w:vAlign w:val="bottom"/>
          </w:tcPr>
          <w:p w14:paraId="2D85888C" w14:textId="77777777" w:rsidR="00053418" w:rsidRPr="009E06AA" w:rsidRDefault="00053418" w:rsidP="00FA728E">
            <w:pPr>
              <w:pStyle w:val="TableText"/>
              <w:spacing w:before="50" w:after="50"/>
              <w:jc w:val="right"/>
              <w:rPr>
                <w:rFonts w:cs="Segoe UI"/>
                <w:szCs w:val="16"/>
              </w:rPr>
            </w:pPr>
            <w:r w:rsidRPr="009E06AA">
              <w:rPr>
                <w:rFonts w:cs="Calibri"/>
                <w:color w:val="000000"/>
                <w:szCs w:val="16"/>
              </w:rPr>
              <w:t>50.4</w:t>
            </w:r>
          </w:p>
        </w:tc>
        <w:tc>
          <w:tcPr>
            <w:tcW w:w="1888" w:type="dxa"/>
            <w:tcBorders>
              <w:top w:val="single" w:sz="4" w:space="0" w:color="1B556B" w:themeColor="text2"/>
              <w:bottom w:val="single" w:sz="4" w:space="0" w:color="1B556B" w:themeColor="text2"/>
            </w:tcBorders>
            <w:vAlign w:val="bottom"/>
          </w:tcPr>
          <w:p w14:paraId="76D43BF2" w14:textId="77777777" w:rsidR="00053418" w:rsidRPr="009E06AA" w:rsidRDefault="00053418" w:rsidP="00FA728E">
            <w:pPr>
              <w:pStyle w:val="TableText"/>
              <w:spacing w:before="50" w:after="50"/>
              <w:jc w:val="right"/>
              <w:rPr>
                <w:rFonts w:cs="Segoe UI"/>
                <w:szCs w:val="16"/>
              </w:rPr>
            </w:pPr>
            <w:r w:rsidRPr="009E06AA">
              <w:rPr>
                <w:rFonts w:cs="Calibri"/>
                <w:color w:val="000000"/>
                <w:szCs w:val="16"/>
              </w:rPr>
              <w:t>5.9</w:t>
            </w:r>
          </w:p>
        </w:tc>
      </w:tr>
      <w:tr w:rsidR="00053418" w:rsidRPr="009E06AA" w14:paraId="160DE42F" w14:textId="77777777" w:rsidTr="00B55F24">
        <w:tc>
          <w:tcPr>
            <w:tcW w:w="2851" w:type="dxa"/>
            <w:tcBorders>
              <w:top w:val="single" w:sz="4" w:space="0" w:color="1B556B" w:themeColor="text2"/>
              <w:bottom w:val="single" w:sz="4" w:space="0" w:color="1B556B" w:themeColor="text2"/>
            </w:tcBorders>
          </w:tcPr>
          <w:p w14:paraId="4D153982" w14:textId="77777777" w:rsidR="00053418" w:rsidRPr="009E06AA" w:rsidRDefault="00053418" w:rsidP="00B55F24">
            <w:pPr>
              <w:pStyle w:val="TableText"/>
              <w:spacing w:before="50" w:after="50"/>
              <w:rPr>
                <w:szCs w:val="16"/>
              </w:rPr>
            </w:pPr>
            <w:r w:rsidRPr="009E06AA">
              <w:rPr>
                <w:szCs w:val="16"/>
              </w:rPr>
              <w:t>Grassland – high producing</w:t>
            </w:r>
          </w:p>
        </w:tc>
        <w:tc>
          <w:tcPr>
            <w:tcW w:w="1883" w:type="dxa"/>
            <w:tcBorders>
              <w:top w:val="single" w:sz="4" w:space="0" w:color="1B556B" w:themeColor="text2"/>
              <w:bottom w:val="single" w:sz="4" w:space="0" w:color="1B556B" w:themeColor="text2"/>
            </w:tcBorders>
            <w:vAlign w:val="bottom"/>
          </w:tcPr>
          <w:p w14:paraId="424C2112" w14:textId="77777777" w:rsidR="00053418" w:rsidRPr="009E06AA" w:rsidRDefault="00053418" w:rsidP="00FA728E">
            <w:pPr>
              <w:pStyle w:val="TableText"/>
              <w:spacing w:before="50" w:after="50"/>
              <w:jc w:val="right"/>
              <w:rPr>
                <w:szCs w:val="16"/>
              </w:rPr>
            </w:pPr>
            <w:r w:rsidRPr="009E06AA">
              <w:rPr>
                <w:rFonts w:cs="Calibri"/>
                <w:color w:val="000000"/>
                <w:szCs w:val="16"/>
              </w:rPr>
              <w:t>871.4</w:t>
            </w:r>
          </w:p>
        </w:tc>
        <w:tc>
          <w:tcPr>
            <w:tcW w:w="1883" w:type="dxa"/>
            <w:tcBorders>
              <w:top w:val="single" w:sz="4" w:space="0" w:color="1B556B" w:themeColor="text2"/>
              <w:bottom w:val="single" w:sz="4" w:space="0" w:color="1B556B" w:themeColor="text2"/>
            </w:tcBorders>
            <w:vAlign w:val="bottom"/>
          </w:tcPr>
          <w:p w14:paraId="7D9D7824" w14:textId="77777777" w:rsidR="00053418" w:rsidRPr="009E06AA" w:rsidRDefault="00053418" w:rsidP="00FA728E">
            <w:pPr>
              <w:pStyle w:val="TableText"/>
              <w:spacing w:before="50" w:after="50"/>
              <w:jc w:val="right"/>
              <w:rPr>
                <w:rFonts w:cs="Segoe UI"/>
                <w:szCs w:val="16"/>
              </w:rPr>
            </w:pPr>
            <w:r w:rsidRPr="009E06AA">
              <w:rPr>
                <w:rFonts w:cs="Calibri"/>
                <w:color w:val="000000"/>
                <w:szCs w:val="16"/>
              </w:rPr>
              <w:t>21.5</w:t>
            </w:r>
          </w:p>
        </w:tc>
        <w:tc>
          <w:tcPr>
            <w:tcW w:w="1888" w:type="dxa"/>
            <w:tcBorders>
              <w:top w:val="single" w:sz="4" w:space="0" w:color="1B556B" w:themeColor="text2"/>
              <w:bottom w:val="single" w:sz="4" w:space="0" w:color="1B556B" w:themeColor="text2"/>
            </w:tcBorders>
            <w:vAlign w:val="bottom"/>
          </w:tcPr>
          <w:p w14:paraId="1D16FDA8" w14:textId="77777777" w:rsidR="00053418" w:rsidRPr="009E06AA" w:rsidRDefault="00053418" w:rsidP="00FA728E">
            <w:pPr>
              <w:pStyle w:val="TableText"/>
              <w:spacing w:before="50" w:after="50"/>
              <w:jc w:val="right"/>
              <w:rPr>
                <w:rFonts w:cs="Segoe UI"/>
                <w:szCs w:val="16"/>
              </w:rPr>
            </w:pPr>
            <w:r w:rsidRPr="009E06AA">
              <w:rPr>
                <w:rFonts w:cs="Calibri"/>
                <w:color w:val="000000"/>
                <w:szCs w:val="16"/>
              </w:rPr>
              <w:t>1.0</w:t>
            </w:r>
          </w:p>
        </w:tc>
      </w:tr>
      <w:tr w:rsidR="00053418" w:rsidRPr="009E06AA" w14:paraId="0EAC050D" w14:textId="77777777" w:rsidTr="00B55F24">
        <w:tc>
          <w:tcPr>
            <w:tcW w:w="2851" w:type="dxa"/>
            <w:tcBorders>
              <w:top w:val="single" w:sz="4" w:space="0" w:color="1B556B" w:themeColor="text2"/>
              <w:bottom w:val="single" w:sz="4" w:space="0" w:color="1B556B" w:themeColor="text2"/>
            </w:tcBorders>
          </w:tcPr>
          <w:p w14:paraId="2DF7A3DC" w14:textId="77777777" w:rsidR="00053418" w:rsidRPr="009E06AA" w:rsidRDefault="00053418" w:rsidP="00B55F24">
            <w:pPr>
              <w:pStyle w:val="TableText"/>
              <w:spacing w:before="50" w:after="50"/>
              <w:rPr>
                <w:szCs w:val="16"/>
              </w:rPr>
            </w:pPr>
            <w:r w:rsidRPr="009E06AA">
              <w:rPr>
                <w:szCs w:val="16"/>
              </w:rPr>
              <w:t>Grassland – with woody biomass</w:t>
            </w:r>
          </w:p>
        </w:tc>
        <w:tc>
          <w:tcPr>
            <w:tcW w:w="1883" w:type="dxa"/>
            <w:tcBorders>
              <w:top w:val="single" w:sz="4" w:space="0" w:color="1B556B" w:themeColor="text2"/>
              <w:bottom w:val="single" w:sz="4" w:space="0" w:color="1B556B" w:themeColor="text2"/>
            </w:tcBorders>
            <w:vAlign w:val="bottom"/>
          </w:tcPr>
          <w:p w14:paraId="1055FF06" w14:textId="77777777" w:rsidR="00053418" w:rsidRPr="009E06AA" w:rsidRDefault="00053418" w:rsidP="00FA728E">
            <w:pPr>
              <w:pStyle w:val="TableText"/>
              <w:spacing w:before="50" w:after="50"/>
              <w:jc w:val="right"/>
              <w:rPr>
                <w:szCs w:val="16"/>
              </w:rPr>
            </w:pPr>
            <w:r w:rsidRPr="009E06AA">
              <w:rPr>
                <w:rFonts w:cs="Calibri"/>
                <w:color w:val="000000"/>
                <w:szCs w:val="16"/>
              </w:rPr>
              <w:t>490.4</w:t>
            </w:r>
          </w:p>
        </w:tc>
        <w:tc>
          <w:tcPr>
            <w:tcW w:w="1883" w:type="dxa"/>
            <w:tcBorders>
              <w:top w:val="single" w:sz="4" w:space="0" w:color="1B556B" w:themeColor="text2"/>
              <w:bottom w:val="single" w:sz="4" w:space="0" w:color="1B556B" w:themeColor="text2"/>
            </w:tcBorders>
            <w:vAlign w:val="bottom"/>
          </w:tcPr>
          <w:p w14:paraId="4E254353" w14:textId="77777777" w:rsidR="00053418" w:rsidRPr="009E06AA" w:rsidRDefault="00053418" w:rsidP="00FA728E">
            <w:pPr>
              <w:pStyle w:val="TableText"/>
              <w:spacing w:before="50" w:after="50"/>
              <w:jc w:val="right"/>
              <w:rPr>
                <w:szCs w:val="16"/>
              </w:rPr>
            </w:pPr>
            <w:r w:rsidRPr="009E06AA">
              <w:rPr>
                <w:rFonts w:cs="Calibri"/>
                <w:color w:val="000000"/>
                <w:szCs w:val="16"/>
              </w:rPr>
              <w:t>70.5</w:t>
            </w:r>
          </w:p>
        </w:tc>
        <w:tc>
          <w:tcPr>
            <w:tcW w:w="1888" w:type="dxa"/>
            <w:tcBorders>
              <w:top w:val="single" w:sz="4" w:space="0" w:color="1B556B" w:themeColor="text2"/>
              <w:bottom w:val="single" w:sz="4" w:space="0" w:color="1B556B" w:themeColor="text2"/>
            </w:tcBorders>
            <w:vAlign w:val="bottom"/>
          </w:tcPr>
          <w:p w14:paraId="06949F32" w14:textId="77777777" w:rsidR="00053418" w:rsidRPr="009E06AA" w:rsidRDefault="00053418" w:rsidP="00FA728E">
            <w:pPr>
              <w:pStyle w:val="TableText"/>
              <w:spacing w:before="50" w:after="50"/>
              <w:jc w:val="right"/>
              <w:rPr>
                <w:szCs w:val="16"/>
              </w:rPr>
            </w:pPr>
            <w:r w:rsidRPr="009E06AA">
              <w:rPr>
                <w:rFonts w:cs="Calibri"/>
                <w:color w:val="000000"/>
                <w:szCs w:val="16"/>
              </w:rPr>
              <w:t>1.8</w:t>
            </w:r>
          </w:p>
        </w:tc>
      </w:tr>
      <w:tr w:rsidR="00053418" w:rsidRPr="009E06AA" w14:paraId="15291D59" w14:textId="77777777" w:rsidTr="00B55F24">
        <w:tc>
          <w:tcPr>
            <w:tcW w:w="2851" w:type="dxa"/>
            <w:tcBorders>
              <w:top w:val="single" w:sz="4" w:space="0" w:color="1B556B" w:themeColor="text2"/>
              <w:bottom w:val="single" w:sz="4" w:space="0" w:color="1B556B" w:themeColor="text2"/>
            </w:tcBorders>
          </w:tcPr>
          <w:p w14:paraId="784A8CED" w14:textId="77777777" w:rsidR="00053418" w:rsidRPr="009E06AA" w:rsidRDefault="00053418" w:rsidP="00B55F24">
            <w:pPr>
              <w:pStyle w:val="Tableboldblue"/>
              <w:spacing w:before="50" w:after="50"/>
              <w:jc w:val="right"/>
            </w:pPr>
            <w:r w:rsidRPr="009E06AA">
              <w:t xml:space="preserve">Total </w:t>
            </w:r>
          </w:p>
        </w:tc>
        <w:tc>
          <w:tcPr>
            <w:tcW w:w="1883" w:type="dxa"/>
            <w:tcBorders>
              <w:top w:val="single" w:sz="4" w:space="0" w:color="1B556B" w:themeColor="text2"/>
              <w:bottom w:val="single" w:sz="4" w:space="0" w:color="1B556B" w:themeColor="text2"/>
            </w:tcBorders>
            <w:vAlign w:val="bottom"/>
          </w:tcPr>
          <w:p w14:paraId="5F0D4BB1" w14:textId="77777777" w:rsidR="00053418" w:rsidRPr="009E06AA" w:rsidRDefault="00053418" w:rsidP="00FA728E">
            <w:pPr>
              <w:pStyle w:val="Tableboldblue"/>
              <w:spacing w:before="50" w:after="50"/>
              <w:jc w:val="right"/>
              <w:rPr>
                <w:rFonts w:cs="Calibri"/>
              </w:rPr>
            </w:pPr>
            <w:r w:rsidRPr="009E06AA">
              <w:rPr>
                <w:rFonts w:cs="Calibri"/>
              </w:rPr>
              <w:t>3,623.7</w:t>
            </w:r>
          </w:p>
        </w:tc>
        <w:tc>
          <w:tcPr>
            <w:tcW w:w="1883" w:type="dxa"/>
            <w:tcBorders>
              <w:top w:val="single" w:sz="4" w:space="0" w:color="1B556B" w:themeColor="text2"/>
              <w:bottom w:val="single" w:sz="4" w:space="0" w:color="1B556B" w:themeColor="text2"/>
            </w:tcBorders>
            <w:vAlign w:val="bottom"/>
          </w:tcPr>
          <w:p w14:paraId="1C1DBF36" w14:textId="77777777" w:rsidR="00053418" w:rsidRPr="009E06AA" w:rsidRDefault="00053418" w:rsidP="00FA728E">
            <w:pPr>
              <w:pStyle w:val="Tableboldblue"/>
              <w:spacing w:before="50" w:after="50"/>
              <w:jc w:val="right"/>
              <w:rPr>
                <w:rFonts w:cs="Calibri"/>
              </w:rPr>
            </w:pPr>
            <w:r w:rsidRPr="009E06AA">
              <w:rPr>
                <w:rFonts w:cs="Calibri"/>
              </w:rPr>
              <w:t>33.3</w:t>
            </w:r>
          </w:p>
        </w:tc>
        <w:tc>
          <w:tcPr>
            <w:tcW w:w="1888" w:type="dxa"/>
            <w:tcBorders>
              <w:top w:val="single" w:sz="4" w:space="0" w:color="1B556B" w:themeColor="text2"/>
              <w:bottom w:val="single" w:sz="4" w:space="0" w:color="1B556B" w:themeColor="text2"/>
            </w:tcBorders>
            <w:vAlign w:val="bottom"/>
          </w:tcPr>
          <w:p w14:paraId="3C3D4266" w14:textId="77777777" w:rsidR="00053418" w:rsidRPr="009E06AA" w:rsidRDefault="00053418" w:rsidP="00FA728E">
            <w:pPr>
              <w:pStyle w:val="Tableboldblue"/>
              <w:spacing w:before="50" w:after="50"/>
              <w:jc w:val="right"/>
              <w:rPr>
                <w:rFonts w:cs="Calibri"/>
              </w:rPr>
            </w:pPr>
            <w:r w:rsidRPr="009E06AA">
              <w:rPr>
                <w:rFonts w:cs="Calibri"/>
              </w:rPr>
              <w:t>6.3</w:t>
            </w:r>
          </w:p>
        </w:tc>
      </w:tr>
    </w:tbl>
    <w:p w14:paraId="65578E16" w14:textId="77777777" w:rsidR="00053418" w:rsidRPr="009E06AA" w:rsidRDefault="00053418" w:rsidP="00053418">
      <w:pPr>
        <w:pStyle w:val="Heading3"/>
        <w:spacing w:before="400"/>
      </w:pPr>
      <w:bookmarkStart w:id="2410" w:name="_Toc139253973"/>
      <w:bookmarkStart w:id="2411" w:name="_Toc255466411"/>
      <w:bookmarkStart w:id="2412" w:name="_Toc261513218"/>
      <w:bookmarkStart w:id="2413" w:name="_Toc261513831"/>
      <w:bookmarkStart w:id="2414" w:name="_Toc280630301"/>
      <w:bookmarkEnd w:id="2406"/>
      <w:r w:rsidRPr="009E06AA">
        <w:t>6.6.4</w:t>
      </w:r>
      <w:r w:rsidRPr="009E06AA">
        <w:tab/>
        <w:t>Category-specific QA/QC and verification</w:t>
      </w:r>
      <w:bookmarkEnd w:id="2410"/>
      <w:bookmarkEnd w:id="2411"/>
      <w:bookmarkEnd w:id="2412"/>
      <w:bookmarkEnd w:id="2413"/>
      <w:bookmarkEnd w:id="2414"/>
    </w:p>
    <w:p w14:paraId="6AF2C904" w14:textId="77777777" w:rsidR="00053418" w:rsidRPr="009E06AA" w:rsidRDefault="00053418" w:rsidP="00053418">
      <w:pPr>
        <w:pStyle w:val="BodyText"/>
      </w:pPr>
      <w:bookmarkStart w:id="2415" w:name="_Toc139253974"/>
      <w:r w:rsidRPr="009E06AA">
        <w:t xml:space="preserve">Emissions from the </w:t>
      </w:r>
      <w:r w:rsidRPr="009E06AA">
        <w:rPr>
          <w:i/>
        </w:rPr>
        <w:t>Grassland remaining grassland</w:t>
      </w:r>
      <w:r w:rsidRPr="009E06AA">
        <w:t xml:space="preserve"> and </w:t>
      </w:r>
      <w:r w:rsidRPr="009E06AA">
        <w:rPr>
          <w:i/>
        </w:rPr>
        <w:t>Land converted to grassland</w:t>
      </w:r>
      <w:r w:rsidRPr="009E06AA">
        <w:t xml:space="preserve"> categories are key categories (level and trend). In the preparation of this inventory, the data for these emissions underwent Tier 1 quality checks. </w:t>
      </w:r>
    </w:p>
    <w:p w14:paraId="7F169549" w14:textId="77777777" w:rsidR="00053418" w:rsidRPr="009E06AA" w:rsidRDefault="00053418" w:rsidP="00053418">
      <w:pPr>
        <w:pStyle w:val="Heading3"/>
      </w:pPr>
      <w:bookmarkStart w:id="2416" w:name="_Toc255466412"/>
      <w:bookmarkStart w:id="2417" w:name="_Toc261513219"/>
      <w:bookmarkStart w:id="2418" w:name="_Toc261513832"/>
      <w:bookmarkStart w:id="2419" w:name="_Toc280630302"/>
      <w:r w:rsidRPr="009E06AA">
        <w:t>6.6.5</w:t>
      </w:r>
      <w:r w:rsidRPr="009E06AA">
        <w:tab/>
        <w:t>Category-specific recalculations</w:t>
      </w:r>
      <w:bookmarkEnd w:id="2415"/>
      <w:bookmarkEnd w:id="2416"/>
      <w:bookmarkEnd w:id="2417"/>
      <w:bookmarkEnd w:id="2418"/>
      <w:bookmarkEnd w:id="2419"/>
    </w:p>
    <w:p w14:paraId="206A1505" w14:textId="77777777" w:rsidR="00053418" w:rsidRPr="009E06AA" w:rsidRDefault="00053418" w:rsidP="00053418">
      <w:pPr>
        <w:pStyle w:val="BodyText"/>
      </w:pPr>
      <w:bookmarkStart w:id="2420" w:name="_Toc139253975"/>
      <w:r w:rsidRPr="009E06AA">
        <w:t>The impact of recalculations on net CO</w:t>
      </w:r>
      <w:r w:rsidRPr="009E06AA">
        <w:rPr>
          <w:vertAlign w:val="subscript"/>
        </w:rPr>
        <w:t>2</w:t>
      </w:r>
      <w:r w:rsidRPr="009E06AA">
        <w:t xml:space="preserve">-e emission estimates for the </w:t>
      </w:r>
      <w:r w:rsidRPr="009E06AA">
        <w:rPr>
          <w:i/>
        </w:rPr>
        <w:t>Grassland</w:t>
      </w:r>
      <w:r w:rsidRPr="009E06AA">
        <w:t xml:space="preserve"> category is shown in table 6.6.6. </w:t>
      </w:r>
    </w:p>
    <w:p w14:paraId="20B53244" w14:textId="77777777" w:rsidR="00053418" w:rsidRPr="009E06AA" w:rsidRDefault="00053418" w:rsidP="00053418">
      <w:pPr>
        <w:pStyle w:val="Table"/>
      </w:pPr>
      <w:bookmarkStart w:id="2421" w:name="_Toc310423428"/>
      <w:bookmarkStart w:id="2422" w:name="_Toc318362721"/>
      <w:bookmarkStart w:id="2423" w:name="_Toc342470783"/>
      <w:bookmarkStart w:id="2424" w:name="_Toc352505023"/>
      <w:bookmarkStart w:id="2425" w:name="_Toc378853312"/>
      <w:bookmarkStart w:id="2426" w:name="_Toc391024110"/>
      <w:bookmarkStart w:id="2427" w:name="_Toc410028853"/>
      <w:bookmarkStart w:id="2428" w:name="_Toc414531481"/>
      <w:bookmarkStart w:id="2429" w:name="_Toc443645394"/>
      <w:bookmarkStart w:id="2430" w:name="_Toc474914613"/>
      <w:bookmarkStart w:id="2431" w:name="_Toc481751577"/>
      <w:bookmarkStart w:id="2432" w:name="_Toc522010634"/>
      <w:bookmarkStart w:id="2433" w:name="_Toc5269539"/>
      <w:bookmarkStart w:id="2434" w:name="_Toc33529413"/>
      <w:bookmarkStart w:id="2435" w:name="_Toc36224619"/>
      <w:bookmarkStart w:id="2436" w:name="_Toc131591413"/>
      <w:bookmarkStart w:id="2437" w:name="_Toc158979971"/>
      <w:bookmarkStart w:id="2438" w:name="_Toc164153904"/>
      <w:r w:rsidRPr="009E06AA">
        <w:t>Table 6.6.6</w:t>
      </w:r>
      <w:r w:rsidRPr="009E06AA">
        <w:tab/>
        <w:t xml:space="preserve">Recalculations of New Zealand’s net emissions from the </w:t>
      </w:r>
      <w:r w:rsidRPr="009E06AA">
        <w:rPr>
          <w:i/>
        </w:rPr>
        <w:t>Grassland</w:t>
      </w:r>
      <w:r w:rsidRPr="009E06AA">
        <w:t xml:space="preserve"> category in 1990 and</w:t>
      </w:r>
      <w:bookmarkEnd w:id="2421"/>
      <w:bookmarkEnd w:id="2422"/>
      <w:bookmarkEnd w:id="2423"/>
      <w:bookmarkEnd w:id="2424"/>
      <w:bookmarkEnd w:id="2425"/>
      <w:bookmarkEnd w:id="2426"/>
      <w:r w:rsidRPr="009E06AA">
        <w:t> </w:t>
      </w:r>
      <w:bookmarkEnd w:id="2427"/>
      <w:bookmarkEnd w:id="2428"/>
      <w:bookmarkEnd w:id="2429"/>
      <w:bookmarkEnd w:id="2430"/>
      <w:bookmarkEnd w:id="2431"/>
      <w:bookmarkEnd w:id="2432"/>
      <w:bookmarkEnd w:id="2433"/>
      <w:bookmarkEnd w:id="2434"/>
      <w:bookmarkEnd w:id="2435"/>
      <w:r w:rsidRPr="009E06AA">
        <w:t>2021</w:t>
      </w:r>
      <w:bookmarkEnd w:id="2436"/>
      <w:bookmarkEnd w:id="2437"/>
      <w:bookmarkEnd w:id="2438"/>
    </w:p>
    <w:tbl>
      <w:tblPr>
        <w:tblW w:w="8505" w:type="dxa"/>
        <w:tblBorders>
          <w:top w:val="single" w:sz="4" w:space="0" w:color="1B556B" w:themeColor="text2"/>
          <w:bottom w:val="single" w:sz="4" w:space="0" w:color="1B556B" w:themeColor="text2"/>
          <w:insideH w:val="single" w:sz="4" w:space="0" w:color="1B556B" w:themeColor="text2"/>
        </w:tblBorders>
        <w:tblLayout w:type="fixed"/>
        <w:tblLook w:val="0420" w:firstRow="1" w:lastRow="0" w:firstColumn="0" w:lastColumn="0" w:noHBand="0" w:noVBand="1"/>
      </w:tblPr>
      <w:tblGrid>
        <w:gridCol w:w="2269"/>
        <w:gridCol w:w="1559"/>
        <w:gridCol w:w="1559"/>
        <w:gridCol w:w="2268"/>
        <w:gridCol w:w="850"/>
      </w:tblGrid>
      <w:tr w:rsidR="00053418" w:rsidRPr="009E06AA" w14:paraId="1D62315B" w14:textId="77777777" w:rsidTr="00B55F24">
        <w:trPr>
          <w:tblHeader/>
        </w:trPr>
        <w:tc>
          <w:tcPr>
            <w:tcW w:w="2268" w:type="dxa"/>
            <w:shd w:val="clear" w:color="auto" w:fill="1B556B"/>
            <w:tcMar>
              <w:top w:w="0" w:type="dxa"/>
              <w:left w:w="85" w:type="dxa"/>
              <w:bottom w:w="0" w:type="dxa"/>
              <w:right w:w="85" w:type="dxa"/>
            </w:tcMar>
            <w:vAlign w:val="center"/>
          </w:tcPr>
          <w:p w14:paraId="62561F30" w14:textId="77777777" w:rsidR="00053418" w:rsidRPr="009E06AA" w:rsidRDefault="00053418" w:rsidP="00B55F24">
            <w:pPr>
              <w:pStyle w:val="TableText"/>
              <w:spacing w:before="50" w:after="50"/>
            </w:pPr>
            <w:bookmarkStart w:id="2439" w:name="_Toc255466413"/>
            <w:bookmarkStart w:id="2440" w:name="_Toc261513220"/>
            <w:bookmarkStart w:id="2441" w:name="_Toc261513833"/>
          </w:p>
        </w:tc>
        <w:tc>
          <w:tcPr>
            <w:tcW w:w="1559" w:type="dxa"/>
            <w:shd w:val="clear" w:color="auto" w:fill="1B556B"/>
            <w:tcMar>
              <w:top w:w="0" w:type="dxa"/>
              <w:left w:w="85" w:type="dxa"/>
              <w:bottom w:w="0" w:type="dxa"/>
              <w:right w:w="85" w:type="dxa"/>
            </w:tcMar>
            <w:vAlign w:val="center"/>
          </w:tcPr>
          <w:p w14:paraId="1CF74F07" w14:textId="77777777" w:rsidR="00053418" w:rsidRPr="009E06AA" w:rsidRDefault="00053418" w:rsidP="00FA728E">
            <w:pPr>
              <w:pStyle w:val="TableText"/>
              <w:spacing w:before="50" w:after="50"/>
              <w:jc w:val="right"/>
            </w:pPr>
            <w:r w:rsidRPr="009E06AA">
              <w:rPr>
                <w:rFonts w:eastAsia="Calibri" w:cs="Calibri"/>
                <w:b/>
                <w:color w:val="FFFFFF"/>
                <w:szCs w:val="16"/>
              </w:rPr>
              <w:t>2023 submission</w:t>
            </w:r>
          </w:p>
        </w:tc>
        <w:tc>
          <w:tcPr>
            <w:tcW w:w="1559" w:type="dxa"/>
            <w:shd w:val="clear" w:color="auto" w:fill="1B556B"/>
            <w:tcMar>
              <w:top w:w="0" w:type="dxa"/>
              <w:left w:w="85" w:type="dxa"/>
              <w:bottom w:w="0" w:type="dxa"/>
              <w:right w:w="85" w:type="dxa"/>
            </w:tcMar>
            <w:vAlign w:val="center"/>
          </w:tcPr>
          <w:p w14:paraId="569F8A2C" w14:textId="77777777" w:rsidR="00053418" w:rsidRPr="009E06AA" w:rsidRDefault="00053418" w:rsidP="00FA728E">
            <w:pPr>
              <w:pStyle w:val="TableText"/>
              <w:spacing w:before="50" w:after="50"/>
              <w:jc w:val="right"/>
            </w:pPr>
            <w:r w:rsidRPr="009E06AA">
              <w:rPr>
                <w:rFonts w:eastAsia="Calibri" w:cs="Calibri"/>
                <w:b/>
                <w:color w:val="FFFFFF"/>
                <w:szCs w:val="16"/>
              </w:rPr>
              <w:t>2024 submission</w:t>
            </w:r>
          </w:p>
        </w:tc>
        <w:tc>
          <w:tcPr>
            <w:tcW w:w="2268" w:type="dxa"/>
            <w:shd w:val="clear" w:color="auto" w:fill="1B556B"/>
            <w:tcMar>
              <w:top w:w="0" w:type="dxa"/>
              <w:left w:w="85" w:type="dxa"/>
              <w:bottom w:w="0" w:type="dxa"/>
              <w:right w:w="85" w:type="dxa"/>
            </w:tcMar>
            <w:vAlign w:val="center"/>
          </w:tcPr>
          <w:p w14:paraId="41849087" w14:textId="77777777" w:rsidR="00053418" w:rsidRPr="009E06AA" w:rsidRDefault="00053418" w:rsidP="00FA728E">
            <w:pPr>
              <w:pStyle w:val="TableText"/>
              <w:spacing w:before="50" w:after="50"/>
              <w:jc w:val="right"/>
            </w:pPr>
            <w:r w:rsidRPr="009E06AA">
              <w:rPr>
                <w:rFonts w:eastAsia="Calibri" w:cs="Calibri"/>
                <w:b/>
                <w:color w:val="FFFFFF"/>
                <w:szCs w:val="16"/>
              </w:rPr>
              <w:t>Change from 2023 submission</w:t>
            </w:r>
          </w:p>
        </w:tc>
        <w:tc>
          <w:tcPr>
            <w:tcW w:w="850" w:type="dxa"/>
            <w:shd w:val="clear" w:color="auto" w:fill="1B556B"/>
            <w:tcMar>
              <w:top w:w="0" w:type="dxa"/>
              <w:left w:w="85" w:type="dxa"/>
              <w:bottom w:w="0" w:type="dxa"/>
              <w:right w:w="85" w:type="dxa"/>
            </w:tcMar>
            <w:vAlign w:val="center"/>
          </w:tcPr>
          <w:p w14:paraId="15A95D04" w14:textId="77777777" w:rsidR="00053418" w:rsidRPr="009E06AA" w:rsidRDefault="00053418" w:rsidP="00FA728E">
            <w:pPr>
              <w:pStyle w:val="TableText"/>
              <w:spacing w:before="50" w:after="50"/>
              <w:jc w:val="right"/>
            </w:pPr>
            <w:r w:rsidRPr="009E06AA">
              <w:rPr>
                <w:rFonts w:eastAsia="Calibri" w:cs="Calibri"/>
                <w:b/>
                <w:color w:val="FFFFFF"/>
                <w:szCs w:val="16"/>
              </w:rPr>
              <w:t>% change</w:t>
            </w:r>
          </w:p>
        </w:tc>
      </w:tr>
      <w:tr w:rsidR="00053418" w:rsidRPr="009E06AA" w14:paraId="1D18F8AC" w14:textId="77777777" w:rsidTr="00B55F24">
        <w:tc>
          <w:tcPr>
            <w:tcW w:w="2268" w:type="dxa"/>
            <w:shd w:val="clear" w:color="auto" w:fill="FFFFFF"/>
            <w:tcMar>
              <w:top w:w="0" w:type="dxa"/>
              <w:left w:w="85" w:type="dxa"/>
              <w:bottom w:w="0" w:type="dxa"/>
              <w:right w:w="85" w:type="dxa"/>
            </w:tcMar>
            <w:vAlign w:val="center"/>
          </w:tcPr>
          <w:p w14:paraId="5B0C2DCC" w14:textId="77777777" w:rsidR="00053418" w:rsidRPr="009E06AA" w:rsidRDefault="00053418" w:rsidP="00B55F24">
            <w:pPr>
              <w:pStyle w:val="TableText"/>
              <w:spacing w:before="50" w:after="50"/>
            </w:pPr>
            <w:r w:rsidRPr="009E06AA">
              <w:rPr>
                <w:rFonts w:eastAsia="Calibri" w:cs="Calibri"/>
                <w:b/>
                <w:color w:val="1B556B"/>
                <w:szCs w:val="16"/>
              </w:rPr>
              <w:t>Net emissions (kt CO</w:t>
            </w:r>
            <w:r w:rsidRPr="009E06AA">
              <w:rPr>
                <w:rFonts w:eastAsia="Calibri" w:cs="Calibri"/>
                <w:b/>
                <w:color w:val="1B556B"/>
                <w:szCs w:val="16"/>
                <w:vertAlign w:val="subscript"/>
              </w:rPr>
              <w:t>2</w:t>
            </w:r>
            <w:r w:rsidRPr="009E06AA">
              <w:rPr>
                <w:rFonts w:eastAsia="Calibri" w:cs="Calibri"/>
                <w:b/>
                <w:color w:val="1B556B"/>
                <w:szCs w:val="16"/>
              </w:rPr>
              <w:t>-e)</w:t>
            </w:r>
          </w:p>
        </w:tc>
        <w:tc>
          <w:tcPr>
            <w:tcW w:w="1559" w:type="dxa"/>
            <w:shd w:val="clear" w:color="auto" w:fill="FFFFFF"/>
            <w:tcMar>
              <w:top w:w="0" w:type="dxa"/>
              <w:left w:w="85" w:type="dxa"/>
              <w:bottom w:w="0" w:type="dxa"/>
              <w:right w:w="85" w:type="dxa"/>
            </w:tcMar>
            <w:vAlign w:val="center"/>
          </w:tcPr>
          <w:p w14:paraId="7D45DEB8" w14:textId="77777777" w:rsidR="00053418" w:rsidRPr="009E06AA" w:rsidRDefault="00053418" w:rsidP="00FA728E">
            <w:pPr>
              <w:pStyle w:val="TableText"/>
              <w:spacing w:before="50" w:after="50"/>
              <w:jc w:val="right"/>
            </w:pPr>
          </w:p>
        </w:tc>
        <w:tc>
          <w:tcPr>
            <w:tcW w:w="1559" w:type="dxa"/>
            <w:shd w:val="clear" w:color="auto" w:fill="FFFFFF"/>
            <w:tcMar>
              <w:top w:w="0" w:type="dxa"/>
              <w:left w:w="85" w:type="dxa"/>
              <w:bottom w:w="0" w:type="dxa"/>
              <w:right w:w="85" w:type="dxa"/>
            </w:tcMar>
            <w:vAlign w:val="center"/>
          </w:tcPr>
          <w:p w14:paraId="7C7E4375" w14:textId="77777777" w:rsidR="00053418" w:rsidRPr="009E06AA" w:rsidRDefault="00053418" w:rsidP="00FA728E">
            <w:pPr>
              <w:pStyle w:val="TableText"/>
              <w:spacing w:before="50" w:after="50"/>
              <w:jc w:val="right"/>
            </w:pPr>
          </w:p>
        </w:tc>
        <w:tc>
          <w:tcPr>
            <w:tcW w:w="2268" w:type="dxa"/>
            <w:shd w:val="clear" w:color="auto" w:fill="FFFFFF"/>
            <w:tcMar>
              <w:top w:w="0" w:type="dxa"/>
              <w:left w:w="85" w:type="dxa"/>
              <w:bottom w:w="0" w:type="dxa"/>
              <w:right w:w="85" w:type="dxa"/>
            </w:tcMar>
            <w:vAlign w:val="center"/>
          </w:tcPr>
          <w:p w14:paraId="12EEE135" w14:textId="77777777" w:rsidR="00053418" w:rsidRPr="009E06AA" w:rsidRDefault="00053418" w:rsidP="00FA728E">
            <w:pPr>
              <w:pStyle w:val="TableText"/>
              <w:spacing w:before="50" w:after="50"/>
              <w:jc w:val="right"/>
            </w:pPr>
          </w:p>
        </w:tc>
        <w:tc>
          <w:tcPr>
            <w:tcW w:w="850" w:type="dxa"/>
            <w:shd w:val="clear" w:color="auto" w:fill="FFFFFF"/>
            <w:tcMar>
              <w:top w:w="0" w:type="dxa"/>
              <w:left w:w="85" w:type="dxa"/>
              <w:bottom w:w="0" w:type="dxa"/>
              <w:right w:w="85" w:type="dxa"/>
            </w:tcMar>
            <w:vAlign w:val="center"/>
          </w:tcPr>
          <w:p w14:paraId="714271E9" w14:textId="77777777" w:rsidR="00053418" w:rsidRPr="009E06AA" w:rsidRDefault="00053418" w:rsidP="00FA728E">
            <w:pPr>
              <w:pStyle w:val="TableText"/>
              <w:spacing w:before="50" w:after="50"/>
              <w:jc w:val="right"/>
            </w:pPr>
          </w:p>
        </w:tc>
      </w:tr>
      <w:tr w:rsidR="00053418" w:rsidRPr="009E06AA" w14:paraId="5A83CC65" w14:textId="77777777" w:rsidTr="00B55F24">
        <w:tc>
          <w:tcPr>
            <w:tcW w:w="2268" w:type="dxa"/>
            <w:shd w:val="clear" w:color="auto" w:fill="FFFFFF"/>
            <w:tcMar>
              <w:top w:w="0" w:type="dxa"/>
              <w:left w:w="85" w:type="dxa"/>
              <w:bottom w:w="0" w:type="dxa"/>
              <w:right w:w="85" w:type="dxa"/>
            </w:tcMar>
            <w:vAlign w:val="center"/>
          </w:tcPr>
          <w:p w14:paraId="6208B03B" w14:textId="77777777" w:rsidR="00053418" w:rsidRPr="009E06AA" w:rsidRDefault="00053418" w:rsidP="00B55F24">
            <w:pPr>
              <w:pStyle w:val="TableText"/>
              <w:spacing w:before="50" w:after="50"/>
            </w:pPr>
            <w:r w:rsidRPr="009E06AA">
              <w:rPr>
                <w:rFonts w:eastAsia="Calibri" w:cs="Calibri"/>
                <w:color w:val="000000"/>
                <w:szCs w:val="16"/>
              </w:rPr>
              <w:t>1990</w:t>
            </w:r>
          </w:p>
        </w:tc>
        <w:tc>
          <w:tcPr>
            <w:tcW w:w="1559" w:type="dxa"/>
            <w:shd w:val="clear" w:color="auto" w:fill="FFFFFF"/>
            <w:tcMar>
              <w:top w:w="0" w:type="dxa"/>
              <w:left w:w="85" w:type="dxa"/>
              <w:bottom w:w="0" w:type="dxa"/>
              <w:right w:w="85" w:type="dxa"/>
            </w:tcMar>
            <w:vAlign w:val="center"/>
          </w:tcPr>
          <w:p w14:paraId="025DA7CC" w14:textId="77777777" w:rsidR="00053418" w:rsidRPr="009E06AA" w:rsidRDefault="00053418" w:rsidP="00FA728E">
            <w:pPr>
              <w:pStyle w:val="TableText"/>
              <w:spacing w:before="50" w:after="50"/>
              <w:jc w:val="right"/>
            </w:pPr>
            <w:r w:rsidRPr="009E06AA">
              <w:rPr>
                <w:rFonts w:eastAsia="Calibri" w:cs="Calibri"/>
                <w:color w:val="000000"/>
                <w:szCs w:val="16"/>
              </w:rPr>
              <w:t>755.8</w:t>
            </w:r>
          </w:p>
        </w:tc>
        <w:tc>
          <w:tcPr>
            <w:tcW w:w="1559" w:type="dxa"/>
            <w:shd w:val="clear" w:color="auto" w:fill="FFFFFF"/>
            <w:tcMar>
              <w:top w:w="0" w:type="dxa"/>
              <w:left w:w="85" w:type="dxa"/>
              <w:bottom w:w="0" w:type="dxa"/>
              <w:right w:w="85" w:type="dxa"/>
            </w:tcMar>
            <w:vAlign w:val="center"/>
          </w:tcPr>
          <w:p w14:paraId="5DFAE0D9" w14:textId="77777777" w:rsidR="00053418" w:rsidRPr="009E06AA" w:rsidRDefault="00053418" w:rsidP="00FA728E">
            <w:pPr>
              <w:pStyle w:val="TableText"/>
              <w:spacing w:before="50" w:after="50"/>
              <w:jc w:val="right"/>
            </w:pPr>
            <w:r w:rsidRPr="009E06AA">
              <w:rPr>
                <w:rFonts w:eastAsia="Calibri" w:cs="Calibri"/>
                <w:color w:val="000000"/>
                <w:szCs w:val="16"/>
              </w:rPr>
              <w:t>826.2</w:t>
            </w:r>
          </w:p>
        </w:tc>
        <w:tc>
          <w:tcPr>
            <w:tcW w:w="2268" w:type="dxa"/>
            <w:shd w:val="clear" w:color="auto" w:fill="FFFFFF"/>
            <w:tcMar>
              <w:top w:w="0" w:type="dxa"/>
              <w:left w:w="85" w:type="dxa"/>
              <w:bottom w:w="0" w:type="dxa"/>
              <w:right w:w="85" w:type="dxa"/>
            </w:tcMar>
            <w:vAlign w:val="center"/>
          </w:tcPr>
          <w:p w14:paraId="7C90D752" w14:textId="77777777" w:rsidR="00053418" w:rsidRPr="009E06AA" w:rsidRDefault="00053418" w:rsidP="00FA728E">
            <w:pPr>
              <w:pStyle w:val="TableText"/>
              <w:spacing w:before="50" w:after="50"/>
              <w:jc w:val="right"/>
            </w:pPr>
            <w:r w:rsidRPr="009E06AA">
              <w:rPr>
                <w:rFonts w:eastAsia="Calibri" w:cs="Calibri"/>
                <w:color w:val="000000"/>
                <w:szCs w:val="16"/>
              </w:rPr>
              <w:t>70.3</w:t>
            </w:r>
          </w:p>
        </w:tc>
        <w:tc>
          <w:tcPr>
            <w:tcW w:w="850" w:type="dxa"/>
            <w:shd w:val="clear" w:color="auto" w:fill="FFFFFF"/>
            <w:tcMar>
              <w:top w:w="0" w:type="dxa"/>
              <w:left w:w="85" w:type="dxa"/>
              <w:bottom w:w="0" w:type="dxa"/>
              <w:right w:w="85" w:type="dxa"/>
            </w:tcMar>
            <w:vAlign w:val="center"/>
          </w:tcPr>
          <w:p w14:paraId="5BA16A9C" w14:textId="77777777" w:rsidR="00053418" w:rsidRPr="009E06AA" w:rsidRDefault="00053418" w:rsidP="00FA728E">
            <w:pPr>
              <w:pStyle w:val="TableText"/>
              <w:spacing w:before="50" w:after="50"/>
              <w:jc w:val="right"/>
            </w:pPr>
            <w:r w:rsidRPr="009E06AA">
              <w:rPr>
                <w:rFonts w:eastAsia="Calibri" w:cs="Calibri"/>
                <w:color w:val="000000"/>
                <w:szCs w:val="16"/>
              </w:rPr>
              <w:t>9.3</w:t>
            </w:r>
          </w:p>
        </w:tc>
      </w:tr>
      <w:tr w:rsidR="00053418" w:rsidRPr="009E06AA" w14:paraId="4D1901C8" w14:textId="77777777" w:rsidTr="00B55F24">
        <w:tc>
          <w:tcPr>
            <w:tcW w:w="2268" w:type="dxa"/>
            <w:shd w:val="clear" w:color="auto" w:fill="FFFFFF"/>
            <w:tcMar>
              <w:top w:w="0" w:type="dxa"/>
              <w:left w:w="85" w:type="dxa"/>
              <w:bottom w:w="0" w:type="dxa"/>
              <w:right w:w="85" w:type="dxa"/>
            </w:tcMar>
            <w:vAlign w:val="center"/>
          </w:tcPr>
          <w:p w14:paraId="0D4523D9" w14:textId="77777777" w:rsidR="00053418" w:rsidRPr="009E06AA" w:rsidRDefault="00053418" w:rsidP="00B55F24">
            <w:pPr>
              <w:pStyle w:val="TableText"/>
              <w:spacing w:before="50" w:after="50"/>
            </w:pPr>
            <w:r w:rsidRPr="009E06AA">
              <w:rPr>
                <w:rFonts w:eastAsia="Calibri" w:cs="Calibri"/>
                <w:color w:val="000000"/>
                <w:szCs w:val="16"/>
              </w:rPr>
              <w:t>2021</w:t>
            </w:r>
          </w:p>
        </w:tc>
        <w:tc>
          <w:tcPr>
            <w:tcW w:w="1559" w:type="dxa"/>
            <w:shd w:val="clear" w:color="auto" w:fill="FFFFFF"/>
            <w:tcMar>
              <w:top w:w="0" w:type="dxa"/>
              <w:left w:w="85" w:type="dxa"/>
              <w:bottom w:w="0" w:type="dxa"/>
              <w:right w:w="85" w:type="dxa"/>
            </w:tcMar>
            <w:vAlign w:val="center"/>
          </w:tcPr>
          <w:p w14:paraId="307CF78D" w14:textId="77777777" w:rsidR="00053418" w:rsidRPr="009E06AA" w:rsidRDefault="00053418" w:rsidP="00FA728E">
            <w:pPr>
              <w:pStyle w:val="TableText"/>
              <w:spacing w:before="50" w:after="50"/>
              <w:jc w:val="right"/>
            </w:pPr>
            <w:r w:rsidRPr="009E06AA">
              <w:rPr>
                <w:rFonts w:eastAsia="Calibri" w:cs="Calibri"/>
                <w:color w:val="000000"/>
                <w:szCs w:val="16"/>
              </w:rPr>
              <w:t>2,743.9</w:t>
            </w:r>
          </w:p>
        </w:tc>
        <w:tc>
          <w:tcPr>
            <w:tcW w:w="1559" w:type="dxa"/>
            <w:shd w:val="clear" w:color="auto" w:fill="FFFFFF"/>
            <w:tcMar>
              <w:top w:w="0" w:type="dxa"/>
              <w:left w:w="85" w:type="dxa"/>
              <w:bottom w:w="0" w:type="dxa"/>
              <w:right w:w="85" w:type="dxa"/>
            </w:tcMar>
            <w:vAlign w:val="center"/>
          </w:tcPr>
          <w:p w14:paraId="4531AD25" w14:textId="77777777" w:rsidR="00053418" w:rsidRPr="009E06AA" w:rsidRDefault="00053418" w:rsidP="00FA728E">
            <w:pPr>
              <w:pStyle w:val="TableText"/>
              <w:spacing w:before="50" w:after="50"/>
              <w:jc w:val="right"/>
            </w:pPr>
            <w:r w:rsidRPr="009E06AA">
              <w:rPr>
                <w:rFonts w:eastAsia="Calibri" w:cs="Calibri"/>
                <w:color w:val="000000"/>
                <w:szCs w:val="16"/>
              </w:rPr>
              <w:t>4,365.7</w:t>
            </w:r>
          </w:p>
        </w:tc>
        <w:tc>
          <w:tcPr>
            <w:tcW w:w="2268" w:type="dxa"/>
            <w:shd w:val="clear" w:color="auto" w:fill="FFFFFF"/>
            <w:tcMar>
              <w:top w:w="0" w:type="dxa"/>
              <w:left w:w="85" w:type="dxa"/>
              <w:bottom w:w="0" w:type="dxa"/>
              <w:right w:w="85" w:type="dxa"/>
            </w:tcMar>
            <w:vAlign w:val="center"/>
          </w:tcPr>
          <w:p w14:paraId="1DCC44E0" w14:textId="77777777" w:rsidR="00053418" w:rsidRPr="009E06AA" w:rsidRDefault="00053418" w:rsidP="00FA728E">
            <w:pPr>
              <w:pStyle w:val="TableText"/>
              <w:spacing w:before="50" w:after="50"/>
              <w:jc w:val="right"/>
            </w:pPr>
            <w:r w:rsidRPr="009E06AA">
              <w:rPr>
                <w:rFonts w:eastAsia="Calibri" w:cs="Calibri"/>
                <w:color w:val="000000"/>
                <w:szCs w:val="16"/>
              </w:rPr>
              <w:t>1,621.8</w:t>
            </w:r>
          </w:p>
        </w:tc>
        <w:tc>
          <w:tcPr>
            <w:tcW w:w="850" w:type="dxa"/>
            <w:shd w:val="clear" w:color="auto" w:fill="FFFFFF"/>
            <w:tcMar>
              <w:top w:w="0" w:type="dxa"/>
              <w:left w:w="85" w:type="dxa"/>
              <w:bottom w:w="0" w:type="dxa"/>
              <w:right w:w="85" w:type="dxa"/>
            </w:tcMar>
            <w:vAlign w:val="center"/>
          </w:tcPr>
          <w:p w14:paraId="407B1673" w14:textId="77777777" w:rsidR="00053418" w:rsidRPr="009E06AA" w:rsidRDefault="00053418" w:rsidP="00FA728E">
            <w:pPr>
              <w:pStyle w:val="TableText"/>
              <w:spacing w:before="50" w:after="50"/>
              <w:jc w:val="right"/>
            </w:pPr>
            <w:r w:rsidRPr="009E06AA">
              <w:rPr>
                <w:rFonts w:eastAsia="Calibri" w:cs="Calibri"/>
                <w:color w:val="000000"/>
                <w:szCs w:val="16"/>
              </w:rPr>
              <w:t>59.1</w:t>
            </w:r>
          </w:p>
        </w:tc>
      </w:tr>
      <w:tr w:rsidR="00053418" w:rsidRPr="009E06AA" w14:paraId="3F048DC9" w14:textId="77777777" w:rsidTr="00B55F24">
        <w:tc>
          <w:tcPr>
            <w:tcW w:w="2268" w:type="dxa"/>
            <w:shd w:val="clear" w:color="auto" w:fill="FFFFFF"/>
            <w:tcMar>
              <w:top w:w="0" w:type="dxa"/>
              <w:left w:w="85" w:type="dxa"/>
              <w:bottom w:w="0" w:type="dxa"/>
              <w:right w:w="85" w:type="dxa"/>
            </w:tcMar>
            <w:vAlign w:val="center"/>
          </w:tcPr>
          <w:p w14:paraId="536644D9" w14:textId="77777777" w:rsidR="00053418" w:rsidRPr="009E06AA" w:rsidRDefault="00053418" w:rsidP="00B55F24">
            <w:pPr>
              <w:pStyle w:val="TableText"/>
              <w:spacing w:before="50" w:after="50"/>
            </w:pPr>
            <w:r w:rsidRPr="009E06AA">
              <w:rPr>
                <w:rFonts w:eastAsia="Calibri" w:cs="Calibri"/>
                <w:b/>
                <w:color w:val="1B556B"/>
                <w:szCs w:val="16"/>
              </w:rPr>
              <w:t>Area (hectares)</w:t>
            </w:r>
          </w:p>
        </w:tc>
        <w:tc>
          <w:tcPr>
            <w:tcW w:w="1559" w:type="dxa"/>
            <w:shd w:val="clear" w:color="auto" w:fill="FFFFFF"/>
            <w:tcMar>
              <w:top w:w="0" w:type="dxa"/>
              <w:left w:w="85" w:type="dxa"/>
              <w:bottom w:w="0" w:type="dxa"/>
              <w:right w:w="85" w:type="dxa"/>
            </w:tcMar>
            <w:vAlign w:val="center"/>
          </w:tcPr>
          <w:p w14:paraId="156C27F4" w14:textId="77777777" w:rsidR="00053418" w:rsidRPr="009E06AA" w:rsidRDefault="00053418" w:rsidP="00FA728E">
            <w:pPr>
              <w:pStyle w:val="TableText"/>
              <w:spacing w:before="50" w:after="50"/>
              <w:jc w:val="right"/>
            </w:pPr>
          </w:p>
        </w:tc>
        <w:tc>
          <w:tcPr>
            <w:tcW w:w="1559" w:type="dxa"/>
            <w:shd w:val="clear" w:color="auto" w:fill="FFFFFF"/>
            <w:tcMar>
              <w:top w:w="0" w:type="dxa"/>
              <w:left w:w="85" w:type="dxa"/>
              <w:bottom w:w="0" w:type="dxa"/>
              <w:right w:w="85" w:type="dxa"/>
            </w:tcMar>
            <w:vAlign w:val="center"/>
          </w:tcPr>
          <w:p w14:paraId="71457D6D" w14:textId="77777777" w:rsidR="00053418" w:rsidRPr="009E06AA" w:rsidRDefault="00053418" w:rsidP="00FA728E">
            <w:pPr>
              <w:pStyle w:val="TableText"/>
              <w:spacing w:before="50" w:after="50"/>
              <w:jc w:val="right"/>
            </w:pPr>
          </w:p>
        </w:tc>
        <w:tc>
          <w:tcPr>
            <w:tcW w:w="2268" w:type="dxa"/>
            <w:shd w:val="clear" w:color="auto" w:fill="FFFFFF"/>
            <w:tcMar>
              <w:top w:w="0" w:type="dxa"/>
              <w:left w:w="85" w:type="dxa"/>
              <w:bottom w:w="0" w:type="dxa"/>
              <w:right w:w="85" w:type="dxa"/>
            </w:tcMar>
            <w:vAlign w:val="center"/>
          </w:tcPr>
          <w:p w14:paraId="11E9AADF" w14:textId="77777777" w:rsidR="00053418" w:rsidRPr="009E06AA" w:rsidRDefault="00053418" w:rsidP="00FA728E">
            <w:pPr>
              <w:pStyle w:val="TableText"/>
              <w:spacing w:before="50" w:after="50"/>
              <w:jc w:val="right"/>
            </w:pPr>
          </w:p>
        </w:tc>
        <w:tc>
          <w:tcPr>
            <w:tcW w:w="850" w:type="dxa"/>
            <w:shd w:val="clear" w:color="auto" w:fill="FFFFFF"/>
            <w:tcMar>
              <w:top w:w="0" w:type="dxa"/>
              <w:left w:w="85" w:type="dxa"/>
              <w:bottom w:w="0" w:type="dxa"/>
              <w:right w:w="85" w:type="dxa"/>
            </w:tcMar>
            <w:vAlign w:val="center"/>
          </w:tcPr>
          <w:p w14:paraId="4C4CF29F" w14:textId="77777777" w:rsidR="00053418" w:rsidRPr="009E06AA" w:rsidRDefault="00053418" w:rsidP="00FA728E">
            <w:pPr>
              <w:pStyle w:val="TableText"/>
              <w:spacing w:before="50" w:after="50"/>
              <w:jc w:val="right"/>
            </w:pPr>
          </w:p>
        </w:tc>
      </w:tr>
      <w:tr w:rsidR="00053418" w:rsidRPr="009E06AA" w14:paraId="0DD6A20E" w14:textId="77777777" w:rsidTr="00112B66">
        <w:tc>
          <w:tcPr>
            <w:tcW w:w="2268" w:type="dxa"/>
            <w:tcBorders>
              <w:bottom w:val="single" w:sz="4" w:space="0" w:color="1B556B" w:themeColor="text2"/>
            </w:tcBorders>
            <w:shd w:val="clear" w:color="auto" w:fill="FFFFFF"/>
            <w:tcMar>
              <w:top w:w="0" w:type="dxa"/>
              <w:left w:w="85" w:type="dxa"/>
              <w:bottom w:w="0" w:type="dxa"/>
              <w:right w:w="85" w:type="dxa"/>
            </w:tcMar>
            <w:vAlign w:val="center"/>
          </w:tcPr>
          <w:p w14:paraId="2CC0318F" w14:textId="77777777" w:rsidR="00053418" w:rsidRPr="009E06AA" w:rsidRDefault="00053418" w:rsidP="00B55F24">
            <w:pPr>
              <w:pStyle w:val="TableText"/>
              <w:spacing w:before="50" w:after="50"/>
            </w:pPr>
            <w:r w:rsidRPr="009E06AA">
              <w:rPr>
                <w:rFonts w:eastAsia="Calibri" w:cs="Calibri"/>
                <w:color w:val="000000"/>
                <w:szCs w:val="16"/>
              </w:rPr>
              <w:t>1990</w:t>
            </w:r>
          </w:p>
        </w:tc>
        <w:tc>
          <w:tcPr>
            <w:tcW w:w="1559" w:type="dxa"/>
            <w:tcBorders>
              <w:bottom w:val="single" w:sz="4" w:space="0" w:color="1B556B" w:themeColor="text2"/>
            </w:tcBorders>
            <w:shd w:val="clear" w:color="auto" w:fill="FFFFFF"/>
            <w:tcMar>
              <w:top w:w="0" w:type="dxa"/>
              <w:left w:w="85" w:type="dxa"/>
              <w:bottom w:w="0" w:type="dxa"/>
              <w:right w:w="85" w:type="dxa"/>
            </w:tcMar>
            <w:vAlign w:val="center"/>
          </w:tcPr>
          <w:p w14:paraId="643A171C" w14:textId="77777777" w:rsidR="00053418" w:rsidRPr="009E06AA" w:rsidRDefault="00053418" w:rsidP="00FA728E">
            <w:pPr>
              <w:pStyle w:val="TableText"/>
              <w:spacing w:before="50" w:after="50"/>
              <w:jc w:val="right"/>
            </w:pPr>
            <w:r w:rsidRPr="009E06AA">
              <w:rPr>
                <w:rFonts w:eastAsia="Calibri" w:cs="Calibri"/>
                <w:color w:val="000000"/>
                <w:szCs w:val="16"/>
              </w:rPr>
              <w:t>15,253,027</w:t>
            </w:r>
          </w:p>
        </w:tc>
        <w:tc>
          <w:tcPr>
            <w:tcW w:w="1559" w:type="dxa"/>
            <w:tcBorders>
              <w:bottom w:val="single" w:sz="4" w:space="0" w:color="1B556B" w:themeColor="text2"/>
            </w:tcBorders>
            <w:shd w:val="clear" w:color="auto" w:fill="FFFFFF"/>
            <w:tcMar>
              <w:top w:w="0" w:type="dxa"/>
              <w:left w:w="85" w:type="dxa"/>
              <w:bottom w:w="0" w:type="dxa"/>
              <w:right w:w="85" w:type="dxa"/>
            </w:tcMar>
            <w:vAlign w:val="center"/>
          </w:tcPr>
          <w:p w14:paraId="2395770C" w14:textId="77777777" w:rsidR="00053418" w:rsidRPr="009E06AA" w:rsidRDefault="00053418" w:rsidP="00FA728E">
            <w:pPr>
              <w:pStyle w:val="TableText"/>
              <w:spacing w:before="50" w:after="50"/>
              <w:jc w:val="right"/>
            </w:pPr>
            <w:r w:rsidRPr="009E06AA">
              <w:rPr>
                <w:rFonts w:eastAsia="Calibri" w:cs="Calibri"/>
                <w:color w:val="000000"/>
                <w:szCs w:val="16"/>
              </w:rPr>
              <w:t>15,237,917</w:t>
            </w:r>
          </w:p>
        </w:tc>
        <w:tc>
          <w:tcPr>
            <w:tcW w:w="2268" w:type="dxa"/>
            <w:tcBorders>
              <w:bottom w:val="single" w:sz="4" w:space="0" w:color="1B556B" w:themeColor="text2"/>
            </w:tcBorders>
            <w:shd w:val="clear" w:color="auto" w:fill="FFFFFF"/>
            <w:tcMar>
              <w:top w:w="0" w:type="dxa"/>
              <w:left w:w="85" w:type="dxa"/>
              <w:bottom w:w="0" w:type="dxa"/>
              <w:right w:w="85" w:type="dxa"/>
            </w:tcMar>
            <w:vAlign w:val="center"/>
          </w:tcPr>
          <w:p w14:paraId="3804D416" w14:textId="77777777" w:rsidR="00053418" w:rsidRPr="009E06AA" w:rsidRDefault="00053418" w:rsidP="00FA728E">
            <w:pPr>
              <w:pStyle w:val="TableText"/>
              <w:spacing w:before="50" w:after="50"/>
              <w:jc w:val="right"/>
            </w:pPr>
            <w:r w:rsidRPr="009E06AA">
              <w:rPr>
                <w:rFonts w:eastAsia="Calibri" w:cs="Calibri"/>
                <w:color w:val="000000"/>
                <w:szCs w:val="16"/>
              </w:rPr>
              <w:t>-15,109</w:t>
            </w:r>
          </w:p>
        </w:tc>
        <w:tc>
          <w:tcPr>
            <w:tcW w:w="850" w:type="dxa"/>
            <w:tcBorders>
              <w:bottom w:val="single" w:sz="4" w:space="0" w:color="1B556B" w:themeColor="text2"/>
            </w:tcBorders>
            <w:shd w:val="clear" w:color="auto" w:fill="FFFFFF"/>
            <w:tcMar>
              <w:top w:w="0" w:type="dxa"/>
              <w:left w:w="85" w:type="dxa"/>
              <w:bottom w:w="0" w:type="dxa"/>
              <w:right w:w="85" w:type="dxa"/>
            </w:tcMar>
            <w:vAlign w:val="center"/>
          </w:tcPr>
          <w:p w14:paraId="2C4929D5" w14:textId="77777777" w:rsidR="00053418" w:rsidRPr="009E06AA" w:rsidRDefault="00053418" w:rsidP="00FA728E">
            <w:pPr>
              <w:pStyle w:val="TableText"/>
              <w:spacing w:before="50" w:after="50"/>
              <w:jc w:val="right"/>
            </w:pPr>
            <w:r w:rsidRPr="009E06AA">
              <w:rPr>
                <w:rFonts w:eastAsia="Calibri" w:cs="Calibri"/>
                <w:color w:val="000000"/>
                <w:szCs w:val="16"/>
              </w:rPr>
              <w:t>-0.1</w:t>
            </w:r>
          </w:p>
        </w:tc>
      </w:tr>
      <w:tr w:rsidR="00053418" w:rsidRPr="009E06AA" w14:paraId="175956E2" w14:textId="77777777" w:rsidTr="00B55F24">
        <w:tc>
          <w:tcPr>
            <w:tcW w:w="2268" w:type="dxa"/>
            <w:shd w:val="clear" w:color="auto" w:fill="FFFFFF"/>
            <w:tcMar>
              <w:top w:w="0" w:type="dxa"/>
              <w:left w:w="85" w:type="dxa"/>
              <w:bottom w:w="0" w:type="dxa"/>
              <w:right w:w="85" w:type="dxa"/>
            </w:tcMar>
            <w:vAlign w:val="center"/>
          </w:tcPr>
          <w:p w14:paraId="7E13A61C" w14:textId="77777777" w:rsidR="00053418" w:rsidRPr="009E06AA" w:rsidRDefault="00053418" w:rsidP="00B55F24">
            <w:pPr>
              <w:pStyle w:val="TableText"/>
              <w:spacing w:before="50" w:after="50"/>
            </w:pPr>
            <w:r w:rsidRPr="009E06AA">
              <w:rPr>
                <w:rFonts w:eastAsia="Calibri" w:cs="Calibri"/>
                <w:color w:val="000000"/>
                <w:szCs w:val="16"/>
              </w:rPr>
              <w:t>2021</w:t>
            </w:r>
          </w:p>
        </w:tc>
        <w:tc>
          <w:tcPr>
            <w:tcW w:w="1559" w:type="dxa"/>
            <w:shd w:val="clear" w:color="auto" w:fill="FFFFFF"/>
            <w:tcMar>
              <w:top w:w="0" w:type="dxa"/>
              <w:left w:w="85" w:type="dxa"/>
              <w:bottom w:w="0" w:type="dxa"/>
              <w:right w:w="85" w:type="dxa"/>
            </w:tcMar>
            <w:vAlign w:val="center"/>
          </w:tcPr>
          <w:p w14:paraId="52D874C2" w14:textId="77777777" w:rsidR="00053418" w:rsidRPr="009E06AA" w:rsidRDefault="00053418" w:rsidP="00FA728E">
            <w:pPr>
              <w:pStyle w:val="TableText"/>
              <w:spacing w:before="50" w:after="50"/>
              <w:jc w:val="right"/>
            </w:pPr>
            <w:r w:rsidRPr="009E06AA">
              <w:rPr>
                <w:rFonts w:eastAsia="Calibri" w:cs="Calibri"/>
                <w:color w:val="000000"/>
                <w:szCs w:val="16"/>
              </w:rPr>
              <w:t>14,537,922</w:t>
            </w:r>
          </w:p>
        </w:tc>
        <w:tc>
          <w:tcPr>
            <w:tcW w:w="1559" w:type="dxa"/>
            <w:shd w:val="clear" w:color="auto" w:fill="FFFFFF"/>
            <w:tcMar>
              <w:top w:w="0" w:type="dxa"/>
              <w:left w:w="85" w:type="dxa"/>
              <w:bottom w:w="0" w:type="dxa"/>
              <w:right w:w="85" w:type="dxa"/>
            </w:tcMar>
            <w:vAlign w:val="center"/>
          </w:tcPr>
          <w:p w14:paraId="55042897" w14:textId="77777777" w:rsidR="00053418" w:rsidRPr="009E06AA" w:rsidRDefault="00053418" w:rsidP="00FA728E">
            <w:pPr>
              <w:pStyle w:val="TableText"/>
              <w:spacing w:before="50" w:after="50"/>
              <w:jc w:val="right"/>
            </w:pPr>
            <w:r w:rsidRPr="009E06AA">
              <w:rPr>
                <w:rFonts w:eastAsia="Calibri" w:cs="Calibri"/>
                <w:color w:val="000000"/>
                <w:szCs w:val="16"/>
              </w:rPr>
              <w:t>14,510,759</w:t>
            </w:r>
          </w:p>
        </w:tc>
        <w:tc>
          <w:tcPr>
            <w:tcW w:w="2268" w:type="dxa"/>
            <w:shd w:val="clear" w:color="auto" w:fill="FFFFFF"/>
            <w:tcMar>
              <w:top w:w="0" w:type="dxa"/>
              <w:left w:w="85" w:type="dxa"/>
              <w:bottom w:w="0" w:type="dxa"/>
              <w:right w:w="85" w:type="dxa"/>
            </w:tcMar>
            <w:vAlign w:val="center"/>
          </w:tcPr>
          <w:p w14:paraId="1B961B33" w14:textId="77777777" w:rsidR="00053418" w:rsidRPr="009E06AA" w:rsidRDefault="00053418" w:rsidP="00FA728E">
            <w:pPr>
              <w:pStyle w:val="TableText"/>
              <w:spacing w:before="50" w:after="50"/>
              <w:jc w:val="right"/>
            </w:pPr>
            <w:r w:rsidRPr="009E06AA">
              <w:rPr>
                <w:rFonts w:eastAsia="Calibri" w:cs="Calibri"/>
                <w:color w:val="000000"/>
                <w:szCs w:val="16"/>
              </w:rPr>
              <w:t>-27,163</w:t>
            </w:r>
          </w:p>
        </w:tc>
        <w:tc>
          <w:tcPr>
            <w:tcW w:w="850" w:type="dxa"/>
            <w:shd w:val="clear" w:color="auto" w:fill="FFFFFF"/>
            <w:tcMar>
              <w:top w:w="0" w:type="dxa"/>
              <w:left w:w="85" w:type="dxa"/>
              <w:bottom w:w="0" w:type="dxa"/>
              <w:right w:w="85" w:type="dxa"/>
            </w:tcMar>
            <w:vAlign w:val="center"/>
          </w:tcPr>
          <w:p w14:paraId="689E2E0B" w14:textId="77777777" w:rsidR="00053418" w:rsidRPr="009E06AA" w:rsidRDefault="00053418" w:rsidP="00FA728E">
            <w:pPr>
              <w:pStyle w:val="TableText"/>
              <w:spacing w:before="50" w:after="50"/>
              <w:jc w:val="right"/>
            </w:pPr>
            <w:r w:rsidRPr="009E06AA">
              <w:rPr>
                <w:rFonts w:eastAsia="Calibri" w:cs="Calibri"/>
                <w:color w:val="000000"/>
                <w:szCs w:val="16"/>
              </w:rPr>
              <w:t>-0.2</w:t>
            </w:r>
          </w:p>
        </w:tc>
      </w:tr>
    </w:tbl>
    <w:p w14:paraId="5966CB61" w14:textId="77777777" w:rsidR="00053418" w:rsidRPr="009E06AA" w:rsidRDefault="00053418" w:rsidP="00053418">
      <w:pPr>
        <w:pStyle w:val="BodyText"/>
        <w:spacing w:before="240"/>
      </w:pPr>
      <w:r w:rsidRPr="009E06AA">
        <w:t>Recalculations of the entire time series were carried out for this category as a result of the following updates to activity data.</w:t>
      </w:r>
    </w:p>
    <w:p w14:paraId="579539AE" w14:textId="77777777" w:rsidR="00053418" w:rsidRPr="009E06AA" w:rsidRDefault="00053418" w:rsidP="00053418">
      <w:pPr>
        <w:pStyle w:val="Bullet"/>
        <w:numPr>
          <w:ilvl w:val="0"/>
          <w:numId w:val="29"/>
        </w:numPr>
      </w:pPr>
      <w:r w:rsidRPr="009E06AA">
        <w:t xml:space="preserve">The estimated area of deforestation that occurred in 2021 increased significantly relative to the previous submission, leading to increased emissions in the </w:t>
      </w:r>
      <w:r w:rsidRPr="009E06AA">
        <w:rPr>
          <w:i/>
          <w:iCs/>
        </w:rPr>
        <w:t>Grassland</w:t>
      </w:r>
      <w:r w:rsidRPr="009E06AA">
        <w:t xml:space="preserve"> categories for this year (see also section 6.1.4). </w:t>
      </w:r>
    </w:p>
    <w:p w14:paraId="12D2A234" w14:textId="77777777" w:rsidR="00053418" w:rsidRPr="009E06AA" w:rsidRDefault="00053418" w:rsidP="00053418">
      <w:pPr>
        <w:pStyle w:val="Bullet"/>
        <w:numPr>
          <w:ilvl w:val="0"/>
          <w:numId w:val="29"/>
        </w:numPr>
      </w:pPr>
      <w:r w:rsidRPr="009E06AA">
        <w:t xml:space="preserve">The introduction of the 2020 land use map incorporated corrections to the mapping of </w:t>
      </w:r>
      <w:r w:rsidRPr="009E06AA">
        <w:rPr>
          <w:rFonts w:cs="Arial"/>
          <w:i/>
          <w:iCs/>
        </w:rPr>
        <w:t>Annual cropland</w:t>
      </w:r>
      <w:r w:rsidRPr="009E06AA">
        <w:rPr>
          <w:rFonts w:cs="Arial"/>
        </w:rPr>
        <w:t xml:space="preserve"> and </w:t>
      </w:r>
      <w:r w:rsidRPr="009E06AA">
        <w:rPr>
          <w:rFonts w:cs="Arial"/>
          <w:i/>
          <w:iCs/>
        </w:rPr>
        <w:t xml:space="preserve">Grassland </w:t>
      </w:r>
      <w:r w:rsidRPr="009E06AA">
        <w:rPr>
          <w:rFonts w:cs="Arial"/>
        </w:rPr>
        <w:t xml:space="preserve">based on time-series analysis of the frequency of cultivation visible in satellite imagery. By </w:t>
      </w:r>
      <w:r w:rsidRPr="009E06AA">
        <w:rPr>
          <w:rFonts w:cs="Calibri"/>
          <w:color w:val="000000" w:themeColor="text1"/>
          <w:bdr w:val="none" w:sz="0" w:space="0" w:color="auto" w:frame="1"/>
        </w:rPr>
        <w:t xml:space="preserve">utilising multitemporal NDVI data captured over the past five years (2017 to 2021), 16,298 hectares of land previously mapped as </w:t>
      </w:r>
      <w:r w:rsidRPr="009E06AA">
        <w:rPr>
          <w:rFonts w:cs="Calibri"/>
          <w:i/>
          <w:iCs/>
          <w:color w:val="000000" w:themeColor="text1"/>
          <w:bdr w:val="none" w:sz="0" w:space="0" w:color="auto" w:frame="1"/>
        </w:rPr>
        <w:t>Grassland</w:t>
      </w:r>
      <w:r w:rsidRPr="009E06AA">
        <w:rPr>
          <w:rFonts w:cs="Calibri"/>
          <w:color w:val="000000" w:themeColor="text1"/>
          <w:bdr w:val="none" w:sz="0" w:space="0" w:color="auto" w:frame="1"/>
        </w:rPr>
        <w:t xml:space="preserve"> were converted to </w:t>
      </w:r>
      <w:r w:rsidRPr="009E06AA">
        <w:rPr>
          <w:rFonts w:cs="Calibri"/>
          <w:i/>
          <w:iCs/>
          <w:color w:val="000000" w:themeColor="text1"/>
          <w:bdr w:val="none" w:sz="0" w:space="0" w:color="auto" w:frame="1"/>
        </w:rPr>
        <w:t>Annual cropland</w:t>
      </w:r>
      <w:r w:rsidRPr="009E06AA">
        <w:rPr>
          <w:rFonts w:cs="Calibri"/>
          <w:color w:val="000000" w:themeColor="text1"/>
          <w:bdr w:val="none" w:sz="0" w:space="0" w:color="auto" w:frame="1"/>
        </w:rPr>
        <w:t>. This is further described in section 6.5.5.</w:t>
      </w:r>
    </w:p>
    <w:p w14:paraId="35A55E23" w14:textId="77777777" w:rsidR="00053418" w:rsidRPr="009E06AA" w:rsidRDefault="00053418" w:rsidP="00053418">
      <w:pPr>
        <w:pStyle w:val="Heading3"/>
      </w:pPr>
      <w:bookmarkStart w:id="2442" w:name="_Toc280630305"/>
      <w:r w:rsidRPr="009E06AA">
        <w:t>6.6.6</w:t>
      </w:r>
      <w:r w:rsidRPr="009E06AA">
        <w:tab/>
        <w:t>Category-specific planned improvements</w:t>
      </w:r>
      <w:bookmarkEnd w:id="2420"/>
      <w:bookmarkEnd w:id="2439"/>
      <w:bookmarkEnd w:id="2440"/>
      <w:bookmarkEnd w:id="2441"/>
      <w:bookmarkEnd w:id="2442"/>
    </w:p>
    <w:p w14:paraId="241935DD" w14:textId="77777777" w:rsidR="00053418" w:rsidRPr="009E06AA" w:rsidRDefault="00053418" w:rsidP="00053418">
      <w:pPr>
        <w:pStyle w:val="BodyText"/>
      </w:pPr>
      <w:r w:rsidRPr="009E06AA">
        <w:t xml:space="preserve">A longitudinal study on the impact of management practices on soil carbon stocks in </w:t>
      </w:r>
      <w:r w:rsidRPr="009E06AA">
        <w:rPr>
          <w:i/>
          <w:iCs/>
        </w:rPr>
        <w:t>Grassland</w:t>
      </w:r>
      <w:r w:rsidRPr="009E06AA">
        <w:t xml:space="preserve"> and </w:t>
      </w:r>
      <w:r w:rsidRPr="009E06AA">
        <w:rPr>
          <w:i/>
          <w:iCs/>
        </w:rPr>
        <w:t>Cropland</w:t>
      </w:r>
      <w:r w:rsidRPr="009E06AA">
        <w:t xml:space="preserve"> is under way, along with improvements to the Soil CMS. This is further described in section 6.5.6.</w:t>
      </w:r>
    </w:p>
    <w:p w14:paraId="76342E42" w14:textId="77777777" w:rsidR="00053418" w:rsidRPr="009E06AA" w:rsidRDefault="00053418" w:rsidP="00053418">
      <w:pPr>
        <w:pStyle w:val="Heading2"/>
      </w:pPr>
      <w:bookmarkStart w:id="2443" w:name="_Toc310423455"/>
      <w:bookmarkStart w:id="2444" w:name="_Toc342470721"/>
      <w:bookmarkStart w:id="2445" w:name="_Toc352504873"/>
      <w:bookmarkStart w:id="2446" w:name="_Toc391024703"/>
      <w:bookmarkStart w:id="2447" w:name="_Toc414531320"/>
      <w:bookmarkStart w:id="2448" w:name="_Toc474335462"/>
      <w:bookmarkStart w:id="2449" w:name="_Toc481751402"/>
      <w:bookmarkStart w:id="2450" w:name="_Toc522013954"/>
      <w:bookmarkStart w:id="2451" w:name="_Toc5269379"/>
      <w:bookmarkStart w:id="2452" w:name="_Toc36224419"/>
      <w:bookmarkStart w:id="2453" w:name="_Toc131591253"/>
      <w:bookmarkStart w:id="2454" w:name="_Toc158980300"/>
      <w:bookmarkStart w:id="2455" w:name="_Toc164154208"/>
      <w:r w:rsidRPr="009E06AA">
        <w:t>6.7</w:t>
      </w:r>
      <w:r w:rsidRPr="009E06AA">
        <w:tab/>
        <w:t>Wetlands (4D)</w:t>
      </w:r>
      <w:bookmarkEnd w:id="2443"/>
      <w:bookmarkEnd w:id="2444"/>
      <w:bookmarkEnd w:id="2445"/>
      <w:bookmarkEnd w:id="2446"/>
      <w:bookmarkEnd w:id="2447"/>
      <w:bookmarkEnd w:id="2448"/>
      <w:bookmarkEnd w:id="2449"/>
      <w:bookmarkEnd w:id="2450"/>
      <w:bookmarkEnd w:id="2451"/>
      <w:bookmarkEnd w:id="2452"/>
      <w:bookmarkEnd w:id="2453"/>
      <w:bookmarkEnd w:id="2454"/>
      <w:bookmarkEnd w:id="2455"/>
    </w:p>
    <w:p w14:paraId="4ADF850C" w14:textId="77777777" w:rsidR="00053418" w:rsidRPr="009E06AA" w:rsidRDefault="00053418" w:rsidP="00053418">
      <w:pPr>
        <w:pStyle w:val="Heading3"/>
        <w:spacing w:before="240"/>
      </w:pPr>
      <w:r w:rsidRPr="009E06AA">
        <w:t>6.7.1</w:t>
      </w:r>
      <w:r w:rsidRPr="009E06AA">
        <w:tab/>
        <w:t>Description</w:t>
      </w:r>
    </w:p>
    <w:p w14:paraId="7C000CED" w14:textId="46BE7D9B" w:rsidR="00053418" w:rsidRPr="009E06AA" w:rsidRDefault="00053418" w:rsidP="00053418">
      <w:pPr>
        <w:pStyle w:val="BodyText"/>
      </w:pPr>
      <w:r w:rsidRPr="009E06AA">
        <w:t>In 2022, there were 8.0 kt CO</w:t>
      </w:r>
      <w:r w:rsidRPr="009E06AA">
        <w:rPr>
          <w:vertAlign w:val="subscript"/>
        </w:rPr>
        <w:t>2</w:t>
      </w:r>
      <w:r w:rsidRPr="009E06AA">
        <w:t xml:space="preserve">-e emissions from </w:t>
      </w:r>
      <w:r w:rsidRPr="009E06AA">
        <w:rPr>
          <w:i/>
        </w:rPr>
        <w:t>Wetlands</w:t>
      </w:r>
      <w:r w:rsidRPr="009E06AA">
        <w:t xml:space="preserve">, compared with net emissions of </w:t>
      </w:r>
      <w:r w:rsidRPr="009E06AA">
        <w:br/>
        <w:t>-8.3 kt CO</w:t>
      </w:r>
      <w:r w:rsidRPr="009E06AA">
        <w:rPr>
          <w:vertAlign w:val="subscript"/>
        </w:rPr>
        <w:t>2</w:t>
      </w:r>
      <w:r w:rsidRPr="009E06AA">
        <w:t xml:space="preserve">-e from </w:t>
      </w:r>
      <w:r w:rsidRPr="009E06AA">
        <w:rPr>
          <w:i/>
        </w:rPr>
        <w:t>Wetlands</w:t>
      </w:r>
      <w:r w:rsidRPr="009E06AA">
        <w:t xml:space="preserve"> in 1990 (see table 6.7.1). This changing trend, from net remover in</w:t>
      </w:r>
      <w:r w:rsidR="00560019" w:rsidRPr="009E06AA">
        <w:t> </w:t>
      </w:r>
      <w:r w:rsidRPr="009E06AA">
        <w:t>1990 to net emitter in 2022, is due to the shift in land-use change patterns that have been observed since 1990, when compared with the changes that had occurred before 1990.</w:t>
      </w:r>
    </w:p>
    <w:p w14:paraId="28FCCBB2" w14:textId="77777777" w:rsidR="00053418" w:rsidRPr="009E06AA" w:rsidRDefault="00053418" w:rsidP="00053418">
      <w:pPr>
        <w:pStyle w:val="BodyText"/>
      </w:pPr>
      <w:r w:rsidRPr="009E06AA">
        <w:t>As of 2022, there were 7,231</w:t>
      </w:r>
      <w:r w:rsidRPr="009E06AA" w:rsidDel="008C0565">
        <w:t xml:space="preserve"> </w:t>
      </w:r>
      <w:r w:rsidRPr="009E06AA">
        <w:t xml:space="preserve">hectares in a state of conversion to </w:t>
      </w:r>
      <w:r w:rsidRPr="009E06AA">
        <w:rPr>
          <w:i/>
        </w:rPr>
        <w:t>Wetlands</w:t>
      </w:r>
      <w:r w:rsidRPr="009E06AA">
        <w:t xml:space="preserve"> (see table 6.7.1). These lands have been converted to </w:t>
      </w:r>
      <w:r w:rsidRPr="009E06AA">
        <w:rPr>
          <w:i/>
        </w:rPr>
        <w:t>Wetlands</w:t>
      </w:r>
      <w:r w:rsidRPr="009E06AA">
        <w:t xml:space="preserve"> during the previous 20 years but have not yet reached steady state.</w:t>
      </w:r>
    </w:p>
    <w:p w14:paraId="051F3F37" w14:textId="77777777" w:rsidR="00053418" w:rsidRPr="009E06AA" w:rsidRDefault="00053418" w:rsidP="00053418">
      <w:pPr>
        <w:pStyle w:val="BodyText"/>
      </w:pPr>
      <w:r w:rsidRPr="009E06AA">
        <w:t>Removals from wetlands are driven by increases to mineral soil carbon stocks following conversion to wetland (4.3 kt CO</w:t>
      </w:r>
      <w:r w:rsidRPr="009E06AA">
        <w:rPr>
          <w:vertAlign w:val="subscript"/>
        </w:rPr>
        <w:t>2</w:t>
      </w:r>
      <w:r w:rsidRPr="009E06AA">
        <w:t>-e of removals in 2022 from mineral soils), while emissions are driven by the extraction of peat each year.</w:t>
      </w:r>
    </w:p>
    <w:p w14:paraId="1AC8C267" w14:textId="77777777" w:rsidR="00053418" w:rsidRPr="009E06AA" w:rsidRDefault="00053418" w:rsidP="00053418">
      <w:pPr>
        <w:pStyle w:val="Table"/>
      </w:pPr>
      <w:bookmarkStart w:id="2456" w:name="_Toc342470784"/>
      <w:bookmarkStart w:id="2457" w:name="_Toc352505024"/>
      <w:bookmarkStart w:id="2458" w:name="_Toc378853313"/>
      <w:bookmarkStart w:id="2459" w:name="_Toc391024111"/>
      <w:bookmarkStart w:id="2460" w:name="_Toc410028854"/>
      <w:bookmarkStart w:id="2461" w:name="_Toc414531482"/>
      <w:bookmarkStart w:id="2462" w:name="_Toc443645395"/>
      <w:bookmarkStart w:id="2463" w:name="_Toc474914614"/>
      <w:bookmarkStart w:id="2464" w:name="_Toc481751578"/>
      <w:bookmarkStart w:id="2465" w:name="_Toc522010635"/>
      <w:bookmarkStart w:id="2466" w:name="_Toc5269540"/>
      <w:bookmarkStart w:id="2467" w:name="_Toc33529414"/>
      <w:bookmarkStart w:id="2468" w:name="_Toc36224620"/>
      <w:bookmarkStart w:id="2469" w:name="_Toc131591414"/>
      <w:bookmarkStart w:id="2470" w:name="_Toc158979972"/>
      <w:bookmarkStart w:id="2471" w:name="_Toc164153905"/>
      <w:r w:rsidRPr="009E06AA">
        <w:t>Table 6.7.1</w:t>
      </w:r>
      <w:r w:rsidRPr="009E06AA">
        <w:tab/>
        <w:t xml:space="preserve">New Zealand’s land-use change for the </w:t>
      </w:r>
      <w:r w:rsidRPr="009E06AA">
        <w:rPr>
          <w:i/>
        </w:rPr>
        <w:t>Wetlands</w:t>
      </w:r>
      <w:r w:rsidRPr="009E06AA">
        <w:t xml:space="preserve"> category, and associated</w:t>
      </w:r>
      <w:r w:rsidRPr="009E06AA">
        <w:br/>
        <w:t>CO</w:t>
      </w:r>
      <w:r w:rsidRPr="009E06AA">
        <w:rPr>
          <w:vertAlign w:val="subscript"/>
        </w:rPr>
        <w:t>2</w:t>
      </w:r>
      <w:r w:rsidRPr="009E06AA">
        <w:noBreakHyphen/>
        <w:t>e emissions</w:t>
      </w:r>
      <w:bookmarkEnd w:id="2456"/>
      <w:bookmarkEnd w:id="2457"/>
      <w:bookmarkEnd w:id="2458"/>
      <w:r w:rsidRPr="009E06AA">
        <w:t xml:space="preserve">, in 1990 and </w:t>
      </w:r>
      <w:bookmarkEnd w:id="2459"/>
      <w:bookmarkEnd w:id="2460"/>
      <w:bookmarkEnd w:id="2461"/>
      <w:bookmarkEnd w:id="2462"/>
      <w:bookmarkEnd w:id="2463"/>
      <w:bookmarkEnd w:id="2464"/>
      <w:bookmarkEnd w:id="2465"/>
      <w:bookmarkEnd w:id="2466"/>
      <w:bookmarkEnd w:id="2467"/>
      <w:bookmarkEnd w:id="2468"/>
      <w:r w:rsidRPr="009E06AA">
        <w:t>2022</w:t>
      </w:r>
      <w:bookmarkEnd w:id="2469"/>
      <w:bookmarkEnd w:id="2470"/>
      <w:bookmarkEnd w:id="2471"/>
    </w:p>
    <w:tbl>
      <w:tblPr>
        <w:tblW w:w="8505" w:type="dxa"/>
        <w:tblBorders>
          <w:top w:val="single" w:sz="4" w:space="0" w:color="1B556B" w:themeColor="text2"/>
          <w:bottom w:val="single" w:sz="4" w:space="0" w:color="1B556B" w:themeColor="text2"/>
          <w:insideH w:val="single" w:sz="4" w:space="0" w:color="1B556B" w:themeColor="text2"/>
        </w:tblBorders>
        <w:tblLayout w:type="fixed"/>
        <w:tblLook w:val="0420" w:firstRow="1" w:lastRow="0" w:firstColumn="0" w:lastColumn="0" w:noHBand="0" w:noVBand="1"/>
      </w:tblPr>
      <w:tblGrid>
        <w:gridCol w:w="2533"/>
        <w:gridCol w:w="1014"/>
        <w:gridCol w:w="1014"/>
        <w:gridCol w:w="1127"/>
        <w:gridCol w:w="845"/>
        <w:gridCol w:w="845"/>
        <w:gridCol w:w="1127"/>
      </w:tblGrid>
      <w:tr w:rsidR="00053418" w:rsidRPr="009E06AA" w14:paraId="4F7A154A" w14:textId="77777777" w:rsidTr="00B55F24">
        <w:trPr>
          <w:tblHeader/>
        </w:trPr>
        <w:tc>
          <w:tcPr>
            <w:tcW w:w="2551" w:type="dxa"/>
            <w:shd w:val="clear" w:color="auto" w:fill="1B556B"/>
            <w:tcMar>
              <w:top w:w="0" w:type="dxa"/>
              <w:left w:w="85" w:type="dxa"/>
              <w:bottom w:w="0" w:type="dxa"/>
              <w:right w:w="85" w:type="dxa"/>
            </w:tcMar>
            <w:vAlign w:val="center"/>
          </w:tcPr>
          <w:p w14:paraId="22D69D58" w14:textId="77777777" w:rsidR="00053418" w:rsidRPr="009E06AA" w:rsidRDefault="00053418" w:rsidP="00B55F24">
            <w:pPr>
              <w:pStyle w:val="TableText"/>
            </w:pPr>
          </w:p>
        </w:tc>
        <w:tc>
          <w:tcPr>
            <w:tcW w:w="3174" w:type="dxa"/>
            <w:gridSpan w:val="3"/>
            <w:shd w:val="clear" w:color="auto" w:fill="1B556B"/>
            <w:tcMar>
              <w:top w:w="0" w:type="dxa"/>
              <w:left w:w="85" w:type="dxa"/>
              <w:bottom w:w="0" w:type="dxa"/>
              <w:right w:w="85" w:type="dxa"/>
            </w:tcMar>
            <w:vAlign w:val="center"/>
          </w:tcPr>
          <w:p w14:paraId="1E5F0E17" w14:textId="77777777" w:rsidR="00053418" w:rsidRPr="009E06AA" w:rsidRDefault="00053418" w:rsidP="00B55F24">
            <w:pPr>
              <w:pStyle w:val="TableText"/>
              <w:spacing w:after="0"/>
              <w:jc w:val="center"/>
            </w:pPr>
            <w:r w:rsidRPr="009E06AA">
              <w:rPr>
                <w:rFonts w:eastAsia="Calibri" w:cs="Calibri"/>
                <w:b/>
                <w:color w:val="FFFFFF"/>
                <w:szCs w:val="16"/>
              </w:rPr>
              <w:t>Net area (ha)</w:t>
            </w:r>
          </w:p>
        </w:tc>
        <w:tc>
          <w:tcPr>
            <w:tcW w:w="2834" w:type="dxa"/>
            <w:gridSpan w:val="3"/>
            <w:shd w:val="clear" w:color="auto" w:fill="1B556B"/>
            <w:tcMar>
              <w:top w:w="0" w:type="dxa"/>
              <w:left w:w="85" w:type="dxa"/>
              <w:bottom w:w="0" w:type="dxa"/>
              <w:right w:w="85" w:type="dxa"/>
            </w:tcMar>
            <w:vAlign w:val="center"/>
          </w:tcPr>
          <w:p w14:paraId="3FAC4905" w14:textId="77777777" w:rsidR="00053418" w:rsidRPr="009E06AA" w:rsidRDefault="00053418" w:rsidP="00B55F24">
            <w:pPr>
              <w:pStyle w:val="TableText"/>
              <w:spacing w:after="0"/>
              <w:jc w:val="center"/>
            </w:pPr>
            <w:r w:rsidRPr="009E06AA">
              <w:rPr>
                <w:rFonts w:eastAsia="Calibri" w:cs="Calibri"/>
                <w:b/>
                <w:color w:val="FFFFFF"/>
                <w:szCs w:val="16"/>
              </w:rPr>
              <w:t>Net emissions (kt CO₂-e)</w:t>
            </w:r>
          </w:p>
        </w:tc>
      </w:tr>
      <w:tr w:rsidR="00053418" w:rsidRPr="009E06AA" w14:paraId="0EC1975B" w14:textId="77777777" w:rsidTr="00B55F24">
        <w:trPr>
          <w:tblHeader/>
        </w:trPr>
        <w:tc>
          <w:tcPr>
            <w:tcW w:w="2551" w:type="dxa"/>
            <w:shd w:val="clear" w:color="auto" w:fill="1B556B"/>
            <w:tcMar>
              <w:top w:w="0" w:type="dxa"/>
              <w:left w:w="85" w:type="dxa"/>
              <w:bottom w:w="0" w:type="dxa"/>
              <w:right w:w="85" w:type="dxa"/>
            </w:tcMar>
            <w:vAlign w:val="bottom"/>
          </w:tcPr>
          <w:p w14:paraId="198F94DF" w14:textId="77777777" w:rsidR="00053418" w:rsidRPr="009E06AA" w:rsidRDefault="00053418" w:rsidP="00B55F24">
            <w:pPr>
              <w:pStyle w:val="TableText"/>
              <w:spacing w:before="50" w:after="50"/>
            </w:pPr>
            <w:r w:rsidRPr="009E06AA">
              <w:rPr>
                <w:rFonts w:eastAsia="Calibri" w:cs="Calibri"/>
                <w:b/>
                <w:color w:val="FFFFFF"/>
                <w:szCs w:val="16"/>
              </w:rPr>
              <w:t>Land use category</w:t>
            </w:r>
          </w:p>
        </w:tc>
        <w:tc>
          <w:tcPr>
            <w:tcW w:w="1020" w:type="dxa"/>
            <w:shd w:val="clear" w:color="auto" w:fill="1B556B"/>
            <w:tcMar>
              <w:top w:w="0" w:type="dxa"/>
              <w:left w:w="85" w:type="dxa"/>
              <w:bottom w:w="0" w:type="dxa"/>
              <w:right w:w="85" w:type="dxa"/>
            </w:tcMar>
            <w:vAlign w:val="bottom"/>
          </w:tcPr>
          <w:p w14:paraId="344EF273" w14:textId="77777777" w:rsidR="00053418" w:rsidRPr="009E06AA" w:rsidRDefault="00053418" w:rsidP="00FA728E">
            <w:pPr>
              <w:pStyle w:val="TableText"/>
              <w:spacing w:before="50" w:after="50"/>
              <w:jc w:val="right"/>
            </w:pPr>
            <w:r w:rsidRPr="009E06AA">
              <w:rPr>
                <w:rFonts w:eastAsia="Calibri" w:cs="Calibri"/>
                <w:b/>
                <w:color w:val="FFFFFF"/>
                <w:szCs w:val="16"/>
              </w:rPr>
              <w:t>1990</w:t>
            </w:r>
          </w:p>
        </w:tc>
        <w:tc>
          <w:tcPr>
            <w:tcW w:w="1020" w:type="dxa"/>
            <w:shd w:val="clear" w:color="auto" w:fill="1B556B"/>
            <w:tcMar>
              <w:top w:w="0" w:type="dxa"/>
              <w:left w:w="85" w:type="dxa"/>
              <w:bottom w:w="0" w:type="dxa"/>
              <w:right w:w="85" w:type="dxa"/>
            </w:tcMar>
            <w:vAlign w:val="bottom"/>
          </w:tcPr>
          <w:p w14:paraId="53B7EB89" w14:textId="77777777" w:rsidR="00053418" w:rsidRPr="009E06AA" w:rsidRDefault="00053418" w:rsidP="00FA728E">
            <w:pPr>
              <w:pStyle w:val="TableText"/>
              <w:spacing w:before="50" w:after="50"/>
              <w:jc w:val="right"/>
            </w:pPr>
            <w:r w:rsidRPr="009E06AA">
              <w:rPr>
                <w:rFonts w:eastAsia="Calibri" w:cs="Calibri"/>
                <w:b/>
                <w:color w:val="FFFFFF"/>
                <w:szCs w:val="16"/>
              </w:rPr>
              <w:t>2022</w:t>
            </w:r>
          </w:p>
        </w:tc>
        <w:tc>
          <w:tcPr>
            <w:tcW w:w="1134" w:type="dxa"/>
            <w:shd w:val="clear" w:color="auto" w:fill="1B556B"/>
            <w:tcMar>
              <w:top w:w="0" w:type="dxa"/>
              <w:left w:w="85" w:type="dxa"/>
              <w:bottom w:w="0" w:type="dxa"/>
              <w:right w:w="85" w:type="dxa"/>
            </w:tcMar>
            <w:vAlign w:val="bottom"/>
          </w:tcPr>
          <w:p w14:paraId="51D3C4BB" w14:textId="77777777" w:rsidR="00053418" w:rsidRPr="009E06AA" w:rsidRDefault="00053418" w:rsidP="00FA728E">
            <w:pPr>
              <w:pStyle w:val="TableText"/>
              <w:spacing w:before="50" w:after="50"/>
              <w:jc w:val="right"/>
            </w:pPr>
            <w:r w:rsidRPr="009E06AA">
              <w:rPr>
                <w:rFonts w:eastAsia="Calibri" w:cs="Calibri"/>
                <w:b/>
                <w:color w:val="FFFFFF"/>
                <w:szCs w:val="16"/>
              </w:rPr>
              <w:t>Change from 1990 (%)</w:t>
            </w:r>
          </w:p>
        </w:tc>
        <w:tc>
          <w:tcPr>
            <w:tcW w:w="850" w:type="dxa"/>
            <w:shd w:val="clear" w:color="auto" w:fill="1B556B"/>
            <w:tcMar>
              <w:top w:w="0" w:type="dxa"/>
              <w:left w:w="85" w:type="dxa"/>
              <w:bottom w:w="0" w:type="dxa"/>
              <w:right w:w="85" w:type="dxa"/>
            </w:tcMar>
            <w:vAlign w:val="bottom"/>
          </w:tcPr>
          <w:p w14:paraId="442F0B3B" w14:textId="77777777" w:rsidR="00053418" w:rsidRPr="009E06AA" w:rsidRDefault="00053418" w:rsidP="00FA728E">
            <w:pPr>
              <w:pStyle w:val="TableText"/>
              <w:spacing w:before="50" w:after="50"/>
              <w:jc w:val="right"/>
            </w:pPr>
            <w:r w:rsidRPr="009E06AA">
              <w:rPr>
                <w:rFonts w:eastAsia="Calibri" w:cs="Calibri"/>
                <w:b/>
                <w:color w:val="FFFFFF"/>
                <w:szCs w:val="16"/>
              </w:rPr>
              <w:t>1990</w:t>
            </w:r>
          </w:p>
        </w:tc>
        <w:tc>
          <w:tcPr>
            <w:tcW w:w="850" w:type="dxa"/>
            <w:shd w:val="clear" w:color="auto" w:fill="1B556B"/>
            <w:tcMar>
              <w:top w:w="0" w:type="dxa"/>
              <w:left w:w="85" w:type="dxa"/>
              <w:bottom w:w="0" w:type="dxa"/>
              <w:right w:w="85" w:type="dxa"/>
            </w:tcMar>
            <w:vAlign w:val="bottom"/>
          </w:tcPr>
          <w:p w14:paraId="5BCEB358" w14:textId="77777777" w:rsidR="00053418" w:rsidRPr="009E06AA" w:rsidRDefault="00053418" w:rsidP="00FA728E">
            <w:pPr>
              <w:pStyle w:val="TableText"/>
              <w:spacing w:before="50" w:after="50"/>
              <w:jc w:val="right"/>
            </w:pPr>
            <w:r w:rsidRPr="009E06AA">
              <w:rPr>
                <w:rFonts w:eastAsia="Calibri" w:cs="Calibri"/>
                <w:b/>
                <w:color w:val="FFFFFF"/>
                <w:szCs w:val="16"/>
              </w:rPr>
              <w:t>2022</w:t>
            </w:r>
          </w:p>
        </w:tc>
        <w:tc>
          <w:tcPr>
            <w:tcW w:w="1134" w:type="dxa"/>
            <w:shd w:val="clear" w:color="auto" w:fill="1B556B"/>
            <w:tcMar>
              <w:top w:w="0" w:type="dxa"/>
              <w:left w:w="85" w:type="dxa"/>
              <w:bottom w:w="0" w:type="dxa"/>
              <w:right w:w="85" w:type="dxa"/>
            </w:tcMar>
            <w:vAlign w:val="bottom"/>
          </w:tcPr>
          <w:p w14:paraId="23C319CD" w14:textId="77777777" w:rsidR="00053418" w:rsidRPr="009E06AA" w:rsidRDefault="00053418" w:rsidP="00FA728E">
            <w:pPr>
              <w:pStyle w:val="TableText"/>
              <w:spacing w:before="50" w:after="50"/>
              <w:jc w:val="right"/>
            </w:pPr>
            <w:r w:rsidRPr="009E06AA">
              <w:rPr>
                <w:rFonts w:eastAsia="Calibri" w:cs="Calibri"/>
                <w:b/>
                <w:color w:val="FFFFFF"/>
                <w:szCs w:val="16"/>
              </w:rPr>
              <w:t>Change from 1990 (%)</w:t>
            </w:r>
          </w:p>
        </w:tc>
      </w:tr>
      <w:tr w:rsidR="00053418" w:rsidRPr="009E06AA" w14:paraId="30854ACD" w14:textId="77777777" w:rsidTr="00B55F24">
        <w:tc>
          <w:tcPr>
            <w:tcW w:w="2551" w:type="dxa"/>
            <w:shd w:val="clear" w:color="auto" w:fill="FFFFFF"/>
            <w:tcMar>
              <w:top w:w="0" w:type="dxa"/>
              <w:left w:w="85" w:type="dxa"/>
              <w:bottom w:w="0" w:type="dxa"/>
              <w:right w:w="85" w:type="dxa"/>
            </w:tcMar>
            <w:vAlign w:val="center"/>
          </w:tcPr>
          <w:p w14:paraId="33D83548" w14:textId="77777777" w:rsidR="00053418" w:rsidRPr="009E06AA" w:rsidRDefault="00053418" w:rsidP="00B55F24">
            <w:pPr>
              <w:pStyle w:val="TableText"/>
              <w:spacing w:before="50" w:after="50"/>
            </w:pPr>
            <w:r w:rsidRPr="009E06AA">
              <w:rPr>
                <w:rFonts w:eastAsia="Calibri" w:cs="Calibri"/>
                <w:color w:val="000000"/>
                <w:szCs w:val="16"/>
              </w:rPr>
              <w:t>Wetlands remaining wetlands</w:t>
            </w:r>
          </w:p>
        </w:tc>
        <w:tc>
          <w:tcPr>
            <w:tcW w:w="1020" w:type="dxa"/>
            <w:shd w:val="clear" w:color="auto" w:fill="FFFFFF"/>
            <w:tcMar>
              <w:top w:w="0" w:type="dxa"/>
              <w:left w:w="85" w:type="dxa"/>
              <w:bottom w:w="0" w:type="dxa"/>
              <w:right w:w="85" w:type="dxa"/>
            </w:tcMar>
            <w:vAlign w:val="center"/>
          </w:tcPr>
          <w:p w14:paraId="0880DFFB" w14:textId="77777777" w:rsidR="00053418" w:rsidRPr="009E06AA" w:rsidRDefault="00053418" w:rsidP="00FA728E">
            <w:pPr>
              <w:pStyle w:val="TableText"/>
              <w:spacing w:before="50" w:after="50"/>
              <w:jc w:val="right"/>
            </w:pPr>
            <w:r w:rsidRPr="009E06AA">
              <w:rPr>
                <w:rFonts w:eastAsia="Calibri" w:cs="Calibri"/>
                <w:color w:val="000000"/>
                <w:szCs w:val="16"/>
              </w:rPr>
              <w:t>770,654</w:t>
            </w:r>
          </w:p>
        </w:tc>
        <w:tc>
          <w:tcPr>
            <w:tcW w:w="1020" w:type="dxa"/>
            <w:shd w:val="clear" w:color="auto" w:fill="FFFFFF"/>
            <w:tcMar>
              <w:top w:w="0" w:type="dxa"/>
              <w:left w:w="85" w:type="dxa"/>
              <w:bottom w:w="0" w:type="dxa"/>
              <w:right w:w="85" w:type="dxa"/>
            </w:tcMar>
            <w:vAlign w:val="center"/>
          </w:tcPr>
          <w:p w14:paraId="531D44F9" w14:textId="77777777" w:rsidR="00053418" w:rsidRPr="009E06AA" w:rsidRDefault="00053418" w:rsidP="00FA728E">
            <w:pPr>
              <w:pStyle w:val="TableText"/>
              <w:spacing w:before="50" w:after="50"/>
              <w:jc w:val="right"/>
            </w:pPr>
            <w:r w:rsidRPr="009E06AA">
              <w:rPr>
                <w:rFonts w:eastAsia="Calibri" w:cs="Calibri"/>
                <w:color w:val="000000"/>
                <w:szCs w:val="16"/>
              </w:rPr>
              <w:t>773,767</w:t>
            </w:r>
          </w:p>
        </w:tc>
        <w:tc>
          <w:tcPr>
            <w:tcW w:w="1134" w:type="dxa"/>
            <w:shd w:val="clear" w:color="auto" w:fill="FFFFFF"/>
            <w:tcMar>
              <w:top w:w="0" w:type="dxa"/>
              <w:left w:w="85" w:type="dxa"/>
              <w:bottom w:w="0" w:type="dxa"/>
              <w:right w:w="85" w:type="dxa"/>
            </w:tcMar>
            <w:vAlign w:val="center"/>
          </w:tcPr>
          <w:p w14:paraId="24EBE56B" w14:textId="77777777" w:rsidR="00053418" w:rsidRPr="009E06AA" w:rsidRDefault="00053418" w:rsidP="00FA728E">
            <w:pPr>
              <w:pStyle w:val="TableText"/>
              <w:spacing w:before="50" w:after="50"/>
              <w:jc w:val="right"/>
            </w:pPr>
            <w:r w:rsidRPr="009E06AA">
              <w:rPr>
                <w:rFonts w:eastAsia="Calibri" w:cs="Calibri"/>
                <w:color w:val="000000"/>
                <w:szCs w:val="16"/>
              </w:rPr>
              <w:t>0.4</w:t>
            </w:r>
          </w:p>
        </w:tc>
        <w:tc>
          <w:tcPr>
            <w:tcW w:w="850" w:type="dxa"/>
            <w:shd w:val="clear" w:color="auto" w:fill="FFFFFF"/>
            <w:tcMar>
              <w:top w:w="0" w:type="dxa"/>
              <w:left w:w="85" w:type="dxa"/>
              <w:bottom w:w="0" w:type="dxa"/>
              <w:right w:w="85" w:type="dxa"/>
            </w:tcMar>
            <w:vAlign w:val="center"/>
          </w:tcPr>
          <w:p w14:paraId="08CCEF00" w14:textId="77777777" w:rsidR="00053418" w:rsidRPr="009E06AA" w:rsidRDefault="00053418" w:rsidP="00FA728E">
            <w:pPr>
              <w:pStyle w:val="TableText"/>
              <w:spacing w:before="50" w:after="50"/>
              <w:jc w:val="right"/>
            </w:pPr>
            <w:r w:rsidRPr="009E06AA">
              <w:rPr>
                <w:rFonts w:eastAsia="Calibri" w:cs="Calibri"/>
                <w:color w:val="000000"/>
                <w:szCs w:val="16"/>
              </w:rPr>
              <w:t>11.5</w:t>
            </w:r>
          </w:p>
        </w:tc>
        <w:tc>
          <w:tcPr>
            <w:tcW w:w="850" w:type="dxa"/>
            <w:shd w:val="clear" w:color="auto" w:fill="FFFFFF"/>
            <w:tcMar>
              <w:top w:w="0" w:type="dxa"/>
              <w:left w:w="85" w:type="dxa"/>
              <w:bottom w:w="0" w:type="dxa"/>
              <w:right w:w="85" w:type="dxa"/>
            </w:tcMar>
            <w:vAlign w:val="center"/>
          </w:tcPr>
          <w:p w14:paraId="38F97E29" w14:textId="77777777" w:rsidR="00053418" w:rsidRPr="009E06AA" w:rsidRDefault="00053418" w:rsidP="00FA728E">
            <w:pPr>
              <w:pStyle w:val="TableText"/>
              <w:spacing w:before="50" w:after="50"/>
              <w:jc w:val="right"/>
            </w:pPr>
            <w:r w:rsidRPr="009E06AA">
              <w:rPr>
                <w:rFonts w:eastAsia="Calibri" w:cs="Calibri"/>
                <w:color w:val="000000"/>
                <w:szCs w:val="16"/>
              </w:rPr>
              <w:t>22.4</w:t>
            </w:r>
          </w:p>
        </w:tc>
        <w:tc>
          <w:tcPr>
            <w:tcW w:w="1134" w:type="dxa"/>
            <w:shd w:val="clear" w:color="auto" w:fill="FFFFFF"/>
            <w:tcMar>
              <w:top w:w="0" w:type="dxa"/>
              <w:left w:w="85" w:type="dxa"/>
              <w:bottom w:w="0" w:type="dxa"/>
              <w:right w:w="85" w:type="dxa"/>
            </w:tcMar>
            <w:vAlign w:val="center"/>
          </w:tcPr>
          <w:p w14:paraId="5669B659" w14:textId="77777777" w:rsidR="00053418" w:rsidRPr="009E06AA" w:rsidRDefault="00053418" w:rsidP="00FA728E">
            <w:pPr>
              <w:pStyle w:val="TableText"/>
              <w:spacing w:before="50" w:after="50"/>
              <w:jc w:val="right"/>
            </w:pPr>
            <w:r w:rsidRPr="009E06AA">
              <w:rPr>
                <w:rFonts w:eastAsia="Calibri" w:cs="Calibri"/>
                <w:color w:val="000000"/>
                <w:szCs w:val="16"/>
              </w:rPr>
              <w:t>94.5</w:t>
            </w:r>
          </w:p>
        </w:tc>
      </w:tr>
      <w:tr w:rsidR="00053418" w:rsidRPr="009E06AA" w14:paraId="24CDA932" w14:textId="77777777" w:rsidTr="00B55F24">
        <w:tc>
          <w:tcPr>
            <w:tcW w:w="2551" w:type="dxa"/>
            <w:shd w:val="clear" w:color="auto" w:fill="FFFFFF"/>
            <w:tcMar>
              <w:top w:w="0" w:type="dxa"/>
              <w:left w:w="85" w:type="dxa"/>
              <w:bottom w:w="0" w:type="dxa"/>
              <w:right w:w="85" w:type="dxa"/>
            </w:tcMar>
            <w:vAlign w:val="center"/>
          </w:tcPr>
          <w:p w14:paraId="0493657B" w14:textId="77777777" w:rsidR="00053418" w:rsidRPr="009E06AA" w:rsidRDefault="00053418" w:rsidP="00B55F24">
            <w:pPr>
              <w:pStyle w:val="TableText"/>
              <w:spacing w:before="50" w:after="50"/>
            </w:pPr>
            <w:r w:rsidRPr="009E06AA">
              <w:rPr>
                <w:rFonts w:eastAsia="Calibri" w:cs="Calibri"/>
                <w:color w:val="000000"/>
                <w:szCs w:val="16"/>
              </w:rPr>
              <w:t>Land converted to wetlands</w:t>
            </w:r>
          </w:p>
        </w:tc>
        <w:tc>
          <w:tcPr>
            <w:tcW w:w="1020" w:type="dxa"/>
            <w:shd w:val="clear" w:color="auto" w:fill="FFFFFF"/>
            <w:tcMar>
              <w:top w:w="0" w:type="dxa"/>
              <w:left w:w="85" w:type="dxa"/>
              <w:bottom w:w="0" w:type="dxa"/>
              <w:right w:w="85" w:type="dxa"/>
            </w:tcMar>
            <w:vAlign w:val="center"/>
          </w:tcPr>
          <w:p w14:paraId="25A8CC58" w14:textId="77777777" w:rsidR="00053418" w:rsidRPr="009E06AA" w:rsidRDefault="00053418" w:rsidP="00FA728E">
            <w:pPr>
              <w:pStyle w:val="TableText"/>
              <w:spacing w:before="50" w:after="50"/>
              <w:jc w:val="right"/>
            </w:pPr>
            <w:r w:rsidRPr="009E06AA">
              <w:rPr>
                <w:rFonts w:eastAsia="Calibri" w:cs="Calibri"/>
                <w:color w:val="000000"/>
                <w:szCs w:val="16"/>
              </w:rPr>
              <w:t>10,276</w:t>
            </w:r>
          </w:p>
        </w:tc>
        <w:tc>
          <w:tcPr>
            <w:tcW w:w="1020" w:type="dxa"/>
            <w:shd w:val="clear" w:color="auto" w:fill="FFFFFF"/>
            <w:tcMar>
              <w:top w:w="0" w:type="dxa"/>
              <w:left w:w="85" w:type="dxa"/>
              <w:bottom w:w="0" w:type="dxa"/>
              <w:right w:w="85" w:type="dxa"/>
            </w:tcMar>
            <w:vAlign w:val="center"/>
          </w:tcPr>
          <w:p w14:paraId="57B40955" w14:textId="77777777" w:rsidR="00053418" w:rsidRPr="009E06AA" w:rsidRDefault="00053418" w:rsidP="00FA728E">
            <w:pPr>
              <w:pStyle w:val="TableText"/>
              <w:spacing w:before="50" w:after="50"/>
              <w:jc w:val="right"/>
            </w:pPr>
            <w:r w:rsidRPr="009E06AA">
              <w:rPr>
                <w:rFonts w:eastAsia="Calibri" w:cs="Calibri"/>
                <w:color w:val="000000"/>
                <w:szCs w:val="16"/>
              </w:rPr>
              <w:t>7,231</w:t>
            </w:r>
          </w:p>
        </w:tc>
        <w:tc>
          <w:tcPr>
            <w:tcW w:w="1134" w:type="dxa"/>
            <w:shd w:val="clear" w:color="auto" w:fill="FFFFFF"/>
            <w:tcMar>
              <w:top w:w="0" w:type="dxa"/>
              <w:left w:w="85" w:type="dxa"/>
              <w:bottom w:w="0" w:type="dxa"/>
              <w:right w:w="85" w:type="dxa"/>
            </w:tcMar>
            <w:vAlign w:val="center"/>
          </w:tcPr>
          <w:p w14:paraId="30D6F904" w14:textId="77777777" w:rsidR="00053418" w:rsidRPr="009E06AA" w:rsidRDefault="00053418" w:rsidP="00FA728E">
            <w:pPr>
              <w:pStyle w:val="TableText"/>
              <w:spacing w:before="50" w:after="50"/>
              <w:jc w:val="right"/>
            </w:pPr>
            <w:r w:rsidRPr="009E06AA">
              <w:rPr>
                <w:rFonts w:eastAsia="Calibri" w:cs="Calibri"/>
                <w:color w:val="000000"/>
                <w:szCs w:val="16"/>
              </w:rPr>
              <w:t>-29.6</w:t>
            </w:r>
          </w:p>
        </w:tc>
        <w:tc>
          <w:tcPr>
            <w:tcW w:w="850" w:type="dxa"/>
            <w:shd w:val="clear" w:color="auto" w:fill="FFFFFF"/>
            <w:tcMar>
              <w:top w:w="0" w:type="dxa"/>
              <w:left w:w="85" w:type="dxa"/>
              <w:bottom w:w="0" w:type="dxa"/>
              <w:right w:w="85" w:type="dxa"/>
            </w:tcMar>
            <w:vAlign w:val="center"/>
          </w:tcPr>
          <w:p w14:paraId="421BE0F3" w14:textId="77777777" w:rsidR="00053418" w:rsidRPr="009E06AA" w:rsidRDefault="00053418" w:rsidP="00FA728E">
            <w:pPr>
              <w:pStyle w:val="TableText"/>
              <w:spacing w:before="50" w:after="50"/>
              <w:jc w:val="right"/>
            </w:pPr>
            <w:r w:rsidRPr="009E06AA">
              <w:rPr>
                <w:rFonts w:eastAsia="Calibri" w:cs="Calibri"/>
                <w:color w:val="000000"/>
                <w:szCs w:val="16"/>
              </w:rPr>
              <w:t>-19.8</w:t>
            </w:r>
          </w:p>
        </w:tc>
        <w:tc>
          <w:tcPr>
            <w:tcW w:w="850" w:type="dxa"/>
            <w:shd w:val="clear" w:color="auto" w:fill="FFFFFF"/>
            <w:tcMar>
              <w:top w:w="0" w:type="dxa"/>
              <w:left w:w="85" w:type="dxa"/>
              <w:bottom w:w="0" w:type="dxa"/>
              <w:right w:w="85" w:type="dxa"/>
            </w:tcMar>
            <w:vAlign w:val="center"/>
          </w:tcPr>
          <w:p w14:paraId="4291A398" w14:textId="77777777" w:rsidR="00053418" w:rsidRPr="009E06AA" w:rsidRDefault="00053418" w:rsidP="00FA728E">
            <w:pPr>
              <w:pStyle w:val="TableText"/>
              <w:spacing w:before="50" w:after="50"/>
              <w:jc w:val="right"/>
            </w:pPr>
            <w:r w:rsidRPr="009E06AA">
              <w:rPr>
                <w:rFonts w:eastAsia="Calibri" w:cs="Calibri"/>
                <w:color w:val="000000"/>
                <w:szCs w:val="16"/>
              </w:rPr>
              <w:t>-14.4</w:t>
            </w:r>
          </w:p>
        </w:tc>
        <w:tc>
          <w:tcPr>
            <w:tcW w:w="1134" w:type="dxa"/>
            <w:shd w:val="clear" w:color="auto" w:fill="FFFFFF"/>
            <w:tcMar>
              <w:top w:w="0" w:type="dxa"/>
              <w:left w:w="85" w:type="dxa"/>
              <w:bottom w:w="0" w:type="dxa"/>
              <w:right w:w="85" w:type="dxa"/>
            </w:tcMar>
            <w:vAlign w:val="center"/>
          </w:tcPr>
          <w:p w14:paraId="683DC579" w14:textId="77777777" w:rsidR="00053418" w:rsidRPr="009E06AA" w:rsidRDefault="00053418" w:rsidP="00FA728E">
            <w:pPr>
              <w:pStyle w:val="TableText"/>
              <w:spacing w:before="50" w:after="50"/>
              <w:jc w:val="right"/>
            </w:pPr>
            <w:r w:rsidRPr="009E06AA">
              <w:rPr>
                <w:rFonts w:eastAsia="Calibri" w:cs="Calibri"/>
                <w:color w:val="000000"/>
                <w:szCs w:val="16"/>
              </w:rPr>
              <w:t>27.2</w:t>
            </w:r>
          </w:p>
        </w:tc>
      </w:tr>
      <w:tr w:rsidR="00053418" w:rsidRPr="009E06AA" w14:paraId="30B15D8E" w14:textId="77777777" w:rsidTr="00B55F24">
        <w:tc>
          <w:tcPr>
            <w:tcW w:w="2551" w:type="dxa"/>
            <w:shd w:val="clear" w:color="auto" w:fill="FFFFFF"/>
            <w:tcMar>
              <w:top w:w="0" w:type="dxa"/>
              <w:left w:w="85" w:type="dxa"/>
              <w:bottom w:w="0" w:type="dxa"/>
              <w:right w:w="85" w:type="dxa"/>
            </w:tcMar>
            <w:vAlign w:val="center"/>
          </w:tcPr>
          <w:p w14:paraId="00E0AEC5" w14:textId="77777777" w:rsidR="00053418" w:rsidRPr="009E06AA" w:rsidRDefault="00053418" w:rsidP="00B55F24">
            <w:pPr>
              <w:pStyle w:val="TableText"/>
              <w:spacing w:before="50" w:after="50"/>
            </w:pPr>
            <w:r w:rsidRPr="009E06AA">
              <w:rPr>
                <w:rFonts w:eastAsia="Calibri" w:cs="Calibri"/>
                <w:b/>
                <w:color w:val="1B556B"/>
                <w:szCs w:val="16"/>
              </w:rPr>
              <w:t>Total</w:t>
            </w:r>
          </w:p>
        </w:tc>
        <w:tc>
          <w:tcPr>
            <w:tcW w:w="1020" w:type="dxa"/>
            <w:shd w:val="clear" w:color="auto" w:fill="FFFFFF"/>
            <w:tcMar>
              <w:top w:w="0" w:type="dxa"/>
              <w:left w:w="85" w:type="dxa"/>
              <w:bottom w:w="0" w:type="dxa"/>
              <w:right w:w="85" w:type="dxa"/>
            </w:tcMar>
            <w:vAlign w:val="center"/>
          </w:tcPr>
          <w:p w14:paraId="469D799B" w14:textId="77777777" w:rsidR="00053418" w:rsidRPr="009E06AA" w:rsidRDefault="00053418" w:rsidP="00FA728E">
            <w:pPr>
              <w:pStyle w:val="TableText"/>
              <w:spacing w:before="50" w:after="50"/>
              <w:jc w:val="right"/>
            </w:pPr>
            <w:r w:rsidRPr="009E06AA">
              <w:rPr>
                <w:rFonts w:eastAsia="Calibri" w:cs="Calibri"/>
                <w:b/>
                <w:color w:val="1B556B"/>
                <w:szCs w:val="16"/>
              </w:rPr>
              <w:t>780,930</w:t>
            </w:r>
          </w:p>
        </w:tc>
        <w:tc>
          <w:tcPr>
            <w:tcW w:w="1020" w:type="dxa"/>
            <w:shd w:val="clear" w:color="auto" w:fill="FFFFFF"/>
            <w:tcMar>
              <w:top w:w="0" w:type="dxa"/>
              <w:left w:w="85" w:type="dxa"/>
              <w:bottom w:w="0" w:type="dxa"/>
              <w:right w:w="85" w:type="dxa"/>
            </w:tcMar>
            <w:vAlign w:val="center"/>
          </w:tcPr>
          <w:p w14:paraId="224F1870" w14:textId="77777777" w:rsidR="00053418" w:rsidRPr="009E06AA" w:rsidRDefault="00053418" w:rsidP="00FA728E">
            <w:pPr>
              <w:pStyle w:val="TableText"/>
              <w:spacing w:before="50" w:after="50"/>
              <w:jc w:val="right"/>
            </w:pPr>
            <w:r w:rsidRPr="009E06AA">
              <w:rPr>
                <w:rFonts w:eastAsia="Calibri" w:cs="Calibri"/>
                <w:b/>
                <w:color w:val="1B556B"/>
                <w:szCs w:val="16"/>
              </w:rPr>
              <w:t>780,998</w:t>
            </w:r>
          </w:p>
        </w:tc>
        <w:tc>
          <w:tcPr>
            <w:tcW w:w="1134" w:type="dxa"/>
            <w:shd w:val="clear" w:color="auto" w:fill="FFFFFF"/>
            <w:tcMar>
              <w:top w:w="0" w:type="dxa"/>
              <w:left w:w="85" w:type="dxa"/>
              <w:bottom w:w="0" w:type="dxa"/>
              <w:right w:w="85" w:type="dxa"/>
            </w:tcMar>
            <w:vAlign w:val="center"/>
          </w:tcPr>
          <w:p w14:paraId="4F69398F" w14:textId="77777777" w:rsidR="00053418" w:rsidRPr="009E06AA" w:rsidRDefault="00053418" w:rsidP="00FA728E">
            <w:pPr>
              <w:pStyle w:val="TableText"/>
              <w:spacing w:before="50" w:after="50"/>
              <w:jc w:val="right"/>
            </w:pPr>
            <w:r w:rsidRPr="009E06AA">
              <w:rPr>
                <w:rFonts w:eastAsia="Calibri" w:cs="Calibri"/>
                <w:b/>
                <w:color w:val="1B556B"/>
                <w:szCs w:val="16"/>
              </w:rPr>
              <w:t>0.0</w:t>
            </w:r>
          </w:p>
        </w:tc>
        <w:tc>
          <w:tcPr>
            <w:tcW w:w="850" w:type="dxa"/>
            <w:shd w:val="clear" w:color="auto" w:fill="FFFFFF"/>
            <w:tcMar>
              <w:top w:w="0" w:type="dxa"/>
              <w:left w:w="85" w:type="dxa"/>
              <w:bottom w:w="0" w:type="dxa"/>
              <w:right w:w="85" w:type="dxa"/>
            </w:tcMar>
            <w:vAlign w:val="center"/>
          </w:tcPr>
          <w:p w14:paraId="12D1F79F" w14:textId="77777777" w:rsidR="00053418" w:rsidRPr="009E06AA" w:rsidRDefault="00053418" w:rsidP="00FA728E">
            <w:pPr>
              <w:pStyle w:val="TableText"/>
              <w:spacing w:before="50" w:after="50"/>
              <w:jc w:val="right"/>
            </w:pPr>
            <w:r w:rsidRPr="009E06AA">
              <w:rPr>
                <w:rFonts w:eastAsia="Calibri" w:cs="Calibri"/>
                <w:b/>
                <w:color w:val="1B556B"/>
                <w:szCs w:val="16"/>
              </w:rPr>
              <w:t>-8.3</w:t>
            </w:r>
          </w:p>
        </w:tc>
        <w:tc>
          <w:tcPr>
            <w:tcW w:w="850" w:type="dxa"/>
            <w:shd w:val="clear" w:color="auto" w:fill="FFFFFF"/>
            <w:tcMar>
              <w:top w:w="0" w:type="dxa"/>
              <w:left w:w="85" w:type="dxa"/>
              <w:bottom w:w="0" w:type="dxa"/>
              <w:right w:w="85" w:type="dxa"/>
            </w:tcMar>
            <w:vAlign w:val="center"/>
          </w:tcPr>
          <w:p w14:paraId="1C154BFB" w14:textId="77777777" w:rsidR="00053418" w:rsidRPr="009E06AA" w:rsidRDefault="00053418" w:rsidP="00FA728E">
            <w:pPr>
              <w:pStyle w:val="TableText"/>
              <w:spacing w:before="50" w:after="50"/>
              <w:jc w:val="right"/>
            </w:pPr>
            <w:r w:rsidRPr="009E06AA">
              <w:rPr>
                <w:rFonts w:eastAsia="Calibri" w:cs="Calibri"/>
                <w:b/>
                <w:color w:val="1B556B"/>
                <w:szCs w:val="16"/>
              </w:rPr>
              <w:t>8.0</w:t>
            </w:r>
          </w:p>
        </w:tc>
        <w:tc>
          <w:tcPr>
            <w:tcW w:w="1134" w:type="dxa"/>
            <w:shd w:val="clear" w:color="auto" w:fill="FFFFFF"/>
            <w:tcMar>
              <w:top w:w="0" w:type="dxa"/>
              <w:left w:w="85" w:type="dxa"/>
              <w:bottom w:w="0" w:type="dxa"/>
              <w:right w:w="85" w:type="dxa"/>
            </w:tcMar>
            <w:vAlign w:val="center"/>
          </w:tcPr>
          <w:p w14:paraId="78109F04" w14:textId="77777777" w:rsidR="00053418" w:rsidRPr="009E06AA" w:rsidRDefault="00053418" w:rsidP="00FA728E">
            <w:pPr>
              <w:pStyle w:val="TableText"/>
              <w:spacing w:before="50" w:after="50"/>
              <w:jc w:val="right"/>
            </w:pPr>
            <w:r w:rsidRPr="009E06AA">
              <w:rPr>
                <w:rFonts w:eastAsia="Calibri" w:cs="Calibri"/>
                <w:b/>
                <w:color w:val="1B556B"/>
                <w:szCs w:val="16"/>
              </w:rPr>
              <w:t>196.6</w:t>
            </w:r>
          </w:p>
        </w:tc>
      </w:tr>
    </w:tbl>
    <w:p w14:paraId="1F5EE93A" w14:textId="77777777" w:rsidR="00053418" w:rsidRPr="009E06AA" w:rsidRDefault="00053418" w:rsidP="00053418">
      <w:pPr>
        <w:pStyle w:val="Noteundertable"/>
        <w:spacing w:after="80"/>
      </w:pPr>
      <w:r w:rsidRPr="009E06AA">
        <w:rPr>
          <w:b/>
        </w:rPr>
        <w:t xml:space="preserve">Note: </w:t>
      </w:r>
      <w:r w:rsidRPr="009E06AA">
        <w:rPr>
          <w:b/>
        </w:rPr>
        <w:tab/>
      </w:r>
      <w:r w:rsidRPr="009E06AA">
        <w:t>Net area in 1990 is as at 1 January 1990; net area in 2022 is as at 31 December 2022.</w:t>
      </w:r>
      <w:r w:rsidRPr="009E06AA">
        <w:rPr>
          <w:i/>
        </w:rPr>
        <w:t xml:space="preserve"> Land converted to wetlands</w:t>
      </w:r>
      <w:r w:rsidRPr="009E06AA">
        <w:t xml:space="preserve"> includes land converted up to 20 years earlier. </w:t>
      </w:r>
      <w:r w:rsidRPr="009E06AA">
        <w:rPr>
          <w:i/>
        </w:rPr>
        <w:t>Land converted to wetlands</w:t>
      </w:r>
      <w:r w:rsidRPr="009E06AA">
        <w:t xml:space="preserve"> consists of land converted to hydro lakes before 1990. Net emission values are for the whole year indicated. Columns may not total due to rounding.</w:t>
      </w:r>
    </w:p>
    <w:p w14:paraId="17262B57" w14:textId="77777777" w:rsidR="00053418" w:rsidRPr="009E06AA" w:rsidRDefault="00053418" w:rsidP="00053418">
      <w:pPr>
        <w:pStyle w:val="BodyText"/>
      </w:pPr>
      <w:r w:rsidRPr="009E06AA">
        <w:t xml:space="preserve">New Zealand’s </w:t>
      </w:r>
      <w:r w:rsidRPr="009E06AA">
        <w:rPr>
          <w:i/>
        </w:rPr>
        <w:t>Wetlands</w:t>
      </w:r>
      <w:r w:rsidRPr="009E06AA">
        <w:t xml:space="preserve"> are currently mapped into two types: open water, which includes artificially flooded lands, lakes and rivers; and vegetated wetland, which includes herbaceous vegetation that is periodically flooded, and estuarine and tidal areas. Flooded lands, a category of </w:t>
      </w:r>
      <w:r w:rsidRPr="009E06AA">
        <w:rPr>
          <w:i/>
        </w:rPr>
        <w:t>Wetlands</w:t>
      </w:r>
      <w:r w:rsidRPr="009E06AA">
        <w:t>, are defined in the 2006 IPCC Guidelines</w:t>
      </w:r>
      <w:r w:rsidRPr="009E06AA" w:rsidDel="0015189E">
        <w:t xml:space="preserve"> </w:t>
      </w:r>
      <w:r w:rsidRPr="009E06AA">
        <w:t>(IPCC, 2006a, p 7.19) as:</w:t>
      </w:r>
    </w:p>
    <w:p w14:paraId="2E597735" w14:textId="77777777" w:rsidR="00053418" w:rsidRPr="009E06AA" w:rsidRDefault="00053418" w:rsidP="00053418">
      <w:pPr>
        <w:pStyle w:val="Quote"/>
        <w:spacing w:before="60"/>
      </w:pPr>
      <w:r w:rsidRPr="009E06AA">
        <w:t>… water bodies where human activities have caused changes in the amount of surface area covered by water, typically through water level regulation. … Regulated lakes and rivers that do not have substantial changes in water area in comparison with the pre-flooded ecosystem are not considered as Flooded Lands.</w:t>
      </w:r>
    </w:p>
    <w:p w14:paraId="393EF47C" w14:textId="77777777" w:rsidR="00053418" w:rsidRPr="009E06AA" w:rsidRDefault="00053418" w:rsidP="00053418">
      <w:pPr>
        <w:pStyle w:val="BodyText"/>
        <w:rPr>
          <w:rFonts w:cs="Calibri"/>
        </w:rPr>
      </w:pPr>
      <w:r w:rsidRPr="009E06AA">
        <w:t xml:space="preserve">The majority of New Zealand’s hydroelectric schemes are based on rivers and lakes where the main pre-flooded ecosystem was a natural lake or river; therefore, they are not defined </w:t>
      </w:r>
      <w:r w:rsidRPr="009E06AA">
        <w:rPr>
          <w:rFonts w:cs="Calibri"/>
        </w:rPr>
        <w:t>as flooded lands.</w:t>
      </w:r>
      <w:r w:rsidRPr="009E06AA">
        <w:rPr>
          <w:rStyle w:val="FootnoteReference"/>
        </w:rPr>
        <w:footnoteReference w:id="54"/>
      </w:r>
      <w:r w:rsidRPr="009E06AA">
        <w:rPr>
          <w:rFonts w:cs="Calibri"/>
        </w:rPr>
        <w:t xml:space="preserve"> </w:t>
      </w:r>
    </w:p>
    <w:p w14:paraId="3F3616C8" w14:textId="77777777" w:rsidR="00053418" w:rsidRPr="009E06AA" w:rsidRDefault="00053418" w:rsidP="00053418">
      <w:pPr>
        <w:pStyle w:val="BodyText"/>
      </w:pPr>
      <w:r w:rsidRPr="009E06AA">
        <w:t>In 2022, there were 537,246 hectares of open water and 243,752 hectares of vegetated wetlands. Together these two land use types make up 2.9 per cent of the total New Zealand land area.</w:t>
      </w:r>
    </w:p>
    <w:p w14:paraId="1914D96A" w14:textId="4B2B8C89" w:rsidR="00053418" w:rsidRPr="009E06AA" w:rsidRDefault="00053418" w:rsidP="00053418">
      <w:pPr>
        <w:pStyle w:val="BodyText"/>
      </w:pPr>
      <w:r w:rsidRPr="009E06AA">
        <w:t>In 2016, a study was commissioned to identify and map current and historical (from 1990) horticultural peat mining areas, peat type and quantity, and post-mining activities (Clarkson, unpublished). This work estimated there were 273 hectares under peat extraction in 2015. Due</w:t>
      </w:r>
      <w:r w:rsidR="00365205" w:rsidRPr="009E06AA">
        <w:t> </w:t>
      </w:r>
      <w:r w:rsidRPr="009E06AA">
        <w:t xml:space="preserve">to a lack of further information, this area is assumed to be constant from 1990 to 2022. The results of this study have been incorporated into New Zealand’s 2016 land use map. </w:t>
      </w:r>
    </w:p>
    <w:p w14:paraId="4FE57A6B" w14:textId="77777777" w:rsidR="00053418" w:rsidRPr="009E06AA" w:rsidRDefault="00053418" w:rsidP="00053418">
      <w:pPr>
        <w:pStyle w:val="BodyText"/>
      </w:pPr>
      <w:r w:rsidRPr="009E06AA">
        <w:t xml:space="preserve">From 1990 to 2022, the net carbon stocks in </w:t>
      </w:r>
      <w:r w:rsidRPr="009E06AA">
        <w:rPr>
          <w:i/>
        </w:rPr>
        <w:t>Wetlands</w:t>
      </w:r>
      <w:r w:rsidRPr="009E06AA">
        <w:t xml:space="preserve"> decreased by 13.7 kt C, equivalent to emissions of 50.2 kt CO</w:t>
      </w:r>
      <w:r w:rsidRPr="009E06AA">
        <w:rPr>
          <w:vertAlign w:val="subscript"/>
        </w:rPr>
        <w:t>2</w:t>
      </w:r>
      <w:r w:rsidRPr="009E06AA">
        <w:t xml:space="preserve"> in total since 1990 (see table 6.7.2).</w:t>
      </w:r>
    </w:p>
    <w:p w14:paraId="31963C94" w14:textId="40A830CB" w:rsidR="00053418" w:rsidRPr="009E06AA" w:rsidRDefault="00053418" w:rsidP="00053418">
      <w:pPr>
        <w:pStyle w:val="Table"/>
      </w:pPr>
      <w:bookmarkStart w:id="2472" w:name="_Toc342470785"/>
      <w:bookmarkStart w:id="2473" w:name="_Toc352505025"/>
      <w:bookmarkStart w:id="2474" w:name="_Toc378853314"/>
      <w:bookmarkStart w:id="2475" w:name="_Toc391024112"/>
      <w:bookmarkStart w:id="2476" w:name="_Toc410028855"/>
      <w:bookmarkStart w:id="2477" w:name="_Toc414531483"/>
      <w:bookmarkStart w:id="2478" w:name="_Toc443645396"/>
      <w:bookmarkStart w:id="2479" w:name="_Toc474914615"/>
      <w:bookmarkStart w:id="2480" w:name="_Toc481751579"/>
      <w:bookmarkStart w:id="2481" w:name="_Toc522010636"/>
      <w:bookmarkStart w:id="2482" w:name="_Toc5269541"/>
      <w:bookmarkStart w:id="2483" w:name="_Toc33529415"/>
      <w:bookmarkStart w:id="2484" w:name="_Toc36224621"/>
      <w:bookmarkStart w:id="2485" w:name="_Toc131591415"/>
      <w:bookmarkStart w:id="2486" w:name="_Toc158979973"/>
      <w:bookmarkStart w:id="2487" w:name="_Toc164153906"/>
      <w:r w:rsidRPr="009E06AA">
        <w:t>Table 6.7.2</w:t>
      </w:r>
      <w:r w:rsidRPr="009E06AA">
        <w:tab/>
      </w:r>
      <w:r w:rsidRPr="009E06AA">
        <w:rPr>
          <w:spacing w:val="-2"/>
        </w:rPr>
        <w:t xml:space="preserve">New Zealand’s carbon stock change by carbon pool for the </w:t>
      </w:r>
      <w:r w:rsidRPr="009E06AA">
        <w:rPr>
          <w:i/>
          <w:spacing w:val="-2"/>
        </w:rPr>
        <w:t>Wetlands</w:t>
      </w:r>
      <w:r w:rsidRPr="009E06AA">
        <w:rPr>
          <w:spacing w:val="-2"/>
        </w:rPr>
        <w:t xml:space="preserve"> category</w:t>
      </w:r>
      <w:r w:rsidR="00494358" w:rsidRPr="009E06AA">
        <w:rPr>
          <w:spacing w:val="-2"/>
        </w:rPr>
        <w:t>,</w:t>
      </w:r>
      <w:r w:rsidRPr="009E06AA">
        <w:rPr>
          <w:spacing w:val="-2"/>
        </w:rPr>
        <w:t xml:space="preserve"> from 1990 to</w:t>
      </w:r>
      <w:bookmarkEnd w:id="2472"/>
      <w:bookmarkEnd w:id="2473"/>
      <w:bookmarkEnd w:id="2474"/>
      <w:bookmarkEnd w:id="2475"/>
      <w:r w:rsidRPr="009E06AA">
        <w:rPr>
          <w:spacing w:val="-2"/>
        </w:rPr>
        <w:t> </w:t>
      </w:r>
      <w:bookmarkEnd w:id="2476"/>
      <w:bookmarkEnd w:id="2477"/>
      <w:bookmarkEnd w:id="2478"/>
      <w:bookmarkEnd w:id="2479"/>
      <w:bookmarkEnd w:id="2480"/>
      <w:bookmarkEnd w:id="2481"/>
      <w:bookmarkEnd w:id="2482"/>
      <w:bookmarkEnd w:id="2483"/>
      <w:bookmarkEnd w:id="2484"/>
      <w:r w:rsidRPr="009E06AA">
        <w:rPr>
          <w:spacing w:val="-2"/>
        </w:rPr>
        <w:t>2022</w:t>
      </w:r>
      <w:bookmarkEnd w:id="2485"/>
      <w:bookmarkEnd w:id="2486"/>
      <w:bookmarkEnd w:id="2487"/>
    </w:p>
    <w:tbl>
      <w:tblPr>
        <w:tblW w:w="8505" w:type="dxa"/>
        <w:tblBorders>
          <w:top w:val="single" w:sz="4" w:space="0" w:color="1B556B" w:themeColor="text2"/>
          <w:bottom w:val="single" w:sz="4" w:space="0" w:color="1B556B" w:themeColor="text2"/>
          <w:insideH w:val="single" w:sz="4" w:space="0" w:color="1B556B" w:themeColor="text2"/>
        </w:tblBorders>
        <w:tblLayout w:type="fixed"/>
        <w:tblLook w:val="0420" w:firstRow="1" w:lastRow="0" w:firstColumn="0" w:lastColumn="0" w:noHBand="0" w:noVBand="1"/>
      </w:tblPr>
      <w:tblGrid>
        <w:gridCol w:w="2041"/>
        <w:gridCol w:w="1247"/>
        <w:gridCol w:w="1701"/>
        <w:gridCol w:w="823"/>
        <w:gridCol w:w="992"/>
        <w:gridCol w:w="1701"/>
      </w:tblGrid>
      <w:tr w:rsidR="00053418" w:rsidRPr="009E06AA" w14:paraId="44E8A6C5" w14:textId="77777777" w:rsidTr="00B55F24">
        <w:trPr>
          <w:tblHeader/>
        </w:trPr>
        <w:tc>
          <w:tcPr>
            <w:tcW w:w="2041" w:type="dxa"/>
            <w:shd w:val="clear" w:color="auto" w:fill="1B556B"/>
            <w:tcMar>
              <w:top w:w="0" w:type="dxa"/>
              <w:left w:w="85" w:type="dxa"/>
              <w:bottom w:w="0" w:type="dxa"/>
              <w:right w:w="85" w:type="dxa"/>
            </w:tcMar>
            <w:vAlign w:val="center"/>
          </w:tcPr>
          <w:p w14:paraId="6B9ECE35" w14:textId="77777777" w:rsidR="00053418" w:rsidRPr="009E06AA" w:rsidRDefault="00053418" w:rsidP="00B55F24">
            <w:pPr>
              <w:pStyle w:val="TableText"/>
              <w:spacing w:after="0"/>
            </w:pPr>
          </w:p>
        </w:tc>
        <w:tc>
          <w:tcPr>
            <w:tcW w:w="4763" w:type="dxa"/>
            <w:gridSpan w:val="4"/>
            <w:shd w:val="clear" w:color="auto" w:fill="1B556B"/>
            <w:tcMar>
              <w:top w:w="0" w:type="dxa"/>
              <w:left w:w="85" w:type="dxa"/>
              <w:bottom w:w="0" w:type="dxa"/>
              <w:right w:w="85" w:type="dxa"/>
            </w:tcMar>
            <w:vAlign w:val="center"/>
          </w:tcPr>
          <w:p w14:paraId="4659BC4B" w14:textId="77777777" w:rsidR="00053418" w:rsidRPr="009E06AA" w:rsidRDefault="00053418" w:rsidP="00B55F24">
            <w:pPr>
              <w:pStyle w:val="TableText"/>
              <w:spacing w:after="0"/>
              <w:jc w:val="center"/>
            </w:pPr>
            <w:r w:rsidRPr="009E06AA">
              <w:rPr>
                <w:rFonts w:eastAsia="Calibri" w:cs="Calibri"/>
                <w:b/>
                <w:color w:val="FFFFFF"/>
                <w:szCs w:val="16"/>
              </w:rPr>
              <w:t>Net carbon stock change 1990–2022 (kt C)</w:t>
            </w:r>
          </w:p>
        </w:tc>
        <w:tc>
          <w:tcPr>
            <w:tcW w:w="1701" w:type="dxa"/>
            <w:shd w:val="clear" w:color="auto" w:fill="1B556B"/>
            <w:tcMar>
              <w:top w:w="0" w:type="dxa"/>
              <w:left w:w="85" w:type="dxa"/>
              <w:bottom w:w="0" w:type="dxa"/>
              <w:right w:w="85" w:type="dxa"/>
            </w:tcMar>
            <w:vAlign w:val="center"/>
          </w:tcPr>
          <w:p w14:paraId="7B995898" w14:textId="77777777" w:rsidR="00053418" w:rsidRPr="009E06AA" w:rsidRDefault="00053418" w:rsidP="00B55F24">
            <w:pPr>
              <w:pStyle w:val="TableText"/>
              <w:spacing w:after="0"/>
              <w:jc w:val="right"/>
            </w:pPr>
            <w:r w:rsidRPr="009E06AA">
              <w:rPr>
                <w:rFonts w:eastAsia="Calibri" w:cs="Calibri"/>
                <w:b/>
                <w:color w:val="FFFFFF"/>
                <w:szCs w:val="16"/>
              </w:rPr>
              <w:t>Emissions 1990–2022</w:t>
            </w:r>
          </w:p>
        </w:tc>
      </w:tr>
      <w:tr w:rsidR="00053418" w:rsidRPr="009E06AA" w14:paraId="46B133F7" w14:textId="77777777" w:rsidTr="00B55F24">
        <w:trPr>
          <w:tblHeader/>
        </w:trPr>
        <w:tc>
          <w:tcPr>
            <w:tcW w:w="2041" w:type="dxa"/>
            <w:shd w:val="clear" w:color="auto" w:fill="1B556B"/>
            <w:tcMar>
              <w:top w:w="0" w:type="dxa"/>
              <w:left w:w="85" w:type="dxa"/>
              <w:bottom w:w="0" w:type="dxa"/>
              <w:right w:w="85" w:type="dxa"/>
            </w:tcMar>
            <w:vAlign w:val="center"/>
          </w:tcPr>
          <w:p w14:paraId="2C52AE9B" w14:textId="77777777" w:rsidR="00053418" w:rsidRPr="009E06AA" w:rsidRDefault="00053418" w:rsidP="00B55F24">
            <w:pPr>
              <w:pStyle w:val="TableText"/>
            </w:pPr>
            <w:r w:rsidRPr="009E06AA">
              <w:rPr>
                <w:rFonts w:eastAsia="Calibri" w:cs="Calibri"/>
                <w:b/>
                <w:color w:val="FFFFFF"/>
                <w:szCs w:val="16"/>
              </w:rPr>
              <w:t>Land use</w:t>
            </w:r>
          </w:p>
        </w:tc>
        <w:tc>
          <w:tcPr>
            <w:tcW w:w="1247" w:type="dxa"/>
            <w:shd w:val="clear" w:color="auto" w:fill="1B556B"/>
            <w:tcMar>
              <w:top w:w="0" w:type="dxa"/>
              <w:left w:w="85" w:type="dxa"/>
              <w:bottom w:w="0" w:type="dxa"/>
              <w:right w:w="85" w:type="dxa"/>
            </w:tcMar>
            <w:vAlign w:val="center"/>
          </w:tcPr>
          <w:p w14:paraId="7B013E61" w14:textId="77777777" w:rsidR="00053418" w:rsidRPr="009E06AA" w:rsidRDefault="00053418" w:rsidP="00FA728E">
            <w:pPr>
              <w:pStyle w:val="TableText"/>
              <w:jc w:val="right"/>
            </w:pPr>
            <w:r w:rsidRPr="009E06AA">
              <w:rPr>
                <w:rFonts w:eastAsia="Calibri" w:cs="Calibri"/>
                <w:b/>
                <w:color w:val="FFFFFF"/>
                <w:szCs w:val="16"/>
              </w:rPr>
              <w:t>Living biomass</w:t>
            </w:r>
          </w:p>
        </w:tc>
        <w:tc>
          <w:tcPr>
            <w:tcW w:w="1701" w:type="dxa"/>
            <w:shd w:val="clear" w:color="auto" w:fill="1B556B"/>
            <w:tcMar>
              <w:top w:w="0" w:type="dxa"/>
              <w:left w:w="85" w:type="dxa"/>
              <w:bottom w:w="0" w:type="dxa"/>
              <w:right w:w="85" w:type="dxa"/>
            </w:tcMar>
            <w:vAlign w:val="center"/>
          </w:tcPr>
          <w:p w14:paraId="79C319C7" w14:textId="77777777" w:rsidR="00053418" w:rsidRPr="009E06AA" w:rsidRDefault="00053418" w:rsidP="00FA728E">
            <w:pPr>
              <w:pStyle w:val="TableText"/>
              <w:jc w:val="right"/>
            </w:pPr>
            <w:r w:rsidRPr="009E06AA">
              <w:rPr>
                <w:rFonts w:eastAsia="Calibri" w:cs="Calibri"/>
                <w:b/>
                <w:color w:val="FFFFFF"/>
                <w:szCs w:val="16"/>
              </w:rPr>
              <w:t>Dead organic matter</w:t>
            </w:r>
          </w:p>
        </w:tc>
        <w:tc>
          <w:tcPr>
            <w:tcW w:w="823" w:type="dxa"/>
            <w:shd w:val="clear" w:color="auto" w:fill="1B556B"/>
            <w:tcMar>
              <w:top w:w="0" w:type="dxa"/>
              <w:left w:w="85" w:type="dxa"/>
              <w:bottom w:w="0" w:type="dxa"/>
              <w:right w:w="85" w:type="dxa"/>
            </w:tcMar>
            <w:vAlign w:val="center"/>
          </w:tcPr>
          <w:p w14:paraId="4CC0E1F3" w14:textId="77777777" w:rsidR="00053418" w:rsidRPr="009E06AA" w:rsidRDefault="00053418" w:rsidP="00FA728E">
            <w:pPr>
              <w:pStyle w:val="TableText"/>
              <w:jc w:val="right"/>
            </w:pPr>
            <w:r w:rsidRPr="009E06AA">
              <w:rPr>
                <w:rFonts w:eastAsia="Calibri" w:cs="Calibri"/>
                <w:b/>
                <w:color w:val="FFFFFF"/>
                <w:szCs w:val="16"/>
              </w:rPr>
              <w:t>Soils</w:t>
            </w:r>
          </w:p>
        </w:tc>
        <w:tc>
          <w:tcPr>
            <w:tcW w:w="992" w:type="dxa"/>
            <w:shd w:val="clear" w:color="auto" w:fill="1B556B"/>
            <w:tcMar>
              <w:top w:w="0" w:type="dxa"/>
              <w:left w:w="85" w:type="dxa"/>
              <w:bottom w:w="0" w:type="dxa"/>
              <w:right w:w="85" w:type="dxa"/>
            </w:tcMar>
            <w:vAlign w:val="center"/>
          </w:tcPr>
          <w:p w14:paraId="1EA90E75" w14:textId="77777777" w:rsidR="00053418" w:rsidRPr="009E06AA" w:rsidRDefault="00053418" w:rsidP="00FA728E">
            <w:pPr>
              <w:pStyle w:val="TableText"/>
              <w:jc w:val="right"/>
            </w:pPr>
            <w:r w:rsidRPr="009E06AA">
              <w:rPr>
                <w:rFonts w:eastAsia="Calibri" w:cs="Calibri"/>
                <w:b/>
                <w:color w:val="FFFFFF"/>
                <w:szCs w:val="16"/>
              </w:rPr>
              <w:t>Total</w:t>
            </w:r>
          </w:p>
        </w:tc>
        <w:tc>
          <w:tcPr>
            <w:tcW w:w="1701" w:type="dxa"/>
            <w:shd w:val="clear" w:color="auto" w:fill="1B556B"/>
            <w:tcMar>
              <w:top w:w="0" w:type="dxa"/>
              <w:left w:w="85" w:type="dxa"/>
              <w:bottom w:w="0" w:type="dxa"/>
              <w:right w:w="85" w:type="dxa"/>
            </w:tcMar>
            <w:vAlign w:val="center"/>
          </w:tcPr>
          <w:p w14:paraId="569C568D" w14:textId="77777777" w:rsidR="00053418" w:rsidRPr="009E06AA" w:rsidRDefault="00053418" w:rsidP="00FA728E">
            <w:pPr>
              <w:pStyle w:val="TableText"/>
              <w:jc w:val="right"/>
            </w:pPr>
            <w:r w:rsidRPr="009E06AA">
              <w:rPr>
                <w:rFonts w:eastAsia="Calibri" w:cs="Calibri"/>
                <w:b/>
                <w:color w:val="FFFFFF"/>
                <w:szCs w:val="16"/>
              </w:rPr>
              <w:t>(kt CO₂)</w:t>
            </w:r>
          </w:p>
        </w:tc>
      </w:tr>
      <w:tr w:rsidR="00053418" w:rsidRPr="009E06AA" w14:paraId="7EEBDCF2" w14:textId="77777777" w:rsidTr="00B55F24">
        <w:tc>
          <w:tcPr>
            <w:tcW w:w="2041" w:type="dxa"/>
            <w:shd w:val="clear" w:color="auto" w:fill="FFFFFF"/>
            <w:tcMar>
              <w:top w:w="0" w:type="dxa"/>
              <w:left w:w="85" w:type="dxa"/>
              <w:bottom w:w="0" w:type="dxa"/>
              <w:right w:w="85" w:type="dxa"/>
            </w:tcMar>
            <w:vAlign w:val="center"/>
          </w:tcPr>
          <w:p w14:paraId="17237548" w14:textId="77777777" w:rsidR="00053418" w:rsidRPr="009E06AA" w:rsidRDefault="00053418" w:rsidP="00B55F24">
            <w:pPr>
              <w:pStyle w:val="TableText"/>
            </w:pPr>
            <w:r w:rsidRPr="009E06AA">
              <w:rPr>
                <w:rFonts w:eastAsia="Calibri" w:cs="Calibri"/>
                <w:color w:val="000000"/>
                <w:szCs w:val="16"/>
              </w:rPr>
              <w:t>Wetlands – vegetated</w:t>
            </w:r>
          </w:p>
        </w:tc>
        <w:tc>
          <w:tcPr>
            <w:tcW w:w="1247" w:type="dxa"/>
            <w:shd w:val="clear" w:color="auto" w:fill="FFFFFF"/>
            <w:tcMar>
              <w:top w:w="0" w:type="dxa"/>
              <w:left w:w="85" w:type="dxa"/>
              <w:bottom w:w="0" w:type="dxa"/>
              <w:right w:w="85" w:type="dxa"/>
            </w:tcMar>
            <w:vAlign w:val="center"/>
          </w:tcPr>
          <w:p w14:paraId="465709DF" w14:textId="77777777" w:rsidR="00053418" w:rsidRPr="009E06AA" w:rsidRDefault="00053418" w:rsidP="00FA728E">
            <w:pPr>
              <w:pStyle w:val="TableText"/>
              <w:jc w:val="right"/>
            </w:pPr>
            <w:r w:rsidRPr="009E06AA">
              <w:rPr>
                <w:rFonts w:eastAsia="Calibri" w:cs="Calibri"/>
                <w:color w:val="000000"/>
                <w:szCs w:val="16"/>
              </w:rPr>
              <w:t>-20.3</w:t>
            </w:r>
          </w:p>
        </w:tc>
        <w:tc>
          <w:tcPr>
            <w:tcW w:w="1701" w:type="dxa"/>
            <w:shd w:val="clear" w:color="auto" w:fill="FFFFFF"/>
            <w:tcMar>
              <w:top w:w="0" w:type="dxa"/>
              <w:left w:w="85" w:type="dxa"/>
              <w:bottom w:w="0" w:type="dxa"/>
              <w:right w:w="85" w:type="dxa"/>
            </w:tcMar>
            <w:vAlign w:val="center"/>
          </w:tcPr>
          <w:p w14:paraId="14228B21" w14:textId="77777777" w:rsidR="00053418" w:rsidRPr="009E06AA" w:rsidRDefault="00053418" w:rsidP="00FA728E">
            <w:pPr>
              <w:pStyle w:val="TableText"/>
              <w:jc w:val="right"/>
            </w:pPr>
            <w:r w:rsidRPr="009E06AA">
              <w:rPr>
                <w:rFonts w:eastAsia="Calibri" w:cs="Calibri"/>
                <w:color w:val="000000"/>
                <w:szCs w:val="16"/>
              </w:rPr>
              <w:t>-2.7</w:t>
            </w:r>
          </w:p>
        </w:tc>
        <w:tc>
          <w:tcPr>
            <w:tcW w:w="823" w:type="dxa"/>
            <w:shd w:val="clear" w:color="auto" w:fill="FFFFFF"/>
            <w:tcMar>
              <w:top w:w="0" w:type="dxa"/>
              <w:left w:w="85" w:type="dxa"/>
              <w:bottom w:w="0" w:type="dxa"/>
              <w:right w:w="85" w:type="dxa"/>
            </w:tcMar>
            <w:vAlign w:val="center"/>
          </w:tcPr>
          <w:p w14:paraId="0C401FAC" w14:textId="77777777" w:rsidR="00053418" w:rsidRPr="009E06AA" w:rsidRDefault="00053418" w:rsidP="00FA728E">
            <w:pPr>
              <w:pStyle w:val="TableText"/>
              <w:jc w:val="right"/>
            </w:pPr>
            <w:r w:rsidRPr="009E06AA">
              <w:rPr>
                <w:rFonts w:eastAsia="Calibri" w:cs="Calibri"/>
                <w:color w:val="000000"/>
                <w:szCs w:val="16"/>
              </w:rPr>
              <w:t>13.8</w:t>
            </w:r>
          </w:p>
        </w:tc>
        <w:tc>
          <w:tcPr>
            <w:tcW w:w="992" w:type="dxa"/>
            <w:shd w:val="clear" w:color="auto" w:fill="FFFFFF"/>
            <w:tcMar>
              <w:top w:w="0" w:type="dxa"/>
              <w:left w:w="85" w:type="dxa"/>
              <w:bottom w:w="0" w:type="dxa"/>
              <w:right w:w="85" w:type="dxa"/>
            </w:tcMar>
            <w:vAlign w:val="center"/>
          </w:tcPr>
          <w:p w14:paraId="130BC32F" w14:textId="77777777" w:rsidR="00053418" w:rsidRPr="009E06AA" w:rsidRDefault="00053418" w:rsidP="00FA728E">
            <w:pPr>
              <w:pStyle w:val="TableText"/>
              <w:jc w:val="right"/>
            </w:pPr>
            <w:r w:rsidRPr="009E06AA">
              <w:rPr>
                <w:rFonts w:eastAsia="Calibri" w:cs="Calibri"/>
                <w:color w:val="000000"/>
                <w:szCs w:val="16"/>
              </w:rPr>
              <w:t>-9.2</w:t>
            </w:r>
          </w:p>
        </w:tc>
        <w:tc>
          <w:tcPr>
            <w:tcW w:w="1701" w:type="dxa"/>
            <w:shd w:val="clear" w:color="auto" w:fill="FFFFFF"/>
            <w:tcMar>
              <w:top w:w="0" w:type="dxa"/>
              <w:left w:w="85" w:type="dxa"/>
              <w:bottom w:w="0" w:type="dxa"/>
              <w:right w:w="85" w:type="dxa"/>
            </w:tcMar>
            <w:vAlign w:val="center"/>
          </w:tcPr>
          <w:p w14:paraId="454B904E" w14:textId="77777777" w:rsidR="00053418" w:rsidRPr="009E06AA" w:rsidRDefault="00053418" w:rsidP="00FA728E">
            <w:pPr>
              <w:pStyle w:val="TableText"/>
              <w:jc w:val="right"/>
            </w:pPr>
            <w:r w:rsidRPr="009E06AA">
              <w:rPr>
                <w:rFonts w:eastAsia="Calibri" w:cs="Calibri"/>
                <w:color w:val="000000"/>
                <w:szCs w:val="16"/>
              </w:rPr>
              <w:t>33.6</w:t>
            </w:r>
          </w:p>
        </w:tc>
      </w:tr>
      <w:tr w:rsidR="00053418" w:rsidRPr="009E06AA" w14:paraId="670DA10C" w14:textId="77777777" w:rsidTr="00B55F24">
        <w:tc>
          <w:tcPr>
            <w:tcW w:w="2041" w:type="dxa"/>
            <w:shd w:val="clear" w:color="auto" w:fill="FFFFFF"/>
            <w:tcMar>
              <w:top w:w="0" w:type="dxa"/>
              <w:left w:w="85" w:type="dxa"/>
              <w:bottom w:w="0" w:type="dxa"/>
              <w:right w:w="85" w:type="dxa"/>
            </w:tcMar>
            <w:vAlign w:val="center"/>
          </w:tcPr>
          <w:p w14:paraId="39881D3C" w14:textId="77777777" w:rsidR="00053418" w:rsidRPr="009E06AA" w:rsidRDefault="00053418" w:rsidP="00B55F24">
            <w:pPr>
              <w:pStyle w:val="TableText"/>
            </w:pPr>
            <w:r w:rsidRPr="009E06AA">
              <w:rPr>
                <w:rFonts w:eastAsia="Calibri" w:cs="Calibri"/>
                <w:color w:val="000000"/>
                <w:szCs w:val="16"/>
              </w:rPr>
              <w:t>Wetlands – open water</w:t>
            </w:r>
          </w:p>
        </w:tc>
        <w:tc>
          <w:tcPr>
            <w:tcW w:w="1247" w:type="dxa"/>
            <w:shd w:val="clear" w:color="auto" w:fill="FFFFFF"/>
            <w:tcMar>
              <w:top w:w="0" w:type="dxa"/>
              <w:left w:w="85" w:type="dxa"/>
              <w:bottom w:w="0" w:type="dxa"/>
              <w:right w:w="85" w:type="dxa"/>
            </w:tcMar>
            <w:vAlign w:val="center"/>
          </w:tcPr>
          <w:p w14:paraId="35D6613C" w14:textId="77777777" w:rsidR="00053418" w:rsidRPr="009E06AA" w:rsidRDefault="00053418" w:rsidP="00FA728E">
            <w:pPr>
              <w:pStyle w:val="TableText"/>
              <w:jc w:val="right"/>
            </w:pPr>
            <w:r w:rsidRPr="009E06AA">
              <w:rPr>
                <w:rFonts w:eastAsia="Calibri" w:cs="Calibri"/>
                <w:color w:val="000000"/>
                <w:szCs w:val="16"/>
              </w:rPr>
              <w:t>-109.9</w:t>
            </w:r>
          </w:p>
        </w:tc>
        <w:tc>
          <w:tcPr>
            <w:tcW w:w="1701" w:type="dxa"/>
            <w:shd w:val="clear" w:color="auto" w:fill="FFFFFF"/>
            <w:tcMar>
              <w:top w:w="0" w:type="dxa"/>
              <w:left w:w="85" w:type="dxa"/>
              <w:bottom w:w="0" w:type="dxa"/>
              <w:right w:w="85" w:type="dxa"/>
            </w:tcMar>
            <w:vAlign w:val="center"/>
          </w:tcPr>
          <w:p w14:paraId="7C5D1DD9" w14:textId="77777777" w:rsidR="00053418" w:rsidRPr="009E06AA" w:rsidRDefault="00053418" w:rsidP="00FA728E">
            <w:pPr>
              <w:pStyle w:val="TableText"/>
              <w:jc w:val="right"/>
            </w:pPr>
            <w:r w:rsidRPr="009E06AA">
              <w:rPr>
                <w:rFonts w:eastAsia="Calibri" w:cs="Calibri"/>
                <w:color w:val="000000"/>
                <w:szCs w:val="16"/>
              </w:rPr>
              <w:t>-7.2</w:t>
            </w:r>
          </w:p>
        </w:tc>
        <w:tc>
          <w:tcPr>
            <w:tcW w:w="823" w:type="dxa"/>
            <w:shd w:val="clear" w:color="auto" w:fill="FFFFFF"/>
            <w:tcMar>
              <w:top w:w="0" w:type="dxa"/>
              <w:left w:w="85" w:type="dxa"/>
              <w:bottom w:w="0" w:type="dxa"/>
              <w:right w:w="85" w:type="dxa"/>
            </w:tcMar>
            <w:vAlign w:val="center"/>
          </w:tcPr>
          <w:p w14:paraId="1B4F12FB" w14:textId="77777777" w:rsidR="00053418" w:rsidRPr="009E06AA" w:rsidRDefault="00053418" w:rsidP="00FA728E">
            <w:pPr>
              <w:pStyle w:val="TableText"/>
              <w:jc w:val="right"/>
            </w:pPr>
            <w:r w:rsidRPr="009E06AA">
              <w:rPr>
                <w:rFonts w:eastAsia="Calibri" w:cs="Calibri"/>
                <w:color w:val="000000"/>
                <w:szCs w:val="16"/>
              </w:rPr>
              <w:t>112.6</w:t>
            </w:r>
          </w:p>
        </w:tc>
        <w:tc>
          <w:tcPr>
            <w:tcW w:w="992" w:type="dxa"/>
            <w:shd w:val="clear" w:color="auto" w:fill="FFFFFF"/>
            <w:tcMar>
              <w:top w:w="0" w:type="dxa"/>
              <w:left w:w="85" w:type="dxa"/>
              <w:bottom w:w="0" w:type="dxa"/>
              <w:right w:w="85" w:type="dxa"/>
            </w:tcMar>
            <w:vAlign w:val="center"/>
          </w:tcPr>
          <w:p w14:paraId="4397F87B" w14:textId="77777777" w:rsidR="00053418" w:rsidRPr="009E06AA" w:rsidRDefault="00053418" w:rsidP="00FA728E">
            <w:pPr>
              <w:pStyle w:val="TableText"/>
              <w:jc w:val="right"/>
            </w:pPr>
            <w:r w:rsidRPr="009E06AA">
              <w:rPr>
                <w:rFonts w:eastAsia="Calibri" w:cs="Calibri"/>
                <w:color w:val="000000"/>
                <w:szCs w:val="16"/>
              </w:rPr>
              <w:t>-4.5</w:t>
            </w:r>
          </w:p>
        </w:tc>
        <w:tc>
          <w:tcPr>
            <w:tcW w:w="1701" w:type="dxa"/>
            <w:shd w:val="clear" w:color="auto" w:fill="FFFFFF"/>
            <w:tcMar>
              <w:top w:w="0" w:type="dxa"/>
              <w:left w:w="85" w:type="dxa"/>
              <w:bottom w:w="0" w:type="dxa"/>
              <w:right w:w="85" w:type="dxa"/>
            </w:tcMar>
            <w:vAlign w:val="center"/>
          </w:tcPr>
          <w:p w14:paraId="38246398" w14:textId="77777777" w:rsidR="00053418" w:rsidRPr="009E06AA" w:rsidRDefault="00053418" w:rsidP="00FA728E">
            <w:pPr>
              <w:pStyle w:val="TableText"/>
              <w:jc w:val="right"/>
            </w:pPr>
            <w:r w:rsidRPr="009E06AA">
              <w:rPr>
                <w:rFonts w:eastAsia="Calibri" w:cs="Calibri"/>
                <w:color w:val="000000"/>
                <w:szCs w:val="16"/>
              </w:rPr>
              <w:t>16.7</w:t>
            </w:r>
          </w:p>
        </w:tc>
      </w:tr>
      <w:tr w:rsidR="00053418" w:rsidRPr="009E06AA" w14:paraId="1DD35669" w14:textId="77777777" w:rsidTr="00B55F24">
        <w:tc>
          <w:tcPr>
            <w:tcW w:w="2041" w:type="dxa"/>
            <w:shd w:val="clear" w:color="auto" w:fill="FFFFFF"/>
            <w:tcMar>
              <w:top w:w="0" w:type="dxa"/>
              <w:left w:w="85" w:type="dxa"/>
              <w:bottom w:w="0" w:type="dxa"/>
              <w:right w:w="85" w:type="dxa"/>
            </w:tcMar>
            <w:vAlign w:val="center"/>
          </w:tcPr>
          <w:p w14:paraId="10E8399B" w14:textId="77777777" w:rsidR="00053418" w:rsidRPr="009E06AA" w:rsidRDefault="00053418" w:rsidP="00B55F24">
            <w:pPr>
              <w:pStyle w:val="TableText"/>
            </w:pPr>
            <w:r w:rsidRPr="009E06AA">
              <w:rPr>
                <w:rFonts w:eastAsia="Calibri" w:cs="Calibri"/>
                <w:b/>
                <w:color w:val="1B556B"/>
                <w:szCs w:val="16"/>
              </w:rPr>
              <w:t>Total</w:t>
            </w:r>
          </w:p>
        </w:tc>
        <w:tc>
          <w:tcPr>
            <w:tcW w:w="1247" w:type="dxa"/>
            <w:shd w:val="clear" w:color="auto" w:fill="FFFFFF"/>
            <w:tcMar>
              <w:top w:w="0" w:type="dxa"/>
              <w:left w:w="85" w:type="dxa"/>
              <w:bottom w:w="0" w:type="dxa"/>
              <w:right w:w="85" w:type="dxa"/>
            </w:tcMar>
            <w:vAlign w:val="center"/>
          </w:tcPr>
          <w:p w14:paraId="37F6A688" w14:textId="77777777" w:rsidR="00053418" w:rsidRPr="009E06AA" w:rsidRDefault="00053418" w:rsidP="00FA728E">
            <w:pPr>
              <w:pStyle w:val="TableText"/>
              <w:jc w:val="right"/>
            </w:pPr>
            <w:r w:rsidRPr="009E06AA">
              <w:rPr>
                <w:rFonts w:eastAsia="Calibri" w:cs="Calibri"/>
                <w:b/>
                <w:color w:val="1B556B"/>
                <w:szCs w:val="16"/>
              </w:rPr>
              <w:t>-130.2</w:t>
            </w:r>
          </w:p>
        </w:tc>
        <w:tc>
          <w:tcPr>
            <w:tcW w:w="1701" w:type="dxa"/>
            <w:shd w:val="clear" w:color="auto" w:fill="FFFFFF"/>
            <w:tcMar>
              <w:top w:w="0" w:type="dxa"/>
              <w:left w:w="85" w:type="dxa"/>
              <w:bottom w:w="0" w:type="dxa"/>
              <w:right w:w="85" w:type="dxa"/>
            </w:tcMar>
            <w:vAlign w:val="center"/>
          </w:tcPr>
          <w:p w14:paraId="0C5F843B" w14:textId="77777777" w:rsidR="00053418" w:rsidRPr="009E06AA" w:rsidRDefault="00053418" w:rsidP="00FA728E">
            <w:pPr>
              <w:pStyle w:val="TableText"/>
              <w:jc w:val="right"/>
            </w:pPr>
            <w:r w:rsidRPr="009E06AA">
              <w:rPr>
                <w:rFonts w:eastAsia="Calibri" w:cs="Calibri"/>
                <w:b/>
                <w:color w:val="1B556B"/>
                <w:szCs w:val="16"/>
              </w:rPr>
              <w:t>-9.9</w:t>
            </w:r>
          </w:p>
        </w:tc>
        <w:tc>
          <w:tcPr>
            <w:tcW w:w="823" w:type="dxa"/>
            <w:shd w:val="clear" w:color="auto" w:fill="FFFFFF"/>
            <w:tcMar>
              <w:top w:w="0" w:type="dxa"/>
              <w:left w:w="85" w:type="dxa"/>
              <w:bottom w:w="0" w:type="dxa"/>
              <w:right w:w="85" w:type="dxa"/>
            </w:tcMar>
            <w:vAlign w:val="center"/>
          </w:tcPr>
          <w:p w14:paraId="47607039" w14:textId="77777777" w:rsidR="00053418" w:rsidRPr="009E06AA" w:rsidRDefault="00053418" w:rsidP="00FA728E">
            <w:pPr>
              <w:pStyle w:val="TableText"/>
              <w:jc w:val="right"/>
            </w:pPr>
            <w:r w:rsidRPr="009E06AA">
              <w:rPr>
                <w:rFonts w:eastAsia="Calibri" w:cs="Calibri"/>
                <w:b/>
                <w:color w:val="1B556B"/>
                <w:szCs w:val="16"/>
              </w:rPr>
              <w:t>126.5</w:t>
            </w:r>
          </w:p>
        </w:tc>
        <w:tc>
          <w:tcPr>
            <w:tcW w:w="992" w:type="dxa"/>
            <w:shd w:val="clear" w:color="auto" w:fill="FFFFFF"/>
            <w:tcMar>
              <w:top w:w="0" w:type="dxa"/>
              <w:left w:w="85" w:type="dxa"/>
              <w:bottom w:w="0" w:type="dxa"/>
              <w:right w:w="85" w:type="dxa"/>
            </w:tcMar>
            <w:vAlign w:val="center"/>
          </w:tcPr>
          <w:p w14:paraId="59BE1BAA" w14:textId="77777777" w:rsidR="00053418" w:rsidRPr="009E06AA" w:rsidRDefault="00053418" w:rsidP="00FA728E">
            <w:pPr>
              <w:pStyle w:val="TableText"/>
              <w:jc w:val="right"/>
            </w:pPr>
            <w:r w:rsidRPr="009E06AA">
              <w:rPr>
                <w:rFonts w:eastAsia="Calibri" w:cs="Calibri"/>
                <w:b/>
                <w:color w:val="1B556B"/>
                <w:szCs w:val="16"/>
              </w:rPr>
              <w:t>-13.7</w:t>
            </w:r>
          </w:p>
        </w:tc>
        <w:tc>
          <w:tcPr>
            <w:tcW w:w="1701" w:type="dxa"/>
            <w:shd w:val="clear" w:color="auto" w:fill="FFFFFF"/>
            <w:tcMar>
              <w:top w:w="0" w:type="dxa"/>
              <w:left w:w="85" w:type="dxa"/>
              <w:bottom w:w="0" w:type="dxa"/>
              <w:right w:w="85" w:type="dxa"/>
            </w:tcMar>
            <w:vAlign w:val="center"/>
          </w:tcPr>
          <w:p w14:paraId="6D38243E" w14:textId="77777777" w:rsidR="00053418" w:rsidRPr="009E06AA" w:rsidRDefault="00053418" w:rsidP="00FA728E">
            <w:pPr>
              <w:pStyle w:val="TableText"/>
              <w:jc w:val="right"/>
            </w:pPr>
            <w:r w:rsidRPr="009E06AA">
              <w:rPr>
                <w:rFonts w:eastAsia="Calibri" w:cs="Calibri"/>
                <w:b/>
                <w:color w:val="1B556B"/>
                <w:szCs w:val="16"/>
              </w:rPr>
              <w:t>50.2</w:t>
            </w:r>
          </w:p>
        </w:tc>
      </w:tr>
    </w:tbl>
    <w:p w14:paraId="4FA6C599" w14:textId="77777777" w:rsidR="00053418" w:rsidRPr="009E06AA" w:rsidRDefault="00053418" w:rsidP="00053418">
      <w:pPr>
        <w:pStyle w:val="Noteundertable"/>
      </w:pPr>
      <w:r w:rsidRPr="009E06AA">
        <w:rPr>
          <w:b/>
        </w:rPr>
        <w:t xml:space="preserve">Note: </w:t>
      </w:r>
      <w:r w:rsidRPr="009E06AA">
        <w:rPr>
          <w:b/>
        </w:rPr>
        <w:tab/>
      </w:r>
      <w:r w:rsidRPr="009E06AA">
        <w:t xml:space="preserve">Columns may not total due to rounding. </w:t>
      </w:r>
    </w:p>
    <w:p w14:paraId="4BF7550D" w14:textId="77777777" w:rsidR="00053418" w:rsidRPr="009E06AA" w:rsidRDefault="00053418" w:rsidP="00365205">
      <w:pPr>
        <w:pStyle w:val="Heading3"/>
      </w:pPr>
      <w:r w:rsidRPr="009E06AA">
        <w:t>6.7.2</w:t>
      </w:r>
      <w:r w:rsidRPr="009E06AA">
        <w:tab/>
        <w:t>Methodological issues</w:t>
      </w:r>
    </w:p>
    <w:p w14:paraId="6A869EB9" w14:textId="77777777" w:rsidR="00053418" w:rsidRPr="009E06AA" w:rsidRDefault="00053418" w:rsidP="00053418">
      <w:pPr>
        <w:pStyle w:val="Heading4"/>
      </w:pPr>
      <w:r w:rsidRPr="009E06AA">
        <w:t>Wetlands remaining wetlands (4.D.1)</w:t>
      </w:r>
    </w:p>
    <w:p w14:paraId="49841897" w14:textId="77777777" w:rsidR="00053418" w:rsidRPr="009E06AA" w:rsidRDefault="00053418" w:rsidP="00BF2A76">
      <w:pPr>
        <w:pStyle w:val="Heading5"/>
      </w:pPr>
      <w:r w:rsidRPr="009E06AA">
        <w:t xml:space="preserve">Living biomass and dead organic matter </w:t>
      </w:r>
    </w:p>
    <w:p w14:paraId="6BB03C95" w14:textId="732AA9F8" w:rsidR="00053418" w:rsidRPr="009E06AA" w:rsidRDefault="00053418" w:rsidP="00053418">
      <w:pPr>
        <w:pStyle w:val="BodyText"/>
        <w:spacing w:before="100"/>
      </w:pPr>
      <w:r w:rsidRPr="009E06AA">
        <w:t>New Zealand applies Tier 1 methods for estimating CO</w:t>
      </w:r>
      <w:r w:rsidRPr="009E06AA">
        <w:rPr>
          <w:vertAlign w:val="subscript"/>
        </w:rPr>
        <w:t>2</w:t>
      </w:r>
      <w:r w:rsidRPr="009E06AA">
        <w:t xml:space="preserve"> emissions in </w:t>
      </w:r>
      <w:r w:rsidRPr="009E06AA">
        <w:rPr>
          <w:i/>
        </w:rPr>
        <w:t>Wetlands remaining wetlands</w:t>
      </w:r>
      <w:r w:rsidRPr="009E06AA">
        <w:t xml:space="preserve"> (following the guidance provided in section 7.1 of the 2006 IPCC Guidelines</w:t>
      </w:r>
      <w:r w:rsidRPr="009E06AA" w:rsidDel="0015189E">
        <w:t xml:space="preserve"> </w:t>
      </w:r>
      <w:r w:rsidRPr="009E06AA">
        <w:t>(IPCC,</w:t>
      </w:r>
      <w:r w:rsidR="002947DE" w:rsidRPr="009E06AA">
        <w:t> </w:t>
      </w:r>
      <w:r w:rsidRPr="009E06AA">
        <w:t>2006a)).</w:t>
      </w:r>
      <w:r w:rsidRPr="009E06AA">
        <w:rPr>
          <w:rStyle w:val="FootnoteReference"/>
          <w:spacing w:val="-2"/>
        </w:rPr>
        <w:footnoteReference w:id="55"/>
      </w:r>
      <w:r w:rsidRPr="009E06AA">
        <w:t xml:space="preserve"> Chapter 7 of the 2006 IPCC Guidelines (IPCC, 2006a) provides guidance for</w:t>
      </w:r>
      <w:r w:rsidR="002947DE" w:rsidRPr="009E06AA">
        <w:t> </w:t>
      </w:r>
      <w:r w:rsidRPr="009E06AA">
        <w:t xml:space="preserve">estimating emissions from flooded land and extraction from peat land. Recultivation of peat land is included under the Agriculture sector. </w:t>
      </w:r>
    </w:p>
    <w:p w14:paraId="63111743" w14:textId="77777777" w:rsidR="00053418" w:rsidRPr="009E06AA" w:rsidRDefault="00053418" w:rsidP="00053418">
      <w:pPr>
        <w:pStyle w:val="BodyText"/>
        <w:spacing w:before="100"/>
      </w:pPr>
      <w:r w:rsidRPr="009E06AA">
        <w:t xml:space="preserve">Due to the current lack of data on biomass carbon stock changes in </w:t>
      </w:r>
      <w:r w:rsidRPr="009E06AA">
        <w:rPr>
          <w:i/>
        </w:rPr>
        <w:t>Wetlands remaining wetlands</w:t>
      </w:r>
      <w:r w:rsidRPr="009E06AA">
        <w:t xml:space="preserve">, New Zealand has not prepared estimates for change in living biomass or dead organic matter for this category. New Zealand reports the notation key NE in the CRT for this category. However, carbon stock changes associated with changes between the two wetland categories are reported under </w:t>
      </w:r>
      <w:r w:rsidRPr="009E06AA">
        <w:rPr>
          <w:i/>
          <w:iCs/>
        </w:rPr>
        <w:t>Wetlands remaining wetlands</w:t>
      </w:r>
      <w:r w:rsidRPr="009E06AA">
        <w:t>.</w:t>
      </w:r>
    </w:p>
    <w:p w14:paraId="21B65E5A" w14:textId="77777777" w:rsidR="00053418" w:rsidRPr="009E06AA" w:rsidRDefault="00053418" w:rsidP="00BF2A76">
      <w:pPr>
        <w:pStyle w:val="Heading5"/>
      </w:pPr>
      <w:r w:rsidRPr="009E06AA">
        <w:t xml:space="preserve">Soil organic carbon </w:t>
      </w:r>
    </w:p>
    <w:p w14:paraId="6C4E6395" w14:textId="77777777" w:rsidR="00053418" w:rsidRPr="009E06AA" w:rsidRDefault="00053418" w:rsidP="00053418">
      <w:pPr>
        <w:pStyle w:val="BodyText"/>
        <w:spacing w:before="100"/>
      </w:pPr>
      <w:r w:rsidRPr="009E06AA">
        <w:rPr>
          <w:spacing w:val="-2"/>
        </w:rPr>
        <w:t xml:space="preserve">Soil organic carbon stocks in </w:t>
      </w:r>
      <w:r w:rsidRPr="009E06AA">
        <w:rPr>
          <w:i/>
          <w:spacing w:val="-2"/>
        </w:rPr>
        <w:t>Wetlands remaining wetlands</w:t>
      </w:r>
      <w:r w:rsidRPr="009E06AA">
        <w:rPr>
          <w:spacing w:val="-2"/>
        </w:rPr>
        <w:t xml:space="preserve"> are estimated using a Tier 2 method for mineral soils and Tier 1 methods for organic soils (see annex A5.2.4). For open water,</w:t>
      </w:r>
      <w:r w:rsidRPr="009E06AA">
        <w:t xml:space="preserve"> the SOC stock at equilibrium is assumed to be the same value as that of low producing grassland</w:t>
      </w:r>
      <w:r w:rsidRPr="009E06AA" w:rsidDel="008B41C2">
        <w:t>.</w:t>
      </w:r>
      <w:r w:rsidRPr="009E06AA">
        <w:t xml:space="preserve"> </w:t>
      </w:r>
    </w:p>
    <w:p w14:paraId="164F3082" w14:textId="77777777" w:rsidR="00053418" w:rsidRPr="009E06AA" w:rsidRDefault="00053418" w:rsidP="00053418">
      <w:pPr>
        <w:pStyle w:val="BodyText"/>
        <w:spacing w:before="100"/>
      </w:pPr>
      <w:r w:rsidRPr="009E06AA">
        <w:t>For mineral soils, as with living biomass and dead organic matter, there are no emissions for wetlands in steady state, so the notation key NE is used, in accordance with Decision 24/CP.19 (UNFCCC, 2014).</w:t>
      </w:r>
    </w:p>
    <w:p w14:paraId="7704BBEC" w14:textId="77777777" w:rsidR="00053418" w:rsidRPr="009E06AA" w:rsidRDefault="00053418" w:rsidP="00053418">
      <w:pPr>
        <w:pStyle w:val="BodyText"/>
        <w:spacing w:before="100"/>
      </w:pPr>
      <w:r w:rsidRPr="009E06AA">
        <w:t>For organic soils, IPCC good practice guidance is limited to the estimation of carbon emissions associated with peat extraction. In New Zealand, oligotrophic Sphagnum peat is mined for horticultural use (Clarkson, unpublished). Carbon dioxide emissions from the extraction of horticultural peat are estimated from two sources: on-site emissions from peat production and off-site emissions from its subsequent use. Tier 1 default emission factors are applied. Non-CO</w:t>
      </w:r>
      <w:r w:rsidRPr="009E06AA">
        <w:rPr>
          <w:vertAlign w:val="subscript"/>
        </w:rPr>
        <w:t>2</w:t>
      </w:r>
      <w:r w:rsidRPr="009E06AA">
        <w:t xml:space="preserve"> emissions are not estimated because there is no method for estimating N</w:t>
      </w:r>
      <w:r w:rsidRPr="009E06AA">
        <w:rPr>
          <w:vertAlign w:val="subscript"/>
        </w:rPr>
        <w:t>2</w:t>
      </w:r>
      <w:r w:rsidRPr="009E06AA">
        <w:t>O emissions from the extraction of nutrient-poor peat and no CH</w:t>
      </w:r>
      <w:r w:rsidRPr="009E06AA">
        <w:rPr>
          <w:vertAlign w:val="subscript"/>
        </w:rPr>
        <w:t>4</w:t>
      </w:r>
      <w:r w:rsidRPr="009E06AA">
        <w:t xml:space="preserve"> emissions occur from this activity. As such, the ERT recommendation L.7, 2017 (FCCC/ARR/2017/NZL, UNFCCC, 2018) cannot be addressed. During the review of the 2021 submission, the ERT considered that this issue had been resolved given there is no method for estimating these emissions in the 2006 IPCC Guidelines (IPCC, 2006a). New Zealand is following the methodology for reporting N</w:t>
      </w:r>
      <w:r w:rsidRPr="009E06AA">
        <w:rPr>
          <w:vertAlign w:val="subscript"/>
        </w:rPr>
        <w:t>2</w:t>
      </w:r>
      <w:r w:rsidRPr="009E06AA">
        <w:t>O emissions from</w:t>
      </w:r>
      <w:r w:rsidRPr="009E06AA">
        <w:rPr>
          <w:i/>
        </w:rPr>
        <w:t xml:space="preserve"> Wetlands remaining </w:t>
      </w:r>
      <w:r w:rsidRPr="009E06AA">
        <w:t>w</w:t>
      </w:r>
      <w:r w:rsidRPr="009E06AA">
        <w:rPr>
          <w:i/>
          <w:spacing w:val="-2"/>
        </w:rPr>
        <w:t>etlands</w:t>
      </w:r>
      <w:r w:rsidRPr="009E06AA">
        <w:rPr>
          <w:iCs/>
          <w:spacing w:val="-2"/>
        </w:rPr>
        <w:t>,</w:t>
      </w:r>
      <w:r w:rsidRPr="009E06AA">
        <w:rPr>
          <w:spacing w:val="-2"/>
        </w:rPr>
        <w:t xml:space="preserve"> in line with volume 4, section 7.2.1.2 of the 2006 IPCC Guidelines (IPCC, 2006a). </w:t>
      </w:r>
    </w:p>
    <w:p w14:paraId="0BAA3EA1" w14:textId="77777777" w:rsidR="00053418" w:rsidRPr="009E06AA" w:rsidRDefault="00053418" w:rsidP="00BF2A76">
      <w:pPr>
        <w:pStyle w:val="Heading5"/>
      </w:pPr>
      <w:r w:rsidRPr="009E06AA">
        <w:t>Activity data</w:t>
      </w:r>
    </w:p>
    <w:p w14:paraId="1D315D90" w14:textId="77777777" w:rsidR="00053418" w:rsidRPr="009E06AA" w:rsidRDefault="00053418" w:rsidP="00053418">
      <w:pPr>
        <w:pStyle w:val="BodyText"/>
      </w:pPr>
      <w:r w:rsidRPr="009E06AA">
        <w:t xml:space="preserve">The </w:t>
      </w:r>
      <w:r w:rsidRPr="009E06AA">
        <w:rPr>
          <w:i/>
          <w:iCs/>
        </w:rPr>
        <w:t>V</w:t>
      </w:r>
      <w:r w:rsidRPr="009E06AA">
        <w:rPr>
          <w:i/>
        </w:rPr>
        <w:t>egetated wetland</w:t>
      </w:r>
      <w:r w:rsidRPr="009E06AA">
        <w:t xml:space="preserve"> category includes areas of forest that are part of the wetland ecosystem. Where the forest area has been judged to be part of the wetland ecosystem, it has been classed as vegetated wetland.</w:t>
      </w:r>
    </w:p>
    <w:p w14:paraId="09DF2433" w14:textId="77777777" w:rsidR="00053418" w:rsidRPr="009E06AA" w:rsidRDefault="00053418" w:rsidP="00053418">
      <w:pPr>
        <w:pStyle w:val="Heading4"/>
      </w:pPr>
      <w:r w:rsidRPr="009E06AA">
        <w:t>Land converted to wetlands (4.D.2)</w:t>
      </w:r>
    </w:p>
    <w:p w14:paraId="507C658F" w14:textId="77777777" w:rsidR="00053418" w:rsidRPr="009E06AA" w:rsidRDefault="00053418" w:rsidP="00053418">
      <w:pPr>
        <w:pStyle w:val="BodyText"/>
      </w:pPr>
      <w:r w:rsidRPr="009E06AA">
        <w:t>Between 1990 and 2022, 10,676 hectares of land were converted to</w:t>
      </w:r>
      <w:r w:rsidRPr="009E06AA">
        <w:rPr>
          <w:i/>
        </w:rPr>
        <w:t xml:space="preserve"> Wetlands</w:t>
      </w:r>
      <w:r w:rsidRPr="009E06AA">
        <w:t xml:space="preserve">, while 10,608 hectares of </w:t>
      </w:r>
      <w:r w:rsidRPr="009E06AA">
        <w:rPr>
          <w:i/>
        </w:rPr>
        <w:t>Wetlands</w:t>
      </w:r>
      <w:r w:rsidRPr="009E06AA">
        <w:t xml:space="preserve"> were converted to other land uses (mainly </w:t>
      </w:r>
      <w:r w:rsidRPr="009E06AA">
        <w:rPr>
          <w:i/>
        </w:rPr>
        <w:t>Grassland</w:t>
      </w:r>
      <w:r w:rsidRPr="009E06AA">
        <w:rPr>
          <w:iCs/>
        </w:rPr>
        <w:t>,</w:t>
      </w:r>
      <w:r w:rsidRPr="009E06AA">
        <w:t xml:space="preserve"> at 8,800 hectares). This resulted in a net decrease in total area reported under </w:t>
      </w:r>
      <w:r w:rsidRPr="009E06AA">
        <w:rPr>
          <w:i/>
        </w:rPr>
        <w:t>Wetlands</w:t>
      </w:r>
      <w:r w:rsidRPr="009E06AA">
        <w:t xml:space="preserve"> of 68 hectares. The wetland losses were mainly related to the conversion of vegetated </w:t>
      </w:r>
      <w:r w:rsidRPr="009E06AA">
        <w:rPr>
          <w:spacing w:val="-2"/>
        </w:rPr>
        <w:t>wetland to grassland (</w:t>
      </w:r>
      <w:r w:rsidRPr="009E06AA">
        <w:t>8,264</w:t>
      </w:r>
      <w:r w:rsidRPr="009E06AA">
        <w:rPr>
          <w:spacing w:val="-2"/>
        </w:rPr>
        <w:t xml:space="preserve"> hectares). Increases in area of wetland open water (</w:t>
      </w:r>
      <w:r w:rsidRPr="009E06AA">
        <w:t>10,681</w:t>
      </w:r>
      <w:r w:rsidRPr="009E06AA">
        <w:rPr>
          <w:spacing w:val="-2"/>
        </w:rPr>
        <w:t xml:space="preserve"> hectares)</w:t>
      </w:r>
      <w:r w:rsidRPr="009E06AA">
        <w:t xml:space="preserve"> are mainly due to the development of irrigation ponds in the Canterbury and Otago regions. However, on visual inspection of the 2016 land use map, it was determined that approximately 760 hectares of new open water have resulted from new lakes forming within the Southern Alps, often at the foot of glaciers. </w:t>
      </w:r>
    </w:p>
    <w:p w14:paraId="4F50FF28" w14:textId="77777777" w:rsidR="00053418" w:rsidRPr="009E06AA" w:rsidRDefault="00053418" w:rsidP="00053418">
      <w:pPr>
        <w:pStyle w:val="BodyText"/>
        <w:spacing w:before="100" w:after="100"/>
      </w:pPr>
      <w:r w:rsidRPr="009E06AA">
        <w:rPr>
          <w:iCs/>
        </w:rPr>
        <w:t xml:space="preserve">Emissions from </w:t>
      </w:r>
      <w:r w:rsidRPr="009E06AA">
        <w:rPr>
          <w:i/>
        </w:rPr>
        <w:t>Land converted to peat extraction</w:t>
      </w:r>
      <w:r w:rsidRPr="009E06AA">
        <w:t xml:space="preserve"> are reported in the CRTs as NE because the areas under peat extraction have remained static since 1990. For </w:t>
      </w:r>
      <w:r w:rsidRPr="009E06AA">
        <w:rPr>
          <w:i/>
        </w:rPr>
        <w:t>Land converted to flooded land</w:t>
      </w:r>
      <w:r w:rsidRPr="009E06AA">
        <w:t xml:space="preserve">, the area is included in the area mapped as </w:t>
      </w:r>
      <w:r w:rsidRPr="009E06AA">
        <w:rPr>
          <w:i/>
        </w:rPr>
        <w:t>Land converted to open water</w:t>
      </w:r>
      <w:r w:rsidRPr="009E06AA">
        <w:t xml:space="preserve"> (this category includes naturally occurring open water (natural lakes) as well as intentionally flooded land). </w:t>
      </w:r>
      <w:r w:rsidRPr="009E06AA">
        <w:rPr>
          <w:spacing w:val="-2"/>
        </w:rPr>
        <w:t xml:space="preserve">This means emissions for </w:t>
      </w:r>
      <w:r w:rsidRPr="009E06AA">
        <w:rPr>
          <w:i/>
          <w:spacing w:val="-2"/>
        </w:rPr>
        <w:t>Land converted to flooded land</w:t>
      </w:r>
      <w:r w:rsidRPr="009E06AA">
        <w:rPr>
          <w:spacing w:val="-2"/>
        </w:rPr>
        <w:t xml:space="preserve"> are reported as IE (included elsewhere</w:t>
      </w:r>
      <w:r w:rsidRPr="009E06AA">
        <w:t xml:space="preserve">), and these emissions are captured under </w:t>
      </w:r>
      <w:r w:rsidRPr="009E06AA">
        <w:rPr>
          <w:i/>
        </w:rPr>
        <w:t>Land converted to open water</w:t>
      </w:r>
      <w:r w:rsidRPr="009E06AA">
        <w:t xml:space="preserve"> instead.</w:t>
      </w:r>
    </w:p>
    <w:p w14:paraId="7159840F" w14:textId="77777777" w:rsidR="00053418" w:rsidRPr="009E06AA" w:rsidRDefault="00053418" w:rsidP="00BF2A76">
      <w:pPr>
        <w:pStyle w:val="Heading5"/>
      </w:pPr>
      <w:r w:rsidRPr="009E06AA">
        <w:t xml:space="preserve">Living biomass and dead organic matter </w:t>
      </w:r>
    </w:p>
    <w:p w14:paraId="122C2E2F" w14:textId="77777777" w:rsidR="00053418" w:rsidRPr="009E06AA" w:rsidRDefault="00053418" w:rsidP="00053418">
      <w:pPr>
        <w:pStyle w:val="BodyText"/>
        <w:spacing w:before="100"/>
        <w:rPr>
          <w:spacing w:val="-2"/>
        </w:rPr>
      </w:pPr>
      <w:r w:rsidRPr="009E06AA">
        <w:rPr>
          <w:spacing w:val="-2"/>
        </w:rPr>
        <w:t xml:space="preserve">New Zealand uses a combination of Tier 1 and Tier 2 methods to calculate emissions from </w:t>
      </w:r>
      <w:r w:rsidRPr="009E06AA">
        <w:rPr>
          <w:i/>
          <w:spacing w:val="-2"/>
        </w:rPr>
        <w:t>Land converted to wetlands</w:t>
      </w:r>
      <w:r w:rsidRPr="009E06AA">
        <w:rPr>
          <w:spacing w:val="-2"/>
        </w:rPr>
        <w:t xml:space="preserve"> (equation 7.10, IPCC, 2006a). The Tier 1 method assumes the carbon in living biomass and dead organic matter present before conversion is lost in the same year as the conversion takes place. </w:t>
      </w:r>
      <w:r w:rsidRPr="009E06AA">
        <w:t xml:space="preserve">All emissions from land-use change to </w:t>
      </w:r>
      <w:r w:rsidRPr="009E06AA">
        <w:rPr>
          <w:i/>
        </w:rPr>
        <w:t>Wetlands</w:t>
      </w:r>
      <w:r w:rsidRPr="009E06AA">
        <w:t xml:space="preserve"> from the removal of the previous vegetation are instantly emitted.</w:t>
      </w:r>
    </w:p>
    <w:p w14:paraId="43F488EE" w14:textId="7E862A4C" w:rsidR="00053418" w:rsidRPr="009E06AA" w:rsidRDefault="00053418" w:rsidP="00053418">
      <w:pPr>
        <w:pStyle w:val="BodyText"/>
      </w:pPr>
      <w:r w:rsidRPr="009E06AA">
        <w:t xml:space="preserve">For open water wetlands, the carbon stocks in living biomass and dead organic matter following conversions are equal to zero. For </w:t>
      </w:r>
      <w:r w:rsidRPr="009E06AA">
        <w:rPr>
          <w:i/>
        </w:rPr>
        <w:t>Vegetated wetlands</w:t>
      </w:r>
      <w:r w:rsidRPr="009E06AA">
        <w:t>, a Tier 2 method is used that includes changes in carbon stocks from the year of conversion into this category, as outlined in equation 2.9 of the 2006 IPCC Guidelines (IPCC, 2006a).</w:t>
      </w:r>
      <w:r w:rsidRPr="009E06AA" w:rsidDel="001D2727">
        <w:t xml:space="preserve"> </w:t>
      </w:r>
      <w:r w:rsidRPr="009E06AA">
        <w:t xml:space="preserve">When land is converted to </w:t>
      </w:r>
      <w:r w:rsidRPr="009E06AA">
        <w:rPr>
          <w:i/>
        </w:rPr>
        <w:t>Vegetated wetlands</w:t>
      </w:r>
      <w:r w:rsidRPr="009E06AA">
        <w:t>, living biomass accumulates 1.4 tonnes C ha</w:t>
      </w:r>
      <w:r w:rsidRPr="009E06AA">
        <w:rPr>
          <w:vertAlign w:val="superscript"/>
        </w:rPr>
        <w:t>–1</w:t>
      </w:r>
      <w:r w:rsidRPr="009E06AA">
        <w:t xml:space="preserve"> yr</w:t>
      </w:r>
      <w:r w:rsidRPr="009E06AA">
        <w:rPr>
          <w:vertAlign w:val="superscript"/>
        </w:rPr>
        <w:t>–1</w:t>
      </w:r>
      <w:r w:rsidRPr="009E06AA">
        <w:t xml:space="preserve"> (see table 6.7.3) over 20</w:t>
      </w:r>
      <w:r w:rsidR="007E156B" w:rsidRPr="009E06AA">
        <w:t> </w:t>
      </w:r>
      <w:r w:rsidRPr="009E06AA">
        <w:t xml:space="preserve">years (the IPCC default period for land to reach steady state (IPCC, 2006a)). This rate of accumulation is based on a literature review of carbon stocks in New Zealand wetland vegetation (Easdale et al., unpublished). Due to the methods used in the review, the above-ground component of the estimated accumulation rate is based on biomass estimates of living and dead plant material as well as coarse dead wood for the woody vegetation types that are included in the </w:t>
      </w:r>
      <w:r w:rsidRPr="009E06AA">
        <w:rPr>
          <w:i/>
        </w:rPr>
        <w:t>Vegetated wetland</w:t>
      </w:r>
      <w:r w:rsidRPr="009E06AA">
        <w:t xml:space="preserve"> category (Easdale et al., unpublished). </w:t>
      </w:r>
    </w:p>
    <w:p w14:paraId="1735F3B8" w14:textId="77777777" w:rsidR="00053418" w:rsidRPr="009E06AA" w:rsidRDefault="00053418" w:rsidP="00053418">
      <w:pPr>
        <w:pStyle w:val="Table"/>
      </w:pPr>
      <w:bookmarkStart w:id="2488" w:name="_Toc131591416"/>
      <w:bookmarkStart w:id="2489" w:name="_Toc158979974"/>
      <w:bookmarkStart w:id="2490" w:name="_Toc164153907"/>
      <w:r w:rsidRPr="009E06AA">
        <w:t>Table 6.7.3</w:t>
      </w:r>
      <w:r w:rsidRPr="009E06AA">
        <w:tab/>
        <w:t xml:space="preserve">Summary of New Zealand’s biomass emission factors for </w:t>
      </w:r>
      <w:r w:rsidRPr="009E06AA">
        <w:rPr>
          <w:i/>
        </w:rPr>
        <w:t>Wetlands</w:t>
      </w:r>
      <w:bookmarkEnd w:id="2488"/>
      <w:bookmarkEnd w:id="2489"/>
      <w:bookmarkEnd w:id="2490"/>
    </w:p>
    <w:tbl>
      <w:tblPr>
        <w:tblW w:w="8505" w:type="dxa"/>
        <w:tblLook w:val="04A0" w:firstRow="1" w:lastRow="0" w:firstColumn="1" w:lastColumn="0" w:noHBand="0" w:noVBand="1"/>
      </w:tblPr>
      <w:tblGrid>
        <w:gridCol w:w="1246"/>
        <w:gridCol w:w="1589"/>
        <w:gridCol w:w="1276"/>
        <w:gridCol w:w="1276"/>
        <w:gridCol w:w="1134"/>
        <w:gridCol w:w="1984"/>
      </w:tblGrid>
      <w:tr w:rsidR="00053418" w:rsidRPr="009E06AA" w14:paraId="67D8321B" w14:textId="77777777" w:rsidTr="004B0977">
        <w:trPr>
          <w:trHeight w:val="20"/>
          <w:tblHeader/>
        </w:trPr>
        <w:tc>
          <w:tcPr>
            <w:tcW w:w="1246" w:type="dxa"/>
            <w:tcBorders>
              <w:top w:val="single" w:sz="4" w:space="0" w:color="1B556B"/>
              <w:bottom w:val="single" w:sz="4" w:space="0" w:color="1B556B"/>
            </w:tcBorders>
            <w:shd w:val="clear" w:color="auto" w:fill="1B556B" w:themeFill="text2"/>
            <w:vAlign w:val="bottom"/>
          </w:tcPr>
          <w:p w14:paraId="0BD3AAD8" w14:textId="77777777" w:rsidR="00053418" w:rsidRPr="009E06AA" w:rsidRDefault="00053418" w:rsidP="00B55F24">
            <w:pPr>
              <w:pStyle w:val="TableTextBold"/>
              <w:keepNext/>
              <w:spacing w:before="40"/>
              <w:rPr>
                <w:noProof w:val="0"/>
                <w:color w:val="FFFFFF"/>
                <w:szCs w:val="16"/>
              </w:rPr>
            </w:pPr>
            <w:r w:rsidRPr="009E06AA">
              <w:rPr>
                <w:noProof w:val="0"/>
                <w:color w:val="FFFFFF"/>
                <w:szCs w:val="16"/>
              </w:rPr>
              <w:t>Land use</w:t>
            </w:r>
          </w:p>
        </w:tc>
        <w:tc>
          <w:tcPr>
            <w:tcW w:w="1589" w:type="dxa"/>
            <w:tcBorders>
              <w:top w:val="single" w:sz="4" w:space="0" w:color="1B556B"/>
              <w:bottom w:val="single" w:sz="4" w:space="0" w:color="1B556B"/>
            </w:tcBorders>
            <w:shd w:val="clear" w:color="auto" w:fill="1B556B" w:themeFill="text2"/>
            <w:vAlign w:val="bottom"/>
          </w:tcPr>
          <w:p w14:paraId="524DE181" w14:textId="77777777" w:rsidR="00053418" w:rsidRPr="009E06AA" w:rsidRDefault="00053418" w:rsidP="00B55F24">
            <w:pPr>
              <w:pStyle w:val="TableTextBold"/>
              <w:spacing w:before="40"/>
              <w:rPr>
                <w:noProof w:val="0"/>
                <w:color w:val="FFFFFF"/>
                <w:szCs w:val="16"/>
              </w:rPr>
            </w:pPr>
            <w:r w:rsidRPr="009E06AA">
              <w:rPr>
                <w:noProof w:val="0"/>
                <w:color w:val="FFFFFF"/>
                <w:szCs w:val="16"/>
              </w:rPr>
              <w:t>Carbon pool</w:t>
            </w:r>
          </w:p>
        </w:tc>
        <w:tc>
          <w:tcPr>
            <w:tcW w:w="1276" w:type="dxa"/>
            <w:tcBorders>
              <w:top w:val="single" w:sz="4" w:space="0" w:color="1B556B"/>
              <w:bottom w:val="single" w:sz="4" w:space="0" w:color="1B556B"/>
            </w:tcBorders>
            <w:shd w:val="clear" w:color="auto" w:fill="1B556B" w:themeFill="text2"/>
            <w:vAlign w:val="bottom"/>
          </w:tcPr>
          <w:p w14:paraId="10D1052E" w14:textId="77777777" w:rsidR="00053418" w:rsidRPr="009E06AA" w:rsidRDefault="00053418" w:rsidP="002947DE">
            <w:pPr>
              <w:pStyle w:val="TableTextBold"/>
              <w:spacing w:before="40"/>
              <w:jc w:val="right"/>
              <w:rPr>
                <w:noProof w:val="0"/>
                <w:color w:val="FFFFFF"/>
                <w:szCs w:val="16"/>
              </w:rPr>
            </w:pPr>
            <w:r w:rsidRPr="009E06AA">
              <w:rPr>
                <w:noProof w:val="0"/>
                <w:color w:val="FFFFFF"/>
                <w:szCs w:val="16"/>
              </w:rPr>
              <w:t>Steady state carbon stock</w:t>
            </w:r>
            <w:r w:rsidRPr="009E06AA">
              <w:rPr>
                <w:noProof w:val="0"/>
                <w:color w:val="FFFFFF"/>
                <w:szCs w:val="16"/>
              </w:rPr>
              <w:br/>
              <w:t>(t C ha</w:t>
            </w:r>
            <w:r w:rsidRPr="009E06AA">
              <w:rPr>
                <w:noProof w:val="0"/>
                <w:color w:val="FFFFFF"/>
                <w:szCs w:val="16"/>
                <w:vertAlign w:val="superscript"/>
              </w:rPr>
              <w:t>–1</w:t>
            </w:r>
            <w:r w:rsidRPr="009E06AA">
              <w:rPr>
                <w:noProof w:val="0"/>
                <w:color w:val="FFFFFF"/>
                <w:szCs w:val="16"/>
              </w:rPr>
              <w:t>)</w:t>
            </w:r>
          </w:p>
        </w:tc>
        <w:tc>
          <w:tcPr>
            <w:tcW w:w="1276" w:type="dxa"/>
            <w:tcBorders>
              <w:top w:val="single" w:sz="4" w:space="0" w:color="1B556B"/>
              <w:bottom w:val="single" w:sz="4" w:space="0" w:color="1B556B"/>
            </w:tcBorders>
            <w:shd w:val="clear" w:color="auto" w:fill="1B556B" w:themeFill="text2"/>
            <w:vAlign w:val="bottom"/>
          </w:tcPr>
          <w:p w14:paraId="3DC07E18" w14:textId="77777777" w:rsidR="00053418" w:rsidRPr="009E06AA" w:rsidRDefault="00053418" w:rsidP="002947DE">
            <w:pPr>
              <w:pStyle w:val="TableTextBold"/>
              <w:spacing w:before="40"/>
              <w:jc w:val="right"/>
              <w:rPr>
                <w:noProof w:val="0"/>
                <w:color w:val="FFFFFF"/>
                <w:szCs w:val="16"/>
              </w:rPr>
            </w:pPr>
            <w:r w:rsidRPr="009E06AA">
              <w:rPr>
                <w:noProof w:val="0"/>
                <w:color w:val="FFFFFF"/>
                <w:szCs w:val="16"/>
              </w:rPr>
              <w:t xml:space="preserve">Annual carbon accumulation </w:t>
            </w:r>
            <w:r w:rsidRPr="009E06AA">
              <w:rPr>
                <w:noProof w:val="0"/>
                <w:color w:val="FFFFFF"/>
                <w:szCs w:val="16"/>
              </w:rPr>
              <w:br/>
              <w:t>(t C ha</w:t>
            </w:r>
            <w:r w:rsidRPr="009E06AA">
              <w:rPr>
                <w:noProof w:val="0"/>
                <w:color w:val="FFFFFF"/>
                <w:szCs w:val="16"/>
                <w:vertAlign w:val="superscript"/>
              </w:rPr>
              <w:t>–1</w:t>
            </w:r>
            <w:r w:rsidRPr="009E06AA">
              <w:rPr>
                <w:noProof w:val="0"/>
                <w:color w:val="FFFFFF"/>
                <w:szCs w:val="16"/>
              </w:rPr>
              <w:t>)</w:t>
            </w:r>
          </w:p>
        </w:tc>
        <w:tc>
          <w:tcPr>
            <w:tcW w:w="1134" w:type="dxa"/>
            <w:tcBorders>
              <w:top w:val="single" w:sz="4" w:space="0" w:color="1B556B"/>
              <w:bottom w:val="single" w:sz="4" w:space="0" w:color="1B556B"/>
            </w:tcBorders>
            <w:shd w:val="clear" w:color="auto" w:fill="1B556B" w:themeFill="text2"/>
            <w:vAlign w:val="bottom"/>
          </w:tcPr>
          <w:p w14:paraId="1CB22408" w14:textId="77777777" w:rsidR="00053418" w:rsidRPr="009E06AA" w:rsidRDefault="00053418" w:rsidP="002947DE">
            <w:pPr>
              <w:pStyle w:val="TableTextBold"/>
              <w:spacing w:before="40"/>
              <w:jc w:val="right"/>
              <w:rPr>
                <w:noProof w:val="0"/>
                <w:color w:val="FFFFFF"/>
                <w:szCs w:val="16"/>
              </w:rPr>
            </w:pPr>
            <w:r w:rsidRPr="009E06AA">
              <w:rPr>
                <w:noProof w:val="0"/>
                <w:color w:val="FFFFFF"/>
                <w:szCs w:val="16"/>
              </w:rPr>
              <w:t>Years to reach steady state</w:t>
            </w:r>
          </w:p>
        </w:tc>
        <w:tc>
          <w:tcPr>
            <w:tcW w:w="1984" w:type="dxa"/>
            <w:tcBorders>
              <w:top w:val="single" w:sz="4" w:space="0" w:color="1B556B"/>
              <w:bottom w:val="single" w:sz="4" w:space="0" w:color="1B556B"/>
            </w:tcBorders>
            <w:shd w:val="clear" w:color="auto" w:fill="1B556B" w:themeFill="text2"/>
            <w:vAlign w:val="bottom"/>
          </w:tcPr>
          <w:p w14:paraId="791CFB0E" w14:textId="77777777" w:rsidR="00053418" w:rsidRPr="009E06AA" w:rsidRDefault="00053418" w:rsidP="00B55F24">
            <w:pPr>
              <w:pStyle w:val="TableTextBold"/>
              <w:spacing w:before="40"/>
              <w:rPr>
                <w:noProof w:val="0"/>
                <w:color w:val="FFFFFF"/>
                <w:szCs w:val="16"/>
              </w:rPr>
            </w:pPr>
            <w:r w:rsidRPr="009E06AA">
              <w:rPr>
                <w:noProof w:val="0"/>
                <w:color w:val="FFFFFF"/>
                <w:szCs w:val="16"/>
              </w:rPr>
              <w:t>Source</w:t>
            </w:r>
          </w:p>
        </w:tc>
      </w:tr>
      <w:tr w:rsidR="00053418" w:rsidRPr="009E06AA" w14:paraId="70F709FF" w14:textId="77777777" w:rsidTr="004B0977">
        <w:trPr>
          <w:trHeight w:val="20"/>
        </w:trPr>
        <w:tc>
          <w:tcPr>
            <w:tcW w:w="1246" w:type="dxa"/>
            <w:vMerge w:val="restart"/>
            <w:tcBorders>
              <w:top w:val="single" w:sz="4" w:space="0" w:color="1B556B"/>
              <w:bottom w:val="single" w:sz="4" w:space="0" w:color="1B556B"/>
            </w:tcBorders>
          </w:tcPr>
          <w:p w14:paraId="6C0736E8" w14:textId="77777777" w:rsidR="00053418" w:rsidRPr="009E06AA" w:rsidRDefault="00053418" w:rsidP="00B55F24">
            <w:pPr>
              <w:pStyle w:val="TableText"/>
              <w:spacing w:before="40" w:after="40"/>
              <w:rPr>
                <w:szCs w:val="16"/>
              </w:rPr>
            </w:pPr>
            <w:r w:rsidRPr="009E06AA">
              <w:rPr>
                <w:szCs w:val="16"/>
              </w:rPr>
              <w:t>Open water</w:t>
            </w:r>
          </w:p>
        </w:tc>
        <w:tc>
          <w:tcPr>
            <w:tcW w:w="1589" w:type="dxa"/>
            <w:tcBorders>
              <w:top w:val="single" w:sz="4" w:space="0" w:color="1B556B"/>
              <w:bottom w:val="single" w:sz="4" w:space="0" w:color="1B556B"/>
            </w:tcBorders>
          </w:tcPr>
          <w:p w14:paraId="6BD26135" w14:textId="77777777" w:rsidR="00053418" w:rsidRPr="009E06AA" w:rsidRDefault="00053418" w:rsidP="00B55F24">
            <w:pPr>
              <w:pStyle w:val="TableText"/>
              <w:spacing w:before="40" w:after="40"/>
              <w:rPr>
                <w:b/>
                <w:color w:val="1B556B"/>
                <w:szCs w:val="16"/>
              </w:rPr>
            </w:pPr>
            <w:r w:rsidRPr="009E06AA">
              <w:rPr>
                <w:b/>
                <w:color w:val="1B556B"/>
                <w:szCs w:val="16"/>
              </w:rPr>
              <w:t>Total biomass</w:t>
            </w:r>
          </w:p>
        </w:tc>
        <w:tc>
          <w:tcPr>
            <w:tcW w:w="1276" w:type="dxa"/>
            <w:tcBorders>
              <w:top w:val="single" w:sz="4" w:space="0" w:color="1B556B"/>
              <w:bottom w:val="single" w:sz="4" w:space="0" w:color="1B556B"/>
            </w:tcBorders>
          </w:tcPr>
          <w:p w14:paraId="00E82312" w14:textId="77777777" w:rsidR="00053418" w:rsidRPr="009E06AA" w:rsidRDefault="00053418" w:rsidP="002947DE">
            <w:pPr>
              <w:pStyle w:val="TableText"/>
              <w:spacing w:before="40" w:after="40"/>
              <w:jc w:val="right"/>
              <w:rPr>
                <w:b/>
                <w:color w:val="1B556B"/>
                <w:szCs w:val="16"/>
              </w:rPr>
            </w:pPr>
            <w:r w:rsidRPr="009E06AA">
              <w:rPr>
                <w:b/>
                <w:color w:val="1B556B"/>
              </w:rPr>
              <w:t>NE</w:t>
            </w:r>
          </w:p>
        </w:tc>
        <w:tc>
          <w:tcPr>
            <w:tcW w:w="1276" w:type="dxa"/>
            <w:tcBorders>
              <w:top w:val="single" w:sz="4" w:space="0" w:color="1B556B"/>
              <w:bottom w:val="single" w:sz="4" w:space="0" w:color="1B556B"/>
            </w:tcBorders>
          </w:tcPr>
          <w:p w14:paraId="649623E8" w14:textId="77777777" w:rsidR="00053418" w:rsidRPr="009E06AA" w:rsidRDefault="00053418" w:rsidP="002947DE">
            <w:pPr>
              <w:pStyle w:val="TableText"/>
              <w:spacing w:before="40" w:after="40"/>
              <w:jc w:val="right"/>
              <w:rPr>
                <w:b/>
                <w:color w:val="1B556B"/>
                <w:szCs w:val="16"/>
              </w:rPr>
            </w:pPr>
            <w:r w:rsidRPr="009E06AA">
              <w:rPr>
                <w:b/>
                <w:color w:val="1B556B"/>
              </w:rPr>
              <w:t>NE</w:t>
            </w:r>
          </w:p>
        </w:tc>
        <w:tc>
          <w:tcPr>
            <w:tcW w:w="1134" w:type="dxa"/>
            <w:tcBorders>
              <w:top w:val="single" w:sz="4" w:space="0" w:color="1B556B"/>
              <w:bottom w:val="single" w:sz="4" w:space="0" w:color="1B556B"/>
            </w:tcBorders>
          </w:tcPr>
          <w:p w14:paraId="6EEC683A" w14:textId="77777777" w:rsidR="00053418" w:rsidRPr="009E06AA" w:rsidRDefault="00053418" w:rsidP="002947DE">
            <w:pPr>
              <w:pStyle w:val="TableText"/>
              <w:spacing w:before="40" w:after="40"/>
              <w:jc w:val="right"/>
              <w:rPr>
                <w:b/>
                <w:color w:val="1B556B"/>
                <w:szCs w:val="16"/>
              </w:rPr>
            </w:pPr>
            <w:r w:rsidRPr="009E06AA">
              <w:rPr>
                <w:b/>
                <w:color w:val="1B556B"/>
                <w:szCs w:val="16"/>
              </w:rPr>
              <w:t>NE</w:t>
            </w:r>
          </w:p>
        </w:tc>
        <w:tc>
          <w:tcPr>
            <w:tcW w:w="1984" w:type="dxa"/>
            <w:vMerge w:val="restart"/>
            <w:tcBorders>
              <w:top w:val="single" w:sz="4" w:space="0" w:color="1B556B"/>
            </w:tcBorders>
          </w:tcPr>
          <w:p w14:paraId="7E67626B" w14:textId="77777777" w:rsidR="00053418" w:rsidRPr="009E06AA" w:rsidRDefault="00053418" w:rsidP="00B55F24">
            <w:pPr>
              <w:pStyle w:val="TableText"/>
              <w:spacing w:before="40" w:after="40"/>
              <w:rPr>
                <w:szCs w:val="16"/>
              </w:rPr>
            </w:pPr>
            <w:r w:rsidRPr="009E06AA">
              <w:rPr>
                <w:szCs w:val="16"/>
              </w:rPr>
              <w:t>No IPCC guidelines</w:t>
            </w:r>
          </w:p>
          <w:p w14:paraId="5F378BB2" w14:textId="77777777" w:rsidR="00053418" w:rsidRPr="009E06AA" w:rsidRDefault="00053418" w:rsidP="00B55F24">
            <w:pPr>
              <w:pStyle w:val="TableText"/>
              <w:spacing w:before="40" w:after="40"/>
              <w:rPr>
                <w:szCs w:val="16"/>
              </w:rPr>
            </w:pPr>
          </w:p>
        </w:tc>
      </w:tr>
      <w:tr w:rsidR="00053418" w:rsidRPr="009E06AA" w14:paraId="6ADF7D2F" w14:textId="77777777" w:rsidTr="004B0977">
        <w:trPr>
          <w:trHeight w:val="20"/>
        </w:trPr>
        <w:tc>
          <w:tcPr>
            <w:tcW w:w="1246" w:type="dxa"/>
            <w:vMerge/>
            <w:tcBorders>
              <w:bottom w:val="single" w:sz="4" w:space="0" w:color="1B556B"/>
            </w:tcBorders>
          </w:tcPr>
          <w:p w14:paraId="50476FC6" w14:textId="77777777" w:rsidR="00053418" w:rsidRPr="009E06AA" w:rsidRDefault="00053418" w:rsidP="00B55F24">
            <w:pPr>
              <w:pStyle w:val="TableText"/>
              <w:spacing w:before="40" w:after="40"/>
              <w:rPr>
                <w:szCs w:val="16"/>
              </w:rPr>
            </w:pPr>
          </w:p>
        </w:tc>
        <w:tc>
          <w:tcPr>
            <w:tcW w:w="1589" w:type="dxa"/>
            <w:tcBorders>
              <w:top w:val="single" w:sz="4" w:space="0" w:color="1B556B"/>
              <w:bottom w:val="single" w:sz="4" w:space="0" w:color="1B556B"/>
            </w:tcBorders>
          </w:tcPr>
          <w:p w14:paraId="5F97EDBF" w14:textId="77777777" w:rsidR="00053418" w:rsidRPr="009E06AA" w:rsidRDefault="00053418" w:rsidP="00B55F24">
            <w:pPr>
              <w:pStyle w:val="TableText"/>
              <w:spacing w:before="40" w:after="40"/>
              <w:rPr>
                <w:i/>
                <w:szCs w:val="16"/>
              </w:rPr>
            </w:pPr>
            <w:r w:rsidRPr="009E06AA">
              <w:rPr>
                <w:i/>
                <w:szCs w:val="16"/>
              </w:rPr>
              <w:t>Living biomass</w:t>
            </w:r>
          </w:p>
        </w:tc>
        <w:tc>
          <w:tcPr>
            <w:tcW w:w="1276" w:type="dxa"/>
            <w:tcBorders>
              <w:top w:val="single" w:sz="4" w:space="0" w:color="1B556B"/>
              <w:bottom w:val="single" w:sz="4" w:space="0" w:color="1B556B"/>
            </w:tcBorders>
          </w:tcPr>
          <w:p w14:paraId="6288AB06" w14:textId="77777777" w:rsidR="00053418" w:rsidRPr="009E06AA" w:rsidRDefault="00053418" w:rsidP="002947DE">
            <w:pPr>
              <w:pStyle w:val="TableText"/>
              <w:spacing w:before="40" w:after="40"/>
              <w:jc w:val="right"/>
              <w:rPr>
                <w:szCs w:val="16"/>
              </w:rPr>
            </w:pPr>
          </w:p>
        </w:tc>
        <w:tc>
          <w:tcPr>
            <w:tcW w:w="1276" w:type="dxa"/>
            <w:tcBorders>
              <w:top w:val="single" w:sz="4" w:space="0" w:color="1B556B"/>
              <w:bottom w:val="single" w:sz="4" w:space="0" w:color="1B556B"/>
            </w:tcBorders>
          </w:tcPr>
          <w:p w14:paraId="301601F0" w14:textId="77777777" w:rsidR="00053418" w:rsidRPr="009E06AA" w:rsidRDefault="00053418" w:rsidP="002947DE">
            <w:pPr>
              <w:pStyle w:val="TableText"/>
              <w:spacing w:before="40" w:after="40"/>
              <w:jc w:val="right"/>
              <w:rPr>
                <w:szCs w:val="16"/>
              </w:rPr>
            </w:pPr>
          </w:p>
        </w:tc>
        <w:tc>
          <w:tcPr>
            <w:tcW w:w="1134" w:type="dxa"/>
            <w:tcBorders>
              <w:top w:val="single" w:sz="4" w:space="0" w:color="1B556B"/>
              <w:bottom w:val="single" w:sz="4" w:space="0" w:color="1B556B"/>
            </w:tcBorders>
          </w:tcPr>
          <w:p w14:paraId="57551839" w14:textId="77777777" w:rsidR="00053418" w:rsidRPr="009E06AA" w:rsidRDefault="00053418" w:rsidP="002947DE">
            <w:pPr>
              <w:pStyle w:val="TableText"/>
              <w:spacing w:before="40" w:after="40"/>
              <w:jc w:val="right"/>
              <w:rPr>
                <w:szCs w:val="16"/>
              </w:rPr>
            </w:pPr>
          </w:p>
        </w:tc>
        <w:tc>
          <w:tcPr>
            <w:tcW w:w="1984" w:type="dxa"/>
            <w:vMerge/>
          </w:tcPr>
          <w:p w14:paraId="768F19D8" w14:textId="77777777" w:rsidR="00053418" w:rsidRPr="009E06AA" w:rsidRDefault="00053418" w:rsidP="00B55F24">
            <w:pPr>
              <w:pStyle w:val="TableText"/>
              <w:spacing w:before="40" w:after="40"/>
              <w:rPr>
                <w:szCs w:val="16"/>
              </w:rPr>
            </w:pPr>
          </w:p>
        </w:tc>
      </w:tr>
      <w:tr w:rsidR="00053418" w:rsidRPr="009E06AA" w14:paraId="704D4AF6" w14:textId="77777777" w:rsidTr="004B0977">
        <w:trPr>
          <w:trHeight w:val="20"/>
        </w:trPr>
        <w:tc>
          <w:tcPr>
            <w:tcW w:w="1246" w:type="dxa"/>
            <w:vMerge/>
            <w:tcBorders>
              <w:bottom w:val="single" w:sz="4" w:space="0" w:color="1B556B"/>
            </w:tcBorders>
          </w:tcPr>
          <w:p w14:paraId="1AD26EE2" w14:textId="77777777" w:rsidR="00053418" w:rsidRPr="009E06AA" w:rsidRDefault="00053418" w:rsidP="00B55F24">
            <w:pPr>
              <w:pStyle w:val="TableText"/>
              <w:spacing w:before="40" w:after="40"/>
              <w:rPr>
                <w:szCs w:val="16"/>
              </w:rPr>
            </w:pPr>
          </w:p>
        </w:tc>
        <w:tc>
          <w:tcPr>
            <w:tcW w:w="1589" w:type="dxa"/>
            <w:tcBorders>
              <w:top w:val="single" w:sz="4" w:space="0" w:color="1B556B"/>
              <w:bottom w:val="single" w:sz="4" w:space="0" w:color="1B556B"/>
            </w:tcBorders>
          </w:tcPr>
          <w:p w14:paraId="15F4A2DB" w14:textId="77777777" w:rsidR="00053418" w:rsidRPr="009E06AA" w:rsidRDefault="00053418" w:rsidP="00B55F24">
            <w:pPr>
              <w:pStyle w:val="TableText"/>
              <w:spacing w:before="40" w:after="40"/>
              <w:rPr>
                <w:szCs w:val="16"/>
              </w:rPr>
            </w:pPr>
            <w:r w:rsidRPr="009E06AA">
              <w:rPr>
                <w:szCs w:val="16"/>
              </w:rPr>
              <w:tab/>
              <w:t>AGB</w:t>
            </w:r>
          </w:p>
        </w:tc>
        <w:tc>
          <w:tcPr>
            <w:tcW w:w="1276" w:type="dxa"/>
            <w:tcBorders>
              <w:top w:val="single" w:sz="4" w:space="0" w:color="1B556B"/>
              <w:bottom w:val="single" w:sz="4" w:space="0" w:color="1B556B"/>
            </w:tcBorders>
          </w:tcPr>
          <w:p w14:paraId="65185B5C" w14:textId="77777777" w:rsidR="00053418" w:rsidRPr="009E06AA" w:rsidRDefault="00053418" w:rsidP="002947DE">
            <w:pPr>
              <w:pStyle w:val="TableText"/>
              <w:spacing w:before="40" w:after="40"/>
              <w:jc w:val="right"/>
              <w:rPr>
                <w:szCs w:val="16"/>
              </w:rPr>
            </w:pPr>
            <w:r w:rsidRPr="009E06AA">
              <w:t>NE</w:t>
            </w:r>
          </w:p>
        </w:tc>
        <w:tc>
          <w:tcPr>
            <w:tcW w:w="1276" w:type="dxa"/>
            <w:tcBorders>
              <w:top w:val="single" w:sz="4" w:space="0" w:color="1B556B"/>
              <w:bottom w:val="single" w:sz="4" w:space="0" w:color="1B556B"/>
            </w:tcBorders>
          </w:tcPr>
          <w:p w14:paraId="7275D447" w14:textId="77777777" w:rsidR="00053418" w:rsidRPr="009E06AA" w:rsidRDefault="00053418" w:rsidP="002947DE">
            <w:pPr>
              <w:pStyle w:val="TableText"/>
              <w:spacing w:before="40" w:after="40"/>
              <w:jc w:val="right"/>
              <w:rPr>
                <w:szCs w:val="16"/>
              </w:rPr>
            </w:pPr>
            <w:r w:rsidRPr="009E06AA">
              <w:rPr>
                <w:szCs w:val="16"/>
              </w:rPr>
              <w:t>NE</w:t>
            </w:r>
          </w:p>
        </w:tc>
        <w:tc>
          <w:tcPr>
            <w:tcW w:w="1134" w:type="dxa"/>
            <w:tcBorders>
              <w:top w:val="single" w:sz="4" w:space="0" w:color="1B556B"/>
              <w:bottom w:val="single" w:sz="4" w:space="0" w:color="1B556B"/>
            </w:tcBorders>
          </w:tcPr>
          <w:p w14:paraId="2D5D8B4D" w14:textId="77777777" w:rsidR="00053418" w:rsidRPr="009E06AA" w:rsidRDefault="00053418" w:rsidP="002947DE">
            <w:pPr>
              <w:pStyle w:val="TableText"/>
              <w:spacing w:before="40" w:after="40"/>
              <w:jc w:val="right"/>
              <w:rPr>
                <w:szCs w:val="16"/>
              </w:rPr>
            </w:pPr>
            <w:r w:rsidRPr="009E06AA">
              <w:rPr>
                <w:szCs w:val="16"/>
              </w:rPr>
              <w:t>NE</w:t>
            </w:r>
          </w:p>
        </w:tc>
        <w:tc>
          <w:tcPr>
            <w:tcW w:w="1984" w:type="dxa"/>
            <w:vMerge/>
          </w:tcPr>
          <w:p w14:paraId="78B5C4D6" w14:textId="77777777" w:rsidR="00053418" w:rsidRPr="009E06AA" w:rsidRDefault="00053418" w:rsidP="00B55F24">
            <w:pPr>
              <w:pStyle w:val="TableText"/>
              <w:spacing w:before="40" w:after="40"/>
              <w:rPr>
                <w:szCs w:val="16"/>
              </w:rPr>
            </w:pPr>
          </w:p>
        </w:tc>
      </w:tr>
      <w:tr w:rsidR="00053418" w:rsidRPr="009E06AA" w14:paraId="07869D53" w14:textId="77777777" w:rsidTr="004B0977">
        <w:trPr>
          <w:trHeight w:val="20"/>
        </w:trPr>
        <w:tc>
          <w:tcPr>
            <w:tcW w:w="1246" w:type="dxa"/>
            <w:vMerge/>
            <w:tcBorders>
              <w:bottom w:val="single" w:sz="4" w:space="0" w:color="1B556B"/>
            </w:tcBorders>
          </w:tcPr>
          <w:p w14:paraId="6041BE12" w14:textId="77777777" w:rsidR="00053418" w:rsidRPr="009E06AA" w:rsidRDefault="00053418" w:rsidP="00B55F24">
            <w:pPr>
              <w:pStyle w:val="TableText"/>
              <w:spacing w:before="40" w:after="40"/>
              <w:rPr>
                <w:szCs w:val="16"/>
              </w:rPr>
            </w:pPr>
          </w:p>
        </w:tc>
        <w:tc>
          <w:tcPr>
            <w:tcW w:w="1589" w:type="dxa"/>
            <w:tcBorders>
              <w:top w:val="single" w:sz="4" w:space="0" w:color="1B556B"/>
              <w:bottom w:val="single" w:sz="4" w:space="0" w:color="1B556B"/>
            </w:tcBorders>
          </w:tcPr>
          <w:p w14:paraId="5525985F" w14:textId="77777777" w:rsidR="00053418" w:rsidRPr="009E06AA" w:rsidRDefault="00053418" w:rsidP="00B55F24">
            <w:pPr>
              <w:pStyle w:val="TableText"/>
              <w:spacing w:before="40" w:after="40"/>
              <w:rPr>
                <w:szCs w:val="16"/>
              </w:rPr>
            </w:pPr>
            <w:r w:rsidRPr="009E06AA">
              <w:rPr>
                <w:szCs w:val="16"/>
              </w:rPr>
              <w:tab/>
              <w:t>BGB</w:t>
            </w:r>
          </w:p>
        </w:tc>
        <w:tc>
          <w:tcPr>
            <w:tcW w:w="1276" w:type="dxa"/>
            <w:tcBorders>
              <w:top w:val="single" w:sz="4" w:space="0" w:color="1B556B"/>
              <w:bottom w:val="single" w:sz="4" w:space="0" w:color="1B556B"/>
            </w:tcBorders>
          </w:tcPr>
          <w:p w14:paraId="1E535A91" w14:textId="77777777" w:rsidR="00053418" w:rsidRPr="009E06AA" w:rsidRDefault="00053418" w:rsidP="002947DE">
            <w:pPr>
              <w:pStyle w:val="TableText"/>
              <w:spacing w:before="40" w:after="40"/>
              <w:jc w:val="right"/>
              <w:rPr>
                <w:szCs w:val="16"/>
              </w:rPr>
            </w:pPr>
            <w:r w:rsidRPr="009E06AA">
              <w:t>NE</w:t>
            </w:r>
          </w:p>
        </w:tc>
        <w:tc>
          <w:tcPr>
            <w:tcW w:w="1276" w:type="dxa"/>
            <w:tcBorders>
              <w:top w:val="single" w:sz="4" w:space="0" w:color="1B556B"/>
              <w:bottom w:val="single" w:sz="4" w:space="0" w:color="1B556B"/>
            </w:tcBorders>
          </w:tcPr>
          <w:p w14:paraId="7EC62F49" w14:textId="77777777" w:rsidR="00053418" w:rsidRPr="009E06AA" w:rsidRDefault="00053418" w:rsidP="002947DE">
            <w:pPr>
              <w:pStyle w:val="TableText"/>
              <w:spacing w:before="40" w:after="40"/>
              <w:jc w:val="right"/>
              <w:rPr>
                <w:szCs w:val="16"/>
              </w:rPr>
            </w:pPr>
            <w:r w:rsidRPr="009E06AA">
              <w:rPr>
                <w:szCs w:val="16"/>
              </w:rPr>
              <w:t>NE</w:t>
            </w:r>
          </w:p>
        </w:tc>
        <w:tc>
          <w:tcPr>
            <w:tcW w:w="1134" w:type="dxa"/>
            <w:tcBorders>
              <w:top w:val="single" w:sz="4" w:space="0" w:color="1B556B"/>
              <w:bottom w:val="single" w:sz="4" w:space="0" w:color="1B556B"/>
            </w:tcBorders>
          </w:tcPr>
          <w:p w14:paraId="1410EFB8" w14:textId="77777777" w:rsidR="00053418" w:rsidRPr="009E06AA" w:rsidRDefault="00053418" w:rsidP="002947DE">
            <w:pPr>
              <w:pStyle w:val="TableText"/>
              <w:spacing w:before="40" w:after="40"/>
              <w:jc w:val="right"/>
              <w:rPr>
                <w:szCs w:val="16"/>
              </w:rPr>
            </w:pPr>
            <w:r w:rsidRPr="009E06AA">
              <w:rPr>
                <w:szCs w:val="16"/>
              </w:rPr>
              <w:t>NE</w:t>
            </w:r>
          </w:p>
        </w:tc>
        <w:tc>
          <w:tcPr>
            <w:tcW w:w="1984" w:type="dxa"/>
            <w:vMerge/>
          </w:tcPr>
          <w:p w14:paraId="68C92468" w14:textId="77777777" w:rsidR="00053418" w:rsidRPr="009E06AA" w:rsidRDefault="00053418" w:rsidP="00B55F24">
            <w:pPr>
              <w:pStyle w:val="TableText"/>
              <w:spacing w:before="40" w:after="40"/>
              <w:rPr>
                <w:szCs w:val="16"/>
              </w:rPr>
            </w:pPr>
          </w:p>
        </w:tc>
      </w:tr>
      <w:tr w:rsidR="00053418" w:rsidRPr="009E06AA" w14:paraId="2FA76ECD" w14:textId="77777777" w:rsidTr="004B0977">
        <w:trPr>
          <w:trHeight w:val="20"/>
        </w:trPr>
        <w:tc>
          <w:tcPr>
            <w:tcW w:w="1246" w:type="dxa"/>
            <w:vMerge/>
            <w:tcBorders>
              <w:bottom w:val="single" w:sz="4" w:space="0" w:color="1B556B"/>
            </w:tcBorders>
          </w:tcPr>
          <w:p w14:paraId="524E3013" w14:textId="77777777" w:rsidR="00053418" w:rsidRPr="009E06AA" w:rsidRDefault="00053418" w:rsidP="00B55F24">
            <w:pPr>
              <w:pStyle w:val="TableText"/>
              <w:spacing w:before="40" w:after="40"/>
              <w:rPr>
                <w:szCs w:val="16"/>
              </w:rPr>
            </w:pPr>
          </w:p>
        </w:tc>
        <w:tc>
          <w:tcPr>
            <w:tcW w:w="1589" w:type="dxa"/>
            <w:tcBorders>
              <w:top w:val="single" w:sz="4" w:space="0" w:color="1B556B"/>
              <w:bottom w:val="single" w:sz="4" w:space="0" w:color="1B556B"/>
            </w:tcBorders>
          </w:tcPr>
          <w:p w14:paraId="1C972837" w14:textId="77777777" w:rsidR="00053418" w:rsidRPr="009E06AA" w:rsidRDefault="00053418" w:rsidP="00B55F24">
            <w:pPr>
              <w:pStyle w:val="TableText"/>
              <w:spacing w:before="40" w:after="40"/>
              <w:rPr>
                <w:i/>
                <w:szCs w:val="16"/>
              </w:rPr>
            </w:pPr>
            <w:r w:rsidRPr="009E06AA">
              <w:rPr>
                <w:i/>
                <w:szCs w:val="16"/>
              </w:rPr>
              <w:t>Dead organic matter</w:t>
            </w:r>
          </w:p>
        </w:tc>
        <w:tc>
          <w:tcPr>
            <w:tcW w:w="1276" w:type="dxa"/>
            <w:tcBorders>
              <w:top w:val="single" w:sz="4" w:space="0" w:color="1B556B"/>
              <w:bottom w:val="single" w:sz="4" w:space="0" w:color="1B556B"/>
            </w:tcBorders>
          </w:tcPr>
          <w:p w14:paraId="6DEE7B41" w14:textId="77777777" w:rsidR="00053418" w:rsidRPr="009E06AA" w:rsidRDefault="00053418" w:rsidP="002947DE">
            <w:pPr>
              <w:pStyle w:val="TableText"/>
              <w:spacing w:before="40" w:after="40"/>
              <w:jc w:val="right"/>
            </w:pPr>
            <w:r w:rsidRPr="009E06AA">
              <w:t>NE</w:t>
            </w:r>
          </w:p>
        </w:tc>
        <w:tc>
          <w:tcPr>
            <w:tcW w:w="1276" w:type="dxa"/>
            <w:tcBorders>
              <w:top w:val="single" w:sz="4" w:space="0" w:color="1B556B"/>
              <w:bottom w:val="single" w:sz="4" w:space="0" w:color="1B556B"/>
            </w:tcBorders>
          </w:tcPr>
          <w:p w14:paraId="70FB4C12" w14:textId="77777777" w:rsidR="00053418" w:rsidRPr="009E06AA" w:rsidRDefault="00053418" w:rsidP="002947DE">
            <w:pPr>
              <w:pStyle w:val="TableText"/>
              <w:spacing w:before="40" w:after="40"/>
              <w:jc w:val="right"/>
            </w:pPr>
            <w:r w:rsidRPr="009E06AA">
              <w:t>NE</w:t>
            </w:r>
          </w:p>
        </w:tc>
        <w:tc>
          <w:tcPr>
            <w:tcW w:w="1134" w:type="dxa"/>
            <w:tcBorders>
              <w:top w:val="single" w:sz="4" w:space="0" w:color="1B556B"/>
              <w:bottom w:val="single" w:sz="4" w:space="0" w:color="1B556B"/>
            </w:tcBorders>
          </w:tcPr>
          <w:p w14:paraId="73A23843" w14:textId="77777777" w:rsidR="00053418" w:rsidRPr="009E06AA" w:rsidRDefault="00053418" w:rsidP="002947DE">
            <w:pPr>
              <w:pStyle w:val="TableText"/>
              <w:spacing w:before="40" w:after="40"/>
              <w:jc w:val="right"/>
            </w:pPr>
            <w:r w:rsidRPr="009E06AA">
              <w:t>NE</w:t>
            </w:r>
          </w:p>
        </w:tc>
        <w:tc>
          <w:tcPr>
            <w:tcW w:w="1984" w:type="dxa"/>
            <w:vMerge/>
            <w:tcBorders>
              <w:bottom w:val="single" w:sz="4" w:space="0" w:color="1B556B"/>
            </w:tcBorders>
          </w:tcPr>
          <w:p w14:paraId="31554792" w14:textId="77777777" w:rsidR="00053418" w:rsidRPr="009E06AA" w:rsidRDefault="00053418" w:rsidP="00B55F24">
            <w:pPr>
              <w:pStyle w:val="TableText"/>
              <w:spacing w:before="40" w:after="40"/>
              <w:rPr>
                <w:szCs w:val="16"/>
              </w:rPr>
            </w:pPr>
          </w:p>
        </w:tc>
      </w:tr>
      <w:tr w:rsidR="00053418" w:rsidRPr="009E06AA" w14:paraId="1FA28B8D" w14:textId="77777777" w:rsidTr="004B0977">
        <w:trPr>
          <w:trHeight w:val="20"/>
        </w:trPr>
        <w:tc>
          <w:tcPr>
            <w:tcW w:w="1246" w:type="dxa"/>
            <w:vMerge w:val="restart"/>
            <w:tcBorders>
              <w:top w:val="single" w:sz="4" w:space="0" w:color="1B556B"/>
              <w:bottom w:val="single" w:sz="4" w:space="0" w:color="1B556B"/>
            </w:tcBorders>
          </w:tcPr>
          <w:p w14:paraId="4552823E" w14:textId="77777777" w:rsidR="00053418" w:rsidRPr="009E06AA" w:rsidRDefault="00053418" w:rsidP="00B55F24">
            <w:pPr>
              <w:pStyle w:val="TableText"/>
              <w:spacing w:before="40" w:after="40"/>
              <w:rPr>
                <w:szCs w:val="16"/>
              </w:rPr>
            </w:pPr>
            <w:r w:rsidRPr="009E06AA">
              <w:rPr>
                <w:szCs w:val="16"/>
              </w:rPr>
              <w:t>Vegetated</w:t>
            </w:r>
          </w:p>
        </w:tc>
        <w:tc>
          <w:tcPr>
            <w:tcW w:w="1589" w:type="dxa"/>
            <w:tcBorders>
              <w:top w:val="single" w:sz="4" w:space="0" w:color="1B556B"/>
              <w:bottom w:val="single" w:sz="4" w:space="0" w:color="1B556B"/>
            </w:tcBorders>
          </w:tcPr>
          <w:p w14:paraId="095B6137" w14:textId="77777777" w:rsidR="00053418" w:rsidRPr="009E06AA" w:rsidRDefault="00053418" w:rsidP="00B55F24">
            <w:pPr>
              <w:pStyle w:val="TableText"/>
              <w:spacing w:before="40" w:after="40"/>
              <w:rPr>
                <w:b/>
                <w:color w:val="1B556B"/>
                <w:szCs w:val="16"/>
              </w:rPr>
            </w:pPr>
            <w:r w:rsidRPr="009E06AA">
              <w:rPr>
                <w:b/>
                <w:color w:val="1B556B"/>
                <w:szCs w:val="16"/>
              </w:rPr>
              <w:t>Total biomass</w:t>
            </w:r>
          </w:p>
        </w:tc>
        <w:tc>
          <w:tcPr>
            <w:tcW w:w="1276" w:type="dxa"/>
            <w:tcBorders>
              <w:top w:val="single" w:sz="4" w:space="0" w:color="1B556B"/>
              <w:bottom w:val="single" w:sz="4" w:space="0" w:color="1B556B"/>
            </w:tcBorders>
          </w:tcPr>
          <w:p w14:paraId="11AD228C" w14:textId="77777777" w:rsidR="00053418" w:rsidRPr="009E06AA" w:rsidRDefault="00053418" w:rsidP="002947DE">
            <w:pPr>
              <w:pStyle w:val="TableText"/>
              <w:spacing w:before="40" w:after="40"/>
              <w:jc w:val="right"/>
              <w:rPr>
                <w:b/>
                <w:color w:val="1B556B"/>
                <w:szCs w:val="16"/>
              </w:rPr>
            </w:pPr>
            <w:r w:rsidRPr="009E06AA">
              <w:rPr>
                <w:b/>
                <w:color w:val="1B556B"/>
                <w:szCs w:val="16"/>
              </w:rPr>
              <w:t>27.6</w:t>
            </w:r>
          </w:p>
        </w:tc>
        <w:tc>
          <w:tcPr>
            <w:tcW w:w="1276" w:type="dxa"/>
            <w:tcBorders>
              <w:top w:val="single" w:sz="4" w:space="0" w:color="1B556B"/>
              <w:bottom w:val="single" w:sz="4" w:space="0" w:color="1B556B"/>
            </w:tcBorders>
          </w:tcPr>
          <w:p w14:paraId="3A1304BD" w14:textId="77777777" w:rsidR="00053418" w:rsidRPr="009E06AA" w:rsidRDefault="00053418" w:rsidP="002947DE">
            <w:pPr>
              <w:pStyle w:val="TableText"/>
              <w:spacing w:before="40" w:after="40"/>
              <w:jc w:val="right"/>
              <w:rPr>
                <w:b/>
                <w:color w:val="1B556B"/>
              </w:rPr>
            </w:pPr>
            <w:r w:rsidRPr="009E06AA">
              <w:rPr>
                <w:b/>
                <w:color w:val="1B556B"/>
              </w:rPr>
              <w:t>1.4</w:t>
            </w:r>
          </w:p>
        </w:tc>
        <w:tc>
          <w:tcPr>
            <w:tcW w:w="1134" w:type="dxa"/>
            <w:tcBorders>
              <w:top w:val="single" w:sz="4" w:space="0" w:color="1B556B"/>
              <w:bottom w:val="single" w:sz="4" w:space="0" w:color="1B556B"/>
            </w:tcBorders>
          </w:tcPr>
          <w:p w14:paraId="06A9A320" w14:textId="77777777" w:rsidR="00053418" w:rsidRPr="009E06AA" w:rsidRDefault="00053418" w:rsidP="002947DE">
            <w:pPr>
              <w:pStyle w:val="TableText"/>
              <w:spacing w:before="40" w:after="40"/>
              <w:jc w:val="right"/>
              <w:rPr>
                <w:b/>
                <w:color w:val="1B556B"/>
              </w:rPr>
            </w:pPr>
            <w:r w:rsidRPr="009E06AA">
              <w:rPr>
                <w:b/>
                <w:color w:val="1B556B"/>
              </w:rPr>
              <w:t>20</w:t>
            </w:r>
          </w:p>
        </w:tc>
        <w:tc>
          <w:tcPr>
            <w:tcW w:w="1984" w:type="dxa"/>
            <w:vMerge w:val="restart"/>
            <w:tcBorders>
              <w:top w:val="single" w:sz="4" w:space="0" w:color="1B556B"/>
              <w:bottom w:val="single" w:sz="4" w:space="0" w:color="1B556B"/>
            </w:tcBorders>
          </w:tcPr>
          <w:p w14:paraId="34E3BBA5" w14:textId="77777777" w:rsidR="00053418" w:rsidRPr="009E06AA" w:rsidRDefault="00053418" w:rsidP="00B55F24">
            <w:pPr>
              <w:pStyle w:val="TableText"/>
              <w:spacing w:before="40" w:after="40"/>
              <w:rPr>
                <w:szCs w:val="16"/>
              </w:rPr>
            </w:pPr>
            <w:r w:rsidRPr="009E06AA">
              <w:rPr>
                <w:szCs w:val="16"/>
              </w:rPr>
              <w:t>Easdale et al. (unpublished)</w:t>
            </w:r>
          </w:p>
        </w:tc>
      </w:tr>
      <w:tr w:rsidR="00053418" w:rsidRPr="009E06AA" w14:paraId="52CAA7D0" w14:textId="77777777" w:rsidTr="004B0977">
        <w:trPr>
          <w:trHeight w:val="20"/>
        </w:trPr>
        <w:tc>
          <w:tcPr>
            <w:tcW w:w="1246" w:type="dxa"/>
            <w:vMerge/>
            <w:tcBorders>
              <w:top w:val="single" w:sz="4" w:space="0" w:color="1B556B"/>
              <w:bottom w:val="single" w:sz="4" w:space="0" w:color="1B556B"/>
            </w:tcBorders>
          </w:tcPr>
          <w:p w14:paraId="39D05533" w14:textId="77777777" w:rsidR="00053418" w:rsidRPr="009E06AA" w:rsidRDefault="00053418" w:rsidP="00B55F24">
            <w:pPr>
              <w:pStyle w:val="TableText"/>
              <w:spacing w:before="40" w:after="40"/>
              <w:rPr>
                <w:szCs w:val="16"/>
              </w:rPr>
            </w:pPr>
          </w:p>
        </w:tc>
        <w:tc>
          <w:tcPr>
            <w:tcW w:w="1589" w:type="dxa"/>
            <w:tcBorders>
              <w:top w:val="single" w:sz="4" w:space="0" w:color="1B556B"/>
              <w:bottom w:val="single" w:sz="4" w:space="0" w:color="1B556B"/>
            </w:tcBorders>
          </w:tcPr>
          <w:p w14:paraId="0861491E" w14:textId="77777777" w:rsidR="00053418" w:rsidRPr="009E06AA" w:rsidRDefault="00053418" w:rsidP="00B55F24">
            <w:pPr>
              <w:pStyle w:val="TableText"/>
              <w:spacing w:before="40" w:after="40"/>
              <w:rPr>
                <w:i/>
                <w:szCs w:val="16"/>
              </w:rPr>
            </w:pPr>
            <w:r w:rsidRPr="009E06AA">
              <w:rPr>
                <w:i/>
                <w:szCs w:val="16"/>
              </w:rPr>
              <w:t>Living biomass</w:t>
            </w:r>
          </w:p>
        </w:tc>
        <w:tc>
          <w:tcPr>
            <w:tcW w:w="1276" w:type="dxa"/>
            <w:tcBorders>
              <w:top w:val="single" w:sz="4" w:space="0" w:color="1B556B"/>
              <w:bottom w:val="single" w:sz="4" w:space="0" w:color="1B556B"/>
            </w:tcBorders>
          </w:tcPr>
          <w:p w14:paraId="173EB13C" w14:textId="77777777" w:rsidR="00053418" w:rsidRPr="009E06AA" w:rsidRDefault="00053418" w:rsidP="002947DE">
            <w:pPr>
              <w:pStyle w:val="TableText"/>
              <w:spacing w:before="40" w:after="40"/>
              <w:jc w:val="right"/>
              <w:rPr>
                <w:szCs w:val="16"/>
              </w:rPr>
            </w:pPr>
          </w:p>
        </w:tc>
        <w:tc>
          <w:tcPr>
            <w:tcW w:w="1276" w:type="dxa"/>
            <w:tcBorders>
              <w:top w:val="single" w:sz="4" w:space="0" w:color="1B556B"/>
              <w:bottom w:val="single" w:sz="4" w:space="0" w:color="1B556B"/>
            </w:tcBorders>
          </w:tcPr>
          <w:p w14:paraId="5B21FA26" w14:textId="77777777" w:rsidR="00053418" w:rsidRPr="009E06AA" w:rsidRDefault="00053418" w:rsidP="002947DE">
            <w:pPr>
              <w:pStyle w:val="TableText"/>
              <w:spacing w:before="40" w:after="40"/>
              <w:jc w:val="right"/>
              <w:rPr>
                <w:szCs w:val="16"/>
              </w:rPr>
            </w:pPr>
          </w:p>
        </w:tc>
        <w:tc>
          <w:tcPr>
            <w:tcW w:w="1134" w:type="dxa"/>
            <w:tcBorders>
              <w:top w:val="single" w:sz="4" w:space="0" w:color="1B556B"/>
              <w:bottom w:val="single" w:sz="4" w:space="0" w:color="1B556B"/>
            </w:tcBorders>
          </w:tcPr>
          <w:p w14:paraId="41867C37" w14:textId="77777777" w:rsidR="00053418" w:rsidRPr="009E06AA" w:rsidRDefault="00053418" w:rsidP="002947DE">
            <w:pPr>
              <w:pStyle w:val="TableText"/>
              <w:spacing w:before="40" w:after="40"/>
              <w:jc w:val="right"/>
              <w:rPr>
                <w:szCs w:val="16"/>
              </w:rPr>
            </w:pPr>
          </w:p>
        </w:tc>
        <w:tc>
          <w:tcPr>
            <w:tcW w:w="1984" w:type="dxa"/>
            <w:vMerge/>
            <w:tcBorders>
              <w:top w:val="single" w:sz="4" w:space="0" w:color="1B556B"/>
              <w:bottom w:val="single" w:sz="4" w:space="0" w:color="1B556B"/>
            </w:tcBorders>
          </w:tcPr>
          <w:p w14:paraId="5F581FD9" w14:textId="77777777" w:rsidR="00053418" w:rsidRPr="009E06AA" w:rsidRDefault="00053418" w:rsidP="00B55F24">
            <w:pPr>
              <w:pStyle w:val="TableText"/>
              <w:spacing w:before="40" w:after="40"/>
              <w:rPr>
                <w:szCs w:val="16"/>
              </w:rPr>
            </w:pPr>
          </w:p>
        </w:tc>
      </w:tr>
      <w:tr w:rsidR="00053418" w:rsidRPr="009E06AA" w14:paraId="1978E836" w14:textId="77777777" w:rsidTr="004B0977">
        <w:trPr>
          <w:trHeight w:val="20"/>
        </w:trPr>
        <w:tc>
          <w:tcPr>
            <w:tcW w:w="1246" w:type="dxa"/>
            <w:vMerge/>
            <w:tcBorders>
              <w:bottom w:val="single" w:sz="4" w:space="0" w:color="1B556B"/>
            </w:tcBorders>
          </w:tcPr>
          <w:p w14:paraId="4394CA8D" w14:textId="77777777" w:rsidR="00053418" w:rsidRPr="009E06AA" w:rsidRDefault="00053418" w:rsidP="00B55F24">
            <w:pPr>
              <w:pStyle w:val="TableText"/>
              <w:spacing w:before="40" w:after="40"/>
              <w:rPr>
                <w:szCs w:val="16"/>
              </w:rPr>
            </w:pPr>
          </w:p>
        </w:tc>
        <w:tc>
          <w:tcPr>
            <w:tcW w:w="1589" w:type="dxa"/>
            <w:tcBorders>
              <w:top w:val="single" w:sz="4" w:space="0" w:color="1B556B"/>
              <w:bottom w:val="single" w:sz="4" w:space="0" w:color="1B556B"/>
            </w:tcBorders>
          </w:tcPr>
          <w:p w14:paraId="3E2B63F5" w14:textId="77777777" w:rsidR="00053418" w:rsidRPr="009E06AA" w:rsidRDefault="00053418" w:rsidP="00B55F24">
            <w:pPr>
              <w:pStyle w:val="TableText"/>
              <w:spacing w:before="40" w:after="40"/>
              <w:rPr>
                <w:szCs w:val="16"/>
              </w:rPr>
            </w:pPr>
            <w:r w:rsidRPr="009E06AA">
              <w:rPr>
                <w:szCs w:val="16"/>
              </w:rPr>
              <w:tab/>
              <w:t>AGB</w:t>
            </w:r>
          </w:p>
        </w:tc>
        <w:tc>
          <w:tcPr>
            <w:tcW w:w="1276" w:type="dxa"/>
            <w:tcBorders>
              <w:top w:val="single" w:sz="4" w:space="0" w:color="1B556B"/>
              <w:bottom w:val="single" w:sz="4" w:space="0" w:color="1B556B"/>
            </w:tcBorders>
          </w:tcPr>
          <w:p w14:paraId="21A67497" w14:textId="77777777" w:rsidR="00053418" w:rsidRPr="009E06AA" w:rsidRDefault="00053418" w:rsidP="002947DE">
            <w:pPr>
              <w:pStyle w:val="TableText"/>
              <w:spacing w:before="40" w:after="40"/>
              <w:jc w:val="right"/>
              <w:rPr>
                <w:szCs w:val="16"/>
              </w:rPr>
            </w:pPr>
            <w:r w:rsidRPr="009E06AA">
              <w:rPr>
                <w:szCs w:val="16"/>
              </w:rPr>
              <w:t>20.2</w:t>
            </w:r>
          </w:p>
        </w:tc>
        <w:tc>
          <w:tcPr>
            <w:tcW w:w="1276" w:type="dxa"/>
            <w:tcBorders>
              <w:top w:val="single" w:sz="4" w:space="0" w:color="1B556B"/>
              <w:bottom w:val="single" w:sz="4" w:space="0" w:color="1B556B"/>
            </w:tcBorders>
          </w:tcPr>
          <w:p w14:paraId="09D37C62" w14:textId="77777777" w:rsidR="00053418" w:rsidRPr="009E06AA" w:rsidRDefault="00053418" w:rsidP="002947DE">
            <w:pPr>
              <w:pStyle w:val="TableText"/>
              <w:spacing w:before="40" w:after="40"/>
              <w:jc w:val="right"/>
            </w:pPr>
            <w:r w:rsidRPr="009E06AA">
              <w:t>1</w:t>
            </w:r>
          </w:p>
        </w:tc>
        <w:tc>
          <w:tcPr>
            <w:tcW w:w="1134" w:type="dxa"/>
            <w:tcBorders>
              <w:top w:val="single" w:sz="4" w:space="0" w:color="1B556B"/>
              <w:bottom w:val="single" w:sz="4" w:space="0" w:color="1B556B"/>
            </w:tcBorders>
          </w:tcPr>
          <w:p w14:paraId="11575F92" w14:textId="77777777" w:rsidR="00053418" w:rsidRPr="009E06AA" w:rsidRDefault="00053418" w:rsidP="002947DE">
            <w:pPr>
              <w:pStyle w:val="TableText"/>
              <w:spacing w:before="40" w:after="40"/>
              <w:jc w:val="right"/>
            </w:pPr>
            <w:r w:rsidRPr="009E06AA">
              <w:t>20</w:t>
            </w:r>
          </w:p>
        </w:tc>
        <w:tc>
          <w:tcPr>
            <w:tcW w:w="1984" w:type="dxa"/>
            <w:vMerge/>
            <w:tcBorders>
              <w:bottom w:val="single" w:sz="4" w:space="0" w:color="1B556B"/>
            </w:tcBorders>
          </w:tcPr>
          <w:p w14:paraId="5FFA1EB5" w14:textId="77777777" w:rsidR="00053418" w:rsidRPr="009E06AA" w:rsidRDefault="00053418" w:rsidP="00B55F24">
            <w:pPr>
              <w:pStyle w:val="TableText"/>
              <w:spacing w:before="40" w:after="40"/>
              <w:rPr>
                <w:szCs w:val="16"/>
              </w:rPr>
            </w:pPr>
          </w:p>
        </w:tc>
      </w:tr>
      <w:tr w:rsidR="00053418" w:rsidRPr="009E06AA" w14:paraId="19E51B09" w14:textId="77777777" w:rsidTr="004B0977">
        <w:trPr>
          <w:trHeight w:val="20"/>
        </w:trPr>
        <w:tc>
          <w:tcPr>
            <w:tcW w:w="1246" w:type="dxa"/>
            <w:vMerge/>
            <w:tcBorders>
              <w:bottom w:val="single" w:sz="4" w:space="0" w:color="1B556B"/>
            </w:tcBorders>
          </w:tcPr>
          <w:p w14:paraId="4E712D04" w14:textId="77777777" w:rsidR="00053418" w:rsidRPr="009E06AA" w:rsidRDefault="00053418" w:rsidP="00B55F24">
            <w:pPr>
              <w:pStyle w:val="TableText"/>
              <w:spacing w:before="40" w:after="40"/>
              <w:rPr>
                <w:szCs w:val="16"/>
              </w:rPr>
            </w:pPr>
          </w:p>
        </w:tc>
        <w:tc>
          <w:tcPr>
            <w:tcW w:w="1589" w:type="dxa"/>
            <w:tcBorders>
              <w:top w:val="single" w:sz="4" w:space="0" w:color="1B556B"/>
              <w:bottom w:val="single" w:sz="4" w:space="0" w:color="1B556B"/>
            </w:tcBorders>
          </w:tcPr>
          <w:p w14:paraId="66D8E4A4" w14:textId="77777777" w:rsidR="00053418" w:rsidRPr="009E06AA" w:rsidRDefault="00053418" w:rsidP="00B55F24">
            <w:pPr>
              <w:pStyle w:val="TableText"/>
              <w:spacing w:before="40" w:after="40"/>
              <w:rPr>
                <w:szCs w:val="16"/>
              </w:rPr>
            </w:pPr>
            <w:r w:rsidRPr="009E06AA">
              <w:rPr>
                <w:szCs w:val="16"/>
              </w:rPr>
              <w:tab/>
              <w:t>BGB</w:t>
            </w:r>
          </w:p>
        </w:tc>
        <w:tc>
          <w:tcPr>
            <w:tcW w:w="1276" w:type="dxa"/>
            <w:tcBorders>
              <w:top w:val="single" w:sz="4" w:space="0" w:color="1B556B"/>
              <w:bottom w:val="single" w:sz="4" w:space="0" w:color="1B556B"/>
            </w:tcBorders>
          </w:tcPr>
          <w:p w14:paraId="29C860E4" w14:textId="77777777" w:rsidR="00053418" w:rsidRPr="009E06AA" w:rsidRDefault="00053418" w:rsidP="002947DE">
            <w:pPr>
              <w:pStyle w:val="TableText"/>
              <w:spacing w:before="40" w:after="40"/>
              <w:jc w:val="right"/>
              <w:rPr>
                <w:szCs w:val="16"/>
              </w:rPr>
            </w:pPr>
            <w:r w:rsidRPr="009E06AA">
              <w:rPr>
                <w:szCs w:val="16"/>
              </w:rPr>
              <w:t>7.4</w:t>
            </w:r>
          </w:p>
        </w:tc>
        <w:tc>
          <w:tcPr>
            <w:tcW w:w="1276" w:type="dxa"/>
            <w:tcBorders>
              <w:top w:val="single" w:sz="4" w:space="0" w:color="1B556B"/>
              <w:bottom w:val="single" w:sz="4" w:space="0" w:color="1B556B"/>
            </w:tcBorders>
          </w:tcPr>
          <w:p w14:paraId="0739C13B" w14:textId="77777777" w:rsidR="00053418" w:rsidRPr="009E06AA" w:rsidRDefault="00053418" w:rsidP="002947DE">
            <w:pPr>
              <w:pStyle w:val="TableText"/>
              <w:spacing w:before="40" w:after="40"/>
              <w:jc w:val="right"/>
            </w:pPr>
            <w:r w:rsidRPr="009E06AA">
              <w:t>0.4</w:t>
            </w:r>
          </w:p>
        </w:tc>
        <w:tc>
          <w:tcPr>
            <w:tcW w:w="1134" w:type="dxa"/>
            <w:tcBorders>
              <w:top w:val="single" w:sz="4" w:space="0" w:color="1B556B"/>
              <w:bottom w:val="single" w:sz="4" w:space="0" w:color="1B556B"/>
            </w:tcBorders>
          </w:tcPr>
          <w:p w14:paraId="4DB6A2F7" w14:textId="77777777" w:rsidR="00053418" w:rsidRPr="009E06AA" w:rsidRDefault="00053418" w:rsidP="002947DE">
            <w:pPr>
              <w:pStyle w:val="TableText"/>
              <w:spacing w:before="40" w:after="40"/>
              <w:jc w:val="right"/>
            </w:pPr>
            <w:r w:rsidRPr="009E06AA">
              <w:t>20</w:t>
            </w:r>
          </w:p>
        </w:tc>
        <w:tc>
          <w:tcPr>
            <w:tcW w:w="1984" w:type="dxa"/>
            <w:vMerge/>
            <w:tcBorders>
              <w:bottom w:val="single" w:sz="4" w:space="0" w:color="1B556B"/>
            </w:tcBorders>
          </w:tcPr>
          <w:p w14:paraId="7296AFD9" w14:textId="77777777" w:rsidR="00053418" w:rsidRPr="009E06AA" w:rsidRDefault="00053418" w:rsidP="00B55F24">
            <w:pPr>
              <w:pStyle w:val="TableText"/>
              <w:spacing w:before="40" w:after="40"/>
              <w:rPr>
                <w:szCs w:val="16"/>
              </w:rPr>
            </w:pPr>
          </w:p>
        </w:tc>
      </w:tr>
      <w:tr w:rsidR="00053418" w:rsidRPr="009E06AA" w14:paraId="5938DAAF" w14:textId="77777777" w:rsidTr="004B0977">
        <w:trPr>
          <w:trHeight w:val="20"/>
        </w:trPr>
        <w:tc>
          <w:tcPr>
            <w:tcW w:w="1246" w:type="dxa"/>
            <w:vMerge/>
            <w:tcBorders>
              <w:bottom w:val="single" w:sz="4" w:space="0" w:color="1B556B"/>
            </w:tcBorders>
          </w:tcPr>
          <w:p w14:paraId="054ADDD9" w14:textId="77777777" w:rsidR="00053418" w:rsidRPr="009E06AA" w:rsidRDefault="00053418" w:rsidP="00B55F24">
            <w:pPr>
              <w:pStyle w:val="TableText"/>
              <w:spacing w:before="40" w:after="40"/>
              <w:rPr>
                <w:szCs w:val="16"/>
              </w:rPr>
            </w:pPr>
          </w:p>
        </w:tc>
        <w:tc>
          <w:tcPr>
            <w:tcW w:w="1589" w:type="dxa"/>
            <w:tcBorders>
              <w:top w:val="single" w:sz="4" w:space="0" w:color="1B556B"/>
              <w:bottom w:val="single" w:sz="4" w:space="0" w:color="1B556B"/>
            </w:tcBorders>
          </w:tcPr>
          <w:p w14:paraId="242D7C71" w14:textId="77777777" w:rsidR="00053418" w:rsidRPr="009E06AA" w:rsidRDefault="00053418" w:rsidP="00B55F24">
            <w:pPr>
              <w:pStyle w:val="TableText"/>
              <w:spacing w:before="40" w:after="40"/>
              <w:rPr>
                <w:i/>
                <w:szCs w:val="16"/>
              </w:rPr>
            </w:pPr>
            <w:r w:rsidRPr="009E06AA">
              <w:rPr>
                <w:i/>
                <w:szCs w:val="16"/>
              </w:rPr>
              <w:t>Dead organic matter</w:t>
            </w:r>
          </w:p>
        </w:tc>
        <w:tc>
          <w:tcPr>
            <w:tcW w:w="1276" w:type="dxa"/>
            <w:tcBorders>
              <w:top w:val="single" w:sz="4" w:space="0" w:color="1B556B"/>
              <w:bottom w:val="single" w:sz="4" w:space="0" w:color="1B556B"/>
            </w:tcBorders>
          </w:tcPr>
          <w:p w14:paraId="000BADC8" w14:textId="77777777" w:rsidR="00053418" w:rsidRPr="009E06AA" w:rsidRDefault="00053418" w:rsidP="002947DE">
            <w:pPr>
              <w:pStyle w:val="TableText"/>
              <w:spacing w:before="40" w:after="40"/>
              <w:jc w:val="right"/>
              <w:rPr>
                <w:szCs w:val="16"/>
              </w:rPr>
            </w:pPr>
          </w:p>
        </w:tc>
        <w:tc>
          <w:tcPr>
            <w:tcW w:w="1276" w:type="dxa"/>
            <w:tcBorders>
              <w:top w:val="single" w:sz="4" w:space="0" w:color="1B556B"/>
              <w:bottom w:val="single" w:sz="4" w:space="0" w:color="1B556B"/>
            </w:tcBorders>
          </w:tcPr>
          <w:p w14:paraId="5B168402" w14:textId="77777777" w:rsidR="00053418" w:rsidRPr="009E06AA" w:rsidRDefault="00053418" w:rsidP="002947DE">
            <w:pPr>
              <w:pStyle w:val="TableText"/>
              <w:spacing w:before="40" w:after="40"/>
              <w:jc w:val="right"/>
              <w:rPr>
                <w:szCs w:val="16"/>
              </w:rPr>
            </w:pPr>
          </w:p>
        </w:tc>
        <w:tc>
          <w:tcPr>
            <w:tcW w:w="1134" w:type="dxa"/>
            <w:tcBorders>
              <w:top w:val="single" w:sz="4" w:space="0" w:color="1B556B"/>
              <w:bottom w:val="single" w:sz="4" w:space="0" w:color="1B556B"/>
            </w:tcBorders>
          </w:tcPr>
          <w:p w14:paraId="09D31CF8" w14:textId="77777777" w:rsidR="00053418" w:rsidRPr="009E06AA" w:rsidRDefault="00053418" w:rsidP="002947DE">
            <w:pPr>
              <w:pStyle w:val="TableText"/>
              <w:spacing w:before="40" w:after="40"/>
              <w:jc w:val="right"/>
            </w:pPr>
          </w:p>
        </w:tc>
        <w:tc>
          <w:tcPr>
            <w:tcW w:w="1984" w:type="dxa"/>
            <w:vMerge/>
            <w:tcBorders>
              <w:bottom w:val="single" w:sz="4" w:space="0" w:color="1B556B"/>
            </w:tcBorders>
          </w:tcPr>
          <w:p w14:paraId="030B07DA" w14:textId="77777777" w:rsidR="00053418" w:rsidRPr="009E06AA" w:rsidRDefault="00053418" w:rsidP="00B55F24">
            <w:pPr>
              <w:pStyle w:val="TableText"/>
              <w:spacing w:before="40" w:after="40"/>
              <w:rPr>
                <w:szCs w:val="16"/>
              </w:rPr>
            </w:pPr>
          </w:p>
        </w:tc>
      </w:tr>
      <w:tr w:rsidR="00053418" w:rsidRPr="009E06AA" w14:paraId="4F66E060" w14:textId="77777777" w:rsidTr="004B0977">
        <w:trPr>
          <w:trHeight w:val="20"/>
        </w:trPr>
        <w:tc>
          <w:tcPr>
            <w:tcW w:w="1246" w:type="dxa"/>
            <w:vMerge/>
            <w:tcBorders>
              <w:bottom w:val="single" w:sz="4" w:space="0" w:color="1B556B"/>
            </w:tcBorders>
          </w:tcPr>
          <w:p w14:paraId="752A5705" w14:textId="77777777" w:rsidR="00053418" w:rsidRPr="009E06AA" w:rsidRDefault="00053418" w:rsidP="00B55F24">
            <w:pPr>
              <w:pStyle w:val="TableText"/>
              <w:spacing w:before="40" w:after="40"/>
              <w:rPr>
                <w:szCs w:val="16"/>
              </w:rPr>
            </w:pPr>
          </w:p>
        </w:tc>
        <w:tc>
          <w:tcPr>
            <w:tcW w:w="1589" w:type="dxa"/>
            <w:tcBorders>
              <w:top w:val="single" w:sz="4" w:space="0" w:color="1B556B"/>
              <w:bottom w:val="single" w:sz="4" w:space="0" w:color="1B556B"/>
            </w:tcBorders>
          </w:tcPr>
          <w:p w14:paraId="74595DCA" w14:textId="77777777" w:rsidR="00053418" w:rsidRPr="009E06AA" w:rsidRDefault="00053418" w:rsidP="00B55F24">
            <w:pPr>
              <w:pStyle w:val="TableText"/>
              <w:spacing w:before="40" w:after="40"/>
              <w:rPr>
                <w:szCs w:val="16"/>
              </w:rPr>
            </w:pPr>
            <w:r w:rsidRPr="009E06AA">
              <w:rPr>
                <w:szCs w:val="16"/>
              </w:rPr>
              <w:tab/>
              <w:t>Dead wood</w:t>
            </w:r>
          </w:p>
        </w:tc>
        <w:tc>
          <w:tcPr>
            <w:tcW w:w="1276" w:type="dxa"/>
            <w:tcBorders>
              <w:top w:val="single" w:sz="4" w:space="0" w:color="1B556B"/>
              <w:bottom w:val="single" w:sz="4" w:space="0" w:color="1B556B"/>
            </w:tcBorders>
          </w:tcPr>
          <w:p w14:paraId="236FFBB5" w14:textId="77777777" w:rsidR="00053418" w:rsidRPr="009E06AA" w:rsidRDefault="00053418" w:rsidP="002947DE">
            <w:pPr>
              <w:pStyle w:val="TableText"/>
              <w:spacing w:before="40" w:after="40"/>
              <w:jc w:val="right"/>
              <w:rPr>
                <w:szCs w:val="16"/>
              </w:rPr>
            </w:pPr>
            <w:r w:rsidRPr="009E06AA">
              <w:t>NE</w:t>
            </w:r>
          </w:p>
        </w:tc>
        <w:tc>
          <w:tcPr>
            <w:tcW w:w="1276" w:type="dxa"/>
            <w:tcBorders>
              <w:top w:val="single" w:sz="4" w:space="0" w:color="1B556B"/>
              <w:bottom w:val="single" w:sz="4" w:space="0" w:color="1B556B"/>
            </w:tcBorders>
          </w:tcPr>
          <w:p w14:paraId="1A1802D5" w14:textId="77777777" w:rsidR="00053418" w:rsidRPr="009E06AA" w:rsidRDefault="00053418" w:rsidP="002947DE">
            <w:pPr>
              <w:pStyle w:val="TableText"/>
              <w:spacing w:before="40" w:after="40"/>
              <w:jc w:val="right"/>
            </w:pPr>
            <w:r w:rsidRPr="009E06AA">
              <w:t>NE</w:t>
            </w:r>
          </w:p>
        </w:tc>
        <w:tc>
          <w:tcPr>
            <w:tcW w:w="1134" w:type="dxa"/>
            <w:tcBorders>
              <w:top w:val="single" w:sz="4" w:space="0" w:color="1B556B"/>
              <w:bottom w:val="single" w:sz="4" w:space="0" w:color="1B556B"/>
            </w:tcBorders>
          </w:tcPr>
          <w:p w14:paraId="26316213" w14:textId="77777777" w:rsidR="00053418" w:rsidRPr="009E06AA" w:rsidRDefault="00053418" w:rsidP="002947DE">
            <w:pPr>
              <w:pStyle w:val="TableText"/>
              <w:spacing w:before="40" w:after="40"/>
              <w:jc w:val="right"/>
            </w:pPr>
            <w:r w:rsidRPr="009E06AA">
              <w:t>NE</w:t>
            </w:r>
          </w:p>
        </w:tc>
        <w:tc>
          <w:tcPr>
            <w:tcW w:w="1984" w:type="dxa"/>
            <w:vMerge/>
            <w:tcBorders>
              <w:bottom w:val="single" w:sz="4" w:space="0" w:color="1B556B"/>
            </w:tcBorders>
          </w:tcPr>
          <w:p w14:paraId="4F8C2B53" w14:textId="77777777" w:rsidR="00053418" w:rsidRPr="009E06AA" w:rsidRDefault="00053418" w:rsidP="00B55F24">
            <w:pPr>
              <w:pStyle w:val="TableText"/>
              <w:spacing w:before="40" w:after="40"/>
              <w:rPr>
                <w:szCs w:val="16"/>
              </w:rPr>
            </w:pPr>
          </w:p>
        </w:tc>
      </w:tr>
      <w:tr w:rsidR="00053418" w:rsidRPr="009E06AA" w14:paraId="143CFE16" w14:textId="77777777" w:rsidTr="004B0977">
        <w:trPr>
          <w:trHeight w:val="20"/>
        </w:trPr>
        <w:tc>
          <w:tcPr>
            <w:tcW w:w="1246" w:type="dxa"/>
            <w:vMerge/>
            <w:tcBorders>
              <w:bottom w:val="single" w:sz="4" w:space="0" w:color="1B556B"/>
            </w:tcBorders>
          </w:tcPr>
          <w:p w14:paraId="38BA98D2" w14:textId="77777777" w:rsidR="00053418" w:rsidRPr="009E06AA" w:rsidRDefault="00053418" w:rsidP="00B55F24">
            <w:pPr>
              <w:pStyle w:val="TableText"/>
              <w:spacing w:before="40" w:after="40"/>
              <w:rPr>
                <w:szCs w:val="16"/>
              </w:rPr>
            </w:pPr>
          </w:p>
        </w:tc>
        <w:tc>
          <w:tcPr>
            <w:tcW w:w="1589" w:type="dxa"/>
            <w:tcBorders>
              <w:top w:val="single" w:sz="4" w:space="0" w:color="1B556B"/>
              <w:bottom w:val="single" w:sz="4" w:space="0" w:color="1B556B"/>
            </w:tcBorders>
          </w:tcPr>
          <w:p w14:paraId="698570E0" w14:textId="77777777" w:rsidR="00053418" w:rsidRPr="009E06AA" w:rsidRDefault="00053418" w:rsidP="00B55F24">
            <w:pPr>
              <w:pStyle w:val="TableText"/>
              <w:spacing w:before="40" w:after="40"/>
              <w:rPr>
                <w:szCs w:val="16"/>
              </w:rPr>
            </w:pPr>
            <w:r w:rsidRPr="009E06AA">
              <w:rPr>
                <w:szCs w:val="16"/>
              </w:rPr>
              <w:tab/>
              <w:t>Litter</w:t>
            </w:r>
          </w:p>
        </w:tc>
        <w:tc>
          <w:tcPr>
            <w:tcW w:w="1276" w:type="dxa"/>
            <w:tcBorders>
              <w:top w:val="single" w:sz="4" w:space="0" w:color="1B556B"/>
              <w:bottom w:val="single" w:sz="4" w:space="0" w:color="1B556B"/>
            </w:tcBorders>
          </w:tcPr>
          <w:p w14:paraId="3F48313E" w14:textId="77777777" w:rsidR="00053418" w:rsidRPr="009E06AA" w:rsidRDefault="00053418" w:rsidP="002947DE">
            <w:pPr>
              <w:pStyle w:val="TableText"/>
              <w:spacing w:before="40" w:after="40"/>
              <w:jc w:val="right"/>
              <w:rPr>
                <w:szCs w:val="16"/>
              </w:rPr>
            </w:pPr>
            <w:r w:rsidRPr="009E06AA">
              <w:t>NE</w:t>
            </w:r>
          </w:p>
        </w:tc>
        <w:tc>
          <w:tcPr>
            <w:tcW w:w="1276" w:type="dxa"/>
            <w:tcBorders>
              <w:top w:val="single" w:sz="4" w:space="0" w:color="1B556B"/>
              <w:bottom w:val="single" w:sz="4" w:space="0" w:color="1B556B"/>
            </w:tcBorders>
          </w:tcPr>
          <w:p w14:paraId="4F95F8A1" w14:textId="77777777" w:rsidR="00053418" w:rsidRPr="009E06AA" w:rsidRDefault="00053418" w:rsidP="002947DE">
            <w:pPr>
              <w:pStyle w:val="TableText"/>
              <w:spacing w:before="40" w:after="40"/>
              <w:jc w:val="right"/>
            </w:pPr>
            <w:r w:rsidRPr="009E06AA">
              <w:t>NE</w:t>
            </w:r>
          </w:p>
        </w:tc>
        <w:tc>
          <w:tcPr>
            <w:tcW w:w="1134" w:type="dxa"/>
            <w:tcBorders>
              <w:top w:val="single" w:sz="4" w:space="0" w:color="1B556B"/>
              <w:bottom w:val="single" w:sz="4" w:space="0" w:color="1B556B"/>
            </w:tcBorders>
          </w:tcPr>
          <w:p w14:paraId="477021EA" w14:textId="77777777" w:rsidR="00053418" w:rsidRPr="009E06AA" w:rsidRDefault="00053418" w:rsidP="002947DE">
            <w:pPr>
              <w:pStyle w:val="TableText"/>
              <w:spacing w:before="40" w:after="40"/>
              <w:jc w:val="right"/>
            </w:pPr>
            <w:r w:rsidRPr="009E06AA">
              <w:t>NE</w:t>
            </w:r>
          </w:p>
        </w:tc>
        <w:tc>
          <w:tcPr>
            <w:tcW w:w="1984" w:type="dxa"/>
            <w:vMerge/>
            <w:tcBorders>
              <w:bottom w:val="single" w:sz="4" w:space="0" w:color="1B556B"/>
            </w:tcBorders>
          </w:tcPr>
          <w:p w14:paraId="33D1D74A" w14:textId="77777777" w:rsidR="00053418" w:rsidRPr="009E06AA" w:rsidRDefault="00053418" w:rsidP="00B55F24">
            <w:pPr>
              <w:pStyle w:val="TableText"/>
              <w:spacing w:before="40" w:after="40"/>
              <w:rPr>
                <w:szCs w:val="16"/>
              </w:rPr>
            </w:pPr>
          </w:p>
        </w:tc>
      </w:tr>
    </w:tbl>
    <w:p w14:paraId="02EC616C" w14:textId="77777777" w:rsidR="00053418" w:rsidRPr="009E06AA" w:rsidRDefault="00053418" w:rsidP="00053418">
      <w:pPr>
        <w:pStyle w:val="Noteundertable"/>
      </w:pPr>
      <w:r w:rsidRPr="009E06AA">
        <w:rPr>
          <w:b/>
        </w:rPr>
        <w:t>Note:</w:t>
      </w:r>
      <w:r w:rsidRPr="009E06AA">
        <w:tab/>
        <w:t>AGB = above-ground biomass; BGB = below-ground biomass;</w:t>
      </w:r>
      <w:r w:rsidRPr="009E06AA" w:rsidDel="00BB7833">
        <w:t xml:space="preserve"> </w:t>
      </w:r>
      <w:r w:rsidRPr="009E06AA">
        <w:t>NE = not estimated</w:t>
      </w:r>
      <w:r w:rsidRPr="009E06AA" w:rsidDel="00BB7833">
        <w:t xml:space="preserve"> </w:t>
      </w:r>
      <w:r w:rsidRPr="009E06AA">
        <w:t xml:space="preserve">. Columns may not total due to rounding. </w:t>
      </w:r>
    </w:p>
    <w:p w14:paraId="41620E07" w14:textId="77777777" w:rsidR="00053418" w:rsidRPr="009E06AA" w:rsidRDefault="00053418" w:rsidP="00BF2A76">
      <w:pPr>
        <w:pStyle w:val="Heading5"/>
      </w:pPr>
      <w:r w:rsidRPr="009E06AA">
        <w:t xml:space="preserve">Soil organic carbon </w:t>
      </w:r>
    </w:p>
    <w:p w14:paraId="69C0F94F" w14:textId="77777777" w:rsidR="00053418" w:rsidRPr="009E06AA" w:rsidRDefault="00053418" w:rsidP="00053418">
      <w:pPr>
        <w:pStyle w:val="BodyText"/>
      </w:pPr>
      <w:r w:rsidRPr="009E06AA">
        <w:t xml:space="preserve">Soil organic carbon stocks in </w:t>
      </w:r>
      <w:r w:rsidRPr="009E06AA">
        <w:rPr>
          <w:i/>
        </w:rPr>
        <w:t>Land converted to wetlands</w:t>
      </w:r>
      <w:r w:rsidRPr="009E06AA">
        <w:t xml:space="preserve"> are estimated using a Tier 2 method, as described in annex A5.2.4. </w:t>
      </w:r>
    </w:p>
    <w:p w14:paraId="2B294995" w14:textId="77777777" w:rsidR="00053418" w:rsidRPr="009E06AA" w:rsidRDefault="00053418" w:rsidP="00BF2A76">
      <w:pPr>
        <w:pStyle w:val="Heading5"/>
      </w:pPr>
      <w:r w:rsidRPr="009E06AA">
        <w:t>Non-CO</w:t>
      </w:r>
      <w:r w:rsidRPr="009E06AA">
        <w:rPr>
          <w:vertAlign w:val="subscript"/>
        </w:rPr>
        <w:t>2</w:t>
      </w:r>
      <w:r w:rsidRPr="009E06AA">
        <w:t xml:space="preserve"> emissions</w:t>
      </w:r>
    </w:p>
    <w:p w14:paraId="69F89299" w14:textId="77777777" w:rsidR="00053418" w:rsidRPr="009E06AA" w:rsidRDefault="00053418" w:rsidP="00053418">
      <w:pPr>
        <w:pStyle w:val="Heading6"/>
      </w:pPr>
      <w:r w:rsidRPr="009E06AA">
        <w:t>Non-CO</w:t>
      </w:r>
      <w:r w:rsidRPr="009E06AA">
        <w:rPr>
          <w:vertAlign w:val="subscript"/>
        </w:rPr>
        <w:t>2</w:t>
      </w:r>
      <w:r w:rsidRPr="009E06AA">
        <w:t xml:space="preserve"> emissions from drainage of soils and wetlands</w:t>
      </w:r>
    </w:p>
    <w:p w14:paraId="001CDDA3" w14:textId="77777777" w:rsidR="00053418" w:rsidRPr="009E06AA" w:rsidRDefault="00053418" w:rsidP="00053418">
      <w:pPr>
        <w:pStyle w:val="BodyText"/>
      </w:pPr>
      <w:r w:rsidRPr="009E06AA">
        <w:t xml:space="preserve">New Zealand has not prepared estimates for this category. The notation key NE is used in the CRTs where either no activity data are available to report on this activity or no Tier 1 methodology exists within the accepted guidelines for providing estimates. Use of this notation key is in accordance with Decision 24/CP.19 (UNFCCC, 2014). </w:t>
      </w:r>
    </w:p>
    <w:p w14:paraId="6E6F78D3" w14:textId="77777777" w:rsidR="00053418" w:rsidRPr="009E06AA" w:rsidRDefault="00053418" w:rsidP="00053418">
      <w:pPr>
        <w:pStyle w:val="Heading3"/>
      </w:pPr>
      <w:r w:rsidRPr="009E06AA">
        <w:t>6.7.3</w:t>
      </w:r>
      <w:r w:rsidRPr="009E06AA">
        <w:tab/>
        <w:t>Uncertainty assessment and time-series consistency</w:t>
      </w:r>
    </w:p>
    <w:p w14:paraId="457B22DA" w14:textId="77777777" w:rsidR="00053418" w:rsidRPr="009E06AA" w:rsidRDefault="00053418" w:rsidP="00053418">
      <w:pPr>
        <w:pStyle w:val="BodyText"/>
      </w:pPr>
      <w:r w:rsidRPr="009E06AA">
        <w:t xml:space="preserve">The uncertainty in net carbon emissions from </w:t>
      </w:r>
      <w:r w:rsidRPr="009E06AA">
        <w:rPr>
          <w:i/>
          <w:iCs/>
        </w:rPr>
        <w:t>Wetlands</w:t>
      </w:r>
      <w:r w:rsidRPr="009E06AA">
        <w:t xml:space="preserve"> was 127.7 per cent in 2022 and accounted for 0.1 per cent of the total uncertainty in emissions from the LULUCF sector. The uncertainty associated with the emissions from each </w:t>
      </w:r>
      <w:r w:rsidRPr="009E06AA">
        <w:rPr>
          <w:i/>
        </w:rPr>
        <w:t>Wetland</w:t>
      </w:r>
      <w:r w:rsidRPr="009E06AA">
        <w:t xml:space="preserve"> class is shown in table 6.7.4. The methods used to calculate the uncertainty are further described in annex A5.2.8. </w:t>
      </w:r>
    </w:p>
    <w:p w14:paraId="1FF4D226" w14:textId="77777777" w:rsidR="00053418" w:rsidRPr="009E06AA" w:rsidRDefault="00053418" w:rsidP="00053418">
      <w:pPr>
        <w:pStyle w:val="BodyText"/>
      </w:pPr>
      <w:r w:rsidRPr="009E06AA">
        <w:t xml:space="preserve">Time-series consistency is ensured by applying consistent methods and full recalculations in the event of any refinement or improvement to methodology. </w:t>
      </w:r>
    </w:p>
    <w:p w14:paraId="0E2EC430" w14:textId="77777777" w:rsidR="00053418" w:rsidRPr="009E06AA" w:rsidRDefault="00053418" w:rsidP="00053418">
      <w:pPr>
        <w:pStyle w:val="Table"/>
      </w:pPr>
      <w:bookmarkStart w:id="2491" w:name="_Toc131591417"/>
      <w:bookmarkStart w:id="2492" w:name="_Toc158979975"/>
      <w:bookmarkStart w:id="2493" w:name="_Toc164153908"/>
      <w:r w:rsidRPr="009E06AA">
        <w:t>Table 6.7.4</w:t>
      </w:r>
      <w:r w:rsidRPr="009E06AA">
        <w:tab/>
        <w:t xml:space="preserve">Uncertainty in carbon stock change emissions in 2022 for </w:t>
      </w:r>
      <w:r w:rsidRPr="009E06AA">
        <w:rPr>
          <w:i/>
        </w:rPr>
        <w:t>Wetlands</w:t>
      </w:r>
      <w:bookmarkEnd w:id="2491"/>
      <w:bookmarkEnd w:id="2492"/>
      <w:bookmarkEnd w:id="2493"/>
      <w:r w:rsidRPr="009E06AA">
        <w:t xml:space="preserve"> </w:t>
      </w:r>
    </w:p>
    <w:tbl>
      <w:tblPr>
        <w:tblW w:w="8505" w:type="dxa"/>
        <w:tblLayout w:type="fixed"/>
        <w:tblLook w:val="04A0" w:firstRow="1" w:lastRow="0" w:firstColumn="1" w:lastColumn="0" w:noHBand="0" w:noVBand="1"/>
      </w:tblPr>
      <w:tblGrid>
        <w:gridCol w:w="1843"/>
        <w:gridCol w:w="1559"/>
        <w:gridCol w:w="2268"/>
        <w:gridCol w:w="2835"/>
      </w:tblGrid>
      <w:tr w:rsidR="00053418" w:rsidRPr="009E06AA" w14:paraId="19B0058F" w14:textId="77777777" w:rsidTr="004B0977">
        <w:tc>
          <w:tcPr>
            <w:tcW w:w="1843" w:type="dxa"/>
            <w:tcBorders>
              <w:top w:val="single" w:sz="4" w:space="0" w:color="1B556B" w:themeColor="text2"/>
              <w:bottom w:val="single" w:sz="4" w:space="0" w:color="1B556B" w:themeColor="text2"/>
            </w:tcBorders>
            <w:shd w:val="clear" w:color="auto" w:fill="1B556B" w:themeFill="text2"/>
            <w:vAlign w:val="bottom"/>
          </w:tcPr>
          <w:p w14:paraId="33292ABF" w14:textId="77777777" w:rsidR="00053418" w:rsidRPr="009E06AA" w:rsidRDefault="00053418" w:rsidP="00B55F24">
            <w:pPr>
              <w:pStyle w:val="TableTextBold"/>
              <w:keepNext/>
              <w:spacing w:before="40" w:after="40"/>
              <w:rPr>
                <w:noProof w:val="0"/>
                <w:color w:val="FFFFFF"/>
                <w:szCs w:val="16"/>
              </w:rPr>
            </w:pPr>
          </w:p>
        </w:tc>
        <w:tc>
          <w:tcPr>
            <w:tcW w:w="1559" w:type="dxa"/>
            <w:tcBorders>
              <w:top w:val="single" w:sz="4" w:space="0" w:color="1B556B" w:themeColor="text2"/>
              <w:bottom w:val="single" w:sz="4" w:space="0" w:color="1B556B" w:themeColor="text2"/>
            </w:tcBorders>
            <w:shd w:val="clear" w:color="auto" w:fill="1B556B" w:themeFill="text2"/>
            <w:vAlign w:val="bottom"/>
          </w:tcPr>
          <w:p w14:paraId="4D59BBE6" w14:textId="18C729F2" w:rsidR="00053418" w:rsidRPr="009E06AA" w:rsidRDefault="00053418" w:rsidP="004241BC">
            <w:pPr>
              <w:pStyle w:val="TableTextBold"/>
              <w:spacing w:before="40" w:after="40"/>
              <w:jc w:val="right"/>
              <w:rPr>
                <w:noProof w:val="0"/>
                <w:color w:val="FFFFFF"/>
                <w:szCs w:val="16"/>
              </w:rPr>
            </w:pPr>
            <w:r w:rsidRPr="009E06AA">
              <w:rPr>
                <w:noProof w:val="0"/>
                <w:color w:val="FFFFFF"/>
                <w:szCs w:val="16"/>
              </w:rPr>
              <w:t>Emissions</w:t>
            </w:r>
            <w:r w:rsidR="004B0977" w:rsidRPr="009E06AA">
              <w:rPr>
                <w:noProof w:val="0"/>
                <w:color w:val="FFFFFF"/>
                <w:szCs w:val="16"/>
              </w:rPr>
              <w:t xml:space="preserve"> </w:t>
            </w:r>
            <w:r w:rsidRPr="009E06AA">
              <w:rPr>
                <w:noProof w:val="0"/>
                <w:color w:val="FFFFFF"/>
                <w:szCs w:val="16"/>
              </w:rPr>
              <w:t>(kt CO</w:t>
            </w:r>
            <w:r w:rsidRPr="009E06AA">
              <w:rPr>
                <w:noProof w:val="0"/>
                <w:color w:val="FFFFFF"/>
                <w:szCs w:val="16"/>
                <w:vertAlign w:val="subscript"/>
              </w:rPr>
              <w:t>2</w:t>
            </w:r>
            <w:r w:rsidRPr="009E06AA">
              <w:rPr>
                <w:noProof w:val="0"/>
                <w:color w:val="FFFFFF"/>
                <w:szCs w:val="16"/>
              </w:rPr>
              <w:t>-e)</w:t>
            </w:r>
          </w:p>
        </w:tc>
        <w:tc>
          <w:tcPr>
            <w:tcW w:w="2268" w:type="dxa"/>
            <w:tcBorders>
              <w:top w:val="single" w:sz="4" w:space="0" w:color="1B556B" w:themeColor="text2"/>
              <w:bottom w:val="single" w:sz="4" w:space="0" w:color="1B556B" w:themeColor="text2"/>
            </w:tcBorders>
            <w:shd w:val="clear" w:color="auto" w:fill="1B556B" w:themeFill="text2"/>
            <w:vAlign w:val="bottom"/>
          </w:tcPr>
          <w:p w14:paraId="068A5095" w14:textId="77777777" w:rsidR="00053418" w:rsidRPr="009E06AA" w:rsidRDefault="00053418" w:rsidP="004241BC">
            <w:pPr>
              <w:pStyle w:val="TableTextBold"/>
              <w:spacing w:before="40" w:after="40"/>
              <w:jc w:val="right"/>
              <w:rPr>
                <w:noProof w:val="0"/>
                <w:color w:val="FFFFFF"/>
                <w:szCs w:val="16"/>
              </w:rPr>
            </w:pPr>
            <w:r w:rsidRPr="009E06AA">
              <w:rPr>
                <w:noProof w:val="0"/>
                <w:color w:val="FFFFFF"/>
                <w:szCs w:val="16"/>
              </w:rPr>
              <w:t>Uncertainty in emissions (%)</w:t>
            </w:r>
          </w:p>
        </w:tc>
        <w:tc>
          <w:tcPr>
            <w:tcW w:w="2835" w:type="dxa"/>
            <w:tcBorders>
              <w:top w:val="single" w:sz="4" w:space="0" w:color="1B556B" w:themeColor="text2"/>
              <w:bottom w:val="single" w:sz="4" w:space="0" w:color="1B556B" w:themeColor="text2"/>
            </w:tcBorders>
            <w:shd w:val="clear" w:color="auto" w:fill="1B556B" w:themeFill="text2"/>
            <w:vAlign w:val="bottom"/>
          </w:tcPr>
          <w:p w14:paraId="0342186F" w14:textId="77777777" w:rsidR="00053418" w:rsidRPr="009E06AA" w:rsidRDefault="00053418" w:rsidP="004241BC">
            <w:pPr>
              <w:pStyle w:val="TableTextBold"/>
              <w:spacing w:before="40" w:after="40"/>
              <w:jc w:val="right"/>
              <w:rPr>
                <w:noProof w:val="0"/>
                <w:color w:val="FFFFFF"/>
                <w:szCs w:val="16"/>
              </w:rPr>
            </w:pPr>
            <w:r w:rsidRPr="009E06AA">
              <w:rPr>
                <w:noProof w:val="0"/>
                <w:color w:val="FFFFFF"/>
                <w:szCs w:val="16"/>
              </w:rPr>
              <w:t>Contribution to LULUCF uncertainty (%)</w:t>
            </w:r>
          </w:p>
        </w:tc>
      </w:tr>
      <w:tr w:rsidR="00053418" w:rsidRPr="009E06AA" w14:paraId="3664B655" w14:textId="77777777" w:rsidTr="004B0977">
        <w:tc>
          <w:tcPr>
            <w:tcW w:w="1843" w:type="dxa"/>
            <w:tcBorders>
              <w:top w:val="single" w:sz="4" w:space="0" w:color="1B556B" w:themeColor="text2"/>
              <w:bottom w:val="single" w:sz="4" w:space="0" w:color="1B556B" w:themeColor="text2"/>
            </w:tcBorders>
          </w:tcPr>
          <w:p w14:paraId="10D21160" w14:textId="77777777" w:rsidR="00053418" w:rsidRPr="009E06AA" w:rsidRDefault="00053418" w:rsidP="00B55F24">
            <w:pPr>
              <w:pStyle w:val="TableText"/>
              <w:spacing w:before="40" w:after="40"/>
              <w:rPr>
                <w:szCs w:val="16"/>
              </w:rPr>
            </w:pPr>
            <w:r w:rsidRPr="009E06AA">
              <w:t>Wetlands – open water</w:t>
            </w:r>
          </w:p>
        </w:tc>
        <w:tc>
          <w:tcPr>
            <w:tcW w:w="1559" w:type="dxa"/>
            <w:tcBorders>
              <w:top w:val="single" w:sz="4" w:space="0" w:color="1B556B" w:themeColor="text2"/>
              <w:bottom w:val="single" w:sz="4" w:space="0" w:color="1B556B" w:themeColor="text2"/>
            </w:tcBorders>
            <w:vAlign w:val="bottom"/>
          </w:tcPr>
          <w:p w14:paraId="65F152DC" w14:textId="77777777" w:rsidR="00053418" w:rsidRPr="009E06AA" w:rsidRDefault="00053418" w:rsidP="004241BC">
            <w:pPr>
              <w:pStyle w:val="TableText"/>
              <w:spacing w:before="40" w:after="40"/>
              <w:jc w:val="right"/>
              <w:rPr>
                <w:szCs w:val="16"/>
              </w:rPr>
            </w:pPr>
            <w:r w:rsidRPr="009E06AA">
              <w:rPr>
                <w:rFonts w:cs="Calibri"/>
                <w:color w:val="000000"/>
                <w:szCs w:val="16"/>
              </w:rPr>
              <w:t>-4.9</w:t>
            </w:r>
          </w:p>
        </w:tc>
        <w:tc>
          <w:tcPr>
            <w:tcW w:w="2268" w:type="dxa"/>
            <w:tcBorders>
              <w:top w:val="single" w:sz="4" w:space="0" w:color="1B556B" w:themeColor="text2"/>
              <w:bottom w:val="single" w:sz="4" w:space="0" w:color="1B556B" w:themeColor="text2"/>
            </w:tcBorders>
            <w:vAlign w:val="bottom"/>
          </w:tcPr>
          <w:p w14:paraId="7604AA98" w14:textId="77777777" w:rsidR="00053418" w:rsidRPr="009E06AA" w:rsidRDefault="00053418" w:rsidP="004241BC">
            <w:pPr>
              <w:pStyle w:val="TableText"/>
              <w:spacing w:before="40" w:after="40"/>
              <w:jc w:val="right"/>
              <w:rPr>
                <w:rFonts w:cs="Segoe UI"/>
                <w:szCs w:val="16"/>
              </w:rPr>
            </w:pPr>
            <w:r w:rsidRPr="009E06AA">
              <w:rPr>
                <w:rFonts w:cs="Calibri"/>
                <w:color w:val="000000"/>
                <w:szCs w:val="16"/>
              </w:rPr>
              <w:t>258.3</w:t>
            </w:r>
          </w:p>
        </w:tc>
        <w:tc>
          <w:tcPr>
            <w:tcW w:w="2835" w:type="dxa"/>
            <w:tcBorders>
              <w:top w:val="single" w:sz="4" w:space="0" w:color="1B556B" w:themeColor="text2"/>
              <w:bottom w:val="single" w:sz="4" w:space="0" w:color="1B556B" w:themeColor="text2"/>
            </w:tcBorders>
            <w:vAlign w:val="bottom"/>
          </w:tcPr>
          <w:p w14:paraId="2C117FE8" w14:textId="77777777" w:rsidR="00053418" w:rsidRPr="009E06AA" w:rsidRDefault="00053418" w:rsidP="004241BC">
            <w:pPr>
              <w:pStyle w:val="TableText"/>
              <w:spacing w:before="40" w:after="40"/>
              <w:jc w:val="right"/>
              <w:rPr>
                <w:rFonts w:cs="Segoe UI"/>
                <w:szCs w:val="16"/>
              </w:rPr>
            </w:pPr>
            <w:r w:rsidRPr="009E06AA">
              <w:rPr>
                <w:rFonts w:cs="Calibri"/>
                <w:color w:val="000000"/>
                <w:szCs w:val="16"/>
              </w:rPr>
              <w:t>0.1</w:t>
            </w:r>
          </w:p>
        </w:tc>
      </w:tr>
      <w:tr w:rsidR="00053418" w:rsidRPr="009E06AA" w14:paraId="1F01E02E" w14:textId="77777777" w:rsidTr="004B0977">
        <w:tc>
          <w:tcPr>
            <w:tcW w:w="1843" w:type="dxa"/>
            <w:tcBorders>
              <w:top w:val="single" w:sz="4" w:space="0" w:color="1B556B" w:themeColor="text2"/>
              <w:bottom w:val="single" w:sz="4" w:space="0" w:color="1B556B" w:themeColor="text2"/>
            </w:tcBorders>
          </w:tcPr>
          <w:p w14:paraId="50B3A68E" w14:textId="77777777" w:rsidR="00053418" w:rsidRPr="009E06AA" w:rsidRDefault="00053418" w:rsidP="00B55F24">
            <w:pPr>
              <w:pStyle w:val="TableText"/>
              <w:spacing w:before="40" w:after="40"/>
              <w:rPr>
                <w:szCs w:val="16"/>
              </w:rPr>
            </w:pPr>
            <w:r w:rsidRPr="009E06AA">
              <w:t>Wetlands – vegetative</w:t>
            </w:r>
          </w:p>
        </w:tc>
        <w:tc>
          <w:tcPr>
            <w:tcW w:w="1559" w:type="dxa"/>
            <w:tcBorders>
              <w:top w:val="single" w:sz="4" w:space="0" w:color="1B556B" w:themeColor="text2"/>
              <w:bottom w:val="single" w:sz="4" w:space="0" w:color="1B556B" w:themeColor="text2"/>
            </w:tcBorders>
            <w:vAlign w:val="bottom"/>
          </w:tcPr>
          <w:p w14:paraId="170980F6" w14:textId="77777777" w:rsidR="00053418" w:rsidRPr="009E06AA" w:rsidRDefault="00053418" w:rsidP="004241BC">
            <w:pPr>
              <w:pStyle w:val="TableText"/>
              <w:spacing w:before="40" w:after="40"/>
              <w:jc w:val="right"/>
              <w:rPr>
                <w:szCs w:val="16"/>
              </w:rPr>
            </w:pPr>
            <w:r w:rsidRPr="009E06AA">
              <w:rPr>
                <w:rFonts w:cs="Calibri"/>
                <w:color w:val="000000"/>
                <w:szCs w:val="16"/>
              </w:rPr>
              <w:t>-5.1</w:t>
            </w:r>
          </w:p>
        </w:tc>
        <w:tc>
          <w:tcPr>
            <w:tcW w:w="2268" w:type="dxa"/>
            <w:tcBorders>
              <w:top w:val="single" w:sz="4" w:space="0" w:color="1B556B" w:themeColor="text2"/>
              <w:bottom w:val="single" w:sz="4" w:space="0" w:color="1B556B" w:themeColor="text2"/>
            </w:tcBorders>
            <w:vAlign w:val="bottom"/>
          </w:tcPr>
          <w:p w14:paraId="62A51C01" w14:textId="77777777" w:rsidR="00053418" w:rsidRPr="009E06AA" w:rsidRDefault="00053418" w:rsidP="004241BC">
            <w:pPr>
              <w:pStyle w:val="TableText"/>
              <w:spacing w:before="40" w:after="40"/>
              <w:jc w:val="right"/>
              <w:rPr>
                <w:rFonts w:cs="Segoe UI"/>
                <w:szCs w:val="16"/>
              </w:rPr>
            </w:pPr>
            <w:r w:rsidRPr="009E06AA">
              <w:rPr>
                <w:rFonts w:cs="Calibri"/>
                <w:color w:val="000000"/>
                <w:szCs w:val="16"/>
              </w:rPr>
              <w:t>39.1</w:t>
            </w:r>
          </w:p>
        </w:tc>
        <w:tc>
          <w:tcPr>
            <w:tcW w:w="2835" w:type="dxa"/>
            <w:tcBorders>
              <w:top w:val="single" w:sz="4" w:space="0" w:color="1B556B" w:themeColor="text2"/>
              <w:bottom w:val="single" w:sz="4" w:space="0" w:color="1B556B" w:themeColor="text2"/>
            </w:tcBorders>
            <w:vAlign w:val="bottom"/>
          </w:tcPr>
          <w:p w14:paraId="73304CDE" w14:textId="77777777" w:rsidR="00053418" w:rsidRPr="009E06AA" w:rsidRDefault="00053418" w:rsidP="004241BC">
            <w:pPr>
              <w:pStyle w:val="TableText"/>
              <w:spacing w:before="40" w:after="40"/>
              <w:jc w:val="right"/>
              <w:rPr>
                <w:rFonts w:cs="Segoe UI"/>
                <w:szCs w:val="16"/>
              </w:rPr>
            </w:pPr>
            <w:r w:rsidRPr="009E06AA">
              <w:rPr>
                <w:rFonts w:cs="Calibri"/>
                <w:color w:val="000000"/>
                <w:szCs w:val="16"/>
              </w:rPr>
              <w:t>0.0</w:t>
            </w:r>
          </w:p>
        </w:tc>
      </w:tr>
      <w:tr w:rsidR="00053418" w:rsidRPr="009E06AA" w14:paraId="230E8B68" w14:textId="77777777" w:rsidTr="004B0977">
        <w:tc>
          <w:tcPr>
            <w:tcW w:w="1843" w:type="dxa"/>
            <w:tcBorders>
              <w:top w:val="single" w:sz="4" w:space="0" w:color="1B556B" w:themeColor="text2"/>
              <w:bottom w:val="single" w:sz="4" w:space="0" w:color="1B556B" w:themeColor="text2"/>
            </w:tcBorders>
          </w:tcPr>
          <w:p w14:paraId="2601FE2F" w14:textId="77777777" w:rsidR="00053418" w:rsidRPr="009E06AA" w:rsidRDefault="00053418" w:rsidP="00B55F24">
            <w:pPr>
              <w:pStyle w:val="TableText"/>
              <w:spacing w:before="40" w:after="40"/>
            </w:pPr>
            <w:r w:rsidRPr="009E06AA">
              <w:t>Peat extraction</w:t>
            </w:r>
          </w:p>
        </w:tc>
        <w:tc>
          <w:tcPr>
            <w:tcW w:w="1559" w:type="dxa"/>
            <w:tcBorders>
              <w:top w:val="single" w:sz="4" w:space="0" w:color="1B556B" w:themeColor="text2"/>
              <w:bottom w:val="single" w:sz="4" w:space="0" w:color="1B556B" w:themeColor="text2"/>
            </w:tcBorders>
            <w:vAlign w:val="bottom"/>
          </w:tcPr>
          <w:p w14:paraId="358110C4" w14:textId="77777777" w:rsidR="00053418" w:rsidRPr="009E06AA" w:rsidRDefault="00053418" w:rsidP="004241BC">
            <w:pPr>
              <w:pStyle w:val="TableText"/>
              <w:spacing w:before="40" w:after="40"/>
              <w:jc w:val="right"/>
              <w:rPr>
                <w:szCs w:val="16"/>
              </w:rPr>
            </w:pPr>
            <w:r w:rsidRPr="009E06AA">
              <w:rPr>
                <w:rFonts w:cs="Calibri"/>
                <w:color w:val="000000"/>
                <w:szCs w:val="16"/>
              </w:rPr>
              <w:t>17.9</w:t>
            </w:r>
          </w:p>
        </w:tc>
        <w:tc>
          <w:tcPr>
            <w:tcW w:w="2268" w:type="dxa"/>
            <w:tcBorders>
              <w:top w:val="single" w:sz="4" w:space="0" w:color="1B556B" w:themeColor="text2"/>
              <w:bottom w:val="single" w:sz="4" w:space="0" w:color="1B556B" w:themeColor="text2"/>
            </w:tcBorders>
            <w:vAlign w:val="bottom"/>
          </w:tcPr>
          <w:p w14:paraId="336CF1D1" w14:textId="77777777" w:rsidR="00053418" w:rsidRPr="009E06AA" w:rsidRDefault="00053418" w:rsidP="004241BC">
            <w:pPr>
              <w:pStyle w:val="TableText"/>
              <w:spacing w:before="40" w:after="40"/>
              <w:jc w:val="right"/>
              <w:rPr>
                <w:szCs w:val="16"/>
              </w:rPr>
            </w:pPr>
            <w:r w:rsidRPr="009E06AA">
              <w:rPr>
                <w:rFonts w:cs="Calibri"/>
                <w:color w:val="000000"/>
                <w:szCs w:val="16"/>
              </w:rPr>
              <w:t>18.9</w:t>
            </w:r>
          </w:p>
        </w:tc>
        <w:tc>
          <w:tcPr>
            <w:tcW w:w="2835" w:type="dxa"/>
            <w:tcBorders>
              <w:top w:val="single" w:sz="4" w:space="0" w:color="1B556B" w:themeColor="text2"/>
              <w:bottom w:val="single" w:sz="4" w:space="0" w:color="1B556B" w:themeColor="text2"/>
            </w:tcBorders>
            <w:vAlign w:val="bottom"/>
          </w:tcPr>
          <w:p w14:paraId="7585A4C2" w14:textId="77777777" w:rsidR="00053418" w:rsidRPr="009E06AA" w:rsidRDefault="00053418" w:rsidP="004241BC">
            <w:pPr>
              <w:pStyle w:val="TableText"/>
              <w:spacing w:before="40" w:after="40"/>
              <w:jc w:val="right"/>
              <w:rPr>
                <w:szCs w:val="16"/>
              </w:rPr>
            </w:pPr>
            <w:r w:rsidRPr="009E06AA">
              <w:rPr>
                <w:rFonts w:cs="Calibri"/>
                <w:color w:val="000000"/>
                <w:szCs w:val="16"/>
              </w:rPr>
              <w:t>0.0</w:t>
            </w:r>
          </w:p>
        </w:tc>
      </w:tr>
      <w:tr w:rsidR="00053418" w:rsidRPr="009E06AA" w14:paraId="23DCE9FB" w14:textId="77777777" w:rsidTr="004B0977">
        <w:tc>
          <w:tcPr>
            <w:tcW w:w="1843" w:type="dxa"/>
            <w:tcBorders>
              <w:top w:val="single" w:sz="4" w:space="0" w:color="1B556B" w:themeColor="text2"/>
              <w:bottom w:val="single" w:sz="4" w:space="0" w:color="1B556B" w:themeColor="text2"/>
            </w:tcBorders>
          </w:tcPr>
          <w:p w14:paraId="0006E209" w14:textId="77777777" w:rsidR="00053418" w:rsidRPr="009E06AA" w:rsidRDefault="00053418" w:rsidP="00B55F24">
            <w:pPr>
              <w:pStyle w:val="TableTextBold"/>
              <w:spacing w:before="40" w:after="40"/>
              <w:rPr>
                <w:noProof w:val="0"/>
                <w:color w:val="1B556B"/>
              </w:rPr>
            </w:pPr>
            <w:r w:rsidRPr="009E06AA">
              <w:rPr>
                <w:noProof w:val="0"/>
                <w:color w:val="1B556B"/>
              </w:rPr>
              <w:t>Total</w:t>
            </w:r>
          </w:p>
        </w:tc>
        <w:tc>
          <w:tcPr>
            <w:tcW w:w="1559" w:type="dxa"/>
            <w:tcBorders>
              <w:top w:val="single" w:sz="4" w:space="0" w:color="1B556B" w:themeColor="text2"/>
              <w:bottom w:val="single" w:sz="4" w:space="0" w:color="1B556B" w:themeColor="text2"/>
            </w:tcBorders>
            <w:vAlign w:val="bottom"/>
          </w:tcPr>
          <w:p w14:paraId="231A312A" w14:textId="77777777" w:rsidR="00053418" w:rsidRPr="009E06AA" w:rsidRDefault="00053418" w:rsidP="004241BC">
            <w:pPr>
              <w:pStyle w:val="TableTextBold"/>
              <w:spacing w:before="40" w:after="40"/>
              <w:jc w:val="right"/>
              <w:rPr>
                <w:noProof w:val="0"/>
                <w:color w:val="1B556B" w:themeColor="text2"/>
              </w:rPr>
            </w:pPr>
            <w:r w:rsidRPr="009E06AA">
              <w:rPr>
                <w:rFonts w:cs="Calibri"/>
                <w:noProof w:val="0"/>
                <w:color w:val="1B556B" w:themeColor="text2"/>
              </w:rPr>
              <w:t>7.9</w:t>
            </w:r>
          </w:p>
        </w:tc>
        <w:tc>
          <w:tcPr>
            <w:tcW w:w="2268" w:type="dxa"/>
            <w:tcBorders>
              <w:top w:val="single" w:sz="4" w:space="0" w:color="1B556B" w:themeColor="text2"/>
              <w:bottom w:val="single" w:sz="4" w:space="0" w:color="1B556B" w:themeColor="text2"/>
            </w:tcBorders>
            <w:vAlign w:val="bottom"/>
          </w:tcPr>
          <w:p w14:paraId="3EDCCD16" w14:textId="77777777" w:rsidR="00053418" w:rsidRPr="009E06AA" w:rsidRDefault="00053418" w:rsidP="004241BC">
            <w:pPr>
              <w:pStyle w:val="TableTextBold"/>
              <w:spacing w:before="40" w:after="40"/>
              <w:jc w:val="right"/>
              <w:rPr>
                <w:noProof w:val="0"/>
                <w:color w:val="1B556B" w:themeColor="text2"/>
              </w:rPr>
            </w:pPr>
            <w:r w:rsidRPr="009E06AA">
              <w:rPr>
                <w:rFonts w:cs="Calibri"/>
                <w:noProof w:val="0"/>
                <w:color w:val="1B556B" w:themeColor="text2"/>
              </w:rPr>
              <w:t>127.7</w:t>
            </w:r>
          </w:p>
        </w:tc>
        <w:tc>
          <w:tcPr>
            <w:tcW w:w="2835" w:type="dxa"/>
            <w:tcBorders>
              <w:top w:val="single" w:sz="4" w:space="0" w:color="1B556B" w:themeColor="text2"/>
              <w:bottom w:val="single" w:sz="4" w:space="0" w:color="1B556B" w:themeColor="text2"/>
            </w:tcBorders>
            <w:vAlign w:val="bottom"/>
          </w:tcPr>
          <w:p w14:paraId="37B48847" w14:textId="77777777" w:rsidR="00053418" w:rsidRPr="009E06AA" w:rsidRDefault="00053418" w:rsidP="004241BC">
            <w:pPr>
              <w:pStyle w:val="TableTextBold"/>
              <w:spacing w:before="40" w:after="40"/>
              <w:jc w:val="right"/>
              <w:rPr>
                <w:noProof w:val="0"/>
                <w:color w:val="1B556B" w:themeColor="text2"/>
              </w:rPr>
            </w:pPr>
            <w:r w:rsidRPr="009E06AA">
              <w:rPr>
                <w:rFonts w:cs="Calibri"/>
                <w:noProof w:val="0"/>
                <w:color w:val="1B556B" w:themeColor="text2"/>
              </w:rPr>
              <w:t>0.1</w:t>
            </w:r>
          </w:p>
        </w:tc>
      </w:tr>
    </w:tbl>
    <w:p w14:paraId="6D090205" w14:textId="77777777" w:rsidR="00053418" w:rsidRPr="009E06AA" w:rsidRDefault="00053418" w:rsidP="00053418">
      <w:pPr>
        <w:pStyle w:val="Heading3"/>
        <w:spacing w:before="400"/>
      </w:pPr>
      <w:r w:rsidRPr="009E06AA">
        <w:t>6.7.4</w:t>
      </w:r>
      <w:r w:rsidRPr="009E06AA">
        <w:tab/>
        <w:t xml:space="preserve">Category-specific QA/QC and verification </w:t>
      </w:r>
    </w:p>
    <w:p w14:paraId="0D9F70BB" w14:textId="77777777" w:rsidR="00053418" w:rsidRPr="009E06AA" w:rsidRDefault="00053418" w:rsidP="00053418">
      <w:pPr>
        <w:pStyle w:val="BodyText"/>
      </w:pPr>
      <w:r w:rsidRPr="009E06AA">
        <w:t>In the preparation of this inventory, the activity data and emission factor for carbon change underwent Tier 1 quality checks.</w:t>
      </w:r>
    </w:p>
    <w:p w14:paraId="38B4739A" w14:textId="77777777" w:rsidR="00053418" w:rsidRPr="009E06AA" w:rsidRDefault="00053418" w:rsidP="00053418">
      <w:pPr>
        <w:pStyle w:val="Heading3"/>
        <w:spacing w:before="320"/>
      </w:pPr>
      <w:r w:rsidRPr="009E06AA">
        <w:t>6.7.5</w:t>
      </w:r>
      <w:r w:rsidRPr="009E06AA">
        <w:tab/>
        <w:t>Category-specific recalculations</w:t>
      </w:r>
    </w:p>
    <w:p w14:paraId="7DC3A139" w14:textId="77777777" w:rsidR="00053418" w:rsidRPr="009E06AA" w:rsidRDefault="00053418" w:rsidP="00053418">
      <w:pPr>
        <w:pStyle w:val="BodyText"/>
      </w:pPr>
      <w:r w:rsidRPr="009E06AA">
        <w:t>The impact of recalculations on net CO</w:t>
      </w:r>
      <w:r w:rsidRPr="009E06AA">
        <w:rPr>
          <w:vertAlign w:val="subscript"/>
        </w:rPr>
        <w:t>2</w:t>
      </w:r>
      <w:r w:rsidRPr="009E06AA">
        <w:t xml:space="preserve">-e emission estimates for </w:t>
      </w:r>
      <w:r w:rsidRPr="009E06AA">
        <w:rPr>
          <w:i/>
        </w:rPr>
        <w:t>Wetlands</w:t>
      </w:r>
      <w:r w:rsidRPr="009E06AA">
        <w:t xml:space="preserve"> is shown in table 6.7.5. Recalculations were carried out for this category as a result of updating activity data because of mapping improvements within the production of the 2020 land use map (including updates to mapping of vegetated wetlands based on LCDB5. The reduction in 2021 emissions is driven by an increase in the area transitioning from </w:t>
      </w:r>
      <w:r w:rsidRPr="009E06AA">
        <w:rPr>
          <w:i/>
          <w:iCs/>
        </w:rPr>
        <w:t>Other land</w:t>
      </w:r>
      <w:r w:rsidRPr="009E06AA">
        <w:t xml:space="preserve"> to </w:t>
      </w:r>
      <w:r w:rsidRPr="009E06AA">
        <w:rPr>
          <w:i/>
          <w:iCs/>
        </w:rPr>
        <w:t>Wetlands </w:t>
      </w:r>
      <w:r w:rsidRPr="009E06AA">
        <w:t>(from 4 hectares according to the 2023 submission to 100 hectares according to the 2024 submission).</w:t>
      </w:r>
    </w:p>
    <w:p w14:paraId="550D1672" w14:textId="77777777" w:rsidR="00053418" w:rsidRPr="009E06AA" w:rsidRDefault="00053418" w:rsidP="00053418">
      <w:pPr>
        <w:pStyle w:val="Table"/>
      </w:pPr>
      <w:bookmarkStart w:id="2494" w:name="_Toc342470787"/>
      <w:bookmarkStart w:id="2495" w:name="_Toc352505027"/>
      <w:bookmarkStart w:id="2496" w:name="_Toc378853316"/>
      <w:bookmarkStart w:id="2497" w:name="_Toc391024114"/>
      <w:bookmarkStart w:id="2498" w:name="_Toc410028857"/>
      <w:bookmarkStart w:id="2499" w:name="_Toc414531485"/>
      <w:bookmarkStart w:id="2500" w:name="_Toc443645398"/>
      <w:bookmarkStart w:id="2501" w:name="_Toc474914617"/>
      <w:bookmarkStart w:id="2502" w:name="_Toc481751581"/>
      <w:bookmarkStart w:id="2503" w:name="_Toc522010638"/>
      <w:bookmarkStart w:id="2504" w:name="_Toc5269543"/>
      <w:bookmarkStart w:id="2505" w:name="_Toc33529417"/>
      <w:bookmarkStart w:id="2506" w:name="_Toc36224623"/>
      <w:bookmarkStart w:id="2507" w:name="_Toc131591418"/>
      <w:bookmarkStart w:id="2508" w:name="_Toc158979976"/>
      <w:bookmarkStart w:id="2509" w:name="_Toc164153909"/>
      <w:r w:rsidRPr="009E06AA">
        <w:t>Table 6.7.5</w:t>
      </w:r>
      <w:r w:rsidRPr="009E06AA">
        <w:tab/>
        <w:t xml:space="preserve">Recalculations for New Zealand’s net emissions from the </w:t>
      </w:r>
      <w:r w:rsidRPr="009E06AA">
        <w:rPr>
          <w:i/>
        </w:rPr>
        <w:t>Wetlands</w:t>
      </w:r>
      <w:r w:rsidRPr="009E06AA">
        <w:t xml:space="preserve"> category in 1990 and</w:t>
      </w:r>
      <w:bookmarkEnd w:id="2494"/>
      <w:bookmarkEnd w:id="2495"/>
      <w:bookmarkEnd w:id="2496"/>
      <w:bookmarkEnd w:id="2497"/>
      <w:r w:rsidRPr="009E06AA">
        <w:t> </w:t>
      </w:r>
      <w:bookmarkEnd w:id="2498"/>
      <w:bookmarkEnd w:id="2499"/>
      <w:bookmarkEnd w:id="2500"/>
      <w:bookmarkEnd w:id="2501"/>
      <w:bookmarkEnd w:id="2502"/>
      <w:bookmarkEnd w:id="2503"/>
      <w:bookmarkEnd w:id="2504"/>
      <w:bookmarkEnd w:id="2505"/>
      <w:bookmarkEnd w:id="2506"/>
      <w:r w:rsidRPr="009E06AA">
        <w:t>2021</w:t>
      </w:r>
      <w:bookmarkEnd w:id="2507"/>
      <w:bookmarkEnd w:id="2508"/>
      <w:bookmarkEnd w:id="2509"/>
    </w:p>
    <w:tbl>
      <w:tblPr>
        <w:tblW w:w="8505" w:type="dxa"/>
        <w:tblBorders>
          <w:top w:val="single" w:sz="4" w:space="0" w:color="1B556B" w:themeColor="text2"/>
          <w:bottom w:val="single" w:sz="4" w:space="0" w:color="1B556B" w:themeColor="text2"/>
          <w:insideH w:val="single" w:sz="4" w:space="0" w:color="1B556B" w:themeColor="text2"/>
        </w:tblBorders>
        <w:tblLayout w:type="fixed"/>
        <w:tblLook w:val="0420" w:firstRow="1" w:lastRow="0" w:firstColumn="0" w:lastColumn="0" w:noHBand="0" w:noVBand="1"/>
      </w:tblPr>
      <w:tblGrid>
        <w:gridCol w:w="2269"/>
        <w:gridCol w:w="1559"/>
        <w:gridCol w:w="1559"/>
        <w:gridCol w:w="2268"/>
        <w:gridCol w:w="850"/>
      </w:tblGrid>
      <w:tr w:rsidR="00053418" w:rsidRPr="009E06AA" w14:paraId="66B2FEDE" w14:textId="77777777" w:rsidTr="00B55F24">
        <w:trPr>
          <w:tblHeader/>
        </w:trPr>
        <w:tc>
          <w:tcPr>
            <w:tcW w:w="2268" w:type="dxa"/>
            <w:shd w:val="clear" w:color="auto" w:fill="1B556B"/>
            <w:tcMar>
              <w:top w:w="0" w:type="dxa"/>
              <w:left w:w="85" w:type="dxa"/>
              <w:bottom w:w="0" w:type="dxa"/>
              <w:right w:w="85" w:type="dxa"/>
            </w:tcMar>
            <w:vAlign w:val="center"/>
          </w:tcPr>
          <w:p w14:paraId="7222EE4D" w14:textId="77777777" w:rsidR="00053418" w:rsidRPr="009E06AA" w:rsidRDefault="00053418" w:rsidP="00B55F24">
            <w:pPr>
              <w:pStyle w:val="TableText"/>
              <w:spacing w:before="50" w:after="50"/>
            </w:pPr>
          </w:p>
        </w:tc>
        <w:tc>
          <w:tcPr>
            <w:tcW w:w="1559" w:type="dxa"/>
            <w:shd w:val="clear" w:color="auto" w:fill="1B556B"/>
            <w:tcMar>
              <w:top w:w="0" w:type="dxa"/>
              <w:left w:w="85" w:type="dxa"/>
              <w:bottom w:w="0" w:type="dxa"/>
              <w:right w:w="85" w:type="dxa"/>
            </w:tcMar>
            <w:vAlign w:val="center"/>
          </w:tcPr>
          <w:p w14:paraId="411CE67A" w14:textId="77777777" w:rsidR="00053418" w:rsidRPr="009E06AA" w:rsidRDefault="00053418" w:rsidP="004241BC">
            <w:pPr>
              <w:pStyle w:val="TableText"/>
              <w:spacing w:before="50" w:after="50"/>
              <w:jc w:val="right"/>
            </w:pPr>
            <w:r w:rsidRPr="009E06AA">
              <w:rPr>
                <w:rFonts w:eastAsia="Calibri" w:cs="Calibri"/>
                <w:b/>
                <w:color w:val="FFFFFF"/>
                <w:szCs w:val="16"/>
              </w:rPr>
              <w:t>2023 submission</w:t>
            </w:r>
          </w:p>
        </w:tc>
        <w:tc>
          <w:tcPr>
            <w:tcW w:w="1559" w:type="dxa"/>
            <w:shd w:val="clear" w:color="auto" w:fill="1B556B"/>
            <w:tcMar>
              <w:top w:w="0" w:type="dxa"/>
              <w:left w:w="85" w:type="dxa"/>
              <w:bottom w:w="0" w:type="dxa"/>
              <w:right w:w="85" w:type="dxa"/>
            </w:tcMar>
            <w:vAlign w:val="center"/>
          </w:tcPr>
          <w:p w14:paraId="0CC29C62" w14:textId="77777777" w:rsidR="00053418" w:rsidRPr="009E06AA" w:rsidRDefault="00053418" w:rsidP="004241BC">
            <w:pPr>
              <w:pStyle w:val="TableText"/>
              <w:spacing w:before="50" w:after="50"/>
              <w:jc w:val="right"/>
            </w:pPr>
            <w:r w:rsidRPr="009E06AA">
              <w:rPr>
                <w:rFonts w:eastAsia="Calibri" w:cs="Calibri"/>
                <w:b/>
                <w:color w:val="FFFFFF"/>
                <w:szCs w:val="16"/>
              </w:rPr>
              <w:t>2024 submission</w:t>
            </w:r>
          </w:p>
        </w:tc>
        <w:tc>
          <w:tcPr>
            <w:tcW w:w="2268" w:type="dxa"/>
            <w:shd w:val="clear" w:color="auto" w:fill="1B556B"/>
            <w:tcMar>
              <w:top w:w="0" w:type="dxa"/>
              <w:left w:w="85" w:type="dxa"/>
              <w:bottom w:w="0" w:type="dxa"/>
              <w:right w:w="85" w:type="dxa"/>
            </w:tcMar>
            <w:vAlign w:val="center"/>
          </w:tcPr>
          <w:p w14:paraId="20F608B6" w14:textId="77777777" w:rsidR="00053418" w:rsidRPr="009E06AA" w:rsidRDefault="00053418" w:rsidP="004241BC">
            <w:pPr>
              <w:pStyle w:val="TableText"/>
              <w:spacing w:before="50" w:after="50"/>
              <w:jc w:val="right"/>
            </w:pPr>
            <w:r w:rsidRPr="009E06AA">
              <w:rPr>
                <w:rFonts w:eastAsia="Calibri" w:cs="Calibri"/>
                <w:b/>
                <w:color w:val="FFFFFF"/>
                <w:szCs w:val="16"/>
              </w:rPr>
              <w:t>Change from 2023 submission</w:t>
            </w:r>
          </w:p>
        </w:tc>
        <w:tc>
          <w:tcPr>
            <w:tcW w:w="850" w:type="dxa"/>
            <w:shd w:val="clear" w:color="auto" w:fill="1B556B"/>
            <w:tcMar>
              <w:top w:w="0" w:type="dxa"/>
              <w:left w:w="85" w:type="dxa"/>
              <w:bottom w:w="0" w:type="dxa"/>
              <w:right w:w="85" w:type="dxa"/>
            </w:tcMar>
            <w:vAlign w:val="center"/>
          </w:tcPr>
          <w:p w14:paraId="19B8EEEF" w14:textId="77777777" w:rsidR="00053418" w:rsidRPr="009E06AA" w:rsidRDefault="00053418" w:rsidP="004241BC">
            <w:pPr>
              <w:pStyle w:val="TableText"/>
              <w:spacing w:before="50" w:after="50"/>
              <w:jc w:val="right"/>
            </w:pPr>
            <w:r w:rsidRPr="009E06AA">
              <w:rPr>
                <w:rFonts w:eastAsia="Calibri" w:cs="Calibri"/>
                <w:b/>
                <w:color w:val="FFFFFF"/>
                <w:szCs w:val="16"/>
              </w:rPr>
              <w:t>% change</w:t>
            </w:r>
          </w:p>
        </w:tc>
      </w:tr>
      <w:tr w:rsidR="00053418" w:rsidRPr="009E06AA" w14:paraId="5F377397" w14:textId="77777777" w:rsidTr="00B55F24">
        <w:tc>
          <w:tcPr>
            <w:tcW w:w="2268" w:type="dxa"/>
            <w:shd w:val="clear" w:color="auto" w:fill="FFFFFF"/>
            <w:tcMar>
              <w:top w:w="0" w:type="dxa"/>
              <w:left w:w="85" w:type="dxa"/>
              <w:bottom w:w="0" w:type="dxa"/>
              <w:right w:w="85" w:type="dxa"/>
            </w:tcMar>
            <w:vAlign w:val="center"/>
          </w:tcPr>
          <w:p w14:paraId="7BE885C1" w14:textId="77777777" w:rsidR="00053418" w:rsidRPr="009E06AA" w:rsidRDefault="00053418" w:rsidP="00B55F24">
            <w:pPr>
              <w:pStyle w:val="TableText"/>
              <w:spacing w:before="50" w:after="50"/>
            </w:pPr>
            <w:r w:rsidRPr="009E06AA">
              <w:rPr>
                <w:rFonts w:eastAsia="Calibri" w:cs="Calibri"/>
                <w:b/>
                <w:color w:val="1B556B"/>
                <w:szCs w:val="16"/>
              </w:rPr>
              <w:t>Net emissions (kt CO</w:t>
            </w:r>
            <w:r w:rsidRPr="009E06AA">
              <w:rPr>
                <w:rFonts w:eastAsia="Calibri" w:cs="Calibri"/>
                <w:b/>
                <w:color w:val="1B556B"/>
                <w:szCs w:val="16"/>
                <w:vertAlign w:val="subscript"/>
              </w:rPr>
              <w:t>2</w:t>
            </w:r>
            <w:r w:rsidRPr="009E06AA">
              <w:rPr>
                <w:rFonts w:eastAsia="Calibri" w:cs="Calibri"/>
                <w:b/>
                <w:color w:val="1B556B"/>
                <w:szCs w:val="16"/>
              </w:rPr>
              <w:t>-e)</w:t>
            </w:r>
          </w:p>
        </w:tc>
        <w:tc>
          <w:tcPr>
            <w:tcW w:w="1559" w:type="dxa"/>
            <w:shd w:val="clear" w:color="auto" w:fill="FFFFFF"/>
            <w:tcMar>
              <w:top w:w="0" w:type="dxa"/>
              <w:left w:w="85" w:type="dxa"/>
              <w:bottom w:w="0" w:type="dxa"/>
              <w:right w:w="85" w:type="dxa"/>
            </w:tcMar>
            <w:vAlign w:val="center"/>
          </w:tcPr>
          <w:p w14:paraId="226027AA" w14:textId="77777777" w:rsidR="00053418" w:rsidRPr="009E06AA" w:rsidRDefault="00053418" w:rsidP="004241BC">
            <w:pPr>
              <w:pStyle w:val="TableText"/>
              <w:spacing w:before="50" w:after="50"/>
              <w:jc w:val="right"/>
            </w:pPr>
          </w:p>
        </w:tc>
        <w:tc>
          <w:tcPr>
            <w:tcW w:w="1559" w:type="dxa"/>
            <w:shd w:val="clear" w:color="auto" w:fill="FFFFFF"/>
            <w:tcMar>
              <w:top w:w="0" w:type="dxa"/>
              <w:left w:w="85" w:type="dxa"/>
              <w:bottom w:w="0" w:type="dxa"/>
              <w:right w:w="85" w:type="dxa"/>
            </w:tcMar>
            <w:vAlign w:val="center"/>
          </w:tcPr>
          <w:p w14:paraId="5DDE639F" w14:textId="77777777" w:rsidR="00053418" w:rsidRPr="009E06AA" w:rsidRDefault="00053418" w:rsidP="004241BC">
            <w:pPr>
              <w:pStyle w:val="TableText"/>
              <w:spacing w:before="50" w:after="50"/>
              <w:jc w:val="right"/>
            </w:pPr>
          </w:p>
        </w:tc>
        <w:tc>
          <w:tcPr>
            <w:tcW w:w="2268" w:type="dxa"/>
            <w:shd w:val="clear" w:color="auto" w:fill="FFFFFF"/>
            <w:tcMar>
              <w:top w:w="0" w:type="dxa"/>
              <w:left w:w="85" w:type="dxa"/>
              <w:bottom w:w="0" w:type="dxa"/>
              <w:right w:w="85" w:type="dxa"/>
            </w:tcMar>
            <w:vAlign w:val="center"/>
          </w:tcPr>
          <w:p w14:paraId="37A0B3D0" w14:textId="77777777" w:rsidR="00053418" w:rsidRPr="009E06AA" w:rsidRDefault="00053418" w:rsidP="004241BC">
            <w:pPr>
              <w:pStyle w:val="TableText"/>
              <w:spacing w:before="50" w:after="50"/>
              <w:jc w:val="right"/>
            </w:pPr>
          </w:p>
        </w:tc>
        <w:tc>
          <w:tcPr>
            <w:tcW w:w="850" w:type="dxa"/>
            <w:shd w:val="clear" w:color="auto" w:fill="FFFFFF"/>
            <w:tcMar>
              <w:top w:w="0" w:type="dxa"/>
              <w:left w:w="85" w:type="dxa"/>
              <w:bottom w:w="0" w:type="dxa"/>
              <w:right w:w="85" w:type="dxa"/>
            </w:tcMar>
            <w:vAlign w:val="center"/>
          </w:tcPr>
          <w:p w14:paraId="2B1EFF5E" w14:textId="77777777" w:rsidR="00053418" w:rsidRPr="009E06AA" w:rsidRDefault="00053418" w:rsidP="004241BC">
            <w:pPr>
              <w:pStyle w:val="TableText"/>
              <w:spacing w:before="50" w:after="50"/>
              <w:jc w:val="right"/>
            </w:pPr>
          </w:p>
        </w:tc>
      </w:tr>
      <w:tr w:rsidR="00053418" w:rsidRPr="009E06AA" w14:paraId="2CC112B8" w14:textId="77777777" w:rsidTr="00B55F24">
        <w:tc>
          <w:tcPr>
            <w:tcW w:w="2268" w:type="dxa"/>
            <w:shd w:val="clear" w:color="auto" w:fill="FFFFFF"/>
            <w:tcMar>
              <w:top w:w="0" w:type="dxa"/>
              <w:left w:w="85" w:type="dxa"/>
              <w:bottom w:w="0" w:type="dxa"/>
              <w:right w:w="85" w:type="dxa"/>
            </w:tcMar>
            <w:vAlign w:val="center"/>
          </w:tcPr>
          <w:p w14:paraId="6D5A5BC4" w14:textId="77777777" w:rsidR="00053418" w:rsidRPr="009E06AA" w:rsidRDefault="00053418" w:rsidP="00B55F24">
            <w:pPr>
              <w:pStyle w:val="TableText"/>
              <w:spacing w:before="50" w:after="50"/>
            </w:pPr>
            <w:r w:rsidRPr="009E06AA">
              <w:rPr>
                <w:rFonts w:eastAsia="Calibri" w:cs="Calibri"/>
                <w:color w:val="000000"/>
                <w:szCs w:val="16"/>
              </w:rPr>
              <w:t>1990</w:t>
            </w:r>
          </w:p>
        </w:tc>
        <w:tc>
          <w:tcPr>
            <w:tcW w:w="1559" w:type="dxa"/>
            <w:shd w:val="clear" w:color="auto" w:fill="FFFFFF"/>
            <w:tcMar>
              <w:top w:w="0" w:type="dxa"/>
              <w:left w:w="85" w:type="dxa"/>
              <w:bottom w:w="0" w:type="dxa"/>
              <w:right w:w="85" w:type="dxa"/>
            </w:tcMar>
            <w:vAlign w:val="center"/>
          </w:tcPr>
          <w:p w14:paraId="3E7F6E55" w14:textId="77777777" w:rsidR="00053418" w:rsidRPr="009E06AA" w:rsidRDefault="00053418" w:rsidP="004241BC">
            <w:pPr>
              <w:pStyle w:val="TableText"/>
              <w:spacing w:before="50" w:after="50"/>
              <w:jc w:val="right"/>
            </w:pPr>
            <w:r w:rsidRPr="009E06AA">
              <w:rPr>
                <w:rFonts w:eastAsia="Calibri" w:cs="Calibri"/>
                <w:color w:val="000000"/>
                <w:szCs w:val="16"/>
              </w:rPr>
              <w:t>-8.4</w:t>
            </w:r>
          </w:p>
        </w:tc>
        <w:tc>
          <w:tcPr>
            <w:tcW w:w="1559" w:type="dxa"/>
            <w:shd w:val="clear" w:color="auto" w:fill="FFFFFF"/>
            <w:tcMar>
              <w:top w:w="0" w:type="dxa"/>
              <w:left w:w="85" w:type="dxa"/>
              <w:bottom w:w="0" w:type="dxa"/>
              <w:right w:w="85" w:type="dxa"/>
            </w:tcMar>
            <w:vAlign w:val="center"/>
          </w:tcPr>
          <w:p w14:paraId="39B87DBC" w14:textId="77777777" w:rsidR="00053418" w:rsidRPr="009E06AA" w:rsidRDefault="00053418" w:rsidP="004241BC">
            <w:pPr>
              <w:pStyle w:val="TableText"/>
              <w:spacing w:before="50" w:after="50"/>
              <w:jc w:val="right"/>
            </w:pPr>
            <w:r w:rsidRPr="009E06AA">
              <w:rPr>
                <w:rFonts w:eastAsia="Calibri" w:cs="Calibri"/>
                <w:color w:val="000000"/>
                <w:szCs w:val="16"/>
              </w:rPr>
              <w:t>-8.3</w:t>
            </w:r>
          </w:p>
        </w:tc>
        <w:tc>
          <w:tcPr>
            <w:tcW w:w="2268" w:type="dxa"/>
            <w:shd w:val="clear" w:color="auto" w:fill="FFFFFF"/>
            <w:tcMar>
              <w:top w:w="0" w:type="dxa"/>
              <w:left w:w="85" w:type="dxa"/>
              <w:bottom w:w="0" w:type="dxa"/>
              <w:right w:w="85" w:type="dxa"/>
            </w:tcMar>
            <w:vAlign w:val="center"/>
          </w:tcPr>
          <w:p w14:paraId="75BC5A61" w14:textId="77777777" w:rsidR="00053418" w:rsidRPr="009E06AA" w:rsidRDefault="00053418" w:rsidP="004241BC">
            <w:pPr>
              <w:pStyle w:val="TableText"/>
              <w:spacing w:before="50" w:after="50"/>
              <w:jc w:val="right"/>
            </w:pPr>
            <w:r w:rsidRPr="009E06AA">
              <w:rPr>
                <w:rFonts w:eastAsia="Calibri" w:cs="Calibri"/>
                <w:color w:val="000000"/>
                <w:szCs w:val="16"/>
              </w:rPr>
              <w:t>0.2</w:t>
            </w:r>
          </w:p>
        </w:tc>
        <w:tc>
          <w:tcPr>
            <w:tcW w:w="850" w:type="dxa"/>
            <w:shd w:val="clear" w:color="auto" w:fill="FFFFFF"/>
            <w:tcMar>
              <w:top w:w="0" w:type="dxa"/>
              <w:left w:w="85" w:type="dxa"/>
              <w:bottom w:w="0" w:type="dxa"/>
              <w:right w:w="85" w:type="dxa"/>
            </w:tcMar>
            <w:vAlign w:val="center"/>
          </w:tcPr>
          <w:p w14:paraId="55E42735" w14:textId="77777777" w:rsidR="00053418" w:rsidRPr="009E06AA" w:rsidRDefault="00053418" w:rsidP="004241BC">
            <w:pPr>
              <w:pStyle w:val="TableText"/>
              <w:spacing w:before="50" w:after="50"/>
              <w:jc w:val="right"/>
            </w:pPr>
            <w:r w:rsidRPr="009E06AA">
              <w:rPr>
                <w:rFonts w:eastAsia="Calibri" w:cs="Calibri"/>
                <w:color w:val="000000"/>
                <w:szCs w:val="16"/>
              </w:rPr>
              <w:t>1.8</w:t>
            </w:r>
          </w:p>
        </w:tc>
      </w:tr>
      <w:tr w:rsidR="00053418" w:rsidRPr="009E06AA" w14:paraId="760D4B97" w14:textId="77777777" w:rsidTr="00B55F24">
        <w:tc>
          <w:tcPr>
            <w:tcW w:w="2268" w:type="dxa"/>
            <w:shd w:val="clear" w:color="auto" w:fill="FFFFFF"/>
            <w:tcMar>
              <w:top w:w="0" w:type="dxa"/>
              <w:left w:w="85" w:type="dxa"/>
              <w:bottom w:w="0" w:type="dxa"/>
              <w:right w:w="85" w:type="dxa"/>
            </w:tcMar>
            <w:vAlign w:val="center"/>
          </w:tcPr>
          <w:p w14:paraId="05F7D6FE" w14:textId="77777777" w:rsidR="00053418" w:rsidRPr="009E06AA" w:rsidRDefault="00053418" w:rsidP="00B55F24">
            <w:pPr>
              <w:pStyle w:val="TableText"/>
              <w:spacing w:before="50" w:after="50"/>
            </w:pPr>
            <w:r w:rsidRPr="009E06AA">
              <w:rPr>
                <w:rFonts w:eastAsia="Calibri" w:cs="Calibri"/>
                <w:color w:val="000000"/>
                <w:szCs w:val="16"/>
              </w:rPr>
              <w:t>2021</w:t>
            </w:r>
          </w:p>
        </w:tc>
        <w:tc>
          <w:tcPr>
            <w:tcW w:w="1559" w:type="dxa"/>
            <w:shd w:val="clear" w:color="auto" w:fill="FFFFFF"/>
            <w:tcMar>
              <w:top w:w="0" w:type="dxa"/>
              <w:left w:w="85" w:type="dxa"/>
              <w:bottom w:w="0" w:type="dxa"/>
              <w:right w:w="85" w:type="dxa"/>
            </w:tcMar>
            <w:vAlign w:val="center"/>
          </w:tcPr>
          <w:p w14:paraId="0FFF7FF4" w14:textId="77777777" w:rsidR="00053418" w:rsidRPr="009E06AA" w:rsidRDefault="00053418" w:rsidP="004241BC">
            <w:pPr>
              <w:pStyle w:val="TableText"/>
              <w:spacing w:before="50" w:after="50"/>
              <w:jc w:val="right"/>
            </w:pPr>
            <w:r w:rsidRPr="009E06AA">
              <w:rPr>
                <w:rFonts w:eastAsia="Calibri" w:cs="Calibri"/>
                <w:color w:val="000000"/>
                <w:szCs w:val="16"/>
              </w:rPr>
              <w:t>11.4</w:t>
            </w:r>
          </w:p>
        </w:tc>
        <w:tc>
          <w:tcPr>
            <w:tcW w:w="1559" w:type="dxa"/>
            <w:shd w:val="clear" w:color="auto" w:fill="FFFFFF"/>
            <w:tcMar>
              <w:top w:w="0" w:type="dxa"/>
              <w:left w:w="85" w:type="dxa"/>
              <w:bottom w:w="0" w:type="dxa"/>
              <w:right w:w="85" w:type="dxa"/>
            </w:tcMar>
            <w:vAlign w:val="center"/>
          </w:tcPr>
          <w:p w14:paraId="57DC7786" w14:textId="77777777" w:rsidR="00053418" w:rsidRPr="009E06AA" w:rsidRDefault="00053418" w:rsidP="004241BC">
            <w:pPr>
              <w:pStyle w:val="TableText"/>
              <w:spacing w:before="50" w:after="50"/>
              <w:jc w:val="right"/>
            </w:pPr>
            <w:r w:rsidRPr="009E06AA">
              <w:rPr>
                <w:rFonts w:eastAsia="Calibri" w:cs="Calibri"/>
                <w:color w:val="000000"/>
                <w:szCs w:val="16"/>
              </w:rPr>
              <w:t>8.7</w:t>
            </w:r>
          </w:p>
        </w:tc>
        <w:tc>
          <w:tcPr>
            <w:tcW w:w="2268" w:type="dxa"/>
            <w:shd w:val="clear" w:color="auto" w:fill="FFFFFF"/>
            <w:tcMar>
              <w:top w:w="0" w:type="dxa"/>
              <w:left w:w="85" w:type="dxa"/>
              <w:bottom w:w="0" w:type="dxa"/>
              <w:right w:w="85" w:type="dxa"/>
            </w:tcMar>
            <w:vAlign w:val="center"/>
          </w:tcPr>
          <w:p w14:paraId="3FE23F40" w14:textId="77777777" w:rsidR="00053418" w:rsidRPr="009E06AA" w:rsidRDefault="00053418" w:rsidP="004241BC">
            <w:pPr>
              <w:pStyle w:val="TableText"/>
              <w:spacing w:before="50" w:after="50"/>
              <w:jc w:val="right"/>
            </w:pPr>
            <w:r w:rsidRPr="009E06AA">
              <w:rPr>
                <w:rFonts w:eastAsia="Calibri" w:cs="Calibri"/>
                <w:color w:val="000000"/>
                <w:szCs w:val="16"/>
              </w:rPr>
              <w:t>-2.7</w:t>
            </w:r>
          </w:p>
        </w:tc>
        <w:tc>
          <w:tcPr>
            <w:tcW w:w="850" w:type="dxa"/>
            <w:shd w:val="clear" w:color="auto" w:fill="FFFFFF"/>
            <w:tcMar>
              <w:top w:w="0" w:type="dxa"/>
              <w:left w:w="85" w:type="dxa"/>
              <w:bottom w:w="0" w:type="dxa"/>
              <w:right w:w="85" w:type="dxa"/>
            </w:tcMar>
            <w:vAlign w:val="center"/>
          </w:tcPr>
          <w:p w14:paraId="65A13F7B" w14:textId="77777777" w:rsidR="00053418" w:rsidRPr="009E06AA" w:rsidRDefault="00053418" w:rsidP="004241BC">
            <w:pPr>
              <w:pStyle w:val="TableText"/>
              <w:spacing w:before="50" w:after="50"/>
              <w:jc w:val="right"/>
            </w:pPr>
            <w:r w:rsidRPr="009E06AA">
              <w:rPr>
                <w:rFonts w:eastAsia="Calibri" w:cs="Calibri"/>
                <w:color w:val="000000"/>
                <w:szCs w:val="16"/>
              </w:rPr>
              <w:t>-23.9</w:t>
            </w:r>
          </w:p>
        </w:tc>
      </w:tr>
      <w:tr w:rsidR="00053418" w:rsidRPr="009E06AA" w14:paraId="22566962" w14:textId="77777777" w:rsidTr="00B55F24">
        <w:tc>
          <w:tcPr>
            <w:tcW w:w="2268" w:type="dxa"/>
            <w:shd w:val="clear" w:color="auto" w:fill="FFFFFF"/>
            <w:tcMar>
              <w:top w:w="0" w:type="dxa"/>
              <w:left w:w="85" w:type="dxa"/>
              <w:bottom w:w="0" w:type="dxa"/>
              <w:right w:w="85" w:type="dxa"/>
            </w:tcMar>
            <w:vAlign w:val="center"/>
          </w:tcPr>
          <w:p w14:paraId="7719CDFF" w14:textId="77777777" w:rsidR="00053418" w:rsidRPr="009E06AA" w:rsidRDefault="00053418" w:rsidP="00B55F24">
            <w:pPr>
              <w:pStyle w:val="TableText"/>
              <w:spacing w:before="50" w:after="50"/>
            </w:pPr>
            <w:r w:rsidRPr="009E06AA">
              <w:rPr>
                <w:rFonts w:eastAsia="Calibri" w:cs="Calibri"/>
                <w:b/>
                <w:color w:val="1B556B"/>
                <w:szCs w:val="16"/>
              </w:rPr>
              <w:t>Area (hectares)</w:t>
            </w:r>
          </w:p>
        </w:tc>
        <w:tc>
          <w:tcPr>
            <w:tcW w:w="1559" w:type="dxa"/>
            <w:shd w:val="clear" w:color="auto" w:fill="FFFFFF"/>
            <w:tcMar>
              <w:top w:w="0" w:type="dxa"/>
              <w:left w:w="85" w:type="dxa"/>
              <w:bottom w:w="0" w:type="dxa"/>
              <w:right w:w="85" w:type="dxa"/>
            </w:tcMar>
            <w:vAlign w:val="center"/>
          </w:tcPr>
          <w:p w14:paraId="3400B071" w14:textId="77777777" w:rsidR="00053418" w:rsidRPr="009E06AA" w:rsidRDefault="00053418" w:rsidP="004241BC">
            <w:pPr>
              <w:pStyle w:val="TableText"/>
              <w:spacing w:before="50" w:after="50"/>
              <w:jc w:val="right"/>
            </w:pPr>
          </w:p>
        </w:tc>
        <w:tc>
          <w:tcPr>
            <w:tcW w:w="1559" w:type="dxa"/>
            <w:shd w:val="clear" w:color="auto" w:fill="FFFFFF"/>
            <w:tcMar>
              <w:top w:w="0" w:type="dxa"/>
              <w:left w:w="85" w:type="dxa"/>
              <w:bottom w:w="0" w:type="dxa"/>
              <w:right w:w="85" w:type="dxa"/>
            </w:tcMar>
            <w:vAlign w:val="center"/>
          </w:tcPr>
          <w:p w14:paraId="197D9BD2" w14:textId="77777777" w:rsidR="00053418" w:rsidRPr="009E06AA" w:rsidRDefault="00053418" w:rsidP="004241BC">
            <w:pPr>
              <w:pStyle w:val="TableText"/>
              <w:spacing w:before="50" w:after="50"/>
              <w:jc w:val="right"/>
            </w:pPr>
          </w:p>
        </w:tc>
        <w:tc>
          <w:tcPr>
            <w:tcW w:w="2268" w:type="dxa"/>
            <w:shd w:val="clear" w:color="auto" w:fill="FFFFFF"/>
            <w:tcMar>
              <w:top w:w="0" w:type="dxa"/>
              <w:left w:w="85" w:type="dxa"/>
              <w:bottom w:w="0" w:type="dxa"/>
              <w:right w:w="85" w:type="dxa"/>
            </w:tcMar>
            <w:vAlign w:val="center"/>
          </w:tcPr>
          <w:p w14:paraId="02CF86AF" w14:textId="77777777" w:rsidR="00053418" w:rsidRPr="009E06AA" w:rsidRDefault="00053418" w:rsidP="004241BC">
            <w:pPr>
              <w:pStyle w:val="TableText"/>
              <w:spacing w:before="50" w:after="50"/>
              <w:jc w:val="right"/>
            </w:pPr>
          </w:p>
        </w:tc>
        <w:tc>
          <w:tcPr>
            <w:tcW w:w="850" w:type="dxa"/>
            <w:shd w:val="clear" w:color="auto" w:fill="FFFFFF"/>
            <w:tcMar>
              <w:top w:w="0" w:type="dxa"/>
              <w:left w:w="85" w:type="dxa"/>
              <w:bottom w:w="0" w:type="dxa"/>
              <w:right w:w="85" w:type="dxa"/>
            </w:tcMar>
            <w:vAlign w:val="center"/>
          </w:tcPr>
          <w:p w14:paraId="6E6E8E4F" w14:textId="77777777" w:rsidR="00053418" w:rsidRPr="009E06AA" w:rsidRDefault="00053418" w:rsidP="004241BC">
            <w:pPr>
              <w:pStyle w:val="TableText"/>
              <w:spacing w:before="50" w:after="50"/>
              <w:jc w:val="right"/>
            </w:pPr>
          </w:p>
        </w:tc>
      </w:tr>
      <w:tr w:rsidR="00053418" w:rsidRPr="009E06AA" w14:paraId="68FB92BA" w14:textId="77777777" w:rsidTr="00B55F24">
        <w:tc>
          <w:tcPr>
            <w:tcW w:w="2268" w:type="dxa"/>
            <w:shd w:val="clear" w:color="auto" w:fill="FFFFFF"/>
            <w:tcMar>
              <w:top w:w="0" w:type="dxa"/>
              <w:left w:w="85" w:type="dxa"/>
              <w:bottom w:w="0" w:type="dxa"/>
              <w:right w:w="85" w:type="dxa"/>
            </w:tcMar>
            <w:vAlign w:val="center"/>
          </w:tcPr>
          <w:p w14:paraId="6815A8BE" w14:textId="77777777" w:rsidR="00053418" w:rsidRPr="009E06AA" w:rsidRDefault="00053418" w:rsidP="00B55F24">
            <w:pPr>
              <w:pStyle w:val="TableText"/>
              <w:spacing w:before="50" w:after="50"/>
            </w:pPr>
            <w:r w:rsidRPr="009E06AA">
              <w:rPr>
                <w:rFonts w:eastAsia="Calibri" w:cs="Calibri"/>
                <w:color w:val="000000"/>
                <w:szCs w:val="16"/>
              </w:rPr>
              <w:t>1990</w:t>
            </w:r>
          </w:p>
        </w:tc>
        <w:tc>
          <w:tcPr>
            <w:tcW w:w="1559" w:type="dxa"/>
            <w:shd w:val="clear" w:color="auto" w:fill="FFFFFF"/>
            <w:tcMar>
              <w:top w:w="0" w:type="dxa"/>
              <w:left w:w="85" w:type="dxa"/>
              <w:bottom w:w="0" w:type="dxa"/>
              <w:right w:w="85" w:type="dxa"/>
            </w:tcMar>
            <w:vAlign w:val="center"/>
          </w:tcPr>
          <w:p w14:paraId="21F7808E" w14:textId="77777777" w:rsidR="00053418" w:rsidRPr="009E06AA" w:rsidRDefault="00053418" w:rsidP="004241BC">
            <w:pPr>
              <w:pStyle w:val="TableText"/>
              <w:spacing w:before="50" w:after="50"/>
              <w:jc w:val="right"/>
            </w:pPr>
            <w:r w:rsidRPr="009E06AA">
              <w:rPr>
                <w:rFonts w:eastAsia="Calibri" w:cs="Calibri"/>
                <w:color w:val="000000"/>
                <w:szCs w:val="16"/>
              </w:rPr>
              <w:t>761,514</w:t>
            </w:r>
          </w:p>
        </w:tc>
        <w:tc>
          <w:tcPr>
            <w:tcW w:w="1559" w:type="dxa"/>
            <w:shd w:val="clear" w:color="auto" w:fill="FFFFFF"/>
            <w:tcMar>
              <w:top w:w="0" w:type="dxa"/>
              <w:left w:w="85" w:type="dxa"/>
              <w:bottom w:w="0" w:type="dxa"/>
              <w:right w:w="85" w:type="dxa"/>
            </w:tcMar>
            <w:vAlign w:val="center"/>
          </w:tcPr>
          <w:p w14:paraId="2F0B80E8" w14:textId="77777777" w:rsidR="00053418" w:rsidRPr="009E06AA" w:rsidRDefault="00053418" w:rsidP="004241BC">
            <w:pPr>
              <w:pStyle w:val="TableText"/>
              <w:spacing w:before="50" w:after="50"/>
              <w:jc w:val="right"/>
            </w:pPr>
            <w:r w:rsidRPr="009E06AA">
              <w:rPr>
                <w:rFonts w:eastAsia="Calibri" w:cs="Calibri"/>
                <w:color w:val="000000"/>
                <w:szCs w:val="16"/>
              </w:rPr>
              <w:t>780,805</w:t>
            </w:r>
          </w:p>
        </w:tc>
        <w:tc>
          <w:tcPr>
            <w:tcW w:w="2268" w:type="dxa"/>
            <w:shd w:val="clear" w:color="auto" w:fill="FFFFFF"/>
            <w:tcMar>
              <w:top w:w="0" w:type="dxa"/>
              <w:left w:w="85" w:type="dxa"/>
              <w:bottom w:w="0" w:type="dxa"/>
              <w:right w:w="85" w:type="dxa"/>
            </w:tcMar>
            <w:vAlign w:val="center"/>
          </w:tcPr>
          <w:p w14:paraId="675D1C65" w14:textId="77777777" w:rsidR="00053418" w:rsidRPr="009E06AA" w:rsidRDefault="00053418" w:rsidP="004241BC">
            <w:pPr>
              <w:pStyle w:val="TableText"/>
              <w:spacing w:before="50" w:after="50"/>
              <w:jc w:val="right"/>
            </w:pPr>
            <w:r w:rsidRPr="009E06AA">
              <w:rPr>
                <w:rFonts w:eastAsia="Calibri" w:cs="Calibri"/>
                <w:color w:val="000000"/>
                <w:szCs w:val="16"/>
              </w:rPr>
              <w:t>19,291</w:t>
            </w:r>
          </w:p>
        </w:tc>
        <w:tc>
          <w:tcPr>
            <w:tcW w:w="850" w:type="dxa"/>
            <w:shd w:val="clear" w:color="auto" w:fill="FFFFFF"/>
            <w:tcMar>
              <w:top w:w="0" w:type="dxa"/>
              <w:left w:w="85" w:type="dxa"/>
              <w:bottom w:w="0" w:type="dxa"/>
              <w:right w:w="85" w:type="dxa"/>
            </w:tcMar>
            <w:vAlign w:val="center"/>
          </w:tcPr>
          <w:p w14:paraId="7A173FE8" w14:textId="77777777" w:rsidR="00053418" w:rsidRPr="009E06AA" w:rsidRDefault="00053418" w:rsidP="004241BC">
            <w:pPr>
              <w:pStyle w:val="TableText"/>
              <w:spacing w:before="50" w:after="50"/>
              <w:jc w:val="right"/>
            </w:pPr>
            <w:r w:rsidRPr="009E06AA">
              <w:rPr>
                <w:rFonts w:eastAsia="Calibri" w:cs="Calibri"/>
                <w:color w:val="000000"/>
                <w:szCs w:val="16"/>
              </w:rPr>
              <w:t>2.5</w:t>
            </w:r>
          </w:p>
        </w:tc>
      </w:tr>
      <w:tr w:rsidR="00053418" w:rsidRPr="009E06AA" w14:paraId="1B3FBE63" w14:textId="77777777" w:rsidTr="00B55F24">
        <w:tc>
          <w:tcPr>
            <w:tcW w:w="2268" w:type="dxa"/>
            <w:shd w:val="clear" w:color="auto" w:fill="FFFFFF"/>
            <w:tcMar>
              <w:top w:w="0" w:type="dxa"/>
              <w:left w:w="85" w:type="dxa"/>
              <w:bottom w:w="0" w:type="dxa"/>
              <w:right w:w="85" w:type="dxa"/>
            </w:tcMar>
            <w:vAlign w:val="center"/>
          </w:tcPr>
          <w:p w14:paraId="1638D5B2" w14:textId="77777777" w:rsidR="00053418" w:rsidRPr="009E06AA" w:rsidRDefault="00053418" w:rsidP="00B55F24">
            <w:pPr>
              <w:pStyle w:val="TableText"/>
              <w:spacing w:before="50" w:after="50"/>
            </w:pPr>
            <w:r w:rsidRPr="009E06AA">
              <w:rPr>
                <w:rFonts w:eastAsia="Calibri" w:cs="Calibri"/>
                <w:color w:val="000000"/>
                <w:szCs w:val="16"/>
              </w:rPr>
              <w:t>2021</w:t>
            </w:r>
          </w:p>
        </w:tc>
        <w:tc>
          <w:tcPr>
            <w:tcW w:w="1559" w:type="dxa"/>
            <w:shd w:val="clear" w:color="auto" w:fill="FFFFFF"/>
            <w:tcMar>
              <w:top w:w="0" w:type="dxa"/>
              <w:left w:w="85" w:type="dxa"/>
              <w:bottom w:w="0" w:type="dxa"/>
              <w:right w:w="85" w:type="dxa"/>
            </w:tcMar>
            <w:vAlign w:val="center"/>
          </w:tcPr>
          <w:p w14:paraId="1D6AC543" w14:textId="77777777" w:rsidR="00053418" w:rsidRPr="009E06AA" w:rsidRDefault="00053418" w:rsidP="004241BC">
            <w:pPr>
              <w:pStyle w:val="TableText"/>
              <w:spacing w:before="50" w:after="50"/>
              <w:jc w:val="right"/>
            </w:pPr>
            <w:r w:rsidRPr="009E06AA">
              <w:rPr>
                <w:rFonts w:eastAsia="Calibri" w:cs="Calibri"/>
                <w:color w:val="000000"/>
                <w:szCs w:val="16"/>
              </w:rPr>
              <w:t>758,245</w:t>
            </w:r>
          </w:p>
        </w:tc>
        <w:tc>
          <w:tcPr>
            <w:tcW w:w="1559" w:type="dxa"/>
            <w:shd w:val="clear" w:color="auto" w:fill="FFFFFF"/>
            <w:tcMar>
              <w:top w:w="0" w:type="dxa"/>
              <w:left w:w="85" w:type="dxa"/>
              <w:bottom w:w="0" w:type="dxa"/>
              <w:right w:w="85" w:type="dxa"/>
            </w:tcMar>
            <w:vAlign w:val="center"/>
          </w:tcPr>
          <w:p w14:paraId="241E6CA4" w14:textId="77777777" w:rsidR="00053418" w:rsidRPr="009E06AA" w:rsidRDefault="00053418" w:rsidP="004241BC">
            <w:pPr>
              <w:pStyle w:val="TableText"/>
              <w:spacing w:before="50" w:after="50"/>
              <w:jc w:val="right"/>
            </w:pPr>
            <w:r w:rsidRPr="009E06AA">
              <w:rPr>
                <w:rFonts w:eastAsia="Calibri" w:cs="Calibri"/>
                <w:color w:val="000000"/>
                <w:szCs w:val="16"/>
              </w:rPr>
              <w:t>780,743</w:t>
            </w:r>
          </w:p>
        </w:tc>
        <w:tc>
          <w:tcPr>
            <w:tcW w:w="2268" w:type="dxa"/>
            <w:shd w:val="clear" w:color="auto" w:fill="FFFFFF"/>
            <w:tcMar>
              <w:top w:w="0" w:type="dxa"/>
              <w:left w:w="85" w:type="dxa"/>
              <w:bottom w:w="0" w:type="dxa"/>
              <w:right w:w="85" w:type="dxa"/>
            </w:tcMar>
            <w:vAlign w:val="center"/>
          </w:tcPr>
          <w:p w14:paraId="3E3A8620" w14:textId="77777777" w:rsidR="00053418" w:rsidRPr="009E06AA" w:rsidRDefault="00053418" w:rsidP="004241BC">
            <w:pPr>
              <w:pStyle w:val="TableText"/>
              <w:spacing w:before="50" w:after="50"/>
              <w:jc w:val="right"/>
            </w:pPr>
            <w:r w:rsidRPr="009E06AA">
              <w:rPr>
                <w:rFonts w:eastAsia="Calibri" w:cs="Calibri"/>
                <w:color w:val="000000"/>
                <w:szCs w:val="16"/>
              </w:rPr>
              <w:t>22,497</w:t>
            </w:r>
          </w:p>
        </w:tc>
        <w:tc>
          <w:tcPr>
            <w:tcW w:w="850" w:type="dxa"/>
            <w:shd w:val="clear" w:color="auto" w:fill="FFFFFF"/>
            <w:tcMar>
              <w:top w:w="0" w:type="dxa"/>
              <w:left w:w="85" w:type="dxa"/>
              <w:bottom w:w="0" w:type="dxa"/>
              <w:right w:w="85" w:type="dxa"/>
            </w:tcMar>
            <w:vAlign w:val="center"/>
          </w:tcPr>
          <w:p w14:paraId="66385C74" w14:textId="77777777" w:rsidR="00053418" w:rsidRPr="009E06AA" w:rsidRDefault="00053418" w:rsidP="004241BC">
            <w:pPr>
              <w:pStyle w:val="TableText"/>
              <w:spacing w:before="50" w:after="50"/>
              <w:jc w:val="right"/>
            </w:pPr>
            <w:r w:rsidRPr="009E06AA">
              <w:rPr>
                <w:rFonts w:eastAsia="Calibri" w:cs="Calibri"/>
                <w:color w:val="000000"/>
                <w:szCs w:val="16"/>
              </w:rPr>
              <w:t>3.0</w:t>
            </w:r>
          </w:p>
        </w:tc>
      </w:tr>
    </w:tbl>
    <w:p w14:paraId="7777932F" w14:textId="77777777" w:rsidR="00053418" w:rsidRPr="009E06AA" w:rsidRDefault="00053418" w:rsidP="00053418">
      <w:pPr>
        <w:pStyle w:val="Heading3"/>
        <w:spacing w:before="400"/>
      </w:pPr>
      <w:r w:rsidRPr="009E06AA">
        <w:t>6.7.6</w:t>
      </w:r>
      <w:r w:rsidRPr="009E06AA">
        <w:tab/>
        <w:t>Category-specific planned improvements</w:t>
      </w:r>
    </w:p>
    <w:p w14:paraId="41566D42" w14:textId="77777777" w:rsidR="00053418" w:rsidRPr="009E06AA" w:rsidRDefault="00053418" w:rsidP="00053418">
      <w:pPr>
        <w:pStyle w:val="BodyText"/>
      </w:pPr>
      <w:r w:rsidRPr="009E06AA">
        <w:t xml:space="preserve">The following improvements are planned for the </w:t>
      </w:r>
      <w:r w:rsidRPr="009E06AA">
        <w:rPr>
          <w:i/>
        </w:rPr>
        <w:t xml:space="preserve">Wetlands </w:t>
      </w:r>
      <w:r w:rsidRPr="009E06AA">
        <w:t>category.</w:t>
      </w:r>
    </w:p>
    <w:p w14:paraId="2BAA4822" w14:textId="77777777" w:rsidR="00053418" w:rsidRPr="009E06AA" w:rsidRDefault="00053418" w:rsidP="00053418">
      <w:pPr>
        <w:pStyle w:val="Bullet"/>
        <w:numPr>
          <w:ilvl w:val="0"/>
          <w:numId w:val="29"/>
        </w:numPr>
        <w:ind w:left="397" w:hanging="397"/>
      </w:pPr>
      <w:r w:rsidRPr="009E06AA">
        <w:t xml:space="preserve">Research is under way to identify activity data, nutrient status, drainage depth and suitable emission factors for drained organic soils to enable the application of the 2013 </w:t>
      </w:r>
      <w:r w:rsidRPr="009E06AA">
        <w:rPr>
          <w:i/>
          <w:iCs/>
        </w:rPr>
        <w:t>Wetlands</w:t>
      </w:r>
      <w:r w:rsidRPr="009E06AA">
        <w:t xml:space="preserve"> supplement in future submissions. </w:t>
      </w:r>
    </w:p>
    <w:p w14:paraId="3E9DFAF2" w14:textId="77777777" w:rsidR="00053418" w:rsidRPr="009E06AA" w:rsidRDefault="00053418" w:rsidP="00053418">
      <w:pPr>
        <w:pStyle w:val="Heading2"/>
      </w:pPr>
      <w:bookmarkStart w:id="2510" w:name="_Toc310423456"/>
      <w:bookmarkStart w:id="2511" w:name="_Toc342470722"/>
      <w:bookmarkStart w:id="2512" w:name="_Toc352504874"/>
      <w:bookmarkStart w:id="2513" w:name="_Toc391024704"/>
      <w:bookmarkStart w:id="2514" w:name="_Toc414531321"/>
      <w:bookmarkStart w:id="2515" w:name="_Toc474335463"/>
      <w:bookmarkStart w:id="2516" w:name="_Toc481751403"/>
      <w:bookmarkStart w:id="2517" w:name="_Toc522013955"/>
      <w:bookmarkStart w:id="2518" w:name="_Toc5269380"/>
      <w:bookmarkStart w:id="2519" w:name="_Toc36224420"/>
      <w:bookmarkStart w:id="2520" w:name="_Toc131591254"/>
      <w:bookmarkStart w:id="2521" w:name="_Toc158980301"/>
      <w:bookmarkStart w:id="2522" w:name="_Toc164154209"/>
      <w:r w:rsidRPr="009E06AA">
        <w:t>6.8</w:t>
      </w:r>
      <w:r w:rsidRPr="009E06AA">
        <w:tab/>
        <w:t>Settlements (4E)</w:t>
      </w:r>
      <w:bookmarkEnd w:id="2510"/>
      <w:bookmarkEnd w:id="2511"/>
      <w:bookmarkEnd w:id="2512"/>
      <w:bookmarkEnd w:id="2513"/>
      <w:bookmarkEnd w:id="2514"/>
      <w:bookmarkEnd w:id="2515"/>
      <w:bookmarkEnd w:id="2516"/>
      <w:bookmarkEnd w:id="2517"/>
      <w:bookmarkEnd w:id="2518"/>
      <w:bookmarkEnd w:id="2519"/>
      <w:bookmarkEnd w:id="2520"/>
      <w:bookmarkEnd w:id="2521"/>
      <w:bookmarkEnd w:id="2522"/>
    </w:p>
    <w:p w14:paraId="4DB0F167" w14:textId="77777777" w:rsidR="00053418" w:rsidRPr="009E06AA" w:rsidRDefault="00053418" w:rsidP="00053418">
      <w:pPr>
        <w:pStyle w:val="Heading3"/>
        <w:spacing w:before="240"/>
      </w:pPr>
      <w:r w:rsidRPr="009E06AA">
        <w:t>6.8.1</w:t>
      </w:r>
      <w:r w:rsidRPr="009E06AA">
        <w:tab/>
        <w:t>Description</w:t>
      </w:r>
    </w:p>
    <w:p w14:paraId="1829CDF1" w14:textId="77777777" w:rsidR="00053418" w:rsidRPr="009E06AA" w:rsidRDefault="00053418" w:rsidP="00053418">
      <w:pPr>
        <w:pStyle w:val="BodyText"/>
      </w:pPr>
      <w:r w:rsidRPr="009E06AA">
        <w:t xml:space="preserve">In 2022, the net emissions from </w:t>
      </w:r>
      <w:r w:rsidRPr="009E06AA">
        <w:rPr>
          <w:i/>
          <w:iCs/>
        </w:rPr>
        <w:t>Settlements</w:t>
      </w:r>
      <w:r w:rsidRPr="009E06AA">
        <w:t xml:space="preserve"> were 118.0 kt CO</w:t>
      </w:r>
      <w:r w:rsidRPr="009E06AA">
        <w:rPr>
          <w:vertAlign w:val="subscript"/>
        </w:rPr>
        <w:t>2</w:t>
      </w:r>
      <w:r w:rsidRPr="009E06AA">
        <w:t xml:space="preserve">-e, an increase of 49.6 per cent from net emissions in 1990 (see table 6.8.1). This change in emissions is mainly from the category of </w:t>
      </w:r>
      <w:r w:rsidRPr="009E06AA">
        <w:rPr>
          <w:i/>
          <w:iCs/>
        </w:rPr>
        <w:t xml:space="preserve">Land converted to settlements </w:t>
      </w:r>
      <w:r w:rsidRPr="009E06AA">
        <w:t xml:space="preserve">and results from the drainage of organic soils. </w:t>
      </w:r>
      <w:r w:rsidRPr="009E06AA">
        <w:rPr>
          <w:i/>
          <w:iCs/>
        </w:rPr>
        <w:t>Settlements</w:t>
      </w:r>
      <w:r w:rsidRPr="009E06AA">
        <w:t xml:space="preserve"> was </w:t>
      </w:r>
      <w:r w:rsidRPr="009E06AA" w:rsidDel="00094862">
        <w:t xml:space="preserve">not </w:t>
      </w:r>
      <w:r w:rsidRPr="009E06AA">
        <w:t>a key category in 2022.</w:t>
      </w:r>
    </w:p>
    <w:p w14:paraId="16CE6202" w14:textId="77777777" w:rsidR="00053418" w:rsidRPr="009E06AA" w:rsidRDefault="00053418" w:rsidP="00053418">
      <w:pPr>
        <w:pStyle w:val="Table"/>
      </w:pPr>
      <w:bookmarkStart w:id="2523" w:name="_Toc342470788"/>
      <w:bookmarkStart w:id="2524" w:name="_Toc352505028"/>
      <w:bookmarkStart w:id="2525" w:name="_Toc378853317"/>
      <w:bookmarkStart w:id="2526" w:name="_Toc391024115"/>
      <w:bookmarkStart w:id="2527" w:name="_Toc410028858"/>
      <w:bookmarkStart w:id="2528" w:name="_Toc414531486"/>
      <w:bookmarkStart w:id="2529" w:name="_Toc443645399"/>
      <w:bookmarkStart w:id="2530" w:name="_Toc474914618"/>
      <w:bookmarkStart w:id="2531" w:name="_Toc481751582"/>
      <w:bookmarkStart w:id="2532" w:name="_Toc522010639"/>
      <w:bookmarkStart w:id="2533" w:name="_Toc5269544"/>
      <w:bookmarkStart w:id="2534" w:name="_Toc33529418"/>
      <w:bookmarkStart w:id="2535" w:name="_Toc36224624"/>
      <w:bookmarkStart w:id="2536" w:name="_Toc131591419"/>
      <w:bookmarkStart w:id="2537" w:name="_Toc158979977"/>
      <w:bookmarkStart w:id="2538" w:name="_Toc164153910"/>
      <w:r w:rsidRPr="009E06AA">
        <w:t>Table 6</w:t>
      </w:r>
      <w:r w:rsidRPr="009E06AA" w:rsidDel="006F084B">
        <w:t>.</w:t>
      </w:r>
      <w:r w:rsidRPr="009E06AA">
        <w:t>8.1</w:t>
      </w:r>
      <w:r w:rsidRPr="009E06AA">
        <w:tab/>
        <w:t xml:space="preserve">New Zealand’s land-use change for the </w:t>
      </w:r>
      <w:r w:rsidRPr="009E06AA">
        <w:rPr>
          <w:i/>
        </w:rPr>
        <w:t>Settlements</w:t>
      </w:r>
      <w:r w:rsidRPr="009E06AA">
        <w:t xml:space="preserve"> category, and associated CO</w:t>
      </w:r>
      <w:r w:rsidRPr="009E06AA">
        <w:rPr>
          <w:vertAlign w:val="subscript"/>
        </w:rPr>
        <w:t>2</w:t>
      </w:r>
      <w:r w:rsidRPr="009E06AA">
        <w:noBreakHyphen/>
        <w:t>e emissions</w:t>
      </w:r>
      <w:bookmarkEnd w:id="2523"/>
      <w:bookmarkEnd w:id="2524"/>
      <w:bookmarkEnd w:id="2525"/>
      <w:r w:rsidRPr="009E06AA">
        <w:t>, from 1990 to</w:t>
      </w:r>
      <w:bookmarkEnd w:id="2526"/>
      <w:r w:rsidRPr="009E06AA">
        <w:t> </w:t>
      </w:r>
      <w:bookmarkEnd w:id="2527"/>
      <w:bookmarkEnd w:id="2528"/>
      <w:bookmarkEnd w:id="2529"/>
      <w:bookmarkEnd w:id="2530"/>
      <w:bookmarkEnd w:id="2531"/>
      <w:bookmarkEnd w:id="2532"/>
      <w:bookmarkEnd w:id="2533"/>
      <w:bookmarkEnd w:id="2534"/>
      <w:bookmarkEnd w:id="2535"/>
      <w:r w:rsidRPr="009E06AA">
        <w:t>2022</w:t>
      </w:r>
      <w:bookmarkEnd w:id="2536"/>
      <w:bookmarkEnd w:id="2537"/>
      <w:bookmarkEnd w:id="2538"/>
    </w:p>
    <w:tbl>
      <w:tblPr>
        <w:tblW w:w="8505" w:type="dxa"/>
        <w:tblBorders>
          <w:top w:val="single" w:sz="4" w:space="0" w:color="1B556B" w:themeColor="text2"/>
          <w:bottom w:val="single" w:sz="4" w:space="0" w:color="1B556B" w:themeColor="text2"/>
          <w:insideH w:val="single" w:sz="4" w:space="0" w:color="1B556B" w:themeColor="text2"/>
        </w:tblBorders>
        <w:tblLayout w:type="fixed"/>
        <w:tblLook w:val="0420" w:firstRow="1" w:lastRow="0" w:firstColumn="0" w:lastColumn="0" w:noHBand="0" w:noVBand="1"/>
      </w:tblPr>
      <w:tblGrid>
        <w:gridCol w:w="2533"/>
        <w:gridCol w:w="1014"/>
        <w:gridCol w:w="1014"/>
        <w:gridCol w:w="1127"/>
        <w:gridCol w:w="845"/>
        <w:gridCol w:w="845"/>
        <w:gridCol w:w="1127"/>
      </w:tblGrid>
      <w:tr w:rsidR="00053418" w:rsidRPr="009E06AA" w14:paraId="73F4C57D" w14:textId="77777777" w:rsidTr="00B55F24">
        <w:trPr>
          <w:tblHeader/>
        </w:trPr>
        <w:tc>
          <w:tcPr>
            <w:tcW w:w="2551" w:type="dxa"/>
            <w:shd w:val="clear" w:color="auto" w:fill="1B556B"/>
            <w:tcMar>
              <w:top w:w="0" w:type="dxa"/>
              <w:left w:w="85" w:type="dxa"/>
              <w:bottom w:w="0" w:type="dxa"/>
              <w:right w:w="85" w:type="dxa"/>
            </w:tcMar>
            <w:vAlign w:val="center"/>
          </w:tcPr>
          <w:p w14:paraId="069296D6" w14:textId="77777777" w:rsidR="00053418" w:rsidRPr="009E06AA" w:rsidRDefault="00053418" w:rsidP="00B55F24">
            <w:pPr>
              <w:pStyle w:val="TableText"/>
            </w:pPr>
          </w:p>
        </w:tc>
        <w:tc>
          <w:tcPr>
            <w:tcW w:w="3174" w:type="dxa"/>
            <w:gridSpan w:val="3"/>
            <w:shd w:val="clear" w:color="auto" w:fill="1B556B"/>
            <w:tcMar>
              <w:top w:w="0" w:type="dxa"/>
              <w:left w:w="85" w:type="dxa"/>
              <w:bottom w:w="0" w:type="dxa"/>
              <w:right w:w="85" w:type="dxa"/>
            </w:tcMar>
            <w:vAlign w:val="center"/>
          </w:tcPr>
          <w:p w14:paraId="40B13462" w14:textId="77777777" w:rsidR="00053418" w:rsidRPr="009E06AA" w:rsidRDefault="00053418" w:rsidP="00B55F24">
            <w:pPr>
              <w:pStyle w:val="TableText"/>
              <w:spacing w:after="0"/>
              <w:jc w:val="center"/>
            </w:pPr>
            <w:r w:rsidRPr="009E06AA">
              <w:rPr>
                <w:rFonts w:eastAsia="Calibri" w:cs="Calibri"/>
                <w:b/>
                <w:color w:val="FFFFFF"/>
                <w:szCs w:val="16"/>
              </w:rPr>
              <w:t>Net area (ha)</w:t>
            </w:r>
          </w:p>
        </w:tc>
        <w:tc>
          <w:tcPr>
            <w:tcW w:w="2834" w:type="dxa"/>
            <w:gridSpan w:val="3"/>
            <w:shd w:val="clear" w:color="auto" w:fill="1B556B"/>
            <w:tcMar>
              <w:top w:w="0" w:type="dxa"/>
              <w:left w:w="85" w:type="dxa"/>
              <w:bottom w:w="0" w:type="dxa"/>
              <w:right w:w="85" w:type="dxa"/>
            </w:tcMar>
            <w:vAlign w:val="center"/>
          </w:tcPr>
          <w:p w14:paraId="6933669F" w14:textId="77777777" w:rsidR="00053418" w:rsidRPr="009E06AA" w:rsidRDefault="00053418" w:rsidP="00B55F24">
            <w:pPr>
              <w:pStyle w:val="TableText"/>
              <w:spacing w:after="0"/>
              <w:jc w:val="center"/>
            </w:pPr>
            <w:r w:rsidRPr="009E06AA">
              <w:rPr>
                <w:rFonts w:eastAsia="Calibri" w:cs="Calibri"/>
                <w:b/>
                <w:color w:val="FFFFFF"/>
                <w:szCs w:val="16"/>
              </w:rPr>
              <w:t>Net emissions (kt CO₂-e)</w:t>
            </w:r>
          </w:p>
        </w:tc>
      </w:tr>
      <w:tr w:rsidR="00053418" w:rsidRPr="009E06AA" w14:paraId="3DD8ADE6" w14:textId="77777777" w:rsidTr="00B55F24">
        <w:trPr>
          <w:tblHeader/>
        </w:trPr>
        <w:tc>
          <w:tcPr>
            <w:tcW w:w="2551" w:type="dxa"/>
            <w:shd w:val="clear" w:color="auto" w:fill="1B556B"/>
            <w:tcMar>
              <w:top w:w="0" w:type="dxa"/>
              <w:left w:w="85" w:type="dxa"/>
              <w:bottom w:w="0" w:type="dxa"/>
              <w:right w:w="85" w:type="dxa"/>
            </w:tcMar>
            <w:vAlign w:val="bottom"/>
          </w:tcPr>
          <w:p w14:paraId="1049438D" w14:textId="77777777" w:rsidR="00053418" w:rsidRPr="009E06AA" w:rsidRDefault="00053418" w:rsidP="00B55F24">
            <w:pPr>
              <w:pStyle w:val="TableText"/>
              <w:spacing w:before="50" w:after="50"/>
            </w:pPr>
            <w:r w:rsidRPr="009E06AA">
              <w:rPr>
                <w:rFonts w:eastAsia="Calibri" w:cs="Calibri"/>
                <w:b/>
                <w:color w:val="FFFFFF"/>
                <w:szCs w:val="16"/>
              </w:rPr>
              <w:t>Land use category</w:t>
            </w:r>
          </w:p>
        </w:tc>
        <w:tc>
          <w:tcPr>
            <w:tcW w:w="1020" w:type="dxa"/>
            <w:shd w:val="clear" w:color="auto" w:fill="1B556B"/>
            <w:tcMar>
              <w:top w:w="0" w:type="dxa"/>
              <w:left w:w="85" w:type="dxa"/>
              <w:bottom w:w="0" w:type="dxa"/>
              <w:right w:w="85" w:type="dxa"/>
            </w:tcMar>
            <w:vAlign w:val="bottom"/>
          </w:tcPr>
          <w:p w14:paraId="65B12481" w14:textId="77777777" w:rsidR="00053418" w:rsidRPr="009E06AA" w:rsidRDefault="00053418" w:rsidP="004241BC">
            <w:pPr>
              <w:pStyle w:val="TableText"/>
              <w:spacing w:before="50" w:after="50"/>
              <w:jc w:val="right"/>
            </w:pPr>
            <w:r w:rsidRPr="009E06AA">
              <w:rPr>
                <w:rFonts w:eastAsia="Calibri" w:cs="Calibri"/>
                <w:b/>
                <w:color w:val="FFFFFF"/>
                <w:szCs w:val="16"/>
              </w:rPr>
              <w:t>1990</w:t>
            </w:r>
          </w:p>
        </w:tc>
        <w:tc>
          <w:tcPr>
            <w:tcW w:w="1020" w:type="dxa"/>
            <w:shd w:val="clear" w:color="auto" w:fill="1B556B"/>
            <w:tcMar>
              <w:top w:w="0" w:type="dxa"/>
              <w:left w:w="85" w:type="dxa"/>
              <w:bottom w:w="0" w:type="dxa"/>
              <w:right w:w="85" w:type="dxa"/>
            </w:tcMar>
            <w:vAlign w:val="bottom"/>
          </w:tcPr>
          <w:p w14:paraId="57D2501D" w14:textId="77777777" w:rsidR="00053418" w:rsidRPr="009E06AA" w:rsidRDefault="00053418" w:rsidP="004241BC">
            <w:pPr>
              <w:pStyle w:val="TableText"/>
              <w:spacing w:before="50" w:after="50"/>
              <w:jc w:val="right"/>
            </w:pPr>
            <w:r w:rsidRPr="009E06AA">
              <w:rPr>
                <w:rFonts w:eastAsia="Calibri" w:cs="Calibri"/>
                <w:b/>
                <w:color w:val="FFFFFF"/>
                <w:szCs w:val="16"/>
              </w:rPr>
              <w:t>2022</w:t>
            </w:r>
          </w:p>
        </w:tc>
        <w:tc>
          <w:tcPr>
            <w:tcW w:w="1134" w:type="dxa"/>
            <w:shd w:val="clear" w:color="auto" w:fill="1B556B"/>
            <w:tcMar>
              <w:top w:w="0" w:type="dxa"/>
              <w:left w:w="85" w:type="dxa"/>
              <w:bottom w:w="0" w:type="dxa"/>
              <w:right w:w="85" w:type="dxa"/>
            </w:tcMar>
            <w:vAlign w:val="bottom"/>
          </w:tcPr>
          <w:p w14:paraId="3A584DEA" w14:textId="77777777" w:rsidR="00053418" w:rsidRPr="009E06AA" w:rsidRDefault="00053418" w:rsidP="004241BC">
            <w:pPr>
              <w:pStyle w:val="TableText"/>
              <w:spacing w:before="50" w:after="50"/>
              <w:jc w:val="right"/>
            </w:pPr>
            <w:r w:rsidRPr="009E06AA">
              <w:rPr>
                <w:rFonts w:eastAsia="Calibri" w:cs="Calibri"/>
                <w:b/>
                <w:color w:val="FFFFFF"/>
                <w:szCs w:val="16"/>
              </w:rPr>
              <w:t>Change from 1990 (%)</w:t>
            </w:r>
          </w:p>
        </w:tc>
        <w:tc>
          <w:tcPr>
            <w:tcW w:w="850" w:type="dxa"/>
            <w:shd w:val="clear" w:color="auto" w:fill="1B556B"/>
            <w:tcMar>
              <w:top w:w="0" w:type="dxa"/>
              <w:left w:w="85" w:type="dxa"/>
              <w:bottom w:w="0" w:type="dxa"/>
              <w:right w:w="85" w:type="dxa"/>
            </w:tcMar>
            <w:vAlign w:val="bottom"/>
          </w:tcPr>
          <w:p w14:paraId="68B1DAA1" w14:textId="77777777" w:rsidR="00053418" w:rsidRPr="009E06AA" w:rsidRDefault="00053418" w:rsidP="004241BC">
            <w:pPr>
              <w:pStyle w:val="TableText"/>
              <w:spacing w:before="50" w:after="50"/>
              <w:jc w:val="right"/>
            </w:pPr>
            <w:r w:rsidRPr="009E06AA">
              <w:rPr>
                <w:rFonts w:eastAsia="Calibri" w:cs="Calibri"/>
                <w:b/>
                <w:color w:val="FFFFFF"/>
                <w:szCs w:val="16"/>
              </w:rPr>
              <w:t>1990</w:t>
            </w:r>
          </w:p>
        </w:tc>
        <w:tc>
          <w:tcPr>
            <w:tcW w:w="850" w:type="dxa"/>
            <w:shd w:val="clear" w:color="auto" w:fill="1B556B"/>
            <w:tcMar>
              <w:top w:w="0" w:type="dxa"/>
              <w:left w:w="85" w:type="dxa"/>
              <w:bottom w:w="0" w:type="dxa"/>
              <w:right w:w="85" w:type="dxa"/>
            </w:tcMar>
            <w:vAlign w:val="bottom"/>
          </w:tcPr>
          <w:p w14:paraId="0A1D3D6A" w14:textId="77777777" w:rsidR="00053418" w:rsidRPr="009E06AA" w:rsidRDefault="00053418" w:rsidP="004241BC">
            <w:pPr>
              <w:pStyle w:val="TableText"/>
              <w:spacing w:before="50" w:after="50"/>
              <w:jc w:val="right"/>
            </w:pPr>
            <w:r w:rsidRPr="009E06AA">
              <w:rPr>
                <w:rFonts w:eastAsia="Calibri" w:cs="Calibri"/>
                <w:b/>
                <w:color w:val="FFFFFF"/>
                <w:szCs w:val="16"/>
              </w:rPr>
              <w:t>2022</w:t>
            </w:r>
          </w:p>
        </w:tc>
        <w:tc>
          <w:tcPr>
            <w:tcW w:w="1134" w:type="dxa"/>
            <w:shd w:val="clear" w:color="auto" w:fill="1B556B"/>
            <w:tcMar>
              <w:top w:w="0" w:type="dxa"/>
              <w:left w:w="85" w:type="dxa"/>
              <w:bottom w:w="0" w:type="dxa"/>
              <w:right w:w="85" w:type="dxa"/>
            </w:tcMar>
            <w:vAlign w:val="bottom"/>
          </w:tcPr>
          <w:p w14:paraId="1EC9C6B4" w14:textId="77777777" w:rsidR="00053418" w:rsidRPr="009E06AA" w:rsidRDefault="00053418" w:rsidP="004241BC">
            <w:pPr>
              <w:pStyle w:val="TableText"/>
              <w:spacing w:before="50" w:after="50"/>
              <w:jc w:val="right"/>
            </w:pPr>
            <w:r w:rsidRPr="009E06AA">
              <w:rPr>
                <w:rFonts w:eastAsia="Calibri" w:cs="Calibri"/>
                <w:b/>
                <w:color w:val="FFFFFF"/>
                <w:szCs w:val="16"/>
              </w:rPr>
              <w:t>Change from 1990 (%)</w:t>
            </w:r>
          </w:p>
        </w:tc>
      </w:tr>
      <w:tr w:rsidR="00053418" w:rsidRPr="009E06AA" w14:paraId="7B497AB0" w14:textId="77777777" w:rsidTr="00B55F24">
        <w:tc>
          <w:tcPr>
            <w:tcW w:w="2551" w:type="dxa"/>
            <w:shd w:val="clear" w:color="auto" w:fill="FFFFFF"/>
            <w:tcMar>
              <w:top w:w="0" w:type="dxa"/>
              <w:left w:w="85" w:type="dxa"/>
              <w:bottom w:w="0" w:type="dxa"/>
              <w:right w:w="85" w:type="dxa"/>
            </w:tcMar>
            <w:vAlign w:val="center"/>
          </w:tcPr>
          <w:p w14:paraId="3C942779" w14:textId="77777777" w:rsidR="00053418" w:rsidRPr="009E06AA" w:rsidRDefault="00053418" w:rsidP="00B55F24">
            <w:pPr>
              <w:pStyle w:val="TableText"/>
              <w:spacing w:before="50" w:after="50"/>
            </w:pPr>
            <w:r w:rsidRPr="009E06AA">
              <w:rPr>
                <w:rFonts w:eastAsia="Calibri" w:cs="Calibri"/>
                <w:color w:val="000000"/>
                <w:szCs w:val="16"/>
              </w:rPr>
              <w:t>Settlements remaining settlements</w:t>
            </w:r>
          </w:p>
        </w:tc>
        <w:tc>
          <w:tcPr>
            <w:tcW w:w="1020" w:type="dxa"/>
            <w:shd w:val="clear" w:color="auto" w:fill="FFFFFF"/>
            <w:tcMar>
              <w:top w:w="0" w:type="dxa"/>
              <w:left w:w="85" w:type="dxa"/>
              <w:bottom w:w="0" w:type="dxa"/>
              <w:right w:w="85" w:type="dxa"/>
            </w:tcMar>
            <w:vAlign w:val="center"/>
          </w:tcPr>
          <w:p w14:paraId="1ABB1B69" w14:textId="77777777" w:rsidR="00053418" w:rsidRPr="009E06AA" w:rsidRDefault="00053418" w:rsidP="004241BC">
            <w:pPr>
              <w:pStyle w:val="TableText"/>
              <w:spacing w:before="50" w:after="50"/>
              <w:jc w:val="right"/>
            </w:pPr>
            <w:r w:rsidRPr="009E06AA">
              <w:rPr>
                <w:rFonts w:eastAsia="Calibri" w:cs="Calibri"/>
                <w:color w:val="000000"/>
                <w:szCs w:val="16"/>
              </w:rPr>
              <w:t>191,567</w:t>
            </w:r>
          </w:p>
        </w:tc>
        <w:tc>
          <w:tcPr>
            <w:tcW w:w="1020" w:type="dxa"/>
            <w:shd w:val="clear" w:color="auto" w:fill="FFFFFF"/>
            <w:tcMar>
              <w:top w:w="0" w:type="dxa"/>
              <w:left w:w="85" w:type="dxa"/>
              <w:bottom w:w="0" w:type="dxa"/>
              <w:right w:w="85" w:type="dxa"/>
            </w:tcMar>
            <w:vAlign w:val="center"/>
          </w:tcPr>
          <w:p w14:paraId="17174571" w14:textId="77777777" w:rsidR="00053418" w:rsidRPr="009E06AA" w:rsidRDefault="00053418" w:rsidP="004241BC">
            <w:pPr>
              <w:pStyle w:val="TableText"/>
              <w:spacing w:before="50" w:after="50"/>
              <w:jc w:val="right"/>
            </w:pPr>
            <w:r w:rsidRPr="009E06AA">
              <w:rPr>
                <w:rFonts w:eastAsia="Calibri" w:cs="Calibri"/>
                <w:color w:val="000000"/>
                <w:szCs w:val="16"/>
              </w:rPr>
              <w:t>222,208</w:t>
            </w:r>
          </w:p>
        </w:tc>
        <w:tc>
          <w:tcPr>
            <w:tcW w:w="1134" w:type="dxa"/>
            <w:shd w:val="clear" w:color="auto" w:fill="FFFFFF"/>
            <w:tcMar>
              <w:top w:w="0" w:type="dxa"/>
              <w:left w:w="85" w:type="dxa"/>
              <w:bottom w:w="0" w:type="dxa"/>
              <w:right w:w="85" w:type="dxa"/>
            </w:tcMar>
            <w:vAlign w:val="center"/>
          </w:tcPr>
          <w:p w14:paraId="72CFBFAA" w14:textId="77777777" w:rsidR="00053418" w:rsidRPr="009E06AA" w:rsidRDefault="00053418" w:rsidP="004241BC">
            <w:pPr>
              <w:pStyle w:val="TableText"/>
              <w:spacing w:before="50" w:after="50"/>
              <w:jc w:val="right"/>
            </w:pPr>
            <w:r w:rsidRPr="009E06AA">
              <w:rPr>
                <w:rFonts w:eastAsia="Calibri" w:cs="Calibri"/>
                <w:color w:val="000000"/>
                <w:szCs w:val="16"/>
              </w:rPr>
              <w:t>16.0</w:t>
            </w:r>
          </w:p>
        </w:tc>
        <w:tc>
          <w:tcPr>
            <w:tcW w:w="850" w:type="dxa"/>
            <w:shd w:val="clear" w:color="auto" w:fill="FFFFFF"/>
            <w:tcMar>
              <w:top w:w="0" w:type="dxa"/>
              <w:left w:w="85" w:type="dxa"/>
              <w:bottom w:w="0" w:type="dxa"/>
              <w:right w:w="85" w:type="dxa"/>
            </w:tcMar>
            <w:vAlign w:val="center"/>
          </w:tcPr>
          <w:p w14:paraId="26F8BEC4" w14:textId="77777777" w:rsidR="00053418" w:rsidRPr="009E06AA" w:rsidRDefault="00053418" w:rsidP="004241BC">
            <w:pPr>
              <w:pStyle w:val="TableText"/>
              <w:spacing w:before="50" w:after="50"/>
              <w:jc w:val="right"/>
            </w:pPr>
            <w:r w:rsidRPr="009E06AA">
              <w:rPr>
                <w:rFonts w:eastAsia="Calibri" w:cs="Calibri"/>
                <w:color w:val="000000"/>
                <w:szCs w:val="16"/>
              </w:rPr>
              <w:t>66.7</w:t>
            </w:r>
          </w:p>
        </w:tc>
        <w:tc>
          <w:tcPr>
            <w:tcW w:w="850" w:type="dxa"/>
            <w:shd w:val="clear" w:color="auto" w:fill="FFFFFF"/>
            <w:tcMar>
              <w:top w:w="0" w:type="dxa"/>
              <w:left w:w="85" w:type="dxa"/>
              <w:bottom w:w="0" w:type="dxa"/>
              <w:right w:w="85" w:type="dxa"/>
            </w:tcMar>
            <w:vAlign w:val="center"/>
          </w:tcPr>
          <w:p w14:paraId="2FBB2F29" w14:textId="77777777" w:rsidR="00053418" w:rsidRPr="009E06AA" w:rsidRDefault="00053418" w:rsidP="004241BC">
            <w:pPr>
              <w:pStyle w:val="TableText"/>
              <w:spacing w:before="50" w:after="50"/>
              <w:jc w:val="right"/>
            </w:pPr>
            <w:r w:rsidRPr="009E06AA">
              <w:rPr>
                <w:rFonts w:eastAsia="Calibri" w:cs="Calibri"/>
                <w:color w:val="000000"/>
                <w:szCs w:val="16"/>
              </w:rPr>
              <w:t>78.8</w:t>
            </w:r>
          </w:p>
        </w:tc>
        <w:tc>
          <w:tcPr>
            <w:tcW w:w="1134" w:type="dxa"/>
            <w:shd w:val="clear" w:color="auto" w:fill="FFFFFF"/>
            <w:tcMar>
              <w:top w:w="0" w:type="dxa"/>
              <w:left w:w="85" w:type="dxa"/>
              <w:bottom w:w="0" w:type="dxa"/>
              <w:right w:w="85" w:type="dxa"/>
            </w:tcMar>
            <w:vAlign w:val="center"/>
          </w:tcPr>
          <w:p w14:paraId="3B0CF616" w14:textId="77777777" w:rsidR="00053418" w:rsidRPr="009E06AA" w:rsidRDefault="00053418" w:rsidP="004241BC">
            <w:pPr>
              <w:pStyle w:val="TableText"/>
              <w:spacing w:before="50" w:after="50"/>
              <w:jc w:val="right"/>
            </w:pPr>
            <w:r w:rsidRPr="009E06AA">
              <w:rPr>
                <w:rFonts w:eastAsia="Calibri" w:cs="Calibri"/>
                <w:color w:val="000000"/>
                <w:szCs w:val="16"/>
              </w:rPr>
              <w:t>18.1</w:t>
            </w:r>
          </w:p>
        </w:tc>
      </w:tr>
      <w:tr w:rsidR="00053418" w:rsidRPr="009E06AA" w14:paraId="0249E20D" w14:textId="77777777" w:rsidTr="00B55F24">
        <w:tc>
          <w:tcPr>
            <w:tcW w:w="2551" w:type="dxa"/>
            <w:shd w:val="clear" w:color="auto" w:fill="FFFFFF"/>
            <w:tcMar>
              <w:top w:w="0" w:type="dxa"/>
              <w:left w:w="85" w:type="dxa"/>
              <w:bottom w:w="0" w:type="dxa"/>
              <w:right w:w="85" w:type="dxa"/>
            </w:tcMar>
            <w:vAlign w:val="center"/>
          </w:tcPr>
          <w:p w14:paraId="4CF4A3D4" w14:textId="77777777" w:rsidR="00053418" w:rsidRPr="009E06AA" w:rsidRDefault="00053418" w:rsidP="00B55F24">
            <w:pPr>
              <w:pStyle w:val="TableText"/>
              <w:spacing w:before="50" w:after="50"/>
            </w:pPr>
            <w:r w:rsidRPr="009E06AA">
              <w:rPr>
                <w:rFonts w:eastAsia="Calibri" w:cs="Calibri"/>
                <w:color w:val="000000"/>
                <w:szCs w:val="16"/>
              </w:rPr>
              <w:t>Land converted to settlements</w:t>
            </w:r>
          </w:p>
        </w:tc>
        <w:tc>
          <w:tcPr>
            <w:tcW w:w="1020" w:type="dxa"/>
            <w:shd w:val="clear" w:color="auto" w:fill="FFFFFF"/>
            <w:tcMar>
              <w:top w:w="0" w:type="dxa"/>
              <w:left w:w="85" w:type="dxa"/>
              <w:bottom w:w="0" w:type="dxa"/>
              <w:right w:w="85" w:type="dxa"/>
            </w:tcMar>
            <w:vAlign w:val="center"/>
          </w:tcPr>
          <w:p w14:paraId="603DD973" w14:textId="77777777" w:rsidR="00053418" w:rsidRPr="009E06AA" w:rsidRDefault="00053418" w:rsidP="004241BC">
            <w:pPr>
              <w:pStyle w:val="TableText"/>
              <w:spacing w:before="50" w:after="50"/>
              <w:jc w:val="right"/>
            </w:pPr>
            <w:r w:rsidRPr="009E06AA">
              <w:rPr>
                <w:rFonts w:eastAsia="Calibri" w:cs="Calibri"/>
                <w:color w:val="000000"/>
                <w:szCs w:val="16"/>
              </w:rPr>
              <w:t>16,624</w:t>
            </w:r>
          </w:p>
        </w:tc>
        <w:tc>
          <w:tcPr>
            <w:tcW w:w="1020" w:type="dxa"/>
            <w:shd w:val="clear" w:color="auto" w:fill="FFFFFF"/>
            <w:tcMar>
              <w:top w:w="0" w:type="dxa"/>
              <w:left w:w="85" w:type="dxa"/>
              <w:bottom w:w="0" w:type="dxa"/>
              <w:right w:w="85" w:type="dxa"/>
            </w:tcMar>
            <w:vAlign w:val="center"/>
          </w:tcPr>
          <w:p w14:paraId="3FCBFE06" w14:textId="77777777" w:rsidR="00053418" w:rsidRPr="009E06AA" w:rsidRDefault="00053418" w:rsidP="004241BC">
            <w:pPr>
              <w:pStyle w:val="TableText"/>
              <w:spacing w:before="50" w:after="50"/>
              <w:jc w:val="right"/>
            </w:pPr>
            <w:r w:rsidRPr="009E06AA">
              <w:rPr>
                <w:rFonts w:eastAsia="Calibri" w:cs="Calibri"/>
                <w:color w:val="000000"/>
                <w:szCs w:val="16"/>
              </w:rPr>
              <w:t>20,486</w:t>
            </w:r>
          </w:p>
        </w:tc>
        <w:tc>
          <w:tcPr>
            <w:tcW w:w="1134" w:type="dxa"/>
            <w:shd w:val="clear" w:color="auto" w:fill="FFFFFF"/>
            <w:tcMar>
              <w:top w:w="0" w:type="dxa"/>
              <w:left w:w="85" w:type="dxa"/>
              <w:bottom w:w="0" w:type="dxa"/>
              <w:right w:w="85" w:type="dxa"/>
            </w:tcMar>
            <w:vAlign w:val="center"/>
          </w:tcPr>
          <w:p w14:paraId="0FDCFF94" w14:textId="77777777" w:rsidR="00053418" w:rsidRPr="009E06AA" w:rsidRDefault="00053418" w:rsidP="004241BC">
            <w:pPr>
              <w:pStyle w:val="TableText"/>
              <w:spacing w:before="50" w:after="50"/>
              <w:jc w:val="right"/>
            </w:pPr>
            <w:r w:rsidRPr="009E06AA">
              <w:rPr>
                <w:rFonts w:eastAsia="Calibri" w:cs="Calibri"/>
                <w:color w:val="000000"/>
                <w:szCs w:val="16"/>
              </w:rPr>
              <w:t>23.2</w:t>
            </w:r>
          </w:p>
        </w:tc>
        <w:tc>
          <w:tcPr>
            <w:tcW w:w="850" w:type="dxa"/>
            <w:shd w:val="clear" w:color="auto" w:fill="FFFFFF"/>
            <w:tcMar>
              <w:top w:w="0" w:type="dxa"/>
              <w:left w:w="85" w:type="dxa"/>
              <w:bottom w:w="0" w:type="dxa"/>
              <w:right w:w="85" w:type="dxa"/>
            </w:tcMar>
            <w:vAlign w:val="center"/>
          </w:tcPr>
          <w:p w14:paraId="2C458A9D" w14:textId="77777777" w:rsidR="00053418" w:rsidRPr="009E06AA" w:rsidRDefault="00053418" w:rsidP="004241BC">
            <w:pPr>
              <w:pStyle w:val="TableText"/>
              <w:spacing w:before="50" w:after="50"/>
              <w:jc w:val="right"/>
            </w:pPr>
            <w:r w:rsidRPr="009E06AA">
              <w:rPr>
                <w:rFonts w:eastAsia="Calibri" w:cs="Calibri"/>
                <w:color w:val="000000"/>
                <w:szCs w:val="16"/>
              </w:rPr>
              <w:t>12.1</w:t>
            </w:r>
          </w:p>
        </w:tc>
        <w:tc>
          <w:tcPr>
            <w:tcW w:w="850" w:type="dxa"/>
            <w:shd w:val="clear" w:color="auto" w:fill="FFFFFF"/>
            <w:tcMar>
              <w:top w:w="0" w:type="dxa"/>
              <w:left w:w="85" w:type="dxa"/>
              <w:bottom w:w="0" w:type="dxa"/>
              <w:right w:w="85" w:type="dxa"/>
            </w:tcMar>
            <w:vAlign w:val="center"/>
          </w:tcPr>
          <w:p w14:paraId="02E36535" w14:textId="77777777" w:rsidR="00053418" w:rsidRPr="009E06AA" w:rsidRDefault="00053418" w:rsidP="004241BC">
            <w:pPr>
              <w:pStyle w:val="TableText"/>
              <w:spacing w:before="50" w:after="50"/>
              <w:jc w:val="right"/>
            </w:pPr>
            <w:r w:rsidRPr="009E06AA">
              <w:rPr>
                <w:rFonts w:eastAsia="Calibri" w:cs="Calibri"/>
                <w:color w:val="000000"/>
                <w:szCs w:val="16"/>
              </w:rPr>
              <w:t>39.2</w:t>
            </w:r>
          </w:p>
        </w:tc>
        <w:tc>
          <w:tcPr>
            <w:tcW w:w="1134" w:type="dxa"/>
            <w:shd w:val="clear" w:color="auto" w:fill="FFFFFF"/>
            <w:tcMar>
              <w:top w:w="0" w:type="dxa"/>
              <w:left w:w="85" w:type="dxa"/>
              <w:bottom w:w="0" w:type="dxa"/>
              <w:right w:w="85" w:type="dxa"/>
            </w:tcMar>
            <w:vAlign w:val="center"/>
          </w:tcPr>
          <w:p w14:paraId="68AE5042" w14:textId="77777777" w:rsidR="00053418" w:rsidRPr="009E06AA" w:rsidRDefault="00053418" w:rsidP="004241BC">
            <w:pPr>
              <w:pStyle w:val="TableText"/>
              <w:spacing w:before="50" w:after="50"/>
              <w:jc w:val="right"/>
            </w:pPr>
            <w:r w:rsidRPr="009E06AA">
              <w:rPr>
                <w:rFonts w:eastAsia="Calibri" w:cs="Calibri"/>
                <w:color w:val="000000"/>
                <w:szCs w:val="16"/>
              </w:rPr>
              <w:t>222.8</w:t>
            </w:r>
          </w:p>
        </w:tc>
      </w:tr>
      <w:tr w:rsidR="00053418" w:rsidRPr="009E06AA" w14:paraId="092F85F4" w14:textId="77777777" w:rsidTr="00B55F24">
        <w:tc>
          <w:tcPr>
            <w:tcW w:w="2551" w:type="dxa"/>
            <w:shd w:val="clear" w:color="auto" w:fill="FFFFFF"/>
            <w:tcMar>
              <w:top w:w="0" w:type="dxa"/>
              <w:left w:w="85" w:type="dxa"/>
              <w:bottom w:w="0" w:type="dxa"/>
              <w:right w:w="85" w:type="dxa"/>
            </w:tcMar>
            <w:vAlign w:val="center"/>
          </w:tcPr>
          <w:p w14:paraId="6771D0AE" w14:textId="77777777" w:rsidR="00053418" w:rsidRPr="009E06AA" w:rsidRDefault="00053418" w:rsidP="00B55F24">
            <w:pPr>
              <w:pStyle w:val="TableText"/>
              <w:spacing w:before="50" w:after="50"/>
            </w:pPr>
            <w:r w:rsidRPr="009E06AA">
              <w:rPr>
                <w:rFonts w:eastAsia="Calibri" w:cs="Calibri"/>
                <w:b/>
                <w:color w:val="1B556B"/>
                <w:szCs w:val="16"/>
              </w:rPr>
              <w:t>Total</w:t>
            </w:r>
          </w:p>
        </w:tc>
        <w:tc>
          <w:tcPr>
            <w:tcW w:w="1020" w:type="dxa"/>
            <w:shd w:val="clear" w:color="auto" w:fill="FFFFFF"/>
            <w:tcMar>
              <w:top w:w="0" w:type="dxa"/>
              <w:left w:w="85" w:type="dxa"/>
              <w:bottom w:w="0" w:type="dxa"/>
              <w:right w:w="85" w:type="dxa"/>
            </w:tcMar>
            <w:vAlign w:val="center"/>
          </w:tcPr>
          <w:p w14:paraId="145F99C1" w14:textId="77777777" w:rsidR="00053418" w:rsidRPr="009E06AA" w:rsidRDefault="00053418" w:rsidP="004241BC">
            <w:pPr>
              <w:pStyle w:val="TableText"/>
              <w:spacing w:before="50" w:after="50"/>
              <w:jc w:val="right"/>
            </w:pPr>
            <w:r w:rsidRPr="009E06AA">
              <w:rPr>
                <w:rFonts w:eastAsia="Calibri" w:cs="Calibri"/>
                <w:b/>
                <w:color w:val="1B556B"/>
                <w:szCs w:val="16"/>
              </w:rPr>
              <w:t>208,191</w:t>
            </w:r>
          </w:p>
        </w:tc>
        <w:tc>
          <w:tcPr>
            <w:tcW w:w="1020" w:type="dxa"/>
            <w:shd w:val="clear" w:color="auto" w:fill="FFFFFF"/>
            <w:tcMar>
              <w:top w:w="0" w:type="dxa"/>
              <w:left w:w="85" w:type="dxa"/>
              <w:bottom w:w="0" w:type="dxa"/>
              <w:right w:w="85" w:type="dxa"/>
            </w:tcMar>
            <w:vAlign w:val="center"/>
          </w:tcPr>
          <w:p w14:paraId="329A32DE" w14:textId="77777777" w:rsidR="00053418" w:rsidRPr="009E06AA" w:rsidRDefault="00053418" w:rsidP="004241BC">
            <w:pPr>
              <w:pStyle w:val="TableText"/>
              <w:spacing w:before="50" w:after="50"/>
              <w:jc w:val="right"/>
            </w:pPr>
            <w:r w:rsidRPr="009E06AA">
              <w:rPr>
                <w:rFonts w:eastAsia="Calibri" w:cs="Calibri"/>
                <w:b/>
                <w:color w:val="1B556B"/>
                <w:szCs w:val="16"/>
              </w:rPr>
              <w:t>242,694</w:t>
            </w:r>
          </w:p>
        </w:tc>
        <w:tc>
          <w:tcPr>
            <w:tcW w:w="1134" w:type="dxa"/>
            <w:shd w:val="clear" w:color="auto" w:fill="FFFFFF"/>
            <w:tcMar>
              <w:top w:w="0" w:type="dxa"/>
              <w:left w:w="85" w:type="dxa"/>
              <w:bottom w:w="0" w:type="dxa"/>
              <w:right w:w="85" w:type="dxa"/>
            </w:tcMar>
            <w:vAlign w:val="center"/>
          </w:tcPr>
          <w:p w14:paraId="609E3980" w14:textId="77777777" w:rsidR="00053418" w:rsidRPr="009E06AA" w:rsidRDefault="00053418" w:rsidP="004241BC">
            <w:pPr>
              <w:pStyle w:val="TableText"/>
              <w:spacing w:before="50" w:after="50"/>
              <w:jc w:val="right"/>
            </w:pPr>
            <w:r w:rsidRPr="009E06AA">
              <w:rPr>
                <w:rFonts w:eastAsia="Calibri" w:cs="Calibri"/>
                <w:b/>
                <w:color w:val="1B556B"/>
                <w:szCs w:val="16"/>
              </w:rPr>
              <w:t>16.6</w:t>
            </w:r>
          </w:p>
        </w:tc>
        <w:tc>
          <w:tcPr>
            <w:tcW w:w="850" w:type="dxa"/>
            <w:shd w:val="clear" w:color="auto" w:fill="FFFFFF"/>
            <w:tcMar>
              <w:top w:w="0" w:type="dxa"/>
              <w:left w:w="85" w:type="dxa"/>
              <w:bottom w:w="0" w:type="dxa"/>
              <w:right w:w="85" w:type="dxa"/>
            </w:tcMar>
            <w:vAlign w:val="center"/>
          </w:tcPr>
          <w:p w14:paraId="3110CEF3" w14:textId="77777777" w:rsidR="00053418" w:rsidRPr="009E06AA" w:rsidRDefault="00053418" w:rsidP="004241BC">
            <w:pPr>
              <w:pStyle w:val="TableText"/>
              <w:spacing w:before="50" w:after="50"/>
              <w:jc w:val="right"/>
            </w:pPr>
            <w:r w:rsidRPr="009E06AA">
              <w:rPr>
                <w:rFonts w:eastAsia="Calibri" w:cs="Calibri"/>
                <w:b/>
                <w:color w:val="1B556B"/>
                <w:szCs w:val="16"/>
              </w:rPr>
              <w:t>78.9</w:t>
            </w:r>
          </w:p>
        </w:tc>
        <w:tc>
          <w:tcPr>
            <w:tcW w:w="850" w:type="dxa"/>
            <w:shd w:val="clear" w:color="auto" w:fill="FFFFFF"/>
            <w:tcMar>
              <w:top w:w="0" w:type="dxa"/>
              <w:left w:w="85" w:type="dxa"/>
              <w:bottom w:w="0" w:type="dxa"/>
              <w:right w:w="85" w:type="dxa"/>
            </w:tcMar>
            <w:vAlign w:val="center"/>
          </w:tcPr>
          <w:p w14:paraId="6CE005E2" w14:textId="77777777" w:rsidR="00053418" w:rsidRPr="009E06AA" w:rsidRDefault="00053418" w:rsidP="004241BC">
            <w:pPr>
              <w:pStyle w:val="TableText"/>
              <w:spacing w:before="50" w:after="50"/>
              <w:jc w:val="right"/>
            </w:pPr>
            <w:r w:rsidRPr="009E06AA">
              <w:rPr>
                <w:rFonts w:eastAsia="Calibri" w:cs="Calibri"/>
                <w:b/>
                <w:color w:val="1B556B"/>
                <w:szCs w:val="16"/>
              </w:rPr>
              <w:t>118.0</w:t>
            </w:r>
          </w:p>
        </w:tc>
        <w:tc>
          <w:tcPr>
            <w:tcW w:w="1134" w:type="dxa"/>
            <w:shd w:val="clear" w:color="auto" w:fill="FFFFFF"/>
            <w:tcMar>
              <w:top w:w="0" w:type="dxa"/>
              <w:left w:w="85" w:type="dxa"/>
              <w:bottom w:w="0" w:type="dxa"/>
              <w:right w:w="85" w:type="dxa"/>
            </w:tcMar>
            <w:vAlign w:val="center"/>
          </w:tcPr>
          <w:p w14:paraId="694EA57C" w14:textId="77777777" w:rsidR="00053418" w:rsidRPr="009E06AA" w:rsidRDefault="00053418" w:rsidP="004241BC">
            <w:pPr>
              <w:pStyle w:val="TableText"/>
              <w:spacing w:before="50" w:after="50"/>
              <w:jc w:val="right"/>
            </w:pPr>
            <w:r w:rsidRPr="009E06AA">
              <w:rPr>
                <w:rFonts w:eastAsia="Calibri" w:cs="Calibri"/>
                <w:b/>
                <w:color w:val="1B556B"/>
                <w:szCs w:val="16"/>
              </w:rPr>
              <w:t>49.6</w:t>
            </w:r>
          </w:p>
        </w:tc>
      </w:tr>
    </w:tbl>
    <w:p w14:paraId="7F329770" w14:textId="77777777" w:rsidR="00053418" w:rsidRPr="009E06AA" w:rsidRDefault="00053418" w:rsidP="00053418">
      <w:pPr>
        <w:pStyle w:val="Noteundertable"/>
      </w:pPr>
      <w:r w:rsidRPr="009E06AA">
        <w:rPr>
          <w:b/>
        </w:rPr>
        <w:t>Note:</w:t>
      </w:r>
      <w:r w:rsidRPr="009E06AA">
        <w:tab/>
        <w:t xml:space="preserve">Net area at 1990 is as of 1 January 1990; net area at 2022 is as of 31 December 2022. </w:t>
      </w:r>
      <w:r w:rsidRPr="009E06AA">
        <w:rPr>
          <w:i/>
        </w:rPr>
        <w:t>Land converted to settlements</w:t>
      </w:r>
      <w:r w:rsidRPr="009E06AA">
        <w:t xml:space="preserve"> includes land converted up to 20 years earlier. Net emission values are for the whole year indicated. Columns may not total due to rounding. </w:t>
      </w:r>
    </w:p>
    <w:p w14:paraId="52E88D8F" w14:textId="77777777" w:rsidR="00053418" w:rsidRPr="009E06AA" w:rsidRDefault="00053418" w:rsidP="00053418">
      <w:pPr>
        <w:pStyle w:val="BodyText"/>
      </w:pPr>
      <w:r w:rsidRPr="009E06AA">
        <w:t xml:space="preserve">From 1990 to 2022, the net carbon stock change for </w:t>
      </w:r>
      <w:r w:rsidRPr="009E06AA">
        <w:rPr>
          <w:i/>
        </w:rPr>
        <w:t>Settlements</w:t>
      </w:r>
      <w:r w:rsidRPr="009E06AA">
        <w:t xml:space="preserve"> decreased by 1,117.3 kt C, equivalent to emissions of 4,096.8 kt CO</w:t>
      </w:r>
      <w:r w:rsidRPr="009E06AA">
        <w:rPr>
          <w:vertAlign w:val="subscript"/>
        </w:rPr>
        <w:t>2</w:t>
      </w:r>
      <w:r w:rsidRPr="009E06AA">
        <w:t xml:space="preserve"> in total since 1990 (see table 6.8.2). These carbon stock losses are predominantly due to the loss of carbon from organic soils associated with drainage when land is converted to </w:t>
      </w:r>
      <w:r w:rsidRPr="009E06AA">
        <w:rPr>
          <w:i/>
        </w:rPr>
        <w:t>Settlements</w:t>
      </w:r>
      <w:r w:rsidRPr="009E06AA">
        <w:t xml:space="preserve">. </w:t>
      </w:r>
    </w:p>
    <w:p w14:paraId="3E8B9A1D" w14:textId="1C9B70D9" w:rsidR="00053418" w:rsidRPr="009E06AA" w:rsidRDefault="00053418" w:rsidP="00053418">
      <w:pPr>
        <w:pStyle w:val="Table"/>
      </w:pPr>
      <w:bookmarkStart w:id="2539" w:name="_Toc352505029"/>
      <w:bookmarkStart w:id="2540" w:name="_Toc342470789"/>
      <w:bookmarkStart w:id="2541" w:name="_Toc378853318"/>
      <w:bookmarkStart w:id="2542" w:name="_Toc391024116"/>
      <w:bookmarkStart w:id="2543" w:name="_Toc410028859"/>
      <w:bookmarkStart w:id="2544" w:name="_Toc414531487"/>
      <w:bookmarkStart w:id="2545" w:name="_Toc443645400"/>
      <w:bookmarkStart w:id="2546" w:name="_Toc474914619"/>
      <w:bookmarkStart w:id="2547" w:name="_Toc481751583"/>
      <w:bookmarkStart w:id="2548" w:name="_Toc522010640"/>
      <w:bookmarkStart w:id="2549" w:name="_Toc5269545"/>
      <w:bookmarkStart w:id="2550" w:name="_Toc33529419"/>
      <w:bookmarkStart w:id="2551" w:name="_Toc36224625"/>
      <w:bookmarkStart w:id="2552" w:name="_Toc131591420"/>
      <w:bookmarkStart w:id="2553" w:name="_Toc158979978"/>
      <w:bookmarkStart w:id="2554" w:name="_Toc164153911"/>
      <w:r w:rsidRPr="009E06AA">
        <w:t>Table 6.8.2</w:t>
      </w:r>
      <w:r w:rsidRPr="009E06AA">
        <w:tab/>
        <w:t xml:space="preserve">New Zealand’s carbon stock change by carbon pool for the </w:t>
      </w:r>
      <w:r w:rsidRPr="009E06AA">
        <w:rPr>
          <w:i/>
        </w:rPr>
        <w:t>Settlements</w:t>
      </w:r>
      <w:r w:rsidRPr="009E06AA">
        <w:t xml:space="preserve"> category</w:t>
      </w:r>
      <w:r w:rsidR="005C66A9" w:rsidRPr="009E06AA">
        <w:t>,</w:t>
      </w:r>
      <w:r w:rsidRPr="009E06AA">
        <w:br/>
        <w:t>from 1990 to</w:t>
      </w:r>
      <w:bookmarkEnd w:id="2539"/>
      <w:bookmarkEnd w:id="2540"/>
      <w:bookmarkEnd w:id="2541"/>
      <w:bookmarkEnd w:id="2542"/>
      <w:r w:rsidRPr="009E06AA">
        <w:t> </w:t>
      </w:r>
      <w:bookmarkEnd w:id="2543"/>
      <w:bookmarkEnd w:id="2544"/>
      <w:bookmarkEnd w:id="2545"/>
      <w:bookmarkEnd w:id="2546"/>
      <w:bookmarkEnd w:id="2547"/>
      <w:bookmarkEnd w:id="2548"/>
      <w:bookmarkEnd w:id="2549"/>
      <w:bookmarkEnd w:id="2550"/>
      <w:bookmarkEnd w:id="2551"/>
      <w:r w:rsidRPr="009E06AA">
        <w:t>2022</w:t>
      </w:r>
      <w:bookmarkEnd w:id="2552"/>
      <w:bookmarkEnd w:id="2553"/>
      <w:bookmarkEnd w:id="2554"/>
    </w:p>
    <w:tbl>
      <w:tblPr>
        <w:tblW w:w="8505" w:type="dxa"/>
        <w:tblBorders>
          <w:top w:val="single" w:sz="4" w:space="0" w:color="1B556B" w:themeColor="text2"/>
          <w:bottom w:val="single" w:sz="4" w:space="0" w:color="1B556B" w:themeColor="text2"/>
          <w:insideH w:val="single" w:sz="4" w:space="0" w:color="1B556B" w:themeColor="text2"/>
        </w:tblBorders>
        <w:tblLayout w:type="fixed"/>
        <w:tblLook w:val="0420" w:firstRow="1" w:lastRow="0" w:firstColumn="0" w:lastColumn="0" w:noHBand="0" w:noVBand="1"/>
      </w:tblPr>
      <w:tblGrid>
        <w:gridCol w:w="1701"/>
        <w:gridCol w:w="1560"/>
        <w:gridCol w:w="1559"/>
        <w:gridCol w:w="1134"/>
        <w:gridCol w:w="850"/>
        <w:gridCol w:w="1701"/>
      </w:tblGrid>
      <w:tr w:rsidR="00053418" w:rsidRPr="009E06AA" w14:paraId="7FA61454" w14:textId="77777777" w:rsidTr="00B55F24">
        <w:trPr>
          <w:tblHeader/>
        </w:trPr>
        <w:tc>
          <w:tcPr>
            <w:tcW w:w="1701" w:type="dxa"/>
            <w:tcBorders>
              <w:bottom w:val="single" w:sz="4" w:space="0" w:color="1B556B" w:themeColor="text2"/>
            </w:tcBorders>
            <w:shd w:val="clear" w:color="auto" w:fill="1B556B"/>
            <w:tcMar>
              <w:top w:w="0" w:type="dxa"/>
              <w:left w:w="85" w:type="dxa"/>
              <w:bottom w:w="0" w:type="dxa"/>
              <w:right w:w="85" w:type="dxa"/>
            </w:tcMar>
            <w:vAlign w:val="center"/>
          </w:tcPr>
          <w:p w14:paraId="0CA42B59" w14:textId="77777777" w:rsidR="00053418" w:rsidRPr="009E06AA" w:rsidRDefault="00053418" w:rsidP="00B55F24">
            <w:pPr>
              <w:pStyle w:val="TableText"/>
            </w:pPr>
          </w:p>
        </w:tc>
        <w:tc>
          <w:tcPr>
            <w:tcW w:w="5103" w:type="dxa"/>
            <w:gridSpan w:val="4"/>
            <w:tcBorders>
              <w:bottom w:val="single" w:sz="4" w:space="0" w:color="1B556B" w:themeColor="text2"/>
            </w:tcBorders>
            <w:shd w:val="clear" w:color="auto" w:fill="1B556B"/>
            <w:tcMar>
              <w:top w:w="0" w:type="dxa"/>
              <w:left w:w="85" w:type="dxa"/>
              <w:bottom w:w="0" w:type="dxa"/>
              <w:right w:w="85" w:type="dxa"/>
            </w:tcMar>
            <w:vAlign w:val="center"/>
          </w:tcPr>
          <w:p w14:paraId="111F9C86" w14:textId="77777777" w:rsidR="00053418" w:rsidRPr="009E06AA" w:rsidRDefault="00053418" w:rsidP="00B55F24">
            <w:pPr>
              <w:pStyle w:val="TableText"/>
              <w:spacing w:after="0"/>
              <w:jc w:val="center"/>
            </w:pPr>
            <w:r w:rsidRPr="009E06AA">
              <w:rPr>
                <w:rFonts w:eastAsia="Calibri" w:cs="Calibri"/>
                <w:b/>
                <w:color w:val="FFFFFF"/>
                <w:szCs w:val="16"/>
              </w:rPr>
              <w:t>Net carbon stock change 1990–2022 (kt C)</w:t>
            </w:r>
          </w:p>
        </w:tc>
        <w:tc>
          <w:tcPr>
            <w:tcW w:w="1701" w:type="dxa"/>
            <w:tcBorders>
              <w:bottom w:val="single" w:sz="4" w:space="0" w:color="1B556B" w:themeColor="text2"/>
            </w:tcBorders>
            <w:shd w:val="clear" w:color="auto" w:fill="1B556B"/>
            <w:tcMar>
              <w:top w:w="0" w:type="dxa"/>
              <w:left w:w="85" w:type="dxa"/>
              <w:bottom w:w="0" w:type="dxa"/>
              <w:right w:w="85" w:type="dxa"/>
            </w:tcMar>
            <w:vAlign w:val="center"/>
          </w:tcPr>
          <w:p w14:paraId="04C47416" w14:textId="77777777" w:rsidR="00053418" w:rsidRPr="009E06AA" w:rsidRDefault="00053418" w:rsidP="00B55F24">
            <w:pPr>
              <w:pStyle w:val="TableText"/>
              <w:spacing w:after="0"/>
              <w:jc w:val="center"/>
            </w:pPr>
            <w:r w:rsidRPr="009E06AA">
              <w:rPr>
                <w:rFonts w:eastAsia="Calibri" w:cs="Calibri"/>
                <w:b/>
                <w:color w:val="FFFFFF"/>
                <w:szCs w:val="16"/>
              </w:rPr>
              <w:t>Emissions 1990–2022</w:t>
            </w:r>
          </w:p>
        </w:tc>
      </w:tr>
      <w:tr w:rsidR="00053418" w:rsidRPr="009E06AA" w14:paraId="0F95A85F" w14:textId="77777777" w:rsidTr="00B55F24">
        <w:trPr>
          <w:tblHeader/>
        </w:trPr>
        <w:tc>
          <w:tcPr>
            <w:tcW w:w="1701" w:type="dxa"/>
            <w:tcBorders>
              <w:bottom w:val="nil"/>
            </w:tcBorders>
            <w:shd w:val="clear" w:color="auto" w:fill="1B556B"/>
            <w:tcMar>
              <w:top w:w="0" w:type="dxa"/>
              <w:left w:w="85" w:type="dxa"/>
              <w:bottom w:w="0" w:type="dxa"/>
              <w:right w:w="85" w:type="dxa"/>
            </w:tcMar>
            <w:vAlign w:val="center"/>
          </w:tcPr>
          <w:p w14:paraId="2166DE64" w14:textId="77777777" w:rsidR="00053418" w:rsidRPr="009E06AA" w:rsidRDefault="00053418" w:rsidP="00B55F24">
            <w:pPr>
              <w:pStyle w:val="TableText"/>
            </w:pPr>
            <w:r w:rsidRPr="009E06AA">
              <w:rPr>
                <w:rFonts w:eastAsia="Calibri" w:cs="Calibri"/>
                <w:b/>
                <w:color w:val="FFFFFF"/>
                <w:szCs w:val="16"/>
              </w:rPr>
              <w:t>Land use</w:t>
            </w:r>
          </w:p>
        </w:tc>
        <w:tc>
          <w:tcPr>
            <w:tcW w:w="1560" w:type="dxa"/>
            <w:tcBorders>
              <w:bottom w:val="nil"/>
            </w:tcBorders>
            <w:shd w:val="clear" w:color="auto" w:fill="1B556B"/>
            <w:tcMar>
              <w:top w:w="0" w:type="dxa"/>
              <w:left w:w="85" w:type="dxa"/>
              <w:bottom w:w="0" w:type="dxa"/>
              <w:right w:w="85" w:type="dxa"/>
            </w:tcMar>
            <w:vAlign w:val="center"/>
          </w:tcPr>
          <w:p w14:paraId="026E702F" w14:textId="77777777" w:rsidR="00053418" w:rsidRPr="009E06AA" w:rsidRDefault="00053418" w:rsidP="004241BC">
            <w:pPr>
              <w:pStyle w:val="TableText"/>
              <w:spacing w:before="40"/>
              <w:jc w:val="right"/>
            </w:pPr>
            <w:r w:rsidRPr="009E06AA">
              <w:rPr>
                <w:rFonts w:eastAsia="Calibri" w:cs="Calibri"/>
                <w:b/>
                <w:color w:val="FFFFFF"/>
                <w:szCs w:val="16"/>
              </w:rPr>
              <w:t>Living biomass</w:t>
            </w:r>
          </w:p>
        </w:tc>
        <w:tc>
          <w:tcPr>
            <w:tcW w:w="1559" w:type="dxa"/>
            <w:tcBorders>
              <w:bottom w:val="nil"/>
            </w:tcBorders>
            <w:shd w:val="clear" w:color="auto" w:fill="1B556B"/>
            <w:tcMar>
              <w:top w:w="0" w:type="dxa"/>
              <w:left w:w="85" w:type="dxa"/>
              <w:bottom w:w="0" w:type="dxa"/>
              <w:right w:w="85" w:type="dxa"/>
            </w:tcMar>
            <w:vAlign w:val="center"/>
          </w:tcPr>
          <w:p w14:paraId="61D263FC" w14:textId="77777777" w:rsidR="00053418" w:rsidRPr="009E06AA" w:rsidRDefault="00053418" w:rsidP="004241BC">
            <w:pPr>
              <w:pStyle w:val="TableText"/>
              <w:spacing w:before="40"/>
              <w:jc w:val="right"/>
            </w:pPr>
            <w:r w:rsidRPr="009E06AA">
              <w:rPr>
                <w:rFonts w:eastAsia="Calibri" w:cs="Calibri"/>
                <w:b/>
                <w:color w:val="FFFFFF"/>
                <w:szCs w:val="16"/>
              </w:rPr>
              <w:t>Dead organic matter</w:t>
            </w:r>
          </w:p>
        </w:tc>
        <w:tc>
          <w:tcPr>
            <w:tcW w:w="1134" w:type="dxa"/>
            <w:tcBorders>
              <w:bottom w:val="nil"/>
            </w:tcBorders>
            <w:shd w:val="clear" w:color="auto" w:fill="1B556B"/>
            <w:tcMar>
              <w:top w:w="0" w:type="dxa"/>
              <w:left w:w="85" w:type="dxa"/>
              <w:bottom w:w="0" w:type="dxa"/>
              <w:right w:w="85" w:type="dxa"/>
            </w:tcMar>
            <w:vAlign w:val="center"/>
          </w:tcPr>
          <w:p w14:paraId="5F529B21" w14:textId="77777777" w:rsidR="00053418" w:rsidRPr="009E06AA" w:rsidRDefault="00053418" w:rsidP="004241BC">
            <w:pPr>
              <w:pStyle w:val="TableText"/>
              <w:spacing w:before="40"/>
              <w:jc w:val="right"/>
            </w:pPr>
            <w:r w:rsidRPr="009E06AA">
              <w:rPr>
                <w:rFonts w:eastAsia="Calibri" w:cs="Calibri"/>
                <w:b/>
                <w:color w:val="FFFFFF"/>
                <w:szCs w:val="16"/>
              </w:rPr>
              <w:t>Soils</w:t>
            </w:r>
          </w:p>
        </w:tc>
        <w:tc>
          <w:tcPr>
            <w:tcW w:w="850" w:type="dxa"/>
            <w:tcBorders>
              <w:bottom w:val="nil"/>
            </w:tcBorders>
            <w:shd w:val="clear" w:color="auto" w:fill="1B556B"/>
            <w:tcMar>
              <w:top w:w="0" w:type="dxa"/>
              <w:left w:w="85" w:type="dxa"/>
              <w:bottom w:w="0" w:type="dxa"/>
              <w:right w:w="85" w:type="dxa"/>
            </w:tcMar>
            <w:vAlign w:val="center"/>
          </w:tcPr>
          <w:p w14:paraId="7F1636FF" w14:textId="77777777" w:rsidR="00053418" w:rsidRPr="009E06AA" w:rsidRDefault="00053418" w:rsidP="004241BC">
            <w:pPr>
              <w:pStyle w:val="TableText"/>
              <w:spacing w:before="40"/>
              <w:jc w:val="right"/>
            </w:pPr>
            <w:r w:rsidRPr="009E06AA">
              <w:rPr>
                <w:rFonts w:eastAsia="Calibri" w:cs="Calibri"/>
                <w:b/>
                <w:color w:val="FFFFFF"/>
                <w:szCs w:val="16"/>
              </w:rPr>
              <w:t>Total</w:t>
            </w:r>
          </w:p>
        </w:tc>
        <w:tc>
          <w:tcPr>
            <w:tcW w:w="1701" w:type="dxa"/>
            <w:tcBorders>
              <w:bottom w:val="nil"/>
            </w:tcBorders>
            <w:shd w:val="clear" w:color="auto" w:fill="1B556B"/>
            <w:tcMar>
              <w:top w:w="0" w:type="dxa"/>
              <w:left w:w="85" w:type="dxa"/>
              <w:bottom w:w="0" w:type="dxa"/>
              <w:right w:w="85" w:type="dxa"/>
            </w:tcMar>
            <w:vAlign w:val="center"/>
          </w:tcPr>
          <w:p w14:paraId="1248D810" w14:textId="77777777" w:rsidR="00053418" w:rsidRPr="009E06AA" w:rsidRDefault="00053418" w:rsidP="004241BC">
            <w:pPr>
              <w:pStyle w:val="TableText"/>
              <w:spacing w:before="40"/>
              <w:jc w:val="right"/>
            </w:pPr>
            <w:r w:rsidRPr="009E06AA">
              <w:rPr>
                <w:rFonts w:eastAsia="Calibri" w:cs="Calibri"/>
                <w:b/>
                <w:color w:val="FFFFFF"/>
                <w:szCs w:val="16"/>
              </w:rPr>
              <w:t>(kt CO₂)</w:t>
            </w:r>
          </w:p>
        </w:tc>
      </w:tr>
      <w:tr w:rsidR="00053418" w:rsidRPr="009E06AA" w14:paraId="1D87D22A" w14:textId="77777777" w:rsidTr="00B55F24">
        <w:tc>
          <w:tcPr>
            <w:tcW w:w="1701" w:type="dxa"/>
            <w:tcBorders>
              <w:top w:val="nil"/>
            </w:tcBorders>
            <w:shd w:val="clear" w:color="auto" w:fill="FFFFFF"/>
            <w:tcMar>
              <w:top w:w="0" w:type="dxa"/>
              <w:left w:w="85" w:type="dxa"/>
              <w:bottom w:w="0" w:type="dxa"/>
              <w:right w:w="85" w:type="dxa"/>
            </w:tcMar>
            <w:vAlign w:val="center"/>
          </w:tcPr>
          <w:p w14:paraId="7B68EDB8" w14:textId="77777777" w:rsidR="00053418" w:rsidRPr="009E06AA" w:rsidRDefault="00053418" w:rsidP="00B55F24">
            <w:pPr>
              <w:pStyle w:val="TableText"/>
            </w:pPr>
            <w:r w:rsidRPr="009E06AA">
              <w:rPr>
                <w:rFonts w:eastAsia="Calibri" w:cs="Calibri"/>
                <w:color w:val="000000"/>
                <w:szCs w:val="16"/>
              </w:rPr>
              <w:t>Settlements</w:t>
            </w:r>
          </w:p>
        </w:tc>
        <w:tc>
          <w:tcPr>
            <w:tcW w:w="1560" w:type="dxa"/>
            <w:tcBorders>
              <w:top w:val="nil"/>
            </w:tcBorders>
            <w:shd w:val="clear" w:color="auto" w:fill="FFFFFF"/>
            <w:tcMar>
              <w:top w:w="0" w:type="dxa"/>
              <w:left w:w="85" w:type="dxa"/>
              <w:bottom w:w="0" w:type="dxa"/>
              <w:right w:w="85" w:type="dxa"/>
            </w:tcMar>
            <w:vAlign w:val="center"/>
          </w:tcPr>
          <w:p w14:paraId="0374A84E" w14:textId="77777777" w:rsidR="00053418" w:rsidRPr="009E06AA" w:rsidRDefault="00053418" w:rsidP="004241BC">
            <w:pPr>
              <w:pStyle w:val="TableText"/>
              <w:jc w:val="right"/>
            </w:pPr>
            <w:r w:rsidRPr="009E06AA">
              <w:rPr>
                <w:rFonts w:eastAsia="Calibri" w:cs="Calibri"/>
                <w:color w:val="000000"/>
                <w:szCs w:val="16"/>
              </w:rPr>
              <w:t>-459.9</w:t>
            </w:r>
          </w:p>
        </w:tc>
        <w:tc>
          <w:tcPr>
            <w:tcW w:w="1559" w:type="dxa"/>
            <w:tcBorders>
              <w:top w:val="nil"/>
            </w:tcBorders>
            <w:shd w:val="clear" w:color="auto" w:fill="FFFFFF"/>
            <w:tcMar>
              <w:top w:w="0" w:type="dxa"/>
              <w:left w:w="85" w:type="dxa"/>
              <w:bottom w:w="0" w:type="dxa"/>
              <w:right w:w="85" w:type="dxa"/>
            </w:tcMar>
            <w:vAlign w:val="center"/>
          </w:tcPr>
          <w:p w14:paraId="2D696093" w14:textId="77777777" w:rsidR="00053418" w:rsidRPr="009E06AA" w:rsidRDefault="00053418" w:rsidP="004241BC">
            <w:pPr>
              <w:pStyle w:val="TableText"/>
              <w:jc w:val="right"/>
            </w:pPr>
            <w:r w:rsidRPr="009E06AA">
              <w:rPr>
                <w:rFonts w:eastAsia="Calibri" w:cs="Calibri"/>
                <w:color w:val="000000"/>
                <w:szCs w:val="16"/>
              </w:rPr>
              <w:t>-34.0</w:t>
            </w:r>
          </w:p>
        </w:tc>
        <w:tc>
          <w:tcPr>
            <w:tcW w:w="1134" w:type="dxa"/>
            <w:tcBorders>
              <w:top w:val="nil"/>
            </w:tcBorders>
            <w:shd w:val="clear" w:color="auto" w:fill="FFFFFF"/>
            <w:tcMar>
              <w:top w:w="0" w:type="dxa"/>
              <w:left w:w="85" w:type="dxa"/>
              <w:bottom w:w="0" w:type="dxa"/>
              <w:right w:w="85" w:type="dxa"/>
            </w:tcMar>
            <w:vAlign w:val="center"/>
          </w:tcPr>
          <w:p w14:paraId="3EAAAFA2" w14:textId="77777777" w:rsidR="00053418" w:rsidRPr="009E06AA" w:rsidRDefault="00053418" w:rsidP="004241BC">
            <w:pPr>
              <w:pStyle w:val="TableText"/>
              <w:jc w:val="right"/>
            </w:pPr>
            <w:r w:rsidRPr="009E06AA">
              <w:rPr>
                <w:rFonts w:eastAsia="Calibri" w:cs="Calibri"/>
                <w:color w:val="000000"/>
                <w:szCs w:val="16"/>
              </w:rPr>
              <w:t>-623.4</w:t>
            </w:r>
          </w:p>
        </w:tc>
        <w:tc>
          <w:tcPr>
            <w:tcW w:w="850" w:type="dxa"/>
            <w:tcBorders>
              <w:top w:val="nil"/>
            </w:tcBorders>
            <w:shd w:val="clear" w:color="auto" w:fill="FFFFFF"/>
            <w:tcMar>
              <w:top w:w="0" w:type="dxa"/>
              <w:left w:w="85" w:type="dxa"/>
              <w:bottom w:w="0" w:type="dxa"/>
              <w:right w:w="85" w:type="dxa"/>
            </w:tcMar>
            <w:vAlign w:val="center"/>
          </w:tcPr>
          <w:p w14:paraId="3520B796" w14:textId="77777777" w:rsidR="00053418" w:rsidRPr="009E06AA" w:rsidRDefault="00053418" w:rsidP="004241BC">
            <w:pPr>
              <w:pStyle w:val="TableText"/>
              <w:jc w:val="right"/>
            </w:pPr>
            <w:r w:rsidRPr="009E06AA">
              <w:rPr>
                <w:rFonts w:eastAsia="Calibri" w:cs="Calibri"/>
                <w:color w:val="000000"/>
                <w:szCs w:val="16"/>
              </w:rPr>
              <w:t>-1,117.3</w:t>
            </w:r>
          </w:p>
        </w:tc>
        <w:tc>
          <w:tcPr>
            <w:tcW w:w="1701" w:type="dxa"/>
            <w:tcBorders>
              <w:top w:val="nil"/>
            </w:tcBorders>
            <w:shd w:val="clear" w:color="auto" w:fill="FFFFFF"/>
            <w:tcMar>
              <w:top w:w="0" w:type="dxa"/>
              <w:left w:w="85" w:type="dxa"/>
              <w:bottom w:w="0" w:type="dxa"/>
              <w:right w:w="85" w:type="dxa"/>
            </w:tcMar>
            <w:vAlign w:val="center"/>
          </w:tcPr>
          <w:p w14:paraId="432FD83F" w14:textId="77777777" w:rsidR="00053418" w:rsidRPr="009E06AA" w:rsidRDefault="00053418" w:rsidP="004241BC">
            <w:pPr>
              <w:pStyle w:val="TableText"/>
              <w:jc w:val="right"/>
            </w:pPr>
            <w:r w:rsidRPr="009E06AA">
              <w:rPr>
                <w:rFonts w:eastAsia="Calibri" w:cs="Calibri"/>
                <w:color w:val="000000"/>
                <w:szCs w:val="16"/>
              </w:rPr>
              <w:t>4,096.8</w:t>
            </w:r>
          </w:p>
        </w:tc>
      </w:tr>
    </w:tbl>
    <w:p w14:paraId="7E965099" w14:textId="77777777" w:rsidR="00053418" w:rsidRPr="009E06AA" w:rsidRDefault="00053418" w:rsidP="00053418">
      <w:pPr>
        <w:pStyle w:val="BodyText"/>
        <w:spacing w:before="240"/>
      </w:pPr>
      <w:r w:rsidRPr="009E06AA">
        <w:t xml:space="preserve">The </w:t>
      </w:r>
      <w:r w:rsidRPr="009E06AA">
        <w:rPr>
          <w:i/>
        </w:rPr>
        <w:t>Settlements</w:t>
      </w:r>
      <w:r w:rsidRPr="009E06AA">
        <w:t xml:space="preserve"> land use category, as described in chapter 3.2 of the 2006 IPCC Guidelines, includes “all developed land, including transportation infrastructure and human settlements of any size, unless they are already included under other categories” (IPCC, 2006a, p 3.7). </w:t>
      </w:r>
      <w:r w:rsidRPr="009E06AA">
        <w:rPr>
          <w:i/>
        </w:rPr>
        <w:t>Settlements</w:t>
      </w:r>
      <w:r w:rsidRPr="009E06AA">
        <w:t xml:space="preserve"> include trees grown along streets, in public and private gardens, and in parks associated with urban areas. </w:t>
      </w:r>
    </w:p>
    <w:p w14:paraId="679EF863" w14:textId="77777777" w:rsidR="00053418" w:rsidRPr="009E06AA" w:rsidRDefault="00053418" w:rsidP="00053418">
      <w:pPr>
        <w:pStyle w:val="BodyText"/>
      </w:pPr>
      <w:r w:rsidRPr="009E06AA">
        <w:t xml:space="preserve">In 2022, there were 242,694 hectares of </w:t>
      </w:r>
      <w:r w:rsidRPr="009E06AA">
        <w:rPr>
          <w:i/>
        </w:rPr>
        <w:t>Settlements</w:t>
      </w:r>
      <w:r w:rsidRPr="009E06AA">
        <w:t xml:space="preserve"> in New Zealand, an increase of 34,503 hectares since 1990. This category comprised 0.9 per cent of New Zealand’s total land area in 2022. The largest area of change to </w:t>
      </w:r>
      <w:r w:rsidRPr="009E06AA">
        <w:rPr>
          <w:i/>
        </w:rPr>
        <w:t>Settlements</w:t>
      </w:r>
      <w:r w:rsidRPr="009E06AA">
        <w:t xml:space="preserve"> between 1990 and 2022 came from high producing grassland, with 26,385 hectares between 1990 and 2022.</w:t>
      </w:r>
    </w:p>
    <w:p w14:paraId="58ABE314" w14:textId="77777777" w:rsidR="00053418" w:rsidRPr="009E06AA" w:rsidRDefault="00053418" w:rsidP="00053418">
      <w:pPr>
        <w:pStyle w:val="BodyText"/>
      </w:pPr>
      <w:r w:rsidRPr="009E06AA">
        <w:t xml:space="preserve">The emissions in the </w:t>
      </w:r>
      <w:r w:rsidRPr="009E06AA">
        <w:rPr>
          <w:i/>
        </w:rPr>
        <w:t>Settlements remaining settlements</w:t>
      </w:r>
      <w:r w:rsidRPr="009E06AA">
        <w:t xml:space="preserve"> category are all from anthropogenic drainage of organic soils for establishment of settlements. Carbon in living biomass and dead organic matter for this land use category is estimated as zero but, because zero is not a valid entry for biomass gains in the Greenhouse Gas Inventory Reporting Tool, the notation key NA is reported for biomass gains instead. The carbon stock in mineral soil for this land use is assumed to be in steady state, so this is also reported as zero. </w:t>
      </w:r>
    </w:p>
    <w:p w14:paraId="55334C6F" w14:textId="77777777" w:rsidR="00053418" w:rsidRPr="009E06AA" w:rsidRDefault="00053418" w:rsidP="00053418">
      <w:pPr>
        <w:pStyle w:val="Heading3"/>
      </w:pPr>
      <w:r w:rsidRPr="009E06AA">
        <w:t>6.8.2</w:t>
      </w:r>
      <w:r w:rsidRPr="009E06AA">
        <w:tab/>
        <w:t>Methodological issues</w:t>
      </w:r>
    </w:p>
    <w:p w14:paraId="2C0813D2" w14:textId="77777777" w:rsidR="00053418" w:rsidRPr="009E06AA" w:rsidRDefault="00053418" w:rsidP="00053418">
      <w:pPr>
        <w:pStyle w:val="Heading4"/>
      </w:pPr>
      <w:r w:rsidRPr="009E06AA">
        <w:t>Settlements remaining settlements (4.E.1)</w:t>
      </w:r>
    </w:p>
    <w:p w14:paraId="4CED1C6E" w14:textId="77777777" w:rsidR="00053418" w:rsidRPr="009E06AA" w:rsidRDefault="00053418" w:rsidP="00053418">
      <w:pPr>
        <w:pStyle w:val="BodyText"/>
      </w:pPr>
      <w:r w:rsidRPr="009E06AA">
        <w:t xml:space="preserve">New Zealand applies Tier 1 methods for estimating emissions from the </w:t>
      </w:r>
      <w:r w:rsidRPr="009E06AA">
        <w:rPr>
          <w:i/>
        </w:rPr>
        <w:t xml:space="preserve">Settlements remaining settlements </w:t>
      </w:r>
      <w:r w:rsidRPr="009E06AA">
        <w:t>category</w:t>
      </w:r>
      <w:r w:rsidRPr="009E06AA">
        <w:rPr>
          <w:i/>
        </w:rPr>
        <w:t xml:space="preserve">. </w:t>
      </w:r>
      <w:r w:rsidRPr="009E06AA">
        <w:t>The assumptions are that there is no change in carbon stocks for living biomass, dead organic matter, or mineral soils.</w:t>
      </w:r>
      <w:r w:rsidRPr="009E06AA" w:rsidDel="00394041">
        <w:t xml:space="preserve"> </w:t>
      </w:r>
      <w:r w:rsidRPr="009E06AA">
        <w:t xml:space="preserve">The Tier 1 method for organic soils conversely assumes emissions are constant if they are drained. Where organic soils occur in this category, they are assumed to be drained. See annex A5.2.4 ‘Organic soils’ for further information on the methods applied to organic soils. </w:t>
      </w:r>
    </w:p>
    <w:p w14:paraId="3F688A31" w14:textId="77777777" w:rsidR="00053418" w:rsidRPr="009E06AA" w:rsidRDefault="00053418" w:rsidP="00053418">
      <w:pPr>
        <w:pStyle w:val="BodyText"/>
      </w:pPr>
      <w:r w:rsidRPr="009E06AA">
        <w:t>Because this is not a key category, New Zealand is not investigating methods to move to a higher tier of reporting for this category.</w:t>
      </w:r>
    </w:p>
    <w:p w14:paraId="288A58A9" w14:textId="77777777" w:rsidR="00053418" w:rsidRPr="009E06AA" w:rsidRDefault="00053418" w:rsidP="00053418">
      <w:pPr>
        <w:pStyle w:val="Heading4"/>
      </w:pPr>
      <w:r w:rsidRPr="009E06AA">
        <w:t>Land converted to settlements (4.E.2)</w:t>
      </w:r>
    </w:p>
    <w:p w14:paraId="5E782395" w14:textId="77777777" w:rsidR="00053418" w:rsidRPr="009E06AA" w:rsidRDefault="00053418" w:rsidP="00BF2A76">
      <w:pPr>
        <w:pStyle w:val="Heading5"/>
      </w:pPr>
      <w:r w:rsidRPr="009E06AA">
        <w:t>Living biomass and dead organic matter</w:t>
      </w:r>
    </w:p>
    <w:p w14:paraId="41FA0350" w14:textId="77777777" w:rsidR="00053418" w:rsidRPr="009E06AA" w:rsidRDefault="00053418" w:rsidP="00053418">
      <w:pPr>
        <w:pStyle w:val="BodyText"/>
      </w:pPr>
      <w:r w:rsidRPr="009E06AA">
        <w:t xml:space="preserve">New Zealand has applied a Tier 1 method for estimating carbon stock change with land conversion to </w:t>
      </w:r>
      <w:r w:rsidRPr="009E06AA">
        <w:rPr>
          <w:i/>
        </w:rPr>
        <w:t>Settlements</w:t>
      </w:r>
      <w:r w:rsidRPr="009E06AA">
        <w:t xml:space="preserve"> (equation 2.16, IPCC, 2006a). This is the same as that used for other areas of land use conversion (e.g., </w:t>
      </w:r>
      <w:r w:rsidRPr="009E06AA">
        <w:rPr>
          <w:i/>
        </w:rPr>
        <w:t>Land converted to cropland</w:t>
      </w:r>
      <w:r w:rsidRPr="009E06AA">
        <w:t>). The default assumptions for a Tier 1 estimate are that all living biomass and dead organic matter present before conversion are lost in the same year as the conversion took place. Furthermore, carbon stocks in living biomass and dead organic matter following conversion are equal to zero (sections 8.3.1 and 8.3.2, IPCC, 2006a).</w:t>
      </w:r>
    </w:p>
    <w:p w14:paraId="2F5DFB64" w14:textId="77777777" w:rsidR="00053418" w:rsidRPr="009E06AA" w:rsidRDefault="00053418" w:rsidP="00BF2A76">
      <w:pPr>
        <w:pStyle w:val="Heading5"/>
      </w:pPr>
      <w:r w:rsidRPr="009E06AA">
        <w:t xml:space="preserve">Soil organic carbon </w:t>
      </w:r>
    </w:p>
    <w:p w14:paraId="4381F150" w14:textId="77777777" w:rsidR="00053418" w:rsidRPr="009E06AA" w:rsidRDefault="00053418" w:rsidP="00053418">
      <w:pPr>
        <w:pStyle w:val="BodyText"/>
      </w:pPr>
      <w:r w:rsidRPr="009E06AA">
        <w:t xml:space="preserve">Soil organic carbon stocks in mineral soil for </w:t>
      </w:r>
      <w:r w:rsidRPr="009E06AA">
        <w:rPr>
          <w:i/>
        </w:rPr>
        <w:t>Land converted to settlements</w:t>
      </w:r>
      <w:r w:rsidRPr="009E06AA">
        <w:t xml:space="preserve"> are estimated using a Tier 2 method (see annex A5.2.4 ‘Mineral soils’). For organic soils, loss of soil carbon is estimated using the Tier 1 method applied to </w:t>
      </w:r>
      <w:r w:rsidRPr="009E06AA">
        <w:rPr>
          <w:i/>
        </w:rPr>
        <w:t>Settlements remaining settlements</w:t>
      </w:r>
      <w:r w:rsidRPr="009E06AA">
        <w:t xml:space="preserve">. </w:t>
      </w:r>
    </w:p>
    <w:p w14:paraId="6B135690" w14:textId="77777777" w:rsidR="00053418" w:rsidRPr="009E06AA" w:rsidRDefault="00053418" w:rsidP="00053418">
      <w:pPr>
        <w:pStyle w:val="Heading3"/>
      </w:pPr>
      <w:r w:rsidRPr="009E06AA">
        <w:t>6.8.3</w:t>
      </w:r>
      <w:r w:rsidRPr="009E06AA">
        <w:tab/>
        <w:t>Uncertainty assessment and time-series consistency</w:t>
      </w:r>
    </w:p>
    <w:p w14:paraId="5FECBD9C" w14:textId="77777777" w:rsidR="00053418" w:rsidRPr="009E06AA" w:rsidRDefault="00053418" w:rsidP="00053418">
      <w:pPr>
        <w:pStyle w:val="BodyText"/>
        <w:rPr>
          <w:rFonts w:ascii="Segoe UI" w:hAnsi="Segoe UI" w:cs="Segoe UI"/>
        </w:rPr>
      </w:pPr>
      <w:r w:rsidRPr="009E06AA">
        <w:t xml:space="preserve">The uncertainty in net carbon emissions from </w:t>
      </w:r>
      <w:r w:rsidRPr="009E06AA">
        <w:rPr>
          <w:i/>
          <w:iCs/>
        </w:rPr>
        <w:t>Settlements</w:t>
      </w:r>
      <w:r w:rsidRPr="009E06AA">
        <w:t xml:space="preserve"> was 65.5 per cent in 2022. The uncertainty in net carbon emissions from </w:t>
      </w:r>
      <w:r w:rsidRPr="009E06AA">
        <w:rPr>
          <w:i/>
        </w:rPr>
        <w:t>Settlements</w:t>
      </w:r>
      <w:r w:rsidRPr="009E06AA">
        <w:t xml:space="preserve"> accounted for 0.4 per cent of the total uncertainty in emissions from the LULUCF sector. The methods used to calculate the uncertainty are further described in annex A5.2.8. </w:t>
      </w:r>
    </w:p>
    <w:p w14:paraId="1832E7B6" w14:textId="77777777" w:rsidR="00053418" w:rsidRPr="009E06AA" w:rsidRDefault="00053418" w:rsidP="00053418">
      <w:pPr>
        <w:pStyle w:val="BodyText"/>
      </w:pPr>
      <w:r w:rsidRPr="009E06AA">
        <w:t>Time-series consistency is ensured by applying consistent methods and full recalculations in the event of any refinement or improvement to methodology.</w:t>
      </w:r>
    </w:p>
    <w:p w14:paraId="73EFE304" w14:textId="77777777" w:rsidR="00053418" w:rsidRPr="009E06AA" w:rsidRDefault="00053418" w:rsidP="00053418">
      <w:pPr>
        <w:pStyle w:val="Heading3"/>
      </w:pPr>
      <w:r w:rsidRPr="009E06AA" w:rsidDel="00CB15DE">
        <w:t>6.</w:t>
      </w:r>
      <w:r w:rsidRPr="009E06AA">
        <w:t>8.4</w:t>
      </w:r>
      <w:r w:rsidRPr="009E06AA">
        <w:tab/>
        <w:t>Category-specific QA/QC and verification</w:t>
      </w:r>
    </w:p>
    <w:p w14:paraId="54E50F9B" w14:textId="77777777" w:rsidR="00053418" w:rsidRPr="009E06AA" w:rsidRDefault="00053418" w:rsidP="00053418">
      <w:pPr>
        <w:pStyle w:val="BodyText"/>
      </w:pPr>
      <w:r w:rsidRPr="009E06AA">
        <w:t>In the preparation of this inventory, the activity data for these emissions underwent Tier 1 quality checks.</w:t>
      </w:r>
    </w:p>
    <w:p w14:paraId="72949096" w14:textId="77777777" w:rsidR="00053418" w:rsidRPr="009E06AA" w:rsidRDefault="00053418" w:rsidP="00053418">
      <w:pPr>
        <w:pStyle w:val="Heading3"/>
      </w:pPr>
      <w:r w:rsidRPr="009E06AA">
        <w:t>6.8.5</w:t>
      </w:r>
      <w:r w:rsidRPr="009E06AA">
        <w:tab/>
        <w:t>Category-specific recalculations</w:t>
      </w:r>
    </w:p>
    <w:p w14:paraId="487BBE2E" w14:textId="77777777" w:rsidR="00053418" w:rsidRPr="009E06AA" w:rsidRDefault="00053418" w:rsidP="00053418">
      <w:pPr>
        <w:pStyle w:val="BodyText"/>
      </w:pPr>
      <w:r w:rsidRPr="009E06AA">
        <w:t xml:space="preserve">Recalculations were carried out for this category (see table 6.8.3). Recalculations in the </w:t>
      </w:r>
      <w:r w:rsidRPr="009E06AA">
        <w:rPr>
          <w:i/>
        </w:rPr>
        <w:t>Settlements</w:t>
      </w:r>
      <w:r w:rsidRPr="009E06AA">
        <w:t xml:space="preserve"> category are largely due to emissions associated with small mapping changes to the areas of deforestation that have been converted to </w:t>
      </w:r>
      <w:r w:rsidRPr="009E06AA">
        <w:rPr>
          <w:i/>
        </w:rPr>
        <w:t xml:space="preserve">Settlements </w:t>
      </w:r>
      <w:r w:rsidRPr="009E06AA">
        <w:rPr>
          <w:iCs/>
        </w:rPr>
        <w:t xml:space="preserve">as well as </w:t>
      </w:r>
      <w:r w:rsidRPr="009E06AA">
        <w:t xml:space="preserve">the introduction of the 2020 land use map. </w:t>
      </w:r>
    </w:p>
    <w:p w14:paraId="4E3BD5EF" w14:textId="77777777" w:rsidR="00053418" w:rsidRPr="009E06AA" w:rsidRDefault="00053418" w:rsidP="00053418">
      <w:pPr>
        <w:pStyle w:val="Table"/>
      </w:pPr>
      <w:bookmarkStart w:id="2555" w:name="_Toc342470792"/>
      <w:bookmarkStart w:id="2556" w:name="_Toc352505032"/>
      <w:bookmarkStart w:id="2557" w:name="_Toc378853321"/>
      <w:bookmarkStart w:id="2558" w:name="_Toc391024119"/>
      <w:bookmarkStart w:id="2559" w:name="_Toc410028861"/>
      <w:bookmarkStart w:id="2560" w:name="_Toc414531489"/>
      <w:bookmarkStart w:id="2561" w:name="_Toc443645402"/>
      <w:bookmarkStart w:id="2562" w:name="_Toc474914621"/>
      <w:bookmarkStart w:id="2563" w:name="_Toc481751585"/>
      <w:bookmarkStart w:id="2564" w:name="_Toc522010642"/>
      <w:bookmarkStart w:id="2565" w:name="_Toc5269547"/>
      <w:bookmarkStart w:id="2566" w:name="_Toc33529421"/>
      <w:bookmarkStart w:id="2567" w:name="_Toc36224627"/>
      <w:bookmarkStart w:id="2568" w:name="_Toc131591421"/>
      <w:bookmarkStart w:id="2569" w:name="_Toc158979979"/>
      <w:bookmarkStart w:id="2570" w:name="_Toc164153912"/>
      <w:r w:rsidRPr="009E06AA">
        <w:t>Table 6.8.3</w:t>
      </w:r>
      <w:r w:rsidRPr="009E06AA">
        <w:tab/>
        <w:t xml:space="preserve">Recalculations for New Zealand’s net emissions from the </w:t>
      </w:r>
      <w:r w:rsidRPr="009E06AA">
        <w:rPr>
          <w:i/>
        </w:rPr>
        <w:t>Settlements</w:t>
      </w:r>
      <w:r w:rsidRPr="009E06AA">
        <w:t xml:space="preserve"> category in 1990 and</w:t>
      </w:r>
      <w:bookmarkEnd w:id="2555"/>
      <w:bookmarkEnd w:id="2556"/>
      <w:bookmarkEnd w:id="2557"/>
      <w:bookmarkEnd w:id="2558"/>
      <w:r w:rsidRPr="009E06AA">
        <w:t> </w:t>
      </w:r>
      <w:bookmarkEnd w:id="2559"/>
      <w:bookmarkEnd w:id="2560"/>
      <w:bookmarkEnd w:id="2561"/>
      <w:bookmarkEnd w:id="2562"/>
      <w:bookmarkEnd w:id="2563"/>
      <w:bookmarkEnd w:id="2564"/>
      <w:bookmarkEnd w:id="2565"/>
      <w:bookmarkEnd w:id="2566"/>
      <w:bookmarkEnd w:id="2567"/>
      <w:r w:rsidRPr="009E06AA">
        <w:t>2021</w:t>
      </w:r>
      <w:bookmarkEnd w:id="2568"/>
      <w:bookmarkEnd w:id="2569"/>
      <w:bookmarkEnd w:id="2570"/>
    </w:p>
    <w:tbl>
      <w:tblPr>
        <w:tblW w:w="8505" w:type="dxa"/>
        <w:tblBorders>
          <w:top w:val="single" w:sz="4" w:space="0" w:color="1B556B" w:themeColor="text2"/>
          <w:bottom w:val="single" w:sz="4" w:space="0" w:color="1B556B" w:themeColor="text2"/>
          <w:insideH w:val="single" w:sz="4" w:space="0" w:color="1B556B" w:themeColor="text2"/>
        </w:tblBorders>
        <w:tblLayout w:type="fixed"/>
        <w:tblLook w:val="0420" w:firstRow="1" w:lastRow="0" w:firstColumn="0" w:lastColumn="0" w:noHBand="0" w:noVBand="1"/>
      </w:tblPr>
      <w:tblGrid>
        <w:gridCol w:w="2269"/>
        <w:gridCol w:w="1559"/>
        <w:gridCol w:w="1559"/>
        <w:gridCol w:w="2268"/>
        <w:gridCol w:w="850"/>
      </w:tblGrid>
      <w:tr w:rsidR="00053418" w:rsidRPr="009E06AA" w14:paraId="636AEDD9" w14:textId="77777777" w:rsidTr="00B55F24">
        <w:trPr>
          <w:tblHeader/>
        </w:trPr>
        <w:tc>
          <w:tcPr>
            <w:tcW w:w="2268" w:type="dxa"/>
            <w:shd w:val="clear" w:color="auto" w:fill="1B556B"/>
            <w:tcMar>
              <w:top w:w="0" w:type="dxa"/>
              <w:left w:w="85" w:type="dxa"/>
              <w:bottom w:w="0" w:type="dxa"/>
              <w:right w:w="85" w:type="dxa"/>
            </w:tcMar>
            <w:vAlign w:val="center"/>
          </w:tcPr>
          <w:p w14:paraId="688B08E4" w14:textId="77777777" w:rsidR="00053418" w:rsidRPr="009E06AA" w:rsidRDefault="00053418" w:rsidP="00B55F24">
            <w:pPr>
              <w:pStyle w:val="TableText"/>
              <w:spacing w:before="40" w:after="40"/>
            </w:pPr>
          </w:p>
        </w:tc>
        <w:tc>
          <w:tcPr>
            <w:tcW w:w="1559" w:type="dxa"/>
            <w:shd w:val="clear" w:color="auto" w:fill="1B556B"/>
            <w:tcMar>
              <w:top w:w="0" w:type="dxa"/>
              <w:left w:w="85" w:type="dxa"/>
              <w:bottom w:w="0" w:type="dxa"/>
              <w:right w:w="85" w:type="dxa"/>
            </w:tcMar>
            <w:vAlign w:val="center"/>
          </w:tcPr>
          <w:p w14:paraId="38E0EF37" w14:textId="77777777" w:rsidR="00053418" w:rsidRPr="009E06AA" w:rsidRDefault="00053418" w:rsidP="004241BC">
            <w:pPr>
              <w:pStyle w:val="TableText"/>
              <w:spacing w:before="40" w:after="40"/>
              <w:jc w:val="right"/>
            </w:pPr>
            <w:r w:rsidRPr="009E06AA">
              <w:rPr>
                <w:rFonts w:eastAsia="Calibri" w:cs="Calibri"/>
                <w:b/>
                <w:color w:val="FFFFFF"/>
                <w:szCs w:val="16"/>
              </w:rPr>
              <w:t>2023 submission</w:t>
            </w:r>
          </w:p>
        </w:tc>
        <w:tc>
          <w:tcPr>
            <w:tcW w:w="1559" w:type="dxa"/>
            <w:shd w:val="clear" w:color="auto" w:fill="1B556B"/>
            <w:tcMar>
              <w:top w:w="0" w:type="dxa"/>
              <w:left w:w="85" w:type="dxa"/>
              <w:bottom w:w="0" w:type="dxa"/>
              <w:right w:w="85" w:type="dxa"/>
            </w:tcMar>
            <w:vAlign w:val="center"/>
          </w:tcPr>
          <w:p w14:paraId="2845E966" w14:textId="77777777" w:rsidR="00053418" w:rsidRPr="009E06AA" w:rsidRDefault="00053418" w:rsidP="004241BC">
            <w:pPr>
              <w:pStyle w:val="TableText"/>
              <w:spacing w:before="40" w:after="40"/>
              <w:jc w:val="right"/>
            </w:pPr>
            <w:r w:rsidRPr="009E06AA">
              <w:rPr>
                <w:rFonts w:eastAsia="Calibri" w:cs="Calibri"/>
                <w:b/>
                <w:color w:val="FFFFFF"/>
                <w:szCs w:val="16"/>
              </w:rPr>
              <w:t>2024 submission</w:t>
            </w:r>
          </w:p>
        </w:tc>
        <w:tc>
          <w:tcPr>
            <w:tcW w:w="2268" w:type="dxa"/>
            <w:shd w:val="clear" w:color="auto" w:fill="1B556B"/>
            <w:tcMar>
              <w:top w:w="0" w:type="dxa"/>
              <w:left w:w="85" w:type="dxa"/>
              <w:bottom w:w="0" w:type="dxa"/>
              <w:right w:w="85" w:type="dxa"/>
            </w:tcMar>
            <w:vAlign w:val="center"/>
          </w:tcPr>
          <w:p w14:paraId="1D17AE6C" w14:textId="77777777" w:rsidR="00053418" w:rsidRPr="009E06AA" w:rsidRDefault="00053418" w:rsidP="004241BC">
            <w:pPr>
              <w:pStyle w:val="TableText"/>
              <w:spacing w:before="40" w:after="40"/>
              <w:jc w:val="right"/>
            </w:pPr>
            <w:r w:rsidRPr="009E06AA">
              <w:rPr>
                <w:rFonts w:eastAsia="Calibri" w:cs="Calibri"/>
                <w:b/>
                <w:color w:val="FFFFFF"/>
                <w:szCs w:val="16"/>
              </w:rPr>
              <w:t>Change from 2023 submission</w:t>
            </w:r>
          </w:p>
        </w:tc>
        <w:tc>
          <w:tcPr>
            <w:tcW w:w="850" w:type="dxa"/>
            <w:shd w:val="clear" w:color="auto" w:fill="1B556B"/>
            <w:tcMar>
              <w:top w:w="0" w:type="dxa"/>
              <w:left w:w="85" w:type="dxa"/>
              <w:bottom w:w="0" w:type="dxa"/>
              <w:right w:w="85" w:type="dxa"/>
            </w:tcMar>
            <w:vAlign w:val="center"/>
          </w:tcPr>
          <w:p w14:paraId="308B19D6" w14:textId="77777777" w:rsidR="00053418" w:rsidRPr="009E06AA" w:rsidRDefault="00053418" w:rsidP="004241BC">
            <w:pPr>
              <w:pStyle w:val="TableText"/>
              <w:spacing w:before="40" w:after="40"/>
              <w:jc w:val="right"/>
            </w:pPr>
            <w:r w:rsidRPr="009E06AA">
              <w:rPr>
                <w:rFonts w:eastAsia="Calibri" w:cs="Calibri"/>
                <w:b/>
                <w:color w:val="FFFFFF"/>
                <w:szCs w:val="16"/>
              </w:rPr>
              <w:t>% change</w:t>
            </w:r>
          </w:p>
        </w:tc>
      </w:tr>
      <w:tr w:rsidR="00053418" w:rsidRPr="009E06AA" w14:paraId="28E4802F" w14:textId="77777777" w:rsidTr="00B55F24">
        <w:tc>
          <w:tcPr>
            <w:tcW w:w="2268" w:type="dxa"/>
            <w:shd w:val="clear" w:color="auto" w:fill="FFFFFF"/>
            <w:tcMar>
              <w:top w:w="0" w:type="dxa"/>
              <w:left w:w="85" w:type="dxa"/>
              <w:bottom w:w="0" w:type="dxa"/>
              <w:right w:w="85" w:type="dxa"/>
            </w:tcMar>
            <w:vAlign w:val="center"/>
          </w:tcPr>
          <w:p w14:paraId="18338623" w14:textId="77777777" w:rsidR="00053418" w:rsidRPr="009E06AA" w:rsidRDefault="00053418" w:rsidP="00B55F24">
            <w:pPr>
              <w:pStyle w:val="TableText"/>
              <w:spacing w:before="40" w:after="40"/>
            </w:pPr>
            <w:r w:rsidRPr="009E06AA">
              <w:rPr>
                <w:rFonts w:eastAsia="Calibri" w:cs="Calibri"/>
                <w:b/>
                <w:color w:val="1B556B"/>
                <w:szCs w:val="16"/>
              </w:rPr>
              <w:t>Net emissions (kt CO</w:t>
            </w:r>
            <w:r w:rsidRPr="009E06AA">
              <w:rPr>
                <w:rFonts w:eastAsia="Calibri" w:cs="Calibri"/>
                <w:b/>
                <w:color w:val="1B556B"/>
                <w:szCs w:val="16"/>
                <w:vertAlign w:val="subscript"/>
              </w:rPr>
              <w:t>2</w:t>
            </w:r>
            <w:r w:rsidRPr="009E06AA">
              <w:rPr>
                <w:rFonts w:eastAsia="Calibri" w:cs="Calibri"/>
                <w:b/>
                <w:color w:val="1B556B"/>
                <w:szCs w:val="16"/>
              </w:rPr>
              <w:t>-e)</w:t>
            </w:r>
          </w:p>
        </w:tc>
        <w:tc>
          <w:tcPr>
            <w:tcW w:w="1559" w:type="dxa"/>
            <w:shd w:val="clear" w:color="auto" w:fill="FFFFFF"/>
            <w:tcMar>
              <w:top w:w="0" w:type="dxa"/>
              <w:left w:w="85" w:type="dxa"/>
              <w:bottom w:w="0" w:type="dxa"/>
              <w:right w:w="85" w:type="dxa"/>
            </w:tcMar>
            <w:vAlign w:val="center"/>
          </w:tcPr>
          <w:p w14:paraId="0BAD9A33" w14:textId="77777777" w:rsidR="00053418" w:rsidRPr="009E06AA" w:rsidRDefault="00053418" w:rsidP="004241BC">
            <w:pPr>
              <w:pStyle w:val="TableText"/>
              <w:spacing w:before="40" w:after="40"/>
              <w:jc w:val="right"/>
            </w:pPr>
          </w:p>
        </w:tc>
        <w:tc>
          <w:tcPr>
            <w:tcW w:w="1559" w:type="dxa"/>
            <w:shd w:val="clear" w:color="auto" w:fill="FFFFFF"/>
            <w:tcMar>
              <w:top w:w="0" w:type="dxa"/>
              <w:left w:w="85" w:type="dxa"/>
              <w:bottom w:w="0" w:type="dxa"/>
              <w:right w:w="85" w:type="dxa"/>
            </w:tcMar>
            <w:vAlign w:val="center"/>
          </w:tcPr>
          <w:p w14:paraId="1E0153D2" w14:textId="77777777" w:rsidR="00053418" w:rsidRPr="009E06AA" w:rsidRDefault="00053418" w:rsidP="004241BC">
            <w:pPr>
              <w:pStyle w:val="TableText"/>
              <w:spacing w:before="40" w:after="40"/>
              <w:jc w:val="right"/>
            </w:pPr>
          </w:p>
        </w:tc>
        <w:tc>
          <w:tcPr>
            <w:tcW w:w="2268" w:type="dxa"/>
            <w:shd w:val="clear" w:color="auto" w:fill="FFFFFF"/>
            <w:tcMar>
              <w:top w:w="0" w:type="dxa"/>
              <w:left w:w="85" w:type="dxa"/>
              <w:bottom w:w="0" w:type="dxa"/>
              <w:right w:w="85" w:type="dxa"/>
            </w:tcMar>
            <w:vAlign w:val="center"/>
          </w:tcPr>
          <w:p w14:paraId="33F96918" w14:textId="77777777" w:rsidR="00053418" w:rsidRPr="009E06AA" w:rsidRDefault="00053418" w:rsidP="004241BC">
            <w:pPr>
              <w:pStyle w:val="TableText"/>
              <w:spacing w:before="40" w:after="40"/>
              <w:jc w:val="right"/>
            </w:pPr>
          </w:p>
        </w:tc>
        <w:tc>
          <w:tcPr>
            <w:tcW w:w="850" w:type="dxa"/>
            <w:shd w:val="clear" w:color="auto" w:fill="FFFFFF"/>
            <w:tcMar>
              <w:top w:w="0" w:type="dxa"/>
              <w:left w:w="85" w:type="dxa"/>
              <w:bottom w:w="0" w:type="dxa"/>
              <w:right w:w="85" w:type="dxa"/>
            </w:tcMar>
            <w:vAlign w:val="center"/>
          </w:tcPr>
          <w:p w14:paraId="02419457" w14:textId="77777777" w:rsidR="00053418" w:rsidRPr="009E06AA" w:rsidRDefault="00053418" w:rsidP="004241BC">
            <w:pPr>
              <w:pStyle w:val="TableText"/>
              <w:spacing w:before="40" w:after="40"/>
              <w:jc w:val="right"/>
            </w:pPr>
          </w:p>
        </w:tc>
      </w:tr>
      <w:tr w:rsidR="00053418" w:rsidRPr="009E06AA" w14:paraId="4CD6F7B9" w14:textId="77777777" w:rsidTr="00B55F24">
        <w:tc>
          <w:tcPr>
            <w:tcW w:w="2268" w:type="dxa"/>
            <w:shd w:val="clear" w:color="auto" w:fill="FFFFFF"/>
            <w:tcMar>
              <w:top w:w="0" w:type="dxa"/>
              <w:left w:w="85" w:type="dxa"/>
              <w:bottom w:w="0" w:type="dxa"/>
              <w:right w:w="85" w:type="dxa"/>
            </w:tcMar>
            <w:vAlign w:val="center"/>
          </w:tcPr>
          <w:p w14:paraId="611655DA" w14:textId="77777777" w:rsidR="00053418" w:rsidRPr="009E06AA" w:rsidRDefault="00053418" w:rsidP="00B55F24">
            <w:pPr>
              <w:pStyle w:val="TableText"/>
              <w:spacing w:before="40" w:after="40"/>
            </w:pPr>
            <w:r w:rsidRPr="009E06AA">
              <w:rPr>
                <w:rFonts w:eastAsia="Calibri" w:cs="Calibri"/>
                <w:color w:val="000000"/>
                <w:szCs w:val="16"/>
              </w:rPr>
              <w:t>1990</w:t>
            </w:r>
          </w:p>
        </w:tc>
        <w:tc>
          <w:tcPr>
            <w:tcW w:w="1559" w:type="dxa"/>
            <w:shd w:val="clear" w:color="auto" w:fill="FFFFFF"/>
            <w:tcMar>
              <w:top w:w="0" w:type="dxa"/>
              <w:left w:w="85" w:type="dxa"/>
              <w:bottom w:w="0" w:type="dxa"/>
              <w:right w:w="85" w:type="dxa"/>
            </w:tcMar>
            <w:vAlign w:val="center"/>
          </w:tcPr>
          <w:p w14:paraId="30E887AE" w14:textId="77777777" w:rsidR="00053418" w:rsidRPr="009E06AA" w:rsidRDefault="00053418" w:rsidP="004241BC">
            <w:pPr>
              <w:pStyle w:val="TableText"/>
              <w:spacing w:before="40" w:after="40"/>
              <w:jc w:val="right"/>
            </w:pPr>
            <w:r w:rsidRPr="009E06AA">
              <w:rPr>
                <w:rFonts w:eastAsia="Calibri" w:cs="Calibri"/>
                <w:color w:val="000000"/>
                <w:szCs w:val="16"/>
              </w:rPr>
              <w:t>75.7</w:t>
            </w:r>
          </w:p>
        </w:tc>
        <w:tc>
          <w:tcPr>
            <w:tcW w:w="1559" w:type="dxa"/>
            <w:shd w:val="clear" w:color="auto" w:fill="FFFFFF"/>
            <w:tcMar>
              <w:top w:w="0" w:type="dxa"/>
              <w:left w:w="85" w:type="dxa"/>
              <w:bottom w:w="0" w:type="dxa"/>
              <w:right w:w="85" w:type="dxa"/>
            </w:tcMar>
            <w:vAlign w:val="center"/>
          </w:tcPr>
          <w:p w14:paraId="63A9DEDF" w14:textId="77777777" w:rsidR="00053418" w:rsidRPr="009E06AA" w:rsidRDefault="00053418" w:rsidP="004241BC">
            <w:pPr>
              <w:pStyle w:val="TableText"/>
              <w:spacing w:before="40" w:after="40"/>
              <w:jc w:val="right"/>
            </w:pPr>
            <w:r w:rsidRPr="009E06AA">
              <w:rPr>
                <w:rFonts w:eastAsia="Calibri" w:cs="Calibri"/>
                <w:color w:val="000000"/>
                <w:szCs w:val="16"/>
              </w:rPr>
              <w:t>78.9</w:t>
            </w:r>
          </w:p>
        </w:tc>
        <w:tc>
          <w:tcPr>
            <w:tcW w:w="2268" w:type="dxa"/>
            <w:shd w:val="clear" w:color="auto" w:fill="FFFFFF"/>
            <w:tcMar>
              <w:top w:w="0" w:type="dxa"/>
              <w:left w:w="85" w:type="dxa"/>
              <w:bottom w:w="0" w:type="dxa"/>
              <w:right w:w="85" w:type="dxa"/>
            </w:tcMar>
            <w:vAlign w:val="center"/>
          </w:tcPr>
          <w:p w14:paraId="06D807DA" w14:textId="77777777" w:rsidR="00053418" w:rsidRPr="009E06AA" w:rsidRDefault="00053418" w:rsidP="004241BC">
            <w:pPr>
              <w:pStyle w:val="TableText"/>
              <w:spacing w:before="40" w:after="40"/>
              <w:jc w:val="right"/>
            </w:pPr>
            <w:r w:rsidRPr="009E06AA">
              <w:rPr>
                <w:rFonts w:eastAsia="Calibri" w:cs="Calibri"/>
                <w:color w:val="000000"/>
                <w:szCs w:val="16"/>
              </w:rPr>
              <w:t>3.2</w:t>
            </w:r>
          </w:p>
        </w:tc>
        <w:tc>
          <w:tcPr>
            <w:tcW w:w="850" w:type="dxa"/>
            <w:shd w:val="clear" w:color="auto" w:fill="FFFFFF"/>
            <w:tcMar>
              <w:top w:w="0" w:type="dxa"/>
              <w:left w:w="85" w:type="dxa"/>
              <w:bottom w:w="0" w:type="dxa"/>
              <w:right w:w="85" w:type="dxa"/>
            </w:tcMar>
            <w:vAlign w:val="center"/>
          </w:tcPr>
          <w:p w14:paraId="28B1ECD2" w14:textId="77777777" w:rsidR="00053418" w:rsidRPr="009E06AA" w:rsidRDefault="00053418" w:rsidP="004241BC">
            <w:pPr>
              <w:pStyle w:val="TableText"/>
              <w:spacing w:before="40" w:after="40"/>
              <w:jc w:val="right"/>
            </w:pPr>
            <w:r w:rsidRPr="009E06AA">
              <w:rPr>
                <w:rFonts w:eastAsia="Calibri" w:cs="Calibri"/>
                <w:color w:val="000000"/>
                <w:szCs w:val="16"/>
              </w:rPr>
              <w:t>4.2</w:t>
            </w:r>
          </w:p>
        </w:tc>
      </w:tr>
      <w:tr w:rsidR="00053418" w:rsidRPr="009E06AA" w14:paraId="50CF6BB1" w14:textId="77777777" w:rsidTr="00B55F24">
        <w:tc>
          <w:tcPr>
            <w:tcW w:w="2268" w:type="dxa"/>
            <w:shd w:val="clear" w:color="auto" w:fill="FFFFFF"/>
            <w:tcMar>
              <w:top w:w="0" w:type="dxa"/>
              <w:left w:w="85" w:type="dxa"/>
              <w:bottom w:w="0" w:type="dxa"/>
              <w:right w:w="85" w:type="dxa"/>
            </w:tcMar>
            <w:vAlign w:val="center"/>
          </w:tcPr>
          <w:p w14:paraId="6DEA6053" w14:textId="77777777" w:rsidR="00053418" w:rsidRPr="009E06AA" w:rsidRDefault="00053418" w:rsidP="00B55F24">
            <w:pPr>
              <w:pStyle w:val="TableText"/>
              <w:spacing w:before="40" w:after="40"/>
            </w:pPr>
            <w:r w:rsidRPr="009E06AA">
              <w:rPr>
                <w:rFonts w:eastAsia="Calibri" w:cs="Calibri"/>
                <w:color w:val="000000"/>
                <w:szCs w:val="16"/>
              </w:rPr>
              <w:t>2021</w:t>
            </w:r>
          </w:p>
        </w:tc>
        <w:tc>
          <w:tcPr>
            <w:tcW w:w="1559" w:type="dxa"/>
            <w:shd w:val="clear" w:color="auto" w:fill="FFFFFF"/>
            <w:tcMar>
              <w:top w:w="0" w:type="dxa"/>
              <w:left w:w="85" w:type="dxa"/>
              <w:bottom w:w="0" w:type="dxa"/>
              <w:right w:w="85" w:type="dxa"/>
            </w:tcMar>
            <w:vAlign w:val="center"/>
          </w:tcPr>
          <w:p w14:paraId="537E547A" w14:textId="77777777" w:rsidR="00053418" w:rsidRPr="009E06AA" w:rsidRDefault="00053418" w:rsidP="004241BC">
            <w:pPr>
              <w:pStyle w:val="TableText"/>
              <w:spacing w:before="40" w:after="40"/>
              <w:jc w:val="right"/>
            </w:pPr>
            <w:r w:rsidRPr="009E06AA">
              <w:rPr>
                <w:rFonts w:eastAsia="Calibri" w:cs="Calibri"/>
                <w:color w:val="000000"/>
                <w:szCs w:val="16"/>
              </w:rPr>
              <w:t>122.2</w:t>
            </w:r>
          </w:p>
        </w:tc>
        <w:tc>
          <w:tcPr>
            <w:tcW w:w="1559" w:type="dxa"/>
            <w:shd w:val="clear" w:color="auto" w:fill="FFFFFF"/>
            <w:tcMar>
              <w:top w:w="0" w:type="dxa"/>
              <w:left w:w="85" w:type="dxa"/>
              <w:bottom w:w="0" w:type="dxa"/>
              <w:right w:w="85" w:type="dxa"/>
            </w:tcMar>
            <w:vAlign w:val="center"/>
          </w:tcPr>
          <w:p w14:paraId="307B9DC5" w14:textId="77777777" w:rsidR="00053418" w:rsidRPr="009E06AA" w:rsidRDefault="00053418" w:rsidP="004241BC">
            <w:pPr>
              <w:pStyle w:val="TableText"/>
              <w:spacing w:before="40" w:after="40"/>
              <w:jc w:val="right"/>
            </w:pPr>
            <w:r w:rsidRPr="009E06AA">
              <w:rPr>
                <w:rFonts w:eastAsia="Calibri" w:cs="Calibri"/>
                <w:color w:val="000000"/>
                <w:szCs w:val="16"/>
              </w:rPr>
              <w:t>121.8</w:t>
            </w:r>
          </w:p>
        </w:tc>
        <w:tc>
          <w:tcPr>
            <w:tcW w:w="2268" w:type="dxa"/>
            <w:shd w:val="clear" w:color="auto" w:fill="FFFFFF"/>
            <w:tcMar>
              <w:top w:w="0" w:type="dxa"/>
              <w:left w:w="85" w:type="dxa"/>
              <w:bottom w:w="0" w:type="dxa"/>
              <w:right w:w="85" w:type="dxa"/>
            </w:tcMar>
            <w:vAlign w:val="center"/>
          </w:tcPr>
          <w:p w14:paraId="1160530E" w14:textId="77777777" w:rsidR="00053418" w:rsidRPr="009E06AA" w:rsidRDefault="00053418" w:rsidP="004241BC">
            <w:pPr>
              <w:pStyle w:val="TableText"/>
              <w:spacing w:before="40" w:after="40"/>
              <w:jc w:val="right"/>
            </w:pPr>
            <w:r w:rsidRPr="009E06AA">
              <w:rPr>
                <w:rFonts w:eastAsia="Calibri" w:cs="Calibri"/>
                <w:color w:val="000000"/>
                <w:szCs w:val="16"/>
              </w:rPr>
              <w:t>-0.3</w:t>
            </w:r>
          </w:p>
        </w:tc>
        <w:tc>
          <w:tcPr>
            <w:tcW w:w="850" w:type="dxa"/>
            <w:shd w:val="clear" w:color="auto" w:fill="FFFFFF"/>
            <w:tcMar>
              <w:top w:w="0" w:type="dxa"/>
              <w:left w:w="85" w:type="dxa"/>
              <w:bottom w:w="0" w:type="dxa"/>
              <w:right w:w="85" w:type="dxa"/>
            </w:tcMar>
            <w:vAlign w:val="center"/>
          </w:tcPr>
          <w:p w14:paraId="375EF450" w14:textId="77777777" w:rsidR="00053418" w:rsidRPr="009E06AA" w:rsidRDefault="00053418" w:rsidP="004241BC">
            <w:pPr>
              <w:pStyle w:val="TableText"/>
              <w:spacing w:before="40" w:after="40"/>
              <w:jc w:val="right"/>
            </w:pPr>
            <w:r w:rsidRPr="009E06AA">
              <w:rPr>
                <w:rFonts w:eastAsia="Calibri" w:cs="Calibri"/>
                <w:color w:val="000000"/>
                <w:szCs w:val="16"/>
              </w:rPr>
              <w:t>-0.3</w:t>
            </w:r>
          </w:p>
        </w:tc>
      </w:tr>
      <w:tr w:rsidR="00053418" w:rsidRPr="009E06AA" w14:paraId="78805972" w14:textId="77777777" w:rsidTr="00B55F24">
        <w:tc>
          <w:tcPr>
            <w:tcW w:w="2268" w:type="dxa"/>
            <w:shd w:val="clear" w:color="auto" w:fill="FFFFFF"/>
            <w:tcMar>
              <w:top w:w="0" w:type="dxa"/>
              <w:left w:w="85" w:type="dxa"/>
              <w:bottom w:w="0" w:type="dxa"/>
              <w:right w:w="85" w:type="dxa"/>
            </w:tcMar>
            <w:vAlign w:val="center"/>
          </w:tcPr>
          <w:p w14:paraId="40633BD8" w14:textId="77777777" w:rsidR="00053418" w:rsidRPr="009E06AA" w:rsidRDefault="00053418" w:rsidP="00B55F24">
            <w:pPr>
              <w:pStyle w:val="TableText"/>
              <w:spacing w:before="40" w:after="40"/>
            </w:pPr>
            <w:r w:rsidRPr="009E06AA">
              <w:rPr>
                <w:rFonts w:eastAsia="Calibri" w:cs="Calibri"/>
                <w:b/>
                <w:color w:val="1B556B"/>
                <w:szCs w:val="16"/>
              </w:rPr>
              <w:t>Area (hectares)</w:t>
            </w:r>
          </w:p>
        </w:tc>
        <w:tc>
          <w:tcPr>
            <w:tcW w:w="1559" w:type="dxa"/>
            <w:shd w:val="clear" w:color="auto" w:fill="FFFFFF"/>
            <w:tcMar>
              <w:top w:w="0" w:type="dxa"/>
              <w:left w:w="85" w:type="dxa"/>
              <w:bottom w:w="0" w:type="dxa"/>
              <w:right w:w="85" w:type="dxa"/>
            </w:tcMar>
            <w:vAlign w:val="center"/>
          </w:tcPr>
          <w:p w14:paraId="39FB9F71" w14:textId="77777777" w:rsidR="00053418" w:rsidRPr="009E06AA" w:rsidRDefault="00053418" w:rsidP="004241BC">
            <w:pPr>
              <w:pStyle w:val="TableText"/>
              <w:spacing w:before="40" w:after="40"/>
              <w:jc w:val="right"/>
            </w:pPr>
          </w:p>
        </w:tc>
        <w:tc>
          <w:tcPr>
            <w:tcW w:w="1559" w:type="dxa"/>
            <w:shd w:val="clear" w:color="auto" w:fill="FFFFFF"/>
            <w:tcMar>
              <w:top w:w="0" w:type="dxa"/>
              <w:left w:w="85" w:type="dxa"/>
              <w:bottom w:w="0" w:type="dxa"/>
              <w:right w:w="85" w:type="dxa"/>
            </w:tcMar>
            <w:vAlign w:val="center"/>
          </w:tcPr>
          <w:p w14:paraId="052080F4" w14:textId="77777777" w:rsidR="00053418" w:rsidRPr="009E06AA" w:rsidRDefault="00053418" w:rsidP="004241BC">
            <w:pPr>
              <w:pStyle w:val="TableText"/>
              <w:spacing w:before="40" w:after="40"/>
              <w:jc w:val="right"/>
            </w:pPr>
          </w:p>
        </w:tc>
        <w:tc>
          <w:tcPr>
            <w:tcW w:w="2268" w:type="dxa"/>
            <w:shd w:val="clear" w:color="auto" w:fill="FFFFFF"/>
            <w:tcMar>
              <w:top w:w="0" w:type="dxa"/>
              <w:left w:w="85" w:type="dxa"/>
              <w:bottom w:w="0" w:type="dxa"/>
              <w:right w:w="85" w:type="dxa"/>
            </w:tcMar>
            <w:vAlign w:val="center"/>
          </w:tcPr>
          <w:p w14:paraId="4AFFCE62" w14:textId="77777777" w:rsidR="00053418" w:rsidRPr="009E06AA" w:rsidRDefault="00053418" w:rsidP="004241BC">
            <w:pPr>
              <w:pStyle w:val="TableText"/>
              <w:spacing w:before="40" w:after="40"/>
              <w:jc w:val="right"/>
            </w:pPr>
          </w:p>
        </w:tc>
        <w:tc>
          <w:tcPr>
            <w:tcW w:w="850" w:type="dxa"/>
            <w:shd w:val="clear" w:color="auto" w:fill="FFFFFF"/>
            <w:tcMar>
              <w:top w:w="0" w:type="dxa"/>
              <w:left w:w="85" w:type="dxa"/>
              <w:bottom w:w="0" w:type="dxa"/>
              <w:right w:w="85" w:type="dxa"/>
            </w:tcMar>
            <w:vAlign w:val="center"/>
          </w:tcPr>
          <w:p w14:paraId="529D52DA" w14:textId="77777777" w:rsidR="00053418" w:rsidRPr="009E06AA" w:rsidRDefault="00053418" w:rsidP="004241BC">
            <w:pPr>
              <w:pStyle w:val="TableText"/>
              <w:spacing w:before="40" w:after="40"/>
              <w:jc w:val="right"/>
            </w:pPr>
          </w:p>
        </w:tc>
      </w:tr>
      <w:tr w:rsidR="00053418" w:rsidRPr="009E06AA" w14:paraId="4A708D2A" w14:textId="77777777" w:rsidTr="00B55F24">
        <w:tc>
          <w:tcPr>
            <w:tcW w:w="2268" w:type="dxa"/>
            <w:shd w:val="clear" w:color="auto" w:fill="FFFFFF"/>
            <w:tcMar>
              <w:top w:w="0" w:type="dxa"/>
              <w:left w:w="85" w:type="dxa"/>
              <w:bottom w:w="0" w:type="dxa"/>
              <w:right w:w="85" w:type="dxa"/>
            </w:tcMar>
            <w:vAlign w:val="center"/>
          </w:tcPr>
          <w:p w14:paraId="6EF46BF6" w14:textId="77777777" w:rsidR="00053418" w:rsidRPr="009E06AA" w:rsidRDefault="00053418" w:rsidP="00B55F24">
            <w:pPr>
              <w:pStyle w:val="TableText"/>
              <w:spacing w:before="40" w:after="40"/>
            </w:pPr>
            <w:r w:rsidRPr="009E06AA">
              <w:rPr>
                <w:rFonts w:eastAsia="Calibri" w:cs="Calibri"/>
                <w:color w:val="000000"/>
                <w:szCs w:val="16"/>
              </w:rPr>
              <w:t>1990</w:t>
            </w:r>
          </w:p>
        </w:tc>
        <w:tc>
          <w:tcPr>
            <w:tcW w:w="1559" w:type="dxa"/>
            <w:shd w:val="clear" w:color="auto" w:fill="FFFFFF"/>
            <w:tcMar>
              <w:top w:w="0" w:type="dxa"/>
              <w:left w:w="85" w:type="dxa"/>
              <w:bottom w:w="0" w:type="dxa"/>
              <w:right w:w="85" w:type="dxa"/>
            </w:tcMar>
            <w:vAlign w:val="center"/>
          </w:tcPr>
          <w:p w14:paraId="31DEBED2" w14:textId="77777777" w:rsidR="00053418" w:rsidRPr="009E06AA" w:rsidRDefault="00053418" w:rsidP="004241BC">
            <w:pPr>
              <w:pStyle w:val="TableText"/>
              <w:spacing w:before="40" w:after="40"/>
              <w:jc w:val="right"/>
            </w:pPr>
            <w:r w:rsidRPr="009E06AA">
              <w:rPr>
                <w:rFonts w:eastAsia="Calibri" w:cs="Calibri"/>
                <w:color w:val="000000"/>
                <w:szCs w:val="16"/>
              </w:rPr>
              <w:t>208,955</w:t>
            </w:r>
          </w:p>
        </w:tc>
        <w:tc>
          <w:tcPr>
            <w:tcW w:w="1559" w:type="dxa"/>
            <w:shd w:val="clear" w:color="auto" w:fill="FFFFFF"/>
            <w:tcMar>
              <w:top w:w="0" w:type="dxa"/>
              <w:left w:w="85" w:type="dxa"/>
              <w:bottom w:w="0" w:type="dxa"/>
              <w:right w:w="85" w:type="dxa"/>
            </w:tcMar>
            <w:vAlign w:val="center"/>
          </w:tcPr>
          <w:p w14:paraId="494B3AE8" w14:textId="77777777" w:rsidR="00053418" w:rsidRPr="009E06AA" w:rsidRDefault="00053418" w:rsidP="004241BC">
            <w:pPr>
              <w:pStyle w:val="TableText"/>
              <w:spacing w:before="40" w:after="40"/>
              <w:jc w:val="right"/>
            </w:pPr>
            <w:r w:rsidRPr="009E06AA">
              <w:rPr>
                <w:rFonts w:eastAsia="Calibri" w:cs="Calibri"/>
                <w:color w:val="000000"/>
                <w:szCs w:val="16"/>
              </w:rPr>
              <w:t>209,319</w:t>
            </w:r>
          </w:p>
        </w:tc>
        <w:tc>
          <w:tcPr>
            <w:tcW w:w="2268" w:type="dxa"/>
            <w:shd w:val="clear" w:color="auto" w:fill="FFFFFF"/>
            <w:tcMar>
              <w:top w:w="0" w:type="dxa"/>
              <w:left w:w="85" w:type="dxa"/>
              <w:bottom w:w="0" w:type="dxa"/>
              <w:right w:w="85" w:type="dxa"/>
            </w:tcMar>
            <w:vAlign w:val="center"/>
          </w:tcPr>
          <w:p w14:paraId="661FAE18" w14:textId="77777777" w:rsidR="00053418" w:rsidRPr="009E06AA" w:rsidRDefault="00053418" w:rsidP="004241BC">
            <w:pPr>
              <w:pStyle w:val="TableText"/>
              <w:spacing w:before="40" w:after="40"/>
              <w:jc w:val="right"/>
            </w:pPr>
            <w:r w:rsidRPr="009E06AA">
              <w:rPr>
                <w:rFonts w:eastAsia="Calibri" w:cs="Calibri"/>
                <w:color w:val="000000"/>
                <w:szCs w:val="16"/>
              </w:rPr>
              <w:t>364</w:t>
            </w:r>
          </w:p>
        </w:tc>
        <w:tc>
          <w:tcPr>
            <w:tcW w:w="850" w:type="dxa"/>
            <w:shd w:val="clear" w:color="auto" w:fill="FFFFFF"/>
            <w:tcMar>
              <w:top w:w="0" w:type="dxa"/>
              <w:left w:w="85" w:type="dxa"/>
              <w:bottom w:w="0" w:type="dxa"/>
              <w:right w:w="85" w:type="dxa"/>
            </w:tcMar>
            <w:vAlign w:val="center"/>
          </w:tcPr>
          <w:p w14:paraId="6866CA6C" w14:textId="77777777" w:rsidR="00053418" w:rsidRPr="009E06AA" w:rsidRDefault="00053418" w:rsidP="004241BC">
            <w:pPr>
              <w:pStyle w:val="TableText"/>
              <w:spacing w:before="40" w:after="40"/>
              <w:jc w:val="right"/>
            </w:pPr>
            <w:r w:rsidRPr="009E06AA">
              <w:rPr>
                <w:rFonts w:eastAsia="Calibri" w:cs="Calibri"/>
                <w:color w:val="000000"/>
                <w:szCs w:val="16"/>
              </w:rPr>
              <w:t>0.2</w:t>
            </w:r>
          </w:p>
        </w:tc>
      </w:tr>
      <w:tr w:rsidR="00053418" w:rsidRPr="009E06AA" w14:paraId="4E8D7361" w14:textId="77777777" w:rsidTr="00B55F24">
        <w:tc>
          <w:tcPr>
            <w:tcW w:w="2268" w:type="dxa"/>
            <w:shd w:val="clear" w:color="auto" w:fill="FFFFFF"/>
            <w:tcMar>
              <w:top w:w="0" w:type="dxa"/>
              <w:left w:w="85" w:type="dxa"/>
              <w:bottom w:w="0" w:type="dxa"/>
              <w:right w:w="85" w:type="dxa"/>
            </w:tcMar>
            <w:vAlign w:val="center"/>
          </w:tcPr>
          <w:p w14:paraId="5AE46EBB" w14:textId="77777777" w:rsidR="00053418" w:rsidRPr="009E06AA" w:rsidRDefault="00053418" w:rsidP="00B55F24">
            <w:pPr>
              <w:pStyle w:val="TableText"/>
              <w:spacing w:before="40" w:after="40"/>
            </w:pPr>
            <w:r w:rsidRPr="009E06AA">
              <w:rPr>
                <w:rFonts w:eastAsia="Calibri" w:cs="Calibri"/>
                <w:color w:val="000000"/>
                <w:szCs w:val="16"/>
              </w:rPr>
              <w:t>2021</w:t>
            </w:r>
          </w:p>
        </w:tc>
        <w:tc>
          <w:tcPr>
            <w:tcW w:w="1559" w:type="dxa"/>
            <w:shd w:val="clear" w:color="auto" w:fill="FFFFFF"/>
            <w:tcMar>
              <w:top w:w="0" w:type="dxa"/>
              <w:left w:w="85" w:type="dxa"/>
              <w:bottom w:w="0" w:type="dxa"/>
              <w:right w:w="85" w:type="dxa"/>
            </w:tcMar>
            <w:vAlign w:val="center"/>
          </w:tcPr>
          <w:p w14:paraId="0878DA0C" w14:textId="77777777" w:rsidR="00053418" w:rsidRPr="009E06AA" w:rsidRDefault="00053418" w:rsidP="004241BC">
            <w:pPr>
              <w:pStyle w:val="TableText"/>
              <w:spacing w:before="40" w:after="40"/>
              <w:jc w:val="right"/>
            </w:pPr>
            <w:r w:rsidRPr="009E06AA">
              <w:rPr>
                <w:rFonts w:eastAsia="Calibri" w:cs="Calibri"/>
                <w:color w:val="000000"/>
                <w:szCs w:val="16"/>
              </w:rPr>
              <w:t>238,242</w:t>
            </w:r>
          </w:p>
        </w:tc>
        <w:tc>
          <w:tcPr>
            <w:tcW w:w="1559" w:type="dxa"/>
            <w:shd w:val="clear" w:color="auto" w:fill="FFFFFF"/>
            <w:tcMar>
              <w:top w:w="0" w:type="dxa"/>
              <w:left w:w="85" w:type="dxa"/>
              <w:bottom w:w="0" w:type="dxa"/>
              <w:right w:w="85" w:type="dxa"/>
            </w:tcMar>
            <w:vAlign w:val="center"/>
          </w:tcPr>
          <w:p w14:paraId="1F51B73B" w14:textId="77777777" w:rsidR="00053418" w:rsidRPr="009E06AA" w:rsidRDefault="00053418" w:rsidP="004241BC">
            <w:pPr>
              <w:pStyle w:val="TableText"/>
              <w:spacing w:before="40" w:after="40"/>
              <w:jc w:val="right"/>
            </w:pPr>
            <w:r w:rsidRPr="009E06AA">
              <w:rPr>
                <w:rFonts w:eastAsia="Calibri" w:cs="Calibri"/>
                <w:color w:val="000000"/>
                <w:szCs w:val="16"/>
              </w:rPr>
              <w:t>241,937</w:t>
            </w:r>
          </w:p>
        </w:tc>
        <w:tc>
          <w:tcPr>
            <w:tcW w:w="2268" w:type="dxa"/>
            <w:shd w:val="clear" w:color="auto" w:fill="FFFFFF"/>
            <w:tcMar>
              <w:top w:w="0" w:type="dxa"/>
              <w:left w:w="85" w:type="dxa"/>
              <w:bottom w:w="0" w:type="dxa"/>
              <w:right w:w="85" w:type="dxa"/>
            </w:tcMar>
            <w:vAlign w:val="center"/>
          </w:tcPr>
          <w:p w14:paraId="1CEF271B" w14:textId="77777777" w:rsidR="00053418" w:rsidRPr="009E06AA" w:rsidRDefault="00053418" w:rsidP="004241BC">
            <w:pPr>
              <w:pStyle w:val="TableText"/>
              <w:spacing w:before="40" w:after="40"/>
              <w:jc w:val="right"/>
            </w:pPr>
            <w:r w:rsidRPr="009E06AA">
              <w:rPr>
                <w:rFonts w:eastAsia="Calibri" w:cs="Calibri"/>
                <w:color w:val="000000"/>
                <w:szCs w:val="16"/>
              </w:rPr>
              <w:t>3,694</w:t>
            </w:r>
          </w:p>
        </w:tc>
        <w:tc>
          <w:tcPr>
            <w:tcW w:w="850" w:type="dxa"/>
            <w:shd w:val="clear" w:color="auto" w:fill="FFFFFF"/>
            <w:tcMar>
              <w:top w:w="0" w:type="dxa"/>
              <w:left w:w="85" w:type="dxa"/>
              <w:bottom w:w="0" w:type="dxa"/>
              <w:right w:w="85" w:type="dxa"/>
            </w:tcMar>
            <w:vAlign w:val="center"/>
          </w:tcPr>
          <w:p w14:paraId="1DBBF407" w14:textId="77777777" w:rsidR="00053418" w:rsidRPr="009E06AA" w:rsidRDefault="00053418" w:rsidP="004241BC">
            <w:pPr>
              <w:pStyle w:val="TableText"/>
              <w:spacing w:before="40" w:after="40"/>
              <w:jc w:val="right"/>
            </w:pPr>
            <w:r w:rsidRPr="009E06AA">
              <w:rPr>
                <w:rFonts w:eastAsia="Calibri" w:cs="Calibri"/>
                <w:color w:val="000000"/>
                <w:szCs w:val="16"/>
              </w:rPr>
              <w:t>1.6</w:t>
            </w:r>
          </w:p>
        </w:tc>
      </w:tr>
    </w:tbl>
    <w:p w14:paraId="23902AFA" w14:textId="77777777" w:rsidR="00053418" w:rsidRPr="009E06AA" w:rsidRDefault="00053418" w:rsidP="00053418">
      <w:pPr>
        <w:pStyle w:val="Heading3"/>
      </w:pPr>
      <w:r w:rsidRPr="009E06AA">
        <w:t>6.8.6</w:t>
      </w:r>
      <w:r w:rsidRPr="009E06AA">
        <w:tab/>
        <w:t>Category-specific planned improvements</w:t>
      </w:r>
    </w:p>
    <w:p w14:paraId="6CCD9162" w14:textId="4F06C997" w:rsidR="00053418" w:rsidRPr="009E06AA" w:rsidRDefault="00053418" w:rsidP="00053418">
      <w:pPr>
        <w:pStyle w:val="BodyText"/>
      </w:pPr>
      <w:r w:rsidRPr="009E06AA">
        <w:t>During the review of the 2021 submission, the ERT recommended that New Zealand calculate N</w:t>
      </w:r>
      <w:r w:rsidRPr="009E06AA">
        <w:rPr>
          <w:vertAlign w:val="subscript"/>
        </w:rPr>
        <w:t>2</w:t>
      </w:r>
      <w:r w:rsidRPr="009E06AA">
        <w:t>O emissions associated with the drainage of organic soils in settlements. Although there is no default method in the IPCC 2006 Guidelines (IPCC, 2006a) for N</w:t>
      </w:r>
      <w:r w:rsidRPr="009E06AA">
        <w:rPr>
          <w:vertAlign w:val="subscript"/>
        </w:rPr>
        <w:t>2</w:t>
      </w:r>
      <w:r w:rsidRPr="009E06AA">
        <w:t>O emissions associated with</w:t>
      </w:r>
      <w:r w:rsidR="00F10B85" w:rsidRPr="009E06AA">
        <w:t xml:space="preserve"> </w:t>
      </w:r>
      <w:r w:rsidRPr="009E06AA">
        <w:t xml:space="preserve">drainage for this land use category, New Zealand considers that most of its </w:t>
      </w:r>
      <w:r w:rsidRPr="009E06AA">
        <w:rPr>
          <w:i/>
        </w:rPr>
        <w:t>Settlements</w:t>
      </w:r>
      <w:r w:rsidRPr="009E06AA">
        <w:t xml:space="preserve"> area can be assimilated to </w:t>
      </w:r>
      <w:r w:rsidRPr="009E06AA">
        <w:rPr>
          <w:i/>
          <w:iCs/>
        </w:rPr>
        <w:t>Grassland</w:t>
      </w:r>
      <w:r w:rsidRPr="009E06AA">
        <w:t xml:space="preserve"> when it comes to soil carbon. Therefore, the default methods </w:t>
      </w:r>
      <w:r w:rsidRPr="009E06AA">
        <w:rPr>
          <w:spacing w:val="-2"/>
        </w:rPr>
        <w:t xml:space="preserve">applied to </w:t>
      </w:r>
      <w:r w:rsidRPr="009E06AA">
        <w:rPr>
          <w:i/>
          <w:spacing w:val="-2"/>
        </w:rPr>
        <w:t>Grassland</w:t>
      </w:r>
      <w:r w:rsidRPr="009E06AA">
        <w:rPr>
          <w:spacing w:val="-2"/>
        </w:rPr>
        <w:t xml:space="preserve"> should also be applied to </w:t>
      </w:r>
      <w:r w:rsidRPr="009E06AA">
        <w:rPr>
          <w:i/>
          <w:iCs/>
          <w:spacing w:val="-2"/>
        </w:rPr>
        <w:t>Settlements</w:t>
      </w:r>
      <w:r w:rsidRPr="009E06AA">
        <w:rPr>
          <w:spacing w:val="-2"/>
        </w:rPr>
        <w:t>. Given there is no reporting category</w:t>
      </w:r>
      <w:r w:rsidRPr="009E06AA">
        <w:t xml:space="preserve"> for these emissions in the CRTs, assistance was sought on how these emissions could be </w:t>
      </w:r>
      <w:r w:rsidRPr="009E06AA">
        <w:rPr>
          <w:spacing w:val="-2"/>
        </w:rPr>
        <w:t>reported. New Zealand has yet to receive a response to this request. Therefore, the 23.2 kt CO</w:t>
      </w:r>
      <w:r w:rsidRPr="009E06AA">
        <w:rPr>
          <w:spacing w:val="-2"/>
          <w:vertAlign w:val="subscript"/>
        </w:rPr>
        <w:t>2</w:t>
      </w:r>
      <w:r w:rsidRPr="009E06AA">
        <w:rPr>
          <w:spacing w:val="-2"/>
        </w:rPr>
        <w:noBreakHyphen/>
        <w:t>e</w:t>
      </w:r>
      <w:r w:rsidRPr="009E06AA">
        <w:t xml:space="preserve"> of emissions resulting from drained organic soils in </w:t>
      </w:r>
      <w:r w:rsidRPr="009E06AA">
        <w:rPr>
          <w:i/>
          <w:iCs/>
        </w:rPr>
        <w:t>Settlements</w:t>
      </w:r>
      <w:r w:rsidRPr="009E06AA">
        <w:t xml:space="preserve"> has not been included in the total emissions for LULUCF. It is planned that this will be included in the 2025 submission. </w:t>
      </w:r>
    </w:p>
    <w:p w14:paraId="254F5144" w14:textId="77777777" w:rsidR="00053418" w:rsidRPr="009E06AA" w:rsidRDefault="00053418" w:rsidP="00053418">
      <w:pPr>
        <w:pStyle w:val="Heading2"/>
      </w:pPr>
      <w:bookmarkStart w:id="2571" w:name="_Toc310423457"/>
      <w:bookmarkStart w:id="2572" w:name="_Toc342470723"/>
      <w:bookmarkStart w:id="2573" w:name="_Toc352504875"/>
      <w:bookmarkStart w:id="2574" w:name="_Toc391024705"/>
      <w:bookmarkStart w:id="2575" w:name="_Toc414531322"/>
      <w:bookmarkStart w:id="2576" w:name="_Toc474335464"/>
      <w:bookmarkStart w:id="2577" w:name="_Toc481751404"/>
      <w:bookmarkStart w:id="2578" w:name="_Toc522013956"/>
      <w:bookmarkStart w:id="2579" w:name="_Toc5269381"/>
      <w:bookmarkStart w:id="2580" w:name="_Toc36224421"/>
      <w:bookmarkStart w:id="2581" w:name="_Toc131591255"/>
      <w:bookmarkStart w:id="2582" w:name="_Toc158980302"/>
      <w:bookmarkStart w:id="2583" w:name="_Toc164154210"/>
      <w:r w:rsidRPr="009E06AA">
        <w:t>6.9</w:t>
      </w:r>
      <w:r w:rsidRPr="009E06AA">
        <w:tab/>
        <w:t>Other land (4F)</w:t>
      </w:r>
      <w:bookmarkEnd w:id="2571"/>
      <w:bookmarkEnd w:id="2572"/>
      <w:bookmarkEnd w:id="2573"/>
      <w:bookmarkEnd w:id="2574"/>
      <w:bookmarkEnd w:id="2575"/>
      <w:bookmarkEnd w:id="2576"/>
      <w:bookmarkEnd w:id="2577"/>
      <w:bookmarkEnd w:id="2578"/>
      <w:bookmarkEnd w:id="2579"/>
      <w:bookmarkEnd w:id="2580"/>
      <w:bookmarkEnd w:id="2581"/>
      <w:bookmarkEnd w:id="2582"/>
      <w:bookmarkEnd w:id="2583"/>
    </w:p>
    <w:p w14:paraId="6EED707F" w14:textId="77777777" w:rsidR="00053418" w:rsidRPr="009E06AA" w:rsidRDefault="00053418" w:rsidP="00053418">
      <w:pPr>
        <w:pStyle w:val="Heading3"/>
        <w:spacing w:before="240"/>
      </w:pPr>
      <w:r w:rsidRPr="009E06AA">
        <w:t>6.9.1</w:t>
      </w:r>
      <w:r w:rsidRPr="009E06AA">
        <w:tab/>
        <w:t>Description</w:t>
      </w:r>
    </w:p>
    <w:p w14:paraId="2601AD54" w14:textId="77777777" w:rsidR="00053418" w:rsidRPr="009E06AA" w:rsidRDefault="00053418" w:rsidP="00053418">
      <w:pPr>
        <w:pStyle w:val="BodyText"/>
      </w:pPr>
      <w:r w:rsidRPr="009E06AA">
        <w:t xml:space="preserve">In 2022, the net emissions from </w:t>
      </w:r>
      <w:r w:rsidRPr="009E06AA">
        <w:rPr>
          <w:i/>
        </w:rPr>
        <w:t>Other land</w:t>
      </w:r>
      <w:r w:rsidRPr="009E06AA">
        <w:t xml:space="preserve"> were 90.7 kt CO</w:t>
      </w:r>
      <w:r w:rsidRPr="009E06AA">
        <w:rPr>
          <w:vertAlign w:val="subscript"/>
        </w:rPr>
        <w:t>2</w:t>
      </w:r>
      <w:r w:rsidRPr="009E06AA">
        <w:t>-e (see table 6.9.1). This is 76.0 kt CO</w:t>
      </w:r>
      <w:r w:rsidRPr="009E06AA">
        <w:rPr>
          <w:vertAlign w:val="subscript"/>
        </w:rPr>
        <w:t>2</w:t>
      </w:r>
      <w:r w:rsidRPr="009E06AA">
        <w:t>-e (514.8 per cent) higher than the 1990 level of 14.8 kt CO</w:t>
      </w:r>
      <w:r w:rsidRPr="009E06AA">
        <w:rPr>
          <w:vertAlign w:val="subscript"/>
        </w:rPr>
        <w:t>2</w:t>
      </w:r>
      <w:r w:rsidRPr="009E06AA">
        <w:t xml:space="preserve">-e. The majority of these emissions occur in the </w:t>
      </w:r>
      <w:r w:rsidRPr="009E06AA">
        <w:rPr>
          <w:i/>
        </w:rPr>
        <w:t>Land converted to other land</w:t>
      </w:r>
      <w:r w:rsidRPr="009E06AA">
        <w:t xml:space="preserve"> category. This is primarily because the area of land estimated as having been converted to </w:t>
      </w:r>
      <w:r w:rsidRPr="009E06AA">
        <w:rPr>
          <w:i/>
        </w:rPr>
        <w:t>Other land</w:t>
      </w:r>
      <w:r w:rsidRPr="009E06AA">
        <w:t xml:space="preserve"> has been steadily increasing since 1990.</w:t>
      </w:r>
    </w:p>
    <w:p w14:paraId="2963264A" w14:textId="77777777" w:rsidR="00053418" w:rsidRPr="009E06AA" w:rsidRDefault="00053418" w:rsidP="00053418">
      <w:pPr>
        <w:pStyle w:val="BodyText"/>
      </w:pPr>
      <w:r w:rsidRPr="009E06AA">
        <w:rPr>
          <w:i/>
        </w:rPr>
        <w:t>Other land</w:t>
      </w:r>
      <w:r w:rsidRPr="009E06AA">
        <w:t xml:space="preserve"> is defined in section 3.2 of the 2006 IPCC Guidelines (IPCC, 2006a) as including bare soil, rock, ice and all land areas that do not fall into any of the other five land use categories. This means this category includes any land that has not been actively classified into one of the other categories. It consists mostly of steep, rocky terrain at high elevation, often covered in snow or ice. This category is 3.3 per cent of New Zealand’s total land area.</w:t>
      </w:r>
    </w:p>
    <w:p w14:paraId="5BC0B641" w14:textId="77777777" w:rsidR="00053418" w:rsidRPr="009E06AA" w:rsidRDefault="00053418" w:rsidP="00053418">
      <w:pPr>
        <w:pStyle w:val="BodyText"/>
      </w:pPr>
      <w:r w:rsidRPr="009E06AA">
        <w:t xml:space="preserve">An analysis of the change in area between 1990 and 2022 shows that, of the 7,990 hectares converted from </w:t>
      </w:r>
      <w:r w:rsidRPr="009E06AA">
        <w:rPr>
          <w:i/>
        </w:rPr>
        <w:t>Other land</w:t>
      </w:r>
      <w:r w:rsidRPr="009E06AA">
        <w:t xml:space="preserve"> to different land use categories, 2,972 hectares were converted to post-1989 planted forest, 686 hectares to post-1989 natural forest and 1,426 hectares to </w:t>
      </w:r>
      <w:r w:rsidRPr="009E06AA">
        <w:rPr>
          <w:i/>
          <w:iCs/>
        </w:rPr>
        <w:t>Grassland with woody biomass</w:t>
      </w:r>
      <w:r w:rsidRPr="009E06AA">
        <w:t xml:space="preserve">. </w:t>
      </w:r>
      <w:r w:rsidRPr="009E06AA">
        <w:rPr>
          <w:i/>
        </w:rPr>
        <w:t>Land converted to other land</w:t>
      </w:r>
      <w:r w:rsidRPr="009E06AA">
        <w:t xml:space="preserve"> is dominated by quarries, with the largest individual site in the region of Otago measuring approximately 1,400 hectares. Also included in this change are coastal areas where sand dunes have advanced into previously vegetated areas, some areas of new rural roading not associated with settlements, and areas that have been cleared of vegetation but where the future land use is uncertain. In some cases, these uncertain areas undergo a subsequent land-use change to </w:t>
      </w:r>
      <w:r w:rsidRPr="009E06AA">
        <w:rPr>
          <w:i/>
          <w:iCs/>
        </w:rPr>
        <w:t>Settlements</w:t>
      </w:r>
      <w:r w:rsidRPr="009E06AA">
        <w:t>.</w:t>
      </w:r>
    </w:p>
    <w:p w14:paraId="0B1CBF7F" w14:textId="77777777" w:rsidR="00053418" w:rsidRPr="009E06AA" w:rsidRDefault="00053418" w:rsidP="00053418">
      <w:pPr>
        <w:pStyle w:val="BodyText"/>
      </w:pPr>
      <w:r w:rsidRPr="009E06AA">
        <w:t xml:space="preserve">Between 1 January 1990 and 31 December 2022, there were 9,239 hectares of </w:t>
      </w:r>
      <w:r w:rsidRPr="009E06AA">
        <w:rPr>
          <w:i/>
        </w:rPr>
        <w:t>Land converted to other land</w:t>
      </w:r>
      <w:r w:rsidRPr="009E06AA">
        <w:t xml:space="preserve">; most (5,696 hectares) of this was from the </w:t>
      </w:r>
      <w:r w:rsidRPr="009E06AA">
        <w:rPr>
          <w:i/>
        </w:rPr>
        <w:t>Grassland</w:t>
      </w:r>
      <w:r w:rsidRPr="009E06AA">
        <w:t xml:space="preserve"> categories. This is likely to be mainly due to conversion of </w:t>
      </w:r>
      <w:r w:rsidRPr="009E06AA">
        <w:rPr>
          <w:i/>
        </w:rPr>
        <w:t>Grassland</w:t>
      </w:r>
      <w:r w:rsidRPr="009E06AA">
        <w:t xml:space="preserve"> to roads, mines and quarries.</w:t>
      </w:r>
    </w:p>
    <w:p w14:paraId="68EB237B" w14:textId="77777777" w:rsidR="00053418" w:rsidRPr="009E06AA" w:rsidRDefault="00053418" w:rsidP="00053418">
      <w:pPr>
        <w:pStyle w:val="BodyText"/>
      </w:pPr>
      <w:r w:rsidRPr="009E06AA">
        <w:t xml:space="preserve">In 2022, </w:t>
      </w:r>
      <w:r w:rsidRPr="009E06AA">
        <w:rPr>
          <w:i/>
        </w:rPr>
        <w:t>Land converted to other land</w:t>
      </w:r>
      <w:r w:rsidRPr="009E06AA">
        <w:t xml:space="preserve"> was </w:t>
      </w:r>
      <w:r w:rsidRPr="009E06AA" w:rsidDel="00AB3A81">
        <w:t xml:space="preserve">not </w:t>
      </w:r>
      <w:r w:rsidRPr="009E06AA">
        <w:t>a key category.</w:t>
      </w:r>
    </w:p>
    <w:p w14:paraId="1FBD164E" w14:textId="2A7C7A66" w:rsidR="00053418" w:rsidRPr="009E06AA" w:rsidRDefault="00053418" w:rsidP="00053418">
      <w:pPr>
        <w:pStyle w:val="Table"/>
      </w:pPr>
      <w:bookmarkStart w:id="2584" w:name="_Toc342470793"/>
      <w:bookmarkStart w:id="2585" w:name="_Toc352505033"/>
      <w:bookmarkStart w:id="2586" w:name="_Toc378853322"/>
      <w:bookmarkStart w:id="2587" w:name="_Toc391024120"/>
      <w:bookmarkStart w:id="2588" w:name="_Toc410028862"/>
      <w:bookmarkStart w:id="2589" w:name="_Toc414531490"/>
      <w:bookmarkStart w:id="2590" w:name="_Toc443645403"/>
      <w:bookmarkStart w:id="2591" w:name="_Toc474914622"/>
      <w:bookmarkStart w:id="2592" w:name="_Toc481751586"/>
      <w:bookmarkStart w:id="2593" w:name="_Toc522010643"/>
      <w:bookmarkStart w:id="2594" w:name="_Toc5269548"/>
      <w:bookmarkStart w:id="2595" w:name="_Toc33529422"/>
      <w:bookmarkStart w:id="2596" w:name="_Toc36224628"/>
      <w:bookmarkStart w:id="2597" w:name="_Toc131591422"/>
      <w:bookmarkStart w:id="2598" w:name="_Toc158979980"/>
      <w:bookmarkStart w:id="2599" w:name="_Toc164153913"/>
      <w:r w:rsidRPr="009E06AA">
        <w:t>Table 6.9.1</w:t>
      </w:r>
      <w:r w:rsidRPr="009E06AA">
        <w:tab/>
        <w:t xml:space="preserve">New Zealand’s land-use change for the land use category </w:t>
      </w:r>
      <w:r w:rsidRPr="009E06AA">
        <w:rPr>
          <w:i/>
        </w:rPr>
        <w:t>Other land</w:t>
      </w:r>
      <w:r w:rsidR="00BE72B8" w:rsidRPr="009E06AA">
        <w:rPr>
          <w:iCs/>
        </w:rPr>
        <w:t>,</w:t>
      </w:r>
      <w:r w:rsidRPr="009E06AA">
        <w:t xml:space="preserve"> from 1990 to</w:t>
      </w:r>
      <w:bookmarkEnd w:id="2584"/>
      <w:bookmarkEnd w:id="2585"/>
      <w:bookmarkEnd w:id="2586"/>
      <w:bookmarkEnd w:id="2587"/>
      <w:r w:rsidRPr="009E06AA">
        <w:t> </w:t>
      </w:r>
      <w:bookmarkEnd w:id="2588"/>
      <w:bookmarkEnd w:id="2589"/>
      <w:bookmarkEnd w:id="2590"/>
      <w:bookmarkEnd w:id="2591"/>
      <w:bookmarkEnd w:id="2592"/>
      <w:bookmarkEnd w:id="2593"/>
      <w:bookmarkEnd w:id="2594"/>
      <w:bookmarkEnd w:id="2595"/>
      <w:bookmarkEnd w:id="2596"/>
      <w:r w:rsidRPr="009E06AA">
        <w:t>2022</w:t>
      </w:r>
      <w:bookmarkEnd w:id="2597"/>
      <w:bookmarkEnd w:id="2598"/>
      <w:bookmarkEnd w:id="2599"/>
    </w:p>
    <w:tbl>
      <w:tblPr>
        <w:tblW w:w="8505" w:type="dxa"/>
        <w:tblBorders>
          <w:top w:val="single" w:sz="4" w:space="0" w:color="1B556B" w:themeColor="text2"/>
          <w:bottom w:val="single" w:sz="4" w:space="0" w:color="1B556B" w:themeColor="text2"/>
          <w:insideH w:val="single" w:sz="4" w:space="0" w:color="1B556B" w:themeColor="text2"/>
        </w:tblBorders>
        <w:tblLayout w:type="fixed"/>
        <w:tblLook w:val="0420" w:firstRow="1" w:lastRow="0" w:firstColumn="0" w:lastColumn="0" w:noHBand="0" w:noVBand="1"/>
      </w:tblPr>
      <w:tblGrid>
        <w:gridCol w:w="2533"/>
        <w:gridCol w:w="1014"/>
        <w:gridCol w:w="1014"/>
        <w:gridCol w:w="1127"/>
        <w:gridCol w:w="845"/>
        <w:gridCol w:w="845"/>
        <w:gridCol w:w="1127"/>
      </w:tblGrid>
      <w:tr w:rsidR="00053418" w:rsidRPr="009E06AA" w14:paraId="372F9546" w14:textId="77777777" w:rsidTr="00B55F24">
        <w:trPr>
          <w:tblHeader/>
        </w:trPr>
        <w:tc>
          <w:tcPr>
            <w:tcW w:w="2551" w:type="dxa"/>
            <w:shd w:val="clear" w:color="auto" w:fill="1B556B" w:themeFill="text2"/>
            <w:tcMar>
              <w:top w:w="0" w:type="dxa"/>
              <w:left w:w="85" w:type="dxa"/>
              <w:bottom w:w="0" w:type="dxa"/>
              <w:right w:w="85" w:type="dxa"/>
            </w:tcMar>
            <w:vAlign w:val="center"/>
          </w:tcPr>
          <w:p w14:paraId="340D620A" w14:textId="77777777" w:rsidR="00053418" w:rsidRPr="009E06AA" w:rsidRDefault="00053418" w:rsidP="00DA0812">
            <w:pPr>
              <w:pStyle w:val="TableText"/>
              <w:keepNext/>
              <w:spacing w:before="50" w:after="50"/>
            </w:pPr>
          </w:p>
        </w:tc>
        <w:tc>
          <w:tcPr>
            <w:tcW w:w="3174" w:type="dxa"/>
            <w:gridSpan w:val="3"/>
            <w:shd w:val="clear" w:color="auto" w:fill="1B556B" w:themeFill="text2"/>
            <w:tcMar>
              <w:top w:w="0" w:type="dxa"/>
              <w:left w:w="85" w:type="dxa"/>
              <w:bottom w:w="0" w:type="dxa"/>
              <w:right w:w="85" w:type="dxa"/>
            </w:tcMar>
            <w:vAlign w:val="center"/>
          </w:tcPr>
          <w:p w14:paraId="0076D9DA" w14:textId="77777777" w:rsidR="00053418" w:rsidRPr="009E06AA" w:rsidRDefault="00053418" w:rsidP="00DA0812">
            <w:pPr>
              <w:pStyle w:val="TableText"/>
              <w:keepNext/>
              <w:spacing w:before="50" w:after="50"/>
              <w:jc w:val="center"/>
            </w:pPr>
            <w:r w:rsidRPr="009E06AA">
              <w:rPr>
                <w:rFonts w:eastAsia="Calibri" w:cs="Calibri"/>
                <w:b/>
                <w:color w:val="FFFFFF"/>
                <w:szCs w:val="16"/>
              </w:rPr>
              <w:t>Net area (ha)</w:t>
            </w:r>
          </w:p>
        </w:tc>
        <w:tc>
          <w:tcPr>
            <w:tcW w:w="2834" w:type="dxa"/>
            <w:gridSpan w:val="3"/>
            <w:shd w:val="clear" w:color="auto" w:fill="1B556B" w:themeFill="text2"/>
            <w:tcMar>
              <w:top w:w="0" w:type="dxa"/>
              <w:left w:w="85" w:type="dxa"/>
              <w:bottom w:w="0" w:type="dxa"/>
              <w:right w:w="85" w:type="dxa"/>
            </w:tcMar>
            <w:vAlign w:val="center"/>
          </w:tcPr>
          <w:p w14:paraId="6A9026DB" w14:textId="77777777" w:rsidR="00053418" w:rsidRPr="009E06AA" w:rsidRDefault="00053418" w:rsidP="00DA0812">
            <w:pPr>
              <w:pStyle w:val="TableText"/>
              <w:keepNext/>
              <w:spacing w:before="50" w:after="50"/>
              <w:jc w:val="center"/>
            </w:pPr>
            <w:r w:rsidRPr="009E06AA">
              <w:rPr>
                <w:rFonts w:eastAsia="Calibri" w:cs="Calibri"/>
                <w:b/>
                <w:color w:val="FFFFFF"/>
                <w:szCs w:val="16"/>
              </w:rPr>
              <w:t>Net emissions (kt CO₂-e)</w:t>
            </w:r>
          </w:p>
        </w:tc>
      </w:tr>
      <w:tr w:rsidR="00053418" w:rsidRPr="009E06AA" w14:paraId="0326739B" w14:textId="77777777" w:rsidTr="00B55F24">
        <w:trPr>
          <w:tblHeader/>
        </w:trPr>
        <w:tc>
          <w:tcPr>
            <w:tcW w:w="2551" w:type="dxa"/>
            <w:shd w:val="clear" w:color="auto" w:fill="1B556B" w:themeFill="text2"/>
            <w:tcMar>
              <w:top w:w="0" w:type="dxa"/>
              <w:left w:w="85" w:type="dxa"/>
              <w:bottom w:w="0" w:type="dxa"/>
              <w:right w:w="85" w:type="dxa"/>
            </w:tcMar>
            <w:vAlign w:val="bottom"/>
          </w:tcPr>
          <w:p w14:paraId="377E6B15" w14:textId="77777777" w:rsidR="00053418" w:rsidRPr="009E06AA" w:rsidRDefault="00053418" w:rsidP="00DA0812">
            <w:pPr>
              <w:pStyle w:val="TableText"/>
              <w:keepNext/>
              <w:spacing w:before="50" w:after="50"/>
            </w:pPr>
            <w:r w:rsidRPr="009E06AA">
              <w:rPr>
                <w:rFonts w:eastAsia="Calibri" w:cs="Calibri"/>
                <w:b/>
                <w:color w:val="FFFFFF"/>
                <w:szCs w:val="16"/>
              </w:rPr>
              <w:t>Land use category</w:t>
            </w:r>
          </w:p>
        </w:tc>
        <w:tc>
          <w:tcPr>
            <w:tcW w:w="1020" w:type="dxa"/>
            <w:shd w:val="clear" w:color="auto" w:fill="1B556B" w:themeFill="text2"/>
            <w:tcMar>
              <w:top w:w="0" w:type="dxa"/>
              <w:left w:w="85" w:type="dxa"/>
              <w:bottom w:w="0" w:type="dxa"/>
              <w:right w:w="85" w:type="dxa"/>
            </w:tcMar>
            <w:vAlign w:val="bottom"/>
          </w:tcPr>
          <w:p w14:paraId="07DED781" w14:textId="77777777" w:rsidR="00053418" w:rsidRPr="009E06AA" w:rsidRDefault="00053418" w:rsidP="004241BC">
            <w:pPr>
              <w:pStyle w:val="TableText"/>
              <w:keepNext/>
              <w:spacing w:before="50" w:after="50"/>
              <w:jc w:val="right"/>
            </w:pPr>
            <w:r w:rsidRPr="009E06AA">
              <w:rPr>
                <w:rFonts w:eastAsia="Calibri" w:cs="Calibri"/>
                <w:b/>
                <w:color w:val="FFFFFF"/>
                <w:szCs w:val="16"/>
              </w:rPr>
              <w:t>1990</w:t>
            </w:r>
          </w:p>
        </w:tc>
        <w:tc>
          <w:tcPr>
            <w:tcW w:w="1020" w:type="dxa"/>
            <w:shd w:val="clear" w:color="auto" w:fill="1B556B" w:themeFill="text2"/>
            <w:tcMar>
              <w:top w:w="0" w:type="dxa"/>
              <w:left w:w="85" w:type="dxa"/>
              <w:bottom w:w="0" w:type="dxa"/>
              <w:right w:w="85" w:type="dxa"/>
            </w:tcMar>
            <w:vAlign w:val="bottom"/>
          </w:tcPr>
          <w:p w14:paraId="0AFE1F4C" w14:textId="77777777" w:rsidR="00053418" w:rsidRPr="009E06AA" w:rsidRDefault="00053418" w:rsidP="004241BC">
            <w:pPr>
              <w:pStyle w:val="TableText"/>
              <w:keepNext/>
              <w:spacing w:before="50" w:after="50"/>
              <w:jc w:val="right"/>
            </w:pPr>
            <w:r w:rsidRPr="009E06AA">
              <w:rPr>
                <w:rFonts w:eastAsia="Calibri" w:cs="Calibri"/>
                <w:b/>
                <w:color w:val="FFFFFF"/>
                <w:szCs w:val="16"/>
              </w:rPr>
              <w:t>2022</w:t>
            </w:r>
          </w:p>
        </w:tc>
        <w:tc>
          <w:tcPr>
            <w:tcW w:w="1134" w:type="dxa"/>
            <w:shd w:val="clear" w:color="auto" w:fill="1B556B" w:themeFill="text2"/>
            <w:tcMar>
              <w:top w:w="0" w:type="dxa"/>
              <w:left w:w="85" w:type="dxa"/>
              <w:bottom w:w="0" w:type="dxa"/>
              <w:right w:w="85" w:type="dxa"/>
            </w:tcMar>
            <w:vAlign w:val="bottom"/>
          </w:tcPr>
          <w:p w14:paraId="52035943" w14:textId="77777777" w:rsidR="00053418" w:rsidRPr="009E06AA" w:rsidRDefault="00053418" w:rsidP="004241BC">
            <w:pPr>
              <w:pStyle w:val="TableText"/>
              <w:keepNext/>
              <w:spacing w:before="50" w:after="50"/>
              <w:jc w:val="right"/>
            </w:pPr>
            <w:r w:rsidRPr="009E06AA">
              <w:rPr>
                <w:rFonts w:eastAsia="Calibri" w:cs="Calibri"/>
                <w:b/>
                <w:color w:val="FFFFFF"/>
                <w:szCs w:val="16"/>
              </w:rPr>
              <w:t>Change from 1990 (%)</w:t>
            </w:r>
          </w:p>
        </w:tc>
        <w:tc>
          <w:tcPr>
            <w:tcW w:w="850" w:type="dxa"/>
            <w:shd w:val="clear" w:color="auto" w:fill="1B556B" w:themeFill="text2"/>
            <w:tcMar>
              <w:top w:w="0" w:type="dxa"/>
              <w:left w:w="85" w:type="dxa"/>
              <w:bottom w:w="0" w:type="dxa"/>
              <w:right w:w="85" w:type="dxa"/>
            </w:tcMar>
            <w:vAlign w:val="bottom"/>
          </w:tcPr>
          <w:p w14:paraId="65843116" w14:textId="77777777" w:rsidR="00053418" w:rsidRPr="009E06AA" w:rsidRDefault="00053418" w:rsidP="004241BC">
            <w:pPr>
              <w:pStyle w:val="TableText"/>
              <w:keepNext/>
              <w:spacing w:before="50" w:after="50"/>
              <w:jc w:val="right"/>
            </w:pPr>
            <w:r w:rsidRPr="009E06AA">
              <w:rPr>
                <w:rFonts w:eastAsia="Calibri" w:cs="Calibri"/>
                <w:b/>
                <w:color w:val="FFFFFF"/>
                <w:szCs w:val="16"/>
              </w:rPr>
              <w:t>1990</w:t>
            </w:r>
          </w:p>
        </w:tc>
        <w:tc>
          <w:tcPr>
            <w:tcW w:w="850" w:type="dxa"/>
            <w:shd w:val="clear" w:color="auto" w:fill="1B556B" w:themeFill="text2"/>
            <w:tcMar>
              <w:top w:w="0" w:type="dxa"/>
              <w:left w:w="85" w:type="dxa"/>
              <w:bottom w:w="0" w:type="dxa"/>
              <w:right w:w="85" w:type="dxa"/>
            </w:tcMar>
            <w:vAlign w:val="bottom"/>
          </w:tcPr>
          <w:p w14:paraId="1B5BF95A" w14:textId="77777777" w:rsidR="00053418" w:rsidRPr="009E06AA" w:rsidRDefault="00053418" w:rsidP="004241BC">
            <w:pPr>
              <w:pStyle w:val="TableText"/>
              <w:keepNext/>
              <w:spacing w:before="50" w:after="50"/>
              <w:jc w:val="right"/>
            </w:pPr>
            <w:r w:rsidRPr="009E06AA">
              <w:rPr>
                <w:rFonts w:eastAsia="Calibri" w:cs="Calibri"/>
                <w:b/>
                <w:color w:val="FFFFFF"/>
                <w:szCs w:val="16"/>
              </w:rPr>
              <w:t>2022</w:t>
            </w:r>
          </w:p>
        </w:tc>
        <w:tc>
          <w:tcPr>
            <w:tcW w:w="1134" w:type="dxa"/>
            <w:shd w:val="clear" w:color="auto" w:fill="1B556B" w:themeFill="text2"/>
            <w:tcMar>
              <w:top w:w="0" w:type="dxa"/>
              <w:left w:w="85" w:type="dxa"/>
              <w:bottom w:w="0" w:type="dxa"/>
              <w:right w:w="85" w:type="dxa"/>
            </w:tcMar>
            <w:vAlign w:val="bottom"/>
          </w:tcPr>
          <w:p w14:paraId="3279BBCD" w14:textId="77777777" w:rsidR="00053418" w:rsidRPr="009E06AA" w:rsidRDefault="00053418" w:rsidP="004241BC">
            <w:pPr>
              <w:pStyle w:val="TableText"/>
              <w:keepNext/>
              <w:spacing w:before="50" w:after="50"/>
              <w:jc w:val="right"/>
            </w:pPr>
            <w:r w:rsidRPr="009E06AA">
              <w:rPr>
                <w:rFonts w:eastAsia="Calibri" w:cs="Calibri"/>
                <w:b/>
                <w:color w:val="FFFFFF"/>
                <w:szCs w:val="16"/>
              </w:rPr>
              <w:t>Change from 1990 (%)</w:t>
            </w:r>
          </w:p>
        </w:tc>
      </w:tr>
      <w:tr w:rsidR="00053418" w:rsidRPr="009E06AA" w14:paraId="45BAF97D" w14:textId="77777777" w:rsidTr="00B55F24">
        <w:tc>
          <w:tcPr>
            <w:tcW w:w="2551" w:type="dxa"/>
            <w:shd w:val="clear" w:color="auto" w:fill="FFFFFF" w:themeFill="background1"/>
            <w:tcMar>
              <w:top w:w="0" w:type="dxa"/>
              <w:left w:w="85" w:type="dxa"/>
              <w:bottom w:w="0" w:type="dxa"/>
              <w:right w:w="85" w:type="dxa"/>
            </w:tcMar>
            <w:vAlign w:val="center"/>
          </w:tcPr>
          <w:p w14:paraId="752DA366" w14:textId="77777777" w:rsidR="00053418" w:rsidRPr="009E06AA" w:rsidRDefault="00053418" w:rsidP="00DA0812">
            <w:pPr>
              <w:pStyle w:val="TableText"/>
              <w:keepNext/>
              <w:spacing w:before="50" w:after="50"/>
            </w:pPr>
            <w:r w:rsidRPr="009E06AA">
              <w:rPr>
                <w:rFonts w:eastAsia="Calibri" w:cs="Calibri"/>
                <w:color w:val="000000"/>
                <w:szCs w:val="16"/>
              </w:rPr>
              <w:t>Other land remaining other land</w:t>
            </w:r>
          </w:p>
        </w:tc>
        <w:tc>
          <w:tcPr>
            <w:tcW w:w="1020" w:type="dxa"/>
            <w:shd w:val="clear" w:color="auto" w:fill="FFFFFF" w:themeFill="background1"/>
            <w:tcMar>
              <w:top w:w="0" w:type="dxa"/>
              <w:left w:w="85" w:type="dxa"/>
              <w:bottom w:w="0" w:type="dxa"/>
              <w:right w:w="85" w:type="dxa"/>
            </w:tcMar>
            <w:vAlign w:val="center"/>
          </w:tcPr>
          <w:p w14:paraId="72E272B2" w14:textId="77777777" w:rsidR="00053418" w:rsidRPr="009E06AA" w:rsidRDefault="00053418" w:rsidP="004241BC">
            <w:pPr>
              <w:pStyle w:val="TableText"/>
              <w:keepNext/>
              <w:spacing w:before="50" w:after="50"/>
              <w:jc w:val="right"/>
            </w:pPr>
            <w:r w:rsidRPr="009E06AA">
              <w:rPr>
                <w:rFonts w:eastAsia="Calibri" w:cs="Calibri"/>
                <w:color w:val="000000"/>
                <w:szCs w:val="16"/>
              </w:rPr>
              <w:t>895,877</w:t>
            </w:r>
          </w:p>
        </w:tc>
        <w:tc>
          <w:tcPr>
            <w:tcW w:w="1020" w:type="dxa"/>
            <w:shd w:val="clear" w:color="auto" w:fill="FFFFFF" w:themeFill="background1"/>
            <w:tcMar>
              <w:top w:w="0" w:type="dxa"/>
              <w:left w:w="85" w:type="dxa"/>
              <w:bottom w:w="0" w:type="dxa"/>
              <w:right w:w="85" w:type="dxa"/>
            </w:tcMar>
            <w:vAlign w:val="center"/>
          </w:tcPr>
          <w:p w14:paraId="74570422" w14:textId="77777777" w:rsidR="00053418" w:rsidRPr="009E06AA" w:rsidRDefault="00053418" w:rsidP="004241BC">
            <w:pPr>
              <w:pStyle w:val="TableText"/>
              <w:keepNext/>
              <w:spacing w:before="50" w:after="50"/>
              <w:jc w:val="right"/>
            </w:pPr>
            <w:r w:rsidRPr="009E06AA">
              <w:rPr>
                <w:rFonts w:eastAsia="Calibri" w:cs="Calibri"/>
                <w:color w:val="000000"/>
                <w:szCs w:val="16"/>
              </w:rPr>
              <w:t>890,504</w:t>
            </w:r>
          </w:p>
        </w:tc>
        <w:tc>
          <w:tcPr>
            <w:tcW w:w="1134" w:type="dxa"/>
            <w:shd w:val="clear" w:color="auto" w:fill="FFFFFF" w:themeFill="background1"/>
            <w:tcMar>
              <w:top w:w="0" w:type="dxa"/>
              <w:left w:w="85" w:type="dxa"/>
              <w:bottom w:w="0" w:type="dxa"/>
              <w:right w:w="85" w:type="dxa"/>
            </w:tcMar>
            <w:vAlign w:val="center"/>
          </w:tcPr>
          <w:p w14:paraId="494674BA" w14:textId="77777777" w:rsidR="00053418" w:rsidRPr="009E06AA" w:rsidRDefault="00053418" w:rsidP="004241BC">
            <w:pPr>
              <w:pStyle w:val="TableText"/>
              <w:keepNext/>
              <w:spacing w:before="50" w:after="50"/>
              <w:jc w:val="right"/>
            </w:pPr>
            <w:r w:rsidRPr="009E06AA">
              <w:rPr>
                <w:rFonts w:eastAsia="Calibri" w:cs="Calibri"/>
                <w:color w:val="000000"/>
                <w:szCs w:val="16"/>
              </w:rPr>
              <w:t>-0.6</w:t>
            </w:r>
          </w:p>
        </w:tc>
        <w:tc>
          <w:tcPr>
            <w:tcW w:w="850" w:type="dxa"/>
            <w:shd w:val="clear" w:color="auto" w:fill="FFFFFF" w:themeFill="background1"/>
            <w:tcMar>
              <w:top w:w="0" w:type="dxa"/>
              <w:left w:w="85" w:type="dxa"/>
              <w:bottom w:w="0" w:type="dxa"/>
              <w:right w:w="85" w:type="dxa"/>
            </w:tcMar>
            <w:vAlign w:val="center"/>
          </w:tcPr>
          <w:p w14:paraId="2EF8DE76" w14:textId="77777777" w:rsidR="00053418" w:rsidRPr="009E06AA" w:rsidRDefault="00053418" w:rsidP="004241BC">
            <w:pPr>
              <w:pStyle w:val="TableText"/>
              <w:keepNext/>
              <w:spacing w:before="50" w:after="50"/>
              <w:jc w:val="right"/>
            </w:pPr>
            <w:r w:rsidRPr="009E06AA">
              <w:rPr>
                <w:rFonts w:eastAsia="Calibri" w:cs="Calibri"/>
                <w:color w:val="000000"/>
                <w:szCs w:val="16"/>
              </w:rPr>
              <w:t>0.1</w:t>
            </w:r>
          </w:p>
        </w:tc>
        <w:tc>
          <w:tcPr>
            <w:tcW w:w="850" w:type="dxa"/>
            <w:shd w:val="clear" w:color="auto" w:fill="FFFFFF" w:themeFill="background1"/>
            <w:tcMar>
              <w:top w:w="0" w:type="dxa"/>
              <w:left w:w="85" w:type="dxa"/>
              <w:bottom w:w="0" w:type="dxa"/>
              <w:right w:w="85" w:type="dxa"/>
            </w:tcMar>
            <w:vAlign w:val="center"/>
          </w:tcPr>
          <w:p w14:paraId="1C7B1502" w14:textId="77777777" w:rsidR="00053418" w:rsidRPr="009E06AA" w:rsidRDefault="00053418" w:rsidP="004241BC">
            <w:pPr>
              <w:pStyle w:val="TableText"/>
              <w:keepNext/>
              <w:spacing w:before="50" w:after="50"/>
              <w:jc w:val="right"/>
            </w:pPr>
            <w:r w:rsidRPr="009E06AA">
              <w:rPr>
                <w:rFonts w:eastAsia="Calibri" w:cs="Calibri"/>
                <w:color w:val="000000"/>
                <w:szCs w:val="16"/>
              </w:rPr>
              <w:t>3.7</w:t>
            </w:r>
          </w:p>
        </w:tc>
        <w:tc>
          <w:tcPr>
            <w:tcW w:w="1134" w:type="dxa"/>
            <w:shd w:val="clear" w:color="auto" w:fill="FFFFFF" w:themeFill="background1"/>
            <w:tcMar>
              <w:top w:w="0" w:type="dxa"/>
              <w:left w:w="85" w:type="dxa"/>
              <w:bottom w:w="0" w:type="dxa"/>
              <w:right w:w="85" w:type="dxa"/>
            </w:tcMar>
            <w:vAlign w:val="center"/>
          </w:tcPr>
          <w:p w14:paraId="38E1B3C9" w14:textId="77777777" w:rsidR="00053418" w:rsidRPr="009E06AA" w:rsidRDefault="00053418" w:rsidP="004241BC">
            <w:pPr>
              <w:pStyle w:val="TableText"/>
              <w:keepNext/>
              <w:spacing w:before="50" w:after="50"/>
              <w:jc w:val="right"/>
            </w:pPr>
            <w:r w:rsidRPr="009E06AA">
              <w:rPr>
                <w:rFonts w:eastAsia="Calibri" w:cs="Calibri"/>
                <w:color w:val="000000"/>
                <w:szCs w:val="16"/>
              </w:rPr>
              <w:t>3,256.3</w:t>
            </w:r>
          </w:p>
        </w:tc>
      </w:tr>
      <w:tr w:rsidR="00053418" w:rsidRPr="009E06AA" w14:paraId="112B00F9" w14:textId="77777777" w:rsidTr="00B55F24">
        <w:tc>
          <w:tcPr>
            <w:tcW w:w="2551" w:type="dxa"/>
            <w:shd w:val="clear" w:color="auto" w:fill="FFFFFF" w:themeFill="background1"/>
            <w:tcMar>
              <w:top w:w="0" w:type="dxa"/>
              <w:left w:w="85" w:type="dxa"/>
              <w:bottom w:w="0" w:type="dxa"/>
              <w:right w:w="85" w:type="dxa"/>
            </w:tcMar>
            <w:vAlign w:val="center"/>
          </w:tcPr>
          <w:p w14:paraId="31021796" w14:textId="77777777" w:rsidR="00053418" w:rsidRPr="009E06AA" w:rsidRDefault="00053418" w:rsidP="00DA0812">
            <w:pPr>
              <w:pStyle w:val="TableText"/>
              <w:keepNext/>
              <w:spacing w:before="50" w:after="50"/>
            </w:pPr>
            <w:r w:rsidRPr="009E06AA">
              <w:rPr>
                <w:rFonts w:eastAsia="Calibri" w:cs="Calibri"/>
                <w:color w:val="000000"/>
                <w:szCs w:val="16"/>
              </w:rPr>
              <w:t>Land converted to other land</w:t>
            </w:r>
          </w:p>
        </w:tc>
        <w:tc>
          <w:tcPr>
            <w:tcW w:w="1020" w:type="dxa"/>
            <w:shd w:val="clear" w:color="auto" w:fill="FFFFFF" w:themeFill="background1"/>
            <w:tcMar>
              <w:top w:w="0" w:type="dxa"/>
              <w:left w:w="85" w:type="dxa"/>
              <w:bottom w:w="0" w:type="dxa"/>
              <w:right w:w="85" w:type="dxa"/>
            </w:tcMar>
            <w:vAlign w:val="center"/>
          </w:tcPr>
          <w:p w14:paraId="384FB3E7" w14:textId="77777777" w:rsidR="00053418" w:rsidRPr="009E06AA" w:rsidRDefault="00053418" w:rsidP="004241BC">
            <w:pPr>
              <w:pStyle w:val="TableText"/>
              <w:keepNext/>
              <w:spacing w:before="50" w:after="50"/>
              <w:jc w:val="right"/>
            </w:pPr>
            <w:r w:rsidRPr="009E06AA">
              <w:rPr>
                <w:rFonts w:eastAsia="Calibri" w:cs="Calibri"/>
                <w:color w:val="000000"/>
                <w:szCs w:val="16"/>
              </w:rPr>
              <w:t>0</w:t>
            </w:r>
          </w:p>
        </w:tc>
        <w:tc>
          <w:tcPr>
            <w:tcW w:w="1020" w:type="dxa"/>
            <w:shd w:val="clear" w:color="auto" w:fill="FFFFFF" w:themeFill="background1"/>
            <w:tcMar>
              <w:top w:w="0" w:type="dxa"/>
              <w:left w:w="85" w:type="dxa"/>
              <w:bottom w:w="0" w:type="dxa"/>
              <w:right w:w="85" w:type="dxa"/>
            </w:tcMar>
            <w:vAlign w:val="center"/>
          </w:tcPr>
          <w:p w14:paraId="64B579A9" w14:textId="77777777" w:rsidR="00053418" w:rsidRPr="009E06AA" w:rsidRDefault="00053418" w:rsidP="004241BC">
            <w:pPr>
              <w:pStyle w:val="TableText"/>
              <w:keepNext/>
              <w:spacing w:before="50" w:after="50"/>
              <w:jc w:val="right"/>
            </w:pPr>
            <w:r w:rsidRPr="009E06AA">
              <w:rPr>
                <w:rFonts w:eastAsia="Calibri" w:cs="Calibri"/>
                <w:color w:val="000000"/>
                <w:szCs w:val="16"/>
              </w:rPr>
              <w:t>6,622</w:t>
            </w:r>
          </w:p>
        </w:tc>
        <w:tc>
          <w:tcPr>
            <w:tcW w:w="1134" w:type="dxa"/>
            <w:shd w:val="clear" w:color="auto" w:fill="FFFFFF" w:themeFill="background1"/>
            <w:tcMar>
              <w:top w:w="0" w:type="dxa"/>
              <w:left w:w="85" w:type="dxa"/>
              <w:bottom w:w="0" w:type="dxa"/>
              <w:right w:w="85" w:type="dxa"/>
            </w:tcMar>
            <w:vAlign w:val="center"/>
          </w:tcPr>
          <w:p w14:paraId="210932F2" w14:textId="77777777" w:rsidR="00053418" w:rsidRPr="009E06AA" w:rsidRDefault="00053418" w:rsidP="004241BC">
            <w:pPr>
              <w:pStyle w:val="TableText"/>
              <w:keepNext/>
              <w:spacing w:before="50" w:after="50"/>
              <w:jc w:val="right"/>
              <w:rPr>
                <w:rFonts w:eastAsia="Calibri" w:cs="Calibri"/>
                <w:color w:val="000000" w:themeColor="text1"/>
                <w:szCs w:val="16"/>
              </w:rPr>
            </w:pPr>
            <w:r w:rsidRPr="009E06AA">
              <w:rPr>
                <w:rFonts w:eastAsia="Calibri" w:cs="Calibri"/>
                <w:color w:val="000000" w:themeColor="text1"/>
                <w:szCs w:val="16"/>
              </w:rPr>
              <w:t>–</w:t>
            </w:r>
          </w:p>
        </w:tc>
        <w:tc>
          <w:tcPr>
            <w:tcW w:w="850" w:type="dxa"/>
            <w:shd w:val="clear" w:color="auto" w:fill="FFFFFF" w:themeFill="background1"/>
            <w:tcMar>
              <w:top w:w="0" w:type="dxa"/>
              <w:left w:w="85" w:type="dxa"/>
              <w:bottom w:w="0" w:type="dxa"/>
              <w:right w:w="85" w:type="dxa"/>
            </w:tcMar>
            <w:vAlign w:val="center"/>
          </w:tcPr>
          <w:p w14:paraId="78F42CA0" w14:textId="77777777" w:rsidR="00053418" w:rsidRPr="009E06AA" w:rsidRDefault="00053418" w:rsidP="004241BC">
            <w:pPr>
              <w:pStyle w:val="TableText"/>
              <w:keepNext/>
              <w:spacing w:before="50" w:after="50"/>
              <w:jc w:val="right"/>
            </w:pPr>
            <w:r w:rsidRPr="009E06AA">
              <w:rPr>
                <w:rFonts w:eastAsia="Calibri" w:cs="Calibri"/>
                <w:color w:val="000000"/>
                <w:szCs w:val="16"/>
              </w:rPr>
              <w:t>14.6</w:t>
            </w:r>
          </w:p>
        </w:tc>
        <w:tc>
          <w:tcPr>
            <w:tcW w:w="850" w:type="dxa"/>
            <w:shd w:val="clear" w:color="auto" w:fill="FFFFFF" w:themeFill="background1"/>
            <w:tcMar>
              <w:top w:w="0" w:type="dxa"/>
              <w:left w:w="85" w:type="dxa"/>
              <w:bottom w:w="0" w:type="dxa"/>
              <w:right w:w="85" w:type="dxa"/>
            </w:tcMar>
            <w:vAlign w:val="center"/>
          </w:tcPr>
          <w:p w14:paraId="4A60F79A" w14:textId="77777777" w:rsidR="00053418" w:rsidRPr="009E06AA" w:rsidRDefault="00053418" w:rsidP="004241BC">
            <w:pPr>
              <w:pStyle w:val="TableText"/>
              <w:keepNext/>
              <w:spacing w:before="50" w:after="50"/>
              <w:jc w:val="right"/>
            </w:pPr>
            <w:r w:rsidRPr="009E06AA">
              <w:rPr>
                <w:rFonts w:eastAsia="Calibri" w:cs="Calibri"/>
                <w:color w:val="000000"/>
                <w:szCs w:val="16"/>
              </w:rPr>
              <w:t>87.0</w:t>
            </w:r>
          </w:p>
        </w:tc>
        <w:tc>
          <w:tcPr>
            <w:tcW w:w="1134" w:type="dxa"/>
            <w:shd w:val="clear" w:color="auto" w:fill="FFFFFF" w:themeFill="background1"/>
            <w:tcMar>
              <w:top w:w="0" w:type="dxa"/>
              <w:left w:w="85" w:type="dxa"/>
              <w:bottom w:w="0" w:type="dxa"/>
              <w:right w:w="85" w:type="dxa"/>
            </w:tcMar>
            <w:vAlign w:val="center"/>
          </w:tcPr>
          <w:p w14:paraId="0507A3FE" w14:textId="77777777" w:rsidR="00053418" w:rsidRPr="009E06AA" w:rsidRDefault="00053418" w:rsidP="004241BC">
            <w:pPr>
              <w:pStyle w:val="TableText"/>
              <w:keepNext/>
              <w:spacing w:before="50" w:after="50"/>
              <w:jc w:val="right"/>
            </w:pPr>
            <w:r w:rsidRPr="009E06AA">
              <w:rPr>
                <w:rFonts w:eastAsia="Calibri" w:cs="Calibri"/>
                <w:color w:val="000000"/>
                <w:szCs w:val="16"/>
              </w:rPr>
              <w:t>494.0</w:t>
            </w:r>
          </w:p>
        </w:tc>
      </w:tr>
      <w:tr w:rsidR="00053418" w:rsidRPr="009E06AA" w14:paraId="5721589D" w14:textId="77777777" w:rsidTr="00B55F24">
        <w:tc>
          <w:tcPr>
            <w:tcW w:w="2551" w:type="dxa"/>
            <w:shd w:val="clear" w:color="auto" w:fill="FFFFFF" w:themeFill="background1"/>
            <w:tcMar>
              <w:top w:w="0" w:type="dxa"/>
              <w:left w:w="85" w:type="dxa"/>
              <w:bottom w:w="0" w:type="dxa"/>
              <w:right w:w="85" w:type="dxa"/>
            </w:tcMar>
            <w:vAlign w:val="center"/>
          </w:tcPr>
          <w:p w14:paraId="39D0FEB0" w14:textId="77777777" w:rsidR="00053418" w:rsidRPr="009E06AA" w:rsidRDefault="00053418" w:rsidP="00B55F24">
            <w:pPr>
              <w:pStyle w:val="TableText"/>
              <w:spacing w:before="50" w:after="50"/>
            </w:pPr>
            <w:r w:rsidRPr="009E06AA">
              <w:rPr>
                <w:rFonts w:eastAsia="Calibri" w:cs="Calibri"/>
                <w:b/>
                <w:color w:val="1B556B"/>
                <w:szCs w:val="16"/>
              </w:rPr>
              <w:t>Total</w:t>
            </w:r>
          </w:p>
        </w:tc>
        <w:tc>
          <w:tcPr>
            <w:tcW w:w="1020" w:type="dxa"/>
            <w:shd w:val="clear" w:color="auto" w:fill="FFFFFF" w:themeFill="background1"/>
            <w:tcMar>
              <w:top w:w="0" w:type="dxa"/>
              <w:left w:w="85" w:type="dxa"/>
              <w:bottom w:w="0" w:type="dxa"/>
              <w:right w:w="85" w:type="dxa"/>
            </w:tcMar>
            <w:vAlign w:val="center"/>
          </w:tcPr>
          <w:p w14:paraId="21C7828D" w14:textId="77777777" w:rsidR="00053418" w:rsidRPr="009E06AA" w:rsidRDefault="00053418" w:rsidP="004241BC">
            <w:pPr>
              <w:pStyle w:val="TableText"/>
              <w:spacing w:before="50" w:after="50"/>
              <w:jc w:val="right"/>
            </w:pPr>
            <w:r w:rsidRPr="009E06AA">
              <w:rPr>
                <w:rFonts w:eastAsia="Calibri" w:cs="Calibri"/>
                <w:b/>
                <w:color w:val="1B556B"/>
                <w:szCs w:val="16"/>
              </w:rPr>
              <w:t>895,877</w:t>
            </w:r>
          </w:p>
        </w:tc>
        <w:tc>
          <w:tcPr>
            <w:tcW w:w="1020" w:type="dxa"/>
            <w:shd w:val="clear" w:color="auto" w:fill="FFFFFF" w:themeFill="background1"/>
            <w:tcMar>
              <w:top w:w="0" w:type="dxa"/>
              <w:left w:w="85" w:type="dxa"/>
              <w:bottom w:w="0" w:type="dxa"/>
              <w:right w:w="85" w:type="dxa"/>
            </w:tcMar>
            <w:vAlign w:val="center"/>
          </w:tcPr>
          <w:p w14:paraId="7DE8222D" w14:textId="77777777" w:rsidR="00053418" w:rsidRPr="009E06AA" w:rsidRDefault="00053418" w:rsidP="004241BC">
            <w:pPr>
              <w:pStyle w:val="TableText"/>
              <w:spacing w:before="50" w:after="50"/>
              <w:jc w:val="right"/>
            </w:pPr>
            <w:r w:rsidRPr="009E06AA">
              <w:rPr>
                <w:rFonts w:eastAsia="Calibri" w:cs="Calibri"/>
                <w:b/>
                <w:color w:val="1B556B"/>
                <w:szCs w:val="16"/>
              </w:rPr>
              <w:t>897,126</w:t>
            </w:r>
          </w:p>
        </w:tc>
        <w:tc>
          <w:tcPr>
            <w:tcW w:w="1134" w:type="dxa"/>
            <w:shd w:val="clear" w:color="auto" w:fill="FFFFFF" w:themeFill="background1"/>
            <w:tcMar>
              <w:top w:w="0" w:type="dxa"/>
              <w:left w:w="85" w:type="dxa"/>
              <w:bottom w:w="0" w:type="dxa"/>
              <w:right w:w="85" w:type="dxa"/>
            </w:tcMar>
            <w:vAlign w:val="center"/>
          </w:tcPr>
          <w:p w14:paraId="4D741913" w14:textId="77777777" w:rsidR="00053418" w:rsidRPr="009E06AA" w:rsidRDefault="00053418" w:rsidP="004241BC">
            <w:pPr>
              <w:pStyle w:val="TableText"/>
              <w:spacing w:before="50" w:after="50"/>
              <w:jc w:val="right"/>
            </w:pPr>
            <w:r w:rsidRPr="009E06AA">
              <w:rPr>
                <w:rFonts w:eastAsia="Calibri" w:cs="Calibri"/>
                <w:b/>
                <w:color w:val="1B556B"/>
                <w:szCs w:val="16"/>
              </w:rPr>
              <w:t>0.1</w:t>
            </w:r>
          </w:p>
        </w:tc>
        <w:tc>
          <w:tcPr>
            <w:tcW w:w="850" w:type="dxa"/>
            <w:shd w:val="clear" w:color="auto" w:fill="FFFFFF" w:themeFill="background1"/>
            <w:tcMar>
              <w:top w:w="0" w:type="dxa"/>
              <w:left w:w="85" w:type="dxa"/>
              <w:bottom w:w="0" w:type="dxa"/>
              <w:right w:w="85" w:type="dxa"/>
            </w:tcMar>
            <w:vAlign w:val="center"/>
          </w:tcPr>
          <w:p w14:paraId="79F2CA23" w14:textId="77777777" w:rsidR="00053418" w:rsidRPr="009E06AA" w:rsidRDefault="00053418" w:rsidP="004241BC">
            <w:pPr>
              <w:pStyle w:val="TableText"/>
              <w:spacing w:before="50" w:after="50"/>
              <w:jc w:val="right"/>
            </w:pPr>
            <w:r w:rsidRPr="009E06AA">
              <w:rPr>
                <w:rFonts w:eastAsia="Calibri" w:cs="Calibri"/>
                <w:b/>
                <w:color w:val="1B556B"/>
                <w:szCs w:val="16"/>
              </w:rPr>
              <w:t>14.8</w:t>
            </w:r>
          </w:p>
        </w:tc>
        <w:tc>
          <w:tcPr>
            <w:tcW w:w="850" w:type="dxa"/>
            <w:shd w:val="clear" w:color="auto" w:fill="FFFFFF" w:themeFill="background1"/>
            <w:tcMar>
              <w:top w:w="0" w:type="dxa"/>
              <w:left w:w="85" w:type="dxa"/>
              <w:bottom w:w="0" w:type="dxa"/>
              <w:right w:w="85" w:type="dxa"/>
            </w:tcMar>
            <w:vAlign w:val="center"/>
          </w:tcPr>
          <w:p w14:paraId="7241918E" w14:textId="77777777" w:rsidR="00053418" w:rsidRPr="009E06AA" w:rsidRDefault="00053418" w:rsidP="004241BC">
            <w:pPr>
              <w:pStyle w:val="TableText"/>
              <w:spacing w:before="50" w:after="50"/>
              <w:jc w:val="right"/>
            </w:pPr>
            <w:r w:rsidRPr="009E06AA">
              <w:rPr>
                <w:rFonts w:eastAsia="Calibri" w:cs="Calibri"/>
                <w:b/>
                <w:color w:val="1B556B"/>
                <w:szCs w:val="16"/>
              </w:rPr>
              <w:t>90.7</w:t>
            </w:r>
          </w:p>
        </w:tc>
        <w:tc>
          <w:tcPr>
            <w:tcW w:w="1134" w:type="dxa"/>
            <w:shd w:val="clear" w:color="auto" w:fill="FFFFFF" w:themeFill="background1"/>
            <w:tcMar>
              <w:top w:w="0" w:type="dxa"/>
              <w:left w:w="85" w:type="dxa"/>
              <w:bottom w:w="0" w:type="dxa"/>
              <w:right w:w="85" w:type="dxa"/>
            </w:tcMar>
            <w:vAlign w:val="center"/>
          </w:tcPr>
          <w:p w14:paraId="5879E3B4" w14:textId="77777777" w:rsidR="00053418" w:rsidRPr="009E06AA" w:rsidRDefault="00053418" w:rsidP="004241BC">
            <w:pPr>
              <w:pStyle w:val="TableText"/>
              <w:spacing w:before="50" w:after="50"/>
              <w:jc w:val="right"/>
            </w:pPr>
            <w:r w:rsidRPr="009E06AA">
              <w:rPr>
                <w:rFonts w:eastAsia="Calibri" w:cs="Calibri"/>
                <w:b/>
                <w:color w:val="1B556B"/>
                <w:szCs w:val="16"/>
              </w:rPr>
              <w:t>514.8</w:t>
            </w:r>
          </w:p>
        </w:tc>
      </w:tr>
    </w:tbl>
    <w:p w14:paraId="35517247" w14:textId="77777777" w:rsidR="00053418" w:rsidRPr="009E06AA" w:rsidRDefault="00053418" w:rsidP="00053418">
      <w:pPr>
        <w:pStyle w:val="Noteundertable"/>
        <w:spacing w:before="80" w:after="80"/>
      </w:pPr>
      <w:r w:rsidRPr="009E06AA">
        <w:rPr>
          <w:b/>
        </w:rPr>
        <w:t>Note:</w:t>
      </w:r>
      <w:r w:rsidRPr="009E06AA">
        <w:tab/>
        <w:t xml:space="preserve">Net area at 1990 is as of 1 January 1990; net area at 2022 is as of 31 December 2022. </w:t>
      </w:r>
      <w:r w:rsidRPr="009E06AA">
        <w:rPr>
          <w:i/>
        </w:rPr>
        <w:t>Land converted to other land</w:t>
      </w:r>
      <w:r w:rsidRPr="009E06AA">
        <w:t xml:space="preserve"> includes land converted up to 20 years earlier. The net emission values for </w:t>
      </w:r>
      <w:r w:rsidRPr="009E06AA">
        <w:rPr>
          <w:i/>
        </w:rPr>
        <w:t>Other land remaining other land</w:t>
      </w:r>
      <w:r w:rsidRPr="009E06AA">
        <w:t xml:space="preserve"> are due to N</w:t>
      </w:r>
      <w:r w:rsidRPr="009E06AA">
        <w:rPr>
          <w:vertAlign w:val="subscript"/>
        </w:rPr>
        <w:t>2</w:t>
      </w:r>
      <w:r w:rsidRPr="009E06AA">
        <w:t>O emissions from nitrogen mineralisation as a result of land-use change. Columns may not total due to rounding.</w:t>
      </w:r>
    </w:p>
    <w:p w14:paraId="1099CF35" w14:textId="77777777" w:rsidR="00053418" w:rsidRPr="009E06AA" w:rsidRDefault="00053418" w:rsidP="00053418">
      <w:pPr>
        <w:pStyle w:val="Heading3"/>
      </w:pPr>
      <w:r w:rsidRPr="009E06AA">
        <w:t>6.9.2</w:t>
      </w:r>
      <w:r w:rsidRPr="009E06AA">
        <w:tab/>
        <w:t>Methodological issues</w:t>
      </w:r>
    </w:p>
    <w:p w14:paraId="77AEEDAE" w14:textId="77777777" w:rsidR="00053418" w:rsidRPr="009E06AA" w:rsidRDefault="00053418" w:rsidP="00053418">
      <w:pPr>
        <w:pStyle w:val="Heading4"/>
      </w:pPr>
      <w:r w:rsidRPr="009E06AA">
        <w:t>Other land remaining other land (4.F.1)</w:t>
      </w:r>
    </w:p>
    <w:p w14:paraId="0CE12CB7" w14:textId="77777777" w:rsidR="00053418" w:rsidRPr="009E06AA" w:rsidRDefault="00053418" w:rsidP="00053418">
      <w:pPr>
        <w:pStyle w:val="BodyText"/>
      </w:pPr>
      <w:r w:rsidRPr="009E06AA">
        <w:t xml:space="preserve">A summary of the New Zealand emission factors and other parameters used to estimate greenhouse gas emissions for </w:t>
      </w:r>
      <w:r w:rsidRPr="009E06AA">
        <w:rPr>
          <w:i/>
        </w:rPr>
        <w:t>Other land</w:t>
      </w:r>
      <w:r w:rsidRPr="009E06AA">
        <w:t xml:space="preserve"> is provided in table 6.9.2.</w:t>
      </w:r>
    </w:p>
    <w:p w14:paraId="357D2FBD" w14:textId="77777777" w:rsidR="00053418" w:rsidRPr="009E06AA" w:rsidRDefault="00053418" w:rsidP="00053418">
      <w:pPr>
        <w:pStyle w:val="Table"/>
      </w:pPr>
      <w:bookmarkStart w:id="2600" w:name="_Toc342470794"/>
      <w:bookmarkStart w:id="2601" w:name="_Toc352505034"/>
      <w:bookmarkStart w:id="2602" w:name="_Toc378853323"/>
      <w:bookmarkStart w:id="2603" w:name="_Toc391024121"/>
      <w:bookmarkStart w:id="2604" w:name="_Toc410028863"/>
      <w:bookmarkStart w:id="2605" w:name="_Toc414531491"/>
      <w:bookmarkStart w:id="2606" w:name="_Toc443645404"/>
      <w:bookmarkStart w:id="2607" w:name="_Toc474914623"/>
      <w:bookmarkStart w:id="2608" w:name="_Toc481751587"/>
      <w:bookmarkStart w:id="2609" w:name="_Toc522010644"/>
      <w:bookmarkStart w:id="2610" w:name="_Toc5269549"/>
      <w:bookmarkStart w:id="2611" w:name="_Toc33529423"/>
      <w:bookmarkStart w:id="2612" w:name="_Toc36224629"/>
      <w:bookmarkStart w:id="2613" w:name="_Toc131591423"/>
      <w:bookmarkStart w:id="2614" w:name="_Toc158979981"/>
      <w:bookmarkStart w:id="2615" w:name="_Toc164153914"/>
      <w:r w:rsidRPr="009E06AA">
        <w:t>Table 6.9.2</w:t>
      </w:r>
      <w:r w:rsidRPr="009E06AA">
        <w:tab/>
        <w:t>Summary of New Zealand emission factors for the land use category</w:t>
      </w:r>
      <w:bookmarkEnd w:id="2600"/>
      <w:bookmarkEnd w:id="2601"/>
      <w:bookmarkEnd w:id="2602"/>
      <w:r w:rsidRPr="009E06AA">
        <w:t xml:space="preserve"> </w:t>
      </w:r>
      <w:r w:rsidRPr="009E06AA">
        <w:rPr>
          <w:i/>
        </w:rPr>
        <w:t>Other land</w:t>
      </w:r>
      <w:bookmarkEnd w:id="2603"/>
      <w:bookmarkEnd w:id="2604"/>
      <w:bookmarkEnd w:id="2605"/>
      <w:bookmarkEnd w:id="2606"/>
      <w:bookmarkEnd w:id="2607"/>
      <w:bookmarkEnd w:id="2608"/>
      <w:bookmarkEnd w:id="2609"/>
      <w:bookmarkEnd w:id="2610"/>
      <w:bookmarkEnd w:id="2611"/>
      <w:bookmarkEnd w:id="2612"/>
      <w:bookmarkEnd w:id="2613"/>
      <w:bookmarkEnd w:id="2614"/>
      <w:bookmarkEnd w:id="2615"/>
    </w:p>
    <w:tbl>
      <w:tblPr>
        <w:tblW w:w="8505" w:type="dxa"/>
        <w:tblBorders>
          <w:top w:val="single" w:sz="4" w:space="0" w:color="1B556B"/>
          <w:bottom w:val="single" w:sz="4" w:space="0" w:color="1B556B"/>
          <w:insideH w:val="single" w:sz="4" w:space="0" w:color="1B556B"/>
        </w:tblBorders>
        <w:tblLook w:val="04A0" w:firstRow="1" w:lastRow="0" w:firstColumn="1" w:lastColumn="0" w:noHBand="0" w:noVBand="1"/>
      </w:tblPr>
      <w:tblGrid>
        <w:gridCol w:w="1445"/>
        <w:gridCol w:w="1143"/>
        <w:gridCol w:w="1141"/>
        <w:gridCol w:w="2531"/>
        <w:gridCol w:w="2245"/>
      </w:tblGrid>
      <w:tr w:rsidR="00053418" w:rsidRPr="009E06AA" w14:paraId="3B70FBF3" w14:textId="77777777" w:rsidTr="00B55F24">
        <w:tc>
          <w:tcPr>
            <w:tcW w:w="1501" w:type="dxa"/>
            <w:shd w:val="clear" w:color="auto" w:fill="1B556B" w:themeFill="text2"/>
          </w:tcPr>
          <w:p w14:paraId="1E9D3589" w14:textId="77777777" w:rsidR="00053418" w:rsidRPr="009E06AA" w:rsidRDefault="00053418" w:rsidP="00B55F24">
            <w:pPr>
              <w:pStyle w:val="TableTextBold"/>
              <w:keepNext/>
              <w:rPr>
                <w:noProof w:val="0"/>
                <w:color w:val="FFFFFF"/>
              </w:rPr>
            </w:pPr>
            <w:r w:rsidRPr="009E06AA">
              <w:rPr>
                <w:noProof w:val="0"/>
                <w:color w:val="FFFFFF"/>
              </w:rPr>
              <w:t xml:space="preserve">Other land </w:t>
            </w:r>
            <w:r w:rsidRPr="009E06AA">
              <w:rPr>
                <w:noProof w:val="0"/>
                <w:color w:val="FFFFFF"/>
              </w:rPr>
              <w:br/>
              <w:t>greenhouse gas source category</w:t>
            </w:r>
          </w:p>
        </w:tc>
        <w:tc>
          <w:tcPr>
            <w:tcW w:w="1200" w:type="dxa"/>
            <w:shd w:val="clear" w:color="auto" w:fill="1B556B" w:themeFill="text2"/>
            <w:vAlign w:val="bottom"/>
          </w:tcPr>
          <w:p w14:paraId="101B9460" w14:textId="77777777" w:rsidR="00053418" w:rsidRPr="009E06AA" w:rsidRDefault="00053418" w:rsidP="004241BC">
            <w:pPr>
              <w:pStyle w:val="TableTextBold"/>
              <w:keepNext/>
              <w:jc w:val="right"/>
              <w:rPr>
                <w:noProof w:val="0"/>
                <w:color w:val="FFFFFF"/>
              </w:rPr>
            </w:pPr>
            <w:r w:rsidRPr="009E06AA">
              <w:rPr>
                <w:noProof w:val="0"/>
                <w:color w:val="FFFFFF"/>
              </w:rPr>
              <w:t xml:space="preserve">Steady state carbon stock </w:t>
            </w:r>
            <w:r w:rsidRPr="009E06AA">
              <w:rPr>
                <w:noProof w:val="0"/>
                <w:color w:val="FFFFFF"/>
              </w:rPr>
              <w:br/>
              <w:t>(t C ha</w:t>
            </w:r>
            <w:r w:rsidRPr="009E06AA">
              <w:rPr>
                <w:noProof w:val="0"/>
                <w:color w:val="FFFFFF"/>
                <w:vertAlign w:val="superscript"/>
              </w:rPr>
              <w:t>–1</w:t>
            </w:r>
            <w:r w:rsidRPr="009E06AA">
              <w:rPr>
                <w:noProof w:val="0"/>
                <w:color w:val="FFFFFF"/>
              </w:rPr>
              <w:t>)</w:t>
            </w:r>
          </w:p>
        </w:tc>
        <w:tc>
          <w:tcPr>
            <w:tcW w:w="1200" w:type="dxa"/>
            <w:shd w:val="clear" w:color="auto" w:fill="1B556B" w:themeFill="text2"/>
            <w:vAlign w:val="bottom"/>
          </w:tcPr>
          <w:p w14:paraId="0D17E4EB" w14:textId="77777777" w:rsidR="00053418" w:rsidRPr="009E06AA" w:rsidRDefault="00053418" w:rsidP="004241BC">
            <w:pPr>
              <w:pStyle w:val="TableTextBold"/>
              <w:keepNext/>
              <w:jc w:val="right"/>
              <w:rPr>
                <w:noProof w:val="0"/>
                <w:color w:val="FFFFFF"/>
              </w:rPr>
            </w:pPr>
            <w:r w:rsidRPr="009E06AA">
              <w:rPr>
                <w:noProof w:val="0"/>
                <w:color w:val="FFFFFF"/>
              </w:rPr>
              <w:t>Years to reach steady state</w:t>
            </w:r>
          </w:p>
        </w:tc>
        <w:tc>
          <w:tcPr>
            <w:tcW w:w="2701" w:type="dxa"/>
            <w:shd w:val="clear" w:color="auto" w:fill="1B556B" w:themeFill="text2"/>
            <w:vAlign w:val="bottom"/>
          </w:tcPr>
          <w:p w14:paraId="68B5CE21" w14:textId="77777777" w:rsidR="00053418" w:rsidRPr="009E06AA" w:rsidRDefault="00053418" w:rsidP="00B55F24">
            <w:pPr>
              <w:pStyle w:val="TableTextBold"/>
              <w:keepNext/>
              <w:rPr>
                <w:noProof w:val="0"/>
                <w:color w:val="FFFFFF"/>
              </w:rPr>
            </w:pPr>
            <w:r w:rsidRPr="009E06AA">
              <w:rPr>
                <w:noProof w:val="0"/>
                <w:color w:val="FFFFFF"/>
              </w:rPr>
              <w:t xml:space="preserve">Carbon stock change on conversion to </w:t>
            </w:r>
            <w:r w:rsidRPr="009E06AA">
              <w:rPr>
                <w:i/>
                <w:iCs/>
                <w:noProof w:val="0"/>
                <w:color w:val="FFFFFF"/>
              </w:rPr>
              <w:t>Other land</w:t>
            </w:r>
            <w:r w:rsidRPr="009E06AA">
              <w:rPr>
                <w:noProof w:val="0"/>
                <w:color w:val="FFFFFF"/>
              </w:rPr>
              <w:t xml:space="preserve"> </w:t>
            </w:r>
            <w:r w:rsidRPr="009E06AA">
              <w:rPr>
                <w:noProof w:val="0"/>
                <w:color w:val="FFFFFF"/>
              </w:rPr>
              <w:br/>
              <w:t>(t C ha</w:t>
            </w:r>
            <w:r w:rsidRPr="009E06AA">
              <w:rPr>
                <w:noProof w:val="0"/>
                <w:color w:val="FFFFFF"/>
                <w:vertAlign w:val="superscript"/>
              </w:rPr>
              <w:t>–1</w:t>
            </w:r>
            <w:r w:rsidRPr="009E06AA">
              <w:rPr>
                <w:noProof w:val="0"/>
                <w:color w:val="FFFFFF"/>
              </w:rPr>
              <w:t>)</w:t>
            </w:r>
          </w:p>
        </w:tc>
        <w:tc>
          <w:tcPr>
            <w:tcW w:w="2401" w:type="dxa"/>
            <w:shd w:val="clear" w:color="auto" w:fill="1B556B" w:themeFill="text2"/>
            <w:vAlign w:val="bottom"/>
          </w:tcPr>
          <w:p w14:paraId="21B1C220" w14:textId="77777777" w:rsidR="00053418" w:rsidRPr="009E06AA" w:rsidRDefault="00053418" w:rsidP="00B55F24">
            <w:pPr>
              <w:pStyle w:val="TableTextBold"/>
              <w:keepNext/>
              <w:rPr>
                <w:noProof w:val="0"/>
                <w:color w:val="FFFFFF"/>
              </w:rPr>
            </w:pPr>
            <w:r w:rsidRPr="009E06AA">
              <w:rPr>
                <w:noProof w:val="0"/>
                <w:color w:val="FFFFFF"/>
              </w:rPr>
              <w:t>Reference</w:t>
            </w:r>
          </w:p>
        </w:tc>
      </w:tr>
      <w:tr w:rsidR="00053418" w:rsidRPr="009E06AA" w14:paraId="2F2351DC" w14:textId="77777777" w:rsidTr="00B55F24">
        <w:tc>
          <w:tcPr>
            <w:tcW w:w="1501" w:type="dxa"/>
          </w:tcPr>
          <w:p w14:paraId="787E6733" w14:textId="77777777" w:rsidR="00053418" w:rsidRPr="009E06AA" w:rsidRDefault="00053418" w:rsidP="00B55F24">
            <w:pPr>
              <w:pStyle w:val="TableText"/>
              <w:spacing w:before="50" w:after="50"/>
            </w:pPr>
            <w:r w:rsidRPr="009E06AA">
              <w:t>Biomass</w:t>
            </w:r>
          </w:p>
        </w:tc>
        <w:tc>
          <w:tcPr>
            <w:tcW w:w="1200" w:type="dxa"/>
          </w:tcPr>
          <w:p w14:paraId="244A0C23" w14:textId="77777777" w:rsidR="00053418" w:rsidRPr="009E06AA" w:rsidRDefault="00053418" w:rsidP="004241BC">
            <w:pPr>
              <w:pStyle w:val="TableText"/>
              <w:spacing w:before="50" w:after="50"/>
              <w:jc w:val="right"/>
            </w:pPr>
            <w:r w:rsidRPr="009E06AA">
              <w:t>NE</w:t>
            </w:r>
          </w:p>
        </w:tc>
        <w:tc>
          <w:tcPr>
            <w:tcW w:w="1200" w:type="dxa"/>
          </w:tcPr>
          <w:p w14:paraId="47C050E3" w14:textId="77777777" w:rsidR="00053418" w:rsidRPr="009E06AA" w:rsidRDefault="00053418" w:rsidP="004241BC">
            <w:pPr>
              <w:pStyle w:val="TableText"/>
              <w:spacing w:before="50" w:after="50"/>
              <w:jc w:val="right"/>
            </w:pPr>
            <w:r w:rsidRPr="009E06AA">
              <w:t>NA</w:t>
            </w:r>
          </w:p>
        </w:tc>
        <w:tc>
          <w:tcPr>
            <w:tcW w:w="2701" w:type="dxa"/>
          </w:tcPr>
          <w:p w14:paraId="37EBFAD1" w14:textId="77777777" w:rsidR="00053418" w:rsidRPr="009E06AA" w:rsidRDefault="00053418" w:rsidP="00B55F24">
            <w:pPr>
              <w:pStyle w:val="TableText"/>
              <w:spacing w:before="50" w:after="50"/>
            </w:pPr>
            <w:r w:rsidRPr="009E06AA">
              <w:t>Instantaneous loss of previous land use carbon stock</w:t>
            </w:r>
          </w:p>
        </w:tc>
        <w:tc>
          <w:tcPr>
            <w:tcW w:w="2401" w:type="dxa"/>
          </w:tcPr>
          <w:p w14:paraId="73020268" w14:textId="77777777" w:rsidR="00053418" w:rsidRPr="009E06AA" w:rsidRDefault="00053418" w:rsidP="00B55F24">
            <w:pPr>
              <w:pStyle w:val="TableText"/>
              <w:spacing w:before="50" w:after="50"/>
            </w:pPr>
            <w:r w:rsidRPr="009E06AA">
              <w:t>IPCC Tier 1 default assumption (section 9.3.1, IPCC, 2006a)</w:t>
            </w:r>
          </w:p>
        </w:tc>
      </w:tr>
      <w:tr w:rsidR="00053418" w:rsidRPr="009E06AA" w14:paraId="60CDFC1F" w14:textId="77777777" w:rsidTr="00B55F24">
        <w:tc>
          <w:tcPr>
            <w:tcW w:w="1501" w:type="dxa"/>
          </w:tcPr>
          <w:p w14:paraId="790824FB" w14:textId="77777777" w:rsidR="00053418" w:rsidRPr="009E06AA" w:rsidRDefault="00053418" w:rsidP="00B55F24">
            <w:pPr>
              <w:pStyle w:val="TableText"/>
              <w:spacing w:before="50" w:after="50"/>
            </w:pPr>
            <w:r w:rsidRPr="009E06AA">
              <w:t>Soils (mineral)</w:t>
            </w:r>
          </w:p>
        </w:tc>
        <w:tc>
          <w:tcPr>
            <w:tcW w:w="1200" w:type="dxa"/>
          </w:tcPr>
          <w:p w14:paraId="487FBD00" w14:textId="77777777" w:rsidR="00053418" w:rsidRPr="009E06AA" w:rsidRDefault="00053418" w:rsidP="004241BC">
            <w:pPr>
              <w:pStyle w:val="TableText"/>
              <w:spacing w:before="50" w:after="50"/>
              <w:jc w:val="right"/>
            </w:pPr>
            <w:r w:rsidRPr="009E06AA">
              <w:t>58.37</w:t>
            </w:r>
          </w:p>
        </w:tc>
        <w:tc>
          <w:tcPr>
            <w:tcW w:w="1200" w:type="dxa"/>
          </w:tcPr>
          <w:p w14:paraId="678280BD" w14:textId="77777777" w:rsidR="00053418" w:rsidRPr="009E06AA" w:rsidRDefault="00053418" w:rsidP="004241BC">
            <w:pPr>
              <w:pStyle w:val="TableText"/>
              <w:spacing w:before="50" w:after="50"/>
              <w:jc w:val="right"/>
            </w:pPr>
            <w:r w:rsidRPr="009E06AA">
              <w:t>20</w:t>
            </w:r>
          </w:p>
        </w:tc>
        <w:tc>
          <w:tcPr>
            <w:tcW w:w="2701" w:type="dxa"/>
          </w:tcPr>
          <w:p w14:paraId="1491C767" w14:textId="77777777" w:rsidR="00053418" w:rsidRPr="009E06AA" w:rsidRDefault="00053418" w:rsidP="00B55F24">
            <w:pPr>
              <w:pStyle w:val="TableText"/>
              <w:spacing w:before="50" w:after="50"/>
            </w:pPr>
            <w:r w:rsidRPr="009E06AA">
              <w:t>Linear change over the conversion period between new and previous stock values</w:t>
            </w:r>
          </w:p>
        </w:tc>
        <w:tc>
          <w:tcPr>
            <w:tcW w:w="2401" w:type="dxa"/>
          </w:tcPr>
          <w:p w14:paraId="379B6DBF" w14:textId="77777777" w:rsidR="00053418" w:rsidRPr="009E06AA" w:rsidRDefault="00053418" w:rsidP="00B55F24">
            <w:pPr>
              <w:pStyle w:val="TableText"/>
              <w:spacing w:before="50" w:after="50"/>
            </w:pPr>
            <w:r w:rsidRPr="009E06AA">
              <w:t>Section 6.3 of this submission</w:t>
            </w:r>
          </w:p>
        </w:tc>
      </w:tr>
    </w:tbl>
    <w:p w14:paraId="594E12E4" w14:textId="77777777" w:rsidR="00053418" w:rsidRPr="009E06AA" w:rsidRDefault="00053418" w:rsidP="00053418">
      <w:pPr>
        <w:pStyle w:val="Noteundertable"/>
        <w:spacing w:before="80"/>
      </w:pPr>
      <w:r w:rsidRPr="009E06AA">
        <w:rPr>
          <w:b/>
        </w:rPr>
        <w:t>Note:</w:t>
      </w:r>
      <w:r w:rsidRPr="009E06AA">
        <w:tab/>
        <w:t>NA = not applicable; NE = not estimated.</w:t>
      </w:r>
    </w:p>
    <w:p w14:paraId="2337A8AB" w14:textId="77777777" w:rsidR="00053418" w:rsidRPr="009E06AA" w:rsidRDefault="00053418" w:rsidP="00BF2A76">
      <w:pPr>
        <w:pStyle w:val="Heading5"/>
      </w:pPr>
      <w:r w:rsidRPr="009E06AA">
        <w:t>Living biomass and dead organic matter</w:t>
      </w:r>
    </w:p>
    <w:p w14:paraId="294E7AEB" w14:textId="77777777" w:rsidR="00053418" w:rsidRPr="009E06AA" w:rsidRDefault="00053418" w:rsidP="00053418">
      <w:pPr>
        <w:pStyle w:val="BodyText"/>
      </w:pPr>
      <w:r w:rsidRPr="009E06AA">
        <w:rPr>
          <w:spacing w:val="-2"/>
        </w:rPr>
        <w:t xml:space="preserve">All of New Zealand’s land area in the </w:t>
      </w:r>
      <w:r w:rsidRPr="009E06AA">
        <w:rPr>
          <w:i/>
          <w:spacing w:val="-2"/>
        </w:rPr>
        <w:t>Other land</w:t>
      </w:r>
      <w:r w:rsidRPr="009E06AA">
        <w:rPr>
          <w:spacing w:val="-2"/>
        </w:rPr>
        <w:t xml:space="preserve"> category is classified as ‘managed’. New Zealand</w:t>
      </w:r>
      <w:r w:rsidRPr="009E06AA">
        <w:t xml:space="preserve"> considers all land to be managed, because all land is under some form of management plan, regardless of the intensity and/or type of land-management practices. Reporting for the category </w:t>
      </w:r>
      <w:r w:rsidRPr="009E06AA">
        <w:rPr>
          <w:i/>
        </w:rPr>
        <w:t>Other land remaining other land</w:t>
      </w:r>
      <w:r w:rsidRPr="009E06AA">
        <w:t xml:space="preserve"> is not mandatory. New Zealand applies the Tier 1 approach to this category, which assumes carbon accumulation and loss for the biomass pool is zero in all years subsequent to the year of conversion (section 9.3.1, IPCC, 2006a).</w:t>
      </w:r>
    </w:p>
    <w:p w14:paraId="42CE5832" w14:textId="77777777" w:rsidR="00053418" w:rsidRPr="009E06AA" w:rsidRDefault="00053418" w:rsidP="00BF2A76">
      <w:pPr>
        <w:pStyle w:val="Heading5"/>
      </w:pPr>
      <w:r w:rsidRPr="009E06AA">
        <w:t xml:space="preserve">Soil organic carbon </w:t>
      </w:r>
    </w:p>
    <w:p w14:paraId="011A534E" w14:textId="77777777" w:rsidR="00053418" w:rsidRPr="009E06AA" w:rsidRDefault="00053418" w:rsidP="00053418">
      <w:pPr>
        <w:pStyle w:val="BodyText"/>
      </w:pPr>
      <w:r w:rsidRPr="009E06AA">
        <w:t xml:space="preserve">Soil organic carbon stocks in </w:t>
      </w:r>
      <w:r w:rsidRPr="009E06AA">
        <w:rPr>
          <w:i/>
        </w:rPr>
        <w:t>Other land remaining other land</w:t>
      </w:r>
      <w:r w:rsidRPr="009E06AA">
        <w:t xml:space="preserve"> are estimated using a Tier 2 method for mineral soils (see annex A5.2.4 ‘Mineral soils’). The steady state mineral SOC stock in </w:t>
      </w:r>
      <w:r w:rsidRPr="009E06AA">
        <w:rPr>
          <w:i/>
        </w:rPr>
        <w:t>Other land</w:t>
      </w:r>
      <w:r w:rsidRPr="009E06AA">
        <w:t xml:space="preserve"> is estimated to be </w:t>
      </w:r>
      <w:r w:rsidRPr="009E06AA">
        <w:rPr>
          <w:color w:val="000000"/>
        </w:rPr>
        <w:t>58.37 </w:t>
      </w:r>
      <w:r w:rsidRPr="009E06AA">
        <w:t>tonnes C ha</w:t>
      </w:r>
      <w:r w:rsidRPr="009E06AA">
        <w:rPr>
          <w:vertAlign w:val="superscript"/>
        </w:rPr>
        <w:t>–1</w:t>
      </w:r>
      <w:r w:rsidRPr="009E06AA">
        <w:t xml:space="preserve">. This is based on only three samples so has </w:t>
      </w:r>
      <w:r w:rsidRPr="009E06AA">
        <w:rPr>
          <w:spacing w:val="-2"/>
        </w:rPr>
        <w:t>an associated uncertainty of ±70.7 per cent (McNeill and Barringer, unpublished). The 2006 IPCC</w:t>
      </w:r>
      <w:r w:rsidRPr="009E06AA">
        <w:t xml:space="preserve"> Guidelines provide a default value for soil carbon in </w:t>
      </w:r>
      <w:r w:rsidRPr="009E06AA">
        <w:rPr>
          <w:i/>
        </w:rPr>
        <w:t xml:space="preserve">Other land </w:t>
      </w:r>
      <w:r w:rsidRPr="009E06AA">
        <w:t>of 0 tonnes C ha</w:t>
      </w:r>
      <w:r w:rsidRPr="009E06AA">
        <w:rPr>
          <w:vertAlign w:val="superscript"/>
        </w:rPr>
        <w:t>-1</w:t>
      </w:r>
      <w:r w:rsidRPr="009E06AA">
        <w:t xml:space="preserve"> (section 9.3.3.2, IPCC, 2006a). However, due to the hierarchical structure of defining land use classes, </w:t>
      </w:r>
      <w:r w:rsidRPr="009E06AA">
        <w:rPr>
          <w:i/>
        </w:rPr>
        <w:t>Other land</w:t>
      </w:r>
      <w:r w:rsidRPr="009E06AA">
        <w:t xml:space="preserve"> is defined as “any other remaining land that does not fall into any of the other land use categories”, which can result in the SOC measured potentially being greater than zero.</w:t>
      </w:r>
    </w:p>
    <w:p w14:paraId="69FA8258" w14:textId="77777777" w:rsidR="00053418" w:rsidRPr="009E06AA" w:rsidRDefault="00053418" w:rsidP="00053418">
      <w:pPr>
        <w:pStyle w:val="Heading4"/>
      </w:pPr>
      <w:r w:rsidRPr="009E06AA">
        <w:t>Land converted to other land (4.F.2)</w:t>
      </w:r>
    </w:p>
    <w:p w14:paraId="4A674DD9" w14:textId="77777777" w:rsidR="00053418" w:rsidRPr="009E06AA" w:rsidRDefault="00053418" w:rsidP="00254E5F">
      <w:pPr>
        <w:pStyle w:val="Heading5"/>
        <w:spacing w:before="180"/>
      </w:pPr>
      <w:r w:rsidRPr="009E06AA">
        <w:t>Living biomass and dead organic matter</w:t>
      </w:r>
    </w:p>
    <w:p w14:paraId="78226801" w14:textId="77777777" w:rsidR="00053418" w:rsidRPr="009E06AA" w:rsidRDefault="00053418" w:rsidP="00053418">
      <w:pPr>
        <w:pStyle w:val="BodyText"/>
        <w:spacing w:before="100" w:after="100"/>
      </w:pPr>
      <w:r w:rsidRPr="009E06AA">
        <w:t xml:space="preserve">New Zealand uses a Tier 1 method to calculate emissions for </w:t>
      </w:r>
      <w:r w:rsidRPr="009E06AA">
        <w:rPr>
          <w:i/>
        </w:rPr>
        <w:t>Land converted to other land</w:t>
      </w:r>
      <w:r w:rsidRPr="009E06AA">
        <w:t xml:space="preserve"> (equation 2.16, IPCC, 2006a). This is the same as the method used for other areas of land use conversion (e.g., </w:t>
      </w:r>
      <w:r w:rsidRPr="009E06AA">
        <w:rPr>
          <w:i/>
        </w:rPr>
        <w:t>Land converted to cropland</w:t>
      </w:r>
      <w:r w:rsidRPr="009E06AA">
        <w:t xml:space="preserve">). The Tier 1 method assumes the carbon in living biomass and dead organic matter present before conversion is lost and instantly oxidised in the same year as the conversion takes place and that carbon stocks in living biomass and dead organic matter following conversion are equal to zero. There is no Tier 1 method for calculating carbon accumulation in living biomass or dead organic matter for </w:t>
      </w:r>
      <w:r w:rsidRPr="009E06AA">
        <w:rPr>
          <w:i/>
        </w:rPr>
        <w:t>Land converted to other land</w:t>
      </w:r>
      <w:r w:rsidRPr="009E06AA">
        <w:t>.</w:t>
      </w:r>
    </w:p>
    <w:p w14:paraId="5AFCD6F6" w14:textId="77777777" w:rsidR="00053418" w:rsidRPr="009E06AA" w:rsidRDefault="00053418" w:rsidP="00BF2A76">
      <w:pPr>
        <w:pStyle w:val="Heading5"/>
      </w:pPr>
      <w:r w:rsidRPr="009E06AA">
        <w:t xml:space="preserve">Soil organic carbon </w:t>
      </w:r>
    </w:p>
    <w:p w14:paraId="30CF8B16" w14:textId="77777777" w:rsidR="00053418" w:rsidRPr="009E06AA" w:rsidRDefault="00053418" w:rsidP="00053418">
      <w:pPr>
        <w:pStyle w:val="BodyText"/>
        <w:spacing w:before="100" w:after="100"/>
      </w:pPr>
      <w:r w:rsidRPr="009E06AA">
        <w:t xml:space="preserve">Soil organic carbon stocks in </w:t>
      </w:r>
      <w:r w:rsidRPr="009E06AA">
        <w:rPr>
          <w:i/>
        </w:rPr>
        <w:t>Land converted to other land</w:t>
      </w:r>
      <w:r w:rsidRPr="009E06AA">
        <w:t xml:space="preserve"> before conversion are estimated using a Tier 2 method (see annex A5.2.4 ‘Mineral soils’). The IPCC default method of a linear change over a 20</w:t>
      </w:r>
      <w:r w:rsidRPr="009E06AA">
        <w:noBreakHyphen/>
        <w:t>year period is used to estimate the change in SOC stocks between the original land use and other land for any given period.</w:t>
      </w:r>
    </w:p>
    <w:p w14:paraId="25179E2A" w14:textId="77777777" w:rsidR="00053418" w:rsidRPr="009E06AA" w:rsidRDefault="00053418" w:rsidP="00254E5F">
      <w:pPr>
        <w:pStyle w:val="Heading3"/>
        <w:spacing w:before="320"/>
      </w:pPr>
      <w:r w:rsidRPr="009E06AA">
        <w:t>6.9.3</w:t>
      </w:r>
      <w:r w:rsidRPr="009E06AA">
        <w:tab/>
        <w:t>Uncertainty assessment and time-series consistency</w:t>
      </w:r>
    </w:p>
    <w:p w14:paraId="161B7C90" w14:textId="77777777" w:rsidR="00053418" w:rsidRPr="009E06AA" w:rsidRDefault="00053418" w:rsidP="00053418">
      <w:pPr>
        <w:pStyle w:val="BodyText"/>
        <w:spacing w:before="100" w:after="100"/>
      </w:pPr>
      <w:r w:rsidRPr="009E06AA">
        <w:t xml:space="preserve">The uncertainty in net carbon emissions from </w:t>
      </w:r>
      <w:r w:rsidRPr="009E06AA">
        <w:rPr>
          <w:i/>
          <w:iCs/>
        </w:rPr>
        <w:t>Other</w:t>
      </w:r>
      <w:r w:rsidRPr="009E06AA">
        <w:rPr>
          <w:i/>
        </w:rPr>
        <w:t xml:space="preserve"> land</w:t>
      </w:r>
      <w:r w:rsidRPr="009E06AA">
        <w:t xml:space="preserve"> was 85.2 per cent in 2022. Emissions from </w:t>
      </w:r>
      <w:r w:rsidRPr="009E06AA">
        <w:rPr>
          <w:i/>
        </w:rPr>
        <w:t>Other land</w:t>
      </w:r>
      <w:r w:rsidRPr="009E06AA">
        <w:t xml:space="preserve"> accounted for 0.4 per cent of the net emissions from the LULUCF sector. The methods used to calculate the uncertainty are further described in annex A5.2.8.</w:t>
      </w:r>
    </w:p>
    <w:p w14:paraId="378668D8" w14:textId="77777777" w:rsidR="00053418" w:rsidRPr="009E06AA" w:rsidRDefault="00053418" w:rsidP="00053418">
      <w:pPr>
        <w:pStyle w:val="BodyText"/>
        <w:spacing w:before="100" w:after="100"/>
      </w:pPr>
      <w:r w:rsidRPr="009E06AA">
        <w:t xml:space="preserve">Time-series consistency is ensured by applying consistent methods and full recalculations in the event of any refinement or improvement to methodology. </w:t>
      </w:r>
    </w:p>
    <w:p w14:paraId="3A70F9B7" w14:textId="77777777" w:rsidR="00053418" w:rsidRPr="009E06AA" w:rsidRDefault="00053418" w:rsidP="00254E5F">
      <w:pPr>
        <w:pStyle w:val="Heading3"/>
        <w:spacing w:before="320"/>
      </w:pPr>
      <w:r w:rsidRPr="009E06AA">
        <w:t>6.9.4</w:t>
      </w:r>
      <w:r w:rsidRPr="009E06AA">
        <w:tab/>
        <w:t>Category-specific QA/QC and verification</w:t>
      </w:r>
    </w:p>
    <w:p w14:paraId="1B28B3C1" w14:textId="77777777" w:rsidR="00053418" w:rsidRPr="009E06AA" w:rsidRDefault="00053418" w:rsidP="00053418">
      <w:pPr>
        <w:pStyle w:val="BodyText"/>
        <w:spacing w:before="100" w:after="100"/>
      </w:pPr>
      <w:r w:rsidRPr="009E06AA">
        <w:t>In the preparation of this inventory, the data for these emissions underwent Tier 1 quality checks.</w:t>
      </w:r>
    </w:p>
    <w:p w14:paraId="0384B787" w14:textId="77777777" w:rsidR="00053418" w:rsidRPr="009E06AA" w:rsidRDefault="00053418" w:rsidP="00112B66">
      <w:pPr>
        <w:pStyle w:val="Heading3"/>
        <w:spacing w:before="320"/>
      </w:pPr>
      <w:r w:rsidRPr="009E06AA">
        <w:t>6.9.5</w:t>
      </w:r>
      <w:r w:rsidRPr="009E06AA">
        <w:tab/>
        <w:t>Category-specific recalculations</w:t>
      </w:r>
    </w:p>
    <w:p w14:paraId="1581634D" w14:textId="77777777" w:rsidR="00053418" w:rsidRPr="009E06AA" w:rsidRDefault="00053418" w:rsidP="00053418">
      <w:pPr>
        <w:pStyle w:val="BodyText"/>
        <w:spacing w:before="100" w:after="100"/>
        <w:rPr>
          <w:iCs/>
          <w:spacing w:val="-2"/>
        </w:rPr>
      </w:pPr>
      <w:r w:rsidRPr="009E06AA">
        <w:rPr>
          <w:spacing w:val="-2"/>
        </w:rPr>
        <w:t>The impact of recalculations on net CO</w:t>
      </w:r>
      <w:r w:rsidRPr="009E06AA">
        <w:rPr>
          <w:spacing w:val="-2"/>
          <w:vertAlign w:val="subscript"/>
        </w:rPr>
        <w:t>2</w:t>
      </w:r>
      <w:r w:rsidRPr="009E06AA">
        <w:rPr>
          <w:spacing w:val="-2"/>
        </w:rPr>
        <w:t xml:space="preserve">-e emission estimates for the </w:t>
      </w:r>
      <w:r w:rsidRPr="009E06AA">
        <w:rPr>
          <w:i/>
          <w:spacing w:val="-2"/>
        </w:rPr>
        <w:t>Other land</w:t>
      </w:r>
      <w:r w:rsidRPr="009E06AA">
        <w:rPr>
          <w:spacing w:val="-2"/>
        </w:rPr>
        <w:t xml:space="preserve"> category is shown in table 6.9.3</w:t>
      </w:r>
      <w:r w:rsidRPr="009E06AA" w:rsidDel="00B01A6B">
        <w:rPr>
          <w:spacing w:val="-2"/>
        </w:rPr>
        <w:t>.</w:t>
      </w:r>
      <w:r w:rsidRPr="009E06AA">
        <w:rPr>
          <w:spacing w:val="-2"/>
        </w:rPr>
        <w:t xml:space="preserve"> Recalculations were carried out for this category as a result of mapping data, as described section 6.2 and annex A5.2.2. </w:t>
      </w:r>
      <w:r w:rsidRPr="009E06AA">
        <w:t xml:space="preserve">Recalculations in the </w:t>
      </w:r>
      <w:r w:rsidRPr="009E06AA">
        <w:rPr>
          <w:i/>
        </w:rPr>
        <w:t xml:space="preserve">Other land </w:t>
      </w:r>
      <w:r w:rsidRPr="009E06AA">
        <w:t xml:space="preserve">category are due to corrections incorporated into the 2020 land use map that improve mapping of </w:t>
      </w:r>
      <w:r w:rsidRPr="009E06AA">
        <w:rPr>
          <w:i/>
          <w:iCs/>
        </w:rPr>
        <w:t xml:space="preserve">Other land </w:t>
      </w:r>
      <w:r w:rsidRPr="009E06AA">
        <w:t xml:space="preserve">where it transitions unrealistically to a land use class with a high soil carbon value. Additionally, emissions associated with small mapping changes to the areas of deforestation that have been converted to </w:t>
      </w:r>
      <w:r w:rsidRPr="009E06AA">
        <w:rPr>
          <w:i/>
        </w:rPr>
        <w:t xml:space="preserve">Other land </w:t>
      </w:r>
      <w:r w:rsidRPr="009E06AA">
        <w:rPr>
          <w:iCs/>
        </w:rPr>
        <w:t>have increased the 2021 emission estimate.</w:t>
      </w:r>
      <w:r w:rsidRPr="009E06AA">
        <w:rPr>
          <w:iCs/>
          <w:spacing w:val="-2"/>
        </w:rPr>
        <w:t xml:space="preserve"> </w:t>
      </w:r>
    </w:p>
    <w:p w14:paraId="1FCB4FB9" w14:textId="77777777" w:rsidR="00053418" w:rsidRPr="009E06AA" w:rsidRDefault="00053418" w:rsidP="00053418">
      <w:pPr>
        <w:pStyle w:val="Table"/>
      </w:pPr>
      <w:bookmarkStart w:id="2616" w:name="_Toc342470796"/>
      <w:bookmarkStart w:id="2617" w:name="_Toc352505036"/>
      <w:bookmarkStart w:id="2618" w:name="_Toc378853325"/>
      <w:bookmarkStart w:id="2619" w:name="_Toc391024123"/>
      <w:bookmarkStart w:id="2620" w:name="_Toc410028865"/>
      <w:bookmarkStart w:id="2621" w:name="_Toc414531493"/>
      <w:bookmarkStart w:id="2622" w:name="_Toc443645406"/>
      <w:bookmarkStart w:id="2623" w:name="_Toc474914625"/>
      <w:bookmarkStart w:id="2624" w:name="_Toc481751589"/>
      <w:bookmarkStart w:id="2625" w:name="_Toc522010646"/>
      <w:bookmarkStart w:id="2626" w:name="_Toc5269551"/>
      <w:bookmarkStart w:id="2627" w:name="_Toc33529425"/>
      <w:bookmarkStart w:id="2628" w:name="_Toc36224631"/>
      <w:bookmarkStart w:id="2629" w:name="_Toc131591424"/>
      <w:bookmarkStart w:id="2630" w:name="_Toc158979982"/>
      <w:bookmarkStart w:id="2631" w:name="_Toc164153915"/>
      <w:r w:rsidRPr="009E06AA">
        <w:t>Table 6.9.3</w:t>
      </w:r>
      <w:r w:rsidRPr="009E06AA">
        <w:tab/>
        <w:t xml:space="preserve">Recalculations for New Zealand’s net emissions from the </w:t>
      </w:r>
      <w:r w:rsidRPr="009E06AA">
        <w:rPr>
          <w:i/>
        </w:rPr>
        <w:t>Other land</w:t>
      </w:r>
      <w:r w:rsidRPr="009E06AA">
        <w:t xml:space="preserve"> category in 1990 and </w:t>
      </w:r>
      <w:bookmarkEnd w:id="2616"/>
      <w:bookmarkEnd w:id="2617"/>
      <w:bookmarkEnd w:id="2618"/>
      <w:bookmarkEnd w:id="2619"/>
      <w:bookmarkEnd w:id="2620"/>
      <w:bookmarkEnd w:id="2621"/>
      <w:bookmarkEnd w:id="2622"/>
      <w:bookmarkEnd w:id="2623"/>
      <w:bookmarkEnd w:id="2624"/>
      <w:bookmarkEnd w:id="2625"/>
      <w:bookmarkEnd w:id="2626"/>
      <w:bookmarkEnd w:id="2627"/>
      <w:bookmarkEnd w:id="2628"/>
      <w:r w:rsidRPr="009E06AA">
        <w:t>2021</w:t>
      </w:r>
      <w:bookmarkEnd w:id="2629"/>
      <w:bookmarkEnd w:id="2630"/>
      <w:bookmarkEnd w:id="2631"/>
    </w:p>
    <w:tbl>
      <w:tblPr>
        <w:tblW w:w="8505" w:type="dxa"/>
        <w:tblBorders>
          <w:top w:val="single" w:sz="4" w:space="0" w:color="1B556B" w:themeColor="text2"/>
          <w:bottom w:val="single" w:sz="4" w:space="0" w:color="1B556B" w:themeColor="text2"/>
          <w:insideH w:val="single" w:sz="4" w:space="0" w:color="1B556B" w:themeColor="text2"/>
        </w:tblBorders>
        <w:tblLayout w:type="fixed"/>
        <w:tblLook w:val="0420" w:firstRow="1" w:lastRow="0" w:firstColumn="0" w:lastColumn="0" w:noHBand="0" w:noVBand="1"/>
      </w:tblPr>
      <w:tblGrid>
        <w:gridCol w:w="2269"/>
        <w:gridCol w:w="1559"/>
        <w:gridCol w:w="1559"/>
        <w:gridCol w:w="2268"/>
        <w:gridCol w:w="850"/>
      </w:tblGrid>
      <w:tr w:rsidR="00053418" w:rsidRPr="009E06AA" w14:paraId="4688CFB3" w14:textId="77777777" w:rsidTr="00B55F24">
        <w:trPr>
          <w:tblHeader/>
        </w:trPr>
        <w:tc>
          <w:tcPr>
            <w:tcW w:w="2268" w:type="dxa"/>
            <w:shd w:val="clear" w:color="auto" w:fill="1B556B"/>
            <w:tcMar>
              <w:top w:w="0" w:type="dxa"/>
              <w:left w:w="85" w:type="dxa"/>
              <w:bottom w:w="0" w:type="dxa"/>
              <w:right w:w="85" w:type="dxa"/>
            </w:tcMar>
            <w:vAlign w:val="center"/>
          </w:tcPr>
          <w:p w14:paraId="55BE4260" w14:textId="77777777" w:rsidR="00053418" w:rsidRPr="009E06AA" w:rsidRDefault="00053418" w:rsidP="00B55F24">
            <w:pPr>
              <w:pStyle w:val="TableText"/>
              <w:spacing w:before="50" w:after="50"/>
            </w:pPr>
          </w:p>
        </w:tc>
        <w:tc>
          <w:tcPr>
            <w:tcW w:w="1559" w:type="dxa"/>
            <w:shd w:val="clear" w:color="auto" w:fill="1B556B"/>
            <w:tcMar>
              <w:top w:w="0" w:type="dxa"/>
              <w:left w:w="85" w:type="dxa"/>
              <w:bottom w:w="0" w:type="dxa"/>
              <w:right w:w="85" w:type="dxa"/>
            </w:tcMar>
            <w:vAlign w:val="center"/>
          </w:tcPr>
          <w:p w14:paraId="7F05325D" w14:textId="77777777" w:rsidR="00053418" w:rsidRPr="009E06AA" w:rsidRDefault="00053418" w:rsidP="004241BC">
            <w:pPr>
              <w:pStyle w:val="TableText"/>
              <w:spacing w:before="50" w:after="50"/>
              <w:jc w:val="right"/>
            </w:pPr>
            <w:r w:rsidRPr="009E06AA">
              <w:rPr>
                <w:rFonts w:eastAsia="Calibri" w:cs="Calibri"/>
                <w:b/>
                <w:color w:val="FFFFFF"/>
                <w:szCs w:val="16"/>
              </w:rPr>
              <w:t>2023 submission</w:t>
            </w:r>
          </w:p>
        </w:tc>
        <w:tc>
          <w:tcPr>
            <w:tcW w:w="1559" w:type="dxa"/>
            <w:shd w:val="clear" w:color="auto" w:fill="1B556B"/>
            <w:tcMar>
              <w:top w:w="0" w:type="dxa"/>
              <w:left w:w="85" w:type="dxa"/>
              <w:bottom w:w="0" w:type="dxa"/>
              <w:right w:w="85" w:type="dxa"/>
            </w:tcMar>
            <w:vAlign w:val="center"/>
          </w:tcPr>
          <w:p w14:paraId="056A23A8" w14:textId="77777777" w:rsidR="00053418" w:rsidRPr="009E06AA" w:rsidRDefault="00053418" w:rsidP="004241BC">
            <w:pPr>
              <w:pStyle w:val="TableText"/>
              <w:spacing w:before="50" w:after="50"/>
              <w:jc w:val="right"/>
            </w:pPr>
            <w:r w:rsidRPr="009E06AA">
              <w:rPr>
                <w:rFonts w:eastAsia="Calibri" w:cs="Calibri"/>
                <w:b/>
                <w:color w:val="FFFFFF"/>
                <w:szCs w:val="16"/>
              </w:rPr>
              <w:t>2024 submission</w:t>
            </w:r>
          </w:p>
        </w:tc>
        <w:tc>
          <w:tcPr>
            <w:tcW w:w="2268" w:type="dxa"/>
            <w:shd w:val="clear" w:color="auto" w:fill="1B556B"/>
            <w:tcMar>
              <w:top w:w="0" w:type="dxa"/>
              <w:left w:w="85" w:type="dxa"/>
              <w:bottom w:w="0" w:type="dxa"/>
              <w:right w:w="85" w:type="dxa"/>
            </w:tcMar>
            <w:vAlign w:val="center"/>
          </w:tcPr>
          <w:p w14:paraId="53E69FE6" w14:textId="77777777" w:rsidR="00053418" w:rsidRPr="009E06AA" w:rsidRDefault="00053418" w:rsidP="004241BC">
            <w:pPr>
              <w:pStyle w:val="TableText"/>
              <w:spacing w:before="50" w:after="50"/>
              <w:jc w:val="right"/>
            </w:pPr>
            <w:r w:rsidRPr="009E06AA">
              <w:rPr>
                <w:rFonts w:eastAsia="Calibri" w:cs="Calibri"/>
                <w:b/>
                <w:color w:val="FFFFFF"/>
                <w:szCs w:val="16"/>
              </w:rPr>
              <w:t>Change from 2023 submission</w:t>
            </w:r>
          </w:p>
        </w:tc>
        <w:tc>
          <w:tcPr>
            <w:tcW w:w="850" w:type="dxa"/>
            <w:shd w:val="clear" w:color="auto" w:fill="1B556B"/>
            <w:tcMar>
              <w:top w:w="0" w:type="dxa"/>
              <w:left w:w="85" w:type="dxa"/>
              <w:bottom w:w="0" w:type="dxa"/>
              <w:right w:w="85" w:type="dxa"/>
            </w:tcMar>
            <w:vAlign w:val="center"/>
          </w:tcPr>
          <w:p w14:paraId="5191196A" w14:textId="77777777" w:rsidR="00053418" w:rsidRPr="009E06AA" w:rsidRDefault="00053418" w:rsidP="004241BC">
            <w:pPr>
              <w:pStyle w:val="TableText"/>
              <w:spacing w:before="50" w:after="50"/>
              <w:jc w:val="right"/>
            </w:pPr>
            <w:r w:rsidRPr="009E06AA">
              <w:rPr>
                <w:rFonts w:eastAsia="Calibri" w:cs="Calibri"/>
                <w:b/>
                <w:color w:val="FFFFFF"/>
                <w:szCs w:val="16"/>
              </w:rPr>
              <w:t>% change</w:t>
            </w:r>
          </w:p>
        </w:tc>
      </w:tr>
      <w:tr w:rsidR="00053418" w:rsidRPr="009E06AA" w14:paraId="54BC468A" w14:textId="77777777" w:rsidTr="00B55F24">
        <w:tc>
          <w:tcPr>
            <w:tcW w:w="2268" w:type="dxa"/>
            <w:shd w:val="clear" w:color="auto" w:fill="FFFFFF"/>
            <w:tcMar>
              <w:top w:w="0" w:type="dxa"/>
              <w:left w:w="85" w:type="dxa"/>
              <w:bottom w:w="0" w:type="dxa"/>
              <w:right w:w="85" w:type="dxa"/>
            </w:tcMar>
            <w:vAlign w:val="center"/>
          </w:tcPr>
          <w:p w14:paraId="0994D7DA" w14:textId="77777777" w:rsidR="00053418" w:rsidRPr="009E06AA" w:rsidRDefault="00053418" w:rsidP="00B55F24">
            <w:pPr>
              <w:pStyle w:val="TableText"/>
              <w:spacing w:before="50" w:after="50"/>
            </w:pPr>
            <w:r w:rsidRPr="009E06AA">
              <w:rPr>
                <w:rFonts w:eastAsia="Calibri" w:cs="Calibri"/>
                <w:b/>
                <w:color w:val="1B556B"/>
                <w:szCs w:val="16"/>
              </w:rPr>
              <w:t>Net emissions (kt CO</w:t>
            </w:r>
            <w:r w:rsidRPr="009E06AA">
              <w:rPr>
                <w:rFonts w:eastAsia="Calibri" w:cs="Calibri"/>
                <w:b/>
                <w:color w:val="1B556B"/>
                <w:szCs w:val="16"/>
                <w:vertAlign w:val="subscript"/>
              </w:rPr>
              <w:t>2</w:t>
            </w:r>
            <w:r w:rsidRPr="009E06AA">
              <w:rPr>
                <w:rFonts w:eastAsia="Calibri" w:cs="Calibri"/>
                <w:b/>
                <w:color w:val="1B556B"/>
                <w:szCs w:val="16"/>
              </w:rPr>
              <w:t>-e)</w:t>
            </w:r>
          </w:p>
        </w:tc>
        <w:tc>
          <w:tcPr>
            <w:tcW w:w="1559" w:type="dxa"/>
            <w:shd w:val="clear" w:color="auto" w:fill="FFFFFF"/>
            <w:tcMar>
              <w:top w:w="0" w:type="dxa"/>
              <w:left w:w="85" w:type="dxa"/>
              <w:bottom w:w="0" w:type="dxa"/>
              <w:right w:w="85" w:type="dxa"/>
            </w:tcMar>
            <w:vAlign w:val="center"/>
          </w:tcPr>
          <w:p w14:paraId="2E298729" w14:textId="77777777" w:rsidR="00053418" w:rsidRPr="009E06AA" w:rsidRDefault="00053418" w:rsidP="004241BC">
            <w:pPr>
              <w:pStyle w:val="TableText"/>
              <w:spacing w:before="50" w:after="50"/>
              <w:jc w:val="right"/>
            </w:pPr>
          </w:p>
        </w:tc>
        <w:tc>
          <w:tcPr>
            <w:tcW w:w="1559" w:type="dxa"/>
            <w:shd w:val="clear" w:color="auto" w:fill="FFFFFF"/>
            <w:tcMar>
              <w:top w:w="0" w:type="dxa"/>
              <w:left w:w="85" w:type="dxa"/>
              <w:bottom w:w="0" w:type="dxa"/>
              <w:right w:w="85" w:type="dxa"/>
            </w:tcMar>
            <w:vAlign w:val="center"/>
          </w:tcPr>
          <w:p w14:paraId="0A32F5E2" w14:textId="77777777" w:rsidR="00053418" w:rsidRPr="009E06AA" w:rsidRDefault="00053418" w:rsidP="004241BC">
            <w:pPr>
              <w:pStyle w:val="TableText"/>
              <w:spacing w:before="50" w:after="50"/>
              <w:jc w:val="right"/>
            </w:pPr>
          </w:p>
        </w:tc>
        <w:tc>
          <w:tcPr>
            <w:tcW w:w="2268" w:type="dxa"/>
            <w:shd w:val="clear" w:color="auto" w:fill="FFFFFF"/>
            <w:tcMar>
              <w:top w:w="0" w:type="dxa"/>
              <w:left w:w="85" w:type="dxa"/>
              <w:bottom w:w="0" w:type="dxa"/>
              <w:right w:w="85" w:type="dxa"/>
            </w:tcMar>
            <w:vAlign w:val="center"/>
          </w:tcPr>
          <w:p w14:paraId="600F853D" w14:textId="77777777" w:rsidR="00053418" w:rsidRPr="009E06AA" w:rsidRDefault="00053418" w:rsidP="004241BC">
            <w:pPr>
              <w:pStyle w:val="TableText"/>
              <w:spacing w:before="50" w:after="50"/>
              <w:jc w:val="right"/>
            </w:pPr>
          </w:p>
        </w:tc>
        <w:tc>
          <w:tcPr>
            <w:tcW w:w="850" w:type="dxa"/>
            <w:shd w:val="clear" w:color="auto" w:fill="FFFFFF"/>
            <w:tcMar>
              <w:top w:w="0" w:type="dxa"/>
              <w:left w:w="85" w:type="dxa"/>
              <w:bottom w:w="0" w:type="dxa"/>
              <w:right w:w="85" w:type="dxa"/>
            </w:tcMar>
            <w:vAlign w:val="center"/>
          </w:tcPr>
          <w:p w14:paraId="4E776075" w14:textId="77777777" w:rsidR="00053418" w:rsidRPr="009E06AA" w:rsidRDefault="00053418" w:rsidP="004241BC">
            <w:pPr>
              <w:pStyle w:val="TableText"/>
              <w:spacing w:before="50" w:after="50"/>
              <w:jc w:val="right"/>
            </w:pPr>
          </w:p>
        </w:tc>
      </w:tr>
      <w:tr w:rsidR="00053418" w:rsidRPr="009E06AA" w14:paraId="6C5F0B7D" w14:textId="77777777" w:rsidTr="00B55F24">
        <w:tc>
          <w:tcPr>
            <w:tcW w:w="2268" w:type="dxa"/>
            <w:shd w:val="clear" w:color="auto" w:fill="FFFFFF"/>
            <w:tcMar>
              <w:top w:w="0" w:type="dxa"/>
              <w:left w:w="85" w:type="dxa"/>
              <w:bottom w:w="0" w:type="dxa"/>
              <w:right w:w="85" w:type="dxa"/>
            </w:tcMar>
            <w:vAlign w:val="center"/>
          </w:tcPr>
          <w:p w14:paraId="55EAF466" w14:textId="77777777" w:rsidR="00053418" w:rsidRPr="009E06AA" w:rsidRDefault="00053418" w:rsidP="00B55F24">
            <w:pPr>
              <w:pStyle w:val="TableText"/>
              <w:spacing w:before="50" w:after="50"/>
            </w:pPr>
            <w:r w:rsidRPr="009E06AA">
              <w:rPr>
                <w:rFonts w:eastAsia="Calibri" w:cs="Calibri"/>
                <w:color w:val="000000"/>
                <w:szCs w:val="16"/>
              </w:rPr>
              <w:t>1990</w:t>
            </w:r>
          </w:p>
        </w:tc>
        <w:tc>
          <w:tcPr>
            <w:tcW w:w="1559" w:type="dxa"/>
            <w:shd w:val="clear" w:color="auto" w:fill="FFFFFF"/>
            <w:tcMar>
              <w:top w:w="0" w:type="dxa"/>
              <w:left w:w="85" w:type="dxa"/>
              <w:bottom w:w="0" w:type="dxa"/>
              <w:right w:w="85" w:type="dxa"/>
            </w:tcMar>
            <w:vAlign w:val="center"/>
          </w:tcPr>
          <w:p w14:paraId="31AEC5D9" w14:textId="77777777" w:rsidR="00053418" w:rsidRPr="009E06AA" w:rsidRDefault="00053418" w:rsidP="004241BC">
            <w:pPr>
              <w:pStyle w:val="TableText"/>
              <w:spacing w:before="50" w:after="50"/>
              <w:jc w:val="right"/>
            </w:pPr>
            <w:r w:rsidRPr="009E06AA">
              <w:rPr>
                <w:rFonts w:eastAsia="Calibri" w:cs="Calibri"/>
                <w:color w:val="000000"/>
                <w:szCs w:val="16"/>
              </w:rPr>
              <w:t>13.8</w:t>
            </w:r>
          </w:p>
        </w:tc>
        <w:tc>
          <w:tcPr>
            <w:tcW w:w="1559" w:type="dxa"/>
            <w:shd w:val="clear" w:color="auto" w:fill="FFFFFF"/>
            <w:tcMar>
              <w:top w:w="0" w:type="dxa"/>
              <w:left w:w="85" w:type="dxa"/>
              <w:bottom w:w="0" w:type="dxa"/>
              <w:right w:w="85" w:type="dxa"/>
            </w:tcMar>
            <w:vAlign w:val="center"/>
          </w:tcPr>
          <w:p w14:paraId="18E8D2AD" w14:textId="77777777" w:rsidR="00053418" w:rsidRPr="009E06AA" w:rsidRDefault="00053418" w:rsidP="004241BC">
            <w:pPr>
              <w:pStyle w:val="TableText"/>
              <w:spacing w:before="50" w:after="50"/>
              <w:jc w:val="right"/>
            </w:pPr>
            <w:r w:rsidRPr="009E06AA">
              <w:rPr>
                <w:rFonts w:eastAsia="Calibri" w:cs="Calibri"/>
                <w:color w:val="000000"/>
                <w:szCs w:val="16"/>
              </w:rPr>
              <w:t>14.8</w:t>
            </w:r>
          </w:p>
        </w:tc>
        <w:tc>
          <w:tcPr>
            <w:tcW w:w="2268" w:type="dxa"/>
            <w:shd w:val="clear" w:color="auto" w:fill="FFFFFF"/>
            <w:tcMar>
              <w:top w:w="0" w:type="dxa"/>
              <w:left w:w="85" w:type="dxa"/>
              <w:bottom w:w="0" w:type="dxa"/>
              <w:right w:w="85" w:type="dxa"/>
            </w:tcMar>
            <w:vAlign w:val="center"/>
          </w:tcPr>
          <w:p w14:paraId="36E6FD35" w14:textId="77777777" w:rsidR="00053418" w:rsidRPr="009E06AA" w:rsidRDefault="00053418" w:rsidP="004241BC">
            <w:pPr>
              <w:pStyle w:val="TableText"/>
              <w:spacing w:before="50" w:after="50"/>
              <w:jc w:val="right"/>
            </w:pPr>
            <w:r w:rsidRPr="009E06AA">
              <w:rPr>
                <w:rFonts w:eastAsia="Calibri" w:cs="Calibri"/>
                <w:color w:val="000000"/>
                <w:szCs w:val="16"/>
              </w:rPr>
              <w:t>1.0</w:t>
            </w:r>
          </w:p>
        </w:tc>
        <w:tc>
          <w:tcPr>
            <w:tcW w:w="850" w:type="dxa"/>
            <w:shd w:val="clear" w:color="auto" w:fill="FFFFFF"/>
            <w:tcMar>
              <w:top w:w="0" w:type="dxa"/>
              <w:left w:w="85" w:type="dxa"/>
              <w:bottom w:w="0" w:type="dxa"/>
              <w:right w:w="85" w:type="dxa"/>
            </w:tcMar>
            <w:vAlign w:val="center"/>
          </w:tcPr>
          <w:p w14:paraId="568CA33C" w14:textId="77777777" w:rsidR="00053418" w:rsidRPr="009E06AA" w:rsidRDefault="00053418" w:rsidP="004241BC">
            <w:pPr>
              <w:pStyle w:val="TableText"/>
              <w:spacing w:before="50" w:after="50"/>
              <w:jc w:val="right"/>
            </w:pPr>
            <w:r w:rsidRPr="009E06AA">
              <w:rPr>
                <w:rFonts w:eastAsia="Calibri" w:cs="Calibri"/>
                <w:color w:val="000000"/>
                <w:szCs w:val="16"/>
              </w:rPr>
              <w:t>7.3</w:t>
            </w:r>
          </w:p>
        </w:tc>
      </w:tr>
      <w:tr w:rsidR="00053418" w:rsidRPr="009E06AA" w14:paraId="4A475FAD" w14:textId="77777777" w:rsidTr="00B55F24">
        <w:tc>
          <w:tcPr>
            <w:tcW w:w="2268" w:type="dxa"/>
            <w:shd w:val="clear" w:color="auto" w:fill="FFFFFF"/>
            <w:tcMar>
              <w:top w:w="0" w:type="dxa"/>
              <w:left w:w="85" w:type="dxa"/>
              <w:bottom w:w="0" w:type="dxa"/>
              <w:right w:w="85" w:type="dxa"/>
            </w:tcMar>
            <w:vAlign w:val="center"/>
          </w:tcPr>
          <w:p w14:paraId="15489A52" w14:textId="77777777" w:rsidR="00053418" w:rsidRPr="009E06AA" w:rsidRDefault="00053418" w:rsidP="00B55F24">
            <w:pPr>
              <w:pStyle w:val="TableText"/>
              <w:spacing w:before="50" w:after="50"/>
            </w:pPr>
            <w:r w:rsidRPr="009E06AA">
              <w:rPr>
                <w:rFonts w:eastAsia="Calibri" w:cs="Calibri"/>
                <w:color w:val="000000"/>
                <w:szCs w:val="16"/>
              </w:rPr>
              <w:t>2021</w:t>
            </w:r>
          </w:p>
        </w:tc>
        <w:tc>
          <w:tcPr>
            <w:tcW w:w="1559" w:type="dxa"/>
            <w:shd w:val="clear" w:color="auto" w:fill="FFFFFF"/>
            <w:tcMar>
              <w:top w:w="0" w:type="dxa"/>
              <w:left w:w="85" w:type="dxa"/>
              <w:bottom w:w="0" w:type="dxa"/>
              <w:right w:w="85" w:type="dxa"/>
            </w:tcMar>
            <w:vAlign w:val="center"/>
          </w:tcPr>
          <w:p w14:paraId="1D550273" w14:textId="77777777" w:rsidR="00053418" w:rsidRPr="009E06AA" w:rsidRDefault="00053418" w:rsidP="004241BC">
            <w:pPr>
              <w:pStyle w:val="TableText"/>
              <w:spacing w:before="50" w:after="50"/>
              <w:jc w:val="right"/>
            </w:pPr>
            <w:r w:rsidRPr="009E06AA">
              <w:rPr>
                <w:rFonts w:eastAsia="Calibri" w:cs="Calibri"/>
                <w:color w:val="000000"/>
                <w:szCs w:val="16"/>
              </w:rPr>
              <w:t>85.2</w:t>
            </w:r>
          </w:p>
        </w:tc>
        <w:tc>
          <w:tcPr>
            <w:tcW w:w="1559" w:type="dxa"/>
            <w:shd w:val="clear" w:color="auto" w:fill="FFFFFF"/>
            <w:tcMar>
              <w:top w:w="0" w:type="dxa"/>
              <w:left w:w="85" w:type="dxa"/>
              <w:bottom w:w="0" w:type="dxa"/>
              <w:right w:w="85" w:type="dxa"/>
            </w:tcMar>
            <w:vAlign w:val="center"/>
          </w:tcPr>
          <w:p w14:paraId="614BB444" w14:textId="77777777" w:rsidR="00053418" w:rsidRPr="009E06AA" w:rsidRDefault="00053418" w:rsidP="004241BC">
            <w:pPr>
              <w:pStyle w:val="TableText"/>
              <w:spacing w:before="50" w:after="50"/>
              <w:jc w:val="right"/>
            </w:pPr>
            <w:r w:rsidRPr="009E06AA">
              <w:rPr>
                <w:rFonts w:eastAsia="Calibri" w:cs="Calibri"/>
                <w:color w:val="000000"/>
                <w:szCs w:val="16"/>
              </w:rPr>
              <w:t>101.3</w:t>
            </w:r>
          </w:p>
        </w:tc>
        <w:tc>
          <w:tcPr>
            <w:tcW w:w="2268" w:type="dxa"/>
            <w:shd w:val="clear" w:color="auto" w:fill="FFFFFF"/>
            <w:tcMar>
              <w:top w:w="0" w:type="dxa"/>
              <w:left w:w="85" w:type="dxa"/>
              <w:bottom w:w="0" w:type="dxa"/>
              <w:right w:w="85" w:type="dxa"/>
            </w:tcMar>
            <w:vAlign w:val="center"/>
          </w:tcPr>
          <w:p w14:paraId="304F8147" w14:textId="77777777" w:rsidR="00053418" w:rsidRPr="009E06AA" w:rsidRDefault="00053418" w:rsidP="004241BC">
            <w:pPr>
              <w:pStyle w:val="TableText"/>
              <w:spacing w:before="50" w:after="50"/>
              <w:jc w:val="right"/>
            </w:pPr>
            <w:r w:rsidRPr="009E06AA">
              <w:rPr>
                <w:rFonts w:eastAsia="Calibri" w:cs="Calibri"/>
                <w:color w:val="000000"/>
                <w:szCs w:val="16"/>
              </w:rPr>
              <w:t>16.1</w:t>
            </w:r>
          </w:p>
        </w:tc>
        <w:tc>
          <w:tcPr>
            <w:tcW w:w="850" w:type="dxa"/>
            <w:shd w:val="clear" w:color="auto" w:fill="FFFFFF"/>
            <w:tcMar>
              <w:top w:w="0" w:type="dxa"/>
              <w:left w:w="85" w:type="dxa"/>
              <w:bottom w:w="0" w:type="dxa"/>
              <w:right w:w="85" w:type="dxa"/>
            </w:tcMar>
            <w:vAlign w:val="center"/>
          </w:tcPr>
          <w:p w14:paraId="751F3BD5" w14:textId="77777777" w:rsidR="00053418" w:rsidRPr="009E06AA" w:rsidRDefault="00053418" w:rsidP="004241BC">
            <w:pPr>
              <w:pStyle w:val="TableText"/>
              <w:spacing w:before="50" w:after="50"/>
              <w:jc w:val="right"/>
            </w:pPr>
            <w:r w:rsidRPr="009E06AA">
              <w:rPr>
                <w:rFonts w:eastAsia="Calibri" w:cs="Calibri"/>
                <w:color w:val="000000"/>
                <w:szCs w:val="16"/>
              </w:rPr>
              <w:t>18.9</w:t>
            </w:r>
          </w:p>
        </w:tc>
      </w:tr>
      <w:tr w:rsidR="00053418" w:rsidRPr="009E06AA" w14:paraId="2BB63E35" w14:textId="77777777" w:rsidTr="00B55F24">
        <w:tc>
          <w:tcPr>
            <w:tcW w:w="2268" w:type="dxa"/>
            <w:shd w:val="clear" w:color="auto" w:fill="FFFFFF"/>
            <w:tcMar>
              <w:top w:w="0" w:type="dxa"/>
              <w:left w:w="85" w:type="dxa"/>
              <w:bottom w:w="0" w:type="dxa"/>
              <w:right w:w="85" w:type="dxa"/>
            </w:tcMar>
            <w:vAlign w:val="center"/>
          </w:tcPr>
          <w:p w14:paraId="2F2E4F15" w14:textId="77777777" w:rsidR="00053418" w:rsidRPr="009E06AA" w:rsidRDefault="00053418" w:rsidP="00B55F24">
            <w:pPr>
              <w:pStyle w:val="TableText"/>
              <w:spacing w:before="50" w:after="50"/>
            </w:pPr>
            <w:r w:rsidRPr="009E06AA">
              <w:rPr>
                <w:rFonts w:eastAsia="Calibri" w:cs="Calibri"/>
                <w:b/>
                <w:color w:val="1B556B"/>
                <w:szCs w:val="16"/>
              </w:rPr>
              <w:t>Area (hectares)</w:t>
            </w:r>
          </w:p>
        </w:tc>
        <w:tc>
          <w:tcPr>
            <w:tcW w:w="1559" w:type="dxa"/>
            <w:shd w:val="clear" w:color="auto" w:fill="FFFFFF"/>
            <w:tcMar>
              <w:top w:w="0" w:type="dxa"/>
              <w:left w:w="85" w:type="dxa"/>
              <w:bottom w:w="0" w:type="dxa"/>
              <w:right w:w="85" w:type="dxa"/>
            </w:tcMar>
            <w:vAlign w:val="center"/>
          </w:tcPr>
          <w:p w14:paraId="1E9CAD4D" w14:textId="77777777" w:rsidR="00053418" w:rsidRPr="009E06AA" w:rsidRDefault="00053418" w:rsidP="004241BC">
            <w:pPr>
              <w:pStyle w:val="TableText"/>
              <w:spacing w:before="50" w:after="50"/>
              <w:jc w:val="right"/>
            </w:pPr>
          </w:p>
        </w:tc>
        <w:tc>
          <w:tcPr>
            <w:tcW w:w="1559" w:type="dxa"/>
            <w:shd w:val="clear" w:color="auto" w:fill="FFFFFF"/>
            <w:tcMar>
              <w:top w:w="0" w:type="dxa"/>
              <w:left w:w="85" w:type="dxa"/>
              <w:bottom w:w="0" w:type="dxa"/>
              <w:right w:w="85" w:type="dxa"/>
            </w:tcMar>
            <w:vAlign w:val="center"/>
          </w:tcPr>
          <w:p w14:paraId="7BB12030" w14:textId="77777777" w:rsidR="00053418" w:rsidRPr="009E06AA" w:rsidRDefault="00053418" w:rsidP="004241BC">
            <w:pPr>
              <w:pStyle w:val="TableText"/>
              <w:spacing w:before="50" w:after="50"/>
              <w:jc w:val="right"/>
            </w:pPr>
          </w:p>
        </w:tc>
        <w:tc>
          <w:tcPr>
            <w:tcW w:w="2268" w:type="dxa"/>
            <w:shd w:val="clear" w:color="auto" w:fill="FFFFFF"/>
            <w:tcMar>
              <w:top w:w="0" w:type="dxa"/>
              <w:left w:w="85" w:type="dxa"/>
              <w:bottom w:w="0" w:type="dxa"/>
              <w:right w:w="85" w:type="dxa"/>
            </w:tcMar>
            <w:vAlign w:val="center"/>
          </w:tcPr>
          <w:p w14:paraId="552CBAA3" w14:textId="77777777" w:rsidR="00053418" w:rsidRPr="009E06AA" w:rsidRDefault="00053418" w:rsidP="004241BC">
            <w:pPr>
              <w:pStyle w:val="TableText"/>
              <w:spacing w:before="50" w:after="50"/>
              <w:jc w:val="right"/>
            </w:pPr>
          </w:p>
        </w:tc>
        <w:tc>
          <w:tcPr>
            <w:tcW w:w="850" w:type="dxa"/>
            <w:shd w:val="clear" w:color="auto" w:fill="FFFFFF"/>
            <w:tcMar>
              <w:top w:w="0" w:type="dxa"/>
              <w:left w:w="85" w:type="dxa"/>
              <w:bottom w:w="0" w:type="dxa"/>
              <w:right w:w="85" w:type="dxa"/>
            </w:tcMar>
            <w:vAlign w:val="center"/>
          </w:tcPr>
          <w:p w14:paraId="3000D9F4" w14:textId="77777777" w:rsidR="00053418" w:rsidRPr="009E06AA" w:rsidRDefault="00053418" w:rsidP="004241BC">
            <w:pPr>
              <w:pStyle w:val="TableText"/>
              <w:spacing w:before="50" w:after="50"/>
              <w:jc w:val="right"/>
            </w:pPr>
          </w:p>
        </w:tc>
      </w:tr>
      <w:tr w:rsidR="00053418" w:rsidRPr="009E06AA" w14:paraId="56BF285F" w14:textId="77777777" w:rsidTr="00B55F24">
        <w:tc>
          <w:tcPr>
            <w:tcW w:w="2268" w:type="dxa"/>
            <w:shd w:val="clear" w:color="auto" w:fill="FFFFFF"/>
            <w:tcMar>
              <w:top w:w="0" w:type="dxa"/>
              <w:left w:w="85" w:type="dxa"/>
              <w:bottom w:w="0" w:type="dxa"/>
              <w:right w:w="85" w:type="dxa"/>
            </w:tcMar>
            <w:vAlign w:val="center"/>
          </w:tcPr>
          <w:p w14:paraId="097D458F" w14:textId="77777777" w:rsidR="00053418" w:rsidRPr="009E06AA" w:rsidRDefault="00053418" w:rsidP="00B55F24">
            <w:pPr>
              <w:pStyle w:val="TableText"/>
              <w:spacing w:before="50" w:after="50"/>
            </w:pPr>
            <w:r w:rsidRPr="009E06AA">
              <w:rPr>
                <w:rFonts w:eastAsia="Calibri" w:cs="Calibri"/>
                <w:color w:val="000000"/>
                <w:szCs w:val="16"/>
              </w:rPr>
              <w:t>1990</w:t>
            </w:r>
          </w:p>
        </w:tc>
        <w:tc>
          <w:tcPr>
            <w:tcW w:w="1559" w:type="dxa"/>
            <w:shd w:val="clear" w:color="auto" w:fill="FFFFFF"/>
            <w:tcMar>
              <w:top w:w="0" w:type="dxa"/>
              <w:left w:w="85" w:type="dxa"/>
              <w:bottom w:w="0" w:type="dxa"/>
              <w:right w:w="85" w:type="dxa"/>
            </w:tcMar>
            <w:vAlign w:val="center"/>
          </w:tcPr>
          <w:p w14:paraId="25E22B4F" w14:textId="77777777" w:rsidR="00053418" w:rsidRPr="009E06AA" w:rsidRDefault="00053418" w:rsidP="004241BC">
            <w:pPr>
              <w:pStyle w:val="TableText"/>
              <w:spacing w:before="50" w:after="50"/>
              <w:jc w:val="right"/>
            </w:pPr>
            <w:r w:rsidRPr="009E06AA">
              <w:rPr>
                <w:rFonts w:eastAsia="Calibri" w:cs="Calibri"/>
                <w:color w:val="000000"/>
                <w:szCs w:val="16"/>
              </w:rPr>
              <w:t>895,238</w:t>
            </w:r>
          </w:p>
        </w:tc>
        <w:tc>
          <w:tcPr>
            <w:tcW w:w="1559" w:type="dxa"/>
            <w:shd w:val="clear" w:color="auto" w:fill="FFFFFF"/>
            <w:tcMar>
              <w:top w:w="0" w:type="dxa"/>
              <w:left w:w="85" w:type="dxa"/>
              <w:bottom w:w="0" w:type="dxa"/>
              <w:right w:w="85" w:type="dxa"/>
            </w:tcMar>
            <w:vAlign w:val="center"/>
          </w:tcPr>
          <w:p w14:paraId="70A43D8E" w14:textId="77777777" w:rsidR="00053418" w:rsidRPr="009E06AA" w:rsidRDefault="00053418" w:rsidP="004241BC">
            <w:pPr>
              <w:pStyle w:val="TableText"/>
              <w:spacing w:before="50" w:after="50"/>
              <w:jc w:val="right"/>
            </w:pPr>
            <w:r w:rsidRPr="009E06AA">
              <w:rPr>
                <w:rFonts w:eastAsia="Calibri" w:cs="Calibri"/>
                <w:color w:val="000000"/>
                <w:szCs w:val="16"/>
              </w:rPr>
              <w:t>895,835</w:t>
            </w:r>
          </w:p>
        </w:tc>
        <w:tc>
          <w:tcPr>
            <w:tcW w:w="2268" w:type="dxa"/>
            <w:shd w:val="clear" w:color="auto" w:fill="FFFFFF"/>
            <w:tcMar>
              <w:top w:w="0" w:type="dxa"/>
              <w:left w:w="85" w:type="dxa"/>
              <w:bottom w:w="0" w:type="dxa"/>
              <w:right w:w="85" w:type="dxa"/>
            </w:tcMar>
            <w:vAlign w:val="center"/>
          </w:tcPr>
          <w:p w14:paraId="67DA51D7" w14:textId="77777777" w:rsidR="00053418" w:rsidRPr="009E06AA" w:rsidRDefault="00053418" w:rsidP="004241BC">
            <w:pPr>
              <w:pStyle w:val="TableText"/>
              <w:spacing w:before="50" w:after="50"/>
              <w:jc w:val="right"/>
            </w:pPr>
            <w:r w:rsidRPr="009E06AA">
              <w:rPr>
                <w:rFonts w:eastAsia="Calibri" w:cs="Calibri"/>
                <w:color w:val="000000"/>
                <w:szCs w:val="16"/>
              </w:rPr>
              <w:t>597</w:t>
            </w:r>
          </w:p>
        </w:tc>
        <w:tc>
          <w:tcPr>
            <w:tcW w:w="850" w:type="dxa"/>
            <w:shd w:val="clear" w:color="auto" w:fill="FFFFFF"/>
            <w:tcMar>
              <w:top w:w="0" w:type="dxa"/>
              <w:left w:w="85" w:type="dxa"/>
              <w:bottom w:w="0" w:type="dxa"/>
              <w:right w:w="85" w:type="dxa"/>
            </w:tcMar>
            <w:vAlign w:val="center"/>
          </w:tcPr>
          <w:p w14:paraId="3D829C9E" w14:textId="77777777" w:rsidR="00053418" w:rsidRPr="009E06AA" w:rsidRDefault="00053418" w:rsidP="004241BC">
            <w:pPr>
              <w:pStyle w:val="TableText"/>
              <w:spacing w:before="50" w:after="50"/>
              <w:jc w:val="right"/>
            </w:pPr>
            <w:r w:rsidRPr="009E06AA">
              <w:rPr>
                <w:rFonts w:eastAsia="Calibri" w:cs="Calibri"/>
                <w:color w:val="000000"/>
                <w:szCs w:val="16"/>
              </w:rPr>
              <w:t>0.1</w:t>
            </w:r>
          </w:p>
        </w:tc>
      </w:tr>
      <w:tr w:rsidR="00053418" w:rsidRPr="009E06AA" w14:paraId="0210C2CF" w14:textId="77777777" w:rsidTr="00B55F24">
        <w:tc>
          <w:tcPr>
            <w:tcW w:w="2268" w:type="dxa"/>
            <w:shd w:val="clear" w:color="auto" w:fill="FFFFFF"/>
            <w:tcMar>
              <w:top w:w="0" w:type="dxa"/>
              <w:left w:w="85" w:type="dxa"/>
              <w:bottom w:w="0" w:type="dxa"/>
              <w:right w:w="85" w:type="dxa"/>
            </w:tcMar>
            <w:vAlign w:val="center"/>
          </w:tcPr>
          <w:p w14:paraId="7E7CAF95" w14:textId="77777777" w:rsidR="00053418" w:rsidRPr="009E06AA" w:rsidRDefault="00053418" w:rsidP="00B55F24">
            <w:pPr>
              <w:pStyle w:val="TableText"/>
              <w:spacing w:before="50" w:after="50"/>
            </w:pPr>
            <w:r w:rsidRPr="009E06AA">
              <w:rPr>
                <w:rFonts w:eastAsia="Calibri" w:cs="Calibri"/>
                <w:color w:val="000000"/>
                <w:szCs w:val="16"/>
              </w:rPr>
              <w:t>2021</w:t>
            </w:r>
          </w:p>
        </w:tc>
        <w:tc>
          <w:tcPr>
            <w:tcW w:w="1559" w:type="dxa"/>
            <w:shd w:val="clear" w:color="auto" w:fill="FFFFFF"/>
            <w:tcMar>
              <w:top w:w="0" w:type="dxa"/>
              <w:left w:w="85" w:type="dxa"/>
              <w:bottom w:w="0" w:type="dxa"/>
              <w:right w:w="85" w:type="dxa"/>
            </w:tcMar>
            <w:vAlign w:val="center"/>
          </w:tcPr>
          <w:p w14:paraId="1068D6A0" w14:textId="77777777" w:rsidR="00053418" w:rsidRPr="009E06AA" w:rsidRDefault="00053418" w:rsidP="004241BC">
            <w:pPr>
              <w:pStyle w:val="TableText"/>
              <w:spacing w:before="50" w:after="50"/>
              <w:jc w:val="right"/>
            </w:pPr>
            <w:r w:rsidRPr="009E06AA">
              <w:rPr>
                <w:rFonts w:eastAsia="Calibri" w:cs="Calibri"/>
                <w:color w:val="000000"/>
                <w:szCs w:val="16"/>
              </w:rPr>
              <w:t>896,683</w:t>
            </w:r>
          </w:p>
        </w:tc>
        <w:tc>
          <w:tcPr>
            <w:tcW w:w="1559" w:type="dxa"/>
            <w:shd w:val="clear" w:color="auto" w:fill="FFFFFF"/>
            <w:tcMar>
              <w:top w:w="0" w:type="dxa"/>
              <w:left w:w="85" w:type="dxa"/>
              <w:bottom w:w="0" w:type="dxa"/>
              <w:right w:w="85" w:type="dxa"/>
            </w:tcMar>
            <w:vAlign w:val="center"/>
          </w:tcPr>
          <w:p w14:paraId="20FE7665" w14:textId="77777777" w:rsidR="00053418" w:rsidRPr="009E06AA" w:rsidRDefault="00053418" w:rsidP="004241BC">
            <w:pPr>
              <w:pStyle w:val="TableText"/>
              <w:spacing w:before="50" w:after="50"/>
              <w:jc w:val="right"/>
            </w:pPr>
            <w:r w:rsidRPr="009E06AA">
              <w:rPr>
                <w:rFonts w:eastAsia="Calibri" w:cs="Calibri"/>
                <w:color w:val="000000"/>
                <w:szCs w:val="16"/>
              </w:rPr>
              <w:t>897,078</w:t>
            </w:r>
          </w:p>
        </w:tc>
        <w:tc>
          <w:tcPr>
            <w:tcW w:w="2268" w:type="dxa"/>
            <w:shd w:val="clear" w:color="auto" w:fill="FFFFFF"/>
            <w:tcMar>
              <w:top w:w="0" w:type="dxa"/>
              <w:left w:w="85" w:type="dxa"/>
              <w:bottom w:w="0" w:type="dxa"/>
              <w:right w:w="85" w:type="dxa"/>
            </w:tcMar>
            <w:vAlign w:val="center"/>
          </w:tcPr>
          <w:p w14:paraId="5D10B1FE" w14:textId="77777777" w:rsidR="00053418" w:rsidRPr="009E06AA" w:rsidRDefault="00053418" w:rsidP="004241BC">
            <w:pPr>
              <w:pStyle w:val="TableText"/>
              <w:spacing w:before="50" w:after="50"/>
              <w:jc w:val="right"/>
            </w:pPr>
            <w:r w:rsidRPr="009E06AA">
              <w:rPr>
                <w:rFonts w:eastAsia="Calibri" w:cs="Calibri"/>
                <w:color w:val="000000"/>
                <w:szCs w:val="16"/>
              </w:rPr>
              <w:t>395</w:t>
            </w:r>
          </w:p>
        </w:tc>
        <w:tc>
          <w:tcPr>
            <w:tcW w:w="850" w:type="dxa"/>
            <w:shd w:val="clear" w:color="auto" w:fill="FFFFFF"/>
            <w:tcMar>
              <w:top w:w="0" w:type="dxa"/>
              <w:left w:w="85" w:type="dxa"/>
              <w:bottom w:w="0" w:type="dxa"/>
              <w:right w:w="85" w:type="dxa"/>
            </w:tcMar>
            <w:vAlign w:val="center"/>
          </w:tcPr>
          <w:p w14:paraId="64894B0B" w14:textId="77777777" w:rsidR="00053418" w:rsidRPr="009E06AA" w:rsidRDefault="00053418" w:rsidP="004241BC">
            <w:pPr>
              <w:pStyle w:val="TableText"/>
              <w:spacing w:before="50" w:after="50"/>
              <w:jc w:val="right"/>
            </w:pPr>
            <w:r w:rsidRPr="009E06AA">
              <w:rPr>
                <w:rFonts w:eastAsia="Calibri" w:cs="Calibri"/>
                <w:color w:val="000000"/>
                <w:szCs w:val="16"/>
              </w:rPr>
              <w:t>0.0</w:t>
            </w:r>
          </w:p>
        </w:tc>
      </w:tr>
    </w:tbl>
    <w:p w14:paraId="580E428F" w14:textId="77777777" w:rsidR="00053418" w:rsidRPr="009E06AA" w:rsidRDefault="00053418" w:rsidP="00053418">
      <w:pPr>
        <w:pStyle w:val="Heading3"/>
      </w:pPr>
      <w:r w:rsidRPr="009E06AA">
        <w:t>6.9.6</w:t>
      </w:r>
      <w:r w:rsidRPr="009E06AA">
        <w:tab/>
        <w:t>Category-specific planned improvements</w:t>
      </w:r>
    </w:p>
    <w:p w14:paraId="361C4D1B" w14:textId="77777777" w:rsidR="00053418" w:rsidRPr="009E06AA" w:rsidRDefault="00053418" w:rsidP="00053418">
      <w:pPr>
        <w:pStyle w:val="BodyText"/>
        <w:spacing w:before="100" w:after="100"/>
      </w:pPr>
      <w:r w:rsidRPr="009E06AA">
        <w:t xml:space="preserve">The reference SOC value, based on only three estimates, is high compared with the 2006 IPCC Guidelines (IPCC, 2006a) default value and has a relatively high uncertainty. Further soil sampling in land classified as </w:t>
      </w:r>
      <w:r w:rsidRPr="009E06AA">
        <w:rPr>
          <w:i/>
        </w:rPr>
        <w:t>Other land</w:t>
      </w:r>
      <w:r w:rsidRPr="009E06AA">
        <w:t xml:space="preserve"> is required to improve soil carbon estimates in this land use category. </w:t>
      </w:r>
    </w:p>
    <w:p w14:paraId="76C6D787" w14:textId="77777777" w:rsidR="00053418" w:rsidRPr="009E06AA" w:rsidRDefault="00053418" w:rsidP="00053418">
      <w:pPr>
        <w:pStyle w:val="Heading2"/>
      </w:pPr>
      <w:bookmarkStart w:id="2632" w:name="_Toc131591256"/>
      <w:bookmarkStart w:id="2633" w:name="_Toc158980303"/>
      <w:bookmarkStart w:id="2634" w:name="_Toc164154211"/>
      <w:r w:rsidRPr="009E06AA">
        <w:t>6.10</w:t>
      </w:r>
      <w:r w:rsidRPr="009E06AA">
        <w:tab/>
        <w:t>Harvested wood products (4G)</w:t>
      </w:r>
      <w:bookmarkEnd w:id="2632"/>
      <w:bookmarkEnd w:id="2633"/>
      <w:bookmarkEnd w:id="2634"/>
    </w:p>
    <w:p w14:paraId="45474443" w14:textId="77777777" w:rsidR="00053418" w:rsidRPr="009E06AA" w:rsidRDefault="00053418" w:rsidP="00053418">
      <w:pPr>
        <w:pStyle w:val="Heading3"/>
        <w:spacing w:before="240"/>
      </w:pPr>
      <w:r w:rsidRPr="009E06AA">
        <w:t>6.10.1</w:t>
      </w:r>
      <w:r w:rsidRPr="009E06AA">
        <w:tab/>
        <w:t>Description</w:t>
      </w:r>
    </w:p>
    <w:p w14:paraId="5A129FAC" w14:textId="77777777" w:rsidR="00053418" w:rsidRPr="009E06AA" w:rsidRDefault="00053418" w:rsidP="00053418">
      <w:pPr>
        <w:pStyle w:val="BodyText"/>
        <w:spacing w:before="100" w:after="100"/>
      </w:pPr>
      <w:r w:rsidRPr="009E06AA">
        <w:t xml:space="preserve">In 2022, the net emissions from </w:t>
      </w:r>
      <w:r w:rsidRPr="009E06AA">
        <w:rPr>
          <w:i/>
        </w:rPr>
        <w:t xml:space="preserve">Harvested wood products </w:t>
      </w:r>
      <w:r w:rsidRPr="009E06AA">
        <w:t>were -6,582.3 kt CO</w:t>
      </w:r>
      <w:r w:rsidRPr="009E06AA">
        <w:rPr>
          <w:vertAlign w:val="subscript"/>
        </w:rPr>
        <w:t>2</w:t>
      </w:r>
      <w:r w:rsidRPr="009E06AA">
        <w:t xml:space="preserve">-e. This is </w:t>
      </w:r>
      <w:r w:rsidRPr="009E06AA">
        <w:br/>
        <w:t>4,144.5</w:t>
      </w:r>
      <w:r w:rsidRPr="009E06AA">
        <w:rPr>
          <w:spacing w:val="-2"/>
        </w:rPr>
        <w:t xml:space="preserve"> kt CO</w:t>
      </w:r>
      <w:r w:rsidRPr="009E06AA">
        <w:rPr>
          <w:spacing w:val="-2"/>
          <w:vertAlign w:val="subscript"/>
        </w:rPr>
        <w:t>2</w:t>
      </w:r>
      <w:r w:rsidRPr="009E06AA">
        <w:rPr>
          <w:spacing w:val="-2"/>
        </w:rPr>
        <w:noBreakHyphen/>
        <w:t>e (</w:t>
      </w:r>
      <w:r w:rsidRPr="009E06AA">
        <w:t>170</w:t>
      </w:r>
      <w:r w:rsidRPr="009E06AA">
        <w:rPr>
          <w:spacing w:val="-2"/>
        </w:rPr>
        <w:t>.</w:t>
      </w:r>
      <w:r w:rsidRPr="009E06AA">
        <w:t>0</w:t>
      </w:r>
      <w:r w:rsidRPr="009E06AA">
        <w:rPr>
          <w:spacing w:val="-2"/>
        </w:rPr>
        <w:t xml:space="preserve"> per cent) lower than the 1990 level of </w:t>
      </w:r>
      <w:r w:rsidRPr="009E06AA">
        <w:t xml:space="preserve">-2,437.8 </w:t>
      </w:r>
      <w:r w:rsidRPr="009E06AA">
        <w:rPr>
          <w:spacing w:val="-2"/>
        </w:rPr>
        <w:t>kt CO</w:t>
      </w:r>
      <w:r w:rsidRPr="009E06AA">
        <w:rPr>
          <w:spacing w:val="-2"/>
          <w:vertAlign w:val="subscript"/>
        </w:rPr>
        <w:t>2</w:t>
      </w:r>
      <w:r w:rsidRPr="009E06AA">
        <w:rPr>
          <w:spacing w:val="-2"/>
        </w:rPr>
        <w:noBreakHyphen/>
        <w:t>e. The decrease</w:t>
      </w:r>
      <w:r w:rsidRPr="009E06AA">
        <w:t xml:space="preserve"> in emissions in the </w:t>
      </w:r>
      <w:r w:rsidRPr="009E06AA">
        <w:rPr>
          <w:i/>
        </w:rPr>
        <w:t xml:space="preserve">Harvested wood products </w:t>
      </w:r>
      <w:r w:rsidRPr="009E06AA">
        <w:t>category</w:t>
      </w:r>
      <w:r w:rsidRPr="009E06AA">
        <w:rPr>
          <w:i/>
        </w:rPr>
        <w:t xml:space="preserve"> </w:t>
      </w:r>
      <w:r w:rsidRPr="009E06AA">
        <w:t>is driven by the increase in harvesting and production of roundwood that has occurred since 1990, as shown in figure 6.10.1.</w:t>
      </w:r>
    </w:p>
    <w:p w14:paraId="17846174" w14:textId="77777777" w:rsidR="00053418" w:rsidRPr="009E06AA" w:rsidRDefault="00053418" w:rsidP="00053418">
      <w:pPr>
        <w:pStyle w:val="BodyText"/>
        <w:spacing w:before="100" w:after="100"/>
      </w:pPr>
      <w:r w:rsidRPr="009E06AA">
        <w:t xml:space="preserve">Net emissions in the </w:t>
      </w:r>
      <w:r w:rsidRPr="009E06AA">
        <w:rPr>
          <w:i/>
        </w:rPr>
        <w:t xml:space="preserve">Harvested wood products </w:t>
      </w:r>
      <w:r w:rsidRPr="009E06AA">
        <w:t xml:space="preserve">category are driven by the harvesting of planted forests to produce roundwood, resulting in changes to the carbon stock of this pool. The </w:t>
      </w:r>
      <w:r w:rsidRPr="009E06AA">
        <w:rPr>
          <w:i/>
        </w:rPr>
        <w:t xml:space="preserve">Harvested wood products </w:t>
      </w:r>
      <w:r w:rsidRPr="009E06AA">
        <w:t xml:space="preserve">pool gains carbon as new </w:t>
      </w:r>
      <w:r w:rsidRPr="009E06AA">
        <w:rPr>
          <w:i/>
        </w:rPr>
        <w:t>Harvested wood products</w:t>
      </w:r>
      <w:r w:rsidRPr="009E06AA">
        <w:t xml:space="preserve"> are created. Losses from the </w:t>
      </w:r>
      <w:r w:rsidRPr="009E06AA">
        <w:rPr>
          <w:i/>
        </w:rPr>
        <w:t>Harvested wood products</w:t>
      </w:r>
      <w:r w:rsidRPr="009E06AA">
        <w:t xml:space="preserve"> pool occur due to products being discarded. To account for these losses through time, a decay profile, or half-life, is applied for each product type. </w:t>
      </w:r>
    </w:p>
    <w:p w14:paraId="4C9B5C0F" w14:textId="77777777" w:rsidR="00053418" w:rsidRPr="009E06AA" w:rsidRDefault="00053418" w:rsidP="00053418">
      <w:pPr>
        <w:pStyle w:val="BodyText"/>
        <w:spacing w:before="100" w:after="100"/>
        <w:rPr>
          <w:spacing w:val="-2"/>
        </w:rPr>
      </w:pPr>
      <w:r w:rsidRPr="009E06AA">
        <w:t xml:space="preserve">Between 2021 and 2022 net emissions in the </w:t>
      </w:r>
      <w:r w:rsidRPr="009E06AA">
        <w:rPr>
          <w:i/>
        </w:rPr>
        <w:t>Harvested wood products </w:t>
      </w:r>
      <w:r w:rsidRPr="009E06AA">
        <w:t>category increased by 2,223.7</w:t>
      </w:r>
      <w:r w:rsidRPr="009E06AA">
        <w:rPr>
          <w:spacing w:val="-2"/>
        </w:rPr>
        <w:t> kt CO</w:t>
      </w:r>
      <w:r w:rsidRPr="009E06AA">
        <w:rPr>
          <w:spacing w:val="-2"/>
          <w:vertAlign w:val="subscript"/>
        </w:rPr>
        <w:t>2</w:t>
      </w:r>
      <w:r w:rsidRPr="009E06AA">
        <w:rPr>
          <w:spacing w:val="-2"/>
        </w:rPr>
        <w:t>-e. The reason for this change was a decrease in harvesting compared with 2021.</w:t>
      </w:r>
    </w:p>
    <w:p w14:paraId="7F2778C6" w14:textId="1BD3B0D6" w:rsidR="00053418" w:rsidRPr="009E06AA" w:rsidRDefault="00053418" w:rsidP="00053418">
      <w:pPr>
        <w:pStyle w:val="Figure"/>
        <w:spacing w:before="100" w:after="0"/>
      </w:pPr>
      <w:bookmarkStart w:id="2635" w:name="_Toc405448097"/>
      <w:bookmarkStart w:id="2636" w:name="_Toc414531629"/>
      <w:bookmarkStart w:id="2637" w:name="_Toc474914653"/>
      <w:bookmarkStart w:id="2638" w:name="_Toc481752035"/>
      <w:bookmarkStart w:id="2639" w:name="_Toc522010713"/>
      <w:bookmarkStart w:id="2640" w:name="_Toc33529488"/>
      <w:bookmarkStart w:id="2641" w:name="_Toc36292818"/>
      <w:bookmarkStart w:id="2642" w:name="_Toc131591576"/>
      <w:bookmarkStart w:id="2643" w:name="_Toc158979916"/>
      <w:bookmarkStart w:id="2644" w:name="_Toc164154044"/>
      <w:bookmarkStart w:id="2645" w:name="_Toc5269715"/>
      <w:r w:rsidRPr="009E06AA">
        <w:t>Figure 6.10.1</w:t>
      </w:r>
      <w:r w:rsidRPr="009E06AA">
        <w:tab/>
        <w:t>Volume of roundwood produced and exported</w:t>
      </w:r>
      <w:r w:rsidR="002D45F2" w:rsidRPr="009E06AA">
        <w:t>,</w:t>
      </w:r>
      <w:r w:rsidRPr="009E06AA">
        <w:t xml:space="preserve"> from 1990 to 2022</w:t>
      </w:r>
      <w:bookmarkEnd w:id="2635"/>
      <w:bookmarkEnd w:id="2636"/>
      <w:bookmarkEnd w:id="2637"/>
      <w:bookmarkEnd w:id="2638"/>
      <w:bookmarkEnd w:id="2639"/>
      <w:bookmarkEnd w:id="2640"/>
      <w:bookmarkEnd w:id="2641"/>
      <w:bookmarkEnd w:id="2642"/>
      <w:bookmarkEnd w:id="2643"/>
      <w:bookmarkEnd w:id="2644"/>
    </w:p>
    <w:bookmarkEnd w:id="2645"/>
    <w:p w14:paraId="28512F27" w14:textId="77777777" w:rsidR="00053418" w:rsidRPr="009E06AA" w:rsidRDefault="00053418" w:rsidP="00053418">
      <w:pPr>
        <w:pStyle w:val="BodyText"/>
        <w:spacing w:before="0" w:after="0"/>
      </w:pPr>
      <w:r w:rsidRPr="009E06AA">
        <w:rPr>
          <w:noProof/>
        </w:rPr>
        <w:drawing>
          <wp:inline distT="0" distB="0" distL="0" distR="0" wp14:anchorId="448737D5" wp14:editId="1275C89D">
            <wp:extent cx="5400040" cy="3510915"/>
            <wp:effectExtent l="0" t="0" r="0" b="0"/>
            <wp:docPr id="970395751" name="Chart 1">
              <a:extLst xmlns:a="http://schemas.openxmlformats.org/drawingml/2006/main">
                <a:ext uri="{FF2B5EF4-FFF2-40B4-BE49-F238E27FC236}">
                  <a16:creationId xmlns:a16="http://schemas.microsoft.com/office/drawing/2014/main" id="{00000000-0008-0000-0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14:paraId="4D8AC24F" w14:textId="77777777" w:rsidR="00053418" w:rsidRPr="009E06AA" w:rsidRDefault="00053418" w:rsidP="00053418">
      <w:pPr>
        <w:pStyle w:val="BodyText"/>
      </w:pPr>
      <w:r w:rsidRPr="009E06AA">
        <w:t>New Zealand has a large planted forest estate that provides the majority of wood products consumed domestically and exported in either product or raw material form. New Zealand currently processes around 40 per cent of its annual harvest (Ministry for Primary Industries, 2023b). The remaining harvest is exported in raw material form. New Zealand is currently the largest exporter of industrial roundwood followed by the Russian Federation and Czechia (Food and Agriculture Organization, 2019). New Zealand’s planted forests are dominated by radiata pine (</w:t>
      </w:r>
      <w:r w:rsidRPr="009E06AA">
        <w:rPr>
          <w:i/>
        </w:rPr>
        <w:t>Pinus radiata</w:t>
      </w:r>
      <w:r w:rsidRPr="009E06AA">
        <w:t xml:space="preserve">), which is used in a wide range of applications including timber-frame construction, packaging, furniture, joinery and interior fittings, decking, general external outdoor products, concrete formwork, printing and writing paper, corrugated materials, tissue products, newsprint, kitchen and bathroom cabinets, flooring, posts and poles (Ministry for Primary Industries, 2022a; Wekesa, 2022). </w:t>
      </w:r>
    </w:p>
    <w:p w14:paraId="5F4D340D" w14:textId="77777777" w:rsidR="00053418" w:rsidRPr="009E06AA" w:rsidRDefault="00053418" w:rsidP="00053418">
      <w:pPr>
        <w:pStyle w:val="BodyText"/>
        <w:spacing w:before="100" w:after="100"/>
      </w:pPr>
      <w:r w:rsidRPr="009E06AA">
        <w:t xml:space="preserve">In 2022, </w:t>
      </w:r>
      <w:r w:rsidRPr="009E06AA">
        <w:rPr>
          <w:i/>
        </w:rPr>
        <w:t>Harvested wood products</w:t>
      </w:r>
      <w:r w:rsidRPr="009E06AA">
        <w:t xml:space="preserve"> was a key category (level and trend assessment).</w:t>
      </w:r>
    </w:p>
    <w:p w14:paraId="2FD2D162" w14:textId="77777777" w:rsidR="00053418" w:rsidRPr="009E06AA" w:rsidRDefault="00053418" w:rsidP="00DA0812">
      <w:pPr>
        <w:pStyle w:val="Heading3"/>
        <w:tabs>
          <w:tab w:val="clear" w:pos="851"/>
          <w:tab w:val="left" w:pos="993"/>
        </w:tabs>
        <w:spacing w:before="320"/>
      </w:pPr>
      <w:r w:rsidRPr="009E06AA">
        <w:t>6.10.2</w:t>
      </w:r>
      <w:r w:rsidRPr="009E06AA">
        <w:tab/>
        <w:t>Methodological issues</w:t>
      </w:r>
    </w:p>
    <w:p w14:paraId="45B75D57" w14:textId="77777777" w:rsidR="00053418" w:rsidRPr="009E06AA" w:rsidRDefault="00053418" w:rsidP="00053418">
      <w:pPr>
        <w:pStyle w:val="BodyText"/>
      </w:pPr>
      <w:r w:rsidRPr="009E06AA">
        <w:t xml:space="preserve">New Zealand has selected the production approach to report </w:t>
      </w:r>
      <w:r w:rsidRPr="009E06AA">
        <w:rPr>
          <w:i/>
        </w:rPr>
        <w:t>Harvested wood products</w:t>
      </w:r>
      <w:r w:rsidRPr="009E06AA">
        <w:t xml:space="preserve"> in the NIR. To do this, New Zealand has adapted the default </w:t>
      </w:r>
      <w:r w:rsidRPr="009E06AA">
        <w:rPr>
          <w:i/>
        </w:rPr>
        <w:t>Harvested wood products</w:t>
      </w:r>
      <w:r w:rsidRPr="009E06AA">
        <w:t xml:space="preserve"> model and uses a Tier 2 method (section 12.2.1.2, IPCC, 2006a), which involves using country-specific activity data and parameters (Wakelin et al., 2020). </w:t>
      </w:r>
    </w:p>
    <w:p w14:paraId="2684AA0C" w14:textId="77777777" w:rsidR="00053418" w:rsidRPr="009E06AA" w:rsidRDefault="00053418" w:rsidP="006E1C16">
      <w:pPr>
        <w:pStyle w:val="Heading4"/>
      </w:pPr>
      <w:r w:rsidRPr="009E06AA">
        <w:t>Activity data</w:t>
      </w:r>
    </w:p>
    <w:p w14:paraId="4A7C6739" w14:textId="77777777" w:rsidR="00053418" w:rsidRPr="009E06AA" w:rsidRDefault="00053418" w:rsidP="00053418">
      <w:pPr>
        <w:pStyle w:val="BodyText"/>
      </w:pPr>
      <w:r w:rsidRPr="009E06AA">
        <w:rPr>
          <w:spacing w:val="-2"/>
        </w:rPr>
        <w:t xml:space="preserve">Activity data on roundwood production volume, </w:t>
      </w:r>
      <w:r w:rsidRPr="009E06AA">
        <w:t>roundwood</w:t>
      </w:r>
      <w:r w:rsidRPr="009E06AA">
        <w:rPr>
          <w:spacing w:val="-2"/>
        </w:rPr>
        <w:t xml:space="preserve"> export volume and the production</w:t>
      </w:r>
      <w:r w:rsidRPr="009E06AA">
        <w:t xml:space="preserve"> of New Zealand processed wood products are sourced from MPI (</w:t>
      </w:r>
      <w:r w:rsidRPr="009E06AA" w:rsidDel="009855F5">
        <w:t>Ministry for Primary Industries</w:t>
      </w:r>
      <w:r w:rsidRPr="009E06AA">
        <w:t>, 2022a, 2022b, 2023a, 2023b). Additional data on New Zealand wood product production and export that are not available from the published MPI statistics</w:t>
      </w:r>
      <w:r w:rsidRPr="009E06AA" w:rsidDel="006D3A2A">
        <w:t xml:space="preserve"> </w:t>
      </w:r>
      <w:r w:rsidRPr="009E06AA">
        <w:t xml:space="preserve">are sourced from the Food and Agriculture Organization statistical database (the FAOSTAT database), which contains data that MPI provides to the Food and Agriculture Organization. The FAOSTAT database provides more granular breakdowns of semi-finished wood products produced in New Zealand, to which specific carbon fractions can then be applied. </w:t>
      </w:r>
    </w:p>
    <w:p w14:paraId="2190DFE2" w14:textId="77777777" w:rsidR="00053418" w:rsidRPr="009E06AA" w:rsidRDefault="00053418" w:rsidP="00053418">
      <w:pPr>
        <w:pStyle w:val="BodyText"/>
      </w:pPr>
      <w:r w:rsidRPr="009E06AA">
        <w:t xml:space="preserve">Activity data for the period 1900 to 1960 are populated using the IPCC model method, which assumes that consumption is correlated with population growth. New Zealand used the default value for Oceania for the annual rate of increase for the period 1900 to 1960. This information is used to initialise </w:t>
      </w:r>
      <w:r w:rsidRPr="009E06AA">
        <w:rPr>
          <w:i/>
        </w:rPr>
        <w:t>Harvested wood products</w:t>
      </w:r>
      <w:r w:rsidRPr="009E06AA">
        <w:t xml:space="preserve"> stocks at 1 January 1990. </w:t>
      </w:r>
    </w:p>
    <w:p w14:paraId="4DE9A356" w14:textId="37F5FA2B" w:rsidR="00053418" w:rsidRPr="009E06AA" w:rsidRDefault="00053418" w:rsidP="00053418">
      <w:pPr>
        <w:pStyle w:val="BodyText"/>
        <w:spacing w:before="100" w:after="100"/>
      </w:pPr>
      <w:r w:rsidRPr="009E06AA">
        <w:t xml:space="preserve">A large proportion (approximately 60 per cent) of New Zealand’s harvest was exported as raw materials in the form of logs or wood chips in 2022, as shown in figure 6.10.1 (Ministry for Primary Industries, 2023b). Note that the exported volume of </w:t>
      </w:r>
      <w:r w:rsidRPr="009E06AA">
        <w:rPr>
          <w:i/>
        </w:rPr>
        <w:t>Harvested wood products</w:t>
      </w:r>
      <w:r w:rsidRPr="009E06AA">
        <w:t xml:space="preserve"> described in CRT 4.Gs2 does not sum to 60 per cent of all exported products. This is because this table includes only products produced in New Zealand and does not include the volume of raw logs exported that are then processed offshore. </w:t>
      </w:r>
    </w:p>
    <w:p w14:paraId="172C09F7" w14:textId="77777777" w:rsidR="00053418" w:rsidRPr="009E06AA" w:rsidRDefault="00053418" w:rsidP="00053418">
      <w:pPr>
        <w:pStyle w:val="BodyText"/>
        <w:spacing w:before="100" w:after="100"/>
      </w:pPr>
      <w:r w:rsidRPr="009E06AA">
        <w:t>MPI provides data on the export quantity of raw materials but provides no information on the conversion of these materials to products or their expected half-lives. Research was completed in 2016 to provide information on</w:t>
      </w:r>
      <w:r w:rsidRPr="009E06AA">
        <w:rPr>
          <w:i/>
        </w:rPr>
        <w:t xml:space="preserve"> Harvested wood products</w:t>
      </w:r>
      <w:r w:rsidRPr="009E06AA">
        <w:t xml:space="preserve"> from exported logs in New Zealand’s three main export markets (China, South Korea and India). This research provides activity data for the conversion of New Zealand-produced raw materials to harvested wood products in export markets (Ministry for Primary Industries, 2016). </w:t>
      </w:r>
    </w:p>
    <w:p w14:paraId="0F86F58A" w14:textId="77777777" w:rsidR="00053418" w:rsidRPr="009E06AA" w:rsidRDefault="00053418" w:rsidP="00053418">
      <w:pPr>
        <w:pStyle w:val="BodyText"/>
        <w:spacing w:before="100" w:after="100"/>
      </w:pPr>
      <w:r w:rsidRPr="009E06AA">
        <w:t>Further research was commissioned in 2017 to update the model assumptions that are used for calculating harvested wood product volume and associated emissions to include the activity data and half-lives of the 2016 report (Wakelin and Kimberley, unpublished). Note that the model also includes export variables to Japan, which was historically a large export market but has reduced and is projected to continue to reduce over time. It also includes</w:t>
      </w:r>
      <w:r w:rsidRPr="009E06AA" w:rsidDel="001122AF">
        <w:t xml:space="preserve"> </w:t>
      </w:r>
      <w:r w:rsidRPr="009E06AA">
        <w:t xml:space="preserve">‘Other countries’, which account for a small volume of exports that are sold to other markets. Details of product volume and half-lives for these export markets can be found in annex A5.2.6. </w:t>
      </w:r>
    </w:p>
    <w:p w14:paraId="47867A70" w14:textId="77777777" w:rsidR="00053418" w:rsidRPr="009E06AA" w:rsidRDefault="00053418" w:rsidP="00053418">
      <w:pPr>
        <w:pStyle w:val="BodyText"/>
      </w:pPr>
      <w:r w:rsidRPr="009E06AA">
        <w:t xml:space="preserve">Activity data for exported log volumes and </w:t>
      </w:r>
      <w:r w:rsidRPr="009E06AA">
        <w:rPr>
          <w:i/>
          <w:iCs/>
        </w:rPr>
        <w:t>Harvested wood products</w:t>
      </w:r>
      <w:r w:rsidRPr="009E06AA">
        <w:t xml:space="preserve"> to individual countries are periodically published by MPI </w:t>
      </w:r>
      <w:bookmarkStart w:id="2646" w:name="_Hlk89344724"/>
      <w:r w:rsidRPr="009E06AA">
        <w:t xml:space="preserve">(Ministry for Primary Industries, 2022b, </w:t>
      </w:r>
      <w:bookmarkEnd w:id="2646"/>
      <w:r w:rsidRPr="009E06AA">
        <w:t xml:space="preserve">2023b). The proportion of exported roundwood to product type in these export markets is obtained by applying the ratios of product type produced (sawnwood, wood panels, or paper) as identified in the 2016 report (Ministry for Primary Industries, 2016) to the volume of timber exported to each of the export markets. </w:t>
      </w:r>
    </w:p>
    <w:p w14:paraId="0D13E339" w14:textId="77777777" w:rsidR="00053418" w:rsidRPr="009E06AA" w:rsidRDefault="00053418" w:rsidP="00AF7D42">
      <w:pPr>
        <w:pStyle w:val="Heading4"/>
      </w:pPr>
      <w:r w:rsidRPr="009E06AA">
        <w:t>Emission factors</w:t>
      </w:r>
    </w:p>
    <w:p w14:paraId="4F00AE97" w14:textId="77777777" w:rsidR="00053418" w:rsidRPr="009E06AA" w:rsidRDefault="00053418" w:rsidP="00053418">
      <w:pPr>
        <w:pStyle w:val="BodyText"/>
      </w:pPr>
      <w:r w:rsidRPr="009E06AA">
        <w:t xml:space="preserve">The default wood carbon content value of 50 per cent, from table 12.4 of the 2006 IPCC Guidelines (IPCC, 2006a), is used in the </w:t>
      </w:r>
      <w:r w:rsidRPr="009E06AA">
        <w:rPr>
          <w:i/>
        </w:rPr>
        <w:t>Harvested wood products</w:t>
      </w:r>
      <w:r w:rsidRPr="009E06AA">
        <w:t xml:space="preserve"> model (IPCC, 2006a). This value is consistent with the planted forest model that uses a country-specific value of 50 per cent. A country-specific wood density value of 420 kilograms per cubic metre is used for sawnwood produced from coniferous species (Jones, 2005). This value is used to reflect coniferous species’ contribution to New Zealand roundwood, which makes up around 98 per cent of annual harvest. A country-specific wood density value of 500 kilograms per cubic metre is used for sawnwood produced from non-coniferous species (Jones, 2005). Non</w:t>
      </w:r>
      <w:r w:rsidRPr="009E06AA">
        <w:noBreakHyphen/>
        <w:t>coniferous species (mainly e</w:t>
      </w:r>
      <w:r w:rsidRPr="009E06AA">
        <w:rPr>
          <w:iCs/>
        </w:rPr>
        <w:t>ucalyptus</w:t>
      </w:r>
      <w:r w:rsidRPr="009E06AA">
        <w:t>) make up around 2 per cent of annual harvest. The default IPCC bark factor (11 per cent; annex 4A.1, IPCC, 2006a) is used for conifers and is considered appropriate for New Zealand. Wood-based panels and paper products all use IPCC defaults because no country-specific value is available (see table 6.10.1).</w:t>
      </w:r>
    </w:p>
    <w:p w14:paraId="6836A920" w14:textId="77777777" w:rsidR="00053418" w:rsidRPr="009E06AA" w:rsidRDefault="00053418" w:rsidP="00053418">
      <w:pPr>
        <w:pStyle w:val="BodyText"/>
      </w:pPr>
      <w:r w:rsidRPr="009E06AA">
        <w:t xml:space="preserve">Exported raw logs are first converted to tonnes of carbon, based on the carbon fractions for coniferous species and for non-coniferous species as outlined above. This carbon is then apportioned into each export market and wood product combination (sawnwood, panels and paper). </w:t>
      </w:r>
    </w:p>
    <w:p w14:paraId="14031B67" w14:textId="77777777" w:rsidR="00053418" w:rsidRPr="009E06AA" w:rsidRDefault="00053418" w:rsidP="00053418">
      <w:pPr>
        <w:pStyle w:val="Table"/>
      </w:pPr>
      <w:bookmarkStart w:id="2647" w:name="_Toc410028866"/>
      <w:bookmarkStart w:id="2648" w:name="_Toc414531494"/>
      <w:bookmarkStart w:id="2649" w:name="_Toc443645407"/>
      <w:bookmarkStart w:id="2650" w:name="_Toc474914626"/>
      <w:bookmarkStart w:id="2651" w:name="_Toc481751590"/>
      <w:bookmarkStart w:id="2652" w:name="_Toc522010647"/>
      <w:bookmarkStart w:id="2653" w:name="_Toc5269552"/>
      <w:bookmarkStart w:id="2654" w:name="_Toc33529426"/>
      <w:bookmarkStart w:id="2655" w:name="_Toc36224632"/>
      <w:bookmarkStart w:id="2656" w:name="_Toc131591425"/>
      <w:bookmarkStart w:id="2657" w:name="_Toc158979983"/>
      <w:bookmarkStart w:id="2658" w:name="_Toc164153916"/>
      <w:r w:rsidRPr="009E06AA">
        <w:t>Table 6.10.1</w:t>
      </w:r>
      <w:r w:rsidRPr="009E06AA">
        <w:tab/>
        <w:t xml:space="preserve">Conversion factors for </w:t>
      </w:r>
      <w:r w:rsidRPr="009E06AA">
        <w:rPr>
          <w:i/>
        </w:rPr>
        <w:t>Harvested wood products</w:t>
      </w:r>
      <w:r w:rsidRPr="009E06AA">
        <w:t xml:space="preserve"> produced from New Zealand</w:t>
      </w:r>
      <w:bookmarkEnd w:id="2647"/>
      <w:bookmarkEnd w:id="2648"/>
      <w:bookmarkEnd w:id="2649"/>
      <w:bookmarkEnd w:id="2650"/>
      <w:bookmarkEnd w:id="2651"/>
      <w:r w:rsidRPr="009E06AA">
        <w:t xml:space="preserve"> wood</w:t>
      </w:r>
      <w:bookmarkEnd w:id="2652"/>
      <w:bookmarkEnd w:id="2653"/>
      <w:bookmarkEnd w:id="2654"/>
      <w:bookmarkEnd w:id="2655"/>
      <w:r w:rsidRPr="009E06AA">
        <w:t xml:space="preserve"> in New Zealand</w:t>
      </w:r>
      <w:bookmarkEnd w:id="2656"/>
      <w:bookmarkEnd w:id="2657"/>
      <w:bookmarkEnd w:id="2658"/>
    </w:p>
    <w:tbl>
      <w:tblPr>
        <w:tblW w:w="8505" w:type="dxa"/>
        <w:tblBorders>
          <w:top w:val="single" w:sz="4" w:space="0" w:color="365F91"/>
          <w:bottom w:val="single" w:sz="4" w:space="0" w:color="365F91"/>
          <w:insideH w:val="single" w:sz="4" w:space="0" w:color="365F91"/>
        </w:tblBorders>
        <w:tblLook w:val="04A0" w:firstRow="1" w:lastRow="0" w:firstColumn="1" w:lastColumn="0" w:noHBand="0" w:noVBand="1"/>
      </w:tblPr>
      <w:tblGrid>
        <w:gridCol w:w="3963"/>
        <w:gridCol w:w="1994"/>
        <w:gridCol w:w="2548"/>
      </w:tblGrid>
      <w:tr w:rsidR="00053418" w:rsidRPr="009E06AA" w14:paraId="3C63DC3E" w14:textId="77777777" w:rsidTr="00DA0812">
        <w:trPr>
          <w:tblHeader/>
        </w:trPr>
        <w:tc>
          <w:tcPr>
            <w:tcW w:w="4144" w:type="dxa"/>
            <w:tcBorders>
              <w:top w:val="single" w:sz="4" w:space="0" w:color="1B556B"/>
              <w:bottom w:val="nil"/>
            </w:tcBorders>
            <w:shd w:val="clear" w:color="auto" w:fill="1B556B" w:themeFill="text2"/>
          </w:tcPr>
          <w:p w14:paraId="563EEBAC" w14:textId="77777777" w:rsidR="00053418" w:rsidRPr="009E06AA" w:rsidRDefault="00053418" w:rsidP="00B55F24">
            <w:pPr>
              <w:pStyle w:val="TableTextBold"/>
              <w:keepNext/>
              <w:keepLines/>
              <w:spacing w:before="40" w:after="40"/>
              <w:rPr>
                <w:noProof w:val="0"/>
                <w:color w:val="FFFFFF"/>
              </w:rPr>
            </w:pPr>
            <w:r w:rsidRPr="009E06AA">
              <w:rPr>
                <w:noProof w:val="0"/>
                <w:color w:val="FFFFFF"/>
              </w:rPr>
              <w:t>Category</w:t>
            </w:r>
          </w:p>
        </w:tc>
        <w:tc>
          <w:tcPr>
            <w:tcW w:w="2072" w:type="dxa"/>
            <w:tcBorders>
              <w:top w:val="single" w:sz="4" w:space="0" w:color="1B556B"/>
              <w:bottom w:val="nil"/>
            </w:tcBorders>
            <w:shd w:val="clear" w:color="auto" w:fill="1B556B" w:themeFill="text2"/>
          </w:tcPr>
          <w:p w14:paraId="46E41A99" w14:textId="77777777" w:rsidR="00053418" w:rsidRPr="009E06AA" w:rsidRDefault="00053418" w:rsidP="00AF7D42">
            <w:pPr>
              <w:pStyle w:val="TableTextBold"/>
              <w:keepNext/>
              <w:keepLines/>
              <w:spacing w:before="40" w:after="40"/>
              <w:jc w:val="right"/>
              <w:rPr>
                <w:noProof w:val="0"/>
                <w:color w:val="FFFFFF"/>
              </w:rPr>
            </w:pPr>
            <w:r w:rsidRPr="009E06AA">
              <w:rPr>
                <w:noProof w:val="0"/>
                <w:color w:val="FFFFFF"/>
              </w:rPr>
              <w:t>Factor (t C/m</w:t>
            </w:r>
            <w:r w:rsidRPr="009E06AA">
              <w:rPr>
                <w:rFonts w:ascii="Calibri Light" w:hAnsi="Calibri Light"/>
                <w:noProof w:val="0"/>
                <w:color w:val="FFFFFF"/>
                <w:vertAlign w:val="superscript"/>
              </w:rPr>
              <w:t>3</w:t>
            </w:r>
            <w:r w:rsidRPr="009E06AA">
              <w:rPr>
                <w:noProof w:val="0"/>
                <w:color w:val="FFFFFF"/>
              </w:rPr>
              <w:t xml:space="preserve"> or t C/t*)</w:t>
            </w:r>
          </w:p>
        </w:tc>
        <w:tc>
          <w:tcPr>
            <w:tcW w:w="2663" w:type="dxa"/>
            <w:tcBorders>
              <w:top w:val="single" w:sz="4" w:space="0" w:color="1B556B"/>
              <w:bottom w:val="nil"/>
            </w:tcBorders>
            <w:shd w:val="clear" w:color="auto" w:fill="1B556B" w:themeFill="text2"/>
          </w:tcPr>
          <w:p w14:paraId="37DD35C0" w14:textId="77777777" w:rsidR="00053418" w:rsidRPr="009E06AA" w:rsidRDefault="00053418" w:rsidP="00B55F24">
            <w:pPr>
              <w:pStyle w:val="TableTextBold"/>
              <w:keepNext/>
              <w:keepLines/>
              <w:spacing w:before="40" w:after="40"/>
              <w:rPr>
                <w:noProof w:val="0"/>
                <w:color w:val="FFFFFF"/>
              </w:rPr>
            </w:pPr>
            <w:r w:rsidRPr="009E06AA">
              <w:rPr>
                <w:noProof w:val="0"/>
                <w:color w:val="FFFFFF"/>
              </w:rPr>
              <w:t>Source</w:t>
            </w:r>
          </w:p>
        </w:tc>
      </w:tr>
      <w:tr w:rsidR="00053418" w:rsidRPr="009E06AA" w14:paraId="232A9F93" w14:textId="77777777" w:rsidTr="00DA0812">
        <w:tc>
          <w:tcPr>
            <w:tcW w:w="4144" w:type="dxa"/>
            <w:tcBorders>
              <w:top w:val="nil"/>
              <w:bottom w:val="single" w:sz="4" w:space="0" w:color="1B556B"/>
            </w:tcBorders>
            <w:shd w:val="clear" w:color="auto" w:fill="auto"/>
          </w:tcPr>
          <w:p w14:paraId="5E051A07" w14:textId="77777777" w:rsidR="00053418" w:rsidRPr="009E06AA" w:rsidRDefault="00053418" w:rsidP="00B55F24">
            <w:pPr>
              <w:pStyle w:val="TableText"/>
              <w:spacing w:before="40" w:after="40"/>
            </w:pPr>
            <w:r w:rsidRPr="009E06AA">
              <w:t>Sawnwood, other industrial roundwood (coniferous)</w:t>
            </w:r>
          </w:p>
        </w:tc>
        <w:tc>
          <w:tcPr>
            <w:tcW w:w="2072" w:type="dxa"/>
            <w:tcBorders>
              <w:top w:val="nil"/>
              <w:bottom w:val="single" w:sz="4" w:space="0" w:color="1B556B"/>
            </w:tcBorders>
            <w:shd w:val="clear" w:color="auto" w:fill="auto"/>
          </w:tcPr>
          <w:p w14:paraId="04C460C7" w14:textId="77777777" w:rsidR="00053418" w:rsidRPr="009E06AA" w:rsidRDefault="00053418" w:rsidP="00AF7D42">
            <w:pPr>
              <w:pStyle w:val="TableText"/>
              <w:tabs>
                <w:tab w:val="decimal" w:pos="181"/>
              </w:tabs>
              <w:spacing w:before="40" w:after="40"/>
              <w:jc w:val="right"/>
            </w:pPr>
            <w:r w:rsidRPr="009E06AA">
              <w:t>0.210</w:t>
            </w:r>
          </w:p>
        </w:tc>
        <w:tc>
          <w:tcPr>
            <w:tcW w:w="2663" w:type="dxa"/>
            <w:tcBorders>
              <w:top w:val="nil"/>
              <w:bottom w:val="single" w:sz="4" w:space="0" w:color="1B556B"/>
            </w:tcBorders>
            <w:shd w:val="clear" w:color="auto" w:fill="auto"/>
          </w:tcPr>
          <w:p w14:paraId="7CC16AC9" w14:textId="77777777" w:rsidR="00053418" w:rsidRPr="009E06AA" w:rsidRDefault="00053418" w:rsidP="00B55F24">
            <w:pPr>
              <w:pStyle w:val="TableText"/>
              <w:spacing w:before="40" w:after="40"/>
            </w:pPr>
            <w:r w:rsidRPr="009E06AA">
              <w:t>Country specific (Jones, 2005)</w:t>
            </w:r>
          </w:p>
        </w:tc>
      </w:tr>
      <w:tr w:rsidR="00053418" w:rsidRPr="009E06AA" w14:paraId="0A19AB52" w14:textId="77777777" w:rsidTr="00DA0812">
        <w:tc>
          <w:tcPr>
            <w:tcW w:w="4144" w:type="dxa"/>
            <w:tcBorders>
              <w:top w:val="single" w:sz="4" w:space="0" w:color="1B556B"/>
              <w:bottom w:val="single" w:sz="4" w:space="0" w:color="1B556B"/>
            </w:tcBorders>
            <w:shd w:val="clear" w:color="auto" w:fill="auto"/>
          </w:tcPr>
          <w:p w14:paraId="35389C4D" w14:textId="77777777" w:rsidR="00053418" w:rsidRPr="009E06AA" w:rsidRDefault="00053418" w:rsidP="00B55F24">
            <w:pPr>
              <w:pStyle w:val="TableText"/>
              <w:spacing w:before="40" w:after="40"/>
            </w:pPr>
            <w:r w:rsidRPr="009E06AA">
              <w:t>Sawnwood, other industrial roundwood (non-coniferous)</w:t>
            </w:r>
          </w:p>
        </w:tc>
        <w:tc>
          <w:tcPr>
            <w:tcW w:w="2072" w:type="dxa"/>
            <w:tcBorders>
              <w:top w:val="single" w:sz="4" w:space="0" w:color="1B556B"/>
              <w:bottom w:val="single" w:sz="4" w:space="0" w:color="1B556B"/>
            </w:tcBorders>
            <w:shd w:val="clear" w:color="auto" w:fill="auto"/>
          </w:tcPr>
          <w:p w14:paraId="57D0FDE7" w14:textId="77777777" w:rsidR="00053418" w:rsidRPr="009E06AA" w:rsidRDefault="00053418" w:rsidP="00AF7D42">
            <w:pPr>
              <w:pStyle w:val="TableText"/>
              <w:tabs>
                <w:tab w:val="decimal" w:pos="181"/>
              </w:tabs>
              <w:spacing w:before="40" w:after="40"/>
              <w:jc w:val="right"/>
            </w:pPr>
            <w:r w:rsidRPr="009E06AA">
              <w:t>0.250</w:t>
            </w:r>
          </w:p>
        </w:tc>
        <w:tc>
          <w:tcPr>
            <w:tcW w:w="2663" w:type="dxa"/>
            <w:tcBorders>
              <w:top w:val="single" w:sz="4" w:space="0" w:color="1B556B"/>
              <w:bottom w:val="single" w:sz="4" w:space="0" w:color="1B556B"/>
            </w:tcBorders>
            <w:shd w:val="clear" w:color="auto" w:fill="auto"/>
          </w:tcPr>
          <w:p w14:paraId="07A96F26" w14:textId="77777777" w:rsidR="00053418" w:rsidRPr="009E06AA" w:rsidRDefault="00053418" w:rsidP="00B55F24">
            <w:pPr>
              <w:pStyle w:val="TableText"/>
              <w:spacing w:before="40" w:after="40"/>
            </w:pPr>
            <w:r w:rsidRPr="009E06AA">
              <w:t>Country specific (Jones, 2005)</w:t>
            </w:r>
          </w:p>
        </w:tc>
      </w:tr>
      <w:tr w:rsidR="00053418" w:rsidRPr="009E06AA" w14:paraId="2AC72EA5" w14:textId="77777777" w:rsidTr="00DA0812">
        <w:tc>
          <w:tcPr>
            <w:tcW w:w="4144" w:type="dxa"/>
            <w:tcBorders>
              <w:top w:val="single" w:sz="4" w:space="0" w:color="1B556B"/>
              <w:bottom w:val="single" w:sz="4" w:space="0" w:color="1B556B"/>
            </w:tcBorders>
            <w:shd w:val="clear" w:color="auto" w:fill="auto"/>
          </w:tcPr>
          <w:p w14:paraId="15CE2A34" w14:textId="77777777" w:rsidR="00053418" w:rsidRPr="009E06AA" w:rsidRDefault="00053418" w:rsidP="00B55F24">
            <w:pPr>
              <w:pStyle w:val="TableText"/>
              <w:spacing w:before="40" w:after="40"/>
            </w:pPr>
            <w:r w:rsidRPr="009E06AA">
              <w:t>Veneer sheets</w:t>
            </w:r>
          </w:p>
        </w:tc>
        <w:tc>
          <w:tcPr>
            <w:tcW w:w="2072" w:type="dxa"/>
            <w:tcBorders>
              <w:top w:val="single" w:sz="4" w:space="0" w:color="1B556B"/>
              <w:bottom w:val="single" w:sz="4" w:space="0" w:color="1B556B"/>
            </w:tcBorders>
            <w:shd w:val="clear" w:color="auto" w:fill="auto"/>
          </w:tcPr>
          <w:p w14:paraId="2135D653" w14:textId="77777777" w:rsidR="00053418" w:rsidRPr="009E06AA" w:rsidRDefault="00053418" w:rsidP="00AF7D42">
            <w:pPr>
              <w:pStyle w:val="TableText"/>
              <w:tabs>
                <w:tab w:val="decimal" w:pos="181"/>
              </w:tabs>
              <w:spacing w:before="40" w:after="40"/>
              <w:jc w:val="right"/>
            </w:pPr>
            <w:r w:rsidRPr="009E06AA">
              <w:t>0.210</w:t>
            </w:r>
          </w:p>
        </w:tc>
        <w:tc>
          <w:tcPr>
            <w:tcW w:w="2663" w:type="dxa"/>
            <w:tcBorders>
              <w:top w:val="single" w:sz="4" w:space="0" w:color="1B556B"/>
              <w:bottom w:val="single" w:sz="4" w:space="0" w:color="1B556B"/>
            </w:tcBorders>
            <w:shd w:val="clear" w:color="auto" w:fill="auto"/>
          </w:tcPr>
          <w:p w14:paraId="296BE1EE" w14:textId="77777777" w:rsidR="00053418" w:rsidRPr="009E06AA" w:rsidRDefault="00053418" w:rsidP="00B55F24">
            <w:pPr>
              <w:pStyle w:val="TableText"/>
              <w:spacing w:before="40" w:after="40"/>
            </w:pPr>
            <w:r w:rsidRPr="009E06AA">
              <w:t>Country specific (Jones, 2005)</w:t>
            </w:r>
          </w:p>
        </w:tc>
      </w:tr>
      <w:tr w:rsidR="00053418" w:rsidRPr="009E06AA" w14:paraId="4DF51EC1" w14:textId="77777777" w:rsidTr="00DA0812">
        <w:tc>
          <w:tcPr>
            <w:tcW w:w="4144" w:type="dxa"/>
            <w:tcBorders>
              <w:top w:val="single" w:sz="4" w:space="0" w:color="1B556B"/>
              <w:bottom w:val="single" w:sz="4" w:space="0" w:color="1B556B"/>
            </w:tcBorders>
            <w:shd w:val="clear" w:color="auto" w:fill="auto"/>
          </w:tcPr>
          <w:p w14:paraId="365538D9" w14:textId="77777777" w:rsidR="00053418" w:rsidRPr="009E06AA" w:rsidRDefault="00053418" w:rsidP="00B55F24">
            <w:pPr>
              <w:pStyle w:val="TableText"/>
              <w:spacing w:before="40" w:after="40"/>
            </w:pPr>
            <w:r w:rsidRPr="009E06AA">
              <w:t>Plywood</w:t>
            </w:r>
          </w:p>
        </w:tc>
        <w:tc>
          <w:tcPr>
            <w:tcW w:w="2072" w:type="dxa"/>
            <w:tcBorders>
              <w:top w:val="single" w:sz="4" w:space="0" w:color="1B556B"/>
              <w:bottom w:val="single" w:sz="4" w:space="0" w:color="1B556B"/>
            </w:tcBorders>
            <w:shd w:val="clear" w:color="auto" w:fill="auto"/>
          </w:tcPr>
          <w:p w14:paraId="7E72AC8D" w14:textId="77777777" w:rsidR="00053418" w:rsidRPr="009E06AA" w:rsidRDefault="00053418" w:rsidP="00AF7D42">
            <w:pPr>
              <w:pStyle w:val="TableText"/>
              <w:tabs>
                <w:tab w:val="decimal" w:pos="181"/>
              </w:tabs>
              <w:spacing w:before="40" w:after="40"/>
              <w:jc w:val="right"/>
            </w:pPr>
            <w:r w:rsidRPr="009E06AA">
              <w:t>0.267</w:t>
            </w:r>
          </w:p>
        </w:tc>
        <w:tc>
          <w:tcPr>
            <w:tcW w:w="2663" w:type="dxa"/>
            <w:tcBorders>
              <w:top w:val="single" w:sz="4" w:space="0" w:color="1B556B"/>
              <w:bottom w:val="single" w:sz="4" w:space="0" w:color="1B556B"/>
            </w:tcBorders>
            <w:shd w:val="clear" w:color="auto" w:fill="auto"/>
          </w:tcPr>
          <w:p w14:paraId="1052A79E" w14:textId="77777777" w:rsidR="00053418" w:rsidRPr="009E06AA" w:rsidRDefault="00053418" w:rsidP="00B55F24">
            <w:pPr>
              <w:pStyle w:val="TableText"/>
              <w:spacing w:before="40" w:after="40"/>
            </w:pPr>
            <w:r w:rsidRPr="009E06AA">
              <w:t>IPCC default (IPCC, 2014)</w:t>
            </w:r>
          </w:p>
        </w:tc>
      </w:tr>
      <w:tr w:rsidR="00053418" w:rsidRPr="009E06AA" w14:paraId="4F7E218F" w14:textId="77777777" w:rsidTr="00DA0812">
        <w:tc>
          <w:tcPr>
            <w:tcW w:w="4144" w:type="dxa"/>
            <w:tcBorders>
              <w:top w:val="single" w:sz="4" w:space="0" w:color="1B556B"/>
              <w:bottom w:val="single" w:sz="4" w:space="0" w:color="1B556B"/>
            </w:tcBorders>
            <w:shd w:val="clear" w:color="auto" w:fill="auto"/>
          </w:tcPr>
          <w:p w14:paraId="4FA9C175" w14:textId="77777777" w:rsidR="00053418" w:rsidRPr="009E06AA" w:rsidRDefault="00053418" w:rsidP="00B55F24">
            <w:pPr>
              <w:pStyle w:val="TableText"/>
              <w:spacing w:before="40" w:after="40"/>
            </w:pPr>
            <w:r w:rsidRPr="009E06AA">
              <w:t>Particle board</w:t>
            </w:r>
          </w:p>
        </w:tc>
        <w:tc>
          <w:tcPr>
            <w:tcW w:w="2072" w:type="dxa"/>
            <w:tcBorders>
              <w:top w:val="single" w:sz="4" w:space="0" w:color="1B556B"/>
              <w:bottom w:val="single" w:sz="4" w:space="0" w:color="1B556B"/>
            </w:tcBorders>
            <w:shd w:val="clear" w:color="auto" w:fill="auto"/>
          </w:tcPr>
          <w:p w14:paraId="3E6F7C32" w14:textId="77777777" w:rsidR="00053418" w:rsidRPr="009E06AA" w:rsidRDefault="00053418" w:rsidP="00AF7D42">
            <w:pPr>
              <w:pStyle w:val="TableText"/>
              <w:tabs>
                <w:tab w:val="decimal" w:pos="181"/>
              </w:tabs>
              <w:spacing w:before="40" w:after="40"/>
              <w:jc w:val="right"/>
            </w:pPr>
            <w:r w:rsidRPr="009E06AA">
              <w:t>0.269</w:t>
            </w:r>
          </w:p>
        </w:tc>
        <w:tc>
          <w:tcPr>
            <w:tcW w:w="2663" w:type="dxa"/>
            <w:tcBorders>
              <w:top w:val="single" w:sz="4" w:space="0" w:color="1B556B"/>
              <w:bottom w:val="single" w:sz="4" w:space="0" w:color="1B556B"/>
            </w:tcBorders>
            <w:shd w:val="clear" w:color="auto" w:fill="auto"/>
          </w:tcPr>
          <w:p w14:paraId="55FC6A12" w14:textId="77777777" w:rsidR="00053418" w:rsidRPr="009E06AA" w:rsidRDefault="00053418" w:rsidP="00B55F24">
            <w:pPr>
              <w:pStyle w:val="TableText"/>
              <w:spacing w:before="40" w:after="40"/>
            </w:pPr>
            <w:r w:rsidRPr="009E06AA">
              <w:t>IPCC default (IPCC, 2014)</w:t>
            </w:r>
          </w:p>
        </w:tc>
      </w:tr>
      <w:tr w:rsidR="00053418" w:rsidRPr="009E06AA" w14:paraId="737E7159" w14:textId="77777777" w:rsidTr="00DA0812">
        <w:tc>
          <w:tcPr>
            <w:tcW w:w="4144" w:type="dxa"/>
            <w:tcBorders>
              <w:top w:val="single" w:sz="4" w:space="0" w:color="1B556B"/>
              <w:bottom w:val="single" w:sz="4" w:space="0" w:color="1B556B"/>
            </w:tcBorders>
            <w:shd w:val="clear" w:color="auto" w:fill="auto"/>
          </w:tcPr>
          <w:p w14:paraId="34DA4FCE" w14:textId="77777777" w:rsidR="00053418" w:rsidRPr="009E06AA" w:rsidRDefault="00053418" w:rsidP="00B55F24">
            <w:pPr>
              <w:pStyle w:val="TableText"/>
              <w:spacing w:before="40" w:after="40"/>
            </w:pPr>
            <w:r w:rsidRPr="009E06AA">
              <w:t>Fibreboard (compressed)</w:t>
            </w:r>
          </w:p>
        </w:tc>
        <w:tc>
          <w:tcPr>
            <w:tcW w:w="2072" w:type="dxa"/>
            <w:tcBorders>
              <w:top w:val="single" w:sz="4" w:space="0" w:color="1B556B"/>
              <w:bottom w:val="single" w:sz="4" w:space="0" w:color="1B556B"/>
            </w:tcBorders>
            <w:shd w:val="clear" w:color="auto" w:fill="auto"/>
          </w:tcPr>
          <w:p w14:paraId="3634580B" w14:textId="77777777" w:rsidR="00053418" w:rsidRPr="009E06AA" w:rsidRDefault="00053418" w:rsidP="00AF7D42">
            <w:pPr>
              <w:pStyle w:val="TableText"/>
              <w:tabs>
                <w:tab w:val="decimal" w:pos="181"/>
              </w:tabs>
              <w:spacing w:before="40" w:after="40"/>
              <w:jc w:val="right"/>
            </w:pPr>
            <w:r w:rsidRPr="009E06AA">
              <w:t>0.315</w:t>
            </w:r>
          </w:p>
        </w:tc>
        <w:tc>
          <w:tcPr>
            <w:tcW w:w="2663" w:type="dxa"/>
            <w:tcBorders>
              <w:top w:val="single" w:sz="4" w:space="0" w:color="1B556B"/>
              <w:bottom w:val="single" w:sz="4" w:space="0" w:color="1B556B"/>
            </w:tcBorders>
            <w:shd w:val="clear" w:color="auto" w:fill="auto"/>
          </w:tcPr>
          <w:p w14:paraId="11227F68" w14:textId="77777777" w:rsidR="00053418" w:rsidRPr="009E06AA" w:rsidRDefault="00053418" w:rsidP="00B55F24">
            <w:pPr>
              <w:pStyle w:val="TableText"/>
              <w:spacing w:before="40" w:after="40"/>
            </w:pPr>
            <w:r w:rsidRPr="009E06AA">
              <w:t>IPCC default (IPCC, 2014)</w:t>
            </w:r>
          </w:p>
        </w:tc>
      </w:tr>
      <w:tr w:rsidR="00053418" w:rsidRPr="009E06AA" w14:paraId="409F4774" w14:textId="77777777" w:rsidTr="00DA0812">
        <w:tc>
          <w:tcPr>
            <w:tcW w:w="4144" w:type="dxa"/>
            <w:tcBorders>
              <w:top w:val="single" w:sz="4" w:space="0" w:color="1B556B"/>
              <w:bottom w:val="single" w:sz="4" w:space="0" w:color="1B556B"/>
            </w:tcBorders>
            <w:shd w:val="clear" w:color="auto" w:fill="auto"/>
          </w:tcPr>
          <w:p w14:paraId="54CF68DA" w14:textId="77777777" w:rsidR="00053418" w:rsidRPr="009E06AA" w:rsidRDefault="00053418" w:rsidP="00B55F24">
            <w:pPr>
              <w:pStyle w:val="TableText"/>
              <w:spacing w:before="40" w:after="40"/>
            </w:pPr>
            <w:r w:rsidRPr="009E06AA">
              <w:t>Insulating board/other fibreboard</w:t>
            </w:r>
          </w:p>
        </w:tc>
        <w:tc>
          <w:tcPr>
            <w:tcW w:w="2072" w:type="dxa"/>
            <w:tcBorders>
              <w:top w:val="single" w:sz="4" w:space="0" w:color="1B556B"/>
              <w:bottom w:val="single" w:sz="4" w:space="0" w:color="1B556B"/>
            </w:tcBorders>
            <w:shd w:val="clear" w:color="auto" w:fill="auto"/>
          </w:tcPr>
          <w:p w14:paraId="33F66769" w14:textId="77777777" w:rsidR="00053418" w:rsidRPr="009E06AA" w:rsidRDefault="00053418" w:rsidP="00AF7D42">
            <w:pPr>
              <w:pStyle w:val="TableText"/>
              <w:tabs>
                <w:tab w:val="decimal" w:pos="181"/>
              </w:tabs>
              <w:spacing w:before="40" w:after="40"/>
              <w:jc w:val="right"/>
            </w:pPr>
            <w:r w:rsidRPr="009E06AA">
              <w:t>0.075</w:t>
            </w:r>
          </w:p>
        </w:tc>
        <w:tc>
          <w:tcPr>
            <w:tcW w:w="2663" w:type="dxa"/>
            <w:tcBorders>
              <w:top w:val="single" w:sz="4" w:space="0" w:color="1B556B"/>
              <w:bottom w:val="single" w:sz="4" w:space="0" w:color="1B556B"/>
            </w:tcBorders>
            <w:shd w:val="clear" w:color="auto" w:fill="auto"/>
          </w:tcPr>
          <w:p w14:paraId="0EE9F66C" w14:textId="77777777" w:rsidR="00053418" w:rsidRPr="009E06AA" w:rsidRDefault="00053418" w:rsidP="00B55F24">
            <w:pPr>
              <w:pStyle w:val="TableText"/>
              <w:spacing w:before="40" w:after="40"/>
            </w:pPr>
            <w:r w:rsidRPr="009E06AA">
              <w:t>IPCC default (IPCC, 2014)</w:t>
            </w:r>
          </w:p>
        </w:tc>
      </w:tr>
      <w:tr w:rsidR="00053418" w:rsidRPr="009E06AA" w14:paraId="4BAD147E" w14:textId="77777777" w:rsidTr="00DA0812">
        <w:tc>
          <w:tcPr>
            <w:tcW w:w="4144" w:type="dxa"/>
            <w:tcBorders>
              <w:top w:val="single" w:sz="4" w:space="0" w:color="1B556B"/>
              <w:bottom w:val="single" w:sz="4" w:space="0" w:color="1B556B"/>
            </w:tcBorders>
            <w:shd w:val="clear" w:color="auto" w:fill="auto"/>
          </w:tcPr>
          <w:p w14:paraId="39850C27" w14:textId="77777777" w:rsidR="00053418" w:rsidRPr="009E06AA" w:rsidRDefault="00053418" w:rsidP="00B55F24">
            <w:pPr>
              <w:pStyle w:val="TableText"/>
              <w:spacing w:before="40" w:after="40"/>
            </w:pPr>
            <w:r w:rsidRPr="009E06AA">
              <w:t>Paper products</w:t>
            </w:r>
          </w:p>
        </w:tc>
        <w:tc>
          <w:tcPr>
            <w:tcW w:w="2072" w:type="dxa"/>
            <w:tcBorders>
              <w:top w:val="single" w:sz="4" w:space="0" w:color="1B556B"/>
              <w:bottom w:val="single" w:sz="4" w:space="0" w:color="1B556B"/>
            </w:tcBorders>
            <w:shd w:val="clear" w:color="auto" w:fill="auto"/>
          </w:tcPr>
          <w:p w14:paraId="402FF3EF" w14:textId="77777777" w:rsidR="00053418" w:rsidRPr="009E06AA" w:rsidRDefault="00053418" w:rsidP="00AF7D42">
            <w:pPr>
              <w:pStyle w:val="TableText"/>
              <w:tabs>
                <w:tab w:val="decimal" w:pos="181"/>
              </w:tabs>
              <w:spacing w:before="40" w:after="40"/>
              <w:ind w:right="-57"/>
              <w:jc w:val="right"/>
            </w:pPr>
            <w:r w:rsidRPr="009E06AA">
              <w:t>0.450*</w:t>
            </w:r>
          </w:p>
        </w:tc>
        <w:tc>
          <w:tcPr>
            <w:tcW w:w="2663" w:type="dxa"/>
            <w:tcBorders>
              <w:top w:val="single" w:sz="4" w:space="0" w:color="1B556B"/>
              <w:bottom w:val="single" w:sz="4" w:space="0" w:color="1B556B"/>
            </w:tcBorders>
            <w:shd w:val="clear" w:color="auto" w:fill="auto"/>
          </w:tcPr>
          <w:p w14:paraId="0AADE168" w14:textId="77777777" w:rsidR="00053418" w:rsidRPr="009E06AA" w:rsidRDefault="00053418" w:rsidP="00B55F24">
            <w:pPr>
              <w:pStyle w:val="TableText"/>
              <w:spacing w:before="40" w:after="40"/>
            </w:pPr>
            <w:r w:rsidRPr="009E06AA">
              <w:t>IPCC default (IPCC, 2014)</w:t>
            </w:r>
          </w:p>
        </w:tc>
      </w:tr>
    </w:tbl>
    <w:p w14:paraId="49F80B14" w14:textId="77777777" w:rsidR="00053418" w:rsidRPr="009E06AA" w:rsidRDefault="00053418" w:rsidP="00053418">
      <w:pPr>
        <w:pStyle w:val="Noteundertable"/>
      </w:pPr>
      <w:r w:rsidRPr="009E06AA">
        <w:rPr>
          <w:b/>
        </w:rPr>
        <w:t>Note:</w:t>
      </w:r>
      <w:r w:rsidRPr="009E06AA">
        <w:tab/>
        <w:t>* Indicates where factors are given in tonnes of carbon per tonne of product.</w:t>
      </w:r>
    </w:p>
    <w:p w14:paraId="4BCDC7EB" w14:textId="77777777" w:rsidR="00053418" w:rsidRPr="009E06AA" w:rsidRDefault="00053418" w:rsidP="00AF7D42">
      <w:pPr>
        <w:pStyle w:val="Heading4"/>
      </w:pPr>
      <w:r w:rsidRPr="009E06AA">
        <w:t xml:space="preserve">Half-lives </w:t>
      </w:r>
    </w:p>
    <w:p w14:paraId="307B716B" w14:textId="77777777" w:rsidR="00053418" w:rsidRPr="009E06AA" w:rsidRDefault="00053418" w:rsidP="00053418">
      <w:pPr>
        <w:pStyle w:val="BodyText"/>
        <w:spacing w:before="100" w:after="100"/>
      </w:pPr>
      <w:r w:rsidRPr="009E06AA">
        <w:t xml:space="preserve">Half-lives determine the discard rate of products from service in the </w:t>
      </w:r>
      <w:r w:rsidRPr="009E06AA">
        <w:rPr>
          <w:i/>
          <w:iCs/>
        </w:rPr>
        <w:t xml:space="preserve">Harvested wood products </w:t>
      </w:r>
      <w:r w:rsidRPr="009E06AA">
        <w:t xml:space="preserve">category. Overall, sawnwood and wood-based panels made and consumed in New Zealand are </w:t>
      </w:r>
      <w:r w:rsidRPr="009E06AA">
        <w:rPr>
          <w:spacing w:val="-2"/>
        </w:rPr>
        <w:t>used to manufacture long-lived wood products, whereas short-lived products are manufactured</w:t>
      </w:r>
      <w:r w:rsidRPr="009E06AA">
        <w:t xml:space="preserve"> overseas (Ministry for Primary Industries, 2022a; Wekesa, 2022). These findings are used in </w:t>
      </w:r>
      <w:r w:rsidRPr="009E06AA">
        <w:rPr>
          <w:spacing w:val="-2"/>
        </w:rPr>
        <w:t>this submission instead of default half-life values used previously. New Zealand uses a weighted</w:t>
      </w:r>
      <w:r w:rsidRPr="009E06AA">
        <w:t xml:space="preserve"> half-life of 33.6 years for </w:t>
      </w:r>
      <w:r w:rsidRPr="009E06AA">
        <w:rPr>
          <w:i/>
          <w:iCs/>
        </w:rPr>
        <w:t>Sawnwood</w:t>
      </w:r>
      <w:r w:rsidRPr="009E06AA">
        <w:t>,</w:t>
      </w:r>
      <w:r w:rsidRPr="009E06AA">
        <w:rPr>
          <w:i/>
          <w:iCs/>
        </w:rPr>
        <w:t xml:space="preserve"> </w:t>
      </w:r>
      <w:r w:rsidRPr="009E06AA">
        <w:t>32.4 years for</w:t>
      </w:r>
      <w:r w:rsidRPr="009E06AA">
        <w:rPr>
          <w:i/>
          <w:iCs/>
        </w:rPr>
        <w:t xml:space="preserve"> Wood-based panels for domestically processed and consumed harvested wood products</w:t>
      </w:r>
      <w:r w:rsidRPr="009E06AA">
        <w:t>,</w:t>
      </w:r>
      <w:r w:rsidRPr="009E06AA">
        <w:rPr>
          <w:i/>
          <w:iCs/>
        </w:rPr>
        <w:t xml:space="preserve"> </w:t>
      </w:r>
      <w:r w:rsidRPr="009E06AA">
        <w:t>whereas weighted half-life values of 23.6 years for</w:t>
      </w:r>
      <w:r w:rsidRPr="009E06AA">
        <w:rPr>
          <w:i/>
          <w:iCs/>
        </w:rPr>
        <w:t xml:space="preserve"> Sawnwood </w:t>
      </w:r>
      <w:r w:rsidRPr="009E06AA">
        <w:t xml:space="preserve">and 20.7 years for </w:t>
      </w:r>
      <w:r w:rsidRPr="009E06AA">
        <w:rPr>
          <w:i/>
          <w:iCs/>
        </w:rPr>
        <w:t>Sawnwood panels</w:t>
      </w:r>
      <w:r w:rsidRPr="009E06AA">
        <w:t xml:space="preserve"> are used for harvested wood products produced in New Zealand and exported overseas (Wakelin, unpublished (f)). A default half-life value of two years was used for domestically produced and processed </w:t>
      </w:r>
      <w:r w:rsidRPr="009E06AA">
        <w:rPr>
          <w:i/>
          <w:iCs/>
        </w:rPr>
        <w:t>Paper and paperboard</w:t>
      </w:r>
      <w:r w:rsidRPr="009E06AA">
        <w:t xml:space="preserve"> consumed in the domestic and export market (IPCC, 2014). These half-lives are used to increase the accuracy of the estimates over the default categories (</w:t>
      </w:r>
      <w:r w:rsidRPr="009E06AA">
        <w:rPr>
          <w:i/>
          <w:iCs/>
        </w:rPr>
        <w:t xml:space="preserve">Solid wood </w:t>
      </w:r>
      <w:r w:rsidRPr="009E06AA">
        <w:t>and</w:t>
      </w:r>
      <w:r w:rsidRPr="009E06AA">
        <w:rPr>
          <w:i/>
          <w:iCs/>
        </w:rPr>
        <w:t xml:space="preserve"> Paper and paperboard</w:t>
      </w:r>
      <w:r w:rsidRPr="009E06AA">
        <w:t>)</w:t>
      </w:r>
      <w:r w:rsidRPr="009E06AA">
        <w:rPr>
          <w:i/>
          <w:iCs/>
        </w:rPr>
        <w:t xml:space="preserve"> </w:t>
      </w:r>
      <w:r w:rsidRPr="009E06AA">
        <w:t>(table 12.2, IPCC, 2006a).</w:t>
      </w:r>
    </w:p>
    <w:p w14:paraId="0ABAD0B2" w14:textId="77777777" w:rsidR="00053418" w:rsidRPr="009E06AA" w:rsidRDefault="00053418" w:rsidP="00053418">
      <w:pPr>
        <w:pStyle w:val="BodyText"/>
      </w:pPr>
      <w:r w:rsidRPr="009E06AA">
        <w:t xml:space="preserve">Most of New Zealand’s exported logs are converted into construction and packaging material (Ministry for Primary Industries, 2016). The weighted half-lives for China and India are significantly lower than the IPCC default half-lives for </w:t>
      </w:r>
      <w:r w:rsidRPr="009E06AA">
        <w:rPr>
          <w:i/>
        </w:rPr>
        <w:t>Sawnwood</w:t>
      </w:r>
      <w:r w:rsidRPr="009E06AA">
        <w:t xml:space="preserve"> and </w:t>
      </w:r>
      <w:r w:rsidRPr="009E06AA">
        <w:rPr>
          <w:i/>
        </w:rPr>
        <w:t>Panels</w:t>
      </w:r>
      <w:r w:rsidRPr="009E06AA">
        <w:t xml:space="preserve">, as demonstrated </w:t>
      </w:r>
      <w:r w:rsidRPr="009E06AA">
        <w:rPr>
          <w:spacing w:val="-2"/>
        </w:rPr>
        <w:t xml:space="preserve">in table 6.10.2. These findings are included in </w:t>
      </w:r>
      <w:r w:rsidRPr="009E06AA">
        <w:t>New Zealand’s</w:t>
      </w:r>
      <w:r w:rsidRPr="009E06AA">
        <w:rPr>
          <w:spacing w:val="-2"/>
        </w:rPr>
        <w:t xml:space="preserve"> </w:t>
      </w:r>
      <w:r w:rsidRPr="009E06AA">
        <w:rPr>
          <w:i/>
          <w:spacing w:val="-2"/>
        </w:rPr>
        <w:t>Harvested wood products</w:t>
      </w:r>
      <w:r w:rsidRPr="009E06AA">
        <w:rPr>
          <w:spacing w:val="-2"/>
        </w:rPr>
        <w:t xml:space="preserve"> estimates</w:t>
      </w:r>
      <w:r w:rsidRPr="009E06AA">
        <w:t xml:space="preserve"> and provide an improvement on the default assumption where exported raw materials were discarded at the same rate as domestic production. Further information on the half-lives for conversions of exported logs is provided in annex A5.2.6.</w:t>
      </w:r>
    </w:p>
    <w:p w14:paraId="3BE4E055" w14:textId="77777777" w:rsidR="00053418" w:rsidRPr="009E06AA" w:rsidRDefault="00053418" w:rsidP="00053418">
      <w:pPr>
        <w:pStyle w:val="Table"/>
      </w:pPr>
      <w:bookmarkStart w:id="2659" w:name="_Toc158979984"/>
      <w:bookmarkStart w:id="2660" w:name="_Toc164153917"/>
      <w:bookmarkStart w:id="2661" w:name="_Toc131591426"/>
      <w:r w:rsidRPr="009E06AA">
        <w:t>Table 6.10.2</w:t>
      </w:r>
      <w:r w:rsidRPr="009E06AA">
        <w:tab/>
        <w:t>Weighted half-lives for harvested wood products produced in export markets</w:t>
      </w:r>
      <w:bookmarkEnd w:id="2659"/>
      <w:bookmarkEnd w:id="2660"/>
      <w:r w:rsidRPr="009E06AA">
        <w:t xml:space="preserve"> </w:t>
      </w:r>
      <w:bookmarkEnd w:id="2661"/>
    </w:p>
    <w:tbl>
      <w:tblPr>
        <w:tblW w:w="8505" w:type="dxa"/>
        <w:tblBorders>
          <w:top w:val="single" w:sz="4" w:space="0" w:color="1B556B"/>
          <w:bottom w:val="single" w:sz="4" w:space="0" w:color="1B556B"/>
          <w:insideH w:val="single" w:sz="4" w:space="0" w:color="1B556B"/>
        </w:tblBorders>
        <w:tblLook w:val="04A0" w:firstRow="1" w:lastRow="0" w:firstColumn="1" w:lastColumn="0" w:noHBand="0" w:noVBand="1"/>
      </w:tblPr>
      <w:tblGrid>
        <w:gridCol w:w="2062"/>
        <w:gridCol w:w="2609"/>
        <w:gridCol w:w="1981"/>
        <w:gridCol w:w="1853"/>
      </w:tblGrid>
      <w:tr w:rsidR="00053418" w:rsidRPr="009E06AA" w14:paraId="4307F185" w14:textId="77777777" w:rsidTr="006051BE">
        <w:trPr>
          <w:tblHeader/>
        </w:trPr>
        <w:tc>
          <w:tcPr>
            <w:tcW w:w="2062" w:type="dxa"/>
            <w:vMerge w:val="restart"/>
            <w:tcBorders>
              <w:bottom w:val="nil"/>
            </w:tcBorders>
            <w:shd w:val="clear" w:color="auto" w:fill="1B556B" w:themeFill="text2"/>
            <w:vAlign w:val="bottom"/>
          </w:tcPr>
          <w:p w14:paraId="567EE209" w14:textId="77777777" w:rsidR="00053418" w:rsidRPr="009E06AA" w:rsidRDefault="00053418" w:rsidP="00B55F24">
            <w:pPr>
              <w:pStyle w:val="TableTextBold"/>
              <w:spacing w:before="40" w:after="40"/>
              <w:rPr>
                <w:noProof w:val="0"/>
                <w:color w:val="FFFFFF"/>
              </w:rPr>
            </w:pPr>
            <w:r w:rsidRPr="009E06AA">
              <w:rPr>
                <w:noProof w:val="0"/>
                <w:color w:val="FFFFFF"/>
              </w:rPr>
              <w:t>Country</w:t>
            </w:r>
          </w:p>
        </w:tc>
        <w:tc>
          <w:tcPr>
            <w:tcW w:w="6443" w:type="dxa"/>
            <w:gridSpan w:val="3"/>
            <w:tcBorders>
              <w:bottom w:val="nil"/>
            </w:tcBorders>
            <w:shd w:val="clear" w:color="auto" w:fill="1B556B" w:themeFill="text2"/>
            <w:vAlign w:val="bottom"/>
          </w:tcPr>
          <w:p w14:paraId="5CB26635" w14:textId="77777777" w:rsidR="00053418" w:rsidRPr="009E06AA" w:rsidRDefault="00053418" w:rsidP="00B55F24">
            <w:pPr>
              <w:pStyle w:val="TableTextBold"/>
              <w:spacing w:before="40" w:after="0"/>
              <w:jc w:val="center"/>
              <w:rPr>
                <w:noProof w:val="0"/>
                <w:color w:val="FFFFFF"/>
              </w:rPr>
            </w:pPr>
            <w:r w:rsidRPr="009E06AA">
              <w:rPr>
                <w:noProof w:val="0"/>
                <w:color w:val="FFFFFF"/>
              </w:rPr>
              <w:t>Weighted half-lives</w:t>
            </w:r>
          </w:p>
        </w:tc>
      </w:tr>
      <w:tr w:rsidR="00053418" w:rsidRPr="009E06AA" w14:paraId="0796C3BA" w14:textId="77777777" w:rsidTr="007D639E">
        <w:tc>
          <w:tcPr>
            <w:tcW w:w="2062" w:type="dxa"/>
            <w:vMerge/>
            <w:tcBorders>
              <w:top w:val="nil"/>
              <w:bottom w:val="single" w:sz="4" w:space="0" w:color="1B556B"/>
            </w:tcBorders>
            <w:shd w:val="clear" w:color="auto" w:fill="1B556B" w:themeFill="text2"/>
          </w:tcPr>
          <w:p w14:paraId="22C9553C" w14:textId="77777777" w:rsidR="00053418" w:rsidRPr="009E06AA" w:rsidRDefault="00053418" w:rsidP="00B55F24">
            <w:pPr>
              <w:pStyle w:val="TableTextBold"/>
              <w:spacing w:before="40" w:after="40"/>
              <w:rPr>
                <w:noProof w:val="0"/>
                <w:color w:val="FFFFFF"/>
              </w:rPr>
            </w:pPr>
          </w:p>
        </w:tc>
        <w:tc>
          <w:tcPr>
            <w:tcW w:w="2609" w:type="dxa"/>
            <w:tcBorders>
              <w:top w:val="nil"/>
              <w:bottom w:val="single" w:sz="4" w:space="0" w:color="1B556B"/>
            </w:tcBorders>
            <w:shd w:val="clear" w:color="auto" w:fill="1B556B" w:themeFill="text2"/>
          </w:tcPr>
          <w:p w14:paraId="20D79113" w14:textId="77777777" w:rsidR="00053418" w:rsidRPr="009E06AA" w:rsidRDefault="00053418" w:rsidP="006051BE">
            <w:pPr>
              <w:pStyle w:val="TableTextBold"/>
              <w:spacing w:before="40" w:after="40"/>
              <w:jc w:val="right"/>
              <w:rPr>
                <w:noProof w:val="0"/>
                <w:color w:val="FFFFFF"/>
              </w:rPr>
            </w:pPr>
            <w:r w:rsidRPr="009E06AA">
              <w:rPr>
                <w:noProof w:val="0"/>
                <w:color w:val="FFFFFF"/>
              </w:rPr>
              <w:t>Sawnwood</w:t>
            </w:r>
          </w:p>
        </w:tc>
        <w:tc>
          <w:tcPr>
            <w:tcW w:w="1981" w:type="dxa"/>
            <w:tcBorders>
              <w:top w:val="nil"/>
              <w:bottom w:val="single" w:sz="4" w:space="0" w:color="1B556B"/>
            </w:tcBorders>
            <w:shd w:val="clear" w:color="auto" w:fill="1B556B" w:themeFill="text2"/>
          </w:tcPr>
          <w:p w14:paraId="08E55B2D" w14:textId="77777777" w:rsidR="00053418" w:rsidRPr="009E06AA" w:rsidRDefault="00053418" w:rsidP="006051BE">
            <w:pPr>
              <w:pStyle w:val="TableTextBold"/>
              <w:spacing w:before="40" w:after="40"/>
              <w:jc w:val="right"/>
              <w:rPr>
                <w:noProof w:val="0"/>
                <w:color w:val="FFFFFF"/>
              </w:rPr>
            </w:pPr>
            <w:r w:rsidRPr="009E06AA">
              <w:rPr>
                <w:noProof w:val="0"/>
                <w:color w:val="FFFFFF"/>
              </w:rPr>
              <w:t>Wood panels</w:t>
            </w:r>
          </w:p>
        </w:tc>
        <w:tc>
          <w:tcPr>
            <w:tcW w:w="1853" w:type="dxa"/>
            <w:tcBorders>
              <w:top w:val="nil"/>
              <w:bottom w:val="single" w:sz="4" w:space="0" w:color="1B556B"/>
            </w:tcBorders>
            <w:shd w:val="clear" w:color="auto" w:fill="1B556B" w:themeFill="text2"/>
          </w:tcPr>
          <w:p w14:paraId="61E77595" w14:textId="77777777" w:rsidR="00053418" w:rsidRPr="009E06AA" w:rsidRDefault="00053418" w:rsidP="006051BE">
            <w:pPr>
              <w:pStyle w:val="TableTextBold"/>
              <w:spacing w:before="40" w:after="40"/>
              <w:jc w:val="right"/>
              <w:rPr>
                <w:noProof w:val="0"/>
                <w:color w:val="FFFFFF"/>
              </w:rPr>
            </w:pPr>
            <w:r w:rsidRPr="009E06AA">
              <w:rPr>
                <w:noProof w:val="0"/>
                <w:color w:val="FFFFFF"/>
              </w:rPr>
              <w:t>Paper</w:t>
            </w:r>
          </w:p>
        </w:tc>
      </w:tr>
      <w:tr w:rsidR="00053418" w:rsidRPr="009E06AA" w14:paraId="479075AF" w14:textId="77777777" w:rsidTr="007D639E">
        <w:tc>
          <w:tcPr>
            <w:tcW w:w="2062" w:type="dxa"/>
            <w:tcBorders>
              <w:top w:val="single" w:sz="4" w:space="0" w:color="1B556B"/>
            </w:tcBorders>
            <w:shd w:val="clear" w:color="auto" w:fill="auto"/>
          </w:tcPr>
          <w:p w14:paraId="3DDF6DF1" w14:textId="77777777" w:rsidR="00053418" w:rsidRPr="009E06AA" w:rsidRDefault="00053418" w:rsidP="00B55F24">
            <w:pPr>
              <w:pStyle w:val="TableText"/>
              <w:spacing w:before="40" w:after="40"/>
            </w:pPr>
            <w:r w:rsidRPr="009E06AA">
              <w:t>China</w:t>
            </w:r>
          </w:p>
        </w:tc>
        <w:tc>
          <w:tcPr>
            <w:tcW w:w="2609" w:type="dxa"/>
            <w:tcBorders>
              <w:top w:val="single" w:sz="4" w:space="0" w:color="1B556B"/>
            </w:tcBorders>
            <w:shd w:val="clear" w:color="auto" w:fill="auto"/>
          </w:tcPr>
          <w:p w14:paraId="3F89994E" w14:textId="77777777" w:rsidR="00053418" w:rsidRPr="009E06AA" w:rsidRDefault="00053418" w:rsidP="006051BE">
            <w:pPr>
              <w:pStyle w:val="TableText"/>
              <w:tabs>
                <w:tab w:val="decimal" w:pos="181"/>
              </w:tabs>
              <w:spacing w:before="40" w:after="40"/>
              <w:jc w:val="right"/>
            </w:pPr>
            <w:r w:rsidRPr="009E06AA">
              <w:t>8.3</w:t>
            </w:r>
          </w:p>
        </w:tc>
        <w:tc>
          <w:tcPr>
            <w:tcW w:w="1981" w:type="dxa"/>
            <w:tcBorders>
              <w:top w:val="single" w:sz="4" w:space="0" w:color="1B556B"/>
            </w:tcBorders>
            <w:shd w:val="clear" w:color="auto" w:fill="auto"/>
          </w:tcPr>
          <w:p w14:paraId="1CCB2E9D" w14:textId="77777777" w:rsidR="00053418" w:rsidRPr="009E06AA" w:rsidRDefault="00053418" w:rsidP="006051BE">
            <w:pPr>
              <w:pStyle w:val="TableText"/>
              <w:spacing w:before="40" w:after="40"/>
              <w:jc w:val="right"/>
            </w:pPr>
            <w:r w:rsidRPr="009E06AA">
              <w:t>8.3</w:t>
            </w:r>
          </w:p>
        </w:tc>
        <w:tc>
          <w:tcPr>
            <w:tcW w:w="1853" w:type="dxa"/>
            <w:tcBorders>
              <w:top w:val="single" w:sz="4" w:space="0" w:color="1B556B"/>
            </w:tcBorders>
          </w:tcPr>
          <w:p w14:paraId="39C7F861" w14:textId="77777777" w:rsidR="00053418" w:rsidRPr="009E06AA" w:rsidRDefault="00053418" w:rsidP="006051BE">
            <w:pPr>
              <w:pStyle w:val="TableText"/>
              <w:spacing w:before="40" w:after="40"/>
              <w:jc w:val="right"/>
            </w:pPr>
            <w:r w:rsidRPr="009E06AA">
              <w:t>2</w:t>
            </w:r>
          </w:p>
        </w:tc>
      </w:tr>
      <w:tr w:rsidR="00053418" w:rsidRPr="009E06AA" w14:paraId="1755C542" w14:textId="77777777" w:rsidTr="00B55F24">
        <w:tc>
          <w:tcPr>
            <w:tcW w:w="2062" w:type="dxa"/>
            <w:shd w:val="clear" w:color="auto" w:fill="auto"/>
          </w:tcPr>
          <w:p w14:paraId="0BFF8941" w14:textId="77777777" w:rsidR="00053418" w:rsidRPr="009E06AA" w:rsidRDefault="00053418" w:rsidP="00B55F24">
            <w:pPr>
              <w:pStyle w:val="TableText"/>
              <w:spacing w:before="40" w:after="40"/>
            </w:pPr>
            <w:r w:rsidRPr="009E06AA">
              <w:t>India</w:t>
            </w:r>
          </w:p>
        </w:tc>
        <w:tc>
          <w:tcPr>
            <w:tcW w:w="2609" w:type="dxa"/>
            <w:shd w:val="clear" w:color="auto" w:fill="auto"/>
          </w:tcPr>
          <w:p w14:paraId="65412B72" w14:textId="77777777" w:rsidR="00053418" w:rsidRPr="009E06AA" w:rsidRDefault="00053418" w:rsidP="006051BE">
            <w:pPr>
              <w:pStyle w:val="TableText"/>
              <w:tabs>
                <w:tab w:val="decimal" w:pos="181"/>
              </w:tabs>
              <w:spacing w:before="40" w:after="40"/>
              <w:jc w:val="right"/>
            </w:pPr>
            <w:r w:rsidRPr="009E06AA">
              <w:t>1.4</w:t>
            </w:r>
          </w:p>
        </w:tc>
        <w:tc>
          <w:tcPr>
            <w:tcW w:w="1981" w:type="dxa"/>
            <w:shd w:val="clear" w:color="auto" w:fill="auto"/>
          </w:tcPr>
          <w:p w14:paraId="102CB465" w14:textId="77777777" w:rsidR="00053418" w:rsidRPr="009E06AA" w:rsidRDefault="00053418" w:rsidP="006051BE">
            <w:pPr>
              <w:pStyle w:val="TableText"/>
              <w:spacing w:before="40" w:after="40"/>
              <w:jc w:val="right"/>
            </w:pPr>
            <w:r w:rsidRPr="009E06AA">
              <w:t>10.4</w:t>
            </w:r>
          </w:p>
        </w:tc>
        <w:tc>
          <w:tcPr>
            <w:tcW w:w="1853" w:type="dxa"/>
          </w:tcPr>
          <w:p w14:paraId="1E114376" w14:textId="77777777" w:rsidR="00053418" w:rsidRPr="009E06AA" w:rsidRDefault="00053418" w:rsidP="006051BE">
            <w:pPr>
              <w:pStyle w:val="TableText"/>
              <w:spacing w:before="40" w:after="40"/>
              <w:jc w:val="right"/>
            </w:pPr>
            <w:r w:rsidRPr="009E06AA">
              <w:t>2</w:t>
            </w:r>
          </w:p>
        </w:tc>
      </w:tr>
      <w:tr w:rsidR="00053418" w:rsidRPr="009E06AA" w14:paraId="352B9978" w14:textId="77777777" w:rsidTr="00B55F24">
        <w:tc>
          <w:tcPr>
            <w:tcW w:w="2062" w:type="dxa"/>
            <w:shd w:val="clear" w:color="auto" w:fill="auto"/>
          </w:tcPr>
          <w:p w14:paraId="507D4214" w14:textId="77777777" w:rsidR="00053418" w:rsidRPr="009E06AA" w:rsidRDefault="00053418" w:rsidP="00B55F24">
            <w:pPr>
              <w:pStyle w:val="TableText"/>
              <w:spacing w:before="40" w:after="40"/>
            </w:pPr>
            <w:r w:rsidRPr="009E06AA">
              <w:t>South Korea</w:t>
            </w:r>
          </w:p>
        </w:tc>
        <w:tc>
          <w:tcPr>
            <w:tcW w:w="2609" w:type="dxa"/>
            <w:shd w:val="clear" w:color="auto" w:fill="auto"/>
          </w:tcPr>
          <w:p w14:paraId="705CCF95" w14:textId="77777777" w:rsidR="00053418" w:rsidRPr="009E06AA" w:rsidRDefault="00053418" w:rsidP="006051BE">
            <w:pPr>
              <w:pStyle w:val="TableText"/>
              <w:tabs>
                <w:tab w:val="decimal" w:pos="181"/>
              </w:tabs>
              <w:spacing w:before="40" w:after="40"/>
              <w:jc w:val="right"/>
            </w:pPr>
            <w:r w:rsidRPr="009E06AA">
              <w:t>15.5</w:t>
            </w:r>
          </w:p>
        </w:tc>
        <w:tc>
          <w:tcPr>
            <w:tcW w:w="1981" w:type="dxa"/>
            <w:shd w:val="clear" w:color="auto" w:fill="auto"/>
          </w:tcPr>
          <w:p w14:paraId="33946A8F" w14:textId="77777777" w:rsidR="00053418" w:rsidRPr="009E06AA" w:rsidRDefault="00053418" w:rsidP="006051BE">
            <w:pPr>
              <w:pStyle w:val="TableText"/>
              <w:spacing w:before="40" w:after="40"/>
              <w:jc w:val="right"/>
            </w:pPr>
            <w:r w:rsidRPr="009E06AA">
              <w:t>23.9</w:t>
            </w:r>
          </w:p>
        </w:tc>
        <w:tc>
          <w:tcPr>
            <w:tcW w:w="1853" w:type="dxa"/>
          </w:tcPr>
          <w:p w14:paraId="5FC8CB49" w14:textId="77777777" w:rsidR="00053418" w:rsidRPr="009E06AA" w:rsidRDefault="00053418" w:rsidP="006051BE">
            <w:pPr>
              <w:pStyle w:val="TableText"/>
              <w:spacing w:before="40" w:after="40"/>
              <w:jc w:val="right"/>
            </w:pPr>
            <w:r w:rsidRPr="009E06AA">
              <w:t>2</w:t>
            </w:r>
          </w:p>
        </w:tc>
      </w:tr>
      <w:tr w:rsidR="00053418" w:rsidRPr="009E06AA" w14:paraId="15F3E010" w14:textId="77777777" w:rsidTr="00B55F24">
        <w:tc>
          <w:tcPr>
            <w:tcW w:w="2062" w:type="dxa"/>
            <w:shd w:val="clear" w:color="auto" w:fill="auto"/>
          </w:tcPr>
          <w:p w14:paraId="64AB6449" w14:textId="77777777" w:rsidR="00053418" w:rsidRPr="009E06AA" w:rsidRDefault="00053418" w:rsidP="00B55F24">
            <w:pPr>
              <w:pStyle w:val="TableText"/>
              <w:spacing w:before="40" w:after="40"/>
            </w:pPr>
            <w:r w:rsidRPr="009E06AA">
              <w:t>Japan</w:t>
            </w:r>
          </w:p>
        </w:tc>
        <w:tc>
          <w:tcPr>
            <w:tcW w:w="2609" w:type="dxa"/>
            <w:shd w:val="clear" w:color="auto" w:fill="auto"/>
          </w:tcPr>
          <w:p w14:paraId="1E33409A" w14:textId="77777777" w:rsidR="00053418" w:rsidRPr="009E06AA" w:rsidRDefault="00053418" w:rsidP="006051BE">
            <w:pPr>
              <w:pStyle w:val="TableText"/>
              <w:tabs>
                <w:tab w:val="decimal" w:pos="181"/>
              </w:tabs>
              <w:spacing w:before="40" w:after="40"/>
              <w:jc w:val="right"/>
            </w:pPr>
            <w:r w:rsidRPr="009E06AA">
              <w:t>3.1</w:t>
            </w:r>
          </w:p>
        </w:tc>
        <w:tc>
          <w:tcPr>
            <w:tcW w:w="1981" w:type="dxa"/>
            <w:shd w:val="clear" w:color="auto" w:fill="auto"/>
          </w:tcPr>
          <w:p w14:paraId="2F4225FE" w14:textId="77777777" w:rsidR="00053418" w:rsidRPr="009E06AA" w:rsidRDefault="00053418" w:rsidP="006051BE">
            <w:pPr>
              <w:pStyle w:val="TableText"/>
              <w:spacing w:before="40" w:after="40"/>
              <w:jc w:val="right"/>
            </w:pPr>
            <w:r w:rsidRPr="009E06AA">
              <w:t>2.8</w:t>
            </w:r>
          </w:p>
        </w:tc>
        <w:tc>
          <w:tcPr>
            <w:tcW w:w="1853" w:type="dxa"/>
          </w:tcPr>
          <w:p w14:paraId="17B85725" w14:textId="77777777" w:rsidR="00053418" w:rsidRPr="009E06AA" w:rsidRDefault="00053418" w:rsidP="006051BE">
            <w:pPr>
              <w:pStyle w:val="TableText"/>
              <w:spacing w:before="40" w:after="40"/>
              <w:jc w:val="right"/>
            </w:pPr>
            <w:r w:rsidRPr="009E06AA">
              <w:t>2</w:t>
            </w:r>
          </w:p>
        </w:tc>
      </w:tr>
      <w:tr w:rsidR="00053418" w:rsidRPr="009E06AA" w14:paraId="3DA0B5F7" w14:textId="77777777" w:rsidTr="00B55F24">
        <w:tc>
          <w:tcPr>
            <w:tcW w:w="2062" w:type="dxa"/>
            <w:shd w:val="clear" w:color="auto" w:fill="auto"/>
          </w:tcPr>
          <w:p w14:paraId="47E79370" w14:textId="77777777" w:rsidR="00053418" w:rsidRPr="009E06AA" w:rsidRDefault="00053418" w:rsidP="00B55F24">
            <w:pPr>
              <w:pStyle w:val="TableText"/>
              <w:spacing w:before="40" w:after="40"/>
            </w:pPr>
            <w:r w:rsidRPr="009E06AA">
              <w:t>Other</w:t>
            </w:r>
          </w:p>
        </w:tc>
        <w:tc>
          <w:tcPr>
            <w:tcW w:w="2609" w:type="dxa"/>
            <w:shd w:val="clear" w:color="auto" w:fill="auto"/>
          </w:tcPr>
          <w:p w14:paraId="1A10106C" w14:textId="77777777" w:rsidR="00053418" w:rsidRPr="009E06AA" w:rsidRDefault="00053418" w:rsidP="006051BE">
            <w:pPr>
              <w:pStyle w:val="TableText"/>
              <w:tabs>
                <w:tab w:val="decimal" w:pos="181"/>
              </w:tabs>
              <w:spacing w:before="40" w:after="40"/>
              <w:jc w:val="right"/>
            </w:pPr>
            <w:r w:rsidRPr="009E06AA">
              <w:t>8.3</w:t>
            </w:r>
          </w:p>
        </w:tc>
        <w:tc>
          <w:tcPr>
            <w:tcW w:w="1981" w:type="dxa"/>
            <w:shd w:val="clear" w:color="auto" w:fill="auto"/>
          </w:tcPr>
          <w:p w14:paraId="7552C5D0" w14:textId="77777777" w:rsidR="00053418" w:rsidRPr="009E06AA" w:rsidRDefault="00053418" w:rsidP="006051BE">
            <w:pPr>
              <w:pStyle w:val="TableText"/>
              <w:spacing w:before="40" w:after="40"/>
              <w:jc w:val="right"/>
            </w:pPr>
            <w:r w:rsidRPr="009E06AA">
              <w:t>8.3</w:t>
            </w:r>
          </w:p>
        </w:tc>
        <w:tc>
          <w:tcPr>
            <w:tcW w:w="1853" w:type="dxa"/>
          </w:tcPr>
          <w:p w14:paraId="037BC0D1" w14:textId="77777777" w:rsidR="00053418" w:rsidRPr="009E06AA" w:rsidRDefault="00053418" w:rsidP="006051BE">
            <w:pPr>
              <w:pStyle w:val="TableText"/>
              <w:spacing w:before="40" w:after="40"/>
              <w:jc w:val="right"/>
            </w:pPr>
            <w:r w:rsidRPr="009E06AA">
              <w:t>2</w:t>
            </w:r>
          </w:p>
        </w:tc>
      </w:tr>
      <w:tr w:rsidR="00053418" w:rsidRPr="009E06AA" w14:paraId="0CE84261" w14:textId="77777777" w:rsidTr="00B55F24">
        <w:tc>
          <w:tcPr>
            <w:tcW w:w="2062" w:type="dxa"/>
            <w:shd w:val="clear" w:color="auto" w:fill="auto"/>
          </w:tcPr>
          <w:p w14:paraId="5971ACBB" w14:textId="77777777" w:rsidR="00053418" w:rsidRPr="009E06AA" w:rsidRDefault="00053418" w:rsidP="00B55F24">
            <w:pPr>
              <w:pStyle w:val="TableText"/>
              <w:spacing w:before="40" w:after="40"/>
            </w:pPr>
            <w:r w:rsidRPr="009E06AA">
              <w:t>IPCC default</w:t>
            </w:r>
          </w:p>
        </w:tc>
        <w:tc>
          <w:tcPr>
            <w:tcW w:w="2609" w:type="dxa"/>
            <w:shd w:val="clear" w:color="auto" w:fill="auto"/>
          </w:tcPr>
          <w:p w14:paraId="78FC6044" w14:textId="77777777" w:rsidR="00053418" w:rsidRPr="009E06AA" w:rsidRDefault="00053418" w:rsidP="006051BE">
            <w:pPr>
              <w:pStyle w:val="TableText"/>
              <w:tabs>
                <w:tab w:val="decimal" w:pos="181"/>
              </w:tabs>
              <w:spacing w:before="40" w:after="40"/>
              <w:jc w:val="right"/>
            </w:pPr>
            <w:r w:rsidRPr="009E06AA">
              <w:t>35</w:t>
            </w:r>
          </w:p>
        </w:tc>
        <w:tc>
          <w:tcPr>
            <w:tcW w:w="1981" w:type="dxa"/>
            <w:shd w:val="clear" w:color="auto" w:fill="auto"/>
          </w:tcPr>
          <w:p w14:paraId="050604D9" w14:textId="77777777" w:rsidR="00053418" w:rsidRPr="009E06AA" w:rsidRDefault="00053418" w:rsidP="006051BE">
            <w:pPr>
              <w:pStyle w:val="TableText"/>
              <w:spacing w:before="40" w:after="40"/>
              <w:jc w:val="right"/>
            </w:pPr>
            <w:r w:rsidRPr="009E06AA">
              <w:t>25</w:t>
            </w:r>
          </w:p>
        </w:tc>
        <w:tc>
          <w:tcPr>
            <w:tcW w:w="1853" w:type="dxa"/>
          </w:tcPr>
          <w:p w14:paraId="52F49AEC" w14:textId="77777777" w:rsidR="00053418" w:rsidRPr="009E06AA" w:rsidRDefault="00053418" w:rsidP="006051BE">
            <w:pPr>
              <w:pStyle w:val="TableText"/>
              <w:spacing w:before="40" w:after="40"/>
              <w:jc w:val="right"/>
            </w:pPr>
            <w:r w:rsidRPr="009E06AA">
              <w:t>2</w:t>
            </w:r>
          </w:p>
        </w:tc>
      </w:tr>
    </w:tbl>
    <w:p w14:paraId="45473344" w14:textId="77777777" w:rsidR="00053418" w:rsidRPr="009E06AA" w:rsidRDefault="00053418" w:rsidP="00DA0812">
      <w:pPr>
        <w:pStyle w:val="Heading3"/>
        <w:tabs>
          <w:tab w:val="clear" w:pos="851"/>
          <w:tab w:val="left" w:pos="993"/>
        </w:tabs>
        <w:spacing w:before="400"/>
      </w:pPr>
      <w:r w:rsidRPr="009E06AA">
        <w:t>6.10.3</w:t>
      </w:r>
      <w:r w:rsidRPr="009E06AA">
        <w:tab/>
        <w:t>Uncertainty assessment and time-series consistency</w:t>
      </w:r>
    </w:p>
    <w:p w14:paraId="5786A21A" w14:textId="77777777" w:rsidR="00053418" w:rsidRPr="009E06AA" w:rsidRDefault="00053418" w:rsidP="00053418">
      <w:pPr>
        <w:pStyle w:val="BodyText"/>
      </w:pPr>
      <w:r w:rsidRPr="009E06AA">
        <w:t xml:space="preserve">The uncertainty in net carbon emissions from </w:t>
      </w:r>
      <w:r w:rsidRPr="009E06AA">
        <w:rPr>
          <w:i/>
          <w:iCs/>
        </w:rPr>
        <w:t>Harvested</w:t>
      </w:r>
      <w:r w:rsidRPr="009E06AA">
        <w:rPr>
          <w:i/>
        </w:rPr>
        <w:t xml:space="preserve"> wood products</w:t>
      </w:r>
      <w:r w:rsidRPr="009E06AA">
        <w:t xml:space="preserve"> was 68.2 per cent in 2022</w:t>
      </w:r>
      <w:r w:rsidRPr="009E06AA">
        <w:rPr>
          <w:rFonts w:asciiTheme="minorHAnsi" w:eastAsia="Symbol" w:hAnsiTheme="minorHAnsi"/>
          <w:i/>
          <w:iCs/>
        </w:rPr>
        <w:t xml:space="preserve">, </w:t>
      </w:r>
      <w:r w:rsidRPr="009E06AA">
        <w:rPr>
          <w:rFonts w:asciiTheme="minorHAnsi" w:eastAsia="Symbol" w:hAnsiTheme="minorHAnsi"/>
        </w:rPr>
        <w:t xml:space="preserve">which accounted for 23.3 per cent of the </w:t>
      </w:r>
      <w:r w:rsidRPr="009E06AA">
        <w:rPr>
          <w:rFonts w:asciiTheme="minorHAnsi" w:hAnsiTheme="minorHAnsi"/>
        </w:rPr>
        <w:t>t</w:t>
      </w:r>
      <w:r w:rsidRPr="009E06AA">
        <w:t>otal uncertainty in emissions from the LULUCF sector. Uncertainty in the </w:t>
      </w:r>
      <w:r w:rsidRPr="009E06AA">
        <w:rPr>
          <w:i/>
        </w:rPr>
        <w:t>Harvested wood products</w:t>
      </w:r>
      <w:r w:rsidRPr="009E06AA">
        <w:t xml:space="preserve"> estimates is introduced by activity data, conversion factors and decay parameters. The contribution to total uncertainty is driven by large removals in this pool and high uncertainty associated with the end-use and discard rates of New Zealand wood. The methods used to calculate the uncertainty are further described in annex A5.2.8.</w:t>
      </w:r>
    </w:p>
    <w:p w14:paraId="63059696" w14:textId="77777777" w:rsidR="00053418" w:rsidRPr="009E06AA" w:rsidRDefault="00053418" w:rsidP="00053418">
      <w:pPr>
        <w:pStyle w:val="BodyText"/>
      </w:pPr>
      <w:r w:rsidRPr="009E06AA">
        <w:t xml:space="preserve">Time-series consistency is ensured by applying consistent methods and full recalculations in the event of any refinement or improvement to methodology. </w:t>
      </w:r>
    </w:p>
    <w:p w14:paraId="686EDBD8" w14:textId="77777777" w:rsidR="00053418" w:rsidRPr="009E06AA" w:rsidRDefault="00053418" w:rsidP="00DA0812">
      <w:pPr>
        <w:pStyle w:val="Heading3"/>
        <w:tabs>
          <w:tab w:val="clear" w:pos="851"/>
          <w:tab w:val="left" w:pos="993"/>
        </w:tabs>
      </w:pPr>
      <w:r w:rsidRPr="009E06AA">
        <w:t>6.10.4</w:t>
      </w:r>
      <w:r w:rsidRPr="009E06AA">
        <w:tab/>
        <w:t>Category-specific QA/QC and verification</w:t>
      </w:r>
    </w:p>
    <w:p w14:paraId="7FF4E81F" w14:textId="77777777" w:rsidR="00053418" w:rsidRPr="009E06AA" w:rsidRDefault="00053418" w:rsidP="00053418">
      <w:pPr>
        <w:pStyle w:val="BodyText"/>
      </w:pPr>
      <w:r w:rsidRPr="009E06AA">
        <w:t xml:space="preserve">Activity data for roundwood are sourced from annual statistics produced by MPI. However, as section 6.4 describes, the methodology for estimating above-ground biomass losses on harvest uses the LUCAS model, which combines harvest area by age with yield table carbon values. To ensure consistency between MPI roundwood volume statistics and LUCAS harvest estimates, a comparison between the two data sources across the time series was carried out and is further described in annex A5.2.5 ‘Forest land model validations’. </w:t>
      </w:r>
    </w:p>
    <w:p w14:paraId="7179FAB9" w14:textId="77777777" w:rsidR="00053418" w:rsidRPr="009E06AA" w:rsidRDefault="00053418" w:rsidP="00053418">
      <w:pPr>
        <w:pStyle w:val="BodyText"/>
      </w:pPr>
      <w:r w:rsidRPr="009E06AA">
        <w:t>The results show</w:t>
      </w:r>
      <w:r w:rsidRPr="009E06AA" w:rsidDel="004D5E77">
        <w:t xml:space="preserve"> </w:t>
      </w:r>
      <w:r w:rsidRPr="009E06AA">
        <w:t xml:space="preserve">a relatively good match between the two data sources between 2013 and 2020. This is because roundwood volume is now used to determine the total destocking area over this period. However, the two data sources deviate in earlier years. LUCAS above-ground biomass losses from harvest are greater than those estimated from roundwood volume statistics from 1996 to 2012 and are slightly lower from 1990 to 1994. </w:t>
      </w:r>
    </w:p>
    <w:p w14:paraId="6F948902" w14:textId="77777777" w:rsidR="00053418" w:rsidRPr="009E06AA" w:rsidRDefault="00053418" w:rsidP="00053418">
      <w:pPr>
        <w:pStyle w:val="BodyText"/>
      </w:pPr>
      <w:r w:rsidRPr="009E06AA">
        <w:t xml:space="preserve">The implications of these earlier differences are that New Zealand may be reporting more carbon losses from harvesting and deforestation than carbon gains from roundwood creation and inputs into the </w:t>
      </w:r>
      <w:r w:rsidRPr="009E06AA">
        <w:rPr>
          <w:i/>
        </w:rPr>
        <w:t>Harvested wood products</w:t>
      </w:r>
      <w:r w:rsidRPr="009E06AA">
        <w:t xml:space="preserve"> pool across most of the time series. </w:t>
      </w:r>
    </w:p>
    <w:p w14:paraId="30591108" w14:textId="77777777" w:rsidR="00053418" w:rsidRPr="009E06AA" w:rsidRDefault="00053418" w:rsidP="00053418">
      <w:pPr>
        <w:pStyle w:val="BodyText"/>
      </w:pPr>
      <w:r w:rsidRPr="009E06AA">
        <w:t xml:space="preserve">Work is under way to establish how best to address this inconsistency through the time series. </w:t>
      </w:r>
    </w:p>
    <w:p w14:paraId="63EF2AC2" w14:textId="77777777" w:rsidR="00053418" w:rsidRPr="009E06AA" w:rsidRDefault="00053418" w:rsidP="00DA0812">
      <w:pPr>
        <w:pStyle w:val="Heading3"/>
        <w:tabs>
          <w:tab w:val="clear" w:pos="851"/>
          <w:tab w:val="left" w:pos="993"/>
        </w:tabs>
      </w:pPr>
      <w:r w:rsidRPr="009E06AA" w:rsidDel="007F0462">
        <w:t>6.</w:t>
      </w:r>
      <w:r w:rsidRPr="009E06AA">
        <w:t>10.5</w:t>
      </w:r>
      <w:r w:rsidRPr="009E06AA">
        <w:tab/>
        <w:t>Category-specific recalculations</w:t>
      </w:r>
    </w:p>
    <w:p w14:paraId="69483FEC" w14:textId="77777777" w:rsidR="00053418" w:rsidRPr="009E06AA" w:rsidRDefault="00053418" w:rsidP="00053418">
      <w:pPr>
        <w:pStyle w:val="BodyText"/>
      </w:pPr>
      <w:r w:rsidRPr="009E06AA">
        <w:t xml:space="preserve">All data on total roundwood production, roundwood exports, and the production of New Zealand processed wood products were previously sourced from the FAOSTAT database. During the review of the 2021 submission, and in line with review recommendation L.11/FCCC/ARR/2019/NZL (UNFCCC, 2020), concerns were raised around the reliability and timeliness of this data set. From the 2022 submission onwards, these data are now being sourced directly from MPI published statistics (Ministry for Primary Industries, 2022b, 2023b). This means up-to-date data on roundwood production and trade, and wood production are now available for the current reporting year. </w:t>
      </w:r>
    </w:p>
    <w:p w14:paraId="13C92CB6" w14:textId="77777777" w:rsidR="00053418" w:rsidRPr="009E06AA" w:rsidRDefault="00053418" w:rsidP="00053418">
      <w:pPr>
        <w:pStyle w:val="BodyText"/>
      </w:pPr>
      <w:r w:rsidRPr="009E06AA">
        <w:t>New data on the country-specific end-use products and half-lives of roundwood logs processed and consumed in New Zealand</w:t>
      </w:r>
      <w:r w:rsidRPr="009E06AA" w:rsidDel="00995C68">
        <w:t xml:space="preserve"> </w:t>
      </w:r>
      <w:r w:rsidRPr="009E06AA">
        <w:t xml:space="preserve">have been integrated into the </w:t>
      </w:r>
      <w:r w:rsidRPr="009E06AA">
        <w:rPr>
          <w:i/>
          <w:iCs/>
        </w:rPr>
        <w:t>Harvested wood products</w:t>
      </w:r>
      <w:r w:rsidRPr="009E06AA">
        <w:t xml:space="preserve"> model for this submission (Ministry for Primary Industries, 2022a; Wekesa, 2022). Independent of changes to activity data, the emissions impact of this change is an increase in emissions of approximately 43.2 kt CO</w:t>
      </w:r>
      <w:r w:rsidRPr="009E06AA">
        <w:rPr>
          <w:vertAlign w:val="subscript"/>
        </w:rPr>
        <w:t>2</w:t>
      </w:r>
      <w:r w:rsidRPr="009E06AA">
        <w:t>-e in 1990 and a decrease in emissions of approximately 157.8 kt CO</w:t>
      </w:r>
      <w:r w:rsidRPr="009E06AA">
        <w:rPr>
          <w:vertAlign w:val="subscript"/>
        </w:rPr>
        <w:t>2</w:t>
      </w:r>
      <w:r w:rsidRPr="009E06AA">
        <w:t>-e in 2021. When including changes to activity data, the impact of recalculations on net CO</w:t>
      </w:r>
      <w:r w:rsidRPr="009E06AA">
        <w:rPr>
          <w:vertAlign w:val="subscript"/>
        </w:rPr>
        <w:t>2</w:t>
      </w:r>
      <w:r w:rsidRPr="009E06AA">
        <w:t xml:space="preserve">-e emission estimates for </w:t>
      </w:r>
      <w:r w:rsidRPr="009E06AA">
        <w:rPr>
          <w:i/>
        </w:rPr>
        <w:t>Harvested wood products</w:t>
      </w:r>
      <w:r w:rsidRPr="009E06AA">
        <w:t xml:space="preserve"> is shown in table 6.10.3.</w:t>
      </w:r>
    </w:p>
    <w:p w14:paraId="27C4EBC7" w14:textId="77777777" w:rsidR="00053418" w:rsidRPr="009E06AA" w:rsidRDefault="00053418" w:rsidP="00053418">
      <w:pPr>
        <w:pStyle w:val="Table"/>
      </w:pPr>
      <w:bookmarkStart w:id="2662" w:name="_Toc443645410"/>
      <w:bookmarkStart w:id="2663" w:name="_Toc474914629"/>
      <w:bookmarkStart w:id="2664" w:name="_Toc481751593"/>
      <w:bookmarkStart w:id="2665" w:name="_Toc522010650"/>
      <w:bookmarkStart w:id="2666" w:name="_Toc5269555"/>
      <w:bookmarkStart w:id="2667" w:name="_Toc33529429"/>
      <w:bookmarkStart w:id="2668" w:name="_Toc36224635"/>
      <w:bookmarkStart w:id="2669" w:name="_Toc131591427"/>
      <w:bookmarkStart w:id="2670" w:name="_Toc158979985"/>
      <w:bookmarkStart w:id="2671" w:name="_Toc164153918"/>
      <w:r w:rsidRPr="009E06AA">
        <w:t>Table 6.10.3</w:t>
      </w:r>
      <w:r w:rsidRPr="009E06AA">
        <w:tab/>
        <w:t xml:space="preserve">Recalculations for New Zealand’s net emissions from the </w:t>
      </w:r>
      <w:r w:rsidRPr="009E06AA">
        <w:rPr>
          <w:i/>
        </w:rPr>
        <w:t>Harvested wood products</w:t>
      </w:r>
      <w:r w:rsidRPr="009E06AA">
        <w:br/>
        <w:t>category in 1990 and 2022</w:t>
      </w:r>
      <w:bookmarkEnd w:id="2662"/>
      <w:bookmarkEnd w:id="2663"/>
      <w:bookmarkEnd w:id="2664"/>
      <w:bookmarkEnd w:id="2665"/>
      <w:bookmarkEnd w:id="2666"/>
      <w:bookmarkEnd w:id="2667"/>
      <w:bookmarkEnd w:id="2668"/>
      <w:bookmarkEnd w:id="2669"/>
      <w:bookmarkEnd w:id="2670"/>
      <w:bookmarkEnd w:id="2671"/>
    </w:p>
    <w:tbl>
      <w:tblPr>
        <w:tblW w:w="8505" w:type="dxa"/>
        <w:tblBorders>
          <w:top w:val="single" w:sz="4" w:space="0" w:color="1B556B" w:themeColor="text2"/>
          <w:bottom w:val="single" w:sz="4" w:space="0" w:color="1B556B" w:themeColor="text2"/>
          <w:insideH w:val="single" w:sz="4" w:space="0" w:color="1B556B" w:themeColor="text2"/>
        </w:tblBorders>
        <w:tblLayout w:type="fixed"/>
        <w:tblLook w:val="0420" w:firstRow="1" w:lastRow="0" w:firstColumn="0" w:lastColumn="0" w:noHBand="0" w:noVBand="1"/>
      </w:tblPr>
      <w:tblGrid>
        <w:gridCol w:w="2269"/>
        <w:gridCol w:w="1559"/>
        <w:gridCol w:w="1559"/>
        <w:gridCol w:w="2268"/>
        <w:gridCol w:w="850"/>
      </w:tblGrid>
      <w:tr w:rsidR="00053418" w:rsidRPr="009E06AA" w14:paraId="51F42FDB" w14:textId="77777777" w:rsidTr="00B55F24">
        <w:trPr>
          <w:tblHeader/>
        </w:trPr>
        <w:tc>
          <w:tcPr>
            <w:tcW w:w="2268" w:type="dxa"/>
            <w:shd w:val="clear" w:color="auto" w:fill="1B556B"/>
            <w:tcMar>
              <w:top w:w="0" w:type="dxa"/>
              <w:left w:w="85" w:type="dxa"/>
              <w:bottom w:w="0" w:type="dxa"/>
              <w:right w:w="85" w:type="dxa"/>
            </w:tcMar>
          </w:tcPr>
          <w:p w14:paraId="48960AD5" w14:textId="77777777" w:rsidR="00053418" w:rsidRPr="009E06AA" w:rsidRDefault="00053418" w:rsidP="00DA0812">
            <w:pPr>
              <w:pStyle w:val="TableText"/>
              <w:spacing w:before="40" w:after="40"/>
            </w:pPr>
          </w:p>
        </w:tc>
        <w:tc>
          <w:tcPr>
            <w:tcW w:w="1559" w:type="dxa"/>
            <w:shd w:val="clear" w:color="auto" w:fill="1B556B"/>
            <w:tcMar>
              <w:top w:w="0" w:type="dxa"/>
              <w:left w:w="85" w:type="dxa"/>
              <w:bottom w:w="0" w:type="dxa"/>
              <w:right w:w="85" w:type="dxa"/>
            </w:tcMar>
          </w:tcPr>
          <w:p w14:paraId="3F2A698B" w14:textId="77777777" w:rsidR="00053418" w:rsidRPr="009E06AA" w:rsidRDefault="00053418" w:rsidP="006051BE">
            <w:pPr>
              <w:pStyle w:val="TableText"/>
              <w:spacing w:before="40" w:after="40"/>
              <w:jc w:val="right"/>
            </w:pPr>
            <w:r w:rsidRPr="009E06AA">
              <w:rPr>
                <w:rFonts w:eastAsia="Calibri" w:cs="Calibri"/>
                <w:b/>
                <w:color w:val="FFFFFF"/>
                <w:szCs w:val="16"/>
              </w:rPr>
              <w:t>2023 submission</w:t>
            </w:r>
          </w:p>
        </w:tc>
        <w:tc>
          <w:tcPr>
            <w:tcW w:w="1559" w:type="dxa"/>
            <w:shd w:val="clear" w:color="auto" w:fill="1B556B"/>
            <w:tcMar>
              <w:top w:w="0" w:type="dxa"/>
              <w:left w:w="85" w:type="dxa"/>
              <w:bottom w:w="0" w:type="dxa"/>
              <w:right w:w="85" w:type="dxa"/>
            </w:tcMar>
          </w:tcPr>
          <w:p w14:paraId="591FBD01" w14:textId="77777777" w:rsidR="00053418" w:rsidRPr="009E06AA" w:rsidRDefault="00053418" w:rsidP="006051BE">
            <w:pPr>
              <w:pStyle w:val="TableText"/>
              <w:spacing w:before="40" w:after="40"/>
              <w:jc w:val="right"/>
            </w:pPr>
            <w:r w:rsidRPr="009E06AA">
              <w:rPr>
                <w:rFonts w:eastAsia="Calibri" w:cs="Calibri"/>
                <w:b/>
                <w:color w:val="FFFFFF"/>
                <w:szCs w:val="16"/>
              </w:rPr>
              <w:t>2024 submission</w:t>
            </w:r>
          </w:p>
        </w:tc>
        <w:tc>
          <w:tcPr>
            <w:tcW w:w="2268" w:type="dxa"/>
            <w:shd w:val="clear" w:color="auto" w:fill="1B556B"/>
            <w:tcMar>
              <w:top w:w="0" w:type="dxa"/>
              <w:left w:w="85" w:type="dxa"/>
              <w:bottom w:w="0" w:type="dxa"/>
              <w:right w:w="85" w:type="dxa"/>
            </w:tcMar>
          </w:tcPr>
          <w:p w14:paraId="31A2C274" w14:textId="77777777" w:rsidR="00053418" w:rsidRPr="009E06AA" w:rsidRDefault="00053418" w:rsidP="006051BE">
            <w:pPr>
              <w:pStyle w:val="TableText"/>
              <w:spacing w:before="40" w:after="40"/>
              <w:jc w:val="right"/>
            </w:pPr>
            <w:r w:rsidRPr="009E06AA">
              <w:rPr>
                <w:rFonts w:eastAsia="Calibri" w:cs="Calibri"/>
                <w:b/>
                <w:color w:val="FFFFFF"/>
                <w:szCs w:val="16"/>
              </w:rPr>
              <w:t>Change from 2023 submission</w:t>
            </w:r>
          </w:p>
        </w:tc>
        <w:tc>
          <w:tcPr>
            <w:tcW w:w="850" w:type="dxa"/>
            <w:shd w:val="clear" w:color="auto" w:fill="1B556B"/>
            <w:tcMar>
              <w:top w:w="0" w:type="dxa"/>
              <w:left w:w="85" w:type="dxa"/>
              <w:bottom w:w="0" w:type="dxa"/>
              <w:right w:w="85" w:type="dxa"/>
            </w:tcMar>
          </w:tcPr>
          <w:p w14:paraId="4C0AB5FB" w14:textId="77777777" w:rsidR="00053418" w:rsidRPr="009E06AA" w:rsidRDefault="00053418" w:rsidP="006051BE">
            <w:pPr>
              <w:pStyle w:val="TableText"/>
              <w:spacing w:before="40" w:after="40"/>
              <w:jc w:val="right"/>
            </w:pPr>
            <w:r w:rsidRPr="009E06AA">
              <w:rPr>
                <w:rFonts w:eastAsia="Calibri" w:cs="Calibri"/>
                <w:b/>
                <w:color w:val="FFFFFF"/>
                <w:szCs w:val="16"/>
              </w:rPr>
              <w:t>% change</w:t>
            </w:r>
          </w:p>
        </w:tc>
      </w:tr>
      <w:tr w:rsidR="00053418" w:rsidRPr="009E06AA" w14:paraId="03BFF9E4" w14:textId="77777777" w:rsidTr="00B55F24">
        <w:tc>
          <w:tcPr>
            <w:tcW w:w="2268" w:type="dxa"/>
            <w:shd w:val="clear" w:color="auto" w:fill="FFFFFF"/>
            <w:tcMar>
              <w:top w:w="0" w:type="dxa"/>
              <w:left w:w="85" w:type="dxa"/>
              <w:bottom w:w="0" w:type="dxa"/>
              <w:right w:w="85" w:type="dxa"/>
            </w:tcMar>
          </w:tcPr>
          <w:p w14:paraId="1FDCBDF3" w14:textId="77777777" w:rsidR="00053418" w:rsidRPr="009E06AA" w:rsidRDefault="00053418" w:rsidP="00DA0812">
            <w:pPr>
              <w:pStyle w:val="TableText"/>
              <w:spacing w:before="40" w:after="40"/>
            </w:pPr>
            <w:r w:rsidRPr="009E06AA">
              <w:rPr>
                <w:rFonts w:eastAsia="Calibri" w:cs="Calibri"/>
                <w:b/>
                <w:color w:val="1B556B"/>
                <w:szCs w:val="16"/>
              </w:rPr>
              <w:t>Net emissions (kt CO</w:t>
            </w:r>
            <w:r w:rsidRPr="009E06AA">
              <w:rPr>
                <w:rFonts w:eastAsia="Calibri" w:cs="Calibri"/>
                <w:b/>
                <w:color w:val="1B556B"/>
                <w:szCs w:val="16"/>
                <w:vertAlign w:val="subscript"/>
              </w:rPr>
              <w:t>2</w:t>
            </w:r>
            <w:r w:rsidRPr="009E06AA">
              <w:rPr>
                <w:rFonts w:eastAsia="Calibri" w:cs="Calibri"/>
                <w:b/>
                <w:color w:val="1B556B"/>
                <w:szCs w:val="16"/>
              </w:rPr>
              <w:t>-e)</w:t>
            </w:r>
          </w:p>
        </w:tc>
        <w:tc>
          <w:tcPr>
            <w:tcW w:w="1559" w:type="dxa"/>
            <w:shd w:val="clear" w:color="auto" w:fill="FFFFFF"/>
            <w:tcMar>
              <w:top w:w="0" w:type="dxa"/>
              <w:left w:w="85" w:type="dxa"/>
              <w:bottom w:w="0" w:type="dxa"/>
              <w:right w:w="85" w:type="dxa"/>
            </w:tcMar>
          </w:tcPr>
          <w:p w14:paraId="726FE180" w14:textId="77777777" w:rsidR="00053418" w:rsidRPr="009E06AA" w:rsidRDefault="00053418" w:rsidP="006051BE">
            <w:pPr>
              <w:pStyle w:val="TableText"/>
              <w:spacing w:before="40" w:after="40"/>
              <w:jc w:val="right"/>
            </w:pPr>
          </w:p>
        </w:tc>
        <w:tc>
          <w:tcPr>
            <w:tcW w:w="1559" w:type="dxa"/>
            <w:shd w:val="clear" w:color="auto" w:fill="FFFFFF"/>
            <w:tcMar>
              <w:top w:w="0" w:type="dxa"/>
              <w:left w:w="85" w:type="dxa"/>
              <w:bottom w:w="0" w:type="dxa"/>
              <w:right w:w="85" w:type="dxa"/>
            </w:tcMar>
          </w:tcPr>
          <w:p w14:paraId="492ADD9E" w14:textId="77777777" w:rsidR="00053418" w:rsidRPr="009E06AA" w:rsidRDefault="00053418" w:rsidP="006051BE">
            <w:pPr>
              <w:pStyle w:val="TableText"/>
              <w:spacing w:before="40" w:after="40"/>
              <w:jc w:val="right"/>
            </w:pPr>
          </w:p>
        </w:tc>
        <w:tc>
          <w:tcPr>
            <w:tcW w:w="2268" w:type="dxa"/>
            <w:shd w:val="clear" w:color="auto" w:fill="FFFFFF"/>
            <w:tcMar>
              <w:top w:w="0" w:type="dxa"/>
              <w:left w:w="85" w:type="dxa"/>
              <w:bottom w:w="0" w:type="dxa"/>
              <w:right w:w="85" w:type="dxa"/>
            </w:tcMar>
          </w:tcPr>
          <w:p w14:paraId="0C84C274" w14:textId="77777777" w:rsidR="00053418" w:rsidRPr="009E06AA" w:rsidRDefault="00053418" w:rsidP="006051BE">
            <w:pPr>
              <w:pStyle w:val="TableText"/>
              <w:spacing w:before="40" w:after="40"/>
              <w:jc w:val="right"/>
            </w:pPr>
          </w:p>
        </w:tc>
        <w:tc>
          <w:tcPr>
            <w:tcW w:w="850" w:type="dxa"/>
            <w:shd w:val="clear" w:color="auto" w:fill="FFFFFF"/>
            <w:tcMar>
              <w:top w:w="0" w:type="dxa"/>
              <w:left w:w="85" w:type="dxa"/>
              <w:bottom w:w="0" w:type="dxa"/>
              <w:right w:w="85" w:type="dxa"/>
            </w:tcMar>
          </w:tcPr>
          <w:p w14:paraId="5C249DA0" w14:textId="77777777" w:rsidR="00053418" w:rsidRPr="009E06AA" w:rsidRDefault="00053418" w:rsidP="006051BE">
            <w:pPr>
              <w:pStyle w:val="TableText"/>
              <w:spacing w:before="40" w:after="40"/>
              <w:jc w:val="right"/>
            </w:pPr>
          </w:p>
        </w:tc>
      </w:tr>
      <w:tr w:rsidR="00053418" w:rsidRPr="009E06AA" w14:paraId="260717EF" w14:textId="77777777" w:rsidTr="00B55F24">
        <w:tc>
          <w:tcPr>
            <w:tcW w:w="2268" w:type="dxa"/>
            <w:shd w:val="clear" w:color="auto" w:fill="FFFFFF"/>
            <w:tcMar>
              <w:top w:w="0" w:type="dxa"/>
              <w:left w:w="85" w:type="dxa"/>
              <w:bottom w:w="0" w:type="dxa"/>
              <w:right w:w="85" w:type="dxa"/>
            </w:tcMar>
          </w:tcPr>
          <w:p w14:paraId="76E24F7B" w14:textId="77777777" w:rsidR="00053418" w:rsidRPr="009E06AA" w:rsidRDefault="00053418" w:rsidP="00DA0812">
            <w:pPr>
              <w:pStyle w:val="TableText"/>
              <w:spacing w:before="40" w:after="40"/>
            </w:pPr>
            <w:r w:rsidRPr="009E06AA">
              <w:rPr>
                <w:rFonts w:eastAsia="Calibri" w:cs="Calibri"/>
                <w:color w:val="000000"/>
                <w:szCs w:val="16"/>
              </w:rPr>
              <w:t>1990</w:t>
            </w:r>
          </w:p>
        </w:tc>
        <w:tc>
          <w:tcPr>
            <w:tcW w:w="1559" w:type="dxa"/>
            <w:shd w:val="clear" w:color="auto" w:fill="FFFFFF"/>
            <w:tcMar>
              <w:top w:w="0" w:type="dxa"/>
              <w:left w:w="85" w:type="dxa"/>
              <w:bottom w:w="0" w:type="dxa"/>
              <w:right w:w="85" w:type="dxa"/>
            </w:tcMar>
          </w:tcPr>
          <w:p w14:paraId="63100F9A" w14:textId="77777777" w:rsidR="00053418" w:rsidRPr="009E06AA" w:rsidRDefault="00053418" w:rsidP="006051BE">
            <w:pPr>
              <w:pStyle w:val="TableText"/>
              <w:spacing w:before="40" w:after="40"/>
              <w:jc w:val="right"/>
            </w:pPr>
            <w:r w:rsidRPr="009E06AA">
              <w:rPr>
                <w:rFonts w:eastAsia="Calibri" w:cs="Calibri"/>
                <w:color w:val="000000"/>
                <w:szCs w:val="16"/>
              </w:rPr>
              <w:t>-2,481.2</w:t>
            </w:r>
          </w:p>
        </w:tc>
        <w:tc>
          <w:tcPr>
            <w:tcW w:w="1559" w:type="dxa"/>
            <w:shd w:val="clear" w:color="auto" w:fill="FFFFFF"/>
            <w:tcMar>
              <w:top w:w="0" w:type="dxa"/>
              <w:left w:w="85" w:type="dxa"/>
              <w:bottom w:w="0" w:type="dxa"/>
              <w:right w:w="85" w:type="dxa"/>
            </w:tcMar>
          </w:tcPr>
          <w:p w14:paraId="7A3372C4" w14:textId="77777777" w:rsidR="00053418" w:rsidRPr="009E06AA" w:rsidRDefault="00053418" w:rsidP="006051BE">
            <w:pPr>
              <w:pStyle w:val="TableText"/>
              <w:spacing w:before="40" w:after="40"/>
              <w:jc w:val="right"/>
            </w:pPr>
            <w:r w:rsidRPr="009E06AA">
              <w:rPr>
                <w:rFonts w:eastAsia="Calibri" w:cs="Calibri"/>
                <w:color w:val="000000"/>
                <w:szCs w:val="16"/>
              </w:rPr>
              <w:t>-2,437.8</w:t>
            </w:r>
          </w:p>
        </w:tc>
        <w:tc>
          <w:tcPr>
            <w:tcW w:w="2268" w:type="dxa"/>
            <w:shd w:val="clear" w:color="auto" w:fill="FFFFFF"/>
            <w:tcMar>
              <w:top w:w="0" w:type="dxa"/>
              <w:left w:w="85" w:type="dxa"/>
              <w:bottom w:w="0" w:type="dxa"/>
              <w:right w:w="85" w:type="dxa"/>
            </w:tcMar>
          </w:tcPr>
          <w:p w14:paraId="22C6B1A8" w14:textId="77777777" w:rsidR="00053418" w:rsidRPr="009E06AA" w:rsidRDefault="00053418" w:rsidP="006051BE">
            <w:pPr>
              <w:pStyle w:val="TableText"/>
              <w:spacing w:before="40" w:after="40"/>
              <w:jc w:val="right"/>
            </w:pPr>
            <w:r w:rsidRPr="009E06AA">
              <w:rPr>
                <w:rFonts w:eastAsia="Calibri" w:cs="Calibri"/>
                <w:color w:val="000000"/>
                <w:szCs w:val="16"/>
              </w:rPr>
              <w:t>43.4</w:t>
            </w:r>
          </w:p>
        </w:tc>
        <w:tc>
          <w:tcPr>
            <w:tcW w:w="850" w:type="dxa"/>
            <w:shd w:val="clear" w:color="auto" w:fill="FFFFFF"/>
            <w:tcMar>
              <w:top w:w="0" w:type="dxa"/>
              <w:left w:w="85" w:type="dxa"/>
              <w:bottom w:w="0" w:type="dxa"/>
              <w:right w:w="85" w:type="dxa"/>
            </w:tcMar>
          </w:tcPr>
          <w:p w14:paraId="3B9A359A" w14:textId="77777777" w:rsidR="00053418" w:rsidRPr="009E06AA" w:rsidRDefault="00053418" w:rsidP="006051BE">
            <w:pPr>
              <w:pStyle w:val="TableText"/>
              <w:spacing w:before="40" w:after="40"/>
              <w:jc w:val="right"/>
            </w:pPr>
            <w:r w:rsidRPr="009E06AA">
              <w:rPr>
                <w:rFonts w:eastAsia="Calibri" w:cs="Calibri"/>
                <w:color w:val="000000"/>
                <w:szCs w:val="16"/>
              </w:rPr>
              <w:t>1.8</w:t>
            </w:r>
          </w:p>
        </w:tc>
      </w:tr>
      <w:tr w:rsidR="00053418" w:rsidRPr="009E06AA" w14:paraId="7D8464A7" w14:textId="77777777" w:rsidTr="00B55F24">
        <w:tc>
          <w:tcPr>
            <w:tcW w:w="2268" w:type="dxa"/>
            <w:shd w:val="clear" w:color="auto" w:fill="FFFFFF"/>
            <w:tcMar>
              <w:top w:w="0" w:type="dxa"/>
              <w:left w:w="85" w:type="dxa"/>
              <w:bottom w:w="0" w:type="dxa"/>
              <w:right w:w="85" w:type="dxa"/>
            </w:tcMar>
          </w:tcPr>
          <w:p w14:paraId="792DEE22" w14:textId="77777777" w:rsidR="00053418" w:rsidRPr="009E06AA" w:rsidRDefault="00053418" w:rsidP="00DA0812">
            <w:pPr>
              <w:pStyle w:val="TableText"/>
              <w:spacing w:before="40" w:after="40"/>
            </w:pPr>
            <w:r w:rsidRPr="009E06AA">
              <w:rPr>
                <w:rFonts w:eastAsia="Calibri" w:cs="Calibri"/>
                <w:color w:val="000000"/>
                <w:szCs w:val="16"/>
              </w:rPr>
              <w:t>2021</w:t>
            </w:r>
          </w:p>
        </w:tc>
        <w:tc>
          <w:tcPr>
            <w:tcW w:w="1559" w:type="dxa"/>
            <w:shd w:val="clear" w:color="auto" w:fill="FFFFFF"/>
            <w:tcMar>
              <w:top w:w="0" w:type="dxa"/>
              <w:left w:w="85" w:type="dxa"/>
              <w:bottom w:w="0" w:type="dxa"/>
              <w:right w:w="85" w:type="dxa"/>
            </w:tcMar>
          </w:tcPr>
          <w:p w14:paraId="72158509" w14:textId="77777777" w:rsidR="00053418" w:rsidRPr="009E06AA" w:rsidRDefault="00053418" w:rsidP="006051BE">
            <w:pPr>
              <w:pStyle w:val="TableText"/>
              <w:spacing w:before="40" w:after="40"/>
              <w:jc w:val="right"/>
            </w:pPr>
            <w:r w:rsidRPr="009E06AA">
              <w:rPr>
                <w:rFonts w:eastAsia="Calibri" w:cs="Calibri"/>
                <w:color w:val="000000"/>
                <w:szCs w:val="16"/>
              </w:rPr>
              <w:t>-8,658.8</w:t>
            </w:r>
          </w:p>
        </w:tc>
        <w:tc>
          <w:tcPr>
            <w:tcW w:w="1559" w:type="dxa"/>
            <w:shd w:val="clear" w:color="auto" w:fill="FFFFFF"/>
            <w:tcMar>
              <w:top w:w="0" w:type="dxa"/>
              <w:left w:w="85" w:type="dxa"/>
              <w:bottom w:w="0" w:type="dxa"/>
              <w:right w:w="85" w:type="dxa"/>
            </w:tcMar>
          </w:tcPr>
          <w:p w14:paraId="3E9D9FAF" w14:textId="77777777" w:rsidR="00053418" w:rsidRPr="009E06AA" w:rsidRDefault="00053418" w:rsidP="006051BE">
            <w:pPr>
              <w:pStyle w:val="TableText"/>
              <w:spacing w:before="40" w:after="40"/>
              <w:jc w:val="right"/>
            </w:pPr>
            <w:r w:rsidRPr="009E06AA">
              <w:rPr>
                <w:rFonts w:eastAsia="Calibri" w:cs="Calibri"/>
                <w:color w:val="000000"/>
                <w:szCs w:val="16"/>
              </w:rPr>
              <w:t>-8,806.0</w:t>
            </w:r>
          </w:p>
        </w:tc>
        <w:tc>
          <w:tcPr>
            <w:tcW w:w="2268" w:type="dxa"/>
            <w:shd w:val="clear" w:color="auto" w:fill="FFFFFF"/>
            <w:tcMar>
              <w:top w:w="0" w:type="dxa"/>
              <w:left w:w="85" w:type="dxa"/>
              <w:bottom w:w="0" w:type="dxa"/>
              <w:right w:w="85" w:type="dxa"/>
            </w:tcMar>
          </w:tcPr>
          <w:p w14:paraId="4003C854" w14:textId="77777777" w:rsidR="00053418" w:rsidRPr="009E06AA" w:rsidRDefault="00053418" w:rsidP="006051BE">
            <w:pPr>
              <w:pStyle w:val="TableText"/>
              <w:spacing w:before="40" w:after="40"/>
              <w:jc w:val="right"/>
            </w:pPr>
            <w:r w:rsidRPr="009E06AA">
              <w:rPr>
                <w:rFonts w:eastAsia="Calibri" w:cs="Calibri"/>
                <w:color w:val="000000"/>
                <w:szCs w:val="16"/>
              </w:rPr>
              <w:t>-147.2</w:t>
            </w:r>
          </w:p>
        </w:tc>
        <w:tc>
          <w:tcPr>
            <w:tcW w:w="850" w:type="dxa"/>
            <w:shd w:val="clear" w:color="auto" w:fill="FFFFFF"/>
            <w:tcMar>
              <w:top w:w="0" w:type="dxa"/>
              <w:left w:w="85" w:type="dxa"/>
              <w:bottom w:w="0" w:type="dxa"/>
              <w:right w:w="85" w:type="dxa"/>
            </w:tcMar>
          </w:tcPr>
          <w:p w14:paraId="6C290A7E" w14:textId="77777777" w:rsidR="00053418" w:rsidRPr="009E06AA" w:rsidRDefault="00053418" w:rsidP="006051BE">
            <w:pPr>
              <w:pStyle w:val="TableText"/>
              <w:spacing w:before="40" w:after="40"/>
              <w:jc w:val="right"/>
            </w:pPr>
            <w:r w:rsidRPr="009E06AA">
              <w:rPr>
                <w:rFonts w:eastAsia="Calibri" w:cs="Calibri"/>
                <w:color w:val="000000"/>
                <w:szCs w:val="16"/>
              </w:rPr>
              <w:t>-1.7</w:t>
            </w:r>
          </w:p>
        </w:tc>
      </w:tr>
    </w:tbl>
    <w:p w14:paraId="5B1655A0" w14:textId="77777777" w:rsidR="00053418" w:rsidRPr="009E06AA" w:rsidRDefault="00053418" w:rsidP="00DA0812">
      <w:pPr>
        <w:pStyle w:val="Heading3"/>
        <w:tabs>
          <w:tab w:val="clear" w:pos="851"/>
          <w:tab w:val="left" w:pos="993"/>
        </w:tabs>
        <w:spacing w:before="400"/>
      </w:pPr>
      <w:r w:rsidRPr="009E06AA">
        <w:t>6.10.6</w:t>
      </w:r>
      <w:r w:rsidRPr="009E06AA">
        <w:tab/>
        <w:t>Category-specific planned improvements</w:t>
      </w:r>
    </w:p>
    <w:p w14:paraId="02DFB7D1" w14:textId="77777777" w:rsidR="00053418" w:rsidRPr="009E06AA" w:rsidRDefault="00053418" w:rsidP="00053418">
      <w:pPr>
        <w:pStyle w:val="BodyText"/>
      </w:pPr>
      <w:r w:rsidRPr="009E06AA">
        <w:rPr>
          <w:rFonts w:asciiTheme="minorHAnsi" w:hAnsiTheme="minorHAnsi" w:cstheme="minorHAnsi"/>
          <w:bCs/>
          <w:color w:val="000000" w:themeColor="text1"/>
        </w:rPr>
        <w:t xml:space="preserve">Data are now available on the end-use and discard rates of New Zealand wood (Ministry for Primary Industries, 2022a; Wekesa, 2022). This information will be used to update the existing </w:t>
      </w:r>
      <w:r w:rsidRPr="009E06AA">
        <w:rPr>
          <w:rFonts w:asciiTheme="minorHAnsi" w:hAnsiTheme="minorHAnsi" w:cstheme="minorHAnsi"/>
          <w:bCs/>
          <w:i/>
          <w:iCs/>
          <w:color w:val="000000" w:themeColor="text1"/>
        </w:rPr>
        <w:t>Harvested wood products</w:t>
      </w:r>
      <w:r w:rsidRPr="009E06AA">
        <w:rPr>
          <w:rFonts w:asciiTheme="minorHAnsi" w:hAnsiTheme="minorHAnsi" w:cstheme="minorHAnsi"/>
          <w:bCs/>
          <w:color w:val="000000" w:themeColor="text1"/>
        </w:rPr>
        <w:t xml:space="preserve"> uncertainties calculation model. The findings will be included in the 2025 inventory submission.</w:t>
      </w:r>
      <w:bookmarkStart w:id="2672" w:name="_Toc522013958"/>
      <w:bookmarkStart w:id="2673" w:name="_Toc5269383"/>
      <w:bookmarkStart w:id="2674" w:name="_Toc36224423"/>
      <w:bookmarkStart w:id="2675" w:name="_Toc131591257"/>
    </w:p>
    <w:p w14:paraId="5B9B747D" w14:textId="77777777" w:rsidR="00053418" w:rsidRPr="009E06AA" w:rsidRDefault="00053418" w:rsidP="00053418">
      <w:pPr>
        <w:pStyle w:val="Heading2"/>
      </w:pPr>
      <w:bookmarkStart w:id="2676" w:name="_Toc158980304"/>
      <w:bookmarkStart w:id="2677" w:name="_Toc164154212"/>
      <w:r w:rsidRPr="009E06AA">
        <w:t>6.11</w:t>
      </w:r>
      <w:r w:rsidRPr="009E06AA">
        <w:tab/>
        <w:t>Non-CO</w:t>
      </w:r>
      <w:r w:rsidRPr="009E06AA">
        <w:rPr>
          <w:vertAlign w:val="subscript"/>
        </w:rPr>
        <w:t>2</w:t>
      </w:r>
      <w:r w:rsidRPr="009E06AA">
        <w:t xml:space="preserve"> emissions (4(I–V))</w:t>
      </w:r>
      <w:bookmarkEnd w:id="2672"/>
      <w:bookmarkEnd w:id="2673"/>
      <w:bookmarkEnd w:id="2674"/>
      <w:bookmarkEnd w:id="2675"/>
      <w:bookmarkEnd w:id="2676"/>
      <w:bookmarkEnd w:id="2677"/>
    </w:p>
    <w:p w14:paraId="75D0B5A7" w14:textId="77777777" w:rsidR="00053418" w:rsidRPr="009E06AA" w:rsidRDefault="00053418" w:rsidP="00053418">
      <w:pPr>
        <w:pStyle w:val="BodyText"/>
      </w:pPr>
      <w:bookmarkStart w:id="2678" w:name="_Toc280630350"/>
      <w:r w:rsidRPr="009E06AA">
        <w:t>In 2022, net N</w:t>
      </w:r>
      <w:r w:rsidRPr="009E06AA">
        <w:rPr>
          <w:vertAlign w:val="subscript"/>
        </w:rPr>
        <w:t>2</w:t>
      </w:r>
      <w:r w:rsidRPr="009E06AA">
        <w:t>O emissions from soils associated with land-use change reported in the LULUCF sector were 226.2 kt CO</w:t>
      </w:r>
      <w:r w:rsidRPr="009E06AA">
        <w:rPr>
          <w:vertAlign w:val="subscript"/>
        </w:rPr>
        <w:t>2</w:t>
      </w:r>
      <w:r w:rsidRPr="009E06AA">
        <w:t>-e (see table 6.11.1). This is 42.9 kt CO</w:t>
      </w:r>
      <w:r w:rsidRPr="009E06AA">
        <w:rPr>
          <w:vertAlign w:val="subscript"/>
        </w:rPr>
        <w:t>2</w:t>
      </w:r>
      <w:r w:rsidRPr="009E06AA">
        <w:t>-e (15.9 per cent) lower than the 1990 level of 269.0 kt CO</w:t>
      </w:r>
      <w:r w:rsidRPr="009E06AA">
        <w:rPr>
          <w:vertAlign w:val="subscript"/>
        </w:rPr>
        <w:t>2</w:t>
      </w:r>
      <w:r w:rsidRPr="009E06AA">
        <w:t>-e. This is primarily due to a reduction in direct emissions from nitrogen mineralisation/immobilisation.</w:t>
      </w:r>
    </w:p>
    <w:p w14:paraId="62D5BB21" w14:textId="2AD696D7" w:rsidR="00053418" w:rsidRPr="009E06AA" w:rsidRDefault="00053418" w:rsidP="00053418">
      <w:pPr>
        <w:pStyle w:val="Table"/>
      </w:pPr>
      <w:bookmarkStart w:id="2679" w:name="_Toc131591428"/>
      <w:bookmarkStart w:id="2680" w:name="_Toc158979986"/>
      <w:bookmarkStart w:id="2681" w:name="_Toc164153919"/>
      <w:r w:rsidRPr="009E06AA">
        <w:t>Table 6.11.1</w:t>
      </w:r>
      <w:r w:rsidRPr="009E06AA">
        <w:tab/>
        <w:t>Nitrous oxide emissions from soils associated with land-use change reported in the LULUCF sector</w:t>
      </w:r>
      <w:r w:rsidR="00E94383" w:rsidRPr="009E06AA">
        <w:t>,</w:t>
      </w:r>
      <w:r w:rsidRPr="009E06AA">
        <w:t xml:space="preserve"> from 1990 to 2022</w:t>
      </w:r>
      <w:bookmarkEnd w:id="2679"/>
      <w:bookmarkEnd w:id="2680"/>
      <w:bookmarkEnd w:id="2681"/>
    </w:p>
    <w:tbl>
      <w:tblPr>
        <w:tblW w:w="8505" w:type="dxa"/>
        <w:tblBorders>
          <w:top w:val="single" w:sz="4" w:space="0" w:color="1B556B" w:themeColor="text2"/>
          <w:bottom w:val="single" w:sz="4" w:space="0" w:color="1B556B" w:themeColor="text2"/>
          <w:insideH w:val="single" w:sz="4" w:space="0" w:color="1B556B" w:themeColor="text2"/>
        </w:tblBorders>
        <w:tblLayout w:type="fixed"/>
        <w:tblLook w:val="0420" w:firstRow="1" w:lastRow="0" w:firstColumn="0" w:lastColumn="0" w:noHBand="0" w:noVBand="1"/>
      </w:tblPr>
      <w:tblGrid>
        <w:gridCol w:w="3828"/>
        <w:gridCol w:w="850"/>
        <w:gridCol w:w="851"/>
        <w:gridCol w:w="992"/>
        <w:gridCol w:w="850"/>
        <w:gridCol w:w="1134"/>
      </w:tblGrid>
      <w:tr w:rsidR="00053418" w:rsidRPr="009E06AA" w14:paraId="47582BBA" w14:textId="77777777" w:rsidTr="00DA0812">
        <w:trPr>
          <w:tblHeader/>
        </w:trPr>
        <w:tc>
          <w:tcPr>
            <w:tcW w:w="3828" w:type="dxa"/>
            <w:shd w:val="clear" w:color="auto" w:fill="1B556B"/>
            <w:tcMar>
              <w:top w:w="0" w:type="dxa"/>
              <w:left w:w="85" w:type="dxa"/>
              <w:bottom w:w="0" w:type="dxa"/>
              <w:right w:w="85" w:type="dxa"/>
            </w:tcMar>
          </w:tcPr>
          <w:p w14:paraId="3C78DDBF" w14:textId="77777777" w:rsidR="00053418" w:rsidRPr="009E06AA" w:rsidRDefault="00053418" w:rsidP="00B55F24">
            <w:pPr>
              <w:pStyle w:val="TableText"/>
              <w:spacing w:after="0"/>
            </w:pPr>
          </w:p>
        </w:tc>
        <w:tc>
          <w:tcPr>
            <w:tcW w:w="1701" w:type="dxa"/>
            <w:gridSpan w:val="2"/>
            <w:shd w:val="clear" w:color="auto" w:fill="1B556B"/>
            <w:tcMar>
              <w:top w:w="0" w:type="dxa"/>
              <w:left w:w="85" w:type="dxa"/>
              <w:bottom w:w="0" w:type="dxa"/>
              <w:right w:w="85" w:type="dxa"/>
            </w:tcMar>
          </w:tcPr>
          <w:p w14:paraId="03DFAC6D" w14:textId="77777777" w:rsidR="00053418" w:rsidRPr="009E06AA" w:rsidRDefault="00053418" w:rsidP="00DA0812">
            <w:pPr>
              <w:pStyle w:val="TableText"/>
              <w:spacing w:after="0"/>
              <w:jc w:val="center"/>
            </w:pPr>
            <w:r w:rsidRPr="009E06AA">
              <w:rPr>
                <w:rFonts w:eastAsia="Calibri" w:cs="Calibri"/>
                <w:b/>
                <w:color w:val="FFFFFF"/>
                <w:szCs w:val="16"/>
              </w:rPr>
              <w:t>Net emissions (kt N₂O)</w:t>
            </w:r>
          </w:p>
        </w:tc>
        <w:tc>
          <w:tcPr>
            <w:tcW w:w="1842" w:type="dxa"/>
            <w:gridSpan w:val="2"/>
            <w:shd w:val="clear" w:color="auto" w:fill="1B556B"/>
            <w:tcMar>
              <w:top w:w="0" w:type="dxa"/>
              <w:left w:w="85" w:type="dxa"/>
              <w:bottom w:w="0" w:type="dxa"/>
              <w:right w:w="85" w:type="dxa"/>
            </w:tcMar>
          </w:tcPr>
          <w:p w14:paraId="36E68260" w14:textId="77777777" w:rsidR="00053418" w:rsidRPr="009E06AA" w:rsidRDefault="00053418" w:rsidP="00DA0812">
            <w:pPr>
              <w:pStyle w:val="TableText"/>
              <w:spacing w:after="0"/>
              <w:jc w:val="center"/>
            </w:pPr>
            <w:r w:rsidRPr="009E06AA">
              <w:rPr>
                <w:rFonts w:eastAsia="Calibri" w:cs="Calibri"/>
                <w:b/>
                <w:color w:val="FFFFFF"/>
                <w:szCs w:val="16"/>
              </w:rPr>
              <w:t>Net emissions (kt CO₂-e)</w:t>
            </w:r>
          </w:p>
        </w:tc>
        <w:tc>
          <w:tcPr>
            <w:tcW w:w="1134" w:type="dxa"/>
            <w:shd w:val="clear" w:color="auto" w:fill="1B556B"/>
            <w:tcMar>
              <w:top w:w="0" w:type="dxa"/>
              <w:left w:w="85" w:type="dxa"/>
              <w:bottom w:w="0" w:type="dxa"/>
              <w:right w:w="85" w:type="dxa"/>
            </w:tcMar>
          </w:tcPr>
          <w:p w14:paraId="4424803B" w14:textId="77777777" w:rsidR="00053418" w:rsidRPr="009E06AA" w:rsidRDefault="00053418" w:rsidP="00DA0812">
            <w:pPr>
              <w:pStyle w:val="TableText"/>
              <w:spacing w:after="0"/>
              <w:jc w:val="center"/>
            </w:pPr>
            <w:r w:rsidRPr="009E06AA">
              <w:rPr>
                <w:rFonts w:eastAsia="Calibri" w:cs="Calibri"/>
                <w:b/>
                <w:color w:val="FFFFFF"/>
                <w:szCs w:val="16"/>
              </w:rPr>
              <w:t>Change from</w:t>
            </w:r>
          </w:p>
        </w:tc>
      </w:tr>
      <w:tr w:rsidR="00053418" w:rsidRPr="009E06AA" w14:paraId="11D8D5D7" w14:textId="77777777" w:rsidTr="00DA0812">
        <w:trPr>
          <w:tblHeader/>
        </w:trPr>
        <w:tc>
          <w:tcPr>
            <w:tcW w:w="3828" w:type="dxa"/>
            <w:shd w:val="clear" w:color="auto" w:fill="1B556B"/>
            <w:tcMar>
              <w:top w:w="0" w:type="dxa"/>
              <w:left w:w="85" w:type="dxa"/>
              <w:bottom w:w="0" w:type="dxa"/>
              <w:right w:w="85" w:type="dxa"/>
            </w:tcMar>
          </w:tcPr>
          <w:p w14:paraId="1C9265AD" w14:textId="77777777" w:rsidR="00053418" w:rsidRPr="009E06AA" w:rsidRDefault="00053418" w:rsidP="00B55F24">
            <w:pPr>
              <w:pStyle w:val="TableText"/>
              <w:spacing w:before="40" w:after="40"/>
            </w:pPr>
            <w:r w:rsidRPr="009E06AA">
              <w:rPr>
                <w:rFonts w:eastAsia="Calibri" w:cs="Calibri"/>
                <w:b/>
                <w:color w:val="FFFFFF"/>
                <w:szCs w:val="16"/>
              </w:rPr>
              <w:t>Emissions source</w:t>
            </w:r>
          </w:p>
        </w:tc>
        <w:tc>
          <w:tcPr>
            <w:tcW w:w="850" w:type="dxa"/>
            <w:shd w:val="clear" w:color="auto" w:fill="1B556B"/>
            <w:tcMar>
              <w:top w:w="0" w:type="dxa"/>
              <w:left w:w="85" w:type="dxa"/>
              <w:bottom w:w="0" w:type="dxa"/>
              <w:right w:w="85" w:type="dxa"/>
            </w:tcMar>
          </w:tcPr>
          <w:p w14:paraId="37534EED" w14:textId="77777777" w:rsidR="00053418" w:rsidRPr="009E06AA" w:rsidRDefault="00053418" w:rsidP="00CA6694">
            <w:pPr>
              <w:pStyle w:val="TableText"/>
              <w:spacing w:before="40" w:after="40"/>
              <w:jc w:val="right"/>
            </w:pPr>
            <w:r w:rsidRPr="009E06AA">
              <w:rPr>
                <w:rFonts w:eastAsia="Calibri" w:cs="Calibri"/>
                <w:b/>
                <w:color w:val="FFFFFF"/>
                <w:szCs w:val="16"/>
              </w:rPr>
              <w:t>1990</w:t>
            </w:r>
          </w:p>
        </w:tc>
        <w:tc>
          <w:tcPr>
            <w:tcW w:w="851" w:type="dxa"/>
            <w:shd w:val="clear" w:color="auto" w:fill="1B556B"/>
            <w:tcMar>
              <w:top w:w="0" w:type="dxa"/>
              <w:left w:w="85" w:type="dxa"/>
              <w:bottom w:w="0" w:type="dxa"/>
              <w:right w:w="85" w:type="dxa"/>
            </w:tcMar>
          </w:tcPr>
          <w:p w14:paraId="1207B2F7" w14:textId="77777777" w:rsidR="00053418" w:rsidRPr="009E06AA" w:rsidRDefault="00053418" w:rsidP="00CA6694">
            <w:pPr>
              <w:pStyle w:val="TableText"/>
              <w:spacing w:before="40" w:after="40"/>
              <w:jc w:val="right"/>
            </w:pPr>
            <w:r w:rsidRPr="009E06AA">
              <w:rPr>
                <w:rFonts w:eastAsia="Calibri" w:cs="Calibri"/>
                <w:b/>
                <w:color w:val="FFFFFF"/>
                <w:szCs w:val="16"/>
              </w:rPr>
              <w:t>2022</w:t>
            </w:r>
          </w:p>
        </w:tc>
        <w:tc>
          <w:tcPr>
            <w:tcW w:w="992" w:type="dxa"/>
            <w:shd w:val="clear" w:color="auto" w:fill="1B556B"/>
            <w:tcMar>
              <w:top w:w="0" w:type="dxa"/>
              <w:left w:w="85" w:type="dxa"/>
              <w:bottom w:w="0" w:type="dxa"/>
              <w:right w:w="85" w:type="dxa"/>
            </w:tcMar>
          </w:tcPr>
          <w:p w14:paraId="4C69718A" w14:textId="77777777" w:rsidR="00053418" w:rsidRPr="009E06AA" w:rsidRDefault="00053418" w:rsidP="00CA6694">
            <w:pPr>
              <w:pStyle w:val="TableText"/>
              <w:spacing w:before="40" w:after="40"/>
              <w:jc w:val="right"/>
            </w:pPr>
            <w:r w:rsidRPr="009E06AA">
              <w:rPr>
                <w:rFonts w:eastAsia="Calibri" w:cs="Calibri"/>
                <w:b/>
                <w:color w:val="FFFFFF"/>
                <w:szCs w:val="16"/>
              </w:rPr>
              <w:t>1990</w:t>
            </w:r>
          </w:p>
        </w:tc>
        <w:tc>
          <w:tcPr>
            <w:tcW w:w="850" w:type="dxa"/>
            <w:shd w:val="clear" w:color="auto" w:fill="1B556B"/>
            <w:tcMar>
              <w:top w:w="0" w:type="dxa"/>
              <w:left w:w="85" w:type="dxa"/>
              <w:bottom w:w="0" w:type="dxa"/>
              <w:right w:w="85" w:type="dxa"/>
            </w:tcMar>
          </w:tcPr>
          <w:p w14:paraId="0435A3BD" w14:textId="77777777" w:rsidR="00053418" w:rsidRPr="009E06AA" w:rsidRDefault="00053418" w:rsidP="00CA6694">
            <w:pPr>
              <w:pStyle w:val="TableText"/>
              <w:spacing w:before="40" w:after="40"/>
              <w:jc w:val="right"/>
            </w:pPr>
            <w:r w:rsidRPr="009E06AA">
              <w:rPr>
                <w:rFonts w:eastAsia="Calibri" w:cs="Calibri"/>
                <w:b/>
                <w:color w:val="FFFFFF"/>
                <w:szCs w:val="16"/>
              </w:rPr>
              <w:t>2022</w:t>
            </w:r>
          </w:p>
        </w:tc>
        <w:tc>
          <w:tcPr>
            <w:tcW w:w="1134" w:type="dxa"/>
            <w:shd w:val="clear" w:color="auto" w:fill="1B556B"/>
            <w:tcMar>
              <w:top w:w="0" w:type="dxa"/>
              <w:left w:w="85" w:type="dxa"/>
              <w:bottom w:w="0" w:type="dxa"/>
              <w:right w:w="85" w:type="dxa"/>
            </w:tcMar>
          </w:tcPr>
          <w:p w14:paraId="18D72CA8" w14:textId="77777777" w:rsidR="00053418" w:rsidRPr="009E06AA" w:rsidRDefault="00053418" w:rsidP="00CA6694">
            <w:pPr>
              <w:pStyle w:val="TableText"/>
              <w:spacing w:before="40" w:after="40"/>
              <w:jc w:val="right"/>
            </w:pPr>
            <w:r w:rsidRPr="009E06AA">
              <w:rPr>
                <w:rFonts w:eastAsia="Calibri" w:cs="Calibri"/>
                <w:b/>
                <w:color w:val="FFFFFF"/>
                <w:szCs w:val="16"/>
              </w:rPr>
              <w:t>1990 (%)</w:t>
            </w:r>
          </w:p>
        </w:tc>
      </w:tr>
      <w:tr w:rsidR="00053418" w:rsidRPr="009E06AA" w14:paraId="375343EA" w14:textId="77777777" w:rsidTr="00DA0812">
        <w:tc>
          <w:tcPr>
            <w:tcW w:w="3828" w:type="dxa"/>
            <w:shd w:val="clear" w:color="auto" w:fill="FFFFFF"/>
            <w:tcMar>
              <w:top w:w="0" w:type="dxa"/>
              <w:left w:w="85" w:type="dxa"/>
              <w:bottom w:w="0" w:type="dxa"/>
              <w:right w:w="85" w:type="dxa"/>
            </w:tcMar>
          </w:tcPr>
          <w:p w14:paraId="46906469" w14:textId="77777777" w:rsidR="00053418" w:rsidRPr="009E06AA" w:rsidRDefault="00053418" w:rsidP="00B55F24">
            <w:pPr>
              <w:pStyle w:val="TableText"/>
              <w:spacing w:before="40" w:after="40"/>
            </w:pPr>
            <w:r w:rsidRPr="009E06AA">
              <w:rPr>
                <w:rFonts w:eastAsia="Calibri" w:cs="Calibri"/>
                <w:color w:val="000000"/>
                <w:szCs w:val="16"/>
              </w:rPr>
              <w:t>Direct emissions from drainage of organic and mineral soils*</w:t>
            </w:r>
          </w:p>
        </w:tc>
        <w:tc>
          <w:tcPr>
            <w:tcW w:w="850" w:type="dxa"/>
            <w:shd w:val="clear" w:color="auto" w:fill="FFFFFF"/>
            <w:tcMar>
              <w:top w:w="0" w:type="dxa"/>
              <w:left w:w="85" w:type="dxa"/>
              <w:bottom w:w="0" w:type="dxa"/>
              <w:right w:w="85" w:type="dxa"/>
            </w:tcMar>
          </w:tcPr>
          <w:p w14:paraId="2C68D8AD" w14:textId="77777777" w:rsidR="00053418" w:rsidRPr="009E06AA" w:rsidRDefault="00053418" w:rsidP="00CA6694">
            <w:pPr>
              <w:pStyle w:val="TableText"/>
              <w:spacing w:before="40" w:after="40"/>
              <w:jc w:val="right"/>
            </w:pPr>
            <w:r w:rsidRPr="009E06AA">
              <w:rPr>
                <w:rFonts w:eastAsia="Calibri" w:cs="Calibri"/>
                <w:color w:val="000000"/>
                <w:szCs w:val="16"/>
              </w:rPr>
              <w:t>0.3</w:t>
            </w:r>
          </w:p>
        </w:tc>
        <w:tc>
          <w:tcPr>
            <w:tcW w:w="851" w:type="dxa"/>
            <w:shd w:val="clear" w:color="auto" w:fill="FFFFFF"/>
            <w:tcMar>
              <w:top w:w="0" w:type="dxa"/>
              <w:left w:w="85" w:type="dxa"/>
              <w:bottom w:w="0" w:type="dxa"/>
              <w:right w:w="85" w:type="dxa"/>
            </w:tcMar>
          </w:tcPr>
          <w:p w14:paraId="4D4D3818" w14:textId="77777777" w:rsidR="00053418" w:rsidRPr="009E06AA" w:rsidRDefault="00053418" w:rsidP="00CA6694">
            <w:pPr>
              <w:pStyle w:val="TableText"/>
              <w:spacing w:before="40" w:after="40"/>
              <w:jc w:val="right"/>
            </w:pPr>
            <w:r w:rsidRPr="009E06AA">
              <w:rPr>
                <w:rFonts w:eastAsia="Calibri" w:cs="Calibri"/>
                <w:color w:val="000000"/>
                <w:szCs w:val="16"/>
              </w:rPr>
              <w:t>0.4</w:t>
            </w:r>
          </w:p>
        </w:tc>
        <w:tc>
          <w:tcPr>
            <w:tcW w:w="992" w:type="dxa"/>
            <w:shd w:val="clear" w:color="auto" w:fill="FFFFFF"/>
            <w:tcMar>
              <w:top w:w="0" w:type="dxa"/>
              <w:left w:w="85" w:type="dxa"/>
              <w:bottom w:w="0" w:type="dxa"/>
              <w:right w:w="85" w:type="dxa"/>
            </w:tcMar>
          </w:tcPr>
          <w:p w14:paraId="266DC2FE" w14:textId="77777777" w:rsidR="00053418" w:rsidRPr="009E06AA" w:rsidRDefault="00053418" w:rsidP="00CA6694">
            <w:pPr>
              <w:pStyle w:val="TableText"/>
              <w:spacing w:before="40" w:after="40"/>
              <w:jc w:val="right"/>
            </w:pPr>
            <w:r w:rsidRPr="009E06AA">
              <w:rPr>
                <w:rFonts w:eastAsia="Calibri" w:cs="Calibri"/>
                <w:color w:val="000000"/>
                <w:szCs w:val="16"/>
              </w:rPr>
              <w:t>67.0</w:t>
            </w:r>
          </w:p>
        </w:tc>
        <w:tc>
          <w:tcPr>
            <w:tcW w:w="850" w:type="dxa"/>
            <w:shd w:val="clear" w:color="auto" w:fill="FFFFFF"/>
            <w:tcMar>
              <w:top w:w="0" w:type="dxa"/>
              <w:left w:w="85" w:type="dxa"/>
              <w:bottom w:w="0" w:type="dxa"/>
              <w:right w:w="85" w:type="dxa"/>
            </w:tcMar>
          </w:tcPr>
          <w:p w14:paraId="5BDE4EAE" w14:textId="77777777" w:rsidR="00053418" w:rsidRPr="009E06AA" w:rsidRDefault="00053418" w:rsidP="00CA6694">
            <w:pPr>
              <w:pStyle w:val="TableText"/>
              <w:spacing w:before="40" w:after="40"/>
              <w:jc w:val="right"/>
            </w:pPr>
            <w:r w:rsidRPr="009E06AA">
              <w:rPr>
                <w:rFonts w:eastAsia="Calibri" w:cs="Calibri"/>
                <w:color w:val="000000"/>
                <w:szCs w:val="16"/>
              </w:rPr>
              <w:t>98.1</w:t>
            </w:r>
          </w:p>
        </w:tc>
        <w:tc>
          <w:tcPr>
            <w:tcW w:w="1134" w:type="dxa"/>
            <w:shd w:val="clear" w:color="auto" w:fill="FFFFFF"/>
            <w:tcMar>
              <w:top w:w="0" w:type="dxa"/>
              <w:left w:w="85" w:type="dxa"/>
              <w:bottom w:w="0" w:type="dxa"/>
              <w:right w:w="85" w:type="dxa"/>
            </w:tcMar>
          </w:tcPr>
          <w:p w14:paraId="7A7D6331" w14:textId="77777777" w:rsidR="00053418" w:rsidRPr="009E06AA" w:rsidRDefault="00053418" w:rsidP="00CA6694">
            <w:pPr>
              <w:pStyle w:val="TableText"/>
              <w:spacing w:before="40" w:after="40"/>
              <w:jc w:val="right"/>
            </w:pPr>
            <w:r w:rsidRPr="009E06AA">
              <w:rPr>
                <w:rFonts w:eastAsia="Calibri" w:cs="Calibri"/>
                <w:color w:val="000000"/>
                <w:szCs w:val="16"/>
              </w:rPr>
              <w:t>46.6</w:t>
            </w:r>
          </w:p>
        </w:tc>
      </w:tr>
      <w:tr w:rsidR="00053418" w:rsidRPr="009E06AA" w14:paraId="5BF80F39" w14:textId="77777777" w:rsidTr="00DA0812">
        <w:tc>
          <w:tcPr>
            <w:tcW w:w="3828" w:type="dxa"/>
            <w:shd w:val="clear" w:color="auto" w:fill="FFFFFF"/>
            <w:tcMar>
              <w:top w:w="0" w:type="dxa"/>
              <w:left w:w="85" w:type="dxa"/>
              <w:bottom w:w="0" w:type="dxa"/>
              <w:right w:w="85" w:type="dxa"/>
            </w:tcMar>
          </w:tcPr>
          <w:p w14:paraId="10613E41" w14:textId="77777777" w:rsidR="00053418" w:rsidRPr="009E06AA" w:rsidRDefault="00053418" w:rsidP="00B55F24">
            <w:pPr>
              <w:pStyle w:val="TableText"/>
              <w:spacing w:before="40" w:after="40"/>
            </w:pPr>
            <w:r w:rsidRPr="009E06AA">
              <w:rPr>
                <w:rFonts w:eastAsia="Calibri" w:cs="Calibri"/>
                <w:color w:val="000000"/>
                <w:szCs w:val="16"/>
              </w:rPr>
              <w:t>Direct emissions from nitrogen mineralisation/ immobilisation</w:t>
            </w:r>
          </w:p>
        </w:tc>
        <w:tc>
          <w:tcPr>
            <w:tcW w:w="850" w:type="dxa"/>
            <w:shd w:val="clear" w:color="auto" w:fill="FFFFFF"/>
            <w:tcMar>
              <w:top w:w="0" w:type="dxa"/>
              <w:left w:w="85" w:type="dxa"/>
              <w:bottom w:w="0" w:type="dxa"/>
              <w:right w:w="85" w:type="dxa"/>
            </w:tcMar>
          </w:tcPr>
          <w:p w14:paraId="7D9DF9B5" w14:textId="77777777" w:rsidR="00053418" w:rsidRPr="009E06AA" w:rsidRDefault="00053418" w:rsidP="00CA6694">
            <w:pPr>
              <w:pStyle w:val="TableText"/>
              <w:spacing w:before="40" w:after="40"/>
              <w:jc w:val="right"/>
            </w:pPr>
            <w:r w:rsidRPr="009E06AA">
              <w:rPr>
                <w:rFonts w:eastAsia="Calibri" w:cs="Calibri"/>
                <w:color w:val="000000"/>
                <w:szCs w:val="16"/>
              </w:rPr>
              <w:t>0.6</w:t>
            </w:r>
          </w:p>
        </w:tc>
        <w:tc>
          <w:tcPr>
            <w:tcW w:w="851" w:type="dxa"/>
            <w:shd w:val="clear" w:color="auto" w:fill="FFFFFF"/>
            <w:tcMar>
              <w:top w:w="0" w:type="dxa"/>
              <w:left w:w="85" w:type="dxa"/>
              <w:bottom w:w="0" w:type="dxa"/>
              <w:right w:w="85" w:type="dxa"/>
            </w:tcMar>
          </w:tcPr>
          <w:p w14:paraId="30819A81" w14:textId="77777777" w:rsidR="00053418" w:rsidRPr="009E06AA" w:rsidRDefault="00053418" w:rsidP="00CA6694">
            <w:pPr>
              <w:pStyle w:val="TableText"/>
              <w:spacing w:before="40" w:after="40"/>
              <w:jc w:val="right"/>
            </w:pPr>
            <w:r w:rsidRPr="009E06AA">
              <w:rPr>
                <w:rFonts w:eastAsia="Calibri" w:cs="Calibri"/>
                <w:color w:val="000000"/>
                <w:szCs w:val="16"/>
              </w:rPr>
              <w:t>0.4</w:t>
            </w:r>
          </w:p>
        </w:tc>
        <w:tc>
          <w:tcPr>
            <w:tcW w:w="992" w:type="dxa"/>
            <w:shd w:val="clear" w:color="auto" w:fill="FFFFFF"/>
            <w:tcMar>
              <w:top w:w="0" w:type="dxa"/>
              <w:left w:w="85" w:type="dxa"/>
              <w:bottom w:w="0" w:type="dxa"/>
              <w:right w:w="85" w:type="dxa"/>
            </w:tcMar>
          </w:tcPr>
          <w:p w14:paraId="7711032D" w14:textId="77777777" w:rsidR="00053418" w:rsidRPr="009E06AA" w:rsidRDefault="00053418" w:rsidP="00CA6694">
            <w:pPr>
              <w:pStyle w:val="TableText"/>
              <w:spacing w:before="40" w:after="40"/>
              <w:jc w:val="right"/>
            </w:pPr>
            <w:r w:rsidRPr="009E06AA">
              <w:rPr>
                <w:rFonts w:eastAsia="Calibri" w:cs="Calibri"/>
                <w:color w:val="000000"/>
                <w:szCs w:val="16"/>
              </w:rPr>
              <w:t>165.0</w:t>
            </w:r>
          </w:p>
        </w:tc>
        <w:tc>
          <w:tcPr>
            <w:tcW w:w="850" w:type="dxa"/>
            <w:shd w:val="clear" w:color="auto" w:fill="FFFFFF"/>
            <w:tcMar>
              <w:top w:w="0" w:type="dxa"/>
              <w:left w:w="85" w:type="dxa"/>
              <w:bottom w:w="0" w:type="dxa"/>
              <w:right w:w="85" w:type="dxa"/>
            </w:tcMar>
          </w:tcPr>
          <w:p w14:paraId="62B3DE04" w14:textId="77777777" w:rsidR="00053418" w:rsidRPr="009E06AA" w:rsidRDefault="00053418" w:rsidP="00CA6694">
            <w:pPr>
              <w:pStyle w:val="TableText"/>
              <w:spacing w:before="40" w:after="40"/>
              <w:jc w:val="right"/>
            </w:pPr>
            <w:r w:rsidRPr="009E06AA">
              <w:rPr>
                <w:rFonts w:eastAsia="Calibri" w:cs="Calibri"/>
                <w:color w:val="000000"/>
                <w:szCs w:val="16"/>
              </w:rPr>
              <w:t>104.5</w:t>
            </w:r>
          </w:p>
        </w:tc>
        <w:tc>
          <w:tcPr>
            <w:tcW w:w="1134" w:type="dxa"/>
            <w:shd w:val="clear" w:color="auto" w:fill="FFFFFF"/>
            <w:tcMar>
              <w:top w:w="0" w:type="dxa"/>
              <w:left w:w="85" w:type="dxa"/>
              <w:bottom w:w="0" w:type="dxa"/>
              <w:right w:w="85" w:type="dxa"/>
            </w:tcMar>
          </w:tcPr>
          <w:p w14:paraId="29592548" w14:textId="77777777" w:rsidR="00053418" w:rsidRPr="009E06AA" w:rsidRDefault="00053418" w:rsidP="00CA6694">
            <w:pPr>
              <w:pStyle w:val="TableText"/>
              <w:spacing w:before="40" w:after="40"/>
              <w:jc w:val="right"/>
            </w:pPr>
            <w:r w:rsidRPr="009E06AA">
              <w:rPr>
                <w:rFonts w:eastAsia="Calibri" w:cs="Calibri"/>
                <w:color w:val="000000"/>
                <w:szCs w:val="16"/>
              </w:rPr>
              <w:t>-36.6</w:t>
            </w:r>
          </w:p>
        </w:tc>
      </w:tr>
      <w:tr w:rsidR="00053418" w:rsidRPr="009E06AA" w14:paraId="368D943F" w14:textId="77777777" w:rsidTr="00DA0812">
        <w:tc>
          <w:tcPr>
            <w:tcW w:w="3828" w:type="dxa"/>
            <w:shd w:val="clear" w:color="auto" w:fill="FFFFFF"/>
            <w:tcMar>
              <w:top w:w="0" w:type="dxa"/>
              <w:left w:w="85" w:type="dxa"/>
              <w:bottom w:w="0" w:type="dxa"/>
              <w:right w:w="85" w:type="dxa"/>
            </w:tcMar>
          </w:tcPr>
          <w:p w14:paraId="566CF644" w14:textId="77777777" w:rsidR="00053418" w:rsidRPr="009E06AA" w:rsidRDefault="00053418" w:rsidP="00B55F24">
            <w:pPr>
              <w:pStyle w:val="TableText"/>
              <w:spacing w:before="40" w:after="40"/>
            </w:pPr>
            <w:r w:rsidRPr="009E06AA">
              <w:rPr>
                <w:rFonts w:eastAsia="Calibri" w:cs="Calibri"/>
                <w:color w:val="000000"/>
                <w:szCs w:val="16"/>
              </w:rPr>
              <w:t>Indirect emissions from leaching and runoff</w:t>
            </w:r>
          </w:p>
        </w:tc>
        <w:tc>
          <w:tcPr>
            <w:tcW w:w="850" w:type="dxa"/>
            <w:shd w:val="clear" w:color="auto" w:fill="FFFFFF"/>
            <w:tcMar>
              <w:top w:w="0" w:type="dxa"/>
              <w:left w:w="85" w:type="dxa"/>
              <w:bottom w:w="0" w:type="dxa"/>
              <w:right w:w="85" w:type="dxa"/>
            </w:tcMar>
          </w:tcPr>
          <w:p w14:paraId="2D307282" w14:textId="77777777" w:rsidR="00053418" w:rsidRPr="009E06AA" w:rsidRDefault="00053418" w:rsidP="00CA6694">
            <w:pPr>
              <w:pStyle w:val="TableText"/>
              <w:spacing w:before="40" w:after="40"/>
              <w:jc w:val="right"/>
            </w:pPr>
            <w:r w:rsidRPr="009E06AA">
              <w:rPr>
                <w:rFonts w:eastAsia="Calibri" w:cs="Calibri"/>
                <w:color w:val="000000"/>
                <w:szCs w:val="16"/>
              </w:rPr>
              <w:t>0.1</w:t>
            </w:r>
          </w:p>
        </w:tc>
        <w:tc>
          <w:tcPr>
            <w:tcW w:w="851" w:type="dxa"/>
            <w:shd w:val="clear" w:color="auto" w:fill="FFFFFF"/>
            <w:tcMar>
              <w:top w:w="0" w:type="dxa"/>
              <w:left w:w="85" w:type="dxa"/>
              <w:bottom w:w="0" w:type="dxa"/>
              <w:right w:w="85" w:type="dxa"/>
            </w:tcMar>
          </w:tcPr>
          <w:p w14:paraId="36A5BCF8" w14:textId="77777777" w:rsidR="00053418" w:rsidRPr="009E06AA" w:rsidRDefault="00053418" w:rsidP="00CA6694">
            <w:pPr>
              <w:pStyle w:val="TableText"/>
              <w:spacing w:before="40" w:after="40"/>
              <w:jc w:val="right"/>
            </w:pPr>
            <w:r w:rsidRPr="009E06AA">
              <w:rPr>
                <w:rFonts w:eastAsia="Calibri" w:cs="Calibri"/>
                <w:color w:val="000000"/>
                <w:szCs w:val="16"/>
              </w:rPr>
              <w:t>0.1</w:t>
            </w:r>
          </w:p>
        </w:tc>
        <w:tc>
          <w:tcPr>
            <w:tcW w:w="992" w:type="dxa"/>
            <w:shd w:val="clear" w:color="auto" w:fill="FFFFFF"/>
            <w:tcMar>
              <w:top w:w="0" w:type="dxa"/>
              <w:left w:w="85" w:type="dxa"/>
              <w:bottom w:w="0" w:type="dxa"/>
              <w:right w:w="85" w:type="dxa"/>
            </w:tcMar>
          </w:tcPr>
          <w:p w14:paraId="0F4F4479" w14:textId="77777777" w:rsidR="00053418" w:rsidRPr="009E06AA" w:rsidRDefault="00053418" w:rsidP="00CA6694">
            <w:pPr>
              <w:pStyle w:val="TableText"/>
              <w:spacing w:before="40" w:after="40"/>
              <w:jc w:val="right"/>
            </w:pPr>
            <w:r w:rsidRPr="009E06AA">
              <w:rPr>
                <w:rFonts w:eastAsia="Calibri" w:cs="Calibri"/>
                <w:color w:val="000000"/>
                <w:szCs w:val="16"/>
              </w:rPr>
              <w:t>37.1</w:t>
            </w:r>
          </w:p>
        </w:tc>
        <w:tc>
          <w:tcPr>
            <w:tcW w:w="850" w:type="dxa"/>
            <w:shd w:val="clear" w:color="auto" w:fill="FFFFFF"/>
            <w:tcMar>
              <w:top w:w="0" w:type="dxa"/>
              <w:left w:w="85" w:type="dxa"/>
              <w:bottom w:w="0" w:type="dxa"/>
              <w:right w:w="85" w:type="dxa"/>
            </w:tcMar>
          </w:tcPr>
          <w:p w14:paraId="6F028948" w14:textId="77777777" w:rsidR="00053418" w:rsidRPr="009E06AA" w:rsidRDefault="00053418" w:rsidP="00CA6694">
            <w:pPr>
              <w:pStyle w:val="TableText"/>
              <w:spacing w:before="40" w:after="40"/>
              <w:jc w:val="right"/>
            </w:pPr>
            <w:r w:rsidRPr="009E06AA">
              <w:rPr>
                <w:rFonts w:eastAsia="Calibri" w:cs="Calibri"/>
                <w:color w:val="000000"/>
                <w:szCs w:val="16"/>
              </w:rPr>
              <w:t>23.5</w:t>
            </w:r>
          </w:p>
        </w:tc>
        <w:tc>
          <w:tcPr>
            <w:tcW w:w="1134" w:type="dxa"/>
            <w:shd w:val="clear" w:color="auto" w:fill="FFFFFF"/>
            <w:tcMar>
              <w:top w:w="0" w:type="dxa"/>
              <w:left w:w="85" w:type="dxa"/>
              <w:bottom w:w="0" w:type="dxa"/>
              <w:right w:w="85" w:type="dxa"/>
            </w:tcMar>
          </w:tcPr>
          <w:p w14:paraId="4F597941" w14:textId="77777777" w:rsidR="00053418" w:rsidRPr="009E06AA" w:rsidRDefault="00053418" w:rsidP="00CA6694">
            <w:pPr>
              <w:pStyle w:val="TableText"/>
              <w:spacing w:before="40" w:after="40"/>
              <w:jc w:val="right"/>
            </w:pPr>
            <w:r w:rsidRPr="009E06AA">
              <w:rPr>
                <w:rFonts w:eastAsia="Calibri" w:cs="Calibri"/>
                <w:color w:val="000000"/>
                <w:szCs w:val="16"/>
              </w:rPr>
              <w:t>-36.6</w:t>
            </w:r>
          </w:p>
        </w:tc>
      </w:tr>
      <w:tr w:rsidR="00053418" w:rsidRPr="009E06AA" w14:paraId="54E6762A" w14:textId="77777777" w:rsidTr="00DA0812">
        <w:tc>
          <w:tcPr>
            <w:tcW w:w="3828" w:type="dxa"/>
            <w:shd w:val="clear" w:color="auto" w:fill="FFFFFF"/>
            <w:tcMar>
              <w:top w:w="0" w:type="dxa"/>
              <w:left w:w="85" w:type="dxa"/>
              <w:bottom w:w="0" w:type="dxa"/>
              <w:right w:w="85" w:type="dxa"/>
            </w:tcMar>
          </w:tcPr>
          <w:p w14:paraId="707D025C" w14:textId="77777777" w:rsidR="00053418" w:rsidRPr="009E06AA" w:rsidRDefault="00053418" w:rsidP="00B55F24">
            <w:pPr>
              <w:pStyle w:val="TableText"/>
              <w:spacing w:before="40" w:after="40"/>
            </w:pPr>
            <w:r w:rsidRPr="009E06AA">
              <w:rPr>
                <w:rFonts w:eastAsia="Calibri" w:cs="Calibri"/>
                <w:b/>
                <w:color w:val="1B556B"/>
                <w:szCs w:val="16"/>
              </w:rPr>
              <w:t>Total</w:t>
            </w:r>
          </w:p>
        </w:tc>
        <w:tc>
          <w:tcPr>
            <w:tcW w:w="850" w:type="dxa"/>
            <w:shd w:val="clear" w:color="auto" w:fill="FFFFFF"/>
            <w:tcMar>
              <w:top w:w="0" w:type="dxa"/>
              <w:left w:w="85" w:type="dxa"/>
              <w:bottom w:w="0" w:type="dxa"/>
              <w:right w:w="85" w:type="dxa"/>
            </w:tcMar>
          </w:tcPr>
          <w:p w14:paraId="06D07C96" w14:textId="77777777" w:rsidR="00053418" w:rsidRPr="009E06AA" w:rsidRDefault="00053418" w:rsidP="00CA6694">
            <w:pPr>
              <w:pStyle w:val="TableText"/>
              <w:spacing w:before="40" w:after="40"/>
              <w:jc w:val="right"/>
            </w:pPr>
            <w:r w:rsidRPr="009E06AA">
              <w:rPr>
                <w:rFonts w:eastAsia="Calibri" w:cs="Calibri"/>
                <w:b/>
                <w:color w:val="1B556B"/>
                <w:szCs w:val="16"/>
              </w:rPr>
              <w:t>1.0</w:t>
            </w:r>
          </w:p>
        </w:tc>
        <w:tc>
          <w:tcPr>
            <w:tcW w:w="851" w:type="dxa"/>
            <w:shd w:val="clear" w:color="auto" w:fill="FFFFFF"/>
            <w:tcMar>
              <w:top w:w="0" w:type="dxa"/>
              <w:left w:w="85" w:type="dxa"/>
              <w:bottom w:w="0" w:type="dxa"/>
              <w:right w:w="85" w:type="dxa"/>
            </w:tcMar>
          </w:tcPr>
          <w:p w14:paraId="07482F08" w14:textId="77777777" w:rsidR="00053418" w:rsidRPr="009E06AA" w:rsidRDefault="00053418" w:rsidP="00CA6694">
            <w:pPr>
              <w:pStyle w:val="TableText"/>
              <w:spacing w:before="40" w:after="40"/>
              <w:jc w:val="right"/>
            </w:pPr>
            <w:r w:rsidRPr="009E06AA">
              <w:rPr>
                <w:rFonts w:eastAsia="Calibri" w:cs="Calibri"/>
                <w:b/>
                <w:color w:val="1B556B"/>
                <w:szCs w:val="16"/>
              </w:rPr>
              <w:t>0.9</w:t>
            </w:r>
          </w:p>
        </w:tc>
        <w:tc>
          <w:tcPr>
            <w:tcW w:w="992" w:type="dxa"/>
            <w:shd w:val="clear" w:color="auto" w:fill="FFFFFF"/>
            <w:tcMar>
              <w:top w:w="0" w:type="dxa"/>
              <w:left w:w="85" w:type="dxa"/>
              <w:bottom w:w="0" w:type="dxa"/>
              <w:right w:w="85" w:type="dxa"/>
            </w:tcMar>
          </w:tcPr>
          <w:p w14:paraId="774103A5" w14:textId="77777777" w:rsidR="00053418" w:rsidRPr="009E06AA" w:rsidRDefault="00053418" w:rsidP="00CA6694">
            <w:pPr>
              <w:pStyle w:val="TableText"/>
              <w:spacing w:before="40" w:after="40"/>
              <w:jc w:val="right"/>
            </w:pPr>
            <w:r w:rsidRPr="009E06AA">
              <w:rPr>
                <w:rFonts w:eastAsia="Calibri" w:cs="Calibri"/>
                <w:b/>
                <w:color w:val="1B556B"/>
                <w:szCs w:val="16"/>
              </w:rPr>
              <w:t>269.0</w:t>
            </w:r>
          </w:p>
        </w:tc>
        <w:tc>
          <w:tcPr>
            <w:tcW w:w="850" w:type="dxa"/>
            <w:shd w:val="clear" w:color="auto" w:fill="FFFFFF"/>
            <w:tcMar>
              <w:top w:w="0" w:type="dxa"/>
              <w:left w:w="85" w:type="dxa"/>
              <w:bottom w:w="0" w:type="dxa"/>
              <w:right w:w="85" w:type="dxa"/>
            </w:tcMar>
          </w:tcPr>
          <w:p w14:paraId="1435C48F" w14:textId="77777777" w:rsidR="00053418" w:rsidRPr="009E06AA" w:rsidRDefault="00053418" w:rsidP="00CA6694">
            <w:pPr>
              <w:pStyle w:val="TableText"/>
              <w:spacing w:before="40" w:after="40"/>
              <w:jc w:val="right"/>
            </w:pPr>
            <w:r w:rsidRPr="009E06AA">
              <w:rPr>
                <w:rFonts w:eastAsia="Calibri" w:cs="Calibri"/>
                <w:b/>
                <w:color w:val="1B556B"/>
                <w:szCs w:val="16"/>
              </w:rPr>
              <w:t>226.2</w:t>
            </w:r>
          </w:p>
        </w:tc>
        <w:tc>
          <w:tcPr>
            <w:tcW w:w="1134" w:type="dxa"/>
            <w:shd w:val="clear" w:color="auto" w:fill="FFFFFF"/>
            <w:tcMar>
              <w:top w:w="0" w:type="dxa"/>
              <w:left w:w="85" w:type="dxa"/>
              <w:bottom w:w="0" w:type="dxa"/>
              <w:right w:w="85" w:type="dxa"/>
            </w:tcMar>
          </w:tcPr>
          <w:p w14:paraId="6DC25FEA" w14:textId="77777777" w:rsidR="00053418" w:rsidRPr="009E06AA" w:rsidRDefault="00053418" w:rsidP="00CA6694">
            <w:pPr>
              <w:pStyle w:val="TableText"/>
              <w:spacing w:before="40" w:after="40"/>
              <w:jc w:val="right"/>
            </w:pPr>
            <w:r w:rsidRPr="009E06AA">
              <w:rPr>
                <w:rFonts w:eastAsia="Calibri" w:cs="Calibri"/>
                <w:b/>
                <w:color w:val="1B556B"/>
                <w:szCs w:val="16"/>
              </w:rPr>
              <w:t>-15.9</w:t>
            </w:r>
          </w:p>
        </w:tc>
      </w:tr>
    </w:tbl>
    <w:p w14:paraId="2850014D" w14:textId="77777777" w:rsidR="00053418" w:rsidRPr="009E06AA" w:rsidRDefault="00053418" w:rsidP="00053418">
      <w:pPr>
        <w:pStyle w:val="Noteundertable"/>
      </w:pPr>
      <w:r w:rsidRPr="009E06AA">
        <w:rPr>
          <w:b/>
        </w:rPr>
        <w:t>Note:</w:t>
      </w:r>
      <w:r w:rsidRPr="009E06AA">
        <w:rPr>
          <w:bCs/>
        </w:rPr>
        <w:tab/>
      </w:r>
      <w:r w:rsidRPr="009E06AA">
        <w:t xml:space="preserve">Columns may not total due to </w:t>
      </w:r>
      <w:r w:rsidRPr="009E06AA" w:rsidDel="00963486">
        <w:t>rounding</w:t>
      </w:r>
      <w:r w:rsidRPr="009E06AA">
        <w:t xml:space="preserve">. * Direct nitrous oxide emissions reported in this table are for </w:t>
      </w:r>
      <w:r w:rsidRPr="009E06AA">
        <w:rPr>
          <w:i/>
          <w:iCs/>
        </w:rPr>
        <w:t>Forest land</w:t>
      </w:r>
      <w:r w:rsidRPr="009E06AA">
        <w:t xml:space="preserve"> only. Nitrous oxide</w:t>
      </w:r>
      <w:r w:rsidRPr="009E06AA" w:rsidDel="00172632">
        <w:t xml:space="preserve"> </w:t>
      </w:r>
      <w:r w:rsidRPr="009E06AA">
        <w:t xml:space="preserve">emissions on </w:t>
      </w:r>
      <w:r w:rsidRPr="009E06AA">
        <w:rPr>
          <w:i/>
          <w:iCs/>
        </w:rPr>
        <w:t>Cropland</w:t>
      </w:r>
      <w:r w:rsidRPr="009E06AA">
        <w:t xml:space="preserve"> and </w:t>
      </w:r>
      <w:r w:rsidRPr="009E06AA">
        <w:rPr>
          <w:i/>
          <w:iCs/>
        </w:rPr>
        <w:t>Grassland</w:t>
      </w:r>
      <w:r w:rsidRPr="009E06AA">
        <w:t xml:space="preserve"> are reported under the Agriculture sector.</w:t>
      </w:r>
    </w:p>
    <w:p w14:paraId="204EAADC" w14:textId="77777777" w:rsidR="00053418" w:rsidRPr="009E06AA" w:rsidRDefault="00053418" w:rsidP="00053418">
      <w:pPr>
        <w:pStyle w:val="Heading3"/>
      </w:pPr>
      <w:r w:rsidRPr="009E06AA">
        <w:t xml:space="preserve">6.11.1 </w:t>
      </w:r>
      <w:r w:rsidRPr="009E06AA">
        <w:tab/>
        <w:t>Direct N</w:t>
      </w:r>
      <w:r w:rsidRPr="009E06AA">
        <w:rPr>
          <w:vertAlign w:val="subscript"/>
        </w:rPr>
        <w:t>2</w:t>
      </w:r>
      <w:r w:rsidRPr="009E06AA">
        <w:t>O emissions from nitrogen fertilisation of forest land and other land (4(I)</w:t>
      </w:r>
      <w:bookmarkEnd w:id="2678"/>
      <w:r w:rsidRPr="009E06AA">
        <w:t>)</w:t>
      </w:r>
    </w:p>
    <w:p w14:paraId="04FD8321" w14:textId="77777777" w:rsidR="00053418" w:rsidRPr="009E06AA" w:rsidRDefault="00053418" w:rsidP="00053418">
      <w:pPr>
        <w:pStyle w:val="BodyText"/>
        <w:spacing w:before="100" w:after="100"/>
      </w:pPr>
      <w:r w:rsidRPr="009E06AA">
        <w:rPr>
          <w:spacing w:val="-2"/>
        </w:rPr>
        <w:t>New Zealand’s activity data on nitrogen fertilisation are not currently disaggregated by land use</w:t>
      </w:r>
      <w:r w:rsidRPr="009E06AA">
        <w:t xml:space="preserve"> </w:t>
      </w:r>
      <w:r w:rsidRPr="009E06AA">
        <w:rPr>
          <w:spacing w:val="-2"/>
        </w:rPr>
        <w:t>and, therefore, all direct N</w:t>
      </w:r>
      <w:r w:rsidRPr="009E06AA">
        <w:rPr>
          <w:spacing w:val="-2"/>
          <w:vertAlign w:val="subscript"/>
        </w:rPr>
        <w:t>2</w:t>
      </w:r>
      <w:r w:rsidRPr="009E06AA">
        <w:rPr>
          <w:spacing w:val="-2"/>
        </w:rPr>
        <w:t>O emissions from nitrogen fertilisation of</w:t>
      </w:r>
      <w:r w:rsidRPr="009E06AA">
        <w:rPr>
          <w:i/>
          <w:spacing w:val="-2"/>
        </w:rPr>
        <w:t xml:space="preserve"> Forest land </w:t>
      </w:r>
      <w:r w:rsidRPr="009E06AA">
        <w:rPr>
          <w:spacing w:val="-2"/>
        </w:rPr>
        <w:t>and</w:t>
      </w:r>
      <w:r w:rsidRPr="009E06AA">
        <w:rPr>
          <w:i/>
          <w:spacing w:val="-2"/>
        </w:rPr>
        <w:t xml:space="preserve"> Other land</w:t>
      </w:r>
      <w:r w:rsidRPr="009E06AA">
        <w:t xml:space="preserve"> are reported in the Agriculture sector under the category </w:t>
      </w:r>
      <w:r w:rsidRPr="009E06AA">
        <w:rPr>
          <w:i/>
        </w:rPr>
        <w:t>Direct N</w:t>
      </w:r>
      <w:r w:rsidRPr="009E06AA">
        <w:rPr>
          <w:i/>
          <w:vertAlign w:val="subscript"/>
        </w:rPr>
        <w:t>2</w:t>
      </w:r>
      <w:r w:rsidRPr="009E06AA">
        <w:rPr>
          <w:i/>
        </w:rPr>
        <w:t>O emissions from managed soils</w:t>
      </w:r>
      <w:r w:rsidRPr="009E06AA">
        <w:t xml:space="preserve"> (3.D.a). The notation key IE is reported in the CRTs for the LULUCF sector.</w:t>
      </w:r>
    </w:p>
    <w:p w14:paraId="0C9C4E3A" w14:textId="77777777" w:rsidR="00053418" w:rsidRPr="009E06AA" w:rsidRDefault="00053418" w:rsidP="00053418">
      <w:pPr>
        <w:pStyle w:val="Heading3"/>
        <w:spacing w:before="320"/>
      </w:pPr>
      <w:bookmarkStart w:id="2682" w:name="_Toc280630351"/>
      <w:r w:rsidRPr="009E06AA">
        <w:t xml:space="preserve">6.11.2 </w:t>
      </w:r>
      <w:r w:rsidRPr="009E06AA">
        <w:tab/>
        <w:t>Emissions from drainage and rewetting of organic and mineral soils (4(II)</w:t>
      </w:r>
      <w:bookmarkEnd w:id="2682"/>
      <w:r w:rsidRPr="009E06AA">
        <w:t xml:space="preserve">) </w:t>
      </w:r>
    </w:p>
    <w:p w14:paraId="6371B440" w14:textId="77777777" w:rsidR="00053418" w:rsidRPr="009E06AA" w:rsidRDefault="00053418" w:rsidP="00053418">
      <w:pPr>
        <w:pStyle w:val="Heading4"/>
      </w:pPr>
      <w:r w:rsidRPr="009E06AA">
        <w:t xml:space="preserve">Description </w:t>
      </w:r>
    </w:p>
    <w:p w14:paraId="1C1CE966" w14:textId="77777777" w:rsidR="00053418" w:rsidRPr="009E06AA" w:rsidRDefault="00053418" w:rsidP="00053418">
      <w:pPr>
        <w:pStyle w:val="BodyText"/>
        <w:spacing w:before="100" w:after="100"/>
      </w:pPr>
      <w:r w:rsidRPr="009E06AA">
        <w:t>New Zealand reports on N</w:t>
      </w:r>
      <w:r w:rsidRPr="009E06AA">
        <w:rPr>
          <w:vertAlign w:val="subscript"/>
        </w:rPr>
        <w:t>2</w:t>
      </w:r>
      <w:r w:rsidRPr="009E06AA">
        <w:t>O emissions, as a result of oxidation of organic matter, from the drainage of organic soils. Nitrous oxide</w:t>
      </w:r>
      <w:r w:rsidRPr="009E06AA" w:rsidDel="00C353F0">
        <w:t xml:space="preserve"> </w:t>
      </w:r>
      <w:r w:rsidRPr="009E06AA">
        <w:t xml:space="preserve">emissions on </w:t>
      </w:r>
      <w:r w:rsidRPr="009E06AA">
        <w:rPr>
          <w:i/>
          <w:iCs/>
        </w:rPr>
        <w:t>Cropland</w:t>
      </w:r>
      <w:r w:rsidRPr="009E06AA">
        <w:t xml:space="preserve"> and </w:t>
      </w:r>
      <w:r w:rsidRPr="009E06AA">
        <w:rPr>
          <w:i/>
          <w:iCs/>
        </w:rPr>
        <w:t>Grassland</w:t>
      </w:r>
      <w:r w:rsidRPr="009E06AA">
        <w:t xml:space="preserve"> are reported under the Agriculture sector. Direct N</w:t>
      </w:r>
      <w:r w:rsidRPr="009E06AA">
        <w:rPr>
          <w:vertAlign w:val="subscript"/>
        </w:rPr>
        <w:t>2</w:t>
      </w:r>
      <w:r w:rsidRPr="009E06AA">
        <w:t xml:space="preserve">O emissions from drained organic soils in </w:t>
      </w:r>
      <w:r w:rsidRPr="009E06AA">
        <w:rPr>
          <w:i/>
        </w:rPr>
        <w:t>Forest land</w:t>
      </w:r>
      <w:r w:rsidRPr="009E06AA">
        <w:t xml:space="preserve"> are estimated to be 0.4 kt N</w:t>
      </w:r>
      <w:r w:rsidRPr="009E06AA">
        <w:rPr>
          <w:spacing w:val="-2"/>
          <w:vertAlign w:val="subscript"/>
        </w:rPr>
        <w:t>2</w:t>
      </w:r>
      <w:r w:rsidRPr="009E06AA">
        <w:t>O in 2022, compared with 0.3 kt N</w:t>
      </w:r>
      <w:r w:rsidRPr="009E06AA">
        <w:rPr>
          <w:spacing w:val="-2"/>
          <w:vertAlign w:val="subscript"/>
        </w:rPr>
        <w:t>2</w:t>
      </w:r>
      <w:r w:rsidRPr="009E06AA">
        <w:t xml:space="preserve">O in 1990. The notation key NE is reported in the CRTs for rewetted mineral soils. </w:t>
      </w:r>
    </w:p>
    <w:p w14:paraId="1C32A1FC" w14:textId="77777777" w:rsidR="00053418" w:rsidRPr="009E06AA" w:rsidRDefault="00053418" w:rsidP="00053418">
      <w:pPr>
        <w:pStyle w:val="Heading4"/>
      </w:pPr>
      <w:r w:rsidRPr="009E06AA">
        <w:t>Methodological issues</w:t>
      </w:r>
    </w:p>
    <w:p w14:paraId="5D7CEF4D" w14:textId="77777777" w:rsidR="00053418" w:rsidRPr="009E06AA" w:rsidRDefault="00053418" w:rsidP="00053418">
      <w:pPr>
        <w:pStyle w:val="BodyText"/>
        <w:spacing w:before="100" w:after="100"/>
      </w:pPr>
      <w:r w:rsidRPr="009E06AA">
        <w:t>To estimate N</w:t>
      </w:r>
      <w:r w:rsidRPr="009E06AA">
        <w:rPr>
          <w:vertAlign w:val="subscript"/>
        </w:rPr>
        <w:t>2</w:t>
      </w:r>
      <w:r w:rsidRPr="009E06AA">
        <w:t>O emissions associated with the drainage of organic soils on forest land, New Zealand uses the Tier 1 method outlined in the 2006 IPCC Guidelines (equation 11.1, IPCC, 2006a). The Tier 1 default value for temperate, nutrient-poor forest soils of 0.1 kg N</w:t>
      </w:r>
      <w:r w:rsidRPr="009E06AA">
        <w:rPr>
          <w:vertAlign w:val="subscript"/>
        </w:rPr>
        <w:t>2</w:t>
      </w:r>
      <w:r w:rsidRPr="009E06AA">
        <w:t>O-N ha</w:t>
      </w:r>
      <w:r w:rsidRPr="009E06AA">
        <w:rPr>
          <w:vertAlign w:val="superscript"/>
        </w:rPr>
        <w:t>-1</w:t>
      </w:r>
      <w:r w:rsidRPr="009E06AA">
        <w:t xml:space="preserve"> is applied. Note that the area of pre-1990 natural forest remaining pre-1990 natural forest on organic soils is assumed to be in its natural, undisturbed state, and therefore is presumed to be undrained. </w:t>
      </w:r>
    </w:p>
    <w:p w14:paraId="1CF54400" w14:textId="77777777" w:rsidR="00053418" w:rsidRPr="009E06AA" w:rsidRDefault="00053418" w:rsidP="00053418">
      <w:pPr>
        <w:pStyle w:val="Heading3"/>
        <w:spacing w:before="320"/>
      </w:pPr>
      <w:bookmarkStart w:id="2683" w:name="_Toc280630352"/>
      <w:r w:rsidRPr="009E06AA">
        <w:t xml:space="preserve">6.11.3 </w:t>
      </w:r>
      <w:r w:rsidRPr="009E06AA">
        <w:tab/>
        <w:t>Direct N</w:t>
      </w:r>
      <w:r w:rsidRPr="009E06AA">
        <w:rPr>
          <w:vertAlign w:val="subscript"/>
        </w:rPr>
        <w:t>2</w:t>
      </w:r>
      <w:r w:rsidRPr="009E06AA">
        <w:t>O emissions from nitrogen mineralisation/immobilisation (4(III)</w:t>
      </w:r>
      <w:bookmarkEnd w:id="2683"/>
      <w:r w:rsidRPr="009E06AA">
        <w:t>)</w:t>
      </w:r>
    </w:p>
    <w:p w14:paraId="083E847A" w14:textId="77777777" w:rsidR="00053418" w:rsidRPr="009E06AA" w:rsidRDefault="00053418" w:rsidP="00053418">
      <w:pPr>
        <w:pStyle w:val="Heading4"/>
      </w:pPr>
      <w:bookmarkStart w:id="2684" w:name="_Toc280630353"/>
      <w:r w:rsidRPr="009E06AA">
        <w:t>Description</w:t>
      </w:r>
      <w:bookmarkEnd w:id="2684"/>
      <w:r w:rsidRPr="009E06AA">
        <w:t xml:space="preserve"> </w:t>
      </w:r>
    </w:p>
    <w:p w14:paraId="616CF2F1" w14:textId="77777777" w:rsidR="00053418" w:rsidRPr="009E06AA" w:rsidRDefault="00053418" w:rsidP="00053418">
      <w:pPr>
        <w:pStyle w:val="BodyText"/>
        <w:spacing w:before="100" w:after="100"/>
      </w:pPr>
      <w:r w:rsidRPr="009E06AA">
        <w:t>Direct N</w:t>
      </w:r>
      <w:r w:rsidRPr="009E06AA">
        <w:rPr>
          <w:spacing w:val="-2"/>
          <w:vertAlign w:val="subscript"/>
        </w:rPr>
        <w:t>2</w:t>
      </w:r>
      <w:r w:rsidRPr="009E06AA">
        <w:t>O emissions from nitrogen mineralisation/immobilisation are minor in New Zealand, estimated at 0.4 kt N</w:t>
      </w:r>
      <w:r w:rsidRPr="009E06AA">
        <w:rPr>
          <w:spacing w:val="-2"/>
          <w:vertAlign w:val="subscript"/>
        </w:rPr>
        <w:t>2</w:t>
      </w:r>
      <w:r w:rsidRPr="009E06AA">
        <w:t>O in 2022, compared with 0.6 kt N</w:t>
      </w:r>
      <w:r w:rsidRPr="009E06AA">
        <w:rPr>
          <w:spacing w:val="-2"/>
          <w:vertAlign w:val="subscript"/>
        </w:rPr>
        <w:t>2</w:t>
      </w:r>
      <w:r w:rsidRPr="009E06AA">
        <w:t>O in 1990. Note that N</w:t>
      </w:r>
      <w:r w:rsidRPr="009E06AA">
        <w:rPr>
          <w:vertAlign w:val="subscript"/>
        </w:rPr>
        <w:t>2</w:t>
      </w:r>
      <w:r w:rsidRPr="009E06AA">
        <w:t xml:space="preserve">O emissions on </w:t>
      </w:r>
      <w:r w:rsidRPr="009E06AA">
        <w:rPr>
          <w:i/>
          <w:iCs/>
        </w:rPr>
        <w:t>Cropland</w:t>
      </w:r>
      <w:r w:rsidRPr="009E06AA">
        <w:rPr>
          <w:i/>
        </w:rPr>
        <w:t xml:space="preserve"> remaining </w:t>
      </w:r>
      <w:r w:rsidRPr="009E06AA">
        <w:rPr>
          <w:i/>
          <w:iCs/>
        </w:rPr>
        <w:t>cropland</w:t>
      </w:r>
      <w:r w:rsidRPr="009E06AA">
        <w:t xml:space="preserve"> from nitrogen mineralisation/immobilisation are reported </w:t>
      </w:r>
      <w:r w:rsidRPr="009E06AA">
        <w:rPr>
          <w:spacing w:val="-2"/>
        </w:rPr>
        <w:t>under the Agriculture sector. Direct N</w:t>
      </w:r>
      <w:r w:rsidRPr="009E06AA">
        <w:rPr>
          <w:spacing w:val="-2"/>
          <w:vertAlign w:val="subscript"/>
        </w:rPr>
        <w:t>2</w:t>
      </w:r>
      <w:r w:rsidRPr="009E06AA">
        <w:rPr>
          <w:spacing w:val="-2"/>
        </w:rPr>
        <w:t>O emissions from nitrogen mineralisation/immobilisation</w:t>
      </w:r>
      <w:r w:rsidRPr="009E06AA">
        <w:t xml:space="preserve"> associated with land-use change for all other land use categories are reported under the LULUCF sector.</w:t>
      </w:r>
    </w:p>
    <w:p w14:paraId="2BB0F15A" w14:textId="77777777" w:rsidR="00053418" w:rsidRPr="009E06AA" w:rsidRDefault="00053418" w:rsidP="00053418">
      <w:pPr>
        <w:pStyle w:val="BodyText"/>
        <w:spacing w:after="100"/>
      </w:pPr>
      <w:r w:rsidRPr="009E06AA">
        <w:t>Nitrous oxide emissions result from the mineralisation of soil organic matter with land-use change. This mineralisation results in an associated conversion of nitrogen previously in the soil organic matter to ammonium and nitrate. Microbial activity in the soil converts some of the ammonium and nitrate present to N</w:t>
      </w:r>
      <w:r w:rsidRPr="009E06AA">
        <w:rPr>
          <w:vertAlign w:val="subscript"/>
        </w:rPr>
        <w:t>2</w:t>
      </w:r>
      <w:r w:rsidRPr="009E06AA">
        <w:t>O. An increase in this microbial substrate caused by a net decrease in soil organic matter can therefore be expected to give an increase in net N</w:t>
      </w:r>
      <w:r w:rsidRPr="009E06AA">
        <w:rPr>
          <w:vertAlign w:val="subscript"/>
        </w:rPr>
        <w:t>2</w:t>
      </w:r>
      <w:r w:rsidRPr="009E06AA">
        <w:t>O emissions (section 11, IPCC, 2006a).</w:t>
      </w:r>
    </w:p>
    <w:p w14:paraId="3E27CF74" w14:textId="77777777" w:rsidR="00053418" w:rsidRPr="009E06AA" w:rsidRDefault="00053418" w:rsidP="00053418">
      <w:pPr>
        <w:pStyle w:val="Heading4"/>
        <w:spacing w:before="200"/>
      </w:pPr>
      <w:bookmarkStart w:id="2685" w:name="_Toc280630354"/>
      <w:r w:rsidRPr="009E06AA">
        <w:t>Methodological issues</w:t>
      </w:r>
      <w:bookmarkEnd w:id="2685"/>
    </w:p>
    <w:p w14:paraId="184E731A" w14:textId="77777777" w:rsidR="00053418" w:rsidRPr="009E06AA" w:rsidRDefault="00053418" w:rsidP="00053418">
      <w:pPr>
        <w:pStyle w:val="BodyText"/>
        <w:spacing w:before="100" w:after="100"/>
      </w:pPr>
      <w:r w:rsidRPr="009E06AA">
        <w:t>To estimate N</w:t>
      </w:r>
      <w:r w:rsidRPr="009E06AA">
        <w:rPr>
          <w:vertAlign w:val="subscript"/>
        </w:rPr>
        <w:t>2</w:t>
      </w:r>
      <w:r w:rsidRPr="009E06AA">
        <w:t xml:space="preserve">O emissions from disturbance associated with land-use change, New Zealand uses the method outlined in the 2006 IPCC Guidelines (equations 11.2 and 11.8, IPCC, 2006a). </w:t>
      </w:r>
    </w:p>
    <w:p w14:paraId="14A27DBF" w14:textId="77777777" w:rsidR="00053418" w:rsidRPr="009E06AA" w:rsidRDefault="00053418" w:rsidP="00053418">
      <w:pPr>
        <w:pStyle w:val="BodyText"/>
        <w:keepNext/>
        <w:spacing w:before="100" w:after="100"/>
      </w:pPr>
      <w:r w:rsidRPr="009E06AA">
        <w:t>The inputs to these equations are:</w:t>
      </w:r>
    </w:p>
    <w:p w14:paraId="38BEBEEF" w14:textId="77777777" w:rsidR="00053418" w:rsidRPr="009E06AA" w:rsidRDefault="00053418" w:rsidP="00053418">
      <w:pPr>
        <w:pStyle w:val="Bullet"/>
        <w:numPr>
          <w:ilvl w:val="0"/>
          <w:numId w:val="29"/>
        </w:numPr>
        <w:spacing w:after="100"/>
        <w:ind w:left="397" w:hanging="397"/>
      </w:pPr>
      <w:r w:rsidRPr="009E06AA">
        <w:t>loss of carbon in mineral soils</w:t>
      </w:r>
    </w:p>
    <w:p w14:paraId="08AFB9A9" w14:textId="77777777" w:rsidR="00053418" w:rsidRPr="009E06AA" w:rsidRDefault="00053418" w:rsidP="00053418">
      <w:pPr>
        <w:pStyle w:val="Bullet"/>
        <w:numPr>
          <w:ilvl w:val="0"/>
          <w:numId w:val="29"/>
        </w:numPr>
        <w:spacing w:after="100"/>
        <w:ind w:left="397" w:hanging="397"/>
      </w:pPr>
      <w:r w:rsidRPr="009E06AA">
        <w:t>EF1 – the emission factor for calculating emissions of N</w:t>
      </w:r>
      <w:r w:rsidRPr="009E06AA">
        <w:rPr>
          <w:vertAlign w:val="subscript"/>
        </w:rPr>
        <w:t>2</w:t>
      </w:r>
      <w:r w:rsidRPr="009E06AA">
        <w:t>O from nitrogen in the soil. New Zealand uses a country-specific value of 0.01 kg N</w:t>
      </w:r>
      <w:r w:rsidRPr="009E06AA">
        <w:rPr>
          <w:vertAlign w:val="subscript"/>
        </w:rPr>
        <w:t>2</w:t>
      </w:r>
      <w:r w:rsidRPr="009E06AA">
        <w:t>O – N/kg N (Kelliher and de Klein, unpublished)</w:t>
      </w:r>
    </w:p>
    <w:p w14:paraId="58722BE9" w14:textId="77777777" w:rsidR="00053418" w:rsidRPr="009E06AA" w:rsidRDefault="00053418" w:rsidP="00053418">
      <w:pPr>
        <w:pStyle w:val="Bullet"/>
        <w:numPr>
          <w:ilvl w:val="0"/>
          <w:numId w:val="29"/>
        </w:numPr>
        <w:spacing w:after="100"/>
        <w:ind w:left="397" w:hanging="397"/>
      </w:pPr>
      <w:r w:rsidRPr="009E06AA">
        <w:t xml:space="preserve">C:N ratio – the IPCC default ratio of carbon to nitrogen in soil organic matter (15:1) is used (IPCC, 2006a, p 11.16). </w:t>
      </w:r>
    </w:p>
    <w:p w14:paraId="2F0B673B" w14:textId="77777777" w:rsidR="00053418" w:rsidRPr="009E06AA" w:rsidRDefault="00053418" w:rsidP="00053418">
      <w:pPr>
        <w:pStyle w:val="BodyText"/>
        <w:spacing w:before="100" w:after="100"/>
      </w:pPr>
      <w:r w:rsidRPr="009E06AA">
        <w:t>Where an area of land is converted to a land use with a higher original mineral SOC stock than the category it is converted from, no N</w:t>
      </w:r>
      <w:r w:rsidRPr="009E06AA">
        <w:rPr>
          <w:vertAlign w:val="subscript"/>
        </w:rPr>
        <w:t>2</w:t>
      </w:r>
      <w:r w:rsidRPr="009E06AA">
        <w:t xml:space="preserve">O emissions have been estimated as occurring because there is no associated loss of SOC. For instance, </w:t>
      </w:r>
      <w:r w:rsidRPr="009E06AA">
        <w:rPr>
          <w:i/>
          <w:iCs/>
        </w:rPr>
        <w:t>Cropland</w:t>
      </w:r>
      <w:r w:rsidRPr="009E06AA">
        <w:t xml:space="preserve"> converted to </w:t>
      </w:r>
      <w:r w:rsidRPr="009E06AA">
        <w:rPr>
          <w:i/>
          <w:iCs/>
        </w:rPr>
        <w:t>Forest</w:t>
      </w:r>
      <w:r w:rsidRPr="009E06AA">
        <w:rPr>
          <w:i/>
        </w:rPr>
        <w:t xml:space="preserve"> land</w:t>
      </w:r>
      <w:r w:rsidRPr="009E06AA">
        <w:t xml:space="preserve"> is estimated not to result in net N</w:t>
      </w:r>
      <w:r w:rsidRPr="009E06AA">
        <w:rPr>
          <w:vertAlign w:val="subscript"/>
        </w:rPr>
        <w:t>2</w:t>
      </w:r>
      <w:r w:rsidRPr="009E06AA">
        <w:t>O emissions because this land use conversion is associated with a net gain in SOC in New Zealand (see annex A5.2.4, table A5.2.8). In these situations, the notation key NO (not occurring) is reported in the CRTs.</w:t>
      </w:r>
    </w:p>
    <w:p w14:paraId="63841740" w14:textId="77777777" w:rsidR="00053418" w:rsidRPr="009E06AA" w:rsidRDefault="00053418" w:rsidP="00053418">
      <w:pPr>
        <w:pStyle w:val="Heading3"/>
        <w:spacing w:before="240"/>
      </w:pPr>
      <w:r w:rsidRPr="009E06AA">
        <w:t xml:space="preserve">6.11.4 </w:t>
      </w:r>
      <w:r w:rsidRPr="009E06AA">
        <w:tab/>
        <w:t>Indirect N</w:t>
      </w:r>
      <w:r w:rsidRPr="009E06AA">
        <w:rPr>
          <w:vertAlign w:val="subscript"/>
        </w:rPr>
        <w:t>2</w:t>
      </w:r>
      <w:r w:rsidRPr="009E06AA">
        <w:t>O emissions from leaching and runoff (4(IV))</w:t>
      </w:r>
    </w:p>
    <w:p w14:paraId="5D7CE3C4" w14:textId="77777777" w:rsidR="00053418" w:rsidRPr="009E06AA" w:rsidRDefault="00053418" w:rsidP="00053418">
      <w:pPr>
        <w:pStyle w:val="BodyText"/>
        <w:spacing w:before="100" w:after="100"/>
      </w:pPr>
      <w:r w:rsidRPr="009E06AA">
        <w:t>Indirect N</w:t>
      </w:r>
      <w:r w:rsidRPr="009E06AA">
        <w:rPr>
          <w:spacing w:val="-2"/>
          <w:vertAlign w:val="subscript"/>
        </w:rPr>
        <w:t>2</w:t>
      </w:r>
      <w:r w:rsidRPr="009E06AA">
        <w:t xml:space="preserve">O emissions from leaching and runoff is associated with mineralisation of nitrogen from loss of soil carbon in mineral and drained and/or managed organic soils through land-use change or management practices. Emissions on </w:t>
      </w:r>
      <w:r w:rsidRPr="009E06AA">
        <w:rPr>
          <w:i/>
          <w:iCs/>
        </w:rPr>
        <w:t>Cropland remaining cropland</w:t>
      </w:r>
      <w:r w:rsidRPr="009E06AA">
        <w:t xml:space="preserve"> from leaching and runoff are reported under the Agriculture sector. Indirect N</w:t>
      </w:r>
      <w:r w:rsidRPr="009E06AA">
        <w:rPr>
          <w:vertAlign w:val="subscript"/>
        </w:rPr>
        <w:t>2</w:t>
      </w:r>
      <w:r w:rsidRPr="009E06AA">
        <w:t>O emissions from leaching and runoff for all other land use categories are reported under the LULUCF sector.</w:t>
      </w:r>
    </w:p>
    <w:p w14:paraId="1B3AB72A" w14:textId="77777777" w:rsidR="00053418" w:rsidRPr="009E06AA" w:rsidRDefault="00053418" w:rsidP="00053418">
      <w:pPr>
        <w:pStyle w:val="BodyText"/>
        <w:spacing w:before="100" w:after="100"/>
      </w:pPr>
      <w:r w:rsidRPr="009E06AA">
        <w:t xml:space="preserve">Indirect emissions from leaching and runoff in all land use categories excluding </w:t>
      </w:r>
      <w:r w:rsidRPr="009E06AA">
        <w:rPr>
          <w:i/>
          <w:iCs/>
        </w:rPr>
        <w:t>Cropland remaining cropland</w:t>
      </w:r>
      <w:r w:rsidRPr="009E06AA">
        <w:t xml:space="preserve"> were estimated as 0.1 kt N</w:t>
      </w:r>
      <w:r w:rsidRPr="009E06AA">
        <w:rPr>
          <w:spacing w:val="-2"/>
          <w:vertAlign w:val="subscript"/>
        </w:rPr>
        <w:t>2</w:t>
      </w:r>
      <w:r w:rsidRPr="009E06AA">
        <w:t>O in 2022, which is 36.6 per cent lower than reported in 1990.</w:t>
      </w:r>
    </w:p>
    <w:p w14:paraId="36917B62" w14:textId="77777777" w:rsidR="00053418" w:rsidRPr="009E06AA" w:rsidRDefault="00053418" w:rsidP="00053418">
      <w:pPr>
        <w:pStyle w:val="Heading4"/>
        <w:spacing w:before="200"/>
      </w:pPr>
      <w:r w:rsidRPr="009E06AA">
        <w:t>Methodological issues</w:t>
      </w:r>
    </w:p>
    <w:p w14:paraId="06373021" w14:textId="77777777" w:rsidR="00053418" w:rsidRPr="009E06AA" w:rsidRDefault="00053418" w:rsidP="00053418">
      <w:pPr>
        <w:pStyle w:val="BodyText"/>
        <w:spacing w:after="100"/>
      </w:pPr>
      <w:r w:rsidRPr="009E06AA">
        <w:t>New Zealand applies the Tier 1 method outlined in the 2006 IPCC Guidelines (equation 11.10, IPCC, 2006a) for estimating N</w:t>
      </w:r>
      <w:r w:rsidRPr="009E06AA">
        <w:rPr>
          <w:vertAlign w:val="subscript"/>
        </w:rPr>
        <w:t>2</w:t>
      </w:r>
      <w:r w:rsidRPr="009E06AA">
        <w:t>O emissions from leaching and runoff. The following are the inputs to this equation.</w:t>
      </w:r>
    </w:p>
    <w:p w14:paraId="0E3E0715" w14:textId="77777777" w:rsidR="00053418" w:rsidRPr="009E06AA" w:rsidRDefault="00053418" w:rsidP="00053418">
      <w:pPr>
        <w:pStyle w:val="Bullet"/>
        <w:numPr>
          <w:ilvl w:val="0"/>
          <w:numId w:val="29"/>
        </w:numPr>
        <w:spacing w:after="100"/>
        <w:ind w:left="397" w:hanging="397"/>
      </w:pPr>
      <w:r w:rsidRPr="009E06AA">
        <w:t>F</w:t>
      </w:r>
      <w:r w:rsidRPr="009E06AA">
        <w:rPr>
          <w:vertAlign w:val="subscript"/>
        </w:rPr>
        <w:t>SOM</w:t>
      </w:r>
      <w:r w:rsidRPr="009E06AA">
        <w:t xml:space="preserve"> – annual amount of N mineralised in mineral soils associated with loss of soil C from soil organic matter as a result of changes to land use or management in regions where leaching and runoff occur, kg N yr</w:t>
      </w:r>
      <w:r w:rsidRPr="009E06AA">
        <w:rPr>
          <w:vertAlign w:val="superscript"/>
        </w:rPr>
        <w:t>-1</w:t>
      </w:r>
      <w:r w:rsidRPr="009E06AA">
        <w:t>, is calculated using the method described in section 6.11.3 above.</w:t>
      </w:r>
    </w:p>
    <w:p w14:paraId="7CA260BB" w14:textId="77777777" w:rsidR="00053418" w:rsidRPr="009E06AA" w:rsidRDefault="00053418" w:rsidP="00053418">
      <w:pPr>
        <w:pStyle w:val="Bullet"/>
        <w:numPr>
          <w:ilvl w:val="0"/>
          <w:numId w:val="29"/>
        </w:numPr>
        <w:ind w:left="397" w:hanging="397"/>
      </w:pPr>
      <w:r w:rsidRPr="009E06AA">
        <w:t>EF</w:t>
      </w:r>
      <w:r w:rsidRPr="009E06AA">
        <w:rPr>
          <w:vertAlign w:val="subscript"/>
        </w:rPr>
        <w:t>5</w:t>
      </w:r>
      <w:r w:rsidRPr="009E06AA">
        <w:t xml:space="preserve"> – emission factor for N</w:t>
      </w:r>
      <w:r w:rsidRPr="009E06AA">
        <w:rPr>
          <w:vertAlign w:val="subscript"/>
        </w:rPr>
        <w:t>2</w:t>
      </w:r>
      <w:r w:rsidRPr="009E06AA">
        <w:t>O emissions from N leaching and runoff, kg N</w:t>
      </w:r>
      <w:r w:rsidRPr="009E06AA">
        <w:rPr>
          <w:vertAlign w:val="subscript"/>
        </w:rPr>
        <w:t>2</w:t>
      </w:r>
      <w:r w:rsidRPr="009E06AA">
        <w:t>O–N (kg N leached and runoff)</w:t>
      </w:r>
      <w:r w:rsidRPr="009E06AA">
        <w:rPr>
          <w:vertAlign w:val="superscript"/>
        </w:rPr>
        <w:t>-1</w:t>
      </w:r>
      <w:r w:rsidRPr="009E06AA">
        <w:t xml:space="preserve"> uses the default emission factor of 0.0075 provided in table 11.3 (IPCC, 2006a).</w:t>
      </w:r>
    </w:p>
    <w:p w14:paraId="7C65D74C" w14:textId="77777777" w:rsidR="00053418" w:rsidRPr="009E06AA" w:rsidRDefault="00053418" w:rsidP="00053418">
      <w:pPr>
        <w:pStyle w:val="Bullet"/>
        <w:numPr>
          <w:ilvl w:val="0"/>
          <w:numId w:val="29"/>
        </w:numPr>
        <w:ind w:left="397" w:hanging="397"/>
      </w:pPr>
      <w:r w:rsidRPr="009E06AA">
        <w:t>Frac</w:t>
      </w:r>
      <w:r w:rsidRPr="009E06AA">
        <w:rPr>
          <w:vertAlign w:val="subscript"/>
        </w:rPr>
        <w:t>LEACH-(H)</w:t>
      </w:r>
      <w:r w:rsidRPr="009E06AA">
        <w:t xml:space="preserve"> – fraction of all N added to and/or mineralised in managed soils in regions where leaching and runoff occur that is lost through leaching and runoff, kg N (kg of N additions)</w:t>
      </w:r>
      <w:r w:rsidRPr="009E06AA">
        <w:rPr>
          <w:vertAlign w:val="superscript"/>
        </w:rPr>
        <w:t>-1</w:t>
      </w:r>
      <w:r w:rsidRPr="009E06AA">
        <w:t xml:space="preserve"> uses the default value of 0.30 provided in table 11.3 (IPCC, 2006a).</w:t>
      </w:r>
    </w:p>
    <w:p w14:paraId="6A017811" w14:textId="77777777" w:rsidR="00053418" w:rsidRPr="009E06AA" w:rsidRDefault="00053418" w:rsidP="00D87769">
      <w:pPr>
        <w:pStyle w:val="Heading3"/>
        <w:tabs>
          <w:tab w:val="clear" w:pos="851"/>
          <w:tab w:val="left" w:pos="993"/>
        </w:tabs>
      </w:pPr>
      <w:r w:rsidRPr="009E06AA">
        <w:t xml:space="preserve">6.11.5 </w:t>
      </w:r>
      <w:r w:rsidRPr="009E06AA">
        <w:tab/>
        <w:t>Indirect N</w:t>
      </w:r>
      <w:r w:rsidRPr="009E06AA">
        <w:rPr>
          <w:vertAlign w:val="subscript"/>
        </w:rPr>
        <w:t>2</w:t>
      </w:r>
      <w:r w:rsidRPr="009E06AA">
        <w:t>O emissions from atmospheric deposition of N volatilised from managed soil (4(IV))</w:t>
      </w:r>
    </w:p>
    <w:p w14:paraId="55680EF3" w14:textId="77777777" w:rsidR="00053418" w:rsidRPr="009E06AA" w:rsidRDefault="00053418" w:rsidP="00053418">
      <w:pPr>
        <w:pStyle w:val="Heading4"/>
      </w:pPr>
      <w:r w:rsidRPr="009E06AA">
        <w:t>Description</w:t>
      </w:r>
    </w:p>
    <w:p w14:paraId="141253E6" w14:textId="5E8E62AF" w:rsidR="00053418" w:rsidRPr="009E06AA" w:rsidRDefault="00053418" w:rsidP="00053418">
      <w:pPr>
        <w:pStyle w:val="BodyText"/>
      </w:pPr>
      <w:r w:rsidRPr="009E06AA">
        <w:t xml:space="preserve">New Zealand cannot separate the sources of nitrogen between </w:t>
      </w:r>
      <w:r w:rsidRPr="009E06AA">
        <w:rPr>
          <w:i/>
        </w:rPr>
        <w:t>Cropland</w:t>
      </w:r>
      <w:r w:rsidRPr="009E06AA">
        <w:t xml:space="preserve">, </w:t>
      </w:r>
      <w:r w:rsidRPr="009E06AA">
        <w:rPr>
          <w:i/>
        </w:rPr>
        <w:t>Grassland</w:t>
      </w:r>
      <w:r w:rsidRPr="009E06AA">
        <w:t xml:space="preserve"> and </w:t>
      </w:r>
      <w:r w:rsidRPr="009E06AA">
        <w:rPr>
          <w:i/>
        </w:rPr>
        <w:t>Other land</w:t>
      </w:r>
      <w:r w:rsidRPr="009E06AA">
        <w:t xml:space="preserve"> uses. For this reason, it reports all </w:t>
      </w:r>
      <w:r w:rsidRPr="009E06AA">
        <w:rPr>
          <w:i/>
        </w:rPr>
        <w:t>Indirect N</w:t>
      </w:r>
      <w:r w:rsidRPr="009E06AA">
        <w:rPr>
          <w:i/>
          <w:vertAlign w:val="subscript"/>
        </w:rPr>
        <w:t>2</w:t>
      </w:r>
      <w:r w:rsidRPr="009E06AA">
        <w:rPr>
          <w:i/>
        </w:rPr>
        <w:t>O emissions from</w:t>
      </w:r>
      <w:r w:rsidRPr="009E06AA">
        <w:t xml:space="preserve"> </w:t>
      </w:r>
      <w:r w:rsidRPr="009E06AA">
        <w:rPr>
          <w:i/>
        </w:rPr>
        <w:t xml:space="preserve">atmospheric deposition of N volatilised from managed soil </w:t>
      </w:r>
      <w:r w:rsidRPr="009E06AA">
        <w:t>within CRT 3.D.b in the Agriculture</w:t>
      </w:r>
      <w:r w:rsidRPr="009E06AA">
        <w:rPr>
          <w:i/>
        </w:rPr>
        <w:t xml:space="preserve"> </w:t>
      </w:r>
      <w:r w:rsidRPr="009E06AA">
        <w:t>sector and uses the notation key IE within CRT 4(IV) of the</w:t>
      </w:r>
      <w:r w:rsidRPr="009E06AA">
        <w:rPr>
          <w:i/>
        </w:rPr>
        <w:t xml:space="preserve"> </w:t>
      </w:r>
      <w:r w:rsidRPr="009E06AA">
        <w:t xml:space="preserve">LULUCF sector. </w:t>
      </w:r>
    </w:p>
    <w:p w14:paraId="1E296D4F" w14:textId="77777777" w:rsidR="00053418" w:rsidRPr="009E06AA" w:rsidRDefault="00053418" w:rsidP="00D87769">
      <w:pPr>
        <w:pStyle w:val="Heading3"/>
        <w:tabs>
          <w:tab w:val="clear" w:pos="851"/>
          <w:tab w:val="left" w:pos="993"/>
        </w:tabs>
      </w:pPr>
      <w:bookmarkStart w:id="2686" w:name="_Toc280630357"/>
      <w:r w:rsidRPr="009E06AA">
        <w:t xml:space="preserve">6.11.6 </w:t>
      </w:r>
      <w:bookmarkStart w:id="2687" w:name="_Toc255466320"/>
      <w:bookmarkStart w:id="2688" w:name="_Toc261513127"/>
      <w:bookmarkStart w:id="2689" w:name="_Toc261513740"/>
      <w:bookmarkStart w:id="2690" w:name="_Toc280630364"/>
      <w:bookmarkEnd w:id="2686"/>
      <w:r w:rsidRPr="009E06AA">
        <w:tab/>
        <w:t>Uncertainty assessment and time-series consistency for N</w:t>
      </w:r>
      <w:r w:rsidRPr="009E06AA">
        <w:rPr>
          <w:vertAlign w:val="subscript"/>
        </w:rPr>
        <w:t>2</w:t>
      </w:r>
      <w:r w:rsidRPr="009E06AA">
        <w:t>O emissions in soils associated with land-use change</w:t>
      </w:r>
    </w:p>
    <w:p w14:paraId="36531F81" w14:textId="77777777" w:rsidR="00053418" w:rsidRPr="009E06AA" w:rsidRDefault="00053418" w:rsidP="00053418">
      <w:pPr>
        <w:pStyle w:val="BodyText"/>
      </w:pPr>
      <w:r w:rsidRPr="009E06AA">
        <w:t>The uncertainty in net N</w:t>
      </w:r>
      <w:r w:rsidRPr="009E06AA">
        <w:rPr>
          <w:vertAlign w:val="subscript"/>
        </w:rPr>
        <w:t>2</w:t>
      </w:r>
      <w:r w:rsidRPr="009E06AA">
        <w:t xml:space="preserve">O emissions from nitrogen in soils associated with land-use change in 2022 is outlined in table 6.11.2. The methods used to calculate the uncertainty are further described in annex A5.2.8. </w:t>
      </w:r>
    </w:p>
    <w:p w14:paraId="2DEC6D5C" w14:textId="77777777" w:rsidR="00053418" w:rsidRPr="009E06AA" w:rsidRDefault="00053418" w:rsidP="00053418">
      <w:pPr>
        <w:pStyle w:val="Table"/>
      </w:pPr>
      <w:bookmarkStart w:id="2691" w:name="_Toc131591429"/>
      <w:bookmarkStart w:id="2692" w:name="_Toc158979987"/>
      <w:bookmarkStart w:id="2693" w:name="_Toc164153920"/>
      <w:r w:rsidRPr="009E06AA">
        <w:t>Table 6.11.2</w:t>
      </w:r>
      <w:r w:rsidRPr="009E06AA">
        <w:tab/>
        <w:t>Net N</w:t>
      </w:r>
      <w:r w:rsidRPr="009E06AA">
        <w:rPr>
          <w:vertAlign w:val="subscript"/>
        </w:rPr>
        <w:t>2</w:t>
      </w:r>
      <w:r w:rsidRPr="009E06AA">
        <w:t>O emissions from nitrogen in soils associated with land-use change in 2022</w:t>
      </w:r>
      <w:bookmarkEnd w:id="2691"/>
      <w:bookmarkEnd w:id="2692"/>
      <w:bookmarkEnd w:id="2693"/>
    </w:p>
    <w:tbl>
      <w:tblPr>
        <w:tblW w:w="8505" w:type="dxa"/>
        <w:tblBorders>
          <w:top w:val="single" w:sz="4" w:space="0" w:color="1B556B"/>
          <w:bottom w:val="single" w:sz="4" w:space="0" w:color="1B556B"/>
          <w:insideH w:val="single" w:sz="4" w:space="0" w:color="1B556B"/>
        </w:tblBorders>
        <w:tblLayout w:type="fixed"/>
        <w:tblLook w:val="04A0" w:firstRow="1" w:lastRow="0" w:firstColumn="1" w:lastColumn="0" w:noHBand="0" w:noVBand="1"/>
      </w:tblPr>
      <w:tblGrid>
        <w:gridCol w:w="4111"/>
        <w:gridCol w:w="1134"/>
        <w:gridCol w:w="1418"/>
        <w:gridCol w:w="1842"/>
      </w:tblGrid>
      <w:tr w:rsidR="00053418" w:rsidRPr="009E06AA" w14:paraId="19EE4013" w14:textId="77777777" w:rsidTr="00D87769">
        <w:tc>
          <w:tcPr>
            <w:tcW w:w="4111" w:type="dxa"/>
            <w:shd w:val="clear" w:color="auto" w:fill="1B556B" w:themeFill="text2"/>
            <w:vAlign w:val="bottom"/>
          </w:tcPr>
          <w:p w14:paraId="622C1F90" w14:textId="77777777" w:rsidR="00053418" w:rsidRPr="009E06AA" w:rsidRDefault="00053418" w:rsidP="00B55F24">
            <w:pPr>
              <w:pStyle w:val="TableTextBold"/>
              <w:keepNext/>
              <w:spacing w:before="40" w:after="40"/>
              <w:rPr>
                <w:noProof w:val="0"/>
                <w:color w:val="FFFFFF"/>
                <w:szCs w:val="16"/>
              </w:rPr>
            </w:pPr>
          </w:p>
        </w:tc>
        <w:tc>
          <w:tcPr>
            <w:tcW w:w="1134" w:type="dxa"/>
            <w:shd w:val="clear" w:color="auto" w:fill="1B556B" w:themeFill="text2"/>
            <w:vAlign w:val="bottom"/>
          </w:tcPr>
          <w:p w14:paraId="51C3B98B" w14:textId="77777777" w:rsidR="00053418" w:rsidRPr="009E06AA" w:rsidRDefault="00053418" w:rsidP="006E02E2">
            <w:pPr>
              <w:pStyle w:val="TableTextBold"/>
              <w:spacing w:before="40" w:after="40"/>
              <w:jc w:val="right"/>
              <w:rPr>
                <w:noProof w:val="0"/>
                <w:color w:val="FFFFFF"/>
                <w:szCs w:val="16"/>
              </w:rPr>
            </w:pPr>
            <w:r w:rsidRPr="009E06AA">
              <w:rPr>
                <w:noProof w:val="0"/>
                <w:color w:val="FFFFFF"/>
                <w:szCs w:val="16"/>
              </w:rPr>
              <w:t xml:space="preserve">Emissions </w:t>
            </w:r>
            <w:r w:rsidRPr="009E06AA">
              <w:rPr>
                <w:noProof w:val="0"/>
                <w:color w:val="FFFFFF"/>
                <w:szCs w:val="16"/>
              </w:rPr>
              <w:br/>
              <w:t>(kt CO</w:t>
            </w:r>
            <w:r w:rsidRPr="009E06AA">
              <w:rPr>
                <w:noProof w:val="0"/>
                <w:color w:val="FFFFFF"/>
                <w:szCs w:val="16"/>
                <w:vertAlign w:val="subscript"/>
              </w:rPr>
              <w:t>2</w:t>
            </w:r>
            <w:r w:rsidRPr="009E06AA">
              <w:rPr>
                <w:noProof w:val="0"/>
                <w:color w:val="FFFFFF"/>
                <w:szCs w:val="16"/>
              </w:rPr>
              <w:t>-e)</w:t>
            </w:r>
          </w:p>
        </w:tc>
        <w:tc>
          <w:tcPr>
            <w:tcW w:w="1418" w:type="dxa"/>
            <w:shd w:val="clear" w:color="auto" w:fill="1B556B" w:themeFill="text2"/>
          </w:tcPr>
          <w:p w14:paraId="5CB1E85B" w14:textId="77777777" w:rsidR="00053418" w:rsidRPr="009E06AA" w:rsidRDefault="00053418" w:rsidP="006E02E2">
            <w:pPr>
              <w:pStyle w:val="TableTextBold"/>
              <w:spacing w:before="40" w:after="40"/>
              <w:jc w:val="right"/>
              <w:rPr>
                <w:noProof w:val="0"/>
                <w:color w:val="FFFFFF"/>
                <w:szCs w:val="16"/>
              </w:rPr>
            </w:pPr>
            <w:r w:rsidRPr="009E06AA">
              <w:rPr>
                <w:noProof w:val="0"/>
                <w:color w:val="FFFFFF"/>
                <w:szCs w:val="16"/>
              </w:rPr>
              <w:t>Uncertainty in emissions (%)</w:t>
            </w:r>
          </w:p>
        </w:tc>
        <w:tc>
          <w:tcPr>
            <w:tcW w:w="1842" w:type="dxa"/>
            <w:shd w:val="clear" w:color="auto" w:fill="1B556B" w:themeFill="text2"/>
          </w:tcPr>
          <w:p w14:paraId="302BC340" w14:textId="77777777" w:rsidR="00053418" w:rsidRPr="009E06AA" w:rsidRDefault="00053418" w:rsidP="006E02E2">
            <w:pPr>
              <w:pStyle w:val="TableTextBold"/>
              <w:spacing w:before="40" w:after="40"/>
              <w:jc w:val="right"/>
              <w:rPr>
                <w:noProof w:val="0"/>
                <w:color w:val="FFFFFF"/>
                <w:szCs w:val="16"/>
              </w:rPr>
            </w:pPr>
            <w:r w:rsidRPr="009E06AA">
              <w:rPr>
                <w:noProof w:val="0"/>
                <w:color w:val="FFFFFF"/>
                <w:szCs w:val="16"/>
              </w:rPr>
              <w:t>Contribution to LULUCF uncertainty (%)</w:t>
            </w:r>
          </w:p>
        </w:tc>
      </w:tr>
      <w:tr w:rsidR="00053418" w:rsidRPr="009E06AA" w14:paraId="6FC99F4E" w14:textId="77777777" w:rsidTr="00D87769">
        <w:trPr>
          <w:trHeight w:val="287"/>
        </w:trPr>
        <w:tc>
          <w:tcPr>
            <w:tcW w:w="4111" w:type="dxa"/>
          </w:tcPr>
          <w:p w14:paraId="641CD9DD" w14:textId="77777777" w:rsidR="00053418" w:rsidRPr="009E06AA" w:rsidRDefault="00053418" w:rsidP="00B55F24">
            <w:pPr>
              <w:pStyle w:val="TableText"/>
              <w:keepNext/>
              <w:spacing w:before="40" w:after="40"/>
              <w:rPr>
                <w:szCs w:val="16"/>
              </w:rPr>
            </w:pPr>
            <w:r w:rsidRPr="009E06AA">
              <w:t>Direct N</w:t>
            </w:r>
            <w:r w:rsidRPr="009E06AA">
              <w:rPr>
                <w:vertAlign w:val="subscript"/>
              </w:rPr>
              <w:t>2</w:t>
            </w:r>
            <w:r w:rsidRPr="009E06AA">
              <w:t>O emissions from N mineralisation/immobilisation</w:t>
            </w:r>
          </w:p>
        </w:tc>
        <w:tc>
          <w:tcPr>
            <w:tcW w:w="1134" w:type="dxa"/>
          </w:tcPr>
          <w:p w14:paraId="41DEDFA2" w14:textId="77777777" w:rsidR="00053418" w:rsidRPr="009E06AA" w:rsidRDefault="00053418" w:rsidP="006E02E2">
            <w:pPr>
              <w:pStyle w:val="TableText"/>
              <w:spacing w:before="40" w:after="40"/>
              <w:jc w:val="right"/>
            </w:pPr>
            <w:r w:rsidRPr="009E06AA">
              <w:t>104.5</w:t>
            </w:r>
          </w:p>
        </w:tc>
        <w:tc>
          <w:tcPr>
            <w:tcW w:w="1418" w:type="dxa"/>
          </w:tcPr>
          <w:p w14:paraId="1E36165B" w14:textId="77777777" w:rsidR="00053418" w:rsidRPr="009E06AA" w:rsidRDefault="00053418" w:rsidP="006E02E2">
            <w:pPr>
              <w:pStyle w:val="TableText"/>
              <w:spacing w:before="40" w:after="40"/>
              <w:jc w:val="right"/>
              <w:rPr>
                <w:rFonts w:cs="Yu Gothic"/>
              </w:rPr>
            </w:pPr>
            <w:r w:rsidRPr="009E06AA">
              <w:t>85.2</w:t>
            </w:r>
          </w:p>
        </w:tc>
        <w:tc>
          <w:tcPr>
            <w:tcW w:w="1842" w:type="dxa"/>
          </w:tcPr>
          <w:p w14:paraId="1C0465FF" w14:textId="77777777" w:rsidR="00053418" w:rsidRPr="009E06AA" w:rsidRDefault="00053418" w:rsidP="006E02E2">
            <w:pPr>
              <w:pStyle w:val="TableText"/>
              <w:spacing w:before="40" w:after="40"/>
              <w:jc w:val="right"/>
              <w:rPr>
                <w:rFonts w:cs="Yu Gothic"/>
              </w:rPr>
            </w:pPr>
            <w:r w:rsidRPr="009E06AA">
              <w:t>0.5</w:t>
            </w:r>
          </w:p>
        </w:tc>
      </w:tr>
      <w:tr w:rsidR="00053418" w:rsidRPr="009E06AA" w14:paraId="10971E19" w14:textId="77777777" w:rsidTr="00D87769">
        <w:trPr>
          <w:trHeight w:val="279"/>
        </w:trPr>
        <w:tc>
          <w:tcPr>
            <w:tcW w:w="4111" w:type="dxa"/>
          </w:tcPr>
          <w:p w14:paraId="24F171F7" w14:textId="77777777" w:rsidR="00053418" w:rsidRPr="009E06AA" w:rsidRDefault="00053418" w:rsidP="00B55F24">
            <w:pPr>
              <w:pStyle w:val="TableText"/>
              <w:keepNext/>
              <w:spacing w:before="40" w:after="40"/>
              <w:rPr>
                <w:szCs w:val="16"/>
              </w:rPr>
            </w:pPr>
            <w:r w:rsidRPr="009E06AA">
              <w:t>Direct N</w:t>
            </w:r>
            <w:r w:rsidRPr="009E06AA">
              <w:rPr>
                <w:vertAlign w:val="subscript"/>
              </w:rPr>
              <w:t>2</w:t>
            </w:r>
            <w:r w:rsidRPr="009E06AA">
              <w:t>O emissions from drainage and rewetting</w:t>
            </w:r>
          </w:p>
        </w:tc>
        <w:tc>
          <w:tcPr>
            <w:tcW w:w="1134" w:type="dxa"/>
          </w:tcPr>
          <w:p w14:paraId="5DADE9AB" w14:textId="77777777" w:rsidR="00053418" w:rsidRPr="009E06AA" w:rsidRDefault="00053418" w:rsidP="006E02E2">
            <w:pPr>
              <w:pStyle w:val="TableText"/>
              <w:spacing w:before="40" w:after="40"/>
              <w:jc w:val="right"/>
            </w:pPr>
            <w:r w:rsidRPr="009E06AA">
              <w:t>98.1</w:t>
            </w:r>
          </w:p>
        </w:tc>
        <w:tc>
          <w:tcPr>
            <w:tcW w:w="1418" w:type="dxa"/>
          </w:tcPr>
          <w:p w14:paraId="73EA3643" w14:textId="77777777" w:rsidR="00053418" w:rsidRPr="009E06AA" w:rsidRDefault="00053418" w:rsidP="006E02E2">
            <w:pPr>
              <w:pStyle w:val="TableText"/>
              <w:spacing w:before="40" w:after="40"/>
              <w:jc w:val="right"/>
              <w:rPr>
                <w:rFonts w:cs="Yu Gothic"/>
              </w:rPr>
            </w:pPr>
            <w:r w:rsidRPr="009E06AA">
              <w:t>86.5</w:t>
            </w:r>
          </w:p>
        </w:tc>
        <w:tc>
          <w:tcPr>
            <w:tcW w:w="1842" w:type="dxa"/>
          </w:tcPr>
          <w:p w14:paraId="7B308CD1" w14:textId="77777777" w:rsidR="00053418" w:rsidRPr="009E06AA" w:rsidRDefault="00053418" w:rsidP="006E02E2">
            <w:pPr>
              <w:pStyle w:val="TableText"/>
              <w:spacing w:before="40" w:after="40"/>
              <w:jc w:val="right"/>
              <w:rPr>
                <w:rFonts w:cs="Yu Gothic"/>
              </w:rPr>
            </w:pPr>
            <w:r w:rsidRPr="009E06AA">
              <w:t>0.4</w:t>
            </w:r>
          </w:p>
        </w:tc>
      </w:tr>
      <w:tr w:rsidR="00053418" w:rsidRPr="009E06AA" w14:paraId="7BC4CEF2" w14:textId="77777777" w:rsidTr="00D87769">
        <w:trPr>
          <w:trHeight w:val="279"/>
        </w:trPr>
        <w:tc>
          <w:tcPr>
            <w:tcW w:w="4111" w:type="dxa"/>
          </w:tcPr>
          <w:p w14:paraId="106A556A" w14:textId="77777777" w:rsidR="00053418" w:rsidRPr="009E06AA" w:rsidRDefault="00053418" w:rsidP="00B55F24">
            <w:pPr>
              <w:pStyle w:val="TableText"/>
              <w:keepNext/>
              <w:spacing w:before="40" w:after="40"/>
            </w:pPr>
            <w:r w:rsidRPr="009E06AA">
              <w:t>Indirect emissions from leaching and runoff</w:t>
            </w:r>
          </w:p>
        </w:tc>
        <w:tc>
          <w:tcPr>
            <w:tcW w:w="1134" w:type="dxa"/>
          </w:tcPr>
          <w:p w14:paraId="5A5B7D0D" w14:textId="77777777" w:rsidR="00053418" w:rsidRPr="009E06AA" w:rsidRDefault="00053418" w:rsidP="006E02E2">
            <w:pPr>
              <w:pStyle w:val="TableText"/>
              <w:spacing w:before="40" w:after="40"/>
              <w:jc w:val="right"/>
            </w:pPr>
            <w:r w:rsidRPr="009E06AA">
              <w:t>23.5</w:t>
            </w:r>
          </w:p>
        </w:tc>
        <w:tc>
          <w:tcPr>
            <w:tcW w:w="1418" w:type="dxa"/>
          </w:tcPr>
          <w:p w14:paraId="02D948BF" w14:textId="77777777" w:rsidR="00053418" w:rsidRPr="009E06AA" w:rsidRDefault="00053418" w:rsidP="006E02E2">
            <w:pPr>
              <w:pStyle w:val="TableText"/>
              <w:spacing w:before="40" w:after="40"/>
              <w:jc w:val="right"/>
            </w:pPr>
            <w:r w:rsidRPr="009E06AA">
              <w:t>126.7</w:t>
            </w:r>
          </w:p>
        </w:tc>
        <w:tc>
          <w:tcPr>
            <w:tcW w:w="1842" w:type="dxa"/>
          </w:tcPr>
          <w:p w14:paraId="64C885E0" w14:textId="77777777" w:rsidR="00053418" w:rsidRPr="009E06AA" w:rsidRDefault="00053418" w:rsidP="006E02E2">
            <w:pPr>
              <w:pStyle w:val="TableText"/>
              <w:spacing w:before="40" w:after="40"/>
              <w:jc w:val="right"/>
            </w:pPr>
            <w:r w:rsidRPr="009E06AA">
              <w:t>0.2</w:t>
            </w:r>
          </w:p>
        </w:tc>
      </w:tr>
    </w:tbl>
    <w:p w14:paraId="48441253" w14:textId="77777777" w:rsidR="00053418" w:rsidRPr="009E06AA" w:rsidRDefault="00053418" w:rsidP="00053418">
      <w:pPr>
        <w:pStyle w:val="BodyText"/>
        <w:spacing w:before="240"/>
      </w:pPr>
      <w:r w:rsidRPr="009E06AA">
        <w:t xml:space="preserve">Time-series consistency is ensured by applying consistent methods and full recalculations in the event of any refinement or improvement to methodology. </w:t>
      </w:r>
    </w:p>
    <w:p w14:paraId="767FD018" w14:textId="77777777" w:rsidR="00053418" w:rsidRPr="009E06AA" w:rsidRDefault="00053418" w:rsidP="00D87769">
      <w:pPr>
        <w:pStyle w:val="Heading3"/>
        <w:tabs>
          <w:tab w:val="clear" w:pos="851"/>
          <w:tab w:val="left" w:pos="993"/>
        </w:tabs>
        <w:spacing w:before="280"/>
      </w:pPr>
      <w:r w:rsidRPr="009E06AA">
        <w:t>6.11.7</w:t>
      </w:r>
      <w:r w:rsidRPr="009E06AA">
        <w:tab/>
        <w:t>Category-specific planned improvements for N</w:t>
      </w:r>
      <w:r w:rsidRPr="009E06AA">
        <w:rPr>
          <w:vertAlign w:val="subscript"/>
        </w:rPr>
        <w:t>2</w:t>
      </w:r>
      <w:r w:rsidRPr="009E06AA">
        <w:t>O emissions in soils associated with land-use change</w:t>
      </w:r>
    </w:p>
    <w:p w14:paraId="205F0FAC" w14:textId="77777777" w:rsidR="00053418" w:rsidRPr="009E06AA" w:rsidRDefault="00053418" w:rsidP="00053418">
      <w:pPr>
        <w:pStyle w:val="BodyText"/>
      </w:pPr>
      <w:r w:rsidRPr="009E06AA">
        <w:t xml:space="preserve">Nitrous oxide emissions associated with the drainage of organic soils in </w:t>
      </w:r>
      <w:r w:rsidRPr="009E06AA">
        <w:rPr>
          <w:i/>
          <w:iCs/>
        </w:rPr>
        <w:t>Settlements</w:t>
      </w:r>
      <w:r w:rsidRPr="009E06AA">
        <w:t xml:space="preserve"> is planned to be included in the 2025 submission because New Zealand considers that most of its </w:t>
      </w:r>
      <w:r w:rsidRPr="009E06AA">
        <w:rPr>
          <w:i/>
          <w:iCs/>
        </w:rPr>
        <w:t>Settlements</w:t>
      </w:r>
      <w:r w:rsidRPr="009E06AA">
        <w:t xml:space="preserve"> area can be assimilated to </w:t>
      </w:r>
      <w:r w:rsidRPr="009E06AA">
        <w:rPr>
          <w:i/>
          <w:iCs/>
        </w:rPr>
        <w:t>Grassland</w:t>
      </w:r>
      <w:r w:rsidRPr="009E06AA">
        <w:t xml:space="preserve"> when it comes to soil carbon. This is covered in section 6.8.6.</w:t>
      </w:r>
    </w:p>
    <w:p w14:paraId="79E90323" w14:textId="77777777" w:rsidR="00053418" w:rsidRPr="009E06AA" w:rsidRDefault="00053418" w:rsidP="00D87769">
      <w:pPr>
        <w:pStyle w:val="Heading3"/>
        <w:tabs>
          <w:tab w:val="clear" w:pos="851"/>
          <w:tab w:val="left" w:pos="993"/>
        </w:tabs>
        <w:spacing w:before="280"/>
      </w:pPr>
      <w:r w:rsidRPr="009E06AA">
        <w:t xml:space="preserve">6.11.8 </w:t>
      </w:r>
      <w:r w:rsidRPr="009E06AA">
        <w:tab/>
        <w:t>Biomass burning</w:t>
      </w:r>
      <w:bookmarkEnd w:id="2687"/>
      <w:bookmarkEnd w:id="2688"/>
      <w:bookmarkEnd w:id="2689"/>
      <w:r w:rsidRPr="009E06AA">
        <w:t xml:space="preserve"> (4(V)</w:t>
      </w:r>
      <w:bookmarkEnd w:id="2690"/>
      <w:r w:rsidRPr="009E06AA">
        <w:t>)</w:t>
      </w:r>
    </w:p>
    <w:p w14:paraId="7B2A44C1" w14:textId="77777777" w:rsidR="00053418" w:rsidRPr="009E06AA" w:rsidRDefault="00053418" w:rsidP="00053418">
      <w:pPr>
        <w:pStyle w:val="Heading4"/>
      </w:pPr>
      <w:bookmarkStart w:id="2694" w:name="_Toc280630365"/>
      <w:r w:rsidRPr="009E06AA">
        <w:t>Description</w:t>
      </w:r>
      <w:bookmarkEnd w:id="2694"/>
    </w:p>
    <w:p w14:paraId="1F9CA7D0" w14:textId="77777777" w:rsidR="00053418" w:rsidRPr="009E06AA" w:rsidRDefault="00053418" w:rsidP="00053418">
      <w:pPr>
        <w:pStyle w:val="BodyText"/>
      </w:pPr>
      <w:r w:rsidRPr="009E06AA">
        <w:t>Non-CO</w:t>
      </w:r>
      <w:r w:rsidRPr="009E06AA">
        <w:rPr>
          <w:vertAlign w:val="subscript"/>
        </w:rPr>
        <w:t xml:space="preserve">2 </w:t>
      </w:r>
      <w:r w:rsidRPr="009E06AA">
        <w:t xml:space="preserve">emissions from </w:t>
      </w:r>
      <w:r w:rsidRPr="009E06AA">
        <w:rPr>
          <w:i/>
        </w:rPr>
        <w:t>Biomass burning</w:t>
      </w:r>
      <w:r w:rsidRPr="009E06AA">
        <w:t xml:space="preserve"> in 2022 were 2.9 kt CH</w:t>
      </w:r>
      <w:r w:rsidRPr="009E06AA">
        <w:rPr>
          <w:vertAlign w:val="subscript"/>
        </w:rPr>
        <w:t>4</w:t>
      </w:r>
      <w:r w:rsidRPr="009E06AA">
        <w:t xml:space="preserve"> (82.3 kt CO</w:t>
      </w:r>
      <w:r w:rsidRPr="009E06AA">
        <w:rPr>
          <w:vertAlign w:val="subscript"/>
        </w:rPr>
        <w:t>2</w:t>
      </w:r>
      <w:r w:rsidRPr="009E06AA">
        <w:t>-e) and 0.2 kt N</w:t>
      </w:r>
      <w:r w:rsidRPr="009E06AA">
        <w:rPr>
          <w:vertAlign w:val="subscript"/>
        </w:rPr>
        <w:t>2</w:t>
      </w:r>
      <w:r w:rsidRPr="009E06AA">
        <w:t>O (43.7 kt CO</w:t>
      </w:r>
      <w:r w:rsidRPr="009E06AA">
        <w:rPr>
          <w:vertAlign w:val="subscript"/>
        </w:rPr>
        <w:t>2</w:t>
      </w:r>
      <w:r w:rsidRPr="009E06AA">
        <w:t>-e) (see table 6.11.3).</w:t>
      </w:r>
    </w:p>
    <w:p w14:paraId="57DE883D" w14:textId="77777777" w:rsidR="00053418" w:rsidRPr="009E06AA" w:rsidRDefault="00053418" w:rsidP="00053418">
      <w:pPr>
        <w:pStyle w:val="Table"/>
        <w:rPr>
          <w:i/>
        </w:rPr>
      </w:pPr>
      <w:bookmarkStart w:id="2695" w:name="_Toc310423431"/>
      <w:bookmarkStart w:id="2696" w:name="_Toc318362724"/>
      <w:bookmarkStart w:id="2697" w:name="_Toc342470799"/>
      <w:bookmarkStart w:id="2698" w:name="_Toc352505039"/>
      <w:bookmarkStart w:id="2699" w:name="_Toc378853328"/>
      <w:bookmarkStart w:id="2700" w:name="_Toc391024126"/>
      <w:bookmarkStart w:id="2701" w:name="_Toc410028870"/>
      <w:bookmarkStart w:id="2702" w:name="_Toc414531498"/>
      <w:bookmarkStart w:id="2703" w:name="_Toc443645412"/>
      <w:bookmarkStart w:id="2704" w:name="_Toc474914631"/>
      <w:bookmarkStart w:id="2705" w:name="_Toc481751595"/>
      <w:bookmarkStart w:id="2706" w:name="_Toc522010652"/>
      <w:bookmarkStart w:id="2707" w:name="_Toc5269557"/>
      <w:bookmarkStart w:id="2708" w:name="_Toc33529431"/>
      <w:bookmarkStart w:id="2709" w:name="_Toc36224637"/>
      <w:bookmarkStart w:id="2710" w:name="_Toc131591430"/>
      <w:bookmarkStart w:id="2711" w:name="_Toc158979988"/>
      <w:bookmarkStart w:id="2712" w:name="_Toc164153921"/>
      <w:r w:rsidRPr="009E06AA">
        <w:t>Table 6.11.3</w:t>
      </w:r>
      <w:r w:rsidRPr="009E06AA">
        <w:tab/>
        <w:t>Non-CO</w:t>
      </w:r>
      <w:r w:rsidRPr="009E06AA">
        <w:rPr>
          <w:vertAlign w:val="subscript"/>
        </w:rPr>
        <w:t>2</w:t>
      </w:r>
      <w:r w:rsidRPr="009E06AA">
        <w:t xml:space="preserve"> emissions from </w:t>
      </w:r>
      <w:r w:rsidRPr="009E06AA">
        <w:rPr>
          <w:i/>
        </w:rPr>
        <w:t>Biomass burning</w:t>
      </w:r>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p>
    <w:tbl>
      <w:tblPr>
        <w:tblW w:w="8504" w:type="dxa"/>
        <w:tblBorders>
          <w:top w:val="single" w:sz="4" w:space="0" w:color="1B556B" w:themeColor="text2"/>
          <w:bottom w:val="single" w:sz="4" w:space="0" w:color="1B556B" w:themeColor="text2"/>
          <w:insideH w:val="single" w:sz="4" w:space="0" w:color="1B556B" w:themeColor="text2"/>
        </w:tblBorders>
        <w:tblLayout w:type="fixed"/>
        <w:tblLook w:val="0420" w:firstRow="1" w:lastRow="0" w:firstColumn="0" w:lastColumn="0" w:noHBand="0" w:noVBand="1"/>
      </w:tblPr>
      <w:tblGrid>
        <w:gridCol w:w="2126"/>
        <w:gridCol w:w="2126"/>
        <w:gridCol w:w="2126"/>
        <w:gridCol w:w="2126"/>
      </w:tblGrid>
      <w:tr w:rsidR="00053418" w:rsidRPr="009E06AA" w14:paraId="36F6D282" w14:textId="77777777" w:rsidTr="00B55F24">
        <w:trPr>
          <w:tblHeader/>
        </w:trPr>
        <w:tc>
          <w:tcPr>
            <w:tcW w:w="2126" w:type="dxa"/>
            <w:shd w:val="clear" w:color="auto" w:fill="1B556B"/>
            <w:tcMar>
              <w:top w:w="0" w:type="dxa"/>
              <w:left w:w="85" w:type="dxa"/>
              <w:bottom w:w="0" w:type="dxa"/>
              <w:right w:w="85" w:type="dxa"/>
            </w:tcMar>
          </w:tcPr>
          <w:p w14:paraId="0F1D7669" w14:textId="77777777" w:rsidR="00053418" w:rsidRPr="009E06AA" w:rsidRDefault="00053418" w:rsidP="00B55F24">
            <w:pPr>
              <w:pStyle w:val="TableTextBold"/>
              <w:spacing w:before="40" w:after="40"/>
              <w:rPr>
                <w:noProof w:val="0"/>
                <w:color w:val="FFFFFF" w:themeColor="background1"/>
              </w:rPr>
            </w:pPr>
            <w:bookmarkStart w:id="2713" w:name="_Hlk148625553"/>
            <w:r w:rsidRPr="009E06AA">
              <w:rPr>
                <w:noProof w:val="0"/>
                <w:color w:val="FFFFFF" w:themeColor="background1"/>
              </w:rPr>
              <w:t>Emissions</w:t>
            </w:r>
          </w:p>
        </w:tc>
        <w:tc>
          <w:tcPr>
            <w:tcW w:w="2126" w:type="dxa"/>
            <w:shd w:val="clear" w:color="auto" w:fill="1B556B"/>
            <w:tcMar>
              <w:top w:w="0" w:type="dxa"/>
              <w:left w:w="85" w:type="dxa"/>
              <w:bottom w:w="0" w:type="dxa"/>
              <w:right w:w="85" w:type="dxa"/>
            </w:tcMar>
          </w:tcPr>
          <w:p w14:paraId="78546359" w14:textId="77777777" w:rsidR="00053418" w:rsidRPr="009E06AA" w:rsidRDefault="00053418" w:rsidP="006E02E2">
            <w:pPr>
              <w:pStyle w:val="TableTextBold"/>
              <w:spacing w:before="40" w:after="40"/>
              <w:jc w:val="right"/>
              <w:rPr>
                <w:noProof w:val="0"/>
                <w:color w:val="FFFFFF" w:themeColor="background1"/>
              </w:rPr>
            </w:pPr>
            <w:r w:rsidRPr="009E06AA">
              <w:rPr>
                <w:noProof w:val="0"/>
                <w:color w:val="FFFFFF" w:themeColor="background1"/>
              </w:rPr>
              <w:t>1990</w:t>
            </w:r>
          </w:p>
        </w:tc>
        <w:tc>
          <w:tcPr>
            <w:tcW w:w="2126" w:type="dxa"/>
            <w:shd w:val="clear" w:color="auto" w:fill="1B556B"/>
            <w:tcMar>
              <w:top w:w="0" w:type="dxa"/>
              <w:left w:w="85" w:type="dxa"/>
              <w:bottom w:w="0" w:type="dxa"/>
              <w:right w:w="85" w:type="dxa"/>
            </w:tcMar>
          </w:tcPr>
          <w:p w14:paraId="587438EE" w14:textId="77777777" w:rsidR="00053418" w:rsidRPr="009E06AA" w:rsidRDefault="00053418" w:rsidP="006E02E2">
            <w:pPr>
              <w:pStyle w:val="TableTextBold"/>
              <w:spacing w:before="40" w:after="40"/>
              <w:jc w:val="right"/>
              <w:rPr>
                <w:noProof w:val="0"/>
                <w:color w:val="FFFFFF" w:themeColor="background1"/>
              </w:rPr>
            </w:pPr>
            <w:r w:rsidRPr="009E06AA">
              <w:rPr>
                <w:noProof w:val="0"/>
                <w:color w:val="FFFFFF" w:themeColor="background1"/>
              </w:rPr>
              <w:t>2022</w:t>
            </w:r>
          </w:p>
        </w:tc>
        <w:tc>
          <w:tcPr>
            <w:tcW w:w="2126" w:type="dxa"/>
            <w:shd w:val="clear" w:color="auto" w:fill="1B556B"/>
            <w:tcMar>
              <w:top w:w="0" w:type="dxa"/>
              <w:left w:w="85" w:type="dxa"/>
              <w:bottom w:w="0" w:type="dxa"/>
              <w:right w:w="85" w:type="dxa"/>
            </w:tcMar>
          </w:tcPr>
          <w:p w14:paraId="7DB8D601" w14:textId="77777777" w:rsidR="00053418" w:rsidRPr="009E06AA" w:rsidRDefault="00053418" w:rsidP="006E02E2">
            <w:pPr>
              <w:pStyle w:val="TableTextBold"/>
              <w:spacing w:before="40" w:after="40"/>
              <w:jc w:val="right"/>
              <w:rPr>
                <w:noProof w:val="0"/>
                <w:color w:val="FFFFFF" w:themeColor="background1"/>
              </w:rPr>
            </w:pPr>
            <w:r w:rsidRPr="009E06AA">
              <w:rPr>
                <w:noProof w:val="0"/>
                <w:color w:val="FFFFFF" w:themeColor="background1"/>
              </w:rPr>
              <w:t>Change from 1990 (%)</w:t>
            </w:r>
          </w:p>
        </w:tc>
      </w:tr>
      <w:tr w:rsidR="00053418" w:rsidRPr="009E06AA" w14:paraId="2052BD88" w14:textId="77777777" w:rsidTr="00B55F24">
        <w:tc>
          <w:tcPr>
            <w:tcW w:w="2126" w:type="dxa"/>
            <w:shd w:val="clear" w:color="auto" w:fill="FFFFFF"/>
            <w:tcMar>
              <w:top w:w="0" w:type="dxa"/>
              <w:left w:w="85" w:type="dxa"/>
              <w:bottom w:w="0" w:type="dxa"/>
              <w:right w:w="85" w:type="dxa"/>
            </w:tcMar>
          </w:tcPr>
          <w:p w14:paraId="35F69FAA" w14:textId="77777777" w:rsidR="00053418" w:rsidRPr="009E06AA" w:rsidRDefault="00053418" w:rsidP="00B55F24">
            <w:pPr>
              <w:pStyle w:val="TableText"/>
              <w:spacing w:before="40" w:after="40"/>
            </w:pPr>
            <w:r w:rsidRPr="009E06AA">
              <w:rPr>
                <w:color w:val="000000"/>
              </w:rPr>
              <w:t>CH₄ emissions (kt CH₄)</w:t>
            </w:r>
          </w:p>
        </w:tc>
        <w:tc>
          <w:tcPr>
            <w:tcW w:w="2126" w:type="dxa"/>
            <w:shd w:val="clear" w:color="auto" w:fill="FFFFFF"/>
            <w:tcMar>
              <w:top w:w="0" w:type="dxa"/>
              <w:left w:w="85" w:type="dxa"/>
              <w:bottom w:w="0" w:type="dxa"/>
              <w:right w:w="85" w:type="dxa"/>
            </w:tcMar>
          </w:tcPr>
          <w:p w14:paraId="51581FD0" w14:textId="77777777" w:rsidR="00053418" w:rsidRPr="009E06AA" w:rsidRDefault="00053418" w:rsidP="006E02E2">
            <w:pPr>
              <w:pStyle w:val="TableText"/>
              <w:spacing w:before="40" w:after="40"/>
              <w:jc w:val="right"/>
            </w:pPr>
            <w:r w:rsidRPr="009E06AA">
              <w:rPr>
                <w:color w:val="000000"/>
              </w:rPr>
              <w:t>2.7</w:t>
            </w:r>
          </w:p>
        </w:tc>
        <w:tc>
          <w:tcPr>
            <w:tcW w:w="2126" w:type="dxa"/>
            <w:shd w:val="clear" w:color="auto" w:fill="FFFFFF"/>
            <w:tcMar>
              <w:top w:w="0" w:type="dxa"/>
              <w:left w:w="85" w:type="dxa"/>
              <w:bottom w:w="0" w:type="dxa"/>
              <w:right w:w="85" w:type="dxa"/>
            </w:tcMar>
          </w:tcPr>
          <w:p w14:paraId="3CC94D59" w14:textId="77777777" w:rsidR="00053418" w:rsidRPr="009E06AA" w:rsidRDefault="00053418" w:rsidP="006E02E2">
            <w:pPr>
              <w:pStyle w:val="TableText"/>
              <w:spacing w:before="40" w:after="40"/>
              <w:jc w:val="right"/>
            </w:pPr>
            <w:r w:rsidRPr="009E06AA">
              <w:rPr>
                <w:color w:val="000000"/>
              </w:rPr>
              <w:t>2.9</w:t>
            </w:r>
          </w:p>
        </w:tc>
        <w:tc>
          <w:tcPr>
            <w:tcW w:w="2126" w:type="dxa"/>
            <w:shd w:val="clear" w:color="auto" w:fill="FFFFFF"/>
            <w:tcMar>
              <w:top w:w="0" w:type="dxa"/>
              <w:left w:w="85" w:type="dxa"/>
              <w:bottom w:w="0" w:type="dxa"/>
              <w:right w:w="85" w:type="dxa"/>
            </w:tcMar>
          </w:tcPr>
          <w:p w14:paraId="11A9208F" w14:textId="77777777" w:rsidR="00053418" w:rsidRPr="009E06AA" w:rsidRDefault="00053418" w:rsidP="006E02E2">
            <w:pPr>
              <w:pStyle w:val="TableText"/>
              <w:spacing w:before="40" w:after="40"/>
              <w:jc w:val="right"/>
            </w:pPr>
            <w:r w:rsidRPr="009E06AA">
              <w:rPr>
                <w:color w:val="000000"/>
              </w:rPr>
              <w:t>7.5</w:t>
            </w:r>
          </w:p>
        </w:tc>
      </w:tr>
      <w:tr w:rsidR="00053418" w:rsidRPr="009E06AA" w14:paraId="00557BDC" w14:textId="77777777" w:rsidTr="00B55F24">
        <w:tc>
          <w:tcPr>
            <w:tcW w:w="2126" w:type="dxa"/>
            <w:shd w:val="clear" w:color="auto" w:fill="FFFFFF"/>
            <w:tcMar>
              <w:top w:w="0" w:type="dxa"/>
              <w:left w:w="85" w:type="dxa"/>
              <w:bottom w:w="0" w:type="dxa"/>
              <w:right w:w="85" w:type="dxa"/>
            </w:tcMar>
          </w:tcPr>
          <w:p w14:paraId="213DCAFF" w14:textId="77777777" w:rsidR="00053418" w:rsidRPr="009E06AA" w:rsidRDefault="00053418" w:rsidP="00B55F24">
            <w:pPr>
              <w:pStyle w:val="TableText"/>
              <w:spacing w:before="40" w:after="40"/>
            </w:pPr>
            <w:r w:rsidRPr="009E06AA">
              <w:rPr>
                <w:color w:val="000000"/>
              </w:rPr>
              <w:t>N₂O emissions (kt N₂O)</w:t>
            </w:r>
          </w:p>
        </w:tc>
        <w:tc>
          <w:tcPr>
            <w:tcW w:w="2126" w:type="dxa"/>
            <w:shd w:val="clear" w:color="auto" w:fill="FFFFFF"/>
            <w:tcMar>
              <w:top w:w="0" w:type="dxa"/>
              <w:left w:w="85" w:type="dxa"/>
              <w:bottom w:w="0" w:type="dxa"/>
              <w:right w:w="85" w:type="dxa"/>
            </w:tcMar>
          </w:tcPr>
          <w:p w14:paraId="5AA16224" w14:textId="77777777" w:rsidR="00053418" w:rsidRPr="009E06AA" w:rsidRDefault="00053418" w:rsidP="006E02E2">
            <w:pPr>
              <w:pStyle w:val="TableText"/>
              <w:spacing w:before="40" w:after="40"/>
              <w:jc w:val="right"/>
            </w:pPr>
            <w:r w:rsidRPr="009E06AA">
              <w:rPr>
                <w:color w:val="000000"/>
              </w:rPr>
              <w:t>0.1</w:t>
            </w:r>
          </w:p>
        </w:tc>
        <w:tc>
          <w:tcPr>
            <w:tcW w:w="2126" w:type="dxa"/>
            <w:shd w:val="clear" w:color="auto" w:fill="FFFFFF"/>
            <w:tcMar>
              <w:top w:w="0" w:type="dxa"/>
              <w:left w:w="85" w:type="dxa"/>
              <w:bottom w:w="0" w:type="dxa"/>
              <w:right w:w="85" w:type="dxa"/>
            </w:tcMar>
          </w:tcPr>
          <w:p w14:paraId="7C3EE02F" w14:textId="77777777" w:rsidR="00053418" w:rsidRPr="009E06AA" w:rsidRDefault="00053418" w:rsidP="006E02E2">
            <w:pPr>
              <w:pStyle w:val="TableText"/>
              <w:spacing w:before="40" w:after="40"/>
              <w:jc w:val="right"/>
            </w:pPr>
            <w:r w:rsidRPr="009E06AA">
              <w:rPr>
                <w:color w:val="000000"/>
              </w:rPr>
              <w:t>0.2</w:t>
            </w:r>
          </w:p>
        </w:tc>
        <w:tc>
          <w:tcPr>
            <w:tcW w:w="2126" w:type="dxa"/>
            <w:shd w:val="clear" w:color="auto" w:fill="FFFFFF"/>
            <w:tcMar>
              <w:top w:w="0" w:type="dxa"/>
              <w:left w:w="85" w:type="dxa"/>
              <w:bottom w:w="0" w:type="dxa"/>
              <w:right w:w="85" w:type="dxa"/>
            </w:tcMar>
          </w:tcPr>
          <w:p w14:paraId="132B5480" w14:textId="77777777" w:rsidR="00053418" w:rsidRPr="009E06AA" w:rsidRDefault="00053418" w:rsidP="006E02E2">
            <w:pPr>
              <w:pStyle w:val="TableText"/>
              <w:spacing w:before="40" w:after="40"/>
              <w:jc w:val="right"/>
            </w:pPr>
            <w:r w:rsidRPr="009E06AA">
              <w:rPr>
                <w:color w:val="000000"/>
              </w:rPr>
              <w:t>91.6</w:t>
            </w:r>
          </w:p>
        </w:tc>
      </w:tr>
    </w:tbl>
    <w:bookmarkEnd w:id="2713"/>
    <w:p w14:paraId="6A7D53BA" w14:textId="77777777" w:rsidR="00053418" w:rsidRPr="009E06AA" w:rsidRDefault="00053418" w:rsidP="00053418">
      <w:pPr>
        <w:pStyle w:val="BodyText"/>
        <w:spacing w:before="240"/>
      </w:pPr>
      <w:r w:rsidRPr="009E06AA">
        <w:rPr>
          <w:i/>
          <w:spacing w:val="-2"/>
        </w:rPr>
        <w:t>Biomass burning</w:t>
      </w:r>
      <w:r w:rsidRPr="009E06AA">
        <w:rPr>
          <w:spacing w:val="-2"/>
        </w:rPr>
        <w:t xml:space="preserve"> can occur as a result of wildfires or controlled burning and results in emissions</w:t>
      </w:r>
      <w:r w:rsidRPr="009E06AA">
        <w:t xml:space="preserve"> of CO</w:t>
      </w:r>
      <w:r w:rsidRPr="009E06AA">
        <w:rPr>
          <w:vertAlign w:val="subscript"/>
        </w:rPr>
        <w:t>2</w:t>
      </w:r>
      <w:r w:rsidRPr="009E06AA">
        <w:t>, CH</w:t>
      </w:r>
      <w:r w:rsidRPr="009E06AA">
        <w:rPr>
          <w:vertAlign w:val="subscript"/>
        </w:rPr>
        <w:t>4</w:t>
      </w:r>
      <w:r w:rsidRPr="009E06AA">
        <w:t>, N</w:t>
      </w:r>
      <w:r w:rsidRPr="009E06AA">
        <w:rPr>
          <w:vertAlign w:val="subscript"/>
        </w:rPr>
        <w:t>2</w:t>
      </w:r>
      <w:r w:rsidRPr="009E06AA">
        <w:t>O, CO and NO</w:t>
      </w:r>
      <w:r w:rsidRPr="009E06AA">
        <w:rPr>
          <w:vertAlign w:val="subscript"/>
        </w:rPr>
        <w:t>x</w:t>
      </w:r>
      <w:r w:rsidRPr="009E06AA">
        <w:t xml:space="preserve">. </w:t>
      </w:r>
      <w:r w:rsidRPr="009E06AA">
        <w:rPr>
          <w:i/>
        </w:rPr>
        <w:t>Biomass burning</w:t>
      </w:r>
      <w:r w:rsidRPr="009E06AA" w:rsidDel="008B158D">
        <w:t xml:space="preserve"> </w:t>
      </w:r>
      <w:r w:rsidRPr="009E06AA">
        <w:t>is not a significant source of emissions for New Zealand because the practice of controlled burning is limited, and wildfires are not common due to New Zealand’s temperate climate and vegetation.</w:t>
      </w:r>
    </w:p>
    <w:p w14:paraId="6501F83C" w14:textId="77777777" w:rsidR="00053418" w:rsidRPr="009E06AA" w:rsidRDefault="00053418" w:rsidP="00053418">
      <w:pPr>
        <w:pStyle w:val="BodyText"/>
      </w:pPr>
      <w:r w:rsidRPr="009E06AA">
        <w:t xml:space="preserve">The two types of biomass burning (wildfire and controlled burning) that occur in New Zealand are reported in two main land use categories: </w:t>
      </w:r>
      <w:r w:rsidRPr="009E06AA">
        <w:rPr>
          <w:i/>
        </w:rPr>
        <w:t>Forest land</w:t>
      </w:r>
      <w:r w:rsidRPr="009E06AA">
        <w:t xml:space="preserve"> and </w:t>
      </w:r>
      <w:r w:rsidRPr="009E06AA">
        <w:rPr>
          <w:i/>
        </w:rPr>
        <w:t>Grassland</w:t>
      </w:r>
      <w:r w:rsidRPr="009E06AA">
        <w:t xml:space="preserve">. Emissions reported in </w:t>
      </w:r>
      <w:r w:rsidRPr="009E06AA">
        <w:rPr>
          <w:i/>
          <w:iCs/>
        </w:rPr>
        <w:t>Forest land</w:t>
      </w:r>
      <w:r w:rsidRPr="009E06AA">
        <w:t xml:space="preserve"> are further separated by forest type, and emissions from </w:t>
      </w:r>
      <w:r w:rsidRPr="009E06AA">
        <w:rPr>
          <w:i/>
          <w:iCs/>
        </w:rPr>
        <w:t xml:space="preserve">Grassland </w:t>
      </w:r>
      <w:r w:rsidRPr="009E06AA">
        <w:t xml:space="preserve">are reported from the controlled burning of tussock land (in ecosystems dominated by </w:t>
      </w:r>
      <w:r w:rsidRPr="009E06AA">
        <w:rPr>
          <w:i/>
        </w:rPr>
        <w:t xml:space="preserve">Chionochloa </w:t>
      </w:r>
      <w:r w:rsidRPr="009E06AA">
        <w:t>spp.) and from wildfires in exotic pasture grassland.</w:t>
      </w:r>
    </w:p>
    <w:p w14:paraId="179D1314" w14:textId="77777777" w:rsidR="00053418" w:rsidRPr="009E06AA" w:rsidRDefault="00053418" w:rsidP="00053418">
      <w:pPr>
        <w:pStyle w:val="Heading4"/>
      </w:pPr>
      <w:bookmarkStart w:id="2714" w:name="_Toc280630366"/>
      <w:r w:rsidRPr="009E06AA">
        <w:t>Methodological issues</w:t>
      </w:r>
      <w:bookmarkEnd w:id="2714"/>
    </w:p>
    <w:p w14:paraId="7FF1B4B6" w14:textId="77777777" w:rsidR="00053418" w:rsidRPr="009E06AA" w:rsidRDefault="00053418" w:rsidP="00053418">
      <w:pPr>
        <w:pStyle w:val="BodyText"/>
      </w:pPr>
      <w:r w:rsidRPr="009E06AA">
        <w:t xml:space="preserve">New Zealand employs Tier 2 methodologies to estimate emissions from </w:t>
      </w:r>
      <w:r w:rsidRPr="009E06AA">
        <w:rPr>
          <w:i/>
        </w:rPr>
        <w:t>Biomass burning</w:t>
      </w:r>
      <w:r w:rsidRPr="009E06AA">
        <w:t>. A combination of country-specific carbon fractions (Beets, unpublished), emission factors (Thomas et al., 2011) and combustion factors (Payton and Pearce, 2009; Wakelin, unpublished(a),</w:t>
      </w:r>
      <w:r w:rsidRPr="009E06AA">
        <w:rPr>
          <w:szCs w:val="20"/>
        </w:rPr>
        <w:t xml:space="preserve"> (e)</w:t>
      </w:r>
      <w:r w:rsidRPr="009E06AA">
        <w:t>) is employed along with the 2006 IPCC Guidelines default carbon fractions, emission factors, combustion factors and equations to derive emissions (sections 2.4, 4.2.4 and 6.2.4, IPCC, 2006a). These variables are summarised in table 6.11.4 and table 6.11.5, and further information on their application is provided in annex A5.2.7.</w:t>
      </w:r>
    </w:p>
    <w:p w14:paraId="76AEB123" w14:textId="77777777" w:rsidR="00053418" w:rsidRPr="009E06AA" w:rsidRDefault="00053418" w:rsidP="00053418">
      <w:pPr>
        <w:pStyle w:val="BodyText"/>
      </w:pPr>
    </w:p>
    <w:p w14:paraId="26CE71D8" w14:textId="77777777" w:rsidR="00053418" w:rsidRPr="009E06AA" w:rsidRDefault="00053418" w:rsidP="00053418">
      <w:pPr>
        <w:pStyle w:val="BodyText"/>
        <w:sectPr w:rsidR="00053418" w:rsidRPr="009E06AA" w:rsidSect="00F66BF9">
          <w:footerReference w:type="default" r:id="rId147"/>
          <w:pgSz w:w="11906" w:h="16838" w:code="9"/>
          <w:pgMar w:top="1418" w:right="1701" w:bottom="1418" w:left="1701" w:header="567" w:footer="567" w:gutter="0"/>
          <w:cols w:space="708"/>
          <w:docGrid w:linePitch="360"/>
        </w:sectPr>
      </w:pPr>
    </w:p>
    <w:p w14:paraId="58F2351F" w14:textId="77777777" w:rsidR="00053418" w:rsidRPr="009E06AA" w:rsidRDefault="00053418" w:rsidP="00053418">
      <w:pPr>
        <w:pStyle w:val="Table"/>
        <w:spacing w:before="0"/>
      </w:pPr>
      <w:bookmarkStart w:id="2715" w:name="_Toc131591431"/>
      <w:bookmarkStart w:id="2716" w:name="_Toc158979989"/>
      <w:bookmarkStart w:id="2717" w:name="_Toc164153922"/>
      <w:r w:rsidRPr="009E06AA">
        <w:t>Table 6.11.4</w:t>
      </w:r>
      <w:r w:rsidRPr="009E06AA">
        <w:tab/>
        <w:t xml:space="preserve">Summary of </w:t>
      </w:r>
      <w:r w:rsidRPr="009E06AA">
        <w:rPr>
          <w:i/>
        </w:rPr>
        <w:t>Biomass burning</w:t>
      </w:r>
      <w:r w:rsidRPr="009E06AA">
        <w:t xml:space="preserve"> carbon fractions and emission factors</w:t>
      </w:r>
      <w:bookmarkEnd w:id="2715"/>
      <w:bookmarkEnd w:id="2716"/>
      <w:bookmarkEnd w:id="2717"/>
    </w:p>
    <w:tbl>
      <w:tblPr>
        <w:tblW w:w="13948" w:type="dxa"/>
        <w:tblLook w:val="04A0" w:firstRow="1" w:lastRow="0" w:firstColumn="1" w:lastColumn="0" w:noHBand="0" w:noVBand="1"/>
      </w:tblPr>
      <w:tblGrid>
        <w:gridCol w:w="2376"/>
        <w:gridCol w:w="1560"/>
        <w:gridCol w:w="1275"/>
        <w:gridCol w:w="1560"/>
        <w:gridCol w:w="1417"/>
        <w:gridCol w:w="1418"/>
        <w:gridCol w:w="1417"/>
        <w:gridCol w:w="1559"/>
        <w:gridCol w:w="1366"/>
      </w:tblGrid>
      <w:tr w:rsidR="00053418" w:rsidRPr="009E06AA" w14:paraId="64C7A258" w14:textId="77777777" w:rsidTr="00B55F24">
        <w:trPr>
          <w:trHeight w:val="325"/>
        </w:trPr>
        <w:tc>
          <w:tcPr>
            <w:tcW w:w="2376" w:type="dxa"/>
            <w:tcBorders>
              <w:left w:val="nil"/>
            </w:tcBorders>
            <w:shd w:val="clear" w:color="auto" w:fill="auto"/>
            <w:noWrap/>
            <w:vAlign w:val="bottom"/>
            <w:hideMark/>
          </w:tcPr>
          <w:p w14:paraId="5EECD54E" w14:textId="77777777" w:rsidR="00053418" w:rsidRPr="009E06AA" w:rsidRDefault="00053418" w:rsidP="00B55F24">
            <w:pPr>
              <w:pStyle w:val="TableTextBold"/>
              <w:rPr>
                <w:noProof w:val="0"/>
              </w:rPr>
            </w:pPr>
          </w:p>
        </w:tc>
        <w:tc>
          <w:tcPr>
            <w:tcW w:w="11572" w:type="dxa"/>
            <w:gridSpan w:val="8"/>
            <w:tcBorders>
              <w:top w:val="single" w:sz="4" w:space="0" w:color="1B556B" w:themeColor="text2"/>
              <w:bottom w:val="single" w:sz="4" w:space="0" w:color="1B556B" w:themeColor="text2"/>
            </w:tcBorders>
            <w:shd w:val="clear" w:color="auto" w:fill="1B556B" w:themeFill="text2"/>
            <w:noWrap/>
            <w:vAlign w:val="bottom"/>
            <w:hideMark/>
          </w:tcPr>
          <w:p w14:paraId="3EBFF285" w14:textId="77777777" w:rsidR="00053418" w:rsidRPr="009E06AA" w:rsidRDefault="00053418" w:rsidP="00B55F24">
            <w:pPr>
              <w:pStyle w:val="TableTextBold"/>
              <w:jc w:val="center"/>
              <w:rPr>
                <w:rFonts w:eastAsia="Courier New"/>
                <w:noProof w:val="0"/>
                <w:color w:val="FFFFFF"/>
              </w:rPr>
            </w:pPr>
            <w:r w:rsidRPr="009E06AA">
              <w:rPr>
                <w:rFonts w:eastAsia="Courier New"/>
                <w:noProof w:val="0"/>
                <w:color w:val="FFFFFF"/>
              </w:rPr>
              <w:t>Biomass burning implied emission factors derived from 2006 IPCC Guidelines (IPCC, 2006a) and New Zealand-specific carbon fractions</w:t>
            </w:r>
          </w:p>
        </w:tc>
      </w:tr>
      <w:tr w:rsidR="00053418" w:rsidRPr="009E06AA" w14:paraId="63F81EC6" w14:textId="77777777" w:rsidTr="00B55F24">
        <w:trPr>
          <w:trHeight w:val="325"/>
        </w:trPr>
        <w:tc>
          <w:tcPr>
            <w:tcW w:w="2376" w:type="dxa"/>
            <w:tcBorders>
              <w:left w:val="nil"/>
            </w:tcBorders>
            <w:shd w:val="clear" w:color="auto" w:fill="auto"/>
            <w:noWrap/>
            <w:vAlign w:val="bottom"/>
            <w:hideMark/>
          </w:tcPr>
          <w:p w14:paraId="59ABF57D" w14:textId="77777777" w:rsidR="00053418" w:rsidRPr="009E06AA" w:rsidRDefault="00053418" w:rsidP="00B55F24">
            <w:pPr>
              <w:jc w:val="center"/>
              <w:rPr>
                <w:rFonts w:ascii="Yu Gothic" w:eastAsia="Symbol" w:hAnsi="Yu Gothic" w:cs="Yu Gothic"/>
                <w:color w:val="000000"/>
                <w:sz w:val="16"/>
                <w:szCs w:val="16"/>
              </w:rPr>
            </w:pPr>
          </w:p>
        </w:tc>
        <w:tc>
          <w:tcPr>
            <w:tcW w:w="2835" w:type="dxa"/>
            <w:gridSpan w:val="2"/>
            <w:tcBorders>
              <w:top w:val="single" w:sz="4" w:space="0" w:color="1B556B" w:themeColor="text2"/>
              <w:bottom w:val="single" w:sz="4" w:space="0" w:color="1B556B"/>
            </w:tcBorders>
            <w:shd w:val="clear" w:color="auto" w:fill="auto"/>
            <w:noWrap/>
            <w:vAlign w:val="bottom"/>
            <w:hideMark/>
          </w:tcPr>
          <w:p w14:paraId="34F5AF5A" w14:textId="77777777" w:rsidR="00053418" w:rsidRPr="009E06AA" w:rsidRDefault="00053418" w:rsidP="00B55F24">
            <w:pPr>
              <w:pStyle w:val="TableTextBold"/>
              <w:jc w:val="center"/>
              <w:rPr>
                <w:noProof w:val="0"/>
              </w:rPr>
            </w:pPr>
            <w:r w:rsidRPr="009E06AA">
              <w:rPr>
                <w:noProof w:val="0"/>
              </w:rPr>
              <w:t>Grassland/savannah</w:t>
            </w:r>
          </w:p>
        </w:tc>
        <w:tc>
          <w:tcPr>
            <w:tcW w:w="2977" w:type="dxa"/>
            <w:gridSpan w:val="2"/>
            <w:tcBorders>
              <w:top w:val="single" w:sz="4" w:space="0" w:color="1B556B" w:themeColor="text2"/>
              <w:bottom w:val="single" w:sz="4" w:space="0" w:color="1B556B"/>
            </w:tcBorders>
            <w:shd w:val="clear" w:color="auto" w:fill="auto"/>
            <w:noWrap/>
            <w:vAlign w:val="bottom"/>
            <w:hideMark/>
          </w:tcPr>
          <w:p w14:paraId="5054DB99" w14:textId="77777777" w:rsidR="00053418" w:rsidRPr="009E06AA" w:rsidRDefault="00053418" w:rsidP="00B55F24">
            <w:pPr>
              <w:pStyle w:val="TableTextBold"/>
              <w:jc w:val="center"/>
              <w:rPr>
                <w:noProof w:val="0"/>
              </w:rPr>
            </w:pPr>
            <w:r w:rsidRPr="009E06AA">
              <w:rPr>
                <w:noProof w:val="0"/>
              </w:rPr>
              <w:t>GWB/shrubland</w:t>
            </w:r>
          </w:p>
        </w:tc>
        <w:tc>
          <w:tcPr>
            <w:tcW w:w="5760" w:type="dxa"/>
            <w:gridSpan w:val="4"/>
            <w:tcBorders>
              <w:top w:val="single" w:sz="4" w:space="0" w:color="1B556B" w:themeColor="text2"/>
              <w:bottom w:val="single" w:sz="4" w:space="0" w:color="1B556B"/>
            </w:tcBorders>
            <w:shd w:val="clear" w:color="auto" w:fill="auto"/>
            <w:noWrap/>
            <w:vAlign w:val="bottom"/>
            <w:hideMark/>
          </w:tcPr>
          <w:p w14:paraId="6279567F" w14:textId="77777777" w:rsidR="00053418" w:rsidRPr="009E06AA" w:rsidRDefault="00053418" w:rsidP="00B55F24">
            <w:pPr>
              <w:pStyle w:val="TableTextBold"/>
              <w:jc w:val="center"/>
              <w:rPr>
                <w:noProof w:val="0"/>
              </w:rPr>
            </w:pPr>
            <w:r w:rsidRPr="009E06AA">
              <w:rPr>
                <w:noProof w:val="0"/>
              </w:rPr>
              <w:t>Forest land</w:t>
            </w:r>
          </w:p>
        </w:tc>
      </w:tr>
      <w:tr w:rsidR="00053418" w:rsidRPr="009E06AA" w14:paraId="2567620A" w14:textId="77777777" w:rsidTr="00B55F24">
        <w:trPr>
          <w:trHeight w:val="325"/>
        </w:trPr>
        <w:tc>
          <w:tcPr>
            <w:tcW w:w="2376" w:type="dxa"/>
            <w:tcBorders>
              <w:left w:val="nil"/>
            </w:tcBorders>
            <w:shd w:val="clear" w:color="auto" w:fill="auto"/>
            <w:noWrap/>
            <w:vAlign w:val="bottom"/>
            <w:hideMark/>
          </w:tcPr>
          <w:p w14:paraId="40C18D90" w14:textId="77777777" w:rsidR="00053418" w:rsidRPr="009E06AA" w:rsidRDefault="00053418" w:rsidP="00B55F24">
            <w:pPr>
              <w:jc w:val="center"/>
              <w:rPr>
                <w:rFonts w:ascii="Yu Gothic" w:eastAsia="Symbol" w:hAnsi="Yu Gothic" w:cs="Yu Gothic"/>
                <w:color w:val="000000"/>
                <w:sz w:val="16"/>
                <w:szCs w:val="16"/>
              </w:rPr>
            </w:pPr>
          </w:p>
        </w:tc>
        <w:tc>
          <w:tcPr>
            <w:tcW w:w="1560" w:type="dxa"/>
            <w:tcBorders>
              <w:top w:val="single" w:sz="4" w:space="0" w:color="1B556B"/>
            </w:tcBorders>
            <w:shd w:val="clear" w:color="auto" w:fill="auto"/>
            <w:noWrap/>
            <w:vAlign w:val="bottom"/>
            <w:hideMark/>
          </w:tcPr>
          <w:p w14:paraId="5C609BE9" w14:textId="77777777" w:rsidR="00053418" w:rsidRPr="009E06AA" w:rsidRDefault="00053418" w:rsidP="0030472F">
            <w:pPr>
              <w:pStyle w:val="TableText"/>
              <w:jc w:val="right"/>
            </w:pPr>
            <w:r w:rsidRPr="009E06AA">
              <w:t>Controlled burning</w:t>
            </w:r>
          </w:p>
        </w:tc>
        <w:tc>
          <w:tcPr>
            <w:tcW w:w="1275" w:type="dxa"/>
            <w:tcBorders>
              <w:top w:val="single" w:sz="4" w:space="0" w:color="1B556B"/>
            </w:tcBorders>
            <w:shd w:val="clear" w:color="auto" w:fill="auto"/>
            <w:noWrap/>
            <w:vAlign w:val="bottom"/>
            <w:hideMark/>
          </w:tcPr>
          <w:p w14:paraId="014A283E" w14:textId="77777777" w:rsidR="00053418" w:rsidRPr="009E06AA" w:rsidRDefault="00053418" w:rsidP="0030472F">
            <w:pPr>
              <w:pStyle w:val="TableText"/>
              <w:jc w:val="right"/>
            </w:pPr>
            <w:r w:rsidRPr="009E06AA">
              <w:t>Wildfire</w:t>
            </w:r>
          </w:p>
        </w:tc>
        <w:tc>
          <w:tcPr>
            <w:tcW w:w="1560" w:type="dxa"/>
            <w:tcBorders>
              <w:top w:val="single" w:sz="4" w:space="0" w:color="1B556B"/>
            </w:tcBorders>
            <w:shd w:val="clear" w:color="auto" w:fill="auto"/>
            <w:noWrap/>
            <w:vAlign w:val="bottom"/>
            <w:hideMark/>
          </w:tcPr>
          <w:p w14:paraId="14F689E6" w14:textId="77777777" w:rsidR="00053418" w:rsidRPr="009E06AA" w:rsidRDefault="00053418" w:rsidP="0030472F">
            <w:pPr>
              <w:pStyle w:val="TableText"/>
              <w:jc w:val="right"/>
            </w:pPr>
            <w:r w:rsidRPr="009E06AA">
              <w:t>Controlled burning</w:t>
            </w:r>
          </w:p>
        </w:tc>
        <w:tc>
          <w:tcPr>
            <w:tcW w:w="1417" w:type="dxa"/>
            <w:tcBorders>
              <w:top w:val="single" w:sz="4" w:space="0" w:color="1B556B"/>
            </w:tcBorders>
            <w:shd w:val="clear" w:color="auto" w:fill="auto"/>
            <w:noWrap/>
            <w:vAlign w:val="bottom"/>
            <w:hideMark/>
          </w:tcPr>
          <w:p w14:paraId="5114F8F3" w14:textId="77777777" w:rsidR="00053418" w:rsidRPr="009E06AA" w:rsidRDefault="00053418" w:rsidP="0030472F">
            <w:pPr>
              <w:pStyle w:val="TableText"/>
              <w:jc w:val="right"/>
            </w:pPr>
            <w:r w:rsidRPr="009E06AA">
              <w:t>Wildfire</w:t>
            </w:r>
          </w:p>
        </w:tc>
        <w:tc>
          <w:tcPr>
            <w:tcW w:w="2835" w:type="dxa"/>
            <w:gridSpan w:val="2"/>
            <w:tcBorders>
              <w:top w:val="single" w:sz="4" w:space="0" w:color="1B556B"/>
              <w:bottom w:val="single" w:sz="4" w:space="0" w:color="1B556B"/>
            </w:tcBorders>
            <w:shd w:val="clear" w:color="auto" w:fill="auto"/>
            <w:noWrap/>
            <w:vAlign w:val="bottom"/>
            <w:hideMark/>
          </w:tcPr>
          <w:p w14:paraId="2C9F50B1" w14:textId="77777777" w:rsidR="00053418" w:rsidRPr="009E06AA" w:rsidRDefault="00053418" w:rsidP="0030472F">
            <w:pPr>
              <w:pStyle w:val="TableText"/>
              <w:jc w:val="right"/>
            </w:pPr>
            <w:r w:rsidRPr="009E06AA">
              <w:t>Controlled burning</w:t>
            </w:r>
          </w:p>
        </w:tc>
        <w:tc>
          <w:tcPr>
            <w:tcW w:w="2925" w:type="dxa"/>
            <w:gridSpan w:val="2"/>
            <w:tcBorders>
              <w:top w:val="single" w:sz="4" w:space="0" w:color="1B556B"/>
              <w:bottom w:val="single" w:sz="4" w:space="0" w:color="1B556B"/>
            </w:tcBorders>
            <w:shd w:val="clear" w:color="auto" w:fill="auto"/>
            <w:noWrap/>
            <w:vAlign w:val="bottom"/>
            <w:hideMark/>
          </w:tcPr>
          <w:p w14:paraId="76E76054" w14:textId="77777777" w:rsidR="00053418" w:rsidRPr="009E06AA" w:rsidRDefault="00053418" w:rsidP="0030472F">
            <w:pPr>
              <w:pStyle w:val="TableText"/>
              <w:jc w:val="right"/>
            </w:pPr>
            <w:r w:rsidRPr="009E06AA">
              <w:t>Wildfire</w:t>
            </w:r>
          </w:p>
        </w:tc>
      </w:tr>
      <w:tr w:rsidR="00053418" w:rsidRPr="009E06AA" w14:paraId="4F837B16" w14:textId="77777777" w:rsidTr="00B55F24">
        <w:trPr>
          <w:trHeight w:val="325"/>
        </w:trPr>
        <w:tc>
          <w:tcPr>
            <w:tcW w:w="2376" w:type="dxa"/>
            <w:shd w:val="clear" w:color="auto" w:fill="D2DDE1" w:themeFill="background2"/>
            <w:noWrap/>
            <w:vAlign w:val="bottom"/>
            <w:hideMark/>
          </w:tcPr>
          <w:p w14:paraId="0A28E64A" w14:textId="77777777" w:rsidR="00053418" w:rsidRPr="009E06AA" w:rsidRDefault="00053418" w:rsidP="00B55F24">
            <w:pPr>
              <w:jc w:val="center"/>
              <w:rPr>
                <w:rFonts w:ascii="Yu Gothic" w:eastAsia="Symbol" w:hAnsi="Yu Gothic" w:cs="Yu Gothic"/>
                <w:color w:val="000000"/>
                <w:sz w:val="16"/>
                <w:szCs w:val="16"/>
              </w:rPr>
            </w:pPr>
          </w:p>
        </w:tc>
        <w:tc>
          <w:tcPr>
            <w:tcW w:w="1560" w:type="dxa"/>
            <w:shd w:val="clear" w:color="auto" w:fill="D2DDE1" w:themeFill="background2"/>
            <w:noWrap/>
            <w:vAlign w:val="bottom"/>
            <w:hideMark/>
          </w:tcPr>
          <w:p w14:paraId="5E175164" w14:textId="77777777" w:rsidR="00053418" w:rsidRPr="009E06AA" w:rsidRDefault="00053418" w:rsidP="0030472F">
            <w:pPr>
              <w:pStyle w:val="TableText"/>
              <w:jc w:val="right"/>
            </w:pPr>
          </w:p>
        </w:tc>
        <w:tc>
          <w:tcPr>
            <w:tcW w:w="1275" w:type="dxa"/>
            <w:shd w:val="clear" w:color="auto" w:fill="D2DDE1" w:themeFill="background2"/>
            <w:noWrap/>
            <w:vAlign w:val="bottom"/>
            <w:hideMark/>
          </w:tcPr>
          <w:p w14:paraId="3F9A3F1F" w14:textId="77777777" w:rsidR="00053418" w:rsidRPr="009E06AA" w:rsidRDefault="00053418" w:rsidP="0030472F">
            <w:pPr>
              <w:pStyle w:val="TableText"/>
              <w:jc w:val="right"/>
            </w:pPr>
          </w:p>
        </w:tc>
        <w:tc>
          <w:tcPr>
            <w:tcW w:w="1560" w:type="dxa"/>
            <w:shd w:val="clear" w:color="auto" w:fill="D2DDE1" w:themeFill="background2"/>
            <w:noWrap/>
            <w:vAlign w:val="bottom"/>
            <w:hideMark/>
          </w:tcPr>
          <w:p w14:paraId="1B746147" w14:textId="77777777" w:rsidR="00053418" w:rsidRPr="009E06AA" w:rsidRDefault="00053418" w:rsidP="0030472F">
            <w:pPr>
              <w:pStyle w:val="TableText"/>
              <w:jc w:val="right"/>
            </w:pPr>
          </w:p>
        </w:tc>
        <w:tc>
          <w:tcPr>
            <w:tcW w:w="1417" w:type="dxa"/>
            <w:shd w:val="clear" w:color="auto" w:fill="D2DDE1" w:themeFill="background2"/>
            <w:noWrap/>
            <w:vAlign w:val="bottom"/>
            <w:hideMark/>
          </w:tcPr>
          <w:p w14:paraId="5AC4B28A" w14:textId="77777777" w:rsidR="00053418" w:rsidRPr="009E06AA" w:rsidRDefault="00053418" w:rsidP="0030472F">
            <w:pPr>
              <w:pStyle w:val="TableText"/>
              <w:jc w:val="right"/>
            </w:pPr>
          </w:p>
        </w:tc>
        <w:tc>
          <w:tcPr>
            <w:tcW w:w="1418" w:type="dxa"/>
            <w:tcBorders>
              <w:top w:val="single" w:sz="4" w:space="0" w:color="1B556B"/>
              <w:bottom w:val="single" w:sz="4" w:space="0" w:color="1B556B"/>
            </w:tcBorders>
            <w:shd w:val="clear" w:color="auto" w:fill="auto"/>
            <w:noWrap/>
            <w:vAlign w:val="bottom"/>
            <w:hideMark/>
          </w:tcPr>
          <w:p w14:paraId="4702387E" w14:textId="77777777" w:rsidR="00053418" w:rsidRPr="009E06AA" w:rsidRDefault="00053418" w:rsidP="0030472F">
            <w:pPr>
              <w:pStyle w:val="TableText"/>
              <w:jc w:val="right"/>
            </w:pPr>
            <w:r w:rsidRPr="009E06AA">
              <w:t>Planted forest</w:t>
            </w:r>
          </w:p>
        </w:tc>
        <w:tc>
          <w:tcPr>
            <w:tcW w:w="1417" w:type="dxa"/>
            <w:tcBorders>
              <w:top w:val="single" w:sz="4" w:space="0" w:color="1B556B"/>
              <w:bottom w:val="single" w:sz="4" w:space="0" w:color="1B556B"/>
            </w:tcBorders>
            <w:shd w:val="clear" w:color="auto" w:fill="auto"/>
            <w:noWrap/>
            <w:vAlign w:val="bottom"/>
            <w:hideMark/>
          </w:tcPr>
          <w:p w14:paraId="3B3E03E1" w14:textId="77777777" w:rsidR="00053418" w:rsidRPr="009E06AA" w:rsidRDefault="00053418" w:rsidP="0030472F">
            <w:pPr>
              <w:pStyle w:val="TableText"/>
              <w:jc w:val="right"/>
            </w:pPr>
            <w:r w:rsidRPr="009E06AA">
              <w:t>Natural forest</w:t>
            </w:r>
          </w:p>
        </w:tc>
        <w:tc>
          <w:tcPr>
            <w:tcW w:w="1559" w:type="dxa"/>
            <w:tcBorders>
              <w:top w:val="single" w:sz="4" w:space="0" w:color="1B556B"/>
              <w:bottom w:val="single" w:sz="4" w:space="0" w:color="1B556B"/>
            </w:tcBorders>
            <w:shd w:val="clear" w:color="auto" w:fill="auto"/>
            <w:noWrap/>
            <w:vAlign w:val="bottom"/>
            <w:hideMark/>
          </w:tcPr>
          <w:p w14:paraId="55279ADD" w14:textId="77777777" w:rsidR="00053418" w:rsidRPr="009E06AA" w:rsidRDefault="00053418" w:rsidP="0030472F">
            <w:pPr>
              <w:pStyle w:val="TableText"/>
              <w:jc w:val="right"/>
            </w:pPr>
            <w:r w:rsidRPr="009E06AA">
              <w:t>Planted forest</w:t>
            </w:r>
          </w:p>
        </w:tc>
        <w:tc>
          <w:tcPr>
            <w:tcW w:w="1366" w:type="dxa"/>
            <w:tcBorders>
              <w:top w:val="single" w:sz="4" w:space="0" w:color="1B556B"/>
              <w:bottom w:val="single" w:sz="4" w:space="0" w:color="1B556B"/>
            </w:tcBorders>
            <w:shd w:val="clear" w:color="auto" w:fill="auto"/>
            <w:noWrap/>
            <w:vAlign w:val="bottom"/>
            <w:hideMark/>
          </w:tcPr>
          <w:p w14:paraId="6B6CFF1A" w14:textId="77777777" w:rsidR="00053418" w:rsidRPr="009E06AA" w:rsidRDefault="00053418" w:rsidP="0030472F">
            <w:pPr>
              <w:pStyle w:val="TableText"/>
              <w:jc w:val="right"/>
            </w:pPr>
            <w:r w:rsidRPr="009E06AA">
              <w:t>Natural forest</w:t>
            </w:r>
          </w:p>
        </w:tc>
      </w:tr>
      <w:tr w:rsidR="00053418" w:rsidRPr="009E06AA" w14:paraId="4E745362" w14:textId="77777777" w:rsidTr="00B55F24">
        <w:trPr>
          <w:trHeight w:val="325"/>
        </w:trPr>
        <w:tc>
          <w:tcPr>
            <w:tcW w:w="2376" w:type="dxa"/>
            <w:tcBorders>
              <w:top w:val="nil"/>
              <w:bottom w:val="single" w:sz="4" w:space="0" w:color="1B556B"/>
            </w:tcBorders>
            <w:shd w:val="clear" w:color="auto" w:fill="auto"/>
            <w:noWrap/>
            <w:vAlign w:val="bottom"/>
            <w:hideMark/>
          </w:tcPr>
          <w:p w14:paraId="0215D18A" w14:textId="77777777" w:rsidR="00053418" w:rsidRPr="009E06AA" w:rsidRDefault="00053418" w:rsidP="00B55F24">
            <w:pPr>
              <w:pStyle w:val="TableText"/>
            </w:pPr>
            <w:r w:rsidRPr="009E06AA">
              <w:t>Carbon fraction</w:t>
            </w:r>
          </w:p>
        </w:tc>
        <w:tc>
          <w:tcPr>
            <w:tcW w:w="1560" w:type="dxa"/>
            <w:tcBorders>
              <w:top w:val="nil"/>
              <w:bottom w:val="single" w:sz="4" w:space="0" w:color="1B556B"/>
            </w:tcBorders>
            <w:shd w:val="clear" w:color="auto" w:fill="auto"/>
            <w:noWrap/>
            <w:hideMark/>
          </w:tcPr>
          <w:p w14:paraId="1A1446BE" w14:textId="77777777" w:rsidR="00053418" w:rsidRPr="009E06AA" w:rsidRDefault="00053418" w:rsidP="0030472F">
            <w:pPr>
              <w:pStyle w:val="TableText"/>
              <w:jc w:val="right"/>
            </w:pPr>
            <w:r w:rsidRPr="009E06AA">
              <w:t>0.44</w:t>
            </w:r>
          </w:p>
        </w:tc>
        <w:tc>
          <w:tcPr>
            <w:tcW w:w="1275" w:type="dxa"/>
            <w:tcBorders>
              <w:top w:val="nil"/>
              <w:bottom w:val="single" w:sz="4" w:space="0" w:color="1B556B"/>
            </w:tcBorders>
            <w:shd w:val="clear" w:color="auto" w:fill="auto"/>
            <w:noWrap/>
            <w:hideMark/>
          </w:tcPr>
          <w:p w14:paraId="16EAB5EE" w14:textId="77777777" w:rsidR="00053418" w:rsidRPr="009E06AA" w:rsidRDefault="00053418" w:rsidP="0030472F">
            <w:pPr>
              <w:pStyle w:val="TableText"/>
              <w:jc w:val="right"/>
            </w:pPr>
            <w:r w:rsidRPr="009E06AA">
              <w:t>0.44</w:t>
            </w:r>
          </w:p>
        </w:tc>
        <w:tc>
          <w:tcPr>
            <w:tcW w:w="1560" w:type="dxa"/>
            <w:tcBorders>
              <w:top w:val="nil"/>
              <w:bottom w:val="single" w:sz="4" w:space="0" w:color="1B556B"/>
            </w:tcBorders>
            <w:shd w:val="clear" w:color="auto" w:fill="auto"/>
            <w:noWrap/>
            <w:hideMark/>
          </w:tcPr>
          <w:p w14:paraId="455219D7" w14:textId="77777777" w:rsidR="00053418" w:rsidRPr="009E06AA" w:rsidRDefault="00053418" w:rsidP="0030472F">
            <w:pPr>
              <w:pStyle w:val="TableText"/>
              <w:jc w:val="right"/>
            </w:pPr>
            <w:r w:rsidRPr="009E06AA">
              <w:t>0.44</w:t>
            </w:r>
          </w:p>
        </w:tc>
        <w:tc>
          <w:tcPr>
            <w:tcW w:w="1417" w:type="dxa"/>
            <w:tcBorders>
              <w:top w:val="nil"/>
              <w:bottom w:val="single" w:sz="4" w:space="0" w:color="1B556B"/>
            </w:tcBorders>
            <w:shd w:val="clear" w:color="auto" w:fill="auto"/>
            <w:noWrap/>
            <w:hideMark/>
          </w:tcPr>
          <w:p w14:paraId="79B637A6" w14:textId="77777777" w:rsidR="00053418" w:rsidRPr="009E06AA" w:rsidRDefault="00053418" w:rsidP="0030472F">
            <w:pPr>
              <w:pStyle w:val="TableText"/>
              <w:jc w:val="right"/>
            </w:pPr>
            <w:r w:rsidRPr="009E06AA">
              <w:t>0.44</w:t>
            </w:r>
          </w:p>
        </w:tc>
        <w:tc>
          <w:tcPr>
            <w:tcW w:w="1418" w:type="dxa"/>
            <w:tcBorders>
              <w:top w:val="single" w:sz="4" w:space="0" w:color="1B556B"/>
              <w:bottom w:val="single" w:sz="4" w:space="0" w:color="1B556B"/>
            </w:tcBorders>
            <w:shd w:val="clear" w:color="auto" w:fill="auto"/>
            <w:noWrap/>
            <w:vAlign w:val="bottom"/>
            <w:hideMark/>
          </w:tcPr>
          <w:p w14:paraId="5E81E6BF" w14:textId="77777777" w:rsidR="00053418" w:rsidRPr="009E06AA" w:rsidRDefault="00053418" w:rsidP="0030472F">
            <w:pPr>
              <w:pStyle w:val="TableText"/>
              <w:jc w:val="right"/>
            </w:pPr>
            <w:r w:rsidRPr="009E06AA">
              <w:t>0.51*</w:t>
            </w:r>
          </w:p>
        </w:tc>
        <w:tc>
          <w:tcPr>
            <w:tcW w:w="1417" w:type="dxa"/>
            <w:tcBorders>
              <w:top w:val="single" w:sz="4" w:space="0" w:color="1B556B"/>
              <w:bottom w:val="single" w:sz="4" w:space="0" w:color="1B556B"/>
            </w:tcBorders>
            <w:shd w:val="clear" w:color="auto" w:fill="auto"/>
            <w:noWrap/>
            <w:vAlign w:val="bottom"/>
            <w:hideMark/>
          </w:tcPr>
          <w:p w14:paraId="387E0893" w14:textId="77777777" w:rsidR="00053418" w:rsidRPr="009E06AA" w:rsidRDefault="00053418" w:rsidP="0030472F">
            <w:pPr>
              <w:pStyle w:val="TableText"/>
              <w:jc w:val="right"/>
            </w:pPr>
            <w:r w:rsidRPr="009E06AA">
              <w:t>0.47</w:t>
            </w:r>
          </w:p>
        </w:tc>
        <w:tc>
          <w:tcPr>
            <w:tcW w:w="1559" w:type="dxa"/>
            <w:tcBorders>
              <w:top w:val="single" w:sz="4" w:space="0" w:color="1B556B"/>
              <w:bottom w:val="single" w:sz="4" w:space="0" w:color="1B556B"/>
            </w:tcBorders>
            <w:shd w:val="clear" w:color="auto" w:fill="auto"/>
            <w:noWrap/>
            <w:vAlign w:val="bottom"/>
            <w:hideMark/>
          </w:tcPr>
          <w:p w14:paraId="561BCB6A" w14:textId="77777777" w:rsidR="00053418" w:rsidRPr="009E06AA" w:rsidRDefault="00053418" w:rsidP="0030472F">
            <w:pPr>
              <w:pStyle w:val="TableText"/>
              <w:jc w:val="right"/>
            </w:pPr>
            <w:r w:rsidRPr="009E06AA">
              <w:t>0.51*</w:t>
            </w:r>
          </w:p>
        </w:tc>
        <w:tc>
          <w:tcPr>
            <w:tcW w:w="1366" w:type="dxa"/>
            <w:tcBorders>
              <w:top w:val="single" w:sz="4" w:space="0" w:color="1B556B"/>
              <w:bottom w:val="single" w:sz="4" w:space="0" w:color="1B556B"/>
            </w:tcBorders>
            <w:shd w:val="clear" w:color="auto" w:fill="auto"/>
            <w:noWrap/>
            <w:vAlign w:val="bottom"/>
            <w:hideMark/>
          </w:tcPr>
          <w:p w14:paraId="03577D73" w14:textId="77777777" w:rsidR="00053418" w:rsidRPr="009E06AA" w:rsidRDefault="00053418" w:rsidP="0030472F">
            <w:pPr>
              <w:pStyle w:val="TableText"/>
              <w:jc w:val="right"/>
            </w:pPr>
            <w:r w:rsidRPr="009E06AA">
              <w:t>0.47</w:t>
            </w:r>
          </w:p>
        </w:tc>
      </w:tr>
      <w:tr w:rsidR="00053418" w:rsidRPr="009E06AA" w14:paraId="5EC45740" w14:textId="77777777" w:rsidTr="00B55F24">
        <w:trPr>
          <w:trHeight w:val="325"/>
        </w:trPr>
        <w:tc>
          <w:tcPr>
            <w:tcW w:w="2376" w:type="dxa"/>
            <w:tcBorders>
              <w:top w:val="single" w:sz="4" w:space="0" w:color="1B556B"/>
              <w:bottom w:val="single" w:sz="4" w:space="0" w:color="1B556B"/>
            </w:tcBorders>
            <w:shd w:val="clear" w:color="auto" w:fill="auto"/>
            <w:noWrap/>
            <w:vAlign w:val="bottom"/>
            <w:hideMark/>
          </w:tcPr>
          <w:p w14:paraId="5FAFAFB1" w14:textId="77777777" w:rsidR="00053418" w:rsidRPr="009E06AA" w:rsidRDefault="00053418" w:rsidP="00B55F24">
            <w:pPr>
              <w:pStyle w:val="TableText"/>
            </w:pPr>
            <w:r w:rsidRPr="009E06AA">
              <w:t>C:N ratio</w:t>
            </w:r>
          </w:p>
        </w:tc>
        <w:tc>
          <w:tcPr>
            <w:tcW w:w="1560" w:type="dxa"/>
            <w:tcBorders>
              <w:top w:val="single" w:sz="4" w:space="0" w:color="1B556B"/>
              <w:bottom w:val="single" w:sz="4" w:space="0" w:color="1B556B"/>
            </w:tcBorders>
            <w:shd w:val="clear" w:color="auto" w:fill="auto"/>
            <w:noWrap/>
            <w:hideMark/>
          </w:tcPr>
          <w:p w14:paraId="71F3F203" w14:textId="77777777" w:rsidR="00053418" w:rsidRPr="009E06AA" w:rsidRDefault="00053418" w:rsidP="0030472F">
            <w:pPr>
              <w:pStyle w:val="TableText"/>
              <w:jc w:val="right"/>
            </w:pPr>
            <w:r w:rsidRPr="009E06AA">
              <w:t>0.01</w:t>
            </w:r>
          </w:p>
        </w:tc>
        <w:tc>
          <w:tcPr>
            <w:tcW w:w="1275" w:type="dxa"/>
            <w:tcBorders>
              <w:top w:val="single" w:sz="4" w:space="0" w:color="1B556B"/>
              <w:bottom w:val="single" w:sz="4" w:space="0" w:color="1B556B"/>
            </w:tcBorders>
            <w:shd w:val="clear" w:color="auto" w:fill="auto"/>
            <w:noWrap/>
            <w:hideMark/>
          </w:tcPr>
          <w:p w14:paraId="36985FB1" w14:textId="77777777" w:rsidR="00053418" w:rsidRPr="009E06AA" w:rsidRDefault="00053418" w:rsidP="0030472F">
            <w:pPr>
              <w:pStyle w:val="TableText"/>
              <w:jc w:val="right"/>
            </w:pPr>
            <w:r w:rsidRPr="009E06AA">
              <w:t>0.01</w:t>
            </w:r>
          </w:p>
        </w:tc>
        <w:tc>
          <w:tcPr>
            <w:tcW w:w="1560" w:type="dxa"/>
            <w:tcBorders>
              <w:top w:val="single" w:sz="4" w:space="0" w:color="1B556B"/>
              <w:bottom w:val="single" w:sz="4" w:space="0" w:color="1B556B"/>
            </w:tcBorders>
            <w:shd w:val="clear" w:color="auto" w:fill="auto"/>
            <w:noWrap/>
            <w:hideMark/>
          </w:tcPr>
          <w:p w14:paraId="0E9BD3DC" w14:textId="77777777" w:rsidR="00053418" w:rsidRPr="009E06AA" w:rsidRDefault="00053418" w:rsidP="0030472F">
            <w:pPr>
              <w:pStyle w:val="TableText"/>
              <w:jc w:val="right"/>
            </w:pPr>
            <w:r w:rsidRPr="009E06AA">
              <w:t>0.01</w:t>
            </w:r>
          </w:p>
        </w:tc>
        <w:tc>
          <w:tcPr>
            <w:tcW w:w="1417" w:type="dxa"/>
            <w:tcBorders>
              <w:top w:val="single" w:sz="4" w:space="0" w:color="1B556B"/>
              <w:bottom w:val="single" w:sz="4" w:space="0" w:color="1B556B"/>
            </w:tcBorders>
            <w:shd w:val="clear" w:color="auto" w:fill="auto"/>
            <w:noWrap/>
            <w:hideMark/>
          </w:tcPr>
          <w:p w14:paraId="0B1B4823" w14:textId="77777777" w:rsidR="00053418" w:rsidRPr="009E06AA" w:rsidRDefault="00053418" w:rsidP="0030472F">
            <w:pPr>
              <w:pStyle w:val="TableText"/>
              <w:jc w:val="right"/>
            </w:pPr>
            <w:r w:rsidRPr="009E06AA">
              <w:t>0.01</w:t>
            </w:r>
          </w:p>
        </w:tc>
        <w:tc>
          <w:tcPr>
            <w:tcW w:w="1418" w:type="dxa"/>
            <w:tcBorders>
              <w:top w:val="single" w:sz="4" w:space="0" w:color="1B556B"/>
              <w:bottom w:val="single" w:sz="4" w:space="0" w:color="1B556B"/>
            </w:tcBorders>
            <w:shd w:val="clear" w:color="auto" w:fill="auto"/>
            <w:noWrap/>
            <w:vAlign w:val="bottom"/>
            <w:hideMark/>
          </w:tcPr>
          <w:p w14:paraId="30AB1672" w14:textId="77777777" w:rsidR="00053418" w:rsidRPr="009E06AA" w:rsidRDefault="00053418" w:rsidP="0030472F">
            <w:pPr>
              <w:pStyle w:val="TableText"/>
              <w:jc w:val="right"/>
            </w:pPr>
            <w:r w:rsidRPr="009E06AA">
              <w:t>0.01</w:t>
            </w:r>
          </w:p>
        </w:tc>
        <w:tc>
          <w:tcPr>
            <w:tcW w:w="1417" w:type="dxa"/>
            <w:tcBorders>
              <w:top w:val="single" w:sz="4" w:space="0" w:color="1B556B"/>
              <w:bottom w:val="single" w:sz="4" w:space="0" w:color="1B556B"/>
            </w:tcBorders>
            <w:shd w:val="clear" w:color="auto" w:fill="auto"/>
            <w:noWrap/>
            <w:vAlign w:val="bottom"/>
            <w:hideMark/>
          </w:tcPr>
          <w:p w14:paraId="2E88E1F1" w14:textId="77777777" w:rsidR="00053418" w:rsidRPr="009E06AA" w:rsidRDefault="00053418" w:rsidP="0030472F">
            <w:pPr>
              <w:pStyle w:val="TableText"/>
              <w:jc w:val="right"/>
            </w:pPr>
            <w:r w:rsidRPr="009E06AA">
              <w:t>0.01</w:t>
            </w:r>
          </w:p>
        </w:tc>
        <w:tc>
          <w:tcPr>
            <w:tcW w:w="1559" w:type="dxa"/>
            <w:tcBorders>
              <w:top w:val="single" w:sz="4" w:space="0" w:color="1B556B"/>
              <w:bottom w:val="single" w:sz="4" w:space="0" w:color="1B556B"/>
            </w:tcBorders>
            <w:shd w:val="clear" w:color="auto" w:fill="auto"/>
            <w:noWrap/>
            <w:vAlign w:val="bottom"/>
            <w:hideMark/>
          </w:tcPr>
          <w:p w14:paraId="54509BD0" w14:textId="77777777" w:rsidR="00053418" w:rsidRPr="009E06AA" w:rsidRDefault="00053418" w:rsidP="0030472F">
            <w:pPr>
              <w:pStyle w:val="TableText"/>
              <w:jc w:val="right"/>
            </w:pPr>
            <w:r w:rsidRPr="009E06AA">
              <w:t>0.01</w:t>
            </w:r>
          </w:p>
        </w:tc>
        <w:tc>
          <w:tcPr>
            <w:tcW w:w="1366" w:type="dxa"/>
            <w:tcBorders>
              <w:top w:val="single" w:sz="4" w:space="0" w:color="1B556B"/>
              <w:bottom w:val="single" w:sz="4" w:space="0" w:color="1B556B"/>
            </w:tcBorders>
            <w:shd w:val="clear" w:color="auto" w:fill="auto"/>
            <w:noWrap/>
            <w:vAlign w:val="bottom"/>
            <w:hideMark/>
          </w:tcPr>
          <w:p w14:paraId="33765C6C" w14:textId="77777777" w:rsidR="00053418" w:rsidRPr="009E06AA" w:rsidRDefault="00053418" w:rsidP="0030472F">
            <w:pPr>
              <w:pStyle w:val="TableText"/>
              <w:jc w:val="right"/>
            </w:pPr>
            <w:r w:rsidRPr="009E06AA">
              <w:t>0.01</w:t>
            </w:r>
          </w:p>
        </w:tc>
      </w:tr>
      <w:tr w:rsidR="00053418" w:rsidRPr="009E06AA" w14:paraId="25323B2B" w14:textId="77777777" w:rsidTr="00B55F24">
        <w:trPr>
          <w:trHeight w:val="325"/>
        </w:trPr>
        <w:tc>
          <w:tcPr>
            <w:tcW w:w="2376" w:type="dxa"/>
            <w:tcBorders>
              <w:top w:val="single" w:sz="4" w:space="0" w:color="1B556B"/>
              <w:bottom w:val="single" w:sz="4" w:space="0" w:color="1B556B"/>
            </w:tcBorders>
            <w:shd w:val="clear" w:color="auto" w:fill="auto"/>
            <w:noWrap/>
            <w:vAlign w:val="bottom"/>
            <w:hideMark/>
          </w:tcPr>
          <w:p w14:paraId="2D541F0C" w14:textId="77777777" w:rsidR="00053418" w:rsidRPr="009E06AA" w:rsidRDefault="00053418" w:rsidP="00B55F24">
            <w:pPr>
              <w:pStyle w:val="TableText"/>
            </w:pPr>
            <w:r w:rsidRPr="009E06AA">
              <w:t>CO emission factor</w:t>
            </w:r>
          </w:p>
        </w:tc>
        <w:tc>
          <w:tcPr>
            <w:tcW w:w="1560" w:type="dxa"/>
            <w:tcBorders>
              <w:top w:val="single" w:sz="4" w:space="0" w:color="1B556B"/>
              <w:bottom w:val="single" w:sz="4" w:space="0" w:color="1B556B"/>
            </w:tcBorders>
            <w:shd w:val="clear" w:color="auto" w:fill="auto"/>
            <w:noWrap/>
            <w:hideMark/>
          </w:tcPr>
          <w:p w14:paraId="0F37DF50" w14:textId="77777777" w:rsidR="00053418" w:rsidRPr="009E06AA" w:rsidRDefault="00053418" w:rsidP="0030472F">
            <w:pPr>
              <w:pStyle w:val="TableText"/>
              <w:jc w:val="right"/>
            </w:pPr>
            <w:r w:rsidRPr="009E06AA">
              <w:t>0.06</w:t>
            </w:r>
          </w:p>
        </w:tc>
        <w:tc>
          <w:tcPr>
            <w:tcW w:w="1275" w:type="dxa"/>
            <w:tcBorders>
              <w:top w:val="single" w:sz="4" w:space="0" w:color="1B556B"/>
              <w:bottom w:val="single" w:sz="4" w:space="0" w:color="1B556B"/>
            </w:tcBorders>
            <w:shd w:val="clear" w:color="auto" w:fill="auto"/>
            <w:noWrap/>
            <w:hideMark/>
          </w:tcPr>
          <w:p w14:paraId="6D7EAC45" w14:textId="77777777" w:rsidR="00053418" w:rsidRPr="009E06AA" w:rsidRDefault="00053418" w:rsidP="0030472F">
            <w:pPr>
              <w:pStyle w:val="TableText"/>
              <w:jc w:val="right"/>
            </w:pPr>
            <w:r w:rsidRPr="009E06AA">
              <w:t>0.06</w:t>
            </w:r>
          </w:p>
        </w:tc>
        <w:tc>
          <w:tcPr>
            <w:tcW w:w="1560" w:type="dxa"/>
            <w:tcBorders>
              <w:top w:val="single" w:sz="4" w:space="0" w:color="1B556B"/>
              <w:bottom w:val="single" w:sz="4" w:space="0" w:color="1B556B"/>
            </w:tcBorders>
            <w:shd w:val="clear" w:color="auto" w:fill="auto"/>
            <w:noWrap/>
            <w:hideMark/>
          </w:tcPr>
          <w:p w14:paraId="2FA3B35A" w14:textId="77777777" w:rsidR="00053418" w:rsidRPr="009E06AA" w:rsidRDefault="00053418" w:rsidP="0030472F">
            <w:pPr>
              <w:pStyle w:val="TableText"/>
              <w:jc w:val="right"/>
            </w:pPr>
            <w:r w:rsidRPr="009E06AA">
              <w:t>0.06</w:t>
            </w:r>
          </w:p>
        </w:tc>
        <w:tc>
          <w:tcPr>
            <w:tcW w:w="1417" w:type="dxa"/>
            <w:tcBorders>
              <w:top w:val="single" w:sz="4" w:space="0" w:color="1B556B"/>
              <w:bottom w:val="single" w:sz="4" w:space="0" w:color="1B556B"/>
            </w:tcBorders>
            <w:shd w:val="clear" w:color="auto" w:fill="auto"/>
            <w:noWrap/>
            <w:hideMark/>
          </w:tcPr>
          <w:p w14:paraId="362446E8" w14:textId="77777777" w:rsidR="00053418" w:rsidRPr="009E06AA" w:rsidRDefault="00053418" w:rsidP="0030472F">
            <w:pPr>
              <w:pStyle w:val="TableText"/>
              <w:jc w:val="right"/>
            </w:pPr>
            <w:r w:rsidRPr="009E06AA">
              <w:t>0.06</w:t>
            </w:r>
          </w:p>
        </w:tc>
        <w:tc>
          <w:tcPr>
            <w:tcW w:w="1418" w:type="dxa"/>
            <w:tcBorders>
              <w:top w:val="single" w:sz="4" w:space="0" w:color="1B556B"/>
              <w:bottom w:val="single" w:sz="4" w:space="0" w:color="1B556B"/>
            </w:tcBorders>
            <w:shd w:val="clear" w:color="auto" w:fill="auto"/>
            <w:noWrap/>
            <w:hideMark/>
          </w:tcPr>
          <w:p w14:paraId="28C10980" w14:textId="77777777" w:rsidR="00053418" w:rsidRPr="009E06AA" w:rsidRDefault="00053418" w:rsidP="0030472F">
            <w:pPr>
              <w:pStyle w:val="TableText"/>
              <w:jc w:val="right"/>
            </w:pPr>
            <w:r w:rsidRPr="009E06AA">
              <w:t>0.09</w:t>
            </w:r>
          </w:p>
        </w:tc>
        <w:tc>
          <w:tcPr>
            <w:tcW w:w="1417" w:type="dxa"/>
            <w:tcBorders>
              <w:top w:val="single" w:sz="4" w:space="0" w:color="1B556B"/>
              <w:bottom w:val="single" w:sz="4" w:space="0" w:color="1B556B"/>
            </w:tcBorders>
            <w:shd w:val="clear" w:color="auto" w:fill="auto"/>
            <w:noWrap/>
            <w:hideMark/>
          </w:tcPr>
          <w:p w14:paraId="10963777" w14:textId="77777777" w:rsidR="00053418" w:rsidRPr="009E06AA" w:rsidRDefault="00053418" w:rsidP="0030472F">
            <w:pPr>
              <w:pStyle w:val="TableText"/>
              <w:jc w:val="right"/>
            </w:pPr>
            <w:r w:rsidRPr="009E06AA">
              <w:t>0.10</w:t>
            </w:r>
          </w:p>
        </w:tc>
        <w:tc>
          <w:tcPr>
            <w:tcW w:w="1559" w:type="dxa"/>
            <w:tcBorders>
              <w:top w:val="single" w:sz="4" w:space="0" w:color="1B556B"/>
              <w:bottom w:val="single" w:sz="4" w:space="0" w:color="1B556B"/>
            </w:tcBorders>
            <w:shd w:val="clear" w:color="auto" w:fill="auto"/>
            <w:noWrap/>
            <w:hideMark/>
          </w:tcPr>
          <w:p w14:paraId="6DDA7A0A" w14:textId="77777777" w:rsidR="00053418" w:rsidRPr="009E06AA" w:rsidRDefault="00053418" w:rsidP="0030472F">
            <w:pPr>
              <w:pStyle w:val="TableText"/>
              <w:jc w:val="right"/>
            </w:pPr>
            <w:r w:rsidRPr="009E06AA">
              <w:t>0.09</w:t>
            </w:r>
          </w:p>
        </w:tc>
        <w:tc>
          <w:tcPr>
            <w:tcW w:w="1366" w:type="dxa"/>
            <w:tcBorders>
              <w:top w:val="single" w:sz="4" w:space="0" w:color="1B556B"/>
              <w:bottom w:val="single" w:sz="4" w:space="0" w:color="1B556B"/>
            </w:tcBorders>
            <w:shd w:val="clear" w:color="auto" w:fill="auto"/>
            <w:noWrap/>
            <w:hideMark/>
          </w:tcPr>
          <w:p w14:paraId="7188B91B" w14:textId="77777777" w:rsidR="00053418" w:rsidRPr="009E06AA" w:rsidRDefault="00053418" w:rsidP="0030472F">
            <w:pPr>
              <w:pStyle w:val="TableText"/>
              <w:jc w:val="right"/>
            </w:pPr>
            <w:r w:rsidRPr="009E06AA">
              <w:t>0.10</w:t>
            </w:r>
          </w:p>
        </w:tc>
      </w:tr>
      <w:tr w:rsidR="00053418" w:rsidRPr="009E06AA" w14:paraId="53C101E0" w14:textId="77777777" w:rsidTr="00B55F24">
        <w:trPr>
          <w:trHeight w:val="325"/>
        </w:trPr>
        <w:tc>
          <w:tcPr>
            <w:tcW w:w="2376" w:type="dxa"/>
            <w:tcBorders>
              <w:top w:val="single" w:sz="4" w:space="0" w:color="1B556B"/>
              <w:bottom w:val="single" w:sz="4" w:space="0" w:color="1B556B"/>
            </w:tcBorders>
            <w:shd w:val="clear" w:color="auto" w:fill="auto"/>
            <w:noWrap/>
            <w:vAlign w:val="bottom"/>
            <w:hideMark/>
          </w:tcPr>
          <w:p w14:paraId="1314ABED" w14:textId="77777777" w:rsidR="00053418" w:rsidRPr="009E06AA" w:rsidRDefault="00053418" w:rsidP="00B55F24">
            <w:pPr>
              <w:pStyle w:val="TableText"/>
            </w:pPr>
            <w:r w:rsidRPr="009E06AA">
              <w:t>CH</w:t>
            </w:r>
            <w:r w:rsidRPr="009E06AA">
              <w:rPr>
                <w:vertAlign w:val="subscript"/>
              </w:rPr>
              <w:t>4</w:t>
            </w:r>
            <w:r w:rsidRPr="009E06AA">
              <w:t xml:space="preserve"> emission factor</w:t>
            </w:r>
          </w:p>
        </w:tc>
        <w:tc>
          <w:tcPr>
            <w:tcW w:w="1560" w:type="dxa"/>
            <w:tcBorders>
              <w:top w:val="single" w:sz="4" w:space="0" w:color="1B556B"/>
              <w:bottom w:val="single" w:sz="4" w:space="0" w:color="1B556B"/>
            </w:tcBorders>
            <w:shd w:val="clear" w:color="auto" w:fill="auto"/>
            <w:noWrap/>
            <w:hideMark/>
          </w:tcPr>
          <w:p w14:paraId="1B146BA1" w14:textId="77777777" w:rsidR="00053418" w:rsidRPr="009E06AA" w:rsidRDefault="00053418" w:rsidP="0030472F">
            <w:pPr>
              <w:pStyle w:val="TableText"/>
              <w:jc w:val="right"/>
            </w:pPr>
            <w:r w:rsidRPr="009E06AA">
              <w:t>0.00</w:t>
            </w:r>
          </w:p>
        </w:tc>
        <w:tc>
          <w:tcPr>
            <w:tcW w:w="1275" w:type="dxa"/>
            <w:tcBorders>
              <w:top w:val="single" w:sz="4" w:space="0" w:color="1B556B"/>
              <w:bottom w:val="single" w:sz="4" w:space="0" w:color="1B556B"/>
            </w:tcBorders>
            <w:shd w:val="clear" w:color="auto" w:fill="auto"/>
            <w:noWrap/>
            <w:hideMark/>
          </w:tcPr>
          <w:p w14:paraId="7971D2BB" w14:textId="77777777" w:rsidR="00053418" w:rsidRPr="009E06AA" w:rsidRDefault="00053418" w:rsidP="0030472F">
            <w:pPr>
              <w:pStyle w:val="TableText"/>
              <w:jc w:val="right"/>
            </w:pPr>
            <w:r w:rsidRPr="009E06AA">
              <w:t>0.00</w:t>
            </w:r>
          </w:p>
        </w:tc>
        <w:tc>
          <w:tcPr>
            <w:tcW w:w="1560" w:type="dxa"/>
            <w:tcBorders>
              <w:top w:val="single" w:sz="4" w:space="0" w:color="1B556B"/>
              <w:bottom w:val="single" w:sz="4" w:space="0" w:color="1B556B"/>
            </w:tcBorders>
            <w:shd w:val="clear" w:color="auto" w:fill="auto"/>
            <w:noWrap/>
            <w:hideMark/>
          </w:tcPr>
          <w:p w14:paraId="1EAE4892" w14:textId="77777777" w:rsidR="00053418" w:rsidRPr="009E06AA" w:rsidRDefault="00053418" w:rsidP="0030472F">
            <w:pPr>
              <w:pStyle w:val="TableText"/>
              <w:jc w:val="right"/>
            </w:pPr>
            <w:r w:rsidRPr="009E06AA">
              <w:t>0.00</w:t>
            </w:r>
          </w:p>
        </w:tc>
        <w:tc>
          <w:tcPr>
            <w:tcW w:w="1417" w:type="dxa"/>
            <w:tcBorders>
              <w:top w:val="single" w:sz="4" w:space="0" w:color="1B556B"/>
              <w:bottom w:val="single" w:sz="4" w:space="0" w:color="1B556B"/>
            </w:tcBorders>
            <w:shd w:val="clear" w:color="auto" w:fill="auto"/>
            <w:noWrap/>
            <w:hideMark/>
          </w:tcPr>
          <w:p w14:paraId="1F22CD9A" w14:textId="77777777" w:rsidR="00053418" w:rsidRPr="009E06AA" w:rsidRDefault="00053418" w:rsidP="0030472F">
            <w:pPr>
              <w:pStyle w:val="TableText"/>
              <w:jc w:val="right"/>
            </w:pPr>
            <w:r w:rsidRPr="009E06AA">
              <w:t>0.00</w:t>
            </w:r>
          </w:p>
        </w:tc>
        <w:tc>
          <w:tcPr>
            <w:tcW w:w="1418" w:type="dxa"/>
            <w:tcBorders>
              <w:top w:val="single" w:sz="4" w:space="0" w:color="1B556B"/>
              <w:bottom w:val="single" w:sz="4" w:space="0" w:color="1B556B"/>
            </w:tcBorders>
            <w:shd w:val="clear" w:color="auto" w:fill="auto"/>
            <w:noWrap/>
            <w:hideMark/>
          </w:tcPr>
          <w:p w14:paraId="15364824" w14:textId="77777777" w:rsidR="00053418" w:rsidRPr="009E06AA" w:rsidRDefault="00053418" w:rsidP="0030472F">
            <w:pPr>
              <w:pStyle w:val="TableText"/>
              <w:jc w:val="right"/>
            </w:pPr>
            <w:r w:rsidRPr="009E06AA">
              <w:t>0.01</w:t>
            </w:r>
          </w:p>
        </w:tc>
        <w:tc>
          <w:tcPr>
            <w:tcW w:w="1417" w:type="dxa"/>
            <w:tcBorders>
              <w:top w:val="single" w:sz="4" w:space="0" w:color="1B556B"/>
              <w:bottom w:val="single" w:sz="4" w:space="0" w:color="1B556B"/>
            </w:tcBorders>
            <w:shd w:val="clear" w:color="auto" w:fill="auto"/>
            <w:noWrap/>
            <w:hideMark/>
          </w:tcPr>
          <w:p w14:paraId="5E7A5396" w14:textId="77777777" w:rsidR="00053418" w:rsidRPr="009E06AA" w:rsidRDefault="00053418" w:rsidP="0030472F">
            <w:pPr>
              <w:pStyle w:val="TableText"/>
              <w:jc w:val="right"/>
            </w:pPr>
            <w:r w:rsidRPr="009E06AA">
              <w:t>0.01</w:t>
            </w:r>
          </w:p>
        </w:tc>
        <w:tc>
          <w:tcPr>
            <w:tcW w:w="1559" w:type="dxa"/>
            <w:tcBorders>
              <w:top w:val="single" w:sz="4" w:space="0" w:color="1B556B"/>
              <w:bottom w:val="single" w:sz="4" w:space="0" w:color="1B556B"/>
            </w:tcBorders>
            <w:shd w:val="clear" w:color="auto" w:fill="auto"/>
            <w:noWrap/>
            <w:hideMark/>
          </w:tcPr>
          <w:p w14:paraId="15E57869" w14:textId="77777777" w:rsidR="00053418" w:rsidRPr="009E06AA" w:rsidRDefault="00053418" w:rsidP="0030472F">
            <w:pPr>
              <w:pStyle w:val="TableText"/>
              <w:jc w:val="right"/>
            </w:pPr>
            <w:r w:rsidRPr="009E06AA">
              <w:t>0.01</w:t>
            </w:r>
          </w:p>
        </w:tc>
        <w:tc>
          <w:tcPr>
            <w:tcW w:w="1366" w:type="dxa"/>
            <w:tcBorders>
              <w:top w:val="single" w:sz="4" w:space="0" w:color="1B556B"/>
              <w:bottom w:val="single" w:sz="4" w:space="0" w:color="1B556B"/>
            </w:tcBorders>
            <w:shd w:val="clear" w:color="auto" w:fill="auto"/>
            <w:noWrap/>
            <w:hideMark/>
          </w:tcPr>
          <w:p w14:paraId="1F492299" w14:textId="77777777" w:rsidR="00053418" w:rsidRPr="009E06AA" w:rsidRDefault="00053418" w:rsidP="0030472F">
            <w:pPr>
              <w:pStyle w:val="TableText"/>
              <w:jc w:val="right"/>
            </w:pPr>
            <w:r w:rsidRPr="009E06AA">
              <w:t>0.01</w:t>
            </w:r>
          </w:p>
        </w:tc>
      </w:tr>
      <w:tr w:rsidR="00053418" w:rsidRPr="009E06AA" w14:paraId="1E42248D" w14:textId="77777777" w:rsidTr="00B55F24">
        <w:trPr>
          <w:trHeight w:val="325"/>
        </w:trPr>
        <w:tc>
          <w:tcPr>
            <w:tcW w:w="2376" w:type="dxa"/>
            <w:tcBorders>
              <w:top w:val="single" w:sz="4" w:space="0" w:color="1B556B"/>
              <w:bottom w:val="single" w:sz="4" w:space="0" w:color="1B556B"/>
            </w:tcBorders>
            <w:shd w:val="clear" w:color="auto" w:fill="auto"/>
            <w:noWrap/>
            <w:vAlign w:val="bottom"/>
            <w:hideMark/>
          </w:tcPr>
          <w:p w14:paraId="2E71D45B" w14:textId="77777777" w:rsidR="00053418" w:rsidRPr="009E06AA" w:rsidRDefault="00053418" w:rsidP="00B55F24">
            <w:pPr>
              <w:pStyle w:val="TableText"/>
            </w:pPr>
            <w:r w:rsidRPr="009E06AA">
              <w:t>N</w:t>
            </w:r>
            <w:r w:rsidRPr="009E06AA">
              <w:rPr>
                <w:vertAlign w:val="subscript"/>
              </w:rPr>
              <w:t>2</w:t>
            </w:r>
            <w:r w:rsidRPr="009E06AA">
              <w:t>O emission factor</w:t>
            </w:r>
          </w:p>
        </w:tc>
        <w:tc>
          <w:tcPr>
            <w:tcW w:w="1560" w:type="dxa"/>
            <w:tcBorders>
              <w:top w:val="single" w:sz="4" w:space="0" w:color="1B556B"/>
              <w:bottom w:val="single" w:sz="4" w:space="0" w:color="1B556B"/>
            </w:tcBorders>
            <w:shd w:val="clear" w:color="auto" w:fill="auto"/>
            <w:noWrap/>
            <w:hideMark/>
          </w:tcPr>
          <w:p w14:paraId="5FEC62B3" w14:textId="77777777" w:rsidR="00053418" w:rsidRPr="009E06AA" w:rsidRDefault="00053418" w:rsidP="0030472F">
            <w:pPr>
              <w:pStyle w:val="TableText"/>
              <w:jc w:val="right"/>
            </w:pPr>
            <w:r w:rsidRPr="009E06AA">
              <w:t>0.03</w:t>
            </w:r>
          </w:p>
        </w:tc>
        <w:tc>
          <w:tcPr>
            <w:tcW w:w="1275" w:type="dxa"/>
            <w:tcBorders>
              <w:top w:val="single" w:sz="4" w:space="0" w:color="1B556B"/>
              <w:bottom w:val="single" w:sz="4" w:space="0" w:color="1B556B"/>
            </w:tcBorders>
            <w:shd w:val="clear" w:color="auto" w:fill="auto"/>
            <w:noWrap/>
            <w:hideMark/>
          </w:tcPr>
          <w:p w14:paraId="0A935D59" w14:textId="77777777" w:rsidR="00053418" w:rsidRPr="009E06AA" w:rsidRDefault="00053418" w:rsidP="0030472F">
            <w:pPr>
              <w:pStyle w:val="TableText"/>
              <w:jc w:val="right"/>
            </w:pPr>
            <w:r w:rsidRPr="009E06AA">
              <w:t>0.03</w:t>
            </w:r>
          </w:p>
        </w:tc>
        <w:tc>
          <w:tcPr>
            <w:tcW w:w="1560" w:type="dxa"/>
            <w:tcBorders>
              <w:top w:val="single" w:sz="4" w:space="0" w:color="1B556B"/>
              <w:bottom w:val="single" w:sz="4" w:space="0" w:color="1B556B"/>
            </w:tcBorders>
            <w:shd w:val="clear" w:color="auto" w:fill="auto"/>
            <w:noWrap/>
            <w:hideMark/>
          </w:tcPr>
          <w:p w14:paraId="5270DD86" w14:textId="77777777" w:rsidR="00053418" w:rsidRPr="009E06AA" w:rsidRDefault="00053418" w:rsidP="0030472F">
            <w:pPr>
              <w:pStyle w:val="TableText"/>
              <w:jc w:val="right"/>
            </w:pPr>
            <w:r w:rsidRPr="009E06AA">
              <w:t>0.03</w:t>
            </w:r>
          </w:p>
        </w:tc>
        <w:tc>
          <w:tcPr>
            <w:tcW w:w="1417" w:type="dxa"/>
            <w:tcBorders>
              <w:top w:val="single" w:sz="4" w:space="0" w:color="1B556B"/>
              <w:bottom w:val="single" w:sz="4" w:space="0" w:color="1B556B"/>
            </w:tcBorders>
            <w:shd w:val="clear" w:color="auto" w:fill="auto"/>
            <w:noWrap/>
            <w:hideMark/>
          </w:tcPr>
          <w:p w14:paraId="4EEF2E60" w14:textId="77777777" w:rsidR="00053418" w:rsidRPr="009E06AA" w:rsidRDefault="00053418" w:rsidP="0030472F">
            <w:pPr>
              <w:pStyle w:val="TableText"/>
              <w:jc w:val="right"/>
            </w:pPr>
            <w:r w:rsidRPr="009E06AA">
              <w:t>0.03</w:t>
            </w:r>
          </w:p>
        </w:tc>
        <w:tc>
          <w:tcPr>
            <w:tcW w:w="1418" w:type="dxa"/>
            <w:tcBorders>
              <w:top w:val="single" w:sz="4" w:space="0" w:color="1B556B"/>
              <w:bottom w:val="single" w:sz="4" w:space="0" w:color="1B556B"/>
            </w:tcBorders>
            <w:shd w:val="clear" w:color="auto" w:fill="auto"/>
            <w:noWrap/>
            <w:hideMark/>
          </w:tcPr>
          <w:p w14:paraId="48D30AC4" w14:textId="77777777" w:rsidR="00053418" w:rsidRPr="009E06AA" w:rsidRDefault="00053418" w:rsidP="0030472F">
            <w:pPr>
              <w:pStyle w:val="TableText"/>
              <w:jc w:val="right"/>
            </w:pPr>
            <w:r w:rsidRPr="009E06AA">
              <w:t>0.03</w:t>
            </w:r>
          </w:p>
        </w:tc>
        <w:tc>
          <w:tcPr>
            <w:tcW w:w="1417" w:type="dxa"/>
            <w:tcBorders>
              <w:top w:val="single" w:sz="4" w:space="0" w:color="1B556B"/>
              <w:bottom w:val="single" w:sz="4" w:space="0" w:color="1B556B"/>
            </w:tcBorders>
            <w:shd w:val="clear" w:color="auto" w:fill="auto"/>
            <w:noWrap/>
            <w:hideMark/>
          </w:tcPr>
          <w:p w14:paraId="6350DEA3" w14:textId="77777777" w:rsidR="00053418" w:rsidRPr="009E06AA" w:rsidRDefault="00053418" w:rsidP="0030472F">
            <w:pPr>
              <w:pStyle w:val="TableText"/>
              <w:jc w:val="right"/>
            </w:pPr>
            <w:r w:rsidRPr="009E06AA">
              <w:t>0.04</w:t>
            </w:r>
          </w:p>
        </w:tc>
        <w:tc>
          <w:tcPr>
            <w:tcW w:w="1559" w:type="dxa"/>
            <w:tcBorders>
              <w:top w:val="single" w:sz="4" w:space="0" w:color="1B556B"/>
              <w:bottom w:val="single" w:sz="4" w:space="0" w:color="1B556B"/>
            </w:tcBorders>
            <w:shd w:val="clear" w:color="auto" w:fill="auto"/>
            <w:noWrap/>
            <w:hideMark/>
          </w:tcPr>
          <w:p w14:paraId="307A0076" w14:textId="77777777" w:rsidR="00053418" w:rsidRPr="009E06AA" w:rsidRDefault="00053418" w:rsidP="0030472F">
            <w:pPr>
              <w:pStyle w:val="TableText"/>
              <w:jc w:val="right"/>
            </w:pPr>
            <w:r w:rsidRPr="009E06AA">
              <w:t>0.03</w:t>
            </w:r>
          </w:p>
        </w:tc>
        <w:tc>
          <w:tcPr>
            <w:tcW w:w="1366" w:type="dxa"/>
            <w:tcBorders>
              <w:top w:val="single" w:sz="4" w:space="0" w:color="1B556B"/>
              <w:bottom w:val="single" w:sz="4" w:space="0" w:color="1B556B"/>
            </w:tcBorders>
            <w:shd w:val="clear" w:color="auto" w:fill="auto"/>
            <w:noWrap/>
            <w:hideMark/>
          </w:tcPr>
          <w:p w14:paraId="53708243" w14:textId="77777777" w:rsidR="00053418" w:rsidRPr="009E06AA" w:rsidRDefault="00053418" w:rsidP="0030472F">
            <w:pPr>
              <w:pStyle w:val="TableText"/>
              <w:jc w:val="right"/>
            </w:pPr>
            <w:r w:rsidRPr="009E06AA">
              <w:t>0.04</w:t>
            </w:r>
          </w:p>
        </w:tc>
      </w:tr>
      <w:tr w:rsidR="00053418" w:rsidRPr="009E06AA" w14:paraId="31657750" w14:textId="77777777" w:rsidTr="00B55F24">
        <w:trPr>
          <w:trHeight w:val="325"/>
        </w:trPr>
        <w:tc>
          <w:tcPr>
            <w:tcW w:w="2376" w:type="dxa"/>
            <w:tcBorders>
              <w:top w:val="single" w:sz="4" w:space="0" w:color="1B556B"/>
              <w:bottom w:val="single" w:sz="4" w:space="0" w:color="1B556B"/>
            </w:tcBorders>
            <w:shd w:val="clear" w:color="auto" w:fill="auto"/>
            <w:noWrap/>
            <w:vAlign w:val="bottom"/>
            <w:hideMark/>
          </w:tcPr>
          <w:p w14:paraId="6A80F163" w14:textId="77777777" w:rsidR="00053418" w:rsidRPr="009E06AA" w:rsidRDefault="00053418" w:rsidP="00B55F24">
            <w:pPr>
              <w:pStyle w:val="TableText"/>
            </w:pPr>
            <w:r w:rsidRPr="009E06AA">
              <w:t>NO</w:t>
            </w:r>
            <w:r w:rsidRPr="009E06AA">
              <w:rPr>
                <w:vertAlign w:val="subscript"/>
              </w:rPr>
              <w:t xml:space="preserve">x </w:t>
            </w:r>
            <w:r w:rsidRPr="009E06AA">
              <w:t>emission factor</w:t>
            </w:r>
          </w:p>
        </w:tc>
        <w:tc>
          <w:tcPr>
            <w:tcW w:w="1560" w:type="dxa"/>
            <w:tcBorders>
              <w:top w:val="single" w:sz="4" w:space="0" w:color="1B556B"/>
              <w:bottom w:val="single" w:sz="4" w:space="0" w:color="1B556B"/>
            </w:tcBorders>
            <w:shd w:val="clear" w:color="auto" w:fill="auto"/>
            <w:noWrap/>
            <w:hideMark/>
          </w:tcPr>
          <w:p w14:paraId="6FB95DB2" w14:textId="77777777" w:rsidR="00053418" w:rsidRPr="009E06AA" w:rsidRDefault="00053418" w:rsidP="0030472F">
            <w:pPr>
              <w:pStyle w:val="TableText"/>
              <w:jc w:val="right"/>
            </w:pPr>
            <w:r w:rsidRPr="009E06AA">
              <w:t>0.27</w:t>
            </w:r>
          </w:p>
        </w:tc>
        <w:tc>
          <w:tcPr>
            <w:tcW w:w="1275" w:type="dxa"/>
            <w:tcBorders>
              <w:top w:val="single" w:sz="4" w:space="0" w:color="1B556B"/>
              <w:bottom w:val="single" w:sz="4" w:space="0" w:color="1B556B"/>
            </w:tcBorders>
            <w:shd w:val="clear" w:color="auto" w:fill="auto"/>
            <w:noWrap/>
            <w:hideMark/>
          </w:tcPr>
          <w:p w14:paraId="354C63BC" w14:textId="77777777" w:rsidR="00053418" w:rsidRPr="009E06AA" w:rsidRDefault="00053418" w:rsidP="0030472F">
            <w:pPr>
              <w:pStyle w:val="TableText"/>
              <w:jc w:val="right"/>
            </w:pPr>
            <w:r w:rsidRPr="009E06AA">
              <w:t>0.27</w:t>
            </w:r>
          </w:p>
        </w:tc>
        <w:tc>
          <w:tcPr>
            <w:tcW w:w="1560" w:type="dxa"/>
            <w:tcBorders>
              <w:top w:val="single" w:sz="4" w:space="0" w:color="1B556B"/>
              <w:bottom w:val="single" w:sz="4" w:space="0" w:color="1B556B"/>
            </w:tcBorders>
            <w:shd w:val="clear" w:color="auto" w:fill="auto"/>
            <w:noWrap/>
            <w:hideMark/>
          </w:tcPr>
          <w:p w14:paraId="4E9AF6B1" w14:textId="77777777" w:rsidR="00053418" w:rsidRPr="009E06AA" w:rsidRDefault="00053418" w:rsidP="0030472F">
            <w:pPr>
              <w:pStyle w:val="TableText"/>
              <w:jc w:val="right"/>
            </w:pPr>
            <w:r w:rsidRPr="009E06AA">
              <w:t>0.27</w:t>
            </w:r>
          </w:p>
        </w:tc>
        <w:tc>
          <w:tcPr>
            <w:tcW w:w="1417" w:type="dxa"/>
            <w:tcBorders>
              <w:top w:val="single" w:sz="4" w:space="0" w:color="1B556B"/>
              <w:bottom w:val="single" w:sz="4" w:space="0" w:color="1B556B"/>
            </w:tcBorders>
            <w:shd w:val="clear" w:color="auto" w:fill="auto"/>
            <w:noWrap/>
            <w:hideMark/>
          </w:tcPr>
          <w:p w14:paraId="29F6C483" w14:textId="77777777" w:rsidR="00053418" w:rsidRPr="009E06AA" w:rsidRDefault="00053418" w:rsidP="0030472F">
            <w:pPr>
              <w:pStyle w:val="TableText"/>
              <w:jc w:val="right"/>
            </w:pPr>
            <w:r w:rsidRPr="009E06AA">
              <w:t>0.27</w:t>
            </w:r>
          </w:p>
        </w:tc>
        <w:tc>
          <w:tcPr>
            <w:tcW w:w="1418" w:type="dxa"/>
            <w:tcBorders>
              <w:top w:val="single" w:sz="4" w:space="0" w:color="1B556B"/>
              <w:bottom w:val="single" w:sz="4" w:space="0" w:color="1B556B"/>
            </w:tcBorders>
            <w:shd w:val="clear" w:color="auto" w:fill="auto"/>
            <w:noWrap/>
            <w:hideMark/>
          </w:tcPr>
          <w:p w14:paraId="7ADD91C1" w14:textId="77777777" w:rsidR="00053418" w:rsidRPr="009E06AA" w:rsidRDefault="00053418" w:rsidP="0030472F">
            <w:pPr>
              <w:pStyle w:val="TableText"/>
              <w:jc w:val="right"/>
            </w:pPr>
            <w:r w:rsidRPr="009E06AA">
              <w:t>0.18</w:t>
            </w:r>
          </w:p>
        </w:tc>
        <w:tc>
          <w:tcPr>
            <w:tcW w:w="1417" w:type="dxa"/>
            <w:tcBorders>
              <w:top w:val="single" w:sz="4" w:space="0" w:color="1B556B"/>
              <w:bottom w:val="single" w:sz="4" w:space="0" w:color="1B556B"/>
            </w:tcBorders>
            <w:shd w:val="clear" w:color="auto" w:fill="auto"/>
            <w:noWrap/>
            <w:hideMark/>
          </w:tcPr>
          <w:p w14:paraId="212D93D9" w14:textId="77777777" w:rsidR="00053418" w:rsidRPr="009E06AA" w:rsidRDefault="00053418" w:rsidP="0030472F">
            <w:pPr>
              <w:pStyle w:val="TableText"/>
              <w:jc w:val="right"/>
            </w:pPr>
            <w:r w:rsidRPr="009E06AA">
              <w:t>0.19</w:t>
            </w:r>
          </w:p>
        </w:tc>
        <w:tc>
          <w:tcPr>
            <w:tcW w:w="1559" w:type="dxa"/>
            <w:tcBorders>
              <w:top w:val="single" w:sz="4" w:space="0" w:color="1B556B"/>
              <w:bottom w:val="single" w:sz="4" w:space="0" w:color="1B556B"/>
            </w:tcBorders>
            <w:shd w:val="clear" w:color="auto" w:fill="auto"/>
            <w:noWrap/>
            <w:hideMark/>
          </w:tcPr>
          <w:p w14:paraId="6C8DB3B0" w14:textId="77777777" w:rsidR="00053418" w:rsidRPr="009E06AA" w:rsidRDefault="00053418" w:rsidP="0030472F">
            <w:pPr>
              <w:pStyle w:val="TableText"/>
              <w:jc w:val="right"/>
            </w:pPr>
            <w:r w:rsidRPr="009E06AA">
              <w:t>0.18</w:t>
            </w:r>
          </w:p>
        </w:tc>
        <w:tc>
          <w:tcPr>
            <w:tcW w:w="1366" w:type="dxa"/>
            <w:tcBorders>
              <w:top w:val="single" w:sz="4" w:space="0" w:color="1B556B"/>
              <w:bottom w:val="single" w:sz="4" w:space="0" w:color="1B556B"/>
            </w:tcBorders>
            <w:shd w:val="clear" w:color="auto" w:fill="auto"/>
            <w:noWrap/>
            <w:hideMark/>
          </w:tcPr>
          <w:p w14:paraId="13334833" w14:textId="77777777" w:rsidR="00053418" w:rsidRPr="009E06AA" w:rsidRDefault="00053418" w:rsidP="0030472F">
            <w:pPr>
              <w:pStyle w:val="TableText"/>
              <w:jc w:val="right"/>
            </w:pPr>
            <w:r w:rsidRPr="009E06AA">
              <w:t>0.19</w:t>
            </w:r>
          </w:p>
        </w:tc>
      </w:tr>
    </w:tbl>
    <w:p w14:paraId="1C9F070A" w14:textId="77777777" w:rsidR="00053418" w:rsidRPr="009E06AA" w:rsidRDefault="00053418" w:rsidP="00053418">
      <w:pPr>
        <w:pStyle w:val="Noteundertable"/>
      </w:pPr>
      <w:r w:rsidRPr="009E06AA">
        <w:rPr>
          <w:b/>
          <w:bCs/>
        </w:rPr>
        <w:t>Note:</w:t>
      </w:r>
      <w:r w:rsidRPr="009E06AA">
        <w:rPr>
          <w:b/>
          <w:bCs/>
        </w:rPr>
        <w:tab/>
      </w:r>
      <w:r w:rsidRPr="009E06AA">
        <w:t>GWB = grassland with woody biomass. Values are rounded to two decimal places. *0.51 New Zealand-specific carbon fraction for planted forests (Beets, unpublished).</w:t>
      </w:r>
    </w:p>
    <w:p w14:paraId="1BDDCF58" w14:textId="77777777" w:rsidR="00053418" w:rsidRPr="009E06AA" w:rsidRDefault="00053418" w:rsidP="00053418">
      <w:pPr>
        <w:pStyle w:val="BodyText"/>
      </w:pPr>
    </w:p>
    <w:p w14:paraId="27682C1A" w14:textId="77777777" w:rsidR="00053418" w:rsidRPr="009E06AA" w:rsidRDefault="00053418" w:rsidP="00053418">
      <w:pPr>
        <w:sectPr w:rsidR="00053418" w:rsidRPr="009E06AA" w:rsidSect="00F66BF9">
          <w:footerReference w:type="default" r:id="rId148"/>
          <w:pgSz w:w="16838" w:h="11906" w:orient="landscape"/>
          <w:pgMar w:top="1701" w:right="1418" w:bottom="1701" w:left="1418" w:header="709" w:footer="709" w:gutter="0"/>
          <w:cols w:space="708"/>
          <w:docGrid w:linePitch="360"/>
        </w:sectPr>
      </w:pPr>
    </w:p>
    <w:p w14:paraId="62709FB5" w14:textId="77777777" w:rsidR="00053418" w:rsidRPr="009E06AA" w:rsidRDefault="00053418" w:rsidP="00053418">
      <w:pPr>
        <w:pStyle w:val="Table"/>
        <w:spacing w:before="0"/>
      </w:pPr>
      <w:bookmarkStart w:id="2718" w:name="_Toc131591432"/>
      <w:bookmarkStart w:id="2719" w:name="_Toc158979990"/>
      <w:bookmarkStart w:id="2720" w:name="_Toc164153923"/>
      <w:r w:rsidRPr="009E06AA">
        <w:t>Table 6.11.5</w:t>
      </w:r>
      <w:r w:rsidRPr="009E06AA">
        <w:tab/>
        <w:t xml:space="preserve">Summary of </w:t>
      </w:r>
      <w:r w:rsidRPr="009E06AA">
        <w:rPr>
          <w:i/>
        </w:rPr>
        <w:t>Biomass burning</w:t>
      </w:r>
      <w:r w:rsidRPr="009E06AA">
        <w:t xml:space="preserve"> combustion factor values</w:t>
      </w:r>
      <w:bookmarkEnd w:id="2718"/>
      <w:bookmarkEnd w:id="2719"/>
      <w:bookmarkEnd w:id="2720"/>
    </w:p>
    <w:tbl>
      <w:tblPr>
        <w:tblStyle w:val="TableGrid"/>
        <w:tblW w:w="850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704"/>
        <w:gridCol w:w="1848"/>
        <w:gridCol w:w="3430"/>
        <w:gridCol w:w="2523"/>
      </w:tblGrid>
      <w:tr w:rsidR="00053418" w:rsidRPr="009E06AA" w14:paraId="7DDB466C" w14:textId="77777777" w:rsidTr="00B55F24">
        <w:tc>
          <w:tcPr>
            <w:tcW w:w="8505" w:type="dxa"/>
            <w:gridSpan w:val="4"/>
            <w:tcBorders>
              <w:top w:val="single" w:sz="4" w:space="0" w:color="1B556B"/>
              <w:left w:val="nil"/>
              <w:bottom w:val="single" w:sz="4" w:space="0" w:color="1B556B"/>
              <w:right w:val="nil"/>
            </w:tcBorders>
            <w:shd w:val="clear" w:color="auto" w:fill="1B556B"/>
          </w:tcPr>
          <w:p w14:paraId="15ABE0C9" w14:textId="77777777" w:rsidR="00053418" w:rsidRPr="009E06AA" w:rsidRDefault="00053418" w:rsidP="00B55F24">
            <w:pPr>
              <w:pStyle w:val="TableTextBold"/>
              <w:spacing w:before="40" w:after="40"/>
              <w:jc w:val="center"/>
              <w:rPr>
                <w:noProof w:val="0"/>
              </w:rPr>
            </w:pPr>
            <w:r w:rsidRPr="009E06AA">
              <w:rPr>
                <w:noProof w:val="0"/>
                <w:color w:val="FFFFFF" w:themeColor="background1"/>
              </w:rPr>
              <w:t>Combustion factor values (proportion of pre-fire biomass consumed) for fires (table 2.6, IPCC, 2006a)</w:t>
            </w:r>
          </w:p>
        </w:tc>
      </w:tr>
      <w:tr w:rsidR="00053418" w:rsidRPr="009E06AA" w14:paraId="0AE0C605" w14:textId="77777777" w:rsidTr="00B55F24">
        <w:tc>
          <w:tcPr>
            <w:tcW w:w="5982" w:type="dxa"/>
            <w:gridSpan w:val="3"/>
            <w:tcBorders>
              <w:top w:val="single" w:sz="4" w:space="0" w:color="1B556B"/>
              <w:left w:val="nil"/>
              <w:bottom w:val="single" w:sz="4" w:space="0" w:color="1B556B"/>
              <w:right w:val="nil"/>
            </w:tcBorders>
          </w:tcPr>
          <w:p w14:paraId="6029A168" w14:textId="77777777" w:rsidR="00053418" w:rsidRPr="009E06AA" w:rsidRDefault="00053418" w:rsidP="007D639E">
            <w:pPr>
              <w:pStyle w:val="TableTextBold"/>
              <w:spacing w:before="40" w:after="40"/>
              <w:rPr>
                <w:noProof w:val="0"/>
              </w:rPr>
            </w:pPr>
            <w:r w:rsidRPr="009E06AA">
              <w:rPr>
                <w:noProof w:val="0"/>
              </w:rPr>
              <w:t>Vegetation type</w:t>
            </w:r>
          </w:p>
        </w:tc>
        <w:tc>
          <w:tcPr>
            <w:tcW w:w="2523" w:type="dxa"/>
            <w:tcBorders>
              <w:top w:val="single" w:sz="4" w:space="0" w:color="1B556B"/>
              <w:left w:val="nil"/>
              <w:bottom w:val="single" w:sz="4" w:space="0" w:color="1B556B"/>
              <w:right w:val="nil"/>
            </w:tcBorders>
          </w:tcPr>
          <w:p w14:paraId="3821FC82" w14:textId="77777777" w:rsidR="00053418" w:rsidRPr="009E06AA" w:rsidRDefault="00053418" w:rsidP="0030472F">
            <w:pPr>
              <w:pStyle w:val="TableTextBold"/>
              <w:spacing w:before="40" w:after="40"/>
              <w:jc w:val="right"/>
              <w:rPr>
                <w:noProof w:val="0"/>
              </w:rPr>
            </w:pPr>
            <w:r w:rsidRPr="009E06AA">
              <w:rPr>
                <w:noProof w:val="0"/>
              </w:rPr>
              <w:t>Value</w:t>
            </w:r>
          </w:p>
        </w:tc>
      </w:tr>
      <w:tr w:rsidR="00053418" w:rsidRPr="009E06AA" w14:paraId="472E7485" w14:textId="77777777" w:rsidTr="00C32E77">
        <w:tc>
          <w:tcPr>
            <w:tcW w:w="704" w:type="dxa"/>
            <w:vMerge w:val="restart"/>
            <w:tcBorders>
              <w:top w:val="single" w:sz="4" w:space="0" w:color="1B556B"/>
              <w:left w:val="nil"/>
              <w:bottom w:val="nil"/>
              <w:right w:val="nil"/>
            </w:tcBorders>
            <w:textDirection w:val="btLr"/>
          </w:tcPr>
          <w:p w14:paraId="6C196988" w14:textId="77777777" w:rsidR="00053418" w:rsidRPr="009E06AA" w:rsidRDefault="00053418" w:rsidP="00B55F24">
            <w:pPr>
              <w:pStyle w:val="TableTextBold"/>
              <w:spacing w:before="40" w:after="40"/>
              <w:jc w:val="center"/>
              <w:rPr>
                <w:noProof w:val="0"/>
              </w:rPr>
            </w:pPr>
            <w:r w:rsidRPr="009E06AA">
              <w:rPr>
                <w:noProof w:val="0"/>
              </w:rPr>
              <w:t>Forest</w:t>
            </w:r>
          </w:p>
        </w:tc>
        <w:tc>
          <w:tcPr>
            <w:tcW w:w="1848" w:type="dxa"/>
            <w:vMerge w:val="restart"/>
            <w:tcBorders>
              <w:top w:val="single" w:sz="4" w:space="0" w:color="1B556B"/>
              <w:left w:val="nil"/>
              <w:bottom w:val="nil"/>
              <w:right w:val="nil"/>
            </w:tcBorders>
          </w:tcPr>
          <w:p w14:paraId="25F27DB2" w14:textId="77777777" w:rsidR="00053418" w:rsidRPr="009E06AA" w:rsidRDefault="00053418" w:rsidP="00B55F24">
            <w:pPr>
              <w:pStyle w:val="TableText"/>
              <w:spacing w:before="40" w:after="40"/>
            </w:pPr>
            <w:r w:rsidRPr="009E06AA">
              <w:t>Other temperate forests</w:t>
            </w:r>
          </w:p>
        </w:tc>
        <w:tc>
          <w:tcPr>
            <w:tcW w:w="3430" w:type="dxa"/>
            <w:tcBorders>
              <w:top w:val="single" w:sz="4" w:space="0" w:color="1B556B"/>
              <w:left w:val="nil"/>
              <w:bottom w:val="nil"/>
              <w:right w:val="nil"/>
            </w:tcBorders>
          </w:tcPr>
          <w:p w14:paraId="62CCCFBB" w14:textId="77777777" w:rsidR="00053418" w:rsidRPr="009E06AA" w:rsidRDefault="00053418" w:rsidP="00B55F24">
            <w:pPr>
              <w:pStyle w:val="TableText"/>
              <w:spacing w:before="40" w:after="40"/>
            </w:pPr>
            <w:r w:rsidRPr="009E06AA">
              <w:t>Post logging slash burn</w:t>
            </w:r>
          </w:p>
        </w:tc>
        <w:tc>
          <w:tcPr>
            <w:tcW w:w="2523" w:type="dxa"/>
            <w:tcBorders>
              <w:top w:val="single" w:sz="4" w:space="0" w:color="1B556B"/>
              <w:left w:val="nil"/>
              <w:bottom w:val="nil"/>
              <w:right w:val="nil"/>
            </w:tcBorders>
          </w:tcPr>
          <w:p w14:paraId="664A305E" w14:textId="77777777" w:rsidR="00053418" w:rsidRPr="009E06AA" w:rsidRDefault="00053418" w:rsidP="0030472F">
            <w:pPr>
              <w:pStyle w:val="TableText"/>
              <w:spacing w:before="40" w:after="40"/>
              <w:jc w:val="right"/>
            </w:pPr>
            <w:r w:rsidRPr="009E06AA">
              <w:t>0.62</w:t>
            </w:r>
          </w:p>
        </w:tc>
      </w:tr>
      <w:tr w:rsidR="00053418" w:rsidRPr="009E06AA" w14:paraId="4A323AAB" w14:textId="77777777" w:rsidTr="00B55F24">
        <w:tc>
          <w:tcPr>
            <w:tcW w:w="704" w:type="dxa"/>
            <w:vMerge/>
            <w:tcBorders>
              <w:top w:val="nil"/>
              <w:left w:val="nil"/>
              <w:bottom w:val="nil"/>
              <w:right w:val="nil"/>
            </w:tcBorders>
          </w:tcPr>
          <w:p w14:paraId="5C38DB25" w14:textId="77777777" w:rsidR="00053418" w:rsidRPr="009E06AA" w:rsidRDefault="00053418" w:rsidP="00B55F24">
            <w:pPr>
              <w:pStyle w:val="TableTextBold"/>
              <w:spacing w:before="40" w:after="40"/>
              <w:jc w:val="center"/>
              <w:rPr>
                <w:noProof w:val="0"/>
              </w:rPr>
            </w:pPr>
          </w:p>
        </w:tc>
        <w:tc>
          <w:tcPr>
            <w:tcW w:w="1848" w:type="dxa"/>
            <w:vMerge/>
            <w:tcBorders>
              <w:top w:val="nil"/>
              <w:left w:val="nil"/>
              <w:bottom w:val="nil"/>
              <w:right w:val="nil"/>
            </w:tcBorders>
          </w:tcPr>
          <w:p w14:paraId="0C3C0990" w14:textId="77777777" w:rsidR="00053418" w:rsidRPr="009E06AA" w:rsidRDefault="00053418" w:rsidP="00B55F24">
            <w:pPr>
              <w:pStyle w:val="TableText"/>
              <w:spacing w:before="40" w:after="40"/>
            </w:pPr>
          </w:p>
        </w:tc>
        <w:tc>
          <w:tcPr>
            <w:tcW w:w="3430" w:type="dxa"/>
            <w:tcBorders>
              <w:top w:val="nil"/>
              <w:left w:val="nil"/>
              <w:bottom w:val="nil"/>
              <w:right w:val="nil"/>
            </w:tcBorders>
          </w:tcPr>
          <w:p w14:paraId="76479B19" w14:textId="77777777" w:rsidR="00053418" w:rsidRPr="009E06AA" w:rsidRDefault="00053418" w:rsidP="00B55F24">
            <w:pPr>
              <w:pStyle w:val="TableText"/>
              <w:spacing w:before="40" w:after="40"/>
            </w:pPr>
            <w:r w:rsidRPr="009E06AA">
              <w:t>Felled and burned (land clearing fire)</w:t>
            </w:r>
          </w:p>
        </w:tc>
        <w:tc>
          <w:tcPr>
            <w:tcW w:w="2523" w:type="dxa"/>
            <w:tcBorders>
              <w:top w:val="nil"/>
              <w:left w:val="nil"/>
              <w:bottom w:val="nil"/>
              <w:right w:val="nil"/>
            </w:tcBorders>
          </w:tcPr>
          <w:p w14:paraId="3415FA5B" w14:textId="77777777" w:rsidR="00053418" w:rsidRPr="009E06AA" w:rsidRDefault="00053418" w:rsidP="0030472F">
            <w:pPr>
              <w:pStyle w:val="TableText"/>
              <w:spacing w:before="40" w:after="40"/>
              <w:jc w:val="right"/>
            </w:pPr>
            <w:r w:rsidRPr="009E06AA">
              <w:t>0.51</w:t>
            </w:r>
          </w:p>
        </w:tc>
      </w:tr>
      <w:tr w:rsidR="00053418" w:rsidRPr="009E06AA" w14:paraId="53421CD7" w14:textId="77777777" w:rsidTr="00B55F24">
        <w:tc>
          <w:tcPr>
            <w:tcW w:w="704" w:type="dxa"/>
            <w:vMerge/>
            <w:tcBorders>
              <w:top w:val="nil"/>
              <w:left w:val="nil"/>
              <w:bottom w:val="single" w:sz="4" w:space="0" w:color="1B556B"/>
              <w:right w:val="nil"/>
            </w:tcBorders>
          </w:tcPr>
          <w:p w14:paraId="04018226" w14:textId="77777777" w:rsidR="00053418" w:rsidRPr="009E06AA" w:rsidRDefault="00053418" w:rsidP="00B55F24">
            <w:pPr>
              <w:pStyle w:val="TableTextBold"/>
              <w:spacing w:before="40" w:after="40"/>
              <w:jc w:val="center"/>
              <w:rPr>
                <w:noProof w:val="0"/>
              </w:rPr>
            </w:pPr>
          </w:p>
        </w:tc>
        <w:tc>
          <w:tcPr>
            <w:tcW w:w="5278" w:type="dxa"/>
            <w:gridSpan w:val="2"/>
            <w:tcBorders>
              <w:top w:val="nil"/>
              <w:left w:val="nil"/>
              <w:bottom w:val="single" w:sz="4" w:space="0" w:color="1B556B"/>
              <w:right w:val="nil"/>
            </w:tcBorders>
          </w:tcPr>
          <w:p w14:paraId="48EA9EFB" w14:textId="77777777" w:rsidR="00053418" w:rsidRPr="009E06AA" w:rsidRDefault="00053418" w:rsidP="00B55F24">
            <w:pPr>
              <w:pStyle w:val="TableText"/>
              <w:spacing w:before="40" w:after="40"/>
            </w:pPr>
            <w:r w:rsidRPr="009E06AA">
              <w:t>All ‘other’ temperate forests</w:t>
            </w:r>
          </w:p>
        </w:tc>
        <w:tc>
          <w:tcPr>
            <w:tcW w:w="2523" w:type="dxa"/>
            <w:tcBorders>
              <w:top w:val="nil"/>
              <w:left w:val="nil"/>
              <w:bottom w:val="single" w:sz="4" w:space="0" w:color="1B556B"/>
              <w:right w:val="nil"/>
            </w:tcBorders>
          </w:tcPr>
          <w:p w14:paraId="6BE1DF58" w14:textId="77777777" w:rsidR="00053418" w:rsidRPr="009E06AA" w:rsidRDefault="00053418" w:rsidP="0030472F">
            <w:pPr>
              <w:pStyle w:val="TableText"/>
              <w:spacing w:before="40" w:after="40"/>
              <w:jc w:val="right"/>
            </w:pPr>
            <w:r w:rsidRPr="009E06AA">
              <w:t>0.45</w:t>
            </w:r>
          </w:p>
        </w:tc>
      </w:tr>
      <w:tr w:rsidR="00053418" w:rsidRPr="009E06AA" w14:paraId="238865DD" w14:textId="77777777" w:rsidTr="00B55F24">
        <w:tc>
          <w:tcPr>
            <w:tcW w:w="704" w:type="dxa"/>
            <w:vMerge w:val="restart"/>
            <w:tcBorders>
              <w:top w:val="single" w:sz="4" w:space="0" w:color="1B556B"/>
              <w:left w:val="nil"/>
              <w:bottom w:val="nil"/>
              <w:right w:val="nil"/>
            </w:tcBorders>
            <w:textDirection w:val="btLr"/>
          </w:tcPr>
          <w:p w14:paraId="2A595746" w14:textId="77777777" w:rsidR="00053418" w:rsidRPr="009E06AA" w:rsidRDefault="00053418" w:rsidP="00B55F24">
            <w:pPr>
              <w:pStyle w:val="TableTextBold"/>
              <w:spacing w:before="40" w:after="40"/>
              <w:jc w:val="center"/>
              <w:rPr>
                <w:noProof w:val="0"/>
              </w:rPr>
            </w:pPr>
            <w:r w:rsidRPr="009E06AA">
              <w:rPr>
                <w:noProof w:val="0"/>
              </w:rPr>
              <w:t>GWB and shrubland</w:t>
            </w:r>
          </w:p>
        </w:tc>
        <w:tc>
          <w:tcPr>
            <w:tcW w:w="5278" w:type="dxa"/>
            <w:gridSpan w:val="2"/>
            <w:tcBorders>
              <w:top w:val="single" w:sz="4" w:space="0" w:color="1B556B"/>
              <w:left w:val="nil"/>
              <w:bottom w:val="nil"/>
              <w:right w:val="nil"/>
            </w:tcBorders>
          </w:tcPr>
          <w:p w14:paraId="4075D2E0" w14:textId="77777777" w:rsidR="00053418" w:rsidRPr="009E06AA" w:rsidRDefault="00053418" w:rsidP="00B55F24">
            <w:pPr>
              <w:pStyle w:val="TableText"/>
              <w:spacing w:before="40" w:after="40"/>
            </w:pPr>
            <w:r w:rsidRPr="009E06AA">
              <w:t>Shrubland (general)</w:t>
            </w:r>
          </w:p>
        </w:tc>
        <w:tc>
          <w:tcPr>
            <w:tcW w:w="2523" w:type="dxa"/>
            <w:tcBorders>
              <w:top w:val="single" w:sz="4" w:space="0" w:color="1B556B"/>
              <w:left w:val="nil"/>
              <w:bottom w:val="nil"/>
              <w:right w:val="nil"/>
            </w:tcBorders>
          </w:tcPr>
          <w:p w14:paraId="0327A8EE" w14:textId="77777777" w:rsidR="00053418" w:rsidRPr="009E06AA" w:rsidRDefault="00053418" w:rsidP="0030472F">
            <w:pPr>
              <w:pStyle w:val="TableText"/>
              <w:spacing w:before="40" w:after="40"/>
              <w:jc w:val="right"/>
            </w:pPr>
            <w:r w:rsidRPr="009E06AA">
              <w:t>0.95</w:t>
            </w:r>
          </w:p>
        </w:tc>
      </w:tr>
      <w:tr w:rsidR="00053418" w:rsidRPr="009E06AA" w14:paraId="71833CB2" w14:textId="77777777" w:rsidTr="00B55F24">
        <w:tc>
          <w:tcPr>
            <w:tcW w:w="704" w:type="dxa"/>
            <w:vMerge/>
            <w:tcBorders>
              <w:top w:val="nil"/>
              <w:left w:val="nil"/>
              <w:bottom w:val="nil"/>
              <w:right w:val="nil"/>
            </w:tcBorders>
          </w:tcPr>
          <w:p w14:paraId="42B899FE" w14:textId="77777777" w:rsidR="00053418" w:rsidRPr="009E06AA" w:rsidRDefault="00053418" w:rsidP="00B55F24">
            <w:pPr>
              <w:pStyle w:val="TableTextBold"/>
              <w:spacing w:before="40" w:after="40"/>
              <w:jc w:val="center"/>
              <w:rPr>
                <w:noProof w:val="0"/>
              </w:rPr>
            </w:pPr>
          </w:p>
        </w:tc>
        <w:tc>
          <w:tcPr>
            <w:tcW w:w="5278" w:type="dxa"/>
            <w:gridSpan w:val="2"/>
            <w:tcBorders>
              <w:top w:val="nil"/>
              <w:left w:val="nil"/>
              <w:bottom w:val="nil"/>
              <w:right w:val="nil"/>
            </w:tcBorders>
          </w:tcPr>
          <w:p w14:paraId="3EF8736D" w14:textId="77777777" w:rsidR="00053418" w:rsidRPr="009E06AA" w:rsidRDefault="00053418" w:rsidP="00B55F24">
            <w:pPr>
              <w:pStyle w:val="TableText"/>
              <w:spacing w:before="40" w:after="40"/>
            </w:pPr>
            <w:r w:rsidRPr="009E06AA">
              <w:t>All shrubland</w:t>
            </w:r>
          </w:p>
        </w:tc>
        <w:tc>
          <w:tcPr>
            <w:tcW w:w="2523" w:type="dxa"/>
            <w:tcBorders>
              <w:top w:val="nil"/>
              <w:left w:val="nil"/>
              <w:bottom w:val="nil"/>
              <w:right w:val="nil"/>
            </w:tcBorders>
          </w:tcPr>
          <w:p w14:paraId="5C70E161" w14:textId="77777777" w:rsidR="00053418" w:rsidRPr="009E06AA" w:rsidRDefault="00053418" w:rsidP="0030472F">
            <w:pPr>
              <w:pStyle w:val="TableText"/>
              <w:spacing w:before="40" w:after="40"/>
              <w:jc w:val="right"/>
            </w:pPr>
            <w:r w:rsidRPr="009E06AA">
              <w:t>0.72</w:t>
            </w:r>
          </w:p>
        </w:tc>
      </w:tr>
      <w:tr w:rsidR="00053418" w:rsidRPr="009E06AA" w14:paraId="5ECAE9FB" w14:textId="77777777" w:rsidTr="00B55F24">
        <w:tc>
          <w:tcPr>
            <w:tcW w:w="704" w:type="dxa"/>
            <w:vMerge/>
            <w:tcBorders>
              <w:top w:val="nil"/>
              <w:left w:val="nil"/>
              <w:bottom w:val="single" w:sz="4" w:space="0" w:color="1B556B"/>
              <w:right w:val="nil"/>
            </w:tcBorders>
          </w:tcPr>
          <w:p w14:paraId="52BC7F89" w14:textId="77777777" w:rsidR="00053418" w:rsidRPr="009E06AA" w:rsidRDefault="00053418" w:rsidP="00B55F24">
            <w:pPr>
              <w:pStyle w:val="TableTextBold"/>
              <w:spacing w:before="40" w:after="40"/>
              <w:jc w:val="center"/>
              <w:rPr>
                <w:noProof w:val="0"/>
              </w:rPr>
            </w:pPr>
          </w:p>
        </w:tc>
        <w:tc>
          <w:tcPr>
            <w:tcW w:w="5278" w:type="dxa"/>
            <w:gridSpan w:val="2"/>
            <w:tcBorders>
              <w:top w:val="nil"/>
              <w:left w:val="nil"/>
              <w:bottom w:val="single" w:sz="4" w:space="0" w:color="1B556B"/>
              <w:right w:val="nil"/>
            </w:tcBorders>
          </w:tcPr>
          <w:p w14:paraId="247582D0" w14:textId="77777777" w:rsidR="00053418" w:rsidRPr="009E06AA" w:rsidRDefault="00053418" w:rsidP="00B55F24">
            <w:pPr>
              <w:pStyle w:val="TableText"/>
              <w:spacing w:before="40" w:after="40"/>
            </w:pPr>
            <w:r w:rsidRPr="009E06AA">
              <w:t>GWB New Zealand-specific</w:t>
            </w:r>
          </w:p>
        </w:tc>
        <w:tc>
          <w:tcPr>
            <w:tcW w:w="2523" w:type="dxa"/>
            <w:tcBorders>
              <w:top w:val="nil"/>
              <w:left w:val="nil"/>
              <w:bottom w:val="single" w:sz="4" w:space="0" w:color="1B556B"/>
              <w:right w:val="nil"/>
            </w:tcBorders>
          </w:tcPr>
          <w:p w14:paraId="4B282972" w14:textId="77777777" w:rsidR="00053418" w:rsidRPr="009E06AA" w:rsidRDefault="00053418" w:rsidP="0030472F">
            <w:pPr>
              <w:pStyle w:val="TableText"/>
              <w:spacing w:before="40" w:after="40"/>
              <w:jc w:val="right"/>
            </w:pPr>
            <w:r w:rsidRPr="009E06AA">
              <w:t>0.7*</w:t>
            </w:r>
          </w:p>
        </w:tc>
      </w:tr>
      <w:tr w:rsidR="00053418" w:rsidRPr="009E06AA" w14:paraId="6225B7C5" w14:textId="77777777" w:rsidTr="00B55F24">
        <w:tc>
          <w:tcPr>
            <w:tcW w:w="704" w:type="dxa"/>
            <w:vMerge w:val="restart"/>
            <w:tcBorders>
              <w:top w:val="single" w:sz="4" w:space="0" w:color="1B556B"/>
              <w:left w:val="nil"/>
              <w:bottom w:val="nil"/>
              <w:right w:val="nil"/>
            </w:tcBorders>
            <w:textDirection w:val="btLr"/>
          </w:tcPr>
          <w:p w14:paraId="297F2DC8" w14:textId="77777777" w:rsidR="00053418" w:rsidRPr="009E06AA" w:rsidRDefault="00053418" w:rsidP="00B55F24">
            <w:pPr>
              <w:pStyle w:val="TableTextBold"/>
              <w:spacing w:before="40" w:after="40"/>
              <w:jc w:val="center"/>
              <w:rPr>
                <w:noProof w:val="0"/>
              </w:rPr>
            </w:pPr>
            <w:r w:rsidRPr="009E06AA">
              <w:rPr>
                <w:noProof w:val="0"/>
              </w:rPr>
              <w:t>Grassland</w:t>
            </w:r>
          </w:p>
        </w:tc>
        <w:tc>
          <w:tcPr>
            <w:tcW w:w="5278" w:type="dxa"/>
            <w:gridSpan w:val="2"/>
            <w:tcBorders>
              <w:top w:val="single" w:sz="4" w:space="0" w:color="1B556B"/>
              <w:left w:val="nil"/>
              <w:bottom w:val="nil"/>
              <w:right w:val="nil"/>
            </w:tcBorders>
          </w:tcPr>
          <w:p w14:paraId="0F0C2534" w14:textId="77777777" w:rsidR="00053418" w:rsidRPr="009E06AA" w:rsidRDefault="00053418" w:rsidP="00B55F24">
            <w:pPr>
              <w:pStyle w:val="TableText"/>
              <w:spacing w:before="40" w:after="40"/>
            </w:pPr>
            <w:r w:rsidRPr="009E06AA">
              <w:t>All savannah/grasslands (early dry season burns)</w:t>
            </w:r>
          </w:p>
        </w:tc>
        <w:tc>
          <w:tcPr>
            <w:tcW w:w="2523" w:type="dxa"/>
            <w:tcBorders>
              <w:top w:val="single" w:sz="4" w:space="0" w:color="1B556B"/>
              <w:left w:val="nil"/>
              <w:bottom w:val="nil"/>
              <w:right w:val="nil"/>
            </w:tcBorders>
          </w:tcPr>
          <w:p w14:paraId="5FFC03AC" w14:textId="77777777" w:rsidR="00053418" w:rsidRPr="009E06AA" w:rsidRDefault="00053418" w:rsidP="0030472F">
            <w:pPr>
              <w:pStyle w:val="TableText"/>
              <w:spacing w:before="40" w:after="40"/>
              <w:jc w:val="right"/>
            </w:pPr>
            <w:r w:rsidRPr="009E06AA">
              <w:t>0.74</w:t>
            </w:r>
          </w:p>
        </w:tc>
      </w:tr>
      <w:tr w:rsidR="00053418" w:rsidRPr="009E06AA" w14:paraId="71866AAC" w14:textId="77777777" w:rsidTr="00B55F24">
        <w:tc>
          <w:tcPr>
            <w:tcW w:w="704" w:type="dxa"/>
            <w:vMerge/>
            <w:tcBorders>
              <w:top w:val="nil"/>
              <w:left w:val="nil"/>
              <w:bottom w:val="nil"/>
              <w:right w:val="nil"/>
            </w:tcBorders>
          </w:tcPr>
          <w:p w14:paraId="5C07FC0C" w14:textId="77777777" w:rsidR="00053418" w:rsidRPr="009E06AA" w:rsidRDefault="00053418" w:rsidP="00B55F24">
            <w:pPr>
              <w:spacing w:before="40" w:after="40"/>
              <w:jc w:val="center"/>
              <w:rPr>
                <w:rFonts w:cstheme="minorHAnsi"/>
                <w:sz w:val="16"/>
                <w:szCs w:val="16"/>
              </w:rPr>
            </w:pPr>
          </w:p>
        </w:tc>
        <w:tc>
          <w:tcPr>
            <w:tcW w:w="5278" w:type="dxa"/>
            <w:gridSpan w:val="2"/>
            <w:tcBorders>
              <w:top w:val="nil"/>
              <w:left w:val="nil"/>
              <w:bottom w:val="nil"/>
              <w:right w:val="nil"/>
            </w:tcBorders>
          </w:tcPr>
          <w:p w14:paraId="395D3F63" w14:textId="77777777" w:rsidR="00053418" w:rsidRPr="009E06AA" w:rsidRDefault="00053418" w:rsidP="00B55F24">
            <w:pPr>
              <w:pStyle w:val="TableText"/>
              <w:spacing w:before="40" w:after="40"/>
            </w:pPr>
            <w:r w:rsidRPr="009E06AA">
              <w:t>All savannah/grasslands (mid/late dry season burns)</w:t>
            </w:r>
          </w:p>
        </w:tc>
        <w:tc>
          <w:tcPr>
            <w:tcW w:w="2523" w:type="dxa"/>
            <w:tcBorders>
              <w:top w:val="nil"/>
              <w:left w:val="nil"/>
              <w:bottom w:val="nil"/>
              <w:right w:val="nil"/>
            </w:tcBorders>
          </w:tcPr>
          <w:p w14:paraId="49558970" w14:textId="77777777" w:rsidR="00053418" w:rsidRPr="009E06AA" w:rsidRDefault="00053418" w:rsidP="0030472F">
            <w:pPr>
              <w:pStyle w:val="TableText"/>
              <w:spacing w:before="40" w:after="40"/>
              <w:jc w:val="right"/>
            </w:pPr>
            <w:r w:rsidRPr="009E06AA">
              <w:t>0.77</w:t>
            </w:r>
          </w:p>
        </w:tc>
      </w:tr>
      <w:tr w:rsidR="00053418" w:rsidRPr="009E06AA" w14:paraId="55797A69" w14:textId="77777777" w:rsidTr="00B55F24">
        <w:tc>
          <w:tcPr>
            <w:tcW w:w="704" w:type="dxa"/>
            <w:vMerge/>
            <w:tcBorders>
              <w:top w:val="nil"/>
              <w:left w:val="nil"/>
              <w:bottom w:val="nil"/>
              <w:right w:val="nil"/>
            </w:tcBorders>
          </w:tcPr>
          <w:p w14:paraId="4CB73248" w14:textId="77777777" w:rsidR="00053418" w:rsidRPr="009E06AA" w:rsidRDefault="00053418" w:rsidP="00B55F24">
            <w:pPr>
              <w:spacing w:before="40" w:after="40"/>
              <w:jc w:val="center"/>
              <w:rPr>
                <w:rFonts w:cstheme="minorHAnsi"/>
                <w:sz w:val="16"/>
                <w:szCs w:val="16"/>
              </w:rPr>
            </w:pPr>
          </w:p>
        </w:tc>
        <w:tc>
          <w:tcPr>
            <w:tcW w:w="5278" w:type="dxa"/>
            <w:gridSpan w:val="2"/>
            <w:tcBorders>
              <w:top w:val="nil"/>
              <w:left w:val="nil"/>
              <w:bottom w:val="nil"/>
              <w:right w:val="nil"/>
            </w:tcBorders>
          </w:tcPr>
          <w:p w14:paraId="2B10E048" w14:textId="77777777" w:rsidR="00053418" w:rsidRPr="009E06AA" w:rsidRDefault="00053418" w:rsidP="00B55F24">
            <w:pPr>
              <w:pStyle w:val="TableText"/>
              <w:spacing w:before="40" w:after="40"/>
            </w:pPr>
            <w:r w:rsidRPr="009E06AA">
              <w:t>Average of IPCC savannah/grasslands</w:t>
            </w:r>
          </w:p>
        </w:tc>
        <w:tc>
          <w:tcPr>
            <w:tcW w:w="2523" w:type="dxa"/>
            <w:tcBorders>
              <w:top w:val="nil"/>
              <w:left w:val="nil"/>
              <w:bottom w:val="nil"/>
              <w:right w:val="nil"/>
            </w:tcBorders>
          </w:tcPr>
          <w:p w14:paraId="4178E1C1" w14:textId="77777777" w:rsidR="00053418" w:rsidRPr="009E06AA" w:rsidRDefault="00053418" w:rsidP="0030472F">
            <w:pPr>
              <w:pStyle w:val="TableText"/>
              <w:spacing w:before="40" w:after="40"/>
              <w:jc w:val="right"/>
            </w:pPr>
            <w:r w:rsidRPr="009E06AA">
              <w:t>0.755</w:t>
            </w:r>
          </w:p>
        </w:tc>
      </w:tr>
      <w:tr w:rsidR="00053418" w:rsidRPr="009E06AA" w14:paraId="11187BD7" w14:textId="77777777" w:rsidTr="00B55F24">
        <w:tc>
          <w:tcPr>
            <w:tcW w:w="704" w:type="dxa"/>
            <w:vMerge/>
            <w:tcBorders>
              <w:top w:val="nil"/>
              <w:left w:val="nil"/>
              <w:bottom w:val="single" w:sz="4" w:space="0" w:color="auto"/>
              <w:right w:val="nil"/>
            </w:tcBorders>
          </w:tcPr>
          <w:p w14:paraId="3059EB0F" w14:textId="77777777" w:rsidR="00053418" w:rsidRPr="009E06AA" w:rsidRDefault="00053418" w:rsidP="00B55F24">
            <w:pPr>
              <w:spacing w:before="40" w:after="40"/>
              <w:jc w:val="center"/>
              <w:rPr>
                <w:rFonts w:cstheme="minorHAnsi"/>
                <w:sz w:val="16"/>
                <w:szCs w:val="16"/>
              </w:rPr>
            </w:pPr>
          </w:p>
        </w:tc>
        <w:tc>
          <w:tcPr>
            <w:tcW w:w="5278" w:type="dxa"/>
            <w:gridSpan w:val="2"/>
            <w:tcBorders>
              <w:top w:val="nil"/>
              <w:left w:val="nil"/>
              <w:bottom w:val="single" w:sz="4" w:space="0" w:color="auto"/>
              <w:right w:val="nil"/>
            </w:tcBorders>
          </w:tcPr>
          <w:p w14:paraId="049B5AEC" w14:textId="77777777" w:rsidR="00053418" w:rsidRPr="009E06AA" w:rsidRDefault="00053418" w:rsidP="00B55F24">
            <w:pPr>
              <w:pStyle w:val="TableText"/>
              <w:spacing w:before="40" w:after="40"/>
            </w:pPr>
            <w:r w:rsidRPr="009E06AA">
              <w:t>Controlled grassland burn New Zealand specific</w:t>
            </w:r>
          </w:p>
        </w:tc>
        <w:tc>
          <w:tcPr>
            <w:tcW w:w="2523" w:type="dxa"/>
            <w:tcBorders>
              <w:top w:val="nil"/>
              <w:left w:val="nil"/>
              <w:bottom w:val="single" w:sz="4" w:space="0" w:color="auto"/>
              <w:right w:val="nil"/>
            </w:tcBorders>
          </w:tcPr>
          <w:p w14:paraId="56FBB340" w14:textId="77777777" w:rsidR="00053418" w:rsidRPr="009E06AA" w:rsidRDefault="00053418" w:rsidP="0030472F">
            <w:pPr>
              <w:pStyle w:val="TableText"/>
              <w:spacing w:before="40" w:after="40"/>
              <w:jc w:val="right"/>
            </w:pPr>
            <w:r w:rsidRPr="009E06AA">
              <w:t>0.555**</w:t>
            </w:r>
          </w:p>
        </w:tc>
      </w:tr>
    </w:tbl>
    <w:p w14:paraId="7353958F" w14:textId="77777777" w:rsidR="00053418" w:rsidRPr="009E06AA" w:rsidRDefault="00053418" w:rsidP="00053418">
      <w:pPr>
        <w:pStyle w:val="Noteundertable"/>
      </w:pPr>
      <w:r w:rsidRPr="009E06AA">
        <w:rPr>
          <w:b/>
        </w:rPr>
        <w:t>Note:</w:t>
      </w:r>
      <w:r w:rsidRPr="009E06AA">
        <w:tab/>
        <w:t>GWB = grassland with woody biomass. *Wakelin (unpublished</w:t>
      </w:r>
      <w:r w:rsidRPr="009E06AA" w:rsidDel="003847CC">
        <w:t>(</w:t>
      </w:r>
      <w:r w:rsidRPr="009E06AA">
        <w:t>e)), **Payton and Pearce (2009).</w:t>
      </w:r>
    </w:p>
    <w:p w14:paraId="689D8077" w14:textId="77777777" w:rsidR="00053418" w:rsidRPr="009E06AA" w:rsidRDefault="00053418" w:rsidP="00053418">
      <w:pPr>
        <w:pStyle w:val="BodyText"/>
        <w:spacing w:after="100"/>
      </w:pPr>
      <w:r w:rsidRPr="009E06AA">
        <w:t>For all land uses, CO</w:t>
      </w:r>
      <w:r w:rsidRPr="009E06AA">
        <w:rPr>
          <w:vertAlign w:val="subscript"/>
        </w:rPr>
        <w:t>2</w:t>
      </w:r>
      <w:r w:rsidRPr="009E06AA">
        <w:t xml:space="preserve"> emissions are captured in the general stock change calculation following the 2006 IPCC Guidelines (IPCC, 2006a). Carbon dioxide</w:t>
      </w:r>
      <w:r w:rsidRPr="009E06AA" w:rsidDel="00097907">
        <w:t xml:space="preserve"> </w:t>
      </w:r>
      <w:r w:rsidRPr="009E06AA">
        <w:t xml:space="preserve">emissions resulting from </w:t>
      </w:r>
      <w:r w:rsidRPr="009E06AA">
        <w:rPr>
          <w:i/>
        </w:rPr>
        <w:t>Biomass burning</w:t>
      </w:r>
      <w:r w:rsidRPr="009E06AA">
        <w:t xml:space="preserve"> are reported as IE, where emissions are captured in the stock change calculation within the land use category.</w:t>
      </w:r>
    </w:p>
    <w:p w14:paraId="7D563642" w14:textId="77777777" w:rsidR="00053418" w:rsidRPr="009E06AA" w:rsidRDefault="00053418" w:rsidP="00053418">
      <w:pPr>
        <w:pStyle w:val="BodyText"/>
        <w:spacing w:after="100"/>
        <w:rPr>
          <w:spacing w:val="-2"/>
        </w:rPr>
      </w:pPr>
      <w:r w:rsidRPr="009E06AA">
        <w:t xml:space="preserve">In </w:t>
      </w:r>
      <w:r w:rsidRPr="009E06AA">
        <w:rPr>
          <w:i/>
          <w:iCs/>
        </w:rPr>
        <w:t>Grassland</w:t>
      </w:r>
      <w:r w:rsidRPr="009E06AA">
        <w:t>, CO</w:t>
      </w:r>
      <w:r w:rsidRPr="009E06AA">
        <w:rPr>
          <w:vertAlign w:val="subscript"/>
        </w:rPr>
        <w:t xml:space="preserve">2 </w:t>
      </w:r>
      <w:r w:rsidRPr="009E06AA">
        <w:t>emissions from biomass burning are assumed to be equal to subsequent regrowth. The assumption of equivalence is accepted as reasonable in this scenario as per the 2006 IPCC Guidelines, sections 2.4 and 6.2.4 (IPCC, 2006a).</w:t>
      </w:r>
    </w:p>
    <w:p w14:paraId="6F6C8ACB" w14:textId="77777777" w:rsidR="00053418" w:rsidRPr="009E06AA" w:rsidRDefault="00053418" w:rsidP="00053418">
      <w:pPr>
        <w:pStyle w:val="BodyText"/>
        <w:spacing w:after="100"/>
      </w:pPr>
      <w:r w:rsidRPr="009E06AA">
        <w:rPr>
          <w:spacing w:val="-2"/>
        </w:rPr>
        <w:t xml:space="preserve">In </w:t>
      </w:r>
      <w:r w:rsidRPr="009E06AA">
        <w:rPr>
          <w:i/>
          <w:iCs/>
          <w:spacing w:val="-2"/>
        </w:rPr>
        <w:t>Cropland</w:t>
      </w:r>
      <w:r w:rsidRPr="009E06AA">
        <w:rPr>
          <w:spacing w:val="-2"/>
        </w:rPr>
        <w:t xml:space="preserve">, </w:t>
      </w:r>
      <w:r w:rsidRPr="009E06AA">
        <w:t>CH</w:t>
      </w:r>
      <w:r w:rsidRPr="009E06AA">
        <w:rPr>
          <w:vertAlign w:val="subscript"/>
        </w:rPr>
        <w:t>4</w:t>
      </w:r>
      <w:r w:rsidRPr="009E06AA">
        <w:t xml:space="preserve"> and N</w:t>
      </w:r>
      <w:r w:rsidRPr="009E06AA">
        <w:rPr>
          <w:vertAlign w:val="subscript"/>
        </w:rPr>
        <w:t>2</w:t>
      </w:r>
      <w:r w:rsidRPr="009E06AA">
        <w:t xml:space="preserve">O emissions from controlled burning are reported as IE. This is because emissions from the burning of crop stubble associated with controlled burning in </w:t>
      </w:r>
      <w:r w:rsidRPr="009E06AA">
        <w:rPr>
          <w:i/>
          <w:iCs/>
        </w:rPr>
        <w:t>Cropland</w:t>
      </w:r>
      <w:r w:rsidRPr="009E06AA">
        <w:t xml:space="preserve"> are reported under the Agriculture sector and reported within 3.F.</w:t>
      </w:r>
    </w:p>
    <w:p w14:paraId="321581A9" w14:textId="77777777" w:rsidR="00053418" w:rsidRPr="009E06AA" w:rsidRDefault="00053418" w:rsidP="00053418">
      <w:pPr>
        <w:pStyle w:val="BodyText"/>
        <w:spacing w:after="100"/>
      </w:pPr>
      <w:r w:rsidRPr="009E06AA">
        <w:rPr>
          <w:spacing w:val="-2"/>
        </w:rPr>
        <w:t>Both CO and NO</w:t>
      </w:r>
      <w:r w:rsidRPr="009E06AA">
        <w:rPr>
          <w:spacing w:val="-2"/>
          <w:vertAlign w:val="subscript"/>
        </w:rPr>
        <w:t>x</w:t>
      </w:r>
      <w:r w:rsidRPr="009E06AA">
        <w:rPr>
          <w:spacing w:val="-2"/>
        </w:rPr>
        <w:t xml:space="preserve"> are also released from biomass burning and are reported in relevant aggregat</w:t>
      </w:r>
      <w:r w:rsidRPr="009E06AA">
        <w:t>e land use categories. Carbon monoxide and NO</w:t>
      </w:r>
      <w:r w:rsidRPr="009E06AA">
        <w:rPr>
          <w:spacing w:val="-2"/>
          <w:vertAlign w:val="subscript"/>
        </w:rPr>
        <w:t>x</w:t>
      </w:r>
      <w:r w:rsidRPr="009E06AA">
        <w:t xml:space="preserve"> emissions from biomass burning are captured as part of the biomass burning model and reported in the CRTs.</w:t>
      </w:r>
    </w:p>
    <w:p w14:paraId="7E1C0A3B" w14:textId="77777777" w:rsidR="00053418" w:rsidRPr="009E06AA" w:rsidRDefault="00053418" w:rsidP="00053418">
      <w:pPr>
        <w:pStyle w:val="BodyText"/>
      </w:pPr>
      <w:r w:rsidRPr="009E06AA">
        <w:t>Controlled burning emissions are reported within:</w:t>
      </w:r>
    </w:p>
    <w:p w14:paraId="14C17179" w14:textId="77777777" w:rsidR="00053418" w:rsidRPr="009E06AA" w:rsidRDefault="00053418" w:rsidP="00053418">
      <w:pPr>
        <w:pStyle w:val="Bullet"/>
        <w:numPr>
          <w:ilvl w:val="0"/>
          <w:numId w:val="29"/>
        </w:numPr>
        <w:spacing w:after="100"/>
        <w:ind w:left="397" w:hanging="397"/>
      </w:pPr>
      <w:r w:rsidRPr="009E06AA">
        <w:rPr>
          <w:i/>
          <w:iCs/>
        </w:rPr>
        <w:t>Grassland</w:t>
      </w:r>
      <w:r w:rsidRPr="009E06AA">
        <w:t xml:space="preserve"> converted to</w:t>
      </w:r>
      <w:r w:rsidRPr="009E06AA">
        <w:rPr>
          <w:i/>
          <w:iCs/>
        </w:rPr>
        <w:t xml:space="preserve"> Forest land </w:t>
      </w:r>
      <w:r w:rsidRPr="009E06AA">
        <w:t>(due to site preparation for conversion)</w:t>
      </w:r>
    </w:p>
    <w:p w14:paraId="5C2AE222" w14:textId="77777777" w:rsidR="00053418" w:rsidRPr="009E06AA" w:rsidRDefault="00053418" w:rsidP="00053418">
      <w:pPr>
        <w:pStyle w:val="Bullet"/>
        <w:numPr>
          <w:ilvl w:val="0"/>
          <w:numId w:val="29"/>
        </w:numPr>
        <w:spacing w:after="100"/>
        <w:ind w:left="397" w:hanging="397"/>
      </w:pPr>
      <w:r w:rsidRPr="009E06AA">
        <w:rPr>
          <w:i/>
          <w:iCs/>
        </w:rPr>
        <w:t>Forest land remaining forest land</w:t>
      </w:r>
      <w:r w:rsidRPr="009E06AA">
        <w:t xml:space="preserve"> (from the clearing of vegetation (natural forest) before the establishment of exotic planted forest and the burning of post-harvest slash before restocking)</w:t>
      </w:r>
    </w:p>
    <w:p w14:paraId="74320E83" w14:textId="77777777" w:rsidR="00053418" w:rsidRPr="009E06AA" w:rsidRDefault="00053418" w:rsidP="00053418">
      <w:pPr>
        <w:pStyle w:val="Bullet"/>
        <w:numPr>
          <w:ilvl w:val="0"/>
          <w:numId w:val="29"/>
        </w:numPr>
        <w:spacing w:after="100"/>
        <w:ind w:left="397" w:hanging="397"/>
      </w:pPr>
      <w:r w:rsidRPr="009E06AA">
        <w:rPr>
          <w:i/>
          <w:iCs/>
        </w:rPr>
        <w:t xml:space="preserve">Forest land </w:t>
      </w:r>
      <w:r w:rsidRPr="009E06AA">
        <w:t xml:space="preserve">converted to </w:t>
      </w:r>
      <w:r w:rsidRPr="009E06AA">
        <w:rPr>
          <w:i/>
          <w:iCs/>
        </w:rPr>
        <w:t>Grassland</w:t>
      </w:r>
      <w:r w:rsidRPr="009E06AA">
        <w:t xml:space="preserve"> (from controlled burning associated with deforestation) </w:t>
      </w:r>
    </w:p>
    <w:p w14:paraId="3F63A177" w14:textId="77777777" w:rsidR="00053418" w:rsidRPr="009E06AA" w:rsidRDefault="00053418" w:rsidP="00053418">
      <w:pPr>
        <w:pStyle w:val="Bullet"/>
        <w:numPr>
          <w:ilvl w:val="0"/>
          <w:numId w:val="29"/>
        </w:numPr>
        <w:ind w:left="397" w:hanging="397"/>
      </w:pPr>
      <w:r w:rsidRPr="009E06AA">
        <w:rPr>
          <w:i/>
          <w:iCs/>
        </w:rPr>
        <w:t>Grassland remaining grassland</w:t>
      </w:r>
      <w:r w:rsidRPr="009E06AA">
        <w:t xml:space="preserve"> (due to savanna (tussock) and pastureland management practices).</w:t>
      </w:r>
    </w:p>
    <w:p w14:paraId="6C361F08" w14:textId="77777777" w:rsidR="00053418" w:rsidRPr="009E06AA" w:rsidRDefault="00053418" w:rsidP="00053418">
      <w:pPr>
        <w:pStyle w:val="BodyText"/>
      </w:pPr>
      <w:r w:rsidRPr="009E06AA">
        <w:t>Emissions of CO</w:t>
      </w:r>
      <w:r w:rsidRPr="009E06AA">
        <w:rPr>
          <w:vertAlign w:val="subscript"/>
        </w:rPr>
        <w:t>2</w:t>
      </w:r>
      <w:r w:rsidRPr="009E06AA">
        <w:t xml:space="preserve"> from wildfires in </w:t>
      </w:r>
      <w:r w:rsidRPr="009E06AA">
        <w:rPr>
          <w:i/>
        </w:rPr>
        <w:t>Forest land remaining forest land</w:t>
      </w:r>
      <w:r w:rsidRPr="009E06AA">
        <w:t xml:space="preserve"> are included in the general stock change calculation. In </w:t>
      </w:r>
      <w:r w:rsidRPr="009E06AA">
        <w:rPr>
          <w:i/>
        </w:rPr>
        <w:t>Forest land remaining forest land</w:t>
      </w:r>
      <w:r w:rsidRPr="009E06AA">
        <w:t>, burned stands are either harvested (so emissions are included with the harvesting emissions) or left to grow on at reduced stocking. Carbon dioxide emissions are reported when the stand is harvested or deforested (with no reduction in stock when compared with an unburned stand). For both natural and planted forests, emissions from areas burned are captured within the forest plot networks that New Zealand uses to estimate carbon stock change. In these cases, to avoid double counting of CO</w:t>
      </w:r>
      <w:r w:rsidRPr="009E06AA">
        <w:rPr>
          <w:vertAlign w:val="subscript"/>
        </w:rPr>
        <w:t>2</w:t>
      </w:r>
      <w:r w:rsidRPr="009E06AA">
        <w:t xml:space="preserve"> emissions, the notation key IE is used.</w:t>
      </w:r>
    </w:p>
    <w:p w14:paraId="735156B6" w14:textId="77777777" w:rsidR="00053418" w:rsidRPr="009E06AA" w:rsidRDefault="00053418" w:rsidP="00053418">
      <w:pPr>
        <w:pStyle w:val="BodyText"/>
        <w:spacing w:before="100" w:after="100"/>
      </w:pPr>
      <w:r w:rsidRPr="009E06AA">
        <w:t xml:space="preserve">Wildfire activity data are sourced from Fire and Emergency New Zealand (FENZ). Historically, burned areas were estimated and allocated by field staff to vegetation types: grass, tussock, gorse, scrub, wetland, plantation forest and indigenous forest. The process (since 2017) now involves mapping the burn area. This area is overlaid on the 2020 land use map to determine what type of land cover has been burned. </w:t>
      </w:r>
    </w:p>
    <w:p w14:paraId="12787809" w14:textId="77777777" w:rsidR="00053418" w:rsidRPr="009E06AA" w:rsidRDefault="00053418" w:rsidP="00053418">
      <w:pPr>
        <w:pStyle w:val="BodyText"/>
        <w:spacing w:before="100" w:after="100"/>
        <w:rPr>
          <w:rFonts w:cs="Courier New"/>
        </w:rPr>
      </w:pPr>
      <w:r w:rsidRPr="009E06AA">
        <w:t xml:space="preserve">Activity data for controlled burning for </w:t>
      </w:r>
      <w:r w:rsidRPr="009E06AA">
        <w:rPr>
          <w:i/>
        </w:rPr>
        <w:t>Forest land</w:t>
      </w:r>
      <w:r w:rsidRPr="009E06AA">
        <w:t xml:space="preserve"> are estimated based on a 2011 survey of forest owners (Wakelin, unpublished(d)). Activity data (area of land-use change) for </w:t>
      </w:r>
      <w:r w:rsidRPr="009E06AA">
        <w:rPr>
          <w:i/>
          <w:iCs/>
        </w:rPr>
        <w:t>Grassland with woody biomass</w:t>
      </w:r>
      <w:r w:rsidRPr="009E06AA">
        <w:t xml:space="preserve"> converted to forest are based on annual land-use changes, as estimated in section 6.2, and an estimate of area burned from a survey of forest owners. Earlier estimates of controlled burning in planted forest (Forest Industry Training and Education Council, 2005; Robertson, 1998) were used, in addition to the 2011 survey, to provide activity data throughout the time series. Further details of the survey findings and extrapolation can be found in annex A5.2.7.</w:t>
      </w:r>
    </w:p>
    <w:p w14:paraId="32A1A4BF" w14:textId="77777777" w:rsidR="00053418" w:rsidRPr="009E06AA" w:rsidRDefault="00053418" w:rsidP="00053418">
      <w:pPr>
        <w:pStyle w:val="BodyText"/>
        <w:spacing w:before="100" w:after="100"/>
      </w:pPr>
      <w:r w:rsidRPr="009E06AA">
        <w:t>Activity data are combined with emission factors derived from the national forest plot network (see table 6.4.8) to estimate non-CO</w:t>
      </w:r>
      <w:r w:rsidRPr="009E06AA">
        <w:rPr>
          <w:vertAlign w:val="subscript"/>
        </w:rPr>
        <w:t>2</w:t>
      </w:r>
      <w:r w:rsidRPr="009E06AA">
        <w:t xml:space="preserve"> emissions from burning associated with the clearing of vegetation before the establishment of exotic planted forest. Below-ground biomass is assumed not to burn. Further detailed information on the methodology applied can be found in annex A5.2.7.</w:t>
      </w:r>
    </w:p>
    <w:p w14:paraId="7E3A050E" w14:textId="77777777" w:rsidR="00053418" w:rsidRPr="009E06AA" w:rsidRDefault="00053418" w:rsidP="00053418">
      <w:pPr>
        <w:pStyle w:val="BodyText"/>
        <w:spacing w:before="100" w:after="100"/>
      </w:pPr>
      <w:r w:rsidRPr="009E06AA">
        <w:rPr>
          <w:i/>
        </w:rPr>
        <w:t>Biomass burning</w:t>
      </w:r>
      <w:r w:rsidRPr="009E06AA">
        <w:t xml:space="preserve"> is not a key category for New Zealand.</w:t>
      </w:r>
    </w:p>
    <w:p w14:paraId="12E0E9D7" w14:textId="77777777" w:rsidR="00053418" w:rsidRPr="009E06AA" w:rsidRDefault="00053418" w:rsidP="00053418">
      <w:pPr>
        <w:pStyle w:val="Heading4"/>
        <w:spacing w:before="200"/>
      </w:pPr>
      <w:bookmarkStart w:id="2721" w:name="_Toc232906997"/>
      <w:bookmarkStart w:id="2722" w:name="_Toc255466321"/>
      <w:bookmarkStart w:id="2723" w:name="_Toc261513128"/>
      <w:bookmarkStart w:id="2724" w:name="_Toc261513741"/>
      <w:bookmarkStart w:id="2725" w:name="_Toc280630367"/>
      <w:r w:rsidRPr="009E06AA">
        <w:t>Uncertainties and time-series consistency</w:t>
      </w:r>
      <w:bookmarkEnd w:id="2721"/>
      <w:bookmarkEnd w:id="2722"/>
      <w:bookmarkEnd w:id="2723"/>
      <w:bookmarkEnd w:id="2724"/>
      <w:bookmarkEnd w:id="2725"/>
    </w:p>
    <w:p w14:paraId="5977AB68" w14:textId="77777777" w:rsidR="00053418" w:rsidRPr="009E06AA" w:rsidRDefault="00053418" w:rsidP="00053418">
      <w:pPr>
        <w:pStyle w:val="BodyText"/>
        <w:spacing w:before="60" w:after="100"/>
      </w:pPr>
      <w:r w:rsidRPr="009E06AA">
        <w:t>The uncertainty in CH</w:t>
      </w:r>
      <w:r w:rsidRPr="009E06AA">
        <w:rPr>
          <w:vertAlign w:val="subscript"/>
        </w:rPr>
        <w:t>4</w:t>
      </w:r>
      <w:r w:rsidRPr="009E06AA">
        <w:t xml:space="preserve"> and N</w:t>
      </w:r>
      <w:r w:rsidRPr="009E06AA">
        <w:rPr>
          <w:vertAlign w:val="subscript"/>
        </w:rPr>
        <w:t>2</w:t>
      </w:r>
      <w:r w:rsidRPr="009E06AA">
        <w:t xml:space="preserve">O net emissions from </w:t>
      </w:r>
      <w:r w:rsidRPr="009E06AA">
        <w:rPr>
          <w:i/>
        </w:rPr>
        <w:t>Biomass burning</w:t>
      </w:r>
      <w:r w:rsidRPr="009E06AA">
        <w:t xml:space="preserve"> was 51.4 per cent in 2022. Emissions from </w:t>
      </w:r>
      <w:r w:rsidRPr="009E06AA">
        <w:rPr>
          <w:i/>
        </w:rPr>
        <w:t>Biomass burning</w:t>
      </w:r>
      <w:r w:rsidRPr="009E06AA">
        <w:t xml:space="preserve"> accounted for 0.1 per cent of the net emissions from the LULUCF sector. </w:t>
      </w:r>
    </w:p>
    <w:p w14:paraId="5EF78780" w14:textId="77777777" w:rsidR="00053418" w:rsidRPr="009E06AA" w:rsidRDefault="00053418" w:rsidP="00053418">
      <w:pPr>
        <w:pStyle w:val="BodyText"/>
        <w:spacing w:before="100" w:after="100"/>
      </w:pPr>
      <w:r w:rsidRPr="009E06AA">
        <w:t xml:space="preserve">Time-series consistency is ensured by applying consistent methods and full recalculations in the event of any refinement or improvement to methodology. </w:t>
      </w:r>
    </w:p>
    <w:p w14:paraId="591627B8" w14:textId="77777777" w:rsidR="00053418" w:rsidRPr="009E06AA" w:rsidRDefault="00053418" w:rsidP="00053418">
      <w:pPr>
        <w:pStyle w:val="Heading4"/>
        <w:spacing w:before="200"/>
      </w:pPr>
      <w:bookmarkStart w:id="2726" w:name="_Toc255466322"/>
      <w:bookmarkStart w:id="2727" w:name="_Toc261513129"/>
      <w:bookmarkStart w:id="2728" w:name="_Toc261513742"/>
      <w:bookmarkStart w:id="2729" w:name="_Toc280630368"/>
      <w:r w:rsidRPr="009E06AA">
        <w:t>Category-specific QA/QC and verification</w:t>
      </w:r>
      <w:bookmarkEnd w:id="2726"/>
      <w:bookmarkEnd w:id="2727"/>
      <w:bookmarkEnd w:id="2728"/>
      <w:bookmarkEnd w:id="2729"/>
    </w:p>
    <w:p w14:paraId="41FE9F1A" w14:textId="77777777" w:rsidR="00053418" w:rsidRPr="009E06AA" w:rsidRDefault="00053418" w:rsidP="00053418">
      <w:pPr>
        <w:pStyle w:val="BodyText"/>
        <w:spacing w:before="60" w:after="100"/>
      </w:pPr>
      <w:r w:rsidRPr="009E06AA">
        <w:t xml:space="preserve">Quality-control and quality-assurance measures are applied to the </w:t>
      </w:r>
      <w:r w:rsidRPr="009E06AA">
        <w:rPr>
          <w:i/>
        </w:rPr>
        <w:t>Biomass burning</w:t>
      </w:r>
      <w:r w:rsidRPr="009E06AA">
        <w:t xml:space="preserve"> activity data and emission factors. The biomass burning data set is verified whenever new data are supplied. The </w:t>
      </w:r>
      <w:r w:rsidRPr="009E06AA">
        <w:rPr>
          <w:i/>
        </w:rPr>
        <w:t>Biomass burning</w:t>
      </w:r>
      <w:r w:rsidRPr="009E06AA">
        <w:t xml:space="preserve"> parameters (burning and emission factors), assumptions and data set have been reviewed (Payton and Pearce, 2009; Thomas et al., 2011; Wakelin, unpublished(b), (c), (d), (e); Wakelin et al., unpublished).</w:t>
      </w:r>
    </w:p>
    <w:p w14:paraId="602A7971" w14:textId="77777777" w:rsidR="00053418" w:rsidRPr="009E06AA" w:rsidRDefault="00053418" w:rsidP="00053418">
      <w:pPr>
        <w:pStyle w:val="Heading4"/>
        <w:spacing w:before="200"/>
      </w:pPr>
      <w:bookmarkStart w:id="2730" w:name="_Toc280630369"/>
      <w:bookmarkStart w:id="2731" w:name="_Toc232906999"/>
      <w:bookmarkStart w:id="2732" w:name="_Toc255466323"/>
      <w:bookmarkStart w:id="2733" w:name="_Toc261513130"/>
      <w:bookmarkStart w:id="2734" w:name="_Toc261513743"/>
      <w:r w:rsidRPr="009E06AA">
        <w:t>Category-specific recalculations</w:t>
      </w:r>
      <w:bookmarkEnd w:id="2730"/>
    </w:p>
    <w:p w14:paraId="5881CB73" w14:textId="77777777" w:rsidR="00053418" w:rsidRPr="009E06AA" w:rsidRDefault="00053418" w:rsidP="00053418">
      <w:pPr>
        <w:pStyle w:val="BodyText"/>
        <w:spacing w:before="60" w:after="100"/>
      </w:pPr>
      <w:bookmarkStart w:id="2735" w:name="_Hlk60906729"/>
      <w:r w:rsidRPr="009E06AA">
        <w:t xml:space="preserve">The post-1989 planted forest yield table used in the controlled burning calculations following harvest and deforestation has been updated in this submission (see section 6.4.5 for further details). </w:t>
      </w:r>
    </w:p>
    <w:p w14:paraId="0666EE19" w14:textId="77777777" w:rsidR="00053418" w:rsidRPr="009E06AA" w:rsidRDefault="00053418" w:rsidP="00053418">
      <w:pPr>
        <w:pStyle w:val="BodyText"/>
        <w:spacing w:before="100" w:after="100"/>
      </w:pPr>
      <w:r w:rsidRPr="009E06AA">
        <w:t xml:space="preserve">Wildfire activity data for 2018 to 2022 have been updated for this submission to incorporate mapping of the 2022 wildfire extent and updates have been made to the vegetation classification from the land use map. New estimates for controlled burning in </w:t>
      </w:r>
      <w:r w:rsidRPr="009E06AA">
        <w:rPr>
          <w:i/>
        </w:rPr>
        <w:t>Grassland remaining grassland</w:t>
      </w:r>
      <w:r w:rsidRPr="009E06AA">
        <w:t xml:space="preserve"> have required recalculations across the time series. </w:t>
      </w:r>
    </w:p>
    <w:p w14:paraId="35C8D71A" w14:textId="77777777" w:rsidR="00053418" w:rsidRPr="009E06AA" w:rsidRDefault="00053418" w:rsidP="00053418">
      <w:pPr>
        <w:pStyle w:val="Heading4"/>
        <w:spacing w:before="200"/>
      </w:pPr>
      <w:bookmarkStart w:id="2736" w:name="_Toc280630370"/>
      <w:bookmarkEnd w:id="2735"/>
      <w:r w:rsidRPr="009E06AA">
        <w:t>Category-specific planned improvements</w:t>
      </w:r>
      <w:bookmarkEnd w:id="2731"/>
      <w:bookmarkEnd w:id="2732"/>
      <w:bookmarkEnd w:id="2733"/>
      <w:bookmarkEnd w:id="2734"/>
      <w:bookmarkEnd w:id="2736"/>
    </w:p>
    <w:p w14:paraId="74F0C5C0" w14:textId="77777777" w:rsidR="00053418" w:rsidRPr="009E06AA" w:rsidRDefault="00053418" w:rsidP="00053418">
      <w:pPr>
        <w:pStyle w:val="BodyText"/>
        <w:spacing w:before="60" w:after="0"/>
      </w:pPr>
      <w:r w:rsidRPr="009E06AA">
        <w:t>The assumption that controlled burning of post-harvest residues on afforested land does not occur will be revisited in a future submission, due to the increasing harvest rate in these forests as they reach maturity.</w:t>
      </w:r>
      <w:bookmarkStart w:id="2737" w:name="_Toc414531325"/>
      <w:bookmarkStart w:id="2738" w:name="_Toc474335467"/>
      <w:bookmarkStart w:id="2739" w:name="_Toc481751407"/>
      <w:bookmarkStart w:id="2740" w:name="_Toc522013959"/>
      <w:bookmarkStart w:id="2741" w:name="_Toc5269384"/>
      <w:bookmarkStart w:id="2742" w:name="_Toc36224424"/>
      <w:bookmarkStart w:id="2743" w:name="_Toc131591258"/>
      <w:bookmarkStart w:id="2744" w:name="_Toc158980305"/>
      <w:r w:rsidRPr="009E06AA">
        <w:br w:type="page"/>
      </w:r>
    </w:p>
    <w:p w14:paraId="53DF57A0" w14:textId="77777777" w:rsidR="00053418" w:rsidRPr="009E06AA" w:rsidRDefault="00053418" w:rsidP="00053418">
      <w:pPr>
        <w:pStyle w:val="Heading2"/>
        <w:spacing w:before="0" w:after="480"/>
      </w:pPr>
      <w:bookmarkStart w:id="2745" w:name="_Toc164154213"/>
      <w:r w:rsidRPr="009E06AA">
        <w:t>Chapter 6: References</w:t>
      </w:r>
      <w:bookmarkEnd w:id="2737"/>
      <w:bookmarkEnd w:id="2738"/>
      <w:bookmarkEnd w:id="2739"/>
      <w:bookmarkEnd w:id="2740"/>
      <w:bookmarkEnd w:id="2741"/>
      <w:bookmarkEnd w:id="2742"/>
      <w:bookmarkEnd w:id="2743"/>
      <w:bookmarkEnd w:id="2744"/>
      <w:bookmarkEnd w:id="2745"/>
    </w:p>
    <w:p w14:paraId="3A317F26" w14:textId="77777777" w:rsidR="00053418" w:rsidRPr="009E06AA" w:rsidRDefault="00053418" w:rsidP="00053418">
      <w:pPr>
        <w:pStyle w:val="References"/>
        <w:rPr>
          <w:szCs w:val="20"/>
        </w:rPr>
      </w:pPr>
      <w:r w:rsidRPr="009E06AA">
        <w:rPr>
          <w:szCs w:val="20"/>
        </w:rPr>
        <w:t>Arnst E, Vickers S. Unpublished. Natural Forest Plot Data Corrections 2022–2023. Contract report LC4306 prepared for the Ministry for the Environment by Manaaki Whenua Landcare Research New Zealand Ltd</w:t>
      </w:r>
      <w:r w:rsidRPr="009E06AA" w:rsidDel="00D309F3">
        <w:rPr>
          <w:szCs w:val="20"/>
        </w:rPr>
        <w:t xml:space="preserve"> </w:t>
      </w:r>
      <w:r w:rsidRPr="009E06AA">
        <w:rPr>
          <w:szCs w:val="20"/>
        </w:rPr>
        <w:t>in 2023.</w:t>
      </w:r>
    </w:p>
    <w:p w14:paraId="17E7AF78" w14:textId="77777777" w:rsidR="00053418" w:rsidRPr="009E06AA" w:rsidRDefault="00053418" w:rsidP="00053418">
      <w:pPr>
        <w:pStyle w:val="References"/>
        <w:rPr>
          <w:szCs w:val="20"/>
        </w:rPr>
      </w:pPr>
      <w:r w:rsidRPr="009E06AA">
        <w:rPr>
          <w:szCs w:val="20"/>
        </w:rPr>
        <w:t>Beets PN. Unpublished. Carbon Fraction of Radiata Pine Biomass Components. Contract report prepared for the Ministry for the Environment by New Zealand Forest Research Institute Ltd (trading as Scion) in 2017.</w:t>
      </w:r>
    </w:p>
    <w:p w14:paraId="2E436031" w14:textId="77777777" w:rsidR="00053418" w:rsidRPr="009E06AA" w:rsidRDefault="00053418" w:rsidP="00053418">
      <w:pPr>
        <w:pStyle w:val="References"/>
        <w:rPr>
          <w:szCs w:val="20"/>
        </w:rPr>
      </w:pPr>
      <w:r w:rsidRPr="009E06AA">
        <w:rPr>
          <w:szCs w:val="20"/>
        </w:rPr>
        <w:t>Clarkson B. Unpublished. Peat Extraction in New Zealand Wetlands. Contract report LC2710 prepared for the Ministry for the Environment by Landcare Research New Zealand Ltd</w:t>
      </w:r>
      <w:r w:rsidRPr="009E06AA" w:rsidDel="00D309F3">
        <w:rPr>
          <w:szCs w:val="20"/>
        </w:rPr>
        <w:t xml:space="preserve"> </w:t>
      </w:r>
      <w:r w:rsidRPr="009E06AA">
        <w:rPr>
          <w:szCs w:val="20"/>
        </w:rPr>
        <w:t>in 2016.</w:t>
      </w:r>
    </w:p>
    <w:p w14:paraId="69CE0A38" w14:textId="77777777" w:rsidR="00053418" w:rsidRPr="009E06AA" w:rsidRDefault="00053418" w:rsidP="00053418">
      <w:pPr>
        <w:pStyle w:val="References"/>
        <w:rPr>
          <w:szCs w:val="20"/>
        </w:rPr>
      </w:pPr>
      <w:r w:rsidRPr="009E06AA">
        <w:rPr>
          <w:szCs w:val="20"/>
        </w:rPr>
        <w:t xml:space="preserve">Davis MR, Wakelin SJ. Unpublished. </w:t>
      </w:r>
      <w:r w:rsidRPr="009E06AA">
        <w:rPr>
          <w:iCs/>
          <w:szCs w:val="20"/>
        </w:rPr>
        <w:t>Perennial Cropland Biomass: Sampling Requirements</w:t>
      </w:r>
      <w:r w:rsidRPr="009E06AA">
        <w:rPr>
          <w:szCs w:val="20"/>
        </w:rPr>
        <w:t>. Contract report prepared for the Ministry for the Environment by New Zealand Forest Research Institute Limited (trading as Scion).</w:t>
      </w:r>
    </w:p>
    <w:p w14:paraId="206AFF0E" w14:textId="77777777" w:rsidR="00053418" w:rsidRPr="009E06AA" w:rsidRDefault="00053418" w:rsidP="00053418">
      <w:pPr>
        <w:pStyle w:val="References"/>
        <w:rPr>
          <w:szCs w:val="20"/>
        </w:rPr>
      </w:pPr>
      <w:r w:rsidRPr="009E06AA">
        <w:rPr>
          <w:szCs w:val="20"/>
        </w:rPr>
        <w:t xml:space="preserve">Easdale TA, Richardson SJ, Marden M, England JR, Gayoso-Aguilar J, Guerra-Carcamo JE, Brandon AM. 2019. Root biomass allocation in southern temperate forests. </w:t>
      </w:r>
      <w:r w:rsidRPr="009E06AA">
        <w:rPr>
          <w:i/>
          <w:iCs/>
          <w:szCs w:val="20"/>
        </w:rPr>
        <w:t>Forest Ecology and Management</w:t>
      </w:r>
      <w:r w:rsidRPr="009E06AA">
        <w:rPr>
          <w:szCs w:val="20"/>
        </w:rPr>
        <w:t xml:space="preserve"> 453: 117542. </w:t>
      </w:r>
    </w:p>
    <w:p w14:paraId="43C78777" w14:textId="77777777" w:rsidR="00053418" w:rsidRPr="009E06AA" w:rsidRDefault="00053418" w:rsidP="00053418">
      <w:pPr>
        <w:pStyle w:val="References"/>
        <w:rPr>
          <w:szCs w:val="20"/>
        </w:rPr>
      </w:pPr>
      <w:r w:rsidRPr="009E06AA">
        <w:rPr>
          <w:szCs w:val="20"/>
        </w:rPr>
        <w:t>Easdale TA, Burge OR, Wiser S, Richardson SJ. Unpublished. Carbon Assessment of Wetland Vegetation. Contract report LC4173 prepared for the Ministry for the Environment by Landcare Research New Zealand Ltd in 2022.</w:t>
      </w:r>
    </w:p>
    <w:p w14:paraId="58A4AFBA" w14:textId="77777777" w:rsidR="00053418" w:rsidRPr="009E06AA" w:rsidRDefault="00053418" w:rsidP="00053418">
      <w:pPr>
        <w:pStyle w:val="References"/>
        <w:rPr>
          <w:rFonts w:asciiTheme="minorHAnsi" w:hAnsiTheme="minorHAnsi" w:cstheme="minorHAnsi"/>
          <w:szCs w:val="20"/>
        </w:rPr>
      </w:pPr>
      <w:r w:rsidRPr="009E06AA">
        <w:rPr>
          <w:rFonts w:asciiTheme="minorHAnsi" w:hAnsiTheme="minorHAnsi" w:cstheme="minorHAnsi"/>
          <w:color w:val="222222"/>
          <w:szCs w:val="20"/>
          <w:shd w:val="clear" w:color="auto" w:fill="FFFFFF"/>
        </w:rPr>
        <w:t>Ewers RM, Kliskey AD, Walker S, Rutledge D, Harding JS, Didham RK. 2006. Past and future trajectories of forest loss in New Zealand</w:t>
      </w:r>
      <w:r w:rsidRPr="009E06AA">
        <w:rPr>
          <w:rFonts w:asciiTheme="minorHAnsi" w:hAnsiTheme="minorHAnsi" w:cstheme="minorHAnsi"/>
          <w:i/>
          <w:iCs/>
          <w:color w:val="222222"/>
          <w:szCs w:val="20"/>
          <w:shd w:val="clear" w:color="auto" w:fill="FFFFFF"/>
        </w:rPr>
        <w:t>.</w:t>
      </w:r>
      <w:r w:rsidRPr="009E06AA">
        <w:rPr>
          <w:rFonts w:asciiTheme="minorHAnsi" w:hAnsiTheme="minorHAnsi" w:cstheme="minorHAnsi"/>
          <w:color w:val="222222"/>
          <w:szCs w:val="20"/>
          <w:shd w:val="clear" w:color="auto" w:fill="FFFFFF"/>
        </w:rPr>
        <w:t> </w:t>
      </w:r>
      <w:r w:rsidRPr="009E06AA">
        <w:rPr>
          <w:rFonts w:asciiTheme="minorHAnsi" w:hAnsiTheme="minorHAnsi" w:cstheme="minorHAnsi"/>
          <w:i/>
          <w:iCs/>
          <w:color w:val="222222"/>
          <w:szCs w:val="20"/>
          <w:shd w:val="clear" w:color="auto" w:fill="FFFFFF"/>
        </w:rPr>
        <w:t>Biological Conservation</w:t>
      </w:r>
      <w:r w:rsidRPr="009E06AA">
        <w:rPr>
          <w:rFonts w:asciiTheme="minorHAnsi" w:hAnsiTheme="minorHAnsi" w:cstheme="minorHAnsi"/>
          <w:color w:val="222222"/>
          <w:szCs w:val="20"/>
          <w:shd w:val="clear" w:color="auto" w:fill="FFFFFF"/>
        </w:rPr>
        <w:t> 133(3): 312–325.</w:t>
      </w:r>
      <w:r w:rsidRPr="009E06AA">
        <w:rPr>
          <w:rFonts w:asciiTheme="minorHAnsi" w:hAnsiTheme="minorHAnsi" w:cstheme="minorHAnsi"/>
          <w:szCs w:val="20"/>
        </w:rPr>
        <w:t xml:space="preserve"> </w:t>
      </w:r>
    </w:p>
    <w:p w14:paraId="40F6680F" w14:textId="77777777" w:rsidR="00053418" w:rsidRPr="009E06AA" w:rsidRDefault="00053418" w:rsidP="00053418">
      <w:pPr>
        <w:pStyle w:val="References"/>
        <w:rPr>
          <w:szCs w:val="20"/>
        </w:rPr>
      </w:pPr>
      <w:r w:rsidRPr="009E06AA">
        <w:rPr>
          <w:szCs w:val="20"/>
        </w:rPr>
        <w:t xml:space="preserve">Food and Agriculture Organization of the United Nations. 2019. </w:t>
      </w:r>
      <w:hyperlink r:id="rId149" w:history="1">
        <w:r w:rsidRPr="009E06AA">
          <w:rPr>
            <w:rStyle w:val="Hyperlink"/>
            <w:i/>
            <w:iCs/>
            <w:szCs w:val="20"/>
          </w:rPr>
          <w:t>FAO Yearbook of Forest Products 2019</w:t>
        </w:r>
      </w:hyperlink>
      <w:r w:rsidRPr="009E06AA">
        <w:rPr>
          <w:szCs w:val="20"/>
        </w:rPr>
        <w:t xml:space="preserve">. Rome: Food and Agriculture Organization of the United Nations. Retrieved 16 November 2021. </w:t>
      </w:r>
    </w:p>
    <w:p w14:paraId="4802DA18" w14:textId="77777777" w:rsidR="00053418" w:rsidRPr="009E06AA" w:rsidRDefault="00053418" w:rsidP="00053418">
      <w:pPr>
        <w:pStyle w:val="References"/>
        <w:rPr>
          <w:szCs w:val="20"/>
        </w:rPr>
      </w:pPr>
      <w:r w:rsidRPr="009E06AA">
        <w:rPr>
          <w:szCs w:val="20"/>
        </w:rPr>
        <w:t xml:space="preserve">Forest Industry Training and Education Council. 2005. </w:t>
      </w:r>
      <w:r w:rsidRPr="009E06AA">
        <w:rPr>
          <w:i/>
          <w:iCs/>
          <w:szCs w:val="20"/>
        </w:rPr>
        <w:t>Best Practice Guidelines for Land Preparation</w:t>
      </w:r>
      <w:r w:rsidRPr="009E06AA">
        <w:rPr>
          <w:szCs w:val="20"/>
        </w:rPr>
        <w:t>. Revised edn. Rotorua: Forest Industry Training and Education Council.</w:t>
      </w:r>
    </w:p>
    <w:p w14:paraId="3075B1F9" w14:textId="77777777" w:rsidR="00053418" w:rsidRPr="009E06AA" w:rsidRDefault="00053418" w:rsidP="00053418">
      <w:pPr>
        <w:pStyle w:val="References"/>
        <w:rPr>
          <w:szCs w:val="20"/>
        </w:rPr>
      </w:pPr>
      <w:r w:rsidRPr="009E06AA">
        <w:rPr>
          <w:szCs w:val="20"/>
        </w:rPr>
        <w:t xml:space="preserve">Garrett LG. Unpublished. </w:t>
      </w:r>
      <w:r w:rsidRPr="009E06AA">
        <w:rPr>
          <w:iCs/>
          <w:szCs w:val="20"/>
        </w:rPr>
        <w:t>Natural Forests Soils: Data Checking and Carbon Content of the Mineral Soil</w:t>
      </w:r>
      <w:r w:rsidRPr="009E06AA">
        <w:rPr>
          <w:szCs w:val="20"/>
        </w:rPr>
        <w:t>. Contract report prepared for the Ministry for the Environment by New Zealand Forest Research Institute Ltd (trading as Scion).</w:t>
      </w:r>
    </w:p>
    <w:p w14:paraId="2E395C79" w14:textId="77777777" w:rsidR="00053418" w:rsidRPr="009E06AA" w:rsidRDefault="00053418" w:rsidP="00053418">
      <w:pPr>
        <w:pStyle w:val="References"/>
        <w:rPr>
          <w:iCs/>
          <w:szCs w:val="20"/>
        </w:rPr>
      </w:pPr>
      <w:r w:rsidRPr="009E06AA">
        <w:rPr>
          <w:szCs w:val="20"/>
        </w:rPr>
        <w:t xml:space="preserve">Garrett LG, Kimberley MO, Oliver GR, Parks M, Pearce SH, Beets PN, Paul TSH. 2019. Decay rates of above- and below-ground coarse woody debris of common tree species in New Zealand’s natural forest. </w:t>
      </w:r>
      <w:r w:rsidRPr="009E06AA">
        <w:rPr>
          <w:i/>
          <w:szCs w:val="20"/>
        </w:rPr>
        <w:t xml:space="preserve">Forest Ecology and Management </w:t>
      </w:r>
      <w:r w:rsidRPr="009E06AA">
        <w:rPr>
          <w:szCs w:val="20"/>
        </w:rPr>
        <w:t>438: 96–102.</w:t>
      </w:r>
      <w:r w:rsidRPr="009E06AA">
        <w:rPr>
          <w:i/>
          <w:szCs w:val="20"/>
        </w:rPr>
        <w:t xml:space="preserve"> </w:t>
      </w:r>
    </w:p>
    <w:p w14:paraId="699D5E94" w14:textId="77777777" w:rsidR="00053418" w:rsidRPr="009E06AA" w:rsidRDefault="00053418" w:rsidP="00053418">
      <w:pPr>
        <w:pStyle w:val="References"/>
        <w:rPr>
          <w:szCs w:val="20"/>
        </w:rPr>
      </w:pPr>
      <w:r w:rsidRPr="009E06AA">
        <w:rPr>
          <w:szCs w:val="20"/>
        </w:rPr>
        <w:t xml:space="preserve">Hunter G, McNeill S. Unpublished. </w:t>
      </w:r>
      <w:r w:rsidRPr="009E06AA">
        <w:rPr>
          <w:iCs/>
          <w:szCs w:val="20"/>
        </w:rPr>
        <w:t>Review of LUCAS Land Use Backcasting 1962–1989.</w:t>
      </w:r>
      <w:r w:rsidRPr="009E06AA">
        <w:rPr>
          <w:szCs w:val="20"/>
        </w:rPr>
        <w:t xml:space="preserve"> Contract report prepared for the Ministry for the Environment by Landcare Research New Zealand Ltd in 2010.</w:t>
      </w:r>
    </w:p>
    <w:p w14:paraId="55423EB0" w14:textId="77777777" w:rsidR="00053418" w:rsidRPr="009E06AA" w:rsidRDefault="00053418" w:rsidP="00053418">
      <w:pPr>
        <w:pStyle w:val="References"/>
        <w:rPr>
          <w:szCs w:val="20"/>
        </w:rPr>
      </w:pPr>
      <w:r w:rsidRPr="009E06AA">
        <w:rPr>
          <w:szCs w:val="20"/>
        </w:rPr>
        <w:t xml:space="preserve">IPCC. 2006a. Eggleston HS, Buendia L, Miwa K, Ngara T, Tanabe K (eds). </w:t>
      </w:r>
      <w:r w:rsidRPr="009E06AA">
        <w:rPr>
          <w:i/>
          <w:szCs w:val="20"/>
        </w:rPr>
        <w:t xml:space="preserve">2006 IPCC Guidelines for National Greenhouse Gas Inventories. Volume 4. Agriculture, Forestry and Other Land Use. </w:t>
      </w:r>
      <w:r w:rsidRPr="009E06AA">
        <w:rPr>
          <w:szCs w:val="20"/>
        </w:rPr>
        <w:t>IPCC National Greenhouse Gas Inventories Programme. Japan: Institute for Global Environmental Strategies for IPCC.</w:t>
      </w:r>
    </w:p>
    <w:p w14:paraId="696BC77E" w14:textId="77777777" w:rsidR="00053418" w:rsidRPr="009E06AA" w:rsidRDefault="00053418" w:rsidP="00053418">
      <w:pPr>
        <w:pStyle w:val="References"/>
        <w:rPr>
          <w:szCs w:val="20"/>
        </w:rPr>
      </w:pPr>
      <w:r w:rsidRPr="009E06AA">
        <w:rPr>
          <w:szCs w:val="20"/>
        </w:rPr>
        <w:t xml:space="preserve">IPCC. 2006b. Eggleston HS, Buendia L, Miwa K, Ngara T, Tanabe K (eds). </w:t>
      </w:r>
      <w:r w:rsidRPr="009E06AA">
        <w:rPr>
          <w:i/>
          <w:iCs/>
          <w:szCs w:val="20"/>
        </w:rPr>
        <w:t>General Guidance and Reporting</w:t>
      </w:r>
      <w:r w:rsidRPr="009E06AA">
        <w:rPr>
          <w:szCs w:val="20"/>
        </w:rPr>
        <w:t xml:space="preserve">. </w:t>
      </w:r>
      <w:r w:rsidRPr="009E06AA">
        <w:rPr>
          <w:i/>
          <w:szCs w:val="20"/>
        </w:rPr>
        <w:t xml:space="preserve">Volume 1. </w:t>
      </w:r>
      <w:r w:rsidRPr="009E06AA">
        <w:rPr>
          <w:szCs w:val="20"/>
        </w:rPr>
        <w:t>Japan: Institute for Global Environmental Strategies for IPCC.</w:t>
      </w:r>
    </w:p>
    <w:p w14:paraId="66D119A4" w14:textId="77777777" w:rsidR="00053418" w:rsidRPr="009E06AA" w:rsidRDefault="00053418" w:rsidP="00053418">
      <w:pPr>
        <w:pStyle w:val="References"/>
      </w:pPr>
      <w:r w:rsidRPr="009E06AA">
        <w:t xml:space="preserve">IPCC. 2007. Forster P, Ramaswamy V, Artaxo P, Berntsen T, Betts R, Fahey DW, Haywood J, Lean J, Lowe DC, Myhre G, Nganga J, Prinn R, Raga G, Schulz M, Van Dorland R. Changes in Atmospheric Constituents and in Radiative Forcing. In: S Solomon, D Qin, M Manning, Z Chen, M Marquis, KB Averyt, M Tignor and HL Miller (eds) Climate Change 2007: The Physical Science Basis. Contribution of Working Group I to the Fourth Assessment Report of the Intergovernmental Panel on Climate Change. Cambridge: Cambridge University Press. </w:t>
      </w:r>
    </w:p>
    <w:p w14:paraId="7ED1A5DB" w14:textId="77777777" w:rsidR="00053418" w:rsidRPr="009E06AA" w:rsidRDefault="00053418" w:rsidP="00053418">
      <w:pPr>
        <w:pStyle w:val="References"/>
      </w:pPr>
      <w:r w:rsidRPr="009E06AA">
        <w:t xml:space="preserve">IPCC. 2013. Stocker TF, Qin D, Plattner G-K, Tignor M, Allen SK, Boschung J, Nauels A, Xia Y, Bex V, Midgley PM (eds). </w:t>
      </w:r>
      <w:r w:rsidRPr="009E06AA">
        <w:rPr>
          <w:i/>
          <w:iCs/>
        </w:rPr>
        <w:t>Climate Change 2013: The Physical Science Basis. Contribution of Working Group I to the Fifth Assessment Report of the Intergovernmental Panel on Climate Change</w:t>
      </w:r>
      <w:r w:rsidRPr="009E06AA">
        <w:t xml:space="preserve">. Cambridge: Cambridge University Press. </w:t>
      </w:r>
    </w:p>
    <w:p w14:paraId="4BD4B75F" w14:textId="77777777" w:rsidR="00053418" w:rsidRPr="009E06AA" w:rsidRDefault="00053418" w:rsidP="00053418">
      <w:pPr>
        <w:pStyle w:val="References"/>
        <w:rPr>
          <w:szCs w:val="20"/>
        </w:rPr>
      </w:pPr>
      <w:r w:rsidRPr="009E06AA">
        <w:rPr>
          <w:szCs w:val="20"/>
        </w:rPr>
        <w:t xml:space="preserve">IPCC. 2014. Hiraishi T, Krug T, Tanabe K, Srivastava N, Baasansuren J, Fukuda M, Troxler TG (eds). </w:t>
      </w:r>
      <w:r w:rsidRPr="009E06AA">
        <w:rPr>
          <w:i/>
          <w:iCs/>
          <w:szCs w:val="20"/>
        </w:rPr>
        <w:t>2013 Revised Supplementary Methods and Good Practice Guidance Arising from the Kyoto Protocol</w:t>
      </w:r>
      <w:r w:rsidRPr="009E06AA">
        <w:rPr>
          <w:szCs w:val="20"/>
        </w:rPr>
        <w:t>. Switzerland: IPCC.</w:t>
      </w:r>
    </w:p>
    <w:p w14:paraId="3A8B983F" w14:textId="77777777" w:rsidR="00053418" w:rsidRPr="009E06AA" w:rsidRDefault="00053418" w:rsidP="00053418">
      <w:pPr>
        <w:pStyle w:val="References"/>
        <w:rPr>
          <w:szCs w:val="20"/>
        </w:rPr>
      </w:pPr>
      <w:r w:rsidRPr="009E06AA">
        <w:rPr>
          <w:szCs w:val="20"/>
        </w:rPr>
        <w:t xml:space="preserve">Jones T. 2005. Wood properties of commercial tree species. In: M Colley (ed.) </w:t>
      </w:r>
      <w:r w:rsidRPr="009E06AA">
        <w:rPr>
          <w:i/>
          <w:iCs/>
          <w:szCs w:val="20"/>
        </w:rPr>
        <w:t>NZIF 2005 Forestry Handbook</w:t>
      </w:r>
      <w:r w:rsidRPr="009E06AA">
        <w:rPr>
          <w:szCs w:val="20"/>
        </w:rPr>
        <w:t>. Wellington: New Zealand Institute of Forestry. pp 204–207.</w:t>
      </w:r>
    </w:p>
    <w:p w14:paraId="185C6F79" w14:textId="77777777" w:rsidR="00053418" w:rsidRPr="009E06AA" w:rsidRDefault="00053418" w:rsidP="00053418">
      <w:pPr>
        <w:pStyle w:val="References"/>
        <w:rPr>
          <w:szCs w:val="20"/>
        </w:rPr>
      </w:pPr>
      <w:r w:rsidRPr="009E06AA">
        <w:rPr>
          <w:szCs w:val="20"/>
        </w:rPr>
        <w:t xml:space="preserve">Kelliher FM, de Klein CA. Unpublished. </w:t>
      </w:r>
      <w:r w:rsidRPr="009E06AA">
        <w:rPr>
          <w:iCs/>
          <w:szCs w:val="20"/>
        </w:rPr>
        <w:t>Review of New Zealand’s Fertiliser Nitrous Oxide Emission Factor (EF1) Data</w:t>
      </w:r>
      <w:r w:rsidRPr="009E06AA">
        <w:rPr>
          <w:szCs w:val="20"/>
        </w:rPr>
        <w:t>. Contract report prepared for the Ministry for the Environment in 2006.</w:t>
      </w:r>
    </w:p>
    <w:p w14:paraId="2D2D2C7B" w14:textId="77777777" w:rsidR="00053418" w:rsidRPr="009E06AA" w:rsidRDefault="00053418" w:rsidP="00053418">
      <w:pPr>
        <w:pStyle w:val="References"/>
        <w:rPr>
          <w:szCs w:val="20"/>
        </w:rPr>
      </w:pPr>
      <w:r w:rsidRPr="009E06AA">
        <w:rPr>
          <w:szCs w:val="20"/>
        </w:rPr>
        <w:t xml:space="preserve">Kimberley MO, Beets PN, Paul TSH. 2019. Comparison of measured and modelled change in coarse woody debris carbon stocks in New Zealand’s natural forest. </w:t>
      </w:r>
      <w:r w:rsidRPr="009E06AA">
        <w:rPr>
          <w:i/>
          <w:szCs w:val="20"/>
        </w:rPr>
        <w:t>Forest Ecology and Management</w:t>
      </w:r>
      <w:r w:rsidRPr="009E06AA">
        <w:rPr>
          <w:szCs w:val="20"/>
        </w:rPr>
        <w:t xml:space="preserve"> 434 (2019): 18–28.</w:t>
      </w:r>
    </w:p>
    <w:p w14:paraId="39103503" w14:textId="77777777" w:rsidR="00053418" w:rsidRPr="009E06AA" w:rsidRDefault="008975BF" w:rsidP="00053418">
      <w:pPr>
        <w:pStyle w:val="References"/>
        <w:rPr>
          <w:szCs w:val="20"/>
        </w:rPr>
      </w:pPr>
      <w:hyperlink r:id="rId150" w:history="1">
        <w:r w:rsidR="00053418" w:rsidRPr="009E06AA">
          <w:rPr>
            <w:rStyle w:val="Hyperlink"/>
            <w:szCs w:val="20"/>
          </w:rPr>
          <w:t>Land Cover Database v5.0 _ Land Cover Database version 5.0, Mainland New Zealand</w:t>
        </w:r>
      </w:hyperlink>
      <w:r w:rsidR="00053418" w:rsidRPr="009E06AA">
        <w:rPr>
          <w:szCs w:val="20"/>
        </w:rPr>
        <w:t>. Retrieved 11 November 2021.</w:t>
      </w:r>
    </w:p>
    <w:p w14:paraId="3DCE951F" w14:textId="77777777" w:rsidR="00053418" w:rsidRPr="009E06AA" w:rsidRDefault="00053418" w:rsidP="00053418">
      <w:pPr>
        <w:pStyle w:val="References"/>
        <w:rPr>
          <w:szCs w:val="20"/>
        </w:rPr>
      </w:pPr>
      <w:r w:rsidRPr="009E06AA">
        <w:rPr>
          <w:szCs w:val="20"/>
        </w:rPr>
        <w:t xml:space="preserve">Manaaki Whenua Landcare Research. 2020. </w:t>
      </w:r>
      <w:hyperlink r:id="rId151" w:history="1">
        <w:r w:rsidRPr="009E06AA">
          <w:rPr>
            <w:rStyle w:val="Hyperlink"/>
            <w:i/>
            <w:szCs w:val="20"/>
          </w:rPr>
          <w:t>A New National Soil Carbon Monitoring System for Agricultural Land</w:t>
        </w:r>
      </w:hyperlink>
      <w:r w:rsidRPr="009E06AA">
        <w:rPr>
          <w:szCs w:val="20"/>
        </w:rPr>
        <w:t xml:space="preserve">. Retrieved 4 December 2020. </w:t>
      </w:r>
    </w:p>
    <w:p w14:paraId="393BA8B8" w14:textId="77777777" w:rsidR="00053418" w:rsidRPr="009E06AA" w:rsidRDefault="00053418" w:rsidP="00053418">
      <w:pPr>
        <w:pStyle w:val="References"/>
        <w:rPr>
          <w:rFonts w:cs="Calibri"/>
        </w:rPr>
      </w:pPr>
      <w:r w:rsidRPr="009E06AA">
        <w:rPr>
          <w:rFonts w:cs="Calibri"/>
        </w:rPr>
        <w:t xml:space="preserve">Manley B. 2023. </w:t>
      </w:r>
      <w:hyperlink r:id="rId152" w:history="1">
        <w:r w:rsidRPr="009E06AA">
          <w:rPr>
            <w:rStyle w:val="Hyperlink"/>
            <w:rFonts w:cs="Calibri"/>
            <w:i/>
            <w:iCs/>
          </w:rPr>
          <w:t>Afforestation and Deforestation Intentions Survey 2022</w:t>
        </w:r>
      </w:hyperlink>
      <w:r w:rsidRPr="009E06AA">
        <w:rPr>
          <w:rFonts w:cs="Calibri"/>
        </w:rPr>
        <w:t>. Wellington: Ministry for Primary Industries. Retrieved 1 August 2023.</w:t>
      </w:r>
    </w:p>
    <w:p w14:paraId="40C4683F" w14:textId="77777777" w:rsidR="00053418" w:rsidRPr="009E06AA" w:rsidRDefault="00053418" w:rsidP="00053418">
      <w:pPr>
        <w:pStyle w:val="References"/>
        <w:rPr>
          <w:szCs w:val="20"/>
        </w:rPr>
      </w:pPr>
      <w:r w:rsidRPr="009E06AA">
        <w:rPr>
          <w:szCs w:val="20"/>
        </w:rPr>
        <w:t xml:space="preserve">McGlone MS. 2009. Postglacial history of New Zealand wetlands and implications for their conservation. </w:t>
      </w:r>
      <w:r w:rsidRPr="009E06AA">
        <w:rPr>
          <w:i/>
          <w:iCs/>
          <w:szCs w:val="20"/>
        </w:rPr>
        <w:t>New Zealand Journal of Ecology</w:t>
      </w:r>
      <w:r w:rsidRPr="009E06AA">
        <w:rPr>
          <w:szCs w:val="20"/>
        </w:rPr>
        <w:t xml:space="preserve"> 33: 1–23.</w:t>
      </w:r>
    </w:p>
    <w:p w14:paraId="49E004B7" w14:textId="77777777" w:rsidR="00053418" w:rsidRPr="009E06AA" w:rsidRDefault="00053418" w:rsidP="00053418">
      <w:pPr>
        <w:pStyle w:val="References"/>
        <w:rPr>
          <w:szCs w:val="20"/>
        </w:rPr>
      </w:pPr>
      <w:r w:rsidRPr="009E06AA">
        <w:rPr>
          <w:szCs w:val="20"/>
        </w:rPr>
        <w:t xml:space="preserve">McNeill SJ, Barringer JRF. Unpublished. </w:t>
      </w:r>
      <w:r w:rsidRPr="009E06AA">
        <w:rPr>
          <w:iCs/>
          <w:szCs w:val="20"/>
        </w:rPr>
        <w:t>Respecification and Reclassification of the 2013 MfE Soil CMS Model</w:t>
      </w:r>
      <w:r w:rsidRPr="009E06AA">
        <w:rPr>
          <w:szCs w:val="20"/>
        </w:rPr>
        <w:t>. Prepared for the Ministry for the Environment by Landcare Research New Zealand Ltd.</w:t>
      </w:r>
    </w:p>
    <w:p w14:paraId="3221B36D" w14:textId="77777777" w:rsidR="00053418" w:rsidRPr="009E06AA" w:rsidRDefault="00053418" w:rsidP="00053418">
      <w:pPr>
        <w:pStyle w:val="References"/>
        <w:rPr>
          <w:szCs w:val="20"/>
        </w:rPr>
      </w:pPr>
      <w:r w:rsidRPr="009E06AA">
        <w:rPr>
          <w:szCs w:val="20"/>
        </w:rPr>
        <w:t xml:space="preserve">Ministry for Primary Industries. 2015. </w:t>
      </w:r>
      <w:hyperlink r:id="rId153" w:history="1">
        <w:r w:rsidRPr="009E06AA">
          <w:rPr>
            <w:rStyle w:val="Hyperlink"/>
            <w:i/>
            <w:szCs w:val="20"/>
          </w:rPr>
          <w:t>An overview of forestry in the emissions trading scheme</w:t>
        </w:r>
      </w:hyperlink>
      <w:r w:rsidRPr="009E06AA">
        <w:rPr>
          <w:szCs w:val="20"/>
        </w:rPr>
        <w:t>. Retrieved 12 February 2022.</w:t>
      </w:r>
    </w:p>
    <w:p w14:paraId="51ED395C" w14:textId="77777777" w:rsidR="00053418" w:rsidRPr="009E06AA" w:rsidRDefault="00053418" w:rsidP="00053418">
      <w:pPr>
        <w:pStyle w:val="References"/>
        <w:rPr>
          <w:szCs w:val="20"/>
        </w:rPr>
      </w:pPr>
      <w:r w:rsidRPr="009E06AA">
        <w:rPr>
          <w:szCs w:val="20"/>
        </w:rPr>
        <w:t xml:space="preserve">Ministry for Primary Industries. 2016. </w:t>
      </w:r>
      <w:r w:rsidRPr="009E06AA">
        <w:rPr>
          <w:i/>
          <w:iCs/>
          <w:szCs w:val="20"/>
        </w:rPr>
        <w:t>Material Flow and End-use of Harvested Wood Products Produced from New Zealand Log Exports</w:t>
      </w:r>
      <w:r w:rsidRPr="009E06AA">
        <w:rPr>
          <w:szCs w:val="20"/>
        </w:rPr>
        <w:t>. Wellington: Ministry for Primary Industries.</w:t>
      </w:r>
    </w:p>
    <w:p w14:paraId="14BE5352" w14:textId="77777777" w:rsidR="00053418" w:rsidRPr="009E06AA" w:rsidRDefault="00053418" w:rsidP="00053418">
      <w:pPr>
        <w:pStyle w:val="References"/>
        <w:rPr>
          <w:szCs w:val="20"/>
        </w:rPr>
      </w:pPr>
      <w:r w:rsidRPr="009E06AA">
        <w:rPr>
          <w:szCs w:val="20"/>
        </w:rPr>
        <w:t xml:space="preserve">Ministry for Primary Industries. 2022a. </w:t>
      </w:r>
      <w:hyperlink r:id="rId154" w:history="1">
        <w:r w:rsidRPr="009E06AA">
          <w:rPr>
            <w:rStyle w:val="Hyperlink"/>
            <w:i/>
            <w:iCs/>
            <w:szCs w:val="20"/>
          </w:rPr>
          <w:t>Improved Data on Harvested Wood Products</w:t>
        </w:r>
      </w:hyperlink>
      <w:r w:rsidRPr="009E06AA">
        <w:rPr>
          <w:szCs w:val="20"/>
        </w:rPr>
        <w:t xml:space="preserve">. Wellington: Ministry for Primary Industries. Retrieved </w:t>
      </w:r>
      <w:r w:rsidRPr="009E06AA">
        <w:t>1 August 2023</w:t>
      </w:r>
      <w:r w:rsidRPr="009E06AA">
        <w:rPr>
          <w:szCs w:val="20"/>
        </w:rPr>
        <w:t>.</w:t>
      </w:r>
    </w:p>
    <w:p w14:paraId="648F1C8C" w14:textId="77777777" w:rsidR="00053418" w:rsidRPr="009E06AA" w:rsidRDefault="00053418" w:rsidP="00053418">
      <w:pPr>
        <w:pStyle w:val="References"/>
      </w:pPr>
      <w:r w:rsidRPr="009E06AA">
        <w:t xml:space="preserve">Ministry for Primary Industries. 2022b. </w:t>
      </w:r>
      <w:hyperlink r:id="rId155" w:history="1">
        <w:r w:rsidRPr="009E06AA">
          <w:rPr>
            <w:rStyle w:val="Hyperlink"/>
            <w:i/>
            <w:iCs/>
          </w:rPr>
          <w:t>Wood Product Markets: Quarterly trade, June 2022 quarterly exports</w:t>
        </w:r>
      </w:hyperlink>
      <w:r w:rsidRPr="009E06AA">
        <w:t>.</w:t>
      </w:r>
      <w:r w:rsidRPr="009E06AA">
        <w:rPr>
          <w:i/>
        </w:rPr>
        <w:t xml:space="preserve"> </w:t>
      </w:r>
      <w:r w:rsidRPr="009E06AA">
        <w:t>Retrieved 14 November 2022.</w:t>
      </w:r>
    </w:p>
    <w:p w14:paraId="614703B2" w14:textId="77777777" w:rsidR="00053418" w:rsidRPr="009E06AA" w:rsidRDefault="00053418" w:rsidP="00053418">
      <w:pPr>
        <w:pStyle w:val="References"/>
      </w:pPr>
      <w:r w:rsidRPr="009E06AA">
        <w:t xml:space="preserve">Ministry for Primary Industries. 2023a. </w:t>
      </w:r>
      <w:hyperlink r:id="rId156" w:history="1">
        <w:r w:rsidRPr="009E06AA">
          <w:rPr>
            <w:rStyle w:val="Hyperlink"/>
            <w:i/>
            <w:iCs/>
          </w:rPr>
          <w:t>Wood Processing: Roundwood removals, year ended 31 March, 1951 to most recent</w:t>
        </w:r>
      </w:hyperlink>
      <w:r w:rsidRPr="009E06AA">
        <w:t>. Wellington: Ministry for Primary Industries. Retrieved 1 March 2023.</w:t>
      </w:r>
    </w:p>
    <w:p w14:paraId="7C659F86" w14:textId="77777777" w:rsidR="00053418" w:rsidRPr="009E06AA" w:rsidRDefault="00053418" w:rsidP="00053418">
      <w:pPr>
        <w:pStyle w:val="References"/>
      </w:pPr>
      <w:r w:rsidRPr="009E06AA">
        <w:t xml:space="preserve">Ministry for Primary Industries. 2023b. </w:t>
      </w:r>
      <w:hyperlink r:id="rId157" w:history="1">
        <w:r w:rsidRPr="009E06AA">
          <w:rPr>
            <w:rStyle w:val="Hyperlink"/>
            <w:i/>
            <w:iCs/>
          </w:rPr>
          <w:t>Wood Processing: Quarterly production, stock and roundwood removals, June 2023 quarter production</w:t>
        </w:r>
      </w:hyperlink>
      <w:r w:rsidRPr="009E06AA">
        <w:t>. Wellington: Ministry for Primary Industries. Retrieved 15 August 2023.</w:t>
      </w:r>
    </w:p>
    <w:p w14:paraId="61A5CC0B" w14:textId="77777777" w:rsidR="00053418" w:rsidRPr="009E06AA" w:rsidRDefault="00053418" w:rsidP="00053418">
      <w:pPr>
        <w:pStyle w:val="References"/>
      </w:pPr>
      <w:r w:rsidRPr="009E06AA">
        <w:t xml:space="preserve">Ministry for the Environment. 2006. </w:t>
      </w:r>
      <w:hyperlink r:id="rId158" w:history="1">
        <w:r w:rsidRPr="009E06AA">
          <w:rPr>
            <w:rStyle w:val="Hyperlink"/>
            <w:i/>
            <w:iCs/>
          </w:rPr>
          <w:t>New Zealand’s Initial Report under the Kyoto Protocol</w:t>
        </w:r>
      </w:hyperlink>
      <w:r w:rsidRPr="009E06AA">
        <w:t>. Wellington: Ministry for the Environment. Retrieved 14 July 2011.</w:t>
      </w:r>
    </w:p>
    <w:p w14:paraId="30919F48" w14:textId="77777777" w:rsidR="00053418" w:rsidRPr="009E06AA" w:rsidRDefault="00053418" w:rsidP="00053418">
      <w:pPr>
        <w:pStyle w:val="References"/>
      </w:pPr>
      <w:r w:rsidRPr="009E06AA">
        <w:t xml:space="preserve">Ministry for the Environment. 2012. </w:t>
      </w:r>
      <w:r w:rsidRPr="009E06AA">
        <w:rPr>
          <w:i/>
        </w:rPr>
        <w:t>Land Use and Carbon Analysis System: Satellite imagery interpretation guide for land use classes</w:t>
      </w:r>
      <w:r w:rsidRPr="009E06AA">
        <w:t xml:space="preserve"> (2nd edn). Wellington: Ministry for the Environment.</w:t>
      </w:r>
    </w:p>
    <w:p w14:paraId="5D986C77" w14:textId="77777777" w:rsidR="00053418" w:rsidRPr="009E06AA" w:rsidRDefault="00053418" w:rsidP="00053418">
      <w:pPr>
        <w:pStyle w:val="References"/>
        <w:rPr>
          <w:szCs w:val="20"/>
        </w:rPr>
      </w:pPr>
      <w:r w:rsidRPr="009E06AA">
        <w:rPr>
          <w:szCs w:val="20"/>
        </w:rPr>
        <w:t xml:space="preserve">Ministry for the Environment and Stats NZ. 2017. </w:t>
      </w:r>
      <w:hyperlink r:id="rId159" w:history="1">
        <w:r w:rsidRPr="009E06AA">
          <w:rPr>
            <w:rStyle w:val="Hyperlink"/>
            <w:i/>
            <w:szCs w:val="20"/>
          </w:rPr>
          <w:t>New Zealand’s Environmental Reporting Series: Our fresh water 2017</w:t>
        </w:r>
      </w:hyperlink>
      <w:r w:rsidRPr="009E06AA">
        <w:rPr>
          <w:szCs w:val="20"/>
        </w:rPr>
        <w:t>. Retrieved 16 February 2024.</w:t>
      </w:r>
    </w:p>
    <w:p w14:paraId="3B85ECDE" w14:textId="77777777" w:rsidR="00053418" w:rsidRPr="009E06AA" w:rsidRDefault="00053418" w:rsidP="00053418">
      <w:pPr>
        <w:pStyle w:val="References"/>
        <w:rPr>
          <w:szCs w:val="20"/>
        </w:rPr>
      </w:pPr>
      <w:r w:rsidRPr="009E06AA">
        <w:rPr>
          <w:szCs w:val="20"/>
        </w:rPr>
        <w:t xml:space="preserve">Ministry for the Environment and Stats NZ. 2018. </w:t>
      </w:r>
      <w:hyperlink r:id="rId160" w:history="1">
        <w:r w:rsidRPr="009E06AA">
          <w:rPr>
            <w:rStyle w:val="Hyperlink"/>
            <w:i/>
            <w:szCs w:val="20"/>
          </w:rPr>
          <w:t>New Zealand’s Environmental Reporting Series: Our land 2018</w:t>
        </w:r>
      </w:hyperlink>
      <w:r w:rsidRPr="009E06AA">
        <w:rPr>
          <w:szCs w:val="20"/>
        </w:rPr>
        <w:t>. Retrieved 16 February 2024.</w:t>
      </w:r>
    </w:p>
    <w:p w14:paraId="1BDCE01C" w14:textId="77777777" w:rsidR="00053418" w:rsidRPr="009E06AA" w:rsidRDefault="00053418" w:rsidP="00053418">
      <w:pPr>
        <w:pStyle w:val="References"/>
        <w:rPr>
          <w:szCs w:val="20"/>
        </w:rPr>
      </w:pPr>
      <w:r w:rsidRPr="009E06AA">
        <w:rPr>
          <w:szCs w:val="20"/>
        </w:rPr>
        <w:t>Paul THS, Wakelin SJ, Dodunski, C. Unpublished(a). The NFI 2018–2022 Analysis: Yield tables and carbon stocks in planted forests in New Zealand based on a five-year inventory cycle. Contract report prepared for the Ministry for the Environment by New Zealand Forest Research Institute Ltd (trading as Scion) in 2023.</w:t>
      </w:r>
    </w:p>
    <w:p w14:paraId="038E5563" w14:textId="77777777" w:rsidR="00053418" w:rsidRPr="009E06AA" w:rsidRDefault="00053418" w:rsidP="00053418">
      <w:pPr>
        <w:pStyle w:val="References"/>
      </w:pPr>
      <w:r w:rsidRPr="009E06AA">
        <w:t>Paul TSH, Beets PN, Kimberley MO. Unpublished(b). Carbon Stocks in New Zealand’s Post-1989 Natural Forest: Analysis of the 2018/2019 forest inventory data. Contract report prepared for the Ministry for the Environment by the New Zealand Forest Research Institute Ltd (trading as Scion) in 2020.</w:t>
      </w:r>
    </w:p>
    <w:p w14:paraId="066E67D2" w14:textId="77777777" w:rsidR="00053418" w:rsidRPr="009E06AA" w:rsidRDefault="00053418" w:rsidP="00053418">
      <w:pPr>
        <w:pStyle w:val="References"/>
        <w:rPr>
          <w:szCs w:val="20"/>
        </w:rPr>
      </w:pPr>
      <w:r w:rsidRPr="009E06AA">
        <w:rPr>
          <w:szCs w:val="20"/>
        </w:rPr>
        <w:t xml:space="preserve">Paul TSH, Kimberley MO, Beets PN. 2021. Natural forests in New Zealand: A large terrestrial carbon pool in a national state of equilibrium. </w:t>
      </w:r>
      <w:r w:rsidRPr="009E06AA">
        <w:rPr>
          <w:i/>
          <w:iCs/>
          <w:szCs w:val="20"/>
        </w:rPr>
        <w:t xml:space="preserve">Forest Ecosystems </w:t>
      </w:r>
      <w:r w:rsidRPr="009E06AA">
        <w:rPr>
          <w:szCs w:val="20"/>
        </w:rPr>
        <w:t>8(1): 1–21.</w:t>
      </w:r>
    </w:p>
    <w:p w14:paraId="5491A740" w14:textId="77777777" w:rsidR="00053418" w:rsidRPr="009E06AA" w:rsidDel="00EA06F5" w:rsidRDefault="00053418" w:rsidP="00053418">
      <w:pPr>
        <w:pStyle w:val="References"/>
        <w:rPr>
          <w:szCs w:val="20"/>
        </w:rPr>
      </w:pPr>
      <w:r w:rsidRPr="009E06AA">
        <w:rPr>
          <w:szCs w:val="20"/>
        </w:rPr>
        <w:t xml:space="preserve">Payton IJ, Pearce HG. 2009. </w:t>
      </w:r>
      <w:r w:rsidRPr="009E06AA">
        <w:rPr>
          <w:iCs/>
          <w:szCs w:val="20"/>
        </w:rPr>
        <w:t>Fire-induced Changes to the Vegetation of Tall-tussock (</w:t>
      </w:r>
      <w:r w:rsidRPr="009E06AA">
        <w:rPr>
          <w:i/>
          <w:szCs w:val="20"/>
        </w:rPr>
        <w:t>Chionochloa rigida</w:t>
      </w:r>
      <w:r w:rsidRPr="009E06AA">
        <w:rPr>
          <w:iCs/>
          <w:szCs w:val="20"/>
        </w:rPr>
        <w:t>) Grassland Ecosystems</w:t>
      </w:r>
      <w:r w:rsidRPr="009E06AA">
        <w:rPr>
          <w:i/>
          <w:szCs w:val="20"/>
        </w:rPr>
        <w:t>.</w:t>
      </w:r>
      <w:r w:rsidRPr="009E06AA">
        <w:rPr>
          <w:szCs w:val="20"/>
        </w:rPr>
        <w:t xml:space="preserve"> </w:t>
      </w:r>
      <w:r w:rsidRPr="009E06AA">
        <w:rPr>
          <w:i/>
          <w:iCs/>
          <w:szCs w:val="20"/>
        </w:rPr>
        <w:t>Science for Conservation 290</w:t>
      </w:r>
      <w:r w:rsidRPr="009E06AA">
        <w:rPr>
          <w:szCs w:val="20"/>
        </w:rPr>
        <w:t>. Wellington: Department of Conservation.</w:t>
      </w:r>
    </w:p>
    <w:p w14:paraId="72CA126C" w14:textId="77777777" w:rsidR="00053418" w:rsidRPr="009E06AA" w:rsidRDefault="00053418" w:rsidP="00053418">
      <w:pPr>
        <w:pStyle w:val="References"/>
        <w:rPr>
          <w:szCs w:val="20"/>
        </w:rPr>
      </w:pPr>
      <w:r w:rsidRPr="009E06AA">
        <w:rPr>
          <w:szCs w:val="20"/>
        </w:rPr>
        <w:t xml:space="preserve">Robertson KA. 1998. Loss of organic matter and carbon during slash burns in New Zealand exotic forests. </w:t>
      </w:r>
      <w:r w:rsidRPr="009E06AA">
        <w:rPr>
          <w:i/>
          <w:szCs w:val="20"/>
        </w:rPr>
        <w:t>New Zealand Journal of Forestry Science</w:t>
      </w:r>
      <w:r w:rsidRPr="009E06AA">
        <w:rPr>
          <w:szCs w:val="20"/>
        </w:rPr>
        <w:t xml:space="preserve"> 28(2): 221–241.</w:t>
      </w:r>
    </w:p>
    <w:p w14:paraId="4D31A0B6" w14:textId="77777777" w:rsidR="00053418" w:rsidRPr="009E06AA" w:rsidRDefault="00053418" w:rsidP="00053418">
      <w:pPr>
        <w:pStyle w:val="References"/>
        <w:rPr>
          <w:szCs w:val="20"/>
        </w:rPr>
      </w:pPr>
      <w:r w:rsidRPr="009E06AA">
        <w:rPr>
          <w:szCs w:val="20"/>
        </w:rPr>
        <w:t xml:space="preserve">Thomas S, Hume E, Fraser T, Curtin D. 2011. </w:t>
      </w:r>
      <w:r w:rsidRPr="009E06AA">
        <w:rPr>
          <w:i/>
          <w:szCs w:val="20"/>
        </w:rPr>
        <w:t>Factors and Activity Data to Estimate Nitrous Oxide Emissions from Cropping Systems, and Stubble and Tussock Burning</w:t>
      </w:r>
      <w:r w:rsidRPr="009E06AA">
        <w:rPr>
          <w:szCs w:val="20"/>
        </w:rPr>
        <w:t>. Report prepared for the Ministry of Agriculture and Forestry by Plant and Food Research (formerly Crop and Food Research) technical paper no. 2012/16. Wellington: Ministry of Agriculture and Forestry.</w:t>
      </w:r>
    </w:p>
    <w:p w14:paraId="03EF3A1E" w14:textId="77777777" w:rsidR="00053418" w:rsidRPr="009E06AA" w:rsidRDefault="00053418" w:rsidP="00053418">
      <w:pPr>
        <w:pStyle w:val="References"/>
        <w:rPr>
          <w:szCs w:val="20"/>
        </w:rPr>
      </w:pPr>
      <w:r w:rsidRPr="009E06AA">
        <w:rPr>
          <w:szCs w:val="20"/>
        </w:rPr>
        <w:t xml:space="preserve">Trotter C, MacKay A. Unpublished. </w:t>
      </w:r>
      <w:r w:rsidRPr="009E06AA">
        <w:rPr>
          <w:iCs/>
          <w:szCs w:val="20"/>
        </w:rPr>
        <w:t>Potential Forest Land</w:t>
      </w:r>
      <w:r w:rsidRPr="009E06AA">
        <w:rPr>
          <w:szCs w:val="20"/>
        </w:rPr>
        <w:t>. Contract report 04/05-0410-L prepared for Landcare Research New Zealand Ltd.</w:t>
      </w:r>
    </w:p>
    <w:p w14:paraId="0B9535C4" w14:textId="77777777" w:rsidR="00053418" w:rsidRPr="009E06AA" w:rsidRDefault="00053418" w:rsidP="00053418">
      <w:pPr>
        <w:pStyle w:val="References"/>
        <w:rPr>
          <w:szCs w:val="20"/>
        </w:rPr>
      </w:pPr>
      <w:r w:rsidRPr="009E06AA">
        <w:rPr>
          <w:szCs w:val="20"/>
        </w:rPr>
        <w:t>UNFCCC. 2014</w:t>
      </w:r>
      <w:r w:rsidRPr="009E06AA">
        <w:rPr>
          <w:i/>
          <w:szCs w:val="20"/>
        </w:rPr>
        <w:t xml:space="preserve">. </w:t>
      </w:r>
      <w:r w:rsidRPr="009E06AA">
        <w:rPr>
          <w:szCs w:val="20"/>
        </w:rPr>
        <w:t>FCCC/CP/2013/10/Add.3.</w:t>
      </w:r>
      <w:r w:rsidRPr="009E06AA">
        <w:rPr>
          <w:i/>
          <w:szCs w:val="20"/>
        </w:rPr>
        <w:t xml:space="preserve"> </w:t>
      </w:r>
      <w:r w:rsidRPr="009E06AA">
        <w:rPr>
          <w:iCs/>
          <w:szCs w:val="20"/>
        </w:rPr>
        <w:t>Report of the Conference of the Parties on its nineteenth session, held in Warsaw from 11 to 23 November 2013: Addendum – Part 2: Action taken by the Conference of the Parties at its nineteenth session</w:t>
      </w:r>
      <w:r w:rsidRPr="009E06AA">
        <w:rPr>
          <w:szCs w:val="20"/>
        </w:rPr>
        <w:t>.</w:t>
      </w:r>
    </w:p>
    <w:p w14:paraId="763C61C3" w14:textId="77777777" w:rsidR="00053418" w:rsidRPr="009E06AA" w:rsidRDefault="00053418" w:rsidP="00053418">
      <w:pPr>
        <w:pStyle w:val="References"/>
        <w:rPr>
          <w:szCs w:val="20"/>
        </w:rPr>
      </w:pPr>
      <w:r w:rsidRPr="009E06AA">
        <w:rPr>
          <w:szCs w:val="20"/>
        </w:rPr>
        <w:t>UNFCCC. 2018. FCCC/ARR/2017/NZL. Report of the individual review of the annual submission of New Zealand submitted in 2017. Centralised Review.</w:t>
      </w:r>
    </w:p>
    <w:p w14:paraId="057F7393" w14:textId="77777777" w:rsidR="00053418" w:rsidRPr="009E06AA" w:rsidRDefault="00053418" w:rsidP="00053418">
      <w:pPr>
        <w:pStyle w:val="References"/>
        <w:rPr>
          <w:szCs w:val="20"/>
        </w:rPr>
      </w:pPr>
      <w:bookmarkStart w:id="2746" w:name="_Hlk61859390"/>
      <w:r w:rsidRPr="009E06AA">
        <w:rPr>
          <w:szCs w:val="20"/>
        </w:rPr>
        <w:t>UNFCCC. 2020. FCCC/ARR/2019/NZL. Report of the individual review of the annual submission of New Zealand submitted in 2019. In-country Review.</w:t>
      </w:r>
    </w:p>
    <w:p w14:paraId="05817A17" w14:textId="77777777" w:rsidR="00053418" w:rsidRPr="009E06AA" w:rsidRDefault="00053418" w:rsidP="00053418">
      <w:pPr>
        <w:pStyle w:val="References"/>
        <w:rPr>
          <w:szCs w:val="20"/>
        </w:rPr>
      </w:pPr>
      <w:r w:rsidRPr="009E06AA">
        <w:rPr>
          <w:szCs w:val="20"/>
        </w:rPr>
        <w:t>UNFCCC. 2023. FCCC/ARR/2022/NZL. Report of the individual review of the annual submission of New Zealand submitted in 2022. Centralised Review.</w:t>
      </w:r>
    </w:p>
    <w:bookmarkEnd w:id="2746"/>
    <w:p w14:paraId="533573DC" w14:textId="77777777" w:rsidR="00053418" w:rsidRPr="009E06AA" w:rsidRDefault="00053418" w:rsidP="00053418">
      <w:pPr>
        <w:pStyle w:val="References"/>
      </w:pPr>
      <w:r w:rsidRPr="009E06AA">
        <w:t xml:space="preserve">Wakelin SJ. Unpublished(a). Scientific Research Underpinning New Zealand’s Carbon Inventory in Planted Forests. Objective 9 – UNFCCC planted forest carbon inventory methodology. Milestone 2 </w:t>
      </w:r>
      <w:r w:rsidRPr="009E06AA">
        <w:br/>
        <w:t>– Review of shrubland clearance assumptions in the national carbon inventory. Contract report prepared for the Ministry for the Environment by New Zealand Forest Research Institute Ltd (trading as Scion) in 2004.</w:t>
      </w:r>
    </w:p>
    <w:p w14:paraId="44AA9EE8" w14:textId="77777777" w:rsidR="00053418" w:rsidRPr="009E06AA" w:rsidRDefault="00053418" w:rsidP="00053418">
      <w:pPr>
        <w:pStyle w:val="References"/>
        <w:rPr>
          <w:szCs w:val="20"/>
        </w:rPr>
      </w:pPr>
      <w:r w:rsidRPr="009E06AA">
        <w:rPr>
          <w:szCs w:val="20"/>
        </w:rPr>
        <w:t xml:space="preserve">Wakelin SJ. Unpublished(b). </w:t>
      </w:r>
      <w:r w:rsidRPr="009E06AA">
        <w:rPr>
          <w:iCs/>
          <w:szCs w:val="20"/>
        </w:rPr>
        <w:t>Review of LULUCF Biomass Burning Assumptions in New Zealand’s Greenhouse Gas Inventory</w:t>
      </w:r>
      <w:r w:rsidRPr="009E06AA">
        <w:rPr>
          <w:szCs w:val="20"/>
        </w:rPr>
        <w:t>. Contract report prepared for the Ministry for the Environment by Ensis in 2006.</w:t>
      </w:r>
    </w:p>
    <w:p w14:paraId="609EF7E8" w14:textId="77777777" w:rsidR="00053418" w:rsidRPr="009E06AA" w:rsidRDefault="00053418" w:rsidP="00053418">
      <w:pPr>
        <w:pStyle w:val="References"/>
        <w:rPr>
          <w:szCs w:val="20"/>
        </w:rPr>
      </w:pPr>
      <w:r w:rsidRPr="009E06AA">
        <w:rPr>
          <w:szCs w:val="20"/>
        </w:rPr>
        <w:t xml:space="preserve">Wakelin SJ. Unpublished(c). </w:t>
      </w:r>
      <w:r w:rsidRPr="009E06AA">
        <w:rPr>
          <w:iCs/>
          <w:szCs w:val="20"/>
        </w:rPr>
        <w:t>Apportioning Wildfire Emissions to Forest Sub-categories in the National Greenhouse Gas Inventory</w:t>
      </w:r>
      <w:r w:rsidRPr="009E06AA">
        <w:rPr>
          <w:szCs w:val="20"/>
        </w:rPr>
        <w:t>. Contract report prepared for the Ministry for the Environment by New Zealand Forest Research Institute Ltd (trading as Scion) in 2011.</w:t>
      </w:r>
    </w:p>
    <w:p w14:paraId="4D996003" w14:textId="77777777" w:rsidR="00053418" w:rsidRPr="009E06AA" w:rsidRDefault="00053418" w:rsidP="00053418">
      <w:pPr>
        <w:pStyle w:val="References"/>
        <w:rPr>
          <w:szCs w:val="20"/>
        </w:rPr>
      </w:pPr>
      <w:r w:rsidRPr="009E06AA">
        <w:rPr>
          <w:szCs w:val="20"/>
        </w:rPr>
        <w:t xml:space="preserve">Wakelin SJ. Unpublished(d). </w:t>
      </w:r>
      <w:r w:rsidRPr="009E06AA">
        <w:rPr>
          <w:iCs/>
          <w:szCs w:val="20"/>
        </w:rPr>
        <w:t>Controlled Biomass Burning Emissions for the 2011 Greenhouse Gas Inventory</w:t>
      </w:r>
      <w:r w:rsidRPr="009E06AA">
        <w:rPr>
          <w:szCs w:val="20"/>
        </w:rPr>
        <w:t>. Contract report prepared for the Ministry for the Environment by New Zealand Forest Research Institute Ltd (trading as Scion) in 2012.</w:t>
      </w:r>
    </w:p>
    <w:p w14:paraId="1005400A" w14:textId="77777777" w:rsidR="00053418" w:rsidRPr="009E06AA" w:rsidRDefault="00053418" w:rsidP="00053418">
      <w:pPr>
        <w:pStyle w:val="References"/>
        <w:rPr>
          <w:szCs w:val="20"/>
        </w:rPr>
      </w:pPr>
      <w:r w:rsidRPr="009E06AA">
        <w:rPr>
          <w:szCs w:val="20"/>
        </w:rPr>
        <w:t>Wakelin SJ. Unpublished(e). Review of Emissions from Prescribed Burning of Standing Vegetation in New Zealand. Contract report prepared for the Ministry for the Environment by New Zealand Forest Research Institute Ltd (trading as Scion) in 2018.</w:t>
      </w:r>
    </w:p>
    <w:p w14:paraId="34767728" w14:textId="77777777" w:rsidR="00053418" w:rsidRPr="009E06AA" w:rsidRDefault="00053418" w:rsidP="00053418">
      <w:pPr>
        <w:pStyle w:val="References"/>
        <w:rPr>
          <w:szCs w:val="20"/>
        </w:rPr>
      </w:pPr>
      <w:r w:rsidRPr="009E06AA">
        <w:rPr>
          <w:rFonts w:cs="Calibri"/>
        </w:rPr>
        <w:t xml:space="preserve">Wakelin SJ. Unpublished(f). </w:t>
      </w:r>
      <w:r w:rsidRPr="009E06AA">
        <w:rPr>
          <w:rFonts w:cs="Calibri"/>
          <w:iCs/>
        </w:rPr>
        <w:t>Annual updating of the Harvested Wood Products carbon accounting model</w:t>
      </w:r>
      <w:r w:rsidRPr="009E06AA">
        <w:rPr>
          <w:rFonts w:cs="Calibri"/>
        </w:rPr>
        <w:t>. Contract report prepared for the Ministry for the Environment by New Zealand Forest Research Institute Ltd (trading as Scion) in 2023.</w:t>
      </w:r>
    </w:p>
    <w:p w14:paraId="3FC603DC" w14:textId="77777777" w:rsidR="00053418" w:rsidRPr="009E06AA" w:rsidRDefault="00053418" w:rsidP="00053418">
      <w:pPr>
        <w:pStyle w:val="References"/>
        <w:rPr>
          <w:szCs w:val="20"/>
        </w:rPr>
      </w:pPr>
      <w:r w:rsidRPr="009E06AA">
        <w:rPr>
          <w:szCs w:val="20"/>
        </w:rPr>
        <w:t xml:space="preserve">Wakelin SJ, Beets PN. Unpublished. </w:t>
      </w:r>
      <w:r w:rsidRPr="009E06AA">
        <w:rPr>
          <w:iCs/>
          <w:szCs w:val="20"/>
        </w:rPr>
        <w:t>Emission Factors for Managed and Unmanaged Grassland with Woody Biomass</w:t>
      </w:r>
      <w:r w:rsidRPr="009E06AA">
        <w:rPr>
          <w:szCs w:val="20"/>
        </w:rPr>
        <w:t>. Contract report prepared for the Ministry for the Environment by New Zealand Forest Research Institute Ltd (trading as Scion) in 2013.</w:t>
      </w:r>
    </w:p>
    <w:p w14:paraId="2A8EEFF5" w14:textId="77777777" w:rsidR="00053418" w:rsidRPr="009E06AA" w:rsidRDefault="00053418" w:rsidP="00053418">
      <w:pPr>
        <w:pStyle w:val="References"/>
        <w:rPr>
          <w:szCs w:val="20"/>
        </w:rPr>
      </w:pPr>
      <w:r w:rsidRPr="009E06AA">
        <w:rPr>
          <w:szCs w:val="20"/>
        </w:rPr>
        <w:t xml:space="preserve">Wakelin SJ, Clifford VR, Anderson SAJ, Pearce HG. Unpublished. </w:t>
      </w:r>
      <w:r w:rsidRPr="009E06AA">
        <w:rPr>
          <w:iCs/>
          <w:szCs w:val="20"/>
        </w:rPr>
        <w:t>Review of LULUCF Non-carbon Emissions in New Zealand’s Greenhouse Gas Inventory</w:t>
      </w:r>
      <w:r w:rsidRPr="009E06AA">
        <w:rPr>
          <w:szCs w:val="20"/>
        </w:rPr>
        <w:t>. Contract report 17342 prepared for Ministry for the Environment by New Zealand Forest Research Institute Ltd (trading as Scion) in 2009.</w:t>
      </w:r>
    </w:p>
    <w:p w14:paraId="48984619" w14:textId="77777777" w:rsidR="00053418" w:rsidRPr="009E06AA" w:rsidRDefault="00053418" w:rsidP="00053418">
      <w:pPr>
        <w:pStyle w:val="References"/>
        <w:rPr>
          <w:szCs w:val="20"/>
        </w:rPr>
      </w:pPr>
      <w:r w:rsidRPr="009E06AA">
        <w:rPr>
          <w:szCs w:val="20"/>
        </w:rPr>
        <w:t>Wakelin SJ, Kimberley M. Unpublished. Harvested Wood Products Model for UNFCCC and Kyoto Protocol Reporting. Contract report prepared for the Ministry for the Environment by New Zealand Forest Research Institute Ltd (trading as Scion) in 2017.</w:t>
      </w:r>
    </w:p>
    <w:p w14:paraId="14C5FA7C" w14:textId="77777777" w:rsidR="00053418" w:rsidRPr="009E06AA" w:rsidRDefault="00053418" w:rsidP="00053418">
      <w:pPr>
        <w:pStyle w:val="References"/>
        <w:rPr>
          <w:szCs w:val="20"/>
        </w:rPr>
      </w:pPr>
      <w:r w:rsidRPr="009E06AA">
        <w:rPr>
          <w:szCs w:val="20"/>
        </w:rPr>
        <w:t xml:space="preserve">Wakelin SJ, Searles N, Lawrence D, Paul TSH. 2020. Estimating New Zealand’s harvested wood products carbon stocks and stock changes. </w:t>
      </w:r>
      <w:r w:rsidRPr="009E06AA">
        <w:rPr>
          <w:i/>
          <w:iCs/>
          <w:szCs w:val="20"/>
        </w:rPr>
        <w:t>Carbon Balance and Management</w:t>
      </w:r>
      <w:r w:rsidRPr="009E06AA">
        <w:rPr>
          <w:szCs w:val="20"/>
        </w:rPr>
        <w:t xml:space="preserve"> 15(10). </w:t>
      </w:r>
    </w:p>
    <w:p w14:paraId="0A2732E1" w14:textId="77777777" w:rsidR="00053418" w:rsidRPr="009E06AA" w:rsidRDefault="00053418" w:rsidP="00053418">
      <w:pPr>
        <w:pStyle w:val="References"/>
        <w:rPr>
          <w:szCs w:val="20"/>
        </w:rPr>
      </w:pPr>
      <w:r w:rsidRPr="009E06AA">
        <w:rPr>
          <w:szCs w:val="20"/>
        </w:rPr>
        <w:t>Watts D. Unpublished. Land Use Backcasting: Data and methodology. Wellington: Ministry for the Environment.</w:t>
      </w:r>
    </w:p>
    <w:p w14:paraId="1CD78E53" w14:textId="77777777" w:rsidR="00053418" w:rsidRPr="009E06AA" w:rsidRDefault="00053418" w:rsidP="00053418">
      <w:pPr>
        <w:pStyle w:val="References"/>
      </w:pPr>
      <w:r w:rsidRPr="009E06AA">
        <w:rPr>
          <w:szCs w:val="20"/>
        </w:rPr>
        <w:t xml:space="preserve">Wekesa A. 2022. </w:t>
      </w:r>
      <w:hyperlink r:id="rId161" w:history="1">
        <w:r w:rsidRPr="009E06AA">
          <w:rPr>
            <w:rStyle w:val="Hyperlink"/>
            <w:szCs w:val="20"/>
          </w:rPr>
          <w:t>The Estimation and Modelling of Carbon Stocks from Harvested Wood Products in New Zealand</w:t>
        </w:r>
      </w:hyperlink>
      <w:r w:rsidRPr="009E06AA">
        <w:rPr>
          <w:szCs w:val="20"/>
        </w:rPr>
        <w:t>. Doctoral thesis, University of Canterbury. Retrieved 24 February 2023.</w:t>
      </w:r>
    </w:p>
    <w:p w14:paraId="6D201E34" w14:textId="77777777" w:rsidR="007523B8" w:rsidRPr="009E06AA" w:rsidRDefault="007523B8" w:rsidP="007523B8">
      <w:pPr>
        <w:pStyle w:val="BodyText"/>
      </w:pPr>
    </w:p>
    <w:p w14:paraId="1FCFB4B8" w14:textId="77777777" w:rsidR="005365EE" w:rsidRPr="009E06AA" w:rsidRDefault="005365EE" w:rsidP="006F5D1B">
      <w:pPr>
        <w:sectPr w:rsidR="005365EE" w:rsidRPr="009E06AA" w:rsidSect="00F66BF9">
          <w:footerReference w:type="default" r:id="rId162"/>
          <w:pgSz w:w="11907" w:h="16840" w:code="9"/>
          <w:pgMar w:top="1418" w:right="1701" w:bottom="1418" w:left="1701" w:header="567" w:footer="567" w:gutter="0"/>
          <w:cols w:space="720"/>
        </w:sectPr>
      </w:pPr>
    </w:p>
    <w:p w14:paraId="39C9BE85" w14:textId="77777777" w:rsidR="00E87995" w:rsidRPr="009E06AA" w:rsidRDefault="00E87995" w:rsidP="00E87995">
      <w:pPr>
        <w:pStyle w:val="Heading1"/>
      </w:pPr>
      <w:bookmarkStart w:id="2747" w:name="_Toc131591259"/>
      <w:bookmarkStart w:id="2748" w:name="_Toc164154214"/>
      <w:bookmarkStart w:id="2749" w:name="chapter-7-waste"/>
      <w:r w:rsidRPr="009E06AA">
        <w:t>Chapter 7: Waste</w:t>
      </w:r>
      <w:bookmarkEnd w:id="2747"/>
      <w:bookmarkEnd w:id="2748"/>
    </w:p>
    <w:p w14:paraId="0B9EB85B" w14:textId="77777777" w:rsidR="00E87995" w:rsidRPr="009E06AA" w:rsidRDefault="00E87995" w:rsidP="00E87995">
      <w:pPr>
        <w:pStyle w:val="Heading2"/>
        <w:spacing w:before="240"/>
      </w:pPr>
      <w:bookmarkStart w:id="2750" w:name="_Toc131591260"/>
      <w:bookmarkStart w:id="2751" w:name="_Toc160537218"/>
      <w:bookmarkStart w:id="2752" w:name="_Toc164154215"/>
      <w:bookmarkStart w:id="2753" w:name="sector-overview"/>
      <w:r w:rsidRPr="009E06AA">
        <w:t xml:space="preserve">7.1 </w:t>
      </w:r>
      <w:r w:rsidRPr="009E06AA">
        <w:tab/>
        <w:t>Sector overview</w:t>
      </w:r>
      <w:bookmarkEnd w:id="2750"/>
      <w:bookmarkEnd w:id="2751"/>
      <w:bookmarkEnd w:id="2752"/>
    </w:p>
    <w:p w14:paraId="63132BD6" w14:textId="77777777" w:rsidR="00E87995" w:rsidRPr="009E06AA" w:rsidRDefault="00E87995" w:rsidP="00E87995">
      <w:pPr>
        <w:pStyle w:val="Heading3"/>
        <w:spacing w:before="240"/>
      </w:pPr>
      <w:bookmarkStart w:id="2754" w:name="_Toc160537219"/>
      <w:bookmarkStart w:id="2755" w:name="the-waste-sector-in-new-zealand"/>
      <w:r w:rsidRPr="009E06AA">
        <w:t xml:space="preserve">7.1.1 </w:t>
      </w:r>
      <w:r w:rsidRPr="009E06AA">
        <w:tab/>
        <w:t>The Waste sector in New Zealand</w:t>
      </w:r>
      <w:bookmarkEnd w:id="2754"/>
    </w:p>
    <w:p w14:paraId="71859418" w14:textId="17FBF9BC" w:rsidR="00E87995" w:rsidRPr="009E06AA" w:rsidRDefault="00E87995" w:rsidP="00E87995">
      <w:pPr>
        <w:pStyle w:val="BodyText"/>
      </w:pPr>
      <w:r w:rsidRPr="009E06AA">
        <w:t>In New Zealand, most solid waste is disposed to land. The majority of the country’s household and commercial waste is placed in managed municipal landfills. Before 2010, some municipal waste was also disposed to unmanaged</w:t>
      </w:r>
      <w:r w:rsidRPr="009E06AA">
        <w:rPr>
          <w:rStyle w:val="FootnoteReference"/>
        </w:rPr>
        <w:footnoteReference w:id="56"/>
      </w:r>
      <w:r w:rsidRPr="009E06AA">
        <w:t xml:space="preserve"> or uncategorised sites. Unmanaged sites consist of many smaller landfills, such as those on farms and used </w:t>
      </w:r>
      <w:r w:rsidR="002549D8" w:rsidRPr="009E06AA">
        <w:t>in</w:t>
      </w:r>
      <w:r w:rsidRPr="009E06AA">
        <w:t xml:space="preserve"> industrial settings. One major exception to disposal to land is the management of farm waste, of which half is estimated to be disposed of by open burning. Figure 7.1.1 shows the sources of and disposal practices for solid waste in </w:t>
      </w:r>
      <w:r w:rsidRPr="009E06AA" w:rsidDel="00051B46">
        <w:t>New Zealand</w:t>
      </w:r>
      <w:r w:rsidRPr="009E06AA">
        <w:t>.</w:t>
      </w:r>
    </w:p>
    <w:p w14:paraId="2C8F5761" w14:textId="77777777" w:rsidR="00E87995" w:rsidRPr="009E06AA" w:rsidRDefault="00E87995" w:rsidP="00E87995">
      <w:pPr>
        <w:pStyle w:val="BodyText"/>
      </w:pPr>
      <w:r w:rsidRPr="009E06AA">
        <w:t xml:space="preserve">Most wastewater treatment in </w:t>
      </w:r>
      <w:r w:rsidRPr="009E06AA" w:rsidDel="00AE3561">
        <w:t>New Zealand</w:t>
      </w:r>
      <w:r w:rsidRPr="009E06AA">
        <w:t xml:space="preserve"> is aerobic and includes domestic, commercial and industrial wastewater, all releasing methane (CH</w:t>
      </w:r>
      <w:r w:rsidRPr="009E06AA">
        <w:rPr>
          <w:vertAlign w:val="subscript"/>
        </w:rPr>
        <w:t>4</w:t>
      </w:r>
      <w:r w:rsidRPr="009E06AA">
        <w:t xml:space="preserve">) emissions. Methane emissions from domestic wastewater are mainly from rural septic tank usage. Wastewater emissions are also produced by some municipal treatment plants, which use semi-aerobic processes, and from industries in </w:t>
      </w:r>
      <w:r w:rsidRPr="009E06AA" w:rsidDel="00D530A8">
        <w:t>New Zealand</w:t>
      </w:r>
      <w:r w:rsidRPr="009E06AA">
        <w:t>, in particular, the meat and the pulp and paper industries.</w:t>
      </w:r>
    </w:p>
    <w:p w14:paraId="1217E50E" w14:textId="77777777" w:rsidR="00E87995" w:rsidRPr="009E06AA" w:rsidRDefault="00E87995" w:rsidP="00E87995">
      <w:pPr>
        <w:pStyle w:val="BodyText"/>
      </w:pPr>
      <w:r w:rsidRPr="009E06AA">
        <w:t xml:space="preserve">Municipal waste is generally not incinerated in </w:t>
      </w:r>
      <w:r w:rsidRPr="009E06AA" w:rsidDel="00994FCA">
        <w:t>New Zealand</w:t>
      </w:r>
      <w:r w:rsidRPr="009E06AA">
        <w:t>. Incineration is used only on a small scale, mainly for hazardous waste, clinical waste and sewage sludge, and has declined over time due to environmental regulation and the availability of other disposal options.</w:t>
      </w:r>
    </w:p>
    <w:p w14:paraId="39BB0222" w14:textId="0D31BAF2" w:rsidR="00E87995" w:rsidRPr="009E06AA" w:rsidRDefault="00E87995" w:rsidP="00E87995">
      <w:pPr>
        <w:pStyle w:val="BodyText"/>
      </w:pPr>
      <w:r w:rsidRPr="009E06AA">
        <w:t xml:space="preserve">Emissions from composting activities are included. There is currently one large-scale anaerobic digestion plant processing municipal waste in </w:t>
      </w:r>
      <w:r w:rsidRPr="009E06AA" w:rsidDel="00173748">
        <w:t>New Zealand</w:t>
      </w:r>
      <w:r w:rsidRPr="009E06AA">
        <w:t xml:space="preserve">, which started operating towards the end of 2022. No other emission sources for direct greenhouse gases are applicable to </w:t>
      </w:r>
      <w:r w:rsidRPr="009E06AA" w:rsidDel="00173748">
        <w:t>New Zealand</w:t>
      </w:r>
      <w:r w:rsidRPr="009E06AA">
        <w:t xml:space="preserve"> and no other activity data are available.</w:t>
      </w:r>
    </w:p>
    <w:p w14:paraId="564DA718" w14:textId="0F451066" w:rsidR="00E87995" w:rsidRPr="009E06AA" w:rsidRDefault="00E87995" w:rsidP="00E87995">
      <w:pPr>
        <w:pStyle w:val="BodyText"/>
      </w:pPr>
      <w:r w:rsidRPr="009E06AA">
        <w:t xml:space="preserve">In 2022, the Ministry for the Environment published the first emissions reduction plan, which sets out actions for achieving </w:t>
      </w:r>
      <w:r w:rsidRPr="009E06AA" w:rsidDel="00747A34">
        <w:t>New Zealand’s</w:t>
      </w:r>
      <w:r w:rsidRPr="009E06AA">
        <w:t xml:space="preserve"> emissions budget for 2022–25 (Ministry for the Environment, 2022). Chapter 15 of the plan covers actions for </w:t>
      </w:r>
      <w:r w:rsidR="00733A25" w:rsidRPr="009E06AA">
        <w:t>W</w:t>
      </w:r>
      <w:r w:rsidRPr="009E06AA">
        <w:t>aste,</w:t>
      </w:r>
      <w:r w:rsidRPr="009E06AA">
        <w:rPr>
          <w:rStyle w:val="FootnoteReference"/>
        </w:rPr>
        <w:footnoteReference w:id="57"/>
      </w:r>
      <w:r w:rsidRPr="009E06AA">
        <w:t xml:space="preserve"> while chapter 9 is dedicated to the circular economy and bioeconomy. The impacts of these actions will be reported in future inventories.</w:t>
      </w:r>
    </w:p>
    <w:p w14:paraId="7C102E43" w14:textId="77777777" w:rsidR="00E87995" w:rsidRPr="009E06AA" w:rsidRDefault="00E87995" w:rsidP="00E87995">
      <w:pPr>
        <w:pStyle w:val="Figure"/>
      </w:pPr>
      <w:bookmarkStart w:id="2756" w:name="_Toc130211456"/>
      <w:bookmarkStart w:id="2757" w:name="_Toc131591577"/>
      <w:bookmarkStart w:id="2758" w:name="_Toc160537308"/>
      <w:bookmarkStart w:id="2759" w:name="_Toc160537618"/>
      <w:bookmarkStart w:id="2760" w:name="_Toc164154045"/>
      <w:r w:rsidRPr="009E06AA">
        <w:t>Figure 7.1.1</w:t>
      </w:r>
      <w:r w:rsidRPr="009E06AA">
        <w:tab/>
        <w:t>Sources of and disposal practices for solid waste in New Zealand</w:t>
      </w:r>
      <w:bookmarkEnd w:id="2756"/>
      <w:bookmarkEnd w:id="2757"/>
      <w:bookmarkEnd w:id="2758"/>
      <w:bookmarkEnd w:id="2759"/>
      <w:bookmarkEnd w:id="2760"/>
    </w:p>
    <w:p w14:paraId="13CBCBC9" w14:textId="77777777" w:rsidR="00E87995" w:rsidRPr="009E06AA" w:rsidRDefault="00E87995" w:rsidP="00E87995">
      <w:pPr>
        <w:pStyle w:val="BodyText"/>
        <w:spacing w:after="180"/>
      </w:pPr>
      <w:bookmarkStart w:id="2761" w:name="_Toc160537220"/>
      <w:bookmarkStart w:id="2762" w:name="emissions-summary"/>
      <w:bookmarkEnd w:id="2755"/>
      <w:r w:rsidRPr="009E06AA">
        <w:rPr>
          <w:noProof/>
        </w:rPr>
        <w:drawing>
          <wp:inline distT="0" distB="0" distL="0" distR="0" wp14:anchorId="2EDF17A0" wp14:editId="3F9A3050">
            <wp:extent cx="5400675" cy="2788285"/>
            <wp:effectExtent l="0" t="0" r="9525" b="0"/>
            <wp:docPr id="13687907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400675" cy="2788285"/>
                    </a:xfrm>
                    <a:prstGeom prst="rect">
                      <a:avLst/>
                    </a:prstGeom>
                    <a:noFill/>
                    <a:ln>
                      <a:noFill/>
                    </a:ln>
                  </pic:spPr>
                </pic:pic>
              </a:graphicData>
            </a:graphic>
          </wp:inline>
        </w:drawing>
      </w:r>
    </w:p>
    <w:p w14:paraId="0C5592D9" w14:textId="7FB6765E" w:rsidR="00E87995" w:rsidRPr="009E06AA" w:rsidRDefault="00E87995" w:rsidP="00E87995">
      <w:pPr>
        <w:pStyle w:val="BodyText"/>
      </w:pPr>
      <w:r w:rsidRPr="009E06AA">
        <w:t xml:space="preserve">New Zealand reports emissions from Tokelau, which is a dependent territory of New Zealand. Due to the application of different methods and the complexity of integrating emissions within the main sectors, Tokelau emissions are reported for all activities under the ‘Other’ sector of the </w:t>
      </w:r>
      <w:r w:rsidR="000631DF">
        <w:t>I</w:t>
      </w:r>
      <w:r w:rsidRPr="009E06AA">
        <w:t>nventory. Therefore, all emissions reported in this sector exclude Tokelau. Please refer to chapter 8 and annex 7 for details of methods applied and the emissions for Tokelau.</w:t>
      </w:r>
    </w:p>
    <w:p w14:paraId="49EF447B" w14:textId="77777777" w:rsidR="00E87995" w:rsidRPr="009E06AA" w:rsidRDefault="00E87995" w:rsidP="00E87995">
      <w:pPr>
        <w:pStyle w:val="Heading3"/>
      </w:pPr>
      <w:r w:rsidRPr="009E06AA">
        <w:t>7.1.2</w:t>
      </w:r>
      <w:r w:rsidRPr="009E06AA">
        <w:tab/>
        <w:t>Emissions summary</w:t>
      </w:r>
      <w:bookmarkEnd w:id="2761"/>
    </w:p>
    <w:p w14:paraId="7B22FE9E" w14:textId="71670E4E" w:rsidR="00E87995" w:rsidRPr="009E06AA" w:rsidRDefault="00E87995" w:rsidP="00E87995">
      <w:pPr>
        <w:pStyle w:val="BodyText"/>
      </w:pPr>
      <w:r w:rsidRPr="009E06AA">
        <w:t xml:space="preserve">The Waste sector in </w:t>
      </w:r>
      <w:r w:rsidRPr="009E06AA" w:rsidDel="0034159F">
        <w:t>New Zealand</w:t>
      </w:r>
      <w:r w:rsidRPr="009E06AA">
        <w:t xml:space="preserve"> produces mainly </w:t>
      </w:r>
      <w:r w:rsidR="00FC5AF2" w:rsidRPr="009E06AA">
        <w:t>CH</w:t>
      </w:r>
      <w:r w:rsidR="00FC5AF2" w:rsidRPr="009E06AA">
        <w:rPr>
          <w:vertAlign w:val="subscript"/>
        </w:rPr>
        <w:t>4</w:t>
      </w:r>
      <w:r w:rsidRPr="009E06AA">
        <w:t xml:space="preserve"> (93.3 per cent) followed by nitrous oxide (N</w:t>
      </w:r>
      <w:r w:rsidRPr="009E06AA">
        <w:rPr>
          <w:vertAlign w:val="subscript"/>
        </w:rPr>
        <w:t>2</w:t>
      </w:r>
      <w:r w:rsidRPr="009E06AA">
        <w:t>O) (4.3 per cent) and carbon dioxide (CO</w:t>
      </w:r>
      <w:r w:rsidRPr="009E06AA">
        <w:rPr>
          <w:vertAlign w:val="subscript"/>
        </w:rPr>
        <w:t>2</w:t>
      </w:r>
      <w:r w:rsidRPr="009E06AA">
        <w:t>) emissions (2.4 per cent). The Waste sector produces 8.5 per cent of gross CH</w:t>
      </w:r>
      <w:r w:rsidRPr="009E06AA">
        <w:rPr>
          <w:vertAlign w:val="subscript"/>
        </w:rPr>
        <w:t>4</w:t>
      </w:r>
      <w:r w:rsidRPr="009E06AA">
        <w:t xml:space="preserve"> emissions in </w:t>
      </w:r>
      <w:r w:rsidRPr="009E06AA" w:rsidDel="0034159F">
        <w:t>New Zealand</w:t>
      </w:r>
      <w:r w:rsidRPr="009E06AA">
        <w:t>. There are also emissions of CO</w:t>
      </w:r>
      <w:r w:rsidRPr="009E06AA">
        <w:rPr>
          <w:vertAlign w:val="subscript"/>
        </w:rPr>
        <w:t>2</w:t>
      </w:r>
      <w:r w:rsidRPr="009E06AA">
        <w:t xml:space="preserve"> from the disposal of solid waste, but these are of biogenic origin and are not reported. </w:t>
      </w:r>
    </w:p>
    <w:p w14:paraId="088EEEBC" w14:textId="77777777" w:rsidR="00E87995" w:rsidRPr="009E06AA" w:rsidRDefault="00E87995" w:rsidP="00E87995">
      <w:pPr>
        <w:pStyle w:val="Heading4"/>
      </w:pPr>
      <w:r w:rsidRPr="009E06AA">
        <w:t>2022</w:t>
      </w:r>
    </w:p>
    <w:p w14:paraId="6E69552C" w14:textId="77777777" w:rsidR="00E87995" w:rsidRPr="009E06AA" w:rsidRDefault="00E87995" w:rsidP="00E87995">
      <w:pPr>
        <w:pStyle w:val="BodyText"/>
      </w:pPr>
      <w:r w:rsidRPr="009E06AA">
        <w:t>In 2022, emissions from the Waste sector contributed 3,492.7 kilotonnes carbon dioxide equivalent (kt CO</w:t>
      </w:r>
      <w:r w:rsidRPr="009E06AA">
        <w:rPr>
          <w:vertAlign w:val="subscript"/>
        </w:rPr>
        <w:t>2</w:t>
      </w:r>
      <w:r w:rsidRPr="009E06AA">
        <w:t xml:space="preserve">-e) or 4.5 per cent of New Zealand’s gross greenhouse gas emissions. The largest source category is </w:t>
      </w:r>
      <w:r w:rsidRPr="009E06AA">
        <w:rPr>
          <w:i/>
          <w:iCs/>
        </w:rPr>
        <w:t>Solid waste disposal</w:t>
      </w:r>
      <w:r w:rsidRPr="009E06AA">
        <w:t>, as shown in table 7.1.1.</w:t>
      </w:r>
    </w:p>
    <w:p w14:paraId="59F55FA3" w14:textId="77777777" w:rsidR="00E87995" w:rsidRPr="009E06AA" w:rsidRDefault="00E87995" w:rsidP="00E87995">
      <w:pPr>
        <w:pStyle w:val="Heading4"/>
      </w:pPr>
      <w:r w:rsidRPr="009E06AA">
        <w:t>1990–2022</w:t>
      </w:r>
    </w:p>
    <w:p w14:paraId="3562C45C" w14:textId="77777777" w:rsidR="00E87995" w:rsidRPr="009E06AA" w:rsidRDefault="00E87995" w:rsidP="00E87995">
      <w:pPr>
        <w:pStyle w:val="BodyText"/>
      </w:pPr>
      <w:r w:rsidRPr="009E06AA">
        <w:t>In 2022, emissions from the Waste sector decreased by 19.8 per cent (864.0 kt CO</w:t>
      </w:r>
      <w:r w:rsidRPr="009E06AA">
        <w:rPr>
          <w:vertAlign w:val="subscript"/>
        </w:rPr>
        <w:t>2</w:t>
      </w:r>
      <w:r w:rsidRPr="009E06AA">
        <w:t>-e), from 4,356.7 kt CO</w:t>
      </w:r>
      <w:r w:rsidRPr="009E06AA">
        <w:rPr>
          <w:vertAlign w:val="subscript"/>
        </w:rPr>
        <w:t>2</w:t>
      </w:r>
      <w:r w:rsidRPr="009E06AA">
        <w:t>-e in 1990.</w:t>
      </w:r>
    </w:p>
    <w:p w14:paraId="2913D697" w14:textId="77777777" w:rsidR="00E87995" w:rsidRPr="009E06AA" w:rsidRDefault="00E87995" w:rsidP="00E87995">
      <w:pPr>
        <w:pStyle w:val="BodyText"/>
      </w:pPr>
      <w:r w:rsidRPr="009E06AA">
        <w:t>Annual emissions from waste increased between 1990 and 2002, peaking at 4,946.7 kt CO</w:t>
      </w:r>
      <w:r w:rsidRPr="009E06AA">
        <w:rPr>
          <w:vertAlign w:val="subscript"/>
        </w:rPr>
        <w:t>2</w:t>
      </w:r>
      <w:r w:rsidRPr="009E06AA">
        <w:t>-e in 2002, and have generally decreased since that time. Growth in population and economic activity since 1990 has resulted in increasing volumes of solid waste and wastewater for the whole of the time series. Ongoing improvements in the management of solid waste disposal at municipal landfills have meant total Waste sector emissions have been trending down since 2005, despite increasing volumes of solid waste and wastewater. The reduction in emissions is primarily the result of increased CH</w:t>
      </w:r>
      <w:r w:rsidRPr="009E06AA">
        <w:rPr>
          <w:vertAlign w:val="subscript"/>
        </w:rPr>
        <w:t>4</w:t>
      </w:r>
      <w:r w:rsidRPr="009E06AA">
        <w:t xml:space="preserve"> recovery driven by the National Environmental Standards for Air Quality introduced in 2004 and also by the New Zealand Emissions Trading Scheme (NZ ETS) since 2013. These legislative tools are complemented by efforts by local government to introduce improved kerbside collections across the country, including for organic waste, and by a central government waste work programme that includes product stewardship, plastic phase-outs and investment in resource recovery infrastructure for organic materials.</w:t>
      </w:r>
    </w:p>
    <w:p w14:paraId="791C182C" w14:textId="77777777" w:rsidR="00E87995" w:rsidRPr="009E06AA" w:rsidRDefault="00E87995" w:rsidP="00E87995">
      <w:pPr>
        <w:pStyle w:val="BodyText"/>
      </w:pPr>
      <w:r w:rsidRPr="009E06AA">
        <w:t>The trends are shown in chapter 2, figure 2.2.11 and in figures 7.1.2 and 7.1.3.</w:t>
      </w:r>
    </w:p>
    <w:p w14:paraId="45D84E77" w14:textId="77777777" w:rsidR="00E87995" w:rsidRPr="009E06AA" w:rsidRDefault="00E87995" w:rsidP="00E87995">
      <w:pPr>
        <w:pStyle w:val="Heading4"/>
      </w:pPr>
      <w:r w:rsidRPr="009E06AA">
        <w:t>2021–2022</w:t>
      </w:r>
    </w:p>
    <w:p w14:paraId="1646F616" w14:textId="77777777" w:rsidR="00E87995" w:rsidRPr="009E06AA" w:rsidRDefault="00E87995" w:rsidP="00E87995">
      <w:pPr>
        <w:pStyle w:val="BodyText"/>
      </w:pPr>
      <w:r w:rsidRPr="009E06AA">
        <w:t>Between 2021 and 2022, emissions from the Waste sector decreased by 1.5 per cent (51.6 kt CO</w:t>
      </w:r>
      <w:r w:rsidRPr="009E06AA">
        <w:rPr>
          <w:vertAlign w:val="subscript"/>
        </w:rPr>
        <w:t>2</w:t>
      </w:r>
      <w:r w:rsidRPr="009E06AA">
        <w:t>-e). This decrease is largely the result of decreases in CH</w:t>
      </w:r>
      <w:r w:rsidRPr="009E06AA">
        <w:rPr>
          <w:vertAlign w:val="subscript"/>
        </w:rPr>
        <w:t>4</w:t>
      </w:r>
      <w:r w:rsidRPr="009E06AA">
        <w:t xml:space="preserve"> emissions in the </w:t>
      </w:r>
      <w:r w:rsidRPr="009E06AA">
        <w:rPr>
          <w:i/>
          <w:iCs/>
        </w:rPr>
        <w:t>Managed waste disposal sites</w:t>
      </w:r>
      <w:r w:rsidRPr="009E06AA">
        <w:t xml:space="preserve"> category mainly due to increasing landfill gas capture and changes in the composition of waste, with an estimated reduction in the proportion of garden, food and paper waste disposed to those sites.</w:t>
      </w:r>
    </w:p>
    <w:p w14:paraId="3B5B6F14" w14:textId="77777777" w:rsidR="00E87995" w:rsidRPr="009E06AA" w:rsidRDefault="00E87995" w:rsidP="00E87995">
      <w:pPr>
        <w:pStyle w:val="Table"/>
      </w:pPr>
      <w:bookmarkStart w:id="2763" w:name="_Toc128383660"/>
      <w:bookmarkStart w:id="2764" w:name="_Toc131591433"/>
      <w:bookmarkStart w:id="2765" w:name="_Toc160537309"/>
      <w:bookmarkStart w:id="2766" w:name="_Toc160537674"/>
      <w:bookmarkStart w:id="2767" w:name="_Toc164153924"/>
      <w:r w:rsidRPr="009E06AA">
        <w:t>Table 7.1.1</w:t>
      </w:r>
      <w:r w:rsidRPr="009E06AA">
        <w:tab/>
      </w:r>
      <w:r w:rsidRPr="009E06AA" w:rsidDel="00747A34">
        <w:t>New Zealand’s</w:t>
      </w:r>
      <w:r w:rsidRPr="009E06AA">
        <w:t xml:space="preserve"> greenhouse gas emissions for the Waste sector by source category in </w:t>
      </w:r>
      <w:r w:rsidRPr="009E06AA">
        <w:rPr>
          <w:bCs/>
        </w:rPr>
        <w:t>1990</w:t>
      </w:r>
      <w:r w:rsidRPr="009E06AA">
        <w:t> and </w:t>
      </w:r>
      <w:bookmarkEnd w:id="2763"/>
      <w:bookmarkEnd w:id="2764"/>
      <w:r w:rsidRPr="009E06AA">
        <w:rPr>
          <w:bCs/>
        </w:rPr>
        <w:t>2022</w:t>
      </w:r>
      <w:bookmarkEnd w:id="2765"/>
      <w:bookmarkEnd w:id="2766"/>
      <w:bookmarkEnd w:id="2767"/>
    </w:p>
    <w:tbl>
      <w:tblPr>
        <w:tblW w:w="8505" w:type="dxa"/>
        <w:tblBorders>
          <w:top w:val="single" w:sz="4" w:space="0" w:color="1B556B" w:themeColor="text2"/>
          <w:bottom w:val="single" w:sz="4" w:space="0" w:color="1B556B" w:themeColor="text2"/>
          <w:insideH w:val="single" w:sz="4" w:space="0" w:color="1B556B" w:themeColor="text2"/>
        </w:tblBorders>
        <w:tblLook w:val="0420" w:firstRow="1" w:lastRow="0" w:firstColumn="0" w:lastColumn="0" w:noHBand="0" w:noVBand="1"/>
      </w:tblPr>
      <w:tblGrid>
        <w:gridCol w:w="3260"/>
        <w:gridCol w:w="796"/>
        <w:gridCol w:w="796"/>
        <w:gridCol w:w="1636"/>
        <w:gridCol w:w="969"/>
        <w:gridCol w:w="524"/>
        <w:gridCol w:w="524"/>
      </w:tblGrid>
      <w:tr w:rsidR="00E87995" w:rsidRPr="009E06AA" w14:paraId="5F150D43" w14:textId="77777777" w:rsidTr="00B55F24">
        <w:trPr>
          <w:tblHeader/>
        </w:trPr>
        <w:tc>
          <w:tcPr>
            <w:tcW w:w="0" w:type="auto"/>
            <w:shd w:val="clear" w:color="auto" w:fill="1B556B"/>
            <w:tcMar>
              <w:top w:w="0" w:type="dxa"/>
              <w:left w:w="85" w:type="dxa"/>
              <w:bottom w:w="0" w:type="dxa"/>
              <w:right w:w="85" w:type="dxa"/>
            </w:tcMar>
          </w:tcPr>
          <w:p w14:paraId="3DC117E0" w14:textId="77777777" w:rsidR="00E87995" w:rsidRPr="009E06AA" w:rsidRDefault="00E87995" w:rsidP="00B55F24">
            <w:pPr>
              <w:pStyle w:val="TableTextBold"/>
              <w:spacing w:before="40" w:after="40"/>
              <w:rPr>
                <w:rFonts w:cs="Calibri"/>
                <w:noProof w:val="0"/>
                <w:color w:val="FFFFFF" w:themeColor="background1"/>
                <w:szCs w:val="16"/>
              </w:rPr>
            </w:pPr>
            <w:r w:rsidRPr="009E06AA">
              <w:rPr>
                <w:rFonts w:cs="Calibri"/>
                <w:noProof w:val="0"/>
                <w:color w:val="FFFFFF" w:themeColor="background1"/>
                <w:szCs w:val="16"/>
              </w:rPr>
              <w:t xml:space="preserve"> </w:t>
            </w:r>
          </w:p>
        </w:tc>
        <w:tc>
          <w:tcPr>
            <w:tcW w:w="0" w:type="auto"/>
            <w:gridSpan w:val="2"/>
            <w:shd w:val="clear" w:color="auto" w:fill="1B556B"/>
            <w:tcMar>
              <w:top w:w="0" w:type="dxa"/>
              <w:left w:w="85" w:type="dxa"/>
              <w:bottom w:w="0" w:type="dxa"/>
              <w:right w:w="85" w:type="dxa"/>
            </w:tcMar>
          </w:tcPr>
          <w:p w14:paraId="33BDBC66" w14:textId="77777777" w:rsidR="00E87995" w:rsidRPr="009E06AA" w:rsidRDefault="00E87995" w:rsidP="003B4A58">
            <w:pPr>
              <w:pStyle w:val="TableTextBold"/>
              <w:spacing w:before="40" w:after="40"/>
              <w:jc w:val="right"/>
              <w:rPr>
                <w:rFonts w:cs="Calibri"/>
                <w:noProof w:val="0"/>
                <w:color w:val="FFFFFF" w:themeColor="background1"/>
                <w:szCs w:val="16"/>
              </w:rPr>
            </w:pPr>
            <w:r w:rsidRPr="009E06AA">
              <w:rPr>
                <w:rFonts w:cs="Calibri"/>
                <w:noProof w:val="0"/>
                <w:color w:val="FFFFFF" w:themeColor="background1"/>
                <w:szCs w:val="16"/>
              </w:rPr>
              <w:t>Emissions (kt CO₂-e)</w:t>
            </w:r>
          </w:p>
        </w:tc>
        <w:tc>
          <w:tcPr>
            <w:tcW w:w="0" w:type="auto"/>
            <w:shd w:val="clear" w:color="auto" w:fill="1B556B"/>
            <w:tcMar>
              <w:top w:w="0" w:type="dxa"/>
              <w:left w:w="85" w:type="dxa"/>
              <w:bottom w:w="0" w:type="dxa"/>
              <w:right w:w="85" w:type="dxa"/>
            </w:tcMar>
          </w:tcPr>
          <w:p w14:paraId="10F16E99" w14:textId="77777777" w:rsidR="00E87995" w:rsidRPr="009E06AA" w:rsidRDefault="00E87995" w:rsidP="003B4A58">
            <w:pPr>
              <w:pStyle w:val="TableTextBold"/>
              <w:spacing w:before="40" w:after="40"/>
              <w:jc w:val="right"/>
              <w:rPr>
                <w:rFonts w:cs="Calibri"/>
                <w:noProof w:val="0"/>
                <w:color w:val="FFFFFF" w:themeColor="background1"/>
                <w:szCs w:val="16"/>
              </w:rPr>
            </w:pPr>
            <w:r w:rsidRPr="009E06AA">
              <w:rPr>
                <w:rFonts w:cs="Calibri"/>
                <w:noProof w:val="0"/>
                <w:color w:val="FFFFFF" w:themeColor="background1"/>
                <w:szCs w:val="16"/>
              </w:rPr>
              <w:t>Difference (kt CO₂-e)</w:t>
            </w:r>
          </w:p>
        </w:tc>
        <w:tc>
          <w:tcPr>
            <w:tcW w:w="0" w:type="auto"/>
            <w:shd w:val="clear" w:color="auto" w:fill="1B556B"/>
            <w:tcMar>
              <w:top w:w="0" w:type="dxa"/>
              <w:left w:w="85" w:type="dxa"/>
              <w:bottom w:w="0" w:type="dxa"/>
              <w:right w:w="85" w:type="dxa"/>
            </w:tcMar>
          </w:tcPr>
          <w:p w14:paraId="192C9962" w14:textId="77777777" w:rsidR="00E87995" w:rsidRPr="009E06AA" w:rsidRDefault="00E87995" w:rsidP="003B4A58">
            <w:pPr>
              <w:pStyle w:val="TableTextBold"/>
              <w:spacing w:before="40" w:after="40"/>
              <w:jc w:val="right"/>
              <w:rPr>
                <w:rFonts w:cs="Calibri"/>
                <w:noProof w:val="0"/>
                <w:color w:val="FFFFFF" w:themeColor="background1"/>
                <w:szCs w:val="16"/>
              </w:rPr>
            </w:pPr>
            <w:r w:rsidRPr="009E06AA">
              <w:rPr>
                <w:rFonts w:cs="Calibri"/>
                <w:noProof w:val="0"/>
                <w:color w:val="FFFFFF" w:themeColor="background1"/>
                <w:szCs w:val="16"/>
              </w:rPr>
              <w:t>Change (%)</w:t>
            </w:r>
          </w:p>
        </w:tc>
        <w:tc>
          <w:tcPr>
            <w:tcW w:w="0" w:type="auto"/>
            <w:gridSpan w:val="2"/>
            <w:shd w:val="clear" w:color="auto" w:fill="1B556B"/>
            <w:tcMar>
              <w:top w:w="0" w:type="dxa"/>
              <w:left w:w="85" w:type="dxa"/>
              <w:bottom w:w="0" w:type="dxa"/>
              <w:right w:w="85" w:type="dxa"/>
            </w:tcMar>
          </w:tcPr>
          <w:p w14:paraId="5F05081C" w14:textId="77777777" w:rsidR="00E87995" w:rsidRPr="009E06AA" w:rsidRDefault="00E87995" w:rsidP="003B4A58">
            <w:pPr>
              <w:pStyle w:val="TableTextBold"/>
              <w:spacing w:before="40" w:after="40"/>
              <w:jc w:val="right"/>
              <w:rPr>
                <w:rFonts w:cs="Calibri"/>
                <w:noProof w:val="0"/>
                <w:color w:val="FFFFFF" w:themeColor="background1"/>
                <w:szCs w:val="16"/>
              </w:rPr>
            </w:pPr>
            <w:r w:rsidRPr="009E06AA">
              <w:rPr>
                <w:rFonts w:cs="Calibri"/>
                <w:noProof w:val="0"/>
                <w:color w:val="FFFFFF" w:themeColor="background1"/>
                <w:szCs w:val="16"/>
              </w:rPr>
              <w:t>Share (%)</w:t>
            </w:r>
          </w:p>
        </w:tc>
      </w:tr>
      <w:tr w:rsidR="00E87995" w:rsidRPr="009E06AA" w14:paraId="2C70442E" w14:textId="77777777" w:rsidTr="00B55F24">
        <w:tc>
          <w:tcPr>
            <w:tcW w:w="0" w:type="auto"/>
            <w:shd w:val="clear" w:color="auto" w:fill="FFFFFF"/>
            <w:tcMar>
              <w:top w:w="0" w:type="dxa"/>
              <w:left w:w="85" w:type="dxa"/>
              <w:bottom w:w="0" w:type="dxa"/>
              <w:right w:w="85" w:type="dxa"/>
            </w:tcMar>
          </w:tcPr>
          <w:p w14:paraId="45AA9D2E" w14:textId="77777777" w:rsidR="00E87995" w:rsidRPr="009E06AA" w:rsidRDefault="00E87995" w:rsidP="00B55F24">
            <w:pPr>
              <w:pStyle w:val="TableTextBold"/>
              <w:spacing w:before="40" w:after="40"/>
              <w:rPr>
                <w:rFonts w:cs="Calibri"/>
                <w:noProof w:val="0"/>
                <w:szCs w:val="16"/>
              </w:rPr>
            </w:pPr>
            <w:r w:rsidRPr="009E06AA">
              <w:rPr>
                <w:rFonts w:cs="Calibri"/>
                <w:noProof w:val="0"/>
                <w:szCs w:val="16"/>
              </w:rPr>
              <w:t>Source category</w:t>
            </w:r>
          </w:p>
        </w:tc>
        <w:tc>
          <w:tcPr>
            <w:tcW w:w="0" w:type="auto"/>
            <w:shd w:val="clear" w:color="auto" w:fill="FFFFFF"/>
            <w:tcMar>
              <w:top w:w="0" w:type="dxa"/>
              <w:left w:w="85" w:type="dxa"/>
              <w:bottom w:w="0" w:type="dxa"/>
              <w:right w:w="85" w:type="dxa"/>
            </w:tcMar>
          </w:tcPr>
          <w:p w14:paraId="3D5CBF62" w14:textId="77777777" w:rsidR="00E87995" w:rsidRPr="009E06AA" w:rsidRDefault="00E87995" w:rsidP="003B4A58">
            <w:pPr>
              <w:pStyle w:val="TableTextBold"/>
              <w:spacing w:before="40" w:after="40"/>
              <w:jc w:val="right"/>
              <w:rPr>
                <w:rFonts w:cs="Calibri"/>
                <w:noProof w:val="0"/>
                <w:szCs w:val="16"/>
              </w:rPr>
            </w:pPr>
            <w:r w:rsidRPr="009E06AA">
              <w:rPr>
                <w:rFonts w:cs="Calibri"/>
                <w:noProof w:val="0"/>
                <w:szCs w:val="16"/>
              </w:rPr>
              <w:t>1990</w:t>
            </w:r>
          </w:p>
        </w:tc>
        <w:tc>
          <w:tcPr>
            <w:tcW w:w="0" w:type="auto"/>
            <w:shd w:val="clear" w:color="auto" w:fill="FFFFFF"/>
            <w:tcMar>
              <w:top w:w="0" w:type="dxa"/>
              <w:left w:w="85" w:type="dxa"/>
              <w:bottom w:w="0" w:type="dxa"/>
              <w:right w:w="85" w:type="dxa"/>
            </w:tcMar>
          </w:tcPr>
          <w:p w14:paraId="2A26EBFE" w14:textId="77777777" w:rsidR="00E87995" w:rsidRPr="009E06AA" w:rsidRDefault="00E87995" w:rsidP="003B4A58">
            <w:pPr>
              <w:pStyle w:val="TableTextBold"/>
              <w:spacing w:before="40" w:after="40"/>
              <w:jc w:val="right"/>
              <w:rPr>
                <w:rFonts w:cs="Calibri"/>
                <w:noProof w:val="0"/>
                <w:szCs w:val="16"/>
              </w:rPr>
            </w:pPr>
            <w:r w:rsidRPr="009E06AA">
              <w:rPr>
                <w:rFonts w:eastAsia="Calibri" w:cs="Calibri"/>
                <w:noProof w:val="0"/>
                <w:szCs w:val="16"/>
              </w:rPr>
              <w:t>2022</w:t>
            </w:r>
          </w:p>
        </w:tc>
        <w:tc>
          <w:tcPr>
            <w:tcW w:w="0" w:type="auto"/>
            <w:shd w:val="clear" w:color="auto" w:fill="FFFFFF"/>
            <w:tcMar>
              <w:top w:w="0" w:type="dxa"/>
              <w:left w:w="85" w:type="dxa"/>
              <w:bottom w:w="0" w:type="dxa"/>
              <w:right w:w="85" w:type="dxa"/>
            </w:tcMar>
          </w:tcPr>
          <w:p w14:paraId="32383D80" w14:textId="77777777" w:rsidR="00E87995" w:rsidRPr="009E06AA" w:rsidRDefault="00E87995" w:rsidP="003B4A58">
            <w:pPr>
              <w:pStyle w:val="TableTextBold"/>
              <w:spacing w:before="40" w:after="40"/>
              <w:jc w:val="right"/>
              <w:rPr>
                <w:rFonts w:cs="Calibri"/>
                <w:noProof w:val="0"/>
                <w:szCs w:val="16"/>
              </w:rPr>
            </w:pPr>
            <w:r w:rsidRPr="009E06AA">
              <w:rPr>
                <w:rFonts w:cs="Calibri"/>
                <w:noProof w:val="0"/>
                <w:szCs w:val="16"/>
              </w:rPr>
              <w:t>1990–</w:t>
            </w:r>
            <w:r w:rsidRPr="009E06AA">
              <w:rPr>
                <w:rFonts w:eastAsia="Calibri" w:cs="Calibri"/>
                <w:noProof w:val="0"/>
                <w:szCs w:val="16"/>
              </w:rPr>
              <w:t>2022</w:t>
            </w:r>
          </w:p>
        </w:tc>
        <w:tc>
          <w:tcPr>
            <w:tcW w:w="0" w:type="auto"/>
            <w:shd w:val="clear" w:color="auto" w:fill="FFFFFF"/>
            <w:tcMar>
              <w:top w:w="0" w:type="dxa"/>
              <w:left w:w="85" w:type="dxa"/>
              <w:bottom w:w="0" w:type="dxa"/>
              <w:right w:w="85" w:type="dxa"/>
            </w:tcMar>
          </w:tcPr>
          <w:p w14:paraId="329C2341" w14:textId="77777777" w:rsidR="00E87995" w:rsidRPr="009E06AA" w:rsidRDefault="00E87995" w:rsidP="003B4A58">
            <w:pPr>
              <w:pStyle w:val="TableTextBold"/>
              <w:spacing w:before="40" w:after="40"/>
              <w:jc w:val="right"/>
              <w:rPr>
                <w:rFonts w:cs="Calibri"/>
                <w:noProof w:val="0"/>
                <w:szCs w:val="16"/>
              </w:rPr>
            </w:pPr>
            <w:r w:rsidRPr="009E06AA">
              <w:rPr>
                <w:rFonts w:cs="Calibri"/>
                <w:noProof w:val="0"/>
                <w:szCs w:val="16"/>
              </w:rPr>
              <w:t>1990–</w:t>
            </w:r>
            <w:r w:rsidRPr="009E06AA">
              <w:rPr>
                <w:rFonts w:eastAsia="Calibri" w:cs="Calibri"/>
                <w:noProof w:val="0"/>
                <w:szCs w:val="16"/>
              </w:rPr>
              <w:t>2022</w:t>
            </w:r>
          </w:p>
        </w:tc>
        <w:tc>
          <w:tcPr>
            <w:tcW w:w="0" w:type="auto"/>
            <w:shd w:val="clear" w:color="auto" w:fill="FFFFFF"/>
            <w:tcMar>
              <w:top w:w="0" w:type="dxa"/>
              <w:left w:w="85" w:type="dxa"/>
              <w:bottom w:w="0" w:type="dxa"/>
              <w:right w:w="85" w:type="dxa"/>
            </w:tcMar>
          </w:tcPr>
          <w:p w14:paraId="2B014098" w14:textId="77777777" w:rsidR="00E87995" w:rsidRPr="009E06AA" w:rsidRDefault="00E87995" w:rsidP="003B4A58">
            <w:pPr>
              <w:pStyle w:val="TableTextBold"/>
              <w:spacing w:before="40" w:after="40"/>
              <w:jc w:val="right"/>
              <w:rPr>
                <w:rFonts w:cs="Calibri"/>
                <w:noProof w:val="0"/>
                <w:szCs w:val="16"/>
              </w:rPr>
            </w:pPr>
            <w:r w:rsidRPr="009E06AA">
              <w:rPr>
                <w:rFonts w:cs="Calibri"/>
                <w:noProof w:val="0"/>
                <w:szCs w:val="16"/>
              </w:rPr>
              <w:t>1990</w:t>
            </w:r>
          </w:p>
        </w:tc>
        <w:tc>
          <w:tcPr>
            <w:tcW w:w="0" w:type="auto"/>
            <w:shd w:val="clear" w:color="auto" w:fill="FFFFFF"/>
            <w:tcMar>
              <w:top w:w="0" w:type="dxa"/>
              <w:left w:w="85" w:type="dxa"/>
              <w:bottom w:w="0" w:type="dxa"/>
              <w:right w:w="85" w:type="dxa"/>
            </w:tcMar>
          </w:tcPr>
          <w:p w14:paraId="6A17C1BC" w14:textId="77777777" w:rsidR="00E87995" w:rsidRPr="009E06AA" w:rsidRDefault="00E87995" w:rsidP="003B4A58">
            <w:pPr>
              <w:pStyle w:val="TableTextBold"/>
              <w:spacing w:before="40" w:after="40"/>
              <w:jc w:val="right"/>
              <w:rPr>
                <w:rFonts w:cs="Calibri"/>
                <w:noProof w:val="0"/>
                <w:szCs w:val="16"/>
              </w:rPr>
            </w:pPr>
            <w:r w:rsidRPr="009E06AA">
              <w:rPr>
                <w:rFonts w:eastAsia="Calibri" w:cs="Calibri"/>
                <w:noProof w:val="0"/>
                <w:szCs w:val="16"/>
              </w:rPr>
              <w:t>2022</w:t>
            </w:r>
          </w:p>
        </w:tc>
      </w:tr>
      <w:tr w:rsidR="00E87995" w:rsidRPr="009E06AA" w14:paraId="6A694247" w14:textId="77777777" w:rsidTr="00B55F24">
        <w:tc>
          <w:tcPr>
            <w:tcW w:w="0" w:type="auto"/>
            <w:shd w:val="clear" w:color="auto" w:fill="FFFFFF"/>
            <w:tcMar>
              <w:top w:w="0" w:type="dxa"/>
              <w:left w:w="85" w:type="dxa"/>
              <w:bottom w:w="0" w:type="dxa"/>
              <w:right w:w="85" w:type="dxa"/>
            </w:tcMar>
          </w:tcPr>
          <w:p w14:paraId="69F46E5A" w14:textId="77777777" w:rsidR="00E87995" w:rsidRPr="009E06AA" w:rsidRDefault="00E87995" w:rsidP="00B55F24">
            <w:pPr>
              <w:pStyle w:val="TableText"/>
              <w:spacing w:before="40" w:after="40"/>
              <w:rPr>
                <w:rFonts w:cs="Calibri"/>
                <w:szCs w:val="16"/>
              </w:rPr>
            </w:pPr>
            <w:r w:rsidRPr="009E06AA">
              <w:rPr>
                <w:rFonts w:cs="Calibri"/>
                <w:szCs w:val="16"/>
              </w:rPr>
              <w:t>Solid waste disposal (5.A)</w:t>
            </w:r>
          </w:p>
        </w:tc>
        <w:tc>
          <w:tcPr>
            <w:tcW w:w="0" w:type="auto"/>
            <w:shd w:val="clear" w:color="auto" w:fill="FFFFFF"/>
            <w:tcMar>
              <w:top w:w="0" w:type="dxa"/>
              <w:left w:w="85" w:type="dxa"/>
              <w:bottom w:w="0" w:type="dxa"/>
              <w:right w:w="85" w:type="dxa"/>
            </w:tcMar>
          </w:tcPr>
          <w:p w14:paraId="613A6423" w14:textId="77777777" w:rsidR="00E87995" w:rsidRPr="009E06AA" w:rsidRDefault="00E87995" w:rsidP="003B4A58">
            <w:pPr>
              <w:pStyle w:val="TableText"/>
              <w:spacing w:before="40" w:after="40"/>
              <w:jc w:val="right"/>
              <w:rPr>
                <w:rFonts w:cs="Calibri"/>
                <w:szCs w:val="16"/>
              </w:rPr>
            </w:pPr>
            <w:r w:rsidRPr="009E06AA">
              <w:rPr>
                <w:rFonts w:cs="Calibri"/>
                <w:szCs w:val="16"/>
              </w:rPr>
              <w:t>3,</w:t>
            </w:r>
            <w:r w:rsidRPr="009E06AA">
              <w:rPr>
                <w:rFonts w:eastAsia="Calibri" w:cs="Calibri"/>
                <w:szCs w:val="16"/>
              </w:rPr>
              <w:t>708.8</w:t>
            </w:r>
          </w:p>
        </w:tc>
        <w:tc>
          <w:tcPr>
            <w:tcW w:w="0" w:type="auto"/>
            <w:shd w:val="clear" w:color="auto" w:fill="FFFFFF"/>
            <w:tcMar>
              <w:top w:w="0" w:type="dxa"/>
              <w:left w:w="85" w:type="dxa"/>
              <w:bottom w:w="0" w:type="dxa"/>
              <w:right w:w="85" w:type="dxa"/>
            </w:tcMar>
          </w:tcPr>
          <w:p w14:paraId="18206CB5" w14:textId="77777777" w:rsidR="00E87995" w:rsidRPr="009E06AA" w:rsidRDefault="00E87995" w:rsidP="003B4A58">
            <w:pPr>
              <w:pStyle w:val="TableText"/>
              <w:spacing w:before="40" w:after="40"/>
              <w:jc w:val="right"/>
              <w:rPr>
                <w:rFonts w:cs="Calibri"/>
                <w:szCs w:val="16"/>
              </w:rPr>
            </w:pPr>
            <w:r w:rsidRPr="009E06AA">
              <w:rPr>
                <w:rFonts w:cs="Calibri"/>
                <w:szCs w:val="16"/>
              </w:rPr>
              <w:t>2,</w:t>
            </w:r>
            <w:r w:rsidRPr="009E06AA">
              <w:rPr>
                <w:rFonts w:eastAsia="Calibri" w:cs="Calibri"/>
                <w:szCs w:val="16"/>
              </w:rPr>
              <w:t>840.6</w:t>
            </w:r>
          </w:p>
        </w:tc>
        <w:tc>
          <w:tcPr>
            <w:tcW w:w="0" w:type="auto"/>
            <w:shd w:val="clear" w:color="auto" w:fill="FFFFFF"/>
            <w:tcMar>
              <w:top w:w="0" w:type="dxa"/>
              <w:left w:w="85" w:type="dxa"/>
              <w:bottom w:w="0" w:type="dxa"/>
              <w:right w:w="85" w:type="dxa"/>
            </w:tcMar>
          </w:tcPr>
          <w:p w14:paraId="2EF71500" w14:textId="77777777" w:rsidR="00E87995" w:rsidRPr="009E06AA" w:rsidRDefault="00E87995" w:rsidP="003B4A58">
            <w:pPr>
              <w:pStyle w:val="TableText"/>
              <w:spacing w:before="40" w:after="40"/>
              <w:jc w:val="right"/>
              <w:rPr>
                <w:rFonts w:cs="Calibri"/>
                <w:szCs w:val="16"/>
              </w:rPr>
            </w:pPr>
            <w:r w:rsidRPr="009E06AA">
              <w:rPr>
                <w:rFonts w:cs="Calibri"/>
                <w:szCs w:val="16"/>
              </w:rPr>
              <w:t>-</w:t>
            </w:r>
            <w:r w:rsidRPr="009E06AA">
              <w:rPr>
                <w:rFonts w:eastAsia="Calibri" w:cs="Calibri"/>
                <w:szCs w:val="16"/>
              </w:rPr>
              <w:t>868.2</w:t>
            </w:r>
          </w:p>
        </w:tc>
        <w:tc>
          <w:tcPr>
            <w:tcW w:w="0" w:type="auto"/>
            <w:shd w:val="clear" w:color="auto" w:fill="FFFFFF"/>
            <w:tcMar>
              <w:top w:w="0" w:type="dxa"/>
              <w:left w:w="85" w:type="dxa"/>
              <w:bottom w:w="0" w:type="dxa"/>
              <w:right w:w="85" w:type="dxa"/>
            </w:tcMar>
          </w:tcPr>
          <w:p w14:paraId="57ED7225" w14:textId="77777777" w:rsidR="00E87995" w:rsidRPr="009E06AA" w:rsidRDefault="00E87995" w:rsidP="003B4A58">
            <w:pPr>
              <w:pStyle w:val="TableText"/>
              <w:spacing w:before="40" w:after="40"/>
              <w:jc w:val="right"/>
              <w:rPr>
                <w:rFonts w:cs="Calibri"/>
                <w:szCs w:val="16"/>
              </w:rPr>
            </w:pPr>
            <w:r w:rsidRPr="009E06AA">
              <w:rPr>
                <w:rFonts w:cs="Calibri"/>
                <w:szCs w:val="16"/>
              </w:rPr>
              <w:t>-</w:t>
            </w:r>
            <w:r w:rsidRPr="009E06AA">
              <w:rPr>
                <w:rFonts w:eastAsia="Calibri" w:cs="Calibri"/>
                <w:szCs w:val="16"/>
              </w:rPr>
              <w:t>23.4</w:t>
            </w:r>
          </w:p>
        </w:tc>
        <w:tc>
          <w:tcPr>
            <w:tcW w:w="0" w:type="auto"/>
            <w:shd w:val="clear" w:color="auto" w:fill="FFFFFF"/>
            <w:tcMar>
              <w:top w:w="0" w:type="dxa"/>
              <w:left w:w="85" w:type="dxa"/>
              <w:bottom w:w="0" w:type="dxa"/>
              <w:right w:w="85" w:type="dxa"/>
            </w:tcMar>
          </w:tcPr>
          <w:p w14:paraId="4B40EAC7" w14:textId="77777777" w:rsidR="00E87995" w:rsidRPr="009E06AA" w:rsidRDefault="00E87995" w:rsidP="003B4A58">
            <w:pPr>
              <w:pStyle w:val="TableText"/>
              <w:spacing w:before="40" w:after="40"/>
              <w:jc w:val="right"/>
              <w:rPr>
                <w:rFonts w:cs="Calibri"/>
                <w:szCs w:val="16"/>
              </w:rPr>
            </w:pPr>
            <w:r w:rsidRPr="009E06AA">
              <w:rPr>
                <w:rFonts w:eastAsia="Calibri" w:cs="Calibri"/>
                <w:szCs w:val="16"/>
              </w:rPr>
              <w:t>85</w:t>
            </w:r>
            <w:r w:rsidRPr="009E06AA">
              <w:rPr>
                <w:rFonts w:cs="Calibri"/>
                <w:szCs w:val="16"/>
              </w:rPr>
              <w:t>.1</w:t>
            </w:r>
          </w:p>
        </w:tc>
        <w:tc>
          <w:tcPr>
            <w:tcW w:w="0" w:type="auto"/>
            <w:shd w:val="clear" w:color="auto" w:fill="FFFFFF"/>
            <w:tcMar>
              <w:top w:w="0" w:type="dxa"/>
              <w:left w:w="85" w:type="dxa"/>
              <w:bottom w:w="0" w:type="dxa"/>
              <w:right w:w="85" w:type="dxa"/>
            </w:tcMar>
          </w:tcPr>
          <w:p w14:paraId="147BBF5E" w14:textId="77777777" w:rsidR="00E87995" w:rsidRPr="009E06AA" w:rsidRDefault="00E87995" w:rsidP="003B4A58">
            <w:pPr>
              <w:pStyle w:val="TableText"/>
              <w:spacing w:before="40" w:after="40"/>
              <w:jc w:val="right"/>
              <w:rPr>
                <w:rFonts w:cs="Calibri"/>
                <w:szCs w:val="16"/>
              </w:rPr>
            </w:pPr>
            <w:r w:rsidRPr="009E06AA">
              <w:rPr>
                <w:rFonts w:eastAsia="Calibri" w:cs="Calibri"/>
                <w:szCs w:val="16"/>
              </w:rPr>
              <w:t>81.3</w:t>
            </w:r>
          </w:p>
        </w:tc>
      </w:tr>
      <w:tr w:rsidR="00E87995" w:rsidRPr="009E06AA" w14:paraId="02F717FF" w14:textId="77777777" w:rsidTr="00B55F24">
        <w:tc>
          <w:tcPr>
            <w:tcW w:w="0" w:type="auto"/>
            <w:shd w:val="clear" w:color="auto" w:fill="FFFFFF"/>
            <w:tcMar>
              <w:top w:w="0" w:type="dxa"/>
              <w:left w:w="85" w:type="dxa"/>
              <w:bottom w:w="0" w:type="dxa"/>
              <w:right w:w="85" w:type="dxa"/>
            </w:tcMar>
          </w:tcPr>
          <w:p w14:paraId="6320826B" w14:textId="77777777" w:rsidR="00E87995" w:rsidRPr="009E06AA" w:rsidRDefault="00E87995" w:rsidP="00B55F24">
            <w:pPr>
              <w:pStyle w:val="TableText"/>
              <w:spacing w:before="40" w:after="40"/>
              <w:rPr>
                <w:rFonts w:cs="Calibri"/>
                <w:szCs w:val="16"/>
              </w:rPr>
            </w:pPr>
            <w:r w:rsidRPr="009E06AA">
              <w:rPr>
                <w:rFonts w:cs="Calibri"/>
                <w:szCs w:val="16"/>
              </w:rPr>
              <w:t>Biological treatment of solid waste (5.B)</w:t>
            </w:r>
          </w:p>
        </w:tc>
        <w:tc>
          <w:tcPr>
            <w:tcW w:w="0" w:type="auto"/>
            <w:shd w:val="clear" w:color="auto" w:fill="FFFFFF"/>
            <w:tcMar>
              <w:top w:w="0" w:type="dxa"/>
              <w:left w:w="85" w:type="dxa"/>
              <w:bottom w:w="0" w:type="dxa"/>
              <w:right w:w="85" w:type="dxa"/>
            </w:tcMar>
          </w:tcPr>
          <w:p w14:paraId="713840E6" w14:textId="77777777" w:rsidR="00E87995" w:rsidRPr="009E06AA" w:rsidRDefault="00E87995" w:rsidP="003B4A58">
            <w:pPr>
              <w:pStyle w:val="TableText"/>
              <w:spacing w:before="40" w:after="40"/>
              <w:jc w:val="right"/>
              <w:rPr>
                <w:rFonts w:cs="Calibri"/>
                <w:szCs w:val="16"/>
              </w:rPr>
            </w:pPr>
            <w:r w:rsidRPr="009E06AA">
              <w:rPr>
                <w:rFonts w:cs="Calibri"/>
                <w:szCs w:val="16"/>
              </w:rPr>
              <w:t>4.</w:t>
            </w:r>
            <w:r w:rsidRPr="009E06AA">
              <w:rPr>
                <w:rFonts w:eastAsia="Calibri" w:cs="Calibri"/>
                <w:szCs w:val="16"/>
              </w:rPr>
              <w:t>8</w:t>
            </w:r>
          </w:p>
        </w:tc>
        <w:tc>
          <w:tcPr>
            <w:tcW w:w="0" w:type="auto"/>
            <w:shd w:val="clear" w:color="auto" w:fill="FFFFFF"/>
            <w:tcMar>
              <w:top w:w="0" w:type="dxa"/>
              <w:left w:w="85" w:type="dxa"/>
              <w:bottom w:w="0" w:type="dxa"/>
              <w:right w:w="85" w:type="dxa"/>
            </w:tcMar>
          </w:tcPr>
          <w:p w14:paraId="161EA554" w14:textId="77777777" w:rsidR="00E87995" w:rsidRPr="009E06AA" w:rsidRDefault="00E87995" w:rsidP="003B4A58">
            <w:pPr>
              <w:pStyle w:val="TableText"/>
              <w:spacing w:before="40" w:after="40"/>
              <w:jc w:val="right"/>
              <w:rPr>
                <w:rFonts w:cs="Calibri"/>
                <w:szCs w:val="16"/>
              </w:rPr>
            </w:pPr>
            <w:r w:rsidRPr="009E06AA">
              <w:rPr>
                <w:rFonts w:eastAsia="Calibri" w:cs="Calibri"/>
                <w:szCs w:val="16"/>
              </w:rPr>
              <w:t>76.5</w:t>
            </w:r>
          </w:p>
        </w:tc>
        <w:tc>
          <w:tcPr>
            <w:tcW w:w="0" w:type="auto"/>
            <w:shd w:val="clear" w:color="auto" w:fill="FFFFFF"/>
            <w:tcMar>
              <w:top w:w="0" w:type="dxa"/>
              <w:left w:w="85" w:type="dxa"/>
              <w:bottom w:w="0" w:type="dxa"/>
              <w:right w:w="85" w:type="dxa"/>
            </w:tcMar>
          </w:tcPr>
          <w:p w14:paraId="30B93F0A" w14:textId="77777777" w:rsidR="00E87995" w:rsidRPr="009E06AA" w:rsidRDefault="00E87995" w:rsidP="003B4A58">
            <w:pPr>
              <w:pStyle w:val="TableText"/>
              <w:spacing w:before="40" w:after="40"/>
              <w:jc w:val="right"/>
              <w:rPr>
                <w:rFonts w:cs="Calibri"/>
                <w:szCs w:val="16"/>
              </w:rPr>
            </w:pPr>
            <w:r w:rsidRPr="009E06AA">
              <w:rPr>
                <w:rFonts w:eastAsia="Calibri" w:cs="Calibri"/>
                <w:szCs w:val="16"/>
              </w:rPr>
              <w:t>71.7</w:t>
            </w:r>
          </w:p>
        </w:tc>
        <w:tc>
          <w:tcPr>
            <w:tcW w:w="0" w:type="auto"/>
            <w:shd w:val="clear" w:color="auto" w:fill="FFFFFF"/>
            <w:tcMar>
              <w:top w:w="0" w:type="dxa"/>
              <w:left w:w="85" w:type="dxa"/>
              <w:bottom w:w="0" w:type="dxa"/>
              <w:right w:w="85" w:type="dxa"/>
            </w:tcMar>
          </w:tcPr>
          <w:p w14:paraId="4DB42CF6" w14:textId="77777777" w:rsidR="00E87995" w:rsidRPr="009E06AA" w:rsidRDefault="00E87995" w:rsidP="003B4A58">
            <w:pPr>
              <w:pStyle w:val="TableText"/>
              <w:spacing w:before="40" w:after="40"/>
              <w:jc w:val="right"/>
              <w:rPr>
                <w:rFonts w:cs="Calibri"/>
                <w:szCs w:val="16"/>
              </w:rPr>
            </w:pPr>
            <w:r w:rsidRPr="009E06AA">
              <w:rPr>
                <w:rFonts w:eastAsia="Calibri" w:cs="Calibri"/>
                <w:szCs w:val="16"/>
              </w:rPr>
              <w:t>1491.7</w:t>
            </w:r>
          </w:p>
        </w:tc>
        <w:tc>
          <w:tcPr>
            <w:tcW w:w="0" w:type="auto"/>
            <w:shd w:val="clear" w:color="auto" w:fill="FFFFFF"/>
            <w:tcMar>
              <w:top w:w="0" w:type="dxa"/>
              <w:left w:w="85" w:type="dxa"/>
              <w:bottom w:w="0" w:type="dxa"/>
              <w:right w:w="85" w:type="dxa"/>
            </w:tcMar>
          </w:tcPr>
          <w:p w14:paraId="142DBA67" w14:textId="77777777" w:rsidR="00E87995" w:rsidRPr="009E06AA" w:rsidRDefault="00E87995" w:rsidP="003B4A58">
            <w:pPr>
              <w:pStyle w:val="TableText"/>
              <w:spacing w:before="40" w:after="40"/>
              <w:jc w:val="right"/>
              <w:rPr>
                <w:rFonts w:cs="Calibri"/>
                <w:szCs w:val="16"/>
              </w:rPr>
            </w:pPr>
            <w:r w:rsidRPr="009E06AA">
              <w:rPr>
                <w:rFonts w:cs="Calibri"/>
                <w:szCs w:val="16"/>
              </w:rPr>
              <w:t>0.1</w:t>
            </w:r>
          </w:p>
        </w:tc>
        <w:tc>
          <w:tcPr>
            <w:tcW w:w="0" w:type="auto"/>
            <w:shd w:val="clear" w:color="auto" w:fill="FFFFFF"/>
            <w:tcMar>
              <w:top w:w="0" w:type="dxa"/>
              <w:left w:w="85" w:type="dxa"/>
              <w:bottom w:w="0" w:type="dxa"/>
              <w:right w:w="85" w:type="dxa"/>
            </w:tcMar>
          </w:tcPr>
          <w:p w14:paraId="3954BD83" w14:textId="77777777" w:rsidR="00E87995" w:rsidRPr="009E06AA" w:rsidRDefault="00E87995" w:rsidP="003B4A58">
            <w:pPr>
              <w:pStyle w:val="TableText"/>
              <w:spacing w:before="40" w:after="40"/>
              <w:jc w:val="right"/>
              <w:rPr>
                <w:rFonts w:cs="Calibri"/>
                <w:szCs w:val="16"/>
              </w:rPr>
            </w:pPr>
            <w:r w:rsidRPr="009E06AA">
              <w:rPr>
                <w:rFonts w:cs="Calibri"/>
                <w:szCs w:val="16"/>
              </w:rPr>
              <w:t>2.2</w:t>
            </w:r>
          </w:p>
        </w:tc>
      </w:tr>
      <w:tr w:rsidR="00E87995" w:rsidRPr="009E06AA" w14:paraId="5B798EF6" w14:textId="77777777" w:rsidTr="00B55F24">
        <w:tc>
          <w:tcPr>
            <w:tcW w:w="0" w:type="auto"/>
            <w:shd w:val="clear" w:color="auto" w:fill="FFFFFF"/>
            <w:tcMar>
              <w:top w:w="0" w:type="dxa"/>
              <w:left w:w="85" w:type="dxa"/>
              <w:bottom w:w="0" w:type="dxa"/>
              <w:right w:w="85" w:type="dxa"/>
            </w:tcMar>
          </w:tcPr>
          <w:p w14:paraId="5C603719" w14:textId="77777777" w:rsidR="00E87995" w:rsidRPr="009E06AA" w:rsidRDefault="00E87995" w:rsidP="00B55F24">
            <w:pPr>
              <w:pStyle w:val="TableText"/>
              <w:spacing w:before="40" w:after="40"/>
              <w:rPr>
                <w:rFonts w:cs="Calibri"/>
                <w:szCs w:val="16"/>
              </w:rPr>
            </w:pPr>
            <w:r w:rsidRPr="009E06AA">
              <w:rPr>
                <w:rFonts w:cs="Calibri"/>
                <w:szCs w:val="16"/>
              </w:rPr>
              <w:t>Incineration and open burning of waste (5.C)</w:t>
            </w:r>
          </w:p>
        </w:tc>
        <w:tc>
          <w:tcPr>
            <w:tcW w:w="0" w:type="auto"/>
            <w:shd w:val="clear" w:color="auto" w:fill="FFFFFF"/>
            <w:tcMar>
              <w:top w:w="0" w:type="dxa"/>
              <w:left w:w="85" w:type="dxa"/>
              <w:bottom w:w="0" w:type="dxa"/>
              <w:right w:w="85" w:type="dxa"/>
            </w:tcMar>
          </w:tcPr>
          <w:p w14:paraId="722EB364" w14:textId="77777777" w:rsidR="00E87995" w:rsidRPr="009E06AA" w:rsidRDefault="00E87995" w:rsidP="003B4A58">
            <w:pPr>
              <w:pStyle w:val="TableText"/>
              <w:spacing w:before="40" w:after="40"/>
              <w:jc w:val="right"/>
              <w:rPr>
                <w:rFonts w:cs="Calibri"/>
                <w:szCs w:val="16"/>
              </w:rPr>
            </w:pPr>
            <w:r w:rsidRPr="009E06AA">
              <w:rPr>
                <w:rFonts w:eastAsia="Calibri" w:cs="Calibri"/>
                <w:szCs w:val="16"/>
              </w:rPr>
              <w:t>319.3</w:t>
            </w:r>
          </w:p>
        </w:tc>
        <w:tc>
          <w:tcPr>
            <w:tcW w:w="0" w:type="auto"/>
            <w:shd w:val="clear" w:color="auto" w:fill="FFFFFF"/>
            <w:tcMar>
              <w:top w:w="0" w:type="dxa"/>
              <w:left w:w="85" w:type="dxa"/>
              <w:bottom w:w="0" w:type="dxa"/>
              <w:right w:w="85" w:type="dxa"/>
            </w:tcMar>
          </w:tcPr>
          <w:p w14:paraId="04A4F719" w14:textId="77777777" w:rsidR="00E87995" w:rsidRPr="009E06AA" w:rsidRDefault="00E87995" w:rsidP="003B4A58">
            <w:pPr>
              <w:pStyle w:val="TableText"/>
              <w:spacing w:before="40" w:after="40"/>
              <w:jc w:val="right"/>
              <w:rPr>
                <w:rFonts w:cs="Calibri"/>
                <w:szCs w:val="16"/>
              </w:rPr>
            </w:pPr>
            <w:r w:rsidRPr="009E06AA">
              <w:rPr>
                <w:rFonts w:eastAsia="Calibri" w:cs="Calibri"/>
                <w:szCs w:val="16"/>
              </w:rPr>
              <w:t>180.6</w:t>
            </w:r>
          </w:p>
        </w:tc>
        <w:tc>
          <w:tcPr>
            <w:tcW w:w="0" w:type="auto"/>
            <w:shd w:val="clear" w:color="auto" w:fill="FFFFFF"/>
            <w:tcMar>
              <w:top w:w="0" w:type="dxa"/>
              <w:left w:w="85" w:type="dxa"/>
              <w:bottom w:w="0" w:type="dxa"/>
              <w:right w:w="85" w:type="dxa"/>
            </w:tcMar>
          </w:tcPr>
          <w:p w14:paraId="47A81F9F" w14:textId="77777777" w:rsidR="00E87995" w:rsidRPr="009E06AA" w:rsidRDefault="00E87995" w:rsidP="003B4A58">
            <w:pPr>
              <w:pStyle w:val="TableText"/>
              <w:spacing w:before="40" w:after="40"/>
              <w:jc w:val="right"/>
              <w:rPr>
                <w:rFonts w:cs="Calibri"/>
                <w:szCs w:val="16"/>
              </w:rPr>
            </w:pPr>
            <w:r w:rsidRPr="009E06AA">
              <w:rPr>
                <w:rFonts w:cs="Calibri"/>
                <w:szCs w:val="16"/>
              </w:rPr>
              <w:t>-</w:t>
            </w:r>
            <w:r w:rsidRPr="009E06AA">
              <w:rPr>
                <w:rFonts w:eastAsia="Calibri" w:cs="Calibri"/>
                <w:szCs w:val="16"/>
              </w:rPr>
              <w:t>138.8</w:t>
            </w:r>
          </w:p>
        </w:tc>
        <w:tc>
          <w:tcPr>
            <w:tcW w:w="0" w:type="auto"/>
            <w:shd w:val="clear" w:color="auto" w:fill="FFFFFF"/>
            <w:tcMar>
              <w:top w:w="0" w:type="dxa"/>
              <w:left w:w="85" w:type="dxa"/>
              <w:bottom w:w="0" w:type="dxa"/>
              <w:right w:w="85" w:type="dxa"/>
            </w:tcMar>
          </w:tcPr>
          <w:p w14:paraId="17D1F0AE" w14:textId="77777777" w:rsidR="00E87995" w:rsidRPr="009E06AA" w:rsidRDefault="00E87995" w:rsidP="003B4A58">
            <w:pPr>
              <w:pStyle w:val="TableText"/>
              <w:spacing w:before="40" w:after="40"/>
              <w:jc w:val="right"/>
              <w:rPr>
                <w:rFonts w:cs="Calibri"/>
                <w:szCs w:val="16"/>
              </w:rPr>
            </w:pPr>
            <w:r w:rsidRPr="009E06AA">
              <w:rPr>
                <w:rFonts w:cs="Calibri"/>
                <w:szCs w:val="16"/>
              </w:rPr>
              <w:t>-</w:t>
            </w:r>
            <w:r w:rsidRPr="009E06AA">
              <w:rPr>
                <w:rFonts w:eastAsia="Calibri" w:cs="Calibri"/>
                <w:szCs w:val="16"/>
              </w:rPr>
              <w:t>43.5</w:t>
            </w:r>
          </w:p>
        </w:tc>
        <w:tc>
          <w:tcPr>
            <w:tcW w:w="0" w:type="auto"/>
            <w:shd w:val="clear" w:color="auto" w:fill="FFFFFF"/>
            <w:tcMar>
              <w:top w:w="0" w:type="dxa"/>
              <w:left w:w="85" w:type="dxa"/>
              <w:bottom w:w="0" w:type="dxa"/>
              <w:right w:w="85" w:type="dxa"/>
            </w:tcMar>
          </w:tcPr>
          <w:p w14:paraId="6C0AF57C" w14:textId="77777777" w:rsidR="00E87995" w:rsidRPr="009E06AA" w:rsidRDefault="00E87995" w:rsidP="003B4A58">
            <w:pPr>
              <w:pStyle w:val="TableText"/>
              <w:spacing w:before="40" w:after="40"/>
              <w:jc w:val="right"/>
              <w:rPr>
                <w:rFonts w:cs="Calibri"/>
                <w:szCs w:val="16"/>
              </w:rPr>
            </w:pPr>
            <w:r w:rsidRPr="009E06AA">
              <w:rPr>
                <w:rFonts w:eastAsia="Calibri" w:cs="Calibri"/>
                <w:szCs w:val="16"/>
              </w:rPr>
              <w:t>7.3</w:t>
            </w:r>
          </w:p>
        </w:tc>
        <w:tc>
          <w:tcPr>
            <w:tcW w:w="0" w:type="auto"/>
            <w:shd w:val="clear" w:color="auto" w:fill="FFFFFF"/>
            <w:tcMar>
              <w:top w:w="0" w:type="dxa"/>
              <w:left w:w="85" w:type="dxa"/>
              <w:bottom w:w="0" w:type="dxa"/>
              <w:right w:w="85" w:type="dxa"/>
            </w:tcMar>
          </w:tcPr>
          <w:p w14:paraId="7B7891AD" w14:textId="77777777" w:rsidR="00E87995" w:rsidRPr="009E06AA" w:rsidRDefault="00E87995" w:rsidP="003B4A58">
            <w:pPr>
              <w:pStyle w:val="TableText"/>
              <w:spacing w:before="40" w:after="40"/>
              <w:jc w:val="right"/>
              <w:rPr>
                <w:rFonts w:cs="Calibri"/>
                <w:szCs w:val="16"/>
              </w:rPr>
            </w:pPr>
            <w:r w:rsidRPr="009E06AA">
              <w:rPr>
                <w:rFonts w:cs="Calibri"/>
                <w:szCs w:val="16"/>
              </w:rPr>
              <w:t>5.</w:t>
            </w:r>
            <w:r w:rsidRPr="009E06AA">
              <w:rPr>
                <w:rFonts w:eastAsia="Calibri" w:cs="Calibri"/>
                <w:szCs w:val="16"/>
              </w:rPr>
              <w:t>2</w:t>
            </w:r>
          </w:p>
        </w:tc>
      </w:tr>
      <w:tr w:rsidR="00E87995" w:rsidRPr="009E06AA" w14:paraId="665F7184" w14:textId="77777777" w:rsidTr="00B55F24">
        <w:tc>
          <w:tcPr>
            <w:tcW w:w="0" w:type="auto"/>
            <w:shd w:val="clear" w:color="auto" w:fill="FFFFFF"/>
            <w:tcMar>
              <w:top w:w="0" w:type="dxa"/>
              <w:left w:w="85" w:type="dxa"/>
              <w:bottom w:w="0" w:type="dxa"/>
              <w:right w:w="85" w:type="dxa"/>
            </w:tcMar>
          </w:tcPr>
          <w:p w14:paraId="616E499C" w14:textId="77777777" w:rsidR="00E87995" w:rsidRPr="009E06AA" w:rsidRDefault="00E87995" w:rsidP="00B55F24">
            <w:pPr>
              <w:pStyle w:val="TableText"/>
              <w:spacing w:before="40" w:after="40"/>
              <w:rPr>
                <w:rFonts w:cs="Calibri"/>
                <w:szCs w:val="16"/>
              </w:rPr>
            </w:pPr>
            <w:r w:rsidRPr="009E06AA">
              <w:rPr>
                <w:rFonts w:cs="Calibri"/>
                <w:szCs w:val="16"/>
              </w:rPr>
              <w:t>Wastewater treatment and discharge (5.D)</w:t>
            </w:r>
          </w:p>
        </w:tc>
        <w:tc>
          <w:tcPr>
            <w:tcW w:w="0" w:type="auto"/>
            <w:shd w:val="clear" w:color="auto" w:fill="FFFFFF"/>
            <w:tcMar>
              <w:top w:w="0" w:type="dxa"/>
              <w:left w:w="85" w:type="dxa"/>
              <w:bottom w:w="0" w:type="dxa"/>
              <w:right w:w="85" w:type="dxa"/>
            </w:tcMar>
          </w:tcPr>
          <w:p w14:paraId="5F0AC222" w14:textId="77777777" w:rsidR="00E87995" w:rsidRPr="009E06AA" w:rsidRDefault="00E87995" w:rsidP="003B4A58">
            <w:pPr>
              <w:pStyle w:val="TableText"/>
              <w:spacing w:before="40" w:after="40"/>
              <w:jc w:val="right"/>
              <w:rPr>
                <w:rFonts w:cs="Calibri"/>
                <w:szCs w:val="16"/>
              </w:rPr>
            </w:pPr>
            <w:r w:rsidRPr="009E06AA">
              <w:rPr>
                <w:rFonts w:eastAsia="Calibri" w:cs="Calibri"/>
                <w:szCs w:val="16"/>
              </w:rPr>
              <w:t>323.8</w:t>
            </w:r>
          </w:p>
        </w:tc>
        <w:tc>
          <w:tcPr>
            <w:tcW w:w="0" w:type="auto"/>
            <w:shd w:val="clear" w:color="auto" w:fill="FFFFFF"/>
            <w:tcMar>
              <w:top w:w="0" w:type="dxa"/>
              <w:left w:w="85" w:type="dxa"/>
              <w:bottom w:w="0" w:type="dxa"/>
              <w:right w:w="85" w:type="dxa"/>
            </w:tcMar>
          </w:tcPr>
          <w:p w14:paraId="3AC671BC" w14:textId="77777777" w:rsidR="00E87995" w:rsidRPr="009E06AA" w:rsidRDefault="00E87995" w:rsidP="003B4A58">
            <w:pPr>
              <w:pStyle w:val="TableText"/>
              <w:spacing w:before="40" w:after="40"/>
              <w:jc w:val="right"/>
              <w:rPr>
                <w:rFonts w:cs="Calibri"/>
                <w:szCs w:val="16"/>
              </w:rPr>
            </w:pPr>
            <w:r w:rsidRPr="009E06AA">
              <w:rPr>
                <w:rFonts w:eastAsia="Calibri" w:cs="Calibri"/>
                <w:szCs w:val="16"/>
              </w:rPr>
              <w:t>395.0</w:t>
            </w:r>
          </w:p>
        </w:tc>
        <w:tc>
          <w:tcPr>
            <w:tcW w:w="0" w:type="auto"/>
            <w:shd w:val="clear" w:color="auto" w:fill="FFFFFF"/>
            <w:tcMar>
              <w:top w:w="0" w:type="dxa"/>
              <w:left w:w="85" w:type="dxa"/>
              <w:bottom w:w="0" w:type="dxa"/>
              <w:right w:w="85" w:type="dxa"/>
            </w:tcMar>
          </w:tcPr>
          <w:p w14:paraId="6A061BE6" w14:textId="77777777" w:rsidR="00E87995" w:rsidRPr="009E06AA" w:rsidRDefault="00E87995" w:rsidP="003B4A58">
            <w:pPr>
              <w:pStyle w:val="TableText"/>
              <w:spacing w:before="40" w:after="40"/>
              <w:jc w:val="right"/>
              <w:rPr>
                <w:rFonts w:cs="Calibri"/>
                <w:szCs w:val="16"/>
              </w:rPr>
            </w:pPr>
            <w:r w:rsidRPr="009E06AA">
              <w:rPr>
                <w:rFonts w:cs="Calibri"/>
                <w:szCs w:val="16"/>
              </w:rPr>
              <w:t>71.</w:t>
            </w:r>
            <w:r w:rsidRPr="009E06AA">
              <w:rPr>
                <w:rFonts w:eastAsia="Calibri" w:cs="Calibri"/>
                <w:szCs w:val="16"/>
              </w:rPr>
              <w:t>2</w:t>
            </w:r>
          </w:p>
        </w:tc>
        <w:tc>
          <w:tcPr>
            <w:tcW w:w="0" w:type="auto"/>
            <w:shd w:val="clear" w:color="auto" w:fill="FFFFFF"/>
            <w:tcMar>
              <w:top w:w="0" w:type="dxa"/>
              <w:left w:w="85" w:type="dxa"/>
              <w:bottom w:w="0" w:type="dxa"/>
              <w:right w:w="85" w:type="dxa"/>
            </w:tcMar>
          </w:tcPr>
          <w:p w14:paraId="07694842" w14:textId="77777777" w:rsidR="00E87995" w:rsidRPr="009E06AA" w:rsidRDefault="00E87995" w:rsidP="003B4A58">
            <w:pPr>
              <w:pStyle w:val="TableText"/>
              <w:spacing w:before="40" w:after="40"/>
              <w:jc w:val="right"/>
              <w:rPr>
                <w:rFonts w:cs="Calibri"/>
                <w:szCs w:val="16"/>
              </w:rPr>
            </w:pPr>
            <w:r w:rsidRPr="009E06AA">
              <w:rPr>
                <w:rFonts w:eastAsia="Calibri" w:cs="Calibri"/>
                <w:szCs w:val="16"/>
              </w:rPr>
              <w:t>22.0</w:t>
            </w:r>
          </w:p>
        </w:tc>
        <w:tc>
          <w:tcPr>
            <w:tcW w:w="0" w:type="auto"/>
            <w:shd w:val="clear" w:color="auto" w:fill="FFFFFF"/>
            <w:tcMar>
              <w:top w:w="0" w:type="dxa"/>
              <w:left w:w="85" w:type="dxa"/>
              <w:bottom w:w="0" w:type="dxa"/>
              <w:right w:w="85" w:type="dxa"/>
            </w:tcMar>
          </w:tcPr>
          <w:p w14:paraId="6D05CF8F" w14:textId="77777777" w:rsidR="00E87995" w:rsidRPr="009E06AA" w:rsidRDefault="00E87995" w:rsidP="003B4A58">
            <w:pPr>
              <w:pStyle w:val="TableText"/>
              <w:spacing w:before="40" w:after="40"/>
              <w:jc w:val="right"/>
              <w:rPr>
                <w:rFonts w:cs="Calibri"/>
                <w:szCs w:val="16"/>
              </w:rPr>
            </w:pPr>
            <w:r w:rsidRPr="009E06AA">
              <w:rPr>
                <w:rFonts w:cs="Calibri"/>
                <w:szCs w:val="16"/>
              </w:rPr>
              <w:t>7.</w:t>
            </w:r>
            <w:r w:rsidRPr="009E06AA">
              <w:rPr>
                <w:rFonts w:eastAsia="Calibri" w:cs="Calibri"/>
                <w:szCs w:val="16"/>
              </w:rPr>
              <w:t>4</w:t>
            </w:r>
          </w:p>
        </w:tc>
        <w:tc>
          <w:tcPr>
            <w:tcW w:w="0" w:type="auto"/>
            <w:shd w:val="clear" w:color="auto" w:fill="FFFFFF"/>
            <w:tcMar>
              <w:top w:w="0" w:type="dxa"/>
              <w:left w:w="85" w:type="dxa"/>
              <w:bottom w:w="0" w:type="dxa"/>
              <w:right w:w="85" w:type="dxa"/>
            </w:tcMar>
          </w:tcPr>
          <w:p w14:paraId="12F89B03" w14:textId="77777777" w:rsidR="00E87995" w:rsidRPr="009E06AA" w:rsidRDefault="00E87995" w:rsidP="003B4A58">
            <w:pPr>
              <w:pStyle w:val="TableText"/>
              <w:spacing w:before="40" w:after="40"/>
              <w:jc w:val="right"/>
              <w:rPr>
                <w:rFonts w:cs="Calibri"/>
                <w:szCs w:val="16"/>
              </w:rPr>
            </w:pPr>
            <w:r w:rsidRPr="009E06AA">
              <w:rPr>
                <w:rFonts w:cs="Calibri"/>
                <w:szCs w:val="16"/>
              </w:rPr>
              <w:t>11.</w:t>
            </w:r>
            <w:r w:rsidRPr="009E06AA">
              <w:rPr>
                <w:rFonts w:eastAsia="Calibri" w:cs="Calibri"/>
                <w:szCs w:val="16"/>
              </w:rPr>
              <w:t>3</w:t>
            </w:r>
          </w:p>
        </w:tc>
      </w:tr>
      <w:tr w:rsidR="00E87995" w:rsidRPr="009E06AA" w14:paraId="751DADCE" w14:textId="77777777" w:rsidTr="00B55F24">
        <w:tc>
          <w:tcPr>
            <w:tcW w:w="0" w:type="auto"/>
            <w:shd w:val="clear" w:color="auto" w:fill="FFFFFF"/>
            <w:tcMar>
              <w:top w:w="0" w:type="dxa"/>
              <w:left w:w="85" w:type="dxa"/>
              <w:bottom w:w="0" w:type="dxa"/>
              <w:right w:w="85" w:type="dxa"/>
            </w:tcMar>
          </w:tcPr>
          <w:p w14:paraId="7692D454" w14:textId="77777777" w:rsidR="00E87995" w:rsidRPr="009E06AA" w:rsidRDefault="00E87995" w:rsidP="00B55F24">
            <w:pPr>
              <w:pStyle w:val="Tableboldblue"/>
              <w:spacing w:before="40" w:after="40"/>
              <w:rPr>
                <w:rFonts w:cs="Calibri"/>
                <w:szCs w:val="16"/>
              </w:rPr>
            </w:pPr>
            <w:r w:rsidRPr="009E06AA">
              <w:rPr>
                <w:rFonts w:cs="Calibri"/>
                <w:szCs w:val="16"/>
              </w:rPr>
              <w:t>Waste sector total</w:t>
            </w:r>
          </w:p>
        </w:tc>
        <w:tc>
          <w:tcPr>
            <w:tcW w:w="0" w:type="auto"/>
            <w:shd w:val="clear" w:color="auto" w:fill="FFFFFF"/>
            <w:tcMar>
              <w:top w:w="0" w:type="dxa"/>
              <w:left w:w="85" w:type="dxa"/>
              <w:bottom w:w="0" w:type="dxa"/>
              <w:right w:w="85" w:type="dxa"/>
            </w:tcMar>
          </w:tcPr>
          <w:p w14:paraId="79E8929F" w14:textId="77777777" w:rsidR="00E87995" w:rsidRPr="009E06AA" w:rsidRDefault="00E87995" w:rsidP="003B4A58">
            <w:pPr>
              <w:pStyle w:val="Tableboldblue"/>
              <w:spacing w:before="40" w:after="40"/>
              <w:jc w:val="right"/>
              <w:rPr>
                <w:rFonts w:cs="Calibri"/>
                <w:szCs w:val="16"/>
              </w:rPr>
            </w:pPr>
            <w:r w:rsidRPr="009E06AA">
              <w:rPr>
                <w:rFonts w:eastAsia="Calibri" w:cs="Calibri"/>
                <w:szCs w:val="16"/>
              </w:rPr>
              <w:t>4,356.7</w:t>
            </w:r>
          </w:p>
        </w:tc>
        <w:tc>
          <w:tcPr>
            <w:tcW w:w="0" w:type="auto"/>
            <w:shd w:val="clear" w:color="auto" w:fill="FFFFFF"/>
            <w:tcMar>
              <w:top w:w="0" w:type="dxa"/>
              <w:left w:w="85" w:type="dxa"/>
              <w:bottom w:w="0" w:type="dxa"/>
              <w:right w:w="85" w:type="dxa"/>
            </w:tcMar>
          </w:tcPr>
          <w:p w14:paraId="6A4DE48E" w14:textId="77777777" w:rsidR="00E87995" w:rsidRPr="009E06AA" w:rsidRDefault="00E87995" w:rsidP="003B4A58">
            <w:pPr>
              <w:pStyle w:val="Tableboldblue"/>
              <w:spacing w:before="40" w:after="40"/>
              <w:jc w:val="right"/>
              <w:rPr>
                <w:rFonts w:cs="Calibri"/>
                <w:szCs w:val="16"/>
              </w:rPr>
            </w:pPr>
            <w:r w:rsidRPr="009E06AA">
              <w:rPr>
                <w:rFonts w:cs="Calibri"/>
                <w:szCs w:val="16"/>
              </w:rPr>
              <w:t>3,</w:t>
            </w:r>
            <w:r w:rsidRPr="009E06AA">
              <w:rPr>
                <w:rFonts w:eastAsia="Calibri" w:cs="Calibri"/>
                <w:szCs w:val="16"/>
              </w:rPr>
              <w:t>492.7</w:t>
            </w:r>
          </w:p>
        </w:tc>
        <w:tc>
          <w:tcPr>
            <w:tcW w:w="0" w:type="auto"/>
            <w:shd w:val="clear" w:color="auto" w:fill="FFFFFF"/>
            <w:tcMar>
              <w:top w:w="0" w:type="dxa"/>
              <w:left w:w="85" w:type="dxa"/>
              <w:bottom w:w="0" w:type="dxa"/>
              <w:right w:w="85" w:type="dxa"/>
            </w:tcMar>
          </w:tcPr>
          <w:p w14:paraId="49461319" w14:textId="77777777" w:rsidR="00E87995" w:rsidRPr="009E06AA" w:rsidRDefault="00E87995" w:rsidP="003B4A58">
            <w:pPr>
              <w:pStyle w:val="Tableboldblue"/>
              <w:spacing w:before="40" w:after="40"/>
              <w:jc w:val="right"/>
              <w:rPr>
                <w:rFonts w:cs="Calibri"/>
                <w:szCs w:val="16"/>
              </w:rPr>
            </w:pPr>
            <w:r w:rsidRPr="009E06AA">
              <w:rPr>
                <w:rFonts w:cs="Calibri"/>
                <w:szCs w:val="16"/>
              </w:rPr>
              <w:t>-</w:t>
            </w:r>
            <w:r w:rsidRPr="009E06AA">
              <w:rPr>
                <w:rFonts w:eastAsia="Calibri" w:cs="Calibri"/>
                <w:szCs w:val="16"/>
              </w:rPr>
              <w:t>864.0</w:t>
            </w:r>
          </w:p>
        </w:tc>
        <w:tc>
          <w:tcPr>
            <w:tcW w:w="0" w:type="auto"/>
            <w:shd w:val="clear" w:color="auto" w:fill="FFFFFF"/>
            <w:tcMar>
              <w:top w:w="0" w:type="dxa"/>
              <w:left w:w="85" w:type="dxa"/>
              <w:bottom w:w="0" w:type="dxa"/>
              <w:right w:w="85" w:type="dxa"/>
            </w:tcMar>
          </w:tcPr>
          <w:p w14:paraId="2057750F" w14:textId="77777777" w:rsidR="00E87995" w:rsidRPr="009E06AA" w:rsidRDefault="00E87995" w:rsidP="003B4A58">
            <w:pPr>
              <w:pStyle w:val="Tableboldblue"/>
              <w:spacing w:before="40" w:after="40"/>
              <w:jc w:val="right"/>
              <w:rPr>
                <w:rFonts w:cs="Calibri"/>
                <w:szCs w:val="16"/>
              </w:rPr>
            </w:pPr>
            <w:r w:rsidRPr="009E06AA">
              <w:rPr>
                <w:rFonts w:cs="Calibri"/>
                <w:szCs w:val="16"/>
              </w:rPr>
              <w:t>-</w:t>
            </w:r>
            <w:r w:rsidRPr="009E06AA">
              <w:rPr>
                <w:rFonts w:eastAsia="Calibri" w:cs="Calibri"/>
                <w:szCs w:val="16"/>
              </w:rPr>
              <w:t>19.8</w:t>
            </w:r>
          </w:p>
        </w:tc>
        <w:tc>
          <w:tcPr>
            <w:tcW w:w="0" w:type="auto"/>
            <w:shd w:val="clear" w:color="auto" w:fill="FFFFFF"/>
            <w:tcMar>
              <w:top w:w="0" w:type="dxa"/>
              <w:left w:w="85" w:type="dxa"/>
              <w:bottom w:w="0" w:type="dxa"/>
              <w:right w:w="85" w:type="dxa"/>
            </w:tcMar>
          </w:tcPr>
          <w:p w14:paraId="56328528" w14:textId="77777777" w:rsidR="00E87995" w:rsidRPr="009E06AA" w:rsidRDefault="00E87995" w:rsidP="003B4A58">
            <w:pPr>
              <w:pStyle w:val="Tableboldblue"/>
              <w:spacing w:before="40" w:after="40"/>
              <w:jc w:val="right"/>
              <w:rPr>
                <w:rFonts w:cs="Calibri"/>
                <w:szCs w:val="16"/>
              </w:rPr>
            </w:pPr>
            <w:r w:rsidRPr="009E06AA">
              <w:rPr>
                <w:rFonts w:cs="Calibri"/>
                <w:szCs w:val="16"/>
              </w:rPr>
              <w:t>–</w:t>
            </w:r>
          </w:p>
        </w:tc>
        <w:tc>
          <w:tcPr>
            <w:tcW w:w="0" w:type="auto"/>
            <w:shd w:val="clear" w:color="auto" w:fill="FFFFFF"/>
            <w:tcMar>
              <w:top w:w="0" w:type="dxa"/>
              <w:left w:w="85" w:type="dxa"/>
              <w:bottom w:w="0" w:type="dxa"/>
              <w:right w:w="85" w:type="dxa"/>
            </w:tcMar>
          </w:tcPr>
          <w:p w14:paraId="6B2B3F06" w14:textId="77777777" w:rsidR="00E87995" w:rsidRPr="009E06AA" w:rsidRDefault="00E87995" w:rsidP="003B4A58">
            <w:pPr>
              <w:pStyle w:val="Tableboldblue"/>
              <w:spacing w:before="40" w:after="40"/>
              <w:jc w:val="right"/>
              <w:rPr>
                <w:rFonts w:cs="Calibri"/>
                <w:szCs w:val="16"/>
              </w:rPr>
            </w:pPr>
            <w:r w:rsidRPr="009E06AA">
              <w:rPr>
                <w:rFonts w:cs="Calibri"/>
                <w:szCs w:val="16"/>
              </w:rPr>
              <w:t>–</w:t>
            </w:r>
          </w:p>
        </w:tc>
      </w:tr>
    </w:tbl>
    <w:p w14:paraId="0EA1B5F2" w14:textId="77777777" w:rsidR="00E87995" w:rsidRPr="009E06AA" w:rsidRDefault="00E87995" w:rsidP="00E87995">
      <w:pPr>
        <w:pStyle w:val="Noteundertable"/>
      </w:pPr>
      <w:r w:rsidRPr="009E06AA">
        <w:rPr>
          <w:b/>
          <w:bCs/>
        </w:rPr>
        <w:t>Note:</w:t>
      </w:r>
      <w:r w:rsidRPr="009E06AA">
        <w:rPr>
          <w:b/>
        </w:rPr>
        <w:tab/>
      </w:r>
      <w:r w:rsidRPr="009E06AA">
        <w:t>Percentages presented are calculated from unrounded values. Columns may not total due to rounding.</w:t>
      </w:r>
    </w:p>
    <w:p w14:paraId="6CCDAD00" w14:textId="5B1A0CF9" w:rsidR="00E87995" w:rsidRPr="009E06AA" w:rsidRDefault="00E87995" w:rsidP="00E87995">
      <w:pPr>
        <w:pStyle w:val="Figure"/>
        <w:spacing w:after="80"/>
      </w:pPr>
      <w:bookmarkStart w:id="2768" w:name="_Toc130211457"/>
      <w:bookmarkStart w:id="2769" w:name="_Toc131591578"/>
      <w:bookmarkStart w:id="2770" w:name="_Toc160537310"/>
      <w:bookmarkStart w:id="2771" w:name="_Toc160537619"/>
      <w:bookmarkStart w:id="2772" w:name="_Toc164154046"/>
      <w:r w:rsidRPr="009E06AA">
        <w:t>Figure 7.1.2</w:t>
      </w:r>
      <w:r w:rsidRPr="009E06AA">
        <w:tab/>
        <w:t xml:space="preserve">Profile of emissions from </w:t>
      </w:r>
      <w:r w:rsidRPr="009E06AA" w:rsidDel="00747A34">
        <w:t>New Zealand’s</w:t>
      </w:r>
      <w:r w:rsidRPr="009E06AA">
        <w:t xml:space="preserve"> Waste sector by source category</w:t>
      </w:r>
      <w:r w:rsidR="002D45F2" w:rsidRPr="009E06AA">
        <w:t>,</w:t>
      </w:r>
      <w:r w:rsidRPr="009E06AA">
        <w:t xml:space="preserve"> from </w:t>
      </w:r>
      <w:r w:rsidRPr="009E06AA">
        <w:rPr>
          <w:bCs/>
        </w:rPr>
        <w:t>1990</w:t>
      </w:r>
      <w:r w:rsidRPr="009E06AA">
        <w:t> to </w:t>
      </w:r>
      <w:bookmarkEnd w:id="2768"/>
      <w:bookmarkEnd w:id="2769"/>
      <w:r w:rsidRPr="009E06AA">
        <w:rPr>
          <w:bCs/>
        </w:rPr>
        <w:t>2022</w:t>
      </w:r>
      <w:bookmarkEnd w:id="2770"/>
      <w:bookmarkEnd w:id="2771"/>
      <w:bookmarkEnd w:id="2772"/>
    </w:p>
    <w:p w14:paraId="2972B9A9" w14:textId="77777777" w:rsidR="00E87995" w:rsidRPr="009E06AA" w:rsidRDefault="00E87995" w:rsidP="00E87995">
      <w:pPr>
        <w:pStyle w:val="BodyText"/>
      </w:pPr>
      <w:r w:rsidRPr="009E06AA">
        <w:rPr>
          <w:noProof/>
        </w:rPr>
        <w:drawing>
          <wp:inline distT="0" distB="0" distL="0" distR="0" wp14:anchorId="193C4914" wp14:editId="38CC39D7">
            <wp:extent cx="5396618" cy="2937697"/>
            <wp:effectExtent l="0" t="0" r="0" b="0"/>
            <wp:docPr id="917000834" name="Picture 917000834"/>
            <wp:cNvGraphicFramePr/>
            <a:graphic xmlns:a="http://schemas.openxmlformats.org/drawingml/2006/main">
              <a:graphicData uri="http://schemas.openxmlformats.org/drawingml/2006/picture">
                <pic:pic xmlns:pic="http://schemas.openxmlformats.org/drawingml/2006/picture">
                  <pic:nvPicPr>
                    <pic:cNvPr id="31" name="Picture" descr="images/fig_7_1_2.png"/>
                    <pic:cNvPicPr>
                      <a:picLocks noChangeAspect="1" noChangeArrowheads="1"/>
                    </pic:cNvPicPr>
                  </pic:nvPicPr>
                  <pic:blipFill rotWithShape="1">
                    <a:blip r:embed="rId164"/>
                    <a:srcRect t="1619" b="9960"/>
                    <a:stretch/>
                  </pic:blipFill>
                  <pic:spPr bwMode="auto">
                    <a:xfrm>
                      <a:off x="0" y="0"/>
                      <a:ext cx="5397500" cy="2938177"/>
                    </a:xfrm>
                    <a:prstGeom prst="rect">
                      <a:avLst/>
                    </a:prstGeom>
                    <a:noFill/>
                    <a:ln>
                      <a:noFill/>
                    </a:ln>
                    <a:extLst>
                      <a:ext uri="{53640926-AAD7-44D8-BBD7-CCE9431645EC}">
                        <a14:shadowObscured xmlns:a14="http://schemas.microsoft.com/office/drawing/2010/main"/>
                      </a:ext>
                    </a:extLst>
                  </pic:spPr>
                </pic:pic>
              </a:graphicData>
            </a:graphic>
          </wp:inline>
        </w:drawing>
      </w:r>
    </w:p>
    <w:p w14:paraId="31494829" w14:textId="77777777" w:rsidR="00E87995" w:rsidRPr="009E06AA" w:rsidRDefault="00E87995" w:rsidP="00E87995">
      <w:pPr>
        <w:pStyle w:val="BodyText"/>
      </w:pPr>
    </w:p>
    <w:p w14:paraId="63621679" w14:textId="11709CA1" w:rsidR="00E87995" w:rsidRPr="009E06AA" w:rsidRDefault="00E87995" w:rsidP="00E87995">
      <w:pPr>
        <w:pStyle w:val="Figure"/>
        <w:spacing w:after="80"/>
      </w:pPr>
      <w:bookmarkStart w:id="2773" w:name="_Toc130211458"/>
      <w:bookmarkStart w:id="2774" w:name="_Toc131591579"/>
      <w:bookmarkStart w:id="2775" w:name="_Toc160537311"/>
      <w:bookmarkStart w:id="2776" w:name="_Toc160537620"/>
      <w:bookmarkStart w:id="2777" w:name="_Toc164154047"/>
      <w:r w:rsidRPr="009E06AA">
        <w:t>Figure 7.1.3</w:t>
      </w:r>
      <w:r w:rsidRPr="009E06AA">
        <w:tab/>
        <w:t>New Zealand’s emissions from the Waste sector by source category</w:t>
      </w:r>
      <w:r w:rsidR="002D45F2" w:rsidRPr="009E06AA">
        <w:t>,</w:t>
      </w:r>
      <w:r w:rsidRPr="009E06AA">
        <w:t xml:space="preserve"> from 1990 to </w:t>
      </w:r>
      <w:bookmarkEnd w:id="2773"/>
      <w:bookmarkEnd w:id="2774"/>
      <w:r w:rsidRPr="009E06AA">
        <w:t>2022</w:t>
      </w:r>
      <w:bookmarkEnd w:id="2775"/>
      <w:bookmarkEnd w:id="2776"/>
      <w:bookmarkEnd w:id="2777"/>
    </w:p>
    <w:p w14:paraId="45050808" w14:textId="77777777" w:rsidR="00E87995" w:rsidRPr="009E06AA" w:rsidRDefault="00E87995" w:rsidP="00E87995">
      <w:pPr>
        <w:pStyle w:val="BodyText"/>
        <w:spacing w:after="80"/>
      </w:pPr>
      <w:r w:rsidRPr="009E06AA">
        <w:rPr>
          <w:noProof/>
        </w:rPr>
        <w:drawing>
          <wp:inline distT="0" distB="0" distL="0" distR="0" wp14:anchorId="0DD3C214" wp14:editId="0FC92BFF">
            <wp:extent cx="5054558" cy="2877670"/>
            <wp:effectExtent l="0" t="0" r="9525" b="9525"/>
            <wp:docPr id="33" name="Picture 33"/>
            <wp:cNvGraphicFramePr/>
            <a:graphic xmlns:a="http://schemas.openxmlformats.org/drawingml/2006/main">
              <a:graphicData uri="http://schemas.openxmlformats.org/drawingml/2006/picture">
                <pic:pic xmlns:pic="http://schemas.openxmlformats.org/drawingml/2006/picture">
                  <pic:nvPicPr>
                    <pic:cNvPr id="34" name="Picture" descr="images/fig_7_1_3.png"/>
                    <pic:cNvPicPr>
                      <a:picLocks noChangeAspect="1" noChangeArrowheads="1"/>
                    </pic:cNvPicPr>
                  </pic:nvPicPr>
                  <pic:blipFill rotWithShape="1">
                    <a:blip r:embed="rId165"/>
                    <a:srcRect t="6106" b="3763"/>
                    <a:stretch/>
                  </pic:blipFill>
                  <pic:spPr bwMode="auto">
                    <a:xfrm>
                      <a:off x="0" y="0"/>
                      <a:ext cx="5054558" cy="2877670"/>
                    </a:xfrm>
                    <a:prstGeom prst="rect">
                      <a:avLst/>
                    </a:prstGeom>
                    <a:noFill/>
                    <a:ln>
                      <a:noFill/>
                    </a:ln>
                    <a:extLst>
                      <a:ext uri="{53640926-AAD7-44D8-BBD7-CCE9431645EC}">
                        <a14:shadowObscured xmlns:a14="http://schemas.microsoft.com/office/drawing/2010/main"/>
                      </a:ext>
                    </a:extLst>
                  </pic:spPr>
                </pic:pic>
              </a:graphicData>
            </a:graphic>
          </wp:inline>
        </w:drawing>
      </w:r>
    </w:p>
    <w:p w14:paraId="6D120035" w14:textId="77777777" w:rsidR="00E87995" w:rsidRPr="009E06AA" w:rsidRDefault="00E87995" w:rsidP="00E87995">
      <w:pPr>
        <w:pStyle w:val="Heading3"/>
      </w:pPr>
      <w:bookmarkStart w:id="2778" w:name="_Toc160537221"/>
      <w:bookmarkStart w:id="2779" w:name="Xfa42449e806fcf6a112d3c25ee820409e286d8a"/>
      <w:bookmarkEnd w:id="2762"/>
      <w:r w:rsidRPr="009E06AA">
        <w:t xml:space="preserve">7.1.3 </w:t>
      </w:r>
      <w:r w:rsidRPr="009E06AA">
        <w:tab/>
        <w:t>Key categories for Waste sector emissions</w:t>
      </w:r>
      <w:bookmarkEnd w:id="2778"/>
    </w:p>
    <w:p w14:paraId="669EE145" w14:textId="15E7FADF" w:rsidR="00E87995" w:rsidRPr="009E06AA" w:rsidRDefault="00E87995" w:rsidP="00E87995">
      <w:pPr>
        <w:pStyle w:val="BodyText"/>
      </w:pPr>
      <w:r w:rsidRPr="009E06AA">
        <w:t xml:space="preserve">Details of </w:t>
      </w:r>
      <w:r w:rsidRPr="009E06AA" w:rsidDel="00747A34">
        <w:t>New Zealand’s</w:t>
      </w:r>
      <w:r w:rsidRPr="009E06AA">
        <w:t xml:space="preserve"> key category analysis are in chapter 1, section 1.</w:t>
      </w:r>
      <w:r w:rsidR="001A1903" w:rsidRPr="009E06AA">
        <w:t>4</w:t>
      </w:r>
      <w:r w:rsidRPr="009E06AA">
        <w:t>. The key categories in the Waste sector are listed in table 7.1.2.</w:t>
      </w:r>
    </w:p>
    <w:p w14:paraId="7835032F" w14:textId="77777777" w:rsidR="00E87995" w:rsidRPr="009E06AA" w:rsidRDefault="00E87995" w:rsidP="00E87995">
      <w:pPr>
        <w:pStyle w:val="Table"/>
      </w:pPr>
      <w:bookmarkStart w:id="2780" w:name="_Toc128383661"/>
      <w:bookmarkStart w:id="2781" w:name="_Toc131591434"/>
      <w:bookmarkStart w:id="2782" w:name="_Toc160537312"/>
      <w:bookmarkStart w:id="2783" w:name="_Toc160537675"/>
      <w:bookmarkStart w:id="2784" w:name="_Toc164153925"/>
      <w:r w:rsidRPr="009E06AA">
        <w:t>Table 7.1.2</w:t>
      </w:r>
      <w:r w:rsidRPr="009E06AA">
        <w:tab/>
        <w:t>Key categories in the Waste sector</w:t>
      </w:r>
      <w:bookmarkEnd w:id="2780"/>
      <w:bookmarkEnd w:id="2781"/>
      <w:bookmarkEnd w:id="2782"/>
      <w:bookmarkEnd w:id="2783"/>
      <w:bookmarkEnd w:id="2784"/>
    </w:p>
    <w:tbl>
      <w:tblPr>
        <w:tblW w:w="8505" w:type="dxa"/>
        <w:tblBorders>
          <w:top w:val="single" w:sz="4" w:space="0" w:color="1B556B" w:themeColor="text2"/>
          <w:bottom w:val="single" w:sz="4" w:space="0" w:color="1B556B" w:themeColor="text2"/>
          <w:insideH w:val="single" w:sz="4" w:space="0" w:color="1B556B" w:themeColor="text2"/>
        </w:tblBorders>
        <w:tblLook w:val="0420" w:firstRow="1" w:lastRow="0" w:firstColumn="0" w:lastColumn="0" w:noHBand="0" w:noVBand="1"/>
      </w:tblPr>
      <w:tblGrid>
        <w:gridCol w:w="1863"/>
        <w:gridCol w:w="3382"/>
        <w:gridCol w:w="831"/>
        <w:gridCol w:w="2429"/>
      </w:tblGrid>
      <w:tr w:rsidR="00E87995" w:rsidRPr="009E06AA" w14:paraId="78CD6E9E" w14:textId="77777777" w:rsidTr="00B55F24">
        <w:trPr>
          <w:tblHeader/>
        </w:trPr>
        <w:tc>
          <w:tcPr>
            <w:tcW w:w="0" w:type="auto"/>
            <w:shd w:val="clear" w:color="auto" w:fill="1B556B"/>
            <w:tcMar>
              <w:top w:w="0" w:type="dxa"/>
              <w:left w:w="85" w:type="dxa"/>
              <w:bottom w:w="0" w:type="dxa"/>
              <w:right w:w="85" w:type="dxa"/>
            </w:tcMar>
          </w:tcPr>
          <w:p w14:paraId="24C80A3A" w14:textId="77777777" w:rsidR="00E87995" w:rsidRPr="009E06AA" w:rsidRDefault="00E87995" w:rsidP="00B55F24">
            <w:pPr>
              <w:pStyle w:val="TableTextBold"/>
              <w:spacing w:before="40" w:after="40"/>
              <w:rPr>
                <w:noProof w:val="0"/>
                <w:color w:val="FFFFFF" w:themeColor="background1"/>
              </w:rPr>
            </w:pPr>
            <w:r w:rsidRPr="009E06AA">
              <w:rPr>
                <w:rFonts w:eastAsia="Calibri" w:cs="Calibri"/>
                <w:noProof w:val="0"/>
                <w:color w:val="FFFFFF" w:themeColor="background1"/>
                <w:szCs w:val="16"/>
              </w:rPr>
              <w:t>CRT</w:t>
            </w:r>
            <w:r w:rsidRPr="009E06AA">
              <w:rPr>
                <w:noProof w:val="0"/>
                <w:color w:val="FFFFFF" w:themeColor="background1"/>
              </w:rPr>
              <w:t xml:space="preserve"> category code</w:t>
            </w:r>
          </w:p>
        </w:tc>
        <w:tc>
          <w:tcPr>
            <w:tcW w:w="3382" w:type="dxa"/>
            <w:shd w:val="clear" w:color="auto" w:fill="1B556B"/>
            <w:tcMar>
              <w:top w:w="0" w:type="dxa"/>
              <w:left w:w="85" w:type="dxa"/>
              <w:bottom w:w="0" w:type="dxa"/>
              <w:right w:w="85" w:type="dxa"/>
            </w:tcMar>
          </w:tcPr>
          <w:p w14:paraId="293D1921" w14:textId="77777777" w:rsidR="00E87995" w:rsidRPr="009E06AA" w:rsidRDefault="00E87995" w:rsidP="00B55F24">
            <w:pPr>
              <w:pStyle w:val="TableTextBold"/>
              <w:spacing w:before="40" w:after="40"/>
              <w:rPr>
                <w:noProof w:val="0"/>
                <w:color w:val="FFFFFF" w:themeColor="background1"/>
              </w:rPr>
            </w:pPr>
            <w:r w:rsidRPr="009E06AA">
              <w:rPr>
                <w:noProof w:val="0"/>
                <w:color w:val="FFFFFF" w:themeColor="background1"/>
              </w:rPr>
              <w:t>IPCC category</w:t>
            </w:r>
          </w:p>
        </w:tc>
        <w:tc>
          <w:tcPr>
            <w:tcW w:w="831" w:type="dxa"/>
            <w:shd w:val="clear" w:color="auto" w:fill="1B556B"/>
            <w:tcMar>
              <w:top w:w="0" w:type="dxa"/>
              <w:left w:w="85" w:type="dxa"/>
              <w:bottom w:w="0" w:type="dxa"/>
              <w:right w:w="85" w:type="dxa"/>
            </w:tcMar>
          </w:tcPr>
          <w:p w14:paraId="27F9DA76" w14:textId="77777777" w:rsidR="00E87995" w:rsidRPr="009E06AA" w:rsidRDefault="00E87995" w:rsidP="00B55F24">
            <w:pPr>
              <w:pStyle w:val="TableTextBold"/>
              <w:spacing w:before="40" w:after="40"/>
              <w:jc w:val="center"/>
              <w:rPr>
                <w:noProof w:val="0"/>
                <w:color w:val="FFFFFF" w:themeColor="background1"/>
              </w:rPr>
            </w:pPr>
            <w:r w:rsidRPr="009E06AA">
              <w:rPr>
                <w:noProof w:val="0"/>
                <w:color w:val="FFFFFF" w:themeColor="background1"/>
              </w:rPr>
              <w:t>Gas</w:t>
            </w:r>
          </w:p>
        </w:tc>
        <w:tc>
          <w:tcPr>
            <w:tcW w:w="0" w:type="auto"/>
            <w:shd w:val="clear" w:color="auto" w:fill="1B556B"/>
            <w:tcMar>
              <w:top w:w="0" w:type="dxa"/>
              <w:left w:w="85" w:type="dxa"/>
              <w:bottom w:w="0" w:type="dxa"/>
              <w:right w:w="85" w:type="dxa"/>
            </w:tcMar>
          </w:tcPr>
          <w:p w14:paraId="373EA1AE" w14:textId="77777777" w:rsidR="00E87995" w:rsidRPr="009E06AA" w:rsidRDefault="00E87995" w:rsidP="00B55F24">
            <w:pPr>
              <w:pStyle w:val="TableTextBold"/>
              <w:spacing w:before="40" w:after="40"/>
              <w:rPr>
                <w:noProof w:val="0"/>
                <w:color w:val="FFFFFF" w:themeColor="background1"/>
              </w:rPr>
            </w:pPr>
            <w:r w:rsidRPr="009E06AA">
              <w:rPr>
                <w:noProof w:val="0"/>
                <w:color w:val="FFFFFF" w:themeColor="background1"/>
              </w:rPr>
              <w:t>Criteria for identification</w:t>
            </w:r>
          </w:p>
        </w:tc>
      </w:tr>
      <w:tr w:rsidR="00E87995" w:rsidRPr="009E06AA" w14:paraId="21323A60" w14:textId="77777777" w:rsidTr="00B55F24">
        <w:tc>
          <w:tcPr>
            <w:tcW w:w="0" w:type="auto"/>
            <w:shd w:val="clear" w:color="auto" w:fill="FFFFFF"/>
            <w:tcMar>
              <w:top w:w="0" w:type="dxa"/>
              <w:left w:w="85" w:type="dxa"/>
              <w:bottom w:w="0" w:type="dxa"/>
              <w:right w:w="85" w:type="dxa"/>
            </w:tcMar>
          </w:tcPr>
          <w:p w14:paraId="7C199E81" w14:textId="77777777" w:rsidR="00E87995" w:rsidRPr="009E06AA" w:rsidRDefault="00E87995" w:rsidP="00B55F24">
            <w:pPr>
              <w:pStyle w:val="TableText"/>
              <w:spacing w:before="40" w:after="40"/>
            </w:pPr>
            <w:r w:rsidRPr="009E06AA">
              <w:t>5.A</w:t>
            </w:r>
          </w:p>
        </w:tc>
        <w:tc>
          <w:tcPr>
            <w:tcW w:w="3382" w:type="dxa"/>
            <w:shd w:val="clear" w:color="auto" w:fill="FFFFFF"/>
            <w:tcMar>
              <w:top w:w="0" w:type="dxa"/>
              <w:left w:w="85" w:type="dxa"/>
              <w:bottom w:w="0" w:type="dxa"/>
              <w:right w:w="85" w:type="dxa"/>
            </w:tcMar>
          </w:tcPr>
          <w:p w14:paraId="7DE2A57C" w14:textId="77777777" w:rsidR="00E87995" w:rsidRPr="009E06AA" w:rsidRDefault="00E87995" w:rsidP="00B55F24">
            <w:pPr>
              <w:pStyle w:val="TableText"/>
              <w:spacing w:before="40" w:after="40"/>
            </w:pPr>
            <w:r w:rsidRPr="009E06AA">
              <w:t>Solid waste disposal</w:t>
            </w:r>
          </w:p>
        </w:tc>
        <w:tc>
          <w:tcPr>
            <w:tcW w:w="831" w:type="dxa"/>
            <w:shd w:val="clear" w:color="auto" w:fill="FFFFFF"/>
            <w:tcMar>
              <w:top w:w="0" w:type="dxa"/>
              <w:left w:w="85" w:type="dxa"/>
              <w:bottom w:w="0" w:type="dxa"/>
              <w:right w:w="85" w:type="dxa"/>
            </w:tcMar>
          </w:tcPr>
          <w:p w14:paraId="7AF3722A" w14:textId="77777777" w:rsidR="00E87995" w:rsidRPr="009E06AA" w:rsidRDefault="00E87995" w:rsidP="00B55F24">
            <w:pPr>
              <w:pStyle w:val="TableText"/>
              <w:spacing w:before="40" w:after="40"/>
              <w:jc w:val="center"/>
            </w:pPr>
            <w:r w:rsidRPr="009E06AA">
              <w:t>CH</w:t>
            </w:r>
            <w:r w:rsidRPr="009E06AA">
              <w:rPr>
                <w:vertAlign w:val="subscript"/>
              </w:rPr>
              <w:t>4</w:t>
            </w:r>
          </w:p>
        </w:tc>
        <w:tc>
          <w:tcPr>
            <w:tcW w:w="0" w:type="auto"/>
            <w:shd w:val="clear" w:color="auto" w:fill="FFFFFF"/>
            <w:tcMar>
              <w:top w:w="0" w:type="dxa"/>
              <w:left w:w="85" w:type="dxa"/>
              <w:bottom w:w="0" w:type="dxa"/>
              <w:right w:w="85" w:type="dxa"/>
            </w:tcMar>
          </w:tcPr>
          <w:p w14:paraId="686FB9A7" w14:textId="77777777" w:rsidR="00E87995" w:rsidRPr="009E06AA" w:rsidRDefault="00E87995" w:rsidP="00B55F24">
            <w:pPr>
              <w:pStyle w:val="TableText"/>
              <w:spacing w:before="40" w:after="40"/>
            </w:pPr>
            <w:r w:rsidRPr="009E06AA">
              <w:t>L1, T1</w:t>
            </w:r>
          </w:p>
        </w:tc>
      </w:tr>
      <w:tr w:rsidR="00E87995" w:rsidRPr="009E06AA" w14:paraId="2569EC54" w14:textId="77777777" w:rsidTr="00B55F24">
        <w:tc>
          <w:tcPr>
            <w:tcW w:w="0" w:type="auto"/>
            <w:shd w:val="clear" w:color="auto" w:fill="FFFFFF"/>
            <w:tcMar>
              <w:top w:w="0" w:type="dxa"/>
              <w:left w:w="85" w:type="dxa"/>
              <w:bottom w:w="0" w:type="dxa"/>
              <w:right w:w="85" w:type="dxa"/>
            </w:tcMar>
          </w:tcPr>
          <w:p w14:paraId="1EF62E46" w14:textId="77777777" w:rsidR="00E87995" w:rsidRPr="009E06AA" w:rsidRDefault="00E87995" w:rsidP="00B55F24">
            <w:pPr>
              <w:pStyle w:val="TableText"/>
              <w:spacing w:before="40" w:after="40"/>
            </w:pPr>
            <w:r w:rsidRPr="009E06AA">
              <w:t>5.C</w:t>
            </w:r>
          </w:p>
        </w:tc>
        <w:tc>
          <w:tcPr>
            <w:tcW w:w="3382" w:type="dxa"/>
            <w:shd w:val="clear" w:color="auto" w:fill="FFFFFF"/>
            <w:tcMar>
              <w:top w:w="0" w:type="dxa"/>
              <w:left w:w="85" w:type="dxa"/>
              <w:bottom w:w="0" w:type="dxa"/>
              <w:right w:w="85" w:type="dxa"/>
            </w:tcMar>
          </w:tcPr>
          <w:p w14:paraId="6559EC26" w14:textId="77777777" w:rsidR="00E87995" w:rsidRPr="009E06AA" w:rsidRDefault="00E87995" w:rsidP="00B55F24">
            <w:pPr>
              <w:pStyle w:val="TableText"/>
              <w:spacing w:before="40" w:after="40"/>
            </w:pPr>
            <w:r w:rsidRPr="009E06AA">
              <w:t>Incineration and open burning of waste</w:t>
            </w:r>
          </w:p>
        </w:tc>
        <w:tc>
          <w:tcPr>
            <w:tcW w:w="831" w:type="dxa"/>
            <w:shd w:val="clear" w:color="auto" w:fill="FFFFFF"/>
            <w:tcMar>
              <w:top w:w="0" w:type="dxa"/>
              <w:left w:w="85" w:type="dxa"/>
              <w:bottom w:w="0" w:type="dxa"/>
              <w:right w:w="85" w:type="dxa"/>
            </w:tcMar>
          </w:tcPr>
          <w:p w14:paraId="45C55AE6" w14:textId="77777777" w:rsidR="00E87995" w:rsidRPr="009E06AA" w:rsidRDefault="00E87995" w:rsidP="00B55F24">
            <w:pPr>
              <w:pStyle w:val="TableText"/>
              <w:spacing w:before="40" w:after="40"/>
              <w:jc w:val="center"/>
            </w:pPr>
            <w:r w:rsidRPr="009E06AA">
              <w:t>CO</w:t>
            </w:r>
            <w:r w:rsidRPr="009E06AA">
              <w:rPr>
                <w:vertAlign w:val="subscript"/>
              </w:rPr>
              <w:t>2</w:t>
            </w:r>
          </w:p>
        </w:tc>
        <w:tc>
          <w:tcPr>
            <w:tcW w:w="0" w:type="auto"/>
            <w:shd w:val="clear" w:color="auto" w:fill="FFFFFF"/>
            <w:tcMar>
              <w:top w:w="0" w:type="dxa"/>
              <w:left w:w="85" w:type="dxa"/>
              <w:bottom w:w="0" w:type="dxa"/>
              <w:right w:w="85" w:type="dxa"/>
            </w:tcMar>
          </w:tcPr>
          <w:p w14:paraId="3F3D1560" w14:textId="77777777" w:rsidR="00E87995" w:rsidRPr="009E06AA" w:rsidRDefault="00E87995" w:rsidP="00B55F24">
            <w:pPr>
              <w:pStyle w:val="TableText"/>
              <w:spacing w:before="40" w:after="40"/>
            </w:pPr>
            <w:r w:rsidRPr="009E06AA">
              <w:t>T1</w:t>
            </w:r>
          </w:p>
        </w:tc>
      </w:tr>
      <w:tr w:rsidR="00E87995" w:rsidRPr="009E06AA" w14:paraId="0E77922F" w14:textId="77777777" w:rsidTr="00B55F24">
        <w:tc>
          <w:tcPr>
            <w:tcW w:w="0" w:type="auto"/>
            <w:shd w:val="clear" w:color="auto" w:fill="FFFFFF"/>
            <w:tcMar>
              <w:top w:w="0" w:type="dxa"/>
              <w:left w:w="85" w:type="dxa"/>
              <w:bottom w:w="0" w:type="dxa"/>
              <w:right w:w="85" w:type="dxa"/>
            </w:tcMar>
          </w:tcPr>
          <w:p w14:paraId="6B9C0DEE" w14:textId="77777777" w:rsidR="00E87995" w:rsidRPr="009E06AA" w:rsidRDefault="00E87995" w:rsidP="00B55F24">
            <w:pPr>
              <w:pStyle w:val="TableText"/>
              <w:spacing w:before="40" w:after="40"/>
            </w:pPr>
            <w:r w:rsidRPr="009E06AA">
              <w:t>5.D</w:t>
            </w:r>
          </w:p>
        </w:tc>
        <w:tc>
          <w:tcPr>
            <w:tcW w:w="3382" w:type="dxa"/>
            <w:shd w:val="clear" w:color="auto" w:fill="FFFFFF"/>
            <w:tcMar>
              <w:top w:w="0" w:type="dxa"/>
              <w:left w:w="85" w:type="dxa"/>
              <w:bottom w:w="0" w:type="dxa"/>
              <w:right w:w="85" w:type="dxa"/>
            </w:tcMar>
          </w:tcPr>
          <w:p w14:paraId="5CCF653C" w14:textId="77777777" w:rsidR="00E87995" w:rsidRPr="009E06AA" w:rsidRDefault="00E87995" w:rsidP="00B55F24">
            <w:pPr>
              <w:pStyle w:val="TableText"/>
              <w:spacing w:before="40" w:after="40"/>
            </w:pPr>
            <w:r w:rsidRPr="009E06AA">
              <w:t>Wastewater treatment and discharge</w:t>
            </w:r>
          </w:p>
        </w:tc>
        <w:tc>
          <w:tcPr>
            <w:tcW w:w="831" w:type="dxa"/>
            <w:shd w:val="clear" w:color="auto" w:fill="FFFFFF"/>
            <w:tcMar>
              <w:top w:w="0" w:type="dxa"/>
              <w:left w:w="85" w:type="dxa"/>
              <w:bottom w:w="0" w:type="dxa"/>
              <w:right w:w="85" w:type="dxa"/>
            </w:tcMar>
          </w:tcPr>
          <w:p w14:paraId="1B6B9FB7" w14:textId="77777777" w:rsidR="00E87995" w:rsidRPr="009E06AA" w:rsidRDefault="00E87995" w:rsidP="00B55F24">
            <w:pPr>
              <w:pStyle w:val="TableText"/>
              <w:spacing w:before="40" w:after="40"/>
              <w:jc w:val="center"/>
            </w:pPr>
            <w:r w:rsidRPr="009E06AA">
              <w:t>CH</w:t>
            </w:r>
            <w:r w:rsidRPr="009E06AA">
              <w:rPr>
                <w:vertAlign w:val="subscript"/>
              </w:rPr>
              <w:t>4</w:t>
            </w:r>
          </w:p>
        </w:tc>
        <w:tc>
          <w:tcPr>
            <w:tcW w:w="0" w:type="auto"/>
            <w:shd w:val="clear" w:color="auto" w:fill="FFFFFF"/>
            <w:tcMar>
              <w:top w:w="0" w:type="dxa"/>
              <w:left w:w="85" w:type="dxa"/>
              <w:bottom w:w="0" w:type="dxa"/>
              <w:right w:w="85" w:type="dxa"/>
            </w:tcMar>
          </w:tcPr>
          <w:p w14:paraId="0ADAFF0F" w14:textId="77777777" w:rsidR="00E87995" w:rsidRPr="009E06AA" w:rsidRDefault="00E87995" w:rsidP="00B55F24">
            <w:pPr>
              <w:pStyle w:val="TableText"/>
              <w:spacing w:before="40" w:after="40"/>
            </w:pPr>
            <w:r w:rsidRPr="009E06AA">
              <w:t>L1</w:t>
            </w:r>
          </w:p>
        </w:tc>
      </w:tr>
    </w:tbl>
    <w:p w14:paraId="1C2FBD3D" w14:textId="77777777" w:rsidR="00E87995" w:rsidRPr="009E06AA" w:rsidRDefault="00E87995" w:rsidP="00E87995">
      <w:pPr>
        <w:pStyle w:val="Noteundertable"/>
        <w:spacing w:after="0"/>
      </w:pPr>
      <w:r w:rsidRPr="009E06AA">
        <w:rPr>
          <w:b/>
          <w:bCs/>
        </w:rPr>
        <w:t>Note:</w:t>
      </w:r>
      <w:r w:rsidRPr="009E06AA">
        <w:rPr>
          <w:b/>
        </w:rPr>
        <w:tab/>
      </w:r>
      <w:r w:rsidRPr="009E06AA">
        <w:t>L1 means a key category is identified under the level analysis – approach 1, and T1 is trend analysis – approach 1. See chapter 1 for more information.</w:t>
      </w:r>
    </w:p>
    <w:p w14:paraId="6E7B8E6C" w14:textId="77777777" w:rsidR="00E87995" w:rsidRPr="009E06AA" w:rsidRDefault="00E87995" w:rsidP="00E87995">
      <w:pPr>
        <w:pStyle w:val="Heading3"/>
      </w:pPr>
      <w:bookmarkStart w:id="2785" w:name="_Toc160537222"/>
      <w:bookmarkStart w:id="2786" w:name="X3d7ebec223af44d93c735d31f59b1b4f613c843"/>
      <w:bookmarkEnd w:id="2779"/>
      <w:r w:rsidRPr="009E06AA">
        <w:t xml:space="preserve">7.1.4 </w:t>
      </w:r>
      <w:r w:rsidRPr="009E06AA">
        <w:tab/>
        <w:t>Methodological issues for the Waste sector</w:t>
      </w:r>
      <w:bookmarkEnd w:id="2785"/>
    </w:p>
    <w:p w14:paraId="1513A718" w14:textId="77777777" w:rsidR="00E87995" w:rsidRPr="009E06AA" w:rsidRDefault="00E87995" w:rsidP="00E87995">
      <w:pPr>
        <w:pStyle w:val="BodyText"/>
        <w:spacing w:before="100" w:after="100"/>
      </w:pPr>
      <w:r w:rsidRPr="009E06AA">
        <w:t>Activity data have come from a variety of sources. Municipal solid waste disposal data, from mandatory reporting under the Waste Minimisation Act 2008 and from the NZ ETS, were used for the years for which they are available (2010 onwards). Activity data for all other sources were based on specific surveys. Interpolation based on gross domestic product (GDP) or population is used for other years.</w:t>
      </w:r>
    </w:p>
    <w:p w14:paraId="2DFDFFE3" w14:textId="77777777" w:rsidR="00E87995" w:rsidRPr="009E06AA" w:rsidRDefault="00E87995" w:rsidP="00E87995">
      <w:pPr>
        <w:pStyle w:val="BodyText"/>
        <w:spacing w:before="100" w:after="100"/>
      </w:pPr>
      <w:r w:rsidRPr="009E06AA">
        <w:t>Human population and animal production statistics provided by Stats NZ are also used for estimating emissions from the Waste sector.</w:t>
      </w:r>
    </w:p>
    <w:p w14:paraId="044E7BD7" w14:textId="77777777" w:rsidR="00E87995" w:rsidRPr="009E06AA" w:rsidRDefault="00E87995" w:rsidP="00E87995">
      <w:pPr>
        <w:pStyle w:val="BodyText"/>
        <w:spacing w:before="100" w:after="100"/>
      </w:pPr>
      <w:r w:rsidRPr="009E06AA">
        <w:t xml:space="preserve">New Zealand uses Tier 2 methodologies for estimating emissions from the </w:t>
      </w:r>
      <w:r w:rsidRPr="009E06AA">
        <w:rPr>
          <w:i/>
          <w:iCs/>
        </w:rPr>
        <w:t>Solid waste disposal</w:t>
      </w:r>
      <w:r w:rsidRPr="009E06AA">
        <w:t> source category, which is a key category, and for some wastewater emissions. Tier 1 methodologies are used to estimate other emissions from the Waste sector.</w:t>
      </w:r>
    </w:p>
    <w:p w14:paraId="51F18873" w14:textId="77777777" w:rsidR="00E87995" w:rsidRPr="009E06AA" w:rsidRDefault="00E87995" w:rsidP="00E87995">
      <w:pPr>
        <w:pStyle w:val="BodyText"/>
        <w:spacing w:before="100" w:after="100"/>
      </w:pPr>
      <w:r w:rsidRPr="009E06AA">
        <w:t>Country-specific emission factors have been used where available, including parameters for municipal waste (Eunomia, unpublished(a)) and for treatment of some types of industrial wastewater (Cardno, unpublished).</w:t>
      </w:r>
    </w:p>
    <w:p w14:paraId="3A0C7719" w14:textId="77777777" w:rsidR="00E87995" w:rsidRPr="009E06AA" w:rsidRDefault="00E87995" w:rsidP="00E87995">
      <w:pPr>
        <w:pStyle w:val="BodyText"/>
      </w:pPr>
      <w:r w:rsidRPr="009E06AA">
        <w:t>Specific methodological issues are discussed under each source category in this chapter.</w:t>
      </w:r>
    </w:p>
    <w:p w14:paraId="0B41D353" w14:textId="77777777" w:rsidR="00E87995" w:rsidRPr="009E06AA" w:rsidRDefault="00E87995" w:rsidP="00E87995">
      <w:pPr>
        <w:pStyle w:val="Heading3"/>
      </w:pPr>
      <w:bookmarkStart w:id="2787" w:name="_Toc160537223"/>
      <w:bookmarkStart w:id="2788" w:name="uncertainties"/>
      <w:bookmarkEnd w:id="2786"/>
      <w:r w:rsidRPr="009E06AA">
        <w:t>7.1.5</w:t>
      </w:r>
      <w:r w:rsidRPr="009E06AA">
        <w:tab/>
        <w:t>Uncertainties</w:t>
      </w:r>
      <w:bookmarkEnd w:id="2787"/>
    </w:p>
    <w:p w14:paraId="7754D770" w14:textId="77777777" w:rsidR="00E87995" w:rsidRPr="009E06AA" w:rsidRDefault="00E87995" w:rsidP="00E87995">
      <w:pPr>
        <w:pStyle w:val="BodyText"/>
        <w:tabs>
          <w:tab w:val="left" w:pos="7938"/>
        </w:tabs>
      </w:pPr>
      <w:r w:rsidRPr="009E06AA">
        <w:t xml:space="preserve">The uncertainties for emission estimates are discussed under each category in this chapter. For most sources, they conform to default uncertainties in the 2006 Intergovernmental Panel on Climate Change (IPCC) Guidelines (IPCC, 2006a). Much higher uncertainties are reported for unmanaged waste due to uncertainty in the activity data, and for wastewater going into rivers </w:t>
      </w:r>
      <w:r w:rsidRPr="009E06AA">
        <w:rPr>
          <w:spacing w:val="-2"/>
        </w:rPr>
        <w:t>and seawater due to uncertainty in the emission factors associated with indirect N</w:t>
      </w:r>
      <w:r w:rsidRPr="009E06AA">
        <w:rPr>
          <w:spacing w:val="-2"/>
          <w:vertAlign w:val="subscript"/>
        </w:rPr>
        <w:t>2</w:t>
      </w:r>
      <w:r w:rsidRPr="009E06AA">
        <w:rPr>
          <w:spacing w:val="-2"/>
        </w:rPr>
        <w:t>O emissions</w:t>
      </w:r>
      <w:r w:rsidRPr="009E06AA">
        <w:t>.</w:t>
      </w:r>
    </w:p>
    <w:p w14:paraId="0CD9DE0D" w14:textId="77777777" w:rsidR="00E87995" w:rsidRPr="009E06AA" w:rsidRDefault="00E87995" w:rsidP="00E87995">
      <w:pPr>
        <w:pStyle w:val="Heading3"/>
      </w:pPr>
      <w:bookmarkStart w:id="2789" w:name="_Toc160537224"/>
      <w:bookmarkStart w:id="2790" w:name="verification"/>
      <w:bookmarkEnd w:id="2788"/>
      <w:r w:rsidRPr="009E06AA">
        <w:t>7.1.6</w:t>
      </w:r>
      <w:r w:rsidRPr="009E06AA">
        <w:tab/>
        <w:t>Verification</w:t>
      </w:r>
      <w:bookmarkEnd w:id="2789"/>
    </w:p>
    <w:p w14:paraId="1D283DAA" w14:textId="77777777" w:rsidR="00E87995" w:rsidRPr="009E06AA" w:rsidRDefault="00E87995" w:rsidP="00E87995">
      <w:pPr>
        <w:pStyle w:val="BodyText"/>
      </w:pPr>
      <w:r w:rsidRPr="009E06AA">
        <w:t>Where available, data from different sources were used for verification. All municipal landfills report their activity data either monthly, quarterly or annually under the requirements of the Waste Minimisation Act 2008. In addition, most of these landfills also report activity data and estimated emissions (by mass balance) under the NZ ETS. These data sources are used as primary sources or for verification, as appropriate.</w:t>
      </w:r>
    </w:p>
    <w:p w14:paraId="2BD26B4A" w14:textId="77777777" w:rsidR="00E87995" w:rsidRPr="009E06AA" w:rsidRDefault="00E87995" w:rsidP="00E87995">
      <w:pPr>
        <w:pStyle w:val="BodyText"/>
      </w:pPr>
      <w:r w:rsidRPr="009E06AA">
        <w:t>Data on wastewater treatment have been obtained from surveys.</w:t>
      </w:r>
    </w:p>
    <w:p w14:paraId="426AC921" w14:textId="77777777" w:rsidR="00E87995" w:rsidRPr="009E06AA" w:rsidRDefault="00E87995" w:rsidP="00E87995">
      <w:pPr>
        <w:pStyle w:val="Heading3"/>
      </w:pPr>
      <w:bookmarkStart w:id="2791" w:name="_Toc160537225"/>
      <w:bookmarkStart w:id="2792" w:name="recalculations-and-improvements"/>
      <w:bookmarkEnd w:id="2790"/>
      <w:r w:rsidRPr="009E06AA">
        <w:t>7.1.7</w:t>
      </w:r>
      <w:r w:rsidRPr="009E06AA">
        <w:tab/>
        <w:t>Recalculations and improvements</w:t>
      </w:r>
      <w:bookmarkEnd w:id="2791"/>
    </w:p>
    <w:p w14:paraId="15B2C943" w14:textId="40300853" w:rsidR="00E87995" w:rsidRPr="009E06AA" w:rsidRDefault="00E87995" w:rsidP="00E87995">
      <w:pPr>
        <w:pStyle w:val="BodyText"/>
      </w:pPr>
      <w:r w:rsidRPr="009E06AA">
        <w:t>Throughout this chapter, recalculations are presented by applying 100-year time horizon global warming potential values from the Intergovernmental Panel on Climate Change (IPCC) Fifth Assessment Report (IPCC, 2013) for both the previous and current submission to ensure a like-for-like comparison. The change from applying the 100-year time horizon global warming potential values from the IPCC’s Fourth Assessment Report (IPCC, 2007) in the previous submission, to applying the Fifth Assessment Report values in the current submission, has not been considered as a recalculation to the inventory.</w:t>
      </w:r>
    </w:p>
    <w:p w14:paraId="06DFD3C1" w14:textId="77777777" w:rsidR="00E87995" w:rsidRPr="009E06AA" w:rsidRDefault="00E87995" w:rsidP="00E87995">
      <w:pPr>
        <w:pStyle w:val="BodyText"/>
      </w:pPr>
      <w:r w:rsidRPr="009E06AA">
        <w:t>Improvements and recalculations made to estimates in the Waste sector have resulted in a 0.4 per cent (16.0 kt CO</w:t>
      </w:r>
      <w:r w:rsidRPr="009E06AA">
        <w:rPr>
          <w:vertAlign w:val="subscript"/>
        </w:rPr>
        <w:t>2</w:t>
      </w:r>
      <w:r w:rsidRPr="009E06AA">
        <w:t>-e) decrease in emissions in 1990 and a 0.2 per cent (6.5 kt CO</w:t>
      </w:r>
      <w:r w:rsidRPr="009E06AA">
        <w:rPr>
          <w:vertAlign w:val="subscript"/>
        </w:rPr>
        <w:t>2</w:t>
      </w:r>
      <w:r w:rsidRPr="009E06AA">
        <w:t>-e) decrease in emissions in 2021.</w:t>
      </w:r>
    </w:p>
    <w:p w14:paraId="53CB405E" w14:textId="77777777" w:rsidR="00E87995" w:rsidRPr="009E06AA" w:rsidRDefault="00E87995" w:rsidP="00E87995">
      <w:pPr>
        <w:pStyle w:val="BodyText"/>
      </w:pPr>
      <w:r w:rsidRPr="009E06AA">
        <w:t>Minor changes have been made that affect emissions as follows.</w:t>
      </w:r>
    </w:p>
    <w:p w14:paraId="37714B43" w14:textId="77777777" w:rsidR="00E87995" w:rsidRPr="009E06AA" w:rsidRDefault="00E87995" w:rsidP="00E87995">
      <w:pPr>
        <w:pStyle w:val="Bullet"/>
      </w:pPr>
      <w:r w:rsidRPr="009E06AA">
        <w:t xml:space="preserve">Accuracy: The Levin–Hokio landfill within the </w:t>
      </w:r>
      <w:r w:rsidRPr="009E06AA">
        <w:rPr>
          <w:i/>
          <w:iCs/>
        </w:rPr>
        <w:t>Managed waste disposal sites</w:t>
      </w:r>
      <w:r w:rsidRPr="009E06AA">
        <w:t xml:space="preserve"> category stopped receiving waste in 2022, and, as a result, the landfill gas capture rate was revised over the duration of gas capture beginning in 2021 from 68 per cent to 52 per cent, which is the value for closed sites.</w:t>
      </w:r>
      <w:r w:rsidRPr="009E06AA" w:rsidDel="000D4EA3">
        <w:t xml:space="preserve"> </w:t>
      </w:r>
    </w:p>
    <w:p w14:paraId="10611F83" w14:textId="77777777" w:rsidR="00E87995" w:rsidRPr="009E06AA" w:rsidRDefault="00E87995" w:rsidP="00E87995">
      <w:pPr>
        <w:pStyle w:val="Bullet"/>
      </w:pPr>
      <w:r w:rsidRPr="009E06AA">
        <w:t xml:space="preserve">Accuracy: Activity data for </w:t>
      </w:r>
      <w:r w:rsidRPr="009E06AA">
        <w:rPr>
          <w:i/>
          <w:iCs/>
        </w:rPr>
        <w:t>Farm fills</w:t>
      </w:r>
      <w:r w:rsidRPr="009E06AA">
        <w:t xml:space="preserve"> and </w:t>
      </w:r>
      <w:r w:rsidRPr="009E06AA">
        <w:rPr>
          <w:i/>
          <w:iCs/>
        </w:rPr>
        <w:t>Open burning</w:t>
      </w:r>
      <w:r w:rsidRPr="009E06AA">
        <w:t xml:space="preserve"> </w:t>
      </w:r>
      <w:r w:rsidRPr="009E06AA">
        <w:rPr>
          <w:i/>
        </w:rPr>
        <w:t>of waste</w:t>
      </w:r>
      <w:r w:rsidRPr="009E06AA">
        <w:t xml:space="preserve"> was revised to account for the updated number and type of farms reported in the latest agricultural production statistics.</w:t>
      </w:r>
      <w:r w:rsidRPr="009E06AA">
        <w:rPr>
          <w:rStyle w:val="FootnoteReference"/>
        </w:rPr>
        <w:footnoteReference w:id="58"/>
      </w:r>
    </w:p>
    <w:p w14:paraId="790293B7" w14:textId="77777777" w:rsidR="00E87995" w:rsidRPr="009E06AA" w:rsidRDefault="00E87995" w:rsidP="00E87995">
      <w:pPr>
        <w:pStyle w:val="BodyText"/>
      </w:pPr>
      <w:r w:rsidRPr="009E06AA">
        <w:t>Further details can be found under methodological issues within this chapter for each source category and in chapter 10.</w:t>
      </w:r>
    </w:p>
    <w:p w14:paraId="72E9DD59" w14:textId="77777777" w:rsidR="00E87995" w:rsidRPr="009E06AA" w:rsidRDefault="00E87995" w:rsidP="00E87995">
      <w:pPr>
        <w:pStyle w:val="Heading3"/>
      </w:pPr>
      <w:bookmarkStart w:id="2793" w:name="_Toc160537226"/>
      <w:bookmarkStart w:id="2794" w:name="X1f698cc084c84463889f5fff1260c8c66d2e4cc"/>
      <w:bookmarkEnd w:id="2792"/>
      <w:r w:rsidRPr="009E06AA">
        <w:t>7.1.8</w:t>
      </w:r>
      <w:r w:rsidRPr="009E06AA">
        <w:tab/>
        <w:t>Quality-assurance/quality-control (QA/QC) processes</w:t>
      </w:r>
      <w:bookmarkEnd w:id="2793"/>
    </w:p>
    <w:p w14:paraId="10DD8191" w14:textId="77777777" w:rsidR="00E87995" w:rsidRPr="009E06AA" w:rsidRDefault="00E87995" w:rsidP="00E87995">
      <w:pPr>
        <w:pStyle w:val="BodyText"/>
      </w:pPr>
      <w:r w:rsidRPr="009E06AA">
        <w:t>Figure 7.1.4 shows a flow diagram for data in the Waste sector, including quality-assurance and quality-control processes. Tier 1 quality checks were carried out on all data for key categories in this sector.</w:t>
      </w:r>
    </w:p>
    <w:p w14:paraId="1CC05040" w14:textId="77777777" w:rsidR="00E87995" w:rsidRPr="009E06AA" w:rsidRDefault="00E87995" w:rsidP="00E87995">
      <w:pPr>
        <w:pStyle w:val="Figure"/>
      </w:pPr>
      <w:bookmarkStart w:id="2795" w:name="_Toc130211459"/>
      <w:bookmarkStart w:id="2796" w:name="_Toc131591580"/>
      <w:bookmarkStart w:id="2797" w:name="_Toc160537313"/>
      <w:bookmarkStart w:id="2798" w:name="_Toc160537621"/>
      <w:bookmarkStart w:id="2799" w:name="_Toc164154048"/>
      <w:r w:rsidRPr="009E06AA">
        <w:t>Figure 7.1.4</w:t>
      </w:r>
      <w:r w:rsidRPr="009E06AA">
        <w:tab/>
        <w:t>Tier 1 quality checks for the Waste sector</w:t>
      </w:r>
      <w:bookmarkEnd w:id="2795"/>
      <w:bookmarkEnd w:id="2796"/>
      <w:bookmarkEnd w:id="2797"/>
      <w:bookmarkEnd w:id="2798"/>
      <w:bookmarkEnd w:id="2799"/>
    </w:p>
    <w:p w14:paraId="18D3600C" w14:textId="77777777" w:rsidR="00E87995" w:rsidRPr="009E06AA" w:rsidRDefault="00E87995" w:rsidP="00E87995">
      <w:pPr>
        <w:pStyle w:val="BodyText"/>
        <w:jc w:val="center"/>
      </w:pPr>
      <w:r w:rsidRPr="009E06AA">
        <w:rPr>
          <w:noProof/>
        </w:rPr>
        <w:drawing>
          <wp:inline distT="0" distB="0" distL="0" distR="0" wp14:anchorId="33A987FD" wp14:editId="047902F2">
            <wp:extent cx="4843016" cy="3336830"/>
            <wp:effectExtent l="0" t="0" r="0" b="0"/>
            <wp:docPr id="43" name="Picture 43"/>
            <wp:cNvGraphicFramePr/>
            <a:graphic xmlns:a="http://schemas.openxmlformats.org/drawingml/2006/main">
              <a:graphicData uri="http://schemas.openxmlformats.org/drawingml/2006/picture">
                <pic:pic xmlns:pic="http://schemas.openxmlformats.org/drawingml/2006/picture">
                  <pic:nvPicPr>
                    <pic:cNvPr id="43" name="Picture 43"/>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a:stretch/>
                  </pic:blipFill>
                  <pic:spPr bwMode="auto">
                    <a:xfrm>
                      <a:off x="0" y="0"/>
                      <a:ext cx="4874613" cy="3358601"/>
                    </a:xfrm>
                    <a:prstGeom prst="rect">
                      <a:avLst/>
                    </a:prstGeom>
                    <a:noFill/>
                    <a:ln>
                      <a:noFill/>
                    </a:ln>
                    <a:extLst>
                      <a:ext uri="{53640926-AAD7-44D8-BBD7-CCE9431645EC}">
                        <a14:shadowObscured xmlns:a14="http://schemas.microsoft.com/office/drawing/2010/main"/>
                      </a:ext>
                    </a:extLst>
                  </pic:spPr>
                </pic:pic>
              </a:graphicData>
            </a:graphic>
          </wp:inline>
        </w:drawing>
      </w:r>
    </w:p>
    <w:p w14:paraId="00187A10" w14:textId="77777777" w:rsidR="00E87995" w:rsidRPr="009E06AA" w:rsidRDefault="00E87995" w:rsidP="00E87995">
      <w:pPr>
        <w:pStyle w:val="Heading2"/>
      </w:pPr>
      <w:bookmarkStart w:id="2800" w:name="_Toc131591261"/>
      <w:bookmarkStart w:id="2801" w:name="_Toc160537227"/>
      <w:bookmarkStart w:id="2802" w:name="_Toc164154216"/>
      <w:bookmarkStart w:id="2803" w:name="solid-waste-disposal-5.a"/>
      <w:bookmarkEnd w:id="2753"/>
      <w:bookmarkEnd w:id="2794"/>
      <w:r w:rsidRPr="009E06AA">
        <w:t xml:space="preserve">7.2 </w:t>
      </w:r>
      <w:r w:rsidRPr="009E06AA">
        <w:tab/>
        <w:t>Solid waste disposal (5.A)</w:t>
      </w:r>
      <w:bookmarkEnd w:id="2800"/>
      <w:bookmarkEnd w:id="2801"/>
      <w:bookmarkEnd w:id="2802"/>
    </w:p>
    <w:p w14:paraId="460F7926" w14:textId="77777777" w:rsidR="00E87995" w:rsidRPr="009E06AA" w:rsidRDefault="00E87995" w:rsidP="00E87995">
      <w:pPr>
        <w:pStyle w:val="Heading3"/>
        <w:spacing w:before="240"/>
      </w:pPr>
      <w:bookmarkStart w:id="2804" w:name="_Toc160537228"/>
      <w:bookmarkStart w:id="2805" w:name="description"/>
      <w:r w:rsidRPr="009E06AA">
        <w:t xml:space="preserve">7.2.1 </w:t>
      </w:r>
      <w:r w:rsidRPr="009E06AA">
        <w:tab/>
        <w:t>Description</w:t>
      </w:r>
      <w:bookmarkEnd w:id="2804"/>
    </w:p>
    <w:p w14:paraId="5AA78FA1" w14:textId="77777777" w:rsidR="00E87995" w:rsidRPr="009E06AA" w:rsidRDefault="00E87995" w:rsidP="00E87995">
      <w:pPr>
        <w:pStyle w:val="BodyText"/>
      </w:pPr>
      <w:r w:rsidRPr="009E06AA">
        <w:t>Household, industrial and commercial</w:t>
      </w:r>
      <w:r w:rsidRPr="009E06AA">
        <w:rPr>
          <w:rStyle w:val="FootnoteReference"/>
        </w:rPr>
        <w:footnoteReference w:id="59"/>
      </w:r>
      <w:r w:rsidRPr="009E06AA">
        <w:t xml:space="preserve"> solid waste in </w:t>
      </w:r>
      <w:r w:rsidRPr="009E06AA" w:rsidDel="005B22A7">
        <w:t xml:space="preserve">New </w:t>
      </w:r>
      <w:r w:rsidRPr="009E06AA">
        <w:t xml:space="preserve">Zealand is disposed of almost exclusively to landfills, except for about half of all farm waste, which is disposed by open burning. The three broad types of landfill sites in </w:t>
      </w:r>
      <w:r w:rsidRPr="009E06AA" w:rsidDel="00671EF1">
        <w:t>New Zealand</w:t>
      </w:r>
      <w:r w:rsidRPr="009E06AA">
        <w:t xml:space="preserve"> are:</w:t>
      </w:r>
    </w:p>
    <w:p w14:paraId="693DFF62" w14:textId="77777777" w:rsidR="00E87995" w:rsidRPr="009E06AA" w:rsidRDefault="00E87995" w:rsidP="00BB1BE4">
      <w:pPr>
        <w:pStyle w:val="Numberedparagraph"/>
        <w:numPr>
          <w:ilvl w:val="0"/>
          <w:numId w:val="31"/>
        </w:numPr>
      </w:pPr>
      <w:r w:rsidRPr="009E06AA">
        <w:t>municipal landfills, which are used for disposal of household waste but also accept industrial waste or other types of solid waste</w:t>
      </w:r>
    </w:p>
    <w:p w14:paraId="0A7B4206" w14:textId="77777777" w:rsidR="00E87995" w:rsidRPr="009E06AA" w:rsidRDefault="00E87995" w:rsidP="00DF09FC">
      <w:pPr>
        <w:pStyle w:val="Numberedparagraph"/>
      </w:pPr>
      <w:r w:rsidRPr="009E06AA">
        <w:t>non-municipal landfills, including cleanfills (sites to dispose of largely inert waste), industrial fills and sites to dispose of construction and demolition waste</w:t>
      </w:r>
    </w:p>
    <w:p w14:paraId="35A0977A" w14:textId="77777777" w:rsidR="00E87995" w:rsidRPr="009E06AA" w:rsidRDefault="00E87995" w:rsidP="00DF09FC">
      <w:pPr>
        <w:pStyle w:val="Numberedparagraph"/>
      </w:pPr>
      <w:r w:rsidRPr="009E06AA">
        <w:t>farm fills, which are used for disposal of household and other on-farm waste to land. Disposal of waste to land (in addition to open burning) is prevalent on farms in New </w:t>
      </w:r>
      <w:r w:rsidRPr="009E06AA" w:rsidDel="00F93E85">
        <w:t>Zealand</w:t>
      </w:r>
      <w:r w:rsidRPr="009E06AA">
        <w:t>.</w:t>
      </w:r>
    </w:p>
    <w:p w14:paraId="6CDFFF1B" w14:textId="33F91289" w:rsidR="00E87995" w:rsidRPr="009E06AA" w:rsidRDefault="00E87995" w:rsidP="00E87995">
      <w:pPr>
        <w:pStyle w:val="BodyText"/>
      </w:pPr>
      <w:r w:rsidRPr="009E06AA">
        <w:t xml:space="preserve">These types of landfill map to </w:t>
      </w:r>
      <w:r w:rsidR="003F10FB" w:rsidRPr="009E06AA">
        <w:t>the inventory categories</w:t>
      </w:r>
      <w:r w:rsidRPr="009E06AA">
        <w:t>, as shown in table 7.2.1. All currently operational municipal landfill sites are managed sites (IPCC, 2006a) but, due to first order decay, some emissions continue to come from uncategorised municipal landfill sites, which were in operation before 2010.</w:t>
      </w:r>
    </w:p>
    <w:p w14:paraId="684A9C34" w14:textId="1D58DB89" w:rsidR="00E87995" w:rsidRPr="009E06AA" w:rsidRDefault="00E87995" w:rsidP="00E87995">
      <w:pPr>
        <w:pStyle w:val="Table"/>
      </w:pPr>
      <w:bookmarkStart w:id="2806" w:name="_Toc128383662"/>
      <w:bookmarkStart w:id="2807" w:name="_Toc131591435"/>
      <w:bookmarkStart w:id="2808" w:name="_Toc160537314"/>
      <w:bookmarkStart w:id="2809" w:name="_Toc160537676"/>
      <w:bookmarkStart w:id="2810" w:name="_Toc164153926"/>
      <w:r w:rsidRPr="009E06AA">
        <w:t>Table 7.2.1</w:t>
      </w:r>
      <w:r w:rsidRPr="009E06AA">
        <w:tab/>
        <w:t>Landfill emissions in the common reporting table</w:t>
      </w:r>
      <w:bookmarkEnd w:id="2806"/>
      <w:bookmarkEnd w:id="2807"/>
      <w:bookmarkEnd w:id="2808"/>
      <w:bookmarkEnd w:id="2809"/>
      <w:r w:rsidR="00FC1D0B" w:rsidRPr="009E06AA">
        <w:t>s</w:t>
      </w:r>
      <w:bookmarkEnd w:id="2810"/>
    </w:p>
    <w:tbl>
      <w:tblPr>
        <w:tblW w:w="8505" w:type="dxa"/>
        <w:tblBorders>
          <w:top w:val="single" w:sz="4" w:space="0" w:color="1B556B" w:themeColor="text2"/>
          <w:bottom w:val="single" w:sz="4" w:space="0" w:color="1B556B" w:themeColor="text2"/>
          <w:insideH w:val="single" w:sz="4" w:space="0" w:color="1B556B" w:themeColor="text2"/>
        </w:tblBorders>
        <w:tblLook w:val="0420" w:firstRow="1" w:lastRow="0" w:firstColumn="0" w:lastColumn="0" w:noHBand="0" w:noVBand="1"/>
      </w:tblPr>
      <w:tblGrid>
        <w:gridCol w:w="1701"/>
        <w:gridCol w:w="2694"/>
        <w:gridCol w:w="4110"/>
      </w:tblGrid>
      <w:tr w:rsidR="00E87995" w:rsidRPr="009E06AA" w14:paraId="7BE43B87" w14:textId="77777777" w:rsidTr="00DF09FC">
        <w:trPr>
          <w:tblHeader/>
        </w:trPr>
        <w:tc>
          <w:tcPr>
            <w:tcW w:w="1000" w:type="pct"/>
            <w:shd w:val="clear" w:color="auto" w:fill="1B556B"/>
            <w:tcMar>
              <w:top w:w="0" w:type="dxa"/>
              <w:left w:w="85" w:type="dxa"/>
              <w:bottom w:w="0" w:type="dxa"/>
              <w:right w:w="85" w:type="dxa"/>
            </w:tcMar>
            <w:vAlign w:val="bottom"/>
          </w:tcPr>
          <w:p w14:paraId="1157583A" w14:textId="77777777" w:rsidR="00E87995" w:rsidRPr="009E06AA" w:rsidRDefault="00E87995" w:rsidP="00B55F24">
            <w:pPr>
              <w:pStyle w:val="TableTextBold"/>
              <w:rPr>
                <w:noProof w:val="0"/>
                <w:color w:val="FFFFFF" w:themeColor="background1"/>
              </w:rPr>
            </w:pPr>
            <w:r w:rsidRPr="009E06AA">
              <w:rPr>
                <w:rFonts w:eastAsia="Calibri" w:cs="Calibri"/>
                <w:noProof w:val="0"/>
                <w:color w:val="FFFFFF" w:themeColor="background1"/>
                <w:szCs w:val="16"/>
              </w:rPr>
              <w:t>CRT</w:t>
            </w:r>
            <w:r w:rsidRPr="009E06AA">
              <w:rPr>
                <w:noProof w:val="0"/>
                <w:color w:val="FFFFFF" w:themeColor="background1"/>
              </w:rPr>
              <w:t xml:space="preserve"> category code</w:t>
            </w:r>
          </w:p>
        </w:tc>
        <w:tc>
          <w:tcPr>
            <w:tcW w:w="1584" w:type="pct"/>
            <w:shd w:val="clear" w:color="auto" w:fill="1B556B"/>
            <w:tcMar>
              <w:top w:w="0" w:type="dxa"/>
              <w:left w:w="85" w:type="dxa"/>
              <w:bottom w:w="0" w:type="dxa"/>
              <w:right w:w="85" w:type="dxa"/>
            </w:tcMar>
            <w:vAlign w:val="bottom"/>
          </w:tcPr>
          <w:p w14:paraId="5EE05AAC" w14:textId="77777777" w:rsidR="00E87995" w:rsidRPr="009E06AA" w:rsidRDefault="00E87995" w:rsidP="00B55F24">
            <w:pPr>
              <w:pStyle w:val="TableTextBold"/>
              <w:rPr>
                <w:noProof w:val="0"/>
                <w:color w:val="FFFFFF" w:themeColor="background1"/>
              </w:rPr>
            </w:pPr>
            <w:r w:rsidRPr="009E06AA">
              <w:rPr>
                <w:noProof w:val="0"/>
                <w:color w:val="FFFFFF" w:themeColor="background1"/>
              </w:rPr>
              <w:t>Landfill type using</w:t>
            </w:r>
            <w:r w:rsidRPr="009E06AA">
              <w:rPr>
                <w:noProof w:val="0"/>
                <w:color w:val="FFFFFF" w:themeColor="background1"/>
              </w:rPr>
              <w:br/>
              <w:t>New Zealand terminology</w:t>
            </w:r>
          </w:p>
        </w:tc>
        <w:tc>
          <w:tcPr>
            <w:tcW w:w="2416" w:type="pct"/>
            <w:shd w:val="clear" w:color="auto" w:fill="1B556B"/>
            <w:tcMar>
              <w:top w:w="0" w:type="dxa"/>
              <w:left w:w="85" w:type="dxa"/>
              <w:bottom w:w="0" w:type="dxa"/>
              <w:right w:w="85" w:type="dxa"/>
            </w:tcMar>
            <w:vAlign w:val="bottom"/>
          </w:tcPr>
          <w:p w14:paraId="60035BC3" w14:textId="77777777" w:rsidR="00E87995" w:rsidRPr="009E06AA" w:rsidRDefault="00E87995" w:rsidP="00B55F24">
            <w:pPr>
              <w:pStyle w:val="TableTextBold"/>
              <w:rPr>
                <w:noProof w:val="0"/>
                <w:color w:val="FFFFFF" w:themeColor="background1"/>
              </w:rPr>
            </w:pPr>
            <w:r w:rsidRPr="009E06AA">
              <w:rPr>
                <w:noProof w:val="0"/>
                <w:color w:val="FFFFFF" w:themeColor="background1"/>
              </w:rPr>
              <w:t>Comment</w:t>
            </w:r>
          </w:p>
        </w:tc>
      </w:tr>
      <w:tr w:rsidR="00E87995" w:rsidRPr="009E06AA" w14:paraId="48EC57D1" w14:textId="77777777" w:rsidTr="00DF09FC">
        <w:tc>
          <w:tcPr>
            <w:tcW w:w="1000" w:type="pct"/>
            <w:shd w:val="clear" w:color="auto" w:fill="FFFFFF"/>
            <w:tcMar>
              <w:top w:w="0" w:type="dxa"/>
              <w:left w:w="85" w:type="dxa"/>
              <w:bottom w:w="0" w:type="dxa"/>
              <w:right w:w="85" w:type="dxa"/>
            </w:tcMar>
          </w:tcPr>
          <w:p w14:paraId="7DCC9543" w14:textId="77777777" w:rsidR="00E87995" w:rsidRPr="009E06AA" w:rsidRDefault="00E87995" w:rsidP="00B55F24">
            <w:pPr>
              <w:pStyle w:val="TableText"/>
            </w:pPr>
            <w:r w:rsidRPr="009E06AA">
              <w:rPr>
                <w:color w:val="000000"/>
              </w:rPr>
              <w:t>5.A.1.a (Anaerobic)</w:t>
            </w:r>
          </w:p>
        </w:tc>
        <w:tc>
          <w:tcPr>
            <w:tcW w:w="1584" w:type="pct"/>
            <w:shd w:val="clear" w:color="auto" w:fill="FFFFFF"/>
            <w:tcMar>
              <w:top w:w="0" w:type="dxa"/>
              <w:left w:w="85" w:type="dxa"/>
              <w:bottom w:w="0" w:type="dxa"/>
              <w:right w:w="85" w:type="dxa"/>
            </w:tcMar>
          </w:tcPr>
          <w:p w14:paraId="2C8728D9" w14:textId="77777777" w:rsidR="00E87995" w:rsidRPr="009E06AA" w:rsidRDefault="00E87995" w:rsidP="00B55F24">
            <w:pPr>
              <w:pStyle w:val="TableText"/>
            </w:pPr>
            <w:r w:rsidRPr="009E06AA">
              <w:rPr>
                <w:color w:val="000000"/>
              </w:rPr>
              <w:t>Managed municipal landfills (Class 1)</w:t>
            </w:r>
          </w:p>
        </w:tc>
        <w:tc>
          <w:tcPr>
            <w:tcW w:w="2416" w:type="pct"/>
            <w:shd w:val="clear" w:color="auto" w:fill="FFFFFF"/>
            <w:tcMar>
              <w:top w:w="0" w:type="dxa"/>
              <w:left w:w="85" w:type="dxa"/>
              <w:bottom w:w="0" w:type="dxa"/>
              <w:right w:w="85" w:type="dxa"/>
            </w:tcMar>
          </w:tcPr>
          <w:p w14:paraId="5836C9E6" w14:textId="77777777" w:rsidR="00E87995" w:rsidRPr="009E06AA" w:rsidRDefault="00E87995" w:rsidP="00B55F24">
            <w:pPr>
              <w:pStyle w:val="TableText"/>
            </w:pPr>
            <w:r w:rsidRPr="009E06AA">
              <w:rPr>
                <w:color w:val="000000"/>
              </w:rPr>
              <w:t>Includes all currently operational municipal landfill sites and all sites with gas recovery</w:t>
            </w:r>
          </w:p>
        </w:tc>
      </w:tr>
      <w:tr w:rsidR="00E87995" w:rsidRPr="009E06AA" w14:paraId="3519762B" w14:textId="77777777" w:rsidTr="00DF09FC">
        <w:tc>
          <w:tcPr>
            <w:tcW w:w="1000" w:type="pct"/>
            <w:shd w:val="clear" w:color="auto" w:fill="FFFFFF"/>
            <w:tcMar>
              <w:top w:w="0" w:type="dxa"/>
              <w:left w:w="85" w:type="dxa"/>
              <w:bottom w:w="0" w:type="dxa"/>
              <w:right w:w="85" w:type="dxa"/>
            </w:tcMar>
          </w:tcPr>
          <w:p w14:paraId="2DF1CFE8" w14:textId="77777777" w:rsidR="00E87995" w:rsidRPr="009E06AA" w:rsidRDefault="00E87995" w:rsidP="00B55F24">
            <w:pPr>
              <w:pStyle w:val="TableText"/>
            </w:pPr>
            <w:r w:rsidRPr="009E06AA">
              <w:rPr>
                <w:color w:val="000000"/>
              </w:rPr>
              <w:t>5.A.1.b (Semi-aerobic)</w:t>
            </w:r>
          </w:p>
        </w:tc>
        <w:tc>
          <w:tcPr>
            <w:tcW w:w="1584" w:type="pct"/>
            <w:shd w:val="clear" w:color="auto" w:fill="FFFFFF"/>
            <w:tcMar>
              <w:top w:w="0" w:type="dxa"/>
              <w:left w:w="85" w:type="dxa"/>
              <w:bottom w:w="0" w:type="dxa"/>
              <w:right w:w="85" w:type="dxa"/>
            </w:tcMar>
          </w:tcPr>
          <w:p w14:paraId="30C1CF19" w14:textId="77777777" w:rsidR="00E87995" w:rsidRPr="009E06AA" w:rsidRDefault="00E87995" w:rsidP="00B55F24">
            <w:pPr>
              <w:pStyle w:val="TableText"/>
            </w:pPr>
            <w:r w:rsidRPr="009E06AA">
              <w:rPr>
                <w:color w:val="000000"/>
              </w:rPr>
              <w:t>–</w:t>
            </w:r>
          </w:p>
        </w:tc>
        <w:tc>
          <w:tcPr>
            <w:tcW w:w="2416" w:type="pct"/>
            <w:shd w:val="clear" w:color="auto" w:fill="FFFFFF"/>
            <w:tcMar>
              <w:top w:w="0" w:type="dxa"/>
              <w:left w:w="85" w:type="dxa"/>
              <w:bottom w:w="0" w:type="dxa"/>
              <w:right w:w="85" w:type="dxa"/>
            </w:tcMar>
          </w:tcPr>
          <w:p w14:paraId="1632C76E" w14:textId="77777777" w:rsidR="00E87995" w:rsidRPr="009E06AA" w:rsidRDefault="00E87995" w:rsidP="00B55F24">
            <w:pPr>
              <w:pStyle w:val="TableText"/>
            </w:pPr>
            <w:r w:rsidRPr="009E06AA">
              <w:rPr>
                <w:color w:val="000000"/>
              </w:rPr>
              <w:t xml:space="preserve">No semi-aerobic landfill sites identified in </w:t>
            </w:r>
            <w:r w:rsidRPr="009E06AA" w:rsidDel="00E92581">
              <w:rPr>
                <w:color w:val="000000"/>
              </w:rPr>
              <w:t>New</w:t>
            </w:r>
            <w:r w:rsidRPr="009E06AA">
              <w:rPr>
                <w:color w:val="000000"/>
              </w:rPr>
              <w:t xml:space="preserve"> Zealand</w:t>
            </w:r>
          </w:p>
        </w:tc>
      </w:tr>
      <w:tr w:rsidR="00E87995" w:rsidRPr="009E06AA" w14:paraId="4694601A" w14:textId="77777777" w:rsidTr="00DF09FC">
        <w:tc>
          <w:tcPr>
            <w:tcW w:w="1000" w:type="pct"/>
            <w:shd w:val="clear" w:color="auto" w:fill="FFFFFF"/>
            <w:tcMar>
              <w:top w:w="0" w:type="dxa"/>
              <w:left w:w="85" w:type="dxa"/>
              <w:bottom w:w="0" w:type="dxa"/>
              <w:right w:w="85" w:type="dxa"/>
            </w:tcMar>
          </w:tcPr>
          <w:p w14:paraId="2CD713BB" w14:textId="77777777" w:rsidR="00E87995" w:rsidRPr="009E06AA" w:rsidRDefault="00E87995" w:rsidP="00B55F24">
            <w:pPr>
              <w:pStyle w:val="TableText"/>
            </w:pPr>
            <w:r w:rsidRPr="009E06AA">
              <w:rPr>
                <w:color w:val="000000"/>
              </w:rPr>
              <w:t>5.A.2 (Unmanaged)</w:t>
            </w:r>
          </w:p>
        </w:tc>
        <w:tc>
          <w:tcPr>
            <w:tcW w:w="1584" w:type="pct"/>
            <w:shd w:val="clear" w:color="auto" w:fill="FFFFFF"/>
            <w:tcMar>
              <w:top w:w="0" w:type="dxa"/>
              <w:left w:w="85" w:type="dxa"/>
              <w:bottom w:w="0" w:type="dxa"/>
              <w:right w:w="85" w:type="dxa"/>
            </w:tcMar>
          </w:tcPr>
          <w:p w14:paraId="521CCB0B" w14:textId="77777777" w:rsidR="00E87995" w:rsidRPr="009E06AA" w:rsidRDefault="00E87995" w:rsidP="00B55F24">
            <w:pPr>
              <w:pStyle w:val="TableText"/>
            </w:pPr>
            <w:r w:rsidRPr="009E06AA">
              <w:rPr>
                <w:color w:val="000000"/>
              </w:rPr>
              <w:t>Non-municipal landfills (classes</w:t>
            </w:r>
            <w:r w:rsidRPr="009E06AA">
              <w:rPr>
                <w:rFonts w:eastAsia="Calibri" w:cs="Calibri"/>
                <w:color w:val="000000"/>
                <w:szCs w:val="16"/>
              </w:rPr>
              <w:t xml:space="preserve"> </w:t>
            </w:r>
            <w:r w:rsidRPr="009E06AA">
              <w:rPr>
                <w:color w:val="000000"/>
              </w:rPr>
              <w:t>2–5)</w:t>
            </w:r>
          </w:p>
        </w:tc>
        <w:tc>
          <w:tcPr>
            <w:tcW w:w="2416" w:type="pct"/>
            <w:shd w:val="clear" w:color="auto" w:fill="FFFFFF"/>
            <w:tcMar>
              <w:top w:w="0" w:type="dxa"/>
              <w:left w:w="85" w:type="dxa"/>
              <w:bottom w:w="0" w:type="dxa"/>
              <w:right w:w="85" w:type="dxa"/>
            </w:tcMar>
          </w:tcPr>
          <w:p w14:paraId="35A6443B" w14:textId="77777777" w:rsidR="00E87995" w:rsidRPr="009E06AA" w:rsidRDefault="00E87995" w:rsidP="00B55F24">
            <w:pPr>
              <w:pStyle w:val="TableText"/>
            </w:pPr>
            <w:r w:rsidRPr="009E06AA">
              <w:rPr>
                <w:color w:val="000000"/>
              </w:rPr>
              <w:t>Includes industrial landfills</w:t>
            </w:r>
          </w:p>
        </w:tc>
      </w:tr>
      <w:tr w:rsidR="00E87995" w:rsidRPr="009E06AA" w14:paraId="06A01A64" w14:textId="77777777" w:rsidTr="00DF09FC">
        <w:tc>
          <w:tcPr>
            <w:tcW w:w="1000" w:type="pct"/>
            <w:shd w:val="clear" w:color="auto" w:fill="FFFFFF"/>
            <w:tcMar>
              <w:top w:w="0" w:type="dxa"/>
              <w:left w:w="85" w:type="dxa"/>
              <w:bottom w:w="0" w:type="dxa"/>
              <w:right w:w="85" w:type="dxa"/>
            </w:tcMar>
          </w:tcPr>
          <w:p w14:paraId="4537A906" w14:textId="77777777" w:rsidR="00E87995" w:rsidRPr="009E06AA" w:rsidRDefault="00E87995" w:rsidP="00B55F24">
            <w:pPr>
              <w:pStyle w:val="TableText"/>
            </w:pPr>
            <w:r w:rsidRPr="009E06AA">
              <w:rPr>
                <w:color w:val="000000"/>
              </w:rPr>
              <w:t>5.A.2 (Unmanaged)</w:t>
            </w:r>
          </w:p>
        </w:tc>
        <w:tc>
          <w:tcPr>
            <w:tcW w:w="1584" w:type="pct"/>
            <w:shd w:val="clear" w:color="auto" w:fill="FFFFFF"/>
            <w:tcMar>
              <w:top w:w="0" w:type="dxa"/>
              <w:left w:w="85" w:type="dxa"/>
              <w:bottom w:w="0" w:type="dxa"/>
              <w:right w:w="85" w:type="dxa"/>
            </w:tcMar>
          </w:tcPr>
          <w:p w14:paraId="035C3462" w14:textId="77777777" w:rsidR="00E87995" w:rsidRPr="009E06AA" w:rsidRDefault="00E87995" w:rsidP="00B55F24">
            <w:pPr>
              <w:pStyle w:val="TableText"/>
            </w:pPr>
            <w:r w:rsidRPr="009E06AA">
              <w:rPr>
                <w:color w:val="000000"/>
              </w:rPr>
              <w:t>Farm fills</w:t>
            </w:r>
          </w:p>
        </w:tc>
        <w:tc>
          <w:tcPr>
            <w:tcW w:w="2416" w:type="pct"/>
            <w:shd w:val="clear" w:color="auto" w:fill="FFFFFF"/>
            <w:tcMar>
              <w:top w:w="0" w:type="dxa"/>
              <w:left w:w="85" w:type="dxa"/>
              <w:bottom w:w="0" w:type="dxa"/>
              <w:right w:w="85" w:type="dxa"/>
            </w:tcMar>
          </w:tcPr>
          <w:p w14:paraId="035247FB" w14:textId="77777777" w:rsidR="00E87995" w:rsidRPr="009E06AA" w:rsidRDefault="00E87995" w:rsidP="00B55F24">
            <w:pPr>
              <w:pStyle w:val="TableText"/>
            </w:pPr>
            <w:r w:rsidRPr="009E06AA">
              <w:rPr>
                <w:color w:val="000000"/>
              </w:rPr>
              <w:t>Disposal of about half of farm waste</w:t>
            </w:r>
          </w:p>
        </w:tc>
      </w:tr>
      <w:tr w:rsidR="00E87995" w:rsidRPr="009E06AA" w14:paraId="55C4B0A4" w14:textId="77777777" w:rsidTr="00DF09FC">
        <w:tc>
          <w:tcPr>
            <w:tcW w:w="1000" w:type="pct"/>
            <w:shd w:val="clear" w:color="auto" w:fill="FFFFFF"/>
            <w:tcMar>
              <w:top w:w="0" w:type="dxa"/>
              <w:left w:w="85" w:type="dxa"/>
              <w:bottom w:w="0" w:type="dxa"/>
              <w:right w:w="85" w:type="dxa"/>
            </w:tcMar>
          </w:tcPr>
          <w:p w14:paraId="47211644" w14:textId="77777777" w:rsidR="00E87995" w:rsidRPr="009E06AA" w:rsidRDefault="00E87995" w:rsidP="00B55F24">
            <w:pPr>
              <w:pStyle w:val="TableText"/>
            </w:pPr>
            <w:r w:rsidRPr="009E06AA">
              <w:rPr>
                <w:color w:val="000000"/>
              </w:rPr>
              <w:t>5.A.3 (Uncategorised)</w:t>
            </w:r>
          </w:p>
        </w:tc>
        <w:tc>
          <w:tcPr>
            <w:tcW w:w="1584" w:type="pct"/>
            <w:shd w:val="clear" w:color="auto" w:fill="FFFFFF"/>
            <w:tcMar>
              <w:top w:w="0" w:type="dxa"/>
              <w:left w:w="85" w:type="dxa"/>
              <w:bottom w:w="0" w:type="dxa"/>
              <w:right w:w="85" w:type="dxa"/>
            </w:tcMar>
          </w:tcPr>
          <w:p w14:paraId="5B60186B" w14:textId="77777777" w:rsidR="00E87995" w:rsidRPr="009E06AA" w:rsidRDefault="00E87995" w:rsidP="00B55F24">
            <w:pPr>
              <w:pStyle w:val="TableText"/>
            </w:pPr>
            <w:r w:rsidRPr="009E06AA">
              <w:rPr>
                <w:color w:val="000000"/>
              </w:rPr>
              <w:t>Other municipal landfills (now closed)</w:t>
            </w:r>
          </w:p>
        </w:tc>
        <w:tc>
          <w:tcPr>
            <w:tcW w:w="2416" w:type="pct"/>
            <w:shd w:val="clear" w:color="auto" w:fill="FFFFFF"/>
            <w:tcMar>
              <w:top w:w="0" w:type="dxa"/>
              <w:left w:w="85" w:type="dxa"/>
              <w:bottom w:w="0" w:type="dxa"/>
              <w:right w:w="85" w:type="dxa"/>
            </w:tcMar>
          </w:tcPr>
          <w:p w14:paraId="109596BE" w14:textId="77777777" w:rsidR="00E87995" w:rsidRPr="009E06AA" w:rsidRDefault="00E87995" w:rsidP="00B55F24">
            <w:pPr>
              <w:pStyle w:val="TableText"/>
            </w:pPr>
            <w:r w:rsidRPr="009E06AA">
              <w:rPr>
                <w:color w:val="000000"/>
              </w:rPr>
              <w:t>While disposal is prior to 2010 only, emissions continue to be reported due to decay over time</w:t>
            </w:r>
          </w:p>
        </w:tc>
      </w:tr>
    </w:tbl>
    <w:p w14:paraId="75B97790" w14:textId="77777777" w:rsidR="00E87995" w:rsidRPr="009E06AA" w:rsidRDefault="00E87995" w:rsidP="00E87995">
      <w:pPr>
        <w:pStyle w:val="BodyText"/>
        <w:spacing w:before="240" w:after="100"/>
      </w:pPr>
      <w:r w:rsidRPr="009E06AA">
        <w:t xml:space="preserve">Since 1990, a number of initiatives have been undertaken to improve solid waste management practices in </w:t>
      </w:r>
      <w:r w:rsidRPr="009E06AA" w:rsidDel="001252D0">
        <w:t xml:space="preserve">New </w:t>
      </w:r>
      <w:r w:rsidRPr="009E06AA">
        <w:t>Zealand. These include:</w:t>
      </w:r>
    </w:p>
    <w:p w14:paraId="672CD668" w14:textId="77777777" w:rsidR="00E87995" w:rsidRPr="009E06AA" w:rsidRDefault="00E87995" w:rsidP="00E87995">
      <w:pPr>
        <w:pStyle w:val="Bullet"/>
        <w:spacing w:after="100"/>
      </w:pPr>
      <w:r w:rsidRPr="009E06AA">
        <w:t>requirements for all municipal landfills to meet resource consent conditions set under the Resource Management Act 1991</w:t>
      </w:r>
    </w:p>
    <w:p w14:paraId="3E2A40CD" w14:textId="77777777" w:rsidR="00E87995" w:rsidRPr="009E06AA" w:rsidRDefault="00E87995" w:rsidP="00E87995">
      <w:pPr>
        <w:pStyle w:val="Bullet"/>
        <w:spacing w:after="100"/>
      </w:pPr>
      <w:r w:rsidRPr="009E06AA">
        <w:t>the National Environmental Standards for Air Quality (2004) set under the Resource Management Act 1991, which require large landfills to capture landfill gas (LFG). This has significantly increased the use of LFG collection technology</w:t>
      </w:r>
    </w:p>
    <w:p w14:paraId="7604DD53" w14:textId="77777777" w:rsidR="00E87995" w:rsidRPr="009E06AA" w:rsidRDefault="00E87995" w:rsidP="00E87995">
      <w:pPr>
        <w:pStyle w:val="Bullet"/>
        <w:spacing w:after="100"/>
      </w:pPr>
      <w:r w:rsidRPr="009E06AA">
        <w:rPr>
          <w:spacing w:val="-2"/>
        </w:rPr>
        <w:t xml:space="preserve">guidance and direction to local government and the Waste sector through </w:t>
      </w:r>
      <w:r w:rsidRPr="009E06AA">
        <w:rPr>
          <w:i/>
          <w:iCs/>
          <w:spacing w:val="-2"/>
        </w:rPr>
        <w:t>The New Zealand</w:t>
      </w:r>
      <w:r w:rsidRPr="009E06AA">
        <w:rPr>
          <w:i/>
          <w:iCs/>
        </w:rPr>
        <w:t xml:space="preserve"> Waste Strategy</w:t>
      </w:r>
      <w:r w:rsidRPr="009E06AA">
        <w:t xml:space="preserve"> (Ministry for the Environment, 2002a) and its revisions in 2010 and 2023 (Ministry for the Environment, 2010, 2023</w:t>
      </w:r>
      <w:r w:rsidRPr="009E06AA">
        <w:rPr>
          <w:rStyle w:val="FootnoteReference"/>
        </w:rPr>
        <w:footnoteReference w:id="60"/>
      </w:r>
      <w:r w:rsidRPr="009E06AA">
        <w:t>)</w:t>
      </w:r>
    </w:p>
    <w:p w14:paraId="33ABA5B9" w14:textId="77777777" w:rsidR="00E87995" w:rsidRPr="009E06AA" w:rsidRDefault="00E87995" w:rsidP="00E87995">
      <w:pPr>
        <w:pStyle w:val="Bullet"/>
        <w:spacing w:after="100"/>
      </w:pPr>
      <w:r w:rsidRPr="009E06AA">
        <w:t>development of the Solid Waste Analysis Protocol, which provides a consistent classification system, sampling regimes and survey procedures to estimate the composition of solid waste (Ministry for the Environment, 2002b). The Ministry for the Environment has commissioned an update to the 2002 Solid Waste Analysis Protocol that is not yet finalised as of the 2024 submission</w:t>
      </w:r>
    </w:p>
    <w:p w14:paraId="5B018BB0" w14:textId="77777777" w:rsidR="00E87995" w:rsidRPr="009E06AA" w:rsidRDefault="00E87995" w:rsidP="00E87995">
      <w:pPr>
        <w:pStyle w:val="Bullet"/>
        <w:spacing w:after="100"/>
      </w:pPr>
      <w:r w:rsidRPr="009E06AA">
        <w:t>the Waste Minimisation Act 2008, which imposes a levy on the disposal of municipal solid waste and enables regulations to establish product stewardship requirements and for information reporting. The levy started at NZ$10 per tonne and is progressively increasing over time, to NZ$50 per tonne from 1 July 2023 for municipal landfills and up to NZ$60 per tonne from 1 July 2024. Further, the levy is expanding over time to numerous non-municipal landfills (construction and demolition fills) as of 1 July 2022</w:t>
      </w:r>
    </w:p>
    <w:p w14:paraId="6558C4D7" w14:textId="77777777" w:rsidR="00E87995" w:rsidRPr="009E06AA" w:rsidRDefault="00E87995" w:rsidP="00E87995">
      <w:pPr>
        <w:pStyle w:val="Bullet"/>
        <w:spacing w:after="100"/>
      </w:pPr>
      <w:r w:rsidRPr="009E06AA">
        <w:t>the requirement under the Waste Minimisation Act 2008 for local government to produce waste management and minimisation plans every six years, and associated funding being made available for local government to deliver waste minimisation services in line with their waste management and minimisation plans.</w:t>
      </w:r>
    </w:p>
    <w:p w14:paraId="19844725" w14:textId="77777777" w:rsidR="00E87995" w:rsidRPr="009E06AA" w:rsidRDefault="00E87995" w:rsidP="00E87995">
      <w:pPr>
        <w:pStyle w:val="BodyText"/>
        <w:spacing w:after="100"/>
      </w:pPr>
      <w:r w:rsidRPr="009E06AA">
        <w:t>In addition, most municipal landfills are now mandatory participants in the NZ ETS with obligations to report and surrender emission units for their CH</w:t>
      </w:r>
      <w:r w:rsidRPr="009E06AA">
        <w:rPr>
          <w:vertAlign w:val="subscript"/>
        </w:rPr>
        <w:t>4</w:t>
      </w:r>
      <w:r w:rsidRPr="009E06AA">
        <w:t xml:space="preserve"> emissions estimated by mass balance.</w:t>
      </w:r>
    </w:p>
    <w:p w14:paraId="02AA2485" w14:textId="77777777" w:rsidR="00E87995" w:rsidRPr="009E06AA" w:rsidRDefault="00E87995" w:rsidP="00E87995">
      <w:pPr>
        <w:pStyle w:val="BodyText"/>
        <w:spacing w:before="100" w:after="100"/>
      </w:pPr>
      <w:r w:rsidRPr="009E06AA">
        <w:t>These initiatives have contributed to substantial improvements in waste management since 1990. A large number of small, often poorly located and substandard municipal landfills have closed, and most municipalities are now using larger, more modern regional facilities for disposal of their waste. In 2022, 41 municipal landfill sites were active, in comparison with 327 in 1995 and 563 in 1971. These changes have occurred because the policy initiatives outlined above lead to a consolidation of solid waste into fewer, better-managed landfills. The overall volume of waste disposal to these landfills has increased over time largely due to population growth, especially to non-municipal fills (see tables 7.2.3 and 7.2.4). The increased disposal activity and reduction in the number of landfills means the operating facilities are larger.</w:t>
      </w:r>
    </w:p>
    <w:p w14:paraId="5447C022" w14:textId="77777777" w:rsidR="00E87995" w:rsidRPr="009E06AA" w:rsidRDefault="00E87995" w:rsidP="00E87995">
      <w:pPr>
        <w:pStyle w:val="BodyText"/>
        <w:spacing w:before="100" w:after="100"/>
      </w:pPr>
      <w:r w:rsidRPr="009E06AA">
        <w:t>Non-municipal landfills and farm fills are required to comply with regional policies and plans made under the Resource Management Act 1991. For most of the time series, these facilities were not required to monitor and report the waste they accept, or to pay the waste levy or to participate in the NZ ETS. The waste levy has been expanded over time and, since 1 July 2022, includes non-municipal landfills.</w:t>
      </w:r>
    </w:p>
    <w:p w14:paraId="5FA2AC92" w14:textId="77777777" w:rsidR="00E87995" w:rsidRPr="009E06AA" w:rsidRDefault="00E87995" w:rsidP="00E87995">
      <w:pPr>
        <w:pStyle w:val="BodyText"/>
        <w:spacing w:before="100" w:after="100"/>
      </w:pPr>
      <w:r w:rsidRPr="009E06AA">
        <w:t xml:space="preserve">In 2022, the </w:t>
      </w:r>
      <w:r w:rsidRPr="009E06AA">
        <w:rPr>
          <w:i/>
          <w:iCs/>
        </w:rPr>
        <w:t>Solid waste disposal</w:t>
      </w:r>
      <w:r w:rsidRPr="009E06AA">
        <w:t xml:space="preserve"> source category contributed 2,840.6 kt CO</w:t>
      </w:r>
      <w:r w:rsidRPr="009E06AA">
        <w:rPr>
          <w:vertAlign w:val="subscript"/>
        </w:rPr>
        <w:t>2</w:t>
      </w:r>
      <w:r w:rsidRPr="009E06AA">
        <w:t xml:space="preserve">-e (81.3 per cent) of total emissions from the Waste sector. Emissions from </w:t>
      </w:r>
      <w:r w:rsidRPr="009E06AA">
        <w:rPr>
          <w:i/>
          <w:iCs/>
        </w:rPr>
        <w:t>Solid waste disposal</w:t>
      </w:r>
      <w:r w:rsidRPr="009E06AA">
        <w:t xml:space="preserve"> in 2022 were 868.2 kt CO</w:t>
      </w:r>
      <w:r w:rsidRPr="009E06AA">
        <w:rPr>
          <w:vertAlign w:val="subscript"/>
        </w:rPr>
        <w:t>2</w:t>
      </w:r>
      <w:r w:rsidRPr="009E06AA">
        <w:t>-e (23.4 per cent) below the 1990 level of 3,708.8 kt CO</w:t>
      </w:r>
      <w:r w:rsidRPr="009E06AA">
        <w:rPr>
          <w:vertAlign w:val="subscript"/>
        </w:rPr>
        <w:t>2</w:t>
      </w:r>
      <w:r w:rsidRPr="009E06AA">
        <w:t>-e. While there is year</w:t>
      </w:r>
      <w:r w:rsidRPr="009E06AA">
        <w:noBreakHyphen/>
        <w:t>to</w:t>
      </w:r>
      <w:r w:rsidRPr="009E06AA">
        <w:noBreakHyphen/>
        <w:t>year variation, this net decrease is the result of two trends. First, population and economic growth have driven ongoing increases in the total and per capita amount of municipal waste generated. Secondly, changing composition over time and improved landfill management practices, particularly LFG recovery, have offset this increase, resulting in emissions peaking in 2002.</w:t>
      </w:r>
    </w:p>
    <w:p w14:paraId="7EC3542C" w14:textId="77777777" w:rsidR="00E87995" w:rsidRPr="009E06AA" w:rsidRDefault="00E87995" w:rsidP="00E87995">
      <w:pPr>
        <w:pStyle w:val="BodyText"/>
        <w:spacing w:before="100" w:after="100"/>
      </w:pPr>
      <w:r w:rsidRPr="009E06AA">
        <w:t xml:space="preserve">Methane emissions from </w:t>
      </w:r>
      <w:r w:rsidRPr="009E06AA">
        <w:rPr>
          <w:i/>
          <w:iCs/>
        </w:rPr>
        <w:t>Solid waste disposal</w:t>
      </w:r>
      <w:r w:rsidRPr="009E06AA">
        <w:t xml:space="preserve"> were identified as a key category in the 2022 level assessment and trend assessment.</w:t>
      </w:r>
    </w:p>
    <w:p w14:paraId="268114D8" w14:textId="77777777" w:rsidR="00E87995" w:rsidRPr="009E06AA" w:rsidRDefault="00E87995" w:rsidP="00E87995">
      <w:pPr>
        <w:pStyle w:val="Heading3"/>
        <w:spacing w:before="320"/>
      </w:pPr>
      <w:bookmarkStart w:id="2811" w:name="_Toc160537229"/>
      <w:bookmarkStart w:id="2812" w:name="methodological-issues"/>
      <w:bookmarkEnd w:id="2805"/>
      <w:r w:rsidRPr="009E06AA">
        <w:t>7.2.2</w:t>
      </w:r>
      <w:r w:rsidRPr="009E06AA">
        <w:tab/>
        <w:t>Methodological issues</w:t>
      </w:r>
      <w:bookmarkEnd w:id="2811"/>
    </w:p>
    <w:p w14:paraId="41097BDC" w14:textId="77777777" w:rsidR="00E87995" w:rsidRPr="009E06AA" w:rsidRDefault="00E87995" w:rsidP="00E87995">
      <w:pPr>
        <w:pStyle w:val="Heading4"/>
        <w:spacing w:before="180"/>
      </w:pPr>
      <w:bookmarkStart w:id="2813" w:name="choice-of-activity-data"/>
      <w:r w:rsidRPr="009E06AA">
        <w:t>Choice of activity data</w:t>
      </w:r>
    </w:p>
    <w:p w14:paraId="23E17526" w14:textId="77777777" w:rsidR="00E87995" w:rsidRPr="009E06AA" w:rsidRDefault="00E87995" w:rsidP="00E87995">
      <w:pPr>
        <w:pStyle w:val="BodyText"/>
        <w:spacing w:before="100" w:after="100"/>
      </w:pPr>
      <w:r w:rsidRPr="009E06AA">
        <w:t xml:space="preserve">Activity data for </w:t>
      </w:r>
      <w:r w:rsidRPr="009E06AA">
        <w:rPr>
          <w:i/>
          <w:iCs/>
        </w:rPr>
        <w:t>Solid waste disposal</w:t>
      </w:r>
      <w:r w:rsidRPr="009E06AA">
        <w:t xml:space="preserve"> varies significantly in quality and quantity. Most data are based on estimates and infrequent surveys rather than annual data, except for municipal sites since 2010.</w:t>
      </w:r>
    </w:p>
    <w:p w14:paraId="1B57FE8F" w14:textId="77777777" w:rsidR="00E87995" w:rsidRPr="009E06AA" w:rsidRDefault="00E87995" w:rsidP="00BF2A76">
      <w:pPr>
        <w:pStyle w:val="Heading5"/>
      </w:pPr>
      <w:bookmarkStart w:id="2814" w:name="municipal-landfills-5.a.1.a-and-5.a.3"/>
      <w:r w:rsidRPr="009E06AA">
        <w:t>Municipal landfills (5.A.1.a and 5.A.3)</w:t>
      </w:r>
    </w:p>
    <w:p w14:paraId="19CD7FEE" w14:textId="77777777" w:rsidR="00E87995" w:rsidRPr="009E06AA" w:rsidRDefault="00E87995" w:rsidP="00E87995">
      <w:pPr>
        <w:pStyle w:val="BodyText"/>
        <w:spacing w:after="100"/>
      </w:pPr>
      <w:r w:rsidRPr="009E06AA">
        <w:t>Annual total waste placement to all municipal landfills has been estimated based on:</w:t>
      </w:r>
    </w:p>
    <w:p w14:paraId="7BB187FA" w14:textId="77777777" w:rsidR="00E87995" w:rsidRPr="009E06AA" w:rsidRDefault="00E87995" w:rsidP="00E87995">
      <w:pPr>
        <w:pStyle w:val="Bullet"/>
        <w:spacing w:after="100"/>
      </w:pPr>
      <w:r w:rsidRPr="009E06AA">
        <w:t>back-casting from a 1982 national survey, using real (inflation-adjusted) GDP, for the years before 1982</w:t>
      </w:r>
    </w:p>
    <w:p w14:paraId="64BA7CB3" w14:textId="77777777" w:rsidR="00E87995" w:rsidRPr="009E06AA" w:rsidRDefault="00E87995" w:rsidP="00E87995">
      <w:pPr>
        <w:pStyle w:val="Bullet"/>
        <w:spacing w:after="100"/>
      </w:pPr>
      <w:r w:rsidRPr="009E06AA">
        <w:t>national surveys carried out for the years 1982, 1995, 1998, 2002 and 2006</w:t>
      </w:r>
    </w:p>
    <w:p w14:paraId="614EDB08" w14:textId="77777777" w:rsidR="00E87995" w:rsidRPr="009E06AA" w:rsidRDefault="00E87995" w:rsidP="00E87995">
      <w:pPr>
        <w:pStyle w:val="Bullet"/>
        <w:spacing w:after="100"/>
      </w:pPr>
      <w:r w:rsidRPr="009E06AA">
        <w:t>linear interpolation for the years between these surveys</w:t>
      </w:r>
    </w:p>
    <w:p w14:paraId="2935B359" w14:textId="77777777" w:rsidR="00E87995" w:rsidRPr="009E06AA" w:rsidRDefault="00E87995" w:rsidP="00E87995">
      <w:pPr>
        <w:pStyle w:val="Bullet"/>
        <w:spacing w:after="100"/>
      </w:pPr>
      <w:r w:rsidRPr="009E06AA">
        <w:t>linear interpolation for the years 2007 to 2009</w:t>
      </w:r>
    </w:p>
    <w:p w14:paraId="0C2E3753" w14:textId="77777777" w:rsidR="00E87995" w:rsidRPr="009E06AA" w:rsidRDefault="00E87995" w:rsidP="00E87995">
      <w:pPr>
        <w:pStyle w:val="Bullet"/>
        <w:spacing w:after="100"/>
      </w:pPr>
      <w:r w:rsidRPr="009E06AA">
        <w:t>data collected annually under the requirements of the Waste Minimisation Act 2008 for the years since 2010.</w:t>
      </w:r>
    </w:p>
    <w:p w14:paraId="640D2465" w14:textId="77777777" w:rsidR="00E87995" w:rsidRPr="009E06AA" w:rsidRDefault="00E87995" w:rsidP="00E87995">
      <w:pPr>
        <w:pStyle w:val="BodyText"/>
        <w:spacing w:before="100" w:after="100"/>
      </w:pPr>
      <w:r w:rsidRPr="009E06AA">
        <w:t xml:space="preserve">A regression analysis established that there was a correlation between real GDP and the amount of waste landfilled up to 2002. The transition from national surveys to using data </w:t>
      </w:r>
      <w:r w:rsidRPr="009E06AA">
        <w:rPr>
          <w:spacing w:val="-2"/>
        </w:rPr>
        <w:t>collected under the Waste Minimisation Act 2008 involves a linear interpolation. Other method</w:t>
      </w:r>
      <w:r w:rsidRPr="009E06AA">
        <w:t>s were explored, but this approach gave the most robust estimates (Eunomia Research and Consulting and Waste Not Consulting, unpublished).</w:t>
      </w:r>
    </w:p>
    <w:p w14:paraId="673A2E33" w14:textId="77777777" w:rsidR="00E87995" w:rsidRPr="009E06AA" w:rsidRDefault="00E87995" w:rsidP="00E87995">
      <w:pPr>
        <w:pStyle w:val="BodyText"/>
        <w:spacing w:after="100"/>
      </w:pPr>
      <w:r w:rsidRPr="009E06AA">
        <w:t>Activity data</w:t>
      </w:r>
      <w:r w:rsidRPr="009E06AA" w:rsidDel="00E61006">
        <w:t xml:space="preserve"> </w:t>
      </w:r>
      <w:r w:rsidRPr="009E06AA">
        <w:t>were also available from individual landfill sites. This information was collected from landfill operators by a survey in 2009 (SKM, unpublished(b)). The 25 landfills that were operating at that time, which either had LFG recovery systems or were planning to install LFG recovery systems by 2012, all provided data.</w:t>
      </w:r>
    </w:p>
    <w:p w14:paraId="3E0B4FDE" w14:textId="77777777" w:rsidR="00E87995" w:rsidRPr="009E06AA" w:rsidRDefault="00E87995" w:rsidP="00E87995">
      <w:pPr>
        <w:pStyle w:val="BodyText"/>
      </w:pPr>
      <w:r w:rsidRPr="009E06AA">
        <w:t>The data included annual waste placement history and intentions. Some of these sites have since closed and are no longer accepting waste, but they all still generate CH</w:t>
      </w:r>
      <w:r w:rsidRPr="009E06AA">
        <w:rPr>
          <w:vertAlign w:val="subscript"/>
        </w:rPr>
        <w:t>4</w:t>
      </w:r>
      <w:r w:rsidRPr="009E06AA">
        <w:t xml:space="preserve"> emissions. One new, large landfill site has opened in </w:t>
      </w:r>
      <w:r w:rsidRPr="009E06AA" w:rsidDel="00CD3899">
        <w:t xml:space="preserve">New </w:t>
      </w:r>
      <w:r w:rsidRPr="009E06AA">
        <w:t>Zealand since 2009, and an existing landfill installed an LFG system in 2018. Both have been included in the emissions estimates. From 2010 onwards, all municipal landfills report volumes of waste placement under the Waste Minimisation Act 2008. Table 7.2.2 shows the number of managed landfills.</w:t>
      </w:r>
    </w:p>
    <w:p w14:paraId="5303BC5B" w14:textId="77777777" w:rsidR="00E87995" w:rsidRPr="009E06AA" w:rsidRDefault="00E87995" w:rsidP="00E87995">
      <w:pPr>
        <w:pStyle w:val="Table"/>
      </w:pPr>
      <w:bookmarkStart w:id="2815" w:name="_Toc128383663"/>
      <w:bookmarkStart w:id="2816" w:name="_Toc131591436"/>
      <w:bookmarkStart w:id="2817" w:name="_Toc160537315"/>
      <w:bookmarkStart w:id="2818" w:name="_Toc160537677"/>
      <w:bookmarkStart w:id="2819" w:name="_Toc164153927"/>
      <w:r w:rsidRPr="009E06AA">
        <w:t>Table 7.2.2</w:t>
      </w:r>
      <w:r w:rsidRPr="009E06AA">
        <w:tab/>
        <w:t xml:space="preserve">Landfill categories in </w:t>
      </w:r>
      <w:bookmarkEnd w:id="2815"/>
      <w:bookmarkEnd w:id="2816"/>
      <w:r w:rsidRPr="009E06AA">
        <w:rPr>
          <w:bCs/>
        </w:rPr>
        <w:t>2022</w:t>
      </w:r>
      <w:bookmarkEnd w:id="2817"/>
      <w:bookmarkEnd w:id="2818"/>
      <w:bookmarkEnd w:id="2819"/>
    </w:p>
    <w:tbl>
      <w:tblPr>
        <w:tblW w:w="8505" w:type="dxa"/>
        <w:tblBorders>
          <w:top w:val="single" w:sz="4" w:space="0" w:color="1B556B" w:themeColor="text2"/>
          <w:bottom w:val="single" w:sz="4" w:space="0" w:color="1B556B" w:themeColor="text2"/>
          <w:insideH w:val="single" w:sz="4" w:space="0" w:color="1B556B" w:themeColor="text2"/>
        </w:tblBorders>
        <w:tblLook w:val="0420" w:firstRow="1" w:lastRow="0" w:firstColumn="0" w:lastColumn="0" w:noHBand="0" w:noVBand="1"/>
      </w:tblPr>
      <w:tblGrid>
        <w:gridCol w:w="3226"/>
        <w:gridCol w:w="1934"/>
        <w:gridCol w:w="2190"/>
        <w:gridCol w:w="1155"/>
      </w:tblGrid>
      <w:tr w:rsidR="00E87995" w:rsidRPr="009E06AA" w14:paraId="650CFE1C" w14:textId="77777777" w:rsidTr="00B55F24">
        <w:trPr>
          <w:tblHeader/>
        </w:trPr>
        <w:tc>
          <w:tcPr>
            <w:tcW w:w="0" w:type="auto"/>
            <w:shd w:val="clear" w:color="auto" w:fill="1B556B"/>
            <w:tcMar>
              <w:top w:w="0" w:type="dxa"/>
              <w:left w:w="85" w:type="dxa"/>
              <w:bottom w:w="0" w:type="dxa"/>
              <w:right w:w="85" w:type="dxa"/>
            </w:tcMar>
          </w:tcPr>
          <w:p w14:paraId="515DDE8D" w14:textId="77777777" w:rsidR="00E87995" w:rsidRPr="009E06AA" w:rsidRDefault="00E87995" w:rsidP="00B55F24">
            <w:pPr>
              <w:pStyle w:val="TableTextBold"/>
              <w:spacing w:before="40" w:after="40"/>
              <w:rPr>
                <w:noProof w:val="0"/>
                <w:color w:val="FFFFFF" w:themeColor="background1"/>
              </w:rPr>
            </w:pPr>
            <w:r w:rsidRPr="009E06AA">
              <w:rPr>
                <w:noProof w:val="0"/>
                <w:color w:val="FFFFFF" w:themeColor="background1"/>
              </w:rPr>
              <w:t>Landfill type</w:t>
            </w:r>
          </w:p>
        </w:tc>
        <w:tc>
          <w:tcPr>
            <w:tcW w:w="0" w:type="auto"/>
            <w:shd w:val="clear" w:color="auto" w:fill="1B556B"/>
            <w:tcMar>
              <w:top w:w="0" w:type="dxa"/>
              <w:left w:w="85" w:type="dxa"/>
              <w:bottom w:w="0" w:type="dxa"/>
              <w:right w:w="85" w:type="dxa"/>
            </w:tcMar>
          </w:tcPr>
          <w:p w14:paraId="192FABDB" w14:textId="77777777" w:rsidR="00E87995" w:rsidRPr="009E06AA" w:rsidRDefault="00E87995" w:rsidP="00876E40">
            <w:pPr>
              <w:pStyle w:val="TableTextBold"/>
              <w:spacing w:before="40" w:after="40"/>
              <w:jc w:val="right"/>
              <w:rPr>
                <w:noProof w:val="0"/>
                <w:color w:val="FFFFFF" w:themeColor="background1"/>
              </w:rPr>
            </w:pPr>
            <w:r w:rsidRPr="009E06AA">
              <w:rPr>
                <w:noProof w:val="0"/>
                <w:color w:val="FFFFFF" w:themeColor="background1"/>
              </w:rPr>
              <w:t>Sites with LFG recovery</w:t>
            </w:r>
          </w:p>
        </w:tc>
        <w:tc>
          <w:tcPr>
            <w:tcW w:w="0" w:type="auto"/>
            <w:shd w:val="clear" w:color="auto" w:fill="1B556B"/>
            <w:tcMar>
              <w:top w:w="0" w:type="dxa"/>
              <w:left w:w="85" w:type="dxa"/>
              <w:bottom w:w="0" w:type="dxa"/>
              <w:right w:w="85" w:type="dxa"/>
            </w:tcMar>
          </w:tcPr>
          <w:p w14:paraId="54E0A1DC" w14:textId="77777777" w:rsidR="00E87995" w:rsidRPr="009E06AA" w:rsidRDefault="00E87995" w:rsidP="00876E40">
            <w:pPr>
              <w:pStyle w:val="TableTextBold"/>
              <w:spacing w:before="40" w:after="40"/>
              <w:jc w:val="right"/>
              <w:rPr>
                <w:noProof w:val="0"/>
                <w:color w:val="FFFFFF" w:themeColor="background1"/>
              </w:rPr>
            </w:pPr>
            <w:r w:rsidRPr="009E06AA">
              <w:rPr>
                <w:noProof w:val="0"/>
                <w:color w:val="FFFFFF" w:themeColor="background1"/>
              </w:rPr>
              <w:t>Sites without LFG recovery</w:t>
            </w:r>
          </w:p>
        </w:tc>
        <w:tc>
          <w:tcPr>
            <w:tcW w:w="0" w:type="auto"/>
            <w:shd w:val="clear" w:color="auto" w:fill="1B556B"/>
            <w:tcMar>
              <w:top w:w="0" w:type="dxa"/>
              <w:left w:w="85" w:type="dxa"/>
              <w:bottom w:w="0" w:type="dxa"/>
              <w:right w:w="85" w:type="dxa"/>
            </w:tcMar>
          </w:tcPr>
          <w:p w14:paraId="48AE62B1" w14:textId="77777777" w:rsidR="00E87995" w:rsidRPr="009E06AA" w:rsidRDefault="00E87995" w:rsidP="00876E40">
            <w:pPr>
              <w:pStyle w:val="TableTextBold"/>
              <w:spacing w:before="40" w:after="40"/>
              <w:jc w:val="right"/>
              <w:rPr>
                <w:noProof w:val="0"/>
                <w:color w:val="FFFFFF" w:themeColor="background1"/>
              </w:rPr>
            </w:pPr>
            <w:r w:rsidRPr="009E06AA">
              <w:rPr>
                <w:noProof w:val="0"/>
                <w:color w:val="FFFFFF" w:themeColor="background1"/>
              </w:rPr>
              <w:t>Total</w:t>
            </w:r>
          </w:p>
        </w:tc>
      </w:tr>
      <w:tr w:rsidR="00E87995" w:rsidRPr="009E06AA" w14:paraId="17B8B253" w14:textId="77777777" w:rsidTr="00B55F24">
        <w:tc>
          <w:tcPr>
            <w:tcW w:w="0" w:type="auto"/>
            <w:shd w:val="clear" w:color="auto" w:fill="FFFFFF"/>
            <w:tcMar>
              <w:top w:w="0" w:type="dxa"/>
              <w:left w:w="85" w:type="dxa"/>
              <w:bottom w:w="0" w:type="dxa"/>
              <w:right w:w="85" w:type="dxa"/>
            </w:tcMar>
          </w:tcPr>
          <w:p w14:paraId="3E7D61E5" w14:textId="77777777" w:rsidR="00E87995" w:rsidRPr="009E06AA" w:rsidRDefault="00E87995" w:rsidP="00B55F24">
            <w:pPr>
              <w:pStyle w:val="TableText"/>
              <w:spacing w:before="40" w:after="40"/>
            </w:pPr>
            <w:r w:rsidRPr="009E06AA">
              <w:rPr>
                <w:color w:val="000000"/>
              </w:rPr>
              <w:t>Landfills under the NZ ETS and waste levy</w:t>
            </w:r>
          </w:p>
        </w:tc>
        <w:tc>
          <w:tcPr>
            <w:tcW w:w="0" w:type="auto"/>
            <w:shd w:val="clear" w:color="auto" w:fill="FFFFFF"/>
            <w:tcMar>
              <w:top w:w="0" w:type="dxa"/>
              <w:left w:w="85" w:type="dxa"/>
              <w:bottom w:w="0" w:type="dxa"/>
              <w:right w:w="85" w:type="dxa"/>
            </w:tcMar>
          </w:tcPr>
          <w:p w14:paraId="6B217358" w14:textId="77777777" w:rsidR="00E87995" w:rsidRPr="009E06AA" w:rsidRDefault="00E87995" w:rsidP="00876E40">
            <w:pPr>
              <w:pStyle w:val="TableText"/>
              <w:spacing w:before="40" w:after="40"/>
              <w:jc w:val="right"/>
            </w:pPr>
            <w:r w:rsidRPr="009E06AA">
              <w:rPr>
                <w:rFonts w:eastAsia="Calibri" w:cs="Calibri"/>
                <w:color w:val="000000"/>
                <w:szCs w:val="16"/>
              </w:rPr>
              <w:t>17</w:t>
            </w:r>
          </w:p>
        </w:tc>
        <w:tc>
          <w:tcPr>
            <w:tcW w:w="0" w:type="auto"/>
            <w:shd w:val="clear" w:color="auto" w:fill="FFFFFF"/>
            <w:tcMar>
              <w:top w:w="0" w:type="dxa"/>
              <w:left w:w="85" w:type="dxa"/>
              <w:bottom w:w="0" w:type="dxa"/>
              <w:right w:w="85" w:type="dxa"/>
            </w:tcMar>
          </w:tcPr>
          <w:p w14:paraId="7D52D90C" w14:textId="77777777" w:rsidR="00E87995" w:rsidRPr="009E06AA" w:rsidRDefault="00E87995" w:rsidP="00876E40">
            <w:pPr>
              <w:pStyle w:val="TableText"/>
              <w:spacing w:before="40" w:after="40"/>
              <w:jc w:val="right"/>
            </w:pPr>
            <w:r w:rsidRPr="009E06AA">
              <w:rPr>
                <w:rFonts w:eastAsia="Calibri" w:cs="Calibri"/>
                <w:color w:val="000000"/>
                <w:szCs w:val="16"/>
              </w:rPr>
              <w:t>24</w:t>
            </w:r>
          </w:p>
        </w:tc>
        <w:tc>
          <w:tcPr>
            <w:tcW w:w="0" w:type="auto"/>
            <w:shd w:val="clear" w:color="auto" w:fill="FFFFFF"/>
            <w:tcMar>
              <w:top w:w="0" w:type="dxa"/>
              <w:left w:w="85" w:type="dxa"/>
              <w:bottom w:w="0" w:type="dxa"/>
              <w:right w:w="85" w:type="dxa"/>
            </w:tcMar>
          </w:tcPr>
          <w:p w14:paraId="6E5D98B8" w14:textId="77777777" w:rsidR="00E87995" w:rsidRPr="009E06AA" w:rsidRDefault="00E87995" w:rsidP="00876E40">
            <w:pPr>
              <w:pStyle w:val="TableText"/>
              <w:spacing w:before="40" w:after="40"/>
              <w:jc w:val="right"/>
            </w:pPr>
            <w:r w:rsidRPr="009E06AA">
              <w:rPr>
                <w:rFonts w:eastAsia="Calibri" w:cs="Calibri"/>
                <w:color w:val="000000"/>
                <w:szCs w:val="16"/>
              </w:rPr>
              <w:t>41</w:t>
            </w:r>
          </w:p>
        </w:tc>
      </w:tr>
      <w:tr w:rsidR="00E87995" w:rsidRPr="009E06AA" w14:paraId="4986373A" w14:textId="77777777" w:rsidTr="00B55F24">
        <w:tc>
          <w:tcPr>
            <w:tcW w:w="0" w:type="auto"/>
            <w:shd w:val="clear" w:color="auto" w:fill="FFFFFF"/>
            <w:tcMar>
              <w:top w:w="0" w:type="dxa"/>
              <w:left w:w="85" w:type="dxa"/>
              <w:bottom w:w="0" w:type="dxa"/>
              <w:right w:w="85" w:type="dxa"/>
            </w:tcMar>
          </w:tcPr>
          <w:p w14:paraId="239DC7C9" w14:textId="77777777" w:rsidR="00E87995" w:rsidRPr="009E06AA" w:rsidRDefault="00E87995" w:rsidP="00B55F24">
            <w:pPr>
              <w:pStyle w:val="TableText"/>
              <w:spacing w:before="40" w:after="40"/>
            </w:pPr>
            <w:r w:rsidRPr="009E06AA">
              <w:rPr>
                <w:color w:val="000000"/>
              </w:rPr>
              <w:t>Closed landfills (still emitting)</w:t>
            </w:r>
          </w:p>
        </w:tc>
        <w:tc>
          <w:tcPr>
            <w:tcW w:w="0" w:type="auto"/>
            <w:shd w:val="clear" w:color="auto" w:fill="FFFFFF"/>
            <w:tcMar>
              <w:top w:w="0" w:type="dxa"/>
              <w:left w:w="85" w:type="dxa"/>
              <w:bottom w:w="0" w:type="dxa"/>
              <w:right w:w="85" w:type="dxa"/>
            </w:tcMar>
          </w:tcPr>
          <w:p w14:paraId="7706353F" w14:textId="77777777" w:rsidR="00E87995" w:rsidRPr="009E06AA" w:rsidRDefault="00E87995" w:rsidP="00876E40">
            <w:pPr>
              <w:pStyle w:val="TableText"/>
              <w:spacing w:before="40" w:after="40"/>
              <w:jc w:val="right"/>
            </w:pPr>
            <w:r w:rsidRPr="009E06AA">
              <w:rPr>
                <w:rFonts w:eastAsia="Calibri" w:cs="Calibri"/>
                <w:color w:val="000000"/>
                <w:szCs w:val="16"/>
              </w:rPr>
              <w:t>10</w:t>
            </w:r>
          </w:p>
        </w:tc>
        <w:tc>
          <w:tcPr>
            <w:tcW w:w="0" w:type="auto"/>
            <w:shd w:val="clear" w:color="auto" w:fill="FFFFFF"/>
            <w:tcMar>
              <w:top w:w="0" w:type="dxa"/>
              <w:left w:w="85" w:type="dxa"/>
              <w:bottom w:w="0" w:type="dxa"/>
              <w:right w:w="85" w:type="dxa"/>
            </w:tcMar>
          </w:tcPr>
          <w:p w14:paraId="443599D0" w14:textId="77777777" w:rsidR="00E87995" w:rsidRPr="009E06AA" w:rsidRDefault="00E87995" w:rsidP="00876E40">
            <w:pPr>
              <w:pStyle w:val="TableText"/>
              <w:spacing w:before="40" w:after="40"/>
              <w:jc w:val="right"/>
            </w:pPr>
            <w:r w:rsidRPr="009E06AA">
              <w:rPr>
                <w:color w:val="000000"/>
              </w:rPr>
              <w:t>Not reported</w:t>
            </w:r>
          </w:p>
        </w:tc>
        <w:tc>
          <w:tcPr>
            <w:tcW w:w="0" w:type="auto"/>
            <w:shd w:val="clear" w:color="auto" w:fill="FFFFFF"/>
            <w:tcMar>
              <w:top w:w="0" w:type="dxa"/>
              <w:left w:w="85" w:type="dxa"/>
              <w:bottom w:w="0" w:type="dxa"/>
              <w:right w:w="85" w:type="dxa"/>
            </w:tcMar>
          </w:tcPr>
          <w:p w14:paraId="575A9801" w14:textId="77777777" w:rsidR="00E87995" w:rsidRPr="009E06AA" w:rsidRDefault="00E87995" w:rsidP="00876E40">
            <w:pPr>
              <w:pStyle w:val="TableText"/>
              <w:spacing w:before="40" w:after="40"/>
              <w:jc w:val="right"/>
            </w:pPr>
            <w:r w:rsidRPr="009E06AA">
              <w:rPr>
                <w:color w:val="000000"/>
              </w:rPr>
              <w:t>Not reported</w:t>
            </w:r>
          </w:p>
        </w:tc>
      </w:tr>
      <w:tr w:rsidR="00E87995" w:rsidRPr="009E06AA" w14:paraId="3A0AD2D4" w14:textId="77777777" w:rsidTr="00B55F24">
        <w:tc>
          <w:tcPr>
            <w:tcW w:w="0" w:type="auto"/>
            <w:shd w:val="clear" w:color="auto" w:fill="FFFFFF"/>
            <w:tcMar>
              <w:top w:w="0" w:type="dxa"/>
              <w:left w:w="85" w:type="dxa"/>
              <w:bottom w:w="0" w:type="dxa"/>
              <w:right w:w="85" w:type="dxa"/>
            </w:tcMar>
          </w:tcPr>
          <w:p w14:paraId="3D01963F" w14:textId="77777777" w:rsidR="00E87995" w:rsidRPr="009E06AA" w:rsidRDefault="00E87995" w:rsidP="00B55F24">
            <w:pPr>
              <w:pStyle w:val="TableText"/>
              <w:spacing w:before="40" w:after="40"/>
            </w:pPr>
            <w:r w:rsidRPr="009E06AA">
              <w:rPr>
                <w:color w:val="000000"/>
              </w:rPr>
              <w:t>Total</w:t>
            </w:r>
          </w:p>
        </w:tc>
        <w:tc>
          <w:tcPr>
            <w:tcW w:w="0" w:type="auto"/>
            <w:shd w:val="clear" w:color="auto" w:fill="FFFFFF"/>
            <w:tcMar>
              <w:top w:w="0" w:type="dxa"/>
              <w:left w:w="85" w:type="dxa"/>
              <w:bottom w:w="0" w:type="dxa"/>
              <w:right w:w="85" w:type="dxa"/>
            </w:tcMar>
          </w:tcPr>
          <w:p w14:paraId="00EDB121" w14:textId="77777777" w:rsidR="00E87995" w:rsidRPr="009E06AA" w:rsidRDefault="00E87995" w:rsidP="00876E40">
            <w:pPr>
              <w:pStyle w:val="TableText"/>
              <w:spacing w:before="40" w:after="40"/>
              <w:jc w:val="right"/>
            </w:pPr>
            <w:r w:rsidRPr="009E06AA">
              <w:rPr>
                <w:color w:val="000000"/>
              </w:rPr>
              <w:t>27</w:t>
            </w:r>
          </w:p>
        </w:tc>
        <w:tc>
          <w:tcPr>
            <w:tcW w:w="0" w:type="auto"/>
            <w:shd w:val="clear" w:color="auto" w:fill="FFFFFF"/>
            <w:tcMar>
              <w:top w:w="0" w:type="dxa"/>
              <w:left w:w="85" w:type="dxa"/>
              <w:bottom w:w="0" w:type="dxa"/>
              <w:right w:w="85" w:type="dxa"/>
            </w:tcMar>
          </w:tcPr>
          <w:p w14:paraId="39B0E1FB" w14:textId="77777777" w:rsidR="00E87995" w:rsidRPr="009E06AA" w:rsidRDefault="00E87995" w:rsidP="00876E40">
            <w:pPr>
              <w:pStyle w:val="TableText"/>
              <w:spacing w:before="40" w:after="40"/>
              <w:jc w:val="right"/>
            </w:pPr>
            <w:r w:rsidRPr="009E06AA">
              <w:rPr>
                <w:color w:val="000000"/>
              </w:rPr>
              <w:t>Not reported</w:t>
            </w:r>
          </w:p>
        </w:tc>
        <w:tc>
          <w:tcPr>
            <w:tcW w:w="0" w:type="auto"/>
            <w:shd w:val="clear" w:color="auto" w:fill="FFFFFF"/>
            <w:tcMar>
              <w:top w:w="0" w:type="dxa"/>
              <w:left w:w="85" w:type="dxa"/>
              <w:bottom w:w="0" w:type="dxa"/>
              <w:right w:w="85" w:type="dxa"/>
            </w:tcMar>
          </w:tcPr>
          <w:p w14:paraId="51DA2D5B" w14:textId="77777777" w:rsidR="00E87995" w:rsidRPr="009E06AA" w:rsidRDefault="00E87995" w:rsidP="00876E40">
            <w:pPr>
              <w:pStyle w:val="TableText"/>
              <w:spacing w:before="40" w:after="40"/>
              <w:jc w:val="right"/>
            </w:pPr>
            <w:r w:rsidRPr="009E06AA">
              <w:rPr>
                <w:color w:val="000000"/>
              </w:rPr>
              <w:t>Not reported</w:t>
            </w:r>
          </w:p>
        </w:tc>
      </w:tr>
    </w:tbl>
    <w:p w14:paraId="4C46CF87" w14:textId="77777777" w:rsidR="00E87995" w:rsidRPr="009E06AA" w:rsidRDefault="00E87995" w:rsidP="00E87995">
      <w:pPr>
        <w:pStyle w:val="Noteundertable"/>
      </w:pPr>
      <w:r w:rsidRPr="009E06AA">
        <w:rPr>
          <w:b/>
          <w:bCs/>
        </w:rPr>
        <w:t>Note:</w:t>
      </w:r>
      <w:r w:rsidRPr="009E06AA">
        <w:rPr>
          <w:b/>
        </w:rPr>
        <w:tab/>
      </w:r>
      <w:r w:rsidRPr="009E06AA">
        <w:t>LFG = landfill gas; NZ ETS = New Zealand Emissions Trading Scheme.</w:t>
      </w:r>
    </w:p>
    <w:p w14:paraId="539456F1" w14:textId="77777777" w:rsidR="00E87995" w:rsidRPr="009E06AA" w:rsidRDefault="00E87995" w:rsidP="00E87995">
      <w:pPr>
        <w:pStyle w:val="BodyText"/>
      </w:pPr>
      <w:r w:rsidRPr="009E06AA">
        <w:t xml:space="preserve">For 1950 to 1995, the waste placement for the </w:t>
      </w:r>
      <w:r w:rsidRPr="009E06AA">
        <w:rPr>
          <w:i/>
          <w:iCs/>
        </w:rPr>
        <w:t>Uncategorised waste disposal sites</w:t>
      </w:r>
      <w:r w:rsidRPr="009E06AA">
        <w:t xml:space="preserve"> category (5.A.3) is estimated as a fixed fraction (10 per cent) of the difference between the national total and sites with LFG recovery as shown in the equation:</w:t>
      </w:r>
    </w:p>
    <w:p w14:paraId="7CD840C7" w14:textId="77777777" w:rsidR="00E87995" w:rsidRPr="009E06AA" w:rsidRDefault="00E87995" w:rsidP="00E87995">
      <w:pPr>
        <w:pStyle w:val="BodyText"/>
        <w:rPr>
          <w:rFonts w:ascii="Cambria" w:hAnsi="Cambria"/>
          <w:i/>
          <w:sz w:val="24"/>
        </w:rPr>
      </w:pPr>
      <m:oMathPara>
        <m:oMathParaPr>
          <m:jc m:val="center"/>
        </m:oMathParaPr>
        <m:oMath>
          <m:r>
            <m:rPr>
              <m:nor/>
            </m:rPr>
            <w:rPr>
              <w:rFonts w:ascii="Cambria" w:hAnsi="Cambria"/>
              <w:i/>
              <w:iCs/>
              <w:sz w:val="24"/>
            </w:rPr>
            <m:t>disposal</m:t>
          </m:r>
          <m:r>
            <w:rPr>
              <w:rFonts w:ascii="Cambria Math" w:hAnsi="Cambria Math"/>
              <w:sz w:val="24"/>
            </w:rPr>
            <m:t> </m:t>
          </m:r>
          <m:r>
            <m:rPr>
              <m:nor/>
            </m:rPr>
            <w:rPr>
              <w:rFonts w:ascii="Cambria" w:hAnsi="Cambria"/>
              <w:i/>
              <w:iCs/>
              <w:sz w:val="24"/>
            </w:rPr>
            <m:t>for</m:t>
          </m:r>
          <m:r>
            <w:rPr>
              <w:rFonts w:ascii="Cambria Math" w:hAnsi="Cambria Math"/>
              <w:sz w:val="24"/>
            </w:rPr>
            <m:t> 5.A.3= 10%×</m:t>
          </m:r>
          <m:d>
            <m:dPr>
              <m:ctrlPr>
                <w:rPr>
                  <w:rFonts w:ascii="Cambria Math" w:hAnsi="Cambria Math"/>
                  <w:i/>
                  <w:sz w:val="24"/>
                </w:rPr>
              </m:ctrlPr>
            </m:dPr>
            <m:e>
              <m:r>
                <m:rPr>
                  <m:nor/>
                </m:rPr>
                <w:rPr>
                  <w:rFonts w:ascii="Cambria" w:hAnsi="Cambria"/>
                  <w:i/>
                  <w:iCs/>
                  <w:sz w:val="24"/>
                </w:rPr>
                <m:t>national</m:t>
              </m:r>
              <m:r>
                <w:rPr>
                  <w:rFonts w:ascii="Cambria Math" w:hAnsi="Cambria Math"/>
                  <w:sz w:val="24"/>
                </w:rPr>
                <m:t> </m:t>
              </m:r>
              <m:r>
                <m:rPr>
                  <m:nor/>
                </m:rPr>
                <w:rPr>
                  <w:rFonts w:ascii="Cambria" w:hAnsi="Cambria"/>
                  <w:i/>
                  <w:iCs/>
                  <w:sz w:val="24"/>
                </w:rPr>
                <m:t>total</m:t>
              </m:r>
              <m:r>
                <w:rPr>
                  <w:rFonts w:ascii="Cambria Math" w:hAnsi="Cambria Math"/>
                  <w:sz w:val="24"/>
                </w:rPr>
                <m:t>-</m:t>
              </m:r>
              <m:r>
                <m:rPr>
                  <m:nor/>
                </m:rPr>
                <w:rPr>
                  <w:rFonts w:ascii="Cambria" w:hAnsi="Cambria"/>
                  <w:i/>
                  <w:iCs/>
                  <w:sz w:val="24"/>
                </w:rPr>
                <m:t>disposal</m:t>
              </m:r>
              <m:r>
                <w:rPr>
                  <w:rFonts w:ascii="Cambria Math" w:hAnsi="Cambria Math"/>
                  <w:sz w:val="24"/>
                </w:rPr>
                <m:t> </m:t>
              </m:r>
              <m:r>
                <m:rPr>
                  <m:nor/>
                </m:rPr>
                <w:rPr>
                  <w:rFonts w:ascii="Cambria" w:hAnsi="Cambria"/>
                  <w:i/>
                  <w:iCs/>
                  <w:sz w:val="24"/>
                </w:rPr>
                <m:t>for</m:t>
              </m:r>
              <m:r>
                <w:rPr>
                  <w:rFonts w:ascii="Cambria Math" w:hAnsi="Cambria Math"/>
                  <w:sz w:val="24"/>
                </w:rPr>
                <m:t> </m:t>
              </m:r>
              <m:r>
                <m:rPr>
                  <m:nor/>
                </m:rPr>
                <w:rPr>
                  <w:rFonts w:ascii="Cambria" w:hAnsi="Cambria"/>
                  <w:i/>
                  <w:iCs/>
                  <w:sz w:val="24"/>
                </w:rPr>
                <m:t>LFG</m:t>
              </m:r>
              <m:r>
                <w:rPr>
                  <w:rFonts w:ascii="Cambria Math" w:hAnsi="Cambria Math"/>
                  <w:sz w:val="24"/>
                </w:rPr>
                <m:t> </m:t>
              </m:r>
              <m:r>
                <m:rPr>
                  <m:nor/>
                </m:rPr>
                <w:rPr>
                  <w:rFonts w:ascii="Cambria" w:hAnsi="Cambria"/>
                  <w:i/>
                  <w:iCs/>
                  <w:sz w:val="24"/>
                </w:rPr>
                <m:t>sites</m:t>
              </m:r>
            </m:e>
          </m:d>
        </m:oMath>
      </m:oMathPara>
    </w:p>
    <w:p w14:paraId="0F39FB59" w14:textId="77777777" w:rsidR="00E87995" w:rsidRPr="009E06AA" w:rsidRDefault="00E87995" w:rsidP="00E87995">
      <w:pPr>
        <w:pStyle w:val="BodyText"/>
      </w:pPr>
      <w:r w:rsidRPr="009E06AA">
        <w:t>Between 1995 and 2010, the 10 per cent fraction declines to zero, and activity data for uncategorised sites are reported as not occurring (NO) from 2010 onwards.</w:t>
      </w:r>
    </w:p>
    <w:p w14:paraId="3E6C2BEC" w14:textId="77777777" w:rsidR="00E87995" w:rsidRPr="009E06AA" w:rsidRDefault="00E87995" w:rsidP="00E87995">
      <w:pPr>
        <w:pStyle w:val="BodyText"/>
      </w:pPr>
      <w:r w:rsidRPr="009E06AA">
        <w:t>Table 7.2.3 shows waste placement from the beginning of the model in 1950 to 2022. Landfill sites that had LFG recovery at any time since 1950 are included in the ‘sites with LFG recovery’ category even though no sites had LFG recovery systems installed before 1985.</w:t>
      </w:r>
    </w:p>
    <w:p w14:paraId="56DDC51D" w14:textId="21E32486" w:rsidR="00E87995" w:rsidRPr="009E06AA" w:rsidRDefault="00E87995" w:rsidP="00E87995">
      <w:pPr>
        <w:pStyle w:val="Table"/>
      </w:pPr>
      <w:bookmarkStart w:id="2820" w:name="_Toc128383664"/>
      <w:bookmarkStart w:id="2821" w:name="_Toc131591437"/>
      <w:bookmarkStart w:id="2822" w:name="_Toc160537316"/>
      <w:bookmarkStart w:id="2823" w:name="_Toc160537678"/>
      <w:bookmarkStart w:id="2824" w:name="_Toc164153928"/>
      <w:r w:rsidRPr="009E06AA">
        <w:t>Table 7.2.3</w:t>
      </w:r>
      <w:r w:rsidRPr="009E06AA">
        <w:tab/>
        <w:t>Solid waste deposited to municipal and uncategorised landfills</w:t>
      </w:r>
      <w:r w:rsidR="00E94383" w:rsidRPr="009E06AA">
        <w:t>,</w:t>
      </w:r>
      <w:r w:rsidRPr="009E06AA">
        <w:t xml:space="preserve"> from 1950 to </w:t>
      </w:r>
      <w:bookmarkEnd w:id="2820"/>
      <w:bookmarkEnd w:id="2821"/>
      <w:r w:rsidRPr="009E06AA">
        <w:rPr>
          <w:bCs/>
        </w:rPr>
        <w:t>2022</w:t>
      </w:r>
      <w:bookmarkEnd w:id="2822"/>
      <w:bookmarkEnd w:id="2823"/>
      <w:bookmarkEnd w:id="2824"/>
    </w:p>
    <w:tbl>
      <w:tblPr>
        <w:tblW w:w="8494" w:type="dxa"/>
        <w:tblBorders>
          <w:top w:val="single" w:sz="4" w:space="0" w:color="1B556B" w:themeColor="text2"/>
          <w:bottom w:val="single" w:sz="4" w:space="0" w:color="1B556B" w:themeColor="text2"/>
          <w:insideH w:val="single" w:sz="4" w:space="0" w:color="1B556B" w:themeColor="text2"/>
        </w:tblBorders>
        <w:tblLayout w:type="fixed"/>
        <w:tblLook w:val="0420" w:firstRow="1" w:lastRow="0" w:firstColumn="0" w:lastColumn="0" w:noHBand="0" w:noVBand="1"/>
      </w:tblPr>
      <w:tblGrid>
        <w:gridCol w:w="851"/>
        <w:gridCol w:w="2082"/>
        <w:gridCol w:w="2584"/>
        <w:gridCol w:w="2039"/>
        <w:gridCol w:w="938"/>
      </w:tblGrid>
      <w:tr w:rsidR="00E87995" w:rsidRPr="009E06AA" w14:paraId="7E50889C" w14:textId="77777777" w:rsidTr="00B55F24">
        <w:trPr>
          <w:tblHeader/>
        </w:trPr>
        <w:tc>
          <w:tcPr>
            <w:tcW w:w="851" w:type="dxa"/>
            <w:shd w:val="clear" w:color="auto" w:fill="1B556B"/>
            <w:tcMar>
              <w:top w:w="0" w:type="dxa"/>
              <w:left w:w="85" w:type="dxa"/>
              <w:bottom w:w="0" w:type="dxa"/>
              <w:right w:w="85" w:type="dxa"/>
            </w:tcMar>
          </w:tcPr>
          <w:p w14:paraId="14DFD536" w14:textId="77777777" w:rsidR="00E87995" w:rsidRPr="009E06AA" w:rsidRDefault="00E87995" w:rsidP="00B55F24">
            <w:pPr>
              <w:pStyle w:val="TableTextBold"/>
              <w:spacing w:before="40" w:after="40"/>
              <w:rPr>
                <w:rFonts w:cs="Calibri"/>
                <w:noProof w:val="0"/>
                <w:color w:val="FFFFFF" w:themeColor="background1"/>
                <w:szCs w:val="16"/>
              </w:rPr>
            </w:pPr>
            <w:r w:rsidRPr="009E06AA">
              <w:rPr>
                <w:rFonts w:cs="Calibri"/>
                <w:noProof w:val="0"/>
                <w:color w:val="FFFFFF" w:themeColor="background1"/>
                <w:szCs w:val="16"/>
              </w:rPr>
              <w:t>Year</w:t>
            </w:r>
          </w:p>
        </w:tc>
        <w:tc>
          <w:tcPr>
            <w:tcW w:w="2082" w:type="dxa"/>
            <w:shd w:val="clear" w:color="auto" w:fill="1B556B"/>
            <w:tcMar>
              <w:top w:w="0" w:type="dxa"/>
              <w:left w:w="85" w:type="dxa"/>
              <w:bottom w:w="0" w:type="dxa"/>
              <w:right w:w="85" w:type="dxa"/>
            </w:tcMar>
          </w:tcPr>
          <w:p w14:paraId="6A032CC4" w14:textId="77777777" w:rsidR="00E87995" w:rsidRPr="009E06AA" w:rsidRDefault="00E87995" w:rsidP="00876E40">
            <w:pPr>
              <w:pStyle w:val="TableTextBold"/>
              <w:spacing w:before="40" w:after="40"/>
              <w:jc w:val="right"/>
              <w:rPr>
                <w:rFonts w:cs="Calibri"/>
                <w:noProof w:val="0"/>
                <w:color w:val="FFFFFF" w:themeColor="background1"/>
                <w:szCs w:val="16"/>
              </w:rPr>
            </w:pPr>
            <w:r w:rsidRPr="009E06AA">
              <w:rPr>
                <w:rFonts w:cs="Calibri"/>
                <w:noProof w:val="0"/>
                <w:color w:val="FFFFFF" w:themeColor="background1"/>
                <w:szCs w:val="16"/>
              </w:rPr>
              <w:t>Sites with LFG recovery (kt)</w:t>
            </w:r>
          </w:p>
        </w:tc>
        <w:tc>
          <w:tcPr>
            <w:tcW w:w="2584" w:type="dxa"/>
            <w:shd w:val="clear" w:color="auto" w:fill="1B556B"/>
            <w:tcMar>
              <w:top w:w="0" w:type="dxa"/>
              <w:left w:w="85" w:type="dxa"/>
              <w:bottom w:w="0" w:type="dxa"/>
              <w:right w:w="85" w:type="dxa"/>
            </w:tcMar>
          </w:tcPr>
          <w:p w14:paraId="16D9453B" w14:textId="77777777" w:rsidR="00E87995" w:rsidRPr="009E06AA" w:rsidRDefault="00E87995" w:rsidP="00876E40">
            <w:pPr>
              <w:pStyle w:val="TableTextBold"/>
              <w:spacing w:before="40" w:after="40"/>
              <w:jc w:val="right"/>
              <w:rPr>
                <w:rFonts w:cs="Calibri"/>
                <w:noProof w:val="0"/>
                <w:color w:val="FFFFFF" w:themeColor="background1"/>
                <w:szCs w:val="16"/>
              </w:rPr>
            </w:pPr>
            <w:r w:rsidRPr="009E06AA">
              <w:rPr>
                <w:rFonts w:cs="Calibri"/>
                <w:noProof w:val="0"/>
                <w:color w:val="FFFFFF" w:themeColor="background1"/>
                <w:szCs w:val="16"/>
              </w:rPr>
              <w:t>Sites without LFG recovery (kt)</w:t>
            </w:r>
          </w:p>
        </w:tc>
        <w:tc>
          <w:tcPr>
            <w:tcW w:w="2039" w:type="dxa"/>
            <w:shd w:val="clear" w:color="auto" w:fill="1B556B"/>
            <w:tcMar>
              <w:top w:w="0" w:type="dxa"/>
              <w:left w:w="85" w:type="dxa"/>
              <w:bottom w:w="0" w:type="dxa"/>
              <w:right w:w="85" w:type="dxa"/>
            </w:tcMar>
          </w:tcPr>
          <w:p w14:paraId="28419CBC" w14:textId="77777777" w:rsidR="00E87995" w:rsidRPr="009E06AA" w:rsidRDefault="00E87995" w:rsidP="00876E40">
            <w:pPr>
              <w:pStyle w:val="TableTextBold"/>
              <w:spacing w:before="40" w:after="40"/>
              <w:jc w:val="right"/>
              <w:rPr>
                <w:rFonts w:cs="Calibri"/>
                <w:noProof w:val="0"/>
                <w:color w:val="FFFFFF" w:themeColor="background1"/>
                <w:szCs w:val="16"/>
              </w:rPr>
            </w:pPr>
            <w:r w:rsidRPr="009E06AA">
              <w:rPr>
                <w:rFonts w:cs="Calibri"/>
                <w:noProof w:val="0"/>
                <w:color w:val="FFFFFF" w:themeColor="background1"/>
                <w:szCs w:val="16"/>
              </w:rPr>
              <w:t>Uncategorised sites (kt)</w:t>
            </w:r>
          </w:p>
        </w:tc>
        <w:tc>
          <w:tcPr>
            <w:tcW w:w="938" w:type="dxa"/>
            <w:shd w:val="clear" w:color="auto" w:fill="1B556B"/>
            <w:tcMar>
              <w:top w:w="0" w:type="dxa"/>
              <w:left w:w="85" w:type="dxa"/>
              <w:bottom w:w="0" w:type="dxa"/>
              <w:right w:w="85" w:type="dxa"/>
            </w:tcMar>
          </w:tcPr>
          <w:p w14:paraId="7826A9E4" w14:textId="77777777" w:rsidR="00E87995" w:rsidRPr="009E06AA" w:rsidRDefault="00E87995" w:rsidP="00876E40">
            <w:pPr>
              <w:pStyle w:val="TableTextBold"/>
              <w:spacing w:before="40" w:after="40"/>
              <w:jc w:val="right"/>
              <w:rPr>
                <w:rFonts w:cs="Calibri"/>
                <w:noProof w:val="0"/>
                <w:color w:val="FFFFFF" w:themeColor="background1"/>
                <w:szCs w:val="16"/>
              </w:rPr>
            </w:pPr>
            <w:r w:rsidRPr="009E06AA">
              <w:rPr>
                <w:rFonts w:cs="Calibri"/>
                <w:noProof w:val="0"/>
                <w:color w:val="FFFFFF" w:themeColor="background1"/>
                <w:szCs w:val="16"/>
              </w:rPr>
              <w:t>Total (kt)</w:t>
            </w:r>
          </w:p>
        </w:tc>
      </w:tr>
      <w:tr w:rsidR="00E87995" w:rsidRPr="009E06AA" w14:paraId="0A0CDB34" w14:textId="77777777" w:rsidTr="00B55F24">
        <w:trPr>
          <w:trHeight w:val="283"/>
        </w:trPr>
        <w:tc>
          <w:tcPr>
            <w:tcW w:w="851" w:type="dxa"/>
            <w:shd w:val="clear" w:color="auto" w:fill="FFFFFF"/>
            <w:tcMar>
              <w:top w:w="0" w:type="dxa"/>
              <w:left w:w="85" w:type="dxa"/>
              <w:bottom w:w="0" w:type="dxa"/>
              <w:right w:w="85" w:type="dxa"/>
            </w:tcMar>
          </w:tcPr>
          <w:p w14:paraId="7295C161"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1950</w:t>
            </w:r>
          </w:p>
        </w:tc>
        <w:tc>
          <w:tcPr>
            <w:tcW w:w="2082" w:type="dxa"/>
            <w:shd w:val="clear" w:color="auto" w:fill="FFFFFF"/>
            <w:tcMar>
              <w:top w:w="0" w:type="dxa"/>
              <w:left w:w="85" w:type="dxa"/>
              <w:bottom w:w="0" w:type="dxa"/>
              <w:right w:w="85" w:type="dxa"/>
            </w:tcMar>
          </w:tcPr>
          <w:p w14:paraId="7628980D"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33.7</w:t>
            </w:r>
          </w:p>
        </w:tc>
        <w:tc>
          <w:tcPr>
            <w:tcW w:w="2584" w:type="dxa"/>
            <w:shd w:val="clear" w:color="auto" w:fill="FFFFFF"/>
            <w:tcMar>
              <w:top w:w="0" w:type="dxa"/>
              <w:left w:w="85" w:type="dxa"/>
              <w:bottom w:w="0" w:type="dxa"/>
              <w:right w:w="85" w:type="dxa"/>
            </w:tcMar>
          </w:tcPr>
          <w:p w14:paraId="0E5E27A2"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74.7</w:t>
            </w:r>
          </w:p>
        </w:tc>
        <w:tc>
          <w:tcPr>
            <w:tcW w:w="2039" w:type="dxa"/>
            <w:shd w:val="clear" w:color="auto" w:fill="FFFFFF"/>
            <w:tcMar>
              <w:top w:w="0" w:type="dxa"/>
              <w:left w:w="85" w:type="dxa"/>
              <w:bottom w:w="0" w:type="dxa"/>
              <w:right w:w="85" w:type="dxa"/>
            </w:tcMar>
          </w:tcPr>
          <w:p w14:paraId="4D231D89"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8.3</w:t>
            </w:r>
          </w:p>
        </w:tc>
        <w:tc>
          <w:tcPr>
            <w:tcW w:w="938" w:type="dxa"/>
            <w:shd w:val="clear" w:color="auto" w:fill="FFFFFF"/>
            <w:tcMar>
              <w:top w:w="0" w:type="dxa"/>
              <w:left w:w="85" w:type="dxa"/>
              <w:bottom w:w="0" w:type="dxa"/>
              <w:right w:w="85" w:type="dxa"/>
            </w:tcMar>
          </w:tcPr>
          <w:p w14:paraId="5730E6A3"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116.6</w:t>
            </w:r>
          </w:p>
        </w:tc>
      </w:tr>
      <w:tr w:rsidR="00E87995" w:rsidRPr="009E06AA" w14:paraId="591AC347" w14:textId="77777777" w:rsidTr="00B55F24">
        <w:trPr>
          <w:trHeight w:val="283"/>
        </w:trPr>
        <w:tc>
          <w:tcPr>
            <w:tcW w:w="851" w:type="dxa"/>
            <w:shd w:val="clear" w:color="auto" w:fill="FFFFFF"/>
            <w:tcMar>
              <w:top w:w="0" w:type="dxa"/>
              <w:left w:w="85" w:type="dxa"/>
              <w:bottom w:w="0" w:type="dxa"/>
              <w:right w:w="85" w:type="dxa"/>
            </w:tcMar>
          </w:tcPr>
          <w:p w14:paraId="2A420128"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1951</w:t>
            </w:r>
          </w:p>
        </w:tc>
        <w:tc>
          <w:tcPr>
            <w:tcW w:w="2082" w:type="dxa"/>
            <w:shd w:val="clear" w:color="auto" w:fill="FFFFFF"/>
            <w:tcMar>
              <w:top w:w="0" w:type="dxa"/>
              <w:left w:w="85" w:type="dxa"/>
              <w:bottom w:w="0" w:type="dxa"/>
              <w:right w:w="85" w:type="dxa"/>
            </w:tcMar>
          </w:tcPr>
          <w:p w14:paraId="413315E7"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77.5</w:t>
            </w:r>
          </w:p>
        </w:tc>
        <w:tc>
          <w:tcPr>
            <w:tcW w:w="2584" w:type="dxa"/>
            <w:shd w:val="clear" w:color="auto" w:fill="FFFFFF"/>
            <w:tcMar>
              <w:top w:w="0" w:type="dxa"/>
              <w:left w:w="85" w:type="dxa"/>
              <w:bottom w:w="0" w:type="dxa"/>
              <w:right w:w="85" w:type="dxa"/>
            </w:tcMar>
          </w:tcPr>
          <w:p w14:paraId="5FDC0580"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164.7</w:t>
            </w:r>
          </w:p>
        </w:tc>
        <w:tc>
          <w:tcPr>
            <w:tcW w:w="2039" w:type="dxa"/>
            <w:shd w:val="clear" w:color="auto" w:fill="FFFFFF"/>
            <w:tcMar>
              <w:top w:w="0" w:type="dxa"/>
              <w:left w:w="85" w:type="dxa"/>
              <w:bottom w:w="0" w:type="dxa"/>
              <w:right w:w="85" w:type="dxa"/>
            </w:tcMar>
          </w:tcPr>
          <w:p w14:paraId="16CBDD63"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18.3</w:t>
            </w:r>
          </w:p>
        </w:tc>
        <w:tc>
          <w:tcPr>
            <w:tcW w:w="938" w:type="dxa"/>
            <w:shd w:val="clear" w:color="auto" w:fill="FFFFFF"/>
            <w:tcMar>
              <w:top w:w="0" w:type="dxa"/>
              <w:left w:w="85" w:type="dxa"/>
              <w:bottom w:w="0" w:type="dxa"/>
              <w:right w:w="85" w:type="dxa"/>
            </w:tcMar>
          </w:tcPr>
          <w:p w14:paraId="25F8E94C"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260.6</w:t>
            </w:r>
          </w:p>
        </w:tc>
      </w:tr>
      <w:tr w:rsidR="00E87995" w:rsidRPr="009E06AA" w14:paraId="02C3A56E" w14:textId="77777777" w:rsidTr="00B55F24">
        <w:trPr>
          <w:trHeight w:val="283"/>
        </w:trPr>
        <w:tc>
          <w:tcPr>
            <w:tcW w:w="851" w:type="dxa"/>
            <w:shd w:val="clear" w:color="auto" w:fill="FFFFFF"/>
            <w:tcMar>
              <w:top w:w="0" w:type="dxa"/>
              <w:left w:w="85" w:type="dxa"/>
              <w:bottom w:w="0" w:type="dxa"/>
              <w:right w:w="85" w:type="dxa"/>
            </w:tcMar>
          </w:tcPr>
          <w:p w14:paraId="72C25D3F"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1952</w:t>
            </w:r>
          </w:p>
        </w:tc>
        <w:tc>
          <w:tcPr>
            <w:tcW w:w="2082" w:type="dxa"/>
            <w:shd w:val="clear" w:color="auto" w:fill="FFFFFF"/>
            <w:tcMar>
              <w:top w:w="0" w:type="dxa"/>
              <w:left w:w="85" w:type="dxa"/>
              <w:bottom w:w="0" w:type="dxa"/>
              <w:right w:w="85" w:type="dxa"/>
            </w:tcMar>
          </w:tcPr>
          <w:p w14:paraId="25802DA7"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77.5</w:t>
            </w:r>
          </w:p>
        </w:tc>
        <w:tc>
          <w:tcPr>
            <w:tcW w:w="2584" w:type="dxa"/>
            <w:shd w:val="clear" w:color="auto" w:fill="FFFFFF"/>
            <w:tcMar>
              <w:top w:w="0" w:type="dxa"/>
              <w:left w:w="85" w:type="dxa"/>
              <w:bottom w:w="0" w:type="dxa"/>
              <w:right w:w="85" w:type="dxa"/>
            </w:tcMar>
          </w:tcPr>
          <w:p w14:paraId="41642B92"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118.7</w:t>
            </w:r>
          </w:p>
        </w:tc>
        <w:tc>
          <w:tcPr>
            <w:tcW w:w="2039" w:type="dxa"/>
            <w:shd w:val="clear" w:color="auto" w:fill="FFFFFF"/>
            <w:tcMar>
              <w:top w:w="0" w:type="dxa"/>
              <w:left w:w="85" w:type="dxa"/>
              <w:bottom w:w="0" w:type="dxa"/>
              <w:right w:w="85" w:type="dxa"/>
            </w:tcMar>
          </w:tcPr>
          <w:p w14:paraId="3AE859F4"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13.2</w:t>
            </w:r>
          </w:p>
        </w:tc>
        <w:tc>
          <w:tcPr>
            <w:tcW w:w="938" w:type="dxa"/>
            <w:shd w:val="clear" w:color="auto" w:fill="FFFFFF"/>
            <w:tcMar>
              <w:top w:w="0" w:type="dxa"/>
              <w:left w:w="85" w:type="dxa"/>
              <w:bottom w:w="0" w:type="dxa"/>
              <w:right w:w="85" w:type="dxa"/>
            </w:tcMar>
          </w:tcPr>
          <w:p w14:paraId="7ECFBE47"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209.4</w:t>
            </w:r>
          </w:p>
        </w:tc>
      </w:tr>
      <w:tr w:rsidR="00E87995" w:rsidRPr="009E06AA" w14:paraId="21E7BCCA" w14:textId="77777777" w:rsidTr="00B55F24">
        <w:trPr>
          <w:trHeight w:val="283"/>
        </w:trPr>
        <w:tc>
          <w:tcPr>
            <w:tcW w:w="851" w:type="dxa"/>
            <w:shd w:val="clear" w:color="auto" w:fill="FFFFFF"/>
            <w:tcMar>
              <w:top w:w="0" w:type="dxa"/>
              <w:left w:w="85" w:type="dxa"/>
              <w:bottom w:w="0" w:type="dxa"/>
              <w:right w:w="85" w:type="dxa"/>
            </w:tcMar>
          </w:tcPr>
          <w:p w14:paraId="26AE1559"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1953</w:t>
            </w:r>
          </w:p>
        </w:tc>
        <w:tc>
          <w:tcPr>
            <w:tcW w:w="2082" w:type="dxa"/>
            <w:shd w:val="clear" w:color="auto" w:fill="FFFFFF"/>
            <w:tcMar>
              <w:top w:w="0" w:type="dxa"/>
              <w:left w:w="85" w:type="dxa"/>
              <w:bottom w:w="0" w:type="dxa"/>
              <w:right w:w="85" w:type="dxa"/>
            </w:tcMar>
          </w:tcPr>
          <w:p w14:paraId="7F75CD80"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77.5</w:t>
            </w:r>
          </w:p>
        </w:tc>
        <w:tc>
          <w:tcPr>
            <w:tcW w:w="2584" w:type="dxa"/>
            <w:shd w:val="clear" w:color="auto" w:fill="FFFFFF"/>
            <w:tcMar>
              <w:top w:w="0" w:type="dxa"/>
              <w:left w:w="85" w:type="dxa"/>
              <w:bottom w:w="0" w:type="dxa"/>
              <w:right w:w="85" w:type="dxa"/>
            </w:tcMar>
          </w:tcPr>
          <w:p w14:paraId="655993FF"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127.3</w:t>
            </w:r>
          </w:p>
        </w:tc>
        <w:tc>
          <w:tcPr>
            <w:tcW w:w="2039" w:type="dxa"/>
            <w:shd w:val="clear" w:color="auto" w:fill="FFFFFF"/>
            <w:tcMar>
              <w:top w:w="0" w:type="dxa"/>
              <w:left w:w="85" w:type="dxa"/>
              <w:bottom w:w="0" w:type="dxa"/>
              <w:right w:w="85" w:type="dxa"/>
            </w:tcMar>
          </w:tcPr>
          <w:p w14:paraId="388F7813"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14.1</w:t>
            </w:r>
          </w:p>
        </w:tc>
        <w:tc>
          <w:tcPr>
            <w:tcW w:w="938" w:type="dxa"/>
            <w:shd w:val="clear" w:color="auto" w:fill="FFFFFF"/>
            <w:tcMar>
              <w:top w:w="0" w:type="dxa"/>
              <w:left w:w="85" w:type="dxa"/>
              <w:bottom w:w="0" w:type="dxa"/>
              <w:right w:w="85" w:type="dxa"/>
            </w:tcMar>
          </w:tcPr>
          <w:p w14:paraId="72FE53F4"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219.0</w:t>
            </w:r>
          </w:p>
        </w:tc>
      </w:tr>
      <w:tr w:rsidR="00E87995" w:rsidRPr="009E06AA" w14:paraId="67D1092E" w14:textId="77777777" w:rsidTr="00B55F24">
        <w:trPr>
          <w:trHeight w:val="283"/>
        </w:trPr>
        <w:tc>
          <w:tcPr>
            <w:tcW w:w="851" w:type="dxa"/>
            <w:shd w:val="clear" w:color="auto" w:fill="FFFFFF"/>
            <w:tcMar>
              <w:top w:w="0" w:type="dxa"/>
              <w:left w:w="85" w:type="dxa"/>
              <w:bottom w:w="0" w:type="dxa"/>
              <w:right w:w="85" w:type="dxa"/>
            </w:tcMar>
          </w:tcPr>
          <w:p w14:paraId="524262AE"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1954</w:t>
            </w:r>
          </w:p>
        </w:tc>
        <w:tc>
          <w:tcPr>
            <w:tcW w:w="2082" w:type="dxa"/>
            <w:shd w:val="clear" w:color="auto" w:fill="FFFFFF"/>
            <w:tcMar>
              <w:top w:w="0" w:type="dxa"/>
              <w:left w:w="85" w:type="dxa"/>
              <w:bottom w:w="0" w:type="dxa"/>
              <w:right w:w="85" w:type="dxa"/>
            </w:tcMar>
          </w:tcPr>
          <w:p w14:paraId="57D08A1F"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77.5</w:t>
            </w:r>
          </w:p>
        </w:tc>
        <w:tc>
          <w:tcPr>
            <w:tcW w:w="2584" w:type="dxa"/>
            <w:shd w:val="clear" w:color="auto" w:fill="FFFFFF"/>
            <w:tcMar>
              <w:top w:w="0" w:type="dxa"/>
              <w:left w:w="85" w:type="dxa"/>
              <w:bottom w:w="0" w:type="dxa"/>
              <w:right w:w="85" w:type="dxa"/>
            </w:tcMar>
          </w:tcPr>
          <w:p w14:paraId="764FAA17"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195.3</w:t>
            </w:r>
          </w:p>
        </w:tc>
        <w:tc>
          <w:tcPr>
            <w:tcW w:w="2039" w:type="dxa"/>
            <w:shd w:val="clear" w:color="auto" w:fill="FFFFFF"/>
            <w:tcMar>
              <w:top w:w="0" w:type="dxa"/>
              <w:left w:w="85" w:type="dxa"/>
              <w:bottom w:w="0" w:type="dxa"/>
              <w:right w:w="85" w:type="dxa"/>
            </w:tcMar>
          </w:tcPr>
          <w:p w14:paraId="693D2499"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21.7</w:t>
            </w:r>
          </w:p>
        </w:tc>
        <w:tc>
          <w:tcPr>
            <w:tcW w:w="938" w:type="dxa"/>
            <w:shd w:val="clear" w:color="auto" w:fill="FFFFFF"/>
            <w:tcMar>
              <w:top w:w="0" w:type="dxa"/>
              <w:left w:w="85" w:type="dxa"/>
              <w:bottom w:w="0" w:type="dxa"/>
              <w:right w:w="85" w:type="dxa"/>
            </w:tcMar>
          </w:tcPr>
          <w:p w14:paraId="69B1DF51"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294.5</w:t>
            </w:r>
          </w:p>
        </w:tc>
      </w:tr>
      <w:tr w:rsidR="00E87995" w:rsidRPr="009E06AA" w14:paraId="17B30B29" w14:textId="77777777" w:rsidTr="00B55F24">
        <w:trPr>
          <w:trHeight w:val="283"/>
        </w:trPr>
        <w:tc>
          <w:tcPr>
            <w:tcW w:w="851" w:type="dxa"/>
            <w:shd w:val="clear" w:color="auto" w:fill="FFFFFF"/>
            <w:tcMar>
              <w:top w:w="0" w:type="dxa"/>
              <w:left w:w="85" w:type="dxa"/>
              <w:bottom w:w="0" w:type="dxa"/>
              <w:right w:w="85" w:type="dxa"/>
            </w:tcMar>
          </w:tcPr>
          <w:p w14:paraId="595A12FC"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1955</w:t>
            </w:r>
          </w:p>
        </w:tc>
        <w:tc>
          <w:tcPr>
            <w:tcW w:w="2082" w:type="dxa"/>
            <w:shd w:val="clear" w:color="auto" w:fill="FFFFFF"/>
            <w:tcMar>
              <w:top w:w="0" w:type="dxa"/>
              <w:left w:w="85" w:type="dxa"/>
              <w:bottom w:w="0" w:type="dxa"/>
              <w:right w:w="85" w:type="dxa"/>
            </w:tcMar>
          </w:tcPr>
          <w:p w14:paraId="6F972F40"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181.7</w:t>
            </w:r>
          </w:p>
        </w:tc>
        <w:tc>
          <w:tcPr>
            <w:tcW w:w="2584" w:type="dxa"/>
            <w:shd w:val="clear" w:color="auto" w:fill="FFFFFF"/>
            <w:tcMar>
              <w:top w:w="0" w:type="dxa"/>
              <w:left w:w="85" w:type="dxa"/>
              <w:bottom w:w="0" w:type="dxa"/>
              <w:right w:w="85" w:type="dxa"/>
            </w:tcMar>
          </w:tcPr>
          <w:p w14:paraId="15FCA50F"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180.3</w:t>
            </w:r>
          </w:p>
        </w:tc>
        <w:tc>
          <w:tcPr>
            <w:tcW w:w="2039" w:type="dxa"/>
            <w:shd w:val="clear" w:color="auto" w:fill="FFFFFF"/>
            <w:tcMar>
              <w:top w:w="0" w:type="dxa"/>
              <w:left w:w="85" w:type="dxa"/>
              <w:bottom w:w="0" w:type="dxa"/>
              <w:right w:w="85" w:type="dxa"/>
            </w:tcMar>
          </w:tcPr>
          <w:p w14:paraId="1854FF34"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20.0</w:t>
            </w:r>
          </w:p>
        </w:tc>
        <w:tc>
          <w:tcPr>
            <w:tcW w:w="938" w:type="dxa"/>
            <w:shd w:val="clear" w:color="auto" w:fill="FFFFFF"/>
            <w:tcMar>
              <w:top w:w="0" w:type="dxa"/>
              <w:left w:w="85" w:type="dxa"/>
              <w:bottom w:w="0" w:type="dxa"/>
              <w:right w:w="85" w:type="dxa"/>
            </w:tcMar>
          </w:tcPr>
          <w:p w14:paraId="0FCF1DB3"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382.1</w:t>
            </w:r>
          </w:p>
        </w:tc>
      </w:tr>
      <w:tr w:rsidR="00E87995" w:rsidRPr="009E06AA" w14:paraId="7039D2E2" w14:textId="77777777" w:rsidTr="00B55F24">
        <w:trPr>
          <w:trHeight w:val="283"/>
        </w:trPr>
        <w:tc>
          <w:tcPr>
            <w:tcW w:w="851" w:type="dxa"/>
            <w:shd w:val="clear" w:color="auto" w:fill="FFFFFF"/>
            <w:tcMar>
              <w:top w:w="0" w:type="dxa"/>
              <w:left w:w="85" w:type="dxa"/>
              <w:bottom w:w="0" w:type="dxa"/>
              <w:right w:w="85" w:type="dxa"/>
            </w:tcMar>
          </w:tcPr>
          <w:p w14:paraId="4ABFE109"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1956</w:t>
            </w:r>
          </w:p>
        </w:tc>
        <w:tc>
          <w:tcPr>
            <w:tcW w:w="2082" w:type="dxa"/>
            <w:shd w:val="clear" w:color="auto" w:fill="FFFFFF"/>
            <w:tcMar>
              <w:top w:w="0" w:type="dxa"/>
              <w:left w:w="85" w:type="dxa"/>
              <w:bottom w:w="0" w:type="dxa"/>
              <w:right w:w="85" w:type="dxa"/>
            </w:tcMar>
          </w:tcPr>
          <w:p w14:paraId="3E28F880"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181.7</w:t>
            </w:r>
          </w:p>
        </w:tc>
        <w:tc>
          <w:tcPr>
            <w:tcW w:w="2584" w:type="dxa"/>
            <w:shd w:val="clear" w:color="auto" w:fill="FFFFFF"/>
            <w:tcMar>
              <w:top w:w="0" w:type="dxa"/>
              <w:left w:w="85" w:type="dxa"/>
              <w:bottom w:w="0" w:type="dxa"/>
              <w:right w:w="85" w:type="dxa"/>
            </w:tcMar>
          </w:tcPr>
          <w:p w14:paraId="44D2255C"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202.7</w:t>
            </w:r>
          </w:p>
        </w:tc>
        <w:tc>
          <w:tcPr>
            <w:tcW w:w="2039" w:type="dxa"/>
            <w:shd w:val="clear" w:color="auto" w:fill="FFFFFF"/>
            <w:tcMar>
              <w:top w:w="0" w:type="dxa"/>
              <w:left w:w="85" w:type="dxa"/>
              <w:bottom w:w="0" w:type="dxa"/>
              <w:right w:w="85" w:type="dxa"/>
            </w:tcMar>
          </w:tcPr>
          <w:p w14:paraId="4CF0129D"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22.5</w:t>
            </w:r>
          </w:p>
        </w:tc>
        <w:tc>
          <w:tcPr>
            <w:tcW w:w="938" w:type="dxa"/>
            <w:shd w:val="clear" w:color="auto" w:fill="FFFFFF"/>
            <w:tcMar>
              <w:top w:w="0" w:type="dxa"/>
              <w:left w:w="85" w:type="dxa"/>
              <w:bottom w:w="0" w:type="dxa"/>
              <w:right w:w="85" w:type="dxa"/>
            </w:tcMar>
          </w:tcPr>
          <w:p w14:paraId="3106E2DC"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407.0</w:t>
            </w:r>
          </w:p>
        </w:tc>
      </w:tr>
      <w:tr w:rsidR="00E87995" w:rsidRPr="009E06AA" w14:paraId="030309C5" w14:textId="77777777" w:rsidTr="00B55F24">
        <w:trPr>
          <w:trHeight w:val="283"/>
        </w:trPr>
        <w:tc>
          <w:tcPr>
            <w:tcW w:w="851" w:type="dxa"/>
            <w:shd w:val="clear" w:color="auto" w:fill="FFFFFF"/>
            <w:tcMar>
              <w:top w:w="0" w:type="dxa"/>
              <w:left w:w="85" w:type="dxa"/>
              <w:bottom w:w="0" w:type="dxa"/>
              <w:right w:w="85" w:type="dxa"/>
            </w:tcMar>
          </w:tcPr>
          <w:p w14:paraId="755C1472"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1957</w:t>
            </w:r>
          </w:p>
        </w:tc>
        <w:tc>
          <w:tcPr>
            <w:tcW w:w="2082" w:type="dxa"/>
            <w:shd w:val="clear" w:color="auto" w:fill="FFFFFF"/>
            <w:tcMar>
              <w:top w:w="0" w:type="dxa"/>
              <w:left w:w="85" w:type="dxa"/>
              <w:bottom w:w="0" w:type="dxa"/>
              <w:right w:w="85" w:type="dxa"/>
            </w:tcMar>
          </w:tcPr>
          <w:p w14:paraId="68894C6D"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181.7</w:t>
            </w:r>
          </w:p>
        </w:tc>
        <w:tc>
          <w:tcPr>
            <w:tcW w:w="2584" w:type="dxa"/>
            <w:shd w:val="clear" w:color="auto" w:fill="FFFFFF"/>
            <w:tcMar>
              <w:top w:w="0" w:type="dxa"/>
              <w:left w:w="85" w:type="dxa"/>
              <w:bottom w:w="0" w:type="dxa"/>
              <w:right w:w="85" w:type="dxa"/>
            </w:tcMar>
          </w:tcPr>
          <w:p w14:paraId="7645EAE7"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241.8</w:t>
            </w:r>
          </w:p>
        </w:tc>
        <w:tc>
          <w:tcPr>
            <w:tcW w:w="2039" w:type="dxa"/>
            <w:shd w:val="clear" w:color="auto" w:fill="FFFFFF"/>
            <w:tcMar>
              <w:top w:w="0" w:type="dxa"/>
              <w:left w:w="85" w:type="dxa"/>
              <w:bottom w:w="0" w:type="dxa"/>
              <w:right w:w="85" w:type="dxa"/>
            </w:tcMar>
          </w:tcPr>
          <w:p w14:paraId="7351A30A"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26.9</w:t>
            </w:r>
          </w:p>
        </w:tc>
        <w:tc>
          <w:tcPr>
            <w:tcW w:w="938" w:type="dxa"/>
            <w:shd w:val="clear" w:color="auto" w:fill="FFFFFF"/>
            <w:tcMar>
              <w:top w:w="0" w:type="dxa"/>
              <w:left w:w="85" w:type="dxa"/>
              <w:bottom w:w="0" w:type="dxa"/>
              <w:right w:w="85" w:type="dxa"/>
            </w:tcMar>
          </w:tcPr>
          <w:p w14:paraId="1DE8B20B"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450.4</w:t>
            </w:r>
          </w:p>
        </w:tc>
      </w:tr>
      <w:tr w:rsidR="00E87995" w:rsidRPr="009E06AA" w14:paraId="7B20EA49" w14:textId="77777777" w:rsidTr="00B55F24">
        <w:trPr>
          <w:trHeight w:val="283"/>
        </w:trPr>
        <w:tc>
          <w:tcPr>
            <w:tcW w:w="851" w:type="dxa"/>
            <w:shd w:val="clear" w:color="auto" w:fill="FFFFFF"/>
            <w:tcMar>
              <w:top w:w="0" w:type="dxa"/>
              <w:left w:w="85" w:type="dxa"/>
              <w:bottom w:w="0" w:type="dxa"/>
              <w:right w:w="85" w:type="dxa"/>
            </w:tcMar>
          </w:tcPr>
          <w:p w14:paraId="269A7FC4"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1958</w:t>
            </w:r>
          </w:p>
        </w:tc>
        <w:tc>
          <w:tcPr>
            <w:tcW w:w="2082" w:type="dxa"/>
            <w:shd w:val="clear" w:color="auto" w:fill="FFFFFF"/>
            <w:tcMar>
              <w:top w:w="0" w:type="dxa"/>
              <w:left w:w="85" w:type="dxa"/>
              <w:bottom w:w="0" w:type="dxa"/>
              <w:right w:w="85" w:type="dxa"/>
            </w:tcMar>
          </w:tcPr>
          <w:p w14:paraId="10245AB3"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181.7</w:t>
            </w:r>
          </w:p>
        </w:tc>
        <w:tc>
          <w:tcPr>
            <w:tcW w:w="2584" w:type="dxa"/>
            <w:shd w:val="clear" w:color="auto" w:fill="FFFFFF"/>
            <w:tcMar>
              <w:top w:w="0" w:type="dxa"/>
              <w:left w:w="85" w:type="dxa"/>
              <w:bottom w:w="0" w:type="dxa"/>
              <w:right w:w="85" w:type="dxa"/>
            </w:tcMar>
          </w:tcPr>
          <w:p w14:paraId="5DB83CFF"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267.1</w:t>
            </w:r>
          </w:p>
        </w:tc>
        <w:tc>
          <w:tcPr>
            <w:tcW w:w="2039" w:type="dxa"/>
            <w:shd w:val="clear" w:color="auto" w:fill="FFFFFF"/>
            <w:tcMar>
              <w:top w:w="0" w:type="dxa"/>
              <w:left w:w="85" w:type="dxa"/>
              <w:bottom w:w="0" w:type="dxa"/>
              <w:right w:w="85" w:type="dxa"/>
            </w:tcMar>
          </w:tcPr>
          <w:p w14:paraId="0008F6C8"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29.7</w:t>
            </w:r>
          </w:p>
        </w:tc>
        <w:tc>
          <w:tcPr>
            <w:tcW w:w="938" w:type="dxa"/>
            <w:shd w:val="clear" w:color="auto" w:fill="FFFFFF"/>
            <w:tcMar>
              <w:top w:w="0" w:type="dxa"/>
              <w:left w:w="85" w:type="dxa"/>
              <w:bottom w:w="0" w:type="dxa"/>
              <w:right w:w="85" w:type="dxa"/>
            </w:tcMar>
          </w:tcPr>
          <w:p w14:paraId="72EFF899"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478.5</w:t>
            </w:r>
          </w:p>
        </w:tc>
      </w:tr>
      <w:tr w:rsidR="00E87995" w:rsidRPr="009E06AA" w14:paraId="518E5E58" w14:textId="77777777" w:rsidTr="00B55F24">
        <w:trPr>
          <w:trHeight w:val="283"/>
        </w:trPr>
        <w:tc>
          <w:tcPr>
            <w:tcW w:w="851" w:type="dxa"/>
            <w:shd w:val="clear" w:color="auto" w:fill="FFFFFF"/>
            <w:tcMar>
              <w:top w:w="0" w:type="dxa"/>
              <w:left w:w="85" w:type="dxa"/>
              <w:bottom w:w="0" w:type="dxa"/>
              <w:right w:w="85" w:type="dxa"/>
            </w:tcMar>
          </w:tcPr>
          <w:p w14:paraId="38C8DEF1"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1959</w:t>
            </w:r>
          </w:p>
        </w:tc>
        <w:tc>
          <w:tcPr>
            <w:tcW w:w="2082" w:type="dxa"/>
            <w:shd w:val="clear" w:color="auto" w:fill="FFFFFF"/>
            <w:tcMar>
              <w:top w:w="0" w:type="dxa"/>
              <w:left w:w="85" w:type="dxa"/>
              <w:bottom w:w="0" w:type="dxa"/>
              <w:right w:w="85" w:type="dxa"/>
            </w:tcMar>
          </w:tcPr>
          <w:p w14:paraId="0D1D9719"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181.7</w:t>
            </w:r>
          </w:p>
        </w:tc>
        <w:tc>
          <w:tcPr>
            <w:tcW w:w="2584" w:type="dxa"/>
            <w:shd w:val="clear" w:color="auto" w:fill="FFFFFF"/>
            <w:tcMar>
              <w:top w:w="0" w:type="dxa"/>
              <w:left w:w="85" w:type="dxa"/>
              <w:bottom w:w="0" w:type="dxa"/>
              <w:right w:w="85" w:type="dxa"/>
            </w:tcMar>
          </w:tcPr>
          <w:p w14:paraId="433A61DD"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281.5</w:t>
            </w:r>
          </w:p>
        </w:tc>
        <w:tc>
          <w:tcPr>
            <w:tcW w:w="2039" w:type="dxa"/>
            <w:shd w:val="clear" w:color="auto" w:fill="FFFFFF"/>
            <w:tcMar>
              <w:top w:w="0" w:type="dxa"/>
              <w:left w:w="85" w:type="dxa"/>
              <w:bottom w:w="0" w:type="dxa"/>
              <w:right w:w="85" w:type="dxa"/>
            </w:tcMar>
          </w:tcPr>
          <w:p w14:paraId="31C93593"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31.3</w:t>
            </w:r>
          </w:p>
        </w:tc>
        <w:tc>
          <w:tcPr>
            <w:tcW w:w="938" w:type="dxa"/>
            <w:shd w:val="clear" w:color="auto" w:fill="FFFFFF"/>
            <w:tcMar>
              <w:top w:w="0" w:type="dxa"/>
              <w:left w:w="85" w:type="dxa"/>
              <w:bottom w:w="0" w:type="dxa"/>
              <w:right w:w="85" w:type="dxa"/>
            </w:tcMar>
          </w:tcPr>
          <w:p w14:paraId="0F191D86"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494.5</w:t>
            </w:r>
          </w:p>
        </w:tc>
      </w:tr>
      <w:tr w:rsidR="00E87995" w:rsidRPr="009E06AA" w14:paraId="6CB5907C" w14:textId="77777777" w:rsidTr="00B55F24">
        <w:trPr>
          <w:trHeight w:val="283"/>
        </w:trPr>
        <w:tc>
          <w:tcPr>
            <w:tcW w:w="851" w:type="dxa"/>
            <w:shd w:val="clear" w:color="auto" w:fill="FFFFFF"/>
            <w:tcMar>
              <w:top w:w="0" w:type="dxa"/>
              <w:left w:w="85" w:type="dxa"/>
              <w:bottom w:w="0" w:type="dxa"/>
              <w:right w:w="85" w:type="dxa"/>
            </w:tcMar>
          </w:tcPr>
          <w:p w14:paraId="5DC62671"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1960</w:t>
            </w:r>
          </w:p>
        </w:tc>
        <w:tc>
          <w:tcPr>
            <w:tcW w:w="2082" w:type="dxa"/>
            <w:shd w:val="clear" w:color="auto" w:fill="FFFFFF"/>
            <w:tcMar>
              <w:top w:w="0" w:type="dxa"/>
              <w:left w:w="85" w:type="dxa"/>
              <w:bottom w:w="0" w:type="dxa"/>
              <w:right w:w="85" w:type="dxa"/>
            </w:tcMar>
          </w:tcPr>
          <w:p w14:paraId="15BD9A0A"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181.7</w:t>
            </w:r>
          </w:p>
        </w:tc>
        <w:tc>
          <w:tcPr>
            <w:tcW w:w="2584" w:type="dxa"/>
            <w:shd w:val="clear" w:color="auto" w:fill="FFFFFF"/>
            <w:tcMar>
              <w:top w:w="0" w:type="dxa"/>
              <w:left w:w="85" w:type="dxa"/>
              <w:bottom w:w="0" w:type="dxa"/>
              <w:right w:w="85" w:type="dxa"/>
            </w:tcMar>
          </w:tcPr>
          <w:p w14:paraId="25CB3512"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349.3</w:t>
            </w:r>
          </w:p>
        </w:tc>
        <w:tc>
          <w:tcPr>
            <w:tcW w:w="2039" w:type="dxa"/>
            <w:shd w:val="clear" w:color="auto" w:fill="FFFFFF"/>
            <w:tcMar>
              <w:top w:w="0" w:type="dxa"/>
              <w:left w:w="85" w:type="dxa"/>
              <w:bottom w:w="0" w:type="dxa"/>
              <w:right w:w="85" w:type="dxa"/>
            </w:tcMar>
          </w:tcPr>
          <w:p w14:paraId="7FBFB94B"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38.8</w:t>
            </w:r>
          </w:p>
        </w:tc>
        <w:tc>
          <w:tcPr>
            <w:tcW w:w="938" w:type="dxa"/>
            <w:shd w:val="clear" w:color="auto" w:fill="FFFFFF"/>
            <w:tcMar>
              <w:top w:w="0" w:type="dxa"/>
              <w:left w:w="85" w:type="dxa"/>
              <w:bottom w:w="0" w:type="dxa"/>
              <w:right w:w="85" w:type="dxa"/>
            </w:tcMar>
          </w:tcPr>
          <w:p w14:paraId="79347691"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569.9</w:t>
            </w:r>
          </w:p>
        </w:tc>
      </w:tr>
      <w:tr w:rsidR="00E87995" w:rsidRPr="009E06AA" w14:paraId="612AA2F9" w14:textId="77777777" w:rsidTr="00B55F24">
        <w:trPr>
          <w:trHeight w:val="283"/>
        </w:trPr>
        <w:tc>
          <w:tcPr>
            <w:tcW w:w="851" w:type="dxa"/>
            <w:shd w:val="clear" w:color="auto" w:fill="FFFFFF"/>
            <w:tcMar>
              <w:top w:w="0" w:type="dxa"/>
              <w:left w:w="85" w:type="dxa"/>
              <w:bottom w:w="0" w:type="dxa"/>
              <w:right w:w="85" w:type="dxa"/>
            </w:tcMar>
          </w:tcPr>
          <w:p w14:paraId="0C74CFF9"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1961</w:t>
            </w:r>
          </w:p>
        </w:tc>
        <w:tc>
          <w:tcPr>
            <w:tcW w:w="2082" w:type="dxa"/>
            <w:shd w:val="clear" w:color="auto" w:fill="FFFFFF"/>
            <w:tcMar>
              <w:top w:w="0" w:type="dxa"/>
              <w:left w:w="85" w:type="dxa"/>
              <w:bottom w:w="0" w:type="dxa"/>
              <w:right w:w="85" w:type="dxa"/>
            </w:tcMar>
          </w:tcPr>
          <w:p w14:paraId="785B3EB9"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181.7</w:t>
            </w:r>
          </w:p>
        </w:tc>
        <w:tc>
          <w:tcPr>
            <w:tcW w:w="2584" w:type="dxa"/>
            <w:shd w:val="clear" w:color="auto" w:fill="FFFFFF"/>
            <w:tcMar>
              <w:top w:w="0" w:type="dxa"/>
              <w:left w:w="85" w:type="dxa"/>
              <w:bottom w:w="0" w:type="dxa"/>
              <w:right w:w="85" w:type="dxa"/>
            </w:tcMar>
          </w:tcPr>
          <w:p w14:paraId="5F82330B"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438.5</w:t>
            </w:r>
          </w:p>
        </w:tc>
        <w:tc>
          <w:tcPr>
            <w:tcW w:w="2039" w:type="dxa"/>
            <w:shd w:val="clear" w:color="auto" w:fill="FFFFFF"/>
            <w:tcMar>
              <w:top w:w="0" w:type="dxa"/>
              <w:left w:w="85" w:type="dxa"/>
              <w:bottom w:w="0" w:type="dxa"/>
              <w:right w:w="85" w:type="dxa"/>
            </w:tcMar>
          </w:tcPr>
          <w:p w14:paraId="20ED264F"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48.7</w:t>
            </w:r>
          </w:p>
        </w:tc>
        <w:tc>
          <w:tcPr>
            <w:tcW w:w="938" w:type="dxa"/>
            <w:shd w:val="clear" w:color="auto" w:fill="FFFFFF"/>
            <w:tcMar>
              <w:top w:w="0" w:type="dxa"/>
              <w:left w:w="85" w:type="dxa"/>
              <w:bottom w:w="0" w:type="dxa"/>
              <w:right w:w="85" w:type="dxa"/>
            </w:tcMar>
          </w:tcPr>
          <w:p w14:paraId="44E35B19"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668.9</w:t>
            </w:r>
          </w:p>
        </w:tc>
      </w:tr>
      <w:tr w:rsidR="00E87995" w:rsidRPr="009E06AA" w14:paraId="63AFA419" w14:textId="77777777" w:rsidTr="00B55F24">
        <w:trPr>
          <w:trHeight w:val="283"/>
        </w:trPr>
        <w:tc>
          <w:tcPr>
            <w:tcW w:w="851" w:type="dxa"/>
            <w:shd w:val="clear" w:color="auto" w:fill="FFFFFF"/>
            <w:tcMar>
              <w:top w:w="0" w:type="dxa"/>
              <w:left w:w="85" w:type="dxa"/>
              <w:bottom w:w="0" w:type="dxa"/>
              <w:right w:w="85" w:type="dxa"/>
            </w:tcMar>
          </w:tcPr>
          <w:p w14:paraId="3BBB22F1"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1962</w:t>
            </w:r>
          </w:p>
        </w:tc>
        <w:tc>
          <w:tcPr>
            <w:tcW w:w="2082" w:type="dxa"/>
            <w:shd w:val="clear" w:color="auto" w:fill="FFFFFF"/>
            <w:tcMar>
              <w:top w:w="0" w:type="dxa"/>
              <w:left w:w="85" w:type="dxa"/>
              <w:bottom w:w="0" w:type="dxa"/>
              <w:right w:w="85" w:type="dxa"/>
            </w:tcMar>
          </w:tcPr>
          <w:p w14:paraId="15385464"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181.7</w:t>
            </w:r>
          </w:p>
        </w:tc>
        <w:tc>
          <w:tcPr>
            <w:tcW w:w="2584" w:type="dxa"/>
            <w:shd w:val="clear" w:color="auto" w:fill="FFFFFF"/>
            <w:tcMar>
              <w:top w:w="0" w:type="dxa"/>
              <w:left w:w="85" w:type="dxa"/>
              <w:bottom w:w="0" w:type="dxa"/>
              <w:right w:w="85" w:type="dxa"/>
            </w:tcMar>
          </w:tcPr>
          <w:p w14:paraId="2D0A35D4"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447.2</w:t>
            </w:r>
          </w:p>
        </w:tc>
        <w:tc>
          <w:tcPr>
            <w:tcW w:w="2039" w:type="dxa"/>
            <w:shd w:val="clear" w:color="auto" w:fill="FFFFFF"/>
            <w:tcMar>
              <w:top w:w="0" w:type="dxa"/>
              <w:left w:w="85" w:type="dxa"/>
              <w:bottom w:w="0" w:type="dxa"/>
              <w:right w:w="85" w:type="dxa"/>
            </w:tcMar>
          </w:tcPr>
          <w:p w14:paraId="7BBFD403"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49.7</w:t>
            </w:r>
          </w:p>
        </w:tc>
        <w:tc>
          <w:tcPr>
            <w:tcW w:w="938" w:type="dxa"/>
            <w:shd w:val="clear" w:color="auto" w:fill="FFFFFF"/>
            <w:tcMar>
              <w:top w:w="0" w:type="dxa"/>
              <w:left w:w="85" w:type="dxa"/>
              <w:bottom w:w="0" w:type="dxa"/>
              <w:right w:w="85" w:type="dxa"/>
            </w:tcMar>
          </w:tcPr>
          <w:p w14:paraId="09357AAB"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678.6</w:t>
            </w:r>
          </w:p>
        </w:tc>
      </w:tr>
      <w:tr w:rsidR="00E87995" w:rsidRPr="009E06AA" w14:paraId="75648119" w14:textId="77777777" w:rsidTr="00B55F24">
        <w:trPr>
          <w:trHeight w:val="283"/>
        </w:trPr>
        <w:tc>
          <w:tcPr>
            <w:tcW w:w="851" w:type="dxa"/>
            <w:shd w:val="clear" w:color="auto" w:fill="FFFFFF"/>
            <w:tcMar>
              <w:top w:w="0" w:type="dxa"/>
              <w:left w:w="85" w:type="dxa"/>
              <w:bottom w:w="0" w:type="dxa"/>
              <w:right w:w="85" w:type="dxa"/>
            </w:tcMar>
          </w:tcPr>
          <w:p w14:paraId="643732D7"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1963</w:t>
            </w:r>
          </w:p>
        </w:tc>
        <w:tc>
          <w:tcPr>
            <w:tcW w:w="2082" w:type="dxa"/>
            <w:shd w:val="clear" w:color="auto" w:fill="FFFFFF"/>
            <w:tcMar>
              <w:top w:w="0" w:type="dxa"/>
              <w:left w:w="85" w:type="dxa"/>
              <w:bottom w:w="0" w:type="dxa"/>
              <w:right w:w="85" w:type="dxa"/>
            </w:tcMar>
          </w:tcPr>
          <w:p w14:paraId="34A64131"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447.9</w:t>
            </w:r>
          </w:p>
        </w:tc>
        <w:tc>
          <w:tcPr>
            <w:tcW w:w="2584" w:type="dxa"/>
            <w:shd w:val="clear" w:color="auto" w:fill="FFFFFF"/>
            <w:tcMar>
              <w:top w:w="0" w:type="dxa"/>
              <w:left w:w="85" w:type="dxa"/>
              <w:bottom w:w="0" w:type="dxa"/>
              <w:right w:w="85" w:type="dxa"/>
            </w:tcMar>
          </w:tcPr>
          <w:p w14:paraId="691FBB88"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297.3</w:t>
            </w:r>
          </w:p>
        </w:tc>
        <w:tc>
          <w:tcPr>
            <w:tcW w:w="2039" w:type="dxa"/>
            <w:shd w:val="clear" w:color="auto" w:fill="FFFFFF"/>
            <w:tcMar>
              <w:top w:w="0" w:type="dxa"/>
              <w:left w:w="85" w:type="dxa"/>
              <w:bottom w:w="0" w:type="dxa"/>
              <w:right w:w="85" w:type="dxa"/>
            </w:tcMar>
          </w:tcPr>
          <w:p w14:paraId="016A3C3B"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33.0</w:t>
            </w:r>
          </w:p>
        </w:tc>
        <w:tc>
          <w:tcPr>
            <w:tcW w:w="938" w:type="dxa"/>
            <w:shd w:val="clear" w:color="auto" w:fill="FFFFFF"/>
            <w:tcMar>
              <w:top w:w="0" w:type="dxa"/>
              <w:left w:w="85" w:type="dxa"/>
              <w:bottom w:w="0" w:type="dxa"/>
              <w:right w:w="85" w:type="dxa"/>
            </w:tcMar>
          </w:tcPr>
          <w:p w14:paraId="63956585"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778.2</w:t>
            </w:r>
          </w:p>
        </w:tc>
      </w:tr>
      <w:tr w:rsidR="00E87995" w:rsidRPr="009E06AA" w14:paraId="5931C194" w14:textId="77777777" w:rsidTr="00B55F24">
        <w:trPr>
          <w:trHeight w:val="283"/>
        </w:trPr>
        <w:tc>
          <w:tcPr>
            <w:tcW w:w="851" w:type="dxa"/>
            <w:shd w:val="clear" w:color="auto" w:fill="FFFFFF"/>
            <w:tcMar>
              <w:top w:w="0" w:type="dxa"/>
              <w:left w:w="85" w:type="dxa"/>
              <w:bottom w:w="0" w:type="dxa"/>
              <w:right w:w="85" w:type="dxa"/>
            </w:tcMar>
          </w:tcPr>
          <w:p w14:paraId="2BB982F6"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1964</w:t>
            </w:r>
          </w:p>
        </w:tc>
        <w:tc>
          <w:tcPr>
            <w:tcW w:w="2082" w:type="dxa"/>
            <w:shd w:val="clear" w:color="auto" w:fill="FFFFFF"/>
            <w:tcMar>
              <w:top w:w="0" w:type="dxa"/>
              <w:left w:w="85" w:type="dxa"/>
              <w:bottom w:w="0" w:type="dxa"/>
              <w:right w:w="85" w:type="dxa"/>
            </w:tcMar>
          </w:tcPr>
          <w:p w14:paraId="06E1D9FB"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447.9</w:t>
            </w:r>
          </w:p>
        </w:tc>
        <w:tc>
          <w:tcPr>
            <w:tcW w:w="2584" w:type="dxa"/>
            <w:shd w:val="clear" w:color="auto" w:fill="FFFFFF"/>
            <w:tcMar>
              <w:top w:w="0" w:type="dxa"/>
              <w:left w:w="85" w:type="dxa"/>
              <w:bottom w:w="0" w:type="dxa"/>
              <w:right w:w="85" w:type="dxa"/>
            </w:tcMar>
          </w:tcPr>
          <w:p w14:paraId="21743805"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369.1</w:t>
            </w:r>
          </w:p>
        </w:tc>
        <w:tc>
          <w:tcPr>
            <w:tcW w:w="2039" w:type="dxa"/>
            <w:shd w:val="clear" w:color="auto" w:fill="FFFFFF"/>
            <w:tcMar>
              <w:top w:w="0" w:type="dxa"/>
              <w:left w:w="85" w:type="dxa"/>
              <w:bottom w:w="0" w:type="dxa"/>
              <w:right w:w="85" w:type="dxa"/>
            </w:tcMar>
          </w:tcPr>
          <w:p w14:paraId="0295D663"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41.0</w:t>
            </w:r>
          </w:p>
        </w:tc>
        <w:tc>
          <w:tcPr>
            <w:tcW w:w="938" w:type="dxa"/>
            <w:shd w:val="clear" w:color="auto" w:fill="FFFFFF"/>
            <w:tcMar>
              <w:top w:w="0" w:type="dxa"/>
              <w:left w:w="85" w:type="dxa"/>
              <w:bottom w:w="0" w:type="dxa"/>
              <w:right w:w="85" w:type="dxa"/>
            </w:tcMar>
          </w:tcPr>
          <w:p w14:paraId="494E3AC7"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858.0</w:t>
            </w:r>
          </w:p>
        </w:tc>
      </w:tr>
      <w:tr w:rsidR="00E87995" w:rsidRPr="009E06AA" w14:paraId="0A7766D8" w14:textId="77777777" w:rsidTr="00B55F24">
        <w:trPr>
          <w:trHeight w:val="283"/>
        </w:trPr>
        <w:tc>
          <w:tcPr>
            <w:tcW w:w="851" w:type="dxa"/>
            <w:shd w:val="clear" w:color="auto" w:fill="FFFFFF"/>
            <w:tcMar>
              <w:top w:w="0" w:type="dxa"/>
              <w:left w:w="85" w:type="dxa"/>
              <w:bottom w:w="0" w:type="dxa"/>
              <w:right w:w="85" w:type="dxa"/>
            </w:tcMar>
          </w:tcPr>
          <w:p w14:paraId="64DC4113"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1965</w:t>
            </w:r>
          </w:p>
        </w:tc>
        <w:tc>
          <w:tcPr>
            <w:tcW w:w="2082" w:type="dxa"/>
            <w:shd w:val="clear" w:color="auto" w:fill="FFFFFF"/>
            <w:tcMar>
              <w:top w:w="0" w:type="dxa"/>
              <w:left w:w="85" w:type="dxa"/>
              <w:bottom w:w="0" w:type="dxa"/>
              <w:right w:w="85" w:type="dxa"/>
            </w:tcMar>
          </w:tcPr>
          <w:p w14:paraId="70B96ED5"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447.9</w:t>
            </w:r>
          </w:p>
        </w:tc>
        <w:tc>
          <w:tcPr>
            <w:tcW w:w="2584" w:type="dxa"/>
            <w:shd w:val="clear" w:color="auto" w:fill="FFFFFF"/>
            <w:tcMar>
              <w:top w:w="0" w:type="dxa"/>
              <w:left w:w="85" w:type="dxa"/>
              <w:bottom w:w="0" w:type="dxa"/>
              <w:right w:w="85" w:type="dxa"/>
            </w:tcMar>
          </w:tcPr>
          <w:p w14:paraId="14DDE807"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477.2</w:t>
            </w:r>
          </w:p>
        </w:tc>
        <w:tc>
          <w:tcPr>
            <w:tcW w:w="2039" w:type="dxa"/>
            <w:shd w:val="clear" w:color="auto" w:fill="FFFFFF"/>
            <w:tcMar>
              <w:top w:w="0" w:type="dxa"/>
              <w:left w:w="85" w:type="dxa"/>
              <w:bottom w:w="0" w:type="dxa"/>
              <w:right w:w="85" w:type="dxa"/>
            </w:tcMar>
          </w:tcPr>
          <w:p w14:paraId="201B17C2"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53.0</w:t>
            </w:r>
          </w:p>
        </w:tc>
        <w:tc>
          <w:tcPr>
            <w:tcW w:w="938" w:type="dxa"/>
            <w:shd w:val="clear" w:color="auto" w:fill="FFFFFF"/>
            <w:tcMar>
              <w:top w:w="0" w:type="dxa"/>
              <w:left w:w="85" w:type="dxa"/>
              <w:bottom w:w="0" w:type="dxa"/>
              <w:right w:w="85" w:type="dxa"/>
            </w:tcMar>
          </w:tcPr>
          <w:p w14:paraId="4A6B1E54"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978.1</w:t>
            </w:r>
          </w:p>
        </w:tc>
      </w:tr>
      <w:tr w:rsidR="00E87995" w:rsidRPr="009E06AA" w14:paraId="4EC0891D" w14:textId="77777777" w:rsidTr="00B55F24">
        <w:trPr>
          <w:trHeight w:val="283"/>
        </w:trPr>
        <w:tc>
          <w:tcPr>
            <w:tcW w:w="851" w:type="dxa"/>
            <w:shd w:val="clear" w:color="auto" w:fill="FFFFFF"/>
            <w:tcMar>
              <w:top w:w="0" w:type="dxa"/>
              <w:left w:w="85" w:type="dxa"/>
              <w:bottom w:w="0" w:type="dxa"/>
              <w:right w:w="85" w:type="dxa"/>
            </w:tcMar>
          </w:tcPr>
          <w:p w14:paraId="21B11648"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1966</w:t>
            </w:r>
          </w:p>
        </w:tc>
        <w:tc>
          <w:tcPr>
            <w:tcW w:w="2082" w:type="dxa"/>
            <w:shd w:val="clear" w:color="auto" w:fill="FFFFFF"/>
            <w:tcMar>
              <w:top w:w="0" w:type="dxa"/>
              <w:left w:w="85" w:type="dxa"/>
              <w:bottom w:w="0" w:type="dxa"/>
              <w:right w:w="85" w:type="dxa"/>
            </w:tcMar>
          </w:tcPr>
          <w:p w14:paraId="21B08945"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447.9</w:t>
            </w:r>
          </w:p>
        </w:tc>
        <w:tc>
          <w:tcPr>
            <w:tcW w:w="2584" w:type="dxa"/>
            <w:shd w:val="clear" w:color="auto" w:fill="FFFFFF"/>
            <w:tcMar>
              <w:top w:w="0" w:type="dxa"/>
              <w:left w:w="85" w:type="dxa"/>
              <w:bottom w:w="0" w:type="dxa"/>
              <w:right w:w="85" w:type="dxa"/>
            </w:tcMar>
          </w:tcPr>
          <w:p w14:paraId="0C8EEFFD"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566.8</w:t>
            </w:r>
          </w:p>
        </w:tc>
        <w:tc>
          <w:tcPr>
            <w:tcW w:w="2039" w:type="dxa"/>
            <w:shd w:val="clear" w:color="auto" w:fill="FFFFFF"/>
            <w:tcMar>
              <w:top w:w="0" w:type="dxa"/>
              <w:left w:w="85" w:type="dxa"/>
              <w:bottom w:w="0" w:type="dxa"/>
              <w:right w:w="85" w:type="dxa"/>
            </w:tcMar>
          </w:tcPr>
          <w:p w14:paraId="6299812B"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63.0</w:t>
            </w:r>
          </w:p>
        </w:tc>
        <w:tc>
          <w:tcPr>
            <w:tcW w:w="938" w:type="dxa"/>
            <w:shd w:val="clear" w:color="auto" w:fill="FFFFFF"/>
            <w:tcMar>
              <w:top w:w="0" w:type="dxa"/>
              <w:left w:w="85" w:type="dxa"/>
              <w:bottom w:w="0" w:type="dxa"/>
              <w:right w:w="85" w:type="dxa"/>
            </w:tcMar>
          </w:tcPr>
          <w:p w14:paraId="35FD3AAB"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1,077.6</w:t>
            </w:r>
          </w:p>
        </w:tc>
      </w:tr>
      <w:tr w:rsidR="00E87995" w:rsidRPr="009E06AA" w14:paraId="48120D66" w14:textId="77777777" w:rsidTr="00B55F24">
        <w:trPr>
          <w:trHeight w:val="283"/>
        </w:trPr>
        <w:tc>
          <w:tcPr>
            <w:tcW w:w="851" w:type="dxa"/>
            <w:shd w:val="clear" w:color="auto" w:fill="FFFFFF"/>
            <w:tcMar>
              <w:top w:w="0" w:type="dxa"/>
              <w:left w:w="85" w:type="dxa"/>
              <w:bottom w:w="0" w:type="dxa"/>
              <w:right w:w="85" w:type="dxa"/>
            </w:tcMar>
          </w:tcPr>
          <w:p w14:paraId="4B58F2F4"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1967</w:t>
            </w:r>
          </w:p>
        </w:tc>
        <w:tc>
          <w:tcPr>
            <w:tcW w:w="2082" w:type="dxa"/>
            <w:shd w:val="clear" w:color="auto" w:fill="FFFFFF"/>
            <w:tcMar>
              <w:top w:w="0" w:type="dxa"/>
              <w:left w:w="85" w:type="dxa"/>
              <w:bottom w:w="0" w:type="dxa"/>
              <w:right w:w="85" w:type="dxa"/>
            </w:tcMar>
          </w:tcPr>
          <w:p w14:paraId="2E6D572E"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495.8</w:t>
            </w:r>
          </w:p>
        </w:tc>
        <w:tc>
          <w:tcPr>
            <w:tcW w:w="2584" w:type="dxa"/>
            <w:shd w:val="clear" w:color="auto" w:fill="FFFFFF"/>
            <w:tcMar>
              <w:top w:w="0" w:type="dxa"/>
              <w:left w:w="85" w:type="dxa"/>
              <w:bottom w:w="0" w:type="dxa"/>
              <w:right w:w="85" w:type="dxa"/>
            </w:tcMar>
          </w:tcPr>
          <w:p w14:paraId="33B63FB3"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486.0</w:t>
            </w:r>
          </w:p>
        </w:tc>
        <w:tc>
          <w:tcPr>
            <w:tcW w:w="2039" w:type="dxa"/>
            <w:shd w:val="clear" w:color="auto" w:fill="FFFFFF"/>
            <w:tcMar>
              <w:top w:w="0" w:type="dxa"/>
              <w:left w:w="85" w:type="dxa"/>
              <w:bottom w:w="0" w:type="dxa"/>
              <w:right w:w="85" w:type="dxa"/>
            </w:tcMar>
          </w:tcPr>
          <w:p w14:paraId="71B69482"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54.0</w:t>
            </w:r>
          </w:p>
        </w:tc>
        <w:tc>
          <w:tcPr>
            <w:tcW w:w="938" w:type="dxa"/>
            <w:shd w:val="clear" w:color="auto" w:fill="FFFFFF"/>
            <w:tcMar>
              <w:top w:w="0" w:type="dxa"/>
              <w:left w:w="85" w:type="dxa"/>
              <w:bottom w:w="0" w:type="dxa"/>
              <w:right w:w="85" w:type="dxa"/>
            </w:tcMar>
          </w:tcPr>
          <w:p w14:paraId="046C414E"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1,035.8</w:t>
            </w:r>
          </w:p>
        </w:tc>
      </w:tr>
      <w:tr w:rsidR="00E87995" w:rsidRPr="009E06AA" w14:paraId="4B3886B6" w14:textId="77777777" w:rsidTr="00B55F24">
        <w:trPr>
          <w:trHeight w:val="283"/>
        </w:trPr>
        <w:tc>
          <w:tcPr>
            <w:tcW w:w="851" w:type="dxa"/>
            <w:shd w:val="clear" w:color="auto" w:fill="FFFFFF"/>
            <w:tcMar>
              <w:top w:w="0" w:type="dxa"/>
              <w:left w:w="85" w:type="dxa"/>
              <w:bottom w:w="0" w:type="dxa"/>
              <w:right w:w="85" w:type="dxa"/>
            </w:tcMar>
          </w:tcPr>
          <w:p w14:paraId="7798E781"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1968</w:t>
            </w:r>
          </w:p>
        </w:tc>
        <w:tc>
          <w:tcPr>
            <w:tcW w:w="2082" w:type="dxa"/>
            <w:shd w:val="clear" w:color="auto" w:fill="FFFFFF"/>
            <w:tcMar>
              <w:top w:w="0" w:type="dxa"/>
              <w:left w:w="85" w:type="dxa"/>
              <w:bottom w:w="0" w:type="dxa"/>
              <w:right w:w="85" w:type="dxa"/>
            </w:tcMar>
          </w:tcPr>
          <w:p w14:paraId="3FF63DD1"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495.8</w:t>
            </w:r>
          </w:p>
        </w:tc>
        <w:tc>
          <w:tcPr>
            <w:tcW w:w="2584" w:type="dxa"/>
            <w:shd w:val="clear" w:color="auto" w:fill="FFFFFF"/>
            <w:tcMar>
              <w:top w:w="0" w:type="dxa"/>
              <w:left w:w="85" w:type="dxa"/>
              <w:bottom w:w="0" w:type="dxa"/>
              <w:right w:w="85" w:type="dxa"/>
            </w:tcMar>
          </w:tcPr>
          <w:p w14:paraId="64AE61CD"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485.2</w:t>
            </w:r>
          </w:p>
        </w:tc>
        <w:tc>
          <w:tcPr>
            <w:tcW w:w="2039" w:type="dxa"/>
            <w:shd w:val="clear" w:color="auto" w:fill="FFFFFF"/>
            <w:tcMar>
              <w:top w:w="0" w:type="dxa"/>
              <w:left w:w="85" w:type="dxa"/>
              <w:bottom w:w="0" w:type="dxa"/>
              <w:right w:w="85" w:type="dxa"/>
            </w:tcMar>
          </w:tcPr>
          <w:p w14:paraId="10EADE60"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53.9</w:t>
            </w:r>
          </w:p>
        </w:tc>
        <w:tc>
          <w:tcPr>
            <w:tcW w:w="938" w:type="dxa"/>
            <w:shd w:val="clear" w:color="auto" w:fill="FFFFFF"/>
            <w:tcMar>
              <w:top w:w="0" w:type="dxa"/>
              <w:left w:w="85" w:type="dxa"/>
              <w:bottom w:w="0" w:type="dxa"/>
              <w:right w:w="85" w:type="dxa"/>
            </w:tcMar>
          </w:tcPr>
          <w:p w14:paraId="1D61C7BE"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1,034.9</w:t>
            </w:r>
          </w:p>
        </w:tc>
      </w:tr>
      <w:tr w:rsidR="00E87995" w:rsidRPr="009E06AA" w14:paraId="1463131A" w14:textId="77777777" w:rsidTr="00B55F24">
        <w:trPr>
          <w:trHeight w:val="283"/>
        </w:trPr>
        <w:tc>
          <w:tcPr>
            <w:tcW w:w="851" w:type="dxa"/>
            <w:shd w:val="clear" w:color="auto" w:fill="FFFFFF"/>
            <w:tcMar>
              <w:top w:w="0" w:type="dxa"/>
              <w:left w:w="85" w:type="dxa"/>
              <w:bottom w:w="0" w:type="dxa"/>
              <w:right w:w="85" w:type="dxa"/>
            </w:tcMar>
          </w:tcPr>
          <w:p w14:paraId="5294C0EB"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1969</w:t>
            </w:r>
          </w:p>
        </w:tc>
        <w:tc>
          <w:tcPr>
            <w:tcW w:w="2082" w:type="dxa"/>
            <w:shd w:val="clear" w:color="auto" w:fill="FFFFFF"/>
            <w:tcMar>
              <w:top w:w="0" w:type="dxa"/>
              <w:left w:w="85" w:type="dxa"/>
              <w:bottom w:w="0" w:type="dxa"/>
              <w:right w:w="85" w:type="dxa"/>
            </w:tcMar>
          </w:tcPr>
          <w:p w14:paraId="2FB9D82E"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495.8</w:t>
            </w:r>
          </w:p>
        </w:tc>
        <w:tc>
          <w:tcPr>
            <w:tcW w:w="2584" w:type="dxa"/>
            <w:shd w:val="clear" w:color="auto" w:fill="FFFFFF"/>
            <w:tcMar>
              <w:top w:w="0" w:type="dxa"/>
              <w:left w:w="85" w:type="dxa"/>
              <w:bottom w:w="0" w:type="dxa"/>
              <w:right w:w="85" w:type="dxa"/>
            </w:tcMar>
          </w:tcPr>
          <w:p w14:paraId="07A72A44"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489.1</w:t>
            </w:r>
          </w:p>
        </w:tc>
        <w:tc>
          <w:tcPr>
            <w:tcW w:w="2039" w:type="dxa"/>
            <w:shd w:val="clear" w:color="auto" w:fill="FFFFFF"/>
            <w:tcMar>
              <w:top w:w="0" w:type="dxa"/>
              <w:left w:w="85" w:type="dxa"/>
              <w:bottom w:w="0" w:type="dxa"/>
              <w:right w:w="85" w:type="dxa"/>
            </w:tcMar>
          </w:tcPr>
          <w:p w14:paraId="330D261B"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54.3</w:t>
            </w:r>
          </w:p>
        </w:tc>
        <w:tc>
          <w:tcPr>
            <w:tcW w:w="938" w:type="dxa"/>
            <w:shd w:val="clear" w:color="auto" w:fill="FFFFFF"/>
            <w:tcMar>
              <w:top w:w="0" w:type="dxa"/>
              <w:left w:w="85" w:type="dxa"/>
              <w:bottom w:w="0" w:type="dxa"/>
              <w:right w:w="85" w:type="dxa"/>
            </w:tcMar>
          </w:tcPr>
          <w:p w14:paraId="1A7BA484"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1,039.2</w:t>
            </w:r>
          </w:p>
        </w:tc>
      </w:tr>
      <w:tr w:rsidR="00E87995" w:rsidRPr="009E06AA" w14:paraId="6127B18E" w14:textId="77777777" w:rsidTr="00B55F24">
        <w:trPr>
          <w:trHeight w:val="283"/>
        </w:trPr>
        <w:tc>
          <w:tcPr>
            <w:tcW w:w="851" w:type="dxa"/>
            <w:shd w:val="clear" w:color="auto" w:fill="FFFFFF"/>
            <w:tcMar>
              <w:top w:w="0" w:type="dxa"/>
              <w:left w:w="85" w:type="dxa"/>
              <w:bottom w:w="0" w:type="dxa"/>
              <w:right w:w="85" w:type="dxa"/>
            </w:tcMar>
          </w:tcPr>
          <w:p w14:paraId="37E09A4C"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1970</w:t>
            </w:r>
          </w:p>
        </w:tc>
        <w:tc>
          <w:tcPr>
            <w:tcW w:w="2082" w:type="dxa"/>
            <w:shd w:val="clear" w:color="auto" w:fill="FFFFFF"/>
            <w:tcMar>
              <w:top w:w="0" w:type="dxa"/>
              <w:left w:w="85" w:type="dxa"/>
              <w:bottom w:w="0" w:type="dxa"/>
              <w:right w:w="85" w:type="dxa"/>
            </w:tcMar>
          </w:tcPr>
          <w:p w14:paraId="3E8C24E2"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654.1</w:t>
            </w:r>
          </w:p>
        </w:tc>
        <w:tc>
          <w:tcPr>
            <w:tcW w:w="2584" w:type="dxa"/>
            <w:shd w:val="clear" w:color="auto" w:fill="FFFFFF"/>
            <w:tcMar>
              <w:top w:w="0" w:type="dxa"/>
              <w:left w:w="85" w:type="dxa"/>
              <w:bottom w:w="0" w:type="dxa"/>
              <w:right w:w="85" w:type="dxa"/>
            </w:tcMar>
          </w:tcPr>
          <w:p w14:paraId="216FD2B0"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497.4</w:t>
            </w:r>
          </w:p>
        </w:tc>
        <w:tc>
          <w:tcPr>
            <w:tcW w:w="2039" w:type="dxa"/>
            <w:shd w:val="clear" w:color="auto" w:fill="FFFFFF"/>
            <w:tcMar>
              <w:top w:w="0" w:type="dxa"/>
              <w:left w:w="85" w:type="dxa"/>
              <w:bottom w:w="0" w:type="dxa"/>
              <w:right w:w="85" w:type="dxa"/>
            </w:tcMar>
          </w:tcPr>
          <w:p w14:paraId="59F26295"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55.3</w:t>
            </w:r>
          </w:p>
        </w:tc>
        <w:tc>
          <w:tcPr>
            <w:tcW w:w="938" w:type="dxa"/>
            <w:shd w:val="clear" w:color="auto" w:fill="FFFFFF"/>
            <w:tcMar>
              <w:top w:w="0" w:type="dxa"/>
              <w:left w:w="85" w:type="dxa"/>
              <w:bottom w:w="0" w:type="dxa"/>
              <w:right w:w="85" w:type="dxa"/>
            </w:tcMar>
          </w:tcPr>
          <w:p w14:paraId="42BCD442"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1,206.9</w:t>
            </w:r>
          </w:p>
        </w:tc>
      </w:tr>
      <w:tr w:rsidR="00E87995" w:rsidRPr="009E06AA" w14:paraId="5F2CE423" w14:textId="77777777" w:rsidTr="00B55F24">
        <w:trPr>
          <w:trHeight w:val="283"/>
        </w:trPr>
        <w:tc>
          <w:tcPr>
            <w:tcW w:w="851" w:type="dxa"/>
            <w:shd w:val="clear" w:color="auto" w:fill="FFFFFF"/>
            <w:tcMar>
              <w:top w:w="0" w:type="dxa"/>
              <w:left w:w="85" w:type="dxa"/>
              <w:bottom w:w="0" w:type="dxa"/>
              <w:right w:w="85" w:type="dxa"/>
            </w:tcMar>
          </w:tcPr>
          <w:p w14:paraId="4AD37CA9"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1971</w:t>
            </w:r>
          </w:p>
        </w:tc>
        <w:tc>
          <w:tcPr>
            <w:tcW w:w="2082" w:type="dxa"/>
            <w:shd w:val="clear" w:color="auto" w:fill="FFFFFF"/>
            <w:tcMar>
              <w:top w:w="0" w:type="dxa"/>
              <w:left w:w="85" w:type="dxa"/>
              <w:bottom w:w="0" w:type="dxa"/>
              <w:right w:w="85" w:type="dxa"/>
            </w:tcMar>
          </w:tcPr>
          <w:p w14:paraId="2E6244B3"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654.1</w:t>
            </w:r>
          </w:p>
        </w:tc>
        <w:tc>
          <w:tcPr>
            <w:tcW w:w="2584" w:type="dxa"/>
            <w:shd w:val="clear" w:color="auto" w:fill="FFFFFF"/>
            <w:tcMar>
              <w:top w:w="0" w:type="dxa"/>
              <w:left w:w="85" w:type="dxa"/>
              <w:bottom w:w="0" w:type="dxa"/>
              <w:right w:w="85" w:type="dxa"/>
            </w:tcMar>
          </w:tcPr>
          <w:p w14:paraId="0AF250AF"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554.4</w:t>
            </w:r>
          </w:p>
        </w:tc>
        <w:tc>
          <w:tcPr>
            <w:tcW w:w="2039" w:type="dxa"/>
            <w:shd w:val="clear" w:color="auto" w:fill="FFFFFF"/>
            <w:tcMar>
              <w:top w:w="0" w:type="dxa"/>
              <w:left w:w="85" w:type="dxa"/>
              <w:bottom w:w="0" w:type="dxa"/>
              <w:right w:w="85" w:type="dxa"/>
            </w:tcMar>
          </w:tcPr>
          <w:p w14:paraId="0D0E1242"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61.6</w:t>
            </w:r>
          </w:p>
        </w:tc>
        <w:tc>
          <w:tcPr>
            <w:tcW w:w="938" w:type="dxa"/>
            <w:shd w:val="clear" w:color="auto" w:fill="FFFFFF"/>
            <w:tcMar>
              <w:top w:w="0" w:type="dxa"/>
              <w:left w:w="85" w:type="dxa"/>
              <w:bottom w:w="0" w:type="dxa"/>
              <w:right w:w="85" w:type="dxa"/>
            </w:tcMar>
          </w:tcPr>
          <w:p w14:paraId="6FDF28CB"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1,270.1</w:t>
            </w:r>
          </w:p>
        </w:tc>
      </w:tr>
      <w:tr w:rsidR="00E87995" w:rsidRPr="009E06AA" w14:paraId="6C90EA62" w14:textId="77777777" w:rsidTr="00B55F24">
        <w:trPr>
          <w:trHeight w:val="283"/>
        </w:trPr>
        <w:tc>
          <w:tcPr>
            <w:tcW w:w="851" w:type="dxa"/>
            <w:shd w:val="clear" w:color="auto" w:fill="FFFFFF"/>
            <w:tcMar>
              <w:top w:w="0" w:type="dxa"/>
              <w:left w:w="85" w:type="dxa"/>
              <w:bottom w:w="0" w:type="dxa"/>
              <w:right w:w="85" w:type="dxa"/>
            </w:tcMar>
          </w:tcPr>
          <w:p w14:paraId="5838FE3C"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1972</w:t>
            </w:r>
          </w:p>
        </w:tc>
        <w:tc>
          <w:tcPr>
            <w:tcW w:w="2082" w:type="dxa"/>
            <w:shd w:val="clear" w:color="auto" w:fill="FFFFFF"/>
            <w:tcMar>
              <w:top w:w="0" w:type="dxa"/>
              <w:left w:w="85" w:type="dxa"/>
              <w:bottom w:w="0" w:type="dxa"/>
              <w:right w:w="85" w:type="dxa"/>
            </w:tcMar>
          </w:tcPr>
          <w:p w14:paraId="1D7E36BD"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672.5</w:t>
            </w:r>
          </w:p>
        </w:tc>
        <w:tc>
          <w:tcPr>
            <w:tcW w:w="2584" w:type="dxa"/>
            <w:shd w:val="clear" w:color="auto" w:fill="FFFFFF"/>
            <w:tcMar>
              <w:top w:w="0" w:type="dxa"/>
              <w:left w:w="85" w:type="dxa"/>
              <w:bottom w:w="0" w:type="dxa"/>
              <w:right w:w="85" w:type="dxa"/>
            </w:tcMar>
          </w:tcPr>
          <w:p w14:paraId="0E06BC91"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746.9</w:t>
            </w:r>
          </w:p>
        </w:tc>
        <w:tc>
          <w:tcPr>
            <w:tcW w:w="2039" w:type="dxa"/>
            <w:shd w:val="clear" w:color="auto" w:fill="FFFFFF"/>
            <w:tcMar>
              <w:top w:w="0" w:type="dxa"/>
              <w:left w:w="85" w:type="dxa"/>
              <w:bottom w:w="0" w:type="dxa"/>
              <w:right w:w="85" w:type="dxa"/>
            </w:tcMar>
          </w:tcPr>
          <w:p w14:paraId="337CBA3A"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83.0</w:t>
            </w:r>
          </w:p>
        </w:tc>
        <w:tc>
          <w:tcPr>
            <w:tcW w:w="938" w:type="dxa"/>
            <w:shd w:val="clear" w:color="auto" w:fill="FFFFFF"/>
            <w:tcMar>
              <w:top w:w="0" w:type="dxa"/>
              <w:left w:w="85" w:type="dxa"/>
              <w:bottom w:w="0" w:type="dxa"/>
              <w:right w:w="85" w:type="dxa"/>
            </w:tcMar>
          </w:tcPr>
          <w:p w14:paraId="53011BB6"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1,502.5</w:t>
            </w:r>
          </w:p>
        </w:tc>
      </w:tr>
      <w:tr w:rsidR="00E87995" w:rsidRPr="009E06AA" w14:paraId="1C197C1F" w14:textId="77777777" w:rsidTr="00B55F24">
        <w:trPr>
          <w:trHeight w:val="283"/>
        </w:trPr>
        <w:tc>
          <w:tcPr>
            <w:tcW w:w="851" w:type="dxa"/>
            <w:shd w:val="clear" w:color="auto" w:fill="FFFFFF"/>
            <w:tcMar>
              <w:top w:w="0" w:type="dxa"/>
              <w:left w:w="85" w:type="dxa"/>
              <w:bottom w:w="0" w:type="dxa"/>
              <w:right w:w="85" w:type="dxa"/>
            </w:tcMar>
          </w:tcPr>
          <w:p w14:paraId="0E7CA691"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1973</w:t>
            </w:r>
          </w:p>
        </w:tc>
        <w:tc>
          <w:tcPr>
            <w:tcW w:w="2082" w:type="dxa"/>
            <w:shd w:val="clear" w:color="auto" w:fill="FFFFFF"/>
            <w:tcMar>
              <w:top w:w="0" w:type="dxa"/>
              <w:left w:w="85" w:type="dxa"/>
              <w:bottom w:w="0" w:type="dxa"/>
              <w:right w:w="85" w:type="dxa"/>
            </w:tcMar>
          </w:tcPr>
          <w:p w14:paraId="5F0ED0FB"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672.5</w:t>
            </w:r>
          </w:p>
        </w:tc>
        <w:tc>
          <w:tcPr>
            <w:tcW w:w="2584" w:type="dxa"/>
            <w:shd w:val="clear" w:color="auto" w:fill="FFFFFF"/>
            <w:tcMar>
              <w:top w:w="0" w:type="dxa"/>
              <w:left w:w="85" w:type="dxa"/>
              <w:bottom w:w="0" w:type="dxa"/>
              <w:right w:w="85" w:type="dxa"/>
            </w:tcMar>
          </w:tcPr>
          <w:p w14:paraId="567411E3"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889.1</w:t>
            </w:r>
          </w:p>
        </w:tc>
        <w:tc>
          <w:tcPr>
            <w:tcW w:w="2039" w:type="dxa"/>
            <w:shd w:val="clear" w:color="auto" w:fill="FFFFFF"/>
            <w:tcMar>
              <w:top w:w="0" w:type="dxa"/>
              <w:left w:w="85" w:type="dxa"/>
              <w:bottom w:w="0" w:type="dxa"/>
              <w:right w:w="85" w:type="dxa"/>
            </w:tcMar>
          </w:tcPr>
          <w:p w14:paraId="3DDF101A"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98.8</w:t>
            </w:r>
          </w:p>
        </w:tc>
        <w:tc>
          <w:tcPr>
            <w:tcW w:w="938" w:type="dxa"/>
            <w:shd w:val="clear" w:color="auto" w:fill="FFFFFF"/>
            <w:tcMar>
              <w:top w:w="0" w:type="dxa"/>
              <w:left w:w="85" w:type="dxa"/>
              <w:bottom w:w="0" w:type="dxa"/>
              <w:right w:w="85" w:type="dxa"/>
            </w:tcMar>
          </w:tcPr>
          <w:p w14:paraId="317978BB"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1,660.4</w:t>
            </w:r>
          </w:p>
        </w:tc>
      </w:tr>
      <w:tr w:rsidR="00E87995" w:rsidRPr="009E06AA" w14:paraId="0032238B" w14:textId="77777777" w:rsidTr="00B55F24">
        <w:trPr>
          <w:trHeight w:val="283"/>
        </w:trPr>
        <w:tc>
          <w:tcPr>
            <w:tcW w:w="851" w:type="dxa"/>
            <w:shd w:val="clear" w:color="auto" w:fill="FFFFFF"/>
            <w:tcMar>
              <w:top w:w="0" w:type="dxa"/>
              <w:left w:w="85" w:type="dxa"/>
              <w:bottom w:w="0" w:type="dxa"/>
              <w:right w:w="85" w:type="dxa"/>
            </w:tcMar>
          </w:tcPr>
          <w:p w14:paraId="18BB711A"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1974</w:t>
            </w:r>
          </w:p>
        </w:tc>
        <w:tc>
          <w:tcPr>
            <w:tcW w:w="2082" w:type="dxa"/>
            <w:shd w:val="clear" w:color="auto" w:fill="FFFFFF"/>
            <w:tcMar>
              <w:top w:w="0" w:type="dxa"/>
              <w:left w:w="85" w:type="dxa"/>
              <w:bottom w:w="0" w:type="dxa"/>
              <w:right w:w="85" w:type="dxa"/>
            </w:tcMar>
          </w:tcPr>
          <w:p w14:paraId="69EEC2FE"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844.5</w:t>
            </w:r>
          </w:p>
        </w:tc>
        <w:tc>
          <w:tcPr>
            <w:tcW w:w="2584" w:type="dxa"/>
            <w:shd w:val="clear" w:color="auto" w:fill="FFFFFF"/>
            <w:tcMar>
              <w:top w:w="0" w:type="dxa"/>
              <w:left w:w="85" w:type="dxa"/>
              <w:bottom w:w="0" w:type="dxa"/>
              <w:right w:w="85" w:type="dxa"/>
            </w:tcMar>
          </w:tcPr>
          <w:p w14:paraId="07BB6E3B"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839.4</w:t>
            </w:r>
          </w:p>
        </w:tc>
        <w:tc>
          <w:tcPr>
            <w:tcW w:w="2039" w:type="dxa"/>
            <w:shd w:val="clear" w:color="auto" w:fill="FFFFFF"/>
            <w:tcMar>
              <w:top w:w="0" w:type="dxa"/>
              <w:left w:w="85" w:type="dxa"/>
              <w:bottom w:w="0" w:type="dxa"/>
              <w:right w:w="85" w:type="dxa"/>
            </w:tcMar>
          </w:tcPr>
          <w:p w14:paraId="3C808CC0"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93.3</w:t>
            </w:r>
          </w:p>
        </w:tc>
        <w:tc>
          <w:tcPr>
            <w:tcW w:w="938" w:type="dxa"/>
            <w:shd w:val="clear" w:color="auto" w:fill="FFFFFF"/>
            <w:tcMar>
              <w:top w:w="0" w:type="dxa"/>
              <w:left w:w="85" w:type="dxa"/>
              <w:bottom w:w="0" w:type="dxa"/>
              <w:right w:w="85" w:type="dxa"/>
            </w:tcMar>
          </w:tcPr>
          <w:p w14:paraId="2AA467E2"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1,777.1</w:t>
            </w:r>
          </w:p>
        </w:tc>
      </w:tr>
      <w:tr w:rsidR="00E87995" w:rsidRPr="009E06AA" w14:paraId="723369F2" w14:textId="77777777" w:rsidTr="00B55F24">
        <w:trPr>
          <w:trHeight w:val="283"/>
        </w:trPr>
        <w:tc>
          <w:tcPr>
            <w:tcW w:w="851" w:type="dxa"/>
            <w:shd w:val="clear" w:color="auto" w:fill="FFFFFF"/>
            <w:tcMar>
              <w:top w:w="0" w:type="dxa"/>
              <w:left w:w="85" w:type="dxa"/>
              <w:bottom w:w="0" w:type="dxa"/>
              <w:right w:w="85" w:type="dxa"/>
            </w:tcMar>
          </w:tcPr>
          <w:p w14:paraId="1E8A4831"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1975</w:t>
            </w:r>
          </w:p>
        </w:tc>
        <w:tc>
          <w:tcPr>
            <w:tcW w:w="2082" w:type="dxa"/>
            <w:shd w:val="clear" w:color="auto" w:fill="FFFFFF"/>
            <w:tcMar>
              <w:top w:w="0" w:type="dxa"/>
              <w:left w:w="85" w:type="dxa"/>
              <w:bottom w:w="0" w:type="dxa"/>
              <w:right w:w="85" w:type="dxa"/>
            </w:tcMar>
          </w:tcPr>
          <w:p w14:paraId="3A003839"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844.5</w:t>
            </w:r>
          </w:p>
        </w:tc>
        <w:tc>
          <w:tcPr>
            <w:tcW w:w="2584" w:type="dxa"/>
            <w:shd w:val="clear" w:color="auto" w:fill="FFFFFF"/>
            <w:tcMar>
              <w:top w:w="0" w:type="dxa"/>
              <w:left w:w="85" w:type="dxa"/>
              <w:bottom w:w="0" w:type="dxa"/>
              <w:right w:w="85" w:type="dxa"/>
            </w:tcMar>
          </w:tcPr>
          <w:p w14:paraId="3579C251"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736.6</w:t>
            </w:r>
          </w:p>
        </w:tc>
        <w:tc>
          <w:tcPr>
            <w:tcW w:w="2039" w:type="dxa"/>
            <w:shd w:val="clear" w:color="auto" w:fill="FFFFFF"/>
            <w:tcMar>
              <w:top w:w="0" w:type="dxa"/>
              <w:left w:w="85" w:type="dxa"/>
              <w:bottom w:w="0" w:type="dxa"/>
              <w:right w:w="85" w:type="dxa"/>
            </w:tcMar>
          </w:tcPr>
          <w:p w14:paraId="1B206E93"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81.8</w:t>
            </w:r>
          </w:p>
        </w:tc>
        <w:tc>
          <w:tcPr>
            <w:tcW w:w="938" w:type="dxa"/>
            <w:shd w:val="clear" w:color="auto" w:fill="FFFFFF"/>
            <w:tcMar>
              <w:top w:w="0" w:type="dxa"/>
              <w:left w:w="85" w:type="dxa"/>
              <w:bottom w:w="0" w:type="dxa"/>
              <w:right w:w="85" w:type="dxa"/>
            </w:tcMar>
          </w:tcPr>
          <w:p w14:paraId="463ECC60"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1,662.9</w:t>
            </w:r>
          </w:p>
        </w:tc>
      </w:tr>
      <w:tr w:rsidR="00E87995" w:rsidRPr="009E06AA" w14:paraId="0AA305A5" w14:textId="77777777" w:rsidTr="00B55F24">
        <w:trPr>
          <w:trHeight w:val="283"/>
        </w:trPr>
        <w:tc>
          <w:tcPr>
            <w:tcW w:w="851" w:type="dxa"/>
            <w:shd w:val="clear" w:color="auto" w:fill="FFFFFF"/>
            <w:tcMar>
              <w:top w:w="0" w:type="dxa"/>
              <w:left w:w="85" w:type="dxa"/>
              <w:bottom w:w="0" w:type="dxa"/>
              <w:right w:w="85" w:type="dxa"/>
            </w:tcMar>
          </w:tcPr>
          <w:p w14:paraId="39745868"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1976</w:t>
            </w:r>
          </w:p>
        </w:tc>
        <w:tc>
          <w:tcPr>
            <w:tcW w:w="2082" w:type="dxa"/>
            <w:shd w:val="clear" w:color="auto" w:fill="FFFFFF"/>
            <w:tcMar>
              <w:top w:w="0" w:type="dxa"/>
              <w:left w:w="85" w:type="dxa"/>
              <w:bottom w:w="0" w:type="dxa"/>
              <w:right w:w="85" w:type="dxa"/>
            </w:tcMar>
          </w:tcPr>
          <w:p w14:paraId="3F707269"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984.9</w:t>
            </w:r>
          </w:p>
        </w:tc>
        <w:tc>
          <w:tcPr>
            <w:tcW w:w="2584" w:type="dxa"/>
            <w:shd w:val="clear" w:color="auto" w:fill="FFFFFF"/>
            <w:tcMar>
              <w:top w:w="0" w:type="dxa"/>
              <w:left w:w="85" w:type="dxa"/>
              <w:bottom w:w="0" w:type="dxa"/>
              <w:right w:w="85" w:type="dxa"/>
            </w:tcMar>
          </w:tcPr>
          <w:p w14:paraId="57E1FDCF"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578.2</w:t>
            </w:r>
          </w:p>
        </w:tc>
        <w:tc>
          <w:tcPr>
            <w:tcW w:w="2039" w:type="dxa"/>
            <w:shd w:val="clear" w:color="auto" w:fill="FFFFFF"/>
            <w:tcMar>
              <w:top w:w="0" w:type="dxa"/>
              <w:left w:w="85" w:type="dxa"/>
              <w:bottom w:w="0" w:type="dxa"/>
              <w:right w:w="85" w:type="dxa"/>
            </w:tcMar>
          </w:tcPr>
          <w:p w14:paraId="13D2DBF9"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64.2</w:t>
            </w:r>
          </w:p>
        </w:tc>
        <w:tc>
          <w:tcPr>
            <w:tcW w:w="938" w:type="dxa"/>
            <w:shd w:val="clear" w:color="auto" w:fill="FFFFFF"/>
            <w:tcMar>
              <w:top w:w="0" w:type="dxa"/>
              <w:left w:w="85" w:type="dxa"/>
              <w:bottom w:w="0" w:type="dxa"/>
              <w:right w:w="85" w:type="dxa"/>
            </w:tcMar>
          </w:tcPr>
          <w:p w14:paraId="1B4D96E8"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1,627.4</w:t>
            </w:r>
          </w:p>
        </w:tc>
      </w:tr>
      <w:tr w:rsidR="00E87995" w:rsidRPr="009E06AA" w14:paraId="5063C8EF" w14:textId="77777777" w:rsidTr="00B55F24">
        <w:trPr>
          <w:trHeight w:val="283"/>
        </w:trPr>
        <w:tc>
          <w:tcPr>
            <w:tcW w:w="851" w:type="dxa"/>
            <w:shd w:val="clear" w:color="auto" w:fill="FFFFFF"/>
            <w:tcMar>
              <w:top w:w="0" w:type="dxa"/>
              <w:left w:w="85" w:type="dxa"/>
              <w:bottom w:w="0" w:type="dxa"/>
              <w:right w:w="85" w:type="dxa"/>
            </w:tcMar>
          </w:tcPr>
          <w:p w14:paraId="2B1C49BC"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1977</w:t>
            </w:r>
          </w:p>
        </w:tc>
        <w:tc>
          <w:tcPr>
            <w:tcW w:w="2082" w:type="dxa"/>
            <w:shd w:val="clear" w:color="auto" w:fill="FFFFFF"/>
            <w:tcMar>
              <w:top w:w="0" w:type="dxa"/>
              <w:left w:w="85" w:type="dxa"/>
              <w:bottom w:w="0" w:type="dxa"/>
              <w:right w:w="85" w:type="dxa"/>
            </w:tcMar>
          </w:tcPr>
          <w:p w14:paraId="77456D03"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984.9</w:t>
            </w:r>
          </w:p>
        </w:tc>
        <w:tc>
          <w:tcPr>
            <w:tcW w:w="2584" w:type="dxa"/>
            <w:shd w:val="clear" w:color="auto" w:fill="FFFFFF"/>
            <w:tcMar>
              <w:top w:w="0" w:type="dxa"/>
              <w:left w:w="85" w:type="dxa"/>
              <w:bottom w:w="0" w:type="dxa"/>
              <w:right w:w="85" w:type="dxa"/>
            </w:tcMar>
          </w:tcPr>
          <w:p w14:paraId="3D740360"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713.0</w:t>
            </w:r>
          </w:p>
        </w:tc>
        <w:tc>
          <w:tcPr>
            <w:tcW w:w="2039" w:type="dxa"/>
            <w:shd w:val="clear" w:color="auto" w:fill="FFFFFF"/>
            <w:tcMar>
              <w:top w:w="0" w:type="dxa"/>
              <w:left w:w="85" w:type="dxa"/>
              <w:bottom w:w="0" w:type="dxa"/>
              <w:right w:w="85" w:type="dxa"/>
            </w:tcMar>
          </w:tcPr>
          <w:p w14:paraId="26B25A4F"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79.2</w:t>
            </w:r>
          </w:p>
        </w:tc>
        <w:tc>
          <w:tcPr>
            <w:tcW w:w="938" w:type="dxa"/>
            <w:shd w:val="clear" w:color="auto" w:fill="FFFFFF"/>
            <w:tcMar>
              <w:top w:w="0" w:type="dxa"/>
              <w:left w:w="85" w:type="dxa"/>
              <w:bottom w:w="0" w:type="dxa"/>
              <w:right w:w="85" w:type="dxa"/>
            </w:tcMar>
          </w:tcPr>
          <w:p w14:paraId="233F59C6"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1,777.2</w:t>
            </w:r>
          </w:p>
        </w:tc>
      </w:tr>
      <w:tr w:rsidR="00E87995" w:rsidRPr="009E06AA" w14:paraId="5E61D0B9" w14:textId="77777777" w:rsidTr="00B55F24">
        <w:trPr>
          <w:trHeight w:val="283"/>
        </w:trPr>
        <w:tc>
          <w:tcPr>
            <w:tcW w:w="851" w:type="dxa"/>
            <w:shd w:val="clear" w:color="auto" w:fill="FFFFFF"/>
            <w:tcMar>
              <w:top w:w="0" w:type="dxa"/>
              <w:left w:w="85" w:type="dxa"/>
              <w:bottom w:w="0" w:type="dxa"/>
              <w:right w:w="85" w:type="dxa"/>
            </w:tcMar>
          </w:tcPr>
          <w:p w14:paraId="1F206805"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1978</w:t>
            </w:r>
          </w:p>
        </w:tc>
        <w:tc>
          <w:tcPr>
            <w:tcW w:w="2082" w:type="dxa"/>
            <w:shd w:val="clear" w:color="auto" w:fill="FFFFFF"/>
            <w:tcMar>
              <w:top w:w="0" w:type="dxa"/>
              <w:left w:w="85" w:type="dxa"/>
              <w:bottom w:w="0" w:type="dxa"/>
              <w:right w:w="85" w:type="dxa"/>
            </w:tcMar>
          </w:tcPr>
          <w:p w14:paraId="39435093"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984.9</w:t>
            </w:r>
          </w:p>
        </w:tc>
        <w:tc>
          <w:tcPr>
            <w:tcW w:w="2584" w:type="dxa"/>
            <w:shd w:val="clear" w:color="auto" w:fill="FFFFFF"/>
            <w:tcMar>
              <w:top w:w="0" w:type="dxa"/>
              <w:left w:w="85" w:type="dxa"/>
              <w:bottom w:w="0" w:type="dxa"/>
              <w:right w:w="85" w:type="dxa"/>
            </w:tcMar>
          </w:tcPr>
          <w:p w14:paraId="6676D930"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588.6</w:t>
            </w:r>
          </w:p>
        </w:tc>
        <w:tc>
          <w:tcPr>
            <w:tcW w:w="2039" w:type="dxa"/>
            <w:shd w:val="clear" w:color="auto" w:fill="FFFFFF"/>
            <w:tcMar>
              <w:top w:w="0" w:type="dxa"/>
              <w:left w:w="85" w:type="dxa"/>
              <w:bottom w:w="0" w:type="dxa"/>
              <w:right w:w="85" w:type="dxa"/>
            </w:tcMar>
          </w:tcPr>
          <w:p w14:paraId="7876F2B5"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65.4</w:t>
            </w:r>
          </w:p>
        </w:tc>
        <w:tc>
          <w:tcPr>
            <w:tcW w:w="938" w:type="dxa"/>
            <w:shd w:val="clear" w:color="auto" w:fill="FFFFFF"/>
            <w:tcMar>
              <w:top w:w="0" w:type="dxa"/>
              <w:left w:w="85" w:type="dxa"/>
              <w:bottom w:w="0" w:type="dxa"/>
              <w:right w:w="85" w:type="dxa"/>
            </w:tcMar>
          </w:tcPr>
          <w:p w14:paraId="0649F5A8"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1,639.0</w:t>
            </w:r>
          </w:p>
        </w:tc>
      </w:tr>
      <w:tr w:rsidR="00E87995" w:rsidRPr="009E06AA" w14:paraId="7AB5578D" w14:textId="77777777" w:rsidTr="00B55F24">
        <w:trPr>
          <w:trHeight w:val="283"/>
        </w:trPr>
        <w:tc>
          <w:tcPr>
            <w:tcW w:w="851" w:type="dxa"/>
            <w:shd w:val="clear" w:color="auto" w:fill="FFFFFF"/>
            <w:tcMar>
              <w:top w:w="0" w:type="dxa"/>
              <w:left w:w="85" w:type="dxa"/>
              <w:bottom w:w="0" w:type="dxa"/>
              <w:right w:w="85" w:type="dxa"/>
            </w:tcMar>
          </w:tcPr>
          <w:p w14:paraId="699126DD"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1979</w:t>
            </w:r>
          </w:p>
        </w:tc>
        <w:tc>
          <w:tcPr>
            <w:tcW w:w="2082" w:type="dxa"/>
            <w:shd w:val="clear" w:color="auto" w:fill="FFFFFF"/>
            <w:tcMar>
              <w:top w:w="0" w:type="dxa"/>
              <w:left w:w="85" w:type="dxa"/>
              <w:bottom w:w="0" w:type="dxa"/>
              <w:right w:w="85" w:type="dxa"/>
            </w:tcMar>
          </w:tcPr>
          <w:p w14:paraId="008CEE71"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984.9</w:t>
            </w:r>
          </w:p>
        </w:tc>
        <w:tc>
          <w:tcPr>
            <w:tcW w:w="2584" w:type="dxa"/>
            <w:shd w:val="clear" w:color="auto" w:fill="FFFFFF"/>
            <w:tcMar>
              <w:top w:w="0" w:type="dxa"/>
              <w:left w:w="85" w:type="dxa"/>
              <w:bottom w:w="0" w:type="dxa"/>
              <w:right w:w="85" w:type="dxa"/>
            </w:tcMar>
          </w:tcPr>
          <w:p w14:paraId="39A405B8"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581.8</w:t>
            </w:r>
          </w:p>
        </w:tc>
        <w:tc>
          <w:tcPr>
            <w:tcW w:w="2039" w:type="dxa"/>
            <w:shd w:val="clear" w:color="auto" w:fill="FFFFFF"/>
            <w:tcMar>
              <w:top w:w="0" w:type="dxa"/>
              <w:left w:w="85" w:type="dxa"/>
              <w:bottom w:w="0" w:type="dxa"/>
              <w:right w:w="85" w:type="dxa"/>
            </w:tcMar>
          </w:tcPr>
          <w:p w14:paraId="647C452D"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64.6</w:t>
            </w:r>
          </w:p>
        </w:tc>
        <w:tc>
          <w:tcPr>
            <w:tcW w:w="938" w:type="dxa"/>
            <w:shd w:val="clear" w:color="auto" w:fill="FFFFFF"/>
            <w:tcMar>
              <w:top w:w="0" w:type="dxa"/>
              <w:left w:w="85" w:type="dxa"/>
              <w:bottom w:w="0" w:type="dxa"/>
              <w:right w:w="85" w:type="dxa"/>
            </w:tcMar>
          </w:tcPr>
          <w:p w14:paraId="0E76B2C8"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1,631.4</w:t>
            </w:r>
          </w:p>
        </w:tc>
      </w:tr>
      <w:tr w:rsidR="00E87995" w:rsidRPr="009E06AA" w14:paraId="7E592BDE" w14:textId="77777777" w:rsidTr="00B55F24">
        <w:trPr>
          <w:trHeight w:val="283"/>
        </w:trPr>
        <w:tc>
          <w:tcPr>
            <w:tcW w:w="851" w:type="dxa"/>
            <w:shd w:val="clear" w:color="auto" w:fill="FFFFFF"/>
            <w:tcMar>
              <w:top w:w="0" w:type="dxa"/>
              <w:left w:w="85" w:type="dxa"/>
              <w:bottom w:w="0" w:type="dxa"/>
              <w:right w:w="85" w:type="dxa"/>
            </w:tcMar>
          </w:tcPr>
          <w:p w14:paraId="19ECC592"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1980</w:t>
            </w:r>
          </w:p>
        </w:tc>
        <w:tc>
          <w:tcPr>
            <w:tcW w:w="2082" w:type="dxa"/>
            <w:shd w:val="clear" w:color="auto" w:fill="FFFFFF"/>
            <w:tcMar>
              <w:top w:w="0" w:type="dxa"/>
              <w:left w:w="85" w:type="dxa"/>
              <w:bottom w:w="0" w:type="dxa"/>
              <w:right w:w="85" w:type="dxa"/>
            </w:tcMar>
          </w:tcPr>
          <w:p w14:paraId="2B642391"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984.9</w:t>
            </w:r>
          </w:p>
        </w:tc>
        <w:tc>
          <w:tcPr>
            <w:tcW w:w="2584" w:type="dxa"/>
            <w:shd w:val="clear" w:color="auto" w:fill="FFFFFF"/>
            <w:tcMar>
              <w:top w:w="0" w:type="dxa"/>
              <w:left w:w="85" w:type="dxa"/>
              <w:bottom w:w="0" w:type="dxa"/>
              <w:right w:w="85" w:type="dxa"/>
            </w:tcMar>
          </w:tcPr>
          <w:p w14:paraId="3BB54DFD"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572.1</w:t>
            </w:r>
          </w:p>
        </w:tc>
        <w:tc>
          <w:tcPr>
            <w:tcW w:w="2039" w:type="dxa"/>
            <w:shd w:val="clear" w:color="auto" w:fill="FFFFFF"/>
            <w:tcMar>
              <w:top w:w="0" w:type="dxa"/>
              <w:left w:w="85" w:type="dxa"/>
              <w:bottom w:w="0" w:type="dxa"/>
              <w:right w:w="85" w:type="dxa"/>
            </w:tcMar>
          </w:tcPr>
          <w:p w14:paraId="357DB45C"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63.6</w:t>
            </w:r>
          </w:p>
        </w:tc>
        <w:tc>
          <w:tcPr>
            <w:tcW w:w="938" w:type="dxa"/>
            <w:shd w:val="clear" w:color="auto" w:fill="FFFFFF"/>
            <w:tcMar>
              <w:top w:w="0" w:type="dxa"/>
              <w:left w:w="85" w:type="dxa"/>
              <w:bottom w:w="0" w:type="dxa"/>
              <w:right w:w="85" w:type="dxa"/>
            </w:tcMar>
          </w:tcPr>
          <w:p w14:paraId="327CF1E8"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1,620.6</w:t>
            </w:r>
          </w:p>
        </w:tc>
      </w:tr>
      <w:tr w:rsidR="00E87995" w:rsidRPr="009E06AA" w14:paraId="3C08C399" w14:textId="77777777" w:rsidTr="00B55F24">
        <w:trPr>
          <w:trHeight w:val="283"/>
        </w:trPr>
        <w:tc>
          <w:tcPr>
            <w:tcW w:w="851" w:type="dxa"/>
            <w:shd w:val="clear" w:color="auto" w:fill="FFFFFF"/>
            <w:tcMar>
              <w:top w:w="0" w:type="dxa"/>
              <w:left w:w="85" w:type="dxa"/>
              <w:bottom w:w="0" w:type="dxa"/>
              <w:right w:w="85" w:type="dxa"/>
            </w:tcMar>
          </w:tcPr>
          <w:p w14:paraId="3DF4D4A4"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1981</w:t>
            </w:r>
          </w:p>
        </w:tc>
        <w:tc>
          <w:tcPr>
            <w:tcW w:w="2082" w:type="dxa"/>
            <w:shd w:val="clear" w:color="auto" w:fill="FFFFFF"/>
            <w:tcMar>
              <w:top w:w="0" w:type="dxa"/>
              <w:left w:w="85" w:type="dxa"/>
              <w:bottom w:w="0" w:type="dxa"/>
              <w:right w:w="85" w:type="dxa"/>
            </w:tcMar>
          </w:tcPr>
          <w:p w14:paraId="748E6E1E"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984.9</w:t>
            </w:r>
          </w:p>
        </w:tc>
        <w:tc>
          <w:tcPr>
            <w:tcW w:w="2584" w:type="dxa"/>
            <w:shd w:val="clear" w:color="auto" w:fill="FFFFFF"/>
            <w:tcMar>
              <w:top w:w="0" w:type="dxa"/>
              <w:left w:w="85" w:type="dxa"/>
              <w:bottom w:w="0" w:type="dxa"/>
              <w:right w:w="85" w:type="dxa"/>
            </w:tcMar>
          </w:tcPr>
          <w:p w14:paraId="17236D3C"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581.8</w:t>
            </w:r>
          </w:p>
        </w:tc>
        <w:tc>
          <w:tcPr>
            <w:tcW w:w="2039" w:type="dxa"/>
            <w:shd w:val="clear" w:color="auto" w:fill="FFFFFF"/>
            <w:tcMar>
              <w:top w:w="0" w:type="dxa"/>
              <w:left w:w="85" w:type="dxa"/>
              <w:bottom w:w="0" w:type="dxa"/>
              <w:right w:w="85" w:type="dxa"/>
            </w:tcMar>
          </w:tcPr>
          <w:p w14:paraId="452265D9"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64.6</w:t>
            </w:r>
          </w:p>
        </w:tc>
        <w:tc>
          <w:tcPr>
            <w:tcW w:w="938" w:type="dxa"/>
            <w:shd w:val="clear" w:color="auto" w:fill="FFFFFF"/>
            <w:tcMar>
              <w:top w:w="0" w:type="dxa"/>
              <w:left w:w="85" w:type="dxa"/>
              <w:bottom w:w="0" w:type="dxa"/>
              <w:right w:w="85" w:type="dxa"/>
            </w:tcMar>
          </w:tcPr>
          <w:p w14:paraId="53AA0182"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1,631.4</w:t>
            </w:r>
          </w:p>
        </w:tc>
      </w:tr>
      <w:tr w:rsidR="00E87995" w:rsidRPr="009E06AA" w14:paraId="2926E00D" w14:textId="77777777" w:rsidTr="00B55F24">
        <w:trPr>
          <w:trHeight w:val="283"/>
        </w:trPr>
        <w:tc>
          <w:tcPr>
            <w:tcW w:w="851" w:type="dxa"/>
            <w:shd w:val="clear" w:color="auto" w:fill="FFFFFF"/>
            <w:tcMar>
              <w:top w:w="0" w:type="dxa"/>
              <w:left w:w="85" w:type="dxa"/>
              <w:bottom w:w="0" w:type="dxa"/>
              <w:right w:w="85" w:type="dxa"/>
            </w:tcMar>
          </w:tcPr>
          <w:p w14:paraId="3744A996"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1982</w:t>
            </w:r>
          </w:p>
        </w:tc>
        <w:tc>
          <w:tcPr>
            <w:tcW w:w="2082" w:type="dxa"/>
            <w:shd w:val="clear" w:color="auto" w:fill="FFFFFF"/>
            <w:tcMar>
              <w:top w:w="0" w:type="dxa"/>
              <w:left w:w="85" w:type="dxa"/>
              <w:bottom w:w="0" w:type="dxa"/>
              <w:right w:w="85" w:type="dxa"/>
            </w:tcMar>
          </w:tcPr>
          <w:p w14:paraId="602AB3A3"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984.9</w:t>
            </w:r>
          </w:p>
        </w:tc>
        <w:tc>
          <w:tcPr>
            <w:tcW w:w="2584" w:type="dxa"/>
            <w:shd w:val="clear" w:color="auto" w:fill="FFFFFF"/>
            <w:tcMar>
              <w:top w:w="0" w:type="dxa"/>
              <w:left w:w="85" w:type="dxa"/>
              <w:bottom w:w="0" w:type="dxa"/>
              <w:right w:w="85" w:type="dxa"/>
            </w:tcMar>
          </w:tcPr>
          <w:p w14:paraId="613A4D61"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937.7</w:t>
            </w:r>
          </w:p>
        </w:tc>
        <w:tc>
          <w:tcPr>
            <w:tcW w:w="2039" w:type="dxa"/>
            <w:shd w:val="clear" w:color="auto" w:fill="FFFFFF"/>
            <w:tcMar>
              <w:top w:w="0" w:type="dxa"/>
              <w:left w:w="85" w:type="dxa"/>
              <w:bottom w:w="0" w:type="dxa"/>
              <w:right w:w="85" w:type="dxa"/>
            </w:tcMar>
          </w:tcPr>
          <w:p w14:paraId="14B761ED"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104.2</w:t>
            </w:r>
          </w:p>
        </w:tc>
        <w:tc>
          <w:tcPr>
            <w:tcW w:w="938" w:type="dxa"/>
            <w:shd w:val="clear" w:color="auto" w:fill="FFFFFF"/>
            <w:tcMar>
              <w:top w:w="0" w:type="dxa"/>
              <w:left w:w="85" w:type="dxa"/>
              <w:bottom w:w="0" w:type="dxa"/>
              <w:right w:w="85" w:type="dxa"/>
            </w:tcMar>
          </w:tcPr>
          <w:p w14:paraId="5A3472D9"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2,026.8</w:t>
            </w:r>
          </w:p>
        </w:tc>
      </w:tr>
      <w:tr w:rsidR="00E87995" w:rsidRPr="009E06AA" w14:paraId="0651712F" w14:textId="77777777" w:rsidTr="00B55F24">
        <w:trPr>
          <w:trHeight w:val="283"/>
        </w:trPr>
        <w:tc>
          <w:tcPr>
            <w:tcW w:w="851" w:type="dxa"/>
            <w:shd w:val="clear" w:color="auto" w:fill="FFFFFF"/>
            <w:tcMar>
              <w:top w:w="0" w:type="dxa"/>
              <w:left w:w="85" w:type="dxa"/>
              <w:bottom w:w="0" w:type="dxa"/>
              <w:right w:w="85" w:type="dxa"/>
            </w:tcMar>
          </w:tcPr>
          <w:p w14:paraId="536E17CE"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1983</w:t>
            </w:r>
          </w:p>
        </w:tc>
        <w:tc>
          <w:tcPr>
            <w:tcW w:w="2082" w:type="dxa"/>
            <w:shd w:val="clear" w:color="auto" w:fill="FFFFFF"/>
            <w:tcMar>
              <w:top w:w="0" w:type="dxa"/>
              <w:left w:w="85" w:type="dxa"/>
              <w:bottom w:w="0" w:type="dxa"/>
              <w:right w:w="85" w:type="dxa"/>
            </w:tcMar>
          </w:tcPr>
          <w:p w14:paraId="419425CF"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984.9</w:t>
            </w:r>
          </w:p>
        </w:tc>
        <w:tc>
          <w:tcPr>
            <w:tcW w:w="2584" w:type="dxa"/>
            <w:shd w:val="clear" w:color="auto" w:fill="FFFFFF"/>
            <w:tcMar>
              <w:top w:w="0" w:type="dxa"/>
              <w:left w:w="85" w:type="dxa"/>
              <w:bottom w:w="0" w:type="dxa"/>
              <w:right w:w="85" w:type="dxa"/>
            </w:tcMar>
          </w:tcPr>
          <w:p w14:paraId="6B7B4638"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1,017.6</w:t>
            </w:r>
          </w:p>
        </w:tc>
        <w:tc>
          <w:tcPr>
            <w:tcW w:w="2039" w:type="dxa"/>
            <w:shd w:val="clear" w:color="auto" w:fill="FFFFFF"/>
            <w:tcMar>
              <w:top w:w="0" w:type="dxa"/>
              <w:left w:w="85" w:type="dxa"/>
              <w:bottom w:w="0" w:type="dxa"/>
              <w:right w:w="85" w:type="dxa"/>
            </w:tcMar>
          </w:tcPr>
          <w:p w14:paraId="7341D23E"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113.1</w:t>
            </w:r>
          </w:p>
        </w:tc>
        <w:tc>
          <w:tcPr>
            <w:tcW w:w="938" w:type="dxa"/>
            <w:shd w:val="clear" w:color="auto" w:fill="FFFFFF"/>
            <w:tcMar>
              <w:top w:w="0" w:type="dxa"/>
              <w:left w:w="85" w:type="dxa"/>
              <w:bottom w:w="0" w:type="dxa"/>
              <w:right w:w="85" w:type="dxa"/>
            </w:tcMar>
          </w:tcPr>
          <w:p w14:paraId="3F2B9720"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2,115.7</w:t>
            </w:r>
          </w:p>
        </w:tc>
      </w:tr>
      <w:tr w:rsidR="00E87995" w:rsidRPr="009E06AA" w14:paraId="02BF7490" w14:textId="77777777" w:rsidTr="00B55F24">
        <w:trPr>
          <w:trHeight w:val="283"/>
        </w:trPr>
        <w:tc>
          <w:tcPr>
            <w:tcW w:w="851" w:type="dxa"/>
            <w:shd w:val="clear" w:color="auto" w:fill="FFFFFF"/>
            <w:tcMar>
              <w:top w:w="0" w:type="dxa"/>
              <w:left w:w="85" w:type="dxa"/>
              <w:bottom w:w="0" w:type="dxa"/>
              <w:right w:w="85" w:type="dxa"/>
            </w:tcMar>
          </w:tcPr>
          <w:p w14:paraId="7D6FC148"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1984</w:t>
            </w:r>
          </w:p>
        </w:tc>
        <w:tc>
          <w:tcPr>
            <w:tcW w:w="2082" w:type="dxa"/>
            <w:shd w:val="clear" w:color="auto" w:fill="FFFFFF"/>
            <w:tcMar>
              <w:top w:w="0" w:type="dxa"/>
              <w:left w:w="85" w:type="dxa"/>
              <w:bottom w:w="0" w:type="dxa"/>
              <w:right w:w="85" w:type="dxa"/>
            </w:tcMar>
          </w:tcPr>
          <w:p w14:paraId="4356E39D"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1,156.5</w:t>
            </w:r>
          </w:p>
        </w:tc>
        <w:tc>
          <w:tcPr>
            <w:tcW w:w="2584" w:type="dxa"/>
            <w:shd w:val="clear" w:color="auto" w:fill="FFFFFF"/>
            <w:tcMar>
              <w:top w:w="0" w:type="dxa"/>
              <w:left w:w="85" w:type="dxa"/>
              <w:bottom w:w="0" w:type="dxa"/>
              <w:right w:w="85" w:type="dxa"/>
            </w:tcMar>
          </w:tcPr>
          <w:p w14:paraId="7766CCA2"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943.2</w:t>
            </w:r>
          </w:p>
        </w:tc>
        <w:tc>
          <w:tcPr>
            <w:tcW w:w="2039" w:type="dxa"/>
            <w:shd w:val="clear" w:color="auto" w:fill="FFFFFF"/>
            <w:tcMar>
              <w:top w:w="0" w:type="dxa"/>
              <w:left w:w="85" w:type="dxa"/>
              <w:bottom w:w="0" w:type="dxa"/>
              <w:right w:w="85" w:type="dxa"/>
            </w:tcMar>
          </w:tcPr>
          <w:p w14:paraId="3DC55172"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104.8</w:t>
            </w:r>
          </w:p>
        </w:tc>
        <w:tc>
          <w:tcPr>
            <w:tcW w:w="938" w:type="dxa"/>
            <w:shd w:val="clear" w:color="auto" w:fill="FFFFFF"/>
            <w:tcMar>
              <w:top w:w="0" w:type="dxa"/>
              <w:left w:w="85" w:type="dxa"/>
              <w:bottom w:w="0" w:type="dxa"/>
              <w:right w:w="85" w:type="dxa"/>
            </w:tcMar>
          </w:tcPr>
          <w:p w14:paraId="55D26026"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2,204.5</w:t>
            </w:r>
          </w:p>
        </w:tc>
      </w:tr>
      <w:tr w:rsidR="00E87995" w:rsidRPr="009E06AA" w14:paraId="493DCF22" w14:textId="77777777" w:rsidTr="00B55F24">
        <w:trPr>
          <w:trHeight w:val="283"/>
        </w:trPr>
        <w:tc>
          <w:tcPr>
            <w:tcW w:w="851" w:type="dxa"/>
            <w:shd w:val="clear" w:color="auto" w:fill="FFFFFF"/>
            <w:tcMar>
              <w:top w:w="0" w:type="dxa"/>
              <w:left w:w="85" w:type="dxa"/>
              <w:bottom w:w="0" w:type="dxa"/>
              <w:right w:w="85" w:type="dxa"/>
            </w:tcMar>
          </w:tcPr>
          <w:p w14:paraId="05E77B3A"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1985</w:t>
            </w:r>
          </w:p>
        </w:tc>
        <w:tc>
          <w:tcPr>
            <w:tcW w:w="2082" w:type="dxa"/>
            <w:shd w:val="clear" w:color="auto" w:fill="FFFFFF"/>
            <w:tcMar>
              <w:top w:w="0" w:type="dxa"/>
              <w:left w:w="85" w:type="dxa"/>
              <w:bottom w:w="0" w:type="dxa"/>
              <w:right w:w="85" w:type="dxa"/>
            </w:tcMar>
          </w:tcPr>
          <w:p w14:paraId="1C6F1B6B"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1,259.1</w:t>
            </w:r>
          </w:p>
        </w:tc>
        <w:tc>
          <w:tcPr>
            <w:tcW w:w="2584" w:type="dxa"/>
            <w:shd w:val="clear" w:color="auto" w:fill="FFFFFF"/>
            <w:tcMar>
              <w:top w:w="0" w:type="dxa"/>
              <w:left w:w="85" w:type="dxa"/>
              <w:bottom w:w="0" w:type="dxa"/>
              <w:right w:w="85" w:type="dxa"/>
            </w:tcMar>
          </w:tcPr>
          <w:p w14:paraId="6D7B9CF1"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930.9</w:t>
            </w:r>
          </w:p>
        </w:tc>
        <w:tc>
          <w:tcPr>
            <w:tcW w:w="2039" w:type="dxa"/>
            <w:shd w:val="clear" w:color="auto" w:fill="FFFFFF"/>
            <w:tcMar>
              <w:top w:w="0" w:type="dxa"/>
              <w:left w:w="85" w:type="dxa"/>
              <w:bottom w:w="0" w:type="dxa"/>
              <w:right w:w="85" w:type="dxa"/>
            </w:tcMar>
          </w:tcPr>
          <w:p w14:paraId="3A40CCA3"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103.4</w:t>
            </w:r>
          </w:p>
        </w:tc>
        <w:tc>
          <w:tcPr>
            <w:tcW w:w="938" w:type="dxa"/>
            <w:shd w:val="clear" w:color="auto" w:fill="FFFFFF"/>
            <w:tcMar>
              <w:top w:w="0" w:type="dxa"/>
              <w:left w:w="85" w:type="dxa"/>
              <w:bottom w:w="0" w:type="dxa"/>
              <w:right w:w="85" w:type="dxa"/>
            </w:tcMar>
          </w:tcPr>
          <w:p w14:paraId="62F76DD7"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2,293.4</w:t>
            </w:r>
          </w:p>
        </w:tc>
      </w:tr>
      <w:tr w:rsidR="00E87995" w:rsidRPr="009E06AA" w14:paraId="4D9DE47B" w14:textId="77777777" w:rsidTr="00B55F24">
        <w:trPr>
          <w:trHeight w:val="283"/>
        </w:trPr>
        <w:tc>
          <w:tcPr>
            <w:tcW w:w="851" w:type="dxa"/>
            <w:shd w:val="clear" w:color="auto" w:fill="FFFFFF"/>
            <w:tcMar>
              <w:top w:w="0" w:type="dxa"/>
              <w:left w:w="85" w:type="dxa"/>
              <w:bottom w:w="0" w:type="dxa"/>
              <w:right w:w="85" w:type="dxa"/>
            </w:tcMar>
          </w:tcPr>
          <w:p w14:paraId="6340391F"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1986</w:t>
            </w:r>
          </w:p>
        </w:tc>
        <w:tc>
          <w:tcPr>
            <w:tcW w:w="2082" w:type="dxa"/>
            <w:shd w:val="clear" w:color="auto" w:fill="FFFFFF"/>
            <w:tcMar>
              <w:top w:w="0" w:type="dxa"/>
              <w:left w:w="85" w:type="dxa"/>
              <w:bottom w:w="0" w:type="dxa"/>
              <w:right w:w="85" w:type="dxa"/>
            </w:tcMar>
          </w:tcPr>
          <w:p w14:paraId="31DC3813"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1,259.1</w:t>
            </w:r>
          </w:p>
        </w:tc>
        <w:tc>
          <w:tcPr>
            <w:tcW w:w="2584" w:type="dxa"/>
            <w:shd w:val="clear" w:color="auto" w:fill="FFFFFF"/>
            <w:tcMar>
              <w:top w:w="0" w:type="dxa"/>
              <w:left w:w="85" w:type="dxa"/>
              <w:bottom w:w="0" w:type="dxa"/>
              <w:right w:w="85" w:type="dxa"/>
            </w:tcMar>
          </w:tcPr>
          <w:p w14:paraId="685FF443"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1,010.9</w:t>
            </w:r>
          </w:p>
        </w:tc>
        <w:tc>
          <w:tcPr>
            <w:tcW w:w="2039" w:type="dxa"/>
            <w:shd w:val="clear" w:color="auto" w:fill="FFFFFF"/>
            <w:tcMar>
              <w:top w:w="0" w:type="dxa"/>
              <w:left w:w="85" w:type="dxa"/>
              <w:bottom w:w="0" w:type="dxa"/>
              <w:right w:w="85" w:type="dxa"/>
            </w:tcMar>
          </w:tcPr>
          <w:p w14:paraId="442A937E"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112.3</w:t>
            </w:r>
          </w:p>
        </w:tc>
        <w:tc>
          <w:tcPr>
            <w:tcW w:w="938" w:type="dxa"/>
            <w:shd w:val="clear" w:color="auto" w:fill="FFFFFF"/>
            <w:tcMar>
              <w:top w:w="0" w:type="dxa"/>
              <w:left w:w="85" w:type="dxa"/>
              <w:bottom w:w="0" w:type="dxa"/>
              <w:right w:w="85" w:type="dxa"/>
            </w:tcMar>
          </w:tcPr>
          <w:p w14:paraId="30692ADB"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2,382.3</w:t>
            </w:r>
          </w:p>
        </w:tc>
      </w:tr>
      <w:tr w:rsidR="00E87995" w:rsidRPr="009E06AA" w14:paraId="787AC4D3" w14:textId="77777777" w:rsidTr="00B55F24">
        <w:trPr>
          <w:trHeight w:val="283"/>
        </w:trPr>
        <w:tc>
          <w:tcPr>
            <w:tcW w:w="851" w:type="dxa"/>
            <w:shd w:val="clear" w:color="auto" w:fill="FFFFFF"/>
            <w:tcMar>
              <w:top w:w="0" w:type="dxa"/>
              <w:left w:w="85" w:type="dxa"/>
              <w:bottom w:w="0" w:type="dxa"/>
              <w:right w:w="85" w:type="dxa"/>
            </w:tcMar>
          </w:tcPr>
          <w:p w14:paraId="3D53231E"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1987</w:t>
            </w:r>
          </w:p>
        </w:tc>
        <w:tc>
          <w:tcPr>
            <w:tcW w:w="2082" w:type="dxa"/>
            <w:shd w:val="clear" w:color="auto" w:fill="FFFFFF"/>
            <w:tcMar>
              <w:top w:w="0" w:type="dxa"/>
              <w:left w:w="85" w:type="dxa"/>
              <w:bottom w:w="0" w:type="dxa"/>
              <w:right w:w="85" w:type="dxa"/>
            </w:tcMar>
          </w:tcPr>
          <w:p w14:paraId="397706F9"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1,342.7</w:t>
            </w:r>
          </w:p>
        </w:tc>
        <w:tc>
          <w:tcPr>
            <w:tcW w:w="2584" w:type="dxa"/>
            <w:shd w:val="clear" w:color="auto" w:fill="FFFFFF"/>
            <w:tcMar>
              <w:top w:w="0" w:type="dxa"/>
              <w:left w:w="85" w:type="dxa"/>
              <w:bottom w:w="0" w:type="dxa"/>
              <w:right w:w="85" w:type="dxa"/>
            </w:tcMar>
          </w:tcPr>
          <w:p w14:paraId="26534677"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1,015.6</w:t>
            </w:r>
          </w:p>
        </w:tc>
        <w:tc>
          <w:tcPr>
            <w:tcW w:w="2039" w:type="dxa"/>
            <w:shd w:val="clear" w:color="auto" w:fill="FFFFFF"/>
            <w:tcMar>
              <w:top w:w="0" w:type="dxa"/>
              <w:left w:w="85" w:type="dxa"/>
              <w:bottom w:w="0" w:type="dxa"/>
              <w:right w:w="85" w:type="dxa"/>
            </w:tcMar>
          </w:tcPr>
          <w:p w14:paraId="63C30C0F"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112.8</w:t>
            </w:r>
          </w:p>
        </w:tc>
        <w:tc>
          <w:tcPr>
            <w:tcW w:w="938" w:type="dxa"/>
            <w:shd w:val="clear" w:color="auto" w:fill="FFFFFF"/>
            <w:tcMar>
              <w:top w:w="0" w:type="dxa"/>
              <w:left w:w="85" w:type="dxa"/>
              <w:bottom w:w="0" w:type="dxa"/>
              <w:right w:w="85" w:type="dxa"/>
            </w:tcMar>
          </w:tcPr>
          <w:p w14:paraId="4CB28A91"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2,471.1</w:t>
            </w:r>
          </w:p>
        </w:tc>
      </w:tr>
      <w:tr w:rsidR="00E87995" w:rsidRPr="009E06AA" w14:paraId="01CA5003" w14:textId="77777777" w:rsidTr="00B55F24">
        <w:trPr>
          <w:trHeight w:val="283"/>
        </w:trPr>
        <w:tc>
          <w:tcPr>
            <w:tcW w:w="851" w:type="dxa"/>
            <w:shd w:val="clear" w:color="auto" w:fill="FFFFFF"/>
            <w:tcMar>
              <w:top w:w="0" w:type="dxa"/>
              <w:left w:w="85" w:type="dxa"/>
              <w:bottom w:w="0" w:type="dxa"/>
              <w:right w:w="85" w:type="dxa"/>
            </w:tcMar>
          </w:tcPr>
          <w:p w14:paraId="18DDBEED"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1988</w:t>
            </w:r>
          </w:p>
        </w:tc>
        <w:tc>
          <w:tcPr>
            <w:tcW w:w="2082" w:type="dxa"/>
            <w:shd w:val="clear" w:color="auto" w:fill="FFFFFF"/>
            <w:tcMar>
              <w:top w:w="0" w:type="dxa"/>
              <w:left w:w="85" w:type="dxa"/>
              <w:bottom w:w="0" w:type="dxa"/>
              <w:right w:w="85" w:type="dxa"/>
            </w:tcMar>
          </w:tcPr>
          <w:p w14:paraId="0DF24FB6"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1,432.6</w:t>
            </w:r>
          </w:p>
        </w:tc>
        <w:tc>
          <w:tcPr>
            <w:tcW w:w="2584" w:type="dxa"/>
            <w:shd w:val="clear" w:color="auto" w:fill="FFFFFF"/>
            <w:tcMar>
              <w:top w:w="0" w:type="dxa"/>
              <w:left w:w="85" w:type="dxa"/>
              <w:bottom w:w="0" w:type="dxa"/>
              <w:right w:w="85" w:type="dxa"/>
            </w:tcMar>
          </w:tcPr>
          <w:p w14:paraId="23E8A2C8"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1,014.7</w:t>
            </w:r>
          </w:p>
        </w:tc>
        <w:tc>
          <w:tcPr>
            <w:tcW w:w="2039" w:type="dxa"/>
            <w:shd w:val="clear" w:color="auto" w:fill="FFFFFF"/>
            <w:tcMar>
              <w:top w:w="0" w:type="dxa"/>
              <w:left w:w="85" w:type="dxa"/>
              <w:bottom w:w="0" w:type="dxa"/>
              <w:right w:w="85" w:type="dxa"/>
            </w:tcMar>
          </w:tcPr>
          <w:p w14:paraId="2EB985D5"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112.7</w:t>
            </w:r>
          </w:p>
        </w:tc>
        <w:tc>
          <w:tcPr>
            <w:tcW w:w="938" w:type="dxa"/>
            <w:shd w:val="clear" w:color="auto" w:fill="FFFFFF"/>
            <w:tcMar>
              <w:top w:w="0" w:type="dxa"/>
              <w:left w:w="85" w:type="dxa"/>
              <w:bottom w:w="0" w:type="dxa"/>
              <w:right w:w="85" w:type="dxa"/>
            </w:tcMar>
          </w:tcPr>
          <w:p w14:paraId="1E50188B"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2,560.0</w:t>
            </w:r>
          </w:p>
        </w:tc>
      </w:tr>
      <w:tr w:rsidR="00E87995" w:rsidRPr="009E06AA" w14:paraId="2CC766DE" w14:textId="77777777" w:rsidTr="00B55F24">
        <w:trPr>
          <w:trHeight w:val="283"/>
        </w:trPr>
        <w:tc>
          <w:tcPr>
            <w:tcW w:w="851" w:type="dxa"/>
            <w:shd w:val="clear" w:color="auto" w:fill="FFFFFF"/>
            <w:tcMar>
              <w:top w:w="0" w:type="dxa"/>
              <w:left w:w="85" w:type="dxa"/>
              <w:bottom w:w="0" w:type="dxa"/>
              <w:right w:w="85" w:type="dxa"/>
            </w:tcMar>
          </w:tcPr>
          <w:p w14:paraId="496C2974"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1989</w:t>
            </w:r>
          </w:p>
        </w:tc>
        <w:tc>
          <w:tcPr>
            <w:tcW w:w="2082" w:type="dxa"/>
            <w:shd w:val="clear" w:color="auto" w:fill="FFFFFF"/>
            <w:tcMar>
              <w:top w:w="0" w:type="dxa"/>
              <w:left w:w="85" w:type="dxa"/>
              <w:bottom w:w="0" w:type="dxa"/>
              <w:right w:w="85" w:type="dxa"/>
            </w:tcMar>
          </w:tcPr>
          <w:p w14:paraId="557F20FB"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1,432.6</w:t>
            </w:r>
          </w:p>
        </w:tc>
        <w:tc>
          <w:tcPr>
            <w:tcW w:w="2584" w:type="dxa"/>
            <w:shd w:val="clear" w:color="auto" w:fill="FFFFFF"/>
            <w:tcMar>
              <w:top w:w="0" w:type="dxa"/>
              <w:left w:w="85" w:type="dxa"/>
              <w:bottom w:w="0" w:type="dxa"/>
              <w:right w:w="85" w:type="dxa"/>
            </w:tcMar>
          </w:tcPr>
          <w:p w14:paraId="092125DD"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1,094.7</w:t>
            </w:r>
          </w:p>
        </w:tc>
        <w:tc>
          <w:tcPr>
            <w:tcW w:w="2039" w:type="dxa"/>
            <w:shd w:val="clear" w:color="auto" w:fill="FFFFFF"/>
            <w:tcMar>
              <w:top w:w="0" w:type="dxa"/>
              <w:left w:w="85" w:type="dxa"/>
              <w:bottom w:w="0" w:type="dxa"/>
              <w:right w:w="85" w:type="dxa"/>
            </w:tcMar>
          </w:tcPr>
          <w:p w14:paraId="57B6393E"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121.6</w:t>
            </w:r>
          </w:p>
        </w:tc>
        <w:tc>
          <w:tcPr>
            <w:tcW w:w="938" w:type="dxa"/>
            <w:shd w:val="clear" w:color="auto" w:fill="FFFFFF"/>
            <w:tcMar>
              <w:top w:w="0" w:type="dxa"/>
              <w:left w:w="85" w:type="dxa"/>
              <w:bottom w:w="0" w:type="dxa"/>
              <w:right w:w="85" w:type="dxa"/>
            </w:tcMar>
          </w:tcPr>
          <w:p w14:paraId="04BEF4F1"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2,648.9</w:t>
            </w:r>
          </w:p>
        </w:tc>
      </w:tr>
      <w:tr w:rsidR="00E87995" w:rsidRPr="009E06AA" w14:paraId="1CB448BD" w14:textId="77777777" w:rsidTr="00B55F24">
        <w:trPr>
          <w:trHeight w:val="283"/>
        </w:trPr>
        <w:tc>
          <w:tcPr>
            <w:tcW w:w="851" w:type="dxa"/>
            <w:shd w:val="clear" w:color="auto" w:fill="FFFFFF"/>
            <w:tcMar>
              <w:top w:w="0" w:type="dxa"/>
              <w:left w:w="85" w:type="dxa"/>
              <w:bottom w:w="0" w:type="dxa"/>
              <w:right w:w="85" w:type="dxa"/>
            </w:tcMar>
          </w:tcPr>
          <w:p w14:paraId="78C217A7"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1990</w:t>
            </w:r>
          </w:p>
        </w:tc>
        <w:tc>
          <w:tcPr>
            <w:tcW w:w="2082" w:type="dxa"/>
            <w:shd w:val="clear" w:color="auto" w:fill="FFFFFF"/>
            <w:tcMar>
              <w:top w:w="0" w:type="dxa"/>
              <w:left w:w="85" w:type="dxa"/>
              <w:bottom w:w="0" w:type="dxa"/>
              <w:right w:w="85" w:type="dxa"/>
            </w:tcMar>
          </w:tcPr>
          <w:p w14:paraId="49126D09"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1,432.6</w:t>
            </w:r>
          </w:p>
        </w:tc>
        <w:tc>
          <w:tcPr>
            <w:tcW w:w="2584" w:type="dxa"/>
            <w:shd w:val="clear" w:color="auto" w:fill="FFFFFF"/>
            <w:tcMar>
              <w:top w:w="0" w:type="dxa"/>
              <w:left w:w="85" w:type="dxa"/>
              <w:bottom w:w="0" w:type="dxa"/>
              <w:right w:w="85" w:type="dxa"/>
            </w:tcMar>
          </w:tcPr>
          <w:p w14:paraId="62EDC66A"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1,174.7</w:t>
            </w:r>
          </w:p>
        </w:tc>
        <w:tc>
          <w:tcPr>
            <w:tcW w:w="2039" w:type="dxa"/>
            <w:shd w:val="clear" w:color="auto" w:fill="FFFFFF"/>
            <w:tcMar>
              <w:top w:w="0" w:type="dxa"/>
              <w:left w:w="85" w:type="dxa"/>
              <w:bottom w:w="0" w:type="dxa"/>
              <w:right w:w="85" w:type="dxa"/>
            </w:tcMar>
          </w:tcPr>
          <w:p w14:paraId="56E1A9AC"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130.5</w:t>
            </w:r>
          </w:p>
        </w:tc>
        <w:tc>
          <w:tcPr>
            <w:tcW w:w="938" w:type="dxa"/>
            <w:shd w:val="clear" w:color="auto" w:fill="FFFFFF"/>
            <w:tcMar>
              <w:top w:w="0" w:type="dxa"/>
              <w:left w:w="85" w:type="dxa"/>
              <w:bottom w:w="0" w:type="dxa"/>
              <w:right w:w="85" w:type="dxa"/>
            </w:tcMar>
          </w:tcPr>
          <w:p w14:paraId="2A370B2B"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2,737.8</w:t>
            </w:r>
          </w:p>
        </w:tc>
      </w:tr>
      <w:tr w:rsidR="00E87995" w:rsidRPr="009E06AA" w14:paraId="0CA5541C" w14:textId="77777777" w:rsidTr="00B55F24">
        <w:trPr>
          <w:trHeight w:val="283"/>
        </w:trPr>
        <w:tc>
          <w:tcPr>
            <w:tcW w:w="851" w:type="dxa"/>
            <w:shd w:val="clear" w:color="auto" w:fill="FFFFFF"/>
            <w:tcMar>
              <w:top w:w="0" w:type="dxa"/>
              <w:left w:w="85" w:type="dxa"/>
              <w:bottom w:w="0" w:type="dxa"/>
              <w:right w:w="85" w:type="dxa"/>
            </w:tcMar>
          </w:tcPr>
          <w:p w14:paraId="4B574583"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1991</w:t>
            </w:r>
          </w:p>
        </w:tc>
        <w:tc>
          <w:tcPr>
            <w:tcW w:w="2082" w:type="dxa"/>
            <w:shd w:val="clear" w:color="auto" w:fill="FFFFFF"/>
            <w:tcMar>
              <w:top w:w="0" w:type="dxa"/>
              <w:left w:w="85" w:type="dxa"/>
              <w:bottom w:w="0" w:type="dxa"/>
              <w:right w:w="85" w:type="dxa"/>
            </w:tcMar>
          </w:tcPr>
          <w:p w14:paraId="6E129E09"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1,432.6</w:t>
            </w:r>
          </w:p>
        </w:tc>
        <w:tc>
          <w:tcPr>
            <w:tcW w:w="2584" w:type="dxa"/>
            <w:shd w:val="clear" w:color="auto" w:fill="FFFFFF"/>
            <w:tcMar>
              <w:top w:w="0" w:type="dxa"/>
              <w:left w:w="85" w:type="dxa"/>
              <w:bottom w:w="0" w:type="dxa"/>
              <w:right w:w="85" w:type="dxa"/>
            </w:tcMar>
          </w:tcPr>
          <w:p w14:paraId="5B45AB3D"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1,254.7</w:t>
            </w:r>
          </w:p>
        </w:tc>
        <w:tc>
          <w:tcPr>
            <w:tcW w:w="2039" w:type="dxa"/>
            <w:shd w:val="clear" w:color="auto" w:fill="FFFFFF"/>
            <w:tcMar>
              <w:top w:w="0" w:type="dxa"/>
              <w:left w:w="85" w:type="dxa"/>
              <w:bottom w:w="0" w:type="dxa"/>
              <w:right w:w="85" w:type="dxa"/>
            </w:tcMar>
          </w:tcPr>
          <w:p w14:paraId="1AC739A0"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139.4</w:t>
            </w:r>
          </w:p>
        </w:tc>
        <w:tc>
          <w:tcPr>
            <w:tcW w:w="938" w:type="dxa"/>
            <w:shd w:val="clear" w:color="auto" w:fill="FFFFFF"/>
            <w:tcMar>
              <w:top w:w="0" w:type="dxa"/>
              <w:left w:w="85" w:type="dxa"/>
              <w:bottom w:w="0" w:type="dxa"/>
              <w:right w:w="85" w:type="dxa"/>
            </w:tcMar>
          </w:tcPr>
          <w:p w14:paraId="67FA6944"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2,826.6</w:t>
            </w:r>
          </w:p>
        </w:tc>
      </w:tr>
      <w:tr w:rsidR="00E87995" w:rsidRPr="009E06AA" w14:paraId="355AE832" w14:textId="77777777" w:rsidTr="00B55F24">
        <w:trPr>
          <w:trHeight w:val="283"/>
        </w:trPr>
        <w:tc>
          <w:tcPr>
            <w:tcW w:w="851" w:type="dxa"/>
            <w:shd w:val="clear" w:color="auto" w:fill="FFFFFF"/>
            <w:tcMar>
              <w:top w:w="0" w:type="dxa"/>
              <w:left w:w="85" w:type="dxa"/>
              <w:bottom w:w="0" w:type="dxa"/>
              <w:right w:w="85" w:type="dxa"/>
            </w:tcMar>
          </w:tcPr>
          <w:p w14:paraId="3D987A0F"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1992</w:t>
            </w:r>
          </w:p>
        </w:tc>
        <w:tc>
          <w:tcPr>
            <w:tcW w:w="2082" w:type="dxa"/>
            <w:shd w:val="clear" w:color="auto" w:fill="FFFFFF"/>
            <w:tcMar>
              <w:top w:w="0" w:type="dxa"/>
              <w:left w:w="85" w:type="dxa"/>
              <w:bottom w:w="0" w:type="dxa"/>
              <w:right w:w="85" w:type="dxa"/>
            </w:tcMar>
          </w:tcPr>
          <w:p w14:paraId="1D8F5AA8"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1,432.6</w:t>
            </w:r>
          </w:p>
        </w:tc>
        <w:tc>
          <w:tcPr>
            <w:tcW w:w="2584" w:type="dxa"/>
            <w:shd w:val="clear" w:color="auto" w:fill="FFFFFF"/>
            <w:tcMar>
              <w:top w:w="0" w:type="dxa"/>
              <w:left w:w="85" w:type="dxa"/>
              <w:bottom w:w="0" w:type="dxa"/>
              <w:right w:w="85" w:type="dxa"/>
            </w:tcMar>
          </w:tcPr>
          <w:p w14:paraId="1F95A444"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1,334.7</w:t>
            </w:r>
          </w:p>
        </w:tc>
        <w:tc>
          <w:tcPr>
            <w:tcW w:w="2039" w:type="dxa"/>
            <w:shd w:val="clear" w:color="auto" w:fill="FFFFFF"/>
            <w:tcMar>
              <w:top w:w="0" w:type="dxa"/>
              <w:left w:w="85" w:type="dxa"/>
              <w:bottom w:w="0" w:type="dxa"/>
              <w:right w:w="85" w:type="dxa"/>
            </w:tcMar>
          </w:tcPr>
          <w:p w14:paraId="4ACB983F"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148.3</w:t>
            </w:r>
          </w:p>
        </w:tc>
        <w:tc>
          <w:tcPr>
            <w:tcW w:w="938" w:type="dxa"/>
            <w:shd w:val="clear" w:color="auto" w:fill="FFFFFF"/>
            <w:tcMar>
              <w:top w:w="0" w:type="dxa"/>
              <w:left w:w="85" w:type="dxa"/>
              <w:bottom w:w="0" w:type="dxa"/>
              <w:right w:w="85" w:type="dxa"/>
            </w:tcMar>
          </w:tcPr>
          <w:p w14:paraId="7F9C9707"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2,915.5</w:t>
            </w:r>
          </w:p>
        </w:tc>
      </w:tr>
      <w:tr w:rsidR="00E87995" w:rsidRPr="009E06AA" w14:paraId="031C9DBC" w14:textId="77777777" w:rsidTr="00B55F24">
        <w:trPr>
          <w:trHeight w:val="283"/>
        </w:trPr>
        <w:tc>
          <w:tcPr>
            <w:tcW w:w="851" w:type="dxa"/>
            <w:shd w:val="clear" w:color="auto" w:fill="FFFFFF"/>
            <w:tcMar>
              <w:top w:w="0" w:type="dxa"/>
              <w:left w:w="85" w:type="dxa"/>
              <w:bottom w:w="0" w:type="dxa"/>
              <w:right w:w="85" w:type="dxa"/>
            </w:tcMar>
          </w:tcPr>
          <w:p w14:paraId="7B8A9B5B"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1993</w:t>
            </w:r>
          </w:p>
        </w:tc>
        <w:tc>
          <w:tcPr>
            <w:tcW w:w="2082" w:type="dxa"/>
            <w:shd w:val="clear" w:color="auto" w:fill="FFFFFF"/>
            <w:tcMar>
              <w:top w:w="0" w:type="dxa"/>
              <w:left w:w="85" w:type="dxa"/>
              <w:bottom w:w="0" w:type="dxa"/>
              <w:right w:w="85" w:type="dxa"/>
            </w:tcMar>
          </w:tcPr>
          <w:p w14:paraId="0F76E00E"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1,650.5</w:t>
            </w:r>
          </w:p>
        </w:tc>
        <w:tc>
          <w:tcPr>
            <w:tcW w:w="2584" w:type="dxa"/>
            <w:shd w:val="clear" w:color="auto" w:fill="FFFFFF"/>
            <w:tcMar>
              <w:top w:w="0" w:type="dxa"/>
              <w:left w:w="85" w:type="dxa"/>
              <w:bottom w:w="0" w:type="dxa"/>
              <w:right w:w="85" w:type="dxa"/>
            </w:tcMar>
          </w:tcPr>
          <w:p w14:paraId="5E7E4570"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1,218.5</w:t>
            </w:r>
          </w:p>
        </w:tc>
        <w:tc>
          <w:tcPr>
            <w:tcW w:w="2039" w:type="dxa"/>
            <w:shd w:val="clear" w:color="auto" w:fill="FFFFFF"/>
            <w:tcMar>
              <w:top w:w="0" w:type="dxa"/>
              <w:left w:w="85" w:type="dxa"/>
              <w:bottom w:w="0" w:type="dxa"/>
              <w:right w:w="85" w:type="dxa"/>
            </w:tcMar>
          </w:tcPr>
          <w:p w14:paraId="2D3AB70D"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135.4</w:t>
            </w:r>
          </w:p>
        </w:tc>
        <w:tc>
          <w:tcPr>
            <w:tcW w:w="938" w:type="dxa"/>
            <w:shd w:val="clear" w:color="auto" w:fill="FFFFFF"/>
            <w:tcMar>
              <w:top w:w="0" w:type="dxa"/>
              <w:left w:w="85" w:type="dxa"/>
              <w:bottom w:w="0" w:type="dxa"/>
              <w:right w:w="85" w:type="dxa"/>
            </w:tcMar>
          </w:tcPr>
          <w:p w14:paraId="408D2DA3"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3,004.4</w:t>
            </w:r>
          </w:p>
        </w:tc>
      </w:tr>
      <w:tr w:rsidR="00E87995" w:rsidRPr="009E06AA" w14:paraId="1B3D4347" w14:textId="77777777" w:rsidTr="00B55F24">
        <w:trPr>
          <w:trHeight w:val="283"/>
        </w:trPr>
        <w:tc>
          <w:tcPr>
            <w:tcW w:w="851" w:type="dxa"/>
            <w:shd w:val="clear" w:color="auto" w:fill="FFFFFF"/>
            <w:tcMar>
              <w:top w:w="0" w:type="dxa"/>
              <w:left w:w="85" w:type="dxa"/>
              <w:bottom w:w="0" w:type="dxa"/>
              <w:right w:w="85" w:type="dxa"/>
            </w:tcMar>
          </w:tcPr>
          <w:p w14:paraId="7BDBEEC3"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1994</w:t>
            </w:r>
          </w:p>
        </w:tc>
        <w:tc>
          <w:tcPr>
            <w:tcW w:w="2082" w:type="dxa"/>
            <w:shd w:val="clear" w:color="auto" w:fill="FFFFFF"/>
            <w:tcMar>
              <w:top w:w="0" w:type="dxa"/>
              <w:left w:w="85" w:type="dxa"/>
              <w:bottom w:w="0" w:type="dxa"/>
              <w:right w:w="85" w:type="dxa"/>
            </w:tcMar>
          </w:tcPr>
          <w:p w14:paraId="3F63BB42"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1,687.5</w:t>
            </w:r>
          </w:p>
        </w:tc>
        <w:tc>
          <w:tcPr>
            <w:tcW w:w="2584" w:type="dxa"/>
            <w:shd w:val="clear" w:color="auto" w:fill="FFFFFF"/>
            <w:tcMar>
              <w:top w:w="0" w:type="dxa"/>
              <w:left w:w="85" w:type="dxa"/>
              <w:bottom w:w="0" w:type="dxa"/>
              <w:right w:w="85" w:type="dxa"/>
            </w:tcMar>
          </w:tcPr>
          <w:p w14:paraId="7013ACAA"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1,265.2</w:t>
            </w:r>
          </w:p>
        </w:tc>
        <w:tc>
          <w:tcPr>
            <w:tcW w:w="2039" w:type="dxa"/>
            <w:shd w:val="clear" w:color="auto" w:fill="FFFFFF"/>
            <w:tcMar>
              <w:top w:w="0" w:type="dxa"/>
              <w:left w:w="85" w:type="dxa"/>
              <w:bottom w:w="0" w:type="dxa"/>
              <w:right w:w="85" w:type="dxa"/>
            </w:tcMar>
          </w:tcPr>
          <w:p w14:paraId="3DD3DFDB"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140.6</w:t>
            </w:r>
          </w:p>
        </w:tc>
        <w:tc>
          <w:tcPr>
            <w:tcW w:w="938" w:type="dxa"/>
            <w:shd w:val="clear" w:color="auto" w:fill="FFFFFF"/>
            <w:tcMar>
              <w:top w:w="0" w:type="dxa"/>
              <w:left w:w="85" w:type="dxa"/>
              <w:bottom w:w="0" w:type="dxa"/>
              <w:right w:w="85" w:type="dxa"/>
            </w:tcMar>
          </w:tcPr>
          <w:p w14:paraId="043FB632"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3,093.2</w:t>
            </w:r>
          </w:p>
        </w:tc>
      </w:tr>
      <w:tr w:rsidR="00E87995" w:rsidRPr="009E06AA" w14:paraId="615EF584" w14:textId="77777777" w:rsidTr="00B55F24">
        <w:trPr>
          <w:trHeight w:val="283"/>
        </w:trPr>
        <w:tc>
          <w:tcPr>
            <w:tcW w:w="851" w:type="dxa"/>
            <w:shd w:val="clear" w:color="auto" w:fill="FFFFFF"/>
            <w:tcMar>
              <w:top w:w="0" w:type="dxa"/>
              <w:left w:w="85" w:type="dxa"/>
              <w:bottom w:w="0" w:type="dxa"/>
              <w:right w:w="85" w:type="dxa"/>
            </w:tcMar>
          </w:tcPr>
          <w:p w14:paraId="184ACD97"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1995</w:t>
            </w:r>
          </w:p>
        </w:tc>
        <w:tc>
          <w:tcPr>
            <w:tcW w:w="2082" w:type="dxa"/>
            <w:shd w:val="clear" w:color="auto" w:fill="FFFFFF"/>
            <w:tcMar>
              <w:top w:w="0" w:type="dxa"/>
              <w:left w:w="85" w:type="dxa"/>
              <w:bottom w:w="0" w:type="dxa"/>
              <w:right w:w="85" w:type="dxa"/>
            </w:tcMar>
          </w:tcPr>
          <w:p w14:paraId="08BDE8AF"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1,687.5</w:t>
            </w:r>
          </w:p>
        </w:tc>
        <w:tc>
          <w:tcPr>
            <w:tcW w:w="2584" w:type="dxa"/>
            <w:shd w:val="clear" w:color="auto" w:fill="FFFFFF"/>
            <w:tcMar>
              <w:top w:w="0" w:type="dxa"/>
              <w:left w:w="85" w:type="dxa"/>
              <w:bottom w:w="0" w:type="dxa"/>
              <w:right w:w="85" w:type="dxa"/>
            </w:tcMar>
          </w:tcPr>
          <w:p w14:paraId="78943858"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1,345.2</w:t>
            </w:r>
          </w:p>
        </w:tc>
        <w:tc>
          <w:tcPr>
            <w:tcW w:w="2039" w:type="dxa"/>
            <w:shd w:val="clear" w:color="auto" w:fill="FFFFFF"/>
            <w:tcMar>
              <w:top w:w="0" w:type="dxa"/>
              <w:left w:w="85" w:type="dxa"/>
              <w:bottom w:w="0" w:type="dxa"/>
              <w:right w:w="85" w:type="dxa"/>
            </w:tcMar>
          </w:tcPr>
          <w:p w14:paraId="69427FB4"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149.5</w:t>
            </w:r>
          </w:p>
        </w:tc>
        <w:tc>
          <w:tcPr>
            <w:tcW w:w="938" w:type="dxa"/>
            <w:shd w:val="clear" w:color="auto" w:fill="FFFFFF"/>
            <w:tcMar>
              <w:top w:w="0" w:type="dxa"/>
              <w:left w:w="85" w:type="dxa"/>
              <w:bottom w:w="0" w:type="dxa"/>
              <w:right w:w="85" w:type="dxa"/>
            </w:tcMar>
          </w:tcPr>
          <w:p w14:paraId="372A006C"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3,182.1</w:t>
            </w:r>
          </w:p>
        </w:tc>
      </w:tr>
      <w:tr w:rsidR="00E87995" w:rsidRPr="009E06AA" w14:paraId="44373287" w14:textId="77777777" w:rsidTr="00B55F24">
        <w:trPr>
          <w:trHeight w:val="283"/>
        </w:trPr>
        <w:tc>
          <w:tcPr>
            <w:tcW w:w="851" w:type="dxa"/>
            <w:shd w:val="clear" w:color="auto" w:fill="FFFFFF"/>
            <w:tcMar>
              <w:top w:w="0" w:type="dxa"/>
              <w:left w:w="85" w:type="dxa"/>
              <w:bottom w:w="0" w:type="dxa"/>
              <w:right w:w="85" w:type="dxa"/>
            </w:tcMar>
          </w:tcPr>
          <w:p w14:paraId="12FDB155"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1996</w:t>
            </w:r>
          </w:p>
        </w:tc>
        <w:tc>
          <w:tcPr>
            <w:tcW w:w="2082" w:type="dxa"/>
            <w:shd w:val="clear" w:color="auto" w:fill="FFFFFF"/>
            <w:tcMar>
              <w:top w:w="0" w:type="dxa"/>
              <w:left w:w="85" w:type="dxa"/>
              <w:bottom w:w="0" w:type="dxa"/>
              <w:right w:w="85" w:type="dxa"/>
            </w:tcMar>
          </w:tcPr>
          <w:p w14:paraId="2988BE55"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1,735.0</w:t>
            </w:r>
          </w:p>
        </w:tc>
        <w:tc>
          <w:tcPr>
            <w:tcW w:w="2584" w:type="dxa"/>
            <w:shd w:val="clear" w:color="auto" w:fill="FFFFFF"/>
            <w:tcMar>
              <w:top w:w="0" w:type="dxa"/>
              <w:left w:w="85" w:type="dxa"/>
              <w:bottom w:w="0" w:type="dxa"/>
              <w:right w:w="85" w:type="dxa"/>
            </w:tcMar>
          </w:tcPr>
          <w:p w14:paraId="7DFA7C0C"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1,186.0</w:t>
            </w:r>
          </w:p>
        </w:tc>
        <w:tc>
          <w:tcPr>
            <w:tcW w:w="2039" w:type="dxa"/>
            <w:shd w:val="clear" w:color="auto" w:fill="FFFFFF"/>
            <w:tcMar>
              <w:top w:w="0" w:type="dxa"/>
              <w:left w:w="85" w:type="dxa"/>
              <w:bottom w:w="0" w:type="dxa"/>
              <w:right w:w="85" w:type="dxa"/>
            </w:tcMar>
          </w:tcPr>
          <w:p w14:paraId="0D75C8E8"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122.1</w:t>
            </w:r>
          </w:p>
        </w:tc>
        <w:tc>
          <w:tcPr>
            <w:tcW w:w="938" w:type="dxa"/>
            <w:shd w:val="clear" w:color="auto" w:fill="FFFFFF"/>
            <w:tcMar>
              <w:top w:w="0" w:type="dxa"/>
              <w:left w:w="85" w:type="dxa"/>
              <w:bottom w:w="0" w:type="dxa"/>
              <w:right w:w="85" w:type="dxa"/>
            </w:tcMar>
          </w:tcPr>
          <w:p w14:paraId="7AA91929"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3,043.1</w:t>
            </w:r>
          </w:p>
        </w:tc>
      </w:tr>
      <w:tr w:rsidR="00E87995" w:rsidRPr="009E06AA" w14:paraId="3F4F04A9" w14:textId="77777777" w:rsidTr="00B55F24">
        <w:trPr>
          <w:trHeight w:val="283"/>
        </w:trPr>
        <w:tc>
          <w:tcPr>
            <w:tcW w:w="851" w:type="dxa"/>
            <w:shd w:val="clear" w:color="auto" w:fill="FFFFFF"/>
            <w:tcMar>
              <w:top w:w="0" w:type="dxa"/>
              <w:left w:w="85" w:type="dxa"/>
              <w:bottom w:w="0" w:type="dxa"/>
              <w:right w:w="85" w:type="dxa"/>
            </w:tcMar>
          </w:tcPr>
          <w:p w14:paraId="149A4FF8"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1997</w:t>
            </w:r>
          </w:p>
        </w:tc>
        <w:tc>
          <w:tcPr>
            <w:tcW w:w="2082" w:type="dxa"/>
            <w:shd w:val="clear" w:color="auto" w:fill="FFFFFF"/>
            <w:tcMar>
              <w:top w:w="0" w:type="dxa"/>
              <w:left w:w="85" w:type="dxa"/>
              <w:bottom w:w="0" w:type="dxa"/>
              <w:right w:w="85" w:type="dxa"/>
            </w:tcMar>
          </w:tcPr>
          <w:p w14:paraId="7EFA9849"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1,671.2</w:t>
            </w:r>
          </w:p>
        </w:tc>
        <w:tc>
          <w:tcPr>
            <w:tcW w:w="2584" w:type="dxa"/>
            <w:shd w:val="clear" w:color="auto" w:fill="FFFFFF"/>
            <w:tcMar>
              <w:top w:w="0" w:type="dxa"/>
              <w:left w:w="85" w:type="dxa"/>
              <w:bottom w:w="0" w:type="dxa"/>
              <w:right w:w="85" w:type="dxa"/>
            </w:tcMar>
          </w:tcPr>
          <w:p w14:paraId="6EB11563"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1,126.0</w:t>
            </w:r>
          </w:p>
        </w:tc>
        <w:tc>
          <w:tcPr>
            <w:tcW w:w="2039" w:type="dxa"/>
            <w:shd w:val="clear" w:color="auto" w:fill="FFFFFF"/>
            <w:tcMar>
              <w:top w:w="0" w:type="dxa"/>
              <w:left w:w="85" w:type="dxa"/>
              <w:bottom w:w="0" w:type="dxa"/>
              <w:right w:w="85" w:type="dxa"/>
            </w:tcMar>
          </w:tcPr>
          <w:p w14:paraId="1A8E7453"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106.8</w:t>
            </w:r>
          </w:p>
        </w:tc>
        <w:tc>
          <w:tcPr>
            <w:tcW w:w="938" w:type="dxa"/>
            <w:shd w:val="clear" w:color="auto" w:fill="FFFFFF"/>
            <w:tcMar>
              <w:top w:w="0" w:type="dxa"/>
              <w:left w:w="85" w:type="dxa"/>
              <w:bottom w:w="0" w:type="dxa"/>
              <w:right w:w="85" w:type="dxa"/>
            </w:tcMar>
          </w:tcPr>
          <w:p w14:paraId="66114348"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2,904.1</w:t>
            </w:r>
          </w:p>
        </w:tc>
      </w:tr>
      <w:tr w:rsidR="00E87995" w:rsidRPr="009E06AA" w14:paraId="26688F13" w14:textId="77777777" w:rsidTr="00B55F24">
        <w:trPr>
          <w:trHeight w:val="283"/>
        </w:trPr>
        <w:tc>
          <w:tcPr>
            <w:tcW w:w="851" w:type="dxa"/>
            <w:shd w:val="clear" w:color="auto" w:fill="FFFFFF"/>
            <w:tcMar>
              <w:top w:w="0" w:type="dxa"/>
              <w:left w:w="85" w:type="dxa"/>
              <w:bottom w:w="0" w:type="dxa"/>
              <w:right w:w="85" w:type="dxa"/>
            </w:tcMar>
          </w:tcPr>
          <w:p w14:paraId="5572A9A0"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1998</w:t>
            </w:r>
          </w:p>
        </w:tc>
        <w:tc>
          <w:tcPr>
            <w:tcW w:w="2082" w:type="dxa"/>
            <w:shd w:val="clear" w:color="auto" w:fill="FFFFFF"/>
            <w:tcMar>
              <w:top w:w="0" w:type="dxa"/>
              <w:left w:w="85" w:type="dxa"/>
              <w:bottom w:w="0" w:type="dxa"/>
              <w:right w:w="85" w:type="dxa"/>
            </w:tcMar>
          </w:tcPr>
          <w:p w14:paraId="2AE23DFC"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1,605.0</w:t>
            </w:r>
          </w:p>
        </w:tc>
        <w:tc>
          <w:tcPr>
            <w:tcW w:w="2584" w:type="dxa"/>
            <w:shd w:val="clear" w:color="auto" w:fill="FFFFFF"/>
            <w:tcMar>
              <w:top w:w="0" w:type="dxa"/>
              <w:left w:w="85" w:type="dxa"/>
              <w:bottom w:w="0" w:type="dxa"/>
              <w:right w:w="85" w:type="dxa"/>
            </w:tcMar>
          </w:tcPr>
          <w:p w14:paraId="4470C4BD"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1,067.2</w:t>
            </w:r>
          </w:p>
        </w:tc>
        <w:tc>
          <w:tcPr>
            <w:tcW w:w="2039" w:type="dxa"/>
            <w:shd w:val="clear" w:color="auto" w:fill="FFFFFF"/>
            <w:tcMar>
              <w:top w:w="0" w:type="dxa"/>
              <w:left w:w="85" w:type="dxa"/>
              <w:bottom w:w="0" w:type="dxa"/>
              <w:right w:w="85" w:type="dxa"/>
            </w:tcMar>
          </w:tcPr>
          <w:p w14:paraId="3538587C"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92.8</w:t>
            </w:r>
          </w:p>
        </w:tc>
        <w:tc>
          <w:tcPr>
            <w:tcW w:w="938" w:type="dxa"/>
            <w:shd w:val="clear" w:color="auto" w:fill="FFFFFF"/>
            <w:tcMar>
              <w:top w:w="0" w:type="dxa"/>
              <w:left w:w="85" w:type="dxa"/>
              <w:bottom w:w="0" w:type="dxa"/>
              <w:right w:w="85" w:type="dxa"/>
            </w:tcMar>
          </w:tcPr>
          <w:p w14:paraId="4DA74E02"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2,765.0</w:t>
            </w:r>
          </w:p>
        </w:tc>
      </w:tr>
      <w:tr w:rsidR="00E87995" w:rsidRPr="009E06AA" w14:paraId="5597688E" w14:textId="77777777" w:rsidTr="00B55F24">
        <w:trPr>
          <w:trHeight w:val="283"/>
        </w:trPr>
        <w:tc>
          <w:tcPr>
            <w:tcW w:w="851" w:type="dxa"/>
            <w:shd w:val="clear" w:color="auto" w:fill="FFFFFF"/>
            <w:tcMar>
              <w:top w:w="0" w:type="dxa"/>
              <w:left w:w="85" w:type="dxa"/>
              <w:bottom w:w="0" w:type="dxa"/>
              <w:right w:w="85" w:type="dxa"/>
            </w:tcMar>
          </w:tcPr>
          <w:p w14:paraId="14459868"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1999</w:t>
            </w:r>
          </w:p>
        </w:tc>
        <w:tc>
          <w:tcPr>
            <w:tcW w:w="2082" w:type="dxa"/>
            <w:shd w:val="clear" w:color="auto" w:fill="FFFFFF"/>
            <w:tcMar>
              <w:top w:w="0" w:type="dxa"/>
              <w:left w:w="85" w:type="dxa"/>
              <w:bottom w:w="0" w:type="dxa"/>
              <w:right w:w="85" w:type="dxa"/>
            </w:tcMar>
          </w:tcPr>
          <w:p w14:paraId="4CF492B7"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1,605.0</w:t>
            </w:r>
          </w:p>
        </w:tc>
        <w:tc>
          <w:tcPr>
            <w:tcW w:w="2584" w:type="dxa"/>
            <w:shd w:val="clear" w:color="auto" w:fill="FFFFFF"/>
            <w:tcMar>
              <w:top w:w="0" w:type="dxa"/>
              <w:left w:w="85" w:type="dxa"/>
              <w:bottom w:w="0" w:type="dxa"/>
              <w:right w:w="85" w:type="dxa"/>
            </w:tcMar>
          </w:tcPr>
          <w:p w14:paraId="5DAD5484"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1,134.5</w:t>
            </w:r>
          </w:p>
        </w:tc>
        <w:tc>
          <w:tcPr>
            <w:tcW w:w="2039" w:type="dxa"/>
            <w:shd w:val="clear" w:color="auto" w:fill="FFFFFF"/>
            <w:tcMar>
              <w:top w:w="0" w:type="dxa"/>
              <w:left w:w="85" w:type="dxa"/>
              <w:bottom w:w="0" w:type="dxa"/>
              <w:right w:w="85" w:type="dxa"/>
            </w:tcMar>
          </w:tcPr>
          <w:p w14:paraId="5D902438"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89.8</w:t>
            </w:r>
          </w:p>
        </w:tc>
        <w:tc>
          <w:tcPr>
            <w:tcW w:w="938" w:type="dxa"/>
            <w:shd w:val="clear" w:color="auto" w:fill="FFFFFF"/>
            <w:tcMar>
              <w:top w:w="0" w:type="dxa"/>
              <w:left w:w="85" w:type="dxa"/>
              <w:bottom w:w="0" w:type="dxa"/>
              <w:right w:w="85" w:type="dxa"/>
            </w:tcMar>
          </w:tcPr>
          <w:p w14:paraId="7DCA5121"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2,829.3</w:t>
            </w:r>
          </w:p>
        </w:tc>
      </w:tr>
      <w:tr w:rsidR="00E87995" w:rsidRPr="009E06AA" w14:paraId="1E89F757" w14:textId="77777777" w:rsidTr="00B55F24">
        <w:trPr>
          <w:trHeight w:val="283"/>
        </w:trPr>
        <w:tc>
          <w:tcPr>
            <w:tcW w:w="851" w:type="dxa"/>
            <w:shd w:val="clear" w:color="auto" w:fill="FFFFFF"/>
            <w:tcMar>
              <w:top w:w="0" w:type="dxa"/>
              <w:left w:w="85" w:type="dxa"/>
              <w:bottom w:w="0" w:type="dxa"/>
              <w:right w:w="85" w:type="dxa"/>
            </w:tcMar>
          </w:tcPr>
          <w:p w14:paraId="2C92FC4F"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2000</w:t>
            </w:r>
          </w:p>
        </w:tc>
        <w:tc>
          <w:tcPr>
            <w:tcW w:w="2082" w:type="dxa"/>
            <w:shd w:val="clear" w:color="auto" w:fill="FFFFFF"/>
            <w:tcMar>
              <w:top w:w="0" w:type="dxa"/>
              <w:left w:w="85" w:type="dxa"/>
              <w:bottom w:w="0" w:type="dxa"/>
              <w:right w:w="85" w:type="dxa"/>
            </w:tcMar>
          </w:tcPr>
          <w:p w14:paraId="1DE62BAF"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1,605.0</w:t>
            </w:r>
          </w:p>
        </w:tc>
        <w:tc>
          <w:tcPr>
            <w:tcW w:w="2584" w:type="dxa"/>
            <w:shd w:val="clear" w:color="auto" w:fill="FFFFFF"/>
            <w:tcMar>
              <w:top w:w="0" w:type="dxa"/>
              <w:left w:w="85" w:type="dxa"/>
              <w:bottom w:w="0" w:type="dxa"/>
              <w:right w:w="85" w:type="dxa"/>
            </w:tcMar>
          </w:tcPr>
          <w:p w14:paraId="222688E8"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1,202.6</w:t>
            </w:r>
          </w:p>
        </w:tc>
        <w:tc>
          <w:tcPr>
            <w:tcW w:w="2039" w:type="dxa"/>
            <w:shd w:val="clear" w:color="auto" w:fill="FFFFFF"/>
            <w:tcMar>
              <w:top w:w="0" w:type="dxa"/>
              <w:left w:w="85" w:type="dxa"/>
              <w:bottom w:w="0" w:type="dxa"/>
              <w:right w:w="85" w:type="dxa"/>
            </w:tcMar>
          </w:tcPr>
          <w:p w14:paraId="3B5EE5D4"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85.9</w:t>
            </w:r>
          </w:p>
        </w:tc>
        <w:tc>
          <w:tcPr>
            <w:tcW w:w="938" w:type="dxa"/>
            <w:shd w:val="clear" w:color="auto" w:fill="FFFFFF"/>
            <w:tcMar>
              <w:top w:w="0" w:type="dxa"/>
              <w:left w:w="85" w:type="dxa"/>
              <w:bottom w:w="0" w:type="dxa"/>
              <w:right w:w="85" w:type="dxa"/>
            </w:tcMar>
          </w:tcPr>
          <w:p w14:paraId="42A3BCAC"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2,893.5</w:t>
            </w:r>
          </w:p>
        </w:tc>
      </w:tr>
      <w:tr w:rsidR="00E87995" w:rsidRPr="009E06AA" w14:paraId="4F57E30E" w14:textId="77777777" w:rsidTr="00B55F24">
        <w:trPr>
          <w:trHeight w:val="283"/>
        </w:trPr>
        <w:tc>
          <w:tcPr>
            <w:tcW w:w="851" w:type="dxa"/>
            <w:shd w:val="clear" w:color="auto" w:fill="FFFFFF"/>
            <w:tcMar>
              <w:top w:w="0" w:type="dxa"/>
              <w:left w:w="85" w:type="dxa"/>
              <w:bottom w:w="0" w:type="dxa"/>
              <w:right w:w="85" w:type="dxa"/>
            </w:tcMar>
          </w:tcPr>
          <w:p w14:paraId="2DE28AD1"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2001</w:t>
            </w:r>
          </w:p>
        </w:tc>
        <w:tc>
          <w:tcPr>
            <w:tcW w:w="2082" w:type="dxa"/>
            <w:shd w:val="clear" w:color="auto" w:fill="FFFFFF"/>
            <w:tcMar>
              <w:top w:w="0" w:type="dxa"/>
              <w:left w:w="85" w:type="dxa"/>
              <w:bottom w:w="0" w:type="dxa"/>
              <w:right w:w="85" w:type="dxa"/>
            </w:tcMar>
          </w:tcPr>
          <w:p w14:paraId="66F42EF8"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1,748.3</w:t>
            </w:r>
          </w:p>
        </w:tc>
        <w:tc>
          <w:tcPr>
            <w:tcW w:w="2584" w:type="dxa"/>
            <w:shd w:val="clear" w:color="auto" w:fill="FFFFFF"/>
            <w:tcMar>
              <w:top w:w="0" w:type="dxa"/>
              <w:left w:w="85" w:type="dxa"/>
              <w:bottom w:w="0" w:type="dxa"/>
              <w:right w:w="85" w:type="dxa"/>
            </w:tcMar>
          </w:tcPr>
          <w:p w14:paraId="40BABF07"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1,136.9</w:t>
            </w:r>
          </w:p>
        </w:tc>
        <w:tc>
          <w:tcPr>
            <w:tcW w:w="2039" w:type="dxa"/>
            <w:shd w:val="clear" w:color="auto" w:fill="FFFFFF"/>
            <w:tcMar>
              <w:top w:w="0" w:type="dxa"/>
              <w:left w:w="85" w:type="dxa"/>
              <w:bottom w:w="0" w:type="dxa"/>
              <w:right w:w="85" w:type="dxa"/>
            </w:tcMar>
          </w:tcPr>
          <w:p w14:paraId="573F4EB3"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72.6</w:t>
            </w:r>
          </w:p>
        </w:tc>
        <w:tc>
          <w:tcPr>
            <w:tcW w:w="938" w:type="dxa"/>
            <w:shd w:val="clear" w:color="auto" w:fill="FFFFFF"/>
            <w:tcMar>
              <w:top w:w="0" w:type="dxa"/>
              <w:left w:w="85" w:type="dxa"/>
              <w:bottom w:w="0" w:type="dxa"/>
              <w:right w:w="85" w:type="dxa"/>
            </w:tcMar>
          </w:tcPr>
          <w:p w14:paraId="32BB1D18"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2,957.8</w:t>
            </w:r>
          </w:p>
        </w:tc>
      </w:tr>
      <w:tr w:rsidR="00E87995" w:rsidRPr="009E06AA" w14:paraId="5C36B6EC" w14:textId="77777777" w:rsidTr="00B55F24">
        <w:trPr>
          <w:trHeight w:val="283"/>
        </w:trPr>
        <w:tc>
          <w:tcPr>
            <w:tcW w:w="851" w:type="dxa"/>
            <w:shd w:val="clear" w:color="auto" w:fill="FFFFFF"/>
            <w:tcMar>
              <w:top w:w="0" w:type="dxa"/>
              <w:left w:w="85" w:type="dxa"/>
              <w:bottom w:w="0" w:type="dxa"/>
              <w:right w:w="85" w:type="dxa"/>
            </w:tcMar>
          </w:tcPr>
          <w:p w14:paraId="79AE78E8"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2002</w:t>
            </w:r>
          </w:p>
        </w:tc>
        <w:tc>
          <w:tcPr>
            <w:tcW w:w="2082" w:type="dxa"/>
            <w:shd w:val="clear" w:color="auto" w:fill="FFFFFF"/>
            <w:tcMar>
              <w:top w:w="0" w:type="dxa"/>
              <w:left w:w="85" w:type="dxa"/>
              <w:bottom w:w="0" w:type="dxa"/>
              <w:right w:w="85" w:type="dxa"/>
            </w:tcMar>
          </w:tcPr>
          <w:p w14:paraId="356160E8"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1,797.0</w:t>
            </w:r>
          </w:p>
        </w:tc>
        <w:tc>
          <w:tcPr>
            <w:tcW w:w="2584" w:type="dxa"/>
            <w:shd w:val="clear" w:color="auto" w:fill="FFFFFF"/>
            <w:tcMar>
              <w:top w:w="0" w:type="dxa"/>
              <w:left w:w="85" w:type="dxa"/>
              <w:bottom w:w="0" w:type="dxa"/>
              <w:right w:w="85" w:type="dxa"/>
            </w:tcMar>
          </w:tcPr>
          <w:p w14:paraId="73CF6B3C"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1,159.7</w:t>
            </w:r>
          </w:p>
        </w:tc>
        <w:tc>
          <w:tcPr>
            <w:tcW w:w="2039" w:type="dxa"/>
            <w:shd w:val="clear" w:color="auto" w:fill="FFFFFF"/>
            <w:tcMar>
              <w:top w:w="0" w:type="dxa"/>
              <w:left w:w="85" w:type="dxa"/>
              <w:bottom w:w="0" w:type="dxa"/>
              <w:right w:w="85" w:type="dxa"/>
            </w:tcMar>
          </w:tcPr>
          <w:p w14:paraId="7751DD85"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65.3</w:t>
            </w:r>
          </w:p>
        </w:tc>
        <w:tc>
          <w:tcPr>
            <w:tcW w:w="938" w:type="dxa"/>
            <w:shd w:val="clear" w:color="auto" w:fill="FFFFFF"/>
            <w:tcMar>
              <w:top w:w="0" w:type="dxa"/>
              <w:left w:w="85" w:type="dxa"/>
              <w:bottom w:w="0" w:type="dxa"/>
              <w:right w:w="85" w:type="dxa"/>
            </w:tcMar>
          </w:tcPr>
          <w:p w14:paraId="1AAC39EB"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3,022.0</w:t>
            </w:r>
          </w:p>
        </w:tc>
      </w:tr>
      <w:tr w:rsidR="00E87995" w:rsidRPr="009E06AA" w14:paraId="1BBD2403" w14:textId="77777777" w:rsidTr="00B55F24">
        <w:trPr>
          <w:trHeight w:val="283"/>
        </w:trPr>
        <w:tc>
          <w:tcPr>
            <w:tcW w:w="851" w:type="dxa"/>
            <w:shd w:val="clear" w:color="auto" w:fill="FFFFFF"/>
            <w:tcMar>
              <w:top w:w="0" w:type="dxa"/>
              <w:left w:w="85" w:type="dxa"/>
              <w:bottom w:w="0" w:type="dxa"/>
              <w:right w:w="85" w:type="dxa"/>
            </w:tcMar>
          </w:tcPr>
          <w:p w14:paraId="3A1471AC"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2003</w:t>
            </w:r>
          </w:p>
        </w:tc>
        <w:tc>
          <w:tcPr>
            <w:tcW w:w="2082" w:type="dxa"/>
            <w:shd w:val="clear" w:color="auto" w:fill="FFFFFF"/>
            <w:tcMar>
              <w:top w:w="0" w:type="dxa"/>
              <w:left w:w="85" w:type="dxa"/>
              <w:bottom w:w="0" w:type="dxa"/>
              <w:right w:w="85" w:type="dxa"/>
            </w:tcMar>
          </w:tcPr>
          <w:p w14:paraId="3D59A994"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1,694.9</w:t>
            </w:r>
          </w:p>
        </w:tc>
        <w:tc>
          <w:tcPr>
            <w:tcW w:w="2584" w:type="dxa"/>
            <w:shd w:val="clear" w:color="auto" w:fill="FFFFFF"/>
            <w:tcMar>
              <w:top w:w="0" w:type="dxa"/>
              <w:left w:w="85" w:type="dxa"/>
              <w:bottom w:w="0" w:type="dxa"/>
              <w:right w:w="85" w:type="dxa"/>
            </w:tcMar>
          </w:tcPr>
          <w:p w14:paraId="33CB614B"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1,297.1</w:t>
            </w:r>
          </w:p>
        </w:tc>
        <w:tc>
          <w:tcPr>
            <w:tcW w:w="2039" w:type="dxa"/>
            <w:shd w:val="clear" w:color="auto" w:fill="FFFFFF"/>
            <w:tcMar>
              <w:top w:w="0" w:type="dxa"/>
              <w:left w:w="85" w:type="dxa"/>
              <w:bottom w:w="0" w:type="dxa"/>
              <w:right w:w="85" w:type="dxa"/>
            </w:tcMar>
          </w:tcPr>
          <w:p w14:paraId="1C603B83"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63.5</w:t>
            </w:r>
          </w:p>
        </w:tc>
        <w:tc>
          <w:tcPr>
            <w:tcW w:w="938" w:type="dxa"/>
            <w:shd w:val="clear" w:color="auto" w:fill="FFFFFF"/>
            <w:tcMar>
              <w:top w:w="0" w:type="dxa"/>
              <w:left w:w="85" w:type="dxa"/>
              <w:bottom w:w="0" w:type="dxa"/>
              <w:right w:w="85" w:type="dxa"/>
            </w:tcMar>
          </w:tcPr>
          <w:p w14:paraId="32D7CC16"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3,055.5</w:t>
            </w:r>
          </w:p>
        </w:tc>
      </w:tr>
      <w:tr w:rsidR="00E87995" w:rsidRPr="009E06AA" w14:paraId="3C31C893" w14:textId="77777777" w:rsidTr="00B55F24">
        <w:trPr>
          <w:trHeight w:val="283"/>
        </w:trPr>
        <w:tc>
          <w:tcPr>
            <w:tcW w:w="851" w:type="dxa"/>
            <w:shd w:val="clear" w:color="auto" w:fill="FFFFFF"/>
            <w:tcMar>
              <w:top w:w="0" w:type="dxa"/>
              <w:left w:w="85" w:type="dxa"/>
              <w:bottom w:w="0" w:type="dxa"/>
              <w:right w:w="85" w:type="dxa"/>
            </w:tcMar>
          </w:tcPr>
          <w:p w14:paraId="421B4D86"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2004</w:t>
            </w:r>
          </w:p>
        </w:tc>
        <w:tc>
          <w:tcPr>
            <w:tcW w:w="2082" w:type="dxa"/>
            <w:shd w:val="clear" w:color="auto" w:fill="FFFFFF"/>
            <w:tcMar>
              <w:top w:w="0" w:type="dxa"/>
              <w:left w:w="85" w:type="dxa"/>
              <w:bottom w:w="0" w:type="dxa"/>
              <w:right w:w="85" w:type="dxa"/>
            </w:tcMar>
          </w:tcPr>
          <w:p w14:paraId="2C79DDA1"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1,746.2</w:t>
            </w:r>
          </w:p>
        </w:tc>
        <w:tc>
          <w:tcPr>
            <w:tcW w:w="2584" w:type="dxa"/>
            <w:shd w:val="clear" w:color="auto" w:fill="FFFFFF"/>
            <w:tcMar>
              <w:top w:w="0" w:type="dxa"/>
              <w:left w:w="85" w:type="dxa"/>
              <w:bottom w:w="0" w:type="dxa"/>
              <w:right w:w="85" w:type="dxa"/>
            </w:tcMar>
          </w:tcPr>
          <w:p w14:paraId="5A383C0F"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1,289.1</w:t>
            </w:r>
          </w:p>
        </w:tc>
        <w:tc>
          <w:tcPr>
            <w:tcW w:w="2039" w:type="dxa"/>
            <w:shd w:val="clear" w:color="auto" w:fill="FFFFFF"/>
            <w:tcMar>
              <w:top w:w="0" w:type="dxa"/>
              <w:left w:w="85" w:type="dxa"/>
              <w:bottom w:w="0" w:type="dxa"/>
              <w:right w:w="85" w:type="dxa"/>
            </w:tcMar>
          </w:tcPr>
          <w:p w14:paraId="3A64EBBC"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53.7</w:t>
            </w:r>
          </w:p>
        </w:tc>
        <w:tc>
          <w:tcPr>
            <w:tcW w:w="938" w:type="dxa"/>
            <w:shd w:val="clear" w:color="auto" w:fill="FFFFFF"/>
            <w:tcMar>
              <w:top w:w="0" w:type="dxa"/>
              <w:left w:w="85" w:type="dxa"/>
              <w:bottom w:w="0" w:type="dxa"/>
              <w:right w:w="85" w:type="dxa"/>
            </w:tcMar>
          </w:tcPr>
          <w:p w14:paraId="4CB44E6F"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3,089.0</w:t>
            </w:r>
          </w:p>
        </w:tc>
      </w:tr>
      <w:tr w:rsidR="00E87995" w:rsidRPr="009E06AA" w14:paraId="24E77A73" w14:textId="77777777" w:rsidTr="00B55F24">
        <w:trPr>
          <w:trHeight w:val="283"/>
        </w:trPr>
        <w:tc>
          <w:tcPr>
            <w:tcW w:w="851" w:type="dxa"/>
            <w:shd w:val="clear" w:color="auto" w:fill="FFFFFF"/>
            <w:tcMar>
              <w:top w:w="0" w:type="dxa"/>
              <w:left w:w="85" w:type="dxa"/>
              <w:bottom w:w="0" w:type="dxa"/>
              <w:right w:w="85" w:type="dxa"/>
            </w:tcMar>
          </w:tcPr>
          <w:p w14:paraId="5CE8777B"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2005</w:t>
            </w:r>
          </w:p>
        </w:tc>
        <w:tc>
          <w:tcPr>
            <w:tcW w:w="2082" w:type="dxa"/>
            <w:shd w:val="clear" w:color="auto" w:fill="FFFFFF"/>
            <w:tcMar>
              <w:top w:w="0" w:type="dxa"/>
              <w:left w:w="85" w:type="dxa"/>
              <w:bottom w:w="0" w:type="dxa"/>
              <w:right w:w="85" w:type="dxa"/>
            </w:tcMar>
          </w:tcPr>
          <w:p w14:paraId="5D3C9FD8"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1,954.3</w:t>
            </w:r>
          </w:p>
        </w:tc>
        <w:tc>
          <w:tcPr>
            <w:tcW w:w="2584" w:type="dxa"/>
            <w:shd w:val="clear" w:color="auto" w:fill="FFFFFF"/>
            <w:tcMar>
              <w:top w:w="0" w:type="dxa"/>
              <w:left w:w="85" w:type="dxa"/>
              <w:bottom w:w="0" w:type="dxa"/>
              <w:right w:w="85" w:type="dxa"/>
            </w:tcMar>
          </w:tcPr>
          <w:p w14:paraId="79CD0C77"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1,129.2</w:t>
            </w:r>
          </w:p>
        </w:tc>
        <w:tc>
          <w:tcPr>
            <w:tcW w:w="2039" w:type="dxa"/>
            <w:shd w:val="clear" w:color="auto" w:fill="FFFFFF"/>
            <w:tcMar>
              <w:top w:w="0" w:type="dxa"/>
              <w:left w:w="85" w:type="dxa"/>
              <w:bottom w:w="0" w:type="dxa"/>
              <w:right w:w="85" w:type="dxa"/>
            </w:tcMar>
          </w:tcPr>
          <w:p w14:paraId="4A6419C1"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38.9</w:t>
            </w:r>
          </w:p>
        </w:tc>
        <w:tc>
          <w:tcPr>
            <w:tcW w:w="938" w:type="dxa"/>
            <w:shd w:val="clear" w:color="auto" w:fill="FFFFFF"/>
            <w:tcMar>
              <w:top w:w="0" w:type="dxa"/>
              <w:left w:w="85" w:type="dxa"/>
              <w:bottom w:w="0" w:type="dxa"/>
              <w:right w:w="85" w:type="dxa"/>
            </w:tcMar>
          </w:tcPr>
          <w:p w14:paraId="7D3CE9EF"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3,122.5</w:t>
            </w:r>
          </w:p>
        </w:tc>
      </w:tr>
      <w:tr w:rsidR="00E87995" w:rsidRPr="009E06AA" w14:paraId="2A8B0DDB" w14:textId="77777777" w:rsidTr="00B55F24">
        <w:trPr>
          <w:trHeight w:val="283"/>
        </w:trPr>
        <w:tc>
          <w:tcPr>
            <w:tcW w:w="851" w:type="dxa"/>
            <w:shd w:val="clear" w:color="auto" w:fill="FFFFFF"/>
            <w:tcMar>
              <w:top w:w="0" w:type="dxa"/>
              <w:left w:w="85" w:type="dxa"/>
              <w:bottom w:w="0" w:type="dxa"/>
              <w:right w:w="85" w:type="dxa"/>
            </w:tcMar>
          </w:tcPr>
          <w:p w14:paraId="5F5154BC"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2006</w:t>
            </w:r>
          </w:p>
        </w:tc>
        <w:tc>
          <w:tcPr>
            <w:tcW w:w="2082" w:type="dxa"/>
            <w:shd w:val="clear" w:color="auto" w:fill="FFFFFF"/>
            <w:tcMar>
              <w:top w:w="0" w:type="dxa"/>
              <w:left w:w="85" w:type="dxa"/>
              <w:bottom w:w="0" w:type="dxa"/>
              <w:right w:w="85" w:type="dxa"/>
            </w:tcMar>
          </w:tcPr>
          <w:p w14:paraId="4E2C8AA9"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2,384.2</w:t>
            </w:r>
          </w:p>
        </w:tc>
        <w:tc>
          <w:tcPr>
            <w:tcW w:w="2584" w:type="dxa"/>
            <w:shd w:val="clear" w:color="auto" w:fill="FFFFFF"/>
            <w:tcMar>
              <w:top w:w="0" w:type="dxa"/>
              <w:left w:w="85" w:type="dxa"/>
              <w:bottom w:w="0" w:type="dxa"/>
              <w:right w:w="85" w:type="dxa"/>
            </w:tcMar>
          </w:tcPr>
          <w:p w14:paraId="1DD0517C"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751.2</w:t>
            </w:r>
          </w:p>
        </w:tc>
        <w:tc>
          <w:tcPr>
            <w:tcW w:w="2039" w:type="dxa"/>
            <w:shd w:val="clear" w:color="auto" w:fill="FFFFFF"/>
            <w:tcMar>
              <w:top w:w="0" w:type="dxa"/>
              <w:left w:w="85" w:type="dxa"/>
              <w:bottom w:w="0" w:type="dxa"/>
              <w:right w:w="85" w:type="dxa"/>
            </w:tcMar>
          </w:tcPr>
          <w:p w14:paraId="5BD2BE96"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20.6</w:t>
            </w:r>
          </w:p>
        </w:tc>
        <w:tc>
          <w:tcPr>
            <w:tcW w:w="938" w:type="dxa"/>
            <w:shd w:val="clear" w:color="auto" w:fill="FFFFFF"/>
            <w:tcMar>
              <w:top w:w="0" w:type="dxa"/>
              <w:left w:w="85" w:type="dxa"/>
              <w:bottom w:w="0" w:type="dxa"/>
              <w:right w:w="85" w:type="dxa"/>
            </w:tcMar>
          </w:tcPr>
          <w:p w14:paraId="3EE677B4"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3,156.0</w:t>
            </w:r>
          </w:p>
        </w:tc>
      </w:tr>
      <w:tr w:rsidR="00E87995" w:rsidRPr="009E06AA" w14:paraId="50369B3C" w14:textId="77777777" w:rsidTr="00B55F24">
        <w:trPr>
          <w:trHeight w:val="283"/>
        </w:trPr>
        <w:tc>
          <w:tcPr>
            <w:tcW w:w="851" w:type="dxa"/>
            <w:shd w:val="clear" w:color="auto" w:fill="FFFFFF"/>
            <w:tcMar>
              <w:top w:w="0" w:type="dxa"/>
              <w:left w:w="85" w:type="dxa"/>
              <w:bottom w:w="0" w:type="dxa"/>
              <w:right w:w="85" w:type="dxa"/>
            </w:tcMar>
          </w:tcPr>
          <w:p w14:paraId="339F5FC1"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2007</w:t>
            </w:r>
          </w:p>
        </w:tc>
        <w:tc>
          <w:tcPr>
            <w:tcW w:w="2082" w:type="dxa"/>
            <w:shd w:val="clear" w:color="auto" w:fill="FFFFFF"/>
            <w:tcMar>
              <w:top w:w="0" w:type="dxa"/>
              <w:left w:w="85" w:type="dxa"/>
              <w:bottom w:w="0" w:type="dxa"/>
              <w:right w:w="85" w:type="dxa"/>
            </w:tcMar>
          </w:tcPr>
          <w:p w14:paraId="042936C0"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2,244.9</w:t>
            </w:r>
          </w:p>
        </w:tc>
        <w:tc>
          <w:tcPr>
            <w:tcW w:w="2584" w:type="dxa"/>
            <w:shd w:val="clear" w:color="auto" w:fill="FFFFFF"/>
            <w:tcMar>
              <w:top w:w="0" w:type="dxa"/>
              <w:left w:w="85" w:type="dxa"/>
              <w:bottom w:w="0" w:type="dxa"/>
              <w:right w:w="85" w:type="dxa"/>
            </w:tcMar>
          </w:tcPr>
          <w:p w14:paraId="3C2609BD"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739.8</w:t>
            </w:r>
          </w:p>
        </w:tc>
        <w:tc>
          <w:tcPr>
            <w:tcW w:w="2039" w:type="dxa"/>
            <w:shd w:val="clear" w:color="auto" w:fill="FFFFFF"/>
            <w:tcMar>
              <w:top w:w="0" w:type="dxa"/>
              <w:left w:w="85" w:type="dxa"/>
              <w:bottom w:w="0" w:type="dxa"/>
              <w:right w:w="85" w:type="dxa"/>
            </w:tcMar>
          </w:tcPr>
          <w:p w14:paraId="1A507506"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15.1</w:t>
            </w:r>
          </w:p>
        </w:tc>
        <w:tc>
          <w:tcPr>
            <w:tcW w:w="938" w:type="dxa"/>
            <w:shd w:val="clear" w:color="auto" w:fill="FFFFFF"/>
            <w:tcMar>
              <w:top w:w="0" w:type="dxa"/>
              <w:left w:w="85" w:type="dxa"/>
              <w:bottom w:w="0" w:type="dxa"/>
              <w:right w:w="85" w:type="dxa"/>
            </w:tcMar>
          </w:tcPr>
          <w:p w14:paraId="1BA62719"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2,999.8</w:t>
            </w:r>
          </w:p>
        </w:tc>
      </w:tr>
      <w:tr w:rsidR="00E87995" w:rsidRPr="009E06AA" w14:paraId="48F4566C" w14:textId="77777777" w:rsidTr="00B55F24">
        <w:trPr>
          <w:trHeight w:val="283"/>
        </w:trPr>
        <w:tc>
          <w:tcPr>
            <w:tcW w:w="851" w:type="dxa"/>
            <w:shd w:val="clear" w:color="auto" w:fill="FFFFFF"/>
            <w:tcMar>
              <w:top w:w="0" w:type="dxa"/>
              <w:left w:w="85" w:type="dxa"/>
              <w:bottom w:w="0" w:type="dxa"/>
              <w:right w:w="85" w:type="dxa"/>
            </w:tcMar>
          </w:tcPr>
          <w:p w14:paraId="59EE2CA1"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2008</w:t>
            </w:r>
          </w:p>
        </w:tc>
        <w:tc>
          <w:tcPr>
            <w:tcW w:w="2082" w:type="dxa"/>
            <w:shd w:val="clear" w:color="auto" w:fill="FFFFFF"/>
            <w:tcMar>
              <w:top w:w="0" w:type="dxa"/>
              <w:left w:w="85" w:type="dxa"/>
              <w:bottom w:w="0" w:type="dxa"/>
              <w:right w:w="85" w:type="dxa"/>
            </w:tcMar>
          </w:tcPr>
          <w:p w14:paraId="2133028B"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2,189.3</w:t>
            </w:r>
          </w:p>
        </w:tc>
        <w:tc>
          <w:tcPr>
            <w:tcW w:w="2584" w:type="dxa"/>
            <w:shd w:val="clear" w:color="auto" w:fill="FFFFFF"/>
            <w:tcMar>
              <w:top w:w="0" w:type="dxa"/>
              <w:left w:w="85" w:type="dxa"/>
              <w:bottom w:w="0" w:type="dxa"/>
              <w:right w:w="85" w:type="dxa"/>
            </w:tcMar>
          </w:tcPr>
          <w:p w14:paraId="3CF5511C"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645.4</w:t>
            </w:r>
          </w:p>
        </w:tc>
        <w:tc>
          <w:tcPr>
            <w:tcW w:w="2039" w:type="dxa"/>
            <w:shd w:val="clear" w:color="auto" w:fill="FFFFFF"/>
            <w:tcMar>
              <w:top w:w="0" w:type="dxa"/>
              <w:left w:w="85" w:type="dxa"/>
              <w:bottom w:w="0" w:type="dxa"/>
              <w:right w:w="85" w:type="dxa"/>
            </w:tcMar>
          </w:tcPr>
          <w:p w14:paraId="2A356502"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8.7</w:t>
            </w:r>
          </w:p>
        </w:tc>
        <w:tc>
          <w:tcPr>
            <w:tcW w:w="938" w:type="dxa"/>
            <w:shd w:val="clear" w:color="auto" w:fill="FFFFFF"/>
            <w:tcMar>
              <w:top w:w="0" w:type="dxa"/>
              <w:left w:w="85" w:type="dxa"/>
              <w:bottom w:w="0" w:type="dxa"/>
              <w:right w:w="85" w:type="dxa"/>
            </w:tcMar>
          </w:tcPr>
          <w:p w14:paraId="5D70BC4A"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2,843.5</w:t>
            </w:r>
          </w:p>
        </w:tc>
      </w:tr>
      <w:tr w:rsidR="00E87995" w:rsidRPr="009E06AA" w14:paraId="1DEDBB4B" w14:textId="77777777" w:rsidTr="00B55F24">
        <w:trPr>
          <w:trHeight w:val="283"/>
        </w:trPr>
        <w:tc>
          <w:tcPr>
            <w:tcW w:w="851" w:type="dxa"/>
            <w:shd w:val="clear" w:color="auto" w:fill="FFFFFF"/>
            <w:tcMar>
              <w:top w:w="0" w:type="dxa"/>
              <w:left w:w="85" w:type="dxa"/>
              <w:bottom w:w="0" w:type="dxa"/>
              <w:right w:w="85" w:type="dxa"/>
            </w:tcMar>
          </w:tcPr>
          <w:p w14:paraId="60A44A85"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2009</w:t>
            </w:r>
          </w:p>
        </w:tc>
        <w:tc>
          <w:tcPr>
            <w:tcW w:w="2082" w:type="dxa"/>
            <w:shd w:val="clear" w:color="auto" w:fill="FFFFFF"/>
            <w:tcMar>
              <w:top w:w="0" w:type="dxa"/>
              <w:left w:w="85" w:type="dxa"/>
              <w:bottom w:w="0" w:type="dxa"/>
              <w:right w:w="85" w:type="dxa"/>
            </w:tcMar>
          </w:tcPr>
          <w:p w14:paraId="19CBAFA1"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2,143.9</w:t>
            </w:r>
          </w:p>
        </w:tc>
        <w:tc>
          <w:tcPr>
            <w:tcW w:w="2584" w:type="dxa"/>
            <w:shd w:val="clear" w:color="auto" w:fill="FFFFFF"/>
            <w:tcMar>
              <w:top w:w="0" w:type="dxa"/>
              <w:left w:w="85" w:type="dxa"/>
              <w:bottom w:w="0" w:type="dxa"/>
              <w:right w:w="85" w:type="dxa"/>
            </w:tcMar>
          </w:tcPr>
          <w:p w14:paraId="361D68C3"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539.8</w:t>
            </w:r>
          </w:p>
        </w:tc>
        <w:tc>
          <w:tcPr>
            <w:tcW w:w="2039" w:type="dxa"/>
            <w:shd w:val="clear" w:color="auto" w:fill="FFFFFF"/>
            <w:tcMar>
              <w:top w:w="0" w:type="dxa"/>
              <w:left w:w="85" w:type="dxa"/>
              <w:bottom w:w="0" w:type="dxa"/>
              <w:right w:w="85" w:type="dxa"/>
            </w:tcMar>
          </w:tcPr>
          <w:p w14:paraId="2148E04D"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3.6</w:t>
            </w:r>
          </w:p>
        </w:tc>
        <w:tc>
          <w:tcPr>
            <w:tcW w:w="938" w:type="dxa"/>
            <w:shd w:val="clear" w:color="auto" w:fill="FFFFFF"/>
            <w:tcMar>
              <w:top w:w="0" w:type="dxa"/>
              <w:left w:w="85" w:type="dxa"/>
              <w:bottom w:w="0" w:type="dxa"/>
              <w:right w:w="85" w:type="dxa"/>
            </w:tcMar>
          </w:tcPr>
          <w:p w14:paraId="03D1AD30"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2,687.2</w:t>
            </w:r>
          </w:p>
        </w:tc>
      </w:tr>
      <w:tr w:rsidR="00E87995" w:rsidRPr="009E06AA" w14:paraId="11146EC5" w14:textId="77777777" w:rsidTr="00B55F24">
        <w:trPr>
          <w:trHeight w:val="283"/>
        </w:trPr>
        <w:tc>
          <w:tcPr>
            <w:tcW w:w="851" w:type="dxa"/>
            <w:shd w:val="clear" w:color="auto" w:fill="FFFFFF"/>
            <w:tcMar>
              <w:top w:w="0" w:type="dxa"/>
              <w:left w:w="85" w:type="dxa"/>
              <w:bottom w:w="0" w:type="dxa"/>
              <w:right w:w="85" w:type="dxa"/>
            </w:tcMar>
          </w:tcPr>
          <w:p w14:paraId="4436F035"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2010</w:t>
            </w:r>
          </w:p>
        </w:tc>
        <w:tc>
          <w:tcPr>
            <w:tcW w:w="2082" w:type="dxa"/>
            <w:shd w:val="clear" w:color="auto" w:fill="FFFFFF"/>
            <w:tcMar>
              <w:top w:w="0" w:type="dxa"/>
              <w:left w:w="85" w:type="dxa"/>
              <w:bottom w:w="0" w:type="dxa"/>
              <w:right w:w="85" w:type="dxa"/>
            </w:tcMar>
          </w:tcPr>
          <w:p w14:paraId="0AA9F16E"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2,338.7</w:t>
            </w:r>
          </w:p>
        </w:tc>
        <w:tc>
          <w:tcPr>
            <w:tcW w:w="2584" w:type="dxa"/>
            <w:shd w:val="clear" w:color="auto" w:fill="FFFFFF"/>
            <w:tcMar>
              <w:top w:w="0" w:type="dxa"/>
              <w:left w:w="85" w:type="dxa"/>
              <w:bottom w:w="0" w:type="dxa"/>
              <w:right w:w="85" w:type="dxa"/>
            </w:tcMar>
          </w:tcPr>
          <w:p w14:paraId="349FCA13"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193.8</w:t>
            </w:r>
          </w:p>
        </w:tc>
        <w:tc>
          <w:tcPr>
            <w:tcW w:w="2039" w:type="dxa"/>
            <w:shd w:val="clear" w:color="auto" w:fill="FFFFFF"/>
            <w:tcMar>
              <w:top w:w="0" w:type="dxa"/>
              <w:left w:w="85" w:type="dxa"/>
              <w:bottom w:w="0" w:type="dxa"/>
              <w:right w:w="85" w:type="dxa"/>
            </w:tcMar>
          </w:tcPr>
          <w:p w14:paraId="71180ED2"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NO</w:t>
            </w:r>
          </w:p>
        </w:tc>
        <w:tc>
          <w:tcPr>
            <w:tcW w:w="938" w:type="dxa"/>
            <w:shd w:val="clear" w:color="auto" w:fill="FFFFFF"/>
            <w:tcMar>
              <w:top w:w="0" w:type="dxa"/>
              <w:left w:w="85" w:type="dxa"/>
              <w:bottom w:w="0" w:type="dxa"/>
              <w:right w:w="85" w:type="dxa"/>
            </w:tcMar>
          </w:tcPr>
          <w:p w14:paraId="42FD78EA"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2,532.5</w:t>
            </w:r>
          </w:p>
        </w:tc>
      </w:tr>
      <w:tr w:rsidR="00E87995" w:rsidRPr="009E06AA" w14:paraId="0E27F60C" w14:textId="77777777" w:rsidTr="00B55F24">
        <w:trPr>
          <w:trHeight w:val="283"/>
        </w:trPr>
        <w:tc>
          <w:tcPr>
            <w:tcW w:w="851" w:type="dxa"/>
            <w:shd w:val="clear" w:color="auto" w:fill="FFFFFF"/>
            <w:tcMar>
              <w:top w:w="0" w:type="dxa"/>
              <w:left w:w="85" w:type="dxa"/>
              <w:bottom w:w="0" w:type="dxa"/>
              <w:right w:w="85" w:type="dxa"/>
            </w:tcMar>
          </w:tcPr>
          <w:p w14:paraId="57EA3329"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2011</w:t>
            </w:r>
          </w:p>
        </w:tc>
        <w:tc>
          <w:tcPr>
            <w:tcW w:w="2082" w:type="dxa"/>
            <w:shd w:val="clear" w:color="auto" w:fill="FFFFFF"/>
            <w:tcMar>
              <w:top w:w="0" w:type="dxa"/>
              <w:left w:w="85" w:type="dxa"/>
              <w:bottom w:w="0" w:type="dxa"/>
              <w:right w:w="85" w:type="dxa"/>
            </w:tcMar>
          </w:tcPr>
          <w:p w14:paraId="4EB9A38E"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2,330.1</w:t>
            </w:r>
          </w:p>
        </w:tc>
        <w:tc>
          <w:tcPr>
            <w:tcW w:w="2584" w:type="dxa"/>
            <w:shd w:val="clear" w:color="auto" w:fill="FFFFFF"/>
            <w:tcMar>
              <w:top w:w="0" w:type="dxa"/>
              <w:left w:w="85" w:type="dxa"/>
              <w:bottom w:w="0" w:type="dxa"/>
              <w:right w:w="85" w:type="dxa"/>
            </w:tcMar>
          </w:tcPr>
          <w:p w14:paraId="42C45B7F"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182.4</w:t>
            </w:r>
          </w:p>
        </w:tc>
        <w:tc>
          <w:tcPr>
            <w:tcW w:w="2039" w:type="dxa"/>
            <w:shd w:val="clear" w:color="auto" w:fill="FFFFFF"/>
            <w:tcMar>
              <w:top w:w="0" w:type="dxa"/>
              <w:left w:w="85" w:type="dxa"/>
              <w:bottom w:w="0" w:type="dxa"/>
              <w:right w:w="85" w:type="dxa"/>
            </w:tcMar>
          </w:tcPr>
          <w:p w14:paraId="01F6F9F9"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NO</w:t>
            </w:r>
          </w:p>
        </w:tc>
        <w:tc>
          <w:tcPr>
            <w:tcW w:w="938" w:type="dxa"/>
            <w:shd w:val="clear" w:color="auto" w:fill="FFFFFF"/>
            <w:tcMar>
              <w:top w:w="0" w:type="dxa"/>
              <w:left w:w="85" w:type="dxa"/>
              <w:bottom w:w="0" w:type="dxa"/>
              <w:right w:w="85" w:type="dxa"/>
            </w:tcMar>
          </w:tcPr>
          <w:p w14:paraId="7AE068F8"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2,512.5</w:t>
            </w:r>
          </w:p>
        </w:tc>
      </w:tr>
      <w:tr w:rsidR="00E87995" w:rsidRPr="009E06AA" w14:paraId="50C335AB" w14:textId="77777777" w:rsidTr="00B55F24">
        <w:trPr>
          <w:trHeight w:val="283"/>
        </w:trPr>
        <w:tc>
          <w:tcPr>
            <w:tcW w:w="851" w:type="dxa"/>
            <w:shd w:val="clear" w:color="auto" w:fill="FFFFFF"/>
            <w:tcMar>
              <w:top w:w="0" w:type="dxa"/>
              <w:left w:w="85" w:type="dxa"/>
              <w:bottom w:w="0" w:type="dxa"/>
              <w:right w:w="85" w:type="dxa"/>
            </w:tcMar>
          </w:tcPr>
          <w:p w14:paraId="2E16EFD2"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2012</w:t>
            </w:r>
          </w:p>
        </w:tc>
        <w:tc>
          <w:tcPr>
            <w:tcW w:w="2082" w:type="dxa"/>
            <w:shd w:val="clear" w:color="auto" w:fill="FFFFFF"/>
            <w:tcMar>
              <w:top w:w="0" w:type="dxa"/>
              <w:left w:w="85" w:type="dxa"/>
              <w:bottom w:w="0" w:type="dxa"/>
              <w:right w:w="85" w:type="dxa"/>
            </w:tcMar>
          </w:tcPr>
          <w:p w14:paraId="40FB0D60"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2,335.8</w:t>
            </w:r>
          </w:p>
        </w:tc>
        <w:tc>
          <w:tcPr>
            <w:tcW w:w="2584" w:type="dxa"/>
            <w:shd w:val="clear" w:color="auto" w:fill="FFFFFF"/>
            <w:tcMar>
              <w:top w:w="0" w:type="dxa"/>
              <w:left w:w="85" w:type="dxa"/>
              <w:bottom w:w="0" w:type="dxa"/>
              <w:right w:w="85" w:type="dxa"/>
            </w:tcMar>
          </w:tcPr>
          <w:p w14:paraId="7A3CFDA7"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179.1</w:t>
            </w:r>
          </w:p>
        </w:tc>
        <w:tc>
          <w:tcPr>
            <w:tcW w:w="2039" w:type="dxa"/>
            <w:shd w:val="clear" w:color="auto" w:fill="FFFFFF"/>
            <w:tcMar>
              <w:top w:w="0" w:type="dxa"/>
              <w:left w:w="85" w:type="dxa"/>
              <w:bottom w:w="0" w:type="dxa"/>
              <w:right w:w="85" w:type="dxa"/>
            </w:tcMar>
          </w:tcPr>
          <w:p w14:paraId="10DBF172"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NO</w:t>
            </w:r>
          </w:p>
        </w:tc>
        <w:tc>
          <w:tcPr>
            <w:tcW w:w="938" w:type="dxa"/>
            <w:shd w:val="clear" w:color="auto" w:fill="FFFFFF"/>
            <w:tcMar>
              <w:top w:w="0" w:type="dxa"/>
              <w:left w:w="85" w:type="dxa"/>
              <w:bottom w:w="0" w:type="dxa"/>
              <w:right w:w="85" w:type="dxa"/>
            </w:tcMar>
          </w:tcPr>
          <w:p w14:paraId="60CA6CF7"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2,515.0</w:t>
            </w:r>
          </w:p>
        </w:tc>
      </w:tr>
      <w:tr w:rsidR="00E87995" w:rsidRPr="009E06AA" w14:paraId="7FE6A17F" w14:textId="77777777" w:rsidTr="00B55F24">
        <w:trPr>
          <w:trHeight w:val="283"/>
        </w:trPr>
        <w:tc>
          <w:tcPr>
            <w:tcW w:w="851" w:type="dxa"/>
            <w:shd w:val="clear" w:color="auto" w:fill="FFFFFF"/>
            <w:tcMar>
              <w:top w:w="0" w:type="dxa"/>
              <w:left w:w="85" w:type="dxa"/>
              <w:bottom w:w="0" w:type="dxa"/>
              <w:right w:w="85" w:type="dxa"/>
            </w:tcMar>
          </w:tcPr>
          <w:p w14:paraId="6BEEB736"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2013</w:t>
            </w:r>
          </w:p>
        </w:tc>
        <w:tc>
          <w:tcPr>
            <w:tcW w:w="2082" w:type="dxa"/>
            <w:shd w:val="clear" w:color="auto" w:fill="FFFFFF"/>
            <w:tcMar>
              <w:top w:w="0" w:type="dxa"/>
              <w:left w:w="85" w:type="dxa"/>
              <w:bottom w:w="0" w:type="dxa"/>
              <w:right w:w="85" w:type="dxa"/>
            </w:tcMar>
          </w:tcPr>
          <w:p w14:paraId="3FF78781"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2,524.2</w:t>
            </w:r>
          </w:p>
        </w:tc>
        <w:tc>
          <w:tcPr>
            <w:tcW w:w="2584" w:type="dxa"/>
            <w:shd w:val="clear" w:color="auto" w:fill="FFFFFF"/>
            <w:tcMar>
              <w:top w:w="0" w:type="dxa"/>
              <w:left w:w="85" w:type="dxa"/>
              <w:bottom w:w="0" w:type="dxa"/>
              <w:right w:w="85" w:type="dxa"/>
            </w:tcMar>
          </w:tcPr>
          <w:p w14:paraId="1616477E"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161.2</w:t>
            </w:r>
          </w:p>
        </w:tc>
        <w:tc>
          <w:tcPr>
            <w:tcW w:w="2039" w:type="dxa"/>
            <w:shd w:val="clear" w:color="auto" w:fill="FFFFFF"/>
            <w:tcMar>
              <w:top w:w="0" w:type="dxa"/>
              <w:left w:w="85" w:type="dxa"/>
              <w:bottom w:w="0" w:type="dxa"/>
              <w:right w:w="85" w:type="dxa"/>
            </w:tcMar>
          </w:tcPr>
          <w:p w14:paraId="6FC16844"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NO</w:t>
            </w:r>
          </w:p>
        </w:tc>
        <w:tc>
          <w:tcPr>
            <w:tcW w:w="938" w:type="dxa"/>
            <w:shd w:val="clear" w:color="auto" w:fill="FFFFFF"/>
            <w:tcMar>
              <w:top w:w="0" w:type="dxa"/>
              <w:left w:w="85" w:type="dxa"/>
              <w:bottom w:w="0" w:type="dxa"/>
              <w:right w:w="85" w:type="dxa"/>
            </w:tcMar>
          </w:tcPr>
          <w:p w14:paraId="69C9DB15"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2,685.4</w:t>
            </w:r>
          </w:p>
        </w:tc>
      </w:tr>
      <w:tr w:rsidR="00E87995" w:rsidRPr="009E06AA" w14:paraId="40071932" w14:textId="77777777" w:rsidTr="00B55F24">
        <w:trPr>
          <w:trHeight w:val="283"/>
        </w:trPr>
        <w:tc>
          <w:tcPr>
            <w:tcW w:w="851" w:type="dxa"/>
            <w:shd w:val="clear" w:color="auto" w:fill="FFFFFF"/>
            <w:tcMar>
              <w:top w:w="0" w:type="dxa"/>
              <w:left w:w="85" w:type="dxa"/>
              <w:bottom w:w="0" w:type="dxa"/>
              <w:right w:w="85" w:type="dxa"/>
            </w:tcMar>
          </w:tcPr>
          <w:p w14:paraId="4DCE826B"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2014</w:t>
            </w:r>
          </w:p>
        </w:tc>
        <w:tc>
          <w:tcPr>
            <w:tcW w:w="2082" w:type="dxa"/>
            <w:shd w:val="clear" w:color="auto" w:fill="FFFFFF"/>
            <w:tcMar>
              <w:top w:w="0" w:type="dxa"/>
              <w:left w:w="85" w:type="dxa"/>
              <w:bottom w:w="0" w:type="dxa"/>
              <w:right w:w="85" w:type="dxa"/>
            </w:tcMar>
          </w:tcPr>
          <w:p w14:paraId="066E1153"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2,776.8</w:t>
            </w:r>
          </w:p>
        </w:tc>
        <w:tc>
          <w:tcPr>
            <w:tcW w:w="2584" w:type="dxa"/>
            <w:shd w:val="clear" w:color="auto" w:fill="FFFFFF"/>
            <w:tcMar>
              <w:top w:w="0" w:type="dxa"/>
              <w:left w:w="85" w:type="dxa"/>
              <w:bottom w:w="0" w:type="dxa"/>
              <w:right w:w="85" w:type="dxa"/>
            </w:tcMar>
          </w:tcPr>
          <w:p w14:paraId="479B5772"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156.2</w:t>
            </w:r>
          </w:p>
        </w:tc>
        <w:tc>
          <w:tcPr>
            <w:tcW w:w="2039" w:type="dxa"/>
            <w:shd w:val="clear" w:color="auto" w:fill="FFFFFF"/>
            <w:tcMar>
              <w:top w:w="0" w:type="dxa"/>
              <w:left w:w="85" w:type="dxa"/>
              <w:bottom w:w="0" w:type="dxa"/>
              <w:right w:w="85" w:type="dxa"/>
            </w:tcMar>
          </w:tcPr>
          <w:p w14:paraId="2D769665"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NO</w:t>
            </w:r>
          </w:p>
        </w:tc>
        <w:tc>
          <w:tcPr>
            <w:tcW w:w="938" w:type="dxa"/>
            <w:shd w:val="clear" w:color="auto" w:fill="FFFFFF"/>
            <w:tcMar>
              <w:top w:w="0" w:type="dxa"/>
              <w:left w:w="85" w:type="dxa"/>
              <w:bottom w:w="0" w:type="dxa"/>
              <w:right w:w="85" w:type="dxa"/>
            </w:tcMar>
          </w:tcPr>
          <w:p w14:paraId="39745C56"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2,933.1</w:t>
            </w:r>
          </w:p>
        </w:tc>
      </w:tr>
      <w:tr w:rsidR="00E87995" w:rsidRPr="009E06AA" w14:paraId="67ED4AD4" w14:textId="77777777" w:rsidTr="00B55F24">
        <w:trPr>
          <w:trHeight w:val="283"/>
        </w:trPr>
        <w:tc>
          <w:tcPr>
            <w:tcW w:w="851" w:type="dxa"/>
            <w:shd w:val="clear" w:color="auto" w:fill="FFFFFF"/>
            <w:tcMar>
              <w:top w:w="0" w:type="dxa"/>
              <w:left w:w="85" w:type="dxa"/>
              <w:bottom w:w="0" w:type="dxa"/>
              <w:right w:w="85" w:type="dxa"/>
            </w:tcMar>
          </w:tcPr>
          <w:p w14:paraId="6B5E77B7"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2015</w:t>
            </w:r>
          </w:p>
        </w:tc>
        <w:tc>
          <w:tcPr>
            <w:tcW w:w="2082" w:type="dxa"/>
            <w:shd w:val="clear" w:color="auto" w:fill="FFFFFF"/>
            <w:tcMar>
              <w:top w:w="0" w:type="dxa"/>
              <w:left w:w="85" w:type="dxa"/>
              <w:bottom w:w="0" w:type="dxa"/>
              <w:right w:w="85" w:type="dxa"/>
            </w:tcMar>
          </w:tcPr>
          <w:p w14:paraId="22239E8B"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3,053.9</w:t>
            </w:r>
          </w:p>
        </w:tc>
        <w:tc>
          <w:tcPr>
            <w:tcW w:w="2584" w:type="dxa"/>
            <w:shd w:val="clear" w:color="auto" w:fill="FFFFFF"/>
            <w:tcMar>
              <w:top w:w="0" w:type="dxa"/>
              <w:left w:w="85" w:type="dxa"/>
              <w:bottom w:w="0" w:type="dxa"/>
              <w:right w:w="85" w:type="dxa"/>
            </w:tcMar>
          </w:tcPr>
          <w:p w14:paraId="4B860619"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168.5</w:t>
            </w:r>
          </w:p>
        </w:tc>
        <w:tc>
          <w:tcPr>
            <w:tcW w:w="2039" w:type="dxa"/>
            <w:shd w:val="clear" w:color="auto" w:fill="FFFFFF"/>
            <w:tcMar>
              <w:top w:w="0" w:type="dxa"/>
              <w:left w:w="85" w:type="dxa"/>
              <w:bottom w:w="0" w:type="dxa"/>
              <w:right w:w="85" w:type="dxa"/>
            </w:tcMar>
          </w:tcPr>
          <w:p w14:paraId="6FA4D17C"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NO</w:t>
            </w:r>
          </w:p>
        </w:tc>
        <w:tc>
          <w:tcPr>
            <w:tcW w:w="938" w:type="dxa"/>
            <w:shd w:val="clear" w:color="auto" w:fill="FFFFFF"/>
            <w:tcMar>
              <w:top w:w="0" w:type="dxa"/>
              <w:left w:w="85" w:type="dxa"/>
              <w:bottom w:w="0" w:type="dxa"/>
              <w:right w:w="85" w:type="dxa"/>
            </w:tcMar>
          </w:tcPr>
          <w:p w14:paraId="21056B2C"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3,222.4</w:t>
            </w:r>
          </w:p>
        </w:tc>
      </w:tr>
      <w:tr w:rsidR="00E87995" w:rsidRPr="009E06AA" w14:paraId="4ECE507E" w14:textId="77777777" w:rsidTr="00B55F24">
        <w:trPr>
          <w:trHeight w:val="283"/>
        </w:trPr>
        <w:tc>
          <w:tcPr>
            <w:tcW w:w="851" w:type="dxa"/>
            <w:shd w:val="clear" w:color="auto" w:fill="FFFFFF"/>
            <w:tcMar>
              <w:top w:w="0" w:type="dxa"/>
              <w:left w:w="85" w:type="dxa"/>
              <w:bottom w:w="0" w:type="dxa"/>
              <w:right w:w="85" w:type="dxa"/>
            </w:tcMar>
          </w:tcPr>
          <w:p w14:paraId="155C8AAC"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2016</w:t>
            </w:r>
          </w:p>
        </w:tc>
        <w:tc>
          <w:tcPr>
            <w:tcW w:w="2082" w:type="dxa"/>
            <w:shd w:val="clear" w:color="auto" w:fill="FFFFFF"/>
            <w:tcMar>
              <w:top w:w="0" w:type="dxa"/>
              <w:left w:w="85" w:type="dxa"/>
              <w:bottom w:w="0" w:type="dxa"/>
              <w:right w:w="85" w:type="dxa"/>
            </w:tcMar>
          </w:tcPr>
          <w:p w14:paraId="1A40B24B"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3,232.9</w:t>
            </w:r>
          </w:p>
        </w:tc>
        <w:tc>
          <w:tcPr>
            <w:tcW w:w="2584" w:type="dxa"/>
            <w:shd w:val="clear" w:color="auto" w:fill="FFFFFF"/>
            <w:tcMar>
              <w:top w:w="0" w:type="dxa"/>
              <w:left w:w="85" w:type="dxa"/>
              <w:bottom w:w="0" w:type="dxa"/>
              <w:right w:w="85" w:type="dxa"/>
            </w:tcMar>
          </w:tcPr>
          <w:p w14:paraId="3F049780"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172.1</w:t>
            </w:r>
          </w:p>
        </w:tc>
        <w:tc>
          <w:tcPr>
            <w:tcW w:w="2039" w:type="dxa"/>
            <w:shd w:val="clear" w:color="auto" w:fill="FFFFFF"/>
            <w:tcMar>
              <w:top w:w="0" w:type="dxa"/>
              <w:left w:w="85" w:type="dxa"/>
              <w:bottom w:w="0" w:type="dxa"/>
              <w:right w:w="85" w:type="dxa"/>
            </w:tcMar>
          </w:tcPr>
          <w:p w14:paraId="2E34E271"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NO</w:t>
            </w:r>
          </w:p>
        </w:tc>
        <w:tc>
          <w:tcPr>
            <w:tcW w:w="938" w:type="dxa"/>
            <w:shd w:val="clear" w:color="auto" w:fill="FFFFFF"/>
            <w:tcMar>
              <w:top w:w="0" w:type="dxa"/>
              <w:left w:w="85" w:type="dxa"/>
              <w:bottom w:w="0" w:type="dxa"/>
              <w:right w:w="85" w:type="dxa"/>
            </w:tcMar>
          </w:tcPr>
          <w:p w14:paraId="3DDFD3D4"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3,404.9</w:t>
            </w:r>
          </w:p>
        </w:tc>
      </w:tr>
      <w:tr w:rsidR="00E87995" w:rsidRPr="009E06AA" w14:paraId="0B036092" w14:textId="77777777" w:rsidTr="00B55F24">
        <w:trPr>
          <w:trHeight w:val="283"/>
        </w:trPr>
        <w:tc>
          <w:tcPr>
            <w:tcW w:w="851" w:type="dxa"/>
            <w:shd w:val="clear" w:color="auto" w:fill="FFFFFF"/>
            <w:tcMar>
              <w:top w:w="0" w:type="dxa"/>
              <w:left w:w="85" w:type="dxa"/>
              <w:bottom w:w="0" w:type="dxa"/>
              <w:right w:w="85" w:type="dxa"/>
            </w:tcMar>
          </w:tcPr>
          <w:p w14:paraId="5BF2E1DD"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2017</w:t>
            </w:r>
          </w:p>
        </w:tc>
        <w:tc>
          <w:tcPr>
            <w:tcW w:w="2082" w:type="dxa"/>
            <w:shd w:val="clear" w:color="auto" w:fill="FFFFFF"/>
            <w:tcMar>
              <w:top w:w="0" w:type="dxa"/>
              <w:left w:w="85" w:type="dxa"/>
              <w:bottom w:w="0" w:type="dxa"/>
              <w:right w:w="85" w:type="dxa"/>
            </w:tcMar>
          </w:tcPr>
          <w:p w14:paraId="0FCFD14D"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3,349.1</w:t>
            </w:r>
          </w:p>
        </w:tc>
        <w:tc>
          <w:tcPr>
            <w:tcW w:w="2584" w:type="dxa"/>
            <w:shd w:val="clear" w:color="auto" w:fill="FFFFFF"/>
            <w:tcMar>
              <w:top w:w="0" w:type="dxa"/>
              <w:left w:w="85" w:type="dxa"/>
              <w:bottom w:w="0" w:type="dxa"/>
              <w:right w:w="85" w:type="dxa"/>
            </w:tcMar>
          </w:tcPr>
          <w:p w14:paraId="329D2DAC"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145.2</w:t>
            </w:r>
          </w:p>
        </w:tc>
        <w:tc>
          <w:tcPr>
            <w:tcW w:w="2039" w:type="dxa"/>
            <w:shd w:val="clear" w:color="auto" w:fill="FFFFFF"/>
            <w:tcMar>
              <w:top w:w="0" w:type="dxa"/>
              <w:left w:w="85" w:type="dxa"/>
              <w:bottom w:w="0" w:type="dxa"/>
              <w:right w:w="85" w:type="dxa"/>
            </w:tcMar>
          </w:tcPr>
          <w:p w14:paraId="52EDE9E3"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NO</w:t>
            </w:r>
          </w:p>
        </w:tc>
        <w:tc>
          <w:tcPr>
            <w:tcW w:w="938" w:type="dxa"/>
            <w:shd w:val="clear" w:color="auto" w:fill="FFFFFF"/>
            <w:tcMar>
              <w:top w:w="0" w:type="dxa"/>
              <w:left w:w="85" w:type="dxa"/>
              <w:bottom w:w="0" w:type="dxa"/>
              <w:right w:w="85" w:type="dxa"/>
            </w:tcMar>
          </w:tcPr>
          <w:p w14:paraId="0C329178"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3,494.3</w:t>
            </w:r>
          </w:p>
        </w:tc>
      </w:tr>
      <w:tr w:rsidR="00E87995" w:rsidRPr="009E06AA" w14:paraId="002CAF46" w14:textId="77777777" w:rsidTr="00B55F24">
        <w:trPr>
          <w:trHeight w:val="283"/>
        </w:trPr>
        <w:tc>
          <w:tcPr>
            <w:tcW w:w="851" w:type="dxa"/>
            <w:shd w:val="clear" w:color="auto" w:fill="FFFFFF"/>
            <w:tcMar>
              <w:top w:w="0" w:type="dxa"/>
              <w:left w:w="85" w:type="dxa"/>
              <w:bottom w:w="0" w:type="dxa"/>
              <w:right w:w="85" w:type="dxa"/>
            </w:tcMar>
          </w:tcPr>
          <w:p w14:paraId="1B9C6874"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2018</w:t>
            </w:r>
          </w:p>
        </w:tc>
        <w:tc>
          <w:tcPr>
            <w:tcW w:w="2082" w:type="dxa"/>
            <w:shd w:val="clear" w:color="auto" w:fill="FFFFFF"/>
            <w:tcMar>
              <w:top w:w="0" w:type="dxa"/>
              <w:left w:w="85" w:type="dxa"/>
              <w:bottom w:w="0" w:type="dxa"/>
              <w:right w:w="85" w:type="dxa"/>
            </w:tcMar>
          </w:tcPr>
          <w:p w14:paraId="5A5FF272"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3,610.1</w:t>
            </w:r>
          </w:p>
        </w:tc>
        <w:tc>
          <w:tcPr>
            <w:tcW w:w="2584" w:type="dxa"/>
            <w:shd w:val="clear" w:color="auto" w:fill="FFFFFF"/>
            <w:tcMar>
              <w:top w:w="0" w:type="dxa"/>
              <w:left w:w="85" w:type="dxa"/>
              <w:bottom w:w="0" w:type="dxa"/>
              <w:right w:w="85" w:type="dxa"/>
            </w:tcMar>
          </w:tcPr>
          <w:p w14:paraId="2DE4E41E"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95.1</w:t>
            </w:r>
          </w:p>
        </w:tc>
        <w:tc>
          <w:tcPr>
            <w:tcW w:w="2039" w:type="dxa"/>
            <w:shd w:val="clear" w:color="auto" w:fill="FFFFFF"/>
            <w:tcMar>
              <w:top w:w="0" w:type="dxa"/>
              <w:left w:w="85" w:type="dxa"/>
              <w:bottom w:w="0" w:type="dxa"/>
              <w:right w:w="85" w:type="dxa"/>
            </w:tcMar>
          </w:tcPr>
          <w:p w14:paraId="41103188"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NO</w:t>
            </w:r>
          </w:p>
        </w:tc>
        <w:tc>
          <w:tcPr>
            <w:tcW w:w="938" w:type="dxa"/>
            <w:shd w:val="clear" w:color="auto" w:fill="FFFFFF"/>
            <w:tcMar>
              <w:top w:w="0" w:type="dxa"/>
              <w:left w:w="85" w:type="dxa"/>
              <w:bottom w:w="0" w:type="dxa"/>
              <w:right w:w="85" w:type="dxa"/>
            </w:tcMar>
          </w:tcPr>
          <w:p w14:paraId="2549180F"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3,705.3</w:t>
            </w:r>
          </w:p>
        </w:tc>
      </w:tr>
      <w:tr w:rsidR="00E87995" w:rsidRPr="009E06AA" w14:paraId="0023D928" w14:textId="77777777" w:rsidTr="00B55F24">
        <w:trPr>
          <w:trHeight w:val="283"/>
        </w:trPr>
        <w:tc>
          <w:tcPr>
            <w:tcW w:w="851" w:type="dxa"/>
            <w:shd w:val="clear" w:color="auto" w:fill="FFFFFF"/>
            <w:tcMar>
              <w:top w:w="0" w:type="dxa"/>
              <w:left w:w="85" w:type="dxa"/>
              <w:bottom w:w="0" w:type="dxa"/>
              <w:right w:w="85" w:type="dxa"/>
            </w:tcMar>
          </w:tcPr>
          <w:p w14:paraId="4D4CD045"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2019</w:t>
            </w:r>
          </w:p>
        </w:tc>
        <w:tc>
          <w:tcPr>
            <w:tcW w:w="2082" w:type="dxa"/>
            <w:shd w:val="clear" w:color="auto" w:fill="FFFFFF"/>
            <w:tcMar>
              <w:top w:w="0" w:type="dxa"/>
              <w:left w:w="85" w:type="dxa"/>
              <w:bottom w:w="0" w:type="dxa"/>
              <w:right w:w="85" w:type="dxa"/>
            </w:tcMar>
          </w:tcPr>
          <w:p w14:paraId="16DEB79E"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3,405.8</w:t>
            </w:r>
          </w:p>
        </w:tc>
        <w:tc>
          <w:tcPr>
            <w:tcW w:w="2584" w:type="dxa"/>
            <w:shd w:val="clear" w:color="auto" w:fill="FFFFFF"/>
            <w:tcMar>
              <w:top w:w="0" w:type="dxa"/>
              <w:left w:w="85" w:type="dxa"/>
              <w:bottom w:w="0" w:type="dxa"/>
              <w:right w:w="85" w:type="dxa"/>
            </w:tcMar>
          </w:tcPr>
          <w:p w14:paraId="7936F45F"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93.9</w:t>
            </w:r>
          </w:p>
        </w:tc>
        <w:tc>
          <w:tcPr>
            <w:tcW w:w="2039" w:type="dxa"/>
            <w:shd w:val="clear" w:color="auto" w:fill="FFFFFF"/>
            <w:tcMar>
              <w:top w:w="0" w:type="dxa"/>
              <w:left w:w="85" w:type="dxa"/>
              <w:bottom w:w="0" w:type="dxa"/>
              <w:right w:w="85" w:type="dxa"/>
            </w:tcMar>
          </w:tcPr>
          <w:p w14:paraId="4C49E7C2"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NO</w:t>
            </w:r>
          </w:p>
        </w:tc>
        <w:tc>
          <w:tcPr>
            <w:tcW w:w="938" w:type="dxa"/>
            <w:shd w:val="clear" w:color="auto" w:fill="FFFFFF"/>
            <w:tcMar>
              <w:top w:w="0" w:type="dxa"/>
              <w:left w:w="85" w:type="dxa"/>
              <w:bottom w:w="0" w:type="dxa"/>
              <w:right w:w="85" w:type="dxa"/>
            </w:tcMar>
          </w:tcPr>
          <w:p w14:paraId="4A4CD212"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3,499.7</w:t>
            </w:r>
          </w:p>
        </w:tc>
      </w:tr>
      <w:tr w:rsidR="00E87995" w:rsidRPr="009E06AA" w14:paraId="3D22B45D" w14:textId="77777777" w:rsidTr="00B55F24">
        <w:trPr>
          <w:trHeight w:val="283"/>
        </w:trPr>
        <w:tc>
          <w:tcPr>
            <w:tcW w:w="851" w:type="dxa"/>
            <w:shd w:val="clear" w:color="auto" w:fill="FFFFFF"/>
            <w:tcMar>
              <w:top w:w="0" w:type="dxa"/>
              <w:left w:w="85" w:type="dxa"/>
              <w:bottom w:w="0" w:type="dxa"/>
              <w:right w:w="85" w:type="dxa"/>
            </w:tcMar>
          </w:tcPr>
          <w:p w14:paraId="7A4E741F"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2020</w:t>
            </w:r>
          </w:p>
        </w:tc>
        <w:tc>
          <w:tcPr>
            <w:tcW w:w="2082" w:type="dxa"/>
            <w:shd w:val="clear" w:color="auto" w:fill="FFFFFF"/>
            <w:tcMar>
              <w:top w:w="0" w:type="dxa"/>
              <w:left w:w="85" w:type="dxa"/>
              <w:bottom w:w="0" w:type="dxa"/>
              <w:right w:w="85" w:type="dxa"/>
            </w:tcMar>
          </w:tcPr>
          <w:p w14:paraId="2EC9C9FE"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3,297.2</w:t>
            </w:r>
          </w:p>
        </w:tc>
        <w:tc>
          <w:tcPr>
            <w:tcW w:w="2584" w:type="dxa"/>
            <w:shd w:val="clear" w:color="auto" w:fill="FFFFFF"/>
            <w:tcMar>
              <w:top w:w="0" w:type="dxa"/>
              <w:left w:w="85" w:type="dxa"/>
              <w:bottom w:w="0" w:type="dxa"/>
              <w:right w:w="85" w:type="dxa"/>
            </w:tcMar>
          </w:tcPr>
          <w:p w14:paraId="0E56D963"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85.8</w:t>
            </w:r>
          </w:p>
        </w:tc>
        <w:tc>
          <w:tcPr>
            <w:tcW w:w="2039" w:type="dxa"/>
            <w:shd w:val="clear" w:color="auto" w:fill="FFFFFF"/>
            <w:tcMar>
              <w:top w:w="0" w:type="dxa"/>
              <w:left w:w="85" w:type="dxa"/>
              <w:bottom w:w="0" w:type="dxa"/>
              <w:right w:w="85" w:type="dxa"/>
            </w:tcMar>
          </w:tcPr>
          <w:p w14:paraId="34DE62B6"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NO</w:t>
            </w:r>
          </w:p>
        </w:tc>
        <w:tc>
          <w:tcPr>
            <w:tcW w:w="938" w:type="dxa"/>
            <w:shd w:val="clear" w:color="auto" w:fill="FFFFFF"/>
            <w:tcMar>
              <w:top w:w="0" w:type="dxa"/>
              <w:left w:w="85" w:type="dxa"/>
              <w:bottom w:w="0" w:type="dxa"/>
              <w:right w:w="85" w:type="dxa"/>
            </w:tcMar>
          </w:tcPr>
          <w:p w14:paraId="527DBF5A"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3,382.9</w:t>
            </w:r>
          </w:p>
        </w:tc>
      </w:tr>
      <w:tr w:rsidR="00E87995" w:rsidRPr="009E06AA" w14:paraId="3E8BABF8" w14:textId="77777777" w:rsidTr="00B55F24">
        <w:trPr>
          <w:trHeight w:val="283"/>
        </w:trPr>
        <w:tc>
          <w:tcPr>
            <w:tcW w:w="851" w:type="dxa"/>
            <w:shd w:val="clear" w:color="auto" w:fill="FFFFFF"/>
            <w:tcMar>
              <w:top w:w="0" w:type="dxa"/>
              <w:left w:w="85" w:type="dxa"/>
              <w:bottom w:w="0" w:type="dxa"/>
              <w:right w:w="85" w:type="dxa"/>
            </w:tcMar>
          </w:tcPr>
          <w:p w14:paraId="776E375D" w14:textId="77777777" w:rsidR="00E87995" w:rsidRPr="009E06AA" w:rsidRDefault="00E87995" w:rsidP="00B55F24">
            <w:pPr>
              <w:pStyle w:val="TableTextBold"/>
              <w:spacing w:before="40" w:after="40"/>
              <w:rPr>
                <w:rFonts w:cs="Calibri"/>
                <w:noProof w:val="0"/>
                <w:szCs w:val="16"/>
              </w:rPr>
            </w:pPr>
            <w:r w:rsidRPr="009E06AA">
              <w:rPr>
                <w:rFonts w:cs="Calibri"/>
                <w:noProof w:val="0"/>
                <w:color w:val="1B556B"/>
                <w:szCs w:val="16"/>
              </w:rPr>
              <w:t>2021</w:t>
            </w:r>
          </w:p>
        </w:tc>
        <w:tc>
          <w:tcPr>
            <w:tcW w:w="2082" w:type="dxa"/>
            <w:shd w:val="clear" w:color="auto" w:fill="FFFFFF"/>
            <w:tcMar>
              <w:top w:w="0" w:type="dxa"/>
              <w:left w:w="85" w:type="dxa"/>
              <w:bottom w:w="0" w:type="dxa"/>
              <w:right w:w="85" w:type="dxa"/>
            </w:tcMar>
          </w:tcPr>
          <w:p w14:paraId="5A4ED3FC"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3,424.8</w:t>
            </w:r>
          </w:p>
        </w:tc>
        <w:tc>
          <w:tcPr>
            <w:tcW w:w="2584" w:type="dxa"/>
            <w:shd w:val="clear" w:color="auto" w:fill="FFFFFF"/>
            <w:tcMar>
              <w:top w:w="0" w:type="dxa"/>
              <w:left w:w="85" w:type="dxa"/>
              <w:bottom w:w="0" w:type="dxa"/>
              <w:right w:w="85" w:type="dxa"/>
            </w:tcMar>
          </w:tcPr>
          <w:p w14:paraId="1D27454A"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113.0</w:t>
            </w:r>
          </w:p>
        </w:tc>
        <w:tc>
          <w:tcPr>
            <w:tcW w:w="2039" w:type="dxa"/>
            <w:shd w:val="clear" w:color="auto" w:fill="FFFFFF"/>
            <w:tcMar>
              <w:top w:w="0" w:type="dxa"/>
              <w:left w:w="85" w:type="dxa"/>
              <w:bottom w:w="0" w:type="dxa"/>
              <w:right w:w="85" w:type="dxa"/>
            </w:tcMar>
          </w:tcPr>
          <w:p w14:paraId="0699DA17"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NO</w:t>
            </w:r>
          </w:p>
        </w:tc>
        <w:tc>
          <w:tcPr>
            <w:tcW w:w="938" w:type="dxa"/>
            <w:shd w:val="clear" w:color="auto" w:fill="FFFFFF"/>
            <w:tcMar>
              <w:top w:w="0" w:type="dxa"/>
              <w:left w:w="85" w:type="dxa"/>
              <w:bottom w:w="0" w:type="dxa"/>
              <w:right w:w="85" w:type="dxa"/>
            </w:tcMar>
          </w:tcPr>
          <w:p w14:paraId="57504C4B" w14:textId="77777777" w:rsidR="00E87995" w:rsidRPr="009E06AA" w:rsidRDefault="00E87995" w:rsidP="00876E40">
            <w:pPr>
              <w:pStyle w:val="TableText"/>
              <w:spacing w:before="40" w:after="40"/>
              <w:jc w:val="right"/>
              <w:rPr>
                <w:rFonts w:cs="Calibri"/>
                <w:szCs w:val="16"/>
              </w:rPr>
            </w:pPr>
            <w:r w:rsidRPr="009E06AA">
              <w:rPr>
                <w:rFonts w:cs="Calibri"/>
                <w:color w:val="000000"/>
                <w:szCs w:val="16"/>
              </w:rPr>
              <w:t>3,537.8</w:t>
            </w:r>
          </w:p>
        </w:tc>
      </w:tr>
      <w:tr w:rsidR="00E87995" w:rsidRPr="009E06AA" w14:paraId="2EB416CC" w14:textId="77777777" w:rsidTr="00B55F24">
        <w:trPr>
          <w:trHeight w:val="283"/>
        </w:trPr>
        <w:tc>
          <w:tcPr>
            <w:tcW w:w="851" w:type="dxa"/>
            <w:shd w:val="clear" w:color="auto" w:fill="FFFFFF"/>
            <w:tcMar>
              <w:top w:w="0" w:type="dxa"/>
              <w:left w:w="85" w:type="dxa"/>
              <w:bottom w:w="0" w:type="dxa"/>
              <w:right w:w="85" w:type="dxa"/>
            </w:tcMar>
          </w:tcPr>
          <w:p w14:paraId="0F5110F4" w14:textId="77777777" w:rsidR="00E87995" w:rsidRPr="009E06AA" w:rsidRDefault="00E87995" w:rsidP="00B55F24">
            <w:pPr>
              <w:pStyle w:val="TableTextBold"/>
              <w:spacing w:before="40" w:after="40"/>
              <w:rPr>
                <w:rFonts w:cs="Calibri"/>
                <w:noProof w:val="0"/>
                <w:szCs w:val="16"/>
              </w:rPr>
            </w:pPr>
            <w:r w:rsidRPr="009E06AA">
              <w:rPr>
                <w:rFonts w:eastAsia="Calibri" w:cs="Calibri"/>
                <w:noProof w:val="0"/>
                <w:color w:val="1B556B"/>
                <w:szCs w:val="16"/>
              </w:rPr>
              <w:t>2022</w:t>
            </w:r>
          </w:p>
        </w:tc>
        <w:tc>
          <w:tcPr>
            <w:tcW w:w="2082" w:type="dxa"/>
            <w:shd w:val="clear" w:color="auto" w:fill="FFFFFF"/>
            <w:tcMar>
              <w:top w:w="0" w:type="dxa"/>
              <w:left w:w="85" w:type="dxa"/>
              <w:bottom w:w="0" w:type="dxa"/>
              <w:right w:w="85" w:type="dxa"/>
            </w:tcMar>
          </w:tcPr>
          <w:p w14:paraId="34041B89" w14:textId="77777777" w:rsidR="00E87995" w:rsidRPr="009E06AA" w:rsidRDefault="00E87995" w:rsidP="00876E40">
            <w:pPr>
              <w:pStyle w:val="TableText"/>
              <w:spacing w:before="40" w:after="40"/>
              <w:jc w:val="right"/>
              <w:rPr>
                <w:rFonts w:cs="Calibri"/>
                <w:szCs w:val="16"/>
              </w:rPr>
            </w:pPr>
            <w:r w:rsidRPr="009E06AA">
              <w:rPr>
                <w:rFonts w:eastAsia="Calibri" w:cs="Calibri"/>
                <w:color w:val="000000"/>
                <w:szCs w:val="16"/>
              </w:rPr>
              <w:t>3,472.4</w:t>
            </w:r>
          </w:p>
        </w:tc>
        <w:tc>
          <w:tcPr>
            <w:tcW w:w="2584" w:type="dxa"/>
            <w:shd w:val="clear" w:color="auto" w:fill="FFFFFF"/>
            <w:tcMar>
              <w:top w:w="0" w:type="dxa"/>
              <w:left w:w="85" w:type="dxa"/>
              <w:bottom w:w="0" w:type="dxa"/>
              <w:right w:w="85" w:type="dxa"/>
            </w:tcMar>
          </w:tcPr>
          <w:p w14:paraId="1CA127C5" w14:textId="77777777" w:rsidR="00E87995" w:rsidRPr="009E06AA" w:rsidRDefault="00E87995" w:rsidP="00876E40">
            <w:pPr>
              <w:pStyle w:val="TableText"/>
              <w:spacing w:before="40" w:after="40"/>
              <w:jc w:val="right"/>
              <w:rPr>
                <w:rFonts w:cs="Calibri"/>
                <w:szCs w:val="16"/>
              </w:rPr>
            </w:pPr>
            <w:r w:rsidRPr="009E06AA">
              <w:rPr>
                <w:rFonts w:eastAsia="Calibri" w:cs="Calibri"/>
                <w:color w:val="000000"/>
                <w:szCs w:val="16"/>
              </w:rPr>
              <w:t>128.9</w:t>
            </w:r>
          </w:p>
        </w:tc>
        <w:tc>
          <w:tcPr>
            <w:tcW w:w="2039" w:type="dxa"/>
            <w:shd w:val="clear" w:color="auto" w:fill="FFFFFF"/>
            <w:tcMar>
              <w:top w:w="0" w:type="dxa"/>
              <w:left w:w="85" w:type="dxa"/>
              <w:bottom w:w="0" w:type="dxa"/>
              <w:right w:w="85" w:type="dxa"/>
            </w:tcMar>
          </w:tcPr>
          <w:p w14:paraId="6D7F719A" w14:textId="77777777" w:rsidR="00E87995" w:rsidRPr="009E06AA" w:rsidRDefault="00E87995" w:rsidP="00876E40">
            <w:pPr>
              <w:pStyle w:val="TableText"/>
              <w:spacing w:before="40" w:after="40"/>
              <w:jc w:val="right"/>
              <w:rPr>
                <w:rFonts w:cs="Calibri"/>
                <w:szCs w:val="16"/>
              </w:rPr>
            </w:pPr>
            <w:r w:rsidRPr="009E06AA">
              <w:rPr>
                <w:rFonts w:eastAsia="Calibri" w:cs="Calibri"/>
                <w:color w:val="000000"/>
                <w:szCs w:val="16"/>
              </w:rPr>
              <w:t>NO</w:t>
            </w:r>
          </w:p>
        </w:tc>
        <w:tc>
          <w:tcPr>
            <w:tcW w:w="938" w:type="dxa"/>
            <w:shd w:val="clear" w:color="auto" w:fill="FFFFFF"/>
            <w:tcMar>
              <w:top w:w="0" w:type="dxa"/>
              <w:left w:w="85" w:type="dxa"/>
              <w:bottom w:w="0" w:type="dxa"/>
              <w:right w:w="85" w:type="dxa"/>
            </w:tcMar>
          </w:tcPr>
          <w:p w14:paraId="4D361442" w14:textId="77777777" w:rsidR="00E87995" w:rsidRPr="009E06AA" w:rsidRDefault="00E87995" w:rsidP="00876E40">
            <w:pPr>
              <w:pStyle w:val="TableText"/>
              <w:spacing w:before="40" w:after="40"/>
              <w:jc w:val="right"/>
              <w:rPr>
                <w:rFonts w:cs="Calibri"/>
                <w:szCs w:val="16"/>
              </w:rPr>
            </w:pPr>
            <w:r w:rsidRPr="009E06AA">
              <w:rPr>
                <w:rFonts w:eastAsia="Calibri" w:cs="Calibri"/>
                <w:color w:val="000000"/>
                <w:szCs w:val="16"/>
              </w:rPr>
              <w:t>3,601.3</w:t>
            </w:r>
          </w:p>
        </w:tc>
      </w:tr>
    </w:tbl>
    <w:p w14:paraId="4DDB5C63" w14:textId="77777777" w:rsidR="00E87995" w:rsidRPr="009E06AA" w:rsidRDefault="00E87995" w:rsidP="00E87995">
      <w:pPr>
        <w:pStyle w:val="Noteundertable"/>
      </w:pPr>
      <w:r w:rsidRPr="009E06AA">
        <w:rPr>
          <w:b/>
          <w:bCs/>
        </w:rPr>
        <w:t>Note:</w:t>
      </w:r>
      <w:r w:rsidRPr="009E06AA">
        <w:rPr>
          <w:b/>
          <w:bCs/>
        </w:rPr>
        <w:tab/>
      </w:r>
      <w:r w:rsidRPr="009E06AA">
        <w:t>LFG = landfill gas; NO = not occurring. Columns may not total due to rounding.</w:t>
      </w:r>
    </w:p>
    <w:p w14:paraId="7374185B" w14:textId="77777777" w:rsidR="00E87995" w:rsidRPr="009E06AA" w:rsidRDefault="00E87995" w:rsidP="00BF2A76">
      <w:pPr>
        <w:pStyle w:val="Heading5"/>
      </w:pPr>
      <w:bookmarkStart w:id="2825" w:name="X9a4fc03142a4dae83e3a755d1b7c253538508f5"/>
      <w:bookmarkEnd w:id="2814"/>
      <w:r w:rsidRPr="009E06AA">
        <w:t>Non-municipal landfills and farm fills (5.A.2)</w:t>
      </w:r>
    </w:p>
    <w:p w14:paraId="47D74575" w14:textId="77777777" w:rsidR="00E87995" w:rsidRPr="009E06AA" w:rsidRDefault="00E87995" w:rsidP="00E87995">
      <w:pPr>
        <w:pStyle w:val="BodyText"/>
      </w:pPr>
      <w:r w:rsidRPr="009E06AA">
        <w:t xml:space="preserve">Non-municipal landfills are significant landfill sites that predominantly accept commercial and industrial waste. They are not intended to accept household waste; however, they do account for a small amount of municipal waste. Non-municipal landfills include cleanfills (sites disposing of largely inert waste), industrial fills and sites used for the disposal of construction and demolition waste. The available information on historical and current disposal rates to non-municipal landfills is derived from direct contact with landfill operators and from regional councils, which regulate these activities under the Resource Management Act 1991. There are substantial gaps, which were filled by correlating waste quantities with regional GDP (Tonkin and Taylor Ltd, unpublished(b)). Waste quantities are determined for each region and then combined to provide a national total (Tonkin and Taylor Ltd, unpublished(b)). These sites are subject to mandatory reporting (with obligations from 1 January 2022 for construction and </w:t>
      </w:r>
      <w:r w:rsidRPr="009E06AA">
        <w:rPr>
          <w:spacing w:val="-2"/>
        </w:rPr>
        <w:t>demolition sites and 1 January 2023 for other sites, including cleanfills and industrial monofills)</w:t>
      </w:r>
      <w:r w:rsidRPr="009E06AA">
        <w:t>.</w:t>
      </w:r>
    </w:p>
    <w:p w14:paraId="289070A6" w14:textId="77777777" w:rsidR="00E87995" w:rsidRPr="009E06AA" w:rsidRDefault="00E87995" w:rsidP="00E87995">
      <w:pPr>
        <w:pStyle w:val="BodyText"/>
      </w:pPr>
      <w:r w:rsidRPr="009E06AA">
        <w:rPr>
          <w:spacing w:val="-2"/>
        </w:rPr>
        <w:t>Farm fills are used to dispose of various types of farming waste, such as scrap metal, timber used for fencing, plastic wraps and ties, batteries and demolition waste. Farmers also use them to dispose of general household waste and organics, such as green waste, offal and crops</w:t>
      </w:r>
      <w:r w:rsidRPr="009E06AA">
        <w:t>.</w:t>
      </w:r>
    </w:p>
    <w:p w14:paraId="483E4D4C" w14:textId="77777777" w:rsidR="00E87995" w:rsidRPr="009E06AA" w:rsidRDefault="00E87995" w:rsidP="00E87995">
      <w:pPr>
        <w:pStyle w:val="BodyText"/>
      </w:pPr>
      <w:r w:rsidRPr="009E06AA">
        <w:t xml:space="preserve">The information used to estimate activity data and emissions from farm fills has come from surveys carried out in the Canterbury region in 2012 and 2013, and the Waikato and Bay of Plenty regions in 2014 (GHD, 2013, 2014; Tonkin and Taylor Ltd, unpublished(b)). The results from these surveys are extrapolated to the rest of the country based on the number of farms of each type in each region for each year. Farming practices regarding farm fill sites are similar around the country, so the extrapolation is unlikely to introduce a systematic bias. However, </w:t>
      </w:r>
      <w:r w:rsidRPr="009E06AA">
        <w:rPr>
          <w:spacing w:val="-2"/>
        </w:rPr>
        <w:t xml:space="preserve">the sample size is small and limited in relation to the number and type of farms in </w:t>
      </w:r>
      <w:r w:rsidRPr="009E06AA" w:rsidDel="00CF54A8">
        <w:rPr>
          <w:spacing w:val="-2"/>
        </w:rPr>
        <w:t xml:space="preserve">New </w:t>
      </w:r>
      <w:r w:rsidRPr="009E06AA">
        <w:rPr>
          <w:spacing w:val="-2"/>
        </w:rPr>
        <w:t>Zealand</w:t>
      </w:r>
      <w:r w:rsidRPr="009E06AA">
        <w:t>. Further, the overall volume of farm waste is based strictly on the number of farms and does not account for changing farm sizes over time and changes to the waste system with the introduction of the levy, noting that the number of farms has decreased since the 1990s.</w:t>
      </w:r>
    </w:p>
    <w:p w14:paraId="192830E8" w14:textId="77777777" w:rsidR="00E87995" w:rsidRPr="009E06AA" w:rsidRDefault="00E87995" w:rsidP="00E87995">
      <w:pPr>
        <w:pStyle w:val="BodyText"/>
        <w:spacing w:before="100" w:after="100"/>
      </w:pPr>
      <w:r w:rsidRPr="009E06AA">
        <w:t>Waste quantities were averaged for the farm types surveyed: dairy, livestock, arable, viticulture and other horticulture. These survey results have been applied regionally and then combined to provide a national total, with adjustments to account for the differences in the prevalence of these five farm types across all regions and across time (Tonkin and Taylor Ltd, unpublished(b)).</w:t>
      </w:r>
    </w:p>
    <w:p w14:paraId="35E8F505" w14:textId="77777777" w:rsidR="00E87995" w:rsidRPr="009E06AA" w:rsidRDefault="00E87995" w:rsidP="00E87995">
      <w:pPr>
        <w:pStyle w:val="BodyText"/>
        <w:spacing w:before="100" w:after="100"/>
      </w:pPr>
      <w:r w:rsidRPr="009E06AA">
        <w:t>Data obtained from the Agriculture Production Survey have been used to estimate the number and type of farms throughout the time series. The Agriculture Production Survey also provides the livestock numbers used in the Agriculture sector, which ensures consistency between the sectors.</w:t>
      </w:r>
    </w:p>
    <w:p w14:paraId="450C9842" w14:textId="77777777" w:rsidR="00E87995" w:rsidRPr="009E06AA" w:rsidRDefault="00E87995" w:rsidP="00E87995">
      <w:pPr>
        <w:pStyle w:val="BodyText"/>
        <w:spacing w:before="100" w:after="100"/>
      </w:pPr>
      <w:r w:rsidRPr="009E06AA">
        <w:t xml:space="preserve">A change introduced in the 2021 submission is that the methods of disposal of farm waste are evenly split between disposal to land in farm fills and disposal by open burning, at 47 per cent each (noting that 6 per cent is disposed in other ways). Previous submissions assumed that open burning was only about 2 per cent of the farm waste, because Tonkin and Taylor Ltd (unpublished(b)) reported that “the majority of wastes were buried”. However, open burning is a common practice in </w:t>
      </w:r>
      <w:r w:rsidRPr="009E06AA" w:rsidDel="004F454D">
        <w:t xml:space="preserve">New </w:t>
      </w:r>
      <w:r w:rsidRPr="009E06AA">
        <w:t xml:space="preserve">Zealand, in part evidenced by the dozens of complaints received by regional councils each year about potential issues with open burning. Further, GHD (2014, p 21) states “the surveys team felt that burning was the most prevalent practice, with virtually every farm having a burn pile, or some form of brazier” and GHD (2013, p 50) states “other </w:t>
      </w:r>
      <w:r w:rsidRPr="009E06AA">
        <w:rPr>
          <w:spacing w:val="-2"/>
        </w:rPr>
        <w:t>wood wastes were invariably burnt”. Wood wastes make up a large proportion of CH</w:t>
      </w:r>
      <w:r w:rsidRPr="009E06AA">
        <w:rPr>
          <w:spacing w:val="-2"/>
          <w:vertAlign w:val="subscript"/>
        </w:rPr>
        <w:t>4</w:t>
      </w:r>
      <w:r w:rsidRPr="009E06AA">
        <w:rPr>
          <w:spacing w:val="-2"/>
        </w:rPr>
        <w:t xml:space="preserve"> emission</w:t>
      </w:r>
      <w:r w:rsidRPr="009E06AA">
        <w:t>s from farm fills, so it is appropriate to account for farm waste, including wood, that is burned instead of buried.</w:t>
      </w:r>
    </w:p>
    <w:p w14:paraId="0F39F4D8" w14:textId="77777777" w:rsidR="00E87995" w:rsidRPr="009E06AA" w:rsidRDefault="00E87995" w:rsidP="00E87995">
      <w:pPr>
        <w:pStyle w:val="BodyText"/>
        <w:spacing w:before="100" w:after="100"/>
      </w:pPr>
      <w:r w:rsidRPr="009E06AA">
        <w:t>Taking a balanced approach, this submission has assumed an even split in the absence of better information. In 2022, Eunomia (Unpublished(c)) investigated this further with experts from around the country and found that this assumption was still appropriate. This will be revised again when quantitative data become available.</w:t>
      </w:r>
    </w:p>
    <w:p w14:paraId="3D72C648" w14:textId="77777777" w:rsidR="00E87995" w:rsidRPr="009E06AA" w:rsidRDefault="00E87995" w:rsidP="00E87995">
      <w:pPr>
        <w:pStyle w:val="BodyText"/>
        <w:spacing w:before="100" w:after="100"/>
      </w:pPr>
      <w:r w:rsidRPr="009E06AA">
        <w:t>Table 7.2.4 shows waste placement for farm fills only (not including open burning or other disposal methods) and non-municipal landfills from the beginning of the model in 1950 to 2022.</w:t>
      </w:r>
    </w:p>
    <w:p w14:paraId="772D7A64" w14:textId="7DB06F87" w:rsidR="00E87995" w:rsidRPr="009E06AA" w:rsidRDefault="00E87995" w:rsidP="00E87995">
      <w:pPr>
        <w:pStyle w:val="Table"/>
      </w:pPr>
      <w:bookmarkStart w:id="2826" w:name="_Toc128383665"/>
      <w:bookmarkStart w:id="2827" w:name="_Toc131591438"/>
      <w:bookmarkStart w:id="2828" w:name="_Toc160537317"/>
      <w:bookmarkStart w:id="2829" w:name="_Toc160537679"/>
      <w:bookmarkStart w:id="2830" w:name="_Toc164153929"/>
      <w:r w:rsidRPr="009E06AA">
        <w:t>Table 7.2.4</w:t>
      </w:r>
      <w:r w:rsidRPr="009E06AA">
        <w:tab/>
        <w:t>Solid waste deposited to unmanaged landfills</w:t>
      </w:r>
      <w:r w:rsidR="00E94383" w:rsidRPr="009E06AA">
        <w:t>,</w:t>
      </w:r>
      <w:r w:rsidRPr="009E06AA">
        <w:t xml:space="preserve"> from 1950 to </w:t>
      </w:r>
      <w:bookmarkEnd w:id="2826"/>
      <w:bookmarkEnd w:id="2827"/>
      <w:r w:rsidRPr="009E06AA">
        <w:rPr>
          <w:bCs/>
        </w:rPr>
        <w:t>2022</w:t>
      </w:r>
      <w:bookmarkEnd w:id="2828"/>
      <w:bookmarkEnd w:id="2829"/>
      <w:bookmarkEnd w:id="2830"/>
    </w:p>
    <w:tbl>
      <w:tblPr>
        <w:tblW w:w="8494" w:type="dxa"/>
        <w:tblBorders>
          <w:top w:val="single" w:sz="4" w:space="0" w:color="1B556B" w:themeColor="text2"/>
          <w:bottom w:val="single" w:sz="4" w:space="0" w:color="1B556B" w:themeColor="text2"/>
          <w:insideH w:val="single" w:sz="4" w:space="0" w:color="1B556B" w:themeColor="text2"/>
        </w:tblBorders>
        <w:tblLayout w:type="fixed"/>
        <w:tblLook w:val="0420" w:firstRow="1" w:lastRow="0" w:firstColumn="0" w:lastColumn="0" w:noHBand="0" w:noVBand="1"/>
      </w:tblPr>
      <w:tblGrid>
        <w:gridCol w:w="958"/>
        <w:gridCol w:w="1721"/>
        <w:gridCol w:w="3001"/>
        <w:gridCol w:w="2814"/>
      </w:tblGrid>
      <w:tr w:rsidR="00E87995" w:rsidRPr="009E06AA" w14:paraId="118D5ED5" w14:textId="77777777" w:rsidTr="00B55F24">
        <w:trPr>
          <w:tblHeader/>
        </w:trPr>
        <w:tc>
          <w:tcPr>
            <w:tcW w:w="959" w:type="dxa"/>
            <w:shd w:val="clear" w:color="auto" w:fill="1B556B"/>
            <w:tcMar>
              <w:top w:w="0" w:type="dxa"/>
              <w:left w:w="85" w:type="dxa"/>
              <w:bottom w:w="0" w:type="dxa"/>
              <w:right w:w="85" w:type="dxa"/>
            </w:tcMar>
          </w:tcPr>
          <w:p w14:paraId="26BD3E0C" w14:textId="77777777" w:rsidR="00E87995" w:rsidRPr="009E06AA" w:rsidRDefault="00E87995" w:rsidP="00B55F24">
            <w:pPr>
              <w:pStyle w:val="TableTextBold"/>
              <w:spacing w:before="40" w:after="30"/>
              <w:rPr>
                <w:noProof w:val="0"/>
                <w:color w:val="FFFFFF" w:themeColor="background1"/>
                <w:szCs w:val="16"/>
              </w:rPr>
            </w:pPr>
            <w:r w:rsidRPr="009E06AA">
              <w:rPr>
                <w:noProof w:val="0"/>
                <w:color w:val="FFFFFF" w:themeColor="background1"/>
                <w:szCs w:val="16"/>
              </w:rPr>
              <w:t>Year</w:t>
            </w:r>
          </w:p>
        </w:tc>
        <w:tc>
          <w:tcPr>
            <w:tcW w:w="1721" w:type="dxa"/>
            <w:shd w:val="clear" w:color="auto" w:fill="1B556B"/>
            <w:tcMar>
              <w:top w:w="0" w:type="dxa"/>
              <w:left w:w="85" w:type="dxa"/>
              <w:bottom w:w="0" w:type="dxa"/>
              <w:right w:w="85" w:type="dxa"/>
            </w:tcMar>
          </w:tcPr>
          <w:p w14:paraId="4502259B" w14:textId="77777777" w:rsidR="00E87995" w:rsidRPr="009E06AA" w:rsidRDefault="00E87995" w:rsidP="00876E40">
            <w:pPr>
              <w:pStyle w:val="TableTextBold"/>
              <w:spacing w:before="40" w:after="30"/>
              <w:jc w:val="right"/>
              <w:rPr>
                <w:noProof w:val="0"/>
                <w:color w:val="FFFFFF" w:themeColor="background1"/>
                <w:szCs w:val="16"/>
              </w:rPr>
            </w:pPr>
            <w:r w:rsidRPr="009E06AA">
              <w:rPr>
                <w:noProof w:val="0"/>
                <w:color w:val="FFFFFF" w:themeColor="background1"/>
                <w:szCs w:val="16"/>
              </w:rPr>
              <w:t>Farm fills (kt)</w:t>
            </w:r>
          </w:p>
        </w:tc>
        <w:tc>
          <w:tcPr>
            <w:tcW w:w="3001" w:type="dxa"/>
            <w:shd w:val="clear" w:color="auto" w:fill="1B556B"/>
            <w:tcMar>
              <w:top w:w="0" w:type="dxa"/>
              <w:left w:w="85" w:type="dxa"/>
              <w:bottom w:w="0" w:type="dxa"/>
              <w:right w:w="85" w:type="dxa"/>
            </w:tcMar>
          </w:tcPr>
          <w:p w14:paraId="7E697D94" w14:textId="77777777" w:rsidR="00E87995" w:rsidRPr="009E06AA" w:rsidRDefault="00E87995" w:rsidP="00876E40">
            <w:pPr>
              <w:pStyle w:val="TableTextBold"/>
              <w:spacing w:before="40" w:after="30"/>
              <w:jc w:val="right"/>
              <w:rPr>
                <w:noProof w:val="0"/>
                <w:color w:val="FFFFFF" w:themeColor="background1"/>
                <w:szCs w:val="16"/>
              </w:rPr>
            </w:pPr>
            <w:r w:rsidRPr="009E06AA">
              <w:rPr>
                <w:noProof w:val="0"/>
                <w:color w:val="FFFFFF" w:themeColor="background1"/>
                <w:szCs w:val="16"/>
              </w:rPr>
              <w:t>Non-municipal landfills (kt)</w:t>
            </w:r>
          </w:p>
        </w:tc>
        <w:tc>
          <w:tcPr>
            <w:tcW w:w="2814" w:type="dxa"/>
            <w:shd w:val="clear" w:color="auto" w:fill="1B556B"/>
            <w:tcMar>
              <w:top w:w="0" w:type="dxa"/>
              <w:left w:w="85" w:type="dxa"/>
              <w:bottom w:w="0" w:type="dxa"/>
              <w:right w:w="85" w:type="dxa"/>
            </w:tcMar>
          </w:tcPr>
          <w:p w14:paraId="3003818A" w14:textId="77777777" w:rsidR="00E87995" w:rsidRPr="009E06AA" w:rsidRDefault="00E87995" w:rsidP="00876E40">
            <w:pPr>
              <w:pStyle w:val="TableTextBold"/>
              <w:spacing w:before="40" w:after="30"/>
              <w:jc w:val="right"/>
              <w:rPr>
                <w:noProof w:val="0"/>
                <w:color w:val="FFFFFF" w:themeColor="background1"/>
                <w:szCs w:val="16"/>
              </w:rPr>
            </w:pPr>
            <w:r w:rsidRPr="009E06AA">
              <w:rPr>
                <w:noProof w:val="0"/>
                <w:color w:val="FFFFFF" w:themeColor="background1"/>
                <w:szCs w:val="16"/>
              </w:rPr>
              <w:t>Total waste disposed (kt)</w:t>
            </w:r>
          </w:p>
        </w:tc>
      </w:tr>
      <w:tr w:rsidR="00E87995" w:rsidRPr="009E06AA" w14:paraId="0B2C473D" w14:textId="77777777" w:rsidTr="00B55F24">
        <w:tc>
          <w:tcPr>
            <w:tcW w:w="959" w:type="dxa"/>
            <w:shd w:val="clear" w:color="auto" w:fill="FFFFFF"/>
            <w:tcMar>
              <w:top w:w="0" w:type="dxa"/>
              <w:left w:w="85" w:type="dxa"/>
              <w:bottom w:w="0" w:type="dxa"/>
              <w:right w:w="85" w:type="dxa"/>
            </w:tcMar>
          </w:tcPr>
          <w:p w14:paraId="777BC0BB" w14:textId="77777777" w:rsidR="00E87995" w:rsidRPr="009E06AA" w:rsidRDefault="00E87995" w:rsidP="00B55F24">
            <w:pPr>
              <w:pStyle w:val="TableTextBold"/>
              <w:spacing w:before="40" w:after="30"/>
              <w:rPr>
                <w:noProof w:val="0"/>
                <w:szCs w:val="16"/>
              </w:rPr>
            </w:pPr>
            <w:r w:rsidRPr="009E06AA">
              <w:rPr>
                <w:noProof w:val="0"/>
                <w:color w:val="1B556B"/>
                <w:szCs w:val="16"/>
              </w:rPr>
              <w:t>1950</w:t>
            </w:r>
          </w:p>
        </w:tc>
        <w:tc>
          <w:tcPr>
            <w:tcW w:w="1721" w:type="dxa"/>
            <w:shd w:val="clear" w:color="auto" w:fill="FFFFFF"/>
            <w:tcMar>
              <w:top w:w="0" w:type="dxa"/>
              <w:left w:w="85" w:type="dxa"/>
              <w:bottom w:w="0" w:type="dxa"/>
              <w:right w:w="85" w:type="dxa"/>
            </w:tcMar>
          </w:tcPr>
          <w:p w14:paraId="619DBE57"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854.0</w:t>
            </w:r>
          </w:p>
        </w:tc>
        <w:tc>
          <w:tcPr>
            <w:tcW w:w="3001" w:type="dxa"/>
            <w:shd w:val="clear" w:color="auto" w:fill="FFFFFF"/>
            <w:tcMar>
              <w:top w:w="0" w:type="dxa"/>
              <w:left w:w="85" w:type="dxa"/>
              <w:bottom w:w="0" w:type="dxa"/>
              <w:right w:w="85" w:type="dxa"/>
            </w:tcMar>
          </w:tcPr>
          <w:p w14:paraId="7B9C0BE8" w14:textId="77777777" w:rsidR="00E87995" w:rsidRPr="009E06AA" w:rsidRDefault="00E87995" w:rsidP="00876E40">
            <w:pPr>
              <w:pStyle w:val="TableText"/>
              <w:spacing w:before="40" w:after="30"/>
              <w:jc w:val="right"/>
              <w:rPr>
                <w:szCs w:val="16"/>
              </w:rPr>
            </w:pPr>
            <w:r w:rsidRPr="009E06AA">
              <w:rPr>
                <w:color w:val="000000"/>
                <w:szCs w:val="16"/>
              </w:rPr>
              <w:t>763.8</w:t>
            </w:r>
          </w:p>
        </w:tc>
        <w:tc>
          <w:tcPr>
            <w:tcW w:w="2814" w:type="dxa"/>
            <w:shd w:val="clear" w:color="auto" w:fill="FFFFFF"/>
            <w:tcMar>
              <w:top w:w="0" w:type="dxa"/>
              <w:left w:w="85" w:type="dxa"/>
              <w:bottom w:w="0" w:type="dxa"/>
              <w:right w:w="85" w:type="dxa"/>
            </w:tcMar>
          </w:tcPr>
          <w:p w14:paraId="2C81D099" w14:textId="77777777" w:rsidR="00E87995" w:rsidRPr="009E06AA" w:rsidRDefault="00E87995" w:rsidP="00876E40">
            <w:pPr>
              <w:pStyle w:val="TableText"/>
              <w:spacing w:before="40" w:after="30"/>
              <w:jc w:val="right"/>
              <w:rPr>
                <w:szCs w:val="16"/>
              </w:rPr>
            </w:pPr>
            <w:r w:rsidRPr="009E06AA">
              <w:rPr>
                <w:color w:val="000000"/>
                <w:szCs w:val="16"/>
              </w:rPr>
              <w:t>1,</w:t>
            </w:r>
            <w:r w:rsidRPr="009E06AA">
              <w:rPr>
                <w:rFonts w:eastAsia="Calibri" w:cs="Calibri"/>
                <w:color w:val="000000"/>
                <w:szCs w:val="16"/>
              </w:rPr>
              <w:t>617.8</w:t>
            </w:r>
          </w:p>
        </w:tc>
      </w:tr>
      <w:tr w:rsidR="00E87995" w:rsidRPr="009E06AA" w14:paraId="06BBC034" w14:textId="77777777" w:rsidTr="00B55F24">
        <w:tc>
          <w:tcPr>
            <w:tcW w:w="959" w:type="dxa"/>
            <w:shd w:val="clear" w:color="auto" w:fill="FFFFFF"/>
            <w:tcMar>
              <w:top w:w="0" w:type="dxa"/>
              <w:left w:w="85" w:type="dxa"/>
              <w:bottom w:w="0" w:type="dxa"/>
              <w:right w:w="85" w:type="dxa"/>
            </w:tcMar>
          </w:tcPr>
          <w:p w14:paraId="3CB5B7D7" w14:textId="77777777" w:rsidR="00E87995" w:rsidRPr="009E06AA" w:rsidRDefault="00E87995" w:rsidP="00B55F24">
            <w:pPr>
              <w:pStyle w:val="TableTextBold"/>
              <w:spacing w:before="40" w:after="30"/>
              <w:rPr>
                <w:noProof w:val="0"/>
                <w:szCs w:val="16"/>
              </w:rPr>
            </w:pPr>
            <w:r w:rsidRPr="009E06AA">
              <w:rPr>
                <w:noProof w:val="0"/>
                <w:color w:val="1B556B"/>
                <w:szCs w:val="16"/>
              </w:rPr>
              <w:t>1951</w:t>
            </w:r>
          </w:p>
        </w:tc>
        <w:tc>
          <w:tcPr>
            <w:tcW w:w="1721" w:type="dxa"/>
            <w:shd w:val="clear" w:color="auto" w:fill="FFFFFF"/>
            <w:tcMar>
              <w:top w:w="0" w:type="dxa"/>
              <w:left w:w="85" w:type="dxa"/>
              <w:bottom w:w="0" w:type="dxa"/>
              <w:right w:w="85" w:type="dxa"/>
            </w:tcMar>
          </w:tcPr>
          <w:p w14:paraId="225A944A"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853.4</w:t>
            </w:r>
          </w:p>
        </w:tc>
        <w:tc>
          <w:tcPr>
            <w:tcW w:w="3001" w:type="dxa"/>
            <w:shd w:val="clear" w:color="auto" w:fill="FFFFFF"/>
            <w:tcMar>
              <w:top w:w="0" w:type="dxa"/>
              <w:left w:w="85" w:type="dxa"/>
              <w:bottom w:w="0" w:type="dxa"/>
              <w:right w:w="85" w:type="dxa"/>
            </w:tcMar>
          </w:tcPr>
          <w:p w14:paraId="07F7A4EA" w14:textId="77777777" w:rsidR="00E87995" w:rsidRPr="009E06AA" w:rsidRDefault="00E87995" w:rsidP="00876E40">
            <w:pPr>
              <w:pStyle w:val="TableText"/>
              <w:spacing w:before="40" w:after="30"/>
              <w:jc w:val="right"/>
              <w:rPr>
                <w:szCs w:val="16"/>
              </w:rPr>
            </w:pPr>
            <w:r w:rsidRPr="009E06AA">
              <w:rPr>
                <w:color w:val="000000"/>
                <w:szCs w:val="16"/>
              </w:rPr>
              <w:t>791.</w:t>
            </w:r>
            <w:r w:rsidRPr="009E06AA">
              <w:rPr>
                <w:rFonts w:eastAsia="Calibri" w:cs="Calibri"/>
                <w:color w:val="000000"/>
                <w:szCs w:val="16"/>
              </w:rPr>
              <w:t>8</w:t>
            </w:r>
          </w:p>
        </w:tc>
        <w:tc>
          <w:tcPr>
            <w:tcW w:w="2814" w:type="dxa"/>
            <w:shd w:val="clear" w:color="auto" w:fill="FFFFFF"/>
            <w:tcMar>
              <w:top w:w="0" w:type="dxa"/>
              <w:left w:w="85" w:type="dxa"/>
              <w:bottom w:w="0" w:type="dxa"/>
              <w:right w:w="85" w:type="dxa"/>
            </w:tcMar>
          </w:tcPr>
          <w:p w14:paraId="427E6A2B" w14:textId="77777777" w:rsidR="00E87995" w:rsidRPr="009E06AA" w:rsidRDefault="00E87995" w:rsidP="00876E40">
            <w:pPr>
              <w:pStyle w:val="TableText"/>
              <w:spacing w:before="40" w:after="30"/>
              <w:jc w:val="right"/>
              <w:rPr>
                <w:szCs w:val="16"/>
              </w:rPr>
            </w:pPr>
            <w:r w:rsidRPr="009E06AA">
              <w:rPr>
                <w:color w:val="000000"/>
                <w:szCs w:val="16"/>
              </w:rPr>
              <w:t>1,</w:t>
            </w:r>
            <w:r w:rsidRPr="009E06AA">
              <w:rPr>
                <w:rFonts w:eastAsia="Calibri" w:cs="Calibri"/>
                <w:color w:val="000000"/>
                <w:szCs w:val="16"/>
              </w:rPr>
              <w:t>645.2</w:t>
            </w:r>
          </w:p>
        </w:tc>
      </w:tr>
      <w:tr w:rsidR="00E87995" w:rsidRPr="009E06AA" w14:paraId="119B90CF" w14:textId="77777777" w:rsidTr="00B55F24">
        <w:tc>
          <w:tcPr>
            <w:tcW w:w="959" w:type="dxa"/>
            <w:shd w:val="clear" w:color="auto" w:fill="FFFFFF"/>
            <w:tcMar>
              <w:top w:w="0" w:type="dxa"/>
              <w:left w:w="85" w:type="dxa"/>
              <w:bottom w:w="0" w:type="dxa"/>
              <w:right w:w="85" w:type="dxa"/>
            </w:tcMar>
          </w:tcPr>
          <w:p w14:paraId="6BC9306D" w14:textId="77777777" w:rsidR="00E87995" w:rsidRPr="009E06AA" w:rsidRDefault="00E87995" w:rsidP="00B55F24">
            <w:pPr>
              <w:pStyle w:val="TableTextBold"/>
              <w:spacing w:before="40" w:after="30"/>
              <w:rPr>
                <w:noProof w:val="0"/>
                <w:szCs w:val="16"/>
              </w:rPr>
            </w:pPr>
            <w:r w:rsidRPr="009E06AA">
              <w:rPr>
                <w:noProof w:val="0"/>
                <w:color w:val="1B556B"/>
                <w:szCs w:val="16"/>
              </w:rPr>
              <w:t>1952</w:t>
            </w:r>
          </w:p>
        </w:tc>
        <w:tc>
          <w:tcPr>
            <w:tcW w:w="1721" w:type="dxa"/>
            <w:shd w:val="clear" w:color="auto" w:fill="FFFFFF"/>
            <w:tcMar>
              <w:top w:w="0" w:type="dxa"/>
              <w:left w:w="85" w:type="dxa"/>
              <w:bottom w:w="0" w:type="dxa"/>
              <w:right w:w="85" w:type="dxa"/>
            </w:tcMar>
          </w:tcPr>
          <w:p w14:paraId="2053C5E1"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853.9</w:t>
            </w:r>
          </w:p>
        </w:tc>
        <w:tc>
          <w:tcPr>
            <w:tcW w:w="3001" w:type="dxa"/>
            <w:shd w:val="clear" w:color="auto" w:fill="FFFFFF"/>
            <w:tcMar>
              <w:top w:w="0" w:type="dxa"/>
              <w:left w:w="85" w:type="dxa"/>
              <w:bottom w:w="0" w:type="dxa"/>
              <w:right w:w="85" w:type="dxa"/>
            </w:tcMar>
          </w:tcPr>
          <w:p w14:paraId="48DAFB04" w14:textId="77777777" w:rsidR="00E87995" w:rsidRPr="009E06AA" w:rsidRDefault="00E87995" w:rsidP="00876E40">
            <w:pPr>
              <w:pStyle w:val="TableText"/>
              <w:spacing w:before="40" w:after="30"/>
              <w:jc w:val="right"/>
              <w:rPr>
                <w:szCs w:val="16"/>
              </w:rPr>
            </w:pPr>
            <w:r w:rsidRPr="009E06AA">
              <w:rPr>
                <w:color w:val="000000"/>
                <w:szCs w:val="16"/>
              </w:rPr>
              <w:t>820.9</w:t>
            </w:r>
          </w:p>
        </w:tc>
        <w:tc>
          <w:tcPr>
            <w:tcW w:w="2814" w:type="dxa"/>
            <w:shd w:val="clear" w:color="auto" w:fill="FFFFFF"/>
            <w:tcMar>
              <w:top w:w="0" w:type="dxa"/>
              <w:left w:w="85" w:type="dxa"/>
              <w:bottom w:w="0" w:type="dxa"/>
              <w:right w:w="85" w:type="dxa"/>
            </w:tcMar>
          </w:tcPr>
          <w:p w14:paraId="13DC9DB9" w14:textId="77777777" w:rsidR="00E87995" w:rsidRPr="009E06AA" w:rsidRDefault="00E87995" w:rsidP="00876E40">
            <w:pPr>
              <w:pStyle w:val="TableText"/>
              <w:spacing w:before="40" w:after="30"/>
              <w:jc w:val="right"/>
              <w:rPr>
                <w:szCs w:val="16"/>
              </w:rPr>
            </w:pPr>
            <w:r w:rsidRPr="009E06AA">
              <w:rPr>
                <w:color w:val="000000"/>
                <w:szCs w:val="16"/>
              </w:rPr>
              <w:t>1,</w:t>
            </w:r>
            <w:r w:rsidRPr="009E06AA">
              <w:rPr>
                <w:rFonts w:eastAsia="Calibri" w:cs="Calibri"/>
                <w:color w:val="000000"/>
                <w:szCs w:val="16"/>
              </w:rPr>
              <w:t>674.8</w:t>
            </w:r>
          </w:p>
        </w:tc>
      </w:tr>
      <w:tr w:rsidR="00E87995" w:rsidRPr="009E06AA" w14:paraId="2141083A" w14:textId="77777777" w:rsidTr="00B55F24">
        <w:tc>
          <w:tcPr>
            <w:tcW w:w="959" w:type="dxa"/>
            <w:shd w:val="clear" w:color="auto" w:fill="FFFFFF"/>
            <w:tcMar>
              <w:top w:w="0" w:type="dxa"/>
              <w:left w:w="85" w:type="dxa"/>
              <w:bottom w:w="0" w:type="dxa"/>
              <w:right w:w="85" w:type="dxa"/>
            </w:tcMar>
          </w:tcPr>
          <w:p w14:paraId="180F1D6F" w14:textId="77777777" w:rsidR="00E87995" w:rsidRPr="009E06AA" w:rsidRDefault="00E87995" w:rsidP="00B55F24">
            <w:pPr>
              <w:pStyle w:val="TableTextBold"/>
              <w:spacing w:before="40" w:after="30"/>
              <w:rPr>
                <w:noProof w:val="0"/>
                <w:szCs w:val="16"/>
              </w:rPr>
            </w:pPr>
            <w:r w:rsidRPr="009E06AA">
              <w:rPr>
                <w:noProof w:val="0"/>
                <w:color w:val="1B556B"/>
                <w:szCs w:val="16"/>
              </w:rPr>
              <w:t>1953</w:t>
            </w:r>
          </w:p>
        </w:tc>
        <w:tc>
          <w:tcPr>
            <w:tcW w:w="1721" w:type="dxa"/>
            <w:shd w:val="clear" w:color="auto" w:fill="FFFFFF"/>
            <w:tcMar>
              <w:top w:w="0" w:type="dxa"/>
              <w:left w:w="85" w:type="dxa"/>
              <w:bottom w:w="0" w:type="dxa"/>
              <w:right w:w="85" w:type="dxa"/>
            </w:tcMar>
          </w:tcPr>
          <w:p w14:paraId="16E8E2B3"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856.2</w:t>
            </w:r>
          </w:p>
        </w:tc>
        <w:tc>
          <w:tcPr>
            <w:tcW w:w="3001" w:type="dxa"/>
            <w:shd w:val="clear" w:color="auto" w:fill="FFFFFF"/>
            <w:tcMar>
              <w:top w:w="0" w:type="dxa"/>
              <w:left w:w="85" w:type="dxa"/>
              <w:bottom w:w="0" w:type="dxa"/>
              <w:right w:w="85" w:type="dxa"/>
            </w:tcMar>
          </w:tcPr>
          <w:p w14:paraId="7F4DA96A" w14:textId="77777777" w:rsidR="00E87995" w:rsidRPr="009E06AA" w:rsidRDefault="00E87995" w:rsidP="00876E40">
            <w:pPr>
              <w:pStyle w:val="TableText"/>
              <w:spacing w:before="40" w:after="30"/>
              <w:jc w:val="right"/>
              <w:rPr>
                <w:szCs w:val="16"/>
              </w:rPr>
            </w:pPr>
            <w:r w:rsidRPr="009E06AA">
              <w:rPr>
                <w:color w:val="000000"/>
                <w:szCs w:val="16"/>
              </w:rPr>
              <w:t>851.0</w:t>
            </w:r>
          </w:p>
        </w:tc>
        <w:tc>
          <w:tcPr>
            <w:tcW w:w="2814" w:type="dxa"/>
            <w:shd w:val="clear" w:color="auto" w:fill="FFFFFF"/>
            <w:tcMar>
              <w:top w:w="0" w:type="dxa"/>
              <w:left w:w="85" w:type="dxa"/>
              <w:bottom w:w="0" w:type="dxa"/>
              <w:right w:w="85" w:type="dxa"/>
            </w:tcMar>
          </w:tcPr>
          <w:p w14:paraId="61695725" w14:textId="77777777" w:rsidR="00E87995" w:rsidRPr="009E06AA" w:rsidRDefault="00E87995" w:rsidP="00876E40">
            <w:pPr>
              <w:pStyle w:val="TableText"/>
              <w:spacing w:before="40" w:after="30"/>
              <w:jc w:val="right"/>
              <w:rPr>
                <w:szCs w:val="16"/>
              </w:rPr>
            </w:pPr>
            <w:r w:rsidRPr="009E06AA">
              <w:rPr>
                <w:color w:val="000000"/>
                <w:szCs w:val="16"/>
              </w:rPr>
              <w:t>1,</w:t>
            </w:r>
            <w:r w:rsidRPr="009E06AA">
              <w:rPr>
                <w:rFonts w:eastAsia="Calibri" w:cs="Calibri"/>
                <w:color w:val="000000"/>
                <w:szCs w:val="16"/>
              </w:rPr>
              <w:t>707.2</w:t>
            </w:r>
          </w:p>
        </w:tc>
      </w:tr>
      <w:tr w:rsidR="00E87995" w:rsidRPr="009E06AA" w14:paraId="5605CBBE" w14:textId="77777777" w:rsidTr="00B55F24">
        <w:tc>
          <w:tcPr>
            <w:tcW w:w="959" w:type="dxa"/>
            <w:shd w:val="clear" w:color="auto" w:fill="FFFFFF"/>
            <w:tcMar>
              <w:top w:w="0" w:type="dxa"/>
              <w:left w:w="85" w:type="dxa"/>
              <w:bottom w:w="0" w:type="dxa"/>
              <w:right w:w="85" w:type="dxa"/>
            </w:tcMar>
          </w:tcPr>
          <w:p w14:paraId="56E54E1E" w14:textId="77777777" w:rsidR="00E87995" w:rsidRPr="009E06AA" w:rsidRDefault="00E87995" w:rsidP="00B55F24">
            <w:pPr>
              <w:pStyle w:val="TableTextBold"/>
              <w:spacing w:before="40" w:after="30"/>
              <w:rPr>
                <w:noProof w:val="0"/>
                <w:szCs w:val="16"/>
              </w:rPr>
            </w:pPr>
            <w:r w:rsidRPr="009E06AA">
              <w:rPr>
                <w:noProof w:val="0"/>
                <w:color w:val="1B556B"/>
                <w:szCs w:val="16"/>
              </w:rPr>
              <w:t>1954</w:t>
            </w:r>
          </w:p>
        </w:tc>
        <w:tc>
          <w:tcPr>
            <w:tcW w:w="1721" w:type="dxa"/>
            <w:shd w:val="clear" w:color="auto" w:fill="FFFFFF"/>
            <w:tcMar>
              <w:top w:w="0" w:type="dxa"/>
              <w:left w:w="85" w:type="dxa"/>
              <w:bottom w:w="0" w:type="dxa"/>
              <w:right w:w="85" w:type="dxa"/>
            </w:tcMar>
          </w:tcPr>
          <w:p w14:paraId="35F2C5D1"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867.2</w:t>
            </w:r>
          </w:p>
        </w:tc>
        <w:tc>
          <w:tcPr>
            <w:tcW w:w="3001" w:type="dxa"/>
            <w:shd w:val="clear" w:color="auto" w:fill="FFFFFF"/>
            <w:tcMar>
              <w:top w:w="0" w:type="dxa"/>
              <w:left w:w="85" w:type="dxa"/>
              <w:bottom w:w="0" w:type="dxa"/>
              <w:right w:w="85" w:type="dxa"/>
            </w:tcMar>
          </w:tcPr>
          <w:p w14:paraId="3D9BB280" w14:textId="77777777" w:rsidR="00E87995" w:rsidRPr="009E06AA" w:rsidRDefault="00E87995" w:rsidP="00876E40">
            <w:pPr>
              <w:pStyle w:val="TableText"/>
              <w:spacing w:before="40" w:after="30"/>
              <w:jc w:val="right"/>
              <w:rPr>
                <w:szCs w:val="16"/>
              </w:rPr>
            </w:pPr>
            <w:r w:rsidRPr="009E06AA">
              <w:rPr>
                <w:color w:val="000000"/>
                <w:szCs w:val="16"/>
              </w:rPr>
              <w:t>882.2</w:t>
            </w:r>
          </w:p>
        </w:tc>
        <w:tc>
          <w:tcPr>
            <w:tcW w:w="2814" w:type="dxa"/>
            <w:shd w:val="clear" w:color="auto" w:fill="FFFFFF"/>
            <w:tcMar>
              <w:top w:w="0" w:type="dxa"/>
              <w:left w:w="85" w:type="dxa"/>
              <w:bottom w:w="0" w:type="dxa"/>
              <w:right w:w="85" w:type="dxa"/>
            </w:tcMar>
          </w:tcPr>
          <w:p w14:paraId="191BAE98" w14:textId="77777777" w:rsidR="00E87995" w:rsidRPr="009E06AA" w:rsidRDefault="00E87995" w:rsidP="00876E40">
            <w:pPr>
              <w:pStyle w:val="TableText"/>
              <w:spacing w:before="40" w:after="30"/>
              <w:jc w:val="right"/>
              <w:rPr>
                <w:szCs w:val="16"/>
              </w:rPr>
            </w:pPr>
            <w:r w:rsidRPr="009E06AA">
              <w:rPr>
                <w:color w:val="000000"/>
                <w:szCs w:val="16"/>
              </w:rPr>
              <w:t>1,</w:t>
            </w:r>
            <w:r w:rsidRPr="009E06AA">
              <w:rPr>
                <w:rFonts w:eastAsia="Calibri" w:cs="Calibri"/>
                <w:color w:val="000000"/>
                <w:szCs w:val="16"/>
              </w:rPr>
              <w:t>749.4</w:t>
            </w:r>
          </w:p>
        </w:tc>
      </w:tr>
      <w:tr w:rsidR="00E87995" w:rsidRPr="009E06AA" w14:paraId="11939B06" w14:textId="77777777" w:rsidTr="00B55F24">
        <w:tc>
          <w:tcPr>
            <w:tcW w:w="959" w:type="dxa"/>
            <w:shd w:val="clear" w:color="auto" w:fill="FFFFFF"/>
            <w:tcMar>
              <w:top w:w="0" w:type="dxa"/>
              <w:left w:w="85" w:type="dxa"/>
              <w:bottom w:w="0" w:type="dxa"/>
              <w:right w:w="85" w:type="dxa"/>
            </w:tcMar>
          </w:tcPr>
          <w:p w14:paraId="37661FA6" w14:textId="77777777" w:rsidR="00E87995" w:rsidRPr="009E06AA" w:rsidRDefault="00E87995" w:rsidP="00B55F24">
            <w:pPr>
              <w:pStyle w:val="TableTextBold"/>
              <w:spacing w:before="40" w:after="30"/>
              <w:rPr>
                <w:noProof w:val="0"/>
                <w:szCs w:val="16"/>
              </w:rPr>
            </w:pPr>
            <w:r w:rsidRPr="009E06AA">
              <w:rPr>
                <w:noProof w:val="0"/>
                <w:color w:val="1B556B"/>
                <w:szCs w:val="16"/>
              </w:rPr>
              <w:t>1955</w:t>
            </w:r>
          </w:p>
        </w:tc>
        <w:tc>
          <w:tcPr>
            <w:tcW w:w="1721" w:type="dxa"/>
            <w:shd w:val="clear" w:color="auto" w:fill="FFFFFF"/>
            <w:tcMar>
              <w:top w:w="0" w:type="dxa"/>
              <w:left w:w="85" w:type="dxa"/>
              <w:bottom w:w="0" w:type="dxa"/>
              <w:right w:w="85" w:type="dxa"/>
            </w:tcMar>
          </w:tcPr>
          <w:p w14:paraId="63D90529"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873.9</w:t>
            </w:r>
          </w:p>
        </w:tc>
        <w:tc>
          <w:tcPr>
            <w:tcW w:w="3001" w:type="dxa"/>
            <w:shd w:val="clear" w:color="auto" w:fill="FFFFFF"/>
            <w:tcMar>
              <w:top w:w="0" w:type="dxa"/>
              <w:left w:w="85" w:type="dxa"/>
              <w:bottom w:w="0" w:type="dxa"/>
              <w:right w:w="85" w:type="dxa"/>
            </w:tcMar>
          </w:tcPr>
          <w:p w14:paraId="17A7D847" w14:textId="77777777" w:rsidR="00E87995" w:rsidRPr="009E06AA" w:rsidRDefault="00E87995" w:rsidP="00876E40">
            <w:pPr>
              <w:pStyle w:val="TableText"/>
              <w:spacing w:before="40" w:after="30"/>
              <w:jc w:val="right"/>
              <w:rPr>
                <w:szCs w:val="16"/>
              </w:rPr>
            </w:pPr>
            <w:r w:rsidRPr="009E06AA">
              <w:rPr>
                <w:color w:val="000000"/>
                <w:szCs w:val="16"/>
              </w:rPr>
              <w:t>914.5</w:t>
            </w:r>
          </w:p>
        </w:tc>
        <w:tc>
          <w:tcPr>
            <w:tcW w:w="2814" w:type="dxa"/>
            <w:shd w:val="clear" w:color="auto" w:fill="FFFFFF"/>
            <w:tcMar>
              <w:top w:w="0" w:type="dxa"/>
              <w:left w:w="85" w:type="dxa"/>
              <w:bottom w:w="0" w:type="dxa"/>
              <w:right w:w="85" w:type="dxa"/>
            </w:tcMar>
          </w:tcPr>
          <w:p w14:paraId="1D20E23A" w14:textId="77777777" w:rsidR="00E87995" w:rsidRPr="009E06AA" w:rsidRDefault="00E87995" w:rsidP="00876E40">
            <w:pPr>
              <w:pStyle w:val="TableText"/>
              <w:spacing w:before="40" w:after="30"/>
              <w:jc w:val="right"/>
              <w:rPr>
                <w:szCs w:val="16"/>
              </w:rPr>
            </w:pPr>
            <w:r w:rsidRPr="009E06AA">
              <w:rPr>
                <w:color w:val="000000"/>
                <w:szCs w:val="16"/>
              </w:rPr>
              <w:t>1,</w:t>
            </w:r>
            <w:r w:rsidRPr="009E06AA">
              <w:rPr>
                <w:rFonts w:eastAsia="Calibri" w:cs="Calibri"/>
                <w:color w:val="000000"/>
                <w:szCs w:val="16"/>
              </w:rPr>
              <w:t>788.3</w:t>
            </w:r>
          </w:p>
        </w:tc>
      </w:tr>
      <w:tr w:rsidR="00E87995" w:rsidRPr="009E06AA" w14:paraId="7ACA3D0F" w14:textId="77777777" w:rsidTr="00B55F24">
        <w:tc>
          <w:tcPr>
            <w:tcW w:w="959" w:type="dxa"/>
            <w:shd w:val="clear" w:color="auto" w:fill="FFFFFF"/>
            <w:tcMar>
              <w:top w:w="0" w:type="dxa"/>
              <w:left w:w="85" w:type="dxa"/>
              <w:bottom w:w="0" w:type="dxa"/>
              <w:right w:w="85" w:type="dxa"/>
            </w:tcMar>
          </w:tcPr>
          <w:p w14:paraId="66AEE163" w14:textId="77777777" w:rsidR="00E87995" w:rsidRPr="009E06AA" w:rsidRDefault="00E87995" w:rsidP="00B55F24">
            <w:pPr>
              <w:pStyle w:val="TableTextBold"/>
              <w:spacing w:before="40" w:after="30"/>
              <w:rPr>
                <w:noProof w:val="0"/>
                <w:szCs w:val="16"/>
              </w:rPr>
            </w:pPr>
            <w:r w:rsidRPr="009E06AA">
              <w:rPr>
                <w:noProof w:val="0"/>
                <w:color w:val="1B556B"/>
                <w:szCs w:val="16"/>
              </w:rPr>
              <w:t>1956</w:t>
            </w:r>
          </w:p>
        </w:tc>
        <w:tc>
          <w:tcPr>
            <w:tcW w:w="1721" w:type="dxa"/>
            <w:shd w:val="clear" w:color="auto" w:fill="FFFFFF"/>
            <w:tcMar>
              <w:top w:w="0" w:type="dxa"/>
              <w:left w:w="85" w:type="dxa"/>
              <w:bottom w:w="0" w:type="dxa"/>
              <w:right w:w="85" w:type="dxa"/>
            </w:tcMar>
          </w:tcPr>
          <w:p w14:paraId="5E09733F"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801.1</w:t>
            </w:r>
          </w:p>
        </w:tc>
        <w:tc>
          <w:tcPr>
            <w:tcW w:w="3001" w:type="dxa"/>
            <w:shd w:val="clear" w:color="auto" w:fill="FFFFFF"/>
            <w:tcMar>
              <w:top w:w="0" w:type="dxa"/>
              <w:left w:w="85" w:type="dxa"/>
              <w:bottom w:w="0" w:type="dxa"/>
              <w:right w:w="85" w:type="dxa"/>
            </w:tcMar>
          </w:tcPr>
          <w:p w14:paraId="2B972163" w14:textId="77777777" w:rsidR="00E87995" w:rsidRPr="009E06AA" w:rsidRDefault="00E87995" w:rsidP="00876E40">
            <w:pPr>
              <w:pStyle w:val="TableText"/>
              <w:spacing w:before="40" w:after="30"/>
              <w:jc w:val="right"/>
              <w:rPr>
                <w:szCs w:val="16"/>
              </w:rPr>
            </w:pPr>
            <w:r w:rsidRPr="009E06AA">
              <w:rPr>
                <w:color w:val="000000"/>
                <w:szCs w:val="16"/>
              </w:rPr>
              <w:t>948.0</w:t>
            </w:r>
          </w:p>
        </w:tc>
        <w:tc>
          <w:tcPr>
            <w:tcW w:w="2814" w:type="dxa"/>
            <w:shd w:val="clear" w:color="auto" w:fill="FFFFFF"/>
            <w:tcMar>
              <w:top w:w="0" w:type="dxa"/>
              <w:left w:w="85" w:type="dxa"/>
              <w:bottom w:w="0" w:type="dxa"/>
              <w:right w:w="85" w:type="dxa"/>
            </w:tcMar>
          </w:tcPr>
          <w:p w14:paraId="5FE8A336" w14:textId="77777777" w:rsidR="00E87995" w:rsidRPr="009E06AA" w:rsidRDefault="00E87995" w:rsidP="00876E40">
            <w:pPr>
              <w:pStyle w:val="TableText"/>
              <w:spacing w:before="40" w:after="30"/>
              <w:jc w:val="right"/>
              <w:rPr>
                <w:szCs w:val="16"/>
              </w:rPr>
            </w:pPr>
            <w:r w:rsidRPr="009E06AA">
              <w:rPr>
                <w:color w:val="000000"/>
                <w:szCs w:val="16"/>
              </w:rPr>
              <w:t>1,</w:t>
            </w:r>
            <w:r w:rsidRPr="009E06AA">
              <w:rPr>
                <w:rFonts w:eastAsia="Calibri" w:cs="Calibri"/>
                <w:color w:val="000000"/>
                <w:szCs w:val="16"/>
              </w:rPr>
              <w:t>749.1</w:t>
            </w:r>
          </w:p>
        </w:tc>
      </w:tr>
      <w:tr w:rsidR="00E87995" w:rsidRPr="009E06AA" w14:paraId="7DE584CB" w14:textId="77777777" w:rsidTr="00B55F24">
        <w:tc>
          <w:tcPr>
            <w:tcW w:w="959" w:type="dxa"/>
            <w:shd w:val="clear" w:color="auto" w:fill="FFFFFF"/>
            <w:tcMar>
              <w:top w:w="0" w:type="dxa"/>
              <w:left w:w="85" w:type="dxa"/>
              <w:bottom w:w="0" w:type="dxa"/>
              <w:right w:w="85" w:type="dxa"/>
            </w:tcMar>
          </w:tcPr>
          <w:p w14:paraId="3B955E9D" w14:textId="77777777" w:rsidR="00E87995" w:rsidRPr="009E06AA" w:rsidRDefault="00E87995" w:rsidP="00B55F24">
            <w:pPr>
              <w:pStyle w:val="TableTextBold"/>
              <w:spacing w:before="40" w:after="30"/>
              <w:rPr>
                <w:noProof w:val="0"/>
                <w:szCs w:val="16"/>
              </w:rPr>
            </w:pPr>
            <w:r w:rsidRPr="009E06AA">
              <w:rPr>
                <w:noProof w:val="0"/>
                <w:color w:val="1B556B"/>
                <w:szCs w:val="16"/>
              </w:rPr>
              <w:t>1957</w:t>
            </w:r>
          </w:p>
        </w:tc>
        <w:tc>
          <w:tcPr>
            <w:tcW w:w="1721" w:type="dxa"/>
            <w:shd w:val="clear" w:color="auto" w:fill="FFFFFF"/>
            <w:tcMar>
              <w:top w:w="0" w:type="dxa"/>
              <w:left w:w="85" w:type="dxa"/>
              <w:bottom w:w="0" w:type="dxa"/>
              <w:right w:w="85" w:type="dxa"/>
            </w:tcMar>
          </w:tcPr>
          <w:p w14:paraId="6C5B71BE"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800.2</w:t>
            </w:r>
          </w:p>
        </w:tc>
        <w:tc>
          <w:tcPr>
            <w:tcW w:w="3001" w:type="dxa"/>
            <w:shd w:val="clear" w:color="auto" w:fill="FFFFFF"/>
            <w:tcMar>
              <w:top w:w="0" w:type="dxa"/>
              <w:left w:w="85" w:type="dxa"/>
              <w:bottom w:w="0" w:type="dxa"/>
              <w:right w:w="85" w:type="dxa"/>
            </w:tcMar>
          </w:tcPr>
          <w:p w14:paraId="0B277585" w14:textId="77777777" w:rsidR="00E87995" w:rsidRPr="009E06AA" w:rsidRDefault="00E87995" w:rsidP="00876E40">
            <w:pPr>
              <w:pStyle w:val="TableText"/>
              <w:spacing w:before="40" w:after="30"/>
              <w:jc w:val="right"/>
              <w:rPr>
                <w:szCs w:val="16"/>
              </w:rPr>
            </w:pPr>
            <w:r w:rsidRPr="009E06AA">
              <w:rPr>
                <w:color w:val="000000"/>
                <w:szCs w:val="16"/>
              </w:rPr>
              <w:t>982.</w:t>
            </w:r>
            <w:r w:rsidRPr="009E06AA">
              <w:rPr>
                <w:rFonts w:eastAsia="Calibri" w:cs="Calibri"/>
                <w:color w:val="000000"/>
                <w:szCs w:val="16"/>
              </w:rPr>
              <w:t>6</w:t>
            </w:r>
          </w:p>
        </w:tc>
        <w:tc>
          <w:tcPr>
            <w:tcW w:w="2814" w:type="dxa"/>
            <w:shd w:val="clear" w:color="auto" w:fill="FFFFFF"/>
            <w:tcMar>
              <w:top w:w="0" w:type="dxa"/>
              <w:left w:w="85" w:type="dxa"/>
              <w:bottom w:w="0" w:type="dxa"/>
              <w:right w:w="85" w:type="dxa"/>
            </w:tcMar>
          </w:tcPr>
          <w:p w14:paraId="03D42D96" w14:textId="77777777" w:rsidR="00E87995" w:rsidRPr="009E06AA" w:rsidRDefault="00E87995" w:rsidP="00876E40">
            <w:pPr>
              <w:pStyle w:val="TableText"/>
              <w:spacing w:before="40" w:after="30"/>
              <w:jc w:val="right"/>
              <w:rPr>
                <w:szCs w:val="16"/>
              </w:rPr>
            </w:pPr>
            <w:r w:rsidRPr="009E06AA">
              <w:rPr>
                <w:color w:val="000000"/>
                <w:szCs w:val="16"/>
              </w:rPr>
              <w:t>1,</w:t>
            </w:r>
            <w:r w:rsidRPr="009E06AA">
              <w:rPr>
                <w:rFonts w:eastAsia="Calibri" w:cs="Calibri"/>
                <w:color w:val="000000"/>
                <w:szCs w:val="16"/>
              </w:rPr>
              <w:t>782.8</w:t>
            </w:r>
          </w:p>
        </w:tc>
      </w:tr>
      <w:tr w:rsidR="00E87995" w:rsidRPr="009E06AA" w14:paraId="7E3EC483" w14:textId="77777777" w:rsidTr="00B55F24">
        <w:tc>
          <w:tcPr>
            <w:tcW w:w="959" w:type="dxa"/>
            <w:shd w:val="clear" w:color="auto" w:fill="FFFFFF"/>
            <w:tcMar>
              <w:top w:w="0" w:type="dxa"/>
              <w:left w:w="85" w:type="dxa"/>
              <w:bottom w:w="0" w:type="dxa"/>
              <w:right w:w="85" w:type="dxa"/>
            </w:tcMar>
          </w:tcPr>
          <w:p w14:paraId="69244D84" w14:textId="77777777" w:rsidR="00E87995" w:rsidRPr="009E06AA" w:rsidRDefault="00E87995" w:rsidP="00B55F24">
            <w:pPr>
              <w:pStyle w:val="TableTextBold"/>
              <w:spacing w:before="40" w:after="30"/>
              <w:rPr>
                <w:noProof w:val="0"/>
                <w:szCs w:val="16"/>
              </w:rPr>
            </w:pPr>
            <w:r w:rsidRPr="009E06AA">
              <w:rPr>
                <w:noProof w:val="0"/>
                <w:color w:val="1B556B"/>
                <w:szCs w:val="16"/>
              </w:rPr>
              <w:t>1958</w:t>
            </w:r>
          </w:p>
        </w:tc>
        <w:tc>
          <w:tcPr>
            <w:tcW w:w="1721" w:type="dxa"/>
            <w:shd w:val="clear" w:color="auto" w:fill="FFFFFF"/>
            <w:tcMar>
              <w:top w:w="0" w:type="dxa"/>
              <w:left w:w="85" w:type="dxa"/>
              <w:bottom w:w="0" w:type="dxa"/>
              <w:right w:w="85" w:type="dxa"/>
            </w:tcMar>
          </w:tcPr>
          <w:p w14:paraId="30BE9ED7"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785.2</w:t>
            </w:r>
          </w:p>
        </w:tc>
        <w:tc>
          <w:tcPr>
            <w:tcW w:w="3001" w:type="dxa"/>
            <w:shd w:val="clear" w:color="auto" w:fill="FFFFFF"/>
            <w:tcMar>
              <w:top w:w="0" w:type="dxa"/>
              <w:left w:w="85" w:type="dxa"/>
              <w:bottom w:w="0" w:type="dxa"/>
              <w:right w:w="85" w:type="dxa"/>
            </w:tcMar>
          </w:tcPr>
          <w:p w14:paraId="1BE06870" w14:textId="77777777" w:rsidR="00E87995" w:rsidRPr="009E06AA" w:rsidRDefault="00E87995" w:rsidP="00876E40">
            <w:pPr>
              <w:pStyle w:val="TableText"/>
              <w:spacing w:before="40" w:after="30"/>
              <w:jc w:val="right"/>
              <w:rPr>
                <w:szCs w:val="16"/>
              </w:rPr>
            </w:pPr>
            <w:r w:rsidRPr="009E06AA">
              <w:rPr>
                <w:color w:val="000000"/>
                <w:szCs w:val="16"/>
              </w:rPr>
              <w:t>1,018.6</w:t>
            </w:r>
          </w:p>
        </w:tc>
        <w:tc>
          <w:tcPr>
            <w:tcW w:w="2814" w:type="dxa"/>
            <w:shd w:val="clear" w:color="auto" w:fill="FFFFFF"/>
            <w:tcMar>
              <w:top w:w="0" w:type="dxa"/>
              <w:left w:w="85" w:type="dxa"/>
              <w:bottom w:w="0" w:type="dxa"/>
              <w:right w:w="85" w:type="dxa"/>
            </w:tcMar>
          </w:tcPr>
          <w:p w14:paraId="0B134B5C" w14:textId="77777777" w:rsidR="00E87995" w:rsidRPr="009E06AA" w:rsidRDefault="00E87995" w:rsidP="00876E40">
            <w:pPr>
              <w:pStyle w:val="TableText"/>
              <w:spacing w:before="40" w:after="30"/>
              <w:jc w:val="right"/>
              <w:rPr>
                <w:szCs w:val="16"/>
              </w:rPr>
            </w:pPr>
            <w:r w:rsidRPr="009E06AA">
              <w:rPr>
                <w:color w:val="000000"/>
                <w:szCs w:val="16"/>
              </w:rPr>
              <w:t>1,</w:t>
            </w:r>
            <w:r w:rsidRPr="009E06AA">
              <w:rPr>
                <w:rFonts w:eastAsia="Calibri" w:cs="Calibri"/>
                <w:color w:val="000000"/>
                <w:szCs w:val="16"/>
              </w:rPr>
              <w:t>803.8</w:t>
            </w:r>
          </w:p>
        </w:tc>
      </w:tr>
      <w:tr w:rsidR="00E87995" w:rsidRPr="009E06AA" w14:paraId="74FD2F73" w14:textId="77777777" w:rsidTr="00B55F24">
        <w:tc>
          <w:tcPr>
            <w:tcW w:w="959" w:type="dxa"/>
            <w:shd w:val="clear" w:color="auto" w:fill="FFFFFF"/>
            <w:tcMar>
              <w:top w:w="0" w:type="dxa"/>
              <w:left w:w="85" w:type="dxa"/>
              <w:bottom w:w="0" w:type="dxa"/>
              <w:right w:w="85" w:type="dxa"/>
            </w:tcMar>
          </w:tcPr>
          <w:p w14:paraId="4905C95B" w14:textId="77777777" w:rsidR="00E87995" w:rsidRPr="009E06AA" w:rsidRDefault="00E87995" w:rsidP="00B55F24">
            <w:pPr>
              <w:pStyle w:val="TableTextBold"/>
              <w:spacing w:before="40" w:after="30"/>
              <w:rPr>
                <w:noProof w:val="0"/>
                <w:szCs w:val="16"/>
              </w:rPr>
            </w:pPr>
            <w:r w:rsidRPr="009E06AA">
              <w:rPr>
                <w:noProof w:val="0"/>
                <w:color w:val="1B556B"/>
                <w:szCs w:val="16"/>
              </w:rPr>
              <w:t>1959</w:t>
            </w:r>
          </w:p>
        </w:tc>
        <w:tc>
          <w:tcPr>
            <w:tcW w:w="1721" w:type="dxa"/>
            <w:shd w:val="clear" w:color="auto" w:fill="FFFFFF"/>
            <w:tcMar>
              <w:top w:w="0" w:type="dxa"/>
              <w:left w:w="85" w:type="dxa"/>
              <w:bottom w:w="0" w:type="dxa"/>
              <w:right w:w="85" w:type="dxa"/>
            </w:tcMar>
          </w:tcPr>
          <w:p w14:paraId="7E0A73F5"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788.3</w:t>
            </w:r>
          </w:p>
        </w:tc>
        <w:tc>
          <w:tcPr>
            <w:tcW w:w="3001" w:type="dxa"/>
            <w:shd w:val="clear" w:color="auto" w:fill="FFFFFF"/>
            <w:tcMar>
              <w:top w:w="0" w:type="dxa"/>
              <w:left w:w="85" w:type="dxa"/>
              <w:bottom w:w="0" w:type="dxa"/>
              <w:right w:w="85" w:type="dxa"/>
            </w:tcMar>
          </w:tcPr>
          <w:p w14:paraId="720F7E47" w14:textId="77777777" w:rsidR="00E87995" w:rsidRPr="009E06AA" w:rsidRDefault="00E87995" w:rsidP="00876E40">
            <w:pPr>
              <w:pStyle w:val="TableText"/>
              <w:spacing w:before="40" w:after="30"/>
              <w:jc w:val="right"/>
              <w:rPr>
                <w:szCs w:val="16"/>
              </w:rPr>
            </w:pPr>
            <w:r w:rsidRPr="009E06AA">
              <w:rPr>
                <w:color w:val="000000"/>
                <w:szCs w:val="16"/>
              </w:rPr>
              <w:t>1,055.8</w:t>
            </w:r>
          </w:p>
        </w:tc>
        <w:tc>
          <w:tcPr>
            <w:tcW w:w="2814" w:type="dxa"/>
            <w:shd w:val="clear" w:color="auto" w:fill="FFFFFF"/>
            <w:tcMar>
              <w:top w:w="0" w:type="dxa"/>
              <w:left w:w="85" w:type="dxa"/>
              <w:bottom w:w="0" w:type="dxa"/>
              <w:right w:w="85" w:type="dxa"/>
            </w:tcMar>
          </w:tcPr>
          <w:p w14:paraId="576C68CC" w14:textId="77777777" w:rsidR="00E87995" w:rsidRPr="009E06AA" w:rsidRDefault="00E87995" w:rsidP="00876E40">
            <w:pPr>
              <w:pStyle w:val="TableText"/>
              <w:spacing w:before="40" w:after="30"/>
              <w:jc w:val="right"/>
              <w:rPr>
                <w:szCs w:val="16"/>
              </w:rPr>
            </w:pPr>
            <w:r w:rsidRPr="009E06AA">
              <w:rPr>
                <w:color w:val="000000"/>
                <w:szCs w:val="16"/>
              </w:rPr>
              <w:t>1,</w:t>
            </w:r>
            <w:r w:rsidRPr="009E06AA">
              <w:rPr>
                <w:rFonts w:eastAsia="Calibri" w:cs="Calibri"/>
                <w:color w:val="000000"/>
                <w:szCs w:val="16"/>
              </w:rPr>
              <w:t>844.1</w:t>
            </w:r>
          </w:p>
        </w:tc>
      </w:tr>
      <w:tr w:rsidR="00E87995" w:rsidRPr="009E06AA" w14:paraId="2EB672FD" w14:textId="77777777" w:rsidTr="00B55F24">
        <w:tc>
          <w:tcPr>
            <w:tcW w:w="959" w:type="dxa"/>
            <w:shd w:val="clear" w:color="auto" w:fill="FFFFFF"/>
            <w:tcMar>
              <w:top w:w="0" w:type="dxa"/>
              <w:left w:w="85" w:type="dxa"/>
              <w:bottom w:w="0" w:type="dxa"/>
              <w:right w:w="85" w:type="dxa"/>
            </w:tcMar>
          </w:tcPr>
          <w:p w14:paraId="30124AB6" w14:textId="77777777" w:rsidR="00E87995" w:rsidRPr="009E06AA" w:rsidRDefault="00E87995" w:rsidP="00B55F24">
            <w:pPr>
              <w:pStyle w:val="TableTextBold"/>
              <w:spacing w:before="40" w:after="30"/>
              <w:rPr>
                <w:noProof w:val="0"/>
                <w:szCs w:val="16"/>
              </w:rPr>
            </w:pPr>
            <w:r w:rsidRPr="009E06AA">
              <w:rPr>
                <w:noProof w:val="0"/>
                <w:color w:val="1B556B"/>
                <w:szCs w:val="16"/>
              </w:rPr>
              <w:t>1960</w:t>
            </w:r>
          </w:p>
        </w:tc>
        <w:tc>
          <w:tcPr>
            <w:tcW w:w="1721" w:type="dxa"/>
            <w:shd w:val="clear" w:color="auto" w:fill="FFFFFF"/>
            <w:tcMar>
              <w:top w:w="0" w:type="dxa"/>
              <w:left w:w="85" w:type="dxa"/>
              <w:bottom w:w="0" w:type="dxa"/>
              <w:right w:w="85" w:type="dxa"/>
            </w:tcMar>
          </w:tcPr>
          <w:p w14:paraId="48C8EC60"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727.6</w:t>
            </w:r>
          </w:p>
        </w:tc>
        <w:tc>
          <w:tcPr>
            <w:tcW w:w="3001" w:type="dxa"/>
            <w:shd w:val="clear" w:color="auto" w:fill="FFFFFF"/>
            <w:tcMar>
              <w:top w:w="0" w:type="dxa"/>
              <w:left w:w="85" w:type="dxa"/>
              <w:bottom w:w="0" w:type="dxa"/>
              <w:right w:w="85" w:type="dxa"/>
            </w:tcMar>
          </w:tcPr>
          <w:p w14:paraId="5F210AEC" w14:textId="77777777" w:rsidR="00E87995" w:rsidRPr="009E06AA" w:rsidRDefault="00E87995" w:rsidP="00876E40">
            <w:pPr>
              <w:pStyle w:val="TableText"/>
              <w:spacing w:before="40" w:after="30"/>
              <w:jc w:val="right"/>
              <w:rPr>
                <w:szCs w:val="16"/>
              </w:rPr>
            </w:pPr>
            <w:r w:rsidRPr="009E06AA">
              <w:rPr>
                <w:color w:val="000000"/>
                <w:szCs w:val="16"/>
              </w:rPr>
              <w:t>1,094.4</w:t>
            </w:r>
          </w:p>
        </w:tc>
        <w:tc>
          <w:tcPr>
            <w:tcW w:w="2814" w:type="dxa"/>
            <w:shd w:val="clear" w:color="auto" w:fill="FFFFFF"/>
            <w:tcMar>
              <w:top w:w="0" w:type="dxa"/>
              <w:left w:w="85" w:type="dxa"/>
              <w:bottom w:w="0" w:type="dxa"/>
              <w:right w:w="85" w:type="dxa"/>
            </w:tcMar>
          </w:tcPr>
          <w:p w14:paraId="11ACD6BB" w14:textId="77777777" w:rsidR="00E87995" w:rsidRPr="009E06AA" w:rsidRDefault="00E87995" w:rsidP="00876E40">
            <w:pPr>
              <w:pStyle w:val="TableText"/>
              <w:spacing w:before="40" w:after="30"/>
              <w:jc w:val="right"/>
              <w:rPr>
                <w:szCs w:val="16"/>
              </w:rPr>
            </w:pPr>
            <w:r w:rsidRPr="009E06AA">
              <w:rPr>
                <w:color w:val="000000"/>
                <w:szCs w:val="16"/>
              </w:rPr>
              <w:t>1,</w:t>
            </w:r>
            <w:r w:rsidRPr="009E06AA">
              <w:rPr>
                <w:rFonts w:eastAsia="Calibri" w:cs="Calibri"/>
                <w:color w:val="000000"/>
                <w:szCs w:val="16"/>
              </w:rPr>
              <w:t>821.9</w:t>
            </w:r>
          </w:p>
        </w:tc>
      </w:tr>
      <w:tr w:rsidR="00E87995" w:rsidRPr="009E06AA" w14:paraId="3EC9119A" w14:textId="77777777" w:rsidTr="00B55F24">
        <w:tc>
          <w:tcPr>
            <w:tcW w:w="959" w:type="dxa"/>
            <w:shd w:val="clear" w:color="auto" w:fill="FFFFFF"/>
            <w:tcMar>
              <w:top w:w="0" w:type="dxa"/>
              <w:left w:w="85" w:type="dxa"/>
              <w:bottom w:w="0" w:type="dxa"/>
              <w:right w:w="85" w:type="dxa"/>
            </w:tcMar>
          </w:tcPr>
          <w:p w14:paraId="28663073" w14:textId="77777777" w:rsidR="00E87995" w:rsidRPr="009E06AA" w:rsidRDefault="00E87995" w:rsidP="00B55F24">
            <w:pPr>
              <w:pStyle w:val="TableTextBold"/>
              <w:spacing w:before="40" w:after="30"/>
              <w:rPr>
                <w:noProof w:val="0"/>
                <w:szCs w:val="16"/>
              </w:rPr>
            </w:pPr>
            <w:r w:rsidRPr="009E06AA">
              <w:rPr>
                <w:noProof w:val="0"/>
                <w:color w:val="1B556B"/>
                <w:szCs w:val="16"/>
              </w:rPr>
              <w:t>1961</w:t>
            </w:r>
          </w:p>
        </w:tc>
        <w:tc>
          <w:tcPr>
            <w:tcW w:w="1721" w:type="dxa"/>
            <w:shd w:val="clear" w:color="auto" w:fill="FFFFFF"/>
            <w:tcMar>
              <w:top w:w="0" w:type="dxa"/>
              <w:left w:w="85" w:type="dxa"/>
              <w:bottom w:w="0" w:type="dxa"/>
              <w:right w:w="85" w:type="dxa"/>
            </w:tcMar>
          </w:tcPr>
          <w:p w14:paraId="735D6BC3"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692</w:t>
            </w:r>
            <w:r w:rsidRPr="009E06AA">
              <w:rPr>
                <w:color w:val="000000"/>
                <w:szCs w:val="16"/>
              </w:rPr>
              <w:t>.0</w:t>
            </w:r>
          </w:p>
        </w:tc>
        <w:tc>
          <w:tcPr>
            <w:tcW w:w="3001" w:type="dxa"/>
            <w:shd w:val="clear" w:color="auto" w:fill="FFFFFF"/>
            <w:tcMar>
              <w:top w:w="0" w:type="dxa"/>
              <w:left w:w="85" w:type="dxa"/>
              <w:bottom w:w="0" w:type="dxa"/>
              <w:right w:w="85" w:type="dxa"/>
            </w:tcMar>
          </w:tcPr>
          <w:p w14:paraId="61FC1CB0" w14:textId="77777777" w:rsidR="00E87995" w:rsidRPr="009E06AA" w:rsidRDefault="00E87995" w:rsidP="00876E40">
            <w:pPr>
              <w:pStyle w:val="TableText"/>
              <w:spacing w:before="40" w:after="30"/>
              <w:jc w:val="right"/>
              <w:rPr>
                <w:szCs w:val="16"/>
              </w:rPr>
            </w:pPr>
            <w:r w:rsidRPr="009E06AA">
              <w:rPr>
                <w:color w:val="000000"/>
                <w:szCs w:val="16"/>
              </w:rPr>
              <w:t>1,134.</w:t>
            </w:r>
            <w:r w:rsidRPr="009E06AA">
              <w:rPr>
                <w:rFonts w:eastAsia="Calibri" w:cs="Calibri"/>
                <w:color w:val="000000"/>
                <w:szCs w:val="16"/>
              </w:rPr>
              <w:t>3</w:t>
            </w:r>
          </w:p>
        </w:tc>
        <w:tc>
          <w:tcPr>
            <w:tcW w:w="2814" w:type="dxa"/>
            <w:shd w:val="clear" w:color="auto" w:fill="FFFFFF"/>
            <w:tcMar>
              <w:top w:w="0" w:type="dxa"/>
              <w:left w:w="85" w:type="dxa"/>
              <w:bottom w:w="0" w:type="dxa"/>
              <w:right w:w="85" w:type="dxa"/>
            </w:tcMar>
          </w:tcPr>
          <w:p w14:paraId="1FE567BA" w14:textId="77777777" w:rsidR="00E87995" w:rsidRPr="009E06AA" w:rsidRDefault="00E87995" w:rsidP="00876E40">
            <w:pPr>
              <w:pStyle w:val="TableText"/>
              <w:spacing w:before="40" w:after="30"/>
              <w:jc w:val="right"/>
              <w:rPr>
                <w:szCs w:val="16"/>
              </w:rPr>
            </w:pPr>
            <w:r w:rsidRPr="009E06AA">
              <w:rPr>
                <w:color w:val="000000"/>
                <w:szCs w:val="16"/>
              </w:rPr>
              <w:t>1,</w:t>
            </w:r>
            <w:r w:rsidRPr="009E06AA">
              <w:rPr>
                <w:rFonts w:eastAsia="Calibri" w:cs="Calibri"/>
                <w:color w:val="000000"/>
                <w:szCs w:val="16"/>
              </w:rPr>
              <w:t>826</w:t>
            </w:r>
            <w:r w:rsidRPr="009E06AA">
              <w:rPr>
                <w:color w:val="000000"/>
                <w:szCs w:val="16"/>
              </w:rPr>
              <w:t>.3</w:t>
            </w:r>
          </w:p>
        </w:tc>
      </w:tr>
      <w:tr w:rsidR="00E87995" w:rsidRPr="009E06AA" w14:paraId="206A2CB3" w14:textId="77777777" w:rsidTr="00B55F24">
        <w:tc>
          <w:tcPr>
            <w:tcW w:w="959" w:type="dxa"/>
            <w:shd w:val="clear" w:color="auto" w:fill="FFFFFF"/>
            <w:tcMar>
              <w:top w:w="0" w:type="dxa"/>
              <w:left w:w="85" w:type="dxa"/>
              <w:bottom w:w="0" w:type="dxa"/>
              <w:right w:w="85" w:type="dxa"/>
            </w:tcMar>
          </w:tcPr>
          <w:p w14:paraId="42B52247" w14:textId="77777777" w:rsidR="00E87995" w:rsidRPr="009E06AA" w:rsidRDefault="00E87995" w:rsidP="00B55F24">
            <w:pPr>
              <w:pStyle w:val="TableTextBold"/>
              <w:spacing w:before="40" w:after="30"/>
              <w:rPr>
                <w:noProof w:val="0"/>
                <w:szCs w:val="16"/>
              </w:rPr>
            </w:pPr>
            <w:r w:rsidRPr="009E06AA">
              <w:rPr>
                <w:noProof w:val="0"/>
                <w:color w:val="1B556B"/>
                <w:szCs w:val="16"/>
              </w:rPr>
              <w:t>1962</w:t>
            </w:r>
          </w:p>
        </w:tc>
        <w:tc>
          <w:tcPr>
            <w:tcW w:w="1721" w:type="dxa"/>
            <w:shd w:val="clear" w:color="auto" w:fill="FFFFFF"/>
            <w:tcMar>
              <w:top w:w="0" w:type="dxa"/>
              <w:left w:w="85" w:type="dxa"/>
              <w:bottom w:w="0" w:type="dxa"/>
              <w:right w:w="85" w:type="dxa"/>
            </w:tcMar>
          </w:tcPr>
          <w:p w14:paraId="39F0D5C2"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688.1</w:t>
            </w:r>
          </w:p>
        </w:tc>
        <w:tc>
          <w:tcPr>
            <w:tcW w:w="3001" w:type="dxa"/>
            <w:shd w:val="clear" w:color="auto" w:fill="FFFFFF"/>
            <w:tcMar>
              <w:top w:w="0" w:type="dxa"/>
              <w:left w:w="85" w:type="dxa"/>
              <w:bottom w:w="0" w:type="dxa"/>
              <w:right w:w="85" w:type="dxa"/>
            </w:tcMar>
          </w:tcPr>
          <w:p w14:paraId="674556C1" w14:textId="77777777" w:rsidR="00E87995" w:rsidRPr="009E06AA" w:rsidRDefault="00E87995" w:rsidP="00876E40">
            <w:pPr>
              <w:pStyle w:val="TableText"/>
              <w:spacing w:before="40" w:after="30"/>
              <w:jc w:val="right"/>
              <w:rPr>
                <w:szCs w:val="16"/>
              </w:rPr>
            </w:pPr>
            <w:r w:rsidRPr="009E06AA">
              <w:rPr>
                <w:color w:val="000000"/>
                <w:szCs w:val="16"/>
              </w:rPr>
              <w:t>1,175.</w:t>
            </w:r>
            <w:r w:rsidRPr="009E06AA">
              <w:rPr>
                <w:rFonts w:eastAsia="Calibri" w:cs="Calibri"/>
                <w:color w:val="000000"/>
                <w:szCs w:val="16"/>
              </w:rPr>
              <w:t>7</w:t>
            </w:r>
          </w:p>
        </w:tc>
        <w:tc>
          <w:tcPr>
            <w:tcW w:w="2814" w:type="dxa"/>
            <w:shd w:val="clear" w:color="auto" w:fill="FFFFFF"/>
            <w:tcMar>
              <w:top w:w="0" w:type="dxa"/>
              <w:left w:w="85" w:type="dxa"/>
              <w:bottom w:w="0" w:type="dxa"/>
              <w:right w:w="85" w:type="dxa"/>
            </w:tcMar>
          </w:tcPr>
          <w:p w14:paraId="6A1E1DCD" w14:textId="77777777" w:rsidR="00E87995" w:rsidRPr="009E06AA" w:rsidRDefault="00E87995" w:rsidP="00876E40">
            <w:pPr>
              <w:pStyle w:val="TableText"/>
              <w:spacing w:before="40" w:after="30"/>
              <w:jc w:val="right"/>
              <w:rPr>
                <w:szCs w:val="16"/>
              </w:rPr>
            </w:pPr>
            <w:r w:rsidRPr="009E06AA">
              <w:rPr>
                <w:color w:val="000000"/>
                <w:szCs w:val="16"/>
              </w:rPr>
              <w:t>1,</w:t>
            </w:r>
            <w:r w:rsidRPr="009E06AA">
              <w:rPr>
                <w:rFonts w:eastAsia="Calibri" w:cs="Calibri"/>
                <w:color w:val="000000"/>
                <w:szCs w:val="16"/>
              </w:rPr>
              <w:t>863</w:t>
            </w:r>
            <w:r w:rsidRPr="009E06AA">
              <w:rPr>
                <w:color w:val="000000"/>
                <w:szCs w:val="16"/>
              </w:rPr>
              <w:t>.8</w:t>
            </w:r>
          </w:p>
        </w:tc>
      </w:tr>
      <w:tr w:rsidR="00E87995" w:rsidRPr="009E06AA" w14:paraId="48B2A05C" w14:textId="77777777" w:rsidTr="00B55F24">
        <w:tc>
          <w:tcPr>
            <w:tcW w:w="959" w:type="dxa"/>
            <w:shd w:val="clear" w:color="auto" w:fill="FFFFFF"/>
            <w:tcMar>
              <w:top w:w="0" w:type="dxa"/>
              <w:left w:w="85" w:type="dxa"/>
              <w:bottom w:w="0" w:type="dxa"/>
              <w:right w:w="85" w:type="dxa"/>
            </w:tcMar>
          </w:tcPr>
          <w:p w14:paraId="24417FBC" w14:textId="77777777" w:rsidR="00E87995" w:rsidRPr="009E06AA" w:rsidRDefault="00E87995" w:rsidP="00B55F24">
            <w:pPr>
              <w:pStyle w:val="TableTextBold"/>
              <w:spacing w:before="40" w:after="30"/>
              <w:rPr>
                <w:noProof w:val="0"/>
                <w:szCs w:val="16"/>
              </w:rPr>
            </w:pPr>
            <w:r w:rsidRPr="009E06AA">
              <w:rPr>
                <w:noProof w:val="0"/>
                <w:color w:val="1B556B"/>
                <w:szCs w:val="16"/>
              </w:rPr>
              <w:t>1963</w:t>
            </w:r>
          </w:p>
        </w:tc>
        <w:tc>
          <w:tcPr>
            <w:tcW w:w="1721" w:type="dxa"/>
            <w:shd w:val="clear" w:color="auto" w:fill="FFFFFF"/>
            <w:tcMar>
              <w:top w:w="0" w:type="dxa"/>
              <w:left w:w="85" w:type="dxa"/>
              <w:bottom w:w="0" w:type="dxa"/>
              <w:right w:w="85" w:type="dxa"/>
            </w:tcMar>
          </w:tcPr>
          <w:p w14:paraId="7FCE0551"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683.7</w:t>
            </w:r>
          </w:p>
        </w:tc>
        <w:tc>
          <w:tcPr>
            <w:tcW w:w="3001" w:type="dxa"/>
            <w:shd w:val="clear" w:color="auto" w:fill="FFFFFF"/>
            <w:tcMar>
              <w:top w:w="0" w:type="dxa"/>
              <w:left w:w="85" w:type="dxa"/>
              <w:bottom w:w="0" w:type="dxa"/>
              <w:right w:w="85" w:type="dxa"/>
            </w:tcMar>
          </w:tcPr>
          <w:p w14:paraId="1DAEF335" w14:textId="77777777" w:rsidR="00E87995" w:rsidRPr="009E06AA" w:rsidRDefault="00E87995" w:rsidP="00876E40">
            <w:pPr>
              <w:pStyle w:val="TableText"/>
              <w:spacing w:before="40" w:after="30"/>
              <w:jc w:val="right"/>
              <w:rPr>
                <w:szCs w:val="16"/>
              </w:rPr>
            </w:pPr>
            <w:r w:rsidRPr="009E06AA">
              <w:rPr>
                <w:color w:val="000000"/>
                <w:szCs w:val="16"/>
              </w:rPr>
              <w:t>1,218.6</w:t>
            </w:r>
          </w:p>
        </w:tc>
        <w:tc>
          <w:tcPr>
            <w:tcW w:w="2814" w:type="dxa"/>
            <w:shd w:val="clear" w:color="auto" w:fill="FFFFFF"/>
            <w:tcMar>
              <w:top w:w="0" w:type="dxa"/>
              <w:left w:w="85" w:type="dxa"/>
              <w:bottom w:w="0" w:type="dxa"/>
              <w:right w:w="85" w:type="dxa"/>
            </w:tcMar>
          </w:tcPr>
          <w:p w14:paraId="5BB4F89E" w14:textId="77777777" w:rsidR="00E87995" w:rsidRPr="009E06AA" w:rsidRDefault="00E87995" w:rsidP="00876E40">
            <w:pPr>
              <w:pStyle w:val="TableText"/>
              <w:spacing w:before="40" w:after="30"/>
              <w:jc w:val="right"/>
              <w:rPr>
                <w:szCs w:val="16"/>
              </w:rPr>
            </w:pPr>
            <w:r w:rsidRPr="009E06AA">
              <w:rPr>
                <w:color w:val="000000"/>
                <w:szCs w:val="16"/>
              </w:rPr>
              <w:t>1,</w:t>
            </w:r>
            <w:r w:rsidRPr="009E06AA">
              <w:rPr>
                <w:rFonts w:eastAsia="Calibri" w:cs="Calibri"/>
                <w:color w:val="000000"/>
                <w:szCs w:val="16"/>
              </w:rPr>
              <w:t>902.3</w:t>
            </w:r>
          </w:p>
        </w:tc>
      </w:tr>
      <w:tr w:rsidR="00E87995" w:rsidRPr="009E06AA" w14:paraId="4E1E1813" w14:textId="77777777" w:rsidTr="00B55F24">
        <w:tc>
          <w:tcPr>
            <w:tcW w:w="959" w:type="dxa"/>
            <w:shd w:val="clear" w:color="auto" w:fill="FFFFFF"/>
            <w:tcMar>
              <w:top w:w="0" w:type="dxa"/>
              <w:left w:w="85" w:type="dxa"/>
              <w:bottom w:w="0" w:type="dxa"/>
              <w:right w:w="85" w:type="dxa"/>
            </w:tcMar>
          </w:tcPr>
          <w:p w14:paraId="07BED6E5" w14:textId="77777777" w:rsidR="00E87995" w:rsidRPr="009E06AA" w:rsidRDefault="00E87995" w:rsidP="00B55F24">
            <w:pPr>
              <w:pStyle w:val="TableTextBold"/>
              <w:spacing w:before="40" w:after="30"/>
              <w:rPr>
                <w:noProof w:val="0"/>
                <w:szCs w:val="16"/>
              </w:rPr>
            </w:pPr>
            <w:r w:rsidRPr="009E06AA">
              <w:rPr>
                <w:noProof w:val="0"/>
                <w:color w:val="1B556B"/>
                <w:szCs w:val="16"/>
              </w:rPr>
              <w:t>1964</w:t>
            </w:r>
          </w:p>
        </w:tc>
        <w:tc>
          <w:tcPr>
            <w:tcW w:w="1721" w:type="dxa"/>
            <w:shd w:val="clear" w:color="auto" w:fill="FFFFFF"/>
            <w:tcMar>
              <w:top w:w="0" w:type="dxa"/>
              <w:left w:w="85" w:type="dxa"/>
              <w:bottom w:w="0" w:type="dxa"/>
              <w:right w:w="85" w:type="dxa"/>
            </w:tcMar>
          </w:tcPr>
          <w:p w14:paraId="3F46D121"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678.1</w:t>
            </w:r>
          </w:p>
        </w:tc>
        <w:tc>
          <w:tcPr>
            <w:tcW w:w="3001" w:type="dxa"/>
            <w:shd w:val="clear" w:color="auto" w:fill="FFFFFF"/>
            <w:tcMar>
              <w:top w:w="0" w:type="dxa"/>
              <w:left w:w="85" w:type="dxa"/>
              <w:bottom w:w="0" w:type="dxa"/>
              <w:right w:w="85" w:type="dxa"/>
            </w:tcMar>
          </w:tcPr>
          <w:p w14:paraId="1AD1B2D6" w14:textId="77777777" w:rsidR="00E87995" w:rsidRPr="009E06AA" w:rsidRDefault="00E87995" w:rsidP="00876E40">
            <w:pPr>
              <w:pStyle w:val="TableText"/>
              <w:spacing w:before="40" w:after="30"/>
              <w:jc w:val="right"/>
              <w:rPr>
                <w:szCs w:val="16"/>
              </w:rPr>
            </w:pPr>
            <w:r w:rsidRPr="009E06AA">
              <w:rPr>
                <w:color w:val="000000"/>
                <w:szCs w:val="16"/>
              </w:rPr>
              <w:t>1,263.</w:t>
            </w:r>
            <w:r w:rsidRPr="009E06AA">
              <w:rPr>
                <w:rFonts w:eastAsia="Calibri" w:cs="Calibri"/>
                <w:color w:val="000000"/>
                <w:szCs w:val="16"/>
              </w:rPr>
              <w:t>0</w:t>
            </w:r>
          </w:p>
        </w:tc>
        <w:tc>
          <w:tcPr>
            <w:tcW w:w="2814" w:type="dxa"/>
            <w:shd w:val="clear" w:color="auto" w:fill="FFFFFF"/>
            <w:tcMar>
              <w:top w:w="0" w:type="dxa"/>
              <w:left w:w="85" w:type="dxa"/>
              <w:bottom w:w="0" w:type="dxa"/>
              <w:right w:w="85" w:type="dxa"/>
            </w:tcMar>
          </w:tcPr>
          <w:p w14:paraId="79C67908" w14:textId="77777777" w:rsidR="00E87995" w:rsidRPr="009E06AA" w:rsidRDefault="00E87995" w:rsidP="00876E40">
            <w:pPr>
              <w:pStyle w:val="TableText"/>
              <w:spacing w:before="40" w:after="30"/>
              <w:jc w:val="right"/>
              <w:rPr>
                <w:szCs w:val="16"/>
              </w:rPr>
            </w:pPr>
            <w:r w:rsidRPr="009E06AA">
              <w:rPr>
                <w:color w:val="000000"/>
                <w:szCs w:val="16"/>
              </w:rPr>
              <w:t>1,</w:t>
            </w:r>
            <w:r w:rsidRPr="009E06AA">
              <w:rPr>
                <w:rFonts w:eastAsia="Calibri" w:cs="Calibri"/>
                <w:color w:val="000000"/>
                <w:szCs w:val="16"/>
              </w:rPr>
              <w:t>941.1</w:t>
            </w:r>
          </w:p>
        </w:tc>
      </w:tr>
      <w:tr w:rsidR="00E87995" w:rsidRPr="009E06AA" w14:paraId="34E89078" w14:textId="77777777" w:rsidTr="00B55F24">
        <w:tc>
          <w:tcPr>
            <w:tcW w:w="959" w:type="dxa"/>
            <w:shd w:val="clear" w:color="auto" w:fill="FFFFFF"/>
            <w:tcMar>
              <w:top w:w="0" w:type="dxa"/>
              <w:left w:w="85" w:type="dxa"/>
              <w:bottom w:w="0" w:type="dxa"/>
              <w:right w:w="85" w:type="dxa"/>
            </w:tcMar>
          </w:tcPr>
          <w:p w14:paraId="738E6797" w14:textId="77777777" w:rsidR="00E87995" w:rsidRPr="009E06AA" w:rsidRDefault="00E87995" w:rsidP="00B55F24">
            <w:pPr>
              <w:pStyle w:val="TableTextBold"/>
              <w:spacing w:before="40" w:after="30"/>
              <w:rPr>
                <w:noProof w:val="0"/>
                <w:szCs w:val="16"/>
              </w:rPr>
            </w:pPr>
            <w:r w:rsidRPr="009E06AA">
              <w:rPr>
                <w:noProof w:val="0"/>
                <w:color w:val="1B556B"/>
                <w:szCs w:val="16"/>
              </w:rPr>
              <w:t>1965</w:t>
            </w:r>
          </w:p>
        </w:tc>
        <w:tc>
          <w:tcPr>
            <w:tcW w:w="1721" w:type="dxa"/>
            <w:shd w:val="clear" w:color="auto" w:fill="FFFFFF"/>
            <w:tcMar>
              <w:top w:w="0" w:type="dxa"/>
              <w:left w:w="85" w:type="dxa"/>
              <w:bottom w:w="0" w:type="dxa"/>
              <w:right w:w="85" w:type="dxa"/>
            </w:tcMar>
          </w:tcPr>
          <w:p w14:paraId="39291221"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666.5</w:t>
            </w:r>
          </w:p>
        </w:tc>
        <w:tc>
          <w:tcPr>
            <w:tcW w:w="3001" w:type="dxa"/>
            <w:shd w:val="clear" w:color="auto" w:fill="FFFFFF"/>
            <w:tcMar>
              <w:top w:w="0" w:type="dxa"/>
              <w:left w:w="85" w:type="dxa"/>
              <w:bottom w:w="0" w:type="dxa"/>
              <w:right w:w="85" w:type="dxa"/>
            </w:tcMar>
          </w:tcPr>
          <w:p w14:paraId="77A942A5" w14:textId="77777777" w:rsidR="00E87995" w:rsidRPr="009E06AA" w:rsidRDefault="00E87995" w:rsidP="00876E40">
            <w:pPr>
              <w:pStyle w:val="TableText"/>
              <w:spacing w:before="40" w:after="30"/>
              <w:jc w:val="right"/>
              <w:rPr>
                <w:szCs w:val="16"/>
              </w:rPr>
            </w:pPr>
            <w:r w:rsidRPr="009E06AA">
              <w:rPr>
                <w:color w:val="000000"/>
                <w:szCs w:val="16"/>
              </w:rPr>
              <w:t>1,309.</w:t>
            </w:r>
            <w:r w:rsidRPr="009E06AA">
              <w:rPr>
                <w:rFonts w:eastAsia="Calibri" w:cs="Calibri"/>
                <w:color w:val="000000"/>
                <w:szCs w:val="16"/>
              </w:rPr>
              <w:t>0</w:t>
            </w:r>
          </w:p>
        </w:tc>
        <w:tc>
          <w:tcPr>
            <w:tcW w:w="2814" w:type="dxa"/>
            <w:shd w:val="clear" w:color="auto" w:fill="FFFFFF"/>
            <w:tcMar>
              <w:top w:w="0" w:type="dxa"/>
              <w:left w:w="85" w:type="dxa"/>
              <w:bottom w:w="0" w:type="dxa"/>
              <w:right w:w="85" w:type="dxa"/>
            </w:tcMar>
          </w:tcPr>
          <w:p w14:paraId="336E98CC" w14:textId="77777777" w:rsidR="00E87995" w:rsidRPr="009E06AA" w:rsidRDefault="00E87995" w:rsidP="00876E40">
            <w:pPr>
              <w:pStyle w:val="TableText"/>
              <w:spacing w:before="40" w:after="30"/>
              <w:jc w:val="right"/>
              <w:rPr>
                <w:szCs w:val="16"/>
              </w:rPr>
            </w:pPr>
            <w:r w:rsidRPr="009E06AA">
              <w:rPr>
                <w:color w:val="000000"/>
                <w:szCs w:val="16"/>
              </w:rPr>
              <w:t>1,</w:t>
            </w:r>
            <w:r w:rsidRPr="009E06AA">
              <w:rPr>
                <w:rFonts w:eastAsia="Calibri" w:cs="Calibri"/>
                <w:color w:val="000000"/>
                <w:szCs w:val="16"/>
              </w:rPr>
              <w:t>975.5</w:t>
            </w:r>
          </w:p>
        </w:tc>
      </w:tr>
      <w:tr w:rsidR="00E87995" w:rsidRPr="009E06AA" w14:paraId="4B703D4B" w14:textId="77777777" w:rsidTr="00B55F24">
        <w:tc>
          <w:tcPr>
            <w:tcW w:w="959" w:type="dxa"/>
            <w:shd w:val="clear" w:color="auto" w:fill="FFFFFF"/>
            <w:tcMar>
              <w:top w:w="0" w:type="dxa"/>
              <w:left w:w="85" w:type="dxa"/>
              <w:bottom w:w="0" w:type="dxa"/>
              <w:right w:w="85" w:type="dxa"/>
            </w:tcMar>
          </w:tcPr>
          <w:p w14:paraId="58FB1493" w14:textId="77777777" w:rsidR="00E87995" w:rsidRPr="009E06AA" w:rsidRDefault="00E87995" w:rsidP="00B55F24">
            <w:pPr>
              <w:pStyle w:val="TableTextBold"/>
              <w:spacing w:before="40" w:after="30"/>
              <w:rPr>
                <w:noProof w:val="0"/>
                <w:szCs w:val="16"/>
              </w:rPr>
            </w:pPr>
            <w:r w:rsidRPr="009E06AA">
              <w:rPr>
                <w:noProof w:val="0"/>
                <w:color w:val="1B556B"/>
                <w:szCs w:val="16"/>
              </w:rPr>
              <w:t>1966</w:t>
            </w:r>
          </w:p>
        </w:tc>
        <w:tc>
          <w:tcPr>
            <w:tcW w:w="1721" w:type="dxa"/>
            <w:shd w:val="clear" w:color="auto" w:fill="FFFFFF"/>
            <w:tcMar>
              <w:top w:w="0" w:type="dxa"/>
              <w:left w:w="85" w:type="dxa"/>
              <w:bottom w:w="0" w:type="dxa"/>
              <w:right w:w="85" w:type="dxa"/>
            </w:tcMar>
          </w:tcPr>
          <w:p w14:paraId="33512218"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661.1</w:t>
            </w:r>
          </w:p>
        </w:tc>
        <w:tc>
          <w:tcPr>
            <w:tcW w:w="3001" w:type="dxa"/>
            <w:shd w:val="clear" w:color="auto" w:fill="FFFFFF"/>
            <w:tcMar>
              <w:top w:w="0" w:type="dxa"/>
              <w:left w:w="85" w:type="dxa"/>
              <w:bottom w:w="0" w:type="dxa"/>
              <w:right w:w="85" w:type="dxa"/>
            </w:tcMar>
          </w:tcPr>
          <w:p w14:paraId="4A95D2A0" w14:textId="77777777" w:rsidR="00E87995" w:rsidRPr="009E06AA" w:rsidRDefault="00E87995" w:rsidP="00876E40">
            <w:pPr>
              <w:pStyle w:val="TableText"/>
              <w:spacing w:before="40" w:after="30"/>
              <w:jc w:val="right"/>
              <w:rPr>
                <w:szCs w:val="16"/>
              </w:rPr>
            </w:pPr>
            <w:r w:rsidRPr="009E06AA">
              <w:rPr>
                <w:color w:val="000000"/>
                <w:szCs w:val="16"/>
              </w:rPr>
              <w:t>1,356.</w:t>
            </w:r>
            <w:r w:rsidRPr="009E06AA">
              <w:rPr>
                <w:rFonts w:eastAsia="Calibri" w:cs="Calibri"/>
                <w:color w:val="000000"/>
                <w:szCs w:val="16"/>
              </w:rPr>
              <w:t>7</w:t>
            </w:r>
          </w:p>
        </w:tc>
        <w:tc>
          <w:tcPr>
            <w:tcW w:w="2814" w:type="dxa"/>
            <w:shd w:val="clear" w:color="auto" w:fill="FFFFFF"/>
            <w:tcMar>
              <w:top w:w="0" w:type="dxa"/>
              <w:left w:w="85" w:type="dxa"/>
              <w:bottom w:w="0" w:type="dxa"/>
              <w:right w:w="85" w:type="dxa"/>
            </w:tcMar>
          </w:tcPr>
          <w:p w14:paraId="70BE3125" w14:textId="77777777" w:rsidR="00E87995" w:rsidRPr="009E06AA" w:rsidRDefault="00E87995" w:rsidP="00876E40">
            <w:pPr>
              <w:pStyle w:val="TableText"/>
              <w:spacing w:before="40" w:after="30"/>
              <w:jc w:val="right"/>
              <w:rPr>
                <w:szCs w:val="16"/>
              </w:rPr>
            </w:pPr>
            <w:r w:rsidRPr="009E06AA">
              <w:rPr>
                <w:color w:val="000000"/>
                <w:szCs w:val="16"/>
              </w:rPr>
              <w:t>2,</w:t>
            </w:r>
            <w:r w:rsidRPr="009E06AA">
              <w:rPr>
                <w:rFonts w:eastAsia="Calibri" w:cs="Calibri"/>
                <w:color w:val="000000"/>
                <w:szCs w:val="16"/>
              </w:rPr>
              <w:t>017.8</w:t>
            </w:r>
          </w:p>
        </w:tc>
      </w:tr>
      <w:tr w:rsidR="00E87995" w:rsidRPr="009E06AA" w14:paraId="2E117BA6" w14:textId="77777777" w:rsidTr="00B55F24">
        <w:tc>
          <w:tcPr>
            <w:tcW w:w="959" w:type="dxa"/>
            <w:shd w:val="clear" w:color="auto" w:fill="FFFFFF"/>
            <w:tcMar>
              <w:top w:w="0" w:type="dxa"/>
              <w:left w:w="85" w:type="dxa"/>
              <w:bottom w:w="0" w:type="dxa"/>
              <w:right w:w="85" w:type="dxa"/>
            </w:tcMar>
          </w:tcPr>
          <w:p w14:paraId="2BEC52F8" w14:textId="77777777" w:rsidR="00E87995" w:rsidRPr="009E06AA" w:rsidRDefault="00E87995" w:rsidP="00B55F24">
            <w:pPr>
              <w:pStyle w:val="TableTextBold"/>
              <w:spacing w:before="40" w:after="30"/>
              <w:rPr>
                <w:noProof w:val="0"/>
                <w:szCs w:val="16"/>
              </w:rPr>
            </w:pPr>
            <w:r w:rsidRPr="009E06AA">
              <w:rPr>
                <w:noProof w:val="0"/>
                <w:color w:val="1B556B"/>
                <w:szCs w:val="16"/>
              </w:rPr>
              <w:t>1967</w:t>
            </w:r>
          </w:p>
        </w:tc>
        <w:tc>
          <w:tcPr>
            <w:tcW w:w="1721" w:type="dxa"/>
            <w:shd w:val="clear" w:color="auto" w:fill="FFFFFF"/>
            <w:tcMar>
              <w:top w:w="0" w:type="dxa"/>
              <w:left w:w="85" w:type="dxa"/>
              <w:bottom w:w="0" w:type="dxa"/>
              <w:right w:w="85" w:type="dxa"/>
            </w:tcMar>
          </w:tcPr>
          <w:p w14:paraId="2437BD13"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644.8</w:t>
            </w:r>
          </w:p>
        </w:tc>
        <w:tc>
          <w:tcPr>
            <w:tcW w:w="3001" w:type="dxa"/>
            <w:shd w:val="clear" w:color="auto" w:fill="FFFFFF"/>
            <w:tcMar>
              <w:top w:w="0" w:type="dxa"/>
              <w:left w:w="85" w:type="dxa"/>
              <w:bottom w:w="0" w:type="dxa"/>
              <w:right w:w="85" w:type="dxa"/>
            </w:tcMar>
          </w:tcPr>
          <w:p w14:paraId="095D5899" w14:textId="77777777" w:rsidR="00E87995" w:rsidRPr="009E06AA" w:rsidRDefault="00E87995" w:rsidP="00876E40">
            <w:pPr>
              <w:pStyle w:val="TableText"/>
              <w:spacing w:before="40" w:after="30"/>
              <w:jc w:val="right"/>
              <w:rPr>
                <w:szCs w:val="16"/>
              </w:rPr>
            </w:pPr>
            <w:r w:rsidRPr="009E06AA">
              <w:rPr>
                <w:color w:val="000000"/>
                <w:szCs w:val="16"/>
              </w:rPr>
              <w:t>1,406.1</w:t>
            </w:r>
          </w:p>
        </w:tc>
        <w:tc>
          <w:tcPr>
            <w:tcW w:w="2814" w:type="dxa"/>
            <w:shd w:val="clear" w:color="auto" w:fill="FFFFFF"/>
            <w:tcMar>
              <w:top w:w="0" w:type="dxa"/>
              <w:left w:w="85" w:type="dxa"/>
              <w:bottom w:w="0" w:type="dxa"/>
              <w:right w:w="85" w:type="dxa"/>
            </w:tcMar>
          </w:tcPr>
          <w:p w14:paraId="5D1C9F20" w14:textId="77777777" w:rsidR="00E87995" w:rsidRPr="009E06AA" w:rsidRDefault="00E87995" w:rsidP="00876E40">
            <w:pPr>
              <w:pStyle w:val="TableText"/>
              <w:spacing w:before="40" w:after="30"/>
              <w:jc w:val="right"/>
              <w:rPr>
                <w:szCs w:val="16"/>
              </w:rPr>
            </w:pPr>
            <w:r w:rsidRPr="009E06AA">
              <w:rPr>
                <w:color w:val="000000"/>
                <w:szCs w:val="16"/>
              </w:rPr>
              <w:t>2,</w:t>
            </w:r>
            <w:r w:rsidRPr="009E06AA">
              <w:rPr>
                <w:rFonts w:eastAsia="Calibri" w:cs="Calibri"/>
                <w:color w:val="000000"/>
                <w:szCs w:val="16"/>
              </w:rPr>
              <w:t>050.9</w:t>
            </w:r>
          </w:p>
        </w:tc>
      </w:tr>
      <w:tr w:rsidR="00E87995" w:rsidRPr="009E06AA" w14:paraId="589C611C" w14:textId="77777777" w:rsidTr="00B55F24">
        <w:tc>
          <w:tcPr>
            <w:tcW w:w="959" w:type="dxa"/>
            <w:shd w:val="clear" w:color="auto" w:fill="FFFFFF"/>
            <w:tcMar>
              <w:top w:w="0" w:type="dxa"/>
              <w:left w:w="85" w:type="dxa"/>
              <w:bottom w:w="0" w:type="dxa"/>
              <w:right w:w="85" w:type="dxa"/>
            </w:tcMar>
          </w:tcPr>
          <w:p w14:paraId="6FC14DCB" w14:textId="77777777" w:rsidR="00E87995" w:rsidRPr="009E06AA" w:rsidRDefault="00E87995" w:rsidP="00B55F24">
            <w:pPr>
              <w:pStyle w:val="TableTextBold"/>
              <w:spacing w:before="40" w:after="30"/>
              <w:rPr>
                <w:noProof w:val="0"/>
                <w:szCs w:val="16"/>
              </w:rPr>
            </w:pPr>
            <w:r w:rsidRPr="009E06AA">
              <w:rPr>
                <w:noProof w:val="0"/>
                <w:color w:val="1B556B"/>
                <w:szCs w:val="16"/>
              </w:rPr>
              <w:t>1968</w:t>
            </w:r>
          </w:p>
        </w:tc>
        <w:tc>
          <w:tcPr>
            <w:tcW w:w="1721" w:type="dxa"/>
            <w:shd w:val="clear" w:color="auto" w:fill="FFFFFF"/>
            <w:tcMar>
              <w:top w:w="0" w:type="dxa"/>
              <w:left w:w="85" w:type="dxa"/>
              <w:bottom w:w="0" w:type="dxa"/>
              <w:right w:w="85" w:type="dxa"/>
            </w:tcMar>
          </w:tcPr>
          <w:p w14:paraId="65D25151"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632.4</w:t>
            </w:r>
          </w:p>
        </w:tc>
        <w:tc>
          <w:tcPr>
            <w:tcW w:w="3001" w:type="dxa"/>
            <w:shd w:val="clear" w:color="auto" w:fill="FFFFFF"/>
            <w:tcMar>
              <w:top w:w="0" w:type="dxa"/>
              <w:left w:w="85" w:type="dxa"/>
              <w:bottom w:w="0" w:type="dxa"/>
              <w:right w:w="85" w:type="dxa"/>
            </w:tcMar>
          </w:tcPr>
          <w:p w14:paraId="508671E8" w14:textId="77777777" w:rsidR="00E87995" w:rsidRPr="009E06AA" w:rsidRDefault="00E87995" w:rsidP="00876E40">
            <w:pPr>
              <w:pStyle w:val="TableText"/>
              <w:spacing w:before="40" w:after="30"/>
              <w:jc w:val="right"/>
              <w:rPr>
                <w:szCs w:val="16"/>
              </w:rPr>
            </w:pPr>
            <w:r w:rsidRPr="009E06AA">
              <w:rPr>
                <w:color w:val="000000"/>
                <w:szCs w:val="16"/>
              </w:rPr>
              <w:t>1,457.</w:t>
            </w:r>
            <w:r w:rsidRPr="009E06AA">
              <w:rPr>
                <w:rFonts w:eastAsia="Calibri" w:cs="Calibri"/>
                <w:color w:val="000000"/>
                <w:szCs w:val="16"/>
              </w:rPr>
              <w:t>2</w:t>
            </w:r>
          </w:p>
        </w:tc>
        <w:tc>
          <w:tcPr>
            <w:tcW w:w="2814" w:type="dxa"/>
            <w:shd w:val="clear" w:color="auto" w:fill="FFFFFF"/>
            <w:tcMar>
              <w:top w:w="0" w:type="dxa"/>
              <w:left w:w="85" w:type="dxa"/>
              <w:bottom w:w="0" w:type="dxa"/>
              <w:right w:w="85" w:type="dxa"/>
            </w:tcMar>
          </w:tcPr>
          <w:p w14:paraId="50CCB72F" w14:textId="77777777" w:rsidR="00E87995" w:rsidRPr="009E06AA" w:rsidRDefault="00E87995" w:rsidP="00876E40">
            <w:pPr>
              <w:pStyle w:val="TableText"/>
              <w:spacing w:before="40" w:after="30"/>
              <w:jc w:val="right"/>
              <w:rPr>
                <w:szCs w:val="16"/>
              </w:rPr>
            </w:pPr>
            <w:r w:rsidRPr="009E06AA">
              <w:rPr>
                <w:color w:val="000000"/>
                <w:szCs w:val="16"/>
              </w:rPr>
              <w:t>2,</w:t>
            </w:r>
            <w:r w:rsidRPr="009E06AA">
              <w:rPr>
                <w:rFonts w:eastAsia="Calibri" w:cs="Calibri"/>
                <w:color w:val="000000"/>
                <w:szCs w:val="16"/>
              </w:rPr>
              <w:t>089.6</w:t>
            </w:r>
          </w:p>
        </w:tc>
      </w:tr>
      <w:tr w:rsidR="00E87995" w:rsidRPr="009E06AA" w14:paraId="61733F96" w14:textId="77777777" w:rsidTr="00B55F24">
        <w:tc>
          <w:tcPr>
            <w:tcW w:w="959" w:type="dxa"/>
            <w:shd w:val="clear" w:color="auto" w:fill="FFFFFF"/>
            <w:tcMar>
              <w:top w:w="0" w:type="dxa"/>
              <w:left w:w="85" w:type="dxa"/>
              <w:bottom w:w="0" w:type="dxa"/>
              <w:right w:w="85" w:type="dxa"/>
            </w:tcMar>
          </w:tcPr>
          <w:p w14:paraId="0246639D" w14:textId="77777777" w:rsidR="00E87995" w:rsidRPr="009E06AA" w:rsidRDefault="00E87995" w:rsidP="00B55F24">
            <w:pPr>
              <w:pStyle w:val="TableTextBold"/>
              <w:spacing w:before="40" w:after="30"/>
              <w:rPr>
                <w:noProof w:val="0"/>
                <w:szCs w:val="16"/>
              </w:rPr>
            </w:pPr>
            <w:r w:rsidRPr="009E06AA">
              <w:rPr>
                <w:noProof w:val="0"/>
                <w:color w:val="1B556B"/>
                <w:szCs w:val="16"/>
              </w:rPr>
              <w:t>1969</w:t>
            </w:r>
          </w:p>
        </w:tc>
        <w:tc>
          <w:tcPr>
            <w:tcW w:w="1721" w:type="dxa"/>
            <w:shd w:val="clear" w:color="auto" w:fill="FFFFFF"/>
            <w:tcMar>
              <w:top w:w="0" w:type="dxa"/>
              <w:left w:w="85" w:type="dxa"/>
              <w:bottom w:w="0" w:type="dxa"/>
              <w:right w:w="85" w:type="dxa"/>
            </w:tcMar>
          </w:tcPr>
          <w:p w14:paraId="61683BD9"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627.8</w:t>
            </w:r>
          </w:p>
        </w:tc>
        <w:tc>
          <w:tcPr>
            <w:tcW w:w="3001" w:type="dxa"/>
            <w:shd w:val="clear" w:color="auto" w:fill="FFFFFF"/>
            <w:tcMar>
              <w:top w:w="0" w:type="dxa"/>
              <w:left w:w="85" w:type="dxa"/>
              <w:bottom w:w="0" w:type="dxa"/>
              <w:right w:w="85" w:type="dxa"/>
            </w:tcMar>
          </w:tcPr>
          <w:p w14:paraId="76CCEE6A" w14:textId="77777777" w:rsidR="00E87995" w:rsidRPr="009E06AA" w:rsidRDefault="00E87995" w:rsidP="00876E40">
            <w:pPr>
              <w:pStyle w:val="TableText"/>
              <w:spacing w:before="40" w:after="30"/>
              <w:jc w:val="right"/>
              <w:rPr>
                <w:szCs w:val="16"/>
              </w:rPr>
            </w:pPr>
            <w:r w:rsidRPr="009E06AA">
              <w:rPr>
                <w:color w:val="000000"/>
                <w:szCs w:val="16"/>
              </w:rPr>
              <w:t>1,510.</w:t>
            </w:r>
            <w:r w:rsidRPr="009E06AA">
              <w:rPr>
                <w:rFonts w:eastAsia="Calibri" w:cs="Calibri"/>
                <w:color w:val="000000"/>
                <w:szCs w:val="16"/>
              </w:rPr>
              <w:t>2</w:t>
            </w:r>
          </w:p>
        </w:tc>
        <w:tc>
          <w:tcPr>
            <w:tcW w:w="2814" w:type="dxa"/>
            <w:shd w:val="clear" w:color="auto" w:fill="FFFFFF"/>
            <w:tcMar>
              <w:top w:w="0" w:type="dxa"/>
              <w:left w:w="85" w:type="dxa"/>
              <w:bottom w:w="0" w:type="dxa"/>
              <w:right w:w="85" w:type="dxa"/>
            </w:tcMar>
          </w:tcPr>
          <w:p w14:paraId="2EE34FA5" w14:textId="77777777" w:rsidR="00E87995" w:rsidRPr="009E06AA" w:rsidRDefault="00E87995" w:rsidP="00876E40">
            <w:pPr>
              <w:pStyle w:val="TableText"/>
              <w:spacing w:before="40" w:after="30"/>
              <w:jc w:val="right"/>
              <w:rPr>
                <w:szCs w:val="16"/>
              </w:rPr>
            </w:pPr>
            <w:r w:rsidRPr="009E06AA">
              <w:rPr>
                <w:color w:val="000000"/>
                <w:szCs w:val="16"/>
              </w:rPr>
              <w:t>2,</w:t>
            </w:r>
            <w:r w:rsidRPr="009E06AA">
              <w:rPr>
                <w:rFonts w:eastAsia="Calibri" w:cs="Calibri"/>
                <w:color w:val="000000"/>
                <w:szCs w:val="16"/>
              </w:rPr>
              <w:t>138.0</w:t>
            </w:r>
          </w:p>
        </w:tc>
      </w:tr>
      <w:tr w:rsidR="00E87995" w:rsidRPr="009E06AA" w14:paraId="7AA64524" w14:textId="77777777" w:rsidTr="00B55F24">
        <w:tc>
          <w:tcPr>
            <w:tcW w:w="959" w:type="dxa"/>
            <w:shd w:val="clear" w:color="auto" w:fill="FFFFFF"/>
            <w:tcMar>
              <w:top w:w="0" w:type="dxa"/>
              <w:left w:w="85" w:type="dxa"/>
              <w:bottom w:w="0" w:type="dxa"/>
              <w:right w:w="85" w:type="dxa"/>
            </w:tcMar>
          </w:tcPr>
          <w:p w14:paraId="1D5B44BF" w14:textId="77777777" w:rsidR="00E87995" w:rsidRPr="009E06AA" w:rsidRDefault="00E87995" w:rsidP="00B55F24">
            <w:pPr>
              <w:pStyle w:val="TableTextBold"/>
              <w:spacing w:before="40" w:after="30"/>
              <w:rPr>
                <w:noProof w:val="0"/>
                <w:szCs w:val="16"/>
              </w:rPr>
            </w:pPr>
            <w:r w:rsidRPr="009E06AA">
              <w:rPr>
                <w:noProof w:val="0"/>
                <w:color w:val="1B556B"/>
                <w:szCs w:val="16"/>
              </w:rPr>
              <w:t>1970</w:t>
            </w:r>
          </w:p>
        </w:tc>
        <w:tc>
          <w:tcPr>
            <w:tcW w:w="1721" w:type="dxa"/>
            <w:shd w:val="clear" w:color="auto" w:fill="FFFFFF"/>
            <w:tcMar>
              <w:top w:w="0" w:type="dxa"/>
              <w:left w:w="85" w:type="dxa"/>
              <w:bottom w:w="0" w:type="dxa"/>
              <w:right w:w="85" w:type="dxa"/>
            </w:tcMar>
          </w:tcPr>
          <w:p w14:paraId="51691267"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617.9</w:t>
            </w:r>
          </w:p>
        </w:tc>
        <w:tc>
          <w:tcPr>
            <w:tcW w:w="3001" w:type="dxa"/>
            <w:shd w:val="clear" w:color="auto" w:fill="FFFFFF"/>
            <w:tcMar>
              <w:top w:w="0" w:type="dxa"/>
              <w:left w:w="85" w:type="dxa"/>
              <w:bottom w:w="0" w:type="dxa"/>
              <w:right w:w="85" w:type="dxa"/>
            </w:tcMar>
          </w:tcPr>
          <w:p w14:paraId="46F3CA0A" w14:textId="77777777" w:rsidR="00E87995" w:rsidRPr="009E06AA" w:rsidRDefault="00E87995" w:rsidP="00876E40">
            <w:pPr>
              <w:pStyle w:val="TableText"/>
              <w:spacing w:before="40" w:after="30"/>
              <w:jc w:val="right"/>
              <w:rPr>
                <w:szCs w:val="16"/>
              </w:rPr>
            </w:pPr>
            <w:r w:rsidRPr="009E06AA">
              <w:rPr>
                <w:color w:val="000000"/>
                <w:szCs w:val="16"/>
              </w:rPr>
              <w:t>1,565.</w:t>
            </w:r>
            <w:r w:rsidRPr="009E06AA">
              <w:rPr>
                <w:rFonts w:eastAsia="Calibri" w:cs="Calibri"/>
                <w:color w:val="000000"/>
                <w:szCs w:val="16"/>
              </w:rPr>
              <w:t>1</w:t>
            </w:r>
          </w:p>
        </w:tc>
        <w:tc>
          <w:tcPr>
            <w:tcW w:w="2814" w:type="dxa"/>
            <w:shd w:val="clear" w:color="auto" w:fill="FFFFFF"/>
            <w:tcMar>
              <w:top w:w="0" w:type="dxa"/>
              <w:left w:w="85" w:type="dxa"/>
              <w:bottom w:w="0" w:type="dxa"/>
              <w:right w:w="85" w:type="dxa"/>
            </w:tcMar>
          </w:tcPr>
          <w:p w14:paraId="119ACC8F" w14:textId="77777777" w:rsidR="00E87995" w:rsidRPr="009E06AA" w:rsidRDefault="00E87995" w:rsidP="00876E40">
            <w:pPr>
              <w:pStyle w:val="TableText"/>
              <w:spacing w:before="40" w:after="30"/>
              <w:jc w:val="right"/>
              <w:rPr>
                <w:szCs w:val="16"/>
              </w:rPr>
            </w:pPr>
            <w:r w:rsidRPr="009E06AA">
              <w:rPr>
                <w:color w:val="000000"/>
                <w:szCs w:val="16"/>
              </w:rPr>
              <w:t>2,</w:t>
            </w:r>
            <w:r w:rsidRPr="009E06AA">
              <w:rPr>
                <w:rFonts w:eastAsia="Calibri" w:cs="Calibri"/>
                <w:color w:val="000000"/>
                <w:szCs w:val="16"/>
              </w:rPr>
              <w:t>183</w:t>
            </w:r>
            <w:r w:rsidRPr="009E06AA">
              <w:rPr>
                <w:color w:val="000000"/>
                <w:szCs w:val="16"/>
              </w:rPr>
              <w:t>.0</w:t>
            </w:r>
          </w:p>
        </w:tc>
      </w:tr>
      <w:tr w:rsidR="00E87995" w:rsidRPr="009E06AA" w14:paraId="0FE61A7C" w14:textId="77777777" w:rsidTr="00B55F24">
        <w:tc>
          <w:tcPr>
            <w:tcW w:w="959" w:type="dxa"/>
            <w:shd w:val="clear" w:color="auto" w:fill="FFFFFF"/>
            <w:tcMar>
              <w:top w:w="0" w:type="dxa"/>
              <w:left w:w="85" w:type="dxa"/>
              <w:bottom w:w="0" w:type="dxa"/>
              <w:right w:w="85" w:type="dxa"/>
            </w:tcMar>
          </w:tcPr>
          <w:p w14:paraId="57B762F3" w14:textId="77777777" w:rsidR="00E87995" w:rsidRPr="009E06AA" w:rsidRDefault="00E87995" w:rsidP="00B55F24">
            <w:pPr>
              <w:pStyle w:val="TableTextBold"/>
              <w:spacing w:before="40" w:after="30"/>
              <w:rPr>
                <w:noProof w:val="0"/>
                <w:szCs w:val="16"/>
              </w:rPr>
            </w:pPr>
            <w:r w:rsidRPr="009E06AA">
              <w:rPr>
                <w:noProof w:val="0"/>
                <w:color w:val="1B556B"/>
                <w:szCs w:val="16"/>
              </w:rPr>
              <w:t>1971</w:t>
            </w:r>
          </w:p>
        </w:tc>
        <w:tc>
          <w:tcPr>
            <w:tcW w:w="1721" w:type="dxa"/>
            <w:shd w:val="clear" w:color="auto" w:fill="FFFFFF"/>
            <w:tcMar>
              <w:top w:w="0" w:type="dxa"/>
              <w:left w:w="85" w:type="dxa"/>
              <w:bottom w:w="0" w:type="dxa"/>
              <w:right w:w="85" w:type="dxa"/>
            </w:tcMar>
          </w:tcPr>
          <w:p w14:paraId="315BDB45"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613.6</w:t>
            </w:r>
          </w:p>
        </w:tc>
        <w:tc>
          <w:tcPr>
            <w:tcW w:w="3001" w:type="dxa"/>
            <w:shd w:val="clear" w:color="auto" w:fill="FFFFFF"/>
            <w:tcMar>
              <w:top w:w="0" w:type="dxa"/>
              <w:left w:w="85" w:type="dxa"/>
              <w:bottom w:w="0" w:type="dxa"/>
              <w:right w:w="85" w:type="dxa"/>
            </w:tcMar>
          </w:tcPr>
          <w:p w14:paraId="2BF7BB7C" w14:textId="77777777" w:rsidR="00E87995" w:rsidRPr="009E06AA" w:rsidRDefault="00E87995" w:rsidP="00876E40">
            <w:pPr>
              <w:pStyle w:val="TableText"/>
              <w:spacing w:before="40" w:after="30"/>
              <w:jc w:val="right"/>
              <w:rPr>
                <w:szCs w:val="16"/>
              </w:rPr>
            </w:pPr>
            <w:r w:rsidRPr="009E06AA">
              <w:rPr>
                <w:color w:val="000000"/>
                <w:szCs w:val="16"/>
              </w:rPr>
              <w:t>1,</w:t>
            </w:r>
            <w:r w:rsidRPr="009E06AA">
              <w:rPr>
                <w:rFonts w:eastAsia="Calibri" w:cs="Calibri"/>
                <w:color w:val="000000"/>
                <w:szCs w:val="16"/>
              </w:rPr>
              <w:t>621.9</w:t>
            </w:r>
          </w:p>
        </w:tc>
        <w:tc>
          <w:tcPr>
            <w:tcW w:w="2814" w:type="dxa"/>
            <w:shd w:val="clear" w:color="auto" w:fill="FFFFFF"/>
            <w:tcMar>
              <w:top w:w="0" w:type="dxa"/>
              <w:left w:w="85" w:type="dxa"/>
              <w:bottom w:w="0" w:type="dxa"/>
              <w:right w:w="85" w:type="dxa"/>
            </w:tcMar>
          </w:tcPr>
          <w:p w14:paraId="59E06095" w14:textId="77777777" w:rsidR="00E87995" w:rsidRPr="009E06AA" w:rsidRDefault="00E87995" w:rsidP="00876E40">
            <w:pPr>
              <w:pStyle w:val="TableText"/>
              <w:spacing w:before="40" w:after="30"/>
              <w:jc w:val="right"/>
              <w:rPr>
                <w:szCs w:val="16"/>
              </w:rPr>
            </w:pPr>
            <w:r w:rsidRPr="009E06AA">
              <w:rPr>
                <w:color w:val="000000"/>
                <w:szCs w:val="16"/>
              </w:rPr>
              <w:t>2,</w:t>
            </w:r>
            <w:r w:rsidRPr="009E06AA">
              <w:rPr>
                <w:rFonts w:eastAsia="Calibri" w:cs="Calibri"/>
                <w:color w:val="000000"/>
                <w:szCs w:val="16"/>
              </w:rPr>
              <w:t>235.6</w:t>
            </w:r>
          </w:p>
        </w:tc>
      </w:tr>
      <w:tr w:rsidR="00E87995" w:rsidRPr="009E06AA" w14:paraId="38DEA8FA" w14:textId="77777777" w:rsidTr="00B55F24">
        <w:tc>
          <w:tcPr>
            <w:tcW w:w="959" w:type="dxa"/>
            <w:shd w:val="clear" w:color="auto" w:fill="FFFFFF"/>
            <w:tcMar>
              <w:top w:w="0" w:type="dxa"/>
              <w:left w:w="85" w:type="dxa"/>
              <w:bottom w:w="0" w:type="dxa"/>
              <w:right w:w="85" w:type="dxa"/>
            </w:tcMar>
          </w:tcPr>
          <w:p w14:paraId="0992BF2C" w14:textId="77777777" w:rsidR="00E87995" w:rsidRPr="009E06AA" w:rsidRDefault="00E87995" w:rsidP="00B55F24">
            <w:pPr>
              <w:pStyle w:val="TableTextBold"/>
              <w:spacing w:before="40" w:after="30"/>
              <w:rPr>
                <w:noProof w:val="0"/>
                <w:szCs w:val="16"/>
              </w:rPr>
            </w:pPr>
            <w:r w:rsidRPr="009E06AA">
              <w:rPr>
                <w:noProof w:val="0"/>
                <w:color w:val="1B556B"/>
                <w:szCs w:val="16"/>
              </w:rPr>
              <w:t>1972</w:t>
            </w:r>
          </w:p>
        </w:tc>
        <w:tc>
          <w:tcPr>
            <w:tcW w:w="1721" w:type="dxa"/>
            <w:shd w:val="clear" w:color="auto" w:fill="FFFFFF"/>
            <w:tcMar>
              <w:top w:w="0" w:type="dxa"/>
              <w:left w:w="85" w:type="dxa"/>
              <w:bottom w:w="0" w:type="dxa"/>
              <w:right w:w="85" w:type="dxa"/>
            </w:tcMar>
          </w:tcPr>
          <w:p w14:paraId="5DBCB055"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593.8</w:t>
            </w:r>
          </w:p>
        </w:tc>
        <w:tc>
          <w:tcPr>
            <w:tcW w:w="3001" w:type="dxa"/>
            <w:shd w:val="clear" w:color="auto" w:fill="FFFFFF"/>
            <w:tcMar>
              <w:top w:w="0" w:type="dxa"/>
              <w:left w:w="85" w:type="dxa"/>
              <w:bottom w:w="0" w:type="dxa"/>
              <w:right w:w="85" w:type="dxa"/>
            </w:tcMar>
          </w:tcPr>
          <w:p w14:paraId="2AC5934F" w14:textId="77777777" w:rsidR="00E87995" w:rsidRPr="009E06AA" w:rsidRDefault="00E87995" w:rsidP="00876E40">
            <w:pPr>
              <w:pStyle w:val="TableText"/>
              <w:spacing w:before="40" w:after="30"/>
              <w:jc w:val="right"/>
              <w:rPr>
                <w:szCs w:val="16"/>
              </w:rPr>
            </w:pPr>
            <w:r w:rsidRPr="009E06AA">
              <w:rPr>
                <w:color w:val="000000"/>
                <w:szCs w:val="16"/>
              </w:rPr>
              <w:t>1,680.</w:t>
            </w:r>
            <w:r w:rsidRPr="009E06AA">
              <w:rPr>
                <w:rFonts w:eastAsia="Calibri" w:cs="Calibri"/>
                <w:color w:val="000000"/>
                <w:szCs w:val="16"/>
              </w:rPr>
              <w:t>8</w:t>
            </w:r>
          </w:p>
        </w:tc>
        <w:tc>
          <w:tcPr>
            <w:tcW w:w="2814" w:type="dxa"/>
            <w:shd w:val="clear" w:color="auto" w:fill="FFFFFF"/>
            <w:tcMar>
              <w:top w:w="0" w:type="dxa"/>
              <w:left w:w="85" w:type="dxa"/>
              <w:bottom w:w="0" w:type="dxa"/>
              <w:right w:w="85" w:type="dxa"/>
            </w:tcMar>
          </w:tcPr>
          <w:p w14:paraId="78B0FCC9" w14:textId="77777777" w:rsidR="00E87995" w:rsidRPr="009E06AA" w:rsidRDefault="00E87995" w:rsidP="00876E40">
            <w:pPr>
              <w:pStyle w:val="TableText"/>
              <w:spacing w:before="40" w:after="30"/>
              <w:jc w:val="right"/>
              <w:rPr>
                <w:szCs w:val="16"/>
              </w:rPr>
            </w:pPr>
            <w:r w:rsidRPr="009E06AA">
              <w:rPr>
                <w:color w:val="000000"/>
                <w:szCs w:val="16"/>
              </w:rPr>
              <w:t>2,</w:t>
            </w:r>
            <w:r w:rsidRPr="009E06AA">
              <w:rPr>
                <w:rFonts w:eastAsia="Calibri" w:cs="Calibri"/>
                <w:color w:val="000000"/>
                <w:szCs w:val="16"/>
              </w:rPr>
              <w:t>274.7</w:t>
            </w:r>
          </w:p>
        </w:tc>
      </w:tr>
      <w:tr w:rsidR="00E87995" w:rsidRPr="009E06AA" w14:paraId="6DA154F3" w14:textId="77777777" w:rsidTr="00B55F24">
        <w:tc>
          <w:tcPr>
            <w:tcW w:w="959" w:type="dxa"/>
            <w:shd w:val="clear" w:color="auto" w:fill="FFFFFF"/>
            <w:tcMar>
              <w:top w:w="0" w:type="dxa"/>
              <w:left w:w="85" w:type="dxa"/>
              <w:bottom w:w="0" w:type="dxa"/>
              <w:right w:w="85" w:type="dxa"/>
            </w:tcMar>
          </w:tcPr>
          <w:p w14:paraId="51053F55" w14:textId="77777777" w:rsidR="00E87995" w:rsidRPr="009E06AA" w:rsidRDefault="00E87995" w:rsidP="00B55F24">
            <w:pPr>
              <w:pStyle w:val="TableTextBold"/>
              <w:spacing w:before="40" w:after="30"/>
              <w:rPr>
                <w:noProof w:val="0"/>
                <w:szCs w:val="16"/>
              </w:rPr>
            </w:pPr>
            <w:r w:rsidRPr="009E06AA">
              <w:rPr>
                <w:noProof w:val="0"/>
                <w:color w:val="1B556B"/>
                <w:szCs w:val="16"/>
              </w:rPr>
              <w:t>1973</w:t>
            </w:r>
          </w:p>
        </w:tc>
        <w:tc>
          <w:tcPr>
            <w:tcW w:w="1721" w:type="dxa"/>
            <w:shd w:val="clear" w:color="auto" w:fill="FFFFFF"/>
            <w:tcMar>
              <w:top w:w="0" w:type="dxa"/>
              <w:left w:w="85" w:type="dxa"/>
              <w:bottom w:w="0" w:type="dxa"/>
              <w:right w:w="85" w:type="dxa"/>
            </w:tcMar>
          </w:tcPr>
          <w:p w14:paraId="515B88C7"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597.7</w:t>
            </w:r>
          </w:p>
        </w:tc>
        <w:tc>
          <w:tcPr>
            <w:tcW w:w="3001" w:type="dxa"/>
            <w:shd w:val="clear" w:color="auto" w:fill="FFFFFF"/>
            <w:tcMar>
              <w:top w:w="0" w:type="dxa"/>
              <w:left w:w="85" w:type="dxa"/>
              <w:bottom w:w="0" w:type="dxa"/>
              <w:right w:w="85" w:type="dxa"/>
            </w:tcMar>
          </w:tcPr>
          <w:p w14:paraId="3F9B1F85" w14:textId="77777777" w:rsidR="00E87995" w:rsidRPr="009E06AA" w:rsidRDefault="00E87995" w:rsidP="00876E40">
            <w:pPr>
              <w:pStyle w:val="TableText"/>
              <w:spacing w:before="40" w:after="30"/>
              <w:jc w:val="right"/>
              <w:rPr>
                <w:szCs w:val="16"/>
              </w:rPr>
            </w:pPr>
            <w:r w:rsidRPr="009E06AA">
              <w:rPr>
                <w:color w:val="000000"/>
                <w:szCs w:val="16"/>
              </w:rPr>
              <w:t>1,741.</w:t>
            </w:r>
            <w:r w:rsidRPr="009E06AA">
              <w:rPr>
                <w:rFonts w:eastAsia="Calibri" w:cs="Calibri"/>
                <w:color w:val="000000"/>
                <w:szCs w:val="16"/>
              </w:rPr>
              <w:t>8</w:t>
            </w:r>
          </w:p>
        </w:tc>
        <w:tc>
          <w:tcPr>
            <w:tcW w:w="2814" w:type="dxa"/>
            <w:shd w:val="clear" w:color="auto" w:fill="FFFFFF"/>
            <w:tcMar>
              <w:top w:w="0" w:type="dxa"/>
              <w:left w:w="85" w:type="dxa"/>
              <w:bottom w:w="0" w:type="dxa"/>
              <w:right w:w="85" w:type="dxa"/>
            </w:tcMar>
          </w:tcPr>
          <w:p w14:paraId="3D151A5E" w14:textId="77777777" w:rsidR="00E87995" w:rsidRPr="009E06AA" w:rsidRDefault="00E87995" w:rsidP="00876E40">
            <w:pPr>
              <w:pStyle w:val="TableText"/>
              <w:spacing w:before="40" w:after="30"/>
              <w:jc w:val="right"/>
              <w:rPr>
                <w:szCs w:val="16"/>
              </w:rPr>
            </w:pPr>
            <w:r w:rsidRPr="009E06AA">
              <w:rPr>
                <w:color w:val="000000"/>
                <w:szCs w:val="16"/>
              </w:rPr>
              <w:t>2,</w:t>
            </w:r>
            <w:r w:rsidRPr="009E06AA">
              <w:rPr>
                <w:rFonts w:eastAsia="Calibri" w:cs="Calibri"/>
                <w:color w:val="000000"/>
                <w:szCs w:val="16"/>
              </w:rPr>
              <w:t>339.5</w:t>
            </w:r>
          </w:p>
        </w:tc>
      </w:tr>
      <w:tr w:rsidR="00E87995" w:rsidRPr="009E06AA" w14:paraId="012DFE96" w14:textId="77777777" w:rsidTr="00B55F24">
        <w:tc>
          <w:tcPr>
            <w:tcW w:w="959" w:type="dxa"/>
            <w:shd w:val="clear" w:color="auto" w:fill="FFFFFF"/>
            <w:tcMar>
              <w:top w:w="0" w:type="dxa"/>
              <w:left w:w="85" w:type="dxa"/>
              <w:bottom w:w="0" w:type="dxa"/>
              <w:right w:w="85" w:type="dxa"/>
            </w:tcMar>
          </w:tcPr>
          <w:p w14:paraId="6144CF15" w14:textId="77777777" w:rsidR="00E87995" w:rsidRPr="009E06AA" w:rsidRDefault="00E87995" w:rsidP="00B55F24">
            <w:pPr>
              <w:pStyle w:val="TableTextBold"/>
              <w:spacing w:before="40" w:after="30"/>
              <w:rPr>
                <w:noProof w:val="0"/>
                <w:szCs w:val="16"/>
              </w:rPr>
            </w:pPr>
            <w:r w:rsidRPr="009E06AA">
              <w:rPr>
                <w:noProof w:val="0"/>
                <w:color w:val="1B556B"/>
                <w:szCs w:val="16"/>
              </w:rPr>
              <w:t>1974</w:t>
            </w:r>
          </w:p>
        </w:tc>
        <w:tc>
          <w:tcPr>
            <w:tcW w:w="1721" w:type="dxa"/>
            <w:shd w:val="clear" w:color="auto" w:fill="FFFFFF"/>
            <w:tcMar>
              <w:top w:w="0" w:type="dxa"/>
              <w:left w:w="85" w:type="dxa"/>
              <w:bottom w:w="0" w:type="dxa"/>
              <w:right w:w="85" w:type="dxa"/>
            </w:tcMar>
          </w:tcPr>
          <w:p w14:paraId="27C94C8B" w14:textId="77777777" w:rsidR="00E87995" w:rsidRPr="009E06AA" w:rsidRDefault="00E87995" w:rsidP="00876E40">
            <w:pPr>
              <w:pStyle w:val="TableText"/>
              <w:spacing w:before="40" w:after="30"/>
              <w:jc w:val="right"/>
              <w:rPr>
                <w:szCs w:val="16"/>
              </w:rPr>
            </w:pPr>
            <w:r w:rsidRPr="009E06AA">
              <w:rPr>
                <w:color w:val="000000"/>
                <w:szCs w:val="16"/>
              </w:rPr>
              <w:t>600.1</w:t>
            </w:r>
          </w:p>
        </w:tc>
        <w:tc>
          <w:tcPr>
            <w:tcW w:w="3001" w:type="dxa"/>
            <w:shd w:val="clear" w:color="auto" w:fill="FFFFFF"/>
            <w:tcMar>
              <w:top w:w="0" w:type="dxa"/>
              <w:left w:w="85" w:type="dxa"/>
              <w:bottom w:w="0" w:type="dxa"/>
              <w:right w:w="85" w:type="dxa"/>
            </w:tcMar>
          </w:tcPr>
          <w:p w14:paraId="708A4A42" w14:textId="77777777" w:rsidR="00E87995" w:rsidRPr="009E06AA" w:rsidRDefault="00E87995" w:rsidP="00876E40">
            <w:pPr>
              <w:pStyle w:val="TableText"/>
              <w:spacing w:before="40" w:after="30"/>
              <w:jc w:val="right"/>
              <w:rPr>
                <w:szCs w:val="16"/>
              </w:rPr>
            </w:pPr>
            <w:r w:rsidRPr="009E06AA">
              <w:rPr>
                <w:color w:val="000000"/>
                <w:szCs w:val="16"/>
              </w:rPr>
              <w:t>1,805.0</w:t>
            </w:r>
          </w:p>
        </w:tc>
        <w:tc>
          <w:tcPr>
            <w:tcW w:w="2814" w:type="dxa"/>
            <w:shd w:val="clear" w:color="auto" w:fill="FFFFFF"/>
            <w:tcMar>
              <w:top w:w="0" w:type="dxa"/>
              <w:left w:w="85" w:type="dxa"/>
              <w:bottom w:w="0" w:type="dxa"/>
              <w:right w:w="85" w:type="dxa"/>
            </w:tcMar>
          </w:tcPr>
          <w:p w14:paraId="044FB70C" w14:textId="77777777" w:rsidR="00E87995" w:rsidRPr="009E06AA" w:rsidRDefault="00E87995" w:rsidP="00876E40">
            <w:pPr>
              <w:pStyle w:val="TableText"/>
              <w:spacing w:before="40" w:after="30"/>
              <w:jc w:val="right"/>
              <w:rPr>
                <w:szCs w:val="16"/>
              </w:rPr>
            </w:pPr>
            <w:r w:rsidRPr="009E06AA">
              <w:rPr>
                <w:color w:val="000000"/>
                <w:szCs w:val="16"/>
              </w:rPr>
              <w:t>2,</w:t>
            </w:r>
            <w:r w:rsidRPr="009E06AA">
              <w:rPr>
                <w:rFonts w:eastAsia="Calibri" w:cs="Calibri"/>
                <w:color w:val="000000"/>
                <w:szCs w:val="16"/>
              </w:rPr>
              <w:t>405.1</w:t>
            </w:r>
          </w:p>
        </w:tc>
      </w:tr>
      <w:tr w:rsidR="00E87995" w:rsidRPr="009E06AA" w14:paraId="18A4AFB8" w14:textId="77777777" w:rsidTr="00B55F24">
        <w:tc>
          <w:tcPr>
            <w:tcW w:w="959" w:type="dxa"/>
            <w:shd w:val="clear" w:color="auto" w:fill="FFFFFF"/>
            <w:tcMar>
              <w:top w:w="0" w:type="dxa"/>
              <w:left w:w="85" w:type="dxa"/>
              <w:bottom w:w="0" w:type="dxa"/>
              <w:right w:w="85" w:type="dxa"/>
            </w:tcMar>
          </w:tcPr>
          <w:p w14:paraId="5C8C6EF2" w14:textId="77777777" w:rsidR="00E87995" w:rsidRPr="009E06AA" w:rsidRDefault="00E87995" w:rsidP="00B55F24">
            <w:pPr>
              <w:pStyle w:val="TableTextBold"/>
              <w:spacing w:before="40" w:after="30"/>
              <w:rPr>
                <w:noProof w:val="0"/>
                <w:szCs w:val="16"/>
              </w:rPr>
            </w:pPr>
            <w:r w:rsidRPr="009E06AA">
              <w:rPr>
                <w:noProof w:val="0"/>
                <w:color w:val="1B556B"/>
                <w:szCs w:val="16"/>
              </w:rPr>
              <w:t>1975</w:t>
            </w:r>
          </w:p>
        </w:tc>
        <w:tc>
          <w:tcPr>
            <w:tcW w:w="1721" w:type="dxa"/>
            <w:shd w:val="clear" w:color="auto" w:fill="FFFFFF"/>
            <w:tcMar>
              <w:top w:w="0" w:type="dxa"/>
              <w:left w:w="85" w:type="dxa"/>
              <w:bottom w:w="0" w:type="dxa"/>
              <w:right w:w="85" w:type="dxa"/>
            </w:tcMar>
          </w:tcPr>
          <w:p w14:paraId="12892B6F"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634.3</w:t>
            </w:r>
          </w:p>
        </w:tc>
        <w:tc>
          <w:tcPr>
            <w:tcW w:w="3001" w:type="dxa"/>
            <w:shd w:val="clear" w:color="auto" w:fill="FFFFFF"/>
            <w:tcMar>
              <w:top w:w="0" w:type="dxa"/>
              <w:left w:w="85" w:type="dxa"/>
              <w:bottom w:w="0" w:type="dxa"/>
              <w:right w:w="85" w:type="dxa"/>
            </w:tcMar>
          </w:tcPr>
          <w:p w14:paraId="33540762" w14:textId="77777777" w:rsidR="00E87995" w:rsidRPr="009E06AA" w:rsidRDefault="00E87995" w:rsidP="00876E40">
            <w:pPr>
              <w:pStyle w:val="TableText"/>
              <w:spacing w:before="40" w:after="30"/>
              <w:jc w:val="right"/>
              <w:rPr>
                <w:szCs w:val="16"/>
              </w:rPr>
            </w:pPr>
            <w:r w:rsidRPr="009E06AA">
              <w:rPr>
                <w:color w:val="000000"/>
                <w:szCs w:val="16"/>
              </w:rPr>
              <w:t>1,870.</w:t>
            </w:r>
            <w:r w:rsidRPr="009E06AA">
              <w:rPr>
                <w:rFonts w:eastAsia="Calibri" w:cs="Calibri"/>
                <w:color w:val="000000"/>
                <w:szCs w:val="16"/>
              </w:rPr>
              <w:t>4</w:t>
            </w:r>
          </w:p>
        </w:tc>
        <w:tc>
          <w:tcPr>
            <w:tcW w:w="2814" w:type="dxa"/>
            <w:shd w:val="clear" w:color="auto" w:fill="FFFFFF"/>
            <w:tcMar>
              <w:top w:w="0" w:type="dxa"/>
              <w:left w:w="85" w:type="dxa"/>
              <w:bottom w:w="0" w:type="dxa"/>
              <w:right w:w="85" w:type="dxa"/>
            </w:tcMar>
          </w:tcPr>
          <w:p w14:paraId="39AC0E13" w14:textId="77777777" w:rsidR="00E87995" w:rsidRPr="009E06AA" w:rsidRDefault="00E87995" w:rsidP="00876E40">
            <w:pPr>
              <w:pStyle w:val="TableText"/>
              <w:spacing w:before="40" w:after="30"/>
              <w:jc w:val="right"/>
              <w:rPr>
                <w:szCs w:val="16"/>
              </w:rPr>
            </w:pPr>
            <w:r w:rsidRPr="009E06AA">
              <w:rPr>
                <w:color w:val="000000"/>
                <w:szCs w:val="16"/>
              </w:rPr>
              <w:t>2,</w:t>
            </w:r>
            <w:r w:rsidRPr="009E06AA">
              <w:rPr>
                <w:rFonts w:eastAsia="Calibri" w:cs="Calibri"/>
                <w:color w:val="000000"/>
                <w:szCs w:val="16"/>
              </w:rPr>
              <w:t>504.7</w:t>
            </w:r>
          </w:p>
        </w:tc>
      </w:tr>
      <w:tr w:rsidR="00E87995" w:rsidRPr="009E06AA" w14:paraId="6CC8B63C" w14:textId="77777777" w:rsidTr="00B55F24">
        <w:tc>
          <w:tcPr>
            <w:tcW w:w="959" w:type="dxa"/>
            <w:shd w:val="clear" w:color="auto" w:fill="FFFFFF"/>
            <w:tcMar>
              <w:top w:w="0" w:type="dxa"/>
              <w:left w:w="85" w:type="dxa"/>
              <w:bottom w:w="0" w:type="dxa"/>
              <w:right w:w="85" w:type="dxa"/>
            </w:tcMar>
          </w:tcPr>
          <w:p w14:paraId="00F5DDE5" w14:textId="77777777" w:rsidR="00E87995" w:rsidRPr="009E06AA" w:rsidRDefault="00E87995" w:rsidP="00B55F24">
            <w:pPr>
              <w:pStyle w:val="TableTextBold"/>
              <w:spacing w:before="40" w:after="30"/>
              <w:rPr>
                <w:noProof w:val="0"/>
                <w:szCs w:val="16"/>
              </w:rPr>
            </w:pPr>
            <w:r w:rsidRPr="009E06AA">
              <w:rPr>
                <w:noProof w:val="0"/>
                <w:color w:val="1B556B"/>
                <w:szCs w:val="16"/>
              </w:rPr>
              <w:t>1976</w:t>
            </w:r>
          </w:p>
        </w:tc>
        <w:tc>
          <w:tcPr>
            <w:tcW w:w="1721" w:type="dxa"/>
            <w:shd w:val="clear" w:color="auto" w:fill="FFFFFF"/>
            <w:tcMar>
              <w:top w:w="0" w:type="dxa"/>
              <w:left w:w="85" w:type="dxa"/>
              <w:bottom w:w="0" w:type="dxa"/>
              <w:right w:w="85" w:type="dxa"/>
            </w:tcMar>
          </w:tcPr>
          <w:p w14:paraId="734E4892"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641.0</w:t>
            </w:r>
          </w:p>
        </w:tc>
        <w:tc>
          <w:tcPr>
            <w:tcW w:w="3001" w:type="dxa"/>
            <w:shd w:val="clear" w:color="auto" w:fill="FFFFFF"/>
            <w:tcMar>
              <w:top w:w="0" w:type="dxa"/>
              <w:left w:w="85" w:type="dxa"/>
              <w:bottom w:w="0" w:type="dxa"/>
              <w:right w:w="85" w:type="dxa"/>
            </w:tcMar>
          </w:tcPr>
          <w:p w14:paraId="1D42F397" w14:textId="77777777" w:rsidR="00E87995" w:rsidRPr="009E06AA" w:rsidRDefault="00E87995" w:rsidP="00876E40">
            <w:pPr>
              <w:pStyle w:val="TableText"/>
              <w:spacing w:before="40" w:after="30"/>
              <w:jc w:val="right"/>
              <w:rPr>
                <w:szCs w:val="16"/>
              </w:rPr>
            </w:pPr>
            <w:r w:rsidRPr="009E06AA">
              <w:rPr>
                <w:color w:val="000000"/>
                <w:szCs w:val="16"/>
              </w:rPr>
              <w:t>1,938.</w:t>
            </w:r>
            <w:r w:rsidRPr="009E06AA">
              <w:rPr>
                <w:rFonts w:eastAsia="Calibri" w:cs="Calibri"/>
                <w:color w:val="000000"/>
                <w:szCs w:val="16"/>
              </w:rPr>
              <w:t>1</w:t>
            </w:r>
          </w:p>
        </w:tc>
        <w:tc>
          <w:tcPr>
            <w:tcW w:w="2814" w:type="dxa"/>
            <w:shd w:val="clear" w:color="auto" w:fill="FFFFFF"/>
            <w:tcMar>
              <w:top w:w="0" w:type="dxa"/>
              <w:left w:w="85" w:type="dxa"/>
              <w:bottom w:w="0" w:type="dxa"/>
              <w:right w:w="85" w:type="dxa"/>
            </w:tcMar>
          </w:tcPr>
          <w:p w14:paraId="2C87B21C" w14:textId="77777777" w:rsidR="00E87995" w:rsidRPr="009E06AA" w:rsidRDefault="00E87995" w:rsidP="00876E40">
            <w:pPr>
              <w:pStyle w:val="TableText"/>
              <w:spacing w:before="40" w:after="30"/>
              <w:jc w:val="right"/>
              <w:rPr>
                <w:szCs w:val="16"/>
              </w:rPr>
            </w:pPr>
            <w:r w:rsidRPr="009E06AA">
              <w:rPr>
                <w:color w:val="000000"/>
                <w:szCs w:val="16"/>
              </w:rPr>
              <w:t>2,</w:t>
            </w:r>
            <w:r w:rsidRPr="009E06AA">
              <w:rPr>
                <w:rFonts w:eastAsia="Calibri" w:cs="Calibri"/>
                <w:color w:val="000000"/>
                <w:szCs w:val="16"/>
              </w:rPr>
              <w:t>579.1</w:t>
            </w:r>
          </w:p>
        </w:tc>
      </w:tr>
      <w:tr w:rsidR="00E87995" w:rsidRPr="009E06AA" w14:paraId="3CA62C98" w14:textId="77777777" w:rsidTr="00B55F24">
        <w:tc>
          <w:tcPr>
            <w:tcW w:w="959" w:type="dxa"/>
            <w:shd w:val="clear" w:color="auto" w:fill="FFFFFF"/>
            <w:tcMar>
              <w:top w:w="0" w:type="dxa"/>
              <w:left w:w="85" w:type="dxa"/>
              <w:bottom w:w="0" w:type="dxa"/>
              <w:right w:w="85" w:type="dxa"/>
            </w:tcMar>
          </w:tcPr>
          <w:p w14:paraId="6B04025F" w14:textId="77777777" w:rsidR="00E87995" w:rsidRPr="009E06AA" w:rsidRDefault="00E87995" w:rsidP="00B55F24">
            <w:pPr>
              <w:pStyle w:val="TableTextBold"/>
              <w:spacing w:before="40" w:after="30"/>
              <w:rPr>
                <w:noProof w:val="0"/>
                <w:szCs w:val="16"/>
              </w:rPr>
            </w:pPr>
            <w:r w:rsidRPr="009E06AA">
              <w:rPr>
                <w:noProof w:val="0"/>
                <w:color w:val="1B556B"/>
                <w:szCs w:val="16"/>
              </w:rPr>
              <w:t>1977</w:t>
            </w:r>
          </w:p>
        </w:tc>
        <w:tc>
          <w:tcPr>
            <w:tcW w:w="1721" w:type="dxa"/>
            <w:shd w:val="clear" w:color="auto" w:fill="FFFFFF"/>
            <w:tcMar>
              <w:top w:w="0" w:type="dxa"/>
              <w:left w:w="85" w:type="dxa"/>
              <w:bottom w:w="0" w:type="dxa"/>
              <w:right w:w="85" w:type="dxa"/>
            </w:tcMar>
          </w:tcPr>
          <w:p w14:paraId="13DBE9FB"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648.5</w:t>
            </w:r>
          </w:p>
        </w:tc>
        <w:tc>
          <w:tcPr>
            <w:tcW w:w="3001" w:type="dxa"/>
            <w:shd w:val="clear" w:color="auto" w:fill="FFFFFF"/>
            <w:tcMar>
              <w:top w:w="0" w:type="dxa"/>
              <w:left w:w="85" w:type="dxa"/>
              <w:bottom w:w="0" w:type="dxa"/>
              <w:right w:w="85" w:type="dxa"/>
            </w:tcMar>
          </w:tcPr>
          <w:p w14:paraId="76ABF236" w14:textId="77777777" w:rsidR="00E87995" w:rsidRPr="009E06AA" w:rsidRDefault="00E87995" w:rsidP="00876E40">
            <w:pPr>
              <w:pStyle w:val="TableText"/>
              <w:spacing w:before="40" w:after="30"/>
              <w:jc w:val="right"/>
              <w:rPr>
                <w:szCs w:val="16"/>
              </w:rPr>
            </w:pPr>
            <w:r w:rsidRPr="009E06AA">
              <w:rPr>
                <w:color w:val="000000"/>
                <w:szCs w:val="16"/>
              </w:rPr>
              <w:t>2,008.</w:t>
            </w:r>
            <w:r w:rsidRPr="009E06AA">
              <w:rPr>
                <w:rFonts w:eastAsia="Calibri" w:cs="Calibri"/>
                <w:color w:val="000000"/>
                <w:szCs w:val="16"/>
              </w:rPr>
              <w:t>3</w:t>
            </w:r>
          </w:p>
        </w:tc>
        <w:tc>
          <w:tcPr>
            <w:tcW w:w="2814" w:type="dxa"/>
            <w:shd w:val="clear" w:color="auto" w:fill="FFFFFF"/>
            <w:tcMar>
              <w:top w:w="0" w:type="dxa"/>
              <w:left w:w="85" w:type="dxa"/>
              <w:bottom w:w="0" w:type="dxa"/>
              <w:right w:w="85" w:type="dxa"/>
            </w:tcMar>
          </w:tcPr>
          <w:p w14:paraId="3D77EC04" w14:textId="77777777" w:rsidR="00E87995" w:rsidRPr="009E06AA" w:rsidRDefault="00E87995" w:rsidP="00876E40">
            <w:pPr>
              <w:pStyle w:val="TableText"/>
              <w:spacing w:before="40" w:after="30"/>
              <w:jc w:val="right"/>
              <w:rPr>
                <w:szCs w:val="16"/>
              </w:rPr>
            </w:pPr>
            <w:r w:rsidRPr="009E06AA">
              <w:rPr>
                <w:color w:val="000000"/>
                <w:szCs w:val="16"/>
              </w:rPr>
              <w:t>2,</w:t>
            </w:r>
            <w:r w:rsidRPr="009E06AA">
              <w:rPr>
                <w:rFonts w:eastAsia="Calibri" w:cs="Calibri"/>
                <w:color w:val="000000"/>
                <w:szCs w:val="16"/>
              </w:rPr>
              <w:t>656.9</w:t>
            </w:r>
          </w:p>
        </w:tc>
      </w:tr>
      <w:tr w:rsidR="00E87995" w:rsidRPr="009E06AA" w14:paraId="0F8968CF" w14:textId="77777777" w:rsidTr="00B55F24">
        <w:tc>
          <w:tcPr>
            <w:tcW w:w="959" w:type="dxa"/>
            <w:shd w:val="clear" w:color="auto" w:fill="FFFFFF"/>
            <w:tcMar>
              <w:top w:w="0" w:type="dxa"/>
              <w:left w:w="85" w:type="dxa"/>
              <w:bottom w:w="0" w:type="dxa"/>
              <w:right w:w="85" w:type="dxa"/>
            </w:tcMar>
          </w:tcPr>
          <w:p w14:paraId="4E09A693" w14:textId="77777777" w:rsidR="00E87995" w:rsidRPr="009E06AA" w:rsidRDefault="00E87995" w:rsidP="00B55F24">
            <w:pPr>
              <w:pStyle w:val="TableTextBold"/>
              <w:spacing w:before="40" w:after="30"/>
              <w:rPr>
                <w:noProof w:val="0"/>
                <w:szCs w:val="16"/>
              </w:rPr>
            </w:pPr>
            <w:r w:rsidRPr="009E06AA">
              <w:rPr>
                <w:noProof w:val="0"/>
                <w:color w:val="1B556B"/>
                <w:szCs w:val="16"/>
              </w:rPr>
              <w:t>1978</w:t>
            </w:r>
          </w:p>
        </w:tc>
        <w:tc>
          <w:tcPr>
            <w:tcW w:w="1721" w:type="dxa"/>
            <w:shd w:val="clear" w:color="auto" w:fill="FFFFFF"/>
            <w:tcMar>
              <w:top w:w="0" w:type="dxa"/>
              <w:left w:w="85" w:type="dxa"/>
              <w:bottom w:w="0" w:type="dxa"/>
              <w:right w:w="85" w:type="dxa"/>
            </w:tcMar>
          </w:tcPr>
          <w:p w14:paraId="634829B2"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656.4</w:t>
            </w:r>
          </w:p>
        </w:tc>
        <w:tc>
          <w:tcPr>
            <w:tcW w:w="3001" w:type="dxa"/>
            <w:shd w:val="clear" w:color="auto" w:fill="FFFFFF"/>
            <w:tcMar>
              <w:top w:w="0" w:type="dxa"/>
              <w:left w:w="85" w:type="dxa"/>
              <w:bottom w:w="0" w:type="dxa"/>
              <w:right w:w="85" w:type="dxa"/>
            </w:tcMar>
          </w:tcPr>
          <w:p w14:paraId="627478C3" w14:textId="77777777" w:rsidR="00E87995" w:rsidRPr="009E06AA" w:rsidRDefault="00E87995" w:rsidP="00876E40">
            <w:pPr>
              <w:pStyle w:val="TableText"/>
              <w:spacing w:before="40" w:after="30"/>
              <w:jc w:val="right"/>
              <w:rPr>
                <w:szCs w:val="16"/>
              </w:rPr>
            </w:pPr>
            <w:r w:rsidRPr="009E06AA">
              <w:rPr>
                <w:color w:val="000000"/>
                <w:szCs w:val="16"/>
              </w:rPr>
              <w:t>2,</w:t>
            </w:r>
            <w:r w:rsidRPr="009E06AA">
              <w:rPr>
                <w:rFonts w:eastAsia="Calibri" w:cs="Calibri"/>
                <w:color w:val="000000"/>
                <w:szCs w:val="16"/>
              </w:rPr>
              <w:t>079.4</w:t>
            </w:r>
          </w:p>
        </w:tc>
        <w:tc>
          <w:tcPr>
            <w:tcW w:w="2814" w:type="dxa"/>
            <w:shd w:val="clear" w:color="auto" w:fill="FFFFFF"/>
            <w:tcMar>
              <w:top w:w="0" w:type="dxa"/>
              <w:left w:w="85" w:type="dxa"/>
              <w:bottom w:w="0" w:type="dxa"/>
              <w:right w:w="85" w:type="dxa"/>
            </w:tcMar>
          </w:tcPr>
          <w:p w14:paraId="2949CEA5" w14:textId="77777777" w:rsidR="00E87995" w:rsidRPr="009E06AA" w:rsidRDefault="00E87995" w:rsidP="00876E40">
            <w:pPr>
              <w:pStyle w:val="TableText"/>
              <w:spacing w:before="40" w:after="30"/>
              <w:jc w:val="right"/>
              <w:rPr>
                <w:szCs w:val="16"/>
              </w:rPr>
            </w:pPr>
            <w:r w:rsidRPr="009E06AA">
              <w:rPr>
                <w:color w:val="000000"/>
                <w:szCs w:val="16"/>
              </w:rPr>
              <w:t>2,</w:t>
            </w:r>
            <w:r w:rsidRPr="009E06AA">
              <w:rPr>
                <w:rFonts w:eastAsia="Calibri" w:cs="Calibri"/>
                <w:color w:val="000000"/>
                <w:szCs w:val="16"/>
              </w:rPr>
              <w:t>735.8</w:t>
            </w:r>
          </w:p>
        </w:tc>
      </w:tr>
      <w:tr w:rsidR="00E87995" w:rsidRPr="009E06AA" w14:paraId="2A005D61" w14:textId="77777777" w:rsidTr="00B55F24">
        <w:tc>
          <w:tcPr>
            <w:tcW w:w="959" w:type="dxa"/>
            <w:shd w:val="clear" w:color="auto" w:fill="FFFFFF"/>
            <w:tcMar>
              <w:top w:w="0" w:type="dxa"/>
              <w:left w:w="85" w:type="dxa"/>
              <w:bottom w:w="0" w:type="dxa"/>
              <w:right w:w="85" w:type="dxa"/>
            </w:tcMar>
          </w:tcPr>
          <w:p w14:paraId="25869103" w14:textId="77777777" w:rsidR="00E87995" w:rsidRPr="009E06AA" w:rsidRDefault="00E87995" w:rsidP="00B55F24">
            <w:pPr>
              <w:pStyle w:val="TableTextBold"/>
              <w:spacing w:before="40" w:after="30"/>
              <w:rPr>
                <w:noProof w:val="0"/>
                <w:szCs w:val="16"/>
              </w:rPr>
            </w:pPr>
            <w:r w:rsidRPr="009E06AA">
              <w:rPr>
                <w:noProof w:val="0"/>
                <w:color w:val="1B556B"/>
                <w:szCs w:val="16"/>
              </w:rPr>
              <w:t>1979</w:t>
            </w:r>
          </w:p>
        </w:tc>
        <w:tc>
          <w:tcPr>
            <w:tcW w:w="1721" w:type="dxa"/>
            <w:shd w:val="clear" w:color="auto" w:fill="FFFFFF"/>
            <w:tcMar>
              <w:top w:w="0" w:type="dxa"/>
              <w:left w:w="85" w:type="dxa"/>
              <w:bottom w:w="0" w:type="dxa"/>
              <w:right w:w="85" w:type="dxa"/>
            </w:tcMar>
          </w:tcPr>
          <w:p w14:paraId="3675E254"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666.3</w:t>
            </w:r>
          </w:p>
        </w:tc>
        <w:tc>
          <w:tcPr>
            <w:tcW w:w="3001" w:type="dxa"/>
            <w:shd w:val="clear" w:color="auto" w:fill="FFFFFF"/>
            <w:tcMar>
              <w:top w:w="0" w:type="dxa"/>
              <w:left w:w="85" w:type="dxa"/>
              <w:bottom w:w="0" w:type="dxa"/>
              <w:right w:w="85" w:type="dxa"/>
            </w:tcMar>
          </w:tcPr>
          <w:p w14:paraId="637879DE" w14:textId="77777777" w:rsidR="00E87995" w:rsidRPr="009E06AA" w:rsidRDefault="00E87995" w:rsidP="00876E40">
            <w:pPr>
              <w:pStyle w:val="TableText"/>
              <w:spacing w:before="40" w:after="30"/>
              <w:jc w:val="right"/>
              <w:rPr>
                <w:szCs w:val="16"/>
              </w:rPr>
            </w:pPr>
            <w:r w:rsidRPr="009E06AA">
              <w:rPr>
                <w:color w:val="000000"/>
                <w:szCs w:val="16"/>
              </w:rPr>
              <w:t>2,</w:t>
            </w:r>
            <w:r w:rsidRPr="009E06AA">
              <w:rPr>
                <w:rFonts w:eastAsia="Calibri" w:cs="Calibri"/>
                <w:color w:val="000000"/>
                <w:szCs w:val="16"/>
              </w:rPr>
              <w:t>086.0</w:t>
            </w:r>
          </w:p>
        </w:tc>
        <w:tc>
          <w:tcPr>
            <w:tcW w:w="2814" w:type="dxa"/>
            <w:shd w:val="clear" w:color="auto" w:fill="FFFFFF"/>
            <w:tcMar>
              <w:top w:w="0" w:type="dxa"/>
              <w:left w:w="85" w:type="dxa"/>
              <w:bottom w:w="0" w:type="dxa"/>
              <w:right w:w="85" w:type="dxa"/>
            </w:tcMar>
          </w:tcPr>
          <w:p w14:paraId="1FE8332F" w14:textId="77777777" w:rsidR="00E87995" w:rsidRPr="009E06AA" w:rsidRDefault="00E87995" w:rsidP="00876E40">
            <w:pPr>
              <w:pStyle w:val="TableText"/>
              <w:spacing w:before="40" w:after="30"/>
              <w:jc w:val="right"/>
              <w:rPr>
                <w:szCs w:val="16"/>
              </w:rPr>
            </w:pPr>
            <w:r w:rsidRPr="009E06AA">
              <w:rPr>
                <w:color w:val="000000"/>
                <w:szCs w:val="16"/>
              </w:rPr>
              <w:t>2,</w:t>
            </w:r>
            <w:r w:rsidRPr="009E06AA">
              <w:rPr>
                <w:rFonts w:eastAsia="Calibri" w:cs="Calibri"/>
                <w:color w:val="000000"/>
                <w:szCs w:val="16"/>
              </w:rPr>
              <w:t>752</w:t>
            </w:r>
            <w:r w:rsidRPr="009E06AA">
              <w:rPr>
                <w:color w:val="000000"/>
                <w:szCs w:val="16"/>
              </w:rPr>
              <w:t>.3</w:t>
            </w:r>
          </w:p>
        </w:tc>
      </w:tr>
      <w:tr w:rsidR="00E87995" w:rsidRPr="009E06AA" w14:paraId="62D36AAD" w14:textId="77777777" w:rsidTr="00B55F24">
        <w:tc>
          <w:tcPr>
            <w:tcW w:w="959" w:type="dxa"/>
            <w:shd w:val="clear" w:color="auto" w:fill="FFFFFF"/>
            <w:tcMar>
              <w:top w:w="0" w:type="dxa"/>
              <w:left w:w="85" w:type="dxa"/>
              <w:bottom w:w="0" w:type="dxa"/>
              <w:right w:w="85" w:type="dxa"/>
            </w:tcMar>
          </w:tcPr>
          <w:p w14:paraId="6B0B1AC4" w14:textId="77777777" w:rsidR="00E87995" w:rsidRPr="009E06AA" w:rsidRDefault="00E87995" w:rsidP="00B55F24">
            <w:pPr>
              <w:pStyle w:val="TableTextBold"/>
              <w:spacing w:before="40" w:after="30"/>
              <w:rPr>
                <w:noProof w:val="0"/>
                <w:szCs w:val="16"/>
              </w:rPr>
            </w:pPr>
            <w:r w:rsidRPr="009E06AA">
              <w:rPr>
                <w:noProof w:val="0"/>
                <w:color w:val="1B556B"/>
                <w:szCs w:val="16"/>
              </w:rPr>
              <w:t>1980</w:t>
            </w:r>
          </w:p>
        </w:tc>
        <w:tc>
          <w:tcPr>
            <w:tcW w:w="1721" w:type="dxa"/>
            <w:shd w:val="clear" w:color="auto" w:fill="FFFFFF"/>
            <w:tcMar>
              <w:top w:w="0" w:type="dxa"/>
              <w:left w:w="85" w:type="dxa"/>
              <w:bottom w:w="0" w:type="dxa"/>
              <w:right w:w="85" w:type="dxa"/>
            </w:tcMar>
          </w:tcPr>
          <w:p w14:paraId="240ECAD0"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676.3</w:t>
            </w:r>
          </w:p>
        </w:tc>
        <w:tc>
          <w:tcPr>
            <w:tcW w:w="3001" w:type="dxa"/>
            <w:shd w:val="clear" w:color="auto" w:fill="FFFFFF"/>
            <w:tcMar>
              <w:top w:w="0" w:type="dxa"/>
              <w:left w:w="85" w:type="dxa"/>
              <w:bottom w:w="0" w:type="dxa"/>
              <w:right w:w="85" w:type="dxa"/>
            </w:tcMar>
          </w:tcPr>
          <w:p w14:paraId="66875FE8" w14:textId="77777777" w:rsidR="00E87995" w:rsidRPr="009E06AA" w:rsidRDefault="00E87995" w:rsidP="00876E40">
            <w:pPr>
              <w:pStyle w:val="TableText"/>
              <w:spacing w:before="40" w:after="30"/>
              <w:jc w:val="right"/>
              <w:rPr>
                <w:szCs w:val="16"/>
              </w:rPr>
            </w:pPr>
            <w:r w:rsidRPr="009E06AA">
              <w:rPr>
                <w:color w:val="000000"/>
                <w:szCs w:val="16"/>
              </w:rPr>
              <w:t>2,</w:t>
            </w:r>
            <w:r w:rsidRPr="009E06AA">
              <w:rPr>
                <w:rFonts w:eastAsia="Calibri" w:cs="Calibri"/>
                <w:color w:val="000000"/>
                <w:szCs w:val="16"/>
              </w:rPr>
              <w:t>131.7</w:t>
            </w:r>
          </w:p>
        </w:tc>
        <w:tc>
          <w:tcPr>
            <w:tcW w:w="2814" w:type="dxa"/>
            <w:shd w:val="clear" w:color="auto" w:fill="FFFFFF"/>
            <w:tcMar>
              <w:top w:w="0" w:type="dxa"/>
              <w:left w:w="85" w:type="dxa"/>
              <w:bottom w:w="0" w:type="dxa"/>
              <w:right w:w="85" w:type="dxa"/>
            </w:tcMar>
          </w:tcPr>
          <w:p w14:paraId="72773905" w14:textId="77777777" w:rsidR="00E87995" w:rsidRPr="009E06AA" w:rsidRDefault="00E87995" w:rsidP="00876E40">
            <w:pPr>
              <w:pStyle w:val="TableText"/>
              <w:spacing w:before="40" w:after="30"/>
              <w:jc w:val="right"/>
              <w:rPr>
                <w:szCs w:val="16"/>
              </w:rPr>
            </w:pPr>
            <w:r w:rsidRPr="009E06AA">
              <w:rPr>
                <w:color w:val="000000"/>
                <w:szCs w:val="16"/>
              </w:rPr>
              <w:t>2,</w:t>
            </w:r>
            <w:r w:rsidRPr="009E06AA">
              <w:rPr>
                <w:rFonts w:eastAsia="Calibri" w:cs="Calibri"/>
                <w:color w:val="000000"/>
                <w:szCs w:val="16"/>
              </w:rPr>
              <w:t>808.0</w:t>
            </w:r>
          </w:p>
        </w:tc>
      </w:tr>
      <w:tr w:rsidR="00E87995" w:rsidRPr="009E06AA" w14:paraId="72F5C860" w14:textId="77777777" w:rsidTr="00B55F24">
        <w:tc>
          <w:tcPr>
            <w:tcW w:w="959" w:type="dxa"/>
            <w:shd w:val="clear" w:color="auto" w:fill="FFFFFF"/>
            <w:tcMar>
              <w:top w:w="0" w:type="dxa"/>
              <w:left w:w="85" w:type="dxa"/>
              <w:bottom w:w="0" w:type="dxa"/>
              <w:right w:w="85" w:type="dxa"/>
            </w:tcMar>
          </w:tcPr>
          <w:p w14:paraId="63B06469" w14:textId="77777777" w:rsidR="00E87995" w:rsidRPr="009E06AA" w:rsidRDefault="00E87995" w:rsidP="00B55F24">
            <w:pPr>
              <w:pStyle w:val="TableTextBold"/>
              <w:spacing w:before="40" w:after="30"/>
              <w:rPr>
                <w:noProof w:val="0"/>
                <w:szCs w:val="16"/>
              </w:rPr>
            </w:pPr>
            <w:r w:rsidRPr="009E06AA">
              <w:rPr>
                <w:noProof w:val="0"/>
                <w:color w:val="1B556B"/>
                <w:szCs w:val="16"/>
              </w:rPr>
              <w:t>1981</w:t>
            </w:r>
          </w:p>
        </w:tc>
        <w:tc>
          <w:tcPr>
            <w:tcW w:w="1721" w:type="dxa"/>
            <w:shd w:val="clear" w:color="auto" w:fill="FFFFFF"/>
            <w:tcMar>
              <w:top w:w="0" w:type="dxa"/>
              <w:left w:w="85" w:type="dxa"/>
              <w:bottom w:w="0" w:type="dxa"/>
              <w:right w:w="85" w:type="dxa"/>
            </w:tcMar>
          </w:tcPr>
          <w:p w14:paraId="0108E9C3"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685.8</w:t>
            </w:r>
          </w:p>
        </w:tc>
        <w:tc>
          <w:tcPr>
            <w:tcW w:w="3001" w:type="dxa"/>
            <w:shd w:val="clear" w:color="auto" w:fill="FFFFFF"/>
            <w:tcMar>
              <w:top w:w="0" w:type="dxa"/>
              <w:left w:w="85" w:type="dxa"/>
              <w:bottom w:w="0" w:type="dxa"/>
              <w:right w:w="85" w:type="dxa"/>
            </w:tcMar>
          </w:tcPr>
          <w:p w14:paraId="4DFC9A9B" w14:textId="77777777" w:rsidR="00E87995" w:rsidRPr="009E06AA" w:rsidRDefault="00E87995" w:rsidP="00876E40">
            <w:pPr>
              <w:pStyle w:val="TableText"/>
              <w:spacing w:before="40" w:after="30"/>
              <w:jc w:val="right"/>
              <w:rPr>
                <w:szCs w:val="16"/>
              </w:rPr>
            </w:pPr>
            <w:r w:rsidRPr="009E06AA">
              <w:rPr>
                <w:color w:val="000000"/>
                <w:szCs w:val="16"/>
              </w:rPr>
              <w:t>2,</w:t>
            </w:r>
            <w:r w:rsidRPr="009E06AA">
              <w:rPr>
                <w:rFonts w:eastAsia="Calibri" w:cs="Calibri"/>
                <w:color w:val="000000"/>
                <w:szCs w:val="16"/>
              </w:rPr>
              <w:t>159.1</w:t>
            </w:r>
          </w:p>
        </w:tc>
        <w:tc>
          <w:tcPr>
            <w:tcW w:w="2814" w:type="dxa"/>
            <w:shd w:val="clear" w:color="auto" w:fill="FFFFFF"/>
            <w:tcMar>
              <w:top w:w="0" w:type="dxa"/>
              <w:left w:w="85" w:type="dxa"/>
              <w:bottom w:w="0" w:type="dxa"/>
              <w:right w:w="85" w:type="dxa"/>
            </w:tcMar>
          </w:tcPr>
          <w:p w14:paraId="6EC4120F" w14:textId="77777777" w:rsidR="00E87995" w:rsidRPr="009E06AA" w:rsidRDefault="00E87995" w:rsidP="00876E40">
            <w:pPr>
              <w:pStyle w:val="TableText"/>
              <w:spacing w:before="40" w:after="30"/>
              <w:jc w:val="right"/>
              <w:rPr>
                <w:szCs w:val="16"/>
              </w:rPr>
            </w:pPr>
            <w:r w:rsidRPr="009E06AA">
              <w:rPr>
                <w:color w:val="000000"/>
                <w:szCs w:val="16"/>
              </w:rPr>
              <w:t>2,</w:t>
            </w:r>
            <w:r w:rsidRPr="009E06AA">
              <w:rPr>
                <w:rFonts w:eastAsia="Calibri" w:cs="Calibri"/>
                <w:color w:val="000000"/>
                <w:szCs w:val="16"/>
              </w:rPr>
              <w:t>844.9</w:t>
            </w:r>
          </w:p>
        </w:tc>
      </w:tr>
      <w:tr w:rsidR="00E87995" w:rsidRPr="009E06AA" w14:paraId="034995E3" w14:textId="77777777" w:rsidTr="00B55F24">
        <w:tc>
          <w:tcPr>
            <w:tcW w:w="959" w:type="dxa"/>
            <w:shd w:val="clear" w:color="auto" w:fill="FFFFFF"/>
            <w:tcMar>
              <w:top w:w="0" w:type="dxa"/>
              <w:left w:w="85" w:type="dxa"/>
              <w:bottom w:w="0" w:type="dxa"/>
              <w:right w:w="85" w:type="dxa"/>
            </w:tcMar>
          </w:tcPr>
          <w:p w14:paraId="5A14FFB0" w14:textId="77777777" w:rsidR="00E87995" w:rsidRPr="009E06AA" w:rsidRDefault="00E87995" w:rsidP="00B55F24">
            <w:pPr>
              <w:pStyle w:val="TableTextBold"/>
              <w:spacing w:before="40" w:after="30"/>
              <w:rPr>
                <w:noProof w:val="0"/>
                <w:szCs w:val="16"/>
              </w:rPr>
            </w:pPr>
            <w:r w:rsidRPr="009E06AA">
              <w:rPr>
                <w:noProof w:val="0"/>
                <w:color w:val="1B556B"/>
                <w:szCs w:val="16"/>
              </w:rPr>
              <w:t>1982</w:t>
            </w:r>
          </w:p>
        </w:tc>
        <w:tc>
          <w:tcPr>
            <w:tcW w:w="1721" w:type="dxa"/>
            <w:shd w:val="clear" w:color="auto" w:fill="FFFFFF"/>
            <w:tcMar>
              <w:top w:w="0" w:type="dxa"/>
              <w:left w:w="85" w:type="dxa"/>
              <w:bottom w:w="0" w:type="dxa"/>
              <w:right w:w="85" w:type="dxa"/>
            </w:tcMar>
          </w:tcPr>
          <w:p w14:paraId="72A1E3AB"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699.2</w:t>
            </w:r>
          </w:p>
        </w:tc>
        <w:tc>
          <w:tcPr>
            <w:tcW w:w="3001" w:type="dxa"/>
            <w:shd w:val="clear" w:color="auto" w:fill="FFFFFF"/>
            <w:tcMar>
              <w:top w:w="0" w:type="dxa"/>
              <w:left w:w="85" w:type="dxa"/>
              <w:bottom w:w="0" w:type="dxa"/>
              <w:right w:w="85" w:type="dxa"/>
            </w:tcMar>
          </w:tcPr>
          <w:p w14:paraId="47A80411" w14:textId="77777777" w:rsidR="00E87995" w:rsidRPr="009E06AA" w:rsidRDefault="00E87995" w:rsidP="00876E40">
            <w:pPr>
              <w:pStyle w:val="TableText"/>
              <w:spacing w:before="40" w:after="30"/>
              <w:jc w:val="right"/>
              <w:rPr>
                <w:szCs w:val="16"/>
              </w:rPr>
            </w:pPr>
            <w:r w:rsidRPr="009E06AA">
              <w:rPr>
                <w:color w:val="000000"/>
                <w:szCs w:val="16"/>
              </w:rPr>
              <w:t>2,</w:t>
            </w:r>
            <w:r w:rsidRPr="009E06AA">
              <w:rPr>
                <w:rFonts w:eastAsia="Calibri" w:cs="Calibri"/>
                <w:color w:val="000000"/>
                <w:szCs w:val="16"/>
              </w:rPr>
              <w:t>259.6</w:t>
            </w:r>
          </w:p>
        </w:tc>
        <w:tc>
          <w:tcPr>
            <w:tcW w:w="2814" w:type="dxa"/>
            <w:shd w:val="clear" w:color="auto" w:fill="FFFFFF"/>
            <w:tcMar>
              <w:top w:w="0" w:type="dxa"/>
              <w:left w:w="85" w:type="dxa"/>
              <w:bottom w:w="0" w:type="dxa"/>
              <w:right w:w="85" w:type="dxa"/>
            </w:tcMar>
          </w:tcPr>
          <w:p w14:paraId="13B0DE37" w14:textId="77777777" w:rsidR="00E87995" w:rsidRPr="009E06AA" w:rsidRDefault="00E87995" w:rsidP="00876E40">
            <w:pPr>
              <w:pStyle w:val="TableText"/>
              <w:spacing w:before="40" w:after="30"/>
              <w:jc w:val="right"/>
              <w:rPr>
                <w:szCs w:val="16"/>
              </w:rPr>
            </w:pPr>
            <w:r w:rsidRPr="009E06AA">
              <w:rPr>
                <w:color w:val="000000"/>
                <w:szCs w:val="16"/>
              </w:rPr>
              <w:t>2,</w:t>
            </w:r>
            <w:r w:rsidRPr="009E06AA">
              <w:rPr>
                <w:rFonts w:eastAsia="Calibri" w:cs="Calibri"/>
                <w:color w:val="000000"/>
                <w:szCs w:val="16"/>
              </w:rPr>
              <w:t>958.8</w:t>
            </w:r>
          </w:p>
        </w:tc>
      </w:tr>
      <w:tr w:rsidR="00E87995" w:rsidRPr="009E06AA" w14:paraId="68505789" w14:textId="77777777" w:rsidTr="00B55F24">
        <w:tc>
          <w:tcPr>
            <w:tcW w:w="959" w:type="dxa"/>
            <w:shd w:val="clear" w:color="auto" w:fill="FFFFFF"/>
            <w:tcMar>
              <w:top w:w="0" w:type="dxa"/>
              <w:left w:w="85" w:type="dxa"/>
              <w:bottom w:w="0" w:type="dxa"/>
              <w:right w:w="85" w:type="dxa"/>
            </w:tcMar>
          </w:tcPr>
          <w:p w14:paraId="3907D7E4" w14:textId="77777777" w:rsidR="00E87995" w:rsidRPr="009E06AA" w:rsidRDefault="00E87995" w:rsidP="00B55F24">
            <w:pPr>
              <w:pStyle w:val="TableTextBold"/>
              <w:spacing w:before="40" w:after="30"/>
              <w:rPr>
                <w:noProof w:val="0"/>
                <w:szCs w:val="16"/>
              </w:rPr>
            </w:pPr>
            <w:r w:rsidRPr="009E06AA">
              <w:rPr>
                <w:noProof w:val="0"/>
                <w:color w:val="1B556B"/>
                <w:szCs w:val="16"/>
              </w:rPr>
              <w:t>1983</w:t>
            </w:r>
          </w:p>
        </w:tc>
        <w:tc>
          <w:tcPr>
            <w:tcW w:w="1721" w:type="dxa"/>
            <w:shd w:val="clear" w:color="auto" w:fill="FFFFFF"/>
            <w:tcMar>
              <w:top w:w="0" w:type="dxa"/>
              <w:left w:w="85" w:type="dxa"/>
              <w:bottom w:w="0" w:type="dxa"/>
              <w:right w:w="85" w:type="dxa"/>
            </w:tcMar>
          </w:tcPr>
          <w:p w14:paraId="7CF22908"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716.4</w:t>
            </w:r>
          </w:p>
        </w:tc>
        <w:tc>
          <w:tcPr>
            <w:tcW w:w="3001" w:type="dxa"/>
            <w:shd w:val="clear" w:color="auto" w:fill="FFFFFF"/>
            <w:tcMar>
              <w:top w:w="0" w:type="dxa"/>
              <w:left w:w="85" w:type="dxa"/>
              <w:bottom w:w="0" w:type="dxa"/>
              <w:right w:w="85" w:type="dxa"/>
            </w:tcMar>
          </w:tcPr>
          <w:p w14:paraId="711D1BA1" w14:textId="77777777" w:rsidR="00E87995" w:rsidRPr="009E06AA" w:rsidRDefault="00E87995" w:rsidP="00876E40">
            <w:pPr>
              <w:pStyle w:val="TableText"/>
              <w:spacing w:before="40" w:after="30"/>
              <w:jc w:val="right"/>
              <w:rPr>
                <w:szCs w:val="16"/>
              </w:rPr>
            </w:pPr>
            <w:r w:rsidRPr="009E06AA">
              <w:rPr>
                <w:color w:val="000000"/>
                <w:szCs w:val="16"/>
              </w:rPr>
              <w:t>2,</w:t>
            </w:r>
            <w:r w:rsidRPr="009E06AA">
              <w:rPr>
                <w:rFonts w:eastAsia="Calibri" w:cs="Calibri"/>
                <w:color w:val="000000"/>
                <w:szCs w:val="16"/>
              </w:rPr>
              <w:t>280.6</w:t>
            </w:r>
          </w:p>
        </w:tc>
        <w:tc>
          <w:tcPr>
            <w:tcW w:w="2814" w:type="dxa"/>
            <w:shd w:val="clear" w:color="auto" w:fill="FFFFFF"/>
            <w:tcMar>
              <w:top w:w="0" w:type="dxa"/>
              <w:left w:w="85" w:type="dxa"/>
              <w:bottom w:w="0" w:type="dxa"/>
              <w:right w:w="85" w:type="dxa"/>
            </w:tcMar>
          </w:tcPr>
          <w:p w14:paraId="04B9D5EB"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2,997.0</w:t>
            </w:r>
          </w:p>
        </w:tc>
      </w:tr>
      <w:tr w:rsidR="00E87995" w:rsidRPr="009E06AA" w14:paraId="1A7AB832" w14:textId="77777777" w:rsidTr="00B55F24">
        <w:tc>
          <w:tcPr>
            <w:tcW w:w="959" w:type="dxa"/>
            <w:shd w:val="clear" w:color="auto" w:fill="FFFFFF"/>
            <w:tcMar>
              <w:top w:w="0" w:type="dxa"/>
              <w:left w:w="85" w:type="dxa"/>
              <w:bottom w:w="0" w:type="dxa"/>
              <w:right w:w="85" w:type="dxa"/>
            </w:tcMar>
          </w:tcPr>
          <w:p w14:paraId="6D3B0154" w14:textId="77777777" w:rsidR="00E87995" w:rsidRPr="009E06AA" w:rsidRDefault="00E87995" w:rsidP="00B55F24">
            <w:pPr>
              <w:pStyle w:val="TableTextBold"/>
              <w:spacing w:before="40" w:after="30"/>
              <w:rPr>
                <w:noProof w:val="0"/>
                <w:szCs w:val="16"/>
              </w:rPr>
            </w:pPr>
            <w:r w:rsidRPr="009E06AA">
              <w:rPr>
                <w:noProof w:val="0"/>
                <w:color w:val="1B556B"/>
                <w:szCs w:val="16"/>
              </w:rPr>
              <w:t>1984</w:t>
            </w:r>
          </w:p>
        </w:tc>
        <w:tc>
          <w:tcPr>
            <w:tcW w:w="1721" w:type="dxa"/>
            <w:shd w:val="clear" w:color="auto" w:fill="FFFFFF"/>
            <w:tcMar>
              <w:top w:w="0" w:type="dxa"/>
              <w:left w:w="85" w:type="dxa"/>
              <w:bottom w:w="0" w:type="dxa"/>
              <w:right w:w="85" w:type="dxa"/>
            </w:tcMar>
          </w:tcPr>
          <w:p w14:paraId="0BAED633"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724.8</w:t>
            </w:r>
          </w:p>
        </w:tc>
        <w:tc>
          <w:tcPr>
            <w:tcW w:w="3001" w:type="dxa"/>
            <w:shd w:val="clear" w:color="auto" w:fill="FFFFFF"/>
            <w:tcMar>
              <w:top w:w="0" w:type="dxa"/>
              <w:left w:w="85" w:type="dxa"/>
              <w:bottom w:w="0" w:type="dxa"/>
              <w:right w:w="85" w:type="dxa"/>
            </w:tcMar>
          </w:tcPr>
          <w:p w14:paraId="4D5C1E8B" w14:textId="77777777" w:rsidR="00E87995" w:rsidRPr="009E06AA" w:rsidRDefault="00E87995" w:rsidP="00876E40">
            <w:pPr>
              <w:pStyle w:val="TableText"/>
              <w:spacing w:before="40" w:after="30"/>
              <w:jc w:val="right"/>
              <w:rPr>
                <w:szCs w:val="16"/>
              </w:rPr>
            </w:pPr>
            <w:r w:rsidRPr="009E06AA">
              <w:rPr>
                <w:color w:val="000000"/>
                <w:szCs w:val="16"/>
              </w:rPr>
              <w:t>2,</w:t>
            </w:r>
            <w:r w:rsidRPr="009E06AA">
              <w:rPr>
                <w:rFonts w:eastAsia="Calibri" w:cs="Calibri"/>
                <w:color w:val="000000"/>
                <w:szCs w:val="16"/>
              </w:rPr>
              <w:t>360.3</w:t>
            </w:r>
          </w:p>
        </w:tc>
        <w:tc>
          <w:tcPr>
            <w:tcW w:w="2814" w:type="dxa"/>
            <w:shd w:val="clear" w:color="auto" w:fill="FFFFFF"/>
            <w:tcMar>
              <w:top w:w="0" w:type="dxa"/>
              <w:left w:w="85" w:type="dxa"/>
              <w:bottom w:w="0" w:type="dxa"/>
              <w:right w:w="85" w:type="dxa"/>
            </w:tcMar>
          </w:tcPr>
          <w:p w14:paraId="620CA74A" w14:textId="77777777" w:rsidR="00E87995" w:rsidRPr="009E06AA" w:rsidRDefault="00E87995" w:rsidP="00876E40">
            <w:pPr>
              <w:pStyle w:val="TableText"/>
              <w:spacing w:before="40" w:after="30"/>
              <w:jc w:val="right"/>
              <w:rPr>
                <w:szCs w:val="16"/>
              </w:rPr>
            </w:pPr>
            <w:r w:rsidRPr="009E06AA">
              <w:rPr>
                <w:color w:val="000000"/>
                <w:szCs w:val="16"/>
              </w:rPr>
              <w:t>3,</w:t>
            </w:r>
            <w:r w:rsidRPr="009E06AA">
              <w:rPr>
                <w:rFonts w:eastAsia="Calibri" w:cs="Calibri"/>
                <w:color w:val="000000"/>
                <w:szCs w:val="16"/>
              </w:rPr>
              <w:t>085.0</w:t>
            </w:r>
          </w:p>
        </w:tc>
      </w:tr>
      <w:tr w:rsidR="00E87995" w:rsidRPr="009E06AA" w14:paraId="2209B59D" w14:textId="77777777" w:rsidTr="00B55F24">
        <w:tc>
          <w:tcPr>
            <w:tcW w:w="959" w:type="dxa"/>
            <w:shd w:val="clear" w:color="auto" w:fill="FFFFFF"/>
            <w:tcMar>
              <w:top w:w="0" w:type="dxa"/>
              <w:left w:w="85" w:type="dxa"/>
              <w:bottom w:w="0" w:type="dxa"/>
              <w:right w:w="85" w:type="dxa"/>
            </w:tcMar>
          </w:tcPr>
          <w:p w14:paraId="70F928BB" w14:textId="77777777" w:rsidR="00E87995" w:rsidRPr="009E06AA" w:rsidRDefault="00E87995" w:rsidP="00B55F24">
            <w:pPr>
              <w:pStyle w:val="TableTextBold"/>
              <w:spacing w:before="40" w:after="30"/>
              <w:rPr>
                <w:noProof w:val="0"/>
                <w:szCs w:val="16"/>
              </w:rPr>
            </w:pPr>
            <w:r w:rsidRPr="009E06AA">
              <w:rPr>
                <w:noProof w:val="0"/>
                <w:color w:val="1B556B"/>
                <w:szCs w:val="16"/>
              </w:rPr>
              <w:t>1985</w:t>
            </w:r>
          </w:p>
        </w:tc>
        <w:tc>
          <w:tcPr>
            <w:tcW w:w="1721" w:type="dxa"/>
            <w:shd w:val="clear" w:color="auto" w:fill="FFFFFF"/>
            <w:tcMar>
              <w:top w:w="0" w:type="dxa"/>
              <w:left w:w="85" w:type="dxa"/>
              <w:bottom w:w="0" w:type="dxa"/>
              <w:right w:w="85" w:type="dxa"/>
            </w:tcMar>
          </w:tcPr>
          <w:p w14:paraId="219C9495"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745.4</w:t>
            </w:r>
          </w:p>
        </w:tc>
        <w:tc>
          <w:tcPr>
            <w:tcW w:w="3001" w:type="dxa"/>
            <w:shd w:val="clear" w:color="auto" w:fill="FFFFFF"/>
            <w:tcMar>
              <w:top w:w="0" w:type="dxa"/>
              <w:left w:w="85" w:type="dxa"/>
              <w:bottom w:w="0" w:type="dxa"/>
              <w:right w:w="85" w:type="dxa"/>
            </w:tcMar>
          </w:tcPr>
          <w:p w14:paraId="0EFCDB58" w14:textId="77777777" w:rsidR="00E87995" w:rsidRPr="009E06AA" w:rsidRDefault="00E87995" w:rsidP="00876E40">
            <w:pPr>
              <w:pStyle w:val="TableText"/>
              <w:spacing w:before="40" w:after="30"/>
              <w:jc w:val="right"/>
              <w:rPr>
                <w:szCs w:val="16"/>
              </w:rPr>
            </w:pPr>
            <w:r w:rsidRPr="009E06AA">
              <w:rPr>
                <w:color w:val="000000"/>
                <w:szCs w:val="16"/>
              </w:rPr>
              <w:t>2,</w:t>
            </w:r>
            <w:r w:rsidRPr="009E06AA">
              <w:rPr>
                <w:rFonts w:eastAsia="Calibri" w:cs="Calibri"/>
                <w:color w:val="000000"/>
                <w:szCs w:val="16"/>
              </w:rPr>
              <w:t>473.4</w:t>
            </w:r>
          </w:p>
        </w:tc>
        <w:tc>
          <w:tcPr>
            <w:tcW w:w="2814" w:type="dxa"/>
            <w:shd w:val="clear" w:color="auto" w:fill="FFFFFF"/>
            <w:tcMar>
              <w:top w:w="0" w:type="dxa"/>
              <w:left w:w="85" w:type="dxa"/>
              <w:bottom w:w="0" w:type="dxa"/>
              <w:right w:w="85" w:type="dxa"/>
            </w:tcMar>
          </w:tcPr>
          <w:p w14:paraId="15776FD3" w14:textId="77777777" w:rsidR="00E87995" w:rsidRPr="009E06AA" w:rsidRDefault="00E87995" w:rsidP="00876E40">
            <w:pPr>
              <w:pStyle w:val="TableText"/>
              <w:spacing w:before="40" w:after="30"/>
              <w:jc w:val="right"/>
              <w:rPr>
                <w:szCs w:val="16"/>
              </w:rPr>
            </w:pPr>
            <w:r w:rsidRPr="009E06AA">
              <w:rPr>
                <w:color w:val="000000"/>
                <w:szCs w:val="16"/>
              </w:rPr>
              <w:t>3,</w:t>
            </w:r>
            <w:r w:rsidRPr="009E06AA">
              <w:rPr>
                <w:rFonts w:eastAsia="Calibri" w:cs="Calibri"/>
                <w:color w:val="000000"/>
                <w:szCs w:val="16"/>
              </w:rPr>
              <w:t>218.8</w:t>
            </w:r>
          </w:p>
        </w:tc>
      </w:tr>
      <w:tr w:rsidR="00E87995" w:rsidRPr="009E06AA" w14:paraId="4ADD8FF9" w14:textId="77777777" w:rsidTr="00B55F24">
        <w:tc>
          <w:tcPr>
            <w:tcW w:w="959" w:type="dxa"/>
            <w:shd w:val="clear" w:color="auto" w:fill="FFFFFF"/>
            <w:tcMar>
              <w:top w:w="0" w:type="dxa"/>
              <w:left w:w="85" w:type="dxa"/>
              <w:bottom w:w="0" w:type="dxa"/>
              <w:right w:w="85" w:type="dxa"/>
            </w:tcMar>
          </w:tcPr>
          <w:p w14:paraId="69891835" w14:textId="77777777" w:rsidR="00E87995" w:rsidRPr="009E06AA" w:rsidRDefault="00E87995" w:rsidP="00B55F24">
            <w:pPr>
              <w:pStyle w:val="TableTextBold"/>
              <w:spacing w:before="40" w:after="30"/>
              <w:rPr>
                <w:noProof w:val="0"/>
                <w:szCs w:val="16"/>
              </w:rPr>
            </w:pPr>
            <w:r w:rsidRPr="009E06AA">
              <w:rPr>
                <w:noProof w:val="0"/>
                <w:color w:val="1B556B"/>
                <w:szCs w:val="16"/>
              </w:rPr>
              <w:t>1986</w:t>
            </w:r>
          </w:p>
        </w:tc>
        <w:tc>
          <w:tcPr>
            <w:tcW w:w="1721" w:type="dxa"/>
            <w:shd w:val="clear" w:color="auto" w:fill="FFFFFF"/>
            <w:tcMar>
              <w:top w:w="0" w:type="dxa"/>
              <w:left w:w="85" w:type="dxa"/>
              <w:bottom w:w="0" w:type="dxa"/>
              <w:right w:w="85" w:type="dxa"/>
            </w:tcMar>
          </w:tcPr>
          <w:p w14:paraId="4B7290BB"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755.0</w:t>
            </w:r>
          </w:p>
        </w:tc>
        <w:tc>
          <w:tcPr>
            <w:tcW w:w="3001" w:type="dxa"/>
            <w:shd w:val="clear" w:color="auto" w:fill="FFFFFF"/>
            <w:tcMar>
              <w:top w:w="0" w:type="dxa"/>
              <w:left w:w="85" w:type="dxa"/>
              <w:bottom w:w="0" w:type="dxa"/>
              <w:right w:w="85" w:type="dxa"/>
            </w:tcMar>
          </w:tcPr>
          <w:p w14:paraId="052729DB" w14:textId="77777777" w:rsidR="00E87995" w:rsidRPr="009E06AA" w:rsidRDefault="00E87995" w:rsidP="00876E40">
            <w:pPr>
              <w:pStyle w:val="TableText"/>
              <w:spacing w:before="40" w:after="30"/>
              <w:jc w:val="right"/>
              <w:rPr>
                <w:szCs w:val="16"/>
              </w:rPr>
            </w:pPr>
            <w:r w:rsidRPr="009E06AA">
              <w:rPr>
                <w:color w:val="000000"/>
                <w:szCs w:val="16"/>
              </w:rPr>
              <w:t>2,</w:t>
            </w:r>
            <w:r w:rsidRPr="009E06AA">
              <w:rPr>
                <w:rFonts w:eastAsia="Calibri" w:cs="Calibri"/>
                <w:color w:val="000000"/>
                <w:szCs w:val="16"/>
              </w:rPr>
              <w:t>513.3</w:t>
            </w:r>
          </w:p>
        </w:tc>
        <w:tc>
          <w:tcPr>
            <w:tcW w:w="2814" w:type="dxa"/>
            <w:shd w:val="clear" w:color="auto" w:fill="FFFFFF"/>
            <w:tcMar>
              <w:top w:w="0" w:type="dxa"/>
              <w:left w:w="85" w:type="dxa"/>
              <w:bottom w:w="0" w:type="dxa"/>
              <w:right w:w="85" w:type="dxa"/>
            </w:tcMar>
          </w:tcPr>
          <w:p w14:paraId="4A7D7AD1" w14:textId="77777777" w:rsidR="00E87995" w:rsidRPr="009E06AA" w:rsidRDefault="00E87995" w:rsidP="00876E40">
            <w:pPr>
              <w:pStyle w:val="TableText"/>
              <w:spacing w:before="40" w:after="30"/>
              <w:jc w:val="right"/>
              <w:rPr>
                <w:szCs w:val="16"/>
              </w:rPr>
            </w:pPr>
            <w:r w:rsidRPr="009E06AA">
              <w:rPr>
                <w:color w:val="000000"/>
                <w:szCs w:val="16"/>
              </w:rPr>
              <w:t>3,</w:t>
            </w:r>
            <w:r w:rsidRPr="009E06AA">
              <w:rPr>
                <w:rFonts w:eastAsia="Calibri" w:cs="Calibri"/>
                <w:color w:val="000000"/>
                <w:szCs w:val="16"/>
              </w:rPr>
              <w:t>268.3</w:t>
            </w:r>
          </w:p>
        </w:tc>
      </w:tr>
      <w:tr w:rsidR="00E87995" w:rsidRPr="009E06AA" w14:paraId="4D11B598" w14:textId="77777777" w:rsidTr="00B55F24">
        <w:tc>
          <w:tcPr>
            <w:tcW w:w="959" w:type="dxa"/>
            <w:shd w:val="clear" w:color="auto" w:fill="FFFFFF"/>
            <w:tcMar>
              <w:top w:w="0" w:type="dxa"/>
              <w:left w:w="85" w:type="dxa"/>
              <w:bottom w:w="0" w:type="dxa"/>
              <w:right w:w="85" w:type="dxa"/>
            </w:tcMar>
          </w:tcPr>
          <w:p w14:paraId="30E91A73" w14:textId="77777777" w:rsidR="00E87995" w:rsidRPr="009E06AA" w:rsidRDefault="00E87995" w:rsidP="00B55F24">
            <w:pPr>
              <w:pStyle w:val="TableTextBold"/>
              <w:spacing w:before="40" w:after="30"/>
              <w:rPr>
                <w:noProof w:val="0"/>
                <w:szCs w:val="16"/>
              </w:rPr>
            </w:pPr>
            <w:r w:rsidRPr="009E06AA">
              <w:rPr>
                <w:noProof w:val="0"/>
                <w:color w:val="1B556B"/>
                <w:szCs w:val="16"/>
              </w:rPr>
              <w:t>1987</w:t>
            </w:r>
          </w:p>
        </w:tc>
        <w:tc>
          <w:tcPr>
            <w:tcW w:w="1721" w:type="dxa"/>
            <w:shd w:val="clear" w:color="auto" w:fill="FFFFFF"/>
            <w:tcMar>
              <w:top w:w="0" w:type="dxa"/>
              <w:left w:w="85" w:type="dxa"/>
              <w:bottom w:w="0" w:type="dxa"/>
              <w:right w:w="85" w:type="dxa"/>
            </w:tcMar>
          </w:tcPr>
          <w:p w14:paraId="79A88331"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764</w:t>
            </w:r>
            <w:r w:rsidRPr="009E06AA">
              <w:rPr>
                <w:color w:val="000000"/>
                <w:szCs w:val="16"/>
              </w:rPr>
              <w:t>.2</w:t>
            </w:r>
          </w:p>
        </w:tc>
        <w:tc>
          <w:tcPr>
            <w:tcW w:w="3001" w:type="dxa"/>
            <w:shd w:val="clear" w:color="auto" w:fill="FFFFFF"/>
            <w:tcMar>
              <w:top w:w="0" w:type="dxa"/>
              <w:left w:w="85" w:type="dxa"/>
              <w:bottom w:w="0" w:type="dxa"/>
              <w:right w:w="85" w:type="dxa"/>
            </w:tcMar>
          </w:tcPr>
          <w:p w14:paraId="50BDF1B3" w14:textId="77777777" w:rsidR="00E87995" w:rsidRPr="009E06AA" w:rsidRDefault="00E87995" w:rsidP="00876E40">
            <w:pPr>
              <w:pStyle w:val="TableText"/>
              <w:spacing w:before="40" w:after="30"/>
              <w:jc w:val="right"/>
              <w:rPr>
                <w:szCs w:val="16"/>
              </w:rPr>
            </w:pPr>
            <w:r w:rsidRPr="009E06AA">
              <w:rPr>
                <w:color w:val="000000"/>
                <w:szCs w:val="16"/>
              </w:rPr>
              <w:t>2,</w:t>
            </w:r>
            <w:r w:rsidRPr="009E06AA">
              <w:rPr>
                <w:rFonts w:eastAsia="Calibri" w:cs="Calibri"/>
                <w:color w:val="000000"/>
                <w:szCs w:val="16"/>
              </w:rPr>
              <w:t>581.3</w:t>
            </w:r>
          </w:p>
        </w:tc>
        <w:tc>
          <w:tcPr>
            <w:tcW w:w="2814" w:type="dxa"/>
            <w:shd w:val="clear" w:color="auto" w:fill="FFFFFF"/>
            <w:tcMar>
              <w:top w:w="0" w:type="dxa"/>
              <w:left w:w="85" w:type="dxa"/>
              <w:bottom w:w="0" w:type="dxa"/>
              <w:right w:w="85" w:type="dxa"/>
            </w:tcMar>
          </w:tcPr>
          <w:p w14:paraId="21EE4675" w14:textId="77777777" w:rsidR="00E87995" w:rsidRPr="009E06AA" w:rsidRDefault="00E87995" w:rsidP="00876E40">
            <w:pPr>
              <w:pStyle w:val="TableText"/>
              <w:spacing w:before="40" w:after="30"/>
              <w:jc w:val="right"/>
              <w:rPr>
                <w:szCs w:val="16"/>
              </w:rPr>
            </w:pPr>
            <w:r w:rsidRPr="009E06AA">
              <w:rPr>
                <w:color w:val="000000"/>
                <w:szCs w:val="16"/>
              </w:rPr>
              <w:t>3,</w:t>
            </w:r>
            <w:r w:rsidRPr="009E06AA">
              <w:rPr>
                <w:rFonts w:eastAsia="Calibri" w:cs="Calibri"/>
                <w:color w:val="000000"/>
                <w:szCs w:val="16"/>
              </w:rPr>
              <w:t>345.5</w:t>
            </w:r>
          </w:p>
        </w:tc>
      </w:tr>
      <w:tr w:rsidR="00E87995" w:rsidRPr="009E06AA" w14:paraId="490F28E0" w14:textId="77777777" w:rsidTr="00B55F24">
        <w:tc>
          <w:tcPr>
            <w:tcW w:w="959" w:type="dxa"/>
            <w:shd w:val="clear" w:color="auto" w:fill="FFFFFF"/>
            <w:tcMar>
              <w:top w:w="0" w:type="dxa"/>
              <w:left w:w="85" w:type="dxa"/>
              <w:bottom w:w="0" w:type="dxa"/>
              <w:right w:w="85" w:type="dxa"/>
            </w:tcMar>
          </w:tcPr>
          <w:p w14:paraId="3B705FCF" w14:textId="77777777" w:rsidR="00E87995" w:rsidRPr="009E06AA" w:rsidRDefault="00E87995" w:rsidP="00B55F24">
            <w:pPr>
              <w:pStyle w:val="TableTextBold"/>
              <w:spacing w:before="40" w:after="30"/>
              <w:rPr>
                <w:noProof w:val="0"/>
                <w:szCs w:val="16"/>
              </w:rPr>
            </w:pPr>
            <w:r w:rsidRPr="009E06AA">
              <w:rPr>
                <w:noProof w:val="0"/>
                <w:color w:val="1B556B"/>
                <w:szCs w:val="16"/>
              </w:rPr>
              <w:t>1988</w:t>
            </w:r>
          </w:p>
        </w:tc>
        <w:tc>
          <w:tcPr>
            <w:tcW w:w="1721" w:type="dxa"/>
            <w:shd w:val="clear" w:color="auto" w:fill="FFFFFF"/>
            <w:tcMar>
              <w:top w:w="0" w:type="dxa"/>
              <w:left w:w="85" w:type="dxa"/>
              <w:bottom w:w="0" w:type="dxa"/>
              <w:right w:w="85" w:type="dxa"/>
            </w:tcMar>
          </w:tcPr>
          <w:p w14:paraId="61186F00"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776.1</w:t>
            </w:r>
          </w:p>
        </w:tc>
        <w:tc>
          <w:tcPr>
            <w:tcW w:w="3001" w:type="dxa"/>
            <w:shd w:val="clear" w:color="auto" w:fill="FFFFFF"/>
            <w:tcMar>
              <w:top w:w="0" w:type="dxa"/>
              <w:left w:w="85" w:type="dxa"/>
              <w:bottom w:w="0" w:type="dxa"/>
              <w:right w:w="85" w:type="dxa"/>
            </w:tcMar>
          </w:tcPr>
          <w:p w14:paraId="016734EF" w14:textId="77777777" w:rsidR="00E87995" w:rsidRPr="009E06AA" w:rsidRDefault="00E87995" w:rsidP="00876E40">
            <w:pPr>
              <w:pStyle w:val="TableText"/>
              <w:spacing w:before="40" w:after="30"/>
              <w:jc w:val="right"/>
              <w:rPr>
                <w:szCs w:val="16"/>
              </w:rPr>
            </w:pPr>
            <w:r w:rsidRPr="009E06AA">
              <w:rPr>
                <w:color w:val="000000"/>
                <w:szCs w:val="16"/>
              </w:rPr>
              <w:t>2,</w:t>
            </w:r>
            <w:r w:rsidRPr="009E06AA">
              <w:rPr>
                <w:rFonts w:eastAsia="Calibri" w:cs="Calibri"/>
                <w:color w:val="000000"/>
                <w:szCs w:val="16"/>
              </w:rPr>
              <w:t>606.4</w:t>
            </w:r>
          </w:p>
        </w:tc>
        <w:tc>
          <w:tcPr>
            <w:tcW w:w="2814" w:type="dxa"/>
            <w:shd w:val="clear" w:color="auto" w:fill="FFFFFF"/>
            <w:tcMar>
              <w:top w:w="0" w:type="dxa"/>
              <w:left w:w="85" w:type="dxa"/>
              <w:bottom w:w="0" w:type="dxa"/>
              <w:right w:w="85" w:type="dxa"/>
            </w:tcMar>
          </w:tcPr>
          <w:p w14:paraId="6F6677CF" w14:textId="77777777" w:rsidR="00E87995" w:rsidRPr="009E06AA" w:rsidRDefault="00E87995" w:rsidP="00876E40">
            <w:pPr>
              <w:pStyle w:val="TableText"/>
              <w:spacing w:before="40" w:after="30"/>
              <w:jc w:val="right"/>
              <w:rPr>
                <w:szCs w:val="16"/>
              </w:rPr>
            </w:pPr>
            <w:r w:rsidRPr="009E06AA">
              <w:rPr>
                <w:color w:val="000000"/>
                <w:szCs w:val="16"/>
              </w:rPr>
              <w:t>3,</w:t>
            </w:r>
            <w:r w:rsidRPr="009E06AA">
              <w:rPr>
                <w:rFonts w:eastAsia="Calibri" w:cs="Calibri"/>
                <w:color w:val="000000"/>
                <w:szCs w:val="16"/>
              </w:rPr>
              <w:t>382.5</w:t>
            </w:r>
          </w:p>
        </w:tc>
      </w:tr>
      <w:tr w:rsidR="00E87995" w:rsidRPr="009E06AA" w14:paraId="56BC8DEE" w14:textId="77777777" w:rsidTr="00B55F24">
        <w:tc>
          <w:tcPr>
            <w:tcW w:w="959" w:type="dxa"/>
            <w:shd w:val="clear" w:color="auto" w:fill="FFFFFF"/>
            <w:tcMar>
              <w:top w:w="0" w:type="dxa"/>
              <w:left w:w="85" w:type="dxa"/>
              <w:bottom w:w="0" w:type="dxa"/>
              <w:right w:w="85" w:type="dxa"/>
            </w:tcMar>
          </w:tcPr>
          <w:p w14:paraId="659FF54F" w14:textId="77777777" w:rsidR="00E87995" w:rsidRPr="009E06AA" w:rsidRDefault="00E87995" w:rsidP="00B55F24">
            <w:pPr>
              <w:pStyle w:val="TableTextBold"/>
              <w:spacing w:before="40" w:after="30"/>
              <w:rPr>
                <w:noProof w:val="0"/>
                <w:szCs w:val="16"/>
              </w:rPr>
            </w:pPr>
            <w:r w:rsidRPr="009E06AA">
              <w:rPr>
                <w:noProof w:val="0"/>
                <w:color w:val="1B556B"/>
                <w:szCs w:val="16"/>
              </w:rPr>
              <w:t>1989</w:t>
            </w:r>
          </w:p>
        </w:tc>
        <w:tc>
          <w:tcPr>
            <w:tcW w:w="1721" w:type="dxa"/>
            <w:shd w:val="clear" w:color="auto" w:fill="FFFFFF"/>
            <w:tcMar>
              <w:top w:w="0" w:type="dxa"/>
              <w:left w:w="85" w:type="dxa"/>
              <w:bottom w:w="0" w:type="dxa"/>
              <w:right w:w="85" w:type="dxa"/>
            </w:tcMar>
          </w:tcPr>
          <w:p w14:paraId="4492D308"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782.0</w:t>
            </w:r>
          </w:p>
        </w:tc>
        <w:tc>
          <w:tcPr>
            <w:tcW w:w="3001" w:type="dxa"/>
            <w:shd w:val="clear" w:color="auto" w:fill="FFFFFF"/>
            <w:tcMar>
              <w:top w:w="0" w:type="dxa"/>
              <w:left w:w="85" w:type="dxa"/>
              <w:bottom w:w="0" w:type="dxa"/>
              <w:right w:w="85" w:type="dxa"/>
            </w:tcMar>
          </w:tcPr>
          <w:p w14:paraId="4FB6B2FF" w14:textId="77777777" w:rsidR="00E87995" w:rsidRPr="009E06AA" w:rsidRDefault="00E87995" w:rsidP="00876E40">
            <w:pPr>
              <w:pStyle w:val="TableText"/>
              <w:spacing w:before="40" w:after="30"/>
              <w:jc w:val="right"/>
              <w:rPr>
                <w:szCs w:val="16"/>
              </w:rPr>
            </w:pPr>
            <w:r w:rsidRPr="009E06AA">
              <w:rPr>
                <w:color w:val="000000"/>
                <w:szCs w:val="16"/>
              </w:rPr>
              <w:t>2,</w:t>
            </w:r>
            <w:r w:rsidRPr="009E06AA">
              <w:rPr>
                <w:rFonts w:eastAsia="Calibri" w:cs="Calibri"/>
                <w:color w:val="000000"/>
                <w:szCs w:val="16"/>
              </w:rPr>
              <w:t>597.2</w:t>
            </w:r>
          </w:p>
        </w:tc>
        <w:tc>
          <w:tcPr>
            <w:tcW w:w="2814" w:type="dxa"/>
            <w:shd w:val="clear" w:color="auto" w:fill="FFFFFF"/>
            <w:tcMar>
              <w:top w:w="0" w:type="dxa"/>
              <w:left w:w="85" w:type="dxa"/>
              <w:bottom w:w="0" w:type="dxa"/>
              <w:right w:w="85" w:type="dxa"/>
            </w:tcMar>
          </w:tcPr>
          <w:p w14:paraId="2EFDB95A" w14:textId="77777777" w:rsidR="00E87995" w:rsidRPr="009E06AA" w:rsidRDefault="00E87995" w:rsidP="00876E40">
            <w:pPr>
              <w:pStyle w:val="TableText"/>
              <w:spacing w:before="40" w:after="30"/>
              <w:jc w:val="right"/>
              <w:rPr>
                <w:szCs w:val="16"/>
              </w:rPr>
            </w:pPr>
            <w:r w:rsidRPr="009E06AA">
              <w:rPr>
                <w:color w:val="000000"/>
                <w:szCs w:val="16"/>
              </w:rPr>
              <w:t>3,</w:t>
            </w:r>
            <w:r w:rsidRPr="009E06AA">
              <w:rPr>
                <w:rFonts w:eastAsia="Calibri" w:cs="Calibri"/>
                <w:color w:val="000000"/>
                <w:szCs w:val="16"/>
              </w:rPr>
              <w:t>379.2</w:t>
            </w:r>
          </w:p>
        </w:tc>
      </w:tr>
      <w:tr w:rsidR="00E87995" w:rsidRPr="009E06AA" w14:paraId="4D481BD8" w14:textId="77777777" w:rsidTr="00B55F24">
        <w:tc>
          <w:tcPr>
            <w:tcW w:w="959" w:type="dxa"/>
            <w:shd w:val="clear" w:color="auto" w:fill="FFFFFF"/>
            <w:tcMar>
              <w:top w:w="0" w:type="dxa"/>
              <w:left w:w="85" w:type="dxa"/>
              <w:bottom w:w="0" w:type="dxa"/>
              <w:right w:w="85" w:type="dxa"/>
            </w:tcMar>
          </w:tcPr>
          <w:p w14:paraId="1A9DD44E" w14:textId="77777777" w:rsidR="00E87995" w:rsidRPr="009E06AA" w:rsidRDefault="00E87995" w:rsidP="00B55F24">
            <w:pPr>
              <w:pStyle w:val="TableTextBold"/>
              <w:spacing w:before="40" w:after="30"/>
              <w:rPr>
                <w:noProof w:val="0"/>
                <w:szCs w:val="16"/>
              </w:rPr>
            </w:pPr>
            <w:r w:rsidRPr="009E06AA">
              <w:rPr>
                <w:noProof w:val="0"/>
                <w:color w:val="1B556B"/>
                <w:szCs w:val="16"/>
              </w:rPr>
              <w:t>1990</w:t>
            </w:r>
          </w:p>
        </w:tc>
        <w:tc>
          <w:tcPr>
            <w:tcW w:w="1721" w:type="dxa"/>
            <w:shd w:val="clear" w:color="auto" w:fill="FFFFFF"/>
            <w:tcMar>
              <w:top w:w="0" w:type="dxa"/>
              <w:left w:w="85" w:type="dxa"/>
              <w:bottom w:w="0" w:type="dxa"/>
              <w:right w:w="85" w:type="dxa"/>
            </w:tcMar>
          </w:tcPr>
          <w:p w14:paraId="33E67CF1"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769.1</w:t>
            </w:r>
          </w:p>
        </w:tc>
        <w:tc>
          <w:tcPr>
            <w:tcW w:w="3001" w:type="dxa"/>
            <w:shd w:val="clear" w:color="auto" w:fill="FFFFFF"/>
            <w:tcMar>
              <w:top w:w="0" w:type="dxa"/>
              <w:left w:w="85" w:type="dxa"/>
              <w:bottom w:w="0" w:type="dxa"/>
              <w:right w:w="85" w:type="dxa"/>
            </w:tcMar>
          </w:tcPr>
          <w:p w14:paraId="2C5403C4" w14:textId="77777777" w:rsidR="00E87995" w:rsidRPr="009E06AA" w:rsidRDefault="00E87995" w:rsidP="00876E40">
            <w:pPr>
              <w:pStyle w:val="TableText"/>
              <w:spacing w:before="40" w:after="30"/>
              <w:jc w:val="right"/>
              <w:rPr>
                <w:szCs w:val="16"/>
              </w:rPr>
            </w:pPr>
            <w:r w:rsidRPr="009E06AA">
              <w:rPr>
                <w:color w:val="000000"/>
                <w:szCs w:val="16"/>
              </w:rPr>
              <w:t>2,</w:t>
            </w:r>
            <w:r w:rsidRPr="009E06AA">
              <w:rPr>
                <w:rFonts w:eastAsia="Calibri" w:cs="Calibri"/>
                <w:color w:val="000000"/>
                <w:szCs w:val="16"/>
              </w:rPr>
              <w:t>601.4</w:t>
            </w:r>
          </w:p>
        </w:tc>
        <w:tc>
          <w:tcPr>
            <w:tcW w:w="2814" w:type="dxa"/>
            <w:shd w:val="clear" w:color="auto" w:fill="FFFFFF"/>
            <w:tcMar>
              <w:top w:w="0" w:type="dxa"/>
              <w:left w:w="85" w:type="dxa"/>
              <w:bottom w:w="0" w:type="dxa"/>
              <w:right w:w="85" w:type="dxa"/>
            </w:tcMar>
          </w:tcPr>
          <w:p w14:paraId="2E21445B" w14:textId="77777777" w:rsidR="00E87995" w:rsidRPr="009E06AA" w:rsidRDefault="00E87995" w:rsidP="00876E40">
            <w:pPr>
              <w:pStyle w:val="TableText"/>
              <w:spacing w:before="40" w:after="30"/>
              <w:jc w:val="right"/>
              <w:rPr>
                <w:szCs w:val="16"/>
              </w:rPr>
            </w:pPr>
            <w:r w:rsidRPr="009E06AA">
              <w:rPr>
                <w:color w:val="000000"/>
                <w:szCs w:val="16"/>
              </w:rPr>
              <w:t>3,</w:t>
            </w:r>
            <w:r w:rsidRPr="009E06AA">
              <w:rPr>
                <w:rFonts w:eastAsia="Calibri" w:cs="Calibri"/>
                <w:color w:val="000000"/>
                <w:szCs w:val="16"/>
              </w:rPr>
              <w:t>370.5</w:t>
            </w:r>
          </w:p>
        </w:tc>
      </w:tr>
      <w:tr w:rsidR="00E87995" w:rsidRPr="009E06AA" w14:paraId="172EB13A" w14:textId="77777777" w:rsidTr="00B55F24">
        <w:tc>
          <w:tcPr>
            <w:tcW w:w="959" w:type="dxa"/>
            <w:shd w:val="clear" w:color="auto" w:fill="FFFFFF"/>
            <w:tcMar>
              <w:top w:w="0" w:type="dxa"/>
              <w:left w:w="85" w:type="dxa"/>
              <w:bottom w:w="0" w:type="dxa"/>
              <w:right w:w="85" w:type="dxa"/>
            </w:tcMar>
          </w:tcPr>
          <w:p w14:paraId="6260FD91" w14:textId="77777777" w:rsidR="00E87995" w:rsidRPr="009E06AA" w:rsidRDefault="00E87995" w:rsidP="00B55F24">
            <w:pPr>
              <w:pStyle w:val="TableTextBold"/>
              <w:spacing w:before="40" w:after="30"/>
              <w:rPr>
                <w:noProof w:val="0"/>
                <w:szCs w:val="16"/>
              </w:rPr>
            </w:pPr>
            <w:r w:rsidRPr="009E06AA">
              <w:rPr>
                <w:noProof w:val="0"/>
                <w:color w:val="1B556B"/>
                <w:szCs w:val="16"/>
              </w:rPr>
              <w:t>1991</w:t>
            </w:r>
          </w:p>
        </w:tc>
        <w:tc>
          <w:tcPr>
            <w:tcW w:w="1721" w:type="dxa"/>
            <w:shd w:val="clear" w:color="auto" w:fill="FFFFFF"/>
            <w:tcMar>
              <w:top w:w="0" w:type="dxa"/>
              <w:left w:w="85" w:type="dxa"/>
              <w:bottom w:w="0" w:type="dxa"/>
              <w:right w:w="85" w:type="dxa"/>
            </w:tcMar>
          </w:tcPr>
          <w:p w14:paraId="3DEC842F"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763.4</w:t>
            </w:r>
          </w:p>
        </w:tc>
        <w:tc>
          <w:tcPr>
            <w:tcW w:w="3001" w:type="dxa"/>
            <w:shd w:val="clear" w:color="auto" w:fill="FFFFFF"/>
            <w:tcMar>
              <w:top w:w="0" w:type="dxa"/>
              <w:left w:w="85" w:type="dxa"/>
              <w:bottom w:w="0" w:type="dxa"/>
              <w:right w:w="85" w:type="dxa"/>
            </w:tcMar>
          </w:tcPr>
          <w:p w14:paraId="3597D71E" w14:textId="77777777" w:rsidR="00E87995" w:rsidRPr="009E06AA" w:rsidRDefault="00E87995" w:rsidP="00876E40">
            <w:pPr>
              <w:pStyle w:val="TableText"/>
              <w:spacing w:before="40" w:after="30"/>
              <w:jc w:val="right"/>
              <w:rPr>
                <w:szCs w:val="16"/>
              </w:rPr>
            </w:pPr>
            <w:r w:rsidRPr="009E06AA">
              <w:rPr>
                <w:color w:val="000000"/>
                <w:szCs w:val="16"/>
              </w:rPr>
              <w:t>2,</w:t>
            </w:r>
            <w:r w:rsidRPr="009E06AA">
              <w:rPr>
                <w:rFonts w:eastAsia="Calibri" w:cs="Calibri"/>
                <w:color w:val="000000"/>
                <w:szCs w:val="16"/>
              </w:rPr>
              <w:t>605.3</w:t>
            </w:r>
          </w:p>
        </w:tc>
        <w:tc>
          <w:tcPr>
            <w:tcW w:w="2814" w:type="dxa"/>
            <w:shd w:val="clear" w:color="auto" w:fill="FFFFFF"/>
            <w:tcMar>
              <w:top w:w="0" w:type="dxa"/>
              <w:left w:w="85" w:type="dxa"/>
              <w:bottom w:w="0" w:type="dxa"/>
              <w:right w:w="85" w:type="dxa"/>
            </w:tcMar>
          </w:tcPr>
          <w:p w14:paraId="1D245DC9" w14:textId="77777777" w:rsidR="00E87995" w:rsidRPr="009E06AA" w:rsidRDefault="00E87995" w:rsidP="00876E40">
            <w:pPr>
              <w:pStyle w:val="TableText"/>
              <w:spacing w:before="40" w:after="30"/>
              <w:jc w:val="right"/>
              <w:rPr>
                <w:szCs w:val="16"/>
              </w:rPr>
            </w:pPr>
            <w:r w:rsidRPr="009E06AA">
              <w:rPr>
                <w:color w:val="000000"/>
                <w:szCs w:val="16"/>
              </w:rPr>
              <w:t>3,</w:t>
            </w:r>
            <w:r w:rsidRPr="009E06AA">
              <w:rPr>
                <w:rFonts w:eastAsia="Calibri" w:cs="Calibri"/>
                <w:color w:val="000000"/>
                <w:szCs w:val="16"/>
              </w:rPr>
              <w:t>368.7</w:t>
            </w:r>
          </w:p>
        </w:tc>
      </w:tr>
      <w:tr w:rsidR="00E87995" w:rsidRPr="009E06AA" w14:paraId="6F236256" w14:textId="77777777" w:rsidTr="00B55F24">
        <w:tc>
          <w:tcPr>
            <w:tcW w:w="959" w:type="dxa"/>
            <w:shd w:val="clear" w:color="auto" w:fill="FFFFFF"/>
            <w:tcMar>
              <w:top w:w="0" w:type="dxa"/>
              <w:left w:w="85" w:type="dxa"/>
              <w:bottom w:w="0" w:type="dxa"/>
              <w:right w:w="85" w:type="dxa"/>
            </w:tcMar>
          </w:tcPr>
          <w:p w14:paraId="7551C34D" w14:textId="77777777" w:rsidR="00E87995" w:rsidRPr="009E06AA" w:rsidRDefault="00E87995" w:rsidP="00B55F24">
            <w:pPr>
              <w:pStyle w:val="TableTextBold"/>
              <w:spacing w:before="40" w:after="30"/>
              <w:rPr>
                <w:noProof w:val="0"/>
                <w:szCs w:val="16"/>
              </w:rPr>
            </w:pPr>
            <w:r w:rsidRPr="009E06AA">
              <w:rPr>
                <w:noProof w:val="0"/>
                <w:color w:val="1B556B"/>
                <w:szCs w:val="16"/>
              </w:rPr>
              <w:t>1992</w:t>
            </w:r>
          </w:p>
        </w:tc>
        <w:tc>
          <w:tcPr>
            <w:tcW w:w="1721" w:type="dxa"/>
            <w:shd w:val="clear" w:color="auto" w:fill="FFFFFF"/>
            <w:tcMar>
              <w:top w:w="0" w:type="dxa"/>
              <w:left w:w="85" w:type="dxa"/>
              <w:bottom w:w="0" w:type="dxa"/>
              <w:right w:w="85" w:type="dxa"/>
            </w:tcMar>
          </w:tcPr>
          <w:p w14:paraId="5CBE5AE1"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754.2</w:t>
            </w:r>
          </w:p>
        </w:tc>
        <w:tc>
          <w:tcPr>
            <w:tcW w:w="3001" w:type="dxa"/>
            <w:shd w:val="clear" w:color="auto" w:fill="FFFFFF"/>
            <w:tcMar>
              <w:top w:w="0" w:type="dxa"/>
              <w:left w:w="85" w:type="dxa"/>
              <w:bottom w:w="0" w:type="dxa"/>
              <w:right w:w="85" w:type="dxa"/>
            </w:tcMar>
          </w:tcPr>
          <w:p w14:paraId="0DB157F6" w14:textId="77777777" w:rsidR="00E87995" w:rsidRPr="009E06AA" w:rsidRDefault="00E87995" w:rsidP="00876E40">
            <w:pPr>
              <w:pStyle w:val="TableText"/>
              <w:spacing w:before="40" w:after="30"/>
              <w:jc w:val="right"/>
              <w:rPr>
                <w:szCs w:val="16"/>
              </w:rPr>
            </w:pPr>
            <w:r w:rsidRPr="009E06AA">
              <w:rPr>
                <w:color w:val="000000"/>
                <w:szCs w:val="16"/>
              </w:rPr>
              <w:t>2,</w:t>
            </w:r>
            <w:r w:rsidRPr="009E06AA">
              <w:rPr>
                <w:rFonts w:eastAsia="Calibri" w:cs="Calibri"/>
                <w:color w:val="000000"/>
                <w:szCs w:val="16"/>
              </w:rPr>
              <w:t>576.9</w:t>
            </w:r>
          </w:p>
        </w:tc>
        <w:tc>
          <w:tcPr>
            <w:tcW w:w="2814" w:type="dxa"/>
            <w:shd w:val="clear" w:color="auto" w:fill="FFFFFF"/>
            <w:tcMar>
              <w:top w:w="0" w:type="dxa"/>
              <w:left w:w="85" w:type="dxa"/>
              <w:bottom w:w="0" w:type="dxa"/>
              <w:right w:w="85" w:type="dxa"/>
            </w:tcMar>
          </w:tcPr>
          <w:p w14:paraId="67883342" w14:textId="77777777" w:rsidR="00E87995" w:rsidRPr="009E06AA" w:rsidRDefault="00E87995" w:rsidP="00876E40">
            <w:pPr>
              <w:pStyle w:val="TableText"/>
              <w:spacing w:before="40" w:after="30"/>
              <w:jc w:val="right"/>
              <w:rPr>
                <w:szCs w:val="16"/>
              </w:rPr>
            </w:pPr>
            <w:r w:rsidRPr="009E06AA">
              <w:rPr>
                <w:color w:val="000000"/>
                <w:szCs w:val="16"/>
              </w:rPr>
              <w:t>3,</w:t>
            </w:r>
            <w:r w:rsidRPr="009E06AA">
              <w:rPr>
                <w:rFonts w:eastAsia="Calibri" w:cs="Calibri"/>
                <w:color w:val="000000"/>
                <w:szCs w:val="16"/>
              </w:rPr>
              <w:t>331.2</w:t>
            </w:r>
          </w:p>
        </w:tc>
      </w:tr>
      <w:tr w:rsidR="00E87995" w:rsidRPr="009E06AA" w14:paraId="6BFD1FA1" w14:textId="77777777" w:rsidTr="00B55F24">
        <w:tc>
          <w:tcPr>
            <w:tcW w:w="959" w:type="dxa"/>
            <w:shd w:val="clear" w:color="auto" w:fill="FFFFFF"/>
            <w:tcMar>
              <w:top w:w="0" w:type="dxa"/>
              <w:left w:w="85" w:type="dxa"/>
              <w:bottom w:w="0" w:type="dxa"/>
              <w:right w:w="85" w:type="dxa"/>
            </w:tcMar>
          </w:tcPr>
          <w:p w14:paraId="3B8064A5" w14:textId="77777777" w:rsidR="00E87995" w:rsidRPr="009E06AA" w:rsidRDefault="00E87995" w:rsidP="00B55F24">
            <w:pPr>
              <w:pStyle w:val="TableTextBold"/>
              <w:spacing w:before="40" w:after="30"/>
              <w:rPr>
                <w:noProof w:val="0"/>
                <w:szCs w:val="16"/>
              </w:rPr>
            </w:pPr>
            <w:r w:rsidRPr="009E06AA">
              <w:rPr>
                <w:noProof w:val="0"/>
                <w:color w:val="1B556B"/>
                <w:szCs w:val="16"/>
              </w:rPr>
              <w:t>1993</w:t>
            </w:r>
          </w:p>
        </w:tc>
        <w:tc>
          <w:tcPr>
            <w:tcW w:w="1721" w:type="dxa"/>
            <w:shd w:val="clear" w:color="auto" w:fill="FFFFFF"/>
            <w:tcMar>
              <w:top w:w="0" w:type="dxa"/>
              <w:left w:w="85" w:type="dxa"/>
              <w:bottom w:w="0" w:type="dxa"/>
              <w:right w:w="85" w:type="dxa"/>
            </w:tcMar>
          </w:tcPr>
          <w:p w14:paraId="47A1DAE5"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769.3</w:t>
            </w:r>
          </w:p>
        </w:tc>
        <w:tc>
          <w:tcPr>
            <w:tcW w:w="3001" w:type="dxa"/>
            <w:shd w:val="clear" w:color="auto" w:fill="FFFFFF"/>
            <w:tcMar>
              <w:top w:w="0" w:type="dxa"/>
              <w:left w:w="85" w:type="dxa"/>
              <w:bottom w:w="0" w:type="dxa"/>
              <w:right w:w="85" w:type="dxa"/>
            </w:tcMar>
          </w:tcPr>
          <w:p w14:paraId="27574B93" w14:textId="77777777" w:rsidR="00E87995" w:rsidRPr="009E06AA" w:rsidRDefault="00E87995" w:rsidP="00876E40">
            <w:pPr>
              <w:pStyle w:val="TableText"/>
              <w:spacing w:before="40" w:after="30"/>
              <w:jc w:val="right"/>
              <w:rPr>
                <w:szCs w:val="16"/>
              </w:rPr>
            </w:pPr>
            <w:r w:rsidRPr="009E06AA">
              <w:rPr>
                <w:color w:val="000000"/>
                <w:szCs w:val="16"/>
              </w:rPr>
              <w:t>2,</w:t>
            </w:r>
            <w:r w:rsidRPr="009E06AA">
              <w:rPr>
                <w:rFonts w:eastAsia="Calibri" w:cs="Calibri"/>
                <w:color w:val="000000"/>
                <w:szCs w:val="16"/>
              </w:rPr>
              <w:t>605.1</w:t>
            </w:r>
          </w:p>
        </w:tc>
        <w:tc>
          <w:tcPr>
            <w:tcW w:w="2814" w:type="dxa"/>
            <w:shd w:val="clear" w:color="auto" w:fill="FFFFFF"/>
            <w:tcMar>
              <w:top w:w="0" w:type="dxa"/>
              <w:left w:w="85" w:type="dxa"/>
              <w:bottom w:w="0" w:type="dxa"/>
              <w:right w:w="85" w:type="dxa"/>
            </w:tcMar>
          </w:tcPr>
          <w:p w14:paraId="5AFB0BB6" w14:textId="77777777" w:rsidR="00E87995" w:rsidRPr="009E06AA" w:rsidRDefault="00E87995" w:rsidP="00876E40">
            <w:pPr>
              <w:pStyle w:val="TableText"/>
              <w:spacing w:before="40" w:after="30"/>
              <w:jc w:val="right"/>
              <w:rPr>
                <w:szCs w:val="16"/>
              </w:rPr>
            </w:pPr>
            <w:r w:rsidRPr="009E06AA">
              <w:rPr>
                <w:color w:val="000000"/>
                <w:szCs w:val="16"/>
              </w:rPr>
              <w:t>3,</w:t>
            </w:r>
            <w:r w:rsidRPr="009E06AA">
              <w:rPr>
                <w:rFonts w:eastAsia="Calibri" w:cs="Calibri"/>
                <w:color w:val="000000"/>
                <w:szCs w:val="16"/>
              </w:rPr>
              <w:t>374.5</w:t>
            </w:r>
          </w:p>
        </w:tc>
      </w:tr>
      <w:tr w:rsidR="00E87995" w:rsidRPr="009E06AA" w14:paraId="07D8342F" w14:textId="77777777" w:rsidTr="00B55F24">
        <w:tc>
          <w:tcPr>
            <w:tcW w:w="959" w:type="dxa"/>
            <w:shd w:val="clear" w:color="auto" w:fill="FFFFFF"/>
            <w:tcMar>
              <w:top w:w="0" w:type="dxa"/>
              <w:left w:w="85" w:type="dxa"/>
              <w:bottom w:w="0" w:type="dxa"/>
              <w:right w:w="85" w:type="dxa"/>
            </w:tcMar>
          </w:tcPr>
          <w:p w14:paraId="68B34D82" w14:textId="77777777" w:rsidR="00E87995" w:rsidRPr="009E06AA" w:rsidRDefault="00E87995" w:rsidP="00B55F24">
            <w:pPr>
              <w:pStyle w:val="TableTextBold"/>
              <w:spacing w:before="40" w:after="30"/>
              <w:rPr>
                <w:noProof w:val="0"/>
                <w:szCs w:val="16"/>
              </w:rPr>
            </w:pPr>
            <w:r w:rsidRPr="009E06AA">
              <w:rPr>
                <w:noProof w:val="0"/>
                <w:color w:val="1B556B"/>
                <w:szCs w:val="16"/>
              </w:rPr>
              <w:t>1994</w:t>
            </w:r>
          </w:p>
        </w:tc>
        <w:tc>
          <w:tcPr>
            <w:tcW w:w="1721" w:type="dxa"/>
            <w:shd w:val="clear" w:color="auto" w:fill="FFFFFF"/>
            <w:tcMar>
              <w:top w:w="0" w:type="dxa"/>
              <w:left w:w="85" w:type="dxa"/>
              <w:bottom w:w="0" w:type="dxa"/>
              <w:right w:w="85" w:type="dxa"/>
            </w:tcMar>
          </w:tcPr>
          <w:p w14:paraId="41B17554"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659</w:t>
            </w:r>
            <w:r w:rsidRPr="009E06AA">
              <w:rPr>
                <w:color w:val="000000"/>
                <w:szCs w:val="16"/>
              </w:rPr>
              <w:t>.9</w:t>
            </w:r>
          </w:p>
        </w:tc>
        <w:tc>
          <w:tcPr>
            <w:tcW w:w="3001" w:type="dxa"/>
            <w:shd w:val="clear" w:color="auto" w:fill="FFFFFF"/>
            <w:tcMar>
              <w:top w:w="0" w:type="dxa"/>
              <w:left w:w="85" w:type="dxa"/>
              <w:bottom w:w="0" w:type="dxa"/>
              <w:right w:w="85" w:type="dxa"/>
            </w:tcMar>
          </w:tcPr>
          <w:p w14:paraId="4FEEF015" w14:textId="77777777" w:rsidR="00E87995" w:rsidRPr="009E06AA" w:rsidRDefault="00E87995" w:rsidP="00876E40">
            <w:pPr>
              <w:pStyle w:val="TableText"/>
              <w:spacing w:before="40" w:after="30"/>
              <w:jc w:val="right"/>
              <w:rPr>
                <w:szCs w:val="16"/>
              </w:rPr>
            </w:pPr>
            <w:r w:rsidRPr="009E06AA">
              <w:rPr>
                <w:color w:val="000000"/>
                <w:szCs w:val="16"/>
              </w:rPr>
              <w:t>2,</w:t>
            </w:r>
            <w:r w:rsidRPr="009E06AA">
              <w:rPr>
                <w:rFonts w:eastAsia="Calibri" w:cs="Calibri"/>
                <w:color w:val="000000"/>
                <w:szCs w:val="16"/>
              </w:rPr>
              <w:t>771.6</w:t>
            </w:r>
          </w:p>
        </w:tc>
        <w:tc>
          <w:tcPr>
            <w:tcW w:w="2814" w:type="dxa"/>
            <w:shd w:val="clear" w:color="auto" w:fill="FFFFFF"/>
            <w:tcMar>
              <w:top w:w="0" w:type="dxa"/>
              <w:left w:w="85" w:type="dxa"/>
              <w:bottom w:w="0" w:type="dxa"/>
              <w:right w:w="85" w:type="dxa"/>
            </w:tcMar>
          </w:tcPr>
          <w:p w14:paraId="1C7D23EE" w14:textId="77777777" w:rsidR="00E87995" w:rsidRPr="009E06AA" w:rsidRDefault="00E87995" w:rsidP="00876E40">
            <w:pPr>
              <w:pStyle w:val="TableText"/>
              <w:spacing w:before="40" w:after="30"/>
              <w:jc w:val="right"/>
              <w:rPr>
                <w:szCs w:val="16"/>
              </w:rPr>
            </w:pPr>
            <w:r w:rsidRPr="009E06AA">
              <w:rPr>
                <w:color w:val="000000"/>
                <w:szCs w:val="16"/>
              </w:rPr>
              <w:t>3,</w:t>
            </w:r>
            <w:r w:rsidRPr="009E06AA">
              <w:rPr>
                <w:rFonts w:eastAsia="Calibri" w:cs="Calibri"/>
                <w:color w:val="000000"/>
                <w:szCs w:val="16"/>
              </w:rPr>
              <w:t>431</w:t>
            </w:r>
            <w:r w:rsidRPr="009E06AA">
              <w:rPr>
                <w:color w:val="000000"/>
                <w:szCs w:val="16"/>
              </w:rPr>
              <w:t>.6</w:t>
            </w:r>
          </w:p>
        </w:tc>
      </w:tr>
      <w:tr w:rsidR="00E87995" w:rsidRPr="009E06AA" w14:paraId="697D730C" w14:textId="77777777" w:rsidTr="00B55F24">
        <w:tc>
          <w:tcPr>
            <w:tcW w:w="959" w:type="dxa"/>
            <w:shd w:val="clear" w:color="auto" w:fill="FFFFFF"/>
            <w:tcMar>
              <w:top w:w="0" w:type="dxa"/>
              <w:left w:w="85" w:type="dxa"/>
              <w:bottom w:w="0" w:type="dxa"/>
              <w:right w:w="85" w:type="dxa"/>
            </w:tcMar>
          </w:tcPr>
          <w:p w14:paraId="0C56B6EF" w14:textId="77777777" w:rsidR="00E87995" w:rsidRPr="009E06AA" w:rsidRDefault="00E87995" w:rsidP="00B55F24">
            <w:pPr>
              <w:pStyle w:val="TableTextBold"/>
              <w:spacing w:before="40" w:after="30"/>
              <w:rPr>
                <w:noProof w:val="0"/>
                <w:szCs w:val="16"/>
              </w:rPr>
            </w:pPr>
            <w:r w:rsidRPr="009E06AA">
              <w:rPr>
                <w:noProof w:val="0"/>
                <w:color w:val="1B556B"/>
                <w:szCs w:val="16"/>
              </w:rPr>
              <w:t>1995</w:t>
            </w:r>
          </w:p>
        </w:tc>
        <w:tc>
          <w:tcPr>
            <w:tcW w:w="1721" w:type="dxa"/>
            <w:shd w:val="clear" w:color="auto" w:fill="FFFFFF"/>
            <w:tcMar>
              <w:top w:w="0" w:type="dxa"/>
              <w:left w:w="85" w:type="dxa"/>
              <w:bottom w:w="0" w:type="dxa"/>
              <w:right w:w="85" w:type="dxa"/>
            </w:tcMar>
          </w:tcPr>
          <w:p w14:paraId="75B4A9B7"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653.3</w:t>
            </w:r>
          </w:p>
        </w:tc>
        <w:tc>
          <w:tcPr>
            <w:tcW w:w="3001" w:type="dxa"/>
            <w:shd w:val="clear" w:color="auto" w:fill="FFFFFF"/>
            <w:tcMar>
              <w:top w:w="0" w:type="dxa"/>
              <w:left w:w="85" w:type="dxa"/>
              <w:bottom w:w="0" w:type="dxa"/>
              <w:right w:w="85" w:type="dxa"/>
            </w:tcMar>
          </w:tcPr>
          <w:p w14:paraId="2EDFC8D8" w14:textId="77777777" w:rsidR="00E87995" w:rsidRPr="009E06AA" w:rsidRDefault="00E87995" w:rsidP="00876E40">
            <w:pPr>
              <w:pStyle w:val="TableText"/>
              <w:spacing w:before="40" w:after="30"/>
              <w:jc w:val="right"/>
              <w:rPr>
                <w:szCs w:val="16"/>
              </w:rPr>
            </w:pPr>
            <w:r w:rsidRPr="009E06AA">
              <w:rPr>
                <w:color w:val="000000"/>
                <w:szCs w:val="16"/>
              </w:rPr>
              <w:t>2,</w:t>
            </w:r>
            <w:r w:rsidRPr="009E06AA">
              <w:rPr>
                <w:rFonts w:eastAsia="Calibri" w:cs="Calibri"/>
                <w:color w:val="000000"/>
                <w:szCs w:val="16"/>
              </w:rPr>
              <w:t>913.5</w:t>
            </w:r>
          </w:p>
        </w:tc>
        <w:tc>
          <w:tcPr>
            <w:tcW w:w="2814" w:type="dxa"/>
            <w:shd w:val="clear" w:color="auto" w:fill="FFFFFF"/>
            <w:tcMar>
              <w:top w:w="0" w:type="dxa"/>
              <w:left w:w="85" w:type="dxa"/>
              <w:bottom w:w="0" w:type="dxa"/>
              <w:right w:w="85" w:type="dxa"/>
            </w:tcMar>
          </w:tcPr>
          <w:p w14:paraId="5A28C795" w14:textId="77777777" w:rsidR="00E87995" w:rsidRPr="009E06AA" w:rsidRDefault="00E87995" w:rsidP="00876E40">
            <w:pPr>
              <w:pStyle w:val="TableText"/>
              <w:spacing w:before="40" w:after="30"/>
              <w:jc w:val="right"/>
              <w:rPr>
                <w:szCs w:val="16"/>
              </w:rPr>
            </w:pPr>
            <w:r w:rsidRPr="009E06AA">
              <w:rPr>
                <w:color w:val="000000"/>
                <w:szCs w:val="16"/>
              </w:rPr>
              <w:t>3,</w:t>
            </w:r>
            <w:r w:rsidRPr="009E06AA">
              <w:rPr>
                <w:rFonts w:eastAsia="Calibri" w:cs="Calibri"/>
                <w:color w:val="000000"/>
                <w:szCs w:val="16"/>
              </w:rPr>
              <w:t>566.8</w:t>
            </w:r>
          </w:p>
        </w:tc>
      </w:tr>
      <w:tr w:rsidR="00E87995" w:rsidRPr="009E06AA" w14:paraId="045C6CFE" w14:textId="77777777" w:rsidTr="00B55F24">
        <w:tc>
          <w:tcPr>
            <w:tcW w:w="959" w:type="dxa"/>
            <w:shd w:val="clear" w:color="auto" w:fill="FFFFFF"/>
            <w:tcMar>
              <w:top w:w="0" w:type="dxa"/>
              <w:left w:w="85" w:type="dxa"/>
              <w:bottom w:w="0" w:type="dxa"/>
              <w:right w:w="85" w:type="dxa"/>
            </w:tcMar>
          </w:tcPr>
          <w:p w14:paraId="0CB37DFC" w14:textId="77777777" w:rsidR="00E87995" w:rsidRPr="009E06AA" w:rsidRDefault="00E87995" w:rsidP="00B55F24">
            <w:pPr>
              <w:pStyle w:val="TableTextBold"/>
              <w:spacing w:before="40" w:after="30"/>
              <w:rPr>
                <w:noProof w:val="0"/>
                <w:szCs w:val="16"/>
              </w:rPr>
            </w:pPr>
            <w:r w:rsidRPr="009E06AA">
              <w:rPr>
                <w:noProof w:val="0"/>
                <w:color w:val="1B556B"/>
                <w:szCs w:val="16"/>
              </w:rPr>
              <w:t>1996</w:t>
            </w:r>
          </w:p>
        </w:tc>
        <w:tc>
          <w:tcPr>
            <w:tcW w:w="1721" w:type="dxa"/>
            <w:shd w:val="clear" w:color="auto" w:fill="FFFFFF"/>
            <w:tcMar>
              <w:top w:w="0" w:type="dxa"/>
              <w:left w:w="85" w:type="dxa"/>
              <w:bottom w:w="0" w:type="dxa"/>
              <w:right w:w="85" w:type="dxa"/>
            </w:tcMar>
          </w:tcPr>
          <w:p w14:paraId="5CF4F23B"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627.7</w:t>
            </w:r>
          </w:p>
        </w:tc>
        <w:tc>
          <w:tcPr>
            <w:tcW w:w="3001" w:type="dxa"/>
            <w:shd w:val="clear" w:color="auto" w:fill="FFFFFF"/>
            <w:tcMar>
              <w:top w:w="0" w:type="dxa"/>
              <w:left w:w="85" w:type="dxa"/>
              <w:bottom w:w="0" w:type="dxa"/>
              <w:right w:w="85" w:type="dxa"/>
            </w:tcMar>
          </w:tcPr>
          <w:p w14:paraId="3BFD986D" w14:textId="77777777" w:rsidR="00E87995" w:rsidRPr="009E06AA" w:rsidRDefault="00E87995" w:rsidP="00876E40">
            <w:pPr>
              <w:pStyle w:val="TableText"/>
              <w:spacing w:before="40" w:after="30"/>
              <w:jc w:val="right"/>
              <w:rPr>
                <w:szCs w:val="16"/>
              </w:rPr>
            </w:pPr>
            <w:r w:rsidRPr="009E06AA">
              <w:rPr>
                <w:color w:val="000000"/>
                <w:szCs w:val="16"/>
              </w:rPr>
              <w:t>3,</w:t>
            </w:r>
            <w:r w:rsidRPr="009E06AA">
              <w:rPr>
                <w:rFonts w:eastAsia="Calibri" w:cs="Calibri"/>
                <w:color w:val="000000"/>
                <w:szCs w:val="16"/>
              </w:rPr>
              <w:t>051.1</w:t>
            </w:r>
          </w:p>
        </w:tc>
        <w:tc>
          <w:tcPr>
            <w:tcW w:w="2814" w:type="dxa"/>
            <w:shd w:val="clear" w:color="auto" w:fill="FFFFFF"/>
            <w:tcMar>
              <w:top w:w="0" w:type="dxa"/>
              <w:left w:w="85" w:type="dxa"/>
              <w:bottom w:w="0" w:type="dxa"/>
              <w:right w:w="85" w:type="dxa"/>
            </w:tcMar>
          </w:tcPr>
          <w:p w14:paraId="0ACD6305" w14:textId="77777777" w:rsidR="00E87995" w:rsidRPr="009E06AA" w:rsidRDefault="00E87995" w:rsidP="00876E40">
            <w:pPr>
              <w:pStyle w:val="TableText"/>
              <w:spacing w:before="40" w:after="30"/>
              <w:jc w:val="right"/>
              <w:rPr>
                <w:szCs w:val="16"/>
              </w:rPr>
            </w:pPr>
            <w:r w:rsidRPr="009E06AA">
              <w:rPr>
                <w:color w:val="000000"/>
                <w:szCs w:val="16"/>
              </w:rPr>
              <w:t>3,</w:t>
            </w:r>
            <w:r w:rsidRPr="009E06AA">
              <w:rPr>
                <w:rFonts w:eastAsia="Calibri" w:cs="Calibri"/>
                <w:color w:val="000000"/>
                <w:szCs w:val="16"/>
              </w:rPr>
              <w:t>678</w:t>
            </w:r>
            <w:r w:rsidRPr="009E06AA">
              <w:rPr>
                <w:color w:val="000000"/>
                <w:szCs w:val="16"/>
              </w:rPr>
              <w:t>.8</w:t>
            </w:r>
          </w:p>
        </w:tc>
      </w:tr>
      <w:tr w:rsidR="00E87995" w:rsidRPr="009E06AA" w14:paraId="3D54D912" w14:textId="77777777" w:rsidTr="00B55F24">
        <w:tc>
          <w:tcPr>
            <w:tcW w:w="959" w:type="dxa"/>
            <w:shd w:val="clear" w:color="auto" w:fill="FFFFFF"/>
            <w:tcMar>
              <w:top w:w="0" w:type="dxa"/>
              <w:left w:w="85" w:type="dxa"/>
              <w:bottom w:w="0" w:type="dxa"/>
              <w:right w:w="85" w:type="dxa"/>
            </w:tcMar>
          </w:tcPr>
          <w:p w14:paraId="68CE0C43" w14:textId="77777777" w:rsidR="00E87995" w:rsidRPr="009E06AA" w:rsidRDefault="00E87995" w:rsidP="00B55F24">
            <w:pPr>
              <w:pStyle w:val="TableTextBold"/>
              <w:spacing w:before="40" w:after="30"/>
              <w:rPr>
                <w:noProof w:val="0"/>
                <w:szCs w:val="16"/>
              </w:rPr>
            </w:pPr>
            <w:r w:rsidRPr="009E06AA">
              <w:rPr>
                <w:noProof w:val="0"/>
                <w:color w:val="1B556B"/>
                <w:szCs w:val="16"/>
              </w:rPr>
              <w:t>1997</w:t>
            </w:r>
          </w:p>
        </w:tc>
        <w:tc>
          <w:tcPr>
            <w:tcW w:w="1721" w:type="dxa"/>
            <w:shd w:val="clear" w:color="auto" w:fill="FFFFFF"/>
            <w:tcMar>
              <w:top w:w="0" w:type="dxa"/>
              <w:left w:w="85" w:type="dxa"/>
              <w:bottom w:w="0" w:type="dxa"/>
              <w:right w:w="85" w:type="dxa"/>
            </w:tcMar>
          </w:tcPr>
          <w:p w14:paraId="43B944D3"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674.1</w:t>
            </w:r>
          </w:p>
        </w:tc>
        <w:tc>
          <w:tcPr>
            <w:tcW w:w="3001" w:type="dxa"/>
            <w:shd w:val="clear" w:color="auto" w:fill="FFFFFF"/>
            <w:tcMar>
              <w:top w:w="0" w:type="dxa"/>
              <w:left w:w="85" w:type="dxa"/>
              <w:bottom w:w="0" w:type="dxa"/>
              <w:right w:w="85" w:type="dxa"/>
            </w:tcMar>
          </w:tcPr>
          <w:p w14:paraId="35922E5E" w14:textId="77777777" w:rsidR="00E87995" w:rsidRPr="009E06AA" w:rsidRDefault="00E87995" w:rsidP="00876E40">
            <w:pPr>
              <w:pStyle w:val="TableText"/>
              <w:spacing w:before="40" w:after="30"/>
              <w:jc w:val="right"/>
              <w:rPr>
                <w:szCs w:val="16"/>
              </w:rPr>
            </w:pPr>
            <w:r w:rsidRPr="009E06AA">
              <w:rPr>
                <w:color w:val="000000"/>
                <w:szCs w:val="16"/>
              </w:rPr>
              <w:t>3,</w:t>
            </w:r>
            <w:r w:rsidRPr="009E06AA">
              <w:rPr>
                <w:rFonts w:eastAsia="Calibri" w:cs="Calibri"/>
                <w:color w:val="000000"/>
                <w:szCs w:val="16"/>
              </w:rPr>
              <w:t>161.4</w:t>
            </w:r>
          </w:p>
        </w:tc>
        <w:tc>
          <w:tcPr>
            <w:tcW w:w="2814" w:type="dxa"/>
            <w:shd w:val="clear" w:color="auto" w:fill="FFFFFF"/>
            <w:tcMar>
              <w:top w:w="0" w:type="dxa"/>
              <w:left w:w="85" w:type="dxa"/>
              <w:bottom w:w="0" w:type="dxa"/>
              <w:right w:w="85" w:type="dxa"/>
            </w:tcMar>
          </w:tcPr>
          <w:p w14:paraId="44098C36" w14:textId="77777777" w:rsidR="00E87995" w:rsidRPr="009E06AA" w:rsidRDefault="00E87995" w:rsidP="00876E40">
            <w:pPr>
              <w:pStyle w:val="TableText"/>
              <w:spacing w:before="40" w:after="30"/>
              <w:jc w:val="right"/>
              <w:rPr>
                <w:szCs w:val="16"/>
              </w:rPr>
            </w:pPr>
            <w:r w:rsidRPr="009E06AA">
              <w:rPr>
                <w:color w:val="000000"/>
                <w:szCs w:val="16"/>
              </w:rPr>
              <w:t>3,</w:t>
            </w:r>
            <w:r w:rsidRPr="009E06AA">
              <w:rPr>
                <w:rFonts w:eastAsia="Calibri" w:cs="Calibri"/>
                <w:color w:val="000000"/>
                <w:szCs w:val="16"/>
              </w:rPr>
              <w:t>835.5</w:t>
            </w:r>
          </w:p>
        </w:tc>
      </w:tr>
      <w:tr w:rsidR="00E87995" w:rsidRPr="009E06AA" w14:paraId="1C3378B1" w14:textId="77777777" w:rsidTr="00B55F24">
        <w:tc>
          <w:tcPr>
            <w:tcW w:w="959" w:type="dxa"/>
            <w:shd w:val="clear" w:color="auto" w:fill="FFFFFF"/>
            <w:tcMar>
              <w:top w:w="0" w:type="dxa"/>
              <w:left w:w="85" w:type="dxa"/>
              <w:bottom w:w="0" w:type="dxa"/>
              <w:right w:w="85" w:type="dxa"/>
            </w:tcMar>
          </w:tcPr>
          <w:p w14:paraId="7B185F21" w14:textId="77777777" w:rsidR="00E87995" w:rsidRPr="009E06AA" w:rsidRDefault="00E87995" w:rsidP="00B55F24">
            <w:pPr>
              <w:pStyle w:val="TableTextBold"/>
              <w:spacing w:before="40" w:after="30"/>
              <w:rPr>
                <w:noProof w:val="0"/>
                <w:szCs w:val="16"/>
              </w:rPr>
            </w:pPr>
            <w:r w:rsidRPr="009E06AA">
              <w:rPr>
                <w:noProof w:val="0"/>
                <w:color w:val="1B556B"/>
                <w:szCs w:val="16"/>
              </w:rPr>
              <w:t>1998</w:t>
            </w:r>
          </w:p>
        </w:tc>
        <w:tc>
          <w:tcPr>
            <w:tcW w:w="1721" w:type="dxa"/>
            <w:shd w:val="clear" w:color="auto" w:fill="FFFFFF"/>
            <w:tcMar>
              <w:top w:w="0" w:type="dxa"/>
              <w:left w:w="85" w:type="dxa"/>
              <w:bottom w:w="0" w:type="dxa"/>
              <w:right w:w="85" w:type="dxa"/>
            </w:tcMar>
          </w:tcPr>
          <w:p w14:paraId="71065BCA"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720</w:t>
            </w:r>
            <w:r w:rsidRPr="009E06AA">
              <w:rPr>
                <w:color w:val="000000"/>
                <w:szCs w:val="16"/>
              </w:rPr>
              <w:t>.4</w:t>
            </w:r>
          </w:p>
        </w:tc>
        <w:tc>
          <w:tcPr>
            <w:tcW w:w="3001" w:type="dxa"/>
            <w:shd w:val="clear" w:color="auto" w:fill="FFFFFF"/>
            <w:tcMar>
              <w:top w:w="0" w:type="dxa"/>
              <w:left w:w="85" w:type="dxa"/>
              <w:bottom w:w="0" w:type="dxa"/>
              <w:right w:w="85" w:type="dxa"/>
            </w:tcMar>
          </w:tcPr>
          <w:p w14:paraId="1BFC3651" w14:textId="77777777" w:rsidR="00E87995" w:rsidRPr="009E06AA" w:rsidRDefault="00E87995" w:rsidP="00876E40">
            <w:pPr>
              <w:pStyle w:val="TableText"/>
              <w:spacing w:before="40" w:after="30"/>
              <w:jc w:val="right"/>
              <w:rPr>
                <w:szCs w:val="16"/>
              </w:rPr>
            </w:pPr>
            <w:r w:rsidRPr="009E06AA">
              <w:rPr>
                <w:color w:val="000000"/>
                <w:szCs w:val="16"/>
              </w:rPr>
              <w:t>3,</w:t>
            </w:r>
            <w:r w:rsidRPr="009E06AA">
              <w:rPr>
                <w:rFonts w:eastAsia="Calibri" w:cs="Calibri"/>
                <w:color w:val="000000"/>
                <w:szCs w:val="16"/>
              </w:rPr>
              <w:t>227.1</w:t>
            </w:r>
          </w:p>
        </w:tc>
        <w:tc>
          <w:tcPr>
            <w:tcW w:w="2814" w:type="dxa"/>
            <w:shd w:val="clear" w:color="auto" w:fill="FFFFFF"/>
            <w:tcMar>
              <w:top w:w="0" w:type="dxa"/>
              <w:left w:w="85" w:type="dxa"/>
              <w:bottom w:w="0" w:type="dxa"/>
              <w:right w:w="85" w:type="dxa"/>
            </w:tcMar>
          </w:tcPr>
          <w:p w14:paraId="35BC847D" w14:textId="77777777" w:rsidR="00E87995" w:rsidRPr="009E06AA" w:rsidRDefault="00E87995" w:rsidP="00876E40">
            <w:pPr>
              <w:pStyle w:val="TableText"/>
              <w:spacing w:before="40" w:after="30"/>
              <w:jc w:val="right"/>
              <w:rPr>
                <w:szCs w:val="16"/>
              </w:rPr>
            </w:pPr>
            <w:r w:rsidRPr="009E06AA">
              <w:rPr>
                <w:color w:val="000000"/>
                <w:szCs w:val="16"/>
              </w:rPr>
              <w:t>3,</w:t>
            </w:r>
            <w:r w:rsidRPr="009E06AA">
              <w:rPr>
                <w:rFonts w:eastAsia="Calibri" w:cs="Calibri"/>
                <w:color w:val="000000"/>
                <w:szCs w:val="16"/>
              </w:rPr>
              <w:t>947.6</w:t>
            </w:r>
          </w:p>
        </w:tc>
      </w:tr>
      <w:tr w:rsidR="00E87995" w:rsidRPr="009E06AA" w14:paraId="5B1822E0" w14:textId="77777777" w:rsidTr="00B55F24">
        <w:tc>
          <w:tcPr>
            <w:tcW w:w="959" w:type="dxa"/>
            <w:shd w:val="clear" w:color="auto" w:fill="FFFFFF"/>
            <w:tcMar>
              <w:top w:w="0" w:type="dxa"/>
              <w:left w:w="85" w:type="dxa"/>
              <w:bottom w:w="0" w:type="dxa"/>
              <w:right w:w="85" w:type="dxa"/>
            </w:tcMar>
          </w:tcPr>
          <w:p w14:paraId="7DA9EA80" w14:textId="77777777" w:rsidR="00E87995" w:rsidRPr="009E06AA" w:rsidRDefault="00E87995" w:rsidP="00B55F24">
            <w:pPr>
              <w:pStyle w:val="TableTextBold"/>
              <w:spacing w:before="40" w:after="30"/>
              <w:rPr>
                <w:noProof w:val="0"/>
                <w:szCs w:val="16"/>
              </w:rPr>
            </w:pPr>
            <w:r w:rsidRPr="009E06AA">
              <w:rPr>
                <w:noProof w:val="0"/>
                <w:color w:val="1B556B"/>
                <w:szCs w:val="16"/>
              </w:rPr>
              <w:t>1999</w:t>
            </w:r>
          </w:p>
        </w:tc>
        <w:tc>
          <w:tcPr>
            <w:tcW w:w="1721" w:type="dxa"/>
            <w:shd w:val="clear" w:color="auto" w:fill="FFFFFF"/>
            <w:tcMar>
              <w:top w:w="0" w:type="dxa"/>
              <w:left w:w="85" w:type="dxa"/>
              <w:bottom w:w="0" w:type="dxa"/>
              <w:right w:w="85" w:type="dxa"/>
            </w:tcMar>
          </w:tcPr>
          <w:p w14:paraId="7A962649"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766.8</w:t>
            </w:r>
          </w:p>
        </w:tc>
        <w:tc>
          <w:tcPr>
            <w:tcW w:w="3001" w:type="dxa"/>
            <w:shd w:val="clear" w:color="auto" w:fill="FFFFFF"/>
            <w:tcMar>
              <w:top w:w="0" w:type="dxa"/>
              <w:left w:w="85" w:type="dxa"/>
              <w:bottom w:w="0" w:type="dxa"/>
              <w:right w:w="85" w:type="dxa"/>
            </w:tcMar>
          </w:tcPr>
          <w:p w14:paraId="6D47AD09" w14:textId="77777777" w:rsidR="00E87995" w:rsidRPr="009E06AA" w:rsidRDefault="00E87995" w:rsidP="00876E40">
            <w:pPr>
              <w:pStyle w:val="TableText"/>
              <w:spacing w:before="40" w:after="30"/>
              <w:jc w:val="right"/>
              <w:rPr>
                <w:szCs w:val="16"/>
              </w:rPr>
            </w:pPr>
            <w:r w:rsidRPr="009E06AA">
              <w:rPr>
                <w:color w:val="000000"/>
                <w:szCs w:val="16"/>
              </w:rPr>
              <w:t>3,</w:t>
            </w:r>
            <w:r w:rsidRPr="009E06AA">
              <w:rPr>
                <w:rFonts w:eastAsia="Calibri" w:cs="Calibri"/>
                <w:color w:val="000000"/>
                <w:szCs w:val="16"/>
              </w:rPr>
              <w:t>254.9</w:t>
            </w:r>
          </w:p>
        </w:tc>
        <w:tc>
          <w:tcPr>
            <w:tcW w:w="2814" w:type="dxa"/>
            <w:shd w:val="clear" w:color="auto" w:fill="FFFFFF"/>
            <w:tcMar>
              <w:top w:w="0" w:type="dxa"/>
              <w:left w:w="85" w:type="dxa"/>
              <w:bottom w:w="0" w:type="dxa"/>
              <w:right w:w="85" w:type="dxa"/>
            </w:tcMar>
          </w:tcPr>
          <w:p w14:paraId="71C62F79" w14:textId="77777777" w:rsidR="00E87995" w:rsidRPr="009E06AA" w:rsidRDefault="00E87995" w:rsidP="00876E40">
            <w:pPr>
              <w:pStyle w:val="TableText"/>
              <w:spacing w:before="40" w:after="30"/>
              <w:jc w:val="right"/>
              <w:rPr>
                <w:szCs w:val="16"/>
              </w:rPr>
            </w:pPr>
            <w:r w:rsidRPr="009E06AA">
              <w:rPr>
                <w:color w:val="000000"/>
                <w:szCs w:val="16"/>
              </w:rPr>
              <w:t>4,</w:t>
            </w:r>
            <w:r w:rsidRPr="009E06AA">
              <w:rPr>
                <w:rFonts w:eastAsia="Calibri" w:cs="Calibri"/>
                <w:color w:val="000000"/>
                <w:szCs w:val="16"/>
              </w:rPr>
              <w:t>021.7</w:t>
            </w:r>
          </w:p>
        </w:tc>
      </w:tr>
      <w:tr w:rsidR="00E87995" w:rsidRPr="009E06AA" w14:paraId="09D65A2A" w14:textId="77777777" w:rsidTr="00B55F24">
        <w:tc>
          <w:tcPr>
            <w:tcW w:w="959" w:type="dxa"/>
            <w:shd w:val="clear" w:color="auto" w:fill="FFFFFF"/>
            <w:tcMar>
              <w:top w:w="0" w:type="dxa"/>
              <w:left w:w="85" w:type="dxa"/>
              <w:bottom w:w="0" w:type="dxa"/>
              <w:right w:w="85" w:type="dxa"/>
            </w:tcMar>
          </w:tcPr>
          <w:p w14:paraId="47FED732" w14:textId="77777777" w:rsidR="00E87995" w:rsidRPr="009E06AA" w:rsidRDefault="00E87995" w:rsidP="00B55F24">
            <w:pPr>
              <w:pStyle w:val="TableTextBold"/>
              <w:spacing w:before="40" w:after="30"/>
              <w:rPr>
                <w:noProof w:val="0"/>
                <w:szCs w:val="16"/>
              </w:rPr>
            </w:pPr>
            <w:r w:rsidRPr="009E06AA">
              <w:rPr>
                <w:noProof w:val="0"/>
                <w:color w:val="1B556B"/>
                <w:szCs w:val="16"/>
              </w:rPr>
              <w:t>2000</w:t>
            </w:r>
          </w:p>
        </w:tc>
        <w:tc>
          <w:tcPr>
            <w:tcW w:w="1721" w:type="dxa"/>
            <w:shd w:val="clear" w:color="auto" w:fill="FFFFFF"/>
            <w:tcMar>
              <w:top w:w="0" w:type="dxa"/>
              <w:left w:w="85" w:type="dxa"/>
              <w:bottom w:w="0" w:type="dxa"/>
              <w:right w:w="85" w:type="dxa"/>
            </w:tcMar>
          </w:tcPr>
          <w:p w14:paraId="1692819E"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733</w:t>
            </w:r>
            <w:r w:rsidRPr="009E06AA">
              <w:rPr>
                <w:color w:val="000000"/>
                <w:szCs w:val="16"/>
              </w:rPr>
              <w:t>.8</w:t>
            </w:r>
          </w:p>
        </w:tc>
        <w:tc>
          <w:tcPr>
            <w:tcW w:w="3001" w:type="dxa"/>
            <w:shd w:val="clear" w:color="auto" w:fill="FFFFFF"/>
            <w:tcMar>
              <w:top w:w="0" w:type="dxa"/>
              <w:left w:w="85" w:type="dxa"/>
              <w:bottom w:w="0" w:type="dxa"/>
              <w:right w:w="85" w:type="dxa"/>
            </w:tcMar>
          </w:tcPr>
          <w:p w14:paraId="0D8345D2" w14:textId="77777777" w:rsidR="00E87995" w:rsidRPr="009E06AA" w:rsidRDefault="00E87995" w:rsidP="00876E40">
            <w:pPr>
              <w:pStyle w:val="TableText"/>
              <w:spacing w:before="40" w:after="30"/>
              <w:jc w:val="right"/>
              <w:rPr>
                <w:szCs w:val="16"/>
              </w:rPr>
            </w:pPr>
            <w:r w:rsidRPr="009E06AA">
              <w:rPr>
                <w:color w:val="000000"/>
                <w:szCs w:val="16"/>
              </w:rPr>
              <w:t>3,</w:t>
            </w:r>
            <w:r w:rsidRPr="009E06AA">
              <w:rPr>
                <w:rFonts w:eastAsia="Calibri" w:cs="Calibri"/>
                <w:color w:val="000000"/>
                <w:szCs w:val="16"/>
              </w:rPr>
              <w:t>429.8</w:t>
            </w:r>
          </w:p>
        </w:tc>
        <w:tc>
          <w:tcPr>
            <w:tcW w:w="2814" w:type="dxa"/>
            <w:shd w:val="clear" w:color="auto" w:fill="FFFFFF"/>
            <w:tcMar>
              <w:top w:w="0" w:type="dxa"/>
              <w:left w:w="85" w:type="dxa"/>
              <w:bottom w:w="0" w:type="dxa"/>
              <w:right w:w="85" w:type="dxa"/>
            </w:tcMar>
          </w:tcPr>
          <w:p w14:paraId="001A3E58" w14:textId="77777777" w:rsidR="00E87995" w:rsidRPr="009E06AA" w:rsidRDefault="00E87995" w:rsidP="00876E40">
            <w:pPr>
              <w:pStyle w:val="TableText"/>
              <w:spacing w:before="40" w:after="30"/>
              <w:jc w:val="right"/>
              <w:rPr>
                <w:szCs w:val="16"/>
              </w:rPr>
            </w:pPr>
            <w:r w:rsidRPr="009E06AA">
              <w:rPr>
                <w:color w:val="000000"/>
                <w:szCs w:val="16"/>
              </w:rPr>
              <w:t>4,</w:t>
            </w:r>
            <w:r w:rsidRPr="009E06AA">
              <w:rPr>
                <w:rFonts w:eastAsia="Calibri" w:cs="Calibri"/>
                <w:color w:val="000000"/>
                <w:szCs w:val="16"/>
              </w:rPr>
              <w:t>163.7</w:t>
            </w:r>
          </w:p>
        </w:tc>
      </w:tr>
      <w:tr w:rsidR="00E87995" w:rsidRPr="009E06AA" w14:paraId="480899B8" w14:textId="77777777" w:rsidTr="00B55F24">
        <w:tc>
          <w:tcPr>
            <w:tcW w:w="959" w:type="dxa"/>
            <w:shd w:val="clear" w:color="auto" w:fill="FFFFFF"/>
            <w:tcMar>
              <w:top w:w="0" w:type="dxa"/>
              <w:left w:w="85" w:type="dxa"/>
              <w:bottom w:w="0" w:type="dxa"/>
              <w:right w:w="85" w:type="dxa"/>
            </w:tcMar>
          </w:tcPr>
          <w:p w14:paraId="7F4DA677" w14:textId="77777777" w:rsidR="00E87995" w:rsidRPr="009E06AA" w:rsidRDefault="00E87995" w:rsidP="00B55F24">
            <w:pPr>
              <w:pStyle w:val="TableTextBold"/>
              <w:spacing w:before="40" w:after="30"/>
              <w:rPr>
                <w:noProof w:val="0"/>
                <w:szCs w:val="16"/>
              </w:rPr>
            </w:pPr>
            <w:r w:rsidRPr="009E06AA">
              <w:rPr>
                <w:noProof w:val="0"/>
                <w:color w:val="1B556B"/>
                <w:szCs w:val="16"/>
              </w:rPr>
              <w:t>2001</w:t>
            </w:r>
          </w:p>
        </w:tc>
        <w:tc>
          <w:tcPr>
            <w:tcW w:w="1721" w:type="dxa"/>
            <w:shd w:val="clear" w:color="auto" w:fill="FFFFFF"/>
            <w:tcMar>
              <w:top w:w="0" w:type="dxa"/>
              <w:left w:w="85" w:type="dxa"/>
              <w:bottom w:w="0" w:type="dxa"/>
              <w:right w:w="85" w:type="dxa"/>
            </w:tcMar>
          </w:tcPr>
          <w:p w14:paraId="60F82E10"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700.8</w:t>
            </w:r>
          </w:p>
        </w:tc>
        <w:tc>
          <w:tcPr>
            <w:tcW w:w="3001" w:type="dxa"/>
            <w:shd w:val="clear" w:color="auto" w:fill="FFFFFF"/>
            <w:tcMar>
              <w:top w:w="0" w:type="dxa"/>
              <w:left w:w="85" w:type="dxa"/>
              <w:bottom w:w="0" w:type="dxa"/>
              <w:right w:w="85" w:type="dxa"/>
            </w:tcMar>
          </w:tcPr>
          <w:p w14:paraId="2C0BFCB2" w14:textId="77777777" w:rsidR="00E87995" w:rsidRPr="009E06AA" w:rsidRDefault="00E87995" w:rsidP="00876E40">
            <w:pPr>
              <w:pStyle w:val="TableText"/>
              <w:spacing w:before="40" w:after="30"/>
              <w:jc w:val="right"/>
              <w:rPr>
                <w:szCs w:val="16"/>
              </w:rPr>
            </w:pPr>
            <w:r w:rsidRPr="009E06AA">
              <w:rPr>
                <w:color w:val="000000"/>
                <w:szCs w:val="16"/>
              </w:rPr>
              <w:t>3,</w:t>
            </w:r>
            <w:r w:rsidRPr="009E06AA">
              <w:rPr>
                <w:rFonts w:eastAsia="Calibri" w:cs="Calibri"/>
                <w:color w:val="000000"/>
                <w:szCs w:val="16"/>
              </w:rPr>
              <w:t>528.3</w:t>
            </w:r>
          </w:p>
        </w:tc>
        <w:tc>
          <w:tcPr>
            <w:tcW w:w="2814" w:type="dxa"/>
            <w:shd w:val="clear" w:color="auto" w:fill="FFFFFF"/>
            <w:tcMar>
              <w:top w:w="0" w:type="dxa"/>
              <w:left w:w="85" w:type="dxa"/>
              <w:bottom w:w="0" w:type="dxa"/>
              <w:right w:w="85" w:type="dxa"/>
            </w:tcMar>
          </w:tcPr>
          <w:p w14:paraId="62EA0D2E" w14:textId="77777777" w:rsidR="00E87995" w:rsidRPr="009E06AA" w:rsidRDefault="00E87995" w:rsidP="00876E40">
            <w:pPr>
              <w:pStyle w:val="TableText"/>
              <w:spacing w:before="40" w:after="30"/>
              <w:jc w:val="right"/>
              <w:rPr>
                <w:szCs w:val="16"/>
              </w:rPr>
            </w:pPr>
            <w:r w:rsidRPr="009E06AA">
              <w:rPr>
                <w:color w:val="000000"/>
                <w:szCs w:val="16"/>
              </w:rPr>
              <w:t>4,</w:t>
            </w:r>
            <w:r w:rsidRPr="009E06AA">
              <w:rPr>
                <w:rFonts w:eastAsia="Calibri" w:cs="Calibri"/>
                <w:color w:val="000000"/>
                <w:szCs w:val="16"/>
              </w:rPr>
              <w:t>229.1</w:t>
            </w:r>
          </w:p>
        </w:tc>
      </w:tr>
      <w:tr w:rsidR="00E87995" w:rsidRPr="009E06AA" w14:paraId="49FB5BE0" w14:textId="77777777" w:rsidTr="00B55F24">
        <w:tc>
          <w:tcPr>
            <w:tcW w:w="959" w:type="dxa"/>
            <w:shd w:val="clear" w:color="auto" w:fill="FFFFFF"/>
            <w:tcMar>
              <w:top w:w="0" w:type="dxa"/>
              <w:left w:w="85" w:type="dxa"/>
              <w:bottom w:w="0" w:type="dxa"/>
              <w:right w:w="85" w:type="dxa"/>
            </w:tcMar>
          </w:tcPr>
          <w:p w14:paraId="0CFDF2ED" w14:textId="77777777" w:rsidR="00E87995" w:rsidRPr="009E06AA" w:rsidRDefault="00E87995" w:rsidP="00B55F24">
            <w:pPr>
              <w:pStyle w:val="TableTextBold"/>
              <w:spacing w:before="40" w:after="30"/>
              <w:rPr>
                <w:noProof w:val="0"/>
                <w:szCs w:val="16"/>
              </w:rPr>
            </w:pPr>
            <w:r w:rsidRPr="009E06AA">
              <w:rPr>
                <w:noProof w:val="0"/>
                <w:color w:val="1B556B"/>
                <w:szCs w:val="16"/>
              </w:rPr>
              <w:t>2002</w:t>
            </w:r>
          </w:p>
        </w:tc>
        <w:tc>
          <w:tcPr>
            <w:tcW w:w="1721" w:type="dxa"/>
            <w:shd w:val="clear" w:color="auto" w:fill="FFFFFF"/>
            <w:tcMar>
              <w:top w:w="0" w:type="dxa"/>
              <w:left w:w="85" w:type="dxa"/>
              <w:bottom w:w="0" w:type="dxa"/>
              <w:right w:w="85" w:type="dxa"/>
            </w:tcMar>
          </w:tcPr>
          <w:p w14:paraId="055D21BA"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667.8</w:t>
            </w:r>
          </w:p>
        </w:tc>
        <w:tc>
          <w:tcPr>
            <w:tcW w:w="3001" w:type="dxa"/>
            <w:shd w:val="clear" w:color="auto" w:fill="FFFFFF"/>
            <w:tcMar>
              <w:top w:w="0" w:type="dxa"/>
              <w:left w:w="85" w:type="dxa"/>
              <w:bottom w:w="0" w:type="dxa"/>
              <w:right w:w="85" w:type="dxa"/>
            </w:tcMar>
          </w:tcPr>
          <w:p w14:paraId="60E395D0" w14:textId="77777777" w:rsidR="00E87995" w:rsidRPr="009E06AA" w:rsidRDefault="00E87995" w:rsidP="00876E40">
            <w:pPr>
              <w:pStyle w:val="TableText"/>
              <w:spacing w:before="40" w:after="30"/>
              <w:jc w:val="right"/>
              <w:rPr>
                <w:szCs w:val="16"/>
              </w:rPr>
            </w:pPr>
            <w:r w:rsidRPr="009E06AA">
              <w:rPr>
                <w:color w:val="000000"/>
                <w:szCs w:val="16"/>
              </w:rPr>
              <w:t>3,</w:t>
            </w:r>
            <w:r w:rsidRPr="009E06AA">
              <w:rPr>
                <w:rFonts w:eastAsia="Calibri" w:cs="Calibri"/>
                <w:color w:val="000000"/>
                <w:szCs w:val="16"/>
              </w:rPr>
              <w:t>648.7</w:t>
            </w:r>
          </w:p>
        </w:tc>
        <w:tc>
          <w:tcPr>
            <w:tcW w:w="2814" w:type="dxa"/>
            <w:shd w:val="clear" w:color="auto" w:fill="FFFFFF"/>
            <w:tcMar>
              <w:top w:w="0" w:type="dxa"/>
              <w:left w:w="85" w:type="dxa"/>
              <w:bottom w:w="0" w:type="dxa"/>
              <w:right w:w="85" w:type="dxa"/>
            </w:tcMar>
          </w:tcPr>
          <w:p w14:paraId="15F74413" w14:textId="77777777" w:rsidR="00E87995" w:rsidRPr="009E06AA" w:rsidRDefault="00E87995" w:rsidP="00876E40">
            <w:pPr>
              <w:pStyle w:val="TableText"/>
              <w:spacing w:before="40" w:after="30"/>
              <w:jc w:val="right"/>
              <w:rPr>
                <w:szCs w:val="16"/>
              </w:rPr>
            </w:pPr>
            <w:r w:rsidRPr="009E06AA">
              <w:rPr>
                <w:color w:val="000000"/>
                <w:szCs w:val="16"/>
              </w:rPr>
              <w:t>4,</w:t>
            </w:r>
            <w:r w:rsidRPr="009E06AA">
              <w:rPr>
                <w:rFonts w:eastAsia="Calibri" w:cs="Calibri"/>
                <w:color w:val="000000"/>
                <w:szCs w:val="16"/>
              </w:rPr>
              <w:t>316.5</w:t>
            </w:r>
          </w:p>
        </w:tc>
      </w:tr>
      <w:tr w:rsidR="00E87995" w:rsidRPr="009E06AA" w14:paraId="0BC89558" w14:textId="77777777" w:rsidTr="00B55F24">
        <w:tc>
          <w:tcPr>
            <w:tcW w:w="959" w:type="dxa"/>
            <w:shd w:val="clear" w:color="auto" w:fill="FFFFFF"/>
            <w:tcMar>
              <w:top w:w="0" w:type="dxa"/>
              <w:left w:w="85" w:type="dxa"/>
              <w:bottom w:w="0" w:type="dxa"/>
              <w:right w:w="85" w:type="dxa"/>
            </w:tcMar>
          </w:tcPr>
          <w:p w14:paraId="4B008B72" w14:textId="77777777" w:rsidR="00E87995" w:rsidRPr="009E06AA" w:rsidRDefault="00E87995" w:rsidP="00B55F24">
            <w:pPr>
              <w:pStyle w:val="TableTextBold"/>
              <w:spacing w:before="40" w:after="30"/>
              <w:rPr>
                <w:noProof w:val="0"/>
                <w:szCs w:val="16"/>
              </w:rPr>
            </w:pPr>
            <w:r w:rsidRPr="009E06AA">
              <w:rPr>
                <w:noProof w:val="0"/>
                <w:color w:val="1B556B"/>
                <w:szCs w:val="16"/>
              </w:rPr>
              <w:t>2003</w:t>
            </w:r>
          </w:p>
        </w:tc>
        <w:tc>
          <w:tcPr>
            <w:tcW w:w="1721" w:type="dxa"/>
            <w:shd w:val="clear" w:color="auto" w:fill="FFFFFF"/>
            <w:tcMar>
              <w:top w:w="0" w:type="dxa"/>
              <w:left w:w="85" w:type="dxa"/>
              <w:bottom w:w="0" w:type="dxa"/>
              <w:right w:w="85" w:type="dxa"/>
            </w:tcMar>
          </w:tcPr>
          <w:p w14:paraId="6EF283E8"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627.5</w:t>
            </w:r>
          </w:p>
        </w:tc>
        <w:tc>
          <w:tcPr>
            <w:tcW w:w="3001" w:type="dxa"/>
            <w:shd w:val="clear" w:color="auto" w:fill="FFFFFF"/>
            <w:tcMar>
              <w:top w:w="0" w:type="dxa"/>
              <w:left w:w="85" w:type="dxa"/>
              <w:bottom w:w="0" w:type="dxa"/>
              <w:right w:w="85" w:type="dxa"/>
            </w:tcMar>
          </w:tcPr>
          <w:p w14:paraId="68BB3FE8" w14:textId="77777777" w:rsidR="00E87995" w:rsidRPr="009E06AA" w:rsidRDefault="00E87995" w:rsidP="00876E40">
            <w:pPr>
              <w:pStyle w:val="TableText"/>
              <w:spacing w:before="40" w:after="30"/>
              <w:jc w:val="right"/>
              <w:rPr>
                <w:szCs w:val="16"/>
              </w:rPr>
            </w:pPr>
            <w:r w:rsidRPr="009E06AA">
              <w:rPr>
                <w:color w:val="000000"/>
                <w:szCs w:val="16"/>
              </w:rPr>
              <w:t>3,</w:t>
            </w:r>
            <w:r w:rsidRPr="009E06AA">
              <w:rPr>
                <w:rFonts w:eastAsia="Calibri" w:cs="Calibri"/>
                <w:color w:val="000000"/>
                <w:szCs w:val="16"/>
              </w:rPr>
              <w:t>820.7</w:t>
            </w:r>
          </w:p>
        </w:tc>
        <w:tc>
          <w:tcPr>
            <w:tcW w:w="2814" w:type="dxa"/>
            <w:shd w:val="clear" w:color="auto" w:fill="FFFFFF"/>
            <w:tcMar>
              <w:top w:w="0" w:type="dxa"/>
              <w:left w:w="85" w:type="dxa"/>
              <w:bottom w:w="0" w:type="dxa"/>
              <w:right w:w="85" w:type="dxa"/>
            </w:tcMar>
          </w:tcPr>
          <w:p w14:paraId="728FA562" w14:textId="77777777" w:rsidR="00E87995" w:rsidRPr="009E06AA" w:rsidRDefault="00E87995" w:rsidP="00876E40">
            <w:pPr>
              <w:pStyle w:val="TableText"/>
              <w:spacing w:before="40" w:after="30"/>
              <w:jc w:val="right"/>
              <w:rPr>
                <w:szCs w:val="16"/>
              </w:rPr>
            </w:pPr>
            <w:r w:rsidRPr="009E06AA">
              <w:rPr>
                <w:color w:val="000000"/>
                <w:szCs w:val="16"/>
              </w:rPr>
              <w:t>4,</w:t>
            </w:r>
            <w:r w:rsidRPr="009E06AA">
              <w:rPr>
                <w:rFonts w:eastAsia="Calibri" w:cs="Calibri"/>
                <w:color w:val="000000"/>
                <w:szCs w:val="16"/>
              </w:rPr>
              <w:t>448.1</w:t>
            </w:r>
          </w:p>
        </w:tc>
      </w:tr>
      <w:tr w:rsidR="00E87995" w:rsidRPr="009E06AA" w14:paraId="7E57CDC4" w14:textId="77777777" w:rsidTr="00B55F24">
        <w:tc>
          <w:tcPr>
            <w:tcW w:w="959" w:type="dxa"/>
            <w:shd w:val="clear" w:color="auto" w:fill="FFFFFF"/>
            <w:tcMar>
              <w:top w:w="0" w:type="dxa"/>
              <w:left w:w="85" w:type="dxa"/>
              <w:bottom w:w="0" w:type="dxa"/>
              <w:right w:w="85" w:type="dxa"/>
            </w:tcMar>
          </w:tcPr>
          <w:p w14:paraId="29160472" w14:textId="77777777" w:rsidR="00E87995" w:rsidRPr="009E06AA" w:rsidRDefault="00E87995" w:rsidP="00B55F24">
            <w:pPr>
              <w:pStyle w:val="TableTextBold"/>
              <w:spacing w:before="40" w:after="30"/>
              <w:rPr>
                <w:noProof w:val="0"/>
                <w:szCs w:val="16"/>
              </w:rPr>
            </w:pPr>
            <w:r w:rsidRPr="009E06AA">
              <w:rPr>
                <w:noProof w:val="0"/>
                <w:color w:val="1B556B"/>
                <w:szCs w:val="16"/>
              </w:rPr>
              <w:t>2004</w:t>
            </w:r>
          </w:p>
        </w:tc>
        <w:tc>
          <w:tcPr>
            <w:tcW w:w="1721" w:type="dxa"/>
            <w:shd w:val="clear" w:color="auto" w:fill="FFFFFF"/>
            <w:tcMar>
              <w:top w:w="0" w:type="dxa"/>
              <w:left w:w="85" w:type="dxa"/>
              <w:bottom w:w="0" w:type="dxa"/>
              <w:right w:w="85" w:type="dxa"/>
            </w:tcMar>
          </w:tcPr>
          <w:p w14:paraId="4CB55B16"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632.3</w:t>
            </w:r>
          </w:p>
        </w:tc>
        <w:tc>
          <w:tcPr>
            <w:tcW w:w="3001" w:type="dxa"/>
            <w:shd w:val="clear" w:color="auto" w:fill="FFFFFF"/>
            <w:tcMar>
              <w:top w:w="0" w:type="dxa"/>
              <w:left w:w="85" w:type="dxa"/>
              <w:bottom w:w="0" w:type="dxa"/>
              <w:right w:w="85" w:type="dxa"/>
            </w:tcMar>
          </w:tcPr>
          <w:p w14:paraId="64743461" w14:textId="77777777" w:rsidR="00E87995" w:rsidRPr="009E06AA" w:rsidRDefault="00E87995" w:rsidP="00876E40">
            <w:pPr>
              <w:pStyle w:val="TableText"/>
              <w:spacing w:before="40" w:after="30"/>
              <w:jc w:val="right"/>
              <w:rPr>
                <w:szCs w:val="16"/>
              </w:rPr>
            </w:pPr>
            <w:r w:rsidRPr="009E06AA">
              <w:rPr>
                <w:color w:val="000000"/>
                <w:szCs w:val="16"/>
              </w:rPr>
              <w:t>4,</w:t>
            </w:r>
            <w:r w:rsidRPr="009E06AA">
              <w:rPr>
                <w:rFonts w:eastAsia="Calibri" w:cs="Calibri"/>
                <w:color w:val="000000"/>
                <w:szCs w:val="16"/>
              </w:rPr>
              <w:t>001.3</w:t>
            </w:r>
          </w:p>
        </w:tc>
        <w:tc>
          <w:tcPr>
            <w:tcW w:w="2814" w:type="dxa"/>
            <w:shd w:val="clear" w:color="auto" w:fill="FFFFFF"/>
            <w:tcMar>
              <w:top w:w="0" w:type="dxa"/>
              <w:left w:w="85" w:type="dxa"/>
              <w:bottom w:w="0" w:type="dxa"/>
              <w:right w:w="85" w:type="dxa"/>
            </w:tcMar>
          </w:tcPr>
          <w:p w14:paraId="590A61D3" w14:textId="77777777" w:rsidR="00E87995" w:rsidRPr="009E06AA" w:rsidRDefault="00E87995" w:rsidP="00876E40">
            <w:pPr>
              <w:pStyle w:val="TableText"/>
              <w:spacing w:before="40" w:after="30"/>
              <w:jc w:val="right"/>
              <w:rPr>
                <w:szCs w:val="16"/>
              </w:rPr>
            </w:pPr>
            <w:r w:rsidRPr="009E06AA">
              <w:rPr>
                <w:color w:val="000000"/>
                <w:szCs w:val="16"/>
              </w:rPr>
              <w:t>4,</w:t>
            </w:r>
            <w:r w:rsidRPr="009E06AA">
              <w:rPr>
                <w:rFonts w:eastAsia="Calibri" w:cs="Calibri"/>
                <w:color w:val="000000"/>
                <w:szCs w:val="16"/>
              </w:rPr>
              <w:t>633.7</w:t>
            </w:r>
          </w:p>
        </w:tc>
      </w:tr>
      <w:tr w:rsidR="00E87995" w:rsidRPr="009E06AA" w14:paraId="3F80D0D2" w14:textId="77777777" w:rsidTr="00B55F24">
        <w:tc>
          <w:tcPr>
            <w:tcW w:w="959" w:type="dxa"/>
            <w:shd w:val="clear" w:color="auto" w:fill="FFFFFF"/>
            <w:tcMar>
              <w:top w:w="0" w:type="dxa"/>
              <w:left w:w="85" w:type="dxa"/>
              <w:bottom w:w="0" w:type="dxa"/>
              <w:right w:w="85" w:type="dxa"/>
            </w:tcMar>
          </w:tcPr>
          <w:p w14:paraId="097DCA8C" w14:textId="77777777" w:rsidR="00E87995" w:rsidRPr="009E06AA" w:rsidRDefault="00E87995" w:rsidP="00B55F24">
            <w:pPr>
              <w:pStyle w:val="TableTextBold"/>
              <w:spacing w:before="40" w:after="30"/>
              <w:rPr>
                <w:noProof w:val="0"/>
                <w:szCs w:val="16"/>
              </w:rPr>
            </w:pPr>
            <w:r w:rsidRPr="009E06AA">
              <w:rPr>
                <w:noProof w:val="0"/>
                <w:color w:val="1B556B"/>
                <w:szCs w:val="16"/>
              </w:rPr>
              <w:t>2005</w:t>
            </w:r>
          </w:p>
        </w:tc>
        <w:tc>
          <w:tcPr>
            <w:tcW w:w="1721" w:type="dxa"/>
            <w:shd w:val="clear" w:color="auto" w:fill="FFFFFF"/>
            <w:tcMar>
              <w:top w:w="0" w:type="dxa"/>
              <w:left w:w="85" w:type="dxa"/>
              <w:bottom w:w="0" w:type="dxa"/>
              <w:right w:w="85" w:type="dxa"/>
            </w:tcMar>
          </w:tcPr>
          <w:p w14:paraId="39D01787"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613.1</w:t>
            </w:r>
          </w:p>
        </w:tc>
        <w:tc>
          <w:tcPr>
            <w:tcW w:w="3001" w:type="dxa"/>
            <w:shd w:val="clear" w:color="auto" w:fill="FFFFFF"/>
            <w:tcMar>
              <w:top w:w="0" w:type="dxa"/>
              <w:left w:w="85" w:type="dxa"/>
              <w:bottom w:w="0" w:type="dxa"/>
              <w:right w:w="85" w:type="dxa"/>
            </w:tcMar>
          </w:tcPr>
          <w:p w14:paraId="7F23787F" w14:textId="77777777" w:rsidR="00E87995" w:rsidRPr="009E06AA" w:rsidRDefault="00E87995" w:rsidP="00876E40">
            <w:pPr>
              <w:pStyle w:val="TableText"/>
              <w:spacing w:before="40" w:after="30"/>
              <w:jc w:val="right"/>
              <w:rPr>
                <w:szCs w:val="16"/>
              </w:rPr>
            </w:pPr>
            <w:r w:rsidRPr="009E06AA">
              <w:rPr>
                <w:color w:val="000000"/>
                <w:szCs w:val="16"/>
              </w:rPr>
              <w:t>4,</w:t>
            </w:r>
            <w:r w:rsidRPr="009E06AA">
              <w:rPr>
                <w:rFonts w:eastAsia="Calibri" w:cs="Calibri"/>
                <w:color w:val="000000"/>
                <w:szCs w:val="16"/>
              </w:rPr>
              <w:t>164.9</w:t>
            </w:r>
          </w:p>
        </w:tc>
        <w:tc>
          <w:tcPr>
            <w:tcW w:w="2814" w:type="dxa"/>
            <w:shd w:val="clear" w:color="auto" w:fill="FFFFFF"/>
            <w:tcMar>
              <w:top w:w="0" w:type="dxa"/>
              <w:left w:w="85" w:type="dxa"/>
              <w:bottom w:w="0" w:type="dxa"/>
              <w:right w:w="85" w:type="dxa"/>
            </w:tcMar>
          </w:tcPr>
          <w:p w14:paraId="0ED293E7" w14:textId="77777777" w:rsidR="00E87995" w:rsidRPr="009E06AA" w:rsidRDefault="00E87995" w:rsidP="00876E40">
            <w:pPr>
              <w:pStyle w:val="TableText"/>
              <w:spacing w:before="40" w:after="30"/>
              <w:jc w:val="right"/>
              <w:rPr>
                <w:szCs w:val="16"/>
              </w:rPr>
            </w:pPr>
            <w:r w:rsidRPr="009E06AA">
              <w:rPr>
                <w:color w:val="000000"/>
                <w:szCs w:val="16"/>
              </w:rPr>
              <w:t>4,</w:t>
            </w:r>
            <w:r w:rsidRPr="009E06AA">
              <w:rPr>
                <w:rFonts w:eastAsia="Calibri" w:cs="Calibri"/>
                <w:color w:val="000000"/>
                <w:szCs w:val="16"/>
              </w:rPr>
              <w:t>778.0</w:t>
            </w:r>
          </w:p>
        </w:tc>
      </w:tr>
      <w:tr w:rsidR="00E87995" w:rsidRPr="009E06AA" w14:paraId="5AD00A02" w14:textId="77777777" w:rsidTr="00B55F24">
        <w:tc>
          <w:tcPr>
            <w:tcW w:w="959" w:type="dxa"/>
            <w:shd w:val="clear" w:color="auto" w:fill="FFFFFF"/>
            <w:tcMar>
              <w:top w:w="0" w:type="dxa"/>
              <w:left w:w="85" w:type="dxa"/>
              <w:bottom w:w="0" w:type="dxa"/>
              <w:right w:w="85" w:type="dxa"/>
            </w:tcMar>
          </w:tcPr>
          <w:p w14:paraId="4BD7E234" w14:textId="77777777" w:rsidR="00E87995" w:rsidRPr="009E06AA" w:rsidRDefault="00E87995" w:rsidP="00B55F24">
            <w:pPr>
              <w:pStyle w:val="TableTextBold"/>
              <w:spacing w:before="40" w:after="30"/>
              <w:rPr>
                <w:noProof w:val="0"/>
                <w:szCs w:val="16"/>
              </w:rPr>
            </w:pPr>
            <w:r w:rsidRPr="009E06AA">
              <w:rPr>
                <w:noProof w:val="0"/>
                <w:color w:val="1B556B"/>
                <w:szCs w:val="16"/>
              </w:rPr>
              <w:t>2006</w:t>
            </w:r>
          </w:p>
        </w:tc>
        <w:tc>
          <w:tcPr>
            <w:tcW w:w="1721" w:type="dxa"/>
            <w:shd w:val="clear" w:color="auto" w:fill="FFFFFF"/>
            <w:tcMar>
              <w:top w:w="0" w:type="dxa"/>
              <w:left w:w="85" w:type="dxa"/>
              <w:bottom w:w="0" w:type="dxa"/>
              <w:right w:w="85" w:type="dxa"/>
            </w:tcMar>
          </w:tcPr>
          <w:p w14:paraId="340DBD88"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614.6</w:t>
            </w:r>
          </w:p>
        </w:tc>
        <w:tc>
          <w:tcPr>
            <w:tcW w:w="3001" w:type="dxa"/>
            <w:shd w:val="clear" w:color="auto" w:fill="FFFFFF"/>
            <w:tcMar>
              <w:top w:w="0" w:type="dxa"/>
              <w:left w:w="85" w:type="dxa"/>
              <w:bottom w:w="0" w:type="dxa"/>
              <w:right w:w="85" w:type="dxa"/>
            </w:tcMar>
          </w:tcPr>
          <w:p w14:paraId="0E2CDFAE" w14:textId="77777777" w:rsidR="00E87995" w:rsidRPr="009E06AA" w:rsidRDefault="00E87995" w:rsidP="00876E40">
            <w:pPr>
              <w:pStyle w:val="TableText"/>
              <w:spacing w:before="40" w:after="30"/>
              <w:jc w:val="right"/>
              <w:rPr>
                <w:szCs w:val="16"/>
              </w:rPr>
            </w:pPr>
            <w:r w:rsidRPr="009E06AA">
              <w:rPr>
                <w:color w:val="000000"/>
                <w:szCs w:val="16"/>
              </w:rPr>
              <w:t>4,</w:t>
            </w:r>
            <w:r w:rsidRPr="009E06AA">
              <w:rPr>
                <w:rFonts w:eastAsia="Calibri" w:cs="Calibri"/>
                <w:color w:val="000000"/>
                <w:szCs w:val="16"/>
              </w:rPr>
              <w:t>304.6</w:t>
            </w:r>
          </w:p>
        </w:tc>
        <w:tc>
          <w:tcPr>
            <w:tcW w:w="2814" w:type="dxa"/>
            <w:shd w:val="clear" w:color="auto" w:fill="FFFFFF"/>
            <w:tcMar>
              <w:top w:w="0" w:type="dxa"/>
              <w:left w:w="85" w:type="dxa"/>
              <w:bottom w:w="0" w:type="dxa"/>
              <w:right w:w="85" w:type="dxa"/>
            </w:tcMar>
          </w:tcPr>
          <w:p w14:paraId="6A8DBE72" w14:textId="77777777" w:rsidR="00E87995" w:rsidRPr="009E06AA" w:rsidRDefault="00E87995" w:rsidP="00876E40">
            <w:pPr>
              <w:pStyle w:val="TableText"/>
              <w:spacing w:before="40" w:after="30"/>
              <w:jc w:val="right"/>
              <w:rPr>
                <w:szCs w:val="16"/>
              </w:rPr>
            </w:pPr>
            <w:r w:rsidRPr="009E06AA">
              <w:rPr>
                <w:color w:val="000000"/>
                <w:szCs w:val="16"/>
              </w:rPr>
              <w:t>4,</w:t>
            </w:r>
            <w:r w:rsidRPr="009E06AA">
              <w:rPr>
                <w:rFonts w:eastAsia="Calibri" w:cs="Calibri"/>
                <w:color w:val="000000"/>
                <w:szCs w:val="16"/>
              </w:rPr>
              <w:t>919.2</w:t>
            </w:r>
          </w:p>
        </w:tc>
      </w:tr>
      <w:tr w:rsidR="00E87995" w:rsidRPr="009E06AA" w14:paraId="0E5EF70D" w14:textId="77777777" w:rsidTr="00B55F24">
        <w:tc>
          <w:tcPr>
            <w:tcW w:w="959" w:type="dxa"/>
            <w:shd w:val="clear" w:color="auto" w:fill="FFFFFF"/>
            <w:tcMar>
              <w:top w:w="0" w:type="dxa"/>
              <w:left w:w="85" w:type="dxa"/>
              <w:bottom w:w="0" w:type="dxa"/>
              <w:right w:w="85" w:type="dxa"/>
            </w:tcMar>
          </w:tcPr>
          <w:p w14:paraId="7A1CCC75" w14:textId="77777777" w:rsidR="00E87995" w:rsidRPr="009E06AA" w:rsidRDefault="00E87995" w:rsidP="00B55F24">
            <w:pPr>
              <w:pStyle w:val="TableTextBold"/>
              <w:spacing w:before="40" w:after="30"/>
              <w:rPr>
                <w:noProof w:val="0"/>
                <w:szCs w:val="16"/>
              </w:rPr>
            </w:pPr>
            <w:r w:rsidRPr="009E06AA">
              <w:rPr>
                <w:noProof w:val="0"/>
                <w:color w:val="1B556B"/>
                <w:szCs w:val="16"/>
              </w:rPr>
              <w:t>2007</w:t>
            </w:r>
          </w:p>
        </w:tc>
        <w:tc>
          <w:tcPr>
            <w:tcW w:w="1721" w:type="dxa"/>
            <w:shd w:val="clear" w:color="auto" w:fill="FFFFFF"/>
            <w:tcMar>
              <w:top w:w="0" w:type="dxa"/>
              <w:left w:w="85" w:type="dxa"/>
              <w:bottom w:w="0" w:type="dxa"/>
              <w:right w:w="85" w:type="dxa"/>
            </w:tcMar>
          </w:tcPr>
          <w:p w14:paraId="3DDCADA0"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602.7</w:t>
            </w:r>
          </w:p>
        </w:tc>
        <w:tc>
          <w:tcPr>
            <w:tcW w:w="3001" w:type="dxa"/>
            <w:shd w:val="clear" w:color="auto" w:fill="FFFFFF"/>
            <w:tcMar>
              <w:top w:w="0" w:type="dxa"/>
              <w:left w:w="85" w:type="dxa"/>
              <w:bottom w:w="0" w:type="dxa"/>
              <w:right w:w="85" w:type="dxa"/>
            </w:tcMar>
          </w:tcPr>
          <w:p w14:paraId="55FD962F" w14:textId="77777777" w:rsidR="00E87995" w:rsidRPr="009E06AA" w:rsidRDefault="00E87995" w:rsidP="00876E40">
            <w:pPr>
              <w:pStyle w:val="TableText"/>
              <w:spacing w:before="40" w:after="30"/>
              <w:jc w:val="right"/>
              <w:rPr>
                <w:szCs w:val="16"/>
              </w:rPr>
            </w:pPr>
            <w:r w:rsidRPr="009E06AA">
              <w:rPr>
                <w:color w:val="000000"/>
                <w:szCs w:val="16"/>
              </w:rPr>
              <w:t>4,</w:t>
            </w:r>
            <w:r w:rsidRPr="009E06AA">
              <w:rPr>
                <w:rFonts w:eastAsia="Calibri" w:cs="Calibri"/>
                <w:color w:val="000000"/>
                <w:szCs w:val="16"/>
              </w:rPr>
              <w:t>424.2</w:t>
            </w:r>
          </w:p>
        </w:tc>
        <w:tc>
          <w:tcPr>
            <w:tcW w:w="2814" w:type="dxa"/>
            <w:shd w:val="clear" w:color="auto" w:fill="FFFFFF"/>
            <w:tcMar>
              <w:top w:w="0" w:type="dxa"/>
              <w:left w:w="85" w:type="dxa"/>
              <w:bottom w:w="0" w:type="dxa"/>
              <w:right w:w="85" w:type="dxa"/>
            </w:tcMar>
          </w:tcPr>
          <w:p w14:paraId="7C7778B7" w14:textId="77777777" w:rsidR="00E87995" w:rsidRPr="009E06AA" w:rsidRDefault="00E87995" w:rsidP="00876E40">
            <w:pPr>
              <w:pStyle w:val="TableText"/>
              <w:spacing w:before="40" w:after="30"/>
              <w:jc w:val="right"/>
              <w:rPr>
                <w:szCs w:val="16"/>
              </w:rPr>
            </w:pPr>
            <w:r w:rsidRPr="009E06AA">
              <w:rPr>
                <w:color w:val="000000"/>
                <w:szCs w:val="16"/>
              </w:rPr>
              <w:t>5,</w:t>
            </w:r>
            <w:r w:rsidRPr="009E06AA">
              <w:rPr>
                <w:rFonts w:eastAsia="Calibri" w:cs="Calibri"/>
                <w:color w:val="000000"/>
                <w:szCs w:val="16"/>
              </w:rPr>
              <w:t>026.9</w:t>
            </w:r>
          </w:p>
        </w:tc>
      </w:tr>
      <w:tr w:rsidR="00E87995" w:rsidRPr="009E06AA" w14:paraId="1EA31591" w14:textId="77777777" w:rsidTr="00B55F24">
        <w:tc>
          <w:tcPr>
            <w:tcW w:w="959" w:type="dxa"/>
            <w:shd w:val="clear" w:color="auto" w:fill="FFFFFF"/>
            <w:tcMar>
              <w:top w:w="0" w:type="dxa"/>
              <w:left w:w="85" w:type="dxa"/>
              <w:bottom w:w="0" w:type="dxa"/>
              <w:right w:w="85" w:type="dxa"/>
            </w:tcMar>
          </w:tcPr>
          <w:p w14:paraId="6C3856DB" w14:textId="77777777" w:rsidR="00E87995" w:rsidRPr="009E06AA" w:rsidRDefault="00E87995" w:rsidP="00B55F24">
            <w:pPr>
              <w:pStyle w:val="TableTextBold"/>
              <w:spacing w:before="40" w:after="30"/>
              <w:rPr>
                <w:noProof w:val="0"/>
                <w:szCs w:val="16"/>
              </w:rPr>
            </w:pPr>
            <w:r w:rsidRPr="009E06AA">
              <w:rPr>
                <w:noProof w:val="0"/>
                <w:color w:val="1B556B"/>
                <w:szCs w:val="16"/>
              </w:rPr>
              <w:t>2008</w:t>
            </w:r>
          </w:p>
        </w:tc>
        <w:tc>
          <w:tcPr>
            <w:tcW w:w="1721" w:type="dxa"/>
            <w:shd w:val="clear" w:color="auto" w:fill="FFFFFF"/>
            <w:tcMar>
              <w:top w:w="0" w:type="dxa"/>
              <w:left w:w="85" w:type="dxa"/>
              <w:bottom w:w="0" w:type="dxa"/>
              <w:right w:w="85" w:type="dxa"/>
            </w:tcMar>
          </w:tcPr>
          <w:p w14:paraId="4869050C"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576.4</w:t>
            </w:r>
          </w:p>
        </w:tc>
        <w:tc>
          <w:tcPr>
            <w:tcW w:w="3001" w:type="dxa"/>
            <w:shd w:val="clear" w:color="auto" w:fill="FFFFFF"/>
            <w:tcMar>
              <w:top w:w="0" w:type="dxa"/>
              <w:left w:w="85" w:type="dxa"/>
              <w:bottom w:w="0" w:type="dxa"/>
              <w:right w:w="85" w:type="dxa"/>
            </w:tcMar>
          </w:tcPr>
          <w:p w14:paraId="7FF37000" w14:textId="77777777" w:rsidR="00E87995" w:rsidRPr="009E06AA" w:rsidRDefault="00E87995" w:rsidP="00876E40">
            <w:pPr>
              <w:pStyle w:val="TableText"/>
              <w:spacing w:before="40" w:after="30"/>
              <w:jc w:val="right"/>
              <w:rPr>
                <w:szCs w:val="16"/>
              </w:rPr>
            </w:pPr>
            <w:r w:rsidRPr="009E06AA">
              <w:rPr>
                <w:color w:val="000000"/>
                <w:szCs w:val="16"/>
              </w:rPr>
              <w:t>4,</w:t>
            </w:r>
            <w:r w:rsidRPr="009E06AA">
              <w:rPr>
                <w:rFonts w:eastAsia="Calibri" w:cs="Calibri"/>
                <w:color w:val="000000"/>
                <w:szCs w:val="16"/>
              </w:rPr>
              <w:t>559</w:t>
            </w:r>
            <w:r w:rsidRPr="009E06AA">
              <w:rPr>
                <w:color w:val="000000"/>
                <w:szCs w:val="16"/>
              </w:rPr>
              <w:t>.2</w:t>
            </w:r>
          </w:p>
        </w:tc>
        <w:tc>
          <w:tcPr>
            <w:tcW w:w="2814" w:type="dxa"/>
            <w:shd w:val="clear" w:color="auto" w:fill="FFFFFF"/>
            <w:tcMar>
              <w:top w:w="0" w:type="dxa"/>
              <w:left w:w="85" w:type="dxa"/>
              <w:bottom w:w="0" w:type="dxa"/>
              <w:right w:w="85" w:type="dxa"/>
            </w:tcMar>
          </w:tcPr>
          <w:p w14:paraId="391CBD9D" w14:textId="77777777" w:rsidR="00E87995" w:rsidRPr="009E06AA" w:rsidRDefault="00E87995" w:rsidP="00876E40">
            <w:pPr>
              <w:pStyle w:val="TableText"/>
              <w:spacing w:before="40" w:after="30"/>
              <w:jc w:val="right"/>
              <w:rPr>
                <w:szCs w:val="16"/>
              </w:rPr>
            </w:pPr>
            <w:r w:rsidRPr="009E06AA">
              <w:rPr>
                <w:color w:val="000000"/>
                <w:szCs w:val="16"/>
              </w:rPr>
              <w:t>5,</w:t>
            </w:r>
            <w:r w:rsidRPr="009E06AA">
              <w:rPr>
                <w:rFonts w:eastAsia="Calibri" w:cs="Calibri"/>
                <w:color w:val="000000"/>
                <w:szCs w:val="16"/>
              </w:rPr>
              <w:t>135.6</w:t>
            </w:r>
          </w:p>
        </w:tc>
      </w:tr>
      <w:tr w:rsidR="00E87995" w:rsidRPr="009E06AA" w14:paraId="1863C8AE" w14:textId="77777777" w:rsidTr="00B55F24">
        <w:tc>
          <w:tcPr>
            <w:tcW w:w="959" w:type="dxa"/>
            <w:shd w:val="clear" w:color="auto" w:fill="FFFFFF"/>
            <w:tcMar>
              <w:top w:w="0" w:type="dxa"/>
              <w:left w:w="85" w:type="dxa"/>
              <w:bottom w:w="0" w:type="dxa"/>
              <w:right w:w="85" w:type="dxa"/>
            </w:tcMar>
          </w:tcPr>
          <w:p w14:paraId="717F13DF" w14:textId="77777777" w:rsidR="00E87995" w:rsidRPr="009E06AA" w:rsidRDefault="00E87995" w:rsidP="00B55F24">
            <w:pPr>
              <w:pStyle w:val="TableTextBold"/>
              <w:spacing w:before="40" w:after="30"/>
              <w:rPr>
                <w:noProof w:val="0"/>
                <w:szCs w:val="16"/>
              </w:rPr>
            </w:pPr>
            <w:r w:rsidRPr="009E06AA">
              <w:rPr>
                <w:noProof w:val="0"/>
                <w:color w:val="1B556B"/>
                <w:szCs w:val="16"/>
              </w:rPr>
              <w:t>2009</w:t>
            </w:r>
          </w:p>
        </w:tc>
        <w:tc>
          <w:tcPr>
            <w:tcW w:w="1721" w:type="dxa"/>
            <w:shd w:val="clear" w:color="auto" w:fill="FFFFFF"/>
            <w:tcMar>
              <w:top w:w="0" w:type="dxa"/>
              <w:left w:w="85" w:type="dxa"/>
              <w:bottom w:w="0" w:type="dxa"/>
              <w:right w:w="85" w:type="dxa"/>
            </w:tcMar>
          </w:tcPr>
          <w:p w14:paraId="332A34B2"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564.3</w:t>
            </w:r>
          </w:p>
        </w:tc>
        <w:tc>
          <w:tcPr>
            <w:tcW w:w="3001" w:type="dxa"/>
            <w:shd w:val="clear" w:color="auto" w:fill="FFFFFF"/>
            <w:tcMar>
              <w:top w:w="0" w:type="dxa"/>
              <w:left w:w="85" w:type="dxa"/>
              <w:bottom w:w="0" w:type="dxa"/>
              <w:right w:w="85" w:type="dxa"/>
            </w:tcMar>
          </w:tcPr>
          <w:p w14:paraId="75344CAE" w14:textId="77777777" w:rsidR="00E87995" w:rsidRPr="009E06AA" w:rsidRDefault="00E87995" w:rsidP="00876E40">
            <w:pPr>
              <w:pStyle w:val="TableText"/>
              <w:spacing w:before="40" w:after="30"/>
              <w:jc w:val="right"/>
              <w:rPr>
                <w:szCs w:val="16"/>
              </w:rPr>
            </w:pPr>
            <w:r w:rsidRPr="009E06AA">
              <w:rPr>
                <w:color w:val="000000"/>
                <w:szCs w:val="16"/>
              </w:rPr>
              <w:t>4,</w:t>
            </w:r>
            <w:r w:rsidRPr="009E06AA">
              <w:rPr>
                <w:rFonts w:eastAsia="Calibri" w:cs="Calibri"/>
                <w:color w:val="000000"/>
                <w:szCs w:val="16"/>
              </w:rPr>
              <w:t>502</w:t>
            </w:r>
            <w:r w:rsidRPr="009E06AA">
              <w:rPr>
                <w:color w:val="000000"/>
                <w:szCs w:val="16"/>
              </w:rPr>
              <w:t>.6</w:t>
            </w:r>
          </w:p>
        </w:tc>
        <w:tc>
          <w:tcPr>
            <w:tcW w:w="2814" w:type="dxa"/>
            <w:shd w:val="clear" w:color="auto" w:fill="FFFFFF"/>
            <w:tcMar>
              <w:top w:w="0" w:type="dxa"/>
              <w:left w:w="85" w:type="dxa"/>
              <w:bottom w:w="0" w:type="dxa"/>
              <w:right w:w="85" w:type="dxa"/>
            </w:tcMar>
          </w:tcPr>
          <w:p w14:paraId="726E9C01" w14:textId="77777777" w:rsidR="00E87995" w:rsidRPr="009E06AA" w:rsidRDefault="00E87995" w:rsidP="00876E40">
            <w:pPr>
              <w:pStyle w:val="TableText"/>
              <w:spacing w:before="40" w:after="30"/>
              <w:jc w:val="right"/>
              <w:rPr>
                <w:szCs w:val="16"/>
              </w:rPr>
            </w:pPr>
            <w:r w:rsidRPr="009E06AA">
              <w:rPr>
                <w:color w:val="000000"/>
                <w:szCs w:val="16"/>
              </w:rPr>
              <w:t>5,</w:t>
            </w:r>
            <w:r w:rsidRPr="009E06AA">
              <w:rPr>
                <w:rFonts w:eastAsia="Calibri" w:cs="Calibri"/>
                <w:color w:val="000000"/>
                <w:szCs w:val="16"/>
              </w:rPr>
              <w:t>066.9</w:t>
            </w:r>
          </w:p>
        </w:tc>
      </w:tr>
      <w:tr w:rsidR="00E87995" w:rsidRPr="009E06AA" w14:paraId="61DCB8F6" w14:textId="77777777" w:rsidTr="00B55F24">
        <w:tc>
          <w:tcPr>
            <w:tcW w:w="959" w:type="dxa"/>
            <w:shd w:val="clear" w:color="auto" w:fill="FFFFFF"/>
            <w:tcMar>
              <w:top w:w="0" w:type="dxa"/>
              <w:left w:w="85" w:type="dxa"/>
              <w:bottom w:w="0" w:type="dxa"/>
              <w:right w:w="85" w:type="dxa"/>
            </w:tcMar>
          </w:tcPr>
          <w:p w14:paraId="4716677E" w14:textId="77777777" w:rsidR="00E87995" w:rsidRPr="009E06AA" w:rsidRDefault="00E87995" w:rsidP="00B55F24">
            <w:pPr>
              <w:pStyle w:val="TableTextBold"/>
              <w:spacing w:before="40" w:after="30"/>
              <w:rPr>
                <w:noProof w:val="0"/>
                <w:szCs w:val="16"/>
              </w:rPr>
            </w:pPr>
            <w:r w:rsidRPr="009E06AA">
              <w:rPr>
                <w:noProof w:val="0"/>
                <w:color w:val="1B556B"/>
                <w:szCs w:val="16"/>
              </w:rPr>
              <w:t>2010</w:t>
            </w:r>
          </w:p>
        </w:tc>
        <w:tc>
          <w:tcPr>
            <w:tcW w:w="1721" w:type="dxa"/>
            <w:shd w:val="clear" w:color="auto" w:fill="FFFFFF"/>
            <w:tcMar>
              <w:top w:w="0" w:type="dxa"/>
              <w:left w:w="85" w:type="dxa"/>
              <w:bottom w:w="0" w:type="dxa"/>
              <w:right w:w="85" w:type="dxa"/>
            </w:tcMar>
          </w:tcPr>
          <w:p w14:paraId="418D3406"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569</w:t>
            </w:r>
            <w:r w:rsidRPr="009E06AA">
              <w:rPr>
                <w:color w:val="000000"/>
                <w:szCs w:val="16"/>
              </w:rPr>
              <w:t>.8</w:t>
            </w:r>
          </w:p>
        </w:tc>
        <w:tc>
          <w:tcPr>
            <w:tcW w:w="3001" w:type="dxa"/>
            <w:shd w:val="clear" w:color="auto" w:fill="FFFFFF"/>
            <w:tcMar>
              <w:top w:w="0" w:type="dxa"/>
              <w:left w:w="85" w:type="dxa"/>
              <w:bottom w:w="0" w:type="dxa"/>
              <w:right w:w="85" w:type="dxa"/>
            </w:tcMar>
          </w:tcPr>
          <w:p w14:paraId="6111AF8E" w14:textId="77777777" w:rsidR="00E87995" w:rsidRPr="009E06AA" w:rsidRDefault="00E87995" w:rsidP="00876E40">
            <w:pPr>
              <w:pStyle w:val="TableText"/>
              <w:spacing w:before="40" w:after="30"/>
              <w:jc w:val="right"/>
              <w:rPr>
                <w:szCs w:val="16"/>
              </w:rPr>
            </w:pPr>
            <w:r w:rsidRPr="009E06AA">
              <w:rPr>
                <w:color w:val="000000"/>
                <w:szCs w:val="16"/>
              </w:rPr>
              <w:t>4,500.</w:t>
            </w:r>
            <w:r w:rsidRPr="009E06AA">
              <w:rPr>
                <w:rFonts w:eastAsia="Calibri" w:cs="Calibri"/>
                <w:color w:val="000000"/>
                <w:szCs w:val="16"/>
              </w:rPr>
              <w:t>3</w:t>
            </w:r>
          </w:p>
        </w:tc>
        <w:tc>
          <w:tcPr>
            <w:tcW w:w="2814" w:type="dxa"/>
            <w:shd w:val="clear" w:color="auto" w:fill="FFFFFF"/>
            <w:tcMar>
              <w:top w:w="0" w:type="dxa"/>
              <w:left w:w="85" w:type="dxa"/>
              <w:bottom w:w="0" w:type="dxa"/>
              <w:right w:w="85" w:type="dxa"/>
            </w:tcMar>
          </w:tcPr>
          <w:p w14:paraId="7E88D192" w14:textId="77777777" w:rsidR="00E87995" w:rsidRPr="009E06AA" w:rsidRDefault="00E87995" w:rsidP="00876E40">
            <w:pPr>
              <w:pStyle w:val="TableText"/>
              <w:spacing w:before="40" w:after="30"/>
              <w:jc w:val="right"/>
              <w:rPr>
                <w:szCs w:val="16"/>
              </w:rPr>
            </w:pPr>
            <w:r w:rsidRPr="009E06AA">
              <w:rPr>
                <w:color w:val="000000"/>
                <w:szCs w:val="16"/>
              </w:rPr>
              <w:t>5,</w:t>
            </w:r>
            <w:r w:rsidRPr="009E06AA">
              <w:rPr>
                <w:rFonts w:eastAsia="Calibri" w:cs="Calibri"/>
                <w:color w:val="000000"/>
                <w:szCs w:val="16"/>
              </w:rPr>
              <w:t>070.1</w:t>
            </w:r>
          </w:p>
        </w:tc>
      </w:tr>
      <w:tr w:rsidR="00E87995" w:rsidRPr="009E06AA" w14:paraId="1C1EBE13" w14:textId="77777777" w:rsidTr="00B55F24">
        <w:tc>
          <w:tcPr>
            <w:tcW w:w="959" w:type="dxa"/>
            <w:shd w:val="clear" w:color="auto" w:fill="FFFFFF"/>
            <w:tcMar>
              <w:top w:w="0" w:type="dxa"/>
              <w:left w:w="85" w:type="dxa"/>
              <w:bottom w:w="0" w:type="dxa"/>
              <w:right w:w="85" w:type="dxa"/>
            </w:tcMar>
          </w:tcPr>
          <w:p w14:paraId="6BB096FF" w14:textId="77777777" w:rsidR="00E87995" w:rsidRPr="009E06AA" w:rsidRDefault="00E87995" w:rsidP="00B55F24">
            <w:pPr>
              <w:pStyle w:val="TableTextBold"/>
              <w:spacing w:before="40" w:after="30"/>
              <w:rPr>
                <w:noProof w:val="0"/>
                <w:szCs w:val="16"/>
              </w:rPr>
            </w:pPr>
            <w:r w:rsidRPr="009E06AA">
              <w:rPr>
                <w:noProof w:val="0"/>
                <w:color w:val="1B556B"/>
                <w:szCs w:val="16"/>
              </w:rPr>
              <w:t>2011</w:t>
            </w:r>
          </w:p>
        </w:tc>
        <w:tc>
          <w:tcPr>
            <w:tcW w:w="1721" w:type="dxa"/>
            <w:shd w:val="clear" w:color="auto" w:fill="FFFFFF"/>
            <w:tcMar>
              <w:top w:w="0" w:type="dxa"/>
              <w:left w:w="85" w:type="dxa"/>
              <w:bottom w:w="0" w:type="dxa"/>
              <w:right w:w="85" w:type="dxa"/>
            </w:tcMar>
          </w:tcPr>
          <w:p w14:paraId="709DA879"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552.1</w:t>
            </w:r>
          </w:p>
        </w:tc>
        <w:tc>
          <w:tcPr>
            <w:tcW w:w="3001" w:type="dxa"/>
            <w:shd w:val="clear" w:color="auto" w:fill="FFFFFF"/>
            <w:tcMar>
              <w:top w:w="0" w:type="dxa"/>
              <w:left w:w="85" w:type="dxa"/>
              <w:bottom w:w="0" w:type="dxa"/>
              <w:right w:w="85" w:type="dxa"/>
            </w:tcMar>
          </w:tcPr>
          <w:p w14:paraId="6B552343" w14:textId="77777777" w:rsidR="00E87995" w:rsidRPr="009E06AA" w:rsidRDefault="00E87995" w:rsidP="00876E40">
            <w:pPr>
              <w:pStyle w:val="TableText"/>
              <w:spacing w:before="40" w:after="30"/>
              <w:jc w:val="right"/>
              <w:rPr>
                <w:szCs w:val="16"/>
              </w:rPr>
            </w:pPr>
            <w:r w:rsidRPr="009E06AA">
              <w:rPr>
                <w:color w:val="000000"/>
                <w:szCs w:val="16"/>
              </w:rPr>
              <w:t>4,</w:t>
            </w:r>
            <w:r w:rsidRPr="009E06AA">
              <w:rPr>
                <w:rFonts w:eastAsia="Calibri" w:cs="Calibri"/>
                <w:color w:val="000000"/>
                <w:szCs w:val="16"/>
              </w:rPr>
              <w:t>567.9</w:t>
            </w:r>
          </w:p>
        </w:tc>
        <w:tc>
          <w:tcPr>
            <w:tcW w:w="2814" w:type="dxa"/>
            <w:shd w:val="clear" w:color="auto" w:fill="FFFFFF"/>
            <w:tcMar>
              <w:top w:w="0" w:type="dxa"/>
              <w:left w:w="85" w:type="dxa"/>
              <w:bottom w:w="0" w:type="dxa"/>
              <w:right w:w="85" w:type="dxa"/>
            </w:tcMar>
          </w:tcPr>
          <w:p w14:paraId="3C36C48A" w14:textId="77777777" w:rsidR="00E87995" w:rsidRPr="009E06AA" w:rsidRDefault="00E87995" w:rsidP="00876E40">
            <w:pPr>
              <w:pStyle w:val="TableText"/>
              <w:spacing w:before="40" w:after="30"/>
              <w:jc w:val="right"/>
              <w:rPr>
                <w:szCs w:val="16"/>
              </w:rPr>
            </w:pPr>
            <w:r w:rsidRPr="009E06AA">
              <w:rPr>
                <w:color w:val="000000"/>
                <w:szCs w:val="16"/>
              </w:rPr>
              <w:t>5,</w:t>
            </w:r>
            <w:r w:rsidRPr="009E06AA">
              <w:rPr>
                <w:rFonts w:eastAsia="Calibri" w:cs="Calibri"/>
                <w:color w:val="000000"/>
                <w:szCs w:val="16"/>
              </w:rPr>
              <w:t>120.0</w:t>
            </w:r>
          </w:p>
        </w:tc>
      </w:tr>
      <w:tr w:rsidR="00E87995" w:rsidRPr="009E06AA" w14:paraId="5F4827E7" w14:textId="77777777" w:rsidTr="00B55F24">
        <w:tc>
          <w:tcPr>
            <w:tcW w:w="959" w:type="dxa"/>
            <w:shd w:val="clear" w:color="auto" w:fill="FFFFFF"/>
            <w:tcMar>
              <w:top w:w="0" w:type="dxa"/>
              <w:left w:w="85" w:type="dxa"/>
              <w:bottom w:w="0" w:type="dxa"/>
              <w:right w:w="85" w:type="dxa"/>
            </w:tcMar>
          </w:tcPr>
          <w:p w14:paraId="626E8D82" w14:textId="77777777" w:rsidR="00E87995" w:rsidRPr="009E06AA" w:rsidRDefault="00E87995" w:rsidP="00B55F24">
            <w:pPr>
              <w:pStyle w:val="TableTextBold"/>
              <w:spacing w:before="40" w:after="30"/>
              <w:rPr>
                <w:noProof w:val="0"/>
                <w:szCs w:val="16"/>
              </w:rPr>
            </w:pPr>
            <w:r w:rsidRPr="009E06AA">
              <w:rPr>
                <w:noProof w:val="0"/>
                <w:color w:val="1B556B"/>
                <w:szCs w:val="16"/>
              </w:rPr>
              <w:t>2012</w:t>
            </w:r>
          </w:p>
        </w:tc>
        <w:tc>
          <w:tcPr>
            <w:tcW w:w="1721" w:type="dxa"/>
            <w:shd w:val="clear" w:color="auto" w:fill="FFFFFF"/>
            <w:tcMar>
              <w:top w:w="0" w:type="dxa"/>
              <w:left w:w="85" w:type="dxa"/>
              <w:bottom w:w="0" w:type="dxa"/>
              <w:right w:w="85" w:type="dxa"/>
            </w:tcMar>
          </w:tcPr>
          <w:p w14:paraId="46378D51"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553.5</w:t>
            </w:r>
          </w:p>
        </w:tc>
        <w:tc>
          <w:tcPr>
            <w:tcW w:w="3001" w:type="dxa"/>
            <w:shd w:val="clear" w:color="auto" w:fill="FFFFFF"/>
            <w:tcMar>
              <w:top w:w="0" w:type="dxa"/>
              <w:left w:w="85" w:type="dxa"/>
              <w:bottom w:w="0" w:type="dxa"/>
              <w:right w:w="85" w:type="dxa"/>
            </w:tcMar>
          </w:tcPr>
          <w:p w14:paraId="5C353524" w14:textId="77777777" w:rsidR="00E87995" w:rsidRPr="009E06AA" w:rsidRDefault="00E87995" w:rsidP="00876E40">
            <w:pPr>
              <w:pStyle w:val="TableText"/>
              <w:spacing w:before="40" w:after="30"/>
              <w:jc w:val="right"/>
              <w:rPr>
                <w:szCs w:val="16"/>
              </w:rPr>
            </w:pPr>
            <w:r w:rsidRPr="009E06AA">
              <w:rPr>
                <w:color w:val="000000"/>
                <w:szCs w:val="16"/>
              </w:rPr>
              <w:t>4,</w:t>
            </w:r>
            <w:r w:rsidRPr="009E06AA">
              <w:rPr>
                <w:rFonts w:eastAsia="Calibri" w:cs="Calibri"/>
                <w:color w:val="000000"/>
                <w:szCs w:val="16"/>
              </w:rPr>
              <w:t>669.3</w:t>
            </w:r>
          </w:p>
        </w:tc>
        <w:tc>
          <w:tcPr>
            <w:tcW w:w="2814" w:type="dxa"/>
            <w:shd w:val="clear" w:color="auto" w:fill="FFFFFF"/>
            <w:tcMar>
              <w:top w:w="0" w:type="dxa"/>
              <w:left w:w="85" w:type="dxa"/>
              <w:bottom w:w="0" w:type="dxa"/>
              <w:right w:w="85" w:type="dxa"/>
            </w:tcMar>
          </w:tcPr>
          <w:p w14:paraId="00448252" w14:textId="77777777" w:rsidR="00E87995" w:rsidRPr="009E06AA" w:rsidRDefault="00E87995" w:rsidP="00876E40">
            <w:pPr>
              <w:pStyle w:val="TableText"/>
              <w:spacing w:before="40" w:after="30"/>
              <w:jc w:val="right"/>
              <w:rPr>
                <w:szCs w:val="16"/>
              </w:rPr>
            </w:pPr>
            <w:r w:rsidRPr="009E06AA">
              <w:rPr>
                <w:color w:val="000000"/>
                <w:szCs w:val="16"/>
              </w:rPr>
              <w:t>5,</w:t>
            </w:r>
            <w:r w:rsidRPr="009E06AA">
              <w:rPr>
                <w:rFonts w:eastAsia="Calibri" w:cs="Calibri"/>
                <w:color w:val="000000"/>
                <w:szCs w:val="16"/>
              </w:rPr>
              <w:t>222.8</w:t>
            </w:r>
          </w:p>
        </w:tc>
      </w:tr>
      <w:tr w:rsidR="00E87995" w:rsidRPr="009E06AA" w14:paraId="6F5DA211" w14:textId="77777777" w:rsidTr="00B55F24">
        <w:tc>
          <w:tcPr>
            <w:tcW w:w="959" w:type="dxa"/>
            <w:shd w:val="clear" w:color="auto" w:fill="FFFFFF"/>
            <w:tcMar>
              <w:top w:w="0" w:type="dxa"/>
              <w:left w:w="85" w:type="dxa"/>
              <w:bottom w:w="0" w:type="dxa"/>
              <w:right w:w="85" w:type="dxa"/>
            </w:tcMar>
          </w:tcPr>
          <w:p w14:paraId="6E2FB7E3" w14:textId="77777777" w:rsidR="00E87995" w:rsidRPr="009E06AA" w:rsidRDefault="00E87995" w:rsidP="00B55F24">
            <w:pPr>
              <w:pStyle w:val="TableTextBold"/>
              <w:spacing w:before="40" w:after="30"/>
              <w:rPr>
                <w:noProof w:val="0"/>
                <w:szCs w:val="16"/>
              </w:rPr>
            </w:pPr>
            <w:r w:rsidRPr="009E06AA">
              <w:rPr>
                <w:noProof w:val="0"/>
                <w:color w:val="1B556B"/>
                <w:szCs w:val="16"/>
              </w:rPr>
              <w:t>2013</w:t>
            </w:r>
          </w:p>
        </w:tc>
        <w:tc>
          <w:tcPr>
            <w:tcW w:w="1721" w:type="dxa"/>
            <w:shd w:val="clear" w:color="auto" w:fill="FFFFFF"/>
            <w:tcMar>
              <w:top w:w="0" w:type="dxa"/>
              <w:left w:w="85" w:type="dxa"/>
              <w:bottom w:w="0" w:type="dxa"/>
              <w:right w:w="85" w:type="dxa"/>
            </w:tcMar>
          </w:tcPr>
          <w:p w14:paraId="37AE6811"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539.5</w:t>
            </w:r>
          </w:p>
        </w:tc>
        <w:tc>
          <w:tcPr>
            <w:tcW w:w="3001" w:type="dxa"/>
            <w:shd w:val="clear" w:color="auto" w:fill="FFFFFF"/>
            <w:tcMar>
              <w:top w:w="0" w:type="dxa"/>
              <w:left w:w="85" w:type="dxa"/>
              <w:bottom w:w="0" w:type="dxa"/>
              <w:right w:w="85" w:type="dxa"/>
            </w:tcMar>
          </w:tcPr>
          <w:p w14:paraId="38DB1D88" w14:textId="77777777" w:rsidR="00E87995" w:rsidRPr="009E06AA" w:rsidRDefault="00E87995" w:rsidP="00876E40">
            <w:pPr>
              <w:pStyle w:val="TableText"/>
              <w:spacing w:before="40" w:after="30"/>
              <w:jc w:val="right"/>
              <w:rPr>
                <w:szCs w:val="16"/>
              </w:rPr>
            </w:pPr>
            <w:r w:rsidRPr="009E06AA">
              <w:rPr>
                <w:color w:val="000000"/>
                <w:szCs w:val="16"/>
              </w:rPr>
              <w:t>4,776.</w:t>
            </w:r>
            <w:r w:rsidRPr="009E06AA">
              <w:rPr>
                <w:rFonts w:eastAsia="Calibri" w:cs="Calibri"/>
                <w:color w:val="000000"/>
                <w:szCs w:val="16"/>
              </w:rPr>
              <w:t>7</w:t>
            </w:r>
          </w:p>
        </w:tc>
        <w:tc>
          <w:tcPr>
            <w:tcW w:w="2814" w:type="dxa"/>
            <w:shd w:val="clear" w:color="auto" w:fill="FFFFFF"/>
            <w:tcMar>
              <w:top w:w="0" w:type="dxa"/>
              <w:left w:w="85" w:type="dxa"/>
              <w:bottom w:w="0" w:type="dxa"/>
              <w:right w:w="85" w:type="dxa"/>
            </w:tcMar>
          </w:tcPr>
          <w:p w14:paraId="4908BD94" w14:textId="77777777" w:rsidR="00E87995" w:rsidRPr="009E06AA" w:rsidRDefault="00E87995" w:rsidP="00876E40">
            <w:pPr>
              <w:pStyle w:val="TableText"/>
              <w:spacing w:before="40" w:after="30"/>
              <w:jc w:val="right"/>
              <w:rPr>
                <w:szCs w:val="16"/>
              </w:rPr>
            </w:pPr>
            <w:r w:rsidRPr="009E06AA">
              <w:rPr>
                <w:color w:val="000000"/>
                <w:szCs w:val="16"/>
              </w:rPr>
              <w:t>5,</w:t>
            </w:r>
            <w:r w:rsidRPr="009E06AA">
              <w:rPr>
                <w:rFonts w:eastAsia="Calibri" w:cs="Calibri"/>
                <w:color w:val="000000"/>
                <w:szCs w:val="16"/>
              </w:rPr>
              <w:t>316.2</w:t>
            </w:r>
          </w:p>
        </w:tc>
      </w:tr>
      <w:tr w:rsidR="00E87995" w:rsidRPr="009E06AA" w14:paraId="39EBFE8B" w14:textId="77777777" w:rsidTr="00B55F24">
        <w:tc>
          <w:tcPr>
            <w:tcW w:w="959" w:type="dxa"/>
            <w:shd w:val="clear" w:color="auto" w:fill="FFFFFF"/>
            <w:tcMar>
              <w:top w:w="0" w:type="dxa"/>
              <w:left w:w="85" w:type="dxa"/>
              <w:bottom w:w="0" w:type="dxa"/>
              <w:right w:w="85" w:type="dxa"/>
            </w:tcMar>
          </w:tcPr>
          <w:p w14:paraId="761F5511" w14:textId="77777777" w:rsidR="00E87995" w:rsidRPr="009E06AA" w:rsidRDefault="00E87995" w:rsidP="00B55F24">
            <w:pPr>
              <w:pStyle w:val="TableTextBold"/>
              <w:spacing w:before="40" w:after="30"/>
              <w:rPr>
                <w:noProof w:val="0"/>
                <w:szCs w:val="16"/>
              </w:rPr>
            </w:pPr>
            <w:r w:rsidRPr="009E06AA">
              <w:rPr>
                <w:noProof w:val="0"/>
                <w:color w:val="1B556B"/>
                <w:szCs w:val="16"/>
              </w:rPr>
              <w:t>2014</w:t>
            </w:r>
          </w:p>
        </w:tc>
        <w:tc>
          <w:tcPr>
            <w:tcW w:w="1721" w:type="dxa"/>
            <w:shd w:val="clear" w:color="auto" w:fill="FFFFFF"/>
            <w:tcMar>
              <w:top w:w="0" w:type="dxa"/>
              <w:left w:w="85" w:type="dxa"/>
              <w:bottom w:w="0" w:type="dxa"/>
              <w:right w:w="85" w:type="dxa"/>
            </w:tcMar>
          </w:tcPr>
          <w:p w14:paraId="2B0F66C9"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540.1</w:t>
            </w:r>
          </w:p>
        </w:tc>
        <w:tc>
          <w:tcPr>
            <w:tcW w:w="3001" w:type="dxa"/>
            <w:shd w:val="clear" w:color="auto" w:fill="FFFFFF"/>
            <w:tcMar>
              <w:top w:w="0" w:type="dxa"/>
              <w:left w:w="85" w:type="dxa"/>
              <w:bottom w:w="0" w:type="dxa"/>
              <w:right w:w="85" w:type="dxa"/>
            </w:tcMar>
          </w:tcPr>
          <w:p w14:paraId="08E6FF5F" w14:textId="77777777" w:rsidR="00E87995" w:rsidRPr="009E06AA" w:rsidRDefault="00E87995" w:rsidP="00876E40">
            <w:pPr>
              <w:pStyle w:val="TableText"/>
              <w:spacing w:before="40" w:after="30"/>
              <w:jc w:val="right"/>
              <w:rPr>
                <w:szCs w:val="16"/>
              </w:rPr>
            </w:pPr>
            <w:r w:rsidRPr="009E06AA">
              <w:rPr>
                <w:color w:val="000000"/>
                <w:szCs w:val="16"/>
              </w:rPr>
              <w:t>4,</w:t>
            </w:r>
            <w:r w:rsidRPr="009E06AA">
              <w:rPr>
                <w:rFonts w:eastAsia="Calibri" w:cs="Calibri"/>
                <w:color w:val="000000"/>
                <w:szCs w:val="16"/>
              </w:rPr>
              <w:t>907.2</w:t>
            </w:r>
          </w:p>
        </w:tc>
        <w:tc>
          <w:tcPr>
            <w:tcW w:w="2814" w:type="dxa"/>
            <w:shd w:val="clear" w:color="auto" w:fill="FFFFFF"/>
            <w:tcMar>
              <w:top w:w="0" w:type="dxa"/>
              <w:left w:w="85" w:type="dxa"/>
              <w:bottom w:w="0" w:type="dxa"/>
              <w:right w:w="85" w:type="dxa"/>
            </w:tcMar>
          </w:tcPr>
          <w:p w14:paraId="20DF8487" w14:textId="77777777" w:rsidR="00E87995" w:rsidRPr="009E06AA" w:rsidRDefault="00E87995" w:rsidP="00876E40">
            <w:pPr>
              <w:pStyle w:val="TableText"/>
              <w:spacing w:before="40" w:after="30"/>
              <w:jc w:val="right"/>
              <w:rPr>
                <w:szCs w:val="16"/>
              </w:rPr>
            </w:pPr>
            <w:r w:rsidRPr="009E06AA">
              <w:rPr>
                <w:color w:val="000000"/>
                <w:szCs w:val="16"/>
              </w:rPr>
              <w:t>5,</w:t>
            </w:r>
            <w:r w:rsidRPr="009E06AA">
              <w:rPr>
                <w:rFonts w:eastAsia="Calibri" w:cs="Calibri"/>
                <w:color w:val="000000"/>
                <w:szCs w:val="16"/>
              </w:rPr>
              <w:t>447.3</w:t>
            </w:r>
          </w:p>
        </w:tc>
      </w:tr>
      <w:tr w:rsidR="00E87995" w:rsidRPr="009E06AA" w14:paraId="37E21525" w14:textId="77777777" w:rsidTr="00B55F24">
        <w:tc>
          <w:tcPr>
            <w:tcW w:w="959" w:type="dxa"/>
            <w:shd w:val="clear" w:color="auto" w:fill="FFFFFF"/>
            <w:tcMar>
              <w:top w:w="0" w:type="dxa"/>
              <w:left w:w="85" w:type="dxa"/>
              <w:bottom w:w="0" w:type="dxa"/>
              <w:right w:w="85" w:type="dxa"/>
            </w:tcMar>
          </w:tcPr>
          <w:p w14:paraId="2D90E99F" w14:textId="77777777" w:rsidR="00E87995" w:rsidRPr="009E06AA" w:rsidRDefault="00E87995" w:rsidP="00B55F24">
            <w:pPr>
              <w:pStyle w:val="TableTextBold"/>
              <w:spacing w:before="40" w:after="30"/>
              <w:rPr>
                <w:noProof w:val="0"/>
                <w:szCs w:val="16"/>
              </w:rPr>
            </w:pPr>
            <w:r w:rsidRPr="009E06AA">
              <w:rPr>
                <w:noProof w:val="0"/>
                <w:color w:val="1B556B"/>
                <w:szCs w:val="16"/>
              </w:rPr>
              <w:t>2015</w:t>
            </w:r>
          </w:p>
        </w:tc>
        <w:tc>
          <w:tcPr>
            <w:tcW w:w="1721" w:type="dxa"/>
            <w:shd w:val="clear" w:color="auto" w:fill="FFFFFF"/>
            <w:tcMar>
              <w:top w:w="0" w:type="dxa"/>
              <w:left w:w="85" w:type="dxa"/>
              <w:bottom w:w="0" w:type="dxa"/>
              <w:right w:w="85" w:type="dxa"/>
            </w:tcMar>
          </w:tcPr>
          <w:p w14:paraId="2B5F4B69"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526.1</w:t>
            </w:r>
          </w:p>
        </w:tc>
        <w:tc>
          <w:tcPr>
            <w:tcW w:w="3001" w:type="dxa"/>
            <w:shd w:val="clear" w:color="auto" w:fill="FFFFFF"/>
            <w:tcMar>
              <w:top w:w="0" w:type="dxa"/>
              <w:left w:w="85" w:type="dxa"/>
              <w:bottom w:w="0" w:type="dxa"/>
              <w:right w:w="85" w:type="dxa"/>
            </w:tcMar>
          </w:tcPr>
          <w:p w14:paraId="01DCBC09" w14:textId="77777777" w:rsidR="00E87995" w:rsidRPr="009E06AA" w:rsidRDefault="00E87995" w:rsidP="00876E40">
            <w:pPr>
              <w:pStyle w:val="TableText"/>
              <w:spacing w:before="40" w:after="30"/>
              <w:jc w:val="right"/>
              <w:rPr>
                <w:szCs w:val="16"/>
              </w:rPr>
            </w:pPr>
            <w:r w:rsidRPr="009E06AA">
              <w:rPr>
                <w:color w:val="000000"/>
                <w:szCs w:val="16"/>
              </w:rPr>
              <w:t>5,092.8</w:t>
            </w:r>
          </w:p>
        </w:tc>
        <w:tc>
          <w:tcPr>
            <w:tcW w:w="2814" w:type="dxa"/>
            <w:shd w:val="clear" w:color="auto" w:fill="FFFFFF"/>
            <w:tcMar>
              <w:top w:w="0" w:type="dxa"/>
              <w:left w:w="85" w:type="dxa"/>
              <w:bottom w:w="0" w:type="dxa"/>
              <w:right w:w="85" w:type="dxa"/>
            </w:tcMar>
          </w:tcPr>
          <w:p w14:paraId="0C26644A" w14:textId="77777777" w:rsidR="00E87995" w:rsidRPr="009E06AA" w:rsidRDefault="00E87995" w:rsidP="00876E40">
            <w:pPr>
              <w:pStyle w:val="TableText"/>
              <w:spacing w:before="40" w:after="30"/>
              <w:jc w:val="right"/>
              <w:rPr>
                <w:szCs w:val="16"/>
              </w:rPr>
            </w:pPr>
            <w:r w:rsidRPr="009E06AA">
              <w:rPr>
                <w:color w:val="000000"/>
                <w:szCs w:val="16"/>
              </w:rPr>
              <w:t>5,</w:t>
            </w:r>
            <w:r w:rsidRPr="009E06AA">
              <w:rPr>
                <w:rFonts w:eastAsia="Calibri" w:cs="Calibri"/>
                <w:color w:val="000000"/>
                <w:szCs w:val="16"/>
              </w:rPr>
              <w:t>618</w:t>
            </w:r>
            <w:r w:rsidRPr="009E06AA">
              <w:rPr>
                <w:color w:val="000000"/>
                <w:szCs w:val="16"/>
              </w:rPr>
              <w:t>.8</w:t>
            </w:r>
          </w:p>
        </w:tc>
      </w:tr>
      <w:tr w:rsidR="00E87995" w:rsidRPr="009E06AA" w14:paraId="6C7B71DB" w14:textId="77777777" w:rsidTr="00B55F24">
        <w:tc>
          <w:tcPr>
            <w:tcW w:w="959" w:type="dxa"/>
            <w:shd w:val="clear" w:color="auto" w:fill="FFFFFF"/>
            <w:tcMar>
              <w:top w:w="0" w:type="dxa"/>
              <w:left w:w="85" w:type="dxa"/>
              <w:bottom w:w="0" w:type="dxa"/>
              <w:right w:w="85" w:type="dxa"/>
            </w:tcMar>
          </w:tcPr>
          <w:p w14:paraId="775207FE" w14:textId="77777777" w:rsidR="00E87995" w:rsidRPr="009E06AA" w:rsidRDefault="00E87995" w:rsidP="00B55F24">
            <w:pPr>
              <w:pStyle w:val="TableTextBold"/>
              <w:spacing w:before="40" w:after="30"/>
              <w:rPr>
                <w:noProof w:val="0"/>
                <w:szCs w:val="16"/>
              </w:rPr>
            </w:pPr>
            <w:r w:rsidRPr="009E06AA">
              <w:rPr>
                <w:noProof w:val="0"/>
                <w:color w:val="1B556B"/>
                <w:szCs w:val="16"/>
              </w:rPr>
              <w:t>2016</w:t>
            </w:r>
          </w:p>
        </w:tc>
        <w:tc>
          <w:tcPr>
            <w:tcW w:w="1721" w:type="dxa"/>
            <w:shd w:val="clear" w:color="auto" w:fill="FFFFFF"/>
            <w:tcMar>
              <w:top w:w="0" w:type="dxa"/>
              <w:left w:w="85" w:type="dxa"/>
              <w:bottom w:w="0" w:type="dxa"/>
              <w:right w:w="85" w:type="dxa"/>
            </w:tcMar>
          </w:tcPr>
          <w:p w14:paraId="21098AD8"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528.2</w:t>
            </w:r>
          </w:p>
        </w:tc>
        <w:tc>
          <w:tcPr>
            <w:tcW w:w="3001" w:type="dxa"/>
            <w:shd w:val="clear" w:color="auto" w:fill="FFFFFF"/>
            <w:tcMar>
              <w:top w:w="0" w:type="dxa"/>
              <w:left w:w="85" w:type="dxa"/>
              <w:bottom w:w="0" w:type="dxa"/>
              <w:right w:w="85" w:type="dxa"/>
            </w:tcMar>
          </w:tcPr>
          <w:p w14:paraId="062045C8" w14:textId="77777777" w:rsidR="00E87995" w:rsidRPr="009E06AA" w:rsidRDefault="00E87995" w:rsidP="00876E40">
            <w:pPr>
              <w:pStyle w:val="TableText"/>
              <w:spacing w:before="40" w:after="30"/>
              <w:jc w:val="right"/>
              <w:rPr>
                <w:szCs w:val="16"/>
              </w:rPr>
            </w:pPr>
            <w:r w:rsidRPr="009E06AA">
              <w:rPr>
                <w:color w:val="000000"/>
                <w:szCs w:val="16"/>
              </w:rPr>
              <w:t>5,092.8</w:t>
            </w:r>
          </w:p>
        </w:tc>
        <w:tc>
          <w:tcPr>
            <w:tcW w:w="2814" w:type="dxa"/>
            <w:shd w:val="clear" w:color="auto" w:fill="FFFFFF"/>
            <w:tcMar>
              <w:top w:w="0" w:type="dxa"/>
              <w:left w:w="85" w:type="dxa"/>
              <w:bottom w:w="0" w:type="dxa"/>
              <w:right w:w="85" w:type="dxa"/>
            </w:tcMar>
          </w:tcPr>
          <w:p w14:paraId="1F21BDCF" w14:textId="77777777" w:rsidR="00E87995" w:rsidRPr="009E06AA" w:rsidRDefault="00E87995" w:rsidP="00876E40">
            <w:pPr>
              <w:pStyle w:val="TableText"/>
              <w:spacing w:before="40" w:after="30"/>
              <w:jc w:val="right"/>
              <w:rPr>
                <w:szCs w:val="16"/>
              </w:rPr>
            </w:pPr>
            <w:r w:rsidRPr="009E06AA">
              <w:rPr>
                <w:color w:val="000000"/>
                <w:szCs w:val="16"/>
              </w:rPr>
              <w:t>5,</w:t>
            </w:r>
            <w:r w:rsidRPr="009E06AA">
              <w:rPr>
                <w:rFonts w:eastAsia="Calibri" w:cs="Calibri"/>
                <w:color w:val="000000"/>
                <w:szCs w:val="16"/>
              </w:rPr>
              <w:t>621.0</w:t>
            </w:r>
          </w:p>
        </w:tc>
      </w:tr>
      <w:tr w:rsidR="00E87995" w:rsidRPr="009E06AA" w14:paraId="54C7825C" w14:textId="77777777" w:rsidTr="00B55F24">
        <w:tc>
          <w:tcPr>
            <w:tcW w:w="959" w:type="dxa"/>
            <w:shd w:val="clear" w:color="auto" w:fill="FFFFFF"/>
            <w:tcMar>
              <w:top w:w="0" w:type="dxa"/>
              <w:left w:w="85" w:type="dxa"/>
              <w:bottom w:w="0" w:type="dxa"/>
              <w:right w:w="85" w:type="dxa"/>
            </w:tcMar>
          </w:tcPr>
          <w:p w14:paraId="56CBDF96" w14:textId="77777777" w:rsidR="00E87995" w:rsidRPr="009E06AA" w:rsidRDefault="00E87995" w:rsidP="00B55F24">
            <w:pPr>
              <w:pStyle w:val="TableTextBold"/>
              <w:spacing w:before="40" w:after="30"/>
              <w:rPr>
                <w:noProof w:val="0"/>
                <w:szCs w:val="16"/>
              </w:rPr>
            </w:pPr>
            <w:r w:rsidRPr="009E06AA">
              <w:rPr>
                <w:noProof w:val="0"/>
                <w:color w:val="1B556B"/>
                <w:szCs w:val="16"/>
              </w:rPr>
              <w:t>2017</w:t>
            </w:r>
          </w:p>
        </w:tc>
        <w:tc>
          <w:tcPr>
            <w:tcW w:w="1721" w:type="dxa"/>
            <w:shd w:val="clear" w:color="auto" w:fill="FFFFFF"/>
            <w:tcMar>
              <w:top w:w="0" w:type="dxa"/>
              <w:left w:w="85" w:type="dxa"/>
              <w:bottom w:w="0" w:type="dxa"/>
              <w:right w:w="85" w:type="dxa"/>
            </w:tcMar>
          </w:tcPr>
          <w:p w14:paraId="664D4F3D"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498.7</w:t>
            </w:r>
          </w:p>
        </w:tc>
        <w:tc>
          <w:tcPr>
            <w:tcW w:w="3001" w:type="dxa"/>
            <w:shd w:val="clear" w:color="auto" w:fill="FFFFFF"/>
            <w:tcMar>
              <w:top w:w="0" w:type="dxa"/>
              <w:left w:w="85" w:type="dxa"/>
              <w:bottom w:w="0" w:type="dxa"/>
              <w:right w:w="85" w:type="dxa"/>
            </w:tcMar>
          </w:tcPr>
          <w:p w14:paraId="3EE5B785" w14:textId="77777777" w:rsidR="00E87995" w:rsidRPr="009E06AA" w:rsidRDefault="00E87995" w:rsidP="00876E40">
            <w:pPr>
              <w:pStyle w:val="TableText"/>
              <w:spacing w:before="40" w:after="30"/>
              <w:jc w:val="right"/>
              <w:rPr>
                <w:szCs w:val="16"/>
              </w:rPr>
            </w:pPr>
            <w:r w:rsidRPr="009E06AA">
              <w:rPr>
                <w:color w:val="000000"/>
                <w:szCs w:val="16"/>
              </w:rPr>
              <w:t>5,092.8</w:t>
            </w:r>
          </w:p>
        </w:tc>
        <w:tc>
          <w:tcPr>
            <w:tcW w:w="2814" w:type="dxa"/>
            <w:shd w:val="clear" w:color="auto" w:fill="FFFFFF"/>
            <w:tcMar>
              <w:top w:w="0" w:type="dxa"/>
              <w:left w:w="85" w:type="dxa"/>
              <w:bottom w:w="0" w:type="dxa"/>
              <w:right w:w="85" w:type="dxa"/>
            </w:tcMar>
          </w:tcPr>
          <w:p w14:paraId="0DBE336D" w14:textId="77777777" w:rsidR="00E87995" w:rsidRPr="009E06AA" w:rsidRDefault="00E87995" w:rsidP="00876E40">
            <w:pPr>
              <w:pStyle w:val="TableText"/>
              <w:spacing w:before="40" w:after="30"/>
              <w:jc w:val="right"/>
              <w:rPr>
                <w:szCs w:val="16"/>
              </w:rPr>
            </w:pPr>
            <w:r w:rsidRPr="009E06AA">
              <w:rPr>
                <w:color w:val="000000"/>
                <w:szCs w:val="16"/>
              </w:rPr>
              <w:t>5,</w:t>
            </w:r>
            <w:r w:rsidRPr="009E06AA">
              <w:rPr>
                <w:rFonts w:eastAsia="Calibri" w:cs="Calibri"/>
                <w:color w:val="000000"/>
                <w:szCs w:val="16"/>
              </w:rPr>
              <w:t>591.5</w:t>
            </w:r>
          </w:p>
        </w:tc>
      </w:tr>
      <w:tr w:rsidR="00E87995" w:rsidRPr="009E06AA" w14:paraId="66BA76B7" w14:textId="77777777" w:rsidTr="00B55F24">
        <w:tc>
          <w:tcPr>
            <w:tcW w:w="959" w:type="dxa"/>
            <w:shd w:val="clear" w:color="auto" w:fill="FFFFFF"/>
            <w:tcMar>
              <w:top w:w="0" w:type="dxa"/>
              <w:left w:w="85" w:type="dxa"/>
              <w:bottom w:w="0" w:type="dxa"/>
              <w:right w:w="85" w:type="dxa"/>
            </w:tcMar>
          </w:tcPr>
          <w:p w14:paraId="04E0F23F" w14:textId="77777777" w:rsidR="00E87995" w:rsidRPr="009E06AA" w:rsidRDefault="00E87995" w:rsidP="00B55F24">
            <w:pPr>
              <w:pStyle w:val="TableTextBold"/>
              <w:spacing w:before="40" w:after="30"/>
              <w:rPr>
                <w:noProof w:val="0"/>
                <w:szCs w:val="16"/>
              </w:rPr>
            </w:pPr>
            <w:r w:rsidRPr="009E06AA">
              <w:rPr>
                <w:noProof w:val="0"/>
                <w:color w:val="1B556B"/>
                <w:szCs w:val="16"/>
              </w:rPr>
              <w:t>2018</w:t>
            </w:r>
          </w:p>
        </w:tc>
        <w:tc>
          <w:tcPr>
            <w:tcW w:w="1721" w:type="dxa"/>
            <w:shd w:val="clear" w:color="auto" w:fill="FFFFFF"/>
            <w:tcMar>
              <w:top w:w="0" w:type="dxa"/>
              <w:left w:w="85" w:type="dxa"/>
              <w:bottom w:w="0" w:type="dxa"/>
              <w:right w:w="85" w:type="dxa"/>
            </w:tcMar>
          </w:tcPr>
          <w:p w14:paraId="44BA00CD"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483.8</w:t>
            </w:r>
          </w:p>
        </w:tc>
        <w:tc>
          <w:tcPr>
            <w:tcW w:w="3001" w:type="dxa"/>
            <w:shd w:val="clear" w:color="auto" w:fill="FFFFFF"/>
            <w:tcMar>
              <w:top w:w="0" w:type="dxa"/>
              <w:left w:w="85" w:type="dxa"/>
              <w:bottom w:w="0" w:type="dxa"/>
              <w:right w:w="85" w:type="dxa"/>
            </w:tcMar>
          </w:tcPr>
          <w:p w14:paraId="2EBD8EDE" w14:textId="77777777" w:rsidR="00E87995" w:rsidRPr="009E06AA" w:rsidRDefault="00E87995" w:rsidP="00876E40">
            <w:pPr>
              <w:pStyle w:val="TableText"/>
              <w:spacing w:before="40" w:after="30"/>
              <w:jc w:val="right"/>
              <w:rPr>
                <w:szCs w:val="16"/>
              </w:rPr>
            </w:pPr>
            <w:r w:rsidRPr="009E06AA">
              <w:rPr>
                <w:color w:val="000000"/>
                <w:szCs w:val="16"/>
              </w:rPr>
              <w:t>5,092.8</w:t>
            </w:r>
          </w:p>
        </w:tc>
        <w:tc>
          <w:tcPr>
            <w:tcW w:w="2814" w:type="dxa"/>
            <w:shd w:val="clear" w:color="auto" w:fill="FFFFFF"/>
            <w:tcMar>
              <w:top w:w="0" w:type="dxa"/>
              <w:left w:w="85" w:type="dxa"/>
              <w:bottom w:w="0" w:type="dxa"/>
              <w:right w:w="85" w:type="dxa"/>
            </w:tcMar>
          </w:tcPr>
          <w:p w14:paraId="391E9EAF" w14:textId="77777777" w:rsidR="00E87995" w:rsidRPr="009E06AA" w:rsidRDefault="00E87995" w:rsidP="00876E40">
            <w:pPr>
              <w:pStyle w:val="TableText"/>
              <w:spacing w:before="40" w:after="30"/>
              <w:jc w:val="right"/>
              <w:rPr>
                <w:szCs w:val="16"/>
              </w:rPr>
            </w:pPr>
            <w:r w:rsidRPr="009E06AA">
              <w:rPr>
                <w:color w:val="000000"/>
                <w:szCs w:val="16"/>
              </w:rPr>
              <w:t>5,</w:t>
            </w:r>
            <w:r w:rsidRPr="009E06AA">
              <w:rPr>
                <w:rFonts w:eastAsia="Calibri" w:cs="Calibri"/>
                <w:color w:val="000000"/>
                <w:szCs w:val="16"/>
              </w:rPr>
              <w:t>576.6</w:t>
            </w:r>
          </w:p>
        </w:tc>
      </w:tr>
      <w:tr w:rsidR="00E87995" w:rsidRPr="009E06AA" w14:paraId="2AD2CB82" w14:textId="77777777" w:rsidTr="00B55F24">
        <w:tc>
          <w:tcPr>
            <w:tcW w:w="959" w:type="dxa"/>
            <w:shd w:val="clear" w:color="auto" w:fill="FFFFFF"/>
            <w:tcMar>
              <w:top w:w="0" w:type="dxa"/>
              <w:left w:w="85" w:type="dxa"/>
              <w:bottom w:w="0" w:type="dxa"/>
              <w:right w:w="85" w:type="dxa"/>
            </w:tcMar>
          </w:tcPr>
          <w:p w14:paraId="1A692DD7" w14:textId="77777777" w:rsidR="00E87995" w:rsidRPr="009E06AA" w:rsidRDefault="00E87995" w:rsidP="00B55F24">
            <w:pPr>
              <w:pStyle w:val="TableTextBold"/>
              <w:spacing w:before="40" w:after="30"/>
              <w:rPr>
                <w:noProof w:val="0"/>
                <w:szCs w:val="16"/>
              </w:rPr>
            </w:pPr>
            <w:r w:rsidRPr="009E06AA">
              <w:rPr>
                <w:noProof w:val="0"/>
                <w:color w:val="1B556B"/>
                <w:szCs w:val="16"/>
              </w:rPr>
              <w:t>2019</w:t>
            </w:r>
          </w:p>
        </w:tc>
        <w:tc>
          <w:tcPr>
            <w:tcW w:w="1721" w:type="dxa"/>
            <w:shd w:val="clear" w:color="auto" w:fill="FFFFFF"/>
            <w:tcMar>
              <w:top w:w="0" w:type="dxa"/>
              <w:left w:w="85" w:type="dxa"/>
              <w:bottom w:w="0" w:type="dxa"/>
              <w:right w:w="85" w:type="dxa"/>
            </w:tcMar>
          </w:tcPr>
          <w:p w14:paraId="50103F09"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472.4</w:t>
            </w:r>
          </w:p>
        </w:tc>
        <w:tc>
          <w:tcPr>
            <w:tcW w:w="3001" w:type="dxa"/>
            <w:shd w:val="clear" w:color="auto" w:fill="FFFFFF"/>
            <w:tcMar>
              <w:top w:w="0" w:type="dxa"/>
              <w:left w:w="85" w:type="dxa"/>
              <w:bottom w:w="0" w:type="dxa"/>
              <w:right w:w="85" w:type="dxa"/>
            </w:tcMar>
          </w:tcPr>
          <w:p w14:paraId="1A4F2360" w14:textId="77777777" w:rsidR="00E87995" w:rsidRPr="009E06AA" w:rsidRDefault="00E87995" w:rsidP="00876E40">
            <w:pPr>
              <w:pStyle w:val="TableText"/>
              <w:spacing w:before="40" w:after="30"/>
              <w:jc w:val="right"/>
              <w:rPr>
                <w:szCs w:val="16"/>
              </w:rPr>
            </w:pPr>
            <w:r w:rsidRPr="009E06AA">
              <w:rPr>
                <w:color w:val="000000"/>
                <w:szCs w:val="16"/>
              </w:rPr>
              <w:t>5,092.8</w:t>
            </w:r>
          </w:p>
        </w:tc>
        <w:tc>
          <w:tcPr>
            <w:tcW w:w="2814" w:type="dxa"/>
            <w:shd w:val="clear" w:color="auto" w:fill="FFFFFF"/>
            <w:tcMar>
              <w:top w:w="0" w:type="dxa"/>
              <w:left w:w="85" w:type="dxa"/>
              <w:bottom w:w="0" w:type="dxa"/>
              <w:right w:w="85" w:type="dxa"/>
            </w:tcMar>
          </w:tcPr>
          <w:p w14:paraId="690CCAF3" w14:textId="77777777" w:rsidR="00E87995" w:rsidRPr="009E06AA" w:rsidRDefault="00E87995" w:rsidP="00876E40">
            <w:pPr>
              <w:pStyle w:val="TableText"/>
              <w:spacing w:before="40" w:after="30"/>
              <w:jc w:val="right"/>
              <w:rPr>
                <w:szCs w:val="16"/>
              </w:rPr>
            </w:pPr>
            <w:r w:rsidRPr="009E06AA">
              <w:rPr>
                <w:color w:val="000000"/>
                <w:szCs w:val="16"/>
              </w:rPr>
              <w:t>5,</w:t>
            </w:r>
            <w:r w:rsidRPr="009E06AA">
              <w:rPr>
                <w:rFonts w:eastAsia="Calibri" w:cs="Calibri"/>
                <w:color w:val="000000"/>
                <w:szCs w:val="16"/>
              </w:rPr>
              <w:t>565.1</w:t>
            </w:r>
          </w:p>
        </w:tc>
      </w:tr>
      <w:tr w:rsidR="00E87995" w:rsidRPr="009E06AA" w14:paraId="5A191109" w14:textId="77777777" w:rsidTr="00B55F24">
        <w:tc>
          <w:tcPr>
            <w:tcW w:w="959" w:type="dxa"/>
            <w:shd w:val="clear" w:color="auto" w:fill="FFFFFF"/>
            <w:tcMar>
              <w:top w:w="0" w:type="dxa"/>
              <w:left w:w="85" w:type="dxa"/>
              <w:bottom w:w="0" w:type="dxa"/>
              <w:right w:w="85" w:type="dxa"/>
            </w:tcMar>
          </w:tcPr>
          <w:p w14:paraId="73D5FE09" w14:textId="77777777" w:rsidR="00E87995" w:rsidRPr="009E06AA" w:rsidRDefault="00E87995" w:rsidP="00B55F24">
            <w:pPr>
              <w:pStyle w:val="TableTextBold"/>
              <w:spacing w:before="40" w:after="30"/>
              <w:rPr>
                <w:noProof w:val="0"/>
                <w:szCs w:val="16"/>
              </w:rPr>
            </w:pPr>
            <w:r w:rsidRPr="009E06AA">
              <w:rPr>
                <w:noProof w:val="0"/>
                <w:color w:val="1B556B"/>
                <w:szCs w:val="16"/>
              </w:rPr>
              <w:t>2020</w:t>
            </w:r>
          </w:p>
        </w:tc>
        <w:tc>
          <w:tcPr>
            <w:tcW w:w="1721" w:type="dxa"/>
            <w:shd w:val="clear" w:color="auto" w:fill="FFFFFF"/>
            <w:tcMar>
              <w:top w:w="0" w:type="dxa"/>
              <w:left w:w="85" w:type="dxa"/>
              <w:bottom w:w="0" w:type="dxa"/>
              <w:right w:w="85" w:type="dxa"/>
            </w:tcMar>
          </w:tcPr>
          <w:p w14:paraId="737F87DE" w14:textId="77777777" w:rsidR="00E87995" w:rsidRPr="009E06AA" w:rsidRDefault="00E87995" w:rsidP="00876E40">
            <w:pPr>
              <w:pStyle w:val="TableText"/>
              <w:spacing w:before="40" w:after="30"/>
              <w:jc w:val="right"/>
              <w:rPr>
                <w:szCs w:val="16"/>
              </w:rPr>
            </w:pPr>
            <w:r w:rsidRPr="009E06AA">
              <w:rPr>
                <w:color w:val="000000"/>
                <w:szCs w:val="16"/>
              </w:rPr>
              <w:t>470.0</w:t>
            </w:r>
          </w:p>
        </w:tc>
        <w:tc>
          <w:tcPr>
            <w:tcW w:w="3001" w:type="dxa"/>
            <w:shd w:val="clear" w:color="auto" w:fill="FFFFFF"/>
            <w:tcMar>
              <w:top w:w="0" w:type="dxa"/>
              <w:left w:w="85" w:type="dxa"/>
              <w:bottom w:w="0" w:type="dxa"/>
              <w:right w:w="85" w:type="dxa"/>
            </w:tcMar>
          </w:tcPr>
          <w:p w14:paraId="7E8C3F5D" w14:textId="77777777" w:rsidR="00E87995" w:rsidRPr="009E06AA" w:rsidRDefault="00E87995" w:rsidP="00876E40">
            <w:pPr>
              <w:pStyle w:val="TableText"/>
              <w:spacing w:before="40" w:after="30"/>
              <w:jc w:val="right"/>
              <w:rPr>
                <w:szCs w:val="16"/>
              </w:rPr>
            </w:pPr>
            <w:r w:rsidRPr="009E06AA">
              <w:rPr>
                <w:color w:val="000000"/>
                <w:szCs w:val="16"/>
              </w:rPr>
              <w:t>5,092.8</w:t>
            </w:r>
          </w:p>
        </w:tc>
        <w:tc>
          <w:tcPr>
            <w:tcW w:w="2814" w:type="dxa"/>
            <w:shd w:val="clear" w:color="auto" w:fill="FFFFFF"/>
            <w:tcMar>
              <w:top w:w="0" w:type="dxa"/>
              <w:left w:w="85" w:type="dxa"/>
              <w:bottom w:w="0" w:type="dxa"/>
              <w:right w:w="85" w:type="dxa"/>
            </w:tcMar>
          </w:tcPr>
          <w:p w14:paraId="6567CC64" w14:textId="77777777" w:rsidR="00E87995" w:rsidRPr="009E06AA" w:rsidRDefault="00E87995" w:rsidP="00876E40">
            <w:pPr>
              <w:pStyle w:val="TableText"/>
              <w:spacing w:before="40" w:after="30"/>
              <w:jc w:val="right"/>
              <w:rPr>
                <w:szCs w:val="16"/>
              </w:rPr>
            </w:pPr>
            <w:r w:rsidRPr="009E06AA">
              <w:rPr>
                <w:color w:val="000000"/>
                <w:szCs w:val="16"/>
              </w:rPr>
              <w:t>5,</w:t>
            </w:r>
            <w:r w:rsidRPr="009E06AA">
              <w:rPr>
                <w:rFonts w:eastAsia="Calibri" w:cs="Calibri"/>
                <w:color w:val="000000"/>
                <w:szCs w:val="16"/>
              </w:rPr>
              <w:t>562.7</w:t>
            </w:r>
          </w:p>
        </w:tc>
      </w:tr>
      <w:tr w:rsidR="00E87995" w:rsidRPr="009E06AA" w14:paraId="21196845" w14:textId="77777777" w:rsidTr="00B55F24">
        <w:tc>
          <w:tcPr>
            <w:tcW w:w="959" w:type="dxa"/>
            <w:shd w:val="clear" w:color="auto" w:fill="FFFFFF"/>
            <w:tcMar>
              <w:top w:w="0" w:type="dxa"/>
              <w:left w:w="85" w:type="dxa"/>
              <w:bottom w:w="0" w:type="dxa"/>
              <w:right w:w="85" w:type="dxa"/>
            </w:tcMar>
          </w:tcPr>
          <w:p w14:paraId="0EAF7804" w14:textId="77777777" w:rsidR="00E87995" w:rsidRPr="009E06AA" w:rsidRDefault="00E87995" w:rsidP="00B55F24">
            <w:pPr>
              <w:pStyle w:val="TableTextBold"/>
              <w:spacing w:before="40" w:after="30"/>
              <w:rPr>
                <w:noProof w:val="0"/>
                <w:szCs w:val="16"/>
              </w:rPr>
            </w:pPr>
            <w:r w:rsidRPr="009E06AA">
              <w:rPr>
                <w:noProof w:val="0"/>
                <w:color w:val="1B556B"/>
                <w:szCs w:val="16"/>
              </w:rPr>
              <w:t>2021</w:t>
            </w:r>
          </w:p>
        </w:tc>
        <w:tc>
          <w:tcPr>
            <w:tcW w:w="1721" w:type="dxa"/>
            <w:shd w:val="clear" w:color="auto" w:fill="FFFFFF"/>
            <w:tcMar>
              <w:top w:w="0" w:type="dxa"/>
              <w:left w:w="85" w:type="dxa"/>
              <w:bottom w:w="0" w:type="dxa"/>
              <w:right w:w="85" w:type="dxa"/>
            </w:tcMar>
          </w:tcPr>
          <w:p w14:paraId="7C9BDA96"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474.3</w:t>
            </w:r>
          </w:p>
        </w:tc>
        <w:tc>
          <w:tcPr>
            <w:tcW w:w="3001" w:type="dxa"/>
            <w:shd w:val="clear" w:color="auto" w:fill="FFFFFF"/>
            <w:tcMar>
              <w:top w:w="0" w:type="dxa"/>
              <w:left w:w="85" w:type="dxa"/>
              <w:bottom w:w="0" w:type="dxa"/>
              <w:right w:w="85" w:type="dxa"/>
            </w:tcMar>
          </w:tcPr>
          <w:p w14:paraId="021DA1FC" w14:textId="77777777" w:rsidR="00E87995" w:rsidRPr="009E06AA" w:rsidRDefault="00E87995" w:rsidP="00876E40">
            <w:pPr>
              <w:pStyle w:val="TableText"/>
              <w:spacing w:before="40" w:after="30"/>
              <w:jc w:val="right"/>
              <w:rPr>
                <w:szCs w:val="16"/>
              </w:rPr>
            </w:pPr>
            <w:r w:rsidRPr="009E06AA">
              <w:rPr>
                <w:color w:val="000000"/>
                <w:szCs w:val="16"/>
              </w:rPr>
              <w:t>5,092.8</w:t>
            </w:r>
          </w:p>
        </w:tc>
        <w:tc>
          <w:tcPr>
            <w:tcW w:w="2814" w:type="dxa"/>
            <w:shd w:val="clear" w:color="auto" w:fill="FFFFFF"/>
            <w:tcMar>
              <w:top w:w="0" w:type="dxa"/>
              <w:left w:w="85" w:type="dxa"/>
              <w:bottom w:w="0" w:type="dxa"/>
              <w:right w:w="85" w:type="dxa"/>
            </w:tcMar>
          </w:tcPr>
          <w:p w14:paraId="45DBECD4" w14:textId="77777777" w:rsidR="00E87995" w:rsidRPr="009E06AA" w:rsidRDefault="00E87995" w:rsidP="00876E40">
            <w:pPr>
              <w:pStyle w:val="TableText"/>
              <w:spacing w:before="40" w:after="30"/>
              <w:jc w:val="right"/>
              <w:rPr>
                <w:szCs w:val="16"/>
              </w:rPr>
            </w:pPr>
            <w:r w:rsidRPr="009E06AA">
              <w:rPr>
                <w:color w:val="000000"/>
                <w:szCs w:val="16"/>
              </w:rPr>
              <w:t>5,</w:t>
            </w:r>
            <w:r w:rsidRPr="009E06AA">
              <w:rPr>
                <w:rFonts w:eastAsia="Calibri" w:cs="Calibri"/>
                <w:color w:val="000000"/>
                <w:szCs w:val="16"/>
              </w:rPr>
              <w:t>567.0</w:t>
            </w:r>
          </w:p>
        </w:tc>
      </w:tr>
      <w:tr w:rsidR="00E87995" w:rsidRPr="009E06AA" w14:paraId="0ECAF45D" w14:textId="77777777" w:rsidTr="00B55F24">
        <w:tc>
          <w:tcPr>
            <w:tcW w:w="959" w:type="dxa"/>
            <w:shd w:val="clear" w:color="auto" w:fill="FFFFFF"/>
            <w:tcMar>
              <w:top w:w="0" w:type="dxa"/>
              <w:left w:w="85" w:type="dxa"/>
              <w:bottom w:w="0" w:type="dxa"/>
              <w:right w:w="85" w:type="dxa"/>
            </w:tcMar>
          </w:tcPr>
          <w:p w14:paraId="66C1F515" w14:textId="77777777" w:rsidR="00E87995" w:rsidRPr="009E06AA" w:rsidRDefault="00E87995" w:rsidP="00B55F24">
            <w:pPr>
              <w:pStyle w:val="TableTextBold"/>
              <w:spacing w:before="40" w:after="30"/>
              <w:rPr>
                <w:noProof w:val="0"/>
                <w:szCs w:val="16"/>
              </w:rPr>
            </w:pPr>
            <w:r w:rsidRPr="009E06AA">
              <w:rPr>
                <w:rFonts w:eastAsia="Calibri" w:cs="Calibri"/>
                <w:noProof w:val="0"/>
                <w:color w:val="1B556B"/>
                <w:szCs w:val="16"/>
              </w:rPr>
              <w:t>2022</w:t>
            </w:r>
          </w:p>
        </w:tc>
        <w:tc>
          <w:tcPr>
            <w:tcW w:w="1721" w:type="dxa"/>
            <w:shd w:val="clear" w:color="auto" w:fill="FFFFFF"/>
            <w:tcMar>
              <w:top w:w="0" w:type="dxa"/>
              <w:left w:w="85" w:type="dxa"/>
              <w:bottom w:w="0" w:type="dxa"/>
              <w:right w:w="85" w:type="dxa"/>
            </w:tcMar>
          </w:tcPr>
          <w:p w14:paraId="39E4148D"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449.9</w:t>
            </w:r>
          </w:p>
        </w:tc>
        <w:tc>
          <w:tcPr>
            <w:tcW w:w="3001" w:type="dxa"/>
            <w:shd w:val="clear" w:color="auto" w:fill="FFFFFF"/>
            <w:tcMar>
              <w:top w:w="0" w:type="dxa"/>
              <w:left w:w="85" w:type="dxa"/>
              <w:bottom w:w="0" w:type="dxa"/>
              <w:right w:w="85" w:type="dxa"/>
            </w:tcMar>
          </w:tcPr>
          <w:p w14:paraId="7DF52A9A"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5,092.8</w:t>
            </w:r>
          </w:p>
        </w:tc>
        <w:tc>
          <w:tcPr>
            <w:tcW w:w="2814" w:type="dxa"/>
            <w:shd w:val="clear" w:color="auto" w:fill="FFFFFF"/>
            <w:tcMar>
              <w:top w:w="0" w:type="dxa"/>
              <w:left w:w="85" w:type="dxa"/>
              <w:bottom w:w="0" w:type="dxa"/>
              <w:right w:w="85" w:type="dxa"/>
            </w:tcMar>
          </w:tcPr>
          <w:p w14:paraId="41705DCA" w14:textId="77777777" w:rsidR="00E87995" w:rsidRPr="009E06AA" w:rsidRDefault="00E87995" w:rsidP="00876E40">
            <w:pPr>
              <w:pStyle w:val="TableText"/>
              <w:spacing w:before="40" w:after="30"/>
              <w:jc w:val="right"/>
              <w:rPr>
                <w:szCs w:val="16"/>
              </w:rPr>
            </w:pPr>
            <w:r w:rsidRPr="009E06AA">
              <w:rPr>
                <w:rFonts w:eastAsia="Calibri" w:cs="Calibri"/>
                <w:color w:val="000000"/>
                <w:szCs w:val="16"/>
              </w:rPr>
              <w:t>5,542.6</w:t>
            </w:r>
          </w:p>
        </w:tc>
      </w:tr>
    </w:tbl>
    <w:p w14:paraId="1B0D4F6E" w14:textId="77777777" w:rsidR="00E87995" w:rsidRPr="009E06AA" w:rsidRDefault="00E87995" w:rsidP="00E87995">
      <w:pPr>
        <w:pStyle w:val="Noteundertable"/>
        <w:spacing w:after="80"/>
      </w:pPr>
      <w:r w:rsidRPr="009E06AA">
        <w:rPr>
          <w:b/>
          <w:bCs/>
        </w:rPr>
        <w:t>Note:</w:t>
      </w:r>
      <w:r w:rsidRPr="009E06AA">
        <w:tab/>
        <w:t>Columns may not total due to rounding. It is assumed that an equal and additional amount of farm waste that is buried in farm fills is burned (see section 7.4).</w:t>
      </w:r>
    </w:p>
    <w:p w14:paraId="68ACF8EA" w14:textId="77777777" w:rsidR="00E87995" w:rsidRPr="009E06AA" w:rsidRDefault="00E87995" w:rsidP="00E87995">
      <w:pPr>
        <w:pStyle w:val="Heading4"/>
      </w:pPr>
      <w:bookmarkStart w:id="2831" w:name="choice-of-methods"/>
      <w:bookmarkEnd w:id="2813"/>
      <w:bookmarkEnd w:id="2825"/>
      <w:r w:rsidRPr="009E06AA">
        <w:t>Choice of methods</w:t>
      </w:r>
    </w:p>
    <w:p w14:paraId="4ED60D90" w14:textId="77777777" w:rsidR="00E87995" w:rsidRPr="009E06AA" w:rsidRDefault="00E87995" w:rsidP="00E87995">
      <w:pPr>
        <w:pStyle w:val="BodyText"/>
        <w:spacing w:before="100" w:after="100"/>
      </w:pPr>
      <w:r w:rsidRPr="009E06AA">
        <w:t>Estimations of CH</w:t>
      </w:r>
      <w:r w:rsidRPr="009E06AA">
        <w:rPr>
          <w:vertAlign w:val="subscript"/>
        </w:rPr>
        <w:t>4</w:t>
      </w:r>
      <w:r w:rsidRPr="009E06AA">
        <w:t xml:space="preserve"> emissions from </w:t>
      </w:r>
      <w:r w:rsidRPr="009E06AA">
        <w:rPr>
          <w:i/>
          <w:iCs/>
        </w:rPr>
        <w:t>Solid waste disposal</w:t>
      </w:r>
      <w:r w:rsidRPr="009E06AA">
        <w:t xml:space="preserve"> to land were calculated using the first order decay (FOD) model. This is the Tier 2 method from the 2006 IPCC Guidelines (IPCC, 2006a).</w:t>
      </w:r>
    </w:p>
    <w:p w14:paraId="04D31E04" w14:textId="77777777" w:rsidR="00E87995" w:rsidRPr="009E06AA" w:rsidRDefault="00E87995" w:rsidP="00BF2A76">
      <w:pPr>
        <w:pStyle w:val="Heading5"/>
      </w:pPr>
      <w:bookmarkStart w:id="2832" w:name="municipal-landfills-5.a.1.a"/>
      <w:r w:rsidRPr="009E06AA">
        <w:t>Municipal landfills (5.A.1.a)</w:t>
      </w:r>
    </w:p>
    <w:p w14:paraId="3233249E" w14:textId="77777777" w:rsidR="00E87995" w:rsidRPr="009E06AA" w:rsidRDefault="00E87995" w:rsidP="00E87995">
      <w:pPr>
        <w:pStyle w:val="BodyText"/>
        <w:spacing w:before="100" w:after="100"/>
      </w:pPr>
      <w:r w:rsidRPr="009E06AA">
        <w:t>Municipal landfills use a multi-phase FOD model consistent with the IPCC (2006a) model using country-specific parameters.</w:t>
      </w:r>
    </w:p>
    <w:p w14:paraId="6F109ED5" w14:textId="77777777" w:rsidR="00E87995" w:rsidRPr="009E06AA" w:rsidRDefault="00E87995" w:rsidP="00E87995">
      <w:pPr>
        <w:pStyle w:val="BodyText"/>
      </w:pPr>
      <w:r w:rsidRPr="009E06AA">
        <w:t>For each of the 27 landfill sites that had LFG recovery at any time, the FOD multi-phase model (IPCC, 2006a) has been applied to develop estimates of CH</w:t>
      </w:r>
      <w:r w:rsidRPr="009E06AA">
        <w:rPr>
          <w:vertAlign w:val="subscript"/>
        </w:rPr>
        <w:t>4</w:t>
      </w:r>
      <w:r w:rsidRPr="009E06AA">
        <w:t xml:space="preserve"> emissions, with site-specific data on waste placement, k</w:t>
      </w:r>
      <w:r w:rsidRPr="009E06AA">
        <w:rPr>
          <w:rFonts w:ascii="Cambria Math" w:hAnsi="Cambria Math" w:cs="Cambria Math"/>
        </w:rPr>
        <w:t>‑</w:t>
      </w:r>
      <w:r w:rsidRPr="009E06AA">
        <w:t>values dependent on local climate, and an LFG recovery efficiency rate that reflects the landfill’s operational status as either open or closed. These sites that are still operational account for approximately 90 per cent of waste disposed to municipal landfills, as per the data in table 7.2.3.</w:t>
      </w:r>
    </w:p>
    <w:p w14:paraId="6BAA3E9F" w14:textId="77777777" w:rsidR="00E87995" w:rsidRPr="009E06AA" w:rsidRDefault="00E87995" w:rsidP="00E87995">
      <w:pPr>
        <w:pStyle w:val="BodyText"/>
      </w:pPr>
      <w:r w:rsidRPr="009E06AA">
        <w:t>Municipal waste outside of these 27 sites is disposed to smaller landfills that have never had gas recovery. In 1990, there were more than 300 of these sites and in 2022 approximately 24 were still in operation. This number includes very small sites serving small and remote communities. The FOD model has also been applied to estimate the total CH</w:t>
      </w:r>
      <w:r w:rsidRPr="009E06AA">
        <w:rPr>
          <w:vertAlign w:val="subscript"/>
        </w:rPr>
        <w:t>4</w:t>
      </w:r>
      <w:r w:rsidRPr="009E06AA">
        <w:t xml:space="preserve"> emissions from these landfills as a whole, using the same approach as the sites with LFG recovery, except that all of these sites are assumed to have a wet climate and zero LFG recovery.</w:t>
      </w:r>
    </w:p>
    <w:p w14:paraId="7D3153AB" w14:textId="77777777" w:rsidR="00E87995" w:rsidRPr="009E06AA" w:rsidRDefault="00E87995" w:rsidP="00BF2A76">
      <w:pPr>
        <w:pStyle w:val="Heading5"/>
      </w:pPr>
      <w:bookmarkStart w:id="2833" w:name="X579238e0c28a6a45a0403081429b8235dd38f71"/>
      <w:bookmarkEnd w:id="2832"/>
      <w:r w:rsidRPr="009E06AA">
        <w:t>Non-municipal landfills and farm fills (5.A.2)</w:t>
      </w:r>
    </w:p>
    <w:p w14:paraId="6863B557" w14:textId="77777777" w:rsidR="00E87995" w:rsidRPr="009E06AA" w:rsidRDefault="00E87995" w:rsidP="00E87995">
      <w:pPr>
        <w:pStyle w:val="BodyText"/>
      </w:pPr>
      <w:r w:rsidRPr="009E06AA">
        <w:t>Non-municipal landfills include privately owned industrial landfills and a large number of landfill sites (construction and demolition fills, cleanfills and monofills) that are consented for largely inert waste. These sites in some cases are allowed to receive up to 5–10 per cent putrescible waste, dependent on local resource consenting conditions. Limited information is available on these sites and their management practices, with a lack of historical information in particular. The FOD model has been applied to estimate total CH</w:t>
      </w:r>
      <w:r w:rsidRPr="009E06AA">
        <w:rPr>
          <w:vertAlign w:val="subscript"/>
        </w:rPr>
        <w:t>4</w:t>
      </w:r>
      <w:r w:rsidRPr="009E06AA">
        <w:t xml:space="preserve"> emissions from non-municipal landfills.</w:t>
      </w:r>
    </w:p>
    <w:p w14:paraId="5430ABF0" w14:textId="77777777" w:rsidR="00E87995" w:rsidRPr="009E06AA" w:rsidRDefault="00E87995" w:rsidP="00E87995">
      <w:pPr>
        <w:pStyle w:val="BodyText"/>
        <w:spacing w:before="100" w:after="100"/>
      </w:pPr>
      <w:r w:rsidRPr="009E06AA">
        <w:t>For farm fills, the FOD model has been applied to estimate total CH</w:t>
      </w:r>
      <w:r w:rsidRPr="009E06AA">
        <w:rPr>
          <w:vertAlign w:val="subscript"/>
        </w:rPr>
        <w:t>4</w:t>
      </w:r>
      <w:r w:rsidRPr="009E06AA">
        <w:t xml:space="preserve"> emissions from the proportion of total farm waste that is landfilled. Survey data on waste composition are used to determine weighted average values for degradable organic carbon (DOC) content of waste from dairy farms, livestock farms, arable farms and viticulture farms (GHD, 2013, 2014). Survey data on waste composition from viticulture and arable farms are used to determine a weighted average DOC value for other remaining horticultural farms (GHD, 2013).</w:t>
      </w:r>
    </w:p>
    <w:p w14:paraId="6A40EE27" w14:textId="77777777" w:rsidR="00E87995" w:rsidRPr="009E06AA" w:rsidRDefault="00E87995" w:rsidP="00E87995">
      <w:pPr>
        <w:pStyle w:val="Heading4"/>
      </w:pPr>
      <w:bookmarkStart w:id="2834" w:name="X64e8346dfcafd746400d549bffeca46f4706a17"/>
      <w:bookmarkEnd w:id="2831"/>
      <w:bookmarkEnd w:id="2833"/>
      <w:r w:rsidRPr="009E06AA">
        <w:t>Choice of emission factors and parameters</w:t>
      </w:r>
    </w:p>
    <w:p w14:paraId="57FD3172" w14:textId="77777777" w:rsidR="00E87995" w:rsidRPr="009E06AA" w:rsidRDefault="00E87995" w:rsidP="00BF2A76">
      <w:pPr>
        <w:pStyle w:val="Heading5"/>
      </w:pPr>
      <w:bookmarkStart w:id="2835" w:name="municipal-landfills-5.a.1.a-1"/>
      <w:r w:rsidRPr="009E06AA">
        <w:t>Municipal landfills (5.A.1.a)</w:t>
      </w:r>
    </w:p>
    <w:p w14:paraId="275ED61B" w14:textId="77777777" w:rsidR="00E87995" w:rsidRPr="009E06AA" w:rsidRDefault="00E87995" w:rsidP="00E87995">
      <w:pPr>
        <w:pStyle w:val="Heading6"/>
        <w:spacing w:before="180"/>
      </w:pPr>
      <w:bookmarkStart w:id="2836" w:name="waste-composition"/>
      <w:r w:rsidRPr="009E06AA">
        <w:t>Waste composition</w:t>
      </w:r>
    </w:p>
    <w:p w14:paraId="7C488EAA" w14:textId="77777777" w:rsidR="00E87995" w:rsidRPr="009E06AA" w:rsidRDefault="00E87995" w:rsidP="00E87995">
      <w:pPr>
        <w:pStyle w:val="BodyText"/>
        <w:spacing w:before="80" w:after="100"/>
      </w:pPr>
      <w:r w:rsidRPr="009E06AA">
        <w:t xml:space="preserve">Many municipal landfills in </w:t>
      </w:r>
      <w:r w:rsidRPr="009E06AA" w:rsidDel="001A5205">
        <w:t xml:space="preserve">New </w:t>
      </w:r>
      <w:r w:rsidRPr="009E06AA">
        <w:t xml:space="preserve">Zealand accept commercial and industrial waste as well as municipal waste. </w:t>
      </w:r>
      <w:r w:rsidRPr="009E06AA" w:rsidDel="00837CDB">
        <w:t>New Zealand</w:t>
      </w:r>
      <w:r w:rsidRPr="009E06AA">
        <w:t xml:space="preserve"> has insufficient data to determine how much of the waste disposed to municipal landfills comes from industrial sources. Regulations requiring disposal facility operators to report the activity source of the waste they receive were agreed in 2023, but will not come into effect until 2024, and will not deliver sufficient evidence for the purposes of the inventory until 2026. Where surveys of composition data have occurred at sites that take industrial waste, this is included as part of the overall composition estimates.</w:t>
      </w:r>
    </w:p>
    <w:p w14:paraId="06960D31" w14:textId="77777777" w:rsidR="00E87995" w:rsidRPr="009E06AA" w:rsidRDefault="00E87995" w:rsidP="00E87995">
      <w:pPr>
        <w:pStyle w:val="BodyText"/>
      </w:pPr>
      <w:r w:rsidRPr="009E06AA">
        <w:t xml:space="preserve">Waste composition has been estimated from national surveys carried out in 1995 and 2004 (Ministry for the Environment, 1997; Waste Not Consulting, unpublished(a)). In addition, estimates have been made for 2008, 2012 and 2018 based on individual landfill surveys (Eunomia, unpublished(a); Waste Not Consulting, unpublished(b), unpublished(c)). The waste surveys have been based on the Solid Waste Analysis Protocol </w:t>
      </w:r>
      <w:r w:rsidRPr="009E06AA" w:rsidDel="00B26A52">
        <w:t>(</w:t>
      </w:r>
      <w:r w:rsidRPr="009E06AA">
        <w:t>Ministry for the Environment, 2002b) to ensure consistent methodologies for sampling and analysis. The 2018 </w:t>
      </w:r>
      <w:r w:rsidRPr="009E06AA">
        <w:rPr>
          <w:iCs/>
        </w:rPr>
        <w:t>Solid Waste Analysis Protocol</w:t>
      </w:r>
      <w:r w:rsidRPr="009E06AA">
        <w:t xml:space="preserve"> surveys assessed were conducted by territorial authorities at 18 disposal facilities and transfer stations, which collectively represent 66 per cent of all waste disposed of at municipal landfills in 2018.</w:t>
      </w:r>
    </w:p>
    <w:p w14:paraId="4584C6F9" w14:textId="77777777" w:rsidR="00E87995" w:rsidRPr="009E06AA" w:rsidRDefault="00E87995" w:rsidP="00E87995">
      <w:pPr>
        <w:pStyle w:val="BodyText"/>
      </w:pPr>
      <w:r w:rsidRPr="009E06AA">
        <w:t>No usable waste composition data are available for the period before 1995. For the years 1950 to 1994, data from the 1995 survey have been used, with an adjustment to account for the fact that disposable nappies came into use in the 1960s (Eunomia Research and Consulting and Waste Not Consulting, unpublished). Linear interpolation was used for years between the survey years, and the years since 2018 are assumed to be the same as 2018. This will be revised when more survey data are collected in the future.</w:t>
      </w:r>
    </w:p>
    <w:p w14:paraId="11D224D0" w14:textId="77777777" w:rsidR="00E87995" w:rsidRPr="009E06AA" w:rsidRDefault="00E87995" w:rsidP="00E87995">
      <w:pPr>
        <w:pStyle w:val="BodyText"/>
      </w:pPr>
      <w:r w:rsidRPr="009E06AA">
        <w:t>Table 7.2.5 shows the resulting estimated composition data from 1950 to 2022. These have been used for the waste disposed to all municipal landfills.</w:t>
      </w:r>
    </w:p>
    <w:p w14:paraId="45DAF7AF" w14:textId="244B7C54" w:rsidR="00E87995" w:rsidRPr="009E06AA" w:rsidRDefault="00E87995" w:rsidP="00E87995">
      <w:pPr>
        <w:pStyle w:val="Table"/>
      </w:pPr>
      <w:bookmarkStart w:id="2837" w:name="_Toc128383666"/>
      <w:bookmarkStart w:id="2838" w:name="_Toc131591439"/>
      <w:bookmarkStart w:id="2839" w:name="_Toc160537318"/>
      <w:bookmarkStart w:id="2840" w:name="_Toc160537680"/>
      <w:bookmarkStart w:id="2841" w:name="_Toc164153930"/>
      <w:r w:rsidRPr="009E06AA">
        <w:t>Table 7.2.5</w:t>
      </w:r>
      <w:r w:rsidRPr="009E06AA">
        <w:tab/>
        <w:t>Estimated composition of waste disposed to municipal landfills</w:t>
      </w:r>
      <w:r w:rsidR="00E94383" w:rsidRPr="009E06AA">
        <w:t>,</w:t>
      </w:r>
      <w:r w:rsidRPr="009E06AA">
        <w:t xml:space="preserve"> from 1950 to </w:t>
      </w:r>
      <w:bookmarkEnd w:id="2837"/>
      <w:bookmarkEnd w:id="2838"/>
      <w:r w:rsidRPr="009E06AA">
        <w:rPr>
          <w:bCs/>
        </w:rPr>
        <w:t>2022</w:t>
      </w:r>
      <w:bookmarkEnd w:id="2839"/>
      <w:bookmarkEnd w:id="2840"/>
      <w:bookmarkEnd w:id="2841"/>
    </w:p>
    <w:tbl>
      <w:tblPr>
        <w:tblW w:w="8505" w:type="dxa"/>
        <w:tblBorders>
          <w:top w:val="single" w:sz="4" w:space="0" w:color="1B556B" w:themeColor="text2"/>
          <w:bottom w:val="single" w:sz="4" w:space="0" w:color="1B556B" w:themeColor="text2"/>
          <w:insideH w:val="single" w:sz="4" w:space="0" w:color="1B556B" w:themeColor="text2"/>
        </w:tblBorders>
        <w:tblLook w:val="0420" w:firstRow="1" w:lastRow="0" w:firstColumn="0" w:lastColumn="0" w:noHBand="0" w:noVBand="1"/>
      </w:tblPr>
      <w:tblGrid>
        <w:gridCol w:w="818"/>
        <w:gridCol w:w="548"/>
        <w:gridCol w:w="831"/>
        <w:gridCol w:w="728"/>
        <w:gridCol w:w="743"/>
        <w:gridCol w:w="788"/>
        <w:gridCol w:w="880"/>
        <w:gridCol w:w="784"/>
        <w:gridCol w:w="662"/>
        <w:gridCol w:w="1723"/>
      </w:tblGrid>
      <w:tr w:rsidR="00E87995" w:rsidRPr="009E06AA" w14:paraId="2988C33B" w14:textId="77777777" w:rsidTr="00B55F24">
        <w:trPr>
          <w:tblHeader/>
        </w:trPr>
        <w:tc>
          <w:tcPr>
            <w:tcW w:w="481" w:type="pct"/>
            <w:shd w:val="clear" w:color="auto" w:fill="1B556B"/>
            <w:tcMar>
              <w:top w:w="0" w:type="dxa"/>
              <w:left w:w="85" w:type="dxa"/>
              <w:bottom w:w="0" w:type="dxa"/>
              <w:right w:w="85" w:type="dxa"/>
            </w:tcMar>
            <w:vAlign w:val="bottom"/>
          </w:tcPr>
          <w:p w14:paraId="7C5CD048" w14:textId="77777777" w:rsidR="00E87995" w:rsidRPr="009E06AA" w:rsidRDefault="00E87995" w:rsidP="00B55F24">
            <w:pPr>
              <w:pStyle w:val="TableTextBold"/>
              <w:spacing w:before="40" w:after="40"/>
              <w:rPr>
                <w:noProof w:val="0"/>
                <w:color w:val="FFFFFF" w:themeColor="background1"/>
                <w:szCs w:val="16"/>
              </w:rPr>
            </w:pPr>
            <w:r w:rsidRPr="009E06AA">
              <w:rPr>
                <w:noProof w:val="0"/>
                <w:color w:val="FFFFFF" w:themeColor="background1"/>
                <w:szCs w:val="16"/>
              </w:rPr>
              <w:t>Year</w:t>
            </w:r>
          </w:p>
        </w:tc>
        <w:tc>
          <w:tcPr>
            <w:tcW w:w="322" w:type="pct"/>
            <w:shd w:val="clear" w:color="auto" w:fill="1B556B"/>
            <w:tcMar>
              <w:top w:w="0" w:type="dxa"/>
              <w:left w:w="85" w:type="dxa"/>
              <w:bottom w:w="0" w:type="dxa"/>
              <w:right w:w="85" w:type="dxa"/>
            </w:tcMar>
            <w:vAlign w:val="bottom"/>
          </w:tcPr>
          <w:p w14:paraId="0FAF66F3" w14:textId="77777777" w:rsidR="00E87995" w:rsidRPr="009E06AA" w:rsidRDefault="00E87995" w:rsidP="00876E40">
            <w:pPr>
              <w:pStyle w:val="TableTextBold"/>
              <w:spacing w:before="40" w:after="40"/>
              <w:jc w:val="right"/>
              <w:rPr>
                <w:noProof w:val="0"/>
                <w:color w:val="FFFFFF" w:themeColor="background1"/>
                <w:szCs w:val="16"/>
              </w:rPr>
            </w:pPr>
            <w:r w:rsidRPr="009E06AA">
              <w:rPr>
                <w:noProof w:val="0"/>
                <w:color w:val="FFFFFF" w:themeColor="background1"/>
                <w:szCs w:val="16"/>
              </w:rPr>
              <w:t>Food (%)</w:t>
            </w:r>
          </w:p>
        </w:tc>
        <w:tc>
          <w:tcPr>
            <w:tcW w:w="856" w:type="dxa"/>
            <w:shd w:val="clear" w:color="auto" w:fill="1B556B"/>
            <w:tcMar>
              <w:top w:w="0" w:type="dxa"/>
              <w:left w:w="85" w:type="dxa"/>
              <w:bottom w:w="0" w:type="dxa"/>
              <w:right w:w="85" w:type="dxa"/>
            </w:tcMar>
            <w:vAlign w:val="bottom"/>
          </w:tcPr>
          <w:p w14:paraId="570D3771" w14:textId="77777777" w:rsidR="00E87995" w:rsidRPr="009E06AA" w:rsidRDefault="00E87995" w:rsidP="00876E40">
            <w:pPr>
              <w:pStyle w:val="TableTextBold"/>
              <w:spacing w:before="40" w:after="40"/>
              <w:jc w:val="right"/>
              <w:rPr>
                <w:noProof w:val="0"/>
                <w:color w:val="FFFFFF" w:themeColor="background1"/>
                <w:szCs w:val="16"/>
              </w:rPr>
            </w:pPr>
            <w:r w:rsidRPr="009E06AA">
              <w:rPr>
                <w:noProof w:val="0"/>
                <w:color w:val="FFFFFF" w:themeColor="background1"/>
                <w:szCs w:val="16"/>
              </w:rPr>
              <w:t>Garden (%)</w:t>
            </w:r>
          </w:p>
        </w:tc>
        <w:tc>
          <w:tcPr>
            <w:tcW w:w="753" w:type="dxa"/>
            <w:shd w:val="clear" w:color="auto" w:fill="1B556B"/>
            <w:tcMar>
              <w:top w:w="0" w:type="dxa"/>
              <w:left w:w="85" w:type="dxa"/>
              <w:bottom w:w="0" w:type="dxa"/>
              <w:right w:w="85" w:type="dxa"/>
            </w:tcMar>
            <w:vAlign w:val="bottom"/>
          </w:tcPr>
          <w:p w14:paraId="3114C89D" w14:textId="77777777" w:rsidR="00E87995" w:rsidRPr="009E06AA" w:rsidRDefault="00E87995" w:rsidP="00876E40">
            <w:pPr>
              <w:pStyle w:val="TableTextBold"/>
              <w:spacing w:before="40" w:after="40"/>
              <w:jc w:val="right"/>
              <w:rPr>
                <w:noProof w:val="0"/>
                <w:color w:val="FFFFFF" w:themeColor="background1"/>
                <w:szCs w:val="16"/>
              </w:rPr>
            </w:pPr>
            <w:r w:rsidRPr="009E06AA">
              <w:rPr>
                <w:noProof w:val="0"/>
                <w:color w:val="FFFFFF" w:themeColor="background1"/>
                <w:szCs w:val="16"/>
              </w:rPr>
              <w:t>Paper (%)</w:t>
            </w:r>
          </w:p>
        </w:tc>
        <w:tc>
          <w:tcPr>
            <w:tcW w:w="769" w:type="dxa"/>
            <w:shd w:val="clear" w:color="auto" w:fill="1B556B"/>
            <w:tcMar>
              <w:top w:w="0" w:type="dxa"/>
              <w:left w:w="85" w:type="dxa"/>
              <w:bottom w:w="0" w:type="dxa"/>
              <w:right w:w="85" w:type="dxa"/>
            </w:tcMar>
            <w:vAlign w:val="bottom"/>
          </w:tcPr>
          <w:p w14:paraId="0560EB5B" w14:textId="77777777" w:rsidR="00E87995" w:rsidRPr="009E06AA" w:rsidRDefault="00E87995" w:rsidP="00876E40">
            <w:pPr>
              <w:pStyle w:val="TableTextBold"/>
              <w:spacing w:before="40" w:after="40"/>
              <w:jc w:val="right"/>
              <w:rPr>
                <w:noProof w:val="0"/>
                <w:color w:val="FFFFFF" w:themeColor="background1"/>
                <w:szCs w:val="16"/>
              </w:rPr>
            </w:pPr>
            <w:r w:rsidRPr="009E06AA">
              <w:rPr>
                <w:noProof w:val="0"/>
                <w:color w:val="FFFFFF" w:themeColor="background1"/>
                <w:szCs w:val="16"/>
              </w:rPr>
              <w:t>Wood (%)</w:t>
            </w:r>
          </w:p>
        </w:tc>
        <w:tc>
          <w:tcPr>
            <w:tcW w:w="814" w:type="dxa"/>
            <w:shd w:val="clear" w:color="auto" w:fill="1B556B"/>
            <w:tcMar>
              <w:top w:w="0" w:type="dxa"/>
              <w:left w:w="85" w:type="dxa"/>
              <w:bottom w:w="0" w:type="dxa"/>
              <w:right w:w="85" w:type="dxa"/>
            </w:tcMar>
            <w:vAlign w:val="bottom"/>
          </w:tcPr>
          <w:p w14:paraId="7231BE00" w14:textId="77777777" w:rsidR="00E87995" w:rsidRPr="009E06AA" w:rsidRDefault="00E87995" w:rsidP="00876E40">
            <w:pPr>
              <w:pStyle w:val="TableTextBold"/>
              <w:spacing w:before="40" w:after="40"/>
              <w:jc w:val="right"/>
              <w:rPr>
                <w:noProof w:val="0"/>
                <w:color w:val="FFFFFF" w:themeColor="background1"/>
                <w:szCs w:val="16"/>
              </w:rPr>
            </w:pPr>
            <w:r w:rsidRPr="009E06AA">
              <w:rPr>
                <w:noProof w:val="0"/>
                <w:color w:val="FFFFFF" w:themeColor="background1"/>
                <w:szCs w:val="16"/>
              </w:rPr>
              <w:t>Textile (%)</w:t>
            </w:r>
          </w:p>
        </w:tc>
        <w:tc>
          <w:tcPr>
            <w:tcW w:w="906" w:type="dxa"/>
            <w:shd w:val="clear" w:color="auto" w:fill="1B556B"/>
            <w:tcMar>
              <w:top w:w="0" w:type="dxa"/>
              <w:left w:w="85" w:type="dxa"/>
              <w:bottom w:w="0" w:type="dxa"/>
              <w:right w:w="85" w:type="dxa"/>
            </w:tcMar>
            <w:vAlign w:val="bottom"/>
          </w:tcPr>
          <w:p w14:paraId="7952EBD3" w14:textId="77777777" w:rsidR="00E87995" w:rsidRPr="009E06AA" w:rsidRDefault="00E87995" w:rsidP="00876E40">
            <w:pPr>
              <w:pStyle w:val="TableTextBold"/>
              <w:spacing w:before="40" w:after="40"/>
              <w:jc w:val="right"/>
              <w:rPr>
                <w:noProof w:val="0"/>
                <w:color w:val="FFFFFF" w:themeColor="background1"/>
                <w:szCs w:val="16"/>
              </w:rPr>
            </w:pPr>
            <w:r w:rsidRPr="009E06AA">
              <w:rPr>
                <w:noProof w:val="0"/>
                <w:color w:val="FFFFFF" w:themeColor="background1"/>
                <w:szCs w:val="16"/>
              </w:rPr>
              <w:t>Nappies (%)</w:t>
            </w:r>
          </w:p>
        </w:tc>
        <w:tc>
          <w:tcPr>
            <w:tcW w:w="809" w:type="dxa"/>
            <w:shd w:val="clear" w:color="auto" w:fill="1B556B"/>
            <w:tcMar>
              <w:top w:w="0" w:type="dxa"/>
              <w:left w:w="85" w:type="dxa"/>
              <w:bottom w:w="0" w:type="dxa"/>
              <w:right w:w="85" w:type="dxa"/>
            </w:tcMar>
            <w:vAlign w:val="bottom"/>
          </w:tcPr>
          <w:p w14:paraId="7D2DF828" w14:textId="77777777" w:rsidR="00E87995" w:rsidRPr="009E06AA" w:rsidRDefault="00E87995" w:rsidP="00876E40">
            <w:pPr>
              <w:pStyle w:val="TableTextBold"/>
              <w:spacing w:before="40" w:after="40"/>
              <w:jc w:val="right"/>
              <w:rPr>
                <w:noProof w:val="0"/>
                <w:color w:val="FFFFFF" w:themeColor="background1"/>
                <w:szCs w:val="16"/>
              </w:rPr>
            </w:pPr>
            <w:r w:rsidRPr="009E06AA">
              <w:rPr>
                <w:noProof w:val="0"/>
                <w:color w:val="FFFFFF" w:themeColor="background1"/>
                <w:szCs w:val="16"/>
              </w:rPr>
              <w:t>Sludge (%)</w:t>
            </w:r>
          </w:p>
        </w:tc>
        <w:tc>
          <w:tcPr>
            <w:tcW w:w="687" w:type="dxa"/>
            <w:shd w:val="clear" w:color="auto" w:fill="1B556B"/>
            <w:tcMar>
              <w:top w:w="0" w:type="dxa"/>
              <w:left w:w="85" w:type="dxa"/>
              <w:bottom w:w="0" w:type="dxa"/>
              <w:right w:w="85" w:type="dxa"/>
            </w:tcMar>
            <w:vAlign w:val="bottom"/>
          </w:tcPr>
          <w:p w14:paraId="67961622" w14:textId="77777777" w:rsidR="00E87995" w:rsidRPr="009E06AA" w:rsidRDefault="00E87995" w:rsidP="00876E40">
            <w:pPr>
              <w:pStyle w:val="TableTextBold"/>
              <w:spacing w:before="40" w:after="40"/>
              <w:jc w:val="right"/>
              <w:rPr>
                <w:noProof w:val="0"/>
                <w:color w:val="FFFFFF" w:themeColor="background1"/>
                <w:szCs w:val="16"/>
              </w:rPr>
            </w:pPr>
            <w:r w:rsidRPr="009E06AA">
              <w:rPr>
                <w:noProof w:val="0"/>
                <w:color w:val="FFFFFF" w:themeColor="background1"/>
                <w:szCs w:val="16"/>
              </w:rPr>
              <w:t>Inert (%)</w:t>
            </w:r>
          </w:p>
        </w:tc>
        <w:tc>
          <w:tcPr>
            <w:tcW w:w="1013" w:type="pct"/>
            <w:shd w:val="clear" w:color="auto" w:fill="1B556B"/>
            <w:tcMar>
              <w:top w:w="0" w:type="dxa"/>
              <w:left w:w="85" w:type="dxa"/>
              <w:bottom w:w="0" w:type="dxa"/>
              <w:right w:w="85" w:type="dxa"/>
            </w:tcMar>
            <w:vAlign w:val="bottom"/>
          </w:tcPr>
          <w:p w14:paraId="03DBFD15" w14:textId="77777777" w:rsidR="00E87995" w:rsidRPr="009E06AA" w:rsidRDefault="00E87995" w:rsidP="00B55F24">
            <w:pPr>
              <w:pStyle w:val="TableTextBold"/>
              <w:spacing w:before="40" w:after="40"/>
              <w:rPr>
                <w:noProof w:val="0"/>
                <w:color w:val="FFFFFF" w:themeColor="background1"/>
                <w:szCs w:val="16"/>
              </w:rPr>
            </w:pPr>
            <w:r w:rsidRPr="009E06AA">
              <w:rPr>
                <w:noProof w:val="0"/>
                <w:color w:val="FFFFFF" w:themeColor="background1"/>
                <w:szCs w:val="16"/>
              </w:rPr>
              <w:t>Notes</w:t>
            </w:r>
          </w:p>
        </w:tc>
      </w:tr>
      <w:tr w:rsidR="00E87995" w:rsidRPr="009E06AA" w14:paraId="3A703652" w14:textId="77777777" w:rsidTr="00B55F24">
        <w:tc>
          <w:tcPr>
            <w:tcW w:w="481" w:type="pct"/>
            <w:shd w:val="clear" w:color="auto" w:fill="FFFFFF"/>
            <w:tcMar>
              <w:top w:w="0" w:type="dxa"/>
              <w:left w:w="85" w:type="dxa"/>
              <w:bottom w:w="0" w:type="dxa"/>
              <w:right w:w="85" w:type="dxa"/>
            </w:tcMar>
          </w:tcPr>
          <w:p w14:paraId="7EB67589" w14:textId="77777777" w:rsidR="00E87995" w:rsidRPr="009E06AA" w:rsidRDefault="00E87995" w:rsidP="00B55F24">
            <w:pPr>
              <w:pStyle w:val="TableTextBold"/>
              <w:spacing w:before="40" w:after="40"/>
              <w:rPr>
                <w:noProof w:val="0"/>
                <w:szCs w:val="16"/>
              </w:rPr>
            </w:pPr>
            <w:r w:rsidRPr="009E06AA">
              <w:rPr>
                <w:noProof w:val="0"/>
                <w:color w:val="1B556B"/>
                <w:szCs w:val="16"/>
              </w:rPr>
              <w:t>1950–60</w:t>
            </w:r>
          </w:p>
        </w:tc>
        <w:tc>
          <w:tcPr>
            <w:tcW w:w="322" w:type="pct"/>
            <w:shd w:val="clear" w:color="auto" w:fill="FFFFFF"/>
            <w:tcMar>
              <w:top w:w="0" w:type="dxa"/>
              <w:left w:w="85" w:type="dxa"/>
              <w:bottom w:w="0" w:type="dxa"/>
              <w:right w:w="85" w:type="dxa"/>
            </w:tcMar>
          </w:tcPr>
          <w:p w14:paraId="38C8176F" w14:textId="77777777" w:rsidR="00E87995" w:rsidRPr="009E06AA" w:rsidRDefault="00E87995" w:rsidP="00876E40">
            <w:pPr>
              <w:pStyle w:val="TableText"/>
              <w:spacing w:before="40" w:after="40"/>
              <w:jc w:val="right"/>
              <w:rPr>
                <w:szCs w:val="16"/>
              </w:rPr>
            </w:pPr>
            <w:r w:rsidRPr="009E06AA">
              <w:rPr>
                <w:color w:val="000000"/>
                <w:szCs w:val="16"/>
              </w:rPr>
              <w:t>17.2</w:t>
            </w:r>
          </w:p>
        </w:tc>
        <w:tc>
          <w:tcPr>
            <w:tcW w:w="856" w:type="dxa"/>
            <w:shd w:val="clear" w:color="auto" w:fill="FFFFFF"/>
            <w:tcMar>
              <w:top w:w="0" w:type="dxa"/>
              <w:left w:w="85" w:type="dxa"/>
              <w:bottom w:w="0" w:type="dxa"/>
              <w:right w:w="85" w:type="dxa"/>
            </w:tcMar>
          </w:tcPr>
          <w:p w14:paraId="6F37D12B" w14:textId="77777777" w:rsidR="00E87995" w:rsidRPr="009E06AA" w:rsidRDefault="00E87995" w:rsidP="00876E40">
            <w:pPr>
              <w:pStyle w:val="TableText"/>
              <w:spacing w:before="40" w:after="40"/>
              <w:jc w:val="right"/>
              <w:rPr>
                <w:szCs w:val="16"/>
              </w:rPr>
            </w:pPr>
            <w:r w:rsidRPr="009E06AA">
              <w:rPr>
                <w:color w:val="000000"/>
                <w:szCs w:val="16"/>
              </w:rPr>
              <w:t>11.0</w:t>
            </w:r>
          </w:p>
        </w:tc>
        <w:tc>
          <w:tcPr>
            <w:tcW w:w="753" w:type="dxa"/>
            <w:shd w:val="clear" w:color="auto" w:fill="FFFFFF"/>
            <w:tcMar>
              <w:top w:w="0" w:type="dxa"/>
              <w:left w:w="85" w:type="dxa"/>
              <w:bottom w:w="0" w:type="dxa"/>
              <w:right w:w="85" w:type="dxa"/>
            </w:tcMar>
          </w:tcPr>
          <w:p w14:paraId="4B604246" w14:textId="77777777" w:rsidR="00E87995" w:rsidRPr="009E06AA" w:rsidRDefault="00E87995" w:rsidP="00876E40">
            <w:pPr>
              <w:pStyle w:val="TableText"/>
              <w:spacing w:before="40" w:after="40"/>
              <w:jc w:val="right"/>
              <w:rPr>
                <w:szCs w:val="16"/>
              </w:rPr>
            </w:pPr>
            <w:r w:rsidRPr="009E06AA">
              <w:rPr>
                <w:color w:val="000000"/>
                <w:szCs w:val="16"/>
              </w:rPr>
              <w:t>16.3</w:t>
            </w:r>
          </w:p>
        </w:tc>
        <w:tc>
          <w:tcPr>
            <w:tcW w:w="769" w:type="dxa"/>
            <w:shd w:val="clear" w:color="auto" w:fill="FFFFFF"/>
            <w:tcMar>
              <w:top w:w="0" w:type="dxa"/>
              <w:left w:w="85" w:type="dxa"/>
              <w:bottom w:w="0" w:type="dxa"/>
              <w:right w:w="85" w:type="dxa"/>
            </w:tcMar>
          </w:tcPr>
          <w:p w14:paraId="46DB67BF" w14:textId="77777777" w:rsidR="00E87995" w:rsidRPr="009E06AA" w:rsidRDefault="00E87995" w:rsidP="00876E40">
            <w:pPr>
              <w:pStyle w:val="TableText"/>
              <w:spacing w:before="40" w:after="40"/>
              <w:jc w:val="right"/>
              <w:rPr>
                <w:szCs w:val="16"/>
              </w:rPr>
            </w:pPr>
            <w:r w:rsidRPr="009E06AA">
              <w:rPr>
                <w:color w:val="000000"/>
                <w:szCs w:val="16"/>
              </w:rPr>
              <w:t>7.1</w:t>
            </w:r>
          </w:p>
        </w:tc>
        <w:tc>
          <w:tcPr>
            <w:tcW w:w="814" w:type="dxa"/>
            <w:shd w:val="clear" w:color="auto" w:fill="FFFFFF"/>
            <w:tcMar>
              <w:top w:w="0" w:type="dxa"/>
              <w:left w:w="85" w:type="dxa"/>
              <w:bottom w:w="0" w:type="dxa"/>
              <w:right w:w="85" w:type="dxa"/>
            </w:tcMar>
          </w:tcPr>
          <w:p w14:paraId="6A27EEF0" w14:textId="77777777" w:rsidR="00E87995" w:rsidRPr="009E06AA" w:rsidRDefault="00E87995" w:rsidP="00876E40">
            <w:pPr>
              <w:pStyle w:val="TableText"/>
              <w:spacing w:before="40" w:after="40"/>
              <w:jc w:val="right"/>
              <w:rPr>
                <w:szCs w:val="16"/>
              </w:rPr>
            </w:pPr>
            <w:r w:rsidRPr="009E06AA">
              <w:rPr>
                <w:color w:val="000000"/>
                <w:szCs w:val="16"/>
              </w:rPr>
              <w:t>0.5</w:t>
            </w:r>
          </w:p>
        </w:tc>
        <w:tc>
          <w:tcPr>
            <w:tcW w:w="906" w:type="dxa"/>
            <w:shd w:val="clear" w:color="auto" w:fill="FFFFFF"/>
            <w:tcMar>
              <w:top w:w="0" w:type="dxa"/>
              <w:left w:w="85" w:type="dxa"/>
              <w:bottom w:w="0" w:type="dxa"/>
              <w:right w:w="85" w:type="dxa"/>
            </w:tcMar>
          </w:tcPr>
          <w:p w14:paraId="19066440" w14:textId="77777777" w:rsidR="00E87995" w:rsidRPr="009E06AA" w:rsidRDefault="00E87995" w:rsidP="00876E40">
            <w:pPr>
              <w:pStyle w:val="TableText"/>
              <w:spacing w:before="40" w:after="40"/>
              <w:jc w:val="right"/>
              <w:rPr>
                <w:szCs w:val="16"/>
              </w:rPr>
            </w:pPr>
            <w:r w:rsidRPr="009E06AA">
              <w:rPr>
                <w:color w:val="000000"/>
                <w:szCs w:val="16"/>
              </w:rPr>
              <w:t>0.0</w:t>
            </w:r>
          </w:p>
        </w:tc>
        <w:tc>
          <w:tcPr>
            <w:tcW w:w="809" w:type="dxa"/>
            <w:shd w:val="clear" w:color="auto" w:fill="FFFFFF"/>
            <w:tcMar>
              <w:top w:w="0" w:type="dxa"/>
              <w:left w:w="85" w:type="dxa"/>
              <w:bottom w:w="0" w:type="dxa"/>
              <w:right w:w="85" w:type="dxa"/>
            </w:tcMar>
          </w:tcPr>
          <w:p w14:paraId="2540B6C8" w14:textId="77777777" w:rsidR="00E87995" w:rsidRPr="009E06AA" w:rsidRDefault="00E87995" w:rsidP="00876E40">
            <w:pPr>
              <w:pStyle w:val="TableText"/>
              <w:spacing w:before="40" w:after="40"/>
              <w:jc w:val="right"/>
              <w:rPr>
                <w:szCs w:val="16"/>
              </w:rPr>
            </w:pPr>
            <w:r w:rsidRPr="009E06AA">
              <w:rPr>
                <w:color w:val="000000"/>
                <w:szCs w:val="16"/>
              </w:rPr>
              <w:t>2.9</w:t>
            </w:r>
          </w:p>
        </w:tc>
        <w:tc>
          <w:tcPr>
            <w:tcW w:w="687" w:type="dxa"/>
            <w:shd w:val="clear" w:color="auto" w:fill="FFFFFF"/>
            <w:tcMar>
              <w:top w:w="0" w:type="dxa"/>
              <w:left w:w="85" w:type="dxa"/>
              <w:bottom w:w="0" w:type="dxa"/>
              <w:right w:w="85" w:type="dxa"/>
            </w:tcMar>
          </w:tcPr>
          <w:p w14:paraId="3EB0CDBB" w14:textId="77777777" w:rsidR="00E87995" w:rsidRPr="009E06AA" w:rsidRDefault="00E87995" w:rsidP="00876E40">
            <w:pPr>
              <w:pStyle w:val="TableText"/>
              <w:spacing w:before="40" w:after="40"/>
              <w:jc w:val="right"/>
              <w:rPr>
                <w:szCs w:val="16"/>
              </w:rPr>
            </w:pPr>
            <w:r w:rsidRPr="009E06AA">
              <w:rPr>
                <w:color w:val="000000"/>
                <w:szCs w:val="16"/>
              </w:rPr>
              <w:t>45.0</w:t>
            </w:r>
          </w:p>
        </w:tc>
        <w:tc>
          <w:tcPr>
            <w:tcW w:w="1013" w:type="pct"/>
            <w:shd w:val="clear" w:color="auto" w:fill="FFFFFF"/>
            <w:tcMar>
              <w:top w:w="0" w:type="dxa"/>
              <w:left w:w="85" w:type="dxa"/>
              <w:bottom w:w="0" w:type="dxa"/>
              <w:right w:w="85" w:type="dxa"/>
            </w:tcMar>
          </w:tcPr>
          <w:p w14:paraId="1FD145D1" w14:textId="77777777" w:rsidR="00E87995" w:rsidRPr="009E06AA" w:rsidRDefault="00E87995" w:rsidP="00B55F24">
            <w:pPr>
              <w:pStyle w:val="TableText"/>
              <w:spacing w:before="40" w:after="40"/>
              <w:rPr>
                <w:szCs w:val="16"/>
              </w:rPr>
            </w:pPr>
            <w:r w:rsidRPr="009E06AA">
              <w:rPr>
                <w:color w:val="000000"/>
                <w:szCs w:val="16"/>
              </w:rPr>
              <w:t>No nappies</w:t>
            </w:r>
          </w:p>
        </w:tc>
      </w:tr>
      <w:tr w:rsidR="00E87995" w:rsidRPr="009E06AA" w14:paraId="03EC4C66" w14:textId="77777777" w:rsidTr="00B55F24">
        <w:tc>
          <w:tcPr>
            <w:tcW w:w="481" w:type="pct"/>
            <w:shd w:val="clear" w:color="auto" w:fill="FFFFFF"/>
            <w:tcMar>
              <w:top w:w="0" w:type="dxa"/>
              <w:left w:w="85" w:type="dxa"/>
              <w:bottom w:w="0" w:type="dxa"/>
              <w:right w:w="85" w:type="dxa"/>
            </w:tcMar>
          </w:tcPr>
          <w:p w14:paraId="7DE0C7FE" w14:textId="77777777" w:rsidR="00E87995" w:rsidRPr="009E06AA" w:rsidRDefault="00E87995" w:rsidP="00B55F24">
            <w:pPr>
              <w:pStyle w:val="TableTextBold"/>
              <w:spacing w:before="40" w:after="40"/>
              <w:rPr>
                <w:noProof w:val="0"/>
                <w:szCs w:val="16"/>
              </w:rPr>
            </w:pPr>
            <w:r w:rsidRPr="009E06AA">
              <w:rPr>
                <w:noProof w:val="0"/>
                <w:color w:val="1B556B"/>
                <w:szCs w:val="16"/>
              </w:rPr>
              <w:t>1961–69</w:t>
            </w:r>
          </w:p>
        </w:tc>
        <w:tc>
          <w:tcPr>
            <w:tcW w:w="322" w:type="pct"/>
            <w:shd w:val="clear" w:color="auto" w:fill="FFFFFF"/>
            <w:tcMar>
              <w:top w:w="0" w:type="dxa"/>
              <w:left w:w="85" w:type="dxa"/>
              <w:bottom w:w="0" w:type="dxa"/>
              <w:right w:w="85" w:type="dxa"/>
            </w:tcMar>
          </w:tcPr>
          <w:p w14:paraId="3365642B" w14:textId="77777777" w:rsidR="00E87995" w:rsidRPr="009E06AA" w:rsidRDefault="00E87995" w:rsidP="00876E40">
            <w:pPr>
              <w:pStyle w:val="TableText"/>
              <w:spacing w:before="40" w:after="40"/>
              <w:jc w:val="right"/>
              <w:rPr>
                <w:szCs w:val="16"/>
              </w:rPr>
            </w:pPr>
            <w:r w:rsidRPr="009E06AA">
              <w:rPr>
                <w:color w:val="000000"/>
                <w:szCs w:val="16"/>
              </w:rPr>
              <w:t>17.2</w:t>
            </w:r>
          </w:p>
        </w:tc>
        <w:tc>
          <w:tcPr>
            <w:tcW w:w="856" w:type="dxa"/>
            <w:shd w:val="clear" w:color="auto" w:fill="FFFFFF"/>
            <w:tcMar>
              <w:top w:w="0" w:type="dxa"/>
              <w:left w:w="85" w:type="dxa"/>
              <w:bottom w:w="0" w:type="dxa"/>
              <w:right w:w="85" w:type="dxa"/>
            </w:tcMar>
          </w:tcPr>
          <w:p w14:paraId="53C09A10" w14:textId="77777777" w:rsidR="00E87995" w:rsidRPr="009E06AA" w:rsidRDefault="00E87995" w:rsidP="00876E40">
            <w:pPr>
              <w:pStyle w:val="TableText"/>
              <w:spacing w:before="40" w:after="40"/>
              <w:jc w:val="right"/>
              <w:rPr>
                <w:szCs w:val="16"/>
              </w:rPr>
            </w:pPr>
            <w:r w:rsidRPr="009E06AA">
              <w:rPr>
                <w:color w:val="000000"/>
                <w:szCs w:val="16"/>
              </w:rPr>
              <w:t>11.0</w:t>
            </w:r>
          </w:p>
        </w:tc>
        <w:tc>
          <w:tcPr>
            <w:tcW w:w="753" w:type="dxa"/>
            <w:shd w:val="clear" w:color="auto" w:fill="FFFFFF"/>
            <w:tcMar>
              <w:top w:w="0" w:type="dxa"/>
              <w:left w:w="85" w:type="dxa"/>
              <w:bottom w:w="0" w:type="dxa"/>
              <w:right w:w="85" w:type="dxa"/>
            </w:tcMar>
          </w:tcPr>
          <w:p w14:paraId="1EE34CDA" w14:textId="77777777" w:rsidR="00E87995" w:rsidRPr="009E06AA" w:rsidRDefault="00E87995" w:rsidP="00876E40">
            <w:pPr>
              <w:pStyle w:val="TableText"/>
              <w:spacing w:before="40" w:after="40"/>
              <w:jc w:val="right"/>
              <w:rPr>
                <w:szCs w:val="16"/>
              </w:rPr>
            </w:pPr>
            <w:r w:rsidRPr="009E06AA">
              <w:rPr>
                <w:color w:val="000000"/>
                <w:szCs w:val="16"/>
              </w:rPr>
              <w:t>16.3</w:t>
            </w:r>
          </w:p>
        </w:tc>
        <w:tc>
          <w:tcPr>
            <w:tcW w:w="769" w:type="dxa"/>
            <w:shd w:val="clear" w:color="auto" w:fill="FFFFFF"/>
            <w:tcMar>
              <w:top w:w="0" w:type="dxa"/>
              <w:left w:w="85" w:type="dxa"/>
              <w:bottom w:w="0" w:type="dxa"/>
              <w:right w:w="85" w:type="dxa"/>
            </w:tcMar>
          </w:tcPr>
          <w:p w14:paraId="11081666" w14:textId="77777777" w:rsidR="00E87995" w:rsidRPr="009E06AA" w:rsidRDefault="00E87995" w:rsidP="00876E40">
            <w:pPr>
              <w:pStyle w:val="TableText"/>
              <w:spacing w:before="40" w:after="40"/>
              <w:jc w:val="right"/>
              <w:rPr>
                <w:szCs w:val="16"/>
              </w:rPr>
            </w:pPr>
            <w:r w:rsidRPr="009E06AA">
              <w:rPr>
                <w:color w:val="000000"/>
                <w:szCs w:val="16"/>
              </w:rPr>
              <w:t>7.1</w:t>
            </w:r>
          </w:p>
        </w:tc>
        <w:tc>
          <w:tcPr>
            <w:tcW w:w="814" w:type="dxa"/>
            <w:shd w:val="clear" w:color="auto" w:fill="FFFFFF"/>
            <w:tcMar>
              <w:top w:w="0" w:type="dxa"/>
              <w:left w:w="85" w:type="dxa"/>
              <w:bottom w:w="0" w:type="dxa"/>
              <w:right w:w="85" w:type="dxa"/>
            </w:tcMar>
          </w:tcPr>
          <w:p w14:paraId="7E4FFA4D" w14:textId="77777777" w:rsidR="00E87995" w:rsidRPr="009E06AA" w:rsidRDefault="00E87995" w:rsidP="00876E40">
            <w:pPr>
              <w:pStyle w:val="TableText"/>
              <w:spacing w:before="40" w:after="40"/>
              <w:jc w:val="right"/>
              <w:rPr>
                <w:szCs w:val="16"/>
              </w:rPr>
            </w:pPr>
            <w:r w:rsidRPr="009E06AA">
              <w:rPr>
                <w:color w:val="000000"/>
                <w:szCs w:val="16"/>
              </w:rPr>
              <w:t>0.5</w:t>
            </w:r>
          </w:p>
        </w:tc>
        <w:tc>
          <w:tcPr>
            <w:tcW w:w="906" w:type="dxa"/>
            <w:shd w:val="clear" w:color="auto" w:fill="FFFFFF"/>
            <w:tcMar>
              <w:top w:w="0" w:type="dxa"/>
              <w:left w:w="85" w:type="dxa"/>
              <w:bottom w:w="0" w:type="dxa"/>
              <w:right w:w="85" w:type="dxa"/>
            </w:tcMar>
          </w:tcPr>
          <w:p w14:paraId="5D426577" w14:textId="77777777" w:rsidR="00E87995" w:rsidRPr="009E06AA" w:rsidRDefault="00E87995" w:rsidP="00876E40">
            <w:pPr>
              <w:pStyle w:val="TableText"/>
              <w:spacing w:before="40" w:after="40"/>
              <w:jc w:val="right"/>
              <w:rPr>
                <w:szCs w:val="16"/>
              </w:rPr>
            </w:pPr>
            <w:r w:rsidRPr="009E06AA">
              <w:rPr>
                <w:color w:val="000000"/>
                <w:szCs w:val="16"/>
              </w:rPr>
              <w:t>1.0</w:t>
            </w:r>
          </w:p>
        </w:tc>
        <w:tc>
          <w:tcPr>
            <w:tcW w:w="809" w:type="dxa"/>
            <w:shd w:val="clear" w:color="auto" w:fill="FFFFFF"/>
            <w:tcMar>
              <w:top w:w="0" w:type="dxa"/>
              <w:left w:w="85" w:type="dxa"/>
              <w:bottom w:w="0" w:type="dxa"/>
              <w:right w:w="85" w:type="dxa"/>
            </w:tcMar>
          </w:tcPr>
          <w:p w14:paraId="573B6C0F" w14:textId="77777777" w:rsidR="00E87995" w:rsidRPr="009E06AA" w:rsidRDefault="00E87995" w:rsidP="00876E40">
            <w:pPr>
              <w:pStyle w:val="TableText"/>
              <w:spacing w:before="40" w:after="40"/>
              <w:jc w:val="right"/>
              <w:rPr>
                <w:szCs w:val="16"/>
              </w:rPr>
            </w:pPr>
            <w:r w:rsidRPr="009E06AA">
              <w:rPr>
                <w:color w:val="000000"/>
                <w:szCs w:val="16"/>
              </w:rPr>
              <w:t>2.9</w:t>
            </w:r>
          </w:p>
        </w:tc>
        <w:tc>
          <w:tcPr>
            <w:tcW w:w="687" w:type="dxa"/>
            <w:shd w:val="clear" w:color="auto" w:fill="FFFFFF"/>
            <w:tcMar>
              <w:top w:w="0" w:type="dxa"/>
              <w:left w:w="85" w:type="dxa"/>
              <w:bottom w:w="0" w:type="dxa"/>
              <w:right w:w="85" w:type="dxa"/>
            </w:tcMar>
          </w:tcPr>
          <w:p w14:paraId="1DAD4F85" w14:textId="77777777" w:rsidR="00E87995" w:rsidRPr="009E06AA" w:rsidRDefault="00E87995" w:rsidP="00876E40">
            <w:pPr>
              <w:pStyle w:val="TableText"/>
              <w:spacing w:before="40" w:after="40"/>
              <w:jc w:val="right"/>
              <w:rPr>
                <w:szCs w:val="16"/>
              </w:rPr>
            </w:pPr>
            <w:r w:rsidRPr="009E06AA">
              <w:rPr>
                <w:color w:val="000000"/>
                <w:szCs w:val="16"/>
              </w:rPr>
              <w:t>44.0</w:t>
            </w:r>
          </w:p>
        </w:tc>
        <w:tc>
          <w:tcPr>
            <w:tcW w:w="1013" w:type="pct"/>
            <w:shd w:val="clear" w:color="auto" w:fill="FFFFFF"/>
            <w:tcMar>
              <w:top w:w="0" w:type="dxa"/>
              <w:left w:w="85" w:type="dxa"/>
              <w:bottom w:w="0" w:type="dxa"/>
              <w:right w:w="85" w:type="dxa"/>
            </w:tcMar>
          </w:tcPr>
          <w:p w14:paraId="1CD07384" w14:textId="77777777" w:rsidR="00E87995" w:rsidRPr="009E06AA" w:rsidRDefault="00E87995" w:rsidP="00B55F24">
            <w:pPr>
              <w:pStyle w:val="TableText"/>
              <w:spacing w:before="40" w:after="40"/>
              <w:rPr>
                <w:szCs w:val="16"/>
              </w:rPr>
            </w:pPr>
            <w:r w:rsidRPr="009E06AA">
              <w:rPr>
                <w:color w:val="000000"/>
                <w:szCs w:val="16"/>
              </w:rPr>
              <w:t>Interpolation</w:t>
            </w:r>
          </w:p>
        </w:tc>
      </w:tr>
      <w:tr w:rsidR="00E87995" w:rsidRPr="009E06AA" w14:paraId="19003673" w14:textId="77777777" w:rsidTr="00B55F24">
        <w:tc>
          <w:tcPr>
            <w:tcW w:w="481" w:type="pct"/>
            <w:shd w:val="clear" w:color="auto" w:fill="FFFFFF"/>
            <w:tcMar>
              <w:top w:w="0" w:type="dxa"/>
              <w:left w:w="85" w:type="dxa"/>
              <w:bottom w:w="0" w:type="dxa"/>
              <w:right w:w="85" w:type="dxa"/>
            </w:tcMar>
          </w:tcPr>
          <w:p w14:paraId="1B3B966F" w14:textId="77777777" w:rsidR="00E87995" w:rsidRPr="009E06AA" w:rsidRDefault="00E87995" w:rsidP="00B55F24">
            <w:pPr>
              <w:pStyle w:val="TableTextBold"/>
              <w:spacing w:before="40" w:after="40"/>
              <w:rPr>
                <w:noProof w:val="0"/>
                <w:szCs w:val="16"/>
              </w:rPr>
            </w:pPr>
            <w:r w:rsidRPr="009E06AA">
              <w:rPr>
                <w:noProof w:val="0"/>
                <w:color w:val="1B556B"/>
                <w:szCs w:val="16"/>
              </w:rPr>
              <w:t>1970–79</w:t>
            </w:r>
          </w:p>
        </w:tc>
        <w:tc>
          <w:tcPr>
            <w:tcW w:w="322" w:type="pct"/>
            <w:shd w:val="clear" w:color="auto" w:fill="FFFFFF"/>
            <w:tcMar>
              <w:top w:w="0" w:type="dxa"/>
              <w:left w:w="85" w:type="dxa"/>
              <w:bottom w:w="0" w:type="dxa"/>
              <w:right w:w="85" w:type="dxa"/>
            </w:tcMar>
          </w:tcPr>
          <w:p w14:paraId="5806EEB3" w14:textId="77777777" w:rsidR="00E87995" w:rsidRPr="009E06AA" w:rsidRDefault="00E87995" w:rsidP="00876E40">
            <w:pPr>
              <w:pStyle w:val="TableText"/>
              <w:spacing w:before="40" w:after="40"/>
              <w:jc w:val="right"/>
              <w:rPr>
                <w:szCs w:val="16"/>
              </w:rPr>
            </w:pPr>
            <w:r w:rsidRPr="009E06AA">
              <w:rPr>
                <w:color w:val="000000"/>
                <w:szCs w:val="16"/>
              </w:rPr>
              <w:t>17.2</w:t>
            </w:r>
          </w:p>
        </w:tc>
        <w:tc>
          <w:tcPr>
            <w:tcW w:w="856" w:type="dxa"/>
            <w:shd w:val="clear" w:color="auto" w:fill="FFFFFF"/>
            <w:tcMar>
              <w:top w:w="0" w:type="dxa"/>
              <w:left w:w="85" w:type="dxa"/>
              <w:bottom w:w="0" w:type="dxa"/>
              <w:right w:w="85" w:type="dxa"/>
            </w:tcMar>
          </w:tcPr>
          <w:p w14:paraId="1D0022B8" w14:textId="77777777" w:rsidR="00E87995" w:rsidRPr="009E06AA" w:rsidRDefault="00E87995" w:rsidP="00876E40">
            <w:pPr>
              <w:pStyle w:val="TableText"/>
              <w:spacing w:before="40" w:after="40"/>
              <w:jc w:val="right"/>
              <w:rPr>
                <w:szCs w:val="16"/>
              </w:rPr>
            </w:pPr>
            <w:r w:rsidRPr="009E06AA">
              <w:rPr>
                <w:color w:val="000000"/>
                <w:szCs w:val="16"/>
              </w:rPr>
              <w:t>11.0</w:t>
            </w:r>
          </w:p>
        </w:tc>
        <w:tc>
          <w:tcPr>
            <w:tcW w:w="753" w:type="dxa"/>
            <w:shd w:val="clear" w:color="auto" w:fill="FFFFFF"/>
            <w:tcMar>
              <w:top w:w="0" w:type="dxa"/>
              <w:left w:w="85" w:type="dxa"/>
              <w:bottom w:w="0" w:type="dxa"/>
              <w:right w:w="85" w:type="dxa"/>
            </w:tcMar>
          </w:tcPr>
          <w:p w14:paraId="2940B095" w14:textId="77777777" w:rsidR="00E87995" w:rsidRPr="009E06AA" w:rsidRDefault="00E87995" w:rsidP="00876E40">
            <w:pPr>
              <w:pStyle w:val="TableText"/>
              <w:spacing w:before="40" w:after="40"/>
              <w:jc w:val="right"/>
              <w:rPr>
                <w:szCs w:val="16"/>
              </w:rPr>
            </w:pPr>
            <w:r w:rsidRPr="009E06AA">
              <w:rPr>
                <w:color w:val="000000"/>
                <w:szCs w:val="16"/>
              </w:rPr>
              <w:t>16.3</w:t>
            </w:r>
          </w:p>
        </w:tc>
        <w:tc>
          <w:tcPr>
            <w:tcW w:w="769" w:type="dxa"/>
            <w:shd w:val="clear" w:color="auto" w:fill="FFFFFF"/>
            <w:tcMar>
              <w:top w:w="0" w:type="dxa"/>
              <w:left w:w="85" w:type="dxa"/>
              <w:bottom w:w="0" w:type="dxa"/>
              <w:right w:w="85" w:type="dxa"/>
            </w:tcMar>
          </w:tcPr>
          <w:p w14:paraId="31C2FF66" w14:textId="77777777" w:rsidR="00E87995" w:rsidRPr="009E06AA" w:rsidRDefault="00E87995" w:rsidP="00876E40">
            <w:pPr>
              <w:pStyle w:val="TableText"/>
              <w:spacing w:before="40" w:after="40"/>
              <w:jc w:val="right"/>
              <w:rPr>
                <w:szCs w:val="16"/>
              </w:rPr>
            </w:pPr>
            <w:r w:rsidRPr="009E06AA">
              <w:rPr>
                <w:color w:val="000000"/>
                <w:szCs w:val="16"/>
              </w:rPr>
              <w:t>7.1</w:t>
            </w:r>
          </w:p>
        </w:tc>
        <w:tc>
          <w:tcPr>
            <w:tcW w:w="814" w:type="dxa"/>
            <w:shd w:val="clear" w:color="auto" w:fill="FFFFFF"/>
            <w:tcMar>
              <w:top w:w="0" w:type="dxa"/>
              <w:left w:w="85" w:type="dxa"/>
              <w:bottom w:w="0" w:type="dxa"/>
              <w:right w:w="85" w:type="dxa"/>
            </w:tcMar>
          </w:tcPr>
          <w:p w14:paraId="20CCB988" w14:textId="77777777" w:rsidR="00E87995" w:rsidRPr="009E06AA" w:rsidRDefault="00E87995" w:rsidP="00876E40">
            <w:pPr>
              <w:pStyle w:val="TableText"/>
              <w:spacing w:before="40" w:after="40"/>
              <w:jc w:val="right"/>
              <w:rPr>
                <w:szCs w:val="16"/>
              </w:rPr>
            </w:pPr>
            <w:r w:rsidRPr="009E06AA">
              <w:rPr>
                <w:color w:val="000000"/>
                <w:szCs w:val="16"/>
              </w:rPr>
              <w:t>0.5</w:t>
            </w:r>
          </w:p>
        </w:tc>
        <w:tc>
          <w:tcPr>
            <w:tcW w:w="906" w:type="dxa"/>
            <w:shd w:val="clear" w:color="auto" w:fill="FFFFFF"/>
            <w:tcMar>
              <w:top w:w="0" w:type="dxa"/>
              <w:left w:w="85" w:type="dxa"/>
              <w:bottom w:w="0" w:type="dxa"/>
              <w:right w:w="85" w:type="dxa"/>
            </w:tcMar>
          </w:tcPr>
          <w:p w14:paraId="68F66933" w14:textId="77777777" w:rsidR="00E87995" w:rsidRPr="009E06AA" w:rsidRDefault="00E87995" w:rsidP="00876E40">
            <w:pPr>
              <w:pStyle w:val="TableText"/>
              <w:spacing w:before="40" w:after="40"/>
              <w:jc w:val="right"/>
              <w:rPr>
                <w:szCs w:val="16"/>
              </w:rPr>
            </w:pPr>
            <w:r w:rsidRPr="009E06AA">
              <w:rPr>
                <w:color w:val="000000"/>
                <w:szCs w:val="16"/>
              </w:rPr>
              <w:t>2.0</w:t>
            </w:r>
          </w:p>
        </w:tc>
        <w:tc>
          <w:tcPr>
            <w:tcW w:w="809" w:type="dxa"/>
            <w:shd w:val="clear" w:color="auto" w:fill="FFFFFF"/>
            <w:tcMar>
              <w:top w:w="0" w:type="dxa"/>
              <w:left w:w="85" w:type="dxa"/>
              <w:bottom w:w="0" w:type="dxa"/>
              <w:right w:w="85" w:type="dxa"/>
            </w:tcMar>
          </w:tcPr>
          <w:p w14:paraId="502EBEB7" w14:textId="77777777" w:rsidR="00E87995" w:rsidRPr="009E06AA" w:rsidRDefault="00E87995" w:rsidP="00876E40">
            <w:pPr>
              <w:pStyle w:val="TableText"/>
              <w:spacing w:before="40" w:after="40"/>
              <w:jc w:val="right"/>
              <w:rPr>
                <w:szCs w:val="16"/>
              </w:rPr>
            </w:pPr>
            <w:r w:rsidRPr="009E06AA">
              <w:rPr>
                <w:color w:val="000000"/>
                <w:szCs w:val="16"/>
              </w:rPr>
              <w:t>2.9</w:t>
            </w:r>
          </w:p>
        </w:tc>
        <w:tc>
          <w:tcPr>
            <w:tcW w:w="687" w:type="dxa"/>
            <w:shd w:val="clear" w:color="auto" w:fill="FFFFFF"/>
            <w:tcMar>
              <w:top w:w="0" w:type="dxa"/>
              <w:left w:w="85" w:type="dxa"/>
              <w:bottom w:w="0" w:type="dxa"/>
              <w:right w:w="85" w:type="dxa"/>
            </w:tcMar>
          </w:tcPr>
          <w:p w14:paraId="2C574F9E" w14:textId="77777777" w:rsidR="00E87995" w:rsidRPr="009E06AA" w:rsidRDefault="00E87995" w:rsidP="00876E40">
            <w:pPr>
              <w:pStyle w:val="TableText"/>
              <w:spacing w:before="40" w:after="40"/>
              <w:jc w:val="right"/>
              <w:rPr>
                <w:szCs w:val="16"/>
              </w:rPr>
            </w:pPr>
            <w:r w:rsidRPr="009E06AA">
              <w:rPr>
                <w:color w:val="000000"/>
                <w:szCs w:val="16"/>
              </w:rPr>
              <w:t>43.0</w:t>
            </w:r>
          </w:p>
        </w:tc>
        <w:tc>
          <w:tcPr>
            <w:tcW w:w="1013" w:type="pct"/>
            <w:shd w:val="clear" w:color="auto" w:fill="FFFFFF"/>
            <w:tcMar>
              <w:top w:w="0" w:type="dxa"/>
              <w:left w:w="85" w:type="dxa"/>
              <w:bottom w:w="0" w:type="dxa"/>
              <w:right w:w="85" w:type="dxa"/>
            </w:tcMar>
          </w:tcPr>
          <w:p w14:paraId="2C9631C6" w14:textId="77777777" w:rsidR="00E87995" w:rsidRPr="009E06AA" w:rsidRDefault="00E87995" w:rsidP="00B55F24">
            <w:pPr>
              <w:pStyle w:val="TableText"/>
              <w:spacing w:before="40" w:after="40"/>
              <w:rPr>
                <w:szCs w:val="16"/>
              </w:rPr>
            </w:pPr>
            <w:r w:rsidRPr="009E06AA">
              <w:rPr>
                <w:color w:val="000000"/>
                <w:szCs w:val="16"/>
              </w:rPr>
              <w:t>Interpolation</w:t>
            </w:r>
          </w:p>
        </w:tc>
      </w:tr>
      <w:tr w:rsidR="00E87995" w:rsidRPr="009E06AA" w14:paraId="1F6FE0BF" w14:textId="77777777" w:rsidTr="00B55F24">
        <w:tc>
          <w:tcPr>
            <w:tcW w:w="481" w:type="pct"/>
            <w:shd w:val="clear" w:color="auto" w:fill="FFFFFF"/>
            <w:tcMar>
              <w:top w:w="0" w:type="dxa"/>
              <w:left w:w="85" w:type="dxa"/>
              <w:bottom w:w="0" w:type="dxa"/>
              <w:right w:w="85" w:type="dxa"/>
            </w:tcMar>
          </w:tcPr>
          <w:p w14:paraId="38359220" w14:textId="77777777" w:rsidR="00E87995" w:rsidRPr="009E06AA" w:rsidRDefault="00E87995" w:rsidP="00B55F24">
            <w:pPr>
              <w:pStyle w:val="TableTextBold"/>
              <w:spacing w:before="40" w:after="40"/>
              <w:rPr>
                <w:noProof w:val="0"/>
                <w:szCs w:val="16"/>
              </w:rPr>
            </w:pPr>
            <w:r w:rsidRPr="009E06AA">
              <w:rPr>
                <w:noProof w:val="0"/>
                <w:color w:val="1B556B"/>
                <w:szCs w:val="16"/>
              </w:rPr>
              <w:t>1980–94</w:t>
            </w:r>
          </w:p>
        </w:tc>
        <w:tc>
          <w:tcPr>
            <w:tcW w:w="322" w:type="pct"/>
            <w:shd w:val="clear" w:color="auto" w:fill="FFFFFF"/>
            <w:tcMar>
              <w:top w:w="0" w:type="dxa"/>
              <w:left w:w="85" w:type="dxa"/>
              <w:bottom w:w="0" w:type="dxa"/>
              <w:right w:w="85" w:type="dxa"/>
            </w:tcMar>
          </w:tcPr>
          <w:p w14:paraId="7A339FE0" w14:textId="77777777" w:rsidR="00E87995" w:rsidRPr="009E06AA" w:rsidRDefault="00E87995" w:rsidP="00876E40">
            <w:pPr>
              <w:pStyle w:val="TableText"/>
              <w:spacing w:before="40" w:after="40"/>
              <w:jc w:val="right"/>
              <w:rPr>
                <w:szCs w:val="16"/>
              </w:rPr>
            </w:pPr>
            <w:r w:rsidRPr="009E06AA">
              <w:rPr>
                <w:color w:val="000000"/>
                <w:szCs w:val="16"/>
              </w:rPr>
              <w:t>17.2</w:t>
            </w:r>
          </w:p>
        </w:tc>
        <w:tc>
          <w:tcPr>
            <w:tcW w:w="856" w:type="dxa"/>
            <w:shd w:val="clear" w:color="auto" w:fill="FFFFFF"/>
            <w:tcMar>
              <w:top w:w="0" w:type="dxa"/>
              <w:left w:w="85" w:type="dxa"/>
              <w:bottom w:w="0" w:type="dxa"/>
              <w:right w:w="85" w:type="dxa"/>
            </w:tcMar>
          </w:tcPr>
          <w:p w14:paraId="298954CE" w14:textId="77777777" w:rsidR="00E87995" w:rsidRPr="009E06AA" w:rsidRDefault="00E87995" w:rsidP="00876E40">
            <w:pPr>
              <w:pStyle w:val="TableText"/>
              <w:spacing w:before="40" w:after="40"/>
              <w:jc w:val="right"/>
              <w:rPr>
                <w:szCs w:val="16"/>
              </w:rPr>
            </w:pPr>
            <w:r w:rsidRPr="009E06AA">
              <w:rPr>
                <w:color w:val="000000"/>
                <w:szCs w:val="16"/>
              </w:rPr>
              <w:t>11.0</w:t>
            </w:r>
          </w:p>
        </w:tc>
        <w:tc>
          <w:tcPr>
            <w:tcW w:w="753" w:type="dxa"/>
            <w:shd w:val="clear" w:color="auto" w:fill="FFFFFF"/>
            <w:tcMar>
              <w:top w:w="0" w:type="dxa"/>
              <w:left w:w="85" w:type="dxa"/>
              <w:bottom w:w="0" w:type="dxa"/>
              <w:right w:w="85" w:type="dxa"/>
            </w:tcMar>
          </w:tcPr>
          <w:p w14:paraId="14872334" w14:textId="77777777" w:rsidR="00E87995" w:rsidRPr="009E06AA" w:rsidRDefault="00E87995" w:rsidP="00876E40">
            <w:pPr>
              <w:pStyle w:val="TableText"/>
              <w:spacing w:before="40" w:after="40"/>
              <w:jc w:val="right"/>
              <w:rPr>
                <w:szCs w:val="16"/>
              </w:rPr>
            </w:pPr>
            <w:r w:rsidRPr="009E06AA">
              <w:rPr>
                <w:color w:val="000000"/>
                <w:szCs w:val="16"/>
              </w:rPr>
              <w:t>16.3</w:t>
            </w:r>
          </w:p>
        </w:tc>
        <w:tc>
          <w:tcPr>
            <w:tcW w:w="769" w:type="dxa"/>
            <w:shd w:val="clear" w:color="auto" w:fill="FFFFFF"/>
            <w:tcMar>
              <w:top w:w="0" w:type="dxa"/>
              <w:left w:w="85" w:type="dxa"/>
              <w:bottom w:w="0" w:type="dxa"/>
              <w:right w:w="85" w:type="dxa"/>
            </w:tcMar>
          </w:tcPr>
          <w:p w14:paraId="1F5E367E" w14:textId="77777777" w:rsidR="00E87995" w:rsidRPr="009E06AA" w:rsidRDefault="00E87995" w:rsidP="00876E40">
            <w:pPr>
              <w:pStyle w:val="TableText"/>
              <w:spacing w:before="40" w:after="40"/>
              <w:jc w:val="right"/>
              <w:rPr>
                <w:szCs w:val="16"/>
              </w:rPr>
            </w:pPr>
            <w:r w:rsidRPr="009E06AA">
              <w:rPr>
                <w:color w:val="000000"/>
                <w:szCs w:val="16"/>
              </w:rPr>
              <w:t>7.1</w:t>
            </w:r>
          </w:p>
        </w:tc>
        <w:tc>
          <w:tcPr>
            <w:tcW w:w="814" w:type="dxa"/>
            <w:shd w:val="clear" w:color="auto" w:fill="FFFFFF"/>
            <w:tcMar>
              <w:top w:w="0" w:type="dxa"/>
              <w:left w:w="85" w:type="dxa"/>
              <w:bottom w:w="0" w:type="dxa"/>
              <w:right w:w="85" w:type="dxa"/>
            </w:tcMar>
          </w:tcPr>
          <w:p w14:paraId="7C5D46E1" w14:textId="77777777" w:rsidR="00E87995" w:rsidRPr="009E06AA" w:rsidRDefault="00E87995" w:rsidP="00876E40">
            <w:pPr>
              <w:pStyle w:val="TableText"/>
              <w:spacing w:before="40" w:after="40"/>
              <w:jc w:val="right"/>
              <w:rPr>
                <w:szCs w:val="16"/>
              </w:rPr>
            </w:pPr>
            <w:r w:rsidRPr="009E06AA">
              <w:rPr>
                <w:color w:val="000000"/>
                <w:szCs w:val="16"/>
              </w:rPr>
              <w:t>0.5</w:t>
            </w:r>
          </w:p>
        </w:tc>
        <w:tc>
          <w:tcPr>
            <w:tcW w:w="906" w:type="dxa"/>
            <w:shd w:val="clear" w:color="auto" w:fill="FFFFFF"/>
            <w:tcMar>
              <w:top w:w="0" w:type="dxa"/>
              <w:left w:w="85" w:type="dxa"/>
              <w:bottom w:w="0" w:type="dxa"/>
              <w:right w:w="85" w:type="dxa"/>
            </w:tcMar>
          </w:tcPr>
          <w:p w14:paraId="21750E0A" w14:textId="77777777" w:rsidR="00E87995" w:rsidRPr="009E06AA" w:rsidRDefault="00E87995" w:rsidP="00876E40">
            <w:pPr>
              <w:pStyle w:val="TableText"/>
              <w:spacing w:before="40" w:after="40"/>
              <w:jc w:val="right"/>
              <w:rPr>
                <w:szCs w:val="16"/>
              </w:rPr>
            </w:pPr>
            <w:r w:rsidRPr="009E06AA">
              <w:rPr>
                <w:color w:val="000000"/>
                <w:szCs w:val="16"/>
              </w:rPr>
              <w:t>2.7</w:t>
            </w:r>
          </w:p>
        </w:tc>
        <w:tc>
          <w:tcPr>
            <w:tcW w:w="809" w:type="dxa"/>
            <w:shd w:val="clear" w:color="auto" w:fill="FFFFFF"/>
            <w:tcMar>
              <w:top w:w="0" w:type="dxa"/>
              <w:left w:w="85" w:type="dxa"/>
              <w:bottom w:w="0" w:type="dxa"/>
              <w:right w:w="85" w:type="dxa"/>
            </w:tcMar>
          </w:tcPr>
          <w:p w14:paraId="22A8697B" w14:textId="77777777" w:rsidR="00E87995" w:rsidRPr="009E06AA" w:rsidRDefault="00E87995" w:rsidP="00876E40">
            <w:pPr>
              <w:pStyle w:val="TableText"/>
              <w:spacing w:before="40" w:after="40"/>
              <w:jc w:val="right"/>
              <w:rPr>
                <w:szCs w:val="16"/>
              </w:rPr>
            </w:pPr>
            <w:r w:rsidRPr="009E06AA">
              <w:rPr>
                <w:color w:val="000000"/>
                <w:szCs w:val="16"/>
              </w:rPr>
              <w:t>2.9</w:t>
            </w:r>
          </w:p>
        </w:tc>
        <w:tc>
          <w:tcPr>
            <w:tcW w:w="687" w:type="dxa"/>
            <w:shd w:val="clear" w:color="auto" w:fill="FFFFFF"/>
            <w:tcMar>
              <w:top w:w="0" w:type="dxa"/>
              <w:left w:w="85" w:type="dxa"/>
              <w:bottom w:w="0" w:type="dxa"/>
              <w:right w:w="85" w:type="dxa"/>
            </w:tcMar>
          </w:tcPr>
          <w:p w14:paraId="31E350FA" w14:textId="77777777" w:rsidR="00E87995" w:rsidRPr="009E06AA" w:rsidRDefault="00E87995" w:rsidP="00876E40">
            <w:pPr>
              <w:pStyle w:val="TableText"/>
              <w:spacing w:before="40" w:after="40"/>
              <w:jc w:val="right"/>
              <w:rPr>
                <w:szCs w:val="16"/>
              </w:rPr>
            </w:pPr>
            <w:r w:rsidRPr="009E06AA">
              <w:rPr>
                <w:color w:val="000000"/>
                <w:szCs w:val="16"/>
              </w:rPr>
              <w:t>42.3</w:t>
            </w:r>
          </w:p>
        </w:tc>
        <w:tc>
          <w:tcPr>
            <w:tcW w:w="1013" w:type="pct"/>
            <w:shd w:val="clear" w:color="auto" w:fill="FFFFFF"/>
            <w:tcMar>
              <w:top w:w="0" w:type="dxa"/>
              <w:left w:w="85" w:type="dxa"/>
              <w:bottom w:w="0" w:type="dxa"/>
              <w:right w:w="85" w:type="dxa"/>
            </w:tcMar>
          </w:tcPr>
          <w:p w14:paraId="78A6509F" w14:textId="77777777" w:rsidR="00E87995" w:rsidRPr="009E06AA" w:rsidRDefault="00E87995" w:rsidP="00B55F24">
            <w:pPr>
              <w:pStyle w:val="TableText"/>
              <w:spacing w:before="40" w:after="40"/>
              <w:rPr>
                <w:szCs w:val="16"/>
              </w:rPr>
            </w:pPr>
            <w:r w:rsidRPr="009E06AA">
              <w:rPr>
                <w:color w:val="000000"/>
                <w:szCs w:val="16"/>
              </w:rPr>
              <w:t>As for 1995</w:t>
            </w:r>
          </w:p>
        </w:tc>
      </w:tr>
      <w:tr w:rsidR="00E87995" w:rsidRPr="009E06AA" w14:paraId="46BBB1D3" w14:textId="77777777" w:rsidTr="00B55F24">
        <w:tc>
          <w:tcPr>
            <w:tcW w:w="481" w:type="pct"/>
            <w:shd w:val="clear" w:color="auto" w:fill="FFFFFF"/>
            <w:tcMar>
              <w:top w:w="0" w:type="dxa"/>
              <w:left w:w="85" w:type="dxa"/>
              <w:bottom w:w="0" w:type="dxa"/>
              <w:right w:w="85" w:type="dxa"/>
            </w:tcMar>
          </w:tcPr>
          <w:p w14:paraId="220DB1F7" w14:textId="77777777" w:rsidR="00E87995" w:rsidRPr="009E06AA" w:rsidRDefault="00E87995" w:rsidP="00B55F24">
            <w:pPr>
              <w:pStyle w:val="TableTextBold"/>
              <w:spacing w:before="40" w:after="40"/>
              <w:rPr>
                <w:noProof w:val="0"/>
                <w:szCs w:val="16"/>
              </w:rPr>
            </w:pPr>
            <w:r w:rsidRPr="009E06AA">
              <w:rPr>
                <w:noProof w:val="0"/>
                <w:color w:val="1B556B"/>
                <w:szCs w:val="16"/>
              </w:rPr>
              <w:t>1995</w:t>
            </w:r>
          </w:p>
        </w:tc>
        <w:tc>
          <w:tcPr>
            <w:tcW w:w="322" w:type="pct"/>
            <w:shd w:val="clear" w:color="auto" w:fill="FFFFFF"/>
            <w:tcMar>
              <w:top w:w="0" w:type="dxa"/>
              <w:left w:w="85" w:type="dxa"/>
              <w:bottom w:w="0" w:type="dxa"/>
              <w:right w:w="85" w:type="dxa"/>
            </w:tcMar>
          </w:tcPr>
          <w:p w14:paraId="02711B83" w14:textId="77777777" w:rsidR="00E87995" w:rsidRPr="009E06AA" w:rsidRDefault="00E87995" w:rsidP="00876E40">
            <w:pPr>
              <w:pStyle w:val="TableText"/>
              <w:spacing w:before="40" w:after="40"/>
              <w:jc w:val="right"/>
              <w:rPr>
                <w:szCs w:val="16"/>
              </w:rPr>
            </w:pPr>
            <w:r w:rsidRPr="009E06AA">
              <w:rPr>
                <w:color w:val="000000"/>
                <w:szCs w:val="16"/>
              </w:rPr>
              <w:t>17.2</w:t>
            </w:r>
          </w:p>
        </w:tc>
        <w:tc>
          <w:tcPr>
            <w:tcW w:w="856" w:type="dxa"/>
            <w:shd w:val="clear" w:color="auto" w:fill="FFFFFF"/>
            <w:tcMar>
              <w:top w:w="0" w:type="dxa"/>
              <w:left w:w="85" w:type="dxa"/>
              <w:bottom w:w="0" w:type="dxa"/>
              <w:right w:w="85" w:type="dxa"/>
            </w:tcMar>
          </w:tcPr>
          <w:p w14:paraId="48392EB5" w14:textId="77777777" w:rsidR="00E87995" w:rsidRPr="009E06AA" w:rsidRDefault="00E87995" w:rsidP="00876E40">
            <w:pPr>
              <w:pStyle w:val="TableText"/>
              <w:spacing w:before="40" w:after="40"/>
              <w:jc w:val="right"/>
              <w:rPr>
                <w:szCs w:val="16"/>
              </w:rPr>
            </w:pPr>
            <w:r w:rsidRPr="009E06AA">
              <w:rPr>
                <w:color w:val="000000"/>
                <w:szCs w:val="16"/>
              </w:rPr>
              <w:t>11.0</w:t>
            </w:r>
          </w:p>
        </w:tc>
        <w:tc>
          <w:tcPr>
            <w:tcW w:w="753" w:type="dxa"/>
            <w:shd w:val="clear" w:color="auto" w:fill="FFFFFF"/>
            <w:tcMar>
              <w:top w:w="0" w:type="dxa"/>
              <w:left w:w="85" w:type="dxa"/>
              <w:bottom w:w="0" w:type="dxa"/>
              <w:right w:w="85" w:type="dxa"/>
            </w:tcMar>
          </w:tcPr>
          <w:p w14:paraId="54C19F7C" w14:textId="77777777" w:rsidR="00E87995" w:rsidRPr="009E06AA" w:rsidRDefault="00E87995" w:rsidP="00876E40">
            <w:pPr>
              <w:pStyle w:val="TableText"/>
              <w:spacing w:before="40" w:after="40"/>
              <w:jc w:val="right"/>
              <w:rPr>
                <w:szCs w:val="16"/>
              </w:rPr>
            </w:pPr>
            <w:r w:rsidRPr="009E06AA">
              <w:rPr>
                <w:color w:val="000000"/>
                <w:szCs w:val="16"/>
              </w:rPr>
              <w:t>16.3</w:t>
            </w:r>
          </w:p>
        </w:tc>
        <w:tc>
          <w:tcPr>
            <w:tcW w:w="769" w:type="dxa"/>
            <w:shd w:val="clear" w:color="auto" w:fill="FFFFFF"/>
            <w:tcMar>
              <w:top w:w="0" w:type="dxa"/>
              <w:left w:w="85" w:type="dxa"/>
              <w:bottom w:w="0" w:type="dxa"/>
              <w:right w:w="85" w:type="dxa"/>
            </w:tcMar>
          </w:tcPr>
          <w:p w14:paraId="23103EB3" w14:textId="77777777" w:rsidR="00E87995" w:rsidRPr="009E06AA" w:rsidRDefault="00E87995" w:rsidP="00876E40">
            <w:pPr>
              <w:pStyle w:val="TableText"/>
              <w:spacing w:before="40" w:after="40"/>
              <w:jc w:val="right"/>
              <w:rPr>
                <w:szCs w:val="16"/>
              </w:rPr>
            </w:pPr>
            <w:r w:rsidRPr="009E06AA">
              <w:rPr>
                <w:color w:val="000000"/>
                <w:szCs w:val="16"/>
              </w:rPr>
              <w:t>7.1</w:t>
            </w:r>
          </w:p>
        </w:tc>
        <w:tc>
          <w:tcPr>
            <w:tcW w:w="814" w:type="dxa"/>
            <w:shd w:val="clear" w:color="auto" w:fill="FFFFFF"/>
            <w:tcMar>
              <w:top w:w="0" w:type="dxa"/>
              <w:left w:w="85" w:type="dxa"/>
              <w:bottom w:w="0" w:type="dxa"/>
              <w:right w:w="85" w:type="dxa"/>
            </w:tcMar>
          </w:tcPr>
          <w:p w14:paraId="41422D06" w14:textId="77777777" w:rsidR="00E87995" w:rsidRPr="009E06AA" w:rsidRDefault="00E87995" w:rsidP="00876E40">
            <w:pPr>
              <w:pStyle w:val="TableText"/>
              <w:spacing w:before="40" w:after="40"/>
              <w:jc w:val="right"/>
              <w:rPr>
                <w:szCs w:val="16"/>
              </w:rPr>
            </w:pPr>
            <w:r w:rsidRPr="009E06AA">
              <w:rPr>
                <w:color w:val="000000"/>
                <w:szCs w:val="16"/>
              </w:rPr>
              <w:t>0.5</w:t>
            </w:r>
          </w:p>
        </w:tc>
        <w:tc>
          <w:tcPr>
            <w:tcW w:w="906" w:type="dxa"/>
            <w:shd w:val="clear" w:color="auto" w:fill="FFFFFF"/>
            <w:tcMar>
              <w:top w:w="0" w:type="dxa"/>
              <w:left w:w="85" w:type="dxa"/>
              <w:bottom w:w="0" w:type="dxa"/>
              <w:right w:w="85" w:type="dxa"/>
            </w:tcMar>
          </w:tcPr>
          <w:p w14:paraId="22C60A69" w14:textId="77777777" w:rsidR="00E87995" w:rsidRPr="009E06AA" w:rsidRDefault="00E87995" w:rsidP="00876E40">
            <w:pPr>
              <w:pStyle w:val="TableText"/>
              <w:spacing w:before="40" w:after="40"/>
              <w:jc w:val="right"/>
              <w:rPr>
                <w:szCs w:val="16"/>
              </w:rPr>
            </w:pPr>
            <w:r w:rsidRPr="009E06AA">
              <w:rPr>
                <w:color w:val="000000"/>
                <w:szCs w:val="16"/>
              </w:rPr>
              <w:t>2.7</w:t>
            </w:r>
          </w:p>
        </w:tc>
        <w:tc>
          <w:tcPr>
            <w:tcW w:w="809" w:type="dxa"/>
            <w:shd w:val="clear" w:color="auto" w:fill="FFFFFF"/>
            <w:tcMar>
              <w:top w:w="0" w:type="dxa"/>
              <w:left w:w="85" w:type="dxa"/>
              <w:bottom w:w="0" w:type="dxa"/>
              <w:right w:w="85" w:type="dxa"/>
            </w:tcMar>
          </w:tcPr>
          <w:p w14:paraId="228A1FB5" w14:textId="77777777" w:rsidR="00E87995" w:rsidRPr="009E06AA" w:rsidRDefault="00E87995" w:rsidP="00876E40">
            <w:pPr>
              <w:pStyle w:val="TableText"/>
              <w:spacing w:before="40" w:after="40"/>
              <w:jc w:val="right"/>
              <w:rPr>
                <w:szCs w:val="16"/>
              </w:rPr>
            </w:pPr>
            <w:r w:rsidRPr="009E06AA">
              <w:rPr>
                <w:color w:val="000000"/>
                <w:szCs w:val="16"/>
              </w:rPr>
              <w:t>2.9</w:t>
            </w:r>
          </w:p>
        </w:tc>
        <w:tc>
          <w:tcPr>
            <w:tcW w:w="687" w:type="dxa"/>
            <w:shd w:val="clear" w:color="auto" w:fill="FFFFFF"/>
            <w:tcMar>
              <w:top w:w="0" w:type="dxa"/>
              <w:left w:w="85" w:type="dxa"/>
              <w:bottom w:w="0" w:type="dxa"/>
              <w:right w:w="85" w:type="dxa"/>
            </w:tcMar>
          </w:tcPr>
          <w:p w14:paraId="27EF3A1F" w14:textId="77777777" w:rsidR="00E87995" w:rsidRPr="009E06AA" w:rsidRDefault="00E87995" w:rsidP="00876E40">
            <w:pPr>
              <w:pStyle w:val="TableText"/>
              <w:spacing w:before="40" w:after="40"/>
              <w:jc w:val="right"/>
              <w:rPr>
                <w:szCs w:val="16"/>
              </w:rPr>
            </w:pPr>
            <w:r w:rsidRPr="009E06AA">
              <w:rPr>
                <w:color w:val="000000"/>
                <w:szCs w:val="16"/>
              </w:rPr>
              <w:t>42.3</w:t>
            </w:r>
          </w:p>
        </w:tc>
        <w:tc>
          <w:tcPr>
            <w:tcW w:w="1013" w:type="pct"/>
            <w:shd w:val="clear" w:color="auto" w:fill="FFFFFF"/>
            <w:tcMar>
              <w:top w:w="0" w:type="dxa"/>
              <w:left w:w="85" w:type="dxa"/>
              <w:bottom w:w="0" w:type="dxa"/>
              <w:right w:w="85" w:type="dxa"/>
            </w:tcMar>
          </w:tcPr>
          <w:p w14:paraId="1F958929" w14:textId="77777777" w:rsidR="00E87995" w:rsidRPr="009E06AA" w:rsidRDefault="00E87995" w:rsidP="00B55F24">
            <w:pPr>
              <w:pStyle w:val="TableText"/>
              <w:spacing w:before="40" w:after="40"/>
              <w:rPr>
                <w:szCs w:val="16"/>
              </w:rPr>
            </w:pPr>
            <w:r w:rsidRPr="009E06AA">
              <w:rPr>
                <w:color w:val="000000"/>
                <w:szCs w:val="16"/>
              </w:rPr>
              <w:t>National survey</w:t>
            </w:r>
          </w:p>
        </w:tc>
      </w:tr>
      <w:tr w:rsidR="00E87995" w:rsidRPr="009E06AA" w14:paraId="23952938" w14:textId="77777777" w:rsidTr="00B55F24">
        <w:tc>
          <w:tcPr>
            <w:tcW w:w="481" w:type="pct"/>
            <w:shd w:val="clear" w:color="auto" w:fill="FFFFFF"/>
            <w:tcMar>
              <w:top w:w="0" w:type="dxa"/>
              <w:left w:w="85" w:type="dxa"/>
              <w:bottom w:w="0" w:type="dxa"/>
              <w:right w:w="85" w:type="dxa"/>
            </w:tcMar>
          </w:tcPr>
          <w:p w14:paraId="29A1D3E1" w14:textId="77777777" w:rsidR="00E87995" w:rsidRPr="009E06AA" w:rsidRDefault="00E87995" w:rsidP="00B55F24">
            <w:pPr>
              <w:pStyle w:val="TableTextBold"/>
              <w:spacing w:before="40" w:after="40"/>
              <w:rPr>
                <w:noProof w:val="0"/>
                <w:szCs w:val="16"/>
              </w:rPr>
            </w:pPr>
            <w:r w:rsidRPr="009E06AA">
              <w:rPr>
                <w:noProof w:val="0"/>
                <w:color w:val="1B556B"/>
                <w:szCs w:val="16"/>
              </w:rPr>
              <w:t>1996</w:t>
            </w:r>
          </w:p>
        </w:tc>
        <w:tc>
          <w:tcPr>
            <w:tcW w:w="322" w:type="pct"/>
            <w:shd w:val="clear" w:color="auto" w:fill="FFFFFF"/>
            <w:tcMar>
              <w:top w:w="0" w:type="dxa"/>
              <w:left w:w="85" w:type="dxa"/>
              <w:bottom w:w="0" w:type="dxa"/>
              <w:right w:w="85" w:type="dxa"/>
            </w:tcMar>
          </w:tcPr>
          <w:p w14:paraId="404A2B9D" w14:textId="77777777" w:rsidR="00E87995" w:rsidRPr="009E06AA" w:rsidRDefault="00E87995" w:rsidP="00876E40">
            <w:pPr>
              <w:pStyle w:val="TableText"/>
              <w:spacing w:before="40" w:after="40"/>
              <w:jc w:val="right"/>
              <w:rPr>
                <w:szCs w:val="16"/>
              </w:rPr>
            </w:pPr>
            <w:r w:rsidRPr="009E06AA">
              <w:rPr>
                <w:color w:val="000000"/>
                <w:szCs w:val="16"/>
              </w:rPr>
              <w:t>16.9</w:t>
            </w:r>
          </w:p>
        </w:tc>
        <w:tc>
          <w:tcPr>
            <w:tcW w:w="856" w:type="dxa"/>
            <w:shd w:val="clear" w:color="auto" w:fill="FFFFFF"/>
            <w:tcMar>
              <w:top w:w="0" w:type="dxa"/>
              <w:left w:w="85" w:type="dxa"/>
              <w:bottom w:w="0" w:type="dxa"/>
              <w:right w:w="85" w:type="dxa"/>
            </w:tcMar>
          </w:tcPr>
          <w:p w14:paraId="78780DCF" w14:textId="77777777" w:rsidR="00E87995" w:rsidRPr="009E06AA" w:rsidRDefault="00E87995" w:rsidP="00876E40">
            <w:pPr>
              <w:pStyle w:val="TableText"/>
              <w:spacing w:before="40" w:after="40"/>
              <w:jc w:val="right"/>
              <w:rPr>
                <w:szCs w:val="16"/>
              </w:rPr>
            </w:pPr>
            <w:r w:rsidRPr="009E06AA">
              <w:rPr>
                <w:color w:val="000000"/>
                <w:szCs w:val="16"/>
              </w:rPr>
              <w:t>10.8</w:t>
            </w:r>
          </w:p>
        </w:tc>
        <w:tc>
          <w:tcPr>
            <w:tcW w:w="753" w:type="dxa"/>
            <w:shd w:val="clear" w:color="auto" w:fill="FFFFFF"/>
            <w:tcMar>
              <w:top w:w="0" w:type="dxa"/>
              <w:left w:w="85" w:type="dxa"/>
              <w:bottom w:w="0" w:type="dxa"/>
              <w:right w:w="85" w:type="dxa"/>
            </w:tcMar>
          </w:tcPr>
          <w:p w14:paraId="30B6ADFE" w14:textId="77777777" w:rsidR="00E87995" w:rsidRPr="009E06AA" w:rsidRDefault="00E87995" w:rsidP="00876E40">
            <w:pPr>
              <w:pStyle w:val="TableText"/>
              <w:spacing w:before="40" w:after="40"/>
              <w:jc w:val="right"/>
              <w:rPr>
                <w:szCs w:val="16"/>
              </w:rPr>
            </w:pPr>
            <w:r w:rsidRPr="009E06AA">
              <w:rPr>
                <w:color w:val="000000"/>
                <w:szCs w:val="16"/>
              </w:rPr>
              <w:t>16.1</w:t>
            </w:r>
          </w:p>
        </w:tc>
        <w:tc>
          <w:tcPr>
            <w:tcW w:w="769" w:type="dxa"/>
            <w:shd w:val="clear" w:color="auto" w:fill="FFFFFF"/>
            <w:tcMar>
              <w:top w:w="0" w:type="dxa"/>
              <w:left w:w="85" w:type="dxa"/>
              <w:bottom w:w="0" w:type="dxa"/>
              <w:right w:w="85" w:type="dxa"/>
            </w:tcMar>
          </w:tcPr>
          <w:p w14:paraId="6B3DC369" w14:textId="77777777" w:rsidR="00E87995" w:rsidRPr="009E06AA" w:rsidRDefault="00E87995" w:rsidP="00876E40">
            <w:pPr>
              <w:pStyle w:val="TableText"/>
              <w:spacing w:before="40" w:after="40"/>
              <w:jc w:val="right"/>
              <w:rPr>
                <w:szCs w:val="16"/>
              </w:rPr>
            </w:pPr>
            <w:r w:rsidRPr="009E06AA">
              <w:rPr>
                <w:color w:val="000000"/>
                <w:szCs w:val="16"/>
              </w:rPr>
              <w:t>7.9</w:t>
            </w:r>
          </w:p>
        </w:tc>
        <w:tc>
          <w:tcPr>
            <w:tcW w:w="814" w:type="dxa"/>
            <w:shd w:val="clear" w:color="auto" w:fill="FFFFFF"/>
            <w:tcMar>
              <w:top w:w="0" w:type="dxa"/>
              <w:left w:w="85" w:type="dxa"/>
              <w:bottom w:w="0" w:type="dxa"/>
              <w:right w:w="85" w:type="dxa"/>
            </w:tcMar>
          </w:tcPr>
          <w:p w14:paraId="3B7E80B1" w14:textId="77777777" w:rsidR="00E87995" w:rsidRPr="009E06AA" w:rsidRDefault="00E87995" w:rsidP="00876E40">
            <w:pPr>
              <w:pStyle w:val="TableText"/>
              <w:spacing w:before="40" w:after="40"/>
              <w:jc w:val="right"/>
              <w:rPr>
                <w:szCs w:val="16"/>
              </w:rPr>
            </w:pPr>
            <w:r w:rsidRPr="009E06AA">
              <w:rPr>
                <w:color w:val="000000"/>
                <w:szCs w:val="16"/>
              </w:rPr>
              <w:t>0.9</w:t>
            </w:r>
          </w:p>
        </w:tc>
        <w:tc>
          <w:tcPr>
            <w:tcW w:w="906" w:type="dxa"/>
            <w:shd w:val="clear" w:color="auto" w:fill="FFFFFF"/>
            <w:tcMar>
              <w:top w:w="0" w:type="dxa"/>
              <w:left w:w="85" w:type="dxa"/>
              <w:bottom w:w="0" w:type="dxa"/>
              <w:right w:w="85" w:type="dxa"/>
            </w:tcMar>
          </w:tcPr>
          <w:p w14:paraId="7F1BCF5A" w14:textId="77777777" w:rsidR="00E87995" w:rsidRPr="009E06AA" w:rsidRDefault="00E87995" w:rsidP="00876E40">
            <w:pPr>
              <w:pStyle w:val="TableText"/>
              <w:spacing w:before="40" w:after="40"/>
              <w:jc w:val="right"/>
              <w:rPr>
                <w:szCs w:val="16"/>
              </w:rPr>
            </w:pPr>
            <w:r w:rsidRPr="009E06AA">
              <w:rPr>
                <w:color w:val="000000"/>
                <w:szCs w:val="16"/>
              </w:rPr>
              <w:t>2.7</w:t>
            </w:r>
          </w:p>
        </w:tc>
        <w:tc>
          <w:tcPr>
            <w:tcW w:w="809" w:type="dxa"/>
            <w:shd w:val="clear" w:color="auto" w:fill="FFFFFF"/>
            <w:tcMar>
              <w:top w:w="0" w:type="dxa"/>
              <w:left w:w="85" w:type="dxa"/>
              <w:bottom w:w="0" w:type="dxa"/>
              <w:right w:w="85" w:type="dxa"/>
            </w:tcMar>
          </w:tcPr>
          <w:p w14:paraId="68EEB3B8" w14:textId="77777777" w:rsidR="00E87995" w:rsidRPr="009E06AA" w:rsidRDefault="00E87995" w:rsidP="00876E40">
            <w:pPr>
              <w:pStyle w:val="TableText"/>
              <w:spacing w:before="40" w:after="40"/>
              <w:jc w:val="right"/>
              <w:rPr>
                <w:szCs w:val="16"/>
              </w:rPr>
            </w:pPr>
            <w:r w:rsidRPr="009E06AA">
              <w:rPr>
                <w:color w:val="000000"/>
                <w:szCs w:val="16"/>
              </w:rPr>
              <w:t>2.9</w:t>
            </w:r>
          </w:p>
        </w:tc>
        <w:tc>
          <w:tcPr>
            <w:tcW w:w="687" w:type="dxa"/>
            <w:shd w:val="clear" w:color="auto" w:fill="FFFFFF"/>
            <w:tcMar>
              <w:top w:w="0" w:type="dxa"/>
              <w:left w:w="85" w:type="dxa"/>
              <w:bottom w:w="0" w:type="dxa"/>
              <w:right w:w="85" w:type="dxa"/>
            </w:tcMar>
          </w:tcPr>
          <w:p w14:paraId="287175C8" w14:textId="77777777" w:rsidR="00E87995" w:rsidRPr="009E06AA" w:rsidRDefault="00E87995" w:rsidP="00876E40">
            <w:pPr>
              <w:pStyle w:val="TableText"/>
              <w:spacing w:before="40" w:after="40"/>
              <w:jc w:val="right"/>
              <w:rPr>
                <w:szCs w:val="16"/>
              </w:rPr>
            </w:pPr>
            <w:r w:rsidRPr="009E06AA">
              <w:rPr>
                <w:color w:val="000000"/>
                <w:szCs w:val="16"/>
              </w:rPr>
              <w:t>41.9</w:t>
            </w:r>
          </w:p>
        </w:tc>
        <w:tc>
          <w:tcPr>
            <w:tcW w:w="1013" w:type="pct"/>
            <w:shd w:val="clear" w:color="auto" w:fill="FFFFFF"/>
            <w:tcMar>
              <w:top w:w="0" w:type="dxa"/>
              <w:left w:w="85" w:type="dxa"/>
              <w:bottom w:w="0" w:type="dxa"/>
              <w:right w:w="85" w:type="dxa"/>
            </w:tcMar>
          </w:tcPr>
          <w:p w14:paraId="23C04EA1" w14:textId="77777777" w:rsidR="00E87995" w:rsidRPr="009E06AA" w:rsidRDefault="00E87995" w:rsidP="00B55F24">
            <w:pPr>
              <w:pStyle w:val="TableText"/>
              <w:spacing w:before="40" w:after="40"/>
              <w:rPr>
                <w:szCs w:val="16"/>
              </w:rPr>
            </w:pPr>
            <w:r w:rsidRPr="009E06AA">
              <w:rPr>
                <w:color w:val="000000"/>
                <w:szCs w:val="16"/>
              </w:rPr>
              <w:t>Interpolation</w:t>
            </w:r>
          </w:p>
        </w:tc>
      </w:tr>
      <w:tr w:rsidR="00E87995" w:rsidRPr="009E06AA" w14:paraId="5A9E1BF3" w14:textId="77777777" w:rsidTr="00B55F24">
        <w:tc>
          <w:tcPr>
            <w:tcW w:w="481" w:type="pct"/>
            <w:shd w:val="clear" w:color="auto" w:fill="FFFFFF"/>
            <w:tcMar>
              <w:top w:w="0" w:type="dxa"/>
              <w:left w:w="85" w:type="dxa"/>
              <w:bottom w:w="0" w:type="dxa"/>
              <w:right w:w="85" w:type="dxa"/>
            </w:tcMar>
          </w:tcPr>
          <w:p w14:paraId="2C5AFBB2" w14:textId="77777777" w:rsidR="00E87995" w:rsidRPr="009E06AA" w:rsidRDefault="00E87995" w:rsidP="00B55F24">
            <w:pPr>
              <w:pStyle w:val="TableTextBold"/>
              <w:spacing w:before="40" w:after="40"/>
              <w:rPr>
                <w:noProof w:val="0"/>
                <w:szCs w:val="16"/>
              </w:rPr>
            </w:pPr>
            <w:r w:rsidRPr="009E06AA">
              <w:rPr>
                <w:noProof w:val="0"/>
                <w:color w:val="1B556B"/>
                <w:szCs w:val="16"/>
              </w:rPr>
              <w:t>1997</w:t>
            </w:r>
          </w:p>
        </w:tc>
        <w:tc>
          <w:tcPr>
            <w:tcW w:w="322" w:type="pct"/>
            <w:shd w:val="clear" w:color="auto" w:fill="FFFFFF"/>
            <w:tcMar>
              <w:top w:w="0" w:type="dxa"/>
              <w:left w:w="85" w:type="dxa"/>
              <w:bottom w:w="0" w:type="dxa"/>
              <w:right w:w="85" w:type="dxa"/>
            </w:tcMar>
          </w:tcPr>
          <w:p w14:paraId="3976B7E7" w14:textId="77777777" w:rsidR="00E87995" w:rsidRPr="009E06AA" w:rsidRDefault="00E87995" w:rsidP="00876E40">
            <w:pPr>
              <w:pStyle w:val="TableText"/>
              <w:spacing w:before="40" w:after="40"/>
              <w:jc w:val="right"/>
              <w:rPr>
                <w:szCs w:val="16"/>
              </w:rPr>
            </w:pPr>
            <w:r w:rsidRPr="009E06AA">
              <w:rPr>
                <w:color w:val="000000"/>
                <w:szCs w:val="16"/>
              </w:rPr>
              <w:t>16.5</w:t>
            </w:r>
          </w:p>
        </w:tc>
        <w:tc>
          <w:tcPr>
            <w:tcW w:w="856" w:type="dxa"/>
            <w:shd w:val="clear" w:color="auto" w:fill="FFFFFF"/>
            <w:tcMar>
              <w:top w:w="0" w:type="dxa"/>
              <w:left w:w="85" w:type="dxa"/>
              <w:bottom w:w="0" w:type="dxa"/>
              <w:right w:w="85" w:type="dxa"/>
            </w:tcMar>
          </w:tcPr>
          <w:p w14:paraId="1A79E366" w14:textId="77777777" w:rsidR="00E87995" w:rsidRPr="009E06AA" w:rsidRDefault="00E87995" w:rsidP="00876E40">
            <w:pPr>
              <w:pStyle w:val="TableText"/>
              <w:spacing w:before="40" w:after="40"/>
              <w:jc w:val="right"/>
              <w:rPr>
                <w:szCs w:val="16"/>
              </w:rPr>
            </w:pPr>
            <w:r w:rsidRPr="009E06AA">
              <w:rPr>
                <w:color w:val="000000"/>
                <w:szCs w:val="16"/>
              </w:rPr>
              <w:t>10.6</w:t>
            </w:r>
          </w:p>
        </w:tc>
        <w:tc>
          <w:tcPr>
            <w:tcW w:w="753" w:type="dxa"/>
            <w:shd w:val="clear" w:color="auto" w:fill="FFFFFF"/>
            <w:tcMar>
              <w:top w:w="0" w:type="dxa"/>
              <w:left w:w="85" w:type="dxa"/>
              <w:bottom w:w="0" w:type="dxa"/>
              <w:right w:w="85" w:type="dxa"/>
            </w:tcMar>
          </w:tcPr>
          <w:p w14:paraId="511588A9" w14:textId="77777777" w:rsidR="00E87995" w:rsidRPr="009E06AA" w:rsidRDefault="00E87995" w:rsidP="00876E40">
            <w:pPr>
              <w:pStyle w:val="TableText"/>
              <w:spacing w:before="40" w:after="40"/>
              <w:jc w:val="right"/>
              <w:rPr>
                <w:szCs w:val="16"/>
              </w:rPr>
            </w:pPr>
            <w:r w:rsidRPr="009E06AA">
              <w:rPr>
                <w:color w:val="000000"/>
                <w:szCs w:val="16"/>
              </w:rPr>
              <w:t>16.0</w:t>
            </w:r>
          </w:p>
        </w:tc>
        <w:tc>
          <w:tcPr>
            <w:tcW w:w="769" w:type="dxa"/>
            <w:shd w:val="clear" w:color="auto" w:fill="FFFFFF"/>
            <w:tcMar>
              <w:top w:w="0" w:type="dxa"/>
              <w:left w:w="85" w:type="dxa"/>
              <w:bottom w:w="0" w:type="dxa"/>
              <w:right w:w="85" w:type="dxa"/>
            </w:tcMar>
          </w:tcPr>
          <w:p w14:paraId="4228959C" w14:textId="77777777" w:rsidR="00E87995" w:rsidRPr="009E06AA" w:rsidRDefault="00E87995" w:rsidP="00876E40">
            <w:pPr>
              <w:pStyle w:val="TableText"/>
              <w:spacing w:before="40" w:after="40"/>
              <w:jc w:val="right"/>
              <w:rPr>
                <w:szCs w:val="16"/>
              </w:rPr>
            </w:pPr>
            <w:r w:rsidRPr="009E06AA">
              <w:rPr>
                <w:color w:val="000000"/>
                <w:szCs w:val="16"/>
              </w:rPr>
              <w:t>8.6</w:t>
            </w:r>
          </w:p>
        </w:tc>
        <w:tc>
          <w:tcPr>
            <w:tcW w:w="814" w:type="dxa"/>
            <w:shd w:val="clear" w:color="auto" w:fill="FFFFFF"/>
            <w:tcMar>
              <w:top w:w="0" w:type="dxa"/>
              <w:left w:w="85" w:type="dxa"/>
              <w:bottom w:w="0" w:type="dxa"/>
              <w:right w:w="85" w:type="dxa"/>
            </w:tcMar>
          </w:tcPr>
          <w:p w14:paraId="2A004FD3" w14:textId="77777777" w:rsidR="00E87995" w:rsidRPr="009E06AA" w:rsidRDefault="00E87995" w:rsidP="00876E40">
            <w:pPr>
              <w:pStyle w:val="TableText"/>
              <w:spacing w:before="40" w:after="40"/>
              <w:jc w:val="right"/>
              <w:rPr>
                <w:szCs w:val="16"/>
              </w:rPr>
            </w:pPr>
            <w:r w:rsidRPr="009E06AA">
              <w:rPr>
                <w:color w:val="000000"/>
                <w:szCs w:val="16"/>
              </w:rPr>
              <w:t>1.3</w:t>
            </w:r>
          </w:p>
        </w:tc>
        <w:tc>
          <w:tcPr>
            <w:tcW w:w="906" w:type="dxa"/>
            <w:shd w:val="clear" w:color="auto" w:fill="FFFFFF"/>
            <w:tcMar>
              <w:top w:w="0" w:type="dxa"/>
              <w:left w:w="85" w:type="dxa"/>
              <w:bottom w:w="0" w:type="dxa"/>
              <w:right w:w="85" w:type="dxa"/>
            </w:tcMar>
          </w:tcPr>
          <w:p w14:paraId="6903166F" w14:textId="77777777" w:rsidR="00E87995" w:rsidRPr="009E06AA" w:rsidRDefault="00E87995" w:rsidP="00876E40">
            <w:pPr>
              <w:pStyle w:val="TableText"/>
              <w:spacing w:before="40" w:after="40"/>
              <w:jc w:val="right"/>
              <w:rPr>
                <w:szCs w:val="16"/>
              </w:rPr>
            </w:pPr>
            <w:r w:rsidRPr="009E06AA">
              <w:rPr>
                <w:color w:val="000000"/>
                <w:szCs w:val="16"/>
              </w:rPr>
              <w:t>2.7</w:t>
            </w:r>
          </w:p>
        </w:tc>
        <w:tc>
          <w:tcPr>
            <w:tcW w:w="809" w:type="dxa"/>
            <w:shd w:val="clear" w:color="auto" w:fill="FFFFFF"/>
            <w:tcMar>
              <w:top w:w="0" w:type="dxa"/>
              <w:left w:w="85" w:type="dxa"/>
              <w:bottom w:w="0" w:type="dxa"/>
              <w:right w:w="85" w:type="dxa"/>
            </w:tcMar>
          </w:tcPr>
          <w:p w14:paraId="368096C9" w14:textId="77777777" w:rsidR="00E87995" w:rsidRPr="009E06AA" w:rsidRDefault="00E87995" w:rsidP="00876E40">
            <w:pPr>
              <w:pStyle w:val="TableText"/>
              <w:spacing w:before="40" w:after="40"/>
              <w:jc w:val="right"/>
              <w:rPr>
                <w:szCs w:val="16"/>
              </w:rPr>
            </w:pPr>
            <w:r w:rsidRPr="009E06AA">
              <w:rPr>
                <w:color w:val="000000"/>
                <w:szCs w:val="16"/>
              </w:rPr>
              <w:t>2.9</w:t>
            </w:r>
          </w:p>
        </w:tc>
        <w:tc>
          <w:tcPr>
            <w:tcW w:w="687" w:type="dxa"/>
            <w:shd w:val="clear" w:color="auto" w:fill="FFFFFF"/>
            <w:tcMar>
              <w:top w:w="0" w:type="dxa"/>
              <w:left w:w="85" w:type="dxa"/>
              <w:bottom w:w="0" w:type="dxa"/>
              <w:right w:w="85" w:type="dxa"/>
            </w:tcMar>
          </w:tcPr>
          <w:p w14:paraId="7E257D86" w14:textId="77777777" w:rsidR="00E87995" w:rsidRPr="009E06AA" w:rsidRDefault="00E87995" w:rsidP="00876E40">
            <w:pPr>
              <w:pStyle w:val="TableText"/>
              <w:spacing w:before="40" w:after="40"/>
              <w:jc w:val="right"/>
              <w:rPr>
                <w:szCs w:val="16"/>
              </w:rPr>
            </w:pPr>
            <w:r w:rsidRPr="009E06AA">
              <w:rPr>
                <w:color w:val="000000"/>
                <w:szCs w:val="16"/>
              </w:rPr>
              <w:t>41.4</w:t>
            </w:r>
          </w:p>
        </w:tc>
        <w:tc>
          <w:tcPr>
            <w:tcW w:w="1013" w:type="pct"/>
            <w:shd w:val="clear" w:color="auto" w:fill="FFFFFF"/>
            <w:tcMar>
              <w:top w:w="0" w:type="dxa"/>
              <w:left w:w="85" w:type="dxa"/>
              <w:bottom w:w="0" w:type="dxa"/>
              <w:right w:w="85" w:type="dxa"/>
            </w:tcMar>
          </w:tcPr>
          <w:p w14:paraId="7F4D7C15" w14:textId="77777777" w:rsidR="00E87995" w:rsidRPr="009E06AA" w:rsidRDefault="00E87995" w:rsidP="00B55F24">
            <w:pPr>
              <w:pStyle w:val="TableText"/>
              <w:spacing w:before="40" w:after="40"/>
              <w:rPr>
                <w:szCs w:val="16"/>
              </w:rPr>
            </w:pPr>
            <w:r w:rsidRPr="009E06AA">
              <w:rPr>
                <w:color w:val="000000"/>
                <w:szCs w:val="16"/>
              </w:rPr>
              <w:t>Interpolation</w:t>
            </w:r>
          </w:p>
        </w:tc>
      </w:tr>
      <w:tr w:rsidR="00E87995" w:rsidRPr="009E06AA" w14:paraId="58646A67" w14:textId="77777777" w:rsidTr="00B55F24">
        <w:tc>
          <w:tcPr>
            <w:tcW w:w="481" w:type="pct"/>
            <w:shd w:val="clear" w:color="auto" w:fill="FFFFFF"/>
            <w:tcMar>
              <w:top w:w="0" w:type="dxa"/>
              <w:left w:w="85" w:type="dxa"/>
              <w:bottom w:w="0" w:type="dxa"/>
              <w:right w:w="85" w:type="dxa"/>
            </w:tcMar>
          </w:tcPr>
          <w:p w14:paraId="7EA32FE3" w14:textId="77777777" w:rsidR="00E87995" w:rsidRPr="009E06AA" w:rsidRDefault="00E87995" w:rsidP="00B55F24">
            <w:pPr>
              <w:pStyle w:val="TableTextBold"/>
              <w:spacing w:before="40" w:after="40"/>
              <w:rPr>
                <w:noProof w:val="0"/>
                <w:szCs w:val="16"/>
              </w:rPr>
            </w:pPr>
            <w:r w:rsidRPr="009E06AA">
              <w:rPr>
                <w:noProof w:val="0"/>
                <w:color w:val="1B556B"/>
                <w:szCs w:val="16"/>
              </w:rPr>
              <w:t>1998</w:t>
            </w:r>
          </w:p>
        </w:tc>
        <w:tc>
          <w:tcPr>
            <w:tcW w:w="322" w:type="pct"/>
            <w:shd w:val="clear" w:color="auto" w:fill="FFFFFF"/>
            <w:tcMar>
              <w:top w:w="0" w:type="dxa"/>
              <w:left w:w="85" w:type="dxa"/>
              <w:bottom w:w="0" w:type="dxa"/>
              <w:right w:w="85" w:type="dxa"/>
            </w:tcMar>
          </w:tcPr>
          <w:p w14:paraId="557105E8" w14:textId="77777777" w:rsidR="00E87995" w:rsidRPr="009E06AA" w:rsidRDefault="00E87995" w:rsidP="00876E40">
            <w:pPr>
              <w:pStyle w:val="TableText"/>
              <w:spacing w:before="40" w:after="40"/>
              <w:jc w:val="right"/>
              <w:rPr>
                <w:szCs w:val="16"/>
              </w:rPr>
            </w:pPr>
            <w:r w:rsidRPr="009E06AA">
              <w:rPr>
                <w:color w:val="000000"/>
                <w:szCs w:val="16"/>
              </w:rPr>
              <w:t>16.2</w:t>
            </w:r>
          </w:p>
        </w:tc>
        <w:tc>
          <w:tcPr>
            <w:tcW w:w="856" w:type="dxa"/>
            <w:shd w:val="clear" w:color="auto" w:fill="FFFFFF"/>
            <w:tcMar>
              <w:top w:w="0" w:type="dxa"/>
              <w:left w:w="85" w:type="dxa"/>
              <w:bottom w:w="0" w:type="dxa"/>
              <w:right w:w="85" w:type="dxa"/>
            </w:tcMar>
          </w:tcPr>
          <w:p w14:paraId="6BFC8B97" w14:textId="77777777" w:rsidR="00E87995" w:rsidRPr="009E06AA" w:rsidRDefault="00E87995" w:rsidP="00876E40">
            <w:pPr>
              <w:pStyle w:val="TableText"/>
              <w:spacing w:before="40" w:after="40"/>
              <w:jc w:val="right"/>
              <w:rPr>
                <w:szCs w:val="16"/>
              </w:rPr>
            </w:pPr>
            <w:r w:rsidRPr="009E06AA">
              <w:rPr>
                <w:color w:val="000000"/>
                <w:szCs w:val="16"/>
              </w:rPr>
              <w:t>10.4</w:t>
            </w:r>
          </w:p>
        </w:tc>
        <w:tc>
          <w:tcPr>
            <w:tcW w:w="753" w:type="dxa"/>
            <w:shd w:val="clear" w:color="auto" w:fill="FFFFFF"/>
            <w:tcMar>
              <w:top w:w="0" w:type="dxa"/>
              <w:left w:w="85" w:type="dxa"/>
              <w:bottom w:w="0" w:type="dxa"/>
              <w:right w:w="85" w:type="dxa"/>
            </w:tcMar>
          </w:tcPr>
          <w:p w14:paraId="528418CA" w14:textId="77777777" w:rsidR="00E87995" w:rsidRPr="009E06AA" w:rsidRDefault="00E87995" w:rsidP="00876E40">
            <w:pPr>
              <w:pStyle w:val="TableText"/>
              <w:spacing w:before="40" w:after="40"/>
              <w:jc w:val="right"/>
              <w:rPr>
                <w:szCs w:val="16"/>
              </w:rPr>
            </w:pPr>
            <w:r w:rsidRPr="009E06AA">
              <w:rPr>
                <w:color w:val="000000"/>
                <w:szCs w:val="16"/>
              </w:rPr>
              <w:t>15.8</w:t>
            </w:r>
          </w:p>
        </w:tc>
        <w:tc>
          <w:tcPr>
            <w:tcW w:w="769" w:type="dxa"/>
            <w:shd w:val="clear" w:color="auto" w:fill="FFFFFF"/>
            <w:tcMar>
              <w:top w:w="0" w:type="dxa"/>
              <w:left w:w="85" w:type="dxa"/>
              <w:bottom w:w="0" w:type="dxa"/>
              <w:right w:w="85" w:type="dxa"/>
            </w:tcMar>
          </w:tcPr>
          <w:p w14:paraId="30B7DDD1" w14:textId="77777777" w:rsidR="00E87995" w:rsidRPr="009E06AA" w:rsidRDefault="00E87995" w:rsidP="00876E40">
            <w:pPr>
              <w:pStyle w:val="TableText"/>
              <w:spacing w:before="40" w:after="40"/>
              <w:jc w:val="right"/>
              <w:rPr>
                <w:szCs w:val="16"/>
              </w:rPr>
            </w:pPr>
            <w:r w:rsidRPr="009E06AA">
              <w:rPr>
                <w:color w:val="000000"/>
                <w:szCs w:val="16"/>
              </w:rPr>
              <w:t>9.4</w:t>
            </w:r>
          </w:p>
        </w:tc>
        <w:tc>
          <w:tcPr>
            <w:tcW w:w="814" w:type="dxa"/>
            <w:shd w:val="clear" w:color="auto" w:fill="FFFFFF"/>
            <w:tcMar>
              <w:top w:w="0" w:type="dxa"/>
              <w:left w:w="85" w:type="dxa"/>
              <w:bottom w:w="0" w:type="dxa"/>
              <w:right w:w="85" w:type="dxa"/>
            </w:tcMar>
          </w:tcPr>
          <w:p w14:paraId="18C56C00" w14:textId="77777777" w:rsidR="00E87995" w:rsidRPr="009E06AA" w:rsidRDefault="00E87995" w:rsidP="00876E40">
            <w:pPr>
              <w:pStyle w:val="TableText"/>
              <w:spacing w:before="40" w:after="40"/>
              <w:jc w:val="right"/>
              <w:rPr>
                <w:szCs w:val="16"/>
              </w:rPr>
            </w:pPr>
            <w:r w:rsidRPr="009E06AA">
              <w:rPr>
                <w:color w:val="000000"/>
                <w:szCs w:val="16"/>
              </w:rPr>
              <w:t>1.6</w:t>
            </w:r>
          </w:p>
        </w:tc>
        <w:tc>
          <w:tcPr>
            <w:tcW w:w="906" w:type="dxa"/>
            <w:shd w:val="clear" w:color="auto" w:fill="FFFFFF"/>
            <w:tcMar>
              <w:top w:w="0" w:type="dxa"/>
              <w:left w:w="85" w:type="dxa"/>
              <w:bottom w:w="0" w:type="dxa"/>
              <w:right w:w="85" w:type="dxa"/>
            </w:tcMar>
          </w:tcPr>
          <w:p w14:paraId="68CD0401" w14:textId="77777777" w:rsidR="00E87995" w:rsidRPr="009E06AA" w:rsidRDefault="00E87995" w:rsidP="00876E40">
            <w:pPr>
              <w:pStyle w:val="TableText"/>
              <w:spacing w:before="40" w:after="40"/>
              <w:jc w:val="right"/>
              <w:rPr>
                <w:szCs w:val="16"/>
              </w:rPr>
            </w:pPr>
            <w:r w:rsidRPr="009E06AA">
              <w:rPr>
                <w:color w:val="000000"/>
                <w:szCs w:val="16"/>
              </w:rPr>
              <w:t>2.7</w:t>
            </w:r>
          </w:p>
        </w:tc>
        <w:tc>
          <w:tcPr>
            <w:tcW w:w="809" w:type="dxa"/>
            <w:shd w:val="clear" w:color="auto" w:fill="FFFFFF"/>
            <w:tcMar>
              <w:top w:w="0" w:type="dxa"/>
              <w:left w:w="85" w:type="dxa"/>
              <w:bottom w:w="0" w:type="dxa"/>
              <w:right w:w="85" w:type="dxa"/>
            </w:tcMar>
          </w:tcPr>
          <w:p w14:paraId="1C1F898F" w14:textId="77777777" w:rsidR="00E87995" w:rsidRPr="009E06AA" w:rsidRDefault="00E87995" w:rsidP="00876E40">
            <w:pPr>
              <w:pStyle w:val="TableText"/>
              <w:spacing w:before="40" w:after="40"/>
              <w:jc w:val="right"/>
              <w:rPr>
                <w:szCs w:val="16"/>
              </w:rPr>
            </w:pPr>
            <w:r w:rsidRPr="009E06AA">
              <w:rPr>
                <w:color w:val="000000"/>
                <w:szCs w:val="16"/>
              </w:rPr>
              <w:t>2.9</w:t>
            </w:r>
          </w:p>
        </w:tc>
        <w:tc>
          <w:tcPr>
            <w:tcW w:w="687" w:type="dxa"/>
            <w:shd w:val="clear" w:color="auto" w:fill="FFFFFF"/>
            <w:tcMar>
              <w:top w:w="0" w:type="dxa"/>
              <w:left w:w="85" w:type="dxa"/>
              <w:bottom w:w="0" w:type="dxa"/>
              <w:right w:w="85" w:type="dxa"/>
            </w:tcMar>
          </w:tcPr>
          <w:p w14:paraId="00ECFBB5" w14:textId="77777777" w:rsidR="00E87995" w:rsidRPr="009E06AA" w:rsidRDefault="00E87995" w:rsidP="00876E40">
            <w:pPr>
              <w:pStyle w:val="TableText"/>
              <w:spacing w:before="40" w:after="40"/>
              <w:jc w:val="right"/>
              <w:rPr>
                <w:szCs w:val="16"/>
              </w:rPr>
            </w:pPr>
            <w:r w:rsidRPr="009E06AA">
              <w:rPr>
                <w:color w:val="000000"/>
                <w:szCs w:val="16"/>
              </w:rPr>
              <w:t>41.0</w:t>
            </w:r>
          </w:p>
        </w:tc>
        <w:tc>
          <w:tcPr>
            <w:tcW w:w="1013" w:type="pct"/>
            <w:shd w:val="clear" w:color="auto" w:fill="FFFFFF"/>
            <w:tcMar>
              <w:top w:w="0" w:type="dxa"/>
              <w:left w:w="85" w:type="dxa"/>
              <w:bottom w:w="0" w:type="dxa"/>
              <w:right w:w="85" w:type="dxa"/>
            </w:tcMar>
          </w:tcPr>
          <w:p w14:paraId="1E81108B" w14:textId="77777777" w:rsidR="00E87995" w:rsidRPr="009E06AA" w:rsidRDefault="00E87995" w:rsidP="00B55F24">
            <w:pPr>
              <w:pStyle w:val="TableText"/>
              <w:spacing w:before="40" w:after="40"/>
              <w:rPr>
                <w:szCs w:val="16"/>
              </w:rPr>
            </w:pPr>
            <w:r w:rsidRPr="009E06AA">
              <w:rPr>
                <w:color w:val="000000"/>
                <w:szCs w:val="16"/>
              </w:rPr>
              <w:t>Interpolation</w:t>
            </w:r>
          </w:p>
        </w:tc>
      </w:tr>
      <w:tr w:rsidR="00E87995" w:rsidRPr="009E06AA" w14:paraId="406B1198" w14:textId="77777777" w:rsidTr="00B55F24">
        <w:tc>
          <w:tcPr>
            <w:tcW w:w="481" w:type="pct"/>
            <w:shd w:val="clear" w:color="auto" w:fill="FFFFFF"/>
            <w:tcMar>
              <w:top w:w="0" w:type="dxa"/>
              <w:left w:w="85" w:type="dxa"/>
              <w:bottom w:w="0" w:type="dxa"/>
              <w:right w:w="85" w:type="dxa"/>
            </w:tcMar>
          </w:tcPr>
          <w:p w14:paraId="1F52E8D2" w14:textId="77777777" w:rsidR="00E87995" w:rsidRPr="009E06AA" w:rsidRDefault="00E87995" w:rsidP="00B55F24">
            <w:pPr>
              <w:pStyle w:val="TableTextBold"/>
              <w:spacing w:before="40" w:after="40"/>
              <w:rPr>
                <w:noProof w:val="0"/>
                <w:szCs w:val="16"/>
              </w:rPr>
            </w:pPr>
            <w:r w:rsidRPr="009E06AA">
              <w:rPr>
                <w:noProof w:val="0"/>
                <w:color w:val="1B556B"/>
                <w:szCs w:val="16"/>
              </w:rPr>
              <w:t>1999</w:t>
            </w:r>
          </w:p>
        </w:tc>
        <w:tc>
          <w:tcPr>
            <w:tcW w:w="322" w:type="pct"/>
            <w:shd w:val="clear" w:color="auto" w:fill="FFFFFF"/>
            <w:tcMar>
              <w:top w:w="0" w:type="dxa"/>
              <w:left w:w="85" w:type="dxa"/>
              <w:bottom w:w="0" w:type="dxa"/>
              <w:right w:w="85" w:type="dxa"/>
            </w:tcMar>
          </w:tcPr>
          <w:p w14:paraId="4ABA7197" w14:textId="77777777" w:rsidR="00E87995" w:rsidRPr="009E06AA" w:rsidRDefault="00E87995" w:rsidP="00876E40">
            <w:pPr>
              <w:pStyle w:val="TableText"/>
              <w:spacing w:before="40" w:after="40"/>
              <w:jc w:val="right"/>
              <w:rPr>
                <w:szCs w:val="16"/>
              </w:rPr>
            </w:pPr>
            <w:r w:rsidRPr="009E06AA">
              <w:rPr>
                <w:color w:val="000000"/>
                <w:szCs w:val="16"/>
              </w:rPr>
              <w:t>15.9</w:t>
            </w:r>
          </w:p>
        </w:tc>
        <w:tc>
          <w:tcPr>
            <w:tcW w:w="856" w:type="dxa"/>
            <w:shd w:val="clear" w:color="auto" w:fill="FFFFFF"/>
            <w:tcMar>
              <w:top w:w="0" w:type="dxa"/>
              <w:left w:w="85" w:type="dxa"/>
              <w:bottom w:w="0" w:type="dxa"/>
              <w:right w:w="85" w:type="dxa"/>
            </w:tcMar>
          </w:tcPr>
          <w:p w14:paraId="6DA49B9F" w14:textId="77777777" w:rsidR="00E87995" w:rsidRPr="009E06AA" w:rsidRDefault="00E87995" w:rsidP="00876E40">
            <w:pPr>
              <w:pStyle w:val="TableText"/>
              <w:spacing w:before="40" w:after="40"/>
              <w:jc w:val="right"/>
              <w:rPr>
                <w:szCs w:val="16"/>
              </w:rPr>
            </w:pPr>
            <w:r w:rsidRPr="009E06AA">
              <w:rPr>
                <w:color w:val="000000"/>
                <w:szCs w:val="16"/>
              </w:rPr>
              <w:t>10.1</w:t>
            </w:r>
          </w:p>
        </w:tc>
        <w:tc>
          <w:tcPr>
            <w:tcW w:w="753" w:type="dxa"/>
            <w:shd w:val="clear" w:color="auto" w:fill="FFFFFF"/>
            <w:tcMar>
              <w:top w:w="0" w:type="dxa"/>
              <w:left w:w="85" w:type="dxa"/>
              <w:bottom w:w="0" w:type="dxa"/>
              <w:right w:w="85" w:type="dxa"/>
            </w:tcMar>
          </w:tcPr>
          <w:p w14:paraId="5EF326EF" w14:textId="77777777" w:rsidR="00E87995" w:rsidRPr="009E06AA" w:rsidRDefault="00E87995" w:rsidP="00876E40">
            <w:pPr>
              <w:pStyle w:val="TableText"/>
              <w:spacing w:before="40" w:after="40"/>
              <w:jc w:val="right"/>
              <w:rPr>
                <w:szCs w:val="16"/>
              </w:rPr>
            </w:pPr>
            <w:r w:rsidRPr="009E06AA">
              <w:rPr>
                <w:color w:val="000000"/>
                <w:szCs w:val="16"/>
              </w:rPr>
              <w:t>15.7</w:t>
            </w:r>
          </w:p>
        </w:tc>
        <w:tc>
          <w:tcPr>
            <w:tcW w:w="769" w:type="dxa"/>
            <w:shd w:val="clear" w:color="auto" w:fill="FFFFFF"/>
            <w:tcMar>
              <w:top w:w="0" w:type="dxa"/>
              <w:left w:w="85" w:type="dxa"/>
              <w:bottom w:w="0" w:type="dxa"/>
              <w:right w:w="85" w:type="dxa"/>
            </w:tcMar>
          </w:tcPr>
          <w:p w14:paraId="3129888D" w14:textId="77777777" w:rsidR="00E87995" w:rsidRPr="009E06AA" w:rsidRDefault="00E87995" w:rsidP="00876E40">
            <w:pPr>
              <w:pStyle w:val="TableText"/>
              <w:spacing w:before="40" w:after="40"/>
              <w:jc w:val="right"/>
              <w:rPr>
                <w:szCs w:val="16"/>
              </w:rPr>
            </w:pPr>
            <w:r w:rsidRPr="009E06AA">
              <w:rPr>
                <w:color w:val="000000"/>
                <w:szCs w:val="16"/>
              </w:rPr>
              <w:t>10.1</w:t>
            </w:r>
          </w:p>
        </w:tc>
        <w:tc>
          <w:tcPr>
            <w:tcW w:w="814" w:type="dxa"/>
            <w:shd w:val="clear" w:color="auto" w:fill="FFFFFF"/>
            <w:tcMar>
              <w:top w:w="0" w:type="dxa"/>
              <w:left w:w="85" w:type="dxa"/>
              <w:bottom w:w="0" w:type="dxa"/>
              <w:right w:w="85" w:type="dxa"/>
            </w:tcMar>
          </w:tcPr>
          <w:p w14:paraId="21684804" w14:textId="77777777" w:rsidR="00E87995" w:rsidRPr="009E06AA" w:rsidRDefault="00E87995" w:rsidP="00876E40">
            <w:pPr>
              <w:pStyle w:val="TableText"/>
              <w:spacing w:before="40" w:after="40"/>
              <w:jc w:val="right"/>
              <w:rPr>
                <w:szCs w:val="16"/>
              </w:rPr>
            </w:pPr>
            <w:r w:rsidRPr="009E06AA">
              <w:rPr>
                <w:color w:val="000000"/>
                <w:szCs w:val="16"/>
              </w:rPr>
              <w:t>2.0</w:t>
            </w:r>
          </w:p>
        </w:tc>
        <w:tc>
          <w:tcPr>
            <w:tcW w:w="906" w:type="dxa"/>
            <w:shd w:val="clear" w:color="auto" w:fill="FFFFFF"/>
            <w:tcMar>
              <w:top w:w="0" w:type="dxa"/>
              <w:left w:w="85" w:type="dxa"/>
              <w:bottom w:w="0" w:type="dxa"/>
              <w:right w:w="85" w:type="dxa"/>
            </w:tcMar>
          </w:tcPr>
          <w:p w14:paraId="389F7D2C" w14:textId="77777777" w:rsidR="00E87995" w:rsidRPr="009E06AA" w:rsidRDefault="00E87995" w:rsidP="00876E40">
            <w:pPr>
              <w:pStyle w:val="TableText"/>
              <w:spacing w:before="40" w:after="40"/>
              <w:jc w:val="right"/>
              <w:rPr>
                <w:szCs w:val="16"/>
              </w:rPr>
            </w:pPr>
            <w:r w:rsidRPr="009E06AA">
              <w:rPr>
                <w:color w:val="000000"/>
                <w:szCs w:val="16"/>
              </w:rPr>
              <w:t>2.7</w:t>
            </w:r>
          </w:p>
        </w:tc>
        <w:tc>
          <w:tcPr>
            <w:tcW w:w="809" w:type="dxa"/>
            <w:shd w:val="clear" w:color="auto" w:fill="FFFFFF"/>
            <w:tcMar>
              <w:top w:w="0" w:type="dxa"/>
              <w:left w:w="85" w:type="dxa"/>
              <w:bottom w:w="0" w:type="dxa"/>
              <w:right w:w="85" w:type="dxa"/>
            </w:tcMar>
          </w:tcPr>
          <w:p w14:paraId="5991D1E8" w14:textId="77777777" w:rsidR="00E87995" w:rsidRPr="009E06AA" w:rsidRDefault="00E87995" w:rsidP="00876E40">
            <w:pPr>
              <w:pStyle w:val="TableText"/>
              <w:spacing w:before="40" w:after="40"/>
              <w:jc w:val="right"/>
              <w:rPr>
                <w:szCs w:val="16"/>
              </w:rPr>
            </w:pPr>
            <w:r w:rsidRPr="009E06AA">
              <w:rPr>
                <w:color w:val="000000"/>
                <w:szCs w:val="16"/>
              </w:rPr>
              <w:t>2.9</w:t>
            </w:r>
          </w:p>
        </w:tc>
        <w:tc>
          <w:tcPr>
            <w:tcW w:w="687" w:type="dxa"/>
            <w:shd w:val="clear" w:color="auto" w:fill="FFFFFF"/>
            <w:tcMar>
              <w:top w:w="0" w:type="dxa"/>
              <w:left w:w="85" w:type="dxa"/>
              <w:bottom w:w="0" w:type="dxa"/>
              <w:right w:w="85" w:type="dxa"/>
            </w:tcMar>
          </w:tcPr>
          <w:p w14:paraId="4A2E91B7" w14:textId="77777777" w:rsidR="00E87995" w:rsidRPr="009E06AA" w:rsidRDefault="00E87995" w:rsidP="00876E40">
            <w:pPr>
              <w:pStyle w:val="TableText"/>
              <w:spacing w:before="40" w:after="40"/>
              <w:jc w:val="right"/>
              <w:rPr>
                <w:szCs w:val="16"/>
              </w:rPr>
            </w:pPr>
            <w:r w:rsidRPr="009E06AA">
              <w:rPr>
                <w:color w:val="000000"/>
                <w:szCs w:val="16"/>
              </w:rPr>
              <w:t>40.6</w:t>
            </w:r>
          </w:p>
        </w:tc>
        <w:tc>
          <w:tcPr>
            <w:tcW w:w="1013" w:type="pct"/>
            <w:shd w:val="clear" w:color="auto" w:fill="FFFFFF"/>
            <w:tcMar>
              <w:top w:w="0" w:type="dxa"/>
              <w:left w:w="85" w:type="dxa"/>
              <w:bottom w:w="0" w:type="dxa"/>
              <w:right w:w="85" w:type="dxa"/>
            </w:tcMar>
          </w:tcPr>
          <w:p w14:paraId="7798EA8D" w14:textId="77777777" w:rsidR="00E87995" w:rsidRPr="009E06AA" w:rsidRDefault="00E87995" w:rsidP="00B55F24">
            <w:pPr>
              <w:pStyle w:val="TableText"/>
              <w:spacing w:before="40" w:after="40"/>
              <w:rPr>
                <w:szCs w:val="16"/>
              </w:rPr>
            </w:pPr>
            <w:r w:rsidRPr="009E06AA">
              <w:rPr>
                <w:color w:val="000000"/>
                <w:szCs w:val="16"/>
              </w:rPr>
              <w:t>Interpolation</w:t>
            </w:r>
          </w:p>
        </w:tc>
      </w:tr>
      <w:tr w:rsidR="00E87995" w:rsidRPr="009E06AA" w14:paraId="678AF90F" w14:textId="77777777" w:rsidTr="00B55F24">
        <w:tc>
          <w:tcPr>
            <w:tcW w:w="481" w:type="pct"/>
            <w:shd w:val="clear" w:color="auto" w:fill="FFFFFF"/>
            <w:tcMar>
              <w:top w:w="0" w:type="dxa"/>
              <w:left w:w="85" w:type="dxa"/>
              <w:bottom w:w="0" w:type="dxa"/>
              <w:right w:w="85" w:type="dxa"/>
            </w:tcMar>
          </w:tcPr>
          <w:p w14:paraId="668EBD1F" w14:textId="77777777" w:rsidR="00E87995" w:rsidRPr="009E06AA" w:rsidRDefault="00E87995" w:rsidP="00B55F24">
            <w:pPr>
              <w:pStyle w:val="TableTextBold"/>
              <w:spacing w:before="40" w:after="40"/>
              <w:rPr>
                <w:noProof w:val="0"/>
                <w:szCs w:val="16"/>
              </w:rPr>
            </w:pPr>
            <w:r w:rsidRPr="009E06AA">
              <w:rPr>
                <w:noProof w:val="0"/>
                <w:color w:val="1B556B"/>
                <w:szCs w:val="16"/>
              </w:rPr>
              <w:t>2000</w:t>
            </w:r>
          </w:p>
        </w:tc>
        <w:tc>
          <w:tcPr>
            <w:tcW w:w="322" w:type="pct"/>
            <w:shd w:val="clear" w:color="auto" w:fill="FFFFFF"/>
            <w:tcMar>
              <w:top w:w="0" w:type="dxa"/>
              <w:left w:w="85" w:type="dxa"/>
              <w:bottom w:w="0" w:type="dxa"/>
              <w:right w:w="85" w:type="dxa"/>
            </w:tcMar>
          </w:tcPr>
          <w:p w14:paraId="0CFA445A" w14:textId="77777777" w:rsidR="00E87995" w:rsidRPr="009E06AA" w:rsidRDefault="00E87995" w:rsidP="00876E40">
            <w:pPr>
              <w:pStyle w:val="TableText"/>
              <w:spacing w:before="40" w:after="40"/>
              <w:jc w:val="right"/>
              <w:rPr>
                <w:szCs w:val="16"/>
              </w:rPr>
            </w:pPr>
            <w:r w:rsidRPr="009E06AA">
              <w:rPr>
                <w:color w:val="000000"/>
                <w:szCs w:val="16"/>
              </w:rPr>
              <w:t>15.5</w:t>
            </w:r>
          </w:p>
        </w:tc>
        <w:tc>
          <w:tcPr>
            <w:tcW w:w="856" w:type="dxa"/>
            <w:shd w:val="clear" w:color="auto" w:fill="FFFFFF"/>
            <w:tcMar>
              <w:top w:w="0" w:type="dxa"/>
              <w:left w:w="85" w:type="dxa"/>
              <w:bottom w:w="0" w:type="dxa"/>
              <w:right w:w="85" w:type="dxa"/>
            </w:tcMar>
          </w:tcPr>
          <w:p w14:paraId="781CEE5C" w14:textId="77777777" w:rsidR="00E87995" w:rsidRPr="009E06AA" w:rsidRDefault="00E87995" w:rsidP="00876E40">
            <w:pPr>
              <w:pStyle w:val="TableText"/>
              <w:spacing w:before="40" w:after="40"/>
              <w:jc w:val="right"/>
              <w:rPr>
                <w:szCs w:val="16"/>
              </w:rPr>
            </w:pPr>
            <w:r w:rsidRPr="009E06AA">
              <w:rPr>
                <w:color w:val="000000"/>
                <w:szCs w:val="16"/>
              </w:rPr>
              <w:t>9.9</w:t>
            </w:r>
          </w:p>
        </w:tc>
        <w:tc>
          <w:tcPr>
            <w:tcW w:w="753" w:type="dxa"/>
            <w:shd w:val="clear" w:color="auto" w:fill="FFFFFF"/>
            <w:tcMar>
              <w:top w:w="0" w:type="dxa"/>
              <w:left w:w="85" w:type="dxa"/>
              <w:bottom w:w="0" w:type="dxa"/>
              <w:right w:w="85" w:type="dxa"/>
            </w:tcMar>
          </w:tcPr>
          <w:p w14:paraId="08F12C12" w14:textId="77777777" w:rsidR="00E87995" w:rsidRPr="009E06AA" w:rsidRDefault="00E87995" w:rsidP="00876E40">
            <w:pPr>
              <w:pStyle w:val="TableText"/>
              <w:spacing w:before="40" w:after="40"/>
              <w:jc w:val="right"/>
              <w:rPr>
                <w:szCs w:val="16"/>
              </w:rPr>
            </w:pPr>
            <w:r w:rsidRPr="009E06AA">
              <w:rPr>
                <w:color w:val="000000"/>
                <w:szCs w:val="16"/>
              </w:rPr>
              <w:t>15.5</w:t>
            </w:r>
          </w:p>
        </w:tc>
        <w:tc>
          <w:tcPr>
            <w:tcW w:w="769" w:type="dxa"/>
            <w:shd w:val="clear" w:color="auto" w:fill="FFFFFF"/>
            <w:tcMar>
              <w:top w:w="0" w:type="dxa"/>
              <w:left w:w="85" w:type="dxa"/>
              <w:bottom w:w="0" w:type="dxa"/>
              <w:right w:w="85" w:type="dxa"/>
            </w:tcMar>
          </w:tcPr>
          <w:p w14:paraId="273470B4" w14:textId="77777777" w:rsidR="00E87995" w:rsidRPr="009E06AA" w:rsidRDefault="00E87995" w:rsidP="00876E40">
            <w:pPr>
              <w:pStyle w:val="TableText"/>
              <w:spacing w:before="40" w:after="40"/>
              <w:jc w:val="right"/>
              <w:rPr>
                <w:szCs w:val="16"/>
              </w:rPr>
            </w:pPr>
            <w:r w:rsidRPr="009E06AA">
              <w:rPr>
                <w:color w:val="000000"/>
                <w:szCs w:val="16"/>
              </w:rPr>
              <w:t>10.9</w:t>
            </w:r>
          </w:p>
        </w:tc>
        <w:tc>
          <w:tcPr>
            <w:tcW w:w="814" w:type="dxa"/>
            <w:shd w:val="clear" w:color="auto" w:fill="FFFFFF"/>
            <w:tcMar>
              <w:top w:w="0" w:type="dxa"/>
              <w:left w:w="85" w:type="dxa"/>
              <w:bottom w:w="0" w:type="dxa"/>
              <w:right w:w="85" w:type="dxa"/>
            </w:tcMar>
          </w:tcPr>
          <w:p w14:paraId="21D46BC7" w14:textId="77777777" w:rsidR="00E87995" w:rsidRPr="009E06AA" w:rsidRDefault="00E87995" w:rsidP="00876E40">
            <w:pPr>
              <w:pStyle w:val="TableText"/>
              <w:spacing w:before="40" w:after="40"/>
              <w:jc w:val="right"/>
              <w:rPr>
                <w:szCs w:val="16"/>
              </w:rPr>
            </w:pPr>
            <w:r w:rsidRPr="009E06AA">
              <w:rPr>
                <w:color w:val="000000"/>
                <w:szCs w:val="16"/>
              </w:rPr>
              <w:t>2.4</w:t>
            </w:r>
          </w:p>
        </w:tc>
        <w:tc>
          <w:tcPr>
            <w:tcW w:w="906" w:type="dxa"/>
            <w:shd w:val="clear" w:color="auto" w:fill="FFFFFF"/>
            <w:tcMar>
              <w:top w:w="0" w:type="dxa"/>
              <w:left w:w="85" w:type="dxa"/>
              <w:bottom w:w="0" w:type="dxa"/>
              <w:right w:w="85" w:type="dxa"/>
            </w:tcMar>
          </w:tcPr>
          <w:p w14:paraId="6D378895" w14:textId="77777777" w:rsidR="00E87995" w:rsidRPr="009E06AA" w:rsidRDefault="00E87995" w:rsidP="00876E40">
            <w:pPr>
              <w:pStyle w:val="TableText"/>
              <w:spacing w:before="40" w:after="40"/>
              <w:jc w:val="right"/>
              <w:rPr>
                <w:szCs w:val="16"/>
              </w:rPr>
            </w:pPr>
            <w:r w:rsidRPr="009E06AA">
              <w:rPr>
                <w:color w:val="000000"/>
                <w:szCs w:val="16"/>
              </w:rPr>
              <w:t>2.7</w:t>
            </w:r>
          </w:p>
        </w:tc>
        <w:tc>
          <w:tcPr>
            <w:tcW w:w="809" w:type="dxa"/>
            <w:shd w:val="clear" w:color="auto" w:fill="FFFFFF"/>
            <w:tcMar>
              <w:top w:w="0" w:type="dxa"/>
              <w:left w:w="85" w:type="dxa"/>
              <w:bottom w:w="0" w:type="dxa"/>
              <w:right w:w="85" w:type="dxa"/>
            </w:tcMar>
          </w:tcPr>
          <w:p w14:paraId="067FAD6D" w14:textId="77777777" w:rsidR="00E87995" w:rsidRPr="009E06AA" w:rsidRDefault="00E87995" w:rsidP="00876E40">
            <w:pPr>
              <w:pStyle w:val="TableText"/>
              <w:spacing w:before="40" w:after="40"/>
              <w:jc w:val="right"/>
              <w:rPr>
                <w:szCs w:val="16"/>
              </w:rPr>
            </w:pPr>
            <w:r w:rsidRPr="009E06AA">
              <w:rPr>
                <w:color w:val="000000"/>
                <w:szCs w:val="16"/>
              </w:rPr>
              <w:t>2.9</w:t>
            </w:r>
          </w:p>
        </w:tc>
        <w:tc>
          <w:tcPr>
            <w:tcW w:w="687" w:type="dxa"/>
            <w:shd w:val="clear" w:color="auto" w:fill="FFFFFF"/>
            <w:tcMar>
              <w:top w:w="0" w:type="dxa"/>
              <w:left w:w="85" w:type="dxa"/>
              <w:bottom w:w="0" w:type="dxa"/>
              <w:right w:w="85" w:type="dxa"/>
            </w:tcMar>
          </w:tcPr>
          <w:p w14:paraId="6B2CD449" w14:textId="77777777" w:rsidR="00E87995" w:rsidRPr="009E06AA" w:rsidRDefault="00E87995" w:rsidP="00876E40">
            <w:pPr>
              <w:pStyle w:val="TableText"/>
              <w:spacing w:before="40" w:after="40"/>
              <w:jc w:val="right"/>
              <w:rPr>
                <w:szCs w:val="16"/>
              </w:rPr>
            </w:pPr>
            <w:r w:rsidRPr="009E06AA">
              <w:rPr>
                <w:color w:val="000000"/>
                <w:szCs w:val="16"/>
              </w:rPr>
              <w:t>40.1</w:t>
            </w:r>
          </w:p>
        </w:tc>
        <w:tc>
          <w:tcPr>
            <w:tcW w:w="1013" w:type="pct"/>
            <w:shd w:val="clear" w:color="auto" w:fill="FFFFFF"/>
            <w:tcMar>
              <w:top w:w="0" w:type="dxa"/>
              <w:left w:w="85" w:type="dxa"/>
              <w:bottom w:w="0" w:type="dxa"/>
              <w:right w:w="85" w:type="dxa"/>
            </w:tcMar>
          </w:tcPr>
          <w:p w14:paraId="31D8DC5F" w14:textId="77777777" w:rsidR="00E87995" w:rsidRPr="009E06AA" w:rsidRDefault="00E87995" w:rsidP="00B55F24">
            <w:pPr>
              <w:pStyle w:val="TableText"/>
              <w:spacing w:before="40" w:after="40"/>
              <w:rPr>
                <w:szCs w:val="16"/>
              </w:rPr>
            </w:pPr>
            <w:r w:rsidRPr="009E06AA">
              <w:rPr>
                <w:color w:val="000000"/>
                <w:szCs w:val="16"/>
              </w:rPr>
              <w:t>Interpolation</w:t>
            </w:r>
          </w:p>
        </w:tc>
      </w:tr>
      <w:tr w:rsidR="00E87995" w:rsidRPr="009E06AA" w14:paraId="09213EE9" w14:textId="77777777" w:rsidTr="00B55F24">
        <w:tc>
          <w:tcPr>
            <w:tcW w:w="481" w:type="pct"/>
            <w:shd w:val="clear" w:color="auto" w:fill="FFFFFF"/>
            <w:tcMar>
              <w:top w:w="0" w:type="dxa"/>
              <w:left w:w="85" w:type="dxa"/>
              <w:bottom w:w="0" w:type="dxa"/>
              <w:right w:w="85" w:type="dxa"/>
            </w:tcMar>
          </w:tcPr>
          <w:p w14:paraId="59819867" w14:textId="77777777" w:rsidR="00E87995" w:rsidRPr="009E06AA" w:rsidRDefault="00E87995" w:rsidP="00B55F24">
            <w:pPr>
              <w:pStyle w:val="TableTextBold"/>
              <w:spacing w:before="40" w:after="40"/>
              <w:rPr>
                <w:noProof w:val="0"/>
                <w:szCs w:val="16"/>
              </w:rPr>
            </w:pPr>
            <w:r w:rsidRPr="009E06AA">
              <w:rPr>
                <w:noProof w:val="0"/>
                <w:color w:val="1B556B"/>
                <w:szCs w:val="16"/>
              </w:rPr>
              <w:t>2001</w:t>
            </w:r>
          </w:p>
        </w:tc>
        <w:tc>
          <w:tcPr>
            <w:tcW w:w="322" w:type="pct"/>
            <w:shd w:val="clear" w:color="auto" w:fill="FFFFFF"/>
            <w:tcMar>
              <w:top w:w="0" w:type="dxa"/>
              <w:left w:w="85" w:type="dxa"/>
              <w:bottom w:w="0" w:type="dxa"/>
              <w:right w:w="85" w:type="dxa"/>
            </w:tcMar>
          </w:tcPr>
          <w:p w14:paraId="5BC08D18" w14:textId="77777777" w:rsidR="00E87995" w:rsidRPr="009E06AA" w:rsidRDefault="00E87995" w:rsidP="00876E40">
            <w:pPr>
              <w:pStyle w:val="TableText"/>
              <w:spacing w:before="40" w:after="40"/>
              <w:jc w:val="right"/>
              <w:rPr>
                <w:szCs w:val="16"/>
              </w:rPr>
            </w:pPr>
            <w:r w:rsidRPr="009E06AA">
              <w:rPr>
                <w:color w:val="000000"/>
                <w:szCs w:val="16"/>
              </w:rPr>
              <w:t>15.2</w:t>
            </w:r>
          </w:p>
        </w:tc>
        <w:tc>
          <w:tcPr>
            <w:tcW w:w="856" w:type="dxa"/>
            <w:shd w:val="clear" w:color="auto" w:fill="FFFFFF"/>
            <w:tcMar>
              <w:top w:w="0" w:type="dxa"/>
              <w:left w:w="85" w:type="dxa"/>
              <w:bottom w:w="0" w:type="dxa"/>
              <w:right w:w="85" w:type="dxa"/>
            </w:tcMar>
          </w:tcPr>
          <w:p w14:paraId="04F1BE38" w14:textId="77777777" w:rsidR="00E87995" w:rsidRPr="009E06AA" w:rsidRDefault="00E87995" w:rsidP="00876E40">
            <w:pPr>
              <w:pStyle w:val="TableText"/>
              <w:spacing w:before="40" w:after="40"/>
              <w:jc w:val="right"/>
              <w:rPr>
                <w:szCs w:val="16"/>
              </w:rPr>
            </w:pPr>
            <w:r w:rsidRPr="009E06AA">
              <w:rPr>
                <w:color w:val="000000"/>
                <w:szCs w:val="16"/>
              </w:rPr>
              <w:t>9.7</w:t>
            </w:r>
          </w:p>
        </w:tc>
        <w:tc>
          <w:tcPr>
            <w:tcW w:w="753" w:type="dxa"/>
            <w:shd w:val="clear" w:color="auto" w:fill="FFFFFF"/>
            <w:tcMar>
              <w:top w:w="0" w:type="dxa"/>
              <w:left w:w="85" w:type="dxa"/>
              <w:bottom w:w="0" w:type="dxa"/>
              <w:right w:w="85" w:type="dxa"/>
            </w:tcMar>
          </w:tcPr>
          <w:p w14:paraId="491B1E6B" w14:textId="77777777" w:rsidR="00E87995" w:rsidRPr="009E06AA" w:rsidRDefault="00E87995" w:rsidP="00876E40">
            <w:pPr>
              <w:pStyle w:val="TableText"/>
              <w:spacing w:before="40" w:after="40"/>
              <w:jc w:val="right"/>
              <w:rPr>
                <w:szCs w:val="16"/>
              </w:rPr>
            </w:pPr>
            <w:r w:rsidRPr="009E06AA">
              <w:rPr>
                <w:color w:val="000000"/>
                <w:szCs w:val="16"/>
              </w:rPr>
              <w:t>15.4</w:t>
            </w:r>
          </w:p>
        </w:tc>
        <w:tc>
          <w:tcPr>
            <w:tcW w:w="769" w:type="dxa"/>
            <w:shd w:val="clear" w:color="auto" w:fill="FFFFFF"/>
            <w:tcMar>
              <w:top w:w="0" w:type="dxa"/>
              <w:left w:w="85" w:type="dxa"/>
              <w:bottom w:w="0" w:type="dxa"/>
              <w:right w:w="85" w:type="dxa"/>
            </w:tcMar>
          </w:tcPr>
          <w:p w14:paraId="306AD1ED" w14:textId="77777777" w:rsidR="00E87995" w:rsidRPr="009E06AA" w:rsidRDefault="00E87995" w:rsidP="00876E40">
            <w:pPr>
              <w:pStyle w:val="TableText"/>
              <w:spacing w:before="40" w:after="40"/>
              <w:jc w:val="right"/>
              <w:rPr>
                <w:szCs w:val="16"/>
              </w:rPr>
            </w:pPr>
            <w:r w:rsidRPr="009E06AA">
              <w:rPr>
                <w:color w:val="000000"/>
                <w:szCs w:val="16"/>
              </w:rPr>
              <w:t>11.6</w:t>
            </w:r>
          </w:p>
        </w:tc>
        <w:tc>
          <w:tcPr>
            <w:tcW w:w="814" w:type="dxa"/>
            <w:shd w:val="clear" w:color="auto" w:fill="FFFFFF"/>
            <w:tcMar>
              <w:top w:w="0" w:type="dxa"/>
              <w:left w:w="85" w:type="dxa"/>
              <w:bottom w:w="0" w:type="dxa"/>
              <w:right w:w="85" w:type="dxa"/>
            </w:tcMar>
          </w:tcPr>
          <w:p w14:paraId="0D044FE3" w14:textId="77777777" w:rsidR="00E87995" w:rsidRPr="009E06AA" w:rsidRDefault="00E87995" w:rsidP="00876E40">
            <w:pPr>
              <w:pStyle w:val="TableText"/>
              <w:spacing w:before="40" w:after="40"/>
              <w:jc w:val="right"/>
              <w:rPr>
                <w:szCs w:val="16"/>
              </w:rPr>
            </w:pPr>
            <w:r w:rsidRPr="009E06AA">
              <w:rPr>
                <w:color w:val="000000"/>
                <w:szCs w:val="16"/>
              </w:rPr>
              <w:t>2.8</w:t>
            </w:r>
          </w:p>
        </w:tc>
        <w:tc>
          <w:tcPr>
            <w:tcW w:w="906" w:type="dxa"/>
            <w:shd w:val="clear" w:color="auto" w:fill="FFFFFF"/>
            <w:tcMar>
              <w:top w:w="0" w:type="dxa"/>
              <w:left w:w="85" w:type="dxa"/>
              <w:bottom w:w="0" w:type="dxa"/>
              <w:right w:w="85" w:type="dxa"/>
            </w:tcMar>
          </w:tcPr>
          <w:p w14:paraId="79796252" w14:textId="77777777" w:rsidR="00E87995" w:rsidRPr="009E06AA" w:rsidRDefault="00E87995" w:rsidP="00876E40">
            <w:pPr>
              <w:pStyle w:val="TableText"/>
              <w:spacing w:before="40" w:after="40"/>
              <w:jc w:val="right"/>
              <w:rPr>
                <w:szCs w:val="16"/>
              </w:rPr>
            </w:pPr>
            <w:r w:rsidRPr="009E06AA">
              <w:rPr>
                <w:color w:val="000000"/>
                <w:szCs w:val="16"/>
              </w:rPr>
              <w:t>2.7</w:t>
            </w:r>
          </w:p>
        </w:tc>
        <w:tc>
          <w:tcPr>
            <w:tcW w:w="809" w:type="dxa"/>
            <w:shd w:val="clear" w:color="auto" w:fill="FFFFFF"/>
            <w:tcMar>
              <w:top w:w="0" w:type="dxa"/>
              <w:left w:w="85" w:type="dxa"/>
              <w:bottom w:w="0" w:type="dxa"/>
              <w:right w:w="85" w:type="dxa"/>
            </w:tcMar>
          </w:tcPr>
          <w:p w14:paraId="40BDE018" w14:textId="77777777" w:rsidR="00E87995" w:rsidRPr="009E06AA" w:rsidRDefault="00E87995" w:rsidP="00876E40">
            <w:pPr>
              <w:pStyle w:val="TableText"/>
              <w:spacing w:before="40" w:after="40"/>
              <w:jc w:val="right"/>
              <w:rPr>
                <w:szCs w:val="16"/>
              </w:rPr>
            </w:pPr>
            <w:r w:rsidRPr="009E06AA">
              <w:rPr>
                <w:color w:val="000000"/>
                <w:szCs w:val="16"/>
              </w:rPr>
              <w:t>2.9</w:t>
            </w:r>
          </w:p>
        </w:tc>
        <w:tc>
          <w:tcPr>
            <w:tcW w:w="687" w:type="dxa"/>
            <w:shd w:val="clear" w:color="auto" w:fill="FFFFFF"/>
            <w:tcMar>
              <w:top w:w="0" w:type="dxa"/>
              <w:left w:w="85" w:type="dxa"/>
              <w:bottom w:w="0" w:type="dxa"/>
              <w:right w:w="85" w:type="dxa"/>
            </w:tcMar>
          </w:tcPr>
          <w:p w14:paraId="4F4ADFBF" w14:textId="77777777" w:rsidR="00E87995" w:rsidRPr="009E06AA" w:rsidRDefault="00E87995" w:rsidP="00876E40">
            <w:pPr>
              <w:pStyle w:val="TableText"/>
              <w:spacing w:before="40" w:after="40"/>
              <w:jc w:val="right"/>
              <w:rPr>
                <w:szCs w:val="16"/>
              </w:rPr>
            </w:pPr>
            <w:r w:rsidRPr="009E06AA">
              <w:rPr>
                <w:color w:val="000000"/>
                <w:szCs w:val="16"/>
              </w:rPr>
              <w:t>39.7</w:t>
            </w:r>
          </w:p>
        </w:tc>
        <w:tc>
          <w:tcPr>
            <w:tcW w:w="1013" w:type="pct"/>
            <w:shd w:val="clear" w:color="auto" w:fill="FFFFFF"/>
            <w:tcMar>
              <w:top w:w="0" w:type="dxa"/>
              <w:left w:w="85" w:type="dxa"/>
              <w:bottom w:w="0" w:type="dxa"/>
              <w:right w:w="85" w:type="dxa"/>
            </w:tcMar>
          </w:tcPr>
          <w:p w14:paraId="067672DD" w14:textId="77777777" w:rsidR="00E87995" w:rsidRPr="009E06AA" w:rsidRDefault="00E87995" w:rsidP="00B55F24">
            <w:pPr>
              <w:pStyle w:val="TableText"/>
              <w:spacing w:before="40" w:after="40"/>
              <w:rPr>
                <w:szCs w:val="16"/>
              </w:rPr>
            </w:pPr>
            <w:r w:rsidRPr="009E06AA">
              <w:rPr>
                <w:color w:val="000000"/>
                <w:szCs w:val="16"/>
              </w:rPr>
              <w:t>Interpolation</w:t>
            </w:r>
          </w:p>
        </w:tc>
      </w:tr>
      <w:tr w:rsidR="00E87995" w:rsidRPr="009E06AA" w14:paraId="30EB96DC" w14:textId="77777777" w:rsidTr="00B55F24">
        <w:tc>
          <w:tcPr>
            <w:tcW w:w="481" w:type="pct"/>
            <w:shd w:val="clear" w:color="auto" w:fill="FFFFFF"/>
            <w:tcMar>
              <w:top w:w="0" w:type="dxa"/>
              <w:left w:w="85" w:type="dxa"/>
              <w:bottom w:w="0" w:type="dxa"/>
              <w:right w:w="85" w:type="dxa"/>
            </w:tcMar>
          </w:tcPr>
          <w:p w14:paraId="5B773414" w14:textId="77777777" w:rsidR="00E87995" w:rsidRPr="009E06AA" w:rsidRDefault="00E87995" w:rsidP="00B55F24">
            <w:pPr>
              <w:pStyle w:val="TableTextBold"/>
              <w:spacing w:before="40" w:after="40"/>
              <w:rPr>
                <w:noProof w:val="0"/>
                <w:szCs w:val="16"/>
              </w:rPr>
            </w:pPr>
            <w:r w:rsidRPr="009E06AA">
              <w:rPr>
                <w:noProof w:val="0"/>
                <w:color w:val="1B556B"/>
                <w:szCs w:val="16"/>
              </w:rPr>
              <w:t>2002</w:t>
            </w:r>
          </w:p>
        </w:tc>
        <w:tc>
          <w:tcPr>
            <w:tcW w:w="322" w:type="pct"/>
            <w:shd w:val="clear" w:color="auto" w:fill="FFFFFF"/>
            <w:tcMar>
              <w:top w:w="0" w:type="dxa"/>
              <w:left w:w="85" w:type="dxa"/>
              <w:bottom w:w="0" w:type="dxa"/>
              <w:right w:w="85" w:type="dxa"/>
            </w:tcMar>
          </w:tcPr>
          <w:p w14:paraId="0715CF64" w14:textId="77777777" w:rsidR="00E87995" w:rsidRPr="009E06AA" w:rsidRDefault="00E87995" w:rsidP="00876E40">
            <w:pPr>
              <w:pStyle w:val="TableText"/>
              <w:spacing w:before="40" w:after="40"/>
              <w:jc w:val="right"/>
              <w:rPr>
                <w:szCs w:val="16"/>
              </w:rPr>
            </w:pPr>
            <w:r w:rsidRPr="009E06AA">
              <w:rPr>
                <w:color w:val="000000"/>
                <w:szCs w:val="16"/>
              </w:rPr>
              <w:t>14.9</w:t>
            </w:r>
          </w:p>
        </w:tc>
        <w:tc>
          <w:tcPr>
            <w:tcW w:w="856" w:type="dxa"/>
            <w:shd w:val="clear" w:color="auto" w:fill="FFFFFF"/>
            <w:tcMar>
              <w:top w:w="0" w:type="dxa"/>
              <w:left w:w="85" w:type="dxa"/>
              <w:bottom w:w="0" w:type="dxa"/>
              <w:right w:w="85" w:type="dxa"/>
            </w:tcMar>
          </w:tcPr>
          <w:p w14:paraId="6AC1E6EC" w14:textId="77777777" w:rsidR="00E87995" w:rsidRPr="009E06AA" w:rsidRDefault="00E87995" w:rsidP="00876E40">
            <w:pPr>
              <w:pStyle w:val="TableText"/>
              <w:spacing w:before="40" w:after="40"/>
              <w:jc w:val="right"/>
              <w:rPr>
                <w:szCs w:val="16"/>
              </w:rPr>
            </w:pPr>
            <w:r w:rsidRPr="009E06AA">
              <w:rPr>
                <w:color w:val="000000"/>
                <w:szCs w:val="16"/>
              </w:rPr>
              <w:t>9.5</w:t>
            </w:r>
          </w:p>
        </w:tc>
        <w:tc>
          <w:tcPr>
            <w:tcW w:w="753" w:type="dxa"/>
            <w:shd w:val="clear" w:color="auto" w:fill="FFFFFF"/>
            <w:tcMar>
              <w:top w:w="0" w:type="dxa"/>
              <w:left w:w="85" w:type="dxa"/>
              <w:bottom w:w="0" w:type="dxa"/>
              <w:right w:w="85" w:type="dxa"/>
            </w:tcMar>
          </w:tcPr>
          <w:p w14:paraId="2BC4E365" w14:textId="77777777" w:rsidR="00E87995" w:rsidRPr="009E06AA" w:rsidRDefault="00E87995" w:rsidP="00876E40">
            <w:pPr>
              <w:pStyle w:val="TableText"/>
              <w:spacing w:before="40" w:after="40"/>
              <w:jc w:val="right"/>
              <w:rPr>
                <w:szCs w:val="16"/>
              </w:rPr>
            </w:pPr>
            <w:r w:rsidRPr="009E06AA">
              <w:rPr>
                <w:color w:val="000000"/>
                <w:szCs w:val="16"/>
              </w:rPr>
              <w:t>15.2</w:t>
            </w:r>
          </w:p>
        </w:tc>
        <w:tc>
          <w:tcPr>
            <w:tcW w:w="769" w:type="dxa"/>
            <w:shd w:val="clear" w:color="auto" w:fill="FFFFFF"/>
            <w:tcMar>
              <w:top w:w="0" w:type="dxa"/>
              <w:left w:w="85" w:type="dxa"/>
              <w:bottom w:w="0" w:type="dxa"/>
              <w:right w:w="85" w:type="dxa"/>
            </w:tcMar>
          </w:tcPr>
          <w:p w14:paraId="3B54769A" w14:textId="77777777" w:rsidR="00E87995" w:rsidRPr="009E06AA" w:rsidRDefault="00E87995" w:rsidP="00876E40">
            <w:pPr>
              <w:pStyle w:val="TableText"/>
              <w:spacing w:before="40" w:after="40"/>
              <w:jc w:val="right"/>
              <w:rPr>
                <w:szCs w:val="16"/>
              </w:rPr>
            </w:pPr>
            <w:r w:rsidRPr="009E06AA">
              <w:rPr>
                <w:color w:val="000000"/>
                <w:szCs w:val="16"/>
              </w:rPr>
              <w:t>12.4</w:t>
            </w:r>
          </w:p>
        </w:tc>
        <w:tc>
          <w:tcPr>
            <w:tcW w:w="814" w:type="dxa"/>
            <w:shd w:val="clear" w:color="auto" w:fill="FFFFFF"/>
            <w:tcMar>
              <w:top w:w="0" w:type="dxa"/>
              <w:left w:w="85" w:type="dxa"/>
              <w:bottom w:w="0" w:type="dxa"/>
              <w:right w:w="85" w:type="dxa"/>
            </w:tcMar>
          </w:tcPr>
          <w:p w14:paraId="3256D4C7" w14:textId="77777777" w:rsidR="00E87995" w:rsidRPr="009E06AA" w:rsidRDefault="00E87995" w:rsidP="00876E40">
            <w:pPr>
              <w:pStyle w:val="TableText"/>
              <w:spacing w:before="40" w:after="40"/>
              <w:jc w:val="right"/>
              <w:rPr>
                <w:szCs w:val="16"/>
              </w:rPr>
            </w:pPr>
            <w:r w:rsidRPr="009E06AA">
              <w:rPr>
                <w:color w:val="000000"/>
                <w:szCs w:val="16"/>
              </w:rPr>
              <w:t>3.1</w:t>
            </w:r>
          </w:p>
        </w:tc>
        <w:tc>
          <w:tcPr>
            <w:tcW w:w="906" w:type="dxa"/>
            <w:shd w:val="clear" w:color="auto" w:fill="FFFFFF"/>
            <w:tcMar>
              <w:top w:w="0" w:type="dxa"/>
              <w:left w:w="85" w:type="dxa"/>
              <w:bottom w:w="0" w:type="dxa"/>
              <w:right w:w="85" w:type="dxa"/>
            </w:tcMar>
          </w:tcPr>
          <w:p w14:paraId="482DA02C" w14:textId="77777777" w:rsidR="00E87995" w:rsidRPr="009E06AA" w:rsidRDefault="00E87995" w:rsidP="00876E40">
            <w:pPr>
              <w:pStyle w:val="TableText"/>
              <w:spacing w:before="40" w:after="40"/>
              <w:jc w:val="right"/>
              <w:rPr>
                <w:szCs w:val="16"/>
              </w:rPr>
            </w:pPr>
            <w:r w:rsidRPr="009E06AA">
              <w:rPr>
                <w:color w:val="000000"/>
                <w:szCs w:val="16"/>
              </w:rPr>
              <w:t>2.7</w:t>
            </w:r>
          </w:p>
        </w:tc>
        <w:tc>
          <w:tcPr>
            <w:tcW w:w="809" w:type="dxa"/>
            <w:shd w:val="clear" w:color="auto" w:fill="FFFFFF"/>
            <w:tcMar>
              <w:top w:w="0" w:type="dxa"/>
              <w:left w:w="85" w:type="dxa"/>
              <w:bottom w:w="0" w:type="dxa"/>
              <w:right w:w="85" w:type="dxa"/>
            </w:tcMar>
          </w:tcPr>
          <w:p w14:paraId="19669593" w14:textId="77777777" w:rsidR="00E87995" w:rsidRPr="009E06AA" w:rsidRDefault="00E87995" w:rsidP="00876E40">
            <w:pPr>
              <w:pStyle w:val="TableText"/>
              <w:spacing w:before="40" w:after="40"/>
              <w:jc w:val="right"/>
              <w:rPr>
                <w:szCs w:val="16"/>
              </w:rPr>
            </w:pPr>
            <w:r w:rsidRPr="009E06AA">
              <w:rPr>
                <w:color w:val="000000"/>
                <w:szCs w:val="16"/>
              </w:rPr>
              <w:t>2.9</w:t>
            </w:r>
          </w:p>
        </w:tc>
        <w:tc>
          <w:tcPr>
            <w:tcW w:w="687" w:type="dxa"/>
            <w:shd w:val="clear" w:color="auto" w:fill="FFFFFF"/>
            <w:tcMar>
              <w:top w:w="0" w:type="dxa"/>
              <w:left w:w="85" w:type="dxa"/>
              <w:bottom w:w="0" w:type="dxa"/>
              <w:right w:w="85" w:type="dxa"/>
            </w:tcMar>
          </w:tcPr>
          <w:p w14:paraId="0F84D6DC" w14:textId="77777777" w:rsidR="00E87995" w:rsidRPr="009E06AA" w:rsidRDefault="00E87995" w:rsidP="00876E40">
            <w:pPr>
              <w:pStyle w:val="TableText"/>
              <w:spacing w:before="40" w:after="40"/>
              <w:jc w:val="right"/>
              <w:rPr>
                <w:szCs w:val="16"/>
              </w:rPr>
            </w:pPr>
            <w:r w:rsidRPr="009E06AA">
              <w:rPr>
                <w:color w:val="000000"/>
                <w:szCs w:val="16"/>
              </w:rPr>
              <w:t>39.3</w:t>
            </w:r>
          </w:p>
        </w:tc>
        <w:tc>
          <w:tcPr>
            <w:tcW w:w="1013" w:type="pct"/>
            <w:shd w:val="clear" w:color="auto" w:fill="FFFFFF"/>
            <w:tcMar>
              <w:top w:w="0" w:type="dxa"/>
              <w:left w:w="85" w:type="dxa"/>
              <w:bottom w:w="0" w:type="dxa"/>
              <w:right w:w="85" w:type="dxa"/>
            </w:tcMar>
          </w:tcPr>
          <w:p w14:paraId="76338112" w14:textId="77777777" w:rsidR="00E87995" w:rsidRPr="009E06AA" w:rsidRDefault="00E87995" w:rsidP="00B55F24">
            <w:pPr>
              <w:pStyle w:val="TableText"/>
              <w:spacing w:before="40" w:after="40"/>
              <w:rPr>
                <w:szCs w:val="16"/>
              </w:rPr>
            </w:pPr>
            <w:r w:rsidRPr="009E06AA">
              <w:rPr>
                <w:color w:val="000000"/>
                <w:szCs w:val="16"/>
              </w:rPr>
              <w:t>Interpolation</w:t>
            </w:r>
          </w:p>
        </w:tc>
      </w:tr>
      <w:tr w:rsidR="00E87995" w:rsidRPr="009E06AA" w14:paraId="419B3CEE" w14:textId="77777777" w:rsidTr="00B55F24">
        <w:tc>
          <w:tcPr>
            <w:tcW w:w="481" w:type="pct"/>
            <w:shd w:val="clear" w:color="auto" w:fill="FFFFFF"/>
            <w:tcMar>
              <w:top w:w="0" w:type="dxa"/>
              <w:left w:w="85" w:type="dxa"/>
              <w:bottom w:w="0" w:type="dxa"/>
              <w:right w:w="85" w:type="dxa"/>
            </w:tcMar>
          </w:tcPr>
          <w:p w14:paraId="5907518F" w14:textId="77777777" w:rsidR="00E87995" w:rsidRPr="009E06AA" w:rsidRDefault="00E87995" w:rsidP="00B55F24">
            <w:pPr>
              <w:pStyle w:val="TableTextBold"/>
              <w:spacing w:before="40" w:after="40"/>
              <w:rPr>
                <w:noProof w:val="0"/>
                <w:szCs w:val="16"/>
              </w:rPr>
            </w:pPr>
            <w:r w:rsidRPr="009E06AA">
              <w:rPr>
                <w:noProof w:val="0"/>
                <w:color w:val="1B556B"/>
                <w:szCs w:val="16"/>
              </w:rPr>
              <w:t>2003</w:t>
            </w:r>
          </w:p>
        </w:tc>
        <w:tc>
          <w:tcPr>
            <w:tcW w:w="322" w:type="pct"/>
            <w:shd w:val="clear" w:color="auto" w:fill="FFFFFF"/>
            <w:tcMar>
              <w:top w:w="0" w:type="dxa"/>
              <w:left w:w="85" w:type="dxa"/>
              <w:bottom w:w="0" w:type="dxa"/>
              <w:right w:w="85" w:type="dxa"/>
            </w:tcMar>
          </w:tcPr>
          <w:p w14:paraId="08D0BA69" w14:textId="77777777" w:rsidR="00E87995" w:rsidRPr="009E06AA" w:rsidRDefault="00E87995" w:rsidP="00876E40">
            <w:pPr>
              <w:pStyle w:val="TableText"/>
              <w:spacing w:before="40" w:after="40"/>
              <w:jc w:val="right"/>
              <w:rPr>
                <w:szCs w:val="16"/>
              </w:rPr>
            </w:pPr>
            <w:r w:rsidRPr="009E06AA">
              <w:rPr>
                <w:color w:val="000000"/>
                <w:szCs w:val="16"/>
              </w:rPr>
              <w:t>14.5</w:t>
            </w:r>
          </w:p>
        </w:tc>
        <w:tc>
          <w:tcPr>
            <w:tcW w:w="856" w:type="dxa"/>
            <w:shd w:val="clear" w:color="auto" w:fill="FFFFFF"/>
            <w:tcMar>
              <w:top w:w="0" w:type="dxa"/>
              <w:left w:w="85" w:type="dxa"/>
              <w:bottom w:w="0" w:type="dxa"/>
              <w:right w:w="85" w:type="dxa"/>
            </w:tcMar>
          </w:tcPr>
          <w:p w14:paraId="4A8C115B" w14:textId="77777777" w:rsidR="00E87995" w:rsidRPr="009E06AA" w:rsidRDefault="00E87995" w:rsidP="00876E40">
            <w:pPr>
              <w:pStyle w:val="TableText"/>
              <w:spacing w:before="40" w:after="40"/>
              <w:jc w:val="right"/>
              <w:rPr>
                <w:szCs w:val="16"/>
              </w:rPr>
            </w:pPr>
            <w:r w:rsidRPr="009E06AA">
              <w:rPr>
                <w:color w:val="000000"/>
                <w:szCs w:val="16"/>
              </w:rPr>
              <w:t>9.3</w:t>
            </w:r>
          </w:p>
        </w:tc>
        <w:tc>
          <w:tcPr>
            <w:tcW w:w="753" w:type="dxa"/>
            <w:shd w:val="clear" w:color="auto" w:fill="FFFFFF"/>
            <w:tcMar>
              <w:top w:w="0" w:type="dxa"/>
              <w:left w:w="85" w:type="dxa"/>
              <w:bottom w:w="0" w:type="dxa"/>
              <w:right w:w="85" w:type="dxa"/>
            </w:tcMar>
          </w:tcPr>
          <w:p w14:paraId="7A82A746" w14:textId="77777777" w:rsidR="00E87995" w:rsidRPr="009E06AA" w:rsidRDefault="00E87995" w:rsidP="00876E40">
            <w:pPr>
              <w:pStyle w:val="TableText"/>
              <w:spacing w:before="40" w:after="40"/>
              <w:jc w:val="right"/>
              <w:rPr>
                <w:szCs w:val="16"/>
              </w:rPr>
            </w:pPr>
            <w:r w:rsidRPr="009E06AA">
              <w:rPr>
                <w:color w:val="000000"/>
                <w:szCs w:val="16"/>
              </w:rPr>
              <w:t>15.1</w:t>
            </w:r>
          </w:p>
        </w:tc>
        <w:tc>
          <w:tcPr>
            <w:tcW w:w="769" w:type="dxa"/>
            <w:shd w:val="clear" w:color="auto" w:fill="FFFFFF"/>
            <w:tcMar>
              <w:top w:w="0" w:type="dxa"/>
              <w:left w:w="85" w:type="dxa"/>
              <w:bottom w:w="0" w:type="dxa"/>
              <w:right w:w="85" w:type="dxa"/>
            </w:tcMar>
          </w:tcPr>
          <w:p w14:paraId="015812C2" w14:textId="77777777" w:rsidR="00E87995" w:rsidRPr="009E06AA" w:rsidRDefault="00E87995" w:rsidP="00876E40">
            <w:pPr>
              <w:pStyle w:val="TableText"/>
              <w:spacing w:before="40" w:after="40"/>
              <w:jc w:val="right"/>
              <w:rPr>
                <w:szCs w:val="16"/>
              </w:rPr>
            </w:pPr>
            <w:r w:rsidRPr="009E06AA">
              <w:rPr>
                <w:color w:val="000000"/>
                <w:szCs w:val="16"/>
              </w:rPr>
              <w:t>13.1</w:t>
            </w:r>
          </w:p>
        </w:tc>
        <w:tc>
          <w:tcPr>
            <w:tcW w:w="814" w:type="dxa"/>
            <w:shd w:val="clear" w:color="auto" w:fill="FFFFFF"/>
            <w:tcMar>
              <w:top w:w="0" w:type="dxa"/>
              <w:left w:w="85" w:type="dxa"/>
              <w:bottom w:w="0" w:type="dxa"/>
              <w:right w:w="85" w:type="dxa"/>
            </w:tcMar>
          </w:tcPr>
          <w:p w14:paraId="2AD4465D" w14:textId="77777777" w:rsidR="00E87995" w:rsidRPr="009E06AA" w:rsidRDefault="00E87995" w:rsidP="00876E40">
            <w:pPr>
              <w:pStyle w:val="TableText"/>
              <w:spacing w:before="40" w:after="40"/>
              <w:jc w:val="right"/>
              <w:rPr>
                <w:szCs w:val="16"/>
              </w:rPr>
            </w:pPr>
            <w:r w:rsidRPr="009E06AA">
              <w:rPr>
                <w:color w:val="000000"/>
                <w:szCs w:val="16"/>
              </w:rPr>
              <w:t>3.5</w:t>
            </w:r>
          </w:p>
        </w:tc>
        <w:tc>
          <w:tcPr>
            <w:tcW w:w="906" w:type="dxa"/>
            <w:shd w:val="clear" w:color="auto" w:fill="FFFFFF"/>
            <w:tcMar>
              <w:top w:w="0" w:type="dxa"/>
              <w:left w:w="85" w:type="dxa"/>
              <w:bottom w:w="0" w:type="dxa"/>
              <w:right w:w="85" w:type="dxa"/>
            </w:tcMar>
          </w:tcPr>
          <w:p w14:paraId="2C9C25DE" w14:textId="77777777" w:rsidR="00E87995" w:rsidRPr="009E06AA" w:rsidRDefault="00E87995" w:rsidP="00876E40">
            <w:pPr>
              <w:pStyle w:val="TableText"/>
              <w:spacing w:before="40" w:after="40"/>
              <w:jc w:val="right"/>
              <w:rPr>
                <w:szCs w:val="16"/>
              </w:rPr>
            </w:pPr>
            <w:r w:rsidRPr="009E06AA">
              <w:rPr>
                <w:color w:val="000000"/>
                <w:szCs w:val="16"/>
              </w:rPr>
              <w:t>2.7</w:t>
            </w:r>
          </w:p>
        </w:tc>
        <w:tc>
          <w:tcPr>
            <w:tcW w:w="809" w:type="dxa"/>
            <w:shd w:val="clear" w:color="auto" w:fill="FFFFFF"/>
            <w:tcMar>
              <w:top w:w="0" w:type="dxa"/>
              <w:left w:w="85" w:type="dxa"/>
              <w:bottom w:w="0" w:type="dxa"/>
              <w:right w:w="85" w:type="dxa"/>
            </w:tcMar>
          </w:tcPr>
          <w:p w14:paraId="7D6590F2" w14:textId="77777777" w:rsidR="00E87995" w:rsidRPr="009E06AA" w:rsidRDefault="00E87995" w:rsidP="00876E40">
            <w:pPr>
              <w:pStyle w:val="TableText"/>
              <w:spacing w:before="40" w:after="40"/>
              <w:jc w:val="right"/>
              <w:rPr>
                <w:szCs w:val="16"/>
              </w:rPr>
            </w:pPr>
            <w:r w:rsidRPr="009E06AA">
              <w:rPr>
                <w:color w:val="000000"/>
                <w:szCs w:val="16"/>
              </w:rPr>
              <w:t>2.9</w:t>
            </w:r>
          </w:p>
        </w:tc>
        <w:tc>
          <w:tcPr>
            <w:tcW w:w="687" w:type="dxa"/>
            <w:shd w:val="clear" w:color="auto" w:fill="FFFFFF"/>
            <w:tcMar>
              <w:top w:w="0" w:type="dxa"/>
              <w:left w:w="85" w:type="dxa"/>
              <w:bottom w:w="0" w:type="dxa"/>
              <w:right w:w="85" w:type="dxa"/>
            </w:tcMar>
          </w:tcPr>
          <w:p w14:paraId="3C768D90" w14:textId="77777777" w:rsidR="00E87995" w:rsidRPr="009E06AA" w:rsidRDefault="00E87995" w:rsidP="00876E40">
            <w:pPr>
              <w:pStyle w:val="TableText"/>
              <w:spacing w:before="40" w:after="40"/>
              <w:jc w:val="right"/>
              <w:rPr>
                <w:szCs w:val="16"/>
              </w:rPr>
            </w:pPr>
            <w:r w:rsidRPr="009E06AA">
              <w:rPr>
                <w:color w:val="000000"/>
                <w:szCs w:val="16"/>
              </w:rPr>
              <w:t>38.8</w:t>
            </w:r>
          </w:p>
        </w:tc>
        <w:tc>
          <w:tcPr>
            <w:tcW w:w="1013" w:type="pct"/>
            <w:shd w:val="clear" w:color="auto" w:fill="FFFFFF"/>
            <w:tcMar>
              <w:top w:w="0" w:type="dxa"/>
              <w:left w:w="85" w:type="dxa"/>
              <w:bottom w:w="0" w:type="dxa"/>
              <w:right w:w="85" w:type="dxa"/>
            </w:tcMar>
          </w:tcPr>
          <w:p w14:paraId="2B218FED" w14:textId="77777777" w:rsidR="00E87995" w:rsidRPr="009E06AA" w:rsidRDefault="00E87995" w:rsidP="00B55F24">
            <w:pPr>
              <w:pStyle w:val="TableText"/>
              <w:spacing w:before="40" w:after="40"/>
              <w:rPr>
                <w:szCs w:val="16"/>
              </w:rPr>
            </w:pPr>
            <w:r w:rsidRPr="009E06AA">
              <w:rPr>
                <w:color w:val="000000"/>
                <w:szCs w:val="16"/>
              </w:rPr>
              <w:t>Interpolation</w:t>
            </w:r>
          </w:p>
        </w:tc>
      </w:tr>
      <w:tr w:rsidR="00E87995" w:rsidRPr="009E06AA" w14:paraId="0CCEC0F9" w14:textId="77777777" w:rsidTr="00B55F24">
        <w:tc>
          <w:tcPr>
            <w:tcW w:w="481" w:type="pct"/>
            <w:shd w:val="clear" w:color="auto" w:fill="FFFFFF"/>
            <w:tcMar>
              <w:top w:w="0" w:type="dxa"/>
              <w:left w:w="85" w:type="dxa"/>
              <w:bottom w:w="0" w:type="dxa"/>
              <w:right w:w="85" w:type="dxa"/>
            </w:tcMar>
          </w:tcPr>
          <w:p w14:paraId="7B7D5B63" w14:textId="77777777" w:rsidR="00E87995" w:rsidRPr="009E06AA" w:rsidRDefault="00E87995" w:rsidP="00B55F24">
            <w:pPr>
              <w:pStyle w:val="TableTextBold"/>
              <w:spacing w:before="40" w:after="40"/>
              <w:rPr>
                <w:noProof w:val="0"/>
                <w:szCs w:val="16"/>
              </w:rPr>
            </w:pPr>
            <w:r w:rsidRPr="009E06AA">
              <w:rPr>
                <w:noProof w:val="0"/>
                <w:color w:val="1B556B"/>
                <w:szCs w:val="16"/>
              </w:rPr>
              <w:t>2004</w:t>
            </w:r>
          </w:p>
        </w:tc>
        <w:tc>
          <w:tcPr>
            <w:tcW w:w="322" w:type="pct"/>
            <w:shd w:val="clear" w:color="auto" w:fill="FFFFFF"/>
            <w:tcMar>
              <w:top w:w="0" w:type="dxa"/>
              <w:left w:w="85" w:type="dxa"/>
              <w:bottom w:w="0" w:type="dxa"/>
              <w:right w:w="85" w:type="dxa"/>
            </w:tcMar>
          </w:tcPr>
          <w:p w14:paraId="1327D882" w14:textId="77777777" w:rsidR="00E87995" w:rsidRPr="009E06AA" w:rsidRDefault="00E87995" w:rsidP="00876E40">
            <w:pPr>
              <w:pStyle w:val="TableText"/>
              <w:spacing w:before="40" w:after="40"/>
              <w:jc w:val="right"/>
              <w:rPr>
                <w:szCs w:val="16"/>
              </w:rPr>
            </w:pPr>
            <w:r w:rsidRPr="009E06AA">
              <w:rPr>
                <w:color w:val="000000"/>
                <w:szCs w:val="16"/>
              </w:rPr>
              <w:t>14.2</w:t>
            </w:r>
          </w:p>
        </w:tc>
        <w:tc>
          <w:tcPr>
            <w:tcW w:w="856" w:type="dxa"/>
            <w:shd w:val="clear" w:color="auto" w:fill="FFFFFF"/>
            <w:tcMar>
              <w:top w:w="0" w:type="dxa"/>
              <w:left w:w="85" w:type="dxa"/>
              <w:bottom w:w="0" w:type="dxa"/>
              <w:right w:w="85" w:type="dxa"/>
            </w:tcMar>
          </w:tcPr>
          <w:p w14:paraId="7AA9AA4C" w14:textId="77777777" w:rsidR="00E87995" w:rsidRPr="009E06AA" w:rsidRDefault="00E87995" w:rsidP="00876E40">
            <w:pPr>
              <w:pStyle w:val="TableText"/>
              <w:spacing w:before="40" w:after="40"/>
              <w:jc w:val="right"/>
              <w:rPr>
                <w:szCs w:val="16"/>
              </w:rPr>
            </w:pPr>
            <w:r w:rsidRPr="009E06AA">
              <w:rPr>
                <w:color w:val="000000"/>
                <w:szCs w:val="16"/>
              </w:rPr>
              <w:t>9.1</w:t>
            </w:r>
          </w:p>
        </w:tc>
        <w:tc>
          <w:tcPr>
            <w:tcW w:w="753" w:type="dxa"/>
            <w:shd w:val="clear" w:color="auto" w:fill="FFFFFF"/>
            <w:tcMar>
              <w:top w:w="0" w:type="dxa"/>
              <w:left w:w="85" w:type="dxa"/>
              <w:bottom w:w="0" w:type="dxa"/>
              <w:right w:w="85" w:type="dxa"/>
            </w:tcMar>
          </w:tcPr>
          <w:p w14:paraId="59F712DB" w14:textId="77777777" w:rsidR="00E87995" w:rsidRPr="009E06AA" w:rsidRDefault="00E87995" w:rsidP="00876E40">
            <w:pPr>
              <w:pStyle w:val="TableText"/>
              <w:spacing w:before="40" w:after="40"/>
              <w:jc w:val="right"/>
              <w:rPr>
                <w:szCs w:val="16"/>
              </w:rPr>
            </w:pPr>
            <w:r w:rsidRPr="009E06AA">
              <w:rPr>
                <w:color w:val="000000"/>
                <w:szCs w:val="16"/>
              </w:rPr>
              <w:t>14.9</w:t>
            </w:r>
          </w:p>
        </w:tc>
        <w:tc>
          <w:tcPr>
            <w:tcW w:w="769" w:type="dxa"/>
            <w:shd w:val="clear" w:color="auto" w:fill="FFFFFF"/>
            <w:tcMar>
              <w:top w:w="0" w:type="dxa"/>
              <w:left w:w="85" w:type="dxa"/>
              <w:bottom w:w="0" w:type="dxa"/>
              <w:right w:w="85" w:type="dxa"/>
            </w:tcMar>
          </w:tcPr>
          <w:p w14:paraId="769B2F1A" w14:textId="77777777" w:rsidR="00E87995" w:rsidRPr="009E06AA" w:rsidRDefault="00E87995" w:rsidP="00876E40">
            <w:pPr>
              <w:pStyle w:val="TableText"/>
              <w:spacing w:before="40" w:after="40"/>
              <w:jc w:val="right"/>
              <w:rPr>
                <w:szCs w:val="16"/>
              </w:rPr>
            </w:pPr>
            <w:r w:rsidRPr="009E06AA">
              <w:rPr>
                <w:color w:val="000000"/>
                <w:szCs w:val="16"/>
              </w:rPr>
              <w:t>13.9</w:t>
            </w:r>
          </w:p>
        </w:tc>
        <w:tc>
          <w:tcPr>
            <w:tcW w:w="814" w:type="dxa"/>
            <w:shd w:val="clear" w:color="auto" w:fill="FFFFFF"/>
            <w:tcMar>
              <w:top w:w="0" w:type="dxa"/>
              <w:left w:w="85" w:type="dxa"/>
              <w:bottom w:w="0" w:type="dxa"/>
              <w:right w:w="85" w:type="dxa"/>
            </w:tcMar>
          </w:tcPr>
          <w:p w14:paraId="3A6AE697" w14:textId="77777777" w:rsidR="00E87995" w:rsidRPr="009E06AA" w:rsidRDefault="00E87995" w:rsidP="00876E40">
            <w:pPr>
              <w:pStyle w:val="TableText"/>
              <w:spacing w:before="40" w:after="40"/>
              <w:jc w:val="right"/>
              <w:rPr>
                <w:szCs w:val="16"/>
              </w:rPr>
            </w:pPr>
            <w:r w:rsidRPr="009E06AA">
              <w:rPr>
                <w:color w:val="000000"/>
                <w:szCs w:val="16"/>
              </w:rPr>
              <w:t>3.9</w:t>
            </w:r>
          </w:p>
        </w:tc>
        <w:tc>
          <w:tcPr>
            <w:tcW w:w="906" w:type="dxa"/>
            <w:shd w:val="clear" w:color="auto" w:fill="FFFFFF"/>
            <w:tcMar>
              <w:top w:w="0" w:type="dxa"/>
              <w:left w:w="85" w:type="dxa"/>
              <w:bottom w:w="0" w:type="dxa"/>
              <w:right w:w="85" w:type="dxa"/>
            </w:tcMar>
          </w:tcPr>
          <w:p w14:paraId="321D094C" w14:textId="77777777" w:rsidR="00E87995" w:rsidRPr="009E06AA" w:rsidRDefault="00E87995" w:rsidP="00876E40">
            <w:pPr>
              <w:pStyle w:val="TableText"/>
              <w:spacing w:before="40" w:after="40"/>
              <w:jc w:val="right"/>
              <w:rPr>
                <w:szCs w:val="16"/>
              </w:rPr>
            </w:pPr>
            <w:r w:rsidRPr="009E06AA">
              <w:rPr>
                <w:color w:val="000000"/>
                <w:szCs w:val="16"/>
              </w:rPr>
              <w:t>2.7</w:t>
            </w:r>
          </w:p>
        </w:tc>
        <w:tc>
          <w:tcPr>
            <w:tcW w:w="809" w:type="dxa"/>
            <w:shd w:val="clear" w:color="auto" w:fill="FFFFFF"/>
            <w:tcMar>
              <w:top w:w="0" w:type="dxa"/>
              <w:left w:w="85" w:type="dxa"/>
              <w:bottom w:w="0" w:type="dxa"/>
              <w:right w:w="85" w:type="dxa"/>
            </w:tcMar>
          </w:tcPr>
          <w:p w14:paraId="1EFA654E" w14:textId="77777777" w:rsidR="00E87995" w:rsidRPr="009E06AA" w:rsidRDefault="00E87995" w:rsidP="00876E40">
            <w:pPr>
              <w:pStyle w:val="TableText"/>
              <w:spacing w:before="40" w:after="40"/>
              <w:jc w:val="right"/>
              <w:rPr>
                <w:szCs w:val="16"/>
              </w:rPr>
            </w:pPr>
            <w:r w:rsidRPr="009E06AA">
              <w:rPr>
                <w:color w:val="000000"/>
                <w:szCs w:val="16"/>
              </w:rPr>
              <w:t>2.9</w:t>
            </w:r>
          </w:p>
        </w:tc>
        <w:tc>
          <w:tcPr>
            <w:tcW w:w="687" w:type="dxa"/>
            <w:shd w:val="clear" w:color="auto" w:fill="FFFFFF"/>
            <w:tcMar>
              <w:top w:w="0" w:type="dxa"/>
              <w:left w:w="85" w:type="dxa"/>
              <w:bottom w:w="0" w:type="dxa"/>
              <w:right w:w="85" w:type="dxa"/>
            </w:tcMar>
          </w:tcPr>
          <w:p w14:paraId="070D19C3" w14:textId="77777777" w:rsidR="00E87995" w:rsidRPr="009E06AA" w:rsidRDefault="00E87995" w:rsidP="00876E40">
            <w:pPr>
              <w:pStyle w:val="TableText"/>
              <w:spacing w:before="40" w:after="40"/>
              <w:jc w:val="right"/>
              <w:rPr>
                <w:szCs w:val="16"/>
              </w:rPr>
            </w:pPr>
            <w:r w:rsidRPr="009E06AA">
              <w:rPr>
                <w:color w:val="000000"/>
                <w:szCs w:val="16"/>
              </w:rPr>
              <w:t>38.4</w:t>
            </w:r>
          </w:p>
        </w:tc>
        <w:tc>
          <w:tcPr>
            <w:tcW w:w="1013" w:type="pct"/>
            <w:shd w:val="clear" w:color="auto" w:fill="FFFFFF"/>
            <w:tcMar>
              <w:top w:w="0" w:type="dxa"/>
              <w:left w:w="85" w:type="dxa"/>
              <w:bottom w:w="0" w:type="dxa"/>
              <w:right w:w="85" w:type="dxa"/>
            </w:tcMar>
          </w:tcPr>
          <w:p w14:paraId="1CA1F8B4" w14:textId="77777777" w:rsidR="00E87995" w:rsidRPr="009E06AA" w:rsidRDefault="00E87995" w:rsidP="00B55F24">
            <w:pPr>
              <w:pStyle w:val="TableText"/>
              <w:spacing w:before="40" w:after="40"/>
              <w:rPr>
                <w:szCs w:val="16"/>
              </w:rPr>
            </w:pPr>
            <w:r w:rsidRPr="009E06AA">
              <w:rPr>
                <w:color w:val="000000"/>
                <w:szCs w:val="16"/>
              </w:rPr>
              <w:t>National survey</w:t>
            </w:r>
          </w:p>
        </w:tc>
      </w:tr>
      <w:tr w:rsidR="00E87995" w:rsidRPr="009E06AA" w14:paraId="4131C542" w14:textId="77777777" w:rsidTr="00B55F24">
        <w:tc>
          <w:tcPr>
            <w:tcW w:w="481" w:type="pct"/>
            <w:shd w:val="clear" w:color="auto" w:fill="FFFFFF"/>
            <w:tcMar>
              <w:top w:w="0" w:type="dxa"/>
              <w:left w:w="85" w:type="dxa"/>
              <w:bottom w:w="0" w:type="dxa"/>
              <w:right w:w="85" w:type="dxa"/>
            </w:tcMar>
          </w:tcPr>
          <w:p w14:paraId="72CDD10B" w14:textId="77777777" w:rsidR="00E87995" w:rsidRPr="009E06AA" w:rsidRDefault="00E87995" w:rsidP="00B55F24">
            <w:pPr>
              <w:pStyle w:val="TableTextBold"/>
              <w:spacing w:before="40" w:after="40"/>
              <w:rPr>
                <w:noProof w:val="0"/>
                <w:szCs w:val="16"/>
              </w:rPr>
            </w:pPr>
            <w:r w:rsidRPr="009E06AA">
              <w:rPr>
                <w:noProof w:val="0"/>
                <w:color w:val="1B556B"/>
                <w:szCs w:val="16"/>
              </w:rPr>
              <w:t>2005</w:t>
            </w:r>
          </w:p>
        </w:tc>
        <w:tc>
          <w:tcPr>
            <w:tcW w:w="322" w:type="pct"/>
            <w:shd w:val="clear" w:color="auto" w:fill="FFFFFF"/>
            <w:tcMar>
              <w:top w:w="0" w:type="dxa"/>
              <w:left w:w="85" w:type="dxa"/>
              <w:bottom w:w="0" w:type="dxa"/>
              <w:right w:w="85" w:type="dxa"/>
            </w:tcMar>
          </w:tcPr>
          <w:p w14:paraId="5CD982DD" w14:textId="77777777" w:rsidR="00E87995" w:rsidRPr="009E06AA" w:rsidRDefault="00E87995" w:rsidP="00876E40">
            <w:pPr>
              <w:pStyle w:val="TableText"/>
              <w:spacing w:before="40" w:after="40"/>
              <w:jc w:val="right"/>
              <w:rPr>
                <w:szCs w:val="16"/>
              </w:rPr>
            </w:pPr>
            <w:r w:rsidRPr="009E06AA">
              <w:rPr>
                <w:color w:val="000000"/>
                <w:szCs w:val="16"/>
              </w:rPr>
              <w:t>14.9</w:t>
            </w:r>
          </w:p>
        </w:tc>
        <w:tc>
          <w:tcPr>
            <w:tcW w:w="856" w:type="dxa"/>
            <w:shd w:val="clear" w:color="auto" w:fill="FFFFFF"/>
            <w:tcMar>
              <w:top w:w="0" w:type="dxa"/>
              <w:left w:w="85" w:type="dxa"/>
              <w:bottom w:w="0" w:type="dxa"/>
              <w:right w:w="85" w:type="dxa"/>
            </w:tcMar>
          </w:tcPr>
          <w:p w14:paraId="1F7E3978" w14:textId="77777777" w:rsidR="00E87995" w:rsidRPr="009E06AA" w:rsidRDefault="00E87995" w:rsidP="00876E40">
            <w:pPr>
              <w:pStyle w:val="TableText"/>
              <w:spacing w:before="40" w:after="40"/>
              <w:jc w:val="right"/>
              <w:rPr>
                <w:szCs w:val="16"/>
              </w:rPr>
            </w:pPr>
            <w:r w:rsidRPr="009E06AA">
              <w:rPr>
                <w:color w:val="000000"/>
                <w:szCs w:val="16"/>
              </w:rPr>
              <w:t>9.2</w:t>
            </w:r>
          </w:p>
        </w:tc>
        <w:tc>
          <w:tcPr>
            <w:tcW w:w="753" w:type="dxa"/>
            <w:shd w:val="clear" w:color="auto" w:fill="FFFFFF"/>
            <w:tcMar>
              <w:top w:w="0" w:type="dxa"/>
              <w:left w:w="85" w:type="dxa"/>
              <w:bottom w:w="0" w:type="dxa"/>
              <w:right w:w="85" w:type="dxa"/>
            </w:tcMar>
          </w:tcPr>
          <w:p w14:paraId="486F7A9F" w14:textId="77777777" w:rsidR="00E87995" w:rsidRPr="009E06AA" w:rsidRDefault="00E87995" w:rsidP="00876E40">
            <w:pPr>
              <w:pStyle w:val="TableText"/>
              <w:spacing w:before="40" w:after="40"/>
              <w:jc w:val="right"/>
              <w:rPr>
                <w:szCs w:val="16"/>
              </w:rPr>
            </w:pPr>
            <w:r w:rsidRPr="009E06AA">
              <w:rPr>
                <w:color w:val="000000"/>
                <w:szCs w:val="16"/>
              </w:rPr>
              <w:t>13.4</w:t>
            </w:r>
          </w:p>
        </w:tc>
        <w:tc>
          <w:tcPr>
            <w:tcW w:w="769" w:type="dxa"/>
            <w:shd w:val="clear" w:color="auto" w:fill="FFFFFF"/>
            <w:tcMar>
              <w:top w:w="0" w:type="dxa"/>
              <w:left w:w="85" w:type="dxa"/>
              <w:bottom w:w="0" w:type="dxa"/>
              <w:right w:w="85" w:type="dxa"/>
            </w:tcMar>
          </w:tcPr>
          <w:p w14:paraId="77C01148" w14:textId="77777777" w:rsidR="00E87995" w:rsidRPr="009E06AA" w:rsidRDefault="00E87995" w:rsidP="00876E40">
            <w:pPr>
              <w:pStyle w:val="TableText"/>
              <w:spacing w:before="40" w:after="40"/>
              <w:jc w:val="right"/>
              <w:rPr>
                <w:szCs w:val="16"/>
              </w:rPr>
            </w:pPr>
            <w:r w:rsidRPr="009E06AA">
              <w:rPr>
                <w:color w:val="000000"/>
                <w:szCs w:val="16"/>
              </w:rPr>
              <w:t>13.4</w:t>
            </w:r>
          </w:p>
        </w:tc>
        <w:tc>
          <w:tcPr>
            <w:tcW w:w="814" w:type="dxa"/>
            <w:shd w:val="clear" w:color="auto" w:fill="FFFFFF"/>
            <w:tcMar>
              <w:top w:w="0" w:type="dxa"/>
              <w:left w:w="85" w:type="dxa"/>
              <w:bottom w:w="0" w:type="dxa"/>
              <w:right w:w="85" w:type="dxa"/>
            </w:tcMar>
          </w:tcPr>
          <w:p w14:paraId="1E63EA19" w14:textId="77777777" w:rsidR="00E87995" w:rsidRPr="009E06AA" w:rsidRDefault="00E87995" w:rsidP="00876E40">
            <w:pPr>
              <w:pStyle w:val="TableText"/>
              <w:spacing w:before="40" w:after="40"/>
              <w:jc w:val="right"/>
              <w:rPr>
                <w:szCs w:val="16"/>
              </w:rPr>
            </w:pPr>
            <w:r w:rsidRPr="009E06AA">
              <w:rPr>
                <w:color w:val="000000"/>
                <w:szCs w:val="16"/>
              </w:rPr>
              <w:t>3.9</w:t>
            </w:r>
          </w:p>
        </w:tc>
        <w:tc>
          <w:tcPr>
            <w:tcW w:w="906" w:type="dxa"/>
            <w:shd w:val="clear" w:color="auto" w:fill="FFFFFF"/>
            <w:tcMar>
              <w:top w:w="0" w:type="dxa"/>
              <w:left w:w="85" w:type="dxa"/>
              <w:bottom w:w="0" w:type="dxa"/>
              <w:right w:w="85" w:type="dxa"/>
            </w:tcMar>
          </w:tcPr>
          <w:p w14:paraId="7A188D22" w14:textId="77777777" w:rsidR="00E87995" w:rsidRPr="009E06AA" w:rsidRDefault="00E87995" w:rsidP="00876E40">
            <w:pPr>
              <w:pStyle w:val="TableText"/>
              <w:spacing w:before="40" w:after="40"/>
              <w:jc w:val="right"/>
              <w:rPr>
                <w:szCs w:val="16"/>
              </w:rPr>
            </w:pPr>
            <w:r w:rsidRPr="009E06AA">
              <w:rPr>
                <w:color w:val="000000"/>
                <w:szCs w:val="16"/>
              </w:rPr>
              <w:t>2.9</w:t>
            </w:r>
          </w:p>
        </w:tc>
        <w:tc>
          <w:tcPr>
            <w:tcW w:w="809" w:type="dxa"/>
            <w:shd w:val="clear" w:color="auto" w:fill="FFFFFF"/>
            <w:tcMar>
              <w:top w:w="0" w:type="dxa"/>
              <w:left w:w="85" w:type="dxa"/>
              <w:bottom w:w="0" w:type="dxa"/>
              <w:right w:w="85" w:type="dxa"/>
            </w:tcMar>
          </w:tcPr>
          <w:p w14:paraId="1AEB3934" w14:textId="77777777" w:rsidR="00E87995" w:rsidRPr="009E06AA" w:rsidRDefault="00E87995" w:rsidP="00876E40">
            <w:pPr>
              <w:pStyle w:val="TableText"/>
              <w:spacing w:before="40" w:after="40"/>
              <w:jc w:val="right"/>
              <w:rPr>
                <w:szCs w:val="16"/>
              </w:rPr>
            </w:pPr>
            <w:r w:rsidRPr="009E06AA">
              <w:rPr>
                <w:color w:val="000000"/>
                <w:szCs w:val="16"/>
              </w:rPr>
              <w:t>2.9</w:t>
            </w:r>
          </w:p>
        </w:tc>
        <w:tc>
          <w:tcPr>
            <w:tcW w:w="687" w:type="dxa"/>
            <w:shd w:val="clear" w:color="auto" w:fill="FFFFFF"/>
            <w:tcMar>
              <w:top w:w="0" w:type="dxa"/>
              <w:left w:w="85" w:type="dxa"/>
              <w:bottom w:w="0" w:type="dxa"/>
              <w:right w:w="85" w:type="dxa"/>
            </w:tcMar>
          </w:tcPr>
          <w:p w14:paraId="4CFE5070" w14:textId="77777777" w:rsidR="00E87995" w:rsidRPr="009E06AA" w:rsidRDefault="00E87995" w:rsidP="00876E40">
            <w:pPr>
              <w:pStyle w:val="TableText"/>
              <w:spacing w:before="40" w:after="40"/>
              <w:jc w:val="right"/>
              <w:rPr>
                <w:szCs w:val="16"/>
              </w:rPr>
            </w:pPr>
            <w:r w:rsidRPr="009E06AA">
              <w:rPr>
                <w:color w:val="000000"/>
                <w:szCs w:val="16"/>
              </w:rPr>
              <w:t>39.4</w:t>
            </w:r>
          </w:p>
        </w:tc>
        <w:tc>
          <w:tcPr>
            <w:tcW w:w="1013" w:type="pct"/>
            <w:shd w:val="clear" w:color="auto" w:fill="FFFFFF"/>
            <w:tcMar>
              <w:top w:w="0" w:type="dxa"/>
              <w:left w:w="85" w:type="dxa"/>
              <w:bottom w:w="0" w:type="dxa"/>
              <w:right w:w="85" w:type="dxa"/>
            </w:tcMar>
          </w:tcPr>
          <w:p w14:paraId="5360BCA4" w14:textId="77777777" w:rsidR="00E87995" w:rsidRPr="009E06AA" w:rsidRDefault="00E87995" w:rsidP="00B55F24">
            <w:pPr>
              <w:pStyle w:val="TableText"/>
              <w:spacing w:before="40" w:after="40"/>
              <w:rPr>
                <w:szCs w:val="16"/>
              </w:rPr>
            </w:pPr>
            <w:r w:rsidRPr="009E06AA">
              <w:rPr>
                <w:color w:val="000000"/>
                <w:szCs w:val="16"/>
              </w:rPr>
              <w:t>Interpolation</w:t>
            </w:r>
          </w:p>
        </w:tc>
      </w:tr>
      <w:tr w:rsidR="00E87995" w:rsidRPr="009E06AA" w14:paraId="66953159" w14:textId="77777777" w:rsidTr="00B55F24">
        <w:tc>
          <w:tcPr>
            <w:tcW w:w="481" w:type="pct"/>
            <w:shd w:val="clear" w:color="auto" w:fill="FFFFFF"/>
            <w:tcMar>
              <w:top w:w="0" w:type="dxa"/>
              <w:left w:w="85" w:type="dxa"/>
              <w:bottom w:w="0" w:type="dxa"/>
              <w:right w:w="85" w:type="dxa"/>
            </w:tcMar>
          </w:tcPr>
          <w:p w14:paraId="2D693B1C" w14:textId="77777777" w:rsidR="00E87995" w:rsidRPr="009E06AA" w:rsidRDefault="00E87995" w:rsidP="00B55F24">
            <w:pPr>
              <w:pStyle w:val="TableTextBold"/>
              <w:spacing w:before="40" w:after="40"/>
              <w:rPr>
                <w:noProof w:val="0"/>
                <w:szCs w:val="16"/>
              </w:rPr>
            </w:pPr>
            <w:r w:rsidRPr="009E06AA">
              <w:rPr>
                <w:noProof w:val="0"/>
                <w:color w:val="1B556B"/>
                <w:szCs w:val="16"/>
              </w:rPr>
              <w:t>2006</w:t>
            </w:r>
          </w:p>
        </w:tc>
        <w:tc>
          <w:tcPr>
            <w:tcW w:w="322" w:type="pct"/>
            <w:shd w:val="clear" w:color="auto" w:fill="FFFFFF"/>
            <w:tcMar>
              <w:top w:w="0" w:type="dxa"/>
              <w:left w:w="85" w:type="dxa"/>
              <w:bottom w:w="0" w:type="dxa"/>
              <w:right w:w="85" w:type="dxa"/>
            </w:tcMar>
          </w:tcPr>
          <w:p w14:paraId="390D7B9C" w14:textId="77777777" w:rsidR="00E87995" w:rsidRPr="009E06AA" w:rsidRDefault="00E87995" w:rsidP="00876E40">
            <w:pPr>
              <w:pStyle w:val="TableText"/>
              <w:spacing w:before="40" w:after="40"/>
              <w:jc w:val="right"/>
              <w:rPr>
                <w:szCs w:val="16"/>
              </w:rPr>
            </w:pPr>
            <w:r w:rsidRPr="009E06AA">
              <w:rPr>
                <w:color w:val="000000"/>
                <w:szCs w:val="16"/>
              </w:rPr>
              <w:t>15.7</w:t>
            </w:r>
          </w:p>
        </w:tc>
        <w:tc>
          <w:tcPr>
            <w:tcW w:w="856" w:type="dxa"/>
            <w:shd w:val="clear" w:color="auto" w:fill="FFFFFF"/>
            <w:tcMar>
              <w:top w:w="0" w:type="dxa"/>
              <w:left w:w="85" w:type="dxa"/>
              <w:bottom w:w="0" w:type="dxa"/>
              <w:right w:w="85" w:type="dxa"/>
            </w:tcMar>
          </w:tcPr>
          <w:p w14:paraId="554BF2BA" w14:textId="77777777" w:rsidR="00E87995" w:rsidRPr="009E06AA" w:rsidRDefault="00E87995" w:rsidP="00876E40">
            <w:pPr>
              <w:pStyle w:val="TableText"/>
              <w:spacing w:before="40" w:after="40"/>
              <w:jc w:val="right"/>
              <w:rPr>
                <w:szCs w:val="16"/>
              </w:rPr>
            </w:pPr>
            <w:r w:rsidRPr="009E06AA">
              <w:rPr>
                <w:color w:val="000000"/>
                <w:szCs w:val="16"/>
              </w:rPr>
              <w:t>9.2</w:t>
            </w:r>
          </w:p>
        </w:tc>
        <w:tc>
          <w:tcPr>
            <w:tcW w:w="753" w:type="dxa"/>
            <w:shd w:val="clear" w:color="auto" w:fill="FFFFFF"/>
            <w:tcMar>
              <w:top w:w="0" w:type="dxa"/>
              <w:left w:w="85" w:type="dxa"/>
              <w:bottom w:w="0" w:type="dxa"/>
              <w:right w:w="85" w:type="dxa"/>
            </w:tcMar>
          </w:tcPr>
          <w:p w14:paraId="5DABA85A" w14:textId="77777777" w:rsidR="00E87995" w:rsidRPr="009E06AA" w:rsidRDefault="00E87995" w:rsidP="00876E40">
            <w:pPr>
              <w:pStyle w:val="TableText"/>
              <w:spacing w:before="40" w:after="40"/>
              <w:jc w:val="right"/>
              <w:rPr>
                <w:szCs w:val="16"/>
              </w:rPr>
            </w:pPr>
            <w:r w:rsidRPr="009E06AA">
              <w:rPr>
                <w:color w:val="000000"/>
                <w:szCs w:val="16"/>
              </w:rPr>
              <w:t>12.0</w:t>
            </w:r>
          </w:p>
        </w:tc>
        <w:tc>
          <w:tcPr>
            <w:tcW w:w="769" w:type="dxa"/>
            <w:shd w:val="clear" w:color="auto" w:fill="FFFFFF"/>
            <w:tcMar>
              <w:top w:w="0" w:type="dxa"/>
              <w:left w:w="85" w:type="dxa"/>
              <w:bottom w:w="0" w:type="dxa"/>
              <w:right w:w="85" w:type="dxa"/>
            </w:tcMar>
          </w:tcPr>
          <w:p w14:paraId="1D667C49" w14:textId="77777777" w:rsidR="00E87995" w:rsidRPr="009E06AA" w:rsidRDefault="00E87995" w:rsidP="00876E40">
            <w:pPr>
              <w:pStyle w:val="TableText"/>
              <w:spacing w:before="40" w:after="40"/>
              <w:jc w:val="right"/>
              <w:rPr>
                <w:szCs w:val="16"/>
              </w:rPr>
            </w:pPr>
            <w:r w:rsidRPr="009E06AA">
              <w:rPr>
                <w:color w:val="000000"/>
                <w:szCs w:val="16"/>
              </w:rPr>
              <w:t>13.0</w:t>
            </w:r>
          </w:p>
        </w:tc>
        <w:tc>
          <w:tcPr>
            <w:tcW w:w="814" w:type="dxa"/>
            <w:shd w:val="clear" w:color="auto" w:fill="FFFFFF"/>
            <w:tcMar>
              <w:top w:w="0" w:type="dxa"/>
              <w:left w:w="85" w:type="dxa"/>
              <w:bottom w:w="0" w:type="dxa"/>
              <w:right w:w="85" w:type="dxa"/>
            </w:tcMar>
          </w:tcPr>
          <w:p w14:paraId="7FBAAC18" w14:textId="77777777" w:rsidR="00E87995" w:rsidRPr="009E06AA" w:rsidRDefault="00E87995" w:rsidP="00876E40">
            <w:pPr>
              <w:pStyle w:val="TableText"/>
              <w:spacing w:before="40" w:after="40"/>
              <w:jc w:val="right"/>
              <w:rPr>
                <w:szCs w:val="16"/>
              </w:rPr>
            </w:pPr>
            <w:r w:rsidRPr="009E06AA">
              <w:rPr>
                <w:color w:val="000000"/>
                <w:szCs w:val="16"/>
              </w:rPr>
              <w:t>3.9</w:t>
            </w:r>
          </w:p>
        </w:tc>
        <w:tc>
          <w:tcPr>
            <w:tcW w:w="906" w:type="dxa"/>
            <w:shd w:val="clear" w:color="auto" w:fill="FFFFFF"/>
            <w:tcMar>
              <w:top w:w="0" w:type="dxa"/>
              <w:left w:w="85" w:type="dxa"/>
              <w:bottom w:w="0" w:type="dxa"/>
              <w:right w:w="85" w:type="dxa"/>
            </w:tcMar>
          </w:tcPr>
          <w:p w14:paraId="37692209" w14:textId="77777777" w:rsidR="00E87995" w:rsidRPr="009E06AA" w:rsidRDefault="00E87995" w:rsidP="00876E40">
            <w:pPr>
              <w:pStyle w:val="TableText"/>
              <w:spacing w:before="40" w:after="40"/>
              <w:jc w:val="right"/>
              <w:rPr>
                <w:szCs w:val="16"/>
              </w:rPr>
            </w:pPr>
            <w:r w:rsidRPr="009E06AA">
              <w:rPr>
                <w:color w:val="000000"/>
                <w:szCs w:val="16"/>
              </w:rPr>
              <w:t>3.0</w:t>
            </w:r>
          </w:p>
        </w:tc>
        <w:tc>
          <w:tcPr>
            <w:tcW w:w="809" w:type="dxa"/>
            <w:shd w:val="clear" w:color="auto" w:fill="FFFFFF"/>
            <w:tcMar>
              <w:top w:w="0" w:type="dxa"/>
              <w:left w:w="85" w:type="dxa"/>
              <w:bottom w:w="0" w:type="dxa"/>
              <w:right w:w="85" w:type="dxa"/>
            </w:tcMar>
          </w:tcPr>
          <w:p w14:paraId="574B7CEC" w14:textId="77777777" w:rsidR="00E87995" w:rsidRPr="009E06AA" w:rsidRDefault="00E87995" w:rsidP="00876E40">
            <w:pPr>
              <w:pStyle w:val="TableText"/>
              <w:spacing w:before="40" w:after="40"/>
              <w:jc w:val="right"/>
              <w:rPr>
                <w:szCs w:val="16"/>
              </w:rPr>
            </w:pPr>
            <w:r w:rsidRPr="009E06AA">
              <w:rPr>
                <w:color w:val="000000"/>
                <w:szCs w:val="16"/>
              </w:rPr>
              <w:t>2.9</w:t>
            </w:r>
          </w:p>
        </w:tc>
        <w:tc>
          <w:tcPr>
            <w:tcW w:w="687" w:type="dxa"/>
            <w:shd w:val="clear" w:color="auto" w:fill="FFFFFF"/>
            <w:tcMar>
              <w:top w:w="0" w:type="dxa"/>
              <w:left w:w="85" w:type="dxa"/>
              <w:bottom w:w="0" w:type="dxa"/>
              <w:right w:w="85" w:type="dxa"/>
            </w:tcMar>
          </w:tcPr>
          <w:p w14:paraId="060458C8" w14:textId="77777777" w:rsidR="00E87995" w:rsidRPr="009E06AA" w:rsidRDefault="00E87995" w:rsidP="00876E40">
            <w:pPr>
              <w:pStyle w:val="TableText"/>
              <w:spacing w:before="40" w:after="40"/>
              <w:jc w:val="right"/>
              <w:rPr>
                <w:szCs w:val="16"/>
              </w:rPr>
            </w:pPr>
            <w:r w:rsidRPr="009E06AA">
              <w:rPr>
                <w:color w:val="000000"/>
                <w:szCs w:val="16"/>
              </w:rPr>
              <w:t>40.4</w:t>
            </w:r>
          </w:p>
        </w:tc>
        <w:tc>
          <w:tcPr>
            <w:tcW w:w="1013" w:type="pct"/>
            <w:shd w:val="clear" w:color="auto" w:fill="FFFFFF"/>
            <w:tcMar>
              <w:top w:w="0" w:type="dxa"/>
              <w:left w:w="85" w:type="dxa"/>
              <w:bottom w:w="0" w:type="dxa"/>
              <w:right w:w="85" w:type="dxa"/>
            </w:tcMar>
          </w:tcPr>
          <w:p w14:paraId="6FCEAB79" w14:textId="77777777" w:rsidR="00E87995" w:rsidRPr="009E06AA" w:rsidRDefault="00E87995" w:rsidP="00B55F24">
            <w:pPr>
              <w:pStyle w:val="TableText"/>
              <w:spacing w:before="40" w:after="40"/>
              <w:rPr>
                <w:szCs w:val="16"/>
              </w:rPr>
            </w:pPr>
            <w:r w:rsidRPr="009E06AA">
              <w:rPr>
                <w:color w:val="000000"/>
                <w:szCs w:val="16"/>
              </w:rPr>
              <w:t>Interpolation</w:t>
            </w:r>
          </w:p>
        </w:tc>
      </w:tr>
      <w:tr w:rsidR="00E87995" w:rsidRPr="009E06AA" w14:paraId="39F5A212" w14:textId="77777777" w:rsidTr="00B55F24">
        <w:tc>
          <w:tcPr>
            <w:tcW w:w="481" w:type="pct"/>
            <w:shd w:val="clear" w:color="auto" w:fill="FFFFFF"/>
            <w:tcMar>
              <w:top w:w="0" w:type="dxa"/>
              <w:left w:w="85" w:type="dxa"/>
              <w:bottom w:w="0" w:type="dxa"/>
              <w:right w:w="85" w:type="dxa"/>
            </w:tcMar>
          </w:tcPr>
          <w:p w14:paraId="04930EDC" w14:textId="77777777" w:rsidR="00E87995" w:rsidRPr="009E06AA" w:rsidRDefault="00E87995" w:rsidP="00B55F24">
            <w:pPr>
              <w:pStyle w:val="TableTextBold"/>
              <w:spacing w:before="40" w:after="40"/>
              <w:rPr>
                <w:noProof w:val="0"/>
                <w:szCs w:val="16"/>
              </w:rPr>
            </w:pPr>
            <w:r w:rsidRPr="009E06AA">
              <w:rPr>
                <w:noProof w:val="0"/>
                <w:color w:val="1B556B"/>
                <w:szCs w:val="16"/>
              </w:rPr>
              <w:t>2007</w:t>
            </w:r>
          </w:p>
        </w:tc>
        <w:tc>
          <w:tcPr>
            <w:tcW w:w="322" w:type="pct"/>
            <w:shd w:val="clear" w:color="auto" w:fill="FFFFFF"/>
            <w:tcMar>
              <w:top w:w="0" w:type="dxa"/>
              <w:left w:w="85" w:type="dxa"/>
              <w:bottom w:w="0" w:type="dxa"/>
              <w:right w:w="85" w:type="dxa"/>
            </w:tcMar>
          </w:tcPr>
          <w:p w14:paraId="18ADB423" w14:textId="77777777" w:rsidR="00E87995" w:rsidRPr="009E06AA" w:rsidRDefault="00E87995" w:rsidP="00876E40">
            <w:pPr>
              <w:pStyle w:val="TableText"/>
              <w:spacing w:before="40" w:after="40"/>
              <w:jc w:val="right"/>
              <w:rPr>
                <w:szCs w:val="16"/>
              </w:rPr>
            </w:pPr>
            <w:r w:rsidRPr="009E06AA">
              <w:rPr>
                <w:color w:val="000000"/>
                <w:szCs w:val="16"/>
              </w:rPr>
              <w:t>16.4</w:t>
            </w:r>
          </w:p>
        </w:tc>
        <w:tc>
          <w:tcPr>
            <w:tcW w:w="856" w:type="dxa"/>
            <w:shd w:val="clear" w:color="auto" w:fill="FFFFFF"/>
            <w:tcMar>
              <w:top w:w="0" w:type="dxa"/>
              <w:left w:w="85" w:type="dxa"/>
              <w:bottom w:w="0" w:type="dxa"/>
              <w:right w:w="85" w:type="dxa"/>
            </w:tcMar>
          </w:tcPr>
          <w:p w14:paraId="5AE46E9E" w14:textId="77777777" w:rsidR="00E87995" w:rsidRPr="009E06AA" w:rsidRDefault="00E87995" w:rsidP="00876E40">
            <w:pPr>
              <w:pStyle w:val="TableText"/>
              <w:spacing w:before="40" w:after="40"/>
              <w:jc w:val="right"/>
              <w:rPr>
                <w:szCs w:val="16"/>
              </w:rPr>
            </w:pPr>
            <w:r w:rsidRPr="009E06AA">
              <w:rPr>
                <w:color w:val="000000"/>
                <w:szCs w:val="16"/>
              </w:rPr>
              <w:t>9.3</w:t>
            </w:r>
          </w:p>
        </w:tc>
        <w:tc>
          <w:tcPr>
            <w:tcW w:w="753" w:type="dxa"/>
            <w:shd w:val="clear" w:color="auto" w:fill="FFFFFF"/>
            <w:tcMar>
              <w:top w:w="0" w:type="dxa"/>
              <w:left w:w="85" w:type="dxa"/>
              <w:bottom w:w="0" w:type="dxa"/>
              <w:right w:w="85" w:type="dxa"/>
            </w:tcMar>
          </w:tcPr>
          <w:p w14:paraId="08747D51" w14:textId="77777777" w:rsidR="00E87995" w:rsidRPr="009E06AA" w:rsidRDefault="00E87995" w:rsidP="00876E40">
            <w:pPr>
              <w:pStyle w:val="TableText"/>
              <w:spacing w:before="40" w:after="40"/>
              <w:jc w:val="right"/>
              <w:rPr>
                <w:szCs w:val="16"/>
              </w:rPr>
            </w:pPr>
            <w:r w:rsidRPr="009E06AA">
              <w:rPr>
                <w:color w:val="000000"/>
                <w:szCs w:val="16"/>
              </w:rPr>
              <w:t>10.5</w:t>
            </w:r>
          </w:p>
        </w:tc>
        <w:tc>
          <w:tcPr>
            <w:tcW w:w="769" w:type="dxa"/>
            <w:shd w:val="clear" w:color="auto" w:fill="FFFFFF"/>
            <w:tcMar>
              <w:top w:w="0" w:type="dxa"/>
              <w:left w:w="85" w:type="dxa"/>
              <w:bottom w:w="0" w:type="dxa"/>
              <w:right w:w="85" w:type="dxa"/>
            </w:tcMar>
          </w:tcPr>
          <w:p w14:paraId="77F83EB3" w14:textId="77777777" w:rsidR="00E87995" w:rsidRPr="009E06AA" w:rsidRDefault="00E87995" w:rsidP="00876E40">
            <w:pPr>
              <w:pStyle w:val="TableText"/>
              <w:spacing w:before="40" w:after="40"/>
              <w:jc w:val="right"/>
              <w:rPr>
                <w:szCs w:val="16"/>
              </w:rPr>
            </w:pPr>
            <w:r w:rsidRPr="009E06AA">
              <w:rPr>
                <w:color w:val="000000"/>
                <w:szCs w:val="16"/>
              </w:rPr>
              <w:t>12.5</w:t>
            </w:r>
          </w:p>
        </w:tc>
        <w:tc>
          <w:tcPr>
            <w:tcW w:w="814" w:type="dxa"/>
            <w:shd w:val="clear" w:color="auto" w:fill="FFFFFF"/>
            <w:tcMar>
              <w:top w:w="0" w:type="dxa"/>
              <w:left w:w="85" w:type="dxa"/>
              <w:bottom w:w="0" w:type="dxa"/>
              <w:right w:w="85" w:type="dxa"/>
            </w:tcMar>
          </w:tcPr>
          <w:p w14:paraId="098A54AA" w14:textId="77777777" w:rsidR="00E87995" w:rsidRPr="009E06AA" w:rsidRDefault="00E87995" w:rsidP="00876E40">
            <w:pPr>
              <w:pStyle w:val="TableText"/>
              <w:spacing w:before="40" w:after="40"/>
              <w:jc w:val="right"/>
              <w:rPr>
                <w:szCs w:val="16"/>
              </w:rPr>
            </w:pPr>
            <w:r w:rsidRPr="009E06AA">
              <w:rPr>
                <w:color w:val="000000"/>
                <w:szCs w:val="16"/>
              </w:rPr>
              <w:t>3.9</w:t>
            </w:r>
          </w:p>
        </w:tc>
        <w:tc>
          <w:tcPr>
            <w:tcW w:w="906" w:type="dxa"/>
            <w:shd w:val="clear" w:color="auto" w:fill="FFFFFF"/>
            <w:tcMar>
              <w:top w:w="0" w:type="dxa"/>
              <w:left w:w="85" w:type="dxa"/>
              <w:bottom w:w="0" w:type="dxa"/>
              <w:right w:w="85" w:type="dxa"/>
            </w:tcMar>
          </w:tcPr>
          <w:p w14:paraId="1ADEA626" w14:textId="77777777" w:rsidR="00E87995" w:rsidRPr="009E06AA" w:rsidRDefault="00E87995" w:rsidP="00876E40">
            <w:pPr>
              <w:pStyle w:val="TableText"/>
              <w:spacing w:before="40" w:after="40"/>
              <w:jc w:val="right"/>
              <w:rPr>
                <w:szCs w:val="16"/>
              </w:rPr>
            </w:pPr>
            <w:r w:rsidRPr="009E06AA">
              <w:rPr>
                <w:color w:val="000000"/>
                <w:szCs w:val="16"/>
              </w:rPr>
              <w:t>3.2</w:t>
            </w:r>
          </w:p>
        </w:tc>
        <w:tc>
          <w:tcPr>
            <w:tcW w:w="809" w:type="dxa"/>
            <w:shd w:val="clear" w:color="auto" w:fill="FFFFFF"/>
            <w:tcMar>
              <w:top w:w="0" w:type="dxa"/>
              <w:left w:w="85" w:type="dxa"/>
              <w:bottom w:w="0" w:type="dxa"/>
              <w:right w:w="85" w:type="dxa"/>
            </w:tcMar>
          </w:tcPr>
          <w:p w14:paraId="6A98AF9B" w14:textId="77777777" w:rsidR="00E87995" w:rsidRPr="009E06AA" w:rsidRDefault="00E87995" w:rsidP="00876E40">
            <w:pPr>
              <w:pStyle w:val="TableText"/>
              <w:spacing w:before="40" w:after="40"/>
              <w:jc w:val="right"/>
              <w:rPr>
                <w:szCs w:val="16"/>
              </w:rPr>
            </w:pPr>
            <w:r w:rsidRPr="009E06AA">
              <w:rPr>
                <w:color w:val="000000"/>
                <w:szCs w:val="16"/>
              </w:rPr>
              <w:t>2.9</w:t>
            </w:r>
          </w:p>
        </w:tc>
        <w:tc>
          <w:tcPr>
            <w:tcW w:w="687" w:type="dxa"/>
            <w:shd w:val="clear" w:color="auto" w:fill="FFFFFF"/>
            <w:tcMar>
              <w:top w:w="0" w:type="dxa"/>
              <w:left w:w="85" w:type="dxa"/>
              <w:bottom w:w="0" w:type="dxa"/>
              <w:right w:w="85" w:type="dxa"/>
            </w:tcMar>
          </w:tcPr>
          <w:p w14:paraId="7E95C929" w14:textId="77777777" w:rsidR="00E87995" w:rsidRPr="009E06AA" w:rsidRDefault="00E87995" w:rsidP="00876E40">
            <w:pPr>
              <w:pStyle w:val="TableText"/>
              <w:spacing w:before="40" w:after="40"/>
              <w:jc w:val="right"/>
              <w:rPr>
                <w:szCs w:val="16"/>
              </w:rPr>
            </w:pPr>
            <w:r w:rsidRPr="009E06AA">
              <w:rPr>
                <w:color w:val="000000"/>
                <w:szCs w:val="16"/>
              </w:rPr>
              <w:t>41.4</w:t>
            </w:r>
          </w:p>
        </w:tc>
        <w:tc>
          <w:tcPr>
            <w:tcW w:w="1013" w:type="pct"/>
            <w:shd w:val="clear" w:color="auto" w:fill="FFFFFF"/>
            <w:tcMar>
              <w:top w:w="0" w:type="dxa"/>
              <w:left w:w="85" w:type="dxa"/>
              <w:bottom w:w="0" w:type="dxa"/>
              <w:right w:w="85" w:type="dxa"/>
            </w:tcMar>
          </w:tcPr>
          <w:p w14:paraId="535333C3" w14:textId="77777777" w:rsidR="00E87995" w:rsidRPr="009E06AA" w:rsidRDefault="00E87995" w:rsidP="00B55F24">
            <w:pPr>
              <w:pStyle w:val="TableText"/>
              <w:spacing w:before="40" w:after="40"/>
              <w:rPr>
                <w:szCs w:val="16"/>
              </w:rPr>
            </w:pPr>
            <w:r w:rsidRPr="009E06AA">
              <w:rPr>
                <w:color w:val="000000"/>
                <w:szCs w:val="16"/>
              </w:rPr>
              <w:t>Interpolation</w:t>
            </w:r>
          </w:p>
        </w:tc>
      </w:tr>
      <w:tr w:rsidR="00E87995" w:rsidRPr="009E06AA" w14:paraId="7EF910EC" w14:textId="77777777" w:rsidTr="00B55F24">
        <w:tc>
          <w:tcPr>
            <w:tcW w:w="481" w:type="pct"/>
            <w:shd w:val="clear" w:color="auto" w:fill="FFFFFF"/>
            <w:tcMar>
              <w:top w:w="0" w:type="dxa"/>
              <w:left w:w="85" w:type="dxa"/>
              <w:bottom w:w="0" w:type="dxa"/>
              <w:right w:w="85" w:type="dxa"/>
            </w:tcMar>
          </w:tcPr>
          <w:p w14:paraId="1F576B67" w14:textId="77777777" w:rsidR="00E87995" w:rsidRPr="009E06AA" w:rsidRDefault="00E87995" w:rsidP="00B55F24">
            <w:pPr>
              <w:pStyle w:val="TableTextBold"/>
              <w:spacing w:before="40" w:after="40"/>
              <w:rPr>
                <w:noProof w:val="0"/>
                <w:szCs w:val="16"/>
              </w:rPr>
            </w:pPr>
            <w:r w:rsidRPr="009E06AA">
              <w:rPr>
                <w:noProof w:val="0"/>
                <w:color w:val="1B556B"/>
                <w:szCs w:val="16"/>
              </w:rPr>
              <w:t>2008</w:t>
            </w:r>
          </w:p>
        </w:tc>
        <w:tc>
          <w:tcPr>
            <w:tcW w:w="322" w:type="pct"/>
            <w:shd w:val="clear" w:color="auto" w:fill="FFFFFF"/>
            <w:tcMar>
              <w:top w:w="0" w:type="dxa"/>
              <w:left w:w="85" w:type="dxa"/>
              <w:bottom w:w="0" w:type="dxa"/>
              <w:right w:w="85" w:type="dxa"/>
            </w:tcMar>
          </w:tcPr>
          <w:p w14:paraId="77C0003E" w14:textId="77777777" w:rsidR="00E87995" w:rsidRPr="009E06AA" w:rsidRDefault="00E87995" w:rsidP="00876E40">
            <w:pPr>
              <w:pStyle w:val="TableText"/>
              <w:spacing w:before="40" w:after="40"/>
              <w:jc w:val="right"/>
              <w:rPr>
                <w:szCs w:val="16"/>
              </w:rPr>
            </w:pPr>
            <w:r w:rsidRPr="009E06AA">
              <w:rPr>
                <w:color w:val="000000"/>
                <w:szCs w:val="16"/>
              </w:rPr>
              <w:t>17.1</w:t>
            </w:r>
          </w:p>
        </w:tc>
        <w:tc>
          <w:tcPr>
            <w:tcW w:w="856" w:type="dxa"/>
            <w:shd w:val="clear" w:color="auto" w:fill="FFFFFF"/>
            <w:tcMar>
              <w:top w:w="0" w:type="dxa"/>
              <w:left w:w="85" w:type="dxa"/>
              <w:bottom w:w="0" w:type="dxa"/>
              <w:right w:w="85" w:type="dxa"/>
            </w:tcMar>
          </w:tcPr>
          <w:p w14:paraId="1BD642B6" w14:textId="77777777" w:rsidR="00E87995" w:rsidRPr="009E06AA" w:rsidRDefault="00E87995" w:rsidP="00876E40">
            <w:pPr>
              <w:pStyle w:val="TableText"/>
              <w:spacing w:before="40" w:after="40"/>
              <w:jc w:val="right"/>
              <w:rPr>
                <w:szCs w:val="16"/>
              </w:rPr>
            </w:pPr>
            <w:r w:rsidRPr="009E06AA">
              <w:rPr>
                <w:color w:val="000000"/>
                <w:szCs w:val="16"/>
              </w:rPr>
              <w:t>9.4</w:t>
            </w:r>
          </w:p>
        </w:tc>
        <w:tc>
          <w:tcPr>
            <w:tcW w:w="753" w:type="dxa"/>
            <w:shd w:val="clear" w:color="auto" w:fill="FFFFFF"/>
            <w:tcMar>
              <w:top w:w="0" w:type="dxa"/>
              <w:left w:w="85" w:type="dxa"/>
              <w:bottom w:w="0" w:type="dxa"/>
              <w:right w:w="85" w:type="dxa"/>
            </w:tcMar>
          </w:tcPr>
          <w:p w14:paraId="05CA0115" w14:textId="77777777" w:rsidR="00E87995" w:rsidRPr="009E06AA" w:rsidRDefault="00E87995" w:rsidP="00876E40">
            <w:pPr>
              <w:pStyle w:val="TableText"/>
              <w:spacing w:before="40" w:after="40"/>
              <w:jc w:val="right"/>
              <w:rPr>
                <w:szCs w:val="16"/>
              </w:rPr>
            </w:pPr>
            <w:r w:rsidRPr="009E06AA">
              <w:rPr>
                <w:color w:val="000000"/>
                <w:szCs w:val="16"/>
              </w:rPr>
              <w:t>9.0</w:t>
            </w:r>
          </w:p>
        </w:tc>
        <w:tc>
          <w:tcPr>
            <w:tcW w:w="769" w:type="dxa"/>
            <w:shd w:val="clear" w:color="auto" w:fill="FFFFFF"/>
            <w:tcMar>
              <w:top w:w="0" w:type="dxa"/>
              <w:left w:w="85" w:type="dxa"/>
              <w:bottom w:w="0" w:type="dxa"/>
              <w:right w:w="85" w:type="dxa"/>
            </w:tcMar>
          </w:tcPr>
          <w:p w14:paraId="3198489D" w14:textId="77777777" w:rsidR="00E87995" w:rsidRPr="009E06AA" w:rsidRDefault="00E87995" w:rsidP="00876E40">
            <w:pPr>
              <w:pStyle w:val="TableText"/>
              <w:spacing w:before="40" w:after="40"/>
              <w:jc w:val="right"/>
              <w:rPr>
                <w:szCs w:val="16"/>
              </w:rPr>
            </w:pPr>
            <w:r w:rsidRPr="009E06AA">
              <w:rPr>
                <w:color w:val="000000"/>
                <w:szCs w:val="16"/>
              </w:rPr>
              <w:t>12.0</w:t>
            </w:r>
          </w:p>
        </w:tc>
        <w:tc>
          <w:tcPr>
            <w:tcW w:w="814" w:type="dxa"/>
            <w:shd w:val="clear" w:color="auto" w:fill="FFFFFF"/>
            <w:tcMar>
              <w:top w:w="0" w:type="dxa"/>
              <w:left w:w="85" w:type="dxa"/>
              <w:bottom w:w="0" w:type="dxa"/>
              <w:right w:w="85" w:type="dxa"/>
            </w:tcMar>
          </w:tcPr>
          <w:p w14:paraId="3A267B8A" w14:textId="77777777" w:rsidR="00E87995" w:rsidRPr="009E06AA" w:rsidRDefault="00E87995" w:rsidP="00876E40">
            <w:pPr>
              <w:pStyle w:val="TableText"/>
              <w:spacing w:before="40" w:after="40"/>
              <w:jc w:val="right"/>
              <w:rPr>
                <w:szCs w:val="16"/>
              </w:rPr>
            </w:pPr>
            <w:r w:rsidRPr="009E06AA">
              <w:rPr>
                <w:color w:val="000000"/>
                <w:szCs w:val="16"/>
              </w:rPr>
              <w:t>3.8</w:t>
            </w:r>
          </w:p>
        </w:tc>
        <w:tc>
          <w:tcPr>
            <w:tcW w:w="906" w:type="dxa"/>
            <w:shd w:val="clear" w:color="auto" w:fill="FFFFFF"/>
            <w:tcMar>
              <w:top w:w="0" w:type="dxa"/>
              <w:left w:w="85" w:type="dxa"/>
              <w:bottom w:w="0" w:type="dxa"/>
              <w:right w:w="85" w:type="dxa"/>
            </w:tcMar>
          </w:tcPr>
          <w:p w14:paraId="715E2210" w14:textId="77777777" w:rsidR="00E87995" w:rsidRPr="009E06AA" w:rsidRDefault="00E87995" w:rsidP="00876E40">
            <w:pPr>
              <w:pStyle w:val="TableText"/>
              <w:spacing w:before="40" w:after="40"/>
              <w:jc w:val="right"/>
              <w:rPr>
                <w:szCs w:val="16"/>
              </w:rPr>
            </w:pPr>
            <w:r w:rsidRPr="009E06AA">
              <w:rPr>
                <w:color w:val="000000"/>
                <w:szCs w:val="16"/>
              </w:rPr>
              <w:t>3.3</w:t>
            </w:r>
          </w:p>
        </w:tc>
        <w:tc>
          <w:tcPr>
            <w:tcW w:w="809" w:type="dxa"/>
            <w:shd w:val="clear" w:color="auto" w:fill="FFFFFF"/>
            <w:tcMar>
              <w:top w:w="0" w:type="dxa"/>
              <w:left w:w="85" w:type="dxa"/>
              <w:bottom w:w="0" w:type="dxa"/>
              <w:right w:w="85" w:type="dxa"/>
            </w:tcMar>
          </w:tcPr>
          <w:p w14:paraId="434DC436" w14:textId="77777777" w:rsidR="00E87995" w:rsidRPr="009E06AA" w:rsidRDefault="00E87995" w:rsidP="00876E40">
            <w:pPr>
              <w:pStyle w:val="TableText"/>
              <w:spacing w:before="40" w:after="40"/>
              <w:jc w:val="right"/>
              <w:rPr>
                <w:szCs w:val="16"/>
              </w:rPr>
            </w:pPr>
            <w:r w:rsidRPr="009E06AA">
              <w:rPr>
                <w:color w:val="000000"/>
                <w:szCs w:val="16"/>
              </w:rPr>
              <w:t>2.9</w:t>
            </w:r>
          </w:p>
        </w:tc>
        <w:tc>
          <w:tcPr>
            <w:tcW w:w="687" w:type="dxa"/>
            <w:shd w:val="clear" w:color="auto" w:fill="FFFFFF"/>
            <w:tcMar>
              <w:top w:w="0" w:type="dxa"/>
              <w:left w:w="85" w:type="dxa"/>
              <w:bottom w:w="0" w:type="dxa"/>
              <w:right w:w="85" w:type="dxa"/>
            </w:tcMar>
          </w:tcPr>
          <w:p w14:paraId="196D23F6" w14:textId="77777777" w:rsidR="00E87995" w:rsidRPr="009E06AA" w:rsidRDefault="00E87995" w:rsidP="00876E40">
            <w:pPr>
              <w:pStyle w:val="TableText"/>
              <w:spacing w:before="40" w:after="40"/>
              <w:jc w:val="right"/>
              <w:rPr>
                <w:szCs w:val="16"/>
              </w:rPr>
            </w:pPr>
            <w:r w:rsidRPr="009E06AA">
              <w:rPr>
                <w:color w:val="000000"/>
                <w:szCs w:val="16"/>
              </w:rPr>
              <w:t>42.4</w:t>
            </w:r>
          </w:p>
        </w:tc>
        <w:tc>
          <w:tcPr>
            <w:tcW w:w="1013" w:type="pct"/>
            <w:shd w:val="clear" w:color="auto" w:fill="FFFFFF"/>
            <w:tcMar>
              <w:top w:w="0" w:type="dxa"/>
              <w:left w:w="85" w:type="dxa"/>
              <w:bottom w:w="0" w:type="dxa"/>
              <w:right w:w="85" w:type="dxa"/>
            </w:tcMar>
          </w:tcPr>
          <w:p w14:paraId="0B094DC4" w14:textId="77777777" w:rsidR="00E87995" w:rsidRPr="009E06AA" w:rsidRDefault="00E87995" w:rsidP="00B55F24">
            <w:pPr>
              <w:pStyle w:val="TableText"/>
              <w:spacing w:before="40" w:after="40"/>
              <w:rPr>
                <w:szCs w:val="16"/>
              </w:rPr>
            </w:pPr>
            <w:r w:rsidRPr="009E06AA">
              <w:rPr>
                <w:color w:val="000000"/>
                <w:szCs w:val="16"/>
              </w:rPr>
              <w:t>Survey</w:t>
            </w:r>
          </w:p>
        </w:tc>
      </w:tr>
      <w:tr w:rsidR="00E87995" w:rsidRPr="009E06AA" w14:paraId="1C2E49B6" w14:textId="77777777" w:rsidTr="00B55F24">
        <w:tc>
          <w:tcPr>
            <w:tcW w:w="481" w:type="pct"/>
            <w:shd w:val="clear" w:color="auto" w:fill="FFFFFF"/>
            <w:tcMar>
              <w:top w:w="0" w:type="dxa"/>
              <w:left w:w="85" w:type="dxa"/>
              <w:bottom w:w="0" w:type="dxa"/>
              <w:right w:w="85" w:type="dxa"/>
            </w:tcMar>
          </w:tcPr>
          <w:p w14:paraId="340B1AD5" w14:textId="77777777" w:rsidR="00E87995" w:rsidRPr="009E06AA" w:rsidRDefault="00E87995" w:rsidP="00B55F24">
            <w:pPr>
              <w:pStyle w:val="TableTextBold"/>
              <w:spacing w:before="40" w:after="40"/>
              <w:rPr>
                <w:noProof w:val="0"/>
                <w:szCs w:val="16"/>
              </w:rPr>
            </w:pPr>
            <w:r w:rsidRPr="009E06AA">
              <w:rPr>
                <w:noProof w:val="0"/>
                <w:color w:val="1B556B"/>
                <w:szCs w:val="16"/>
              </w:rPr>
              <w:t>2009</w:t>
            </w:r>
          </w:p>
        </w:tc>
        <w:tc>
          <w:tcPr>
            <w:tcW w:w="322" w:type="pct"/>
            <w:shd w:val="clear" w:color="auto" w:fill="FFFFFF"/>
            <w:tcMar>
              <w:top w:w="0" w:type="dxa"/>
              <w:left w:w="85" w:type="dxa"/>
              <w:bottom w:w="0" w:type="dxa"/>
              <w:right w:w="85" w:type="dxa"/>
            </w:tcMar>
          </w:tcPr>
          <w:p w14:paraId="291122D7" w14:textId="77777777" w:rsidR="00E87995" w:rsidRPr="009E06AA" w:rsidRDefault="00E87995" w:rsidP="00876E40">
            <w:pPr>
              <w:pStyle w:val="TableText"/>
              <w:spacing w:before="40" w:after="40"/>
              <w:jc w:val="right"/>
              <w:rPr>
                <w:szCs w:val="16"/>
              </w:rPr>
            </w:pPr>
            <w:r w:rsidRPr="009E06AA">
              <w:rPr>
                <w:color w:val="000000"/>
                <w:szCs w:val="16"/>
              </w:rPr>
              <w:t>17.0</w:t>
            </w:r>
          </w:p>
        </w:tc>
        <w:tc>
          <w:tcPr>
            <w:tcW w:w="856" w:type="dxa"/>
            <w:shd w:val="clear" w:color="auto" w:fill="FFFFFF"/>
            <w:tcMar>
              <w:top w:w="0" w:type="dxa"/>
              <w:left w:w="85" w:type="dxa"/>
              <w:bottom w:w="0" w:type="dxa"/>
              <w:right w:w="85" w:type="dxa"/>
            </w:tcMar>
          </w:tcPr>
          <w:p w14:paraId="11725432" w14:textId="77777777" w:rsidR="00E87995" w:rsidRPr="009E06AA" w:rsidRDefault="00E87995" w:rsidP="00876E40">
            <w:pPr>
              <w:pStyle w:val="TableText"/>
              <w:spacing w:before="40" w:after="40"/>
              <w:jc w:val="right"/>
              <w:rPr>
                <w:szCs w:val="16"/>
              </w:rPr>
            </w:pPr>
            <w:r w:rsidRPr="009E06AA">
              <w:rPr>
                <w:color w:val="000000"/>
                <w:szCs w:val="16"/>
              </w:rPr>
              <w:t>9.1</w:t>
            </w:r>
          </w:p>
        </w:tc>
        <w:tc>
          <w:tcPr>
            <w:tcW w:w="753" w:type="dxa"/>
            <w:shd w:val="clear" w:color="auto" w:fill="FFFFFF"/>
            <w:tcMar>
              <w:top w:w="0" w:type="dxa"/>
              <w:left w:w="85" w:type="dxa"/>
              <w:bottom w:w="0" w:type="dxa"/>
              <w:right w:w="85" w:type="dxa"/>
            </w:tcMar>
          </w:tcPr>
          <w:p w14:paraId="6A14BD94" w14:textId="77777777" w:rsidR="00E87995" w:rsidRPr="009E06AA" w:rsidRDefault="00E87995" w:rsidP="00876E40">
            <w:pPr>
              <w:pStyle w:val="TableText"/>
              <w:spacing w:before="40" w:after="40"/>
              <w:jc w:val="right"/>
              <w:rPr>
                <w:szCs w:val="16"/>
              </w:rPr>
            </w:pPr>
            <w:r w:rsidRPr="009E06AA">
              <w:rPr>
                <w:color w:val="000000"/>
                <w:szCs w:val="16"/>
              </w:rPr>
              <w:t>9.4</w:t>
            </w:r>
          </w:p>
        </w:tc>
        <w:tc>
          <w:tcPr>
            <w:tcW w:w="769" w:type="dxa"/>
            <w:shd w:val="clear" w:color="auto" w:fill="FFFFFF"/>
            <w:tcMar>
              <w:top w:w="0" w:type="dxa"/>
              <w:left w:w="85" w:type="dxa"/>
              <w:bottom w:w="0" w:type="dxa"/>
              <w:right w:w="85" w:type="dxa"/>
            </w:tcMar>
          </w:tcPr>
          <w:p w14:paraId="38B9D88B" w14:textId="77777777" w:rsidR="00E87995" w:rsidRPr="009E06AA" w:rsidRDefault="00E87995" w:rsidP="00876E40">
            <w:pPr>
              <w:pStyle w:val="TableText"/>
              <w:spacing w:before="40" w:after="40"/>
              <w:jc w:val="right"/>
              <w:rPr>
                <w:szCs w:val="16"/>
              </w:rPr>
            </w:pPr>
            <w:r w:rsidRPr="009E06AA">
              <w:rPr>
                <w:color w:val="000000"/>
                <w:szCs w:val="16"/>
              </w:rPr>
              <w:t>12.0</w:t>
            </w:r>
          </w:p>
        </w:tc>
        <w:tc>
          <w:tcPr>
            <w:tcW w:w="814" w:type="dxa"/>
            <w:shd w:val="clear" w:color="auto" w:fill="FFFFFF"/>
            <w:tcMar>
              <w:top w:w="0" w:type="dxa"/>
              <w:left w:w="85" w:type="dxa"/>
              <w:bottom w:w="0" w:type="dxa"/>
              <w:right w:w="85" w:type="dxa"/>
            </w:tcMar>
          </w:tcPr>
          <w:p w14:paraId="4CB5170D" w14:textId="77777777" w:rsidR="00E87995" w:rsidRPr="009E06AA" w:rsidRDefault="00E87995" w:rsidP="00876E40">
            <w:pPr>
              <w:pStyle w:val="TableText"/>
              <w:spacing w:before="40" w:after="40"/>
              <w:jc w:val="right"/>
              <w:rPr>
                <w:szCs w:val="16"/>
              </w:rPr>
            </w:pPr>
            <w:r w:rsidRPr="009E06AA">
              <w:rPr>
                <w:color w:val="000000"/>
                <w:szCs w:val="16"/>
              </w:rPr>
              <w:t>4.3</w:t>
            </w:r>
          </w:p>
        </w:tc>
        <w:tc>
          <w:tcPr>
            <w:tcW w:w="906" w:type="dxa"/>
            <w:shd w:val="clear" w:color="auto" w:fill="FFFFFF"/>
            <w:tcMar>
              <w:top w:w="0" w:type="dxa"/>
              <w:left w:w="85" w:type="dxa"/>
              <w:bottom w:w="0" w:type="dxa"/>
              <w:right w:w="85" w:type="dxa"/>
            </w:tcMar>
          </w:tcPr>
          <w:p w14:paraId="5A421D4C" w14:textId="77777777" w:rsidR="00E87995" w:rsidRPr="009E06AA" w:rsidRDefault="00E87995" w:rsidP="00876E40">
            <w:pPr>
              <w:pStyle w:val="TableText"/>
              <w:spacing w:before="40" w:after="40"/>
              <w:jc w:val="right"/>
              <w:rPr>
                <w:szCs w:val="16"/>
              </w:rPr>
            </w:pPr>
            <w:r w:rsidRPr="009E06AA">
              <w:rPr>
                <w:color w:val="000000"/>
                <w:szCs w:val="16"/>
              </w:rPr>
              <w:t>3.2</w:t>
            </w:r>
          </w:p>
        </w:tc>
        <w:tc>
          <w:tcPr>
            <w:tcW w:w="809" w:type="dxa"/>
            <w:shd w:val="clear" w:color="auto" w:fill="FFFFFF"/>
            <w:tcMar>
              <w:top w:w="0" w:type="dxa"/>
              <w:left w:w="85" w:type="dxa"/>
              <w:bottom w:w="0" w:type="dxa"/>
              <w:right w:w="85" w:type="dxa"/>
            </w:tcMar>
          </w:tcPr>
          <w:p w14:paraId="356AC2B4" w14:textId="77777777" w:rsidR="00E87995" w:rsidRPr="009E06AA" w:rsidRDefault="00E87995" w:rsidP="00876E40">
            <w:pPr>
              <w:pStyle w:val="TableText"/>
              <w:spacing w:before="40" w:after="40"/>
              <w:jc w:val="right"/>
              <w:rPr>
                <w:szCs w:val="16"/>
              </w:rPr>
            </w:pPr>
            <w:r w:rsidRPr="009E06AA">
              <w:rPr>
                <w:color w:val="000000"/>
                <w:szCs w:val="16"/>
              </w:rPr>
              <w:t>3.1</w:t>
            </w:r>
          </w:p>
        </w:tc>
        <w:tc>
          <w:tcPr>
            <w:tcW w:w="687" w:type="dxa"/>
            <w:shd w:val="clear" w:color="auto" w:fill="FFFFFF"/>
            <w:tcMar>
              <w:top w:w="0" w:type="dxa"/>
              <w:left w:w="85" w:type="dxa"/>
              <w:bottom w:w="0" w:type="dxa"/>
              <w:right w:w="85" w:type="dxa"/>
            </w:tcMar>
          </w:tcPr>
          <w:p w14:paraId="5BBC41EA" w14:textId="77777777" w:rsidR="00E87995" w:rsidRPr="009E06AA" w:rsidRDefault="00E87995" w:rsidP="00876E40">
            <w:pPr>
              <w:pStyle w:val="TableText"/>
              <w:spacing w:before="40" w:after="40"/>
              <w:jc w:val="right"/>
              <w:rPr>
                <w:szCs w:val="16"/>
              </w:rPr>
            </w:pPr>
            <w:r w:rsidRPr="009E06AA">
              <w:rPr>
                <w:color w:val="000000"/>
                <w:szCs w:val="16"/>
              </w:rPr>
              <w:t>41.8</w:t>
            </w:r>
          </w:p>
        </w:tc>
        <w:tc>
          <w:tcPr>
            <w:tcW w:w="1013" w:type="pct"/>
            <w:shd w:val="clear" w:color="auto" w:fill="FFFFFF"/>
            <w:tcMar>
              <w:top w:w="0" w:type="dxa"/>
              <w:left w:w="85" w:type="dxa"/>
              <w:bottom w:w="0" w:type="dxa"/>
              <w:right w:w="85" w:type="dxa"/>
            </w:tcMar>
          </w:tcPr>
          <w:p w14:paraId="603995A2" w14:textId="77777777" w:rsidR="00E87995" w:rsidRPr="009E06AA" w:rsidRDefault="00E87995" w:rsidP="00B55F24">
            <w:pPr>
              <w:pStyle w:val="TableText"/>
              <w:spacing w:before="40" w:after="40"/>
              <w:rPr>
                <w:szCs w:val="16"/>
              </w:rPr>
            </w:pPr>
            <w:r w:rsidRPr="009E06AA">
              <w:rPr>
                <w:color w:val="000000"/>
                <w:szCs w:val="16"/>
              </w:rPr>
              <w:t>Interpolation</w:t>
            </w:r>
          </w:p>
        </w:tc>
      </w:tr>
      <w:tr w:rsidR="00E87995" w:rsidRPr="009E06AA" w14:paraId="22565DFE" w14:textId="77777777" w:rsidTr="00B55F24">
        <w:tc>
          <w:tcPr>
            <w:tcW w:w="481" w:type="pct"/>
            <w:shd w:val="clear" w:color="auto" w:fill="FFFFFF"/>
            <w:tcMar>
              <w:top w:w="0" w:type="dxa"/>
              <w:left w:w="85" w:type="dxa"/>
              <w:bottom w:w="0" w:type="dxa"/>
              <w:right w:w="85" w:type="dxa"/>
            </w:tcMar>
          </w:tcPr>
          <w:p w14:paraId="36CE8723" w14:textId="77777777" w:rsidR="00E87995" w:rsidRPr="009E06AA" w:rsidRDefault="00E87995" w:rsidP="00B55F24">
            <w:pPr>
              <w:pStyle w:val="TableTextBold"/>
              <w:spacing w:before="40" w:after="40"/>
              <w:rPr>
                <w:noProof w:val="0"/>
                <w:szCs w:val="16"/>
              </w:rPr>
            </w:pPr>
            <w:r w:rsidRPr="009E06AA">
              <w:rPr>
                <w:noProof w:val="0"/>
                <w:color w:val="1B556B"/>
                <w:szCs w:val="16"/>
              </w:rPr>
              <w:t>2010</w:t>
            </w:r>
          </w:p>
        </w:tc>
        <w:tc>
          <w:tcPr>
            <w:tcW w:w="322" w:type="pct"/>
            <w:shd w:val="clear" w:color="auto" w:fill="FFFFFF"/>
            <w:tcMar>
              <w:top w:w="0" w:type="dxa"/>
              <w:left w:w="85" w:type="dxa"/>
              <w:bottom w:w="0" w:type="dxa"/>
              <w:right w:w="85" w:type="dxa"/>
            </w:tcMar>
          </w:tcPr>
          <w:p w14:paraId="2C231026" w14:textId="77777777" w:rsidR="00E87995" w:rsidRPr="009E06AA" w:rsidRDefault="00E87995" w:rsidP="00876E40">
            <w:pPr>
              <w:pStyle w:val="TableText"/>
              <w:spacing w:before="40" w:after="40"/>
              <w:jc w:val="right"/>
              <w:rPr>
                <w:szCs w:val="16"/>
              </w:rPr>
            </w:pPr>
            <w:r w:rsidRPr="009E06AA">
              <w:rPr>
                <w:color w:val="000000"/>
                <w:szCs w:val="16"/>
              </w:rPr>
              <w:t>16.9</w:t>
            </w:r>
          </w:p>
        </w:tc>
        <w:tc>
          <w:tcPr>
            <w:tcW w:w="856" w:type="dxa"/>
            <w:shd w:val="clear" w:color="auto" w:fill="FFFFFF"/>
            <w:tcMar>
              <w:top w:w="0" w:type="dxa"/>
              <w:left w:w="85" w:type="dxa"/>
              <w:bottom w:w="0" w:type="dxa"/>
              <w:right w:w="85" w:type="dxa"/>
            </w:tcMar>
          </w:tcPr>
          <w:p w14:paraId="582F51C1" w14:textId="77777777" w:rsidR="00E87995" w:rsidRPr="009E06AA" w:rsidRDefault="00E87995" w:rsidP="00876E40">
            <w:pPr>
              <w:pStyle w:val="TableText"/>
              <w:spacing w:before="40" w:after="40"/>
              <w:jc w:val="right"/>
              <w:rPr>
                <w:szCs w:val="16"/>
              </w:rPr>
            </w:pPr>
            <w:r w:rsidRPr="009E06AA">
              <w:rPr>
                <w:color w:val="000000"/>
                <w:szCs w:val="16"/>
              </w:rPr>
              <w:t>8.9</w:t>
            </w:r>
          </w:p>
        </w:tc>
        <w:tc>
          <w:tcPr>
            <w:tcW w:w="753" w:type="dxa"/>
            <w:shd w:val="clear" w:color="auto" w:fill="FFFFFF"/>
            <w:tcMar>
              <w:top w:w="0" w:type="dxa"/>
              <w:left w:w="85" w:type="dxa"/>
              <w:bottom w:w="0" w:type="dxa"/>
              <w:right w:w="85" w:type="dxa"/>
            </w:tcMar>
          </w:tcPr>
          <w:p w14:paraId="2A602BB0" w14:textId="77777777" w:rsidR="00E87995" w:rsidRPr="009E06AA" w:rsidRDefault="00E87995" w:rsidP="00876E40">
            <w:pPr>
              <w:pStyle w:val="TableText"/>
              <w:spacing w:before="40" w:after="40"/>
              <w:jc w:val="right"/>
              <w:rPr>
                <w:szCs w:val="16"/>
              </w:rPr>
            </w:pPr>
            <w:r w:rsidRPr="009E06AA">
              <w:rPr>
                <w:color w:val="000000"/>
                <w:szCs w:val="16"/>
              </w:rPr>
              <w:t>9.8</w:t>
            </w:r>
          </w:p>
        </w:tc>
        <w:tc>
          <w:tcPr>
            <w:tcW w:w="769" w:type="dxa"/>
            <w:shd w:val="clear" w:color="auto" w:fill="FFFFFF"/>
            <w:tcMar>
              <w:top w:w="0" w:type="dxa"/>
              <w:left w:w="85" w:type="dxa"/>
              <w:bottom w:w="0" w:type="dxa"/>
              <w:right w:w="85" w:type="dxa"/>
            </w:tcMar>
          </w:tcPr>
          <w:p w14:paraId="4678B8DB" w14:textId="77777777" w:rsidR="00E87995" w:rsidRPr="009E06AA" w:rsidRDefault="00E87995" w:rsidP="00876E40">
            <w:pPr>
              <w:pStyle w:val="TableText"/>
              <w:spacing w:before="40" w:after="40"/>
              <w:jc w:val="right"/>
              <w:rPr>
                <w:szCs w:val="16"/>
              </w:rPr>
            </w:pPr>
            <w:r w:rsidRPr="009E06AA">
              <w:rPr>
                <w:color w:val="000000"/>
                <w:szCs w:val="16"/>
              </w:rPr>
              <w:t>11.9</w:t>
            </w:r>
          </w:p>
        </w:tc>
        <w:tc>
          <w:tcPr>
            <w:tcW w:w="814" w:type="dxa"/>
            <w:shd w:val="clear" w:color="auto" w:fill="FFFFFF"/>
            <w:tcMar>
              <w:top w:w="0" w:type="dxa"/>
              <w:left w:w="85" w:type="dxa"/>
              <w:bottom w:w="0" w:type="dxa"/>
              <w:right w:w="85" w:type="dxa"/>
            </w:tcMar>
          </w:tcPr>
          <w:p w14:paraId="2058930F" w14:textId="77777777" w:rsidR="00E87995" w:rsidRPr="009E06AA" w:rsidRDefault="00E87995" w:rsidP="00876E40">
            <w:pPr>
              <w:pStyle w:val="TableText"/>
              <w:spacing w:before="40" w:after="40"/>
              <w:jc w:val="right"/>
              <w:rPr>
                <w:szCs w:val="16"/>
              </w:rPr>
            </w:pPr>
            <w:r w:rsidRPr="009E06AA">
              <w:rPr>
                <w:color w:val="000000"/>
                <w:szCs w:val="16"/>
              </w:rPr>
              <w:t>4.7</w:t>
            </w:r>
          </w:p>
        </w:tc>
        <w:tc>
          <w:tcPr>
            <w:tcW w:w="906" w:type="dxa"/>
            <w:shd w:val="clear" w:color="auto" w:fill="FFFFFF"/>
            <w:tcMar>
              <w:top w:w="0" w:type="dxa"/>
              <w:left w:w="85" w:type="dxa"/>
              <w:bottom w:w="0" w:type="dxa"/>
              <w:right w:w="85" w:type="dxa"/>
            </w:tcMar>
          </w:tcPr>
          <w:p w14:paraId="010E76B4" w14:textId="77777777" w:rsidR="00E87995" w:rsidRPr="009E06AA" w:rsidRDefault="00E87995" w:rsidP="00876E40">
            <w:pPr>
              <w:pStyle w:val="TableText"/>
              <w:spacing w:before="40" w:after="40"/>
              <w:jc w:val="right"/>
              <w:rPr>
                <w:szCs w:val="16"/>
              </w:rPr>
            </w:pPr>
            <w:r w:rsidRPr="009E06AA">
              <w:rPr>
                <w:color w:val="000000"/>
                <w:szCs w:val="16"/>
              </w:rPr>
              <w:t>3.2</w:t>
            </w:r>
          </w:p>
        </w:tc>
        <w:tc>
          <w:tcPr>
            <w:tcW w:w="809" w:type="dxa"/>
            <w:shd w:val="clear" w:color="auto" w:fill="FFFFFF"/>
            <w:tcMar>
              <w:top w:w="0" w:type="dxa"/>
              <w:left w:w="85" w:type="dxa"/>
              <w:bottom w:w="0" w:type="dxa"/>
              <w:right w:w="85" w:type="dxa"/>
            </w:tcMar>
          </w:tcPr>
          <w:p w14:paraId="22EC791C" w14:textId="77777777" w:rsidR="00E87995" w:rsidRPr="009E06AA" w:rsidRDefault="00E87995" w:rsidP="00876E40">
            <w:pPr>
              <w:pStyle w:val="TableText"/>
              <w:spacing w:before="40" w:after="40"/>
              <w:jc w:val="right"/>
              <w:rPr>
                <w:szCs w:val="16"/>
              </w:rPr>
            </w:pPr>
            <w:r w:rsidRPr="009E06AA">
              <w:rPr>
                <w:color w:val="000000"/>
                <w:szCs w:val="16"/>
              </w:rPr>
              <w:t>3.4</w:t>
            </w:r>
          </w:p>
        </w:tc>
        <w:tc>
          <w:tcPr>
            <w:tcW w:w="687" w:type="dxa"/>
            <w:shd w:val="clear" w:color="auto" w:fill="FFFFFF"/>
            <w:tcMar>
              <w:top w:w="0" w:type="dxa"/>
              <w:left w:w="85" w:type="dxa"/>
              <w:bottom w:w="0" w:type="dxa"/>
              <w:right w:w="85" w:type="dxa"/>
            </w:tcMar>
          </w:tcPr>
          <w:p w14:paraId="64EEF6F8" w14:textId="77777777" w:rsidR="00E87995" w:rsidRPr="009E06AA" w:rsidRDefault="00E87995" w:rsidP="00876E40">
            <w:pPr>
              <w:pStyle w:val="TableText"/>
              <w:spacing w:before="40" w:after="40"/>
              <w:jc w:val="right"/>
              <w:rPr>
                <w:szCs w:val="16"/>
              </w:rPr>
            </w:pPr>
            <w:r w:rsidRPr="009E06AA">
              <w:rPr>
                <w:color w:val="000000"/>
                <w:szCs w:val="16"/>
              </w:rPr>
              <w:t>41.1</w:t>
            </w:r>
          </w:p>
        </w:tc>
        <w:tc>
          <w:tcPr>
            <w:tcW w:w="1013" w:type="pct"/>
            <w:shd w:val="clear" w:color="auto" w:fill="FFFFFF"/>
            <w:tcMar>
              <w:top w:w="0" w:type="dxa"/>
              <w:left w:w="85" w:type="dxa"/>
              <w:bottom w:w="0" w:type="dxa"/>
              <w:right w:w="85" w:type="dxa"/>
            </w:tcMar>
          </w:tcPr>
          <w:p w14:paraId="3E857E98" w14:textId="77777777" w:rsidR="00E87995" w:rsidRPr="009E06AA" w:rsidRDefault="00E87995" w:rsidP="00B55F24">
            <w:pPr>
              <w:pStyle w:val="TableText"/>
              <w:spacing w:before="40" w:after="40"/>
              <w:rPr>
                <w:szCs w:val="16"/>
              </w:rPr>
            </w:pPr>
            <w:r w:rsidRPr="009E06AA">
              <w:rPr>
                <w:color w:val="000000"/>
                <w:szCs w:val="16"/>
              </w:rPr>
              <w:t>Interpolation</w:t>
            </w:r>
          </w:p>
        </w:tc>
      </w:tr>
      <w:tr w:rsidR="00E87995" w:rsidRPr="009E06AA" w14:paraId="36E13621" w14:textId="77777777" w:rsidTr="00B55F24">
        <w:tc>
          <w:tcPr>
            <w:tcW w:w="481" w:type="pct"/>
            <w:shd w:val="clear" w:color="auto" w:fill="FFFFFF"/>
            <w:tcMar>
              <w:top w:w="0" w:type="dxa"/>
              <w:left w:w="85" w:type="dxa"/>
              <w:bottom w:w="0" w:type="dxa"/>
              <w:right w:w="85" w:type="dxa"/>
            </w:tcMar>
          </w:tcPr>
          <w:p w14:paraId="6660ABC4" w14:textId="77777777" w:rsidR="00E87995" w:rsidRPr="009E06AA" w:rsidRDefault="00E87995" w:rsidP="00B55F24">
            <w:pPr>
              <w:pStyle w:val="TableTextBold"/>
              <w:spacing w:before="40" w:after="40"/>
              <w:rPr>
                <w:noProof w:val="0"/>
                <w:szCs w:val="16"/>
              </w:rPr>
            </w:pPr>
            <w:r w:rsidRPr="009E06AA">
              <w:rPr>
                <w:noProof w:val="0"/>
                <w:color w:val="1B556B"/>
                <w:szCs w:val="16"/>
              </w:rPr>
              <w:t>2011</w:t>
            </w:r>
          </w:p>
        </w:tc>
        <w:tc>
          <w:tcPr>
            <w:tcW w:w="322" w:type="pct"/>
            <w:shd w:val="clear" w:color="auto" w:fill="FFFFFF"/>
            <w:tcMar>
              <w:top w:w="0" w:type="dxa"/>
              <w:left w:w="85" w:type="dxa"/>
              <w:bottom w:w="0" w:type="dxa"/>
              <w:right w:w="85" w:type="dxa"/>
            </w:tcMar>
          </w:tcPr>
          <w:p w14:paraId="25AA7DE2" w14:textId="77777777" w:rsidR="00E87995" w:rsidRPr="009E06AA" w:rsidRDefault="00E87995" w:rsidP="00876E40">
            <w:pPr>
              <w:pStyle w:val="TableText"/>
              <w:spacing w:before="40" w:after="40"/>
              <w:jc w:val="right"/>
              <w:rPr>
                <w:szCs w:val="16"/>
              </w:rPr>
            </w:pPr>
            <w:r w:rsidRPr="009E06AA">
              <w:rPr>
                <w:color w:val="000000"/>
                <w:szCs w:val="16"/>
              </w:rPr>
              <w:t>16.9</w:t>
            </w:r>
          </w:p>
        </w:tc>
        <w:tc>
          <w:tcPr>
            <w:tcW w:w="856" w:type="dxa"/>
            <w:shd w:val="clear" w:color="auto" w:fill="FFFFFF"/>
            <w:tcMar>
              <w:top w:w="0" w:type="dxa"/>
              <w:left w:w="85" w:type="dxa"/>
              <w:bottom w:w="0" w:type="dxa"/>
              <w:right w:w="85" w:type="dxa"/>
            </w:tcMar>
          </w:tcPr>
          <w:p w14:paraId="18AC0E5C" w14:textId="77777777" w:rsidR="00E87995" w:rsidRPr="009E06AA" w:rsidRDefault="00E87995" w:rsidP="00876E40">
            <w:pPr>
              <w:pStyle w:val="TableText"/>
              <w:spacing w:before="40" w:after="40"/>
              <w:jc w:val="right"/>
              <w:rPr>
                <w:szCs w:val="16"/>
              </w:rPr>
            </w:pPr>
            <w:r w:rsidRPr="009E06AA">
              <w:rPr>
                <w:color w:val="000000"/>
                <w:szCs w:val="16"/>
              </w:rPr>
              <w:t>8.6</w:t>
            </w:r>
          </w:p>
        </w:tc>
        <w:tc>
          <w:tcPr>
            <w:tcW w:w="753" w:type="dxa"/>
            <w:shd w:val="clear" w:color="auto" w:fill="FFFFFF"/>
            <w:tcMar>
              <w:top w:w="0" w:type="dxa"/>
              <w:left w:w="85" w:type="dxa"/>
              <w:bottom w:w="0" w:type="dxa"/>
              <w:right w:w="85" w:type="dxa"/>
            </w:tcMar>
          </w:tcPr>
          <w:p w14:paraId="1BAFAF4C" w14:textId="77777777" w:rsidR="00E87995" w:rsidRPr="009E06AA" w:rsidRDefault="00E87995" w:rsidP="00876E40">
            <w:pPr>
              <w:pStyle w:val="TableText"/>
              <w:spacing w:before="40" w:after="40"/>
              <w:jc w:val="right"/>
              <w:rPr>
                <w:szCs w:val="16"/>
              </w:rPr>
            </w:pPr>
            <w:r w:rsidRPr="009E06AA">
              <w:rPr>
                <w:color w:val="000000"/>
                <w:szCs w:val="16"/>
              </w:rPr>
              <w:t>10.3</w:t>
            </w:r>
          </w:p>
        </w:tc>
        <w:tc>
          <w:tcPr>
            <w:tcW w:w="769" w:type="dxa"/>
            <w:shd w:val="clear" w:color="auto" w:fill="FFFFFF"/>
            <w:tcMar>
              <w:top w:w="0" w:type="dxa"/>
              <w:left w:w="85" w:type="dxa"/>
              <w:bottom w:w="0" w:type="dxa"/>
              <w:right w:w="85" w:type="dxa"/>
            </w:tcMar>
          </w:tcPr>
          <w:p w14:paraId="3DE4C236" w14:textId="77777777" w:rsidR="00E87995" w:rsidRPr="009E06AA" w:rsidRDefault="00E87995" w:rsidP="00876E40">
            <w:pPr>
              <w:pStyle w:val="TableText"/>
              <w:spacing w:before="40" w:after="40"/>
              <w:jc w:val="right"/>
              <w:rPr>
                <w:szCs w:val="16"/>
              </w:rPr>
            </w:pPr>
            <w:r w:rsidRPr="009E06AA">
              <w:rPr>
                <w:color w:val="000000"/>
                <w:szCs w:val="16"/>
              </w:rPr>
              <w:t>11.9</w:t>
            </w:r>
          </w:p>
        </w:tc>
        <w:tc>
          <w:tcPr>
            <w:tcW w:w="814" w:type="dxa"/>
            <w:shd w:val="clear" w:color="auto" w:fill="FFFFFF"/>
            <w:tcMar>
              <w:top w:w="0" w:type="dxa"/>
              <w:left w:w="85" w:type="dxa"/>
              <w:bottom w:w="0" w:type="dxa"/>
              <w:right w:w="85" w:type="dxa"/>
            </w:tcMar>
          </w:tcPr>
          <w:p w14:paraId="0BFB7606" w14:textId="77777777" w:rsidR="00E87995" w:rsidRPr="009E06AA" w:rsidRDefault="00E87995" w:rsidP="00876E40">
            <w:pPr>
              <w:pStyle w:val="TableText"/>
              <w:spacing w:before="40" w:after="40"/>
              <w:jc w:val="right"/>
              <w:rPr>
                <w:szCs w:val="16"/>
              </w:rPr>
            </w:pPr>
            <w:r w:rsidRPr="009E06AA">
              <w:rPr>
                <w:color w:val="000000"/>
                <w:szCs w:val="16"/>
              </w:rPr>
              <w:t>5.2</w:t>
            </w:r>
          </w:p>
        </w:tc>
        <w:tc>
          <w:tcPr>
            <w:tcW w:w="906" w:type="dxa"/>
            <w:shd w:val="clear" w:color="auto" w:fill="FFFFFF"/>
            <w:tcMar>
              <w:top w:w="0" w:type="dxa"/>
              <w:left w:w="85" w:type="dxa"/>
              <w:bottom w:w="0" w:type="dxa"/>
              <w:right w:w="85" w:type="dxa"/>
            </w:tcMar>
          </w:tcPr>
          <w:p w14:paraId="48EB86F1" w14:textId="77777777" w:rsidR="00E87995" w:rsidRPr="009E06AA" w:rsidRDefault="00E87995" w:rsidP="00876E40">
            <w:pPr>
              <w:pStyle w:val="TableText"/>
              <w:spacing w:before="40" w:after="40"/>
              <w:jc w:val="right"/>
              <w:rPr>
                <w:szCs w:val="16"/>
              </w:rPr>
            </w:pPr>
            <w:r w:rsidRPr="009E06AA">
              <w:rPr>
                <w:color w:val="000000"/>
                <w:szCs w:val="16"/>
              </w:rPr>
              <w:t>3.1</w:t>
            </w:r>
          </w:p>
        </w:tc>
        <w:tc>
          <w:tcPr>
            <w:tcW w:w="809" w:type="dxa"/>
            <w:shd w:val="clear" w:color="auto" w:fill="FFFFFF"/>
            <w:tcMar>
              <w:top w:w="0" w:type="dxa"/>
              <w:left w:w="85" w:type="dxa"/>
              <w:bottom w:w="0" w:type="dxa"/>
              <w:right w:w="85" w:type="dxa"/>
            </w:tcMar>
          </w:tcPr>
          <w:p w14:paraId="0EA49F53" w14:textId="77777777" w:rsidR="00E87995" w:rsidRPr="009E06AA" w:rsidRDefault="00E87995" w:rsidP="00876E40">
            <w:pPr>
              <w:pStyle w:val="TableText"/>
              <w:spacing w:before="40" w:after="40"/>
              <w:jc w:val="right"/>
              <w:rPr>
                <w:szCs w:val="16"/>
              </w:rPr>
            </w:pPr>
            <w:r w:rsidRPr="009E06AA">
              <w:rPr>
                <w:color w:val="000000"/>
                <w:szCs w:val="16"/>
              </w:rPr>
              <w:t>3.6</w:t>
            </w:r>
          </w:p>
        </w:tc>
        <w:tc>
          <w:tcPr>
            <w:tcW w:w="687" w:type="dxa"/>
            <w:shd w:val="clear" w:color="auto" w:fill="FFFFFF"/>
            <w:tcMar>
              <w:top w:w="0" w:type="dxa"/>
              <w:left w:w="85" w:type="dxa"/>
              <w:bottom w:w="0" w:type="dxa"/>
              <w:right w:w="85" w:type="dxa"/>
            </w:tcMar>
          </w:tcPr>
          <w:p w14:paraId="5C80E979" w14:textId="77777777" w:rsidR="00E87995" w:rsidRPr="009E06AA" w:rsidRDefault="00E87995" w:rsidP="00876E40">
            <w:pPr>
              <w:pStyle w:val="TableText"/>
              <w:spacing w:before="40" w:after="40"/>
              <w:jc w:val="right"/>
              <w:rPr>
                <w:szCs w:val="16"/>
              </w:rPr>
            </w:pPr>
            <w:r w:rsidRPr="009E06AA">
              <w:rPr>
                <w:color w:val="000000"/>
                <w:szCs w:val="16"/>
              </w:rPr>
              <w:t>40.5</w:t>
            </w:r>
          </w:p>
        </w:tc>
        <w:tc>
          <w:tcPr>
            <w:tcW w:w="1013" w:type="pct"/>
            <w:shd w:val="clear" w:color="auto" w:fill="FFFFFF"/>
            <w:tcMar>
              <w:top w:w="0" w:type="dxa"/>
              <w:left w:w="85" w:type="dxa"/>
              <w:bottom w:w="0" w:type="dxa"/>
              <w:right w:w="85" w:type="dxa"/>
            </w:tcMar>
          </w:tcPr>
          <w:p w14:paraId="5889BB3F" w14:textId="77777777" w:rsidR="00E87995" w:rsidRPr="009E06AA" w:rsidRDefault="00E87995" w:rsidP="00B55F24">
            <w:pPr>
              <w:pStyle w:val="TableText"/>
              <w:spacing w:before="40" w:after="40"/>
              <w:rPr>
                <w:szCs w:val="16"/>
              </w:rPr>
            </w:pPr>
            <w:r w:rsidRPr="009E06AA">
              <w:rPr>
                <w:color w:val="000000"/>
                <w:szCs w:val="16"/>
              </w:rPr>
              <w:t>Interpolation</w:t>
            </w:r>
          </w:p>
        </w:tc>
      </w:tr>
      <w:tr w:rsidR="00E87995" w:rsidRPr="009E06AA" w14:paraId="7FDAFFCD" w14:textId="77777777" w:rsidTr="00B55F24">
        <w:tc>
          <w:tcPr>
            <w:tcW w:w="481" w:type="pct"/>
            <w:shd w:val="clear" w:color="auto" w:fill="FFFFFF"/>
            <w:tcMar>
              <w:top w:w="0" w:type="dxa"/>
              <w:left w:w="85" w:type="dxa"/>
              <w:bottom w:w="0" w:type="dxa"/>
              <w:right w:w="85" w:type="dxa"/>
            </w:tcMar>
          </w:tcPr>
          <w:p w14:paraId="78E66C72" w14:textId="77777777" w:rsidR="00E87995" w:rsidRPr="009E06AA" w:rsidRDefault="00E87995" w:rsidP="00B55F24">
            <w:pPr>
              <w:pStyle w:val="TableTextBold"/>
              <w:spacing w:before="40" w:after="40"/>
              <w:rPr>
                <w:noProof w:val="0"/>
                <w:szCs w:val="16"/>
              </w:rPr>
            </w:pPr>
            <w:r w:rsidRPr="009E06AA">
              <w:rPr>
                <w:noProof w:val="0"/>
                <w:color w:val="1B556B"/>
                <w:szCs w:val="16"/>
              </w:rPr>
              <w:t>2012</w:t>
            </w:r>
          </w:p>
        </w:tc>
        <w:tc>
          <w:tcPr>
            <w:tcW w:w="322" w:type="pct"/>
            <w:shd w:val="clear" w:color="auto" w:fill="FFFFFF"/>
            <w:tcMar>
              <w:top w:w="0" w:type="dxa"/>
              <w:left w:w="85" w:type="dxa"/>
              <w:bottom w:w="0" w:type="dxa"/>
              <w:right w:w="85" w:type="dxa"/>
            </w:tcMar>
          </w:tcPr>
          <w:p w14:paraId="3ADB5729" w14:textId="77777777" w:rsidR="00E87995" w:rsidRPr="009E06AA" w:rsidRDefault="00E87995" w:rsidP="00876E40">
            <w:pPr>
              <w:pStyle w:val="TableText"/>
              <w:spacing w:before="40" w:after="40"/>
              <w:jc w:val="right"/>
              <w:rPr>
                <w:szCs w:val="16"/>
              </w:rPr>
            </w:pPr>
            <w:r w:rsidRPr="009E06AA">
              <w:rPr>
                <w:color w:val="000000"/>
                <w:szCs w:val="16"/>
              </w:rPr>
              <w:t>16.8</w:t>
            </w:r>
          </w:p>
        </w:tc>
        <w:tc>
          <w:tcPr>
            <w:tcW w:w="856" w:type="dxa"/>
            <w:shd w:val="clear" w:color="auto" w:fill="FFFFFF"/>
            <w:tcMar>
              <w:top w:w="0" w:type="dxa"/>
              <w:left w:w="85" w:type="dxa"/>
              <w:bottom w:w="0" w:type="dxa"/>
              <w:right w:w="85" w:type="dxa"/>
            </w:tcMar>
          </w:tcPr>
          <w:p w14:paraId="0BABA294" w14:textId="77777777" w:rsidR="00E87995" w:rsidRPr="009E06AA" w:rsidRDefault="00E87995" w:rsidP="00876E40">
            <w:pPr>
              <w:pStyle w:val="TableText"/>
              <w:spacing w:before="40" w:after="40"/>
              <w:jc w:val="right"/>
              <w:rPr>
                <w:szCs w:val="16"/>
              </w:rPr>
            </w:pPr>
            <w:r w:rsidRPr="009E06AA">
              <w:rPr>
                <w:color w:val="000000"/>
                <w:szCs w:val="16"/>
              </w:rPr>
              <w:t>8.3</w:t>
            </w:r>
          </w:p>
        </w:tc>
        <w:tc>
          <w:tcPr>
            <w:tcW w:w="753" w:type="dxa"/>
            <w:shd w:val="clear" w:color="auto" w:fill="FFFFFF"/>
            <w:tcMar>
              <w:top w:w="0" w:type="dxa"/>
              <w:left w:w="85" w:type="dxa"/>
              <w:bottom w:w="0" w:type="dxa"/>
              <w:right w:w="85" w:type="dxa"/>
            </w:tcMar>
          </w:tcPr>
          <w:p w14:paraId="5288C3B5" w14:textId="77777777" w:rsidR="00E87995" w:rsidRPr="009E06AA" w:rsidRDefault="00E87995" w:rsidP="00876E40">
            <w:pPr>
              <w:pStyle w:val="TableText"/>
              <w:spacing w:before="40" w:after="40"/>
              <w:jc w:val="right"/>
              <w:rPr>
                <w:szCs w:val="16"/>
              </w:rPr>
            </w:pPr>
            <w:r w:rsidRPr="009E06AA">
              <w:rPr>
                <w:color w:val="000000"/>
                <w:szCs w:val="16"/>
              </w:rPr>
              <w:t>10.7</w:t>
            </w:r>
          </w:p>
        </w:tc>
        <w:tc>
          <w:tcPr>
            <w:tcW w:w="769" w:type="dxa"/>
            <w:shd w:val="clear" w:color="auto" w:fill="FFFFFF"/>
            <w:tcMar>
              <w:top w:w="0" w:type="dxa"/>
              <w:left w:w="85" w:type="dxa"/>
              <w:bottom w:w="0" w:type="dxa"/>
              <w:right w:w="85" w:type="dxa"/>
            </w:tcMar>
          </w:tcPr>
          <w:p w14:paraId="63C8DC94" w14:textId="77777777" w:rsidR="00E87995" w:rsidRPr="009E06AA" w:rsidRDefault="00E87995" w:rsidP="00876E40">
            <w:pPr>
              <w:pStyle w:val="TableText"/>
              <w:spacing w:before="40" w:after="40"/>
              <w:jc w:val="right"/>
              <w:rPr>
                <w:szCs w:val="16"/>
              </w:rPr>
            </w:pPr>
            <w:r w:rsidRPr="009E06AA">
              <w:rPr>
                <w:color w:val="000000"/>
                <w:szCs w:val="16"/>
              </w:rPr>
              <w:t>11.9</w:t>
            </w:r>
          </w:p>
        </w:tc>
        <w:tc>
          <w:tcPr>
            <w:tcW w:w="814" w:type="dxa"/>
            <w:shd w:val="clear" w:color="auto" w:fill="FFFFFF"/>
            <w:tcMar>
              <w:top w:w="0" w:type="dxa"/>
              <w:left w:w="85" w:type="dxa"/>
              <w:bottom w:w="0" w:type="dxa"/>
              <w:right w:w="85" w:type="dxa"/>
            </w:tcMar>
          </w:tcPr>
          <w:p w14:paraId="2BC31433" w14:textId="77777777" w:rsidR="00E87995" w:rsidRPr="009E06AA" w:rsidRDefault="00E87995" w:rsidP="00876E40">
            <w:pPr>
              <w:pStyle w:val="TableText"/>
              <w:spacing w:before="40" w:after="40"/>
              <w:jc w:val="right"/>
              <w:rPr>
                <w:szCs w:val="16"/>
              </w:rPr>
            </w:pPr>
            <w:r w:rsidRPr="009E06AA">
              <w:rPr>
                <w:color w:val="000000"/>
                <w:szCs w:val="16"/>
              </w:rPr>
              <w:t>5.6</w:t>
            </w:r>
          </w:p>
        </w:tc>
        <w:tc>
          <w:tcPr>
            <w:tcW w:w="906" w:type="dxa"/>
            <w:shd w:val="clear" w:color="auto" w:fill="FFFFFF"/>
            <w:tcMar>
              <w:top w:w="0" w:type="dxa"/>
              <w:left w:w="85" w:type="dxa"/>
              <w:bottom w:w="0" w:type="dxa"/>
              <w:right w:w="85" w:type="dxa"/>
            </w:tcMar>
          </w:tcPr>
          <w:p w14:paraId="75EABAB9" w14:textId="77777777" w:rsidR="00E87995" w:rsidRPr="009E06AA" w:rsidRDefault="00E87995" w:rsidP="00876E40">
            <w:pPr>
              <w:pStyle w:val="TableText"/>
              <w:spacing w:before="40" w:after="40"/>
              <w:jc w:val="right"/>
              <w:rPr>
                <w:szCs w:val="16"/>
              </w:rPr>
            </w:pPr>
            <w:r w:rsidRPr="009E06AA">
              <w:rPr>
                <w:color w:val="000000"/>
                <w:szCs w:val="16"/>
              </w:rPr>
              <w:t>3.0</w:t>
            </w:r>
          </w:p>
        </w:tc>
        <w:tc>
          <w:tcPr>
            <w:tcW w:w="809" w:type="dxa"/>
            <w:shd w:val="clear" w:color="auto" w:fill="FFFFFF"/>
            <w:tcMar>
              <w:top w:w="0" w:type="dxa"/>
              <w:left w:w="85" w:type="dxa"/>
              <w:bottom w:w="0" w:type="dxa"/>
              <w:right w:w="85" w:type="dxa"/>
            </w:tcMar>
          </w:tcPr>
          <w:p w14:paraId="490A2F03" w14:textId="77777777" w:rsidR="00E87995" w:rsidRPr="009E06AA" w:rsidRDefault="00E87995" w:rsidP="00876E40">
            <w:pPr>
              <w:pStyle w:val="TableText"/>
              <w:spacing w:before="40" w:after="40"/>
              <w:jc w:val="right"/>
              <w:rPr>
                <w:szCs w:val="16"/>
              </w:rPr>
            </w:pPr>
            <w:r w:rsidRPr="009E06AA">
              <w:rPr>
                <w:color w:val="000000"/>
                <w:szCs w:val="16"/>
              </w:rPr>
              <w:t>3.9</w:t>
            </w:r>
          </w:p>
        </w:tc>
        <w:tc>
          <w:tcPr>
            <w:tcW w:w="687" w:type="dxa"/>
            <w:shd w:val="clear" w:color="auto" w:fill="FFFFFF"/>
            <w:tcMar>
              <w:top w:w="0" w:type="dxa"/>
              <w:left w:w="85" w:type="dxa"/>
              <w:bottom w:w="0" w:type="dxa"/>
              <w:right w:w="85" w:type="dxa"/>
            </w:tcMar>
          </w:tcPr>
          <w:p w14:paraId="26BA5DD5" w14:textId="77777777" w:rsidR="00E87995" w:rsidRPr="009E06AA" w:rsidRDefault="00E87995" w:rsidP="00876E40">
            <w:pPr>
              <w:pStyle w:val="TableText"/>
              <w:spacing w:before="40" w:after="40"/>
              <w:jc w:val="right"/>
              <w:rPr>
                <w:szCs w:val="16"/>
              </w:rPr>
            </w:pPr>
            <w:r w:rsidRPr="009E06AA">
              <w:rPr>
                <w:color w:val="000000"/>
                <w:szCs w:val="16"/>
              </w:rPr>
              <w:t>39.9</w:t>
            </w:r>
          </w:p>
        </w:tc>
        <w:tc>
          <w:tcPr>
            <w:tcW w:w="1013" w:type="pct"/>
            <w:shd w:val="clear" w:color="auto" w:fill="FFFFFF"/>
            <w:tcMar>
              <w:top w:w="0" w:type="dxa"/>
              <w:left w:w="85" w:type="dxa"/>
              <w:bottom w:w="0" w:type="dxa"/>
              <w:right w:w="85" w:type="dxa"/>
            </w:tcMar>
          </w:tcPr>
          <w:p w14:paraId="56AE82C1" w14:textId="77777777" w:rsidR="00E87995" w:rsidRPr="009E06AA" w:rsidRDefault="00E87995" w:rsidP="00B55F24">
            <w:pPr>
              <w:pStyle w:val="TableText"/>
              <w:spacing w:before="40" w:after="40"/>
              <w:rPr>
                <w:szCs w:val="16"/>
              </w:rPr>
            </w:pPr>
            <w:r w:rsidRPr="009E06AA">
              <w:rPr>
                <w:color w:val="000000"/>
                <w:szCs w:val="16"/>
              </w:rPr>
              <w:t>Survey</w:t>
            </w:r>
          </w:p>
        </w:tc>
      </w:tr>
      <w:tr w:rsidR="00E87995" w:rsidRPr="009E06AA" w14:paraId="010E8AFC" w14:textId="77777777" w:rsidTr="00B55F24">
        <w:tc>
          <w:tcPr>
            <w:tcW w:w="481" w:type="pct"/>
            <w:shd w:val="clear" w:color="auto" w:fill="FFFFFF"/>
            <w:tcMar>
              <w:top w:w="0" w:type="dxa"/>
              <w:left w:w="85" w:type="dxa"/>
              <w:bottom w:w="0" w:type="dxa"/>
              <w:right w:w="85" w:type="dxa"/>
            </w:tcMar>
          </w:tcPr>
          <w:p w14:paraId="0F944593" w14:textId="77777777" w:rsidR="00E87995" w:rsidRPr="009E06AA" w:rsidRDefault="00E87995" w:rsidP="00B55F24">
            <w:pPr>
              <w:pStyle w:val="TableTextBold"/>
              <w:spacing w:before="40" w:after="40"/>
              <w:rPr>
                <w:noProof w:val="0"/>
                <w:szCs w:val="16"/>
              </w:rPr>
            </w:pPr>
            <w:r w:rsidRPr="009E06AA">
              <w:rPr>
                <w:noProof w:val="0"/>
                <w:color w:val="1B556B"/>
                <w:szCs w:val="16"/>
              </w:rPr>
              <w:t>2013</w:t>
            </w:r>
          </w:p>
        </w:tc>
        <w:tc>
          <w:tcPr>
            <w:tcW w:w="322" w:type="pct"/>
            <w:shd w:val="clear" w:color="auto" w:fill="FFFFFF"/>
            <w:tcMar>
              <w:top w:w="0" w:type="dxa"/>
              <w:left w:w="85" w:type="dxa"/>
              <w:bottom w:w="0" w:type="dxa"/>
              <w:right w:w="85" w:type="dxa"/>
            </w:tcMar>
          </w:tcPr>
          <w:p w14:paraId="463DD3AC" w14:textId="77777777" w:rsidR="00E87995" w:rsidRPr="009E06AA" w:rsidRDefault="00E87995" w:rsidP="00876E40">
            <w:pPr>
              <w:pStyle w:val="TableText"/>
              <w:spacing w:before="40" w:after="40"/>
              <w:jc w:val="right"/>
              <w:rPr>
                <w:szCs w:val="16"/>
              </w:rPr>
            </w:pPr>
            <w:r w:rsidRPr="009E06AA">
              <w:rPr>
                <w:color w:val="000000"/>
                <w:szCs w:val="16"/>
              </w:rPr>
              <w:t>15.5</w:t>
            </w:r>
          </w:p>
        </w:tc>
        <w:tc>
          <w:tcPr>
            <w:tcW w:w="856" w:type="dxa"/>
            <w:shd w:val="clear" w:color="auto" w:fill="FFFFFF"/>
            <w:tcMar>
              <w:top w:w="0" w:type="dxa"/>
              <w:left w:w="85" w:type="dxa"/>
              <w:bottom w:w="0" w:type="dxa"/>
              <w:right w:w="85" w:type="dxa"/>
            </w:tcMar>
          </w:tcPr>
          <w:p w14:paraId="4CEE3AF6" w14:textId="77777777" w:rsidR="00E87995" w:rsidRPr="009E06AA" w:rsidRDefault="00E87995" w:rsidP="00876E40">
            <w:pPr>
              <w:pStyle w:val="TableText"/>
              <w:spacing w:before="40" w:after="40"/>
              <w:jc w:val="right"/>
              <w:rPr>
                <w:szCs w:val="16"/>
              </w:rPr>
            </w:pPr>
            <w:r w:rsidRPr="009E06AA">
              <w:rPr>
                <w:color w:val="000000"/>
                <w:szCs w:val="16"/>
              </w:rPr>
              <w:t>7.9</w:t>
            </w:r>
          </w:p>
        </w:tc>
        <w:tc>
          <w:tcPr>
            <w:tcW w:w="753" w:type="dxa"/>
            <w:shd w:val="clear" w:color="auto" w:fill="FFFFFF"/>
            <w:tcMar>
              <w:top w:w="0" w:type="dxa"/>
              <w:left w:w="85" w:type="dxa"/>
              <w:bottom w:w="0" w:type="dxa"/>
              <w:right w:w="85" w:type="dxa"/>
            </w:tcMar>
          </w:tcPr>
          <w:p w14:paraId="6A58C229" w14:textId="77777777" w:rsidR="00E87995" w:rsidRPr="009E06AA" w:rsidRDefault="00E87995" w:rsidP="00876E40">
            <w:pPr>
              <w:pStyle w:val="TableText"/>
              <w:spacing w:before="40" w:after="40"/>
              <w:jc w:val="right"/>
              <w:rPr>
                <w:szCs w:val="16"/>
              </w:rPr>
            </w:pPr>
            <w:r w:rsidRPr="009E06AA">
              <w:rPr>
                <w:color w:val="000000"/>
                <w:szCs w:val="16"/>
              </w:rPr>
              <w:t>9.9</w:t>
            </w:r>
          </w:p>
        </w:tc>
        <w:tc>
          <w:tcPr>
            <w:tcW w:w="769" w:type="dxa"/>
            <w:shd w:val="clear" w:color="auto" w:fill="FFFFFF"/>
            <w:tcMar>
              <w:top w:w="0" w:type="dxa"/>
              <w:left w:w="85" w:type="dxa"/>
              <w:bottom w:w="0" w:type="dxa"/>
              <w:right w:w="85" w:type="dxa"/>
            </w:tcMar>
          </w:tcPr>
          <w:p w14:paraId="6A1D9415" w14:textId="77777777" w:rsidR="00E87995" w:rsidRPr="009E06AA" w:rsidRDefault="00E87995" w:rsidP="00876E40">
            <w:pPr>
              <w:pStyle w:val="TableText"/>
              <w:spacing w:before="40" w:after="40"/>
              <w:jc w:val="right"/>
              <w:rPr>
                <w:szCs w:val="16"/>
              </w:rPr>
            </w:pPr>
            <w:r w:rsidRPr="009E06AA">
              <w:rPr>
                <w:color w:val="000000"/>
                <w:szCs w:val="16"/>
              </w:rPr>
              <w:t>12.0</w:t>
            </w:r>
          </w:p>
        </w:tc>
        <w:tc>
          <w:tcPr>
            <w:tcW w:w="814" w:type="dxa"/>
            <w:shd w:val="clear" w:color="auto" w:fill="FFFFFF"/>
            <w:tcMar>
              <w:top w:w="0" w:type="dxa"/>
              <w:left w:w="85" w:type="dxa"/>
              <w:bottom w:w="0" w:type="dxa"/>
              <w:right w:w="85" w:type="dxa"/>
            </w:tcMar>
          </w:tcPr>
          <w:p w14:paraId="0BC6C6C5" w14:textId="77777777" w:rsidR="00E87995" w:rsidRPr="009E06AA" w:rsidRDefault="00E87995" w:rsidP="00876E40">
            <w:pPr>
              <w:pStyle w:val="TableText"/>
              <w:spacing w:before="40" w:after="40"/>
              <w:jc w:val="right"/>
              <w:rPr>
                <w:szCs w:val="16"/>
              </w:rPr>
            </w:pPr>
            <w:r w:rsidRPr="009E06AA">
              <w:rPr>
                <w:color w:val="000000"/>
                <w:szCs w:val="16"/>
              </w:rPr>
              <w:t>5.5</w:t>
            </w:r>
          </w:p>
        </w:tc>
        <w:tc>
          <w:tcPr>
            <w:tcW w:w="906" w:type="dxa"/>
            <w:shd w:val="clear" w:color="auto" w:fill="FFFFFF"/>
            <w:tcMar>
              <w:top w:w="0" w:type="dxa"/>
              <w:left w:w="85" w:type="dxa"/>
              <w:bottom w:w="0" w:type="dxa"/>
              <w:right w:w="85" w:type="dxa"/>
            </w:tcMar>
          </w:tcPr>
          <w:p w14:paraId="63C41E93" w14:textId="77777777" w:rsidR="00E87995" w:rsidRPr="009E06AA" w:rsidRDefault="00E87995" w:rsidP="00876E40">
            <w:pPr>
              <w:pStyle w:val="TableText"/>
              <w:spacing w:before="40" w:after="40"/>
              <w:jc w:val="right"/>
              <w:rPr>
                <w:szCs w:val="16"/>
              </w:rPr>
            </w:pPr>
            <w:r w:rsidRPr="009E06AA">
              <w:rPr>
                <w:color w:val="000000"/>
                <w:szCs w:val="16"/>
              </w:rPr>
              <w:t>2.9</w:t>
            </w:r>
          </w:p>
        </w:tc>
        <w:tc>
          <w:tcPr>
            <w:tcW w:w="809" w:type="dxa"/>
            <w:shd w:val="clear" w:color="auto" w:fill="FFFFFF"/>
            <w:tcMar>
              <w:top w:w="0" w:type="dxa"/>
              <w:left w:w="85" w:type="dxa"/>
              <w:bottom w:w="0" w:type="dxa"/>
              <w:right w:w="85" w:type="dxa"/>
            </w:tcMar>
          </w:tcPr>
          <w:p w14:paraId="75D5D147" w14:textId="77777777" w:rsidR="00E87995" w:rsidRPr="009E06AA" w:rsidRDefault="00E87995" w:rsidP="00876E40">
            <w:pPr>
              <w:pStyle w:val="TableText"/>
              <w:spacing w:before="40" w:after="40"/>
              <w:jc w:val="right"/>
              <w:rPr>
                <w:szCs w:val="16"/>
              </w:rPr>
            </w:pPr>
            <w:r w:rsidRPr="009E06AA">
              <w:rPr>
                <w:color w:val="000000"/>
                <w:szCs w:val="16"/>
              </w:rPr>
              <w:t>3.6</w:t>
            </w:r>
          </w:p>
        </w:tc>
        <w:tc>
          <w:tcPr>
            <w:tcW w:w="687" w:type="dxa"/>
            <w:shd w:val="clear" w:color="auto" w:fill="FFFFFF"/>
            <w:tcMar>
              <w:top w:w="0" w:type="dxa"/>
              <w:left w:w="85" w:type="dxa"/>
              <w:bottom w:w="0" w:type="dxa"/>
              <w:right w:w="85" w:type="dxa"/>
            </w:tcMar>
          </w:tcPr>
          <w:p w14:paraId="26CA95DE" w14:textId="77777777" w:rsidR="00E87995" w:rsidRPr="009E06AA" w:rsidRDefault="00E87995" w:rsidP="00876E40">
            <w:pPr>
              <w:pStyle w:val="TableText"/>
              <w:spacing w:before="40" w:after="40"/>
              <w:jc w:val="right"/>
              <w:rPr>
                <w:szCs w:val="16"/>
              </w:rPr>
            </w:pPr>
            <w:r w:rsidRPr="009E06AA">
              <w:rPr>
                <w:color w:val="000000"/>
                <w:szCs w:val="16"/>
              </w:rPr>
              <w:t>42.8</w:t>
            </w:r>
          </w:p>
        </w:tc>
        <w:tc>
          <w:tcPr>
            <w:tcW w:w="1013" w:type="pct"/>
            <w:shd w:val="clear" w:color="auto" w:fill="FFFFFF"/>
            <w:tcMar>
              <w:top w:w="0" w:type="dxa"/>
              <w:left w:w="85" w:type="dxa"/>
              <w:bottom w:w="0" w:type="dxa"/>
              <w:right w:w="85" w:type="dxa"/>
            </w:tcMar>
          </w:tcPr>
          <w:p w14:paraId="44E42FE7" w14:textId="77777777" w:rsidR="00E87995" w:rsidRPr="009E06AA" w:rsidRDefault="00E87995" w:rsidP="00B55F24">
            <w:pPr>
              <w:pStyle w:val="TableText"/>
              <w:spacing w:before="40" w:after="40"/>
              <w:rPr>
                <w:szCs w:val="16"/>
              </w:rPr>
            </w:pPr>
            <w:r w:rsidRPr="009E06AA">
              <w:rPr>
                <w:color w:val="000000"/>
                <w:szCs w:val="16"/>
              </w:rPr>
              <w:t>Interpolation</w:t>
            </w:r>
          </w:p>
        </w:tc>
      </w:tr>
      <w:tr w:rsidR="00E87995" w:rsidRPr="009E06AA" w14:paraId="2B0FC498" w14:textId="77777777" w:rsidTr="00B55F24">
        <w:tc>
          <w:tcPr>
            <w:tcW w:w="481" w:type="pct"/>
            <w:shd w:val="clear" w:color="auto" w:fill="FFFFFF"/>
            <w:tcMar>
              <w:top w:w="0" w:type="dxa"/>
              <w:left w:w="85" w:type="dxa"/>
              <w:bottom w:w="0" w:type="dxa"/>
              <w:right w:w="85" w:type="dxa"/>
            </w:tcMar>
          </w:tcPr>
          <w:p w14:paraId="25F6A5C3" w14:textId="77777777" w:rsidR="00E87995" w:rsidRPr="009E06AA" w:rsidRDefault="00E87995" w:rsidP="00B55F24">
            <w:pPr>
              <w:pStyle w:val="TableTextBold"/>
              <w:spacing w:before="40" w:after="40"/>
              <w:rPr>
                <w:noProof w:val="0"/>
                <w:szCs w:val="16"/>
              </w:rPr>
            </w:pPr>
            <w:r w:rsidRPr="009E06AA">
              <w:rPr>
                <w:noProof w:val="0"/>
                <w:color w:val="1B556B"/>
                <w:szCs w:val="16"/>
              </w:rPr>
              <w:t>2014</w:t>
            </w:r>
          </w:p>
        </w:tc>
        <w:tc>
          <w:tcPr>
            <w:tcW w:w="322" w:type="pct"/>
            <w:shd w:val="clear" w:color="auto" w:fill="FFFFFF"/>
            <w:tcMar>
              <w:top w:w="0" w:type="dxa"/>
              <w:left w:w="85" w:type="dxa"/>
              <w:bottom w:w="0" w:type="dxa"/>
              <w:right w:w="85" w:type="dxa"/>
            </w:tcMar>
          </w:tcPr>
          <w:p w14:paraId="0241F6DF" w14:textId="77777777" w:rsidR="00E87995" w:rsidRPr="009E06AA" w:rsidRDefault="00E87995" w:rsidP="00876E40">
            <w:pPr>
              <w:pStyle w:val="TableText"/>
              <w:spacing w:before="40" w:after="40"/>
              <w:jc w:val="right"/>
              <w:rPr>
                <w:szCs w:val="16"/>
              </w:rPr>
            </w:pPr>
            <w:r w:rsidRPr="009E06AA">
              <w:rPr>
                <w:color w:val="000000"/>
                <w:szCs w:val="16"/>
              </w:rPr>
              <w:t>14.2</w:t>
            </w:r>
          </w:p>
        </w:tc>
        <w:tc>
          <w:tcPr>
            <w:tcW w:w="856" w:type="dxa"/>
            <w:shd w:val="clear" w:color="auto" w:fill="FFFFFF"/>
            <w:tcMar>
              <w:top w:w="0" w:type="dxa"/>
              <w:left w:w="85" w:type="dxa"/>
              <w:bottom w:w="0" w:type="dxa"/>
              <w:right w:w="85" w:type="dxa"/>
            </w:tcMar>
          </w:tcPr>
          <w:p w14:paraId="37A87D80" w14:textId="77777777" w:rsidR="00E87995" w:rsidRPr="009E06AA" w:rsidRDefault="00E87995" w:rsidP="00876E40">
            <w:pPr>
              <w:pStyle w:val="TableText"/>
              <w:spacing w:before="40" w:after="40"/>
              <w:jc w:val="right"/>
              <w:rPr>
                <w:szCs w:val="16"/>
              </w:rPr>
            </w:pPr>
            <w:r w:rsidRPr="009E06AA">
              <w:rPr>
                <w:color w:val="000000"/>
                <w:szCs w:val="16"/>
              </w:rPr>
              <w:t>7.5</w:t>
            </w:r>
          </w:p>
        </w:tc>
        <w:tc>
          <w:tcPr>
            <w:tcW w:w="753" w:type="dxa"/>
            <w:shd w:val="clear" w:color="auto" w:fill="FFFFFF"/>
            <w:tcMar>
              <w:top w:w="0" w:type="dxa"/>
              <w:left w:w="85" w:type="dxa"/>
              <w:bottom w:w="0" w:type="dxa"/>
              <w:right w:w="85" w:type="dxa"/>
            </w:tcMar>
          </w:tcPr>
          <w:p w14:paraId="55E36756" w14:textId="77777777" w:rsidR="00E87995" w:rsidRPr="009E06AA" w:rsidRDefault="00E87995" w:rsidP="00876E40">
            <w:pPr>
              <w:pStyle w:val="TableText"/>
              <w:spacing w:before="40" w:after="40"/>
              <w:jc w:val="right"/>
              <w:rPr>
                <w:szCs w:val="16"/>
              </w:rPr>
            </w:pPr>
            <w:r w:rsidRPr="009E06AA">
              <w:rPr>
                <w:color w:val="000000"/>
                <w:szCs w:val="16"/>
              </w:rPr>
              <w:t>9.1</w:t>
            </w:r>
          </w:p>
        </w:tc>
        <w:tc>
          <w:tcPr>
            <w:tcW w:w="769" w:type="dxa"/>
            <w:shd w:val="clear" w:color="auto" w:fill="FFFFFF"/>
            <w:tcMar>
              <w:top w:w="0" w:type="dxa"/>
              <w:left w:w="85" w:type="dxa"/>
              <w:bottom w:w="0" w:type="dxa"/>
              <w:right w:w="85" w:type="dxa"/>
            </w:tcMar>
          </w:tcPr>
          <w:p w14:paraId="10004083" w14:textId="77777777" w:rsidR="00E87995" w:rsidRPr="009E06AA" w:rsidRDefault="00E87995" w:rsidP="00876E40">
            <w:pPr>
              <w:pStyle w:val="TableText"/>
              <w:spacing w:before="40" w:after="40"/>
              <w:jc w:val="right"/>
              <w:rPr>
                <w:szCs w:val="16"/>
              </w:rPr>
            </w:pPr>
            <w:r w:rsidRPr="009E06AA">
              <w:rPr>
                <w:color w:val="000000"/>
                <w:szCs w:val="16"/>
              </w:rPr>
              <w:t>12.1</w:t>
            </w:r>
          </w:p>
        </w:tc>
        <w:tc>
          <w:tcPr>
            <w:tcW w:w="814" w:type="dxa"/>
            <w:shd w:val="clear" w:color="auto" w:fill="FFFFFF"/>
            <w:tcMar>
              <w:top w:w="0" w:type="dxa"/>
              <w:left w:w="85" w:type="dxa"/>
              <w:bottom w:w="0" w:type="dxa"/>
              <w:right w:w="85" w:type="dxa"/>
            </w:tcMar>
          </w:tcPr>
          <w:p w14:paraId="74B79523" w14:textId="77777777" w:rsidR="00E87995" w:rsidRPr="009E06AA" w:rsidRDefault="00E87995" w:rsidP="00876E40">
            <w:pPr>
              <w:pStyle w:val="TableText"/>
              <w:spacing w:before="40" w:after="40"/>
              <w:jc w:val="right"/>
              <w:rPr>
                <w:szCs w:val="16"/>
              </w:rPr>
            </w:pPr>
            <w:r w:rsidRPr="009E06AA">
              <w:rPr>
                <w:color w:val="000000"/>
                <w:szCs w:val="16"/>
              </w:rPr>
              <w:t>5.4</w:t>
            </w:r>
          </w:p>
        </w:tc>
        <w:tc>
          <w:tcPr>
            <w:tcW w:w="906" w:type="dxa"/>
            <w:shd w:val="clear" w:color="auto" w:fill="FFFFFF"/>
            <w:tcMar>
              <w:top w:w="0" w:type="dxa"/>
              <w:left w:w="85" w:type="dxa"/>
              <w:bottom w:w="0" w:type="dxa"/>
              <w:right w:w="85" w:type="dxa"/>
            </w:tcMar>
          </w:tcPr>
          <w:p w14:paraId="41E15EB8" w14:textId="77777777" w:rsidR="00E87995" w:rsidRPr="009E06AA" w:rsidRDefault="00E87995" w:rsidP="00876E40">
            <w:pPr>
              <w:pStyle w:val="TableText"/>
              <w:spacing w:before="40" w:after="40"/>
              <w:jc w:val="right"/>
              <w:rPr>
                <w:szCs w:val="16"/>
              </w:rPr>
            </w:pPr>
            <w:r w:rsidRPr="009E06AA">
              <w:rPr>
                <w:color w:val="000000"/>
                <w:szCs w:val="16"/>
              </w:rPr>
              <w:t>2.8</w:t>
            </w:r>
          </w:p>
        </w:tc>
        <w:tc>
          <w:tcPr>
            <w:tcW w:w="809" w:type="dxa"/>
            <w:shd w:val="clear" w:color="auto" w:fill="FFFFFF"/>
            <w:tcMar>
              <w:top w:w="0" w:type="dxa"/>
              <w:left w:w="85" w:type="dxa"/>
              <w:bottom w:w="0" w:type="dxa"/>
              <w:right w:w="85" w:type="dxa"/>
            </w:tcMar>
          </w:tcPr>
          <w:p w14:paraId="7DFB8E2F" w14:textId="77777777" w:rsidR="00E87995" w:rsidRPr="009E06AA" w:rsidRDefault="00E87995" w:rsidP="00876E40">
            <w:pPr>
              <w:pStyle w:val="TableText"/>
              <w:spacing w:before="40" w:after="40"/>
              <w:jc w:val="right"/>
              <w:rPr>
                <w:szCs w:val="16"/>
              </w:rPr>
            </w:pPr>
            <w:r w:rsidRPr="009E06AA">
              <w:rPr>
                <w:color w:val="000000"/>
                <w:szCs w:val="16"/>
              </w:rPr>
              <w:t>3.2</w:t>
            </w:r>
          </w:p>
        </w:tc>
        <w:tc>
          <w:tcPr>
            <w:tcW w:w="687" w:type="dxa"/>
            <w:shd w:val="clear" w:color="auto" w:fill="FFFFFF"/>
            <w:tcMar>
              <w:top w:w="0" w:type="dxa"/>
              <w:left w:w="85" w:type="dxa"/>
              <w:bottom w:w="0" w:type="dxa"/>
              <w:right w:w="85" w:type="dxa"/>
            </w:tcMar>
          </w:tcPr>
          <w:p w14:paraId="368A9D02" w14:textId="77777777" w:rsidR="00E87995" w:rsidRPr="009E06AA" w:rsidRDefault="00E87995" w:rsidP="00876E40">
            <w:pPr>
              <w:pStyle w:val="TableText"/>
              <w:spacing w:before="40" w:after="40"/>
              <w:jc w:val="right"/>
              <w:rPr>
                <w:szCs w:val="16"/>
              </w:rPr>
            </w:pPr>
            <w:r w:rsidRPr="009E06AA">
              <w:rPr>
                <w:color w:val="000000"/>
                <w:szCs w:val="16"/>
              </w:rPr>
              <w:t>45.7</w:t>
            </w:r>
          </w:p>
        </w:tc>
        <w:tc>
          <w:tcPr>
            <w:tcW w:w="1013" w:type="pct"/>
            <w:shd w:val="clear" w:color="auto" w:fill="FFFFFF"/>
            <w:tcMar>
              <w:top w:w="0" w:type="dxa"/>
              <w:left w:w="85" w:type="dxa"/>
              <w:bottom w:w="0" w:type="dxa"/>
              <w:right w:w="85" w:type="dxa"/>
            </w:tcMar>
          </w:tcPr>
          <w:p w14:paraId="7EB619FC" w14:textId="77777777" w:rsidR="00E87995" w:rsidRPr="009E06AA" w:rsidRDefault="00E87995" w:rsidP="00B55F24">
            <w:pPr>
              <w:pStyle w:val="TableText"/>
              <w:spacing w:before="40" w:after="40"/>
              <w:rPr>
                <w:szCs w:val="16"/>
              </w:rPr>
            </w:pPr>
            <w:r w:rsidRPr="009E06AA">
              <w:rPr>
                <w:color w:val="000000"/>
                <w:szCs w:val="16"/>
              </w:rPr>
              <w:t>Interpolation</w:t>
            </w:r>
          </w:p>
        </w:tc>
      </w:tr>
      <w:tr w:rsidR="00E87995" w:rsidRPr="009E06AA" w14:paraId="249BFADD" w14:textId="77777777" w:rsidTr="00B55F24">
        <w:tc>
          <w:tcPr>
            <w:tcW w:w="481" w:type="pct"/>
            <w:shd w:val="clear" w:color="auto" w:fill="FFFFFF"/>
            <w:tcMar>
              <w:top w:w="0" w:type="dxa"/>
              <w:left w:w="85" w:type="dxa"/>
              <w:bottom w:w="0" w:type="dxa"/>
              <w:right w:w="85" w:type="dxa"/>
            </w:tcMar>
          </w:tcPr>
          <w:p w14:paraId="16F5D25D" w14:textId="77777777" w:rsidR="00E87995" w:rsidRPr="009E06AA" w:rsidRDefault="00E87995" w:rsidP="00B55F24">
            <w:pPr>
              <w:pStyle w:val="TableTextBold"/>
              <w:spacing w:before="40" w:after="40"/>
              <w:rPr>
                <w:noProof w:val="0"/>
                <w:szCs w:val="16"/>
              </w:rPr>
            </w:pPr>
            <w:r w:rsidRPr="009E06AA">
              <w:rPr>
                <w:noProof w:val="0"/>
                <w:color w:val="1B556B"/>
                <w:szCs w:val="16"/>
              </w:rPr>
              <w:t>2015</w:t>
            </w:r>
          </w:p>
        </w:tc>
        <w:tc>
          <w:tcPr>
            <w:tcW w:w="322" w:type="pct"/>
            <w:shd w:val="clear" w:color="auto" w:fill="FFFFFF"/>
            <w:tcMar>
              <w:top w:w="0" w:type="dxa"/>
              <w:left w:w="85" w:type="dxa"/>
              <w:bottom w:w="0" w:type="dxa"/>
              <w:right w:w="85" w:type="dxa"/>
            </w:tcMar>
          </w:tcPr>
          <w:p w14:paraId="6F93F6C6" w14:textId="77777777" w:rsidR="00E87995" w:rsidRPr="009E06AA" w:rsidRDefault="00E87995" w:rsidP="00876E40">
            <w:pPr>
              <w:pStyle w:val="TableText"/>
              <w:spacing w:before="40" w:after="40"/>
              <w:jc w:val="right"/>
              <w:rPr>
                <w:szCs w:val="16"/>
              </w:rPr>
            </w:pPr>
            <w:r w:rsidRPr="009E06AA">
              <w:rPr>
                <w:color w:val="000000"/>
                <w:szCs w:val="16"/>
              </w:rPr>
              <w:t>12.9</w:t>
            </w:r>
          </w:p>
        </w:tc>
        <w:tc>
          <w:tcPr>
            <w:tcW w:w="856" w:type="dxa"/>
            <w:shd w:val="clear" w:color="auto" w:fill="FFFFFF"/>
            <w:tcMar>
              <w:top w:w="0" w:type="dxa"/>
              <w:left w:w="85" w:type="dxa"/>
              <w:bottom w:w="0" w:type="dxa"/>
              <w:right w:w="85" w:type="dxa"/>
            </w:tcMar>
          </w:tcPr>
          <w:p w14:paraId="1A6F0497" w14:textId="77777777" w:rsidR="00E87995" w:rsidRPr="009E06AA" w:rsidRDefault="00E87995" w:rsidP="00876E40">
            <w:pPr>
              <w:pStyle w:val="TableText"/>
              <w:spacing w:before="40" w:after="40"/>
              <w:jc w:val="right"/>
              <w:rPr>
                <w:szCs w:val="16"/>
              </w:rPr>
            </w:pPr>
            <w:r w:rsidRPr="009E06AA">
              <w:rPr>
                <w:color w:val="000000"/>
                <w:szCs w:val="16"/>
              </w:rPr>
              <w:t>7.0</w:t>
            </w:r>
          </w:p>
        </w:tc>
        <w:tc>
          <w:tcPr>
            <w:tcW w:w="753" w:type="dxa"/>
            <w:shd w:val="clear" w:color="auto" w:fill="FFFFFF"/>
            <w:tcMar>
              <w:top w:w="0" w:type="dxa"/>
              <w:left w:w="85" w:type="dxa"/>
              <w:bottom w:w="0" w:type="dxa"/>
              <w:right w:w="85" w:type="dxa"/>
            </w:tcMar>
          </w:tcPr>
          <w:p w14:paraId="300FD5AB" w14:textId="77777777" w:rsidR="00E87995" w:rsidRPr="009E06AA" w:rsidRDefault="00E87995" w:rsidP="00876E40">
            <w:pPr>
              <w:pStyle w:val="TableText"/>
              <w:spacing w:before="40" w:after="40"/>
              <w:jc w:val="right"/>
              <w:rPr>
                <w:szCs w:val="16"/>
              </w:rPr>
            </w:pPr>
            <w:r w:rsidRPr="009E06AA">
              <w:rPr>
                <w:color w:val="000000"/>
                <w:szCs w:val="16"/>
              </w:rPr>
              <w:t>8.3</w:t>
            </w:r>
          </w:p>
        </w:tc>
        <w:tc>
          <w:tcPr>
            <w:tcW w:w="769" w:type="dxa"/>
            <w:shd w:val="clear" w:color="auto" w:fill="FFFFFF"/>
            <w:tcMar>
              <w:top w:w="0" w:type="dxa"/>
              <w:left w:w="85" w:type="dxa"/>
              <w:bottom w:w="0" w:type="dxa"/>
              <w:right w:w="85" w:type="dxa"/>
            </w:tcMar>
          </w:tcPr>
          <w:p w14:paraId="6A84DF87" w14:textId="77777777" w:rsidR="00E87995" w:rsidRPr="009E06AA" w:rsidRDefault="00E87995" w:rsidP="00876E40">
            <w:pPr>
              <w:pStyle w:val="TableText"/>
              <w:spacing w:before="40" w:after="40"/>
              <w:jc w:val="right"/>
              <w:rPr>
                <w:szCs w:val="16"/>
              </w:rPr>
            </w:pPr>
            <w:r w:rsidRPr="009E06AA">
              <w:rPr>
                <w:color w:val="000000"/>
                <w:szCs w:val="16"/>
              </w:rPr>
              <w:t>12.2</w:t>
            </w:r>
          </w:p>
        </w:tc>
        <w:tc>
          <w:tcPr>
            <w:tcW w:w="814" w:type="dxa"/>
            <w:shd w:val="clear" w:color="auto" w:fill="FFFFFF"/>
            <w:tcMar>
              <w:top w:w="0" w:type="dxa"/>
              <w:left w:w="85" w:type="dxa"/>
              <w:bottom w:w="0" w:type="dxa"/>
              <w:right w:w="85" w:type="dxa"/>
            </w:tcMar>
          </w:tcPr>
          <w:p w14:paraId="06803927" w14:textId="77777777" w:rsidR="00E87995" w:rsidRPr="009E06AA" w:rsidRDefault="00E87995" w:rsidP="00876E40">
            <w:pPr>
              <w:pStyle w:val="TableText"/>
              <w:spacing w:before="40" w:after="40"/>
              <w:jc w:val="right"/>
              <w:rPr>
                <w:szCs w:val="16"/>
              </w:rPr>
            </w:pPr>
            <w:r w:rsidRPr="009E06AA">
              <w:rPr>
                <w:color w:val="000000"/>
                <w:szCs w:val="16"/>
              </w:rPr>
              <w:t>5.3</w:t>
            </w:r>
          </w:p>
        </w:tc>
        <w:tc>
          <w:tcPr>
            <w:tcW w:w="906" w:type="dxa"/>
            <w:shd w:val="clear" w:color="auto" w:fill="FFFFFF"/>
            <w:tcMar>
              <w:top w:w="0" w:type="dxa"/>
              <w:left w:w="85" w:type="dxa"/>
              <w:bottom w:w="0" w:type="dxa"/>
              <w:right w:w="85" w:type="dxa"/>
            </w:tcMar>
          </w:tcPr>
          <w:p w14:paraId="001D515B" w14:textId="77777777" w:rsidR="00E87995" w:rsidRPr="009E06AA" w:rsidRDefault="00E87995" w:rsidP="00876E40">
            <w:pPr>
              <w:pStyle w:val="TableText"/>
              <w:spacing w:before="40" w:after="40"/>
              <w:jc w:val="right"/>
              <w:rPr>
                <w:szCs w:val="16"/>
              </w:rPr>
            </w:pPr>
            <w:r w:rsidRPr="009E06AA">
              <w:rPr>
                <w:color w:val="000000"/>
                <w:szCs w:val="16"/>
              </w:rPr>
              <w:t>2.7</w:t>
            </w:r>
          </w:p>
        </w:tc>
        <w:tc>
          <w:tcPr>
            <w:tcW w:w="809" w:type="dxa"/>
            <w:shd w:val="clear" w:color="auto" w:fill="FFFFFF"/>
            <w:tcMar>
              <w:top w:w="0" w:type="dxa"/>
              <w:left w:w="85" w:type="dxa"/>
              <w:bottom w:w="0" w:type="dxa"/>
              <w:right w:w="85" w:type="dxa"/>
            </w:tcMar>
          </w:tcPr>
          <w:p w14:paraId="7FC6CEC5" w14:textId="77777777" w:rsidR="00E87995" w:rsidRPr="009E06AA" w:rsidRDefault="00E87995" w:rsidP="00876E40">
            <w:pPr>
              <w:pStyle w:val="TableText"/>
              <w:spacing w:before="40" w:after="40"/>
              <w:jc w:val="right"/>
              <w:rPr>
                <w:szCs w:val="16"/>
              </w:rPr>
            </w:pPr>
            <w:r w:rsidRPr="009E06AA">
              <w:rPr>
                <w:color w:val="000000"/>
                <w:szCs w:val="16"/>
              </w:rPr>
              <w:t>2.9</w:t>
            </w:r>
          </w:p>
        </w:tc>
        <w:tc>
          <w:tcPr>
            <w:tcW w:w="687" w:type="dxa"/>
            <w:shd w:val="clear" w:color="auto" w:fill="FFFFFF"/>
            <w:tcMar>
              <w:top w:w="0" w:type="dxa"/>
              <w:left w:w="85" w:type="dxa"/>
              <w:bottom w:w="0" w:type="dxa"/>
              <w:right w:w="85" w:type="dxa"/>
            </w:tcMar>
          </w:tcPr>
          <w:p w14:paraId="08F75D0C" w14:textId="77777777" w:rsidR="00E87995" w:rsidRPr="009E06AA" w:rsidRDefault="00E87995" w:rsidP="00876E40">
            <w:pPr>
              <w:pStyle w:val="TableText"/>
              <w:spacing w:before="40" w:after="40"/>
              <w:jc w:val="right"/>
              <w:rPr>
                <w:szCs w:val="16"/>
              </w:rPr>
            </w:pPr>
            <w:r w:rsidRPr="009E06AA">
              <w:rPr>
                <w:color w:val="000000"/>
                <w:szCs w:val="16"/>
              </w:rPr>
              <w:t>48.6</w:t>
            </w:r>
          </w:p>
        </w:tc>
        <w:tc>
          <w:tcPr>
            <w:tcW w:w="1013" w:type="pct"/>
            <w:shd w:val="clear" w:color="auto" w:fill="FFFFFF"/>
            <w:tcMar>
              <w:top w:w="0" w:type="dxa"/>
              <w:left w:w="85" w:type="dxa"/>
              <w:bottom w:w="0" w:type="dxa"/>
              <w:right w:w="85" w:type="dxa"/>
            </w:tcMar>
          </w:tcPr>
          <w:p w14:paraId="14B9526E" w14:textId="77777777" w:rsidR="00E87995" w:rsidRPr="009E06AA" w:rsidRDefault="00E87995" w:rsidP="00B55F24">
            <w:pPr>
              <w:pStyle w:val="TableText"/>
              <w:spacing w:before="40" w:after="40"/>
              <w:rPr>
                <w:szCs w:val="16"/>
              </w:rPr>
            </w:pPr>
            <w:r w:rsidRPr="009E06AA">
              <w:rPr>
                <w:color w:val="000000"/>
                <w:szCs w:val="16"/>
              </w:rPr>
              <w:t>Interpolation</w:t>
            </w:r>
          </w:p>
        </w:tc>
      </w:tr>
      <w:tr w:rsidR="00E87995" w:rsidRPr="009E06AA" w14:paraId="0BB9CA15" w14:textId="77777777" w:rsidTr="00B55F24">
        <w:tc>
          <w:tcPr>
            <w:tcW w:w="481" w:type="pct"/>
            <w:shd w:val="clear" w:color="auto" w:fill="FFFFFF"/>
            <w:tcMar>
              <w:top w:w="0" w:type="dxa"/>
              <w:left w:w="85" w:type="dxa"/>
              <w:bottom w:w="0" w:type="dxa"/>
              <w:right w:w="85" w:type="dxa"/>
            </w:tcMar>
          </w:tcPr>
          <w:p w14:paraId="0EF3ACE8" w14:textId="77777777" w:rsidR="00E87995" w:rsidRPr="009E06AA" w:rsidRDefault="00E87995" w:rsidP="00B55F24">
            <w:pPr>
              <w:pStyle w:val="TableTextBold"/>
              <w:spacing w:before="40" w:after="40"/>
              <w:rPr>
                <w:noProof w:val="0"/>
                <w:szCs w:val="16"/>
              </w:rPr>
            </w:pPr>
            <w:r w:rsidRPr="009E06AA">
              <w:rPr>
                <w:noProof w:val="0"/>
                <w:color w:val="1B556B"/>
                <w:szCs w:val="16"/>
              </w:rPr>
              <w:t>2016</w:t>
            </w:r>
          </w:p>
        </w:tc>
        <w:tc>
          <w:tcPr>
            <w:tcW w:w="322" w:type="pct"/>
            <w:shd w:val="clear" w:color="auto" w:fill="FFFFFF"/>
            <w:tcMar>
              <w:top w:w="0" w:type="dxa"/>
              <w:left w:w="85" w:type="dxa"/>
              <w:bottom w:w="0" w:type="dxa"/>
              <w:right w:w="85" w:type="dxa"/>
            </w:tcMar>
          </w:tcPr>
          <w:p w14:paraId="353CF1BC" w14:textId="77777777" w:rsidR="00E87995" w:rsidRPr="009E06AA" w:rsidRDefault="00E87995" w:rsidP="00876E40">
            <w:pPr>
              <w:pStyle w:val="TableText"/>
              <w:spacing w:before="40" w:after="40"/>
              <w:jc w:val="right"/>
              <w:rPr>
                <w:szCs w:val="16"/>
              </w:rPr>
            </w:pPr>
            <w:r w:rsidRPr="009E06AA">
              <w:rPr>
                <w:color w:val="000000"/>
                <w:szCs w:val="16"/>
              </w:rPr>
              <w:t>11.6</w:t>
            </w:r>
          </w:p>
        </w:tc>
        <w:tc>
          <w:tcPr>
            <w:tcW w:w="856" w:type="dxa"/>
            <w:shd w:val="clear" w:color="auto" w:fill="FFFFFF"/>
            <w:tcMar>
              <w:top w:w="0" w:type="dxa"/>
              <w:left w:w="85" w:type="dxa"/>
              <w:bottom w:w="0" w:type="dxa"/>
              <w:right w:w="85" w:type="dxa"/>
            </w:tcMar>
          </w:tcPr>
          <w:p w14:paraId="7E128EA3" w14:textId="77777777" w:rsidR="00E87995" w:rsidRPr="009E06AA" w:rsidRDefault="00E87995" w:rsidP="00876E40">
            <w:pPr>
              <w:pStyle w:val="TableText"/>
              <w:spacing w:before="40" w:after="40"/>
              <w:jc w:val="right"/>
              <w:rPr>
                <w:szCs w:val="16"/>
              </w:rPr>
            </w:pPr>
            <w:r w:rsidRPr="009E06AA">
              <w:rPr>
                <w:color w:val="000000"/>
                <w:szCs w:val="16"/>
              </w:rPr>
              <w:t>6.6</w:t>
            </w:r>
          </w:p>
        </w:tc>
        <w:tc>
          <w:tcPr>
            <w:tcW w:w="753" w:type="dxa"/>
            <w:shd w:val="clear" w:color="auto" w:fill="FFFFFF"/>
            <w:tcMar>
              <w:top w:w="0" w:type="dxa"/>
              <w:left w:w="85" w:type="dxa"/>
              <w:bottom w:w="0" w:type="dxa"/>
              <w:right w:w="85" w:type="dxa"/>
            </w:tcMar>
          </w:tcPr>
          <w:p w14:paraId="28F6FF26" w14:textId="77777777" w:rsidR="00E87995" w:rsidRPr="009E06AA" w:rsidRDefault="00E87995" w:rsidP="00876E40">
            <w:pPr>
              <w:pStyle w:val="TableText"/>
              <w:spacing w:before="40" w:after="40"/>
              <w:jc w:val="right"/>
              <w:rPr>
                <w:szCs w:val="16"/>
              </w:rPr>
            </w:pPr>
            <w:r w:rsidRPr="009E06AA">
              <w:rPr>
                <w:color w:val="000000"/>
                <w:szCs w:val="16"/>
              </w:rPr>
              <w:t>7.5</w:t>
            </w:r>
          </w:p>
        </w:tc>
        <w:tc>
          <w:tcPr>
            <w:tcW w:w="769" w:type="dxa"/>
            <w:shd w:val="clear" w:color="auto" w:fill="FFFFFF"/>
            <w:tcMar>
              <w:top w:w="0" w:type="dxa"/>
              <w:left w:w="85" w:type="dxa"/>
              <w:bottom w:w="0" w:type="dxa"/>
              <w:right w:w="85" w:type="dxa"/>
            </w:tcMar>
          </w:tcPr>
          <w:p w14:paraId="26A71911" w14:textId="77777777" w:rsidR="00E87995" w:rsidRPr="009E06AA" w:rsidRDefault="00E87995" w:rsidP="00876E40">
            <w:pPr>
              <w:pStyle w:val="TableText"/>
              <w:spacing w:before="40" w:after="40"/>
              <w:jc w:val="right"/>
              <w:rPr>
                <w:szCs w:val="16"/>
              </w:rPr>
            </w:pPr>
            <w:r w:rsidRPr="009E06AA">
              <w:rPr>
                <w:color w:val="000000"/>
                <w:szCs w:val="16"/>
              </w:rPr>
              <w:t>12.4</w:t>
            </w:r>
          </w:p>
        </w:tc>
        <w:tc>
          <w:tcPr>
            <w:tcW w:w="814" w:type="dxa"/>
            <w:shd w:val="clear" w:color="auto" w:fill="FFFFFF"/>
            <w:tcMar>
              <w:top w:w="0" w:type="dxa"/>
              <w:left w:w="85" w:type="dxa"/>
              <w:bottom w:w="0" w:type="dxa"/>
              <w:right w:w="85" w:type="dxa"/>
            </w:tcMar>
          </w:tcPr>
          <w:p w14:paraId="737966DB" w14:textId="77777777" w:rsidR="00E87995" w:rsidRPr="009E06AA" w:rsidRDefault="00E87995" w:rsidP="00876E40">
            <w:pPr>
              <w:pStyle w:val="TableText"/>
              <w:spacing w:before="40" w:after="40"/>
              <w:jc w:val="right"/>
              <w:rPr>
                <w:szCs w:val="16"/>
              </w:rPr>
            </w:pPr>
            <w:r w:rsidRPr="009E06AA">
              <w:rPr>
                <w:color w:val="000000"/>
                <w:szCs w:val="16"/>
              </w:rPr>
              <w:t>5.2</w:t>
            </w:r>
          </w:p>
        </w:tc>
        <w:tc>
          <w:tcPr>
            <w:tcW w:w="906" w:type="dxa"/>
            <w:shd w:val="clear" w:color="auto" w:fill="FFFFFF"/>
            <w:tcMar>
              <w:top w:w="0" w:type="dxa"/>
              <w:left w:w="85" w:type="dxa"/>
              <w:bottom w:w="0" w:type="dxa"/>
              <w:right w:w="85" w:type="dxa"/>
            </w:tcMar>
          </w:tcPr>
          <w:p w14:paraId="136BDCEB" w14:textId="77777777" w:rsidR="00E87995" w:rsidRPr="009E06AA" w:rsidRDefault="00E87995" w:rsidP="00876E40">
            <w:pPr>
              <w:pStyle w:val="TableText"/>
              <w:spacing w:before="40" w:after="40"/>
              <w:jc w:val="right"/>
              <w:rPr>
                <w:szCs w:val="16"/>
              </w:rPr>
            </w:pPr>
            <w:r w:rsidRPr="009E06AA">
              <w:rPr>
                <w:color w:val="000000"/>
                <w:szCs w:val="16"/>
              </w:rPr>
              <w:t>2.6</w:t>
            </w:r>
          </w:p>
        </w:tc>
        <w:tc>
          <w:tcPr>
            <w:tcW w:w="809" w:type="dxa"/>
            <w:shd w:val="clear" w:color="auto" w:fill="FFFFFF"/>
            <w:tcMar>
              <w:top w:w="0" w:type="dxa"/>
              <w:left w:w="85" w:type="dxa"/>
              <w:bottom w:w="0" w:type="dxa"/>
              <w:right w:w="85" w:type="dxa"/>
            </w:tcMar>
          </w:tcPr>
          <w:p w14:paraId="2C06D281" w14:textId="77777777" w:rsidR="00E87995" w:rsidRPr="009E06AA" w:rsidRDefault="00E87995" w:rsidP="00876E40">
            <w:pPr>
              <w:pStyle w:val="TableText"/>
              <w:spacing w:before="40" w:after="40"/>
              <w:jc w:val="right"/>
              <w:rPr>
                <w:szCs w:val="16"/>
              </w:rPr>
            </w:pPr>
            <w:r w:rsidRPr="009E06AA">
              <w:rPr>
                <w:color w:val="000000"/>
                <w:szCs w:val="16"/>
              </w:rPr>
              <w:t>2.6</w:t>
            </w:r>
          </w:p>
        </w:tc>
        <w:tc>
          <w:tcPr>
            <w:tcW w:w="687" w:type="dxa"/>
            <w:shd w:val="clear" w:color="auto" w:fill="FFFFFF"/>
            <w:tcMar>
              <w:top w:w="0" w:type="dxa"/>
              <w:left w:w="85" w:type="dxa"/>
              <w:bottom w:w="0" w:type="dxa"/>
              <w:right w:w="85" w:type="dxa"/>
            </w:tcMar>
          </w:tcPr>
          <w:p w14:paraId="1CC65C02" w14:textId="77777777" w:rsidR="00E87995" w:rsidRPr="009E06AA" w:rsidRDefault="00E87995" w:rsidP="00876E40">
            <w:pPr>
              <w:pStyle w:val="TableText"/>
              <w:spacing w:before="40" w:after="40"/>
              <w:jc w:val="right"/>
              <w:rPr>
                <w:szCs w:val="16"/>
              </w:rPr>
            </w:pPr>
            <w:r w:rsidRPr="009E06AA">
              <w:rPr>
                <w:color w:val="000000"/>
                <w:szCs w:val="16"/>
              </w:rPr>
              <w:t>51.5</w:t>
            </w:r>
          </w:p>
        </w:tc>
        <w:tc>
          <w:tcPr>
            <w:tcW w:w="1013" w:type="pct"/>
            <w:shd w:val="clear" w:color="auto" w:fill="FFFFFF"/>
            <w:tcMar>
              <w:top w:w="0" w:type="dxa"/>
              <w:left w:w="85" w:type="dxa"/>
              <w:bottom w:w="0" w:type="dxa"/>
              <w:right w:w="85" w:type="dxa"/>
            </w:tcMar>
          </w:tcPr>
          <w:p w14:paraId="00C47499" w14:textId="77777777" w:rsidR="00E87995" w:rsidRPr="009E06AA" w:rsidRDefault="00E87995" w:rsidP="00B55F24">
            <w:pPr>
              <w:pStyle w:val="TableText"/>
              <w:spacing w:before="40" w:after="40"/>
              <w:rPr>
                <w:szCs w:val="16"/>
              </w:rPr>
            </w:pPr>
            <w:r w:rsidRPr="009E06AA">
              <w:rPr>
                <w:color w:val="000000"/>
                <w:szCs w:val="16"/>
              </w:rPr>
              <w:t>Interpolation</w:t>
            </w:r>
          </w:p>
        </w:tc>
      </w:tr>
      <w:tr w:rsidR="00E87995" w:rsidRPr="009E06AA" w14:paraId="778811A6" w14:textId="77777777" w:rsidTr="00B55F24">
        <w:tc>
          <w:tcPr>
            <w:tcW w:w="481" w:type="pct"/>
            <w:shd w:val="clear" w:color="auto" w:fill="FFFFFF"/>
            <w:tcMar>
              <w:top w:w="0" w:type="dxa"/>
              <w:left w:w="85" w:type="dxa"/>
              <w:bottom w:w="0" w:type="dxa"/>
              <w:right w:w="85" w:type="dxa"/>
            </w:tcMar>
          </w:tcPr>
          <w:p w14:paraId="718A3974" w14:textId="77777777" w:rsidR="00E87995" w:rsidRPr="009E06AA" w:rsidRDefault="00E87995" w:rsidP="00B55F24">
            <w:pPr>
              <w:pStyle w:val="TableTextBold"/>
              <w:spacing w:before="40" w:after="40"/>
              <w:rPr>
                <w:noProof w:val="0"/>
                <w:szCs w:val="16"/>
              </w:rPr>
            </w:pPr>
            <w:r w:rsidRPr="009E06AA">
              <w:rPr>
                <w:noProof w:val="0"/>
                <w:color w:val="1B556B"/>
                <w:szCs w:val="16"/>
              </w:rPr>
              <w:t>2017</w:t>
            </w:r>
          </w:p>
        </w:tc>
        <w:tc>
          <w:tcPr>
            <w:tcW w:w="322" w:type="pct"/>
            <w:shd w:val="clear" w:color="auto" w:fill="FFFFFF"/>
            <w:tcMar>
              <w:top w:w="0" w:type="dxa"/>
              <w:left w:w="85" w:type="dxa"/>
              <w:bottom w:w="0" w:type="dxa"/>
              <w:right w:w="85" w:type="dxa"/>
            </w:tcMar>
          </w:tcPr>
          <w:p w14:paraId="5ECB1AD3" w14:textId="77777777" w:rsidR="00E87995" w:rsidRPr="009E06AA" w:rsidRDefault="00E87995" w:rsidP="00876E40">
            <w:pPr>
              <w:pStyle w:val="TableText"/>
              <w:spacing w:before="40" w:after="40"/>
              <w:jc w:val="right"/>
              <w:rPr>
                <w:szCs w:val="16"/>
              </w:rPr>
            </w:pPr>
            <w:r w:rsidRPr="009E06AA">
              <w:rPr>
                <w:color w:val="000000"/>
                <w:szCs w:val="16"/>
              </w:rPr>
              <w:t>10.3</w:t>
            </w:r>
          </w:p>
        </w:tc>
        <w:tc>
          <w:tcPr>
            <w:tcW w:w="856" w:type="dxa"/>
            <w:shd w:val="clear" w:color="auto" w:fill="FFFFFF"/>
            <w:tcMar>
              <w:top w:w="0" w:type="dxa"/>
              <w:left w:w="85" w:type="dxa"/>
              <w:bottom w:w="0" w:type="dxa"/>
              <w:right w:w="85" w:type="dxa"/>
            </w:tcMar>
          </w:tcPr>
          <w:p w14:paraId="30D106AA" w14:textId="77777777" w:rsidR="00E87995" w:rsidRPr="009E06AA" w:rsidRDefault="00E87995" w:rsidP="00876E40">
            <w:pPr>
              <w:pStyle w:val="TableText"/>
              <w:spacing w:before="40" w:after="40"/>
              <w:jc w:val="right"/>
              <w:rPr>
                <w:szCs w:val="16"/>
              </w:rPr>
            </w:pPr>
            <w:r w:rsidRPr="009E06AA">
              <w:rPr>
                <w:color w:val="000000"/>
                <w:szCs w:val="16"/>
              </w:rPr>
              <w:t>6.2</w:t>
            </w:r>
          </w:p>
        </w:tc>
        <w:tc>
          <w:tcPr>
            <w:tcW w:w="753" w:type="dxa"/>
            <w:shd w:val="clear" w:color="auto" w:fill="FFFFFF"/>
            <w:tcMar>
              <w:top w:w="0" w:type="dxa"/>
              <w:left w:w="85" w:type="dxa"/>
              <w:bottom w:w="0" w:type="dxa"/>
              <w:right w:w="85" w:type="dxa"/>
            </w:tcMar>
          </w:tcPr>
          <w:p w14:paraId="5DF984D1" w14:textId="77777777" w:rsidR="00E87995" w:rsidRPr="009E06AA" w:rsidRDefault="00E87995" w:rsidP="00876E40">
            <w:pPr>
              <w:pStyle w:val="TableText"/>
              <w:spacing w:before="40" w:after="40"/>
              <w:jc w:val="right"/>
              <w:rPr>
                <w:szCs w:val="16"/>
              </w:rPr>
            </w:pPr>
            <w:r w:rsidRPr="009E06AA">
              <w:rPr>
                <w:color w:val="000000"/>
                <w:szCs w:val="16"/>
              </w:rPr>
              <w:t>6.7</w:t>
            </w:r>
          </w:p>
        </w:tc>
        <w:tc>
          <w:tcPr>
            <w:tcW w:w="769" w:type="dxa"/>
            <w:shd w:val="clear" w:color="auto" w:fill="FFFFFF"/>
            <w:tcMar>
              <w:top w:w="0" w:type="dxa"/>
              <w:left w:w="85" w:type="dxa"/>
              <w:bottom w:w="0" w:type="dxa"/>
              <w:right w:w="85" w:type="dxa"/>
            </w:tcMar>
          </w:tcPr>
          <w:p w14:paraId="486936B1" w14:textId="77777777" w:rsidR="00E87995" w:rsidRPr="009E06AA" w:rsidRDefault="00E87995" w:rsidP="00876E40">
            <w:pPr>
              <w:pStyle w:val="TableText"/>
              <w:spacing w:before="40" w:after="40"/>
              <w:jc w:val="right"/>
              <w:rPr>
                <w:szCs w:val="16"/>
              </w:rPr>
            </w:pPr>
            <w:r w:rsidRPr="009E06AA">
              <w:rPr>
                <w:color w:val="000000"/>
                <w:szCs w:val="16"/>
              </w:rPr>
              <w:t>12.5</w:t>
            </w:r>
          </w:p>
        </w:tc>
        <w:tc>
          <w:tcPr>
            <w:tcW w:w="814" w:type="dxa"/>
            <w:shd w:val="clear" w:color="auto" w:fill="FFFFFF"/>
            <w:tcMar>
              <w:top w:w="0" w:type="dxa"/>
              <w:left w:w="85" w:type="dxa"/>
              <w:bottom w:w="0" w:type="dxa"/>
              <w:right w:w="85" w:type="dxa"/>
            </w:tcMar>
          </w:tcPr>
          <w:p w14:paraId="07640C4E" w14:textId="77777777" w:rsidR="00E87995" w:rsidRPr="009E06AA" w:rsidRDefault="00E87995" w:rsidP="00876E40">
            <w:pPr>
              <w:pStyle w:val="TableText"/>
              <w:spacing w:before="40" w:after="40"/>
              <w:jc w:val="right"/>
              <w:rPr>
                <w:szCs w:val="16"/>
              </w:rPr>
            </w:pPr>
            <w:r w:rsidRPr="009E06AA">
              <w:rPr>
                <w:color w:val="000000"/>
                <w:szCs w:val="16"/>
              </w:rPr>
              <w:t>5.1</w:t>
            </w:r>
          </w:p>
        </w:tc>
        <w:tc>
          <w:tcPr>
            <w:tcW w:w="906" w:type="dxa"/>
            <w:shd w:val="clear" w:color="auto" w:fill="FFFFFF"/>
            <w:tcMar>
              <w:top w:w="0" w:type="dxa"/>
              <w:left w:w="85" w:type="dxa"/>
              <w:bottom w:w="0" w:type="dxa"/>
              <w:right w:w="85" w:type="dxa"/>
            </w:tcMar>
          </w:tcPr>
          <w:p w14:paraId="2438C44F" w14:textId="77777777" w:rsidR="00E87995" w:rsidRPr="009E06AA" w:rsidRDefault="00E87995" w:rsidP="00876E40">
            <w:pPr>
              <w:pStyle w:val="TableText"/>
              <w:spacing w:before="40" w:after="40"/>
              <w:jc w:val="right"/>
              <w:rPr>
                <w:szCs w:val="16"/>
              </w:rPr>
            </w:pPr>
            <w:r w:rsidRPr="009E06AA">
              <w:rPr>
                <w:color w:val="000000"/>
                <w:szCs w:val="16"/>
              </w:rPr>
              <w:t>2.6</w:t>
            </w:r>
          </w:p>
        </w:tc>
        <w:tc>
          <w:tcPr>
            <w:tcW w:w="809" w:type="dxa"/>
            <w:shd w:val="clear" w:color="auto" w:fill="FFFFFF"/>
            <w:tcMar>
              <w:top w:w="0" w:type="dxa"/>
              <w:left w:w="85" w:type="dxa"/>
              <w:bottom w:w="0" w:type="dxa"/>
              <w:right w:w="85" w:type="dxa"/>
            </w:tcMar>
          </w:tcPr>
          <w:p w14:paraId="30CFD87A" w14:textId="77777777" w:rsidR="00E87995" w:rsidRPr="009E06AA" w:rsidRDefault="00E87995" w:rsidP="00876E40">
            <w:pPr>
              <w:pStyle w:val="TableText"/>
              <w:spacing w:before="40" w:after="40"/>
              <w:jc w:val="right"/>
              <w:rPr>
                <w:szCs w:val="16"/>
              </w:rPr>
            </w:pPr>
            <w:r w:rsidRPr="009E06AA">
              <w:rPr>
                <w:color w:val="000000"/>
                <w:szCs w:val="16"/>
              </w:rPr>
              <w:t>2.3</w:t>
            </w:r>
          </w:p>
        </w:tc>
        <w:tc>
          <w:tcPr>
            <w:tcW w:w="687" w:type="dxa"/>
            <w:shd w:val="clear" w:color="auto" w:fill="FFFFFF"/>
            <w:tcMar>
              <w:top w:w="0" w:type="dxa"/>
              <w:left w:w="85" w:type="dxa"/>
              <w:bottom w:w="0" w:type="dxa"/>
              <w:right w:w="85" w:type="dxa"/>
            </w:tcMar>
          </w:tcPr>
          <w:p w14:paraId="30B088A1" w14:textId="77777777" w:rsidR="00E87995" w:rsidRPr="009E06AA" w:rsidRDefault="00E87995" w:rsidP="00876E40">
            <w:pPr>
              <w:pStyle w:val="TableText"/>
              <w:spacing w:before="40" w:after="40"/>
              <w:jc w:val="right"/>
              <w:rPr>
                <w:szCs w:val="16"/>
              </w:rPr>
            </w:pPr>
            <w:r w:rsidRPr="009E06AA">
              <w:rPr>
                <w:color w:val="000000"/>
                <w:szCs w:val="16"/>
              </w:rPr>
              <w:t>54.4</w:t>
            </w:r>
          </w:p>
        </w:tc>
        <w:tc>
          <w:tcPr>
            <w:tcW w:w="1013" w:type="pct"/>
            <w:shd w:val="clear" w:color="auto" w:fill="FFFFFF"/>
            <w:tcMar>
              <w:top w:w="0" w:type="dxa"/>
              <w:left w:w="85" w:type="dxa"/>
              <w:bottom w:w="0" w:type="dxa"/>
              <w:right w:w="85" w:type="dxa"/>
            </w:tcMar>
          </w:tcPr>
          <w:p w14:paraId="7F7646D3" w14:textId="77777777" w:rsidR="00E87995" w:rsidRPr="009E06AA" w:rsidRDefault="00E87995" w:rsidP="00B55F24">
            <w:pPr>
              <w:pStyle w:val="TableText"/>
              <w:spacing w:before="40" w:after="40"/>
              <w:rPr>
                <w:szCs w:val="16"/>
              </w:rPr>
            </w:pPr>
            <w:r w:rsidRPr="009E06AA">
              <w:rPr>
                <w:color w:val="000000"/>
                <w:szCs w:val="16"/>
              </w:rPr>
              <w:t>Interpolation</w:t>
            </w:r>
          </w:p>
        </w:tc>
      </w:tr>
      <w:tr w:rsidR="00E87995" w:rsidRPr="009E06AA" w14:paraId="19A59129" w14:textId="77777777" w:rsidTr="00B55F24">
        <w:tc>
          <w:tcPr>
            <w:tcW w:w="481" w:type="pct"/>
            <w:shd w:val="clear" w:color="auto" w:fill="FFFFFF"/>
            <w:tcMar>
              <w:top w:w="0" w:type="dxa"/>
              <w:left w:w="85" w:type="dxa"/>
              <w:bottom w:w="0" w:type="dxa"/>
              <w:right w:w="85" w:type="dxa"/>
            </w:tcMar>
          </w:tcPr>
          <w:p w14:paraId="3A19F707" w14:textId="77777777" w:rsidR="00E87995" w:rsidRPr="009E06AA" w:rsidRDefault="00E87995" w:rsidP="00B55F24">
            <w:pPr>
              <w:pStyle w:val="TableTextBold"/>
              <w:spacing w:before="40" w:after="40"/>
              <w:rPr>
                <w:noProof w:val="0"/>
                <w:szCs w:val="16"/>
              </w:rPr>
            </w:pPr>
            <w:r w:rsidRPr="009E06AA">
              <w:rPr>
                <w:noProof w:val="0"/>
                <w:color w:val="1B556B"/>
                <w:szCs w:val="16"/>
              </w:rPr>
              <w:t>2018</w:t>
            </w:r>
          </w:p>
        </w:tc>
        <w:tc>
          <w:tcPr>
            <w:tcW w:w="322" w:type="pct"/>
            <w:shd w:val="clear" w:color="auto" w:fill="FFFFFF"/>
            <w:tcMar>
              <w:top w:w="0" w:type="dxa"/>
              <w:left w:w="85" w:type="dxa"/>
              <w:bottom w:w="0" w:type="dxa"/>
              <w:right w:w="85" w:type="dxa"/>
            </w:tcMar>
          </w:tcPr>
          <w:p w14:paraId="1126ACC6" w14:textId="77777777" w:rsidR="00E87995" w:rsidRPr="009E06AA" w:rsidRDefault="00E87995" w:rsidP="00876E40">
            <w:pPr>
              <w:pStyle w:val="TableText"/>
              <w:spacing w:before="40" w:after="40"/>
              <w:jc w:val="right"/>
              <w:rPr>
                <w:szCs w:val="16"/>
              </w:rPr>
            </w:pPr>
            <w:r w:rsidRPr="009E06AA">
              <w:rPr>
                <w:color w:val="000000"/>
                <w:szCs w:val="16"/>
              </w:rPr>
              <w:t>9.0</w:t>
            </w:r>
          </w:p>
        </w:tc>
        <w:tc>
          <w:tcPr>
            <w:tcW w:w="856" w:type="dxa"/>
            <w:shd w:val="clear" w:color="auto" w:fill="FFFFFF"/>
            <w:tcMar>
              <w:top w:w="0" w:type="dxa"/>
              <w:left w:w="85" w:type="dxa"/>
              <w:bottom w:w="0" w:type="dxa"/>
              <w:right w:w="85" w:type="dxa"/>
            </w:tcMar>
          </w:tcPr>
          <w:p w14:paraId="13BEEA9E" w14:textId="77777777" w:rsidR="00E87995" w:rsidRPr="009E06AA" w:rsidRDefault="00E87995" w:rsidP="00876E40">
            <w:pPr>
              <w:pStyle w:val="TableText"/>
              <w:spacing w:before="40" w:after="40"/>
              <w:jc w:val="right"/>
              <w:rPr>
                <w:szCs w:val="16"/>
              </w:rPr>
            </w:pPr>
            <w:r w:rsidRPr="009E06AA">
              <w:rPr>
                <w:color w:val="000000"/>
                <w:szCs w:val="16"/>
              </w:rPr>
              <w:t>5.7</w:t>
            </w:r>
          </w:p>
        </w:tc>
        <w:tc>
          <w:tcPr>
            <w:tcW w:w="753" w:type="dxa"/>
            <w:shd w:val="clear" w:color="auto" w:fill="FFFFFF"/>
            <w:tcMar>
              <w:top w:w="0" w:type="dxa"/>
              <w:left w:w="85" w:type="dxa"/>
              <w:bottom w:w="0" w:type="dxa"/>
              <w:right w:w="85" w:type="dxa"/>
            </w:tcMar>
          </w:tcPr>
          <w:p w14:paraId="1E3B7C34" w14:textId="77777777" w:rsidR="00E87995" w:rsidRPr="009E06AA" w:rsidRDefault="00E87995" w:rsidP="00876E40">
            <w:pPr>
              <w:pStyle w:val="TableText"/>
              <w:spacing w:before="40" w:after="40"/>
              <w:jc w:val="right"/>
              <w:rPr>
                <w:szCs w:val="16"/>
              </w:rPr>
            </w:pPr>
            <w:r w:rsidRPr="009E06AA">
              <w:rPr>
                <w:color w:val="000000"/>
                <w:szCs w:val="16"/>
              </w:rPr>
              <w:t>5.9</w:t>
            </w:r>
          </w:p>
        </w:tc>
        <w:tc>
          <w:tcPr>
            <w:tcW w:w="769" w:type="dxa"/>
            <w:shd w:val="clear" w:color="auto" w:fill="FFFFFF"/>
            <w:tcMar>
              <w:top w:w="0" w:type="dxa"/>
              <w:left w:w="85" w:type="dxa"/>
              <w:bottom w:w="0" w:type="dxa"/>
              <w:right w:w="85" w:type="dxa"/>
            </w:tcMar>
          </w:tcPr>
          <w:p w14:paraId="6B189155" w14:textId="77777777" w:rsidR="00E87995" w:rsidRPr="009E06AA" w:rsidRDefault="00E87995" w:rsidP="00876E40">
            <w:pPr>
              <w:pStyle w:val="TableText"/>
              <w:spacing w:before="40" w:after="40"/>
              <w:jc w:val="right"/>
              <w:rPr>
                <w:szCs w:val="16"/>
              </w:rPr>
            </w:pPr>
            <w:r w:rsidRPr="009E06AA">
              <w:rPr>
                <w:color w:val="000000"/>
                <w:szCs w:val="16"/>
              </w:rPr>
              <w:t>12.6</w:t>
            </w:r>
          </w:p>
        </w:tc>
        <w:tc>
          <w:tcPr>
            <w:tcW w:w="814" w:type="dxa"/>
            <w:shd w:val="clear" w:color="auto" w:fill="FFFFFF"/>
            <w:tcMar>
              <w:top w:w="0" w:type="dxa"/>
              <w:left w:w="85" w:type="dxa"/>
              <w:bottom w:w="0" w:type="dxa"/>
              <w:right w:w="85" w:type="dxa"/>
            </w:tcMar>
          </w:tcPr>
          <w:p w14:paraId="288C5DCB" w14:textId="77777777" w:rsidR="00E87995" w:rsidRPr="009E06AA" w:rsidRDefault="00E87995" w:rsidP="00876E40">
            <w:pPr>
              <w:pStyle w:val="TableText"/>
              <w:spacing w:before="40" w:after="40"/>
              <w:jc w:val="right"/>
              <w:rPr>
                <w:szCs w:val="16"/>
              </w:rPr>
            </w:pPr>
            <w:r w:rsidRPr="009E06AA">
              <w:rPr>
                <w:color w:val="000000"/>
                <w:szCs w:val="16"/>
              </w:rPr>
              <w:t>5.0</w:t>
            </w:r>
          </w:p>
        </w:tc>
        <w:tc>
          <w:tcPr>
            <w:tcW w:w="906" w:type="dxa"/>
            <w:shd w:val="clear" w:color="auto" w:fill="FFFFFF"/>
            <w:tcMar>
              <w:top w:w="0" w:type="dxa"/>
              <w:left w:w="85" w:type="dxa"/>
              <w:bottom w:w="0" w:type="dxa"/>
              <w:right w:w="85" w:type="dxa"/>
            </w:tcMar>
          </w:tcPr>
          <w:p w14:paraId="2BF70E96" w14:textId="77777777" w:rsidR="00E87995" w:rsidRPr="009E06AA" w:rsidRDefault="00E87995" w:rsidP="00876E40">
            <w:pPr>
              <w:pStyle w:val="TableText"/>
              <w:spacing w:before="40" w:after="40"/>
              <w:jc w:val="right"/>
              <w:rPr>
                <w:szCs w:val="16"/>
              </w:rPr>
            </w:pPr>
            <w:r w:rsidRPr="009E06AA">
              <w:rPr>
                <w:color w:val="000000"/>
                <w:szCs w:val="16"/>
              </w:rPr>
              <w:t>2.5</w:t>
            </w:r>
          </w:p>
        </w:tc>
        <w:tc>
          <w:tcPr>
            <w:tcW w:w="809" w:type="dxa"/>
            <w:shd w:val="clear" w:color="auto" w:fill="FFFFFF"/>
            <w:tcMar>
              <w:top w:w="0" w:type="dxa"/>
              <w:left w:w="85" w:type="dxa"/>
              <w:bottom w:w="0" w:type="dxa"/>
              <w:right w:w="85" w:type="dxa"/>
            </w:tcMar>
          </w:tcPr>
          <w:p w14:paraId="3FF7622A" w14:textId="77777777" w:rsidR="00E87995" w:rsidRPr="009E06AA" w:rsidRDefault="00E87995" w:rsidP="00876E40">
            <w:pPr>
              <w:pStyle w:val="TableText"/>
              <w:spacing w:before="40" w:after="40"/>
              <w:jc w:val="right"/>
              <w:rPr>
                <w:szCs w:val="16"/>
              </w:rPr>
            </w:pPr>
            <w:r w:rsidRPr="009E06AA">
              <w:rPr>
                <w:color w:val="000000"/>
                <w:szCs w:val="16"/>
              </w:rPr>
              <w:t>1.9</w:t>
            </w:r>
          </w:p>
        </w:tc>
        <w:tc>
          <w:tcPr>
            <w:tcW w:w="687" w:type="dxa"/>
            <w:shd w:val="clear" w:color="auto" w:fill="FFFFFF"/>
            <w:tcMar>
              <w:top w:w="0" w:type="dxa"/>
              <w:left w:w="85" w:type="dxa"/>
              <w:bottom w:w="0" w:type="dxa"/>
              <w:right w:w="85" w:type="dxa"/>
            </w:tcMar>
          </w:tcPr>
          <w:p w14:paraId="107DBEA7" w14:textId="77777777" w:rsidR="00E87995" w:rsidRPr="009E06AA" w:rsidRDefault="00E87995" w:rsidP="00876E40">
            <w:pPr>
              <w:pStyle w:val="TableText"/>
              <w:spacing w:before="40" w:after="40"/>
              <w:jc w:val="right"/>
              <w:rPr>
                <w:szCs w:val="16"/>
              </w:rPr>
            </w:pPr>
            <w:r w:rsidRPr="009E06AA">
              <w:rPr>
                <w:color w:val="000000"/>
                <w:szCs w:val="16"/>
              </w:rPr>
              <w:t>57.3</w:t>
            </w:r>
          </w:p>
        </w:tc>
        <w:tc>
          <w:tcPr>
            <w:tcW w:w="1013" w:type="pct"/>
            <w:shd w:val="clear" w:color="auto" w:fill="FFFFFF"/>
            <w:tcMar>
              <w:top w:w="0" w:type="dxa"/>
              <w:left w:w="85" w:type="dxa"/>
              <w:bottom w:w="0" w:type="dxa"/>
              <w:right w:w="85" w:type="dxa"/>
            </w:tcMar>
          </w:tcPr>
          <w:p w14:paraId="4307B488" w14:textId="77777777" w:rsidR="00E87995" w:rsidRPr="009E06AA" w:rsidRDefault="00E87995" w:rsidP="00B55F24">
            <w:pPr>
              <w:pStyle w:val="TableText"/>
              <w:spacing w:before="40" w:after="40"/>
              <w:rPr>
                <w:szCs w:val="16"/>
              </w:rPr>
            </w:pPr>
            <w:r w:rsidRPr="009E06AA">
              <w:rPr>
                <w:color w:val="000000"/>
                <w:szCs w:val="16"/>
              </w:rPr>
              <w:t>Survey</w:t>
            </w:r>
          </w:p>
        </w:tc>
      </w:tr>
      <w:tr w:rsidR="00E87995" w:rsidRPr="009E06AA" w14:paraId="5EBCC2C1" w14:textId="77777777" w:rsidTr="00B55F24">
        <w:tc>
          <w:tcPr>
            <w:tcW w:w="481" w:type="pct"/>
            <w:shd w:val="clear" w:color="auto" w:fill="FFFFFF"/>
            <w:tcMar>
              <w:top w:w="0" w:type="dxa"/>
              <w:left w:w="85" w:type="dxa"/>
              <w:bottom w:w="0" w:type="dxa"/>
              <w:right w:w="85" w:type="dxa"/>
            </w:tcMar>
          </w:tcPr>
          <w:p w14:paraId="7FBE9DDE" w14:textId="77777777" w:rsidR="00E87995" w:rsidRPr="009E06AA" w:rsidRDefault="00E87995" w:rsidP="00B55F24">
            <w:pPr>
              <w:pStyle w:val="TableTextBold"/>
              <w:spacing w:before="40" w:after="40"/>
              <w:rPr>
                <w:noProof w:val="0"/>
                <w:szCs w:val="16"/>
              </w:rPr>
            </w:pPr>
            <w:r w:rsidRPr="009E06AA">
              <w:rPr>
                <w:noProof w:val="0"/>
                <w:color w:val="1B556B"/>
                <w:szCs w:val="16"/>
              </w:rPr>
              <w:t>2019</w:t>
            </w:r>
          </w:p>
        </w:tc>
        <w:tc>
          <w:tcPr>
            <w:tcW w:w="322" w:type="pct"/>
            <w:shd w:val="clear" w:color="auto" w:fill="FFFFFF"/>
            <w:tcMar>
              <w:top w:w="0" w:type="dxa"/>
              <w:left w:w="85" w:type="dxa"/>
              <w:bottom w:w="0" w:type="dxa"/>
              <w:right w:w="85" w:type="dxa"/>
            </w:tcMar>
          </w:tcPr>
          <w:p w14:paraId="4EBB54E5" w14:textId="77777777" w:rsidR="00E87995" w:rsidRPr="009E06AA" w:rsidRDefault="00E87995" w:rsidP="00876E40">
            <w:pPr>
              <w:pStyle w:val="TableText"/>
              <w:spacing w:before="40" w:after="40"/>
              <w:jc w:val="right"/>
              <w:rPr>
                <w:szCs w:val="16"/>
              </w:rPr>
            </w:pPr>
            <w:r w:rsidRPr="009E06AA">
              <w:rPr>
                <w:color w:val="000000"/>
                <w:szCs w:val="16"/>
              </w:rPr>
              <w:t>9.0</w:t>
            </w:r>
          </w:p>
        </w:tc>
        <w:tc>
          <w:tcPr>
            <w:tcW w:w="856" w:type="dxa"/>
            <w:shd w:val="clear" w:color="auto" w:fill="FFFFFF"/>
            <w:tcMar>
              <w:top w:w="0" w:type="dxa"/>
              <w:left w:w="85" w:type="dxa"/>
              <w:bottom w:w="0" w:type="dxa"/>
              <w:right w:w="85" w:type="dxa"/>
            </w:tcMar>
          </w:tcPr>
          <w:p w14:paraId="03B4A9CA" w14:textId="77777777" w:rsidR="00E87995" w:rsidRPr="009E06AA" w:rsidRDefault="00E87995" w:rsidP="00876E40">
            <w:pPr>
              <w:pStyle w:val="TableText"/>
              <w:spacing w:before="40" w:after="40"/>
              <w:jc w:val="right"/>
              <w:rPr>
                <w:szCs w:val="16"/>
              </w:rPr>
            </w:pPr>
            <w:r w:rsidRPr="009E06AA">
              <w:rPr>
                <w:color w:val="000000"/>
                <w:szCs w:val="16"/>
              </w:rPr>
              <w:t>5.7</w:t>
            </w:r>
          </w:p>
        </w:tc>
        <w:tc>
          <w:tcPr>
            <w:tcW w:w="753" w:type="dxa"/>
            <w:shd w:val="clear" w:color="auto" w:fill="FFFFFF"/>
            <w:tcMar>
              <w:top w:w="0" w:type="dxa"/>
              <w:left w:w="85" w:type="dxa"/>
              <w:bottom w:w="0" w:type="dxa"/>
              <w:right w:w="85" w:type="dxa"/>
            </w:tcMar>
          </w:tcPr>
          <w:p w14:paraId="44E260A2" w14:textId="77777777" w:rsidR="00E87995" w:rsidRPr="009E06AA" w:rsidRDefault="00E87995" w:rsidP="00876E40">
            <w:pPr>
              <w:pStyle w:val="TableText"/>
              <w:spacing w:before="40" w:after="40"/>
              <w:jc w:val="right"/>
              <w:rPr>
                <w:szCs w:val="16"/>
              </w:rPr>
            </w:pPr>
            <w:r w:rsidRPr="009E06AA">
              <w:rPr>
                <w:color w:val="000000"/>
                <w:szCs w:val="16"/>
              </w:rPr>
              <w:t>5.9</w:t>
            </w:r>
          </w:p>
        </w:tc>
        <w:tc>
          <w:tcPr>
            <w:tcW w:w="769" w:type="dxa"/>
            <w:shd w:val="clear" w:color="auto" w:fill="FFFFFF"/>
            <w:tcMar>
              <w:top w:w="0" w:type="dxa"/>
              <w:left w:w="85" w:type="dxa"/>
              <w:bottom w:w="0" w:type="dxa"/>
              <w:right w:w="85" w:type="dxa"/>
            </w:tcMar>
          </w:tcPr>
          <w:p w14:paraId="3BA1EDCF" w14:textId="77777777" w:rsidR="00E87995" w:rsidRPr="009E06AA" w:rsidRDefault="00E87995" w:rsidP="00876E40">
            <w:pPr>
              <w:pStyle w:val="TableText"/>
              <w:spacing w:before="40" w:after="40"/>
              <w:jc w:val="right"/>
              <w:rPr>
                <w:szCs w:val="16"/>
              </w:rPr>
            </w:pPr>
            <w:r w:rsidRPr="009E06AA">
              <w:rPr>
                <w:color w:val="000000"/>
                <w:szCs w:val="16"/>
              </w:rPr>
              <w:t>12.6</w:t>
            </w:r>
          </w:p>
        </w:tc>
        <w:tc>
          <w:tcPr>
            <w:tcW w:w="814" w:type="dxa"/>
            <w:shd w:val="clear" w:color="auto" w:fill="FFFFFF"/>
            <w:tcMar>
              <w:top w:w="0" w:type="dxa"/>
              <w:left w:w="85" w:type="dxa"/>
              <w:bottom w:w="0" w:type="dxa"/>
              <w:right w:w="85" w:type="dxa"/>
            </w:tcMar>
          </w:tcPr>
          <w:p w14:paraId="4E2CF890" w14:textId="77777777" w:rsidR="00E87995" w:rsidRPr="009E06AA" w:rsidRDefault="00E87995" w:rsidP="00876E40">
            <w:pPr>
              <w:pStyle w:val="TableText"/>
              <w:spacing w:before="40" w:after="40"/>
              <w:jc w:val="right"/>
              <w:rPr>
                <w:szCs w:val="16"/>
              </w:rPr>
            </w:pPr>
            <w:r w:rsidRPr="009E06AA">
              <w:rPr>
                <w:color w:val="000000"/>
                <w:szCs w:val="16"/>
              </w:rPr>
              <w:t>5.0</w:t>
            </w:r>
          </w:p>
        </w:tc>
        <w:tc>
          <w:tcPr>
            <w:tcW w:w="906" w:type="dxa"/>
            <w:shd w:val="clear" w:color="auto" w:fill="FFFFFF"/>
            <w:tcMar>
              <w:top w:w="0" w:type="dxa"/>
              <w:left w:w="85" w:type="dxa"/>
              <w:bottom w:w="0" w:type="dxa"/>
              <w:right w:w="85" w:type="dxa"/>
            </w:tcMar>
          </w:tcPr>
          <w:p w14:paraId="2E488867" w14:textId="77777777" w:rsidR="00E87995" w:rsidRPr="009E06AA" w:rsidRDefault="00E87995" w:rsidP="00876E40">
            <w:pPr>
              <w:pStyle w:val="TableText"/>
              <w:spacing w:before="40" w:after="40"/>
              <w:jc w:val="right"/>
              <w:rPr>
                <w:szCs w:val="16"/>
              </w:rPr>
            </w:pPr>
            <w:r w:rsidRPr="009E06AA">
              <w:rPr>
                <w:color w:val="000000"/>
                <w:szCs w:val="16"/>
              </w:rPr>
              <w:t>2.5</w:t>
            </w:r>
          </w:p>
        </w:tc>
        <w:tc>
          <w:tcPr>
            <w:tcW w:w="809" w:type="dxa"/>
            <w:shd w:val="clear" w:color="auto" w:fill="FFFFFF"/>
            <w:tcMar>
              <w:top w:w="0" w:type="dxa"/>
              <w:left w:w="85" w:type="dxa"/>
              <w:bottom w:w="0" w:type="dxa"/>
              <w:right w:w="85" w:type="dxa"/>
            </w:tcMar>
          </w:tcPr>
          <w:p w14:paraId="2FA593F6" w14:textId="77777777" w:rsidR="00E87995" w:rsidRPr="009E06AA" w:rsidRDefault="00E87995" w:rsidP="00876E40">
            <w:pPr>
              <w:pStyle w:val="TableText"/>
              <w:spacing w:before="40" w:after="40"/>
              <w:jc w:val="right"/>
              <w:rPr>
                <w:szCs w:val="16"/>
              </w:rPr>
            </w:pPr>
            <w:r w:rsidRPr="009E06AA">
              <w:rPr>
                <w:color w:val="000000"/>
                <w:szCs w:val="16"/>
              </w:rPr>
              <w:t>1.9</w:t>
            </w:r>
          </w:p>
        </w:tc>
        <w:tc>
          <w:tcPr>
            <w:tcW w:w="687" w:type="dxa"/>
            <w:shd w:val="clear" w:color="auto" w:fill="FFFFFF"/>
            <w:tcMar>
              <w:top w:w="0" w:type="dxa"/>
              <w:left w:w="85" w:type="dxa"/>
              <w:bottom w:w="0" w:type="dxa"/>
              <w:right w:w="85" w:type="dxa"/>
            </w:tcMar>
          </w:tcPr>
          <w:p w14:paraId="7E2A1536" w14:textId="77777777" w:rsidR="00E87995" w:rsidRPr="009E06AA" w:rsidRDefault="00E87995" w:rsidP="00876E40">
            <w:pPr>
              <w:pStyle w:val="TableText"/>
              <w:spacing w:before="40" w:after="40"/>
              <w:jc w:val="right"/>
              <w:rPr>
                <w:szCs w:val="16"/>
              </w:rPr>
            </w:pPr>
            <w:r w:rsidRPr="009E06AA">
              <w:rPr>
                <w:color w:val="000000"/>
                <w:szCs w:val="16"/>
              </w:rPr>
              <w:t>57.3</w:t>
            </w:r>
          </w:p>
        </w:tc>
        <w:tc>
          <w:tcPr>
            <w:tcW w:w="1013" w:type="pct"/>
            <w:shd w:val="clear" w:color="auto" w:fill="FFFFFF"/>
            <w:tcMar>
              <w:top w:w="0" w:type="dxa"/>
              <w:left w:w="85" w:type="dxa"/>
              <w:bottom w:w="0" w:type="dxa"/>
              <w:right w:w="85" w:type="dxa"/>
            </w:tcMar>
          </w:tcPr>
          <w:p w14:paraId="2F7CB872" w14:textId="77777777" w:rsidR="00E87995" w:rsidRPr="009E06AA" w:rsidRDefault="00E87995" w:rsidP="00B55F24">
            <w:pPr>
              <w:pStyle w:val="TableText"/>
              <w:spacing w:before="40" w:after="40"/>
              <w:rPr>
                <w:szCs w:val="16"/>
              </w:rPr>
            </w:pPr>
            <w:r w:rsidRPr="009E06AA">
              <w:rPr>
                <w:color w:val="000000"/>
                <w:szCs w:val="16"/>
              </w:rPr>
              <w:t>Assumed same as 2018</w:t>
            </w:r>
          </w:p>
        </w:tc>
      </w:tr>
      <w:tr w:rsidR="00E87995" w:rsidRPr="009E06AA" w14:paraId="2529D986" w14:textId="77777777" w:rsidTr="00B55F24">
        <w:tc>
          <w:tcPr>
            <w:tcW w:w="481" w:type="pct"/>
            <w:shd w:val="clear" w:color="auto" w:fill="FFFFFF"/>
            <w:tcMar>
              <w:top w:w="0" w:type="dxa"/>
              <w:left w:w="85" w:type="dxa"/>
              <w:bottom w:w="0" w:type="dxa"/>
              <w:right w:w="85" w:type="dxa"/>
            </w:tcMar>
          </w:tcPr>
          <w:p w14:paraId="0A88620C" w14:textId="77777777" w:rsidR="00E87995" w:rsidRPr="009E06AA" w:rsidRDefault="00E87995" w:rsidP="00B55F24">
            <w:pPr>
              <w:pStyle w:val="TableTextBold"/>
              <w:spacing w:before="40" w:after="40"/>
              <w:rPr>
                <w:noProof w:val="0"/>
                <w:szCs w:val="16"/>
              </w:rPr>
            </w:pPr>
            <w:r w:rsidRPr="009E06AA">
              <w:rPr>
                <w:noProof w:val="0"/>
                <w:color w:val="1B556B"/>
                <w:szCs w:val="16"/>
              </w:rPr>
              <w:t>2020</w:t>
            </w:r>
          </w:p>
        </w:tc>
        <w:tc>
          <w:tcPr>
            <w:tcW w:w="322" w:type="pct"/>
            <w:shd w:val="clear" w:color="auto" w:fill="FFFFFF"/>
            <w:tcMar>
              <w:top w:w="0" w:type="dxa"/>
              <w:left w:w="85" w:type="dxa"/>
              <w:bottom w:w="0" w:type="dxa"/>
              <w:right w:w="85" w:type="dxa"/>
            </w:tcMar>
          </w:tcPr>
          <w:p w14:paraId="2D262A78" w14:textId="77777777" w:rsidR="00E87995" w:rsidRPr="009E06AA" w:rsidRDefault="00E87995" w:rsidP="00876E40">
            <w:pPr>
              <w:pStyle w:val="TableText"/>
              <w:spacing w:before="40" w:after="40"/>
              <w:jc w:val="right"/>
              <w:rPr>
                <w:szCs w:val="16"/>
              </w:rPr>
            </w:pPr>
            <w:r w:rsidRPr="009E06AA">
              <w:rPr>
                <w:color w:val="000000"/>
                <w:szCs w:val="16"/>
              </w:rPr>
              <w:t>9.0</w:t>
            </w:r>
          </w:p>
        </w:tc>
        <w:tc>
          <w:tcPr>
            <w:tcW w:w="856" w:type="dxa"/>
            <w:shd w:val="clear" w:color="auto" w:fill="FFFFFF"/>
            <w:tcMar>
              <w:top w:w="0" w:type="dxa"/>
              <w:left w:w="85" w:type="dxa"/>
              <w:bottom w:w="0" w:type="dxa"/>
              <w:right w:w="85" w:type="dxa"/>
            </w:tcMar>
          </w:tcPr>
          <w:p w14:paraId="2C381BB5" w14:textId="77777777" w:rsidR="00E87995" w:rsidRPr="009E06AA" w:rsidRDefault="00E87995" w:rsidP="00876E40">
            <w:pPr>
              <w:pStyle w:val="TableText"/>
              <w:spacing w:before="40" w:after="40"/>
              <w:jc w:val="right"/>
              <w:rPr>
                <w:szCs w:val="16"/>
              </w:rPr>
            </w:pPr>
            <w:r w:rsidRPr="009E06AA">
              <w:rPr>
                <w:color w:val="000000"/>
                <w:szCs w:val="16"/>
              </w:rPr>
              <w:t>5.7</w:t>
            </w:r>
          </w:p>
        </w:tc>
        <w:tc>
          <w:tcPr>
            <w:tcW w:w="753" w:type="dxa"/>
            <w:shd w:val="clear" w:color="auto" w:fill="FFFFFF"/>
            <w:tcMar>
              <w:top w:w="0" w:type="dxa"/>
              <w:left w:w="85" w:type="dxa"/>
              <w:bottom w:w="0" w:type="dxa"/>
              <w:right w:w="85" w:type="dxa"/>
            </w:tcMar>
          </w:tcPr>
          <w:p w14:paraId="7F8BA79F" w14:textId="77777777" w:rsidR="00E87995" w:rsidRPr="009E06AA" w:rsidRDefault="00E87995" w:rsidP="00876E40">
            <w:pPr>
              <w:pStyle w:val="TableText"/>
              <w:spacing w:before="40" w:after="40"/>
              <w:jc w:val="right"/>
              <w:rPr>
                <w:szCs w:val="16"/>
              </w:rPr>
            </w:pPr>
            <w:r w:rsidRPr="009E06AA">
              <w:rPr>
                <w:color w:val="000000"/>
                <w:szCs w:val="16"/>
              </w:rPr>
              <w:t>5.9</w:t>
            </w:r>
          </w:p>
        </w:tc>
        <w:tc>
          <w:tcPr>
            <w:tcW w:w="769" w:type="dxa"/>
            <w:shd w:val="clear" w:color="auto" w:fill="FFFFFF"/>
            <w:tcMar>
              <w:top w:w="0" w:type="dxa"/>
              <w:left w:w="85" w:type="dxa"/>
              <w:bottom w:w="0" w:type="dxa"/>
              <w:right w:w="85" w:type="dxa"/>
            </w:tcMar>
          </w:tcPr>
          <w:p w14:paraId="2BAA79CC" w14:textId="77777777" w:rsidR="00E87995" w:rsidRPr="009E06AA" w:rsidRDefault="00E87995" w:rsidP="00876E40">
            <w:pPr>
              <w:pStyle w:val="TableText"/>
              <w:spacing w:before="40" w:after="40"/>
              <w:jc w:val="right"/>
              <w:rPr>
                <w:szCs w:val="16"/>
              </w:rPr>
            </w:pPr>
            <w:r w:rsidRPr="009E06AA">
              <w:rPr>
                <w:color w:val="000000"/>
                <w:szCs w:val="16"/>
              </w:rPr>
              <w:t>12.6</w:t>
            </w:r>
          </w:p>
        </w:tc>
        <w:tc>
          <w:tcPr>
            <w:tcW w:w="814" w:type="dxa"/>
            <w:shd w:val="clear" w:color="auto" w:fill="FFFFFF"/>
            <w:tcMar>
              <w:top w:w="0" w:type="dxa"/>
              <w:left w:w="85" w:type="dxa"/>
              <w:bottom w:w="0" w:type="dxa"/>
              <w:right w:w="85" w:type="dxa"/>
            </w:tcMar>
          </w:tcPr>
          <w:p w14:paraId="460F447A" w14:textId="77777777" w:rsidR="00E87995" w:rsidRPr="009E06AA" w:rsidRDefault="00E87995" w:rsidP="00876E40">
            <w:pPr>
              <w:pStyle w:val="TableText"/>
              <w:spacing w:before="40" w:after="40"/>
              <w:jc w:val="right"/>
              <w:rPr>
                <w:szCs w:val="16"/>
              </w:rPr>
            </w:pPr>
            <w:r w:rsidRPr="009E06AA">
              <w:rPr>
                <w:color w:val="000000"/>
                <w:szCs w:val="16"/>
              </w:rPr>
              <w:t>5.0</w:t>
            </w:r>
          </w:p>
        </w:tc>
        <w:tc>
          <w:tcPr>
            <w:tcW w:w="906" w:type="dxa"/>
            <w:shd w:val="clear" w:color="auto" w:fill="FFFFFF"/>
            <w:tcMar>
              <w:top w:w="0" w:type="dxa"/>
              <w:left w:w="85" w:type="dxa"/>
              <w:bottom w:w="0" w:type="dxa"/>
              <w:right w:w="85" w:type="dxa"/>
            </w:tcMar>
          </w:tcPr>
          <w:p w14:paraId="52C2CD18" w14:textId="77777777" w:rsidR="00E87995" w:rsidRPr="009E06AA" w:rsidRDefault="00E87995" w:rsidP="00876E40">
            <w:pPr>
              <w:pStyle w:val="TableText"/>
              <w:spacing w:before="40" w:after="40"/>
              <w:jc w:val="right"/>
              <w:rPr>
                <w:szCs w:val="16"/>
              </w:rPr>
            </w:pPr>
            <w:r w:rsidRPr="009E06AA">
              <w:rPr>
                <w:color w:val="000000"/>
                <w:szCs w:val="16"/>
              </w:rPr>
              <w:t>2.5</w:t>
            </w:r>
          </w:p>
        </w:tc>
        <w:tc>
          <w:tcPr>
            <w:tcW w:w="809" w:type="dxa"/>
            <w:shd w:val="clear" w:color="auto" w:fill="FFFFFF"/>
            <w:tcMar>
              <w:top w:w="0" w:type="dxa"/>
              <w:left w:w="85" w:type="dxa"/>
              <w:bottom w:w="0" w:type="dxa"/>
              <w:right w:w="85" w:type="dxa"/>
            </w:tcMar>
          </w:tcPr>
          <w:p w14:paraId="1642E438" w14:textId="77777777" w:rsidR="00E87995" w:rsidRPr="009E06AA" w:rsidRDefault="00E87995" w:rsidP="00876E40">
            <w:pPr>
              <w:pStyle w:val="TableText"/>
              <w:spacing w:before="40" w:after="40"/>
              <w:jc w:val="right"/>
              <w:rPr>
                <w:szCs w:val="16"/>
              </w:rPr>
            </w:pPr>
            <w:r w:rsidRPr="009E06AA">
              <w:rPr>
                <w:color w:val="000000"/>
                <w:szCs w:val="16"/>
              </w:rPr>
              <w:t>1.9</w:t>
            </w:r>
          </w:p>
        </w:tc>
        <w:tc>
          <w:tcPr>
            <w:tcW w:w="687" w:type="dxa"/>
            <w:shd w:val="clear" w:color="auto" w:fill="FFFFFF"/>
            <w:tcMar>
              <w:top w:w="0" w:type="dxa"/>
              <w:left w:w="85" w:type="dxa"/>
              <w:bottom w:w="0" w:type="dxa"/>
              <w:right w:w="85" w:type="dxa"/>
            </w:tcMar>
          </w:tcPr>
          <w:p w14:paraId="1F39EB4C" w14:textId="77777777" w:rsidR="00E87995" w:rsidRPr="009E06AA" w:rsidRDefault="00E87995" w:rsidP="00876E40">
            <w:pPr>
              <w:pStyle w:val="TableText"/>
              <w:spacing w:before="40" w:after="40"/>
              <w:jc w:val="right"/>
              <w:rPr>
                <w:szCs w:val="16"/>
              </w:rPr>
            </w:pPr>
            <w:r w:rsidRPr="009E06AA">
              <w:rPr>
                <w:color w:val="000000"/>
                <w:szCs w:val="16"/>
              </w:rPr>
              <w:t>57.3</w:t>
            </w:r>
          </w:p>
        </w:tc>
        <w:tc>
          <w:tcPr>
            <w:tcW w:w="1013" w:type="pct"/>
            <w:shd w:val="clear" w:color="auto" w:fill="FFFFFF"/>
            <w:tcMar>
              <w:top w:w="0" w:type="dxa"/>
              <w:left w:w="85" w:type="dxa"/>
              <w:bottom w:w="0" w:type="dxa"/>
              <w:right w:w="85" w:type="dxa"/>
            </w:tcMar>
          </w:tcPr>
          <w:p w14:paraId="0C0489DF" w14:textId="77777777" w:rsidR="00E87995" w:rsidRPr="009E06AA" w:rsidRDefault="00E87995" w:rsidP="00B55F24">
            <w:pPr>
              <w:pStyle w:val="TableText"/>
              <w:spacing w:before="40" w:after="40"/>
              <w:rPr>
                <w:szCs w:val="16"/>
              </w:rPr>
            </w:pPr>
            <w:r w:rsidRPr="009E06AA">
              <w:rPr>
                <w:color w:val="000000"/>
                <w:szCs w:val="16"/>
              </w:rPr>
              <w:t>Assumed same as 2018</w:t>
            </w:r>
          </w:p>
        </w:tc>
      </w:tr>
      <w:tr w:rsidR="00E87995" w:rsidRPr="009E06AA" w14:paraId="0E2A2C88" w14:textId="77777777" w:rsidTr="00B55F24">
        <w:tc>
          <w:tcPr>
            <w:tcW w:w="481" w:type="pct"/>
            <w:shd w:val="clear" w:color="auto" w:fill="FFFFFF"/>
            <w:tcMar>
              <w:top w:w="0" w:type="dxa"/>
              <w:left w:w="85" w:type="dxa"/>
              <w:bottom w:w="0" w:type="dxa"/>
              <w:right w:w="85" w:type="dxa"/>
            </w:tcMar>
          </w:tcPr>
          <w:p w14:paraId="518AB548" w14:textId="77777777" w:rsidR="00E87995" w:rsidRPr="009E06AA" w:rsidRDefault="00E87995" w:rsidP="00B55F24">
            <w:pPr>
              <w:pStyle w:val="TableTextBold"/>
              <w:spacing w:before="40" w:after="40"/>
              <w:rPr>
                <w:noProof w:val="0"/>
                <w:szCs w:val="16"/>
              </w:rPr>
            </w:pPr>
            <w:r w:rsidRPr="009E06AA">
              <w:rPr>
                <w:noProof w:val="0"/>
                <w:color w:val="1B556B"/>
                <w:szCs w:val="16"/>
              </w:rPr>
              <w:t>2021</w:t>
            </w:r>
          </w:p>
        </w:tc>
        <w:tc>
          <w:tcPr>
            <w:tcW w:w="322" w:type="pct"/>
            <w:shd w:val="clear" w:color="auto" w:fill="FFFFFF"/>
            <w:tcMar>
              <w:top w:w="0" w:type="dxa"/>
              <w:left w:w="85" w:type="dxa"/>
              <w:bottom w:w="0" w:type="dxa"/>
              <w:right w:w="85" w:type="dxa"/>
            </w:tcMar>
          </w:tcPr>
          <w:p w14:paraId="51596F8F" w14:textId="77777777" w:rsidR="00E87995" w:rsidRPr="009E06AA" w:rsidRDefault="00E87995" w:rsidP="00876E40">
            <w:pPr>
              <w:pStyle w:val="TableText"/>
              <w:spacing w:before="40" w:after="40"/>
              <w:jc w:val="right"/>
              <w:rPr>
                <w:szCs w:val="16"/>
              </w:rPr>
            </w:pPr>
            <w:r w:rsidRPr="009E06AA">
              <w:rPr>
                <w:color w:val="000000"/>
                <w:szCs w:val="16"/>
              </w:rPr>
              <w:t>9.0</w:t>
            </w:r>
          </w:p>
        </w:tc>
        <w:tc>
          <w:tcPr>
            <w:tcW w:w="856" w:type="dxa"/>
            <w:shd w:val="clear" w:color="auto" w:fill="FFFFFF"/>
            <w:tcMar>
              <w:top w:w="0" w:type="dxa"/>
              <w:left w:w="85" w:type="dxa"/>
              <w:bottom w:w="0" w:type="dxa"/>
              <w:right w:w="85" w:type="dxa"/>
            </w:tcMar>
          </w:tcPr>
          <w:p w14:paraId="6F19AA12" w14:textId="77777777" w:rsidR="00E87995" w:rsidRPr="009E06AA" w:rsidRDefault="00E87995" w:rsidP="00876E40">
            <w:pPr>
              <w:pStyle w:val="TableText"/>
              <w:spacing w:before="40" w:after="40"/>
              <w:jc w:val="right"/>
              <w:rPr>
                <w:szCs w:val="16"/>
              </w:rPr>
            </w:pPr>
            <w:r w:rsidRPr="009E06AA">
              <w:rPr>
                <w:color w:val="000000"/>
                <w:szCs w:val="16"/>
              </w:rPr>
              <w:t>5.7</w:t>
            </w:r>
          </w:p>
        </w:tc>
        <w:tc>
          <w:tcPr>
            <w:tcW w:w="753" w:type="dxa"/>
            <w:shd w:val="clear" w:color="auto" w:fill="FFFFFF"/>
            <w:tcMar>
              <w:top w:w="0" w:type="dxa"/>
              <w:left w:w="85" w:type="dxa"/>
              <w:bottom w:w="0" w:type="dxa"/>
              <w:right w:w="85" w:type="dxa"/>
            </w:tcMar>
          </w:tcPr>
          <w:p w14:paraId="469E6EAC" w14:textId="77777777" w:rsidR="00E87995" w:rsidRPr="009E06AA" w:rsidRDefault="00E87995" w:rsidP="00876E40">
            <w:pPr>
              <w:pStyle w:val="TableText"/>
              <w:spacing w:before="40" w:after="40"/>
              <w:jc w:val="right"/>
              <w:rPr>
                <w:szCs w:val="16"/>
              </w:rPr>
            </w:pPr>
            <w:r w:rsidRPr="009E06AA">
              <w:rPr>
                <w:color w:val="000000"/>
                <w:szCs w:val="16"/>
              </w:rPr>
              <w:t>5.9</w:t>
            </w:r>
          </w:p>
        </w:tc>
        <w:tc>
          <w:tcPr>
            <w:tcW w:w="769" w:type="dxa"/>
            <w:shd w:val="clear" w:color="auto" w:fill="FFFFFF"/>
            <w:tcMar>
              <w:top w:w="0" w:type="dxa"/>
              <w:left w:w="85" w:type="dxa"/>
              <w:bottom w:w="0" w:type="dxa"/>
              <w:right w:w="85" w:type="dxa"/>
            </w:tcMar>
          </w:tcPr>
          <w:p w14:paraId="47089952" w14:textId="77777777" w:rsidR="00E87995" w:rsidRPr="009E06AA" w:rsidRDefault="00E87995" w:rsidP="00876E40">
            <w:pPr>
              <w:pStyle w:val="TableText"/>
              <w:spacing w:before="40" w:after="40"/>
              <w:jc w:val="right"/>
              <w:rPr>
                <w:szCs w:val="16"/>
              </w:rPr>
            </w:pPr>
            <w:r w:rsidRPr="009E06AA">
              <w:rPr>
                <w:color w:val="000000"/>
                <w:szCs w:val="16"/>
              </w:rPr>
              <w:t>12.6</w:t>
            </w:r>
          </w:p>
        </w:tc>
        <w:tc>
          <w:tcPr>
            <w:tcW w:w="814" w:type="dxa"/>
            <w:shd w:val="clear" w:color="auto" w:fill="FFFFFF"/>
            <w:tcMar>
              <w:top w:w="0" w:type="dxa"/>
              <w:left w:w="85" w:type="dxa"/>
              <w:bottom w:w="0" w:type="dxa"/>
              <w:right w:w="85" w:type="dxa"/>
            </w:tcMar>
          </w:tcPr>
          <w:p w14:paraId="2FEEBAA7" w14:textId="77777777" w:rsidR="00E87995" w:rsidRPr="009E06AA" w:rsidRDefault="00E87995" w:rsidP="00876E40">
            <w:pPr>
              <w:pStyle w:val="TableText"/>
              <w:spacing w:before="40" w:after="40"/>
              <w:jc w:val="right"/>
              <w:rPr>
                <w:szCs w:val="16"/>
              </w:rPr>
            </w:pPr>
            <w:r w:rsidRPr="009E06AA">
              <w:rPr>
                <w:color w:val="000000"/>
                <w:szCs w:val="16"/>
              </w:rPr>
              <w:t>5.0</w:t>
            </w:r>
          </w:p>
        </w:tc>
        <w:tc>
          <w:tcPr>
            <w:tcW w:w="906" w:type="dxa"/>
            <w:shd w:val="clear" w:color="auto" w:fill="FFFFFF"/>
            <w:tcMar>
              <w:top w:w="0" w:type="dxa"/>
              <w:left w:w="85" w:type="dxa"/>
              <w:bottom w:w="0" w:type="dxa"/>
              <w:right w:w="85" w:type="dxa"/>
            </w:tcMar>
          </w:tcPr>
          <w:p w14:paraId="747B66AA" w14:textId="77777777" w:rsidR="00E87995" w:rsidRPr="009E06AA" w:rsidRDefault="00E87995" w:rsidP="00876E40">
            <w:pPr>
              <w:pStyle w:val="TableText"/>
              <w:spacing w:before="40" w:after="40"/>
              <w:jc w:val="right"/>
              <w:rPr>
                <w:szCs w:val="16"/>
              </w:rPr>
            </w:pPr>
            <w:r w:rsidRPr="009E06AA">
              <w:rPr>
                <w:color w:val="000000"/>
                <w:szCs w:val="16"/>
              </w:rPr>
              <w:t>2.5</w:t>
            </w:r>
          </w:p>
        </w:tc>
        <w:tc>
          <w:tcPr>
            <w:tcW w:w="809" w:type="dxa"/>
            <w:shd w:val="clear" w:color="auto" w:fill="FFFFFF"/>
            <w:tcMar>
              <w:top w:w="0" w:type="dxa"/>
              <w:left w:w="85" w:type="dxa"/>
              <w:bottom w:w="0" w:type="dxa"/>
              <w:right w:w="85" w:type="dxa"/>
            </w:tcMar>
          </w:tcPr>
          <w:p w14:paraId="3D1E8B55" w14:textId="77777777" w:rsidR="00E87995" w:rsidRPr="009E06AA" w:rsidRDefault="00E87995" w:rsidP="00876E40">
            <w:pPr>
              <w:pStyle w:val="TableText"/>
              <w:spacing w:before="40" w:after="40"/>
              <w:jc w:val="right"/>
              <w:rPr>
                <w:szCs w:val="16"/>
              </w:rPr>
            </w:pPr>
            <w:r w:rsidRPr="009E06AA">
              <w:rPr>
                <w:color w:val="000000"/>
                <w:szCs w:val="16"/>
              </w:rPr>
              <w:t>1.9</w:t>
            </w:r>
          </w:p>
        </w:tc>
        <w:tc>
          <w:tcPr>
            <w:tcW w:w="687" w:type="dxa"/>
            <w:shd w:val="clear" w:color="auto" w:fill="FFFFFF"/>
            <w:tcMar>
              <w:top w:w="0" w:type="dxa"/>
              <w:left w:w="85" w:type="dxa"/>
              <w:bottom w:w="0" w:type="dxa"/>
              <w:right w:w="85" w:type="dxa"/>
            </w:tcMar>
          </w:tcPr>
          <w:p w14:paraId="57D41438" w14:textId="77777777" w:rsidR="00E87995" w:rsidRPr="009E06AA" w:rsidRDefault="00E87995" w:rsidP="00876E40">
            <w:pPr>
              <w:pStyle w:val="TableText"/>
              <w:spacing w:before="40" w:after="40"/>
              <w:jc w:val="right"/>
              <w:rPr>
                <w:szCs w:val="16"/>
              </w:rPr>
            </w:pPr>
            <w:r w:rsidRPr="009E06AA">
              <w:rPr>
                <w:color w:val="000000"/>
                <w:szCs w:val="16"/>
              </w:rPr>
              <w:t>57.3</w:t>
            </w:r>
          </w:p>
        </w:tc>
        <w:tc>
          <w:tcPr>
            <w:tcW w:w="1013" w:type="pct"/>
            <w:shd w:val="clear" w:color="auto" w:fill="FFFFFF"/>
            <w:tcMar>
              <w:top w:w="0" w:type="dxa"/>
              <w:left w:w="85" w:type="dxa"/>
              <w:bottom w:w="0" w:type="dxa"/>
              <w:right w:w="85" w:type="dxa"/>
            </w:tcMar>
          </w:tcPr>
          <w:p w14:paraId="7E188819" w14:textId="77777777" w:rsidR="00E87995" w:rsidRPr="009E06AA" w:rsidRDefault="00E87995" w:rsidP="00B55F24">
            <w:pPr>
              <w:pStyle w:val="TableText"/>
              <w:spacing w:before="40" w:after="40"/>
              <w:rPr>
                <w:szCs w:val="16"/>
              </w:rPr>
            </w:pPr>
            <w:r w:rsidRPr="009E06AA">
              <w:rPr>
                <w:color w:val="000000"/>
                <w:szCs w:val="16"/>
              </w:rPr>
              <w:t>Assumed same as 2018</w:t>
            </w:r>
          </w:p>
        </w:tc>
      </w:tr>
      <w:tr w:rsidR="00E87995" w:rsidRPr="009E06AA" w14:paraId="74E3FEC1" w14:textId="77777777" w:rsidTr="00B55F24">
        <w:tc>
          <w:tcPr>
            <w:tcW w:w="481" w:type="pct"/>
            <w:shd w:val="clear" w:color="auto" w:fill="FFFFFF"/>
            <w:tcMar>
              <w:top w:w="0" w:type="dxa"/>
              <w:left w:w="85" w:type="dxa"/>
              <w:bottom w:w="0" w:type="dxa"/>
              <w:right w:w="85" w:type="dxa"/>
            </w:tcMar>
          </w:tcPr>
          <w:p w14:paraId="02FB2438" w14:textId="77777777" w:rsidR="00E87995" w:rsidRPr="009E06AA" w:rsidRDefault="00E87995" w:rsidP="00B55F24">
            <w:pPr>
              <w:pStyle w:val="TableTextBold"/>
              <w:spacing w:before="40" w:after="40"/>
              <w:rPr>
                <w:noProof w:val="0"/>
                <w:szCs w:val="16"/>
              </w:rPr>
            </w:pPr>
            <w:r w:rsidRPr="009E06AA">
              <w:rPr>
                <w:rFonts w:eastAsia="Calibri" w:cs="Calibri"/>
                <w:noProof w:val="0"/>
                <w:color w:val="1B556B"/>
                <w:szCs w:val="16"/>
              </w:rPr>
              <w:t>2022</w:t>
            </w:r>
          </w:p>
        </w:tc>
        <w:tc>
          <w:tcPr>
            <w:tcW w:w="322" w:type="pct"/>
            <w:shd w:val="clear" w:color="auto" w:fill="FFFFFF"/>
            <w:tcMar>
              <w:top w:w="0" w:type="dxa"/>
              <w:left w:w="85" w:type="dxa"/>
              <w:bottom w:w="0" w:type="dxa"/>
              <w:right w:w="85" w:type="dxa"/>
            </w:tcMar>
          </w:tcPr>
          <w:p w14:paraId="77A91E67" w14:textId="77777777" w:rsidR="00E87995" w:rsidRPr="009E06AA" w:rsidRDefault="00E87995" w:rsidP="00876E40">
            <w:pPr>
              <w:pStyle w:val="TableText"/>
              <w:spacing w:before="40" w:after="40"/>
              <w:jc w:val="right"/>
              <w:rPr>
                <w:szCs w:val="16"/>
              </w:rPr>
            </w:pPr>
            <w:r w:rsidRPr="009E06AA">
              <w:rPr>
                <w:rFonts w:eastAsia="Calibri" w:cs="Calibri"/>
                <w:color w:val="000000"/>
                <w:szCs w:val="16"/>
              </w:rPr>
              <w:t>9.0</w:t>
            </w:r>
          </w:p>
        </w:tc>
        <w:tc>
          <w:tcPr>
            <w:tcW w:w="856" w:type="dxa"/>
            <w:shd w:val="clear" w:color="auto" w:fill="FFFFFF"/>
            <w:tcMar>
              <w:top w:w="0" w:type="dxa"/>
              <w:left w:w="85" w:type="dxa"/>
              <w:bottom w:w="0" w:type="dxa"/>
              <w:right w:w="85" w:type="dxa"/>
            </w:tcMar>
          </w:tcPr>
          <w:p w14:paraId="2E00601D" w14:textId="77777777" w:rsidR="00E87995" w:rsidRPr="009E06AA" w:rsidRDefault="00E87995" w:rsidP="00876E40">
            <w:pPr>
              <w:pStyle w:val="TableText"/>
              <w:spacing w:before="40" w:after="40"/>
              <w:jc w:val="right"/>
              <w:rPr>
                <w:szCs w:val="16"/>
              </w:rPr>
            </w:pPr>
            <w:r w:rsidRPr="009E06AA">
              <w:rPr>
                <w:rFonts w:eastAsia="Calibri" w:cs="Calibri"/>
                <w:color w:val="000000"/>
                <w:szCs w:val="16"/>
              </w:rPr>
              <w:t>5.7</w:t>
            </w:r>
          </w:p>
        </w:tc>
        <w:tc>
          <w:tcPr>
            <w:tcW w:w="753" w:type="dxa"/>
            <w:shd w:val="clear" w:color="auto" w:fill="FFFFFF"/>
            <w:tcMar>
              <w:top w:w="0" w:type="dxa"/>
              <w:left w:w="85" w:type="dxa"/>
              <w:bottom w:w="0" w:type="dxa"/>
              <w:right w:w="85" w:type="dxa"/>
            </w:tcMar>
          </w:tcPr>
          <w:p w14:paraId="5F740B54" w14:textId="77777777" w:rsidR="00E87995" w:rsidRPr="009E06AA" w:rsidRDefault="00E87995" w:rsidP="00876E40">
            <w:pPr>
              <w:pStyle w:val="TableText"/>
              <w:spacing w:before="40" w:after="40"/>
              <w:jc w:val="right"/>
              <w:rPr>
                <w:szCs w:val="16"/>
              </w:rPr>
            </w:pPr>
            <w:r w:rsidRPr="009E06AA">
              <w:rPr>
                <w:rFonts w:eastAsia="Calibri" w:cs="Calibri"/>
                <w:color w:val="000000"/>
                <w:szCs w:val="16"/>
              </w:rPr>
              <w:t>5.9</w:t>
            </w:r>
          </w:p>
        </w:tc>
        <w:tc>
          <w:tcPr>
            <w:tcW w:w="769" w:type="dxa"/>
            <w:shd w:val="clear" w:color="auto" w:fill="FFFFFF"/>
            <w:tcMar>
              <w:top w:w="0" w:type="dxa"/>
              <w:left w:w="85" w:type="dxa"/>
              <w:bottom w:w="0" w:type="dxa"/>
              <w:right w:w="85" w:type="dxa"/>
            </w:tcMar>
          </w:tcPr>
          <w:p w14:paraId="01E38AB5" w14:textId="77777777" w:rsidR="00E87995" w:rsidRPr="009E06AA" w:rsidRDefault="00E87995" w:rsidP="00876E40">
            <w:pPr>
              <w:pStyle w:val="TableText"/>
              <w:spacing w:before="40" w:after="40"/>
              <w:jc w:val="right"/>
              <w:rPr>
                <w:szCs w:val="16"/>
              </w:rPr>
            </w:pPr>
            <w:r w:rsidRPr="009E06AA">
              <w:rPr>
                <w:rFonts w:eastAsia="Calibri" w:cs="Calibri"/>
                <w:color w:val="000000"/>
                <w:szCs w:val="16"/>
              </w:rPr>
              <w:t>12.6</w:t>
            </w:r>
          </w:p>
        </w:tc>
        <w:tc>
          <w:tcPr>
            <w:tcW w:w="814" w:type="dxa"/>
            <w:shd w:val="clear" w:color="auto" w:fill="FFFFFF"/>
            <w:tcMar>
              <w:top w:w="0" w:type="dxa"/>
              <w:left w:w="85" w:type="dxa"/>
              <w:bottom w:w="0" w:type="dxa"/>
              <w:right w:w="85" w:type="dxa"/>
            </w:tcMar>
          </w:tcPr>
          <w:p w14:paraId="114CF888" w14:textId="77777777" w:rsidR="00E87995" w:rsidRPr="009E06AA" w:rsidRDefault="00E87995" w:rsidP="00876E40">
            <w:pPr>
              <w:pStyle w:val="TableText"/>
              <w:spacing w:before="40" w:after="40"/>
              <w:jc w:val="right"/>
              <w:rPr>
                <w:szCs w:val="16"/>
              </w:rPr>
            </w:pPr>
            <w:r w:rsidRPr="009E06AA">
              <w:rPr>
                <w:rFonts w:eastAsia="Calibri" w:cs="Calibri"/>
                <w:color w:val="000000"/>
                <w:szCs w:val="16"/>
              </w:rPr>
              <w:t>5.0</w:t>
            </w:r>
          </w:p>
        </w:tc>
        <w:tc>
          <w:tcPr>
            <w:tcW w:w="906" w:type="dxa"/>
            <w:shd w:val="clear" w:color="auto" w:fill="FFFFFF"/>
            <w:tcMar>
              <w:top w:w="0" w:type="dxa"/>
              <w:left w:w="85" w:type="dxa"/>
              <w:bottom w:w="0" w:type="dxa"/>
              <w:right w:w="85" w:type="dxa"/>
            </w:tcMar>
          </w:tcPr>
          <w:p w14:paraId="50E7246B" w14:textId="77777777" w:rsidR="00E87995" w:rsidRPr="009E06AA" w:rsidRDefault="00E87995" w:rsidP="00876E40">
            <w:pPr>
              <w:pStyle w:val="TableText"/>
              <w:spacing w:before="40" w:after="40"/>
              <w:jc w:val="right"/>
              <w:rPr>
                <w:szCs w:val="16"/>
              </w:rPr>
            </w:pPr>
            <w:r w:rsidRPr="009E06AA">
              <w:rPr>
                <w:rFonts w:eastAsia="Calibri" w:cs="Calibri"/>
                <w:color w:val="000000"/>
                <w:szCs w:val="16"/>
              </w:rPr>
              <w:t>2.5</w:t>
            </w:r>
          </w:p>
        </w:tc>
        <w:tc>
          <w:tcPr>
            <w:tcW w:w="809" w:type="dxa"/>
            <w:shd w:val="clear" w:color="auto" w:fill="FFFFFF"/>
            <w:tcMar>
              <w:top w:w="0" w:type="dxa"/>
              <w:left w:w="85" w:type="dxa"/>
              <w:bottom w:w="0" w:type="dxa"/>
              <w:right w:w="85" w:type="dxa"/>
            </w:tcMar>
          </w:tcPr>
          <w:p w14:paraId="4E6CF164" w14:textId="77777777" w:rsidR="00E87995" w:rsidRPr="009E06AA" w:rsidRDefault="00E87995" w:rsidP="00876E40">
            <w:pPr>
              <w:pStyle w:val="TableText"/>
              <w:spacing w:before="40" w:after="40"/>
              <w:jc w:val="right"/>
              <w:rPr>
                <w:szCs w:val="16"/>
              </w:rPr>
            </w:pPr>
            <w:r w:rsidRPr="009E06AA">
              <w:rPr>
                <w:rFonts w:eastAsia="Calibri" w:cs="Calibri"/>
                <w:color w:val="000000"/>
                <w:szCs w:val="16"/>
              </w:rPr>
              <w:t>1.9</w:t>
            </w:r>
          </w:p>
        </w:tc>
        <w:tc>
          <w:tcPr>
            <w:tcW w:w="687" w:type="dxa"/>
            <w:shd w:val="clear" w:color="auto" w:fill="FFFFFF"/>
            <w:tcMar>
              <w:top w:w="0" w:type="dxa"/>
              <w:left w:w="85" w:type="dxa"/>
              <w:bottom w:w="0" w:type="dxa"/>
              <w:right w:w="85" w:type="dxa"/>
            </w:tcMar>
          </w:tcPr>
          <w:p w14:paraId="44755EF9" w14:textId="77777777" w:rsidR="00E87995" w:rsidRPr="009E06AA" w:rsidRDefault="00E87995" w:rsidP="00876E40">
            <w:pPr>
              <w:pStyle w:val="TableText"/>
              <w:spacing w:before="40" w:after="40"/>
              <w:jc w:val="right"/>
              <w:rPr>
                <w:szCs w:val="16"/>
              </w:rPr>
            </w:pPr>
            <w:r w:rsidRPr="009E06AA">
              <w:rPr>
                <w:rFonts w:eastAsia="Calibri" w:cs="Calibri"/>
                <w:color w:val="000000"/>
                <w:szCs w:val="16"/>
              </w:rPr>
              <w:t>57.3</w:t>
            </w:r>
          </w:p>
        </w:tc>
        <w:tc>
          <w:tcPr>
            <w:tcW w:w="1013" w:type="pct"/>
            <w:shd w:val="clear" w:color="auto" w:fill="FFFFFF"/>
            <w:tcMar>
              <w:top w:w="0" w:type="dxa"/>
              <w:left w:w="85" w:type="dxa"/>
              <w:bottom w:w="0" w:type="dxa"/>
              <w:right w:w="85" w:type="dxa"/>
            </w:tcMar>
          </w:tcPr>
          <w:p w14:paraId="65C94188" w14:textId="77777777" w:rsidR="00E87995" w:rsidRPr="009E06AA" w:rsidRDefault="00E87995" w:rsidP="00B55F24">
            <w:pPr>
              <w:pStyle w:val="TableText"/>
              <w:spacing w:before="40" w:after="40"/>
              <w:rPr>
                <w:szCs w:val="16"/>
              </w:rPr>
            </w:pPr>
            <w:r w:rsidRPr="009E06AA">
              <w:rPr>
                <w:rFonts w:eastAsia="Calibri" w:cs="Calibri"/>
                <w:color w:val="000000"/>
                <w:szCs w:val="16"/>
              </w:rPr>
              <w:t>Assumed same as 2018</w:t>
            </w:r>
          </w:p>
        </w:tc>
      </w:tr>
    </w:tbl>
    <w:p w14:paraId="69B13815" w14:textId="77777777" w:rsidR="00E87995" w:rsidRPr="009E06AA" w:rsidRDefault="00E87995" w:rsidP="00E87995">
      <w:pPr>
        <w:pStyle w:val="BodyText"/>
        <w:spacing w:before="240"/>
      </w:pPr>
      <w:r w:rsidRPr="009E06AA">
        <w:t>The changes in composition over time lead to varying amounts of decomposable degradable organic carbon (DDOC) being entered into the landfill over time. Refer to table 7.2.6 for the values used for DDOC and other variables.</w:t>
      </w:r>
    </w:p>
    <w:p w14:paraId="4EC17524" w14:textId="77777777" w:rsidR="00E87995" w:rsidRPr="009E06AA" w:rsidRDefault="00E87995" w:rsidP="00E87995">
      <w:pPr>
        <w:pStyle w:val="Heading6"/>
      </w:pPr>
      <w:bookmarkStart w:id="2842" w:name="Xde5f86123d5b1c6488ba174a8cdadcc583b2b20"/>
      <w:bookmarkEnd w:id="2836"/>
      <w:r w:rsidRPr="009E06AA">
        <w:t>Methane correction factor, oxidation factor and fraction of methane in landfill gas (F)</w:t>
      </w:r>
    </w:p>
    <w:p w14:paraId="6EB7B50D" w14:textId="77777777" w:rsidR="00E87995" w:rsidRPr="009E06AA" w:rsidRDefault="00E87995" w:rsidP="00E87995">
      <w:pPr>
        <w:pStyle w:val="BodyText"/>
      </w:pPr>
      <w:r w:rsidRPr="009E06AA">
        <w:t>The CH</w:t>
      </w:r>
      <w:r w:rsidRPr="009E06AA">
        <w:rPr>
          <w:vertAlign w:val="subscript"/>
        </w:rPr>
        <w:t>4</w:t>
      </w:r>
      <w:r w:rsidRPr="009E06AA">
        <w:t xml:space="preserve"> correction factor used is 1.0 for all managed landfill sites, both landfills with LFG recovery and those without. An oxidation factor of 10 per cent is used for waste disposed to these sites.</w:t>
      </w:r>
    </w:p>
    <w:p w14:paraId="18A99ECC" w14:textId="77777777" w:rsidR="00E87995" w:rsidRPr="009E06AA" w:rsidRDefault="00E87995" w:rsidP="00E87995">
      <w:pPr>
        <w:pStyle w:val="BodyText"/>
      </w:pPr>
      <w:r w:rsidRPr="009E06AA">
        <w:t>For all sites other than managed landfills, there was an unknown mix of shallow and deep disposal areas. A survey carried out in 1971 revealed that larger sites in operation were assessed at that time to be roughly half deep (more than 5 metres) and half shallow. The use of cover material was variable. Therefore, for uncategorised sites, a CH</w:t>
      </w:r>
      <w:r w:rsidRPr="009E06AA">
        <w:rPr>
          <w:vertAlign w:val="subscript"/>
        </w:rPr>
        <w:t>4</w:t>
      </w:r>
      <w:r w:rsidRPr="009E06AA">
        <w:t xml:space="preserve"> correction factor of 0.6 and an oxidation factor of zero have been used.</w:t>
      </w:r>
    </w:p>
    <w:p w14:paraId="3E3DC151" w14:textId="77777777" w:rsidR="00E87995" w:rsidRPr="009E06AA" w:rsidRDefault="00E87995" w:rsidP="00E87995">
      <w:pPr>
        <w:pStyle w:val="BodyText"/>
      </w:pPr>
      <w:r w:rsidRPr="009E06AA">
        <w:t>The fraction of methane in landfill gas (F) is 57 per cent for municipal landfills (Eunomia, unpublished(a)). This figure is based on research in the United Kingdom and the general similarities in landfill management practices between the United Kingdom and New Zealand. Uncategorised sites use the IPCC (2006a) default of 50 per cent.</w:t>
      </w:r>
    </w:p>
    <w:p w14:paraId="622E05A8" w14:textId="77777777" w:rsidR="00E87995" w:rsidRPr="009E06AA" w:rsidRDefault="00E87995" w:rsidP="00E87995">
      <w:pPr>
        <w:pStyle w:val="Heading6"/>
      </w:pPr>
      <w:bookmarkStart w:id="2843" w:name="methane-generation-rates"/>
      <w:bookmarkEnd w:id="2842"/>
      <w:r w:rsidRPr="009E06AA">
        <w:t>Methane generation rates</w:t>
      </w:r>
    </w:p>
    <w:p w14:paraId="1A9BF7F1" w14:textId="77777777" w:rsidR="00E87995" w:rsidRPr="009E06AA" w:rsidRDefault="00E87995" w:rsidP="00E87995">
      <w:pPr>
        <w:pStyle w:val="BodyText"/>
      </w:pPr>
      <w:r w:rsidRPr="009E06AA">
        <w:t>The study by Eunomia (unpublished(a)) provides the parameters used to determine the quantity and rate of CH</w:t>
      </w:r>
      <w:r w:rsidRPr="009E06AA">
        <w:rPr>
          <w:vertAlign w:val="subscript"/>
        </w:rPr>
        <w:t>4</w:t>
      </w:r>
      <w:r w:rsidRPr="009E06AA">
        <w:t xml:space="preserve"> generation. Table 7.2.6 details the parameters used.</w:t>
      </w:r>
    </w:p>
    <w:p w14:paraId="6C83A054" w14:textId="77777777" w:rsidR="00E87995" w:rsidRPr="009E06AA" w:rsidRDefault="00E87995" w:rsidP="00E87995">
      <w:pPr>
        <w:pStyle w:val="Table"/>
      </w:pPr>
      <w:bookmarkStart w:id="2844" w:name="_Toc128383667"/>
      <w:bookmarkStart w:id="2845" w:name="_Toc131591440"/>
      <w:bookmarkStart w:id="2846" w:name="_Toc160537319"/>
      <w:bookmarkStart w:id="2847" w:name="_Toc160537681"/>
      <w:bookmarkStart w:id="2848" w:name="_Toc164153931"/>
      <w:r w:rsidRPr="009E06AA">
        <w:t>Table 7.2.6</w:t>
      </w:r>
      <w:r w:rsidRPr="009E06AA">
        <w:tab/>
        <w:t>Parameters by waste type that determine the quantity and rate of methane generation</w:t>
      </w:r>
      <w:bookmarkEnd w:id="2844"/>
      <w:bookmarkEnd w:id="2845"/>
      <w:bookmarkEnd w:id="2846"/>
      <w:bookmarkEnd w:id="2847"/>
      <w:bookmarkEnd w:id="2848"/>
    </w:p>
    <w:tbl>
      <w:tblPr>
        <w:tblW w:w="8505" w:type="dxa"/>
        <w:tblBorders>
          <w:top w:val="single" w:sz="4" w:space="0" w:color="1B556B" w:themeColor="text2"/>
          <w:bottom w:val="single" w:sz="4" w:space="0" w:color="1B556B" w:themeColor="text2"/>
          <w:insideH w:val="single" w:sz="4" w:space="0" w:color="1B556B" w:themeColor="text2"/>
        </w:tblBorders>
        <w:tblLook w:val="0420" w:firstRow="1" w:lastRow="0" w:firstColumn="0" w:lastColumn="0" w:noHBand="0" w:noVBand="1"/>
      </w:tblPr>
      <w:tblGrid>
        <w:gridCol w:w="2694"/>
        <w:gridCol w:w="708"/>
        <w:gridCol w:w="709"/>
        <w:gridCol w:w="709"/>
        <w:gridCol w:w="709"/>
        <w:gridCol w:w="1559"/>
        <w:gridCol w:w="750"/>
        <w:gridCol w:w="667"/>
      </w:tblGrid>
      <w:tr w:rsidR="00E87995" w:rsidRPr="009E06AA" w14:paraId="1E0A5C12" w14:textId="77777777" w:rsidTr="00B55F24">
        <w:trPr>
          <w:tblHeader/>
        </w:trPr>
        <w:tc>
          <w:tcPr>
            <w:tcW w:w="2694" w:type="dxa"/>
            <w:shd w:val="clear" w:color="auto" w:fill="1B556B"/>
            <w:tcMar>
              <w:top w:w="0" w:type="dxa"/>
              <w:left w:w="85" w:type="dxa"/>
              <w:bottom w:w="0" w:type="dxa"/>
              <w:right w:w="85" w:type="dxa"/>
            </w:tcMar>
          </w:tcPr>
          <w:p w14:paraId="10AAB72C" w14:textId="77777777" w:rsidR="00E87995" w:rsidRPr="009E06AA" w:rsidRDefault="00E87995" w:rsidP="00B55F24">
            <w:pPr>
              <w:pStyle w:val="TableTextBold"/>
              <w:spacing w:before="30" w:after="30"/>
              <w:rPr>
                <w:noProof w:val="0"/>
                <w:color w:val="FFFFFF" w:themeColor="background1"/>
              </w:rPr>
            </w:pPr>
            <w:r w:rsidRPr="009E06AA">
              <w:rPr>
                <w:noProof w:val="0"/>
                <w:color w:val="FFFFFF" w:themeColor="background1"/>
              </w:rPr>
              <w:t>Parameter</w:t>
            </w:r>
          </w:p>
        </w:tc>
        <w:tc>
          <w:tcPr>
            <w:tcW w:w="708" w:type="dxa"/>
            <w:shd w:val="clear" w:color="auto" w:fill="1B556B"/>
            <w:tcMar>
              <w:top w:w="0" w:type="dxa"/>
              <w:left w:w="85" w:type="dxa"/>
              <w:bottom w:w="0" w:type="dxa"/>
              <w:right w:w="85" w:type="dxa"/>
            </w:tcMar>
          </w:tcPr>
          <w:p w14:paraId="0041C1D2" w14:textId="77777777" w:rsidR="00E87995" w:rsidRPr="009E06AA" w:rsidRDefault="00E87995" w:rsidP="00876E40">
            <w:pPr>
              <w:pStyle w:val="TableTextBold"/>
              <w:spacing w:before="30" w:after="30"/>
              <w:jc w:val="right"/>
              <w:rPr>
                <w:noProof w:val="0"/>
                <w:color w:val="FFFFFF" w:themeColor="background1"/>
              </w:rPr>
            </w:pPr>
            <w:r w:rsidRPr="009E06AA">
              <w:rPr>
                <w:noProof w:val="0"/>
                <w:color w:val="FFFFFF" w:themeColor="background1"/>
              </w:rPr>
              <w:t>Food</w:t>
            </w:r>
          </w:p>
        </w:tc>
        <w:tc>
          <w:tcPr>
            <w:tcW w:w="709" w:type="dxa"/>
            <w:shd w:val="clear" w:color="auto" w:fill="1B556B"/>
            <w:tcMar>
              <w:top w:w="0" w:type="dxa"/>
              <w:left w:w="85" w:type="dxa"/>
              <w:bottom w:w="0" w:type="dxa"/>
              <w:right w:w="85" w:type="dxa"/>
            </w:tcMar>
          </w:tcPr>
          <w:p w14:paraId="75B5368E" w14:textId="77777777" w:rsidR="00E87995" w:rsidRPr="009E06AA" w:rsidRDefault="00E87995" w:rsidP="00876E40">
            <w:pPr>
              <w:pStyle w:val="TableTextBold"/>
              <w:spacing w:before="30" w:after="30"/>
              <w:jc w:val="right"/>
              <w:rPr>
                <w:noProof w:val="0"/>
                <w:color w:val="FFFFFF" w:themeColor="background1"/>
              </w:rPr>
            </w:pPr>
            <w:r w:rsidRPr="009E06AA">
              <w:rPr>
                <w:noProof w:val="0"/>
                <w:color w:val="FFFFFF" w:themeColor="background1"/>
              </w:rPr>
              <w:t>Garden</w:t>
            </w:r>
          </w:p>
        </w:tc>
        <w:tc>
          <w:tcPr>
            <w:tcW w:w="709" w:type="dxa"/>
            <w:shd w:val="clear" w:color="auto" w:fill="1B556B"/>
            <w:tcMar>
              <w:top w:w="0" w:type="dxa"/>
              <w:left w:w="85" w:type="dxa"/>
              <w:bottom w:w="0" w:type="dxa"/>
              <w:right w:w="85" w:type="dxa"/>
            </w:tcMar>
          </w:tcPr>
          <w:p w14:paraId="43FAD84D" w14:textId="77777777" w:rsidR="00E87995" w:rsidRPr="009E06AA" w:rsidRDefault="00E87995" w:rsidP="00876E40">
            <w:pPr>
              <w:pStyle w:val="TableTextBold"/>
              <w:spacing w:before="30" w:after="30"/>
              <w:jc w:val="right"/>
              <w:rPr>
                <w:noProof w:val="0"/>
                <w:color w:val="FFFFFF" w:themeColor="background1"/>
              </w:rPr>
            </w:pPr>
            <w:r w:rsidRPr="009E06AA">
              <w:rPr>
                <w:noProof w:val="0"/>
                <w:color w:val="FFFFFF" w:themeColor="background1"/>
              </w:rPr>
              <w:t>Paper</w:t>
            </w:r>
          </w:p>
        </w:tc>
        <w:tc>
          <w:tcPr>
            <w:tcW w:w="709" w:type="dxa"/>
            <w:shd w:val="clear" w:color="auto" w:fill="1B556B"/>
            <w:tcMar>
              <w:top w:w="0" w:type="dxa"/>
              <w:left w:w="85" w:type="dxa"/>
              <w:bottom w:w="0" w:type="dxa"/>
              <w:right w:w="85" w:type="dxa"/>
            </w:tcMar>
          </w:tcPr>
          <w:p w14:paraId="0948EDCC" w14:textId="77777777" w:rsidR="00E87995" w:rsidRPr="009E06AA" w:rsidRDefault="00E87995" w:rsidP="00876E40">
            <w:pPr>
              <w:pStyle w:val="TableTextBold"/>
              <w:spacing w:before="30" w:after="30"/>
              <w:jc w:val="right"/>
              <w:rPr>
                <w:noProof w:val="0"/>
                <w:color w:val="FFFFFF" w:themeColor="background1"/>
              </w:rPr>
            </w:pPr>
            <w:r w:rsidRPr="009E06AA">
              <w:rPr>
                <w:noProof w:val="0"/>
                <w:color w:val="FFFFFF" w:themeColor="background1"/>
              </w:rPr>
              <w:t>Wood</w:t>
            </w:r>
          </w:p>
        </w:tc>
        <w:tc>
          <w:tcPr>
            <w:tcW w:w="1559" w:type="dxa"/>
            <w:shd w:val="clear" w:color="auto" w:fill="1B556B"/>
            <w:tcMar>
              <w:top w:w="0" w:type="dxa"/>
              <w:left w:w="85" w:type="dxa"/>
              <w:bottom w:w="0" w:type="dxa"/>
              <w:right w:w="85" w:type="dxa"/>
            </w:tcMar>
          </w:tcPr>
          <w:p w14:paraId="4DD76D32" w14:textId="77777777" w:rsidR="00E87995" w:rsidRPr="009E06AA" w:rsidRDefault="00E87995" w:rsidP="00876E40">
            <w:pPr>
              <w:pStyle w:val="TableTextBold"/>
              <w:spacing w:before="30" w:after="30"/>
              <w:jc w:val="right"/>
              <w:rPr>
                <w:noProof w:val="0"/>
                <w:color w:val="FFFFFF" w:themeColor="background1"/>
              </w:rPr>
            </w:pPr>
            <w:r w:rsidRPr="009E06AA">
              <w:rPr>
                <w:noProof w:val="0"/>
                <w:color w:val="FFFFFF" w:themeColor="background1"/>
              </w:rPr>
              <w:t>Textile</w:t>
            </w:r>
          </w:p>
        </w:tc>
        <w:tc>
          <w:tcPr>
            <w:tcW w:w="750" w:type="dxa"/>
            <w:shd w:val="clear" w:color="auto" w:fill="1B556B"/>
            <w:tcMar>
              <w:top w:w="0" w:type="dxa"/>
              <w:left w:w="85" w:type="dxa"/>
              <w:bottom w:w="0" w:type="dxa"/>
              <w:right w:w="85" w:type="dxa"/>
            </w:tcMar>
          </w:tcPr>
          <w:p w14:paraId="5C84F8F2" w14:textId="77777777" w:rsidR="00E87995" w:rsidRPr="009E06AA" w:rsidRDefault="00E87995" w:rsidP="00876E40">
            <w:pPr>
              <w:pStyle w:val="TableTextBold"/>
              <w:spacing w:before="30" w:after="30"/>
              <w:jc w:val="right"/>
              <w:rPr>
                <w:noProof w:val="0"/>
                <w:color w:val="FFFFFF" w:themeColor="background1"/>
              </w:rPr>
            </w:pPr>
            <w:r w:rsidRPr="009E06AA">
              <w:rPr>
                <w:noProof w:val="0"/>
                <w:color w:val="FFFFFF" w:themeColor="background1"/>
              </w:rPr>
              <w:t>Nappies</w:t>
            </w:r>
          </w:p>
        </w:tc>
        <w:tc>
          <w:tcPr>
            <w:tcW w:w="667" w:type="dxa"/>
            <w:shd w:val="clear" w:color="auto" w:fill="1B556B"/>
            <w:tcMar>
              <w:top w:w="0" w:type="dxa"/>
              <w:left w:w="85" w:type="dxa"/>
              <w:bottom w:w="0" w:type="dxa"/>
              <w:right w:w="85" w:type="dxa"/>
            </w:tcMar>
          </w:tcPr>
          <w:p w14:paraId="744F3753" w14:textId="77777777" w:rsidR="00E87995" w:rsidRPr="009E06AA" w:rsidRDefault="00E87995" w:rsidP="00876E40">
            <w:pPr>
              <w:pStyle w:val="TableTextBold"/>
              <w:spacing w:before="30" w:after="30"/>
              <w:jc w:val="right"/>
              <w:rPr>
                <w:noProof w:val="0"/>
                <w:color w:val="FFFFFF" w:themeColor="background1"/>
              </w:rPr>
            </w:pPr>
            <w:r w:rsidRPr="009E06AA">
              <w:rPr>
                <w:noProof w:val="0"/>
                <w:color w:val="FFFFFF" w:themeColor="background1"/>
              </w:rPr>
              <w:t>Sludge</w:t>
            </w:r>
            <w:r w:rsidRPr="009E06AA">
              <w:rPr>
                <w:noProof w:val="0"/>
                <w:color w:val="FFFFFF" w:themeColor="background1"/>
                <w:vertAlign w:val="superscript"/>
              </w:rPr>
              <w:t>b</w:t>
            </w:r>
          </w:p>
        </w:tc>
      </w:tr>
      <w:tr w:rsidR="00E87995" w:rsidRPr="009E06AA" w14:paraId="7251BCEC" w14:textId="77777777" w:rsidTr="00B55F24">
        <w:tc>
          <w:tcPr>
            <w:tcW w:w="2694" w:type="dxa"/>
            <w:shd w:val="clear" w:color="auto" w:fill="FFFFFF"/>
            <w:tcMar>
              <w:top w:w="0" w:type="dxa"/>
              <w:left w:w="85" w:type="dxa"/>
              <w:bottom w:w="0" w:type="dxa"/>
              <w:right w:w="85" w:type="dxa"/>
            </w:tcMar>
          </w:tcPr>
          <w:p w14:paraId="0E7AEE31" w14:textId="77777777" w:rsidR="00E87995" w:rsidRPr="009E06AA" w:rsidRDefault="00E87995" w:rsidP="00B55F24">
            <w:pPr>
              <w:pStyle w:val="TableText"/>
              <w:spacing w:before="30" w:after="30"/>
            </w:pPr>
            <w:r w:rsidRPr="009E06AA">
              <w:rPr>
                <w:color w:val="000000"/>
              </w:rPr>
              <w:t>DDOC</w:t>
            </w:r>
          </w:p>
        </w:tc>
        <w:tc>
          <w:tcPr>
            <w:tcW w:w="708" w:type="dxa"/>
            <w:shd w:val="clear" w:color="auto" w:fill="FFFFFF"/>
            <w:tcMar>
              <w:top w:w="0" w:type="dxa"/>
              <w:left w:w="85" w:type="dxa"/>
              <w:bottom w:w="0" w:type="dxa"/>
              <w:right w:w="85" w:type="dxa"/>
            </w:tcMar>
          </w:tcPr>
          <w:p w14:paraId="1D108480" w14:textId="77777777" w:rsidR="00E87995" w:rsidRPr="009E06AA" w:rsidRDefault="00E87995" w:rsidP="00876E40">
            <w:pPr>
              <w:pStyle w:val="TableText"/>
              <w:spacing w:before="30" w:after="30"/>
              <w:jc w:val="right"/>
            </w:pPr>
            <w:r w:rsidRPr="009E06AA">
              <w:rPr>
                <w:color w:val="000000"/>
              </w:rPr>
              <w:t>0.11</w:t>
            </w:r>
            <w:r w:rsidRPr="009E06AA">
              <w:rPr>
                <w:color w:val="000000"/>
                <w:vertAlign w:val="superscript"/>
              </w:rPr>
              <w:t>a</w:t>
            </w:r>
          </w:p>
        </w:tc>
        <w:tc>
          <w:tcPr>
            <w:tcW w:w="709" w:type="dxa"/>
            <w:shd w:val="clear" w:color="auto" w:fill="FFFFFF"/>
            <w:tcMar>
              <w:top w:w="0" w:type="dxa"/>
              <w:left w:w="85" w:type="dxa"/>
              <w:bottom w:w="0" w:type="dxa"/>
              <w:right w:w="85" w:type="dxa"/>
            </w:tcMar>
          </w:tcPr>
          <w:p w14:paraId="1DB7ECE8" w14:textId="77777777" w:rsidR="00E87995" w:rsidRPr="009E06AA" w:rsidRDefault="00E87995" w:rsidP="00876E40">
            <w:pPr>
              <w:pStyle w:val="TableText"/>
              <w:spacing w:before="30" w:after="30"/>
              <w:jc w:val="right"/>
            </w:pPr>
            <w:r w:rsidRPr="009E06AA">
              <w:rPr>
                <w:color w:val="000000"/>
              </w:rPr>
              <w:t>0.09</w:t>
            </w:r>
          </w:p>
        </w:tc>
        <w:tc>
          <w:tcPr>
            <w:tcW w:w="709" w:type="dxa"/>
            <w:shd w:val="clear" w:color="auto" w:fill="FFFFFF"/>
            <w:tcMar>
              <w:top w:w="0" w:type="dxa"/>
              <w:left w:w="85" w:type="dxa"/>
              <w:bottom w:w="0" w:type="dxa"/>
              <w:right w:w="85" w:type="dxa"/>
            </w:tcMar>
          </w:tcPr>
          <w:p w14:paraId="340841EB" w14:textId="77777777" w:rsidR="00E87995" w:rsidRPr="009E06AA" w:rsidRDefault="00E87995" w:rsidP="00876E40">
            <w:pPr>
              <w:pStyle w:val="TableText"/>
              <w:spacing w:before="30" w:after="30"/>
              <w:jc w:val="right"/>
            </w:pPr>
            <w:r w:rsidRPr="009E06AA">
              <w:rPr>
                <w:color w:val="000000"/>
              </w:rPr>
              <w:t>0.16</w:t>
            </w:r>
          </w:p>
        </w:tc>
        <w:tc>
          <w:tcPr>
            <w:tcW w:w="709" w:type="dxa"/>
            <w:shd w:val="clear" w:color="auto" w:fill="FFFFFF"/>
            <w:tcMar>
              <w:top w:w="0" w:type="dxa"/>
              <w:left w:w="85" w:type="dxa"/>
              <w:bottom w:w="0" w:type="dxa"/>
              <w:right w:w="85" w:type="dxa"/>
            </w:tcMar>
          </w:tcPr>
          <w:p w14:paraId="3BD5B2B5" w14:textId="77777777" w:rsidR="00E87995" w:rsidRPr="009E06AA" w:rsidRDefault="00E87995" w:rsidP="00876E40">
            <w:pPr>
              <w:pStyle w:val="TableText"/>
              <w:spacing w:before="30" w:after="30"/>
              <w:jc w:val="right"/>
            </w:pPr>
            <w:r w:rsidRPr="009E06AA">
              <w:rPr>
                <w:color w:val="000000"/>
              </w:rPr>
              <w:t>0.06</w:t>
            </w:r>
          </w:p>
        </w:tc>
        <w:tc>
          <w:tcPr>
            <w:tcW w:w="1559" w:type="dxa"/>
            <w:shd w:val="clear" w:color="auto" w:fill="FFFFFF"/>
            <w:tcMar>
              <w:top w:w="0" w:type="dxa"/>
              <w:left w:w="85" w:type="dxa"/>
              <w:bottom w:w="0" w:type="dxa"/>
              <w:right w:w="85" w:type="dxa"/>
            </w:tcMar>
          </w:tcPr>
          <w:p w14:paraId="10359788" w14:textId="77777777" w:rsidR="00E87995" w:rsidRPr="009E06AA" w:rsidRDefault="00E87995" w:rsidP="00876E40">
            <w:pPr>
              <w:pStyle w:val="TableText"/>
              <w:spacing w:before="30" w:after="30"/>
              <w:jc w:val="right"/>
            </w:pPr>
            <w:r w:rsidRPr="009E06AA">
              <w:rPr>
                <w:color w:val="000000"/>
              </w:rPr>
              <w:t>0.20 (1950s) to 0.08 (2020</w:t>
            </w:r>
            <w:r w:rsidRPr="009E06AA">
              <w:rPr>
                <w:rFonts w:eastAsia="Calibri" w:cs="Calibri"/>
                <w:color w:val="000000"/>
                <w:szCs w:val="16"/>
              </w:rPr>
              <w:t xml:space="preserve"> </w:t>
            </w:r>
            <w:r w:rsidRPr="009E06AA">
              <w:rPr>
                <w:color w:val="000000"/>
              </w:rPr>
              <w:t>onwards)</w:t>
            </w:r>
          </w:p>
        </w:tc>
        <w:tc>
          <w:tcPr>
            <w:tcW w:w="750" w:type="dxa"/>
            <w:shd w:val="clear" w:color="auto" w:fill="FFFFFF"/>
            <w:tcMar>
              <w:top w:w="0" w:type="dxa"/>
              <w:left w:w="85" w:type="dxa"/>
              <w:bottom w:w="0" w:type="dxa"/>
              <w:right w:w="85" w:type="dxa"/>
            </w:tcMar>
          </w:tcPr>
          <w:p w14:paraId="730304B6" w14:textId="77777777" w:rsidR="00E87995" w:rsidRPr="009E06AA" w:rsidRDefault="00E87995" w:rsidP="00876E40">
            <w:pPr>
              <w:pStyle w:val="TableText"/>
              <w:spacing w:before="30" w:after="30"/>
              <w:jc w:val="right"/>
            </w:pPr>
            <w:r w:rsidRPr="009E06AA">
              <w:rPr>
                <w:color w:val="000000"/>
              </w:rPr>
              <w:t>0.04</w:t>
            </w:r>
          </w:p>
        </w:tc>
        <w:tc>
          <w:tcPr>
            <w:tcW w:w="667" w:type="dxa"/>
            <w:shd w:val="clear" w:color="auto" w:fill="FFFFFF"/>
            <w:tcMar>
              <w:top w:w="0" w:type="dxa"/>
              <w:left w:w="85" w:type="dxa"/>
              <w:bottom w:w="0" w:type="dxa"/>
              <w:right w:w="85" w:type="dxa"/>
            </w:tcMar>
          </w:tcPr>
          <w:p w14:paraId="55D89ED2" w14:textId="77777777" w:rsidR="00E87995" w:rsidRPr="009E06AA" w:rsidRDefault="00E87995" w:rsidP="00876E40">
            <w:pPr>
              <w:pStyle w:val="TableText"/>
              <w:spacing w:before="30" w:after="30"/>
              <w:jc w:val="right"/>
            </w:pPr>
            <w:r w:rsidRPr="009E06AA">
              <w:rPr>
                <w:color w:val="000000"/>
              </w:rPr>
              <w:t>0.025</w:t>
            </w:r>
          </w:p>
        </w:tc>
      </w:tr>
      <w:tr w:rsidR="00E87995" w:rsidRPr="009E06AA" w14:paraId="6D966410" w14:textId="77777777" w:rsidTr="00B55F24">
        <w:tc>
          <w:tcPr>
            <w:tcW w:w="2694" w:type="dxa"/>
            <w:shd w:val="clear" w:color="auto" w:fill="FFFFFF"/>
            <w:tcMar>
              <w:top w:w="0" w:type="dxa"/>
              <w:left w:w="85" w:type="dxa"/>
              <w:bottom w:w="0" w:type="dxa"/>
              <w:right w:w="85" w:type="dxa"/>
            </w:tcMar>
          </w:tcPr>
          <w:p w14:paraId="44C99362" w14:textId="77777777" w:rsidR="00E87995" w:rsidRPr="009E06AA" w:rsidRDefault="00E87995" w:rsidP="00B55F24">
            <w:pPr>
              <w:pStyle w:val="TableText"/>
              <w:spacing w:before="30" w:after="30"/>
            </w:pPr>
            <w:r w:rsidRPr="009E06AA">
              <w:rPr>
                <w:color w:val="000000"/>
              </w:rPr>
              <w:t>DOCf</w:t>
            </w:r>
            <w:r w:rsidRPr="009E06AA">
              <w:rPr>
                <w:color w:val="000000"/>
                <w:vertAlign w:val="superscript"/>
              </w:rPr>
              <w:t>c</w:t>
            </w:r>
          </w:p>
        </w:tc>
        <w:tc>
          <w:tcPr>
            <w:tcW w:w="708" w:type="dxa"/>
            <w:shd w:val="clear" w:color="auto" w:fill="FFFFFF"/>
            <w:tcMar>
              <w:top w:w="0" w:type="dxa"/>
              <w:left w:w="85" w:type="dxa"/>
              <w:bottom w:w="0" w:type="dxa"/>
              <w:right w:w="85" w:type="dxa"/>
            </w:tcMar>
          </w:tcPr>
          <w:p w14:paraId="0427F4F1" w14:textId="77777777" w:rsidR="00E87995" w:rsidRPr="009E06AA" w:rsidRDefault="00E87995" w:rsidP="00876E40">
            <w:pPr>
              <w:pStyle w:val="TableText"/>
              <w:spacing w:before="30" w:after="30"/>
              <w:jc w:val="right"/>
            </w:pPr>
            <w:r w:rsidRPr="009E06AA">
              <w:rPr>
                <w:color w:val="000000"/>
              </w:rPr>
              <w:t>0.7</w:t>
            </w:r>
          </w:p>
        </w:tc>
        <w:tc>
          <w:tcPr>
            <w:tcW w:w="709" w:type="dxa"/>
            <w:shd w:val="clear" w:color="auto" w:fill="FFFFFF"/>
            <w:tcMar>
              <w:top w:w="0" w:type="dxa"/>
              <w:left w:w="85" w:type="dxa"/>
              <w:bottom w:w="0" w:type="dxa"/>
              <w:right w:w="85" w:type="dxa"/>
            </w:tcMar>
          </w:tcPr>
          <w:p w14:paraId="0BEC68F7" w14:textId="77777777" w:rsidR="00E87995" w:rsidRPr="009E06AA" w:rsidRDefault="00E87995" w:rsidP="00876E40">
            <w:pPr>
              <w:pStyle w:val="TableText"/>
              <w:spacing w:before="30" w:after="30"/>
              <w:jc w:val="right"/>
            </w:pPr>
            <w:r w:rsidRPr="009E06AA">
              <w:rPr>
                <w:color w:val="000000"/>
              </w:rPr>
              <w:t>0.56</w:t>
            </w:r>
          </w:p>
        </w:tc>
        <w:tc>
          <w:tcPr>
            <w:tcW w:w="709" w:type="dxa"/>
            <w:shd w:val="clear" w:color="auto" w:fill="FFFFFF"/>
            <w:tcMar>
              <w:top w:w="0" w:type="dxa"/>
              <w:left w:w="85" w:type="dxa"/>
              <w:bottom w:w="0" w:type="dxa"/>
              <w:right w:w="85" w:type="dxa"/>
            </w:tcMar>
          </w:tcPr>
          <w:p w14:paraId="0783940A" w14:textId="77777777" w:rsidR="00E87995" w:rsidRPr="009E06AA" w:rsidRDefault="00E87995" w:rsidP="00876E40">
            <w:pPr>
              <w:pStyle w:val="TableText"/>
              <w:spacing w:before="30" w:after="30"/>
              <w:jc w:val="right"/>
            </w:pPr>
            <w:r w:rsidRPr="009E06AA">
              <w:rPr>
                <w:color w:val="000000"/>
              </w:rPr>
              <w:t>0.5</w:t>
            </w:r>
          </w:p>
        </w:tc>
        <w:tc>
          <w:tcPr>
            <w:tcW w:w="709" w:type="dxa"/>
            <w:shd w:val="clear" w:color="auto" w:fill="FFFFFF"/>
            <w:tcMar>
              <w:top w:w="0" w:type="dxa"/>
              <w:left w:w="85" w:type="dxa"/>
              <w:bottom w:w="0" w:type="dxa"/>
              <w:right w:w="85" w:type="dxa"/>
            </w:tcMar>
          </w:tcPr>
          <w:p w14:paraId="5DD301F9" w14:textId="77777777" w:rsidR="00E87995" w:rsidRPr="009E06AA" w:rsidRDefault="00E87995" w:rsidP="00876E40">
            <w:pPr>
              <w:pStyle w:val="TableText"/>
              <w:spacing w:before="30" w:after="30"/>
              <w:jc w:val="right"/>
            </w:pPr>
            <w:r w:rsidRPr="009E06AA">
              <w:rPr>
                <w:color w:val="000000"/>
              </w:rPr>
              <w:t>0.14</w:t>
            </w:r>
          </w:p>
        </w:tc>
        <w:tc>
          <w:tcPr>
            <w:tcW w:w="1559" w:type="dxa"/>
            <w:shd w:val="clear" w:color="auto" w:fill="FFFFFF"/>
            <w:tcMar>
              <w:top w:w="0" w:type="dxa"/>
              <w:left w:w="85" w:type="dxa"/>
              <w:bottom w:w="0" w:type="dxa"/>
              <w:right w:w="85" w:type="dxa"/>
            </w:tcMar>
          </w:tcPr>
          <w:p w14:paraId="02FF8C18" w14:textId="77777777" w:rsidR="00E87995" w:rsidRPr="009E06AA" w:rsidRDefault="00E87995" w:rsidP="00876E40">
            <w:pPr>
              <w:pStyle w:val="TableText"/>
              <w:spacing w:before="30" w:after="30"/>
              <w:jc w:val="right"/>
            </w:pPr>
            <w:r w:rsidRPr="009E06AA">
              <w:rPr>
                <w:color w:val="000000"/>
              </w:rPr>
              <w:t>0.5</w:t>
            </w:r>
          </w:p>
        </w:tc>
        <w:tc>
          <w:tcPr>
            <w:tcW w:w="750" w:type="dxa"/>
            <w:shd w:val="clear" w:color="auto" w:fill="FFFFFF"/>
            <w:tcMar>
              <w:top w:w="0" w:type="dxa"/>
              <w:left w:w="85" w:type="dxa"/>
              <w:bottom w:w="0" w:type="dxa"/>
              <w:right w:w="85" w:type="dxa"/>
            </w:tcMar>
          </w:tcPr>
          <w:p w14:paraId="20AE3802" w14:textId="77777777" w:rsidR="00E87995" w:rsidRPr="009E06AA" w:rsidRDefault="00E87995" w:rsidP="00876E40">
            <w:pPr>
              <w:pStyle w:val="TableText"/>
              <w:spacing w:before="30" w:after="30"/>
              <w:jc w:val="right"/>
            </w:pPr>
            <w:r w:rsidRPr="009E06AA">
              <w:rPr>
                <w:color w:val="000000"/>
              </w:rPr>
              <w:t>0.5</w:t>
            </w:r>
          </w:p>
        </w:tc>
        <w:tc>
          <w:tcPr>
            <w:tcW w:w="667" w:type="dxa"/>
            <w:shd w:val="clear" w:color="auto" w:fill="FFFFFF"/>
            <w:tcMar>
              <w:top w:w="0" w:type="dxa"/>
              <w:left w:w="85" w:type="dxa"/>
              <w:bottom w:w="0" w:type="dxa"/>
              <w:right w:w="85" w:type="dxa"/>
            </w:tcMar>
          </w:tcPr>
          <w:p w14:paraId="56A75C8D" w14:textId="77777777" w:rsidR="00E87995" w:rsidRPr="009E06AA" w:rsidRDefault="00E87995" w:rsidP="00876E40">
            <w:pPr>
              <w:pStyle w:val="TableText"/>
              <w:spacing w:before="30" w:after="30"/>
              <w:jc w:val="right"/>
            </w:pPr>
            <w:r w:rsidRPr="009E06AA">
              <w:rPr>
                <w:color w:val="000000"/>
              </w:rPr>
              <w:t>0.5</w:t>
            </w:r>
          </w:p>
        </w:tc>
      </w:tr>
      <w:tr w:rsidR="00E87995" w:rsidRPr="009E06AA" w14:paraId="43378E51" w14:textId="77777777" w:rsidTr="00B55F24">
        <w:tc>
          <w:tcPr>
            <w:tcW w:w="2694" w:type="dxa"/>
            <w:shd w:val="clear" w:color="auto" w:fill="FFFFFF"/>
            <w:tcMar>
              <w:top w:w="0" w:type="dxa"/>
              <w:left w:w="85" w:type="dxa"/>
              <w:bottom w:w="0" w:type="dxa"/>
              <w:right w:w="85" w:type="dxa"/>
            </w:tcMar>
          </w:tcPr>
          <w:p w14:paraId="3D89A7A8" w14:textId="77777777" w:rsidR="00E87995" w:rsidRPr="009E06AA" w:rsidRDefault="00E87995" w:rsidP="00B55F24">
            <w:pPr>
              <w:pStyle w:val="TableText"/>
              <w:spacing w:before="30" w:after="30"/>
            </w:pPr>
            <w:r w:rsidRPr="009E06AA">
              <w:rPr>
                <w:color w:val="000000"/>
              </w:rPr>
              <w:t>DOC (=DDOC/DOCf)</w:t>
            </w:r>
          </w:p>
        </w:tc>
        <w:tc>
          <w:tcPr>
            <w:tcW w:w="708" w:type="dxa"/>
            <w:shd w:val="clear" w:color="auto" w:fill="FFFFFF"/>
            <w:tcMar>
              <w:top w:w="0" w:type="dxa"/>
              <w:left w:w="85" w:type="dxa"/>
              <w:bottom w:w="0" w:type="dxa"/>
              <w:right w:w="85" w:type="dxa"/>
            </w:tcMar>
          </w:tcPr>
          <w:p w14:paraId="64F1BCF5" w14:textId="77777777" w:rsidR="00E87995" w:rsidRPr="009E06AA" w:rsidRDefault="00E87995" w:rsidP="00876E40">
            <w:pPr>
              <w:pStyle w:val="TableText"/>
              <w:spacing w:before="30" w:after="30"/>
              <w:jc w:val="right"/>
            </w:pPr>
            <w:r w:rsidRPr="009E06AA">
              <w:rPr>
                <w:color w:val="000000"/>
              </w:rPr>
              <w:t>0.16</w:t>
            </w:r>
          </w:p>
        </w:tc>
        <w:tc>
          <w:tcPr>
            <w:tcW w:w="709" w:type="dxa"/>
            <w:shd w:val="clear" w:color="auto" w:fill="FFFFFF"/>
            <w:tcMar>
              <w:top w:w="0" w:type="dxa"/>
              <w:left w:w="85" w:type="dxa"/>
              <w:bottom w:w="0" w:type="dxa"/>
              <w:right w:w="85" w:type="dxa"/>
            </w:tcMar>
          </w:tcPr>
          <w:p w14:paraId="28EAF68C" w14:textId="77777777" w:rsidR="00E87995" w:rsidRPr="009E06AA" w:rsidRDefault="00E87995" w:rsidP="00876E40">
            <w:pPr>
              <w:pStyle w:val="TableText"/>
              <w:spacing w:before="30" w:after="30"/>
              <w:jc w:val="right"/>
            </w:pPr>
            <w:r w:rsidRPr="009E06AA">
              <w:rPr>
                <w:color w:val="000000"/>
              </w:rPr>
              <w:t>0.16</w:t>
            </w:r>
          </w:p>
        </w:tc>
        <w:tc>
          <w:tcPr>
            <w:tcW w:w="709" w:type="dxa"/>
            <w:shd w:val="clear" w:color="auto" w:fill="FFFFFF"/>
            <w:tcMar>
              <w:top w:w="0" w:type="dxa"/>
              <w:left w:w="85" w:type="dxa"/>
              <w:bottom w:w="0" w:type="dxa"/>
              <w:right w:w="85" w:type="dxa"/>
            </w:tcMar>
          </w:tcPr>
          <w:p w14:paraId="59010FC8" w14:textId="77777777" w:rsidR="00E87995" w:rsidRPr="009E06AA" w:rsidRDefault="00E87995" w:rsidP="00876E40">
            <w:pPr>
              <w:pStyle w:val="TableText"/>
              <w:spacing w:before="30" w:after="30"/>
              <w:jc w:val="right"/>
            </w:pPr>
            <w:r w:rsidRPr="009E06AA">
              <w:rPr>
                <w:color w:val="000000"/>
              </w:rPr>
              <w:t>0.32</w:t>
            </w:r>
          </w:p>
        </w:tc>
        <w:tc>
          <w:tcPr>
            <w:tcW w:w="709" w:type="dxa"/>
            <w:shd w:val="clear" w:color="auto" w:fill="FFFFFF"/>
            <w:tcMar>
              <w:top w:w="0" w:type="dxa"/>
              <w:left w:w="85" w:type="dxa"/>
              <w:bottom w:w="0" w:type="dxa"/>
              <w:right w:w="85" w:type="dxa"/>
            </w:tcMar>
          </w:tcPr>
          <w:p w14:paraId="18C74AF8" w14:textId="77777777" w:rsidR="00E87995" w:rsidRPr="009E06AA" w:rsidRDefault="00E87995" w:rsidP="00876E40">
            <w:pPr>
              <w:pStyle w:val="TableText"/>
              <w:spacing w:before="30" w:after="30"/>
              <w:jc w:val="right"/>
            </w:pPr>
            <w:r w:rsidRPr="009E06AA">
              <w:rPr>
                <w:color w:val="000000"/>
              </w:rPr>
              <w:t>0.43</w:t>
            </w:r>
          </w:p>
        </w:tc>
        <w:tc>
          <w:tcPr>
            <w:tcW w:w="1559" w:type="dxa"/>
            <w:shd w:val="clear" w:color="auto" w:fill="FFFFFF"/>
            <w:tcMar>
              <w:top w:w="0" w:type="dxa"/>
              <w:left w:w="85" w:type="dxa"/>
              <w:bottom w:w="0" w:type="dxa"/>
              <w:right w:w="85" w:type="dxa"/>
            </w:tcMar>
          </w:tcPr>
          <w:p w14:paraId="3093C15E" w14:textId="77777777" w:rsidR="00E87995" w:rsidRPr="009E06AA" w:rsidRDefault="00E87995" w:rsidP="00876E40">
            <w:pPr>
              <w:pStyle w:val="TableText"/>
              <w:spacing w:before="30" w:after="30"/>
              <w:jc w:val="right"/>
            </w:pPr>
            <w:r w:rsidRPr="009E06AA">
              <w:rPr>
                <w:color w:val="000000"/>
              </w:rPr>
              <w:t>0.40 (1950s) to 0.16 (2020</w:t>
            </w:r>
            <w:r w:rsidRPr="009E06AA">
              <w:rPr>
                <w:rFonts w:eastAsia="Calibri" w:cs="Calibri"/>
                <w:color w:val="000000"/>
                <w:szCs w:val="16"/>
              </w:rPr>
              <w:t xml:space="preserve"> </w:t>
            </w:r>
            <w:r w:rsidRPr="009E06AA">
              <w:rPr>
                <w:color w:val="000000"/>
              </w:rPr>
              <w:t>onwards)</w:t>
            </w:r>
          </w:p>
        </w:tc>
        <w:tc>
          <w:tcPr>
            <w:tcW w:w="750" w:type="dxa"/>
            <w:shd w:val="clear" w:color="auto" w:fill="FFFFFF"/>
            <w:tcMar>
              <w:top w:w="0" w:type="dxa"/>
              <w:left w:w="85" w:type="dxa"/>
              <w:bottom w:w="0" w:type="dxa"/>
              <w:right w:w="85" w:type="dxa"/>
            </w:tcMar>
          </w:tcPr>
          <w:p w14:paraId="2F6E129C" w14:textId="77777777" w:rsidR="00E87995" w:rsidRPr="009E06AA" w:rsidRDefault="00E87995" w:rsidP="00876E40">
            <w:pPr>
              <w:pStyle w:val="TableText"/>
              <w:spacing w:before="30" w:after="30"/>
              <w:jc w:val="right"/>
            </w:pPr>
            <w:r w:rsidRPr="009E06AA">
              <w:rPr>
                <w:color w:val="000000"/>
              </w:rPr>
              <w:t>0.08</w:t>
            </w:r>
          </w:p>
        </w:tc>
        <w:tc>
          <w:tcPr>
            <w:tcW w:w="667" w:type="dxa"/>
            <w:shd w:val="clear" w:color="auto" w:fill="FFFFFF"/>
            <w:tcMar>
              <w:top w:w="0" w:type="dxa"/>
              <w:left w:w="85" w:type="dxa"/>
              <w:bottom w:w="0" w:type="dxa"/>
              <w:right w:w="85" w:type="dxa"/>
            </w:tcMar>
          </w:tcPr>
          <w:p w14:paraId="2CCCADE2" w14:textId="77777777" w:rsidR="00E87995" w:rsidRPr="009E06AA" w:rsidRDefault="00E87995" w:rsidP="00876E40">
            <w:pPr>
              <w:pStyle w:val="TableText"/>
              <w:spacing w:before="30" w:after="30"/>
              <w:jc w:val="right"/>
            </w:pPr>
            <w:r w:rsidRPr="009E06AA">
              <w:rPr>
                <w:color w:val="000000"/>
              </w:rPr>
              <w:t>0.05</w:t>
            </w:r>
          </w:p>
        </w:tc>
      </w:tr>
      <w:tr w:rsidR="00E87995" w:rsidRPr="009E06AA" w14:paraId="2F5D3DB7" w14:textId="77777777" w:rsidTr="00B55F24">
        <w:tc>
          <w:tcPr>
            <w:tcW w:w="2694" w:type="dxa"/>
            <w:shd w:val="clear" w:color="auto" w:fill="FFFFFF"/>
            <w:tcMar>
              <w:top w:w="0" w:type="dxa"/>
              <w:left w:w="85" w:type="dxa"/>
              <w:bottom w:w="0" w:type="dxa"/>
              <w:right w:w="85" w:type="dxa"/>
            </w:tcMar>
          </w:tcPr>
          <w:p w14:paraId="455BA3C0" w14:textId="77777777" w:rsidR="00E87995" w:rsidRPr="009E06AA" w:rsidRDefault="00E87995" w:rsidP="00B55F24">
            <w:pPr>
              <w:pStyle w:val="TableText"/>
              <w:spacing w:before="30" w:after="30"/>
            </w:pPr>
            <w:r w:rsidRPr="009E06AA">
              <w:rPr>
                <w:color w:val="000000"/>
              </w:rPr>
              <w:t>k-value wet sites (&gt;700</w:t>
            </w:r>
            <w:r w:rsidRPr="009E06AA">
              <w:rPr>
                <w:rFonts w:eastAsia="Calibri" w:cs="Calibri"/>
                <w:color w:val="000000"/>
                <w:szCs w:val="16"/>
              </w:rPr>
              <w:t xml:space="preserve"> </w:t>
            </w:r>
            <w:r w:rsidRPr="009E06AA">
              <w:rPr>
                <w:color w:val="000000"/>
              </w:rPr>
              <w:t>mm rain/year)</w:t>
            </w:r>
          </w:p>
        </w:tc>
        <w:tc>
          <w:tcPr>
            <w:tcW w:w="708" w:type="dxa"/>
            <w:shd w:val="clear" w:color="auto" w:fill="FFFFFF"/>
            <w:tcMar>
              <w:top w:w="0" w:type="dxa"/>
              <w:left w:w="85" w:type="dxa"/>
              <w:bottom w:w="0" w:type="dxa"/>
              <w:right w:w="85" w:type="dxa"/>
            </w:tcMar>
          </w:tcPr>
          <w:p w14:paraId="67A5CCEC" w14:textId="77777777" w:rsidR="00E87995" w:rsidRPr="009E06AA" w:rsidRDefault="00E87995" w:rsidP="00876E40">
            <w:pPr>
              <w:pStyle w:val="TableText"/>
              <w:spacing w:before="30" w:after="30"/>
              <w:jc w:val="right"/>
            </w:pPr>
            <w:r w:rsidRPr="009E06AA">
              <w:rPr>
                <w:color w:val="000000"/>
              </w:rPr>
              <w:t>0.69</w:t>
            </w:r>
          </w:p>
        </w:tc>
        <w:tc>
          <w:tcPr>
            <w:tcW w:w="709" w:type="dxa"/>
            <w:shd w:val="clear" w:color="auto" w:fill="FFFFFF"/>
            <w:tcMar>
              <w:top w:w="0" w:type="dxa"/>
              <w:left w:w="85" w:type="dxa"/>
              <w:bottom w:w="0" w:type="dxa"/>
              <w:right w:w="85" w:type="dxa"/>
            </w:tcMar>
          </w:tcPr>
          <w:p w14:paraId="5EB36135" w14:textId="77777777" w:rsidR="00E87995" w:rsidRPr="009E06AA" w:rsidRDefault="00E87995" w:rsidP="00876E40">
            <w:pPr>
              <w:pStyle w:val="TableText"/>
              <w:spacing w:before="30" w:after="30"/>
              <w:jc w:val="right"/>
            </w:pPr>
            <w:r w:rsidRPr="009E06AA">
              <w:rPr>
                <w:color w:val="000000"/>
              </w:rPr>
              <w:t>0.12</w:t>
            </w:r>
          </w:p>
        </w:tc>
        <w:tc>
          <w:tcPr>
            <w:tcW w:w="709" w:type="dxa"/>
            <w:shd w:val="clear" w:color="auto" w:fill="FFFFFF"/>
            <w:tcMar>
              <w:top w:w="0" w:type="dxa"/>
              <w:left w:w="85" w:type="dxa"/>
              <w:bottom w:w="0" w:type="dxa"/>
              <w:right w:w="85" w:type="dxa"/>
            </w:tcMar>
          </w:tcPr>
          <w:p w14:paraId="22A5288A" w14:textId="77777777" w:rsidR="00E87995" w:rsidRPr="009E06AA" w:rsidRDefault="00E87995" w:rsidP="00876E40">
            <w:pPr>
              <w:pStyle w:val="TableText"/>
              <w:spacing w:before="30" w:after="30"/>
              <w:jc w:val="right"/>
            </w:pPr>
            <w:r w:rsidRPr="009E06AA">
              <w:rPr>
                <w:color w:val="000000"/>
              </w:rPr>
              <w:t>0.076</w:t>
            </w:r>
          </w:p>
        </w:tc>
        <w:tc>
          <w:tcPr>
            <w:tcW w:w="709" w:type="dxa"/>
            <w:shd w:val="clear" w:color="auto" w:fill="FFFFFF"/>
            <w:tcMar>
              <w:top w:w="0" w:type="dxa"/>
              <w:left w:w="85" w:type="dxa"/>
              <w:bottom w:w="0" w:type="dxa"/>
              <w:right w:w="85" w:type="dxa"/>
            </w:tcMar>
          </w:tcPr>
          <w:p w14:paraId="3510FA65" w14:textId="77777777" w:rsidR="00E87995" w:rsidRPr="009E06AA" w:rsidRDefault="00E87995" w:rsidP="00876E40">
            <w:pPr>
              <w:pStyle w:val="TableText"/>
              <w:spacing w:before="30" w:after="30"/>
              <w:jc w:val="right"/>
            </w:pPr>
            <w:r w:rsidRPr="009E06AA">
              <w:rPr>
                <w:color w:val="000000"/>
              </w:rPr>
              <w:t>0.076</w:t>
            </w:r>
          </w:p>
        </w:tc>
        <w:tc>
          <w:tcPr>
            <w:tcW w:w="1559" w:type="dxa"/>
            <w:shd w:val="clear" w:color="auto" w:fill="FFFFFF"/>
            <w:tcMar>
              <w:top w:w="0" w:type="dxa"/>
              <w:left w:w="85" w:type="dxa"/>
              <w:bottom w:w="0" w:type="dxa"/>
              <w:right w:w="85" w:type="dxa"/>
            </w:tcMar>
          </w:tcPr>
          <w:p w14:paraId="6762BA5F" w14:textId="77777777" w:rsidR="00E87995" w:rsidRPr="009E06AA" w:rsidRDefault="00E87995" w:rsidP="00876E40">
            <w:pPr>
              <w:pStyle w:val="TableText"/>
              <w:spacing w:before="30" w:after="30"/>
              <w:jc w:val="right"/>
            </w:pPr>
            <w:r w:rsidRPr="009E06AA">
              <w:rPr>
                <w:color w:val="000000"/>
              </w:rPr>
              <w:t>0.076</w:t>
            </w:r>
          </w:p>
        </w:tc>
        <w:tc>
          <w:tcPr>
            <w:tcW w:w="750" w:type="dxa"/>
            <w:shd w:val="clear" w:color="auto" w:fill="FFFFFF"/>
            <w:tcMar>
              <w:top w:w="0" w:type="dxa"/>
              <w:left w:w="85" w:type="dxa"/>
              <w:bottom w:w="0" w:type="dxa"/>
              <w:right w:w="85" w:type="dxa"/>
            </w:tcMar>
          </w:tcPr>
          <w:p w14:paraId="5194CBDE" w14:textId="77777777" w:rsidR="00E87995" w:rsidRPr="009E06AA" w:rsidRDefault="00E87995" w:rsidP="00876E40">
            <w:pPr>
              <w:pStyle w:val="TableText"/>
              <w:spacing w:before="30" w:after="30"/>
              <w:jc w:val="right"/>
            </w:pPr>
            <w:r w:rsidRPr="009E06AA">
              <w:rPr>
                <w:color w:val="000000"/>
              </w:rPr>
              <w:t>0.12</w:t>
            </w:r>
          </w:p>
        </w:tc>
        <w:tc>
          <w:tcPr>
            <w:tcW w:w="667" w:type="dxa"/>
            <w:shd w:val="clear" w:color="auto" w:fill="FFFFFF"/>
            <w:tcMar>
              <w:top w:w="0" w:type="dxa"/>
              <w:left w:w="85" w:type="dxa"/>
              <w:bottom w:w="0" w:type="dxa"/>
              <w:right w:w="85" w:type="dxa"/>
            </w:tcMar>
          </w:tcPr>
          <w:p w14:paraId="545DD911" w14:textId="77777777" w:rsidR="00E87995" w:rsidRPr="009E06AA" w:rsidRDefault="00E87995" w:rsidP="00876E40">
            <w:pPr>
              <w:pStyle w:val="TableText"/>
              <w:spacing w:before="30" w:after="30"/>
              <w:jc w:val="right"/>
            </w:pPr>
            <w:r w:rsidRPr="009E06AA">
              <w:rPr>
                <w:color w:val="000000"/>
              </w:rPr>
              <w:t>0.19</w:t>
            </w:r>
          </w:p>
        </w:tc>
      </w:tr>
      <w:tr w:rsidR="00E87995" w:rsidRPr="009E06AA" w14:paraId="59A2510A" w14:textId="77777777" w:rsidTr="00B55F24">
        <w:tc>
          <w:tcPr>
            <w:tcW w:w="2694" w:type="dxa"/>
            <w:shd w:val="clear" w:color="auto" w:fill="FFFFFF"/>
            <w:tcMar>
              <w:top w:w="0" w:type="dxa"/>
              <w:left w:w="85" w:type="dxa"/>
              <w:bottom w:w="0" w:type="dxa"/>
              <w:right w:w="85" w:type="dxa"/>
            </w:tcMar>
          </w:tcPr>
          <w:p w14:paraId="27155579" w14:textId="77777777" w:rsidR="00E87995" w:rsidRPr="009E06AA" w:rsidRDefault="00E87995" w:rsidP="00B55F24">
            <w:pPr>
              <w:pStyle w:val="TableText"/>
              <w:spacing w:before="30" w:after="30"/>
            </w:pPr>
            <w:r w:rsidRPr="009E06AA">
              <w:rPr>
                <w:color w:val="000000"/>
              </w:rPr>
              <w:t>k-value dry sites</w:t>
            </w:r>
          </w:p>
        </w:tc>
        <w:tc>
          <w:tcPr>
            <w:tcW w:w="708" w:type="dxa"/>
            <w:shd w:val="clear" w:color="auto" w:fill="FFFFFF"/>
            <w:tcMar>
              <w:top w:w="0" w:type="dxa"/>
              <w:left w:w="85" w:type="dxa"/>
              <w:bottom w:w="0" w:type="dxa"/>
              <w:right w:w="85" w:type="dxa"/>
            </w:tcMar>
          </w:tcPr>
          <w:p w14:paraId="787CBB13" w14:textId="77777777" w:rsidR="00E87995" w:rsidRPr="009E06AA" w:rsidRDefault="00E87995" w:rsidP="00876E40">
            <w:pPr>
              <w:pStyle w:val="TableText"/>
              <w:spacing w:before="30" w:after="30"/>
              <w:jc w:val="right"/>
            </w:pPr>
            <w:r w:rsidRPr="009E06AA">
              <w:rPr>
                <w:color w:val="000000"/>
              </w:rPr>
              <w:t>0.12</w:t>
            </w:r>
          </w:p>
        </w:tc>
        <w:tc>
          <w:tcPr>
            <w:tcW w:w="709" w:type="dxa"/>
            <w:shd w:val="clear" w:color="auto" w:fill="FFFFFF"/>
            <w:tcMar>
              <w:top w:w="0" w:type="dxa"/>
              <w:left w:w="85" w:type="dxa"/>
              <w:bottom w:w="0" w:type="dxa"/>
              <w:right w:w="85" w:type="dxa"/>
            </w:tcMar>
          </w:tcPr>
          <w:p w14:paraId="6421C9FA" w14:textId="77777777" w:rsidR="00E87995" w:rsidRPr="009E06AA" w:rsidRDefault="00E87995" w:rsidP="00876E40">
            <w:pPr>
              <w:pStyle w:val="TableText"/>
              <w:spacing w:before="30" w:after="30"/>
              <w:jc w:val="right"/>
            </w:pPr>
            <w:r w:rsidRPr="009E06AA">
              <w:rPr>
                <w:color w:val="000000"/>
              </w:rPr>
              <w:t>0.076</w:t>
            </w:r>
          </w:p>
        </w:tc>
        <w:tc>
          <w:tcPr>
            <w:tcW w:w="709" w:type="dxa"/>
            <w:shd w:val="clear" w:color="auto" w:fill="FFFFFF"/>
            <w:tcMar>
              <w:top w:w="0" w:type="dxa"/>
              <w:left w:w="85" w:type="dxa"/>
              <w:bottom w:w="0" w:type="dxa"/>
              <w:right w:w="85" w:type="dxa"/>
            </w:tcMar>
          </w:tcPr>
          <w:p w14:paraId="7F4E623E" w14:textId="77777777" w:rsidR="00E87995" w:rsidRPr="009E06AA" w:rsidRDefault="00E87995" w:rsidP="00876E40">
            <w:pPr>
              <w:pStyle w:val="TableText"/>
              <w:spacing w:before="30" w:after="30"/>
              <w:jc w:val="right"/>
            </w:pPr>
            <w:r w:rsidRPr="009E06AA">
              <w:rPr>
                <w:color w:val="000000"/>
              </w:rPr>
              <w:t>0.046</w:t>
            </w:r>
          </w:p>
        </w:tc>
        <w:tc>
          <w:tcPr>
            <w:tcW w:w="709" w:type="dxa"/>
            <w:shd w:val="clear" w:color="auto" w:fill="FFFFFF"/>
            <w:tcMar>
              <w:top w:w="0" w:type="dxa"/>
              <w:left w:w="85" w:type="dxa"/>
              <w:bottom w:w="0" w:type="dxa"/>
              <w:right w:w="85" w:type="dxa"/>
            </w:tcMar>
          </w:tcPr>
          <w:p w14:paraId="7D1BF056" w14:textId="77777777" w:rsidR="00E87995" w:rsidRPr="009E06AA" w:rsidRDefault="00E87995" w:rsidP="00876E40">
            <w:pPr>
              <w:pStyle w:val="TableText"/>
              <w:spacing w:before="30" w:after="30"/>
              <w:jc w:val="right"/>
            </w:pPr>
            <w:r w:rsidRPr="009E06AA">
              <w:rPr>
                <w:color w:val="000000"/>
              </w:rPr>
              <w:t>0.046</w:t>
            </w:r>
          </w:p>
        </w:tc>
        <w:tc>
          <w:tcPr>
            <w:tcW w:w="1559" w:type="dxa"/>
            <w:shd w:val="clear" w:color="auto" w:fill="FFFFFF"/>
            <w:tcMar>
              <w:top w:w="0" w:type="dxa"/>
              <w:left w:w="85" w:type="dxa"/>
              <w:bottom w:w="0" w:type="dxa"/>
              <w:right w:w="85" w:type="dxa"/>
            </w:tcMar>
          </w:tcPr>
          <w:p w14:paraId="33E01159" w14:textId="77777777" w:rsidR="00E87995" w:rsidRPr="009E06AA" w:rsidRDefault="00E87995" w:rsidP="00876E40">
            <w:pPr>
              <w:pStyle w:val="TableText"/>
              <w:spacing w:before="30" w:after="30"/>
              <w:jc w:val="right"/>
            </w:pPr>
            <w:r w:rsidRPr="009E06AA">
              <w:rPr>
                <w:color w:val="000000"/>
              </w:rPr>
              <w:t>0.046</w:t>
            </w:r>
          </w:p>
        </w:tc>
        <w:tc>
          <w:tcPr>
            <w:tcW w:w="750" w:type="dxa"/>
            <w:shd w:val="clear" w:color="auto" w:fill="FFFFFF"/>
            <w:tcMar>
              <w:top w:w="0" w:type="dxa"/>
              <w:left w:w="85" w:type="dxa"/>
              <w:bottom w:w="0" w:type="dxa"/>
              <w:right w:w="85" w:type="dxa"/>
            </w:tcMar>
          </w:tcPr>
          <w:p w14:paraId="360651C8" w14:textId="77777777" w:rsidR="00E87995" w:rsidRPr="009E06AA" w:rsidRDefault="00E87995" w:rsidP="00876E40">
            <w:pPr>
              <w:pStyle w:val="TableText"/>
              <w:spacing w:before="30" w:after="30"/>
              <w:jc w:val="right"/>
            </w:pPr>
            <w:r w:rsidRPr="009E06AA">
              <w:rPr>
                <w:color w:val="000000"/>
              </w:rPr>
              <w:t>0.076</w:t>
            </w:r>
          </w:p>
        </w:tc>
        <w:tc>
          <w:tcPr>
            <w:tcW w:w="667" w:type="dxa"/>
            <w:shd w:val="clear" w:color="auto" w:fill="FFFFFF"/>
            <w:tcMar>
              <w:top w:w="0" w:type="dxa"/>
              <w:left w:w="85" w:type="dxa"/>
              <w:bottom w:w="0" w:type="dxa"/>
              <w:right w:w="85" w:type="dxa"/>
            </w:tcMar>
          </w:tcPr>
          <w:p w14:paraId="2B7C4651" w14:textId="77777777" w:rsidR="00E87995" w:rsidRPr="009E06AA" w:rsidRDefault="00E87995" w:rsidP="00876E40">
            <w:pPr>
              <w:pStyle w:val="TableText"/>
              <w:spacing w:before="30" w:after="30"/>
              <w:jc w:val="right"/>
            </w:pPr>
            <w:r w:rsidRPr="009E06AA">
              <w:rPr>
                <w:color w:val="000000"/>
              </w:rPr>
              <w:t>0.19</w:t>
            </w:r>
          </w:p>
        </w:tc>
      </w:tr>
    </w:tbl>
    <w:p w14:paraId="430BCEA4" w14:textId="77777777" w:rsidR="00E87995" w:rsidRPr="009E06AA" w:rsidRDefault="00E87995" w:rsidP="00E87995">
      <w:pPr>
        <w:pStyle w:val="Noteundertable"/>
      </w:pPr>
      <w:r w:rsidRPr="009E06AA">
        <w:rPr>
          <w:b/>
          <w:bCs/>
        </w:rPr>
        <w:t>Note:</w:t>
      </w:r>
      <w:r w:rsidRPr="009E06AA">
        <w:rPr>
          <w:b/>
        </w:rPr>
        <w:tab/>
      </w:r>
      <w:r w:rsidRPr="009E06AA">
        <w:t>DDOC = decomposable degradable organic carbon; DOC = degradable organic carbon; DOCf = DOC fraction. All parameters are from Eunomia (unpublished(a)) except: (a) DDOC for food is from IPCC (2019); (b) all values for sludge are from IPCC (2006a) default wet temperate; and (c) all DOCf values are from IPCC (2019) except for garden waste (Eunomia, unpublished(a)).</w:t>
      </w:r>
    </w:p>
    <w:p w14:paraId="37033389" w14:textId="77777777" w:rsidR="00E87995" w:rsidRPr="009E06AA" w:rsidRDefault="00E87995" w:rsidP="000F503A">
      <w:pPr>
        <w:pStyle w:val="BodyText"/>
        <w:keepLines/>
      </w:pPr>
      <w:r w:rsidRPr="009E06AA">
        <w:t xml:space="preserve">Eunomia (unpublished(a)) recommended DOC fraction (DOCf) values consistent with the 2019 IPCC refinement to the 2006 Guidelines, except for garden waste, which is adjusted for a proportion of woody branches. DOC values are calculated based on the ratio of the DDOC to OCf instead of being given explicitly. The DDOC values for all materials differ from IPCC </w:t>
      </w:r>
      <w:r w:rsidRPr="009E06AA">
        <w:rPr>
          <w:spacing w:val="-2"/>
        </w:rPr>
        <w:t>(2006a) defaults, which is largely a reflection of global trends in the characteristics of materials</w:t>
      </w:r>
      <w:r w:rsidRPr="009E06AA">
        <w:t xml:space="preserve">. On balance, the most suitable DDOC for food is the IPCC default (IPCC, 2019). Paper is lower </w:t>
      </w:r>
      <w:r w:rsidRPr="009E06AA">
        <w:rPr>
          <w:spacing w:val="-2"/>
        </w:rPr>
        <w:t>than the IPCC (2006a) default, to account for the types of paper such as magazine and newsprint</w:t>
      </w:r>
      <w:r w:rsidRPr="009E06AA">
        <w:t xml:space="preserve"> paper that do not degrade as easily as plain paper due to their high lignin content. The wood DDOC is specific to </w:t>
      </w:r>
      <w:r w:rsidRPr="009E06AA" w:rsidDel="00444896">
        <w:t>New</w:t>
      </w:r>
      <w:r w:rsidRPr="009E06AA">
        <w:t xml:space="preserve"> Zealand, much lower than IPCC (2006a) defaults but closer to IPCC (2019) values, because it accounts for the ratio of treated and untreated wood disposed in </w:t>
      </w:r>
      <w:r w:rsidRPr="009E06AA" w:rsidDel="00EE144F">
        <w:t>New Zealand</w:t>
      </w:r>
      <w:r w:rsidRPr="009E06AA">
        <w:t xml:space="preserve"> landfills, as well as the degradability of these types of wood wastes. DDOC for textiles varies, to account for an increasing quantity of synthetic fibres over time. Nappies have a lower DDOC than the IPCC default, which is based on the Swedish anaerobic digestion model, noting that there is no source or justification for the IPCC default. The rates of decay (k-values) are differentiated by climate and composition as determined by Eunomia (unpublished(a)).</w:t>
      </w:r>
    </w:p>
    <w:p w14:paraId="10DCCCF7" w14:textId="77777777" w:rsidR="00E87995" w:rsidRPr="009E06AA" w:rsidRDefault="00E87995" w:rsidP="00E87995">
      <w:pPr>
        <w:pStyle w:val="BodyText"/>
      </w:pPr>
      <w:r w:rsidRPr="009E06AA">
        <w:t xml:space="preserve">Eunomia (unpublished(a)) has carefully assessed international data, particularly from the United Kingdom, for its applicability to New Zealand landfills. It considered factors that could influence parameters at national and regional levels. For example, </w:t>
      </w:r>
      <w:r w:rsidRPr="009E06AA" w:rsidDel="007279A8">
        <w:t>New Zealand</w:t>
      </w:r>
      <w:r w:rsidRPr="009E06AA">
        <w:t xml:space="preserve"> is an island nation with a maritime climate, as is the United Kingdom, and some studies based in the United Kingdom take these factors into account when the IPCC default parameters (i.e., k‑values) do not. Further, landfill site management practices, such as landfill cell capping, gas capture methods, daily cover, intermediate cover and leachate management in the United </w:t>
      </w:r>
      <w:r w:rsidRPr="009E06AA">
        <w:rPr>
          <w:spacing w:val="-2"/>
        </w:rPr>
        <w:t xml:space="preserve">Kingdom and </w:t>
      </w:r>
      <w:r w:rsidRPr="009E06AA" w:rsidDel="00F6112E">
        <w:rPr>
          <w:spacing w:val="-2"/>
        </w:rPr>
        <w:t>New Zealand</w:t>
      </w:r>
      <w:r w:rsidRPr="009E06AA">
        <w:rPr>
          <w:spacing w:val="-2"/>
        </w:rPr>
        <w:t xml:space="preserve"> are reasonably well aligned. It is worth noticing that these standards</w:t>
      </w:r>
      <w:r w:rsidRPr="009E06AA">
        <w:t xml:space="preserve"> are not required under </w:t>
      </w:r>
      <w:r w:rsidRPr="009E06AA" w:rsidDel="005B5D7D">
        <w:t>New Zealand</w:t>
      </w:r>
      <w:r w:rsidRPr="009E06AA">
        <w:t xml:space="preserve"> legislation in the same way that they are required in the United Kingdom, so these practices may not be uniform. However, these represent the best data available for </w:t>
      </w:r>
      <w:r w:rsidRPr="009E06AA" w:rsidDel="005B5D7D">
        <w:t>New Zealand</w:t>
      </w:r>
      <w:r w:rsidRPr="009E06AA">
        <w:t xml:space="preserve"> landfills, until more </w:t>
      </w:r>
      <w:r w:rsidRPr="009E06AA" w:rsidDel="005B5D7D">
        <w:t>New Zealand</w:t>
      </w:r>
      <w:r w:rsidRPr="009E06AA">
        <w:t xml:space="preserve"> studies are available.</w:t>
      </w:r>
    </w:p>
    <w:p w14:paraId="01AFCA12" w14:textId="77777777" w:rsidR="00E87995" w:rsidRPr="009E06AA" w:rsidRDefault="00E87995" w:rsidP="00E87995">
      <w:pPr>
        <w:pStyle w:val="Heading6"/>
      </w:pPr>
      <w:bookmarkStart w:id="2849" w:name="gas-recovery"/>
      <w:bookmarkEnd w:id="2843"/>
      <w:r w:rsidRPr="009E06AA">
        <w:t>Gas recovery</w:t>
      </w:r>
    </w:p>
    <w:p w14:paraId="4FE7B9B4" w14:textId="77777777" w:rsidR="00E87995" w:rsidRPr="009E06AA" w:rsidRDefault="00E87995" w:rsidP="00E87995">
      <w:pPr>
        <w:pStyle w:val="BodyText"/>
      </w:pPr>
      <w:r w:rsidRPr="009E06AA">
        <w:t>Based on studies of similar landfills in the United Kingdom (Eunomia, unpublished(a)) gas recovery rates use one of two values depending on whether the site is currently open or not. These values are applied to all years and are representative of average recovery rates over the lifetime of the landfill as follows.</w:t>
      </w:r>
    </w:p>
    <w:p w14:paraId="07CC0BD5" w14:textId="77777777" w:rsidR="00E87995" w:rsidRPr="009E06AA" w:rsidRDefault="00E87995" w:rsidP="00E87995">
      <w:pPr>
        <w:pStyle w:val="Bullet"/>
      </w:pPr>
      <w:r w:rsidRPr="009E06AA">
        <w:t>Sites that are open in the latest reporting year use a 68 per cent gas recovery rate.</w:t>
      </w:r>
    </w:p>
    <w:p w14:paraId="39EEA1E7" w14:textId="77777777" w:rsidR="00E87995" w:rsidRPr="009E06AA" w:rsidRDefault="00E87995" w:rsidP="00E87995">
      <w:pPr>
        <w:pStyle w:val="Bullet"/>
      </w:pPr>
      <w:r w:rsidRPr="009E06AA">
        <w:t>Sites that are closed in the latest reporting year use a 52 per cent gas recovery rate.</w:t>
      </w:r>
    </w:p>
    <w:p w14:paraId="12C5E540" w14:textId="77777777" w:rsidR="00E87995" w:rsidRPr="009E06AA" w:rsidRDefault="00E87995" w:rsidP="00E87995">
      <w:pPr>
        <w:pStyle w:val="BodyText"/>
      </w:pPr>
      <w:r w:rsidRPr="009E06AA">
        <w:t xml:space="preserve">Using a higher recovery rate for open sites reflects that most of them are modern, large, well-managed facilities with more efficient systems than older sites that are less well‑managed. This approach is chosen due to the limited data available in </w:t>
      </w:r>
      <w:r w:rsidRPr="009E06AA" w:rsidDel="007F1047">
        <w:t>New Zealand</w:t>
      </w:r>
      <w:r w:rsidRPr="009E06AA">
        <w:t>. This will be revised if and when more capture data become available to the Ministry for the Environment.</w:t>
      </w:r>
    </w:p>
    <w:p w14:paraId="4CF882EB" w14:textId="77777777" w:rsidR="00E87995" w:rsidRPr="009E06AA" w:rsidRDefault="00E87995" w:rsidP="00E87995">
      <w:pPr>
        <w:pStyle w:val="BodyText"/>
      </w:pPr>
      <w:r w:rsidRPr="009E06AA">
        <w:t>Noting that most parameters used in the landfill models are similar to those in the United Kingdom, the observed CH</w:t>
      </w:r>
      <w:r w:rsidRPr="009E06AA">
        <w:rPr>
          <w:vertAlign w:val="subscript"/>
        </w:rPr>
        <w:t>4</w:t>
      </w:r>
      <w:r w:rsidRPr="009E06AA">
        <w:t xml:space="preserve"> recovery rates in the United Kingdom can be compared with the parameters used in the </w:t>
      </w:r>
      <w:r w:rsidRPr="009E06AA" w:rsidDel="00F05789">
        <w:t>New Zealand</w:t>
      </w:r>
      <w:r w:rsidRPr="009E06AA">
        <w:t xml:space="preserve"> model. Recovery rates in the United Kingdom were found to be between 45 per cent and 70 per cent or more (Eunomia, unpublished(a)). The values chosen for New </w:t>
      </w:r>
      <w:r w:rsidRPr="009E06AA" w:rsidDel="00F05789">
        <w:t>Zealand</w:t>
      </w:r>
      <w:r w:rsidRPr="009E06AA">
        <w:t xml:space="preserve"> are within this range.</w:t>
      </w:r>
    </w:p>
    <w:p w14:paraId="74C353D3" w14:textId="77777777" w:rsidR="00E87995" w:rsidRPr="009E06AA" w:rsidRDefault="00E87995" w:rsidP="00E87995">
      <w:pPr>
        <w:pStyle w:val="BodyText"/>
      </w:pPr>
      <w:r w:rsidRPr="009E06AA">
        <w:t xml:space="preserve">This approach was chosen due to the limited data currently available in </w:t>
      </w:r>
      <w:r w:rsidRPr="009E06AA" w:rsidDel="00F05789">
        <w:t>New Zealand</w:t>
      </w:r>
      <w:r w:rsidRPr="009E06AA">
        <w:t>. The Ministry for the Environment is in the process of collecting country-specific capture data to revise these assumptions and adopt CH</w:t>
      </w:r>
      <w:r w:rsidRPr="009E06AA">
        <w:rPr>
          <w:vertAlign w:val="subscript"/>
        </w:rPr>
        <w:t>4</w:t>
      </w:r>
      <w:r w:rsidRPr="009E06AA">
        <w:t xml:space="preserve"> recovery efficiency rates that are more suitable to the </w:t>
      </w:r>
      <w:r w:rsidRPr="009E06AA">
        <w:rPr>
          <w:spacing w:val="-2"/>
        </w:rPr>
        <w:t>national context. Collection efficiency is dependent on various factors including the permeability</w:t>
      </w:r>
      <w:r w:rsidRPr="009E06AA">
        <w:t xml:space="preserve"> of the cover soil, the part of the landfill where CH</w:t>
      </w:r>
      <w:r w:rsidRPr="009E06AA">
        <w:rPr>
          <w:vertAlign w:val="subscript"/>
        </w:rPr>
        <w:t>4</w:t>
      </w:r>
      <w:r w:rsidRPr="009E06AA">
        <w:t xml:space="preserve"> is collected, and well density, among other factors, which can significantly differ from those occurring in the United Kingdom.</w:t>
      </w:r>
    </w:p>
    <w:p w14:paraId="0473B96C" w14:textId="77777777" w:rsidR="00E87995" w:rsidRPr="009E06AA" w:rsidRDefault="00E87995" w:rsidP="00E87995">
      <w:pPr>
        <w:pStyle w:val="Heading6"/>
      </w:pPr>
      <w:bookmarkStart w:id="2850" w:name="summary-of-parameters-used"/>
      <w:bookmarkEnd w:id="2849"/>
      <w:r w:rsidRPr="009E06AA">
        <w:t>Summary of parameters used</w:t>
      </w:r>
    </w:p>
    <w:p w14:paraId="669D09C5" w14:textId="77777777" w:rsidR="00E87995" w:rsidRPr="009E06AA" w:rsidRDefault="00E87995" w:rsidP="00E87995">
      <w:pPr>
        <w:pStyle w:val="BodyText"/>
      </w:pPr>
      <w:r w:rsidRPr="009E06AA">
        <w:t>Table 7.2.7 gives a summary of the parameter values that have been applied for estimating CH</w:t>
      </w:r>
      <w:r w:rsidRPr="009E06AA">
        <w:rPr>
          <w:vertAlign w:val="subscript"/>
        </w:rPr>
        <w:t>4</w:t>
      </w:r>
      <w:r w:rsidRPr="009E06AA">
        <w:t xml:space="preserve"> emissions for solid waste disposed to municipal landfills.</w:t>
      </w:r>
    </w:p>
    <w:p w14:paraId="318CCAD8" w14:textId="77777777" w:rsidR="00E87995" w:rsidRPr="009E06AA" w:rsidRDefault="00E87995" w:rsidP="00E87995">
      <w:pPr>
        <w:pStyle w:val="Table"/>
      </w:pPr>
      <w:bookmarkStart w:id="2851" w:name="_Toc128383668"/>
      <w:bookmarkStart w:id="2852" w:name="_Toc131591441"/>
      <w:bookmarkStart w:id="2853" w:name="_Toc160537320"/>
      <w:bookmarkStart w:id="2854" w:name="_Toc160537682"/>
      <w:bookmarkStart w:id="2855" w:name="_Toc164153932"/>
      <w:r w:rsidRPr="009E06AA">
        <w:t>Table 7.2.7</w:t>
      </w:r>
      <w:r w:rsidRPr="009E06AA">
        <w:tab/>
        <w:t>Summary of parameters for municipal landfills</w:t>
      </w:r>
      <w:bookmarkEnd w:id="2851"/>
      <w:bookmarkEnd w:id="2852"/>
      <w:bookmarkEnd w:id="2853"/>
      <w:bookmarkEnd w:id="2854"/>
      <w:bookmarkEnd w:id="2855"/>
    </w:p>
    <w:tbl>
      <w:tblPr>
        <w:tblW w:w="8494" w:type="dxa"/>
        <w:tblBorders>
          <w:top w:val="single" w:sz="4" w:space="0" w:color="1B556B" w:themeColor="text2"/>
          <w:bottom w:val="single" w:sz="4" w:space="0" w:color="1B556B" w:themeColor="text2"/>
          <w:insideH w:val="single" w:sz="4" w:space="0" w:color="1B556B" w:themeColor="text2"/>
        </w:tblBorders>
        <w:tblLook w:val="0420" w:firstRow="1" w:lastRow="0" w:firstColumn="0" w:lastColumn="0" w:noHBand="0" w:noVBand="1"/>
      </w:tblPr>
      <w:tblGrid>
        <w:gridCol w:w="2649"/>
        <w:gridCol w:w="1777"/>
        <w:gridCol w:w="1245"/>
        <w:gridCol w:w="2823"/>
      </w:tblGrid>
      <w:tr w:rsidR="00E87995" w:rsidRPr="009E06AA" w14:paraId="42A06881" w14:textId="77777777" w:rsidTr="00B55F24">
        <w:trPr>
          <w:tblHeader/>
        </w:trPr>
        <w:tc>
          <w:tcPr>
            <w:tcW w:w="0" w:type="auto"/>
            <w:shd w:val="clear" w:color="auto" w:fill="1B556B"/>
            <w:tcMar>
              <w:top w:w="0" w:type="dxa"/>
              <w:left w:w="85" w:type="dxa"/>
              <w:bottom w:w="0" w:type="dxa"/>
              <w:right w:w="85" w:type="dxa"/>
            </w:tcMar>
          </w:tcPr>
          <w:p w14:paraId="014E991D" w14:textId="77777777" w:rsidR="00E87995" w:rsidRPr="009E06AA" w:rsidRDefault="00E87995" w:rsidP="00B55F24">
            <w:pPr>
              <w:pStyle w:val="TableTextBold"/>
              <w:spacing w:before="40" w:after="30"/>
              <w:rPr>
                <w:noProof w:val="0"/>
                <w:color w:val="FFFFFF" w:themeColor="background1"/>
                <w:szCs w:val="16"/>
              </w:rPr>
            </w:pPr>
            <w:r w:rsidRPr="009E06AA">
              <w:rPr>
                <w:noProof w:val="0"/>
                <w:color w:val="FFFFFF" w:themeColor="background1"/>
                <w:szCs w:val="16"/>
              </w:rPr>
              <w:t>Parameter</w:t>
            </w:r>
          </w:p>
        </w:tc>
        <w:tc>
          <w:tcPr>
            <w:tcW w:w="0" w:type="auto"/>
            <w:shd w:val="clear" w:color="auto" w:fill="1B556B"/>
            <w:tcMar>
              <w:top w:w="0" w:type="dxa"/>
              <w:left w:w="85" w:type="dxa"/>
              <w:bottom w:w="0" w:type="dxa"/>
              <w:right w:w="85" w:type="dxa"/>
            </w:tcMar>
          </w:tcPr>
          <w:p w14:paraId="3F549C71" w14:textId="77777777" w:rsidR="00E87995" w:rsidRPr="009E06AA" w:rsidRDefault="00E87995" w:rsidP="00FE7C1C">
            <w:pPr>
              <w:pStyle w:val="TableTextBold"/>
              <w:spacing w:before="40" w:after="30"/>
              <w:jc w:val="right"/>
              <w:rPr>
                <w:noProof w:val="0"/>
                <w:color w:val="FFFFFF" w:themeColor="background1"/>
                <w:szCs w:val="16"/>
              </w:rPr>
            </w:pPr>
            <w:r w:rsidRPr="009E06AA">
              <w:rPr>
                <w:noProof w:val="0"/>
                <w:color w:val="FFFFFF" w:themeColor="background1"/>
                <w:szCs w:val="16"/>
              </w:rPr>
              <w:t>Values</w:t>
            </w:r>
          </w:p>
        </w:tc>
        <w:tc>
          <w:tcPr>
            <w:tcW w:w="733" w:type="pct"/>
            <w:shd w:val="clear" w:color="auto" w:fill="1B556B"/>
            <w:tcMar>
              <w:top w:w="0" w:type="dxa"/>
              <w:left w:w="85" w:type="dxa"/>
              <w:bottom w:w="0" w:type="dxa"/>
              <w:right w:w="85" w:type="dxa"/>
            </w:tcMar>
          </w:tcPr>
          <w:p w14:paraId="2C0269A7" w14:textId="77777777" w:rsidR="00E87995" w:rsidRPr="009E06AA" w:rsidRDefault="00E87995" w:rsidP="00B55F24">
            <w:pPr>
              <w:pStyle w:val="TableTextBold"/>
              <w:spacing w:before="40" w:after="30"/>
              <w:rPr>
                <w:noProof w:val="0"/>
                <w:color w:val="FFFFFF" w:themeColor="background1"/>
                <w:szCs w:val="16"/>
              </w:rPr>
            </w:pPr>
            <w:r w:rsidRPr="009E06AA">
              <w:rPr>
                <w:noProof w:val="0"/>
                <w:color w:val="FFFFFF" w:themeColor="background1"/>
                <w:szCs w:val="16"/>
              </w:rPr>
              <w:t>Source</w:t>
            </w:r>
          </w:p>
        </w:tc>
        <w:tc>
          <w:tcPr>
            <w:tcW w:w="1662" w:type="pct"/>
            <w:shd w:val="clear" w:color="auto" w:fill="1B556B"/>
            <w:tcMar>
              <w:top w:w="0" w:type="dxa"/>
              <w:left w:w="85" w:type="dxa"/>
              <w:bottom w:w="0" w:type="dxa"/>
              <w:right w:w="85" w:type="dxa"/>
            </w:tcMar>
          </w:tcPr>
          <w:p w14:paraId="739BFF5C" w14:textId="77777777" w:rsidR="00E87995" w:rsidRPr="009E06AA" w:rsidRDefault="00E87995" w:rsidP="00B55F24">
            <w:pPr>
              <w:pStyle w:val="TableTextBold"/>
              <w:spacing w:before="40" w:after="30"/>
              <w:rPr>
                <w:noProof w:val="0"/>
                <w:color w:val="FFFFFF" w:themeColor="background1"/>
                <w:szCs w:val="16"/>
              </w:rPr>
            </w:pPr>
            <w:r w:rsidRPr="009E06AA">
              <w:rPr>
                <w:noProof w:val="0"/>
                <w:color w:val="FFFFFF" w:themeColor="background1"/>
                <w:szCs w:val="16"/>
              </w:rPr>
              <w:t>Reference</w:t>
            </w:r>
          </w:p>
        </w:tc>
      </w:tr>
      <w:tr w:rsidR="00E87995" w:rsidRPr="009E06AA" w14:paraId="426DA547" w14:textId="77777777" w:rsidTr="00B55F24">
        <w:tc>
          <w:tcPr>
            <w:tcW w:w="0" w:type="auto"/>
            <w:shd w:val="clear" w:color="auto" w:fill="FFFFFF"/>
            <w:tcMar>
              <w:top w:w="0" w:type="dxa"/>
              <w:left w:w="85" w:type="dxa"/>
              <w:bottom w:w="0" w:type="dxa"/>
              <w:right w:w="85" w:type="dxa"/>
            </w:tcMar>
          </w:tcPr>
          <w:p w14:paraId="1ED5EEEA" w14:textId="77777777" w:rsidR="00E87995" w:rsidRPr="009E06AA" w:rsidRDefault="00E87995" w:rsidP="00B55F24">
            <w:pPr>
              <w:pStyle w:val="TableText"/>
              <w:spacing w:before="40" w:after="30"/>
              <w:rPr>
                <w:b/>
                <w:bCs/>
                <w:szCs w:val="16"/>
              </w:rPr>
            </w:pPr>
            <w:r w:rsidRPr="009E06AA">
              <w:rPr>
                <w:b/>
                <w:bCs/>
                <w:color w:val="1B556B"/>
                <w:szCs w:val="16"/>
              </w:rPr>
              <w:t>Managed landfills</w:t>
            </w:r>
          </w:p>
        </w:tc>
        <w:tc>
          <w:tcPr>
            <w:tcW w:w="0" w:type="auto"/>
            <w:shd w:val="clear" w:color="auto" w:fill="FFFFFF"/>
            <w:tcMar>
              <w:top w:w="0" w:type="dxa"/>
              <w:left w:w="85" w:type="dxa"/>
              <w:bottom w:w="0" w:type="dxa"/>
              <w:right w:w="85" w:type="dxa"/>
            </w:tcMar>
          </w:tcPr>
          <w:p w14:paraId="103B3684" w14:textId="77777777" w:rsidR="00E87995" w:rsidRPr="009E06AA" w:rsidRDefault="00E87995" w:rsidP="00FE7C1C">
            <w:pPr>
              <w:pStyle w:val="TableText"/>
              <w:spacing w:before="40" w:after="30"/>
              <w:jc w:val="right"/>
              <w:rPr>
                <w:szCs w:val="16"/>
              </w:rPr>
            </w:pPr>
          </w:p>
        </w:tc>
        <w:tc>
          <w:tcPr>
            <w:tcW w:w="733" w:type="pct"/>
            <w:shd w:val="clear" w:color="auto" w:fill="FFFFFF"/>
            <w:tcMar>
              <w:top w:w="0" w:type="dxa"/>
              <w:left w:w="85" w:type="dxa"/>
              <w:bottom w:w="0" w:type="dxa"/>
              <w:right w:w="85" w:type="dxa"/>
            </w:tcMar>
          </w:tcPr>
          <w:p w14:paraId="4AA71F93" w14:textId="77777777" w:rsidR="00E87995" w:rsidRPr="009E06AA" w:rsidRDefault="00E87995" w:rsidP="00B55F24">
            <w:pPr>
              <w:pStyle w:val="TableText"/>
              <w:spacing w:before="40" w:after="30"/>
              <w:rPr>
                <w:szCs w:val="16"/>
              </w:rPr>
            </w:pPr>
          </w:p>
        </w:tc>
        <w:tc>
          <w:tcPr>
            <w:tcW w:w="1662" w:type="pct"/>
            <w:shd w:val="clear" w:color="auto" w:fill="FFFFFF"/>
            <w:tcMar>
              <w:top w:w="0" w:type="dxa"/>
              <w:left w:w="85" w:type="dxa"/>
              <w:bottom w:w="0" w:type="dxa"/>
              <w:right w:w="85" w:type="dxa"/>
            </w:tcMar>
          </w:tcPr>
          <w:p w14:paraId="08731808" w14:textId="77777777" w:rsidR="00E87995" w:rsidRPr="009E06AA" w:rsidRDefault="00E87995" w:rsidP="00B55F24">
            <w:pPr>
              <w:pStyle w:val="TableText"/>
              <w:spacing w:before="40" w:after="30"/>
              <w:rPr>
                <w:szCs w:val="16"/>
              </w:rPr>
            </w:pPr>
          </w:p>
        </w:tc>
      </w:tr>
      <w:tr w:rsidR="00E87995" w:rsidRPr="009E06AA" w14:paraId="6A83991F" w14:textId="77777777" w:rsidTr="00B55F24">
        <w:tc>
          <w:tcPr>
            <w:tcW w:w="0" w:type="auto"/>
            <w:shd w:val="clear" w:color="auto" w:fill="FFFFFF"/>
            <w:tcMar>
              <w:top w:w="0" w:type="dxa"/>
              <w:left w:w="85" w:type="dxa"/>
              <w:bottom w:w="0" w:type="dxa"/>
              <w:right w:w="85" w:type="dxa"/>
            </w:tcMar>
          </w:tcPr>
          <w:p w14:paraId="036A5B61" w14:textId="77777777" w:rsidR="00E87995" w:rsidRPr="009E06AA" w:rsidRDefault="00E87995" w:rsidP="00B55F24">
            <w:pPr>
              <w:pStyle w:val="TableText"/>
              <w:spacing w:before="40" w:after="30"/>
              <w:rPr>
                <w:szCs w:val="16"/>
              </w:rPr>
            </w:pPr>
            <w:r w:rsidRPr="009E06AA">
              <w:rPr>
                <w:color w:val="000000"/>
                <w:szCs w:val="16"/>
              </w:rPr>
              <w:t>k-value (by waste type and rainfall)</w:t>
            </w:r>
          </w:p>
        </w:tc>
        <w:tc>
          <w:tcPr>
            <w:tcW w:w="0" w:type="auto"/>
            <w:shd w:val="clear" w:color="auto" w:fill="FFFFFF"/>
            <w:tcMar>
              <w:top w:w="0" w:type="dxa"/>
              <w:left w:w="85" w:type="dxa"/>
              <w:bottom w:w="0" w:type="dxa"/>
              <w:right w:w="85" w:type="dxa"/>
            </w:tcMar>
          </w:tcPr>
          <w:p w14:paraId="22404FC3" w14:textId="77777777" w:rsidR="00E87995" w:rsidRPr="009E06AA" w:rsidRDefault="00E87995" w:rsidP="00FE7C1C">
            <w:pPr>
              <w:pStyle w:val="TableText"/>
              <w:spacing w:before="40" w:after="30"/>
              <w:jc w:val="right"/>
              <w:rPr>
                <w:szCs w:val="16"/>
              </w:rPr>
            </w:pPr>
            <w:r w:rsidRPr="009E06AA">
              <w:rPr>
                <w:color w:val="000000"/>
                <w:szCs w:val="16"/>
              </w:rPr>
              <w:t>0.046–0.694</w:t>
            </w:r>
          </w:p>
        </w:tc>
        <w:tc>
          <w:tcPr>
            <w:tcW w:w="733" w:type="pct"/>
            <w:shd w:val="clear" w:color="auto" w:fill="FFFFFF"/>
            <w:tcMar>
              <w:top w:w="0" w:type="dxa"/>
              <w:left w:w="85" w:type="dxa"/>
              <w:bottom w:w="0" w:type="dxa"/>
              <w:right w:w="85" w:type="dxa"/>
            </w:tcMar>
          </w:tcPr>
          <w:p w14:paraId="1840B62C" w14:textId="77777777" w:rsidR="00E87995" w:rsidRPr="009E06AA" w:rsidRDefault="00E87995" w:rsidP="00B55F24">
            <w:pPr>
              <w:pStyle w:val="TableText"/>
              <w:spacing w:before="40" w:after="30"/>
              <w:rPr>
                <w:szCs w:val="16"/>
              </w:rPr>
            </w:pPr>
            <w:r w:rsidRPr="009E06AA">
              <w:rPr>
                <w:color w:val="000000"/>
                <w:szCs w:val="16"/>
              </w:rPr>
              <w:t>Country specific</w:t>
            </w:r>
          </w:p>
        </w:tc>
        <w:tc>
          <w:tcPr>
            <w:tcW w:w="1662" w:type="pct"/>
            <w:shd w:val="clear" w:color="auto" w:fill="FFFFFF"/>
            <w:tcMar>
              <w:top w:w="0" w:type="dxa"/>
              <w:left w:w="85" w:type="dxa"/>
              <w:bottom w:w="0" w:type="dxa"/>
              <w:right w:w="85" w:type="dxa"/>
            </w:tcMar>
          </w:tcPr>
          <w:p w14:paraId="059970A8" w14:textId="77777777" w:rsidR="00E87995" w:rsidRPr="009E06AA" w:rsidRDefault="00E87995" w:rsidP="00B55F24">
            <w:pPr>
              <w:pStyle w:val="TableText"/>
              <w:spacing w:before="40" w:after="30"/>
              <w:rPr>
                <w:szCs w:val="16"/>
              </w:rPr>
            </w:pPr>
            <w:r w:rsidRPr="009E06AA">
              <w:rPr>
                <w:color w:val="000000"/>
                <w:szCs w:val="16"/>
              </w:rPr>
              <w:t>Eunomia (unpublished(a)), IPCC (2006a)</w:t>
            </w:r>
          </w:p>
        </w:tc>
      </w:tr>
      <w:tr w:rsidR="00E87995" w:rsidRPr="009E06AA" w14:paraId="57972377" w14:textId="77777777" w:rsidTr="00B55F24">
        <w:tc>
          <w:tcPr>
            <w:tcW w:w="0" w:type="auto"/>
            <w:shd w:val="clear" w:color="auto" w:fill="FFFFFF"/>
            <w:tcMar>
              <w:top w:w="0" w:type="dxa"/>
              <w:left w:w="85" w:type="dxa"/>
              <w:bottom w:w="0" w:type="dxa"/>
              <w:right w:w="85" w:type="dxa"/>
            </w:tcMar>
          </w:tcPr>
          <w:p w14:paraId="55962E06" w14:textId="77777777" w:rsidR="00E87995" w:rsidRPr="009E06AA" w:rsidRDefault="00E87995" w:rsidP="00B55F24">
            <w:pPr>
              <w:pStyle w:val="TableText"/>
              <w:spacing w:before="40" w:after="30"/>
              <w:rPr>
                <w:szCs w:val="16"/>
              </w:rPr>
            </w:pPr>
            <w:r w:rsidRPr="009E06AA">
              <w:rPr>
                <w:color w:val="000000"/>
                <w:szCs w:val="16"/>
              </w:rPr>
              <w:t>Methane correction factor</w:t>
            </w:r>
          </w:p>
        </w:tc>
        <w:tc>
          <w:tcPr>
            <w:tcW w:w="0" w:type="auto"/>
            <w:shd w:val="clear" w:color="auto" w:fill="FFFFFF"/>
            <w:tcMar>
              <w:top w:w="0" w:type="dxa"/>
              <w:left w:w="85" w:type="dxa"/>
              <w:bottom w:w="0" w:type="dxa"/>
              <w:right w:w="85" w:type="dxa"/>
            </w:tcMar>
          </w:tcPr>
          <w:p w14:paraId="7D708E5E" w14:textId="77777777" w:rsidR="00E87995" w:rsidRPr="009E06AA" w:rsidRDefault="00E87995" w:rsidP="00FE7C1C">
            <w:pPr>
              <w:pStyle w:val="TableText"/>
              <w:spacing w:before="40" w:after="30"/>
              <w:jc w:val="right"/>
              <w:rPr>
                <w:szCs w:val="16"/>
              </w:rPr>
            </w:pPr>
            <w:r w:rsidRPr="009E06AA">
              <w:rPr>
                <w:color w:val="000000"/>
                <w:szCs w:val="16"/>
              </w:rPr>
              <w:t>1</w:t>
            </w:r>
          </w:p>
        </w:tc>
        <w:tc>
          <w:tcPr>
            <w:tcW w:w="733" w:type="pct"/>
            <w:shd w:val="clear" w:color="auto" w:fill="FFFFFF"/>
            <w:tcMar>
              <w:top w:w="0" w:type="dxa"/>
              <w:left w:w="85" w:type="dxa"/>
              <w:bottom w:w="0" w:type="dxa"/>
              <w:right w:w="85" w:type="dxa"/>
            </w:tcMar>
          </w:tcPr>
          <w:p w14:paraId="6212A575" w14:textId="77777777" w:rsidR="00E87995" w:rsidRPr="009E06AA" w:rsidRDefault="00E87995" w:rsidP="00B55F24">
            <w:pPr>
              <w:pStyle w:val="TableText"/>
              <w:spacing w:before="40" w:after="30"/>
              <w:rPr>
                <w:szCs w:val="16"/>
              </w:rPr>
            </w:pPr>
            <w:r w:rsidRPr="009E06AA">
              <w:rPr>
                <w:color w:val="000000"/>
                <w:szCs w:val="16"/>
              </w:rPr>
              <w:t>IPCC default</w:t>
            </w:r>
          </w:p>
        </w:tc>
        <w:tc>
          <w:tcPr>
            <w:tcW w:w="1662" w:type="pct"/>
            <w:shd w:val="clear" w:color="auto" w:fill="FFFFFF"/>
            <w:tcMar>
              <w:top w:w="0" w:type="dxa"/>
              <w:left w:w="85" w:type="dxa"/>
              <w:bottom w:w="0" w:type="dxa"/>
              <w:right w:w="85" w:type="dxa"/>
            </w:tcMar>
          </w:tcPr>
          <w:p w14:paraId="00625658" w14:textId="77777777" w:rsidR="00E87995" w:rsidRPr="009E06AA" w:rsidRDefault="00E87995" w:rsidP="00B55F24">
            <w:pPr>
              <w:pStyle w:val="TableText"/>
              <w:spacing w:before="40" w:after="30"/>
              <w:rPr>
                <w:szCs w:val="16"/>
              </w:rPr>
            </w:pPr>
            <w:r w:rsidRPr="009E06AA">
              <w:rPr>
                <w:color w:val="000000"/>
                <w:szCs w:val="16"/>
              </w:rPr>
              <w:t>IPCC (2006a)</w:t>
            </w:r>
          </w:p>
        </w:tc>
      </w:tr>
      <w:tr w:rsidR="00E87995" w:rsidRPr="009E06AA" w14:paraId="3A59B8D2" w14:textId="77777777" w:rsidTr="00B55F24">
        <w:tc>
          <w:tcPr>
            <w:tcW w:w="0" w:type="auto"/>
            <w:shd w:val="clear" w:color="auto" w:fill="FFFFFF"/>
            <w:tcMar>
              <w:top w:w="0" w:type="dxa"/>
              <w:left w:w="85" w:type="dxa"/>
              <w:bottom w:w="0" w:type="dxa"/>
              <w:right w:w="85" w:type="dxa"/>
            </w:tcMar>
          </w:tcPr>
          <w:p w14:paraId="5C388098" w14:textId="77777777" w:rsidR="00E87995" w:rsidRPr="009E06AA" w:rsidRDefault="00E87995" w:rsidP="00B55F24">
            <w:pPr>
              <w:pStyle w:val="TableText"/>
              <w:spacing w:before="40" w:after="30"/>
              <w:rPr>
                <w:szCs w:val="16"/>
              </w:rPr>
            </w:pPr>
            <w:r w:rsidRPr="009E06AA">
              <w:rPr>
                <w:color w:val="000000"/>
                <w:szCs w:val="16"/>
              </w:rPr>
              <w:t>Oxidation factor</w:t>
            </w:r>
          </w:p>
        </w:tc>
        <w:tc>
          <w:tcPr>
            <w:tcW w:w="0" w:type="auto"/>
            <w:shd w:val="clear" w:color="auto" w:fill="FFFFFF"/>
            <w:tcMar>
              <w:top w:w="0" w:type="dxa"/>
              <w:left w:w="85" w:type="dxa"/>
              <w:bottom w:w="0" w:type="dxa"/>
              <w:right w:w="85" w:type="dxa"/>
            </w:tcMar>
          </w:tcPr>
          <w:p w14:paraId="7EAA32D0" w14:textId="77777777" w:rsidR="00E87995" w:rsidRPr="009E06AA" w:rsidRDefault="00E87995" w:rsidP="00FE7C1C">
            <w:pPr>
              <w:pStyle w:val="TableText"/>
              <w:spacing w:before="40" w:after="30"/>
              <w:jc w:val="right"/>
              <w:rPr>
                <w:szCs w:val="16"/>
              </w:rPr>
            </w:pPr>
            <w:r w:rsidRPr="009E06AA">
              <w:rPr>
                <w:color w:val="000000"/>
                <w:szCs w:val="16"/>
              </w:rPr>
              <w:t>10 per cent</w:t>
            </w:r>
          </w:p>
        </w:tc>
        <w:tc>
          <w:tcPr>
            <w:tcW w:w="733" w:type="pct"/>
            <w:shd w:val="clear" w:color="auto" w:fill="FFFFFF"/>
            <w:tcMar>
              <w:top w:w="0" w:type="dxa"/>
              <w:left w:w="85" w:type="dxa"/>
              <w:bottom w:w="0" w:type="dxa"/>
              <w:right w:w="85" w:type="dxa"/>
            </w:tcMar>
          </w:tcPr>
          <w:p w14:paraId="626C4F78" w14:textId="77777777" w:rsidR="00E87995" w:rsidRPr="009E06AA" w:rsidRDefault="00E87995" w:rsidP="00B55F24">
            <w:pPr>
              <w:pStyle w:val="TableText"/>
              <w:spacing w:before="40" w:after="30"/>
              <w:rPr>
                <w:szCs w:val="16"/>
              </w:rPr>
            </w:pPr>
            <w:r w:rsidRPr="009E06AA">
              <w:rPr>
                <w:color w:val="000000"/>
                <w:szCs w:val="16"/>
              </w:rPr>
              <w:t>IPCC default</w:t>
            </w:r>
          </w:p>
        </w:tc>
        <w:tc>
          <w:tcPr>
            <w:tcW w:w="1662" w:type="pct"/>
            <w:shd w:val="clear" w:color="auto" w:fill="FFFFFF"/>
            <w:tcMar>
              <w:top w:w="0" w:type="dxa"/>
              <w:left w:w="85" w:type="dxa"/>
              <w:bottom w:w="0" w:type="dxa"/>
              <w:right w:w="85" w:type="dxa"/>
            </w:tcMar>
          </w:tcPr>
          <w:p w14:paraId="70319CD0" w14:textId="77777777" w:rsidR="00E87995" w:rsidRPr="009E06AA" w:rsidRDefault="00E87995" w:rsidP="00B55F24">
            <w:pPr>
              <w:pStyle w:val="TableText"/>
              <w:spacing w:before="40" w:after="30"/>
              <w:rPr>
                <w:szCs w:val="16"/>
              </w:rPr>
            </w:pPr>
            <w:r w:rsidRPr="009E06AA">
              <w:rPr>
                <w:color w:val="000000"/>
                <w:szCs w:val="16"/>
              </w:rPr>
              <w:t>IPCC (2006a)</w:t>
            </w:r>
          </w:p>
        </w:tc>
      </w:tr>
      <w:tr w:rsidR="00E87995" w:rsidRPr="009E06AA" w14:paraId="087C63D7" w14:textId="77777777" w:rsidTr="00B55F24">
        <w:tc>
          <w:tcPr>
            <w:tcW w:w="0" w:type="auto"/>
            <w:shd w:val="clear" w:color="auto" w:fill="FFFFFF"/>
            <w:tcMar>
              <w:top w:w="0" w:type="dxa"/>
              <w:left w:w="85" w:type="dxa"/>
              <w:bottom w:w="0" w:type="dxa"/>
              <w:right w:w="85" w:type="dxa"/>
            </w:tcMar>
          </w:tcPr>
          <w:p w14:paraId="1F142170" w14:textId="77777777" w:rsidR="00E87995" w:rsidRPr="009E06AA" w:rsidRDefault="00E87995" w:rsidP="00B55F24">
            <w:pPr>
              <w:pStyle w:val="TableText"/>
              <w:spacing w:before="40" w:after="30"/>
              <w:rPr>
                <w:szCs w:val="16"/>
              </w:rPr>
            </w:pPr>
            <w:r w:rsidRPr="009E06AA">
              <w:rPr>
                <w:color w:val="000000"/>
                <w:szCs w:val="16"/>
              </w:rPr>
              <w:t>Recovery efficiency</w:t>
            </w:r>
          </w:p>
        </w:tc>
        <w:tc>
          <w:tcPr>
            <w:tcW w:w="0" w:type="auto"/>
            <w:shd w:val="clear" w:color="auto" w:fill="FFFFFF"/>
            <w:tcMar>
              <w:top w:w="0" w:type="dxa"/>
              <w:left w:w="85" w:type="dxa"/>
              <w:bottom w:w="0" w:type="dxa"/>
              <w:right w:w="85" w:type="dxa"/>
            </w:tcMar>
          </w:tcPr>
          <w:p w14:paraId="625394A9" w14:textId="77777777" w:rsidR="00E87995" w:rsidRPr="009E06AA" w:rsidRDefault="00E87995" w:rsidP="00FE7C1C">
            <w:pPr>
              <w:pStyle w:val="TableText"/>
              <w:spacing w:before="40" w:after="30"/>
              <w:jc w:val="right"/>
              <w:rPr>
                <w:szCs w:val="16"/>
              </w:rPr>
            </w:pPr>
            <w:r w:rsidRPr="009E06AA">
              <w:rPr>
                <w:color w:val="000000"/>
                <w:szCs w:val="16"/>
              </w:rPr>
              <w:t xml:space="preserve">52 per cent (closed) </w:t>
            </w:r>
            <w:r w:rsidRPr="009E06AA">
              <w:rPr>
                <w:color w:val="000000"/>
                <w:szCs w:val="16"/>
              </w:rPr>
              <w:br/>
              <w:t xml:space="preserve">68 per cent (open) </w:t>
            </w:r>
            <w:r w:rsidRPr="009E06AA">
              <w:rPr>
                <w:color w:val="000000"/>
                <w:szCs w:val="16"/>
              </w:rPr>
              <w:br/>
              <w:t>0 per cent (no recovery)</w:t>
            </w:r>
          </w:p>
        </w:tc>
        <w:tc>
          <w:tcPr>
            <w:tcW w:w="733" w:type="pct"/>
            <w:shd w:val="clear" w:color="auto" w:fill="FFFFFF"/>
            <w:tcMar>
              <w:top w:w="0" w:type="dxa"/>
              <w:left w:w="85" w:type="dxa"/>
              <w:bottom w:w="0" w:type="dxa"/>
              <w:right w:w="85" w:type="dxa"/>
            </w:tcMar>
          </w:tcPr>
          <w:p w14:paraId="3B7B0278" w14:textId="77777777" w:rsidR="00E87995" w:rsidRPr="009E06AA" w:rsidRDefault="00E87995" w:rsidP="00B55F24">
            <w:pPr>
              <w:pStyle w:val="TableText"/>
              <w:spacing w:before="40" w:after="30"/>
              <w:rPr>
                <w:szCs w:val="16"/>
              </w:rPr>
            </w:pPr>
            <w:r w:rsidRPr="009E06AA">
              <w:rPr>
                <w:color w:val="000000"/>
                <w:szCs w:val="16"/>
              </w:rPr>
              <w:t>Site specific</w:t>
            </w:r>
          </w:p>
        </w:tc>
        <w:tc>
          <w:tcPr>
            <w:tcW w:w="1662" w:type="pct"/>
            <w:shd w:val="clear" w:color="auto" w:fill="FFFFFF"/>
            <w:tcMar>
              <w:top w:w="0" w:type="dxa"/>
              <w:left w:w="85" w:type="dxa"/>
              <w:bottom w:w="0" w:type="dxa"/>
              <w:right w:w="85" w:type="dxa"/>
            </w:tcMar>
          </w:tcPr>
          <w:p w14:paraId="791A7EB8" w14:textId="77777777" w:rsidR="00E87995" w:rsidRPr="009E06AA" w:rsidRDefault="00E87995" w:rsidP="00B55F24">
            <w:pPr>
              <w:pStyle w:val="TableText"/>
              <w:spacing w:before="40" w:after="30"/>
              <w:rPr>
                <w:szCs w:val="16"/>
              </w:rPr>
            </w:pPr>
            <w:r w:rsidRPr="009E06AA">
              <w:rPr>
                <w:color w:val="000000"/>
                <w:szCs w:val="16"/>
              </w:rPr>
              <w:t>Eunomia (unpublished(a))</w:t>
            </w:r>
          </w:p>
        </w:tc>
      </w:tr>
      <w:tr w:rsidR="00E87995" w:rsidRPr="009E06AA" w14:paraId="5C2DBA79" w14:textId="77777777" w:rsidTr="00B55F24">
        <w:tc>
          <w:tcPr>
            <w:tcW w:w="0" w:type="auto"/>
            <w:shd w:val="clear" w:color="auto" w:fill="FFFFFF"/>
            <w:tcMar>
              <w:top w:w="0" w:type="dxa"/>
              <w:left w:w="85" w:type="dxa"/>
              <w:bottom w:w="0" w:type="dxa"/>
              <w:right w:w="85" w:type="dxa"/>
            </w:tcMar>
          </w:tcPr>
          <w:p w14:paraId="270EE07C" w14:textId="77777777" w:rsidR="00E87995" w:rsidRPr="009E06AA" w:rsidRDefault="00E87995" w:rsidP="00B55F24">
            <w:pPr>
              <w:pStyle w:val="TableText"/>
              <w:spacing w:before="40" w:after="30"/>
              <w:rPr>
                <w:szCs w:val="16"/>
              </w:rPr>
            </w:pPr>
            <w:r w:rsidRPr="009E06AA">
              <w:rPr>
                <w:color w:val="000000"/>
                <w:szCs w:val="16"/>
              </w:rPr>
              <w:t>DDOC (kt C/kt waste) </w:t>
            </w:r>
          </w:p>
        </w:tc>
        <w:tc>
          <w:tcPr>
            <w:tcW w:w="0" w:type="auto"/>
            <w:shd w:val="clear" w:color="auto" w:fill="FFFFFF"/>
            <w:tcMar>
              <w:top w:w="0" w:type="dxa"/>
              <w:left w:w="85" w:type="dxa"/>
              <w:bottom w:w="0" w:type="dxa"/>
              <w:right w:w="85" w:type="dxa"/>
            </w:tcMar>
          </w:tcPr>
          <w:p w14:paraId="00C6C36D" w14:textId="77777777" w:rsidR="00E87995" w:rsidRPr="009E06AA" w:rsidRDefault="00E87995" w:rsidP="00FE7C1C">
            <w:pPr>
              <w:pStyle w:val="TableText"/>
              <w:spacing w:before="40" w:after="30"/>
              <w:jc w:val="right"/>
              <w:rPr>
                <w:szCs w:val="16"/>
              </w:rPr>
            </w:pPr>
            <w:r w:rsidRPr="009E06AA">
              <w:rPr>
                <w:color w:val="000000"/>
                <w:szCs w:val="16"/>
              </w:rPr>
              <w:t>0.025–0.20</w:t>
            </w:r>
          </w:p>
        </w:tc>
        <w:tc>
          <w:tcPr>
            <w:tcW w:w="733" w:type="pct"/>
            <w:shd w:val="clear" w:color="auto" w:fill="FFFFFF"/>
            <w:tcMar>
              <w:top w:w="0" w:type="dxa"/>
              <w:left w:w="85" w:type="dxa"/>
              <w:bottom w:w="0" w:type="dxa"/>
              <w:right w:w="85" w:type="dxa"/>
            </w:tcMar>
          </w:tcPr>
          <w:p w14:paraId="6443DFEC" w14:textId="77777777" w:rsidR="00E87995" w:rsidRPr="009E06AA" w:rsidRDefault="00E87995" w:rsidP="00B55F24">
            <w:pPr>
              <w:pStyle w:val="TableText"/>
              <w:spacing w:before="40" w:after="30"/>
              <w:rPr>
                <w:szCs w:val="16"/>
              </w:rPr>
            </w:pPr>
            <w:r w:rsidRPr="009E06AA">
              <w:rPr>
                <w:color w:val="000000"/>
                <w:szCs w:val="16"/>
              </w:rPr>
              <w:t>Country specific</w:t>
            </w:r>
          </w:p>
        </w:tc>
        <w:tc>
          <w:tcPr>
            <w:tcW w:w="1662" w:type="pct"/>
            <w:shd w:val="clear" w:color="auto" w:fill="FFFFFF"/>
            <w:tcMar>
              <w:top w:w="0" w:type="dxa"/>
              <w:left w:w="85" w:type="dxa"/>
              <w:bottom w:w="0" w:type="dxa"/>
              <w:right w:w="85" w:type="dxa"/>
            </w:tcMar>
          </w:tcPr>
          <w:p w14:paraId="1AF24AD6" w14:textId="77777777" w:rsidR="00E87995" w:rsidRPr="009E06AA" w:rsidRDefault="00E87995" w:rsidP="00B55F24">
            <w:pPr>
              <w:pStyle w:val="TableText"/>
              <w:spacing w:before="40" w:after="30"/>
              <w:rPr>
                <w:szCs w:val="16"/>
              </w:rPr>
            </w:pPr>
            <w:r w:rsidRPr="009E06AA">
              <w:rPr>
                <w:color w:val="000000"/>
                <w:szCs w:val="16"/>
              </w:rPr>
              <w:t>Eunomia (unpublished(a)), IPCC (2006a)</w:t>
            </w:r>
          </w:p>
        </w:tc>
      </w:tr>
      <w:tr w:rsidR="00E87995" w:rsidRPr="009E06AA" w14:paraId="4928EEAD" w14:textId="77777777" w:rsidTr="00B55F24">
        <w:tc>
          <w:tcPr>
            <w:tcW w:w="0" w:type="auto"/>
            <w:shd w:val="clear" w:color="auto" w:fill="FFFFFF"/>
            <w:tcMar>
              <w:top w:w="0" w:type="dxa"/>
              <w:left w:w="85" w:type="dxa"/>
              <w:bottom w:w="0" w:type="dxa"/>
              <w:right w:w="85" w:type="dxa"/>
            </w:tcMar>
          </w:tcPr>
          <w:p w14:paraId="61579FC7" w14:textId="77777777" w:rsidR="00E87995" w:rsidRPr="009E06AA" w:rsidRDefault="00E87995" w:rsidP="00B55F24">
            <w:pPr>
              <w:pStyle w:val="TableText"/>
              <w:spacing w:before="40" w:after="30"/>
              <w:rPr>
                <w:szCs w:val="16"/>
              </w:rPr>
            </w:pPr>
            <w:r w:rsidRPr="009E06AA">
              <w:rPr>
                <w:color w:val="000000"/>
                <w:szCs w:val="16"/>
              </w:rPr>
              <w:t>DOCf that decomposes</w:t>
            </w:r>
          </w:p>
        </w:tc>
        <w:tc>
          <w:tcPr>
            <w:tcW w:w="0" w:type="auto"/>
            <w:shd w:val="clear" w:color="auto" w:fill="FFFFFF"/>
            <w:tcMar>
              <w:top w:w="0" w:type="dxa"/>
              <w:left w:w="85" w:type="dxa"/>
              <w:bottom w:w="0" w:type="dxa"/>
              <w:right w:w="85" w:type="dxa"/>
            </w:tcMar>
          </w:tcPr>
          <w:p w14:paraId="79997DBD" w14:textId="77777777" w:rsidR="00E87995" w:rsidRPr="009E06AA" w:rsidRDefault="00E87995" w:rsidP="00FE7C1C">
            <w:pPr>
              <w:pStyle w:val="TableText"/>
              <w:spacing w:before="40" w:after="30"/>
              <w:jc w:val="right"/>
              <w:rPr>
                <w:szCs w:val="16"/>
              </w:rPr>
            </w:pPr>
            <w:r w:rsidRPr="009E06AA">
              <w:rPr>
                <w:color w:val="000000"/>
                <w:szCs w:val="16"/>
              </w:rPr>
              <w:t>0.14–0.7</w:t>
            </w:r>
          </w:p>
        </w:tc>
        <w:tc>
          <w:tcPr>
            <w:tcW w:w="733" w:type="pct"/>
            <w:shd w:val="clear" w:color="auto" w:fill="FFFFFF"/>
            <w:tcMar>
              <w:top w:w="0" w:type="dxa"/>
              <w:left w:w="85" w:type="dxa"/>
              <w:bottom w:w="0" w:type="dxa"/>
              <w:right w:w="85" w:type="dxa"/>
            </w:tcMar>
          </w:tcPr>
          <w:p w14:paraId="1079C3CF" w14:textId="77777777" w:rsidR="00E87995" w:rsidRPr="009E06AA" w:rsidRDefault="00E87995" w:rsidP="00B55F24">
            <w:pPr>
              <w:pStyle w:val="TableText"/>
              <w:spacing w:before="40" w:after="30"/>
              <w:rPr>
                <w:szCs w:val="16"/>
              </w:rPr>
            </w:pPr>
            <w:r w:rsidRPr="009E06AA">
              <w:rPr>
                <w:color w:val="000000"/>
                <w:szCs w:val="16"/>
              </w:rPr>
              <w:t>Country specific</w:t>
            </w:r>
          </w:p>
        </w:tc>
        <w:tc>
          <w:tcPr>
            <w:tcW w:w="1662" w:type="pct"/>
            <w:shd w:val="clear" w:color="auto" w:fill="FFFFFF"/>
            <w:tcMar>
              <w:top w:w="0" w:type="dxa"/>
              <w:left w:w="85" w:type="dxa"/>
              <w:bottom w:w="0" w:type="dxa"/>
              <w:right w:w="85" w:type="dxa"/>
            </w:tcMar>
          </w:tcPr>
          <w:p w14:paraId="2A599153" w14:textId="77777777" w:rsidR="00E87995" w:rsidRPr="009E06AA" w:rsidRDefault="00E87995" w:rsidP="00B55F24">
            <w:pPr>
              <w:pStyle w:val="TableText"/>
              <w:spacing w:before="40" w:after="30"/>
              <w:rPr>
                <w:szCs w:val="16"/>
              </w:rPr>
            </w:pPr>
            <w:r w:rsidRPr="009E06AA">
              <w:rPr>
                <w:color w:val="000000"/>
                <w:szCs w:val="16"/>
              </w:rPr>
              <w:t>Eunomia (unpublished(a)), IPCC (2006a)</w:t>
            </w:r>
          </w:p>
        </w:tc>
      </w:tr>
      <w:tr w:rsidR="00E87995" w:rsidRPr="009E06AA" w14:paraId="27FB0369" w14:textId="77777777" w:rsidTr="00B55F24">
        <w:tc>
          <w:tcPr>
            <w:tcW w:w="0" w:type="auto"/>
            <w:shd w:val="clear" w:color="auto" w:fill="FFFFFF"/>
            <w:tcMar>
              <w:top w:w="0" w:type="dxa"/>
              <w:left w:w="85" w:type="dxa"/>
              <w:bottom w:w="0" w:type="dxa"/>
              <w:right w:w="85" w:type="dxa"/>
            </w:tcMar>
          </w:tcPr>
          <w:p w14:paraId="42592E4D" w14:textId="77777777" w:rsidR="00E87995" w:rsidRPr="009E06AA" w:rsidRDefault="00E87995" w:rsidP="00B55F24">
            <w:pPr>
              <w:pStyle w:val="TableText"/>
              <w:spacing w:before="40" w:after="30"/>
              <w:rPr>
                <w:szCs w:val="16"/>
              </w:rPr>
            </w:pPr>
            <w:r w:rsidRPr="009E06AA">
              <w:rPr>
                <w:color w:val="000000"/>
                <w:szCs w:val="16"/>
              </w:rPr>
              <w:t>Fraction of methane in landfill gas (F)</w:t>
            </w:r>
          </w:p>
        </w:tc>
        <w:tc>
          <w:tcPr>
            <w:tcW w:w="0" w:type="auto"/>
            <w:shd w:val="clear" w:color="auto" w:fill="FFFFFF"/>
            <w:tcMar>
              <w:top w:w="0" w:type="dxa"/>
              <w:left w:w="85" w:type="dxa"/>
              <w:bottom w:w="0" w:type="dxa"/>
              <w:right w:w="85" w:type="dxa"/>
            </w:tcMar>
          </w:tcPr>
          <w:p w14:paraId="72521670" w14:textId="77777777" w:rsidR="00E87995" w:rsidRPr="009E06AA" w:rsidRDefault="00E87995" w:rsidP="00FE7C1C">
            <w:pPr>
              <w:pStyle w:val="TableText"/>
              <w:spacing w:before="40" w:after="30"/>
              <w:jc w:val="right"/>
              <w:rPr>
                <w:szCs w:val="16"/>
              </w:rPr>
            </w:pPr>
            <w:r w:rsidRPr="009E06AA">
              <w:rPr>
                <w:color w:val="000000"/>
                <w:szCs w:val="16"/>
              </w:rPr>
              <w:t>0.57</w:t>
            </w:r>
          </w:p>
        </w:tc>
        <w:tc>
          <w:tcPr>
            <w:tcW w:w="733" w:type="pct"/>
            <w:shd w:val="clear" w:color="auto" w:fill="FFFFFF"/>
            <w:tcMar>
              <w:top w:w="0" w:type="dxa"/>
              <w:left w:w="85" w:type="dxa"/>
              <w:bottom w:w="0" w:type="dxa"/>
              <w:right w:w="85" w:type="dxa"/>
            </w:tcMar>
          </w:tcPr>
          <w:p w14:paraId="5233B80E" w14:textId="77777777" w:rsidR="00E87995" w:rsidRPr="009E06AA" w:rsidRDefault="00E87995" w:rsidP="00B55F24">
            <w:pPr>
              <w:pStyle w:val="TableText"/>
              <w:spacing w:before="40" w:after="30"/>
              <w:rPr>
                <w:szCs w:val="16"/>
              </w:rPr>
            </w:pPr>
            <w:r w:rsidRPr="009E06AA">
              <w:rPr>
                <w:color w:val="000000"/>
                <w:szCs w:val="16"/>
              </w:rPr>
              <w:t>Country specific</w:t>
            </w:r>
          </w:p>
        </w:tc>
        <w:tc>
          <w:tcPr>
            <w:tcW w:w="1662" w:type="pct"/>
            <w:shd w:val="clear" w:color="auto" w:fill="FFFFFF"/>
            <w:tcMar>
              <w:top w:w="0" w:type="dxa"/>
              <w:left w:w="85" w:type="dxa"/>
              <w:bottom w:w="0" w:type="dxa"/>
              <w:right w:w="85" w:type="dxa"/>
            </w:tcMar>
          </w:tcPr>
          <w:p w14:paraId="2528C42F" w14:textId="77777777" w:rsidR="00E87995" w:rsidRPr="009E06AA" w:rsidRDefault="00E87995" w:rsidP="00B55F24">
            <w:pPr>
              <w:pStyle w:val="TableText"/>
              <w:spacing w:before="40" w:after="30"/>
              <w:rPr>
                <w:szCs w:val="16"/>
              </w:rPr>
            </w:pPr>
            <w:r w:rsidRPr="009E06AA">
              <w:rPr>
                <w:color w:val="000000"/>
                <w:szCs w:val="16"/>
              </w:rPr>
              <w:t>Eunomia (unpublished(a))</w:t>
            </w:r>
          </w:p>
        </w:tc>
      </w:tr>
      <w:tr w:rsidR="00E87995" w:rsidRPr="009E06AA" w14:paraId="7584DB7C" w14:textId="77777777" w:rsidTr="00B55F24">
        <w:tc>
          <w:tcPr>
            <w:tcW w:w="0" w:type="auto"/>
            <w:shd w:val="clear" w:color="auto" w:fill="FFFFFF"/>
            <w:tcMar>
              <w:top w:w="0" w:type="dxa"/>
              <w:left w:w="85" w:type="dxa"/>
              <w:bottom w:w="0" w:type="dxa"/>
              <w:right w:w="85" w:type="dxa"/>
            </w:tcMar>
          </w:tcPr>
          <w:p w14:paraId="63BE9FCB" w14:textId="77777777" w:rsidR="00E87995" w:rsidRPr="009E06AA" w:rsidRDefault="00E87995" w:rsidP="00B55F24">
            <w:pPr>
              <w:pStyle w:val="Tableboldblue"/>
              <w:spacing w:before="40" w:after="30"/>
              <w:rPr>
                <w:szCs w:val="16"/>
              </w:rPr>
            </w:pPr>
            <w:r w:rsidRPr="009E06AA">
              <w:rPr>
                <w:szCs w:val="16"/>
              </w:rPr>
              <w:t>Uncategorised landfills</w:t>
            </w:r>
          </w:p>
        </w:tc>
        <w:tc>
          <w:tcPr>
            <w:tcW w:w="0" w:type="auto"/>
            <w:shd w:val="clear" w:color="auto" w:fill="FFFFFF"/>
            <w:tcMar>
              <w:top w:w="0" w:type="dxa"/>
              <w:left w:w="85" w:type="dxa"/>
              <w:bottom w:w="0" w:type="dxa"/>
              <w:right w:w="85" w:type="dxa"/>
            </w:tcMar>
          </w:tcPr>
          <w:p w14:paraId="230527FB" w14:textId="77777777" w:rsidR="00E87995" w:rsidRPr="009E06AA" w:rsidRDefault="00E87995" w:rsidP="00FE7C1C">
            <w:pPr>
              <w:pStyle w:val="Tableboldblue"/>
              <w:spacing w:before="40" w:after="30"/>
              <w:jc w:val="right"/>
              <w:rPr>
                <w:szCs w:val="16"/>
              </w:rPr>
            </w:pPr>
          </w:p>
        </w:tc>
        <w:tc>
          <w:tcPr>
            <w:tcW w:w="733" w:type="pct"/>
            <w:shd w:val="clear" w:color="auto" w:fill="FFFFFF"/>
            <w:tcMar>
              <w:top w:w="0" w:type="dxa"/>
              <w:left w:w="85" w:type="dxa"/>
              <w:bottom w:w="0" w:type="dxa"/>
              <w:right w:w="85" w:type="dxa"/>
            </w:tcMar>
          </w:tcPr>
          <w:p w14:paraId="17DB9DFB" w14:textId="77777777" w:rsidR="00E87995" w:rsidRPr="009E06AA" w:rsidRDefault="00E87995" w:rsidP="00B55F24">
            <w:pPr>
              <w:pStyle w:val="Tableboldblue"/>
              <w:spacing w:before="40" w:after="30"/>
              <w:rPr>
                <w:szCs w:val="16"/>
              </w:rPr>
            </w:pPr>
          </w:p>
        </w:tc>
        <w:tc>
          <w:tcPr>
            <w:tcW w:w="1662" w:type="pct"/>
            <w:shd w:val="clear" w:color="auto" w:fill="FFFFFF"/>
            <w:tcMar>
              <w:top w:w="0" w:type="dxa"/>
              <w:left w:w="85" w:type="dxa"/>
              <w:bottom w:w="0" w:type="dxa"/>
              <w:right w:w="85" w:type="dxa"/>
            </w:tcMar>
          </w:tcPr>
          <w:p w14:paraId="5F4858D5" w14:textId="77777777" w:rsidR="00E87995" w:rsidRPr="009E06AA" w:rsidRDefault="00E87995" w:rsidP="00B55F24">
            <w:pPr>
              <w:pStyle w:val="Tableboldblue"/>
              <w:spacing w:before="40" w:after="30"/>
              <w:rPr>
                <w:szCs w:val="16"/>
              </w:rPr>
            </w:pPr>
          </w:p>
        </w:tc>
      </w:tr>
      <w:tr w:rsidR="00E87995" w:rsidRPr="009E06AA" w14:paraId="403E7875" w14:textId="77777777" w:rsidTr="00B55F24">
        <w:tc>
          <w:tcPr>
            <w:tcW w:w="0" w:type="auto"/>
            <w:shd w:val="clear" w:color="auto" w:fill="FFFFFF"/>
            <w:tcMar>
              <w:top w:w="0" w:type="dxa"/>
              <w:left w:w="85" w:type="dxa"/>
              <w:bottom w:w="0" w:type="dxa"/>
              <w:right w:w="85" w:type="dxa"/>
            </w:tcMar>
          </w:tcPr>
          <w:p w14:paraId="04E52AC6" w14:textId="77777777" w:rsidR="00E87995" w:rsidRPr="009E06AA" w:rsidRDefault="00E87995" w:rsidP="00B55F24">
            <w:pPr>
              <w:pStyle w:val="TableText"/>
              <w:spacing w:before="40" w:after="30"/>
              <w:rPr>
                <w:szCs w:val="16"/>
              </w:rPr>
            </w:pPr>
            <w:r w:rsidRPr="009E06AA">
              <w:rPr>
                <w:color w:val="000000"/>
                <w:szCs w:val="16"/>
              </w:rPr>
              <w:t>k-value (multi-phase by waste type)</w:t>
            </w:r>
          </w:p>
        </w:tc>
        <w:tc>
          <w:tcPr>
            <w:tcW w:w="0" w:type="auto"/>
            <w:shd w:val="clear" w:color="auto" w:fill="FFFFFF"/>
            <w:tcMar>
              <w:top w:w="0" w:type="dxa"/>
              <w:left w:w="85" w:type="dxa"/>
              <w:bottom w:w="0" w:type="dxa"/>
              <w:right w:w="85" w:type="dxa"/>
            </w:tcMar>
          </w:tcPr>
          <w:p w14:paraId="66A691D1" w14:textId="77777777" w:rsidR="00E87995" w:rsidRPr="009E06AA" w:rsidRDefault="00E87995" w:rsidP="00FE7C1C">
            <w:pPr>
              <w:pStyle w:val="TableText"/>
              <w:spacing w:before="40" w:after="30"/>
              <w:jc w:val="right"/>
              <w:rPr>
                <w:szCs w:val="16"/>
              </w:rPr>
            </w:pPr>
            <w:r w:rsidRPr="009E06AA">
              <w:rPr>
                <w:color w:val="000000"/>
                <w:szCs w:val="16"/>
              </w:rPr>
              <w:t>0.030–0.185</w:t>
            </w:r>
          </w:p>
        </w:tc>
        <w:tc>
          <w:tcPr>
            <w:tcW w:w="733" w:type="pct"/>
            <w:shd w:val="clear" w:color="auto" w:fill="FFFFFF"/>
            <w:tcMar>
              <w:top w:w="0" w:type="dxa"/>
              <w:left w:w="85" w:type="dxa"/>
              <w:bottom w:w="0" w:type="dxa"/>
              <w:right w:w="85" w:type="dxa"/>
            </w:tcMar>
          </w:tcPr>
          <w:p w14:paraId="1F34FF5B" w14:textId="77777777" w:rsidR="00E87995" w:rsidRPr="009E06AA" w:rsidRDefault="00E87995" w:rsidP="00B55F24">
            <w:pPr>
              <w:pStyle w:val="TableText"/>
              <w:spacing w:before="40" w:after="30"/>
              <w:rPr>
                <w:szCs w:val="16"/>
              </w:rPr>
            </w:pPr>
            <w:r w:rsidRPr="009E06AA">
              <w:rPr>
                <w:color w:val="000000"/>
                <w:szCs w:val="16"/>
              </w:rPr>
              <w:t>IPCC default</w:t>
            </w:r>
          </w:p>
        </w:tc>
        <w:tc>
          <w:tcPr>
            <w:tcW w:w="1662" w:type="pct"/>
            <w:shd w:val="clear" w:color="auto" w:fill="FFFFFF"/>
            <w:tcMar>
              <w:top w:w="0" w:type="dxa"/>
              <w:left w:w="85" w:type="dxa"/>
              <w:bottom w:w="0" w:type="dxa"/>
              <w:right w:w="85" w:type="dxa"/>
            </w:tcMar>
          </w:tcPr>
          <w:p w14:paraId="4F350646" w14:textId="77777777" w:rsidR="00E87995" w:rsidRPr="009E06AA" w:rsidRDefault="00E87995" w:rsidP="00B55F24">
            <w:pPr>
              <w:pStyle w:val="TableText"/>
              <w:spacing w:before="40" w:after="30"/>
              <w:rPr>
                <w:szCs w:val="16"/>
              </w:rPr>
            </w:pPr>
            <w:r w:rsidRPr="009E06AA">
              <w:rPr>
                <w:color w:val="000000"/>
                <w:szCs w:val="16"/>
              </w:rPr>
              <w:t>IPCC (2006a)</w:t>
            </w:r>
          </w:p>
        </w:tc>
      </w:tr>
      <w:tr w:rsidR="00E87995" w:rsidRPr="009E06AA" w14:paraId="7EB350E1" w14:textId="77777777" w:rsidTr="00B55F24">
        <w:tc>
          <w:tcPr>
            <w:tcW w:w="0" w:type="auto"/>
            <w:shd w:val="clear" w:color="auto" w:fill="FFFFFF"/>
            <w:tcMar>
              <w:top w:w="0" w:type="dxa"/>
              <w:left w:w="85" w:type="dxa"/>
              <w:bottom w:w="0" w:type="dxa"/>
              <w:right w:w="85" w:type="dxa"/>
            </w:tcMar>
          </w:tcPr>
          <w:p w14:paraId="379FEFDB" w14:textId="77777777" w:rsidR="00E87995" w:rsidRPr="009E06AA" w:rsidRDefault="00E87995" w:rsidP="00B55F24">
            <w:pPr>
              <w:pStyle w:val="TableText"/>
              <w:spacing w:before="40" w:after="30"/>
              <w:rPr>
                <w:szCs w:val="16"/>
              </w:rPr>
            </w:pPr>
            <w:r w:rsidRPr="009E06AA">
              <w:rPr>
                <w:color w:val="000000"/>
                <w:szCs w:val="16"/>
              </w:rPr>
              <w:t>Methane correction factor</w:t>
            </w:r>
          </w:p>
        </w:tc>
        <w:tc>
          <w:tcPr>
            <w:tcW w:w="0" w:type="auto"/>
            <w:shd w:val="clear" w:color="auto" w:fill="FFFFFF"/>
            <w:tcMar>
              <w:top w:w="0" w:type="dxa"/>
              <w:left w:w="85" w:type="dxa"/>
              <w:bottom w:w="0" w:type="dxa"/>
              <w:right w:w="85" w:type="dxa"/>
            </w:tcMar>
          </w:tcPr>
          <w:p w14:paraId="0DC165C0" w14:textId="77777777" w:rsidR="00E87995" w:rsidRPr="009E06AA" w:rsidRDefault="00E87995" w:rsidP="00FE7C1C">
            <w:pPr>
              <w:pStyle w:val="TableText"/>
              <w:spacing w:before="40" w:after="30"/>
              <w:jc w:val="right"/>
              <w:rPr>
                <w:szCs w:val="16"/>
              </w:rPr>
            </w:pPr>
            <w:r w:rsidRPr="009E06AA">
              <w:rPr>
                <w:color w:val="000000"/>
                <w:szCs w:val="16"/>
              </w:rPr>
              <w:t>0.6</w:t>
            </w:r>
          </w:p>
        </w:tc>
        <w:tc>
          <w:tcPr>
            <w:tcW w:w="733" w:type="pct"/>
            <w:shd w:val="clear" w:color="auto" w:fill="FFFFFF"/>
            <w:tcMar>
              <w:top w:w="0" w:type="dxa"/>
              <w:left w:w="85" w:type="dxa"/>
              <w:bottom w:w="0" w:type="dxa"/>
              <w:right w:w="85" w:type="dxa"/>
            </w:tcMar>
          </w:tcPr>
          <w:p w14:paraId="4F692B46" w14:textId="77777777" w:rsidR="00E87995" w:rsidRPr="009E06AA" w:rsidRDefault="00E87995" w:rsidP="00B55F24">
            <w:pPr>
              <w:pStyle w:val="TableText"/>
              <w:spacing w:before="40" w:after="30"/>
              <w:rPr>
                <w:szCs w:val="16"/>
              </w:rPr>
            </w:pPr>
            <w:r w:rsidRPr="009E06AA">
              <w:rPr>
                <w:color w:val="000000"/>
                <w:szCs w:val="16"/>
              </w:rPr>
              <w:t>IPCC default</w:t>
            </w:r>
          </w:p>
        </w:tc>
        <w:tc>
          <w:tcPr>
            <w:tcW w:w="1662" w:type="pct"/>
            <w:shd w:val="clear" w:color="auto" w:fill="FFFFFF"/>
            <w:tcMar>
              <w:top w:w="0" w:type="dxa"/>
              <w:left w:w="85" w:type="dxa"/>
              <w:bottom w:w="0" w:type="dxa"/>
              <w:right w:w="85" w:type="dxa"/>
            </w:tcMar>
          </w:tcPr>
          <w:p w14:paraId="10AE02EF" w14:textId="77777777" w:rsidR="00E87995" w:rsidRPr="009E06AA" w:rsidRDefault="00E87995" w:rsidP="00B55F24">
            <w:pPr>
              <w:pStyle w:val="TableText"/>
              <w:spacing w:before="40" w:after="30"/>
              <w:rPr>
                <w:szCs w:val="16"/>
              </w:rPr>
            </w:pPr>
            <w:r w:rsidRPr="009E06AA">
              <w:rPr>
                <w:color w:val="000000"/>
                <w:szCs w:val="16"/>
              </w:rPr>
              <w:t>IPCC (2006a)</w:t>
            </w:r>
          </w:p>
        </w:tc>
      </w:tr>
      <w:tr w:rsidR="00E87995" w:rsidRPr="009E06AA" w14:paraId="5A125F4F" w14:textId="77777777" w:rsidTr="00B55F24">
        <w:tc>
          <w:tcPr>
            <w:tcW w:w="0" w:type="auto"/>
            <w:shd w:val="clear" w:color="auto" w:fill="FFFFFF"/>
            <w:tcMar>
              <w:top w:w="0" w:type="dxa"/>
              <w:left w:w="85" w:type="dxa"/>
              <w:bottom w:w="0" w:type="dxa"/>
              <w:right w:w="85" w:type="dxa"/>
            </w:tcMar>
          </w:tcPr>
          <w:p w14:paraId="4032C192" w14:textId="77777777" w:rsidR="00E87995" w:rsidRPr="009E06AA" w:rsidRDefault="00E87995" w:rsidP="00B55F24">
            <w:pPr>
              <w:pStyle w:val="TableText"/>
              <w:spacing w:before="40" w:after="30"/>
              <w:rPr>
                <w:szCs w:val="16"/>
              </w:rPr>
            </w:pPr>
            <w:r w:rsidRPr="009E06AA">
              <w:rPr>
                <w:color w:val="000000"/>
                <w:szCs w:val="16"/>
              </w:rPr>
              <w:t>Oxidation factor</w:t>
            </w:r>
          </w:p>
        </w:tc>
        <w:tc>
          <w:tcPr>
            <w:tcW w:w="0" w:type="auto"/>
            <w:shd w:val="clear" w:color="auto" w:fill="FFFFFF"/>
            <w:tcMar>
              <w:top w:w="0" w:type="dxa"/>
              <w:left w:w="85" w:type="dxa"/>
              <w:bottom w:w="0" w:type="dxa"/>
              <w:right w:w="85" w:type="dxa"/>
            </w:tcMar>
          </w:tcPr>
          <w:p w14:paraId="7638E55D" w14:textId="77777777" w:rsidR="00E87995" w:rsidRPr="009E06AA" w:rsidRDefault="00E87995" w:rsidP="00FE7C1C">
            <w:pPr>
              <w:pStyle w:val="TableText"/>
              <w:spacing w:before="40" w:after="30"/>
              <w:jc w:val="right"/>
              <w:rPr>
                <w:szCs w:val="16"/>
              </w:rPr>
            </w:pPr>
            <w:r w:rsidRPr="009E06AA">
              <w:rPr>
                <w:color w:val="000000"/>
                <w:szCs w:val="16"/>
              </w:rPr>
              <w:t>0</w:t>
            </w:r>
          </w:p>
        </w:tc>
        <w:tc>
          <w:tcPr>
            <w:tcW w:w="733" w:type="pct"/>
            <w:shd w:val="clear" w:color="auto" w:fill="FFFFFF"/>
            <w:tcMar>
              <w:top w:w="0" w:type="dxa"/>
              <w:left w:w="85" w:type="dxa"/>
              <w:bottom w:w="0" w:type="dxa"/>
              <w:right w:w="85" w:type="dxa"/>
            </w:tcMar>
          </w:tcPr>
          <w:p w14:paraId="7FC40D21" w14:textId="77777777" w:rsidR="00E87995" w:rsidRPr="009E06AA" w:rsidRDefault="00E87995" w:rsidP="00B55F24">
            <w:pPr>
              <w:pStyle w:val="TableText"/>
              <w:spacing w:before="40" w:after="30"/>
              <w:rPr>
                <w:szCs w:val="16"/>
              </w:rPr>
            </w:pPr>
            <w:r w:rsidRPr="009E06AA">
              <w:rPr>
                <w:color w:val="000000"/>
                <w:szCs w:val="16"/>
              </w:rPr>
              <w:t>IPCC default</w:t>
            </w:r>
          </w:p>
        </w:tc>
        <w:tc>
          <w:tcPr>
            <w:tcW w:w="1662" w:type="pct"/>
            <w:shd w:val="clear" w:color="auto" w:fill="FFFFFF"/>
            <w:tcMar>
              <w:top w:w="0" w:type="dxa"/>
              <w:left w:w="85" w:type="dxa"/>
              <w:bottom w:w="0" w:type="dxa"/>
              <w:right w:w="85" w:type="dxa"/>
            </w:tcMar>
          </w:tcPr>
          <w:p w14:paraId="1F389E01" w14:textId="77777777" w:rsidR="00E87995" w:rsidRPr="009E06AA" w:rsidRDefault="00E87995" w:rsidP="00B55F24">
            <w:pPr>
              <w:pStyle w:val="TableText"/>
              <w:spacing w:before="40" w:after="30"/>
              <w:rPr>
                <w:szCs w:val="16"/>
              </w:rPr>
            </w:pPr>
            <w:r w:rsidRPr="009E06AA">
              <w:rPr>
                <w:color w:val="000000"/>
                <w:szCs w:val="16"/>
              </w:rPr>
              <w:t>IPCC (2006a)</w:t>
            </w:r>
          </w:p>
        </w:tc>
      </w:tr>
      <w:tr w:rsidR="00E87995" w:rsidRPr="009E06AA" w14:paraId="6A0AB7D3" w14:textId="77777777" w:rsidTr="00B55F24">
        <w:tc>
          <w:tcPr>
            <w:tcW w:w="0" w:type="auto"/>
            <w:shd w:val="clear" w:color="auto" w:fill="FFFFFF"/>
            <w:tcMar>
              <w:top w:w="0" w:type="dxa"/>
              <w:left w:w="85" w:type="dxa"/>
              <w:bottom w:w="0" w:type="dxa"/>
              <w:right w:w="85" w:type="dxa"/>
            </w:tcMar>
          </w:tcPr>
          <w:p w14:paraId="0DDF3677" w14:textId="77777777" w:rsidR="00E87995" w:rsidRPr="009E06AA" w:rsidRDefault="00E87995" w:rsidP="00B55F24">
            <w:pPr>
              <w:pStyle w:val="TableText"/>
              <w:spacing w:before="40" w:after="30"/>
              <w:rPr>
                <w:szCs w:val="16"/>
              </w:rPr>
            </w:pPr>
            <w:r w:rsidRPr="009E06AA">
              <w:rPr>
                <w:color w:val="000000"/>
                <w:szCs w:val="16"/>
              </w:rPr>
              <w:t>DOC (kt C/kt waste) (by waste type)</w:t>
            </w:r>
          </w:p>
        </w:tc>
        <w:tc>
          <w:tcPr>
            <w:tcW w:w="0" w:type="auto"/>
            <w:shd w:val="clear" w:color="auto" w:fill="FFFFFF"/>
            <w:tcMar>
              <w:top w:w="0" w:type="dxa"/>
              <w:left w:w="85" w:type="dxa"/>
              <w:bottom w:w="0" w:type="dxa"/>
              <w:right w:w="85" w:type="dxa"/>
            </w:tcMar>
          </w:tcPr>
          <w:p w14:paraId="473921C3" w14:textId="77777777" w:rsidR="00E87995" w:rsidRPr="009E06AA" w:rsidRDefault="00E87995" w:rsidP="00FE7C1C">
            <w:pPr>
              <w:pStyle w:val="TableText"/>
              <w:spacing w:before="40" w:after="30"/>
              <w:jc w:val="right"/>
              <w:rPr>
                <w:szCs w:val="16"/>
              </w:rPr>
            </w:pPr>
            <w:r w:rsidRPr="009E06AA">
              <w:rPr>
                <w:color w:val="000000"/>
                <w:szCs w:val="16"/>
              </w:rPr>
              <w:t>0.15–0.43</w:t>
            </w:r>
          </w:p>
        </w:tc>
        <w:tc>
          <w:tcPr>
            <w:tcW w:w="733" w:type="pct"/>
            <w:shd w:val="clear" w:color="auto" w:fill="FFFFFF"/>
            <w:tcMar>
              <w:top w:w="0" w:type="dxa"/>
              <w:left w:w="85" w:type="dxa"/>
              <w:bottom w:w="0" w:type="dxa"/>
              <w:right w:w="85" w:type="dxa"/>
            </w:tcMar>
          </w:tcPr>
          <w:p w14:paraId="75D107F5" w14:textId="77777777" w:rsidR="00E87995" w:rsidRPr="009E06AA" w:rsidRDefault="00E87995" w:rsidP="00B55F24">
            <w:pPr>
              <w:pStyle w:val="TableText"/>
              <w:spacing w:before="40" w:after="30"/>
              <w:rPr>
                <w:szCs w:val="16"/>
              </w:rPr>
            </w:pPr>
            <w:r w:rsidRPr="009E06AA">
              <w:rPr>
                <w:color w:val="000000"/>
                <w:szCs w:val="16"/>
              </w:rPr>
              <w:t>IPCC default</w:t>
            </w:r>
          </w:p>
        </w:tc>
        <w:tc>
          <w:tcPr>
            <w:tcW w:w="1662" w:type="pct"/>
            <w:shd w:val="clear" w:color="auto" w:fill="FFFFFF"/>
            <w:tcMar>
              <w:top w:w="0" w:type="dxa"/>
              <w:left w:w="85" w:type="dxa"/>
              <w:bottom w:w="0" w:type="dxa"/>
              <w:right w:w="85" w:type="dxa"/>
            </w:tcMar>
          </w:tcPr>
          <w:p w14:paraId="6F2B4533" w14:textId="77777777" w:rsidR="00E87995" w:rsidRPr="009E06AA" w:rsidRDefault="00E87995" w:rsidP="00B55F24">
            <w:pPr>
              <w:pStyle w:val="TableText"/>
              <w:spacing w:before="40" w:after="30"/>
              <w:rPr>
                <w:szCs w:val="16"/>
              </w:rPr>
            </w:pPr>
            <w:r w:rsidRPr="009E06AA">
              <w:rPr>
                <w:color w:val="000000"/>
                <w:szCs w:val="16"/>
              </w:rPr>
              <w:t>IPCC (2006a)</w:t>
            </w:r>
          </w:p>
        </w:tc>
      </w:tr>
      <w:tr w:rsidR="00E87995" w:rsidRPr="009E06AA" w14:paraId="58A5AFE0" w14:textId="77777777" w:rsidTr="00B55F24">
        <w:tc>
          <w:tcPr>
            <w:tcW w:w="0" w:type="auto"/>
            <w:shd w:val="clear" w:color="auto" w:fill="FFFFFF"/>
            <w:tcMar>
              <w:top w:w="0" w:type="dxa"/>
              <w:left w:w="85" w:type="dxa"/>
              <w:bottom w:w="0" w:type="dxa"/>
              <w:right w:w="85" w:type="dxa"/>
            </w:tcMar>
          </w:tcPr>
          <w:p w14:paraId="383B150F" w14:textId="77777777" w:rsidR="00E87995" w:rsidRPr="009E06AA" w:rsidRDefault="00E87995" w:rsidP="00B55F24">
            <w:pPr>
              <w:pStyle w:val="TableText"/>
              <w:spacing w:before="40" w:after="30"/>
              <w:rPr>
                <w:szCs w:val="16"/>
              </w:rPr>
            </w:pPr>
            <w:r w:rsidRPr="009E06AA">
              <w:rPr>
                <w:color w:val="000000"/>
                <w:szCs w:val="16"/>
              </w:rPr>
              <w:t>DOCf that decomposes</w:t>
            </w:r>
          </w:p>
        </w:tc>
        <w:tc>
          <w:tcPr>
            <w:tcW w:w="0" w:type="auto"/>
            <w:shd w:val="clear" w:color="auto" w:fill="FFFFFF"/>
            <w:tcMar>
              <w:top w:w="0" w:type="dxa"/>
              <w:left w:w="85" w:type="dxa"/>
              <w:bottom w:w="0" w:type="dxa"/>
              <w:right w:w="85" w:type="dxa"/>
            </w:tcMar>
          </w:tcPr>
          <w:p w14:paraId="4DA3C082" w14:textId="77777777" w:rsidR="00E87995" w:rsidRPr="009E06AA" w:rsidRDefault="00E87995" w:rsidP="00FE7C1C">
            <w:pPr>
              <w:pStyle w:val="TableText"/>
              <w:spacing w:before="40" w:after="30"/>
              <w:jc w:val="right"/>
              <w:rPr>
                <w:szCs w:val="16"/>
              </w:rPr>
            </w:pPr>
            <w:r w:rsidRPr="009E06AA">
              <w:rPr>
                <w:color w:val="000000"/>
                <w:szCs w:val="16"/>
              </w:rPr>
              <w:t>0.5</w:t>
            </w:r>
          </w:p>
        </w:tc>
        <w:tc>
          <w:tcPr>
            <w:tcW w:w="733" w:type="pct"/>
            <w:shd w:val="clear" w:color="auto" w:fill="FFFFFF"/>
            <w:tcMar>
              <w:top w:w="0" w:type="dxa"/>
              <w:left w:w="85" w:type="dxa"/>
              <w:bottom w:w="0" w:type="dxa"/>
              <w:right w:w="85" w:type="dxa"/>
            </w:tcMar>
          </w:tcPr>
          <w:p w14:paraId="1E1D0FD3" w14:textId="77777777" w:rsidR="00E87995" w:rsidRPr="009E06AA" w:rsidRDefault="00E87995" w:rsidP="00B55F24">
            <w:pPr>
              <w:pStyle w:val="TableText"/>
              <w:spacing w:before="40" w:after="30"/>
              <w:rPr>
                <w:szCs w:val="16"/>
              </w:rPr>
            </w:pPr>
            <w:r w:rsidRPr="009E06AA">
              <w:rPr>
                <w:color w:val="000000"/>
                <w:szCs w:val="16"/>
              </w:rPr>
              <w:t>IPCC default</w:t>
            </w:r>
          </w:p>
        </w:tc>
        <w:tc>
          <w:tcPr>
            <w:tcW w:w="1662" w:type="pct"/>
            <w:shd w:val="clear" w:color="auto" w:fill="FFFFFF"/>
            <w:tcMar>
              <w:top w:w="0" w:type="dxa"/>
              <w:left w:w="85" w:type="dxa"/>
              <w:bottom w:w="0" w:type="dxa"/>
              <w:right w:w="85" w:type="dxa"/>
            </w:tcMar>
          </w:tcPr>
          <w:p w14:paraId="5BF4C7E6" w14:textId="77777777" w:rsidR="00E87995" w:rsidRPr="009E06AA" w:rsidRDefault="00E87995" w:rsidP="00B55F24">
            <w:pPr>
              <w:pStyle w:val="TableText"/>
              <w:spacing w:before="40" w:after="30"/>
              <w:rPr>
                <w:szCs w:val="16"/>
              </w:rPr>
            </w:pPr>
            <w:r w:rsidRPr="009E06AA">
              <w:rPr>
                <w:color w:val="000000"/>
                <w:szCs w:val="16"/>
              </w:rPr>
              <w:t>IPCC (2006a)</w:t>
            </w:r>
          </w:p>
        </w:tc>
      </w:tr>
      <w:tr w:rsidR="00E87995" w:rsidRPr="009E06AA" w14:paraId="0709DE43" w14:textId="77777777" w:rsidTr="00B55F24">
        <w:tc>
          <w:tcPr>
            <w:tcW w:w="0" w:type="auto"/>
            <w:shd w:val="clear" w:color="auto" w:fill="FFFFFF"/>
            <w:tcMar>
              <w:top w:w="0" w:type="dxa"/>
              <w:left w:w="85" w:type="dxa"/>
              <w:bottom w:w="0" w:type="dxa"/>
              <w:right w:w="85" w:type="dxa"/>
            </w:tcMar>
          </w:tcPr>
          <w:p w14:paraId="6758FEBD" w14:textId="77777777" w:rsidR="00E87995" w:rsidRPr="009E06AA" w:rsidRDefault="00E87995" w:rsidP="00B55F24">
            <w:pPr>
              <w:pStyle w:val="TableText"/>
              <w:spacing w:before="40" w:after="30"/>
              <w:rPr>
                <w:szCs w:val="16"/>
              </w:rPr>
            </w:pPr>
            <w:r w:rsidRPr="009E06AA">
              <w:rPr>
                <w:color w:val="000000"/>
                <w:szCs w:val="16"/>
              </w:rPr>
              <w:t>Fraction of methane in landfill gas (F)</w:t>
            </w:r>
          </w:p>
        </w:tc>
        <w:tc>
          <w:tcPr>
            <w:tcW w:w="0" w:type="auto"/>
            <w:shd w:val="clear" w:color="auto" w:fill="FFFFFF"/>
            <w:tcMar>
              <w:top w:w="0" w:type="dxa"/>
              <w:left w:w="85" w:type="dxa"/>
              <w:bottom w:w="0" w:type="dxa"/>
              <w:right w:w="85" w:type="dxa"/>
            </w:tcMar>
          </w:tcPr>
          <w:p w14:paraId="5C3174BF" w14:textId="77777777" w:rsidR="00E87995" w:rsidRPr="009E06AA" w:rsidRDefault="00E87995" w:rsidP="00FE7C1C">
            <w:pPr>
              <w:pStyle w:val="TableText"/>
              <w:spacing w:before="40" w:after="30"/>
              <w:jc w:val="right"/>
              <w:rPr>
                <w:szCs w:val="16"/>
              </w:rPr>
            </w:pPr>
            <w:r w:rsidRPr="009E06AA">
              <w:rPr>
                <w:color w:val="000000"/>
                <w:szCs w:val="16"/>
              </w:rPr>
              <w:t>0.5</w:t>
            </w:r>
          </w:p>
        </w:tc>
        <w:tc>
          <w:tcPr>
            <w:tcW w:w="733" w:type="pct"/>
            <w:shd w:val="clear" w:color="auto" w:fill="FFFFFF"/>
            <w:tcMar>
              <w:top w:w="0" w:type="dxa"/>
              <w:left w:w="85" w:type="dxa"/>
              <w:bottom w:w="0" w:type="dxa"/>
              <w:right w:w="85" w:type="dxa"/>
            </w:tcMar>
          </w:tcPr>
          <w:p w14:paraId="7058A64A" w14:textId="77777777" w:rsidR="00E87995" w:rsidRPr="009E06AA" w:rsidRDefault="00E87995" w:rsidP="00B55F24">
            <w:pPr>
              <w:pStyle w:val="TableText"/>
              <w:spacing w:before="40" w:after="30"/>
              <w:rPr>
                <w:szCs w:val="16"/>
              </w:rPr>
            </w:pPr>
            <w:r w:rsidRPr="009E06AA">
              <w:rPr>
                <w:color w:val="000000"/>
                <w:szCs w:val="16"/>
              </w:rPr>
              <w:t>IPCC default</w:t>
            </w:r>
          </w:p>
        </w:tc>
        <w:tc>
          <w:tcPr>
            <w:tcW w:w="1662" w:type="pct"/>
            <w:shd w:val="clear" w:color="auto" w:fill="FFFFFF"/>
            <w:tcMar>
              <w:top w:w="0" w:type="dxa"/>
              <w:left w:w="85" w:type="dxa"/>
              <w:bottom w:w="0" w:type="dxa"/>
              <w:right w:w="85" w:type="dxa"/>
            </w:tcMar>
          </w:tcPr>
          <w:p w14:paraId="13F05C19" w14:textId="77777777" w:rsidR="00E87995" w:rsidRPr="009E06AA" w:rsidRDefault="00E87995" w:rsidP="00B55F24">
            <w:pPr>
              <w:pStyle w:val="TableText"/>
              <w:spacing w:before="40" w:after="30"/>
              <w:rPr>
                <w:szCs w:val="16"/>
              </w:rPr>
            </w:pPr>
            <w:r w:rsidRPr="009E06AA">
              <w:rPr>
                <w:color w:val="000000"/>
                <w:szCs w:val="16"/>
              </w:rPr>
              <w:t>IPCC (2006a)</w:t>
            </w:r>
          </w:p>
        </w:tc>
      </w:tr>
      <w:tr w:rsidR="00E87995" w:rsidRPr="009E06AA" w14:paraId="1388F7C5" w14:textId="77777777" w:rsidTr="00B55F24">
        <w:tc>
          <w:tcPr>
            <w:tcW w:w="0" w:type="auto"/>
            <w:shd w:val="clear" w:color="auto" w:fill="FFFFFF"/>
            <w:tcMar>
              <w:top w:w="0" w:type="dxa"/>
              <w:left w:w="85" w:type="dxa"/>
              <w:bottom w:w="0" w:type="dxa"/>
              <w:right w:w="85" w:type="dxa"/>
            </w:tcMar>
          </w:tcPr>
          <w:p w14:paraId="20A06624" w14:textId="77777777" w:rsidR="00E87995" w:rsidRPr="009E06AA" w:rsidRDefault="00E87995" w:rsidP="00B55F24">
            <w:pPr>
              <w:pStyle w:val="Tableboldblue"/>
              <w:spacing w:before="40" w:after="30"/>
              <w:rPr>
                <w:szCs w:val="16"/>
              </w:rPr>
            </w:pPr>
            <w:r w:rsidRPr="009E06AA">
              <w:rPr>
                <w:szCs w:val="16"/>
              </w:rPr>
              <w:t>All landfill sites</w:t>
            </w:r>
          </w:p>
        </w:tc>
        <w:tc>
          <w:tcPr>
            <w:tcW w:w="0" w:type="auto"/>
            <w:shd w:val="clear" w:color="auto" w:fill="FFFFFF"/>
            <w:tcMar>
              <w:top w:w="0" w:type="dxa"/>
              <w:left w:w="85" w:type="dxa"/>
              <w:bottom w:w="0" w:type="dxa"/>
              <w:right w:w="85" w:type="dxa"/>
            </w:tcMar>
          </w:tcPr>
          <w:p w14:paraId="447B3697" w14:textId="77777777" w:rsidR="00E87995" w:rsidRPr="009E06AA" w:rsidRDefault="00E87995" w:rsidP="00FE7C1C">
            <w:pPr>
              <w:pStyle w:val="Tableboldblue"/>
              <w:spacing w:before="40" w:after="30"/>
              <w:jc w:val="right"/>
              <w:rPr>
                <w:szCs w:val="16"/>
              </w:rPr>
            </w:pPr>
          </w:p>
        </w:tc>
        <w:tc>
          <w:tcPr>
            <w:tcW w:w="733" w:type="pct"/>
            <w:shd w:val="clear" w:color="auto" w:fill="FFFFFF"/>
            <w:tcMar>
              <w:top w:w="0" w:type="dxa"/>
              <w:left w:w="85" w:type="dxa"/>
              <w:bottom w:w="0" w:type="dxa"/>
              <w:right w:w="85" w:type="dxa"/>
            </w:tcMar>
          </w:tcPr>
          <w:p w14:paraId="45EA0B95" w14:textId="77777777" w:rsidR="00E87995" w:rsidRPr="009E06AA" w:rsidRDefault="00E87995" w:rsidP="00B55F24">
            <w:pPr>
              <w:pStyle w:val="Tableboldblue"/>
              <w:spacing w:before="40" w:after="30"/>
              <w:rPr>
                <w:szCs w:val="16"/>
              </w:rPr>
            </w:pPr>
          </w:p>
        </w:tc>
        <w:tc>
          <w:tcPr>
            <w:tcW w:w="1662" w:type="pct"/>
            <w:shd w:val="clear" w:color="auto" w:fill="FFFFFF"/>
            <w:tcMar>
              <w:top w:w="0" w:type="dxa"/>
              <w:left w:w="85" w:type="dxa"/>
              <w:bottom w:w="0" w:type="dxa"/>
              <w:right w:w="85" w:type="dxa"/>
            </w:tcMar>
          </w:tcPr>
          <w:p w14:paraId="3ECB2CF8" w14:textId="77777777" w:rsidR="00E87995" w:rsidRPr="009E06AA" w:rsidRDefault="00E87995" w:rsidP="00B55F24">
            <w:pPr>
              <w:pStyle w:val="Tableboldblue"/>
              <w:spacing w:before="40" w:after="30"/>
              <w:rPr>
                <w:szCs w:val="16"/>
              </w:rPr>
            </w:pPr>
          </w:p>
        </w:tc>
      </w:tr>
      <w:tr w:rsidR="00E87995" w:rsidRPr="009E06AA" w14:paraId="5F0ECC69" w14:textId="77777777" w:rsidTr="00B55F24">
        <w:tc>
          <w:tcPr>
            <w:tcW w:w="0" w:type="auto"/>
            <w:shd w:val="clear" w:color="auto" w:fill="FFFFFF"/>
            <w:tcMar>
              <w:top w:w="0" w:type="dxa"/>
              <w:left w:w="85" w:type="dxa"/>
              <w:bottom w:w="0" w:type="dxa"/>
              <w:right w:w="85" w:type="dxa"/>
            </w:tcMar>
          </w:tcPr>
          <w:p w14:paraId="0895F399" w14:textId="77777777" w:rsidR="00E87995" w:rsidRPr="009E06AA" w:rsidRDefault="00E87995" w:rsidP="00B55F24">
            <w:pPr>
              <w:pStyle w:val="TableText"/>
              <w:spacing w:before="40" w:after="30"/>
              <w:rPr>
                <w:szCs w:val="16"/>
              </w:rPr>
            </w:pPr>
            <w:r w:rsidRPr="009E06AA">
              <w:rPr>
                <w:color w:val="000000"/>
                <w:szCs w:val="16"/>
              </w:rPr>
              <w:t>Starting year</w:t>
            </w:r>
          </w:p>
        </w:tc>
        <w:tc>
          <w:tcPr>
            <w:tcW w:w="0" w:type="auto"/>
            <w:shd w:val="clear" w:color="auto" w:fill="FFFFFF"/>
            <w:tcMar>
              <w:top w:w="0" w:type="dxa"/>
              <w:left w:w="85" w:type="dxa"/>
              <w:bottom w:w="0" w:type="dxa"/>
              <w:right w:w="85" w:type="dxa"/>
            </w:tcMar>
          </w:tcPr>
          <w:p w14:paraId="7BAEDC71" w14:textId="77777777" w:rsidR="00E87995" w:rsidRPr="009E06AA" w:rsidRDefault="00E87995" w:rsidP="00FE7C1C">
            <w:pPr>
              <w:pStyle w:val="TableText"/>
              <w:spacing w:before="40" w:after="30"/>
              <w:jc w:val="right"/>
              <w:rPr>
                <w:szCs w:val="16"/>
              </w:rPr>
            </w:pPr>
            <w:r w:rsidRPr="009E06AA">
              <w:rPr>
                <w:color w:val="000000"/>
                <w:szCs w:val="16"/>
              </w:rPr>
              <w:t>1950</w:t>
            </w:r>
          </w:p>
        </w:tc>
        <w:tc>
          <w:tcPr>
            <w:tcW w:w="733" w:type="pct"/>
            <w:shd w:val="clear" w:color="auto" w:fill="FFFFFF"/>
            <w:tcMar>
              <w:top w:w="0" w:type="dxa"/>
              <w:left w:w="85" w:type="dxa"/>
              <w:bottom w:w="0" w:type="dxa"/>
              <w:right w:w="85" w:type="dxa"/>
            </w:tcMar>
          </w:tcPr>
          <w:p w14:paraId="7E4BCD2A" w14:textId="77777777" w:rsidR="00E87995" w:rsidRPr="009E06AA" w:rsidRDefault="00E87995" w:rsidP="00B55F24">
            <w:pPr>
              <w:pStyle w:val="TableText"/>
              <w:spacing w:before="40" w:after="30"/>
              <w:rPr>
                <w:szCs w:val="16"/>
              </w:rPr>
            </w:pPr>
            <w:r w:rsidRPr="009E06AA">
              <w:rPr>
                <w:color w:val="000000"/>
                <w:szCs w:val="16"/>
              </w:rPr>
              <w:t>IPCC default</w:t>
            </w:r>
          </w:p>
        </w:tc>
        <w:tc>
          <w:tcPr>
            <w:tcW w:w="1662" w:type="pct"/>
            <w:shd w:val="clear" w:color="auto" w:fill="FFFFFF"/>
            <w:tcMar>
              <w:top w:w="0" w:type="dxa"/>
              <w:left w:w="85" w:type="dxa"/>
              <w:bottom w:w="0" w:type="dxa"/>
              <w:right w:w="85" w:type="dxa"/>
            </w:tcMar>
          </w:tcPr>
          <w:p w14:paraId="3D0AB6AC" w14:textId="77777777" w:rsidR="00E87995" w:rsidRPr="009E06AA" w:rsidRDefault="00E87995" w:rsidP="00B55F24">
            <w:pPr>
              <w:pStyle w:val="TableText"/>
              <w:spacing w:before="40" w:after="30"/>
              <w:rPr>
                <w:szCs w:val="16"/>
              </w:rPr>
            </w:pPr>
            <w:r w:rsidRPr="009E06AA">
              <w:rPr>
                <w:color w:val="000000"/>
                <w:szCs w:val="16"/>
              </w:rPr>
              <w:t>IPCC (2006a)</w:t>
            </w:r>
          </w:p>
        </w:tc>
      </w:tr>
      <w:tr w:rsidR="00E87995" w:rsidRPr="009E06AA" w14:paraId="4C4A3E41" w14:textId="77777777" w:rsidTr="00B55F24">
        <w:tc>
          <w:tcPr>
            <w:tcW w:w="0" w:type="auto"/>
            <w:shd w:val="clear" w:color="auto" w:fill="FFFFFF"/>
            <w:tcMar>
              <w:top w:w="0" w:type="dxa"/>
              <w:left w:w="85" w:type="dxa"/>
              <w:bottom w:w="0" w:type="dxa"/>
              <w:right w:w="85" w:type="dxa"/>
            </w:tcMar>
          </w:tcPr>
          <w:p w14:paraId="55C4AF83" w14:textId="77777777" w:rsidR="00E87995" w:rsidRPr="009E06AA" w:rsidRDefault="00E87995" w:rsidP="00B55F24">
            <w:pPr>
              <w:pStyle w:val="TableText"/>
              <w:spacing w:before="40" w:after="30"/>
              <w:rPr>
                <w:szCs w:val="16"/>
              </w:rPr>
            </w:pPr>
            <w:r w:rsidRPr="009E06AA">
              <w:rPr>
                <w:color w:val="000000"/>
                <w:szCs w:val="16"/>
              </w:rPr>
              <w:t>Delay time</w:t>
            </w:r>
          </w:p>
        </w:tc>
        <w:tc>
          <w:tcPr>
            <w:tcW w:w="0" w:type="auto"/>
            <w:shd w:val="clear" w:color="auto" w:fill="FFFFFF"/>
            <w:tcMar>
              <w:top w:w="0" w:type="dxa"/>
              <w:left w:w="85" w:type="dxa"/>
              <w:bottom w:w="0" w:type="dxa"/>
              <w:right w:w="85" w:type="dxa"/>
            </w:tcMar>
          </w:tcPr>
          <w:p w14:paraId="758E067C" w14:textId="77777777" w:rsidR="00E87995" w:rsidRPr="009E06AA" w:rsidRDefault="00E87995" w:rsidP="00FE7C1C">
            <w:pPr>
              <w:pStyle w:val="TableText"/>
              <w:spacing w:before="40" w:after="30"/>
              <w:jc w:val="right"/>
              <w:rPr>
                <w:szCs w:val="16"/>
              </w:rPr>
            </w:pPr>
            <w:r w:rsidRPr="009E06AA">
              <w:rPr>
                <w:color w:val="000000"/>
                <w:szCs w:val="16"/>
              </w:rPr>
              <w:t>6 months</w:t>
            </w:r>
          </w:p>
        </w:tc>
        <w:tc>
          <w:tcPr>
            <w:tcW w:w="733" w:type="pct"/>
            <w:shd w:val="clear" w:color="auto" w:fill="FFFFFF"/>
            <w:tcMar>
              <w:top w:w="0" w:type="dxa"/>
              <w:left w:w="85" w:type="dxa"/>
              <w:bottom w:w="0" w:type="dxa"/>
              <w:right w:w="85" w:type="dxa"/>
            </w:tcMar>
          </w:tcPr>
          <w:p w14:paraId="649BB157" w14:textId="77777777" w:rsidR="00E87995" w:rsidRPr="009E06AA" w:rsidRDefault="00E87995" w:rsidP="00B55F24">
            <w:pPr>
              <w:pStyle w:val="TableText"/>
              <w:spacing w:before="40" w:after="30"/>
              <w:rPr>
                <w:szCs w:val="16"/>
              </w:rPr>
            </w:pPr>
            <w:r w:rsidRPr="009E06AA">
              <w:rPr>
                <w:color w:val="000000"/>
                <w:szCs w:val="16"/>
              </w:rPr>
              <w:t>IPCC default</w:t>
            </w:r>
          </w:p>
        </w:tc>
        <w:tc>
          <w:tcPr>
            <w:tcW w:w="1662" w:type="pct"/>
            <w:shd w:val="clear" w:color="auto" w:fill="FFFFFF"/>
            <w:tcMar>
              <w:top w:w="0" w:type="dxa"/>
              <w:left w:w="85" w:type="dxa"/>
              <w:bottom w:w="0" w:type="dxa"/>
              <w:right w:w="85" w:type="dxa"/>
            </w:tcMar>
          </w:tcPr>
          <w:p w14:paraId="43EF3ED5" w14:textId="77777777" w:rsidR="00E87995" w:rsidRPr="009E06AA" w:rsidRDefault="00E87995" w:rsidP="00B55F24">
            <w:pPr>
              <w:pStyle w:val="TableText"/>
              <w:spacing w:before="40" w:after="30"/>
              <w:rPr>
                <w:szCs w:val="16"/>
              </w:rPr>
            </w:pPr>
            <w:r w:rsidRPr="009E06AA">
              <w:rPr>
                <w:color w:val="000000"/>
                <w:szCs w:val="16"/>
              </w:rPr>
              <w:t>IPCC (2006a)</w:t>
            </w:r>
          </w:p>
        </w:tc>
      </w:tr>
    </w:tbl>
    <w:p w14:paraId="57432B63" w14:textId="77777777" w:rsidR="00E87995" w:rsidRPr="009E06AA" w:rsidRDefault="00E87995" w:rsidP="00E87995">
      <w:pPr>
        <w:pStyle w:val="Noteundertable"/>
      </w:pPr>
      <w:r w:rsidRPr="009E06AA">
        <w:rPr>
          <w:b/>
          <w:bCs/>
        </w:rPr>
        <w:t>Note:</w:t>
      </w:r>
      <w:r w:rsidRPr="009E06AA">
        <w:tab/>
        <w:t>DDOC = decomposable degradable organic carbon; DOC =degradable organic carbon; DOCf = DOC fraction; IPCC = Intergovernmental Panel on Climate Change.</w:t>
      </w:r>
    </w:p>
    <w:p w14:paraId="46E464C2" w14:textId="77777777" w:rsidR="00E87995" w:rsidRPr="009E06AA" w:rsidRDefault="00E87995" w:rsidP="00BF2A76">
      <w:pPr>
        <w:pStyle w:val="Heading5"/>
      </w:pPr>
      <w:bookmarkStart w:id="2856" w:name="X60b6e25d43b75b4fc56e9238df3dc1e0e335de8"/>
      <w:bookmarkEnd w:id="2835"/>
      <w:bookmarkEnd w:id="2850"/>
      <w:r w:rsidRPr="009E06AA">
        <w:t>Non-municipal landfills and farm fills (5.A.2)</w:t>
      </w:r>
    </w:p>
    <w:p w14:paraId="42FA409E" w14:textId="77777777" w:rsidR="00E87995" w:rsidRPr="009E06AA" w:rsidRDefault="00E87995" w:rsidP="00E87995">
      <w:pPr>
        <w:pStyle w:val="Heading6"/>
        <w:spacing w:before="180"/>
      </w:pPr>
      <w:bookmarkStart w:id="2857" w:name="waste-composition-1"/>
      <w:r w:rsidRPr="009E06AA">
        <w:t>Waste composition</w:t>
      </w:r>
    </w:p>
    <w:p w14:paraId="158DB495" w14:textId="77777777" w:rsidR="00E87995" w:rsidRPr="009E06AA" w:rsidRDefault="00E87995" w:rsidP="00E87995">
      <w:pPr>
        <w:pStyle w:val="BodyText"/>
        <w:spacing w:before="100" w:after="100"/>
      </w:pPr>
      <w:r w:rsidRPr="009E06AA">
        <w:t>The main waste types disposed to non-municipal landfills are described in survey data as cleanfill, construction and demolition waste, green waste and wood. Most sites provided data on which types of waste are accepted, but only a few could quantify the amounts. To fill this data gap, an assumption is made that the quantities of each waste type produced in each region could be determined from the general proportion of waste types reported for each region (Tonkin and Taylor Ltd, unpublished(b)). Updated site data on waste composition from non-municipal landfills have been included from the 2016 year (MWH, 2017). These were mapped to the IPCC waste types (IPCC, 2006a) and the IPCC default DOC values were applied, except for wood waste, which uses a custom DDOC value. Wood waste contains a significant proportion of wood processing waste, which studies show has a higher lignin content that breaks down more slowly and less completely (Eunomia, unpublished(a)) and therefore generates less CH</w:t>
      </w:r>
      <w:r w:rsidRPr="009E06AA">
        <w:rPr>
          <w:vertAlign w:val="subscript"/>
        </w:rPr>
        <w:t>4</w:t>
      </w:r>
      <w:r w:rsidRPr="009E06AA">
        <w:t>.</w:t>
      </w:r>
    </w:p>
    <w:p w14:paraId="78558108" w14:textId="77777777" w:rsidR="00E87995" w:rsidRPr="009E06AA" w:rsidRDefault="00E87995" w:rsidP="00E87995">
      <w:pPr>
        <w:pStyle w:val="BodyText"/>
        <w:spacing w:before="100" w:after="100"/>
      </w:pPr>
      <w:r w:rsidRPr="009E06AA">
        <w:t>For farm fills, the DOC for bulk municipal solid waste is adopted for some farm waste based on results from the non-natural rural wastes survey (GHD, 2013). This is because it is expected to comprise a mixture of domestic refuse, inert wastes (eg, scrap metal and glass) and wastes associated with the particular farming activity. This is similar to the kinds of waste in municipal solid waste, therefore, applying the DOC for bulk municipal solid waste is appropriate (Tonkin and Taylor Ltd, unpublished(b)).</w:t>
      </w:r>
    </w:p>
    <w:p w14:paraId="034405FF" w14:textId="77777777" w:rsidR="00E87995" w:rsidRPr="009E06AA" w:rsidRDefault="00E87995" w:rsidP="00E87995">
      <w:pPr>
        <w:pStyle w:val="Heading6"/>
      </w:pPr>
      <w:bookmarkStart w:id="2858" w:name="other-parameters"/>
      <w:bookmarkEnd w:id="2857"/>
      <w:r w:rsidRPr="009E06AA">
        <w:t>Other parameters</w:t>
      </w:r>
    </w:p>
    <w:p w14:paraId="63A6C54D" w14:textId="77777777" w:rsidR="00E87995" w:rsidRPr="009E06AA" w:rsidRDefault="00E87995" w:rsidP="00E87995">
      <w:pPr>
        <w:pStyle w:val="BodyText"/>
      </w:pPr>
      <w:r w:rsidRPr="009E06AA">
        <w:t>The majority of non-municipal landfills and farm fills are shallow, with less than 5 metres depth of waste. These are estimated to account for 90 per cent of the waste disposed with a CH</w:t>
      </w:r>
      <w:r w:rsidRPr="009E06AA">
        <w:rPr>
          <w:vertAlign w:val="subscript"/>
        </w:rPr>
        <w:t>4</w:t>
      </w:r>
      <w:r w:rsidRPr="009E06AA">
        <w:t xml:space="preserve"> correction factor value of 0.4. The other 10 per cent (approximately) goes to fills that are assumed to be:</w:t>
      </w:r>
    </w:p>
    <w:p w14:paraId="0FEC07A0" w14:textId="77777777" w:rsidR="00E87995" w:rsidRPr="009E06AA" w:rsidRDefault="00E87995" w:rsidP="00E87995">
      <w:pPr>
        <w:pStyle w:val="Bullet"/>
      </w:pPr>
      <w:r w:rsidRPr="009E06AA">
        <w:t>for non-municipal landfills, an unknown mix that would have an average CH</w:t>
      </w:r>
      <w:r w:rsidRPr="009E06AA">
        <w:rPr>
          <w:vertAlign w:val="subscript"/>
        </w:rPr>
        <w:t>4</w:t>
      </w:r>
      <w:r w:rsidRPr="009E06AA">
        <w:t xml:space="preserve"> correction factor value of 0.6; this gives an overall average of 0.42 for these sites</w:t>
      </w:r>
    </w:p>
    <w:p w14:paraId="6CED37C6" w14:textId="77777777" w:rsidR="00E87995" w:rsidRPr="009E06AA" w:rsidRDefault="00E87995" w:rsidP="00E87995">
      <w:pPr>
        <w:pStyle w:val="Bullet"/>
      </w:pPr>
      <w:r w:rsidRPr="009E06AA">
        <w:t>for farm fills with deeper pits that have an average depth greater than 5 metres, the CH</w:t>
      </w:r>
      <w:r w:rsidRPr="009E06AA">
        <w:rPr>
          <w:vertAlign w:val="subscript"/>
        </w:rPr>
        <w:t>4</w:t>
      </w:r>
      <w:r w:rsidRPr="009E06AA">
        <w:t xml:space="preserve"> correction factor value is 0.8 and the average for all farm fills is 0.44.</w:t>
      </w:r>
    </w:p>
    <w:p w14:paraId="63819F0A" w14:textId="77777777" w:rsidR="00E87995" w:rsidRPr="009E06AA" w:rsidRDefault="00E87995" w:rsidP="00E87995">
      <w:pPr>
        <w:pStyle w:val="BodyText"/>
      </w:pPr>
      <w:r w:rsidRPr="009E06AA">
        <w:t>Default k-values for a wet temperate climate are used. No oxidation is assumed to occur in the cover for these unmanaged sites.</w:t>
      </w:r>
    </w:p>
    <w:p w14:paraId="7EBF2310" w14:textId="77777777" w:rsidR="00E87995" w:rsidRPr="009E06AA" w:rsidRDefault="00E87995" w:rsidP="00E87995">
      <w:pPr>
        <w:pStyle w:val="Heading6"/>
      </w:pPr>
      <w:bookmarkStart w:id="2859" w:name="summary-of-parameters-used-1"/>
      <w:bookmarkEnd w:id="2858"/>
      <w:r w:rsidRPr="009E06AA">
        <w:t>Summary of parameters used</w:t>
      </w:r>
    </w:p>
    <w:p w14:paraId="05B11441" w14:textId="77777777" w:rsidR="00E87995" w:rsidRPr="009E06AA" w:rsidRDefault="00E87995" w:rsidP="00E87995">
      <w:pPr>
        <w:pStyle w:val="BodyText"/>
      </w:pPr>
      <w:r w:rsidRPr="009E06AA">
        <w:t>Table 7.2.8 gives a summary of the parameter values that have been applied for estimating CH</w:t>
      </w:r>
      <w:r w:rsidRPr="009E06AA">
        <w:rPr>
          <w:vertAlign w:val="subscript"/>
        </w:rPr>
        <w:t>4</w:t>
      </w:r>
      <w:r w:rsidRPr="009E06AA">
        <w:t xml:space="preserve"> emissions for solid waste disposed to non-municipal landfills and farm fills.</w:t>
      </w:r>
    </w:p>
    <w:p w14:paraId="7562A367" w14:textId="77777777" w:rsidR="00E87995" w:rsidRPr="009E06AA" w:rsidRDefault="00E87995" w:rsidP="00E87995">
      <w:pPr>
        <w:pStyle w:val="Table"/>
      </w:pPr>
      <w:bookmarkStart w:id="2860" w:name="_Toc128383669"/>
      <w:bookmarkStart w:id="2861" w:name="_Toc131591442"/>
      <w:bookmarkStart w:id="2862" w:name="_Toc160537321"/>
      <w:bookmarkStart w:id="2863" w:name="_Toc160537683"/>
      <w:bookmarkStart w:id="2864" w:name="_Toc164153933"/>
      <w:r w:rsidRPr="009E06AA">
        <w:t>Table 7.2.8</w:t>
      </w:r>
      <w:r w:rsidRPr="009E06AA">
        <w:tab/>
        <w:t>Summary of parameters for non-municipal landfills and farm fills</w:t>
      </w:r>
      <w:bookmarkEnd w:id="2860"/>
      <w:bookmarkEnd w:id="2861"/>
      <w:bookmarkEnd w:id="2862"/>
      <w:bookmarkEnd w:id="2863"/>
      <w:bookmarkEnd w:id="2864"/>
    </w:p>
    <w:tbl>
      <w:tblPr>
        <w:tblW w:w="8494" w:type="dxa"/>
        <w:tblBorders>
          <w:top w:val="single" w:sz="4" w:space="0" w:color="1B556B" w:themeColor="text2"/>
          <w:bottom w:val="single" w:sz="4" w:space="0" w:color="1B556B" w:themeColor="text2"/>
          <w:insideH w:val="single" w:sz="4" w:space="0" w:color="1B556B" w:themeColor="text2"/>
        </w:tblBorders>
        <w:tblLook w:val="0420" w:firstRow="1" w:lastRow="0" w:firstColumn="0" w:lastColumn="0" w:noHBand="0" w:noVBand="1"/>
      </w:tblPr>
      <w:tblGrid>
        <w:gridCol w:w="2410"/>
        <w:gridCol w:w="1559"/>
        <w:gridCol w:w="1701"/>
        <w:gridCol w:w="2824"/>
      </w:tblGrid>
      <w:tr w:rsidR="00E87995" w:rsidRPr="009E06AA" w14:paraId="3BAF71C9" w14:textId="77777777" w:rsidTr="00B55F24">
        <w:trPr>
          <w:tblHeader/>
        </w:trPr>
        <w:tc>
          <w:tcPr>
            <w:tcW w:w="2410" w:type="dxa"/>
            <w:shd w:val="clear" w:color="auto" w:fill="1B556B"/>
            <w:tcMar>
              <w:top w:w="0" w:type="dxa"/>
              <w:left w:w="85" w:type="dxa"/>
              <w:bottom w:w="0" w:type="dxa"/>
              <w:right w:w="85" w:type="dxa"/>
            </w:tcMar>
          </w:tcPr>
          <w:p w14:paraId="6423A38C" w14:textId="77777777" w:rsidR="00E87995" w:rsidRPr="009E06AA" w:rsidRDefault="00E87995" w:rsidP="00B55F24">
            <w:pPr>
              <w:pStyle w:val="TableTextBold"/>
              <w:spacing w:before="40" w:after="40"/>
              <w:rPr>
                <w:noProof w:val="0"/>
                <w:color w:val="FFFFFF" w:themeColor="background1"/>
                <w:szCs w:val="16"/>
              </w:rPr>
            </w:pPr>
            <w:r w:rsidRPr="009E06AA">
              <w:rPr>
                <w:noProof w:val="0"/>
                <w:color w:val="FFFFFF" w:themeColor="background1"/>
                <w:szCs w:val="16"/>
              </w:rPr>
              <w:t>Parameter</w:t>
            </w:r>
          </w:p>
        </w:tc>
        <w:tc>
          <w:tcPr>
            <w:tcW w:w="1559" w:type="dxa"/>
            <w:shd w:val="clear" w:color="auto" w:fill="1B556B"/>
            <w:tcMar>
              <w:top w:w="0" w:type="dxa"/>
              <w:left w:w="85" w:type="dxa"/>
              <w:bottom w:w="0" w:type="dxa"/>
              <w:right w:w="85" w:type="dxa"/>
            </w:tcMar>
          </w:tcPr>
          <w:p w14:paraId="464618E3" w14:textId="77777777" w:rsidR="00E87995" w:rsidRPr="009E06AA" w:rsidRDefault="00E87995" w:rsidP="00FE7C1C">
            <w:pPr>
              <w:pStyle w:val="TableTextBold"/>
              <w:spacing w:before="40" w:after="40"/>
              <w:jc w:val="right"/>
              <w:rPr>
                <w:noProof w:val="0"/>
                <w:color w:val="FFFFFF" w:themeColor="background1"/>
                <w:szCs w:val="16"/>
              </w:rPr>
            </w:pPr>
            <w:r w:rsidRPr="009E06AA">
              <w:rPr>
                <w:noProof w:val="0"/>
                <w:color w:val="FFFFFF" w:themeColor="background1"/>
                <w:szCs w:val="16"/>
              </w:rPr>
              <w:t>Values</w:t>
            </w:r>
          </w:p>
        </w:tc>
        <w:tc>
          <w:tcPr>
            <w:tcW w:w="1701" w:type="dxa"/>
            <w:shd w:val="clear" w:color="auto" w:fill="1B556B"/>
            <w:tcMar>
              <w:top w:w="0" w:type="dxa"/>
              <w:left w:w="85" w:type="dxa"/>
              <w:bottom w:w="0" w:type="dxa"/>
              <w:right w:w="85" w:type="dxa"/>
            </w:tcMar>
          </w:tcPr>
          <w:p w14:paraId="0A358CF1" w14:textId="77777777" w:rsidR="00E87995" w:rsidRPr="009E06AA" w:rsidRDefault="00E87995" w:rsidP="00B55F24">
            <w:pPr>
              <w:pStyle w:val="TableTextBold"/>
              <w:spacing w:before="40" w:after="40"/>
              <w:rPr>
                <w:noProof w:val="0"/>
                <w:color w:val="FFFFFF" w:themeColor="background1"/>
                <w:szCs w:val="16"/>
              </w:rPr>
            </w:pPr>
            <w:r w:rsidRPr="009E06AA">
              <w:rPr>
                <w:noProof w:val="0"/>
                <w:color w:val="FFFFFF" w:themeColor="background1"/>
                <w:szCs w:val="16"/>
              </w:rPr>
              <w:t>Source</w:t>
            </w:r>
          </w:p>
        </w:tc>
        <w:tc>
          <w:tcPr>
            <w:tcW w:w="2824" w:type="dxa"/>
            <w:shd w:val="clear" w:color="auto" w:fill="1B556B"/>
            <w:tcMar>
              <w:top w:w="0" w:type="dxa"/>
              <w:left w:w="85" w:type="dxa"/>
              <w:bottom w:w="0" w:type="dxa"/>
              <w:right w:w="85" w:type="dxa"/>
            </w:tcMar>
          </w:tcPr>
          <w:p w14:paraId="436CB02C" w14:textId="77777777" w:rsidR="00E87995" w:rsidRPr="009E06AA" w:rsidRDefault="00E87995" w:rsidP="00B55F24">
            <w:pPr>
              <w:pStyle w:val="TableTextBold"/>
              <w:spacing w:before="40" w:after="40"/>
              <w:rPr>
                <w:noProof w:val="0"/>
                <w:color w:val="FFFFFF" w:themeColor="background1"/>
                <w:szCs w:val="16"/>
              </w:rPr>
            </w:pPr>
            <w:r w:rsidRPr="009E06AA">
              <w:rPr>
                <w:noProof w:val="0"/>
                <w:color w:val="FFFFFF" w:themeColor="background1"/>
                <w:szCs w:val="16"/>
              </w:rPr>
              <w:t>Reference</w:t>
            </w:r>
          </w:p>
        </w:tc>
      </w:tr>
      <w:tr w:rsidR="00E87995" w:rsidRPr="009E06AA" w14:paraId="3810246B" w14:textId="77777777" w:rsidTr="00B55F24">
        <w:tc>
          <w:tcPr>
            <w:tcW w:w="2410" w:type="dxa"/>
            <w:shd w:val="clear" w:color="auto" w:fill="FFFFFF"/>
            <w:tcMar>
              <w:top w:w="0" w:type="dxa"/>
              <w:left w:w="85" w:type="dxa"/>
              <w:bottom w:w="0" w:type="dxa"/>
              <w:right w:w="85" w:type="dxa"/>
            </w:tcMar>
          </w:tcPr>
          <w:p w14:paraId="54ACF1C7" w14:textId="77777777" w:rsidR="00E87995" w:rsidRPr="009E06AA" w:rsidRDefault="00E87995" w:rsidP="00B55F24">
            <w:pPr>
              <w:pStyle w:val="Tableboldblue"/>
              <w:spacing w:before="40" w:after="40"/>
              <w:rPr>
                <w:szCs w:val="16"/>
              </w:rPr>
            </w:pPr>
            <w:r w:rsidRPr="009E06AA">
              <w:rPr>
                <w:szCs w:val="16"/>
              </w:rPr>
              <w:t>Non-municipal landfills</w:t>
            </w:r>
          </w:p>
        </w:tc>
        <w:tc>
          <w:tcPr>
            <w:tcW w:w="1559" w:type="dxa"/>
            <w:shd w:val="clear" w:color="auto" w:fill="FFFFFF"/>
            <w:tcMar>
              <w:top w:w="0" w:type="dxa"/>
              <w:left w:w="85" w:type="dxa"/>
              <w:bottom w:w="0" w:type="dxa"/>
              <w:right w:w="85" w:type="dxa"/>
            </w:tcMar>
          </w:tcPr>
          <w:p w14:paraId="09C43D42" w14:textId="77777777" w:rsidR="00E87995" w:rsidRPr="009E06AA" w:rsidRDefault="00E87995" w:rsidP="00FE7C1C">
            <w:pPr>
              <w:pStyle w:val="Tableboldblue"/>
              <w:spacing w:before="40" w:after="40"/>
              <w:jc w:val="right"/>
              <w:rPr>
                <w:szCs w:val="16"/>
              </w:rPr>
            </w:pPr>
          </w:p>
        </w:tc>
        <w:tc>
          <w:tcPr>
            <w:tcW w:w="1701" w:type="dxa"/>
            <w:shd w:val="clear" w:color="auto" w:fill="FFFFFF"/>
            <w:tcMar>
              <w:top w:w="0" w:type="dxa"/>
              <w:left w:w="85" w:type="dxa"/>
              <w:bottom w:w="0" w:type="dxa"/>
              <w:right w:w="85" w:type="dxa"/>
            </w:tcMar>
          </w:tcPr>
          <w:p w14:paraId="486EB7E9" w14:textId="77777777" w:rsidR="00E87995" w:rsidRPr="009E06AA" w:rsidRDefault="00E87995" w:rsidP="00B55F24">
            <w:pPr>
              <w:pStyle w:val="Tableboldblue"/>
              <w:spacing w:before="40" w:after="40"/>
              <w:rPr>
                <w:szCs w:val="16"/>
              </w:rPr>
            </w:pPr>
          </w:p>
        </w:tc>
        <w:tc>
          <w:tcPr>
            <w:tcW w:w="2824" w:type="dxa"/>
            <w:shd w:val="clear" w:color="auto" w:fill="FFFFFF"/>
            <w:tcMar>
              <w:top w:w="0" w:type="dxa"/>
              <w:left w:w="85" w:type="dxa"/>
              <w:bottom w:w="0" w:type="dxa"/>
              <w:right w:w="85" w:type="dxa"/>
            </w:tcMar>
          </w:tcPr>
          <w:p w14:paraId="5A92428E" w14:textId="77777777" w:rsidR="00E87995" w:rsidRPr="009E06AA" w:rsidRDefault="00E87995" w:rsidP="00B55F24">
            <w:pPr>
              <w:pStyle w:val="Tableboldblue"/>
              <w:spacing w:before="40" w:after="40"/>
              <w:rPr>
                <w:szCs w:val="16"/>
              </w:rPr>
            </w:pPr>
          </w:p>
        </w:tc>
      </w:tr>
      <w:tr w:rsidR="00E87995" w:rsidRPr="009E06AA" w14:paraId="596EC1B0" w14:textId="77777777" w:rsidTr="00B55F24">
        <w:tc>
          <w:tcPr>
            <w:tcW w:w="2410" w:type="dxa"/>
            <w:shd w:val="clear" w:color="auto" w:fill="FFFFFF"/>
            <w:tcMar>
              <w:top w:w="0" w:type="dxa"/>
              <w:left w:w="85" w:type="dxa"/>
              <w:bottom w:w="0" w:type="dxa"/>
              <w:right w:w="85" w:type="dxa"/>
            </w:tcMar>
          </w:tcPr>
          <w:p w14:paraId="5E51E6C0" w14:textId="77777777" w:rsidR="00E87995" w:rsidRPr="009E06AA" w:rsidRDefault="00E87995" w:rsidP="00B55F24">
            <w:pPr>
              <w:pStyle w:val="TableText"/>
              <w:spacing w:before="40" w:after="40"/>
              <w:rPr>
                <w:szCs w:val="16"/>
              </w:rPr>
            </w:pPr>
            <w:r w:rsidRPr="009E06AA">
              <w:rPr>
                <w:color w:val="000000"/>
                <w:szCs w:val="16"/>
              </w:rPr>
              <w:t>k-value</w:t>
            </w:r>
          </w:p>
        </w:tc>
        <w:tc>
          <w:tcPr>
            <w:tcW w:w="1559" w:type="dxa"/>
            <w:shd w:val="clear" w:color="auto" w:fill="FFFFFF"/>
            <w:tcMar>
              <w:top w:w="0" w:type="dxa"/>
              <w:left w:w="85" w:type="dxa"/>
              <w:bottom w:w="0" w:type="dxa"/>
              <w:right w:w="85" w:type="dxa"/>
            </w:tcMar>
          </w:tcPr>
          <w:p w14:paraId="070E3157" w14:textId="77777777" w:rsidR="00E87995" w:rsidRPr="009E06AA" w:rsidRDefault="00E87995" w:rsidP="00FE7C1C">
            <w:pPr>
              <w:pStyle w:val="TableText"/>
              <w:spacing w:before="40" w:after="40"/>
              <w:jc w:val="right"/>
              <w:rPr>
                <w:szCs w:val="16"/>
              </w:rPr>
            </w:pPr>
            <w:r w:rsidRPr="009E06AA">
              <w:rPr>
                <w:color w:val="000000"/>
                <w:szCs w:val="16"/>
              </w:rPr>
              <w:t>0.030–0.185</w:t>
            </w:r>
          </w:p>
        </w:tc>
        <w:tc>
          <w:tcPr>
            <w:tcW w:w="1701" w:type="dxa"/>
            <w:shd w:val="clear" w:color="auto" w:fill="FFFFFF"/>
            <w:tcMar>
              <w:top w:w="0" w:type="dxa"/>
              <w:left w:w="85" w:type="dxa"/>
              <w:bottom w:w="0" w:type="dxa"/>
              <w:right w:w="85" w:type="dxa"/>
            </w:tcMar>
          </w:tcPr>
          <w:p w14:paraId="46878510" w14:textId="77777777" w:rsidR="00E87995" w:rsidRPr="009E06AA" w:rsidRDefault="00E87995" w:rsidP="00B55F24">
            <w:pPr>
              <w:pStyle w:val="TableText"/>
              <w:spacing w:before="40" w:after="40"/>
              <w:rPr>
                <w:szCs w:val="16"/>
              </w:rPr>
            </w:pPr>
            <w:r w:rsidRPr="009E06AA">
              <w:rPr>
                <w:color w:val="000000"/>
                <w:szCs w:val="16"/>
              </w:rPr>
              <w:t>IPCC default</w:t>
            </w:r>
          </w:p>
        </w:tc>
        <w:tc>
          <w:tcPr>
            <w:tcW w:w="2824" w:type="dxa"/>
            <w:shd w:val="clear" w:color="auto" w:fill="FFFFFF"/>
            <w:tcMar>
              <w:top w:w="0" w:type="dxa"/>
              <w:left w:w="85" w:type="dxa"/>
              <w:bottom w:w="0" w:type="dxa"/>
              <w:right w:w="85" w:type="dxa"/>
            </w:tcMar>
          </w:tcPr>
          <w:p w14:paraId="580881F7" w14:textId="77777777" w:rsidR="00E87995" w:rsidRPr="009E06AA" w:rsidRDefault="00E87995" w:rsidP="00B55F24">
            <w:pPr>
              <w:pStyle w:val="TableText"/>
              <w:spacing w:before="40" w:after="40"/>
              <w:rPr>
                <w:szCs w:val="16"/>
              </w:rPr>
            </w:pPr>
            <w:r w:rsidRPr="009E06AA">
              <w:rPr>
                <w:color w:val="000000"/>
                <w:szCs w:val="16"/>
              </w:rPr>
              <w:t>IPCC (2006a)</w:t>
            </w:r>
          </w:p>
        </w:tc>
      </w:tr>
      <w:tr w:rsidR="00E87995" w:rsidRPr="009E06AA" w14:paraId="3910BA6E" w14:textId="77777777" w:rsidTr="00B55F24">
        <w:tc>
          <w:tcPr>
            <w:tcW w:w="2410" w:type="dxa"/>
            <w:shd w:val="clear" w:color="auto" w:fill="FFFFFF"/>
            <w:tcMar>
              <w:top w:w="0" w:type="dxa"/>
              <w:left w:w="85" w:type="dxa"/>
              <w:bottom w:w="0" w:type="dxa"/>
              <w:right w:w="85" w:type="dxa"/>
            </w:tcMar>
          </w:tcPr>
          <w:p w14:paraId="0909586E" w14:textId="77777777" w:rsidR="00E87995" w:rsidRPr="009E06AA" w:rsidRDefault="00E87995" w:rsidP="00B55F24">
            <w:pPr>
              <w:pStyle w:val="TableText"/>
              <w:spacing w:before="40" w:after="40"/>
              <w:rPr>
                <w:szCs w:val="16"/>
              </w:rPr>
            </w:pPr>
            <w:r w:rsidRPr="009E06AA">
              <w:rPr>
                <w:color w:val="000000"/>
                <w:szCs w:val="16"/>
              </w:rPr>
              <w:t>Methane correction factor</w:t>
            </w:r>
          </w:p>
        </w:tc>
        <w:tc>
          <w:tcPr>
            <w:tcW w:w="1559" w:type="dxa"/>
            <w:shd w:val="clear" w:color="auto" w:fill="FFFFFF"/>
            <w:tcMar>
              <w:top w:w="0" w:type="dxa"/>
              <w:left w:w="85" w:type="dxa"/>
              <w:bottom w:w="0" w:type="dxa"/>
              <w:right w:w="85" w:type="dxa"/>
            </w:tcMar>
          </w:tcPr>
          <w:p w14:paraId="46921F1F" w14:textId="77777777" w:rsidR="00E87995" w:rsidRPr="009E06AA" w:rsidRDefault="00E87995" w:rsidP="00FE7C1C">
            <w:pPr>
              <w:pStyle w:val="TableText"/>
              <w:spacing w:before="40" w:after="40"/>
              <w:jc w:val="right"/>
              <w:rPr>
                <w:szCs w:val="16"/>
              </w:rPr>
            </w:pPr>
            <w:r w:rsidRPr="009E06AA">
              <w:rPr>
                <w:color w:val="000000"/>
                <w:szCs w:val="16"/>
              </w:rPr>
              <w:t>0.42</w:t>
            </w:r>
          </w:p>
        </w:tc>
        <w:tc>
          <w:tcPr>
            <w:tcW w:w="1701" w:type="dxa"/>
            <w:shd w:val="clear" w:color="auto" w:fill="FFFFFF"/>
            <w:tcMar>
              <w:top w:w="0" w:type="dxa"/>
              <w:left w:w="85" w:type="dxa"/>
              <w:bottom w:w="0" w:type="dxa"/>
              <w:right w:w="85" w:type="dxa"/>
            </w:tcMar>
          </w:tcPr>
          <w:p w14:paraId="6EC0B3B6" w14:textId="77777777" w:rsidR="00E87995" w:rsidRPr="009E06AA" w:rsidRDefault="00E87995" w:rsidP="00B55F24">
            <w:pPr>
              <w:pStyle w:val="TableText"/>
              <w:spacing w:before="40" w:after="40"/>
              <w:rPr>
                <w:szCs w:val="16"/>
              </w:rPr>
            </w:pPr>
            <w:r w:rsidRPr="009E06AA">
              <w:rPr>
                <w:color w:val="000000"/>
                <w:szCs w:val="16"/>
              </w:rPr>
              <w:t>Country specific</w:t>
            </w:r>
          </w:p>
        </w:tc>
        <w:tc>
          <w:tcPr>
            <w:tcW w:w="2824" w:type="dxa"/>
            <w:shd w:val="clear" w:color="auto" w:fill="FFFFFF"/>
            <w:tcMar>
              <w:top w:w="0" w:type="dxa"/>
              <w:left w:w="85" w:type="dxa"/>
              <w:bottom w:w="0" w:type="dxa"/>
              <w:right w:w="85" w:type="dxa"/>
            </w:tcMar>
          </w:tcPr>
          <w:p w14:paraId="71BB49F2" w14:textId="77777777" w:rsidR="00E87995" w:rsidRPr="009E06AA" w:rsidRDefault="00E87995" w:rsidP="00B55F24">
            <w:pPr>
              <w:pStyle w:val="TableText"/>
              <w:spacing w:before="40" w:after="40"/>
              <w:rPr>
                <w:szCs w:val="16"/>
              </w:rPr>
            </w:pPr>
            <w:r w:rsidRPr="009E06AA">
              <w:rPr>
                <w:color w:val="000000"/>
                <w:szCs w:val="16"/>
              </w:rPr>
              <w:t>Tonkin and Taylor Ltd (unpublished(b))</w:t>
            </w:r>
          </w:p>
        </w:tc>
      </w:tr>
      <w:tr w:rsidR="00E87995" w:rsidRPr="009E06AA" w14:paraId="6E51CB7B" w14:textId="77777777" w:rsidTr="00B55F24">
        <w:tc>
          <w:tcPr>
            <w:tcW w:w="2410" w:type="dxa"/>
            <w:shd w:val="clear" w:color="auto" w:fill="FFFFFF"/>
            <w:tcMar>
              <w:top w:w="0" w:type="dxa"/>
              <w:left w:w="85" w:type="dxa"/>
              <w:bottom w:w="0" w:type="dxa"/>
              <w:right w:w="85" w:type="dxa"/>
            </w:tcMar>
          </w:tcPr>
          <w:p w14:paraId="51CCEEFE" w14:textId="77777777" w:rsidR="00E87995" w:rsidRPr="009E06AA" w:rsidRDefault="00E87995" w:rsidP="00B55F24">
            <w:pPr>
              <w:pStyle w:val="TableText"/>
              <w:spacing w:before="40" w:after="40"/>
              <w:rPr>
                <w:szCs w:val="16"/>
              </w:rPr>
            </w:pPr>
            <w:r w:rsidRPr="009E06AA">
              <w:rPr>
                <w:color w:val="000000"/>
                <w:szCs w:val="16"/>
              </w:rPr>
              <w:t>DOC (kt C/kt waste)</w:t>
            </w:r>
          </w:p>
        </w:tc>
        <w:tc>
          <w:tcPr>
            <w:tcW w:w="1559" w:type="dxa"/>
            <w:shd w:val="clear" w:color="auto" w:fill="FFFFFF"/>
            <w:tcMar>
              <w:top w:w="0" w:type="dxa"/>
              <w:left w:w="85" w:type="dxa"/>
              <w:bottom w:w="0" w:type="dxa"/>
              <w:right w:w="85" w:type="dxa"/>
            </w:tcMar>
          </w:tcPr>
          <w:p w14:paraId="3DF968BB" w14:textId="77777777" w:rsidR="00E87995" w:rsidRPr="009E06AA" w:rsidRDefault="00E87995" w:rsidP="00FE7C1C">
            <w:pPr>
              <w:pStyle w:val="TableText"/>
              <w:spacing w:before="40" w:after="40"/>
              <w:jc w:val="right"/>
              <w:rPr>
                <w:szCs w:val="16"/>
              </w:rPr>
            </w:pPr>
            <w:r w:rsidRPr="009E06AA">
              <w:rPr>
                <w:color w:val="000000"/>
                <w:szCs w:val="16"/>
              </w:rPr>
              <w:t>0.040–0.34</w:t>
            </w:r>
          </w:p>
        </w:tc>
        <w:tc>
          <w:tcPr>
            <w:tcW w:w="1701" w:type="dxa"/>
            <w:shd w:val="clear" w:color="auto" w:fill="FFFFFF"/>
            <w:tcMar>
              <w:top w:w="0" w:type="dxa"/>
              <w:left w:w="85" w:type="dxa"/>
              <w:bottom w:w="0" w:type="dxa"/>
              <w:right w:w="85" w:type="dxa"/>
            </w:tcMar>
          </w:tcPr>
          <w:p w14:paraId="24339B56" w14:textId="77777777" w:rsidR="00E87995" w:rsidRPr="009E06AA" w:rsidRDefault="00E87995" w:rsidP="00B55F24">
            <w:pPr>
              <w:pStyle w:val="TableText"/>
              <w:spacing w:before="40" w:after="40"/>
              <w:rPr>
                <w:szCs w:val="16"/>
              </w:rPr>
            </w:pPr>
            <w:r w:rsidRPr="009E06AA">
              <w:rPr>
                <w:color w:val="000000"/>
                <w:szCs w:val="16"/>
              </w:rPr>
              <w:t>Country specific</w:t>
            </w:r>
          </w:p>
        </w:tc>
        <w:tc>
          <w:tcPr>
            <w:tcW w:w="2824" w:type="dxa"/>
            <w:shd w:val="clear" w:color="auto" w:fill="FFFFFF"/>
            <w:tcMar>
              <w:top w:w="0" w:type="dxa"/>
              <w:left w:w="85" w:type="dxa"/>
              <w:bottom w:w="0" w:type="dxa"/>
              <w:right w:w="85" w:type="dxa"/>
            </w:tcMar>
          </w:tcPr>
          <w:p w14:paraId="6ADAFE11" w14:textId="77777777" w:rsidR="00E87995" w:rsidRPr="009E06AA" w:rsidRDefault="00E87995" w:rsidP="00B55F24">
            <w:pPr>
              <w:pStyle w:val="TableText"/>
              <w:spacing w:before="40" w:after="40"/>
              <w:rPr>
                <w:szCs w:val="16"/>
              </w:rPr>
            </w:pPr>
            <w:r w:rsidRPr="009E06AA">
              <w:rPr>
                <w:color w:val="000000"/>
                <w:szCs w:val="16"/>
              </w:rPr>
              <w:t>Waste Not Consulting (unpublished(b)), Eunomia (unpublished(a))</w:t>
            </w:r>
          </w:p>
        </w:tc>
      </w:tr>
      <w:tr w:rsidR="00E87995" w:rsidRPr="009E06AA" w14:paraId="39B610FC" w14:textId="77777777" w:rsidTr="00B55F24">
        <w:tc>
          <w:tcPr>
            <w:tcW w:w="2410" w:type="dxa"/>
            <w:shd w:val="clear" w:color="auto" w:fill="FFFFFF"/>
            <w:tcMar>
              <w:top w:w="0" w:type="dxa"/>
              <w:left w:w="85" w:type="dxa"/>
              <w:bottom w:w="0" w:type="dxa"/>
              <w:right w:w="85" w:type="dxa"/>
            </w:tcMar>
          </w:tcPr>
          <w:p w14:paraId="52F830E2" w14:textId="77777777" w:rsidR="00E87995" w:rsidRPr="009E06AA" w:rsidRDefault="00E87995" w:rsidP="00B55F24">
            <w:pPr>
              <w:pStyle w:val="TableText"/>
              <w:spacing w:before="40" w:after="40"/>
              <w:rPr>
                <w:b/>
                <w:bCs/>
                <w:szCs w:val="16"/>
              </w:rPr>
            </w:pPr>
            <w:r w:rsidRPr="009E06AA">
              <w:rPr>
                <w:b/>
                <w:bCs/>
                <w:color w:val="1B556B"/>
                <w:szCs w:val="16"/>
              </w:rPr>
              <w:t>Farm fills</w:t>
            </w:r>
          </w:p>
        </w:tc>
        <w:tc>
          <w:tcPr>
            <w:tcW w:w="1559" w:type="dxa"/>
            <w:shd w:val="clear" w:color="auto" w:fill="FFFFFF"/>
            <w:tcMar>
              <w:top w:w="0" w:type="dxa"/>
              <w:left w:w="85" w:type="dxa"/>
              <w:bottom w:w="0" w:type="dxa"/>
              <w:right w:w="85" w:type="dxa"/>
            </w:tcMar>
          </w:tcPr>
          <w:p w14:paraId="16782A0B" w14:textId="77777777" w:rsidR="00E87995" w:rsidRPr="009E06AA" w:rsidRDefault="00E87995" w:rsidP="00FE7C1C">
            <w:pPr>
              <w:pStyle w:val="TableText"/>
              <w:spacing w:before="40" w:after="40"/>
              <w:jc w:val="right"/>
              <w:rPr>
                <w:szCs w:val="16"/>
              </w:rPr>
            </w:pPr>
          </w:p>
        </w:tc>
        <w:tc>
          <w:tcPr>
            <w:tcW w:w="1701" w:type="dxa"/>
            <w:shd w:val="clear" w:color="auto" w:fill="FFFFFF"/>
            <w:tcMar>
              <w:top w:w="0" w:type="dxa"/>
              <w:left w:w="85" w:type="dxa"/>
              <w:bottom w:w="0" w:type="dxa"/>
              <w:right w:w="85" w:type="dxa"/>
            </w:tcMar>
          </w:tcPr>
          <w:p w14:paraId="1AF1969B" w14:textId="77777777" w:rsidR="00E87995" w:rsidRPr="009E06AA" w:rsidRDefault="00E87995" w:rsidP="00B55F24">
            <w:pPr>
              <w:pStyle w:val="TableText"/>
              <w:spacing w:before="40" w:after="40"/>
              <w:rPr>
                <w:szCs w:val="16"/>
              </w:rPr>
            </w:pPr>
          </w:p>
        </w:tc>
        <w:tc>
          <w:tcPr>
            <w:tcW w:w="2824" w:type="dxa"/>
            <w:shd w:val="clear" w:color="auto" w:fill="FFFFFF"/>
            <w:tcMar>
              <w:top w:w="0" w:type="dxa"/>
              <w:left w:w="85" w:type="dxa"/>
              <w:bottom w:w="0" w:type="dxa"/>
              <w:right w:w="85" w:type="dxa"/>
            </w:tcMar>
          </w:tcPr>
          <w:p w14:paraId="412B6B09" w14:textId="77777777" w:rsidR="00E87995" w:rsidRPr="009E06AA" w:rsidRDefault="00E87995" w:rsidP="00B55F24">
            <w:pPr>
              <w:pStyle w:val="TableText"/>
              <w:spacing w:before="40" w:after="40"/>
              <w:rPr>
                <w:szCs w:val="16"/>
              </w:rPr>
            </w:pPr>
          </w:p>
        </w:tc>
      </w:tr>
      <w:tr w:rsidR="00E87995" w:rsidRPr="009E06AA" w14:paraId="2D415D55" w14:textId="77777777" w:rsidTr="00B55F24">
        <w:tc>
          <w:tcPr>
            <w:tcW w:w="2410" w:type="dxa"/>
            <w:shd w:val="clear" w:color="auto" w:fill="FFFFFF"/>
            <w:tcMar>
              <w:top w:w="0" w:type="dxa"/>
              <w:left w:w="85" w:type="dxa"/>
              <w:bottom w:w="0" w:type="dxa"/>
              <w:right w:w="85" w:type="dxa"/>
            </w:tcMar>
          </w:tcPr>
          <w:p w14:paraId="18B66FC9" w14:textId="77777777" w:rsidR="00E87995" w:rsidRPr="009E06AA" w:rsidRDefault="00E87995" w:rsidP="00B55F24">
            <w:pPr>
              <w:pStyle w:val="TableText"/>
              <w:spacing w:before="40" w:after="40"/>
              <w:rPr>
                <w:szCs w:val="16"/>
              </w:rPr>
            </w:pPr>
            <w:r w:rsidRPr="009E06AA">
              <w:rPr>
                <w:color w:val="000000"/>
                <w:szCs w:val="16"/>
              </w:rPr>
              <w:t>k-value</w:t>
            </w:r>
          </w:p>
        </w:tc>
        <w:tc>
          <w:tcPr>
            <w:tcW w:w="1559" w:type="dxa"/>
            <w:shd w:val="clear" w:color="auto" w:fill="FFFFFF"/>
            <w:tcMar>
              <w:top w:w="0" w:type="dxa"/>
              <w:left w:w="85" w:type="dxa"/>
              <w:bottom w:w="0" w:type="dxa"/>
              <w:right w:w="85" w:type="dxa"/>
            </w:tcMar>
          </w:tcPr>
          <w:p w14:paraId="29EB3C80" w14:textId="77777777" w:rsidR="00E87995" w:rsidRPr="009E06AA" w:rsidRDefault="00E87995" w:rsidP="00FE7C1C">
            <w:pPr>
              <w:pStyle w:val="TableText"/>
              <w:spacing w:before="40" w:after="40"/>
              <w:jc w:val="right"/>
              <w:rPr>
                <w:szCs w:val="16"/>
              </w:rPr>
            </w:pPr>
            <w:r w:rsidRPr="009E06AA">
              <w:rPr>
                <w:color w:val="000000"/>
                <w:szCs w:val="16"/>
              </w:rPr>
              <w:t>0.09</w:t>
            </w:r>
          </w:p>
        </w:tc>
        <w:tc>
          <w:tcPr>
            <w:tcW w:w="1701" w:type="dxa"/>
            <w:shd w:val="clear" w:color="auto" w:fill="FFFFFF"/>
            <w:tcMar>
              <w:top w:w="0" w:type="dxa"/>
              <w:left w:w="85" w:type="dxa"/>
              <w:bottom w:w="0" w:type="dxa"/>
              <w:right w:w="85" w:type="dxa"/>
            </w:tcMar>
          </w:tcPr>
          <w:p w14:paraId="407CC31B" w14:textId="77777777" w:rsidR="00E87995" w:rsidRPr="009E06AA" w:rsidRDefault="00E87995" w:rsidP="00B55F24">
            <w:pPr>
              <w:pStyle w:val="TableText"/>
              <w:spacing w:before="40" w:after="40"/>
              <w:rPr>
                <w:szCs w:val="16"/>
              </w:rPr>
            </w:pPr>
            <w:r w:rsidRPr="009E06AA">
              <w:rPr>
                <w:color w:val="000000"/>
                <w:szCs w:val="16"/>
              </w:rPr>
              <w:t>IPCC default</w:t>
            </w:r>
          </w:p>
        </w:tc>
        <w:tc>
          <w:tcPr>
            <w:tcW w:w="2824" w:type="dxa"/>
            <w:shd w:val="clear" w:color="auto" w:fill="FFFFFF"/>
            <w:tcMar>
              <w:top w:w="0" w:type="dxa"/>
              <w:left w:w="85" w:type="dxa"/>
              <w:bottom w:w="0" w:type="dxa"/>
              <w:right w:w="85" w:type="dxa"/>
            </w:tcMar>
          </w:tcPr>
          <w:p w14:paraId="0D55BD07" w14:textId="77777777" w:rsidR="00E87995" w:rsidRPr="009E06AA" w:rsidRDefault="00E87995" w:rsidP="00B55F24">
            <w:pPr>
              <w:pStyle w:val="TableText"/>
              <w:spacing w:before="40" w:after="40"/>
              <w:rPr>
                <w:szCs w:val="16"/>
              </w:rPr>
            </w:pPr>
            <w:r w:rsidRPr="009E06AA">
              <w:rPr>
                <w:color w:val="000000"/>
                <w:szCs w:val="16"/>
              </w:rPr>
              <w:t>IPCC (2006a)</w:t>
            </w:r>
          </w:p>
        </w:tc>
      </w:tr>
      <w:tr w:rsidR="00E87995" w:rsidRPr="009E06AA" w14:paraId="541F153A" w14:textId="77777777" w:rsidTr="00B55F24">
        <w:tc>
          <w:tcPr>
            <w:tcW w:w="2410" w:type="dxa"/>
            <w:shd w:val="clear" w:color="auto" w:fill="FFFFFF"/>
            <w:tcMar>
              <w:top w:w="0" w:type="dxa"/>
              <w:left w:w="85" w:type="dxa"/>
              <w:bottom w:w="0" w:type="dxa"/>
              <w:right w:w="85" w:type="dxa"/>
            </w:tcMar>
          </w:tcPr>
          <w:p w14:paraId="3FA64AAA" w14:textId="77777777" w:rsidR="00E87995" w:rsidRPr="009E06AA" w:rsidRDefault="00E87995" w:rsidP="00B55F24">
            <w:pPr>
              <w:pStyle w:val="TableText"/>
              <w:spacing w:before="40" w:after="40"/>
              <w:rPr>
                <w:szCs w:val="16"/>
              </w:rPr>
            </w:pPr>
            <w:r w:rsidRPr="009E06AA">
              <w:rPr>
                <w:color w:val="000000"/>
                <w:szCs w:val="16"/>
              </w:rPr>
              <w:t>Methane correction factor</w:t>
            </w:r>
          </w:p>
        </w:tc>
        <w:tc>
          <w:tcPr>
            <w:tcW w:w="1559" w:type="dxa"/>
            <w:shd w:val="clear" w:color="auto" w:fill="FFFFFF"/>
            <w:tcMar>
              <w:top w:w="0" w:type="dxa"/>
              <w:left w:w="85" w:type="dxa"/>
              <w:bottom w:w="0" w:type="dxa"/>
              <w:right w:w="85" w:type="dxa"/>
            </w:tcMar>
          </w:tcPr>
          <w:p w14:paraId="698B2BDB" w14:textId="77777777" w:rsidR="00E87995" w:rsidRPr="009E06AA" w:rsidRDefault="00E87995" w:rsidP="00FE7C1C">
            <w:pPr>
              <w:pStyle w:val="TableText"/>
              <w:spacing w:before="40" w:after="40"/>
              <w:jc w:val="right"/>
              <w:rPr>
                <w:szCs w:val="16"/>
              </w:rPr>
            </w:pPr>
            <w:r w:rsidRPr="009E06AA">
              <w:rPr>
                <w:color w:val="000000"/>
                <w:szCs w:val="16"/>
              </w:rPr>
              <w:t>0.44</w:t>
            </w:r>
          </w:p>
        </w:tc>
        <w:tc>
          <w:tcPr>
            <w:tcW w:w="1701" w:type="dxa"/>
            <w:shd w:val="clear" w:color="auto" w:fill="FFFFFF"/>
            <w:tcMar>
              <w:top w:w="0" w:type="dxa"/>
              <w:left w:w="85" w:type="dxa"/>
              <w:bottom w:w="0" w:type="dxa"/>
              <w:right w:w="85" w:type="dxa"/>
            </w:tcMar>
          </w:tcPr>
          <w:p w14:paraId="1B1E5112" w14:textId="77777777" w:rsidR="00E87995" w:rsidRPr="009E06AA" w:rsidRDefault="00E87995" w:rsidP="00B55F24">
            <w:pPr>
              <w:pStyle w:val="TableText"/>
              <w:spacing w:before="40" w:after="40"/>
              <w:rPr>
                <w:szCs w:val="16"/>
              </w:rPr>
            </w:pPr>
            <w:r w:rsidRPr="009E06AA">
              <w:rPr>
                <w:color w:val="000000"/>
                <w:szCs w:val="16"/>
              </w:rPr>
              <w:t>Country specific</w:t>
            </w:r>
          </w:p>
        </w:tc>
        <w:tc>
          <w:tcPr>
            <w:tcW w:w="2824" w:type="dxa"/>
            <w:shd w:val="clear" w:color="auto" w:fill="FFFFFF"/>
            <w:tcMar>
              <w:top w:w="0" w:type="dxa"/>
              <w:left w:w="85" w:type="dxa"/>
              <w:bottom w:w="0" w:type="dxa"/>
              <w:right w:w="85" w:type="dxa"/>
            </w:tcMar>
          </w:tcPr>
          <w:p w14:paraId="7518D137" w14:textId="77777777" w:rsidR="00E87995" w:rsidRPr="009E06AA" w:rsidRDefault="00E87995" w:rsidP="00B55F24">
            <w:pPr>
              <w:pStyle w:val="TableText"/>
              <w:spacing w:before="40" w:after="40"/>
              <w:rPr>
                <w:szCs w:val="16"/>
              </w:rPr>
            </w:pPr>
            <w:r w:rsidRPr="009E06AA">
              <w:rPr>
                <w:color w:val="000000"/>
                <w:szCs w:val="16"/>
              </w:rPr>
              <w:t>Tonkin and Taylor Ltd (unpublished(b))</w:t>
            </w:r>
          </w:p>
        </w:tc>
      </w:tr>
      <w:tr w:rsidR="00E87995" w:rsidRPr="009E06AA" w14:paraId="1B168EAB" w14:textId="77777777" w:rsidTr="00B55F24">
        <w:tc>
          <w:tcPr>
            <w:tcW w:w="2410" w:type="dxa"/>
            <w:shd w:val="clear" w:color="auto" w:fill="FFFFFF"/>
            <w:tcMar>
              <w:top w:w="0" w:type="dxa"/>
              <w:left w:w="85" w:type="dxa"/>
              <w:bottom w:w="0" w:type="dxa"/>
              <w:right w:w="85" w:type="dxa"/>
            </w:tcMar>
          </w:tcPr>
          <w:p w14:paraId="477E41CA" w14:textId="77777777" w:rsidR="00E87995" w:rsidRPr="009E06AA" w:rsidRDefault="00E87995" w:rsidP="00B55F24">
            <w:pPr>
              <w:pStyle w:val="TableText"/>
              <w:spacing w:before="40" w:after="40"/>
              <w:rPr>
                <w:szCs w:val="16"/>
              </w:rPr>
            </w:pPr>
            <w:r w:rsidRPr="009E06AA">
              <w:rPr>
                <w:color w:val="000000"/>
                <w:szCs w:val="16"/>
              </w:rPr>
              <w:t>DOC (kt C/kt waste)</w:t>
            </w:r>
          </w:p>
        </w:tc>
        <w:tc>
          <w:tcPr>
            <w:tcW w:w="1559" w:type="dxa"/>
            <w:shd w:val="clear" w:color="auto" w:fill="FFFFFF"/>
            <w:tcMar>
              <w:top w:w="0" w:type="dxa"/>
              <w:left w:w="85" w:type="dxa"/>
              <w:bottom w:w="0" w:type="dxa"/>
              <w:right w:w="85" w:type="dxa"/>
            </w:tcMar>
          </w:tcPr>
          <w:p w14:paraId="51AEB58D" w14:textId="77777777" w:rsidR="00E87995" w:rsidRPr="009E06AA" w:rsidRDefault="00E87995" w:rsidP="00FE7C1C">
            <w:pPr>
              <w:pStyle w:val="TableText"/>
              <w:spacing w:before="40" w:after="40"/>
              <w:jc w:val="right"/>
              <w:rPr>
                <w:szCs w:val="16"/>
              </w:rPr>
            </w:pPr>
            <w:r w:rsidRPr="009E06AA">
              <w:rPr>
                <w:color w:val="000000"/>
                <w:szCs w:val="16"/>
              </w:rPr>
              <w:t>0.</w:t>
            </w:r>
            <w:r w:rsidRPr="009E06AA">
              <w:rPr>
                <w:rFonts w:eastAsia="Calibri" w:cs="Calibri"/>
                <w:color w:val="000000"/>
                <w:szCs w:val="16"/>
              </w:rPr>
              <w:t>214</w:t>
            </w:r>
            <w:r w:rsidRPr="009E06AA">
              <w:rPr>
                <w:color w:val="000000"/>
                <w:szCs w:val="16"/>
              </w:rPr>
              <w:t>-0.331</w:t>
            </w:r>
          </w:p>
        </w:tc>
        <w:tc>
          <w:tcPr>
            <w:tcW w:w="1701" w:type="dxa"/>
            <w:shd w:val="clear" w:color="auto" w:fill="FFFFFF"/>
            <w:tcMar>
              <w:top w:w="0" w:type="dxa"/>
              <w:left w:w="85" w:type="dxa"/>
              <w:bottom w:w="0" w:type="dxa"/>
              <w:right w:w="85" w:type="dxa"/>
            </w:tcMar>
          </w:tcPr>
          <w:p w14:paraId="3677D3E4" w14:textId="77777777" w:rsidR="00E87995" w:rsidRPr="009E06AA" w:rsidRDefault="00E87995" w:rsidP="00B55F24">
            <w:pPr>
              <w:pStyle w:val="TableText"/>
              <w:spacing w:before="40" w:after="40"/>
              <w:rPr>
                <w:szCs w:val="16"/>
              </w:rPr>
            </w:pPr>
            <w:r w:rsidRPr="009E06AA">
              <w:rPr>
                <w:color w:val="000000"/>
                <w:szCs w:val="16"/>
              </w:rPr>
              <w:t>Country specific</w:t>
            </w:r>
          </w:p>
        </w:tc>
        <w:tc>
          <w:tcPr>
            <w:tcW w:w="2824" w:type="dxa"/>
            <w:shd w:val="clear" w:color="auto" w:fill="FFFFFF"/>
            <w:tcMar>
              <w:top w:w="0" w:type="dxa"/>
              <w:left w:w="85" w:type="dxa"/>
              <w:bottom w:w="0" w:type="dxa"/>
              <w:right w:w="85" w:type="dxa"/>
            </w:tcMar>
          </w:tcPr>
          <w:p w14:paraId="2E089A5C" w14:textId="77777777" w:rsidR="00E87995" w:rsidRPr="009E06AA" w:rsidRDefault="00E87995" w:rsidP="00B55F24">
            <w:pPr>
              <w:pStyle w:val="TableText"/>
              <w:spacing w:before="40" w:after="40"/>
              <w:rPr>
                <w:szCs w:val="16"/>
              </w:rPr>
            </w:pPr>
            <w:r w:rsidRPr="009E06AA">
              <w:rPr>
                <w:color w:val="000000"/>
                <w:szCs w:val="16"/>
              </w:rPr>
              <w:t>GHD (2013, 2014)</w:t>
            </w:r>
          </w:p>
        </w:tc>
      </w:tr>
      <w:tr w:rsidR="00E87995" w:rsidRPr="009E06AA" w14:paraId="1A445845" w14:textId="77777777" w:rsidTr="00B55F24">
        <w:tc>
          <w:tcPr>
            <w:tcW w:w="2410" w:type="dxa"/>
            <w:shd w:val="clear" w:color="auto" w:fill="FFFFFF"/>
            <w:tcMar>
              <w:top w:w="0" w:type="dxa"/>
              <w:left w:w="85" w:type="dxa"/>
              <w:bottom w:w="0" w:type="dxa"/>
              <w:right w:w="85" w:type="dxa"/>
            </w:tcMar>
          </w:tcPr>
          <w:p w14:paraId="4B6C0864" w14:textId="77777777" w:rsidR="00E87995" w:rsidRPr="009E06AA" w:rsidRDefault="00E87995" w:rsidP="00B55F24">
            <w:pPr>
              <w:pStyle w:val="Tableboldblue"/>
              <w:spacing w:before="40" w:after="40"/>
              <w:rPr>
                <w:szCs w:val="16"/>
              </w:rPr>
            </w:pPr>
            <w:r w:rsidRPr="009E06AA">
              <w:rPr>
                <w:szCs w:val="16"/>
              </w:rPr>
              <w:t>All sites</w:t>
            </w:r>
          </w:p>
        </w:tc>
        <w:tc>
          <w:tcPr>
            <w:tcW w:w="1559" w:type="dxa"/>
            <w:shd w:val="clear" w:color="auto" w:fill="FFFFFF"/>
            <w:tcMar>
              <w:top w:w="0" w:type="dxa"/>
              <w:left w:w="85" w:type="dxa"/>
              <w:bottom w:w="0" w:type="dxa"/>
              <w:right w:w="85" w:type="dxa"/>
            </w:tcMar>
          </w:tcPr>
          <w:p w14:paraId="0A8ACF1B" w14:textId="77777777" w:rsidR="00E87995" w:rsidRPr="009E06AA" w:rsidRDefault="00E87995" w:rsidP="00FE7C1C">
            <w:pPr>
              <w:pStyle w:val="Tableboldblue"/>
              <w:spacing w:before="40" w:after="40"/>
              <w:jc w:val="right"/>
              <w:rPr>
                <w:szCs w:val="16"/>
              </w:rPr>
            </w:pPr>
          </w:p>
        </w:tc>
        <w:tc>
          <w:tcPr>
            <w:tcW w:w="1701" w:type="dxa"/>
            <w:shd w:val="clear" w:color="auto" w:fill="FFFFFF"/>
            <w:tcMar>
              <w:top w:w="0" w:type="dxa"/>
              <w:left w:w="85" w:type="dxa"/>
              <w:bottom w:w="0" w:type="dxa"/>
              <w:right w:w="85" w:type="dxa"/>
            </w:tcMar>
          </w:tcPr>
          <w:p w14:paraId="0A37EC12" w14:textId="77777777" w:rsidR="00E87995" w:rsidRPr="009E06AA" w:rsidRDefault="00E87995" w:rsidP="00B55F24">
            <w:pPr>
              <w:pStyle w:val="Tableboldblue"/>
              <w:spacing w:before="40" w:after="40"/>
              <w:rPr>
                <w:szCs w:val="16"/>
              </w:rPr>
            </w:pPr>
          </w:p>
        </w:tc>
        <w:tc>
          <w:tcPr>
            <w:tcW w:w="2824" w:type="dxa"/>
            <w:shd w:val="clear" w:color="auto" w:fill="FFFFFF"/>
            <w:tcMar>
              <w:top w:w="0" w:type="dxa"/>
              <w:left w:w="85" w:type="dxa"/>
              <w:bottom w:w="0" w:type="dxa"/>
              <w:right w:w="85" w:type="dxa"/>
            </w:tcMar>
          </w:tcPr>
          <w:p w14:paraId="1E6816EE" w14:textId="77777777" w:rsidR="00E87995" w:rsidRPr="009E06AA" w:rsidRDefault="00E87995" w:rsidP="00B55F24">
            <w:pPr>
              <w:pStyle w:val="Tableboldblue"/>
              <w:spacing w:before="40" w:after="40"/>
              <w:rPr>
                <w:szCs w:val="16"/>
              </w:rPr>
            </w:pPr>
          </w:p>
        </w:tc>
      </w:tr>
      <w:tr w:rsidR="00E87995" w:rsidRPr="009E06AA" w14:paraId="73B683C6" w14:textId="77777777" w:rsidTr="00B55F24">
        <w:tc>
          <w:tcPr>
            <w:tcW w:w="2410" w:type="dxa"/>
            <w:shd w:val="clear" w:color="auto" w:fill="FFFFFF"/>
            <w:tcMar>
              <w:top w:w="0" w:type="dxa"/>
              <w:left w:w="85" w:type="dxa"/>
              <w:bottom w:w="0" w:type="dxa"/>
              <w:right w:w="85" w:type="dxa"/>
            </w:tcMar>
          </w:tcPr>
          <w:p w14:paraId="4AFAFE32" w14:textId="77777777" w:rsidR="00E87995" w:rsidRPr="009E06AA" w:rsidRDefault="00E87995" w:rsidP="00B55F24">
            <w:pPr>
              <w:pStyle w:val="TableText"/>
              <w:spacing w:before="40" w:after="40"/>
              <w:rPr>
                <w:szCs w:val="16"/>
              </w:rPr>
            </w:pPr>
            <w:r w:rsidRPr="009E06AA">
              <w:rPr>
                <w:color w:val="000000"/>
                <w:szCs w:val="16"/>
              </w:rPr>
              <w:t>Oxidation factor</w:t>
            </w:r>
          </w:p>
        </w:tc>
        <w:tc>
          <w:tcPr>
            <w:tcW w:w="1559" w:type="dxa"/>
            <w:shd w:val="clear" w:color="auto" w:fill="FFFFFF"/>
            <w:tcMar>
              <w:top w:w="0" w:type="dxa"/>
              <w:left w:w="85" w:type="dxa"/>
              <w:bottom w:w="0" w:type="dxa"/>
              <w:right w:w="85" w:type="dxa"/>
            </w:tcMar>
          </w:tcPr>
          <w:p w14:paraId="19F6A7AC" w14:textId="77777777" w:rsidR="00E87995" w:rsidRPr="009E06AA" w:rsidRDefault="00E87995" w:rsidP="00FE7C1C">
            <w:pPr>
              <w:pStyle w:val="TableText"/>
              <w:spacing w:before="40" w:after="40"/>
              <w:jc w:val="right"/>
              <w:rPr>
                <w:szCs w:val="16"/>
              </w:rPr>
            </w:pPr>
            <w:r w:rsidRPr="009E06AA">
              <w:rPr>
                <w:color w:val="000000"/>
                <w:szCs w:val="16"/>
              </w:rPr>
              <w:t>0</w:t>
            </w:r>
          </w:p>
        </w:tc>
        <w:tc>
          <w:tcPr>
            <w:tcW w:w="1701" w:type="dxa"/>
            <w:shd w:val="clear" w:color="auto" w:fill="FFFFFF"/>
            <w:tcMar>
              <w:top w:w="0" w:type="dxa"/>
              <w:left w:w="85" w:type="dxa"/>
              <w:bottom w:w="0" w:type="dxa"/>
              <w:right w:w="85" w:type="dxa"/>
            </w:tcMar>
          </w:tcPr>
          <w:p w14:paraId="268B2D5B" w14:textId="77777777" w:rsidR="00E87995" w:rsidRPr="009E06AA" w:rsidRDefault="00E87995" w:rsidP="00B55F24">
            <w:pPr>
              <w:pStyle w:val="TableText"/>
              <w:spacing w:before="40" w:after="40"/>
              <w:rPr>
                <w:szCs w:val="16"/>
              </w:rPr>
            </w:pPr>
            <w:r w:rsidRPr="009E06AA">
              <w:rPr>
                <w:color w:val="000000"/>
                <w:szCs w:val="16"/>
              </w:rPr>
              <w:t>IPCC default</w:t>
            </w:r>
          </w:p>
        </w:tc>
        <w:tc>
          <w:tcPr>
            <w:tcW w:w="2824" w:type="dxa"/>
            <w:shd w:val="clear" w:color="auto" w:fill="FFFFFF"/>
            <w:tcMar>
              <w:top w:w="0" w:type="dxa"/>
              <w:left w:w="85" w:type="dxa"/>
              <w:bottom w:w="0" w:type="dxa"/>
              <w:right w:w="85" w:type="dxa"/>
            </w:tcMar>
          </w:tcPr>
          <w:p w14:paraId="4457B48E" w14:textId="77777777" w:rsidR="00E87995" w:rsidRPr="009E06AA" w:rsidRDefault="00E87995" w:rsidP="00B55F24">
            <w:pPr>
              <w:pStyle w:val="TableText"/>
              <w:spacing w:before="40" w:after="40"/>
              <w:rPr>
                <w:szCs w:val="16"/>
              </w:rPr>
            </w:pPr>
            <w:r w:rsidRPr="009E06AA">
              <w:rPr>
                <w:color w:val="000000"/>
                <w:szCs w:val="16"/>
              </w:rPr>
              <w:t>IPCC (2006a)</w:t>
            </w:r>
          </w:p>
        </w:tc>
      </w:tr>
      <w:tr w:rsidR="00E87995" w:rsidRPr="009E06AA" w14:paraId="2B9DC70D" w14:textId="77777777" w:rsidTr="00B55F24">
        <w:tc>
          <w:tcPr>
            <w:tcW w:w="2410" w:type="dxa"/>
            <w:shd w:val="clear" w:color="auto" w:fill="FFFFFF"/>
            <w:tcMar>
              <w:top w:w="0" w:type="dxa"/>
              <w:left w:w="85" w:type="dxa"/>
              <w:bottom w:w="0" w:type="dxa"/>
              <w:right w:w="85" w:type="dxa"/>
            </w:tcMar>
          </w:tcPr>
          <w:p w14:paraId="3BEA3B1E" w14:textId="77777777" w:rsidR="00E87995" w:rsidRPr="009E06AA" w:rsidRDefault="00E87995" w:rsidP="00B55F24">
            <w:pPr>
              <w:pStyle w:val="TableText"/>
              <w:spacing w:before="40" w:after="40"/>
              <w:rPr>
                <w:szCs w:val="16"/>
              </w:rPr>
            </w:pPr>
            <w:r w:rsidRPr="009E06AA">
              <w:rPr>
                <w:color w:val="000000"/>
                <w:szCs w:val="16"/>
              </w:rPr>
              <w:t>Starting year</w:t>
            </w:r>
          </w:p>
        </w:tc>
        <w:tc>
          <w:tcPr>
            <w:tcW w:w="1559" w:type="dxa"/>
            <w:shd w:val="clear" w:color="auto" w:fill="FFFFFF"/>
            <w:tcMar>
              <w:top w:w="0" w:type="dxa"/>
              <w:left w:w="85" w:type="dxa"/>
              <w:bottom w:w="0" w:type="dxa"/>
              <w:right w:w="85" w:type="dxa"/>
            </w:tcMar>
          </w:tcPr>
          <w:p w14:paraId="23EAAEDD" w14:textId="77777777" w:rsidR="00E87995" w:rsidRPr="009E06AA" w:rsidRDefault="00E87995" w:rsidP="00FE7C1C">
            <w:pPr>
              <w:pStyle w:val="TableText"/>
              <w:spacing w:before="40" w:after="40"/>
              <w:jc w:val="right"/>
              <w:rPr>
                <w:szCs w:val="16"/>
              </w:rPr>
            </w:pPr>
            <w:r w:rsidRPr="009E06AA">
              <w:rPr>
                <w:color w:val="000000"/>
                <w:szCs w:val="16"/>
              </w:rPr>
              <w:t>1950</w:t>
            </w:r>
          </w:p>
        </w:tc>
        <w:tc>
          <w:tcPr>
            <w:tcW w:w="1701" w:type="dxa"/>
            <w:shd w:val="clear" w:color="auto" w:fill="FFFFFF"/>
            <w:tcMar>
              <w:top w:w="0" w:type="dxa"/>
              <w:left w:w="85" w:type="dxa"/>
              <w:bottom w:w="0" w:type="dxa"/>
              <w:right w:w="85" w:type="dxa"/>
            </w:tcMar>
          </w:tcPr>
          <w:p w14:paraId="7D431A44" w14:textId="77777777" w:rsidR="00E87995" w:rsidRPr="009E06AA" w:rsidRDefault="00E87995" w:rsidP="00B55F24">
            <w:pPr>
              <w:pStyle w:val="TableText"/>
              <w:spacing w:before="40" w:after="40"/>
              <w:rPr>
                <w:szCs w:val="16"/>
              </w:rPr>
            </w:pPr>
            <w:r w:rsidRPr="009E06AA">
              <w:rPr>
                <w:color w:val="000000"/>
                <w:szCs w:val="16"/>
              </w:rPr>
              <w:t>IPCC default</w:t>
            </w:r>
          </w:p>
        </w:tc>
        <w:tc>
          <w:tcPr>
            <w:tcW w:w="2824" w:type="dxa"/>
            <w:shd w:val="clear" w:color="auto" w:fill="FFFFFF"/>
            <w:tcMar>
              <w:top w:w="0" w:type="dxa"/>
              <w:left w:w="85" w:type="dxa"/>
              <w:bottom w:w="0" w:type="dxa"/>
              <w:right w:w="85" w:type="dxa"/>
            </w:tcMar>
          </w:tcPr>
          <w:p w14:paraId="12539592" w14:textId="77777777" w:rsidR="00E87995" w:rsidRPr="009E06AA" w:rsidRDefault="00E87995" w:rsidP="00B55F24">
            <w:pPr>
              <w:pStyle w:val="TableText"/>
              <w:spacing w:before="40" w:after="40"/>
              <w:rPr>
                <w:szCs w:val="16"/>
              </w:rPr>
            </w:pPr>
            <w:r w:rsidRPr="009E06AA">
              <w:rPr>
                <w:color w:val="000000"/>
                <w:szCs w:val="16"/>
              </w:rPr>
              <w:t>IPCC (2006a)</w:t>
            </w:r>
          </w:p>
        </w:tc>
      </w:tr>
      <w:tr w:rsidR="00E87995" w:rsidRPr="009E06AA" w14:paraId="20DB1851" w14:textId="77777777" w:rsidTr="00B55F24">
        <w:tc>
          <w:tcPr>
            <w:tcW w:w="2410" w:type="dxa"/>
            <w:shd w:val="clear" w:color="auto" w:fill="FFFFFF"/>
            <w:tcMar>
              <w:top w:w="0" w:type="dxa"/>
              <w:left w:w="85" w:type="dxa"/>
              <w:bottom w:w="0" w:type="dxa"/>
              <w:right w:w="85" w:type="dxa"/>
            </w:tcMar>
          </w:tcPr>
          <w:p w14:paraId="5EE9FC5C" w14:textId="77777777" w:rsidR="00E87995" w:rsidRPr="009E06AA" w:rsidRDefault="00E87995" w:rsidP="00B55F24">
            <w:pPr>
              <w:pStyle w:val="TableText"/>
              <w:spacing w:before="40" w:after="40"/>
              <w:rPr>
                <w:szCs w:val="16"/>
              </w:rPr>
            </w:pPr>
            <w:r w:rsidRPr="009E06AA">
              <w:rPr>
                <w:color w:val="000000"/>
                <w:szCs w:val="16"/>
              </w:rPr>
              <w:t>Delay time</w:t>
            </w:r>
          </w:p>
        </w:tc>
        <w:tc>
          <w:tcPr>
            <w:tcW w:w="1559" w:type="dxa"/>
            <w:shd w:val="clear" w:color="auto" w:fill="FFFFFF"/>
            <w:tcMar>
              <w:top w:w="0" w:type="dxa"/>
              <w:left w:w="85" w:type="dxa"/>
              <w:bottom w:w="0" w:type="dxa"/>
              <w:right w:w="85" w:type="dxa"/>
            </w:tcMar>
          </w:tcPr>
          <w:p w14:paraId="51834FEE" w14:textId="77777777" w:rsidR="00E87995" w:rsidRPr="009E06AA" w:rsidRDefault="00E87995" w:rsidP="00FE7C1C">
            <w:pPr>
              <w:pStyle w:val="TableText"/>
              <w:spacing w:before="40" w:after="40"/>
              <w:jc w:val="right"/>
              <w:rPr>
                <w:szCs w:val="16"/>
              </w:rPr>
            </w:pPr>
            <w:r w:rsidRPr="009E06AA">
              <w:rPr>
                <w:color w:val="000000"/>
                <w:szCs w:val="16"/>
              </w:rPr>
              <w:t>6 months</w:t>
            </w:r>
          </w:p>
        </w:tc>
        <w:tc>
          <w:tcPr>
            <w:tcW w:w="1701" w:type="dxa"/>
            <w:shd w:val="clear" w:color="auto" w:fill="FFFFFF"/>
            <w:tcMar>
              <w:top w:w="0" w:type="dxa"/>
              <w:left w:w="85" w:type="dxa"/>
              <w:bottom w:w="0" w:type="dxa"/>
              <w:right w:w="85" w:type="dxa"/>
            </w:tcMar>
          </w:tcPr>
          <w:p w14:paraId="359E36A0" w14:textId="77777777" w:rsidR="00E87995" w:rsidRPr="009E06AA" w:rsidRDefault="00E87995" w:rsidP="00B55F24">
            <w:pPr>
              <w:pStyle w:val="TableText"/>
              <w:spacing w:before="40" w:after="40"/>
              <w:rPr>
                <w:szCs w:val="16"/>
              </w:rPr>
            </w:pPr>
            <w:r w:rsidRPr="009E06AA">
              <w:rPr>
                <w:color w:val="000000"/>
                <w:szCs w:val="16"/>
              </w:rPr>
              <w:t>IPCC default</w:t>
            </w:r>
          </w:p>
        </w:tc>
        <w:tc>
          <w:tcPr>
            <w:tcW w:w="2824" w:type="dxa"/>
            <w:shd w:val="clear" w:color="auto" w:fill="FFFFFF"/>
            <w:tcMar>
              <w:top w:w="0" w:type="dxa"/>
              <w:left w:w="85" w:type="dxa"/>
              <w:bottom w:w="0" w:type="dxa"/>
              <w:right w:w="85" w:type="dxa"/>
            </w:tcMar>
          </w:tcPr>
          <w:p w14:paraId="11A277D0" w14:textId="77777777" w:rsidR="00E87995" w:rsidRPr="009E06AA" w:rsidRDefault="00E87995" w:rsidP="00B55F24">
            <w:pPr>
              <w:pStyle w:val="TableText"/>
              <w:spacing w:before="40" w:after="40"/>
              <w:rPr>
                <w:szCs w:val="16"/>
              </w:rPr>
            </w:pPr>
            <w:r w:rsidRPr="009E06AA">
              <w:rPr>
                <w:color w:val="000000"/>
                <w:szCs w:val="16"/>
              </w:rPr>
              <w:t>IPCC (2006a)</w:t>
            </w:r>
          </w:p>
        </w:tc>
      </w:tr>
      <w:tr w:rsidR="00E87995" w:rsidRPr="009E06AA" w14:paraId="6AEE6569" w14:textId="77777777" w:rsidTr="00B55F24">
        <w:tc>
          <w:tcPr>
            <w:tcW w:w="2410" w:type="dxa"/>
            <w:shd w:val="clear" w:color="auto" w:fill="FFFFFF"/>
            <w:tcMar>
              <w:top w:w="0" w:type="dxa"/>
              <w:left w:w="85" w:type="dxa"/>
              <w:bottom w:w="0" w:type="dxa"/>
              <w:right w:w="85" w:type="dxa"/>
            </w:tcMar>
          </w:tcPr>
          <w:p w14:paraId="1040A648" w14:textId="77777777" w:rsidR="00E87995" w:rsidRPr="009E06AA" w:rsidRDefault="00E87995" w:rsidP="00B55F24">
            <w:pPr>
              <w:pStyle w:val="TableText"/>
              <w:spacing w:before="40" w:after="40"/>
              <w:rPr>
                <w:szCs w:val="16"/>
              </w:rPr>
            </w:pPr>
            <w:r w:rsidRPr="009E06AA">
              <w:rPr>
                <w:color w:val="000000"/>
                <w:szCs w:val="16"/>
              </w:rPr>
              <w:t>Fraction of DOC that decomposes</w:t>
            </w:r>
          </w:p>
        </w:tc>
        <w:tc>
          <w:tcPr>
            <w:tcW w:w="1559" w:type="dxa"/>
            <w:shd w:val="clear" w:color="auto" w:fill="FFFFFF"/>
            <w:tcMar>
              <w:top w:w="0" w:type="dxa"/>
              <w:left w:w="85" w:type="dxa"/>
              <w:bottom w:w="0" w:type="dxa"/>
              <w:right w:w="85" w:type="dxa"/>
            </w:tcMar>
          </w:tcPr>
          <w:p w14:paraId="1B37DD3E" w14:textId="77777777" w:rsidR="00E87995" w:rsidRPr="009E06AA" w:rsidRDefault="00E87995" w:rsidP="00FE7C1C">
            <w:pPr>
              <w:pStyle w:val="TableText"/>
              <w:spacing w:before="40" w:after="40"/>
              <w:jc w:val="right"/>
              <w:rPr>
                <w:szCs w:val="16"/>
              </w:rPr>
            </w:pPr>
            <w:r w:rsidRPr="009E06AA">
              <w:rPr>
                <w:color w:val="000000"/>
                <w:szCs w:val="16"/>
              </w:rPr>
              <w:t>0.5</w:t>
            </w:r>
          </w:p>
        </w:tc>
        <w:tc>
          <w:tcPr>
            <w:tcW w:w="1701" w:type="dxa"/>
            <w:shd w:val="clear" w:color="auto" w:fill="FFFFFF"/>
            <w:tcMar>
              <w:top w:w="0" w:type="dxa"/>
              <w:left w:w="85" w:type="dxa"/>
              <w:bottom w:w="0" w:type="dxa"/>
              <w:right w:w="85" w:type="dxa"/>
            </w:tcMar>
          </w:tcPr>
          <w:p w14:paraId="492F5922" w14:textId="77777777" w:rsidR="00E87995" w:rsidRPr="009E06AA" w:rsidRDefault="00E87995" w:rsidP="00B55F24">
            <w:pPr>
              <w:pStyle w:val="TableText"/>
              <w:spacing w:before="40" w:after="40"/>
              <w:rPr>
                <w:szCs w:val="16"/>
              </w:rPr>
            </w:pPr>
            <w:r w:rsidRPr="009E06AA">
              <w:rPr>
                <w:color w:val="000000"/>
                <w:szCs w:val="16"/>
              </w:rPr>
              <w:t>IPCC default</w:t>
            </w:r>
          </w:p>
        </w:tc>
        <w:tc>
          <w:tcPr>
            <w:tcW w:w="2824" w:type="dxa"/>
            <w:shd w:val="clear" w:color="auto" w:fill="FFFFFF"/>
            <w:tcMar>
              <w:top w:w="0" w:type="dxa"/>
              <w:left w:w="85" w:type="dxa"/>
              <w:bottom w:w="0" w:type="dxa"/>
              <w:right w:w="85" w:type="dxa"/>
            </w:tcMar>
          </w:tcPr>
          <w:p w14:paraId="387B3D60" w14:textId="77777777" w:rsidR="00E87995" w:rsidRPr="009E06AA" w:rsidRDefault="00E87995" w:rsidP="00B55F24">
            <w:pPr>
              <w:pStyle w:val="TableText"/>
              <w:spacing w:before="40" w:after="40"/>
              <w:rPr>
                <w:szCs w:val="16"/>
              </w:rPr>
            </w:pPr>
            <w:r w:rsidRPr="009E06AA">
              <w:rPr>
                <w:color w:val="000000"/>
                <w:szCs w:val="16"/>
              </w:rPr>
              <w:t>IPCC (2006a)</w:t>
            </w:r>
          </w:p>
        </w:tc>
      </w:tr>
      <w:tr w:rsidR="00E87995" w:rsidRPr="009E06AA" w14:paraId="6D241833" w14:textId="77777777" w:rsidTr="00B55F24">
        <w:tc>
          <w:tcPr>
            <w:tcW w:w="2410" w:type="dxa"/>
            <w:shd w:val="clear" w:color="auto" w:fill="FFFFFF"/>
            <w:tcMar>
              <w:top w:w="0" w:type="dxa"/>
              <w:left w:w="85" w:type="dxa"/>
              <w:bottom w:w="0" w:type="dxa"/>
              <w:right w:w="85" w:type="dxa"/>
            </w:tcMar>
          </w:tcPr>
          <w:p w14:paraId="56B56FAB" w14:textId="77777777" w:rsidR="00E87995" w:rsidRPr="009E06AA" w:rsidRDefault="00E87995" w:rsidP="00B55F24">
            <w:pPr>
              <w:pStyle w:val="TableText"/>
              <w:spacing w:before="40" w:after="40"/>
              <w:rPr>
                <w:szCs w:val="16"/>
              </w:rPr>
            </w:pPr>
            <w:r w:rsidRPr="009E06AA">
              <w:rPr>
                <w:color w:val="000000"/>
                <w:szCs w:val="16"/>
              </w:rPr>
              <w:t>Fraction of methane in gas</w:t>
            </w:r>
          </w:p>
        </w:tc>
        <w:tc>
          <w:tcPr>
            <w:tcW w:w="1559" w:type="dxa"/>
            <w:shd w:val="clear" w:color="auto" w:fill="FFFFFF"/>
            <w:tcMar>
              <w:top w:w="0" w:type="dxa"/>
              <w:left w:w="85" w:type="dxa"/>
              <w:bottom w:w="0" w:type="dxa"/>
              <w:right w:w="85" w:type="dxa"/>
            </w:tcMar>
          </w:tcPr>
          <w:p w14:paraId="0989DD26" w14:textId="77777777" w:rsidR="00E87995" w:rsidRPr="009E06AA" w:rsidRDefault="00E87995" w:rsidP="00FE7C1C">
            <w:pPr>
              <w:pStyle w:val="TableText"/>
              <w:spacing w:before="40" w:after="40"/>
              <w:jc w:val="right"/>
              <w:rPr>
                <w:szCs w:val="16"/>
              </w:rPr>
            </w:pPr>
            <w:r w:rsidRPr="009E06AA">
              <w:rPr>
                <w:color w:val="000000"/>
                <w:szCs w:val="16"/>
              </w:rPr>
              <w:t>0.5</w:t>
            </w:r>
          </w:p>
        </w:tc>
        <w:tc>
          <w:tcPr>
            <w:tcW w:w="1701" w:type="dxa"/>
            <w:shd w:val="clear" w:color="auto" w:fill="FFFFFF"/>
            <w:tcMar>
              <w:top w:w="0" w:type="dxa"/>
              <w:left w:w="85" w:type="dxa"/>
              <w:bottom w:w="0" w:type="dxa"/>
              <w:right w:w="85" w:type="dxa"/>
            </w:tcMar>
          </w:tcPr>
          <w:p w14:paraId="08F5AF1C" w14:textId="77777777" w:rsidR="00E87995" w:rsidRPr="009E06AA" w:rsidRDefault="00E87995" w:rsidP="00B55F24">
            <w:pPr>
              <w:pStyle w:val="TableText"/>
              <w:spacing w:before="40" w:after="40"/>
              <w:rPr>
                <w:szCs w:val="16"/>
              </w:rPr>
            </w:pPr>
            <w:r w:rsidRPr="009E06AA">
              <w:rPr>
                <w:color w:val="000000"/>
                <w:szCs w:val="16"/>
              </w:rPr>
              <w:t>IPCC default</w:t>
            </w:r>
          </w:p>
        </w:tc>
        <w:tc>
          <w:tcPr>
            <w:tcW w:w="2824" w:type="dxa"/>
            <w:shd w:val="clear" w:color="auto" w:fill="FFFFFF"/>
            <w:tcMar>
              <w:top w:w="0" w:type="dxa"/>
              <w:left w:w="85" w:type="dxa"/>
              <w:bottom w:w="0" w:type="dxa"/>
              <w:right w:w="85" w:type="dxa"/>
            </w:tcMar>
          </w:tcPr>
          <w:p w14:paraId="544B7068" w14:textId="77777777" w:rsidR="00E87995" w:rsidRPr="009E06AA" w:rsidRDefault="00E87995" w:rsidP="00B55F24">
            <w:pPr>
              <w:pStyle w:val="TableText"/>
              <w:spacing w:before="40" w:after="40"/>
              <w:rPr>
                <w:szCs w:val="16"/>
              </w:rPr>
            </w:pPr>
            <w:r w:rsidRPr="009E06AA">
              <w:rPr>
                <w:color w:val="000000"/>
                <w:szCs w:val="16"/>
              </w:rPr>
              <w:t>IPCC (2006a)</w:t>
            </w:r>
          </w:p>
        </w:tc>
      </w:tr>
    </w:tbl>
    <w:p w14:paraId="1CC1553D" w14:textId="77777777" w:rsidR="00E87995" w:rsidRPr="009E06AA" w:rsidRDefault="00E87995" w:rsidP="00E87995">
      <w:pPr>
        <w:pStyle w:val="Noteundertable"/>
      </w:pPr>
      <w:r w:rsidRPr="009E06AA">
        <w:rPr>
          <w:b/>
          <w:bCs/>
        </w:rPr>
        <w:t>Note:</w:t>
      </w:r>
      <w:r w:rsidRPr="009E06AA">
        <w:tab/>
        <w:t>DOC = degradable organic carbon.</w:t>
      </w:r>
    </w:p>
    <w:p w14:paraId="3FEFD09D" w14:textId="77777777" w:rsidR="00E87995" w:rsidRPr="009E06AA" w:rsidRDefault="00E87995" w:rsidP="00E87995">
      <w:pPr>
        <w:pStyle w:val="Heading3"/>
      </w:pPr>
      <w:bookmarkStart w:id="2865" w:name="_Toc160537230"/>
      <w:bookmarkStart w:id="2866" w:name="Xd9e107894e296f5afe30d8cd057c67dba2122d9"/>
      <w:bookmarkStart w:id="2867" w:name="X6635123360185df853d6a54f453c915df67c336"/>
      <w:bookmarkEnd w:id="2812"/>
      <w:bookmarkEnd w:id="2834"/>
      <w:bookmarkEnd w:id="2856"/>
      <w:bookmarkEnd w:id="2859"/>
      <w:r w:rsidRPr="009E06AA">
        <w:t xml:space="preserve">7.2.3 </w:t>
      </w:r>
      <w:r w:rsidRPr="009E06AA">
        <w:tab/>
        <w:t>Uncertainty assessment and time-series consistency</w:t>
      </w:r>
      <w:bookmarkEnd w:id="2865"/>
    </w:p>
    <w:p w14:paraId="6E22ED80" w14:textId="77777777" w:rsidR="00E87995" w:rsidRPr="009E06AA" w:rsidRDefault="00E87995" w:rsidP="00E87995">
      <w:pPr>
        <w:pStyle w:val="Heading4"/>
      </w:pPr>
      <w:bookmarkStart w:id="2868" w:name="uncertainties-1"/>
      <w:r w:rsidRPr="009E06AA">
        <w:t>Uncertainties</w:t>
      </w:r>
    </w:p>
    <w:p w14:paraId="4CFE38DE" w14:textId="77777777" w:rsidR="00E87995" w:rsidRPr="009E06AA" w:rsidRDefault="00E87995" w:rsidP="00E87995">
      <w:pPr>
        <w:pStyle w:val="BodyText"/>
      </w:pPr>
      <w:r w:rsidRPr="009E06AA">
        <w:t xml:space="preserve">For emission factors and activity data used for most of the </w:t>
      </w:r>
      <w:r w:rsidRPr="009E06AA">
        <w:rPr>
          <w:i/>
          <w:iCs/>
        </w:rPr>
        <w:t>Solid waste disposal</w:t>
      </w:r>
      <w:r w:rsidRPr="009E06AA">
        <w:t xml:space="preserve"> category, the uncertainty estimate is ±40 per cent (see table 7.2.9). This is consistent with the estimates provided in the 2006 IPCC Guidelines (IPCC, 2006a).</w:t>
      </w:r>
    </w:p>
    <w:p w14:paraId="4FD86FBE" w14:textId="77777777" w:rsidR="00E87995" w:rsidRPr="009E06AA" w:rsidRDefault="00E87995" w:rsidP="00E87995">
      <w:pPr>
        <w:pStyle w:val="BodyText"/>
      </w:pPr>
      <w:r w:rsidRPr="009E06AA">
        <w:t>For managed municipal landfills, the emission factor uncertainty is set at this level because, while better-quality parameters are used in this category, most of the parameters are based on international data and are not site-specific.</w:t>
      </w:r>
    </w:p>
    <w:p w14:paraId="3D43B6B9" w14:textId="77777777" w:rsidR="00E87995" w:rsidRPr="009E06AA" w:rsidRDefault="00E87995" w:rsidP="00E87995">
      <w:pPr>
        <w:pStyle w:val="BodyText"/>
      </w:pPr>
      <w:r w:rsidRPr="009E06AA">
        <w:t>For non-municipal landfills and farm fills, the uncertainty in activity data is estimated to be ±140 per cent. Information on the amount of waste placed in these sites is very limited, given the nature of the management of such fills.</w:t>
      </w:r>
    </w:p>
    <w:p w14:paraId="69C5A3DB" w14:textId="7F900743" w:rsidR="00E87995" w:rsidRPr="009E06AA" w:rsidRDefault="00E87995" w:rsidP="00E87995">
      <w:pPr>
        <w:pStyle w:val="BodyText"/>
      </w:pPr>
      <w:r w:rsidRPr="009E06AA">
        <w:t xml:space="preserve">The overall uncertainty in activity data for </w:t>
      </w:r>
      <w:r w:rsidRPr="009E06AA">
        <w:rPr>
          <w:i/>
          <w:iCs/>
        </w:rPr>
        <w:t>Solid</w:t>
      </w:r>
      <w:r w:rsidRPr="009E06AA">
        <w:rPr>
          <w:i/>
        </w:rPr>
        <w:t xml:space="preserve"> waste disposal</w:t>
      </w:r>
      <w:r w:rsidRPr="009E06AA">
        <w:t xml:space="preserve"> is calculated using </w:t>
      </w:r>
      <w:r w:rsidR="008C4ECA">
        <w:t>a</w:t>
      </w:r>
      <w:r w:rsidRPr="009E06AA">
        <w:t>pproach 1 for adding uncertainties together. The overall uncertainty in the emission factor is set as the same as the uncertainty for the underlying categories because they are consistent.</w:t>
      </w:r>
    </w:p>
    <w:p w14:paraId="5E2C01CB" w14:textId="77777777" w:rsidR="00E87995" w:rsidRPr="009E06AA" w:rsidRDefault="00E87995" w:rsidP="00E87995">
      <w:pPr>
        <w:pStyle w:val="Table"/>
      </w:pPr>
      <w:bookmarkStart w:id="2869" w:name="_Toc128383670"/>
      <w:bookmarkStart w:id="2870" w:name="_Toc131591443"/>
      <w:bookmarkStart w:id="2871" w:name="_Toc160537322"/>
      <w:bookmarkStart w:id="2872" w:name="_Toc160537684"/>
      <w:bookmarkStart w:id="2873" w:name="_Toc164153934"/>
      <w:r w:rsidRPr="009E06AA">
        <w:t>Table 7.2.9</w:t>
      </w:r>
      <w:r w:rsidRPr="009E06AA">
        <w:tab/>
        <w:t xml:space="preserve">Uncertainty in emissions from </w:t>
      </w:r>
      <w:r w:rsidRPr="009E06AA">
        <w:rPr>
          <w:i/>
          <w:iCs/>
        </w:rPr>
        <w:t>Solid waste disposal</w:t>
      </w:r>
      <w:bookmarkEnd w:id="2869"/>
      <w:bookmarkEnd w:id="2870"/>
      <w:bookmarkEnd w:id="2871"/>
      <w:bookmarkEnd w:id="2872"/>
      <w:bookmarkEnd w:id="2873"/>
    </w:p>
    <w:tbl>
      <w:tblPr>
        <w:tblW w:w="8505" w:type="dxa"/>
        <w:tblBorders>
          <w:top w:val="single" w:sz="4" w:space="0" w:color="1B556B" w:themeColor="text2"/>
          <w:bottom w:val="single" w:sz="4" w:space="0" w:color="1B556B" w:themeColor="text2"/>
          <w:insideH w:val="single" w:sz="4" w:space="0" w:color="1B556B" w:themeColor="text2"/>
        </w:tblBorders>
        <w:tblLook w:val="0420" w:firstRow="1" w:lastRow="0" w:firstColumn="0" w:lastColumn="0" w:noHBand="0" w:noVBand="1"/>
      </w:tblPr>
      <w:tblGrid>
        <w:gridCol w:w="3262"/>
        <w:gridCol w:w="2476"/>
        <w:gridCol w:w="2767"/>
      </w:tblGrid>
      <w:tr w:rsidR="00E87995" w:rsidRPr="009E06AA" w14:paraId="133FAD95" w14:textId="77777777" w:rsidTr="00B55F24">
        <w:trPr>
          <w:tblHeader/>
        </w:trPr>
        <w:tc>
          <w:tcPr>
            <w:tcW w:w="0" w:type="auto"/>
            <w:shd w:val="clear" w:color="auto" w:fill="1B556B"/>
            <w:tcMar>
              <w:top w:w="0" w:type="dxa"/>
              <w:left w:w="85" w:type="dxa"/>
              <w:bottom w:w="0" w:type="dxa"/>
              <w:right w:w="85" w:type="dxa"/>
            </w:tcMar>
          </w:tcPr>
          <w:p w14:paraId="594D9E8A" w14:textId="77777777" w:rsidR="00E87995" w:rsidRPr="009E06AA" w:rsidRDefault="00E87995" w:rsidP="00B55F24">
            <w:pPr>
              <w:pStyle w:val="TableTextBold"/>
              <w:spacing w:before="40" w:after="40"/>
              <w:rPr>
                <w:noProof w:val="0"/>
                <w:color w:val="FFFFFF" w:themeColor="background1"/>
              </w:rPr>
            </w:pPr>
            <w:r w:rsidRPr="009E06AA">
              <w:rPr>
                <w:noProof w:val="0"/>
                <w:color w:val="FFFFFF" w:themeColor="background1"/>
              </w:rPr>
              <w:t>Emissions category</w:t>
            </w:r>
          </w:p>
        </w:tc>
        <w:tc>
          <w:tcPr>
            <w:tcW w:w="0" w:type="auto"/>
            <w:shd w:val="clear" w:color="auto" w:fill="1B556B"/>
            <w:tcMar>
              <w:top w:w="0" w:type="dxa"/>
              <w:left w:w="85" w:type="dxa"/>
              <w:bottom w:w="0" w:type="dxa"/>
              <w:right w:w="85" w:type="dxa"/>
            </w:tcMar>
          </w:tcPr>
          <w:p w14:paraId="11C7ED27" w14:textId="77777777" w:rsidR="00E87995" w:rsidRPr="009E06AA" w:rsidRDefault="00E87995" w:rsidP="00FE7C1C">
            <w:pPr>
              <w:pStyle w:val="TableTextBold"/>
              <w:spacing w:before="40" w:after="40"/>
              <w:jc w:val="right"/>
              <w:rPr>
                <w:noProof w:val="0"/>
                <w:color w:val="FFFFFF" w:themeColor="background1"/>
              </w:rPr>
            </w:pPr>
            <w:r w:rsidRPr="009E06AA">
              <w:rPr>
                <w:noProof w:val="0"/>
                <w:color w:val="FFFFFF" w:themeColor="background1"/>
              </w:rPr>
              <w:t>Uncertainty in activity data (%)</w:t>
            </w:r>
          </w:p>
        </w:tc>
        <w:tc>
          <w:tcPr>
            <w:tcW w:w="0" w:type="auto"/>
            <w:shd w:val="clear" w:color="auto" w:fill="1B556B"/>
            <w:tcMar>
              <w:top w:w="0" w:type="dxa"/>
              <w:left w:w="85" w:type="dxa"/>
              <w:bottom w:w="0" w:type="dxa"/>
              <w:right w:w="85" w:type="dxa"/>
            </w:tcMar>
          </w:tcPr>
          <w:p w14:paraId="3DE19C8D" w14:textId="77777777" w:rsidR="00E87995" w:rsidRPr="009E06AA" w:rsidRDefault="00E87995" w:rsidP="00FE7C1C">
            <w:pPr>
              <w:pStyle w:val="TableTextBold"/>
              <w:spacing w:before="40" w:after="40"/>
              <w:jc w:val="right"/>
              <w:rPr>
                <w:noProof w:val="0"/>
                <w:color w:val="FFFFFF" w:themeColor="background1"/>
              </w:rPr>
            </w:pPr>
            <w:r w:rsidRPr="009E06AA">
              <w:rPr>
                <w:noProof w:val="0"/>
                <w:color w:val="FFFFFF" w:themeColor="background1"/>
              </w:rPr>
              <w:t>Uncertainty in emission factors (%)</w:t>
            </w:r>
          </w:p>
        </w:tc>
      </w:tr>
      <w:tr w:rsidR="00E87995" w:rsidRPr="009E06AA" w14:paraId="1E2C53DE" w14:textId="77777777" w:rsidTr="00B55F24">
        <w:tc>
          <w:tcPr>
            <w:tcW w:w="0" w:type="auto"/>
            <w:shd w:val="clear" w:color="auto" w:fill="FFFFFF"/>
            <w:tcMar>
              <w:top w:w="0" w:type="dxa"/>
              <w:left w:w="85" w:type="dxa"/>
              <w:bottom w:w="0" w:type="dxa"/>
              <w:right w:w="85" w:type="dxa"/>
            </w:tcMar>
          </w:tcPr>
          <w:p w14:paraId="0CF2F73D" w14:textId="77777777" w:rsidR="00E87995" w:rsidRPr="009E06AA" w:rsidRDefault="00E87995" w:rsidP="00B55F24">
            <w:pPr>
              <w:pStyle w:val="TableText"/>
              <w:spacing w:before="40" w:after="40"/>
            </w:pPr>
            <w:r w:rsidRPr="009E06AA">
              <w:rPr>
                <w:color w:val="000000"/>
              </w:rPr>
              <w:t>Managed landfills</w:t>
            </w:r>
          </w:p>
        </w:tc>
        <w:tc>
          <w:tcPr>
            <w:tcW w:w="0" w:type="auto"/>
            <w:shd w:val="clear" w:color="auto" w:fill="FFFFFF"/>
            <w:tcMar>
              <w:top w:w="0" w:type="dxa"/>
              <w:left w:w="85" w:type="dxa"/>
              <w:bottom w:w="0" w:type="dxa"/>
              <w:right w:w="85" w:type="dxa"/>
            </w:tcMar>
          </w:tcPr>
          <w:p w14:paraId="600384EC" w14:textId="77777777" w:rsidR="00E87995" w:rsidRPr="009E06AA" w:rsidRDefault="00E87995" w:rsidP="00FE7C1C">
            <w:pPr>
              <w:pStyle w:val="TableText"/>
              <w:spacing w:before="40" w:after="40"/>
              <w:jc w:val="right"/>
            </w:pPr>
            <w:r w:rsidRPr="009E06AA">
              <w:rPr>
                <w:color w:val="000000"/>
              </w:rPr>
              <w:t>±40</w:t>
            </w:r>
          </w:p>
        </w:tc>
        <w:tc>
          <w:tcPr>
            <w:tcW w:w="0" w:type="auto"/>
            <w:shd w:val="clear" w:color="auto" w:fill="FFFFFF"/>
            <w:tcMar>
              <w:top w:w="0" w:type="dxa"/>
              <w:left w:w="85" w:type="dxa"/>
              <w:bottom w:w="0" w:type="dxa"/>
              <w:right w:w="85" w:type="dxa"/>
            </w:tcMar>
          </w:tcPr>
          <w:p w14:paraId="020F408F" w14:textId="77777777" w:rsidR="00E87995" w:rsidRPr="009E06AA" w:rsidRDefault="00E87995" w:rsidP="00FE7C1C">
            <w:pPr>
              <w:pStyle w:val="TableText"/>
              <w:spacing w:before="40" w:after="40"/>
              <w:jc w:val="right"/>
            </w:pPr>
            <w:r w:rsidRPr="009E06AA">
              <w:rPr>
                <w:color w:val="000000"/>
              </w:rPr>
              <w:t>±40</w:t>
            </w:r>
          </w:p>
        </w:tc>
      </w:tr>
      <w:tr w:rsidR="00E87995" w:rsidRPr="009E06AA" w14:paraId="489B6A55" w14:textId="77777777" w:rsidTr="00B55F24">
        <w:tc>
          <w:tcPr>
            <w:tcW w:w="0" w:type="auto"/>
            <w:shd w:val="clear" w:color="auto" w:fill="FFFFFF"/>
            <w:tcMar>
              <w:top w:w="0" w:type="dxa"/>
              <w:left w:w="85" w:type="dxa"/>
              <w:bottom w:w="0" w:type="dxa"/>
              <w:right w:w="85" w:type="dxa"/>
            </w:tcMar>
          </w:tcPr>
          <w:p w14:paraId="259A1BAF" w14:textId="77777777" w:rsidR="00E87995" w:rsidRPr="009E06AA" w:rsidRDefault="00E87995" w:rsidP="00B55F24">
            <w:pPr>
              <w:pStyle w:val="TableText"/>
              <w:spacing w:before="40" w:after="40"/>
            </w:pPr>
            <w:r w:rsidRPr="009E06AA">
              <w:rPr>
                <w:color w:val="000000"/>
              </w:rPr>
              <w:t>Unmanaged landfills</w:t>
            </w:r>
          </w:p>
        </w:tc>
        <w:tc>
          <w:tcPr>
            <w:tcW w:w="0" w:type="auto"/>
            <w:shd w:val="clear" w:color="auto" w:fill="FFFFFF"/>
            <w:tcMar>
              <w:top w:w="0" w:type="dxa"/>
              <w:left w:w="85" w:type="dxa"/>
              <w:bottom w:w="0" w:type="dxa"/>
              <w:right w:w="85" w:type="dxa"/>
            </w:tcMar>
          </w:tcPr>
          <w:p w14:paraId="2424BD40" w14:textId="77777777" w:rsidR="00E87995" w:rsidRPr="009E06AA" w:rsidRDefault="00E87995" w:rsidP="00FE7C1C">
            <w:pPr>
              <w:pStyle w:val="TableText"/>
              <w:spacing w:before="40" w:after="40"/>
              <w:jc w:val="right"/>
            </w:pPr>
            <w:r w:rsidRPr="009E06AA">
              <w:rPr>
                <w:color w:val="000000"/>
              </w:rPr>
              <w:t>±140</w:t>
            </w:r>
          </w:p>
        </w:tc>
        <w:tc>
          <w:tcPr>
            <w:tcW w:w="0" w:type="auto"/>
            <w:shd w:val="clear" w:color="auto" w:fill="FFFFFF"/>
            <w:tcMar>
              <w:top w:w="0" w:type="dxa"/>
              <w:left w:w="85" w:type="dxa"/>
              <w:bottom w:w="0" w:type="dxa"/>
              <w:right w:w="85" w:type="dxa"/>
            </w:tcMar>
          </w:tcPr>
          <w:p w14:paraId="307D0E54" w14:textId="77777777" w:rsidR="00E87995" w:rsidRPr="009E06AA" w:rsidRDefault="00E87995" w:rsidP="00FE7C1C">
            <w:pPr>
              <w:pStyle w:val="TableText"/>
              <w:spacing w:before="40" w:after="40"/>
              <w:jc w:val="right"/>
            </w:pPr>
            <w:r w:rsidRPr="009E06AA">
              <w:rPr>
                <w:color w:val="000000"/>
              </w:rPr>
              <w:t>±40</w:t>
            </w:r>
          </w:p>
        </w:tc>
      </w:tr>
      <w:tr w:rsidR="00E87995" w:rsidRPr="009E06AA" w14:paraId="4C40F7FC" w14:textId="77777777" w:rsidTr="00B55F24">
        <w:tc>
          <w:tcPr>
            <w:tcW w:w="0" w:type="auto"/>
            <w:shd w:val="clear" w:color="auto" w:fill="FFFFFF"/>
            <w:tcMar>
              <w:top w:w="0" w:type="dxa"/>
              <w:left w:w="85" w:type="dxa"/>
              <w:bottom w:w="0" w:type="dxa"/>
              <w:right w:w="85" w:type="dxa"/>
            </w:tcMar>
          </w:tcPr>
          <w:p w14:paraId="0D4B131A" w14:textId="77777777" w:rsidR="00E87995" w:rsidRPr="009E06AA" w:rsidRDefault="00E87995" w:rsidP="00B55F24">
            <w:pPr>
              <w:pStyle w:val="TableText"/>
              <w:spacing w:before="40" w:after="40"/>
            </w:pPr>
            <w:r w:rsidRPr="009E06AA">
              <w:rPr>
                <w:color w:val="000000"/>
              </w:rPr>
              <w:t>Uncategorised landfills</w:t>
            </w:r>
          </w:p>
        </w:tc>
        <w:tc>
          <w:tcPr>
            <w:tcW w:w="0" w:type="auto"/>
            <w:shd w:val="clear" w:color="auto" w:fill="FFFFFF"/>
            <w:tcMar>
              <w:top w:w="0" w:type="dxa"/>
              <w:left w:w="85" w:type="dxa"/>
              <w:bottom w:w="0" w:type="dxa"/>
              <w:right w:w="85" w:type="dxa"/>
            </w:tcMar>
          </w:tcPr>
          <w:p w14:paraId="14288638" w14:textId="77777777" w:rsidR="00E87995" w:rsidRPr="009E06AA" w:rsidRDefault="00E87995" w:rsidP="00FE7C1C">
            <w:pPr>
              <w:pStyle w:val="TableText"/>
              <w:spacing w:before="40" w:after="40"/>
              <w:jc w:val="right"/>
            </w:pPr>
            <w:r w:rsidRPr="009E06AA">
              <w:rPr>
                <w:color w:val="000000"/>
              </w:rPr>
              <w:t>±40</w:t>
            </w:r>
          </w:p>
        </w:tc>
        <w:tc>
          <w:tcPr>
            <w:tcW w:w="0" w:type="auto"/>
            <w:shd w:val="clear" w:color="auto" w:fill="FFFFFF"/>
            <w:tcMar>
              <w:top w:w="0" w:type="dxa"/>
              <w:left w:w="85" w:type="dxa"/>
              <w:bottom w:w="0" w:type="dxa"/>
              <w:right w:w="85" w:type="dxa"/>
            </w:tcMar>
          </w:tcPr>
          <w:p w14:paraId="71B1C78A" w14:textId="77777777" w:rsidR="00E87995" w:rsidRPr="009E06AA" w:rsidRDefault="00E87995" w:rsidP="00FE7C1C">
            <w:pPr>
              <w:pStyle w:val="TableText"/>
              <w:spacing w:before="40" w:after="40"/>
              <w:jc w:val="right"/>
            </w:pPr>
            <w:r w:rsidRPr="009E06AA">
              <w:rPr>
                <w:color w:val="000000"/>
              </w:rPr>
              <w:t>±40</w:t>
            </w:r>
          </w:p>
        </w:tc>
      </w:tr>
      <w:tr w:rsidR="00E87995" w:rsidRPr="009E06AA" w14:paraId="776EA377" w14:textId="77777777" w:rsidTr="00B55F24">
        <w:tc>
          <w:tcPr>
            <w:tcW w:w="0" w:type="auto"/>
            <w:shd w:val="clear" w:color="auto" w:fill="FFFFFF"/>
            <w:tcMar>
              <w:top w:w="0" w:type="dxa"/>
              <w:left w:w="85" w:type="dxa"/>
              <w:bottom w:w="0" w:type="dxa"/>
              <w:right w:w="85" w:type="dxa"/>
            </w:tcMar>
          </w:tcPr>
          <w:p w14:paraId="73766C50" w14:textId="77777777" w:rsidR="00E87995" w:rsidRPr="009E06AA" w:rsidRDefault="00E87995" w:rsidP="00B55F24">
            <w:pPr>
              <w:pStyle w:val="TableText"/>
              <w:spacing w:before="40" w:after="40"/>
              <w:rPr>
                <w:b/>
                <w:bCs/>
              </w:rPr>
            </w:pPr>
            <w:r w:rsidRPr="009E06AA">
              <w:rPr>
                <w:b/>
                <w:bCs/>
                <w:color w:val="1B556B"/>
              </w:rPr>
              <w:t>Overall uncertainty in methane emissions</w:t>
            </w:r>
          </w:p>
        </w:tc>
        <w:tc>
          <w:tcPr>
            <w:tcW w:w="0" w:type="auto"/>
            <w:shd w:val="clear" w:color="auto" w:fill="FFFFFF"/>
            <w:tcMar>
              <w:top w:w="0" w:type="dxa"/>
              <w:left w:w="85" w:type="dxa"/>
              <w:bottom w:w="0" w:type="dxa"/>
              <w:right w:w="85" w:type="dxa"/>
            </w:tcMar>
          </w:tcPr>
          <w:p w14:paraId="21263D3D" w14:textId="77777777" w:rsidR="00E87995" w:rsidRPr="009E06AA" w:rsidRDefault="00E87995" w:rsidP="00FE7C1C">
            <w:pPr>
              <w:pStyle w:val="TableText"/>
              <w:spacing w:before="40" w:after="40"/>
              <w:jc w:val="right"/>
              <w:rPr>
                <w:b/>
                <w:bCs/>
              </w:rPr>
            </w:pPr>
            <w:r w:rsidRPr="009E06AA">
              <w:rPr>
                <w:b/>
                <w:bCs/>
                <w:color w:val="1B556B"/>
              </w:rPr>
              <w:t>±</w:t>
            </w:r>
            <w:r w:rsidRPr="009E06AA">
              <w:rPr>
                <w:rFonts w:eastAsia="Calibri" w:cs="Calibri"/>
                <w:b/>
                <w:bCs/>
                <w:color w:val="1B556B"/>
                <w:szCs w:val="16"/>
              </w:rPr>
              <w:t>86</w:t>
            </w:r>
          </w:p>
        </w:tc>
        <w:tc>
          <w:tcPr>
            <w:tcW w:w="0" w:type="auto"/>
            <w:shd w:val="clear" w:color="auto" w:fill="FFFFFF"/>
            <w:tcMar>
              <w:top w:w="0" w:type="dxa"/>
              <w:left w:w="85" w:type="dxa"/>
              <w:bottom w:w="0" w:type="dxa"/>
              <w:right w:w="85" w:type="dxa"/>
            </w:tcMar>
          </w:tcPr>
          <w:p w14:paraId="53081085" w14:textId="77777777" w:rsidR="00E87995" w:rsidRPr="009E06AA" w:rsidRDefault="00E87995" w:rsidP="00FE7C1C">
            <w:pPr>
              <w:pStyle w:val="TableText"/>
              <w:spacing w:before="40" w:after="40"/>
              <w:jc w:val="right"/>
              <w:rPr>
                <w:b/>
                <w:bCs/>
              </w:rPr>
            </w:pPr>
            <w:r w:rsidRPr="009E06AA">
              <w:rPr>
                <w:b/>
                <w:bCs/>
                <w:color w:val="1B556B"/>
              </w:rPr>
              <w:t>±40</w:t>
            </w:r>
          </w:p>
        </w:tc>
      </w:tr>
    </w:tbl>
    <w:p w14:paraId="6A8214AC" w14:textId="77777777" w:rsidR="00E87995" w:rsidRPr="009E06AA" w:rsidRDefault="00E87995" w:rsidP="00E87995">
      <w:pPr>
        <w:pStyle w:val="Heading4"/>
        <w:spacing w:before="360"/>
      </w:pPr>
      <w:bookmarkStart w:id="2874" w:name="time-series-consistency"/>
      <w:bookmarkEnd w:id="2868"/>
      <w:r w:rsidRPr="009E06AA">
        <w:t>Time-series consistency</w:t>
      </w:r>
    </w:p>
    <w:p w14:paraId="1B6001D9" w14:textId="77777777" w:rsidR="00E87995" w:rsidRPr="009E06AA" w:rsidRDefault="00E87995" w:rsidP="00E87995">
      <w:pPr>
        <w:pStyle w:val="BodyText"/>
      </w:pPr>
      <w:r w:rsidRPr="009E06AA">
        <w:t xml:space="preserve">As a result of substantial changes in waste disposal practices over time, the basis for calculating emissions has changed significantly. Notable changes include closure of the majority of landfill sites that were operating in 1990, the move to waste levy and NZ ETS reporting, and the ongoing improvement in the quality and completeness of activity data for </w:t>
      </w:r>
      <w:r w:rsidRPr="009E06AA">
        <w:rPr>
          <w:i/>
          <w:iCs/>
        </w:rPr>
        <w:t>Solid waste disposal</w:t>
      </w:r>
      <w:r w:rsidRPr="009E06AA">
        <w:t>. These changes have occurred gradually and affect CH</w:t>
      </w:r>
      <w:r w:rsidRPr="009E06AA">
        <w:rPr>
          <w:vertAlign w:val="subscript"/>
        </w:rPr>
        <w:t>4</w:t>
      </w:r>
      <w:r w:rsidRPr="009E06AA">
        <w:t xml:space="preserve"> emissions over a long period. Therefore, there is little effect on the apparent consistency of data or the implied emission factors.</w:t>
      </w:r>
    </w:p>
    <w:p w14:paraId="4D33A2DF" w14:textId="77777777" w:rsidR="00E87995" w:rsidRPr="009E06AA" w:rsidRDefault="00E87995" w:rsidP="00E87995">
      <w:pPr>
        <w:pStyle w:val="Heading3"/>
      </w:pPr>
      <w:bookmarkStart w:id="2875" w:name="_Toc160537231"/>
      <w:bookmarkStart w:id="2876" w:name="category-specific-qaqc-verification"/>
      <w:bookmarkEnd w:id="2866"/>
      <w:bookmarkEnd w:id="2867"/>
      <w:bookmarkEnd w:id="2874"/>
      <w:r w:rsidRPr="009E06AA">
        <w:t xml:space="preserve">7.2.4 </w:t>
      </w:r>
      <w:r w:rsidRPr="009E06AA">
        <w:tab/>
        <w:t>Category-specific QA/QC verification</w:t>
      </w:r>
      <w:bookmarkEnd w:id="2875"/>
    </w:p>
    <w:p w14:paraId="50FC11F6" w14:textId="77777777" w:rsidR="00E87995" w:rsidRPr="009E06AA" w:rsidRDefault="00E87995" w:rsidP="00E87995">
      <w:pPr>
        <w:pStyle w:val="BodyText"/>
      </w:pPr>
      <w:r w:rsidRPr="009E06AA">
        <w:rPr>
          <w:i/>
          <w:iCs/>
        </w:rPr>
        <w:t>Solid waste disposal</w:t>
      </w:r>
      <w:r w:rsidRPr="009E06AA">
        <w:t xml:space="preserve"> is a key category. In the preparation of this submission, the data for this category underwent Tier 1 quality checks.</w:t>
      </w:r>
    </w:p>
    <w:p w14:paraId="7149F91C" w14:textId="77777777" w:rsidR="00E87995" w:rsidRPr="009E06AA" w:rsidRDefault="00E87995" w:rsidP="00E87995">
      <w:pPr>
        <w:pStyle w:val="Heading3"/>
      </w:pPr>
      <w:bookmarkStart w:id="2877" w:name="_Toc160537232"/>
      <w:bookmarkStart w:id="2878" w:name="category-specific-recalculations"/>
      <w:bookmarkEnd w:id="2876"/>
      <w:r w:rsidRPr="009E06AA">
        <w:t xml:space="preserve">7.2.5 </w:t>
      </w:r>
      <w:r w:rsidRPr="009E06AA">
        <w:tab/>
        <w:t>Category-specific recalculations</w:t>
      </w:r>
      <w:bookmarkEnd w:id="2877"/>
    </w:p>
    <w:p w14:paraId="3DE692D8" w14:textId="77777777" w:rsidR="00E87995" w:rsidRPr="009E06AA" w:rsidRDefault="00E87995" w:rsidP="00E87995">
      <w:pPr>
        <w:pStyle w:val="BodyText"/>
      </w:pPr>
      <w:r w:rsidRPr="009E06AA">
        <w:t xml:space="preserve">Minor recalculations are included for the 2024 submission. There are minor updates to activity data for </w:t>
      </w:r>
      <w:r w:rsidRPr="009E06AA">
        <w:rPr>
          <w:i/>
          <w:iCs/>
        </w:rPr>
        <w:t>Managed waste disposal sites</w:t>
      </w:r>
      <w:r w:rsidRPr="009E06AA">
        <w:t xml:space="preserve"> (5.A.1.a).</w:t>
      </w:r>
    </w:p>
    <w:p w14:paraId="519C430E" w14:textId="77777777" w:rsidR="00E87995" w:rsidRPr="009E06AA" w:rsidRDefault="00E87995" w:rsidP="00E87995">
      <w:pPr>
        <w:pStyle w:val="Bullet"/>
      </w:pPr>
      <w:r w:rsidRPr="009E06AA">
        <w:t xml:space="preserve">The Levin–Hokio landfill within the </w:t>
      </w:r>
      <w:r w:rsidRPr="009E06AA">
        <w:rPr>
          <w:i/>
          <w:iCs/>
        </w:rPr>
        <w:t>Managed waste disposal sites</w:t>
      </w:r>
      <w:r w:rsidRPr="009E06AA">
        <w:t xml:space="preserve"> category stopped receiving waste in 2022, and, as a result, the landfill gas capture rate was revised over the duration of gas capture beginning in 2021 from 68 per cent to 52 per cent, which is the value for closed sites.</w:t>
      </w:r>
      <w:r w:rsidRPr="009E06AA" w:rsidDel="000D4EA3">
        <w:t xml:space="preserve"> </w:t>
      </w:r>
    </w:p>
    <w:p w14:paraId="72C56113" w14:textId="77777777" w:rsidR="00E87995" w:rsidRPr="009E06AA" w:rsidRDefault="00E87995" w:rsidP="00E87995">
      <w:pPr>
        <w:pStyle w:val="Bullet"/>
      </w:pPr>
      <w:r w:rsidRPr="009E06AA">
        <w:t>Activity data for farm fills</w:t>
      </w:r>
      <w:r w:rsidRPr="009E06AA" w:rsidDel="00A655CF">
        <w:t xml:space="preserve"> </w:t>
      </w:r>
      <w:r w:rsidRPr="009E06AA">
        <w:t>were revised to account for the updated number and type of farms reported in the latest agricultural production statistics.</w:t>
      </w:r>
      <w:r w:rsidRPr="009E06AA">
        <w:rPr>
          <w:rStyle w:val="FootnoteReference"/>
        </w:rPr>
        <w:footnoteReference w:id="61"/>
      </w:r>
    </w:p>
    <w:p w14:paraId="192A12CF" w14:textId="77777777" w:rsidR="00E87995" w:rsidRPr="009E06AA" w:rsidRDefault="00E87995" w:rsidP="00E87995">
      <w:pPr>
        <w:pStyle w:val="BodyText"/>
      </w:pPr>
      <w:r w:rsidRPr="009E06AA">
        <w:t>Combined, these changes have reduced emissions in 1990 by 7.6 kt CO</w:t>
      </w:r>
      <w:r w:rsidRPr="009E06AA">
        <w:rPr>
          <w:vertAlign w:val="subscript"/>
        </w:rPr>
        <w:t>2</w:t>
      </w:r>
      <w:r w:rsidRPr="009E06AA">
        <w:t>-e and reduced emissions by 1.2 kt CO</w:t>
      </w:r>
      <w:r w:rsidRPr="009E06AA">
        <w:rPr>
          <w:vertAlign w:val="subscript"/>
        </w:rPr>
        <w:t>2</w:t>
      </w:r>
      <w:r w:rsidRPr="009E06AA">
        <w:t>-e in 2021. Recalculations are described in greater detail in chapter 10.</w:t>
      </w:r>
    </w:p>
    <w:p w14:paraId="7E20613E" w14:textId="77777777" w:rsidR="00E87995" w:rsidRPr="009E06AA" w:rsidRDefault="00E87995" w:rsidP="00E87995">
      <w:pPr>
        <w:pStyle w:val="Heading3"/>
      </w:pPr>
      <w:bookmarkStart w:id="2879" w:name="_Toc160537233"/>
      <w:bookmarkStart w:id="2880" w:name="category-specific-planned-improvements"/>
      <w:bookmarkEnd w:id="2878"/>
      <w:r w:rsidRPr="009E06AA">
        <w:t xml:space="preserve">7.2.6 </w:t>
      </w:r>
      <w:r w:rsidRPr="009E06AA">
        <w:tab/>
        <w:t>Category-specific planned improvements</w:t>
      </w:r>
      <w:bookmarkEnd w:id="2879"/>
    </w:p>
    <w:p w14:paraId="3B3F83C1" w14:textId="77777777" w:rsidR="00E87995" w:rsidRPr="009E06AA" w:rsidRDefault="00E87995" w:rsidP="00E87995">
      <w:pPr>
        <w:pStyle w:val="BodyText"/>
        <w:spacing w:before="100" w:after="100"/>
      </w:pPr>
      <w:r w:rsidRPr="009E06AA">
        <w:t xml:space="preserve">Several areas in the </w:t>
      </w:r>
      <w:r w:rsidRPr="009E06AA">
        <w:rPr>
          <w:i/>
          <w:iCs/>
        </w:rPr>
        <w:t>Solid waste disposal</w:t>
      </w:r>
      <w:r w:rsidRPr="009E06AA">
        <w:t xml:space="preserve"> category are being considered for improvements, depending on the availability of budget, resourcing and data.</w:t>
      </w:r>
    </w:p>
    <w:p w14:paraId="0EAE6340" w14:textId="77777777" w:rsidR="00E87995" w:rsidRPr="009E06AA" w:rsidRDefault="00E87995" w:rsidP="00E87995">
      <w:pPr>
        <w:pStyle w:val="BodyText"/>
        <w:spacing w:before="100" w:after="100"/>
      </w:pPr>
      <w:r w:rsidRPr="009E06AA">
        <w:t xml:space="preserve">New Zealand is planning to review data and methods for the </w:t>
      </w:r>
      <w:r w:rsidRPr="009E06AA">
        <w:rPr>
          <w:i/>
          <w:iCs/>
        </w:rPr>
        <w:t>Managed waste disposal sites</w:t>
      </w:r>
      <w:r w:rsidRPr="009E06AA">
        <w:t xml:space="preserve"> category in 2024 to address the issue of CH</w:t>
      </w:r>
      <w:r w:rsidRPr="009E06AA">
        <w:rPr>
          <w:vertAlign w:val="subscript"/>
        </w:rPr>
        <w:t>4</w:t>
      </w:r>
      <w:r w:rsidRPr="009E06AA">
        <w:t xml:space="preserve"> recovery rates.</w:t>
      </w:r>
    </w:p>
    <w:p w14:paraId="53224373" w14:textId="77777777" w:rsidR="00E87995" w:rsidRPr="009E06AA" w:rsidRDefault="00E87995" w:rsidP="00E87995">
      <w:pPr>
        <w:pStyle w:val="BodyText"/>
        <w:spacing w:before="100" w:after="100"/>
      </w:pPr>
      <w:r w:rsidRPr="009E06AA">
        <w:t xml:space="preserve">Improvements to </w:t>
      </w:r>
      <w:r w:rsidRPr="009E06AA">
        <w:rPr>
          <w:i/>
          <w:iCs/>
        </w:rPr>
        <w:t>Unmanaged waste disposal sites</w:t>
      </w:r>
      <w:r w:rsidRPr="009E06AA">
        <w:t xml:space="preserve"> (non-municipal landfills) will be based on activity data reported through the expansion of the Online Waste Levy System, and these data will be revised for the 2025 submission. Additional waste composition data surveys for Class 2 to Class 4 landfills are currently being undertaken as part of the National Waste Data Reporting Programme and will be delivered in 2024. The outcomes from these surveys will greatly support improvements to the model.</w:t>
      </w:r>
    </w:p>
    <w:p w14:paraId="64826B44" w14:textId="77777777" w:rsidR="00E87995" w:rsidRPr="009E06AA" w:rsidRDefault="00E87995" w:rsidP="00E87995">
      <w:pPr>
        <w:pStyle w:val="BodyText"/>
        <w:spacing w:before="100" w:after="100"/>
      </w:pPr>
      <w:r w:rsidRPr="009E06AA">
        <w:t>Emissions of carbon monoxide, oxides of nitrogen and non-methane volatile organic compounds for landfills have not been estimated for this submission. These emissions are considered likely to be immaterial, but the inventory agency will consider estimating them for future submissions.</w:t>
      </w:r>
    </w:p>
    <w:p w14:paraId="7A59FD65" w14:textId="77777777" w:rsidR="00E87995" w:rsidRPr="009E06AA" w:rsidRDefault="00E87995" w:rsidP="00E87995">
      <w:pPr>
        <w:pStyle w:val="Heading2"/>
      </w:pPr>
      <w:bookmarkStart w:id="2881" w:name="_Toc131591262"/>
      <w:bookmarkStart w:id="2882" w:name="_Toc160537234"/>
      <w:bookmarkStart w:id="2883" w:name="_Toc164154217"/>
      <w:bookmarkStart w:id="2884" w:name="biological-treatment-of-solid-waste-5.b"/>
      <w:bookmarkEnd w:id="2803"/>
      <w:bookmarkEnd w:id="2880"/>
      <w:r w:rsidRPr="009E06AA">
        <w:t xml:space="preserve">7.3 </w:t>
      </w:r>
      <w:r w:rsidRPr="009E06AA">
        <w:tab/>
        <w:t>Biological treatment of solid waste (5.B)</w:t>
      </w:r>
      <w:bookmarkEnd w:id="2881"/>
      <w:bookmarkEnd w:id="2882"/>
      <w:bookmarkEnd w:id="2883"/>
    </w:p>
    <w:p w14:paraId="695B08E5" w14:textId="77777777" w:rsidR="00E87995" w:rsidRPr="009E06AA" w:rsidRDefault="00E87995" w:rsidP="00E87995">
      <w:pPr>
        <w:pStyle w:val="Heading3"/>
        <w:spacing w:before="240"/>
      </w:pPr>
      <w:bookmarkStart w:id="2885" w:name="_Toc160537235"/>
      <w:bookmarkStart w:id="2886" w:name="description-1"/>
      <w:r w:rsidRPr="009E06AA">
        <w:t xml:space="preserve">7.3.1 </w:t>
      </w:r>
      <w:r w:rsidRPr="009E06AA">
        <w:tab/>
        <w:t>Description</w:t>
      </w:r>
      <w:bookmarkEnd w:id="2885"/>
    </w:p>
    <w:p w14:paraId="6471271C" w14:textId="277D1F4F" w:rsidR="00E87995" w:rsidRPr="009E06AA" w:rsidRDefault="00E87995" w:rsidP="00E87995">
      <w:pPr>
        <w:pStyle w:val="BodyText"/>
      </w:pPr>
      <w:r w:rsidRPr="009E06AA">
        <w:t xml:space="preserve">New Zealand has seen an increase in the use of commercial-scale composting of solid waste </w:t>
      </w:r>
      <w:r w:rsidRPr="009E06AA">
        <w:rPr>
          <w:spacing w:val="-2"/>
        </w:rPr>
        <w:t>in recent years. In addition, anecdotal increases in household and community-scale composting</w:t>
      </w:r>
      <w:r w:rsidRPr="009E06AA">
        <w:t xml:space="preserve"> </w:t>
      </w:r>
      <w:r w:rsidRPr="009E06AA">
        <w:rPr>
          <w:spacing w:val="-2"/>
        </w:rPr>
        <w:t>of solid waste are attributed to local government waste minimisation programmes, like Compos</w:t>
      </w:r>
      <w:r w:rsidRPr="009E06AA">
        <w:t xml:space="preserve">t </w:t>
      </w:r>
      <w:r w:rsidRPr="009E06AA">
        <w:rPr>
          <w:spacing w:val="-2"/>
        </w:rPr>
        <w:t>Collective,</w:t>
      </w:r>
      <w:r w:rsidRPr="009E06AA">
        <w:rPr>
          <w:rStyle w:val="FootnoteReference"/>
          <w:spacing w:val="-2"/>
        </w:rPr>
        <w:footnoteReference w:id="62"/>
      </w:r>
      <w:r w:rsidRPr="009E06AA">
        <w:rPr>
          <w:spacing w:val="-2"/>
        </w:rPr>
        <w:t xml:space="preserve"> which educate and empower communities to compost. Emissions from composting</w:t>
      </w:r>
      <w:r w:rsidR="00A5587D" w:rsidRPr="009E06AA">
        <w:t xml:space="preserve"> </w:t>
      </w:r>
      <w:r w:rsidRPr="009E06AA">
        <w:t xml:space="preserve">were reported for the first time in the 2019 submission in 5.B.1. An anaerobic digestion plant started to operate in October 2022 and it is expected to process around 35,000 tonnes of food scraps annually. Emissions from this anaerobic digestion plant will start being reported from the 2024 submission. No other biological treatment of solid waste occurs in </w:t>
      </w:r>
      <w:r w:rsidRPr="009E06AA" w:rsidDel="005C7A75">
        <w:t xml:space="preserve">New </w:t>
      </w:r>
      <w:r w:rsidRPr="009E06AA">
        <w:t>Zealand.</w:t>
      </w:r>
    </w:p>
    <w:p w14:paraId="63F648EB" w14:textId="77777777" w:rsidR="00E87995" w:rsidRPr="009E06AA" w:rsidRDefault="00E87995" w:rsidP="00E87995">
      <w:pPr>
        <w:pStyle w:val="BodyText"/>
      </w:pPr>
      <w:r w:rsidRPr="009E06AA">
        <w:t xml:space="preserve">In 2022, </w:t>
      </w:r>
      <w:r w:rsidRPr="009E06AA">
        <w:rPr>
          <w:i/>
          <w:iCs/>
        </w:rPr>
        <w:t>Biological treatment of solid waste</w:t>
      </w:r>
      <w:r w:rsidRPr="009E06AA">
        <w:t xml:space="preserve"> accounted for 76.5 kt CO</w:t>
      </w:r>
      <w:r w:rsidRPr="009E06AA">
        <w:rPr>
          <w:vertAlign w:val="subscript"/>
        </w:rPr>
        <w:t>2</w:t>
      </w:r>
      <w:r w:rsidRPr="009E06AA">
        <w:t>-e (2.2 per cent) of Waste sector emissions. This was an increase of 71.7 kt CO</w:t>
      </w:r>
      <w:r w:rsidRPr="009E06AA">
        <w:rPr>
          <w:vertAlign w:val="subscript"/>
        </w:rPr>
        <w:t>2</w:t>
      </w:r>
      <w:r w:rsidRPr="009E06AA">
        <w:t>-e (1,491.7 per cent) above the 1990 level of 4.8 and an increase of 3.1 kt CO</w:t>
      </w:r>
      <w:r w:rsidRPr="009E06AA">
        <w:rPr>
          <w:vertAlign w:val="subscript"/>
        </w:rPr>
        <w:t>2</w:t>
      </w:r>
      <w:r w:rsidRPr="009E06AA">
        <w:t>-e (4.2 per cent) from 2021.</w:t>
      </w:r>
    </w:p>
    <w:p w14:paraId="7A5840D9" w14:textId="77777777" w:rsidR="00E87995" w:rsidRPr="009E06AA" w:rsidRDefault="00E87995" w:rsidP="00E87995">
      <w:pPr>
        <w:pStyle w:val="Heading3"/>
      </w:pPr>
      <w:bookmarkStart w:id="2887" w:name="_Toc160537236"/>
      <w:bookmarkStart w:id="2888" w:name="methodological-issues-1"/>
      <w:bookmarkEnd w:id="2886"/>
      <w:r w:rsidRPr="009E06AA">
        <w:t xml:space="preserve">7.3.2 </w:t>
      </w:r>
      <w:r w:rsidRPr="009E06AA">
        <w:tab/>
        <w:t>Methodological issues</w:t>
      </w:r>
      <w:bookmarkEnd w:id="2887"/>
    </w:p>
    <w:p w14:paraId="26BCD11A" w14:textId="77777777" w:rsidR="00E87995" w:rsidRPr="009E06AA" w:rsidRDefault="00E87995" w:rsidP="00E87995">
      <w:pPr>
        <w:pStyle w:val="Heading4"/>
      </w:pPr>
      <w:bookmarkStart w:id="2889" w:name="choice-of-activity-data-1"/>
      <w:r w:rsidRPr="009E06AA">
        <w:t>Choice of activity data</w:t>
      </w:r>
    </w:p>
    <w:p w14:paraId="34AE871F" w14:textId="77777777" w:rsidR="00E87995" w:rsidRPr="009E06AA" w:rsidRDefault="00E87995" w:rsidP="00E87995">
      <w:pPr>
        <w:pStyle w:val="BodyText"/>
      </w:pPr>
      <w:r w:rsidRPr="009E06AA">
        <w:t xml:space="preserve">Activity data have been estimated based on expert judgement, in part using evidence of large‑scale commercial composting operating around </w:t>
      </w:r>
      <w:r w:rsidRPr="009E06AA" w:rsidDel="00344668">
        <w:t xml:space="preserve">New </w:t>
      </w:r>
      <w:r w:rsidRPr="009E06AA">
        <w:t>Zealand. In 1990, it is estimated that an equivalent of 1 per cent of total municipal solid waste was composted (see the total solid waste reported in table 7.2.3). Between 1991 and 2008, this amount was assumed to grow by 2 per cent per annum. Between 2009 and 2018, this amount is estimated to have grown much faster (between 10 per cent and 40 per cent per annum), to align to reported volumes for 2019 (Eunomia, unpublished(b)). This reflects the increase in commercial-scale composting estimated since 2009. Activity data for composting can be derived from table 7.2.3 using this description.</w:t>
      </w:r>
    </w:p>
    <w:p w14:paraId="26827E57" w14:textId="77777777" w:rsidR="00E87995" w:rsidRPr="009E06AA" w:rsidRDefault="00E87995" w:rsidP="00E87995">
      <w:pPr>
        <w:pStyle w:val="BodyText"/>
      </w:pPr>
      <w:r w:rsidRPr="009E06AA">
        <w:t>The proportion of food and garden waste disposed to managed landfills has decreased between 2012 and 2018 (see table 7.2.5). While this has not been demonstrated to be a direct result of the trend towards composting, it is consistent with this.</w:t>
      </w:r>
    </w:p>
    <w:p w14:paraId="77358D6B" w14:textId="77777777" w:rsidR="00E87995" w:rsidRPr="009E06AA" w:rsidRDefault="00E87995" w:rsidP="00E87995">
      <w:pPr>
        <w:pStyle w:val="Heading4"/>
      </w:pPr>
      <w:bookmarkStart w:id="2890" w:name="choice-of-methods-1"/>
      <w:bookmarkEnd w:id="2889"/>
      <w:r w:rsidRPr="009E06AA">
        <w:t>Choice of methods</w:t>
      </w:r>
    </w:p>
    <w:p w14:paraId="5C7F3C74" w14:textId="77777777" w:rsidR="00E87995" w:rsidRPr="009E06AA" w:rsidRDefault="00E87995" w:rsidP="00E87995">
      <w:pPr>
        <w:pStyle w:val="BodyText"/>
      </w:pPr>
      <w:r w:rsidRPr="009E06AA">
        <w:t>Estimates of direct emissions from the composting of solid waste are made using the default Tier 1 methodology (IPCC, 2006a).</w:t>
      </w:r>
    </w:p>
    <w:p w14:paraId="183F0E47" w14:textId="77777777" w:rsidR="00E87995" w:rsidRPr="009E06AA" w:rsidRDefault="00E87995" w:rsidP="00E87995">
      <w:pPr>
        <w:pStyle w:val="Heading4"/>
      </w:pPr>
      <w:bookmarkStart w:id="2891" w:name="choice-of-emission-factors"/>
      <w:bookmarkEnd w:id="2890"/>
      <w:r w:rsidRPr="009E06AA">
        <w:t>Choice of emission factors</w:t>
      </w:r>
    </w:p>
    <w:p w14:paraId="46136EFE" w14:textId="77777777" w:rsidR="00E87995" w:rsidRPr="009E06AA" w:rsidRDefault="00E87995" w:rsidP="00E87995">
      <w:pPr>
        <w:pStyle w:val="BodyText"/>
      </w:pPr>
      <w:r w:rsidRPr="009E06AA">
        <w:t>IPCC default parameters are used, as detailed in table 7.3.1.</w:t>
      </w:r>
    </w:p>
    <w:p w14:paraId="7295DEC3" w14:textId="5CA5D162" w:rsidR="00E87995" w:rsidRPr="009E06AA" w:rsidRDefault="00E87995" w:rsidP="00E87995">
      <w:pPr>
        <w:pStyle w:val="Table"/>
      </w:pPr>
      <w:bookmarkStart w:id="2892" w:name="_Toc128383671"/>
      <w:bookmarkStart w:id="2893" w:name="_Toc131591444"/>
      <w:bookmarkStart w:id="2894" w:name="_Toc160537323"/>
      <w:bookmarkStart w:id="2895" w:name="_Toc160537685"/>
      <w:bookmarkStart w:id="2896" w:name="_Toc164153935"/>
      <w:r w:rsidRPr="009E06AA">
        <w:t>Table 7.3.1</w:t>
      </w:r>
      <w:r w:rsidRPr="009E06AA">
        <w:tab/>
        <w:t xml:space="preserve">Emission factors applied to estimate emissions from </w:t>
      </w:r>
      <w:r w:rsidR="003402C5" w:rsidRPr="009E06AA">
        <w:rPr>
          <w:i/>
          <w:iCs/>
        </w:rPr>
        <w:t>C</w:t>
      </w:r>
      <w:r w:rsidRPr="009E06AA">
        <w:rPr>
          <w:i/>
          <w:iCs/>
        </w:rPr>
        <w:t>omposting</w:t>
      </w:r>
      <w:bookmarkEnd w:id="2892"/>
      <w:bookmarkEnd w:id="2893"/>
      <w:bookmarkEnd w:id="2894"/>
      <w:bookmarkEnd w:id="2895"/>
      <w:bookmarkEnd w:id="2896"/>
    </w:p>
    <w:tbl>
      <w:tblPr>
        <w:tblW w:w="8505" w:type="dxa"/>
        <w:tblBorders>
          <w:top w:val="single" w:sz="4" w:space="0" w:color="1B556B" w:themeColor="text2"/>
          <w:bottom w:val="single" w:sz="4" w:space="0" w:color="1B556B" w:themeColor="text2"/>
          <w:insideH w:val="single" w:sz="4" w:space="0" w:color="1B556B" w:themeColor="text2"/>
        </w:tblBorders>
        <w:tblLook w:val="0420" w:firstRow="1" w:lastRow="0" w:firstColumn="0" w:lastColumn="0" w:noHBand="0" w:noVBand="1"/>
      </w:tblPr>
      <w:tblGrid>
        <w:gridCol w:w="2410"/>
        <w:gridCol w:w="2411"/>
        <w:gridCol w:w="3684"/>
      </w:tblGrid>
      <w:tr w:rsidR="00E87995" w:rsidRPr="009E06AA" w14:paraId="4CAFACAD" w14:textId="77777777" w:rsidTr="004329D3">
        <w:trPr>
          <w:tblHeader/>
        </w:trPr>
        <w:tc>
          <w:tcPr>
            <w:tcW w:w="1416" w:type="pct"/>
            <w:shd w:val="clear" w:color="auto" w:fill="1B556B"/>
            <w:tcMar>
              <w:top w:w="0" w:type="dxa"/>
              <w:left w:w="85" w:type="dxa"/>
              <w:bottom w:w="0" w:type="dxa"/>
              <w:right w:w="85" w:type="dxa"/>
            </w:tcMar>
          </w:tcPr>
          <w:p w14:paraId="7A8FCC88" w14:textId="53326794" w:rsidR="00E87995" w:rsidRPr="009E06AA" w:rsidRDefault="00E87995" w:rsidP="00B55F24">
            <w:pPr>
              <w:pStyle w:val="TableTextBold"/>
              <w:spacing w:before="40" w:after="40"/>
              <w:rPr>
                <w:noProof w:val="0"/>
                <w:color w:val="FFFFFF" w:themeColor="background1"/>
              </w:rPr>
            </w:pPr>
            <w:r w:rsidRPr="009E06AA">
              <w:rPr>
                <w:noProof w:val="0"/>
                <w:color w:val="FFFFFF" w:themeColor="background1"/>
              </w:rPr>
              <w:t xml:space="preserve">Emission factor for </w:t>
            </w:r>
            <w:r w:rsidR="003402C5" w:rsidRPr="009E06AA">
              <w:rPr>
                <w:i/>
                <w:iCs/>
                <w:noProof w:val="0"/>
                <w:color w:val="FFFFFF" w:themeColor="background1"/>
              </w:rPr>
              <w:t>C</w:t>
            </w:r>
            <w:r w:rsidRPr="009E06AA">
              <w:rPr>
                <w:i/>
                <w:iCs/>
                <w:noProof w:val="0"/>
                <w:color w:val="FFFFFF" w:themeColor="background1"/>
              </w:rPr>
              <w:t>omposting</w:t>
            </w:r>
          </w:p>
        </w:tc>
        <w:tc>
          <w:tcPr>
            <w:tcW w:w="1417" w:type="pct"/>
            <w:shd w:val="clear" w:color="auto" w:fill="1B556B"/>
            <w:tcMar>
              <w:top w:w="0" w:type="dxa"/>
              <w:left w:w="85" w:type="dxa"/>
              <w:bottom w:w="0" w:type="dxa"/>
              <w:right w:w="85" w:type="dxa"/>
            </w:tcMar>
          </w:tcPr>
          <w:p w14:paraId="79A67A9C" w14:textId="77777777" w:rsidR="00E87995" w:rsidRPr="009E06AA" w:rsidRDefault="00E87995" w:rsidP="00FE7C1C">
            <w:pPr>
              <w:pStyle w:val="TableTextBold"/>
              <w:spacing w:before="40" w:after="40"/>
              <w:jc w:val="right"/>
              <w:rPr>
                <w:noProof w:val="0"/>
                <w:color w:val="FFFFFF" w:themeColor="background1"/>
              </w:rPr>
            </w:pPr>
            <w:r w:rsidRPr="009E06AA">
              <w:rPr>
                <w:noProof w:val="0"/>
                <w:color w:val="FFFFFF" w:themeColor="background1"/>
              </w:rPr>
              <w:t>Emission factor (g/kg)</w:t>
            </w:r>
          </w:p>
        </w:tc>
        <w:tc>
          <w:tcPr>
            <w:tcW w:w="2166" w:type="pct"/>
            <w:shd w:val="clear" w:color="auto" w:fill="1B556B"/>
            <w:tcMar>
              <w:top w:w="0" w:type="dxa"/>
              <w:left w:w="85" w:type="dxa"/>
              <w:bottom w:w="0" w:type="dxa"/>
              <w:right w:w="85" w:type="dxa"/>
            </w:tcMar>
          </w:tcPr>
          <w:p w14:paraId="02BAA099" w14:textId="77777777" w:rsidR="00E87995" w:rsidRPr="009E06AA" w:rsidRDefault="00E87995" w:rsidP="00B55F24">
            <w:pPr>
              <w:pStyle w:val="TableTextBold"/>
              <w:spacing w:before="40" w:after="40"/>
              <w:rPr>
                <w:noProof w:val="0"/>
                <w:color w:val="FFFFFF" w:themeColor="background1"/>
              </w:rPr>
            </w:pPr>
            <w:r w:rsidRPr="009E06AA">
              <w:rPr>
                <w:noProof w:val="0"/>
                <w:color w:val="FFFFFF" w:themeColor="background1"/>
              </w:rPr>
              <w:t>Source</w:t>
            </w:r>
          </w:p>
        </w:tc>
      </w:tr>
      <w:tr w:rsidR="00E87995" w:rsidRPr="009E06AA" w14:paraId="376A1D16" w14:textId="77777777" w:rsidTr="004329D3">
        <w:tc>
          <w:tcPr>
            <w:tcW w:w="1416" w:type="pct"/>
            <w:shd w:val="clear" w:color="auto" w:fill="FFFFFF"/>
            <w:tcMar>
              <w:top w:w="0" w:type="dxa"/>
              <w:left w:w="85" w:type="dxa"/>
              <w:bottom w:w="0" w:type="dxa"/>
              <w:right w:w="85" w:type="dxa"/>
            </w:tcMar>
          </w:tcPr>
          <w:p w14:paraId="0A80514E" w14:textId="77777777" w:rsidR="00E87995" w:rsidRPr="009E06AA" w:rsidRDefault="00E87995" w:rsidP="00B55F24">
            <w:pPr>
              <w:pStyle w:val="TableText"/>
              <w:spacing w:before="40" w:after="40"/>
            </w:pPr>
            <w:r w:rsidRPr="009E06AA">
              <w:rPr>
                <w:color w:val="000000"/>
              </w:rPr>
              <w:t>Methane</w:t>
            </w:r>
          </w:p>
        </w:tc>
        <w:tc>
          <w:tcPr>
            <w:tcW w:w="1417" w:type="pct"/>
            <w:shd w:val="clear" w:color="auto" w:fill="FFFFFF"/>
            <w:tcMar>
              <w:top w:w="0" w:type="dxa"/>
              <w:left w:w="85" w:type="dxa"/>
              <w:bottom w:w="0" w:type="dxa"/>
              <w:right w:w="85" w:type="dxa"/>
            </w:tcMar>
          </w:tcPr>
          <w:p w14:paraId="77BBC964" w14:textId="77777777" w:rsidR="00E87995" w:rsidRPr="009E06AA" w:rsidRDefault="00E87995" w:rsidP="00FE7C1C">
            <w:pPr>
              <w:pStyle w:val="TableText"/>
              <w:spacing w:before="40" w:after="40"/>
              <w:jc w:val="right"/>
            </w:pPr>
            <w:r w:rsidRPr="009E06AA">
              <w:rPr>
                <w:color w:val="000000"/>
              </w:rPr>
              <w:t>4</w:t>
            </w:r>
          </w:p>
        </w:tc>
        <w:tc>
          <w:tcPr>
            <w:tcW w:w="2166" w:type="pct"/>
            <w:shd w:val="clear" w:color="auto" w:fill="FFFFFF"/>
            <w:tcMar>
              <w:top w:w="0" w:type="dxa"/>
              <w:left w:w="85" w:type="dxa"/>
              <w:bottom w:w="0" w:type="dxa"/>
              <w:right w:w="85" w:type="dxa"/>
            </w:tcMar>
          </w:tcPr>
          <w:p w14:paraId="7A29FA09" w14:textId="77777777" w:rsidR="00E87995" w:rsidRPr="009E06AA" w:rsidRDefault="00E87995" w:rsidP="00B55F24">
            <w:pPr>
              <w:pStyle w:val="TableText"/>
              <w:spacing w:before="40" w:after="40"/>
            </w:pPr>
            <w:r w:rsidRPr="009E06AA">
              <w:rPr>
                <w:color w:val="000000"/>
              </w:rPr>
              <w:t>IPCC (2006a)</w:t>
            </w:r>
          </w:p>
        </w:tc>
      </w:tr>
      <w:tr w:rsidR="00E87995" w:rsidRPr="009E06AA" w14:paraId="23D00495" w14:textId="77777777" w:rsidTr="004329D3">
        <w:tc>
          <w:tcPr>
            <w:tcW w:w="1416" w:type="pct"/>
            <w:shd w:val="clear" w:color="auto" w:fill="FFFFFF"/>
            <w:tcMar>
              <w:top w:w="0" w:type="dxa"/>
              <w:left w:w="85" w:type="dxa"/>
              <w:bottom w:w="0" w:type="dxa"/>
              <w:right w:w="85" w:type="dxa"/>
            </w:tcMar>
          </w:tcPr>
          <w:p w14:paraId="7CEAAB88" w14:textId="77777777" w:rsidR="00E87995" w:rsidRPr="009E06AA" w:rsidRDefault="00E87995" w:rsidP="00B55F24">
            <w:pPr>
              <w:pStyle w:val="TableText"/>
              <w:spacing w:before="40" w:after="40"/>
            </w:pPr>
            <w:r w:rsidRPr="009E06AA">
              <w:rPr>
                <w:color w:val="000000"/>
              </w:rPr>
              <w:t>Nitrous oxide</w:t>
            </w:r>
          </w:p>
        </w:tc>
        <w:tc>
          <w:tcPr>
            <w:tcW w:w="1417" w:type="pct"/>
            <w:shd w:val="clear" w:color="auto" w:fill="FFFFFF"/>
            <w:tcMar>
              <w:top w:w="0" w:type="dxa"/>
              <w:left w:w="85" w:type="dxa"/>
              <w:bottom w:w="0" w:type="dxa"/>
              <w:right w:w="85" w:type="dxa"/>
            </w:tcMar>
          </w:tcPr>
          <w:p w14:paraId="51C378BE" w14:textId="77777777" w:rsidR="00E87995" w:rsidRPr="009E06AA" w:rsidRDefault="00E87995" w:rsidP="00FE7C1C">
            <w:pPr>
              <w:pStyle w:val="TableText"/>
              <w:spacing w:before="40" w:after="40"/>
              <w:jc w:val="right"/>
            </w:pPr>
            <w:r w:rsidRPr="009E06AA">
              <w:rPr>
                <w:color w:val="000000"/>
              </w:rPr>
              <w:t>0.24</w:t>
            </w:r>
          </w:p>
        </w:tc>
        <w:tc>
          <w:tcPr>
            <w:tcW w:w="2166" w:type="pct"/>
            <w:shd w:val="clear" w:color="auto" w:fill="FFFFFF"/>
            <w:tcMar>
              <w:top w:w="0" w:type="dxa"/>
              <w:left w:w="85" w:type="dxa"/>
              <w:bottom w:w="0" w:type="dxa"/>
              <w:right w:w="85" w:type="dxa"/>
            </w:tcMar>
          </w:tcPr>
          <w:p w14:paraId="52FBE012" w14:textId="77777777" w:rsidR="00E87995" w:rsidRPr="009E06AA" w:rsidRDefault="00E87995" w:rsidP="00B55F24">
            <w:pPr>
              <w:pStyle w:val="TableText"/>
              <w:spacing w:before="40" w:after="40"/>
            </w:pPr>
            <w:r w:rsidRPr="009E06AA">
              <w:rPr>
                <w:color w:val="000000"/>
              </w:rPr>
              <w:t>IPCC (2006a)</w:t>
            </w:r>
          </w:p>
        </w:tc>
      </w:tr>
    </w:tbl>
    <w:p w14:paraId="7E4C8D22" w14:textId="77777777" w:rsidR="00E87995" w:rsidRPr="009E06AA" w:rsidRDefault="00E87995" w:rsidP="00E87995">
      <w:pPr>
        <w:pStyle w:val="BodyText"/>
        <w:spacing w:before="240"/>
      </w:pPr>
      <w:r w:rsidRPr="009E06AA">
        <w:t>The emission factors are sourced from table 4.1, chapter 4 of volume 5 of the 2006 IPCC Guidelines (IPCC, 2006a).</w:t>
      </w:r>
    </w:p>
    <w:p w14:paraId="59CF5CB8" w14:textId="77777777" w:rsidR="00E87995" w:rsidRPr="009E06AA" w:rsidRDefault="00E87995" w:rsidP="00E87995">
      <w:pPr>
        <w:pStyle w:val="Heading3"/>
        <w:spacing w:before="240"/>
      </w:pPr>
      <w:bookmarkStart w:id="2897" w:name="_Toc160537237"/>
      <w:bookmarkStart w:id="2898" w:name="Xd140d158be0ceb5e383d4bdfbb982c81db38f88"/>
      <w:bookmarkStart w:id="2899" w:name="X17dcbd51fdf6369c323ef6d315d8366f6c0ea9d"/>
      <w:bookmarkEnd w:id="2888"/>
      <w:bookmarkEnd w:id="2891"/>
      <w:r w:rsidRPr="009E06AA">
        <w:t xml:space="preserve">7.3.3 </w:t>
      </w:r>
      <w:r w:rsidRPr="009E06AA">
        <w:tab/>
        <w:t>Uncertainty assessment and time-series consistency</w:t>
      </w:r>
      <w:bookmarkEnd w:id="2897"/>
    </w:p>
    <w:p w14:paraId="0324D2FE" w14:textId="77777777" w:rsidR="00E87995" w:rsidRPr="009E06AA" w:rsidRDefault="00E87995" w:rsidP="00E87995">
      <w:pPr>
        <w:pStyle w:val="Heading4"/>
      </w:pPr>
      <w:bookmarkStart w:id="2900" w:name="uncertainties-2"/>
      <w:r w:rsidRPr="009E06AA">
        <w:t>Uncertainties</w:t>
      </w:r>
    </w:p>
    <w:p w14:paraId="36BF0D13" w14:textId="77777777" w:rsidR="00E87995" w:rsidRPr="009E06AA" w:rsidRDefault="00E87995" w:rsidP="00E87995">
      <w:pPr>
        <w:pStyle w:val="BodyText"/>
        <w:rPr>
          <w:rFonts w:asciiTheme="minorHAnsi" w:hAnsiTheme="minorHAnsi" w:cstheme="minorHAnsi"/>
        </w:rPr>
      </w:pPr>
      <w:r w:rsidRPr="009E06AA">
        <w:t xml:space="preserve">As per the IPCC recommendation for uncertainties relating to activity data (IPCC, 2006a), when data quality is poor it can vary by more than a factor of two, or ±&gt;100 per cent. </w:t>
      </w:r>
      <w:r w:rsidRPr="009E06AA">
        <w:rPr>
          <w:rFonts w:asciiTheme="minorHAnsi" w:hAnsiTheme="minorHAnsi" w:cstheme="minorHAnsi"/>
        </w:rPr>
        <w:t xml:space="preserve">Since New Zealand counts with poor quality activity data, an uncertainty of </w:t>
      </w:r>
      <w:r w:rsidRPr="009E06AA">
        <w:t>±&gt;</w:t>
      </w:r>
      <w:r w:rsidRPr="009E06AA">
        <w:rPr>
          <w:rFonts w:asciiTheme="minorHAnsi" w:hAnsiTheme="minorHAnsi" w:cstheme="minorHAnsi"/>
        </w:rPr>
        <w:t xml:space="preserve"> 100 per cent is applicable in accordance with table 3.5 of volume 5, Chapter 3 of the 2006 IPCC Guidelines (IPCC, 2006a).</w:t>
      </w:r>
    </w:p>
    <w:p w14:paraId="5A657196" w14:textId="77777777" w:rsidR="00E87995" w:rsidRPr="009E06AA" w:rsidRDefault="00E87995" w:rsidP="00E87995">
      <w:pPr>
        <w:pStyle w:val="BodyText"/>
      </w:pPr>
      <w:r w:rsidRPr="009E06AA">
        <w:t>Uncertainties in emission factors are based on the range of the emission factors relative to the default (IPCC, 2006a), and the uncertainty for the default CH</w:t>
      </w:r>
      <w:r w:rsidRPr="009E06AA">
        <w:rPr>
          <w:vertAlign w:val="subscript"/>
        </w:rPr>
        <w:t>4</w:t>
      </w:r>
      <w:r w:rsidRPr="009E06AA">
        <w:t xml:space="preserve"> emission factor is about ±100 per cent. The range for the N</w:t>
      </w:r>
      <w:r w:rsidRPr="009E06AA">
        <w:rPr>
          <w:vertAlign w:val="subscript"/>
        </w:rPr>
        <w:t>2</w:t>
      </w:r>
      <w:r w:rsidRPr="009E06AA">
        <w:t>O emission factor is +150 per cent and -75 per cent, so the uncertainty is given as ±150 per cent. Table 7.3.2 presents uncertainties for composting.</w:t>
      </w:r>
    </w:p>
    <w:p w14:paraId="00C3769D" w14:textId="537395C4" w:rsidR="00E87995" w:rsidRPr="009E06AA" w:rsidRDefault="00E87995" w:rsidP="00E87995">
      <w:pPr>
        <w:pStyle w:val="Table"/>
      </w:pPr>
      <w:bookmarkStart w:id="2901" w:name="_Toc128383672"/>
      <w:bookmarkStart w:id="2902" w:name="_Toc131591445"/>
      <w:bookmarkStart w:id="2903" w:name="_Toc160537324"/>
      <w:bookmarkStart w:id="2904" w:name="_Toc160537686"/>
      <w:bookmarkStart w:id="2905" w:name="_Toc164153936"/>
      <w:r w:rsidRPr="009E06AA">
        <w:t>Table 7.3.2</w:t>
      </w:r>
      <w:r w:rsidRPr="009E06AA">
        <w:tab/>
        <w:t xml:space="preserve">Uncertainty in emissions from </w:t>
      </w:r>
      <w:r w:rsidR="00965678" w:rsidRPr="00417017">
        <w:rPr>
          <w:i/>
          <w:iCs/>
        </w:rPr>
        <w:t>C</w:t>
      </w:r>
      <w:r w:rsidRPr="00417017">
        <w:rPr>
          <w:i/>
          <w:iCs/>
        </w:rPr>
        <w:t>omposting</w:t>
      </w:r>
      <w:bookmarkEnd w:id="2901"/>
      <w:bookmarkEnd w:id="2902"/>
      <w:bookmarkEnd w:id="2903"/>
      <w:bookmarkEnd w:id="2904"/>
      <w:bookmarkEnd w:id="2905"/>
    </w:p>
    <w:tbl>
      <w:tblPr>
        <w:tblW w:w="8505" w:type="dxa"/>
        <w:tblBorders>
          <w:top w:val="single" w:sz="4" w:space="0" w:color="1B556B" w:themeColor="text2"/>
          <w:bottom w:val="single" w:sz="4" w:space="0" w:color="1B556B" w:themeColor="text2"/>
          <w:insideH w:val="single" w:sz="4" w:space="0" w:color="1B556B" w:themeColor="text2"/>
        </w:tblBorders>
        <w:tblLook w:val="0420" w:firstRow="1" w:lastRow="0" w:firstColumn="0" w:lastColumn="0" w:noHBand="0" w:noVBand="1"/>
      </w:tblPr>
      <w:tblGrid>
        <w:gridCol w:w="1981"/>
        <w:gridCol w:w="3081"/>
        <w:gridCol w:w="3443"/>
      </w:tblGrid>
      <w:tr w:rsidR="00E87995" w:rsidRPr="009E06AA" w14:paraId="0546B11B" w14:textId="77777777" w:rsidTr="00B55F24">
        <w:trPr>
          <w:tblHeader/>
        </w:trPr>
        <w:tc>
          <w:tcPr>
            <w:tcW w:w="0" w:type="auto"/>
            <w:shd w:val="clear" w:color="auto" w:fill="1B556B"/>
            <w:tcMar>
              <w:top w:w="0" w:type="dxa"/>
              <w:left w:w="85" w:type="dxa"/>
              <w:bottom w:w="0" w:type="dxa"/>
              <w:right w:w="85" w:type="dxa"/>
            </w:tcMar>
          </w:tcPr>
          <w:p w14:paraId="65AA26D2" w14:textId="77777777" w:rsidR="00E87995" w:rsidRPr="009E06AA" w:rsidRDefault="00E87995" w:rsidP="00B55F24">
            <w:pPr>
              <w:pStyle w:val="TableTextBold"/>
              <w:spacing w:before="40" w:after="40"/>
              <w:rPr>
                <w:noProof w:val="0"/>
                <w:color w:val="FFFFFF" w:themeColor="background1"/>
              </w:rPr>
            </w:pPr>
            <w:r w:rsidRPr="009E06AA">
              <w:rPr>
                <w:noProof w:val="0"/>
                <w:color w:val="FFFFFF" w:themeColor="background1"/>
              </w:rPr>
              <w:t>Emissions category</w:t>
            </w:r>
          </w:p>
        </w:tc>
        <w:tc>
          <w:tcPr>
            <w:tcW w:w="0" w:type="auto"/>
            <w:shd w:val="clear" w:color="auto" w:fill="1B556B"/>
            <w:tcMar>
              <w:top w:w="0" w:type="dxa"/>
              <w:left w:w="85" w:type="dxa"/>
              <w:bottom w:w="0" w:type="dxa"/>
              <w:right w:w="85" w:type="dxa"/>
            </w:tcMar>
          </w:tcPr>
          <w:p w14:paraId="4BA03290" w14:textId="77777777" w:rsidR="00E87995" w:rsidRPr="009E06AA" w:rsidRDefault="00E87995" w:rsidP="00FE7C1C">
            <w:pPr>
              <w:pStyle w:val="TableTextBold"/>
              <w:spacing w:before="40" w:after="40"/>
              <w:jc w:val="right"/>
              <w:rPr>
                <w:noProof w:val="0"/>
                <w:color w:val="FFFFFF" w:themeColor="background1"/>
              </w:rPr>
            </w:pPr>
            <w:r w:rsidRPr="009E06AA">
              <w:rPr>
                <w:noProof w:val="0"/>
                <w:color w:val="FFFFFF" w:themeColor="background1"/>
              </w:rPr>
              <w:t>Uncertainty in activity data (%)</w:t>
            </w:r>
          </w:p>
        </w:tc>
        <w:tc>
          <w:tcPr>
            <w:tcW w:w="0" w:type="auto"/>
            <w:shd w:val="clear" w:color="auto" w:fill="1B556B"/>
            <w:tcMar>
              <w:top w:w="0" w:type="dxa"/>
              <w:left w:w="85" w:type="dxa"/>
              <w:bottom w:w="0" w:type="dxa"/>
              <w:right w:w="85" w:type="dxa"/>
            </w:tcMar>
          </w:tcPr>
          <w:p w14:paraId="5BC08F4F" w14:textId="77777777" w:rsidR="00E87995" w:rsidRPr="009E06AA" w:rsidRDefault="00E87995" w:rsidP="00FE7C1C">
            <w:pPr>
              <w:pStyle w:val="TableTextBold"/>
              <w:spacing w:before="40" w:after="40"/>
              <w:jc w:val="right"/>
              <w:rPr>
                <w:noProof w:val="0"/>
                <w:color w:val="FFFFFF" w:themeColor="background1"/>
              </w:rPr>
            </w:pPr>
            <w:r w:rsidRPr="009E06AA">
              <w:rPr>
                <w:noProof w:val="0"/>
                <w:color w:val="FFFFFF" w:themeColor="background1"/>
              </w:rPr>
              <w:t>Uncertainty in emission factors (%)</w:t>
            </w:r>
          </w:p>
        </w:tc>
      </w:tr>
      <w:tr w:rsidR="00E87995" w:rsidRPr="009E06AA" w14:paraId="30C49E27" w14:textId="77777777" w:rsidTr="00B55F24">
        <w:tc>
          <w:tcPr>
            <w:tcW w:w="0" w:type="auto"/>
            <w:shd w:val="clear" w:color="auto" w:fill="FFFFFF"/>
            <w:tcMar>
              <w:top w:w="0" w:type="dxa"/>
              <w:left w:w="85" w:type="dxa"/>
              <w:bottom w:w="0" w:type="dxa"/>
              <w:right w:w="85" w:type="dxa"/>
            </w:tcMar>
          </w:tcPr>
          <w:p w14:paraId="0404FF67" w14:textId="77777777" w:rsidR="00E87995" w:rsidRPr="009E06AA" w:rsidRDefault="00E87995" w:rsidP="00B55F24">
            <w:pPr>
              <w:pStyle w:val="TableText"/>
              <w:spacing w:before="40" w:after="40"/>
            </w:pPr>
            <w:r w:rsidRPr="009E06AA">
              <w:rPr>
                <w:color w:val="000000"/>
              </w:rPr>
              <w:t>Compost (CH₄)</w:t>
            </w:r>
          </w:p>
        </w:tc>
        <w:tc>
          <w:tcPr>
            <w:tcW w:w="0" w:type="auto"/>
            <w:shd w:val="clear" w:color="auto" w:fill="FFFFFF"/>
            <w:tcMar>
              <w:top w:w="0" w:type="dxa"/>
              <w:left w:w="85" w:type="dxa"/>
              <w:bottom w:w="0" w:type="dxa"/>
              <w:right w:w="85" w:type="dxa"/>
            </w:tcMar>
          </w:tcPr>
          <w:p w14:paraId="4EC6B46F" w14:textId="77777777" w:rsidR="00E87995" w:rsidRPr="009E06AA" w:rsidRDefault="00E87995" w:rsidP="00FE7C1C">
            <w:pPr>
              <w:pStyle w:val="TableText"/>
              <w:spacing w:before="40" w:after="40"/>
              <w:jc w:val="right"/>
            </w:pPr>
            <w:r w:rsidRPr="009E06AA">
              <w:rPr>
                <w:color w:val="000000"/>
              </w:rPr>
              <w:t>±100</w:t>
            </w:r>
          </w:p>
        </w:tc>
        <w:tc>
          <w:tcPr>
            <w:tcW w:w="0" w:type="auto"/>
            <w:shd w:val="clear" w:color="auto" w:fill="FFFFFF"/>
            <w:tcMar>
              <w:top w:w="0" w:type="dxa"/>
              <w:left w:w="85" w:type="dxa"/>
              <w:bottom w:w="0" w:type="dxa"/>
              <w:right w:w="85" w:type="dxa"/>
            </w:tcMar>
          </w:tcPr>
          <w:p w14:paraId="3804F1FF" w14:textId="77777777" w:rsidR="00E87995" w:rsidRPr="009E06AA" w:rsidRDefault="00E87995" w:rsidP="00FE7C1C">
            <w:pPr>
              <w:pStyle w:val="TableText"/>
              <w:spacing w:before="40" w:after="40"/>
              <w:jc w:val="right"/>
            </w:pPr>
            <w:r w:rsidRPr="009E06AA">
              <w:rPr>
                <w:color w:val="000000"/>
              </w:rPr>
              <w:t>±100</w:t>
            </w:r>
          </w:p>
        </w:tc>
      </w:tr>
      <w:tr w:rsidR="00E87995" w:rsidRPr="009E06AA" w14:paraId="241C9E9E" w14:textId="77777777" w:rsidTr="00B55F24">
        <w:tc>
          <w:tcPr>
            <w:tcW w:w="0" w:type="auto"/>
            <w:shd w:val="clear" w:color="auto" w:fill="FFFFFF"/>
            <w:tcMar>
              <w:top w:w="0" w:type="dxa"/>
              <w:left w:w="85" w:type="dxa"/>
              <w:bottom w:w="0" w:type="dxa"/>
              <w:right w:w="85" w:type="dxa"/>
            </w:tcMar>
          </w:tcPr>
          <w:p w14:paraId="01F401D5" w14:textId="77777777" w:rsidR="00E87995" w:rsidRPr="009E06AA" w:rsidRDefault="00E87995" w:rsidP="00B55F24">
            <w:pPr>
              <w:pStyle w:val="TableText"/>
              <w:spacing w:before="40" w:after="40"/>
            </w:pPr>
            <w:r w:rsidRPr="009E06AA">
              <w:rPr>
                <w:color w:val="000000"/>
              </w:rPr>
              <w:t>Compost (N₂O)</w:t>
            </w:r>
          </w:p>
        </w:tc>
        <w:tc>
          <w:tcPr>
            <w:tcW w:w="0" w:type="auto"/>
            <w:shd w:val="clear" w:color="auto" w:fill="FFFFFF"/>
            <w:tcMar>
              <w:top w:w="0" w:type="dxa"/>
              <w:left w:w="85" w:type="dxa"/>
              <w:bottom w:w="0" w:type="dxa"/>
              <w:right w:w="85" w:type="dxa"/>
            </w:tcMar>
          </w:tcPr>
          <w:p w14:paraId="08F6FCAF" w14:textId="77777777" w:rsidR="00E87995" w:rsidRPr="009E06AA" w:rsidRDefault="00E87995" w:rsidP="00FE7C1C">
            <w:pPr>
              <w:pStyle w:val="TableText"/>
              <w:spacing w:before="40" w:after="40"/>
              <w:jc w:val="right"/>
            </w:pPr>
            <w:r w:rsidRPr="009E06AA">
              <w:rPr>
                <w:color w:val="000000"/>
              </w:rPr>
              <w:t>±100</w:t>
            </w:r>
          </w:p>
        </w:tc>
        <w:tc>
          <w:tcPr>
            <w:tcW w:w="0" w:type="auto"/>
            <w:shd w:val="clear" w:color="auto" w:fill="FFFFFF"/>
            <w:tcMar>
              <w:top w:w="0" w:type="dxa"/>
              <w:left w:w="85" w:type="dxa"/>
              <w:bottom w:w="0" w:type="dxa"/>
              <w:right w:w="85" w:type="dxa"/>
            </w:tcMar>
          </w:tcPr>
          <w:p w14:paraId="064870D0" w14:textId="77777777" w:rsidR="00E87995" w:rsidRPr="009E06AA" w:rsidRDefault="00E87995" w:rsidP="00FE7C1C">
            <w:pPr>
              <w:pStyle w:val="TableText"/>
              <w:spacing w:before="40" w:after="40"/>
              <w:jc w:val="right"/>
            </w:pPr>
            <w:r w:rsidRPr="009E06AA">
              <w:rPr>
                <w:color w:val="000000"/>
              </w:rPr>
              <w:t>±150</w:t>
            </w:r>
          </w:p>
        </w:tc>
      </w:tr>
    </w:tbl>
    <w:p w14:paraId="78FDCD6B" w14:textId="77777777" w:rsidR="00E87995" w:rsidRPr="009E06AA" w:rsidRDefault="00E87995" w:rsidP="00E87995">
      <w:pPr>
        <w:pStyle w:val="Heading4"/>
        <w:spacing w:before="360"/>
      </w:pPr>
      <w:bookmarkStart w:id="2906" w:name="time-series-consistency-1"/>
      <w:bookmarkEnd w:id="2900"/>
      <w:r w:rsidRPr="009E06AA">
        <w:t>Time-series consistency</w:t>
      </w:r>
    </w:p>
    <w:p w14:paraId="3BBE79C2" w14:textId="77777777" w:rsidR="00E87995" w:rsidRPr="009E06AA" w:rsidRDefault="00E87995" w:rsidP="00E87995">
      <w:pPr>
        <w:pStyle w:val="BodyText"/>
      </w:pPr>
      <w:r w:rsidRPr="009E06AA">
        <w:t>Time-series consistency is ensured by the use of consistent models and parameters across the period.</w:t>
      </w:r>
    </w:p>
    <w:p w14:paraId="1551D2EF" w14:textId="77777777" w:rsidR="00E87995" w:rsidRPr="009E06AA" w:rsidRDefault="00E87995" w:rsidP="00E87995">
      <w:pPr>
        <w:pStyle w:val="Heading3"/>
      </w:pPr>
      <w:bookmarkStart w:id="2907" w:name="_Toc160537238"/>
      <w:bookmarkStart w:id="2908" w:name="category-specific-qaqc-and-verification"/>
      <w:bookmarkEnd w:id="2898"/>
      <w:bookmarkEnd w:id="2899"/>
      <w:bookmarkEnd w:id="2906"/>
      <w:r w:rsidRPr="009E06AA">
        <w:t xml:space="preserve">7.3.4 </w:t>
      </w:r>
      <w:r w:rsidRPr="009E06AA">
        <w:tab/>
        <w:t>Category-specific QA/QC and verification</w:t>
      </w:r>
      <w:bookmarkEnd w:id="2907"/>
    </w:p>
    <w:p w14:paraId="7F15CAED" w14:textId="77777777" w:rsidR="00E87995" w:rsidRPr="009E06AA" w:rsidRDefault="00E87995" w:rsidP="00E87995">
      <w:pPr>
        <w:pStyle w:val="BodyText"/>
      </w:pPr>
      <w:r w:rsidRPr="009E06AA">
        <w:t xml:space="preserve">These emissions are very small, and basic quality-assurance and quality-control checks are carried out where possible. Detailed quality-assurance and quality-control efforts for the Waste sector focus on the </w:t>
      </w:r>
      <w:r w:rsidRPr="009E06AA">
        <w:rPr>
          <w:i/>
          <w:iCs/>
        </w:rPr>
        <w:t>Solid waste disposal</w:t>
      </w:r>
      <w:r w:rsidRPr="009E06AA">
        <w:t xml:space="preserve"> to land and </w:t>
      </w:r>
      <w:r w:rsidRPr="009E06AA">
        <w:rPr>
          <w:i/>
          <w:iCs/>
        </w:rPr>
        <w:t>Wastewater treatment and discharge</w:t>
      </w:r>
      <w:r w:rsidRPr="009E06AA">
        <w:t> categories.</w:t>
      </w:r>
    </w:p>
    <w:p w14:paraId="0216D778" w14:textId="77777777" w:rsidR="00E87995" w:rsidRPr="009E06AA" w:rsidRDefault="00E87995" w:rsidP="00E87995">
      <w:pPr>
        <w:pStyle w:val="Heading3"/>
      </w:pPr>
      <w:bookmarkStart w:id="2909" w:name="_Toc160537239"/>
      <w:bookmarkStart w:id="2910" w:name="category-specific-recalculations-1"/>
      <w:bookmarkEnd w:id="2908"/>
      <w:r w:rsidRPr="009E06AA">
        <w:t xml:space="preserve">7.3.5 </w:t>
      </w:r>
      <w:r w:rsidRPr="009E06AA">
        <w:tab/>
        <w:t>Category-specific recalculations</w:t>
      </w:r>
      <w:bookmarkEnd w:id="2909"/>
    </w:p>
    <w:p w14:paraId="4154C354" w14:textId="77777777" w:rsidR="00E87995" w:rsidRPr="009E06AA" w:rsidRDefault="00E87995" w:rsidP="00E87995">
      <w:pPr>
        <w:pStyle w:val="BodyText"/>
      </w:pPr>
      <w:r w:rsidRPr="009E06AA">
        <w:t xml:space="preserve">Emissions from </w:t>
      </w:r>
      <w:r w:rsidRPr="009E06AA">
        <w:rPr>
          <w:i/>
          <w:iCs/>
        </w:rPr>
        <w:t>Composting</w:t>
      </w:r>
      <w:r w:rsidRPr="009E06AA">
        <w:t xml:space="preserve"> (5.B.1.a) have not changed in 1990 and decreased by 0.4 kt CO</w:t>
      </w:r>
      <w:r w:rsidRPr="009E06AA">
        <w:rPr>
          <w:vertAlign w:val="subscript"/>
        </w:rPr>
        <w:t>2</w:t>
      </w:r>
      <w:r w:rsidRPr="009E06AA">
        <w:t>-e (0.6 per cent) in 2021, compared with the previous submission.</w:t>
      </w:r>
    </w:p>
    <w:p w14:paraId="6BD631DA" w14:textId="77777777" w:rsidR="00E87995" w:rsidRPr="009E06AA" w:rsidRDefault="00E87995" w:rsidP="00E87995">
      <w:pPr>
        <w:pStyle w:val="Heading3"/>
      </w:pPr>
      <w:bookmarkStart w:id="2911" w:name="_Toc160537240"/>
      <w:bookmarkStart w:id="2912" w:name="category-specific-planned-improvements-1"/>
      <w:bookmarkEnd w:id="2910"/>
      <w:r w:rsidRPr="009E06AA">
        <w:t xml:space="preserve">7.3.6 </w:t>
      </w:r>
      <w:r w:rsidRPr="009E06AA">
        <w:tab/>
        <w:t>Category-specific planned improvements</w:t>
      </w:r>
      <w:bookmarkEnd w:id="2911"/>
    </w:p>
    <w:p w14:paraId="13435BDA" w14:textId="77777777" w:rsidR="00E87995" w:rsidRPr="009E06AA" w:rsidRDefault="00E87995" w:rsidP="00E87995">
      <w:pPr>
        <w:pStyle w:val="BodyText"/>
      </w:pPr>
      <w:r w:rsidRPr="009E06AA">
        <w:t xml:space="preserve">New Zealand is planning to incorporate new activity data and review methods for the </w:t>
      </w:r>
      <w:r w:rsidRPr="009E06AA">
        <w:rPr>
          <w:i/>
          <w:iCs/>
        </w:rPr>
        <w:t>Anaerobic digestion</w:t>
      </w:r>
      <w:r w:rsidRPr="009E06AA">
        <w:t xml:space="preserve"> category in the 2025 submission.</w:t>
      </w:r>
    </w:p>
    <w:p w14:paraId="1A278427" w14:textId="77777777" w:rsidR="00E87995" w:rsidRPr="009E06AA" w:rsidRDefault="00E87995" w:rsidP="00E87995">
      <w:pPr>
        <w:pStyle w:val="Heading2"/>
      </w:pPr>
      <w:bookmarkStart w:id="2913" w:name="_Toc131591263"/>
      <w:bookmarkStart w:id="2914" w:name="_Toc160537241"/>
      <w:bookmarkStart w:id="2915" w:name="_Toc164154218"/>
      <w:bookmarkStart w:id="2916" w:name="X4f2eb840ef6efa4b4133eb3374d048d378818bb"/>
      <w:bookmarkEnd w:id="2884"/>
      <w:bookmarkEnd w:id="2912"/>
      <w:r w:rsidRPr="009E06AA">
        <w:t xml:space="preserve">7.4 </w:t>
      </w:r>
      <w:r w:rsidRPr="009E06AA">
        <w:tab/>
        <w:t>Incineration and open burning of waste (5.C)</w:t>
      </w:r>
      <w:bookmarkEnd w:id="2913"/>
      <w:bookmarkEnd w:id="2914"/>
      <w:bookmarkEnd w:id="2915"/>
    </w:p>
    <w:p w14:paraId="79058A5B" w14:textId="77777777" w:rsidR="00E87995" w:rsidRPr="009E06AA" w:rsidRDefault="00E87995" w:rsidP="00E87995">
      <w:pPr>
        <w:pStyle w:val="Heading3"/>
        <w:spacing w:before="240"/>
      </w:pPr>
      <w:bookmarkStart w:id="2917" w:name="_Toc160537242"/>
      <w:bookmarkStart w:id="2918" w:name="description-2"/>
      <w:r w:rsidRPr="009E06AA">
        <w:t xml:space="preserve">7.4.1 </w:t>
      </w:r>
      <w:r w:rsidRPr="009E06AA">
        <w:tab/>
        <w:t>Description</w:t>
      </w:r>
      <w:bookmarkEnd w:id="2917"/>
    </w:p>
    <w:p w14:paraId="6499BC1E" w14:textId="77777777" w:rsidR="00E87995" w:rsidRPr="009E06AA" w:rsidRDefault="00E87995" w:rsidP="00E87995">
      <w:pPr>
        <w:pStyle w:val="BodyText"/>
      </w:pPr>
      <w:r w:rsidRPr="009E06AA">
        <w:t xml:space="preserve">There is no incineration of municipal waste in </w:t>
      </w:r>
      <w:r w:rsidRPr="009E06AA" w:rsidDel="00BB4B8A">
        <w:t>New Zealand</w:t>
      </w:r>
      <w:r w:rsidRPr="009E06AA">
        <w:t xml:space="preserve"> for energy production or otherwise. Incineration is used on a small scale for disposal of clinical wastes, hazardous wastes and sewage sludge. The practice of incinerating clinical wastes has declined through the time series, due to more stringent environmental regulation and the use of alternative technologies such as sterilisation. In the context of </w:t>
      </w:r>
      <w:r w:rsidRPr="009E06AA" w:rsidDel="00747A34">
        <w:t>New</w:t>
      </w:r>
      <w:r w:rsidRPr="009E06AA">
        <w:t xml:space="preserve"> Zealand’s greenhouse gas inventory, the term ‘clinical wastes’ refers to a combination of clinical, medical and quarantine wastes.</w:t>
      </w:r>
    </w:p>
    <w:p w14:paraId="78D2BCDC" w14:textId="77777777" w:rsidR="00E87995" w:rsidRPr="009E06AA" w:rsidRDefault="00E87995" w:rsidP="00E87995">
      <w:pPr>
        <w:pStyle w:val="BodyText"/>
      </w:pPr>
      <w:r w:rsidRPr="009E06AA">
        <w:rPr>
          <w:spacing w:val="-2"/>
        </w:rPr>
        <w:t>Waste incineration is regulated under the Resource Management Act 1991. In addition, in 2004</w:t>
      </w:r>
      <w:r w:rsidRPr="009E06AA">
        <w:t>, a national environmental standard was introduced that required consents for all existing low-</w:t>
      </w:r>
      <w:r w:rsidRPr="009E06AA">
        <w:rPr>
          <w:spacing w:val="-2"/>
        </w:rPr>
        <w:t>temperature incinerators, such as those historically used in schools and sometimes in hospitals</w:t>
      </w:r>
      <w:r w:rsidRPr="009E06AA">
        <w:t>.</w:t>
      </w:r>
    </w:p>
    <w:p w14:paraId="47A44EB0" w14:textId="77777777" w:rsidR="00E87995" w:rsidRPr="009E06AA" w:rsidRDefault="00E87995" w:rsidP="00E87995">
      <w:pPr>
        <w:pStyle w:val="BodyText"/>
      </w:pPr>
      <w:r w:rsidRPr="009E06AA">
        <w:t>There is no open burning of waste at municipal or non-municipal landfill facilities in New Zealand. It is common for farms to practise open burning of rural waste (GHD, 2014) and, while limited information is available on the extent of the practice, emissions from open burning are reported here. It is assumed that an equal amount of farm waste that is buried (see table 7.2.4) is burned.</w:t>
      </w:r>
    </w:p>
    <w:p w14:paraId="056B9F11" w14:textId="77777777" w:rsidR="00E87995" w:rsidRPr="009E06AA" w:rsidRDefault="00E87995" w:rsidP="00E87995">
      <w:pPr>
        <w:pStyle w:val="BodyText"/>
      </w:pPr>
      <w:r w:rsidRPr="009E06AA">
        <w:t xml:space="preserve">On its website, the Ministry of Education indicates that waste incineration is still practised in a small number of primary schools located in remote rural areas. Although information is not available on the exact number of schools practising waste incineration, it is estimated that around 10 per cent of the total number of schools in </w:t>
      </w:r>
      <w:r w:rsidRPr="009E06AA" w:rsidDel="00402D98">
        <w:t>New Zealand</w:t>
      </w:r>
      <w:r w:rsidRPr="009E06AA">
        <w:t xml:space="preserve"> still incinerate their waste production (P Guiney, Ministry of Education, pers. comm., 4 December 2019). Emissions from this source are not estimated for this submission and are reported as not estimated (NE). See chapter 1, section 1.7, for more information.</w:t>
      </w:r>
    </w:p>
    <w:p w14:paraId="0CC1FC96" w14:textId="77777777" w:rsidR="00E87995" w:rsidRPr="009E06AA" w:rsidRDefault="00E87995" w:rsidP="00E87995">
      <w:pPr>
        <w:pStyle w:val="BodyText"/>
      </w:pPr>
      <w:r w:rsidRPr="009E06AA">
        <w:t xml:space="preserve">Where data are available, the burning of waste materials, including waste oil, wood chips and tyres for fuelling boilers and cement kilns, is reported under the Energy sector in the </w:t>
      </w:r>
      <w:r w:rsidRPr="009E06AA">
        <w:rPr>
          <w:i/>
          <w:iCs/>
        </w:rPr>
        <w:t>Manufacturing industries and construction</w:t>
      </w:r>
      <w:r w:rsidRPr="009E06AA">
        <w:t xml:space="preserve"> category.</w:t>
      </w:r>
    </w:p>
    <w:p w14:paraId="0903BCD2" w14:textId="77777777" w:rsidR="00E87995" w:rsidRPr="009E06AA" w:rsidRDefault="00E87995" w:rsidP="00E87995">
      <w:pPr>
        <w:pStyle w:val="BodyText"/>
      </w:pPr>
      <w:r w:rsidRPr="009E06AA">
        <w:t xml:space="preserve">In 2022, </w:t>
      </w:r>
      <w:r w:rsidRPr="009E06AA">
        <w:rPr>
          <w:i/>
          <w:iCs/>
        </w:rPr>
        <w:t>Incineration and open burning of waste</w:t>
      </w:r>
      <w:r w:rsidRPr="009E06AA">
        <w:t xml:space="preserve"> accounted for 180.6 kt CO</w:t>
      </w:r>
      <w:r w:rsidRPr="009E06AA">
        <w:rPr>
          <w:vertAlign w:val="subscript"/>
        </w:rPr>
        <w:t>2</w:t>
      </w:r>
      <w:r w:rsidRPr="009E06AA">
        <w:t>-e (5.2 per cent) of Waste sector emissions (see table 7.4.1). This was a decrease of 138.8 kt CO</w:t>
      </w:r>
      <w:r w:rsidRPr="009E06AA">
        <w:rPr>
          <w:vertAlign w:val="subscript"/>
        </w:rPr>
        <w:t>2</w:t>
      </w:r>
      <w:r w:rsidRPr="009E06AA">
        <w:t>-e (43.5 per cent) below the 1990 level of 319.3 kt CO</w:t>
      </w:r>
      <w:r w:rsidRPr="009E06AA">
        <w:rPr>
          <w:vertAlign w:val="subscript"/>
        </w:rPr>
        <w:t>2</w:t>
      </w:r>
      <w:r w:rsidRPr="009E06AA">
        <w:t>-e, and a decrease of 9.7 kt CO</w:t>
      </w:r>
      <w:r w:rsidRPr="009E06AA">
        <w:rPr>
          <w:vertAlign w:val="subscript"/>
        </w:rPr>
        <w:t>2</w:t>
      </w:r>
      <w:r w:rsidRPr="009E06AA">
        <w:t>-e (5.1) from 2021.</w:t>
      </w:r>
    </w:p>
    <w:p w14:paraId="6F6F6BD9" w14:textId="77777777" w:rsidR="00E87995" w:rsidRPr="009E06AA" w:rsidRDefault="00E87995" w:rsidP="00E87995">
      <w:pPr>
        <w:pStyle w:val="Table"/>
      </w:pPr>
      <w:bookmarkStart w:id="2919" w:name="_Toc128383673"/>
      <w:bookmarkStart w:id="2920" w:name="_Toc131591446"/>
      <w:bookmarkStart w:id="2921" w:name="_Toc160537325"/>
      <w:bookmarkStart w:id="2922" w:name="_Toc160537687"/>
      <w:bookmarkStart w:id="2923" w:name="_Toc164153937"/>
      <w:r w:rsidRPr="009E06AA">
        <w:t>Table 7.4.1</w:t>
      </w:r>
      <w:r w:rsidRPr="009E06AA">
        <w:tab/>
        <w:t xml:space="preserve">Emissions from </w:t>
      </w:r>
      <w:r w:rsidRPr="009E06AA">
        <w:rPr>
          <w:i/>
          <w:iCs/>
        </w:rPr>
        <w:t>Incineration and open burning of waste</w:t>
      </w:r>
      <w:r w:rsidRPr="009E06AA">
        <w:t xml:space="preserve"> (5.C)</w:t>
      </w:r>
      <w:bookmarkEnd w:id="2919"/>
      <w:bookmarkEnd w:id="2920"/>
      <w:bookmarkEnd w:id="2921"/>
      <w:bookmarkEnd w:id="2922"/>
      <w:bookmarkEnd w:id="2923"/>
    </w:p>
    <w:tbl>
      <w:tblPr>
        <w:tblW w:w="8505" w:type="dxa"/>
        <w:tblBorders>
          <w:top w:val="single" w:sz="4" w:space="0" w:color="1B556B" w:themeColor="text2"/>
          <w:bottom w:val="single" w:sz="4" w:space="0" w:color="1B556B" w:themeColor="text2"/>
          <w:insideH w:val="single" w:sz="4" w:space="0" w:color="1B556B" w:themeColor="text2"/>
        </w:tblBorders>
        <w:tblLook w:val="0420" w:firstRow="1" w:lastRow="0" w:firstColumn="0" w:lastColumn="0" w:noHBand="0" w:noVBand="1"/>
      </w:tblPr>
      <w:tblGrid>
        <w:gridCol w:w="2366"/>
        <w:gridCol w:w="1164"/>
        <w:gridCol w:w="1164"/>
        <w:gridCol w:w="2393"/>
        <w:gridCol w:w="1418"/>
      </w:tblGrid>
      <w:tr w:rsidR="00E87995" w:rsidRPr="009E06AA" w14:paraId="1A82879D" w14:textId="77777777" w:rsidTr="00B55F24">
        <w:trPr>
          <w:tblHeader/>
        </w:trPr>
        <w:tc>
          <w:tcPr>
            <w:tcW w:w="0" w:type="auto"/>
            <w:shd w:val="clear" w:color="auto" w:fill="1B556B"/>
            <w:tcMar>
              <w:top w:w="0" w:type="dxa"/>
              <w:left w:w="85" w:type="dxa"/>
              <w:bottom w:w="0" w:type="dxa"/>
              <w:right w:w="85" w:type="dxa"/>
            </w:tcMar>
          </w:tcPr>
          <w:p w14:paraId="20896071" w14:textId="77777777" w:rsidR="00E87995" w:rsidRPr="009E06AA" w:rsidRDefault="00E87995" w:rsidP="00B55F24">
            <w:pPr>
              <w:pStyle w:val="TableTextBold"/>
              <w:keepNext/>
              <w:spacing w:before="40" w:after="40"/>
              <w:rPr>
                <w:noProof w:val="0"/>
                <w:color w:val="FFFFFF" w:themeColor="background1"/>
              </w:rPr>
            </w:pPr>
            <w:r w:rsidRPr="009E06AA">
              <w:rPr>
                <w:noProof w:val="0"/>
                <w:color w:val="FFFFFF" w:themeColor="background1"/>
              </w:rPr>
              <w:t xml:space="preserve"> </w:t>
            </w:r>
          </w:p>
        </w:tc>
        <w:tc>
          <w:tcPr>
            <w:tcW w:w="0" w:type="auto"/>
            <w:gridSpan w:val="2"/>
            <w:shd w:val="clear" w:color="auto" w:fill="1B556B"/>
            <w:tcMar>
              <w:top w:w="0" w:type="dxa"/>
              <w:left w:w="85" w:type="dxa"/>
              <w:bottom w:w="0" w:type="dxa"/>
              <w:right w:w="85" w:type="dxa"/>
            </w:tcMar>
          </w:tcPr>
          <w:p w14:paraId="51458539" w14:textId="77777777" w:rsidR="00E87995" w:rsidRPr="009E06AA" w:rsidRDefault="00E87995" w:rsidP="00FE7C1C">
            <w:pPr>
              <w:pStyle w:val="TableTextBold"/>
              <w:keepNext/>
              <w:spacing w:before="40" w:after="40"/>
              <w:jc w:val="right"/>
              <w:rPr>
                <w:noProof w:val="0"/>
                <w:color w:val="FFFFFF" w:themeColor="background1"/>
              </w:rPr>
            </w:pPr>
            <w:r w:rsidRPr="009E06AA">
              <w:rPr>
                <w:noProof w:val="0"/>
                <w:color w:val="FFFFFF" w:themeColor="background1"/>
              </w:rPr>
              <w:t>Emissions (kt CO₂-e)</w:t>
            </w:r>
          </w:p>
        </w:tc>
        <w:tc>
          <w:tcPr>
            <w:tcW w:w="0" w:type="auto"/>
            <w:shd w:val="clear" w:color="auto" w:fill="1B556B"/>
            <w:tcMar>
              <w:top w:w="0" w:type="dxa"/>
              <w:left w:w="85" w:type="dxa"/>
              <w:bottom w:w="0" w:type="dxa"/>
              <w:right w:w="85" w:type="dxa"/>
            </w:tcMar>
          </w:tcPr>
          <w:p w14:paraId="7314C20E" w14:textId="77777777" w:rsidR="00E87995" w:rsidRPr="009E06AA" w:rsidRDefault="00E87995" w:rsidP="00FE7C1C">
            <w:pPr>
              <w:pStyle w:val="TableTextBold"/>
              <w:keepNext/>
              <w:spacing w:before="40" w:after="40"/>
              <w:jc w:val="right"/>
              <w:rPr>
                <w:noProof w:val="0"/>
                <w:color w:val="FFFFFF" w:themeColor="background1"/>
              </w:rPr>
            </w:pPr>
            <w:r w:rsidRPr="009E06AA">
              <w:rPr>
                <w:noProof w:val="0"/>
                <w:color w:val="FFFFFF" w:themeColor="background1"/>
              </w:rPr>
              <w:t>Difference (kt CO₂-e)</w:t>
            </w:r>
          </w:p>
        </w:tc>
        <w:tc>
          <w:tcPr>
            <w:tcW w:w="0" w:type="auto"/>
            <w:shd w:val="clear" w:color="auto" w:fill="1B556B"/>
            <w:tcMar>
              <w:top w:w="0" w:type="dxa"/>
              <w:left w:w="85" w:type="dxa"/>
              <w:bottom w:w="0" w:type="dxa"/>
              <w:right w:w="85" w:type="dxa"/>
            </w:tcMar>
          </w:tcPr>
          <w:p w14:paraId="7E6597EE" w14:textId="77777777" w:rsidR="00E87995" w:rsidRPr="009E06AA" w:rsidRDefault="00E87995" w:rsidP="00FE7C1C">
            <w:pPr>
              <w:pStyle w:val="TableTextBold"/>
              <w:keepNext/>
              <w:spacing w:before="40" w:after="40"/>
              <w:jc w:val="right"/>
              <w:rPr>
                <w:noProof w:val="0"/>
                <w:color w:val="FFFFFF" w:themeColor="background1"/>
              </w:rPr>
            </w:pPr>
            <w:r w:rsidRPr="009E06AA">
              <w:rPr>
                <w:noProof w:val="0"/>
                <w:color w:val="FFFFFF" w:themeColor="background1"/>
              </w:rPr>
              <w:t>Change (%)</w:t>
            </w:r>
          </w:p>
        </w:tc>
      </w:tr>
      <w:tr w:rsidR="003711BE" w:rsidRPr="009E06AA" w14:paraId="00FFFCD9" w14:textId="77777777" w:rsidTr="00B55F24">
        <w:tc>
          <w:tcPr>
            <w:tcW w:w="0" w:type="auto"/>
            <w:shd w:val="clear" w:color="auto" w:fill="FFFFFF"/>
            <w:tcMar>
              <w:top w:w="0" w:type="dxa"/>
              <w:left w:w="85" w:type="dxa"/>
              <w:bottom w:w="0" w:type="dxa"/>
              <w:right w:w="85" w:type="dxa"/>
            </w:tcMar>
          </w:tcPr>
          <w:p w14:paraId="1C995925" w14:textId="77777777" w:rsidR="00E87995" w:rsidRPr="009E06AA" w:rsidRDefault="00E87995" w:rsidP="00B55F24">
            <w:pPr>
              <w:pStyle w:val="TableText"/>
              <w:keepNext/>
              <w:spacing w:before="40" w:after="40"/>
              <w:rPr>
                <w:b/>
                <w:bCs/>
              </w:rPr>
            </w:pPr>
            <w:r w:rsidRPr="009E06AA">
              <w:rPr>
                <w:b/>
                <w:bCs/>
              </w:rPr>
              <w:t>Source category</w:t>
            </w:r>
          </w:p>
        </w:tc>
        <w:tc>
          <w:tcPr>
            <w:tcW w:w="0" w:type="auto"/>
            <w:shd w:val="clear" w:color="auto" w:fill="FFFFFF"/>
            <w:tcMar>
              <w:top w:w="0" w:type="dxa"/>
              <w:left w:w="85" w:type="dxa"/>
              <w:bottom w:w="0" w:type="dxa"/>
              <w:right w:w="85" w:type="dxa"/>
            </w:tcMar>
          </w:tcPr>
          <w:p w14:paraId="41FDA261" w14:textId="77777777" w:rsidR="00E87995" w:rsidRPr="009E06AA" w:rsidRDefault="00E87995" w:rsidP="00FE7C1C">
            <w:pPr>
              <w:pStyle w:val="TableText"/>
              <w:keepNext/>
              <w:spacing w:before="40" w:after="40"/>
              <w:jc w:val="right"/>
              <w:rPr>
                <w:b/>
                <w:bCs/>
              </w:rPr>
            </w:pPr>
            <w:r w:rsidRPr="009E06AA">
              <w:rPr>
                <w:b/>
                <w:bCs/>
              </w:rPr>
              <w:t>1990</w:t>
            </w:r>
          </w:p>
        </w:tc>
        <w:tc>
          <w:tcPr>
            <w:tcW w:w="0" w:type="auto"/>
            <w:shd w:val="clear" w:color="auto" w:fill="FFFFFF"/>
            <w:tcMar>
              <w:top w:w="0" w:type="dxa"/>
              <w:left w:w="85" w:type="dxa"/>
              <w:bottom w:w="0" w:type="dxa"/>
              <w:right w:w="85" w:type="dxa"/>
            </w:tcMar>
          </w:tcPr>
          <w:p w14:paraId="3A4B3715" w14:textId="77777777" w:rsidR="00E87995" w:rsidRPr="009E06AA" w:rsidRDefault="00E87995" w:rsidP="00FE7C1C">
            <w:pPr>
              <w:pStyle w:val="TableText"/>
              <w:keepNext/>
              <w:spacing w:before="40" w:after="40"/>
              <w:jc w:val="right"/>
              <w:rPr>
                <w:b/>
                <w:bCs/>
              </w:rPr>
            </w:pPr>
            <w:r w:rsidRPr="009E06AA">
              <w:rPr>
                <w:rFonts w:eastAsia="Calibri" w:cs="Calibri"/>
                <w:b/>
                <w:bCs/>
                <w:szCs w:val="16"/>
              </w:rPr>
              <w:t>2022</w:t>
            </w:r>
          </w:p>
        </w:tc>
        <w:tc>
          <w:tcPr>
            <w:tcW w:w="0" w:type="auto"/>
            <w:shd w:val="clear" w:color="auto" w:fill="FFFFFF"/>
            <w:tcMar>
              <w:top w:w="0" w:type="dxa"/>
              <w:left w:w="85" w:type="dxa"/>
              <w:bottom w:w="0" w:type="dxa"/>
              <w:right w:w="85" w:type="dxa"/>
            </w:tcMar>
          </w:tcPr>
          <w:p w14:paraId="728D0448" w14:textId="77777777" w:rsidR="00E87995" w:rsidRPr="009E06AA" w:rsidRDefault="00E87995" w:rsidP="00FE7C1C">
            <w:pPr>
              <w:pStyle w:val="TableText"/>
              <w:keepNext/>
              <w:spacing w:before="40" w:after="40"/>
              <w:jc w:val="right"/>
              <w:rPr>
                <w:b/>
                <w:bCs/>
              </w:rPr>
            </w:pPr>
            <w:r w:rsidRPr="009E06AA">
              <w:rPr>
                <w:b/>
                <w:bCs/>
              </w:rPr>
              <w:t>1990–</w:t>
            </w:r>
            <w:r w:rsidRPr="009E06AA">
              <w:rPr>
                <w:rFonts w:eastAsia="Calibri" w:cs="Calibri"/>
                <w:b/>
                <w:bCs/>
                <w:szCs w:val="16"/>
              </w:rPr>
              <w:t>2022</w:t>
            </w:r>
          </w:p>
        </w:tc>
        <w:tc>
          <w:tcPr>
            <w:tcW w:w="0" w:type="auto"/>
            <w:shd w:val="clear" w:color="auto" w:fill="FFFFFF"/>
            <w:tcMar>
              <w:top w:w="0" w:type="dxa"/>
              <w:left w:w="85" w:type="dxa"/>
              <w:bottom w:w="0" w:type="dxa"/>
              <w:right w:w="85" w:type="dxa"/>
            </w:tcMar>
          </w:tcPr>
          <w:p w14:paraId="26EA2E53" w14:textId="77777777" w:rsidR="00E87995" w:rsidRPr="009E06AA" w:rsidRDefault="00E87995" w:rsidP="00FE7C1C">
            <w:pPr>
              <w:pStyle w:val="TableText"/>
              <w:keepNext/>
              <w:spacing w:before="40" w:after="40"/>
              <w:jc w:val="right"/>
              <w:rPr>
                <w:b/>
                <w:bCs/>
              </w:rPr>
            </w:pPr>
            <w:r w:rsidRPr="009E06AA">
              <w:rPr>
                <w:b/>
                <w:bCs/>
              </w:rPr>
              <w:t>1990–</w:t>
            </w:r>
            <w:r w:rsidRPr="009E06AA">
              <w:rPr>
                <w:rFonts w:eastAsia="Calibri" w:cs="Calibri"/>
                <w:b/>
                <w:bCs/>
                <w:szCs w:val="16"/>
              </w:rPr>
              <w:t>2022</w:t>
            </w:r>
          </w:p>
        </w:tc>
      </w:tr>
      <w:tr w:rsidR="00E87995" w:rsidRPr="009E06AA" w14:paraId="67DADAE1" w14:textId="77777777" w:rsidTr="00B55F24">
        <w:tc>
          <w:tcPr>
            <w:tcW w:w="0" w:type="auto"/>
            <w:shd w:val="clear" w:color="auto" w:fill="FFFFFF"/>
            <w:tcMar>
              <w:top w:w="0" w:type="dxa"/>
              <w:left w:w="85" w:type="dxa"/>
              <w:bottom w:w="0" w:type="dxa"/>
              <w:right w:w="85" w:type="dxa"/>
            </w:tcMar>
          </w:tcPr>
          <w:p w14:paraId="7793CA60" w14:textId="77777777" w:rsidR="00E87995" w:rsidRPr="009E06AA" w:rsidRDefault="00E87995" w:rsidP="00B55F24">
            <w:pPr>
              <w:pStyle w:val="TableText"/>
              <w:keepNext/>
              <w:spacing w:before="40" w:after="40"/>
            </w:pPr>
            <w:r w:rsidRPr="009E06AA">
              <w:rPr>
                <w:color w:val="000000"/>
              </w:rPr>
              <w:t>Incineration (5.C.1)</w:t>
            </w:r>
          </w:p>
        </w:tc>
        <w:tc>
          <w:tcPr>
            <w:tcW w:w="0" w:type="auto"/>
            <w:shd w:val="clear" w:color="auto" w:fill="FFFFFF"/>
            <w:tcMar>
              <w:top w:w="0" w:type="dxa"/>
              <w:left w:w="85" w:type="dxa"/>
              <w:bottom w:w="0" w:type="dxa"/>
              <w:right w:w="85" w:type="dxa"/>
            </w:tcMar>
          </w:tcPr>
          <w:p w14:paraId="7BC7B1E5" w14:textId="77777777" w:rsidR="00E87995" w:rsidRPr="009E06AA" w:rsidRDefault="00E87995" w:rsidP="00FE7C1C">
            <w:pPr>
              <w:pStyle w:val="TableText"/>
              <w:keepNext/>
              <w:spacing w:before="40" w:after="40"/>
              <w:jc w:val="right"/>
            </w:pPr>
            <w:r w:rsidRPr="009E06AA">
              <w:rPr>
                <w:color w:val="000000"/>
              </w:rPr>
              <w:t>14.</w:t>
            </w:r>
            <w:r w:rsidRPr="009E06AA">
              <w:rPr>
                <w:rFonts w:eastAsia="Calibri" w:cs="Calibri"/>
                <w:color w:val="000000"/>
                <w:szCs w:val="16"/>
              </w:rPr>
              <w:t>6</w:t>
            </w:r>
          </w:p>
        </w:tc>
        <w:tc>
          <w:tcPr>
            <w:tcW w:w="0" w:type="auto"/>
            <w:shd w:val="clear" w:color="auto" w:fill="FFFFFF"/>
            <w:tcMar>
              <w:top w:w="0" w:type="dxa"/>
              <w:left w:w="85" w:type="dxa"/>
              <w:bottom w:w="0" w:type="dxa"/>
              <w:right w:w="85" w:type="dxa"/>
            </w:tcMar>
          </w:tcPr>
          <w:p w14:paraId="37008EA9" w14:textId="77777777" w:rsidR="00E87995" w:rsidRPr="009E06AA" w:rsidRDefault="00E87995" w:rsidP="00FE7C1C">
            <w:pPr>
              <w:pStyle w:val="TableText"/>
              <w:keepNext/>
              <w:spacing w:before="40" w:after="40"/>
              <w:jc w:val="right"/>
            </w:pPr>
            <w:r w:rsidRPr="009E06AA">
              <w:rPr>
                <w:color w:val="000000"/>
              </w:rPr>
              <w:t>2.</w:t>
            </w:r>
            <w:r w:rsidRPr="009E06AA">
              <w:rPr>
                <w:rFonts w:eastAsia="Calibri" w:cs="Calibri"/>
                <w:color w:val="000000"/>
                <w:szCs w:val="16"/>
              </w:rPr>
              <w:t>3</w:t>
            </w:r>
          </w:p>
        </w:tc>
        <w:tc>
          <w:tcPr>
            <w:tcW w:w="0" w:type="auto"/>
            <w:shd w:val="clear" w:color="auto" w:fill="FFFFFF"/>
            <w:tcMar>
              <w:top w:w="0" w:type="dxa"/>
              <w:left w:w="85" w:type="dxa"/>
              <w:bottom w:w="0" w:type="dxa"/>
              <w:right w:w="85" w:type="dxa"/>
            </w:tcMar>
          </w:tcPr>
          <w:p w14:paraId="2B6DB599" w14:textId="77777777" w:rsidR="00E87995" w:rsidRPr="009E06AA" w:rsidRDefault="00E87995" w:rsidP="00FE7C1C">
            <w:pPr>
              <w:pStyle w:val="TableText"/>
              <w:keepNext/>
              <w:spacing w:before="40" w:after="40"/>
              <w:jc w:val="right"/>
            </w:pPr>
            <w:r w:rsidRPr="009E06AA">
              <w:rPr>
                <w:color w:val="000000"/>
              </w:rPr>
              <w:t>-12.3</w:t>
            </w:r>
          </w:p>
        </w:tc>
        <w:tc>
          <w:tcPr>
            <w:tcW w:w="0" w:type="auto"/>
            <w:shd w:val="clear" w:color="auto" w:fill="FFFFFF"/>
            <w:tcMar>
              <w:top w:w="0" w:type="dxa"/>
              <w:left w:w="85" w:type="dxa"/>
              <w:bottom w:w="0" w:type="dxa"/>
              <w:right w:w="85" w:type="dxa"/>
            </w:tcMar>
          </w:tcPr>
          <w:p w14:paraId="2ADC7E02" w14:textId="77777777" w:rsidR="00E87995" w:rsidRPr="009E06AA" w:rsidRDefault="00E87995" w:rsidP="00FE7C1C">
            <w:pPr>
              <w:pStyle w:val="TableText"/>
              <w:keepNext/>
              <w:spacing w:before="40" w:after="40"/>
              <w:jc w:val="right"/>
            </w:pPr>
            <w:r w:rsidRPr="009E06AA">
              <w:rPr>
                <w:color w:val="000000"/>
              </w:rPr>
              <w:t>-</w:t>
            </w:r>
            <w:r w:rsidRPr="009E06AA">
              <w:rPr>
                <w:rFonts w:eastAsia="Calibri" w:cs="Calibri"/>
                <w:color w:val="000000"/>
                <w:szCs w:val="16"/>
              </w:rPr>
              <w:t>84.2</w:t>
            </w:r>
          </w:p>
        </w:tc>
      </w:tr>
      <w:tr w:rsidR="00E87995" w:rsidRPr="009E06AA" w14:paraId="2C9DCDF5" w14:textId="77777777" w:rsidTr="00B55F24">
        <w:tc>
          <w:tcPr>
            <w:tcW w:w="0" w:type="auto"/>
            <w:shd w:val="clear" w:color="auto" w:fill="FFFFFF"/>
            <w:tcMar>
              <w:top w:w="0" w:type="dxa"/>
              <w:left w:w="85" w:type="dxa"/>
              <w:bottom w:w="0" w:type="dxa"/>
              <w:right w:w="85" w:type="dxa"/>
            </w:tcMar>
          </w:tcPr>
          <w:p w14:paraId="520BE6DE" w14:textId="77777777" w:rsidR="00E87995" w:rsidRPr="009E06AA" w:rsidRDefault="00E87995" w:rsidP="00B55F24">
            <w:pPr>
              <w:pStyle w:val="TableText"/>
              <w:spacing w:before="40" w:after="40"/>
            </w:pPr>
            <w:r w:rsidRPr="009E06AA">
              <w:rPr>
                <w:color w:val="000000"/>
              </w:rPr>
              <w:t>Open burning (5.C.2)</w:t>
            </w:r>
          </w:p>
        </w:tc>
        <w:tc>
          <w:tcPr>
            <w:tcW w:w="0" w:type="auto"/>
            <w:shd w:val="clear" w:color="auto" w:fill="FFFFFF"/>
            <w:tcMar>
              <w:top w:w="0" w:type="dxa"/>
              <w:left w:w="85" w:type="dxa"/>
              <w:bottom w:w="0" w:type="dxa"/>
              <w:right w:w="85" w:type="dxa"/>
            </w:tcMar>
          </w:tcPr>
          <w:p w14:paraId="2DA4B987" w14:textId="77777777" w:rsidR="00E87995" w:rsidRPr="009E06AA" w:rsidRDefault="00E87995" w:rsidP="00FE7C1C">
            <w:pPr>
              <w:pStyle w:val="TableText"/>
              <w:spacing w:before="40" w:after="40"/>
              <w:jc w:val="right"/>
            </w:pPr>
            <w:r w:rsidRPr="009E06AA">
              <w:rPr>
                <w:rFonts w:eastAsia="Calibri" w:cs="Calibri"/>
                <w:color w:val="000000"/>
                <w:szCs w:val="16"/>
              </w:rPr>
              <w:t>304.8</w:t>
            </w:r>
          </w:p>
        </w:tc>
        <w:tc>
          <w:tcPr>
            <w:tcW w:w="0" w:type="auto"/>
            <w:shd w:val="clear" w:color="auto" w:fill="FFFFFF"/>
            <w:tcMar>
              <w:top w:w="0" w:type="dxa"/>
              <w:left w:w="85" w:type="dxa"/>
              <w:bottom w:w="0" w:type="dxa"/>
              <w:right w:w="85" w:type="dxa"/>
            </w:tcMar>
          </w:tcPr>
          <w:p w14:paraId="236E3295" w14:textId="77777777" w:rsidR="00E87995" w:rsidRPr="009E06AA" w:rsidRDefault="00E87995" w:rsidP="00FE7C1C">
            <w:pPr>
              <w:pStyle w:val="TableText"/>
              <w:spacing w:before="40" w:after="40"/>
              <w:jc w:val="right"/>
            </w:pPr>
            <w:r w:rsidRPr="009E06AA">
              <w:rPr>
                <w:rFonts w:eastAsia="Calibri" w:cs="Calibri"/>
                <w:color w:val="000000"/>
                <w:szCs w:val="16"/>
              </w:rPr>
              <w:t>178.3</w:t>
            </w:r>
          </w:p>
        </w:tc>
        <w:tc>
          <w:tcPr>
            <w:tcW w:w="0" w:type="auto"/>
            <w:shd w:val="clear" w:color="auto" w:fill="FFFFFF"/>
            <w:tcMar>
              <w:top w:w="0" w:type="dxa"/>
              <w:left w:w="85" w:type="dxa"/>
              <w:bottom w:w="0" w:type="dxa"/>
              <w:right w:w="85" w:type="dxa"/>
            </w:tcMar>
          </w:tcPr>
          <w:p w14:paraId="55973CFE" w14:textId="77777777" w:rsidR="00E87995" w:rsidRPr="009E06AA" w:rsidRDefault="00E87995" w:rsidP="00FE7C1C">
            <w:pPr>
              <w:pStyle w:val="TableText"/>
              <w:spacing w:before="40" w:after="40"/>
              <w:jc w:val="right"/>
            </w:pPr>
            <w:r w:rsidRPr="009E06AA">
              <w:rPr>
                <w:color w:val="000000"/>
              </w:rPr>
              <w:t>-</w:t>
            </w:r>
            <w:r w:rsidRPr="009E06AA">
              <w:rPr>
                <w:rFonts w:eastAsia="Calibri" w:cs="Calibri"/>
                <w:color w:val="000000"/>
                <w:szCs w:val="16"/>
              </w:rPr>
              <w:t>126.5</w:t>
            </w:r>
          </w:p>
        </w:tc>
        <w:tc>
          <w:tcPr>
            <w:tcW w:w="0" w:type="auto"/>
            <w:shd w:val="clear" w:color="auto" w:fill="FFFFFF"/>
            <w:tcMar>
              <w:top w:w="0" w:type="dxa"/>
              <w:left w:w="85" w:type="dxa"/>
              <w:bottom w:w="0" w:type="dxa"/>
              <w:right w:w="85" w:type="dxa"/>
            </w:tcMar>
          </w:tcPr>
          <w:p w14:paraId="260BC553" w14:textId="77777777" w:rsidR="00E87995" w:rsidRPr="009E06AA" w:rsidRDefault="00E87995" w:rsidP="00FE7C1C">
            <w:pPr>
              <w:pStyle w:val="TableText"/>
              <w:spacing w:before="40" w:after="40"/>
              <w:jc w:val="right"/>
            </w:pPr>
            <w:r w:rsidRPr="009E06AA">
              <w:rPr>
                <w:color w:val="000000"/>
              </w:rPr>
              <w:t>-</w:t>
            </w:r>
            <w:r w:rsidRPr="009E06AA">
              <w:rPr>
                <w:rFonts w:eastAsia="Calibri" w:cs="Calibri"/>
                <w:color w:val="000000"/>
                <w:szCs w:val="16"/>
              </w:rPr>
              <w:t>41.5</w:t>
            </w:r>
          </w:p>
        </w:tc>
      </w:tr>
      <w:tr w:rsidR="00E87995" w:rsidRPr="009E06AA" w14:paraId="4F07302D" w14:textId="77777777" w:rsidTr="00B55F24">
        <w:tc>
          <w:tcPr>
            <w:tcW w:w="0" w:type="auto"/>
            <w:shd w:val="clear" w:color="auto" w:fill="FFFFFF"/>
            <w:tcMar>
              <w:top w:w="0" w:type="dxa"/>
              <w:left w:w="85" w:type="dxa"/>
              <w:bottom w:w="0" w:type="dxa"/>
              <w:right w:w="85" w:type="dxa"/>
            </w:tcMar>
          </w:tcPr>
          <w:p w14:paraId="3CF2EA73" w14:textId="77777777" w:rsidR="00E87995" w:rsidRPr="009E06AA" w:rsidRDefault="00E87995" w:rsidP="00B55F24">
            <w:pPr>
              <w:pStyle w:val="Tableboldblue"/>
              <w:spacing w:before="40" w:after="40"/>
            </w:pPr>
            <w:r w:rsidRPr="009E06AA">
              <w:t>Total (5.C)</w:t>
            </w:r>
          </w:p>
        </w:tc>
        <w:tc>
          <w:tcPr>
            <w:tcW w:w="0" w:type="auto"/>
            <w:shd w:val="clear" w:color="auto" w:fill="FFFFFF"/>
            <w:tcMar>
              <w:top w:w="0" w:type="dxa"/>
              <w:left w:w="85" w:type="dxa"/>
              <w:bottom w:w="0" w:type="dxa"/>
              <w:right w:w="85" w:type="dxa"/>
            </w:tcMar>
          </w:tcPr>
          <w:p w14:paraId="4E190B54" w14:textId="77777777" w:rsidR="00E87995" w:rsidRPr="009E06AA" w:rsidRDefault="00E87995" w:rsidP="00FE7C1C">
            <w:pPr>
              <w:pStyle w:val="Tableboldblue"/>
              <w:spacing w:before="40" w:after="40"/>
              <w:jc w:val="right"/>
            </w:pPr>
            <w:r w:rsidRPr="009E06AA">
              <w:rPr>
                <w:rFonts w:eastAsia="Calibri" w:cs="Calibri"/>
                <w:szCs w:val="16"/>
              </w:rPr>
              <w:t>319.3</w:t>
            </w:r>
          </w:p>
        </w:tc>
        <w:tc>
          <w:tcPr>
            <w:tcW w:w="0" w:type="auto"/>
            <w:shd w:val="clear" w:color="auto" w:fill="FFFFFF"/>
            <w:tcMar>
              <w:top w:w="0" w:type="dxa"/>
              <w:left w:w="85" w:type="dxa"/>
              <w:bottom w:w="0" w:type="dxa"/>
              <w:right w:w="85" w:type="dxa"/>
            </w:tcMar>
          </w:tcPr>
          <w:p w14:paraId="31D46F48" w14:textId="77777777" w:rsidR="00E87995" w:rsidRPr="009E06AA" w:rsidRDefault="00E87995" w:rsidP="00FE7C1C">
            <w:pPr>
              <w:pStyle w:val="Tableboldblue"/>
              <w:spacing w:before="40" w:after="40"/>
              <w:jc w:val="right"/>
            </w:pPr>
            <w:r w:rsidRPr="009E06AA">
              <w:rPr>
                <w:rFonts w:eastAsia="Calibri" w:cs="Calibri"/>
                <w:szCs w:val="16"/>
              </w:rPr>
              <w:t>180.6</w:t>
            </w:r>
          </w:p>
        </w:tc>
        <w:tc>
          <w:tcPr>
            <w:tcW w:w="0" w:type="auto"/>
            <w:shd w:val="clear" w:color="auto" w:fill="FFFFFF"/>
            <w:tcMar>
              <w:top w:w="0" w:type="dxa"/>
              <w:left w:w="85" w:type="dxa"/>
              <w:bottom w:w="0" w:type="dxa"/>
              <w:right w:w="85" w:type="dxa"/>
            </w:tcMar>
          </w:tcPr>
          <w:p w14:paraId="3DBDE7DC" w14:textId="77777777" w:rsidR="00E87995" w:rsidRPr="009E06AA" w:rsidRDefault="00E87995" w:rsidP="00FE7C1C">
            <w:pPr>
              <w:pStyle w:val="Tableboldblue"/>
              <w:spacing w:before="40" w:after="40"/>
              <w:jc w:val="right"/>
            </w:pPr>
            <w:r w:rsidRPr="009E06AA">
              <w:t>-</w:t>
            </w:r>
            <w:r w:rsidRPr="009E06AA">
              <w:rPr>
                <w:rFonts w:eastAsia="Calibri" w:cs="Calibri"/>
                <w:szCs w:val="16"/>
              </w:rPr>
              <w:t>138.8</w:t>
            </w:r>
          </w:p>
        </w:tc>
        <w:tc>
          <w:tcPr>
            <w:tcW w:w="0" w:type="auto"/>
            <w:shd w:val="clear" w:color="auto" w:fill="FFFFFF"/>
            <w:tcMar>
              <w:top w:w="0" w:type="dxa"/>
              <w:left w:w="85" w:type="dxa"/>
              <w:bottom w:w="0" w:type="dxa"/>
              <w:right w:w="85" w:type="dxa"/>
            </w:tcMar>
          </w:tcPr>
          <w:p w14:paraId="3974C06F" w14:textId="77777777" w:rsidR="00E87995" w:rsidRPr="009E06AA" w:rsidRDefault="00E87995" w:rsidP="00FE7C1C">
            <w:pPr>
              <w:pStyle w:val="Tableboldblue"/>
              <w:spacing w:before="40" w:after="40"/>
              <w:jc w:val="right"/>
            </w:pPr>
            <w:r w:rsidRPr="009E06AA">
              <w:t>-</w:t>
            </w:r>
            <w:r w:rsidRPr="009E06AA">
              <w:rPr>
                <w:rFonts w:eastAsia="Calibri" w:cs="Calibri"/>
                <w:szCs w:val="16"/>
              </w:rPr>
              <w:t>43.5</w:t>
            </w:r>
          </w:p>
        </w:tc>
      </w:tr>
    </w:tbl>
    <w:p w14:paraId="61CFFD9F" w14:textId="77777777" w:rsidR="00E87995" w:rsidRPr="009E06AA" w:rsidRDefault="00E87995" w:rsidP="00E87995">
      <w:pPr>
        <w:pStyle w:val="Noteundertable"/>
      </w:pPr>
      <w:r w:rsidRPr="009E06AA">
        <w:rPr>
          <w:b/>
          <w:bCs/>
        </w:rPr>
        <w:t>Note:</w:t>
      </w:r>
      <w:r w:rsidRPr="009E06AA">
        <w:tab/>
        <w:t>Percentages presented are calculated from unrounded values.</w:t>
      </w:r>
    </w:p>
    <w:p w14:paraId="03419D59" w14:textId="77777777" w:rsidR="00E87995" w:rsidRPr="009E06AA" w:rsidRDefault="00E87995" w:rsidP="00E87995">
      <w:pPr>
        <w:pStyle w:val="BodyText"/>
      </w:pPr>
      <w:r w:rsidRPr="009E06AA">
        <w:t xml:space="preserve">Carbon dioxide emissions from the </w:t>
      </w:r>
      <w:r w:rsidRPr="009E06AA">
        <w:rPr>
          <w:i/>
          <w:iCs/>
        </w:rPr>
        <w:t>Incineration and open burning of waste</w:t>
      </w:r>
      <w:r w:rsidRPr="009E06AA">
        <w:t xml:space="preserve"> source category were identified as a key category in the 2022 trend assessment.</w:t>
      </w:r>
    </w:p>
    <w:p w14:paraId="073E17FB" w14:textId="77777777" w:rsidR="00E87995" w:rsidRPr="009E06AA" w:rsidRDefault="00E87995" w:rsidP="00E87995">
      <w:pPr>
        <w:pStyle w:val="Heading3"/>
      </w:pPr>
      <w:bookmarkStart w:id="2924" w:name="_Toc160537243"/>
      <w:bookmarkStart w:id="2925" w:name="methodological-issues-2"/>
      <w:bookmarkEnd w:id="2918"/>
      <w:r w:rsidRPr="009E06AA">
        <w:t xml:space="preserve">7.4.2 </w:t>
      </w:r>
      <w:r w:rsidRPr="009E06AA">
        <w:tab/>
        <w:t>Methodological issues</w:t>
      </w:r>
      <w:bookmarkEnd w:id="2924"/>
    </w:p>
    <w:p w14:paraId="742AB7F2" w14:textId="77777777" w:rsidR="00E87995" w:rsidRPr="009E06AA" w:rsidRDefault="00E87995" w:rsidP="00E87995">
      <w:pPr>
        <w:pStyle w:val="Heading4"/>
      </w:pPr>
      <w:bookmarkStart w:id="2926" w:name="choice-of-activity-data-2"/>
      <w:r w:rsidRPr="009E06AA">
        <w:t>Choice of activity data</w:t>
      </w:r>
    </w:p>
    <w:p w14:paraId="25DFC5DA" w14:textId="77777777" w:rsidR="00E87995" w:rsidRPr="009E06AA" w:rsidRDefault="00E87995" w:rsidP="00BF2A76">
      <w:pPr>
        <w:pStyle w:val="Heading5"/>
      </w:pPr>
      <w:bookmarkStart w:id="2927" w:name="incineration-5.c.1"/>
      <w:r w:rsidRPr="009E06AA">
        <w:t>Incineration (5.C.1)</w:t>
      </w:r>
    </w:p>
    <w:p w14:paraId="14B60BFF" w14:textId="77777777" w:rsidR="00E87995" w:rsidRPr="009E06AA" w:rsidRDefault="00E87995" w:rsidP="00E87995">
      <w:pPr>
        <w:pStyle w:val="BodyText"/>
      </w:pPr>
      <w:r w:rsidRPr="009E06AA">
        <w:t>Limited information was available from individual site operators on the amount of waste burned between 1990 and 2008. For most sites, these activity data needed to be inferred because the only evidence available was the capacity of equipment and the amounts allowed by consent conditions. For the years after 2008, it has generally been assumed that facilities are continuing in operation at the same rates, in the absence of better information.</w:t>
      </w:r>
    </w:p>
    <w:p w14:paraId="26F6FA46" w14:textId="77777777" w:rsidR="00E87995" w:rsidRPr="009E06AA" w:rsidRDefault="00E87995" w:rsidP="00E87995">
      <w:pPr>
        <w:pStyle w:val="BodyText"/>
      </w:pPr>
      <w:r w:rsidRPr="009E06AA">
        <w:t>Table 7.4.2 presents activity data for incineration.</w:t>
      </w:r>
    </w:p>
    <w:p w14:paraId="6BEC1197" w14:textId="7EED7575" w:rsidR="00E87995" w:rsidRPr="009E06AA" w:rsidRDefault="00E87995" w:rsidP="00E87995">
      <w:pPr>
        <w:pStyle w:val="Table"/>
      </w:pPr>
      <w:bookmarkStart w:id="2928" w:name="_Toc128383674"/>
      <w:bookmarkStart w:id="2929" w:name="_Toc131591447"/>
      <w:bookmarkStart w:id="2930" w:name="_Toc160537326"/>
      <w:bookmarkStart w:id="2931" w:name="_Toc160537688"/>
      <w:bookmarkStart w:id="2932" w:name="_Toc164153938"/>
      <w:r w:rsidRPr="009E06AA">
        <w:t>Table 7.4.2</w:t>
      </w:r>
      <w:r w:rsidRPr="009E06AA">
        <w:tab/>
        <w:t>Amounts of waste incinerated</w:t>
      </w:r>
      <w:r w:rsidR="00E94383" w:rsidRPr="009E06AA">
        <w:t>,</w:t>
      </w:r>
      <w:r w:rsidRPr="009E06AA">
        <w:t xml:space="preserve"> from </w:t>
      </w:r>
      <w:r w:rsidRPr="009E06AA">
        <w:rPr>
          <w:bCs/>
        </w:rPr>
        <w:t>1990</w:t>
      </w:r>
      <w:r w:rsidRPr="009E06AA">
        <w:t> to </w:t>
      </w:r>
      <w:bookmarkEnd w:id="2928"/>
      <w:bookmarkEnd w:id="2929"/>
      <w:r w:rsidRPr="009E06AA">
        <w:rPr>
          <w:bCs/>
        </w:rPr>
        <w:t>2022</w:t>
      </w:r>
      <w:bookmarkEnd w:id="2930"/>
      <w:bookmarkEnd w:id="2931"/>
      <w:bookmarkEnd w:id="2932"/>
    </w:p>
    <w:tbl>
      <w:tblPr>
        <w:tblW w:w="8494" w:type="dxa"/>
        <w:tblBorders>
          <w:top w:val="single" w:sz="4" w:space="0" w:color="1B556B" w:themeColor="text2"/>
          <w:bottom w:val="single" w:sz="4" w:space="0" w:color="1B556B" w:themeColor="text2"/>
          <w:insideH w:val="single" w:sz="4" w:space="0" w:color="1B556B" w:themeColor="text2"/>
        </w:tblBorders>
        <w:tblLook w:val="0420" w:firstRow="1" w:lastRow="0" w:firstColumn="0" w:lastColumn="0" w:noHBand="0" w:noVBand="1"/>
      </w:tblPr>
      <w:tblGrid>
        <w:gridCol w:w="604"/>
        <w:gridCol w:w="1720"/>
        <w:gridCol w:w="1998"/>
        <w:gridCol w:w="1728"/>
        <w:gridCol w:w="2444"/>
      </w:tblGrid>
      <w:tr w:rsidR="00E87995" w:rsidRPr="009E06AA" w14:paraId="007571B3" w14:textId="77777777" w:rsidTr="00B55F24">
        <w:trPr>
          <w:tblHeader/>
        </w:trPr>
        <w:tc>
          <w:tcPr>
            <w:tcW w:w="0" w:type="auto"/>
            <w:shd w:val="clear" w:color="auto" w:fill="1B556B"/>
            <w:tcMar>
              <w:top w:w="0" w:type="dxa"/>
              <w:left w:w="85" w:type="dxa"/>
              <w:bottom w:w="0" w:type="dxa"/>
              <w:right w:w="85" w:type="dxa"/>
            </w:tcMar>
          </w:tcPr>
          <w:p w14:paraId="5A6BB69B" w14:textId="77777777" w:rsidR="00E87995" w:rsidRPr="009E06AA" w:rsidRDefault="00E87995" w:rsidP="00B55F24">
            <w:pPr>
              <w:pStyle w:val="TableTextBold"/>
              <w:spacing w:before="40" w:after="40"/>
              <w:rPr>
                <w:noProof w:val="0"/>
                <w:color w:val="FFFFFF" w:themeColor="background1"/>
              </w:rPr>
            </w:pPr>
            <w:r w:rsidRPr="009E06AA">
              <w:rPr>
                <w:noProof w:val="0"/>
                <w:color w:val="FFFFFF" w:themeColor="background1"/>
              </w:rPr>
              <w:t>Year</w:t>
            </w:r>
          </w:p>
        </w:tc>
        <w:tc>
          <w:tcPr>
            <w:tcW w:w="0" w:type="auto"/>
            <w:shd w:val="clear" w:color="auto" w:fill="1B556B"/>
            <w:tcMar>
              <w:top w:w="0" w:type="dxa"/>
              <w:left w:w="85" w:type="dxa"/>
              <w:bottom w:w="0" w:type="dxa"/>
              <w:right w:w="85" w:type="dxa"/>
            </w:tcMar>
          </w:tcPr>
          <w:p w14:paraId="71492FBF" w14:textId="77777777" w:rsidR="00E87995" w:rsidRPr="009E06AA" w:rsidRDefault="00E87995" w:rsidP="00FE7C1C">
            <w:pPr>
              <w:pStyle w:val="TableTextBold"/>
              <w:spacing w:before="40" w:after="40"/>
              <w:jc w:val="right"/>
              <w:rPr>
                <w:noProof w:val="0"/>
                <w:color w:val="FFFFFF" w:themeColor="background1"/>
              </w:rPr>
            </w:pPr>
            <w:r w:rsidRPr="009E06AA">
              <w:rPr>
                <w:noProof w:val="0"/>
                <w:color w:val="FFFFFF" w:themeColor="background1"/>
              </w:rPr>
              <w:t>Clinical wastes (kt)</w:t>
            </w:r>
          </w:p>
        </w:tc>
        <w:tc>
          <w:tcPr>
            <w:tcW w:w="0" w:type="auto"/>
            <w:shd w:val="clear" w:color="auto" w:fill="1B556B"/>
            <w:tcMar>
              <w:top w:w="0" w:type="dxa"/>
              <w:left w:w="85" w:type="dxa"/>
              <w:bottom w:w="0" w:type="dxa"/>
              <w:right w:w="85" w:type="dxa"/>
            </w:tcMar>
          </w:tcPr>
          <w:p w14:paraId="1FB9B19E" w14:textId="77777777" w:rsidR="00E87995" w:rsidRPr="009E06AA" w:rsidRDefault="00E87995" w:rsidP="00FE7C1C">
            <w:pPr>
              <w:pStyle w:val="TableTextBold"/>
              <w:spacing w:before="40" w:after="40"/>
              <w:jc w:val="right"/>
              <w:rPr>
                <w:noProof w:val="0"/>
                <w:color w:val="FFFFFF" w:themeColor="background1"/>
              </w:rPr>
            </w:pPr>
            <w:r w:rsidRPr="009E06AA">
              <w:rPr>
                <w:noProof w:val="0"/>
                <w:color w:val="FFFFFF" w:themeColor="background1"/>
              </w:rPr>
              <w:t>Hazardous wastes (kt)</w:t>
            </w:r>
          </w:p>
        </w:tc>
        <w:tc>
          <w:tcPr>
            <w:tcW w:w="0" w:type="auto"/>
            <w:shd w:val="clear" w:color="auto" w:fill="1B556B"/>
            <w:tcMar>
              <w:top w:w="0" w:type="dxa"/>
              <w:left w:w="85" w:type="dxa"/>
              <w:bottom w:w="0" w:type="dxa"/>
              <w:right w:w="85" w:type="dxa"/>
            </w:tcMar>
          </w:tcPr>
          <w:p w14:paraId="31DFBE5C" w14:textId="77777777" w:rsidR="00E87995" w:rsidRPr="009E06AA" w:rsidRDefault="00E87995" w:rsidP="00FE7C1C">
            <w:pPr>
              <w:pStyle w:val="TableTextBold"/>
              <w:spacing w:before="40" w:after="40"/>
              <w:jc w:val="right"/>
              <w:rPr>
                <w:noProof w:val="0"/>
                <w:color w:val="FFFFFF" w:themeColor="background1"/>
              </w:rPr>
            </w:pPr>
            <w:r w:rsidRPr="009E06AA">
              <w:rPr>
                <w:noProof w:val="0"/>
                <w:color w:val="FFFFFF" w:themeColor="background1"/>
              </w:rPr>
              <w:t>Sewage sludge (kt)</w:t>
            </w:r>
          </w:p>
        </w:tc>
        <w:tc>
          <w:tcPr>
            <w:tcW w:w="0" w:type="auto"/>
            <w:shd w:val="clear" w:color="auto" w:fill="1B556B"/>
            <w:tcMar>
              <w:top w:w="0" w:type="dxa"/>
              <w:left w:w="85" w:type="dxa"/>
              <w:bottom w:w="0" w:type="dxa"/>
              <w:right w:w="85" w:type="dxa"/>
            </w:tcMar>
          </w:tcPr>
          <w:p w14:paraId="6F969F98" w14:textId="77777777" w:rsidR="00E87995" w:rsidRPr="009E06AA" w:rsidRDefault="00E87995" w:rsidP="00FE7C1C">
            <w:pPr>
              <w:pStyle w:val="TableTextBold"/>
              <w:spacing w:before="40" w:after="40"/>
              <w:jc w:val="right"/>
              <w:rPr>
                <w:noProof w:val="0"/>
                <w:color w:val="FFFFFF" w:themeColor="background1"/>
              </w:rPr>
            </w:pPr>
            <w:r w:rsidRPr="009E06AA">
              <w:rPr>
                <w:noProof w:val="0"/>
                <w:color w:val="FFFFFF" w:themeColor="background1"/>
              </w:rPr>
              <w:t>Total waste incinerated (kt)</w:t>
            </w:r>
          </w:p>
        </w:tc>
      </w:tr>
      <w:tr w:rsidR="00E87995" w:rsidRPr="009E06AA" w14:paraId="0BC9FF5C" w14:textId="77777777" w:rsidTr="00B55F24">
        <w:tc>
          <w:tcPr>
            <w:tcW w:w="0" w:type="auto"/>
            <w:shd w:val="clear" w:color="auto" w:fill="FFFFFF"/>
            <w:tcMar>
              <w:top w:w="0" w:type="dxa"/>
              <w:left w:w="85" w:type="dxa"/>
              <w:bottom w:w="0" w:type="dxa"/>
              <w:right w:w="85" w:type="dxa"/>
            </w:tcMar>
          </w:tcPr>
          <w:p w14:paraId="34978DA9" w14:textId="77777777" w:rsidR="00E87995" w:rsidRPr="009E06AA" w:rsidRDefault="00E87995" w:rsidP="00B55F24">
            <w:pPr>
              <w:pStyle w:val="TableTextBold"/>
              <w:spacing w:before="40" w:after="40"/>
              <w:rPr>
                <w:noProof w:val="0"/>
              </w:rPr>
            </w:pPr>
            <w:r w:rsidRPr="009E06AA">
              <w:rPr>
                <w:noProof w:val="0"/>
                <w:color w:val="1B556B"/>
              </w:rPr>
              <w:t>1990</w:t>
            </w:r>
          </w:p>
        </w:tc>
        <w:tc>
          <w:tcPr>
            <w:tcW w:w="0" w:type="auto"/>
            <w:shd w:val="clear" w:color="auto" w:fill="FFFFFF"/>
            <w:tcMar>
              <w:top w:w="0" w:type="dxa"/>
              <w:left w:w="85" w:type="dxa"/>
              <w:bottom w:w="0" w:type="dxa"/>
              <w:right w:w="85" w:type="dxa"/>
            </w:tcMar>
          </w:tcPr>
          <w:p w14:paraId="352257A0" w14:textId="77777777" w:rsidR="00E87995" w:rsidRPr="009E06AA" w:rsidRDefault="00E87995" w:rsidP="00FE7C1C">
            <w:pPr>
              <w:pStyle w:val="TableText"/>
              <w:spacing w:before="40" w:after="40"/>
              <w:jc w:val="right"/>
            </w:pPr>
            <w:r w:rsidRPr="009E06AA">
              <w:rPr>
                <w:color w:val="000000"/>
              </w:rPr>
              <w:t>21.5</w:t>
            </w:r>
          </w:p>
        </w:tc>
        <w:tc>
          <w:tcPr>
            <w:tcW w:w="0" w:type="auto"/>
            <w:shd w:val="clear" w:color="auto" w:fill="FFFFFF"/>
            <w:tcMar>
              <w:top w:w="0" w:type="dxa"/>
              <w:left w:w="85" w:type="dxa"/>
              <w:bottom w:w="0" w:type="dxa"/>
              <w:right w:w="85" w:type="dxa"/>
            </w:tcMar>
          </w:tcPr>
          <w:p w14:paraId="01886231" w14:textId="77777777" w:rsidR="00E87995" w:rsidRPr="009E06AA" w:rsidRDefault="00E87995" w:rsidP="00FE7C1C">
            <w:pPr>
              <w:pStyle w:val="TableText"/>
              <w:spacing w:before="40" w:after="40"/>
              <w:jc w:val="right"/>
            </w:pPr>
            <w:r w:rsidRPr="009E06AA">
              <w:rPr>
                <w:color w:val="000000"/>
              </w:rPr>
              <w:t>0.3</w:t>
            </w:r>
          </w:p>
        </w:tc>
        <w:tc>
          <w:tcPr>
            <w:tcW w:w="0" w:type="auto"/>
            <w:shd w:val="clear" w:color="auto" w:fill="FFFFFF"/>
            <w:tcMar>
              <w:top w:w="0" w:type="dxa"/>
              <w:left w:w="85" w:type="dxa"/>
              <w:bottom w:w="0" w:type="dxa"/>
              <w:right w:w="85" w:type="dxa"/>
            </w:tcMar>
          </w:tcPr>
          <w:p w14:paraId="682BB173" w14:textId="77777777" w:rsidR="00E87995" w:rsidRPr="009E06AA" w:rsidRDefault="00E87995" w:rsidP="00FE7C1C">
            <w:pPr>
              <w:pStyle w:val="TableText"/>
              <w:spacing w:before="40" w:after="40"/>
              <w:jc w:val="right"/>
            </w:pPr>
            <w:r w:rsidRPr="009E06AA">
              <w:rPr>
                <w:color w:val="000000"/>
              </w:rPr>
              <w:t>4.4</w:t>
            </w:r>
          </w:p>
        </w:tc>
        <w:tc>
          <w:tcPr>
            <w:tcW w:w="0" w:type="auto"/>
            <w:shd w:val="clear" w:color="auto" w:fill="FFFFFF"/>
            <w:tcMar>
              <w:top w:w="0" w:type="dxa"/>
              <w:left w:w="85" w:type="dxa"/>
              <w:bottom w:w="0" w:type="dxa"/>
              <w:right w:w="85" w:type="dxa"/>
            </w:tcMar>
          </w:tcPr>
          <w:p w14:paraId="6F438173" w14:textId="77777777" w:rsidR="00E87995" w:rsidRPr="009E06AA" w:rsidRDefault="00E87995" w:rsidP="00FE7C1C">
            <w:pPr>
              <w:pStyle w:val="TableText"/>
              <w:spacing w:before="40" w:after="40"/>
              <w:jc w:val="right"/>
            </w:pPr>
            <w:r w:rsidRPr="009E06AA">
              <w:rPr>
                <w:color w:val="000000"/>
              </w:rPr>
              <w:t>26.2</w:t>
            </w:r>
          </w:p>
        </w:tc>
      </w:tr>
      <w:tr w:rsidR="00E87995" w:rsidRPr="009E06AA" w14:paraId="5FEFF6D6" w14:textId="77777777" w:rsidTr="00B55F24">
        <w:tc>
          <w:tcPr>
            <w:tcW w:w="0" w:type="auto"/>
            <w:shd w:val="clear" w:color="auto" w:fill="FFFFFF"/>
            <w:tcMar>
              <w:top w:w="0" w:type="dxa"/>
              <w:left w:w="85" w:type="dxa"/>
              <w:bottom w:w="0" w:type="dxa"/>
              <w:right w:w="85" w:type="dxa"/>
            </w:tcMar>
          </w:tcPr>
          <w:p w14:paraId="5F561329" w14:textId="77777777" w:rsidR="00E87995" w:rsidRPr="009E06AA" w:rsidRDefault="00E87995" w:rsidP="00B55F24">
            <w:pPr>
              <w:pStyle w:val="TableTextBold"/>
              <w:spacing w:before="40" w:after="40"/>
              <w:rPr>
                <w:noProof w:val="0"/>
              </w:rPr>
            </w:pPr>
            <w:r w:rsidRPr="009E06AA">
              <w:rPr>
                <w:noProof w:val="0"/>
                <w:color w:val="1B556B"/>
              </w:rPr>
              <w:t>1991</w:t>
            </w:r>
          </w:p>
        </w:tc>
        <w:tc>
          <w:tcPr>
            <w:tcW w:w="0" w:type="auto"/>
            <w:shd w:val="clear" w:color="auto" w:fill="FFFFFF"/>
            <w:tcMar>
              <w:top w:w="0" w:type="dxa"/>
              <w:left w:w="85" w:type="dxa"/>
              <w:bottom w:w="0" w:type="dxa"/>
              <w:right w:w="85" w:type="dxa"/>
            </w:tcMar>
          </w:tcPr>
          <w:p w14:paraId="0429E237" w14:textId="77777777" w:rsidR="00E87995" w:rsidRPr="009E06AA" w:rsidRDefault="00E87995" w:rsidP="00FE7C1C">
            <w:pPr>
              <w:pStyle w:val="TableText"/>
              <w:spacing w:before="40" w:after="40"/>
              <w:jc w:val="right"/>
            </w:pPr>
            <w:r w:rsidRPr="009E06AA">
              <w:rPr>
                <w:color w:val="000000"/>
              </w:rPr>
              <w:t>21.5</w:t>
            </w:r>
          </w:p>
        </w:tc>
        <w:tc>
          <w:tcPr>
            <w:tcW w:w="0" w:type="auto"/>
            <w:shd w:val="clear" w:color="auto" w:fill="FFFFFF"/>
            <w:tcMar>
              <w:top w:w="0" w:type="dxa"/>
              <w:left w:w="85" w:type="dxa"/>
              <w:bottom w:w="0" w:type="dxa"/>
              <w:right w:w="85" w:type="dxa"/>
            </w:tcMar>
          </w:tcPr>
          <w:p w14:paraId="55D8150C" w14:textId="77777777" w:rsidR="00E87995" w:rsidRPr="009E06AA" w:rsidRDefault="00E87995" w:rsidP="00FE7C1C">
            <w:pPr>
              <w:pStyle w:val="TableText"/>
              <w:spacing w:before="40" w:after="40"/>
              <w:jc w:val="right"/>
            </w:pPr>
            <w:r w:rsidRPr="009E06AA">
              <w:rPr>
                <w:color w:val="000000"/>
              </w:rPr>
              <w:t>0.3</w:t>
            </w:r>
          </w:p>
        </w:tc>
        <w:tc>
          <w:tcPr>
            <w:tcW w:w="0" w:type="auto"/>
            <w:shd w:val="clear" w:color="auto" w:fill="FFFFFF"/>
            <w:tcMar>
              <w:top w:w="0" w:type="dxa"/>
              <w:left w:w="85" w:type="dxa"/>
              <w:bottom w:w="0" w:type="dxa"/>
              <w:right w:w="85" w:type="dxa"/>
            </w:tcMar>
          </w:tcPr>
          <w:p w14:paraId="5DAC489F" w14:textId="77777777" w:rsidR="00E87995" w:rsidRPr="009E06AA" w:rsidRDefault="00E87995" w:rsidP="00FE7C1C">
            <w:pPr>
              <w:pStyle w:val="TableText"/>
              <w:spacing w:before="40" w:after="40"/>
              <w:jc w:val="right"/>
            </w:pPr>
            <w:r w:rsidRPr="009E06AA">
              <w:rPr>
                <w:color w:val="000000"/>
              </w:rPr>
              <w:t>4.4</w:t>
            </w:r>
          </w:p>
        </w:tc>
        <w:tc>
          <w:tcPr>
            <w:tcW w:w="0" w:type="auto"/>
            <w:shd w:val="clear" w:color="auto" w:fill="FFFFFF"/>
            <w:tcMar>
              <w:top w:w="0" w:type="dxa"/>
              <w:left w:w="85" w:type="dxa"/>
              <w:bottom w:w="0" w:type="dxa"/>
              <w:right w:w="85" w:type="dxa"/>
            </w:tcMar>
          </w:tcPr>
          <w:p w14:paraId="356ADEBE" w14:textId="77777777" w:rsidR="00E87995" w:rsidRPr="009E06AA" w:rsidRDefault="00E87995" w:rsidP="00FE7C1C">
            <w:pPr>
              <w:pStyle w:val="TableText"/>
              <w:spacing w:before="40" w:after="40"/>
              <w:jc w:val="right"/>
            </w:pPr>
            <w:r w:rsidRPr="009E06AA">
              <w:rPr>
                <w:color w:val="000000"/>
              </w:rPr>
              <w:t>26.2</w:t>
            </w:r>
          </w:p>
        </w:tc>
      </w:tr>
      <w:tr w:rsidR="00E87995" w:rsidRPr="009E06AA" w14:paraId="7016A1A8" w14:textId="77777777" w:rsidTr="00B55F24">
        <w:tc>
          <w:tcPr>
            <w:tcW w:w="0" w:type="auto"/>
            <w:shd w:val="clear" w:color="auto" w:fill="FFFFFF"/>
            <w:tcMar>
              <w:top w:w="0" w:type="dxa"/>
              <w:left w:w="85" w:type="dxa"/>
              <w:bottom w:w="0" w:type="dxa"/>
              <w:right w:w="85" w:type="dxa"/>
            </w:tcMar>
          </w:tcPr>
          <w:p w14:paraId="13DD6B74" w14:textId="77777777" w:rsidR="00E87995" w:rsidRPr="009E06AA" w:rsidRDefault="00E87995" w:rsidP="00B55F24">
            <w:pPr>
              <w:pStyle w:val="TableTextBold"/>
              <w:spacing w:before="40" w:after="40"/>
              <w:rPr>
                <w:noProof w:val="0"/>
              </w:rPr>
            </w:pPr>
            <w:r w:rsidRPr="009E06AA">
              <w:rPr>
                <w:noProof w:val="0"/>
                <w:color w:val="1B556B"/>
              </w:rPr>
              <w:t>1992</w:t>
            </w:r>
          </w:p>
        </w:tc>
        <w:tc>
          <w:tcPr>
            <w:tcW w:w="0" w:type="auto"/>
            <w:shd w:val="clear" w:color="auto" w:fill="FFFFFF"/>
            <w:tcMar>
              <w:top w:w="0" w:type="dxa"/>
              <w:left w:w="85" w:type="dxa"/>
              <w:bottom w:w="0" w:type="dxa"/>
              <w:right w:w="85" w:type="dxa"/>
            </w:tcMar>
          </w:tcPr>
          <w:p w14:paraId="306FF059" w14:textId="77777777" w:rsidR="00E87995" w:rsidRPr="009E06AA" w:rsidRDefault="00E87995" w:rsidP="00FE7C1C">
            <w:pPr>
              <w:pStyle w:val="TableText"/>
              <w:spacing w:before="40" w:after="40"/>
              <w:jc w:val="right"/>
            </w:pPr>
            <w:r w:rsidRPr="009E06AA">
              <w:rPr>
                <w:color w:val="000000"/>
              </w:rPr>
              <w:t>21.5</w:t>
            </w:r>
          </w:p>
        </w:tc>
        <w:tc>
          <w:tcPr>
            <w:tcW w:w="0" w:type="auto"/>
            <w:shd w:val="clear" w:color="auto" w:fill="FFFFFF"/>
            <w:tcMar>
              <w:top w:w="0" w:type="dxa"/>
              <w:left w:w="85" w:type="dxa"/>
              <w:bottom w:w="0" w:type="dxa"/>
              <w:right w:w="85" w:type="dxa"/>
            </w:tcMar>
          </w:tcPr>
          <w:p w14:paraId="51644A71" w14:textId="77777777" w:rsidR="00E87995" w:rsidRPr="009E06AA" w:rsidRDefault="00E87995" w:rsidP="00FE7C1C">
            <w:pPr>
              <w:pStyle w:val="TableText"/>
              <w:spacing w:before="40" w:after="40"/>
              <w:jc w:val="right"/>
            </w:pPr>
            <w:r w:rsidRPr="009E06AA">
              <w:rPr>
                <w:color w:val="000000"/>
              </w:rPr>
              <w:t>0.3</w:t>
            </w:r>
          </w:p>
        </w:tc>
        <w:tc>
          <w:tcPr>
            <w:tcW w:w="0" w:type="auto"/>
            <w:shd w:val="clear" w:color="auto" w:fill="FFFFFF"/>
            <w:tcMar>
              <w:top w:w="0" w:type="dxa"/>
              <w:left w:w="85" w:type="dxa"/>
              <w:bottom w:w="0" w:type="dxa"/>
              <w:right w:w="85" w:type="dxa"/>
            </w:tcMar>
          </w:tcPr>
          <w:p w14:paraId="0F88AF2A" w14:textId="77777777" w:rsidR="00E87995" w:rsidRPr="009E06AA" w:rsidRDefault="00E87995" w:rsidP="00FE7C1C">
            <w:pPr>
              <w:pStyle w:val="TableText"/>
              <w:spacing w:before="40" w:after="40"/>
              <w:jc w:val="right"/>
            </w:pPr>
            <w:r w:rsidRPr="009E06AA">
              <w:rPr>
                <w:color w:val="000000"/>
              </w:rPr>
              <w:t>4.4</w:t>
            </w:r>
          </w:p>
        </w:tc>
        <w:tc>
          <w:tcPr>
            <w:tcW w:w="0" w:type="auto"/>
            <w:shd w:val="clear" w:color="auto" w:fill="FFFFFF"/>
            <w:tcMar>
              <w:top w:w="0" w:type="dxa"/>
              <w:left w:w="85" w:type="dxa"/>
              <w:bottom w:w="0" w:type="dxa"/>
              <w:right w:w="85" w:type="dxa"/>
            </w:tcMar>
          </w:tcPr>
          <w:p w14:paraId="09B49722" w14:textId="77777777" w:rsidR="00E87995" w:rsidRPr="009E06AA" w:rsidRDefault="00E87995" w:rsidP="00FE7C1C">
            <w:pPr>
              <w:pStyle w:val="TableText"/>
              <w:spacing w:before="40" w:after="40"/>
              <w:jc w:val="right"/>
            </w:pPr>
            <w:r w:rsidRPr="009E06AA">
              <w:rPr>
                <w:color w:val="000000"/>
              </w:rPr>
              <w:t>26.2</w:t>
            </w:r>
          </w:p>
        </w:tc>
      </w:tr>
      <w:tr w:rsidR="00E87995" w:rsidRPr="009E06AA" w14:paraId="7BC29FA8" w14:textId="77777777" w:rsidTr="00B55F24">
        <w:tc>
          <w:tcPr>
            <w:tcW w:w="0" w:type="auto"/>
            <w:shd w:val="clear" w:color="auto" w:fill="FFFFFF"/>
            <w:tcMar>
              <w:top w:w="0" w:type="dxa"/>
              <w:left w:w="85" w:type="dxa"/>
              <w:bottom w:w="0" w:type="dxa"/>
              <w:right w:w="85" w:type="dxa"/>
            </w:tcMar>
          </w:tcPr>
          <w:p w14:paraId="2F448D9D" w14:textId="77777777" w:rsidR="00E87995" w:rsidRPr="009E06AA" w:rsidRDefault="00E87995" w:rsidP="00B55F24">
            <w:pPr>
              <w:pStyle w:val="TableTextBold"/>
              <w:spacing w:before="40" w:after="40"/>
              <w:rPr>
                <w:noProof w:val="0"/>
              </w:rPr>
            </w:pPr>
            <w:r w:rsidRPr="009E06AA">
              <w:rPr>
                <w:noProof w:val="0"/>
                <w:color w:val="1B556B"/>
              </w:rPr>
              <w:t>1993</w:t>
            </w:r>
          </w:p>
        </w:tc>
        <w:tc>
          <w:tcPr>
            <w:tcW w:w="0" w:type="auto"/>
            <w:shd w:val="clear" w:color="auto" w:fill="FFFFFF"/>
            <w:tcMar>
              <w:top w:w="0" w:type="dxa"/>
              <w:left w:w="85" w:type="dxa"/>
              <w:bottom w:w="0" w:type="dxa"/>
              <w:right w:w="85" w:type="dxa"/>
            </w:tcMar>
          </w:tcPr>
          <w:p w14:paraId="73F982F1" w14:textId="77777777" w:rsidR="00E87995" w:rsidRPr="009E06AA" w:rsidRDefault="00E87995" w:rsidP="00FE7C1C">
            <w:pPr>
              <w:pStyle w:val="TableText"/>
              <w:spacing w:before="40" w:after="40"/>
              <w:jc w:val="right"/>
            </w:pPr>
            <w:r w:rsidRPr="009E06AA">
              <w:rPr>
                <w:color w:val="000000"/>
              </w:rPr>
              <w:t>21.3</w:t>
            </w:r>
          </w:p>
        </w:tc>
        <w:tc>
          <w:tcPr>
            <w:tcW w:w="0" w:type="auto"/>
            <w:shd w:val="clear" w:color="auto" w:fill="FFFFFF"/>
            <w:tcMar>
              <w:top w:w="0" w:type="dxa"/>
              <w:left w:w="85" w:type="dxa"/>
              <w:bottom w:w="0" w:type="dxa"/>
              <w:right w:w="85" w:type="dxa"/>
            </w:tcMar>
          </w:tcPr>
          <w:p w14:paraId="46215F9F" w14:textId="77777777" w:rsidR="00E87995" w:rsidRPr="009E06AA" w:rsidRDefault="00E87995" w:rsidP="00FE7C1C">
            <w:pPr>
              <w:pStyle w:val="TableText"/>
              <w:spacing w:before="40" w:after="40"/>
              <w:jc w:val="right"/>
            </w:pPr>
            <w:r w:rsidRPr="009E06AA">
              <w:rPr>
                <w:color w:val="000000"/>
              </w:rPr>
              <w:t>0.3</w:t>
            </w:r>
          </w:p>
        </w:tc>
        <w:tc>
          <w:tcPr>
            <w:tcW w:w="0" w:type="auto"/>
            <w:shd w:val="clear" w:color="auto" w:fill="FFFFFF"/>
            <w:tcMar>
              <w:top w:w="0" w:type="dxa"/>
              <w:left w:w="85" w:type="dxa"/>
              <w:bottom w:w="0" w:type="dxa"/>
              <w:right w:w="85" w:type="dxa"/>
            </w:tcMar>
          </w:tcPr>
          <w:p w14:paraId="095E2B36" w14:textId="77777777" w:rsidR="00E87995" w:rsidRPr="009E06AA" w:rsidRDefault="00E87995" w:rsidP="00FE7C1C">
            <w:pPr>
              <w:pStyle w:val="TableText"/>
              <w:spacing w:before="40" w:after="40"/>
              <w:jc w:val="right"/>
            </w:pPr>
            <w:r w:rsidRPr="009E06AA">
              <w:rPr>
                <w:color w:val="000000"/>
              </w:rPr>
              <w:t>4.4</w:t>
            </w:r>
          </w:p>
        </w:tc>
        <w:tc>
          <w:tcPr>
            <w:tcW w:w="0" w:type="auto"/>
            <w:shd w:val="clear" w:color="auto" w:fill="FFFFFF"/>
            <w:tcMar>
              <w:top w:w="0" w:type="dxa"/>
              <w:left w:w="85" w:type="dxa"/>
              <w:bottom w:w="0" w:type="dxa"/>
              <w:right w:w="85" w:type="dxa"/>
            </w:tcMar>
          </w:tcPr>
          <w:p w14:paraId="7CAC5EED" w14:textId="77777777" w:rsidR="00E87995" w:rsidRPr="009E06AA" w:rsidRDefault="00E87995" w:rsidP="00FE7C1C">
            <w:pPr>
              <w:pStyle w:val="TableText"/>
              <w:spacing w:before="40" w:after="40"/>
              <w:jc w:val="right"/>
            </w:pPr>
            <w:r w:rsidRPr="009E06AA">
              <w:rPr>
                <w:color w:val="000000"/>
              </w:rPr>
              <w:t>26.0</w:t>
            </w:r>
          </w:p>
        </w:tc>
      </w:tr>
      <w:tr w:rsidR="00E87995" w:rsidRPr="009E06AA" w14:paraId="4F060E4F" w14:textId="77777777" w:rsidTr="00B55F24">
        <w:tc>
          <w:tcPr>
            <w:tcW w:w="0" w:type="auto"/>
            <w:shd w:val="clear" w:color="auto" w:fill="FFFFFF"/>
            <w:tcMar>
              <w:top w:w="0" w:type="dxa"/>
              <w:left w:w="85" w:type="dxa"/>
              <w:bottom w:w="0" w:type="dxa"/>
              <w:right w:w="85" w:type="dxa"/>
            </w:tcMar>
          </w:tcPr>
          <w:p w14:paraId="7473F015" w14:textId="77777777" w:rsidR="00E87995" w:rsidRPr="009E06AA" w:rsidRDefault="00E87995" w:rsidP="00B55F24">
            <w:pPr>
              <w:pStyle w:val="TableTextBold"/>
              <w:spacing w:before="40" w:after="40"/>
              <w:rPr>
                <w:noProof w:val="0"/>
              </w:rPr>
            </w:pPr>
            <w:r w:rsidRPr="009E06AA">
              <w:rPr>
                <w:noProof w:val="0"/>
                <w:color w:val="1B556B"/>
              </w:rPr>
              <w:t>1994</w:t>
            </w:r>
          </w:p>
        </w:tc>
        <w:tc>
          <w:tcPr>
            <w:tcW w:w="0" w:type="auto"/>
            <w:shd w:val="clear" w:color="auto" w:fill="FFFFFF"/>
            <w:tcMar>
              <w:top w:w="0" w:type="dxa"/>
              <w:left w:w="85" w:type="dxa"/>
              <w:bottom w:w="0" w:type="dxa"/>
              <w:right w:w="85" w:type="dxa"/>
            </w:tcMar>
          </w:tcPr>
          <w:p w14:paraId="1ECE3FCE" w14:textId="77777777" w:rsidR="00E87995" w:rsidRPr="009E06AA" w:rsidRDefault="00E87995" w:rsidP="00FE7C1C">
            <w:pPr>
              <w:pStyle w:val="TableText"/>
              <w:spacing w:before="40" w:after="40"/>
              <w:jc w:val="right"/>
            </w:pPr>
            <w:r w:rsidRPr="009E06AA">
              <w:rPr>
                <w:color w:val="000000"/>
              </w:rPr>
              <w:t>21.3</w:t>
            </w:r>
          </w:p>
        </w:tc>
        <w:tc>
          <w:tcPr>
            <w:tcW w:w="0" w:type="auto"/>
            <w:shd w:val="clear" w:color="auto" w:fill="FFFFFF"/>
            <w:tcMar>
              <w:top w:w="0" w:type="dxa"/>
              <w:left w:w="85" w:type="dxa"/>
              <w:bottom w:w="0" w:type="dxa"/>
              <w:right w:w="85" w:type="dxa"/>
            </w:tcMar>
          </w:tcPr>
          <w:p w14:paraId="69728425" w14:textId="77777777" w:rsidR="00E87995" w:rsidRPr="009E06AA" w:rsidRDefault="00E87995" w:rsidP="00FE7C1C">
            <w:pPr>
              <w:pStyle w:val="TableText"/>
              <w:spacing w:before="40" w:after="40"/>
              <w:jc w:val="right"/>
            </w:pPr>
            <w:r w:rsidRPr="009E06AA">
              <w:rPr>
                <w:color w:val="000000"/>
              </w:rPr>
              <w:t>0.3</w:t>
            </w:r>
          </w:p>
        </w:tc>
        <w:tc>
          <w:tcPr>
            <w:tcW w:w="0" w:type="auto"/>
            <w:shd w:val="clear" w:color="auto" w:fill="FFFFFF"/>
            <w:tcMar>
              <w:top w:w="0" w:type="dxa"/>
              <w:left w:w="85" w:type="dxa"/>
              <w:bottom w:w="0" w:type="dxa"/>
              <w:right w:w="85" w:type="dxa"/>
            </w:tcMar>
          </w:tcPr>
          <w:p w14:paraId="69447620" w14:textId="77777777" w:rsidR="00E87995" w:rsidRPr="009E06AA" w:rsidRDefault="00E87995" w:rsidP="00FE7C1C">
            <w:pPr>
              <w:pStyle w:val="TableText"/>
              <w:spacing w:before="40" w:after="40"/>
              <w:jc w:val="right"/>
            </w:pPr>
            <w:r w:rsidRPr="009E06AA">
              <w:rPr>
                <w:color w:val="000000"/>
              </w:rPr>
              <w:t>4.4</w:t>
            </w:r>
          </w:p>
        </w:tc>
        <w:tc>
          <w:tcPr>
            <w:tcW w:w="0" w:type="auto"/>
            <w:shd w:val="clear" w:color="auto" w:fill="FFFFFF"/>
            <w:tcMar>
              <w:top w:w="0" w:type="dxa"/>
              <w:left w:w="85" w:type="dxa"/>
              <w:bottom w:w="0" w:type="dxa"/>
              <w:right w:w="85" w:type="dxa"/>
            </w:tcMar>
          </w:tcPr>
          <w:p w14:paraId="02749F0B" w14:textId="77777777" w:rsidR="00E87995" w:rsidRPr="009E06AA" w:rsidRDefault="00E87995" w:rsidP="00FE7C1C">
            <w:pPr>
              <w:pStyle w:val="TableText"/>
              <w:spacing w:before="40" w:after="40"/>
              <w:jc w:val="right"/>
            </w:pPr>
            <w:r w:rsidRPr="009E06AA">
              <w:rPr>
                <w:color w:val="000000"/>
              </w:rPr>
              <w:t>26.0</w:t>
            </w:r>
          </w:p>
        </w:tc>
      </w:tr>
      <w:tr w:rsidR="00E87995" w:rsidRPr="009E06AA" w14:paraId="25FB8927" w14:textId="77777777" w:rsidTr="00B55F24">
        <w:tc>
          <w:tcPr>
            <w:tcW w:w="0" w:type="auto"/>
            <w:shd w:val="clear" w:color="auto" w:fill="FFFFFF"/>
            <w:tcMar>
              <w:top w:w="0" w:type="dxa"/>
              <w:left w:w="85" w:type="dxa"/>
              <w:bottom w:w="0" w:type="dxa"/>
              <w:right w:w="85" w:type="dxa"/>
            </w:tcMar>
          </w:tcPr>
          <w:p w14:paraId="365FD813" w14:textId="77777777" w:rsidR="00E87995" w:rsidRPr="009E06AA" w:rsidRDefault="00E87995" w:rsidP="00B55F24">
            <w:pPr>
              <w:pStyle w:val="TableTextBold"/>
              <w:spacing w:before="40" w:after="40"/>
              <w:rPr>
                <w:noProof w:val="0"/>
              </w:rPr>
            </w:pPr>
            <w:r w:rsidRPr="009E06AA">
              <w:rPr>
                <w:noProof w:val="0"/>
                <w:color w:val="1B556B"/>
              </w:rPr>
              <w:t>1995</w:t>
            </w:r>
          </w:p>
        </w:tc>
        <w:tc>
          <w:tcPr>
            <w:tcW w:w="0" w:type="auto"/>
            <w:shd w:val="clear" w:color="auto" w:fill="FFFFFF"/>
            <w:tcMar>
              <w:top w:w="0" w:type="dxa"/>
              <w:left w:w="85" w:type="dxa"/>
              <w:bottom w:w="0" w:type="dxa"/>
              <w:right w:w="85" w:type="dxa"/>
            </w:tcMar>
          </w:tcPr>
          <w:p w14:paraId="15F1268C" w14:textId="77777777" w:rsidR="00E87995" w:rsidRPr="009E06AA" w:rsidRDefault="00E87995" w:rsidP="00FE7C1C">
            <w:pPr>
              <w:pStyle w:val="TableText"/>
              <w:spacing w:before="40" w:after="40"/>
              <w:jc w:val="right"/>
            </w:pPr>
            <w:r w:rsidRPr="009E06AA">
              <w:rPr>
                <w:color w:val="000000"/>
              </w:rPr>
              <w:t>21.0</w:t>
            </w:r>
          </w:p>
        </w:tc>
        <w:tc>
          <w:tcPr>
            <w:tcW w:w="0" w:type="auto"/>
            <w:shd w:val="clear" w:color="auto" w:fill="FFFFFF"/>
            <w:tcMar>
              <w:top w:w="0" w:type="dxa"/>
              <w:left w:w="85" w:type="dxa"/>
              <w:bottom w:w="0" w:type="dxa"/>
              <w:right w:w="85" w:type="dxa"/>
            </w:tcMar>
          </w:tcPr>
          <w:p w14:paraId="5F6093F0" w14:textId="77777777" w:rsidR="00E87995" w:rsidRPr="009E06AA" w:rsidRDefault="00E87995" w:rsidP="00FE7C1C">
            <w:pPr>
              <w:pStyle w:val="TableText"/>
              <w:spacing w:before="40" w:after="40"/>
              <w:jc w:val="right"/>
            </w:pPr>
            <w:r w:rsidRPr="009E06AA">
              <w:rPr>
                <w:color w:val="000000"/>
              </w:rPr>
              <w:t>0.3</w:t>
            </w:r>
          </w:p>
        </w:tc>
        <w:tc>
          <w:tcPr>
            <w:tcW w:w="0" w:type="auto"/>
            <w:shd w:val="clear" w:color="auto" w:fill="FFFFFF"/>
            <w:tcMar>
              <w:top w:w="0" w:type="dxa"/>
              <w:left w:w="85" w:type="dxa"/>
              <w:bottom w:w="0" w:type="dxa"/>
              <w:right w:w="85" w:type="dxa"/>
            </w:tcMar>
          </w:tcPr>
          <w:p w14:paraId="1718382E" w14:textId="77777777" w:rsidR="00E87995" w:rsidRPr="009E06AA" w:rsidRDefault="00E87995" w:rsidP="00FE7C1C">
            <w:pPr>
              <w:pStyle w:val="TableText"/>
              <w:spacing w:before="40" w:after="40"/>
              <w:jc w:val="right"/>
            </w:pPr>
            <w:r w:rsidRPr="009E06AA">
              <w:rPr>
                <w:color w:val="000000"/>
              </w:rPr>
              <w:t>4.4</w:t>
            </w:r>
          </w:p>
        </w:tc>
        <w:tc>
          <w:tcPr>
            <w:tcW w:w="0" w:type="auto"/>
            <w:shd w:val="clear" w:color="auto" w:fill="FFFFFF"/>
            <w:tcMar>
              <w:top w:w="0" w:type="dxa"/>
              <w:left w:w="85" w:type="dxa"/>
              <w:bottom w:w="0" w:type="dxa"/>
              <w:right w:w="85" w:type="dxa"/>
            </w:tcMar>
          </w:tcPr>
          <w:p w14:paraId="172FF5F5" w14:textId="77777777" w:rsidR="00E87995" w:rsidRPr="009E06AA" w:rsidRDefault="00E87995" w:rsidP="00FE7C1C">
            <w:pPr>
              <w:pStyle w:val="TableText"/>
              <w:spacing w:before="40" w:after="40"/>
              <w:jc w:val="right"/>
            </w:pPr>
            <w:r w:rsidRPr="009E06AA">
              <w:rPr>
                <w:color w:val="000000"/>
              </w:rPr>
              <w:t>25.7</w:t>
            </w:r>
          </w:p>
        </w:tc>
      </w:tr>
      <w:tr w:rsidR="00E87995" w:rsidRPr="009E06AA" w14:paraId="67B7944A" w14:textId="77777777" w:rsidTr="00B55F24">
        <w:tc>
          <w:tcPr>
            <w:tcW w:w="0" w:type="auto"/>
            <w:shd w:val="clear" w:color="auto" w:fill="FFFFFF"/>
            <w:tcMar>
              <w:top w:w="0" w:type="dxa"/>
              <w:left w:w="85" w:type="dxa"/>
              <w:bottom w:w="0" w:type="dxa"/>
              <w:right w:w="85" w:type="dxa"/>
            </w:tcMar>
          </w:tcPr>
          <w:p w14:paraId="3DC96C25" w14:textId="77777777" w:rsidR="00E87995" w:rsidRPr="009E06AA" w:rsidRDefault="00E87995" w:rsidP="00B55F24">
            <w:pPr>
              <w:pStyle w:val="TableTextBold"/>
              <w:spacing w:before="40" w:after="40"/>
              <w:rPr>
                <w:noProof w:val="0"/>
              </w:rPr>
            </w:pPr>
            <w:r w:rsidRPr="009E06AA">
              <w:rPr>
                <w:noProof w:val="0"/>
                <w:color w:val="1B556B"/>
              </w:rPr>
              <w:t>1996</w:t>
            </w:r>
          </w:p>
        </w:tc>
        <w:tc>
          <w:tcPr>
            <w:tcW w:w="0" w:type="auto"/>
            <w:shd w:val="clear" w:color="auto" w:fill="FFFFFF"/>
            <w:tcMar>
              <w:top w:w="0" w:type="dxa"/>
              <w:left w:w="85" w:type="dxa"/>
              <w:bottom w:w="0" w:type="dxa"/>
              <w:right w:w="85" w:type="dxa"/>
            </w:tcMar>
          </w:tcPr>
          <w:p w14:paraId="73468C26" w14:textId="77777777" w:rsidR="00E87995" w:rsidRPr="009E06AA" w:rsidRDefault="00E87995" w:rsidP="00FE7C1C">
            <w:pPr>
              <w:pStyle w:val="TableText"/>
              <w:spacing w:before="40" w:after="40"/>
              <w:jc w:val="right"/>
            </w:pPr>
            <w:r w:rsidRPr="009E06AA">
              <w:rPr>
                <w:color w:val="000000"/>
              </w:rPr>
              <w:t>20.3</w:t>
            </w:r>
          </w:p>
        </w:tc>
        <w:tc>
          <w:tcPr>
            <w:tcW w:w="0" w:type="auto"/>
            <w:shd w:val="clear" w:color="auto" w:fill="FFFFFF"/>
            <w:tcMar>
              <w:top w:w="0" w:type="dxa"/>
              <w:left w:w="85" w:type="dxa"/>
              <w:bottom w:w="0" w:type="dxa"/>
              <w:right w:w="85" w:type="dxa"/>
            </w:tcMar>
          </w:tcPr>
          <w:p w14:paraId="747B7D4C" w14:textId="77777777" w:rsidR="00E87995" w:rsidRPr="009E06AA" w:rsidRDefault="00E87995" w:rsidP="00FE7C1C">
            <w:pPr>
              <w:pStyle w:val="TableText"/>
              <w:spacing w:before="40" w:after="40"/>
              <w:jc w:val="right"/>
            </w:pPr>
            <w:r w:rsidRPr="009E06AA">
              <w:rPr>
                <w:color w:val="000000"/>
              </w:rPr>
              <w:t>0.3</w:t>
            </w:r>
          </w:p>
        </w:tc>
        <w:tc>
          <w:tcPr>
            <w:tcW w:w="0" w:type="auto"/>
            <w:shd w:val="clear" w:color="auto" w:fill="FFFFFF"/>
            <w:tcMar>
              <w:top w:w="0" w:type="dxa"/>
              <w:left w:w="85" w:type="dxa"/>
              <w:bottom w:w="0" w:type="dxa"/>
              <w:right w:w="85" w:type="dxa"/>
            </w:tcMar>
          </w:tcPr>
          <w:p w14:paraId="4082B13D" w14:textId="77777777" w:rsidR="00E87995" w:rsidRPr="009E06AA" w:rsidRDefault="00E87995" w:rsidP="00FE7C1C">
            <w:pPr>
              <w:pStyle w:val="TableText"/>
              <w:spacing w:before="40" w:after="40"/>
              <w:jc w:val="right"/>
            </w:pPr>
            <w:r w:rsidRPr="009E06AA">
              <w:rPr>
                <w:color w:val="000000"/>
              </w:rPr>
              <w:t>4.4</w:t>
            </w:r>
          </w:p>
        </w:tc>
        <w:tc>
          <w:tcPr>
            <w:tcW w:w="0" w:type="auto"/>
            <w:shd w:val="clear" w:color="auto" w:fill="FFFFFF"/>
            <w:tcMar>
              <w:top w:w="0" w:type="dxa"/>
              <w:left w:w="85" w:type="dxa"/>
              <w:bottom w:w="0" w:type="dxa"/>
              <w:right w:w="85" w:type="dxa"/>
            </w:tcMar>
          </w:tcPr>
          <w:p w14:paraId="70D648E6" w14:textId="77777777" w:rsidR="00E87995" w:rsidRPr="009E06AA" w:rsidRDefault="00E87995" w:rsidP="00FE7C1C">
            <w:pPr>
              <w:pStyle w:val="TableText"/>
              <w:spacing w:before="40" w:after="40"/>
              <w:jc w:val="right"/>
            </w:pPr>
            <w:r w:rsidRPr="009E06AA">
              <w:rPr>
                <w:color w:val="000000"/>
              </w:rPr>
              <w:t>25.0</w:t>
            </w:r>
          </w:p>
        </w:tc>
      </w:tr>
      <w:tr w:rsidR="00E87995" w:rsidRPr="009E06AA" w14:paraId="17BEF060" w14:textId="77777777" w:rsidTr="00B55F24">
        <w:tc>
          <w:tcPr>
            <w:tcW w:w="0" w:type="auto"/>
            <w:shd w:val="clear" w:color="auto" w:fill="FFFFFF"/>
            <w:tcMar>
              <w:top w:w="0" w:type="dxa"/>
              <w:left w:w="85" w:type="dxa"/>
              <w:bottom w:w="0" w:type="dxa"/>
              <w:right w:w="85" w:type="dxa"/>
            </w:tcMar>
          </w:tcPr>
          <w:p w14:paraId="08C0DB17" w14:textId="77777777" w:rsidR="00E87995" w:rsidRPr="009E06AA" w:rsidRDefault="00E87995" w:rsidP="00B55F24">
            <w:pPr>
              <w:pStyle w:val="TableTextBold"/>
              <w:spacing w:before="40" w:after="40"/>
              <w:rPr>
                <w:noProof w:val="0"/>
              </w:rPr>
            </w:pPr>
            <w:r w:rsidRPr="009E06AA">
              <w:rPr>
                <w:noProof w:val="0"/>
                <w:color w:val="1B556B"/>
              </w:rPr>
              <w:t>1997</w:t>
            </w:r>
          </w:p>
        </w:tc>
        <w:tc>
          <w:tcPr>
            <w:tcW w:w="0" w:type="auto"/>
            <w:shd w:val="clear" w:color="auto" w:fill="FFFFFF"/>
            <w:tcMar>
              <w:top w:w="0" w:type="dxa"/>
              <w:left w:w="85" w:type="dxa"/>
              <w:bottom w:w="0" w:type="dxa"/>
              <w:right w:w="85" w:type="dxa"/>
            </w:tcMar>
          </w:tcPr>
          <w:p w14:paraId="69A1ACA9" w14:textId="77777777" w:rsidR="00E87995" w:rsidRPr="009E06AA" w:rsidRDefault="00E87995" w:rsidP="00FE7C1C">
            <w:pPr>
              <w:pStyle w:val="TableText"/>
              <w:spacing w:before="40" w:after="40"/>
              <w:jc w:val="right"/>
            </w:pPr>
            <w:r w:rsidRPr="009E06AA">
              <w:rPr>
                <w:color w:val="000000"/>
              </w:rPr>
              <w:t>20.3</w:t>
            </w:r>
          </w:p>
        </w:tc>
        <w:tc>
          <w:tcPr>
            <w:tcW w:w="0" w:type="auto"/>
            <w:shd w:val="clear" w:color="auto" w:fill="FFFFFF"/>
            <w:tcMar>
              <w:top w:w="0" w:type="dxa"/>
              <w:left w:w="85" w:type="dxa"/>
              <w:bottom w:w="0" w:type="dxa"/>
              <w:right w:w="85" w:type="dxa"/>
            </w:tcMar>
          </w:tcPr>
          <w:p w14:paraId="7A69CF25" w14:textId="77777777" w:rsidR="00E87995" w:rsidRPr="009E06AA" w:rsidRDefault="00E87995" w:rsidP="00FE7C1C">
            <w:pPr>
              <w:pStyle w:val="TableText"/>
              <w:spacing w:before="40" w:after="40"/>
              <w:jc w:val="right"/>
            </w:pPr>
            <w:r w:rsidRPr="009E06AA">
              <w:rPr>
                <w:color w:val="000000"/>
              </w:rPr>
              <w:t>0.3</w:t>
            </w:r>
          </w:p>
        </w:tc>
        <w:tc>
          <w:tcPr>
            <w:tcW w:w="0" w:type="auto"/>
            <w:shd w:val="clear" w:color="auto" w:fill="FFFFFF"/>
            <w:tcMar>
              <w:top w:w="0" w:type="dxa"/>
              <w:left w:w="85" w:type="dxa"/>
              <w:bottom w:w="0" w:type="dxa"/>
              <w:right w:w="85" w:type="dxa"/>
            </w:tcMar>
          </w:tcPr>
          <w:p w14:paraId="483CB308" w14:textId="77777777" w:rsidR="00E87995" w:rsidRPr="009E06AA" w:rsidRDefault="00E87995" w:rsidP="00FE7C1C">
            <w:pPr>
              <w:pStyle w:val="TableText"/>
              <w:spacing w:before="40" w:after="40"/>
              <w:jc w:val="right"/>
            </w:pPr>
            <w:r w:rsidRPr="009E06AA">
              <w:rPr>
                <w:color w:val="000000"/>
              </w:rPr>
              <w:t>4.4</w:t>
            </w:r>
          </w:p>
        </w:tc>
        <w:tc>
          <w:tcPr>
            <w:tcW w:w="0" w:type="auto"/>
            <w:shd w:val="clear" w:color="auto" w:fill="FFFFFF"/>
            <w:tcMar>
              <w:top w:w="0" w:type="dxa"/>
              <w:left w:w="85" w:type="dxa"/>
              <w:bottom w:w="0" w:type="dxa"/>
              <w:right w:w="85" w:type="dxa"/>
            </w:tcMar>
          </w:tcPr>
          <w:p w14:paraId="5BAD05A8" w14:textId="77777777" w:rsidR="00E87995" w:rsidRPr="009E06AA" w:rsidRDefault="00E87995" w:rsidP="00FE7C1C">
            <w:pPr>
              <w:pStyle w:val="TableText"/>
              <w:spacing w:before="40" w:after="40"/>
              <w:jc w:val="right"/>
            </w:pPr>
            <w:r w:rsidRPr="009E06AA">
              <w:rPr>
                <w:color w:val="000000"/>
              </w:rPr>
              <w:t>25.0</w:t>
            </w:r>
          </w:p>
        </w:tc>
      </w:tr>
      <w:tr w:rsidR="00E87995" w:rsidRPr="009E06AA" w14:paraId="1F3D7F46" w14:textId="77777777" w:rsidTr="00B55F24">
        <w:tc>
          <w:tcPr>
            <w:tcW w:w="0" w:type="auto"/>
            <w:shd w:val="clear" w:color="auto" w:fill="FFFFFF"/>
            <w:tcMar>
              <w:top w:w="0" w:type="dxa"/>
              <w:left w:w="85" w:type="dxa"/>
              <w:bottom w:w="0" w:type="dxa"/>
              <w:right w:w="85" w:type="dxa"/>
            </w:tcMar>
          </w:tcPr>
          <w:p w14:paraId="13184D66" w14:textId="77777777" w:rsidR="00E87995" w:rsidRPr="009E06AA" w:rsidRDefault="00E87995" w:rsidP="00B55F24">
            <w:pPr>
              <w:pStyle w:val="TableTextBold"/>
              <w:spacing w:before="40" w:after="40"/>
              <w:rPr>
                <w:noProof w:val="0"/>
              </w:rPr>
            </w:pPr>
            <w:r w:rsidRPr="009E06AA">
              <w:rPr>
                <w:noProof w:val="0"/>
                <w:color w:val="1B556B"/>
              </w:rPr>
              <w:t>1998</w:t>
            </w:r>
          </w:p>
        </w:tc>
        <w:tc>
          <w:tcPr>
            <w:tcW w:w="0" w:type="auto"/>
            <w:shd w:val="clear" w:color="auto" w:fill="FFFFFF"/>
            <w:tcMar>
              <w:top w:w="0" w:type="dxa"/>
              <w:left w:w="85" w:type="dxa"/>
              <w:bottom w:w="0" w:type="dxa"/>
              <w:right w:w="85" w:type="dxa"/>
            </w:tcMar>
          </w:tcPr>
          <w:p w14:paraId="265DF036" w14:textId="77777777" w:rsidR="00E87995" w:rsidRPr="009E06AA" w:rsidRDefault="00E87995" w:rsidP="00FE7C1C">
            <w:pPr>
              <w:pStyle w:val="TableText"/>
              <w:spacing w:before="40" w:after="40"/>
              <w:jc w:val="right"/>
            </w:pPr>
            <w:r w:rsidRPr="009E06AA">
              <w:rPr>
                <w:color w:val="000000"/>
              </w:rPr>
              <w:t>20.0</w:t>
            </w:r>
          </w:p>
        </w:tc>
        <w:tc>
          <w:tcPr>
            <w:tcW w:w="0" w:type="auto"/>
            <w:shd w:val="clear" w:color="auto" w:fill="FFFFFF"/>
            <w:tcMar>
              <w:top w:w="0" w:type="dxa"/>
              <w:left w:w="85" w:type="dxa"/>
              <w:bottom w:w="0" w:type="dxa"/>
              <w:right w:w="85" w:type="dxa"/>
            </w:tcMar>
          </w:tcPr>
          <w:p w14:paraId="7CD51D42" w14:textId="77777777" w:rsidR="00E87995" w:rsidRPr="009E06AA" w:rsidRDefault="00E87995" w:rsidP="00FE7C1C">
            <w:pPr>
              <w:pStyle w:val="TableText"/>
              <w:spacing w:before="40" w:after="40"/>
              <w:jc w:val="right"/>
            </w:pPr>
            <w:r w:rsidRPr="009E06AA">
              <w:rPr>
                <w:color w:val="000000"/>
              </w:rPr>
              <w:t>0.3</w:t>
            </w:r>
          </w:p>
        </w:tc>
        <w:tc>
          <w:tcPr>
            <w:tcW w:w="0" w:type="auto"/>
            <w:shd w:val="clear" w:color="auto" w:fill="FFFFFF"/>
            <w:tcMar>
              <w:top w:w="0" w:type="dxa"/>
              <w:left w:w="85" w:type="dxa"/>
              <w:bottom w:w="0" w:type="dxa"/>
              <w:right w:w="85" w:type="dxa"/>
            </w:tcMar>
          </w:tcPr>
          <w:p w14:paraId="16D05E6C" w14:textId="77777777" w:rsidR="00E87995" w:rsidRPr="009E06AA" w:rsidRDefault="00E87995" w:rsidP="00FE7C1C">
            <w:pPr>
              <w:pStyle w:val="TableText"/>
              <w:spacing w:before="40" w:after="40"/>
              <w:jc w:val="right"/>
            </w:pPr>
            <w:r w:rsidRPr="009E06AA">
              <w:rPr>
                <w:color w:val="000000"/>
              </w:rPr>
              <w:t>4.4</w:t>
            </w:r>
          </w:p>
        </w:tc>
        <w:tc>
          <w:tcPr>
            <w:tcW w:w="0" w:type="auto"/>
            <w:shd w:val="clear" w:color="auto" w:fill="FFFFFF"/>
            <w:tcMar>
              <w:top w:w="0" w:type="dxa"/>
              <w:left w:w="85" w:type="dxa"/>
              <w:bottom w:w="0" w:type="dxa"/>
              <w:right w:w="85" w:type="dxa"/>
            </w:tcMar>
          </w:tcPr>
          <w:p w14:paraId="52C30902" w14:textId="77777777" w:rsidR="00E87995" w:rsidRPr="009E06AA" w:rsidRDefault="00E87995" w:rsidP="00FE7C1C">
            <w:pPr>
              <w:pStyle w:val="TableText"/>
              <w:spacing w:before="40" w:after="40"/>
              <w:jc w:val="right"/>
            </w:pPr>
            <w:r w:rsidRPr="009E06AA">
              <w:rPr>
                <w:color w:val="000000"/>
              </w:rPr>
              <w:t>24.7</w:t>
            </w:r>
          </w:p>
        </w:tc>
      </w:tr>
      <w:tr w:rsidR="00E87995" w:rsidRPr="009E06AA" w14:paraId="00DEC21B" w14:textId="77777777" w:rsidTr="00B55F24">
        <w:tc>
          <w:tcPr>
            <w:tcW w:w="0" w:type="auto"/>
            <w:shd w:val="clear" w:color="auto" w:fill="FFFFFF"/>
            <w:tcMar>
              <w:top w:w="0" w:type="dxa"/>
              <w:left w:w="85" w:type="dxa"/>
              <w:bottom w:w="0" w:type="dxa"/>
              <w:right w:w="85" w:type="dxa"/>
            </w:tcMar>
          </w:tcPr>
          <w:p w14:paraId="15486956" w14:textId="77777777" w:rsidR="00E87995" w:rsidRPr="009E06AA" w:rsidRDefault="00E87995" w:rsidP="00B55F24">
            <w:pPr>
              <w:pStyle w:val="TableTextBold"/>
              <w:spacing w:before="40" w:after="40"/>
              <w:rPr>
                <w:noProof w:val="0"/>
              </w:rPr>
            </w:pPr>
            <w:r w:rsidRPr="009E06AA">
              <w:rPr>
                <w:noProof w:val="0"/>
                <w:color w:val="1B556B"/>
              </w:rPr>
              <w:t>1999</w:t>
            </w:r>
          </w:p>
        </w:tc>
        <w:tc>
          <w:tcPr>
            <w:tcW w:w="0" w:type="auto"/>
            <w:shd w:val="clear" w:color="auto" w:fill="FFFFFF"/>
            <w:tcMar>
              <w:top w:w="0" w:type="dxa"/>
              <w:left w:w="85" w:type="dxa"/>
              <w:bottom w:w="0" w:type="dxa"/>
              <w:right w:w="85" w:type="dxa"/>
            </w:tcMar>
          </w:tcPr>
          <w:p w14:paraId="15FDD7F8" w14:textId="77777777" w:rsidR="00E87995" w:rsidRPr="009E06AA" w:rsidRDefault="00E87995" w:rsidP="00FE7C1C">
            <w:pPr>
              <w:pStyle w:val="TableText"/>
              <w:spacing w:before="40" w:after="40"/>
              <w:jc w:val="right"/>
            </w:pPr>
            <w:r w:rsidRPr="009E06AA">
              <w:rPr>
                <w:color w:val="000000"/>
              </w:rPr>
              <w:t>18.9</w:t>
            </w:r>
          </w:p>
        </w:tc>
        <w:tc>
          <w:tcPr>
            <w:tcW w:w="0" w:type="auto"/>
            <w:shd w:val="clear" w:color="auto" w:fill="FFFFFF"/>
            <w:tcMar>
              <w:top w:w="0" w:type="dxa"/>
              <w:left w:w="85" w:type="dxa"/>
              <w:bottom w:w="0" w:type="dxa"/>
              <w:right w:w="85" w:type="dxa"/>
            </w:tcMar>
          </w:tcPr>
          <w:p w14:paraId="465302C2" w14:textId="77777777" w:rsidR="00E87995" w:rsidRPr="009E06AA" w:rsidRDefault="00E87995" w:rsidP="00FE7C1C">
            <w:pPr>
              <w:pStyle w:val="TableText"/>
              <w:spacing w:before="40" w:after="40"/>
              <w:jc w:val="right"/>
            </w:pPr>
            <w:r w:rsidRPr="009E06AA">
              <w:rPr>
                <w:color w:val="000000"/>
              </w:rPr>
              <w:t>0.3</w:t>
            </w:r>
          </w:p>
        </w:tc>
        <w:tc>
          <w:tcPr>
            <w:tcW w:w="0" w:type="auto"/>
            <w:shd w:val="clear" w:color="auto" w:fill="FFFFFF"/>
            <w:tcMar>
              <w:top w:w="0" w:type="dxa"/>
              <w:left w:w="85" w:type="dxa"/>
              <w:bottom w:w="0" w:type="dxa"/>
              <w:right w:w="85" w:type="dxa"/>
            </w:tcMar>
          </w:tcPr>
          <w:p w14:paraId="799DB91F" w14:textId="77777777" w:rsidR="00E87995" w:rsidRPr="009E06AA" w:rsidRDefault="00E87995" w:rsidP="00FE7C1C">
            <w:pPr>
              <w:pStyle w:val="TableText"/>
              <w:spacing w:before="40" w:after="40"/>
              <w:jc w:val="right"/>
            </w:pPr>
            <w:r w:rsidRPr="009E06AA">
              <w:rPr>
                <w:color w:val="000000"/>
              </w:rPr>
              <w:t>4.4</w:t>
            </w:r>
          </w:p>
        </w:tc>
        <w:tc>
          <w:tcPr>
            <w:tcW w:w="0" w:type="auto"/>
            <w:shd w:val="clear" w:color="auto" w:fill="FFFFFF"/>
            <w:tcMar>
              <w:top w:w="0" w:type="dxa"/>
              <w:left w:w="85" w:type="dxa"/>
              <w:bottom w:w="0" w:type="dxa"/>
              <w:right w:w="85" w:type="dxa"/>
            </w:tcMar>
          </w:tcPr>
          <w:p w14:paraId="32D3C2A3" w14:textId="77777777" w:rsidR="00E87995" w:rsidRPr="009E06AA" w:rsidRDefault="00E87995" w:rsidP="00FE7C1C">
            <w:pPr>
              <w:pStyle w:val="TableText"/>
              <w:spacing w:before="40" w:after="40"/>
              <w:jc w:val="right"/>
            </w:pPr>
            <w:r w:rsidRPr="009E06AA">
              <w:rPr>
                <w:color w:val="000000"/>
              </w:rPr>
              <w:t>23.6</w:t>
            </w:r>
          </w:p>
        </w:tc>
      </w:tr>
      <w:tr w:rsidR="00E87995" w:rsidRPr="009E06AA" w14:paraId="6D0C5434" w14:textId="77777777" w:rsidTr="00B55F24">
        <w:tc>
          <w:tcPr>
            <w:tcW w:w="0" w:type="auto"/>
            <w:shd w:val="clear" w:color="auto" w:fill="FFFFFF"/>
            <w:tcMar>
              <w:top w:w="0" w:type="dxa"/>
              <w:left w:w="85" w:type="dxa"/>
              <w:bottom w:w="0" w:type="dxa"/>
              <w:right w:w="85" w:type="dxa"/>
            </w:tcMar>
          </w:tcPr>
          <w:p w14:paraId="7CC945F2" w14:textId="77777777" w:rsidR="00E87995" w:rsidRPr="009E06AA" w:rsidRDefault="00E87995" w:rsidP="00B55F24">
            <w:pPr>
              <w:pStyle w:val="TableTextBold"/>
              <w:spacing w:before="40" w:after="40"/>
              <w:rPr>
                <w:noProof w:val="0"/>
              </w:rPr>
            </w:pPr>
            <w:r w:rsidRPr="009E06AA">
              <w:rPr>
                <w:noProof w:val="0"/>
                <w:color w:val="1B556B"/>
              </w:rPr>
              <w:t>2000</w:t>
            </w:r>
          </w:p>
        </w:tc>
        <w:tc>
          <w:tcPr>
            <w:tcW w:w="0" w:type="auto"/>
            <w:shd w:val="clear" w:color="auto" w:fill="FFFFFF"/>
            <w:tcMar>
              <w:top w:w="0" w:type="dxa"/>
              <w:left w:w="85" w:type="dxa"/>
              <w:bottom w:w="0" w:type="dxa"/>
              <w:right w:w="85" w:type="dxa"/>
            </w:tcMar>
          </w:tcPr>
          <w:p w14:paraId="508D4156" w14:textId="77777777" w:rsidR="00E87995" w:rsidRPr="009E06AA" w:rsidRDefault="00E87995" w:rsidP="00FE7C1C">
            <w:pPr>
              <w:pStyle w:val="TableText"/>
              <w:spacing w:before="40" w:after="40"/>
              <w:jc w:val="right"/>
            </w:pPr>
            <w:r w:rsidRPr="009E06AA">
              <w:rPr>
                <w:color w:val="000000"/>
              </w:rPr>
              <w:t>17.8</w:t>
            </w:r>
          </w:p>
        </w:tc>
        <w:tc>
          <w:tcPr>
            <w:tcW w:w="0" w:type="auto"/>
            <w:shd w:val="clear" w:color="auto" w:fill="FFFFFF"/>
            <w:tcMar>
              <w:top w:w="0" w:type="dxa"/>
              <w:left w:w="85" w:type="dxa"/>
              <w:bottom w:w="0" w:type="dxa"/>
              <w:right w:w="85" w:type="dxa"/>
            </w:tcMar>
          </w:tcPr>
          <w:p w14:paraId="56105F53" w14:textId="77777777" w:rsidR="00E87995" w:rsidRPr="009E06AA" w:rsidRDefault="00E87995" w:rsidP="00FE7C1C">
            <w:pPr>
              <w:pStyle w:val="TableText"/>
              <w:spacing w:before="40" w:after="40"/>
              <w:jc w:val="right"/>
            </w:pPr>
            <w:r w:rsidRPr="009E06AA">
              <w:rPr>
                <w:color w:val="000000"/>
              </w:rPr>
              <w:t>0.3</w:t>
            </w:r>
          </w:p>
        </w:tc>
        <w:tc>
          <w:tcPr>
            <w:tcW w:w="0" w:type="auto"/>
            <w:shd w:val="clear" w:color="auto" w:fill="FFFFFF"/>
            <w:tcMar>
              <w:top w:w="0" w:type="dxa"/>
              <w:left w:w="85" w:type="dxa"/>
              <w:bottom w:w="0" w:type="dxa"/>
              <w:right w:w="85" w:type="dxa"/>
            </w:tcMar>
          </w:tcPr>
          <w:p w14:paraId="4D25E03F" w14:textId="77777777" w:rsidR="00E87995" w:rsidRPr="009E06AA" w:rsidRDefault="00E87995" w:rsidP="00FE7C1C">
            <w:pPr>
              <w:pStyle w:val="TableText"/>
              <w:spacing w:before="40" w:after="40"/>
              <w:jc w:val="right"/>
            </w:pPr>
            <w:r w:rsidRPr="009E06AA">
              <w:rPr>
                <w:color w:val="000000"/>
              </w:rPr>
              <w:t>4.4</w:t>
            </w:r>
          </w:p>
        </w:tc>
        <w:tc>
          <w:tcPr>
            <w:tcW w:w="0" w:type="auto"/>
            <w:shd w:val="clear" w:color="auto" w:fill="FFFFFF"/>
            <w:tcMar>
              <w:top w:w="0" w:type="dxa"/>
              <w:left w:w="85" w:type="dxa"/>
              <w:bottom w:w="0" w:type="dxa"/>
              <w:right w:w="85" w:type="dxa"/>
            </w:tcMar>
          </w:tcPr>
          <w:p w14:paraId="4118BCB5" w14:textId="77777777" w:rsidR="00E87995" w:rsidRPr="009E06AA" w:rsidRDefault="00E87995" w:rsidP="00FE7C1C">
            <w:pPr>
              <w:pStyle w:val="TableText"/>
              <w:spacing w:before="40" w:after="40"/>
              <w:jc w:val="right"/>
            </w:pPr>
            <w:r w:rsidRPr="009E06AA">
              <w:rPr>
                <w:color w:val="000000"/>
              </w:rPr>
              <w:t>22.4</w:t>
            </w:r>
          </w:p>
        </w:tc>
      </w:tr>
      <w:tr w:rsidR="00E87995" w:rsidRPr="009E06AA" w14:paraId="59F88994" w14:textId="77777777" w:rsidTr="00B55F24">
        <w:tc>
          <w:tcPr>
            <w:tcW w:w="0" w:type="auto"/>
            <w:shd w:val="clear" w:color="auto" w:fill="FFFFFF"/>
            <w:tcMar>
              <w:top w:w="0" w:type="dxa"/>
              <w:left w:w="85" w:type="dxa"/>
              <w:bottom w:w="0" w:type="dxa"/>
              <w:right w:w="85" w:type="dxa"/>
            </w:tcMar>
          </w:tcPr>
          <w:p w14:paraId="0D0730AD" w14:textId="77777777" w:rsidR="00E87995" w:rsidRPr="009E06AA" w:rsidRDefault="00E87995" w:rsidP="00B55F24">
            <w:pPr>
              <w:pStyle w:val="TableTextBold"/>
              <w:spacing w:before="40" w:after="40"/>
              <w:rPr>
                <w:noProof w:val="0"/>
              </w:rPr>
            </w:pPr>
            <w:r w:rsidRPr="009E06AA">
              <w:rPr>
                <w:noProof w:val="0"/>
                <w:color w:val="1B556B"/>
              </w:rPr>
              <w:t>2001</w:t>
            </w:r>
          </w:p>
        </w:tc>
        <w:tc>
          <w:tcPr>
            <w:tcW w:w="0" w:type="auto"/>
            <w:shd w:val="clear" w:color="auto" w:fill="FFFFFF"/>
            <w:tcMar>
              <w:top w:w="0" w:type="dxa"/>
              <w:left w:w="85" w:type="dxa"/>
              <w:bottom w:w="0" w:type="dxa"/>
              <w:right w:w="85" w:type="dxa"/>
            </w:tcMar>
          </w:tcPr>
          <w:p w14:paraId="67E311F8" w14:textId="77777777" w:rsidR="00E87995" w:rsidRPr="009E06AA" w:rsidRDefault="00E87995" w:rsidP="00FE7C1C">
            <w:pPr>
              <w:pStyle w:val="TableText"/>
              <w:spacing w:before="40" w:after="40"/>
              <w:jc w:val="right"/>
            </w:pPr>
            <w:r w:rsidRPr="009E06AA">
              <w:rPr>
                <w:color w:val="000000"/>
              </w:rPr>
              <w:t>9.3</w:t>
            </w:r>
          </w:p>
        </w:tc>
        <w:tc>
          <w:tcPr>
            <w:tcW w:w="0" w:type="auto"/>
            <w:shd w:val="clear" w:color="auto" w:fill="FFFFFF"/>
            <w:tcMar>
              <w:top w:w="0" w:type="dxa"/>
              <w:left w:w="85" w:type="dxa"/>
              <w:bottom w:w="0" w:type="dxa"/>
              <w:right w:w="85" w:type="dxa"/>
            </w:tcMar>
          </w:tcPr>
          <w:p w14:paraId="0D354EFC" w14:textId="77777777" w:rsidR="00E87995" w:rsidRPr="009E06AA" w:rsidRDefault="00E87995" w:rsidP="00FE7C1C">
            <w:pPr>
              <w:pStyle w:val="TableText"/>
              <w:spacing w:before="40" w:after="40"/>
              <w:jc w:val="right"/>
            </w:pPr>
            <w:r w:rsidRPr="009E06AA">
              <w:rPr>
                <w:color w:val="000000"/>
              </w:rPr>
              <w:t>0.3</w:t>
            </w:r>
          </w:p>
        </w:tc>
        <w:tc>
          <w:tcPr>
            <w:tcW w:w="0" w:type="auto"/>
            <w:shd w:val="clear" w:color="auto" w:fill="FFFFFF"/>
            <w:tcMar>
              <w:top w:w="0" w:type="dxa"/>
              <w:left w:w="85" w:type="dxa"/>
              <w:bottom w:w="0" w:type="dxa"/>
              <w:right w:w="85" w:type="dxa"/>
            </w:tcMar>
          </w:tcPr>
          <w:p w14:paraId="5123BEA3" w14:textId="77777777" w:rsidR="00E87995" w:rsidRPr="009E06AA" w:rsidRDefault="00E87995" w:rsidP="00FE7C1C">
            <w:pPr>
              <w:pStyle w:val="TableText"/>
              <w:spacing w:before="40" w:after="40"/>
              <w:jc w:val="right"/>
            </w:pPr>
            <w:r w:rsidRPr="009E06AA">
              <w:rPr>
                <w:color w:val="000000"/>
              </w:rPr>
              <w:t>4.4</w:t>
            </w:r>
          </w:p>
        </w:tc>
        <w:tc>
          <w:tcPr>
            <w:tcW w:w="0" w:type="auto"/>
            <w:shd w:val="clear" w:color="auto" w:fill="FFFFFF"/>
            <w:tcMar>
              <w:top w:w="0" w:type="dxa"/>
              <w:left w:w="85" w:type="dxa"/>
              <w:bottom w:w="0" w:type="dxa"/>
              <w:right w:w="85" w:type="dxa"/>
            </w:tcMar>
          </w:tcPr>
          <w:p w14:paraId="635549AE" w14:textId="77777777" w:rsidR="00E87995" w:rsidRPr="009E06AA" w:rsidRDefault="00E87995" w:rsidP="00FE7C1C">
            <w:pPr>
              <w:pStyle w:val="TableText"/>
              <w:spacing w:before="40" w:after="40"/>
              <w:jc w:val="right"/>
            </w:pPr>
            <w:r w:rsidRPr="009E06AA">
              <w:rPr>
                <w:color w:val="000000"/>
              </w:rPr>
              <w:t>13.9</w:t>
            </w:r>
          </w:p>
        </w:tc>
      </w:tr>
      <w:tr w:rsidR="00E87995" w:rsidRPr="009E06AA" w14:paraId="67AD383A" w14:textId="77777777" w:rsidTr="00B55F24">
        <w:tc>
          <w:tcPr>
            <w:tcW w:w="0" w:type="auto"/>
            <w:shd w:val="clear" w:color="auto" w:fill="FFFFFF"/>
            <w:tcMar>
              <w:top w:w="0" w:type="dxa"/>
              <w:left w:w="85" w:type="dxa"/>
              <w:bottom w:w="0" w:type="dxa"/>
              <w:right w:w="85" w:type="dxa"/>
            </w:tcMar>
          </w:tcPr>
          <w:p w14:paraId="2EC2C5CA" w14:textId="77777777" w:rsidR="00E87995" w:rsidRPr="009E06AA" w:rsidRDefault="00E87995" w:rsidP="00B55F24">
            <w:pPr>
              <w:pStyle w:val="TableTextBold"/>
              <w:spacing w:before="40" w:after="40"/>
              <w:rPr>
                <w:noProof w:val="0"/>
              </w:rPr>
            </w:pPr>
            <w:r w:rsidRPr="009E06AA">
              <w:rPr>
                <w:noProof w:val="0"/>
                <w:color w:val="1B556B"/>
              </w:rPr>
              <w:t>2002</w:t>
            </w:r>
          </w:p>
        </w:tc>
        <w:tc>
          <w:tcPr>
            <w:tcW w:w="0" w:type="auto"/>
            <w:shd w:val="clear" w:color="auto" w:fill="FFFFFF"/>
            <w:tcMar>
              <w:top w:w="0" w:type="dxa"/>
              <w:left w:w="85" w:type="dxa"/>
              <w:bottom w:w="0" w:type="dxa"/>
              <w:right w:w="85" w:type="dxa"/>
            </w:tcMar>
          </w:tcPr>
          <w:p w14:paraId="012A93C1" w14:textId="77777777" w:rsidR="00E87995" w:rsidRPr="009E06AA" w:rsidRDefault="00E87995" w:rsidP="00FE7C1C">
            <w:pPr>
              <w:pStyle w:val="TableText"/>
              <w:spacing w:before="40" w:after="40"/>
              <w:jc w:val="right"/>
            </w:pPr>
            <w:r w:rsidRPr="009E06AA">
              <w:rPr>
                <w:color w:val="000000"/>
              </w:rPr>
              <w:t>8.2</w:t>
            </w:r>
          </w:p>
        </w:tc>
        <w:tc>
          <w:tcPr>
            <w:tcW w:w="0" w:type="auto"/>
            <w:shd w:val="clear" w:color="auto" w:fill="FFFFFF"/>
            <w:tcMar>
              <w:top w:w="0" w:type="dxa"/>
              <w:left w:w="85" w:type="dxa"/>
              <w:bottom w:w="0" w:type="dxa"/>
              <w:right w:w="85" w:type="dxa"/>
            </w:tcMar>
          </w:tcPr>
          <w:p w14:paraId="5972FD85" w14:textId="77777777" w:rsidR="00E87995" w:rsidRPr="009E06AA" w:rsidRDefault="00E87995" w:rsidP="00FE7C1C">
            <w:pPr>
              <w:pStyle w:val="TableText"/>
              <w:spacing w:before="40" w:after="40"/>
              <w:jc w:val="right"/>
            </w:pPr>
            <w:r w:rsidRPr="009E06AA">
              <w:rPr>
                <w:color w:val="000000"/>
              </w:rPr>
              <w:t>0.3</w:t>
            </w:r>
          </w:p>
        </w:tc>
        <w:tc>
          <w:tcPr>
            <w:tcW w:w="0" w:type="auto"/>
            <w:shd w:val="clear" w:color="auto" w:fill="FFFFFF"/>
            <w:tcMar>
              <w:top w:w="0" w:type="dxa"/>
              <w:left w:w="85" w:type="dxa"/>
              <w:bottom w:w="0" w:type="dxa"/>
              <w:right w:w="85" w:type="dxa"/>
            </w:tcMar>
          </w:tcPr>
          <w:p w14:paraId="2B74D02E" w14:textId="77777777" w:rsidR="00E87995" w:rsidRPr="009E06AA" w:rsidRDefault="00E87995" w:rsidP="00FE7C1C">
            <w:pPr>
              <w:pStyle w:val="TableText"/>
              <w:spacing w:before="40" w:after="40"/>
              <w:jc w:val="right"/>
            </w:pPr>
            <w:r w:rsidRPr="009E06AA">
              <w:rPr>
                <w:color w:val="000000"/>
              </w:rPr>
              <w:t>4.4</w:t>
            </w:r>
          </w:p>
        </w:tc>
        <w:tc>
          <w:tcPr>
            <w:tcW w:w="0" w:type="auto"/>
            <w:shd w:val="clear" w:color="auto" w:fill="FFFFFF"/>
            <w:tcMar>
              <w:top w:w="0" w:type="dxa"/>
              <w:left w:w="85" w:type="dxa"/>
              <w:bottom w:w="0" w:type="dxa"/>
              <w:right w:w="85" w:type="dxa"/>
            </w:tcMar>
          </w:tcPr>
          <w:p w14:paraId="3B633320" w14:textId="77777777" w:rsidR="00E87995" w:rsidRPr="009E06AA" w:rsidRDefault="00E87995" w:rsidP="00FE7C1C">
            <w:pPr>
              <w:pStyle w:val="TableText"/>
              <w:spacing w:before="40" w:after="40"/>
              <w:jc w:val="right"/>
            </w:pPr>
            <w:r w:rsidRPr="009E06AA">
              <w:rPr>
                <w:color w:val="000000"/>
              </w:rPr>
              <w:t>12.9</w:t>
            </w:r>
          </w:p>
        </w:tc>
      </w:tr>
      <w:tr w:rsidR="00E87995" w:rsidRPr="009E06AA" w14:paraId="70028898" w14:textId="77777777" w:rsidTr="00B55F24">
        <w:tc>
          <w:tcPr>
            <w:tcW w:w="0" w:type="auto"/>
            <w:shd w:val="clear" w:color="auto" w:fill="FFFFFF"/>
            <w:tcMar>
              <w:top w:w="0" w:type="dxa"/>
              <w:left w:w="85" w:type="dxa"/>
              <w:bottom w:w="0" w:type="dxa"/>
              <w:right w:w="85" w:type="dxa"/>
            </w:tcMar>
          </w:tcPr>
          <w:p w14:paraId="7B52EE98" w14:textId="77777777" w:rsidR="00E87995" w:rsidRPr="009E06AA" w:rsidRDefault="00E87995" w:rsidP="00B55F24">
            <w:pPr>
              <w:pStyle w:val="TableTextBold"/>
              <w:spacing w:before="40" w:after="40"/>
              <w:rPr>
                <w:noProof w:val="0"/>
              </w:rPr>
            </w:pPr>
            <w:r w:rsidRPr="009E06AA">
              <w:rPr>
                <w:noProof w:val="0"/>
                <w:color w:val="1B556B"/>
              </w:rPr>
              <w:t>2003</w:t>
            </w:r>
          </w:p>
        </w:tc>
        <w:tc>
          <w:tcPr>
            <w:tcW w:w="0" w:type="auto"/>
            <w:shd w:val="clear" w:color="auto" w:fill="FFFFFF"/>
            <w:tcMar>
              <w:top w:w="0" w:type="dxa"/>
              <w:left w:w="85" w:type="dxa"/>
              <w:bottom w:w="0" w:type="dxa"/>
              <w:right w:w="85" w:type="dxa"/>
            </w:tcMar>
          </w:tcPr>
          <w:p w14:paraId="37984224" w14:textId="77777777" w:rsidR="00E87995" w:rsidRPr="009E06AA" w:rsidRDefault="00E87995" w:rsidP="00FE7C1C">
            <w:pPr>
              <w:pStyle w:val="TableText"/>
              <w:spacing w:before="40" w:after="40"/>
              <w:jc w:val="right"/>
            </w:pPr>
            <w:r w:rsidRPr="009E06AA">
              <w:rPr>
                <w:color w:val="000000"/>
              </w:rPr>
              <w:t>7.3</w:t>
            </w:r>
          </w:p>
        </w:tc>
        <w:tc>
          <w:tcPr>
            <w:tcW w:w="0" w:type="auto"/>
            <w:shd w:val="clear" w:color="auto" w:fill="FFFFFF"/>
            <w:tcMar>
              <w:top w:w="0" w:type="dxa"/>
              <w:left w:w="85" w:type="dxa"/>
              <w:bottom w:w="0" w:type="dxa"/>
              <w:right w:w="85" w:type="dxa"/>
            </w:tcMar>
          </w:tcPr>
          <w:p w14:paraId="672E41E8" w14:textId="77777777" w:rsidR="00E87995" w:rsidRPr="009E06AA" w:rsidRDefault="00E87995" w:rsidP="00FE7C1C">
            <w:pPr>
              <w:pStyle w:val="TableText"/>
              <w:spacing w:before="40" w:after="40"/>
              <w:jc w:val="right"/>
            </w:pPr>
            <w:r w:rsidRPr="009E06AA">
              <w:rPr>
                <w:color w:val="000000"/>
              </w:rPr>
              <w:t>0.3</w:t>
            </w:r>
          </w:p>
        </w:tc>
        <w:tc>
          <w:tcPr>
            <w:tcW w:w="0" w:type="auto"/>
            <w:shd w:val="clear" w:color="auto" w:fill="FFFFFF"/>
            <w:tcMar>
              <w:top w:w="0" w:type="dxa"/>
              <w:left w:w="85" w:type="dxa"/>
              <w:bottom w:w="0" w:type="dxa"/>
              <w:right w:w="85" w:type="dxa"/>
            </w:tcMar>
          </w:tcPr>
          <w:p w14:paraId="74A35185" w14:textId="77777777" w:rsidR="00E87995" w:rsidRPr="009E06AA" w:rsidRDefault="00E87995" w:rsidP="00FE7C1C">
            <w:pPr>
              <w:pStyle w:val="TableText"/>
              <w:spacing w:before="40" w:after="40"/>
              <w:jc w:val="right"/>
            </w:pPr>
            <w:r w:rsidRPr="009E06AA">
              <w:rPr>
                <w:color w:val="000000"/>
              </w:rPr>
              <w:t>4.4</w:t>
            </w:r>
          </w:p>
        </w:tc>
        <w:tc>
          <w:tcPr>
            <w:tcW w:w="0" w:type="auto"/>
            <w:shd w:val="clear" w:color="auto" w:fill="FFFFFF"/>
            <w:tcMar>
              <w:top w:w="0" w:type="dxa"/>
              <w:left w:w="85" w:type="dxa"/>
              <w:bottom w:w="0" w:type="dxa"/>
              <w:right w:w="85" w:type="dxa"/>
            </w:tcMar>
          </w:tcPr>
          <w:p w14:paraId="387B5F44" w14:textId="77777777" w:rsidR="00E87995" w:rsidRPr="009E06AA" w:rsidRDefault="00E87995" w:rsidP="00FE7C1C">
            <w:pPr>
              <w:pStyle w:val="TableText"/>
              <w:spacing w:before="40" w:after="40"/>
              <w:jc w:val="right"/>
            </w:pPr>
            <w:r w:rsidRPr="009E06AA">
              <w:rPr>
                <w:color w:val="000000"/>
              </w:rPr>
              <w:t>12.0</w:t>
            </w:r>
          </w:p>
        </w:tc>
      </w:tr>
      <w:tr w:rsidR="00E87995" w:rsidRPr="009E06AA" w14:paraId="40F140A0" w14:textId="77777777" w:rsidTr="00B55F24">
        <w:tc>
          <w:tcPr>
            <w:tcW w:w="0" w:type="auto"/>
            <w:shd w:val="clear" w:color="auto" w:fill="FFFFFF"/>
            <w:tcMar>
              <w:top w:w="0" w:type="dxa"/>
              <w:left w:w="85" w:type="dxa"/>
              <w:bottom w:w="0" w:type="dxa"/>
              <w:right w:w="85" w:type="dxa"/>
            </w:tcMar>
          </w:tcPr>
          <w:p w14:paraId="2C3F27B4" w14:textId="77777777" w:rsidR="00E87995" w:rsidRPr="009E06AA" w:rsidRDefault="00E87995" w:rsidP="00B55F24">
            <w:pPr>
              <w:pStyle w:val="TableTextBold"/>
              <w:spacing w:before="40" w:after="40"/>
              <w:rPr>
                <w:noProof w:val="0"/>
              </w:rPr>
            </w:pPr>
            <w:r w:rsidRPr="009E06AA">
              <w:rPr>
                <w:noProof w:val="0"/>
                <w:color w:val="1B556B"/>
              </w:rPr>
              <w:t>2004</w:t>
            </w:r>
          </w:p>
        </w:tc>
        <w:tc>
          <w:tcPr>
            <w:tcW w:w="0" w:type="auto"/>
            <w:shd w:val="clear" w:color="auto" w:fill="FFFFFF"/>
            <w:tcMar>
              <w:top w:w="0" w:type="dxa"/>
              <w:left w:w="85" w:type="dxa"/>
              <w:bottom w:w="0" w:type="dxa"/>
              <w:right w:w="85" w:type="dxa"/>
            </w:tcMar>
          </w:tcPr>
          <w:p w14:paraId="0DE3013B" w14:textId="77777777" w:rsidR="00E87995" w:rsidRPr="009E06AA" w:rsidRDefault="00E87995" w:rsidP="00FE7C1C">
            <w:pPr>
              <w:pStyle w:val="TableText"/>
              <w:spacing w:before="40" w:after="40"/>
              <w:jc w:val="right"/>
            </w:pPr>
            <w:r w:rsidRPr="009E06AA">
              <w:rPr>
                <w:color w:val="000000"/>
              </w:rPr>
              <w:t>7.2</w:t>
            </w:r>
          </w:p>
        </w:tc>
        <w:tc>
          <w:tcPr>
            <w:tcW w:w="0" w:type="auto"/>
            <w:shd w:val="clear" w:color="auto" w:fill="FFFFFF"/>
            <w:tcMar>
              <w:top w:w="0" w:type="dxa"/>
              <w:left w:w="85" w:type="dxa"/>
              <w:bottom w:w="0" w:type="dxa"/>
              <w:right w:w="85" w:type="dxa"/>
            </w:tcMar>
          </w:tcPr>
          <w:p w14:paraId="58B2E9EE" w14:textId="77777777" w:rsidR="00E87995" w:rsidRPr="009E06AA" w:rsidRDefault="00E87995" w:rsidP="00FE7C1C">
            <w:pPr>
              <w:pStyle w:val="TableText"/>
              <w:spacing w:before="40" w:after="40"/>
              <w:jc w:val="right"/>
            </w:pPr>
            <w:r w:rsidRPr="009E06AA">
              <w:rPr>
                <w:color w:val="000000"/>
              </w:rPr>
              <w:t>0.3</w:t>
            </w:r>
          </w:p>
        </w:tc>
        <w:tc>
          <w:tcPr>
            <w:tcW w:w="0" w:type="auto"/>
            <w:shd w:val="clear" w:color="auto" w:fill="FFFFFF"/>
            <w:tcMar>
              <w:top w:w="0" w:type="dxa"/>
              <w:left w:w="85" w:type="dxa"/>
              <w:bottom w:w="0" w:type="dxa"/>
              <w:right w:w="85" w:type="dxa"/>
            </w:tcMar>
          </w:tcPr>
          <w:p w14:paraId="62C543D3" w14:textId="77777777" w:rsidR="00E87995" w:rsidRPr="009E06AA" w:rsidRDefault="00E87995" w:rsidP="00FE7C1C">
            <w:pPr>
              <w:pStyle w:val="TableText"/>
              <w:spacing w:before="40" w:after="40"/>
              <w:jc w:val="right"/>
            </w:pPr>
            <w:r w:rsidRPr="009E06AA">
              <w:rPr>
                <w:color w:val="000000"/>
              </w:rPr>
              <w:t>4.4</w:t>
            </w:r>
          </w:p>
        </w:tc>
        <w:tc>
          <w:tcPr>
            <w:tcW w:w="0" w:type="auto"/>
            <w:shd w:val="clear" w:color="auto" w:fill="FFFFFF"/>
            <w:tcMar>
              <w:top w:w="0" w:type="dxa"/>
              <w:left w:w="85" w:type="dxa"/>
              <w:bottom w:w="0" w:type="dxa"/>
              <w:right w:w="85" w:type="dxa"/>
            </w:tcMar>
          </w:tcPr>
          <w:p w14:paraId="44C7D2DD" w14:textId="77777777" w:rsidR="00E87995" w:rsidRPr="009E06AA" w:rsidRDefault="00E87995" w:rsidP="00FE7C1C">
            <w:pPr>
              <w:pStyle w:val="TableText"/>
              <w:spacing w:before="40" w:after="40"/>
              <w:jc w:val="right"/>
            </w:pPr>
            <w:r w:rsidRPr="009E06AA">
              <w:rPr>
                <w:color w:val="000000"/>
              </w:rPr>
              <w:t>11.9</w:t>
            </w:r>
          </w:p>
        </w:tc>
      </w:tr>
      <w:tr w:rsidR="00E87995" w:rsidRPr="009E06AA" w14:paraId="048E76B8" w14:textId="77777777" w:rsidTr="00B55F24">
        <w:tc>
          <w:tcPr>
            <w:tcW w:w="0" w:type="auto"/>
            <w:shd w:val="clear" w:color="auto" w:fill="FFFFFF"/>
            <w:tcMar>
              <w:top w:w="0" w:type="dxa"/>
              <w:left w:w="85" w:type="dxa"/>
              <w:bottom w:w="0" w:type="dxa"/>
              <w:right w:w="85" w:type="dxa"/>
            </w:tcMar>
          </w:tcPr>
          <w:p w14:paraId="024919E3" w14:textId="77777777" w:rsidR="00E87995" w:rsidRPr="009E06AA" w:rsidRDefault="00E87995" w:rsidP="00B55F24">
            <w:pPr>
              <w:pStyle w:val="TableTextBold"/>
              <w:spacing w:before="40" w:after="40"/>
              <w:rPr>
                <w:noProof w:val="0"/>
              </w:rPr>
            </w:pPr>
            <w:r w:rsidRPr="009E06AA">
              <w:rPr>
                <w:noProof w:val="0"/>
                <w:color w:val="1B556B"/>
              </w:rPr>
              <w:t>2005</w:t>
            </w:r>
          </w:p>
        </w:tc>
        <w:tc>
          <w:tcPr>
            <w:tcW w:w="0" w:type="auto"/>
            <w:shd w:val="clear" w:color="auto" w:fill="FFFFFF"/>
            <w:tcMar>
              <w:top w:w="0" w:type="dxa"/>
              <w:left w:w="85" w:type="dxa"/>
              <w:bottom w:w="0" w:type="dxa"/>
              <w:right w:w="85" w:type="dxa"/>
            </w:tcMar>
          </w:tcPr>
          <w:p w14:paraId="4972D22F" w14:textId="77777777" w:rsidR="00E87995" w:rsidRPr="009E06AA" w:rsidRDefault="00E87995" w:rsidP="00FE7C1C">
            <w:pPr>
              <w:pStyle w:val="TableText"/>
              <w:spacing w:before="40" w:after="40"/>
              <w:jc w:val="right"/>
            </w:pPr>
            <w:r w:rsidRPr="009E06AA">
              <w:rPr>
                <w:color w:val="000000"/>
              </w:rPr>
              <w:t>5.3</w:t>
            </w:r>
          </w:p>
        </w:tc>
        <w:tc>
          <w:tcPr>
            <w:tcW w:w="0" w:type="auto"/>
            <w:shd w:val="clear" w:color="auto" w:fill="FFFFFF"/>
            <w:tcMar>
              <w:top w:w="0" w:type="dxa"/>
              <w:left w:w="85" w:type="dxa"/>
              <w:bottom w:w="0" w:type="dxa"/>
              <w:right w:w="85" w:type="dxa"/>
            </w:tcMar>
          </w:tcPr>
          <w:p w14:paraId="54F6422C" w14:textId="77777777" w:rsidR="00E87995" w:rsidRPr="009E06AA" w:rsidRDefault="00E87995" w:rsidP="00FE7C1C">
            <w:pPr>
              <w:pStyle w:val="TableText"/>
              <w:spacing w:before="40" w:after="40"/>
              <w:jc w:val="right"/>
            </w:pPr>
            <w:r w:rsidRPr="009E06AA">
              <w:rPr>
                <w:color w:val="000000"/>
              </w:rPr>
              <w:t>0.3</w:t>
            </w:r>
          </w:p>
        </w:tc>
        <w:tc>
          <w:tcPr>
            <w:tcW w:w="0" w:type="auto"/>
            <w:shd w:val="clear" w:color="auto" w:fill="FFFFFF"/>
            <w:tcMar>
              <w:top w:w="0" w:type="dxa"/>
              <w:left w:w="85" w:type="dxa"/>
              <w:bottom w:w="0" w:type="dxa"/>
              <w:right w:w="85" w:type="dxa"/>
            </w:tcMar>
          </w:tcPr>
          <w:p w14:paraId="06556E73" w14:textId="77777777" w:rsidR="00E87995" w:rsidRPr="009E06AA" w:rsidRDefault="00E87995" w:rsidP="00FE7C1C">
            <w:pPr>
              <w:pStyle w:val="TableText"/>
              <w:spacing w:before="40" w:after="40"/>
              <w:jc w:val="right"/>
            </w:pPr>
            <w:r w:rsidRPr="009E06AA">
              <w:rPr>
                <w:color w:val="000000"/>
              </w:rPr>
              <w:t>4.4</w:t>
            </w:r>
          </w:p>
        </w:tc>
        <w:tc>
          <w:tcPr>
            <w:tcW w:w="0" w:type="auto"/>
            <w:shd w:val="clear" w:color="auto" w:fill="FFFFFF"/>
            <w:tcMar>
              <w:top w:w="0" w:type="dxa"/>
              <w:left w:w="85" w:type="dxa"/>
              <w:bottom w:w="0" w:type="dxa"/>
              <w:right w:w="85" w:type="dxa"/>
            </w:tcMar>
          </w:tcPr>
          <w:p w14:paraId="167AEACD" w14:textId="77777777" w:rsidR="00E87995" w:rsidRPr="009E06AA" w:rsidRDefault="00E87995" w:rsidP="00FE7C1C">
            <w:pPr>
              <w:pStyle w:val="TableText"/>
              <w:spacing w:before="40" w:after="40"/>
              <w:jc w:val="right"/>
            </w:pPr>
            <w:r w:rsidRPr="009E06AA">
              <w:rPr>
                <w:color w:val="000000"/>
              </w:rPr>
              <w:t>10.0</w:t>
            </w:r>
          </w:p>
        </w:tc>
      </w:tr>
      <w:tr w:rsidR="00E87995" w:rsidRPr="009E06AA" w14:paraId="5ACC070C" w14:textId="77777777" w:rsidTr="00B55F24">
        <w:tc>
          <w:tcPr>
            <w:tcW w:w="0" w:type="auto"/>
            <w:shd w:val="clear" w:color="auto" w:fill="FFFFFF"/>
            <w:tcMar>
              <w:top w:w="0" w:type="dxa"/>
              <w:left w:w="85" w:type="dxa"/>
              <w:bottom w:w="0" w:type="dxa"/>
              <w:right w:w="85" w:type="dxa"/>
            </w:tcMar>
          </w:tcPr>
          <w:p w14:paraId="686D25D1" w14:textId="77777777" w:rsidR="00E87995" w:rsidRPr="009E06AA" w:rsidRDefault="00E87995" w:rsidP="00B55F24">
            <w:pPr>
              <w:pStyle w:val="TableTextBold"/>
              <w:spacing w:before="40" w:after="40"/>
              <w:rPr>
                <w:noProof w:val="0"/>
              </w:rPr>
            </w:pPr>
            <w:r w:rsidRPr="009E06AA">
              <w:rPr>
                <w:noProof w:val="0"/>
                <w:color w:val="1B556B"/>
              </w:rPr>
              <w:t>2006</w:t>
            </w:r>
          </w:p>
        </w:tc>
        <w:tc>
          <w:tcPr>
            <w:tcW w:w="0" w:type="auto"/>
            <w:shd w:val="clear" w:color="auto" w:fill="FFFFFF"/>
            <w:tcMar>
              <w:top w:w="0" w:type="dxa"/>
              <w:left w:w="85" w:type="dxa"/>
              <w:bottom w:w="0" w:type="dxa"/>
              <w:right w:w="85" w:type="dxa"/>
            </w:tcMar>
          </w:tcPr>
          <w:p w14:paraId="3E50ACE0" w14:textId="77777777" w:rsidR="00E87995" w:rsidRPr="009E06AA" w:rsidRDefault="00E87995" w:rsidP="00FE7C1C">
            <w:pPr>
              <w:pStyle w:val="TableText"/>
              <w:spacing w:before="40" w:after="40"/>
              <w:jc w:val="right"/>
            </w:pPr>
            <w:r w:rsidRPr="009E06AA">
              <w:rPr>
                <w:color w:val="000000"/>
              </w:rPr>
              <w:t>3.2</w:t>
            </w:r>
          </w:p>
        </w:tc>
        <w:tc>
          <w:tcPr>
            <w:tcW w:w="0" w:type="auto"/>
            <w:shd w:val="clear" w:color="auto" w:fill="FFFFFF"/>
            <w:tcMar>
              <w:top w:w="0" w:type="dxa"/>
              <w:left w:w="85" w:type="dxa"/>
              <w:bottom w:w="0" w:type="dxa"/>
              <w:right w:w="85" w:type="dxa"/>
            </w:tcMar>
          </w:tcPr>
          <w:p w14:paraId="3804E112" w14:textId="77777777" w:rsidR="00E87995" w:rsidRPr="009E06AA" w:rsidRDefault="00E87995" w:rsidP="00FE7C1C">
            <w:pPr>
              <w:pStyle w:val="TableText"/>
              <w:spacing w:before="40" w:after="40"/>
              <w:jc w:val="right"/>
            </w:pPr>
            <w:r w:rsidRPr="009E06AA">
              <w:rPr>
                <w:color w:val="000000"/>
              </w:rPr>
              <w:t>0.3</w:t>
            </w:r>
          </w:p>
        </w:tc>
        <w:tc>
          <w:tcPr>
            <w:tcW w:w="0" w:type="auto"/>
            <w:shd w:val="clear" w:color="auto" w:fill="FFFFFF"/>
            <w:tcMar>
              <w:top w:w="0" w:type="dxa"/>
              <w:left w:w="85" w:type="dxa"/>
              <w:bottom w:w="0" w:type="dxa"/>
              <w:right w:w="85" w:type="dxa"/>
            </w:tcMar>
          </w:tcPr>
          <w:p w14:paraId="2E3B4542" w14:textId="77777777" w:rsidR="00E87995" w:rsidRPr="009E06AA" w:rsidRDefault="00E87995" w:rsidP="00FE7C1C">
            <w:pPr>
              <w:pStyle w:val="TableText"/>
              <w:spacing w:before="40" w:after="40"/>
              <w:jc w:val="right"/>
            </w:pPr>
            <w:r w:rsidRPr="009E06AA">
              <w:rPr>
                <w:color w:val="000000"/>
              </w:rPr>
              <w:t>4.4</w:t>
            </w:r>
          </w:p>
        </w:tc>
        <w:tc>
          <w:tcPr>
            <w:tcW w:w="0" w:type="auto"/>
            <w:shd w:val="clear" w:color="auto" w:fill="FFFFFF"/>
            <w:tcMar>
              <w:top w:w="0" w:type="dxa"/>
              <w:left w:w="85" w:type="dxa"/>
              <w:bottom w:w="0" w:type="dxa"/>
              <w:right w:w="85" w:type="dxa"/>
            </w:tcMar>
          </w:tcPr>
          <w:p w14:paraId="32DCC706" w14:textId="77777777" w:rsidR="00E87995" w:rsidRPr="009E06AA" w:rsidRDefault="00E87995" w:rsidP="00FE7C1C">
            <w:pPr>
              <w:pStyle w:val="TableText"/>
              <w:spacing w:before="40" w:after="40"/>
              <w:jc w:val="right"/>
            </w:pPr>
            <w:r w:rsidRPr="009E06AA">
              <w:rPr>
                <w:color w:val="000000"/>
              </w:rPr>
              <w:t>7.9</w:t>
            </w:r>
          </w:p>
        </w:tc>
      </w:tr>
      <w:tr w:rsidR="00E87995" w:rsidRPr="009E06AA" w14:paraId="0D01638D" w14:textId="77777777" w:rsidTr="00B55F24">
        <w:tc>
          <w:tcPr>
            <w:tcW w:w="0" w:type="auto"/>
            <w:shd w:val="clear" w:color="auto" w:fill="FFFFFF"/>
            <w:tcMar>
              <w:top w:w="0" w:type="dxa"/>
              <w:left w:w="85" w:type="dxa"/>
              <w:bottom w:w="0" w:type="dxa"/>
              <w:right w:w="85" w:type="dxa"/>
            </w:tcMar>
          </w:tcPr>
          <w:p w14:paraId="60373757" w14:textId="77777777" w:rsidR="00E87995" w:rsidRPr="009E06AA" w:rsidRDefault="00E87995" w:rsidP="00B55F24">
            <w:pPr>
              <w:pStyle w:val="TableTextBold"/>
              <w:spacing w:before="40" w:after="40"/>
              <w:rPr>
                <w:noProof w:val="0"/>
              </w:rPr>
            </w:pPr>
            <w:r w:rsidRPr="009E06AA">
              <w:rPr>
                <w:noProof w:val="0"/>
                <w:color w:val="1B556B"/>
              </w:rPr>
              <w:t>2007</w:t>
            </w:r>
          </w:p>
        </w:tc>
        <w:tc>
          <w:tcPr>
            <w:tcW w:w="0" w:type="auto"/>
            <w:shd w:val="clear" w:color="auto" w:fill="FFFFFF"/>
            <w:tcMar>
              <w:top w:w="0" w:type="dxa"/>
              <w:left w:w="85" w:type="dxa"/>
              <w:bottom w:w="0" w:type="dxa"/>
              <w:right w:w="85" w:type="dxa"/>
            </w:tcMar>
          </w:tcPr>
          <w:p w14:paraId="4152F898" w14:textId="77777777" w:rsidR="00E87995" w:rsidRPr="009E06AA" w:rsidRDefault="00E87995" w:rsidP="00FE7C1C">
            <w:pPr>
              <w:pStyle w:val="TableText"/>
              <w:spacing w:before="40" w:after="40"/>
              <w:jc w:val="right"/>
            </w:pPr>
            <w:r w:rsidRPr="009E06AA">
              <w:rPr>
                <w:color w:val="000000"/>
              </w:rPr>
              <w:t>0.6</w:t>
            </w:r>
          </w:p>
        </w:tc>
        <w:tc>
          <w:tcPr>
            <w:tcW w:w="0" w:type="auto"/>
            <w:shd w:val="clear" w:color="auto" w:fill="FFFFFF"/>
            <w:tcMar>
              <w:top w:w="0" w:type="dxa"/>
              <w:left w:w="85" w:type="dxa"/>
              <w:bottom w:w="0" w:type="dxa"/>
              <w:right w:w="85" w:type="dxa"/>
            </w:tcMar>
          </w:tcPr>
          <w:p w14:paraId="2717BFF4" w14:textId="77777777" w:rsidR="00E87995" w:rsidRPr="009E06AA" w:rsidRDefault="00E87995" w:rsidP="00FE7C1C">
            <w:pPr>
              <w:pStyle w:val="TableText"/>
              <w:spacing w:before="40" w:after="40"/>
              <w:jc w:val="right"/>
            </w:pPr>
            <w:r w:rsidRPr="009E06AA">
              <w:rPr>
                <w:color w:val="000000"/>
              </w:rPr>
              <w:t>0.3</w:t>
            </w:r>
          </w:p>
        </w:tc>
        <w:tc>
          <w:tcPr>
            <w:tcW w:w="0" w:type="auto"/>
            <w:shd w:val="clear" w:color="auto" w:fill="FFFFFF"/>
            <w:tcMar>
              <w:top w:w="0" w:type="dxa"/>
              <w:left w:w="85" w:type="dxa"/>
              <w:bottom w:w="0" w:type="dxa"/>
              <w:right w:w="85" w:type="dxa"/>
            </w:tcMar>
          </w:tcPr>
          <w:p w14:paraId="552BBA39" w14:textId="77777777" w:rsidR="00E87995" w:rsidRPr="009E06AA" w:rsidRDefault="00E87995" w:rsidP="00FE7C1C">
            <w:pPr>
              <w:pStyle w:val="TableText"/>
              <w:spacing w:before="40" w:after="40"/>
              <w:jc w:val="right"/>
            </w:pPr>
            <w:r w:rsidRPr="009E06AA">
              <w:rPr>
                <w:color w:val="000000"/>
              </w:rPr>
              <w:t>4.4</w:t>
            </w:r>
          </w:p>
        </w:tc>
        <w:tc>
          <w:tcPr>
            <w:tcW w:w="0" w:type="auto"/>
            <w:shd w:val="clear" w:color="auto" w:fill="FFFFFF"/>
            <w:tcMar>
              <w:top w:w="0" w:type="dxa"/>
              <w:left w:w="85" w:type="dxa"/>
              <w:bottom w:w="0" w:type="dxa"/>
              <w:right w:w="85" w:type="dxa"/>
            </w:tcMar>
          </w:tcPr>
          <w:p w14:paraId="0993FA99" w14:textId="77777777" w:rsidR="00E87995" w:rsidRPr="009E06AA" w:rsidRDefault="00E87995" w:rsidP="00FE7C1C">
            <w:pPr>
              <w:pStyle w:val="TableText"/>
              <w:spacing w:before="40" w:after="40"/>
              <w:jc w:val="right"/>
            </w:pPr>
            <w:r w:rsidRPr="009E06AA">
              <w:rPr>
                <w:color w:val="000000"/>
              </w:rPr>
              <w:t>5.3</w:t>
            </w:r>
          </w:p>
        </w:tc>
      </w:tr>
      <w:tr w:rsidR="00E87995" w:rsidRPr="009E06AA" w14:paraId="537714BD" w14:textId="77777777" w:rsidTr="00B55F24">
        <w:tc>
          <w:tcPr>
            <w:tcW w:w="0" w:type="auto"/>
            <w:shd w:val="clear" w:color="auto" w:fill="FFFFFF"/>
            <w:tcMar>
              <w:top w:w="0" w:type="dxa"/>
              <w:left w:w="85" w:type="dxa"/>
              <w:bottom w:w="0" w:type="dxa"/>
              <w:right w:w="85" w:type="dxa"/>
            </w:tcMar>
          </w:tcPr>
          <w:p w14:paraId="0954D2E5" w14:textId="77777777" w:rsidR="00E87995" w:rsidRPr="009E06AA" w:rsidRDefault="00E87995" w:rsidP="00B55F24">
            <w:pPr>
              <w:pStyle w:val="TableTextBold"/>
              <w:spacing w:before="40" w:after="40"/>
              <w:rPr>
                <w:noProof w:val="0"/>
              </w:rPr>
            </w:pPr>
            <w:r w:rsidRPr="009E06AA">
              <w:rPr>
                <w:noProof w:val="0"/>
                <w:color w:val="1B556B"/>
              </w:rPr>
              <w:t>2008</w:t>
            </w:r>
          </w:p>
        </w:tc>
        <w:tc>
          <w:tcPr>
            <w:tcW w:w="0" w:type="auto"/>
            <w:shd w:val="clear" w:color="auto" w:fill="FFFFFF"/>
            <w:tcMar>
              <w:top w:w="0" w:type="dxa"/>
              <w:left w:w="85" w:type="dxa"/>
              <w:bottom w:w="0" w:type="dxa"/>
              <w:right w:w="85" w:type="dxa"/>
            </w:tcMar>
          </w:tcPr>
          <w:p w14:paraId="162B5749" w14:textId="77777777" w:rsidR="00E87995" w:rsidRPr="009E06AA" w:rsidRDefault="00E87995" w:rsidP="00FE7C1C">
            <w:pPr>
              <w:pStyle w:val="TableText"/>
              <w:spacing w:before="40" w:after="40"/>
              <w:jc w:val="right"/>
            </w:pPr>
            <w:r w:rsidRPr="009E06AA">
              <w:rPr>
                <w:color w:val="000000"/>
              </w:rPr>
              <w:t>0.6</w:t>
            </w:r>
          </w:p>
        </w:tc>
        <w:tc>
          <w:tcPr>
            <w:tcW w:w="0" w:type="auto"/>
            <w:shd w:val="clear" w:color="auto" w:fill="FFFFFF"/>
            <w:tcMar>
              <w:top w:w="0" w:type="dxa"/>
              <w:left w:w="85" w:type="dxa"/>
              <w:bottom w:w="0" w:type="dxa"/>
              <w:right w:w="85" w:type="dxa"/>
            </w:tcMar>
          </w:tcPr>
          <w:p w14:paraId="17C058EC" w14:textId="77777777" w:rsidR="00E87995" w:rsidRPr="009E06AA" w:rsidRDefault="00E87995" w:rsidP="00FE7C1C">
            <w:pPr>
              <w:pStyle w:val="TableText"/>
              <w:spacing w:before="40" w:after="40"/>
              <w:jc w:val="right"/>
            </w:pPr>
            <w:r w:rsidRPr="009E06AA">
              <w:rPr>
                <w:color w:val="000000"/>
              </w:rPr>
              <w:t>0.3</w:t>
            </w:r>
          </w:p>
        </w:tc>
        <w:tc>
          <w:tcPr>
            <w:tcW w:w="0" w:type="auto"/>
            <w:shd w:val="clear" w:color="auto" w:fill="FFFFFF"/>
            <w:tcMar>
              <w:top w:w="0" w:type="dxa"/>
              <w:left w:w="85" w:type="dxa"/>
              <w:bottom w:w="0" w:type="dxa"/>
              <w:right w:w="85" w:type="dxa"/>
            </w:tcMar>
          </w:tcPr>
          <w:p w14:paraId="49202190" w14:textId="77777777" w:rsidR="00E87995" w:rsidRPr="009E06AA" w:rsidRDefault="00E87995" w:rsidP="00FE7C1C">
            <w:pPr>
              <w:pStyle w:val="TableText"/>
              <w:spacing w:before="40" w:after="40"/>
              <w:jc w:val="right"/>
            </w:pPr>
            <w:r w:rsidRPr="009E06AA">
              <w:rPr>
                <w:color w:val="000000"/>
              </w:rPr>
              <w:t>4.5</w:t>
            </w:r>
          </w:p>
        </w:tc>
        <w:tc>
          <w:tcPr>
            <w:tcW w:w="0" w:type="auto"/>
            <w:shd w:val="clear" w:color="auto" w:fill="FFFFFF"/>
            <w:tcMar>
              <w:top w:w="0" w:type="dxa"/>
              <w:left w:w="85" w:type="dxa"/>
              <w:bottom w:w="0" w:type="dxa"/>
              <w:right w:w="85" w:type="dxa"/>
            </w:tcMar>
          </w:tcPr>
          <w:p w14:paraId="70B46441" w14:textId="77777777" w:rsidR="00E87995" w:rsidRPr="009E06AA" w:rsidRDefault="00E87995" w:rsidP="00FE7C1C">
            <w:pPr>
              <w:pStyle w:val="TableText"/>
              <w:spacing w:before="40" w:after="40"/>
              <w:jc w:val="right"/>
            </w:pPr>
            <w:r w:rsidRPr="009E06AA">
              <w:rPr>
                <w:color w:val="000000"/>
              </w:rPr>
              <w:t>5.4</w:t>
            </w:r>
          </w:p>
        </w:tc>
      </w:tr>
      <w:tr w:rsidR="00E87995" w:rsidRPr="009E06AA" w14:paraId="1DBECB63" w14:textId="77777777" w:rsidTr="00B55F24">
        <w:tc>
          <w:tcPr>
            <w:tcW w:w="0" w:type="auto"/>
            <w:shd w:val="clear" w:color="auto" w:fill="FFFFFF"/>
            <w:tcMar>
              <w:top w:w="0" w:type="dxa"/>
              <w:left w:w="85" w:type="dxa"/>
              <w:bottom w:w="0" w:type="dxa"/>
              <w:right w:w="85" w:type="dxa"/>
            </w:tcMar>
          </w:tcPr>
          <w:p w14:paraId="1A636BB5" w14:textId="77777777" w:rsidR="00E87995" w:rsidRPr="009E06AA" w:rsidRDefault="00E87995" w:rsidP="00B55F24">
            <w:pPr>
              <w:pStyle w:val="TableTextBold"/>
              <w:spacing w:before="40" w:after="40"/>
              <w:rPr>
                <w:noProof w:val="0"/>
              </w:rPr>
            </w:pPr>
            <w:r w:rsidRPr="009E06AA">
              <w:rPr>
                <w:noProof w:val="0"/>
                <w:color w:val="1B556B"/>
              </w:rPr>
              <w:t>2009</w:t>
            </w:r>
          </w:p>
        </w:tc>
        <w:tc>
          <w:tcPr>
            <w:tcW w:w="0" w:type="auto"/>
            <w:shd w:val="clear" w:color="auto" w:fill="FFFFFF"/>
            <w:tcMar>
              <w:top w:w="0" w:type="dxa"/>
              <w:left w:w="85" w:type="dxa"/>
              <w:bottom w:w="0" w:type="dxa"/>
              <w:right w:w="85" w:type="dxa"/>
            </w:tcMar>
          </w:tcPr>
          <w:p w14:paraId="7327B872" w14:textId="77777777" w:rsidR="00E87995" w:rsidRPr="009E06AA" w:rsidRDefault="00E87995" w:rsidP="00FE7C1C">
            <w:pPr>
              <w:pStyle w:val="TableText"/>
              <w:spacing w:before="40" w:after="40"/>
              <w:jc w:val="right"/>
            </w:pPr>
            <w:r w:rsidRPr="009E06AA">
              <w:rPr>
                <w:color w:val="000000"/>
              </w:rPr>
              <w:t>0.6</w:t>
            </w:r>
          </w:p>
        </w:tc>
        <w:tc>
          <w:tcPr>
            <w:tcW w:w="0" w:type="auto"/>
            <w:shd w:val="clear" w:color="auto" w:fill="FFFFFF"/>
            <w:tcMar>
              <w:top w:w="0" w:type="dxa"/>
              <w:left w:w="85" w:type="dxa"/>
              <w:bottom w:w="0" w:type="dxa"/>
              <w:right w:w="85" w:type="dxa"/>
            </w:tcMar>
          </w:tcPr>
          <w:p w14:paraId="55DBE85F" w14:textId="77777777" w:rsidR="00E87995" w:rsidRPr="009E06AA" w:rsidRDefault="00E87995" w:rsidP="00FE7C1C">
            <w:pPr>
              <w:pStyle w:val="TableText"/>
              <w:spacing w:before="40" w:after="40"/>
              <w:jc w:val="right"/>
            </w:pPr>
            <w:r w:rsidRPr="009E06AA">
              <w:rPr>
                <w:color w:val="000000"/>
              </w:rPr>
              <w:t>0.3</w:t>
            </w:r>
          </w:p>
        </w:tc>
        <w:tc>
          <w:tcPr>
            <w:tcW w:w="0" w:type="auto"/>
            <w:shd w:val="clear" w:color="auto" w:fill="FFFFFF"/>
            <w:tcMar>
              <w:top w:w="0" w:type="dxa"/>
              <w:left w:w="85" w:type="dxa"/>
              <w:bottom w:w="0" w:type="dxa"/>
              <w:right w:w="85" w:type="dxa"/>
            </w:tcMar>
          </w:tcPr>
          <w:p w14:paraId="706E6132" w14:textId="77777777" w:rsidR="00E87995" w:rsidRPr="009E06AA" w:rsidRDefault="00E87995" w:rsidP="00FE7C1C">
            <w:pPr>
              <w:pStyle w:val="TableText"/>
              <w:spacing w:before="40" w:after="40"/>
              <w:jc w:val="right"/>
            </w:pPr>
            <w:r w:rsidRPr="009E06AA">
              <w:rPr>
                <w:color w:val="000000"/>
              </w:rPr>
              <w:t>4.5</w:t>
            </w:r>
          </w:p>
        </w:tc>
        <w:tc>
          <w:tcPr>
            <w:tcW w:w="0" w:type="auto"/>
            <w:shd w:val="clear" w:color="auto" w:fill="FFFFFF"/>
            <w:tcMar>
              <w:top w:w="0" w:type="dxa"/>
              <w:left w:w="85" w:type="dxa"/>
              <w:bottom w:w="0" w:type="dxa"/>
              <w:right w:w="85" w:type="dxa"/>
            </w:tcMar>
          </w:tcPr>
          <w:p w14:paraId="5593AF74" w14:textId="77777777" w:rsidR="00E87995" w:rsidRPr="009E06AA" w:rsidRDefault="00E87995" w:rsidP="00FE7C1C">
            <w:pPr>
              <w:pStyle w:val="TableText"/>
              <w:spacing w:before="40" w:after="40"/>
              <w:jc w:val="right"/>
            </w:pPr>
            <w:r w:rsidRPr="009E06AA">
              <w:rPr>
                <w:color w:val="000000"/>
              </w:rPr>
              <w:t>5.4</w:t>
            </w:r>
          </w:p>
        </w:tc>
      </w:tr>
      <w:tr w:rsidR="00E87995" w:rsidRPr="009E06AA" w14:paraId="14242759" w14:textId="77777777" w:rsidTr="00B55F24">
        <w:tc>
          <w:tcPr>
            <w:tcW w:w="0" w:type="auto"/>
            <w:shd w:val="clear" w:color="auto" w:fill="FFFFFF"/>
            <w:tcMar>
              <w:top w:w="0" w:type="dxa"/>
              <w:left w:w="85" w:type="dxa"/>
              <w:bottom w:w="0" w:type="dxa"/>
              <w:right w:w="85" w:type="dxa"/>
            </w:tcMar>
          </w:tcPr>
          <w:p w14:paraId="3B8D4B10" w14:textId="77777777" w:rsidR="00E87995" w:rsidRPr="009E06AA" w:rsidRDefault="00E87995" w:rsidP="00B55F24">
            <w:pPr>
              <w:pStyle w:val="TableTextBold"/>
              <w:spacing w:before="40" w:after="40"/>
              <w:rPr>
                <w:noProof w:val="0"/>
              </w:rPr>
            </w:pPr>
            <w:r w:rsidRPr="009E06AA">
              <w:rPr>
                <w:noProof w:val="0"/>
                <w:color w:val="1B556B"/>
              </w:rPr>
              <w:t>2010</w:t>
            </w:r>
          </w:p>
        </w:tc>
        <w:tc>
          <w:tcPr>
            <w:tcW w:w="0" w:type="auto"/>
            <w:shd w:val="clear" w:color="auto" w:fill="FFFFFF"/>
            <w:tcMar>
              <w:top w:w="0" w:type="dxa"/>
              <w:left w:w="85" w:type="dxa"/>
              <w:bottom w:w="0" w:type="dxa"/>
              <w:right w:w="85" w:type="dxa"/>
            </w:tcMar>
          </w:tcPr>
          <w:p w14:paraId="36858432" w14:textId="77777777" w:rsidR="00E87995" w:rsidRPr="009E06AA" w:rsidRDefault="00E87995" w:rsidP="00FE7C1C">
            <w:pPr>
              <w:pStyle w:val="TableText"/>
              <w:spacing w:before="40" w:after="40"/>
              <w:jc w:val="right"/>
            </w:pPr>
            <w:r w:rsidRPr="009E06AA">
              <w:rPr>
                <w:color w:val="000000"/>
              </w:rPr>
              <w:t>0.6</w:t>
            </w:r>
          </w:p>
        </w:tc>
        <w:tc>
          <w:tcPr>
            <w:tcW w:w="0" w:type="auto"/>
            <w:shd w:val="clear" w:color="auto" w:fill="FFFFFF"/>
            <w:tcMar>
              <w:top w:w="0" w:type="dxa"/>
              <w:left w:w="85" w:type="dxa"/>
              <w:bottom w:w="0" w:type="dxa"/>
              <w:right w:w="85" w:type="dxa"/>
            </w:tcMar>
          </w:tcPr>
          <w:p w14:paraId="3B2D54C5" w14:textId="77777777" w:rsidR="00E87995" w:rsidRPr="009E06AA" w:rsidRDefault="00E87995" w:rsidP="00FE7C1C">
            <w:pPr>
              <w:pStyle w:val="TableText"/>
              <w:spacing w:before="40" w:after="40"/>
              <w:jc w:val="right"/>
            </w:pPr>
            <w:r w:rsidRPr="009E06AA">
              <w:rPr>
                <w:color w:val="000000"/>
              </w:rPr>
              <w:t>0.3</w:t>
            </w:r>
          </w:p>
        </w:tc>
        <w:tc>
          <w:tcPr>
            <w:tcW w:w="0" w:type="auto"/>
            <w:shd w:val="clear" w:color="auto" w:fill="FFFFFF"/>
            <w:tcMar>
              <w:top w:w="0" w:type="dxa"/>
              <w:left w:w="85" w:type="dxa"/>
              <w:bottom w:w="0" w:type="dxa"/>
              <w:right w:w="85" w:type="dxa"/>
            </w:tcMar>
          </w:tcPr>
          <w:p w14:paraId="5519E4E7" w14:textId="77777777" w:rsidR="00E87995" w:rsidRPr="009E06AA" w:rsidRDefault="00E87995" w:rsidP="00FE7C1C">
            <w:pPr>
              <w:pStyle w:val="TableText"/>
              <w:spacing w:before="40" w:after="40"/>
              <w:jc w:val="right"/>
            </w:pPr>
            <w:r w:rsidRPr="009E06AA">
              <w:rPr>
                <w:color w:val="000000"/>
              </w:rPr>
              <w:t>4.5</w:t>
            </w:r>
          </w:p>
        </w:tc>
        <w:tc>
          <w:tcPr>
            <w:tcW w:w="0" w:type="auto"/>
            <w:shd w:val="clear" w:color="auto" w:fill="FFFFFF"/>
            <w:tcMar>
              <w:top w:w="0" w:type="dxa"/>
              <w:left w:w="85" w:type="dxa"/>
              <w:bottom w:w="0" w:type="dxa"/>
              <w:right w:w="85" w:type="dxa"/>
            </w:tcMar>
          </w:tcPr>
          <w:p w14:paraId="5D6F5BDD" w14:textId="77777777" w:rsidR="00E87995" w:rsidRPr="009E06AA" w:rsidRDefault="00E87995" w:rsidP="00FE7C1C">
            <w:pPr>
              <w:pStyle w:val="TableText"/>
              <w:spacing w:before="40" w:after="40"/>
              <w:jc w:val="right"/>
            </w:pPr>
            <w:r w:rsidRPr="009E06AA">
              <w:rPr>
                <w:color w:val="000000"/>
              </w:rPr>
              <w:t>5.4</w:t>
            </w:r>
          </w:p>
        </w:tc>
      </w:tr>
      <w:tr w:rsidR="00E87995" w:rsidRPr="009E06AA" w14:paraId="599C7CC9" w14:textId="77777777" w:rsidTr="00B55F24">
        <w:tc>
          <w:tcPr>
            <w:tcW w:w="0" w:type="auto"/>
            <w:shd w:val="clear" w:color="auto" w:fill="FFFFFF"/>
            <w:tcMar>
              <w:top w:w="0" w:type="dxa"/>
              <w:left w:w="85" w:type="dxa"/>
              <w:bottom w:w="0" w:type="dxa"/>
              <w:right w:w="85" w:type="dxa"/>
            </w:tcMar>
          </w:tcPr>
          <w:p w14:paraId="4A0630B0" w14:textId="77777777" w:rsidR="00E87995" w:rsidRPr="009E06AA" w:rsidRDefault="00E87995" w:rsidP="00B55F24">
            <w:pPr>
              <w:pStyle w:val="TableTextBold"/>
              <w:spacing w:before="40" w:after="40"/>
              <w:rPr>
                <w:noProof w:val="0"/>
              </w:rPr>
            </w:pPr>
            <w:r w:rsidRPr="009E06AA">
              <w:rPr>
                <w:noProof w:val="0"/>
                <w:color w:val="1B556B"/>
              </w:rPr>
              <w:t>2011</w:t>
            </w:r>
          </w:p>
        </w:tc>
        <w:tc>
          <w:tcPr>
            <w:tcW w:w="0" w:type="auto"/>
            <w:shd w:val="clear" w:color="auto" w:fill="FFFFFF"/>
            <w:tcMar>
              <w:top w:w="0" w:type="dxa"/>
              <w:left w:w="85" w:type="dxa"/>
              <w:bottom w:w="0" w:type="dxa"/>
              <w:right w:w="85" w:type="dxa"/>
            </w:tcMar>
          </w:tcPr>
          <w:p w14:paraId="6A86A1FB" w14:textId="77777777" w:rsidR="00E87995" w:rsidRPr="009E06AA" w:rsidRDefault="00E87995" w:rsidP="00FE7C1C">
            <w:pPr>
              <w:pStyle w:val="TableText"/>
              <w:spacing w:before="40" w:after="40"/>
              <w:jc w:val="right"/>
            </w:pPr>
            <w:r w:rsidRPr="009E06AA">
              <w:rPr>
                <w:color w:val="000000"/>
              </w:rPr>
              <w:t>0.6</w:t>
            </w:r>
          </w:p>
        </w:tc>
        <w:tc>
          <w:tcPr>
            <w:tcW w:w="0" w:type="auto"/>
            <w:shd w:val="clear" w:color="auto" w:fill="FFFFFF"/>
            <w:tcMar>
              <w:top w:w="0" w:type="dxa"/>
              <w:left w:w="85" w:type="dxa"/>
              <w:bottom w:w="0" w:type="dxa"/>
              <w:right w:w="85" w:type="dxa"/>
            </w:tcMar>
          </w:tcPr>
          <w:p w14:paraId="4A01166A" w14:textId="77777777" w:rsidR="00E87995" w:rsidRPr="009E06AA" w:rsidRDefault="00E87995" w:rsidP="00FE7C1C">
            <w:pPr>
              <w:pStyle w:val="TableText"/>
              <w:spacing w:before="40" w:after="40"/>
              <w:jc w:val="right"/>
            </w:pPr>
            <w:r w:rsidRPr="009E06AA">
              <w:rPr>
                <w:color w:val="000000"/>
              </w:rPr>
              <w:t>0.3</w:t>
            </w:r>
          </w:p>
        </w:tc>
        <w:tc>
          <w:tcPr>
            <w:tcW w:w="0" w:type="auto"/>
            <w:shd w:val="clear" w:color="auto" w:fill="FFFFFF"/>
            <w:tcMar>
              <w:top w:w="0" w:type="dxa"/>
              <w:left w:w="85" w:type="dxa"/>
              <w:bottom w:w="0" w:type="dxa"/>
              <w:right w:w="85" w:type="dxa"/>
            </w:tcMar>
          </w:tcPr>
          <w:p w14:paraId="26C5C07E" w14:textId="77777777" w:rsidR="00E87995" w:rsidRPr="009E06AA" w:rsidRDefault="00E87995" w:rsidP="00FE7C1C">
            <w:pPr>
              <w:pStyle w:val="TableText"/>
              <w:spacing w:before="40" w:after="40"/>
              <w:jc w:val="right"/>
            </w:pPr>
            <w:r w:rsidRPr="009E06AA">
              <w:rPr>
                <w:color w:val="000000"/>
              </w:rPr>
              <w:t>4.5</w:t>
            </w:r>
          </w:p>
        </w:tc>
        <w:tc>
          <w:tcPr>
            <w:tcW w:w="0" w:type="auto"/>
            <w:shd w:val="clear" w:color="auto" w:fill="FFFFFF"/>
            <w:tcMar>
              <w:top w:w="0" w:type="dxa"/>
              <w:left w:w="85" w:type="dxa"/>
              <w:bottom w:w="0" w:type="dxa"/>
              <w:right w:w="85" w:type="dxa"/>
            </w:tcMar>
          </w:tcPr>
          <w:p w14:paraId="0B766F67" w14:textId="77777777" w:rsidR="00E87995" w:rsidRPr="009E06AA" w:rsidRDefault="00E87995" w:rsidP="00FE7C1C">
            <w:pPr>
              <w:pStyle w:val="TableText"/>
              <w:spacing w:before="40" w:after="40"/>
              <w:jc w:val="right"/>
            </w:pPr>
            <w:r w:rsidRPr="009E06AA">
              <w:rPr>
                <w:color w:val="000000"/>
              </w:rPr>
              <w:t>5.4</w:t>
            </w:r>
          </w:p>
        </w:tc>
      </w:tr>
      <w:tr w:rsidR="00E87995" w:rsidRPr="009E06AA" w14:paraId="0352A9D3" w14:textId="77777777" w:rsidTr="00B55F24">
        <w:tc>
          <w:tcPr>
            <w:tcW w:w="0" w:type="auto"/>
            <w:shd w:val="clear" w:color="auto" w:fill="FFFFFF"/>
            <w:tcMar>
              <w:top w:w="0" w:type="dxa"/>
              <w:left w:w="85" w:type="dxa"/>
              <w:bottom w:w="0" w:type="dxa"/>
              <w:right w:w="85" w:type="dxa"/>
            </w:tcMar>
          </w:tcPr>
          <w:p w14:paraId="636C17F7" w14:textId="77777777" w:rsidR="00E87995" w:rsidRPr="009E06AA" w:rsidRDefault="00E87995" w:rsidP="00B55F24">
            <w:pPr>
              <w:pStyle w:val="TableTextBold"/>
              <w:spacing w:before="40" w:after="40"/>
              <w:rPr>
                <w:noProof w:val="0"/>
              </w:rPr>
            </w:pPr>
            <w:r w:rsidRPr="009E06AA">
              <w:rPr>
                <w:noProof w:val="0"/>
                <w:color w:val="1B556B"/>
              </w:rPr>
              <w:t>2012</w:t>
            </w:r>
          </w:p>
        </w:tc>
        <w:tc>
          <w:tcPr>
            <w:tcW w:w="0" w:type="auto"/>
            <w:shd w:val="clear" w:color="auto" w:fill="FFFFFF"/>
            <w:tcMar>
              <w:top w:w="0" w:type="dxa"/>
              <w:left w:w="85" w:type="dxa"/>
              <w:bottom w:w="0" w:type="dxa"/>
              <w:right w:w="85" w:type="dxa"/>
            </w:tcMar>
          </w:tcPr>
          <w:p w14:paraId="44E03C9E" w14:textId="77777777" w:rsidR="00E87995" w:rsidRPr="009E06AA" w:rsidRDefault="00E87995" w:rsidP="00FE7C1C">
            <w:pPr>
              <w:pStyle w:val="TableText"/>
              <w:spacing w:before="40" w:after="40"/>
              <w:jc w:val="right"/>
            </w:pPr>
            <w:r w:rsidRPr="009E06AA">
              <w:rPr>
                <w:color w:val="000000"/>
              </w:rPr>
              <w:t>0.6</w:t>
            </w:r>
          </w:p>
        </w:tc>
        <w:tc>
          <w:tcPr>
            <w:tcW w:w="0" w:type="auto"/>
            <w:shd w:val="clear" w:color="auto" w:fill="FFFFFF"/>
            <w:tcMar>
              <w:top w:w="0" w:type="dxa"/>
              <w:left w:w="85" w:type="dxa"/>
              <w:bottom w:w="0" w:type="dxa"/>
              <w:right w:w="85" w:type="dxa"/>
            </w:tcMar>
          </w:tcPr>
          <w:p w14:paraId="698243BA" w14:textId="77777777" w:rsidR="00E87995" w:rsidRPr="009E06AA" w:rsidRDefault="00E87995" w:rsidP="00FE7C1C">
            <w:pPr>
              <w:pStyle w:val="TableText"/>
              <w:spacing w:before="40" w:after="40"/>
              <w:jc w:val="right"/>
            </w:pPr>
            <w:r w:rsidRPr="009E06AA">
              <w:rPr>
                <w:color w:val="000000"/>
              </w:rPr>
              <w:t>0.3</w:t>
            </w:r>
          </w:p>
        </w:tc>
        <w:tc>
          <w:tcPr>
            <w:tcW w:w="0" w:type="auto"/>
            <w:shd w:val="clear" w:color="auto" w:fill="FFFFFF"/>
            <w:tcMar>
              <w:top w:w="0" w:type="dxa"/>
              <w:left w:w="85" w:type="dxa"/>
              <w:bottom w:w="0" w:type="dxa"/>
              <w:right w:w="85" w:type="dxa"/>
            </w:tcMar>
          </w:tcPr>
          <w:p w14:paraId="456D179A" w14:textId="77777777" w:rsidR="00E87995" w:rsidRPr="009E06AA" w:rsidRDefault="00E87995" w:rsidP="00FE7C1C">
            <w:pPr>
              <w:pStyle w:val="TableText"/>
              <w:spacing w:before="40" w:after="40"/>
              <w:jc w:val="right"/>
            </w:pPr>
            <w:r w:rsidRPr="009E06AA">
              <w:rPr>
                <w:color w:val="000000"/>
              </w:rPr>
              <w:t>4.5</w:t>
            </w:r>
          </w:p>
        </w:tc>
        <w:tc>
          <w:tcPr>
            <w:tcW w:w="0" w:type="auto"/>
            <w:shd w:val="clear" w:color="auto" w:fill="FFFFFF"/>
            <w:tcMar>
              <w:top w:w="0" w:type="dxa"/>
              <w:left w:w="85" w:type="dxa"/>
              <w:bottom w:w="0" w:type="dxa"/>
              <w:right w:w="85" w:type="dxa"/>
            </w:tcMar>
          </w:tcPr>
          <w:p w14:paraId="052F5168" w14:textId="77777777" w:rsidR="00E87995" w:rsidRPr="009E06AA" w:rsidRDefault="00E87995" w:rsidP="00FE7C1C">
            <w:pPr>
              <w:pStyle w:val="TableText"/>
              <w:spacing w:before="40" w:after="40"/>
              <w:jc w:val="right"/>
            </w:pPr>
            <w:r w:rsidRPr="009E06AA">
              <w:rPr>
                <w:color w:val="000000"/>
              </w:rPr>
              <w:t>5.4</w:t>
            </w:r>
          </w:p>
        </w:tc>
      </w:tr>
      <w:tr w:rsidR="00E87995" w:rsidRPr="009E06AA" w14:paraId="20560961" w14:textId="77777777" w:rsidTr="00B55F24">
        <w:tc>
          <w:tcPr>
            <w:tcW w:w="0" w:type="auto"/>
            <w:shd w:val="clear" w:color="auto" w:fill="FFFFFF"/>
            <w:tcMar>
              <w:top w:w="0" w:type="dxa"/>
              <w:left w:w="85" w:type="dxa"/>
              <w:bottom w:w="0" w:type="dxa"/>
              <w:right w:w="85" w:type="dxa"/>
            </w:tcMar>
          </w:tcPr>
          <w:p w14:paraId="1549A91F" w14:textId="77777777" w:rsidR="00E87995" w:rsidRPr="009E06AA" w:rsidRDefault="00E87995" w:rsidP="00B55F24">
            <w:pPr>
              <w:pStyle w:val="TableTextBold"/>
              <w:spacing w:before="40" w:after="40"/>
              <w:rPr>
                <w:noProof w:val="0"/>
              </w:rPr>
            </w:pPr>
            <w:r w:rsidRPr="009E06AA">
              <w:rPr>
                <w:noProof w:val="0"/>
                <w:color w:val="1B556B"/>
              </w:rPr>
              <w:t>2013</w:t>
            </w:r>
          </w:p>
        </w:tc>
        <w:tc>
          <w:tcPr>
            <w:tcW w:w="0" w:type="auto"/>
            <w:shd w:val="clear" w:color="auto" w:fill="FFFFFF"/>
            <w:tcMar>
              <w:top w:w="0" w:type="dxa"/>
              <w:left w:w="85" w:type="dxa"/>
              <w:bottom w:w="0" w:type="dxa"/>
              <w:right w:w="85" w:type="dxa"/>
            </w:tcMar>
          </w:tcPr>
          <w:p w14:paraId="45E9B6D9" w14:textId="77777777" w:rsidR="00E87995" w:rsidRPr="009E06AA" w:rsidRDefault="00E87995" w:rsidP="00FE7C1C">
            <w:pPr>
              <w:pStyle w:val="TableText"/>
              <w:spacing w:before="40" w:after="40"/>
              <w:jc w:val="right"/>
            </w:pPr>
            <w:r w:rsidRPr="009E06AA">
              <w:rPr>
                <w:color w:val="000000"/>
              </w:rPr>
              <w:t>0.6</w:t>
            </w:r>
          </w:p>
        </w:tc>
        <w:tc>
          <w:tcPr>
            <w:tcW w:w="0" w:type="auto"/>
            <w:shd w:val="clear" w:color="auto" w:fill="FFFFFF"/>
            <w:tcMar>
              <w:top w:w="0" w:type="dxa"/>
              <w:left w:w="85" w:type="dxa"/>
              <w:bottom w:w="0" w:type="dxa"/>
              <w:right w:w="85" w:type="dxa"/>
            </w:tcMar>
          </w:tcPr>
          <w:p w14:paraId="3218703C" w14:textId="77777777" w:rsidR="00E87995" w:rsidRPr="009E06AA" w:rsidRDefault="00E87995" w:rsidP="00FE7C1C">
            <w:pPr>
              <w:pStyle w:val="TableText"/>
              <w:spacing w:before="40" w:after="40"/>
              <w:jc w:val="right"/>
            </w:pPr>
            <w:r w:rsidRPr="009E06AA">
              <w:rPr>
                <w:color w:val="000000"/>
              </w:rPr>
              <w:t>0.3</w:t>
            </w:r>
          </w:p>
        </w:tc>
        <w:tc>
          <w:tcPr>
            <w:tcW w:w="0" w:type="auto"/>
            <w:shd w:val="clear" w:color="auto" w:fill="FFFFFF"/>
            <w:tcMar>
              <w:top w:w="0" w:type="dxa"/>
              <w:left w:w="85" w:type="dxa"/>
              <w:bottom w:w="0" w:type="dxa"/>
              <w:right w:w="85" w:type="dxa"/>
            </w:tcMar>
          </w:tcPr>
          <w:p w14:paraId="6E96799F" w14:textId="77777777" w:rsidR="00E87995" w:rsidRPr="009E06AA" w:rsidRDefault="00E87995" w:rsidP="00FE7C1C">
            <w:pPr>
              <w:pStyle w:val="TableText"/>
              <w:spacing w:before="40" w:after="40"/>
              <w:jc w:val="right"/>
            </w:pPr>
            <w:r w:rsidRPr="009E06AA">
              <w:rPr>
                <w:color w:val="000000"/>
              </w:rPr>
              <w:t>4.5</w:t>
            </w:r>
          </w:p>
        </w:tc>
        <w:tc>
          <w:tcPr>
            <w:tcW w:w="0" w:type="auto"/>
            <w:shd w:val="clear" w:color="auto" w:fill="FFFFFF"/>
            <w:tcMar>
              <w:top w:w="0" w:type="dxa"/>
              <w:left w:w="85" w:type="dxa"/>
              <w:bottom w:w="0" w:type="dxa"/>
              <w:right w:w="85" w:type="dxa"/>
            </w:tcMar>
          </w:tcPr>
          <w:p w14:paraId="1DC4C213" w14:textId="77777777" w:rsidR="00E87995" w:rsidRPr="009E06AA" w:rsidRDefault="00E87995" w:rsidP="00FE7C1C">
            <w:pPr>
              <w:pStyle w:val="TableText"/>
              <w:spacing w:before="40" w:after="40"/>
              <w:jc w:val="right"/>
            </w:pPr>
            <w:r w:rsidRPr="009E06AA">
              <w:rPr>
                <w:color w:val="000000"/>
              </w:rPr>
              <w:t>5.4</w:t>
            </w:r>
          </w:p>
        </w:tc>
      </w:tr>
      <w:tr w:rsidR="00E87995" w:rsidRPr="009E06AA" w14:paraId="110E5DC5" w14:textId="77777777" w:rsidTr="00B55F24">
        <w:tc>
          <w:tcPr>
            <w:tcW w:w="0" w:type="auto"/>
            <w:shd w:val="clear" w:color="auto" w:fill="FFFFFF"/>
            <w:tcMar>
              <w:top w:w="0" w:type="dxa"/>
              <w:left w:w="85" w:type="dxa"/>
              <w:bottom w:w="0" w:type="dxa"/>
              <w:right w:w="85" w:type="dxa"/>
            </w:tcMar>
          </w:tcPr>
          <w:p w14:paraId="1FB283BD" w14:textId="77777777" w:rsidR="00E87995" w:rsidRPr="009E06AA" w:rsidRDefault="00E87995" w:rsidP="00B55F24">
            <w:pPr>
              <w:pStyle w:val="TableTextBold"/>
              <w:spacing w:before="40" w:after="40"/>
              <w:rPr>
                <w:noProof w:val="0"/>
              </w:rPr>
            </w:pPr>
            <w:r w:rsidRPr="009E06AA">
              <w:rPr>
                <w:noProof w:val="0"/>
                <w:color w:val="1B556B"/>
              </w:rPr>
              <w:t>2014</w:t>
            </w:r>
          </w:p>
        </w:tc>
        <w:tc>
          <w:tcPr>
            <w:tcW w:w="0" w:type="auto"/>
            <w:shd w:val="clear" w:color="auto" w:fill="FFFFFF"/>
            <w:tcMar>
              <w:top w:w="0" w:type="dxa"/>
              <w:left w:w="85" w:type="dxa"/>
              <w:bottom w:w="0" w:type="dxa"/>
              <w:right w:w="85" w:type="dxa"/>
            </w:tcMar>
          </w:tcPr>
          <w:p w14:paraId="1E74B7AA" w14:textId="77777777" w:rsidR="00E87995" w:rsidRPr="009E06AA" w:rsidRDefault="00E87995" w:rsidP="00FE7C1C">
            <w:pPr>
              <w:pStyle w:val="TableText"/>
              <w:spacing w:before="40" w:after="40"/>
              <w:jc w:val="right"/>
            </w:pPr>
            <w:r w:rsidRPr="009E06AA">
              <w:rPr>
                <w:color w:val="000000"/>
              </w:rPr>
              <w:t>0.6</w:t>
            </w:r>
          </w:p>
        </w:tc>
        <w:tc>
          <w:tcPr>
            <w:tcW w:w="0" w:type="auto"/>
            <w:shd w:val="clear" w:color="auto" w:fill="FFFFFF"/>
            <w:tcMar>
              <w:top w:w="0" w:type="dxa"/>
              <w:left w:w="85" w:type="dxa"/>
              <w:bottom w:w="0" w:type="dxa"/>
              <w:right w:w="85" w:type="dxa"/>
            </w:tcMar>
          </w:tcPr>
          <w:p w14:paraId="7EB6AB9A" w14:textId="77777777" w:rsidR="00E87995" w:rsidRPr="009E06AA" w:rsidRDefault="00E87995" w:rsidP="00FE7C1C">
            <w:pPr>
              <w:pStyle w:val="TableText"/>
              <w:spacing w:before="40" w:after="40"/>
              <w:jc w:val="right"/>
            </w:pPr>
            <w:r w:rsidRPr="009E06AA">
              <w:rPr>
                <w:color w:val="000000"/>
              </w:rPr>
              <w:t>0.3</w:t>
            </w:r>
          </w:p>
        </w:tc>
        <w:tc>
          <w:tcPr>
            <w:tcW w:w="0" w:type="auto"/>
            <w:shd w:val="clear" w:color="auto" w:fill="FFFFFF"/>
            <w:tcMar>
              <w:top w:w="0" w:type="dxa"/>
              <w:left w:w="85" w:type="dxa"/>
              <w:bottom w:w="0" w:type="dxa"/>
              <w:right w:w="85" w:type="dxa"/>
            </w:tcMar>
          </w:tcPr>
          <w:p w14:paraId="40E231A6" w14:textId="77777777" w:rsidR="00E87995" w:rsidRPr="009E06AA" w:rsidRDefault="00E87995" w:rsidP="00FE7C1C">
            <w:pPr>
              <w:pStyle w:val="TableText"/>
              <w:spacing w:before="40" w:after="40"/>
              <w:jc w:val="right"/>
            </w:pPr>
            <w:r w:rsidRPr="009E06AA">
              <w:rPr>
                <w:color w:val="000000"/>
              </w:rPr>
              <w:t>4.5</w:t>
            </w:r>
          </w:p>
        </w:tc>
        <w:tc>
          <w:tcPr>
            <w:tcW w:w="0" w:type="auto"/>
            <w:shd w:val="clear" w:color="auto" w:fill="FFFFFF"/>
            <w:tcMar>
              <w:top w:w="0" w:type="dxa"/>
              <w:left w:w="85" w:type="dxa"/>
              <w:bottom w:w="0" w:type="dxa"/>
              <w:right w:w="85" w:type="dxa"/>
            </w:tcMar>
          </w:tcPr>
          <w:p w14:paraId="40978D23" w14:textId="77777777" w:rsidR="00E87995" w:rsidRPr="009E06AA" w:rsidRDefault="00E87995" w:rsidP="00FE7C1C">
            <w:pPr>
              <w:pStyle w:val="TableText"/>
              <w:spacing w:before="40" w:after="40"/>
              <w:jc w:val="right"/>
            </w:pPr>
            <w:r w:rsidRPr="009E06AA">
              <w:rPr>
                <w:color w:val="000000"/>
              </w:rPr>
              <w:t>5.4</w:t>
            </w:r>
          </w:p>
        </w:tc>
      </w:tr>
      <w:tr w:rsidR="00E87995" w:rsidRPr="009E06AA" w14:paraId="5D78B84A" w14:textId="77777777" w:rsidTr="00B55F24">
        <w:tc>
          <w:tcPr>
            <w:tcW w:w="0" w:type="auto"/>
            <w:shd w:val="clear" w:color="auto" w:fill="FFFFFF"/>
            <w:tcMar>
              <w:top w:w="0" w:type="dxa"/>
              <w:left w:w="85" w:type="dxa"/>
              <w:bottom w:w="0" w:type="dxa"/>
              <w:right w:w="85" w:type="dxa"/>
            </w:tcMar>
          </w:tcPr>
          <w:p w14:paraId="6F30112D" w14:textId="77777777" w:rsidR="00E87995" w:rsidRPr="009E06AA" w:rsidRDefault="00E87995" w:rsidP="00B55F24">
            <w:pPr>
              <w:pStyle w:val="TableTextBold"/>
              <w:spacing w:before="40" w:after="40"/>
              <w:rPr>
                <w:noProof w:val="0"/>
              </w:rPr>
            </w:pPr>
            <w:r w:rsidRPr="009E06AA">
              <w:rPr>
                <w:noProof w:val="0"/>
                <w:color w:val="1B556B"/>
              </w:rPr>
              <w:t>2015</w:t>
            </w:r>
          </w:p>
        </w:tc>
        <w:tc>
          <w:tcPr>
            <w:tcW w:w="0" w:type="auto"/>
            <w:shd w:val="clear" w:color="auto" w:fill="FFFFFF"/>
            <w:tcMar>
              <w:top w:w="0" w:type="dxa"/>
              <w:left w:w="85" w:type="dxa"/>
              <w:bottom w:w="0" w:type="dxa"/>
              <w:right w:w="85" w:type="dxa"/>
            </w:tcMar>
          </w:tcPr>
          <w:p w14:paraId="220FD78C" w14:textId="77777777" w:rsidR="00E87995" w:rsidRPr="009E06AA" w:rsidRDefault="00E87995" w:rsidP="00FE7C1C">
            <w:pPr>
              <w:pStyle w:val="TableText"/>
              <w:spacing w:before="40" w:after="40"/>
              <w:jc w:val="right"/>
            </w:pPr>
            <w:r w:rsidRPr="009E06AA">
              <w:rPr>
                <w:color w:val="000000"/>
              </w:rPr>
              <w:t>0.6</w:t>
            </w:r>
          </w:p>
        </w:tc>
        <w:tc>
          <w:tcPr>
            <w:tcW w:w="0" w:type="auto"/>
            <w:shd w:val="clear" w:color="auto" w:fill="FFFFFF"/>
            <w:tcMar>
              <w:top w:w="0" w:type="dxa"/>
              <w:left w:w="85" w:type="dxa"/>
              <w:bottom w:w="0" w:type="dxa"/>
              <w:right w:w="85" w:type="dxa"/>
            </w:tcMar>
          </w:tcPr>
          <w:p w14:paraId="54CCD46C" w14:textId="77777777" w:rsidR="00E87995" w:rsidRPr="009E06AA" w:rsidRDefault="00E87995" w:rsidP="00FE7C1C">
            <w:pPr>
              <w:pStyle w:val="TableText"/>
              <w:spacing w:before="40" w:after="40"/>
              <w:jc w:val="right"/>
            </w:pPr>
            <w:r w:rsidRPr="009E06AA">
              <w:rPr>
                <w:color w:val="000000"/>
              </w:rPr>
              <w:t>0.3</w:t>
            </w:r>
          </w:p>
        </w:tc>
        <w:tc>
          <w:tcPr>
            <w:tcW w:w="0" w:type="auto"/>
            <w:shd w:val="clear" w:color="auto" w:fill="FFFFFF"/>
            <w:tcMar>
              <w:top w:w="0" w:type="dxa"/>
              <w:left w:w="85" w:type="dxa"/>
              <w:bottom w:w="0" w:type="dxa"/>
              <w:right w:w="85" w:type="dxa"/>
            </w:tcMar>
          </w:tcPr>
          <w:p w14:paraId="50FE26C6" w14:textId="77777777" w:rsidR="00E87995" w:rsidRPr="009E06AA" w:rsidRDefault="00E87995" w:rsidP="00FE7C1C">
            <w:pPr>
              <w:pStyle w:val="TableText"/>
              <w:spacing w:before="40" w:after="40"/>
              <w:jc w:val="right"/>
            </w:pPr>
            <w:r w:rsidRPr="009E06AA">
              <w:rPr>
                <w:color w:val="000000"/>
              </w:rPr>
              <w:t>4.5</w:t>
            </w:r>
          </w:p>
        </w:tc>
        <w:tc>
          <w:tcPr>
            <w:tcW w:w="0" w:type="auto"/>
            <w:shd w:val="clear" w:color="auto" w:fill="FFFFFF"/>
            <w:tcMar>
              <w:top w:w="0" w:type="dxa"/>
              <w:left w:w="85" w:type="dxa"/>
              <w:bottom w:w="0" w:type="dxa"/>
              <w:right w:w="85" w:type="dxa"/>
            </w:tcMar>
          </w:tcPr>
          <w:p w14:paraId="41225737" w14:textId="77777777" w:rsidR="00E87995" w:rsidRPr="009E06AA" w:rsidRDefault="00E87995" w:rsidP="00FE7C1C">
            <w:pPr>
              <w:pStyle w:val="TableText"/>
              <w:spacing w:before="40" w:after="40"/>
              <w:jc w:val="right"/>
            </w:pPr>
            <w:r w:rsidRPr="009E06AA">
              <w:rPr>
                <w:color w:val="000000"/>
              </w:rPr>
              <w:t>5.4</w:t>
            </w:r>
          </w:p>
        </w:tc>
      </w:tr>
      <w:tr w:rsidR="00E87995" w:rsidRPr="009E06AA" w14:paraId="3C848A6F" w14:textId="77777777" w:rsidTr="00B55F24">
        <w:tc>
          <w:tcPr>
            <w:tcW w:w="0" w:type="auto"/>
            <w:shd w:val="clear" w:color="auto" w:fill="FFFFFF"/>
            <w:tcMar>
              <w:top w:w="0" w:type="dxa"/>
              <w:left w:w="85" w:type="dxa"/>
              <w:bottom w:w="0" w:type="dxa"/>
              <w:right w:w="85" w:type="dxa"/>
            </w:tcMar>
          </w:tcPr>
          <w:p w14:paraId="7B42CA84" w14:textId="77777777" w:rsidR="00E87995" w:rsidRPr="009E06AA" w:rsidRDefault="00E87995" w:rsidP="00B55F24">
            <w:pPr>
              <w:pStyle w:val="TableTextBold"/>
              <w:spacing w:before="40" w:after="40"/>
              <w:rPr>
                <w:noProof w:val="0"/>
              </w:rPr>
            </w:pPr>
            <w:r w:rsidRPr="009E06AA">
              <w:rPr>
                <w:noProof w:val="0"/>
                <w:color w:val="1B556B"/>
              </w:rPr>
              <w:t>2016</w:t>
            </w:r>
          </w:p>
        </w:tc>
        <w:tc>
          <w:tcPr>
            <w:tcW w:w="0" w:type="auto"/>
            <w:shd w:val="clear" w:color="auto" w:fill="FFFFFF"/>
            <w:tcMar>
              <w:top w:w="0" w:type="dxa"/>
              <w:left w:w="85" w:type="dxa"/>
              <w:bottom w:w="0" w:type="dxa"/>
              <w:right w:w="85" w:type="dxa"/>
            </w:tcMar>
          </w:tcPr>
          <w:p w14:paraId="4C602FC6" w14:textId="77777777" w:rsidR="00E87995" w:rsidRPr="009E06AA" w:rsidRDefault="00E87995" w:rsidP="00FE7C1C">
            <w:pPr>
              <w:pStyle w:val="TableText"/>
              <w:spacing w:before="40" w:after="40"/>
              <w:jc w:val="right"/>
            </w:pPr>
            <w:r w:rsidRPr="009E06AA">
              <w:rPr>
                <w:color w:val="000000"/>
              </w:rPr>
              <w:t>0.6</w:t>
            </w:r>
          </w:p>
        </w:tc>
        <w:tc>
          <w:tcPr>
            <w:tcW w:w="0" w:type="auto"/>
            <w:shd w:val="clear" w:color="auto" w:fill="FFFFFF"/>
            <w:tcMar>
              <w:top w:w="0" w:type="dxa"/>
              <w:left w:w="85" w:type="dxa"/>
              <w:bottom w:w="0" w:type="dxa"/>
              <w:right w:w="85" w:type="dxa"/>
            </w:tcMar>
          </w:tcPr>
          <w:p w14:paraId="2115A8A8" w14:textId="77777777" w:rsidR="00E87995" w:rsidRPr="009E06AA" w:rsidRDefault="00E87995" w:rsidP="00FE7C1C">
            <w:pPr>
              <w:pStyle w:val="TableText"/>
              <w:spacing w:before="40" w:after="40"/>
              <w:jc w:val="right"/>
            </w:pPr>
            <w:r w:rsidRPr="009E06AA">
              <w:rPr>
                <w:color w:val="000000"/>
              </w:rPr>
              <w:t>0.3</w:t>
            </w:r>
          </w:p>
        </w:tc>
        <w:tc>
          <w:tcPr>
            <w:tcW w:w="0" w:type="auto"/>
            <w:shd w:val="clear" w:color="auto" w:fill="FFFFFF"/>
            <w:tcMar>
              <w:top w:w="0" w:type="dxa"/>
              <w:left w:w="85" w:type="dxa"/>
              <w:bottom w:w="0" w:type="dxa"/>
              <w:right w:w="85" w:type="dxa"/>
            </w:tcMar>
          </w:tcPr>
          <w:p w14:paraId="56F3F3D2" w14:textId="77777777" w:rsidR="00E87995" w:rsidRPr="009E06AA" w:rsidRDefault="00E87995" w:rsidP="00FE7C1C">
            <w:pPr>
              <w:pStyle w:val="TableText"/>
              <w:spacing w:before="40" w:after="40"/>
              <w:jc w:val="right"/>
            </w:pPr>
            <w:r w:rsidRPr="009E06AA">
              <w:rPr>
                <w:color w:val="000000"/>
              </w:rPr>
              <w:t>4.5</w:t>
            </w:r>
          </w:p>
        </w:tc>
        <w:tc>
          <w:tcPr>
            <w:tcW w:w="0" w:type="auto"/>
            <w:shd w:val="clear" w:color="auto" w:fill="FFFFFF"/>
            <w:tcMar>
              <w:top w:w="0" w:type="dxa"/>
              <w:left w:w="85" w:type="dxa"/>
              <w:bottom w:w="0" w:type="dxa"/>
              <w:right w:w="85" w:type="dxa"/>
            </w:tcMar>
          </w:tcPr>
          <w:p w14:paraId="67DDA15E" w14:textId="77777777" w:rsidR="00E87995" w:rsidRPr="009E06AA" w:rsidRDefault="00E87995" w:rsidP="00FE7C1C">
            <w:pPr>
              <w:pStyle w:val="TableText"/>
              <w:spacing w:before="40" w:after="40"/>
              <w:jc w:val="right"/>
            </w:pPr>
            <w:r w:rsidRPr="009E06AA">
              <w:rPr>
                <w:color w:val="000000"/>
              </w:rPr>
              <w:t>5.4</w:t>
            </w:r>
          </w:p>
        </w:tc>
      </w:tr>
      <w:tr w:rsidR="00E87995" w:rsidRPr="009E06AA" w14:paraId="5B9B39A7" w14:textId="77777777" w:rsidTr="00B55F24">
        <w:tc>
          <w:tcPr>
            <w:tcW w:w="0" w:type="auto"/>
            <w:shd w:val="clear" w:color="auto" w:fill="FFFFFF"/>
            <w:tcMar>
              <w:top w:w="0" w:type="dxa"/>
              <w:left w:w="85" w:type="dxa"/>
              <w:bottom w:w="0" w:type="dxa"/>
              <w:right w:w="85" w:type="dxa"/>
            </w:tcMar>
          </w:tcPr>
          <w:p w14:paraId="43BFA4C2" w14:textId="77777777" w:rsidR="00E87995" w:rsidRPr="009E06AA" w:rsidRDefault="00E87995" w:rsidP="00B55F24">
            <w:pPr>
              <w:pStyle w:val="TableTextBold"/>
              <w:spacing w:before="40" w:after="40"/>
              <w:rPr>
                <w:noProof w:val="0"/>
              </w:rPr>
            </w:pPr>
            <w:r w:rsidRPr="009E06AA">
              <w:rPr>
                <w:noProof w:val="0"/>
                <w:color w:val="1B556B"/>
              </w:rPr>
              <w:t>2017</w:t>
            </w:r>
          </w:p>
        </w:tc>
        <w:tc>
          <w:tcPr>
            <w:tcW w:w="0" w:type="auto"/>
            <w:shd w:val="clear" w:color="auto" w:fill="FFFFFF"/>
            <w:tcMar>
              <w:top w:w="0" w:type="dxa"/>
              <w:left w:w="85" w:type="dxa"/>
              <w:bottom w:w="0" w:type="dxa"/>
              <w:right w:w="85" w:type="dxa"/>
            </w:tcMar>
          </w:tcPr>
          <w:p w14:paraId="2A20778D" w14:textId="77777777" w:rsidR="00E87995" w:rsidRPr="009E06AA" w:rsidRDefault="00E87995" w:rsidP="00FE7C1C">
            <w:pPr>
              <w:pStyle w:val="TableText"/>
              <w:spacing w:before="40" w:after="40"/>
              <w:jc w:val="right"/>
            </w:pPr>
            <w:r w:rsidRPr="009E06AA">
              <w:rPr>
                <w:color w:val="000000"/>
              </w:rPr>
              <w:t>0.6</w:t>
            </w:r>
          </w:p>
        </w:tc>
        <w:tc>
          <w:tcPr>
            <w:tcW w:w="0" w:type="auto"/>
            <w:shd w:val="clear" w:color="auto" w:fill="FFFFFF"/>
            <w:tcMar>
              <w:top w:w="0" w:type="dxa"/>
              <w:left w:w="85" w:type="dxa"/>
              <w:bottom w:w="0" w:type="dxa"/>
              <w:right w:w="85" w:type="dxa"/>
            </w:tcMar>
          </w:tcPr>
          <w:p w14:paraId="3A97243B" w14:textId="77777777" w:rsidR="00E87995" w:rsidRPr="009E06AA" w:rsidRDefault="00E87995" w:rsidP="00FE7C1C">
            <w:pPr>
              <w:pStyle w:val="TableText"/>
              <w:spacing w:before="40" w:after="40"/>
              <w:jc w:val="right"/>
            </w:pPr>
            <w:r w:rsidRPr="009E06AA">
              <w:rPr>
                <w:color w:val="000000"/>
              </w:rPr>
              <w:t>0.3</w:t>
            </w:r>
          </w:p>
        </w:tc>
        <w:tc>
          <w:tcPr>
            <w:tcW w:w="0" w:type="auto"/>
            <w:shd w:val="clear" w:color="auto" w:fill="FFFFFF"/>
            <w:tcMar>
              <w:top w:w="0" w:type="dxa"/>
              <w:left w:w="85" w:type="dxa"/>
              <w:bottom w:w="0" w:type="dxa"/>
              <w:right w:w="85" w:type="dxa"/>
            </w:tcMar>
          </w:tcPr>
          <w:p w14:paraId="5355B443" w14:textId="77777777" w:rsidR="00E87995" w:rsidRPr="009E06AA" w:rsidRDefault="00E87995" w:rsidP="00FE7C1C">
            <w:pPr>
              <w:pStyle w:val="TableText"/>
              <w:spacing w:before="40" w:after="40"/>
              <w:jc w:val="right"/>
            </w:pPr>
            <w:r w:rsidRPr="009E06AA">
              <w:rPr>
                <w:color w:val="000000"/>
              </w:rPr>
              <w:t>4.5</w:t>
            </w:r>
          </w:p>
        </w:tc>
        <w:tc>
          <w:tcPr>
            <w:tcW w:w="0" w:type="auto"/>
            <w:shd w:val="clear" w:color="auto" w:fill="FFFFFF"/>
            <w:tcMar>
              <w:top w:w="0" w:type="dxa"/>
              <w:left w:w="85" w:type="dxa"/>
              <w:bottom w:w="0" w:type="dxa"/>
              <w:right w:w="85" w:type="dxa"/>
            </w:tcMar>
          </w:tcPr>
          <w:p w14:paraId="19F15D76" w14:textId="77777777" w:rsidR="00E87995" w:rsidRPr="009E06AA" w:rsidRDefault="00E87995" w:rsidP="00FE7C1C">
            <w:pPr>
              <w:pStyle w:val="TableText"/>
              <w:spacing w:before="40" w:after="40"/>
              <w:jc w:val="right"/>
            </w:pPr>
            <w:r w:rsidRPr="009E06AA">
              <w:rPr>
                <w:color w:val="000000"/>
              </w:rPr>
              <w:t>5.4</w:t>
            </w:r>
          </w:p>
        </w:tc>
      </w:tr>
      <w:tr w:rsidR="00E87995" w:rsidRPr="009E06AA" w14:paraId="2A652158" w14:textId="77777777" w:rsidTr="00B55F24">
        <w:tc>
          <w:tcPr>
            <w:tcW w:w="0" w:type="auto"/>
            <w:shd w:val="clear" w:color="auto" w:fill="FFFFFF"/>
            <w:tcMar>
              <w:top w:w="0" w:type="dxa"/>
              <w:left w:w="85" w:type="dxa"/>
              <w:bottom w:w="0" w:type="dxa"/>
              <w:right w:w="85" w:type="dxa"/>
            </w:tcMar>
          </w:tcPr>
          <w:p w14:paraId="6CFFA7F0" w14:textId="77777777" w:rsidR="00E87995" w:rsidRPr="009E06AA" w:rsidRDefault="00E87995" w:rsidP="00B55F24">
            <w:pPr>
              <w:pStyle w:val="TableTextBold"/>
              <w:spacing w:before="40" w:after="40"/>
              <w:rPr>
                <w:noProof w:val="0"/>
              </w:rPr>
            </w:pPr>
            <w:r w:rsidRPr="009E06AA">
              <w:rPr>
                <w:noProof w:val="0"/>
                <w:color w:val="1B556B"/>
              </w:rPr>
              <w:t>2018</w:t>
            </w:r>
          </w:p>
        </w:tc>
        <w:tc>
          <w:tcPr>
            <w:tcW w:w="0" w:type="auto"/>
            <w:shd w:val="clear" w:color="auto" w:fill="FFFFFF"/>
            <w:tcMar>
              <w:top w:w="0" w:type="dxa"/>
              <w:left w:w="85" w:type="dxa"/>
              <w:bottom w:w="0" w:type="dxa"/>
              <w:right w:w="85" w:type="dxa"/>
            </w:tcMar>
          </w:tcPr>
          <w:p w14:paraId="26DA8E16" w14:textId="77777777" w:rsidR="00E87995" w:rsidRPr="009E06AA" w:rsidRDefault="00E87995" w:rsidP="00FE7C1C">
            <w:pPr>
              <w:pStyle w:val="TableText"/>
              <w:spacing w:before="40" w:after="40"/>
              <w:jc w:val="right"/>
            </w:pPr>
            <w:r w:rsidRPr="009E06AA">
              <w:rPr>
                <w:color w:val="000000"/>
              </w:rPr>
              <w:t>0.6</w:t>
            </w:r>
          </w:p>
        </w:tc>
        <w:tc>
          <w:tcPr>
            <w:tcW w:w="0" w:type="auto"/>
            <w:shd w:val="clear" w:color="auto" w:fill="FFFFFF"/>
            <w:tcMar>
              <w:top w:w="0" w:type="dxa"/>
              <w:left w:w="85" w:type="dxa"/>
              <w:bottom w:w="0" w:type="dxa"/>
              <w:right w:w="85" w:type="dxa"/>
            </w:tcMar>
          </w:tcPr>
          <w:p w14:paraId="2989AB0D" w14:textId="77777777" w:rsidR="00E87995" w:rsidRPr="009E06AA" w:rsidRDefault="00E87995" w:rsidP="00FE7C1C">
            <w:pPr>
              <w:pStyle w:val="TableText"/>
              <w:spacing w:before="40" w:after="40"/>
              <w:jc w:val="right"/>
            </w:pPr>
            <w:r w:rsidRPr="009E06AA">
              <w:rPr>
                <w:color w:val="000000"/>
              </w:rPr>
              <w:t>0.3</w:t>
            </w:r>
          </w:p>
        </w:tc>
        <w:tc>
          <w:tcPr>
            <w:tcW w:w="0" w:type="auto"/>
            <w:shd w:val="clear" w:color="auto" w:fill="FFFFFF"/>
            <w:tcMar>
              <w:top w:w="0" w:type="dxa"/>
              <w:left w:w="85" w:type="dxa"/>
              <w:bottom w:w="0" w:type="dxa"/>
              <w:right w:w="85" w:type="dxa"/>
            </w:tcMar>
          </w:tcPr>
          <w:p w14:paraId="2173C906" w14:textId="77777777" w:rsidR="00E87995" w:rsidRPr="009E06AA" w:rsidRDefault="00E87995" w:rsidP="00FE7C1C">
            <w:pPr>
              <w:pStyle w:val="TableText"/>
              <w:spacing w:before="40" w:after="40"/>
              <w:jc w:val="right"/>
            </w:pPr>
            <w:r w:rsidRPr="009E06AA">
              <w:rPr>
                <w:color w:val="000000"/>
              </w:rPr>
              <w:t>4.5</w:t>
            </w:r>
          </w:p>
        </w:tc>
        <w:tc>
          <w:tcPr>
            <w:tcW w:w="0" w:type="auto"/>
            <w:shd w:val="clear" w:color="auto" w:fill="FFFFFF"/>
            <w:tcMar>
              <w:top w:w="0" w:type="dxa"/>
              <w:left w:w="85" w:type="dxa"/>
              <w:bottom w:w="0" w:type="dxa"/>
              <w:right w:w="85" w:type="dxa"/>
            </w:tcMar>
          </w:tcPr>
          <w:p w14:paraId="71F3A09A" w14:textId="77777777" w:rsidR="00E87995" w:rsidRPr="009E06AA" w:rsidRDefault="00E87995" w:rsidP="00FE7C1C">
            <w:pPr>
              <w:pStyle w:val="TableText"/>
              <w:spacing w:before="40" w:after="40"/>
              <w:jc w:val="right"/>
            </w:pPr>
            <w:r w:rsidRPr="009E06AA">
              <w:rPr>
                <w:color w:val="000000"/>
              </w:rPr>
              <w:t>5.4</w:t>
            </w:r>
          </w:p>
        </w:tc>
      </w:tr>
      <w:tr w:rsidR="00E87995" w:rsidRPr="009E06AA" w14:paraId="3C799930" w14:textId="77777777" w:rsidTr="00B55F24">
        <w:tc>
          <w:tcPr>
            <w:tcW w:w="0" w:type="auto"/>
            <w:shd w:val="clear" w:color="auto" w:fill="FFFFFF"/>
            <w:tcMar>
              <w:top w:w="0" w:type="dxa"/>
              <w:left w:w="85" w:type="dxa"/>
              <w:bottom w:w="0" w:type="dxa"/>
              <w:right w:w="85" w:type="dxa"/>
            </w:tcMar>
          </w:tcPr>
          <w:p w14:paraId="04BCE7F1" w14:textId="77777777" w:rsidR="00E87995" w:rsidRPr="009E06AA" w:rsidRDefault="00E87995" w:rsidP="00B55F24">
            <w:pPr>
              <w:pStyle w:val="TableTextBold"/>
              <w:spacing w:before="40" w:after="40"/>
              <w:rPr>
                <w:noProof w:val="0"/>
              </w:rPr>
            </w:pPr>
            <w:r w:rsidRPr="009E06AA">
              <w:rPr>
                <w:noProof w:val="0"/>
                <w:color w:val="1B556B"/>
              </w:rPr>
              <w:t>2019</w:t>
            </w:r>
          </w:p>
        </w:tc>
        <w:tc>
          <w:tcPr>
            <w:tcW w:w="0" w:type="auto"/>
            <w:shd w:val="clear" w:color="auto" w:fill="FFFFFF"/>
            <w:tcMar>
              <w:top w:w="0" w:type="dxa"/>
              <w:left w:w="85" w:type="dxa"/>
              <w:bottom w:w="0" w:type="dxa"/>
              <w:right w:w="85" w:type="dxa"/>
            </w:tcMar>
          </w:tcPr>
          <w:p w14:paraId="5E1ABA27" w14:textId="77777777" w:rsidR="00E87995" w:rsidRPr="009E06AA" w:rsidRDefault="00E87995" w:rsidP="00FE7C1C">
            <w:pPr>
              <w:pStyle w:val="TableText"/>
              <w:spacing w:before="40" w:after="40"/>
              <w:jc w:val="right"/>
            </w:pPr>
            <w:r w:rsidRPr="009E06AA">
              <w:rPr>
                <w:color w:val="000000"/>
              </w:rPr>
              <w:t>0.6</w:t>
            </w:r>
          </w:p>
        </w:tc>
        <w:tc>
          <w:tcPr>
            <w:tcW w:w="0" w:type="auto"/>
            <w:shd w:val="clear" w:color="auto" w:fill="FFFFFF"/>
            <w:tcMar>
              <w:top w:w="0" w:type="dxa"/>
              <w:left w:w="85" w:type="dxa"/>
              <w:bottom w:w="0" w:type="dxa"/>
              <w:right w:w="85" w:type="dxa"/>
            </w:tcMar>
          </w:tcPr>
          <w:p w14:paraId="42644D73" w14:textId="77777777" w:rsidR="00E87995" w:rsidRPr="009E06AA" w:rsidRDefault="00E87995" w:rsidP="00FE7C1C">
            <w:pPr>
              <w:pStyle w:val="TableText"/>
              <w:spacing w:before="40" w:after="40"/>
              <w:jc w:val="right"/>
            </w:pPr>
            <w:r w:rsidRPr="009E06AA">
              <w:rPr>
                <w:color w:val="000000"/>
              </w:rPr>
              <w:t>0.3</w:t>
            </w:r>
          </w:p>
        </w:tc>
        <w:tc>
          <w:tcPr>
            <w:tcW w:w="0" w:type="auto"/>
            <w:shd w:val="clear" w:color="auto" w:fill="FFFFFF"/>
            <w:tcMar>
              <w:top w:w="0" w:type="dxa"/>
              <w:left w:w="85" w:type="dxa"/>
              <w:bottom w:w="0" w:type="dxa"/>
              <w:right w:w="85" w:type="dxa"/>
            </w:tcMar>
          </w:tcPr>
          <w:p w14:paraId="1CFC021B" w14:textId="77777777" w:rsidR="00E87995" w:rsidRPr="009E06AA" w:rsidRDefault="00E87995" w:rsidP="00FE7C1C">
            <w:pPr>
              <w:pStyle w:val="TableText"/>
              <w:spacing w:before="40" w:after="40"/>
              <w:jc w:val="right"/>
            </w:pPr>
            <w:r w:rsidRPr="009E06AA">
              <w:rPr>
                <w:color w:val="000000"/>
              </w:rPr>
              <w:t>4.5</w:t>
            </w:r>
          </w:p>
        </w:tc>
        <w:tc>
          <w:tcPr>
            <w:tcW w:w="0" w:type="auto"/>
            <w:shd w:val="clear" w:color="auto" w:fill="FFFFFF"/>
            <w:tcMar>
              <w:top w:w="0" w:type="dxa"/>
              <w:left w:w="85" w:type="dxa"/>
              <w:bottom w:w="0" w:type="dxa"/>
              <w:right w:w="85" w:type="dxa"/>
            </w:tcMar>
          </w:tcPr>
          <w:p w14:paraId="0AE98AAC" w14:textId="77777777" w:rsidR="00E87995" w:rsidRPr="009E06AA" w:rsidRDefault="00E87995" w:rsidP="00FE7C1C">
            <w:pPr>
              <w:pStyle w:val="TableText"/>
              <w:spacing w:before="40" w:after="40"/>
              <w:jc w:val="right"/>
            </w:pPr>
            <w:r w:rsidRPr="009E06AA">
              <w:rPr>
                <w:color w:val="000000"/>
              </w:rPr>
              <w:t>5.4</w:t>
            </w:r>
          </w:p>
        </w:tc>
      </w:tr>
      <w:tr w:rsidR="00E87995" w:rsidRPr="009E06AA" w14:paraId="27395D8F" w14:textId="77777777" w:rsidTr="00B55F24">
        <w:tc>
          <w:tcPr>
            <w:tcW w:w="0" w:type="auto"/>
            <w:shd w:val="clear" w:color="auto" w:fill="FFFFFF"/>
            <w:tcMar>
              <w:top w:w="0" w:type="dxa"/>
              <w:left w:w="85" w:type="dxa"/>
              <w:bottom w:w="0" w:type="dxa"/>
              <w:right w:w="85" w:type="dxa"/>
            </w:tcMar>
          </w:tcPr>
          <w:p w14:paraId="1FF6A2D4" w14:textId="77777777" w:rsidR="00E87995" w:rsidRPr="009E06AA" w:rsidRDefault="00E87995" w:rsidP="00B55F24">
            <w:pPr>
              <w:pStyle w:val="TableTextBold"/>
              <w:spacing w:before="40" w:after="40"/>
              <w:rPr>
                <w:noProof w:val="0"/>
              </w:rPr>
            </w:pPr>
            <w:r w:rsidRPr="009E06AA">
              <w:rPr>
                <w:noProof w:val="0"/>
                <w:color w:val="1B556B"/>
              </w:rPr>
              <w:t>2020</w:t>
            </w:r>
          </w:p>
        </w:tc>
        <w:tc>
          <w:tcPr>
            <w:tcW w:w="0" w:type="auto"/>
            <w:shd w:val="clear" w:color="auto" w:fill="FFFFFF"/>
            <w:tcMar>
              <w:top w:w="0" w:type="dxa"/>
              <w:left w:w="85" w:type="dxa"/>
              <w:bottom w:w="0" w:type="dxa"/>
              <w:right w:w="85" w:type="dxa"/>
            </w:tcMar>
          </w:tcPr>
          <w:p w14:paraId="53D15111" w14:textId="77777777" w:rsidR="00E87995" w:rsidRPr="009E06AA" w:rsidRDefault="00E87995" w:rsidP="00FE7C1C">
            <w:pPr>
              <w:pStyle w:val="TableText"/>
              <w:spacing w:before="40" w:after="40"/>
              <w:jc w:val="right"/>
            </w:pPr>
            <w:r w:rsidRPr="009E06AA">
              <w:rPr>
                <w:color w:val="000000"/>
              </w:rPr>
              <w:t>0.6</w:t>
            </w:r>
          </w:p>
        </w:tc>
        <w:tc>
          <w:tcPr>
            <w:tcW w:w="0" w:type="auto"/>
            <w:shd w:val="clear" w:color="auto" w:fill="FFFFFF"/>
            <w:tcMar>
              <w:top w:w="0" w:type="dxa"/>
              <w:left w:w="85" w:type="dxa"/>
              <w:bottom w:w="0" w:type="dxa"/>
              <w:right w:w="85" w:type="dxa"/>
            </w:tcMar>
          </w:tcPr>
          <w:p w14:paraId="201FDFE8" w14:textId="77777777" w:rsidR="00E87995" w:rsidRPr="009E06AA" w:rsidRDefault="00E87995" w:rsidP="00FE7C1C">
            <w:pPr>
              <w:pStyle w:val="TableText"/>
              <w:spacing w:before="40" w:after="40"/>
              <w:jc w:val="right"/>
            </w:pPr>
            <w:r w:rsidRPr="009E06AA">
              <w:rPr>
                <w:color w:val="000000"/>
              </w:rPr>
              <w:t>0.3</w:t>
            </w:r>
          </w:p>
        </w:tc>
        <w:tc>
          <w:tcPr>
            <w:tcW w:w="0" w:type="auto"/>
            <w:shd w:val="clear" w:color="auto" w:fill="FFFFFF"/>
            <w:tcMar>
              <w:top w:w="0" w:type="dxa"/>
              <w:left w:w="85" w:type="dxa"/>
              <w:bottom w:w="0" w:type="dxa"/>
              <w:right w:w="85" w:type="dxa"/>
            </w:tcMar>
          </w:tcPr>
          <w:p w14:paraId="01DD7BE3" w14:textId="77777777" w:rsidR="00E87995" w:rsidRPr="009E06AA" w:rsidRDefault="00E87995" w:rsidP="00FE7C1C">
            <w:pPr>
              <w:pStyle w:val="TableText"/>
              <w:spacing w:before="40" w:after="40"/>
              <w:jc w:val="right"/>
            </w:pPr>
            <w:r w:rsidRPr="009E06AA">
              <w:rPr>
                <w:color w:val="000000"/>
              </w:rPr>
              <w:t>4.5</w:t>
            </w:r>
          </w:p>
        </w:tc>
        <w:tc>
          <w:tcPr>
            <w:tcW w:w="0" w:type="auto"/>
            <w:shd w:val="clear" w:color="auto" w:fill="FFFFFF"/>
            <w:tcMar>
              <w:top w:w="0" w:type="dxa"/>
              <w:left w:w="85" w:type="dxa"/>
              <w:bottom w:w="0" w:type="dxa"/>
              <w:right w:w="85" w:type="dxa"/>
            </w:tcMar>
          </w:tcPr>
          <w:p w14:paraId="28E65436" w14:textId="77777777" w:rsidR="00E87995" w:rsidRPr="009E06AA" w:rsidRDefault="00E87995" w:rsidP="00FE7C1C">
            <w:pPr>
              <w:pStyle w:val="TableText"/>
              <w:spacing w:before="40" w:after="40"/>
              <w:jc w:val="right"/>
            </w:pPr>
            <w:r w:rsidRPr="009E06AA">
              <w:rPr>
                <w:color w:val="000000"/>
              </w:rPr>
              <w:t>5.4</w:t>
            </w:r>
          </w:p>
        </w:tc>
      </w:tr>
      <w:tr w:rsidR="00E87995" w:rsidRPr="009E06AA" w14:paraId="65713B8C" w14:textId="77777777" w:rsidTr="00B55F24">
        <w:tc>
          <w:tcPr>
            <w:tcW w:w="0" w:type="auto"/>
            <w:shd w:val="clear" w:color="auto" w:fill="FFFFFF"/>
            <w:tcMar>
              <w:top w:w="0" w:type="dxa"/>
              <w:left w:w="85" w:type="dxa"/>
              <w:bottom w:w="0" w:type="dxa"/>
              <w:right w:w="85" w:type="dxa"/>
            </w:tcMar>
          </w:tcPr>
          <w:p w14:paraId="5EC6FB6F" w14:textId="77777777" w:rsidR="00E87995" w:rsidRPr="009E06AA" w:rsidRDefault="00E87995" w:rsidP="00B55F24">
            <w:pPr>
              <w:pStyle w:val="TableTextBold"/>
              <w:spacing w:before="40" w:after="40"/>
              <w:rPr>
                <w:noProof w:val="0"/>
              </w:rPr>
            </w:pPr>
            <w:r w:rsidRPr="009E06AA">
              <w:rPr>
                <w:noProof w:val="0"/>
                <w:color w:val="1B556B"/>
              </w:rPr>
              <w:t>2021</w:t>
            </w:r>
          </w:p>
        </w:tc>
        <w:tc>
          <w:tcPr>
            <w:tcW w:w="0" w:type="auto"/>
            <w:shd w:val="clear" w:color="auto" w:fill="FFFFFF"/>
            <w:tcMar>
              <w:top w:w="0" w:type="dxa"/>
              <w:left w:w="85" w:type="dxa"/>
              <w:bottom w:w="0" w:type="dxa"/>
              <w:right w:w="85" w:type="dxa"/>
            </w:tcMar>
          </w:tcPr>
          <w:p w14:paraId="12A8ABEA" w14:textId="77777777" w:rsidR="00E87995" w:rsidRPr="009E06AA" w:rsidRDefault="00E87995" w:rsidP="00FE7C1C">
            <w:pPr>
              <w:pStyle w:val="TableText"/>
              <w:spacing w:before="40" w:after="40"/>
              <w:jc w:val="right"/>
            </w:pPr>
            <w:r w:rsidRPr="009E06AA">
              <w:rPr>
                <w:color w:val="000000"/>
              </w:rPr>
              <w:t>0.6</w:t>
            </w:r>
          </w:p>
        </w:tc>
        <w:tc>
          <w:tcPr>
            <w:tcW w:w="0" w:type="auto"/>
            <w:shd w:val="clear" w:color="auto" w:fill="FFFFFF"/>
            <w:tcMar>
              <w:top w:w="0" w:type="dxa"/>
              <w:left w:w="85" w:type="dxa"/>
              <w:bottom w:w="0" w:type="dxa"/>
              <w:right w:w="85" w:type="dxa"/>
            </w:tcMar>
          </w:tcPr>
          <w:p w14:paraId="6BD7FAA2" w14:textId="77777777" w:rsidR="00E87995" w:rsidRPr="009E06AA" w:rsidRDefault="00E87995" w:rsidP="00FE7C1C">
            <w:pPr>
              <w:pStyle w:val="TableText"/>
              <w:spacing w:before="40" w:after="40"/>
              <w:jc w:val="right"/>
            </w:pPr>
            <w:r w:rsidRPr="009E06AA">
              <w:rPr>
                <w:color w:val="000000"/>
              </w:rPr>
              <w:t>0.3</w:t>
            </w:r>
          </w:p>
        </w:tc>
        <w:tc>
          <w:tcPr>
            <w:tcW w:w="0" w:type="auto"/>
            <w:shd w:val="clear" w:color="auto" w:fill="FFFFFF"/>
            <w:tcMar>
              <w:top w:w="0" w:type="dxa"/>
              <w:left w:w="85" w:type="dxa"/>
              <w:bottom w:w="0" w:type="dxa"/>
              <w:right w:w="85" w:type="dxa"/>
            </w:tcMar>
          </w:tcPr>
          <w:p w14:paraId="57B715C2" w14:textId="77777777" w:rsidR="00E87995" w:rsidRPr="009E06AA" w:rsidRDefault="00E87995" w:rsidP="00FE7C1C">
            <w:pPr>
              <w:pStyle w:val="TableText"/>
              <w:spacing w:before="40" w:after="40"/>
              <w:jc w:val="right"/>
            </w:pPr>
            <w:r w:rsidRPr="009E06AA">
              <w:rPr>
                <w:color w:val="000000"/>
              </w:rPr>
              <w:t>4.5</w:t>
            </w:r>
          </w:p>
        </w:tc>
        <w:tc>
          <w:tcPr>
            <w:tcW w:w="0" w:type="auto"/>
            <w:shd w:val="clear" w:color="auto" w:fill="FFFFFF"/>
            <w:tcMar>
              <w:top w:w="0" w:type="dxa"/>
              <w:left w:w="85" w:type="dxa"/>
              <w:bottom w:w="0" w:type="dxa"/>
              <w:right w:w="85" w:type="dxa"/>
            </w:tcMar>
          </w:tcPr>
          <w:p w14:paraId="25CA8586" w14:textId="77777777" w:rsidR="00E87995" w:rsidRPr="009E06AA" w:rsidRDefault="00E87995" w:rsidP="00FE7C1C">
            <w:pPr>
              <w:pStyle w:val="TableText"/>
              <w:spacing w:before="40" w:after="40"/>
              <w:jc w:val="right"/>
            </w:pPr>
            <w:r w:rsidRPr="009E06AA">
              <w:rPr>
                <w:color w:val="000000"/>
              </w:rPr>
              <w:t>5.4</w:t>
            </w:r>
          </w:p>
        </w:tc>
      </w:tr>
      <w:tr w:rsidR="00E87995" w:rsidRPr="009E06AA" w14:paraId="184B840D" w14:textId="77777777" w:rsidTr="00B55F24">
        <w:tc>
          <w:tcPr>
            <w:tcW w:w="0" w:type="auto"/>
            <w:shd w:val="clear" w:color="auto" w:fill="FFFFFF"/>
            <w:tcMar>
              <w:top w:w="0" w:type="dxa"/>
              <w:left w:w="85" w:type="dxa"/>
              <w:bottom w:w="0" w:type="dxa"/>
              <w:right w:w="85" w:type="dxa"/>
            </w:tcMar>
          </w:tcPr>
          <w:p w14:paraId="440649D8" w14:textId="77777777" w:rsidR="00E87995" w:rsidRPr="009E06AA" w:rsidRDefault="00E87995" w:rsidP="00B55F24">
            <w:pPr>
              <w:pStyle w:val="TableTextBold"/>
              <w:spacing w:before="40" w:after="40"/>
              <w:rPr>
                <w:noProof w:val="0"/>
              </w:rPr>
            </w:pPr>
            <w:r w:rsidRPr="009E06AA">
              <w:rPr>
                <w:rFonts w:eastAsia="Calibri" w:cs="Calibri"/>
                <w:noProof w:val="0"/>
                <w:color w:val="1B556B"/>
                <w:szCs w:val="16"/>
              </w:rPr>
              <w:t>2022</w:t>
            </w:r>
          </w:p>
        </w:tc>
        <w:tc>
          <w:tcPr>
            <w:tcW w:w="0" w:type="auto"/>
            <w:shd w:val="clear" w:color="auto" w:fill="FFFFFF"/>
            <w:tcMar>
              <w:top w:w="0" w:type="dxa"/>
              <w:left w:w="85" w:type="dxa"/>
              <w:bottom w:w="0" w:type="dxa"/>
              <w:right w:w="85" w:type="dxa"/>
            </w:tcMar>
          </w:tcPr>
          <w:p w14:paraId="404BB118" w14:textId="77777777" w:rsidR="00E87995" w:rsidRPr="009E06AA" w:rsidRDefault="00E87995" w:rsidP="00FE7C1C">
            <w:pPr>
              <w:pStyle w:val="TableText"/>
              <w:spacing w:before="40" w:after="40"/>
              <w:jc w:val="right"/>
            </w:pPr>
            <w:r w:rsidRPr="009E06AA">
              <w:rPr>
                <w:rFonts w:eastAsia="Calibri" w:cs="Calibri"/>
                <w:color w:val="000000"/>
                <w:szCs w:val="16"/>
              </w:rPr>
              <w:t>0.6</w:t>
            </w:r>
          </w:p>
        </w:tc>
        <w:tc>
          <w:tcPr>
            <w:tcW w:w="0" w:type="auto"/>
            <w:shd w:val="clear" w:color="auto" w:fill="FFFFFF"/>
            <w:tcMar>
              <w:top w:w="0" w:type="dxa"/>
              <w:left w:w="85" w:type="dxa"/>
              <w:bottom w:w="0" w:type="dxa"/>
              <w:right w:w="85" w:type="dxa"/>
            </w:tcMar>
          </w:tcPr>
          <w:p w14:paraId="32D5C674" w14:textId="77777777" w:rsidR="00E87995" w:rsidRPr="009E06AA" w:rsidRDefault="00E87995" w:rsidP="00FE7C1C">
            <w:pPr>
              <w:pStyle w:val="TableText"/>
              <w:spacing w:before="40" w:after="40"/>
              <w:jc w:val="right"/>
            </w:pPr>
            <w:r w:rsidRPr="009E06AA">
              <w:rPr>
                <w:rFonts w:eastAsia="Calibri" w:cs="Calibri"/>
                <w:color w:val="000000"/>
                <w:szCs w:val="16"/>
              </w:rPr>
              <w:t>0.3</w:t>
            </w:r>
          </w:p>
        </w:tc>
        <w:tc>
          <w:tcPr>
            <w:tcW w:w="0" w:type="auto"/>
            <w:shd w:val="clear" w:color="auto" w:fill="FFFFFF"/>
            <w:tcMar>
              <w:top w:w="0" w:type="dxa"/>
              <w:left w:w="85" w:type="dxa"/>
              <w:bottom w:w="0" w:type="dxa"/>
              <w:right w:w="85" w:type="dxa"/>
            </w:tcMar>
          </w:tcPr>
          <w:p w14:paraId="4E2B16B9" w14:textId="77777777" w:rsidR="00E87995" w:rsidRPr="009E06AA" w:rsidRDefault="00E87995" w:rsidP="00FE7C1C">
            <w:pPr>
              <w:pStyle w:val="TableText"/>
              <w:spacing w:before="40" w:after="40"/>
              <w:jc w:val="right"/>
            </w:pPr>
            <w:r w:rsidRPr="009E06AA">
              <w:rPr>
                <w:rFonts w:eastAsia="Calibri" w:cs="Calibri"/>
                <w:color w:val="000000"/>
                <w:szCs w:val="16"/>
              </w:rPr>
              <w:t>4.5</w:t>
            </w:r>
          </w:p>
        </w:tc>
        <w:tc>
          <w:tcPr>
            <w:tcW w:w="0" w:type="auto"/>
            <w:shd w:val="clear" w:color="auto" w:fill="FFFFFF"/>
            <w:tcMar>
              <w:top w:w="0" w:type="dxa"/>
              <w:left w:w="85" w:type="dxa"/>
              <w:bottom w:w="0" w:type="dxa"/>
              <w:right w:w="85" w:type="dxa"/>
            </w:tcMar>
          </w:tcPr>
          <w:p w14:paraId="66139517" w14:textId="77777777" w:rsidR="00E87995" w:rsidRPr="009E06AA" w:rsidRDefault="00E87995" w:rsidP="00FE7C1C">
            <w:pPr>
              <w:pStyle w:val="TableText"/>
              <w:spacing w:before="40" w:after="40"/>
              <w:jc w:val="right"/>
            </w:pPr>
            <w:r w:rsidRPr="009E06AA">
              <w:rPr>
                <w:rFonts w:eastAsia="Calibri" w:cs="Calibri"/>
                <w:color w:val="000000"/>
                <w:szCs w:val="16"/>
              </w:rPr>
              <w:t>5.4</w:t>
            </w:r>
          </w:p>
        </w:tc>
      </w:tr>
    </w:tbl>
    <w:p w14:paraId="2415A165" w14:textId="77777777" w:rsidR="00E87995" w:rsidRPr="009E06AA" w:rsidRDefault="00E87995" w:rsidP="00E87995">
      <w:pPr>
        <w:pStyle w:val="Noteundertable"/>
      </w:pPr>
      <w:r w:rsidRPr="009E06AA">
        <w:rPr>
          <w:b/>
          <w:bCs/>
        </w:rPr>
        <w:t>Note:</w:t>
      </w:r>
      <w:r w:rsidRPr="009E06AA">
        <w:tab/>
        <w:t>Columns may not total due to rounding.</w:t>
      </w:r>
    </w:p>
    <w:p w14:paraId="6CDD5BC8" w14:textId="1A57152F" w:rsidR="00E87995" w:rsidRPr="009E06AA" w:rsidRDefault="00E87995" w:rsidP="00BF2A76">
      <w:pPr>
        <w:pStyle w:val="Heading5"/>
      </w:pPr>
      <w:bookmarkStart w:id="2933" w:name="open-burning-5.c.2"/>
      <w:bookmarkEnd w:id="2927"/>
      <w:r w:rsidRPr="009E06AA">
        <w:t>Open burning</w:t>
      </w:r>
      <w:r w:rsidR="007B5769" w:rsidRPr="009E06AA">
        <w:t xml:space="preserve"> of waste</w:t>
      </w:r>
      <w:r w:rsidRPr="009E06AA">
        <w:t xml:space="preserve"> (5.C.2)</w:t>
      </w:r>
    </w:p>
    <w:p w14:paraId="0316FB6D" w14:textId="77777777" w:rsidR="00E87995" w:rsidRPr="009E06AA" w:rsidRDefault="00E87995" w:rsidP="00E87995">
      <w:pPr>
        <w:pStyle w:val="BodyText"/>
      </w:pPr>
      <w:r w:rsidRPr="009E06AA">
        <w:t>Little information is available on the quantities of farm wastes burned. A change introduced in the 2021 submission is that the methods of disposal of farm waste are evenly split between disposal to land in farm fills and disposal by open burning, at 47 per cent farm fills, 47 per cent open burning and 6 per cent other.</w:t>
      </w:r>
    </w:p>
    <w:p w14:paraId="23B82A24" w14:textId="77777777" w:rsidR="00E87995" w:rsidRPr="009E06AA" w:rsidRDefault="00E87995" w:rsidP="00E87995">
      <w:pPr>
        <w:pStyle w:val="BodyText"/>
      </w:pPr>
      <w:r w:rsidRPr="009E06AA">
        <w:t>Refer to section 7.2.2 for a discussion on farm waste landfilling and open burning. In summary, because open burning is a significant and common practice (GHD, 2013, 2014) it is being considered to be equal in volume to disposal to land. The amount of waste disposed to farm fills reported in table 7.2.4 is additional and equal to the amount that is disposed by open burning.</w:t>
      </w:r>
    </w:p>
    <w:p w14:paraId="6B355AA1" w14:textId="77777777" w:rsidR="00E87995" w:rsidRPr="009E06AA" w:rsidRDefault="00E87995" w:rsidP="00E87995">
      <w:pPr>
        <w:pStyle w:val="Heading4"/>
      </w:pPr>
      <w:bookmarkStart w:id="2934" w:name="choice-of-methods-2"/>
      <w:bookmarkEnd w:id="2926"/>
      <w:bookmarkEnd w:id="2933"/>
      <w:r w:rsidRPr="009E06AA">
        <w:t>Choice of methods</w:t>
      </w:r>
    </w:p>
    <w:p w14:paraId="78E2C221" w14:textId="77777777" w:rsidR="00E87995" w:rsidRPr="009E06AA" w:rsidRDefault="00E87995" w:rsidP="00BF2A76">
      <w:pPr>
        <w:pStyle w:val="Heading5"/>
      </w:pPr>
      <w:bookmarkStart w:id="2935" w:name="incineration-5.c.1-1"/>
      <w:r w:rsidRPr="009E06AA">
        <w:t>Incineration (5.C.1)</w:t>
      </w:r>
    </w:p>
    <w:p w14:paraId="2E3E5EB4" w14:textId="77777777" w:rsidR="00E87995" w:rsidRPr="009E06AA" w:rsidRDefault="00E87995" w:rsidP="00E87995">
      <w:pPr>
        <w:pStyle w:val="BodyText"/>
      </w:pPr>
      <w:r w:rsidRPr="009E06AA">
        <w:t>Estimates of direct emissions from the incineration of waste are made using the default Tier 1 methodology (IPCC, 2006a). The data used were collected and collated in 2007, and the sources used included information previously collected for purposes of air quality regulation and consent data from regional councils and site operators (SKM, unpublished(a)).</w:t>
      </w:r>
    </w:p>
    <w:p w14:paraId="29C3FCD4" w14:textId="175DE388" w:rsidR="00E87995" w:rsidRPr="009E06AA" w:rsidRDefault="00E87995" w:rsidP="00BF2A76">
      <w:pPr>
        <w:pStyle w:val="Heading5"/>
      </w:pPr>
      <w:bookmarkStart w:id="2936" w:name="open-burning-5.c.2-1"/>
      <w:bookmarkEnd w:id="2935"/>
      <w:r w:rsidRPr="009E06AA">
        <w:t>Open burning</w:t>
      </w:r>
      <w:r w:rsidR="00E740E9" w:rsidRPr="009E06AA">
        <w:t xml:space="preserve"> of waste</w:t>
      </w:r>
      <w:r w:rsidRPr="009E06AA">
        <w:t xml:space="preserve"> (5.C.2)</w:t>
      </w:r>
    </w:p>
    <w:p w14:paraId="5EC717E5" w14:textId="77777777" w:rsidR="00E87995" w:rsidRPr="009E06AA" w:rsidRDefault="00E87995" w:rsidP="00E87995">
      <w:pPr>
        <w:pStyle w:val="BodyText"/>
      </w:pPr>
      <w:r w:rsidRPr="009E06AA">
        <w:t>Estimates of direct emissions from the open burning of rural waste are made using the default Tier 1 methodology (IPCC, 2006a). Farm waste comprises a mix of household and other wastes, which have a composition and diversity similar to general municipal solid waste (Tonkin and Taylor Ltd, unpublished(b)). Therefore, emissions from CH</w:t>
      </w:r>
      <w:r w:rsidRPr="009E06AA">
        <w:rPr>
          <w:vertAlign w:val="subscript"/>
        </w:rPr>
        <w:t>4</w:t>
      </w:r>
      <w:r w:rsidRPr="009E06AA">
        <w:t xml:space="preserve"> and N</w:t>
      </w:r>
      <w:r w:rsidRPr="009E06AA">
        <w:rPr>
          <w:vertAlign w:val="subscript"/>
        </w:rPr>
        <w:t>2</w:t>
      </w:r>
      <w:r w:rsidRPr="009E06AA">
        <w:t>O were estimated using default emission factors for bulk municipal solid waste.</w:t>
      </w:r>
    </w:p>
    <w:p w14:paraId="16ECA5F4" w14:textId="77777777" w:rsidR="00E87995" w:rsidRPr="009E06AA" w:rsidRDefault="00E87995" w:rsidP="00E87995">
      <w:pPr>
        <w:pStyle w:val="BodyText"/>
      </w:pPr>
      <w:r w:rsidRPr="009E06AA">
        <w:t>Emissions of CO</w:t>
      </w:r>
      <w:r w:rsidRPr="009E06AA">
        <w:rPr>
          <w:vertAlign w:val="subscript"/>
        </w:rPr>
        <w:t>2</w:t>
      </w:r>
      <w:r w:rsidRPr="009E06AA">
        <w:t xml:space="preserve"> were calculated using the same composition of farm waste as is landfilled, for consistency. Table 7.4.3 shows the parameters that determine dry-matter content, total carbon content and fossil carbon content (IPCC defaults), which are then weighted against composition.</w:t>
      </w:r>
    </w:p>
    <w:p w14:paraId="0FA73B7D" w14:textId="77777777" w:rsidR="00E87995" w:rsidRPr="009E06AA" w:rsidRDefault="00E87995" w:rsidP="00E87995">
      <w:pPr>
        <w:pStyle w:val="Table"/>
      </w:pPr>
      <w:bookmarkStart w:id="2937" w:name="_Toc128383675"/>
      <w:bookmarkStart w:id="2938" w:name="_Toc131591448"/>
      <w:bookmarkStart w:id="2939" w:name="_Toc160537327"/>
      <w:bookmarkStart w:id="2940" w:name="_Toc160537689"/>
      <w:bookmarkStart w:id="2941" w:name="_Toc164153939"/>
      <w:r w:rsidRPr="009E06AA">
        <w:t>Table 7.4.3</w:t>
      </w:r>
      <w:r w:rsidRPr="009E06AA">
        <w:tab/>
        <w:t>Values applied to estimate carbon dioxide emissions from open burning of rural waste</w:t>
      </w:r>
      <w:bookmarkEnd w:id="2937"/>
      <w:bookmarkEnd w:id="2938"/>
      <w:bookmarkEnd w:id="2939"/>
      <w:bookmarkEnd w:id="2940"/>
      <w:bookmarkEnd w:id="2941"/>
    </w:p>
    <w:tbl>
      <w:tblPr>
        <w:tblW w:w="8505" w:type="dxa"/>
        <w:tblBorders>
          <w:top w:val="single" w:sz="4" w:space="0" w:color="1B556B" w:themeColor="text2"/>
          <w:bottom w:val="single" w:sz="4" w:space="0" w:color="1B556B" w:themeColor="text2"/>
          <w:insideH w:val="single" w:sz="4" w:space="0" w:color="1B556B" w:themeColor="text2"/>
        </w:tblBorders>
        <w:tblLook w:val="0420" w:firstRow="1" w:lastRow="0" w:firstColumn="0" w:lastColumn="0" w:noHBand="0" w:noVBand="1"/>
      </w:tblPr>
      <w:tblGrid>
        <w:gridCol w:w="1683"/>
        <w:gridCol w:w="1273"/>
        <w:gridCol w:w="1739"/>
        <w:gridCol w:w="1850"/>
        <w:gridCol w:w="1960"/>
      </w:tblGrid>
      <w:tr w:rsidR="00E87995" w:rsidRPr="009E06AA" w14:paraId="6CC9654D" w14:textId="77777777" w:rsidTr="00B55F24">
        <w:trPr>
          <w:tblHeader/>
        </w:trPr>
        <w:tc>
          <w:tcPr>
            <w:tcW w:w="1683" w:type="dxa"/>
            <w:shd w:val="clear" w:color="auto" w:fill="1B556B"/>
            <w:tcMar>
              <w:top w:w="0" w:type="dxa"/>
              <w:left w:w="85" w:type="dxa"/>
              <w:bottom w:w="0" w:type="dxa"/>
              <w:right w:w="85" w:type="dxa"/>
            </w:tcMar>
            <w:vAlign w:val="bottom"/>
          </w:tcPr>
          <w:p w14:paraId="1DA1E694" w14:textId="77777777" w:rsidR="00E87995" w:rsidRPr="009E06AA" w:rsidRDefault="00E87995" w:rsidP="00B55F24">
            <w:pPr>
              <w:pStyle w:val="TableTextBold"/>
              <w:spacing w:before="40" w:after="40"/>
              <w:rPr>
                <w:noProof w:val="0"/>
                <w:color w:val="FFFFFF" w:themeColor="background1"/>
                <w:szCs w:val="16"/>
              </w:rPr>
            </w:pPr>
            <w:r w:rsidRPr="009E06AA">
              <w:rPr>
                <w:noProof w:val="0"/>
                <w:color w:val="FFFFFF" w:themeColor="background1"/>
                <w:szCs w:val="16"/>
              </w:rPr>
              <w:t>Waste type</w:t>
            </w:r>
          </w:p>
        </w:tc>
        <w:tc>
          <w:tcPr>
            <w:tcW w:w="1273" w:type="dxa"/>
            <w:shd w:val="clear" w:color="auto" w:fill="1B556B"/>
            <w:tcMar>
              <w:top w:w="0" w:type="dxa"/>
              <w:left w:w="85" w:type="dxa"/>
              <w:bottom w:w="0" w:type="dxa"/>
              <w:right w:w="85" w:type="dxa"/>
            </w:tcMar>
            <w:vAlign w:val="bottom"/>
          </w:tcPr>
          <w:p w14:paraId="67179022" w14:textId="77777777" w:rsidR="00E87995" w:rsidRPr="009E06AA" w:rsidRDefault="00E87995" w:rsidP="00FE7C1C">
            <w:pPr>
              <w:pStyle w:val="TableTextBold"/>
              <w:spacing w:before="40" w:after="40"/>
              <w:jc w:val="right"/>
              <w:rPr>
                <w:noProof w:val="0"/>
                <w:color w:val="FFFFFF" w:themeColor="background1"/>
                <w:szCs w:val="16"/>
              </w:rPr>
            </w:pPr>
            <w:r w:rsidRPr="009E06AA">
              <w:rPr>
                <w:noProof w:val="0"/>
                <w:color w:val="FFFFFF" w:themeColor="background1"/>
                <w:szCs w:val="16"/>
              </w:rPr>
              <w:t>Composition (%)</w:t>
            </w:r>
          </w:p>
        </w:tc>
        <w:tc>
          <w:tcPr>
            <w:tcW w:w="1739" w:type="dxa"/>
            <w:shd w:val="clear" w:color="auto" w:fill="1B556B"/>
            <w:tcMar>
              <w:top w:w="0" w:type="dxa"/>
              <w:left w:w="85" w:type="dxa"/>
              <w:bottom w:w="0" w:type="dxa"/>
              <w:right w:w="85" w:type="dxa"/>
            </w:tcMar>
            <w:vAlign w:val="bottom"/>
          </w:tcPr>
          <w:p w14:paraId="0E01566D" w14:textId="77777777" w:rsidR="00E87995" w:rsidRPr="009E06AA" w:rsidRDefault="00E87995" w:rsidP="00FE7C1C">
            <w:pPr>
              <w:pStyle w:val="TableTextBold"/>
              <w:spacing w:before="40" w:after="40"/>
              <w:jc w:val="right"/>
              <w:rPr>
                <w:noProof w:val="0"/>
                <w:color w:val="FFFFFF" w:themeColor="background1"/>
                <w:szCs w:val="16"/>
              </w:rPr>
            </w:pPr>
            <w:r w:rsidRPr="009E06AA">
              <w:rPr>
                <w:noProof w:val="0"/>
                <w:color w:val="FFFFFF" w:themeColor="background1"/>
                <w:szCs w:val="16"/>
              </w:rPr>
              <w:t>Dry-matter content (%)</w:t>
            </w:r>
          </w:p>
        </w:tc>
        <w:tc>
          <w:tcPr>
            <w:tcW w:w="1850" w:type="dxa"/>
            <w:shd w:val="clear" w:color="auto" w:fill="1B556B"/>
            <w:tcMar>
              <w:top w:w="0" w:type="dxa"/>
              <w:left w:w="85" w:type="dxa"/>
              <w:bottom w:w="0" w:type="dxa"/>
              <w:right w:w="85" w:type="dxa"/>
            </w:tcMar>
            <w:vAlign w:val="bottom"/>
          </w:tcPr>
          <w:p w14:paraId="645D408E" w14:textId="77777777" w:rsidR="00E87995" w:rsidRPr="009E06AA" w:rsidRDefault="00E87995" w:rsidP="00FE7C1C">
            <w:pPr>
              <w:pStyle w:val="TableTextBold"/>
              <w:spacing w:before="40" w:after="40"/>
              <w:jc w:val="right"/>
              <w:rPr>
                <w:noProof w:val="0"/>
                <w:color w:val="FFFFFF" w:themeColor="background1"/>
                <w:szCs w:val="16"/>
              </w:rPr>
            </w:pPr>
            <w:r w:rsidRPr="009E06AA">
              <w:rPr>
                <w:noProof w:val="0"/>
                <w:color w:val="FFFFFF" w:themeColor="background1"/>
                <w:szCs w:val="16"/>
              </w:rPr>
              <w:t>Total carbon content (%)</w:t>
            </w:r>
          </w:p>
        </w:tc>
        <w:tc>
          <w:tcPr>
            <w:tcW w:w="1960" w:type="dxa"/>
            <w:shd w:val="clear" w:color="auto" w:fill="1B556B"/>
            <w:tcMar>
              <w:top w:w="0" w:type="dxa"/>
              <w:left w:w="85" w:type="dxa"/>
              <w:bottom w:w="0" w:type="dxa"/>
              <w:right w:w="85" w:type="dxa"/>
            </w:tcMar>
            <w:vAlign w:val="bottom"/>
          </w:tcPr>
          <w:p w14:paraId="688260D3" w14:textId="77777777" w:rsidR="00E87995" w:rsidRPr="009E06AA" w:rsidRDefault="00E87995" w:rsidP="00FE7C1C">
            <w:pPr>
              <w:pStyle w:val="TableTextBold"/>
              <w:spacing w:before="40" w:after="40"/>
              <w:jc w:val="right"/>
              <w:rPr>
                <w:noProof w:val="0"/>
                <w:color w:val="FFFFFF" w:themeColor="background1"/>
                <w:szCs w:val="16"/>
              </w:rPr>
            </w:pPr>
            <w:r w:rsidRPr="009E06AA">
              <w:rPr>
                <w:noProof w:val="0"/>
                <w:color w:val="FFFFFF" w:themeColor="background1"/>
                <w:szCs w:val="16"/>
              </w:rPr>
              <w:t>Fossil carbon content of total carbon (%)</w:t>
            </w:r>
          </w:p>
        </w:tc>
      </w:tr>
      <w:tr w:rsidR="00E87995" w:rsidRPr="009E06AA" w14:paraId="02563E7C" w14:textId="77777777" w:rsidTr="00B55F24">
        <w:tc>
          <w:tcPr>
            <w:tcW w:w="1683" w:type="dxa"/>
            <w:shd w:val="clear" w:color="auto" w:fill="FFFFFF"/>
            <w:tcMar>
              <w:top w:w="0" w:type="dxa"/>
              <w:left w:w="85" w:type="dxa"/>
              <w:bottom w:w="0" w:type="dxa"/>
              <w:right w:w="85" w:type="dxa"/>
            </w:tcMar>
            <w:vAlign w:val="center"/>
          </w:tcPr>
          <w:p w14:paraId="05403556" w14:textId="77777777" w:rsidR="00E87995" w:rsidRPr="009E06AA" w:rsidRDefault="00E87995" w:rsidP="00B55F24">
            <w:pPr>
              <w:pStyle w:val="TableText"/>
              <w:spacing w:before="40" w:after="40"/>
              <w:rPr>
                <w:szCs w:val="16"/>
              </w:rPr>
            </w:pPr>
            <w:r w:rsidRPr="009E06AA">
              <w:rPr>
                <w:color w:val="000000"/>
                <w:szCs w:val="16"/>
              </w:rPr>
              <w:t>Paper/card</w:t>
            </w:r>
          </w:p>
        </w:tc>
        <w:tc>
          <w:tcPr>
            <w:tcW w:w="1273" w:type="dxa"/>
            <w:shd w:val="clear" w:color="auto" w:fill="FFFFFF"/>
            <w:tcMar>
              <w:top w:w="0" w:type="dxa"/>
              <w:left w:w="85" w:type="dxa"/>
              <w:bottom w:w="0" w:type="dxa"/>
              <w:right w:w="85" w:type="dxa"/>
            </w:tcMar>
            <w:vAlign w:val="center"/>
          </w:tcPr>
          <w:p w14:paraId="0B4AC92F" w14:textId="77777777" w:rsidR="00E87995" w:rsidRPr="009E06AA" w:rsidRDefault="00E87995" w:rsidP="00FE7C1C">
            <w:pPr>
              <w:pStyle w:val="TableText"/>
              <w:spacing w:before="40" w:after="40"/>
              <w:jc w:val="right"/>
              <w:rPr>
                <w:szCs w:val="16"/>
              </w:rPr>
            </w:pPr>
            <w:r w:rsidRPr="009E06AA">
              <w:rPr>
                <w:color w:val="000000"/>
                <w:szCs w:val="16"/>
              </w:rPr>
              <w:t>1.</w:t>
            </w:r>
            <w:r w:rsidRPr="009E06AA">
              <w:rPr>
                <w:rFonts w:eastAsia="Calibri"/>
                <w:color w:val="000000"/>
                <w:szCs w:val="16"/>
              </w:rPr>
              <w:t>0</w:t>
            </w:r>
          </w:p>
        </w:tc>
        <w:tc>
          <w:tcPr>
            <w:tcW w:w="1739" w:type="dxa"/>
            <w:shd w:val="clear" w:color="auto" w:fill="FFFFFF"/>
            <w:tcMar>
              <w:top w:w="0" w:type="dxa"/>
              <w:left w:w="85" w:type="dxa"/>
              <w:bottom w:w="0" w:type="dxa"/>
              <w:right w:w="85" w:type="dxa"/>
            </w:tcMar>
            <w:vAlign w:val="center"/>
          </w:tcPr>
          <w:p w14:paraId="4F14D89B" w14:textId="77777777" w:rsidR="00E87995" w:rsidRPr="009E06AA" w:rsidRDefault="00E87995" w:rsidP="00FE7C1C">
            <w:pPr>
              <w:pStyle w:val="TableText"/>
              <w:spacing w:before="40" w:after="40"/>
              <w:jc w:val="right"/>
              <w:rPr>
                <w:szCs w:val="16"/>
              </w:rPr>
            </w:pPr>
            <w:r w:rsidRPr="009E06AA">
              <w:rPr>
                <w:color w:val="000000"/>
                <w:szCs w:val="16"/>
              </w:rPr>
              <w:t>90</w:t>
            </w:r>
          </w:p>
        </w:tc>
        <w:tc>
          <w:tcPr>
            <w:tcW w:w="1850" w:type="dxa"/>
            <w:shd w:val="clear" w:color="auto" w:fill="FFFFFF"/>
            <w:tcMar>
              <w:top w:w="0" w:type="dxa"/>
              <w:left w:w="85" w:type="dxa"/>
              <w:bottom w:w="0" w:type="dxa"/>
              <w:right w:w="85" w:type="dxa"/>
            </w:tcMar>
            <w:vAlign w:val="center"/>
          </w:tcPr>
          <w:p w14:paraId="6DC6858D" w14:textId="77777777" w:rsidR="00E87995" w:rsidRPr="009E06AA" w:rsidRDefault="00E87995" w:rsidP="00FE7C1C">
            <w:pPr>
              <w:pStyle w:val="TableText"/>
              <w:spacing w:before="40" w:after="40"/>
              <w:jc w:val="right"/>
              <w:rPr>
                <w:szCs w:val="16"/>
              </w:rPr>
            </w:pPr>
            <w:r w:rsidRPr="009E06AA">
              <w:rPr>
                <w:color w:val="000000"/>
                <w:szCs w:val="16"/>
              </w:rPr>
              <w:t>46</w:t>
            </w:r>
          </w:p>
        </w:tc>
        <w:tc>
          <w:tcPr>
            <w:tcW w:w="1960" w:type="dxa"/>
            <w:shd w:val="clear" w:color="auto" w:fill="FFFFFF"/>
            <w:tcMar>
              <w:top w:w="0" w:type="dxa"/>
              <w:left w:w="85" w:type="dxa"/>
              <w:bottom w:w="0" w:type="dxa"/>
              <w:right w:w="85" w:type="dxa"/>
            </w:tcMar>
            <w:vAlign w:val="center"/>
          </w:tcPr>
          <w:p w14:paraId="73FE6ADB" w14:textId="77777777" w:rsidR="00E87995" w:rsidRPr="009E06AA" w:rsidRDefault="00E87995" w:rsidP="00FE7C1C">
            <w:pPr>
              <w:pStyle w:val="TableText"/>
              <w:spacing w:before="40" w:after="40"/>
              <w:jc w:val="right"/>
              <w:rPr>
                <w:szCs w:val="16"/>
              </w:rPr>
            </w:pPr>
            <w:r w:rsidRPr="009E06AA">
              <w:rPr>
                <w:color w:val="000000"/>
                <w:szCs w:val="16"/>
              </w:rPr>
              <w:t>1</w:t>
            </w:r>
          </w:p>
        </w:tc>
      </w:tr>
      <w:tr w:rsidR="00E87995" w:rsidRPr="009E06AA" w14:paraId="2483EB95" w14:textId="77777777" w:rsidTr="00B55F24">
        <w:tc>
          <w:tcPr>
            <w:tcW w:w="1683" w:type="dxa"/>
            <w:shd w:val="clear" w:color="auto" w:fill="FFFFFF"/>
            <w:tcMar>
              <w:top w:w="0" w:type="dxa"/>
              <w:left w:w="85" w:type="dxa"/>
              <w:bottom w:w="0" w:type="dxa"/>
              <w:right w:w="85" w:type="dxa"/>
            </w:tcMar>
            <w:vAlign w:val="center"/>
          </w:tcPr>
          <w:p w14:paraId="41A7D651" w14:textId="77777777" w:rsidR="00E87995" w:rsidRPr="009E06AA" w:rsidRDefault="00E87995" w:rsidP="00B55F24">
            <w:pPr>
              <w:pStyle w:val="TableText"/>
              <w:spacing w:before="40" w:after="40"/>
              <w:rPr>
                <w:szCs w:val="16"/>
              </w:rPr>
            </w:pPr>
            <w:r w:rsidRPr="009E06AA">
              <w:rPr>
                <w:color w:val="000000"/>
                <w:szCs w:val="16"/>
              </w:rPr>
              <w:t>Textiles</w:t>
            </w:r>
          </w:p>
        </w:tc>
        <w:tc>
          <w:tcPr>
            <w:tcW w:w="1273" w:type="dxa"/>
            <w:shd w:val="clear" w:color="auto" w:fill="FFFFFF"/>
            <w:tcMar>
              <w:top w:w="0" w:type="dxa"/>
              <w:left w:w="85" w:type="dxa"/>
              <w:bottom w:w="0" w:type="dxa"/>
              <w:right w:w="85" w:type="dxa"/>
            </w:tcMar>
            <w:vAlign w:val="center"/>
          </w:tcPr>
          <w:p w14:paraId="5ED5AEE7" w14:textId="77777777" w:rsidR="00E87995" w:rsidRPr="009E06AA" w:rsidRDefault="00E87995" w:rsidP="00FE7C1C">
            <w:pPr>
              <w:pStyle w:val="TableText"/>
              <w:spacing w:before="40" w:after="40"/>
              <w:jc w:val="right"/>
              <w:rPr>
                <w:szCs w:val="16"/>
              </w:rPr>
            </w:pPr>
            <w:r w:rsidRPr="009E06AA">
              <w:rPr>
                <w:color w:val="000000"/>
                <w:szCs w:val="16"/>
              </w:rPr>
              <w:t>19.</w:t>
            </w:r>
            <w:r w:rsidRPr="009E06AA">
              <w:rPr>
                <w:rFonts w:eastAsia="Calibri"/>
                <w:color w:val="000000"/>
                <w:szCs w:val="16"/>
              </w:rPr>
              <w:t>7</w:t>
            </w:r>
          </w:p>
        </w:tc>
        <w:tc>
          <w:tcPr>
            <w:tcW w:w="1739" w:type="dxa"/>
            <w:shd w:val="clear" w:color="auto" w:fill="FFFFFF"/>
            <w:tcMar>
              <w:top w:w="0" w:type="dxa"/>
              <w:left w:w="85" w:type="dxa"/>
              <w:bottom w:w="0" w:type="dxa"/>
              <w:right w:w="85" w:type="dxa"/>
            </w:tcMar>
            <w:vAlign w:val="center"/>
          </w:tcPr>
          <w:p w14:paraId="46A3BDB7" w14:textId="77777777" w:rsidR="00E87995" w:rsidRPr="009E06AA" w:rsidRDefault="00E87995" w:rsidP="00FE7C1C">
            <w:pPr>
              <w:pStyle w:val="TableText"/>
              <w:spacing w:before="40" w:after="40"/>
              <w:jc w:val="right"/>
              <w:rPr>
                <w:szCs w:val="16"/>
              </w:rPr>
            </w:pPr>
            <w:r w:rsidRPr="009E06AA">
              <w:rPr>
                <w:color w:val="000000"/>
                <w:szCs w:val="16"/>
              </w:rPr>
              <w:t>80</w:t>
            </w:r>
          </w:p>
        </w:tc>
        <w:tc>
          <w:tcPr>
            <w:tcW w:w="1850" w:type="dxa"/>
            <w:shd w:val="clear" w:color="auto" w:fill="FFFFFF"/>
            <w:tcMar>
              <w:top w:w="0" w:type="dxa"/>
              <w:left w:w="85" w:type="dxa"/>
              <w:bottom w:w="0" w:type="dxa"/>
              <w:right w:w="85" w:type="dxa"/>
            </w:tcMar>
            <w:vAlign w:val="center"/>
          </w:tcPr>
          <w:p w14:paraId="12B2019B" w14:textId="77777777" w:rsidR="00E87995" w:rsidRPr="009E06AA" w:rsidRDefault="00E87995" w:rsidP="00FE7C1C">
            <w:pPr>
              <w:pStyle w:val="TableText"/>
              <w:spacing w:before="40" w:after="40"/>
              <w:jc w:val="right"/>
              <w:rPr>
                <w:szCs w:val="16"/>
              </w:rPr>
            </w:pPr>
            <w:r w:rsidRPr="009E06AA">
              <w:rPr>
                <w:color w:val="000000"/>
                <w:szCs w:val="16"/>
              </w:rPr>
              <w:t>50</w:t>
            </w:r>
          </w:p>
        </w:tc>
        <w:tc>
          <w:tcPr>
            <w:tcW w:w="1960" w:type="dxa"/>
            <w:shd w:val="clear" w:color="auto" w:fill="FFFFFF"/>
            <w:tcMar>
              <w:top w:w="0" w:type="dxa"/>
              <w:left w:w="85" w:type="dxa"/>
              <w:bottom w:w="0" w:type="dxa"/>
              <w:right w:w="85" w:type="dxa"/>
            </w:tcMar>
            <w:vAlign w:val="center"/>
          </w:tcPr>
          <w:p w14:paraId="51F44EE8" w14:textId="77777777" w:rsidR="00E87995" w:rsidRPr="009E06AA" w:rsidRDefault="00E87995" w:rsidP="00FE7C1C">
            <w:pPr>
              <w:pStyle w:val="TableText"/>
              <w:spacing w:before="40" w:after="40"/>
              <w:jc w:val="right"/>
              <w:rPr>
                <w:szCs w:val="16"/>
              </w:rPr>
            </w:pPr>
            <w:r w:rsidRPr="009E06AA">
              <w:rPr>
                <w:color w:val="000000"/>
                <w:szCs w:val="16"/>
              </w:rPr>
              <w:t>20</w:t>
            </w:r>
          </w:p>
        </w:tc>
      </w:tr>
      <w:tr w:rsidR="00E87995" w:rsidRPr="009E06AA" w14:paraId="2F38CDDE" w14:textId="77777777" w:rsidTr="00B55F24">
        <w:tc>
          <w:tcPr>
            <w:tcW w:w="1683" w:type="dxa"/>
            <w:shd w:val="clear" w:color="auto" w:fill="FFFFFF"/>
            <w:tcMar>
              <w:top w:w="0" w:type="dxa"/>
              <w:left w:w="85" w:type="dxa"/>
              <w:bottom w:w="0" w:type="dxa"/>
              <w:right w:w="85" w:type="dxa"/>
            </w:tcMar>
            <w:vAlign w:val="center"/>
          </w:tcPr>
          <w:p w14:paraId="73F169AD" w14:textId="77777777" w:rsidR="00E87995" w:rsidRPr="009E06AA" w:rsidRDefault="00E87995" w:rsidP="00B55F24">
            <w:pPr>
              <w:pStyle w:val="TableText"/>
              <w:spacing w:before="40" w:after="40"/>
              <w:rPr>
                <w:szCs w:val="16"/>
              </w:rPr>
            </w:pPr>
            <w:r w:rsidRPr="009E06AA">
              <w:rPr>
                <w:color w:val="000000"/>
                <w:szCs w:val="16"/>
              </w:rPr>
              <w:t>Food waste</w:t>
            </w:r>
          </w:p>
        </w:tc>
        <w:tc>
          <w:tcPr>
            <w:tcW w:w="1273" w:type="dxa"/>
            <w:shd w:val="clear" w:color="auto" w:fill="FFFFFF"/>
            <w:tcMar>
              <w:top w:w="0" w:type="dxa"/>
              <w:left w:w="85" w:type="dxa"/>
              <w:bottom w:w="0" w:type="dxa"/>
              <w:right w:w="85" w:type="dxa"/>
            </w:tcMar>
            <w:vAlign w:val="center"/>
          </w:tcPr>
          <w:p w14:paraId="0F6FF4AE" w14:textId="77777777" w:rsidR="00E87995" w:rsidRPr="009E06AA" w:rsidRDefault="00E87995" w:rsidP="00FE7C1C">
            <w:pPr>
              <w:pStyle w:val="TableText"/>
              <w:spacing w:before="40" w:after="40"/>
              <w:jc w:val="right"/>
              <w:rPr>
                <w:szCs w:val="16"/>
              </w:rPr>
            </w:pPr>
            <w:r w:rsidRPr="009E06AA">
              <w:rPr>
                <w:color w:val="000000"/>
                <w:szCs w:val="16"/>
              </w:rPr>
              <w:t>15.</w:t>
            </w:r>
            <w:r w:rsidRPr="009E06AA">
              <w:rPr>
                <w:rFonts w:eastAsia="Calibri"/>
                <w:color w:val="000000"/>
                <w:szCs w:val="16"/>
              </w:rPr>
              <w:t>1</w:t>
            </w:r>
          </w:p>
        </w:tc>
        <w:tc>
          <w:tcPr>
            <w:tcW w:w="1739" w:type="dxa"/>
            <w:shd w:val="clear" w:color="auto" w:fill="FFFFFF"/>
            <w:tcMar>
              <w:top w:w="0" w:type="dxa"/>
              <w:left w:w="85" w:type="dxa"/>
              <w:bottom w:w="0" w:type="dxa"/>
              <w:right w:w="85" w:type="dxa"/>
            </w:tcMar>
            <w:vAlign w:val="center"/>
          </w:tcPr>
          <w:p w14:paraId="550A812A" w14:textId="77777777" w:rsidR="00E87995" w:rsidRPr="009E06AA" w:rsidRDefault="00E87995" w:rsidP="00FE7C1C">
            <w:pPr>
              <w:pStyle w:val="TableText"/>
              <w:spacing w:before="40" w:after="40"/>
              <w:jc w:val="right"/>
              <w:rPr>
                <w:szCs w:val="16"/>
              </w:rPr>
            </w:pPr>
            <w:r w:rsidRPr="009E06AA">
              <w:rPr>
                <w:color w:val="000000"/>
                <w:szCs w:val="16"/>
              </w:rPr>
              <w:t>40</w:t>
            </w:r>
          </w:p>
        </w:tc>
        <w:tc>
          <w:tcPr>
            <w:tcW w:w="1850" w:type="dxa"/>
            <w:shd w:val="clear" w:color="auto" w:fill="FFFFFF"/>
            <w:tcMar>
              <w:top w:w="0" w:type="dxa"/>
              <w:left w:w="85" w:type="dxa"/>
              <w:bottom w:w="0" w:type="dxa"/>
              <w:right w:w="85" w:type="dxa"/>
            </w:tcMar>
            <w:vAlign w:val="center"/>
          </w:tcPr>
          <w:p w14:paraId="0F0A0CD1" w14:textId="77777777" w:rsidR="00E87995" w:rsidRPr="009E06AA" w:rsidRDefault="00E87995" w:rsidP="00FE7C1C">
            <w:pPr>
              <w:pStyle w:val="TableText"/>
              <w:spacing w:before="40" w:after="40"/>
              <w:jc w:val="right"/>
              <w:rPr>
                <w:szCs w:val="16"/>
              </w:rPr>
            </w:pPr>
            <w:r w:rsidRPr="009E06AA">
              <w:rPr>
                <w:color w:val="000000"/>
                <w:szCs w:val="16"/>
              </w:rPr>
              <w:t>38</w:t>
            </w:r>
          </w:p>
        </w:tc>
        <w:tc>
          <w:tcPr>
            <w:tcW w:w="1960" w:type="dxa"/>
            <w:shd w:val="clear" w:color="auto" w:fill="FFFFFF"/>
            <w:tcMar>
              <w:top w:w="0" w:type="dxa"/>
              <w:left w:w="85" w:type="dxa"/>
              <w:bottom w:w="0" w:type="dxa"/>
              <w:right w:w="85" w:type="dxa"/>
            </w:tcMar>
            <w:vAlign w:val="center"/>
          </w:tcPr>
          <w:p w14:paraId="0F9A5843" w14:textId="77777777" w:rsidR="00E87995" w:rsidRPr="009E06AA" w:rsidRDefault="00E87995" w:rsidP="00FE7C1C">
            <w:pPr>
              <w:pStyle w:val="TableText"/>
              <w:spacing w:before="40" w:after="40"/>
              <w:jc w:val="right"/>
              <w:rPr>
                <w:szCs w:val="16"/>
              </w:rPr>
            </w:pPr>
            <w:r w:rsidRPr="009E06AA">
              <w:rPr>
                <w:color w:val="000000"/>
                <w:szCs w:val="16"/>
              </w:rPr>
              <w:t>0</w:t>
            </w:r>
          </w:p>
        </w:tc>
      </w:tr>
      <w:tr w:rsidR="00E87995" w:rsidRPr="009E06AA" w14:paraId="32B08B3D" w14:textId="77777777" w:rsidTr="00B55F24">
        <w:tc>
          <w:tcPr>
            <w:tcW w:w="1683" w:type="dxa"/>
            <w:shd w:val="clear" w:color="auto" w:fill="FFFFFF"/>
            <w:tcMar>
              <w:top w:w="0" w:type="dxa"/>
              <w:left w:w="85" w:type="dxa"/>
              <w:bottom w:w="0" w:type="dxa"/>
              <w:right w:w="85" w:type="dxa"/>
            </w:tcMar>
            <w:vAlign w:val="center"/>
          </w:tcPr>
          <w:p w14:paraId="313E9B16" w14:textId="77777777" w:rsidR="00E87995" w:rsidRPr="009E06AA" w:rsidRDefault="00E87995" w:rsidP="00B55F24">
            <w:pPr>
              <w:pStyle w:val="TableText"/>
              <w:spacing w:before="40" w:after="40"/>
              <w:rPr>
                <w:szCs w:val="16"/>
              </w:rPr>
            </w:pPr>
            <w:r w:rsidRPr="009E06AA">
              <w:rPr>
                <w:color w:val="000000"/>
                <w:szCs w:val="16"/>
              </w:rPr>
              <w:t>Wood</w:t>
            </w:r>
          </w:p>
        </w:tc>
        <w:tc>
          <w:tcPr>
            <w:tcW w:w="1273" w:type="dxa"/>
            <w:shd w:val="clear" w:color="auto" w:fill="FFFFFF"/>
            <w:tcMar>
              <w:top w:w="0" w:type="dxa"/>
              <w:left w:w="85" w:type="dxa"/>
              <w:bottom w:w="0" w:type="dxa"/>
              <w:right w:w="85" w:type="dxa"/>
            </w:tcMar>
            <w:vAlign w:val="center"/>
          </w:tcPr>
          <w:p w14:paraId="49D061E0" w14:textId="77777777" w:rsidR="00E87995" w:rsidRPr="009E06AA" w:rsidRDefault="00E87995" w:rsidP="00FE7C1C">
            <w:pPr>
              <w:pStyle w:val="TableText"/>
              <w:spacing w:before="40" w:after="40"/>
              <w:jc w:val="right"/>
              <w:rPr>
                <w:szCs w:val="16"/>
              </w:rPr>
            </w:pPr>
            <w:r w:rsidRPr="009E06AA">
              <w:rPr>
                <w:rFonts w:eastAsia="Calibri"/>
                <w:color w:val="000000"/>
                <w:szCs w:val="16"/>
              </w:rPr>
              <w:t>41.0</w:t>
            </w:r>
          </w:p>
        </w:tc>
        <w:tc>
          <w:tcPr>
            <w:tcW w:w="1739" w:type="dxa"/>
            <w:shd w:val="clear" w:color="auto" w:fill="FFFFFF"/>
            <w:tcMar>
              <w:top w:w="0" w:type="dxa"/>
              <w:left w:w="85" w:type="dxa"/>
              <w:bottom w:w="0" w:type="dxa"/>
              <w:right w:w="85" w:type="dxa"/>
            </w:tcMar>
            <w:vAlign w:val="center"/>
          </w:tcPr>
          <w:p w14:paraId="5A47A1C5" w14:textId="77777777" w:rsidR="00E87995" w:rsidRPr="009E06AA" w:rsidRDefault="00E87995" w:rsidP="00FE7C1C">
            <w:pPr>
              <w:pStyle w:val="TableText"/>
              <w:spacing w:before="40" w:after="40"/>
              <w:jc w:val="right"/>
              <w:rPr>
                <w:szCs w:val="16"/>
              </w:rPr>
            </w:pPr>
            <w:r w:rsidRPr="009E06AA">
              <w:rPr>
                <w:color w:val="000000"/>
                <w:szCs w:val="16"/>
              </w:rPr>
              <w:t>85</w:t>
            </w:r>
          </w:p>
        </w:tc>
        <w:tc>
          <w:tcPr>
            <w:tcW w:w="1850" w:type="dxa"/>
            <w:shd w:val="clear" w:color="auto" w:fill="FFFFFF"/>
            <w:tcMar>
              <w:top w:w="0" w:type="dxa"/>
              <w:left w:w="85" w:type="dxa"/>
              <w:bottom w:w="0" w:type="dxa"/>
              <w:right w:w="85" w:type="dxa"/>
            </w:tcMar>
            <w:vAlign w:val="center"/>
          </w:tcPr>
          <w:p w14:paraId="0915E2C7" w14:textId="77777777" w:rsidR="00E87995" w:rsidRPr="009E06AA" w:rsidRDefault="00E87995" w:rsidP="00FE7C1C">
            <w:pPr>
              <w:pStyle w:val="TableText"/>
              <w:spacing w:before="40" w:after="40"/>
              <w:jc w:val="right"/>
              <w:rPr>
                <w:szCs w:val="16"/>
              </w:rPr>
            </w:pPr>
            <w:r w:rsidRPr="009E06AA">
              <w:rPr>
                <w:color w:val="000000"/>
                <w:szCs w:val="16"/>
              </w:rPr>
              <w:t>50</w:t>
            </w:r>
          </w:p>
        </w:tc>
        <w:tc>
          <w:tcPr>
            <w:tcW w:w="1960" w:type="dxa"/>
            <w:shd w:val="clear" w:color="auto" w:fill="FFFFFF"/>
            <w:tcMar>
              <w:top w:w="0" w:type="dxa"/>
              <w:left w:w="85" w:type="dxa"/>
              <w:bottom w:w="0" w:type="dxa"/>
              <w:right w:w="85" w:type="dxa"/>
            </w:tcMar>
            <w:vAlign w:val="center"/>
          </w:tcPr>
          <w:p w14:paraId="27A9A876" w14:textId="77777777" w:rsidR="00E87995" w:rsidRPr="009E06AA" w:rsidRDefault="00E87995" w:rsidP="00FE7C1C">
            <w:pPr>
              <w:pStyle w:val="TableText"/>
              <w:spacing w:before="40" w:after="40"/>
              <w:jc w:val="right"/>
              <w:rPr>
                <w:szCs w:val="16"/>
              </w:rPr>
            </w:pPr>
            <w:r w:rsidRPr="009E06AA">
              <w:rPr>
                <w:color w:val="000000"/>
                <w:szCs w:val="16"/>
              </w:rPr>
              <w:t>0</w:t>
            </w:r>
          </w:p>
        </w:tc>
      </w:tr>
      <w:tr w:rsidR="00E87995" w:rsidRPr="009E06AA" w14:paraId="65C26EA5" w14:textId="77777777" w:rsidTr="00B55F24">
        <w:tc>
          <w:tcPr>
            <w:tcW w:w="1683" w:type="dxa"/>
            <w:shd w:val="clear" w:color="auto" w:fill="FFFFFF"/>
            <w:tcMar>
              <w:top w:w="0" w:type="dxa"/>
              <w:left w:w="85" w:type="dxa"/>
              <w:bottom w:w="0" w:type="dxa"/>
              <w:right w:w="85" w:type="dxa"/>
            </w:tcMar>
            <w:vAlign w:val="center"/>
          </w:tcPr>
          <w:p w14:paraId="39DA6ADE" w14:textId="77777777" w:rsidR="00E87995" w:rsidRPr="009E06AA" w:rsidRDefault="00E87995" w:rsidP="00B55F24">
            <w:pPr>
              <w:pStyle w:val="TableText"/>
              <w:spacing w:before="40" w:after="40"/>
              <w:rPr>
                <w:szCs w:val="16"/>
              </w:rPr>
            </w:pPr>
            <w:r w:rsidRPr="009E06AA">
              <w:rPr>
                <w:color w:val="000000"/>
                <w:szCs w:val="16"/>
              </w:rPr>
              <w:t>Garden and park waste</w:t>
            </w:r>
          </w:p>
        </w:tc>
        <w:tc>
          <w:tcPr>
            <w:tcW w:w="1273" w:type="dxa"/>
            <w:shd w:val="clear" w:color="auto" w:fill="FFFFFF"/>
            <w:tcMar>
              <w:top w:w="0" w:type="dxa"/>
              <w:left w:w="85" w:type="dxa"/>
              <w:bottom w:w="0" w:type="dxa"/>
              <w:right w:w="85" w:type="dxa"/>
            </w:tcMar>
            <w:vAlign w:val="center"/>
          </w:tcPr>
          <w:p w14:paraId="0B4299F9" w14:textId="77777777" w:rsidR="00E87995" w:rsidRPr="009E06AA" w:rsidRDefault="00E87995" w:rsidP="00FE7C1C">
            <w:pPr>
              <w:pStyle w:val="TableText"/>
              <w:spacing w:before="40" w:after="40"/>
              <w:jc w:val="right"/>
              <w:rPr>
                <w:szCs w:val="16"/>
              </w:rPr>
            </w:pPr>
            <w:r w:rsidRPr="009E06AA">
              <w:rPr>
                <w:color w:val="000000"/>
                <w:szCs w:val="16"/>
              </w:rPr>
              <w:t>NA</w:t>
            </w:r>
          </w:p>
        </w:tc>
        <w:tc>
          <w:tcPr>
            <w:tcW w:w="1739" w:type="dxa"/>
            <w:shd w:val="clear" w:color="auto" w:fill="FFFFFF"/>
            <w:tcMar>
              <w:top w:w="0" w:type="dxa"/>
              <w:left w:w="85" w:type="dxa"/>
              <w:bottom w:w="0" w:type="dxa"/>
              <w:right w:w="85" w:type="dxa"/>
            </w:tcMar>
            <w:vAlign w:val="center"/>
          </w:tcPr>
          <w:p w14:paraId="15199856" w14:textId="77777777" w:rsidR="00E87995" w:rsidRPr="009E06AA" w:rsidRDefault="00E87995" w:rsidP="00FE7C1C">
            <w:pPr>
              <w:pStyle w:val="TableText"/>
              <w:spacing w:before="40" w:after="40"/>
              <w:jc w:val="right"/>
              <w:rPr>
                <w:szCs w:val="16"/>
              </w:rPr>
            </w:pPr>
            <w:r w:rsidRPr="009E06AA">
              <w:rPr>
                <w:color w:val="000000"/>
                <w:szCs w:val="16"/>
              </w:rPr>
              <w:t>40</w:t>
            </w:r>
          </w:p>
        </w:tc>
        <w:tc>
          <w:tcPr>
            <w:tcW w:w="1850" w:type="dxa"/>
            <w:shd w:val="clear" w:color="auto" w:fill="FFFFFF"/>
            <w:tcMar>
              <w:top w:w="0" w:type="dxa"/>
              <w:left w:w="85" w:type="dxa"/>
              <w:bottom w:w="0" w:type="dxa"/>
              <w:right w:w="85" w:type="dxa"/>
            </w:tcMar>
            <w:vAlign w:val="center"/>
          </w:tcPr>
          <w:p w14:paraId="11F5DB89" w14:textId="77777777" w:rsidR="00E87995" w:rsidRPr="009E06AA" w:rsidRDefault="00E87995" w:rsidP="00FE7C1C">
            <w:pPr>
              <w:pStyle w:val="TableText"/>
              <w:spacing w:before="40" w:after="40"/>
              <w:jc w:val="right"/>
              <w:rPr>
                <w:szCs w:val="16"/>
              </w:rPr>
            </w:pPr>
            <w:r w:rsidRPr="009E06AA">
              <w:rPr>
                <w:color w:val="000000"/>
                <w:szCs w:val="16"/>
              </w:rPr>
              <w:t>49</w:t>
            </w:r>
          </w:p>
        </w:tc>
        <w:tc>
          <w:tcPr>
            <w:tcW w:w="1960" w:type="dxa"/>
            <w:shd w:val="clear" w:color="auto" w:fill="FFFFFF"/>
            <w:tcMar>
              <w:top w:w="0" w:type="dxa"/>
              <w:left w:w="85" w:type="dxa"/>
              <w:bottom w:w="0" w:type="dxa"/>
              <w:right w:w="85" w:type="dxa"/>
            </w:tcMar>
            <w:vAlign w:val="center"/>
          </w:tcPr>
          <w:p w14:paraId="1FF3C467" w14:textId="77777777" w:rsidR="00E87995" w:rsidRPr="009E06AA" w:rsidRDefault="00E87995" w:rsidP="00FE7C1C">
            <w:pPr>
              <w:pStyle w:val="TableText"/>
              <w:spacing w:before="40" w:after="40"/>
              <w:jc w:val="right"/>
              <w:rPr>
                <w:szCs w:val="16"/>
              </w:rPr>
            </w:pPr>
            <w:r w:rsidRPr="009E06AA">
              <w:rPr>
                <w:color w:val="000000"/>
                <w:szCs w:val="16"/>
              </w:rPr>
              <w:t>0</w:t>
            </w:r>
          </w:p>
        </w:tc>
      </w:tr>
      <w:tr w:rsidR="00E87995" w:rsidRPr="009E06AA" w14:paraId="12AB25FB" w14:textId="77777777" w:rsidTr="00B55F24">
        <w:tc>
          <w:tcPr>
            <w:tcW w:w="1683" w:type="dxa"/>
            <w:shd w:val="clear" w:color="auto" w:fill="FFFFFF"/>
            <w:tcMar>
              <w:top w:w="0" w:type="dxa"/>
              <w:left w:w="85" w:type="dxa"/>
              <w:bottom w:w="0" w:type="dxa"/>
              <w:right w:w="85" w:type="dxa"/>
            </w:tcMar>
            <w:vAlign w:val="center"/>
          </w:tcPr>
          <w:p w14:paraId="6F1B97DD" w14:textId="77777777" w:rsidR="00E87995" w:rsidRPr="009E06AA" w:rsidRDefault="00E87995" w:rsidP="00B55F24">
            <w:pPr>
              <w:pStyle w:val="TableText"/>
              <w:spacing w:before="40" w:after="40"/>
              <w:rPr>
                <w:szCs w:val="16"/>
              </w:rPr>
            </w:pPr>
            <w:r w:rsidRPr="009E06AA">
              <w:rPr>
                <w:color w:val="000000"/>
                <w:szCs w:val="16"/>
              </w:rPr>
              <w:t>Nappies</w:t>
            </w:r>
          </w:p>
        </w:tc>
        <w:tc>
          <w:tcPr>
            <w:tcW w:w="1273" w:type="dxa"/>
            <w:shd w:val="clear" w:color="auto" w:fill="FFFFFF"/>
            <w:tcMar>
              <w:top w:w="0" w:type="dxa"/>
              <w:left w:w="85" w:type="dxa"/>
              <w:bottom w:w="0" w:type="dxa"/>
              <w:right w:w="85" w:type="dxa"/>
            </w:tcMar>
            <w:vAlign w:val="center"/>
          </w:tcPr>
          <w:p w14:paraId="109DF705" w14:textId="77777777" w:rsidR="00E87995" w:rsidRPr="009E06AA" w:rsidRDefault="00E87995" w:rsidP="00FE7C1C">
            <w:pPr>
              <w:pStyle w:val="TableText"/>
              <w:spacing w:before="40" w:after="40"/>
              <w:jc w:val="right"/>
              <w:rPr>
                <w:szCs w:val="16"/>
              </w:rPr>
            </w:pPr>
            <w:r w:rsidRPr="009E06AA">
              <w:rPr>
                <w:color w:val="000000"/>
                <w:szCs w:val="16"/>
              </w:rPr>
              <w:t>NA</w:t>
            </w:r>
          </w:p>
        </w:tc>
        <w:tc>
          <w:tcPr>
            <w:tcW w:w="1739" w:type="dxa"/>
            <w:shd w:val="clear" w:color="auto" w:fill="FFFFFF"/>
            <w:tcMar>
              <w:top w:w="0" w:type="dxa"/>
              <w:left w:w="85" w:type="dxa"/>
              <w:bottom w:w="0" w:type="dxa"/>
              <w:right w:w="85" w:type="dxa"/>
            </w:tcMar>
            <w:vAlign w:val="center"/>
          </w:tcPr>
          <w:p w14:paraId="171A2681" w14:textId="77777777" w:rsidR="00E87995" w:rsidRPr="009E06AA" w:rsidRDefault="00E87995" w:rsidP="00FE7C1C">
            <w:pPr>
              <w:pStyle w:val="TableText"/>
              <w:spacing w:before="40" w:after="40"/>
              <w:jc w:val="right"/>
              <w:rPr>
                <w:szCs w:val="16"/>
              </w:rPr>
            </w:pPr>
            <w:r w:rsidRPr="009E06AA">
              <w:rPr>
                <w:color w:val="000000"/>
                <w:szCs w:val="16"/>
              </w:rPr>
              <w:t>40</w:t>
            </w:r>
          </w:p>
        </w:tc>
        <w:tc>
          <w:tcPr>
            <w:tcW w:w="1850" w:type="dxa"/>
            <w:shd w:val="clear" w:color="auto" w:fill="FFFFFF"/>
            <w:tcMar>
              <w:top w:w="0" w:type="dxa"/>
              <w:left w:w="85" w:type="dxa"/>
              <w:bottom w:w="0" w:type="dxa"/>
              <w:right w:w="85" w:type="dxa"/>
            </w:tcMar>
            <w:vAlign w:val="center"/>
          </w:tcPr>
          <w:p w14:paraId="6143D25E" w14:textId="77777777" w:rsidR="00E87995" w:rsidRPr="009E06AA" w:rsidRDefault="00E87995" w:rsidP="00FE7C1C">
            <w:pPr>
              <w:pStyle w:val="TableText"/>
              <w:spacing w:before="40" w:after="40"/>
              <w:jc w:val="right"/>
              <w:rPr>
                <w:szCs w:val="16"/>
              </w:rPr>
            </w:pPr>
            <w:r w:rsidRPr="009E06AA">
              <w:rPr>
                <w:color w:val="000000"/>
                <w:szCs w:val="16"/>
              </w:rPr>
              <w:t>70</w:t>
            </w:r>
          </w:p>
        </w:tc>
        <w:tc>
          <w:tcPr>
            <w:tcW w:w="1960" w:type="dxa"/>
            <w:shd w:val="clear" w:color="auto" w:fill="FFFFFF"/>
            <w:tcMar>
              <w:top w:w="0" w:type="dxa"/>
              <w:left w:w="85" w:type="dxa"/>
              <w:bottom w:w="0" w:type="dxa"/>
              <w:right w:w="85" w:type="dxa"/>
            </w:tcMar>
            <w:vAlign w:val="center"/>
          </w:tcPr>
          <w:p w14:paraId="01EA4023" w14:textId="77777777" w:rsidR="00E87995" w:rsidRPr="009E06AA" w:rsidRDefault="00E87995" w:rsidP="00FE7C1C">
            <w:pPr>
              <w:pStyle w:val="TableText"/>
              <w:spacing w:before="40" w:after="40"/>
              <w:jc w:val="right"/>
              <w:rPr>
                <w:szCs w:val="16"/>
              </w:rPr>
            </w:pPr>
            <w:r w:rsidRPr="009E06AA">
              <w:rPr>
                <w:color w:val="000000"/>
                <w:szCs w:val="16"/>
              </w:rPr>
              <w:t>10</w:t>
            </w:r>
          </w:p>
        </w:tc>
      </w:tr>
      <w:tr w:rsidR="00E87995" w:rsidRPr="009E06AA" w14:paraId="4B73AC23" w14:textId="77777777" w:rsidTr="00B55F24">
        <w:tc>
          <w:tcPr>
            <w:tcW w:w="1683" w:type="dxa"/>
            <w:shd w:val="clear" w:color="auto" w:fill="FFFFFF"/>
            <w:tcMar>
              <w:top w:w="0" w:type="dxa"/>
              <w:left w:w="85" w:type="dxa"/>
              <w:bottom w:w="0" w:type="dxa"/>
              <w:right w:w="85" w:type="dxa"/>
            </w:tcMar>
            <w:vAlign w:val="center"/>
          </w:tcPr>
          <w:p w14:paraId="4ADCC88E" w14:textId="77777777" w:rsidR="00E87995" w:rsidRPr="009E06AA" w:rsidRDefault="00E87995" w:rsidP="00B55F24">
            <w:pPr>
              <w:pStyle w:val="TableText"/>
              <w:spacing w:before="40" w:after="40"/>
              <w:rPr>
                <w:szCs w:val="16"/>
              </w:rPr>
            </w:pPr>
            <w:r w:rsidRPr="009E06AA">
              <w:rPr>
                <w:color w:val="000000"/>
                <w:szCs w:val="16"/>
              </w:rPr>
              <w:t>Rubber and leather</w:t>
            </w:r>
          </w:p>
        </w:tc>
        <w:tc>
          <w:tcPr>
            <w:tcW w:w="1273" w:type="dxa"/>
            <w:shd w:val="clear" w:color="auto" w:fill="FFFFFF"/>
            <w:tcMar>
              <w:top w:w="0" w:type="dxa"/>
              <w:left w:w="85" w:type="dxa"/>
              <w:bottom w:w="0" w:type="dxa"/>
              <w:right w:w="85" w:type="dxa"/>
            </w:tcMar>
            <w:vAlign w:val="center"/>
          </w:tcPr>
          <w:p w14:paraId="1306CD2D" w14:textId="77777777" w:rsidR="00E87995" w:rsidRPr="009E06AA" w:rsidRDefault="00E87995" w:rsidP="00FE7C1C">
            <w:pPr>
              <w:pStyle w:val="TableText"/>
              <w:spacing w:before="40" w:after="40"/>
              <w:jc w:val="right"/>
              <w:rPr>
                <w:szCs w:val="16"/>
              </w:rPr>
            </w:pPr>
            <w:r w:rsidRPr="009E06AA">
              <w:rPr>
                <w:color w:val="000000"/>
                <w:szCs w:val="16"/>
              </w:rPr>
              <w:t>0.3</w:t>
            </w:r>
          </w:p>
        </w:tc>
        <w:tc>
          <w:tcPr>
            <w:tcW w:w="1739" w:type="dxa"/>
            <w:shd w:val="clear" w:color="auto" w:fill="FFFFFF"/>
            <w:tcMar>
              <w:top w:w="0" w:type="dxa"/>
              <w:left w:w="85" w:type="dxa"/>
              <w:bottom w:w="0" w:type="dxa"/>
              <w:right w:w="85" w:type="dxa"/>
            </w:tcMar>
            <w:vAlign w:val="center"/>
          </w:tcPr>
          <w:p w14:paraId="06F9E5CF" w14:textId="77777777" w:rsidR="00E87995" w:rsidRPr="009E06AA" w:rsidRDefault="00E87995" w:rsidP="00FE7C1C">
            <w:pPr>
              <w:pStyle w:val="TableText"/>
              <w:spacing w:before="40" w:after="40"/>
              <w:jc w:val="right"/>
              <w:rPr>
                <w:szCs w:val="16"/>
              </w:rPr>
            </w:pPr>
            <w:r w:rsidRPr="009E06AA">
              <w:rPr>
                <w:color w:val="000000"/>
                <w:szCs w:val="16"/>
              </w:rPr>
              <w:t>84</w:t>
            </w:r>
          </w:p>
        </w:tc>
        <w:tc>
          <w:tcPr>
            <w:tcW w:w="1850" w:type="dxa"/>
            <w:shd w:val="clear" w:color="auto" w:fill="FFFFFF"/>
            <w:tcMar>
              <w:top w:w="0" w:type="dxa"/>
              <w:left w:w="85" w:type="dxa"/>
              <w:bottom w:w="0" w:type="dxa"/>
              <w:right w:w="85" w:type="dxa"/>
            </w:tcMar>
            <w:vAlign w:val="center"/>
          </w:tcPr>
          <w:p w14:paraId="3BF1DAFD" w14:textId="77777777" w:rsidR="00E87995" w:rsidRPr="009E06AA" w:rsidRDefault="00E87995" w:rsidP="00FE7C1C">
            <w:pPr>
              <w:pStyle w:val="TableText"/>
              <w:spacing w:before="40" w:after="40"/>
              <w:jc w:val="right"/>
              <w:rPr>
                <w:szCs w:val="16"/>
              </w:rPr>
            </w:pPr>
            <w:r w:rsidRPr="009E06AA">
              <w:rPr>
                <w:color w:val="000000"/>
                <w:szCs w:val="16"/>
              </w:rPr>
              <w:t>67</w:t>
            </w:r>
          </w:p>
        </w:tc>
        <w:tc>
          <w:tcPr>
            <w:tcW w:w="1960" w:type="dxa"/>
            <w:shd w:val="clear" w:color="auto" w:fill="FFFFFF"/>
            <w:tcMar>
              <w:top w:w="0" w:type="dxa"/>
              <w:left w:w="85" w:type="dxa"/>
              <w:bottom w:w="0" w:type="dxa"/>
              <w:right w:w="85" w:type="dxa"/>
            </w:tcMar>
            <w:vAlign w:val="center"/>
          </w:tcPr>
          <w:p w14:paraId="486AFCDE" w14:textId="77777777" w:rsidR="00E87995" w:rsidRPr="009E06AA" w:rsidRDefault="00E87995" w:rsidP="00FE7C1C">
            <w:pPr>
              <w:pStyle w:val="TableText"/>
              <w:spacing w:before="40" w:after="40"/>
              <w:jc w:val="right"/>
              <w:rPr>
                <w:szCs w:val="16"/>
              </w:rPr>
            </w:pPr>
            <w:r w:rsidRPr="009E06AA">
              <w:rPr>
                <w:color w:val="000000"/>
                <w:szCs w:val="16"/>
              </w:rPr>
              <w:t>20</w:t>
            </w:r>
          </w:p>
        </w:tc>
      </w:tr>
      <w:tr w:rsidR="00E87995" w:rsidRPr="009E06AA" w14:paraId="475DC1DA" w14:textId="77777777" w:rsidTr="00B55F24">
        <w:tc>
          <w:tcPr>
            <w:tcW w:w="1683" w:type="dxa"/>
            <w:shd w:val="clear" w:color="auto" w:fill="FFFFFF"/>
            <w:tcMar>
              <w:top w:w="0" w:type="dxa"/>
              <w:left w:w="85" w:type="dxa"/>
              <w:bottom w:w="0" w:type="dxa"/>
              <w:right w:w="85" w:type="dxa"/>
            </w:tcMar>
            <w:vAlign w:val="center"/>
          </w:tcPr>
          <w:p w14:paraId="2F9F8C3D" w14:textId="77777777" w:rsidR="00E87995" w:rsidRPr="009E06AA" w:rsidRDefault="00E87995" w:rsidP="00B55F24">
            <w:pPr>
              <w:pStyle w:val="TableText"/>
              <w:spacing w:before="40" w:after="40"/>
              <w:rPr>
                <w:szCs w:val="16"/>
              </w:rPr>
            </w:pPr>
            <w:r w:rsidRPr="009E06AA">
              <w:rPr>
                <w:color w:val="000000"/>
                <w:szCs w:val="16"/>
              </w:rPr>
              <w:t>Plastics</w:t>
            </w:r>
          </w:p>
        </w:tc>
        <w:tc>
          <w:tcPr>
            <w:tcW w:w="1273" w:type="dxa"/>
            <w:shd w:val="clear" w:color="auto" w:fill="FFFFFF"/>
            <w:tcMar>
              <w:top w:w="0" w:type="dxa"/>
              <w:left w:w="85" w:type="dxa"/>
              <w:bottom w:w="0" w:type="dxa"/>
              <w:right w:w="85" w:type="dxa"/>
            </w:tcMar>
            <w:vAlign w:val="center"/>
          </w:tcPr>
          <w:p w14:paraId="16D3CB9E" w14:textId="77777777" w:rsidR="00E87995" w:rsidRPr="009E06AA" w:rsidRDefault="00E87995" w:rsidP="00FE7C1C">
            <w:pPr>
              <w:pStyle w:val="TableText"/>
              <w:spacing w:before="40" w:after="40"/>
              <w:jc w:val="right"/>
              <w:rPr>
                <w:szCs w:val="16"/>
              </w:rPr>
            </w:pPr>
            <w:r w:rsidRPr="009E06AA">
              <w:rPr>
                <w:color w:val="000000"/>
                <w:szCs w:val="16"/>
              </w:rPr>
              <w:t>10.</w:t>
            </w:r>
            <w:r w:rsidRPr="009E06AA">
              <w:rPr>
                <w:rFonts w:eastAsia="Calibri"/>
                <w:color w:val="000000"/>
                <w:szCs w:val="16"/>
              </w:rPr>
              <w:t>4</w:t>
            </w:r>
          </w:p>
        </w:tc>
        <w:tc>
          <w:tcPr>
            <w:tcW w:w="1739" w:type="dxa"/>
            <w:shd w:val="clear" w:color="auto" w:fill="FFFFFF"/>
            <w:tcMar>
              <w:top w:w="0" w:type="dxa"/>
              <w:left w:w="85" w:type="dxa"/>
              <w:bottom w:w="0" w:type="dxa"/>
              <w:right w:w="85" w:type="dxa"/>
            </w:tcMar>
            <w:vAlign w:val="center"/>
          </w:tcPr>
          <w:p w14:paraId="56371C80" w14:textId="77777777" w:rsidR="00E87995" w:rsidRPr="009E06AA" w:rsidRDefault="00E87995" w:rsidP="00FE7C1C">
            <w:pPr>
              <w:pStyle w:val="TableText"/>
              <w:spacing w:before="40" w:after="40"/>
              <w:jc w:val="right"/>
              <w:rPr>
                <w:szCs w:val="16"/>
              </w:rPr>
            </w:pPr>
            <w:r w:rsidRPr="009E06AA">
              <w:rPr>
                <w:color w:val="000000"/>
                <w:szCs w:val="16"/>
              </w:rPr>
              <w:t>100</w:t>
            </w:r>
          </w:p>
        </w:tc>
        <w:tc>
          <w:tcPr>
            <w:tcW w:w="1850" w:type="dxa"/>
            <w:shd w:val="clear" w:color="auto" w:fill="FFFFFF"/>
            <w:tcMar>
              <w:top w:w="0" w:type="dxa"/>
              <w:left w:w="85" w:type="dxa"/>
              <w:bottom w:w="0" w:type="dxa"/>
              <w:right w:w="85" w:type="dxa"/>
            </w:tcMar>
            <w:vAlign w:val="center"/>
          </w:tcPr>
          <w:p w14:paraId="1B4D4BDE" w14:textId="77777777" w:rsidR="00E87995" w:rsidRPr="009E06AA" w:rsidRDefault="00E87995" w:rsidP="00FE7C1C">
            <w:pPr>
              <w:pStyle w:val="TableText"/>
              <w:spacing w:before="40" w:after="40"/>
              <w:jc w:val="right"/>
              <w:rPr>
                <w:szCs w:val="16"/>
              </w:rPr>
            </w:pPr>
            <w:r w:rsidRPr="009E06AA">
              <w:rPr>
                <w:color w:val="000000"/>
                <w:szCs w:val="16"/>
              </w:rPr>
              <w:t>75</w:t>
            </w:r>
          </w:p>
        </w:tc>
        <w:tc>
          <w:tcPr>
            <w:tcW w:w="1960" w:type="dxa"/>
            <w:shd w:val="clear" w:color="auto" w:fill="FFFFFF"/>
            <w:tcMar>
              <w:top w:w="0" w:type="dxa"/>
              <w:left w:w="85" w:type="dxa"/>
              <w:bottom w:w="0" w:type="dxa"/>
              <w:right w:w="85" w:type="dxa"/>
            </w:tcMar>
            <w:vAlign w:val="center"/>
          </w:tcPr>
          <w:p w14:paraId="7F6456AA" w14:textId="77777777" w:rsidR="00E87995" w:rsidRPr="009E06AA" w:rsidRDefault="00E87995" w:rsidP="00FE7C1C">
            <w:pPr>
              <w:pStyle w:val="TableText"/>
              <w:spacing w:before="40" w:after="40"/>
              <w:jc w:val="right"/>
              <w:rPr>
                <w:szCs w:val="16"/>
              </w:rPr>
            </w:pPr>
            <w:r w:rsidRPr="009E06AA">
              <w:rPr>
                <w:color w:val="000000"/>
                <w:szCs w:val="16"/>
              </w:rPr>
              <w:t>100</w:t>
            </w:r>
          </w:p>
        </w:tc>
      </w:tr>
      <w:tr w:rsidR="00E87995" w:rsidRPr="009E06AA" w14:paraId="183840DD" w14:textId="77777777" w:rsidTr="00B55F24">
        <w:tc>
          <w:tcPr>
            <w:tcW w:w="1683" w:type="dxa"/>
            <w:shd w:val="clear" w:color="auto" w:fill="FFFFFF"/>
            <w:tcMar>
              <w:top w:w="0" w:type="dxa"/>
              <w:left w:w="85" w:type="dxa"/>
              <w:bottom w:w="0" w:type="dxa"/>
              <w:right w:w="85" w:type="dxa"/>
            </w:tcMar>
            <w:vAlign w:val="center"/>
          </w:tcPr>
          <w:p w14:paraId="72E2990A" w14:textId="77777777" w:rsidR="00E87995" w:rsidRPr="009E06AA" w:rsidRDefault="00E87995" w:rsidP="00B55F24">
            <w:pPr>
              <w:pStyle w:val="TableText"/>
              <w:spacing w:before="40" w:after="40"/>
              <w:rPr>
                <w:szCs w:val="16"/>
              </w:rPr>
            </w:pPr>
            <w:r w:rsidRPr="009E06AA">
              <w:rPr>
                <w:color w:val="000000"/>
                <w:szCs w:val="16"/>
              </w:rPr>
              <w:t>Metal</w:t>
            </w:r>
          </w:p>
        </w:tc>
        <w:tc>
          <w:tcPr>
            <w:tcW w:w="1273" w:type="dxa"/>
            <w:shd w:val="clear" w:color="auto" w:fill="FFFFFF"/>
            <w:tcMar>
              <w:top w:w="0" w:type="dxa"/>
              <w:left w:w="85" w:type="dxa"/>
              <w:bottom w:w="0" w:type="dxa"/>
              <w:right w:w="85" w:type="dxa"/>
            </w:tcMar>
            <w:vAlign w:val="center"/>
          </w:tcPr>
          <w:p w14:paraId="7A161475" w14:textId="77777777" w:rsidR="00E87995" w:rsidRPr="009E06AA" w:rsidRDefault="00E87995" w:rsidP="00FE7C1C">
            <w:pPr>
              <w:pStyle w:val="TableText"/>
              <w:spacing w:before="40" w:after="40"/>
              <w:jc w:val="right"/>
              <w:rPr>
                <w:szCs w:val="16"/>
              </w:rPr>
            </w:pPr>
            <w:r w:rsidRPr="009E06AA">
              <w:rPr>
                <w:color w:val="000000"/>
                <w:szCs w:val="16"/>
              </w:rPr>
              <w:t>2.</w:t>
            </w:r>
            <w:r w:rsidRPr="009E06AA">
              <w:rPr>
                <w:rFonts w:eastAsia="Calibri"/>
                <w:color w:val="000000"/>
                <w:szCs w:val="16"/>
              </w:rPr>
              <w:t>4</w:t>
            </w:r>
          </w:p>
        </w:tc>
        <w:tc>
          <w:tcPr>
            <w:tcW w:w="1739" w:type="dxa"/>
            <w:shd w:val="clear" w:color="auto" w:fill="FFFFFF"/>
            <w:tcMar>
              <w:top w:w="0" w:type="dxa"/>
              <w:left w:w="85" w:type="dxa"/>
              <w:bottom w:w="0" w:type="dxa"/>
              <w:right w:w="85" w:type="dxa"/>
            </w:tcMar>
            <w:vAlign w:val="center"/>
          </w:tcPr>
          <w:p w14:paraId="3C1BC836" w14:textId="77777777" w:rsidR="00E87995" w:rsidRPr="009E06AA" w:rsidRDefault="00E87995" w:rsidP="00FE7C1C">
            <w:pPr>
              <w:pStyle w:val="TableText"/>
              <w:spacing w:before="40" w:after="40"/>
              <w:jc w:val="right"/>
              <w:rPr>
                <w:szCs w:val="16"/>
              </w:rPr>
            </w:pPr>
            <w:r w:rsidRPr="009E06AA">
              <w:rPr>
                <w:color w:val="000000"/>
                <w:szCs w:val="16"/>
              </w:rPr>
              <w:t>100</w:t>
            </w:r>
          </w:p>
        </w:tc>
        <w:tc>
          <w:tcPr>
            <w:tcW w:w="1850" w:type="dxa"/>
            <w:shd w:val="clear" w:color="auto" w:fill="FFFFFF"/>
            <w:tcMar>
              <w:top w:w="0" w:type="dxa"/>
              <w:left w:w="85" w:type="dxa"/>
              <w:bottom w:w="0" w:type="dxa"/>
              <w:right w:w="85" w:type="dxa"/>
            </w:tcMar>
            <w:vAlign w:val="center"/>
          </w:tcPr>
          <w:p w14:paraId="10DC9543" w14:textId="77777777" w:rsidR="00E87995" w:rsidRPr="009E06AA" w:rsidRDefault="00E87995" w:rsidP="00FE7C1C">
            <w:pPr>
              <w:pStyle w:val="TableText"/>
              <w:spacing w:before="40" w:after="40"/>
              <w:jc w:val="right"/>
              <w:rPr>
                <w:szCs w:val="16"/>
              </w:rPr>
            </w:pPr>
            <w:r w:rsidRPr="009E06AA">
              <w:rPr>
                <w:rFonts w:eastAsia="Calibri"/>
                <w:color w:val="000000"/>
                <w:szCs w:val="16"/>
              </w:rPr>
              <w:t>NA</w:t>
            </w:r>
          </w:p>
        </w:tc>
        <w:tc>
          <w:tcPr>
            <w:tcW w:w="1960" w:type="dxa"/>
            <w:shd w:val="clear" w:color="auto" w:fill="FFFFFF"/>
            <w:tcMar>
              <w:top w:w="0" w:type="dxa"/>
              <w:left w:w="85" w:type="dxa"/>
              <w:bottom w:w="0" w:type="dxa"/>
              <w:right w:w="85" w:type="dxa"/>
            </w:tcMar>
            <w:vAlign w:val="center"/>
          </w:tcPr>
          <w:p w14:paraId="7956F66A" w14:textId="77777777" w:rsidR="00E87995" w:rsidRPr="009E06AA" w:rsidRDefault="00E87995" w:rsidP="00FE7C1C">
            <w:pPr>
              <w:pStyle w:val="TableText"/>
              <w:spacing w:before="40" w:after="40"/>
              <w:jc w:val="right"/>
              <w:rPr>
                <w:szCs w:val="16"/>
              </w:rPr>
            </w:pPr>
            <w:r w:rsidRPr="009E06AA">
              <w:rPr>
                <w:rFonts w:eastAsia="Calibri"/>
                <w:color w:val="000000"/>
                <w:szCs w:val="16"/>
              </w:rPr>
              <w:t>NA</w:t>
            </w:r>
          </w:p>
        </w:tc>
      </w:tr>
      <w:tr w:rsidR="00E87995" w:rsidRPr="009E06AA" w14:paraId="2302FD3D" w14:textId="77777777" w:rsidTr="00B55F24">
        <w:tc>
          <w:tcPr>
            <w:tcW w:w="1683" w:type="dxa"/>
            <w:shd w:val="clear" w:color="auto" w:fill="FFFFFF"/>
            <w:tcMar>
              <w:top w:w="0" w:type="dxa"/>
              <w:left w:w="85" w:type="dxa"/>
              <w:bottom w:w="0" w:type="dxa"/>
              <w:right w:w="85" w:type="dxa"/>
            </w:tcMar>
            <w:vAlign w:val="center"/>
          </w:tcPr>
          <w:p w14:paraId="411D179B" w14:textId="77777777" w:rsidR="00E87995" w:rsidRPr="009E06AA" w:rsidRDefault="00E87995" w:rsidP="00B55F24">
            <w:pPr>
              <w:pStyle w:val="TableText"/>
              <w:spacing w:before="40" w:after="40"/>
              <w:rPr>
                <w:szCs w:val="16"/>
              </w:rPr>
            </w:pPr>
            <w:r w:rsidRPr="009E06AA">
              <w:rPr>
                <w:color w:val="000000"/>
                <w:szCs w:val="16"/>
              </w:rPr>
              <w:t>Glass</w:t>
            </w:r>
          </w:p>
        </w:tc>
        <w:tc>
          <w:tcPr>
            <w:tcW w:w="1273" w:type="dxa"/>
            <w:shd w:val="clear" w:color="auto" w:fill="FFFFFF"/>
            <w:tcMar>
              <w:top w:w="0" w:type="dxa"/>
              <w:left w:w="85" w:type="dxa"/>
              <w:bottom w:w="0" w:type="dxa"/>
              <w:right w:w="85" w:type="dxa"/>
            </w:tcMar>
            <w:vAlign w:val="center"/>
          </w:tcPr>
          <w:p w14:paraId="141F6D6D" w14:textId="77777777" w:rsidR="00E87995" w:rsidRPr="009E06AA" w:rsidRDefault="00E87995" w:rsidP="00FE7C1C">
            <w:pPr>
              <w:pStyle w:val="TableText"/>
              <w:spacing w:before="40" w:after="40"/>
              <w:jc w:val="right"/>
              <w:rPr>
                <w:szCs w:val="16"/>
              </w:rPr>
            </w:pPr>
            <w:r w:rsidRPr="009E06AA">
              <w:rPr>
                <w:color w:val="000000"/>
                <w:szCs w:val="16"/>
              </w:rPr>
              <w:t>0.4</w:t>
            </w:r>
          </w:p>
        </w:tc>
        <w:tc>
          <w:tcPr>
            <w:tcW w:w="1739" w:type="dxa"/>
            <w:shd w:val="clear" w:color="auto" w:fill="FFFFFF"/>
            <w:tcMar>
              <w:top w:w="0" w:type="dxa"/>
              <w:left w:w="85" w:type="dxa"/>
              <w:bottom w:w="0" w:type="dxa"/>
              <w:right w:w="85" w:type="dxa"/>
            </w:tcMar>
            <w:vAlign w:val="center"/>
          </w:tcPr>
          <w:p w14:paraId="14B5B974" w14:textId="77777777" w:rsidR="00E87995" w:rsidRPr="009E06AA" w:rsidRDefault="00E87995" w:rsidP="00FE7C1C">
            <w:pPr>
              <w:pStyle w:val="TableText"/>
              <w:spacing w:before="40" w:after="40"/>
              <w:jc w:val="right"/>
              <w:rPr>
                <w:szCs w:val="16"/>
              </w:rPr>
            </w:pPr>
            <w:r w:rsidRPr="009E06AA">
              <w:rPr>
                <w:color w:val="000000"/>
                <w:szCs w:val="16"/>
              </w:rPr>
              <w:t>100</w:t>
            </w:r>
          </w:p>
        </w:tc>
        <w:tc>
          <w:tcPr>
            <w:tcW w:w="1850" w:type="dxa"/>
            <w:shd w:val="clear" w:color="auto" w:fill="FFFFFF"/>
            <w:tcMar>
              <w:top w:w="0" w:type="dxa"/>
              <w:left w:w="85" w:type="dxa"/>
              <w:bottom w:w="0" w:type="dxa"/>
              <w:right w:w="85" w:type="dxa"/>
            </w:tcMar>
            <w:vAlign w:val="center"/>
          </w:tcPr>
          <w:p w14:paraId="1A985C3A" w14:textId="77777777" w:rsidR="00E87995" w:rsidRPr="009E06AA" w:rsidRDefault="00E87995" w:rsidP="00FE7C1C">
            <w:pPr>
              <w:pStyle w:val="TableText"/>
              <w:spacing w:before="40" w:after="40"/>
              <w:jc w:val="right"/>
              <w:rPr>
                <w:szCs w:val="16"/>
              </w:rPr>
            </w:pPr>
            <w:r w:rsidRPr="009E06AA">
              <w:rPr>
                <w:rFonts w:eastAsia="Calibri"/>
                <w:color w:val="000000"/>
                <w:szCs w:val="16"/>
              </w:rPr>
              <w:t>NA</w:t>
            </w:r>
          </w:p>
        </w:tc>
        <w:tc>
          <w:tcPr>
            <w:tcW w:w="1960" w:type="dxa"/>
            <w:shd w:val="clear" w:color="auto" w:fill="FFFFFF"/>
            <w:tcMar>
              <w:top w:w="0" w:type="dxa"/>
              <w:left w:w="85" w:type="dxa"/>
              <w:bottom w:w="0" w:type="dxa"/>
              <w:right w:w="85" w:type="dxa"/>
            </w:tcMar>
            <w:vAlign w:val="center"/>
          </w:tcPr>
          <w:p w14:paraId="6216E2AD" w14:textId="77777777" w:rsidR="00E87995" w:rsidRPr="009E06AA" w:rsidRDefault="00E87995" w:rsidP="00FE7C1C">
            <w:pPr>
              <w:pStyle w:val="TableText"/>
              <w:spacing w:before="40" w:after="40"/>
              <w:jc w:val="right"/>
              <w:rPr>
                <w:szCs w:val="16"/>
              </w:rPr>
            </w:pPr>
            <w:r w:rsidRPr="009E06AA">
              <w:rPr>
                <w:rFonts w:eastAsia="Calibri"/>
                <w:color w:val="000000"/>
                <w:szCs w:val="16"/>
              </w:rPr>
              <w:t>NA</w:t>
            </w:r>
          </w:p>
        </w:tc>
      </w:tr>
      <w:tr w:rsidR="00E87995" w:rsidRPr="009E06AA" w14:paraId="16FBF449" w14:textId="77777777" w:rsidTr="00B55F24">
        <w:tc>
          <w:tcPr>
            <w:tcW w:w="1683" w:type="dxa"/>
            <w:shd w:val="clear" w:color="auto" w:fill="FFFFFF"/>
            <w:tcMar>
              <w:top w:w="0" w:type="dxa"/>
              <w:left w:w="85" w:type="dxa"/>
              <w:bottom w:w="0" w:type="dxa"/>
              <w:right w:w="85" w:type="dxa"/>
            </w:tcMar>
            <w:vAlign w:val="center"/>
          </w:tcPr>
          <w:p w14:paraId="44B9C056" w14:textId="77777777" w:rsidR="00E87995" w:rsidRPr="009E06AA" w:rsidRDefault="00E87995" w:rsidP="00B55F24">
            <w:pPr>
              <w:pStyle w:val="TableText"/>
              <w:spacing w:before="40" w:after="40"/>
              <w:rPr>
                <w:szCs w:val="16"/>
              </w:rPr>
            </w:pPr>
            <w:r w:rsidRPr="009E06AA">
              <w:rPr>
                <w:color w:val="000000"/>
                <w:szCs w:val="16"/>
              </w:rPr>
              <w:t>Other, inert</w:t>
            </w:r>
          </w:p>
        </w:tc>
        <w:tc>
          <w:tcPr>
            <w:tcW w:w="1273" w:type="dxa"/>
            <w:shd w:val="clear" w:color="auto" w:fill="FFFFFF"/>
            <w:tcMar>
              <w:top w:w="0" w:type="dxa"/>
              <w:left w:w="85" w:type="dxa"/>
              <w:bottom w:w="0" w:type="dxa"/>
              <w:right w:w="85" w:type="dxa"/>
            </w:tcMar>
            <w:vAlign w:val="center"/>
          </w:tcPr>
          <w:p w14:paraId="25147F68" w14:textId="77777777" w:rsidR="00E87995" w:rsidRPr="009E06AA" w:rsidRDefault="00E87995" w:rsidP="00FE7C1C">
            <w:pPr>
              <w:pStyle w:val="TableText"/>
              <w:spacing w:before="40" w:after="40"/>
              <w:jc w:val="right"/>
              <w:rPr>
                <w:szCs w:val="16"/>
              </w:rPr>
            </w:pPr>
            <w:r w:rsidRPr="009E06AA">
              <w:rPr>
                <w:color w:val="000000"/>
                <w:szCs w:val="16"/>
              </w:rPr>
              <w:t>9.6</w:t>
            </w:r>
          </w:p>
        </w:tc>
        <w:tc>
          <w:tcPr>
            <w:tcW w:w="1739" w:type="dxa"/>
            <w:shd w:val="clear" w:color="auto" w:fill="FFFFFF"/>
            <w:tcMar>
              <w:top w:w="0" w:type="dxa"/>
              <w:left w:w="85" w:type="dxa"/>
              <w:bottom w:w="0" w:type="dxa"/>
              <w:right w:w="85" w:type="dxa"/>
            </w:tcMar>
            <w:vAlign w:val="center"/>
          </w:tcPr>
          <w:p w14:paraId="1E687C4B" w14:textId="77777777" w:rsidR="00E87995" w:rsidRPr="009E06AA" w:rsidRDefault="00E87995" w:rsidP="00FE7C1C">
            <w:pPr>
              <w:pStyle w:val="TableText"/>
              <w:spacing w:before="40" w:after="40"/>
              <w:jc w:val="right"/>
              <w:rPr>
                <w:szCs w:val="16"/>
              </w:rPr>
            </w:pPr>
            <w:r w:rsidRPr="009E06AA">
              <w:rPr>
                <w:color w:val="000000"/>
                <w:szCs w:val="16"/>
              </w:rPr>
              <w:t>90</w:t>
            </w:r>
          </w:p>
        </w:tc>
        <w:tc>
          <w:tcPr>
            <w:tcW w:w="1850" w:type="dxa"/>
            <w:shd w:val="clear" w:color="auto" w:fill="FFFFFF"/>
            <w:tcMar>
              <w:top w:w="0" w:type="dxa"/>
              <w:left w:w="85" w:type="dxa"/>
              <w:bottom w:w="0" w:type="dxa"/>
              <w:right w:w="85" w:type="dxa"/>
            </w:tcMar>
            <w:vAlign w:val="center"/>
          </w:tcPr>
          <w:p w14:paraId="297515F9" w14:textId="77777777" w:rsidR="00E87995" w:rsidRPr="009E06AA" w:rsidRDefault="00E87995" w:rsidP="00FE7C1C">
            <w:pPr>
              <w:pStyle w:val="TableText"/>
              <w:spacing w:before="40" w:after="40"/>
              <w:jc w:val="right"/>
              <w:rPr>
                <w:szCs w:val="16"/>
              </w:rPr>
            </w:pPr>
            <w:r w:rsidRPr="009E06AA">
              <w:rPr>
                <w:color w:val="000000"/>
                <w:szCs w:val="16"/>
              </w:rPr>
              <w:t>3</w:t>
            </w:r>
          </w:p>
        </w:tc>
        <w:tc>
          <w:tcPr>
            <w:tcW w:w="1960" w:type="dxa"/>
            <w:shd w:val="clear" w:color="auto" w:fill="FFFFFF"/>
            <w:tcMar>
              <w:top w:w="0" w:type="dxa"/>
              <w:left w:w="85" w:type="dxa"/>
              <w:bottom w:w="0" w:type="dxa"/>
              <w:right w:w="85" w:type="dxa"/>
            </w:tcMar>
            <w:vAlign w:val="center"/>
          </w:tcPr>
          <w:p w14:paraId="0BD8CB4D" w14:textId="77777777" w:rsidR="00E87995" w:rsidRPr="009E06AA" w:rsidRDefault="00E87995" w:rsidP="00FE7C1C">
            <w:pPr>
              <w:pStyle w:val="TableText"/>
              <w:spacing w:before="40" w:after="40"/>
              <w:jc w:val="right"/>
              <w:rPr>
                <w:szCs w:val="16"/>
              </w:rPr>
            </w:pPr>
            <w:r w:rsidRPr="009E06AA">
              <w:rPr>
                <w:color w:val="000000"/>
                <w:szCs w:val="16"/>
              </w:rPr>
              <w:t>100</w:t>
            </w:r>
          </w:p>
        </w:tc>
      </w:tr>
      <w:tr w:rsidR="00E87995" w:rsidRPr="009E06AA" w14:paraId="0B754EA5" w14:textId="77777777" w:rsidTr="00B55F24">
        <w:tc>
          <w:tcPr>
            <w:tcW w:w="1683" w:type="dxa"/>
            <w:shd w:val="clear" w:color="auto" w:fill="FFFFFF"/>
            <w:tcMar>
              <w:top w:w="0" w:type="dxa"/>
              <w:left w:w="85" w:type="dxa"/>
              <w:bottom w:w="0" w:type="dxa"/>
              <w:right w:w="85" w:type="dxa"/>
            </w:tcMar>
            <w:vAlign w:val="center"/>
          </w:tcPr>
          <w:p w14:paraId="5AD7478B" w14:textId="77777777" w:rsidR="00E87995" w:rsidRPr="009E06AA" w:rsidRDefault="00E87995" w:rsidP="00B55F24">
            <w:pPr>
              <w:pStyle w:val="Tableboldblue"/>
              <w:spacing w:before="40" w:after="40"/>
              <w:rPr>
                <w:szCs w:val="16"/>
              </w:rPr>
            </w:pPr>
            <w:r w:rsidRPr="009E06AA">
              <w:rPr>
                <w:szCs w:val="16"/>
              </w:rPr>
              <w:t>Weighted average</w:t>
            </w:r>
          </w:p>
        </w:tc>
        <w:tc>
          <w:tcPr>
            <w:tcW w:w="1273" w:type="dxa"/>
            <w:shd w:val="clear" w:color="auto" w:fill="FFFFFF"/>
            <w:tcMar>
              <w:top w:w="0" w:type="dxa"/>
              <w:left w:w="85" w:type="dxa"/>
              <w:bottom w:w="0" w:type="dxa"/>
              <w:right w:w="85" w:type="dxa"/>
            </w:tcMar>
            <w:vAlign w:val="center"/>
          </w:tcPr>
          <w:p w14:paraId="0FE09416" w14:textId="77777777" w:rsidR="00E87995" w:rsidRPr="009E06AA" w:rsidRDefault="00E87995" w:rsidP="00FE7C1C">
            <w:pPr>
              <w:pStyle w:val="Tableboldblue"/>
              <w:spacing w:before="40" w:after="40"/>
              <w:jc w:val="right"/>
              <w:rPr>
                <w:szCs w:val="16"/>
              </w:rPr>
            </w:pPr>
            <w:r w:rsidRPr="009E06AA">
              <w:rPr>
                <w:rFonts w:eastAsia="Calibri"/>
                <w:szCs w:val="16"/>
              </w:rPr>
              <w:t>0</w:t>
            </w:r>
          </w:p>
        </w:tc>
        <w:tc>
          <w:tcPr>
            <w:tcW w:w="1739" w:type="dxa"/>
            <w:shd w:val="clear" w:color="auto" w:fill="FFFFFF"/>
            <w:tcMar>
              <w:top w:w="0" w:type="dxa"/>
              <w:left w:w="85" w:type="dxa"/>
              <w:bottom w:w="0" w:type="dxa"/>
              <w:right w:w="85" w:type="dxa"/>
            </w:tcMar>
            <w:vAlign w:val="center"/>
          </w:tcPr>
          <w:p w14:paraId="359DDBBF" w14:textId="77777777" w:rsidR="00E87995" w:rsidRPr="009E06AA" w:rsidRDefault="00E87995" w:rsidP="00FE7C1C">
            <w:pPr>
              <w:pStyle w:val="Tableboldblue"/>
              <w:spacing w:before="40" w:after="40"/>
              <w:jc w:val="right"/>
              <w:rPr>
                <w:szCs w:val="16"/>
              </w:rPr>
            </w:pPr>
            <w:r w:rsidRPr="009E06AA">
              <w:rPr>
                <w:szCs w:val="16"/>
              </w:rPr>
              <w:t>79.</w:t>
            </w:r>
            <w:r w:rsidRPr="009E06AA">
              <w:rPr>
                <w:rFonts w:eastAsia="Calibri"/>
                <w:szCs w:val="16"/>
              </w:rPr>
              <w:t>7</w:t>
            </w:r>
          </w:p>
        </w:tc>
        <w:tc>
          <w:tcPr>
            <w:tcW w:w="1850" w:type="dxa"/>
            <w:shd w:val="clear" w:color="auto" w:fill="FFFFFF"/>
            <w:tcMar>
              <w:top w:w="0" w:type="dxa"/>
              <w:left w:w="85" w:type="dxa"/>
              <w:bottom w:w="0" w:type="dxa"/>
              <w:right w:w="85" w:type="dxa"/>
            </w:tcMar>
            <w:vAlign w:val="center"/>
          </w:tcPr>
          <w:p w14:paraId="0403FA5E" w14:textId="77777777" w:rsidR="00E87995" w:rsidRPr="009E06AA" w:rsidRDefault="00E87995" w:rsidP="00FE7C1C">
            <w:pPr>
              <w:pStyle w:val="Tableboldblue"/>
              <w:spacing w:before="40" w:after="40"/>
              <w:jc w:val="right"/>
              <w:rPr>
                <w:szCs w:val="16"/>
              </w:rPr>
            </w:pPr>
            <w:r w:rsidRPr="009E06AA">
              <w:rPr>
                <w:szCs w:val="16"/>
              </w:rPr>
              <w:t>44.</w:t>
            </w:r>
            <w:r w:rsidRPr="009E06AA">
              <w:rPr>
                <w:rFonts w:eastAsia="Calibri"/>
                <w:szCs w:val="16"/>
              </w:rPr>
              <w:t>8</w:t>
            </w:r>
          </w:p>
        </w:tc>
        <w:tc>
          <w:tcPr>
            <w:tcW w:w="1960" w:type="dxa"/>
            <w:shd w:val="clear" w:color="auto" w:fill="FFFFFF"/>
            <w:tcMar>
              <w:top w:w="0" w:type="dxa"/>
              <w:left w:w="85" w:type="dxa"/>
              <w:bottom w:w="0" w:type="dxa"/>
              <w:right w:w="85" w:type="dxa"/>
            </w:tcMar>
            <w:vAlign w:val="center"/>
          </w:tcPr>
          <w:p w14:paraId="27A8A2AB" w14:textId="77777777" w:rsidR="00E87995" w:rsidRPr="009E06AA" w:rsidRDefault="00E87995" w:rsidP="00FE7C1C">
            <w:pPr>
              <w:pStyle w:val="Tableboldblue"/>
              <w:spacing w:before="40" w:after="40"/>
              <w:jc w:val="right"/>
              <w:rPr>
                <w:szCs w:val="16"/>
              </w:rPr>
            </w:pPr>
            <w:r w:rsidRPr="009E06AA">
              <w:rPr>
                <w:szCs w:val="16"/>
              </w:rPr>
              <w:t>24</w:t>
            </w:r>
          </w:p>
        </w:tc>
      </w:tr>
    </w:tbl>
    <w:p w14:paraId="2E56BF39" w14:textId="18C55D22" w:rsidR="00E87995" w:rsidRPr="009E06AA" w:rsidRDefault="00E87995" w:rsidP="00387CF3">
      <w:pPr>
        <w:pStyle w:val="Source"/>
        <w:spacing w:after="60"/>
      </w:pPr>
      <w:r w:rsidRPr="009E06AA">
        <w:rPr>
          <w:bCs/>
        </w:rPr>
        <w:t xml:space="preserve">Source: </w:t>
      </w:r>
      <w:r w:rsidR="00387CF3" w:rsidRPr="009E06AA">
        <w:rPr>
          <w:bCs/>
        </w:rPr>
        <w:tab/>
      </w:r>
      <w:r w:rsidRPr="009E06AA">
        <w:t xml:space="preserve">Dry-matter content, total carbon content and fossil carbon content values are from table 2.4 (IPCC, 2006a) </w:t>
      </w:r>
    </w:p>
    <w:p w14:paraId="50F2B8C9" w14:textId="77777777" w:rsidR="00E87995" w:rsidRPr="009E06AA" w:rsidRDefault="00E87995" w:rsidP="00E87995">
      <w:pPr>
        <w:pStyle w:val="Noteundertable"/>
        <w:rPr>
          <w:szCs w:val="18"/>
        </w:rPr>
      </w:pPr>
      <w:r w:rsidRPr="009E06AA">
        <w:rPr>
          <w:b/>
          <w:szCs w:val="18"/>
        </w:rPr>
        <w:t>Note:</w:t>
      </w:r>
      <w:r w:rsidRPr="009E06AA">
        <w:rPr>
          <w:szCs w:val="18"/>
        </w:rPr>
        <w:tab/>
        <w:t>NA = not applicable.</w:t>
      </w:r>
    </w:p>
    <w:p w14:paraId="0AA7D103" w14:textId="77777777" w:rsidR="00E87995" w:rsidRPr="009E06AA" w:rsidRDefault="00E87995" w:rsidP="00E87995">
      <w:pPr>
        <w:pStyle w:val="Heading4"/>
      </w:pPr>
      <w:bookmarkStart w:id="2942" w:name="choice-of-emission-factors-1"/>
      <w:bookmarkEnd w:id="2934"/>
      <w:bookmarkEnd w:id="2936"/>
      <w:r w:rsidRPr="009E06AA">
        <w:t>Choice of emission factors</w:t>
      </w:r>
    </w:p>
    <w:p w14:paraId="630A1955" w14:textId="77777777" w:rsidR="00E87995" w:rsidRPr="009E06AA" w:rsidRDefault="00E87995" w:rsidP="00BF2A76">
      <w:pPr>
        <w:pStyle w:val="Heading5"/>
      </w:pPr>
      <w:bookmarkStart w:id="2943" w:name="incineration-5.c.1-2"/>
      <w:r w:rsidRPr="009E06AA">
        <w:t>Incineration (5.C.1)</w:t>
      </w:r>
    </w:p>
    <w:p w14:paraId="157AC964" w14:textId="77777777" w:rsidR="00E87995" w:rsidRPr="009E06AA" w:rsidRDefault="00E87995" w:rsidP="00E87995">
      <w:pPr>
        <w:pStyle w:val="BodyText"/>
      </w:pPr>
      <w:r w:rsidRPr="009E06AA">
        <w:t>The parameters used to calculate emissions from incineration are detailed in table 7.4.4.</w:t>
      </w:r>
    </w:p>
    <w:p w14:paraId="228CD04E" w14:textId="77777777" w:rsidR="00E87995" w:rsidRPr="009E06AA" w:rsidRDefault="00E87995" w:rsidP="00E87995">
      <w:pPr>
        <w:pStyle w:val="Table"/>
      </w:pPr>
      <w:bookmarkStart w:id="2944" w:name="_Toc128383676"/>
      <w:bookmarkStart w:id="2945" w:name="_Toc131591449"/>
      <w:bookmarkStart w:id="2946" w:name="_Toc160537328"/>
      <w:bookmarkStart w:id="2947" w:name="_Toc160537690"/>
      <w:bookmarkStart w:id="2948" w:name="_Toc164153940"/>
      <w:r w:rsidRPr="009E06AA">
        <w:t>Table 7.4.4</w:t>
      </w:r>
      <w:r w:rsidRPr="009E06AA">
        <w:tab/>
        <w:t>Parameter values applied to estimate emissions from incineration</w:t>
      </w:r>
      <w:bookmarkEnd w:id="2944"/>
      <w:bookmarkEnd w:id="2945"/>
      <w:bookmarkEnd w:id="2946"/>
      <w:bookmarkEnd w:id="2947"/>
      <w:bookmarkEnd w:id="2948"/>
    </w:p>
    <w:tbl>
      <w:tblPr>
        <w:tblW w:w="8505" w:type="dxa"/>
        <w:tblBorders>
          <w:top w:val="single" w:sz="4" w:space="0" w:color="1B556B" w:themeColor="text2"/>
          <w:bottom w:val="single" w:sz="4" w:space="0" w:color="1B556B" w:themeColor="text2"/>
          <w:insideH w:val="single" w:sz="4" w:space="0" w:color="1B556B" w:themeColor="text2"/>
        </w:tblBorders>
        <w:tblLook w:val="0420" w:firstRow="1" w:lastRow="0" w:firstColumn="0" w:lastColumn="0" w:noHBand="0" w:noVBand="1"/>
      </w:tblPr>
      <w:tblGrid>
        <w:gridCol w:w="2268"/>
        <w:gridCol w:w="1560"/>
        <w:gridCol w:w="1703"/>
        <w:gridCol w:w="1276"/>
        <w:gridCol w:w="1698"/>
      </w:tblGrid>
      <w:tr w:rsidR="00E87995" w:rsidRPr="009E06AA" w14:paraId="683D890C" w14:textId="77777777" w:rsidTr="00B55F24">
        <w:trPr>
          <w:tblHeader/>
        </w:trPr>
        <w:tc>
          <w:tcPr>
            <w:tcW w:w="1333" w:type="pct"/>
            <w:shd w:val="clear" w:color="auto" w:fill="1B556B"/>
            <w:tcMar>
              <w:top w:w="0" w:type="dxa"/>
              <w:left w:w="85" w:type="dxa"/>
              <w:bottom w:w="0" w:type="dxa"/>
              <w:right w:w="85" w:type="dxa"/>
            </w:tcMar>
          </w:tcPr>
          <w:p w14:paraId="0F20050C" w14:textId="77777777" w:rsidR="00E87995" w:rsidRPr="009E06AA" w:rsidRDefault="00E87995" w:rsidP="00B55F24">
            <w:pPr>
              <w:pStyle w:val="TableTextBold"/>
              <w:spacing w:before="40" w:after="40"/>
              <w:rPr>
                <w:noProof w:val="0"/>
                <w:color w:val="FFFFFF" w:themeColor="background1"/>
                <w:szCs w:val="16"/>
              </w:rPr>
            </w:pPr>
            <w:r w:rsidRPr="009E06AA">
              <w:rPr>
                <w:noProof w:val="0"/>
                <w:color w:val="FFFFFF" w:themeColor="background1"/>
                <w:szCs w:val="16"/>
              </w:rPr>
              <w:t>Parameter</w:t>
            </w:r>
          </w:p>
        </w:tc>
        <w:tc>
          <w:tcPr>
            <w:tcW w:w="917" w:type="pct"/>
            <w:shd w:val="clear" w:color="auto" w:fill="1B556B"/>
            <w:tcMar>
              <w:top w:w="0" w:type="dxa"/>
              <w:left w:w="85" w:type="dxa"/>
              <w:bottom w:w="0" w:type="dxa"/>
              <w:right w:w="85" w:type="dxa"/>
            </w:tcMar>
          </w:tcPr>
          <w:p w14:paraId="5A6E667D" w14:textId="77777777" w:rsidR="00E87995" w:rsidRPr="009E06AA" w:rsidRDefault="00E87995" w:rsidP="00FE7C1C">
            <w:pPr>
              <w:pStyle w:val="TableTextBold"/>
              <w:spacing w:before="40" w:after="40"/>
              <w:jc w:val="right"/>
              <w:rPr>
                <w:noProof w:val="0"/>
                <w:color w:val="FFFFFF" w:themeColor="background1"/>
                <w:szCs w:val="16"/>
              </w:rPr>
            </w:pPr>
            <w:r w:rsidRPr="009E06AA">
              <w:rPr>
                <w:noProof w:val="0"/>
                <w:color w:val="FFFFFF" w:themeColor="background1"/>
                <w:szCs w:val="16"/>
              </w:rPr>
              <w:t>Hazardous waste</w:t>
            </w:r>
          </w:p>
        </w:tc>
        <w:tc>
          <w:tcPr>
            <w:tcW w:w="1001" w:type="pct"/>
            <w:shd w:val="clear" w:color="auto" w:fill="1B556B"/>
            <w:tcMar>
              <w:top w:w="0" w:type="dxa"/>
              <w:left w:w="85" w:type="dxa"/>
              <w:bottom w:w="0" w:type="dxa"/>
              <w:right w:w="85" w:type="dxa"/>
            </w:tcMar>
          </w:tcPr>
          <w:p w14:paraId="585EAE0A" w14:textId="77777777" w:rsidR="00E87995" w:rsidRPr="009E06AA" w:rsidRDefault="00E87995" w:rsidP="00FE7C1C">
            <w:pPr>
              <w:pStyle w:val="TableTextBold"/>
              <w:spacing w:before="40" w:after="40"/>
              <w:jc w:val="right"/>
              <w:rPr>
                <w:noProof w:val="0"/>
                <w:color w:val="FFFFFF" w:themeColor="background1"/>
                <w:szCs w:val="16"/>
              </w:rPr>
            </w:pPr>
            <w:r w:rsidRPr="009E06AA">
              <w:rPr>
                <w:noProof w:val="0"/>
                <w:color w:val="FFFFFF" w:themeColor="background1"/>
                <w:szCs w:val="16"/>
              </w:rPr>
              <w:t>Clinical wastes</w:t>
            </w:r>
          </w:p>
        </w:tc>
        <w:tc>
          <w:tcPr>
            <w:tcW w:w="750" w:type="pct"/>
            <w:shd w:val="clear" w:color="auto" w:fill="1B556B"/>
            <w:tcMar>
              <w:top w:w="0" w:type="dxa"/>
              <w:left w:w="85" w:type="dxa"/>
              <w:bottom w:w="0" w:type="dxa"/>
              <w:right w:w="85" w:type="dxa"/>
            </w:tcMar>
          </w:tcPr>
          <w:p w14:paraId="43478D4D" w14:textId="77777777" w:rsidR="00E87995" w:rsidRPr="009E06AA" w:rsidRDefault="00E87995" w:rsidP="00FE7C1C">
            <w:pPr>
              <w:pStyle w:val="TableTextBold"/>
              <w:spacing w:before="40" w:after="40"/>
              <w:jc w:val="right"/>
              <w:rPr>
                <w:noProof w:val="0"/>
                <w:color w:val="FFFFFF" w:themeColor="background1"/>
                <w:szCs w:val="16"/>
              </w:rPr>
            </w:pPr>
            <w:r w:rsidRPr="009E06AA">
              <w:rPr>
                <w:noProof w:val="0"/>
                <w:color w:val="FFFFFF" w:themeColor="background1"/>
                <w:szCs w:val="16"/>
              </w:rPr>
              <w:t>Sewage sludge</w:t>
            </w:r>
          </w:p>
        </w:tc>
        <w:tc>
          <w:tcPr>
            <w:tcW w:w="998" w:type="pct"/>
            <w:shd w:val="clear" w:color="auto" w:fill="1B556B"/>
            <w:tcMar>
              <w:top w:w="0" w:type="dxa"/>
              <w:left w:w="85" w:type="dxa"/>
              <w:bottom w:w="0" w:type="dxa"/>
              <w:right w:w="85" w:type="dxa"/>
            </w:tcMar>
          </w:tcPr>
          <w:p w14:paraId="2B048A62" w14:textId="77777777" w:rsidR="00E87995" w:rsidRPr="009E06AA" w:rsidRDefault="00E87995" w:rsidP="00B55F24">
            <w:pPr>
              <w:pStyle w:val="TableTextBold"/>
              <w:spacing w:before="40" w:after="40"/>
              <w:rPr>
                <w:noProof w:val="0"/>
                <w:color w:val="FFFFFF" w:themeColor="background1"/>
                <w:szCs w:val="16"/>
              </w:rPr>
            </w:pPr>
            <w:r w:rsidRPr="009E06AA">
              <w:rPr>
                <w:noProof w:val="0"/>
                <w:color w:val="FFFFFF" w:themeColor="background1"/>
                <w:szCs w:val="16"/>
              </w:rPr>
              <w:t>Source</w:t>
            </w:r>
          </w:p>
        </w:tc>
      </w:tr>
      <w:tr w:rsidR="00E87995" w:rsidRPr="009E06AA" w14:paraId="64A50F62" w14:textId="77777777" w:rsidTr="00B55F24">
        <w:tc>
          <w:tcPr>
            <w:tcW w:w="1333" w:type="pct"/>
            <w:shd w:val="clear" w:color="auto" w:fill="FFFFFF"/>
            <w:tcMar>
              <w:top w:w="0" w:type="dxa"/>
              <w:left w:w="85" w:type="dxa"/>
              <w:bottom w:w="0" w:type="dxa"/>
              <w:right w:w="85" w:type="dxa"/>
            </w:tcMar>
          </w:tcPr>
          <w:p w14:paraId="1BBF7B16" w14:textId="77777777" w:rsidR="00E87995" w:rsidRPr="009E06AA" w:rsidRDefault="00E87995" w:rsidP="00B55F24">
            <w:pPr>
              <w:pStyle w:val="TableText"/>
              <w:spacing w:before="40" w:after="40"/>
              <w:rPr>
                <w:szCs w:val="16"/>
              </w:rPr>
            </w:pPr>
            <w:r w:rsidRPr="009E06AA">
              <w:rPr>
                <w:color w:val="000000"/>
                <w:szCs w:val="16"/>
              </w:rPr>
              <w:t>Dry-matter content in waste (%)</w:t>
            </w:r>
          </w:p>
        </w:tc>
        <w:tc>
          <w:tcPr>
            <w:tcW w:w="917" w:type="pct"/>
            <w:shd w:val="clear" w:color="auto" w:fill="FFFFFF"/>
            <w:tcMar>
              <w:top w:w="0" w:type="dxa"/>
              <w:left w:w="85" w:type="dxa"/>
              <w:bottom w:w="0" w:type="dxa"/>
              <w:right w:w="85" w:type="dxa"/>
            </w:tcMar>
          </w:tcPr>
          <w:p w14:paraId="1BE1B9C9" w14:textId="77777777" w:rsidR="00E87995" w:rsidRPr="009E06AA" w:rsidRDefault="00E87995" w:rsidP="00FE7C1C">
            <w:pPr>
              <w:pStyle w:val="TableText"/>
              <w:spacing w:before="40" w:after="40"/>
              <w:jc w:val="right"/>
              <w:rPr>
                <w:szCs w:val="16"/>
              </w:rPr>
            </w:pPr>
            <w:r w:rsidRPr="009E06AA">
              <w:rPr>
                <w:color w:val="000000"/>
                <w:szCs w:val="16"/>
              </w:rPr>
              <w:t xml:space="preserve">50 </w:t>
            </w:r>
            <w:r w:rsidRPr="009E06AA">
              <w:rPr>
                <w:color w:val="000000"/>
                <w:szCs w:val="16"/>
              </w:rPr>
              <w:br/>
              <w:t>(table 2.6)</w:t>
            </w:r>
          </w:p>
        </w:tc>
        <w:tc>
          <w:tcPr>
            <w:tcW w:w="1001" w:type="pct"/>
            <w:shd w:val="clear" w:color="auto" w:fill="FFFFFF"/>
            <w:tcMar>
              <w:top w:w="0" w:type="dxa"/>
              <w:left w:w="85" w:type="dxa"/>
              <w:bottom w:w="0" w:type="dxa"/>
              <w:right w:w="85" w:type="dxa"/>
            </w:tcMar>
          </w:tcPr>
          <w:p w14:paraId="3DA10FBD" w14:textId="77777777" w:rsidR="00E87995" w:rsidRPr="009E06AA" w:rsidRDefault="00E87995" w:rsidP="00FE7C1C">
            <w:pPr>
              <w:pStyle w:val="TableText"/>
              <w:spacing w:before="40" w:after="40"/>
              <w:jc w:val="right"/>
              <w:rPr>
                <w:szCs w:val="16"/>
              </w:rPr>
            </w:pPr>
            <w:r w:rsidRPr="009E06AA">
              <w:rPr>
                <w:color w:val="000000"/>
                <w:szCs w:val="16"/>
              </w:rPr>
              <w:t xml:space="preserve">65 </w:t>
            </w:r>
            <w:r w:rsidRPr="009E06AA">
              <w:rPr>
                <w:color w:val="000000"/>
                <w:szCs w:val="16"/>
              </w:rPr>
              <w:br/>
              <w:t>(table 2.6)</w:t>
            </w:r>
          </w:p>
        </w:tc>
        <w:tc>
          <w:tcPr>
            <w:tcW w:w="750" w:type="pct"/>
            <w:shd w:val="clear" w:color="auto" w:fill="FFFFFF"/>
            <w:tcMar>
              <w:top w:w="0" w:type="dxa"/>
              <w:left w:w="85" w:type="dxa"/>
              <w:bottom w:w="0" w:type="dxa"/>
              <w:right w:w="85" w:type="dxa"/>
            </w:tcMar>
          </w:tcPr>
          <w:p w14:paraId="66E59695" w14:textId="77777777" w:rsidR="00E87995" w:rsidRPr="009E06AA" w:rsidRDefault="00E87995" w:rsidP="00FE7C1C">
            <w:pPr>
              <w:pStyle w:val="TableText"/>
              <w:spacing w:before="40" w:after="40"/>
              <w:jc w:val="right"/>
              <w:rPr>
                <w:szCs w:val="16"/>
              </w:rPr>
            </w:pPr>
            <w:r w:rsidRPr="009E06AA">
              <w:rPr>
                <w:color w:val="000000"/>
                <w:szCs w:val="16"/>
              </w:rPr>
              <w:t xml:space="preserve">10 </w:t>
            </w:r>
            <w:r w:rsidRPr="009E06AA">
              <w:rPr>
                <w:color w:val="000000"/>
                <w:szCs w:val="16"/>
              </w:rPr>
              <w:br/>
              <w:t>(section 2.3.2)</w:t>
            </w:r>
          </w:p>
        </w:tc>
        <w:tc>
          <w:tcPr>
            <w:tcW w:w="998" w:type="pct"/>
            <w:shd w:val="clear" w:color="auto" w:fill="FFFFFF"/>
            <w:tcMar>
              <w:top w:w="0" w:type="dxa"/>
              <w:left w:w="85" w:type="dxa"/>
              <w:bottom w:w="0" w:type="dxa"/>
              <w:right w:w="85" w:type="dxa"/>
            </w:tcMar>
          </w:tcPr>
          <w:p w14:paraId="10CEB291" w14:textId="77777777" w:rsidR="00E87995" w:rsidRPr="009E06AA" w:rsidRDefault="00E87995" w:rsidP="00B55F24">
            <w:pPr>
              <w:pStyle w:val="TableText"/>
              <w:spacing w:before="40" w:after="40"/>
              <w:rPr>
                <w:szCs w:val="16"/>
              </w:rPr>
            </w:pPr>
            <w:r w:rsidRPr="009E06AA">
              <w:rPr>
                <w:color w:val="000000"/>
                <w:szCs w:val="16"/>
              </w:rPr>
              <w:t>IPCC (2006a)</w:t>
            </w:r>
          </w:p>
        </w:tc>
      </w:tr>
      <w:tr w:rsidR="00E87995" w:rsidRPr="009E06AA" w14:paraId="035958FD" w14:textId="77777777" w:rsidTr="00B55F24">
        <w:tc>
          <w:tcPr>
            <w:tcW w:w="1333" w:type="pct"/>
            <w:shd w:val="clear" w:color="auto" w:fill="FFFFFF"/>
            <w:tcMar>
              <w:top w:w="0" w:type="dxa"/>
              <w:left w:w="85" w:type="dxa"/>
              <w:bottom w:w="0" w:type="dxa"/>
              <w:right w:w="85" w:type="dxa"/>
            </w:tcMar>
          </w:tcPr>
          <w:p w14:paraId="2B4C10F9" w14:textId="77777777" w:rsidR="00E87995" w:rsidRPr="009E06AA" w:rsidRDefault="00E87995" w:rsidP="00B55F24">
            <w:pPr>
              <w:pStyle w:val="TableText"/>
              <w:spacing w:before="40" w:after="40"/>
              <w:rPr>
                <w:szCs w:val="16"/>
              </w:rPr>
            </w:pPr>
            <w:r w:rsidRPr="009E06AA">
              <w:rPr>
                <w:color w:val="000000"/>
                <w:szCs w:val="16"/>
              </w:rPr>
              <w:t>Fraction of carbon</w:t>
            </w:r>
          </w:p>
        </w:tc>
        <w:tc>
          <w:tcPr>
            <w:tcW w:w="917" w:type="pct"/>
            <w:shd w:val="clear" w:color="auto" w:fill="FFFFFF"/>
            <w:tcMar>
              <w:top w:w="0" w:type="dxa"/>
              <w:left w:w="85" w:type="dxa"/>
              <w:bottom w:w="0" w:type="dxa"/>
              <w:right w:w="85" w:type="dxa"/>
            </w:tcMar>
          </w:tcPr>
          <w:p w14:paraId="2033E94A" w14:textId="77777777" w:rsidR="00E87995" w:rsidRPr="009E06AA" w:rsidRDefault="00E87995" w:rsidP="00FE7C1C">
            <w:pPr>
              <w:pStyle w:val="TableText"/>
              <w:spacing w:before="40" w:after="40"/>
              <w:jc w:val="right"/>
              <w:rPr>
                <w:szCs w:val="16"/>
              </w:rPr>
            </w:pPr>
            <w:r w:rsidRPr="009E06AA">
              <w:rPr>
                <w:color w:val="000000"/>
                <w:szCs w:val="16"/>
              </w:rPr>
              <w:t xml:space="preserve">0.275 (wet) </w:t>
            </w:r>
            <w:r w:rsidRPr="009E06AA">
              <w:rPr>
                <w:color w:val="000000"/>
                <w:szCs w:val="16"/>
              </w:rPr>
              <w:br/>
              <w:t>(table 2.6)</w:t>
            </w:r>
          </w:p>
        </w:tc>
        <w:tc>
          <w:tcPr>
            <w:tcW w:w="1001" w:type="pct"/>
            <w:shd w:val="clear" w:color="auto" w:fill="FFFFFF"/>
            <w:tcMar>
              <w:top w:w="0" w:type="dxa"/>
              <w:left w:w="85" w:type="dxa"/>
              <w:bottom w:w="0" w:type="dxa"/>
              <w:right w:w="85" w:type="dxa"/>
            </w:tcMar>
          </w:tcPr>
          <w:p w14:paraId="028984A4" w14:textId="77777777" w:rsidR="00E87995" w:rsidRPr="009E06AA" w:rsidRDefault="00E87995" w:rsidP="00FE7C1C">
            <w:pPr>
              <w:pStyle w:val="TableText"/>
              <w:spacing w:before="40" w:after="40"/>
              <w:jc w:val="right"/>
              <w:rPr>
                <w:szCs w:val="16"/>
              </w:rPr>
            </w:pPr>
            <w:r w:rsidRPr="009E06AA">
              <w:rPr>
                <w:color w:val="000000"/>
                <w:szCs w:val="16"/>
              </w:rPr>
              <w:t xml:space="preserve">0.6 (dry) </w:t>
            </w:r>
            <w:r w:rsidRPr="009E06AA">
              <w:rPr>
                <w:color w:val="000000"/>
                <w:szCs w:val="16"/>
              </w:rPr>
              <w:br/>
              <w:t>(table 5.2)</w:t>
            </w:r>
          </w:p>
        </w:tc>
        <w:tc>
          <w:tcPr>
            <w:tcW w:w="750" w:type="pct"/>
            <w:shd w:val="clear" w:color="auto" w:fill="FFFFFF"/>
            <w:tcMar>
              <w:top w:w="0" w:type="dxa"/>
              <w:left w:w="85" w:type="dxa"/>
              <w:bottom w:w="0" w:type="dxa"/>
              <w:right w:w="85" w:type="dxa"/>
            </w:tcMar>
          </w:tcPr>
          <w:p w14:paraId="70B2495D" w14:textId="77777777" w:rsidR="00E87995" w:rsidRPr="009E06AA" w:rsidRDefault="00E87995" w:rsidP="00FE7C1C">
            <w:pPr>
              <w:pStyle w:val="TableText"/>
              <w:spacing w:before="40" w:after="40"/>
              <w:jc w:val="right"/>
              <w:rPr>
                <w:szCs w:val="16"/>
              </w:rPr>
            </w:pPr>
            <w:r w:rsidRPr="009E06AA">
              <w:rPr>
                <w:color w:val="000000"/>
                <w:szCs w:val="16"/>
              </w:rPr>
              <w:t xml:space="preserve">0.45 (dry) </w:t>
            </w:r>
            <w:r w:rsidRPr="009E06AA">
              <w:rPr>
                <w:color w:val="000000"/>
                <w:szCs w:val="16"/>
              </w:rPr>
              <w:br/>
              <w:t>(table 5.2)</w:t>
            </w:r>
          </w:p>
        </w:tc>
        <w:tc>
          <w:tcPr>
            <w:tcW w:w="998" w:type="pct"/>
            <w:shd w:val="clear" w:color="auto" w:fill="FFFFFF"/>
            <w:tcMar>
              <w:top w:w="0" w:type="dxa"/>
              <w:left w:w="85" w:type="dxa"/>
              <w:bottom w:w="0" w:type="dxa"/>
              <w:right w:w="85" w:type="dxa"/>
            </w:tcMar>
          </w:tcPr>
          <w:p w14:paraId="02B56110" w14:textId="77777777" w:rsidR="00E87995" w:rsidRPr="009E06AA" w:rsidRDefault="00E87995" w:rsidP="00B55F24">
            <w:pPr>
              <w:pStyle w:val="TableText"/>
              <w:spacing w:before="40" w:after="40"/>
              <w:rPr>
                <w:szCs w:val="16"/>
              </w:rPr>
            </w:pPr>
            <w:r w:rsidRPr="009E06AA">
              <w:rPr>
                <w:color w:val="000000"/>
                <w:szCs w:val="16"/>
              </w:rPr>
              <w:t>IPCC (2006a)</w:t>
            </w:r>
          </w:p>
        </w:tc>
      </w:tr>
      <w:tr w:rsidR="00E87995" w:rsidRPr="009E06AA" w14:paraId="5C5A1B79" w14:textId="77777777" w:rsidTr="00B55F24">
        <w:tc>
          <w:tcPr>
            <w:tcW w:w="1333" w:type="pct"/>
            <w:shd w:val="clear" w:color="auto" w:fill="FFFFFF"/>
            <w:tcMar>
              <w:top w:w="0" w:type="dxa"/>
              <w:left w:w="85" w:type="dxa"/>
              <w:bottom w:w="0" w:type="dxa"/>
              <w:right w:w="85" w:type="dxa"/>
            </w:tcMar>
          </w:tcPr>
          <w:p w14:paraId="15B7A1E7" w14:textId="77777777" w:rsidR="00E87995" w:rsidRPr="009E06AA" w:rsidRDefault="00E87995" w:rsidP="00B55F24">
            <w:pPr>
              <w:pStyle w:val="TableText"/>
              <w:spacing w:before="40" w:after="40"/>
              <w:rPr>
                <w:szCs w:val="16"/>
              </w:rPr>
            </w:pPr>
            <w:r w:rsidRPr="009E06AA">
              <w:rPr>
                <w:color w:val="000000"/>
                <w:szCs w:val="16"/>
              </w:rPr>
              <w:t>Fraction of fossil carbon in total carbon</w:t>
            </w:r>
          </w:p>
        </w:tc>
        <w:tc>
          <w:tcPr>
            <w:tcW w:w="917" w:type="pct"/>
            <w:shd w:val="clear" w:color="auto" w:fill="FFFFFF"/>
            <w:tcMar>
              <w:top w:w="0" w:type="dxa"/>
              <w:left w:w="85" w:type="dxa"/>
              <w:bottom w:w="0" w:type="dxa"/>
              <w:right w:w="85" w:type="dxa"/>
            </w:tcMar>
          </w:tcPr>
          <w:p w14:paraId="40CAEA08" w14:textId="77777777" w:rsidR="00E87995" w:rsidRPr="009E06AA" w:rsidRDefault="00E87995" w:rsidP="00FE7C1C">
            <w:pPr>
              <w:pStyle w:val="TableText"/>
              <w:spacing w:before="40" w:after="40"/>
              <w:jc w:val="right"/>
              <w:rPr>
                <w:szCs w:val="16"/>
              </w:rPr>
            </w:pPr>
            <w:r w:rsidRPr="009E06AA">
              <w:rPr>
                <w:color w:val="000000"/>
                <w:szCs w:val="16"/>
              </w:rPr>
              <w:t xml:space="preserve">1 </w:t>
            </w:r>
            <w:r w:rsidRPr="009E06AA">
              <w:rPr>
                <w:color w:val="000000"/>
                <w:szCs w:val="16"/>
              </w:rPr>
              <w:br/>
              <w:t>(table 2.6)</w:t>
            </w:r>
          </w:p>
        </w:tc>
        <w:tc>
          <w:tcPr>
            <w:tcW w:w="1001" w:type="pct"/>
            <w:shd w:val="clear" w:color="auto" w:fill="FFFFFF"/>
            <w:tcMar>
              <w:top w:w="0" w:type="dxa"/>
              <w:left w:w="85" w:type="dxa"/>
              <w:bottom w:w="0" w:type="dxa"/>
              <w:right w:w="85" w:type="dxa"/>
            </w:tcMar>
          </w:tcPr>
          <w:p w14:paraId="43811EAB" w14:textId="77777777" w:rsidR="00E87995" w:rsidRPr="009E06AA" w:rsidRDefault="00E87995" w:rsidP="00FE7C1C">
            <w:pPr>
              <w:pStyle w:val="TableText"/>
              <w:spacing w:before="40" w:after="40"/>
              <w:jc w:val="right"/>
              <w:rPr>
                <w:szCs w:val="16"/>
              </w:rPr>
            </w:pPr>
            <w:r w:rsidRPr="009E06AA">
              <w:rPr>
                <w:color w:val="000000"/>
                <w:szCs w:val="16"/>
              </w:rPr>
              <w:t xml:space="preserve">0.4 </w:t>
            </w:r>
            <w:r w:rsidRPr="009E06AA">
              <w:rPr>
                <w:color w:val="000000"/>
                <w:szCs w:val="16"/>
              </w:rPr>
              <w:br/>
              <w:t>(table 5.2)</w:t>
            </w:r>
          </w:p>
        </w:tc>
        <w:tc>
          <w:tcPr>
            <w:tcW w:w="750" w:type="pct"/>
            <w:shd w:val="clear" w:color="auto" w:fill="FFFFFF"/>
            <w:tcMar>
              <w:top w:w="0" w:type="dxa"/>
              <w:left w:w="85" w:type="dxa"/>
              <w:bottom w:w="0" w:type="dxa"/>
              <w:right w:w="85" w:type="dxa"/>
            </w:tcMar>
          </w:tcPr>
          <w:p w14:paraId="4B825B8A" w14:textId="77777777" w:rsidR="00E87995" w:rsidRPr="009E06AA" w:rsidRDefault="00E87995" w:rsidP="00FE7C1C">
            <w:pPr>
              <w:pStyle w:val="TableText"/>
              <w:spacing w:before="40" w:after="40"/>
              <w:jc w:val="right"/>
              <w:rPr>
                <w:szCs w:val="16"/>
              </w:rPr>
            </w:pPr>
            <w:r w:rsidRPr="009E06AA">
              <w:rPr>
                <w:color w:val="000000"/>
                <w:szCs w:val="16"/>
              </w:rPr>
              <w:t xml:space="preserve">0 </w:t>
            </w:r>
            <w:r w:rsidRPr="009E06AA">
              <w:rPr>
                <w:color w:val="000000"/>
                <w:szCs w:val="16"/>
              </w:rPr>
              <w:br/>
              <w:t>(table 5.2)</w:t>
            </w:r>
          </w:p>
        </w:tc>
        <w:tc>
          <w:tcPr>
            <w:tcW w:w="998" w:type="pct"/>
            <w:shd w:val="clear" w:color="auto" w:fill="FFFFFF"/>
            <w:tcMar>
              <w:top w:w="0" w:type="dxa"/>
              <w:left w:w="85" w:type="dxa"/>
              <w:bottom w:w="0" w:type="dxa"/>
              <w:right w:w="85" w:type="dxa"/>
            </w:tcMar>
          </w:tcPr>
          <w:p w14:paraId="62FE99AB" w14:textId="77777777" w:rsidR="00E87995" w:rsidRPr="009E06AA" w:rsidRDefault="00E87995" w:rsidP="00B55F24">
            <w:pPr>
              <w:pStyle w:val="TableText"/>
              <w:spacing w:before="40" w:after="40"/>
              <w:rPr>
                <w:szCs w:val="16"/>
              </w:rPr>
            </w:pPr>
            <w:r w:rsidRPr="009E06AA">
              <w:rPr>
                <w:color w:val="000000"/>
                <w:szCs w:val="16"/>
              </w:rPr>
              <w:t>IPCC (2006a)</w:t>
            </w:r>
          </w:p>
        </w:tc>
      </w:tr>
      <w:tr w:rsidR="00E87995" w:rsidRPr="009E06AA" w14:paraId="751DCF10" w14:textId="77777777" w:rsidTr="00B55F24">
        <w:tc>
          <w:tcPr>
            <w:tcW w:w="1333" w:type="pct"/>
            <w:shd w:val="clear" w:color="auto" w:fill="FFFFFF"/>
            <w:tcMar>
              <w:top w:w="0" w:type="dxa"/>
              <w:left w:w="85" w:type="dxa"/>
              <w:bottom w:w="0" w:type="dxa"/>
              <w:right w:w="85" w:type="dxa"/>
            </w:tcMar>
          </w:tcPr>
          <w:p w14:paraId="07DCCF72" w14:textId="77777777" w:rsidR="00E87995" w:rsidRPr="009E06AA" w:rsidRDefault="00E87995" w:rsidP="00B55F24">
            <w:pPr>
              <w:pStyle w:val="TableText"/>
              <w:spacing w:before="40" w:after="40"/>
              <w:rPr>
                <w:szCs w:val="16"/>
              </w:rPr>
            </w:pPr>
            <w:r w:rsidRPr="009E06AA">
              <w:rPr>
                <w:color w:val="000000"/>
                <w:szCs w:val="16"/>
              </w:rPr>
              <w:t>Oxidation factor</w:t>
            </w:r>
          </w:p>
        </w:tc>
        <w:tc>
          <w:tcPr>
            <w:tcW w:w="917" w:type="pct"/>
            <w:shd w:val="clear" w:color="auto" w:fill="FFFFFF"/>
            <w:tcMar>
              <w:top w:w="0" w:type="dxa"/>
              <w:left w:w="85" w:type="dxa"/>
              <w:bottom w:w="0" w:type="dxa"/>
              <w:right w:w="85" w:type="dxa"/>
            </w:tcMar>
          </w:tcPr>
          <w:p w14:paraId="3D0EFDC3" w14:textId="77777777" w:rsidR="00E87995" w:rsidRPr="009E06AA" w:rsidRDefault="00E87995" w:rsidP="00FE7C1C">
            <w:pPr>
              <w:pStyle w:val="TableText"/>
              <w:spacing w:before="40" w:after="40"/>
              <w:jc w:val="right"/>
              <w:rPr>
                <w:szCs w:val="16"/>
              </w:rPr>
            </w:pPr>
            <w:r w:rsidRPr="009E06AA">
              <w:rPr>
                <w:color w:val="000000"/>
                <w:szCs w:val="16"/>
              </w:rPr>
              <w:t>1</w:t>
            </w:r>
          </w:p>
        </w:tc>
        <w:tc>
          <w:tcPr>
            <w:tcW w:w="1001" w:type="pct"/>
            <w:shd w:val="clear" w:color="auto" w:fill="FFFFFF"/>
            <w:tcMar>
              <w:top w:w="0" w:type="dxa"/>
              <w:left w:w="85" w:type="dxa"/>
              <w:bottom w:w="0" w:type="dxa"/>
              <w:right w:w="85" w:type="dxa"/>
            </w:tcMar>
          </w:tcPr>
          <w:p w14:paraId="032A0845" w14:textId="77777777" w:rsidR="00E87995" w:rsidRPr="009E06AA" w:rsidRDefault="00E87995" w:rsidP="00FE7C1C">
            <w:pPr>
              <w:pStyle w:val="TableText"/>
              <w:spacing w:before="40" w:after="40"/>
              <w:jc w:val="right"/>
              <w:rPr>
                <w:szCs w:val="16"/>
              </w:rPr>
            </w:pPr>
            <w:r w:rsidRPr="009E06AA">
              <w:rPr>
                <w:color w:val="000000"/>
                <w:szCs w:val="16"/>
              </w:rPr>
              <w:t>1</w:t>
            </w:r>
          </w:p>
        </w:tc>
        <w:tc>
          <w:tcPr>
            <w:tcW w:w="750" w:type="pct"/>
            <w:shd w:val="clear" w:color="auto" w:fill="FFFFFF"/>
            <w:tcMar>
              <w:top w:w="0" w:type="dxa"/>
              <w:left w:w="85" w:type="dxa"/>
              <w:bottom w:w="0" w:type="dxa"/>
              <w:right w:w="85" w:type="dxa"/>
            </w:tcMar>
          </w:tcPr>
          <w:p w14:paraId="7E8BFE27" w14:textId="77777777" w:rsidR="00E87995" w:rsidRPr="009E06AA" w:rsidRDefault="00E87995" w:rsidP="00FE7C1C">
            <w:pPr>
              <w:pStyle w:val="TableText"/>
              <w:spacing w:before="40" w:after="40"/>
              <w:jc w:val="right"/>
              <w:rPr>
                <w:szCs w:val="16"/>
              </w:rPr>
            </w:pPr>
            <w:r w:rsidRPr="009E06AA">
              <w:rPr>
                <w:color w:val="000000"/>
                <w:szCs w:val="16"/>
              </w:rPr>
              <w:t>1</w:t>
            </w:r>
          </w:p>
        </w:tc>
        <w:tc>
          <w:tcPr>
            <w:tcW w:w="998" w:type="pct"/>
            <w:shd w:val="clear" w:color="auto" w:fill="FFFFFF"/>
            <w:tcMar>
              <w:top w:w="0" w:type="dxa"/>
              <w:left w:w="85" w:type="dxa"/>
              <w:bottom w:w="0" w:type="dxa"/>
              <w:right w:w="85" w:type="dxa"/>
            </w:tcMar>
          </w:tcPr>
          <w:p w14:paraId="5BA21C20" w14:textId="77777777" w:rsidR="00E87995" w:rsidRPr="009E06AA" w:rsidRDefault="00E87995" w:rsidP="00B55F24">
            <w:pPr>
              <w:pStyle w:val="TableText"/>
              <w:spacing w:before="40" w:after="40"/>
              <w:rPr>
                <w:szCs w:val="16"/>
              </w:rPr>
            </w:pPr>
            <w:r w:rsidRPr="009E06AA">
              <w:rPr>
                <w:color w:val="000000"/>
                <w:szCs w:val="16"/>
              </w:rPr>
              <w:t>IPCC (2006a), table 5.2</w:t>
            </w:r>
          </w:p>
        </w:tc>
      </w:tr>
      <w:tr w:rsidR="00E87995" w:rsidRPr="009E06AA" w14:paraId="2769D6AA" w14:textId="77777777" w:rsidTr="00B55F24">
        <w:tc>
          <w:tcPr>
            <w:tcW w:w="1333" w:type="pct"/>
            <w:shd w:val="clear" w:color="auto" w:fill="FFFFFF"/>
            <w:tcMar>
              <w:top w:w="0" w:type="dxa"/>
              <w:left w:w="85" w:type="dxa"/>
              <w:bottom w:w="0" w:type="dxa"/>
              <w:right w:w="85" w:type="dxa"/>
            </w:tcMar>
          </w:tcPr>
          <w:p w14:paraId="139D980B" w14:textId="77777777" w:rsidR="00E87995" w:rsidRPr="009E06AA" w:rsidRDefault="00E87995" w:rsidP="00B55F24">
            <w:pPr>
              <w:pStyle w:val="TableText"/>
              <w:spacing w:before="40" w:after="40"/>
              <w:rPr>
                <w:szCs w:val="16"/>
              </w:rPr>
            </w:pPr>
            <w:r w:rsidRPr="009E06AA">
              <w:rPr>
                <w:color w:val="000000"/>
                <w:szCs w:val="16"/>
              </w:rPr>
              <w:t>Molar ratio to convert from carbon to carbon dioxide</w:t>
            </w:r>
          </w:p>
        </w:tc>
        <w:tc>
          <w:tcPr>
            <w:tcW w:w="917" w:type="pct"/>
            <w:shd w:val="clear" w:color="auto" w:fill="FFFFFF"/>
            <w:tcMar>
              <w:top w:w="0" w:type="dxa"/>
              <w:left w:w="85" w:type="dxa"/>
              <w:bottom w:w="0" w:type="dxa"/>
              <w:right w:w="85" w:type="dxa"/>
            </w:tcMar>
          </w:tcPr>
          <w:p w14:paraId="1FDEA1F5" w14:textId="77777777" w:rsidR="00E87995" w:rsidRPr="009E06AA" w:rsidRDefault="00E87995" w:rsidP="00FE7C1C">
            <w:pPr>
              <w:pStyle w:val="TableText"/>
              <w:spacing w:before="40" w:after="40"/>
              <w:jc w:val="right"/>
              <w:rPr>
                <w:szCs w:val="16"/>
              </w:rPr>
            </w:pPr>
            <w:r w:rsidRPr="009E06AA">
              <w:rPr>
                <w:color w:val="000000"/>
                <w:szCs w:val="16"/>
              </w:rPr>
              <w:t>44/12</w:t>
            </w:r>
          </w:p>
        </w:tc>
        <w:tc>
          <w:tcPr>
            <w:tcW w:w="1001" w:type="pct"/>
            <w:shd w:val="clear" w:color="auto" w:fill="FFFFFF"/>
            <w:tcMar>
              <w:top w:w="0" w:type="dxa"/>
              <w:left w:w="85" w:type="dxa"/>
              <w:bottom w:w="0" w:type="dxa"/>
              <w:right w:w="85" w:type="dxa"/>
            </w:tcMar>
          </w:tcPr>
          <w:p w14:paraId="3AF8042E" w14:textId="77777777" w:rsidR="00E87995" w:rsidRPr="009E06AA" w:rsidRDefault="00E87995" w:rsidP="00FE7C1C">
            <w:pPr>
              <w:pStyle w:val="TableText"/>
              <w:spacing w:before="40" w:after="40"/>
              <w:jc w:val="right"/>
              <w:rPr>
                <w:szCs w:val="16"/>
              </w:rPr>
            </w:pPr>
            <w:r w:rsidRPr="009E06AA">
              <w:rPr>
                <w:color w:val="000000"/>
                <w:szCs w:val="16"/>
              </w:rPr>
              <w:t>44/12</w:t>
            </w:r>
          </w:p>
        </w:tc>
        <w:tc>
          <w:tcPr>
            <w:tcW w:w="750" w:type="pct"/>
            <w:shd w:val="clear" w:color="auto" w:fill="FFFFFF"/>
            <w:tcMar>
              <w:top w:w="0" w:type="dxa"/>
              <w:left w:w="85" w:type="dxa"/>
              <w:bottom w:w="0" w:type="dxa"/>
              <w:right w:w="85" w:type="dxa"/>
            </w:tcMar>
          </w:tcPr>
          <w:p w14:paraId="57C519D3" w14:textId="77777777" w:rsidR="00E87995" w:rsidRPr="009E06AA" w:rsidRDefault="00E87995" w:rsidP="00FE7C1C">
            <w:pPr>
              <w:pStyle w:val="TableText"/>
              <w:spacing w:before="40" w:after="40"/>
              <w:jc w:val="right"/>
              <w:rPr>
                <w:szCs w:val="16"/>
              </w:rPr>
            </w:pPr>
            <w:r w:rsidRPr="009E06AA">
              <w:rPr>
                <w:color w:val="000000"/>
                <w:szCs w:val="16"/>
              </w:rPr>
              <w:t>44/12</w:t>
            </w:r>
          </w:p>
        </w:tc>
        <w:tc>
          <w:tcPr>
            <w:tcW w:w="998" w:type="pct"/>
            <w:shd w:val="clear" w:color="auto" w:fill="FFFFFF"/>
            <w:tcMar>
              <w:top w:w="0" w:type="dxa"/>
              <w:left w:w="85" w:type="dxa"/>
              <w:bottom w:w="0" w:type="dxa"/>
              <w:right w:w="85" w:type="dxa"/>
            </w:tcMar>
          </w:tcPr>
          <w:p w14:paraId="3F7C8793" w14:textId="77777777" w:rsidR="00E87995" w:rsidRPr="009E06AA" w:rsidRDefault="00E87995" w:rsidP="00B55F24">
            <w:pPr>
              <w:pStyle w:val="TableText"/>
              <w:spacing w:before="40" w:after="40"/>
              <w:rPr>
                <w:szCs w:val="16"/>
              </w:rPr>
            </w:pPr>
          </w:p>
        </w:tc>
      </w:tr>
      <w:tr w:rsidR="00E87995" w:rsidRPr="009E06AA" w14:paraId="41FB4DF7" w14:textId="77777777" w:rsidTr="00B55F24">
        <w:tc>
          <w:tcPr>
            <w:tcW w:w="1333" w:type="pct"/>
            <w:shd w:val="clear" w:color="auto" w:fill="FFFFFF"/>
            <w:tcMar>
              <w:top w:w="0" w:type="dxa"/>
              <w:left w:w="85" w:type="dxa"/>
              <w:bottom w:w="0" w:type="dxa"/>
              <w:right w:w="85" w:type="dxa"/>
            </w:tcMar>
          </w:tcPr>
          <w:p w14:paraId="225CFD71" w14:textId="77777777" w:rsidR="00E87995" w:rsidRPr="009E06AA" w:rsidRDefault="00E87995" w:rsidP="00B55F24">
            <w:pPr>
              <w:pStyle w:val="TableText"/>
              <w:spacing w:before="40" w:after="40"/>
              <w:rPr>
                <w:szCs w:val="16"/>
              </w:rPr>
            </w:pPr>
            <w:r w:rsidRPr="009E06AA">
              <w:rPr>
                <w:color w:val="000000"/>
                <w:szCs w:val="16"/>
              </w:rPr>
              <w:t>Overall carbon dioxide emission factor (kg/kt)</w:t>
            </w:r>
          </w:p>
        </w:tc>
        <w:tc>
          <w:tcPr>
            <w:tcW w:w="917" w:type="pct"/>
            <w:shd w:val="clear" w:color="auto" w:fill="FFFFFF"/>
            <w:tcMar>
              <w:top w:w="0" w:type="dxa"/>
              <w:left w:w="85" w:type="dxa"/>
              <w:bottom w:w="0" w:type="dxa"/>
              <w:right w:w="85" w:type="dxa"/>
            </w:tcMar>
          </w:tcPr>
          <w:p w14:paraId="6473AF0A" w14:textId="77777777" w:rsidR="00E87995" w:rsidRPr="009E06AA" w:rsidRDefault="00E87995" w:rsidP="00FE7C1C">
            <w:pPr>
              <w:pStyle w:val="TableText"/>
              <w:spacing w:before="40" w:after="40"/>
              <w:jc w:val="right"/>
              <w:rPr>
                <w:szCs w:val="16"/>
              </w:rPr>
            </w:pPr>
            <w:r w:rsidRPr="009E06AA">
              <w:rPr>
                <w:color w:val="000000"/>
                <w:szCs w:val="16"/>
              </w:rPr>
              <w:t>0.5</w:t>
            </w:r>
          </w:p>
        </w:tc>
        <w:tc>
          <w:tcPr>
            <w:tcW w:w="1001" w:type="pct"/>
            <w:shd w:val="clear" w:color="auto" w:fill="FFFFFF"/>
            <w:tcMar>
              <w:top w:w="0" w:type="dxa"/>
              <w:left w:w="85" w:type="dxa"/>
              <w:bottom w:w="0" w:type="dxa"/>
              <w:right w:w="85" w:type="dxa"/>
            </w:tcMar>
          </w:tcPr>
          <w:p w14:paraId="450F0E6A" w14:textId="77777777" w:rsidR="00E87995" w:rsidRPr="009E06AA" w:rsidRDefault="00E87995" w:rsidP="00FE7C1C">
            <w:pPr>
              <w:pStyle w:val="TableText"/>
              <w:spacing w:before="40" w:after="40"/>
              <w:jc w:val="right"/>
              <w:rPr>
                <w:szCs w:val="16"/>
              </w:rPr>
            </w:pPr>
            <w:r w:rsidRPr="009E06AA">
              <w:rPr>
                <w:color w:val="000000"/>
                <w:szCs w:val="16"/>
              </w:rPr>
              <w:t>0.57</w:t>
            </w:r>
          </w:p>
        </w:tc>
        <w:tc>
          <w:tcPr>
            <w:tcW w:w="750" w:type="pct"/>
            <w:shd w:val="clear" w:color="auto" w:fill="FFFFFF"/>
            <w:tcMar>
              <w:top w:w="0" w:type="dxa"/>
              <w:left w:w="85" w:type="dxa"/>
              <w:bottom w:w="0" w:type="dxa"/>
              <w:right w:w="85" w:type="dxa"/>
            </w:tcMar>
          </w:tcPr>
          <w:p w14:paraId="6DA8D50B" w14:textId="77777777" w:rsidR="00E87995" w:rsidRPr="009E06AA" w:rsidRDefault="00E87995" w:rsidP="00FE7C1C">
            <w:pPr>
              <w:pStyle w:val="TableText"/>
              <w:spacing w:before="40" w:after="40"/>
              <w:jc w:val="right"/>
              <w:rPr>
                <w:szCs w:val="16"/>
              </w:rPr>
            </w:pPr>
            <w:r w:rsidRPr="009E06AA">
              <w:rPr>
                <w:color w:val="000000"/>
                <w:szCs w:val="16"/>
              </w:rPr>
              <w:t>0.17</w:t>
            </w:r>
          </w:p>
        </w:tc>
        <w:tc>
          <w:tcPr>
            <w:tcW w:w="998" w:type="pct"/>
            <w:shd w:val="clear" w:color="auto" w:fill="FFFFFF"/>
            <w:tcMar>
              <w:top w:w="0" w:type="dxa"/>
              <w:left w:w="85" w:type="dxa"/>
              <w:bottom w:w="0" w:type="dxa"/>
              <w:right w:w="85" w:type="dxa"/>
            </w:tcMar>
          </w:tcPr>
          <w:p w14:paraId="0101ED5A" w14:textId="77777777" w:rsidR="00E87995" w:rsidRPr="009E06AA" w:rsidRDefault="00E87995" w:rsidP="00B55F24">
            <w:pPr>
              <w:pStyle w:val="TableText"/>
              <w:spacing w:before="40" w:after="40"/>
              <w:rPr>
                <w:szCs w:val="16"/>
              </w:rPr>
            </w:pPr>
          </w:p>
        </w:tc>
      </w:tr>
      <w:tr w:rsidR="00E87995" w:rsidRPr="009E06AA" w14:paraId="17FDAEE3" w14:textId="77777777" w:rsidTr="00B55F24">
        <w:tc>
          <w:tcPr>
            <w:tcW w:w="1333" w:type="pct"/>
            <w:shd w:val="clear" w:color="auto" w:fill="FFFFFF"/>
            <w:tcMar>
              <w:top w:w="0" w:type="dxa"/>
              <w:left w:w="85" w:type="dxa"/>
              <w:bottom w:w="0" w:type="dxa"/>
              <w:right w:w="85" w:type="dxa"/>
            </w:tcMar>
          </w:tcPr>
          <w:p w14:paraId="60EAE661" w14:textId="77777777" w:rsidR="00E87995" w:rsidRPr="009E06AA" w:rsidRDefault="00E87995" w:rsidP="00B55F24">
            <w:pPr>
              <w:pStyle w:val="TableText"/>
              <w:spacing w:before="40" w:after="40"/>
              <w:rPr>
                <w:szCs w:val="16"/>
              </w:rPr>
            </w:pPr>
            <w:r w:rsidRPr="009E06AA">
              <w:rPr>
                <w:color w:val="000000"/>
                <w:szCs w:val="16"/>
              </w:rPr>
              <w:t>Methane emission factor (kg/kt) as directly referenced</w:t>
            </w:r>
          </w:p>
        </w:tc>
        <w:tc>
          <w:tcPr>
            <w:tcW w:w="917" w:type="pct"/>
            <w:shd w:val="clear" w:color="auto" w:fill="FFFFFF"/>
            <w:tcMar>
              <w:top w:w="0" w:type="dxa"/>
              <w:left w:w="85" w:type="dxa"/>
              <w:bottom w:w="0" w:type="dxa"/>
              <w:right w:w="85" w:type="dxa"/>
            </w:tcMar>
          </w:tcPr>
          <w:p w14:paraId="2E9500E3" w14:textId="77777777" w:rsidR="00E87995" w:rsidRPr="009E06AA" w:rsidRDefault="00E87995" w:rsidP="00FE7C1C">
            <w:pPr>
              <w:pStyle w:val="TableText"/>
              <w:spacing w:before="40" w:after="40"/>
              <w:jc w:val="right"/>
              <w:rPr>
                <w:szCs w:val="16"/>
              </w:rPr>
            </w:pPr>
            <w:r w:rsidRPr="009E06AA">
              <w:rPr>
                <w:color w:val="000000"/>
                <w:szCs w:val="16"/>
              </w:rPr>
              <w:t>NA</w:t>
            </w:r>
          </w:p>
        </w:tc>
        <w:tc>
          <w:tcPr>
            <w:tcW w:w="1001" w:type="pct"/>
            <w:shd w:val="clear" w:color="auto" w:fill="FFFFFF"/>
            <w:tcMar>
              <w:top w:w="0" w:type="dxa"/>
              <w:left w:w="85" w:type="dxa"/>
              <w:bottom w:w="0" w:type="dxa"/>
              <w:right w:w="85" w:type="dxa"/>
            </w:tcMar>
          </w:tcPr>
          <w:p w14:paraId="254FE2A7" w14:textId="77777777" w:rsidR="00E87995" w:rsidRPr="009E06AA" w:rsidRDefault="00E87995" w:rsidP="00FE7C1C">
            <w:pPr>
              <w:pStyle w:val="TableText"/>
              <w:spacing w:before="40" w:after="40"/>
              <w:jc w:val="right"/>
              <w:rPr>
                <w:szCs w:val="16"/>
              </w:rPr>
            </w:pPr>
            <w:r w:rsidRPr="009E06AA">
              <w:rPr>
                <w:color w:val="000000"/>
                <w:szCs w:val="16"/>
              </w:rPr>
              <w:t>NA</w:t>
            </w:r>
          </w:p>
        </w:tc>
        <w:tc>
          <w:tcPr>
            <w:tcW w:w="750" w:type="pct"/>
            <w:shd w:val="clear" w:color="auto" w:fill="FFFFFF"/>
            <w:tcMar>
              <w:top w:w="0" w:type="dxa"/>
              <w:left w:w="85" w:type="dxa"/>
              <w:bottom w:w="0" w:type="dxa"/>
              <w:right w:w="85" w:type="dxa"/>
            </w:tcMar>
          </w:tcPr>
          <w:p w14:paraId="04B6E083" w14:textId="77777777" w:rsidR="00E87995" w:rsidRPr="009E06AA" w:rsidRDefault="00E87995" w:rsidP="00FE7C1C">
            <w:pPr>
              <w:pStyle w:val="TableText"/>
              <w:spacing w:before="40" w:after="40"/>
              <w:jc w:val="right"/>
              <w:rPr>
                <w:szCs w:val="16"/>
              </w:rPr>
            </w:pPr>
            <w:r w:rsidRPr="009E06AA">
              <w:rPr>
                <w:color w:val="000000"/>
                <w:szCs w:val="16"/>
              </w:rPr>
              <w:t xml:space="preserve">9.7 </w:t>
            </w:r>
            <w:r w:rsidRPr="009E06AA">
              <w:rPr>
                <w:color w:val="000000"/>
                <w:szCs w:val="16"/>
              </w:rPr>
              <w:br/>
              <w:t>(section 5.4.2)</w:t>
            </w:r>
          </w:p>
        </w:tc>
        <w:tc>
          <w:tcPr>
            <w:tcW w:w="998" w:type="pct"/>
            <w:shd w:val="clear" w:color="auto" w:fill="FFFFFF"/>
            <w:tcMar>
              <w:top w:w="0" w:type="dxa"/>
              <w:left w:w="85" w:type="dxa"/>
              <w:bottom w:w="0" w:type="dxa"/>
              <w:right w:w="85" w:type="dxa"/>
            </w:tcMar>
          </w:tcPr>
          <w:p w14:paraId="76CFABC5" w14:textId="77777777" w:rsidR="00E87995" w:rsidRPr="009E06AA" w:rsidRDefault="00E87995" w:rsidP="00B55F24">
            <w:pPr>
              <w:pStyle w:val="TableText"/>
              <w:spacing w:before="40" w:after="40"/>
              <w:rPr>
                <w:szCs w:val="16"/>
              </w:rPr>
            </w:pPr>
            <w:r w:rsidRPr="009E06AA">
              <w:rPr>
                <w:color w:val="000000"/>
                <w:szCs w:val="16"/>
              </w:rPr>
              <w:t>IPCC (2006a)</w:t>
            </w:r>
          </w:p>
        </w:tc>
      </w:tr>
      <w:tr w:rsidR="00E87995" w:rsidRPr="009E06AA" w14:paraId="2F27AA8E" w14:textId="77777777" w:rsidTr="00B55F24">
        <w:tc>
          <w:tcPr>
            <w:tcW w:w="1333" w:type="pct"/>
            <w:shd w:val="clear" w:color="auto" w:fill="FFFFFF"/>
            <w:tcMar>
              <w:top w:w="0" w:type="dxa"/>
              <w:left w:w="85" w:type="dxa"/>
              <w:bottom w:w="0" w:type="dxa"/>
              <w:right w:w="85" w:type="dxa"/>
            </w:tcMar>
          </w:tcPr>
          <w:p w14:paraId="7A2AF9ED" w14:textId="77777777" w:rsidR="00E87995" w:rsidRPr="009E06AA" w:rsidRDefault="00E87995" w:rsidP="00B55F24">
            <w:pPr>
              <w:pStyle w:val="TableText"/>
              <w:spacing w:before="40" w:after="40"/>
              <w:rPr>
                <w:szCs w:val="16"/>
              </w:rPr>
            </w:pPr>
            <w:r w:rsidRPr="009E06AA">
              <w:rPr>
                <w:color w:val="000000"/>
                <w:szCs w:val="16"/>
              </w:rPr>
              <w:t>Methane energy factor (kg gas/TJ)</w:t>
            </w:r>
          </w:p>
        </w:tc>
        <w:tc>
          <w:tcPr>
            <w:tcW w:w="917" w:type="pct"/>
            <w:shd w:val="clear" w:color="auto" w:fill="FFFFFF"/>
            <w:tcMar>
              <w:top w:w="0" w:type="dxa"/>
              <w:left w:w="85" w:type="dxa"/>
              <w:bottom w:w="0" w:type="dxa"/>
              <w:right w:w="85" w:type="dxa"/>
            </w:tcMar>
          </w:tcPr>
          <w:p w14:paraId="5DC2F387" w14:textId="77777777" w:rsidR="00E87995" w:rsidRPr="009E06AA" w:rsidRDefault="00E87995" w:rsidP="00FE7C1C">
            <w:pPr>
              <w:pStyle w:val="TableText"/>
              <w:spacing w:before="40" w:after="40"/>
              <w:jc w:val="right"/>
              <w:rPr>
                <w:szCs w:val="16"/>
              </w:rPr>
            </w:pPr>
            <w:r w:rsidRPr="009E06AA">
              <w:rPr>
                <w:color w:val="000000"/>
                <w:szCs w:val="16"/>
              </w:rPr>
              <w:t xml:space="preserve">30 </w:t>
            </w:r>
            <w:r w:rsidRPr="009E06AA">
              <w:rPr>
                <w:color w:val="000000"/>
                <w:szCs w:val="16"/>
              </w:rPr>
              <w:br/>
              <w:t>(table 2.3, Industrial wastes)</w:t>
            </w:r>
          </w:p>
        </w:tc>
        <w:tc>
          <w:tcPr>
            <w:tcW w:w="1001" w:type="pct"/>
            <w:shd w:val="clear" w:color="auto" w:fill="FFFFFF"/>
            <w:tcMar>
              <w:top w:w="0" w:type="dxa"/>
              <w:left w:w="85" w:type="dxa"/>
              <w:bottom w:w="0" w:type="dxa"/>
              <w:right w:w="85" w:type="dxa"/>
            </w:tcMar>
          </w:tcPr>
          <w:p w14:paraId="1B057AC1" w14:textId="77777777" w:rsidR="00E87995" w:rsidRPr="009E06AA" w:rsidRDefault="00E87995" w:rsidP="00FE7C1C">
            <w:pPr>
              <w:pStyle w:val="TableText"/>
              <w:spacing w:before="40" w:after="40"/>
              <w:jc w:val="right"/>
              <w:rPr>
                <w:szCs w:val="16"/>
              </w:rPr>
            </w:pPr>
            <w:r w:rsidRPr="009E06AA">
              <w:rPr>
                <w:color w:val="000000"/>
                <w:szCs w:val="16"/>
              </w:rPr>
              <w:t xml:space="preserve">300 </w:t>
            </w:r>
            <w:r w:rsidRPr="009E06AA">
              <w:rPr>
                <w:color w:val="000000"/>
                <w:szCs w:val="16"/>
              </w:rPr>
              <w:br/>
              <w:t>(table 2.4, Municipal/ Industrial wastes)</w:t>
            </w:r>
          </w:p>
        </w:tc>
        <w:tc>
          <w:tcPr>
            <w:tcW w:w="750" w:type="pct"/>
            <w:shd w:val="clear" w:color="auto" w:fill="FFFFFF"/>
            <w:tcMar>
              <w:top w:w="0" w:type="dxa"/>
              <w:left w:w="85" w:type="dxa"/>
              <w:bottom w:w="0" w:type="dxa"/>
              <w:right w:w="85" w:type="dxa"/>
            </w:tcMar>
          </w:tcPr>
          <w:p w14:paraId="3C43097E" w14:textId="77777777" w:rsidR="00E87995" w:rsidRPr="009E06AA" w:rsidRDefault="00E87995" w:rsidP="00FE7C1C">
            <w:pPr>
              <w:pStyle w:val="TableText"/>
              <w:spacing w:before="40" w:after="40"/>
              <w:jc w:val="right"/>
              <w:rPr>
                <w:szCs w:val="16"/>
              </w:rPr>
            </w:pPr>
            <w:r w:rsidRPr="009E06AA">
              <w:rPr>
                <w:color w:val="000000"/>
                <w:szCs w:val="16"/>
              </w:rPr>
              <w:t>NA</w:t>
            </w:r>
          </w:p>
        </w:tc>
        <w:tc>
          <w:tcPr>
            <w:tcW w:w="998" w:type="pct"/>
            <w:shd w:val="clear" w:color="auto" w:fill="FFFFFF"/>
            <w:tcMar>
              <w:top w:w="0" w:type="dxa"/>
              <w:left w:w="85" w:type="dxa"/>
              <w:bottom w:w="0" w:type="dxa"/>
              <w:right w:w="85" w:type="dxa"/>
            </w:tcMar>
          </w:tcPr>
          <w:p w14:paraId="72CFF645" w14:textId="77777777" w:rsidR="00E87995" w:rsidRPr="009E06AA" w:rsidRDefault="00E87995" w:rsidP="00B55F24">
            <w:pPr>
              <w:pStyle w:val="TableText"/>
              <w:spacing w:before="40" w:after="40"/>
              <w:rPr>
                <w:szCs w:val="16"/>
              </w:rPr>
            </w:pPr>
            <w:r w:rsidRPr="009E06AA">
              <w:rPr>
                <w:color w:val="000000"/>
                <w:szCs w:val="16"/>
              </w:rPr>
              <w:t>IPCC (2006b)</w:t>
            </w:r>
          </w:p>
        </w:tc>
      </w:tr>
      <w:tr w:rsidR="00E87995" w:rsidRPr="009E06AA" w14:paraId="723D75E5" w14:textId="77777777" w:rsidTr="00B55F24">
        <w:tc>
          <w:tcPr>
            <w:tcW w:w="1333" w:type="pct"/>
            <w:shd w:val="clear" w:color="auto" w:fill="FFFFFF"/>
            <w:tcMar>
              <w:top w:w="0" w:type="dxa"/>
              <w:left w:w="85" w:type="dxa"/>
              <w:bottom w:w="0" w:type="dxa"/>
              <w:right w:w="85" w:type="dxa"/>
            </w:tcMar>
          </w:tcPr>
          <w:p w14:paraId="1FC6DC3C" w14:textId="77777777" w:rsidR="00E87995" w:rsidRPr="009E06AA" w:rsidRDefault="00E87995" w:rsidP="00B55F24">
            <w:pPr>
              <w:pStyle w:val="TableText"/>
              <w:spacing w:before="40" w:after="40"/>
              <w:rPr>
                <w:szCs w:val="16"/>
              </w:rPr>
            </w:pPr>
            <w:r w:rsidRPr="009E06AA">
              <w:rPr>
                <w:color w:val="000000"/>
                <w:szCs w:val="16"/>
              </w:rPr>
              <w:t>Methane (MJ/kg waste)</w:t>
            </w:r>
          </w:p>
        </w:tc>
        <w:tc>
          <w:tcPr>
            <w:tcW w:w="917" w:type="pct"/>
            <w:shd w:val="clear" w:color="auto" w:fill="FFFFFF"/>
            <w:tcMar>
              <w:top w:w="0" w:type="dxa"/>
              <w:left w:w="85" w:type="dxa"/>
              <w:bottom w:w="0" w:type="dxa"/>
              <w:right w:w="85" w:type="dxa"/>
            </w:tcMar>
          </w:tcPr>
          <w:p w14:paraId="2AFBAAB0" w14:textId="77777777" w:rsidR="00E87995" w:rsidRPr="009E06AA" w:rsidRDefault="00E87995" w:rsidP="00FE7C1C">
            <w:pPr>
              <w:pStyle w:val="TableText"/>
              <w:spacing w:before="40" w:after="40"/>
              <w:jc w:val="right"/>
              <w:rPr>
                <w:szCs w:val="16"/>
              </w:rPr>
            </w:pPr>
            <w:r w:rsidRPr="009E06AA">
              <w:rPr>
                <w:color w:val="000000"/>
                <w:szCs w:val="16"/>
              </w:rPr>
              <w:t>12.8</w:t>
            </w:r>
          </w:p>
        </w:tc>
        <w:tc>
          <w:tcPr>
            <w:tcW w:w="1001" w:type="pct"/>
            <w:shd w:val="clear" w:color="auto" w:fill="FFFFFF"/>
            <w:tcMar>
              <w:top w:w="0" w:type="dxa"/>
              <w:left w:w="85" w:type="dxa"/>
              <w:bottom w:w="0" w:type="dxa"/>
              <w:right w:w="85" w:type="dxa"/>
            </w:tcMar>
          </w:tcPr>
          <w:p w14:paraId="13CFE0F5" w14:textId="77777777" w:rsidR="00E87995" w:rsidRPr="009E06AA" w:rsidRDefault="00E87995" w:rsidP="00FE7C1C">
            <w:pPr>
              <w:pStyle w:val="TableText"/>
              <w:spacing w:before="40" w:after="40"/>
              <w:jc w:val="right"/>
              <w:rPr>
                <w:szCs w:val="16"/>
              </w:rPr>
            </w:pPr>
            <w:r w:rsidRPr="009E06AA">
              <w:rPr>
                <w:color w:val="000000"/>
                <w:szCs w:val="16"/>
              </w:rPr>
              <w:t>16.8</w:t>
            </w:r>
          </w:p>
        </w:tc>
        <w:tc>
          <w:tcPr>
            <w:tcW w:w="750" w:type="pct"/>
            <w:shd w:val="clear" w:color="auto" w:fill="FFFFFF"/>
            <w:tcMar>
              <w:top w:w="0" w:type="dxa"/>
              <w:left w:w="85" w:type="dxa"/>
              <w:bottom w:w="0" w:type="dxa"/>
              <w:right w:w="85" w:type="dxa"/>
            </w:tcMar>
          </w:tcPr>
          <w:p w14:paraId="28F5C144" w14:textId="77777777" w:rsidR="00E87995" w:rsidRPr="009E06AA" w:rsidRDefault="00E87995" w:rsidP="00FE7C1C">
            <w:pPr>
              <w:pStyle w:val="TableText"/>
              <w:spacing w:before="40" w:after="40"/>
              <w:jc w:val="right"/>
              <w:rPr>
                <w:szCs w:val="16"/>
              </w:rPr>
            </w:pPr>
            <w:r w:rsidRPr="009E06AA">
              <w:rPr>
                <w:color w:val="000000"/>
                <w:szCs w:val="16"/>
              </w:rPr>
              <w:t>NA</w:t>
            </w:r>
          </w:p>
        </w:tc>
        <w:tc>
          <w:tcPr>
            <w:tcW w:w="998" w:type="pct"/>
            <w:shd w:val="clear" w:color="auto" w:fill="FFFFFF"/>
            <w:tcMar>
              <w:top w:w="0" w:type="dxa"/>
              <w:left w:w="85" w:type="dxa"/>
              <w:bottom w:w="0" w:type="dxa"/>
              <w:right w:w="85" w:type="dxa"/>
            </w:tcMar>
          </w:tcPr>
          <w:p w14:paraId="77041242" w14:textId="77777777" w:rsidR="00E87995" w:rsidRPr="009E06AA" w:rsidRDefault="00E87995" w:rsidP="00B55F24">
            <w:pPr>
              <w:pStyle w:val="TableText"/>
              <w:spacing w:before="40" w:after="40"/>
              <w:rPr>
                <w:szCs w:val="16"/>
              </w:rPr>
            </w:pPr>
            <w:r w:rsidRPr="009E06AA">
              <w:rPr>
                <w:color w:val="000000"/>
                <w:szCs w:val="16"/>
              </w:rPr>
              <w:t>Ministry of Commerce (1993)</w:t>
            </w:r>
          </w:p>
        </w:tc>
      </w:tr>
      <w:tr w:rsidR="00E87995" w:rsidRPr="009E06AA" w14:paraId="4004D7D4" w14:textId="77777777" w:rsidTr="00B55F24">
        <w:tc>
          <w:tcPr>
            <w:tcW w:w="1333" w:type="pct"/>
            <w:shd w:val="clear" w:color="auto" w:fill="FFFFFF"/>
            <w:tcMar>
              <w:top w:w="0" w:type="dxa"/>
              <w:left w:w="85" w:type="dxa"/>
              <w:bottom w:w="0" w:type="dxa"/>
              <w:right w:w="85" w:type="dxa"/>
            </w:tcMar>
          </w:tcPr>
          <w:p w14:paraId="3AE0BF36" w14:textId="77777777" w:rsidR="00E87995" w:rsidRPr="009E06AA" w:rsidRDefault="00E87995" w:rsidP="00B55F24">
            <w:pPr>
              <w:pStyle w:val="TableText"/>
              <w:spacing w:before="40" w:after="40"/>
              <w:rPr>
                <w:szCs w:val="16"/>
              </w:rPr>
            </w:pPr>
            <w:r w:rsidRPr="009E06AA">
              <w:rPr>
                <w:color w:val="000000"/>
                <w:szCs w:val="16"/>
              </w:rPr>
              <w:t>Methane emission factor (kg/kt) calculated as a quotient of the above parameters</w:t>
            </w:r>
          </w:p>
        </w:tc>
        <w:tc>
          <w:tcPr>
            <w:tcW w:w="917" w:type="pct"/>
            <w:shd w:val="clear" w:color="auto" w:fill="FFFFFF"/>
            <w:tcMar>
              <w:top w:w="0" w:type="dxa"/>
              <w:left w:w="85" w:type="dxa"/>
              <w:bottom w:w="0" w:type="dxa"/>
              <w:right w:w="85" w:type="dxa"/>
            </w:tcMar>
          </w:tcPr>
          <w:p w14:paraId="5B145F8B" w14:textId="77777777" w:rsidR="00E87995" w:rsidRPr="009E06AA" w:rsidRDefault="00E87995" w:rsidP="00FE7C1C">
            <w:pPr>
              <w:pStyle w:val="TableText"/>
              <w:spacing w:before="40" w:after="40"/>
              <w:jc w:val="right"/>
              <w:rPr>
                <w:szCs w:val="16"/>
              </w:rPr>
            </w:pPr>
            <w:r w:rsidRPr="009E06AA">
              <w:rPr>
                <w:color w:val="000000"/>
                <w:szCs w:val="16"/>
              </w:rPr>
              <w:t>2.34</w:t>
            </w:r>
          </w:p>
        </w:tc>
        <w:tc>
          <w:tcPr>
            <w:tcW w:w="1001" w:type="pct"/>
            <w:shd w:val="clear" w:color="auto" w:fill="FFFFFF"/>
            <w:tcMar>
              <w:top w:w="0" w:type="dxa"/>
              <w:left w:w="85" w:type="dxa"/>
              <w:bottom w:w="0" w:type="dxa"/>
              <w:right w:w="85" w:type="dxa"/>
            </w:tcMar>
          </w:tcPr>
          <w:p w14:paraId="37A24B09" w14:textId="77777777" w:rsidR="00E87995" w:rsidRPr="009E06AA" w:rsidRDefault="00E87995" w:rsidP="00FE7C1C">
            <w:pPr>
              <w:pStyle w:val="TableText"/>
              <w:spacing w:before="40" w:after="40"/>
              <w:jc w:val="right"/>
              <w:rPr>
                <w:szCs w:val="16"/>
              </w:rPr>
            </w:pPr>
            <w:r w:rsidRPr="009E06AA">
              <w:rPr>
                <w:color w:val="000000"/>
                <w:szCs w:val="16"/>
              </w:rPr>
              <w:t>17.86</w:t>
            </w:r>
          </w:p>
        </w:tc>
        <w:tc>
          <w:tcPr>
            <w:tcW w:w="750" w:type="pct"/>
            <w:shd w:val="clear" w:color="auto" w:fill="FFFFFF"/>
            <w:tcMar>
              <w:top w:w="0" w:type="dxa"/>
              <w:left w:w="85" w:type="dxa"/>
              <w:bottom w:w="0" w:type="dxa"/>
              <w:right w:w="85" w:type="dxa"/>
            </w:tcMar>
          </w:tcPr>
          <w:p w14:paraId="6825758E" w14:textId="77777777" w:rsidR="00E87995" w:rsidRPr="009E06AA" w:rsidRDefault="00E87995" w:rsidP="00FE7C1C">
            <w:pPr>
              <w:pStyle w:val="TableText"/>
              <w:spacing w:before="40" w:after="40"/>
              <w:jc w:val="right"/>
              <w:rPr>
                <w:szCs w:val="16"/>
              </w:rPr>
            </w:pPr>
            <w:r w:rsidRPr="009E06AA">
              <w:rPr>
                <w:color w:val="000000"/>
                <w:szCs w:val="16"/>
              </w:rPr>
              <w:t>NA</w:t>
            </w:r>
          </w:p>
        </w:tc>
        <w:tc>
          <w:tcPr>
            <w:tcW w:w="998" w:type="pct"/>
            <w:shd w:val="clear" w:color="auto" w:fill="FFFFFF"/>
            <w:tcMar>
              <w:top w:w="0" w:type="dxa"/>
              <w:left w:w="85" w:type="dxa"/>
              <w:bottom w:w="0" w:type="dxa"/>
              <w:right w:w="85" w:type="dxa"/>
            </w:tcMar>
          </w:tcPr>
          <w:p w14:paraId="001BA7E6" w14:textId="77777777" w:rsidR="00E87995" w:rsidRPr="009E06AA" w:rsidRDefault="00E87995" w:rsidP="00B55F24">
            <w:pPr>
              <w:pStyle w:val="TableText"/>
              <w:spacing w:before="40" w:after="40"/>
              <w:rPr>
                <w:szCs w:val="16"/>
              </w:rPr>
            </w:pPr>
          </w:p>
        </w:tc>
      </w:tr>
      <w:tr w:rsidR="00E87995" w:rsidRPr="009E06AA" w14:paraId="6EF0D973" w14:textId="77777777" w:rsidTr="00B55F24">
        <w:tc>
          <w:tcPr>
            <w:tcW w:w="1333" w:type="pct"/>
            <w:shd w:val="clear" w:color="auto" w:fill="FFFFFF"/>
            <w:tcMar>
              <w:top w:w="0" w:type="dxa"/>
              <w:left w:w="85" w:type="dxa"/>
              <w:bottom w:w="0" w:type="dxa"/>
              <w:right w:w="85" w:type="dxa"/>
            </w:tcMar>
          </w:tcPr>
          <w:p w14:paraId="14D8BF7B" w14:textId="77777777" w:rsidR="00E87995" w:rsidRPr="009E06AA" w:rsidRDefault="00E87995" w:rsidP="00B55F24">
            <w:pPr>
              <w:pStyle w:val="TableText"/>
              <w:spacing w:before="40" w:after="40"/>
              <w:rPr>
                <w:szCs w:val="16"/>
              </w:rPr>
            </w:pPr>
            <w:r w:rsidRPr="009E06AA">
              <w:rPr>
                <w:color w:val="000000"/>
                <w:szCs w:val="16"/>
              </w:rPr>
              <w:t>Nitrous oxide emission factor (kg/kt)</w:t>
            </w:r>
          </w:p>
        </w:tc>
        <w:tc>
          <w:tcPr>
            <w:tcW w:w="917" w:type="pct"/>
            <w:shd w:val="clear" w:color="auto" w:fill="FFFFFF"/>
            <w:tcMar>
              <w:top w:w="0" w:type="dxa"/>
              <w:left w:w="85" w:type="dxa"/>
              <w:bottom w:w="0" w:type="dxa"/>
              <w:right w:w="85" w:type="dxa"/>
            </w:tcMar>
          </w:tcPr>
          <w:p w14:paraId="5A367CEA" w14:textId="77777777" w:rsidR="00E87995" w:rsidRPr="009E06AA" w:rsidRDefault="00E87995" w:rsidP="00FE7C1C">
            <w:pPr>
              <w:pStyle w:val="TableText"/>
              <w:spacing w:before="40" w:after="40"/>
              <w:jc w:val="right"/>
              <w:rPr>
                <w:szCs w:val="16"/>
              </w:rPr>
            </w:pPr>
            <w:r w:rsidRPr="009E06AA">
              <w:rPr>
                <w:color w:val="000000"/>
                <w:szCs w:val="16"/>
              </w:rPr>
              <w:t>100</w:t>
            </w:r>
          </w:p>
        </w:tc>
        <w:tc>
          <w:tcPr>
            <w:tcW w:w="1001" w:type="pct"/>
            <w:shd w:val="clear" w:color="auto" w:fill="FFFFFF"/>
            <w:tcMar>
              <w:top w:w="0" w:type="dxa"/>
              <w:left w:w="85" w:type="dxa"/>
              <w:bottom w:w="0" w:type="dxa"/>
              <w:right w:w="85" w:type="dxa"/>
            </w:tcMar>
          </w:tcPr>
          <w:p w14:paraId="776315CA" w14:textId="77777777" w:rsidR="00E87995" w:rsidRPr="009E06AA" w:rsidRDefault="00E87995" w:rsidP="00FE7C1C">
            <w:pPr>
              <w:pStyle w:val="TableText"/>
              <w:spacing w:before="40" w:after="40"/>
              <w:jc w:val="right"/>
              <w:rPr>
                <w:szCs w:val="16"/>
              </w:rPr>
            </w:pPr>
            <w:r w:rsidRPr="009E06AA">
              <w:rPr>
                <w:color w:val="000000"/>
                <w:szCs w:val="16"/>
              </w:rPr>
              <w:t>60</w:t>
            </w:r>
          </w:p>
        </w:tc>
        <w:tc>
          <w:tcPr>
            <w:tcW w:w="750" w:type="pct"/>
            <w:shd w:val="clear" w:color="auto" w:fill="FFFFFF"/>
            <w:tcMar>
              <w:top w:w="0" w:type="dxa"/>
              <w:left w:w="85" w:type="dxa"/>
              <w:bottom w:w="0" w:type="dxa"/>
              <w:right w:w="85" w:type="dxa"/>
            </w:tcMar>
          </w:tcPr>
          <w:p w14:paraId="2F47DF18" w14:textId="77777777" w:rsidR="00E87995" w:rsidRPr="009E06AA" w:rsidRDefault="00E87995" w:rsidP="00FE7C1C">
            <w:pPr>
              <w:pStyle w:val="TableText"/>
              <w:spacing w:before="40" w:after="40"/>
              <w:jc w:val="right"/>
              <w:rPr>
                <w:szCs w:val="16"/>
              </w:rPr>
            </w:pPr>
            <w:r w:rsidRPr="009E06AA">
              <w:rPr>
                <w:color w:val="000000"/>
                <w:szCs w:val="16"/>
              </w:rPr>
              <w:t>900</w:t>
            </w:r>
          </w:p>
        </w:tc>
        <w:tc>
          <w:tcPr>
            <w:tcW w:w="998" w:type="pct"/>
            <w:shd w:val="clear" w:color="auto" w:fill="FFFFFF"/>
            <w:tcMar>
              <w:top w:w="0" w:type="dxa"/>
              <w:left w:w="85" w:type="dxa"/>
              <w:bottom w:w="0" w:type="dxa"/>
              <w:right w:w="85" w:type="dxa"/>
            </w:tcMar>
          </w:tcPr>
          <w:p w14:paraId="7346672B" w14:textId="77777777" w:rsidR="00E87995" w:rsidRPr="009E06AA" w:rsidRDefault="00E87995" w:rsidP="00B55F24">
            <w:pPr>
              <w:pStyle w:val="TableText"/>
              <w:spacing w:before="40" w:after="40"/>
              <w:rPr>
                <w:szCs w:val="16"/>
              </w:rPr>
            </w:pPr>
            <w:r w:rsidRPr="009E06AA">
              <w:rPr>
                <w:color w:val="000000"/>
                <w:szCs w:val="16"/>
              </w:rPr>
              <w:t>IPCC (2006b), table 5.6</w:t>
            </w:r>
          </w:p>
        </w:tc>
      </w:tr>
    </w:tbl>
    <w:p w14:paraId="28D3024C" w14:textId="77777777" w:rsidR="00E87995" w:rsidRPr="009E06AA" w:rsidRDefault="00E87995" w:rsidP="00E87995">
      <w:pPr>
        <w:pStyle w:val="Noteundertable"/>
      </w:pPr>
      <w:r w:rsidRPr="009E06AA">
        <w:rPr>
          <w:b/>
          <w:bCs/>
        </w:rPr>
        <w:t>Note:</w:t>
      </w:r>
      <w:r w:rsidRPr="009E06AA">
        <w:tab/>
        <w:t>NA = not applicable.</w:t>
      </w:r>
    </w:p>
    <w:p w14:paraId="420BD847" w14:textId="77777777" w:rsidR="00E87995" w:rsidRPr="009E06AA" w:rsidRDefault="00E87995" w:rsidP="00E87995">
      <w:pPr>
        <w:pStyle w:val="BodyText"/>
        <w:keepNext/>
      </w:pPr>
      <w:r w:rsidRPr="009E06AA">
        <w:t>These parameters are as given in the 2006 IPCC Guidelines (IPCC, 2006a, 2006b), noting that:</w:t>
      </w:r>
    </w:p>
    <w:p w14:paraId="5B74FE3F" w14:textId="77777777" w:rsidR="00E87995" w:rsidRPr="009E06AA" w:rsidRDefault="00E87995" w:rsidP="00E87995">
      <w:pPr>
        <w:pStyle w:val="Bullet"/>
        <w:keepNext/>
      </w:pPr>
      <w:r w:rsidRPr="009E06AA">
        <w:t>some parameters have been chosen as the closest available to the specific type of waste</w:t>
      </w:r>
    </w:p>
    <w:p w14:paraId="324AAAA7" w14:textId="77777777" w:rsidR="00E87995" w:rsidRPr="009E06AA" w:rsidRDefault="00E87995" w:rsidP="00E87995">
      <w:pPr>
        <w:pStyle w:val="Bullet"/>
      </w:pPr>
      <w:r w:rsidRPr="009E06AA">
        <w:t>where a range is given, the mid-point is used</w:t>
      </w:r>
    </w:p>
    <w:p w14:paraId="7581947E" w14:textId="77777777" w:rsidR="00E87995" w:rsidRPr="009E06AA" w:rsidRDefault="00E87995" w:rsidP="00E87995">
      <w:pPr>
        <w:pStyle w:val="Bullet"/>
      </w:pPr>
      <w:r w:rsidRPr="009E06AA">
        <w:t xml:space="preserve">methane emission factors for hazardous and clinical waste (IPCC, 2006b) have been converted from a terajoule basis to a kt basis using factors from the </w:t>
      </w:r>
      <w:r w:rsidRPr="009E06AA">
        <w:rPr>
          <w:i/>
          <w:iCs/>
        </w:rPr>
        <w:t>New Zealand Energy Information Handbook</w:t>
      </w:r>
      <w:r w:rsidRPr="009E06AA">
        <w:t xml:space="preserve"> (Ministry of Commerce, 1993), which only had gross calorific values.</w:t>
      </w:r>
    </w:p>
    <w:p w14:paraId="072A9F16" w14:textId="77777777" w:rsidR="00E87995" w:rsidRPr="009E06AA" w:rsidRDefault="00E87995" w:rsidP="00E87995">
      <w:pPr>
        <w:pStyle w:val="BodyText"/>
      </w:pPr>
      <w:r w:rsidRPr="009E06AA">
        <w:t xml:space="preserve">Clinical wastes are a significant proportion of the material incinerated in </w:t>
      </w:r>
      <w:r w:rsidRPr="009E06AA" w:rsidDel="00CA3245">
        <w:t xml:space="preserve">New </w:t>
      </w:r>
      <w:r w:rsidRPr="009E06AA">
        <w:t>Zealand (SKM, unpublished(a)). There is no IPCC default category that specifies medical or quarantine waste. The composition of medical and quarantine wastes is closest to clinical waste, so the emission factors for clinical waste have been used and the activity data for these waste types are combined into the category for clinical wastes.</w:t>
      </w:r>
    </w:p>
    <w:p w14:paraId="0925C578" w14:textId="583AB4E8" w:rsidR="00E87995" w:rsidRPr="009E06AA" w:rsidRDefault="00E87995" w:rsidP="00BF2A76">
      <w:pPr>
        <w:pStyle w:val="Heading5"/>
      </w:pPr>
      <w:bookmarkStart w:id="2949" w:name="open-burning-5.c.2-2"/>
      <w:bookmarkEnd w:id="2943"/>
      <w:r w:rsidRPr="009E06AA">
        <w:t>Open burning</w:t>
      </w:r>
      <w:r w:rsidR="00442C36" w:rsidRPr="009E06AA">
        <w:t xml:space="preserve"> of waste</w:t>
      </w:r>
      <w:r w:rsidRPr="009E06AA">
        <w:t xml:space="preserve"> (5.C.2)</w:t>
      </w:r>
    </w:p>
    <w:p w14:paraId="09154219" w14:textId="77777777" w:rsidR="00E87995" w:rsidRPr="009E06AA" w:rsidRDefault="00E87995" w:rsidP="00E87995">
      <w:pPr>
        <w:pStyle w:val="BodyText"/>
      </w:pPr>
      <w:r w:rsidRPr="009E06AA">
        <w:t>Parameters are used as detailed in table 7.4.5.</w:t>
      </w:r>
    </w:p>
    <w:p w14:paraId="0F9560B9" w14:textId="7D28E65F" w:rsidR="00E87995" w:rsidRPr="009E06AA" w:rsidRDefault="00E87995" w:rsidP="00E87995">
      <w:pPr>
        <w:pStyle w:val="Table"/>
      </w:pPr>
      <w:bookmarkStart w:id="2950" w:name="_Toc128383677"/>
      <w:bookmarkStart w:id="2951" w:name="_Toc131591450"/>
      <w:bookmarkStart w:id="2952" w:name="_Toc160537329"/>
      <w:bookmarkStart w:id="2953" w:name="_Toc160537691"/>
      <w:bookmarkStart w:id="2954" w:name="_Toc164153941"/>
      <w:r w:rsidRPr="009E06AA">
        <w:t>Table 7.4.5</w:t>
      </w:r>
      <w:r w:rsidRPr="009E06AA">
        <w:tab/>
        <w:t xml:space="preserve">Parameters used to estimate emissions from </w:t>
      </w:r>
      <w:r w:rsidR="00364812" w:rsidRPr="009E06AA">
        <w:rPr>
          <w:i/>
          <w:iCs/>
        </w:rPr>
        <w:t>O</w:t>
      </w:r>
      <w:r w:rsidRPr="009E06AA">
        <w:rPr>
          <w:i/>
          <w:iCs/>
        </w:rPr>
        <w:t>pen burning</w:t>
      </w:r>
      <w:bookmarkEnd w:id="2950"/>
      <w:bookmarkEnd w:id="2951"/>
      <w:bookmarkEnd w:id="2952"/>
      <w:bookmarkEnd w:id="2953"/>
      <w:r w:rsidR="00364812" w:rsidRPr="009E06AA">
        <w:rPr>
          <w:i/>
          <w:iCs/>
        </w:rPr>
        <w:t xml:space="preserve"> of waste</w:t>
      </w:r>
      <w:bookmarkEnd w:id="2954"/>
    </w:p>
    <w:tbl>
      <w:tblPr>
        <w:tblW w:w="8505" w:type="dxa"/>
        <w:tblBorders>
          <w:top w:val="single" w:sz="4" w:space="0" w:color="1B556B" w:themeColor="text2"/>
          <w:bottom w:val="single" w:sz="4" w:space="0" w:color="1B556B" w:themeColor="text2"/>
          <w:insideH w:val="single" w:sz="4" w:space="0" w:color="1B556B" w:themeColor="text2"/>
        </w:tblBorders>
        <w:tblLook w:val="0420" w:firstRow="1" w:lastRow="0" w:firstColumn="0" w:lastColumn="0" w:noHBand="0" w:noVBand="1"/>
      </w:tblPr>
      <w:tblGrid>
        <w:gridCol w:w="3891"/>
        <w:gridCol w:w="1154"/>
        <w:gridCol w:w="3460"/>
      </w:tblGrid>
      <w:tr w:rsidR="00E87995" w:rsidRPr="009E06AA" w14:paraId="221D6C04" w14:textId="77777777" w:rsidTr="00B55F24">
        <w:trPr>
          <w:tblHeader/>
        </w:trPr>
        <w:tc>
          <w:tcPr>
            <w:tcW w:w="2287" w:type="pct"/>
            <w:shd w:val="clear" w:color="auto" w:fill="1B556B"/>
            <w:tcMar>
              <w:top w:w="0" w:type="dxa"/>
              <w:left w:w="85" w:type="dxa"/>
              <w:bottom w:w="0" w:type="dxa"/>
              <w:right w:w="85" w:type="dxa"/>
            </w:tcMar>
          </w:tcPr>
          <w:p w14:paraId="70AC500D" w14:textId="77777777" w:rsidR="00E87995" w:rsidRPr="009E06AA" w:rsidRDefault="00E87995" w:rsidP="00B55F24">
            <w:pPr>
              <w:pStyle w:val="TableTextBold"/>
              <w:spacing w:before="40" w:after="40"/>
              <w:rPr>
                <w:noProof w:val="0"/>
                <w:color w:val="FFFFFF" w:themeColor="background1"/>
              </w:rPr>
            </w:pPr>
            <w:r w:rsidRPr="009E06AA">
              <w:rPr>
                <w:noProof w:val="0"/>
                <w:color w:val="FFFFFF" w:themeColor="background1"/>
              </w:rPr>
              <w:t>Parameter</w:t>
            </w:r>
          </w:p>
        </w:tc>
        <w:tc>
          <w:tcPr>
            <w:tcW w:w="678" w:type="pct"/>
            <w:shd w:val="clear" w:color="auto" w:fill="1B556B"/>
            <w:tcMar>
              <w:top w:w="0" w:type="dxa"/>
              <w:left w:w="85" w:type="dxa"/>
              <w:bottom w:w="0" w:type="dxa"/>
              <w:right w:w="85" w:type="dxa"/>
            </w:tcMar>
          </w:tcPr>
          <w:p w14:paraId="1D88016E" w14:textId="77777777" w:rsidR="00E87995" w:rsidRPr="009E06AA" w:rsidRDefault="00E87995" w:rsidP="00DB784A">
            <w:pPr>
              <w:pStyle w:val="TableTextBold"/>
              <w:spacing w:before="40" w:after="40"/>
              <w:jc w:val="right"/>
              <w:rPr>
                <w:noProof w:val="0"/>
                <w:color w:val="FFFFFF" w:themeColor="background1"/>
              </w:rPr>
            </w:pPr>
            <w:r w:rsidRPr="009E06AA">
              <w:rPr>
                <w:noProof w:val="0"/>
                <w:color w:val="FFFFFF" w:themeColor="background1"/>
              </w:rPr>
              <w:t>Value</w:t>
            </w:r>
          </w:p>
        </w:tc>
        <w:tc>
          <w:tcPr>
            <w:tcW w:w="2034" w:type="pct"/>
            <w:shd w:val="clear" w:color="auto" w:fill="1B556B"/>
            <w:tcMar>
              <w:top w:w="0" w:type="dxa"/>
              <w:left w:w="85" w:type="dxa"/>
              <w:bottom w:w="0" w:type="dxa"/>
              <w:right w:w="85" w:type="dxa"/>
            </w:tcMar>
          </w:tcPr>
          <w:p w14:paraId="05AB926F" w14:textId="77777777" w:rsidR="00E87995" w:rsidRPr="009E06AA" w:rsidRDefault="00E87995" w:rsidP="00B55F24">
            <w:pPr>
              <w:pStyle w:val="TableTextBold"/>
              <w:spacing w:before="40" w:after="40"/>
              <w:rPr>
                <w:noProof w:val="0"/>
                <w:color w:val="FFFFFF" w:themeColor="background1"/>
              </w:rPr>
            </w:pPr>
            <w:r w:rsidRPr="009E06AA">
              <w:rPr>
                <w:noProof w:val="0"/>
                <w:color w:val="FFFFFF" w:themeColor="background1"/>
              </w:rPr>
              <w:t>Source</w:t>
            </w:r>
          </w:p>
        </w:tc>
      </w:tr>
      <w:tr w:rsidR="00E87995" w:rsidRPr="009E06AA" w14:paraId="1C642136" w14:textId="77777777" w:rsidTr="00B55F24">
        <w:tc>
          <w:tcPr>
            <w:tcW w:w="2287" w:type="pct"/>
            <w:shd w:val="clear" w:color="auto" w:fill="FFFFFF"/>
            <w:tcMar>
              <w:top w:w="0" w:type="dxa"/>
              <w:left w:w="85" w:type="dxa"/>
              <w:bottom w:w="0" w:type="dxa"/>
              <w:right w:w="85" w:type="dxa"/>
            </w:tcMar>
          </w:tcPr>
          <w:p w14:paraId="5DC59810" w14:textId="77777777" w:rsidR="00E87995" w:rsidRPr="009E06AA" w:rsidRDefault="00E87995" w:rsidP="00B55F24">
            <w:pPr>
              <w:pStyle w:val="Tableboldblue"/>
              <w:spacing w:before="40" w:after="40"/>
            </w:pPr>
            <w:r w:rsidRPr="009E06AA">
              <w:t>Carbon dioxide</w:t>
            </w:r>
          </w:p>
        </w:tc>
        <w:tc>
          <w:tcPr>
            <w:tcW w:w="678" w:type="pct"/>
            <w:shd w:val="clear" w:color="auto" w:fill="FFFFFF"/>
            <w:tcMar>
              <w:top w:w="0" w:type="dxa"/>
              <w:left w:w="85" w:type="dxa"/>
              <w:bottom w:w="0" w:type="dxa"/>
              <w:right w:w="85" w:type="dxa"/>
            </w:tcMar>
          </w:tcPr>
          <w:p w14:paraId="00678A03" w14:textId="77777777" w:rsidR="00E87995" w:rsidRPr="009E06AA" w:rsidRDefault="00E87995" w:rsidP="00DB784A">
            <w:pPr>
              <w:pStyle w:val="Tableboldblue"/>
              <w:spacing w:before="40" w:after="40"/>
              <w:jc w:val="right"/>
            </w:pPr>
          </w:p>
        </w:tc>
        <w:tc>
          <w:tcPr>
            <w:tcW w:w="2034" w:type="pct"/>
            <w:shd w:val="clear" w:color="auto" w:fill="FFFFFF"/>
            <w:tcMar>
              <w:top w:w="0" w:type="dxa"/>
              <w:left w:w="85" w:type="dxa"/>
              <w:bottom w:w="0" w:type="dxa"/>
              <w:right w:w="85" w:type="dxa"/>
            </w:tcMar>
          </w:tcPr>
          <w:p w14:paraId="1F2653A8" w14:textId="77777777" w:rsidR="00E87995" w:rsidRPr="009E06AA" w:rsidRDefault="00E87995" w:rsidP="00B55F24">
            <w:pPr>
              <w:pStyle w:val="Tableboldblue"/>
              <w:spacing w:before="40" w:after="40"/>
            </w:pPr>
          </w:p>
        </w:tc>
      </w:tr>
      <w:tr w:rsidR="00E87995" w:rsidRPr="009E06AA" w14:paraId="49007454" w14:textId="77777777" w:rsidTr="00B55F24">
        <w:tc>
          <w:tcPr>
            <w:tcW w:w="2287" w:type="pct"/>
            <w:shd w:val="clear" w:color="auto" w:fill="FFFFFF"/>
            <w:tcMar>
              <w:top w:w="0" w:type="dxa"/>
              <w:left w:w="85" w:type="dxa"/>
              <w:bottom w:w="0" w:type="dxa"/>
              <w:right w:w="85" w:type="dxa"/>
            </w:tcMar>
          </w:tcPr>
          <w:p w14:paraId="485AD9ED" w14:textId="77777777" w:rsidR="00E87995" w:rsidRPr="009E06AA" w:rsidRDefault="00E87995" w:rsidP="00B55F24">
            <w:pPr>
              <w:pStyle w:val="TableText"/>
              <w:spacing w:before="40" w:after="40"/>
            </w:pPr>
            <w:r w:rsidRPr="009E06AA">
              <w:rPr>
                <w:color w:val="000000"/>
              </w:rPr>
              <w:t>Dry-matter content (%)</w:t>
            </w:r>
          </w:p>
        </w:tc>
        <w:tc>
          <w:tcPr>
            <w:tcW w:w="678" w:type="pct"/>
            <w:shd w:val="clear" w:color="auto" w:fill="FFFFFF"/>
            <w:tcMar>
              <w:top w:w="0" w:type="dxa"/>
              <w:left w:w="85" w:type="dxa"/>
              <w:bottom w:w="0" w:type="dxa"/>
              <w:right w:w="85" w:type="dxa"/>
            </w:tcMar>
          </w:tcPr>
          <w:p w14:paraId="6067339C" w14:textId="77777777" w:rsidR="00E87995" w:rsidRPr="009E06AA" w:rsidRDefault="00E87995" w:rsidP="00DB784A">
            <w:pPr>
              <w:pStyle w:val="TableText"/>
              <w:spacing w:before="40" w:after="40"/>
              <w:jc w:val="right"/>
            </w:pPr>
            <w:r w:rsidRPr="009E06AA">
              <w:rPr>
                <w:color w:val="000000"/>
              </w:rPr>
              <w:t>79.</w:t>
            </w:r>
            <w:r w:rsidRPr="009E06AA">
              <w:rPr>
                <w:rFonts w:eastAsia="Calibri" w:cs="Calibri"/>
                <w:color w:val="000000"/>
                <w:szCs w:val="16"/>
              </w:rPr>
              <w:t>7</w:t>
            </w:r>
          </w:p>
        </w:tc>
        <w:tc>
          <w:tcPr>
            <w:tcW w:w="2034" w:type="pct"/>
            <w:shd w:val="clear" w:color="auto" w:fill="FFFFFF"/>
            <w:tcMar>
              <w:top w:w="0" w:type="dxa"/>
              <w:left w:w="85" w:type="dxa"/>
              <w:bottom w:w="0" w:type="dxa"/>
              <w:right w:w="85" w:type="dxa"/>
            </w:tcMar>
          </w:tcPr>
          <w:p w14:paraId="7233D1B1" w14:textId="77777777" w:rsidR="00E87995" w:rsidRPr="009E06AA" w:rsidRDefault="00E87995" w:rsidP="00B55F24">
            <w:pPr>
              <w:pStyle w:val="TableText"/>
              <w:spacing w:before="40" w:after="40"/>
            </w:pPr>
            <w:r w:rsidRPr="009E06AA">
              <w:rPr>
                <w:color w:val="000000"/>
              </w:rPr>
              <w:t>Calculated (see table 7.4.3)</w:t>
            </w:r>
          </w:p>
        </w:tc>
      </w:tr>
      <w:tr w:rsidR="00E87995" w:rsidRPr="009E06AA" w14:paraId="004D638F" w14:textId="77777777" w:rsidTr="00B55F24">
        <w:tc>
          <w:tcPr>
            <w:tcW w:w="2287" w:type="pct"/>
            <w:shd w:val="clear" w:color="auto" w:fill="FFFFFF"/>
            <w:tcMar>
              <w:top w:w="0" w:type="dxa"/>
              <w:left w:w="85" w:type="dxa"/>
              <w:bottom w:w="0" w:type="dxa"/>
              <w:right w:w="85" w:type="dxa"/>
            </w:tcMar>
          </w:tcPr>
          <w:p w14:paraId="317B8C43" w14:textId="77777777" w:rsidR="00E87995" w:rsidRPr="009E06AA" w:rsidRDefault="00E87995" w:rsidP="00B55F24">
            <w:pPr>
              <w:pStyle w:val="TableText"/>
              <w:spacing w:before="40" w:after="40"/>
            </w:pPr>
            <w:r w:rsidRPr="009E06AA">
              <w:rPr>
                <w:color w:val="000000"/>
              </w:rPr>
              <w:t>Total carbon content (%)</w:t>
            </w:r>
          </w:p>
        </w:tc>
        <w:tc>
          <w:tcPr>
            <w:tcW w:w="678" w:type="pct"/>
            <w:shd w:val="clear" w:color="auto" w:fill="FFFFFF"/>
            <w:tcMar>
              <w:top w:w="0" w:type="dxa"/>
              <w:left w:w="85" w:type="dxa"/>
              <w:bottom w:w="0" w:type="dxa"/>
              <w:right w:w="85" w:type="dxa"/>
            </w:tcMar>
          </w:tcPr>
          <w:p w14:paraId="6BC0C6B2" w14:textId="77777777" w:rsidR="00E87995" w:rsidRPr="009E06AA" w:rsidRDefault="00E87995" w:rsidP="00DB784A">
            <w:pPr>
              <w:pStyle w:val="TableText"/>
              <w:spacing w:before="40" w:after="40"/>
              <w:jc w:val="right"/>
            </w:pPr>
            <w:r w:rsidRPr="009E06AA">
              <w:rPr>
                <w:color w:val="000000"/>
              </w:rPr>
              <w:t>44.</w:t>
            </w:r>
            <w:r w:rsidRPr="009E06AA">
              <w:rPr>
                <w:rFonts w:eastAsia="Calibri" w:cs="Calibri"/>
                <w:color w:val="000000"/>
                <w:szCs w:val="16"/>
              </w:rPr>
              <w:t>8</w:t>
            </w:r>
          </w:p>
        </w:tc>
        <w:tc>
          <w:tcPr>
            <w:tcW w:w="2034" w:type="pct"/>
            <w:shd w:val="clear" w:color="auto" w:fill="FFFFFF"/>
            <w:tcMar>
              <w:top w:w="0" w:type="dxa"/>
              <w:left w:w="85" w:type="dxa"/>
              <w:bottom w:w="0" w:type="dxa"/>
              <w:right w:w="85" w:type="dxa"/>
            </w:tcMar>
          </w:tcPr>
          <w:p w14:paraId="5D938B21" w14:textId="77777777" w:rsidR="00E87995" w:rsidRPr="009E06AA" w:rsidRDefault="00E87995" w:rsidP="00B55F24">
            <w:pPr>
              <w:pStyle w:val="TableText"/>
              <w:spacing w:before="40" w:after="40"/>
            </w:pPr>
            <w:r w:rsidRPr="009E06AA">
              <w:rPr>
                <w:color w:val="000000"/>
              </w:rPr>
              <w:t>Calculated (see table 7.4.3)</w:t>
            </w:r>
          </w:p>
        </w:tc>
      </w:tr>
      <w:tr w:rsidR="00E87995" w:rsidRPr="009E06AA" w14:paraId="2A8738B7" w14:textId="77777777" w:rsidTr="00B55F24">
        <w:tc>
          <w:tcPr>
            <w:tcW w:w="2287" w:type="pct"/>
            <w:shd w:val="clear" w:color="auto" w:fill="FFFFFF"/>
            <w:tcMar>
              <w:top w:w="0" w:type="dxa"/>
              <w:left w:w="85" w:type="dxa"/>
              <w:bottom w:w="0" w:type="dxa"/>
              <w:right w:w="85" w:type="dxa"/>
            </w:tcMar>
          </w:tcPr>
          <w:p w14:paraId="33F10E03" w14:textId="77777777" w:rsidR="00E87995" w:rsidRPr="009E06AA" w:rsidRDefault="00E87995" w:rsidP="00B55F24">
            <w:pPr>
              <w:pStyle w:val="TableText"/>
              <w:spacing w:before="40" w:after="40"/>
            </w:pPr>
            <w:r w:rsidRPr="009E06AA">
              <w:rPr>
                <w:color w:val="000000"/>
              </w:rPr>
              <w:t>Fossil carbon content (%)</w:t>
            </w:r>
          </w:p>
        </w:tc>
        <w:tc>
          <w:tcPr>
            <w:tcW w:w="678" w:type="pct"/>
            <w:shd w:val="clear" w:color="auto" w:fill="FFFFFF"/>
            <w:tcMar>
              <w:top w:w="0" w:type="dxa"/>
              <w:left w:w="85" w:type="dxa"/>
              <w:bottom w:w="0" w:type="dxa"/>
              <w:right w:w="85" w:type="dxa"/>
            </w:tcMar>
          </w:tcPr>
          <w:p w14:paraId="41B3513F" w14:textId="77777777" w:rsidR="00E87995" w:rsidRPr="009E06AA" w:rsidRDefault="00E87995" w:rsidP="00DB784A">
            <w:pPr>
              <w:pStyle w:val="TableText"/>
              <w:spacing w:before="40" w:after="40"/>
              <w:jc w:val="right"/>
            </w:pPr>
            <w:r w:rsidRPr="009E06AA">
              <w:rPr>
                <w:color w:val="000000"/>
              </w:rPr>
              <w:t>24.</w:t>
            </w:r>
            <w:r w:rsidRPr="009E06AA">
              <w:rPr>
                <w:rFonts w:eastAsia="Calibri" w:cs="Calibri"/>
                <w:color w:val="000000"/>
                <w:szCs w:val="16"/>
              </w:rPr>
              <w:t>0</w:t>
            </w:r>
          </w:p>
        </w:tc>
        <w:tc>
          <w:tcPr>
            <w:tcW w:w="2034" w:type="pct"/>
            <w:shd w:val="clear" w:color="auto" w:fill="FFFFFF"/>
            <w:tcMar>
              <w:top w:w="0" w:type="dxa"/>
              <w:left w:w="85" w:type="dxa"/>
              <w:bottom w:w="0" w:type="dxa"/>
              <w:right w:w="85" w:type="dxa"/>
            </w:tcMar>
          </w:tcPr>
          <w:p w14:paraId="1740C30B" w14:textId="77777777" w:rsidR="00E87995" w:rsidRPr="009E06AA" w:rsidRDefault="00E87995" w:rsidP="00B55F24">
            <w:pPr>
              <w:pStyle w:val="TableText"/>
              <w:spacing w:before="40" w:after="40"/>
            </w:pPr>
            <w:r w:rsidRPr="009E06AA">
              <w:rPr>
                <w:color w:val="000000"/>
              </w:rPr>
              <w:t>Calculated (see table 7.4.3)</w:t>
            </w:r>
          </w:p>
        </w:tc>
      </w:tr>
      <w:tr w:rsidR="00E87995" w:rsidRPr="009E06AA" w14:paraId="39F01B39" w14:textId="77777777" w:rsidTr="00B55F24">
        <w:tc>
          <w:tcPr>
            <w:tcW w:w="2287" w:type="pct"/>
            <w:shd w:val="clear" w:color="auto" w:fill="FFFFFF"/>
            <w:tcMar>
              <w:top w:w="0" w:type="dxa"/>
              <w:left w:w="85" w:type="dxa"/>
              <w:bottom w:w="0" w:type="dxa"/>
              <w:right w:w="85" w:type="dxa"/>
            </w:tcMar>
          </w:tcPr>
          <w:p w14:paraId="20979568" w14:textId="77777777" w:rsidR="00E87995" w:rsidRPr="009E06AA" w:rsidRDefault="00E87995" w:rsidP="00B55F24">
            <w:pPr>
              <w:pStyle w:val="TableText"/>
              <w:spacing w:before="40" w:after="40"/>
            </w:pPr>
            <w:r w:rsidRPr="009E06AA">
              <w:rPr>
                <w:color w:val="000000"/>
              </w:rPr>
              <w:t>Oxidation factor (%)</w:t>
            </w:r>
          </w:p>
        </w:tc>
        <w:tc>
          <w:tcPr>
            <w:tcW w:w="678" w:type="pct"/>
            <w:shd w:val="clear" w:color="auto" w:fill="FFFFFF"/>
            <w:tcMar>
              <w:top w:w="0" w:type="dxa"/>
              <w:left w:w="85" w:type="dxa"/>
              <w:bottom w:w="0" w:type="dxa"/>
              <w:right w:w="85" w:type="dxa"/>
            </w:tcMar>
          </w:tcPr>
          <w:p w14:paraId="724B70D9" w14:textId="77777777" w:rsidR="00E87995" w:rsidRPr="009E06AA" w:rsidRDefault="00E87995" w:rsidP="00DB784A">
            <w:pPr>
              <w:pStyle w:val="TableText"/>
              <w:spacing w:before="40" w:after="40"/>
              <w:jc w:val="right"/>
            </w:pPr>
            <w:r w:rsidRPr="009E06AA">
              <w:rPr>
                <w:color w:val="000000"/>
              </w:rPr>
              <w:t>58</w:t>
            </w:r>
          </w:p>
        </w:tc>
        <w:tc>
          <w:tcPr>
            <w:tcW w:w="2034" w:type="pct"/>
            <w:shd w:val="clear" w:color="auto" w:fill="FFFFFF"/>
            <w:tcMar>
              <w:top w:w="0" w:type="dxa"/>
              <w:left w:w="85" w:type="dxa"/>
              <w:bottom w:w="0" w:type="dxa"/>
              <w:right w:w="85" w:type="dxa"/>
            </w:tcMar>
          </w:tcPr>
          <w:p w14:paraId="53352C44" w14:textId="77777777" w:rsidR="00E87995" w:rsidRPr="009E06AA" w:rsidRDefault="00E87995" w:rsidP="00B55F24">
            <w:pPr>
              <w:pStyle w:val="TableText"/>
              <w:spacing w:before="40" w:after="40"/>
            </w:pPr>
            <w:r w:rsidRPr="009E06AA">
              <w:rPr>
                <w:color w:val="000000"/>
              </w:rPr>
              <w:t>IPCC default</w:t>
            </w:r>
          </w:p>
        </w:tc>
      </w:tr>
      <w:tr w:rsidR="00E87995" w:rsidRPr="009E06AA" w14:paraId="4433C505" w14:textId="77777777" w:rsidTr="00B55F24">
        <w:tc>
          <w:tcPr>
            <w:tcW w:w="2287" w:type="pct"/>
            <w:shd w:val="clear" w:color="auto" w:fill="FFFFFF"/>
            <w:tcMar>
              <w:top w:w="0" w:type="dxa"/>
              <w:left w:w="85" w:type="dxa"/>
              <w:bottom w:w="0" w:type="dxa"/>
              <w:right w:w="85" w:type="dxa"/>
            </w:tcMar>
          </w:tcPr>
          <w:p w14:paraId="4B513079" w14:textId="77777777" w:rsidR="00E87995" w:rsidRPr="009E06AA" w:rsidRDefault="00E87995" w:rsidP="00B55F24">
            <w:pPr>
              <w:pStyle w:val="TableText"/>
              <w:spacing w:before="40" w:after="40"/>
            </w:pPr>
            <w:r w:rsidRPr="009E06AA">
              <w:rPr>
                <w:color w:val="000000"/>
              </w:rPr>
              <w:t>Conversion factor</w:t>
            </w:r>
          </w:p>
        </w:tc>
        <w:tc>
          <w:tcPr>
            <w:tcW w:w="678" w:type="pct"/>
            <w:shd w:val="clear" w:color="auto" w:fill="FFFFFF"/>
            <w:tcMar>
              <w:top w:w="0" w:type="dxa"/>
              <w:left w:w="85" w:type="dxa"/>
              <w:bottom w:w="0" w:type="dxa"/>
              <w:right w:w="85" w:type="dxa"/>
            </w:tcMar>
          </w:tcPr>
          <w:p w14:paraId="04BD78D6" w14:textId="77777777" w:rsidR="00E87995" w:rsidRPr="009E06AA" w:rsidRDefault="00E87995" w:rsidP="00DB784A">
            <w:pPr>
              <w:pStyle w:val="TableText"/>
              <w:spacing w:before="40" w:after="40"/>
              <w:jc w:val="right"/>
            </w:pPr>
            <w:r w:rsidRPr="009E06AA">
              <w:rPr>
                <w:color w:val="000000"/>
              </w:rPr>
              <w:t>44/12</w:t>
            </w:r>
          </w:p>
        </w:tc>
        <w:tc>
          <w:tcPr>
            <w:tcW w:w="2034" w:type="pct"/>
            <w:shd w:val="clear" w:color="auto" w:fill="FFFFFF"/>
            <w:tcMar>
              <w:top w:w="0" w:type="dxa"/>
              <w:left w:w="85" w:type="dxa"/>
              <w:bottom w:w="0" w:type="dxa"/>
              <w:right w:w="85" w:type="dxa"/>
            </w:tcMar>
          </w:tcPr>
          <w:p w14:paraId="73D16C47" w14:textId="77777777" w:rsidR="00E87995" w:rsidRPr="009E06AA" w:rsidRDefault="00E87995" w:rsidP="00B55F24">
            <w:pPr>
              <w:pStyle w:val="TableText"/>
              <w:spacing w:before="40" w:after="40"/>
            </w:pPr>
          </w:p>
        </w:tc>
      </w:tr>
      <w:tr w:rsidR="00E87995" w:rsidRPr="009E06AA" w14:paraId="464B3A3F" w14:textId="77777777" w:rsidTr="00B55F24">
        <w:tc>
          <w:tcPr>
            <w:tcW w:w="2287" w:type="pct"/>
            <w:shd w:val="clear" w:color="auto" w:fill="FFFFFF"/>
            <w:tcMar>
              <w:top w:w="0" w:type="dxa"/>
              <w:left w:w="85" w:type="dxa"/>
              <w:bottom w:w="0" w:type="dxa"/>
              <w:right w:w="85" w:type="dxa"/>
            </w:tcMar>
          </w:tcPr>
          <w:p w14:paraId="111A39F2" w14:textId="77777777" w:rsidR="00E87995" w:rsidRPr="009E06AA" w:rsidRDefault="00E87995" w:rsidP="00B55F24">
            <w:pPr>
              <w:pStyle w:val="Tableboldblue"/>
              <w:spacing w:before="40" w:after="40"/>
            </w:pPr>
            <w:r w:rsidRPr="009E06AA">
              <w:t>Other gases</w:t>
            </w:r>
          </w:p>
        </w:tc>
        <w:tc>
          <w:tcPr>
            <w:tcW w:w="678" w:type="pct"/>
            <w:shd w:val="clear" w:color="auto" w:fill="FFFFFF"/>
            <w:tcMar>
              <w:top w:w="0" w:type="dxa"/>
              <w:left w:w="85" w:type="dxa"/>
              <w:bottom w:w="0" w:type="dxa"/>
              <w:right w:w="85" w:type="dxa"/>
            </w:tcMar>
          </w:tcPr>
          <w:p w14:paraId="362DA652" w14:textId="77777777" w:rsidR="00E87995" w:rsidRPr="009E06AA" w:rsidRDefault="00E87995" w:rsidP="00DB784A">
            <w:pPr>
              <w:pStyle w:val="Tableboldblue"/>
              <w:spacing w:before="40" w:after="40"/>
              <w:jc w:val="right"/>
            </w:pPr>
          </w:p>
        </w:tc>
        <w:tc>
          <w:tcPr>
            <w:tcW w:w="2034" w:type="pct"/>
            <w:shd w:val="clear" w:color="auto" w:fill="FFFFFF"/>
            <w:tcMar>
              <w:top w:w="0" w:type="dxa"/>
              <w:left w:w="85" w:type="dxa"/>
              <w:bottom w:w="0" w:type="dxa"/>
              <w:right w:w="85" w:type="dxa"/>
            </w:tcMar>
          </w:tcPr>
          <w:p w14:paraId="1052747B" w14:textId="77777777" w:rsidR="00E87995" w:rsidRPr="009E06AA" w:rsidRDefault="00E87995" w:rsidP="00B55F24">
            <w:pPr>
              <w:pStyle w:val="Tableboldblue"/>
              <w:spacing w:before="40" w:after="40"/>
            </w:pPr>
          </w:p>
        </w:tc>
      </w:tr>
      <w:tr w:rsidR="00E87995" w:rsidRPr="009E06AA" w14:paraId="60BD5180" w14:textId="77777777" w:rsidTr="00B55F24">
        <w:tc>
          <w:tcPr>
            <w:tcW w:w="2287" w:type="pct"/>
            <w:shd w:val="clear" w:color="auto" w:fill="FFFFFF"/>
            <w:tcMar>
              <w:top w:w="0" w:type="dxa"/>
              <w:left w:w="85" w:type="dxa"/>
              <w:bottom w:w="0" w:type="dxa"/>
              <w:right w:w="85" w:type="dxa"/>
            </w:tcMar>
          </w:tcPr>
          <w:p w14:paraId="4F065921" w14:textId="77777777" w:rsidR="00E87995" w:rsidRPr="009E06AA" w:rsidRDefault="00E87995" w:rsidP="00B55F24">
            <w:pPr>
              <w:pStyle w:val="TableText"/>
              <w:spacing w:before="40" w:after="40"/>
            </w:pPr>
            <w:r w:rsidRPr="009E06AA">
              <w:rPr>
                <w:color w:val="000000"/>
              </w:rPr>
              <w:t>Methane emission factor (kg/kt wet waste)</w:t>
            </w:r>
          </w:p>
        </w:tc>
        <w:tc>
          <w:tcPr>
            <w:tcW w:w="678" w:type="pct"/>
            <w:shd w:val="clear" w:color="auto" w:fill="FFFFFF"/>
            <w:tcMar>
              <w:top w:w="0" w:type="dxa"/>
              <w:left w:w="85" w:type="dxa"/>
              <w:bottom w:w="0" w:type="dxa"/>
              <w:right w:w="85" w:type="dxa"/>
            </w:tcMar>
          </w:tcPr>
          <w:p w14:paraId="41962373" w14:textId="77777777" w:rsidR="00E87995" w:rsidRPr="009E06AA" w:rsidRDefault="00E87995" w:rsidP="00DB784A">
            <w:pPr>
              <w:pStyle w:val="TableText"/>
              <w:spacing w:before="40" w:after="40"/>
              <w:jc w:val="right"/>
            </w:pPr>
            <w:r w:rsidRPr="009E06AA">
              <w:rPr>
                <w:rFonts w:eastAsia="Calibri" w:cs="Calibri"/>
                <w:color w:val="000000"/>
                <w:szCs w:val="16"/>
              </w:rPr>
              <w:t>6,500</w:t>
            </w:r>
          </w:p>
        </w:tc>
        <w:tc>
          <w:tcPr>
            <w:tcW w:w="2034" w:type="pct"/>
            <w:shd w:val="clear" w:color="auto" w:fill="FFFFFF"/>
            <w:tcMar>
              <w:top w:w="0" w:type="dxa"/>
              <w:left w:w="85" w:type="dxa"/>
              <w:bottom w:w="0" w:type="dxa"/>
              <w:right w:w="85" w:type="dxa"/>
            </w:tcMar>
          </w:tcPr>
          <w:p w14:paraId="37DAD229" w14:textId="77777777" w:rsidR="00E87995" w:rsidRPr="009E06AA" w:rsidRDefault="00E87995" w:rsidP="00B55F24">
            <w:pPr>
              <w:pStyle w:val="TableText"/>
              <w:spacing w:before="40" w:after="40"/>
            </w:pPr>
            <w:r w:rsidRPr="009E06AA">
              <w:rPr>
                <w:color w:val="000000"/>
              </w:rPr>
              <w:t>IPCC default</w:t>
            </w:r>
          </w:p>
        </w:tc>
      </w:tr>
      <w:tr w:rsidR="00E87995" w:rsidRPr="009E06AA" w14:paraId="6022C25A" w14:textId="77777777" w:rsidTr="00B55F24">
        <w:tc>
          <w:tcPr>
            <w:tcW w:w="2287" w:type="pct"/>
            <w:shd w:val="clear" w:color="auto" w:fill="FFFFFF"/>
            <w:tcMar>
              <w:top w:w="0" w:type="dxa"/>
              <w:left w:w="85" w:type="dxa"/>
              <w:bottom w:w="0" w:type="dxa"/>
              <w:right w:w="85" w:type="dxa"/>
            </w:tcMar>
          </w:tcPr>
          <w:p w14:paraId="59EC76D6" w14:textId="77777777" w:rsidR="00E87995" w:rsidRPr="009E06AA" w:rsidRDefault="00E87995" w:rsidP="00B55F24">
            <w:pPr>
              <w:pStyle w:val="TableText"/>
              <w:spacing w:before="40" w:after="40"/>
            </w:pPr>
            <w:r w:rsidRPr="009E06AA">
              <w:rPr>
                <w:color w:val="000000"/>
              </w:rPr>
              <w:t>Nitrous oxide emission factor (kg/kt dry waste)</w:t>
            </w:r>
          </w:p>
        </w:tc>
        <w:tc>
          <w:tcPr>
            <w:tcW w:w="678" w:type="pct"/>
            <w:shd w:val="clear" w:color="auto" w:fill="FFFFFF"/>
            <w:tcMar>
              <w:top w:w="0" w:type="dxa"/>
              <w:left w:w="85" w:type="dxa"/>
              <w:bottom w:w="0" w:type="dxa"/>
              <w:right w:w="85" w:type="dxa"/>
            </w:tcMar>
          </w:tcPr>
          <w:p w14:paraId="5F97D9B0" w14:textId="77777777" w:rsidR="00E87995" w:rsidRPr="009E06AA" w:rsidRDefault="00E87995" w:rsidP="00DB784A">
            <w:pPr>
              <w:pStyle w:val="TableText"/>
              <w:spacing w:before="40" w:after="40"/>
              <w:jc w:val="right"/>
            </w:pPr>
            <w:r w:rsidRPr="009E06AA">
              <w:rPr>
                <w:color w:val="000000"/>
              </w:rPr>
              <w:t>150</w:t>
            </w:r>
          </w:p>
        </w:tc>
        <w:tc>
          <w:tcPr>
            <w:tcW w:w="2034" w:type="pct"/>
            <w:shd w:val="clear" w:color="auto" w:fill="FFFFFF"/>
            <w:tcMar>
              <w:top w:w="0" w:type="dxa"/>
              <w:left w:w="85" w:type="dxa"/>
              <w:bottom w:w="0" w:type="dxa"/>
              <w:right w:w="85" w:type="dxa"/>
            </w:tcMar>
          </w:tcPr>
          <w:p w14:paraId="5F872EFE" w14:textId="77777777" w:rsidR="00E87995" w:rsidRPr="009E06AA" w:rsidRDefault="00E87995" w:rsidP="00B55F24">
            <w:pPr>
              <w:pStyle w:val="TableText"/>
              <w:spacing w:before="40" w:after="40"/>
            </w:pPr>
            <w:r w:rsidRPr="009E06AA">
              <w:rPr>
                <w:color w:val="000000"/>
              </w:rPr>
              <w:t>IPCC default</w:t>
            </w:r>
          </w:p>
        </w:tc>
      </w:tr>
    </w:tbl>
    <w:p w14:paraId="3086EF1B" w14:textId="77777777" w:rsidR="00E87995" w:rsidRPr="009E06AA" w:rsidRDefault="00E87995" w:rsidP="00E87995">
      <w:pPr>
        <w:pStyle w:val="BodyText"/>
        <w:spacing w:before="240"/>
      </w:pPr>
      <w:r w:rsidRPr="009E06AA">
        <w:t>To calculate N</w:t>
      </w:r>
      <w:r w:rsidRPr="009E06AA">
        <w:rPr>
          <w:vertAlign w:val="subscript"/>
        </w:rPr>
        <w:t>2</w:t>
      </w:r>
      <w:r w:rsidRPr="009E06AA">
        <w:t>O emissions, the activity data are converted using the weighted average dry‑matter content in table 7.4.3 because the default emission factor is presented in terms of dry waste.</w:t>
      </w:r>
    </w:p>
    <w:p w14:paraId="438FB4AD" w14:textId="54D6F2B4" w:rsidR="00E87995" w:rsidRPr="009E06AA" w:rsidRDefault="00E87995" w:rsidP="00E87995">
      <w:pPr>
        <w:pStyle w:val="Heading3"/>
      </w:pPr>
      <w:bookmarkStart w:id="2955" w:name="_Toc160537244"/>
      <w:bookmarkStart w:id="2956" w:name="X78736684ec91b7fbd49bd3f7f851a6f0fbe0364"/>
      <w:bookmarkStart w:id="2957" w:name="X6b3d5bc9eacf0af99227be606b079e85f3ac245"/>
      <w:bookmarkEnd w:id="2925"/>
      <w:bookmarkEnd w:id="2942"/>
      <w:bookmarkEnd w:id="2949"/>
      <w:r w:rsidRPr="009E06AA">
        <w:t>7.4.3</w:t>
      </w:r>
      <w:r w:rsidR="00241B08" w:rsidRPr="009E06AA">
        <w:tab/>
      </w:r>
      <w:r w:rsidRPr="009E06AA">
        <w:t>Uncertainty assessment and time-series consistency</w:t>
      </w:r>
      <w:bookmarkEnd w:id="2955"/>
    </w:p>
    <w:p w14:paraId="7B1330D4" w14:textId="77777777" w:rsidR="00E87995" w:rsidRPr="009E06AA" w:rsidRDefault="00E87995" w:rsidP="00E87995">
      <w:pPr>
        <w:pStyle w:val="Heading4"/>
      </w:pPr>
      <w:bookmarkStart w:id="2958" w:name="uncertainties-3"/>
      <w:r w:rsidRPr="009E06AA">
        <w:t>Uncertainties</w:t>
      </w:r>
    </w:p>
    <w:p w14:paraId="2A452902" w14:textId="77777777" w:rsidR="00E87995" w:rsidRPr="009E06AA" w:rsidRDefault="00E87995" w:rsidP="00E87995">
      <w:pPr>
        <w:pStyle w:val="BodyText"/>
      </w:pPr>
      <w:r w:rsidRPr="009E06AA">
        <w:t>Consistent with the IPCC recommendation for uncertainties relating to activity data (IPCC, 2006a), estimated uncertainty for the amount of wet waste incinerated ranges from ±10 per cent to ±50 per cent, and uncertainty of ±50 per cent is applied (see table 7.4.6).</w:t>
      </w:r>
    </w:p>
    <w:p w14:paraId="3A42EC19" w14:textId="77777777" w:rsidR="00E87995" w:rsidRPr="009E06AA" w:rsidRDefault="00E87995" w:rsidP="00E87995">
      <w:pPr>
        <w:pStyle w:val="BodyText"/>
      </w:pPr>
      <w:r w:rsidRPr="009E06AA">
        <w:t>The data collected for the composition of waste are not detailed. Therefore, following the recommendation for uncertainties relating to emission factors (IPCC, 2006a), the estimated uncertainty for default CO</w:t>
      </w:r>
      <w:r w:rsidRPr="009E06AA">
        <w:rPr>
          <w:vertAlign w:val="subscript"/>
        </w:rPr>
        <w:t>2</w:t>
      </w:r>
      <w:r w:rsidRPr="009E06AA">
        <w:t xml:space="preserve"> factors is ±40 per cent. Default factors used in the calculation of CH</w:t>
      </w:r>
      <w:r w:rsidRPr="009E06AA">
        <w:rPr>
          <w:vertAlign w:val="subscript"/>
        </w:rPr>
        <w:t>4</w:t>
      </w:r>
      <w:r w:rsidRPr="009E06AA">
        <w:t xml:space="preserve"> and N</w:t>
      </w:r>
      <w:r w:rsidRPr="009E06AA">
        <w:rPr>
          <w:vertAlign w:val="subscript"/>
        </w:rPr>
        <w:t>2</w:t>
      </w:r>
      <w:r w:rsidRPr="009E06AA">
        <w:t>O emissions have a much higher uncertainty (IPCC, 2006a); for this reason, the estimated uncertainty for default CH</w:t>
      </w:r>
      <w:r w:rsidRPr="009E06AA">
        <w:rPr>
          <w:vertAlign w:val="subscript"/>
        </w:rPr>
        <w:t>4</w:t>
      </w:r>
      <w:r w:rsidRPr="009E06AA">
        <w:t xml:space="preserve"> and N</w:t>
      </w:r>
      <w:r w:rsidRPr="009E06AA">
        <w:rPr>
          <w:vertAlign w:val="subscript"/>
        </w:rPr>
        <w:t>2</w:t>
      </w:r>
      <w:r w:rsidRPr="009E06AA">
        <w:t>O factors is ±100 per cent.</w:t>
      </w:r>
    </w:p>
    <w:p w14:paraId="346841AA" w14:textId="77777777" w:rsidR="00E87995" w:rsidRPr="009E06AA" w:rsidRDefault="00E87995" w:rsidP="00E87995">
      <w:pPr>
        <w:pStyle w:val="Table"/>
      </w:pPr>
      <w:bookmarkStart w:id="2959" w:name="_Toc128383678"/>
      <w:bookmarkStart w:id="2960" w:name="_Toc131591451"/>
      <w:bookmarkStart w:id="2961" w:name="_Toc160537330"/>
      <w:bookmarkStart w:id="2962" w:name="_Toc160537692"/>
      <w:bookmarkStart w:id="2963" w:name="_Toc164153942"/>
      <w:r w:rsidRPr="009E06AA">
        <w:t>Table 7.4.6</w:t>
      </w:r>
      <w:r w:rsidRPr="009E06AA">
        <w:tab/>
        <w:t xml:space="preserve">Uncertainty in emissions from </w:t>
      </w:r>
      <w:r w:rsidRPr="009E06AA">
        <w:rPr>
          <w:i/>
          <w:iCs/>
        </w:rPr>
        <w:t>Incineration and open burning of waste</w:t>
      </w:r>
      <w:bookmarkEnd w:id="2959"/>
      <w:bookmarkEnd w:id="2960"/>
      <w:bookmarkEnd w:id="2961"/>
      <w:bookmarkEnd w:id="2962"/>
      <w:bookmarkEnd w:id="2963"/>
    </w:p>
    <w:tbl>
      <w:tblPr>
        <w:tblW w:w="8505" w:type="dxa"/>
        <w:tblBorders>
          <w:top w:val="single" w:sz="4" w:space="0" w:color="1B556B" w:themeColor="text2"/>
          <w:bottom w:val="single" w:sz="4" w:space="0" w:color="1B556B" w:themeColor="text2"/>
          <w:insideH w:val="single" w:sz="4" w:space="0" w:color="1B556B" w:themeColor="text2"/>
        </w:tblBorders>
        <w:tblLook w:val="0420" w:firstRow="1" w:lastRow="0" w:firstColumn="0" w:lastColumn="0" w:noHBand="0" w:noVBand="1"/>
      </w:tblPr>
      <w:tblGrid>
        <w:gridCol w:w="3297"/>
        <w:gridCol w:w="2459"/>
        <w:gridCol w:w="2749"/>
      </w:tblGrid>
      <w:tr w:rsidR="00E87995" w:rsidRPr="009E06AA" w14:paraId="6FB46189" w14:textId="77777777" w:rsidTr="00B55F24">
        <w:trPr>
          <w:tblHeader/>
        </w:trPr>
        <w:tc>
          <w:tcPr>
            <w:tcW w:w="0" w:type="auto"/>
            <w:shd w:val="clear" w:color="auto" w:fill="1B556B"/>
            <w:tcMar>
              <w:top w:w="0" w:type="dxa"/>
              <w:left w:w="85" w:type="dxa"/>
              <w:bottom w:w="0" w:type="dxa"/>
              <w:right w:w="85" w:type="dxa"/>
            </w:tcMar>
          </w:tcPr>
          <w:p w14:paraId="1EABF4A5" w14:textId="77777777" w:rsidR="00E87995" w:rsidRPr="009E06AA" w:rsidRDefault="00E87995" w:rsidP="00B55F24">
            <w:pPr>
              <w:pStyle w:val="TableTextBold"/>
              <w:spacing w:before="40" w:after="40"/>
              <w:rPr>
                <w:noProof w:val="0"/>
                <w:color w:val="FFFFFF" w:themeColor="background1"/>
              </w:rPr>
            </w:pPr>
            <w:r w:rsidRPr="009E06AA">
              <w:rPr>
                <w:noProof w:val="0"/>
                <w:color w:val="FFFFFF" w:themeColor="background1"/>
              </w:rPr>
              <w:t>Emissions category</w:t>
            </w:r>
          </w:p>
        </w:tc>
        <w:tc>
          <w:tcPr>
            <w:tcW w:w="0" w:type="auto"/>
            <w:shd w:val="clear" w:color="auto" w:fill="1B556B"/>
            <w:tcMar>
              <w:top w:w="0" w:type="dxa"/>
              <w:left w:w="85" w:type="dxa"/>
              <w:bottom w:w="0" w:type="dxa"/>
              <w:right w:w="85" w:type="dxa"/>
            </w:tcMar>
          </w:tcPr>
          <w:p w14:paraId="45D52845" w14:textId="77777777" w:rsidR="00E87995" w:rsidRPr="009E06AA" w:rsidRDefault="00E87995" w:rsidP="00DB784A">
            <w:pPr>
              <w:pStyle w:val="TableTextBold"/>
              <w:spacing w:before="40" w:after="40"/>
              <w:jc w:val="right"/>
              <w:rPr>
                <w:noProof w:val="0"/>
                <w:color w:val="FFFFFF" w:themeColor="background1"/>
              </w:rPr>
            </w:pPr>
            <w:r w:rsidRPr="009E06AA">
              <w:rPr>
                <w:noProof w:val="0"/>
                <w:color w:val="FFFFFF" w:themeColor="background1"/>
              </w:rPr>
              <w:t>Uncertainty in activity data (%)</w:t>
            </w:r>
          </w:p>
        </w:tc>
        <w:tc>
          <w:tcPr>
            <w:tcW w:w="0" w:type="auto"/>
            <w:shd w:val="clear" w:color="auto" w:fill="1B556B"/>
            <w:tcMar>
              <w:top w:w="0" w:type="dxa"/>
              <w:left w:w="85" w:type="dxa"/>
              <w:bottom w:w="0" w:type="dxa"/>
              <w:right w:w="85" w:type="dxa"/>
            </w:tcMar>
          </w:tcPr>
          <w:p w14:paraId="1D76C01A" w14:textId="77777777" w:rsidR="00E87995" w:rsidRPr="009E06AA" w:rsidRDefault="00E87995" w:rsidP="00DB784A">
            <w:pPr>
              <w:pStyle w:val="TableTextBold"/>
              <w:spacing w:before="40" w:after="40"/>
              <w:jc w:val="right"/>
              <w:rPr>
                <w:noProof w:val="0"/>
                <w:color w:val="FFFFFF" w:themeColor="background1"/>
              </w:rPr>
            </w:pPr>
            <w:r w:rsidRPr="009E06AA">
              <w:rPr>
                <w:noProof w:val="0"/>
                <w:color w:val="FFFFFF" w:themeColor="background1"/>
              </w:rPr>
              <w:t>Uncertainty in emission factors (%)</w:t>
            </w:r>
          </w:p>
        </w:tc>
      </w:tr>
      <w:tr w:rsidR="00E87995" w:rsidRPr="009E06AA" w14:paraId="7E61E490" w14:textId="77777777" w:rsidTr="00B55F24">
        <w:tc>
          <w:tcPr>
            <w:tcW w:w="0" w:type="auto"/>
            <w:shd w:val="clear" w:color="auto" w:fill="FFFFFF"/>
            <w:tcMar>
              <w:top w:w="0" w:type="dxa"/>
              <w:left w:w="85" w:type="dxa"/>
              <w:bottom w:w="0" w:type="dxa"/>
              <w:right w:w="85" w:type="dxa"/>
            </w:tcMar>
          </w:tcPr>
          <w:p w14:paraId="760EB888" w14:textId="77777777" w:rsidR="00E87995" w:rsidRPr="009E06AA" w:rsidRDefault="00E87995" w:rsidP="00B55F24">
            <w:pPr>
              <w:pStyle w:val="TableText"/>
              <w:spacing w:before="40" w:after="40"/>
            </w:pPr>
            <w:r w:rsidRPr="009E06AA">
              <w:rPr>
                <w:color w:val="000000"/>
              </w:rPr>
              <w:t>Waste incineration and open burning (CO₂)</w:t>
            </w:r>
          </w:p>
        </w:tc>
        <w:tc>
          <w:tcPr>
            <w:tcW w:w="0" w:type="auto"/>
            <w:shd w:val="clear" w:color="auto" w:fill="FFFFFF"/>
            <w:tcMar>
              <w:top w:w="0" w:type="dxa"/>
              <w:left w:w="85" w:type="dxa"/>
              <w:bottom w:w="0" w:type="dxa"/>
              <w:right w:w="85" w:type="dxa"/>
            </w:tcMar>
          </w:tcPr>
          <w:p w14:paraId="2DCA2BAC" w14:textId="77777777" w:rsidR="00E87995" w:rsidRPr="009E06AA" w:rsidRDefault="00E87995" w:rsidP="00DB784A">
            <w:pPr>
              <w:pStyle w:val="TableText"/>
              <w:spacing w:before="40" w:after="40"/>
              <w:jc w:val="right"/>
            </w:pPr>
            <w:r w:rsidRPr="009E06AA">
              <w:rPr>
                <w:color w:val="000000"/>
              </w:rPr>
              <w:t>±50</w:t>
            </w:r>
          </w:p>
        </w:tc>
        <w:tc>
          <w:tcPr>
            <w:tcW w:w="0" w:type="auto"/>
            <w:shd w:val="clear" w:color="auto" w:fill="FFFFFF"/>
            <w:tcMar>
              <w:top w:w="0" w:type="dxa"/>
              <w:left w:w="85" w:type="dxa"/>
              <w:bottom w:w="0" w:type="dxa"/>
              <w:right w:w="85" w:type="dxa"/>
            </w:tcMar>
          </w:tcPr>
          <w:p w14:paraId="3FFA3F79" w14:textId="77777777" w:rsidR="00E87995" w:rsidRPr="009E06AA" w:rsidRDefault="00E87995" w:rsidP="00DB784A">
            <w:pPr>
              <w:pStyle w:val="TableText"/>
              <w:spacing w:before="40" w:after="40"/>
              <w:jc w:val="right"/>
            </w:pPr>
            <w:r w:rsidRPr="009E06AA">
              <w:rPr>
                <w:color w:val="000000"/>
              </w:rPr>
              <w:t>±40</w:t>
            </w:r>
          </w:p>
        </w:tc>
      </w:tr>
      <w:tr w:rsidR="00E87995" w:rsidRPr="009E06AA" w14:paraId="7B06788B" w14:textId="77777777" w:rsidTr="00B55F24">
        <w:tc>
          <w:tcPr>
            <w:tcW w:w="0" w:type="auto"/>
            <w:shd w:val="clear" w:color="auto" w:fill="FFFFFF"/>
            <w:tcMar>
              <w:top w:w="0" w:type="dxa"/>
              <w:left w:w="85" w:type="dxa"/>
              <w:bottom w:w="0" w:type="dxa"/>
              <w:right w:w="85" w:type="dxa"/>
            </w:tcMar>
          </w:tcPr>
          <w:p w14:paraId="0C8A5FD4" w14:textId="77777777" w:rsidR="00E87995" w:rsidRPr="009E06AA" w:rsidRDefault="00E87995" w:rsidP="00B55F24">
            <w:pPr>
              <w:pStyle w:val="TableText"/>
              <w:spacing w:before="40" w:after="40"/>
            </w:pPr>
            <w:r w:rsidRPr="009E06AA">
              <w:rPr>
                <w:color w:val="000000"/>
              </w:rPr>
              <w:t>Waste incineration and open burning (CH₄)</w:t>
            </w:r>
          </w:p>
        </w:tc>
        <w:tc>
          <w:tcPr>
            <w:tcW w:w="0" w:type="auto"/>
            <w:shd w:val="clear" w:color="auto" w:fill="FFFFFF"/>
            <w:tcMar>
              <w:top w:w="0" w:type="dxa"/>
              <w:left w:w="85" w:type="dxa"/>
              <w:bottom w:w="0" w:type="dxa"/>
              <w:right w:w="85" w:type="dxa"/>
            </w:tcMar>
          </w:tcPr>
          <w:p w14:paraId="338AF0B4" w14:textId="77777777" w:rsidR="00E87995" w:rsidRPr="009E06AA" w:rsidRDefault="00E87995" w:rsidP="00DB784A">
            <w:pPr>
              <w:pStyle w:val="TableText"/>
              <w:spacing w:before="40" w:after="40"/>
              <w:jc w:val="right"/>
            </w:pPr>
            <w:r w:rsidRPr="009E06AA">
              <w:rPr>
                <w:color w:val="000000"/>
              </w:rPr>
              <w:t>±50</w:t>
            </w:r>
          </w:p>
        </w:tc>
        <w:tc>
          <w:tcPr>
            <w:tcW w:w="0" w:type="auto"/>
            <w:shd w:val="clear" w:color="auto" w:fill="FFFFFF"/>
            <w:tcMar>
              <w:top w:w="0" w:type="dxa"/>
              <w:left w:w="85" w:type="dxa"/>
              <w:bottom w:w="0" w:type="dxa"/>
              <w:right w:w="85" w:type="dxa"/>
            </w:tcMar>
          </w:tcPr>
          <w:p w14:paraId="7440F511" w14:textId="77777777" w:rsidR="00E87995" w:rsidRPr="009E06AA" w:rsidRDefault="00E87995" w:rsidP="00DB784A">
            <w:pPr>
              <w:pStyle w:val="TableText"/>
              <w:spacing w:before="40" w:after="40"/>
              <w:jc w:val="right"/>
            </w:pPr>
            <w:r w:rsidRPr="009E06AA">
              <w:rPr>
                <w:color w:val="000000"/>
              </w:rPr>
              <w:t>±100</w:t>
            </w:r>
          </w:p>
        </w:tc>
      </w:tr>
      <w:tr w:rsidR="00E87995" w:rsidRPr="009E06AA" w14:paraId="67189B66" w14:textId="77777777" w:rsidTr="00B55F24">
        <w:tc>
          <w:tcPr>
            <w:tcW w:w="0" w:type="auto"/>
            <w:shd w:val="clear" w:color="auto" w:fill="FFFFFF"/>
            <w:tcMar>
              <w:top w:w="0" w:type="dxa"/>
              <w:left w:w="85" w:type="dxa"/>
              <w:bottom w:w="0" w:type="dxa"/>
              <w:right w:w="85" w:type="dxa"/>
            </w:tcMar>
          </w:tcPr>
          <w:p w14:paraId="424B77F0" w14:textId="77777777" w:rsidR="00E87995" w:rsidRPr="009E06AA" w:rsidRDefault="00E87995" w:rsidP="00B55F24">
            <w:pPr>
              <w:pStyle w:val="TableText"/>
              <w:spacing w:before="40" w:after="40"/>
            </w:pPr>
            <w:r w:rsidRPr="009E06AA">
              <w:rPr>
                <w:color w:val="000000"/>
              </w:rPr>
              <w:t>Waste incineration and open burning (N₂O)</w:t>
            </w:r>
          </w:p>
        </w:tc>
        <w:tc>
          <w:tcPr>
            <w:tcW w:w="0" w:type="auto"/>
            <w:shd w:val="clear" w:color="auto" w:fill="FFFFFF"/>
            <w:tcMar>
              <w:top w:w="0" w:type="dxa"/>
              <w:left w:w="85" w:type="dxa"/>
              <w:bottom w:w="0" w:type="dxa"/>
              <w:right w:w="85" w:type="dxa"/>
            </w:tcMar>
          </w:tcPr>
          <w:p w14:paraId="64450D60" w14:textId="77777777" w:rsidR="00E87995" w:rsidRPr="009E06AA" w:rsidRDefault="00E87995" w:rsidP="00DB784A">
            <w:pPr>
              <w:pStyle w:val="TableText"/>
              <w:spacing w:before="40" w:after="40"/>
              <w:jc w:val="right"/>
            </w:pPr>
            <w:r w:rsidRPr="009E06AA">
              <w:rPr>
                <w:color w:val="000000"/>
              </w:rPr>
              <w:t>±50</w:t>
            </w:r>
          </w:p>
        </w:tc>
        <w:tc>
          <w:tcPr>
            <w:tcW w:w="0" w:type="auto"/>
            <w:shd w:val="clear" w:color="auto" w:fill="FFFFFF"/>
            <w:tcMar>
              <w:top w:w="0" w:type="dxa"/>
              <w:left w:w="85" w:type="dxa"/>
              <w:bottom w:w="0" w:type="dxa"/>
              <w:right w:w="85" w:type="dxa"/>
            </w:tcMar>
          </w:tcPr>
          <w:p w14:paraId="481EF7E3" w14:textId="77777777" w:rsidR="00E87995" w:rsidRPr="009E06AA" w:rsidRDefault="00E87995" w:rsidP="00DB784A">
            <w:pPr>
              <w:pStyle w:val="TableText"/>
              <w:spacing w:before="40" w:after="40"/>
              <w:jc w:val="right"/>
            </w:pPr>
            <w:r w:rsidRPr="009E06AA">
              <w:rPr>
                <w:color w:val="000000"/>
              </w:rPr>
              <w:t>±100</w:t>
            </w:r>
          </w:p>
        </w:tc>
      </w:tr>
    </w:tbl>
    <w:p w14:paraId="360E9363" w14:textId="77777777" w:rsidR="00E87995" w:rsidRPr="009E06AA" w:rsidRDefault="00E87995" w:rsidP="00E87995">
      <w:pPr>
        <w:pStyle w:val="Heading4"/>
        <w:spacing w:before="360"/>
      </w:pPr>
      <w:bookmarkStart w:id="2964" w:name="time-series-consistency-2"/>
      <w:bookmarkEnd w:id="2958"/>
      <w:r w:rsidRPr="009E06AA">
        <w:t>Time-series consistency</w:t>
      </w:r>
    </w:p>
    <w:p w14:paraId="6839160D" w14:textId="77777777" w:rsidR="00E87995" w:rsidRPr="009E06AA" w:rsidRDefault="00E87995" w:rsidP="00E87995">
      <w:pPr>
        <w:pStyle w:val="BodyText"/>
      </w:pPr>
      <w:r w:rsidRPr="009E06AA">
        <w:t>Time-series consistency is ensured by the use of consistent models and parameters across the period. Where changes to methodologies or emission factors have occurred, a full time-series recalculation is conducted.</w:t>
      </w:r>
    </w:p>
    <w:p w14:paraId="710FEFCC" w14:textId="77777777" w:rsidR="00E87995" w:rsidRPr="009E06AA" w:rsidRDefault="00E87995" w:rsidP="00E87995">
      <w:pPr>
        <w:pStyle w:val="Heading3"/>
      </w:pPr>
      <w:bookmarkStart w:id="2965" w:name="_Toc160537245"/>
      <w:bookmarkStart w:id="2966" w:name="Xe4347421cfe7809aeeb148783aa8997fbdcb635"/>
      <w:bookmarkEnd w:id="2956"/>
      <w:bookmarkEnd w:id="2957"/>
      <w:bookmarkEnd w:id="2964"/>
      <w:r w:rsidRPr="009E06AA">
        <w:t xml:space="preserve">7.4.4 </w:t>
      </w:r>
      <w:r w:rsidRPr="009E06AA">
        <w:tab/>
        <w:t>Category-specific QA/QC and verification</w:t>
      </w:r>
      <w:bookmarkEnd w:id="2965"/>
    </w:p>
    <w:p w14:paraId="0B6F67B7" w14:textId="2E6EB2BA" w:rsidR="00E87995" w:rsidRPr="009E06AA" w:rsidRDefault="00E87995" w:rsidP="00E87995">
      <w:pPr>
        <w:pStyle w:val="BodyText"/>
      </w:pPr>
      <w:r w:rsidRPr="009E06AA">
        <w:t xml:space="preserve">Quality-assurance and quality-control checks are carried out where possible. Detailed quality-assurance and quality-control efforts for the Waste sector focus on the </w:t>
      </w:r>
      <w:r w:rsidRPr="009E06AA">
        <w:rPr>
          <w:i/>
          <w:iCs/>
        </w:rPr>
        <w:t>Solid waste disposal</w:t>
      </w:r>
      <w:r w:rsidRPr="009E06AA">
        <w:t xml:space="preserve"> to land and </w:t>
      </w:r>
      <w:r w:rsidRPr="009E06AA">
        <w:rPr>
          <w:i/>
          <w:iCs/>
        </w:rPr>
        <w:t>Wastewater treatment and discharge</w:t>
      </w:r>
      <w:r w:rsidRPr="009E06AA">
        <w:t xml:space="preserve"> categories. Activity data for the </w:t>
      </w:r>
      <w:r w:rsidRPr="009E06AA">
        <w:rPr>
          <w:i/>
          <w:iCs/>
        </w:rPr>
        <w:t>Open</w:t>
      </w:r>
      <w:r w:rsidRPr="009E06AA">
        <w:rPr>
          <w:i/>
        </w:rPr>
        <w:t xml:space="preserve"> burning</w:t>
      </w:r>
      <w:r w:rsidR="00300C1B" w:rsidRPr="009E06AA">
        <w:rPr>
          <w:i/>
        </w:rPr>
        <w:t xml:space="preserve"> of waste</w:t>
      </w:r>
      <w:r w:rsidRPr="009E06AA">
        <w:t xml:space="preserve"> category are derived from the landfill data.</w:t>
      </w:r>
    </w:p>
    <w:p w14:paraId="4BEA7BAC" w14:textId="77777777" w:rsidR="00E87995" w:rsidRPr="009E06AA" w:rsidRDefault="00E87995" w:rsidP="00E87995">
      <w:pPr>
        <w:pStyle w:val="Heading3"/>
      </w:pPr>
      <w:bookmarkStart w:id="2967" w:name="_Toc160537246"/>
      <w:bookmarkStart w:id="2968" w:name="category-specific-recalculations-2"/>
      <w:bookmarkEnd w:id="2966"/>
      <w:r w:rsidRPr="009E06AA">
        <w:t xml:space="preserve">7.4.5 </w:t>
      </w:r>
      <w:r w:rsidRPr="009E06AA">
        <w:tab/>
        <w:t>Category-specific recalculations</w:t>
      </w:r>
      <w:bookmarkEnd w:id="2967"/>
    </w:p>
    <w:p w14:paraId="7D97450E" w14:textId="77777777" w:rsidR="00E87995" w:rsidRPr="009E06AA" w:rsidRDefault="00E87995" w:rsidP="00E87995">
      <w:pPr>
        <w:pStyle w:val="BodyText"/>
      </w:pPr>
      <w:r w:rsidRPr="009E06AA">
        <w:t xml:space="preserve">Emissions from </w:t>
      </w:r>
      <w:r w:rsidRPr="009E06AA">
        <w:rPr>
          <w:i/>
          <w:iCs/>
        </w:rPr>
        <w:t>Incineration</w:t>
      </w:r>
      <w:r w:rsidRPr="009E06AA">
        <w:t xml:space="preserve"> remained the same in 1990 and 2022, compared with the previous submission.</w:t>
      </w:r>
    </w:p>
    <w:p w14:paraId="2F41268B" w14:textId="47A018E2" w:rsidR="00E87995" w:rsidRPr="009E06AA" w:rsidRDefault="00E87995" w:rsidP="00E87995">
      <w:pPr>
        <w:pStyle w:val="BodyText"/>
      </w:pPr>
      <w:r w:rsidRPr="009E06AA">
        <w:rPr>
          <w:spacing w:val="-2"/>
        </w:rPr>
        <w:t xml:space="preserve">Emissions from </w:t>
      </w:r>
      <w:r w:rsidRPr="009E06AA">
        <w:rPr>
          <w:i/>
          <w:iCs/>
          <w:spacing w:val="-2"/>
        </w:rPr>
        <w:t>Open burning</w:t>
      </w:r>
      <w:r w:rsidR="00642FAA" w:rsidRPr="009E06AA">
        <w:rPr>
          <w:i/>
          <w:iCs/>
          <w:spacing w:val="-2"/>
        </w:rPr>
        <w:t xml:space="preserve"> of waste</w:t>
      </w:r>
      <w:r w:rsidRPr="009E06AA">
        <w:rPr>
          <w:spacing w:val="-2"/>
        </w:rPr>
        <w:t xml:space="preserve"> decreased by 8.4 kt CO</w:t>
      </w:r>
      <w:r w:rsidRPr="009E06AA">
        <w:rPr>
          <w:spacing w:val="-2"/>
          <w:vertAlign w:val="subscript"/>
        </w:rPr>
        <w:t>2</w:t>
      </w:r>
      <w:r w:rsidRPr="009E06AA">
        <w:rPr>
          <w:spacing w:val="-2"/>
        </w:rPr>
        <w:t xml:space="preserve">-e (2.7 per cent) in 1990 and by 4.2 </w:t>
      </w:r>
      <w:r w:rsidRPr="009E06AA">
        <w:rPr>
          <w:spacing w:val="-4"/>
        </w:rPr>
        <w:t>kt CO</w:t>
      </w:r>
      <w:r w:rsidRPr="009E06AA">
        <w:rPr>
          <w:spacing w:val="-4"/>
          <w:vertAlign w:val="subscript"/>
        </w:rPr>
        <w:t>2</w:t>
      </w:r>
      <w:r w:rsidRPr="009E06AA">
        <w:rPr>
          <w:spacing w:val="-4"/>
        </w:rPr>
        <w:t>-e</w:t>
      </w:r>
      <w:r w:rsidRPr="009E06AA">
        <w:t xml:space="preserve"> (2.2 per cent) in 2021. This is attributed to a reduction in the total number of farm holdings throughout the time series.</w:t>
      </w:r>
    </w:p>
    <w:p w14:paraId="71707118" w14:textId="77777777" w:rsidR="00E87995" w:rsidRPr="009E06AA" w:rsidRDefault="00E87995" w:rsidP="00E87995">
      <w:pPr>
        <w:pStyle w:val="Heading3"/>
      </w:pPr>
      <w:bookmarkStart w:id="2969" w:name="_Toc160537247"/>
      <w:bookmarkStart w:id="2970" w:name="category-specific-planned-improvements-2"/>
      <w:bookmarkEnd w:id="2968"/>
      <w:r w:rsidRPr="009E06AA">
        <w:t xml:space="preserve">7.4.6 </w:t>
      </w:r>
      <w:r w:rsidRPr="009E06AA">
        <w:tab/>
        <w:t>Category-specific planned improvements</w:t>
      </w:r>
      <w:bookmarkEnd w:id="2969"/>
    </w:p>
    <w:p w14:paraId="01AF9451" w14:textId="2C3928C9" w:rsidR="00E87995" w:rsidRPr="009E06AA" w:rsidRDefault="00E87995" w:rsidP="00E87995">
      <w:pPr>
        <w:pStyle w:val="BodyText"/>
      </w:pPr>
      <w:r w:rsidRPr="009E06AA">
        <w:t xml:space="preserve">No specific improvements are planned for this category. Over time, surveys by local authorities on disposal of waste in the farm sector may provide a better understanding of open burning in the farm sector. Further work is needed to understand the ratio of farm waste disposed to open burning or landfills. Anecdotal evidence suggests that incineration of medical waste may be occurring at lower volumes than is assumed (M Geesink, Northland District Health Board, pers. comm., 11 November 2020). Changes will be made when evidence </w:t>
      </w:r>
      <w:r w:rsidRPr="009E06AA">
        <w:rPr>
          <w:spacing w:val="-2"/>
        </w:rPr>
        <w:t>becomes available to confirm this, noting that emissions from incineration are under 1 per cent</w:t>
      </w:r>
      <w:r w:rsidRPr="009E06AA">
        <w:t xml:space="preserve"> of the Waste sector and that other incineration sources (eg, rural schools) are currently not estimated.</w:t>
      </w:r>
    </w:p>
    <w:p w14:paraId="47D99ECC" w14:textId="77777777" w:rsidR="00E87995" w:rsidRPr="009E06AA" w:rsidRDefault="00E87995" w:rsidP="00E87995">
      <w:pPr>
        <w:pStyle w:val="Heading2"/>
      </w:pPr>
      <w:bookmarkStart w:id="2971" w:name="_Toc131591264"/>
      <w:bookmarkStart w:id="2972" w:name="_Toc160537248"/>
      <w:bookmarkStart w:id="2973" w:name="_Toc164154219"/>
      <w:bookmarkStart w:id="2974" w:name="wastewater-treatment-and-discharge-5.d"/>
      <w:bookmarkEnd w:id="2916"/>
      <w:bookmarkEnd w:id="2970"/>
      <w:r w:rsidRPr="009E06AA">
        <w:t xml:space="preserve">7.5 </w:t>
      </w:r>
      <w:r w:rsidRPr="009E06AA">
        <w:tab/>
        <w:t>Wastewater treatment and discharge (5.D)</w:t>
      </w:r>
      <w:bookmarkEnd w:id="2971"/>
      <w:bookmarkEnd w:id="2972"/>
      <w:bookmarkEnd w:id="2973"/>
    </w:p>
    <w:p w14:paraId="02ADDADF" w14:textId="77777777" w:rsidR="00E87995" w:rsidRPr="009E06AA" w:rsidRDefault="00E87995" w:rsidP="00E87995">
      <w:pPr>
        <w:pStyle w:val="Heading3"/>
        <w:spacing w:before="240"/>
      </w:pPr>
      <w:bookmarkStart w:id="2975" w:name="_Toc160537249"/>
      <w:bookmarkStart w:id="2976" w:name="description-3"/>
      <w:r w:rsidRPr="009E06AA">
        <w:t xml:space="preserve">7.5.1 </w:t>
      </w:r>
      <w:r w:rsidRPr="009E06AA">
        <w:tab/>
        <w:t>Description</w:t>
      </w:r>
      <w:bookmarkEnd w:id="2975"/>
    </w:p>
    <w:p w14:paraId="62B25090" w14:textId="77777777" w:rsidR="00E87995" w:rsidRPr="009E06AA" w:rsidRDefault="00E87995" w:rsidP="00E87995">
      <w:pPr>
        <w:pStyle w:val="BodyText"/>
      </w:pPr>
      <w:r w:rsidRPr="009E06AA">
        <w:t xml:space="preserve">In 2022, </w:t>
      </w:r>
      <w:r w:rsidRPr="009E06AA">
        <w:rPr>
          <w:i/>
          <w:iCs/>
        </w:rPr>
        <w:t>Wastewater treatment and discharge</w:t>
      </w:r>
      <w:r w:rsidRPr="009E06AA">
        <w:t xml:space="preserve"> contributed 395.0 kt CO</w:t>
      </w:r>
      <w:r w:rsidRPr="009E06AA">
        <w:rPr>
          <w:vertAlign w:val="subscript"/>
        </w:rPr>
        <w:t>2</w:t>
      </w:r>
      <w:r w:rsidRPr="009E06AA">
        <w:t>-e (11.3 per cent) of emissions from the Waste sector. This was an increase of 71.2 kt CO</w:t>
      </w:r>
      <w:r w:rsidRPr="009E06AA">
        <w:rPr>
          <w:vertAlign w:val="subscript"/>
        </w:rPr>
        <w:t>2</w:t>
      </w:r>
      <w:r w:rsidRPr="009E06AA">
        <w:t>-e (22.0 per cent) from the 1990 level of 323.8 kt CO</w:t>
      </w:r>
      <w:r w:rsidRPr="009E06AA">
        <w:rPr>
          <w:vertAlign w:val="subscript"/>
        </w:rPr>
        <w:t>2</w:t>
      </w:r>
      <w:r w:rsidRPr="009E06AA">
        <w:t>-e and is due to increases in the volume of industrial and domestic wastewater handled over this period.</w:t>
      </w:r>
    </w:p>
    <w:p w14:paraId="6DC97CF4" w14:textId="77777777" w:rsidR="00E87995" w:rsidRPr="009E06AA" w:rsidRDefault="00E87995" w:rsidP="00E87995">
      <w:pPr>
        <w:pStyle w:val="BodyText"/>
      </w:pPr>
      <w:r w:rsidRPr="009E06AA">
        <w:t xml:space="preserve">Small amounts of industrial wastewater are applied as organic amendments to agricultural soils, as well as an extremely small amount of sewage sludge (van der Weerden et al., 2014). </w:t>
      </w:r>
      <w:r w:rsidRPr="009E06AA">
        <w:rPr>
          <w:spacing w:val="-2"/>
        </w:rPr>
        <w:t>Any emissions from this practice are likely to be insignificant and are reported as ‘not estimated</w:t>
      </w:r>
      <w:r w:rsidRPr="009E06AA">
        <w:t xml:space="preserve">’ under the Agriculture sector (see chapter 5, section 5.5.2). Table 7.5.1 presents emissions from </w:t>
      </w:r>
      <w:r w:rsidRPr="009E06AA">
        <w:rPr>
          <w:i/>
          <w:iCs/>
        </w:rPr>
        <w:t>Wastewater treatment and discharge</w:t>
      </w:r>
      <w:r w:rsidRPr="009E06AA">
        <w:t>.</w:t>
      </w:r>
    </w:p>
    <w:p w14:paraId="65CB88E9" w14:textId="77777777" w:rsidR="00E87995" w:rsidRPr="009E06AA" w:rsidRDefault="00E87995" w:rsidP="00E87995">
      <w:pPr>
        <w:pStyle w:val="BodyText"/>
      </w:pPr>
      <w:r w:rsidRPr="009E06AA">
        <w:t xml:space="preserve">Sludge amounts are reported as included elsewhere (IE) for domestic and industrial wastewater because most of the sludge is sent to landfills, and activity data and emissions from its disposal are reported in the </w:t>
      </w:r>
      <w:r w:rsidRPr="009E06AA">
        <w:rPr>
          <w:i/>
          <w:iCs/>
        </w:rPr>
        <w:t>Solid waste</w:t>
      </w:r>
      <w:r w:rsidRPr="009E06AA">
        <w:t xml:space="preserve"> </w:t>
      </w:r>
      <w:r w:rsidRPr="009E06AA">
        <w:rPr>
          <w:i/>
          <w:iCs/>
        </w:rPr>
        <w:t>disposal</w:t>
      </w:r>
      <w:r w:rsidRPr="009E06AA">
        <w:t xml:space="preserve"> source category (Tonkin and Taylor Ltd, unpublished(a)).</w:t>
      </w:r>
    </w:p>
    <w:p w14:paraId="4C503E9E" w14:textId="77777777" w:rsidR="00E87995" w:rsidRPr="009E06AA" w:rsidRDefault="00E87995" w:rsidP="00E87995">
      <w:pPr>
        <w:pStyle w:val="Table"/>
      </w:pPr>
      <w:bookmarkStart w:id="2977" w:name="_Toc128383679"/>
      <w:bookmarkStart w:id="2978" w:name="_Toc131591452"/>
      <w:bookmarkStart w:id="2979" w:name="_Toc160537331"/>
      <w:bookmarkStart w:id="2980" w:name="_Toc160537693"/>
      <w:bookmarkStart w:id="2981" w:name="_Toc164153943"/>
      <w:r w:rsidRPr="009E06AA">
        <w:t>Table 7.5.1</w:t>
      </w:r>
      <w:r w:rsidRPr="009E06AA">
        <w:tab/>
        <w:t xml:space="preserve">Emissions from </w:t>
      </w:r>
      <w:r w:rsidRPr="009E06AA">
        <w:rPr>
          <w:i/>
          <w:iCs/>
        </w:rPr>
        <w:t>Wastewater treatment and discharge</w:t>
      </w:r>
      <w:r w:rsidRPr="009E06AA">
        <w:t xml:space="preserve"> (5.D)</w:t>
      </w:r>
      <w:bookmarkEnd w:id="2977"/>
      <w:bookmarkEnd w:id="2978"/>
      <w:bookmarkEnd w:id="2979"/>
      <w:bookmarkEnd w:id="2980"/>
      <w:bookmarkEnd w:id="2981"/>
    </w:p>
    <w:tbl>
      <w:tblPr>
        <w:tblW w:w="8505" w:type="dxa"/>
        <w:tblBorders>
          <w:top w:val="single" w:sz="4" w:space="0" w:color="1B556B" w:themeColor="text2"/>
          <w:bottom w:val="single" w:sz="4" w:space="0" w:color="1B556B" w:themeColor="text2"/>
          <w:insideH w:val="single" w:sz="4" w:space="0" w:color="1B556B" w:themeColor="text2"/>
        </w:tblBorders>
        <w:tblLook w:val="0420" w:firstRow="1" w:lastRow="0" w:firstColumn="0" w:lastColumn="0" w:noHBand="0" w:noVBand="1"/>
      </w:tblPr>
      <w:tblGrid>
        <w:gridCol w:w="2913"/>
        <w:gridCol w:w="1060"/>
        <w:gridCol w:w="1060"/>
        <w:gridCol w:w="2180"/>
        <w:gridCol w:w="1292"/>
      </w:tblGrid>
      <w:tr w:rsidR="00E87995" w:rsidRPr="009E06AA" w14:paraId="0D33732A" w14:textId="77777777" w:rsidTr="00B55F24">
        <w:trPr>
          <w:tblHeader/>
        </w:trPr>
        <w:tc>
          <w:tcPr>
            <w:tcW w:w="0" w:type="auto"/>
            <w:shd w:val="clear" w:color="auto" w:fill="1B556B"/>
            <w:tcMar>
              <w:top w:w="0" w:type="dxa"/>
              <w:left w:w="85" w:type="dxa"/>
              <w:bottom w:w="0" w:type="dxa"/>
              <w:right w:w="85" w:type="dxa"/>
            </w:tcMar>
          </w:tcPr>
          <w:p w14:paraId="3D7F036C" w14:textId="77777777" w:rsidR="00E87995" w:rsidRPr="009E06AA" w:rsidRDefault="00E87995" w:rsidP="00B55F24">
            <w:pPr>
              <w:pStyle w:val="TableTextBold"/>
              <w:spacing w:before="40" w:after="40"/>
              <w:rPr>
                <w:noProof w:val="0"/>
                <w:color w:val="FFFFFF" w:themeColor="background1"/>
              </w:rPr>
            </w:pPr>
            <w:r w:rsidRPr="009E06AA">
              <w:rPr>
                <w:noProof w:val="0"/>
                <w:color w:val="FFFFFF" w:themeColor="background1"/>
              </w:rPr>
              <w:t xml:space="preserve"> </w:t>
            </w:r>
          </w:p>
        </w:tc>
        <w:tc>
          <w:tcPr>
            <w:tcW w:w="0" w:type="auto"/>
            <w:gridSpan w:val="2"/>
            <w:shd w:val="clear" w:color="auto" w:fill="1B556B"/>
            <w:tcMar>
              <w:top w:w="0" w:type="dxa"/>
              <w:left w:w="85" w:type="dxa"/>
              <w:bottom w:w="0" w:type="dxa"/>
              <w:right w:w="85" w:type="dxa"/>
            </w:tcMar>
          </w:tcPr>
          <w:p w14:paraId="4CB31FC6" w14:textId="77777777" w:rsidR="00E87995" w:rsidRPr="009E06AA" w:rsidRDefault="00E87995" w:rsidP="00DB784A">
            <w:pPr>
              <w:pStyle w:val="TableTextBold"/>
              <w:spacing w:before="40" w:after="40"/>
              <w:jc w:val="right"/>
              <w:rPr>
                <w:noProof w:val="0"/>
                <w:color w:val="FFFFFF" w:themeColor="background1"/>
              </w:rPr>
            </w:pPr>
            <w:r w:rsidRPr="009E06AA">
              <w:rPr>
                <w:noProof w:val="0"/>
                <w:color w:val="FFFFFF" w:themeColor="background1"/>
              </w:rPr>
              <w:t>Emissions (kt CO₂-e)</w:t>
            </w:r>
          </w:p>
        </w:tc>
        <w:tc>
          <w:tcPr>
            <w:tcW w:w="0" w:type="auto"/>
            <w:shd w:val="clear" w:color="auto" w:fill="1B556B"/>
            <w:tcMar>
              <w:top w:w="0" w:type="dxa"/>
              <w:left w:w="85" w:type="dxa"/>
              <w:bottom w:w="0" w:type="dxa"/>
              <w:right w:w="85" w:type="dxa"/>
            </w:tcMar>
          </w:tcPr>
          <w:p w14:paraId="0ED6CB18" w14:textId="77777777" w:rsidR="00E87995" w:rsidRPr="009E06AA" w:rsidRDefault="00E87995" w:rsidP="00DB784A">
            <w:pPr>
              <w:pStyle w:val="TableTextBold"/>
              <w:spacing w:before="40" w:after="40"/>
              <w:jc w:val="right"/>
              <w:rPr>
                <w:noProof w:val="0"/>
                <w:color w:val="FFFFFF" w:themeColor="background1"/>
              </w:rPr>
            </w:pPr>
            <w:r w:rsidRPr="009E06AA">
              <w:rPr>
                <w:noProof w:val="0"/>
                <w:color w:val="FFFFFF" w:themeColor="background1"/>
              </w:rPr>
              <w:t>Difference (kt CO₂-e)</w:t>
            </w:r>
          </w:p>
        </w:tc>
        <w:tc>
          <w:tcPr>
            <w:tcW w:w="0" w:type="auto"/>
            <w:shd w:val="clear" w:color="auto" w:fill="1B556B"/>
            <w:tcMar>
              <w:top w:w="0" w:type="dxa"/>
              <w:left w:w="85" w:type="dxa"/>
              <w:bottom w:w="0" w:type="dxa"/>
              <w:right w:w="85" w:type="dxa"/>
            </w:tcMar>
          </w:tcPr>
          <w:p w14:paraId="613A1B3A" w14:textId="77777777" w:rsidR="00E87995" w:rsidRPr="009E06AA" w:rsidRDefault="00E87995" w:rsidP="00DB784A">
            <w:pPr>
              <w:pStyle w:val="TableTextBold"/>
              <w:spacing w:before="40" w:after="40"/>
              <w:jc w:val="right"/>
              <w:rPr>
                <w:noProof w:val="0"/>
                <w:color w:val="FFFFFF" w:themeColor="background1"/>
              </w:rPr>
            </w:pPr>
            <w:r w:rsidRPr="009E06AA">
              <w:rPr>
                <w:noProof w:val="0"/>
                <w:color w:val="FFFFFF" w:themeColor="background1"/>
              </w:rPr>
              <w:t>Change (%)</w:t>
            </w:r>
          </w:p>
        </w:tc>
      </w:tr>
      <w:tr w:rsidR="004329D3" w:rsidRPr="004329D3" w14:paraId="1742140E" w14:textId="77777777" w:rsidTr="00B55F24">
        <w:tc>
          <w:tcPr>
            <w:tcW w:w="0" w:type="auto"/>
            <w:shd w:val="clear" w:color="auto" w:fill="FFFFFF"/>
            <w:tcMar>
              <w:top w:w="0" w:type="dxa"/>
              <w:left w:w="85" w:type="dxa"/>
              <w:bottom w:w="0" w:type="dxa"/>
              <w:right w:w="85" w:type="dxa"/>
            </w:tcMar>
          </w:tcPr>
          <w:p w14:paraId="09D5C5BD" w14:textId="77777777" w:rsidR="00E87995" w:rsidRPr="004329D3" w:rsidRDefault="00E87995" w:rsidP="00B55F24">
            <w:pPr>
              <w:pStyle w:val="TableText"/>
              <w:spacing w:before="40" w:after="40"/>
              <w:rPr>
                <w:b/>
                <w:bCs/>
                <w:color w:val="1B556B" w:themeColor="text2"/>
              </w:rPr>
            </w:pPr>
            <w:r w:rsidRPr="004329D3">
              <w:rPr>
                <w:b/>
                <w:bCs/>
                <w:color w:val="1B556B" w:themeColor="text2"/>
              </w:rPr>
              <w:t>Source category</w:t>
            </w:r>
          </w:p>
        </w:tc>
        <w:tc>
          <w:tcPr>
            <w:tcW w:w="0" w:type="auto"/>
            <w:shd w:val="clear" w:color="auto" w:fill="FFFFFF"/>
            <w:tcMar>
              <w:top w:w="0" w:type="dxa"/>
              <w:left w:w="85" w:type="dxa"/>
              <w:bottom w:w="0" w:type="dxa"/>
              <w:right w:w="85" w:type="dxa"/>
            </w:tcMar>
          </w:tcPr>
          <w:p w14:paraId="690F8EF7" w14:textId="77777777" w:rsidR="00E87995" w:rsidRPr="004329D3" w:rsidRDefault="00E87995" w:rsidP="00DB784A">
            <w:pPr>
              <w:pStyle w:val="TableText"/>
              <w:spacing w:before="40" w:after="40"/>
              <w:jc w:val="right"/>
              <w:rPr>
                <w:b/>
                <w:bCs/>
                <w:color w:val="1B556B" w:themeColor="text2"/>
              </w:rPr>
            </w:pPr>
            <w:r w:rsidRPr="004329D3">
              <w:rPr>
                <w:b/>
                <w:bCs/>
                <w:color w:val="1B556B" w:themeColor="text2"/>
              </w:rPr>
              <w:t>1990</w:t>
            </w:r>
          </w:p>
        </w:tc>
        <w:tc>
          <w:tcPr>
            <w:tcW w:w="0" w:type="auto"/>
            <w:shd w:val="clear" w:color="auto" w:fill="FFFFFF"/>
            <w:tcMar>
              <w:top w:w="0" w:type="dxa"/>
              <w:left w:w="85" w:type="dxa"/>
              <w:bottom w:w="0" w:type="dxa"/>
              <w:right w:w="85" w:type="dxa"/>
            </w:tcMar>
          </w:tcPr>
          <w:p w14:paraId="14EC997C" w14:textId="77777777" w:rsidR="00E87995" w:rsidRPr="004329D3" w:rsidRDefault="00E87995" w:rsidP="00DB784A">
            <w:pPr>
              <w:pStyle w:val="TableText"/>
              <w:spacing w:before="40" w:after="40"/>
              <w:jc w:val="right"/>
              <w:rPr>
                <w:b/>
                <w:bCs/>
                <w:color w:val="1B556B" w:themeColor="text2"/>
              </w:rPr>
            </w:pPr>
            <w:r w:rsidRPr="004329D3">
              <w:rPr>
                <w:rFonts w:eastAsia="Calibri" w:cs="Calibri"/>
                <w:b/>
                <w:bCs/>
                <w:color w:val="1B556B" w:themeColor="text2"/>
                <w:szCs w:val="16"/>
              </w:rPr>
              <w:t>2022</w:t>
            </w:r>
          </w:p>
        </w:tc>
        <w:tc>
          <w:tcPr>
            <w:tcW w:w="0" w:type="auto"/>
            <w:shd w:val="clear" w:color="auto" w:fill="FFFFFF"/>
            <w:tcMar>
              <w:top w:w="0" w:type="dxa"/>
              <w:left w:w="85" w:type="dxa"/>
              <w:bottom w:w="0" w:type="dxa"/>
              <w:right w:w="85" w:type="dxa"/>
            </w:tcMar>
          </w:tcPr>
          <w:p w14:paraId="53C8F845" w14:textId="77777777" w:rsidR="00E87995" w:rsidRPr="004329D3" w:rsidRDefault="00E87995" w:rsidP="00DB784A">
            <w:pPr>
              <w:pStyle w:val="TableText"/>
              <w:spacing w:before="40" w:after="40"/>
              <w:jc w:val="right"/>
              <w:rPr>
                <w:b/>
                <w:bCs/>
                <w:color w:val="1B556B" w:themeColor="text2"/>
              </w:rPr>
            </w:pPr>
            <w:r w:rsidRPr="004329D3">
              <w:rPr>
                <w:b/>
                <w:bCs/>
                <w:color w:val="1B556B" w:themeColor="text2"/>
              </w:rPr>
              <w:t>1990–</w:t>
            </w:r>
            <w:r w:rsidRPr="004329D3">
              <w:rPr>
                <w:rFonts w:eastAsia="Calibri" w:cs="Calibri"/>
                <w:b/>
                <w:bCs/>
                <w:color w:val="1B556B" w:themeColor="text2"/>
                <w:szCs w:val="16"/>
              </w:rPr>
              <w:t>2022</w:t>
            </w:r>
          </w:p>
        </w:tc>
        <w:tc>
          <w:tcPr>
            <w:tcW w:w="0" w:type="auto"/>
            <w:shd w:val="clear" w:color="auto" w:fill="FFFFFF"/>
            <w:tcMar>
              <w:top w:w="0" w:type="dxa"/>
              <w:left w:w="85" w:type="dxa"/>
              <w:bottom w:w="0" w:type="dxa"/>
              <w:right w:w="85" w:type="dxa"/>
            </w:tcMar>
          </w:tcPr>
          <w:p w14:paraId="5FE9612E" w14:textId="77777777" w:rsidR="00E87995" w:rsidRPr="004329D3" w:rsidRDefault="00E87995" w:rsidP="00DB784A">
            <w:pPr>
              <w:pStyle w:val="TableText"/>
              <w:spacing w:before="40" w:after="40"/>
              <w:jc w:val="right"/>
              <w:rPr>
                <w:b/>
                <w:bCs/>
                <w:color w:val="1B556B" w:themeColor="text2"/>
              </w:rPr>
            </w:pPr>
            <w:r w:rsidRPr="004329D3">
              <w:rPr>
                <w:b/>
                <w:bCs/>
                <w:color w:val="1B556B" w:themeColor="text2"/>
              </w:rPr>
              <w:t>1990–</w:t>
            </w:r>
            <w:r w:rsidRPr="004329D3">
              <w:rPr>
                <w:rFonts w:eastAsia="Calibri" w:cs="Calibri"/>
                <w:b/>
                <w:bCs/>
                <w:color w:val="1B556B" w:themeColor="text2"/>
                <w:szCs w:val="16"/>
              </w:rPr>
              <w:t>2022</w:t>
            </w:r>
          </w:p>
        </w:tc>
      </w:tr>
      <w:tr w:rsidR="00E87995" w:rsidRPr="009E06AA" w14:paraId="516F5B43" w14:textId="77777777" w:rsidTr="00B55F24">
        <w:tc>
          <w:tcPr>
            <w:tcW w:w="0" w:type="auto"/>
            <w:shd w:val="clear" w:color="auto" w:fill="FFFFFF"/>
            <w:tcMar>
              <w:top w:w="0" w:type="dxa"/>
              <w:left w:w="85" w:type="dxa"/>
              <w:bottom w:w="0" w:type="dxa"/>
              <w:right w:w="85" w:type="dxa"/>
            </w:tcMar>
          </w:tcPr>
          <w:p w14:paraId="5D08179A" w14:textId="77777777" w:rsidR="00E87995" w:rsidRPr="009E06AA" w:rsidRDefault="00E87995" w:rsidP="00B55F24">
            <w:pPr>
              <w:pStyle w:val="TableText"/>
              <w:spacing w:before="40" w:after="40"/>
            </w:pPr>
            <w:r w:rsidRPr="009E06AA">
              <w:rPr>
                <w:color w:val="000000"/>
              </w:rPr>
              <w:t>Domestic wastewater (5.D.1)</w:t>
            </w:r>
          </w:p>
        </w:tc>
        <w:tc>
          <w:tcPr>
            <w:tcW w:w="0" w:type="auto"/>
            <w:shd w:val="clear" w:color="auto" w:fill="FFFFFF"/>
            <w:tcMar>
              <w:top w:w="0" w:type="dxa"/>
              <w:left w:w="85" w:type="dxa"/>
              <w:bottom w:w="0" w:type="dxa"/>
              <w:right w:w="85" w:type="dxa"/>
            </w:tcMar>
          </w:tcPr>
          <w:p w14:paraId="1A7E69D5" w14:textId="77777777" w:rsidR="00E87995" w:rsidRPr="009E06AA" w:rsidRDefault="00E87995" w:rsidP="00DB784A">
            <w:pPr>
              <w:pStyle w:val="TableText"/>
              <w:spacing w:before="40" w:after="40"/>
              <w:jc w:val="right"/>
            </w:pPr>
            <w:r w:rsidRPr="009E06AA">
              <w:rPr>
                <w:rFonts w:eastAsia="Calibri" w:cs="Calibri"/>
                <w:color w:val="000000"/>
                <w:szCs w:val="16"/>
              </w:rPr>
              <w:t>222.9</w:t>
            </w:r>
          </w:p>
        </w:tc>
        <w:tc>
          <w:tcPr>
            <w:tcW w:w="0" w:type="auto"/>
            <w:shd w:val="clear" w:color="auto" w:fill="FFFFFF"/>
            <w:tcMar>
              <w:top w:w="0" w:type="dxa"/>
              <w:left w:w="85" w:type="dxa"/>
              <w:bottom w:w="0" w:type="dxa"/>
              <w:right w:w="85" w:type="dxa"/>
            </w:tcMar>
          </w:tcPr>
          <w:p w14:paraId="7EAEBFA8" w14:textId="77777777" w:rsidR="00E87995" w:rsidRPr="009E06AA" w:rsidRDefault="00E87995" w:rsidP="00DB784A">
            <w:pPr>
              <w:pStyle w:val="TableText"/>
              <w:spacing w:before="40" w:after="40"/>
              <w:jc w:val="right"/>
            </w:pPr>
            <w:r w:rsidRPr="009E06AA">
              <w:rPr>
                <w:rFonts w:eastAsia="Calibri" w:cs="Calibri"/>
                <w:color w:val="000000"/>
                <w:szCs w:val="16"/>
              </w:rPr>
              <w:t>287.8</w:t>
            </w:r>
          </w:p>
        </w:tc>
        <w:tc>
          <w:tcPr>
            <w:tcW w:w="0" w:type="auto"/>
            <w:shd w:val="clear" w:color="auto" w:fill="FFFFFF"/>
            <w:tcMar>
              <w:top w:w="0" w:type="dxa"/>
              <w:left w:w="85" w:type="dxa"/>
              <w:bottom w:w="0" w:type="dxa"/>
              <w:right w:w="85" w:type="dxa"/>
            </w:tcMar>
          </w:tcPr>
          <w:p w14:paraId="10FB817A" w14:textId="77777777" w:rsidR="00E87995" w:rsidRPr="009E06AA" w:rsidRDefault="00E87995" w:rsidP="00DB784A">
            <w:pPr>
              <w:pStyle w:val="TableText"/>
              <w:spacing w:before="40" w:after="40"/>
              <w:jc w:val="right"/>
            </w:pPr>
            <w:r w:rsidRPr="009E06AA">
              <w:rPr>
                <w:rFonts w:eastAsia="Calibri" w:cs="Calibri"/>
                <w:color w:val="000000"/>
                <w:szCs w:val="16"/>
              </w:rPr>
              <w:t>65.0</w:t>
            </w:r>
          </w:p>
        </w:tc>
        <w:tc>
          <w:tcPr>
            <w:tcW w:w="0" w:type="auto"/>
            <w:shd w:val="clear" w:color="auto" w:fill="FFFFFF"/>
            <w:tcMar>
              <w:top w:w="0" w:type="dxa"/>
              <w:left w:w="85" w:type="dxa"/>
              <w:bottom w:w="0" w:type="dxa"/>
              <w:right w:w="85" w:type="dxa"/>
            </w:tcMar>
          </w:tcPr>
          <w:p w14:paraId="1BA2D919" w14:textId="77777777" w:rsidR="00E87995" w:rsidRPr="009E06AA" w:rsidRDefault="00E87995" w:rsidP="00DB784A">
            <w:pPr>
              <w:pStyle w:val="TableText"/>
              <w:spacing w:before="40" w:after="40"/>
              <w:jc w:val="right"/>
            </w:pPr>
            <w:r w:rsidRPr="009E06AA">
              <w:rPr>
                <w:color w:val="000000"/>
              </w:rPr>
              <w:t>29.</w:t>
            </w:r>
            <w:r w:rsidRPr="009E06AA">
              <w:rPr>
                <w:rFonts w:eastAsia="Calibri" w:cs="Calibri"/>
                <w:color w:val="000000"/>
                <w:szCs w:val="16"/>
              </w:rPr>
              <w:t>2</w:t>
            </w:r>
          </w:p>
        </w:tc>
      </w:tr>
      <w:tr w:rsidR="00E87995" w:rsidRPr="009E06AA" w14:paraId="1D775D94" w14:textId="77777777" w:rsidTr="00B55F24">
        <w:tc>
          <w:tcPr>
            <w:tcW w:w="0" w:type="auto"/>
            <w:shd w:val="clear" w:color="auto" w:fill="FFFFFF"/>
            <w:tcMar>
              <w:top w:w="0" w:type="dxa"/>
              <w:left w:w="85" w:type="dxa"/>
              <w:bottom w:w="0" w:type="dxa"/>
              <w:right w:w="85" w:type="dxa"/>
            </w:tcMar>
          </w:tcPr>
          <w:p w14:paraId="380D089C" w14:textId="77777777" w:rsidR="00E87995" w:rsidRPr="009E06AA" w:rsidRDefault="00E87995" w:rsidP="00B55F24">
            <w:pPr>
              <w:pStyle w:val="TableText"/>
              <w:spacing w:before="40" w:after="40"/>
            </w:pPr>
            <w:r w:rsidRPr="009E06AA">
              <w:rPr>
                <w:color w:val="000000"/>
              </w:rPr>
              <w:t>Industrial wastewater (5.D.2)</w:t>
            </w:r>
          </w:p>
        </w:tc>
        <w:tc>
          <w:tcPr>
            <w:tcW w:w="0" w:type="auto"/>
            <w:shd w:val="clear" w:color="auto" w:fill="FFFFFF"/>
            <w:tcMar>
              <w:top w:w="0" w:type="dxa"/>
              <w:left w:w="85" w:type="dxa"/>
              <w:bottom w:w="0" w:type="dxa"/>
              <w:right w:w="85" w:type="dxa"/>
            </w:tcMar>
          </w:tcPr>
          <w:p w14:paraId="67101865" w14:textId="77777777" w:rsidR="00E87995" w:rsidRPr="009E06AA" w:rsidRDefault="00E87995" w:rsidP="00DB784A">
            <w:pPr>
              <w:pStyle w:val="TableText"/>
              <w:spacing w:before="40" w:after="40"/>
              <w:jc w:val="right"/>
            </w:pPr>
            <w:r w:rsidRPr="009E06AA">
              <w:rPr>
                <w:rFonts w:eastAsia="Calibri" w:cs="Calibri"/>
                <w:color w:val="000000"/>
                <w:szCs w:val="16"/>
              </w:rPr>
              <w:t>100.9</w:t>
            </w:r>
          </w:p>
        </w:tc>
        <w:tc>
          <w:tcPr>
            <w:tcW w:w="0" w:type="auto"/>
            <w:shd w:val="clear" w:color="auto" w:fill="FFFFFF"/>
            <w:tcMar>
              <w:top w:w="0" w:type="dxa"/>
              <w:left w:w="85" w:type="dxa"/>
              <w:bottom w:w="0" w:type="dxa"/>
              <w:right w:w="85" w:type="dxa"/>
            </w:tcMar>
          </w:tcPr>
          <w:p w14:paraId="6F84BEB8" w14:textId="77777777" w:rsidR="00E87995" w:rsidRPr="009E06AA" w:rsidRDefault="00E87995" w:rsidP="00DB784A">
            <w:pPr>
              <w:pStyle w:val="TableText"/>
              <w:spacing w:before="40" w:after="40"/>
              <w:jc w:val="right"/>
            </w:pPr>
            <w:r w:rsidRPr="009E06AA">
              <w:rPr>
                <w:rFonts w:eastAsia="Calibri" w:cs="Calibri"/>
                <w:color w:val="000000"/>
                <w:szCs w:val="16"/>
              </w:rPr>
              <w:t>107.2</w:t>
            </w:r>
          </w:p>
        </w:tc>
        <w:tc>
          <w:tcPr>
            <w:tcW w:w="0" w:type="auto"/>
            <w:shd w:val="clear" w:color="auto" w:fill="FFFFFF"/>
            <w:tcMar>
              <w:top w:w="0" w:type="dxa"/>
              <w:left w:w="85" w:type="dxa"/>
              <w:bottom w:w="0" w:type="dxa"/>
              <w:right w:w="85" w:type="dxa"/>
            </w:tcMar>
          </w:tcPr>
          <w:p w14:paraId="5295857D" w14:textId="77777777" w:rsidR="00E87995" w:rsidRPr="009E06AA" w:rsidRDefault="00E87995" w:rsidP="00DB784A">
            <w:pPr>
              <w:pStyle w:val="TableText"/>
              <w:spacing w:before="40" w:after="40"/>
              <w:jc w:val="right"/>
            </w:pPr>
            <w:r w:rsidRPr="009E06AA">
              <w:rPr>
                <w:rFonts w:eastAsia="Calibri" w:cs="Calibri"/>
                <w:color w:val="000000"/>
                <w:szCs w:val="16"/>
              </w:rPr>
              <w:t>6.2</w:t>
            </w:r>
          </w:p>
        </w:tc>
        <w:tc>
          <w:tcPr>
            <w:tcW w:w="0" w:type="auto"/>
            <w:shd w:val="clear" w:color="auto" w:fill="FFFFFF"/>
            <w:tcMar>
              <w:top w:w="0" w:type="dxa"/>
              <w:left w:w="85" w:type="dxa"/>
              <w:bottom w:w="0" w:type="dxa"/>
              <w:right w:w="85" w:type="dxa"/>
            </w:tcMar>
          </w:tcPr>
          <w:p w14:paraId="4D2EF4EF" w14:textId="77777777" w:rsidR="00E87995" w:rsidRPr="009E06AA" w:rsidRDefault="00E87995" w:rsidP="00DB784A">
            <w:pPr>
              <w:pStyle w:val="TableText"/>
              <w:spacing w:before="40" w:after="40"/>
              <w:jc w:val="right"/>
            </w:pPr>
            <w:r w:rsidRPr="009E06AA">
              <w:rPr>
                <w:color w:val="000000"/>
              </w:rPr>
              <w:t>6</w:t>
            </w:r>
            <w:r w:rsidRPr="009E06AA">
              <w:rPr>
                <w:rFonts w:eastAsia="Calibri" w:cs="Calibri"/>
                <w:color w:val="000000"/>
                <w:szCs w:val="16"/>
              </w:rPr>
              <w:t>.2</w:t>
            </w:r>
          </w:p>
        </w:tc>
      </w:tr>
      <w:tr w:rsidR="00E87995" w:rsidRPr="009E06AA" w14:paraId="7FDCF566" w14:textId="77777777" w:rsidTr="00B55F24">
        <w:tc>
          <w:tcPr>
            <w:tcW w:w="0" w:type="auto"/>
            <w:shd w:val="clear" w:color="auto" w:fill="FFFFFF"/>
            <w:tcMar>
              <w:top w:w="0" w:type="dxa"/>
              <w:left w:w="85" w:type="dxa"/>
              <w:bottom w:w="0" w:type="dxa"/>
              <w:right w:w="85" w:type="dxa"/>
            </w:tcMar>
          </w:tcPr>
          <w:p w14:paraId="074DA7B3" w14:textId="77777777" w:rsidR="00E87995" w:rsidRPr="009E06AA" w:rsidRDefault="00E87995" w:rsidP="00B55F24">
            <w:pPr>
              <w:pStyle w:val="Tableboldblue"/>
              <w:spacing w:before="40" w:after="40"/>
            </w:pPr>
            <w:r w:rsidRPr="009E06AA">
              <w:t>Total (5.D)</w:t>
            </w:r>
          </w:p>
        </w:tc>
        <w:tc>
          <w:tcPr>
            <w:tcW w:w="0" w:type="auto"/>
            <w:shd w:val="clear" w:color="auto" w:fill="FFFFFF"/>
            <w:tcMar>
              <w:top w:w="0" w:type="dxa"/>
              <w:left w:w="85" w:type="dxa"/>
              <w:bottom w:w="0" w:type="dxa"/>
              <w:right w:w="85" w:type="dxa"/>
            </w:tcMar>
          </w:tcPr>
          <w:p w14:paraId="49272298" w14:textId="77777777" w:rsidR="00E87995" w:rsidRPr="009E06AA" w:rsidRDefault="00E87995" w:rsidP="00DB784A">
            <w:pPr>
              <w:pStyle w:val="Tableboldblue"/>
              <w:spacing w:before="40" w:after="40"/>
              <w:jc w:val="right"/>
            </w:pPr>
            <w:r w:rsidRPr="009E06AA">
              <w:rPr>
                <w:rFonts w:eastAsia="Calibri" w:cs="Calibri"/>
                <w:szCs w:val="16"/>
              </w:rPr>
              <w:t>323.8</w:t>
            </w:r>
          </w:p>
        </w:tc>
        <w:tc>
          <w:tcPr>
            <w:tcW w:w="0" w:type="auto"/>
            <w:shd w:val="clear" w:color="auto" w:fill="FFFFFF"/>
            <w:tcMar>
              <w:top w:w="0" w:type="dxa"/>
              <w:left w:w="85" w:type="dxa"/>
              <w:bottom w:w="0" w:type="dxa"/>
              <w:right w:w="85" w:type="dxa"/>
            </w:tcMar>
          </w:tcPr>
          <w:p w14:paraId="7D66ED44" w14:textId="77777777" w:rsidR="00E87995" w:rsidRPr="009E06AA" w:rsidRDefault="00E87995" w:rsidP="00DB784A">
            <w:pPr>
              <w:pStyle w:val="Tableboldblue"/>
              <w:spacing w:before="40" w:after="40"/>
              <w:jc w:val="right"/>
            </w:pPr>
            <w:r w:rsidRPr="009E06AA">
              <w:rPr>
                <w:rFonts w:eastAsia="Calibri" w:cs="Calibri"/>
                <w:szCs w:val="16"/>
              </w:rPr>
              <w:t>395.0</w:t>
            </w:r>
          </w:p>
        </w:tc>
        <w:tc>
          <w:tcPr>
            <w:tcW w:w="0" w:type="auto"/>
            <w:shd w:val="clear" w:color="auto" w:fill="FFFFFF"/>
            <w:tcMar>
              <w:top w:w="0" w:type="dxa"/>
              <w:left w:w="85" w:type="dxa"/>
              <w:bottom w:w="0" w:type="dxa"/>
              <w:right w:w="85" w:type="dxa"/>
            </w:tcMar>
          </w:tcPr>
          <w:p w14:paraId="70A957EA" w14:textId="77777777" w:rsidR="00E87995" w:rsidRPr="009E06AA" w:rsidRDefault="00E87995" w:rsidP="00DB784A">
            <w:pPr>
              <w:pStyle w:val="Tableboldblue"/>
              <w:spacing w:before="40" w:after="40"/>
              <w:jc w:val="right"/>
            </w:pPr>
            <w:r w:rsidRPr="009E06AA">
              <w:t>71.</w:t>
            </w:r>
            <w:r w:rsidRPr="009E06AA">
              <w:rPr>
                <w:rFonts w:eastAsia="Calibri" w:cs="Calibri"/>
                <w:szCs w:val="16"/>
              </w:rPr>
              <w:t>2</w:t>
            </w:r>
          </w:p>
        </w:tc>
        <w:tc>
          <w:tcPr>
            <w:tcW w:w="0" w:type="auto"/>
            <w:shd w:val="clear" w:color="auto" w:fill="FFFFFF"/>
            <w:tcMar>
              <w:top w:w="0" w:type="dxa"/>
              <w:left w:w="85" w:type="dxa"/>
              <w:bottom w:w="0" w:type="dxa"/>
              <w:right w:w="85" w:type="dxa"/>
            </w:tcMar>
          </w:tcPr>
          <w:p w14:paraId="2B9EA2EC" w14:textId="77777777" w:rsidR="00E87995" w:rsidRPr="009E06AA" w:rsidRDefault="00E87995" w:rsidP="00DB784A">
            <w:pPr>
              <w:pStyle w:val="Tableboldblue"/>
              <w:spacing w:before="40" w:after="40"/>
              <w:jc w:val="right"/>
            </w:pPr>
            <w:r w:rsidRPr="009E06AA">
              <w:rPr>
                <w:rFonts w:eastAsia="Calibri" w:cs="Calibri"/>
                <w:szCs w:val="16"/>
              </w:rPr>
              <w:t>22.0</w:t>
            </w:r>
          </w:p>
        </w:tc>
      </w:tr>
    </w:tbl>
    <w:p w14:paraId="5ABF36B3" w14:textId="77777777" w:rsidR="00E87995" w:rsidRPr="009E06AA" w:rsidRDefault="00E87995" w:rsidP="00E87995">
      <w:pPr>
        <w:pStyle w:val="Noteundertable"/>
      </w:pPr>
      <w:r w:rsidRPr="009E06AA">
        <w:rPr>
          <w:b/>
          <w:bCs/>
        </w:rPr>
        <w:t>Note:</w:t>
      </w:r>
      <w:r w:rsidRPr="009E06AA">
        <w:tab/>
        <w:t>Percentages presented are calculated from unrounded values.</w:t>
      </w:r>
    </w:p>
    <w:p w14:paraId="74A2598D" w14:textId="77777777" w:rsidR="00E87995" w:rsidRPr="009E06AA" w:rsidRDefault="00E87995" w:rsidP="00E87995">
      <w:pPr>
        <w:pStyle w:val="BodyText"/>
      </w:pPr>
      <w:r w:rsidRPr="009E06AA">
        <w:t xml:space="preserve">Methane emissions from the </w:t>
      </w:r>
      <w:r w:rsidRPr="009E06AA">
        <w:rPr>
          <w:i/>
          <w:iCs/>
        </w:rPr>
        <w:t>Wastewater treatment and discharge</w:t>
      </w:r>
      <w:r w:rsidRPr="009E06AA">
        <w:t xml:space="preserve"> source category were identified as a key category in the 2022 level assessment.</w:t>
      </w:r>
    </w:p>
    <w:p w14:paraId="13525EFA" w14:textId="77777777" w:rsidR="00E87995" w:rsidRPr="009E06AA" w:rsidRDefault="00E87995" w:rsidP="00E87995">
      <w:pPr>
        <w:pStyle w:val="Heading4"/>
      </w:pPr>
      <w:bookmarkStart w:id="2982" w:name="domestic-wastewater-5.d.1"/>
      <w:r w:rsidRPr="009E06AA">
        <w:t>Domestic wastewater (5.D.1)</w:t>
      </w:r>
    </w:p>
    <w:p w14:paraId="5A124DE6" w14:textId="77777777" w:rsidR="00E87995" w:rsidRPr="009E06AA" w:rsidRDefault="00E87995" w:rsidP="00E87995">
      <w:pPr>
        <w:pStyle w:val="BodyText"/>
      </w:pPr>
      <w:r w:rsidRPr="009E06AA">
        <w:t xml:space="preserve">Wastewater from almost every town in </w:t>
      </w:r>
      <w:r w:rsidRPr="009E06AA" w:rsidDel="00224615">
        <w:t xml:space="preserve">New </w:t>
      </w:r>
      <w:r w:rsidRPr="009E06AA">
        <w:t xml:space="preserve">Zealand with a population over 1,000 is collected </w:t>
      </w:r>
      <w:r w:rsidRPr="009E06AA">
        <w:rPr>
          <w:spacing w:val="-2"/>
        </w:rPr>
        <w:t>and treated in community wastewater treatment plants. There are approximately 317 municipal</w:t>
      </w:r>
      <w:r w:rsidRPr="009E06AA">
        <w:t xml:space="preserve"> wastewater treatment plants in </w:t>
      </w:r>
      <w:r w:rsidRPr="009E06AA" w:rsidDel="00224615">
        <w:t>New Zealand</w:t>
      </w:r>
      <w:r w:rsidRPr="009E06AA">
        <w:t xml:space="preserve"> and around a further 50 government or privately owned treatment plants serving populations of more than 100 people (SCS Wetherill Environmental, unpublished).</w:t>
      </w:r>
    </w:p>
    <w:p w14:paraId="0B43496C" w14:textId="77777777" w:rsidR="00E87995" w:rsidRPr="009E06AA" w:rsidRDefault="00E87995" w:rsidP="00E87995">
      <w:pPr>
        <w:pStyle w:val="BodyText"/>
      </w:pPr>
      <w:r w:rsidRPr="009E06AA">
        <w:t>Although most of the wastewater treatment processes are aerobic, a significant number of wastewater treatment plants use partially anaerobic processes, such as oxidation ponds or septic tanks. Small communities and individual rural dwellings are served mainly by simple septic tanks. While the part of the population using septic tanks is small, compared with the national population, this treatment type produces the most CH</w:t>
      </w:r>
      <w:r w:rsidRPr="009E06AA">
        <w:rPr>
          <w:vertAlign w:val="subscript"/>
        </w:rPr>
        <w:t>4</w:t>
      </w:r>
      <w:r w:rsidRPr="009E06AA">
        <w:t xml:space="preserve"> emissions from domestic wastewater. This is because emissions from other treatment types are small or the CH</w:t>
      </w:r>
      <w:r w:rsidRPr="009E06AA">
        <w:rPr>
          <w:vertAlign w:val="subscript"/>
        </w:rPr>
        <w:t>4</w:t>
      </w:r>
      <w:r w:rsidRPr="009E06AA">
        <w:t xml:space="preserve"> is destroyed.</w:t>
      </w:r>
    </w:p>
    <w:p w14:paraId="2F64780C" w14:textId="77777777" w:rsidR="00E87995" w:rsidRPr="009E06AA" w:rsidRDefault="00E87995" w:rsidP="00E87995">
      <w:pPr>
        <w:pStyle w:val="Heading4"/>
      </w:pPr>
      <w:bookmarkStart w:id="2983" w:name="industrial-wastewater-5.d.2"/>
      <w:bookmarkEnd w:id="2982"/>
      <w:r w:rsidRPr="009E06AA">
        <w:t>Industrial wastewater (5.D.2)</w:t>
      </w:r>
    </w:p>
    <w:p w14:paraId="3C5E2699" w14:textId="77777777" w:rsidR="00E87995" w:rsidRPr="009E06AA" w:rsidRDefault="00E87995" w:rsidP="00E87995">
      <w:pPr>
        <w:pStyle w:val="BodyText"/>
      </w:pPr>
      <w:r w:rsidRPr="009E06AA">
        <w:t>The major sources of industrial wastewater in </w:t>
      </w:r>
      <w:r w:rsidRPr="009E06AA" w:rsidDel="009A2957">
        <w:t>New Zealand</w:t>
      </w:r>
      <w:r w:rsidRPr="009E06AA">
        <w:t xml:space="preserve"> are the meat and the pulp and paper industries. Most of the industrial wastewater treatment is aerobic, and most of the CH</w:t>
      </w:r>
      <w:r w:rsidRPr="009E06AA">
        <w:rPr>
          <w:vertAlign w:val="subscript"/>
        </w:rPr>
        <w:t>4</w:t>
      </w:r>
      <w:r w:rsidRPr="009E06AA">
        <w:t> generated from anaerobic treatment is flared.</w:t>
      </w:r>
    </w:p>
    <w:p w14:paraId="02FB84F1" w14:textId="77777777" w:rsidR="00E87995" w:rsidRPr="009E06AA" w:rsidRDefault="00E87995" w:rsidP="00E87995">
      <w:pPr>
        <w:pStyle w:val="BodyText"/>
      </w:pPr>
      <w:r w:rsidRPr="009E06AA">
        <w:t>In June 2015, the methodologies and input data used to calculate the industrial wastewater emissions were reviewed, to capture any changes in industry activity and ensure current best practice and knowledge were reflected (Cardno, unpublished). This is discussed further under section 7.5.2.</w:t>
      </w:r>
    </w:p>
    <w:p w14:paraId="0627BE5D" w14:textId="77777777" w:rsidR="00E87995" w:rsidRPr="009E06AA" w:rsidRDefault="00E87995" w:rsidP="00E87995">
      <w:pPr>
        <w:pStyle w:val="Heading3"/>
      </w:pPr>
      <w:bookmarkStart w:id="2984" w:name="_Toc160537250"/>
      <w:bookmarkStart w:id="2985" w:name="methodological-issues-3"/>
      <w:bookmarkEnd w:id="2976"/>
      <w:bookmarkEnd w:id="2983"/>
      <w:r w:rsidRPr="009E06AA">
        <w:t xml:space="preserve">7.5.2 </w:t>
      </w:r>
      <w:r w:rsidRPr="009E06AA">
        <w:tab/>
        <w:t>Methodological issues</w:t>
      </w:r>
      <w:bookmarkEnd w:id="2984"/>
    </w:p>
    <w:p w14:paraId="3DBE9ABA" w14:textId="77777777" w:rsidR="00E87995" w:rsidRPr="009E06AA" w:rsidRDefault="00E87995" w:rsidP="00E87995">
      <w:pPr>
        <w:pStyle w:val="Heading4"/>
        <w:spacing w:before="180"/>
      </w:pPr>
      <w:bookmarkStart w:id="2986" w:name="choice-of-activity-data-3"/>
      <w:r w:rsidRPr="009E06AA">
        <w:t>Choice of activity data</w:t>
      </w:r>
    </w:p>
    <w:p w14:paraId="5442B118" w14:textId="77777777" w:rsidR="00E87995" w:rsidRPr="009E06AA" w:rsidRDefault="00E87995" w:rsidP="00BF2A76">
      <w:pPr>
        <w:pStyle w:val="Heading5"/>
      </w:pPr>
      <w:bookmarkStart w:id="2987" w:name="domestic-wastewater-5.d.1-1"/>
      <w:r w:rsidRPr="009E06AA">
        <w:t>Domestic wastewater (5.D.1)</w:t>
      </w:r>
    </w:p>
    <w:p w14:paraId="1D90C6FA" w14:textId="77777777" w:rsidR="00E87995" w:rsidRPr="009E06AA" w:rsidRDefault="00E87995" w:rsidP="00E87995">
      <w:pPr>
        <w:pStyle w:val="BodyText"/>
        <w:spacing w:before="100" w:after="100"/>
      </w:pPr>
      <w:r w:rsidRPr="009E06AA">
        <w:t>Estimates for CH</w:t>
      </w:r>
      <w:r w:rsidRPr="009E06AA">
        <w:rPr>
          <w:vertAlign w:val="subscript"/>
        </w:rPr>
        <w:t>4</w:t>
      </w:r>
      <w:r w:rsidRPr="009E06AA">
        <w:t xml:space="preserve"> emissions are derived from combining the population connected to each treatment plant in </w:t>
      </w:r>
      <w:r w:rsidRPr="009E06AA" w:rsidDel="00C66A22">
        <w:t>New Zealand</w:t>
      </w:r>
      <w:r w:rsidRPr="009E06AA">
        <w:t xml:space="preserve"> with the treatment methods for each plant (Beca Infrastructure Ltd, unpublished).</w:t>
      </w:r>
    </w:p>
    <w:p w14:paraId="562E35D1" w14:textId="77777777" w:rsidR="00E87995" w:rsidRPr="009E06AA" w:rsidRDefault="00E87995" w:rsidP="00E87995">
      <w:pPr>
        <w:pStyle w:val="BodyText"/>
        <w:spacing w:before="100" w:after="100"/>
      </w:pPr>
      <w:r w:rsidRPr="009E06AA">
        <w:t xml:space="preserve">The population using each municipal treatment plant and an estimation of the population using septic tanks were determined (Beca Infrastructure Ltd, unpublished; SCS Wetherill Environmental, unpublished). Emissions from the wastewater treatment plants are calculated for 1997, 2001, 2006 and every year from 2013 onward. Emissions from the years before 1997 are calculated based on a fixed aggregate </w:t>
      </w:r>
      <w:r w:rsidRPr="009E06AA">
        <w:rPr>
          <w:i/>
          <w:iCs/>
        </w:rPr>
        <w:t>methane correction factor</w:t>
      </w:r>
      <w:r w:rsidRPr="009E06AA">
        <w:t xml:space="preserve"> from 1997. Emissions from the remaining years are interpolated.</w:t>
      </w:r>
    </w:p>
    <w:p w14:paraId="45D37A54" w14:textId="77777777" w:rsidR="00E87995" w:rsidRPr="009E06AA" w:rsidRDefault="00E87995" w:rsidP="00E87995">
      <w:pPr>
        <w:pStyle w:val="BodyText"/>
        <w:spacing w:before="100" w:after="100"/>
      </w:pPr>
      <w:r w:rsidRPr="009E06AA">
        <w:t xml:space="preserve">Emissions are proportional to the population treated by each plant, and population data are updated based on the population growth rate of the district in which the plant is located, using the latest population data. This information is obtained from Stats NZ. For intermediate years, data are interpolated. Years before 1997 are driven by national population growth using the </w:t>
      </w:r>
      <w:r w:rsidRPr="009E06AA">
        <w:rPr>
          <w:i/>
          <w:iCs/>
        </w:rPr>
        <w:t>methane correction factor</w:t>
      </w:r>
      <w:r w:rsidRPr="009E06AA">
        <w:t xml:space="preserve"> from 1997.</w:t>
      </w:r>
    </w:p>
    <w:p w14:paraId="5D08B577" w14:textId="77777777" w:rsidR="00E87995" w:rsidRPr="009E06AA" w:rsidRDefault="00E87995" w:rsidP="00E87995">
      <w:pPr>
        <w:pStyle w:val="BodyText"/>
        <w:spacing w:before="100" w:after="100"/>
      </w:pPr>
      <w:r w:rsidRPr="009E06AA">
        <w:t xml:space="preserve">In 2022, the population connected to treatment plants was estimated to be about 4.1 million. The connected population excludes people connected to rural septic tanks, estimated at 506,000 people in 2022, and approximately 56,000 people using other aerobic plants. The total population of </w:t>
      </w:r>
      <w:r w:rsidRPr="009E06AA" w:rsidDel="00C26D85">
        <w:t>New Zealand</w:t>
      </w:r>
      <w:r w:rsidRPr="009E06AA">
        <w:t xml:space="preserve"> was 5.2 million, therefore a remaining population of 461,000 people is not accounted for. This is a result of incomplete data on the wastewater treatment plants in </w:t>
      </w:r>
      <w:r w:rsidRPr="009E06AA" w:rsidDel="00AA0454">
        <w:t>New Zealand</w:t>
      </w:r>
      <w:r w:rsidRPr="009E06AA">
        <w:t xml:space="preserve"> and the populations connected to each of these plants being estimated. To account for emissions from the remaining population, CH</w:t>
      </w:r>
      <w:r w:rsidRPr="009E06AA">
        <w:rPr>
          <w:vertAlign w:val="subscript"/>
        </w:rPr>
        <w:t>4</w:t>
      </w:r>
      <w:r w:rsidRPr="009E06AA">
        <w:t xml:space="preserve"> emissions for the </w:t>
      </w:r>
      <w:r w:rsidRPr="009E06AA">
        <w:rPr>
          <w:i/>
          <w:iCs/>
        </w:rPr>
        <w:t>Domestic wastewater</w:t>
      </w:r>
      <w:r w:rsidRPr="009E06AA">
        <w:t xml:space="preserve"> source category were scaled up proportionately based on the population for which emissions are known. An assumption is made to apply the average emission factor for wastewater treatment for this otherwise unaccounted-for population.</w:t>
      </w:r>
    </w:p>
    <w:p w14:paraId="322684FA" w14:textId="77777777" w:rsidR="00E87995" w:rsidRPr="009E06AA" w:rsidRDefault="00E87995" w:rsidP="00E87995">
      <w:pPr>
        <w:pStyle w:val="BodyText"/>
        <w:spacing w:before="100" w:after="100"/>
      </w:pPr>
      <w:r w:rsidRPr="009E06AA">
        <w:t>Indirect N</w:t>
      </w:r>
      <w:r w:rsidRPr="009E06AA">
        <w:rPr>
          <w:vertAlign w:val="subscript"/>
        </w:rPr>
        <w:t>2</w:t>
      </w:r>
      <w:r w:rsidRPr="009E06AA">
        <w:t>O emissions from the disposal of treated domestic wastewater are estimated using per capita protein consumption and national population estimates, less the population using septic tanks because there is no liquid effluent from septic tanks. Activity data for domestic wastewater are reported in table 7.5.2. Also included in table 7.5.2 is an aggregate CH</w:t>
      </w:r>
      <w:r w:rsidRPr="009E06AA">
        <w:rPr>
          <w:vertAlign w:val="subscript"/>
        </w:rPr>
        <w:t>4</w:t>
      </w:r>
      <w:r w:rsidRPr="009E06AA">
        <w:t xml:space="preserve"> correction factor that is determined by the sum of the CH</w:t>
      </w:r>
      <w:r w:rsidRPr="009E06AA">
        <w:rPr>
          <w:vertAlign w:val="subscript"/>
        </w:rPr>
        <w:t>4</w:t>
      </w:r>
      <w:r w:rsidRPr="009E06AA">
        <w:t xml:space="preserve"> correction factor for various treatment types, weighted by the population served by each type.</w:t>
      </w:r>
    </w:p>
    <w:p w14:paraId="0AC83022" w14:textId="40B15188" w:rsidR="00E87995" w:rsidRPr="009E06AA" w:rsidRDefault="00E87995" w:rsidP="00E87995">
      <w:pPr>
        <w:pStyle w:val="Table"/>
      </w:pPr>
      <w:bookmarkStart w:id="2988" w:name="_Toc128383680"/>
      <w:bookmarkStart w:id="2989" w:name="_Toc131591453"/>
      <w:bookmarkStart w:id="2990" w:name="_Toc160537332"/>
      <w:bookmarkStart w:id="2991" w:name="_Toc160537694"/>
      <w:bookmarkStart w:id="2992" w:name="_Toc164153944"/>
      <w:r w:rsidRPr="009E06AA">
        <w:t>Table 7.5.2</w:t>
      </w:r>
      <w:r w:rsidRPr="009E06AA">
        <w:tab/>
        <w:t>Activity data and key factors for domestic wastewater</w:t>
      </w:r>
      <w:r w:rsidR="00E94383" w:rsidRPr="009E06AA">
        <w:t>,</w:t>
      </w:r>
      <w:r w:rsidRPr="009E06AA">
        <w:t xml:space="preserve"> from 1990 to </w:t>
      </w:r>
      <w:bookmarkEnd w:id="2988"/>
      <w:bookmarkEnd w:id="2989"/>
      <w:r w:rsidRPr="009E06AA">
        <w:t>2022</w:t>
      </w:r>
      <w:bookmarkEnd w:id="2990"/>
      <w:bookmarkEnd w:id="2991"/>
      <w:bookmarkEnd w:id="2992"/>
    </w:p>
    <w:tbl>
      <w:tblPr>
        <w:tblW w:w="8505" w:type="dxa"/>
        <w:tblBorders>
          <w:top w:val="single" w:sz="4" w:space="0" w:color="1B556B" w:themeColor="text2"/>
          <w:bottom w:val="single" w:sz="4" w:space="0" w:color="1B556B" w:themeColor="text2"/>
          <w:insideH w:val="single" w:sz="4" w:space="0" w:color="1B556B" w:themeColor="text2"/>
        </w:tblBorders>
        <w:tblLook w:val="0420" w:firstRow="1" w:lastRow="0" w:firstColumn="0" w:lastColumn="0" w:noHBand="0" w:noVBand="1"/>
      </w:tblPr>
      <w:tblGrid>
        <w:gridCol w:w="529"/>
        <w:gridCol w:w="1609"/>
        <w:gridCol w:w="2812"/>
        <w:gridCol w:w="3555"/>
      </w:tblGrid>
      <w:tr w:rsidR="00E87995" w:rsidRPr="009E06AA" w14:paraId="019A052D" w14:textId="77777777" w:rsidTr="00B55F24">
        <w:trPr>
          <w:tblHeader/>
        </w:trPr>
        <w:tc>
          <w:tcPr>
            <w:tcW w:w="0" w:type="auto"/>
            <w:shd w:val="clear" w:color="auto" w:fill="1B556B"/>
            <w:tcMar>
              <w:top w:w="0" w:type="dxa"/>
              <w:left w:w="85" w:type="dxa"/>
              <w:bottom w:w="0" w:type="dxa"/>
              <w:right w:w="85" w:type="dxa"/>
            </w:tcMar>
          </w:tcPr>
          <w:p w14:paraId="3CEB3C81" w14:textId="77777777" w:rsidR="00E87995" w:rsidRPr="009E06AA" w:rsidRDefault="00E87995" w:rsidP="00B55F24">
            <w:pPr>
              <w:pStyle w:val="TableTextBold"/>
              <w:spacing w:before="30" w:after="30"/>
              <w:rPr>
                <w:noProof w:val="0"/>
                <w:color w:val="FFFFFF" w:themeColor="background1"/>
              </w:rPr>
            </w:pPr>
            <w:r w:rsidRPr="009E06AA">
              <w:rPr>
                <w:noProof w:val="0"/>
                <w:color w:val="FFFFFF" w:themeColor="background1"/>
              </w:rPr>
              <w:t>Year</w:t>
            </w:r>
          </w:p>
        </w:tc>
        <w:tc>
          <w:tcPr>
            <w:tcW w:w="0" w:type="auto"/>
            <w:shd w:val="clear" w:color="auto" w:fill="1B556B"/>
            <w:tcMar>
              <w:top w:w="0" w:type="dxa"/>
              <w:left w:w="85" w:type="dxa"/>
              <w:bottom w:w="0" w:type="dxa"/>
              <w:right w:w="85" w:type="dxa"/>
            </w:tcMar>
          </w:tcPr>
          <w:p w14:paraId="277CE486" w14:textId="77777777" w:rsidR="00E87995" w:rsidRPr="009E06AA" w:rsidRDefault="00E87995" w:rsidP="00DB784A">
            <w:pPr>
              <w:pStyle w:val="TableTextBold"/>
              <w:spacing w:before="30" w:after="30"/>
              <w:jc w:val="right"/>
              <w:rPr>
                <w:noProof w:val="0"/>
                <w:color w:val="FFFFFF" w:themeColor="background1"/>
              </w:rPr>
            </w:pPr>
            <w:r w:rsidRPr="009E06AA">
              <w:rPr>
                <w:noProof w:val="0"/>
                <w:color w:val="FFFFFF" w:themeColor="background1"/>
              </w:rPr>
              <w:t>National population</w:t>
            </w:r>
          </w:p>
        </w:tc>
        <w:tc>
          <w:tcPr>
            <w:tcW w:w="0" w:type="auto"/>
            <w:shd w:val="clear" w:color="auto" w:fill="1B556B"/>
            <w:tcMar>
              <w:top w:w="0" w:type="dxa"/>
              <w:left w:w="85" w:type="dxa"/>
              <w:bottom w:w="0" w:type="dxa"/>
              <w:right w:w="85" w:type="dxa"/>
            </w:tcMar>
          </w:tcPr>
          <w:p w14:paraId="7D57C357" w14:textId="77777777" w:rsidR="00E87995" w:rsidRPr="009E06AA" w:rsidRDefault="00E87995" w:rsidP="00E770EF">
            <w:pPr>
              <w:pStyle w:val="TableTextBold"/>
              <w:spacing w:before="30" w:after="30"/>
              <w:jc w:val="right"/>
              <w:rPr>
                <w:noProof w:val="0"/>
                <w:color w:val="FFFFFF" w:themeColor="background1"/>
              </w:rPr>
            </w:pPr>
            <w:r w:rsidRPr="009E06AA">
              <w:rPr>
                <w:noProof w:val="0"/>
                <w:color w:val="FFFFFF" w:themeColor="background1"/>
              </w:rPr>
              <w:t>Aggregate methane correction factor</w:t>
            </w:r>
          </w:p>
        </w:tc>
        <w:tc>
          <w:tcPr>
            <w:tcW w:w="0" w:type="auto"/>
            <w:shd w:val="clear" w:color="auto" w:fill="1B556B"/>
            <w:tcMar>
              <w:top w:w="0" w:type="dxa"/>
              <w:left w:w="85" w:type="dxa"/>
              <w:bottom w:w="0" w:type="dxa"/>
              <w:right w:w="85" w:type="dxa"/>
            </w:tcMar>
          </w:tcPr>
          <w:p w14:paraId="2AEDD891" w14:textId="77777777" w:rsidR="00E87995" w:rsidRPr="009E06AA" w:rsidRDefault="00E87995" w:rsidP="00DB784A">
            <w:pPr>
              <w:pStyle w:val="TableTextBold"/>
              <w:spacing w:before="30" w:after="30"/>
              <w:jc w:val="right"/>
              <w:rPr>
                <w:noProof w:val="0"/>
                <w:color w:val="FFFFFF" w:themeColor="background1"/>
              </w:rPr>
            </w:pPr>
            <w:r w:rsidRPr="009E06AA">
              <w:rPr>
                <w:noProof w:val="0"/>
                <w:color w:val="FFFFFF" w:themeColor="background1"/>
              </w:rPr>
              <w:t>Domestic wastewater total organic product (kt)</w:t>
            </w:r>
          </w:p>
        </w:tc>
      </w:tr>
      <w:tr w:rsidR="00E87995" w:rsidRPr="009E06AA" w14:paraId="67F55CB4" w14:textId="77777777" w:rsidTr="00B55F24">
        <w:tc>
          <w:tcPr>
            <w:tcW w:w="0" w:type="auto"/>
            <w:shd w:val="clear" w:color="auto" w:fill="FFFFFF"/>
            <w:tcMar>
              <w:top w:w="0" w:type="dxa"/>
              <w:left w:w="85" w:type="dxa"/>
              <w:bottom w:w="0" w:type="dxa"/>
              <w:right w:w="85" w:type="dxa"/>
            </w:tcMar>
          </w:tcPr>
          <w:p w14:paraId="0CC5424D" w14:textId="77777777" w:rsidR="00E87995" w:rsidRPr="009E06AA" w:rsidRDefault="00E87995" w:rsidP="00B55F24">
            <w:pPr>
              <w:pStyle w:val="TableTextBold"/>
              <w:spacing w:before="30" w:after="30"/>
              <w:rPr>
                <w:noProof w:val="0"/>
              </w:rPr>
            </w:pPr>
            <w:r w:rsidRPr="009E06AA">
              <w:rPr>
                <w:noProof w:val="0"/>
                <w:color w:val="1B556B"/>
              </w:rPr>
              <w:t>1990</w:t>
            </w:r>
          </w:p>
        </w:tc>
        <w:tc>
          <w:tcPr>
            <w:tcW w:w="0" w:type="auto"/>
            <w:shd w:val="clear" w:color="auto" w:fill="FFFFFF"/>
            <w:tcMar>
              <w:top w:w="0" w:type="dxa"/>
              <w:left w:w="85" w:type="dxa"/>
              <w:bottom w:w="0" w:type="dxa"/>
              <w:right w:w="85" w:type="dxa"/>
            </w:tcMar>
          </w:tcPr>
          <w:p w14:paraId="068D4B3C" w14:textId="77777777" w:rsidR="00E87995" w:rsidRPr="009E06AA" w:rsidRDefault="00E87995" w:rsidP="00DB784A">
            <w:pPr>
              <w:pStyle w:val="TableText"/>
              <w:spacing w:before="30" w:after="30"/>
              <w:jc w:val="right"/>
            </w:pPr>
            <w:r w:rsidRPr="009E06AA">
              <w:rPr>
                <w:color w:val="000000"/>
              </w:rPr>
              <w:t>3,410,400</w:t>
            </w:r>
          </w:p>
        </w:tc>
        <w:tc>
          <w:tcPr>
            <w:tcW w:w="0" w:type="auto"/>
            <w:shd w:val="clear" w:color="auto" w:fill="FFFFFF"/>
            <w:tcMar>
              <w:top w:w="0" w:type="dxa"/>
              <w:left w:w="85" w:type="dxa"/>
              <w:bottom w:w="0" w:type="dxa"/>
              <w:right w:w="85" w:type="dxa"/>
            </w:tcMar>
          </w:tcPr>
          <w:p w14:paraId="758BF1CE" w14:textId="77777777" w:rsidR="00E87995" w:rsidRPr="009E06AA" w:rsidRDefault="00E87995" w:rsidP="00E770EF">
            <w:pPr>
              <w:pStyle w:val="TableText"/>
              <w:spacing w:before="30" w:after="30"/>
              <w:jc w:val="right"/>
            </w:pPr>
            <w:r w:rsidRPr="009E06AA">
              <w:rPr>
                <w:color w:val="000000"/>
              </w:rPr>
              <w:t>Same as 1997</w:t>
            </w:r>
          </w:p>
        </w:tc>
        <w:tc>
          <w:tcPr>
            <w:tcW w:w="0" w:type="auto"/>
            <w:shd w:val="clear" w:color="auto" w:fill="FFFFFF"/>
            <w:tcMar>
              <w:top w:w="0" w:type="dxa"/>
              <w:left w:w="85" w:type="dxa"/>
              <w:bottom w:w="0" w:type="dxa"/>
              <w:right w:w="85" w:type="dxa"/>
            </w:tcMar>
          </w:tcPr>
          <w:p w14:paraId="14C86C74" w14:textId="77777777" w:rsidR="00E87995" w:rsidRPr="009E06AA" w:rsidRDefault="00E87995" w:rsidP="00DB784A">
            <w:pPr>
              <w:pStyle w:val="TableText"/>
              <w:spacing w:before="30" w:after="30"/>
              <w:jc w:val="right"/>
            </w:pPr>
            <w:r w:rsidRPr="009E06AA">
              <w:rPr>
                <w:color w:val="000000"/>
              </w:rPr>
              <w:t>137.6</w:t>
            </w:r>
          </w:p>
        </w:tc>
      </w:tr>
      <w:tr w:rsidR="00E87995" w:rsidRPr="009E06AA" w14:paraId="35EB3A6F" w14:textId="77777777" w:rsidTr="00B55F24">
        <w:tc>
          <w:tcPr>
            <w:tcW w:w="0" w:type="auto"/>
            <w:shd w:val="clear" w:color="auto" w:fill="FFFFFF"/>
            <w:tcMar>
              <w:top w:w="0" w:type="dxa"/>
              <w:left w:w="85" w:type="dxa"/>
              <w:bottom w:w="0" w:type="dxa"/>
              <w:right w:w="85" w:type="dxa"/>
            </w:tcMar>
          </w:tcPr>
          <w:p w14:paraId="4AF258EE" w14:textId="77777777" w:rsidR="00E87995" w:rsidRPr="009E06AA" w:rsidRDefault="00E87995" w:rsidP="00B55F24">
            <w:pPr>
              <w:pStyle w:val="TableTextBold"/>
              <w:spacing w:before="30" w:after="30"/>
              <w:rPr>
                <w:noProof w:val="0"/>
              </w:rPr>
            </w:pPr>
            <w:r w:rsidRPr="009E06AA">
              <w:rPr>
                <w:noProof w:val="0"/>
                <w:color w:val="1B556B"/>
              </w:rPr>
              <w:t>1991</w:t>
            </w:r>
          </w:p>
        </w:tc>
        <w:tc>
          <w:tcPr>
            <w:tcW w:w="0" w:type="auto"/>
            <w:shd w:val="clear" w:color="auto" w:fill="FFFFFF"/>
            <w:tcMar>
              <w:top w:w="0" w:type="dxa"/>
              <w:left w:w="85" w:type="dxa"/>
              <w:bottom w:w="0" w:type="dxa"/>
              <w:right w:w="85" w:type="dxa"/>
            </w:tcMar>
          </w:tcPr>
          <w:p w14:paraId="4E4A7FBF" w14:textId="77777777" w:rsidR="00E87995" w:rsidRPr="009E06AA" w:rsidRDefault="00E87995" w:rsidP="00DB784A">
            <w:pPr>
              <w:pStyle w:val="TableText"/>
              <w:spacing w:before="30" w:after="30"/>
              <w:jc w:val="right"/>
            </w:pPr>
            <w:r w:rsidRPr="009E06AA">
              <w:rPr>
                <w:color w:val="000000"/>
              </w:rPr>
              <w:t>3,516,000</w:t>
            </w:r>
          </w:p>
        </w:tc>
        <w:tc>
          <w:tcPr>
            <w:tcW w:w="0" w:type="auto"/>
            <w:shd w:val="clear" w:color="auto" w:fill="FFFFFF"/>
            <w:tcMar>
              <w:top w:w="0" w:type="dxa"/>
              <w:left w:w="85" w:type="dxa"/>
              <w:bottom w:w="0" w:type="dxa"/>
              <w:right w:w="85" w:type="dxa"/>
            </w:tcMar>
          </w:tcPr>
          <w:p w14:paraId="1B13A1B3" w14:textId="77777777" w:rsidR="00E87995" w:rsidRPr="009E06AA" w:rsidRDefault="00E87995" w:rsidP="00E770EF">
            <w:pPr>
              <w:pStyle w:val="TableText"/>
              <w:spacing w:before="30" w:after="30"/>
              <w:jc w:val="right"/>
            </w:pPr>
            <w:r w:rsidRPr="009E06AA">
              <w:rPr>
                <w:color w:val="000000"/>
              </w:rPr>
              <w:t>Same as 1997</w:t>
            </w:r>
          </w:p>
        </w:tc>
        <w:tc>
          <w:tcPr>
            <w:tcW w:w="0" w:type="auto"/>
            <w:shd w:val="clear" w:color="auto" w:fill="FFFFFF"/>
            <w:tcMar>
              <w:top w:w="0" w:type="dxa"/>
              <w:left w:w="85" w:type="dxa"/>
              <w:bottom w:w="0" w:type="dxa"/>
              <w:right w:w="85" w:type="dxa"/>
            </w:tcMar>
          </w:tcPr>
          <w:p w14:paraId="5B2F054D" w14:textId="77777777" w:rsidR="00E87995" w:rsidRPr="009E06AA" w:rsidRDefault="00E87995" w:rsidP="00DB784A">
            <w:pPr>
              <w:pStyle w:val="TableText"/>
              <w:spacing w:before="30" w:after="30"/>
              <w:jc w:val="right"/>
            </w:pPr>
            <w:r w:rsidRPr="009E06AA">
              <w:rPr>
                <w:color w:val="000000"/>
              </w:rPr>
              <w:t>142.1</w:t>
            </w:r>
          </w:p>
        </w:tc>
      </w:tr>
      <w:tr w:rsidR="00E87995" w:rsidRPr="009E06AA" w14:paraId="6E3A338C" w14:textId="77777777" w:rsidTr="00B55F24">
        <w:tc>
          <w:tcPr>
            <w:tcW w:w="0" w:type="auto"/>
            <w:shd w:val="clear" w:color="auto" w:fill="FFFFFF"/>
            <w:tcMar>
              <w:top w:w="0" w:type="dxa"/>
              <w:left w:w="85" w:type="dxa"/>
              <w:bottom w:w="0" w:type="dxa"/>
              <w:right w:w="85" w:type="dxa"/>
            </w:tcMar>
          </w:tcPr>
          <w:p w14:paraId="1C2D778A" w14:textId="77777777" w:rsidR="00E87995" w:rsidRPr="009E06AA" w:rsidRDefault="00E87995" w:rsidP="00B55F24">
            <w:pPr>
              <w:pStyle w:val="TableTextBold"/>
              <w:spacing w:before="30" w:after="30"/>
              <w:rPr>
                <w:noProof w:val="0"/>
              </w:rPr>
            </w:pPr>
            <w:r w:rsidRPr="009E06AA">
              <w:rPr>
                <w:noProof w:val="0"/>
                <w:color w:val="1B556B"/>
              </w:rPr>
              <w:t>1992</w:t>
            </w:r>
          </w:p>
        </w:tc>
        <w:tc>
          <w:tcPr>
            <w:tcW w:w="0" w:type="auto"/>
            <w:shd w:val="clear" w:color="auto" w:fill="FFFFFF"/>
            <w:tcMar>
              <w:top w:w="0" w:type="dxa"/>
              <w:left w:w="85" w:type="dxa"/>
              <w:bottom w:w="0" w:type="dxa"/>
              <w:right w:w="85" w:type="dxa"/>
            </w:tcMar>
          </w:tcPr>
          <w:p w14:paraId="174F99FD" w14:textId="77777777" w:rsidR="00E87995" w:rsidRPr="009E06AA" w:rsidRDefault="00E87995" w:rsidP="00DB784A">
            <w:pPr>
              <w:pStyle w:val="TableText"/>
              <w:spacing w:before="30" w:after="30"/>
              <w:jc w:val="right"/>
            </w:pPr>
            <w:r w:rsidRPr="009E06AA">
              <w:rPr>
                <w:color w:val="000000"/>
              </w:rPr>
              <w:t>3,552,200</w:t>
            </w:r>
          </w:p>
        </w:tc>
        <w:tc>
          <w:tcPr>
            <w:tcW w:w="0" w:type="auto"/>
            <w:shd w:val="clear" w:color="auto" w:fill="FFFFFF"/>
            <w:tcMar>
              <w:top w:w="0" w:type="dxa"/>
              <w:left w:w="85" w:type="dxa"/>
              <w:bottom w:w="0" w:type="dxa"/>
              <w:right w:w="85" w:type="dxa"/>
            </w:tcMar>
          </w:tcPr>
          <w:p w14:paraId="63D342DE" w14:textId="77777777" w:rsidR="00E87995" w:rsidRPr="009E06AA" w:rsidRDefault="00E87995" w:rsidP="00E770EF">
            <w:pPr>
              <w:pStyle w:val="TableText"/>
              <w:spacing w:before="30" w:after="30"/>
              <w:jc w:val="right"/>
            </w:pPr>
            <w:r w:rsidRPr="009E06AA">
              <w:rPr>
                <w:color w:val="000000"/>
              </w:rPr>
              <w:t>Same as 1997</w:t>
            </w:r>
          </w:p>
        </w:tc>
        <w:tc>
          <w:tcPr>
            <w:tcW w:w="0" w:type="auto"/>
            <w:shd w:val="clear" w:color="auto" w:fill="FFFFFF"/>
            <w:tcMar>
              <w:top w:w="0" w:type="dxa"/>
              <w:left w:w="85" w:type="dxa"/>
              <w:bottom w:w="0" w:type="dxa"/>
              <w:right w:w="85" w:type="dxa"/>
            </w:tcMar>
          </w:tcPr>
          <w:p w14:paraId="3AB93530" w14:textId="77777777" w:rsidR="00E87995" w:rsidRPr="009E06AA" w:rsidRDefault="00E87995" w:rsidP="00DB784A">
            <w:pPr>
              <w:pStyle w:val="TableText"/>
              <w:spacing w:before="30" w:after="30"/>
              <w:jc w:val="right"/>
            </w:pPr>
            <w:r w:rsidRPr="009E06AA">
              <w:rPr>
                <w:color w:val="000000"/>
              </w:rPr>
              <w:t>143.9</w:t>
            </w:r>
          </w:p>
        </w:tc>
      </w:tr>
      <w:tr w:rsidR="00E87995" w:rsidRPr="009E06AA" w14:paraId="44C877AF" w14:textId="77777777" w:rsidTr="00B55F24">
        <w:tc>
          <w:tcPr>
            <w:tcW w:w="0" w:type="auto"/>
            <w:shd w:val="clear" w:color="auto" w:fill="FFFFFF"/>
            <w:tcMar>
              <w:top w:w="0" w:type="dxa"/>
              <w:left w:w="85" w:type="dxa"/>
              <w:bottom w:w="0" w:type="dxa"/>
              <w:right w:w="85" w:type="dxa"/>
            </w:tcMar>
          </w:tcPr>
          <w:p w14:paraId="49D87C24" w14:textId="77777777" w:rsidR="00E87995" w:rsidRPr="009E06AA" w:rsidRDefault="00E87995" w:rsidP="00B55F24">
            <w:pPr>
              <w:pStyle w:val="TableTextBold"/>
              <w:spacing w:before="30" w:after="30"/>
              <w:rPr>
                <w:noProof w:val="0"/>
              </w:rPr>
            </w:pPr>
            <w:r w:rsidRPr="009E06AA">
              <w:rPr>
                <w:noProof w:val="0"/>
                <w:color w:val="1B556B"/>
              </w:rPr>
              <w:t>1993</w:t>
            </w:r>
          </w:p>
        </w:tc>
        <w:tc>
          <w:tcPr>
            <w:tcW w:w="0" w:type="auto"/>
            <w:shd w:val="clear" w:color="auto" w:fill="FFFFFF"/>
            <w:tcMar>
              <w:top w:w="0" w:type="dxa"/>
              <w:left w:w="85" w:type="dxa"/>
              <w:bottom w:w="0" w:type="dxa"/>
              <w:right w:w="85" w:type="dxa"/>
            </w:tcMar>
          </w:tcPr>
          <w:p w14:paraId="111F5BB4" w14:textId="77777777" w:rsidR="00E87995" w:rsidRPr="009E06AA" w:rsidRDefault="00E87995" w:rsidP="00DB784A">
            <w:pPr>
              <w:pStyle w:val="TableText"/>
              <w:spacing w:before="30" w:after="30"/>
              <w:jc w:val="right"/>
            </w:pPr>
            <w:r w:rsidRPr="009E06AA">
              <w:rPr>
                <w:color w:val="000000"/>
              </w:rPr>
              <w:t>3,597,800</w:t>
            </w:r>
          </w:p>
        </w:tc>
        <w:tc>
          <w:tcPr>
            <w:tcW w:w="0" w:type="auto"/>
            <w:shd w:val="clear" w:color="auto" w:fill="FFFFFF"/>
            <w:tcMar>
              <w:top w:w="0" w:type="dxa"/>
              <w:left w:w="85" w:type="dxa"/>
              <w:bottom w:w="0" w:type="dxa"/>
              <w:right w:w="85" w:type="dxa"/>
            </w:tcMar>
          </w:tcPr>
          <w:p w14:paraId="7B0DCE12" w14:textId="77777777" w:rsidR="00E87995" w:rsidRPr="009E06AA" w:rsidRDefault="00E87995" w:rsidP="00E770EF">
            <w:pPr>
              <w:pStyle w:val="TableText"/>
              <w:spacing w:before="30" w:after="30"/>
              <w:jc w:val="right"/>
            </w:pPr>
            <w:r w:rsidRPr="009E06AA">
              <w:rPr>
                <w:color w:val="000000"/>
              </w:rPr>
              <w:t>Same as 1997</w:t>
            </w:r>
          </w:p>
        </w:tc>
        <w:tc>
          <w:tcPr>
            <w:tcW w:w="0" w:type="auto"/>
            <w:shd w:val="clear" w:color="auto" w:fill="FFFFFF"/>
            <w:tcMar>
              <w:top w:w="0" w:type="dxa"/>
              <w:left w:w="85" w:type="dxa"/>
              <w:bottom w:w="0" w:type="dxa"/>
              <w:right w:w="85" w:type="dxa"/>
            </w:tcMar>
          </w:tcPr>
          <w:p w14:paraId="5BA785E5" w14:textId="77777777" w:rsidR="00E87995" w:rsidRPr="009E06AA" w:rsidRDefault="00E87995" w:rsidP="00DB784A">
            <w:pPr>
              <w:pStyle w:val="TableText"/>
              <w:spacing w:before="30" w:after="30"/>
              <w:jc w:val="right"/>
            </w:pPr>
            <w:r w:rsidRPr="009E06AA">
              <w:rPr>
                <w:color w:val="000000"/>
              </w:rPr>
              <w:t>146.1</w:t>
            </w:r>
          </w:p>
        </w:tc>
      </w:tr>
      <w:tr w:rsidR="00E87995" w:rsidRPr="009E06AA" w14:paraId="34517FD7" w14:textId="77777777" w:rsidTr="00B55F24">
        <w:tc>
          <w:tcPr>
            <w:tcW w:w="0" w:type="auto"/>
            <w:shd w:val="clear" w:color="auto" w:fill="FFFFFF"/>
            <w:tcMar>
              <w:top w:w="0" w:type="dxa"/>
              <w:left w:w="85" w:type="dxa"/>
              <w:bottom w:w="0" w:type="dxa"/>
              <w:right w:w="85" w:type="dxa"/>
            </w:tcMar>
          </w:tcPr>
          <w:p w14:paraId="59A45814" w14:textId="77777777" w:rsidR="00E87995" w:rsidRPr="009E06AA" w:rsidRDefault="00E87995" w:rsidP="00B55F24">
            <w:pPr>
              <w:pStyle w:val="TableTextBold"/>
              <w:spacing w:before="30" w:after="30"/>
              <w:rPr>
                <w:noProof w:val="0"/>
              </w:rPr>
            </w:pPr>
            <w:r w:rsidRPr="009E06AA">
              <w:rPr>
                <w:noProof w:val="0"/>
                <w:color w:val="1B556B"/>
              </w:rPr>
              <w:t>1994</w:t>
            </w:r>
          </w:p>
        </w:tc>
        <w:tc>
          <w:tcPr>
            <w:tcW w:w="0" w:type="auto"/>
            <w:shd w:val="clear" w:color="auto" w:fill="FFFFFF"/>
            <w:tcMar>
              <w:top w:w="0" w:type="dxa"/>
              <w:left w:w="85" w:type="dxa"/>
              <w:bottom w:w="0" w:type="dxa"/>
              <w:right w:w="85" w:type="dxa"/>
            </w:tcMar>
          </w:tcPr>
          <w:p w14:paraId="10D3D980" w14:textId="77777777" w:rsidR="00E87995" w:rsidRPr="009E06AA" w:rsidRDefault="00E87995" w:rsidP="00DB784A">
            <w:pPr>
              <w:pStyle w:val="TableText"/>
              <w:spacing w:before="30" w:after="30"/>
              <w:jc w:val="right"/>
            </w:pPr>
            <w:r w:rsidRPr="009E06AA">
              <w:rPr>
                <w:color w:val="000000"/>
              </w:rPr>
              <w:t>3,648,300</w:t>
            </w:r>
          </w:p>
        </w:tc>
        <w:tc>
          <w:tcPr>
            <w:tcW w:w="0" w:type="auto"/>
            <w:shd w:val="clear" w:color="auto" w:fill="FFFFFF"/>
            <w:tcMar>
              <w:top w:w="0" w:type="dxa"/>
              <w:left w:w="85" w:type="dxa"/>
              <w:bottom w:w="0" w:type="dxa"/>
              <w:right w:w="85" w:type="dxa"/>
            </w:tcMar>
          </w:tcPr>
          <w:p w14:paraId="2A4BBBFF" w14:textId="77777777" w:rsidR="00E87995" w:rsidRPr="009E06AA" w:rsidRDefault="00E87995" w:rsidP="00E770EF">
            <w:pPr>
              <w:pStyle w:val="TableText"/>
              <w:spacing w:before="30" w:after="30"/>
              <w:jc w:val="right"/>
            </w:pPr>
            <w:r w:rsidRPr="009E06AA">
              <w:rPr>
                <w:color w:val="000000"/>
              </w:rPr>
              <w:t>Same as 1997</w:t>
            </w:r>
          </w:p>
        </w:tc>
        <w:tc>
          <w:tcPr>
            <w:tcW w:w="0" w:type="auto"/>
            <w:shd w:val="clear" w:color="auto" w:fill="FFFFFF"/>
            <w:tcMar>
              <w:top w:w="0" w:type="dxa"/>
              <w:left w:w="85" w:type="dxa"/>
              <w:bottom w:w="0" w:type="dxa"/>
              <w:right w:w="85" w:type="dxa"/>
            </w:tcMar>
          </w:tcPr>
          <w:p w14:paraId="3677FDD4" w14:textId="77777777" w:rsidR="00E87995" w:rsidRPr="009E06AA" w:rsidRDefault="00E87995" w:rsidP="00DB784A">
            <w:pPr>
              <w:pStyle w:val="TableText"/>
              <w:spacing w:before="30" w:after="30"/>
              <w:jc w:val="right"/>
            </w:pPr>
            <w:r w:rsidRPr="009E06AA">
              <w:rPr>
                <w:color w:val="000000"/>
              </w:rPr>
              <w:t>148.5</w:t>
            </w:r>
          </w:p>
        </w:tc>
      </w:tr>
      <w:tr w:rsidR="00E87995" w:rsidRPr="009E06AA" w14:paraId="5BB797C3" w14:textId="77777777" w:rsidTr="00B55F24">
        <w:tc>
          <w:tcPr>
            <w:tcW w:w="0" w:type="auto"/>
            <w:shd w:val="clear" w:color="auto" w:fill="FFFFFF"/>
            <w:tcMar>
              <w:top w:w="0" w:type="dxa"/>
              <w:left w:w="85" w:type="dxa"/>
              <w:bottom w:w="0" w:type="dxa"/>
              <w:right w:w="85" w:type="dxa"/>
            </w:tcMar>
          </w:tcPr>
          <w:p w14:paraId="35A21C12" w14:textId="77777777" w:rsidR="00E87995" w:rsidRPr="009E06AA" w:rsidRDefault="00E87995" w:rsidP="00B55F24">
            <w:pPr>
              <w:pStyle w:val="TableTextBold"/>
              <w:spacing w:before="30" w:after="30"/>
              <w:rPr>
                <w:noProof w:val="0"/>
              </w:rPr>
            </w:pPr>
            <w:r w:rsidRPr="009E06AA">
              <w:rPr>
                <w:noProof w:val="0"/>
                <w:color w:val="1B556B"/>
              </w:rPr>
              <w:t>1995</w:t>
            </w:r>
          </w:p>
        </w:tc>
        <w:tc>
          <w:tcPr>
            <w:tcW w:w="0" w:type="auto"/>
            <w:shd w:val="clear" w:color="auto" w:fill="FFFFFF"/>
            <w:tcMar>
              <w:top w:w="0" w:type="dxa"/>
              <w:left w:w="85" w:type="dxa"/>
              <w:bottom w:w="0" w:type="dxa"/>
              <w:right w:w="85" w:type="dxa"/>
            </w:tcMar>
          </w:tcPr>
          <w:p w14:paraId="271BA486" w14:textId="77777777" w:rsidR="00E87995" w:rsidRPr="009E06AA" w:rsidRDefault="00E87995" w:rsidP="00DB784A">
            <w:pPr>
              <w:pStyle w:val="TableText"/>
              <w:spacing w:before="30" w:after="30"/>
              <w:jc w:val="right"/>
            </w:pPr>
            <w:r w:rsidRPr="009E06AA">
              <w:rPr>
                <w:color w:val="000000"/>
              </w:rPr>
              <w:t>3,706,700</w:t>
            </w:r>
          </w:p>
        </w:tc>
        <w:tc>
          <w:tcPr>
            <w:tcW w:w="0" w:type="auto"/>
            <w:shd w:val="clear" w:color="auto" w:fill="FFFFFF"/>
            <w:tcMar>
              <w:top w:w="0" w:type="dxa"/>
              <w:left w:w="85" w:type="dxa"/>
              <w:bottom w:w="0" w:type="dxa"/>
              <w:right w:w="85" w:type="dxa"/>
            </w:tcMar>
          </w:tcPr>
          <w:p w14:paraId="6A83752E" w14:textId="77777777" w:rsidR="00E87995" w:rsidRPr="009E06AA" w:rsidRDefault="00E87995" w:rsidP="00E770EF">
            <w:pPr>
              <w:pStyle w:val="TableText"/>
              <w:spacing w:before="30" w:after="30"/>
              <w:jc w:val="right"/>
            </w:pPr>
            <w:r w:rsidRPr="009E06AA">
              <w:rPr>
                <w:color w:val="000000"/>
              </w:rPr>
              <w:t>Same as 1997</w:t>
            </w:r>
          </w:p>
        </w:tc>
        <w:tc>
          <w:tcPr>
            <w:tcW w:w="0" w:type="auto"/>
            <w:shd w:val="clear" w:color="auto" w:fill="FFFFFF"/>
            <w:tcMar>
              <w:top w:w="0" w:type="dxa"/>
              <w:left w:w="85" w:type="dxa"/>
              <w:bottom w:w="0" w:type="dxa"/>
              <w:right w:w="85" w:type="dxa"/>
            </w:tcMar>
          </w:tcPr>
          <w:p w14:paraId="50335102" w14:textId="77777777" w:rsidR="00E87995" w:rsidRPr="009E06AA" w:rsidRDefault="00E87995" w:rsidP="00DB784A">
            <w:pPr>
              <w:pStyle w:val="TableText"/>
              <w:spacing w:before="30" w:after="30"/>
              <w:jc w:val="right"/>
            </w:pPr>
            <w:r w:rsidRPr="009E06AA">
              <w:rPr>
                <w:color w:val="000000"/>
              </w:rPr>
              <w:t>151.2</w:t>
            </w:r>
          </w:p>
        </w:tc>
      </w:tr>
      <w:tr w:rsidR="00E87995" w:rsidRPr="009E06AA" w14:paraId="0A9AB102" w14:textId="77777777" w:rsidTr="00B55F24">
        <w:tc>
          <w:tcPr>
            <w:tcW w:w="0" w:type="auto"/>
            <w:shd w:val="clear" w:color="auto" w:fill="FFFFFF"/>
            <w:tcMar>
              <w:top w:w="0" w:type="dxa"/>
              <w:left w:w="85" w:type="dxa"/>
              <w:bottom w:w="0" w:type="dxa"/>
              <w:right w:w="85" w:type="dxa"/>
            </w:tcMar>
          </w:tcPr>
          <w:p w14:paraId="2D45EC1B" w14:textId="77777777" w:rsidR="00E87995" w:rsidRPr="009E06AA" w:rsidRDefault="00E87995" w:rsidP="00B55F24">
            <w:pPr>
              <w:pStyle w:val="TableTextBold"/>
              <w:spacing w:before="30" w:after="30"/>
              <w:rPr>
                <w:noProof w:val="0"/>
              </w:rPr>
            </w:pPr>
            <w:r w:rsidRPr="009E06AA">
              <w:rPr>
                <w:noProof w:val="0"/>
                <w:color w:val="1B556B"/>
              </w:rPr>
              <w:t>1996</w:t>
            </w:r>
          </w:p>
        </w:tc>
        <w:tc>
          <w:tcPr>
            <w:tcW w:w="0" w:type="auto"/>
            <w:shd w:val="clear" w:color="auto" w:fill="FFFFFF"/>
            <w:tcMar>
              <w:top w:w="0" w:type="dxa"/>
              <w:left w:w="85" w:type="dxa"/>
              <w:bottom w:w="0" w:type="dxa"/>
              <w:right w:w="85" w:type="dxa"/>
            </w:tcMar>
          </w:tcPr>
          <w:p w14:paraId="6E7FA099" w14:textId="77777777" w:rsidR="00E87995" w:rsidRPr="009E06AA" w:rsidRDefault="00E87995" w:rsidP="00DB784A">
            <w:pPr>
              <w:pStyle w:val="TableText"/>
              <w:spacing w:before="30" w:after="30"/>
              <w:jc w:val="right"/>
            </w:pPr>
            <w:r w:rsidRPr="009E06AA">
              <w:rPr>
                <w:color w:val="000000"/>
              </w:rPr>
              <w:t>3,762,300</w:t>
            </w:r>
          </w:p>
        </w:tc>
        <w:tc>
          <w:tcPr>
            <w:tcW w:w="0" w:type="auto"/>
            <w:shd w:val="clear" w:color="auto" w:fill="FFFFFF"/>
            <w:tcMar>
              <w:top w:w="0" w:type="dxa"/>
              <w:left w:w="85" w:type="dxa"/>
              <w:bottom w:w="0" w:type="dxa"/>
              <w:right w:w="85" w:type="dxa"/>
            </w:tcMar>
          </w:tcPr>
          <w:p w14:paraId="3140F0CA" w14:textId="77777777" w:rsidR="00E87995" w:rsidRPr="009E06AA" w:rsidRDefault="00E87995" w:rsidP="00E770EF">
            <w:pPr>
              <w:pStyle w:val="TableText"/>
              <w:spacing w:before="30" w:after="30"/>
              <w:jc w:val="right"/>
            </w:pPr>
            <w:r w:rsidRPr="009E06AA">
              <w:rPr>
                <w:color w:val="000000"/>
              </w:rPr>
              <w:t>Same as 1997</w:t>
            </w:r>
          </w:p>
        </w:tc>
        <w:tc>
          <w:tcPr>
            <w:tcW w:w="0" w:type="auto"/>
            <w:shd w:val="clear" w:color="auto" w:fill="FFFFFF"/>
            <w:tcMar>
              <w:top w:w="0" w:type="dxa"/>
              <w:left w:w="85" w:type="dxa"/>
              <w:bottom w:w="0" w:type="dxa"/>
              <w:right w:w="85" w:type="dxa"/>
            </w:tcMar>
          </w:tcPr>
          <w:p w14:paraId="23623BBE" w14:textId="77777777" w:rsidR="00E87995" w:rsidRPr="009E06AA" w:rsidRDefault="00E87995" w:rsidP="00DB784A">
            <w:pPr>
              <w:pStyle w:val="TableText"/>
              <w:spacing w:before="30" w:after="30"/>
              <w:jc w:val="right"/>
            </w:pPr>
            <w:r w:rsidRPr="009E06AA">
              <w:rPr>
                <w:color w:val="000000"/>
              </w:rPr>
              <w:t>153.8</w:t>
            </w:r>
          </w:p>
        </w:tc>
      </w:tr>
      <w:tr w:rsidR="00E87995" w:rsidRPr="009E06AA" w14:paraId="1457CC87" w14:textId="77777777" w:rsidTr="00B55F24">
        <w:tc>
          <w:tcPr>
            <w:tcW w:w="0" w:type="auto"/>
            <w:shd w:val="clear" w:color="auto" w:fill="FFFFFF"/>
            <w:tcMar>
              <w:top w:w="0" w:type="dxa"/>
              <w:left w:w="85" w:type="dxa"/>
              <w:bottom w:w="0" w:type="dxa"/>
              <w:right w:w="85" w:type="dxa"/>
            </w:tcMar>
          </w:tcPr>
          <w:p w14:paraId="6B854A0E" w14:textId="77777777" w:rsidR="00E87995" w:rsidRPr="009E06AA" w:rsidRDefault="00E87995" w:rsidP="00B55F24">
            <w:pPr>
              <w:pStyle w:val="TableTextBold"/>
              <w:spacing w:before="30" w:after="30"/>
              <w:rPr>
                <w:noProof w:val="0"/>
              </w:rPr>
            </w:pPr>
            <w:r w:rsidRPr="009E06AA">
              <w:rPr>
                <w:noProof w:val="0"/>
                <w:color w:val="1B556B"/>
              </w:rPr>
              <w:t>1997</w:t>
            </w:r>
          </w:p>
        </w:tc>
        <w:tc>
          <w:tcPr>
            <w:tcW w:w="0" w:type="auto"/>
            <w:shd w:val="clear" w:color="auto" w:fill="FFFFFF"/>
            <w:tcMar>
              <w:top w:w="0" w:type="dxa"/>
              <w:left w:w="85" w:type="dxa"/>
              <w:bottom w:w="0" w:type="dxa"/>
              <w:right w:w="85" w:type="dxa"/>
            </w:tcMar>
          </w:tcPr>
          <w:p w14:paraId="7376DAFE" w14:textId="77777777" w:rsidR="00E87995" w:rsidRPr="009E06AA" w:rsidRDefault="00E87995" w:rsidP="00DB784A">
            <w:pPr>
              <w:pStyle w:val="TableText"/>
              <w:spacing w:before="30" w:after="30"/>
              <w:jc w:val="right"/>
            </w:pPr>
            <w:r w:rsidRPr="009E06AA">
              <w:rPr>
                <w:color w:val="000000"/>
              </w:rPr>
              <w:t>3,802,700</w:t>
            </w:r>
          </w:p>
        </w:tc>
        <w:tc>
          <w:tcPr>
            <w:tcW w:w="0" w:type="auto"/>
            <w:shd w:val="clear" w:color="auto" w:fill="FFFFFF"/>
            <w:tcMar>
              <w:top w:w="0" w:type="dxa"/>
              <w:left w:w="85" w:type="dxa"/>
              <w:bottom w:w="0" w:type="dxa"/>
              <w:right w:w="85" w:type="dxa"/>
            </w:tcMar>
          </w:tcPr>
          <w:p w14:paraId="31BC2F4C" w14:textId="77777777" w:rsidR="00E87995" w:rsidRPr="009E06AA" w:rsidRDefault="00E87995" w:rsidP="00E770EF">
            <w:pPr>
              <w:pStyle w:val="TableText"/>
              <w:spacing w:before="30" w:after="30"/>
              <w:jc w:val="right"/>
            </w:pPr>
            <w:r w:rsidRPr="009E06AA">
              <w:rPr>
                <w:color w:val="000000"/>
              </w:rPr>
              <w:t>0.0425</w:t>
            </w:r>
          </w:p>
        </w:tc>
        <w:tc>
          <w:tcPr>
            <w:tcW w:w="0" w:type="auto"/>
            <w:shd w:val="clear" w:color="auto" w:fill="FFFFFF"/>
            <w:tcMar>
              <w:top w:w="0" w:type="dxa"/>
              <w:left w:w="85" w:type="dxa"/>
              <w:bottom w:w="0" w:type="dxa"/>
              <w:right w:w="85" w:type="dxa"/>
            </w:tcMar>
          </w:tcPr>
          <w:p w14:paraId="1B6F352D" w14:textId="77777777" w:rsidR="00E87995" w:rsidRPr="009E06AA" w:rsidRDefault="00E87995" w:rsidP="00DB784A">
            <w:pPr>
              <w:pStyle w:val="TableText"/>
              <w:spacing w:before="30" w:after="30"/>
              <w:jc w:val="right"/>
            </w:pPr>
            <w:r w:rsidRPr="009E06AA">
              <w:rPr>
                <w:color w:val="000000"/>
              </w:rPr>
              <w:t>155.8</w:t>
            </w:r>
          </w:p>
        </w:tc>
      </w:tr>
      <w:tr w:rsidR="00E87995" w:rsidRPr="009E06AA" w14:paraId="394D1B67" w14:textId="77777777" w:rsidTr="00B55F24">
        <w:tc>
          <w:tcPr>
            <w:tcW w:w="0" w:type="auto"/>
            <w:shd w:val="clear" w:color="auto" w:fill="FFFFFF"/>
            <w:tcMar>
              <w:top w:w="0" w:type="dxa"/>
              <w:left w:w="85" w:type="dxa"/>
              <w:bottom w:w="0" w:type="dxa"/>
              <w:right w:w="85" w:type="dxa"/>
            </w:tcMar>
          </w:tcPr>
          <w:p w14:paraId="074E0DF8" w14:textId="77777777" w:rsidR="00E87995" w:rsidRPr="009E06AA" w:rsidRDefault="00E87995" w:rsidP="00B55F24">
            <w:pPr>
              <w:pStyle w:val="TableTextBold"/>
              <w:spacing w:before="30" w:after="30"/>
              <w:rPr>
                <w:noProof w:val="0"/>
              </w:rPr>
            </w:pPr>
            <w:r w:rsidRPr="009E06AA">
              <w:rPr>
                <w:noProof w:val="0"/>
                <w:color w:val="1B556B"/>
              </w:rPr>
              <w:t>1998</w:t>
            </w:r>
          </w:p>
        </w:tc>
        <w:tc>
          <w:tcPr>
            <w:tcW w:w="0" w:type="auto"/>
            <w:shd w:val="clear" w:color="auto" w:fill="FFFFFF"/>
            <w:tcMar>
              <w:top w:w="0" w:type="dxa"/>
              <w:left w:w="85" w:type="dxa"/>
              <w:bottom w:w="0" w:type="dxa"/>
              <w:right w:w="85" w:type="dxa"/>
            </w:tcMar>
          </w:tcPr>
          <w:p w14:paraId="587A9C0A" w14:textId="77777777" w:rsidR="00E87995" w:rsidRPr="009E06AA" w:rsidRDefault="00E87995" w:rsidP="00DB784A">
            <w:pPr>
              <w:pStyle w:val="TableText"/>
              <w:spacing w:before="30" w:after="30"/>
              <w:jc w:val="right"/>
            </w:pPr>
            <w:r w:rsidRPr="009E06AA">
              <w:rPr>
                <w:color w:val="000000"/>
              </w:rPr>
              <w:t>3,829,200</w:t>
            </w:r>
          </w:p>
        </w:tc>
        <w:tc>
          <w:tcPr>
            <w:tcW w:w="0" w:type="auto"/>
            <w:shd w:val="clear" w:color="auto" w:fill="FFFFFF"/>
            <w:tcMar>
              <w:top w:w="0" w:type="dxa"/>
              <w:left w:w="85" w:type="dxa"/>
              <w:bottom w:w="0" w:type="dxa"/>
              <w:right w:w="85" w:type="dxa"/>
            </w:tcMar>
          </w:tcPr>
          <w:p w14:paraId="72C10744" w14:textId="77777777" w:rsidR="00E87995" w:rsidRPr="009E06AA" w:rsidRDefault="00E87995" w:rsidP="00E770EF">
            <w:pPr>
              <w:pStyle w:val="TableText"/>
              <w:spacing w:before="30" w:after="30"/>
              <w:jc w:val="right"/>
            </w:pPr>
            <w:r w:rsidRPr="009E06AA">
              <w:rPr>
                <w:color w:val="000000"/>
              </w:rPr>
              <w:t>Interpolated</w:t>
            </w:r>
          </w:p>
        </w:tc>
        <w:tc>
          <w:tcPr>
            <w:tcW w:w="0" w:type="auto"/>
            <w:shd w:val="clear" w:color="auto" w:fill="FFFFFF"/>
            <w:tcMar>
              <w:top w:w="0" w:type="dxa"/>
              <w:left w:w="85" w:type="dxa"/>
              <w:bottom w:w="0" w:type="dxa"/>
              <w:right w:w="85" w:type="dxa"/>
            </w:tcMar>
          </w:tcPr>
          <w:p w14:paraId="7240C186" w14:textId="77777777" w:rsidR="00E87995" w:rsidRPr="009E06AA" w:rsidRDefault="00E87995" w:rsidP="00DB784A">
            <w:pPr>
              <w:pStyle w:val="TableText"/>
              <w:spacing w:before="30" w:after="30"/>
              <w:jc w:val="right"/>
            </w:pPr>
            <w:r w:rsidRPr="009E06AA">
              <w:rPr>
                <w:color w:val="000000"/>
              </w:rPr>
              <w:t>154.8</w:t>
            </w:r>
          </w:p>
        </w:tc>
      </w:tr>
      <w:tr w:rsidR="00E87995" w:rsidRPr="009E06AA" w14:paraId="12DB8AAC" w14:textId="77777777" w:rsidTr="00B55F24">
        <w:tc>
          <w:tcPr>
            <w:tcW w:w="0" w:type="auto"/>
            <w:shd w:val="clear" w:color="auto" w:fill="FFFFFF"/>
            <w:tcMar>
              <w:top w:w="0" w:type="dxa"/>
              <w:left w:w="85" w:type="dxa"/>
              <w:bottom w:w="0" w:type="dxa"/>
              <w:right w:w="85" w:type="dxa"/>
            </w:tcMar>
          </w:tcPr>
          <w:p w14:paraId="5E2123A5" w14:textId="77777777" w:rsidR="00E87995" w:rsidRPr="009E06AA" w:rsidRDefault="00E87995" w:rsidP="00B55F24">
            <w:pPr>
              <w:pStyle w:val="TableTextBold"/>
              <w:spacing w:before="30" w:after="30"/>
              <w:rPr>
                <w:noProof w:val="0"/>
              </w:rPr>
            </w:pPr>
            <w:r w:rsidRPr="009E06AA">
              <w:rPr>
                <w:noProof w:val="0"/>
                <w:color w:val="1B556B"/>
              </w:rPr>
              <w:t>1999</w:t>
            </w:r>
          </w:p>
        </w:tc>
        <w:tc>
          <w:tcPr>
            <w:tcW w:w="0" w:type="auto"/>
            <w:shd w:val="clear" w:color="auto" w:fill="FFFFFF"/>
            <w:tcMar>
              <w:top w:w="0" w:type="dxa"/>
              <w:left w:w="85" w:type="dxa"/>
              <w:bottom w:w="0" w:type="dxa"/>
              <w:right w:w="85" w:type="dxa"/>
            </w:tcMar>
          </w:tcPr>
          <w:p w14:paraId="386159FE" w14:textId="77777777" w:rsidR="00E87995" w:rsidRPr="009E06AA" w:rsidRDefault="00E87995" w:rsidP="00DB784A">
            <w:pPr>
              <w:pStyle w:val="TableText"/>
              <w:spacing w:before="30" w:after="30"/>
              <w:jc w:val="right"/>
            </w:pPr>
            <w:r w:rsidRPr="009E06AA">
              <w:rPr>
                <w:color w:val="000000"/>
              </w:rPr>
              <w:t>3,851,100</w:t>
            </w:r>
          </w:p>
        </w:tc>
        <w:tc>
          <w:tcPr>
            <w:tcW w:w="0" w:type="auto"/>
            <w:shd w:val="clear" w:color="auto" w:fill="FFFFFF"/>
            <w:tcMar>
              <w:top w:w="0" w:type="dxa"/>
              <w:left w:w="85" w:type="dxa"/>
              <w:bottom w:w="0" w:type="dxa"/>
              <w:right w:w="85" w:type="dxa"/>
            </w:tcMar>
          </w:tcPr>
          <w:p w14:paraId="09C63214" w14:textId="77777777" w:rsidR="00E87995" w:rsidRPr="009E06AA" w:rsidRDefault="00E87995" w:rsidP="00E770EF">
            <w:pPr>
              <w:pStyle w:val="TableText"/>
              <w:spacing w:before="30" w:after="30"/>
              <w:jc w:val="right"/>
            </w:pPr>
            <w:r w:rsidRPr="009E06AA">
              <w:rPr>
                <w:color w:val="000000"/>
              </w:rPr>
              <w:t>Interpolated</w:t>
            </w:r>
          </w:p>
        </w:tc>
        <w:tc>
          <w:tcPr>
            <w:tcW w:w="0" w:type="auto"/>
            <w:shd w:val="clear" w:color="auto" w:fill="FFFFFF"/>
            <w:tcMar>
              <w:top w:w="0" w:type="dxa"/>
              <w:left w:w="85" w:type="dxa"/>
              <w:bottom w:w="0" w:type="dxa"/>
              <w:right w:w="85" w:type="dxa"/>
            </w:tcMar>
          </w:tcPr>
          <w:p w14:paraId="137BE3B6" w14:textId="77777777" w:rsidR="00E87995" w:rsidRPr="009E06AA" w:rsidRDefault="00E87995" w:rsidP="00DB784A">
            <w:pPr>
              <w:pStyle w:val="TableText"/>
              <w:spacing w:before="30" w:after="30"/>
              <w:jc w:val="right"/>
            </w:pPr>
            <w:r w:rsidRPr="009E06AA">
              <w:rPr>
                <w:color w:val="000000"/>
              </w:rPr>
              <w:t>153.9</w:t>
            </w:r>
          </w:p>
        </w:tc>
      </w:tr>
      <w:tr w:rsidR="00E87995" w:rsidRPr="009E06AA" w14:paraId="0385C52B" w14:textId="77777777" w:rsidTr="00B55F24">
        <w:tc>
          <w:tcPr>
            <w:tcW w:w="0" w:type="auto"/>
            <w:shd w:val="clear" w:color="auto" w:fill="FFFFFF"/>
            <w:tcMar>
              <w:top w:w="0" w:type="dxa"/>
              <w:left w:w="85" w:type="dxa"/>
              <w:bottom w:w="0" w:type="dxa"/>
              <w:right w:w="85" w:type="dxa"/>
            </w:tcMar>
          </w:tcPr>
          <w:p w14:paraId="0B639BE4" w14:textId="77777777" w:rsidR="00E87995" w:rsidRPr="009E06AA" w:rsidRDefault="00E87995" w:rsidP="00B55F24">
            <w:pPr>
              <w:pStyle w:val="TableTextBold"/>
              <w:spacing w:before="30" w:after="30"/>
              <w:rPr>
                <w:noProof w:val="0"/>
              </w:rPr>
            </w:pPr>
            <w:r w:rsidRPr="009E06AA">
              <w:rPr>
                <w:noProof w:val="0"/>
                <w:color w:val="1B556B"/>
              </w:rPr>
              <w:t>2000</w:t>
            </w:r>
          </w:p>
        </w:tc>
        <w:tc>
          <w:tcPr>
            <w:tcW w:w="0" w:type="auto"/>
            <w:shd w:val="clear" w:color="auto" w:fill="FFFFFF"/>
            <w:tcMar>
              <w:top w:w="0" w:type="dxa"/>
              <w:left w:w="85" w:type="dxa"/>
              <w:bottom w:w="0" w:type="dxa"/>
              <w:right w:w="85" w:type="dxa"/>
            </w:tcMar>
          </w:tcPr>
          <w:p w14:paraId="07601E2C" w14:textId="77777777" w:rsidR="00E87995" w:rsidRPr="009E06AA" w:rsidRDefault="00E87995" w:rsidP="00DB784A">
            <w:pPr>
              <w:pStyle w:val="TableText"/>
              <w:spacing w:before="30" w:after="30"/>
              <w:jc w:val="right"/>
            </w:pPr>
            <w:r w:rsidRPr="009E06AA">
              <w:rPr>
                <w:color w:val="000000"/>
              </w:rPr>
              <w:t>3,873,100</w:t>
            </w:r>
          </w:p>
        </w:tc>
        <w:tc>
          <w:tcPr>
            <w:tcW w:w="0" w:type="auto"/>
            <w:shd w:val="clear" w:color="auto" w:fill="FFFFFF"/>
            <w:tcMar>
              <w:top w:w="0" w:type="dxa"/>
              <w:left w:w="85" w:type="dxa"/>
              <w:bottom w:w="0" w:type="dxa"/>
              <w:right w:w="85" w:type="dxa"/>
            </w:tcMar>
          </w:tcPr>
          <w:p w14:paraId="0D723523" w14:textId="77777777" w:rsidR="00E87995" w:rsidRPr="009E06AA" w:rsidRDefault="00E87995" w:rsidP="00E770EF">
            <w:pPr>
              <w:pStyle w:val="TableText"/>
              <w:spacing w:before="30" w:after="30"/>
              <w:jc w:val="right"/>
            </w:pPr>
            <w:r w:rsidRPr="009E06AA">
              <w:rPr>
                <w:color w:val="000000"/>
              </w:rPr>
              <w:t>Interpolated</w:t>
            </w:r>
          </w:p>
        </w:tc>
        <w:tc>
          <w:tcPr>
            <w:tcW w:w="0" w:type="auto"/>
            <w:shd w:val="clear" w:color="auto" w:fill="FFFFFF"/>
            <w:tcMar>
              <w:top w:w="0" w:type="dxa"/>
              <w:left w:w="85" w:type="dxa"/>
              <w:bottom w:w="0" w:type="dxa"/>
              <w:right w:w="85" w:type="dxa"/>
            </w:tcMar>
          </w:tcPr>
          <w:p w14:paraId="716D2733" w14:textId="77777777" w:rsidR="00E87995" w:rsidRPr="009E06AA" w:rsidRDefault="00E87995" w:rsidP="00DB784A">
            <w:pPr>
              <w:pStyle w:val="TableText"/>
              <w:spacing w:before="30" w:after="30"/>
              <w:jc w:val="right"/>
            </w:pPr>
            <w:r w:rsidRPr="009E06AA">
              <w:rPr>
                <w:color w:val="000000"/>
              </w:rPr>
              <w:t>152.9</w:t>
            </w:r>
          </w:p>
        </w:tc>
      </w:tr>
      <w:tr w:rsidR="00E87995" w:rsidRPr="009E06AA" w14:paraId="3DD36E0E" w14:textId="77777777" w:rsidTr="00B55F24">
        <w:tc>
          <w:tcPr>
            <w:tcW w:w="0" w:type="auto"/>
            <w:shd w:val="clear" w:color="auto" w:fill="FFFFFF"/>
            <w:tcMar>
              <w:top w:w="0" w:type="dxa"/>
              <w:left w:w="85" w:type="dxa"/>
              <w:bottom w:w="0" w:type="dxa"/>
              <w:right w:w="85" w:type="dxa"/>
            </w:tcMar>
          </w:tcPr>
          <w:p w14:paraId="3DE9BCFE" w14:textId="77777777" w:rsidR="00E87995" w:rsidRPr="009E06AA" w:rsidRDefault="00E87995" w:rsidP="00B55F24">
            <w:pPr>
              <w:pStyle w:val="TableTextBold"/>
              <w:spacing w:before="30" w:after="30"/>
              <w:rPr>
                <w:noProof w:val="0"/>
              </w:rPr>
            </w:pPr>
            <w:r w:rsidRPr="009E06AA">
              <w:rPr>
                <w:noProof w:val="0"/>
                <w:color w:val="1B556B"/>
              </w:rPr>
              <w:t>2001</w:t>
            </w:r>
          </w:p>
        </w:tc>
        <w:tc>
          <w:tcPr>
            <w:tcW w:w="0" w:type="auto"/>
            <w:shd w:val="clear" w:color="auto" w:fill="FFFFFF"/>
            <w:tcMar>
              <w:top w:w="0" w:type="dxa"/>
              <w:left w:w="85" w:type="dxa"/>
              <w:bottom w:w="0" w:type="dxa"/>
              <w:right w:w="85" w:type="dxa"/>
            </w:tcMar>
          </w:tcPr>
          <w:p w14:paraId="4B0422DB" w14:textId="77777777" w:rsidR="00E87995" w:rsidRPr="009E06AA" w:rsidRDefault="00E87995" w:rsidP="00DB784A">
            <w:pPr>
              <w:pStyle w:val="TableText"/>
              <w:spacing w:before="30" w:after="30"/>
              <w:jc w:val="right"/>
            </w:pPr>
            <w:r w:rsidRPr="009E06AA">
              <w:rPr>
                <w:color w:val="000000"/>
              </w:rPr>
              <w:t>3,916,200</w:t>
            </w:r>
          </w:p>
        </w:tc>
        <w:tc>
          <w:tcPr>
            <w:tcW w:w="0" w:type="auto"/>
            <w:shd w:val="clear" w:color="auto" w:fill="FFFFFF"/>
            <w:tcMar>
              <w:top w:w="0" w:type="dxa"/>
              <w:left w:w="85" w:type="dxa"/>
              <w:bottom w:w="0" w:type="dxa"/>
              <w:right w:w="85" w:type="dxa"/>
            </w:tcMar>
          </w:tcPr>
          <w:p w14:paraId="78BA0971" w14:textId="77777777" w:rsidR="00E87995" w:rsidRPr="009E06AA" w:rsidRDefault="00E87995" w:rsidP="00E770EF">
            <w:pPr>
              <w:pStyle w:val="TableText"/>
              <w:spacing w:before="30" w:after="30"/>
              <w:jc w:val="right"/>
            </w:pPr>
            <w:r w:rsidRPr="009E06AA">
              <w:rPr>
                <w:color w:val="000000"/>
              </w:rPr>
              <w:t>0.0378</w:t>
            </w:r>
          </w:p>
        </w:tc>
        <w:tc>
          <w:tcPr>
            <w:tcW w:w="0" w:type="auto"/>
            <w:shd w:val="clear" w:color="auto" w:fill="FFFFFF"/>
            <w:tcMar>
              <w:top w:w="0" w:type="dxa"/>
              <w:left w:w="85" w:type="dxa"/>
              <w:bottom w:w="0" w:type="dxa"/>
              <w:right w:w="85" w:type="dxa"/>
            </w:tcMar>
          </w:tcPr>
          <w:p w14:paraId="140924BF" w14:textId="77777777" w:rsidR="00E87995" w:rsidRPr="009E06AA" w:rsidRDefault="00E87995" w:rsidP="00DB784A">
            <w:pPr>
              <w:pStyle w:val="TableText"/>
              <w:spacing w:before="30" w:after="30"/>
              <w:jc w:val="right"/>
            </w:pPr>
            <w:r w:rsidRPr="009E06AA">
              <w:rPr>
                <w:color w:val="000000"/>
              </w:rPr>
              <w:t>151.9</w:t>
            </w:r>
          </w:p>
        </w:tc>
      </w:tr>
      <w:tr w:rsidR="00E87995" w:rsidRPr="009E06AA" w14:paraId="7571FC82" w14:textId="77777777" w:rsidTr="00B55F24">
        <w:tc>
          <w:tcPr>
            <w:tcW w:w="0" w:type="auto"/>
            <w:shd w:val="clear" w:color="auto" w:fill="FFFFFF"/>
            <w:tcMar>
              <w:top w:w="0" w:type="dxa"/>
              <w:left w:w="85" w:type="dxa"/>
              <w:bottom w:w="0" w:type="dxa"/>
              <w:right w:w="85" w:type="dxa"/>
            </w:tcMar>
          </w:tcPr>
          <w:p w14:paraId="7331F18A" w14:textId="77777777" w:rsidR="00E87995" w:rsidRPr="009E06AA" w:rsidRDefault="00E87995" w:rsidP="00B55F24">
            <w:pPr>
              <w:pStyle w:val="TableTextBold"/>
              <w:spacing w:before="30" w:after="30"/>
              <w:rPr>
                <w:noProof w:val="0"/>
              </w:rPr>
            </w:pPr>
            <w:r w:rsidRPr="009E06AA">
              <w:rPr>
                <w:noProof w:val="0"/>
                <w:color w:val="1B556B"/>
              </w:rPr>
              <w:t>2002</w:t>
            </w:r>
          </w:p>
        </w:tc>
        <w:tc>
          <w:tcPr>
            <w:tcW w:w="0" w:type="auto"/>
            <w:shd w:val="clear" w:color="auto" w:fill="FFFFFF"/>
            <w:tcMar>
              <w:top w:w="0" w:type="dxa"/>
              <w:left w:w="85" w:type="dxa"/>
              <w:bottom w:w="0" w:type="dxa"/>
              <w:right w:w="85" w:type="dxa"/>
            </w:tcMar>
          </w:tcPr>
          <w:p w14:paraId="5E0C2EE5" w14:textId="77777777" w:rsidR="00E87995" w:rsidRPr="009E06AA" w:rsidRDefault="00E87995" w:rsidP="00DB784A">
            <w:pPr>
              <w:pStyle w:val="TableText"/>
              <w:spacing w:before="30" w:after="30"/>
              <w:jc w:val="right"/>
            </w:pPr>
            <w:r w:rsidRPr="009E06AA">
              <w:rPr>
                <w:color w:val="000000"/>
              </w:rPr>
              <w:t>3,989,500</w:t>
            </w:r>
          </w:p>
        </w:tc>
        <w:tc>
          <w:tcPr>
            <w:tcW w:w="0" w:type="auto"/>
            <w:shd w:val="clear" w:color="auto" w:fill="FFFFFF"/>
            <w:tcMar>
              <w:top w:w="0" w:type="dxa"/>
              <w:left w:w="85" w:type="dxa"/>
              <w:bottom w:w="0" w:type="dxa"/>
              <w:right w:w="85" w:type="dxa"/>
            </w:tcMar>
          </w:tcPr>
          <w:p w14:paraId="146FF976" w14:textId="77777777" w:rsidR="00E87995" w:rsidRPr="009E06AA" w:rsidRDefault="00E87995" w:rsidP="00E770EF">
            <w:pPr>
              <w:pStyle w:val="TableText"/>
              <w:spacing w:before="30" w:after="30"/>
              <w:jc w:val="right"/>
            </w:pPr>
            <w:r w:rsidRPr="009E06AA">
              <w:rPr>
                <w:color w:val="000000"/>
              </w:rPr>
              <w:t>Interpolated</w:t>
            </w:r>
          </w:p>
        </w:tc>
        <w:tc>
          <w:tcPr>
            <w:tcW w:w="0" w:type="auto"/>
            <w:shd w:val="clear" w:color="auto" w:fill="FFFFFF"/>
            <w:tcMar>
              <w:top w:w="0" w:type="dxa"/>
              <w:left w:w="85" w:type="dxa"/>
              <w:bottom w:w="0" w:type="dxa"/>
              <w:right w:w="85" w:type="dxa"/>
            </w:tcMar>
          </w:tcPr>
          <w:p w14:paraId="26C1D76B" w14:textId="77777777" w:rsidR="00E87995" w:rsidRPr="009E06AA" w:rsidRDefault="00E87995" w:rsidP="00DB784A">
            <w:pPr>
              <w:pStyle w:val="TableText"/>
              <w:spacing w:before="30" w:after="30"/>
              <w:jc w:val="right"/>
            </w:pPr>
            <w:r w:rsidRPr="009E06AA">
              <w:rPr>
                <w:color w:val="000000"/>
              </w:rPr>
              <w:t>155.2</w:t>
            </w:r>
          </w:p>
        </w:tc>
      </w:tr>
      <w:tr w:rsidR="00E87995" w:rsidRPr="009E06AA" w14:paraId="761DF065" w14:textId="77777777" w:rsidTr="00B55F24">
        <w:tc>
          <w:tcPr>
            <w:tcW w:w="0" w:type="auto"/>
            <w:shd w:val="clear" w:color="auto" w:fill="FFFFFF"/>
            <w:tcMar>
              <w:top w:w="0" w:type="dxa"/>
              <w:left w:w="85" w:type="dxa"/>
              <w:bottom w:w="0" w:type="dxa"/>
              <w:right w:w="85" w:type="dxa"/>
            </w:tcMar>
          </w:tcPr>
          <w:p w14:paraId="30F102DC" w14:textId="77777777" w:rsidR="00E87995" w:rsidRPr="009E06AA" w:rsidRDefault="00E87995" w:rsidP="00B55F24">
            <w:pPr>
              <w:pStyle w:val="TableTextBold"/>
              <w:spacing w:before="30" w:after="30"/>
              <w:rPr>
                <w:noProof w:val="0"/>
              </w:rPr>
            </w:pPr>
            <w:r w:rsidRPr="009E06AA">
              <w:rPr>
                <w:noProof w:val="0"/>
                <w:color w:val="1B556B"/>
              </w:rPr>
              <w:t>2003</w:t>
            </w:r>
          </w:p>
        </w:tc>
        <w:tc>
          <w:tcPr>
            <w:tcW w:w="0" w:type="auto"/>
            <w:shd w:val="clear" w:color="auto" w:fill="FFFFFF"/>
            <w:tcMar>
              <w:top w:w="0" w:type="dxa"/>
              <w:left w:w="85" w:type="dxa"/>
              <w:bottom w:w="0" w:type="dxa"/>
              <w:right w:w="85" w:type="dxa"/>
            </w:tcMar>
          </w:tcPr>
          <w:p w14:paraId="290780AC" w14:textId="77777777" w:rsidR="00E87995" w:rsidRPr="009E06AA" w:rsidRDefault="00E87995" w:rsidP="00DB784A">
            <w:pPr>
              <w:pStyle w:val="TableText"/>
              <w:spacing w:before="30" w:after="30"/>
              <w:jc w:val="right"/>
            </w:pPr>
            <w:r w:rsidRPr="009E06AA">
              <w:rPr>
                <w:color w:val="000000"/>
              </w:rPr>
              <w:t>4,061,600</w:t>
            </w:r>
          </w:p>
        </w:tc>
        <w:tc>
          <w:tcPr>
            <w:tcW w:w="0" w:type="auto"/>
            <w:shd w:val="clear" w:color="auto" w:fill="FFFFFF"/>
            <w:tcMar>
              <w:top w:w="0" w:type="dxa"/>
              <w:left w:w="85" w:type="dxa"/>
              <w:bottom w:w="0" w:type="dxa"/>
              <w:right w:w="85" w:type="dxa"/>
            </w:tcMar>
          </w:tcPr>
          <w:p w14:paraId="1FE01CA7" w14:textId="77777777" w:rsidR="00E87995" w:rsidRPr="009E06AA" w:rsidRDefault="00E87995" w:rsidP="00E770EF">
            <w:pPr>
              <w:pStyle w:val="TableText"/>
              <w:spacing w:before="30" w:after="30"/>
              <w:jc w:val="right"/>
            </w:pPr>
            <w:r w:rsidRPr="009E06AA">
              <w:rPr>
                <w:color w:val="000000"/>
              </w:rPr>
              <w:t>Interpolated</w:t>
            </w:r>
          </w:p>
        </w:tc>
        <w:tc>
          <w:tcPr>
            <w:tcW w:w="0" w:type="auto"/>
            <w:shd w:val="clear" w:color="auto" w:fill="FFFFFF"/>
            <w:tcMar>
              <w:top w:w="0" w:type="dxa"/>
              <w:left w:w="85" w:type="dxa"/>
              <w:bottom w:w="0" w:type="dxa"/>
              <w:right w:w="85" w:type="dxa"/>
            </w:tcMar>
          </w:tcPr>
          <w:p w14:paraId="73B80829" w14:textId="77777777" w:rsidR="00E87995" w:rsidRPr="009E06AA" w:rsidRDefault="00E87995" w:rsidP="00DB784A">
            <w:pPr>
              <w:pStyle w:val="TableText"/>
              <w:spacing w:before="30" w:after="30"/>
              <w:jc w:val="right"/>
            </w:pPr>
            <w:r w:rsidRPr="009E06AA">
              <w:rPr>
                <w:color w:val="000000"/>
              </w:rPr>
              <w:t>158.6</w:t>
            </w:r>
          </w:p>
        </w:tc>
      </w:tr>
      <w:tr w:rsidR="00E87995" w:rsidRPr="009E06AA" w14:paraId="295F1214" w14:textId="77777777" w:rsidTr="00B55F24">
        <w:tc>
          <w:tcPr>
            <w:tcW w:w="0" w:type="auto"/>
            <w:shd w:val="clear" w:color="auto" w:fill="FFFFFF"/>
            <w:tcMar>
              <w:top w:w="0" w:type="dxa"/>
              <w:left w:w="85" w:type="dxa"/>
              <w:bottom w:w="0" w:type="dxa"/>
              <w:right w:w="85" w:type="dxa"/>
            </w:tcMar>
          </w:tcPr>
          <w:p w14:paraId="759C5B48" w14:textId="77777777" w:rsidR="00E87995" w:rsidRPr="009E06AA" w:rsidRDefault="00E87995" w:rsidP="00B55F24">
            <w:pPr>
              <w:pStyle w:val="TableTextBold"/>
              <w:spacing w:before="30" w:after="30"/>
              <w:rPr>
                <w:noProof w:val="0"/>
              </w:rPr>
            </w:pPr>
            <w:r w:rsidRPr="009E06AA">
              <w:rPr>
                <w:noProof w:val="0"/>
                <w:color w:val="1B556B"/>
              </w:rPr>
              <w:t>2004</w:t>
            </w:r>
          </w:p>
        </w:tc>
        <w:tc>
          <w:tcPr>
            <w:tcW w:w="0" w:type="auto"/>
            <w:shd w:val="clear" w:color="auto" w:fill="FFFFFF"/>
            <w:tcMar>
              <w:top w:w="0" w:type="dxa"/>
              <w:left w:w="85" w:type="dxa"/>
              <w:bottom w:w="0" w:type="dxa"/>
              <w:right w:w="85" w:type="dxa"/>
            </w:tcMar>
          </w:tcPr>
          <w:p w14:paraId="0A66DE75" w14:textId="77777777" w:rsidR="00E87995" w:rsidRPr="009E06AA" w:rsidRDefault="00E87995" w:rsidP="00DB784A">
            <w:pPr>
              <w:pStyle w:val="TableText"/>
              <w:spacing w:before="30" w:after="30"/>
              <w:jc w:val="right"/>
            </w:pPr>
            <w:r w:rsidRPr="009E06AA">
              <w:rPr>
                <w:color w:val="000000"/>
              </w:rPr>
              <w:t>4,114,300</w:t>
            </w:r>
          </w:p>
        </w:tc>
        <w:tc>
          <w:tcPr>
            <w:tcW w:w="0" w:type="auto"/>
            <w:shd w:val="clear" w:color="auto" w:fill="FFFFFF"/>
            <w:tcMar>
              <w:top w:w="0" w:type="dxa"/>
              <w:left w:w="85" w:type="dxa"/>
              <w:bottom w:w="0" w:type="dxa"/>
              <w:right w:w="85" w:type="dxa"/>
            </w:tcMar>
          </w:tcPr>
          <w:p w14:paraId="2770E760" w14:textId="77777777" w:rsidR="00E87995" w:rsidRPr="009E06AA" w:rsidRDefault="00E87995" w:rsidP="00E770EF">
            <w:pPr>
              <w:pStyle w:val="TableText"/>
              <w:spacing w:before="30" w:after="30"/>
              <w:jc w:val="right"/>
            </w:pPr>
            <w:r w:rsidRPr="009E06AA">
              <w:rPr>
                <w:color w:val="000000"/>
              </w:rPr>
              <w:t>Interpolated</w:t>
            </w:r>
          </w:p>
        </w:tc>
        <w:tc>
          <w:tcPr>
            <w:tcW w:w="0" w:type="auto"/>
            <w:shd w:val="clear" w:color="auto" w:fill="FFFFFF"/>
            <w:tcMar>
              <w:top w:w="0" w:type="dxa"/>
              <w:left w:w="85" w:type="dxa"/>
              <w:bottom w:w="0" w:type="dxa"/>
              <w:right w:w="85" w:type="dxa"/>
            </w:tcMar>
          </w:tcPr>
          <w:p w14:paraId="3169228C" w14:textId="77777777" w:rsidR="00E87995" w:rsidRPr="009E06AA" w:rsidRDefault="00E87995" w:rsidP="00DB784A">
            <w:pPr>
              <w:pStyle w:val="TableText"/>
              <w:spacing w:before="30" w:after="30"/>
              <w:jc w:val="right"/>
            </w:pPr>
            <w:r w:rsidRPr="009E06AA">
              <w:rPr>
                <w:color w:val="000000"/>
              </w:rPr>
              <w:t>161.9</w:t>
            </w:r>
          </w:p>
        </w:tc>
      </w:tr>
      <w:tr w:rsidR="00E87995" w:rsidRPr="009E06AA" w14:paraId="38D7CE89" w14:textId="77777777" w:rsidTr="00B55F24">
        <w:tc>
          <w:tcPr>
            <w:tcW w:w="0" w:type="auto"/>
            <w:shd w:val="clear" w:color="auto" w:fill="FFFFFF"/>
            <w:tcMar>
              <w:top w:w="0" w:type="dxa"/>
              <w:left w:w="85" w:type="dxa"/>
              <w:bottom w:w="0" w:type="dxa"/>
              <w:right w:w="85" w:type="dxa"/>
            </w:tcMar>
          </w:tcPr>
          <w:p w14:paraId="3F454C1A" w14:textId="77777777" w:rsidR="00E87995" w:rsidRPr="009E06AA" w:rsidRDefault="00E87995" w:rsidP="00B55F24">
            <w:pPr>
              <w:pStyle w:val="TableTextBold"/>
              <w:spacing w:before="30" w:after="30"/>
              <w:rPr>
                <w:noProof w:val="0"/>
              </w:rPr>
            </w:pPr>
            <w:r w:rsidRPr="009E06AA">
              <w:rPr>
                <w:noProof w:val="0"/>
                <w:color w:val="1B556B"/>
              </w:rPr>
              <w:t>2005</w:t>
            </w:r>
          </w:p>
        </w:tc>
        <w:tc>
          <w:tcPr>
            <w:tcW w:w="0" w:type="auto"/>
            <w:shd w:val="clear" w:color="auto" w:fill="FFFFFF"/>
            <w:tcMar>
              <w:top w:w="0" w:type="dxa"/>
              <w:left w:w="85" w:type="dxa"/>
              <w:bottom w:w="0" w:type="dxa"/>
              <w:right w:w="85" w:type="dxa"/>
            </w:tcMar>
          </w:tcPr>
          <w:p w14:paraId="60855C2F" w14:textId="77777777" w:rsidR="00E87995" w:rsidRPr="009E06AA" w:rsidRDefault="00E87995" w:rsidP="00DB784A">
            <w:pPr>
              <w:pStyle w:val="TableText"/>
              <w:spacing w:before="30" w:after="30"/>
              <w:jc w:val="right"/>
            </w:pPr>
            <w:r w:rsidRPr="009E06AA">
              <w:rPr>
                <w:color w:val="000000"/>
              </w:rPr>
              <w:t>4,161,000</w:t>
            </w:r>
          </w:p>
        </w:tc>
        <w:tc>
          <w:tcPr>
            <w:tcW w:w="0" w:type="auto"/>
            <w:shd w:val="clear" w:color="auto" w:fill="FFFFFF"/>
            <w:tcMar>
              <w:top w:w="0" w:type="dxa"/>
              <w:left w:w="85" w:type="dxa"/>
              <w:bottom w:w="0" w:type="dxa"/>
              <w:right w:w="85" w:type="dxa"/>
            </w:tcMar>
          </w:tcPr>
          <w:p w14:paraId="772E4FA3" w14:textId="77777777" w:rsidR="00E87995" w:rsidRPr="009E06AA" w:rsidRDefault="00E87995" w:rsidP="00E770EF">
            <w:pPr>
              <w:pStyle w:val="TableText"/>
              <w:spacing w:before="30" w:after="30"/>
              <w:jc w:val="right"/>
            </w:pPr>
            <w:r w:rsidRPr="009E06AA">
              <w:rPr>
                <w:color w:val="000000"/>
              </w:rPr>
              <w:t>Interpolated</w:t>
            </w:r>
          </w:p>
        </w:tc>
        <w:tc>
          <w:tcPr>
            <w:tcW w:w="0" w:type="auto"/>
            <w:shd w:val="clear" w:color="auto" w:fill="FFFFFF"/>
            <w:tcMar>
              <w:top w:w="0" w:type="dxa"/>
              <w:left w:w="85" w:type="dxa"/>
              <w:bottom w:w="0" w:type="dxa"/>
              <w:right w:w="85" w:type="dxa"/>
            </w:tcMar>
          </w:tcPr>
          <w:p w14:paraId="46B214E1" w14:textId="77777777" w:rsidR="00E87995" w:rsidRPr="009E06AA" w:rsidRDefault="00E87995" w:rsidP="00DB784A">
            <w:pPr>
              <w:pStyle w:val="TableText"/>
              <w:spacing w:before="30" w:after="30"/>
              <w:jc w:val="right"/>
            </w:pPr>
            <w:r w:rsidRPr="009E06AA">
              <w:rPr>
                <w:color w:val="000000"/>
              </w:rPr>
              <w:t>165.4</w:t>
            </w:r>
          </w:p>
        </w:tc>
      </w:tr>
      <w:tr w:rsidR="00E87995" w:rsidRPr="009E06AA" w14:paraId="2710CDD1" w14:textId="77777777" w:rsidTr="00B55F24">
        <w:tc>
          <w:tcPr>
            <w:tcW w:w="0" w:type="auto"/>
            <w:shd w:val="clear" w:color="auto" w:fill="FFFFFF"/>
            <w:tcMar>
              <w:top w:w="0" w:type="dxa"/>
              <w:left w:w="85" w:type="dxa"/>
              <w:bottom w:w="0" w:type="dxa"/>
              <w:right w:w="85" w:type="dxa"/>
            </w:tcMar>
          </w:tcPr>
          <w:p w14:paraId="4A1B2C98" w14:textId="77777777" w:rsidR="00E87995" w:rsidRPr="009E06AA" w:rsidRDefault="00E87995" w:rsidP="00B55F24">
            <w:pPr>
              <w:pStyle w:val="TableTextBold"/>
              <w:spacing w:before="30" w:after="30"/>
              <w:rPr>
                <w:noProof w:val="0"/>
              </w:rPr>
            </w:pPr>
            <w:r w:rsidRPr="009E06AA">
              <w:rPr>
                <w:noProof w:val="0"/>
                <w:color w:val="1B556B"/>
              </w:rPr>
              <w:t>2006</w:t>
            </w:r>
          </w:p>
        </w:tc>
        <w:tc>
          <w:tcPr>
            <w:tcW w:w="0" w:type="auto"/>
            <w:shd w:val="clear" w:color="auto" w:fill="FFFFFF"/>
            <w:tcMar>
              <w:top w:w="0" w:type="dxa"/>
              <w:left w:w="85" w:type="dxa"/>
              <w:bottom w:w="0" w:type="dxa"/>
              <w:right w:w="85" w:type="dxa"/>
            </w:tcMar>
          </w:tcPr>
          <w:p w14:paraId="0F8AA05C" w14:textId="77777777" w:rsidR="00E87995" w:rsidRPr="009E06AA" w:rsidRDefault="00E87995" w:rsidP="00DB784A">
            <w:pPr>
              <w:pStyle w:val="TableText"/>
              <w:spacing w:before="30" w:after="30"/>
              <w:jc w:val="right"/>
            </w:pPr>
            <w:r w:rsidRPr="009E06AA">
              <w:rPr>
                <w:color w:val="000000"/>
              </w:rPr>
              <w:t>4,209,100</w:t>
            </w:r>
          </w:p>
        </w:tc>
        <w:tc>
          <w:tcPr>
            <w:tcW w:w="0" w:type="auto"/>
            <w:shd w:val="clear" w:color="auto" w:fill="FFFFFF"/>
            <w:tcMar>
              <w:top w:w="0" w:type="dxa"/>
              <w:left w:w="85" w:type="dxa"/>
              <w:bottom w:w="0" w:type="dxa"/>
              <w:right w:w="85" w:type="dxa"/>
            </w:tcMar>
          </w:tcPr>
          <w:p w14:paraId="5436946E" w14:textId="77777777" w:rsidR="00E87995" w:rsidRPr="009E06AA" w:rsidRDefault="00E87995" w:rsidP="00E770EF">
            <w:pPr>
              <w:pStyle w:val="TableText"/>
              <w:spacing w:before="30" w:after="30"/>
              <w:jc w:val="right"/>
            </w:pPr>
            <w:r w:rsidRPr="009E06AA">
              <w:rPr>
                <w:color w:val="000000"/>
              </w:rPr>
              <w:t>0.</w:t>
            </w:r>
            <w:r w:rsidRPr="009E06AA">
              <w:rPr>
                <w:rFonts w:eastAsia="Calibri" w:cs="Calibri"/>
                <w:color w:val="000000"/>
                <w:szCs w:val="16"/>
              </w:rPr>
              <w:t>0320</w:t>
            </w:r>
          </w:p>
        </w:tc>
        <w:tc>
          <w:tcPr>
            <w:tcW w:w="0" w:type="auto"/>
            <w:shd w:val="clear" w:color="auto" w:fill="FFFFFF"/>
            <w:tcMar>
              <w:top w:w="0" w:type="dxa"/>
              <w:left w:w="85" w:type="dxa"/>
              <w:bottom w:w="0" w:type="dxa"/>
              <w:right w:w="85" w:type="dxa"/>
            </w:tcMar>
          </w:tcPr>
          <w:p w14:paraId="4CE923D7" w14:textId="77777777" w:rsidR="00E87995" w:rsidRPr="009E06AA" w:rsidRDefault="00E87995" w:rsidP="00DB784A">
            <w:pPr>
              <w:pStyle w:val="TableText"/>
              <w:spacing w:before="30" w:after="30"/>
              <w:jc w:val="right"/>
            </w:pPr>
            <w:r w:rsidRPr="009E06AA">
              <w:rPr>
                <w:color w:val="000000"/>
              </w:rPr>
              <w:t>168.0</w:t>
            </w:r>
          </w:p>
        </w:tc>
      </w:tr>
      <w:tr w:rsidR="00E87995" w:rsidRPr="009E06AA" w14:paraId="43EAB1F6" w14:textId="77777777" w:rsidTr="00B55F24">
        <w:tc>
          <w:tcPr>
            <w:tcW w:w="0" w:type="auto"/>
            <w:shd w:val="clear" w:color="auto" w:fill="FFFFFF"/>
            <w:tcMar>
              <w:top w:w="0" w:type="dxa"/>
              <w:left w:w="85" w:type="dxa"/>
              <w:bottom w:w="0" w:type="dxa"/>
              <w:right w:w="85" w:type="dxa"/>
            </w:tcMar>
          </w:tcPr>
          <w:p w14:paraId="4AB4952E" w14:textId="77777777" w:rsidR="00E87995" w:rsidRPr="009E06AA" w:rsidRDefault="00E87995" w:rsidP="00B55F24">
            <w:pPr>
              <w:pStyle w:val="TableTextBold"/>
              <w:spacing w:before="30" w:after="30"/>
              <w:rPr>
                <w:noProof w:val="0"/>
              </w:rPr>
            </w:pPr>
            <w:r w:rsidRPr="009E06AA">
              <w:rPr>
                <w:noProof w:val="0"/>
                <w:color w:val="1B556B"/>
              </w:rPr>
              <w:t>2007</w:t>
            </w:r>
          </w:p>
        </w:tc>
        <w:tc>
          <w:tcPr>
            <w:tcW w:w="0" w:type="auto"/>
            <w:shd w:val="clear" w:color="auto" w:fill="FFFFFF"/>
            <w:tcMar>
              <w:top w:w="0" w:type="dxa"/>
              <w:left w:w="85" w:type="dxa"/>
              <w:bottom w:w="0" w:type="dxa"/>
              <w:right w:w="85" w:type="dxa"/>
            </w:tcMar>
          </w:tcPr>
          <w:p w14:paraId="0CCBDFC7" w14:textId="77777777" w:rsidR="00E87995" w:rsidRPr="009E06AA" w:rsidRDefault="00E87995" w:rsidP="00DB784A">
            <w:pPr>
              <w:pStyle w:val="TableText"/>
              <w:spacing w:before="30" w:after="30"/>
              <w:jc w:val="right"/>
            </w:pPr>
            <w:r w:rsidRPr="009E06AA">
              <w:rPr>
                <w:color w:val="000000"/>
              </w:rPr>
              <w:t>4,245,700</w:t>
            </w:r>
          </w:p>
        </w:tc>
        <w:tc>
          <w:tcPr>
            <w:tcW w:w="0" w:type="auto"/>
            <w:shd w:val="clear" w:color="auto" w:fill="FFFFFF"/>
            <w:tcMar>
              <w:top w:w="0" w:type="dxa"/>
              <w:left w:w="85" w:type="dxa"/>
              <w:bottom w:w="0" w:type="dxa"/>
              <w:right w:w="85" w:type="dxa"/>
            </w:tcMar>
          </w:tcPr>
          <w:p w14:paraId="04549583" w14:textId="77777777" w:rsidR="00E87995" w:rsidRPr="009E06AA" w:rsidRDefault="00E87995" w:rsidP="00E770EF">
            <w:pPr>
              <w:pStyle w:val="TableText"/>
              <w:spacing w:before="30" w:after="30"/>
              <w:jc w:val="right"/>
            </w:pPr>
            <w:r w:rsidRPr="009E06AA">
              <w:rPr>
                <w:color w:val="000000"/>
              </w:rPr>
              <w:t>Interpolated</w:t>
            </w:r>
          </w:p>
        </w:tc>
        <w:tc>
          <w:tcPr>
            <w:tcW w:w="0" w:type="auto"/>
            <w:shd w:val="clear" w:color="auto" w:fill="FFFFFF"/>
            <w:tcMar>
              <w:top w:w="0" w:type="dxa"/>
              <w:left w:w="85" w:type="dxa"/>
              <w:bottom w:w="0" w:type="dxa"/>
              <w:right w:w="85" w:type="dxa"/>
            </w:tcMar>
          </w:tcPr>
          <w:p w14:paraId="3BF86941" w14:textId="77777777" w:rsidR="00E87995" w:rsidRPr="009E06AA" w:rsidRDefault="00E87995" w:rsidP="00DB784A">
            <w:pPr>
              <w:pStyle w:val="TableText"/>
              <w:spacing w:before="30" w:after="30"/>
              <w:jc w:val="right"/>
            </w:pPr>
            <w:r w:rsidRPr="009E06AA">
              <w:rPr>
                <w:color w:val="000000"/>
              </w:rPr>
              <w:t>170.6</w:t>
            </w:r>
          </w:p>
        </w:tc>
      </w:tr>
      <w:tr w:rsidR="00E87995" w:rsidRPr="009E06AA" w14:paraId="12FD0580" w14:textId="77777777" w:rsidTr="00B55F24">
        <w:tc>
          <w:tcPr>
            <w:tcW w:w="0" w:type="auto"/>
            <w:shd w:val="clear" w:color="auto" w:fill="FFFFFF"/>
            <w:tcMar>
              <w:top w:w="0" w:type="dxa"/>
              <w:left w:w="85" w:type="dxa"/>
              <w:bottom w:w="0" w:type="dxa"/>
              <w:right w:w="85" w:type="dxa"/>
            </w:tcMar>
          </w:tcPr>
          <w:p w14:paraId="1DBA11EC" w14:textId="77777777" w:rsidR="00E87995" w:rsidRPr="009E06AA" w:rsidRDefault="00E87995" w:rsidP="00B55F24">
            <w:pPr>
              <w:pStyle w:val="TableTextBold"/>
              <w:spacing w:before="30" w:after="30"/>
              <w:rPr>
                <w:noProof w:val="0"/>
              </w:rPr>
            </w:pPr>
            <w:r w:rsidRPr="009E06AA">
              <w:rPr>
                <w:noProof w:val="0"/>
                <w:color w:val="1B556B"/>
              </w:rPr>
              <w:t>2008</w:t>
            </w:r>
          </w:p>
        </w:tc>
        <w:tc>
          <w:tcPr>
            <w:tcW w:w="0" w:type="auto"/>
            <w:shd w:val="clear" w:color="auto" w:fill="FFFFFF"/>
            <w:tcMar>
              <w:top w:w="0" w:type="dxa"/>
              <w:left w:w="85" w:type="dxa"/>
              <w:bottom w:w="0" w:type="dxa"/>
              <w:right w:w="85" w:type="dxa"/>
            </w:tcMar>
          </w:tcPr>
          <w:p w14:paraId="064E3F43" w14:textId="77777777" w:rsidR="00E87995" w:rsidRPr="009E06AA" w:rsidRDefault="00E87995" w:rsidP="00DB784A">
            <w:pPr>
              <w:pStyle w:val="TableText"/>
              <w:spacing w:before="30" w:after="30"/>
              <w:jc w:val="right"/>
            </w:pPr>
            <w:r w:rsidRPr="009E06AA">
              <w:rPr>
                <w:color w:val="000000"/>
              </w:rPr>
              <w:t>4,280,300</w:t>
            </w:r>
          </w:p>
        </w:tc>
        <w:tc>
          <w:tcPr>
            <w:tcW w:w="0" w:type="auto"/>
            <w:shd w:val="clear" w:color="auto" w:fill="FFFFFF"/>
            <w:tcMar>
              <w:top w:w="0" w:type="dxa"/>
              <w:left w:w="85" w:type="dxa"/>
              <w:bottom w:w="0" w:type="dxa"/>
              <w:right w:w="85" w:type="dxa"/>
            </w:tcMar>
          </w:tcPr>
          <w:p w14:paraId="02DDAD7C" w14:textId="77777777" w:rsidR="00E87995" w:rsidRPr="009E06AA" w:rsidRDefault="00E87995" w:rsidP="00E770EF">
            <w:pPr>
              <w:pStyle w:val="TableText"/>
              <w:spacing w:before="30" w:after="30"/>
              <w:jc w:val="right"/>
            </w:pPr>
            <w:r w:rsidRPr="009E06AA">
              <w:rPr>
                <w:color w:val="000000"/>
              </w:rPr>
              <w:t>Interpolated</w:t>
            </w:r>
          </w:p>
        </w:tc>
        <w:tc>
          <w:tcPr>
            <w:tcW w:w="0" w:type="auto"/>
            <w:shd w:val="clear" w:color="auto" w:fill="FFFFFF"/>
            <w:tcMar>
              <w:top w:w="0" w:type="dxa"/>
              <w:left w:w="85" w:type="dxa"/>
              <w:bottom w:w="0" w:type="dxa"/>
              <w:right w:w="85" w:type="dxa"/>
            </w:tcMar>
          </w:tcPr>
          <w:p w14:paraId="0D550DBF" w14:textId="77777777" w:rsidR="00E87995" w:rsidRPr="009E06AA" w:rsidRDefault="00E87995" w:rsidP="00DB784A">
            <w:pPr>
              <w:pStyle w:val="TableText"/>
              <w:spacing w:before="30" w:after="30"/>
              <w:jc w:val="right"/>
            </w:pPr>
            <w:r w:rsidRPr="009E06AA">
              <w:rPr>
                <w:color w:val="000000"/>
              </w:rPr>
              <w:t>172.4</w:t>
            </w:r>
          </w:p>
        </w:tc>
      </w:tr>
      <w:tr w:rsidR="00E87995" w:rsidRPr="009E06AA" w14:paraId="4C0FBAF1" w14:textId="77777777" w:rsidTr="00B55F24">
        <w:tc>
          <w:tcPr>
            <w:tcW w:w="0" w:type="auto"/>
            <w:shd w:val="clear" w:color="auto" w:fill="FFFFFF"/>
            <w:tcMar>
              <w:top w:w="0" w:type="dxa"/>
              <w:left w:w="85" w:type="dxa"/>
              <w:bottom w:w="0" w:type="dxa"/>
              <w:right w:w="85" w:type="dxa"/>
            </w:tcMar>
          </w:tcPr>
          <w:p w14:paraId="0FC8B0F2" w14:textId="77777777" w:rsidR="00E87995" w:rsidRPr="009E06AA" w:rsidRDefault="00E87995" w:rsidP="00B55F24">
            <w:pPr>
              <w:pStyle w:val="TableTextBold"/>
              <w:spacing w:before="30" w:after="30"/>
              <w:rPr>
                <w:noProof w:val="0"/>
              </w:rPr>
            </w:pPr>
            <w:r w:rsidRPr="009E06AA">
              <w:rPr>
                <w:noProof w:val="0"/>
                <w:color w:val="1B556B"/>
              </w:rPr>
              <w:t>2009</w:t>
            </w:r>
          </w:p>
        </w:tc>
        <w:tc>
          <w:tcPr>
            <w:tcW w:w="0" w:type="auto"/>
            <w:shd w:val="clear" w:color="auto" w:fill="FFFFFF"/>
            <w:tcMar>
              <w:top w:w="0" w:type="dxa"/>
              <w:left w:w="85" w:type="dxa"/>
              <w:bottom w:w="0" w:type="dxa"/>
              <w:right w:w="85" w:type="dxa"/>
            </w:tcMar>
          </w:tcPr>
          <w:p w14:paraId="2138FA03" w14:textId="77777777" w:rsidR="00E87995" w:rsidRPr="009E06AA" w:rsidRDefault="00E87995" w:rsidP="00DB784A">
            <w:pPr>
              <w:pStyle w:val="TableText"/>
              <w:spacing w:before="30" w:after="30"/>
              <w:jc w:val="right"/>
            </w:pPr>
            <w:r w:rsidRPr="009E06AA">
              <w:rPr>
                <w:color w:val="000000"/>
              </w:rPr>
              <w:t>4,332,100</w:t>
            </w:r>
          </w:p>
        </w:tc>
        <w:tc>
          <w:tcPr>
            <w:tcW w:w="0" w:type="auto"/>
            <w:shd w:val="clear" w:color="auto" w:fill="FFFFFF"/>
            <w:tcMar>
              <w:top w:w="0" w:type="dxa"/>
              <w:left w:w="85" w:type="dxa"/>
              <w:bottom w:w="0" w:type="dxa"/>
              <w:right w:w="85" w:type="dxa"/>
            </w:tcMar>
          </w:tcPr>
          <w:p w14:paraId="21DC08DD" w14:textId="77777777" w:rsidR="00E87995" w:rsidRPr="009E06AA" w:rsidRDefault="00E87995" w:rsidP="00E770EF">
            <w:pPr>
              <w:pStyle w:val="TableText"/>
              <w:spacing w:before="30" w:after="30"/>
              <w:jc w:val="right"/>
            </w:pPr>
            <w:r w:rsidRPr="009E06AA">
              <w:rPr>
                <w:color w:val="000000"/>
              </w:rPr>
              <w:t>Interpolated</w:t>
            </w:r>
          </w:p>
        </w:tc>
        <w:tc>
          <w:tcPr>
            <w:tcW w:w="0" w:type="auto"/>
            <w:shd w:val="clear" w:color="auto" w:fill="FFFFFF"/>
            <w:tcMar>
              <w:top w:w="0" w:type="dxa"/>
              <w:left w:w="85" w:type="dxa"/>
              <w:bottom w:w="0" w:type="dxa"/>
              <w:right w:w="85" w:type="dxa"/>
            </w:tcMar>
          </w:tcPr>
          <w:p w14:paraId="114CD839" w14:textId="77777777" w:rsidR="00E87995" w:rsidRPr="009E06AA" w:rsidRDefault="00E87995" w:rsidP="00DB784A">
            <w:pPr>
              <w:pStyle w:val="TableText"/>
              <w:spacing w:before="30" w:after="30"/>
              <w:jc w:val="right"/>
            </w:pPr>
            <w:r w:rsidRPr="009E06AA">
              <w:rPr>
                <w:color w:val="000000"/>
              </w:rPr>
              <w:t>174.2</w:t>
            </w:r>
          </w:p>
        </w:tc>
      </w:tr>
      <w:tr w:rsidR="00E87995" w:rsidRPr="009E06AA" w14:paraId="485B92F9" w14:textId="77777777" w:rsidTr="00B55F24">
        <w:tc>
          <w:tcPr>
            <w:tcW w:w="0" w:type="auto"/>
            <w:shd w:val="clear" w:color="auto" w:fill="FFFFFF"/>
            <w:tcMar>
              <w:top w:w="0" w:type="dxa"/>
              <w:left w:w="85" w:type="dxa"/>
              <w:bottom w:w="0" w:type="dxa"/>
              <w:right w:w="85" w:type="dxa"/>
            </w:tcMar>
          </w:tcPr>
          <w:p w14:paraId="12838289" w14:textId="77777777" w:rsidR="00E87995" w:rsidRPr="009E06AA" w:rsidRDefault="00E87995" w:rsidP="00B55F24">
            <w:pPr>
              <w:pStyle w:val="TableTextBold"/>
              <w:spacing w:before="30" w:after="30"/>
              <w:rPr>
                <w:noProof w:val="0"/>
              </w:rPr>
            </w:pPr>
            <w:r w:rsidRPr="009E06AA">
              <w:rPr>
                <w:noProof w:val="0"/>
                <w:color w:val="1B556B"/>
              </w:rPr>
              <w:t>2010</w:t>
            </w:r>
          </w:p>
        </w:tc>
        <w:tc>
          <w:tcPr>
            <w:tcW w:w="0" w:type="auto"/>
            <w:shd w:val="clear" w:color="auto" w:fill="FFFFFF"/>
            <w:tcMar>
              <w:top w:w="0" w:type="dxa"/>
              <w:left w:w="85" w:type="dxa"/>
              <w:bottom w:w="0" w:type="dxa"/>
              <w:right w:w="85" w:type="dxa"/>
            </w:tcMar>
          </w:tcPr>
          <w:p w14:paraId="5A338ECB" w14:textId="77777777" w:rsidR="00E87995" w:rsidRPr="009E06AA" w:rsidRDefault="00E87995" w:rsidP="00DB784A">
            <w:pPr>
              <w:pStyle w:val="TableText"/>
              <w:spacing w:before="30" w:after="30"/>
              <w:jc w:val="right"/>
            </w:pPr>
            <w:r w:rsidRPr="009E06AA">
              <w:rPr>
                <w:color w:val="000000"/>
              </w:rPr>
              <w:t>4,373,900</w:t>
            </w:r>
          </w:p>
        </w:tc>
        <w:tc>
          <w:tcPr>
            <w:tcW w:w="0" w:type="auto"/>
            <w:shd w:val="clear" w:color="auto" w:fill="FFFFFF"/>
            <w:tcMar>
              <w:top w:w="0" w:type="dxa"/>
              <w:left w:w="85" w:type="dxa"/>
              <w:bottom w:w="0" w:type="dxa"/>
              <w:right w:w="85" w:type="dxa"/>
            </w:tcMar>
          </w:tcPr>
          <w:p w14:paraId="06F9F776" w14:textId="77777777" w:rsidR="00E87995" w:rsidRPr="009E06AA" w:rsidRDefault="00E87995" w:rsidP="00E770EF">
            <w:pPr>
              <w:pStyle w:val="TableText"/>
              <w:spacing w:before="30" w:after="30"/>
              <w:jc w:val="right"/>
            </w:pPr>
            <w:r w:rsidRPr="009E06AA">
              <w:rPr>
                <w:color w:val="000000"/>
              </w:rPr>
              <w:t>Interpolated</w:t>
            </w:r>
          </w:p>
        </w:tc>
        <w:tc>
          <w:tcPr>
            <w:tcW w:w="0" w:type="auto"/>
            <w:shd w:val="clear" w:color="auto" w:fill="FFFFFF"/>
            <w:tcMar>
              <w:top w:w="0" w:type="dxa"/>
              <w:left w:w="85" w:type="dxa"/>
              <w:bottom w:w="0" w:type="dxa"/>
              <w:right w:w="85" w:type="dxa"/>
            </w:tcMar>
          </w:tcPr>
          <w:p w14:paraId="3E972B0E" w14:textId="77777777" w:rsidR="00E87995" w:rsidRPr="009E06AA" w:rsidRDefault="00E87995" w:rsidP="00DB784A">
            <w:pPr>
              <w:pStyle w:val="TableText"/>
              <w:spacing w:before="30" w:after="30"/>
              <w:jc w:val="right"/>
            </w:pPr>
            <w:r w:rsidRPr="009E06AA">
              <w:rPr>
                <w:color w:val="000000"/>
              </w:rPr>
              <w:t>176.0</w:t>
            </w:r>
          </w:p>
        </w:tc>
      </w:tr>
      <w:tr w:rsidR="00E87995" w:rsidRPr="009E06AA" w14:paraId="59402BFF" w14:textId="77777777" w:rsidTr="00B55F24">
        <w:tc>
          <w:tcPr>
            <w:tcW w:w="0" w:type="auto"/>
            <w:shd w:val="clear" w:color="auto" w:fill="FFFFFF"/>
            <w:tcMar>
              <w:top w:w="0" w:type="dxa"/>
              <w:left w:w="85" w:type="dxa"/>
              <w:bottom w:w="0" w:type="dxa"/>
              <w:right w:w="85" w:type="dxa"/>
            </w:tcMar>
          </w:tcPr>
          <w:p w14:paraId="7C2240F5" w14:textId="77777777" w:rsidR="00E87995" w:rsidRPr="009E06AA" w:rsidRDefault="00E87995" w:rsidP="00B55F24">
            <w:pPr>
              <w:pStyle w:val="TableTextBold"/>
              <w:spacing w:before="30" w:after="30"/>
              <w:rPr>
                <w:noProof w:val="0"/>
              </w:rPr>
            </w:pPr>
            <w:r w:rsidRPr="009E06AA">
              <w:rPr>
                <w:noProof w:val="0"/>
                <w:color w:val="1B556B"/>
              </w:rPr>
              <w:t>2011</w:t>
            </w:r>
          </w:p>
        </w:tc>
        <w:tc>
          <w:tcPr>
            <w:tcW w:w="0" w:type="auto"/>
            <w:shd w:val="clear" w:color="auto" w:fill="FFFFFF"/>
            <w:tcMar>
              <w:top w:w="0" w:type="dxa"/>
              <w:left w:w="85" w:type="dxa"/>
              <w:bottom w:w="0" w:type="dxa"/>
              <w:right w:w="85" w:type="dxa"/>
            </w:tcMar>
          </w:tcPr>
          <w:p w14:paraId="4922E36D" w14:textId="77777777" w:rsidR="00E87995" w:rsidRPr="009E06AA" w:rsidRDefault="00E87995" w:rsidP="00DB784A">
            <w:pPr>
              <w:pStyle w:val="TableText"/>
              <w:spacing w:before="30" w:after="30"/>
              <w:jc w:val="right"/>
            </w:pPr>
            <w:r w:rsidRPr="009E06AA">
              <w:rPr>
                <w:color w:val="000000"/>
              </w:rPr>
              <w:t>4,399,400</w:t>
            </w:r>
          </w:p>
        </w:tc>
        <w:tc>
          <w:tcPr>
            <w:tcW w:w="0" w:type="auto"/>
            <w:shd w:val="clear" w:color="auto" w:fill="FFFFFF"/>
            <w:tcMar>
              <w:top w:w="0" w:type="dxa"/>
              <w:left w:w="85" w:type="dxa"/>
              <w:bottom w:w="0" w:type="dxa"/>
              <w:right w:w="85" w:type="dxa"/>
            </w:tcMar>
          </w:tcPr>
          <w:p w14:paraId="5A7BA024" w14:textId="77777777" w:rsidR="00E87995" w:rsidRPr="009E06AA" w:rsidRDefault="00E87995" w:rsidP="00E770EF">
            <w:pPr>
              <w:pStyle w:val="TableText"/>
              <w:spacing w:before="30" w:after="30"/>
              <w:jc w:val="right"/>
            </w:pPr>
            <w:r w:rsidRPr="009E06AA">
              <w:rPr>
                <w:color w:val="000000"/>
              </w:rPr>
              <w:t>Interpolated</w:t>
            </w:r>
          </w:p>
        </w:tc>
        <w:tc>
          <w:tcPr>
            <w:tcW w:w="0" w:type="auto"/>
            <w:shd w:val="clear" w:color="auto" w:fill="FFFFFF"/>
            <w:tcMar>
              <w:top w:w="0" w:type="dxa"/>
              <w:left w:w="85" w:type="dxa"/>
              <w:bottom w:w="0" w:type="dxa"/>
              <w:right w:w="85" w:type="dxa"/>
            </w:tcMar>
          </w:tcPr>
          <w:p w14:paraId="53BB7339" w14:textId="77777777" w:rsidR="00E87995" w:rsidRPr="009E06AA" w:rsidRDefault="00E87995" w:rsidP="00DB784A">
            <w:pPr>
              <w:pStyle w:val="TableText"/>
              <w:spacing w:before="30" w:after="30"/>
              <w:jc w:val="right"/>
            </w:pPr>
            <w:r w:rsidRPr="009E06AA">
              <w:rPr>
                <w:color w:val="000000"/>
              </w:rPr>
              <w:t>177.8</w:t>
            </w:r>
          </w:p>
        </w:tc>
      </w:tr>
      <w:tr w:rsidR="00E87995" w:rsidRPr="009E06AA" w14:paraId="754CA70D" w14:textId="77777777" w:rsidTr="00B55F24">
        <w:tc>
          <w:tcPr>
            <w:tcW w:w="0" w:type="auto"/>
            <w:shd w:val="clear" w:color="auto" w:fill="FFFFFF"/>
            <w:tcMar>
              <w:top w:w="0" w:type="dxa"/>
              <w:left w:w="85" w:type="dxa"/>
              <w:bottom w:w="0" w:type="dxa"/>
              <w:right w:w="85" w:type="dxa"/>
            </w:tcMar>
          </w:tcPr>
          <w:p w14:paraId="0DE4AAC2" w14:textId="77777777" w:rsidR="00E87995" w:rsidRPr="009E06AA" w:rsidRDefault="00E87995" w:rsidP="00B55F24">
            <w:pPr>
              <w:pStyle w:val="TableTextBold"/>
              <w:spacing w:before="30" w:after="30"/>
              <w:rPr>
                <w:noProof w:val="0"/>
              </w:rPr>
            </w:pPr>
            <w:r w:rsidRPr="009E06AA">
              <w:rPr>
                <w:noProof w:val="0"/>
                <w:color w:val="1B556B"/>
              </w:rPr>
              <w:t>2012</w:t>
            </w:r>
          </w:p>
        </w:tc>
        <w:tc>
          <w:tcPr>
            <w:tcW w:w="0" w:type="auto"/>
            <w:shd w:val="clear" w:color="auto" w:fill="FFFFFF"/>
            <w:tcMar>
              <w:top w:w="0" w:type="dxa"/>
              <w:left w:w="85" w:type="dxa"/>
              <w:bottom w:w="0" w:type="dxa"/>
              <w:right w:w="85" w:type="dxa"/>
            </w:tcMar>
          </w:tcPr>
          <w:p w14:paraId="18779524" w14:textId="77777777" w:rsidR="00E87995" w:rsidRPr="009E06AA" w:rsidRDefault="00E87995" w:rsidP="00DB784A">
            <w:pPr>
              <w:pStyle w:val="TableText"/>
              <w:spacing w:before="30" w:after="30"/>
              <w:jc w:val="right"/>
            </w:pPr>
            <w:r w:rsidRPr="009E06AA">
              <w:rPr>
                <w:color w:val="000000"/>
              </w:rPr>
              <w:t>4,425,900</w:t>
            </w:r>
          </w:p>
        </w:tc>
        <w:tc>
          <w:tcPr>
            <w:tcW w:w="0" w:type="auto"/>
            <w:shd w:val="clear" w:color="auto" w:fill="FFFFFF"/>
            <w:tcMar>
              <w:top w:w="0" w:type="dxa"/>
              <w:left w:w="85" w:type="dxa"/>
              <w:bottom w:w="0" w:type="dxa"/>
              <w:right w:w="85" w:type="dxa"/>
            </w:tcMar>
          </w:tcPr>
          <w:p w14:paraId="3EA1568D" w14:textId="77777777" w:rsidR="00E87995" w:rsidRPr="009E06AA" w:rsidRDefault="00E87995" w:rsidP="00E770EF">
            <w:pPr>
              <w:pStyle w:val="TableText"/>
              <w:spacing w:before="30" w:after="30"/>
              <w:jc w:val="right"/>
            </w:pPr>
            <w:r w:rsidRPr="009E06AA">
              <w:rPr>
                <w:color w:val="000000"/>
              </w:rPr>
              <w:t>Interpolated</w:t>
            </w:r>
          </w:p>
        </w:tc>
        <w:tc>
          <w:tcPr>
            <w:tcW w:w="0" w:type="auto"/>
            <w:shd w:val="clear" w:color="auto" w:fill="FFFFFF"/>
            <w:tcMar>
              <w:top w:w="0" w:type="dxa"/>
              <w:left w:w="85" w:type="dxa"/>
              <w:bottom w:w="0" w:type="dxa"/>
              <w:right w:w="85" w:type="dxa"/>
            </w:tcMar>
          </w:tcPr>
          <w:p w14:paraId="4E823C35" w14:textId="77777777" w:rsidR="00E87995" w:rsidRPr="009E06AA" w:rsidRDefault="00E87995" w:rsidP="00DB784A">
            <w:pPr>
              <w:pStyle w:val="TableText"/>
              <w:spacing w:before="30" w:after="30"/>
              <w:jc w:val="right"/>
            </w:pPr>
            <w:r w:rsidRPr="009E06AA">
              <w:rPr>
                <w:color w:val="000000"/>
              </w:rPr>
              <w:t>179.7</w:t>
            </w:r>
          </w:p>
        </w:tc>
      </w:tr>
      <w:tr w:rsidR="00E87995" w:rsidRPr="009E06AA" w14:paraId="3EF1313D" w14:textId="77777777" w:rsidTr="00B55F24">
        <w:tc>
          <w:tcPr>
            <w:tcW w:w="0" w:type="auto"/>
            <w:shd w:val="clear" w:color="auto" w:fill="FFFFFF"/>
            <w:tcMar>
              <w:top w:w="0" w:type="dxa"/>
              <w:left w:w="85" w:type="dxa"/>
              <w:bottom w:w="0" w:type="dxa"/>
              <w:right w:w="85" w:type="dxa"/>
            </w:tcMar>
          </w:tcPr>
          <w:p w14:paraId="18B189D9" w14:textId="77777777" w:rsidR="00E87995" w:rsidRPr="009E06AA" w:rsidRDefault="00E87995" w:rsidP="00B55F24">
            <w:pPr>
              <w:pStyle w:val="TableTextBold"/>
              <w:spacing w:before="30" w:after="30"/>
              <w:rPr>
                <w:noProof w:val="0"/>
              </w:rPr>
            </w:pPr>
            <w:r w:rsidRPr="009E06AA">
              <w:rPr>
                <w:noProof w:val="0"/>
                <w:color w:val="1B556B"/>
              </w:rPr>
              <w:t>2013</w:t>
            </w:r>
          </w:p>
        </w:tc>
        <w:tc>
          <w:tcPr>
            <w:tcW w:w="0" w:type="auto"/>
            <w:shd w:val="clear" w:color="auto" w:fill="FFFFFF"/>
            <w:tcMar>
              <w:top w:w="0" w:type="dxa"/>
              <w:left w:w="85" w:type="dxa"/>
              <w:bottom w:w="0" w:type="dxa"/>
              <w:right w:w="85" w:type="dxa"/>
            </w:tcMar>
          </w:tcPr>
          <w:p w14:paraId="6E020180" w14:textId="77777777" w:rsidR="00E87995" w:rsidRPr="009E06AA" w:rsidRDefault="00E87995" w:rsidP="00DB784A">
            <w:pPr>
              <w:pStyle w:val="TableText"/>
              <w:spacing w:before="30" w:after="30"/>
              <w:jc w:val="right"/>
            </w:pPr>
            <w:r w:rsidRPr="009E06AA">
              <w:rPr>
                <w:color w:val="000000"/>
              </w:rPr>
              <w:t>4,477,400</w:t>
            </w:r>
          </w:p>
        </w:tc>
        <w:tc>
          <w:tcPr>
            <w:tcW w:w="0" w:type="auto"/>
            <w:shd w:val="clear" w:color="auto" w:fill="FFFFFF"/>
            <w:tcMar>
              <w:top w:w="0" w:type="dxa"/>
              <w:left w:w="85" w:type="dxa"/>
              <w:bottom w:w="0" w:type="dxa"/>
              <w:right w:w="85" w:type="dxa"/>
            </w:tcMar>
          </w:tcPr>
          <w:p w14:paraId="5E008A21" w14:textId="77777777" w:rsidR="00E87995" w:rsidRPr="009E06AA" w:rsidRDefault="00E87995" w:rsidP="00E770EF">
            <w:pPr>
              <w:pStyle w:val="TableText"/>
              <w:spacing w:before="30" w:after="30"/>
              <w:jc w:val="right"/>
            </w:pPr>
            <w:r w:rsidRPr="009E06AA">
              <w:rPr>
                <w:color w:val="000000"/>
              </w:rPr>
              <w:t>0.0316</w:t>
            </w:r>
          </w:p>
        </w:tc>
        <w:tc>
          <w:tcPr>
            <w:tcW w:w="0" w:type="auto"/>
            <w:shd w:val="clear" w:color="auto" w:fill="FFFFFF"/>
            <w:tcMar>
              <w:top w:w="0" w:type="dxa"/>
              <w:left w:w="85" w:type="dxa"/>
              <w:bottom w:w="0" w:type="dxa"/>
              <w:right w:w="85" w:type="dxa"/>
            </w:tcMar>
          </w:tcPr>
          <w:p w14:paraId="55BFECED" w14:textId="77777777" w:rsidR="00E87995" w:rsidRPr="009E06AA" w:rsidRDefault="00E87995" w:rsidP="00DB784A">
            <w:pPr>
              <w:pStyle w:val="TableText"/>
              <w:spacing w:before="30" w:after="30"/>
              <w:jc w:val="right"/>
            </w:pPr>
            <w:r w:rsidRPr="009E06AA">
              <w:rPr>
                <w:color w:val="000000"/>
              </w:rPr>
              <w:t>181.7</w:t>
            </w:r>
          </w:p>
        </w:tc>
      </w:tr>
      <w:tr w:rsidR="00E87995" w:rsidRPr="009E06AA" w14:paraId="36F88019" w14:textId="77777777" w:rsidTr="00B55F24">
        <w:tc>
          <w:tcPr>
            <w:tcW w:w="0" w:type="auto"/>
            <w:shd w:val="clear" w:color="auto" w:fill="FFFFFF"/>
            <w:tcMar>
              <w:top w:w="0" w:type="dxa"/>
              <w:left w:w="85" w:type="dxa"/>
              <w:bottom w:w="0" w:type="dxa"/>
              <w:right w:w="85" w:type="dxa"/>
            </w:tcMar>
          </w:tcPr>
          <w:p w14:paraId="45FAD5A4" w14:textId="77777777" w:rsidR="00E87995" w:rsidRPr="009E06AA" w:rsidRDefault="00E87995" w:rsidP="00B55F24">
            <w:pPr>
              <w:pStyle w:val="TableTextBold"/>
              <w:spacing w:before="30" w:after="30"/>
              <w:rPr>
                <w:noProof w:val="0"/>
              </w:rPr>
            </w:pPr>
            <w:r w:rsidRPr="009E06AA">
              <w:rPr>
                <w:noProof w:val="0"/>
                <w:color w:val="1B556B"/>
              </w:rPr>
              <w:t>2014</w:t>
            </w:r>
          </w:p>
        </w:tc>
        <w:tc>
          <w:tcPr>
            <w:tcW w:w="0" w:type="auto"/>
            <w:shd w:val="clear" w:color="auto" w:fill="FFFFFF"/>
            <w:tcMar>
              <w:top w:w="0" w:type="dxa"/>
              <w:left w:w="85" w:type="dxa"/>
              <w:bottom w:w="0" w:type="dxa"/>
              <w:right w:w="85" w:type="dxa"/>
            </w:tcMar>
          </w:tcPr>
          <w:p w14:paraId="42E2BE4F" w14:textId="77777777" w:rsidR="00E87995" w:rsidRPr="009E06AA" w:rsidRDefault="00E87995" w:rsidP="00DB784A">
            <w:pPr>
              <w:pStyle w:val="TableText"/>
              <w:spacing w:before="30" w:after="30"/>
              <w:jc w:val="right"/>
            </w:pPr>
            <w:r w:rsidRPr="009E06AA">
              <w:rPr>
                <w:color w:val="000000"/>
              </w:rPr>
              <w:t>4,564,400</w:t>
            </w:r>
          </w:p>
        </w:tc>
        <w:tc>
          <w:tcPr>
            <w:tcW w:w="0" w:type="auto"/>
            <w:shd w:val="clear" w:color="auto" w:fill="FFFFFF"/>
            <w:tcMar>
              <w:top w:w="0" w:type="dxa"/>
              <w:left w:w="85" w:type="dxa"/>
              <w:bottom w:w="0" w:type="dxa"/>
              <w:right w:w="85" w:type="dxa"/>
            </w:tcMar>
          </w:tcPr>
          <w:p w14:paraId="0FABAC5A" w14:textId="77777777" w:rsidR="00E87995" w:rsidRPr="009E06AA" w:rsidRDefault="00E87995" w:rsidP="00E770EF">
            <w:pPr>
              <w:pStyle w:val="TableText"/>
              <w:spacing w:before="30" w:after="30"/>
              <w:jc w:val="right"/>
            </w:pPr>
            <w:r w:rsidRPr="009E06AA">
              <w:rPr>
                <w:color w:val="000000"/>
              </w:rPr>
              <w:t>0.0316</w:t>
            </w:r>
          </w:p>
        </w:tc>
        <w:tc>
          <w:tcPr>
            <w:tcW w:w="0" w:type="auto"/>
            <w:shd w:val="clear" w:color="auto" w:fill="FFFFFF"/>
            <w:tcMar>
              <w:top w:w="0" w:type="dxa"/>
              <w:left w:w="85" w:type="dxa"/>
              <w:bottom w:w="0" w:type="dxa"/>
              <w:right w:w="85" w:type="dxa"/>
            </w:tcMar>
          </w:tcPr>
          <w:p w14:paraId="47FFAF65" w14:textId="77777777" w:rsidR="00E87995" w:rsidRPr="009E06AA" w:rsidRDefault="00E87995" w:rsidP="00DB784A">
            <w:pPr>
              <w:pStyle w:val="TableText"/>
              <w:spacing w:before="30" w:after="30"/>
              <w:jc w:val="right"/>
            </w:pPr>
            <w:r w:rsidRPr="009E06AA">
              <w:rPr>
                <w:color w:val="000000"/>
              </w:rPr>
              <w:t>185.2</w:t>
            </w:r>
          </w:p>
        </w:tc>
      </w:tr>
      <w:tr w:rsidR="00E87995" w:rsidRPr="009E06AA" w14:paraId="0D4D6015" w14:textId="77777777" w:rsidTr="00B55F24">
        <w:tc>
          <w:tcPr>
            <w:tcW w:w="0" w:type="auto"/>
            <w:shd w:val="clear" w:color="auto" w:fill="FFFFFF"/>
            <w:tcMar>
              <w:top w:w="0" w:type="dxa"/>
              <w:left w:w="85" w:type="dxa"/>
              <w:bottom w:w="0" w:type="dxa"/>
              <w:right w:w="85" w:type="dxa"/>
            </w:tcMar>
          </w:tcPr>
          <w:p w14:paraId="765700B7" w14:textId="77777777" w:rsidR="00E87995" w:rsidRPr="009E06AA" w:rsidRDefault="00E87995" w:rsidP="00B55F24">
            <w:pPr>
              <w:pStyle w:val="TableTextBold"/>
              <w:spacing w:before="30" w:after="30"/>
              <w:rPr>
                <w:noProof w:val="0"/>
              </w:rPr>
            </w:pPr>
            <w:r w:rsidRPr="009E06AA">
              <w:rPr>
                <w:noProof w:val="0"/>
                <w:color w:val="1B556B"/>
              </w:rPr>
              <w:t>2015</w:t>
            </w:r>
          </w:p>
        </w:tc>
        <w:tc>
          <w:tcPr>
            <w:tcW w:w="0" w:type="auto"/>
            <w:shd w:val="clear" w:color="auto" w:fill="FFFFFF"/>
            <w:tcMar>
              <w:top w:w="0" w:type="dxa"/>
              <w:left w:w="85" w:type="dxa"/>
              <w:bottom w:w="0" w:type="dxa"/>
              <w:right w:w="85" w:type="dxa"/>
            </w:tcMar>
          </w:tcPr>
          <w:p w14:paraId="02C3712F" w14:textId="77777777" w:rsidR="00E87995" w:rsidRPr="009E06AA" w:rsidRDefault="00E87995" w:rsidP="00DB784A">
            <w:pPr>
              <w:pStyle w:val="TableText"/>
              <w:spacing w:before="30" w:after="30"/>
              <w:jc w:val="right"/>
            </w:pPr>
            <w:r w:rsidRPr="009E06AA">
              <w:rPr>
                <w:color w:val="000000"/>
              </w:rPr>
              <w:t>4,663,700</w:t>
            </w:r>
          </w:p>
        </w:tc>
        <w:tc>
          <w:tcPr>
            <w:tcW w:w="0" w:type="auto"/>
            <w:shd w:val="clear" w:color="auto" w:fill="FFFFFF"/>
            <w:tcMar>
              <w:top w:w="0" w:type="dxa"/>
              <w:left w:w="85" w:type="dxa"/>
              <w:bottom w:w="0" w:type="dxa"/>
              <w:right w:w="85" w:type="dxa"/>
            </w:tcMar>
          </w:tcPr>
          <w:p w14:paraId="1ED9BF90" w14:textId="77777777" w:rsidR="00E87995" w:rsidRPr="009E06AA" w:rsidRDefault="00E87995" w:rsidP="00E770EF">
            <w:pPr>
              <w:pStyle w:val="TableText"/>
              <w:spacing w:before="30" w:after="30"/>
              <w:jc w:val="right"/>
            </w:pPr>
            <w:r w:rsidRPr="009E06AA">
              <w:rPr>
                <w:color w:val="000000"/>
              </w:rPr>
              <w:t>0.0318</w:t>
            </w:r>
          </w:p>
        </w:tc>
        <w:tc>
          <w:tcPr>
            <w:tcW w:w="0" w:type="auto"/>
            <w:shd w:val="clear" w:color="auto" w:fill="FFFFFF"/>
            <w:tcMar>
              <w:top w:w="0" w:type="dxa"/>
              <w:left w:w="85" w:type="dxa"/>
              <w:bottom w:w="0" w:type="dxa"/>
              <w:right w:w="85" w:type="dxa"/>
            </w:tcMar>
          </w:tcPr>
          <w:p w14:paraId="2296C697" w14:textId="77777777" w:rsidR="00E87995" w:rsidRPr="009E06AA" w:rsidRDefault="00E87995" w:rsidP="00DB784A">
            <w:pPr>
              <w:pStyle w:val="TableText"/>
              <w:spacing w:before="30" w:after="30"/>
              <w:jc w:val="right"/>
            </w:pPr>
            <w:r w:rsidRPr="009E06AA">
              <w:rPr>
                <w:color w:val="000000"/>
              </w:rPr>
              <w:t>189.2</w:t>
            </w:r>
          </w:p>
        </w:tc>
      </w:tr>
      <w:tr w:rsidR="00E87995" w:rsidRPr="009E06AA" w14:paraId="38843F35" w14:textId="77777777" w:rsidTr="00B55F24">
        <w:tc>
          <w:tcPr>
            <w:tcW w:w="0" w:type="auto"/>
            <w:shd w:val="clear" w:color="auto" w:fill="FFFFFF"/>
            <w:tcMar>
              <w:top w:w="0" w:type="dxa"/>
              <w:left w:w="85" w:type="dxa"/>
              <w:bottom w:w="0" w:type="dxa"/>
              <w:right w:w="85" w:type="dxa"/>
            </w:tcMar>
          </w:tcPr>
          <w:p w14:paraId="6C6BB535" w14:textId="77777777" w:rsidR="00E87995" w:rsidRPr="009E06AA" w:rsidRDefault="00E87995" w:rsidP="00B55F24">
            <w:pPr>
              <w:pStyle w:val="TableTextBold"/>
              <w:spacing w:before="30" w:after="30"/>
              <w:rPr>
                <w:noProof w:val="0"/>
              </w:rPr>
            </w:pPr>
            <w:r w:rsidRPr="009E06AA">
              <w:rPr>
                <w:noProof w:val="0"/>
                <w:color w:val="1B556B"/>
              </w:rPr>
              <w:t>2016</w:t>
            </w:r>
          </w:p>
        </w:tc>
        <w:tc>
          <w:tcPr>
            <w:tcW w:w="0" w:type="auto"/>
            <w:shd w:val="clear" w:color="auto" w:fill="FFFFFF"/>
            <w:tcMar>
              <w:top w:w="0" w:type="dxa"/>
              <w:left w:w="85" w:type="dxa"/>
              <w:bottom w:w="0" w:type="dxa"/>
              <w:right w:w="85" w:type="dxa"/>
            </w:tcMar>
          </w:tcPr>
          <w:p w14:paraId="7B139934" w14:textId="77777777" w:rsidR="00E87995" w:rsidRPr="009E06AA" w:rsidRDefault="00E87995" w:rsidP="00DB784A">
            <w:pPr>
              <w:pStyle w:val="TableText"/>
              <w:spacing w:before="30" w:after="30"/>
              <w:jc w:val="right"/>
            </w:pPr>
            <w:r w:rsidRPr="009E06AA">
              <w:rPr>
                <w:color w:val="000000"/>
              </w:rPr>
              <w:t>4,767,600</w:t>
            </w:r>
          </w:p>
        </w:tc>
        <w:tc>
          <w:tcPr>
            <w:tcW w:w="0" w:type="auto"/>
            <w:shd w:val="clear" w:color="auto" w:fill="FFFFFF"/>
            <w:tcMar>
              <w:top w:w="0" w:type="dxa"/>
              <w:left w:w="85" w:type="dxa"/>
              <w:bottom w:w="0" w:type="dxa"/>
              <w:right w:w="85" w:type="dxa"/>
            </w:tcMar>
          </w:tcPr>
          <w:p w14:paraId="39E94FE9" w14:textId="77777777" w:rsidR="00E87995" w:rsidRPr="009E06AA" w:rsidRDefault="00E87995" w:rsidP="00E770EF">
            <w:pPr>
              <w:pStyle w:val="TableText"/>
              <w:spacing w:before="30" w:after="30"/>
              <w:jc w:val="right"/>
            </w:pPr>
            <w:r w:rsidRPr="009E06AA">
              <w:rPr>
                <w:color w:val="000000"/>
              </w:rPr>
              <w:t>0.0317</w:t>
            </w:r>
          </w:p>
        </w:tc>
        <w:tc>
          <w:tcPr>
            <w:tcW w:w="0" w:type="auto"/>
            <w:shd w:val="clear" w:color="auto" w:fill="FFFFFF"/>
            <w:tcMar>
              <w:top w:w="0" w:type="dxa"/>
              <w:left w:w="85" w:type="dxa"/>
              <w:bottom w:w="0" w:type="dxa"/>
              <w:right w:w="85" w:type="dxa"/>
            </w:tcMar>
          </w:tcPr>
          <w:p w14:paraId="46AB6666" w14:textId="77777777" w:rsidR="00E87995" w:rsidRPr="009E06AA" w:rsidRDefault="00E87995" w:rsidP="00DB784A">
            <w:pPr>
              <w:pStyle w:val="TableText"/>
              <w:spacing w:before="30" w:after="30"/>
              <w:jc w:val="right"/>
            </w:pPr>
            <w:r w:rsidRPr="009E06AA">
              <w:rPr>
                <w:color w:val="000000"/>
              </w:rPr>
              <w:t>193.3</w:t>
            </w:r>
          </w:p>
        </w:tc>
      </w:tr>
      <w:tr w:rsidR="00E87995" w:rsidRPr="009E06AA" w14:paraId="28975024" w14:textId="77777777" w:rsidTr="00B55F24">
        <w:tc>
          <w:tcPr>
            <w:tcW w:w="0" w:type="auto"/>
            <w:shd w:val="clear" w:color="auto" w:fill="FFFFFF"/>
            <w:tcMar>
              <w:top w:w="0" w:type="dxa"/>
              <w:left w:w="85" w:type="dxa"/>
              <w:bottom w:w="0" w:type="dxa"/>
              <w:right w:w="85" w:type="dxa"/>
            </w:tcMar>
          </w:tcPr>
          <w:p w14:paraId="44799A29" w14:textId="77777777" w:rsidR="00E87995" w:rsidRPr="009E06AA" w:rsidRDefault="00E87995" w:rsidP="00B55F24">
            <w:pPr>
              <w:pStyle w:val="TableTextBold"/>
              <w:spacing w:before="30" w:after="30"/>
              <w:rPr>
                <w:noProof w:val="0"/>
              </w:rPr>
            </w:pPr>
            <w:r w:rsidRPr="009E06AA">
              <w:rPr>
                <w:noProof w:val="0"/>
                <w:color w:val="1B556B"/>
              </w:rPr>
              <w:t>2017</w:t>
            </w:r>
          </w:p>
        </w:tc>
        <w:tc>
          <w:tcPr>
            <w:tcW w:w="0" w:type="auto"/>
            <w:shd w:val="clear" w:color="auto" w:fill="FFFFFF"/>
            <w:tcMar>
              <w:top w:w="0" w:type="dxa"/>
              <w:left w:w="85" w:type="dxa"/>
              <w:bottom w:w="0" w:type="dxa"/>
              <w:right w:w="85" w:type="dxa"/>
            </w:tcMar>
          </w:tcPr>
          <w:p w14:paraId="081C02CC" w14:textId="77777777" w:rsidR="00E87995" w:rsidRPr="009E06AA" w:rsidRDefault="00E87995" w:rsidP="00DB784A">
            <w:pPr>
              <w:pStyle w:val="TableText"/>
              <w:spacing w:before="30" w:after="30"/>
              <w:jc w:val="right"/>
            </w:pPr>
            <w:r w:rsidRPr="009E06AA">
              <w:rPr>
                <w:color w:val="000000"/>
              </w:rPr>
              <w:t>4,859,500</w:t>
            </w:r>
          </w:p>
        </w:tc>
        <w:tc>
          <w:tcPr>
            <w:tcW w:w="0" w:type="auto"/>
            <w:shd w:val="clear" w:color="auto" w:fill="FFFFFF"/>
            <w:tcMar>
              <w:top w:w="0" w:type="dxa"/>
              <w:left w:w="85" w:type="dxa"/>
              <w:bottom w:w="0" w:type="dxa"/>
              <w:right w:w="85" w:type="dxa"/>
            </w:tcMar>
          </w:tcPr>
          <w:p w14:paraId="35A3EECD" w14:textId="77777777" w:rsidR="00E87995" w:rsidRPr="009E06AA" w:rsidRDefault="00E87995" w:rsidP="00E770EF">
            <w:pPr>
              <w:pStyle w:val="TableText"/>
              <w:spacing w:before="30" w:after="30"/>
              <w:jc w:val="right"/>
            </w:pPr>
            <w:r w:rsidRPr="009E06AA">
              <w:rPr>
                <w:color w:val="000000"/>
              </w:rPr>
              <w:t>0.0318</w:t>
            </w:r>
          </w:p>
        </w:tc>
        <w:tc>
          <w:tcPr>
            <w:tcW w:w="0" w:type="auto"/>
            <w:shd w:val="clear" w:color="auto" w:fill="FFFFFF"/>
            <w:tcMar>
              <w:top w:w="0" w:type="dxa"/>
              <w:left w:w="85" w:type="dxa"/>
              <w:bottom w:w="0" w:type="dxa"/>
              <w:right w:w="85" w:type="dxa"/>
            </w:tcMar>
          </w:tcPr>
          <w:p w14:paraId="6D0D0C21" w14:textId="77777777" w:rsidR="00E87995" w:rsidRPr="009E06AA" w:rsidRDefault="00E87995" w:rsidP="00DB784A">
            <w:pPr>
              <w:pStyle w:val="TableText"/>
              <w:spacing w:before="30" w:after="30"/>
              <w:jc w:val="right"/>
            </w:pPr>
            <w:r w:rsidRPr="009E06AA">
              <w:rPr>
                <w:color w:val="000000"/>
              </w:rPr>
              <w:t>196.8</w:t>
            </w:r>
          </w:p>
        </w:tc>
      </w:tr>
      <w:tr w:rsidR="00E87995" w:rsidRPr="009E06AA" w14:paraId="062CF74F" w14:textId="77777777" w:rsidTr="00B55F24">
        <w:tc>
          <w:tcPr>
            <w:tcW w:w="0" w:type="auto"/>
            <w:shd w:val="clear" w:color="auto" w:fill="FFFFFF"/>
            <w:tcMar>
              <w:top w:w="0" w:type="dxa"/>
              <w:left w:w="85" w:type="dxa"/>
              <w:bottom w:w="0" w:type="dxa"/>
              <w:right w:w="85" w:type="dxa"/>
            </w:tcMar>
          </w:tcPr>
          <w:p w14:paraId="4FEA3C2F" w14:textId="77777777" w:rsidR="00E87995" w:rsidRPr="009E06AA" w:rsidRDefault="00E87995" w:rsidP="00B55F24">
            <w:pPr>
              <w:pStyle w:val="TableTextBold"/>
              <w:spacing w:before="30" w:after="30"/>
              <w:rPr>
                <w:noProof w:val="0"/>
              </w:rPr>
            </w:pPr>
            <w:r w:rsidRPr="009E06AA">
              <w:rPr>
                <w:noProof w:val="0"/>
                <w:color w:val="1B556B"/>
              </w:rPr>
              <w:t>2018</w:t>
            </w:r>
          </w:p>
        </w:tc>
        <w:tc>
          <w:tcPr>
            <w:tcW w:w="0" w:type="auto"/>
            <w:shd w:val="clear" w:color="auto" w:fill="FFFFFF"/>
            <w:tcMar>
              <w:top w:w="0" w:type="dxa"/>
              <w:left w:w="85" w:type="dxa"/>
              <w:bottom w:w="0" w:type="dxa"/>
              <w:right w:w="85" w:type="dxa"/>
            </w:tcMar>
          </w:tcPr>
          <w:p w14:paraId="6813BF5F" w14:textId="77777777" w:rsidR="00E87995" w:rsidRPr="009E06AA" w:rsidRDefault="00E87995" w:rsidP="00DB784A">
            <w:pPr>
              <w:pStyle w:val="TableText"/>
              <w:spacing w:before="30" w:after="30"/>
              <w:jc w:val="right"/>
            </w:pPr>
            <w:r w:rsidRPr="009E06AA">
              <w:rPr>
                <w:color w:val="000000"/>
              </w:rPr>
              <w:t>4,941,200</w:t>
            </w:r>
          </w:p>
        </w:tc>
        <w:tc>
          <w:tcPr>
            <w:tcW w:w="0" w:type="auto"/>
            <w:shd w:val="clear" w:color="auto" w:fill="FFFFFF"/>
            <w:tcMar>
              <w:top w:w="0" w:type="dxa"/>
              <w:left w:w="85" w:type="dxa"/>
              <w:bottom w:w="0" w:type="dxa"/>
              <w:right w:w="85" w:type="dxa"/>
            </w:tcMar>
          </w:tcPr>
          <w:p w14:paraId="58A199B8" w14:textId="77777777" w:rsidR="00E87995" w:rsidRPr="009E06AA" w:rsidRDefault="00E87995" w:rsidP="00E770EF">
            <w:pPr>
              <w:pStyle w:val="TableText"/>
              <w:spacing w:before="30" w:after="30"/>
              <w:jc w:val="right"/>
            </w:pPr>
            <w:r w:rsidRPr="009E06AA">
              <w:rPr>
                <w:color w:val="000000"/>
              </w:rPr>
              <w:t>0.0319</w:t>
            </w:r>
          </w:p>
        </w:tc>
        <w:tc>
          <w:tcPr>
            <w:tcW w:w="0" w:type="auto"/>
            <w:shd w:val="clear" w:color="auto" w:fill="FFFFFF"/>
            <w:tcMar>
              <w:top w:w="0" w:type="dxa"/>
              <w:left w:w="85" w:type="dxa"/>
              <w:bottom w:w="0" w:type="dxa"/>
              <w:right w:w="85" w:type="dxa"/>
            </w:tcMar>
          </w:tcPr>
          <w:p w14:paraId="4A930B80" w14:textId="77777777" w:rsidR="00E87995" w:rsidRPr="009E06AA" w:rsidRDefault="00E87995" w:rsidP="00DB784A">
            <w:pPr>
              <w:pStyle w:val="TableText"/>
              <w:spacing w:before="30" w:after="30"/>
              <w:jc w:val="right"/>
            </w:pPr>
            <w:r w:rsidRPr="009E06AA">
              <w:rPr>
                <w:color w:val="000000"/>
              </w:rPr>
              <w:t>200.0</w:t>
            </w:r>
          </w:p>
        </w:tc>
      </w:tr>
      <w:tr w:rsidR="00E87995" w:rsidRPr="009E06AA" w14:paraId="351B7650" w14:textId="77777777" w:rsidTr="00B55F24">
        <w:tc>
          <w:tcPr>
            <w:tcW w:w="0" w:type="auto"/>
            <w:shd w:val="clear" w:color="auto" w:fill="FFFFFF"/>
            <w:tcMar>
              <w:top w:w="0" w:type="dxa"/>
              <w:left w:w="85" w:type="dxa"/>
              <w:bottom w:w="0" w:type="dxa"/>
              <w:right w:w="85" w:type="dxa"/>
            </w:tcMar>
          </w:tcPr>
          <w:p w14:paraId="061841F5" w14:textId="77777777" w:rsidR="00E87995" w:rsidRPr="009E06AA" w:rsidRDefault="00E87995" w:rsidP="00B55F24">
            <w:pPr>
              <w:pStyle w:val="TableTextBold"/>
              <w:spacing w:before="30" w:after="30"/>
              <w:rPr>
                <w:noProof w:val="0"/>
              </w:rPr>
            </w:pPr>
            <w:r w:rsidRPr="009E06AA">
              <w:rPr>
                <w:noProof w:val="0"/>
                <w:color w:val="1B556B"/>
              </w:rPr>
              <w:t>2019</w:t>
            </w:r>
          </w:p>
        </w:tc>
        <w:tc>
          <w:tcPr>
            <w:tcW w:w="0" w:type="auto"/>
            <w:shd w:val="clear" w:color="auto" w:fill="FFFFFF"/>
            <w:tcMar>
              <w:top w:w="0" w:type="dxa"/>
              <w:left w:w="85" w:type="dxa"/>
              <w:bottom w:w="0" w:type="dxa"/>
              <w:right w:w="85" w:type="dxa"/>
            </w:tcMar>
          </w:tcPr>
          <w:p w14:paraId="6BA70694" w14:textId="77777777" w:rsidR="00E87995" w:rsidRPr="009E06AA" w:rsidRDefault="00E87995" w:rsidP="00DB784A">
            <w:pPr>
              <w:pStyle w:val="TableText"/>
              <w:spacing w:before="30" w:after="30"/>
              <w:jc w:val="right"/>
            </w:pPr>
            <w:r w:rsidRPr="009E06AA">
              <w:rPr>
                <w:color w:val="000000"/>
              </w:rPr>
              <w:t>5,040,400</w:t>
            </w:r>
          </w:p>
        </w:tc>
        <w:tc>
          <w:tcPr>
            <w:tcW w:w="0" w:type="auto"/>
            <w:shd w:val="clear" w:color="auto" w:fill="FFFFFF"/>
            <w:tcMar>
              <w:top w:w="0" w:type="dxa"/>
              <w:left w:w="85" w:type="dxa"/>
              <w:bottom w:w="0" w:type="dxa"/>
              <w:right w:w="85" w:type="dxa"/>
            </w:tcMar>
          </w:tcPr>
          <w:p w14:paraId="01B44CE9" w14:textId="77777777" w:rsidR="00E87995" w:rsidRPr="009E06AA" w:rsidRDefault="00E87995" w:rsidP="00E770EF">
            <w:pPr>
              <w:pStyle w:val="TableText"/>
              <w:spacing w:before="30" w:after="30"/>
              <w:jc w:val="right"/>
            </w:pPr>
            <w:r w:rsidRPr="009E06AA">
              <w:rPr>
                <w:color w:val="000000"/>
              </w:rPr>
              <w:t>0.</w:t>
            </w:r>
            <w:r w:rsidRPr="009E06AA">
              <w:rPr>
                <w:rFonts w:eastAsia="Calibri" w:cs="Calibri"/>
                <w:color w:val="000000"/>
                <w:szCs w:val="16"/>
              </w:rPr>
              <w:t>0320</w:t>
            </w:r>
          </w:p>
        </w:tc>
        <w:tc>
          <w:tcPr>
            <w:tcW w:w="0" w:type="auto"/>
            <w:shd w:val="clear" w:color="auto" w:fill="FFFFFF"/>
            <w:tcMar>
              <w:top w:w="0" w:type="dxa"/>
              <w:left w:w="85" w:type="dxa"/>
              <w:bottom w:w="0" w:type="dxa"/>
              <w:right w:w="85" w:type="dxa"/>
            </w:tcMar>
          </w:tcPr>
          <w:p w14:paraId="7CF744E8" w14:textId="77777777" w:rsidR="00E87995" w:rsidRPr="009E06AA" w:rsidRDefault="00E87995" w:rsidP="00DB784A">
            <w:pPr>
              <w:pStyle w:val="TableText"/>
              <w:spacing w:before="30" w:after="30"/>
              <w:jc w:val="right"/>
            </w:pPr>
            <w:r w:rsidRPr="009E06AA">
              <w:rPr>
                <w:color w:val="000000"/>
              </w:rPr>
              <w:t>203.9</w:t>
            </w:r>
          </w:p>
        </w:tc>
      </w:tr>
      <w:tr w:rsidR="00E87995" w:rsidRPr="009E06AA" w14:paraId="5A7B192A" w14:textId="77777777" w:rsidTr="00B55F24">
        <w:tc>
          <w:tcPr>
            <w:tcW w:w="0" w:type="auto"/>
            <w:shd w:val="clear" w:color="auto" w:fill="FFFFFF"/>
            <w:tcMar>
              <w:top w:w="0" w:type="dxa"/>
              <w:left w:w="85" w:type="dxa"/>
              <w:bottom w:w="0" w:type="dxa"/>
              <w:right w:w="85" w:type="dxa"/>
            </w:tcMar>
          </w:tcPr>
          <w:p w14:paraId="7996B98B" w14:textId="77777777" w:rsidR="00E87995" w:rsidRPr="009E06AA" w:rsidRDefault="00E87995" w:rsidP="00B55F24">
            <w:pPr>
              <w:pStyle w:val="TableTextBold"/>
              <w:spacing w:before="30" w:after="30"/>
              <w:rPr>
                <w:noProof w:val="0"/>
              </w:rPr>
            </w:pPr>
            <w:r w:rsidRPr="009E06AA">
              <w:rPr>
                <w:noProof w:val="0"/>
                <w:color w:val="1B556B"/>
              </w:rPr>
              <w:t>2020</w:t>
            </w:r>
          </w:p>
        </w:tc>
        <w:tc>
          <w:tcPr>
            <w:tcW w:w="0" w:type="auto"/>
            <w:shd w:val="clear" w:color="auto" w:fill="FFFFFF"/>
            <w:tcMar>
              <w:top w:w="0" w:type="dxa"/>
              <w:left w:w="85" w:type="dxa"/>
              <w:bottom w:w="0" w:type="dxa"/>
              <w:right w:w="85" w:type="dxa"/>
            </w:tcMar>
          </w:tcPr>
          <w:p w14:paraId="26590B93" w14:textId="77777777" w:rsidR="00E87995" w:rsidRPr="009E06AA" w:rsidRDefault="00E87995" w:rsidP="00DB784A">
            <w:pPr>
              <w:pStyle w:val="TableText"/>
              <w:spacing w:before="30" w:after="30"/>
              <w:jc w:val="right"/>
            </w:pPr>
            <w:r w:rsidRPr="009E06AA">
              <w:rPr>
                <w:color w:val="000000"/>
              </w:rPr>
              <w:t>5,103,700</w:t>
            </w:r>
          </w:p>
        </w:tc>
        <w:tc>
          <w:tcPr>
            <w:tcW w:w="0" w:type="auto"/>
            <w:shd w:val="clear" w:color="auto" w:fill="FFFFFF"/>
            <w:tcMar>
              <w:top w:w="0" w:type="dxa"/>
              <w:left w:w="85" w:type="dxa"/>
              <w:bottom w:w="0" w:type="dxa"/>
              <w:right w:w="85" w:type="dxa"/>
            </w:tcMar>
          </w:tcPr>
          <w:p w14:paraId="411DC677" w14:textId="77777777" w:rsidR="00E87995" w:rsidRPr="009E06AA" w:rsidRDefault="00E87995" w:rsidP="00E770EF">
            <w:pPr>
              <w:pStyle w:val="TableText"/>
              <w:spacing w:before="30" w:after="30"/>
              <w:jc w:val="right"/>
            </w:pPr>
            <w:r w:rsidRPr="009E06AA">
              <w:rPr>
                <w:color w:val="000000"/>
              </w:rPr>
              <w:t>0.0321</w:t>
            </w:r>
          </w:p>
        </w:tc>
        <w:tc>
          <w:tcPr>
            <w:tcW w:w="0" w:type="auto"/>
            <w:shd w:val="clear" w:color="auto" w:fill="FFFFFF"/>
            <w:tcMar>
              <w:top w:w="0" w:type="dxa"/>
              <w:left w:w="85" w:type="dxa"/>
              <w:bottom w:w="0" w:type="dxa"/>
              <w:right w:w="85" w:type="dxa"/>
            </w:tcMar>
          </w:tcPr>
          <w:p w14:paraId="2E53A8AF" w14:textId="77777777" w:rsidR="00E87995" w:rsidRPr="009E06AA" w:rsidRDefault="00E87995" w:rsidP="00DB784A">
            <w:pPr>
              <w:pStyle w:val="TableText"/>
              <w:spacing w:before="30" w:after="30"/>
              <w:jc w:val="right"/>
            </w:pPr>
            <w:r w:rsidRPr="009E06AA">
              <w:rPr>
                <w:color w:val="000000"/>
              </w:rPr>
              <w:t>206.8</w:t>
            </w:r>
          </w:p>
        </w:tc>
      </w:tr>
      <w:tr w:rsidR="00E87995" w:rsidRPr="009E06AA" w14:paraId="19865706" w14:textId="77777777" w:rsidTr="00B55F24">
        <w:tc>
          <w:tcPr>
            <w:tcW w:w="0" w:type="auto"/>
            <w:shd w:val="clear" w:color="auto" w:fill="FFFFFF"/>
            <w:tcMar>
              <w:top w:w="0" w:type="dxa"/>
              <w:left w:w="85" w:type="dxa"/>
              <w:bottom w:w="0" w:type="dxa"/>
              <w:right w:w="85" w:type="dxa"/>
            </w:tcMar>
          </w:tcPr>
          <w:p w14:paraId="3F81470F" w14:textId="77777777" w:rsidR="00E87995" w:rsidRPr="009E06AA" w:rsidRDefault="00E87995" w:rsidP="00B55F24">
            <w:pPr>
              <w:pStyle w:val="TableTextBold"/>
              <w:spacing w:before="30" w:after="30"/>
              <w:rPr>
                <w:noProof w:val="0"/>
              </w:rPr>
            </w:pPr>
            <w:r w:rsidRPr="009E06AA">
              <w:rPr>
                <w:noProof w:val="0"/>
                <w:color w:val="1B556B"/>
              </w:rPr>
              <w:t>2021</w:t>
            </w:r>
          </w:p>
        </w:tc>
        <w:tc>
          <w:tcPr>
            <w:tcW w:w="0" w:type="auto"/>
            <w:shd w:val="clear" w:color="auto" w:fill="FFFFFF"/>
            <w:tcMar>
              <w:top w:w="0" w:type="dxa"/>
              <w:left w:w="85" w:type="dxa"/>
              <w:bottom w:w="0" w:type="dxa"/>
              <w:right w:w="85" w:type="dxa"/>
            </w:tcMar>
          </w:tcPr>
          <w:p w14:paraId="5D8FEC61" w14:textId="77777777" w:rsidR="00E87995" w:rsidRPr="009E06AA" w:rsidRDefault="00E87995" w:rsidP="00DB784A">
            <w:pPr>
              <w:pStyle w:val="TableText"/>
              <w:spacing w:before="30" w:after="30"/>
              <w:jc w:val="right"/>
            </w:pPr>
            <w:r w:rsidRPr="009E06AA">
              <w:rPr>
                <w:color w:val="000000"/>
              </w:rPr>
              <w:t>5,</w:t>
            </w:r>
            <w:r w:rsidRPr="009E06AA">
              <w:rPr>
                <w:rFonts w:eastAsia="Calibri" w:cs="Calibri"/>
                <w:color w:val="000000"/>
                <w:szCs w:val="16"/>
              </w:rPr>
              <w:t>116,500</w:t>
            </w:r>
          </w:p>
        </w:tc>
        <w:tc>
          <w:tcPr>
            <w:tcW w:w="0" w:type="auto"/>
            <w:shd w:val="clear" w:color="auto" w:fill="FFFFFF"/>
            <w:tcMar>
              <w:top w:w="0" w:type="dxa"/>
              <w:left w:w="85" w:type="dxa"/>
              <w:bottom w:w="0" w:type="dxa"/>
              <w:right w:w="85" w:type="dxa"/>
            </w:tcMar>
          </w:tcPr>
          <w:p w14:paraId="756C2E96" w14:textId="77777777" w:rsidR="00E87995" w:rsidRPr="009E06AA" w:rsidRDefault="00E87995" w:rsidP="00E770EF">
            <w:pPr>
              <w:pStyle w:val="TableText"/>
              <w:spacing w:before="30" w:after="30"/>
              <w:jc w:val="right"/>
            </w:pPr>
            <w:r w:rsidRPr="009E06AA">
              <w:rPr>
                <w:color w:val="000000"/>
              </w:rPr>
              <w:t>0.0324</w:t>
            </w:r>
          </w:p>
        </w:tc>
        <w:tc>
          <w:tcPr>
            <w:tcW w:w="0" w:type="auto"/>
            <w:shd w:val="clear" w:color="auto" w:fill="FFFFFF"/>
            <w:tcMar>
              <w:top w:w="0" w:type="dxa"/>
              <w:left w:w="85" w:type="dxa"/>
              <w:bottom w:w="0" w:type="dxa"/>
              <w:right w:w="85" w:type="dxa"/>
            </w:tcMar>
          </w:tcPr>
          <w:p w14:paraId="5244192B" w14:textId="77777777" w:rsidR="00E87995" w:rsidRPr="009E06AA" w:rsidRDefault="00E87995" w:rsidP="00DB784A">
            <w:pPr>
              <w:pStyle w:val="TableText"/>
              <w:spacing w:before="30" w:after="30"/>
              <w:jc w:val="right"/>
            </w:pPr>
            <w:r w:rsidRPr="009E06AA">
              <w:rPr>
                <w:color w:val="000000"/>
              </w:rPr>
              <w:t>207.</w:t>
            </w:r>
            <w:r w:rsidRPr="009E06AA">
              <w:rPr>
                <w:rFonts w:eastAsia="Calibri" w:cs="Calibri"/>
                <w:color w:val="000000"/>
                <w:szCs w:val="16"/>
              </w:rPr>
              <w:t>4</w:t>
            </w:r>
          </w:p>
        </w:tc>
      </w:tr>
      <w:tr w:rsidR="00E87995" w:rsidRPr="009E06AA" w14:paraId="1178FC0A" w14:textId="77777777" w:rsidTr="00B55F24">
        <w:tc>
          <w:tcPr>
            <w:tcW w:w="0" w:type="auto"/>
            <w:shd w:val="clear" w:color="auto" w:fill="FFFFFF"/>
            <w:tcMar>
              <w:top w:w="0" w:type="dxa"/>
              <w:left w:w="85" w:type="dxa"/>
              <w:bottom w:w="0" w:type="dxa"/>
              <w:right w:w="85" w:type="dxa"/>
            </w:tcMar>
          </w:tcPr>
          <w:p w14:paraId="51C530D5" w14:textId="77777777" w:rsidR="00E87995" w:rsidRPr="009E06AA" w:rsidRDefault="00E87995" w:rsidP="00B55F24">
            <w:pPr>
              <w:pStyle w:val="TableTextBold"/>
              <w:spacing w:before="30" w:after="30"/>
              <w:rPr>
                <w:noProof w:val="0"/>
              </w:rPr>
            </w:pPr>
            <w:r w:rsidRPr="009E06AA">
              <w:rPr>
                <w:rFonts w:eastAsia="Calibri" w:cs="Calibri"/>
                <w:noProof w:val="0"/>
                <w:color w:val="1B556B"/>
                <w:szCs w:val="16"/>
              </w:rPr>
              <w:t>2022</w:t>
            </w:r>
          </w:p>
        </w:tc>
        <w:tc>
          <w:tcPr>
            <w:tcW w:w="0" w:type="auto"/>
            <w:shd w:val="clear" w:color="auto" w:fill="FFFFFF"/>
            <w:tcMar>
              <w:top w:w="0" w:type="dxa"/>
              <w:left w:w="85" w:type="dxa"/>
              <w:bottom w:w="0" w:type="dxa"/>
              <w:right w:w="85" w:type="dxa"/>
            </w:tcMar>
          </w:tcPr>
          <w:p w14:paraId="14EF494D" w14:textId="77777777" w:rsidR="00E87995" w:rsidRPr="009E06AA" w:rsidRDefault="00E87995" w:rsidP="00DB784A">
            <w:pPr>
              <w:pStyle w:val="TableText"/>
              <w:spacing w:before="30" w:after="30"/>
              <w:jc w:val="right"/>
            </w:pPr>
            <w:r w:rsidRPr="009E06AA">
              <w:rPr>
                <w:rFonts w:eastAsia="Calibri" w:cs="Calibri"/>
                <w:color w:val="000000"/>
                <w:szCs w:val="16"/>
              </w:rPr>
              <w:t>5,157,100</w:t>
            </w:r>
          </w:p>
        </w:tc>
        <w:tc>
          <w:tcPr>
            <w:tcW w:w="0" w:type="auto"/>
            <w:shd w:val="clear" w:color="auto" w:fill="FFFFFF"/>
            <w:tcMar>
              <w:top w:w="0" w:type="dxa"/>
              <w:left w:w="85" w:type="dxa"/>
              <w:bottom w:w="0" w:type="dxa"/>
              <w:right w:w="85" w:type="dxa"/>
            </w:tcMar>
          </w:tcPr>
          <w:p w14:paraId="3ADBD45B" w14:textId="77777777" w:rsidR="00E87995" w:rsidRPr="009E06AA" w:rsidRDefault="00E87995" w:rsidP="00E770EF">
            <w:pPr>
              <w:pStyle w:val="TableText"/>
              <w:spacing w:before="30" w:after="30"/>
              <w:jc w:val="right"/>
            </w:pPr>
            <w:r w:rsidRPr="009E06AA">
              <w:rPr>
                <w:rFonts w:eastAsia="Calibri" w:cs="Calibri"/>
                <w:color w:val="000000"/>
                <w:szCs w:val="16"/>
              </w:rPr>
              <w:t>0.0327</w:t>
            </w:r>
          </w:p>
        </w:tc>
        <w:tc>
          <w:tcPr>
            <w:tcW w:w="0" w:type="auto"/>
            <w:shd w:val="clear" w:color="auto" w:fill="FFFFFF"/>
            <w:tcMar>
              <w:top w:w="0" w:type="dxa"/>
              <w:left w:w="85" w:type="dxa"/>
              <w:bottom w:w="0" w:type="dxa"/>
              <w:right w:w="85" w:type="dxa"/>
            </w:tcMar>
          </w:tcPr>
          <w:p w14:paraId="1E6E888B" w14:textId="77777777" w:rsidR="00E87995" w:rsidRPr="009E06AA" w:rsidRDefault="00E87995" w:rsidP="00DB784A">
            <w:pPr>
              <w:pStyle w:val="TableText"/>
              <w:spacing w:before="30" w:after="30"/>
              <w:jc w:val="right"/>
            </w:pPr>
            <w:r w:rsidRPr="009E06AA">
              <w:rPr>
                <w:rFonts w:eastAsia="Calibri" w:cs="Calibri"/>
                <w:color w:val="000000"/>
                <w:szCs w:val="16"/>
              </w:rPr>
              <w:t>209.0</w:t>
            </w:r>
          </w:p>
        </w:tc>
      </w:tr>
    </w:tbl>
    <w:p w14:paraId="6969C04E" w14:textId="77777777" w:rsidR="00E87995" w:rsidRPr="009E06AA" w:rsidRDefault="00E87995" w:rsidP="00BF2A76">
      <w:pPr>
        <w:pStyle w:val="Heading5"/>
      </w:pPr>
      <w:bookmarkStart w:id="2993" w:name="industrial-wastewater-5.d.2-1"/>
      <w:bookmarkEnd w:id="2987"/>
      <w:r w:rsidRPr="009E06AA">
        <w:t>Industrial wastewater (5.D.2)</w:t>
      </w:r>
    </w:p>
    <w:p w14:paraId="190364C7" w14:textId="77777777" w:rsidR="00E87995" w:rsidRPr="009E06AA" w:rsidRDefault="00E87995" w:rsidP="00E87995">
      <w:pPr>
        <w:pStyle w:val="BodyText"/>
        <w:spacing w:before="100" w:after="100"/>
      </w:pPr>
      <w:r w:rsidRPr="009E06AA">
        <w:t>The following industries are identified as having organic-rich wastewaters that are treated anaerobically (in order of significance): meat processing, pulp and paper, and other industries described below. Table 7.5.3 reports the activity data for the amount of total organic product in wastewater (TOW) across the main industries.</w:t>
      </w:r>
    </w:p>
    <w:p w14:paraId="323DE41C" w14:textId="5783E84E" w:rsidR="00E87995" w:rsidRPr="009E06AA" w:rsidRDefault="00E87995" w:rsidP="00E87995">
      <w:pPr>
        <w:pStyle w:val="Table"/>
      </w:pPr>
      <w:bookmarkStart w:id="2994" w:name="_Toc128383681"/>
      <w:bookmarkStart w:id="2995" w:name="_Toc131591454"/>
      <w:bookmarkStart w:id="2996" w:name="_Toc160537333"/>
      <w:bookmarkStart w:id="2997" w:name="_Toc160537695"/>
      <w:bookmarkStart w:id="2998" w:name="_Toc164153945"/>
      <w:r w:rsidRPr="009E06AA">
        <w:t>Table 7.5.3</w:t>
      </w:r>
      <w:r w:rsidRPr="009E06AA">
        <w:tab/>
        <w:t>Total organic product producing methane from industrial wastewater</w:t>
      </w:r>
      <w:r w:rsidR="00E94383" w:rsidRPr="009E06AA">
        <w:t>,</w:t>
      </w:r>
      <w:r w:rsidRPr="009E06AA">
        <w:t xml:space="preserve"> from 1990 to </w:t>
      </w:r>
      <w:bookmarkEnd w:id="2994"/>
      <w:bookmarkEnd w:id="2995"/>
      <w:r w:rsidRPr="009E06AA">
        <w:t>2022</w:t>
      </w:r>
      <w:bookmarkEnd w:id="2996"/>
      <w:bookmarkEnd w:id="2997"/>
      <w:bookmarkEnd w:id="2998"/>
    </w:p>
    <w:tbl>
      <w:tblPr>
        <w:tblW w:w="8505" w:type="dxa"/>
        <w:tblBorders>
          <w:top w:val="single" w:sz="4" w:space="0" w:color="1B556B" w:themeColor="text2"/>
          <w:bottom w:val="single" w:sz="4" w:space="0" w:color="1B556B" w:themeColor="text2"/>
          <w:insideH w:val="single" w:sz="4" w:space="0" w:color="1B556B" w:themeColor="text2"/>
        </w:tblBorders>
        <w:tblLook w:val="0420" w:firstRow="1" w:lastRow="0" w:firstColumn="0" w:lastColumn="0" w:noHBand="0" w:noVBand="1"/>
      </w:tblPr>
      <w:tblGrid>
        <w:gridCol w:w="993"/>
        <w:gridCol w:w="1559"/>
        <w:gridCol w:w="2124"/>
        <w:gridCol w:w="2108"/>
        <w:gridCol w:w="1721"/>
      </w:tblGrid>
      <w:tr w:rsidR="00E87995" w:rsidRPr="009E06AA" w14:paraId="4D55F1CC" w14:textId="77777777" w:rsidTr="00B55F24">
        <w:trPr>
          <w:tblHeader/>
        </w:trPr>
        <w:tc>
          <w:tcPr>
            <w:tcW w:w="993" w:type="dxa"/>
            <w:shd w:val="clear" w:color="auto" w:fill="1B556B"/>
            <w:tcMar>
              <w:top w:w="0" w:type="dxa"/>
              <w:left w:w="85" w:type="dxa"/>
              <w:bottom w:w="0" w:type="dxa"/>
              <w:right w:w="85" w:type="dxa"/>
            </w:tcMar>
            <w:vAlign w:val="bottom"/>
          </w:tcPr>
          <w:p w14:paraId="0B64DA65" w14:textId="77777777" w:rsidR="00E87995" w:rsidRPr="009E06AA" w:rsidRDefault="00E87995" w:rsidP="00B55F24">
            <w:pPr>
              <w:pStyle w:val="TableTextBold"/>
              <w:spacing w:before="30" w:after="30"/>
              <w:rPr>
                <w:noProof w:val="0"/>
                <w:color w:val="FFFFFF" w:themeColor="background1"/>
              </w:rPr>
            </w:pPr>
            <w:r w:rsidRPr="009E06AA">
              <w:rPr>
                <w:noProof w:val="0"/>
                <w:color w:val="FFFFFF" w:themeColor="background1"/>
              </w:rPr>
              <w:t>Year</w:t>
            </w:r>
          </w:p>
        </w:tc>
        <w:tc>
          <w:tcPr>
            <w:tcW w:w="1559" w:type="dxa"/>
            <w:shd w:val="clear" w:color="auto" w:fill="1B556B"/>
            <w:tcMar>
              <w:top w:w="0" w:type="dxa"/>
              <w:left w:w="85" w:type="dxa"/>
              <w:bottom w:w="0" w:type="dxa"/>
              <w:right w:w="85" w:type="dxa"/>
            </w:tcMar>
            <w:vAlign w:val="bottom"/>
          </w:tcPr>
          <w:p w14:paraId="371B0E76" w14:textId="77777777" w:rsidR="00E87995" w:rsidRPr="009E06AA" w:rsidRDefault="00E87995" w:rsidP="00E770EF">
            <w:pPr>
              <w:pStyle w:val="TableTextBold"/>
              <w:spacing w:before="30" w:after="30"/>
              <w:jc w:val="right"/>
              <w:rPr>
                <w:noProof w:val="0"/>
                <w:color w:val="FFFFFF" w:themeColor="background1"/>
              </w:rPr>
            </w:pPr>
            <w:r w:rsidRPr="009E06AA">
              <w:rPr>
                <w:noProof w:val="0"/>
                <w:color w:val="FFFFFF" w:themeColor="background1"/>
              </w:rPr>
              <w:t>Meat industries TOW (kt)</w:t>
            </w:r>
          </w:p>
        </w:tc>
        <w:tc>
          <w:tcPr>
            <w:tcW w:w="2124" w:type="dxa"/>
            <w:shd w:val="clear" w:color="auto" w:fill="1B556B"/>
            <w:tcMar>
              <w:top w:w="0" w:type="dxa"/>
              <w:left w:w="85" w:type="dxa"/>
              <w:bottom w:w="0" w:type="dxa"/>
              <w:right w:w="85" w:type="dxa"/>
            </w:tcMar>
            <w:vAlign w:val="bottom"/>
          </w:tcPr>
          <w:p w14:paraId="2406A06E" w14:textId="77777777" w:rsidR="00E87995" w:rsidRPr="009E06AA" w:rsidRDefault="00E87995" w:rsidP="00E770EF">
            <w:pPr>
              <w:pStyle w:val="TableTextBold"/>
              <w:spacing w:before="30" w:after="30"/>
              <w:jc w:val="right"/>
              <w:rPr>
                <w:noProof w:val="0"/>
                <w:color w:val="FFFFFF" w:themeColor="background1"/>
              </w:rPr>
            </w:pPr>
            <w:r w:rsidRPr="009E06AA">
              <w:rPr>
                <w:noProof w:val="0"/>
                <w:color w:val="FFFFFF" w:themeColor="background1"/>
              </w:rPr>
              <w:t>Pulp and paper industry TOW (kt)</w:t>
            </w:r>
          </w:p>
        </w:tc>
        <w:tc>
          <w:tcPr>
            <w:tcW w:w="0" w:type="auto"/>
            <w:shd w:val="clear" w:color="auto" w:fill="1B556B"/>
            <w:tcMar>
              <w:top w:w="0" w:type="dxa"/>
              <w:left w:w="85" w:type="dxa"/>
              <w:bottom w:w="0" w:type="dxa"/>
              <w:right w:w="85" w:type="dxa"/>
            </w:tcMar>
            <w:vAlign w:val="bottom"/>
          </w:tcPr>
          <w:p w14:paraId="2D457474" w14:textId="77777777" w:rsidR="00E87995" w:rsidRPr="009E06AA" w:rsidRDefault="00E87995" w:rsidP="00E770EF">
            <w:pPr>
              <w:pStyle w:val="TableTextBold"/>
              <w:spacing w:before="30" w:after="30"/>
              <w:jc w:val="right"/>
              <w:rPr>
                <w:noProof w:val="0"/>
                <w:color w:val="FFFFFF" w:themeColor="background1"/>
              </w:rPr>
            </w:pPr>
            <w:r w:rsidRPr="009E06AA">
              <w:rPr>
                <w:noProof w:val="0"/>
                <w:color w:val="FFFFFF" w:themeColor="background1"/>
              </w:rPr>
              <w:t xml:space="preserve">All other industries </w:t>
            </w:r>
            <w:r w:rsidRPr="009E06AA">
              <w:rPr>
                <w:noProof w:val="0"/>
                <w:color w:val="FFFFFF" w:themeColor="background1"/>
              </w:rPr>
              <w:br/>
              <w:t>TOW (kt)</w:t>
            </w:r>
          </w:p>
        </w:tc>
        <w:tc>
          <w:tcPr>
            <w:tcW w:w="0" w:type="auto"/>
            <w:shd w:val="clear" w:color="auto" w:fill="1B556B"/>
            <w:tcMar>
              <w:top w:w="0" w:type="dxa"/>
              <w:left w:w="85" w:type="dxa"/>
              <w:bottom w:w="0" w:type="dxa"/>
              <w:right w:w="85" w:type="dxa"/>
            </w:tcMar>
            <w:vAlign w:val="bottom"/>
          </w:tcPr>
          <w:p w14:paraId="5C914D79" w14:textId="77777777" w:rsidR="00E87995" w:rsidRPr="009E06AA" w:rsidRDefault="00E87995" w:rsidP="00E770EF">
            <w:pPr>
              <w:pStyle w:val="TableTextBold"/>
              <w:spacing w:before="30" w:after="30"/>
              <w:jc w:val="right"/>
              <w:rPr>
                <w:noProof w:val="0"/>
                <w:color w:val="FFFFFF" w:themeColor="background1"/>
              </w:rPr>
            </w:pPr>
            <w:r w:rsidRPr="009E06AA">
              <w:rPr>
                <w:noProof w:val="0"/>
                <w:color w:val="FFFFFF" w:themeColor="background1"/>
              </w:rPr>
              <w:t xml:space="preserve">Total industrial </w:t>
            </w:r>
            <w:r w:rsidRPr="009E06AA">
              <w:rPr>
                <w:noProof w:val="0"/>
                <w:color w:val="FFFFFF" w:themeColor="background1"/>
              </w:rPr>
              <w:br/>
              <w:t>TOW (kt)</w:t>
            </w:r>
          </w:p>
        </w:tc>
      </w:tr>
      <w:tr w:rsidR="00E87995" w:rsidRPr="009E06AA" w14:paraId="1627FA45" w14:textId="77777777" w:rsidTr="00B55F24">
        <w:tc>
          <w:tcPr>
            <w:tcW w:w="993" w:type="dxa"/>
            <w:shd w:val="clear" w:color="auto" w:fill="FFFFFF"/>
            <w:tcMar>
              <w:top w:w="0" w:type="dxa"/>
              <w:left w:w="85" w:type="dxa"/>
              <w:bottom w:w="0" w:type="dxa"/>
              <w:right w:w="85" w:type="dxa"/>
            </w:tcMar>
          </w:tcPr>
          <w:p w14:paraId="752A0CF4" w14:textId="77777777" w:rsidR="00E87995" w:rsidRPr="009E06AA" w:rsidRDefault="00E87995" w:rsidP="00B55F24">
            <w:pPr>
              <w:pStyle w:val="TableTextBold"/>
              <w:spacing w:before="30" w:after="30"/>
              <w:rPr>
                <w:noProof w:val="0"/>
              </w:rPr>
            </w:pPr>
            <w:r w:rsidRPr="009E06AA">
              <w:rPr>
                <w:noProof w:val="0"/>
                <w:color w:val="1B556B"/>
              </w:rPr>
              <w:t>1990</w:t>
            </w:r>
          </w:p>
        </w:tc>
        <w:tc>
          <w:tcPr>
            <w:tcW w:w="1559" w:type="dxa"/>
            <w:shd w:val="clear" w:color="auto" w:fill="FFFFFF"/>
            <w:tcMar>
              <w:top w:w="0" w:type="dxa"/>
              <w:left w:w="85" w:type="dxa"/>
              <w:bottom w:w="0" w:type="dxa"/>
              <w:right w:w="85" w:type="dxa"/>
            </w:tcMar>
          </w:tcPr>
          <w:p w14:paraId="693FD16B" w14:textId="77777777" w:rsidR="00E87995" w:rsidRPr="009E06AA" w:rsidRDefault="00E87995" w:rsidP="00E770EF">
            <w:pPr>
              <w:pStyle w:val="TableText"/>
              <w:spacing w:before="30" w:after="30"/>
              <w:jc w:val="right"/>
            </w:pPr>
            <w:r w:rsidRPr="009E06AA">
              <w:rPr>
                <w:color w:val="000000"/>
              </w:rPr>
              <w:t>55.6</w:t>
            </w:r>
          </w:p>
        </w:tc>
        <w:tc>
          <w:tcPr>
            <w:tcW w:w="2124" w:type="dxa"/>
            <w:shd w:val="clear" w:color="auto" w:fill="FFFFFF"/>
            <w:tcMar>
              <w:top w:w="0" w:type="dxa"/>
              <w:left w:w="85" w:type="dxa"/>
              <w:bottom w:w="0" w:type="dxa"/>
              <w:right w:w="85" w:type="dxa"/>
            </w:tcMar>
          </w:tcPr>
          <w:p w14:paraId="5051DB8C" w14:textId="77777777" w:rsidR="00E87995" w:rsidRPr="009E06AA" w:rsidRDefault="00E87995" w:rsidP="00E770EF">
            <w:pPr>
              <w:pStyle w:val="TableText"/>
              <w:spacing w:before="30" w:after="30"/>
              <w:jc w:val="right"/>
            </w:pPr>
            <w:r w:rsidRPr="009E06AA">
              <w:rPr>
                <w:color w:val="000000"/>
              </w:rPr>
              <w:t>76.7</w:t>
            </w:r>
          </w:p>
        </w:tc>
        <w:tc>
          <w:tcPr>
            <w:tcW w:w="0" w:type="auto"/>
            <w:shd w:val="clear" w:color="auto" w:fill="FFFFFF"/>
            <w:tcMar>
              <w:top w:w="0" w:type="dxa"/>
              <w:left w:w="85" w:type="dxa"/>
              <w:bottom w:w="0" w:type="dxa"/>
              <w:right w:w="85" w:type="dxa"/>
            </w:tcMar>
          </w:tcPr>
          <w:p w14:paraId="6F60765A" w14:textId="77777777" w:rsidR="00E87995" w:rsidRPr="009E06AA" w:rsidRDefault="00E87995" w:rsidP="00E770EF">
            <w:pPr>
              <w:pStyle w:val="TableText"/>
              <w:spacing w:before="30" w:after="30"/>
              <w:jc w:val="right"/>
            </w:pPr>
            <w:r w:rsidRPr="009E06AA">
              <w:rPr>
                <w:color w:val="000000"/>
              </w:rPr>
              <w:t>20.2</w:t>
            </w:r>
          </w:p>
        </w:tc>
        <w:tc>
          <w:tcPr>
            <w:tcW w:w="0" w:type="auto"/>
            <w:shd w:val="clear" w:color="auto" w:fill="FFFFFF"/>
            <w:tcMar>
              <w:top w:w="0" w:type="dxa"/>
              <w:left w:w="85" w:type="dxa"/>
              <w:bottom w:w="0" w:type="dxa"/>
              <w:right w:w="85" w:type="dxa"/>
            </w:tcMar>
          </w:tcPr>
          <w:p w14:paraId="62A95B7F" w14:textId="77777777" w:rsidR="00E87995" w:rsidRPr="009E06AA" w:rsidRDefault="00E87995" w:rsidP="00E770EF">
            <w:pPr>
              <w:pStyle w:val="TableText"/>
              <w:spacing w:before="30" w:after="30"/>
              <w:jc w:val="right"/>
            </w:pPr>
            <w:r w:rsidRPr="009E06AA">
              <w:rPr>
                <w:color w:val="000000"/>
              </w:rPr>
              <w:t>152.5</w:t>
            </w:r>
          </w:p>
        </w:tc>
      </w:tr>
      <w:tr w:rsidR="00E87995" w:rsidRPr="009E06AA" w14:paraId="5173C3D0" w14:textId="77777777" w:rsidTr="00B55F24">
        <w:tc>
          <w:tcPr>
            <w:tcW w:w="993" w:type="dxa"/>
            <w:shd w:val="clear" w:color="auto" w:fill="FFFFFF"/>
            <w:tcMar>
              <w:top w:w="0" w:type="dxa"/>
              <w:left w:w="85" w:type="dxa"/>
              <w:bottom w:w="0" w:type="dxa"/>
              <w:right w:w="85" w:type="dxa"/>
            </w:tcMar>
          </w:tcPr>
          <w:p w14:paraId="16B8E875" w14:textId="77777777" w:rsidR="00E87995" w:rsidRPr="009E06AA" w:rsidRDefault="00E87995" w:rsidP="00B55F24">
            <w:pPr>
              <w:pStyle w:val="TableTextBold"/>
              <w:spacing w:before="30" w:after="30"/>
              <w:rPr>
                <w:noProof w:val="0"/>
              </w:rPr>
            </w:pPr>
            <w:r w:rsidRPr="009E06AA">
              <w:rPr>
                <w:noProof w:val="0"/>
                <w:color w:val="1B556B"/>
              </w:rPr>
              <w:t>1991</w:t>
            </w:r>
          </w:p>
        </w:tc>
        <w:tc>
          <w:tcPr>
            <w:tcW w:w="1559" w:type="dxa"/>
            <w:shd w:val="clear" w:color="auto" w:fill="FFFFFF"/>
            <w:tcMar>
              <w:top w:w="0" w:type="dxa"/>
              <w:left w:w="85" w:type="dxa"/>
              <w:bottom w:w="0" w:type="dxa"/>
              <w:right w:w="85" w:type="dxa"/>
            </w:tcMar>
          </w:tcPr>
          <w:p w14:paraId="4EBA9D9B" w14:textId="77777777" w:rsidR="00E87995" w:rsidRPr="009E06AA" w:rsidRDefault="00E87995" w:rsidP="00E770EF">
            <w:pPr>
              <w:pStyle w:val="TableText"/>
              <w:spacing w:before="30" w:after="30"/>
              <w:jc w:val="right"/>
            </w:pPr>
            <w:r w:rsidRPr="009E06AA">
              <w:rPr>
                <w:color w:val="000000"/>
              </w:rPr>
              <w:t>59.2</w:t>
            </w:r>
          </w:p>
        </w:tc>
        <w:tc>
          <w:tcPr>
            <w:tcW w:w="2124" w:type="dxa"/>
            <w:shd w:val="clear" w:color="auto" w:fill="FFFFFF"/>
            <w:tcMar>
              <w:top w:w="0" w:type="dxa"/>
              <w:left w:w="85" w:type="dxa"/>
              <w:bottom w:w="0" w:type="dxa"/>
              <w:right w:w="85" w:type="dxa"/>
            </w:tcMar>
          </w:tcPr>
          <w:p w14:paraId="683D19A0" w14:textId="77777777" w:rsidR="00E87995" w:rsidRPr="009E06AA" w:rsidRDefault="00E87995" w:rsidP="00E770EF">
            <w:pPr>
              <w:pStyle w:val="TableText"/>
              <w:spacing w:before="30" w:after="30"/>
              <w:jc w:val="right"/>
            </w:pPr>
            <w:r w:rsidRPr="009E06AA">
              <w:rPr>
                <w:color w:val="000000"/>
              </w:rPr>
              <w:t>76.3</w:t>
            </w:r>
          </w:p>
        </w:tc>
        <w:tc>
          <w:tcPr>
            <w:tcW w:w="0" w:type="auto"/>
            <w:shd w:val="clear" w:color="auto" w:fill="FFFFFF"/>
            <w:tcMar>
              <w:top w:w="0" w:type="dxa"/>
              <w:left w:w="85" w:type="dxa"/>
              <w:bottom w:w="0" w:type="dxa"/>
              <w:right w:w="85" w:type="dxa"/>
            </w:tcMar>
          </w:tcPr>
          <w:p w14:paraId="0B0CF28F" w14:textId="77777777" w:rsidR="00E87995" w:rsidRPr="009E06AA" w:rsidRDefault="00E87995" w:rsidP="00E770EF">
            <w:pPr>
              <w:pStyle w:val="TableText"/>
              <w:spacing w:before="30" w:after="30"/>
              <w:jc w:val="right"/>
            </w:pPr>
            <w:r w:rsidRPr="009E06AA">
              <w:rPr>
                <w:color w:val="000000"/>
              </w:rPr>
              <w:t>18.8</w:t>
            </w:r>
          </w:p>
        </w:tc>
        <w:tc>
          <w:tcPr>
            <w:tcW w:w="0" w:type="auto"/>
            <w:shd w:val="clear" w:color="auto" w:fill="FFFFFF"/>
            <w:tcMar>
              <w:top w:w="0" w:type="dxa"/>
              <w:left w:w="85" w:type="dxa"/>
              <w:bottom w:w="0" w:type="dxa"/>
              <w:right w:w="85" w:type="dxa"/>
            </w:tcMar>
          </w:tcPr>
          <w:p w14:paraId="0AC20CDA" w14:textId="77777777" w:rsidR="00E87995" w:rsidRPr="009E06AA" w:rsidRDefault="00E87995" w:rsidP="00E770EF">
            <w:pPr>
              <w:pStyle w:val="TableText"/>
              <w:spacing w:before="30" w:after="30"/>
              <w:jc w:val="right"/>
            </w:pPr>
            <w:r w:rsidRPr="009E06AA">
              <w:rPr>
                <w:color w:val="000000"/>
              </w:rPr>
              <w:t>154.2</w:t>
            </w:r>
          </w:p>
        </w:tc>
      </w:tr>
      <w:tr w:rsidR="00E87995" w:rsidRPr="009E06AA" w14:paraId="5B0B95E3" w14:textId="77777777" w:rsidTr="00B55F24">
        <w:tc>
          <w:tcPr>
            <w:tcW w:w="993" w:type="dxa"/>
            <w:shd w:val="clear" w:color="auto" w:fill="FFFFFF"/>
            <w:tcMar>
              <w:top w:w="0" w:type="dxa"/>
              <w:left w:w="85" w:type="dxa"/>
              <w:bottom w:w="0" w:type="dxa"/>
              <w:right w:w="85" w:type="dxa"/>
            </w:tcMar>
          </w:tcPr>
          <w:p w14:paraId="612BDA60" w14:textId="77777777" w:rsidR="00E87995" w:rsidRPr="009E06AA" w:rsidRDefault="00E87995" w:rsidP="00B55F24">
            <w:pPr>
              <w:pStyle w:val="TableTextBold"/>
              <w:spacing w:before="30" w:after="30"/>
              <w:rPr>
                <w:noProof w:val="0"/>
              </w:rPr>
            </w:pPr>
            <w:r w:rsidRPr="009E06AA">
              <w:rPr>
                <w:noProof w:val="0"/>
                <w:color w:val="1B556B"/>
              </w:rPr>
              <w:t>1992</w:t>
            </w:r>
          </w:p>
        </w:tc>
        <w:tc>
          <w:tcPr>
            <w:tcW w:w="1559" w:type="dxa"/>
            <w:shd w:val="clear" w:color="auto" w:fill="FFFFFF"/>
            <w:tcMar>
              <w:top w:w="0" w:type="dxa"/>
              <w:left w:w="85" w:type="dxa"/>
              <w:bottom w:w="0" w:type="dxa"/>
              <w:right w:w="85" w:type="dxa"/>
            </w:tcMar>
          </w:tcPr>
          <w:p w14:paraId="6A659094" w14:textId="77777777" w:rsidR="00E87995" w:rsidRPr="009E06AA" w:rsidRDefault="00E87995" w:rsidP="00E770EF">
            <w:pPr>
              <w:pStyle w:val="TableText"/>
              <w:spacing w:before="30" w:after="30"/>
              <w:jc w:val="right"/>
            </w:pPr>
            <w:r w:rsidRPr="009E06AA">
              <w:rPr>
                <w:color w:val="000000"/>
              </w:rPr>
              <w:t>64.1</w:t>
            </w:r>
          </w:p>
        </w:tc>
        <w:tc>
          <w:tcPr>
            <w:tcW w:w="2124" w:type="dxa"/>
            <w:shd w:val="clear" w:color="auto" w:fill="FFFFFF"/>
            <w:tcMar>
              <w:top w:w="0" w:type="dxa"/>
              <w:left w:w="85" w:type="dxa"/>
              <w:bottom w:w="0" w:type="dxa"/>
              <w:right w:w="85" w:type="dxa"/>
            </w:tcMar>
          </w:tcPr>
          <w:p w14:paraId="556879B2" w14:textId="77777777" w:rsidR="00E87995" w:rsidRPr="009E06AA" w:rsidRDefault="00E87995" w:rsidP="00E770EF">
            <w:pPr>
              <w:pStyle w:val="TableText"/>
              <w:spacing w:before="30" w:after="30"/>
              <w:jc w:val="right"/>
            </w:pPr>
            <w:r w:rsidRPr="009E06AA">
              <w:rPr>
                <w:color w:val="000000"/>
              </w:rPr>
              <w:t>72.7</w:t>
            </w:r>
          </w:p>
        </w:tc>
        <w:tc>
          <w:tcPr>
            <w:tcW w:w="0" w:type="auto"/>
            <w:shd w:val="clear" w:color="auto" w:fill="FFFFFF"/>
            <w:tcMar>
              <w:top w:w="0" w:type="dxa"/>
              <w:left w:w="85" w:type="dxa"/>
              <w:bottom w:w="0" w:type="dxa"/>
              <w:right w:w="85" w:type="dxa"/>
            </w:tcMar>
          </w:tcPr>
          <w:p w14:paraId="24118C24" w14:textId="77777777" w:rsidR="00E87995" w:rsidRPr="009E06AA" w:rsidRDefault="00E87995" w:rsidP="00E770EF">
            <w:pPr>
              <w:pStyle w:val="TableText"/>
              <w:spacing w:before="30" w:after="30"/>
              <w:jc w:val="right"/>
            </w:pPr>
            <w:r w:rsidRPr="009E06AA">
              <w:rPr>
                <w:color w:val="000000"/>
              </w:rPr>
              <w:t>17.2</w:t>
            </w:r>
          </w:p>
        </w:tc>
        <w:tc>
          <w:tcPr>
            <w:tcW w:w="0" w:type="auto"/>
            <w:shd w:val="clear" w:color="auto" w:fill="FFFFFF"/>
            <w:tcMar>
              <w:top w:w="0" w:type="dxa"/>
              <w:left w:w="85" w:type="dxa"/>
              <w:bottom w:w="0" w:type="dxa"/>
              <w:right w:w="85" w:type="dxa"/>
            </w:tcMar>
          </w:tcPr>
          <w:p w14:paraId="5039F8D3" w14:textId="77777777" w:rsidR="00E87995" w:rsidRPr="009E06AA" w:rsidRDefault="00E87995" w:rsidP="00E770EF">
            <w:pPr>
              <w:pStyle w:val="TableText"/>
              <w:spacing w:before="30" w:after="30"/>
              <w:jc w:val="right"/>
            </w:pPr>
            <w:r w:rsidRPr="009E06AA">
              <w:rPr>
                <w:color w:val="000000"/>
              </w:rPr>
              <w:t>154.1</w:t>
            </w:r>
          </w:p>
        </w:tc>
      </w:tr>
      <w:tr w:rsidR="00E87995" w:rsidRPr="009E06AA" w14:paraId="0CA68FAD" w14:textId="77777777" w:rsidTr="00B55F24">
        <w:tc>
          <w:tcPr>
            <w:tcW w:w="993" w:type="dxa"/>
            <w:shd w:val="clear" w:color="auto" w:fill="FFFFFF"/>
            <w:tcMar>
              <w:top w:w="0" w:type="dxa"/>
              <w:left w:w="85" w:type="dxa"/>
              <w:bottom w:w="0" w:type="dxa"/>
              <w:right w:w="85" w:type="dxa"/>
            </w:tcMar>
          </w:tcPr>
          <w:p w14:paraId="6681FA22" w14:textId="77777777" w:rsidR="00E87995" w:rsidRPr="009E06AA" w:rsidRDefault="00E87995" w:rsidP="00B55F24">
            <w:pPr>
              <w:pStyle w:val="TableTextBold"/>
              <w:spacing w:before="30" w:after="30"/>
              <w:rPr>
                <w:noProof w:val="0"/>
              </w:rPr>
            </w:pPr>
            <w:r w:rsidRPr="009E06AA">
              <w:rPr>
                <w:noProof w:val="0"/>
                <w:color w:val="1B556B"/>
              </w:rPr>
              <w:t>1993</w:t>
            </w:r>
          </w:p>
        </w:tc>
        <w:tc>
          <w:tcPr>
            <w:tcW w:w="1559" w:type="dxa"/>
            <w:shd w:val="clear" w:color="auto" w:fill="FFFFFF"/>
            <w:tcMar>
              <w:top w:w="0" w:type="dxa"/>
              <w:left w:w="85" w:type="dxa"/>
              <w:bottom w:w="0" w:type="dxa"/>
              <w:right w:w="85" w:type="dxa"/>
            </w:tcMar>
          </w:tcPr>
          <w:p w14:paraId="2365CDEF" w14:textId="77777777" w:rsidR="00E87995" w:rsidRPr="009E06AA" w:rsidRDefault="00E87995" w:rsidP="00E770EF">
            <w:pPr>
              <w:pStyle w:val="TableText"/>
              <w:spacing w:before="30" w:after="30"/>
              <w:jc w:val="right"/>
            </w:pPr>
            <w:r w:rsidRPr="009E06AA">
              <w:rPr>
                <w:color w:val="000000"/>
              </w:rPr>
              <w:t>59.3</w:t>
            </w:r>
          </w:p>
        </w:tc>
        <w:tc>
          <w:tcPr>
            <w:tcW w:w="2124" w:type="dxa"/>
            <w:shd w:val="clear" w:color="auto" w:fill="FFFFFF"/>
            <w:tcMar>
              <w:top w:w="0" w:type="dxa"/>
              <w:left w:w="85" w:type="dxa"/>
              <w:bottom w:w="0" w:type="dxa"/>
              <w:right w:w="85" w:type="dxa"/>
            </w:tcMar>
          </w:tcPr>
          <w:p w14:paraId="139A0CAA" w14:textId="77777777" w:rsidR="00E87995" w:rsidRPr="009E06AA" w:rsidRDefault="00E87995" w:rsidP="00E770EF">
            <w:pPr>
              <w:pStyle w:val="TableText"/>
              <w:spacing w:before="30" w:after="30"/>
              <w:jc w:val="right"/>
            </w:pPr>
            <w:r w:rsidRPr="009E06AA">
              <w:rPr>
                <w:color w:val="000000"/>
              </w:rPr>
              <w:t>79.3</w:t>
            </w:r>
          </w:p>
        </w:tc>
        <w:tc>
          <w:tcPr>
            <w:tcW w:w="0" w:type="auto"/>
            <w:shd w:val="clear" w:color="auto" w:fill="FFFFFF"/>
            <w:tcMar>
              <w:top w:w="0" w:type="dxa"/>
              <w:left w:w="85" w:type="dxa"/>
              <w:bottom w:w="0" w:type="dxa"/>
              <w:right w:w="85" w:type="dxa"/>
            </w:tcMar>
          </w:tcPr>
          <w:p w14:paraId="17E48A23" w14:textId="77777777" w:rsidR="00E87995" w:rsidRPr="009E06AA" w:rsidRDefault="00E87995" w:rsidP="00E770EF">
            <w:pPr>
              <w:pStyle w:val="TableText"/>
              <w:spacing w:before="30" w:after="30"/>
              <w:jc w:val="right"/>
            </w:pPr>
            <w:r w:rsidRPr="009E06AA">
              <w:rPr>
                <w:color w:val="000000"/>
              </w:rPr>
              <w:t>15.7</w:t>
            </w:r>
          </w:p>
        </w:tc>
        <w:tc>
          <w:tcPr>
            <w:tcW w:w="0" w:type="auto"/>
            <w:shd w:val="clear" w:color="auto" w:fill="FFFFFF"/>
            <w:tcMar>
              <w:top w:w="0" w:type="dxa"/>
              <w:left w:w="85" w:type="dxa"/>
              <w:bottom w:w="0" w:type="dxa"/>
              <w:right w:w="85" w:type="dxa"/>
            </w:tcMar>
          </w:tcPr>
          <w:p w14:paraId="359412EB" w14:textId="77777777" w:rsidR="00E87995" w:rsidRPr="009E06AA" w:rsidRDefault="00E87995" w:rsidP="00E770EF">
            <w:pPr>
              <w:pStyle w:val="TableText"/>
              <w:spacing w:before="30" w:after="30"/>
              <w:jc w:val="right"/>
            </w:pPr>
            <w:r w:rsidRPr="009E06AA">
              <w:rPr>
                <w:color w:val="000000"/>
              </w:rPr>
              <w:t>154.3</w:t>
            </w:r>
          </w:p>
        </w:tc>
      </w:tr>
      <w:tr w:rsidR="00E87995" w:rsidRPr="009E06AA" w14:paraId="6A12C8EF" w14:textId="77777777" w:rsidTr="00B55F24">
        <w:tc>
          <w:tcPr>
            <w:tcW w:w="993" w:type="dxa"/>
            <w:shd w:val="clear" w:color="auto" w:fill="FFFFFF"/>
            <w:tcMar>
              <w:top w:w="0" w:type="dxa"/>
              <w:left w:w="85" w:type="dxa"/>
              <w:bottom w:w="0" w:type="dxa"/>
              <w:right w:w="85" w:type="dxa"/>
            </w:tcMar>
          </w:tcPr>
          <w:p w14:paraId="6CE28C34" w14:textId="77777777" w:rsidR="00E87995" w:rsidRPr="009E06AA" w:rsidRDefault="00E87995" w:rsidP="00B55F24">
            <w:pPr>
              <w:pStyle w:val="TableTextBold"/>
              <w:spacing w:before="30" w:after="30"/>
              <w:rPr>
                <w:noProof w:val="0"/>
              </w:rPr>
            </w:pPr>
            <w:r w:rsidRPr="009E06AA">
              <w:rPr>
                <w:noProof w:val="0"/>
                <w:color w:val="1B556B"/>
              </w:rPr>
              <w:t>1994</w:t>
            </w:r>
          </w:p>
        </w:tc>
        <w:tc>
          <w:tcPr>
            <w:tcW w:w="1559" w:type="dxa"/>
            <w:shd w:val="clear" w:color="auto" w:fill="FFFFFF"/>
            <w:tcMar>
              <w:top w:w="0" w:type="dxa"/>
              <w:left w:w="85" w:type="dxa"/>
              <w:bottom w:w="0" w:type="dxa"/>
              <w:right w:w="85" w:type="dxa"/>
            </w:tcMar>
          </w:tcPr>
          <w:p w14:paraId="4A29951C" w14:textId="77777777" w:rsidR="00E87995" w:rsidRPr="009E06AA" w:rsidRDefault="00E87995" w:rsidP="00E770EF">
            <w:pPr>
              <w:pStyle w:val="TableText"/>
              <w:spacing w:before="30" w:after="30"/>
              <w:jc w:val="right"/>
            </w:pPr>
            <w:r w:rsidRPr="009E06AA">
              <w:rPr>
                <w:color w:val="000000"/>
              </w:rPr>
              <w:t>62.1</w:t>
            </w:r>
          </w:p>
        </w:tc>
        <w:tc>
          <w:tcPr>
            <w:tcW w:w="2124" w:type="dxa"/>
            <w:shd w:val="clear" w:color="auto" w:fill="FFFFFF"/>
            <w:tcMar>
              <w:top w:w="0" w:type="dxa"/>
              <w:left w:w="85" w:type="dxa"/>
              <w:bottom w:w="0" w:type="dxa"/>
              <w:right w:w="85" w:type="dxa"/>
            </w:tcMar>
          </w:tcPr>
          <w:p w14:paraId="384A3481" w14:textId="77777777" w:rsidR="00E87995" w:rsidRPr="009E06AA" w:rsidRDefault="00E87995" w:rsidP="00E770EF">
            <w:pPr>
              <w:pStyle w:val="TableText"/>
              <w:spacing w:before="30" w:after="30"/>
              <w:jc w:val="right"/>
            </w:pPr>
            <w:r w:rsidRPr="009E06AA">
              <w:rPr>
                <w:color w:val="000000"/>
              </w:rPr>
              <w:t>80.0</w:t>
            </w:r>
          </w:p>
        </w:tc>
        <w:tc>
          <w:tcPr>
            <w:tcW w:w="0" w:type="auto"/>
            <w:shd w:val="clear" w:color="auto" w:fill="FFFFFF"/>
            <w:tcMar>
              <w:top w:w="0" w:type="dxa"/>
              <w:left w:w="85" w:type="dxa"/>
              <w:bottom w:w="0" w:type="dxa"/>
              <w:right w:w="85" w:type="dxa"/>
            </w:tcMar>
          </w:tcPr>
          <w:p w14:paraId="11CD10D5" w14:textId="77777777" w:rsidR="00E87995" w:rsidRPr="009E06AA" w:rsidRDefault="00E87995" w:rsidP="00E770EF">
            <w:pPr>
              <w:pStyle w:val="TableText"/>
              <w:spacing w:before="30" w:after="30"/>
              <w:jc w:val="right"/>
            </w:pPr>
            <w:r w:rsidRPr="009E06AA">
              <w:rPr>
                <w:color w:val="000000"/>
              </w:rPr>
              <w:t>14.4</w:t>
            </w:r>
          </w:p>
        </w:tc>
        <w:tc>
          <w:tcPr>
            <w:tcW w:w="0" w:type="auto"/>
            <w:shd w:val="clear" w:color="auto" w:fill="FFFFFF"/>
            <w:tcMar>
              <w:top w:w="0" w:type="dxa"/>
              <w:left w:w="85" w:type="dxa"/>
              <w:bottom w:w="0" w:type="dxa"/>
              <w:right w:w="85" w:type="dxa"/>
            </w:tcMar>
          </w:tcPr>
          <w:p w14:paraId="030B784D" w14:textId="77777777" w:rsidR="00E87995" w:rsidRPr="009E06AA" w:rsidRDefault="00E87995" w:rsidP="00E770EF">
            <w:pPr>
              <w:pStyle w:val="TableText"/>
              <w:spacing w:before="30" w:after="30"/>
              <w:jc w:val="right"/>
            </w:pPr>
            <w:r w:rsidRPr="009E06AA">
              <w:rPr>
                <w:color w:val="000000"/>
              </w:rPr>
              <w:t>156.5</w:t>
            </w:r>
          </w:p>
        </w:tc>
      </w:tr>
      <w:tr w:rsidR="00E87995" w:rsidRPr="009E06AA" w14:paraId="097B8D2B" w14:textId="77777777" w:rsidTr="00B55F24">
        <w:tc>
          <w:tcPr>
            <w:tcW w:w="993" w:type="dxa"/>
            <w:shd w:val="clear" w:color="auto" w:fill="FFFFFF"/>
            <w:tcMar>
              <w:top w:w="0" w:type="dxa"/>
              <w:left w:w="85" w:type="dxa"/>
              <w:bottom w:w="0" w:type="dxa"/>
              <w:right w:w="85" w:type="dxa"/>
            </w:tcMar>
          </w:tcPr>
          <w:p w14:paraId="6DB3640C" w14:textId="77777777" w:rsidR="00E87995" w:rsidRPr="009E06AA" w:rsidRDefault="00E87995" w:rsidP="00B55F24">
            <w:pPr>
              <w:pStyle w:val="TableTextBold"/>
              <w:spacing w:before="30" w:after="30"/>
              <w:rPr>
                <w:noProof w:val="0"/>
              </w:rPr>
            </w:pPr>
            <w:r w:rsidRPr="009E06AA">
              <w:rPr>
                <w:noProof w:val="0"/>
                <w:color w:val="1B556B"/>
              </w:rPr>
              <w:t>1995</w:t>
            </w:r>
          </w:p>
        </w:tc>
        <w:tc>
          <w:tcPr>
            <w:tcW w:w="1559" w:type="dxa"/>
            <w:shd w:val="clear" w:color="auto" w:fill="FFFFFF"/>
            <w:tcMar>
              <w:top w:w="0" w:type="dxa"/>
              <w:left w:w="85" w:type="dxa"/>
              <w:bottom w:w="0" w:type="dxa"/>
              <w:right w:w="85" w:type="dxa"/>
            </w:tcMar>
          </w:tcPr>
          <w:p w14:paraId="16120E6F" w14:textId="77777777" w:rsidR="00E87995" w:rsidRPr="009E06AA" w:rsidRDefault="00E87995" w:rsidP="00E770EF">
            <w:pPr>
              <w:pStyle w:val="TableText"/>
              <w:spacing w:before="30" w:after="30"/>
              <w:jc w:val="right"/>
            </w:pPr>
            <w:r w:rsidRPr="009E06AA">
              <w:rPr>
                <w:color w:val="000000"/>
              </w:rPr>
              <w:t>64.5</w:t>
            </w:r>
          </w:p>
        </w:tc>
        <w:tc>
          <w:tcPr>
            <w:tcW w:w="2124" w:type="dxa"/>
            <w:shd w:val="clear" w:color="auto" w:fill="FFFFFF"/>
            <w:tcMar>
              <w:top w:w="0" w:type="dxa"/>
              <w:left w:w="85" w:type="dxa"/>
              <w:bottom w:w="0" w:type="dxa"/>
              <w:right w:w="85" w:type="dxa"/>
            </w:tcMar>
          </w:tcPr>
          <w:p w14:paraId="4DC0655B" w14:textId="77777777" w:rsidR="00E87995" w:rsidRPr="009E06AA" w:rsidRDefault="00E87995" w:rsidP="00E770EF">
            <w:pPr>
              <w:pStyle w:val="TableText"/>
              <w:spacing w:before="30" w:after="30"/>
              <w:jc w:val="right"/>
            </w:pPr>
            <w:r w:rsidRPr="009E06AA">
              <w:rPr>
                <w:color w:val="000000"/>
              </w:rPr>
              <w:t>83.3</w:t>
            </w:r>
          </w:p>
        </w:tc>
        <w:tc>
          <w:tcPr>
            <w:tcW w:w="0" w:type="auto"/>
            <w:shd w:val="clear" w:color="auto" w:fill="FFFFFF"/>
            <w:tcMar>
              <w:top w:w="0" w:type="dxa"/>
              <w:left w:w="85" w:type="dxa"/>
              <w:bottom w:w="0" w:type="dxa"/>
              <w:right w:w="85" w:type="dxa"/>
            </w:tcMar>
          </w:tcPr>
          <w:p w14:paraId="68FD3444" w14:textId="77777777" w:rsidR="00E87995" w:rsidRPr="009E06AA" w:rsidRDefault="00E87995" w:rsidP="00E770EF">
            <w:pPr>
              <w:pStyle w:val="TableText"/>
              <w:spacing w:before="30" w:after="30"/>
              <w:jc w:val="right"/>
            </w:pPr>
            <w:r w:rsidRPr="009E06AA">
              <w:rPr>
                <w:color w:val="000000"/>
              </w:rPr>
              <w:t>13.3</w:t>
            </w:r>
          </w:p>
        </w:tc>
        <w:tc>
          <w:tcPr>
            <w:tcW w:w="0" w:type="auto"/>
            <w:shd w:val="clear" w:color="auto" w:fill="FFFFFF"/>
            <w:tcMar>
              <w:top w:w="0" w:type="dxa"/>
              <w:left w:w="85" w:type="dxa"/>
              <w:bottom w:w="0" w:type="dxa"/>
              <w:right w:w="85" w:type="dxa"/>
            </w:tcMar>
          </w:tcPr>
          <w:p w14:paraId="54CAF73C" w14:textId="77777777" w:rsidR="00E87995" w:rsidRPr="009E06AA" w:rsidRDefault="00E87995" w:rsidP="00E770EF">
            <w:pPr>
              <w:pStyle w:val="TableText"/>
              <w:spacing w:before="30" w:after="30"/>
              <w:jc w:val="right"/>
            </w:pPr>
            <w:r w:rsidRPr="009E06AA">
              <w:rPr>
                <w:color w:val="000000"/>
              </w:rPr>
              <w:t>161.1</w:t>
            </w:r>
          </w:p>
        </w:tc>
      </w:tr>
      <w:tr w:rsidR="00E87995" w:rsidRPr="009E06AA" w14:paraId="79CCFEE3" w14:textId="77777777" w:rsidTr="00B55F24">
        <w:tc>
          <w:tcPr>
            <w:tcW w:w="993" w:type="dxa"/>
            <w:shd w:val="clear" w:color="auto" w:fill="FFFFFF"/>
            <w:tcMar>
              <w:top w:w="0" w:type="dxa"/>
              <w:left w:w="85" w:type="dxa"/>
              <w:bottom w:w="0" w:type="dxa"/>
              <w:right w:w="85" w:type="dxa"/>
            </w:tcMar>
          </w:tcPr>
          <w:p w14:paraId="63E37253" w14:textId="77777777" w:rsidR="00E87995" w:rsidRPr="009E06AA" w:rsidRDefault="00E87995" w:rsidP="00B55F24">
            <w:pPr>
              <w:pStyle w:val="TableTextBold"/>
              <w:spacing w:before="30" w:after="30"/>
              <w:rPr>
                <w:noProof w:val="0"/>
              </w:rPr>
            </w:pPr>
            <w:r w:rsidRPr="009E06AA">
              <w:rPr>
                <w:noProof w:val="0"/>
                <w:color w:val="1B556B"/>
              </w:rPr>
              <w:t>1996</w:t>
            </w:r>
          </w:p>
        </w:tc>
        <w:tc>
          <w:tcPr>
            <w:tcW w:w="1559" w:type="dxa"/>
            <w:shd w:val="clear" w:color="auto" w:fill="FFFFFF"/>
            <w:tcMar>
              <w:top w:w="0" w:type="dxa"/>
              <w:left w:w="85" w:type="dxa"/>
              <w:bottom w:w="0" w:type="dxa"/>
              <w:right w:w="85" w:type="dxa"/>
            </w:tcMar>
          </w:tcPr>
          <w:p w14:paraId="27A5D3D6" w14:textId="77777777" w:rsidR="00E87995" w:rsidRPr="009E06AA" w:rsidRDefault="00E87995" w:rsidP="00E770EF">
            <w:pPr>
              <w:pStyle w:val="TableText"/>
              <w:spacing w:before="30" w:after="30"/>
              <w:jc w:val="right"/>
            </w:pPr>
            <w:r w:rsidRPr="009E06AA">
              <w:rPr>
                <w:color w:val="000000"/>
              </w:rPr>
              <w:t>65.7</w:t>
            </w:r>
          </w:p>
        </w:tc>
        <w:tc>
          <w:tcPr>
            <w:tcW w:w="2124" w:type="dxa"/>
            <w:shd w:val="clear" w:color="auto" w:fill="FFFFFF"/>
            <w:tcMar>
              <w:top w:w="0" w:type="dxa"/>
              <w:left w:w="85" w:type="dxa"/>
              <w:bottom w:w="0" w:type="dxa"/>
              <w:right w:w="85" w:type="dxa"/>
            </w:tcMar>
          </w:tcPr>
          <w:p w14:paraId="1FBC91FC" w14:textId="77777777" w:rsidR="00E87995" w:rsidRPr="009E06AA" w:rsidRDefault="00E87995" w:rsidP="00E770EF">
            <w:pPr>
              <w:pStyle w:val="TableText"/>
              <w:spacing w:before="30" w:after="30"/>
              <w:jc w:val="right"/>
            </w:pPr>
            <w:r w:rsidRPr="009E06AA">
              <w:rPr>
                <w:color w:val="000000"/>
              </w:rPr>
              <w:t>79.9</w:t>
            </w:r>
          </w:p>
        </w:tc>
        <w:tc>
          <w:tcPr>
            <w:tcW w:w="0" w:type="auto"/>
            <w:shd w:val="clear" w:color="auto" w:fill="FFFFFF"/>
            <w:tcMar>
              <w:top w:w="0" w:type="dxa"/>
              <w:left w:w="85" w:type="dxa"/>
              <w:bottom w:w="0" w:type="dxa"/>
              <w:right w:w="85" w:type="dxa"/>
            </w:tcMar>
          </w:tcPr>
          <w:p w14:paraId="203930D6" w14:textId="77777777" w:rsidR="00E87995" w:rsidRPr="009E06AA" w:rsidRDefault="00E87995" w:rsidP="00E770EF">
            <w:pPr>
              <w:pStyle w:val="TableText"/>
              <w:spacing w:before="30" w:after="30"/>
              <w:jc w:val="right"/>
            </w:pPr>
            <w:r w:rsidRPr="009E06AA">
              <w:rPr>
                <w:color w:val="000000"/>
              </w:rPr>
              <w:t>11.9</w:t>
            </w:r>
          </w:p>
        </w:tc>
        <w:tc>
          <w:tcPr>
            <w:tcW w:w="0" w:type="auto"/>
            <w:shd w:val="clear" w:color="auto" w:fill="FFFFFF"/>
            <w:tcMar>
              <w:top w:w="0" w:type="dxa"/>
              <w:left w:w="85" w:type="dxa"/>
              <w:bottom w:w="0" w:type="dxa"/>
              <w:right w:w="85" w:type="dxa"/>
            </w:tcMar>
          </w:tcPr>
          <w:p w14:paraId="4D1355BD" w14:textId="77777777" w:rsidR="00E87995" w:rsidRPr="009E06AA" w:rsidRDefault="00E87995" w:rsidP="00E770EF">
            <w:pPr>
              <w:pStyle w:val="TableText"/>
              <w:spacing w:before="30" w:after="30"/>
              <w:jc w:val="right"/>
            </w:pPr>
            <w:r w:rsidRPr="009E06AA">
              <w:rPr>
                <w:color w:val="000000"/>
              </w:rPr>
              <w:t>157.6</w:t>
            </w:r>
          </w:p>
        </w:tc>
      </w:tr>
      <w:tr w:rsidR="00E87995" w:rsidRPr="009E06AA" w14:paraId="51B0A6C7" w14:textId="77777777" w:rsidTr="00B55F24">
        <w:tc>
          <w:tcPr>
            <w:tcW w:w="993" w:type="dxa"/>
            <w:shd w:val="clear" w:color="auto" w:fill="FFFFFF"/>
            <w:tcMar>
              <w:top w:w="0" w:type="dxa"/>
              <w:left w:w="85" w:type="dxa"/>
              <w:bottom w:w="0" w:type="dxa"/>
              <w:right w:w="85" w:type="dxa"/>
            </w:tcMar>
          </w:tcPr>
          <w:p w14:paraId="485B3264" w14:textId="77777777" w:rsidR="00E87995" w:rsidRPr="009E06AA" w:rsidRDefault="00E87995" w:rsidP="00B55F24">
            <w:pPr>
              <w:pStyle w:val="TableTextBold"/>
              <w:spacing w:before="30" w:after="30"/>
              <w:rPr>
                <w:noProof w:val="0"/>
              </w:rPr>
            </w:pPr>
            <w:r w:rsidRPr="009E06AA">
              <w:rPr>
                <w:noProof w:val="0"/>
                <w:color w:val="1B556B"/>
              </w:rPr>
              <w:t>1997</w:t>
            </w:r>
          </w:p>
        </w:tc>
        <w:tc>
          <w:tcPr>
            <w:tcW w:w="1559" w:type="dxa"/>
            <w:shd w:val="clear" w:color="auto" w:fill="FFFFFF"/>
            <w:tcMar>
              <w:top w:w="0" w:type="dxa"/>
              <w:left w:w="85" w:type="dxa"/>
              <w:bottom w:w="0" w:type="dxa"/>
              <w:right w:w="85" w:type="dxa"/>
            </w:tcMar>
          </w:tcPr>
          <w:p w14:paraId="6DA8FDC4" w14:textId="77777777" w:rsidR="00E87995" w:rsidRPr="009E06AA" w:rsidRDefault="00E87995" w:rsidP="00E770EF">
            <w:pPr>
              <w:pStyle w:val="TableText"/>
              <w:spacing w:before="30" w:after="30"/>
              <w:jc w:val="right"/>
            </w:pPr>
            <w:r w:rsidRPr="009E06AA">
              <w:rPr>
                <w:color w:val="000000"/>
              </w:rPr>
              <w:t>66.6</w:t>
            </w:r>
          </w:p>
        </w:tc>
        <w:tc>
          <w:tcPr>
            <w:tcW w:w="2124" w:type="dxa"/>
            <w:shd w:val="clear" w:color="auto" w:fill="FFFFFF"/>
            <w:tcMar>
              <w:top w:w="0" w:type="dxa"/>
              <w:left w:w="85" w:type="dxa"/>
              <w:bottom w:w="0" w:type="dxa"/>
              <w:right w:w="85" w:type="dxa"/>
            </w:tcMar>
          </w:tcPr>
          <w:p w14:paraId="071C476F" w14:textId="77777777" w:rsidR="00E87995" w:rsidRPr="009E06AA" w:rsidRDefault="00E87995" w:rsidP="00E770EF">
            <w:pPr>
              <w:pStyle w:val="TableText"/>
              <w:spacing w:before="30" w:after="30"/>
              <w:jc w:val="right"/>
            </w:pPr>
            <w:r w:rsidRPr="009E06AA">
              <w:rPr>
                <w:color w:val="000000"/>
              </w:rPr>
              <w:t>82.7</w:t>
            </w:r>
          </w:p>
        </w:tc>
        <w:tc>
          <w:tcPr>
            <w:tcW w:w="0" w:type="auto"/>
            <w:shd w:val="clear" w:color="auto" w:fill="FFFFFF"/>
            <w:tcMar>
              <w:top w:w="0" w:type="dxa"/>
              <w:left w:w="85" w:type="dxa"/>
              <w:bottom w:w="0" w:type="dxa"/>
              <w:right w:w="85" w:type="dxa"/>
            </w:tcMar>
          </w:tcPr>
          <w:p w14:paraId="62ED3148" w14:textId="77777777" w:rsidR="00E87995" w:rsidRPr="009E06AA" w:rsidRDefault="00E87995" w:rsidP="00E770EF">
            <w:pPr>
              <w:pStyle w:val="TableText"/>
              <w:spacing w:before="30" w:after="30"/>
              <w:jc w:val="right"/>
            </w:pPr>
            <w:r w:rsidRPr="009E06AA">
              <w:rPr>
                <w:color w:val="000000"/>
              </w:rPr>
              <w:t>10.3</w:t>
            </w:r>
          </w:p>
        </w:tc>
        <w:tc>
          <w:tcPr>
            <w:tcW w:w="0" w:type="auto"/>
            <w:shd w:val="clear" w:color="auto" w:fill="FFFFFF"/>
            <w:tcMar>
              <w:top w:w="0" w:type="dxa"/>
              <w:left w:w="85" w:type="dxa"/>
              <w:bottom w:w="0" w:type="dxa"/>
              <w:right w:w="85" w:type="dxa"/>
            </w:tcMar>
          </w:tcPr>
          <w:p w14:paraId="40888DB1" w14:textId="77777777" w:rsidR="00E87995" w:rsidRPr="009E06AA" w:rsidRDefault="00E87995" w:rsidP="00E770EF">
            <w:pPr>
              <w:pStyle w:val="TableText"/>
              <w:spacing w:before="30" w:after="30"/>
              <w:jc w:val="right"/>
            </w:pPr>
            <w:r w:rsidRPr="009E06AA">
              <w:rPr>
                <w:color w:val="000000"/>
              </w:rPr>
              <w:t>159.7</w:t>
            </w:r>
          </w:p>
        </w:tc>
      </w:tr>
      <w:tr w:rsidR="00E87995" w:rsidRPr="009E06AA" w14:paraId="4B092225" w14:textId="77777777" w:rsidTr="00B55F24">
        <w:tc>
          <w:tcPr>
            <w:tcW w:w="993" w:type="dxa"/>
            <w:shd w:val="clear" w:color="auto" w:fill="FFFFFF"/>
            <w:tcMar>
              <w:top w:w="0" w:type="dxa"/>
              <w:left w:w="85" w:type="dxa"/>
              <w:bottom w:w="0" w:type="dxa"/>
              <w:right w:w="85" w:type="dxa"/>
            </w:tcMar>
          </w:tcPr>
          <w:p w14:paraId="00FAF438" w14:textId="77777777" w:rsidR="00E87995" w:rsidRPr="009E06AA" w:rsidRDefault="00E87995" w:rsidP="00B55F24">
            <w:pPr>
              <w:pStyle w:val="TableTextBold"/>
              <w:spacing w:before="30" w:after="30"/>
              <w:rPr>
                <w:noProof w:val="0"/>
              </w:rPr>
            </w:pPr>
            <w:r w:rsidRPr="009E06AA">
              <w:rPr>
                <w:noProof w:val="0"/>
                <w:color w:val="1B556B"/>
              </w:rPr>
              <w:t>1998</w:t>
            </w:r>
          </w:p>
        </w:tc>
        <w:tc>
          <w:tcPr>
            <w:tcW w:w="1559" w:type="dxa"/>
            <w:shd w:val="clear" w:color="auto" w:fill="FFFFFF"/>
            <w:tcMar>
              <w:top w:w="0" w:type="dxa"/>
              <w:left w:w="85" w:type="dxa"/>
              <w:bottom w:w="0" w:type="dxa"/>
              <w:right w:w="85" w:type="dxa"/>
            </w:tcMar>
          </w:tcPr>
          <w:p w14:paraId="3677A63E" w14:textId="77777777" w:rsidR="00E87995" w:rsidRPr="009E06AA" w:rsidRDefault="00E87995" w:rsidP="00E770EF">
            <w:pPr>
              <w:pStyle w:val="TableText"/>
              <w:spacing w:before="30" w:after="30"/>
              <w:jc w:val="right"/>
            </w:pPr>
            <w:r w:rsidRPr="009E06AA">
              <w:rPr>
                <w:color w:val="000000"/>
              </w:rPr>
              <w:t>68.7</w:t>
            </w:r>
          </w:p>
        </w:tc>
        <w:tc>
          <w:tcPr>
            <w:tcW w:w="2124" w:type="dxa"/>
            <w:shd w:val="clear" w:color="auto" w:fill="FFFFFF"/>
            <w:tcMar>
              <w:top w:w="0" w:type="dxa"/>
              <w:left w:w="85" w:type="dxa"/>
              <w:bottom w:w="0" w:type="dxa"/>
              <w:right w:w="85" w:type="dxa"/>
            </w:tcMar>
          </w:tcPr>
          <w:p w14:paraId="27315E36" w14:textId="77777777" w:rsidR="00E87995" w:rsidRPr="009E06AA" w:rsidRDefault="00E87995" w:rsidP="00E770EF">
            <w:pPr>
              <w:pStyle w:val="TableText"/>
              <w:spacing w:before="30" w:after="30"/>
              <w:jc w:val="right"/>
            </w:pPr>
            <w:r w:rsidRPr="009E06AA">
              <w:rPr>
                <w:color w:val="000000"/>
              </w:rPr>
              <w:t>81.1</w:t>
            </w:r>
          </w:p>
        </w:tc>
        <w:tc>
          <w:tcPr>
            <w:tcW w:w="0" w:type="auto"/>
            <w:shd w:val="clear" w:color="auto" w:fill="FFFFFF"/>
            <w:tcMar>
              <w:top w:w="0" w:type="dxa"/>
              <w:left w:w="85" w:type="dxa"/>
              <w:bottom w:w="0" w:type="dxa"/>
              <w:right w:w="85" w:type="dxa"/>
            </w:tcMar>
          </w:tcPr>
          <w:p w14:paraId="2BF7F9B6" w14:textId="77777777" w:rsidR="00E87995" w:rsidRPr="009E06AA" w:rsidRDefault="00E87995" w:rsidP="00E770EF">
            <w:pPr>
              <w:pStyle w:val="TableText"/>
              <w:spacing w:before="30" w:after="30"/>
              <w:jc w:val="right"/>
            </w:pPr>
            <w:r w:rsidRPr="009E06AA">
              <w:rPr>
                <w:color w:val="000000"/>
              </w:rPr>
              <w:t>9.2</w:t>
            </w:r>
          </w:p>
        </w:tc>
        <w:tc>
          <w:tcPr>
            <w:tcW w:w="0" w:type="auto"/>
            <w:shd w:val="clear" w:color="auto" w:fill="FFFFFF"/>
            <w:tcMar>
              <w:top w:w="0" w:type="dxa"/>
              <w:left w:w="85" w:type="dxa"/>
              <w:bottom w:w="0" w:type="dxa"/>
              <w:right w:w="85" w:type="dxa"/>
            </w:tcMar>
          </w:tcPr>
          <w:p w14:paraId="63338884" w14:textId="77777777" w:rsidR="00E87995" w:rsidRPr="009E06AA" w:rsidRDefault="00E87995" w:rsidP="00E770EF">
            <w:pPr>
              <w:pStyle w:val="TableText"/>
              <w:spacing w:before="30" w:after="30"/>
              <w:jc w:val="right"/>
            </w:pPr>
            <w:r w:rsidRPr="009E06AA">
              <w:rPr>
                <w:color w:val="000000"/>
              </w:rPr>
              <w:t>158.9</w:t>
            </w:r>
          </w:p>
        </w:tc>
      </w:tr>
      <w:tr w:rsidR="00E87995" w:rsidRPr="009E06AA" w14:paraId="7378DF44" w14:textId="77777777" w:rsidTr="00B55F24">
        <w:tc>
          <w:tcPr>
            <w:tcW w:w="993" w:type="dxa"/>
            <w:shd w:val="clear" w:color="auto" w:fill="FFFFFF"/>
            <w:tcMar>
              <w:top w:w="0" w:type="dxa"/>
              <w:left w:w="85" w:type="dxa"/>
              <w:bottom w:w="0" w:type="dxa"/>
              <w:right w:w="85" w:type="dxa"/>
            </w:tcMar>
          </w:tcPr>
          <w:p w14:paraId="386FB863" w14:textId="77777777" w:rsidR="00E87995" w:rsidRPr="009E06AA" w:rsidRDefault="00E87995" w:rsidP="00B55F24">
            <w:pPr>
              <w:pStyle w:val="TableTextBold"/>
              <w:spacing w:before="30" w:after="30"/>
              <w:rPr>
                <w:noProof w:val="0"/>
              </w:rPr>
            </w:pPr>
            <w:r w:rsidRPr="009E06AA">
              <w:rPr>
                <w:noProof w:val="0"/>
                <w:color w:val="1B556B"/>
              </w:rPr>
              <w:t>1999</w:t>
            </w:r>
          </w:p>
        </w:tc>
        <w:tc>
          <w:tcPr>
            <w:tcW w:w="1559" w:type="dxa"/>
            <w:shd w:val="clear" w:color="auto" w:fill="FFFFFF"/>
            <w:tcMar>
              <w:top w:w="0" w:type="dxa"/>
              <w:left w:w="85" w:type="dxa"/>
              <w:bottom w:w="0" w:type="dxa"/>
              <w:right w:w="85" w:type="dxa"/>
            </w:tcMar>
          </w:tcPr>
          <w:p w14:paraId="31018ABA" w14:textId="77777777" w:rsidR="00E87995" w:rsidRPr="009E06AA" w:rsidRDefault="00E87995" w:rsidP="00E770EF">
            <w:pPr>
              <w:pStyle w:val="TableText"/>
              <w:spacing w:before="30" w:after="30"/>
              <w:jc w:val="right"/>
            </w:pPr>
            <w:r w:rsidRPr="009E06AA">
              <w:rPr>
                <w:color w:val="000000"/>
              </w:rPr>
              <w:t>61.4</w:t>
            </w:r>
          </w:p>
        </w:tc>
        <w:tc>
          <w:tcPr>
            <w:tcW w:w="2124" w:type="dxa"/>
            <w:shd w:val="clear" w:color="auto" w:fill="FFFFFF"/>
            <w:tcMar>
              <w:top w:w="0" w:type="dxa"/>
              <w:left w:w="85" w:type="dxa"/>
              <w:bottom w:w="0" w:type="dxa"/>
              <w:right w:w="85" w:type="dxa"/>
            </w:tcMar>
          </w:tcPr>
          <w:p w14:paraId="2333D677" w14:textId="77777777" w:rsidR="00E87995" w:rsidRPr="009E06AA" w:rsidRDefault="00E87995" w:rsidP="00E770EF">
            <w:pPr>
              <w:pStyle w:val="TableText"/>
              <w:spacing w:before="30" w:after="30"/>
              <w:jc w:val="right"/>
            </w:pPr>
            <w:r w:rsidRPr="009E06AA">
              <w:rPr>
                <w:color w:val="000000"/>
              </w:rPr>
              <w:t>81.9</w:t>
            </w:r>
          </w:p>
        </w:tc>
        <w:tc>
          <w:tcPr>
            <w:tcW w:w="0" w:type="auto"/>
            <w:shd w:val="clear" w:color="auto" w:fill="FFFFFF"/>
            <w:tcMar>
              <w:top w:w="0" w:type="dxa"/>
              <w:left w:w="85" w:type="dxa"/>
              <w:bottom w:w="0" w:type="dxa"/>
              <w:right w:w="85" w:type="dxa"/>
            </w:tcMar>
          </w:tcPr>
          <w:p w14:paraId="16B7655B" w14:textId="77777777" w:rsidR="00E87995" w:rsidRPr="009E06AA" w:rsidRDefault="00E87995" w:rsidP="00E770EF">
            <w:pPr>
              <w:pStyle w:val="TableText"/>
              <w:spacing w:before="30" w:after="30"/>
              <w:jc w:val="right"/>
            </w:pPr>
            <w:r w:rsidRPr="009E06AA">
              <w:rPr>
                <w:color w:val="000000"/>
              </w:rPr>
              <w:t>7.8</w:t>
            </w:r>
          </w:p>
        </w:tc>
        <w:tc>
          <w:tcPr>
            <w:tcW w:w="0" w:type="auto"/>
            <w:shd w:val="clear" w:color="auto" w:fill="FFFFFF"/>
            <w:tcMar>
              <w:top w:w="0" w:type="dxa"/>
              <w:left w:w="85" w:type="dxa"/>
              <w:bottom w:w="0" w:type="dxa"/>
              <w:right w:w="85" w:type="dxa"/>
            </w:tcMar>
          </w:tcPr>
          <w:p w14:paraId="14B80A89" w14:textId="77777777" w:rsidR="00E87995" w:rsidRPr="009E06AA" w:rsidRDefault="00E87995" w:rsidP="00E770EF">
            <w:pPr>
              <w:pStyle w:val="TableText"/>
              <w:spacing w:before="30" w:after="30"/>
              <w:jc w:val="right"/>
            </w:pPr>
            <w:r w:rsidRPr="009E06AA">
              <w:rPr>
                <w:color w:val="000000"/>
              </w:rPr>
              <w:t>151.1</w:t>
            </w:r>
          </w:p>
        </w:tc>
      </w:tr>
      <w:tr w:rsidR="00E87995" w:rsidRPr="009E06AA" w14:paraId="513C3F24" w14:textId="77777777" w:rsidTr="00B55F24">
        <w:tc>
          <w:tcPr>
            <w:tcW w:w="993" w:type="dxa"/>
            <w:shd w:val="clear" w:color="auto" w:fill="FFFFFF"/>
            <w:tcMar>
              <w:top w:w="0" w:type="dxa"/>
              <w:left w:w="85" w:type="dxa"/>
              <w:bottom w:w="0" w:type="dxa"/>
              <w:right w:w="85" w:type="dxa"/>
            </w:tcMar>
          </w:tcPr>
          <w:p w14:paraId="7F1A2810" w14:textId="77777777" w:rsidR="00E87995" w:rsidRPr="009E06AA" w:rsidRDefault="00E87995" w:rsidP="00B55F24">
            <w:pPr>
              <w:pStyle w:val="TableTextBold"/>
              <w:spacing w:before="30" w:after="30"/>
              <w:rPr>
                <w:noProof w:val="0"/>
              </w:rPr>
            </w:pPr>
            <w:r w:rsidRPr="009E06AA">
              <w:rPr>
                <w:noProof w:val="0"/>
                <w:color w:val="1B556B"/>
              </w:rPr>
              <w:t>2000</w:t>
            </w:r>
          </w:p>
        </w:tc>
        <w:tc>
          <w:tcPr>
            <w:tcW w:w="1559" w:type="dxa"/>
            <w:shd w:val="clear" w:color="auto" w:fill="FFFFFF"/>
            <w:tcMar>
              <w:top w:w="0" w:type="dxa"/>
              <w:left w:w="85" w:type="dxa"/>
              <w:bottom w:w="0" w:type="dxa"/>
              <w:right w:w="85" w:type="dxa"/>
            </w:tcMar>
          </w:tcPr>
          <w:p w14:paraId="297FF177" w14:textId="77777777" w:rsidR="00E87995" w:rsidRPr="009E06AA" w:rsidRDefault="00E87995" w:rsidP="00E770EF">
            <w:pPr>
              <w:pStyle w:val="TableText"/>
              <w:spacing w:before="30" w:after="30"/>
              <w:jc w:val="right"/>
            </w:pPr>
            <w:r w:rsidRPr="009E06AA">
              <w:rPr>
                <w:color w:val="000000"/>
              </w:rPr>
              <w:t>65.8</w:t>
            </w:r>
          </w:p>
        </w:tc>
        <w:tc>
          <w:tcPr>
            <w:tcW w:w="2124" w:type="dxa"/>
            <w:shd w:val="clear" w:color="auto" w:fill="FFFFFF"/>
            <w:tcMar>
              <w:top w:w="0" w:type="dxa"/>
              <w:left w:w="85" w:type="dxa"/>
              <w:bottom w:w="0" w:type="dxa"/>
              <w:right w:w="85" w:type="dxa"/>
            </w:tcMar>
          </w:tcPr>
          <w:p w14:paraId="2C5F1B41" w14:textId="77777777" w:rsidR="00E87995" w:rsidRPr="009E06AA" w:rsidRDefault="00E87995" w:rsidP="00E770EF">
            <w:pPr>
              <w:pStyle w:val="TableText"/>
              <w:spacing w:before="30" w:after="30"/>
              <w:jc w:val="right"/>
            </w:pPr>
            <w:r w:rsidRPr="009E06AA">
              <w:rPr>
                <w:color w:val="000000"/>
              </w:rPr>
              <w:t>89.4</w:t>
            </w:r>
          </w:p>
        </w:tc>
        <w:tc>
          <w:tcPr>
            <w:tcW w:w="0" w:type="auto"/>
            <w:shd w:val="clear" w:color="auto" w:fill="FFFFFF"/>
            <w:tcMar>
              <w:top w:w="0" w:type="dxa"/>
              <w:left w:w="85" w:type="dxa"/>
              <w:bottom w:w="0" w:type="dxa"/>
              <w:right w:w="85" w:type="dxa"/>
            </w:tcMar>
          </w:tcPr>
          <w:p w14:paraId="57A548DB" w14:textId="77777777" w:rsidR="00E87995" w:rsidRPr="009E06AA" w:rsidRDefault="00E87995" w:rsidP="00E770EF">
            <w:pPr>
              <w:pStyle w:val="TableText"/>
              <w:spacing w:before="30" w:after="30"/>
              <w:jc w:val="right"/>
            </w:pPr>
            <w:r w:rsidRPr="009E06AA">
              <w:rPr>
                <w:color w:val="000000"/>
              </w:rPr>
              <w:t>6.4</w:t>
            </w:r>
          </w:p>
        </w:tc>
        <w:tc>
          <w:tcPr>
            <w:tcW w:w="0" w:type="auto"/>
            <w:shd w:val="clear" w:color="auto" w:fill="FFFFFF"/>
            <w:tcMar>
              <w:top w:w="0" w:type="dxa"/>
              <w:left w:w="85" w:type="dxa"/>
              <w:bottom w:w="0" w:type="dxa"/>
              <w:right w:w="85" w:type="dxa"/>
            </w:tcMar>
          </w:tcPr>
          <w:p w14:paraId="7AE8D4E5" w14:textId="77777777" w:rsidR="00E87995" w:rsidRPr="009E06AA" w:rsidRDefault="00E87995" w:rsidP="00E770EF">
            <w:pPr>
              <w:pStyle w:val="TableText"/>
              <w:spacing w:before="30" w:after="30"/>
              <w:jc w:val="right"/>
            </w:pPr>
            <w:r w:rsidRPr="009E06AA">
              <w:rPr>
                <w:color w:val="000000"/>
              </w:rPr>
              <w:t>161.6</w:t>
            </w:r>
          </w:p>
        </w:tc>
      </w:tr>
      <w:tr w:rsidR="00E87995" w:rsidRPr="009E06AA" w14:paraId="3F4C070C" w14:textId="77777777" w:rsidTr="00B55F24">
        <w:tc>
          <w:tcPr>
            <w:tcW w:w="993" w:type="dxa"/>
            <w:shd w:val="clear" w:color="auto" w:fill="FFFFFF"/>
            <w:tcMar>
              <w:top w:w="0" w:type="dxa"/>
              <w:left w:w="85" w:type="dxa"/>
              <w:bottom w:w="0" w:type="dxa"/>
              <w:right w:w="85" w:type="dxa"/>
            </w:tcMar>
          </w:tcPr>
          <w:p w14:paraId="0F4F1BED" w14:textId="77777777" w:rsidR="00E87995" w:rsidRPr="009E06AA" w:rsidRDefault="00E87995" w:rsidP="00B55F24">
            <w:pPr>
              <w:pStyle w:val="TableTextBold"/>
              <w:spacing w:before="30" w:after="30"/>
              <w:rPr>
                <w:noProof w:val="0"/>
              </w:rPr>
            </w:pPr>
            <w:r w:rsidRPr="009E06AA">
              <w:rPr>
                <w:noProof w:val="0"/>
                <w:color w:val="1B556B"/>
              </w:rPr>
              <w:t>2001</w:t>
            </w:r>
          </w:p>
        </w:tc>
        <w:tc>
          <w:tcPr>
            <w:tcW w:w="1559" w:type="dxa"/>
            <w:shd w:val="clear" w:color="auto" w:fill="FFFFFF"/>
            <w:tcMar>
              <w:top w:w="0" w:type="dxa"/>
              <w:left w:w="85" w:type="dxa"/>
              <w:bottom w:w="0" w:type="dxa"/>
              <w:right w:w="85" w:type="dxa"/>
            </w:tcMar>
          </w:tcPr>
          <w:p w14:paraId="68EF1063" w14:textId="77777777" w:rsidR="00E87995" w:rsidRPr="009E06AA" w:rsidRDefault="00E87995" w:rsidP="00E770EF">
            <w:pPr>
              <w:pStyle w:val="TableText"/>
              <w:spacing w:before="30" w:after="30"/>
              <w:jc w:val="right"/>
            </w:pPr>
            <w:r w:rsidRPr="009E06AA">
              <w:rPr>
                <w:color w:val="000000"/>
              </w:rPr>
              <w:t>67.7</w:t>
            </w:r>
          </w:p>
        </w:tc>
        <w:tc>
          <w:tcPr>
            <w:tcW w:w="2124" w:type="dxa"/>
            <w:shd w:val="clear" w:color="auto" w:fill="FFFFFF"/>
            <w:tcMar>
              <w:top w:w="0" w:type="dxa"/>
              <w:left w:w="85" w:type="dxa"/>
              <w:bottom w:w="0" w:type="dxa"/>
              <w:right w:w="85" w:type="dxa"/>
            </w:tcMar>
          </w:tcPr>
          <w:p w14:paraId="36549622" w14:textId="77777777" w:rsidR="00E87995" w:rsidRPr="009E06AA" w:rsidRDefault="00E87995" w:rsidP="00E770EF">
            <w:pPr>
              <w:pStyle w:val="TableText"/>
              <w:spacing w:before="30" w:after="30"/>
              <w:jc w:val="right"/>
            </w:pPr>
            <w:r w:rsidRPr="009E06AA">
              <w:rPr>
                <w:color w:val="000000"/>
              </w:rPr>
              <w:t>84.2</w:t>
            </w:r>
          </w:p>
        </w:tc>
        <w:tc>
          <w:tcPr>
            <w:tcW w:w="0" w:type="auto"/>
            <w:shd w:val="clear" w:color="auto" w:fill="FFFFFF"/>
            <w:tcMar>
              <w:top w:w="0" w:type="dxa"/>
              <w:left w:w="85" w:type="dxa"/>
              <w:bottom w:w="0" w:type="dxa"/>
              <w:right w:w="85" w:type="dxa"/>
            </w:tcMar>
          </w:tcPr>
          <w:p w14:paraId="66106CF7" w14:textId="77777777" w:rsidR="00E87995" w:rsidRPr="009E06AA" w:rsidRDefault="00E87995" w:rsidP="00E770EF">
            <w:pPr>
              <w:pStyle w:val="TableText"/>
              <w:spacing w:before="30" w:after="30"/>
              <w:jc w:val="right"/>
            </w:pPr>
            <w:r w:rsidRPr="009E06AA">
              <w:rPr>
                <w:color w:val="000000"/>
              </w:rPr>
              <w:t>4.9</w:t>
            </w:r>
          </w:p>
        </w:tc>
        <w:tc>
          <w:tcPr>
            <w:tcW w:w="0" w:type="auto"/>
            <w:shd w:val="clear" w:color="auto" w:fill="FFFFFF"/>
            <w:tcMar>
              <w:top w:w="0" w:type="dxa"/>
              <w:left w:w="85" w:type="dxa"/>
              <w:bottom w:w="0" w:type="dxa"/>
              <w:right w:w="85" w:type="dxa"/>
            </w:tcMar>
          </w:tcPr>
          <w:p w14:paraId="1F313F09" w14:textId="77777777" w:rsidR="00E87995" w:rsidRPr="009E06AA" w:rsidRDefault="00E87995" w:rsidP="00E770EF">
            <w:pPr>
              <w:pStyle w:val="TableText"/>
              <w:spacing w:before="30" w:after="30"/>
              <w:jc w:val="right"/>
            </w:pPr>
            <w:r w:rsidRPr="009E06AA">
              <w:rPr>
                <w:color w:val="000000"/>
              </w:rPr>
              <w:t>156.8</w:t>
            </w:r>
          </w:p>
        </w:tc>
      </w:tr>
      <w:tr w:rsidR="00E87995" w:rsidRPr="009E06AA" w14:paraId="557ED1AD" w14:textId="77777777" w:rsidTr="00B55F24">
        <w:tc>
          <w:tcPr>
            <w:tcW w:w="993" w:type="dxa"/>
            <w:shd w:val="clear" w:color="auto" w:fill="FFFFFF"/>
            <w:tcMar>
              <w:top w:w="0" w:type="dxa"/>
              <w:left w:w="85" w:type="dxa"/>
              <w:bottom w:w="0" w:type="dxa"/>
              <w:right w:w="85" w:type="dxa"/>
            </w:tcMar>
          </w:tcPr>
          <w:p w14:paraId="62B73BD6" w14:textId="77777777" w:rsidR="00E87995" w:rsidRPr="009E06AA" w:rsidRDefault="00E87995" w:rsidP="00B55F24">
            <w:pPr>
              <w:pStyle w:val="TableTextBold"/>
              <w:spacing w:before="30" w:after="30"/>
              <w:rPr>
                <w:noProof w:val="0"/>
              </w:rPr>
            </w:pPr>
            <w:r w:rsidRPr="009E06AA">
              <w:rPr>
                <w:noProof w:val="0"/>
                <w:color w:val="1B556B"/>
              </w:rPr>
              <w:t>2002</w:t>
            </w:r>
          </w:p>
        </w:tc>
        <w:tc>
          <w:tcPr>
            <w:tcW w:w="1559" w:type="dxa"/>
            <w:shd w:val="clear" w:color="auto" w:fill="FFFFFF"/>
            <w:tcMar>
              <w:top w:w="0" w:type="dxa"/>
              <w:left w:w="85" w:type="dxa"/>
              <w:bottom w:w="0" w:type="dxa"/>
              <w:right w:w="85" w:type="dxa"/>
            </w:tcMar>
          </w:tcPr>
          <w:p w14:paraId="2A7F70D6" w14:textId="77777777" w:rsidR="00E87995" w:rsidRPr="009E06AA" w:rsidRDefault="00E87995" w:rsidP="00E770EF">
            <w:pPr>
              <w:pStyle w:val="TableText"/>
              <w:spacing w:before="30" w:after="30"/>
              <w:jc w:val="right"/>
            </w:pPr>
            <w:r w:rsidRPr="009E06AA">
              <w:rPr>
                <w:color w:val="000000"/>
              </w:rPr>
              <w:t>65.0</w:t>
            </w:r>
          </w:p>
        </w:tc>
        <w:tc>
          <w:tcPr>
            <w:tcW w:w="2124" w:type="dxa"/>
            <w:shd w:val="clear" w:color="auto" w:fill="FFFFFF"/>
            <w:tcMar>
              <w:top w:w="0" w:type="dxa"/>
              <w:left w:w="85" w:type="dxa"/>
              <w:bottom w:w="0" w:type="dxa"/>
              <w:right w:w="85" w:type="dxa"/>
            </w:tcMar>
          </w:tcPr>
          <w:p w14:paraId="76189163" w14:textId="77777777" w:rsidR="00E87995" w:rsidRPr="009E06AA" w:rsidRDefault="00E87995" w:rsidP="00E770EF">
            <w:pPr>
              <w:pStyle w:val="TableText"/>
              <w:spacing w:before="30" w:after="30"/>
              <w:jc w:val="right"/>
            </w:pPr>
            <w:r w:rsidRPr="009E06AA">
              <w:rPr>
                <w:color w:val="000000"/>
              </w:rPr>
              <w:t>87.1</w:t>
            </w:r>
          </w:p>
        </w:tc>
        <w:tc>
          <w:tcPr>
            <w:tcW w:w="0" w:type="auto"/>
            <w:shd w:val="clear" w:color="auto" w:fill="FFFFFF"/>
            <w:tcMar>
              <w:top w:w="0" w:type="dxa"/>
              <w:left w:w="85" w:type="dxa"/>
              <w:bottom w:w="0" w:type="dxa"/>
              <w:right w:w="85" w:type="dxa"/>
            </w:tcMar>
          </w:tcPr>
          <w:p w14:paraId="278E8664" w14:textId="77777777" w:rsidR="00E87995" w:rsidRPr="009E06AA" w:rsidRDefault="00E87995" w:rsidP="00E770EF">
            <w:pPr>
              <w:pStyle w:val="TableText"/>
              <w:spacing w:before="30" w:after="30"/>
              <w:jc w:val="right"/>
            </w:pPr>
            <w:r w:rsidRPr="009E06AA">
              <w:rPr>
                <w:color w:val="000000"/>
              </w:rPr>
              <w:t>5.5</w:t>
            </w:r>
          </w:p>
        </w:tc>
        <w:tc>
          <w:tcPr>
            <w:tcW w:w="0" w:type="auto"/>
            <w:shd w:val="clear" w:color="auto" w:fill="FFFFFF"/>
            <w:tcMar>
              <w:top w:w="0" w:type="dxa"/>
              <w:left w:w="85" w:type="dxa"/>
              <w:bottom w:w="0" w:type="dxa"/>
              <w:right w:w="85" w:type="dxa"/>
            </w:tcMar>
          </w:tcPr>
          <w:p w14:paraId="21C674E2" w14:textId="77777777" w:rsidR="00E87995" w:rsidRPr="009E06AA" w:rsidRDefault="00E87995" w:rsidP="00E770EF">
            <w:pPr>
              <w:pStyle w:val="TableText"/>
              <w:spacing w:before="30" w:after="30"/>
              <w:jc w:val="right"/>
            </w:pPr>
            <w:r w:rsidRPr="009E06AA">
              <w:rPr>
                <w:color w:val="000000"/>
              </w:rPr>
              <w:t>157.6</w:t>
            </w:r>
          </w:p>
        </w:tc>
      </w:tr>
      <w:tr w:rsidR="00E87995" w:rsidRPr="009E06AA" w14:paraId="0A0A3D71" w14:textId="77777777" w:rsidTr="00B55F24">
        <w:tc>
          <w:tcPr>
            <w:tcW w:w="993" w:type="dxa"/>
            <w:shd w:val="clear" w:color="auto" w:fill="FFFFFF"/>
            <w:tcMar>
              <w:top w:w="0" w:type="dxa"/>
              <w:left w:w="85" w:type="dxa"/>
              <w:bottom w:w="0" w:type="dxa"/>
              <w:right w:w="85" w:type="dxa"/>
            </w:tcMar>
          </w:tcPr>
          <w:p w14:paraId="7D3EAFF0" w14:textId="77777777" w:rsidR="00E87995" w:rsidRPr="009E06AA" w:rsidRDefault="00E87995" w:rsidP="00B55F24">
            <w:pPr>
              <w:pStyle w:val="TableTextBold"/>
              <w:spacing w:before="30" w:after="30"/>
              <w:rPr>
                <w:noProof w:val="0"/>
              </w:rPr>
            </w:pPr>
            <w:r w:rsidRPr="009E06AA">
              <w:rPr>
                <w:noProof w:val="0"/>
                <w:color w:val="1B556B"/>
              </w:rPr>
              <w:t>2003</w:t>
            </w:r>
          </w:p>
        </w:tc>
        <w:tc>
          <w:tcPr>
            <w:tcW w:w="1559" w:type="dxa"/>
            <w:shd w:val="clear" w:color="auto" w:fill="FFFFFF"/>
            <w:tcMar>
              <w:top w:w="0" w:type="dxa"/>
              <w:left w:w="85" w:type="dxa"/>
              <w:bottom w:w="0" w:type="dxa"/>
              <w:right w:w="85" w:type="dxa"/>
            </w:tcMar>
          </w:tcPr>
          <w:p w14:paraId="68F07F13" w14:textId="77777777" w:rsidR="00E87995" w:rsidRPr="009E06AA" w:rsidRDefault="00E87995" w:rsidP="00E770EF">
            <w:pPr>
              <w:pStyle w:val="TableText"/>
              <w:spacing w:before="30" w:after="30"/>
              <w:jc w:val="right"/>
            </w:pPr>
            <w:r w:rsidRPr="009E06AA">
              <w:rPr>
                <w:color w:val="000000"/>
              </w:rPr>
              <w:t>70.1</w:t>
            </w:r>
          </w:p>
        </w:tc>
        <w:tc>
          <w:tcPr>
            <w:tcW w:w="2124" w:type="dxa"/>
            <w:shd w:val="clear" w:color="auto" w:fill="FFFFFF"/>
            <w:tcMar>
              <w:top w:w="0" w:type="dxa"/>
              <w:left w:w="85" w:type="dxa"/>
              <w:bottom w:w="0" w:type="dxa"/>
              <w:right w:w="85" w:type="dxa"/>
            </w:tcMar>
          </w:tcPr>
          <w:p w14:paraId="6D47E387" w14:textId="77777777" w:rsidR="00E87995" w:rsidRPr="009E06AA" w:rsidRDefault="00E87995" w:rsidP="00E770EF">
            <w:pPr>
              <w:pStyle w:val="TableText"/>
              <w:spacing w:before="30" w:after="30"/>
              <w:jc w:val="right"/>
            </w:pPr>
            <w:r w:rsidRPr="009E06AA">
              <w:rPr>
                <w:color w:val="000000"/>
              </w:rPr>
              <w:t>80.2</w:t>
            </w:r>
          </w:p>
        </w:tc>
        <w:tc>
          <w:tcPr>
            <w:tcW w:w="0" w:type="auto"/>
            <w:shd w:val="clear" w:color="auto" w:fill="FFFFFF"/>
            <w:tcMar>
              <w:top w:w="0" w:type="dxa"/>
              <w:left w:w="85" w:type="dxa"/>
              <w:bottom w:w="0" w:type="dxa"/>
              <w:right w:w="85" w:type="dxa"/>
            </w:tcMar>
          </w:tcPr>
          <w:p w14:paraId="79F093E5" w14:textId="77777777" w:rsidR="00E87995" w:rsidRPr="009E06AA" w:rsidRDefault="00E87995" w:rsidP="00E770EF">
            <w:pPr>
              <w:pStyle w:val="TableText"/>
              <w:spacing w:before="30" w:after="30"/>
              <w:jc w:val="right"/>
            </w:pPr>
            <w:r w:rsidRPr="009E06AA">
              <w:rPr>
                <w:color w:val="000000"/>
              </w:rPr>
              <w:t>5.0</w:t>
            </w:r>
          </w:p>
        </w:tc>
        <w:tc>
          <w:tcPr>
            <w:tcW w:w="0" w:type="auto"/>
            <w:shd w:val="clear" w:color="auto" w:fill="FFFFFF"/>
            <w:tcMar>
              <w:top w:w="0" w:type="dxa"/>
              <w:left w:w="85" w:type="dxa"/>
              <w:bottom w:w="0" w:type="dxa"/>
              <w:right w:w="85" w:type="dxa"/>
            </w:tcMar>
          </w:tcPr>
          <w:p w14:paraId="1D66C116" w14:textId="77777777" w:rsidR="00E87995" w:rsidRPr="009E06AA" w:rsidRDefault="00E87995" w:rsidP="00E770EF">
            <w:pPr>
              <w:pStyle w:val="TableText"/>
              <w:spacing w:before="30" w:after="30"/>
              <w:jc w:val="right"/>
            </w:pPr>
            <w:r w:rsidRPr="009E06AA">
              <w:rPr>
                <w:color w:val="000000"/>
              </w:rPr>
              <w:t>155.3</w:t>
            </w:r>
          </w:p>
        </w:tc>
      </w:tr>
      <w:tr w:rsidR="00E87995" w:rsidRPr="009E06AA" w14:paraId="53F393ED" w14:textId="77777777" w:rsidTr="00B55F24">
        <w:tc>
          <w:tcPr>
            <w:tcW w:w="993" w:type="dxa"/>
            <w:shd w:val="clear" w:color="auto" w:fill="FFFFFF"/>
            <w:tcMar>
              <w:top w:w="0" w:type="dxa"/>
              <w:left w:w="85" w:type="dxa"/>
              <w:bottom w:w="0" w:type="dxa"/>
              <w:right w:w="85" w:type="dxa"/>
            </w:tcMar>
          </w:tcPr>
          <w:p w14:paraId="45E3C05D" w14:textId="77777777" w:rsidR="00E87995" w:rsidRPr="009E06AA" w:rsidRDefault="00E87995" w:rsidP="00B55F24">
            <w:pPr>
              <w:pStyle w:val="TableTextBold"/>
              <w:spacing w:before="30" w:after="30"/>
              <w:rPr>
                <w:noProof w:val="0"/>
              </w:rPr>
            </w:pPr>
            <w:r w:rsidRPr="009E06AA">
              <w:rPr>
                <w:noProof w:val="0"/>
                <w:color w:val="1B556B"/>
              </w:rPr>
              <w:t>2004</w:t>
            </w:r>
          </w:p>
        </w:tc>
        <w:tc>
          <w:tcPr>
            <w:tcW w:w="1559" w:type="dxa"/>
            <w:shd w:val="clear" w:color="auto" w:fill="FFFFFF"/>
            <w:tcMar>
              <w:top w:w="0" w:type="dxa"/>
              <w:left w:w="85" w:type="dxa"/>
              <w:bottom w:w="0" w:type="dxa"/>
              <w:right w:w="85" w:type="dxa"/>
            </w:tcMar>
          </w:tcPr>
          <w:p w14:paraId="4D577EFC" w14:textId="77777777" w:rsidR="00E87995" w:rsidRPr="009E06AA" w:rsidRDefault="00E87995" w:rsidP="00E770EF">
            <w:pPr>
              <w:pStyle w:val="TableText"/>
              <w:spacing w:before="30" w:after="30"/>
              <w:jc w:val="right"/>
            </w:pPr>
            <w:r w:rsidRPr="009E06AA">
              <w:rPr>
                <w:color w:val="000000"/>
              </w:rPr>
              <w:t>73.8</w:t>
            </w:r>
          </w:p>
        </w:tc>
        <w:tc>
          <w:tcPr>
            <w:tcW w:w="2124" w:type="dxa"/>
            <w:shd w:val="clear" w:color="auto" w:fill="FFFFFF"/>
            <w:tcMar>
              <w:top w:w="0" w:type="dxa"/>
              <w:left w:w="85" w:type="dxa"/>
              <w:bottom w:w="0" w:type="dxa"/>
              <w:right w:w="85" w:type="dxa"/>
            </w:tcMar>
          </w:tcPr>
          <w:p w14:paraId="30AF632A" w14:textId="77777777" w:rsidR="00E87995" w:rsidRPr="009E06AA" w:rsidRDefault="00E87995" w:rsidP="00E770EF">
            <w:pPr>
              <w:pStyle w:val="TableText"/>
              <w:spacing w:before="30" w:after="30"/>
              <w:jc w:val="right"/>
            </w:pPr>
            <w:r w:rsidRPr="009E06AA">
              <w:rPr>
                <w:color w:val="000000"/>
              </w:rPr>
              <w:t>90.5</w:t>
            </w:r>
          </w:p>
        </w:tc>
        <w:tc>
          <w:tcPr>
            <w:tcW w:w="0" w:type="auto"/>
            <w:shd w:val="clear" w:color="auto" w:fill="FFFFFF"/>
            <w:tcMar>
              <w:top w:w="0" w:type="dxa"/>
              <w:left w:w="85" w:type="dxa"/>
              <w:bottom w:w="0" w:type="dxa"/>
              <w:right w:w="85" w:type="dxa"/>
            </w:tcMar>
          </w:tcPr>
          <w:p w14:paraId="537BFF06" w14:textId="77777777" w:rsidR="00E87995" w:rsidRPr="009E06AA" w:rsidRDefault="00E87995" w:rsidP="00E770EF">
            <w:pPr>
              <w:pStyle w:val="TableText"/>
              <w:spacing w:before="30" w:after="30"/>
              <w:jc w:val="right"/>
            </w:pPr>
            <w:r w:rsidRPr="009E06AA">
              <w:rPr>
                <w:color w:val="000000"/>
              </w:rPr>
              <w:t>6.1</w:t>
            </w:r>
          </w:p>
        </w:tc>
        <w:tc>
          <w:tcPr>
            <w:tcW w:w="0" w:type="auto"/>
            <w:shd w:val="clear" w:color="auto" w:fill="FFFFFF"/>
            <w:tcMar>
              <w:top w:w="0" w:type="dxa"/>
              <w:left w:w="85" w:type="dxa"/>
              <w:bottom w:w="0" w:type="dxa"/>
              <w:right w:w="85" w:type="dxa"/>
            </w:tcMar>
          </w:tcPr>
          <w:p w14:paraId="56F36EEE" w14:textId="77777777" w:rsidR="00E87995" w:rsidRPr="009E06AA" w:rsidRDefault="00E87995" w:rsidP="00E770EF">
            <w:pPr>
              <w:pStyle w:val="TableText"/>
              <w:spacing w:before="30" w:after="30"/>
              <w:jc w:val="right"/>
            </w:pPr>
            <w:r w:rsidRPr="009E06AA">
              <w:rPr>
                <w:color w:val="000000"/>
              </w:rPr>
              <w:t>170.5</w:t>
            </w:r>
          </w:p>
        </w:tc>
      </w:tr>
      <w:tr w:rsidR="00E87995" w:rsidRPr="009E06AA" w14:paraId="05B25599" w14:textId="77777777" w:rsidTr="00B55F24">
        <w:tc>
          <w:tcPr>
            <w:tcW w:w="993" w:type="dxa"/>
            <w:shd w:val="clear" w:color="auto" w:fill="FFFFFF"/>
            <w:tcMar>
              <w:top w:w="0" w:type="dxa"/>
              <w:left w:w="85" w:type="dxa"/>
              <w:bottom w:w="0" w:type="dxa"/>
              <w:right w:w="85" w:type="dxa"/>
            </w:tcMar>
          </w:tcPr>
          <w:p w14:paraId="427EC16A" w14:textId="77777777" w:rsidR="00E87995" w:rsidRPr="009E06AA" w:rsidRDefault="00E87995" w:rsidP="00B55F24">
            <w:pPr>
              <w:pStyle w:val="TableTextBold"/>
              <w:spacing w:before="30" w:after="30"/>
              <w:rPr>
                <w:noProof w:val="0"/>
              </w:rPr>
            </w:pPr>
            <w:r w:rsidRPr="009E06AA">
              <w:rPr>
                <w:noProof w:val="0"/>
                <w:color w:val="1B556B"/>
              </w:rPr>
              <w:t>2005</w:t>
            </w:r>
          </w:p>
        </w:tc>
        <w:tc>
          <w:tcPr>
            <w:tcW w:w="1559" w:type="dxa"/>
            <w:shd w:val="clear" w:color="auto" w:fill="FFFFFF"/>
            <w:tcMar>
              <w:top w:w="0" w:type="dxa"/>
              <w:left w:w="85" w:type="dxa"/>
              <w:bottom w:w="0" w:type="dxa"/>
              <w:right w:w="85" w:type="dxa"/>
            </w:tcMar>
          </w:tcPr>
          <w:p w14:paraId="13CEE2F1" w14:textId="77777777" w:rsidR="00E87995" w:rsidRPr="009E06AA" w:rsidRDefault="00E87995" w:rsidP="00E770EF">
            <w:pPr>
              <w:pStyle w:val="TableText"/>
              <w:spacing w:before="30" w:after="30"/>
              <w:jc w:val="right"/>
            </w:pPr>
            <w:r w:rsidRPr="009E06AA">
              <w:rPr>
                <w:color w:val="000000"/>
              </w:rPr>
              <w:t>72.6</w:t>
            </w:r>
          </w:p>
        </w:tc>
        <w:tc>
          <w:tcPr>
            <w:tcW w:w="2124" w:type="dxa"/>
            <w:shd w:val="clear" w:color="auto" w:fill="FFFFFF"/>
            <w:tcMar>
              <w:top w:w="0" w:type="dxa"/>
              <w:left w:w="85" w:type="dxa"/>
              <w:bottom w:w="0" w:type="dxa"/>
              <w:right w:w="85" w:type="dxa"/>
            </w:tcMar>
          </w:tcPr>
          <w:p w14:paraId="02E4EC74" w14:textId="77777777" w:rsidR="00E87995" w:rsidRPr="009E06AA" w:rsidRDefault="00E87995" w:rsidP="00E770EF">
            <w:pPr>
              <w:pStyle w:val="TableText"/>
              <w:spacing w:before="30" w:after="30"/>
              <w:jc w:val="right"/>
            </w:pPr>
            <w:r w:rsidRPr="009E06AA">
              <w:rPr>
                <w:color w:val="000000"/>
              </w:rPr>
              <w:t>91.9</w:t>
            </w:r>
          </w:p>
        </w:tc>
        <w:tc>
          <w:tcPr>
            <w:tcW w:w="0" w:type="auto"/>
            <w:shd w:val="clear" w:color="auto" w:fill="FFFFFF"/>
            <w:tcMar>
              <w:top w:w="0" w:type="dxa"/>
              <w:left w:w="85" w:type="dxa"/>
              <w:bottom w:w="0" w:type="dxa"/>
              <w:right w:w="85" w:type="dxa"/>
            </w:tcMar>
          </w:tcPr>
          <w:p w14:paraId="234FDAC2" w14:textId="77777777" w:rsidR="00E87995" w:rsidRPr="009E06AA" w:rsidRDefault="00E87995" w:rsidP="00E770EF">
            <w:pPr>
              <w:pStyle w:val="TableText"/>
              <w:spacing w:before="30" w:after="30"/>
              <w:jc w:val="right"/>
            </w:pPr>
            <w:r w:rsidRPr="009E06AA">
              <w:rPr>
                <w:color w:val="000000"/>
              </w:rPr>
              <w:t>5.9</w:t>
            </w:r>
          </w:p>
        </w:tc>
        <w:tc>
          <w:tcPr>
            <w:tcW w:w="0" w:type="auto"/>
            <w:shd w:val="clear" w:color="auto" w:fill="FFFFFF"/>
            <w:tcMar>
              <w:top w:w="0" w:type="dxa"/>
              <w:left w:w="85" w:type="dxa"/>
              <w:bottom w:w="0" w:type="dxa"/>
              <w:right w:w="85" w:type="dxa"/>
            </w:tcMar>
          </w:tcPr>
          <w:p w14:paraId="49881C4B" w14:textId="77777777" w:rsidR="00E87995" w:rsidRPr="009E06AA" w:rsidRDefault="00E87995" w:rsidP="00E770EF">
            <w:pPr>
              <w:pStyle w:val="TableText"/>
              <w:spacing w:before="30" w:after="30"/>
              <w:jc w:val="right"/>
            </w:pPr>
            <w:r w:rsidRPr="009E06AA">
              <w:rPr>
                <w:color w:val="000000"/>
              </w:rPr>
              <w:t>170.4</w:t>
            </w:r>
          </w:p>
        </w:tc>
      </w:tr>
      <w:tr w:rsidR="00E87995" w:rsidRPr="009E06AA" w14:paraId="3430DB8C" w14:textId="77777777" w:rsidTr="00B55F24">
        <w:tc>
          <w:tcPr>
            <w:tcW w:w="993" w:type="dxa"/>
            <w:shd w:val="clear" w:color="auto" w:fill="FFFFFF"/>
            <w:tcMar>
              <w:top w:w="0" w:type="dxa"/>
              <w:left w:w="85" w:type="dxa"/>
              <w:bottom w:w="0" w:type="dxa"/>
              <w:right w:w="85" w:type="dxa"/>
            </w:tcMar>
          </w:tcPr>
          <w:p w14:paraId="258A74B9" w14:textId="77777777" w:rsidR="00E87995" w:rsidRPr="009E06AA" w:rsidRDefault="00E87995" w:rsidP="00B55F24">
            <w:pPr>
              <w:pStyle w:val="TableTextBold"/>
              <w:spacing w:before="30" w:after="30"/>
              <w:rPr>
                <w:noProof w:val="0"/>
              </w:rPr>
            </w:pPr>
            <w:r w:rsidRPr="009E06AA">
              <w:rPr>
                <w:noProof w:val="0"/>
                <w:color w:val="1B556B"/>
              </w:rPr>
              <w:t>2006</w:t>
            </w:r>
          </w:p>
        </w:tc>
        <w:tc>
          <w:tcPr>
            <w:tcW w:w="1559" w:type="dxa"/>
            <w:shd w:val="clear" w:color="auto" w:fill="FFFFFF"/>
            <w:tcMar>
              <w:top w:w="0" w:type="dxa"/>
              <w:left w:w="85" w:type="dxa"/>
              <w:bottom w:w="0" w:type="dxa"/>
              <w:right w:w="85" w:type="dxa"/>
            </w:tcMar>
          </w:tcPr>
          <w:p w14:paraId="4BACA224" w14:textId="77777777" w:rsidR="00E87995" w:rsidRPr="009E06AA" w:rsidRDefault="00E87995" w:rsidP="00E770EF">
            <w:pPr>
              <w:pStyle w:val="TableText"/>
              <w:spacing w:before="30" w:after="30"/>
              <w:jc w:val="right"/>
            </w:pPr>
            <w:r w:rsidRPr="009E06AA">
              <w:rPr>
                <w:color w:val="000000"/>
              </w:rPr>
              <w:t>71.3</w:t>
            </w:r>
          </w:p>
        </w:tc>
        <w:tc>
          <w:tcPr>
            <w:tcW w:w="2124" w:type="dxa"/>
            <w:shd w:val="clear" w:color="auto" w:fill="FFFFFF"/>
            <w:tcMar>
              <w:top w:w="0" w:type="dxa"/>
              <w:left w:w="85" w:type="dxa"/>
              <w:bottom w:w="0" w:type="dxa"/>
              <w:right w:w="85" w:type="dxa"/>
            </w:tcMar>
          </w:tcPr>
          <w:p w14:paraId="38D51D1D" w14:textId="77777777" w:rsidR="00E87995" w:rsidRPr="009E06AA" w:rsidRDefault="00E87995" w:rsidP="00E770EF">
            <w:pPr>
              <w:pStyle w:val="TableText"/>
              <w:spacing w:before="30" w:after="30"/>
              <w:jc w:val="right"/>
            </w:pPr>
            <w:r w:rsidRPr="009E06AA">
              <w:rPr>
                <w:color w:val="000000"/>
              </w:rPr>
              <w:t>86.5</w:t>
            </w:r>
          </w:p>
        </w:tc>
        <w:tc>
          <w:tcPr>
            <w:tcW w:w="0" w:type="auto"/>
            <w:shd w:val="clear" w:color="auto" w:fill="FFFFFF"/>
            <w:tcMar>
              <w:top w:w="0" w:type="dxa"/>
              <w:left w:w="85" w:type="dxa"/>
              <w:bottom w:w="0" w:type="dxa"/>
              <w:right w:w="85" w:type="dxa"/>
            </w:tcMar>
          </w:tcPr>
          <w:p w14:paraId="62CAB9CD" w14:textId="77777777" w:rsidR="00E87995" w:rsidRPr="009E06AA" w:rsidRDefault="00E87995" w:rsidP="00E770EF">
            <w:pPr>
              <w:pStyle w:val="TableText"/>
              <w:spacing w:before="30" w:after="30"/>
              <w:jc w:val="right"/>
            </w:pPr>
            <w:r w:rsidRPr="009E06AA">
              <w:rPr>
                <w:color w:val="000000"/>
              </w:rPr>
              <w:t>6.4</w:t>
            </w:r>
          </w:p>
        </w:tc>
        <w:tc>
          <w:tcPr>
            <w:tcW w:w="0" w:type="auto"/>
            <w:shd w:val="clear" w:color="auto" w:fill="FFFFFF"/>
            <w:tcMar>
              <w:top w:w="0" w:type="dxa"/>
              <w:left w:w="85" w:type="dxa"/>
              <w:bottom w:w="0" w:type="dxa"/>
              <w:right w:w="85" w:type="dxa"/>
            </w:tcMar>
          </w:tcPr>
          <w:p w14:paraId="1646C644" w14:textId="77777777" w:rsidR="00E87995" w:rsidRPr="009E06AA" w:rsidRDefault="00E87995" w:rsidP="00E770EF">
            <w:pPr>
              <w:pStyle w:val="TableText"/>
              <w:spacing w:before="30" w:after="30"/>
              <w:jc w:val="right"/>
            </w:pPr>
            <w:r w:rsidRPr="009E06AA">
              <w:rPr>
                <w:color w:val="000000"/>
              </w:rPr>
              <w:t>164.3</w:t>
            </w:r>
          </w:p>
        </w:tc>
      </w:tr>
      <w:tr w:rsidR="00E87995" w:rsidRPr="009E06AA" w14:paraId="6264C20B" w14:textId="77777777" w:rsidTr="00B55F24">
        <w:tc>
          <w:tcPr>
            <w:tcW w:w="993" w:type="dxa"/>
            <w:shd w:val="clear" w:color="auto" w:fill="FFFFFF"/>
            <w:tcMar>
              <w:top w:w="0" w:type="dxa"/>
              <w:left w:w="85" w:type="dxa"/>
              <w:bottom w:w="0" w:type="dxa"/>
              <w:right w:w="85" w:type="dxa"/>
            </w:tcMar>
          </w:tcPr>
          <w:p w14:paraId="51635037" w14:textId="77777777" w:rsidR="00E87995" w:rsidRPr="009E06AA" w:rsidRDefault="00E87995" w:rsidP="00B55F24">
            <w:pPr>
              <w:pStyle w:val="TableTextBold"/>
              <w:spacing w:before="30" w:after="30"/>
              <w:rPr>
                <w:noProof w:val="0"/>
              </w:rPr>
            </w:pPr>
            <w:r w:rsidRPr="009E06AA">
              <w:rPr>
                <w:noProof w:val="0"/>
                <w:color w:val="1B556B"/>
              </w:rPr>
              <w:t>2007</w:t>
            </w:r>
          </w:p>
        </w:tc>
        <w:tc>
          <w:tcPr>
            <w:tcW w:w="1559" w:type="dxa"/>
            <w:shd w:val="clear" w:color="auto" w:fill="FFFFFF"/>
            <w:tcMar>
              <w:top w:w="0" w:type="dxa"/>
              <w:left w:w="85" w:type="dxa"/>
              <w:bottom w:w="0" w:type="dxa"/>
              <w:right w:w="85" w:type="dxa"/>
            </w:tcMar>
          </w:tcPr>
          <w:p w14:paraId="6A093D52" w14:textId="77777777" w:rsidR="00E87995" w:rsidRPr="009E06AA" w:rsidRDefault="00E87995" w:rsidP="00E770EF">
            <w:pPr>
              <w:pStyle w:val="TableText"/>
              <w:spacing w:before="30" w:after="30"/>
              <w:jc w:val="right"/>
            </w:pPr>
            <w:r w:rsidRPr="009E06AA">
              <w:rPr>
                <w:color w:val="000000"/>
              </w:rPr>
              <w:t>72.5</w:t>
            </w:r>
          </w:p>
        </w:tc>
        <w:tc>
          <w:tcPr>
            <w:tcW w:w="2124" w:type="dxa"/>
            <w:shd w:val="clear" w:color="auto" w:fill="FFFFFF"/>
            <w:tcMar>
              <w:top w:w="0" w:type="dxa"/>
              <w:left w:w="85" w:type="dxa"/>
              <w:bottom w:w="0" w:type="dxa"/>
              <w:right w:w="85" w:type="dxa"/>
            </w:tcMar>
          </w:tcPr>
          <w:p w14:paraId="7F826FD7" w14:textId="77777777" w:rsidR="00E87995" w:rsidRPr="009E06AA" w:rsidRDefault="00E87995" w:rsidP="00E770EF">
            <w:pPr>
              <w:pStyle w:val="TableText"/>
              <w:spacing w:before="30" w:after="30"/>
              <w:jc w:val="right"/>
            </w:pPr>
            <w:r w:rsidRPr="009E06AA">
              <w:rPr>
                <w:color w:val="000000"/>
              </w:rPr>
              <w:t>86.7</w:t>
            </w:r>
          </w:p>
        </w:tc>
        <w:tc>
          <w:tcPr>
            <w:tcW w:w="0" w:type="auto"/>
            <w:shd w:val="clear" w:color="auto" w:fill="FFFFFF"/>
            <w:tcMar>
              <w:top w:w="0" w:type="dxa"/>
              <w:left w:w="85" w:type="dxa"/>
              <w:bottom w:w="0" w:type="dxa"/>
              <w:right w:w="85" w:type="dxa"/>
            </w:tcMar>
          </w:tcPr>
          <w:p w14:paraId="4A099160" w14:textId="77777777" w:rsidR="00E87995" w:rsidRPr="009E06AA" w:rsidRDefault="00E87995" w:rsidP="00E770EF">
            <w:pPr>
              <w:pStyle w:val="TableText"/>
              <w:spacing w:before="30" w:after="30"/>
              <w:jc w:val="right"/>
            </w:pPr>
            <w:r w:rsidRPr="009E06AA">
              <w:rPr>
                <w:color w:val="000000"/>
              </w:rPr>
              <w:t>6.7</w:t>
            </w:r>
          </w:p>
        </w:tc>
        <w:tc>
          <w:tcPr>
            <w:tcW w:w="0" w:type="auto"/>
            <w:shd w:val="clear" w:color="auto" w:fill="FFFFFF"/>
            <w:tcMar>
              <w:top w:w="0" w:type="dxa"/>
              <w:left w:w="85" w:type="dxa"/>
              <w:bottom w:w="0" w:type="dxa"/>
              <w:right w:w="85" w:type="dxa"/>
            </w:tcMar>
          </w:tcPr>
          <w:p w14:paraId="6C1AFCE5" w14:textId="77777777" w:rsidR="00E87995" w:rsidRPr="009E06AA" w:rsidRDefault="00E87995" w:rsidP="00E770EF">
            <w:pPr>
              <w:pStyle w:val="TableText"/>
              <w:spacing w:before="30" w:after="30"/>
              <w:jc w:val="right"/>
            </w:pPr>
            <w:r w:rsidRPr="009E06AA">
              <w:rPr>
                <w:color w:val="000000"/>
              </w:rPr>
              <w:t>166.0</w:t>
            </w:r>
          </w:p>
        </w:tc>
      </w:tr>
      <w:tr w:rsidR="00E87995" w:rsidRPr="009E06AA" w14:paraId="3F878E62" w14:textId="77777777" w:rsidTr="00B55F24">
        <w:tc>
          <w:tcPr>
            <w:tcW w:w="993" w:type="dxa"/>
            <w:shd w:val="clear" w:color="auto" w:fill="FFFFFF"/>
            <w:tcMar>
              <w:top w:w="0" w:type="dxa"/>
              <w:left w:w="85" w:type="dxa"/>
              <w:bottom w:w="0" w:type="dxa"/>
              <w:right w:w="85" w:type="dxa"/>
            </w:tcMar>
          </w:tcPr>
          <w:p w14:paraId="4E750CB7" w14:textId="77777777" w:rsidR="00E87995" w:rsidRPr="009E06AA" w:rsidRDefault="00E87995" w:rsidP="00B55F24">
            <w:pPr>
              <w:pStyle w:val="TableTextBold"/>
              <w:spacing w:before="30" w:after="30"/>
              <w:rPr>
                <w:noProof w:val="0"/>
              </w:rPr>
            </w:pPr>
            <w:r w:rsidRPr="009E06AA">
              <w:rPr>
                <w:noProof w:val="0"/>
                <w:color w:val="1B556B"/>
              </w:rPr>
              <w:t>2008</w:t>
            </w:r>
          </w:p>
        </w:tc>
        <w:tc>
          <w:tcPr>
            <w:tcW w:w="1559" w:type="dxa"/>
            <w:shd w:val="clear" w:color="auto" w:fill="FFFFFF"/>
            <w:tcMar>
              <w:top w:w="0" w:type="dxa"/>
              <w:left w:w="85" w:type="dxa"/>
              <w:bottom w:w="0" w:type="dxa"/>
              <w:right w:w="85" w:type="dxa"/>
            </w:tcMar>
          </w:tcPr>
          <w:p w14:paraId="7B75B7D2" w14:textId="77777777" w:rsidR="00E87995" w:rsidRPr="009E06AA" w:rsidRDefault="00E87995" w:rsidP="00E770EF">
            <w:pPr>
              <w:pStyle w:val="TableText"/>
              <w:spacing w:before="30" w:after="30"/>
              <w:jc w:val="right"/>
            </w:pPr>
            <w:r w:rsidRPr="009E06AA">
              <w:rPr>
                <w:color w:val="000000"/>
              </w:rPr>
              <w:t>72.8</w:t>
            </w:r>
          </w:p>
        </w:tc>
        <w:tc>
          <w:tcPr>
            <w:tcW w:w="2124" w:type="dxa"/>
            <w:shd w:val="clear" w:color="auto" w:fill="FFFFFF"/>
            <w:tcMar>
              <w:top w:w="0" w:type="dxa"/>
              <w:left w:w="85" w:type="dxa"/>
              <w:bottom w:w="0" w:type="dxa"/>
              <w:right w:w="85" w:type="dxa"/>
            </w:tcMar>
          </w:tcPr>
          <w:p w14:paraId="6E19F058" w14:textId="77777777" w:rsidR="00E87995" w:rsidRPr="009E06AA" w:rsidRDefault="00E87995" w:rsidP="00E770EF">
            <w:pPr>
              <w:pStyle w:val="TableText"/>
              <w:spacing w:before="30" w:after="30"/>
              <w:jc w:val="right"/>
            </w:pPr>
            <w:r w:rsidRPr="009E06AA">
              <w:rPr>
                <w:color w:val="000000"/>
              </w:rPr>
              <w:t>85.8</w:t>
            </w:r>
          </w:p>
        </w:tc>
        <w:tc>
          <w:tcPr>
            <w:tcW w:w="0" w:type="auto"/>
            <w:shd w:val="clear" w:color="auto" w:fill="FFFFFF"/>
            <w:tcMar>
              <w:top w:w="0" w:type="dxa"/>
              <w:left w:w="85" w:type="dxa"/>
              <w:bottom w:w="0" w:type="dxa"/>
              <w:right w:w="85" w:type="dxa"/>
            </w:tcMar>
          </w:tcPr>
          <w:p w14:paraId="74263FF3" w14:textId="77777777" w:rsidR="00E87995" w:rsidRPr="009E06AA" w:rsidRDefault="00E87995" w:rsidP="00E770EF">
            <w:pPr>
              <w:pStyle w:val="TableText"/>
              <w:spacing w:before="30" w:after="30"/>
              <w:jc w:val="right"/>
            </w:pPr>
            <w:r w:rsidRPr="009E06AA">
              <w:rPr>
                <w:color w:val="000000"/>
              </w:rPr>
              <w:t>7.7</w:t>
            </w:r>
          </w:p>
        </w:tc>
        <w:tc>
          <w:tcPr>
            <w:tcW w:w="0" w:type="auto"/>
            <w:shd w:val="clear" w:color="auto" w:fill="FFFFFF"/>
            <w:tcMar>
              <w:top w:w="0" w:type="dxa"/>
              <w:left w:w="85" w:type="dxa"/>
              <w:bottom w:w="0" w:type="dxa"/>
              <w:right w:w="85" w:type="dxa"/>
            </w:tcMar>
          </w:tcPr>
          <w:p w14:paraId="7A704157" w14:textId="77777777" w:rsidR="00E87995" w:rsidRPr="009E06AA" w:rsidRDefault="00E87995" w:rsidP="00E770EF">
            <w:pPr>
              <w:pStyle w:val="TableText"/>
              <w:spacing w:before="30" w:after="30"/>
              <w:jc w:val="right"/>
            </w:pPr>
            <w:r w:rsidRPr="009E06AA">
              <w:rPr>
                <w:color w:val="000000"/>
              </w:rPr>
              <w:t>166.2</w:t>
            </w:r>
          </w:p>
        </w:tc>
      </w:tr>
      <w:tr w:rsidR="00E87995" w:rsidRPr="009E06AA" w14:paraId="2F685CC7" w14:textId="77777777" w:rsidTr="00B55F24">
        <w:tc>
          <w:tcPr>
            <w:tcW w:w="993" w:type="dxa"/>
            <w:shd w:val="clear" w:color="auto" w:fill="FFFFFF"/>
            <w:tcMar>
              <w:top w:w="0" w:type="dxa"/>
              <w:left w:w="85" w:type="dxa"/>
              <w:bottom w:w="0" w:type="dxa"/>
              <w:right w:w="85" w:type="dxa"/>
            </w:tcMar>
          </w:tcPr>
          <w:p w14:paraId="4E6E0F1B" w14:textId="77777777" w:rsidR="00E87995" w:rsidRPr="009E06AA" w:rsidRDefault="00E87995" w:rsidP="00B55F24">
            <w:pPr>
              <w:pStyle w:val="TableTextBold"/>
              <w:spacing w:before="30" w:after="30"/>
              <w:rPr>
                <w:noProof w:val="0"/>
              </w:rPr>
            </w:pPr>
            <w:r w:rsidRPr="009E06AA">
              <w:rPr>
                <w:noProof w:val="0"/>
                <w:color w:val="1B556B"/>
              </w:rPr>
              <w:t>2009</w:t>
            </w:r>
          </w:p>
        </w:tc>
        <w:tc>
          <w:tcPr>
            <w:tcW w:w="1559" w:type="dxa"/>
            <w:shd w:val="clear" w:color="auto" w:fill="FFFFFF"/>
            <w:tcMar>
              <w:top w:w="0" w:type="dxa"/>
              <w:left w:w="85" w:type="dxa"/>
              <w:bottom w:w="0" w:type="dxa"/>
              <w:right w:w="85" w:type="dxa"/>
            </w:tcMar>
          </w:tcPr>
          <w:p w14:paraId="6F465FEA" w14:textId="77777777" w:rsidR="00E87995" w:rsidRPr="009E06AA" w:rsidRDefault="00E87995" w:rsidP="00E770EF">
            <w:pPr>
              <w:pStyle w:val="TableText"/>
              <w:spacing w:before="30" w:after="30"/>
              <w:jc w:val="right"/>
            </w:pPr>
            <w:r w:rsidRPr="009E06AA">
              <w:rPr>
                <w:color w:val="000000"/>
              </w:rPr>
              <w:t>68.3</w:t>
            </w:r>
          </w:p>
        </w:tc>
        <w:tc>
          <w:tcPr>
            <w:tcW w:w="2124" w:type="dxa"/>
            <w:shd w:val="clear" w:color="auto" w:fill="FFFFFF"/>
            <w:tcMar>
              <w:top w:w="0" w:type="dxa"/>
              <w:left w:w="85" w:type="dxa"/>
              <w:bottom w:w="0" w:type="dxa"/>
              <w:right w:w="85" w:type="dxa"/>
            </w:tcMar>
          </w:tcPr>
          <w:p w14:paraId="79DA7D6E" w14:textId="77777777" w:rsidR="00E87995" w:rsidRPr="009E06AA" w:rsidRDefault="00E87995" w:rsidP="00E770EF">
            <w:pPr>
              <w:pStyle w:val="TableText"/>
              <w:spacing w:before="30" w:after="30"/>
              <w:jc w:val="right"/>
            </w:pPr>
            <w:r w:rsidRPr="009E06AA">
              <w:rPr>
                <w:color w:val="000000"/>
              </w:rPr>
              <w:t>87.0</w:t>
            </w:r>
          </w:p>
        </w:tc>
        <w:tc>
          <w:tcPr>
            <w:tcW w:w="0" w:type="auto"/>
            <w:shd w:val="clear" w:color="auto" w:fill="FFFFFF"/>
            <w:tcMar>
              <w:top w:w="0" w:type="dxa"/>
              <w:left w:w="85" w:type="dxa"/>
              <w:bottom w:w="0" w:type="dxa"/>
              <w:right w:w="85" w:type="dxa"/>
            </w:tcMar>
          </w:tcPr>
          <w:p w14:paraId="4E0AD4AE" w14:textId="77777777" w:rsidR="00E87995" w:rsidRPr="009E06AA" w:rsidRDefault="00E87995" w:rsidP="00E770EF">
            <w:pPr>
              <w:pStyle w:val="TableText"/>
              <w:spacing w:before="30" w:after="30"/>
              <w:jc w:val="right"/>
            </w:pPr>
            <w:r w:rsidRPr="009E06AA">
              <w:rPr>
                <w:color w:val="000000"/>
              </w:rPr>
              <w:t>7.7</w:t>
            </w:r>
          </w:p>
        </w:tc>
        <w:tc>
          <w:tcPr>
            <w:tcW w:w="0" w:type="auto"/>
            <w:shd w:val="clear" w:color="auto" w:fill="FFFFFF"/>
            <w:tcMar>
              <w:top w:w="0" w:type="dxa"/>
              <w:left w:w="85" w:type="dxa"/>
              <w:bottom w:w="0" w:type="dxa"/>
              <w:right w:w="85" w:type="dxa"/>
            </w:tcMar>
          </w:tcPr>
          <w:p w14:paraId="108DEA76" w14:textId="77777777" w:rsidR="00E87995" w:rsidRPr="009E06AA" w:rsidRDefault="00E87995" w:rsidP="00E770EF">
            <w:pPr>
              <w:pStyle w:val="TableText"/>
              <w:spacing w:before="30" w:after="30"/>
              <w:jc w:val="right"/>
            </w:pPr>
            <w:r w:rsidRPr="009E06AA">
              <w:rPr>
                <w:color w:val="000000"/>
              </w:rPr>
              <w:t>163.0</w:t>
            </w:r>
          </w:p>
        </w:tc>
      </w:tr>
      <w:tr w:rsidR="00E87995" w:rsidRPr="009E06AA" w14:paraId="5114853D" w14:textId="77777777" w:rsidTr="00B55F24">
        <w:tc>
          <w:tcPr>
            <w:tcW w:w="993" w:type="dxa"/>
            <w:shd w:val="clear" w:color="auto" w:fill="FFFFFF"/>
            <w:tcMar>
              <w:top w:w="0" w:type="dxa"/>
              <w:left w:w="85" w:type="dxa"/>
              <w:bottom w:w="0" w:type="dxa"/>
              <w:right w:w="85" w:type="dxa"/>
            </w:tcMar>
          </w:tcPr>
          <w:p w14:paraId="51BC02B4" w14:textId="77777777" w:rsidR="00E87995" w:rsidRPr="009E06AA" w:rsidRDefault="00E87995" w:rsidP="00B55F24">
            <w:pPr>
              <w:pStyle w:val="TableTextBold"/>
              <w:spacing w:before="30" w:after="30"/>
              <w:rPr>
                <w:noProof w:val="0"/>
              </w:rPr>
            </w:pPr>
            <w:r w:rsidRPr="009E06AA">
              <w:rPr>
                <w:noProof w:val="0"/>
                <w:color w:val="1B556B"/>
              </w:rPr>
              <w:t>2010</w:t>
            </w:r>
          </w:p>
        </w:tc>
        <w:tc>
          <w:tcPr>
            <w:tcW w:w="1559" w:type="dxa"/>
            <w:shd w:val="clear" w:color="auto" w:fill="FFFFFF"/>
            <w:tcMar>
              <w:top w:w="0" w:type="dxa"/>
              <w:left w:w="85" w:type="dxa"/>
              <w:bottom w:w="0" w:type="dxa"/>
              <w:right w:w="85" w:type="dxa"/>
            </w:tcMar>
          </w:tcPr>
          <w:p w14:paraId="34C08703" w14:textId="77777777" w:rsidR="00E87995" w:rsidRPr="009E06AA" w:rsidRDefault="00E87995" w:rsidP="00E770EF">
            <w:pPr>
              <w:pStyle w:val="TableText"/>
              <w:spacing w:before="30" w:after="30"/>
              <w:jc w:val="right"/>
            </w:pPr>
            <w:r w:rsidRPr="009E06AA">
              <w:rPr>
                <w:color w:val="000000"/>
              </w:rPr>
              <w:t>66.6</w:t>
            </w:r>
          </w:p>
        </w:tc>
        <w:tc>
          <w:tcPr>
            <w:tcW w:w="2124" w:type="dxa"/>
            <w:shd w:val="clear" w:color="auto" w:fill="FFFFFF"/>
            <w:tcMar>
              <w:top w:w="0" w:type="dxa"/>
              <w:left w:w="85" w:type="dxa"/>
              <w:bottom w:w="0" w:type="dxa"/>
              <w:right w:w="85" w:type="dxa"/>
            </w:tcMar>
          </w:tcPr>
          <w:p w14:paraId="59084CD7" w14:textId="77777777" w:rsidR="00E87995" w:rsidRPr="009E06AA" w:rsidRDefault="00E87995" w:rsidP="00E770EF">
            <w:pPr>
              <w:pStyle w:val="TableText"/>
              <w:spacing w:before="30" w:after="30"/>
              <w:jc w:val="right"/>
            </w:pPr>
            <w:r w:rsidRPr="009E06AA">
              <w:rPr>
                <w:color w:val="000000"/>
              </w:rPr>
              <w:t>91.2</w:t>
            </w:r>
          </w:p>
        </w:tc>
        <w:tc>
          <w:tcPr>
            <w:tcW w:w="0" w:type="auto"/>
            <w:shd w:val="clear" w:color="auto" w:fill="FFFFFF"/>
            <w:tcMar>
              <w:top w:w="0" w:type="dxa"/>
              <w:left w:w="85" w:type="dxa"/>
              <w:bottom w:w="0" w:type="dxa"/>
              <w:right w:w="85" w:type="dxa"/>
            </w:tcMar>
          </w:tcPr>
          <w:p w14:paraId="2E78AA46" w14:textId="77777777" w:rsidR="00E87995" w:rsidRPr="009E06AA" w:rsidRDefault="00E87995" w:rsidP="00E770EF">
            <w:pPr>
              <w:pStyle w:val="TableText"/>
              <w:spacing w:before="30" w:after="30"/>
              <w:jc w:val="right"/>
            </w:pPr>
            <w:r w:rsidRPr="009E06AA">
              <w:rPr>
                <w:color w:val="000000"/>
              </w:rPr>
              <w:t>7.5</w:t>
            </w:r>
          </w:p>
        </w:tc>
        <w:tc>
          <w:tcPr>
            <w:tcW w:w="0" w:type="auto"/>
            <w:shd w:val="clear" w:color="auto" w:fill="FFFFFF"/>
            <w:tcMar>
              <w:top w:w="0" w:type="dxa"/>
              <w:left w:w="85" w:type="dxa"/>
              <w:bottom w:w="0" w:type="dxa"/>
              <w:right w:w="85" w:type="dxa"/>
            </w:tcMar>
          </w:tcPr>
          <w:p w14:paraId="662914EC" w14:textId="77777777" w:rsidR="00E87995" w:rsidRPr="009E06AA" w:rsidRDefault="00E87995" w:rsidP="00E770EF">
            <w:pPr>
              <w:pStyle w:val="TableText"/>
              <w:spacing w:before="30" w:after="30"/>
              <w:jc w:val="right"/>
            </w:pPr>
            <w:r w:rsidRPr="009E06AA">
              <w:rPr>
                <w:color w:val="000000"/>
              </w:rPr>
              <w:t>165.3</w:t>
            </w:r>
          </w:p>
        </w:tc>
      </w:tr>
      <w:tr w:rsidR="00E87995" w:rsidRPr="009E06AA" w14:paraId="180E5D87" w14:textId="77777777" w:rsidTr="00B55F24">
        <w:tc>
          <w:tcPr>
            <w:tcW w:w="993" w:type="dxa"/>
            <w:shd w:val="clear" w:color="auto" w:fill="FFFFFF"/>
            <w:tcMar>
              <w:top w:w="0" w:type="dxa"/>
              <w:left w:w="85" w:type="dxa"/>
              <w:bottom w:w="0" w:type="dxa"/>
              <w:right w:w="85" w:type="dxa"/>
            </w:tcMar>
          </w:tcPr>
          <w:p w14:paraId="1B485765" w14:textId="77777777" w:rsidR="00E87995" w:rsidRPr="009E06AA" w:rsidRDefault="00E87995" w:rsidP="00B55F24">
            <w:pPr>
              <w:pStyle w:val="TableTextBold"/>
              <w:spacing w:before="30" w:after="30"/>
              <w:rPr>
                <w:noProof w:val="0"/>
              </w:rPr>
            </w:pPr>
            <w:r w:rsidRPr="009E06AA">
              <w:rPr>
                <w:noProof w:val="0"/>
                <w:color w:val="1B556B"/>
              </w:rPr>
              <w:t>2011</w:t>
            </w:r>
          </w:p>
        </w:tc>
        <w:tc>
          <w:tcPr>
            <w:tcW w:w="1559" w:type="dxa"/>
            <w:shd w:val="clear" w:color="auto" w:fill="FFFFFF"/>
            <w:tcMar>
              <w:top w:w="0" w:type="dxa"/>
              <w:left w:w="85" w:type="dxa"/>
              <w:bottom w:w="0" w:type="dxa"/>
              <w:right w:w="85" w:type="dxa"/>
            </w:tcMar>
          </w:tcPr>
          <w:p w14:paraId="414D7630" w14:textId="77777777" w:rsidR="00E87995" w:rsidRPr="009E06AA" w:rsidRDefault="00E87995" w:rsidP="00E770EF">
            <w:pPr>
              <w:pStyle w:val="TableText"/>
              <w:spacing w:before="30" w:after="30"/>
              <w:jc w:val="right"/>
            </w:pPr>
            <w:r w:rsidRPr="009E06AA">
              <w:rPr>
                <w:color w:val="000000"/>
              </w:rPr>
              <w:t>65.6</w:t>
            </w:r>
          </w:p>
        </w:tc>
        <w:tc>
          <w:tcPr>
            <w:tcW w:w="2124" w:type="dxa"/>
            <w:shd w:val="clear" w:color="auto" w:fill="FFFFFF"/>
            <w:tcMar>
              <w:top w:w="0" w:type="dxa"/>
              <w:left w:w="85" w:type="dxa"/>
              <w:bottom w:w="0" w:type="dxa"/>
              <w:right w:w="85" w:type="dxa"/>
            </w:tcMar>
          </w:tcPr>
          <w:p w14:paraId="53BBE7A1" w14:textId="77777777" w:rsidR="00E87995" w:rsidRPr="009E06AA" w:rsidRDefault="00E87995" w:rsidP="00E770EF">
            <w:pPr>
              <w:pStyle w:val="TableText"/>
              <w:spacing w:before="30" w:after="30"/>
              <w:jc w:val="right"/>
            </w:pPr>
            <w:r w:rsidRPr="009E06AA">
              <w:rPr>
                <w:color w:val="000000"/>
              </w:rPr>
              <w:t>87.9</w:t>
            </w:r>
          </w:p>
        </w:tc>
        <w:tc>
          <w:tcPr>
            <w:tcW w:w="0" w:type="auto"/>
            <w:shd w:val="clear" w:color="auto" w:fill="FFFFFF"/>
            <w:tcMar>
              <w:top w:w="0" w:type="dxa"/>
              <w:left w:w="85" w:type="dxa"/>
              <w:bottom w:w="0" w:type="dxa"/>
              <w:right w:w="85" w:type="dxa"/>
            </w:tcMar>
          </w:tcPr>
          <w:p w14:paraId="6AB1DD4F" w14:textId="77777777" w:rsidR="00E87995" w:rsidRPr="009E06AA" w:rsidRDefault="00E87995" w:rsidP="00E770EF">
            <w:pPr>
              <w:pStyle w:val="TableText"/>
              <w:spacing w:before="30" w:after="30"/>
              <w:jc w:val="right"/>
            </w:pPr>
            <w:r w:rsidRPr="009E06AA">
              <w:rPr>
                <w:color w:val="000000"/>
              </w:rPr>
              <w:t>4.1</w:t>
            </w:r>
          </w:p>
        </w:tc>
        <w:tc>
          <w:tcPr>
            <w:tcW w:w="0" w:type="auto"/>
            <w:shd w:val="clear" w:color="auto" w:fill="FFFFFF"/>
            <w:tcMar>
              <w:top w:w="0" w:type="dxa"/>
              <w:left w:w="85" w:type="dxa"/>
              <w:bottom w:w="0" w:type="dxa"/>
              <w:right w:w="85" w:type="dxa"/>
            </w:tcMar>
          </w:tcPr>
          <w:p w14:paraId="44840706" w14:textId="77777777" w:rsidR="00E87995" w:rsidRPr="009E06AA" w:rsidRDefault="00E87995" w:rsidP="00E770EF">
            <w:pPr>
              <w:pStyle w:val="TableText"/>
              <w:spacing w:before="30" w:after="30"/>
              <w:jc w:val="right"/>
            </w:pPr>
            <w:r w:rsidRPr="009E06AA">
              <w:rPr>
                <w:color w:val="000000"/>
              </w:rPr>
              <w:t>157.6</w:t>
            </w:r>
          </w:p>
        </w:tc>
      </w:tr>
      <w:tr w:rsidR="00E87995" w:rsidRPr="009E06AA" w14:paraId="58CAD1E2" w14:textId="77777777" w:rsidTr="00B55F24">
        <w:tc>
          <w:tcPr>
            <w:tcW w:w="993" w:type="dxa"/>
            <w:shd w:val="clear" w:color="auto" w:fill="FFFFFF"/>
            <w:tcMar>
              <w:top w:w="0" w:type="dxa"/>
              <w:left w:w="85" w:type="dxa"/>
              <w:bottom w:w="0" w:type="dxa"/>
              <w:right w:w="85" w:type="dxa"/>
            </w:tcMar>
          </w:tcPr>
          <w:p w14:paraId="7A26D08B" w14:textId="77777777" w:rsidR="00E87995" w:rsidRPr="009E06AA" w:rsidRDefault="00E87995" w:rsidP="00B55F24">
            <w:pPr>
              <w:pStyle w:val="TableTextBold"/>
              <w:spacing w:before="30" w:after="30"/>
              <w:rPr>
                <w:noProof w:val="0"/>
              </w:rPr>
            </w:pPr>
            <w:r w:rsidRPr="009E06AA">
              <w:rPr>
                <w:noProof w:val="0"/>
                <w:color w:val="1B556B"/>
              </w:rPr>
              <w:t>2012</w:t>
            </w:r>
          </w:p>
        </w:tc>
        <w:tc>
          <w:tcPr>
            <w:tcW w:w="1559" w:type="dxa"/>
            <w:shd w:val="clear" w:color="auto" w:fill="FFFFFF"/>
            <w:tcMar>
              <w:top w:w="0" w:type="dxa"/>
              <w:left w:w="85" w:type="dxa"/>
              <w:bottom w:w="0" w:type="dxa"/>
              <w:right w:w="85" w:type="dxa"/>
            </w:tcMar>
          </w:tcPr>
          <w:p w14:paraId="3E1B4FCB" w14:textId="77777777" w:rsidR="00E87995" w:rsidRPr="009E06AA" w:rsidRDefault="00E87995" w:rsidP="00E770EF">
            <w:pPr>
              <w:pStyle w:val="TableText"/>
              <w:spacing w:before="30" w:after="30"/>
              <w:jc w:val="right"/>
            </w:pPr>
            <w:r w:rsidRPr="009E06AA">
              <w:rPr>
                <w:color w:val="000000"/>
              </w:rPr>
              <w:t>65.7</w:t>
            </w:r>
          </w:p>
        </w:tc>
        <w:tc>
          <w:tcPr>
            <w:tcW w:w="2124" w:type="dxa"/>
            <w:shd w:val="clear" w:color="auto" w:fill="FFFFFF"/>
            <w:tcMar>
              <w:top w:w="0" w:type="dxa"/>
              <w:left w:w="85" w:type="dxa"/>
              <w:bottom w:w="0" w:type="dxa"/>
              <w:right w:w="85" w:type="dxa"/>
            </w:tcMar>
          </w:tcPr>
          <w:p w14:paraId="38D0FCC8" w14:textId="77777777" w:rsidR="00E87995" w:rsidRPr="009E06AA" w:rsidRDefault="00E87995" w:rsidP="00E770EF">
            <w:pPr>
              <w:pStyle w:val="TableText"/>
              <w:spacing w:before="30" w:after="30"/>
              <w:jc w:val="right"/>
            </w:pPr>
            <w:r w:rsidRPr="009E06AA">
              <w:rPr>
                <w:color w:val="000000"/>
              </w:rPr>
              <w:t>84.9</w:t>
            </w:r>
          </w:p>
        </w:tc>
        <w:tc>
          <w:tcPr>
            <w:tcW w:w="0" w:type="auto"/>
            <w:shd w:val="clear" w:color="auto" w:fill="FFFFFF"/>
            <w:tcMar>
              <w:top w:w="0" w:type="dxa"/>
              <w:left w:w="85" w:type="dxa"/>
              <w:bottom w:w="0" w:type="dxa"/>
              <w:right w:w="85" w:type="dxa"/>
            </w:tcMar>
          </w:tcPr>
          <w:p w14:paraId="447E5CEC" w14:textId="77777777" w:rsidR="00E87995" w:rsidRPr="009E06AA" w:rsidRDefault="00E87995" w:rsidP="00E770EF">
            <w:pPr>
              <w:pStyle w:val="TableText"/>
              <w:spacing w:before="30" w:after="30"/>
              <w:jc w:val="right"/>
            </w:pPr>
            <w:r w:rsidRPr="009E06AA">
              <w:rPr>
                <w:color w:val="000000"/>
              </w:rPr>
              <w:t>3.3</w:t>
            </w:r>
          </w:p>
        </w:tc>
        <w:tc>
          <w:tcPr>
            <w:tcW w:w="0" w:type="auto"/>
            <w:shd w:val="clear" w:color="auto" w:fill="FFFFFF"/>
            <w:tcMar>
              <w:top w:w="0" w:type="dxa"/>
              <w:left w:w="85" w:type="dxa"/>
              <w:bottom w:w="0" w:type="dxa"/>
              <w:right w:w="85" w:type="dxa"/>
            </w:tcMar>
          </w:tcPr>
          <w:p w14:paraId="3EBFA286" w14:textId="77777777" w:rsidR="00E87995" w:rsidRPr="009E06AA" w:rsidRDefault="00E87995" w:rsidP="00E770EF">
            <w:pPr>
              <w:pStyle w:val="TableText"/>
              <w:spacing w:before="30" w:after="30"/>
              <w:jc w:val="right"/>
            </w:pPr>
            <w:r w:rsidRPr="009E06AA">
              <w:rPr>
                <w:color w:val="000000"/>
              </w:rPr>
              <w:t>153.9</w:t>
            </w:r>
          </w:p>
        </w:tc>
      </w:tr>
      <w:tr w:rsidR="00E87995" w:rsidRPr="009E06AA" w14:paraId="636020F2" w14:textId="77777777" w:rsidTr="00B55F24">
        <w:tc>
          <w:tcPr>
            <w:tcW w:w="993" w:type="dxa"/>
            <w:shd w:val="clear" w:color="auto" w:fill="FFFFFF"/>
            <w:tcMar>
              <w:top w:w="0" w:type="dxa"/>
              <w:left w:w="85" w:type="dxa"/>
              <w:bottom w:w="0" w:type="dxa"/>
              <w:right w:w="85" w:type="dxa"/>
            </w:tcMar>
          </w:tcPr>
          <w:p w14:paraId="77E2B7D2" w14:textId="77777777" w:rsidR="00E87995" w:rsidRPr="009E06AA" w:rsidRDefault="00E87995" w:rsidP="00B55F24">
            <w:pPr>
              <w:pStyle w:val="TableTextBold"/>
              <w:spacing w:before="30" w:after="30"/>
              <w:rPr>
                <w:noProof w:val="0"/>
              </w:rPr>
            </w:pPr>
            <w:r w:rsidRPr="009E06AA">
              <w:rPr>
                <w:noProof w:val="0"/>
                <w:color w:val="1B556B"/>
              </w:rPr>
              <w:t>2013</w:t>
            </w:r>
          </w:p>
        </w:tc>
        <w:tc>
          <w:tcPr>
            <w:tcW w:w="1559" w:type="dxa"/>
            <w:shd w:val="clear" w:color="auto" w:fill="FFFFFF"/>
            <w:tcMar>
              <w:top w:w="0" w:type="dxa"/>
              <w:left w:w="85" w:type="dxa"/>
              <w:bottom w:w="0" w:type="dxa"/>
              <w:right w:w="85" w:type="dxa"/>
            </w:tcMar>
          </w:tcPr>
          <w:p w14:paraId="4FB2E2A2" w14:textId="77777777" w:rsidR="00E87995" w:rsidRPr="009E06AA" w:rsidRDefault="00E87995" w:rsidP="00E770EF">
            <w:pPr>
              <w:pStyle w:val="TableText"/>
              <w:spacing w:before="30" w:after="30"/>
              <w:jc w:val="right"/>
            </w:pPr>
            <w:r w:rsidRPr="009E06AA">
              <w:rPr>
                <w:color w:val="000000"/>
              </w:rPr>
              <w:t>67.9</w:t>
            </w:r>
          </w:p>
        </w:tc>
        <w:tc>
          <w:tcPr>
            <w:tcW w:w="2124" w:type="dxa"/>
            <w:shd w:val="clear" w:color="auto" w:fill="FFFFFF"/>
            <w:tcMar>
              <w:top w:w="0" w:type="dxa"/>
              <w:left w:w="85" w:type="dxa"/>
              <w:bottom w:w="0" w:type="dxa"/>
              <w:right w:w="85" w:type="dxa"/>
            </w:tcMar>
          </w:tcPr>
          <w:p w14:paraId="1CAD37B2" w14:textId="77777777" w:rsidR="00E87995" w:rsidRPr="009E06AA" w:rsidRDefault="00E87995" w:rsidP="00E770EF">
            <w:pPr>
              <w:pStyle w:val="TableText"/>
              <w:spacing w:before="30" w:after="30"/>
              <w:jc w:val="right"/>
            </w:pPr>
            <w:r w:rsidRPr="009E06AA">
              <w:rPr>
                <w:color w:val="000000"/>
              </w:rPr>
              <w:t>79.1</w:t>
            </w:r>
          </w:p>
        </w:tc>
        <w:tc>
          <w:tcPr>
            <w:tcW w:w="0" w:type="auto"/>
            <w:shd w:val="clear" w:color="auto" w:fill="FFFFFF"/>
            <w:tcMar>
              <w:top w:w="0" w:type="dxa"/>
              <w:left w:w="85" w:type="dxa"/>
              <w:bottom w:w="0" w:type="dxa"/>
              <w:right w:w="85" w:type="dxa"/>
            </w:tcMar>
          </w:tcPr>
          <w:p w14:paraId="3C3E6F25" w14:textId="77777777" w:rsidR="00E87995" w:rsidRPr="009E06AA" w:rsidRDefault="00E87995" w:rsidP="00E770EF">
            <w:pPr>
              <w:pStyle w:val="TableText"/>
              <w:spacing w:before="30" w:after="30"/>
              <w:jc w:val="right"/>
            </w:pPr>
            <w:r w:rsidRPr="009E06AA">
              <w:rPr>
                <w:color w:val="000000"/>
              </w:rPr>
              <w:t>4.3</w:t>
            </w:r>
          </w:p>
        </w:tc>
        <w:tc>
          <w:tcPr>
            <w:tcW w:w="0" w:type="auto"/>
            <w:shd w:val="clear" w:color="auto" w:fill="FFFFFF"/>
            <w:tcMar>
              <w:top w:w="0" w:type="dxa"/>
              <w:left w:w="85" w:type="dxa"/>
              <w:bottom w:w="0" w:type="dxa"/>
              <w:right w:w="85" w:type="dxa"/>
            </w:tcMar>
          </w:tcPr>
          <w:p w14:paraId="423AC338" w14:textId="77777777" w:rsidR="00E87995" w:rsidRPr="009E06AA" w:rsidRDefault="00E87995" w:rsidP="00E770EF">
            <w:pPr>
              <w:pStyle w:val="TableText"/>
              <w:spacing w:before="30" w:after="30"/>
              <w:jc w:val="right"/>
            </w:pPr>
            <w:r w:rsidRPr="009E06AA">
              <w:rPr>
                <w:color w:val="000000"/>
              </w:rPr>
              <w:t>151.3</w:t>
            </w:r>
          </w:p>
        </w:tc>
      </w:tr>
      <w:tr w:rsidR="00E87995" w:rsidRPr="009E06AA" w14:paraId="6928C27D" w14:textId="77777777" w:rsidTr="00B55F24">
        <w:tc>
          <w:tcPr>
            <w:tcW w:w="993" w:type="dxa"/>
            <w:shd w:val="clear" w:color="auto" w:fill="FFFFFF"/>
            <w:tcMar>
              <w:top w:w="0" w:type="dxa"/>
              <w:left w:w="85" w:type="dxa"/>
              <w:bottom w:w="0" w:type="dxa"/>
              <w:right w:w="85" w:type="dxa"/>
            </w:tcMar>
          </w:tcPr>
          <w:p w14:paraId="79DCC970" w14:textId="77777777" w:rsidR="00E87995" w:rsidRPr="009E06AA" w:rsidRDefault="00E87995" w:rsidP="00B55F24">
            <w:pPr>
              <w:pStyle w:val="TableTextBold"/>
              <w:spacing w:before="30" w:after="30"/>
              <w:rPr>
                <w:noProof w:val="0"/>
              </w:rPr>
            </w:pPr>
            <w:r w:rsidRPr="009E06AA">
              <w:rPr>
                <w:noProof w:val="0"/>
                <w:color w:val="1B556B"/>
              </w:rPr>
              <w:t>2014</w:t>
            </w:r>
          </w:p>
        </w:tc>
        <w:tc>
          <w:tcPr>
            <w:tcW w:w="1559" w:type="dxa"/>
            <w:shd w:val="clear" w:color="auto" w:fill="FFFFFF"/>
            <w:tcMar>
              <w:top w:w="0" w:type="dxa"/>
              <w:left w:w="85" w:type="dxa"/>
              <w:bottom w:w="0" w:type="dxa"/>
              <w:right w:w="85" w:type="dxa"/>
            </w:tcMar>
          </w:tcPr>
          <w:p w14:paraId="2628D29D" w14:textId="77777777" w:rsidR="00E87995" w:rsidRPr="009E06AA" w:rsidRDefault="00E87995" w:rsidP="00E770EF">
            <w:pPr>
              <w:pStyle w:val="TableText"/>
              <w:spacing w:before="30" w:after="30"/>
              <w:jc w:val="right"/>
            </w:pPr>
            <w:r w:rsidRPr="009E06AA">
              <w:rPr>
                <w:color w:val="000000"/>
              </w:rPr>
              <w:t>68.7</w:t>
            </w:r>
          </w:p>
        </w:tc>
        <w:tc>
          <w:tcPr>
            <w:tcW w:w="2124" w:type="dxa"/>
            <w:shd w:val="clear" w:color="auto" w:fill="FFFFFF"/>
            <w:tcMar>
              <w:top w:w="0" w:type="dxa"/>
              <w:left w:w="85" w:type="dxa"/>
              <w:bottom w:w="0" w:type="dxa"/>
              <w:right w:w="85" w:type="dxa"/>
            </w:tcMar>
          </w:tcPr>
          <w:p w14:paraId="07248D82" w14:textId="77777777" w:rsidR="00E87995" w:rsidRPr="009E06AA" w:rsidRDefault="00E87995" w:rsidP="00E770EF">
            <w:pPr>
              <w:pStyle w:val="TableText"/>
              <w:spacing w:before="30" w:after="30"/>
              <w:jc w:val="right"/>
            </w:pPr>
            <w:r w:rsidRPr="009E06AA">
              <w:rPr>
                <w:color w:val="000000"/>
              </w:rPr>
              <w:t>77.5</w:t>
            </w:r>
          </w:p>
        </w:tc>
        <w:tc>
          <w:tcPr>
            <w:tcW w:w="0" w:type="auto"/>
            <w:shd w:val="clear" w:color="auto" w:fill="FFFFFF"/>
            <w:tcMar>
              <w:top w:w="0" w:type="dxa"/>
              <w:left w:w="85" w:type="dxa"/>
              <w:bottom w:w="0" w:type="dxa"/>
              <w:right w:w="85" w:type="dxa"/>
            </w:tcMar>
          </w:tcPr>
          <w:p w14:paraId="205557BF" w14:textId="77777777" w:rsidR="00E87995" w:rsidRPr="009E06AA" w:rsidRDefault="00E87995" w:rsidP="00E770EF">
            <w:pPr>
              <w:pStyle w:val="TableText"/>
              <w:spacing w:before="30" w:after="30"/>
              <w:jc w:val="right"/>
            </w:pPr>
            <w:r w:rsidRPr="009E06AA">
              <w:rPr>
                <w:color w:val="000000"/>
              </w:rPr>
              <w:t>5.5</w:t>
            </w:r>
          </w:p>
        </w:tc>
        <w:tc>
          <w:tcPr>
            <w:tcW w:w="0" w:type="auto"/>
            <w:shd w:val="clear" w:color="auto" w:fill="FFFFFF"/>
            <w:tcMar>
              <w:top w:w="0" w:type="dxa"/>
              <w:left w:w="85" w:type="dxa"/>
              <w:bottom w:w="0" w:type="dxa"/>
              <w:right w:w="85" w:type="dxa"/>
            </w:tcMar>
          </w:tcPr>
          <w:p w14:paraId="0513F19D" w14:textId="77777777" w:rsidR="00E87995" w:rsidRPr="009E06AA" w:rsidRDefault="00E87995" w:rsidP="00E770EF">
            <w:pPr>
              <w:pStyle w:val="TableText"/>
              <w:spacing w:before="30" w:after="30"/>
              <w:jc w:val="right"/>
            </w:pPr>
            <w:r w:rsidRPr="009E06AA">
              <w:rPr>
                <w:color w:val="000000"/>
              </w:rPr>
              <w:t>151.8</w:t>
            </w:r>
          </w:p>
        </w:tc>
      </w:tr>
      <w:tr w:rsidR="00E87995" w:rsidRPr="009E06AA" w14:paraId="6789A9B0" w14:textId="77777777" w:rsidTr="00B55F24">
        <w:tc>
          <w:tcPr>
            <w:tcW w:w="993" w:type="dxa"/>
            <w:shd w:val="clear" w:color="auto" w:fill="FFFFFF"/>
            <w:tcMar>
              <w:top w:w="0" w:type="dxa"/>
              <w:left w:w="85" w:type="dxa"/>
              <w:bottom w:w="0" w:type="dxa"/>
              <w:right w:w="85" w:type="dxa"/>
            </w:tcMar>
          </w:tcPr>
          <w:p w14:paraId="5BBA26ED" w14:textId="77777777" w:rsidR="00E87995" w:rsidRPr="009E06AA" w:rsidRDefault="00E87995" w:rsidP="00B55F24">
            <w:pPr>
              <w:pStyle w:val="TableTextBold"/>
              <w:spacing w:before="30" w:after="30"/>
              <w:rPr>
                <w:noProof w:val="0"/>
              </w:rPr>
            </w:pPr>
            <w:r w:rsidRPr="009E06AA">
              <w:rPr>
                <w:noProof w:val="0"/>
                <w:color w:val="1B556B"/>
              </w:rPr>
              <w:t>2015</w:t>
            </w:r>
          </w:p>
        </w:tc>
        <w:tc>
          <w:tcPr>
            <w:tcW w:w="1559" w:type="dxa"/>
            <w:shd w:val="clear" w:color="auto" w:fill="FFFFFF"/>
            <w:tcMar>
              <w:top w:w="0" w:type="dxa"/>
              <w:left w:w="85" w:type="dxa"/>
              <w:bottom w:w="0" w:type="dxa"/>
              <w:right w:w="85" w:type="dxa"/>
            </w:tcMar>
          </w:tcPr>
          <w:p w14:paraId="0F74330F" w14:textId="77777777" w:rsidR="00E87995" w:rsidRPr="009E06AA" w:rsidRDefault="00E87995" w:rsidP="00E770EF">
            <w:pPr>
              <w:pStyle w:val="TableText"/>
              <w:spacing w:before="30" w:after="30"/>
              <w:jc w:val="right"/>
            </w:pPr>
            <w:r w:rsidRPr="009E06AA">
              <w:rPr>
                <w:color w:val="000000"/>
              </w:rPr>
              <w:t>71.7</w:t>
            </w:r>
          </w:p>
        </w:tc>
        <w:tc>
          <w:tcPr>
            <w:tcW w:w="2124" w:type="dxa"/>
            <w:shd w:val="clear" w:color="auto" w:fill="FFFFFF"/>
            <w:tcMar>
              <w:top w:w="0" w:type="dxa"/>
              <w:left w:w="85" w:type="dxa"/>
              <w:bottom w:w="0" w:type="dxa"/>
              <w:right w:w="85" w:type="dxa"/>
            </w:tcMar>
          </w:tcPr>
          <w:p w14:paraId="77D77B92" w14:textId="77777777" w:rsidR="00E87995" w:rsidRPr="009E06AA" w:rsidRDefault="00E87995" w:rsidP="00E770EF">
            <w:pPr>
              <w:pStyle w:val="TableText"/>
              <w:spacing w:before="30" w:after="30"/>
              <w:jc w:val="right"/>
            </w:pPr>
            <w:r w:rsidRPr="009E06AA">
              <w:rPr>
                <w:color w:val="000000"/>
              </w:rPr>
              <w:t>78.6</w:t>
            </w:r>
          </w:p>
        </w:tc>
        <w:tc>
          <w:tcPr>
            <w:tcW w:w="0" w:type="auto"/>
            <w:shd w:val="clear" w:color="auto" w:fill="FFFFFF"/>
            <w:tcMar>
              <w:top w:w="0" w:type="dxa"/>
              <w:left w:w="85" w:type="dxa"/>
              <w:bottom w:w="0" w:type="dxa"/>
              <w:right w:w="85" w:type="dxa"/>
            </w:tcMar>
          </w:tcPr>
          <w:p w14:paraId="20AC87ED" w14:textId="77777777" w:rsidR="00E87995" w:rsidRPr="009E06AA" w:rsidRDefault="00E87995" w:rsidP="00E770EF">
            <w:pPr>
              <w:pStyle w:val="TableText"/>
              <w:spacing w:before="30" w:after="30"/>
              <w:jc w:val="right"/>
            </w:pPr>
            <w:r w:rsidRPr="009E06AA">
              <w:rPr>
                <w:color w:val="000000"/>
              </w:rPr>
              <w:t>4.0</w:t>
            </w:r>
          </w:p>
        </w:tc>
        <w:tc>
          <w:tcPr>
            <w:tcW w:w="0" w:type="auto"/>
            <w:shd w:val="clear" w:color="auto" w:fill="FFFFFF"/>
            <w:tcMar>
              <w:top w:w="0" w:type="dxa"/>
              <w:left w:w="85" w:type="dxa"/>
              <w:bottom w:w="0" w:type="dxa"/>
              <w:right w:w="85" w:type="dxa"/>
            </w:tcMar>
          </w:tcPr>
          <w:p w14:paraId="15E75A8E" w14:textId="77777777" w:rsidR="00E87995" w:rsidRPr="009E06AA" w:rsidRDefault="00E87995" w:rsidP="00E770EF">
            <w:pPr>
              <w:pStyle w:val="TableText"/>
              <w:spacing w:before="30" w:after="30"/>
              <w:jc w:val="right"/>
            </w:pPr>
            <w:r w:rsidRPr="009E06AA">
              <w:rPr>
                <w:color w:val="000000"/>
              </w:rPr>
              <w:t>154.4</w:t>
            </w:r>
          </w:p>
        </w:tc>
      </w:tr>
      <w:tr w:rsidR="00E87995" w:rsidRPr="009E06AA" w14:paraId="2B8C27DC" w14:textId="77777777" w:rsidTr="00B55F24">
        <w:tc>
          <w:tcPr>
            <w:tcW w:w="993" w:type="dxa"/>
            <w:shd w:val="clear" w:color="auto" w:fill="FFFFFF"/>
            <w:tcMar>
              <w:top w:w="0" w:type="dxa"/>
              <w:left w:w="85" w:type="dxa"/>
              <w:bottom w:w="0" w:type="dxa"/>
              <w:right w:w="85" w:type="dxa"/>
            </w:tcMar>
          </w:tcPr>
          <w:p w14:paraId="273FB64E" w14:textId="77777777" w:rsidR="00E87995" w:rsidRPr="009E06AA" w:rsidRDefault="00E87995" w:rsidP="00B55F24">
            <w:pPr>
              <w:pStyle w:val="TableTextBold"/>
              <w:spacing w:before="30" w:after="30"/>
              <w:rPr>
                <w:noProof w:val="0"/>
              </w:rPr>
            </w:pPr>
            <w:r w:rsidRPr="009E06AA">
              <w:rPr>
                <w:noProof w:val="0"/>
                <w:color w:val="1B556B"/>
              </w:rPr>
              <w:t>2016</w:t>
            </w:r>
          </w:p>
        </w:tc>
        <w:tc>
          <w:tcPr>
            <w:tcW w:w="1559" w:type="dxa"/>
            <w:shd w:val="clear" w:color="auto" w:fill="FFFFFF"/>
            <w:tcMar>
              <w:top w:w="0" w:type="dxa"/>
              <w:left w:w="85" w:type="dxa"/>
              <w:bottom w:w="0" w:type="dxa"/>
              <w:right w:w="85" w:type="dxa"/>
            </w:tcMar>
          </w:tcPr>
          <w:p w14:paraId="5241A15B" w14:textId="77777777" w:rsidR="00E87995" w:rsidRPr="009E06AA" w:rsidRDefault="00E87995" w:rsidP="00E770EF">
            <w:pPr>
              <w:pStyle w:val="TableText"/>
              <w:spacing w:before="30" w:after="30"/>
              <w:jc w:val="right"/>
            </w:pPr>
            <w:r w:rsidRPr="009E06AA">
              <w:rPr>
                <w:color w:val="000000"/>
              </w:rPr>
              <w:t>69.2</w:t>
            </w:r>
          </w:p>
        </w:tc>
        <w:tc>
          <w:tcPr>
            <w:tcW w:w="2124" w:type="dxa"/>
            <w:shd w:val="clear" w:color="auto" w:fill="FFFFFF"/>
            <w:tcMar>
              <w:top w:w="0" w:type="dxa"/>
              <w:left w:w="85" w:type="dxa"/>
              <w:bottom w:w="0" w:type="dxa"/>
              <w:right w:w="85" w:type="dxa"/>
            </w:tcMar>
          </w:tcPr>
          <w:p w14:paraId="3AD803CA" w14:textId="77777777" w:rsidR="00E87995" w:rsidRPr="009E06AA" w:rsidRDefault="00E87995" w:rsidP="00E770EF">
            <w:pPr>
              <w:pStyle w:val="TableText"/>
              <w:spacing w:before="30" w:after="30"/>
              <w:jc w:val="right"/>
            </w:pPr>
            <w:r w:rsidRPr="009E06AA">
              <w:rPr>
                <w:color w:val="000000"/>
              </w:rPr>
              <w:t>78.4</w:t>
            </w:r>
          </w:p>
        </w:tc>
        <w:tc>
          <w:tcPr>
            <w:tcW w:w="0" w:type="auto"/>
            <w:shd w:val="clear" w:color="auto" w:fill="FFFFFF"/>
            <w:tcMar>
              <w:top w:w="0" w:type="dxa"/>
              <w:left w:w="85" w:type="dxa"/>
              <w:bottom w:w="0" w:type="dxa"/>
              <w:right w:w="85" w:type="dxa"/>
            </w:tcMar>
          </w:tcPr>
          <w:p w14:paraId="0C162D29" w14:textId="77777777" w:rsidR="00E87995" w:rsidRPr="009E06AA" w:rsidRDefault="00E87995" w:rsidP="00E770EF">
            <w:pPr>
              <w:pStyle w:val="TableText"/>
              <w:spacing w:before="30" w:after="30"/>
              <w:jc w:val="right"/>
            </w:pPr>
            <w:r w:rsidRPr="009E06AA">
              <w:rPr>
                <w:color w:val="000000"/>
              </w:rPr>
              <w:t>5.4</w:t>
            </w:r>
          </w:p>
        </w:tc>
        <w:tc>
          <w:tcPr>
            <w:tcW w:w="0" w:type="auto"/>
            <w:shd w:val="clear" w:color="auto" w:fill="FFFFFF"/>
            <w:tcMar>
              <w:top w:w="0" w:type="dxa"/>
              <w:left w:w="85" w:type="dxa"/>
              <w:bottom w:w="0" w:type="dxa"/>
              <w:right w:w="85" w:type="dxa"/>
            </w:tcMar>
          </w:tcPr>
          <w:p w14:paraId="49CF2A07" w14:textId="77777777" w:rsidR="00E87995" w:rsidRPr="009E06AA" w:rsidRDefault="00E87995" w:rsidP="00E770EF">
            <w:pPr>
              <w:pStyle w:val="TableText"/>
              <w:spacing w:before="30" w:after="30"/>
              <w:jc w:val="right"/>
            </w:pPr>
            <w:r w:rsidRPr="009E06AA">
              <w:rPr>
                <w:color w:val="000000"/>
              </w:rPr>
              <w:t>153.0</w:t>
            </w:r>
          </w:p>
        </w:tc>
      </w:tr>
      <w:tr w:rsidR="00E87995" w:rsidRPr="009E06AA" w14:paraId="02AB58BD" w14:textId="77777777" w:rsidTr="00B55F24">
        <w:tc>
          <w:tcPr>
            <w:tcW w:w="993" w:type="dxa"/>
            <w:shd w:val="clear" w:color="auto" w:fill="FFFFFF"/>
            <w:tcMar>
              <w:top w:w="0" w:type="dxa"/>
              <w:left w:w="85" w:type="dxa"/>
              <w:bottom w:w="0" w:type="dxa"/>
              <w:right w:w="85" w:type="dxa"/>
            </w:tcMar>
          </w:tcPr>
          <w:p w14:paraId="3AE1EA2E" w14:textId="77777777" w:rsidR="00E87995" w:rsidRPr="009E06AA" w:rsidRDefault="00E87995" w:rsidP="00B55F24">
            <w:pPr>
              <w:pStyle w:val="TableTextBold"/>
              <w:spacing w:before="30" w:after="30"/>
              <w:rPr>
                <w:noProof w:val="0"/>
              </w:rPr>
            </w:pPr>
            <w:r w:rsidRPr="009E06AA">
              <w:rPr>
                <w:noProof w:val="0"/>
                <w:color w:val="1B556B"/>
              </w:rPr>
              <w:t>2017</w:t>
            </w:r>
          </w:p>
        </w:tc>
        <w:tc>
          <w:tcPr>
            <w:tcW w:w="1559" w:type="dxa"/>
            <w:shd w:val="clear" w:color="auto" w:fill="FFFFFF"/>
            <w:tcMar>
              <w:top w:w="0" w:type="dxa"/>
              <w:left w:w="85" w:type="dxa"/>
              <w:bottom w:w="0" w:type="dxa"/>
              <w:right w:w="85" w:type="dxa"/>
            </w:tcMar>
          </w:tcPr>
          <w:p w14:paraId="07E1B697" w14:textId="77777777" w:rsidR="00E87995" w:rsidRPr="009E06AA" w:rsidRDefault="00E87995" w:rsidP="00E770EF">
            <w:pPr>
              <w:pStyle w:val="TableText"/>
              <w:spacing w:before="30" w:after="30"/>
              <w:jc w:val="right"/>
            </w:pPr>
            <w:r w:rsidRPr="009E06AA">
              <w:rPr>
                <w:color w:val="000000"/>
              </w:rPr>
              <w:t>71.2</w:t>
            </w:r>
          </w:p>
        </w:tc>
        <w:tc>
          <w:tcPr>
            <w:tcW w:w="2124" w:type="dxa"/>
            <w:shd w:val="clear" w:color="auto" w:fill="FFFFFF"/>
            <w:tcMar>
              <w:top w:w="0" w:type="dxa"/>
              <w:left w:w="85" w:type="dxa"/>
              <w:bottom w:w="0" w:type="dxa"/>
              <w:right w:w="85" w:type="dxa"/>
            </w:tcMar>
          </w:tcPr>
          <w:p w14:paraId="79266417" w14:textId="77777777" w:rsidR="00E87995" w:rsidRPr="009E06AA" w:rsidRDefault="00E87995" w:rsidP="00E770EF">
            <w:pPr>
              <w:pStyle w:val="TableText"/>
              <w:spacing w:before="30" w:after="30"/>
              <w:jc w:val="right"/>
            </w:pPr>
            <w:r w:rsidRPr="009E06AA">
              <w:rPr>
                <w:color w:val="000000"/>
              </w:rPr>
              <w:t>78.6</w:t>
            </w:r>
          </w:p>
        </w:tc>
        <w:tc>
          <w:tcPr>
            <w:tcW w:w="0" w:type="auto"/>
            <w:shd w:val="clear" w:color="auto" w:fill="FFFFFF"/>
            <w:tcMar>
              <w:top w:w="0" w:type="dxa"/>
              <w:left w:w="85" w:type="dxa"/>
              <w:bottom w:w="0" w:type="dxa"/>
              <w:right w:w="85" w:type="dxa"/>
            </w:tcMar>
          </w:tcPr>
          <w:p w14:paraId="50DAD11F" w14:textId="77777777" w:rsidR="00E87995" w:rsidRPr="009E06AA" w:rsidRDefault="00E87995" w:rsidP="00E770EF">
            <w:pPr>
              <w:pStyle w:val="TableText"/>
              <w:spacing w:before="30" w:after="30"/>
              <w:jc w:val="right"/>
            </w:pPr>
            <w:r w:rsidRPr="009E06AA">
              <w:rPr>
                <w:color w:val="000000"/>
              </w:rPr>
              <w:t>4.9</w:t>
            </w:r>
          </w:p>
        </w:tc>
        <w:tc>
          <w:tcPr>
            <w:tcW w:w="0" w:type="auto"/>
            <w:shd w:val="clear" w:color="auto" w:fill="FFFFFF"/>
            <w:tcMar>
              <w:top w:w="0" w:type="dxa"/>
              <w:left w:w="85" w:type="dxa"/>
              <w:bottom w:w="0" w:type="dxa"/>
              <w:right w:w="85" w:type="dxa"/>
            </w:tcMar>
          </w:tcPr>
          <w:p w14:paraId="75957B62" w14:textId="77777777" w:rsidR="00E87995" w:rsidRPr="009E06AA" w:rsidRDefault="00E87995" w:rsidP="00E770EF">
            <w:pPr>
              <w:pStyle w:val="TableText"/>
              <w:spacing w:before="30" w:after="30"/>
              <w:jc w:val="right"/>
            </w:pPr>
            <w:r w:rsidRPr="009E06AA">
              <w:rPr>
                <w:color w:val="000000"/>
              </w:rPr>
              <w:t>154.7</w:t>
            </w:r>
          </w:p>
        </w:tc>
      </w:tr>
      <w:tr w:rsidR="00E87995" w:rsidRPr="009E06AA" w14:paraId="2B7A990C" w14:textId="77777777" w:rsidTr="00B55F24">
        <w:tc>
          <w:tcPr>
            <w:tcW w:w="993" w:type="dxa"/>
            <w:shd w:val="clear" w:color="auto" w:fill="FFFFFF"/>
            <w:tcMar>
              <w:top w:w="0" w:type="dxa"/>
              <w:left w:w="85" w:type="dxa"/>
              <w:bottom w:w="0" w:type="dxa"/>
              <w:right w:w="85" w:type="dxa"/>
            </w:tcMar>
          </w:tcPr>
          <w:p w14:paraId="02780123" w14:textId="77777777" w:rsidR="00E87995" w:rsidRPr="009E06AA" w:rsidRDefault="00E87995" w:rsidP="00B55F24">
            <w:pPr>
              <w:pStyle w:val="TableTextBold"/>
              <w:spacing w:before="30" w:after="30"/>
              <w:rPr>
                <w:noProof w:val="0"/>
              </w:rPr>
            </w:pPr>
            <w:r w:rsidRPr="009E06AA">
              <w:rPr>
                <w:noProof w:val="0"/>
                <w:color w:val="1B556B"/>
              </w:rPr>
              <w:t>2018</w:t>
            </w:r>
          </w:p>
        </w:tc>
        <w:tc>
          <w:tcPr>
            <w:tcW w:w="1559" w:type="dxa"/>
            <w:shd w:val="clear" w:color="auto" w:fill="FFFFFF"/>
            <w:tcMar>
              <w:top w:w="0" w:type="dxa"/>
              <w:left w:w="85" w:type="dxa"/>
              <w:bottom w:w="0" w:type="dxa"/>
              <w:right w:w="85" w:type="dxa"/>
            </w:tcMar>
          </w:tcPr>
          <w:p w14:paraId="50D05137" w14:textId="77777777" w:rsidR="00E87995" w:rsidRPr="009E06AA" w:rsidRDefault="00E87995" w:rsidP="00E770EF">
            <w:pPr>
              <w:pStyle w:val="TableText"/>
              <w:spacing w:before="30" w:after="30"/>
              <w:jc w:val="right"/>
            </w:pPr>
            <w:r w:rsidRPr="009E06AA">
              <w:rPr>
                <w:color w:val="000000"/>
              </w:rPr>
              <w:t>72.7</w:t>
            </w:r>
          </w:p>
        </w:tc>
        <w:tc>
          <w:tcPr>
            <w:tcW w:w="2124" w:type="dxa"/>
            <w:shd w:val="clear" w:color="auto" w:fill="FFFFFF"/>
            <w:tcMar>
              <w:top w:w="0" w:type="dxa"/>
              <w:left w:w="85" w:type="dxa"/>
              <w:bottom w:w="0" w:type="dxa"/>
              <w:right w:w="85" w:type="dxa"/>
            </w:tcMar>
          </w:tcPr>
          <w:p w14:paraId="62C88FFA" w14:textId="77777777" w:rsidR="00E87995" w:rsidRPr="009E06AA" w:rsidRDefault="00E87995" w:rsidP="00E770EF">
            <w:pPr>
              <w:pStyle w:val="TableText"/>
              <w:spacing w:before="30" w:after="30"/>
              <w:jc w:val="right"/>
            </w:pPr>
            <w:r w:rsidRPr="009E06AA">
              <w:rPr>
                <w:color w:val="000000"/>
              </w:rPr>
              <w:t>77.2</w:t>
            </w:r>
          </w:p>
        </w:tc>
        <w:tc>
          <w:tcPr>
            <w:tcW w:w="0" w:type="auto"/>
            <w:shd w:val="clear" w:color="auto" w:fill="FFFFFF"/>
            <w:tcMar>
              <w:top w:w="0" w:type="dxa"/>
              <w:left w:w="85" w:type="dxa"/>
              <w:bottom w:w="0" w:type="dxa"/>
              <w:right w:w="85" w:type="dxa"/>
            </w:tcMar>
          </w:tcPr>
          <w:p w14:paraId="43485CAF" w14:textId="77777777" w:rsidR="00E87995" w:rsidRPr="009E06AA" w:rsidRDefault="00E87995" w:rsidP="00E770EF">
            <w:pPr>
              <w:pStyle w:val="TableText"/>
              <w:spacing w:before="30" w:after="30"/>
              <w:jc w:val="right"/>
            </w:pPr>
            <w:r w:rsidRPr="009E06AA">
              <w:rPr>
                <w:color w:val="000000"/>
              </w:rPr>
              <w:t>5.2</w:t>
            </w:r>
          </w:p>
        </w:tc>
        <w:tc>
          <w:tcPr>
            <w:tcW w:w="0" w:type="auto"/>
            <w:shd w:val="clear" w:color="auto" w:fill="FFFFFF"/>
            <w:tcMar>
              <w:top w:w="0" w:type="dxa"/>
              <w:left w:w="85" w:type="dxa"/>
              <w:bottom w:w="0" w:type="dxa"/>
              <w:right w:w="85" w:type="dxa"/>
            </w:tcMar>
          </w:tcPr>
          <w:p w14:paraId="4A1890DF" w14:textId="77777777" w:rsidR="00E87995" w:rsidRPr="009E06AA" w:rsidRDefault="00E87995" w:rsidP="00E770EF">
            <w:pPr>
              <w:pStyle w:val="TableText"/>
              <w:spacing w:before="30" w:after="30"/>
              <w:jc w:val="right"/>
            </w:pPr>
            <w:r w:rsidRPr="009E06AA">
              <w:rPr>
                <w:color w:val="000000"/>
              </w:rPr>
              <w:t>155.2</w:t>
            </w:r>
          </w:p>
        </w:tc>
      </w:tr>
      <w:tr w:rsidR="00E87995" w:rsidRPr="009E06AA" w14:paraId="7D88BA2E" w14:textId="77777777" w:rsidTr="00B55F24">
        <w:tc>
          <w:tcPr>
            <w:tcW w:w="993" w:type="dxa"/>
            <w:shd w:val="clear" w:color="auto" w:fill="FFFFFF"/>
            <w:tcMar>
              <w:top w:w="0" w:type="dxa"/>
              <w:left w:w="85" w:type="dxa"/>
              <w:bottom w:w="0" w:type="dxa"/>
              <w:right w:w="85" w:type="dxa"/>
            </w:tcMar>
          </w:tcPr>
          <w:p w14:paraId="194E39A1" w14:textId="77777777" w:rsidR="00E87995" w:rsidRPr="009E06AA" w:rsidRDefault="00E87995" w:rsidP="00B55F24">
            <w:pPr>
              <w:pStyle w:val="TableTextBold"/>
              <w:spacing w:before="30" w:after="30"/>
              <w:rPr>
                <w:noProof w:val="0"/>
              </w:rPr>
            </w:pPr>
            <w:r w:rsidRPr="009E06AA">
              <w:rPr>
                <w:noProof w:val="0"/>
                <w:color w:val="1B556B"/>
              </w:rPr>
              <w:t>2019</w:t>
            </w:r>
          </w:p>
        </w:tc>
        <w:tc>
          <w:tcPr>
            <w:tcW w:w="1559" w:type="dxa"/>
            <w:shd w:val="clear" w:color="auto" w:fill="FFFFFF"/>
            <w:tcMar>
              <w:top w:w="0" w:type="dxa"/>
              <w:left w:w="85" w:type="dxa"/>
              <w:bottom w:w="0" w:type="dxa"/>
              <w:right w:w="85" w:type="dxa"/>
            </w:tcMar>
          </w:tcPr>
          <w:p w14:paraId="690587EA" w14:textId="77777777" w:rsidR="00E87995" w:rsidRPr="009E06AA" w:rsidRDefault="00E87995" w:rsidP="00E770EF">
            <w:pPr>
              <w:pStyle w:val="TableText"/>
              <w:spacing w:before="30" w:after="30"/>
              <w:jc w:val="right"/>
            </w:pPr>
            <w:r w:rsidRPr="009E06AA">
              <w:rPr>
                <w:color w:val="000000"/>
              </w:rPr>
              <w:t>73.0</w:t>
            </w:r>
          </w:p>
        </w:tc>
        <w:tc>
          <w:tcPr>
            <w:tcW w:w="2124" w:type="dxa"/>
            <w:shd w:val="clear" w:color="auto" w:fill="FFFFFF"/>
            <w:tcMar>
              <w:top w:w="0" w:type="dxa"/>
              <w:left w:w="85" w:type="dxa"/>
              <w:bottom w:w="0" w:type="dxa"/>
              <w:right w:w="85" w:type="dxa"/>
            </w:tcMar>
          </w:tcPr>
          <w:p w14:paraId="143BFF37" w14:textId="77777777" w:rsidR="00E87995" w:rsidRPr="009E06AA" w:rsidRDefault="00E87995" w:rsidP="00E770EF">
            <w:pPr>
              <w:pStyle w:val="TableText"/>
              <w:spacing w:before="30" w:after="30"/>
              <w:jc w:val="right"/>
            </w:pPr>
            <w:r w:rsidRPr="009E06AA">
              <w:rPr>
                <w:color w:val="000000"/>
              </w:rPr>
              <w:t>77.7</w:t>
            </w:r>
          </w:p>
        </w:tc>
        <w:tc>
          <w:tcPr>
            <w:tcW w:w="0" w:type="auto"/>
            <w:shd w:val="clear" w:color="auto" w:fill="FFFFFF"/>
            <w:tcMar>
              <w:top w:w="0" w:type="dxa"/>
              <w:left w:w="85" w:type="dxa"/>
              <w:bottom w:w="0" w:type="dxa"/>
              <w:right w:w="85" w:type="dxa"/>
            </w:tcMar>
          </w:tcPr>
          <w:p w14:paraId="5CBAA756" w14:textId="77777777" w:rsidR="00E87995" w:rsidRPr="009E06AA" w:rsidRDefault="00E87995" w:rsidP="00E770EF">
            <w:pPr>
              <w:pStyle w:val="TableText"/>
              <w:spacing w:before="30" w:after="30"/>
              <w:jc w:val="right"/>
            </w:pPr>
            <w:r w:rsidRPr="009E06AA">
              <w:rPr>
                <w:color w:val="000000"/>
              </w:rPr>
              <w:t>5.1</w:t>
            </w:r>
          </w:p>
        </w:tc>
        <w:tc>
          <w:tcPr>
            <w:tcW w:w="0" w:type="auto"/>
            <w:shd w:val="clear" w:color="auto" w:fill="FFFFFF"/>
            <w:tcMar>
              <w:top w:w="0" w:type="dxa"/>
              <w:left w:w="85" w:type="dxa"/>
              <w:bottom w:w="0" w:type="dxa"/>
              <w:right w:w="85" w:type="dxa"/>
            </w:tcMar>
          </w:tcPr>
          <w:p w14:paraId="7FB27D95" w14:textId="77777777" w:rsidR="00E87995" w:rsidRPr="009E06AA" w:rsidRDefault="00E87995" w:rsidP="00E770EF">
            <w:pPr>
              <w:pStyle w:val="TableText"/>
              <w:spacing w:before="30" w:after="30"/>
              <w:jc w:val="right"/>
            </w:pPr>
            <w:r w:rsidRPr="009E06AA">
              <w:rPr>
                <w:color w:val="000000"/>
              </w:rPr>
              <w:t>155.8</w:t>
            </w:r>
          </w:p>
        </w:tc>
      </w:tr>
      <w:tr w:rsidR="00E87995" w:rsidRPr="009E06AA" w14:paraId="5E03A783" w14:textId="77777777" w:rsidTr="00B55F24">
        <w:tc>
          <w:tcPr>
            <w:tcW w:w="993" w:type="dxa"/>
            <w:shd w:val="clear" w:color="auto" w:fill="FFFFFF"/>
            <w:tcMar>
              <w:top w:w="0" w:type="dxa"/>
              <w:left w:w="85" w:type="dxa"/>
              <w:bottom w:w="0" w:type="dxa"/>
              <w:right w:w="85" w:type="dxa"/>
            </w:tcMar>
          </w:tcPr>
          <w:p w14:paraId="015B7D10" w14:textId="77777777" w:rsidR="00E87995" w:rsidRPr="009E06AA" w:rsidRDefault="00E87995" w:rsidP="00B55F24">
            <w:pPr>
              <w:pStyle w:val="TableTextBold"/>
              <w:spacing w:before="30" w:after="30"/>
              <w:rPr>
                <w:noProof w:val="0"/>
              </w:rPr>
            </w:pPr>
            <w:r w:rsidRPr="009E06AA">
              <w:rPr>
                <w:noProof w:val="0"/>
                <w:color w:val="1B556B"/>
              </w:rPr>
              <w:t>2020</w:t>
            </w:r>
          </w:p>
        </w:tc>
        <w:tc>
          <w:tcPr>
            <w:tcW w:w="1559" w:type="dxa"/>
            <w:shd w:val="clear" w:color="auto" w:fill="FFFFFF"/>
            <w:tcMar>
              <w:top w:w="0" w:type="dxa"/>
              <w:left w:w="85" w:type="dxa"/>
              <w:bottom w:w="0" w:type="dxa"/>
              <w:right w:w="85" w:type="dxa"/>
            </w:tcMar>
          </w:tcPr>
          <w:p w14:paraId="2DD97627" w14:textId="77777777" w:rsidR="00E87995" w:rsidRPr="009E06AA" w:rsidRDefault="00E87995" w:rsidP="00E770EF">
            <w:pPr>
              <w:pStyle w:val="TableText"/>
              <w:spacing w:before="30" w:after="30"/>
              <w:jc w:val="right"/>
            </w:pPr>
            <w:r w:rsidRPr="009E06AA">
              <w:rPr>
                <w:color w:val="000000"/>
              </w:rPr>
              <w:t>73.8</w:t>
            </w:r>
          </w:p>
        </w:tc>
        <w:tc>
          <w:tcPr>
            <w:tcW w:w="2124" w:type="dxa"/>
            <w:shd w:val="clear" w:color="auto" w:fill="FFFFFF"/>
            <w:tcMar>
              <w:top w:w="0" w:type="dxa"/>
              <w:left w:w="85" w:type="dxa"/>
              <w:bottom w:w="0" w:type="dxa"/>
              <w:right w:w="85" w:type="dxa"/>
            </w:tcMar>
          </w:tcPr>
          <w:p w14:paraId="0A967783" w14:textId="77777777" w:rsidR="00E87995" w:rsidRPr="009E06AA" w:rsidRDefault="00E87995" w:rsidP="00E770EF">
            <w:pPr>
              <w:pStyle w:val="TableText"/>
              <w:spacing w:before="30" w:after="30"/>
              <w:jc w:val="right"/>
            </w:pPr>
            <w:r w:rsidRPr="009E06AA">
              <w:rPr>
                <w:color w:val="000000"/>
              </w:rPr>
              <w:t>71.8</w:t>
            </w:r>
          </w:p>
        </w:tc>
        <w:tc>
          <w:tcPr>
            <w:tcW w:w="0" w:type="auto"/>
            <w:shd w:val="clear" w:color="auto" w:fill="FFFFFF"/>
            <w:tcMar>
              <w:top w:w="0" w:type="dxa"/>
              <w:left w:w="85" w:type="dxa"/>
              <w:bottom w:w="0" w:type="dxa"/>
              <w:right w:w="85" w:type="dxa"/>
            </w:tcMar>
          </w:tcPr>
          <w:p w14:paraId="49738430" w14:textId="77777777" w:rsidR="00E87995" w:rsidRPr="009E06AA" w:rsidRDefault="00E87995" w:rsidP="00E770EF">
            <w:pPr>
              <w:pStyle w:val="TableText"/>
              <w:spacing w:before="30" w:after="30"/>
              <w:jc w:val="right"/>
            </w:pPr>
            <w:r w:rsidRPr="009E06AA">
              <w:rPr>
                <w:color w:val="000000"/>
              </w:rPr>
              <w:t>5.7</w:t>
            </w:r>
          </w:p>
        </w:tc>
        <w:tc>
          <w:tcPr>
            <w:tcW w:w="0" w:type="auto"/>
            <w:shd w:val="clear" w:color="auto" w:fill="FFFFFF"/>
            <w:tcMar>
              <w:top w:w="0" w:type="dxa"/>
              <w:left w:w="85" w:type="dxa"/>
              <w:bottom w:w="0" w:type="dxa"/>
              <w:right w:w="85" w:type="dxa"/>
            </w:tcMar>
          </w:tcPr>
          <w:p w14:paraId="6FA31258" w14:textId="77777777" w:rsidR="00E87995" w:rsidRPr="009E06AA" w:rsidRDefault="00E87995" w:rsidP="00E770EF">
            <w:pPr>
              <w:pStyle w:val="TableText"/>
              <w:spacing w:before="30" w:after="30"/>
              <w:jc w:val="right"/>
            </w:pPr>
            <w:r w:rsidRPr="009E06AA">
              <w:rPr>
                <w:color w:val="000000"/>
              </w:rPr>
              <w:t>151.2</w:t>
            </w:r>
          </w:p>
        </w:tc>
      </w:tr>
      <w:tr w:rsidR="00E87995" w:rsidRPr="009E06AA" w14:paraId="03ED95F9" w14:textId="77777777" w:rsidTr="00B55F24">
        <w:tc>
          <w:tcPr>
            <w:tcW w:w="993" w:type="dxa"/>
            <w:shd w:val="clear" w:color="auto" w:fill="FFFFFF"/>
            <w:tcMar>
              <w:top w:w="0" w:type="dxa"/>
              <w:left w:w="85" w:type="dxa"/>
              <w:bottom w:w="0" w:type="dxa"/>
              <w:right w:w="85" w:type="dxa"/>
            </w:tcMar>
          </w:tcPr>
          <w:p w14:paraId="4D3E3C02" w14:textId="77777777" w:rsidR="00E87995" w:rsidRPr="009E06AA" w:rsidRDefault="00E87995" w:rsidP="00B55F24">
            <w:pPr>
              <w:pStyle w:val="TableTextBold"/>
              <w:spacing w:before="30" w:after="30"/>
              <w:rPr>
                <w:noProof w:val="0"/>
              </w:rPr>
            </w:pPr>
            <w:r w:rsidRPr="009E06AA">
              <w:rPr>
                <w:noProof w:val="0"/>
                <w:color w:val="1B556B"/>
              </w:rPr>
              <w:t>2021</w:t>
            </w:r>
          </w:p>
        </w:tc>
        <w:tc>
          <w:tcPr>
            <w:tcW w:w="1559" w:type="dxa"/>
            <w:shd w:val="clear" w:color="auto" w:fill="FFFFFF"/>
            <w:tcMar>
              <w:top w:w="0" w:type="dxa"/>
              <w:left w:w="85" w:type="dxa"/>
              <w:bottom w:w="0" w:type="dxa"/>
              <w:right w:w="85" w:type="dxa"/>
            </w:tcMar>
          </w:tcPr>
          <w:p w14:paraId="6790F663" w14:textId="77777777" w:rsidR="00E87995" w:rsidRPr="009E06AA" w:rsidRDefault="00E87995" w:rsidP="00E770EF">
            <w:pPr>
              <w:pStyle w:val="TableText"/>
              <w:spacing w:before="30" w:after="30"/>
              <w:jc w:val="right"/>
            </w:pPr>
            <w:r w:rsidRPr="009E06AA">
              <w:rPr>
                <w:color w:val="000000"/>
              </w:rPr>
              <w:t>74.6</w:t>
            </w:r>
          </w:p>
        </w:tc>
        <w:tc>
          <w:tcPr>
            <w:tcW w:w="2124" w:type="dxa"/>
            <w:shd w:val="clear" w:color="auto" w:fill="FFFFFF"/>
            <w:tcMar>
              <w:top w:w="0" w:type="dxa"/>
              <w:left w:w="85" w:type="dxa"/>
              <w:bottom w:w="0" w:type="dxa"/>
              <w:right w:w="85" w:type="dxa"/>
            </w:tcMar>
          </w:tcPr>
          <w:p w14:paraId="3F490FC1" w14:textId="77777777" w:rsidR="00E87995" w:rsidRPr="009E06AA" w:rsidRDefault="00E87995" w:rsidP="00E770EF">
            <w:pPr>
              <w:pStyle w:val="TableText"/>
              <w:spacing w:before="30" w:after="30"/>
              <w:jc w:val="right"/>
            </w:pPr>
            <w:r w:rsidRPr="009E06AA">
              <w:rPr>
                <w:color w:val="000000"/>
              </w:rPr>
              <w:t>68.2</w:t>
            </w:r>
          </w:p>
        </w:tc>
        <w:tc>
          <w:tcPr>
            <w:tcW w:w="0" w:type="auto"/>
            <w:shd w:val="clear" w:color="auto" w:fill="FFFFFF"/>
            <w:tcMar>
              <w:top w:w="0" w:type="dxa"/>
              <w:left w:w="85" w:type="dxa"/>
              <w:bottom w:w="0" w:type="dxa"/>
              <w:right w:w="85" w:type="dxa"/>
            </w:tcMar>
          </w:tcPr>
          <w:p w14:paraId="70EE2625" w14:textId="77777777" w:rsidR="00E87995" w:rsidRPr="009E06AA" w:rsidRDefault="00E87995" w:rsidP="00E770EF">
            <w:pPr>
              <w:pStyle w:val="TableText"/>
              <w:spacing w:before="30" w:after="30"/>
              <w:jc w:val="right"/>
            </w:pPr>
            <w:r w:rsidRPr="009E06AA">
              <w:rPr>
                <w:color w:val="000000"/>
              </w:rPr>
              <w:t>4.6</w:t>
            </w:r>
          </w:p>
        </w:tc>
        <w:tc>
          <w:tcPr>
            <w:tcW w:w="0" w:type="auto"/>
            <w:shd w:val="clear" w:color="auto" w:fill="FFFFFF"/>
            <w:tcMar>
              <w:top w:w="0" w:type="dxa"/>
              <w:left w:w="85" w:type="dxa"/>
              <w:bottom w:w="0" w:type="dxa"/>
              <w:right w:w="85" w:type="dxa"/>
            </w:tcMar>
          </w:tcPr>
          <w:p w14:paraId="7B3A3AC5" w14:textId="77777777" w:rsidR="00E87995" w:rsidRPr="009E06AA" w:rsidRDefault="00E87995" w:rsidP="00E770EF">
            <w:pPr>
              <w:pStyle w:val="TableText"/>
              <w:spacing w:before="30" w:after="30"/>
              <w:jc w:val="right"/>
            </w:pPr>
            <w:r w:rsidRPr="009E06AA">
              <w:rPr>
                <w:color w:val="000000"/>
              </w:rPr>
              <w:t>147.4</w:t>
            </w:r>
          </w:p>
        </w:tc>
      </w:tr>
      <w:tr w:rsidR="00E87995" w:rsidRPr="009E06AA" w14:paraId="2D2429AF" w14:textId="77777777" w:rsidTr="00B55F24">
        <w:tc>
          <w:tcPr>
            <w:tcW w:w="993" w:type="dxa"/>
            <w:shd w:val="clear" w:color="auto" w:fill="FFFFFF"/>
            <w:tcMar>
              <w:top w:w="0" w:type="dxa"/>
              <w:left w:w="85" w:type="dxa"/>
              <w:bottom w:w="0" w:type="dxa"/>
              <w:right w:w="85" w:type="dxa"/>
            </w:tcMar>
          </w:tcPr>
          <w:p w14:paraId="4C9F356B" w14:textId="77777777" w:rsidR="00E87995" w:rsidRPr="009E06AA" w:rsidRDefault="00E87995" w:rsidP="00B55F24">
            <w:pPr>
              <w:pStyle w:val="TableTextBold"/>
              <w:spacing w:before="30" w:after="30"/>
              <w:rPr>
                <w:noProof w:val="0"/>
              </w:rPr>
            </w:pPr>
            <w:r w:rsidRPr="009E06AA">
              <w:rPr>
                <w:rFonts w:eastAsia="Calibri" w:cs="Calibri"/>
                <w:noProof w:val="0"/>
                <w:color w:val="1B556B"/>
                <w:szCs w:val="16"/>
              </w:rPr>
              <w:t>2022</w:t>
            </w:r>
          </w:p>
        </w:tc>
        <w:tc>
          <w:tcPr>
            <w:tcW w:w="1559" w:type="dxa"/>
            <w:shd w:val="clear" w:color="auto" w:fill="FFFFFF"/>
            <w:tcMar>
              <w:top w:w="0" w:type="dxa"/>
              <w:left w:w="85" w:type="dxa"/>
              <w:bottom w:w="0" w:type="dxa"/>
              <w:right w:w="85" w:type="dxa"/>
            </w:tcMar>
          </w:tcPr>
          <w:p w14:paraId="12D11A0C" w14:textId="77777777" w:rsidR="00E87995" w:rsidRPr="009E06AA" w:rsidRDefault="00E87995" w:rsidP="00E770EF">
            <w:pPr>
              <w:pStyle w:val="TableText"/>
              <w:spacing w:before="30" w:after="30"/>
              <w:jc w:val="right"/>
            </w:pPr>
            <w:r w:rsidRPr="009E06AA">
              <w:rPr>
                <w:rFonts w:eastAsia="Calibri" w:cs="Calibri"/>
                <w:color w:val="000000"/>
                <w:szCs w:val="16"/>
              </w:rPr>
              <w:t>72.7</w:t>
            </w:r>
          </w:p>
        </w:tc>
        <w:tc>
          <w:tcPr>
            <w:tcW w:w="2124" w:type="dxa"/>
            <w:shd w:val="clear" w:color="auto" w:fill="FFFFFF"/>
            <w:tcMar>
              <w:top w:w="0" w:type="dxa"/>
              <w:left w:w="85" w:type="dxa"/>
              <w:bottom w:w="0" w:type="dxa"/>
              <w:right w:w="85" w:type="dxa"/>
            </w:tcMar>
          </w:tcPr>
          <w:p w14:paraId="7AE0FF78" w14:textId="77777777" w:rsidR="00E87995" w:rsidRPr="009E06AA" w:rsidRDefault="00E87995" w:rsidP="00E770EF">
            <w:pPr>
              <w:pStyle w:val="TableText"/>
              <w:spacing w:before="30" w:after="30"/>
              <w:jc w:val="right"/>
            </w:pPr>
            <w:r w:rsidRPr="009E06AA">
              <w:rPr>
                <w:rFonts w:eastAsia="Calibri" w:cs="Calibri"/>
                <w:color w:val="000000"/>
                <w:szCs w:val="16"/>
              </w:rPr>
              <w:t>61.0</w:t>
            </w:r>
          </w:p>
        </w:tc>
        <w:tc>
          <w:tcPr>
            <w:tcW w:w="0" w:type="auto"/>
            <w:shd w:val="clear" w:color="auto" w:fill="FFFFFF"/>
            <w:tcMar>
              <w:top w:w="0" w:type="dxa"/>
              <w:left w:w="85" w:type="dxa"/>
              <w:bottom w:w="0" w:type="dxa"/>
              <w:right w:w="85" w:type="dxa"/>
            </w:tcMar>
          </w:tcPr>
          <w:p w14:paraId="24B598E1" w14:textId="77777777" w:rsidR="00E87995" w:rsidRPr="009E06AA" w:rsidRDefault="00E87995" w:rsidP="00E770EF">
            <w:pPr>
              <w:pStyle w:val="TableText"/>
              <w:spacing w:before="30" w:after="30"/>
              <w:jc w:val="right"/>
            </w:pPr>
            <w:r w:rsidRPr="009E06AA">
              <w:rPr>
                <w:rFonts w:eastAsia="Calibri" w:cs="Calibri"/>
                <w:color w:val="000000"/>
                <w:szCs w:val="16"/>
              </w:rPr>
              <w:t>6.6</w:t>
            </w:r>
          </w:p>
        </w:tc>
        <w:tc>
          <w:tcPr>
            <w:tcW w:w="0" w:type="auto"/>
            <w:shd w:val="clear" w:color="auto" w:fill="FFFFFF"/>
            <w:tcMar>
              <w:top w:w="0" w:type="dxa"/>
              <w:left w:w="85" w:type="dxa"/>
              <w:bottom w:w="0" w:type="dxa"/>
              <w:right w:w="85" w:type="dxa"/>
            </w:tcMar>
          </w:tcPr>
          <w:p w14:paraId="65B6B3FF" w14:textId="77777777" w:rsidR="00E87995" w:rsidRPr="009E06AA" w:rsidRDefault="00E87995" w:rsidP="00E770EF">
            <w:pPr>
              <w:pStyle w:val="TableText"/>
              <w:spacing w:before="30" w:after="30"/>
              <w:jc w:val="right"/>
            </w:pPr>
            <w:r w:rsidRPr="009E06AA">
              <w:rPr>
                <w:rFonts w:eastAsia="Calibri" w:cs="Calibri"/>
                <w:color w:val="000000"/>
                <w:szCs w:val="16"/>
              </w:rPr>
              <w:t>140.3</w:t>
            </w:r>
          </w:p>
        </w:tc>
      </w:tr>
    </w:tbl>
    <w:p w14:paraId="5F5FF590" w14:textId="77777777" w:rsidR="00E87995" w:rsidRPr="009E06AA" w:rsidRDefault="00E87995" w:rsidP="00E87995">
      <w:pPr>
        <w:pStyle w:val="Noteundertable"/>
      </w:pPr>
      <w:r w:rsidRPr="009E06AA">
        <w:rPr>
          <w:b/>
          <w:bCs/>
        </w:rPr>
        <w:t>Note:</w:t>
      </w:r>
      <w:r w:rsidRPr="009E06AA">
        <w:tab/>
        <w:t>TOW = total organic product in wastewater. Columns may not total due to rounding.</w:t>
      </w:r>
    </w:p>
    <w:p w14:paraId="7F5C9117" w14:textId="77777777" w:rsidR="00E87995" w:rsidRPr="009E06AA" w:rsidRDefault="00E87995" w:rsidP="00E87995">
      <w:pPr>
        <w:pStyle w:val="BodyText"/>
      </w:pPr>
      <w:r w:rsidRPr="009E06AA">
        <w:t>Table 7.5.4 reports the activity data for the total nitrogen in effluent from industrial wastewater.</w:t>
      </w:r>
    </w:p>
    <w:p w14:paraId="1D372242" w14:textId="29784964" w:rsidR="00E87995" w:rsidRPr="009E06AA" w:rsidRDefault="00E87995" w:rsidP="00E87995">
      <w:pPr>
        <w:pStyle w:val="Table"/>
      </w:pPr>
      <w:bookmarkStart w:id="2999" w:name="_Toc128383682"/>
      <w:bookmarkStart w:id="3000" w:name="_Toc131591455"/>
      <w:bookmarkStart w:id="3001" w:name="_Toc160537334"/>
      <w:bookmarkStart w:id="3002" w:name="_Toc160537696"/>
      <w:bookmarkStart w:id="3003" w:name="_Toc164153946"/>
      <w:r w:rsidRPr="009E06AA">
        <w:t>Table 7.5.4</w:t>
      </w:r>
      <w:r w:rsidRPr="009E06AA">
        <w:tab/>
        <w:t>Nitrogen (N) in effluent from industrial wastewater</w:t>
      </w:r>
      <w:r w:rsidR="00A01BF9" w:rsidRPr="009E06AA">
        <w:t>,</w:t>
      </w:r>
      <w:r w:rsidRPr="009E06AA">
        <w:t xml:space="preserve"> from 1990 to </w:t>
      </w:r>
      <w:bookmarkEnd w:id="2999"/>
      <w:bookmarkEnd w:id="3000"/>
      <w:r w:rsidRPr="009E06AA">
        <w:t>2022</w:t>
      </w:r>
      <w:bookmarkEnd w:id="3001"/>
      <w:bookmarkEnd w:id="3002"/>
      <w:bookmarkEnd w:id="3003"/>
    </w:p>
    <w:tbl>
      <w:tblPr>
        <w:tblW w:w="8505"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567"/>
        <w:gridCol w:w="1980"/>
        <w:gridCol w:w="1246"/>
        <w:gridCol w:w="1639"/>
        <w:gridCol w:w="1515"/>
        <w:gridCol w:w="1558"/>
      </w:tblGrid>
      <w:tr w:rsidR="00E87995" w:rsidRPr="009E06AA" w14:paraId="79FBF685" w14:textId="77777777" w:rsidTr="00B55F24">
        <w:trPr>
          <w:tblHeader/>
        </w:trPr>
        <w:tc>
          <w:tcPr>
            <w:tcW w:w="567" w:type="dxa"/>
            <w:shd w:val="clear" w:color="auto" w:fill="1B556B"/>
            <w:tcMar>
              <w:top w:w="0" w:type="dxa"/>
              <w:left w:w="85" w:type="dxa"/>
              <w:bottom w:w="0" w:type="dxa"/>
              <w:right w:w="85" w:type="dxa"/>
            </w:tcMar>
            <w:vAlign w:val="bottom"/>
          </w:tcPr>
          <w:p w14:paraId="6729FE0A" w14:textId="77777777" w:rsidR="00E87995" w:rsidRPr="009E06AA" w:rsidRDefault="00E87995" w:rsidP="00B55F24">
            <w:pPr>
              <w:pStyle w:val="TableTextBold"/>
              <w:spacing w:before="30" w:after="30"/>
              <w:rPr>
                <w:noProof w:val="0"/>
                <w:color w:val="FFFFFF" w:themeColor="background1"/>
              </w:rPr>
            </w:pPr>
            <w:r w:rsidRPr="009E06AA">
              <w:rPr>
                <w:noProof w:val="0"/>
                <w:color w:val="FFFFFF" w:themeColor="background1"/>
              </w:rPr>
              <w:t>Year</w:t>
            </w:r>
          </w:p>
        </w:tc>
        <w:tc>
          <w:tcPr>
            <w:tcW w:w="1980" w:type="dxa"/>
            <w:shd w:val="clear" w:color="auto" w:fill="1B556B"/>
            <w:tcMar>
              <w:top w:w="0" w:type="dxa"/>
              <w:left w:w="85" w:type="dxa"/>
              <w:bottom w:w="0" w:type="dxa"/>
              <w:right w:w="85" w:type="dxa"/>
            </w:tcMar>
            <w:vAlign w:val="bottom"/>
          </w:tcPr>
          <w:p w14:paraId="5103AB16" w14:textId="77777777" w:rsidR="00E87995" w:rsidRPr="009E06AA" w:rsidRDefault="00E87995" w:rsidP="00E770EF">
            <w:pPr>
              <w:pStyle w:val="TableTextBold"/>
              <w:spacing w:before="30" w:after="30"/>
              <w:jc w:val="right"/>
              <w:rPr>
                <w:noProof w:val="0"/>
                <w:color w:val="FFFFFF" w:themeColor="background1"/>
              </w:rPr>
            </w:pPr>
            <w:r w:rsidRPr="009E06AA">
              <w:rPr>
                <w:noProof w:val="0"/>
                <w:color w:val="FFFFFF" w:themeColor="background1"/>
              </w:rPr>
              <w:t>Meat industries (excl poultry) N in effluent (kt)</w:t>
            </w:r>
          </w:p>
        </w:tc>
        <w:tc>
          <w:tcPr>
            <w:tcW w:w="0" w:type="auto"/>
            <w:shd w:val="clear" w:color="auto" w:fill="1B556B"/>
            <w:tcMar>
              <w:top w:w="0" w:type="dxa"/>
              <w:left w:w="85" w:type="dxa"/>
              <w:bottom w:w="0" w:type="dxa"/>
              <w:right w:w="85" w:type="dxa"/>
            </w:tcMar>
            <w:vAlign w:val="bottom"/>
          </w:tcPr>
          <w:p w14:paraId="14C74296" w14:textId="77777777" w:rsidR="00E87995" w:rsidRPr="009E06AA" w:rsidRDefault="00E87995" w:rsidP="00E770EF">
            <w:pPr>
              <w:pStyle w:val="TableTextBold"/>
              <w:spacing w:before="30" w:after="30"/>
              <w:jc w:val="right"/>
              <w:rPr>
                <w:noProof w:val="0"/>
                <w:color w:val="FFFFFF" w:themeColor="background1"/>
              </w:rPr>
            </w:pPr>
            <w:r w:rsidRPr="009E06AA">
              <w:rPr>
                <w:noProof w:val="0"/>
                <w:color w:val="FFFFFF" w:themeColor="background1"/>
              </w:rPr>
              <w:t>Poultry N in effluent (kt)</w:t>
            </w:r>
          </w:p>
        </w:tc>
        <w:tc>
          <w:tcPr>
            <w:tcW w:w="0" w:type="auto"/>
            <w:shd w:val="clear" w:color="auto" w:fill="1B556B"/>
            <w:tcMar>
              <w:top w:w="0" w:type="dxa"/>
              <w:left w:w="85" w:type="dxa"/>
              <w:bottom w:w="0" w:type="dxa"/>
              <w:right w:w="85" w:type="dxa"/>
            </w:tcMar>
            <w:vAlign w:val="bottom"/>
          </w:tcPr>
          <w:p w14:paraId="3B5234EE" w14:textId="77777777" w:rsidR="00E87995" w:rsidRPr="009E06AA" w:rsidRDefault="00E87995" w:rsidP="00E770EF">
            <w:pPr>
              <w:pStyle w:val="TableTextBold"/>
              <w:spacing w:before="30" w:after="30"/>
              <w:jc w:val="right"/>
              <w:rPr>
                <w:noProof w:val="0"/>
                <w:color w:val="FFFFFF" w:themeColor="background1"/>
              </w:rPr>
            </w:pPr>
            <w:r w:rsidRPr="009E06AA">
              <w:rPr>
                <w:noProof w:val="0"/>
                <w:color w:val="FFFFFF" w:themeColor="background1"/>
              </w:rPr>
              <w:t>Dairy processing N in effluent (kt)</w:t>
            </w:r>
          </w:p>
        </w:tc>
        <w:tc>
          <w:tcPr>
            <w:tcW w:w="0" w:type="auto"/>
            <w:shd w:val="clear" w:color="auto" w:fill="1B556B"/>
            <w:tcMar>
              <w:top w:w="0" w:type="dxa"/>
              <w:left w:w="85" w:type="dxa"/>
              <w:bottom w:w="0" w:type="dxa"/>
              <w:right w:w="85" w:type="dxa"/>
            </w:tcMar>
            <w:vAlign w:val="bottom"/>
          </w:tcPr>
          <w:p w14:paraId="5BC57064" w14:textId="77777777" w:rsidR="00E87995" w:rsidRPr="009E06AA" w:rsidRDefault="00E87995" w:rsidP="00E770EF">
            <w:pPr>
              <w:pStyle w:val="TableTextBold"/>
              <w:spacing w:before="30" w:after="30"/>
              <w:jc w:val="right"/>
              <w:rPr>
                <w:noProof w:val="0"/>
                <w:color w:val="FFFFFF" w:themeColor="background1"/>
              </w:rPr>
            </w:pPr>
            <w:r w:rsidRPr="009E06AA">
              <w:rPr>
                <w:noProof w:val="0"/>
                <w:color w:val="FFFFFF" w:themeColor="background1"/>
              </w:rPr>
              <w:t>Leather &amp; skins N in effluent (kt)</w:t>
            </w:r>
          </w:p>
        </w:tc>
        <w:tc>
          <w:tcPr>
            <w:tcW w:w="0" w:type="auto"/>
            <w:shd w:val="clear" w:color="auto" w:fill="1B556B"/>
            <w:tcMar>
              <w:top w:w="0" w:type="dxa"/>
              <w:left w:w="85" w:type="dxa"/>
              <w:bottom w:w="0" w:type="dxa"/>
              <w:right w:w="85" w:type="dxa"/>
            </w:tcMar>
            <w:vAlign w:val="bottom"/>
          </w:tcPr>
          <w:p w14:paraId="407595AD" w14:textId="77777777" w:rsidR="00E87995" w:rsidRPr="009E06AA" w:rsidRDefault="00E87995" w:rsidP="00E770EF">
            <w:pPr>
              <w:pStyle w:val="TableTextBold"/>
              <w:spacing w:before="30" w:after="30"/>
              <w:jc w:val="right"/>
              <w:rPr>
                <w:noProof w:val="0"/>
                <w:color w:val="FFFFFF" w:themeColor="background1"/>
              </w:rPr>
            </w:pPr>
            <w:r w:rsidRPr="009E06AA">
              <w:rPr>
                <w:noProof w:val="0"/>
                <w:color w:val="FFFFFF" w:themeColor="background1"/>
              </w:rPr>
              <w:t>Total industrial N in effluent (kt)</w:t>
            </w:r>
          </w:p>
        </w:tc>
      </w:tr>
      <w:tr w:rsidR="00E87995" w:rsidRPr="009E06AA" w14:paraId="2E393DB2" w14:textId="77777777" w:rsidTr="00B55F24">
        <w:tc>
          <w:tcPr>
            <w:tcW w:w="567" w:type="dxa"/>
            <w:shd w:val="clear" w:color="auto" w:fill="FFFFFF"/>
            <w:tcMar>
              <w:top w:w="0" w:type="dxa"/>
              <w:left w:w="85" w:type="dxa"/>
              <w:bottom w:w="0" w:type="dxa"/>
              <w:right w:w="85" w:type="dxa"/>
            </w:tcMar>
          </w:tcPr>
          <w:p w14:paraId="522D4301" w14:textId="77777777" w:rsidR="00E87995" w:rsidRPr="009E06AA" w:rsidRDefault="00E87995" w:rsidP="00B55F24">
            <w:pPr>
              <w:pStyle w:val="TableText"/>
              <w:spacing w:before="30" w:after="30"/>
              <w:rPr>
                <w:b/>
              </w:rPr>
            </w:pPr>
            <w:r w:rsidRPr="009E06AA">
              <w:rPr>
                <w:b/>
                <w:color w:val="1B556B"/>
              </w:rPr>
              <w:t>1990</w:t>
            </w:r>
          </w:p>
        </w:tc>
        <w:tc>
          <w:tcPr>
            <w:tcW w:w="1980" w:type="dxa"/>
            <w:shd w:val="clear" w:color="auto" w:fill="FFFFFF"/>
            <w:tcMar>
              <w:top w:w="0" w:type="dxa"/>
              <w:left w:w="85" w:type="dxa"/>
              <w:bottom w:w="0" w:type="dxa"/>
              <w:right w:w="85" w:type="dxa"/>
            </w:tcMar>
          </w:tcPr>
          <w:p w14:paraId="2D704C6A" w14:textId="77777777" w:rsidR="00E87995" w:rsidRPr="009E06AA" w:rsidRDefault="00E87995" w:rsidP="00E770EF">
            <w:pPr>
              <w:pStyle w:val="TableText"/>
              <w:spacing w:before="30" w:after="30"/>
              <w:jc w:val="right"/>
            </w:pPr>
            <w:r w:rsidRPr="009E06AA">
              <w:rPr>
                <w:color w:val="000000"/>
              </w:rPr>
              <w:t>1.4</w:t>
            </w:r>
          </w:p>
        </w:tc>
        <w:tc>
          <w:tcPr>
            <w:tcW w:w="0" w:type="auto"/>
            <w:shd w:val="clear" w:color="auto" w:fill="FFFFFF"/>
            <w:tcMar>
              <w:top w:w="0" w:type="dxa"/>
              <w:left w:w="85" w:type="dxa"/>
              <w:bottom w:w="0" w:type="dxa"/>
              <w:right w:w="85" w:type="dxa"/>
            </w:tcMar>
          </w:tcPr>
          <w:p w14:paraId="48304A2F" w14:textId="77777777" w:rsidR="00E87995" w:rsidRPr="009E06AA" w:rsidRDefault="00E87995" w:rsidP="00E770EF">
            <w:pPr>
              <w:pStyle w:val="TableText"/>
              <w:spacing w:before="30" w:after="30"/>
              <w:jc w:val="right"/>
            </w:pPr>
            <w:r w:rsidRPr="009E06AA">
              <w:rPr>
                <w:color w:val="000000"/>
              </w:rPr>
              <w:t>0.1</w:t>
            </w:r>
          </w:p>
        </w:tc>
        <w:tc>
          <w:tcPr>
            <w:tcW w:w="0" w:type="auto"/>
            <w:shd w:val="clear" w:color="auto" w:fill="FFFFFF"/>
            <w:tcMar>
              <w:top w:w="0" w:type="dxa"/>
              <w:left w:w="85" w:type="dxa"/>
              <w:bottom w:w="0" w:type="dxa"/>
              <w:right w:w="85" w:type="dxa"/>
            </w:tcMar>
          </w:tcPr>
          <w:p w14:paraId="7F9AD871" w14:textId="77777777" w:rsidR="00E87995" w:rsidRPr="009E06AA" w:rsidRDefault="00E87995" w:rsidP="00E770EF">
            <w:pPr>
              <w:pStyle w:val="TableText"/>
              <w:spacing w:before="30" w:after="30"/>
              <w:jc w:val="right"/>
            </w:pPr>
            <w:r w:rsidRPr="009E06AA">
              <w:rPr>
                <w:color w:val="000000"/>
              </w:rPr>
              <w:t>0.2</w:t>
            </w:r>
          </w:p>
        </w:tc>
        <w:tc>
          <w:tcPr>
            <w:tcW w:w="0" w:type="auto"/>
            <w:shd w:val="clear" w:color="auto" w:fill="FFFFFF"/>
            <w:tcMar>
              <w:top w:w="0" w:type="dxa"/>
              <w:left w:w="85" w:type="dxa"/>
              <w:bottom w:w="0" w:type="dxa"/>
              <w:right w:w="85" w:type="dxa"/>
            </w:tcMar>
          </w:tcPr>
          <w:p w14:paraId="726E726A" w14:textId="77777777" w:rsidR="00E87995" w:rsidRPr="009E06AA" w:rsidRDefault="00E87995" w:rsidP="00E770EF">
            <w:pPr>
              <w:pStyle w:val="TableText"/>
              <w:spacing w:before="30" w:after="30"/>
              <w:jc w:val="right"/>
            </w:pPr>
            <w:r w:rsidRPr="009E06AA">
              <w:rPr>
                <w:color w:val="000000"/>
              </w:rPr>
              <w:t>1.2</w:t>
            </w:r>
          </w:p>
        </w:tc>
        <w:tc>
          <w:tcPr>
            <w:tcW w:w="0" w:type="auto"/>
            <w:shd w:val="clear" w:color="auto" w:fill="FFFFFF"/>
            <w:tcMar>
              <w:top w:w="0" w:type="dxa"/>
              <w:left w:w="85" w:type="dxa"/>
              <w:bottom w:w="0" w:type="dxa"/>
              <w:right w:w="85" w:type="dxa"/>
            </w:tcMar>
          </w:tcPr>
          <w:p w14:paraId="12284705" w14:textId="77777777" w:rsidR="00E87995" w:rsidRPr="009E06AA" w:rsidRDefault="00E87995" w:rsidP="00E770EF">
            <w:pPr>
              <w:pStyle w:val="TableText"/>
              <w:spacing w:before="30" w:after="30"/>
              <w:jc w:val="right"/>
            </w:pPr>
            <w:r w:rsidRPr="009E06AA">
              <w:rPr>
                <w:color w:val="000000"/>
              </w:rPr>
              <w:t>2.8</w:t>
            </w:r>
          </w:p>
        </w:tc>
      </w:tr>
      <w:tr w:rsidR="00E87995" w:rsidRPr="009E06AA" w14:paraId="1EDE072D" w14:textId="77777777" w:rsidTr="00B55F24">
        <w:tc>
          <w:tcPr>
            <w:tcW w:w="567" w:type="dxa"/>
            <w:shd w:val="clear" w:color="auto" w:fill="FFFFFF"/>
            <w:tcMar>
              <w:top w:w="0" w:type="dxa"/>
              <w:left w:w="85" w:type="dxa"/>
              <w:bottom w:w="0" w:type="dxa"/>
              <w:right w:w="85" w:type="dxa"/>
            </w:tcMar>
          </w:tcPr>
          <w:p w14:paraId="650095F3" w14:textId="77777777" w:rsidR="00E87995" w:rsidRPr="009E06AA" w:rsidRDefault="00E87995" w:rsidP="00B55F24">
            <w:pPr>
              <w:pStyle w:val="TableText"/>
              <w:spacing w:before="30" w:after="30"/>
              <w:rPr>
                <w:b/>
              </w:rPr>
            </w:pPr>
            <w:r w:rsidRPr="009E06AA">
              <w:rPr>
                <w:b/>
                <w:color w:val="1B556B"/>
              </w:rPr>
              <w:t>1991</w:t>
            </w:r>
          </w:p>
        </w:tc>
        <w:tc>
          <w:tcPr>
            <w:tcW w:w="1980" w:type="dxa"/>
            <w:shd w:val="clear" w:color="auto" w:fill="FFFFFF"/>
            <w:tcMar>
              <w:top w:w="0" w:type="dxa"/>
              <w:left w:w="85" w:type="dxa"/>
              <w:bottom w:w="0" w:type="dxa"/>
              <w:right w:w="85" w:type="dxa"/>
            </w:tcMar>
          </w:tcPr>
          <w:p w14:paraId="628585A2" w14:textId="77777777" w:rsidR="00E87995" w:rsidRPr="009E06AA" w:rsidRDefault="00E87995" w:rsidP="00E770EF">
            <w:pPr>
              <w:pStyle w:val="TableText"/>
              <w:spacing w:before="30" w:after="30"/>
              <w:jc w:val="right"/>
            </w:pPr>
            <w:r w:rsidRPr="009E06AA">
              <w:rPr>
                <w:color w:val="000000"/>
              </w:rPr>
              <w:t>1.5</w:t>
            </w:r>
          </w:p>
        </w:tc>
        <w:tc>
          <w:tcPr>
            <w:tcW w:w="0" w:type="auto"/>
            <w:shd w:val="clear" w:color="auto" w:fill="FFFFFF"/>
            <w:tcMar>
              <w:top w:w="0" w:type="dxa"/>
              <w:left w:w="85" w:type="dxa"/>
              <w:bottom w:w="0" w:type="dxa"/>
              <w:right w:w="85" w:type="dxa"/>
            </w:tcMar>
          </w:tcPr>
          <w:p w14:paraId="37648972" w14:textId="77777777" w:rsidR="00E87995" w:rsidRPr="009E06AA" w:rsidRDefault="00E87995" w:rsidP="00E770EF">
            <w:pPr>
              <w:pStyle w:val="TableText"/>
              <w:spacing w:before="30" w:after="30"/>
              <w:jc w:val="right"/>
            </w:pPr>
            <w:r w:rsidRPr="009E06AA">
              <w:rPr>
                <w:color w:val="000000"/>
              </w:rPr>
              <w:t>0.1</w:t>
            </w:r>
          </w:p>
        </w:tc>
        <w:tc>
          <w:tcPr>
            <w:tcW w:w="0" w:type="auto"/>
            <w:shd w:val="clear" w:color="auto" w:fill="FFFFFF"/>
            <w:tcMar>
              <w:top w:w="0" w:type="dxa"/>
              <w:left w:w="85" w:type="dxa"/>
              <w:bottom w:w="0" w:type="dxa"/>
              <w:right w:w="85" w:type="dxa"/>
            </w:tcMar>
          </w:tcPr>
          <w:p w14:paraId="26F99BFA" w14:textId="77777777" w:rsidR="00E87995" w:rsidRPr="009E06AA" w:rsidRDefault="00E87995" w:rsidP="00E770EF">
            <w:pPr>
              <w:pStyle w:val="TableText"/>
              <w:spacing w:before="30" w:after="30"/>
              <w:jc w:val="right"/>
            </w:pPr>
            <w:r w:rsidRPr="009E06AA">
              <w:rPr>
                <w:color w:val="000000"/>
              </w:rPr>
              <w:t>0.2</w:t>
            </w:r>
          </w:p>
        </w:tc>
        <w:tc>
          <w:tcPr>
            <w:tcW w:w="0" w:type="auto"/>
            <w:shd w:val="clear" w:color="auto" w:fill="FFFFFF"/>
            <w:tcMar>
              <w:top w:w="0" w:type="dxa"/>
              <w:left w:w="85" w:type="dxa"/>
              <w:bottom w:w="0" w:type="dxa"/>
              <w:right w:w="85" w:type="dxa"/>
            </w:tcMar>
          </w:tcPr>
          <w:p w14:paraId="50E19D30" w14:textId="77777777" w:rsidR="00E87995" w:rsidRPr="009E06AA" w:rsidRDefault="00E87995" w:rsidP="00E770EF">
            <w:pPr>
              <w:pStyle w:val="TableText"/>
              <w:spacing w:before="30" w:after="30"/>
              <w:jc w:val="right"/>
            </w:pPr>
            <w:r w:rsidRPr="009E06AA">
              <w:rPr>
                <w:color w:val="000000"/>
              </w:rPr>
              <w:t>1.2</w:t>
            </w:r>
          </w:p>
        </w:tc>
        <w:tc>
          <w:tcPr>
            <w:tcW w:w="0" w:type="auto"/>
            <w:shd w:val="clear" w:color="auto" w:fill="FFFFFF"/>
            <w:tcMar>
              <w:top w:w="0" w:type="dxa"/>
              <w:left w:w="85" w:type="dxa"/>
              <w:bottom w:w="0" w:type="dxa"/>
              <w:right w:w="85" w:type="dxa"/>
            </w:tcMar>
          </w:tcPr>
          <w:p w14:paraId="7A580C55" w14:textId="77777777" w:rsidR="00E87995" w:rsidRPr="009E06AA" w:rsidRDefault="00E87995" w:rsidP="00E770EF">
            <w:pPr>
              <w:pStyle w:val="TableText"/>
              <w:spacing w:before="30" w:after="30"/>
              <w:jc w:val="right"/>
            </w:pPr>
            <w:r w:rsidRPr="009E06AA">
              <w:rPr>
                <w:color w:val="000000"/>
              </w:rPr>
              <w:t>2.9</w:t>
            </w:r>
          </w:p>
        </w:tc>
      </w:tr>
      <w:tr w:rsidR="00E87995" w:rsidRPr="009E06AA" w14:paraId="3FC34682" w14:textId="77777777" w:rsidTr="00B55F24">
        <w:tc>
          <w:tcPr>
            <w:tcW w:w="567" w:type="dxa"/>
            <w:shd w:val="clear" w:color="auto" w:fill="FFFFFF"/>
            <w:tcMar>
              <w:top w:w="0" w:type="dxa"/>
              <w:left w:w="85" w:type="dxa"/>
              <w:bottom w:w="0" w:type="dxa"/>
              <w:right w:w="85" w:type="dxa"/>
            </w:tcMar>
          </w:tcPr>
          <w:p w14:paraId="46C60B36" w14:textId="77777777" w:rsidR="00E87995" w:rsidRPr="009E06AA" w:rsidRDefault="00E87995" w:rsidP="00B55F24">
            <w:pPr>
              <w:pStyle w:val="TableText"/>
              <w:spacing w:before="30" w:after="30"/>
              <w:rPr>
                <w:b/>
              </w:rPr>
            </w:pPr>
            <w:r w:rsidRPr="009E06AA">
              <w:rPr>
                <w:b/>
                <w:color w:val="1B556B"/>
              </w:rPr>
              <w:t>1992</w:t>
            </w:r>
          </w:p>
        </w:tc>
        <w:tc>
          <w:tcPr>
            <w:tcW w:w="1980" w:type="dxa"/>
            <w:shd w:val="clear" w:color="auto" w:fill="FFFFFF"/>
            <w:tcMar>
              <w:top w:w="0" w:type="dxa"/>
              <w:left w:w="85" w:type="dxa"/>
              <w:bottom w:w="0" w:type="dxa"/>
              <w:right w:w="85" w:type="dxa"/>
            </w:tcMar>
          </w:tcPr>
          <w:p w14:paraId="36A8E37F" w14:textId="77777777" w:rsidR="00E87995" w:rsidRPr="009E06AA" w:rsidRDefault="00E87995" w:rsidP="00E770EF">
            <w:pPr>
              <w:pStyle w:val="TableText"/>
              <w:spacing w:before="30" w:after="30"/>
              <w:jc w:val="right"/>
            </w:pPr>
            <w:r w:rsidRPr="009E06AA">
              <w:rPr>
                <w:color w:val="000000"/>
              </w:rPr>
              <w:t>1.6</w:t>
            </w:r>
          </w:p>
        </w:tc>
        <w:tc>
          <w:tcPr>
            <w:tcW w:w="0" w:type="auto"/>
            <w:shd w:val="clear" w:color="auto" w:fill="FFFFFF"/>
            <w:tcMar>
              <w:top w:w="0" w:type="dxa"/>
              <w:left w:w="85" w:type="dxa"/>
              <w:bottom w:w="0" w:type="dxa"/>
              <w:right w:w="85" w:type="dxa"/>
            </w:tcMar>
          </w:tcPr>
          <w:p w14:paraId="082C408E" w14:textId="77777777" w:rsidR="00E87995" w:rsidRPr="009E06AA" w:rsidRDefault="00E87995" w:rsidP="00E770EF">
            <w:pPr>
              <w:pStyle w:val="TableText"/>
              <w:spacing w:before="30" w:after="30"/>
              <w:jc w:val="right"/>
            </w:pPr>
            <w:r w:rsidRPr="009E06AA">
              <w:rPr>
                <w:color w:val="000000"/>
              </w:rPr>
              <w:t>0.1</w:t>
            </w:r>
          </w:p>
        </w:tc>
        <w:tc>
          <w:tcPr>
            <w:tcW w:w="0" w:type="auto"/>
            <w:shd w:val="clear" w:color="auto" w:fill="FFFFFF"/>
            <w:tcMar>
              <w:top w:w="0" w:type="dxa"/>
              <w:left w:w="85" w:type="dxa"/>
              <w:bottom w:w="0" w:type="dxa"/>
              <w:right w:w="85" w:type="dxa"/>
            </w:tcMar>
          </w:tcPr>
          <w:p w14:paraId="24B52AA8" w14:textId="77777777" w:rsidR="00E87995" w:rsidRPr="009E06AA" w:rsidRDefault="00E87995" w:rsidP="00E770EF">
            <w:pPr>
              <w:pStyle w:val="TableText"/>
              <w:spacing w:before="30" w:after="30"/>
              <w:jc w:val="right"/>
            </w:pPr>
            <w:r w:rsidRPr="009E06AA">
              <w:rPr>
                <w:color w:val="000000"/>
              </w:rPr>
              <w:t>0.2</w:t>
            </w:r>
          </w:p>
        </w:tc>
        <w:tc>
          <w:tcPr>
            <w:tcW w:w="0" w:type="auto"/>
            <w:shd w:val="clear" w:color="auto" w:fill="FFFFFF"/>
            <w:tcMar>
              <w:top w:w="0" w:type="dxa"/>
              <w:left w:w="85" w:type="dxa"/>
              <w:bottom w:w="0" w:type="dxa"/>
              <w:right w:w="85" w:type="dxa"/>
            </w:tcMar>
          </w:tcPr>
          <w:p w14:paraId="553222CE" w14:textId="77777777" w:rsidR="00E87995" w:rsidRPr="009E06AA" w:rsidRDefault="00E87995" w:rsidP="00E770EF">
            <w:pPr>
              <w:pStyle w:val="TableText"/>
              <w:spacing w:before="30" w:after="30"/>
              <w:jc w:val="right"/>
            </w:pPr>
            <w:r w:rsidRPr="009E06AA">
              <w:rPr>
                <w:color w:val="000000"/>
              </w:rPr>
              <w:t>1.2</w:t>
            </w:r>
          </w:p>
        </w:tc>
        <w:tc>
          <w:tcPr>
            <w:tcW w:w="0" w:type="auto"/>
            <w:shd w:val="clear" w:color="auto" w:fill="FFFFFF"/>
            <w:tcMar>
              <w:top w:w="0" w:type="dxa"/>
              <w:left w:w="85" w:type="dxa"/>
              <w:bottom w:w="0" w:type="dxa"/>
              <w:right w:w="85" w:type="dxa"/>
            </w:tcMar>
          </w:tcPr>
          <w:p w14:paraId="7F6E2661" w14:textId="77777777" w:rsidR="00E87995" w:rsidRPr="009E06AA" w:rsidRDefault="00E87995" w:rsidP="00E770EF">
            <w:pPr>
              <w:pStyle w:val="TableText"/>
              <w:spacing w:before="30" w:after="30"/>
              <w:jc w:val="right"/>
            </w:pPr>
            <w:r w:rsidRPr="009E06AA">
              <w:rPr>
                <w:color w:val="000000"/>
              </w:rPr>
              <w:t>3.1</w:t>
            </w:r>
          </w:p>
        </w:tc>
      </w:tr>
      <w:tr w:rsidR="00E87995" w:rsidRPr="009E06AA" w14:paraId="65B05035" w14:textId="77777777" w:rsidTr="00B55F24">
        <w:tc>
          <w:tcPr>
            <w:tcW w:w="567" w:type="dxa"/>
            <w:shd w:val="clear" w:color="auto" w:fill="FFFFFF"/>
            <w:tcMar>
              <w:top w:w="0" w:type="dxa"/>
              <w:left w:w="85" w:type="dxa"/>
              <w:bottom w:w="0" w:type="dxa"/>
              <w:right w:w="85" w:type="dxa"/>
            </w:tcMar>
          </w:tcPr>
          <w:p w14:paraId="4174B907" w14:textId="77777777" w:rsidR="00E87995" w:rsidRPr="009E06AA" w:rsidRDefault="00E87995" w:rsidP="00B55F24">
            <w:pPr>
              <w:pStyle w:val="TableText"/>
              <w:spacing w:before="30" w:after="30"/>
              <w:rPr>
                <w:b/>
              </w:rPr>
            </w:pPr>
            <w:r w:rsidRPr="009E06AA">
              <w:rPr>
                <w:b/>
                <w:color w:val="1B556B"/>
              </w:rPr>
              <w:t>1993</w:t>
            </w:r>
          </w:p>
        </w:tc>
        <w:tc>
          <w:tcPr>
            <w:tcW w:w="1980" w:type="dxa"/>
            <w:shd w:val="clear" w:color="auto" w:fill="FFFFFF"/>
            <w:tcMar>
              <w:top w:w="0" w:type="dxa"/>
              <w:left w:w="85" w:type="dxa"/>
              <w:bottom w:w="0" w:type="dxa"/>
              <w:right w:w="85" w:type="dxa"/>
            </w:tcMar>
          </w:tcPr>
          <w:p w14:paraId="35EB062E" w14:textId="77777777" w:rsidR="00E87995" w:rsidRPr="009E06AA" w:rsidRDefault="00E87995" w:rsidP="00E770EF">
            <w:pPr>
              <w:pStyle w:val="TableText"/>
              <w:spacing w:before="30" w:after="30"/>
              <w:jc w:val="right"/>
            </w:pPr>
            <w:r w:rsidRPr="009E06AA">
              <w:rPr>
                <w:color w:val="000000"/>
              </w:rPr>
              <w:t>1.4</w:t>
            </w:r>
          </w:p>
        </w:tc>
        <w:tc>
          <w:tcPr>
            <w:tcW w:w="0" w:type="auto"/>
            <w:shd w:val="clear" w:color="auto" w:fill="FFFFFF"/>
            <w:tcMar>
              <w:top w:w="0" w:type="dxa"/>
              <w:left w:w="85" w:type="dxa"/>
              <w:bottom w:w="0" w:type="dxa"/>
              <w:right w:w="85" w:type="dxa"/>
            </w:tcMar>
          </w:tcPr>
          <w:p w14:paraId="1458D4E0" w14:textId="77777777" w:rsidR="00E87995" w:rsidRPr="009E06AA" w:rsidRDefault="00E87995" w:rsidP="00E770EF">
            <w:pPr>
              <w:pStyle w:val="TableText"/>
              <w:spacing w:before="30" w:after="30"/>
              <w:jc w:val="right"/>
            </w:pPr>
            <w:r w:rsidRPr="009E06AA">
              <w:rPr>
                <w:color w:val="000000"/>
              </w:rPr>
              <w:t>0.1</w:t>
            </w:r>
          </w:p>
        </w:tc>
        <w:tc>
          <w:tcPr>
            <w:tcW w:w="0" w:type="auto"/>
            <w:shd w:val="clear" w:color="auto" w:fill="FFFFFF"/>
            <w:tcMar>
              <w:top w:w="0" w:type="dxa"/>
              <w:left w:w="85" w:type="dxa"/>
              <w:bottom w:w="0" w:type="dxa"/>
              <w:right w:w="85" w:type="dxa"/>
            </w:tcMar>
          </w:tcPr>
          <w:p w14:paraId="2EEB57C3" w14:textId="77777777" w:rsidR="00E87995" w:rsidRPr="009E06AA" w:rsidRDefault="00E87995" w:rsidP="00E770EF">
            <w:pPr>
              <w:pStyle w:val="TableText"/>
              <w:spacing w:before="30" w:after="30"/>
              <w:jc w:val="right"/>
            </w:pPr>
            <w:r w:rsidRPr="009E06AA">
              <w:rPr>
                <w:color w:val="000000"/>
              </w:rPr>
              <w:t>0.2</w:t>
            </w:r>
          </w:p>
        </w:tc>
        <w:tc>
          <w:tcPr>
            <w:tcW w:w="0" w:type="auto"/>
            <w:shd w:val="clear" w:color="auto" w:fill="FFFFFF"/>
            <w:tcMar>
              <w:top w:w="0" w:type="dxa"/>
              <w:left w:w="85" w:type="dxa"/>
              <w:bottom w:w="0" w:type="dxa"/>
              <w:right w:w="85" w:type="dxa"/>
            </w:tcMar>
          </w:tcPr>
          <w:p w14:paraId="1592AB22" w14:textId="77777777" w:rsidR="00E87995" w:rsidRPr="009E06AA" w:rsidRDefault="00E87995" w:rsidP="00E770EF">
            <w:pPr>
              <w:pStyle w:val="TableText"/>
              <w:spacing w:before="30" w:after="30"/>
              <w:jc w:val="right"/>
            </w:pPr>
            <w:r w:rsidRPr="009E06AA">
              <w:rPr>
                <w:color w:val="000000"/>
              </w:rPr>
              <w:t>1.2</w:t>
            </w:r>
          </w:p>
        </w:tc>
        <w:tc>
          <w:tcPr>
            <w:tcW w:w="0" w:type="auto"/>
            <w:shd w:val="clear" w:color="auto" w:fill="FFFFFF"/>
            <w:tcMar>
              <w:top w:w="0" w:type="dxa"/>
              <w:left w:w="85" w:type="dxa"/>
              <w:bottom w:w="0" w:type="dxa"/>
              <w:right w:w="85" w:type="dxa"/>
            </w:tcMar>
          </w:tcPr>
          <w:p w14:paraId="36BC0248" w14:textId="77777777" w:rsidR="00E87995" w:rsidRPr="009E06AA" w:rsidRDefault="00E87995" w:rsidP="00E770EF">
            <w:pPr>
              <w:pStyle w:val="TableText"/>
              <w:spacing w:before="30" w:after="30"/>
              <w:jc w:val="right"/>
            </w:pPr>
            <w:r w:rsidRPr="009E06AA">
              <w:rPr>
                <w:color w:val="000000"/>
              </w:rPr>
              <w:t>2.9</w:t>
            </w:r>
          </w:p>
        </w:tc>
      </w:tr>
      <w:tr w:rsidR="00E87995" w:rsidRPr="009E06AA" w14:paraId="01AB0A38" w14:textId="77777777" w:rsidTr="00B55F24">
        <w:tc>
          <w:tcPr>
            <w:tcW w:w="567" w:type="dxa"/>
            <w:shd w:val="clear" w:color="auto" w:fill="FFFFFF"/>
            <w:tcMar>
              <w:top w:w="0" w:type="dxa"/>
              <w:left w:w="85" w:type="dxa"/>
              <w:bottom w:w="0" w:type="dxa"/>
              <w:right w:w="85" w:type="dxa"/>
            </w:tcMar>
          </w:tcPr>
          <w:p w14:paraId="3801E91B" w14:textId="77777777" w:rsidR="00E87995" w:rsidRPr="009E06AA" w:rsidRDefault="00E87995" w:rsidP="00B55F24">
            <w:pPr>
              <w:pStyle w:val="TableText"/>
              <w:spacing w:before="30" w:after="30"/>
              <w:rPr>
                <w:b/>
              </w:rPr>
            </w:pPr>
            <w:r w:rsidRPr="009E06AA">
              <w:rPr>
                <w:b/>
                <w:color w:val="1B556B"/>
              </w:rPr>
              <w:t>1994</w:t>
            </w:r>
          </w:p>
        </w:tc>
        <w:tc>
          <w:tcPr>
            <w:tcW w:w="1980" w:type="dxa"/>
            <w:shd w:val="clear" w:color="auto" w:fill="FFFFFF"/>
            <w:tcMar>
              <w:top w:w="0" w:type="dxa"/>
              <w:left w:w="85" w:type="dxa"/>
              <w:bottom w:w="0" w:type="dxa"/>
              <w:right w:w="85" w:type="dxa"/>
            </w:tcMar>
          </w:tcPr>
          <w:p w14:paraId="3C588135" w14:textId="77777777" w:rsidR="00E87995" w:rsidRPr="009E06AA" w:rsidRDefault="00E87995" w:rsidP="00E770EF">
            <w:pPr>
              <w:pStyle w:val="TableText"/>
              <w:spacing w:before="30" w:after="30"/>
              <w:jc w:val="right"/>
            </w:pPr>
            <w:r w:rsidRPr="009E06AA">
              <w:rPr>
                <w:color w:val="000000"/>
              </w:rPr>
              <w:t>1.5</w:t>
            </w:r>
          </w:p>
        </w:tc>
        <w:tc>
          <w:tcPr>
            <w:tcW w:w="0" w:type="auto"/>
            <w:shd w:val="clear" w:color="auto" w:fill="FFFFFF"/>
            <w:tcMar>
              <w:top w:w="0" w:type="dxa"/>
              <w:left w:w="85" w:type="dxa"/>
              <w:bottom w:w="0" w:type="dxa"/>
              <w:right w:w="85" w:type="dxa"/>
            </w:tcMar>
          </w:tcPr>
          <w:p w14:paraId="2A61A446" w14:textId="77777777" w:rsidR="00E87995" w:rsidRPr="009E06AA" w:rsidRDefault="00E87995" w:rsidP="00E770EF">
            <w:pPr>
              <w:pStyle w:val="TableText"/>
              <w:spacing w:before="30" w:after="30"/>
              <w:jc w:val="right"/>
            </w:pPr>
            <w:r w:rsidRPr="009E06AA">
              <w:rPr>
                <w:color w:val="000000"/>
              </w:rPr>
              <w:t>0.1</w:t>
            </w:r>
          </w:p>
        </w:tc>
        <w:tc>
          <w:tcPr>
            <w:tcW w:w="0" w:type="auto"/>
            <w:shd w:val="clear" w:color="auto" w:fill="FFFFFF"/>
            <w:tcMar>
              <w:top w:w="0" w:type="dxa"/>
              <w:left w:w="85" w:type="dxa"/>
              <w:bottom w:w="0" w:type="dxa"/>
              <w:right w:w="85" w:type="dxa"/>
            </w:tcMar>
          </w:tcPr>
          <w:p w14:paraId="7EE7D8FC" w14:textId="77777777" w:rsidR="00E87995" w:rsidRPr="009E06AA" w:rsidRDefault="00E87995" w:rsidP="00E770EF">
            <w:pPr>
              <w:pStyle w:val="TableText"/>
              <w:spacing w:before="30" w:after="30"/>
              <w:jc w:val="right"/>
            </w:pPr>
            <w:r w:rsidRPr="009E06AA">
              <w:rPr>
                <w:color w:val="000000"/>
              </w:rPr>
              <w:t>0.2</w:t>
            </w:r>
          </w:p>
        </w:tc>
        <w:tc>
          <w:tcPr>
            <w:tcW w:w="0" w:type="auto"/>
            <w:shd w:val="clear" w:color="auto" w:fill="FFFFFF"/>
            <w:tcMar>
              <w:top w:w="0" w:type="dxa"/>
              <w:left w:w="85" w:type="dxa"/>
              <w:bottom w:w="0" w:type="dxa"/>
              <w:right w:w="85" w:type="dxa"/>
            </w:tcMar>
          </w:tcPr>
          <w:p w14:paraId="1F7C274C" w14:textId="77777777" w:rsidR="00E87995" w:rsidRPr="009E06AA" w:rsidRDefault="00E87995" w:rsidP="00E770EF">
            <w:pPr>
              <w:pStyle w:val="TableText"/>
              <w:spacing w:before="30" w:after="30"/>
              <w:jc w:val="right"/>
            </w:pPr>
            <w:r w:rsidRPr="009E06AA">
              <w:rPr>
                <w:color w:val="000000"/>
              </w:rPr>
              <w:t>1.2</w:t>
            </w:r>
          </w:p>
        </w:tc>
        <w:tc>
          <w:tcPr>
            <w:tcW w:w="0" w:type="auto"/>
            <w:shd w:val="clear" w:color="auto" w:fill="FFFFFF"/>
            <w:tcMar>
              <w:top w:w="0" w:type="dxa"/>
              <w:left w:w="85" w:type="dxa"/>
              <w:bottom w:w="0" w:type="dxa"/>
              <w:right w:w="85" w:type="dxa"/>
            </w:tcMar>
          </w:tcPr>
          <w:p w14:paraId="78FC49E0" w14:textId="77777777" w:rsidR="00E87995" w:rsidRPr="009E06AA" w:rsidRDefault="00E87995" w:rsidP="00E770EF">
            <w:pPr>
              <w:pStyle w:val="TableText"/>
              <w:spacing w:before="30" w:after="30"/>
              <w:jc w:val="right"/>
            </w:pPr>
            <w:r w:rsidRPr="009E06AA">
              <w:rPr>
                <w:color w:val="000000"/>
              </w:rPr>
              <w:t>3.0</w:t>
            </w:r>
          </w:p>
        </w:tc>
      </w:tr>
      <w:tr w:rsidR="00E87995" w:rsidRPr="009E06AA" w14:paraId="4EE205D3" w14:textId="77777777" w:rsidTr="00B55F24">
        <w:tc>
          <w:tcPr>
            <w:tcW w:w="567" w:type="dxa"/>
            <w:shd w:val="clear" w:color="auto" w:fill="FFFFFF"/>
            <w:tcMar>
              <w:top w:w="0" w:type="dxa"/>
              <w:left w:w="85" w:type="dxa"/>
              <w:bottom w:w="0" w:type="dxa"/>
              <w:right w:w="85" w:type="dxa"/>
            </w:tcMar>
          </w:tcPr>
          <w:p w14:paraId="19B3B2EE" w14:textId="77777777" w:rsidR="00E87995" w:rsidRPr="009E06AA" w:rsidRDefault="00E87995" w:rsidP="00B55F24">
            <w:pPr>
              <w:pStyle w:val="TableText"/>
              <w:spacing w:before="30" w:after="30"/>
              <w:rPr>
                <w:b/>
              </w:rPr>
            </w:pPr>
            <w:r w:rsidRPr="009E06AA">
              <w:rPr>
                <w:b/>
                <w:color w:val="1B556B"/>
              </w:rPr>
              <w:t>1995</w:t>
            </w:r>
          </w:p>
        </w:tc>
        <w:tc>
          <w:tcPr>
            <w:tcW w:w="1980" w:type="dxa"/>
            <w:shd w:val="clear" w:color="auto" w:fill="FFFFFF"/>
            <w:tcMar>
              <w:top w:w="0" w:type="dxa"/>
              <w:left w:w="85" w:type="dxa"/>
              <w:bottom w:w="0" w:type="dxa"/>
              <w:right w:w="85" w:type="dxa"/>
            </w:tcMar>
          </w:tcPr>
          <w:p w14:paraId="1DE40ADD" w14:textId="77777777" w:rsidR="00E87995" w:rsidRPr="009E06AA" w:rsidRDefault="00E87995" w:rsidP="00E770EF">
            <w:pPr>
              <w:pStyle w:val="TableText"/>
              <w:spacing w:before="30" w:after="30"/>
              <w:jc w:val="right"/>
            </w:pPr>
            <w:r w:rsidRPr="009E06AA">
              <w:rPr>
                <w:color w:val="000000"/>
              </w:rPr>
              <w:t>1.6</w:t>
            </w:r>
          </w:p>
        </w:tc>
        <w:tc>
          <w:tcPr>
            <w:tcW w:w="0" w:type="auto"/>
            <w:shd w:val="clear" w:color="auto" w:fill="FFFFFF"/>
            <w:tcMar>
              <w:top w:w="0" w:type="dxa"/>
              <w:left w:w="85" w:type="dxa"/>
              <w:bottom w:w="0" w:type="dxa"/>
              <w:right w:w="85" w:type="dxa"/>
            </w:tcMar>
          </w:tcPr>
          <w:p w14:paraId="508185D1" w14:textId="77777777" w:rsidR="00E87995" w:rsidRPr="009E06AA" w:rsidRDefault="00E87995" w:rsidP="00E770EF">
            <w:pPr>
              <w:pStyle w:val="TableText"/>
              <w:spacing w:before="30" w:after="30"/>
              <w:jc w:val="right"/>
            </w:pPr>
            <w:r w:rsidRPr="009E06AA">
              <w:rPr>
                <w:color w:val="000000"/>
              </w:rPr>
              <w:t>0.1</w:t>
            </w:r>
          </w:p>
        </w:tc>
        <w:tc>
          <w:tcPr>
            <w:tcW w:w="0" w:type="auto"/>
            <w:shd w:val="clear" w:color="auto" w:fill="FFFFFF"/>
            <w:tcMar>
              <w:top w:w="0" w:type="dxa"/>
              <w:left w:w="85" w:type="dxa"/>
              <w:bottom w:w="0" w:type="dxa"/>
              <w:right w:w="85" w:type="dxa"/>
            </w:tcMar>
          </w:tcPr>
          <w:p w14:paraId="13F79259" w14:textId="77777777" w:rsidR="00E87995" w:rsidRPr="009E06AA" w:rsidRDefault="00E87995" w:rsidP="00E770EF">
            <w:pPr>
              <w:pStyle w:val="TableText"/>
              <w:spacing w:before="30" w:after="30"/>
              <w:jc w:val="right"/>
            </w:pPr>
            <w:r w:rsidRPr="009E06AA">
              <w:rPr>
                <w:color w:val="000000"/>
              </w:rPr>
              <w:t>0.2</w:t>
            </w:r>
          </w:p>
        </w:tc>
        <w:tc>
          <w:tcPr>
            <w:tcW w:w="0" w:type="auto"/>
            <w:shd w:val="clear" w:color="auto" w:fill="FFFFFF"/>
            <w:tcMar>
              <w:top w:w="0" w:type="dxa"/>
              <w:left w:w="85" w:type="dxa"/>
              <w:bottom w:w="0" w:type="dxa"/>
              <w:right w:w="85" w:type="dxa"/>
            </w:tcMar>
          </w:tcPr>
          <w:p w14:paraId="1BB617A2" w14:textId="77777777" w:rsidR="00E87995" w:rsidRPr="009E06AA" w:rsidRDefault="00E87995" w:rsidP="00E770EF">
            <w:pPr>
              <w:pStyle w:val="TableText"/>
              <w:spacing w:before="30" w:after="30"/>
              <w:jc w:val="right"/>
            </w:pPr>
            <w:r w:rsidRPr="009E06AA">
              <w:rPr>
                <w:color w:val="000000"/>
              </w:rPr>
              <w:t>1.2</w:t>
            </w:r>
          </w:p>
        </w:tc>
        <w:tc>
          <w:tcPr>
            <w:tcW w:w="0" w:type="auto"/>
            <w:shd w:val="clear" w:color="auto" w:fill="FFFFFF"/>
            <w:tcMar>
              <w:top w:w="0" w:type="dxa"/>
              <w:left w:w="85" w:type="dxa"/>
              <w:bottom w:w="0" w:type="dxa"/>
              <w:right w:w="85" w:type="dxa"/>
            </w:tcMar>
          </w:tcPr>
          <w:p w14:paraId="33B55747" w14:textId="77777777" w:rsidR="00E87995" w:rsidRPr="009E06AA" w:rsidRDefault="00E87995" w:rsidP="00E770EF">
            <w:pPr>
              <w:pStyle w:val="TableText"/>
              <w:spacing w:before="30" w:after="30"/>
              <w:jc w:val="right"/>
            </w:pPr>
            <w:r w:rsidRPr="009E06AA">
              <w:rPr>
                <w:color w:val="000000"/>
              </w:rPr>
              <w:t>3.1</w:t>
            </w:r>
          </w:p>
        </w:tc>
      </w:tr>
      <w:tr w:rsidR="00E87995" w:rsidRPr="009E06AA" w14:paraId="42B7A4FF" w14:textId="77777777" w:rsidTr="00B55F24">
        <w:tc>
          <w:tcPr>
            <w:tcW w:w="567" w:type="dxa"/>
            <w:shd w:val="clear" w:color="auto" w:fill="FFFFFF"/>
            <w:tcMar>
              <w:top w:w="0" w:type="dxa"/>
              <w:left w:w="85" w:type="dxa"/>
              <w:bottom w:w="0" w:type="dxa"/>
              <w:right w:w="85" w:type="dxa"/>
            </w:tcMar>
          </w:tcPr>
          <w:p w14:paraId="500650FC" w14:textId="77777777" w:rsidR="00E87995" w:rsidRPr="009E06AA" w:rsidRDefault="00E87995" w:rsidP="00B55F24">
            <w:pPr>
              <w:pStyle w:val="TableText"/>
              <w:spacing w:before="30" w:after="30"/>
              <w:rPr>
                <w:b/>
              </w:rPr>
            </w:pPr>
            <w:r w:rsidRPr="009E06AA">
              <w:rPr>
                <w:b/>
                <w:color w:val="1B556B"/>
              </w:rPr>
              <w:t>1996</w:t>
            </w:r>
          </w:p>
        </w:tc>
        <w:tc>
          <w:tcPr>
            <w:tcW w:w="1980" w:type="dxa"/>
            <w:shd w:val="clear" w:color="auto" w:fill="FFFFFF"/>
            <w:tcMar>
              <w:top w:w="0" w:type="dxa"/>
              <w:left w:w="85" w:type="dxa"/>
              <w:bottom w:w="0" w:type="dxa"/>
              <w:right w:w="85" w:type="dxa"/>
            </w:tcMar>
          </w:tcPr>
          <w:p w14:paraId="1D5DAB84" w14:textId="77777777" w:rsidR="00E87995" w:rsidRPr="009E06AA" w:rsidRDefault="00E87995" w:rsidP="00E770EF">
            <w:pPr>
              <w:pStyle w:val="TableText"/>
              <w:spacing w:before="30" w:after="30"/>
              <w:jc w:val="right"/>
            </w:pPr>
            <w:r w:rsidRPr="009E06AA">
              <w:rPr>
                <w:color w:val="000000"/>
              </w:rPr>
              <w:t>1.6</w:t>
            </w:r>
          </w:p>
        </w:tc>
        <w:tc>
          <w:tcPr>
            <w:tcW w:w="0" w:type="auto"/>
            <w:shd w:val="clear" w:color="auto" w:fill="FFFFFF"/>
            <w:tcMar>
              <w:top w:w="0" w:type="dxa"/>
              <w:left w:w="85" w:type="dxa"/>
              <w:bottom w:w="0" w:type="dxa"/>
              <w:right w:w="85" w:type="dxa"/>
            </w:tcMar>
          </w:tcPr>
          <w:p w14:paraId="2D89A3DF" w14:textId="77777777" w:rsidR="00E87995" w:rsidRPr="009E06AA" w:rsidRDefault="00E87995" w:rsidP="00E770EF">
            <w:pPr>
              <w:pStyle w:val="TableText"/>
              <w:spacing w:before="30" w:after="30"/>
              <w:jc w:val="right"/>
            </w:pPr>
            <w:r w:rsidRPr="009E06AA">
              <w:rPr>
                <w:color w:val="000000"/>
              </w:rPr>
              <w:t>0.1</w:t>
            </w:r>
          </w:p>
        </w:tc>
        <w:tc>
          <w:tcPr>
            <w:tcW w:w="0" w:type="auto"/>
            <w:shd w:val="clear" w:color="auto" w:fill="FFFFFF"/>
            <w:tcMar>
              <w:top w:w="0" w:type="dxa"/>
              <w:left w:w="85" w:type="dxa"/>
              <w:bottom w:w="0" w:type="dxa"/>
              <w:right w:w="85" w:type="dxa"/>
            </w:tcMar>
          </w:tcPr>
          <w:p w14:paraId="14606F57" w14:textId="77777777" w:rsidR="00E87995" w:rsidRPr="009E06AA" w:rsidRDefault="00E87995" w:rsidP="00E770EF">
            <w:pPr>
              <w:pStyle w:val="TableText"/>
              <w:spacing w:before="30" w:after="30"/>
              <w:jc w:val="right"/>
            </w:pPr>
            <w:r w:rsidRPr="009E06AA">
              <w:rPr>
                <w:color w:val="000000"/>
              </w:rPr>
              <w:t>0.2</w:t>
            </w:r>
          </w:p>
        </w:tc>
        <w:tc>
          <w:tcPr>
            <w:tcW w:w="0" w:type="auto"/>
            <w:shd w:val="clear" w:color="auto" w:fill="FFFFFF"/>
            <w:tcMar>
              <w:top w:w="0" w:type="dxa"/>
              <w:left w:w="85" w:type="dxa"/>
              <w:bottom w:w="0" w:type="dxa"/>
              <w:right w:w="85" w:type="dxa"/>
            </w:tcMar>
          </w:tcPr>
          <w:p w14:paraId="529C2177" w14:textId="77777777" w:rsidR="00E87995" w:rsidRPr="009E06AA" w:rsidRDefault="00E87995" w:rsidP="00E770EF">
            <w:pPr>
              <w:pStyle w:val="TableText"/>
              <w:spacing w:before="30" w:after="30"/>
              <w:jc w:val="right"/>
            </w:pPr>
            <w:r w:rsidRPr="009E06AA">
              <w:rPr>
                <w:color w:val="000000"/>
              </w:rPr>
              <w:t>1.2</w:t>
            </w:r>
          </w:p>
        </w:tc>
        <w:tc>
          <w:tcPr>
            <w:tcW w:w="0" w:type="auto"/>
            <w:shd w:val="clear" w:color="auto" w:fill="FFFFFF"/>
            <w:tcMar>
              <w:top w:w="0" w:type="dxa"/>
              <w:left w:w="85" w:type="dxa"/>
              <w:bottom w:w="0" w:type="dxa"/>
              <w:right w:w="85" w:type="dxa"/>
            </w:tcMar>
          </w:tcPr>
          <w:p w14:paraId="4ABCA94C" w14:textId="77777777" w:rsidR="00E87995" w:rsidRPr="009E06AA" w:rsidRDefault="00E87995" w:rsidP="00E770EF">
            <w:pPr>
              <w:pStyle w:val="TableText"/>
              <w:spacing w:before="30" w:after="30"/>
              <w:jc w:val="right"/>
            </w:pPr>
            <w:r w:rsidRPr="009E06AA">
              <w:rPr>
                <w:color w:val="000000"/>
              </w:rPr>
              <w:t>3.2</w:t>
            </w:r>
          </w:p>
        </w:tc>
      </w:tr>
      <w:tr w:rsidR="00E87995" w:rsidRPr="009E06AA" w14:paraId="1AB6F53A" w14:textId="77777777" w:rsidTr="00B55F24">
        <w:tc>
          <w:tcPr>
            <w:tcW w:w="567" w:type="dxa"/>
            <w:shd w:val="clear" w:color="auto" w:fill="FFFFFF"/>
            <w:tcMar>
              <w:top w:w="0" w:type="dxa"/>
              <w:left w:w="85" w:type="dxa"/>
              <w:bottom w:w="0" w:type="dxa"/>
              <w:right w:w="85" w:type="dxa"/>
            </w:tcMar>
          </w:tcPr>
          <w:p w14:paraId="1A41A30E" w14:textId="77777777" w:rsidR="00E87995" w:rsidRPr="009E06AA" w:rsidRDefault="00E87995" w:rsidP="00B55F24">
            <w:pPr>
              <w:pStyle w:val="TableText"/>
              <w:spacing w:before="30" w:after="30"/>
              <w:rPr>
                <w:b/>
              </w:rPr>
            </w:pPr>
            <w:r w:rsidRPr="009E06AA">
              <w:rPr>
                <w:b/>
                <w:color w:val="1B556B"/>
              </w:rPr>
              <w:t>1997</w:t>
            </w:r>
          </w:p>
        </w:tc>
        <w:tc>
          <w:tcPr>
            <w:tcW w:w="1980" w:type="dxa"/>
            <w:shd w:val="clear" w:color="auto" w:fill="FFFFFF"/>
            <w:tcMar>
              <w:top w:w="0" w:type="dxa"/>
              <w:left w:w="85" w:type="dxa"/>
              <w:bottom w:w="0" w:type="dxa"/>
              <w:right w:w="85" w:type="dxa"/>
            </w:tcMar>
          </w:tcPr>
          <w:p w14:paraId="63191073" w14:textId="77777777" w:rsidR="00E87995" w:rsidRPr="009E06AA" w:rsidRDefault="00E87995" w:rsidP="00E770EF">
            <w:pPr>
              <w:pStyle w:val="TableText"/>
              <w:spacing w:before="30" w:after="30"/>
              <w:jc w:val="right"/>
            </w:pPr>
            <w:r w:rsidRPr="009E06AA">
              <w:rPr>
                <w:color w:val="000000"/>
              </w:rPr>
              <w:t>1.6</w:t>
            </w:r>
          </w:p>
        </w:tc>
        <w:tc>
          <w:tcPr>
            <w:tcW w:w="0" w:type="auto"/>
            <w:shd w:val="clear" w:color="auto" w:fill="FFFFFF"/>
            <w:tcMar>
              <w:top w:w="0" w:type="dxa"/>
              <w:left w:w="85" w:type="dxa"/>
              <w:bottom w:w="0" w:type="dxa"/>
              <w:right w:w="85" w:type="dxa"/>
            </w:tcMar>
          </w:tcPr>
          <w:p w14:paraId="5398E6BD" w14:textId="77777777" w:rsidR="00E87995" w:rsidRPr="009E06AA" w:rsidRDefault="00E87995" w:rsidP="00E770EF">
            <w:pPr>
              <w:pStyle w:val="TableText"/>
              <w:spacing w:before="30" w:after="30"/>
              <w:jc w:val="right"/>
            </w:pPr>
            <w:r w:rsidRPr="009E06AA">
              <w:rPr>
                <w:color w:val="000000"/>
              </w:rPr>
              <w:t>0.1</w:t>
            </w:r>
          </w:p>
        </w:tc>
        <w:tc>
          <w:tcPr>
            <w:tcW w:w="0" w:type="auto"/>
            <w:shd w:val="clear" w:color="auto" w:fill="FFFFFF"/>
            <w:tcMar>
              <w:top w:w="0" w:type="dxa"/>
              <w:left w:w="85" w:type="dxa"/>
              <w:bottom w:w="0" w:type="dxa"/>
              <w:right w:w="85" w:type="dxa"/>
            </w:tcMar>
          </w:tcPr>
          <w:p w14:paraId="2BD8CE22" w14:textId="77777777" w:rsidR="00E87995" w:rsidRPr="009E06AA" w:rsidRDefault="00E87995" w:rsidP="00E770EF">
            <w:pPr>
              <w:pStyle w:val="TableText"/>
              <w:spacing w:before="30" w:after="30"/>
              <w:jc w:val="right"/>
            </w:pPr>
            <w:r w:rsidRPr="009E06AA">
              <w:rPr>
                <w:color w:val="000000"/>
              </w:rPr>
              <w:t>0.2</w:t>
            </w:r>
          </w:p>
        </w:tc>
        <w:tc>
          <w:tcPr>
            <w:tcW w:w="0" w:type="auto"/>
            <w:shd w:val="clear" w:color="auto" w:fill="FFFFFF"/>
            <w:tcMar>
              <w:top w:w="0" w:type="dxa"/>
              <w:left w:w="85" w:type="dxa"/>
              <w:bottom w:w="0" w:type="dxa"/>
              <w:right w:w="85" w:type="dxa"/>
            </w:tcMar>
          </w:tcPr>
          <w:p w14:paraId="3768B04A" w14:textId="77777777" w:rsidR="00E87995" w:rsidRPr="009E06AA" w:rsidRDefault="00E87995" w:rsidP="00E770EF">
            <w:pPr>
              <w:pStyle w:val="TableText"/>
              <w:spacing w:before="30" w:after="30"/>
              <w:jc w:val="right"/>
            </w:pPr>
            <w:r w:rsidRPr="009E06AA">
              <w:rPr>
                <w:color w:val="000000"/>
              </w:rPr>
              <w:t>1.2</w:t>
            </w:r>
          </w:p>
        </w:tc>
        <w:tc>
          <w:tcPr>
            <w:tcW w:w="0" w:type="auto"/>
            <w:shd w:val="clear" w:color="auto" w:fill="FFFFFF"/>
            <w:tcMar>
              <w:top w:w="0" w:type="dxa"/>
              <w:left w:w="85" w:type="dxa"/>
              <w:bottom w:w="0" w:type="dxa"/>
              <w:right w:w="85" w:type="dxa"/>
            </w:tcMar>
          </w:tcPr>
          <w:p w14:paraId="463FDABA" w14:textId="77777777" w:rsidR="00E87995" w:rsidRPr="009E06AA" w:rsidRDefault="00E87995" w:rsidP="00E770EF">
            <w:pPr>
              <w:pStyle w:val="TableText"/>
              <w:spacing w:before="30" w:after="30"/>
              <w:jc w:val="right"/>
            </w:pPr>
            <w:r w:rsidRPr="009E06AA">
              <w:rPr>
                <w:color w:val="000000"/>
              </w:rPr>
              <w:t>3.2</w:t>
            </w:r>
          </w:p>
        </w:tc>
      </w:tr>
      <w:tr w:rsidR="00E87995" w:rsidRPr="009E06AA" w14:paraId="6F68B125" w14:textId="77777777" w:rsidTr="00B55F24">
        <w:tc>
          <w:tcPr>
            <w:tcW w:w="567" w:type="dxa"/>
            <w:shd w:val="clear" w:color="auto" w:fill="FFFFFF"/>
            <w:tcMar>
              <w:top w:w="0" w:type="dxa"/>
              <w:left w:w="85" w:type="dxa"/>
              <w:bottom w:w="0" w:type="dxa"/>
              <w:right w:w="85" w:type="dxa"/>
            </w:tcMar>
          </w:tcPr>
          <w:p w14:paraId="77EA7BDF" w14:textId="77777777" w:rsidR="00E87995" w:rsidRPr="009E06AA" w:rsidRDefault="00E87995" w:rsidP="00B55F24">
            <w:pPr>
              <w:pStyle w:val="TableText"/>
              <w:spacing w:before="30" w:after="30"/>
              <w:rPr>
                <w:b/>
              </w:rPr>
            </w:pPr>
            <w:r w:rsidRPr="009E06AA">
              <w:rPr>
                <w:b/>
                <w:color w:val="1B556B"/>
              </w:rPr>
              <w:t>1998</w:t>
            </w:r>
          </w:p>
        </w:tc>
        <w:tc>
          <w:tcPr>
            <w:tcW w:w="1980" w:type="dxa"/>
            <w:shd w:val="clear" w:color="auto" w:fill="FFFFFF"/>
            <w:tcMar>
              <w:top w:w="0" w:type="dxa"/>
              <w:left w:w="85" w:type="dxa"/>
              <w:bottom w:w="0" w:type="dxa"/>
              <w:right w:w="85" w:type="dxa"/>
            </w:tcMar>
          </w:tcPr>
          <w:p w14:paraId="799F16FD" w14:textId="77777777" w:rsidR="00E87995" w:rsidRPr="009E06AA" w:rsidRDefault="00E87995" w:rsidP="00E770EF">
            <w:pPr>
              <w:pStyle w:val="TableText"/>
              <w:spacing w:before="30" w:after="30"/>
              <w:jc w:val="right"/>
            </w:pPr>
            <w:r w:rsidRPr="009E06AA">
              <w:rPr>
                <w:color w:val="000000"/>
              </w:rPr>
              <w:t>1.7</w:t>
            </w:r>
          </w:p>
        </w:tc>
        <w:tc>
          <w:tcPr>
            <w:tcW w:w="0" w:type="auto"/>
            <w:shd w:val="clear" w:color="auto" w:fill="FFFFFF"/>
            <w:tcMar>
              <w:top w:w="0" w:type="dxa"/>
              <w:left w:w="85" w:type="dxa"/>
              <w:bottom w:w="0" w:type="dxa"/>
              <w:right w:w="85" w:type="dxa"/>
            </w:tcMar>
          </w:tcPr>
          <w:p w14:paraId="6741E736" w14:textId="77777777" w:rsidR="00E87995" w:rsidRPr="009E06AA" w:rsidRDefault="00E87995" w:rsidP="00E770EF">
            <w:pPr>
              <w:pStyle w:val="TableText"/>
              <w:spacing w:before="30" w:after="30"/>
              <w:jc w:val="right"/>
            </w:pPr>
            <w:r w:rsidRPr="009E06AA">
              <w:rPr>
                <w:color w:val="000000"/>
              </w:rPr>
              <w:t>0.1</w:t>
            </w:r>
          </w:p>
        </w:tc>
        <w:tc>
          <w:tcPr>
            <w:tcW w:w="0" w:type="auto"/>
            <w:shd w:val="clear" w:color="auto" w:fill="FFFFFF"/>
            <w:tcMar>
              <w:top w:w="0" w:type="dxa"/>
              <w:left w:w="85" w:type="dxa"/>
              <w:bottom w:w="0" w:type="dxa"/>
              <w:right w:w="85" w:type="dxa"/>
            </w:tcMar>
          </w:tcPr>
          <w:p w14:paraId="664FF3D5" w14:textId="77777777" w:rsidR="00E87995" w:rsidRPr="009E06AA" w:rsidRDefault="00E87995" w:rsidP="00E770EF">
            <w:pPr>
              <w:pStyle w:val="TableText"/>
              <w:spacing w:before="30" w:after="30"/>
              <w:jc w:val="right"/>
            </w:pPr>
            <w:r w:rsidRPr="009E06AA">
              <w:rPr>
                <w:color w:val="000000"/>
              </w:rPr>
              <w:t>0.2</w:t>
            </w:r>
          </w:p>
        </w:tc>
        <w:tc>
          <w:tcPr>
            <w:tcW w:w="0" w:type="auto"/>
            <w:shd w:val="clear" w:color="auto" w:fill="FFFFFF"/>
            <w:tcMar>
              <w:top w:w="0" w:type="dxa"/>
              <w:left w:w="85" w:type="dxa"/>
              <w:bottom w:w="0" w:type="dxa"/>
              <w:right w:w="85" w:type="dxa"/>
            </w:tcMar>
          </w:tcPr>
          <w:p w14:paraId="244A1DD4" w14:textId="77777777" w:rsidR="00E87995" w:rsidRPr="009E06AA" w:rsidRDefault="00E87995" w:rsidP="00E770EF">
            <w:pPr>
              <w:pStyle w:val="TableText"/>
              <w:spacing w:before="30" w:after="30"/>
              <w:jc w:val="right"/>
            </w:pPr>
            <w:r w:rsidRPr="009E06AA">
              <w:rPr>
                <w:color w:val="000000"/>
              </w:rPr>
              <w:t>1.2</w:t>
            </w:r>
          </w:p>
        </w:tc>
        <w:tc>
          <w:tcPr>
            <w:tcW w:w="0" w:type="auto"/>
            <w:shd w:val="clear" w:color="auto" w:fill="FFFFFF"/>
            <w:tcMar>
              <w:top w:w="0" w:type="dxa"/>
              <w:left w:w="85" w:type="dxa"/>
              <w:bottom w:w="0" w:type="dxa"/>
              <w:right w:w="85" w:type="dxa"/>
            </w:tcMar>
          </w:tcPr>
          <w:p w14:paraId="4A6713A0" w14:textId="77777777" w:rsidR="00E87995" w:rsidRPr="009E06AA" w:rsidRDefault="00E87995" w:rsidP="00E770EF">
            <w:pPr>
              <w:pStyle w:val="TableText"/>
              <w:spacing w:before="30" w:after="30"/>
              <w:jc w:val="right"/>
            </w:pPr>
            <w:r w:rsidRPr="009E06AA">
              <w:rPr>
                <w:color w:val="000000"/>
              </w:rPr>
              <w:t>3.2</w:t>
            </w:r>
          </w:p>
        </w:tc>
      </w:tr>
      <w:tr w:rsidR="00E87995" w:rsidRPr="009E06AA" w14:paraId="391A82A6" w14:textId="77777777" w:rsidTr="00B55F24">
        <w:tc>
          <w:tcPr>
            <w:tcW w:w="567" w:type="dxa"/>
            <w:shd w:val="clear" w:color="auto" w:fill="FFFFFF"/>
            <w:tcMar>
              <w:top w:w="0" w:type="dxa"/>
              <w:left w:w="85" w:type="dxa"/>
              <w:bottom w:w="0" w:type="dxa"/>
              <w:right w:w="85" w:type="dxa"/>
            </w:tcMar>
          </w:tcPr>
          <w:p w14:paraId="1E60D859" w14:textId="77777777" w:rsidR="00E87995" w:rsidRPr="009E06AA" w:rsidRDefault="00E87995" w:rsidP="00B55F24">
            <w:pPr>
              <w:pStyle w:val="TableText"/>
              <w:spacing w:before="30" w:after="30"/>
              <w:rPr>
                <w:b/>
              </w:rPr>
            </w:pPr>
            <w:r w:rsidRPr="009E06AA">
              <w:rPr>
                <w:b/>
                <w:color w:val="1B556B"/>
              </w:rPr>
              <w:t>1999</w:t>
            </w:r>
          </w:p>
        </w:tc>
        <w:tc>
          <w:tcPr>
            <w:tcW w:w="1980" w:type="dxa"/>
            <w:shd w:val="clear" w:color="auto" w:fill="FFFFFF"/>
            <w:tcMar>
              <w:top w:w="0" w:type="dxa"/>
              <w:left w:w="85" w:type="dxa"/>
              <w:bottom w:w="0" w:type="dxa"/>
              <w:right w:w="85" w:type="dxa"/>
            </w:tcMar>
          </w:tcPr>
          <w:p w14:paraId="04588436" w14:textId="77777777" w:rsidR="00E87995" w:rsidRPr="009E06AA" w:rsidRDefault="00E87995" w:rsidP="00E770EF">
            <w:pPr>
              <w:pStyle w:val="TableText"/>
              <w:spacing w:before="30" w:after="30"/>
              <w:jc w:val="right"/>
            </w:pPr>
            <w:r w:rsidRPr="009E06AA">
              <w:rPr>
                <w:color w:val="000000"/>
              </w:rPr>
              <w:t>1.5</w:t>
            </w:r>
          </w:p>
        </w:tc>
        <w:tc>
          <w:tcPr>
            <w:tcW w:w="0" w:type="auto"/>
            <w:shd w:val="clear" w:color="auto" w:fill="FFFFFF"/>
            <w:tcMar>
              <w:top w:w="0" w:type="dxa"/>
              <w:left w:w="85" w:type="dxa"/>
              <w:bottom w:w="0" w:type="dxa"/>
              <w:right w:w="85" w:type="dxa"/>
            </w:tcMar>
          </w:tcPr>
          <w:p w14:paraId="52D4AFBB" w14:textId="77777777" w:rsidR="00E87995" w:rsidRPr="009E06AA" w:rsidRDefault="00E87995" w:rsidP="00E770EF">
            <w:pPr>
              <w:pStyle w:val="TableText"/>
              <w:spacing w:before="30" w:after="30"/>
              <w:jc w:val="right"/>
            </w:pPr>
            <w:r w:rsidRPr="009E06AA">
              <w:rPr>
                <w:color w:val="000000"/>
              </w:rPr>
              <w:t>0.1</w:t>
            </w:r>
          </w:p>
        </w:tc>
        <w:tc>
          <w:tcPr>
            <w:tcW w:w="0" w:type="auto"/>
            <w:shd w:val="clear" w:color="auto" w:fill="FFFFFF"/>
            <w:tcMar>
              <w:top w:w="0" w:type="dxa"/>
              <w:left w:w="85" w:type="dxa"/>
              <w:bottom w:w="0" w:type="dxa"/>
              <w:right w:w="85" w:type="dxa"/>
            </w:tcMar>
          </w:tcPr>
          <w:p w14:paraId="446687E7" w14:textId="77777777" w:rsidR="00E87995" w:rsidRPr="009E06AA" w:rsidRDefault="00E87995" w:rsidP="00E770EF">
            <w:pPr>
              <w:pStyle w:val="TableText"/>
              <w:spacing w:before="30" w:after="30"/>
              <w:jc w:val="right"/>
            </w:pPr>
            <w:r w:rsidRPr="009E06AA">
              <w:rPr>
                <w:color w:val="000000"/>
              </w:rPr>
              <w:t>0.3</w:t>
            </w:r>
          </w:p>
        </w:tc>
        <w:tc>
          <w:tcPr>
            <w:tcW w:w="0" w:type="auto"/>
            <w:shd w:val="clear" w:color="auto" w:fill="FFFFFF"/>
            <w:tcMar>
              <w:top w:w="0" w:type="dxa"/>
              <w:left w:w="85" w:type="dxa"/>
              <w:bottom w:w="0" w:type="dxa"/>
              <w:right w:w="85" w:type="dxa"/>
            </w:tcMar>
          </w:tcPr>
          <w:p w14:paraId="2C788322" w14:textId="77777777" w:rsidR="00E87995" w:rsidRPr="009E06AA" w:rsidRDefault="00E87995" w:rsidP="00E770EF">
            <w:pPr>
              <w:pStyle w:val="TableText"/>
              <w:spacing w:before="30" w:after="30"/>
              <w:jc w:val="right"/>
            </w:pPr>
            <w:r w:rsidRPr="009E06AA">
              <w:rPr>
                <w:color w:val="000000"/>
              </w:rPr>
              <w:t>1.2</w:t>
            </w:r>
          </w:p>
        </w:tc>
        <w:tc>
          <w:tcPr>
            <w:tcW w:w="0" w:type="auto"/>
            <w:shd w:val="clear" w:color="auto" w:fill="FFFFFF"/>
            <w:tcMar>
              <w:top w:w="0" w:type="dxa"/>
              <w:left w:w="85" w:type="dxa"/>
              <w:bottom w:w="0" w:type="dxa"/>
              <w:right w:w="85" w:type="dxa"/>
            </w:tcMar>
          </w:tcPr>
          <w:p w14:paraId="264B7D81" w14:textId="77777777" w:rsidR="00E87995" w:rsidRPr="009E06AA" w:rsidRDefault="00E87995" w:rsidP="00E770EF">
            <w:pPr>
              <w:pStyle w:val="TableText"/>
              <w:spacing w:before="30" w:after="30"/>
              <w:jc w:val="right"/>
            </w:pPr>
            <w:r w:rsidRPr="009E06AA">
              <w:rPr>
                <w:color w:val="000000"/>
              </w:rPr>
              <w:t>3.1</w:t>
            </w:r>
          </w:p>
        </w:tc>
      </w:tr>
      <w:tr w:rsidR="00E87995" w:rsidRPr="009E06AA" w14:paraId="0B06ABFC" w14:textId="77777777" w:rsidTr="00B55F24">
        <w:tc>
          <w:tcPr>
            <w:tcW w:w="567" w:type="dxa"/>
            <w:shd w:val="clear" w:color="auto" w:fill="FFFFFF"/>
            <w:tcMar>
              <w:top w:w="0" w:type="dxa"/>
              <w:left w:w="85" w:type="dxa"/>
              <w:bottom w:w="0" w:type="dxa"/>
              <w:right w:w="85" w:type="dxa"/>
            </w:tcMar>
          </w:tcPr>
          <w:p w14:paraId="4912EA67" w14:textId="77777777" w:rsidR="00E87995" w:rsidRPr="009E06AA" w:rsidRDefault="00E87995" w:rsidP="00B55F24">
            <w:pPr>
              <w:pStyle w:val="TableText"/>
              <w:spacing w:before="30" w:after="30"/>
              <w:rPr>
                <w:b/>
              </w:rPr>
            </w:pPr>
            <w:r w:rsidRPr="009E06AA">
              <w:rPr>
                <w:b/>
                <w:color w:val="1B556B"/>
              </w:rPr>
              <w:t>2000</w:t>
            </w:r>
          </w:p>
        </w:tc>
        <w:tc>
          <w:tcPr>
            <w:tcW w:w="1980" w:type="dxa"/>
            <w:shd w:val="clear" w:color="auto" w:fill="FFFFFF"/>
            <w:tcMar>
              <w:top w:w="0" w:type="dxa"/>
              <w:left w:w="85" w:type="dxa"/>
              <w:bottom w:w="0" w:type="dxa"/>
              <w:right w:w="85" w:type="dxa"/>
            </w:tcMar>
          </w:tcPr>
          <w:p w14:paraId="75B751EC" w14:textId="77777777" w:rsidR="00E87995" w:rsidRPr="009E06AA" w:rsidRDefault="00E87995" w:rsidP="00E770EF">
            <w:pPr>
              <w:pStyle w:val="TableText"/>
              <w:spacing w:before="30" w:after="30"/>
              <w:jc w:val="right"/>
            </w:pPr>
            <w:r w:rsidRPr="009E06AA">
              <w:rPr>
                <w:color w:val="000000"/>
              </w:rPr>
              <w:t>1.6</w:t>
            </w:r>
          </w:p>
        </w:tc>
        <w:tc>
          <w:tcPr>
            <w:tcW w:w="0" w:type="auto"/>
            <w:shd w:val="clear" w:color="auto" w:fill="FFFFFF"/>
            <w:tcMar>
              <w:top w:w="0" w:type="dxa"/>
              <w:left w:w="85" w:type="dxa"/>
              <w:bottom w:w="0" w:type="dxa"/>
              <w:right w:w="85" w:type="dxa"/>
            </w:tcMar>
          </w:tcPr>
          <w:p w14:paraId="14CEC924" w14:textId="77777777" w:rsidR="00E87995" w:rsidRPr="009E06AA" w:rsidRDefault="00E87995" w:rsidP="00E770EF">
            <w:pPr>
              <w:pStyle w:val="TableText"/>
              <w:spacing w:before="30" w:after="30"/>
              <w:jc w:val="right"/>
            </w:pPr>
            <w:r w:rsidRPr="009E06AA">
              <w:rPr>
                <w:color w:val="000000"/>
              </w:rPr>
              <w:t>0.1</w:t>
            </w:r>
          </w:p>
        </w:tc>
        <w:tc>
          <w:tcPr>
            <w:tcW w:w="0" w:type="auto"/>
            <w:shd w:val="clear" w:color="auto" w:fill="FFFFFF"/>
            <w:tcMar>
              <w:top w:w="0" w:type="dxa"/>
              <w:left w:w="85" w:type="dxa"/>
              <w:bottom w:w="0" w:type="dxa"/>
              <w:right w:w="85" w:type="dxa"/>
            </w:tcMar>
          </w:tcPr>
          <w:p w14:paraId="5C072E09" w14:textId="77777777" w:rsidR="00E87995" w:rsidRPr="009E06AA" w:rsidRDefault="00E87995" w:rsidP="00E770EF">
            <w:pPr>
              <w:pStyle w:val="TableText"/>
              <w:spacing w:before="30" w:after="30"/>
              <w:jc w:val="right"/>
            </w:pPr>
            <w:r w:rsidRPr="009E06AA">
              <w:rPr>
                <w:color w:val="000000"/>
              </w:rPr>
              <w:t>0.3</w:t>
            </w:r>
          </w:p>
        </w:tc>
        <w:tc>
          <w:tcPr>
            <w:tcW w:w="0" w:type="auto"/>
            <w:shd w:val="clear" w:color="auto" w:fill="FFFFFF"/>
            <w:tcMar>
              <w:top w:w="0" w:type="dxa"/>
              <w:left w:w="85" w:type="dxa"/>
              <w:bottom w:w="0" w:type="dxa"/>
              <w:right w:w="85" w:type="dxa"/>
            </w:tcMar>
          </w:tcPr>
          <w:p w14:paraId="1A7E05CF" w14:textId="77777777" w:rsidR="00E87995" w:rsidRPr="009E06AA" w:rsidRDefault="00E87995" w:rsidP="00E770EF">
            <w:pPr>
              <w:pStyle w:val="TableText"/>
              <w:spacing w:before="30" w:after="30"/>
              <w:jc w:val="right"/>
            </w:pPr>
            <w:r w:rsidRPr="009E06AA">
              <w:rPr>
                <w:color w:val="000000"/>
              </w:rPr>
              <w:t>1.2</w:t>
            </w:r>
          </w:p>
        </w:tc>
        <w:tc>
          <w:tcPr>
            <w:tcW w:w="0" w:type="auto"/>
            <w:shd w:val="clear" w:color="auto" w:fill="FFFFFF"/>
            <w:tcMar>
              <w:top w:w="0" w:type="dxa"/>
              <w:left w:w="85" w:type="dxa"/>
              <w:bottom w:w="0" w:type="dxa"/>
              <w:right w:w="85" w:type="dxa"/>
            </w:tcMar>
          </w:tcPr>
          <w:p w14:paraId="6FB1974F" w14:textId="77777777" w:rsidR="00E87995" w:rsidRPr="009E06AA" w:rsidRDefault="00E87995" w:rsidP="00E770EF">
            <w:pPr>
              <w:pStyle w:val="TableText"/>
              <w:spacing w:before="30" w:after="30"/>
              <w:jc w:val="right"/>
            </w:pPr>
            <w:r w:rsidRPr="009E06AA">
              <w:rPr>
                <w:color w:val="000000"/>
              </w:rPr>
              <w:t>3.2</w:t>
            </w:r>
          </w:p>
        </w:tc>
      </w:tr>
      <w:tr w:rsidR="00E87995" w:rsidRPr="009E06AA" w14:paraId="1B0CB16F" w14:textId="77777777" w:rsidTr="00B55F24">
        <w:tc>
          <w:tcPr>
            <w:tcW w:w="567" w:type="dxa"/>
            <w:shd w:val="clear" w:color="auto" w:fill="FFFFFF"/>
            <w:tcMar>
              <w:top w:w="0" w:type="dxa"/>
              <w:left w:w="85" w:type="dxa"/>
              <w:bottom w:w="0" w:type="dxa"/>
              <w:right w:w="85" w:type="dxa"/>
            </w:tcMar>
          </w:tcPr>
          <w:p w14:paraId="1A00A6CF" w14:textId="77777777" w:rsidR="00E87995" w:rsidRPr="009E06AA" w:rsidRDefault="00E87995" w:rsidP="00B55F24">
            <w:pPr>
              <w:pStyle w:val="TableText"/>
              <w:spacing w:before="30" w:after="30"/>
              <w:rPr>
                <w:b/>
              </w:rPr>
            </w:pPr>
            <w:r w:rsidRPr="009E06AA">
              <w:rPr>
                <w:b/>
                <w:color w:val="1B556B"/>
              </w:rPr>
              <w:t>2001</w:t>
            </w:r>
          </w:p>
        </w:tc>
        <w:tc>
          <w:tcPr>
            <w:tcW w:w="1980" w:type="dxa"/>
            <w:shd w:val="clear" w:color="auto" w:fill="FFFFFF"/>
            <w:tcMar>
              <w:top w:w="0" w:type="dxa"/>
              <w:left w:w="85" w:type="dxa"/>
              <w:bottom w:w="0" w:type="dxa"/>
              <w:right w:w="85" w:type="dxa"/>
            </w:tcMar>
          </w:tcPr>
          <w:p w14:paraId="260C18E2" w14:textId="77777777" w:rsidR="00E87995" w:rsidRPr="009E06AA" w:rsidRDefault="00E87995" w:rsidP="00E770EF">
            <w:pPr>
              <w:pStyle w:val="TableText"/>
              <w:spacing w:before="30" w:after="30"/>
              <w:jc w:val="right"/>
            </w:pPr>
            <w:r w:rsidRPr="009E06AA">
              <w:rPr>
                <w:color w:val="000000"/>
              </w:rPr>
              <w:t>1.6</w:t>
            </w:r>
          </w:p>
        </w:tc>
        <w:tc>
          <w:tcPr>
            <w:tcW w:w="0" w:type="auto"/>
            <w:shd w:val="clear" w:color="auto" w:fill="FFFFFF"/>
            <w:tcMar>
              <w:top w:w="0" w:type="dxa"/>
              <w:left w:w="85" w:type="dxa"/>
              <w:bottom w:w="0" w:type="dxa"/>
              <w:right w:w="85" w:type="dxa"/>
            </w:tcMar>
          </w:tcPr>
          <w:p w14:paraId="39236D18" w14:textId="77777777" w:rsidR="00E87995" w:rsidRPr="009E06AA" w:rsidRDefault="00E87995" w:rsidP="00E770EF">
            <w:pPr>
              <w:pStyle w:val="TableText"/>
              <w:spacing w:before="30" w:after="30"/>
              <w:jc w:val="right"/>
            </w:pPr>
            <w:r w:rsidRPr="009E06AA">
              <w:rPr>
                <w:color w:val="000000"/>
              </w:rPr>
              <w:t>0.1</w:t>
            </w:r>
          </w:p>
        </w:tc>
        <w:tc>
          <w:tcPr>
            <w:tcW w:w="0" w:type="auto"/>
            <w:shd w:val="clear" w:color="auto" w:fill="FFFFFF"/>
            <w:tcMar>
              <w:top w:w="0" w:type="dxa"/>
              <w:left w:w="85" w:type="dxa"/>
              <w:bottom w:w="0" w:type="dxa"/>
              <w:right w:w="85" w:type="dxa"/>
            </w:tcMar>
          </w:tcPr>
          <w:p w14:paraId="1F1D0724" w14:textId="77777777" w:rsidR="00E87995" w:rsidRPr="009E06AA" w:rsidRDefault="00E87995" w:rsidP="00E770EF">
            <w:pPr>
              <w:pStyle w:val="TableText"/>
              <w:spacing w:before="30" w:after="30"/>
              <w:jc w:val="right"/>
            </w:pPr>
            <w:r w:rsidRPr="009E06AA">
              <w:rPr>
                <w:color w:val="000000"/>
              </w:rPr>
              <w:t>0.3</w:t>
            </w:r>
          </w:p>
        </w:tc>
        <w:tc>
          <w:tcPr>
            <w:tcW w:w="0" w:type="auto"/>
            <w:shd w:val="clear" w:color="auto" w:fill="FFFFFF"/>
            <w:tcMar>
              <w:top w:w="0" w:type="dxa"/>
              <w:left w:w="85" w:type="dxa"/>
              <w:bottom w:w="0" w:type="dxa"/>
              <w:right w:w="85" w:type="dxa"/>
            </w:tcMar>
          </w:tcPr>
          <w:p w14:paraId="37A7A641" w14:textId="77777777" w:rsidR="00E87995" w:rsidRPr="009E06AA" w:rsidRDefault="00E87995" w:rsidP="00E770EF">
            <w:pPr>
              <w:pStyle w:val="TableText"/>
              <w:spacing w:before="30" w:after="30"/>
              <w:jc w:val="right"/>
            </w:pPr>
            <w:r w:rsidRPr="009E06AA">
              <w:rPr>
                <w:color w:val="000000"/>
              </w:rPr>
              <w:t>1.2</w:t>
            </w:r>
          </w:p>
        </w:tc>
        <w:tc>
          <w:tcPr>
            <w:tcW w:w="0" w:type="auto"/>
            <w:shd w:val="clear" w:color="auto" w:fill="FFFFFF"/>
            <w:tcMar>
              <w:top w:w="0" w:type="dxa"/>
              <w:left w:w="85" w:type="dxa"/>
              <w:bottom w:w="0" w:type="dxa"/>
              <w:right w:w="85" w:type="dxa"/>
            </w:tcMar>
          </w:tcPr>
          <w:p w14:paraId="35A1CB9A" w14:textId="77777777" w:rsidR="00E87995" w:rsidRPr="009E06AA" w:rsidRDefault="00E87995" w:rsidP="00E770EF">
            <w:pPr>
              <w:pStyle w:val="TableText"/>
              <w:spacing w:before="30" w:after="30"/>
              <w:jc w:val="right"/>
            </w:pPr>
            <w:r w:rsidRPr="009E06AA">
              <w:rPr>
                <w:color w:val="000000"/>
              </w:rPr>
              <w:t>3.3</w:t>
            </w:r>
          </w:p>
        </w:tc>
      </w:tr>
      <w:tr w:rsidR="00E87995" w:rsidRPr="009E06AA" w14:paraId="4530E288" w14:textId="77777777" w:rsidTr="00B55F24">
        <w:tc>
          <w:tcPr>
            <w:tcW w:w="567" w:type="dxa"/>
            <w:shd w:val="clear" w:color="auto" w:fill="FFFFFF"/>
            <w:tcMar>
              <w:top w:w="0" w:type="dxa"/>
              <w:left w:w="85" w:type="dxa"/>
              <w:bottom w:w="0" w:type="dxa"/>
              <w:right w:w="85" w:type="dxa"/>
            </w:tcMar>
          </w:tcPr>
          <w:p w14:paraId="50FFA4AC" w14:textId="77777777" w:rsidR="00E87995" w:rsidRPr="009E06AA" w:rsidRDefault="00E87995" w:rsidP="00B55F24">
            <w:pPr>
              <w:pStyle w:val="TableText"/>
              <w:spacing w:before="30" w:after="30"/>
              <w:rPr>
                <w:b/>
              </w:rPr>
            </w:pPr>
            <w:r w:rsidRPr="009E06AA">
              <w:rPr>
                <w:b/>
                <w:color w:val="1B556B"/>
              </w:rPr>
              <w:t>2002</w:t>
            </w:r>
          </w:p>
        </w:tc>
        <w:tc>
          <w:tcPr>
            <w:tcW w:w="1980" w:type="dxa"/>
            <w:shd w:val="clear" w:color="auto" w:fill="FFFFFF"/>
            <w:tcMar>
              <w:top w:w="0" w:type="dxa"/>
              <w:left w:w="85" w:type="dxa"/>
              <w:bottom w:w="0" w:type="dxa"/>
              <w:right w:w="85" w:type="dxa"/>
            </w:tcMar>
          </w:tcPr>
          <w:p w14:paraId="7A5D40E8" w14:textId="77777777" w:rsidR="00E87995" w:rsidRPr="009E06AA" w:rsidRDefault="00E87995" w:rsidP="00E770EF">
            <w:pPr>
              <w:pStyle w:val="TableText"/>
              <w:spacing w:before="30" w:after="30"/>
              <w:jc w:val="right"/>
            </w:pPr>
            <w:r w:rsidRPr="009E06AA">
              <w:rPr>
                <w:color w:val="000000"/>
              </w:rPr>
              <w:t>1.5</w:t>
            </w:r>
          </w:p>
        </w:tc>
        <w:tc>
          <w:tcPr>
            <w:tcW w:w="0" w:type="auto"/>
            <w:shd w:val="clear" w:color="auto" w:fill="FFFFFF"/>
            <w:tcMar>
              <w:top w:w="0" w:type="dxa"/>
              <w:left w:w="85" w:type="dxa"/>
              <w:bottom w:w="0" w:type="dxa"/>
              <w:right w:w="85" w:type="dxa"/>
            </w:tcMar>
          </w:tcPr>
          <w:p w14:paraId="66901018" w14:textId="77777777" w:rsidR="00E87995" w:rsidRPr="009E06AA" w:rsidRDefault="00E87995" w:rsidP="00E770EF">
            <w:pPr>
              <w:pStyle w:val="TableText"/>
              <w:spacing w:before="30" w:after="30"/>
              <w:jc w:val="right"/>
            </w:pPr>
            <w:r w:rsidRPr="009E06AA">
              <w:rPr>
                <w:color w:val="000000"/>
              </w:rPr>
              <w:t>0.2</w:t>
            </w:r>
          </w:p>
        </w:tc>
        <w:tc>
          <w:tcPr>
            <w:tcW w:w="0" w:type="auto"/>
            <w:shd w:val="clear" w:color="auto" w:fill="FFFFFF"/>
            <w:tcMar>
              <w:top w:w="0" w:type="dxa"/>
              <w:left w:w="85" w:type="dxa"/>
              <w:bottom w:w="0" w:type="dxa"/>
              <w:right w:w="85" w:type="dxa"/>
            </w:tcMar>
          </w:tcPr>
          <w:p w14:paraId="3FC666D3" w14:textId="77777777" w:rsidR="00E87995" w:rsidRPr="009E06AA" w:rsidRDefault="00E87995" w:rsidP="00E770EF">
            <w:pPr>
              <w:pStyle w:val="TableText"/>
              <w:spacing w:before="30" w:after="30"/>
              <w:jc w:val="right"/>
            </w:pPr>
            <w:r w:rsidRPr="009E06AA">
              <w:rPr>
                <w:color w:val="000000"/>
              </w:rPr>
              <w:t>0.3</w:t>
            </w:r>
          </w:p>
        </w:tc>
        <w:tc>
          <w:tcPr>
            <w:tcW w:w="0" w:type="auto"/>
            <w:shd w:val="clear" w:color="auto" w:fill="FFFFFF"/>
            <w:tcMar>
              <w:top w:w="0" w:type="dxa"/>
              <w:left w:w="85" w:type="dxa"/>
              <w:bottom w:w="0" w:type="dxa"/>
              <w:right w:w="85" w:type="dxa"/>
            </w:tcMar>
          </w:tcPr>
          <w:p w14:paraId="39637B07" w14:textId="77777777" w:rsidR="00E87995" w:rsidRPr="009E06AA" w:rsidRDefault="00E87995" w:rsidP="00E770EF">
            <w:pPr>
              <w:pStyle w:val="TableText"/>
              <w:spacing w:before="30" w:after="30"/>
              <w:jc w:val="right"/>
            </w:pPr>
            <w:r w:rsidRPr="009E06AA">
              <w:rPr>
                <w:color w:val="000000"/>
              </w:rPr>
              <w:t>0.6</w:t>
            </w:r>
          </w:p>
        </w:tc>
        <w:tc>
          <w:tcPr>
            <w:tcW w:w="0" w:type="auto"/>
            <w:shd w:val="clear" w:color="auto" w:fill="FFFFFF"/>
            <w:tcMar>
              <w:top w:w="0" w:type="dxa"/>
              <w:left w:w="85" w:type="dxa"/>
              <w:bottom w:w="0" w:type="dxa"/>
              <w:right w:w="85" w:type="dxa"/>
            </w:tcMar>
          </w:tcPr>
          <w:p w14:paraId="3873953C" w14:textId="77777777" w:rsidR="00E87995" w:rsidRPr="009E06AA" w:rsidRDefault="00E87995" w:rsidP="00E770EF">
            <w:pPr>
              <w:pStyle w:val="TableText"/>
              <w:spacing w:before="30" w:after="30"/>
              <w:jc w:val="right"/>
            </w:pPr>
            <w:r w:rsidRPr="009E06AA">
              <w:rPr>
                <w:color w:val="000000"/>
              </w:rPr>
              <w:t>2.6</w:t>
            </w:r>
          </w:p>
        </w:tc>
      </w:tr>
      <w:tr w:rsidR="00E87995" w:rsidRPr="009E06AA" w14:paraId="21AC9A68" w14:textId="77777777" w:rsidTr="00B55F24">
        <w:tc>
          <w:tcPr>
            <w:tcW w:w="567" w:type="dxa"/>
            <w:shd w:val="clear" w:color="auto" w:fill="FFFFFF"/>
            <w:tcMar>
              <w:top w:w="0" w:type="dxa"/>
              <w:left w:w="85" w:type="dxa"/>
              <w:bottom w:w="0" w:type="dxa"/>
              <w:right w:w="85" w:type="dxa"/>
            </w:tcMar>
          </w:tcPr>
          <w:p w14:paraId="7F6F5D09" w14:textId="77777777" w:rsidR="00E87995" w:rsidRPr="009E06AA" w:rsidRDefault="00E87995" w:rsidP="00B55F24">
            <w:pPr>
              <w:pStyle w:val="TableText"/>
              <w:spacing w:before="30" w:after="30"/>
              <w:rPr>
                <w:b/>
              </w:rPr>
            </w:pPr>
            <w:r w:rsidRPr="009E06AA">
              <w:rPr>
                <w:b/>
                <w:color w:val="1B556B"/>
              </w:rPr>
              <w:t>2003</w:t>
            </w:r>
          </w:p>
        </w:tc>
        <w:tc>
          <w:tcPr>
            <w:tcW w:w="1980" w:type="dxa"/>
            <w:shd w:val="clear" w:color="auto" w:fill="FFFFFF"/>
            <w:tcMar>
              <w:top w:w="0" w:type="dxa"/>
              <w:left w:w="85" w:type="dxa"/>
              <w:bottom w:w="0" w:type="dxa"/>
              <w:right w:w="85" w:type="dxa"/>
            </w:tcMar>
          </w:tcPr>
          <w:p w14:paraId="6E51161B" w14:textId="77777777" w:rsidR="00E87995" w:rsidRPr="009E06AA" w:rsidRDefault="00E87995" w:rsidP="00E770EF">
            <w:pPr>
              <w:pStyle w:val="TableText"/>
              <w:spacing w:before="30" w:after="30"/>
              <w:jc w:val="right"/>
            </w:pPr>
            <w:r w:rsidRPr="009E06AA">
              <w:rPr>
                <w:color w:val="000000"/>
              </w:rPr>
              <w:t>1.6</w:t>
            </w:r>
          </w:p>
        </w:tc>
        <w:tc>
          <w:tcPr>
            <w:tcW w:w="0" w:type="auto"/>
            <w:shd w:val="clear" w:color="auto" w:fill="FFFFFF"/>
            <w:tcMar>
              <w:top w:w="0" w:type="dxa"/>
              <w:left w:w="85" w:type="dxa"/>
              <w:bottom w:w="0" w:type="dxa"/>
              <w:right w:w="85" w:type="dxa"/>
            </w:tcMar>
          </w:tcPr>
          <w:p w14:paraId="37CA031E" w14:textId="77777777" w:rsidR="00E87995" w:rsidRPr="009E06AA" w:rsidRDefault="00E87995" w:rsidP="00E770EF">
            <w:pPr>
              <w:pStyle w:val="TableText"/>
              <w:spacing w:before="30" w:after="30"/>
              <w:jc w:val="right"/>
            </w:pPr>
            <w:r w:rsidRPr="009E06AA">
              <w:rPr>
                <w:color w:val="000000"/>
              </w:rPr>
              <w:t>0.2</w:t>
            </w:r>
          </w:p>
        </w:tc>
        <w:tc>
          <w:tcPr>
            <w:tcW w:w="0" w:type="auto"/>
            <w:shd w:val="clear" w:color="auto" w:fill="FFFFFF"/>
            <w:tcMar>
              <w:top w:w="0" w:type="dxa"/>
              <w:left w:w="85" w:type="dxa"/>
              <w:bottom w:w="0" w:type="dxa"/>
              <w:right w:w="85" w:type="dxa"/>
            </w:tcMar>
          </w:tcPr>
          <w:p w14:paraId="5BE672BC" w14:textId="77777777" w:rsidR="00E87995" w:rsidRPr="009E06AA" w:rsidRDefault="00E87995" w:rsidP="00E770EF">
            <w:pPr>
              <w:pStyle w:val="TableText"/>
              <w:spacing w:before="30" w:after="30"/>
              <w:jc w:val="right"/>
            </w:pPr>
            <w:r w:rsidRPr="009E06AA">
              <w:rPr>
                <w:color w:val="000000"/>
              </w:rPr>
              <w:t>0.3</w:t>
            </w:r>
          </w:p>
        </w:tc>
        <w:tc>
          <w:tcPr>
            <w:tcW w:w="0" w:type="auto"/>
            <w:shd w:val="clear" w:color="auto" w:fill="FFFFFF"/>
            <w:tcMar>
              <w:top w:w="0" w:type="dxa"/>
              <w:left w:w="85" w:type="dxa"/>
              <w:bottom w:w="0" w:type="dxa"/>
              <w:right w:w="85" w:type="dxa"/>
            </w:tcMar>
          </w:tcPr>
          <w:p w14:paraId="32CC7229" w14:textId="77777777" w:rsidR="00E87995" w:rsidRPr="009E06AA" w:rsidRDefault="00E87995" w:rsidP="00E770EF">
            <w:pPr>
              <w:pStyle w:val="TableText"/>
              <w:spacing w:before="30" w:after="30"/>
              <w:jc w:val="right"/>
            </w:pPr>
            <w:r w:rsidRPr="009E06AA">
              <w:rPr>
                <w:color w:val="000000"/>
              </w:rPr>
              <w:t>0.6</w:t>
            </w:r>
          </w:p>
        </w:tc>
        <w:tc>
          <w:tcPr>
            <w:tcW w:w="0" w:type="auto"/>
            <w:shd w:val="clear" w:color="auto" w:fill="FFFFFF"/>
            <w:tcMar>
              <w:top w:w="0" w:type="dxa"/>
              <w:left w:w="85" w:type="dxa"/>
              <w:bottom w:w="0" w:type="dxa"/>
              <w:right w:w="85" w:type="dxa"/>
            </w:tcMar>
          </w:tcPr>
          <w:p w14:paraId="68445CE5" w14:textId="77777777" w:rsidR="00E87995" w:rsidRPr="009E06AA" w:rsidRDefault="00E87995" w:rsidP="00E770EF">
            <w:pPr>
              <w:pStyle w:val="TableText"/>
              <w:spacing w:before="30" w:after="30"/>
              <w:jc w:val="right"/>
            </w:pPr>
            <w:r w:rsidRPr="009E06AA">
              <w:rPr>
                <w:color w:val="000000"/>
              </w:rPr>
              <w:t>2.7</w:t>
            </w:r>
          </w:p>
        </w:tc>
      </w:tr>
      <w:tr w:rsidR="00E87995" w:rsidRPr="009E06AA" w14:paraId="6E036D8A" w14:textId="77777777" w:rsidTr="00B55F24">
        <w:tc>
          <w:tcPr>
            <w:tcW w:w="567" w:type="dxa"/>
            <w:shd w:val="clear" w:color="auto" w:fill="FFFFFF"/>
            <w:tcMar>
              <w:top w:w="0" w:type="dxa"/>
              <w:left w:w="85" w:type="dxa"/>
              <w:bottom w:w="0" w:type="dxa"/>
              <w:right w:w="85" w:type="dxa"/>
            </w:tcMar>
          </w:tcPr>
          <w:p w14:paraId="75AC39C1" w14:textId="77777777" w:rsidR="00E87995" w:rsidRPr="009E06AA" w:rsidRDefault="00E87995" w:rsidP="00B55F24">
            <w:pPr>
              <w:pStyle w:val="TableText"/>
              <w:spacing w:before="30" w:after="30"/>
              <w:rPr>
                <w:b/>
              </w:rPr>
            </w:pPr>
            <w:r w:rsidRPr="009E06AA">
              <w:rPr>
                <w:b/>
                <w:color w:val="1B556B"/>
              </w:rPr>
              <w:t>2004</w:t>
            </w:r>
          </w:p>
        </w:tc>
        <w:tc>
          <w:tcPr>
            <w:tcW w:w="1980" w:type="dxa"/>
            <w:shd w:val="clear" w:color="auto" w:fill="FFFFFF"/>
            <w:tcMar>
              <w:top w:w="0" w:type="dxa"/>
              <w:left w:w="85" w:type="dxa"/>
              <w:bottom w:w="0" w:type="dxa"/>
              <w:right w:w="85" w:type="dxa"/>
            </w:tcMar>
          </w:tcPr>
          <w:p w14:paraId="6B30A73C" w14:textId="77777777" w:rsidR="00E87995" w:rsidRPr="009E06AA" w:rsidRDefault="00E87995" w:rsidP="00E770EF">
            <w:pPr>
              <w:pStyle w:val="TableText"/>
              <w:spacing w:before="30" w:after="30"/>
              <w:jc w:val="right"/>
            </w:pPr>
            <w:r w:rsidRPr="009E06AA">
              <w:rPr>
                <w:color w:val="000000"/>
              </w:rPr>
              <w:t>1.7</w:t>
            </w:r>
          </w:p>
        </w:tc>
        <w:tc>
          <w:tcPr>
            <w:tcW w:w="0" w:type="auto"/>
            <w:shd w:val="clear" w:color="auto" w:fill="FFFFFF"/>
            <w:tcMar>
              <w:top w:w="0" w:type="dxa"/>
              <w:left w:w="85" w:type="dxa"/>
              <w:bottom w:w="0" w:type="dxa"/>
              <w:right w:w="85" w:type="dxa"/>
            </w:tcMar>
          </w:tcPr>
          <w:p w14:paraId="448C8808" w14:textId="77777777" w:rsidR="00E87995" w:rsidRPr="009E06AA" w:rsidRDefault="00E87995" w:rsidP="00E770EF">
            <w:pPr>
              <w:pStyle w:val="TableText"/>
              <w:spacing w:before="30" w:after="30"/>
              <w:jc w:val="right"/>
            </w:pPr>
            <w:r w:rsidRPr="009E06AA">
              <w:rPr>
                <w:color w:val="000000"/>
              </w:rPr>
              <w:t>0.2</w:t>
            </w:r>
          </w:p>
        </w:tc>
        <w:tc>
          <w:tcPr>
            <w:tcW w:w="0" w:type="auto"/>
            <w:shd w:val="clear" w:color="auto" w:fill="FFFFFF"/>
            <w:tcMar>
              <w:top w:w="0" w:type="dxa"/>
              <w:left w:w="85" w:type="dxa"/>
              <w:bottom w:w="0" w:type="dxa"/>
              <w:right w:w="85" w:type="dxa"/>
            </w:tcMar>
          </w:tcPr>
          <w:p w14:paraId="5E4B6FA6" w14:textId="77777777" w:rsidR="00E87995" w:rsidRPr="009E06AA" w:rsidRDefault="00E87995" w:rsidP="00E770EF">
            <w:pPr>
              <w:pStyle w:val="TableText"/>
              <w:spacing w:before="30" w:after="30"/>
              <w:jc w:val="right"/>
            </w:pPr>
            <w:r w:rsidRPr="009E06AA">
              <w:rPr>
                <w:color w:val="000000"/>
              </w:rPr>
              <w:t>0.3</w:t>
            </w:r>
          </w:p>
        </w:tc>
        <w:tc>
          <w:tcPr>
            <w:tcW w:w="0" w:type="auto"/>
            <w:shd w:val="clear" w:color="auto" w:fill="FFFFFF"/>
            <w:tcMar>
              <w:top w:w="0" w:type="dxa"/>
              <w:left w:w="85" w:type="dxa"/>
              <w:bottom w:w="0" w:type="dxa"/>
              <w:right w:w="85" w:type="dxa"/>
            </w:tcMar>
          </w:tcPr>
          <w:p w14:paraId="0F071DDB" w14:textId="77777777" w:rsidR="00E87995" w:rsidRPr="009E06AA" w:rsidRDefault="00E87995" w:rsidP="00E770EF">
            <w:pPr>
              <w:pStyle w:val="TableText"/>
              <w:spacing w:before="30" w:after="30"/>
              <w:jc w:val="right"/>
            </w:pPr>
            <w:r w:rsidRPr="009E06AA">
              <w:rPr>
                <w:color w:val="000000"/>
              </w:rPr>
              <w:t>0.6</w:t>
            </w:r>
          </w:p>
        </w:tc>
        <w:tc>
          <w:tcPr>
            <w:tcW w:w="0" w:type="auto"/>
            <w:shd w:val="clear" w:color="auto" w:fill="FFFFFF"/>
            <w:tcMar>
              <w:top w:w="0" w:type="dxa"/>
              <w:left w:w="85" w:type="dxa"/>
              <w:bottom w:w="0" w:type="dxa"/>
              <w:right w:w="85" w:type="dxa"/>
            </w:tcMar>
          </w:tcPr>
          <w:p w14:paraId="1F111947" w14:textId="77777777" w:rsidR="00E87995" w:rsidRPr="009E06AA" w:rsidRDefault="00E87995" w:rsidP="00E770EF">
            <w:pPr>
              <w:pStyle w:val="TableText"/>
              <w:spacing w:before="30" w:after="30"/>
              <w:jc w:val="right"/>
            </w:pPr>
            <w:r w:rsidRPr="009E06AA">
              <w:rPr>
                <w:color w:val="000000"/>
              </w:rPr>
              <w:t>2.8</w:t>
            </w:r>
          </w:p>
        </w:tc>
      </w:tr>
      <w:tr w:rsidR="00E87995" w:rsidRPr="009E06AA" w14:paraId="629218AA" w14:textId="77777777" w:rsidTr="00B55F24">
        <w:tc>
          <w:tcPr>
            <w:tcW w:w="567" w:type="dxa"/>
            <w:shd w:val="clear" w:color="auto" w:fill="FFFFFF"/>
            <w:tcMar>
              <w:top w:w="0" w:type="dxa"/>
              <w:left w:w="85" w:type="dxa"/>
              <w:bottom w:w="0" w:type="dxa"/>
              <w:right w:w="85" w:type="dxa"/>
            </w:tcMar>
          </w:tcPr>
          <w:p w14:paraId="148E428B" w14:textId="77777777" w:rsidR="00E87995" w:rsidRPr="009E06AA" w:rsidRDefault="00E87995" w:rsidP="00B55F24">
            <w:pPr>
              <w:pStyle w:val="TableText"/>
              <w:spacing w:before="30" w:after="30"/>
              <w:rPr>
                <w:b/>
              </w:rPr>
            </w:pPr>
            <w:r w:rsidRPr="009E06AA">
              <w:rPr>
                <w:b/>
                <w:color w:val="1B556B"/>
              </w:rPr>
              <w:t>2005</w:t>
            </w:r>
          </w:p>
        </w:tc>
        <w:tc>
          <w:tcPr>
            <w:tcW w:w="1980" w:type="dxa"/>
            <w:shd w:val="clear" w:color="auto" w:fill="FFFFFF"/>
            <w:tcMar>
              <w:top w:w="0" w:type="dxa"/>
              <w:left w:w="85" w:type="dxa"/>
              <w:bottom w:w="0" w:type="dxa"/>
              <w:right w:w="85" w:type="dxa"/>
            </w:tcMar>
          </w:tcPr>
          <w:p w14:paraId="309B8844" w14:textId="77777777" w:rsidR="00E87995" w:rsidRPr="009E06AA" w:rsidRDefault="00E87995" w:rsidP="00E770EF">
            <w:pPr>
              <w:pStyle w:val="TableText"/>
              <w:spacing w:before="30" w:after="30"/>
              <w:jc w:val="right"/>
            </w:pPr>
            <w:r w:rsidRPr="009E06AA">
              <w:rPr>
                <w:color w:val="000000"/>
              </w:rPr>
              <w:t>1.7</w:t>
            </w:r>
          </w:p>
        </w:tc>
        <w:tc>
          <w:tcPr>
            <w:tcW w:w="0" w:type="auto"/>
            <w:shd w:val="clear" w:color="auto" w:fill="FFFFFF"/>
            <w:tcMar>
              <w:top w:w="0" w:type="dxa"/>
              <w:left w:w="85" w:type="dxa"/>
              <w:bottom w:w="0" w:type="dxa"/>
              <w:right w:w="85" w:type="dxa"/>
            </w:tcMar>
          </w:tcPr>
          <w:p w14:paraId="59C77444" w14:textId="77777777" w:rsidR="00E87995" w:rsidRPr="009E06AA" w:rsidRDefault="00E87995" w:rsidP="00E770EF">
            <w:pPr>
              <w:pStyle w:val="TableText"/>
              <w:spacing w:before="30" w:after="30"/>
              <w:jc w:val="right"/>
            </w:pPr>
            <w:r w:rsidRPr="009E06AA">
              <w:rPr>
                <w:color w:val="000000"/>
              </w:rPr>
              <w:t>0.2</w:t>
            </w:r>
          </w:p>
        </w:tc>
        <w:tc>
          <w:tcPr>
            <w:tcW w:w="0" w:type="auto"/>
            <w:shd w:val="clear" w:color="auto" w:fill="FFFFFF"/>
            <w:tcMar>
              <w:top w:w="0" w:type="dxa"/>
              <w:left w:w="85" w:type="dxa"/>
              <w:bottom w:w="0" w:type="dxa"/>
              <w:right w:w="85" w:type="dxa"/>
            </w:tcMar>
          </w:tcPr>
          <w:p w14:paraId="53C42D31" w14:textId="77777777" w:rsidR="00E87995" w:rsidRPr="009E06AA" w:rsidRDefault="00E87995" w:rsidP="00E770EF">
            <w:pPr>
              <w:pStyle w:val="TableText"/>
              <w:spacing w:before="30" w:after="30"/>
              <w:jc w:val="right"/>
            </w:pPr>
            <w:r w:rsidRPr="009E06AA">
              <w:rPr>
                <w:color w:val="000000"/>
              </w:rPr>
              <w:t>0.3</w:t>
            </w:r>
          </w:p>
        </w:tc>
        <w:tc>
          <w:tcPr>
            <w:tcW w:w="0" w:type="auto"/>
            <w:shd w:val="clear" w:color="auto" w:fill="FFFFFF"/>
            <w:tcMar>
              <w:top w:w="0" w:type="dxa"/>
              <w:left w:w="85" w:type="dxa"/>
              <w:bottom w:w="0" w:type="dxa"/>
              <w:right w:w="85" w:type="dxa"/>
            </w:tcMar>
          </w:tcPr>
          <w:p w14:paraId="28069E7F" w14:textId="77777777" w:rsidR="00E87995" w:rsidRPr="009E06AA" w:rsidRDefault="00E87995" w:rsidP="00E770EF">
            <w:pPr>
              <w:pStyle w:val="TableText"/>
              <w:spacing w:before="30" w:after="30"/>
              <w:jc w:val="right"/>
            </w:pPr>
            <w:r w:rsidRPr="009E06AA">
              <w:rPr>
                <w:color w:val="000000"/>
              </w:rPr>
              <w:t>0.6</w:t>
            </w:r>
          </w:p>
        </w:tc>
        <w:tc>
          <w:tcPr>
            <w:tcW w:w="0" w:type="auto"/>
            <w:shd w:val="clear" w:color="auto" w:fill="FFFFFF"/>
            <w:tcMar>
              <w:top w:w="0" w:type="dxa"/>
              <w:left w:w="85" w:type="dxa"/>
              <w:bottom w:w="0" w:type="dxa"/>
              <w:right w:w="85" w:type="dxa"/>
            </w:tcMar>
          </w:tcPr>
          <w:p w14:paraId="20FB44FB" w14:textId="77777777" w:rsidR="00E87995" w:rsidRPr="009E06AA" w:rsidRDefault="00E87995" w:rsidP="00E770EF">
            <w:pPr>
              <w:pStyle w:val="TableText"/>
              <w:spacing w:before="30" w:after="30"/>
              <w:jc w:val="right"/>
            </w:pPr>
            <w:r w:rsidRPr="009E06AA">
              <w:rPr>
                <w:color w:val="000000"/>
              </w:rPr>
              <w:t>2.8</w:t>
            </w:r>
          </w:p>
        </w:tc>
      </w:tr>
      <w:tr w:rsidR="00E87995" w:rsidRPr="009E06AA" w14:paraId="2E3410BD" w14:textId="77777777" w:rsidTr="00B55F24">
        <w:tc>
          <w:tcPr>
            <w:tcW w:w="567" w:type="dxa"/>
            <w:shd w:val="clear" w:color="auto" w:fill="FFFFFF"/>
            <w:tcMar>
              <w:top w:w="0" w:type="dxa"/>
              <w:left w:w="85" w:type="dxa"/>
              <w:bottom w:w="0" w:type="dxa"/>
              <w:right w:w="85" w:type="dxa"/>
            </w:tcMar>
          </w:tcPr>
          <w:p w14:paraId="19C9168A" w14:textId="77777777" w:rsidR="00E87995" w:rsidRPr="009E06AA" w:rsidRDefault="00E87995" w:rsidP="00B55F24">
            <w:pPr>
              <w:pStyle w:val="TableText"/>
              <w:spacing w:before="30" w:after="30"/>
              <w:rPr>
                <w:b/>
              </w:rPr>
            </w:pPr>
            <w:r w:rsidRPr="009E06AA">
              <w:rPr>
                <w:b/>
                <w:color w:val="1B556B"/>
              </w:rPr>
              <w:t>2006</w:t>
            </w:r>
          </w:p>
        </w:tc>
        <w:tc>
          <w:tcPr>
            <w:tcW w:w="1980" w:type="dxa"/>
            <w:shd w:val="clear" w:color="auto" w:fill="FFFFFF"/>
            <w:tcMar>
              <w:top w:w="0" w:type="dxa"/>
              <w:left w:w="85" w:type="dxa"/>
              <w:bottom w:w="0" w:type="dxa"/>
              <w:right w:w="85" w:type="dxa"/>
            </w:tcMar>
          </w:tcPr>
          <w:p w14:paraId="52726B5F" w14:textId="77777777" w:rsidR="00E87995" w:rsidRPr="009E06AA" w:rsidRDefault="00E87995" w:rsidP="00E770EF">
            <w:pPr>
              <w:pStyle w:val="TableText"/>
              <w:spacing w:before="30" w:after="30"/>
              <w:jc w:val="right"/>
            </w:pPr>
            <w:r w:rsidRPr="009E06AA">
              <w:rPr>
                <w:color w:val="000000"/>
              </w:rPr>
              <w:t>1.7</w:t>
            </w:r>
          </w:p>
        </w:tc>
        <w:tc>
          <w:tcPr>
            <w:tcW w:w="0" w:type="auto"/>
            <w:shd w:val="clear" w:color="auto" w:fill="FFFFFF"/>
            <w:tcMar>
              <w:top w:w="0" w:type="dxa"/>
              <w:left w:w="85" w:type="dxa"/>
              <w:bottom w:w="0" w:type="dxa"/>
              <w:right w:w="85" w:type="dxa"/>
            </w:tcMar>
          </w:tcPr>
          <w:p w14:paraId="0A8E010B" w14:textId="77777777" w:rsidR="00E87995" w:rsidRPr="009E06AA" w:rsidRDefault="00E87995" w:rsidP="00E770EF">
            <w:pPr>
              <w:pStyle w:val="TableText"/>
              <w:spacing w:before="30" w:after="30"/>
              <w:jc w:val="right"/>
            </w:pPr>
            <w:r w:rsidRPr="009E06AA">
              <w:rPr>
                <w:color w:val="000000"/>
              </w:rPr>
              <w:t>0.2</w:t>
            </w:r>
          </w:p>
        </w:tc>
        <w:tc>
          <w:tcPr>
            <w:tcW w:w="0" w:type="auto"/>
            <w:shd w:val="clear" w:color="auto" w:fill="FFFFFF"/>
            <w:tcMar>
              <w:top w:w="0" w:type="dxa"/>
              <w:left w:w="85" w:type="dxa"/>
              <w:bottom w:w="0" w:type="dxa"/>
              <w:right w:w="85" w:type="dxa"/>
            </w:tcMar>
          </w:tcPr>
          <w:p w14:paraId="04CABB32" w14:textId="77777777" w:rsidR="00E87995" w:rsidRPr="009E06AA" w:rsidRDefault="00E87995" w:rsidP="00E770EF">
            <w:pPr>
              <w:pStyle w:val="TableText"/>
              <w:spacing w:before="30" w:after="30"/>
              <w:jc w:val="right"/>
            </w:pPr>
            <w:r w:rsidRPr="009E06AA">
              <w:rPr>
                <w:color w:val="000000"/>
              </w:rPr>
              <w:t>0.3</w:t>
            </w:r>
          </w:p>
        </w:tc>
        <w:tc>
          <w:tcPr>
            <w:tcW w:w="0" w:type="auto"/>
            <w:shd w:val="clear" w:color="auto" w:fill="FFFFFF"/>
            <w:tcMar>
              <w:top w:w="0" w:type="dxa"/>
              <w:left w:w="85" w:type="dxa"/>
              <w:bottom w:w="0" w:type="dxa"/>
              <w:right w:w="85" w:type="dxa"/>
            </w:tcMar>
          </w:tcPr>
          <w:p w14:paraId="707C297B" w14:textId="77777777" w:rsidR="00E87995" w:rsidRPr="009E06AA" w:rsidRDefault="00E87995" w:rsidP="00E770EF">
            <w:pPr>
              <w:pStyle w:val="TableText"/>
              <w:spacing w:before="30" w:after="30"/>
              <w:jc w:val="right"/>
            </w:pPr>
            <w:r w:rsidRPr="009E06AA">
              <w:rPr>
                <w:color w:val="000000"/>
              </w:rPr>
              <w:t>0.6</w:t>
            </w:r>
          </w:p>
        </w:tc>
        <w:tc>
          <w:tcPr>
            <w:tcW w:w="0" w:type="auto"/>
            <w:shd w:val="clear" w:color="auto" w:fill="FFFFFF"/>
            <w:tcMar>
              <w:top w:w="0" w:type="dxa"/>
              <w:left w:w="85" w:type="dxa"/>
              <w:bottom w:w="0" w:type="dxa"/>
              <w:right w:w="85" w:type="dxa"/>
            </w:tcMar>
          </w:tcPr>
          <w:p w14:paraId="665035FD" w14:textId="77777777" w:rsidR="00E87995" w:rsidRPr="009E06AA" w:rsidRDefault="00E87995" w:rsidP="00E770EF">
            <w:pPr>
              <w:pStyle w:val="TableText"/>
              <w:spacing w:before="30" w:after="30"/>
              <w:jc w:val="right"/>
            </w:pPr>
            <w:r w:rsidRPr="009E06AA">
              <w:rPr>
                <w:color w:val="000000"/>
              </w:rPr>
              <w:t>2.8</w:t>
            </w:r>
          </w:p>
        </w:tc>
      </w:tr>
      <w:tr w:rsidR="00E87995" w:rsidRPr="009E06AA" w14:paraId="3B77E4DA" w14:textId="77777777" w:rsidTr="00B55F24">
        <w:tc>
          <w:tcPr>
            <w:tcW w:w="567" w:type="dxa"/>
            <w:shd w:val="clear" w:color="auto" w:fill="FFFFFF"/>
            <w:tcMar>
              <w:top w:w="0" w:type="dxa"/>
              <w:left w:w="85" w:type="dxa"/>
              <w:bottom w:w="0" w:type="dxa"/>
              <w:right w:w="85" w:type="dxa"/>
            </w:tcMar>
          </w:tcPr>
          <w:p w14:paraId="1E72F6BB" w14:textId="77777777" w:rsidR="00E87995" w:rsidRPr="009E06AA" w:rsidRDefault="00E87995" w:rsidP="00B55F24">
            <w:pPr>
              <w:pStyle w:val="TableText"/>
              <w:spacing w:before="30" w:after="30"/>
              <w:rPr>
                <w:b/>
              </w:rPr>
            </w:pPr>
            <w:r w:rsidRPr="009E06AA">
              <w:rPr>
                <w:b/>
                <w:color w:val="1B556B"/>
              </w:rPr>
              <w:t>2007</w:t>
            </w:r>
          </w:p>
        </w:tc>
        <w:tc>
          <w:tcPr>
            <w:tcW w:w="1980" w:type="dxa"/>
            <w:shd w:val="clear" w:color="auto" w:fill="FFFFFF"/>
            <w:tcMar>
              <w:top w:w="0" w:type="dxa"/>
              <w:left w:w="85" w:type="dxa"/>
              <w:bottom w:w="0" w:type="dxa"/>
              <w:right w:w="85" w:type="dxa"/>
            </w:tcMar>
          </w:tcPr>
          <w:p w14:paraId="3B703621" w14:textId="77777777" w:rsidR="00E87995" w:rsidRPr="009E06AA" w:rsidRDefault="00E87995" w:rsidP="00E770EF">
            <w:pPr>
              <w:pStyle w:val="TableText"/>
              <w:spacing w:before="30" w:after="30"/>
              <w:jc w:val="right"/>
            </w:pPr>
            <w:r w:rsidRPr="009E06AA">
              <w:rPr>
                <w:color w:val="000000"/>
              </w:rPr>
              <w:t>1.7</w:t>
            </w:r>
          </w:p>
        </w:tc>
        <w:tc>
          <w:tcPr>
            <w:tcW w:w="0" w:type="auto"/>
            <w:shd w:val="clear" w:color="auto" w:fill="FFFFFF"/>
            <w:tcMar>
              <w:top w:w="0" w:type="dxa"/>
              <w:left w:w="85" w:type="dxa"/>
              <w:bottom w:w="0" w:type="dxa"/>
              <w:right w:w="85" w:type="dxa"/>
            </w:tcMar>
          </w:tcPr>
          <w:p w14:paraId="5AD973CB" w14:textId="77777777" w:rsidR="00E87995" w:rsidRPr="009E06AA" w:rsidRDefault="00E87995" w:rsidP="00E770EF">
            <w:pPr>
              <w:pStyle w:val="TableText"/>
              <w:spacing w:before="30" w:after="30"/>
              <w:jc w:val="right"/>
            </w:pPr>
            <w:r w:rsidRPr="009E06AA">
              <w:rPr>
                <w:color w:val="000000"/>
              </w:rPr>
              <w:t>0.2</w:t>
            </w:r>
          </w:p>
        </w:tc>
        <w:tc>
          <w:tcPr>
            <w:tcW w:w="0" w:type="auto"/>
            <w:shd w:val="clear" w:color="auto" w:fill="FFFFFF"/>
            <w:tcMar>
              <w:top w:w="0" w:type="dxa"/>
              <w:left w:w="85" w:type="dxa"/>
              <w:bottom w:w="0" w:type="dxa"/>
              <w:right w:w="85" w:type="dxa"/>
            </w:tcMar>
          </w:tcPr>
          <w:p w14:paraId="633C0A7C" w14:textId="77777777" w:rsidR="00E87995" w:rsidRPr="009E06AA" w:rsidRDefault="00E87995" w:rsidP="00E770EF">
            <w:pPr>
              <w:pStyle w:val="TableText"/>
              <w:spacing w:before="30" w:after="30"/>
              <w:jc w:val="right"/>
            </w:pPr>
            <w:r w:rsidRPr="009E06AA">
              <w:rPr>
                <w:color w:val="000000"/>
              </w:rPr>
              <w:t>0.3</w:t>
            </w:r>
          </w:p>
        </w:tc>
        <w:tc>
          <w:tcPr>
            <w:tcW w:w="0" w:type="auto"/>
            <w:shd w:val="clear" w:color="auto" w:fill="FFFFFF"/>
            <w:tcMar>
              <w:top w:w="0" w:type="dxa"/>
              <w:left w:w="85" w:type="dxa"/>
              <w:bottom w:w="0" w:type="dxa"/>
              <w:right w:w="85" w:type="dxa"/>
            </w:tcMar>
          </w:tcPr>
          <w:p w14:paraId="116B2BCA" w14:textId="77777777" w:rsidR="00E87995" w:rsidRPr="009E06AA" w:rsidRDefault="00E87995" w:rsidP="00E770EF">
            <w:pPr>
              <w:pStyle w:val="TableText"/>
              <w:spacing w:before="30" w:after="30"/>
              <w:jc w:val="right"/>
            </w:pPr>
            <w:r w:rsidRPr="009E06AA">
              <w:rPr>
                <w:color w:val="000000"/>
              </w:rPr>
              <w:t>0.6</w:t>
            </w:r>
          </w:p>
        </w:tc>
        <w:tc>
          <w:tcPr>
            <w:tcW w:w="0" w:type="auto"/>
            <w:shd w:val="clear" w:color="auto" w:fill="FFFFFF"/>
            <w:tcMar>
              <w:top w:w="0" w:type="dxa"/>
              <w:left w:w="85" w:type="dxa"/>
              <w:bottom w:w="0" w:type="dxa"/>
              <w:right w:w="85" w:type="dxa"/>
            </w:tcMar>
          </w:tcPr>
          <w:p w14:paraId="577B97B5" w14:textId="77777777" w:rsidR="00E87995" w:rsidRPr="009E06AA" w:rsidRDefault="00E87995" w:rsidP="00E770EF">
            <w:pPr>
              <w:pStyle w:val="TableText"/>
              <w:spacing w:before="30" w:after="30"/>
              <w:jc w:val="right"/>
            </w:pPr>
            <w:r w:rsidRPr="009E06AA">
              <w:rPr>
                <w:color w:val="000000"/>
              </w:rPr>
              <w:t>2.8</w:t>
            </w:r>
          </w:p>
        </w:tc>
      </w:tr>
      <w:tr w:rsidR="00E87995" w:rsidRPr="009E06AA" w14:paraId="7CC7FC5D" w14:textId="77777777" w:rsidTr="00B55F24">
        <w:tc>
          <w:tcPr>
            <w:tcW w:w="567" w:type="dxa"/>
            <w:shd w:val="clear" w:color="auto" w:fill="FFFFFF"/>
            <w:tcMar>
              <w:top w:w="0" w:type="dxa"/>
              <w:left w:w="85" w:type="dxa"/>
              <w:bottom w:w="0" w:type="dxa"/>
              <w:right w:w="85" w:type="dxa"/>
            </w:tcMar>
          </w:tcPr>
          <w:p w14:paraId="019360D5" w14:textId="77777777" w:rsidR="00E87995" w:rsidRPr="009E06AA" w:rsidRDefault="00E87995" w:rsidP="00B55F24">
            <w:pPr>
              <w:pStyle w:val="TableText"/>
              <w:spacing w:before="30" w:after="30"/>
              <w:rPr>
                <w:b/>
              </w:rPr>
            </w:pPr>
            <w:r w:rsidRPr="009E06AA">
              <w:rPr>
                <w:b/>
                <w:color w:val="1B556B"/>
              </w:rPr>
              <w:t>2008</w:t>
            </w:r>
          </w:p>
        </w:tc>
        <w:tc>
          <w:tcPr>
            <w:tcW w:w="1980" w:type="dxa"/>
            <w:shd w:val="clear" w:color="auto" w:fill="FFFFFF"/>
            <w:tcMar>
              <w:top w:w="0" w:type="dxa"/>
              <w:left w:w="85" w:type="dxa"/>
              <w:bottom w:w="0" w:type="dxa"/>
              <w:right w:w="85" w:type="dxa"/>
            </w:tcMar>
          </w:tcPr>
          <w:p w14:paraId="0DF6727F" w14:textId="77777777" w:rsidR="00E87995" w:rsidRPr="009E06AA" w:rsidRDefault="00E87995" w:rsidP="00E770EF">
            <w:pPr>
              <w:pStyle w:val="TableText"/>
              <w:spacing w:before="30" w:after="30"/>
              <w:jc w:val="right"/>
            </w:pPr>
            <w:r w:rsidRPr="009E06AA">
              <w:rPr>
                <w:color w:val="000000"/>
              </w:rPr>
              <w:t>1.7</w:t>
            </w:r>
          </w:p>
        </w:tc>
        <w:tc>
          <w:tcPr>
            <w:tcW w:w="0" w:type="auto"/>
            <w:shd w:val="clear" w:color="auto" w:fill="FFFFFF"/>
            <w:tcMar>
              <w:top w:w="0" w:type="dxa"/>
              <w:left w:w="85" w:type="dxa"/>
              <w:bottom w:w="0" w:type="dxa"/>
              <w:right w:w="85" w:type="dxa"/>
            </w:tcMar>
          </w:tcPr>
          <w:p w14:paraId="42931E92" w14:textId="77777777" w:rsidR="00E87995" w:rsidRPr="009E06AA" w:rsidRDefault="00E87995" w:rsidP="00E770EF">
            <w:pPr>
              <w:pStyle w:val="TableText"/>
              <w:spacing w:before="30" w:after="30"/>
              <w:jc w:val="right"/>
            </w:pPr>
            <w:r w:rsidRPr="009E06AA">
              <w:rPr>
                <w:color w:val="000000"/>
              </w:rPr>
              <w:t>0.2</w:t>
            </w:r>
          </w:p>
        </w:tc>
        <w:tc>
          <w:tcPr>
            <w:tcW w:w="0" w:type="auto"/>
            <w:shd w:val="clear" w:color="auto" w:fill="FFFFFF"/>
            <w:tcMar>
              <w:top w:w="0" w:type="dxa"/>
              <w:left w:w="85" w:type="dxa"/>
              <w:bottom w:w="0" w:type="dxa"/>
              <w:right w:w="85" w:type="dxa"/>
            </w:tcMar>
          </w:tcPr>
          <w:p w14:paraId="2108A15E" w14:textId="77777777" w:rsidR="00E87995" w:rsidRPr="009E06AA" w:rsidRDefault="00E87995" w:rsidP="00E770EF">
            <w:pPr>
              <w:pStyle w:val="TableText"/>
              <w:spacing w:before="30" w:after="30"/>
              <w:jc w:val="right"/>
            </w:pPr>
            <w:r w:rsidRPr="009E06AA">
              <w:rPr>
                <w:color w:val="000000"/>
              </w:rPr>
              <w:t>0.4</w:t>
            </w:r>
          </w:p>
        </w:tc>
        <w:tc>
          <w:tcPr>
            <w:tcW w:w="0" w:type="auto"/>
            <w:shd w:val="clear" w:color="auto" w:fill="FFFFFF"/>
            <w:tcMar>
              <w:top w:w="0" w:type="dxa"/>
              <w:left w:w="85" w:type="dxa"/>
              <w:bottom w:w="0" w:type="dxa"/>
              <w:right w:w="85" w:type="dxa"/>
            </w:tcMar>
          </w:tcPr>
          <w:p w14:paraId="63235888" w14:textId="77777777" w:rsidR="00E87995" w:rsidRPr="009E06AA" w:rsidRDefault="00E87995" w:rsidP="00E770EF">
            <w:pPr>
              <w:pStyle w:val="TableText"/>
              <w:spacing w:before="30" w:after="30"/>
              <w:jc w:val="right"/>
            </w:pPr>
            <w:r w:rsidRPr="009E06AA">
              <w:rPr>
                <w:color w:val="000000"/>
              </w:rPr>
              <w:t>0.6</w:t>
            </w:r>
          </w:p>
        </w:tc>
        <w:tc>
          <w:tcPr>
            <w:tcW w:w="0" w:type="auto"/>
            <w:shd w:val="clear" w:color="auto" w:fill="FFFFFF"/>
            <w:tcMar>
              <w:top w:w="0" w:type="dxa"/>
              <w:left w:w="85" w:type="dxa"/>
              <w:bottom w:w="0" w:type="dxa"/>
              <w:right w:w="85" w:type="dxa"/>
            </w:tcMar>
          </w:tcPr>
          <w:p w14:paraId="5E083AE3" w14:textId="77777777" w:rsidR="00E87995" w:rsidRPr="009E06AA" w:rsidRDefault="00E87995" w:rsidP="00E770EF">
            <w:pPr>
              <w:pStyle w:val="TableText"/>
              <w:spacing w:before="30" w:after="30"/>
              <w:jc w:val="right"/>
            </w:pPr>
            <w:r w:rsidRPr="009E06AA">
              <w:rPr>
                <w:color w:val="000000"/>
              </w:rPr>
              <w:t>2.8</w:t>
            </w:r>
          </w:p>
        </w:tc>
      </w:tr>
      <w:tr w:rsidR="00E87995" w:rsidRPr="009E06AA" w14:paraId="6BC0F954" w14:textId="77777777" w:rsidTr="00B55F24">
        <w:tc>
          <w:tcPr>
            <w:tcW w:w="567" w:type="dxa"/>
            <w:shd w:val="clear" w:color="auto" w:fill="FFFFFF"/>
            <w:tcMar>
              <w:top w:w="0" w:type="dxa"/>
              <w:left w:w="85" w:type="dxa"/>
              <w:bottom w:w="0" w:type="dxa"/>
              <w:right w:w="85" w:type="dxa"/>
            </w:tcMar>
          </w:tcPr>
          <w:p w14:paraId="1F297D30" w14:textId="77777777" w:rsidR="00E87995" w:rsidRPr="009E06AA" w:rsidRDefault="00E87995" w:rsidP="00B55F24">
            <w:pPr>
              <w:pStyle w:val="TableText"/>
              <w:spacing w:before="30" w:after="30"/>
              <w:rPr>
                <w:b/>
              </w:rPr>
            </w:pPr>
            <w:r w:rsidRPr="009E06AA">
              <w:rPr>
                <w:b/>
                <w:color w:val="1B556B"/>
              </w:rPr>
              <w:t>2009</w:t>
            </w:r>
          </w:p>
        </w:tc>
        <w:tc>
          <w:tcPr>
            <w:tcW w:w="1980" w:type="dxa"/>
            <w:shd w:val="clear" w:color="auto" w:fill="FFFFFF"/>
            <w:tcMar>
              <w:top w:w="0" w:type="dxa"/>
              <w:left w:w="85" w:type="dxa"/>
              <w:bottom w:w="0" w:type="dxa"/>
              <w:right w:w="85" w:type="dxa"/>
            </w:tcMar>
          </w:tcPr>
          <w:p w14:paraId="15B46897" w14:textId="77777777" w:rsidR="00E87995" w:rsidRPr="009E06AA" w:rsidRDefault="00E87995" w:rsidP="00E770EF">
            <w:pPr>
              <w:pStyle w:val="TableText"/>
              <w:spacing w:before="30" w:after="30"/>
              <w:jc w:val="right"/>
            </w:pPr>
            <w:r w:rsidRPr="009E06AA">
              <w:rPr>
                <w:color w:val="000000"/>
              </w:rPr>
              <w:t>1.6</w:t>
            </w:r>
          </w:p>
        </w:tc>
        <w:tc>
          <w:tcPr>
            <w:tcW w:w="0" w:type="auto"/>
            <w:shd w:val="clear" w:color="auto" w:fill="FFFFFF"/>
            <w:tcMar>
              <w:top w:w="0" w:type="dxa"/>
              <w:left w:w="85" w:type="dxa"/>
              <w:bottom w:w="0" w:type="dxa"/>
              <w:right w:w="85" w:type="dxa"/>
            </w:tcMar>
          </w:tcPr>
          <w:p w14:paraId="451D2DA4" w14:textId="77777777" w:rsidR="00E87995" w:rsidRPr="009E06AA" w:rsidRDefault="00E87995" w:rsidP="00E770EF">
            <w:pPr>
              <w:pStyle w:val="TableText"/>
              <w:spacing w:before="30" w:after="30"/>
              <w:jc w:val="right"/>
            </w:pPr>
            <w:r w:rsidRPr="009E06AA">
              <w:rPr>
                <w:color w:val="000000"/>
              </w:rPr>
              <w:t>0.2</w:t>
            </w:r>
          </w:p>
        </w:tc>
        <w:tc>
          <w:tcPr>
            <w:tcW w:w="0" w:type="auto"/>
            <w:shd w:val="clear" w:color="auto" w:fill="FFFFFF"/>
            <w:tcMar>
              <w:top w:w="0" w:type="dxa"/>
              <w:left w:w="85" w:type="dxa"/>
              <w:bottom w:w="0" w:type="dxa"/>
              <w:right w:w="85" w:type="dxa"/>
            </w:tcMar>
          </w:tcPr>
          <w:p w14:paraId="0B6CBCAE" w14:textId="77777777" w:rsidR="00E87995" w:rsidRPr="009E06AA" w:rsidRDefault="00E87995" w:rsidP="00E770EF">
            <w:pPr>
              <w:pStyle w:val="TableText"/>
              <w:spacing w:before="30" w:after="30"/>
              <w:jc w:val="right"/>
            </w:pPr>
            <w:r w:rsidRPr="009E06AA">
              <w:rPr>
                <w:color w:val="000000"/>
              </w:rPr>
              <w:t>0.4</w:t>
            </w:r>
          </w:p>
        </w:tc>
        <w:tc>
          <w:tcPr>
            <w:tcW w:w="0" w:type="auto"/>
            <w:shd w:val="clear" w:color="auto" w:fill="FFFFFF"/>
            <w:tcMar>
              <w:top w:w="0" w:type="dxa"/>
              <w:left w:w="85" w:type="dxa"/>
              <w:bottom w:w="0" w:type="dxa"/>
              <w:right w:w="85" w:type="dxa"/>
            </w:tcMar>
          </w:tcPr>
          <w:p w14:paraId="658F195A" w14:textId="77777777" w:rsidR="00E87995" w:rsidRPr="009E06AA" w:rsidRDefault="00E87995" w:rsidP="00E770EF">
            <w:pPr>
              <w:pStyle w:val="TableText"/>
              <w:spacing w:before="30" w:after="30"/>
              <w:jc w:val="right"/>
            </w:pPr>
            <w:r w:rsidRPr="009E06AA">
              <w:rPr>
                <w:color w:val="000000"/>
              </w:rPr>
              <w:t>0.6</w:t>
            </w:r>
          </w:p>
        </w:tc>
        <w:tc>
          <w:tcPr>
            <w:tcW w:w="0" w:type="auto"/>
            <w:shd w:val="clear" w:color="auto" w:fill="FFFFFF"/>
            <w:tcMar>
              <w:top w:w="0" w:type="dxa"/>
              <w:left w:w="85" w:type="dxa"/>
              <w:bottom w:w="0" w:type="dxa"/>
              <w:right w:w="85" w:type="dxa"/>
            </w:tcMar>
          </w:tcPr>
          <w:p w14:paraId="3DCC901A" w14:textId="77777777" w:rsidR="00E87995" w:rsidRPr="009E06AA" w:rsidRDefault="00E87995" w:rsidP="00E770EF">
            <w:pPr>
              <w:pStyle w:val="TableText"/>
              <w:spacing w:before="30" w:after="30"/>
              <w:jc w:val="right"/>
            </w:pPr>
            <w:r w:rsidRPr="009E06AA">
              <w:rPr>
                <w:color w:val="000000"/>
              </w:rPr>
              <w:t>2.7</w:t>
            </w:r>
          </w:p>
        </w:tc>
      </w:tr>
      <w:tr w:rsidR="00E87995" w:rsidRPr="009E06AA" w14:paraId="79734DE7" w14:textId="77777777" w:rsidTr="00B55F24">
        <w:tc>
          <w:tcPr>
            <w:tcW w:w="567" w:type="dxa"/>
            <w:shd w:val="clear" w:color="auto" w:fill="FFFFFF"/>
            <w:tcMar>
              <w:top w:w="0" w:type="dxa"/>
              <w:left w:w="85" w:type="dxa"/>
              <w:bottom w:w="0" w:type="dxa"/>
              <w:right w:w="85" w:type="dxa"/>
            </w:tcMar>
          </w:tcPr>
          <w:p w14:paraId="6529FB15" w14:textId="77777777" w:rsidR="00E87995" w:rsidRPr="009E06AA" w:rsidRDefault="00E87995" w:rsidP="00B55F24">
            <w:pPr>
              <w:pStyle w:val="TableText"/>
              <w:spacing w:before="30" w:after="30"/>
              <w:rPr>
                <w:b/>
              </w:rPr>
            </w:pPr>
            <w:r w:rsidRPr="009E06AA">
              <w:rPr>
                <w:b/>
                <w:color w:val="1B556B"/>
              </w:rPr>
              <w:t>2010</w:t>
            </w:r>
          </w:p>
        </w:tc>
        <w:tc>
          <w:tcPr>
            <w:tcW w:w="1980" w:type="dxa"/>
            <w:shd w:val="clear" w:color="auto" w:fill="FFFFFF"/>
            <w:tcMar>
              <w:top w:w="0" w:type="dxa"/>
              <w:left w:w="85" w:type="dxa"/>
              <w:bottom w:w="0" w:type="dxa"/>
              <w:right w:w="85" w:type="dxa"/>
            </w:tcMar>
          </w:tcPr>
          <w:p w14:paraId="1692404E" w14:textId="77777777" w:rsidR="00E87995" w:rsidRPr="009E06AA" w:rsidRDefault="00E87995" w:rsidP="00E770EF">
            <w:pPr>
              <w:pStyle w:val="TableText"/>
              <w:spacing w:before="30" w:after="30"/>
              <w:jc w:val="right"/>
            </w:pPr>
            <w:r w:rsidRPr="009E06AA">
              <w:rPr>
                <w:color w:val="000000"/>
              </w:rPr>
              <w:t>1.5</w:t>
            </w:r>
          </w:p>
        </w:tc>
        <w:tc>
          <w:tcPr>
            <w:tcW w:w="0" w:type="auto"/>
            <w:shd w:val="clear" w:color="auto" w:fill="FFFFFF"/>
            <w:tcMar>
              <w:top w:w="0" w:type="dxa"/>
              <w:left w:w="85" w:type="dxa"/>
              <w:bottom w:w="0" w:type="dxa"/>
              <w:right w:w="85" w:type="dxa"/>
            </w:tcMar>
          </w:tcPr>
          <w:p w14:paraId="03B9A47D" w14:textId="77777777" w:rsidR="00E87995" w:rsidRPr="009E06AA" w:rsidRDefault="00E87995" w:rsidP="00E770EF">
            <w:pPr>
              <w:pStyle w:val="TableText"/>
              <w:spacing w:before="30" w:after="30"/>
              <w:jc w:val="right"/>
            </w:pPr>
            <w:r w:rsidRPr="009E06AA">
              <w:rPr>
                <w:color w:val="000000"/>
              </w:rPr>
              <w:t>0.2</w:t>
            </w:r>
          </w:p>
        </w:tc>
        <w:tc>
          <w:tcPr>
            <w:tcW w:w="0" w:type="auto"/>
            <w:shd w:val="clear" w:color="auto" w:fill="FFFFFF"/>
            <w:tcMar>
              <w:top w:w="0" w:type="dxa"/>
              <w:left w:w="85" w:type="dxa"/>
              <w:bottom w:w="0" w:type="dxa"/>
              <w:right w:w="85" w:type="dxa"/>
            </w:tcMar>
          </w:tcPr>
          <w:p w14:paraId="03E81313" w14:textId="77777777" w:rsidR="00E87995" w:rsidRPr="009E06AA" w:rsidRDefault="00E87995" w:rsidP="00E770EF">
            <w:pPr>
              <w:pStyle w:val="TableText"/>
              <w:spacing w:before="30" w:after="30"/>
              <w:jc w:val="right"/>
            </w:pPr>
            <w:r w:rsidRPr="009E06AA">
              <w:rPr>
                <w:color w:val="000000"/>
              </w:rPr>
              <w:t>0.4</w:t>
            </w:r>
          </w:p>
        </w:tc>
        <w:tc>
          <w:tcPr>
            <w:tcW w:w="0" w:type="auto"/>
            <w:shd w:val="clear" w:color="auto" w:fill="FFFFFF"/>
            <w:tcMar>
              <w:top w:w="0" w:type="dxa"/>
              <w:left w:w="85" w:type="dxa"/>
              <w:bottom w:w="0" w:type="dxa"/>
              <w:right w:w="85" w:type="dxa"/>
            </w:tcMar>
          </w:tcPr>
          <w:p w14:paraId="79307433" w14:textId="77777777" w:rsidR="00E87995" w:rsidRPr="009E06AA" w:rsidRDefault="00E87995" w:rsidP="00E770EF">
            <w:pPr>
              <w:pStyle w:val="TableText"/>
              <w:spacing w:before="30" w:after="30"/>
              <w:jc w:val="right"/>
            </w:pPr>
            <w:r w:rsidRPr="009E06AA">
              <w:rPr>
                <w:color w:val="000000"/>
              </w:rPr>
              <w:t>0.6</w:t>
            </w:r>
          </w:p>
        </w:tc>
        <w:tc>
          <w:tcPr>
            <w:tcW w:w="0" w:type="auto"/>
            <w:shd w:val="clear" w:color="auto" w:fill="FFFFFF"/>
            <w:tcMar>
              <w:top w:w="0" w:type="dxa"/>
              <w:left w:w="85" w:type="dxa"/>
              <w:bottom w:w="0" w:type="dxa"/>
              <w:right w:w="85" w:type="dxa"/>
            </w:tcMar>
          </w:tcPr>
          <w:p w14:paraId="52E6C07D" w14:textId="77777777" w:rsidR="00E87995" w:rsidRPr="009E06AA" w:rsidRDefault="00E87995" w:rsidP="00E770EF">
            <w:pPr>
              <w:pStyle w:val="TableText"/>
              <w:spacing w:before="30" w:after="30"/>
              <w:jc w:val="right"/>
            </w:pPr>
            <w:r w:rsidRPr="009E06AA">
              <w:rPr>
                <w:color w:val="000000"/>
              </w:rPr>
              <w:t>2.7</w:t>
            </w:r>
          </w:p>
        </w:tc>
      </w:tr>
      <w:tr w:rsidR="00E87995" w:rsidRPr="009E06AA" w14:paraId="1253196B" w14:textId="77777777" w:rsidTr="00B55F24">
        <w:tc>
          <w:tcPr>
            <w:tcW w:w="567" w:type="dxa"/>
            <w:shd w:val="clear" w:color="auto" w:fill="FFFFFF"/>
            <w:tcMar>
              <w:top w:w="0" w:type="dxa"/>
              <w:left w:w="85" w:type="dxa"/>
              <w:bottom w:w="0" w:type="dxa"/>
              <w:right w:w="85" w:type="dxa"/>
            </w:tcMar>
          </w:tcPr>
          <w:p w14:paraId="57809698" w14:textId="77777777" w:rsidR="00E87995" w:rsidRPr="009E06AA" w:rsidRDefault="00E87995" w:rsidP="00B55F24">
            <w:pPr>
              <w:pStyle w:val="TableText"/>
              <w:spacing w:before="30" w:after="30"/>
              <w:rPr>
                <w:b/>
              </w:rPr>
            </w:pPr>
            <w:r w:rsidRPr="009E06AA">
              <w:rPr>
                <w:b/>
                <w:color w:val="1B556B"/>
              </w:rPr>
              <w:t>2011</w:t>
            </w:r>
          </w:p>
        </w:tc>
        <w:tc>
          <w:tcPr>
            <w:tcW w:w="1980" w:type="dxa"/>
            <w:shd w:val="clear" w:color="auto" w:fill="FFFFFF"/>
            <w:tcMar>
              <w:top w:w="0" w:type="dxa"/>
              <w:left w:w="85" w:type="dxa"/>
              <w:bottom w:w="0" w:type="dxa"/>
              <w:right w:w="85" w:type="dxa"/>
            </w:tcMar>
          </w:tcPr>
          <w:p w14:paraId="7B1E32D6" w14:textId="77777777" w:rsidR="00E87995" w:rsidRPr="009E06AA" w:rsidRDefault="00E87995" w:rsidP="00E770EF">
            <w:pPr>
              <w:pStyle w:val="TableText"/>
              <w:spacing w:before="30" w:after="30"/>
              <w:jc w:val="right"/>
            </w:pPr>
            <w:r w:rsidRPr="009E06AA">
              <w:rPr>
                <w:color w:val="000000"/>
              </w:rPr>
              <w:t>1.5</w:t>
            </w:r>
          </w:p>
        </w:tc>
        <w:tc>
          <w:tcPr>
            <w:tcW w:w="0" w:type="auto"/>
            <w:shd w:val="clear" w:color="auto" w:fill="FFFFFF"/>
            <w:tcMar>
              <w:top w:w="0" w:type="dxa"/>
              <w:left w:w="85" w:type="dxa"/>
              <w:bottom w:w="0" w:type="dxa"/>
              <w:right w:w="85" w:type="dxa"/>
            </w:tcMar>
          </w:tcPr>
          <w:p w14:paraId="509131FA" w14:textId="77777777" w:rsidR="00E87995" w:rsidRPr="009E06AA" w:rsidRDefault="00E87995" w:rsidP="00E770EF">
            <w:pPr>
              <w:pStyle w:val="TableText"/>
              <w:spacing w:before="30" w:after="30"/>
              <w:jc w:val="right"/>
            </w:pPr>
            <w:r w:rsidRPr="009E06AA">
              <w:rPr>
                <w:color w:val="000000"/>
              </w:rPr>
              <w:t>0.2</w:t>
            </w:r>
          </w:p>
        </w:tc>
        <w:tc>
          <w:tcPr>
            <w:tcW w:w="0" w:type="auto"/>
            <w:shd w:val="clear" w:color="auto" w:fill="FFFFFF"/>
            <w:tcMar>
              <w:top w:w="0" w:type="dxa"/>
              <w:left w:w="85" w:type="dxa"/>
              <w:bottom w:w="0" w:type="dxa"/>
              <w:right w:w="85" w:type="dxa"/>
            </w:tcMar>
          </w:tcPr>
          <w:p w14:paraId="6D3735EF" w14:textId="77777777" w:rsidR="00E87995" w:rsidRPr="009E06AA" w:rsidRDefault="00E87995" w:rsidP="00E770EF">
            <w:pPr>
              <w:pStyle w:val="TableText"/>
              <w:spacing w:before="30" w:after="30"/>
              <w:jc w:val="right"/>
            </w:pPr>
            <w:r w:rsidRPr="009E06AA">
              <w:rPr>
                <w:color w:val="000000"/>
              </w:rPr>
              <w:t>0.4</w:t>
            </w:r>
          </w:p>
        </w:tc>
        <w:tc>
          <w:tcPr>
            <w:tcW w:w="0" w:type="auto"/>
            <w:shd w:val="clear" w:color="auto" w:fill="FFFFFF"/>
            <w:tcMar>
              <w:top w:w="0" w:type="dxa"/>
              <w:left w:w="85" w:type="dxa"/>
              <w:bottom w:w="0" w:type="dxa"/>
              <w:right w:w="85" w:type="dxa"/>
            </w:tcMar>
          </w:tcPr>
          <w:p w14:paraId="7A1D0429" w14:textId="77777777" w:rsidR="00E87995" w:rsidRPr="009E06AA" w:rsidRDefault="00E87995" w:rsidP="00E770EF">
            <w:pPr>
              <w:pStyle w:val="TableText"/>
              <w:spacing w:before="30" w:after="30"/>
              <w:jc w:val="right"/>
            </w:pPr>
            <w:r w:rsidRPr="009E06AA">
              <w:rPr>
                <w:color w:val="000000"/>
              </w:rPr>
              <w:t>0.6</w:t>
            </w:r>
          </w:p>
        </w:tc>
        <w:tc>
          <w:tcPr>
            <w:tcW w:w="0" w:type="auto"/>
            <w:shd w:val="clear" w:color="auto" w:fill="FFFFFF"/>
            <w:tcMar>
              <w:top w:w="0" w:type="dxa"/>
              <w:left w:w="85" w:type="dxa"/>
              <w:bottom w:w="0" w:type="dxa"/>
              <w:right w:w="85" w:type="dxa"/>
            </w:tcMar>
          </w:tcPr>
          <w:p w14:paraId="4635A04A" w14:textId="77777777" w:rsidR="00E87995" w:rsidRPr="009E06AA" w:rsidRDefault="00E87995" w:rsidP="00E770EF">
            <w:pPr>
              <w:pStyle w:val="TableText"/>
              <w:spacing w:before="30" w:after="30"/>
              <w:jc w:val="right"/>
            </w:pPr>
            <w:r w:rsidRPr="009E06AA">
              <w:rPr>
                <w:color w:val="000000"/>
              </w:rPr>
              <w:t>2.7</w:t>
            </w:r>
          </w:p>
        </w:tc>
      </w:tr>
      <w:tr w:rsidR="00E87995" w:rsidRPr="009E06AA" w14:paraId="7D83FEBC" w14:textId="77777777" w:rsidTr="00B55F24">
        <w:tc>
          <w:tcPr>
            <w:tcW w:w="567" w:type="dxa"/>
            <w:shd w:val="clear" w:color="auto" w:fill="FFFFFF"/>
            <w:tcMar>
              <w:top w:w="0" w:type="dxa"/>
              <w:left w:w="85" w:type="dxa"/>
              <w:bottom w:w="0" w:type="dxa"/>
              <w:right w:w="85" w:type="dxa"/>
            </w:tcMar>
          </w:tcPr>
          <w:p w14:paraId="1902CBE1" w14:textId="77777777" w:rsidR="00E87995" w:rsidRPr="009E06AA" w:rsidRDefault="00E87995" w:rsidP="00B55F24">
            <w:pPr>
              <w:pStyle w:val="TableText"/>
              <w:spacing w:before="30" w:after="30"/>
              <w:rPr>
                <w:b/>
              </w:rPr>
            </w:pPr>
            <w:r w:rsidRPr="009E06AA">
              <w:rPr>
                <w:b/>
                <w:color w:val="1B556B"/>
              </w:rPr>
              <w:t>2012</w:t>
            </w:r>
          </w:p>
        </w:tc>
        <w:tc>
          <w:tcPr>
            <w:tcW w:w="1980" w:type="dxa"/>
            <w:shd w:val="clear" w:color="auto" w:fill="FFFFFF"/>
            <w:tcMar>
              <w:top w:w="0" w:type="dxa"/>
              <w:left w:w="85" w:type="dxa"/>
              <w:bottom w:w="0" w:type="dxa"/>
              <w:right w:w="85" w:type="dxa"/>
            </w:tcMar>
          </w:tcPr>
          <w:p w14:paraId="1B543E72" w14:textId="77777777" w:rsidR="00E87995" w:rsidRPr="009E06AA" w:rsidRDefault="00E87995" w:rsidP="00E770EF">
            <w:pPr>
              <w:pStyle w:val="TableText"/>
              <w:spacing w:before="30" w:after="30"/>
              <w:jc w:val="right"/>
            </w:pPr>
            <w:r w:rsidRPr="009E06AA">
              <w:rPr>
                <w:color w:val="000000"/>
              </w:rPr>
              <w:t>1.5</w:t>
            </w:r>
          </w:p>
        </w:tc>
        <w:tc>
          <w:tcPr>
            <w:tcW w:w="0" w:type="auto"/>
            <w:shd w:val="clear" w:color="auto" w:fill="FFFFFF"/>
            <w:tcMar>
              <w:top w:w="0" w:type="dxa"/>
              <w:left w:w="85" w:type="dxa"/>
              <w:bottom w:w="0" w:type="dxa"/>
              <w:right w:w="85" w:type="dxa"/>
            </w:tcMar>
          </w:tcPr>
          <w:p w14:paraId="09EC6EBD" w14:textId="77777777" w:rsidR="00E87995" w:rsidRPr="009E06AA" w:rsidRDefault="00E87995" w:rsidP="00E770EF">
            <w:pPr>
              <w:pStyle w:val="TableText"/>
              <w:spacing w:before="30" w:after="30"/>
              <w:jc w:val="right"/>
            </w:pPr>
            <w:r w:rsidRPr="009E06AA">
              <w:rPr>
                <w:color w:val="000000"/>
              </w:rPr>
              <w:t>0.2</w:t>
            </w:r>
          </w:p>
        </w:tc>
        <w:tc>
          <w:tcPr>
            <w:tcW w:w="0" w:type="auto"/>
            <w:shd w:val="clear" w:color="auto" w:fill="FFFFFF"/>
            <w:tcMar>
              <w:top w:w="0" w:type="dxa"/>
              <w:left w:w="85" w:type="dxa"/>
              <w:bottom w:w="0" w:type="dxa"/>
              <w:right w:w="85" w:type="dxa"/>
            </w:tcMar>
          </w:tcPr>
          <w:p w14:paraId="4E60FB89" w14:textId="77777777" w:rsidR="00E87995" w:rsidRPr="009E06AA" w:rsidRDefault="00E87995" w:rsidP="00E770EF">
            <w:pPr>
              <w:pStyle w:val="TableText"/>
              <w:spacing w:before="30" w:after="30"/>
              <w:jc w:val="right"/>
            </w:pPr>
            <w:r w:rsidRPr="009E06AA">
              <w:rPr>
                <w:color w:val="000000"/>
              </w:rPr>
              <w:t>0.4</w:t>
            </w:r>
          </w:p>
        </w:tc>
        <w:tc>
          <w:tcPr>
            <w:tcW w:w="0" w:type="auto"/>
            <w:shd w:val="clear" w:color="auto" w:fill="FFFFFF"/>
            <w:tcMar>
              <w:top w:w="0" w:type="dxa"/>
              <w:left w:w="85" w:type="dxa"/>
              <w:bottom w:w="0" w:type="dxa"/>
              <w:right w:w="85" w:type="dxa"/>
            </w:tcMar>
          </w:tcPr>
          <w:p w14:paraId="799E9D6B" w14:textId="77777777" w:rsidR="00E87995" w:rsidRPr="009E06AA" w:rsidRDefault="00E87995" w:rsidP="00E770EF">
            <w:pPr>
              <w:pStyle w:val="TableText"/>
              <w:spacing w:before="30" w:after="30"/>
              <w:jc w:val="right"/>
            </w:pPr>
            <w:r w:rsidRPr="009E06AA">
              <w:rPr>
                <w:color w:val="000000"/>
              </w:rPr>
              <w:t>0.6</w:t>
            </w:r>
          </w:p>
        </w:tc>
        <w:tc>
          <w:tcPr>
            <w:tcW w:w="0" w:type="auto"/>
            <w:shd w:val="clear" w:color="auto" w:fill="FFFFFF"/>
            <w:tcMar>
              <w:top w:w="0" w:type="dxa"/>
              <w:left w:w="85" w:type="dxa"/>
              <w:bottom w:w="0" w:type="dxa"/>
              <w:right w:w="85" w:type="dxa"/>
            </w:tcMar>
          </w:tcPr>
          <w:p w14:paraId="550A0C3A" w14:textId="77777777" w:rsidR="00E87995" w:rsidRPr="009E06AA" w:rsidRDefault="00E87995" w:rsidP="00E770EF">
            <w:pPr>
              <w:pStyle w:val="TableText"/>
              <w:spacing w:before="30" w:after="30"/>
              <w:jc w:val="right"/>
            </w:pPr>
            <w:r w:rsidRPr="009E06AA">
              <w:rPr>
                <w:color w:val="000000"/>
              </w:rPr>
              <w:t>2.7</w:t>
            </w:r>
          </w:p>
        </w:tc>
      </w:tr>
      <w:tr w:rsidR="00E87995" w:rsidRPr="009E06AA" w14:paraId="5CFCD324" w14:textId="77777777" w:rsidTr="00B55F24">
        <w:tc>
          <w:tcPr>
            <w:tcW w:w="567" w:type="dxa"/>
            <w:shd w:val="clear" w:color="auto" w:fill="FFFFFF"/>
            <w:tcMar>
              <w:top w:w="0" w:type="dxa"/>
              <w:left w:w="85" w:type="dxa"/>
              <w:bottom w:w="0" w:type="dxa"/>
              <w:right w:w="85" w:type="dxa"/>
            </w:tcMar>
          </w:tcPr>
          <w:p w14:paraId="4BD06131" w14:textId="77777777" w:rsidR="00E87995" w:rsidRPr="009E06AA" w:rsidRDefault="00E87995" w:rsidP="00B55F24">
            <w:pPr>
              <w:pStyle w:val="TableText"/>
              <w:spacing w:before="30" w:after="30"/>
              <w:rPr>
                <w:b/>
              </w:rPr>
            </w:pPr>
            <w:r w:rsidRPr="009E06AA">
              <w:rPr>
                <w:b/>
                <w:color w:val="1B556B"/>
              </w:rPr>
              <w:t>2013</w:t>
            </w:r>
          </w:p>
        </w:tc>
        <w:tc>
          <w:tcPr>
            <w:tcW w:w="1980" w:type="dxa"/>
            <w:shd w:val="clear" w:color="auto" w:fill="FFFFFF"/>
            <w:tcMar>
              <w:top w:w="0" w:type="dxa"/>
              <w:left w:w="85" w:type="dxa"/>
              <w:bottom w:w="0" w:type="dxa"/>
              <w:right w:w="85" w:type="dxa"/>
            </w:tcMar>
          </w:tcPr>
          <w:p w14:paraId="142D680D" w14:textId="77777777" w:rsidR="00E87995" w:rsidRPr="009E06AA" w:rsidRDefault="00E87995" w:rsidP="00E770EF">
            <w:pPr>
              <w:pStyle w:val="TableText"/>
              <w:spacing w:before="30" w:after="30"/>
              <w:jc w:val="right"/>
            </w:pPr>
            <w:r w:rsidRPr="009E06AA">
              <w:rPr>
                <w:color w:val="000000"/>
              </w:rPr>
              <w:t>1.5</w:t>
            </w:r>
          </w:p>
        </w:tc>
        <w:tc>
          <w:tcPr>
            <w:tcW w:w="0" w:type="auto"/>
            <w:shd w:val="clear" w:color="auto" w:fill="FFFFFF"/>
            <w:tcMar>
              <w:top w:w="0" w:type="dxa"/>
              <w:left w:w="85" w:type="dxa"/>
              <w:bottom w:w="0" w:type="dxa"/>
              <w:right w:w="85" w:type="dxa"/>
            </w:tcMar>
          </w:tcPr>
          <w:p w14:paraId="2CFD66A2" w14:textId="77777777" w:rsidR="00E87995" w:rsidRPr="009E06AA" w:rsidRDefault="00E87995" w:rsidP="00E770EF">
            <w:pPr>
              <w:pStyle w:val="TableText"/>
              <w:spacing w:before="30" w:after="30"/>
              <w:jc w:val="right"/>
            </w:pPr>
            <w:r w:rsidRPr="009E06AA">
              <w:rPr>
                <w:color w:val="000000"/>
              </w:rPr>
              <w:t>0.2</w:t>
            </w:r>
          </w:p>
        </w:tc>
        <w:tc>
          <w:tcPr>
            <w:tcW w:w="0" w:type="auto"/>
            <w:shd w:val="clear" w:color="auto" w:fill="FFFFFF"/>
            <w:tcMar>
              <w:top w:w="0" w:type="dxa"/>
              <w:left w:w="85" w:type="dxa"/>
              <w:bottom w:w="0" w:type="dxa"/>
              <w:right w:w="85" w:type="dxa"/>
            </w:tcMar>
          </w:tcPr>
          <w:p w14:paraId="10571944" w14:textId="77777777" w:rsidR="00E87995" w:rsidRPr="009E06AA" w:rsidRDefault="00E87995" w:rsidP="00E770EF">
            <w:pPr>
              <w:pStyle w:val="TableText"/>
              <w:spacing w:before="30" w:after="30"/>
              <w:jc w:val="right"/>
            </w:pPr>
            <w:r w:rsidRPr="009E06AA">
              <w:rPr>
                <w:color w:val="000000"/>
              </w:rPr>
              <w:t>0.5</w:t>
            </w:r>
          </w:p>
        </w:tc>
        <w:tc>
          <w:tcPr>
            <w:tcW w:w="0" w:type="auto"/>
            <w:shd w:val="clear" w:color="auto" w:fill="FFFFFF"/>
            <w:tcMar>
              <w:top w:w="0" w:type="dxa"/>
              <w:left w:w="85" w:type="dxa"/>
              <w:bottom w:w="0" w:type="dxa"/>
              <w:right w:w="85" w:type="dxa"/>
            </w:tcMar>
          </w:tcPr>
          <w:p w14:paraId="7870F2F5" w14:textId="77777777" w:rsidR="00E87995" w:rsidRPr="009E06AA" w:rsidRDefault="00E87995" w:rsidP="00E770EF">
            <w:pPr>
              <w:pStyle w:val="TableText"/>
              <w:spacing w:before="30" w:after="30"/>
              <w:jc w:val="right"/>
            </w:pPr>
            <w:r w:rsidRPr="009E06AA">
              <w:rPr>
                <w:color w:val="000000"/>
              </w:rPr>
              <w:t>0.6</w:t>
            </w:r>
          </w:p>
        </w:tc>
        <w:tc>
          <w:tcPr>
            <w:tcW w:w="0" w:type="auto"/>
            <w:shd w:val="clear" w:color="auto" w:fill="FFFFFF"/>
            <w:tcMar>
              <w:top w:w="0" w:type="dxa"/>
              <w:left w:w="85" w:type="dxa"/>
              <w:bottom w:w="0" w:type="dxa"/>
              <w:right w:w="85" w:type="dxa"/>
            </w:tcMar>
          </w:tcPr>
          <w:p w14:paraId="2025961E" w14:textId="77777777" w:rsidR="00E87995" w:rsidRPr="009E06AA" w:rsidRDefault="00E87995" w:rsidP="00E770EF">
            <w:pPr>
              <w:pStyle w:val="TableText"/>
              <w:spacing w:before="30" w:after="30"/>
              <w:jc w:val="right"/>
            </w:pPr>
            <w:r w:rsidRPr="009E06AA">
              <w:rPr>
                <w:color w:val="000000"/>
              </w:rPr>
              <w:t>2.8</w:t>
            </w:r>
          </w:p>
        </w:tc>
      </w:tr>
      <w:tr w:rsidR="00E87995" w:rsidRPr="009E06AA" w14:paraId="1187716C" w14:textId="77777777" w:rsidTr="00B55F24">
        <w:tc>
          <w:tcPr>
            <w:tcW w:w="567" w:type="dxa"/>
            <w:shd w:val="clear" w:color="auto" w:fill="FFFFFF"/>
            <w:tcMar>
              <w:top w:w="0" w:type="dxa"/>
              <w:left w:w="85" w:type="dxa"/>
              <w:bottom w:w="0" w:type="dxa"/>
              <w:right w:w="85" w:type="dxa"/>
            </w:tcMar>
          </w:tcPr>
          <w:p w14:paraId="6A3CE88A" w14:textId="77777777" w:rsidR="00E87995" w:rsidRPr="009E06AA" w:rsidRDefault="00E87995" w:rsidP="00B55F24">
            <w:pPr>
              <w:pStyle w:val="TableText"/>
              <w:spacing w:before="30" w:after="30"/>
              <w:rPr>
                <w:b/>
              </w:rPr>
            </w:pPr>
            <w:r w:rsidRPr="009E06AA">
              <w:rPr>
                <w:b/>
                <w:color w:val="1B556B"/>
              </w:rPr>
              <w:t>2014</w:t>
            </w:r>
          </w:p>
        </w:tc>
        <w:tc>
          <w:tcPr>
            <w:tcW w:w="1980" w:type="dxa"/>
            <w:shd w:val="clear" w:color="auto" w:fill="FFFFFF"/>
            <w:tcMar>
              <w:top w:w="0" w:type="dxa"/>
              <w:left w:w="85" w:type="dxa"/>
              <w:bottom w:w="0" w:type="dxa"/>
              <w:right w:w="85" w:type="dxa"/>
            </w:tcMar>
          </w:tcPr>
          <w:p w14:paraId="3DB1D584" w14:textId="77777777" w:rsidR="00E87995" w:rsidRPr="009E06AA" w:rsidRDefault="00E87995" w:rsidP="00E770EF">
            <w:pPr>
              <w:pStyle w:val="TableText"/>
              <w:spacing w:before="30" w:after="30"/>
              <w:jc w:val="right"/>
            </w:pPr>
            <w:r w:rsidRPr="009E06AA">
              <w:rPr>
                <w:color w:val="000000"/>
              </w:rPr>
              <w:t>1.5</w:t>
            </w:r>
          </w:p>
        </w:tc>
        <w:tc>
          <w:tcPr>
            <w:tcW w:w="0" w:type="auto"/>
            <w:shd w:val="clear" w:color="auto" w:fill="FFFFFF"/>
            <w:tcMar>
              <w:top w:w="0" w:type="dxa"/>
              <w:left w:w="85" w:type="dxa"/>
              <w:bottom w:w="0" w:type="dxa"/>
              <w:right w:w="85" w:type="dxa"/>
            </w:tcMar>
          </w:tcPr>
          <w:p w14:paraId="6A590B8E" w14:textId="77777777" w:rsidR="00E87995" w:rsidRPr="009E06AA" w:rsidRDefault="00E87995" w:rsidP="00E770EF">
            <w:pPr>
              <w:pStyle w:val="TableText"/>
              <w:spacing w:before="30" w:after="30"/>
              <w:jc w:val="right"/>
            </w:pPr>
            <w:r w:rsidRPr="009E06AA">
              <w:rPr>
                <w:color w:val="000000"/>
              </w:rPr>
              <w:t>0.2</w:t>
            </w:r>
          </w:p>
        </w:tc>
        <w:tc>
          <w:tcPr>
            <w:tcW w:w="0" w:type="auto"/>
            <w:shd w:val="clear" w:color="auto" w:fill="FFFFFF"/>
            <w:tcMar>
              <w:top w:w="0" w:type="dxa"/>
              <w:left w:w="85" w:type="dxa"/>
              <w:bottom w:w="0" w:type="dxa"/>
              <w:right w:w="85" w:type="dxa"/>
            </w:tcMar>
          </w:tcPr>
          <w:p w14:paraId="751D4849" w14:textId="77777777" w:rsidR="00E87995" w:rsidRPr="009E06AA" w:rsidRDefault="00E87995" w:rsidP="00E770EF">
            <w:pPr>
              <w:pStyle w:val="TableText"/>
              <w:spacing w:before="30" w:after="30"/>
              <w:jc w:val="right"/>
            </w:pPr>
            <w:r w:rsidRPr="009E06AA">
              <w:rPr>
                <w:color w:val="000000"/>
              </w:rPr>
              <w:t>0.5</w:t>
            </w:r>
          </w:p>
        </w:tc>
        <w:tc>
          <w:tcPr>
            <w:tcW w:w="0" w:type="auto"/>
            <w:shd w:val="clear" w:color="auto" w:fill="FFFFFF"/>
            <w:tcMar>
              <w:top w:w="0" w:type="dxa"/>
              <w:left w:w="85" w:type="dxa"/>
              <w:bottom w:w="0" w:type="dxa"/>
              <w:right w:w="85" w:type="dxa"/>
            </w:tcMar>
          </w:tcPr>
          <w:p w14:paraId="7F6B0277" w14:textId="77777777" w:rsidR="00E87995" w:rsidRPr="009E06AA" w:rsidRDefault="00E87995" w:rsidP="00E770EF">
            <w:pPr>
              <w:pStyle w:val="TableText"/>
              <w:spacing w:before="30" w:after="30"/>
              <w:jc w:val="right"/>
            </w:pPr>
            <w:r w:rsidRPr="009E06AA">
              <w:rPr>
                <w:color w:val="000000"/>
              </w:rPr>
              <w:t>0.6</w:t>
            </w:r>
          </w:p>
        </w:tc>
        <w:tc>
          <w:tcPr>
            <w:tcW w:w="0" w:type="auto"/>
            <w:shd w:val="clear" w:color="auto" w:fill="FFFFFF"/>
            <w:tcMar>
              <w:top w:w="0" w:type="dxa"/>
              <w:left w:w="85" w:type="dxa"/>
              <w:bottom w:w="0" w:type="dxa"/>
              <w:right w:w="85" w:type="dxa"/>
            </w:tcMar>
          </w:tcPr>
          <w:p w14:paraId="474A8970" w14:textId="77777777" w:rsidR="00E87995" w:rsidRPr="009E06AA" w:rsidRDefault="00E87995" w:rsidP="00E770EF">
            <w:pPr>
              <w:pStyle w:val="TableText"/>
              <w:spacing w:before="30" w:after="30"/>
              <w:jc w:val="right"/>
            </w:pPr>
            <w:r w:rsidRPr="009E06AA">
              <w:rPr>
                <w:color w:val="000000"/>
              </w:rPr>
              <w:t>2.9</w:t>
            </w:r>
          </w:p>
        </w:tc>
      </w:tr>
      <w:tr w:rsidR="00E87995" w:rsidRPr="009E06AA" w14:paraId="29937E55" w14:textId="77777777" w:rsidTr="00B55F24">
        <w:tc>
          <w:tcPr>
            <w:tcW w:w="567" w:type="dxa"/>
            <w:shd w:val="clear" w:color="auto" w:fill="FFFFFF"/>
            <w:tcMar>
              <w:top w:w="0" w:type="dxa"/>
              <w:left w:w="85" w:type="dxa"/>
              <w:bottom w:w="0" w:type="dxa"/>
              <w:right w:w="85" w:type="dxa"/>
            </w:tcMar>
          </w:tcPr>
          <w:p w14:paraId="1416E6A6" w14:textId="77777777" w:rsidR="00E87995" w:rsidRPr="009E06AA" w:rsidRDefault="00E87995" w:rsidP="00B55F24">
            <w:pPr>
              <w:pStyle w:val="TableText"/>
              <w:spacing w:before="30" w:after="30"/>
              <w:rPr>
                <w:b/>
              </w:rPr>
            </w:pPr>
            <w:r w:rsidRPr="009E06AA">
              <w:rPr>
                <w:b/>
                <w:color w:val="1B556B"/>
              </w:rPr>
              <w:t>2015</w:t>
            </w:r>
          </w:p>
        </w:tc>
        <w:tc>
          <w:tcPr>
            <w:tcW w:w="1980" w:type="dxa"/>
            <w:shd w:val="clear" w:color="auto" w:fill="FFFFFF"/>
            <w:tcMar>
              <w:top w:w="0" w:type="dxa"/>
              <w:left w:w="85" w:type="dxa"/>
              <w:bottom w:w="0" w:type="dxa"/>
              <w:right w:w="85" w:type="dxa"/>
            </w:tcMar>
          </w:tcPr>
          <w:p w14:paraId="4D9B1A70" w14:textId="77777777" w:rsidR="00E87995" w:rsidRPr="009E06AA" w:rsidRDefault="00E87995" w:rsidP="00E770EF">
            <w:pPr>
              <w:pStyle w:val="TableText"/>
              <w:spacing w:before="30" w:after="30"/>
              <w:jc w:val="right"/>
            </w:pPr>
            <w:r w:rsidRPr="009E06AA">
              <w:rPr>
                <w:color w:val="000000"/>
              </w:rPr>
              <w:t>1.6</w:t>
            </w:r>
          </w:p>
        </w:tc>
        <w:tc>
          <w:tcPr>
            <w:tcW w:w="0" w:type="auto"/>
            <w:shd w:val="clear" w:color="auto" w:fill="FFFFFF"/>
            <w:tcMar>
              <w:top w:w="0" w:type="dxa"/>
              <w:left w:w="85" w:type="dxa"/>
              <w:bottom w:w="0" w:type="dxa"/>
              <w:right w:w="85" w:type="dxa"/>
            </w:tcMar>
          </w:tcPr>
          <w:p w14:paraId="52521400" w14:textId="77777777" w:rsidR="00E87995" w:rsidRPr="009E06AA" w:rsidRDefault="00E87995" w:rsidP="00E770EF">
            <w:pPr>
              <w:pStyle w:val="TableText"/>
              <w:spacing w:before="30" w:after="30"/>
              <w:jc w:val="right"/>
            </w:pPr>
            <w:r w:rsidRPr="009E06AA">
              <w:rPr>
                <w:color w:val="000000"/>
              </w:rPr>
              <w:t>0.2</w:t>
            </w:r>
          </w:p>
        </w:tc>
        <w:tc>
          <w:tcPr>
            <w:tcW w:w="0" w:type="auto"/>
            <w:shd w:val="clear" w:color="auto" w:fill="FFFFFF"/>
            <w:tcMar>
              <w:top w:w="0" w:type="dxa"/>
              <w:left w:w="85" w:type="dxa"/>
              <w:bottom w:w="0" w:type="dxa"/>
              <w:right w:w="85" w:type="dxa"/>
            </w:tcMar>
          </w:tcPr>
          <w:p w14:paraId="31D6319F" w14:textId="77777777" w:rsidR="00E87995" w:rsidRPr="009E06AA" w:rsidRDefault="00E87995" w:rsidP="00E770EF">
            <w:pPr>
              <w:pStyle w:val="TableText"/>
              <w:spacing w:before="30" w:after="30"/>
              <w:jc w:val="right"/>
            </w:pPr>
            <w:r w:rsidRPr="009E06AA">
              <w:rPr>
                <w:color w:val="000000"/>
              </w:rPr>
              <w:t>0.5</w:t>
            </w:r>
          </w:p>
        </w:tc>
        <w:tc>
          <w:tcPr>
            <w:tcW w:w="0" w:type="auto"/>
            <w:shd w:val="clear" w:color="auto" w:fill="FFFFFF"/>
            <w:tcMar>
              <w:top w:w="0" w:type="dxa"/>
              <w:left w:w="85" w:type="dxa"/>
              <w:bottom w:w="0" w:type="dxa"/>
              <w:right w:w="85" w:type="dxa"/>
            </w:tcMar>
          </w:tcPr>
          <w:p w14:paraId="013A70A4" w14:textId="77777777" w:rsidR="00E87995" w:rsidRPr="009E06AA" w:rsidRDefault="00E87995" w:rsidP="00E770EF">
            <w:pPr>
              <w:pStyle w:val="TableText"/>
              <w:spacing w:before="30" w:after="30"/>
              <w:jc w:val="right"/>
            </w:pPr>
            <w:r w:rsidRPr="009E06AA">
              <w:rPr>
                <w:color w:val="000000"/>
              </w:rPr>
              <w:t>0.6</w:t>
            </w:r>
          </w:p>
        </w:tc>
        <w:tc>
          <w:tcPr>
            <w:tcW w:w="0" w:type="auto"/>
            <w:shd w:val="clear" w:color="auto" w:fill="FFFFFF"/>
            <w:tcMar>
              <w:top w:w="0" w:type="dxa"/>
              <w:left w:w="85" w:type="dxa"/>
              <w:bottom w:w="0" w:type="dxa"/>
              <w:right w:w="85" w:type="dxa"/>
            </w:tcMar>
          </w:tcPr>
          <w:p w14:paraId="39FFE8D1" w14:textId="77777777" w:rsidR="00E87995" w:rsidRPr="009E06AA" w:rsidRDefault="00E87995" w:rsidP="00E770EF">
            <w:pPr>
              <w:pStyle w:val="TableText"/>
              <w:spacing w:before="30" w:after="30"/>
              <w:jc w:val="right"/>
            </w:pPr>
            <w:r w:rsidRPr="009E06AA">
              <w:rPr>
                <w:color w:val="000000"/>
              </w:rPr>
              <w:t>2.9</w:t>
            </w:r>
          </w:p>
        </w:tc>
      </w:tr>
      <w:tr w:rsidR="00E87995" w:rsidRPr="009E06AA" w14:paraId="70CB3E59" w14:textId="77777777" w:rsidTr="00B55F24">
        <w:tc>
          <w:tcPr>
            <w:tcW w:w="567" w:type="dxa"/>
            <w:shd w:val="clear" w:color="auto" w:fill="FFFFFF"/>
            <w:tcMar>
              <w:top w:w="0" w:type="dxa"/>
              <w:left w:w="85" w:type="dxa"/>
              <w:bottom w:w="0" w:type="dxa"/>
              <w:right w:w="85" w:type="dxa"/>
            </w:tcMar>
          </w:tcPr>
          <w:p w14:paraId="1A62511B" w14:textId="77777777" w:rsidR="00E87995" w:rsidRPr="009E06AA" w:rsidRDefault="00E87995" w:rsidP="00B55F24">
            <w:pPr>
              <w:pStyle w:val="TableText"/>
              <w:spacing w:before="30" w:after="30"/>
              <w:rPr>
                <w:b/>
              </w:rPr>
            </w:pPr>
            <w:r w:rsidRPr="009E06AA">
              <w:rPr>
                <w:b/>
                <w:color w:val="1B556B"/>
              </w:rPr>
              <w:t>2016</w:t>
            </w:r>
          </w:p>
        </w:tc>
        <w:tc>
          <w:tcPr>
            <w:tcW w:w="1980" w:type="dxa"/>
            <w:shd w:val="clear" w:color="auto" w:fill="FFFFFF"/>
            <w:tcMar>
              <w:top w:w="0" w:type="dxa"/>
              <w:left w:w="85" w:type="dxa"/>
              <w:bottom w:w="0" w:type="dxa"/>
              <w:right w:w="85" w:type="dxa"/>
            </w:tcMar>
          </w:tcPr>
          <w:p w14:paraId="48CE4490" w14:textId="77777777" w:rsidR="00E87995" w:rsidRPr="009E06AA" w:rsidRDefault="00E87995" w:rsidP="00E770EF">
            <w:pPr>
              <w:pStyle w:val="TableText"/>
              <w:spacing w:before="30" w:after="30"/>
              <w:jc w:val="right"/>
            </w:pPr>
            <w:r w:rsidRPr="009E06AA">
              <w:rPr>
                <w:color w:val="000000"/>
              </w:rPr>
              <w:t>1.5</w:t>
            </w:r>
          </w:p>
        </w:tc>
        <w:tc>
          <w:tcPr>
            <w:tcW w:w="0" w:type="auto"/>
            <w:shd w:val="clear" w:color="auto" w:fill="FFFFFF"/>
            <w:tcMar>
              <w:top w:w="0" w:type="dxa"/>
              <w:left w:w="85" w:type="dxa"/>
              <w:bottom w:w="0" w:type="dxa"/>
              <w:right w:w="85" w:type="dxa"/>
            </w:tcMar>
          </w:tcPr>
          <w:p w14:paraId="2C29144B" w14:textId="77777777" w:rsidR="00E87995" w:rsidRPr="009E06AA" w:rsidRDefault="00E87995" w:rsidP="00E770EF">
            <w:pPr>
              <w:pStyle w:val="TableText"/>
              <w:spacing w:before="30" w:after="30"/>
              <w:jc w:val="right"/>
            </w:pPr>
            <w:r w:rsidRPr="009E06AA">
              <w:rPr>
                <w:color w:val="000000"/>
              </w:rPr>
              <w:t>0.3</w:t>
            </w:r>
          </w:p>
        </w:tc>
        <w:tc>
          <w:tcPr>
            <w:tcW w:w="0" w:type="auto"/>
            <w:shd w:val="clear" w:color="auto" w:fill="FFFFFF"/>
            <w:tcMar>
              <w:top w:w="0" w:type="dxa"/>
              <w:left w:w="85" w:type="dxa"/>
              <w:bottom w:w="0" w:type="dxa"/>
              <w:right w:w="85" w:type="dxa"/>
            </w:tcMar>
          </w:tcPr>
          <w:p w14:paraId="3EFC3BC4" w14:textId="77777777" w:rsidR="00E87995" w:rsidRPr="009E06AA" w:rsidRDefault="00E87995" w:rsidP="00E770EF">
            <w:pPr>
              <w:pStyle w:val="TableText"/>
              <w:spacing w:before="30" w:after="30"/>
              <w:jc w:val="right"/>
            </w:pPr>
            <w:r w:rsidRPr="009E06AA">
              <w:rPr>
                <w:color w:val="000000"/>
              </w:rPr>
              <w:t>0.5</w:t>
            </w:r>
          </w:p>
        </w:tc>
        <w:tc>
          <w:tcPr>
            <w:tcW w:w="0" w:type="auto"/>
            <w:shd w:val="clear" w:color="auto" w:fill="FFFFFF"/>
            <w:tcMar>
              <w:top w:w="0" w:type="dxa"/>
              <w:left w:w="85" w:type="dxa"/>
              <w:bottom w:w="0" w:type="dxa"/>
              <w:right w:w="85" w:type="dxa"/>
            </w:tcMar>
          </w:tcPr>
          <w:p w14:paraId="6D8DA2B8" w14:textId="77777777" w:rsidR="00E87995" w:rsidRPr="009E06AA" w:rsidRDefault="00E87995" w:rsidP="00E770EF">
            <w:pPr>
              <w:pStyle w:val="TableText"/>
              <w:spacing w:before="30" w:after="30"/>
              <w:jc w:val="right"/>
            </w:pPr>
            <w:r w:rsidRPr="009E06AA">
              <w:rPr>
                <w:color w:val="000000"/>
              </w:rPr>
              <w:t>0.6</w:t>
            </w:r>
          </w:p>
        </w:tc>
        <w:tc>
          <w:tcPr>
            <w:tcW w:w="0" w:type="auto"/>
            <w:shd w:val="clear" w:color="auto" w:fill="FFFFFF"/>
            <w:tcMar>
              <w:top w:w="0" w:type="dxa"/>
              <w:left w:w="85" w:type="dxa"/>
              <w:bottom w:w="0" w:type="dxa"/>
              <w:right w:w="85" w:type="dxa"/>
            </w:tcMar>
          </w:tcPr>
          <w:p w14:paraId="6DA868D9" w14:textId="77777777" w:rsidR="00E87995" w:rsidRPr="009E06AA" w:rsidRDefault="00E87995" w:rsidP="00E770EF">
            <w:pPr>
              <w:pStyle w:val="TableText"/>
              <w:spacing w:before="30" w:after="30"/>
              <w:jc w:val="right"/>
            </w:pPr>
            <w:r w:rsidRPr="009E06AA">
              <w:rPr>
                <w:color w:val="000000"/>
              </w:rPr>
              <w:t>2.9</w:t>
            </w:r>
          </w:p>
        </w:tc>
      </w:tr>
      <w:tr w:rsidR="00E87995" w:rsidRPr="009E06AA" w14:paraId="185DE448" w14:textId="77777777" w:rsidTr="00B55F24">
        <w:tc>
          <w:tcPr>
            <w:tcW w:w="567" w:type="dxa"/>
            <w:shd w:val="clear" w:color="auto" w:fill="FFFFFF"/>
            <w:tcMar>
              <w:top w:w="0" w:type="dxa"/>
              <w:left w:w="85" w:type="dxa"/>
              <w:bottom w:w="0" w:type="dxa"/>
              <w:right w:w="85" w:type="dxa"/>
            </w:tcMar>
          </w:tcPr>
          <w:p w14:paraId="4023BD5D" w14:textId="77777777" w:rsidR="00E87995" w:rsidRPr="009E06AA" w:rsidRDefault="00E87995" w:rsidP="00B55F24">
            <w:pPr>
              <w:pStyle w:val="TableText"/>
              <w:spacing w:before="30" w:after="30"/>
              <w:rPr>
                <w:b/>
              </w:rPr>
            </w:pPr>
            <w:r w:rsidRPr="009E06AA">
              <w:rPr>
                <w:b/>
                <w:color w:val="1B556B"/>
              </w:rPr>
              <w:t>2017</w:t>
            </w:r>
          </w:p>
        </w:tc>
        <w:tc>
          <w:tcPr>
            <w:tcW w:w="1980" w:type="dxa"/>
            <w:shd w:val="clear" w:color="auto" w:fill="FFFFFF"/>
            <w:tcMar>
              <w:top w:w="0" w:type="dxa"/>
              <w:left w:w="85" w:type="dxa"/>
              <w:bottom w:w="0" w:type="dxa"/>
              <w:right w:w="85" w:type="dxa"/>
            </w:tcMar>
          </w:tcPr>
          <w:p w14:paraId="36247B51" w14:textId="77777777" w:rsidR="00E87995" w:rsidRPr="009E06AA" w:rsidRDefault="00E87995" w:rsidP="00E770EF">
            <w:pPr>
              <w:pStyle w:val="TableText"/>
              <w:spacing w:before="30" w:after="30"/>
              <w:jc w:val="right"/>
            </w:pPr>
            <w:r w:rsidRPr="009E06AA">
              <w:rPr>
                <w:color w:val="000000"/>
              </w:rPr>
              <w:t>1.5</w:t>
            </w:r>
          </w:p>
        </w:tc>
        <w:tc>
          <w:tcPr>
            <w:tcW w:w="0" w:type="auto"/>
            <w:shd w:val="clear" w:color="auto" w:fill="FFFFFF"/>
            <w:tcMar>
              <w:top w:w="0" w:type="dxa"/>
              <w:left w:w="85" w:type="dxa"/>
              <w:bottom w:w="0" w:type="dxa"/>
              <w:right w:w="85" w:type="dxa"/>
            </w:tcMar>
          </w:tcPr>
          <w:p w14:paraId="309BA6CC" w14:textId="77777777" w:rsidR="00E87995" w:rsidRPr="009E06AA" w:rsidRDefault="00E87995" w:rsidP="00E770EF">
            <w:pPr>
              <w:pStyle w:val="TableText"/>
              <w:spacing w:before="30" w:after="30"/>
              <w:jc w:val="right"/>
            </w:pPr>
            <w:r w:rsidRPr="009E06AA">
              <w:rPr>
                <w:color w:val="000000"/>
              </w:rPr>
              <w:t>0.3</w:t>
            </w:r>
          </w:p>
        </w:tc>
        <w:tc>
          <w:tcPr>
            <w:tcW w:w="0" w:type="auto"/>
            <w:shd w:val="clear" w:color="auto" w:fill="FFFFFF"/>
            <w:tcMar>
              <w:top w:w="0" w:type="dxa"/>
              <w:left w:w="85" w:type="dxa"/>
              <w:bottom w:w="0" w:type="dxa"/>
              <w:right w:w="85" w:type="dxa"/>
            </w:tcMar>
          </w:tcPr>
          <w:p w14:paraId="5E5AA7D0" w14:textId="77777777" w:rsidR="00E87995" w:rsidRPr="009E06AA" w:rsidRDefault="00E87995" w:rsidP="00E770EF">
            <w:pPr>
              <w:pStyle w:val="TableText"/>
              <w:spacing w:before="30" w:after="30"/>
              <w:jc w:val="right"/>
            </w:pPr>
            <w:r w:rsidRPr="009E06AA">
              <w:rPr>
                <w:color w:val="000000"/>
              </w:rPr>
              <w:t>0.5</w:t>
            </w:r>
          </w:p>
        </w:tc>
        <w:tc>
          <w:tcPr>
            <w:tcW w:w="0" w:type="auto"/>
            <w:shd w:val="clear" w:color="auto" w:fill="FFFFFF"/>
            <w:tcMar>
              <w:top w:w="0" w:type="dxa"/>
              <w:left w:w="85" w:type="dxa"/>
              <w:bottom w:w="0" w:type="dxa"/>
              <w:right w:w="85" w:type="dxa"/>
            </w:tcMar>
          </w:tcPr>
          <w:p w14:paraId="56E4D03F" w14:textId="77777777" w:rsidR="00E87995" w:rsidRPr="009E06AA" w:rsidRDefault="00E87995" w:rsidP="00E770EF">
            <w:pPr>
              <w:pStyle w:val="TableText"/>
              <w:spacing w:before="30" w:after="30"/>
              <w:jc w:val="right"/>
            </w:pPr>
            <w:r w:rsidRPr="009E06AA">
              <w:rPr>
                <w:color w:val="000000"/>
              </w:rPr>
              <w:t>0.6</w:t>
            </w:r>
          </w:p>
        </w:tc>
        <w:tc>
          <w:tcPr>
            <w:tcW w:w="0" w:type="auto"/>
            <w:shd w:val="clear" w:color="auto" w:fill="FFFFFF"/>
            <w:tcMar>
              <w:top w:w="0" w:type="dxa"/>
              <w:left w:w="85" w:type="dxa"/>
              <w:bottom w:w="0" w:type="dxa"/>
              <w:right w:w="85" w:type="dxa"/>
            </w:tcMar>
          </w:tcPr>
          <w:p w14:paraId="2315DA21" w14:textId="77777777" w:rsidR="00E87995" w:rsidRPr="009E06AA" w:rsidRDefault="00E87995" w:rsidP="00E770EF">
            <w:pPr>
              <w:pStyle w:val="TableText"/>
              <w:spacing w:before="30" w:after="30"/>
              <w:jc w:val="right"/>
            </w:pPr>
            <w:r w:rsidRPr="009E06AA">
              <w:rPr>
                <w:color w:val="000000"/>
              </w:rPr>
              <w:t>2.9</w:t>
            </w:r>
          </w:p>
        </w:tc>
      </w:tr>
      <w:tr w:rsidR="00E87995" w:rsidRPr="009E06AA" w14:paraId="2EABCF1D" w14:textId="77777777" w:rsidTr="00B55F24">
        <w:tc>
          <w:tcPr>
            <w:tcW w:w="567" w:type="dxa"/>
            <w:shd w:val="clear" w:color="auto" w:fill="FFFFFF"/>
            <w:tcMar>
              <w:top w:w="0" w:type="dxa"/>
              <w:left w:w="85" w:type="dxa"/>
              <w:bottom w:w="0" w:type="dxa"/>
              <w:right w:w="85" w:type="dxa"/>
            </w:tcMar>
          </w:tcPr>
          <w:p w14:paraId="650B4BC9" w14:textId="77777777" w:rsidR="00E87995" w:rsidRPr="009E06AA" w:rsidRDefault="00E87995" w:rsidP="00B55F24">
            <w:pPr>
              <w:pStyle w:val="TableText"/>
              <w:spacing w:before="30" w:after="30"/>
              <w:rPr>
                <w:b/>
              </w:rPr>
            </w:pPr>
            <w:r w:rsidRPr="009E06AA">
              <w:rPr>
                <w:b/>
                <w:color w:val="1B556B"/>
              </w:rPr>
              <w:t>2018</w:t>
            </w:r>
          </w:p>
        </w:tc>
        <w:tc>
          <w:tcPr>
            <w:tcW w:w="1980" w:type="dxa"/>
            <w:shd w:val="clear" w:color="auto" w:fill="FFFFFF"/>
            <w:tcMar>
              <w:top w:w="0" w:type="dxa"/>
              <w:left w:w="85" w:type="dxa"/>
              <w:bottom w:w="0" w:type="dxa"/>
              <w:right w:w="85" w:type="dxa"/>
            </w:tcMar>
          </w:tcPr>
          <w:p w14:paraId="7D674F9B" w14:textId="77777777" w:rsidR="00E87995" w:rsidRPr="009E06AA" w:rsidRDefault="00E87995" w:rsidP="00E770EF">
            <w:pPr>
              <w:pStyle w:val="TableText"/>
              <w:spacing w:before="30" w:after="30"/>
              <w:jc w:val="right"/>
            </w:pPr>
            <w:r w:rsidRPr="009E06AA">
              <w:rPr>
                <w:color w:val="000000"/>
              </w:rPr>
              <w:t>1.6</w:t>
            </w:r>
          </w:p>
        </w:tc>
        <w:tc>
          <w:tcPr>
            <w:tcW w:w="0" w:type="auto"/>
            <w:shd w:val="clear" w:color="auto" w:fill="FFFFFF"/>
            <w:tcMar>
              <w:top w:w="0" w:type="dxa"/>
              <w:left w:w="85" w:type="dxa"/>
              <w:bottom w:w="0" w:type="dxa"/>
              <w:right w:w="85" w:type="dxa"/>
            </w:tcMar>
          </w:tcPr>
          <w:p w14:paraId="7F65FB98" w14:textId="77777777" w:rsidR="00E87995" w:rsidRPr="009E06AA" w:rsidRDefault="00E87995" w:rsidP="00E770EF">
            <w:pPr>
              <w:pStyle w:val="TableText"/>
              <w:spacing w:before="30" w:after="30"/>
              <w:jc w:val="right"/>
            </w:pPr>
            <w:r w:rsidRPr="009E06AA">
              <w:rPr>
                <w:color w:val="000000"/>
              </w:rPr>
              <w:t>0.3</w:t>
            </w:r>
          </w:p>
        </w:tc>
        <w:tc>
          <w:tcPr>
            <w:tcW w:w="0" w:type="auto"/>
            <w:shd w:val="clear" w:color="auto" w:fill="FFFFFF"/>
            <w:tcMar>
              <w:top w:w="0" w:type="dxa"/>
              <w:left w:w="85" w:type="dxa"/>
              <w:bottom w:w="0" w:type="dxa"/>
              <w:right w:w="85" w:type="dxa"/>
            </w:tcMar>
          </w:tcPr>
          <w:p w14:paraId="0671F407" w14:textId="77777777" w:rsidR="00E87995" w:rsidRPr="009E06AA" w:rsidRDefault="00E87995" w:rsidP="00E770EF">
            <w:pPr>
              <w:pStyle w:val="TableText"/>
              <w:spacing w:before="30" w:after="30"/>
              <w:jc w:val="right"/>
            </w:pPr>
            <w:r w:rsidRPr="009E06AA">
              <w:rPr>
                <w:color w:val="000000"/>
              </w:rPr>
              <w:t>0.5</w:t>
            </w:r>
          </w:p>
        </w:tc>
        <w:tc>
          <w:tcPr>
            <w:tcW w:w="0" w:type="auto"/>
            <w:shd w:val="clear" w:color="auto" w:fill="FFFFFF"/>
            <w:tcMar>
              <w:top w:w="0" w:type="dxa"/>
              <w:left w:w="85" w:type="dxa"/>
              <w:bottom w:w="0" w:type="dxa"/>
              <w:right w:w="85" w:type="dxa"/>
            </w:tcMar>
          </w:tcPr>
          <w:p w14:paraId="5CAB631E" w14:textId="77777777" w:rsidR="00E87995" w:rsidRPr="009E06AA" w:rsidRDefault="00E87995" w:rsidP="00E770EF">
            <w:pPr>
              <w:pStyle w:val="TableText"/>
              <w:spacing w:before="30" w:after="30"/>
              <w:jc w:val="right"/>
            </w:pPr>
            <w:r w:rsidRPr="009E06AA">
              <w:rPr>
                <w:color w:val="000000"/>
              </w:rPr>
              <w:t>0.6</w:t>
            </w:r>
          </w:p>
        </w:tc>
        <w:tc>
          <w:tcPr>
            <w:tcW w:w="0" w:type="auto"/>
            <w:shd w:val="clear" w:color="auto" w:fill="FFFFFF"/>
            <w:tcMar>
              <w:top w:w="0" w:type="dxa"/>
              <w:left w:w="85" w:type="dxa"/>
              <w:bottom w:w="0" w:type="dxa"/>
              <w:right w:w="85" w:type="dxa"/>
            </w:tcMar>
          </w:tcPr>
          <w:p w14:paraId="3606670B" w14:textId="77777777" w:rsidR="00E87995" w:rsidRPr="009E06AA" w:rsidRDefault="00E87995" w:rsidP="00E770EF">
            <w:pPr>
              <w:pStyle w:val="TableText"/>
              <w:spacing w:before="30" w:after="30"/>
              <w:jc w:val="right"/>
            </w:pPr>
            <w:r w:rsidRPr="009E06AA">
              <w:rPr>
                <w:color w:val="000000"/>
              </w:rPr>
              <w:t>3.0</w:t>
            </w:r>
          </w:p>
        </w:tc>
      </w:tr>
      <w:tr w:rsidR="00E87995" w:rsidRPr="009E06AA" w14:paraId="6FDA8D69" w14:textId="77777777" w:rsidTr="00B55F24">
        <w:tc>
          <w:tcPr>
            <w:tcW w:w="567" w:type="dxa"/>
            <w:shd w:val="clear" w:color="auto" w:fill="FFFFFF"/>
            <w:tcMar>
              <w:top w:w="0" w:type="dxa"/>
              <w:left w:w="85" w:type="dxa"/>
              <w:bottom w:w="0" w:type="dxa"/>
              <w:right w:w="85" w:type="dxa"/>
            </w:tcMar>
          </w:tcPr>
          <w:p w14:paraId="10355545" w14:textId="77777777" w:rsidR="00E87995" w:rsidRPr="009E06AA" w:rsidRDefault="00E87995" w:rsidP="00B55F24">
            <w:pPr>
              <w:pStyle w:val="TableText"/>
              <w:spacing w:before="30" w:after="30"/>
              <w:rPr>
                <w:b/>
              </w:rPr>
            </w:pPr>
            <w:r w:rsidRPr="009E06AA">
              <w:rPr>
                <w:b/>
                <w:color w:val="1B556B"/>
              </w:rPr>
              <w:t>2019</w:t>
            </w:r>
          </w:p>
        </w:tc>
        <w:tc>
          <w:tcPr>
            <w:tcW w:w="1980" w:type="dxa"/>
            <w:shd w:val="clear" w:color="auto" w:fill="FFFFFF"/>
            <w:tcMar>
              <w:top w:w="0" w:type="dxa"/>
              <w:left w:w="85" w:type="dxa"/>
              <w:bottom w:w="0" w:type="dxa"/>
              <w:right w:w="85" w:type="dxa"/>
            </w:tcMar>
          </w:tcPr>
          <w:p w14:paraId="6914E15A" w14:textId="77777777" w:rsidR="00E87995" w:rsidRPr="009E06AA" w:rsidRDefault="00E87995" w:rsidP="00E770EF">
            <w:pPr>
              <w:pStyle w:val="TableText"/>
              <w:spacing w:before="30" w:after="30"/>
              <w:jc w:val="right"/>
            </w:pPr>
            <w:r w:rsidRPr="009E06AA">
              <w:rPr>
                <w:color w:val="000000"/>
              </w:rPr>
              <w:t>1.6</w:t>
            </w:r>
          </w:p>
        </w:tc>
        <w:tc>
          <w:tcPr>
            <w:tcW w:w="0" w:type="auto"/>
            <w:shd w:val="clear" w:color="auto" w:fill="FFFFFF"/>
            <w:tcMar>
              <w:top w:w="0" w:type="dxa"/>
              <w:left w:w="85" w:type="dxa"/>
              <w:bottom w:w="0" w:type="dxa"/>
              <w:right w:w="85" w:type="dxa"/>
            </w:tcMar>
          </w:tcPr>
          <w:p w14:paraId="611616C1" w14:textId="77777777" w:rsidR="00E87995" w:rsidRPr="009E06AA" w:rsidRDefault="00E87995" w:rsidP="00E770EF">
            <w:pPr>
              <w:pStyle w:val="TableText"/>
              <w:spacing w:before="30" w:after="30"/>
              <w:jc w:val="right"/>
            </w:pPr>
            <w:r w:rsidRPr="009E06AA">
              <w:rPr>
                <w:color w:val="000000"/>
              </w:rPr>
              <w:t>0.3</w:t>
            </w:r>
          </w:p>
        </w:tc>
        <w:tc>
          <w:tcPr>
            <w:tcW w:w="0" w:type="auto"/>
            <w:shd w:val="clear" w:color="auto" w:fill="FFFFFF"/>
            <w:tcMar>
              <w:top w:w="0" w:type="dxa"/>
              <w:left w:w="85" w:type="dxa"/>
              <w:bottom w:w="0" w:type="dxa"/>
              <w:right w:w="85" w:type="dxa"/>
            </w:tcMar>
          </w:tcPr>
          <w:p w14:paraId="2773DAE2" w14:textId="77777777" w:rsidR="00E87995" w:rsidRPr="009E06AA" w:rsidRDefault="00E87995" w:rsidP="00E770EF">
            <w:pPr>
              <w:pStyle w:val="TableText"/>
              <w:spacing w:before="30" w:after="30"/>
              <w:jc w:val="right"/>
            </w:pPr>
            <w:r w:rsidRPr="009E06AA">
              <w:rPr>
                <w:color w:val="000000"/>
              </w:rPr>
              <w:t>0.5</w:t>
            </w:r>
          </w:p>
        </w:tc>
        <w:tc>
          <w:tcPr>
            <w:tcW w:w="0" w:type="auto"/>
            <w:shd w:val="clear" w:color="auto" w:fill="FFFFFF"/>
            <w:tcMar>
              <w:top w:w="0" w:type="dxa"/>
              <w:left w:w="85" w:type="dxa"/>
              <w:bottom w:w="0" w:type="dxa"/>
              <w:right w:w="85" w:type="dxa"/>
            </w:tcMar>
          </w:tcPr>
          <w:p w14:paraId="22A0D1BE" w14:textId="77777777" w:rsidR="00E87995" w:rsidRPr="009E06AA" w:rsidRDefault="00E87995" w:rsidP="00E770EF">
            <w:pPr>
              <w:pStyle w:val="TableText"/>
              <w:spacing w:before="30" w:after="30"/>
              <w:jc w:val="right"/>
            </w:pPr>
            <w:r w:rsidRPr="009E06AA">
              <w:rPr>
                <w:color w:val="000000"/>
              </w:rPr>
              <w:t>0.6</w:t>
            </w:r>
          </w:p>
        </w:tc>
        <w:tc>
          <w:tcPr>
            <w:tcW w:w="0" w:type="auto"/>
            <w:shd w:val="clear" w:color="auto" w:fill="FFFFFF"/>
            <w:tcMar>
              <w:top w:w="0" w:type="dxa"/>
              <w:left w:w="85" w:type="dxa"/>
              <w:bottom w:w="0" w:type="dxa"/>
              <w:right w:w="85" w:type="dxa"/>
            </w:tcMar>
          </w:tcPr>
          <w:p w14:paraId="0E9B1E00" w14:textId="77777777" w:rsidR="00E87995" w:rsidRPr="009E06AA" w:rsidRDefault="00E87995" w:rsidP="00E770EF">
            <w:pPr>
              <w:pStyle w:val="TableText"/>
              <w:spacing w:before="30" w:after="30"/>
              <w:jc w:val="right"/>
            </w:pPr>
            <w:r w:rsidRPr="009E06AA">
              <w:rPr>
                <w:color w:val="000000"/>
              </w:rPr>
              <w:t>3.0</w:t>
            </w:r>
          </w:p>
        </w:tc>
      </w:tr>
      <w:tr w:rsidR="00E87995" w:rsidRPr="009E06AA" w14:paraId="450C5697" w14:textId="77777777" w:rsidTr="00B55F24">
        <w:tc>
          <w:tcPr>
            <w:tcW w:w="567" w:type="dxa"/>
            <w:shd w:val="clear" w:color="auto" w:fill="FFFFFF"/>
            <w:tcMar>
              <w:top w:w="0" w:type="dxa"/>
              <w:left w:w="85" w:type="dxa"/>
              <w:bottom w:w="0" w:type="dxa"/>
              <w:right w:w="85" w:type="dxa"/>
            </w:tcMar>
          </w:tcPr>
          <w:p w14:paraId="2E6FE3D1" w14:textId="77777777" w:rsidR="00E87995" w:rsidRPr="009E06AA" w:rsidRDefault="00E87995" w:rsidP="00B55F24">
            <w:pPr>
              <w:pStyle w:val="TableText"/>
              <w:spacing w:before="30" w:after="30"/>
              <w:rPr>
                <w:b/>
              </w:rPr>
            </w:pPr>
            <w:r w:rsidRPr="009E06AA">
              <w:rPr>
                <w:b/>
                <w:color w:val="1B556B"/>
              </w:rPr>
              <w:t>2020</w:t>
            </w:r>
          </w:p>
        </w:tc>
        <w:tc>
          <w:tcPr>
            <w:tcW w:w="1980" w:type="dxa"/>
            <w:shd w:val="clear" w:color="auto" w:fill="FFFFFF"/>
            <w:tcMar>
              <w:top w:w="0" w:type="dxa"/>
              <w:left w:w="85" w:type="dxa"/>
              <w:bottom w:w="0" w:type="dxa"/>
              <w:right w:w="85" w:type="dxa"/>
            </w:tcMar>
          </w:tcPr>
          <w:p w14:paraId="15838758" w14:textId="77777777" w:rsidR="00E87995" w:rsidRPr="009E06AA" w:rsidRDefault="00E87995" w:rsidP="00E770EF">
            <w:pPr>
              <w:pStyle w:val="TableText"/>
              <w:spacing w:before="30" w:after="30"/>
              <w:jc w:val="right"/>
            </w:pPr>
            <w:r w:rsidRPr="009E06AA">
              <w:rPr>
                <w:color w:val="000000"/>
              </w:rPr>
              <w:t>1.6</w:t>
            </w:r>
          </w:p>
        </w:tc>
        <w:tc>
          <w:tcPr>
            <w:tcW w:w="0" w:type="auto"/>
            <w:shd w:val="clear" w:color="auto" w:fill="FFFFFF"/>
            <w:tcMar>
              <w:top w:w="0" w:type="dxa"/>
              <w:left w:w="85" w:type="dxa"/>
              <w:bottom w:w="0" w:type="dxa"/>
              <w:right w:w="85" w:type="dxa"/>
            </w:tcMar>
          </w:tcPr>
          <w:p w14:paraId="71EBFA35" w14:textId="77777777" w:rsidR="00E87995" w:rsidRPr="009E06AA" w:rsidRDefault="00E87995" w:rsidP="00E770EF">
            <w:pPr>
              <w:pStyle w:val="TableText"/>
              <w:spacing w:before="30" w:after="30"/>
              <w:jc w:val="right"/>
            </w:pPr>
            <w:r w:rsidRPr="009E06AA">
              <w:rPr>
                <w:color w:val="000000"/>
              </w:rPr>
              <w:t>0.3</w:t>
            </w:r>
          </w:p>
        </w:tc>
        <w:tc>
          <w:tcPr>
            <w:tcW w:w="0" w:type="auto"/>
            <w:shd w:val="clear" w:color="auto" w:fill="FFFFFF"/>
            <w:tcMar>
              <w:top w:w="0" w:type="dxa"/>
              <w:left w:w="85" w:type="dxa"/>
              <w:bottom w:w="0" w:type="dxa"/>
              <w:right w:w="85" w:type="dxa"/>
            </w:tcMar>
          </w:tcPr>
          <w:p w14:paraId="04EAA8C9" w14:textId="77777777" w:rsidR="00E87995" w:rsidRPr="009E06AA" w:rsidRDefault="00E87995" w:rsidP="00E770EF">
            <w:pPr>
              <w:pStyle w:val="TableText"/>
              <w:spacing w:before="30" w:after="30"/>
              <w:jc w:val="right"/>
            </w:pPr>
            <w:r w:rsidRPr="009E06AA">
              <w:rPr>
                <w:color w:val="000000"/>
              </w:rPr>
              <w:t>0.5</w:t>
            </w:r>
          </w:p>
        </w:tc>
        <w:tc>
          <w:tcPr>
            <w:tcW w:w="0" w:type="auto"/>
            <w:shd w:val="clear" w:color="auto" w:fill="FFFFFF"/>
            <w:tcMar>
              <w:top w:w="0" w:type="dxa"/>
              <w:left w:w="85" w:type="dxa"/>
              <w:bottom w:w="0" w:type="dxa"/>
              <w:right w:w="85" w:type="dxa"/>
            </w:tcMar>
          </w:tcPr>
          <w:p w14:paraId="3959DF4B" w14:textId="77777777" w:rsidR="00E87995" w:rsidRPr="009E06AA" w:rsidRDefault="00E87995" w:rsidP="00E770EF">
            <w:pPr>
              <w:pStyle w:val="TableText"/>
              <w:spacing w:before="30" w:after="30"/>
              <w:jc w:val="right"/>
            </w:pPr>
            <w:r w:rsidRPr="009E06AA">
              <w:rPr>
                <w:color w:val="000000"/>
              </w:rPr>
              <w:t>0.6</w:t>
            </w:r>
          </w:p>
        </w:tc>
        <w:tc>
          <w:tcPr>
            <w:tcW w:w="0" w:type="auto"/>
            <w:shd w:val="clear" w:color="auto" w:fill="FFFFFF"/>
            <w:tcMar>
              <w:top w:w="0" w:type="dxa"/>
              <w:left w:w="85" w:type="dxa"/>
              <w:bottom w:w="0" w:type="dxa"/>
              <w:right w:w="85" w:type="dxa"/>
            </w:tcMar>
          </w:tcPr>
          <w:p w14:paraId="47D80388" w14:textId="77777777" w:rsidR="00E87995" w:rsidRPr="009E06AA" w:rsidRDefault="00E87995" w:rsidP="00E770EF">
            <w:pPr>
              <w:pStyle w:val="TableText"/>
              <w:spacing w:before="30" w:after="30"/>
              <w:jc w:val="right"/>
            </w:pPr>
            <w:r w:rsidRPr="009E06AA">
              <w:rPr>
                <w:color w:val="000000"/>
              </w:rPr>
              <w:t>3.0</w:t>
            </w:r>
          </w:p>
        </w:tc>
      </w:tr>
      <w:tr w:rsidR="00E87995" w:rsidRPr="009E06AA" w14:paraId="09618B1E" w14:textId="77777777" w:rsidTr="00B55F24">
        <w:tc>
          <w:tcPr>
            <w:tcW w:w="567" w:type="dxa"/>
            <w:shd w:val="clear" w:color="auto" w:fill="FFFFFF"/>
            <w:tcMar>
              <w:top w:w="0" w:type="dxa"/>
              <w:left w:w="85" w:type="dxa"/>
              <w:bottom w:w="0" w:type="dxa"/>
              <w:right w:w="85" w:type="dxa"/>
            </w:tcMar>
          </w:tcPr>
          <w:p w14:paraId="0562C510" w14:textId="77777777" w:rsidR="00E87995" w:rsidRPr="009E06AA" w:rsidRDefault="00E87995" w:rsidP="00B55F24">
            <w:pPr>
              <w:pStyle w:val="TableText"/>
              <w:spacing w:before="30" w:after="30"/>
              <w:rPr>
                <w:b/>
              </w:rPr>
            </w:pPr>
            <w:r w:rsidRPr="009E06AA">
              <w:rPr>
                <w:b/>
                <w:color w:val="1B556B"/>
              </w:rPr>
              <w:t>2021</w:t>
            </w:r>
          </w:p>
        </w:tc>
        <w:tc>
          <w:tcPr>
            <w:tcW w:w="1980" w:type="dxa"/>
            <w:shd w:val="clear" w:color="auto" w:fill="FFFFFF"/>
            <w:tcMar>
              <w:top w:w="0" w:type="dxa"/>
              <w:left w:w="85" w:type="dxa"/>
              <w:bottom w:w="0" w:type="dxa"/>
              <w:right w:w="85" w:type="dxa"/>
            </w:tcMar>
          </w:tcPr>
          <w:p w14:paraId="392EA0FF" w14:textId="77777777" w:rsidR="00E87995" w:rsidRPr="009E06AA" w:rsidRDefault="00E87995" w:rsidP="00E770EF">
            <w:pPr>
              <w:pStyle w:val="TableText"/>
              <w:spacing w:before="30" w:after="30"/>
              <w:jc w:val="right"/>
            </w:pPr>
            <w:r w:rsidRPr="009E06AA">
              <w:rPr>
                <w:color w:val="000000"/>
              </w:rPr>
              <w:t>1.6</w:t>
            </w:r>
          </w:p>
        </w:tc>
        <w:tc>
          <w:tcPr>
            <w:tcW w:w="0" w:type="auto"/>
            <w:shd w:val="clear" w:color="auto" w:fill="FFFFFF"/>
            <w:tcMar>
              <w:top w:w="0" w:type="dxa"/>
              <w:left w:w="85" w:type="dxa"/>
              <w:bottom w:w="0" w:type="dxa"/>
              <w:right w:w="85" w:type="dxa"/>
            </w:tcMar>
          </w:tcPr>
          <w:p w14:paraId="4CE33A97" w14:textId="77777777" w:rsidR="00E87995" w:rsidRPr="009E06AA" w:rsidRDefault="00E87995" w:rsidP="00E770EF">
            <w:pPr>
              <w:pStyle w:val="TableText"/>
              <w:spacing w:before="30" w:after="30"/>
              <w:jc w:val="right"/>
            </w:pPr>
            <w:r w:rsidRPr="009E06AA">
              <w:rPr>
                <w:color w:val="000000"/>
              </w:rPr>
              <w:t>0.3</w:t>
            </w:r>
          </w:p>
        </w:tc>
        <w:tc>
          <w:tcPr>
            <w:tcW w:w="0" w:type="auto"/>
            <w:shd w:val="clear" w:color="auto" w:fill="FFFFFF"/>
            <w:tcMar>
              <w:top w:w="0" w:type="dxa"/>
              <w:left w:w="85" w:type="dxa"/>
              <w:bottom w:w="0" w:type="dxa"/>
              <w:right w:w="85" w:type="dxa"/>
            </w:tcMar>
          </w:tcPr>
          <w:p w14:paraId="444B9889" w14:textId="77777777" w:rsidR="00E87995" w:rsidRPr="009E06AA" w:rsidRDefault="00E87995" w:rsidP="00E770EF">
            <w:pPr>
              <w:pStyle w:val="TableText"/>
              <w:spacing w:before="30" w:after="30"/>
              <w:jc w:val="right"/>
            </w:pPr>
            <w:r w:rsidRPr="009E06AA">
              <w:rPr>
                <w:color w:val="000000"/>
              </w:rPr>
              <w:t>0.5</w:t>
            </w:r>
          </w:p>
        </w:tc>
        <w:tc>
          <w:tcPr>
            <w:tcW w:w="0" w:type="auto"/>
            <w:shd w:val="clear" w:color="auto" w:fill="FFFFFF"/>
            <w:tcMar>
              <w:top w:w="0" w:type="dxa"/>
              <w:left w:w="85" w:type="dxa"/>
              <w:bottom w:w="0" w:type="dxa"/>
              <w:right w:w="85" w:type="dxa"/>
            </w:tcMar>
          </w:tcPr>
          <w:p w14:paraId="232785E8" w14:textId="77777777" w:rsidR="00E87995" w:rsidRPr="009E06AA" w:rsidRDefault="00E87995" w:rsidP="00E770EF">
            <w:pPr>
              <w:pStyle w:val="TableText"/>
              <w:spacing w:before="30" w:after="30"/>
              <w:jc w:val="right"/>
            </w:pPr>
            <w:r w:rsidRPr="009E06AA">
              <w:rPr>
                <w:color w:val="000000"/>
              </w:rPr>
              <w:t>0.6</w:t>
            </w:r>
          </w:p>
        </w:tc>
        <w:tc>
          <w:tcPr>
            <w:tcW w:w="0" w:type="auto"/>
            <w:shd w:val="clear" w:color="auto" w:fill="FFFFFF"/>
            <w:tcMar>
              <w:top w:w="0" w:type="dxa"/>
              <w:left w:w="85" w:type="dxa"/>
              <w:bottom w:w="0" w:type="dxa"/>
              <w:right w:w="85" w:type="dxa"/>
            </w:tcMar>
          </w:tcPr>
          <w:p w14:paraId="3E48C95B" w14:textId="77777777" w:rsidR="00E87995" w:rsidRPr="009E06AA" w:rsidRDefault="00E87995" w:rsidP="00E770EF">
            <w:pPr>
              <w:pStyle w:val="TableText"/>
              <w:spacing w:before="30" w:after="30"/>
              <w:jc w:val="right"/>
            </w:pPr>
            <w:r w:rsidRPr="009E06AA">
              <w:rPr>
                <w:color w:val="000000"/>
              </w:rPr>
              <w:t>3.0</w:t>
            </w:r>
          </w:p>
        </w:tc>
      </w:tr>
      <w:tr w:rsidR="00E87995" w:rsidRPr="009E06AA" w14:paraId="0F90C4B0" w14:textId="77777777" w:rsidTr="00B55F24">
        <w:tc>
          <w:tcPr>
            <w:tcW w:w="567" w:type="dxa"/>
            <w:shd w:val="clear" w:color="auto" w:fill="FFFFFF"/>
            <w:tcMar>
              <w:top w:w="0" w:type="dxa"/>
              <w:left w:w="85" w:type="dxa"/>
              <w:bottom w:w="0" w:type="dxa"/>
              <w:right w:w="85" w:type="dxa"/>
            </w:tcMar>
          </w:tcPr>
          <w:p w14:paraId="7E22B651" w14:textId="77777777" w:rsidR="00E87995" w:rsidRPr="009E06AA" w:rsidRDefault="00E87995" w:rsidP="00B55F24">
            <w:pPr>
              <w:pStyle w:val="TableText"/>
              <w:spacing w:before="30" w:after="30"/>
              <w:rPr>
                <w:b/>
              </w:rPr>
            </w:pPr>
            <w:r w:rsidRPr="009E06AA">
              <w:rPr>
                <w:rFonts w:eastAsia="Calibri" w:cs="Calibri"/>
                <w:b/>
                <w:color w:val="1B556B"/>
                <w:szCs w:val="16"/>
              </w:rPr>
              <w:t>2022</w:t>
            </w:r>
          </w:p>
        </w:tc>
        <w:tc>
          <w:tcPr>
            <w:tcW w:w="1980" w:type="dxa"/>
            <w:shd w:val="clear" w:color="auto" w:fill="FFFFFF"/>
            <w:tcMar>
              <w:top w:w="0" w:type="dxa"/>
              <w:left w:w="85" w:type="dxa"/>
              <w:bottom w:w="0" w:type="dxa"/>
              <w:right w:w="85" w:type="dxa"/>
            </w:tcMar>
          </w:tcPr>
          <w:p w14:paraId="14B93904" w14:textId="77777777" w:rsidR="00E87995" w:rsidRPr="009E06AA" w:rsidRDefault="00E87995" w:rsidP="00E770EF">
            <w:pPr>
              <w:pStyle w:val="TableText"/>
              <w:spacing w:before="30" w:after="30"/>
              <w:jc w:val="right"/>
            </w:pPr>
            <w:r w:rsidRPr="009E06AA">
              <w:rPr>
                <w:rFonts w:eastAsia="Calibri" w:cs="Calibri"/>
                <w:color w:val="000000"/>
                <w:szCs w:val="16"/>
              </w:rPr>
              <w:t>1.6</w:t>
            </w:r>
          </w:p>
        </w:tc>
        <w:tc>
          <w:tcPr>
            <w:tcW w:w="0" w:type="auto"/>
            <w:shd w:val="clear" w:color="auto" w:fill="FFFFFF"/>
            <w:tcMar>
              <w:top w:w="0" w:type="dxa"/>
              <w:left w:w="85" w:type="dxa"/>
              <w:bottom w:w="0" w:type="dxa"/>
              <w:right w:w="85" w:type="dxa"/>
            </w:tcMar>
          </w:tcPr>
          <w:p w14:paraId="20CCFE09" w14:textId="77777777" w:rsidR="00E87995" w:rsidRPr="009E06AA" w:rsidRDefault="00E87995" w:rsidP="00E770EF">
            <w:pPr>
              <w:pStyle w:val="TableText"/>
              <w:spacing w:before="30" w:after="30"/>
              <w:jc w:val="right"/>
            </w:pPr>
            <w:r w:rsidRPr="009E06AA">
              <w:rPr>
                <w:rFonts w:eastAsia="Calibri" w:cs="Calibri"/>
                <w:color w:val="000000"/>
                <w:szCs w:val="16"/>
              </w:rPr>
              <w:t>0.3</w:t>
            </w:r>
          </w:p>
        </w:tc>
        <w:tc>
          <w:tcPr>
            <w:tcW w:w="0" w:type="auto"/>
            <w:shd w:val="clear" w:color="auto" w:fill="FFFFFF"/>
            <w:tcMar>
              <w:top w:w="0" w:type="dxa"/>
              <w:left w:w="85" w:type="dxa"/>
              <w:bottom w:w="0" w:type="dxa"/>
              <w:right w:w="85" w:type="dxa"/>
            </w:tcMar>
          </w:tcPr>
          <w:p w14:paraId="733A5FDB" w14:textId="77777777" w:rsidR="00E87995" w:rsidRPr="009E06AA" w:rsidRDefault="00E87995" w:rsidP="00E770EF">
            <w:pPr>
              <w:pStyle w:val="TableText"/>
              <w:spacing w:before="30" w:after="30"/>
              <w:jc w:val="right"/>
            </w:pPr>
            <w:r w:rsidRPr="009E06AA">
              <w:rPr>
                <w:rFonts w:eastAsia="Calibri" w:cs="Calibri"/>
                <w:color w:val="000000"/>
                <w:szCs w:val="16"/>
              </w:rPr>
              <w:t>0.5</w:t>
            </w:r>
          </w:p>
        </w:tc>
        <w:tc>
          <w:tcPr>
            <w:tcW w:w="0" w:type="auto"/>
            <w:shd w:val="clear" w:color="auto" w:fill="FFFFFF"/>
            <w:tcMar>
              <w:top w:w="0" w:type="dxa"/>
              <w:left w:w="85" w:type="dxa"/>
              <w:bottom w:w="0" w:type="dxa"/>
              <w:right w:w="85" w:type="dxa"/>
            </w:tcMar>
          </w:tcPr>
          <w:p w14:paraId="217C446E" w14:textId="77777777" w:rsidR="00E87995" w:rsidRPr="009E06AA" w:rsidRDefault="00E87995" w:rsidP="00E770EF">
            <w:pPr>
              <w:pStyle w:val="TableText"/>
              <w:spacing w:before="30" w:after="30"/>
              <w:jc w:val="right"/>
            </w:pPr>
            <w:r w:rsidRPr="009E06AA">
              <w:rPr>
                <w:rFonts w:eastAsia="Calibri" w:cs="Calibri"/>
                <w:color w:val="000000"/>
                <w:szCs w:val="16"/>
              </w:rPr>
              <w:t>0.6</w:t>
            </w:r>
          </w:p>
        </w:tc>
        <w:tc>
          <w:tcPr>
            <w:tcW w:w="0" w:type="auto"/>
            <w:shd w:val="clear" w:color="auto" w:fill="FFFFFF"/>
            <w:tcMar>
              <w:top w:w="0" w:type="dxa"/>
              <w:left w:w="85" w:type="dxa"/>
              <w:bottom w:w="0" w:type="dxa"/>
              <w:right w:w="85" w:type="dxa"/>
            </w:tcMar>
          </w:tcPr>
          <w:p w14:paraId="3759EAC8" w14:textId="77777777" w:rsidR="00E87995" w:rsidRPr="009E06AA" w:rsidRDefault="00E87995" w:rsidP="00E770EF">
            <w:pPr>
              <w:pStyle w:val="TableText"/>
              <w:spacing w:before="30" w:after="30"/>
              <w:jc w:val="right"/>
            </w:pPr>
            <w:r w:rsidRPr="009E06AA">
              <w:rPr>
                <w:rFonts w:eastAsia="Calibri" w:cs="Calibri"/>
                <w:color w:val="000000"/>
                <w:szCs w:val="16"/>
              </w:rPr>
              <w:t>3.0</w:t>
            </w:r>
          </w:p>
        </w:tc>
      </w:tr>
    </w:tbl>
    <w:p w14:paraId="3FD65919" w14:textId="77777777" w:rsidR="00E87995" w:rsidRPr="009E06AA" w:rsidRDefault="00E87995" w:rsidP="00E87995">
      <w:pPr>
        <w:pStyle w:val="Noteundertable"/>
        <w:spacing w:after="80"/>
      </w:pPr>
      <w:r w:rsidRPr="009E06AA">
        <w:rPr>
          <w:b/>
          <w:bCs/>
        </w:rPr>
        <w:t>Note:</w:t>
      </w:r>
      <w:r w:rsidRPr="009E06AA">
        <w:tab/>
        <w:t>Columns may not total due to rounding.</w:t>
      </w:r>
    </w:p>
    <w:p w14:paraId="1D24E0A9" w14:textId="77777777" w:rsidR="00E87995" w:rsidRPr="009E06AA" w:rsidRDefault="00E87995" w:rsidP="00BF2A76">
      <w:pPr>
        <w:pStyle w:val="Heading5"/>
      </w:pPr>
      <w:bookmarkStart w:id="3004" w:name="meat-industry"/>
      <w:bookmarkEnd w:id="2993"/>
      <w:r w:rsidRPr="009E06AA">
        <w:t>Meat industry</w:t>
      </w:r>
    </w:p>
    <w:p w14:paraId="2ACB7F4C" w14:textId="77777777" w:rsidR="00E87995" w:rsidRPr="009E06AA" w:rsidRDefault="00E87995" w:rsidP="00E87995">
      <w:pPr>
        <w:pStyle w:val="BodyText"/>
        <w:spacing w:before="100" w:after="100"/>
      </w:pPr>
      <w:r w:rsidRPr="009E06AA">
        <w:t>Methane emissions from the meat industry are calculated from an estimate of the wastewater output from meat processing. This estimate is based on the total production (kills) from the different producers in the meat industry and uses data that are as consistent as possible with the data for kills used in the Agriculture sector.</w:t>
      </w:r>
    </w:p>
    <w:p w14:paraId="5BDF6086" w14:textId="77777777" w:rsidR="00E87995" w:rsidRPr="009E06AA" w:rsidRDefault="00E87995" w:rsidP="00E87995">
      <w:pPr>
        <w:pStyle w:val="BodyText"/>
        <w:spacing w:before="100" w:after="100"/>
      </w:pPr>
      <w:r w:rsidRPr="009E06AA">
        <w:t>Poultry processing is calculated separately from other meat processing because its fraction of waste treated in anaerobic ponds and the unit chemical oxygen demand (COD) load are higher than for other meat processing (Cardno, unpublished).</w:t>
      </w:r>
    </w:p>
    <w:p w14:paraId="2386CD52" w14:textId="77777777" w:rsidR="00E87995" w:rsidRPr="009E06AA" w:rsidRDefault="00E87995" w:rsidP="00E87995">
      <w:pPr>
        <w:pStyle w:val="BodyText"/>
        <w:spacing w:before="100" w:after="100"/>
      </w:pPr>
      <w:r w:rsidRPr="009E06AA">
        <w:t xml:space="preserve">Rendering loads are not separated out to simplify the inventory calculations because there are only a few standalone rendering plants in </w:t>
      </w:r>
      <w:r w:rsidRPr="009E06AA" w:rsidDel="00780D97">
        <w:t xml:space="preserve">New </w:t>
      </w:r>
      <w:r w:rsidRPr="009E06AA">
        <w:t>Zealand, and the rest are combined with meat processing plants. Therefore, the unit COD load only includes rendering operations (Cardno, unpublished).</w:t>
      </w:r>
    </w:p>
    <w:p w14:paraId="057F9810" w14:textId="77777777" w:rsidR="00E87995" w:rsidRPr="009E06AA" w:rsidRDefault="00E87995" w:rsidP="00E87995">
      <w:pPr>
        <w:pStyle w:val="BodyText"/>
        <w:spacing w:before="100" w:after="100"/>
      </w:pPr>
      <w:r w:rsidRPr="009E06AA">
        <w:t>Nitrous oxide emissions from the meat industry are calculated using the same activity data as for CH</w:t>
      </w:r>
      <w:r w:rsidRPr="009E06AA">
        <w:rPr>
          <w:vertAlign w:val="subscript"/>
        </w:rPr>
        <w:t>4</w:t>
      </w:r>
      <w:r w:rsidRPr="009E06AA">
        <w:t xml:space="preserve"> emissions.</w:t>
      </w:r>
    </w:p>
    <w:p w14:paraId="0AF9460D" w14:textId="77777777" w:rsidR="00E87995" w:rsidRPr="009E06AA" w:rsidRDefault="00E87995" w:rsidP="008C4A0F">
      <w:pPr>
        <w:pStyle w:val="Heading5"/>
        <w:spacing w:before="220"/>
      </w:pPr>
      <w:bookmarkStart w:id="3005" w:name="pulp-and-paper-industry"/>
      <w:bookmarkEnd w:id="3004"/>
      <w:r w:rsidRPr="009E06AA">
        <w:t>Pulp and paper industry</w:t>
      </w:r>
    </w:p>
    <w:p w14:paraId="180128F5" w14:textId="77777777" w:rsidR="00E87995" w:rsidRPr="009E06AA" w:rsidRDefault="00E87995" w:rsidP="00E87995">
      <w:pPr>
        <w:pStyle w:val="BodyText"/>
        <w:spacing w:before="100" w:after="100"/>
      </w:pPr>
      <w:r w:rsidRPr="009E06AA">
        <w:t>Estimated pulp and paper wastewater output is based on paper, paperboard and pulp production. This information is obtained from the Ministry for Primary Industries.</w:t>
      </w:r>
    </w:p>
    <w:p w14:paraId="7F8CF65F" w14:textId="77777777" w:rsidR="00E87995" w:rsidRPr="009E06AA" w:rsidRDefault="00E87995" w:rsidP="008C4A0F">
      <w:pPr>
        <w:pStyle w:val="Heading5"/>
        <w:spacing w:before="220"/>
      </w:pPr>
      <w:bookmarkStart w:id="3006" w:name="wine-industry"/>
      <w:bookmarkEnd w:id="3005"/>
      <w:r w:rsidRPr="009E06AA">
        <w:t>Wine industry</w:t>
      </w:r>
    </w:p>
    <w:p w14:paraId="5DD4A3A1" w14:textId="77777777" w:rsidR="00E87995" w:rsidRPr="009E06AA" w:rsidRDefault="00E87995" w:rsidP="00E87995">
      <w:pPr>
        <w:pStyle w:val="BodyText"/>
        <w:spacing w:before="100" w:after="100"/>
      </w:pPr>
      <w:r w:rsidRPr="009E06AA">
        <w:t>Methane emissions from wastewater for the wine industry are based on the outputs obtained from New Zealand Wine, which reports on the grape and wine sector. For the purpose of this assessment, an average industry wastewater discharge metric of 2.7 cubic metres of water per tonne of grapes processed is assumed. This value is derived from national data. Note that this value is significantly lower than IPCC default values (Beca Ltd, unpublished).</w:t>
      </w:r>
    </w:p>
    <w:p w14:paraId="419640EA" w14:textId="77777777" w:rsidR="00E87995" w:rsidRPr="009E06AA" w:rsidRDefault="00E87995" w:rsidP="008C4A0F">
      <w:pPr>
        <w:pStyle w:val="Heading5"/>
        <w:spacing w:before="220"/>
      </w:pPr>
      <w:bookmarkStart w:id="3007" w:name="wool-scouring-industry"/>
      <w:bookmarkEnd w:id="3006"/>
      <w:r w:rsidRPr="009E06AA">
        <w:t>Wool scouring industry</w:t>
      </w:r>
    </w:p>
    <w:p w14:paraId="3C451A4A" w14:textId="77777777" w:rsidR="00E87995" w:rsidRPr="009E06AA" w:rsidRDefault="00E87995" w:rsidP="00E87995">
      <w:pPr>
        <w:pStyle w:val="BodyText"/>
        <w:spacing w:before="100" w:after="100"/>
      </w:pPr>
      <w:r w:rsidRPr="009E06AA">
        <w:t>Methane emissions from wastewater for the wool scouring industry are based on the outputs obtained by SCS Wetherill Environmental (unpublished) for the years up to 2000. From 2001 to 2012, the SCS estimates have been prorated against the industry’s output data and applied to the output data for these years. After 2012, the wool scouring industry used only aerobic treatment of wastewater and, consequently, no emissions are reported for 2013 onwards (Beca Ltd, unpublished).</w:t>
      </w:r>
    </w:p>
    <w:p w14:paraId="420E5516" w14:textId="77777777" w:rsidR="00E87995" w:rsidRPr="009E06AA" w:rsidRDefault="00E87995" w:rsidP="008C4A0F">
      <w:pPr>
        <w:pStyle w:val="Heading5"/>
        <w:spacing w:before="220"/>
      </w:pPr>
      <w:bookmarkStart w:id="3008" w:name="dairy-processing-industry"/>
      <w:bookmarkEnd w:id="3007"/>
      <w:r w:rsidRPr="009E06AA">
        <w:t>Dairy processing industry</w:t>
      </w:r>
    </w:p>
    <w:p w14:paraId="3AE2FC6B" w14:textId="77777777" w:rsidR="00E87995" w:rsidRPr="009E06AA" w:rsidRDefault="00E87995" w:rsidP="00E87995">
      <w:pPr>
        <w:pStyle w:val="BodyText"/>
        <w:spacing w:before="100"/>
      </w:pPr>
      <w:r w:rsidRPr="009E06AA">
        <w:t xml:space="preserve">The dairy processing industry predominantly uses aerobic treatment. Only one factory uses anaerobic treatment. The emissions from the wastewater treatment process are recovered </w:t>
      </w:r>
      <w:r w:rsidRPr="009E06AA">
        <w:rPr>
          <w:spacing w:val="-2"/>
        </w:rPr>
        <w:t>and most of the captured biogas (consisting of 55 per cent CH</w:t>
      </w:r>
      <w:r w:rsidRPr="009E06AA">
        <w:rPr>
          <w:spacing w:val="-2"/>
          <w:vertAlign w:val="subscript"/>
        </w:rPr>
        <w:t>4</w:t>
      </w:r>
      <w:r w:rsidRPr="009E06AA">
        <w:rPr>
          <w:spacing w:val="-2"/>
        </w:rPr>
        <w:t>) is used in boilers. The remainder</w:t>
      </w:r>
      <w:r w:rsidRPr="009E06AA">
        <w:t xml:space="preserve"> is flared (Beca Infrastructure Ltd, unpublished). Emissions from the biogas recovered from the Tirau dairy processing plant (</w:t>
      </w:r>
      <w:r w:rsidRPr="009E06AA">
        <w:rPr>
          <w:i/>
          <w:iCs/>
        </w:rPr>
        <w:t>Industrial wastewater</w:t>
      </w:r>
      <w:r w:rsidRPr="009E06AA">
        <w:t xml:space="preserve">) for energy recovery are reported as ‘IE’ under the Waste sector, and actual emissions are reported in </w:t>
      </w:r>
      <w:r w:rsidRPr="009E06AA">
        <w:rPr>
          <w:i/>
          <w:iCs/>
        </w:rPr>
        <w:t>1.A.2.e – Biomass</w:t>
      </w:r>
      <w:r w:rsidRPr="009E06AA">
        <w:t xml:space="preserve"> under the Energy sector.</w:t>
      </w:r>
    </w:p>
    <w:p w14:paraId="30FA5D07" w14:textId="77777777" w:rsidR="00E87995" w:rsidRPr="009E06AA" w:rsidRDefault="00E87995" w:rsidP="00E87995">
      <w:pPr>
        <w:pStyle w:val="BodyText"/>
      </w:pPr>
      <w:r w:rsidRPr="009E06AA">
        <w:t>Nitrous oxide emissions from dairy industry wastewater are included, based on the review of methods for industrial wastewater by Cardno (unpublished). Emission estimates are based on the total litres of milk processed, consistent with data reported under the Agriculture sector. The production data are then converted from litres to kilograms by multiplying by 1.031 (the weight of 1 litre of milk) for the activity data used in the emissions calculations.</w:t>
      </w:r>
    </w:p>
    <w:p w14:paraId="0FCFAC50" w14:textId="77777777" w:rsidR="00E87995" w:rsidRPr="009E06AA" w:rsidRDefault="00E87995" w:rsidP="00BF2A76">
      <w:pPr>
        <w:pStyle w:val="Heading5"/>
      </w:pPr>
      <w:bookmarkStart w:id="3009" w:name="leather-and-skins-industry"/>
      <w:bookmarkEnd w:id="3008"/>
      <w:r w:rsidRPr="009E06AA">
        <w:t>Leather and skins industry</w:t>
      </w:r>
    </w:p>
    <w:p w14:paraId="2D123994" w14:textId="77777777" w:rsidR="00E87995" w:rsidRPr="009E06AA" w:rsidRDefault="00E87995" w:rsidP="00E87995">
      <w:pPr>
        <w:pStyle w:val="BodyText"/>
      </w:pPr>
      <w:r w:rsidRPr="009E06AA">
        <w:t>Methane emissions from wastewater for the leather and skins industry, also known as tanneries and fellmongers, are based on the outputs obtained by SCS Wetherill Environmental (unpublished) for the years up to 2001. From 2002, all wastewater from the tanneries is accounted for in domestic wastewater because all tanneries now discharge to the municipal wastewater system; however, some fellmongers still use aerobic treatment (Cardno, unpublished).</w:t>
      </w:r>
    </w:p>
    <w:p w14:paraId="2F37A54E" w14:textId="77777777" w:rsidR="00E87995" w:rsidRPr="009E06AA" w:rsidRDefault="00E87995" w:rsidP="00E87995">
      <w:pPr>
        <w:pStyle w:val="BodyText"/>
      </w:pPr>
      <w:r w:rsidRPr="009E06AA">
        <w:t>Nitrous oxide emissions from wastewater for the leather and skins industry are based on the outputs obtained by SCS Wetherill Environmental (unpublished). Emissions reduced in 2002 to account for the tanneries that discharge entirely to the domestic system.</w:t>
      </w:r>
    </w:p>
    <w:p w14:paraId="04CD6034" w14:textId="77777777" w:rsidR="00E87995" w:rsidRPr="009E06AA" w:rsidRDefault="00E87995" w:rsidP="00E87995">
      <w:pPr>
        <w:pStyle w:val="Heading4"/>
      </w:pPr>
      <w:bookmarkStart w:id="3010" w:name="choice-of-methods-3"/>
      <w:bookmarkEnd w:id="2986"/>
      <w:bookmarkEnd w:id="3009"/>
      <w:r w:rsidRPr="009E06AA">
        <w:t>Choice of methods</w:t>
      </w:r>
    </w:p>
    <w:p w14:paraId="55F06D93" w14:textId="77777777" w:rsidR="00E87995" w:rsidRPr="009E06AA" w:rsidRDefault="00E87995" w:rsidP="00E87995">
      <w:pPr>
        <w:pStyle w:val="BodyText"/>
      </w:pPr>
      <w:r w:rsidRPr="009E06AA">
        <w:t>Methods used to calculate emissions from wastewater handling are summarised in table 7.5.5. For domestic wastewater, the TOW is estimated for each individual treatment plant based on the population in the district served by the plant.</w:t>
      </w:r>
    </w:p>
    <w:p w14:paraId="03A89392" w14:textId="77777777" w:rsidR="00E87995" w:rsidRPr="009E06AA" w:rsidRDefault="00E87995" w:rsidP="00E87995">
      <w:pPr>
        <w:pStyle w:val="Table"/>
      </w:pPr>
      <w:bookmarkStart w:id="3011" w:name="_Toc128383683"/>
      <w:bookmarkStart w:id="3012" w:name="_Toc131591456"/>
      <w:bookmarkStart w:id="3013" w:name="_Toc160537335"/>
      <w:bookmarkStart w:id="3014" w:name="_Toc160537697"/>
      <w:bookmarkStart w:id="3015" w:name="_Toc164153947"/>
      <w:r w:rsidRPr="009E06AA">
        <w:t>Table 7.5.5</w:t>
      </w:r>
      <w:r w:rsidRPr="009E06AA">
        <w:tab/>
        <w:t>Methods used for calculating emissions from wastewater treatment</w:t>
      </w:r>
      <w:bookmarkEnd w:id="3011"/>
      <w:bookmarkEnd w:id="3012"/>
      <w:bookmarkEnd w:id="3013"/>
      <w:bookmarkEnd w:id="3014"/>
      <w:bookmarkEnd w:id="3015"/>
    </w:p>
    <w:tbl>
      <w:tblPr>
        <w:tblW w:w="8505" w:type="dxa"/>
        <w:tblBorders>
          <w:top w:val="single" w:sz="4" w:space="0" w:color="1B556B"/>
          <w:bottom w:val="single" w:sz="4" w:space="0" w:color="1B556B"/>
          <w:insideH w:val="single" w:sz="4" w:space="0" w:color="1B556B"/>
        </w:tblBorders>
        <w:tblLayout w:type="fixed"/>
        <w:tblCellMar>
          <w:left w:w="85" w:type="dxa"/>
          <w:right w:w="85" w:type="dxa"/>
        </w:tblCellMar>
        <w:tblLook w:val="0420" w:firstRow="1" w:lastRow="0" w:firstColumn="0" w:lastColumn="0" w:noHBand="0" w:noVBand="1"/>
      </w:tblPr>
      <w:tblGrid>
        <w:gridCol w:w="2124"/>
        <w:gridCol w:w="472"/>
        <w:gridCol w:w="2157"/>
        <w:gridCol w:w="729"/>
        <w:gridCol w:w="3023"/>
      </w:tblGrid>
      <w:tr w:rsidR="00E87995" w:rsidRPr="009E06AA" w14:paraId="59815CB5" w14:textId="77777777" w:rsidTr="00B55F24">
        <w:trPr>
          <w:tblHeader/>
        </w:trPr>
        <w:tc>
          <w:tcPr>
            <w:tcW w:w="2065" w:type="dxa"/>
            <w:shd w:val="clear" w:color="auto" w:fill="1B556B"/>
            <w:tcMar>
              <w:top w:w="0" w:type="dxa"/>
              <w:left w:w="85" w:type="dxa"/>
              <w:bottom w:w="0" w:type="dxa"/>
              <w:right w:w="85" w:type="dxa"/>
            </w:tcMar>
          </w:tcPr>
          <w:p w14:paraId="7532027B" w14:textId="77777777" w:rsidR="00E87995" w:rsidRPr="009E06AA" w:rsidRDefault="00E87995" w:rsidP="00B55F24">
            <w:pPr>
              <w:pStyle w:val="TableTextBold"/>
              <w:spacing w:before="40" w:after="40"/>
              <w:rPr>
                <w:noProof w:val="0"/>
                <w:color w:val="FFFFFF" w:themeColor="background1"/>
              </w:rPr>
            </w:pPr>
            <w:r w:rsidRPr="009E06AA">
              <w:rPr>
                <w:noProof w:val="0"/>
                <w:color w:val="FFFFFF" w:themeColor="background1"/>
              </w:rPr>
              <w:t>Emissions category</w:t>
            </w:r>
          </w:p>
        </w:tc>
        <w:tc>
          <w:tcPr>
            <w:tcW w:w="459" w:type="dxa"/>
            <w:shd w:val="clear" w:color="auto" w:fill="1B556B"/>
            <w:tcMar>
              <w:top w:w="0" w:type="dxa"/>
              <w:left w:w="85" w:type="dxa"/>
              <w:bottom w:w="0" w:type="dxa"/>
              <w:right w:w="85" w:type="dxa"/>
            </w:tcMar>
          </w:tcPr>
          <w:p w14:paraId="1A961C9A" w14:textId="77777777" w:rsidR="00E87995" w:rsidRPr="009E06AA" w:rsidRDefault="00E87995" w:rsidP="00B55F24">
            <w:pPr>
              <w:pStyle w:val="TableTextBold"/>
              <w:spacing w:before="40" w:after="40"/>
              <w:rPr>
                <w:noProof w:val="0"/>
                <w:color w:val="FFFFFF" w:themeColor="background1"/>
              </w:rPr>
            </w:pPr>
            <w:r w:rsidRPr="009E06AA">
              <w:rPr>
                <w:noProof w:val="0"/>
                <w:color w:val="FFFFFF" w:themeColor="background1"/>
              </w:rPr>
              <w:t>Gas</w:t>
            </w:r>
          </w:p>
        </w:tc>
        <w:tc>
          <w:tcPr>
            <w:tcW w:w="2098" w:type="dxa"/>
            <w:shd w:val="clear" w:color="auto" w:fill="1B556B"/>
            <w:tcMar>
              <w:top w:w="0" w:type="dxa"/>
              <w:left w:w="85" w:type="dxa"/>
              <w:bottom w:w="0" w:type="dxa"/>
              <w:right w:w="85" w:type="dxa"/>
            </w:tcMar>
          </w:tcPr>
          <w:p w14:paraId="0BD3F36D" w14:textId="77777777" w:rsidR="00E87995" w:rsidRPr="009E06AA" w:rsidRDefault="00E87995" w:rsidP="00B55F24">
            <w:pPr>
              <w:pStyle w:val="TableTextBold"/>
              <w:spacing w:before="40" w:after="40"/>
              <w:rPr>
                <w:noProof w:val="0"/>
                <w:color w:val="FFFFFF" w:themeColor="background1"/>
              </w:rPr>
            </w:pPr>
            <w:r w:rsidRPr="009E06AA">
              <w:rPr>
                <w:noProof w:val="0"/>
                <w:color w:val="FFFFFF" w:themeColor="background1"/>
              </w:rPr>
              <w:t>Comment</w:t>
            </w:r>
          </w:p>
        </w:tc>
        <w:tc>
          <w:tcPr>
            <w:tcW w:w="709" w:type="dxa"/>
            <w:shd w:val="clear" w:color="auto" w:fill="1B556B"/>
            <w:tcMar>
              <w:top w:w="0" w:type="dxa"/>
              <w:left w:w="85" w:type="dxa"/>
              <w:bottom w:w="0" w:type="dxa"/>
              <w:right w:w="85" w:type="dxa"/>
            </w:tcMar>
          </w:tcPr>
          <w:p w14:paraId="5D2E47E8" w14:textId="77777777" w:rsidR="00E87995" w:rsidRPr="009E06AA" w:rsidRDefault="00E87995" w:rsidP="00B55F24">
            <w:pPr>
              <w:pStyle w:val="TableTextBold"/>
              <w:spacing w:before="40" w:after="40"/>
              <w:rPr>
                <w:noProof w:val="0"/>
                <w:color w:val="FFFFFF" w:themeColor="background1"/>
              </w:rPr>
            </w:pPr>
            <w:r w:rsidRPr="009E06AA">
              <w:rPr>
                <w:noProof w:val="0"/>
                <w:color w:val="FFFFFF" w:themeColor="background1"/>
              </w:rPr>
              <w:t>Method</w:t>
            </w:r>
          </w:p>
        </w:tc>
        <w:tc>
          <w:tcPr>
            <w:tcW w:w="2940" w:type="dxa"/>
            <w:shd w:val="clear" w:color="auto" w:fill="1B556B"/>
            <w:tcMar>
              <w:top w:w="0" w:type="dxa"/>
              <w:left w:w="85" w:type="dxa"/>
              <w:bottom w:w="0" w:type="dxa"/>
              <w:right w:w="85" w:type="dxa"/>
            </w:tcMar>
          </w:tcPr>
          <w:p w14:paraId="538968AB" w14:textId="77777777" w:rsidR="00E87995" w:rsidRPr="009E06AA" w:rsidRDefault="00E87995" w:rsidP="00B55F24">
            <w:pPr>
              <w:pStyle w:val="TableTextBold"/>
              <w:spacing w:before="40" w:after="40"/>
              <w:rPr>
                <w:noProof w:val="0"/>
                <w:color w:val="FFFFFF" w:themeColor="background1"/>
              </w:rPr>
            </w:pPr>
            <w:r w:rsidRPr="009E06AA">
              <w:rPr>
                <w:noProof w:val="0"/>
                <w:color w:val="FFFFFF" w:themeColor="background1"/>
              </w:rPr>
              <w:t>Source</w:t>
            </w:r>
          </w:p>
        </w:tc>
      </w:tr>
      <w:tr w:rsidR="00E87995" w:rsidRPr="009E06AA" w14:paraId="5FC85069" w14:textId="77777777" w:rsidTr="00B55F24">
        <w:tc>
          <w:tcPr>
            <w:tcW w:w="2065" w:type="dxa"/>
            <w:shd w:val="clear" w:color="auto" w:fill="FFFFFF"/>
            <w:tcMar>
              <w:top w:w="0" w:type="dxa"/>
              <w:left w:w="85" w:type="dxa"/>
              <w:bottom w:w="0" w:type="dxa"/>
              <w:right w:w="85" w:type="dxa"/>
            </w:tcMar>
          </w:tcPr>
          <w:p w14:paraId="52CE7DDE" w14:textId="77777777" w:rsidR="00E87995" w:rsidRPr="009E06AA" w:rsidRDefault="00E87995" w:rsidP="00B55F24">
            <w:pPr>
              <w:pStyle w:val="TableText"/>
              <w:spacing w:before="40" w:after="40"/>
            </w:pPr>
            <w:r w:rsidRPr="009E06AA">
              <w:rPr>
                <w:color w:val="000000"/>
              </w:rPr>
              <w:t>Domestic wastewater (5.D.1)</w:t>
            </w:r>
          </w:p>
        </w:tc>
        <w:tc>
          <w:tcPr>
            <w:tcW w:w="459" w:type="dxa"/>
            <w:shd w:val="clear" w:color="auto" w:fill="FFFFFF"/>
            <w:tcMar>
              <w:top w:w="0" w:type="dxa"/>
              <w:left w:w="85" w:type="dxa"/>
              <w:bottom w:w="0" w:type="dxa"/>
              <w:right w:w="85" w:type="dxa"/>
            </w:tcMar>
          </w:tcPr>
          <w:p w14:paraId="56BF9FFD" w14:textId="77777777" w:rsidR="00E87995" w:rsidRPr="009E06AA" w:rsidRDefault="00E87995" w:rsidP="00B55F24">
            <w:pPr>
              <w:pStyle w:val="TableText"/>
              <w:spacing w:before="40" w:after="40"/>
            </w:pPr>
            <w:r w:rsidRPr="009E06AA">
              <w:rPr>
                <w:color w:val="000000"/>
              </w:rPr>
              <w:t>CH₄</w:t>
            </w:r>
          </w:p>
        </w:tc>
        <w:tc>
          <w:tcPr>
            <w:tcW w:w="2098" w:type="dxa"/>
            <w:shd w:val="clear" w:color="auto" w:fill="FFFFFF"/>
            <w:tcMar>
              <w:top w:w="0" w:type="dxa"/>
              <w:left w:w="85" w:type="dxa"/>
              <w:bottom w:w="0" w:type="dxa"/>
              <w:right w:w="85" w:type="dxa"/>
            </w:tcMar>
          </w:tcPr>
          <w:p w14:paraId="10698DCC" w14:textId="77777777" w:rsidR="00E87995" w:rsidRPr="009E06AA" w:rsidRDefault="00E87995" w:rsidP="00B55F24">
            <w:pPr>
              <w:pStyle w:val="TableText"/>
              <w:spacing w:before="40" w:after="40"/>
            </w:pPr>
          </w:p>
        </w:tc>
        <w:tc>
          <w:tcPr>
            <w:tcW w:w="709" w:type="dxa"/>
            <w:shd w:val="clear" w:color="auto" w:fill="FFFFFF"/>
            <w:tcMar>
              <w:top w:w="0" w:type="dxa"/>
              <w:left w:w="85" w:type="dxa"/>
              <w:bottom w:w="0" w:type="dxa"/>
              <w:right w:w="85" w:type="dxa"/>
            </w:tcMar>
          </w:tcPr>
          <w:p w14:paraId="3C717944" w14:textId="77777777" w:rsidR="00E87995" w:rsidRPr="009E06AA" w:rsidRDefault="00E87995" w:rsidP="00B55F24">
            <w:pPr>
              <w:pStyle w:val="TableText"/>
              <w:spacing w:before="40" w:after="40"/>
            </w:pPr>
            <w:r w:rsidRPr="009E06AA">
              <w:rPr>
                <w:color w:val="000000"/>
              </w:rPr>
              <w:t>Tier 2</w:t>
            </w:r>
          </w:p>
        </w:tc>
        <w:tc>
          <w:tcPr>
            <w:tcW w:w="2940" w:type="dxa"/>
            <w:shd w:val="clear" w:color="auto" w:fill="FFFFFF"/>
            <w:tcMar>
              <w:top w:w="0" w:type="dxa"/>
              <w:left w:w="85" w:type="dxa"/>
              <w:bottom w:w="0" w:type="dxa"/>
              <w:right w:w="85" w:type="dxa"/>
            </w:tcMar>
          </w:tcPr>
          <w:p w14:paraId="6845FB58" w14:textId="77777777" w:rsidR="00E87995" w:rsidRPr="009E06AA" w:rsidRDefault="00E87995" w:rsidP="00B55F24">
            <w:pPr>
              <w:pStyle w:val="TableText"/>
              <w:spacing w:before="40" w:after="40"/>
            </w:pPr>
            <w:r w:rsidRPr="009E06AA">
              <w:rPr>
                <w:color w:val="000000"/>
              </w:rPr>
              <w:t>SCS Wetherill Environmental (unpublished), Beca Infrastructure Ltd (unpublished)</w:t>
            </w:r>
          </w:p>
        </w:tc>
      </w:tr>
      <w:tr w:rsidR="00E87995" w:rsidRPr="009E06AA" w14:paraId="0CE29F29" w14:textId="77777777" w:rsidTr="00B55F24">
        <w:tc>
          <w:tcPr>
            <w:tcW w:w="2065" w:type="dxa"/>
            <w:shd w:val="clear" w:color="auto" w:fill="FFFFFF"/>
            <w:tcMar>
              <w:top w:w="0" w:type="dxa"/>
              <w:left w:w="85" w:type="dxa"/>
              <w:bottom w:w="0" w:type="dxa"/>
              <w:right w:w="85" w:type="dxa"/>
            </w:tcMar>
          </w:tcPr>
          <w:p w14:paraId="22C1A623" w14:textId="77777777" w:rsidR="00E87995" w:rsidRPr="009E06AA" w:rsidRDefault="00E87995" w:rsidP="00B55F24">
            <w:pPr>
              <w:pStyle w:val="TableText"/>
              <w:spacing w:before="40" w:after="40"/>
            </w:pPr>
            <w:r w:rsidRPr="009E06AA">
              <w:rPr>
                <w:color w:val="000000"/>
              </w:rPr>
              <w:t>Domestic wastewater (5.D.1)</w:t>
            </w:r>
          </w:p>
        </w:tc>
        <w:tc>
          <w:tcPr>
            <w:tcW w:w="459" w:type="dxa"/>
            <w:shd w:val="clear" w:color="auto" w:fill="FFFFFF"/>
            <w:tcMar>
              <w:top w:w="0" w:type="dxa"/>
              <w:left w:w="85" w:type="dxa"/>
              <w:bottom w:w="0" w:type="dxa"/>
              <w:right w:w="85" w:type="dxa"/>
            </w:tcMar>
          </w:tcPr>
          <w:p w14:paraId="7A0F45F5" w14:textId="77777777" w:rsidR="00E87995" w:rsidRPr="009E06AA" w:rsidRDefault="00E87995" w:rsidP="00B55F24">
            <w:pPr>
              <w:pStyle w:val="TableText"/>
              <w:spacing w:before="40" w:after="40"/>
            </w:pPr>
            <w:r w:rsidRPr="009E06AA">
              <w:rPr>
                <w:color w:val="000000"/>
              </w:rPr>
              <w:t>N₂O</w:t>
            </w:r>
          </w:p>
        </w:tc>
        <w:tc>
          <w:tcPr>
            <w:tcW w:w="2098" w:type="dxa"/>
            <w:shd w:val="clear" w:color="auto" w:fill="FFFFFF"/>
            <w:tcMar>
              <w:top w:w="0" w:type="dxa"/>
              <w:left w:w="85" w:type="dxa"/>
              <w:bottom w:w="0" w:type="dxa"/>
              <w:right w:w="85" w:type="dxa"/>
            </w:tcMar>
          </w:tcPr>
          <w:p w14:paraId="36FBBF84" w14:textId="77777777" w:rsidR="00E87995" w:rsidRPr="009E06AA" w:rsidRDefault="00E87995" w:rsidP="00B55F24">
            <w:pPr>
              <w:pStyle w:val="TableText"/>
              <w:spacing w:before="40" w:after="40"/>
            </w:pPr>
            <w:r w:rsidRPr="009E06AA">
              <w:rPr>
                <w:color w:val="000000"/>
              </w:rPr>
              <w:t>Based on average per capita protein intake</w:t>
            </w:r>
          </w:p>
        </w:tc>
        <w:tc>
          <w:tcPr>
            <w:tcW w:w="709" w:type="dxa"/>
            <w:shd w:val="clear" w:color="auto" w:fill="FFFFFF"/>
            <w:tcMar>
              <w:top w:w="0" w:type="dxa"/>
              <w:left w:w="85" w:type="dxa"/>
              <w:bottom w:w="0" w:type="dxa"/>
              <w:right w:w="85" w:type="dxa"/>
            </w:tcMar>
          </w:tcPr>
          <w:p w14:paraId="72EEFA00" w14:textId="77777777" w:rsidR="00E87995" w:rsidRPr="009E06AA" w:rsidRDefault="00E87995" w:rsidP="00B55F24">
            <w:pPr>
              <w:pStyle w:val="TableText"/>
              <w:spacing w:before="40" w:after="40"/>
            </w:pPr>
            <w:r w:rsidRPr="009E06AA">
              <w:rPr>
                <w:color w:val="000000"/>
              </w:rPr>
              <w:t>Tier 1</w:t>
            </w:r>
          </w:p>
        </w:tc>
        <w:tc>
          <w:tcPr>
            <w:tcW w:w="2940" w:type="dxa"/>
            <w:shd w:val="clear" w:color="auto" w:fill="FFFFFF"/>
            <w:tcMar>
              <w:top w:w="0" w:type="dxa"/>
              <w:left w:w="85" w:type="dxa"/>
              <w:bottom w:w="0" w:type="dxa"/>
              <w:right w:w="85" w:type="dxa"/>
            </w:tcMar>
          </w:tcPr>
          <w:p w14:paraId="54F9C40A" w14:textId="77777777" w:rsidR="00E87995" w:rsidRPr="009E06AA" w:rsidRDefault="00E87995" w:rsidP="00B55F24">
            <w:pPr>
              <w:pStyle w:val="TableText"/>
              <w:spacing w:before="40" w:after="40"/>
            </w:pPr>
            <w:r w:rsidRPr="009E06AA">
              <w:rPr>
                <w:color w:val="000000"/>
              </w:rPr>
              <w:t>IPCC (2006a)</w:t>
            </w:r>
          </w:p>
        </w:tc>
      </w:tr>
      <w:tr w:rsidR="00E87995" w:rsidRPr="009E06AA" w14:paraId="672F9DB7" w14:textId="77777777" w:rsidTr="00B55F24">
        <w:tc>
          <w:tcPr>
            <w:tcW w:w="2065" w:type="dxa"/>
            <w:shd w:val="clear" w:color="auto" w:fill="FFFFFF"/>
            <w:tcMar>
              <w:top w:w="0" w:type="dxa"/>
              <w:left w:w="85" w:type="dxa"/>
              <w:bottom w:w="0" w:type="dxa"/>
              <w:right w:w="85" w:type="dxa"/>
            </w:tcMar>
          </w:tcPr>
          <w:p w14:paraId="6D008E1B" w14:textId="77777777" w:rsidR="00E87995" w:rsidRPr="009E06AA" w:rsidRDefault="00E87995" w:rsidP="00B55F24">
            <w:pPr>
              <w:pStyle w:val="TableText"/>
              <w:spacing w:before="40" w:after="40"/>
            </w:pPr>
            <w:r w:rsidRPr="009E06AA">
              <w:rPr>
                <w:color w:val="000000"/>
              </w:rPr>
              <w:t>Industrial wastewater (5.D.2) – Meat industry</w:t>
            </w:r>
          </w:p>
        </w:tc>
        <w:tc>
          <w:tcPr>
            <w:tcW w:w="459" w:type="dxa"/>
            <w:shd w:val="clear" w:color="auto" w:fill="FFFFFF"/>
            <w:tcMar>
              <w:top w:w="0" w:type="dxa"/>
              <w:left w:w="85" w:type="dxa"/>
              <w:bottom w:w="0" w:type="dxa"/>
              <w:right w:w="85" w:type="dxa"/>
            </w:tcMar>
          </w:tcPr>
          <w:p w14:paraId="49589413" w14:textId="77777777" w:rsidR="00E87995" w:rsidRPr="009E06AA" w:rsidRDefault="00E87995" w:rsidP="00B55F24">
            <w:pPr>
              <w:pStyle w:val="TableText"/>
              <w:spacing w:before="40" w:after="40"/>
            </w:pPr>
            <w:r w:rsidRPr="009E06AA">
              <w:rPr>
                <w:color w:val="000000"/>
              </w:rPr>
              <w:t>CH₄</w:t>
            </w:r>
          </w:p>
        </w:tc>
        <w:tc>
          <w:tcPr>
            <w:tcW w:w="2098" w:type="dxa"/>
            <w:shd w:val="clear" w:color="auto" w:fill="FFFFFF"/>
            <w:tcMar>
              <w:top w:w="0" w:type="dxa"/>
              <w:left w:w="85" w:type="dxa"/>
              <w:bottom w:w="0" w:type="dxa"/>
              <w:right w:w="85" w:type="dxa"/>
            </w:tcMar>
          </w:tcPr>
          <w:p w14:paraId="663576E4" w14:textId="77777777" w:rsidR="00E87995" w:rsidRPr="009E06AA" w:rsidRDefault="00E87995" w:rsidP="00B55F24">
            <w:pPr>
              <w:pStyle w:val="TableText"/>
              <w:spacing w:before="40" w:after="40"/>
            </w:pPr>
          </w:p>
        </w:tc>
        <w:tc>
          <w:tcPr>
            <w:tcW w:w="709" w:type="dxa"/>
            <w:shd w:val="clear" w:color="auto" w:fill="FFFFFF"/>
            <w:tcMar>
              <w:top w:w="0" w:type="dxa"/>
              <w:left w:w="85" w:type="dxa"/>
              <w:bottom w:w="0" w:type="dxa"/>
              <w:right w:w="85" w:type="dxa"/>
            </w:tcMar>
          </w:tcPr>
          <w:p w14:paraId="2C1EE870" w14:textId="77777777" w:rsidR="00E87995" w:rsidRPr="009E06AA" w:rsidRDefault="00E87995" w:rsidP="00B55F24">
            <w:pPr>
              <w:pStyle w:val="TableText"/>
              <w:spacing w:before="40" w:after="40"/>
            </w:pPr>
            <w:r w:rsidRPr="009E06AA">
              <w:rPr>
                <w:color w:val="000000"/>
              </w:rPr>
              <w:t>Tier 1</w:t>
            </w:r>
          </w:p>
        </w:tc>
        <w:tc>
          <w:tcPr>
            <w:tcW w:w="2940" w:type="dxa"/>
            <w:shd w:val="clear" w:color="auto" w:fill="FFFFFF"/>
            <w:tcMar>
              <w:top w:w="0" w:type="dxa"/>
              <w:left w:w="85" w:type="dxa"/>
              <w:bottom w:w="0" w:type="dxa"/>
              <w:right w:w="85" w:type="dxa"/>
            </w:tcMar>
          </w:tcPr>
          <w:p w14:paraId="38C7E1D6" w14:textId="77777777" w:rsidR="00E87995" w:rsidRPr="009E06AA" w:rsidRDefault="00E87995" w:rsidP="00B55F24">
            <w:pPr>
              <w:pStyle w:val="TableText"/>
              <w:spacing w:before="40" w:after="40"/>
            </w:pPr>
            <w:r w:rsidRPr="009E06AA">
              <w:rPr>
                <w:color w:val="000000"/>
              </w:rPr>
              <w:t>IPCC (2006a)</w:t>
            </w:r>
          </w:p>
        </w:tc>
      </w:tr>
      <w:tr w:rsidR="00E87995" w:rsidRPr="009E06AA" w14:paraId="131BB867" w14:textId="77777777" w:rsidTr="00B55F24">
        <w:tc>
          <w:tcPr>
            <w:tcW w:w="2065" w:type="dxa"/>
            <w:shd w:val="clear" w:color="auto" w:fill="FFFFFF"/>
            <w:tcMar>
              <w:top w:w="0" w:type="dxa"/>
              <w:left w:w="85" w:type="dxa"/>
              <w:bottom w:w="0" w:type="dxa"/>
              <w:right w:w="85" w:type="dxa"/>
            </w:tcMar>
          </w:tcPr>
          <w:p w14:paraId="28C2608E" w14:textId="77777777" w:rsidR="00E87995" w:rsidRPr="009E06AA" w:rsidRDefault="00E87995" w:rsidP="00B55F24">
            <w:pPr>
              <w:pStyle w:val="TableText"/>
              <w:spacing w:before="40" w:after="40"/>
            </w:pPr>
            <w:r w:rsidRPr="009E06AA">
              <w:rPr>
                <w:color w:val="000000"/>
              </w:rPr>
              <w:t>Industrial wastewater (5.D.2) – Pulp and paper industry</w:t>
            </w:r>
          </w:p>
        </w:tc>
        <w:tc>
          <w:tcPr>
            <w:tcW w:w="459" w:type="dxa"/>
            <w:shd w:val="clear" w:color="auto" w:fill="FFFFFF"/>
            <w:tcMar>
              <w:top w:w="0" w:type="dxa"/>
              <w:left w:w="85" w:type="dxa"/>
              <w:bottom w:w="0" w:type="dxa"/>
              <w:right w:w="85" w:type="dxa"/>
            </w:tcMar>
          </w:tcPr>
          <w:p w14:paraId="43FEF0B7" w14:textId="77777777" w:rsidR="00E87995" w:rsidRPr="009E06AA" w:rsidRDefault="00E87995" w:rsidP="00B55F24">
            <w:pPr>
              <w:pStyle w:val="TableText"/>
              <w:spacing w:before="40" w:after="40"/>
            </w:pPr>
            <w:r w:rsidRPr="009E06AA">
              <w:rPr>
                <w:color w:val="000000"/>
              </w:rPr>
              <w:t>CH₄</w:t>
            </w:r>
          </w:p>
        </w:tc>
        <w:tc>
          <w:tcPr>
            <w:tcW w:w="2098" w:type="dxa"/>
            <w:shd w:val="clear" w:color="auto" w:fill="FFFFFF"/>
            <w:tcMar>
              <w:top w:w="0" w:type="dxa"/>
              <w:left w:w="85" w:type="dxa"/>
              <w:bottom w:w="0" w:type="dxa"/>
              <w:right w:w="85" w:type="dxa"/>
            </w:tcMar>
          </w:tcPr>
          <w:p w14:paraId="2665811C" w14:textId="77777777" w:rsidR="00E87995" w:rsidRPr="009E06AA" w:rsidRDefault="00E87995" w:rsidP="00B55F24">
            <w:pPr>
              <w:pStyle w:val="TableText"/>
              <w:spacing w:before="40" w:after="40"/>
            </w:pPr>
          </w:p>
        </w:tc>
        <w:tc>
          <w:tcPr>
            <w:tcW w:w="709" w:type="dxa"/>
            <w:shd w:val="clear" w:color="auto" w:fill="FFFFFF"/>
            <w:tcMar>
              <w:top w:w="0" w:type="dxa"/>
              <w:left w:w="85" w:type="dxa"/>
              <w:bottom w:w="0" w:type="dxa"/>
              <w:right w:w="85" w:type="dxa"/>
            </w:tcMar>
          </w:tcPr>
          <w:p w14:paraId="1F16E6D7" w14:textId="77777777" w:rsidR="00E87995" w:rsidRPr="009E06AA" w:rsidRDefault="00E87995" w:rsidP="00B55F24">
            <w:pPr>
              <w:pStyle w:val="TableText"/>
              <w:spacing w:before="40" w:after="40"/>
            </w:pPr>
            <w:r w:rsidRPr="009E06AA">
              <w:rPr>
                <w:color w:val="000000"/>
              </w:rPr>
              <w:t>Tier 1</w:t>
            </w:r>
          </w:p>
        </w:tc>
        <w:tc>
          <w:tcPr>
            <w:tcW w:w="2940" w:type="dxa"/>
            <w:shd w:val="clear" w:color="auto" w:fill="FFFFFF"/>
            <w:tcMar>
              <w:top w:w="0" w:type="dxa"/>
              <w:left w:w="85" w:type="dxa"/>
              <w:bottom w:w="0" w:type="dxa"/>
              <w:right w:w="85" w:type="dxa"/>
            </w:tcMar>
          </w:tcPr>
          <w:p w14:paraId="4CA28D83" w14:textId="77777777" w:rsidR="00E87995" w:rsidRPr="009E06AA" w:rsidRDefault="00E87995" w:rsidP="00B55F24">
            <w:pPr>
              <w:pStyle w:val="TableText"/>
              <w:spacing w:before="40" w:after="40"/>
            </w:pPr>
            <w:r w:rsidRPr="009E06AA">
              <w:rPr>
                <w:color w:val="000000"/>
              </w:rPr>
              <w:t>IPCC (2006a)</w:t>
            </w:r>
          </w:p>
        </w:tc>
      </w:tr>
      <w:tr w:rsidR="00E87995" w:rsidRPr="009E06AA" w14:paraId="6C92CF2C" w14:textId="77777777" w:rsidTr="00B55F24">
        <w:tc>
          <w:tcPr>
            <w:tcW w:w="2065" w:type="dxa"/>
            <w:shd w:val="clear" w:color="auto" w:fill="FFFFFF"/>
            <w:tcMar>
              <w:top w:w="0" w:type="dxa"/>
              <w:left w:w="85" w:type="dxa"/>
              <w:bottom w:w="0" w:type="dxa"/>
              <w:right w:w="85" w:type="dxa"/>
            </w:tcMar>
          </w:tcPr>
          <w:p w14:paraId="297E0AC8" w14:textId="77777777" w:rsidR="00E87995" w:rsidRPr="009E06AA" w:rsidRDefault="00E87995" w:rsidP="00B55F24">
            <w:pPr>
              <w:pStyle w:val="TableText"/>
              <w:spacing w:before="40" w:after="40"/>
            </w:pPr>
            <w:r w:rsidRPr="009E06AA">
              <w:rPr>
                <w:color w:val="000000"/>
              </w:rPr>
              <w:t>Industrial wastewater (5.D.2) – Wine industry</w:t>
            </w:r>
          </w:p>
        </w:tc>
        <w:tc>
          <w:tcPr>
            <w:tcW w:w="459" w:type="dxa"/>
            <w:shd w:val="clear" w:color="auto" w:fill="FFFFFF"/>
            <w:tcMar>
              <w:top w:w="0" w:type="dxa"/>
              <w:left w:w="85" w:type="dxa"/>
              <w:bottom w:w="0" w:type="dxa"/>
              <w:right w:w="85" w:type="dxa"/>
            </w:tcMar>
          </w:tcPr>
          <w:p w14:paraId="63705972" w14:textId="77777777" w:rsidR="00E87995" w:rsidRPr="009E06AA" w:rsidRDefault="00E87995" w:rsidP="00B55F24">
            <w:pPr>
              <w:pStyle w:val="TableText"/>
              <w:spacing w:before="40" w:after="40"/>
            </w:pPr>
            <w:r w:rsidRPr="009E06AA">
              <w:rPr>
                <w:color w:val="000000"/>
              </w:rPr>
              <w:t>CH₄</w:t>
            </w:r>
          </w:p>
        </w:tc>
        <w:tc>
          <w:tcPr>
            <w:tcW w:w="2098" w:type="dxa"/>
            <w:shd w:val="clear" w:color="auto" w:fill="FFFFFF"/>
            <w:tcMar>
              <w:top w:w="0" w:type="dxa"/>
              <w:left w:w="85" w:type="dxa"/>
              <w:bottom w:w="0" w:type="dxa"/>
              <w:right w:w="85" w:type="dxa"/>
            </w:tcMar>
          </w:tcPr>
          <w:p w14:paraId="68244C7E" w14:textId="77777777" w:rsidR="00E87995" w:rsidRPr="009E06AA" w:rsidRDefault="00E87995" w:rsidP="00B55F24">
            <w:pPr>
              <w:pStyle w:val="TableText"/>
              <w:spacing w:before="40" w:after="40"/>
            </w:pPr>
          </w:p>
        </w:tc>
        <w:tc>
          <w:tcPr>
            <w:tcW w:w="709" w:type="dxa"/>
            <w:shd w:val="clear" w:color="auto" w:fill="FFFFFF"/>
            <w:tcMar>
              <w:top w:w="0" w:type="dxa"/>
              <w:left w:w="85" w:type="dxa"/>
              <w:bottom w:w="0" w:type="dxa"/>
              <w:right w:w="85" w:type="dxa"/>
            </w:tcMar>
          </w:tcPr>
          <w:p w14:paraId="5397750F" w14:textId="77777777" w:rsidR="00E87995" w:rsidRPr="009E06AA" w:rsidRDefault="00E87995" w:rsidP="00B55F24">
            <w:pPr>
              <w:pStyle w:val="TableText"/>
              <w:spacing w:before="40" w:after="40"/>
            </w:pPr>
            <w:r w:rsidRPr="009E06AA">
              <w:rPr>
                <w:color w:val="000000"/>
              </w:rPr>
              <w:t>Tier 2</w:t>
            </w:r>
          </w:p>
        </w:tc>
        <w:tc>
          <w:tcPr>
            <w:tcW w:w="2940" w:type="dxa"/>
            <w:shd w:val="clear" w:color="auto" w:fill="FFFFFF"/>
            <w:tcMar>
              <w:top w:w="0" w:type="dxa"/>
              <w:left w:w="85" w:type="dxa"/>
              <w:bottom w:w="0" w:type="dxa"/>
              <w:right w:w="85" w:type="dxa"/>
            </w:tcMar>
          </w:tcPr>
          <w:p w14:paraId="7472A0E1" w14:textId="77777777" w:rsidR="00E87995" w:rsidRPr="009E06AA" w:rsidRDefault="00E87995" w:rsidP="00B55F24">
            <w:pPr>
              <w:pStyle w:val="TableText"/>
              <w:spacing w:before="40" w:after="40"/>
            </w:pPr>
            <w:r w:rsidRPr="009E06AA">
              <w:rPr>
                <w:color w:val="000000"/>
              </w:rPr>
              <w:t>Beca Ltd (unpublished)</w:t>
            </w:r>
          </w:p>
        </w:tc>
      </w:tr>
      <w:tr w:rsidR="00E87995" w:rsidRPr="009E06AA" w14:paraId="28C479E5" w14:textId="77777777" w:rsidTr="00B55F24">
        <w:tc>
          <w:tcPr>
            <w:tcW w:w="2065" w:type="dxa"/>
            <w:shd w:val="clear" w:color="auto" w:fill="FFFFFF"/>
            <w:tcMar>
              <w:top w:w="0" w:type="dxa"/>
              <w:left w:w="85" w:type="dxa"/>
              <w:bottom w:w="0" w:type="dxa"/>
              <w:right w:w="85" w:type="dxa"/>
            </w:tcMar>
          </w:tcPr>
          <w:p w14:paraId="5722B981" w14:textId="77777777" w:rsidR="00E87995" w:rsidRPr="009E06AA" w:rsidRDefault="00E87995" w:rsidP="00B55F24">
            <w:pPr>
              <w:pStyle w:val="TableText"/>
              <w:spacing w:before="40" w:after="40"/>
            </w:pPr>
            <w:r w:rsidRPr="009E06AA">
              <w:rPr>
                <w:color w:val="000000"/>
              </w:rPr>
              <w:t>Industrial wastewater (5.D.2) – Wool scouring industry</w:t>
            </w:r>
          </w:p>
        </w:tc>
        <w:tc>
          <w:tcPr>
            <w:tcW w:w="459" w:type="dxa"/>
            <w:shd w:val="clear" w:color="auto" w:fill="FFFFFF"/>
            <w:tcMar>
              <w:top w:w="0" w:type="dxa"/>
              <w:left w:w="85" w:type="dxa"/>
              <w:bottom w:w="0" w:type="dxa"/>
              <w:right w:w="85" w:type="dxa"/>
            </w:tcMar>
          </w:tcPr>
          <w:p w14:paraId="6A3360B4" w14:textId="77777777" w:rsidR="00E87995" w:rsidRPr="009E06AA" w:rsidRDefault="00E87995" w:rsidP="00B55F24">
            <w:pPr>
              <w:pStyle w:val="TableText"/>
              <w:spacing w:before="40" w:after="40"/>
            </w:pPr>
            <w:r w:rsidRPr="009E06AA">
              <w:rPr>
                <w:color w:val="000000"/>
              </w:rPr>
              <w:t>CH₄</w:t>
            </w:r>
          </w:p>
        </w:tc>
        <w:tc>
          <w:tcPr>
            <w:tcW w:w="2098" w:type="dxa"/>
            <w:shd w:val="clear" w:color="auto" w:fill="FFFFFF"/>
            <w:tcMar>
              <w:top w:w="0" w:type="dxa"/>
              <w:left w:w="85" w:type="dxa"/>
              <w:bottom w:w="0" w:type="dxa"/>
              <w:right w:w="85" w:type="dxa"/>
            </w:tcMar>
          </w:tcPr>
          <w:p w14:paraId="5011C73C" w14:textId="77777777" w:rsidR="00E87995" w:rsidRPr="009E06AA" w:rsidRDefault="00E87995" w:rsidP="00B55F24">
            <w:pPr>
              <w:pStyle w:val="TableText"/>
              <w:spacing w:before="40" w:after="40"/>
            </w:pPr>
          </w:p>
        </w:tc>
        <w:tc>
          <w:tcPr>
            <w:tcW w:w="709" w:type="dxa"/>
            <w:shd w:val="clear" w:color="auto" w:fill="FFFFFF"/>
            <w:tcMar>
              <w:top w:w="0" w:type="dxa"/>
              <w:left w:w="85" w:type="dxa"/>
              <w:bottom w:w="0" w:type="dxa"/>
              <w:right w:w="85" w:type="dxa"/>
            </w:tcMar>
          </w:tcPr>
          <w:p w14:paraId="55152D93" w14:textId="77777777" w:rsidR="00E87995" w:rsidRPr="009E06AA" w:rsidRDefault="00E87995" w:rsidP="00B55F24">
            <w:pPr>
              <w:pStyle w:val="TableText"/>
              <w:spacing w:before="40" w:after="40"/>
            </w:pPr>
            <w:r w:rsidRPr="009E06AA">
              <w:rPr>
                <w:color w:val="000000"/>
              </w:rPr>
              <w:t>Tier 1</w:t>
            </w:r>
          </w:p>
        </w:tc>
        <w:tc>
          <w:tcPr>
            <w:tcW w:w="2940" w:type="dxa"/>
            <w:shd w:val="clear" w:color="auto" w:fill="FFFFFF"/>
            <w:tcMar>
              <w:top w:w="0" w:type="dxa"/>
              <w:left w:w="85" w:type="dxa"/>
              <w:bottom w:w="0" w:type="dxa"/>
              <w:right w:w="85" w:type="dxa"/>
            </w:tcMar>
          </w:tcPr>
          <w:p w14:paraId="28824602" w14:textId="77777777" w:rsidR="00E87995" w:rsidRPr="009E06AA" w:rsidRDefault="00E87995" w:rsidP="00B55F24">
            <w:pPr>
              <w:pStyle w:val="TableText"/>
              <w:spacing w:before="40" w:after="40"/>
            </w:pPr>
            <w:r w:rsidRPr="009E06AA">
              <w:rPr>
                <w:color w:val="000000"/>
              </w:rPr>
              <w:t>IPCC (2006a)</w:t>
            </w:r>
          </w:p>
        </w:tc>
      </w:tr>
      <w:tr w:rsidR="00E87995" w:rsidRPr="009E06AA" w14:paraId="7235236B" w14:textId="77777777" w:rsidTr="00B55F24">
        <w:tc>
          <w:tcPr>
            <w:tcW w:w="2065" w:type="dxa"/>
            <w:shd w:val="clear" w:color="auto" w:fill="FFFFFF"/>
            <w:tcMar>
              <w:top w:w="0" w:type="dxa"/>
              <w:left w:w="85" w:type="dxa"/>
              <w:bottom w:w="0" w:type="dxa"/>
              <w:right w:w="85" w:type="dxa"/>
            </w:tcMar>
          </w:tcPr>
          <w:p w14:paraId="1484FE64" w14:textId="77777777" w:rsidR="00E87995" w:rsidRPr="009E06AA" w:rsidRDefault="00E87995" w:rsidP="00B55F24">
            <w:pPr>
              <w:pStyle w:val="TableText"/>
              <w:spacing w:before="40" w:after="40"/>
            </w:pPr>
            <w:r w:rsidRPr="009E06AA">
              <w:rPr>
                <w:color w:val="000000"/>
              </w:rPr>
              <w:t>Industrial wastewater (5.D.2)</w:t>
            </w:r>
          </w:p>
        </w:tc>
        <w:tc>
          <w:tcPr>
            <w:tcW w:w="459" w:type="dxa"/>
            <w:shd w:val="clear" w:color="auto" w:fill="FFFFFF"/>
            <w:tcMar>
              <w:top w:w="0" w:type="dxa"/>
              <w:left w:w="85" w:type="dxa"/>
              <w:bottom w:w="0" w:type="dxa"/>
              <w:right w:w="85" w:type="dxa"/>
            </w:tcMar>
          </w:tcPr>
          <w:p w14:paraId="4D1FFEA5" w14:textId="77777777" w:rsidR="00E87995" w:rsidRPr="009E06AA" w:rsidRDefault="00E87995" w:rsidP="00B55F24">
            <w:pPr>
              <w:pStyle w:val="TableText"/>
              <w:spacing w:before="40" w:after="40"/>
            </w:pPr>
            <w:r w:rsidRPr="009E06AA">
              <w:rPr>
                <w:color w:val="000000"/>
              </w:rPr>
              <w:t>N₂O</w:t>
            </w:r>
          </w:p>
        </w:tc>
        <w:tc>
          <w:tcPr>
            <w:tcW w:w="2098" w:type="dxa"/>
            <w:shd w:val="clear" w:color="auto" w:fill="FFFFFF"/>
            <w:tcMar>
              <w:top w:w="0" w:type="dxa"/>
              <w:left w:w="85" w:type="dxa"/>
              <w:bottom w:w="0" w:type="dxa"/>
              <w:right w:w="85" w:type="dxa"/>
            </w:tcMar>
          </w:tcPr>
          <w:p w14:paraId="5F78E23F" w14:textId="77777777" w:rsidR="00E87995" w:rsidRPr="009E06AA" w:rsidRDefault="00E87995" w:rsidP="00B55F24">
            <w:pPr>
              <w:pStyle w:val="TableText"/>
              <w:spacing w:before="40" w:after="40"/>
            </w:pPr>
            <w:r w:rsidRPr="009E06AA">
              <w:rPr>
                <w:color w:val="000000"/>
              </w:rPr>
              <w:t>Based on chemical oxygen demand from methane emissions</w:t>
            </w:r>
          </w:p>
        </w:tc>
        <w:tc>
          <w:tcPr>
            <w:tcW w:w="709" w:type="dxa"/>
            <w:shd w:val="clear" w:color="auto" w:fill="FFFFFF"/>
            <w:tcMar>
              <w:top w:w="0" w:type="dxa"/>
              <w:left w:w="85" w:type="dxa"/>
              <w:bottom w:w="0" w:type="dxa"/>
              <w:right w:w="85" w:type="dxa"/>
            </w:tcMar>
          </w:tcPr>
          <w:p w14:paraId="3B8C70B7" w14:textId="77777777" w:rsidR="00E87995" w:rsidRPr="009E06AA" w:rsidRDefault="00E87995" w:rsidP="00B55F24">
            <w:pPr>
              <w:pStyle w:val="TableText"/>
              <w:spacing w:before="40" w:after="40"/>
            </w:pPr>
            <w:r w:rsidRPr="009E06AA">
              <w:rPr>
                <w:color w:val="000000"/>
              </w:rPr>
              <w:t>Tier 2</w:t>
            </w:r>
          </w:p>
        </w:tc>
        <w:tc>
          <w:tcPr>
            <w:tcW w:w="2940" w:type="dxa"/>
            <w:shd w:val="clear" w:color="auto" w:fill="FFFFFF"/>
            <w:tcMar>
              <w:top w:w="0" w:type="dxa"/>
              <w:left w:w="85" w:type="dxa"/>
              <w:bottom w:w="0" w:type="dxa"/>
              <w:right w:w="85" w:type="dxa"/>
            </w:tcMar>
          </w:tcPr>
          <w:p w14:paraId="15CCF08E" w14:textId="77777777" w:rsidR="00E87995" w:rsidRPr="009E06AA" w:rsidRDefault="00E87995" w:rsidP="00B55F24">
            <w:pPr>
              <w:pStyle w:val="TableText"/>
              <w:spacing w:before="40" w:after="40"/>
            </w:pPr>
            <w:r w:rsidRPr="009E06AA">
              <w:rPr>
                <w:color w:val="000000"/>
              </w:rPr>
              <w:t>Cardno (unpublished)</w:t>
            </w:r>
          </w:p>
        </w:tc>
      </w:tr>
    </w:tbl>
    <w:p w14:paraId="7B9CA3AC" w14:textId="77777777" w:rsidR="00E87995" w:rsidRPr="009E06AA" w:rsidRDefault="00E87995" w:rsidP="00BF2A76">
      <w:pPr>
        <w:pStyle w:val="Heading5"/>
      </w:pPr>
      <w:bookmarkStart w:id="3016" w:name="wine-industry-1"/>
      <w:r w:rsidRPr="009E06AA">
        <w:t>Wine industry</w:t>
      </w:r>
    </w:p>
    <w:p w14:paraId="433FFB97" w14:textId="77777777" w:rsidR="00E87995" w:rsidRPr="009E06AA" w:rsidRDefault="00E87995" w:rsidP="00E87995">
      <w:pPr>
        <w:pStyle w:val="BodyText"/>
      </w:pPr>
      <w:r w:rsidRPr="009E06AA">
        <w:t xml:space="preserve">A Tier 2 approach is used to estimate emissions from the wine industry. Information on the wastewater treatment practices of the industry was obtained from a survey (Beca Ltd, unpublished). Default values from the 2006 IPCC Guidelines (IPCC, 2006a) are used where </w:t>
      </w:r>
      <w:r w:rsidRPr="009E06AA" w:rsidDel="00D24B93">
        <w:t>New</w:t>
      </w:r>
      <w:r w:rsidRPr="009E06AA">
        <w:t> Zealand-specific information is not available.</w:t>
      </w:r>
    </w:p>
    <w:p w14:paraId="08A39E4F" w14:textId="77777777" w:rsidR="00E87995" w:rsidRPr="009E06AA" w:rsidRDefault="00E87995" w:rsidP="00BF2A76">
      <w:pPr>
        <w:pStyle w:val="Heading5"/>
      </w:pPr>
      <w:bookmarkStart w:id="3017" w:name="nitrous-oxide-emissions"/>
      <w:bookmarkEnd w:id="3016"/>
      <w:r w:rsidRPr="009E06AA">
        <w:t>Nitrous oxide emissions</w:t>
      </w:r>
    </w:p>
    <w:p w14:paraId="07FCF6FF" w14:textId="77777777" w:rsidR="00E87995" w:rsidRPr="009E06AA" w:rsidRDefault="00E87995" w:rsidP="00E87995">
      <w:pPr>
        <w:pStyle w:val="BodyText"/>
        <w:spacing w:before="100" w:after="100"/>
      </w:pPr>
      <w:r w:rsidRPr="009E06AA">
        <w:t>Direct emissions of N</w:t>
      </w:r>
      <w:r w:rsidRPr="009E06AA">
        <w:rPr>
          <w:vertAlign w:val="subscript"/>
        </w:rPr>
        <w:t>2</w:t>
      </w:r>
      <w:r w:rsidRPr="009E06AA">
        <w:t>O from domestic wastewater plants are typically minor and only occur in advanced centralised treatment plants. Good practice guidelines (IPCC, 2006a) advise that the estimation of direct N</w:t>
      </w:r>
      <w:r w:rsidRPr="009E06AA">
        <w:rPr>
          <w:vertAlign w:val="subscript"/>
        </w:rPr>
        <w:t>2</w:t>
      </w:r>
      <w:r w:rsidRPr="009E06AA">
        <w:t>O emissions is only necessary where advanced centralised treatment plants account for a major proportion of wastewater treatment. Although one wastewater treatment plant in Auckland serves about a million people, direct N</w:t>
      </w:r>
      <w:r w:rsidRPr="009E06AA">
        <w:rPr>
          <w:vertAlign w:val="subscript"/>
        </w:rPr>
        <w:t>2</w:t>
      </w:r>
      <w:r w:rsidRPr="009E06AA">
        <w:t>O emissions are not estimated because they are likely to be small.</w:t>
      </w:r>
    </w:p>
    <w:p w14:paraId="0E9C5441" w14:textId="77777777" w:rsidR="00E87995" w:rsidRPr="009E06AA" w:rsidRDefault="00E87995" w:rsidP="00E87995">
      <w:pPr>
        <w:pStyle w:val="BodyText"/>
        <w:spacing w:before="100" w:after="100"/>
      </w:pPr>
      <w:r w:rsidRPr="009E06AA">
        <w:t>However, indirect emissions of N</w:t>
      </w:r>
      <w:r w:rsidRPr="009E06AA">
        <w:rPr>
          <w:vertAlign w:val="subscript"/>
        </w:rPr>
        <w:t>2</w:t>
      </w:r>
      <w:r w:rsidRPr="009E06AA">
        <w:t>O may occur after disposal of effluent into waterways, lakes or the ocean. New Zealand reports indirect emissions of N</w:t>
      </w:r>
      <w:r w:rsidRPr="009E06AA">
        <w:rPr>
          <w:vertAlign w:val="subscript"/>
        </w:rPr>
        <w:t>2</w:t>
      </w:r>
      <w:r w:rsidRPr="009E06AA">
        <w:t>O from domestic wastewater.</w:t>
      </w:r>
    </w:p>
    <w:p w14:paraId="1E58FD42" w14:textId="77777777" w:rsidR="00E87995" w:rsidRPr="009E06AA" w:rsidRDefault="00E87995" w:rsidP="00E87995">
      <w:pPr>
        <w:pStyle w:val="BodyText"/>
        <w:spacing w:before="100" w:after="100"/>
      </w:pPr>
      <w:r w:rsidRPr="009E06AA">
        <w:t>The 2006 IPCC Guidelines (IPCC, 2006a) indicate that, compared with domestic wastewater, the N</w:t>
      </w:r>
      <w:r w:rsidRPr="009E06AA">
        <w:rPr>
          <w:vertAlign w:val="subscript"/>
        </w:rPr>
        <w:t>2</w:t>
      </w:r>
      <w:r w:rsidRPr="009E06AA">
        <w:t xml:space="preserve">O emissions from industrial wastewater are believed to be insignificant. Yet, in </w:t>
      </w:r>
      <w:r w:rsidRPr="009E06AA" w:rsidDel="00231439">
        <w:t>New Zealand</w:t>
      </w:r>
      <w:r w:rsidRPr="009E06AA">
        <w:t>, these emissions have greater significance, because the meat and dairy processing industries produce nitrogen-rich wastewaters.</w:t>
      </w:r>
    </w:p>
    <w:p w14:paraId="56F896EE" w14:textId="77777777" w:rsidR="00E87995" w:rsidRPr="009E06AA" w:rsidRDefault="00E87995" w:rsidP="00E87995">
      <w:pPr>
        <w:pStyle w:val="BodyText"/>
        <w:spacing w:before="100" w:after="100"/>
      </w:pPr>
      <w:r w:rsidRPr="009E06AA">
        <w:t>The IPCC does not provide a method for calculating N</w:t>
      </w:r>
      <w:r w:rsidRPr="009E06AA">
        <w:rPr>
          <w:vertAlign w:val="subscript"/>
        </w:rPr>
        <w:t>2</w:t>
      </w:r>
      <w:r w:rsidRPr="009E06AA">
        <w:t xml:space="preserve">O emissions from industrial wastewater and, consequently, a </w:t>
      </w:r>
      <w:r w:rsidRPr="009E06AA" w:rsidDel="00C53BEF">
        <w:t>New Zealand</w:t>
      </w:r>
      <w:r w:rsidRPr="009E06AA">
        <w:t>-derived method has been applied. The total nitrogen load is calculated by adopting the COD load, as determined in calculating CH</w:t>
      </w:r>
      <w:r w:rsidRPr="009E06AA">
        <w:rPr>
          <w:vertAlign w:val="subscript"/>
        </w:rPr>
        <w:t>4</w:t>
      </w:r>
      <w:r w:rsidRPr="009E06AA">
        <w:t xml:space="preserve"> emissions from the same wastewater, and using an estimated ratio of COD to nitrogen in the wastewater for each of the different producers in the meat, dairy processing and leather and skins industries.</w:t>
      </w:r>
    </w:p>
    <w:p w14:paraId="19C30D04" w14:textId="77777777" w:rsidR="00E87995" w:rsidRPr="009E06AA" w:rsidRDefault="00E87995" w:rsidP="00E87995">
      <w:pPr>
        <w:pStyle w:val="Heading4"/>
      </w:pPr>
      <w:bookmarkStart w:id="3018" w:name="choice-of-emission-factors-2"/>
      <w:bookmarkEnd w:id="3010"/>
      <w:bookmarkEnd w:id="3017"/>
      <w:r w:rsidRPr="009E06AA">
        <w:t>Choice of emission factors</w:t>
      </w:r>
    </w:p>
    <w:p w14:paraId="6AD72326" w14:textId="77777777" w:rsidR="00E87995" w:rsidRPr="009E06AA" w:rsidRDefault="00E87995" w:rsidP="008C4A0F">
      <w:pPr>
        <w:pStyle w:val="Heading5"/>
        <w:spacing w:before="180"/>
      </w:pPr>
      <w:bookmarkStart w:id="3019" w:name="domestic-wastewater-5.d.1-2"/>
      <w:r w:rsidRPr="009E06AA">
        <w:t>Domestic wastewater (5.D.1)</w:t>
      </w:r>
    </w:p>
    <w:p w14:paraId="5A6C5AB2" w14:textId="77777777" w:rsidR="00E87995" w:rsidRPr="009E06AA" w:rsidRDefault="00E87995" w:rsidP="00E87995">
      <w:pPr>
        <w:pStyle w:val="Heading6"/>
        <w:spacing w:before="180"/>
      </w:pPr>
      <w:bookmarkStart w:id="3020" w:name="Xd5583ba6d1cbf8baf7c106a7a0a3d02cb92bd05"/>
      <w:r w:rsidRPr="009E06AA">
        <w:t>Methane emissions from domestic wastewater treatment</w:t>
      </w:r>
    </w:p>
    <w:p w14:paraId="09E03C1A" w14:textId="77777777" w:rsidR="00E87995" w:rsidRPr="009E06AA" w:rsidRDefault="00E87995" w:rsidP="00E87995">
      <w:pPr>
        <w:pStyle w:val="BodyText"/>
        <w:spacing w:before="100" w:after="100"/>
      </w:pPr>
      <w:r w:rsidRPr="009E06AA">
        <w:t>Table 7.5.6 summarises the parameter values applied for estimating CH</w:t>
      </w:r>
      <w:r w:rsidRPr="009E06AA">
        <w:rPr>
          <w:vertAlign w:val="subscript"/>
        </w:rPr>
        <w:t>4</w:t>
      </w:r>
      <w:r w:rsidRPr="009E06AA">
        <w:t xml:space="preserve"> emissions from domestic wastewater treatment.</w:t>
      </w:r>
    </w:p>
    <w:p w14:paraId="7A6E7853" w14:textId="77777777" w:rsidR="00E87995" w:rsidRPr="009E06AA" w:rsidRDefault="00E87995" w:rsidP="00E87995">
      <w:pPr>
        <w:pStyle w:val="Table"/>
      </w:pPr>
      <w:bookmarkStart w:id="3021" w:name="_Toc128383684"/>
      <w:bookmarkStart w:id="3022" w:name="_Toc131591457"/>
      <w:bookmarkStart w:id="3023" w:name="_Toc160537336"/>
      <w:bookmarkStart w:id="3024" w:name="_Toc160537698"/>
      <w:bookmarkStart w:id="3025" w:name="_Toc164153948"/>
      <w:r w:rsidRPr="009E06AA">
        <w:t>Table 7.5.6</w:t>
      </w:r>
      <w:r w:rsidRPr="009E06AA">
        <w:tab/>
        <w:t xml:space="preserve">Parameter values applied by </w:t>
      </w:r>
      <w:r w:rsidRPr="009E06AA" w:rsidDel="00747A34">
        <w:t>New Zealand</w:t>
      </w:r>
      <w:r w:rsidRPr="009E06AA">
        <w:t xml:space="preserve"> for estimating methane emissions for domestic wastewater treatment</w:t>
      </w:r>
      <w:bookmarkEnd w:id="3021"/>
      <w:bookmarkEnd w:id="3022"/>
      <w:bookmarkEnd w:id="3023"/>
      <w:bookmarkEnd w:id="3024"/>
      <w:bookmarkEnd w:id="3025"/>
    </w:p>
    <w:tbl>
      <w:tblPr>
        <w:tblW w:w="8505" w:type="dxa"/>
        <w:tblBorders>
          <w:top w:val="single" w:sz="4" w:space="0" w:color="1B556B" w:themeColor="text2"/>
          <w:bottom w:val="single" w:sz="4" w:space="0" w:color="1B556B" w:themeColor="text2"/>
          <w:insideH w:val="single" w:sz="4" w:space="0" w:color="1B556B" w:themeColor="text2"/>
        </w:tblBorders>
        <w:tblLook w:val="0420" w:firstRow="1" w:lastRow="0" w:firstColumn="0" w:lastColumn="0" w:noHBand="0" w:noVBand="1"/>
      </w:tblPr>
      <w:tblGrid>
        <w:gridCol w:w="2410"/>
        <w:gridCol w:w="1701"/>
        <w:gridCol w:w="1701"/>
        <w:gridCol w:w="2693"/>
      </w:tblGrid>
      <w:tr w:rsidR="00E87995" w:rsidRPr="009E06AA" w14:paraId="7D1FFE38" w14:textId="77777777" w:rsidTr="00765D65">
        <w:trPr>
          <w:tblHeader/>
        </w:trPr>
        <w:tc>
          <w:tcPr>
            <w:tcW w:w="2410" w:type="dxa"/>
            <w:shd w:val="clear" w:color="auto" w:fill="1B556B"/>
            <w:tcMar>
              <w:top w:w="0" w:type="dxa"/>
              <w:left w:w="85" w:type="dxa"/>
              <w:bottom w:w="0" w:type="dxa"/>
              <w:right w:w="85" w:type="dxa"/>
            </w:tcMar>
          </w:tcPr>
          <w:p w14:paraId="7B0B01E8" w14:textId="77777777" w:rsidR="00E87995" w:rsidRPr="009E06AA" w:rsidRDefault="00E87995" w:rsidP="00B55F24">
            <w:pPr>
              <w:pStyle w:val="TableTextBold"/>
              <w:spacing w:before="40" w:after="40"/>
              <w:rPr>
                <w:noProof w:val="0"/>
                <w:color w:val="FFFFFF" w:themeColor="background1"/>
              </w:rPr>
            </w:pPr>
            <w:r w:rsidRPr="009E06AA">
              <w:rPr>
                <w:noProof w:val="0"/>
                <w:color w:val="FFFFFF" w:themeColor="background1"/>
              </w:rPr>
              <w:t>Parameter</w:t>
            </w:r>
          </w:p>
        </w:tc>
        <w:tc>
          <w:tcPr>
            <w:tcW w:w="1701" w:type="dxa"/>
            <w:shd w:val="clear" w:color="auto" w:fill="1B556B"/>
            <w:tcMar>
              <w:top w:w="0" w:type="dxa"/>
              <w:left w:w="85" w:type="dxa"/>
              <w:bottom w:w="0" w:type="dxa"/>
              <w:right w:w="85" w:type="dxa"/>
            </w:tcMar>
          </w:tcPr>
          <w:p w14:paraId="705527ED" w14:textId="77777777" w:rsidR="00E87995" w:rsidRPr="009E06AA" w:rsidRDefault="00E87995" w:rsidP="00E770EF">
            <w:pPr>
              <w:pStyle w:val="TableTextBold"/>
              <w:spacing w:before="40" w:after="40"/>
              <w:jc w:val="right"/>
              <w:rPr>
                <w:noProof w:val="0"/>
                <w:color w:val="FFFFFF" w:themeColor="background1"/>
              </w:rPr>
            </w:pPr>
            <w:r w:rsidRPr="009E06AA">
              <w:rPr>
                <w:noProof w:val="0"/>
                <w:color w:val="FFFFFF" w:themeColor="background1"/>
              </w:rPr>
              <w:t>Value</w:t>
            </w:r>
          </w:p>
        </w:tc>
        <w:tc>
          <w:tcPr>
            <w:tcW w:w="1701" w:type="dxa"/>
            <w:shd w:val="clear" w:color="auto" w:fill="1B556B"/>
            <w:tcMar>
              <w:top w:w="0" w:type="dxa"/>
              <w:left w:w="85" w:type="dxa"/>
              <w:bottom w:w="0" w:type="dxa"/>
              <w:right w:w="85" w:type="dxa"/>
            </w:tcMar>
          </w:tcPr>
          <w:p w14:paraId="0DE998AD" w14:textId="77777777" w:rsidR="00E87995" w:rsidRPr="009E06AA" w:rsidRDefault="00E87995" w:rsidP="00B55F24">
            <w:pPr>
              <w:pStyle w:val="TableTextBold"/>
              <w:spacing w:before="40" w:after="40"/>
              <w:rPr>
                <w:noProof w:val="0"/>
                <w:color w:val="FFFFFF" w:themeColor="background1"/>
              </w:rPr>
            </w:pPr>
            <w:r w:rsidRPr="009E06AA">
              <w:rPr>
                <w:noProof w:val="0"/>
                <w:color w:val="FFFFFF" w:themeColor="background1"/>
              </w:rPr>
              <w:t>Source</w:t>
            </w:r>
          </w:p>
        </w:tc>
        <w:tc>
          <w:tcPr>
            <w:tcW w:w="2693" w:type="dxa"/>
            <w:shd w:val="clear" w:color="auto" w:fill="1B556B"/>
            <w:tcMar>
              <w:top w:w="0" w:type="dxa"/>
              <w:left w:w="85" w:type="dxa"/>
              <w:bottom w:w="0" w:type="dxa"/>
              <w:right w:w="85" w:type="dxa"/>
            </w:tcMar>
          </w:tcPr>
          <w:p w14:paraId="5592D5C6" w14:textId="77777777" w:rsidR="00E87995" w:rsidRPr="009E06AA" w:rsidRDefault="00E87995" w:rsidP="00B55F24">
            <w:pPr>
              <w:pStyle w:val="TableTextBold"/>
              <w:spacing w:before="40" w:after="40"/>
              <w:rPr>
                <w:noProof w:val="0"/>
                <w:color w:val="FFFFFF" w:themeColor="background1"/>
              </w:rPr>
            </w:pPr>
            <w:r w:rsidRPr="009E06AA">
              <w:rPr>
                <w:noProof w:val="0"/>
                <w:color w:val="FFFFFF" w:themeColor="background1"/>
              </w:rPr>
              <w:t>Reference</w:t>
            </w:r>
          </w:p>
        </w:tc>
      </w:tr>
      <w:tr w:rsidR="00E87995" w:rsidRPr="009E06AA" w14:paraId="089D230C" w14:textId="77777777" w:rsidTr="00765D65">
        <w:tc>
          <w:tcPr>
            <w:tcW w:w="2410" w:type="dxa"/>
            <w:shd w:val="clear" w:color="auto" w:fill="FFFFFF"/>
            <w:tcMar>
              <w:top w:w="0" w:type="dxa"/>
              <w:left w:w="85" w:type="dxa"/>
              <w:bottom w:w="0" w:type="dxa"/>
              <w:right w:w="85" w:type="dxa"/>
            </w:tcMar>
          </w:tcPr>
          <w:p w14:paraId="4F689CC2" w14:textId="107F9387" w:rsidR="00E87995" w:rsidRPr="009E06AA" w:rsidRDefault="00E87995" w:rsidP="00B55F24">
            <w:pPr>
              <w:pStyle w:val="TableText"/>
              <w:spacing w:before="40" w:after="40"/>
              <w:rPr>
                <w:b/>
                <w:bCs/>
              </w:rPr>
            </w:pPr>
            <w:r w:rsidRPr="009E06AA">
              <w:rPr>
                <w:b/>
                <w:bCs/>
                <w:color w:val="000000"/>
              </w:rPr>
              <w:t>Methane correction factors</w:t>
            </w:r>
          </w:p>
        </w:tc>
        <w:tc>
          <w:tcPr>
            <w:tcW w:w="1701" w:type="dxa"/>
            <w:shd w:val="clear" w:color="auto" w:fill="FFFFFF"/>
            <w:tcMar>
              <w:top w:w="0" w:type="dxa"/>
              <w:left w:w="85" w:type="dxa"/>
              <w:bottom w:w="0" w:type="dxa"/>
              <w:right w:w="85" w:type="dxa"/>
            </w:tcMar>
          </w:tcPr>
          <w:p w14:paraId="7B52A666" w14:textId="77777777" w:rsidR="00E87995" w:rsidRPr="009E06AA" w:rsidRDefault="00E87995" w:rsidP="00E770EF">
            <w:pPr>
              <w:pStyle w:val="TableText"/>
              <w:spacing w:before="40" w:after="40"/>
              <w:jc w:val="right"/>
            </w:pPr>
          </w:p>
        </w:tc>
        <w:tc>
          <w:tcPr>
            <w:tcW w:w="1701" w:type="dxa"/>
            <w:shd w:val="clear" w:color="auto" w:fill="FFFFFF"/>
            <w:tcMar>
              <w:top w:w="0" w:type="dxa"/>
              <w:left w:w="85" w:type="dxa"/>
              <w:bottom w:w="0" w:type="dxa"/>
              <w:right w:w="85" w:type="dxa"/>
            </w:tcMar>
          </w:tcPr>
          <w:p w14:paraId="2CC694C9" w14:textId="77777777" w:rsidR="00E87995" w:rsidRPr="009E06AA" w:rsidRDefault="00E87995" w:rsidP="00B55F24">
            <w:pPr>
              <w:pStyle w:val="TableText"/>
              <w:spacing w:before="40" w:after="40"/>
            </w:pPr>
          </w:p>
        </w:tc>
        <w:tc>
          <w:tcPr>
            <w:tcW w:w="2693" w:type="dxa"/>
            <w:shd w:val="clear" w:color="auto" w:fill="FFFFFF"/>
            <w:tcMar>
              <w:top w:w="0" w:type="dxa"/>
              <w:left w:w="85" w:type="dxa"/>
              <w:bottom w:w="0" w:type="dxa"/>
              <w:right w:w="85" w:type="dxa"/>
            </w:tcMar>
          </w:tcPr>
          <w:p w14:paraId="5946B511" w14:textId="77777777" w:rsidR="00E87995" w:rsidRPr="009E06AA" w:rsidRDefault="00E87995" w:rsidP="00B55F24">
            <w:pPr>
              <w:pStyle w:val="TableText"/>
              <w:spacing w:before="40" w:after="40"/>
            </w:pPr>
          </w:p>
        </w:tc>
      </w:tr>
      <w:tr w:rsidR="00E87995" w:rsidRPr="009E06AA" w14:paraId="4B0F099D" w14:textId="77777777" w:rsidTr="00765D65">
        <w:tc>
          <w:tcPr>
            <w:tcW w:w="2410" w:type="dxa"/>
            <w:shd w:val="clear" w:color="auto" w:fill="FFFFFF"/>
            <w:tcMar>
              <w:top w:w="0" w:type="dxa"/>
              <w:left w:w="85" w:type="dxa"/>
              <w:bottom w:w="0" w:type="dxa"/>
              <w:right w:w="85" w:type="dxa"/>
            </w:tcMar>
          </w:tcPr>
          <w:p w14:paraId="0F563CFC" w14:textId="77777777" w:rsidR="00E87995" w:rsidRPr="009E06AA" w:rsidRDefault="00E87995" w:rsidP="00ED4BFD">
            <w:pPr>
              <w:pStyle w:val="TableText"/>
              <w:spacing w:before="40" w:after="40"/>
              <w:ind w:left="113"/>
            </w:pPr>
            <w:r w:rsidRPr="009E06AA">
              <w:rPr>
                <w:color w:val="000000"/>
              </w:rPr>
              <w:t>Handling systems methane correction factor</w:t>
            </w:r>
          </w:p>
        </w:tc>
        <w:tc>
          <w:tcPr>
            <w:tcW w:w="1701" w:type="dxa"/>
            <w:shd w:val="clear" w:color="auto" w:fill="FFFFFF"/>
            <w:tcMar>
              <w:top w:w="0" w:type="dxa"/>
              <w:left w:w="85" w:type="dxa"/>
              <w:bottom w:w="0" w:type="dxa"/>
              <w:right w:w="85" w:type="dxa"/>
            </w:tcMar>
          </w:tcPr>
          <w:p w14:paraId="7A6E36CE" w14:textId="77777777" w:rsidR="00E87995" w:rsidRPr="009E06AA" w:rsidRDefault="00E87995" w:rsidP="00E770EF">
            <w:pPr>
              <w:pStyle w:val="TableText"/>
              <w:spacing w:before="40" w:after="40"/>
              <w:jc w:val="right"/>
            </w:pPr>
            <w:r w:rsidRPr="009E06AA">
              <w:rPr>
                <w:color w:val="000000"/>
              </w:rPr>
              <w:t>Range of 0–0.65</w:t>
            </w:r>
          </w:p>
        </w:tc>
        <w:tc>
          <w:tcPr>
            <w:tcW w:w="1701" w:type="dxa"/>
            <w:shd w:val="clear" w:color="auto" w:fill="FFFFFF"/>
            <w:tcMar>
              <w:top w:w="0" w:type="dxa"/>
              <w:left w:w="85" w:type="dxa"/>
              <w:bottom w:w="0" w:type="dxa"/>
              <w:right w:w="85" w:type="dxa"/>
            </w:tcMar>
          </w:tcPr>
          <w:p w14:paraId="713983EE" w14:textId="77777777" w:rsidR="00E87995" w:rsidRPr="009E06AA" w:rsidRDefault="00E87995" w:rsidP="00B55F24">
            <w:pPr>
              <w:pStyle w:val="TableText"/>
              <w:spacing w:before="40" w:after="40"/>
            </w:pPr>
            <w:r w:rsidRPr="009E06AA" w:rsidDel="00747A34">
              <w:rPr>
                <w:color w:val="000000"/>
              </w:rPr>
              <w:t>New Zealand</w:t>
            </w:r>
            <w:r w:rsidRPr="009E06AA">
              <w:rPr>
                <w:color w:val="000000"/>
              </w:rPr>
              <w:t xml:space="preserve"> specific</w:t>
            </w:r>
          </w:p>
        </w:tc>
        <w:tc>
          <w:tcPr>
            <w:tcW w:w="2693" w:type="dxa"/>
            <w:shd w:val="clear" w:color="auto" w:fill="FFFFFF"/>
            <w:tcMar>
              <w:top w:w="0" w:type="dxa"/>
              <w:left w:w="85" w:type="dxa"/>
              <w:bottom w:w="0" w:type="dxa"/>
              <w:right w:w="85" w:type="dxa"/>
            </w:tcMar>
          </w:tcPr>
          <w:p w14:paraId="46872E7B" w14:textId="77777777" w:rsidR="00E87995" w:rsidRPr="009E06AA" w:rsidRDefault="00E87995" w:rsidP="00B55F24">
            <w:pPr>
              <w:pStyle w:val="TableText"/>
              <w:spacing w:before="40" w:after="40"/>
            </w:pPr>
            <w:r w:rsidRPr="009E06AA">
              <w:rPr>
                <w:color w:val="000000"/>
              </w:rPr>
              <w:t>SCS Wetherill Environmental (unpublished)</w:t>
            </w:r>
          </w:p>
        </w:tc>
      </w:tr>
      <w:tr w:rsidR="00E87995" w:rsidRPr="009E06AA" w14:paraId="3D5AAD4A" w14:textId="77777777" w:rsidTr="00765D65">
        <w:tc>
          <w:tcPr>
            <w:tcW w:w="2410" w:type="dxa"/>
            <w:shd w:val="clear" w:color="auto" w:fill="FFFFFF"/>
            <w:tcMar>
              <w:top w:w="0" w:type="dxa"/>
              <w:left w:w="85" w:type="dxa"/>
              <w:bottom w:w="0" w:type="dxa"/>
              <w:right w:w="85" w:type="dxa"/>
            </w:tcMar>
          </w:tcPr>
          <w:p w14:paraId="1AF09937" w14:textId="77777777" w:rsidR="00E87995" w:rsidRPr="009E06AA" w:rsidRDefault="00E87995" w:rsidP="00ED4BFD">
            <w:pPr>
              <w:pStyle w:val="TableText"/>
              <w:spacing w:before="40" w:after="40"/>
              <w:ind w:left="113"/>
            </w:pPr>
            <w:r w:rsidRPr="009E06AA">
              <w:rPr>
                <w:color w:val="000000"/>
              </w:rPr>
              <w:t>Aggregated methane correction factor</w:t>
            </w:r>
          </w:p>
        </w:tc>
        <w:tc>
          <w:tcPr>
            <w:tcW w:w="1701" w:type="dxa"/>
            <w:shd w:val="clear" w:color="auto" w:fill="FFFFFF"/>
            <w:tcMar>
              <w:top w:w="0" w:type="dxa"/>
              <w:left w:w="85" w:type="dxa"/>
              <w:bottom w:w="0" w:type="dxa"/>
              <w:right w:w="85" w:type="dxa"/>
            </w:tcMar>
          </w:tcPr>
          <w:p w14:paraId="1B3289E8" w14:textId="77777777" w:rsidR="00E87995" w:rsidRPr="009E06AA" w:rsidRDefault="00E87995" w:rsidP="00E770EF">
            <w:pPr>
              <w:pStyle w:val="TableText"/>
              <w:spacing w:before="40" w:after="40"/>
              <w:jc w:val="right"/>
            </w:pPr>
            <w:r w:rsidRPr="009E06AA">
              <w:rPr>
                <w:color w:val="000000"/>
              </w:rPr>
              <w:t>Range of 0.032–0.043</w:t>
            </w:r>
          </w:p>
        </w:tc>
        <w:tc>
          <w:tcPr>
            <w:tcW w:w="1701" w:type="dxa"/>
            <w:shd w:val="clear" w:color="auto" w:fill="FFFFFF"/>
            <w:tcMar>
              <w:top w:w="0" w:type="dxa"/>
              <w:left w:w="85" w:type="dxa"/>
              <w:bottom w:w="0" w:type="dxa"/>
              <w:right w:w="85" w:type="dxa"/>
            </w:tcMar>
          </w:tcPr>
          <w:p w14:paraId="7CE14239" w14:textId="77777777" w:rsidR="00E87995" w:rsidRPr="009E06AA" w:rsidRDefault="00E87995" w:rsidP="00B55F24">
            <w:pPr>
              <w:pStyle w:val="TableText"/>
              <w:spacing w:before="40" w:after="40"/>
            </w:pPr>
            <w:r w:rsidRPr="009E06AA" w:rsidDel="004F2229">
              <w:rPr>
                <w:color w:val="000000"/>
              </w:rPr>
              <w:t>New Zealand</w:t>
            </w:r>
            <w:r w:rsidRPr="009E06AA">
              <w:rPr>
                <w:color w:val="000000"/>
              </w:rPr>
              <w:t xml:space="preserve"> specific</w:t>
            </w:r>
          </w:p>
        </w:tc>
        <w:tc>
          <w:tcPr>
            <w:tcW w:w="2693" w:type="dxa"/>
            <w:shd w:val="clear" w:color="auto" w:fill="FFFFFF"/>
            <w:tcMar>
              <w:top w:w="0" w:type="dxa"/>
              <w:left w:w="85" w:type="dxa"/>
              <w:bottom w:w="0" w:type="dxa"/>
              <w:right w:w="85" w:type="dxa"/>
            </w:tcMar>
          </w:tcPr>
          <w:p w14:paraId="68B686B5" w14:textId="77777777" w:rsidR="00E87995" w:rsidRPr="009E06AA" w:rsidRDefault="00E87995" w:rsidP="00B55F24">
            <w:pPr>
              <w:pStyle w:val="TableText"/>
              <w:spacing w:before="40" w:after="40"/>
            </w:pPr>
            <w:r w:rsidRPr="009E06AA">
              <w:rPr>
                <w:color w:val="000000"/>
              </w:rPr>
              <w:t>SCS Wetherill Environmental (unpublished)</w:t>
            </w:r>
          </w:p>
        </w:tc>
      </w:tr>
      <w:tr w:rsidR="00E87995" w:rsidRPr="009E06AA" w14:paraId="3D08999D" w14:textId="77777777" w:rsidTr="00765D65">
        <w:tc>
          <w:tcPr>
            <w:tcW w:w="2410" w:type="dxa"/>
            <w:shd w:val="clear" w:color="auto" w:fill="FFFFFF"/>
            <w:tcMar>
              <w:top w:w="0" w:type="dxa"/>
              <w:left w:w="85" w:type="dxa"/>
              <w:bottom w:w="0" w:type="dxa"/>
              <w:right w:w="85" w:type="dxa"/>
            </w:tcMar>
          </w:tcPr>
          <w:p w14:paraId="5AB6BA0F" w14:textId="77777777" w:rsidR="00E87995" w:rsidRPr="009E06AA" w:rsidRDefault="00E87995" w:rsidP="00ED4BFD">
            <w:pPr>
              <w:pStyle w:val="TableText"/>
              <w:spacing w:before="40" w:after="40"/>
              <w:ind w:left="113"/>
            </w:pPr>
            <w:r w:rsidRPr="009E06AA">
              <w:rPr>
                <w:color w:val="000000"/>
              </w:rPr>
              <w:t>BOD (kg BOD/person/year)</w:t>
            </w:r>
          </w:p>
        </w:tc>
        <w:tc>
          <w:tcPr>
            <w:tcW w:w="1701" w:type="dxa"/>
            <w:shd w:val="clear" w:color="auto" w:fill="FFFFFF"/>
            <w:tcMar>
              <w:top w:w="0" w:type="dxa"/>
              <w:left w:w="85" w:type="dxa"/>
              <w:bottom w:w="0" w:type="dxa"/>
              <w:right w:w="85" w:type="dxa"/>
            </w:tcMar>
          </w:tcPr>
          <w:p w14:paraId="2F0CCAE9" w14:textId="77777777" w:rsidR="00E87995" w:rsidRPr="009E06AA" w:rsidRDefault="00E87995" w:rsidP="00E770EF">
            <w:pPr>
              <w:pStyle w:val="TableText"/>
              <w:spacing w:before="40" w:after="40"/>
              <w:jc w:val="right"/>
            </w:pPr>
            <w:r w:rsidRPr="009E06AA">
              <w:rPr>
                <w:color w:val="000000"/>
              </w:rPr>
              <w:t>26</w:t>
            </w:r>
          </w:p>
        </w:tc>
        <w:tc>
          <w:tcPr>
            <w:tcW w:w="1701" w:type="dxa"/>
            <w:shd w:val="clear" w:color="auto" w:fill="FFFFFF"/>
            <w:tcMar>
              <w:top w:w="0" w:type="dxa"/>
              <w:left w:w="85" w:type="dxa"/>
              <w:bottom w:w="0" w:type="dxa"/>
              <w:right w:w="85" w:type="dxa"/>
            </w:tcMar>
          </w:tcPr>
          <w:p w14:paraId="18D110FB" w14:textId="77777777" w:rsidR="00E87995" w:rsidRPr="009E06AA" w:rsidRDefault="00E87995" w:rsidP="00B55F24">
            <w:pPr>
              <w:pStyle w:val="TableText"/>
              <w:spacing w:before="40" w:after="40"/>
            </w:pPr>
            <w:r w:rsidRPr="009E06AA" w:rsidDel="004F2229">
              <w:rPr>
                <w:color w:val="000000"/>
              </w:rPr>
              <w:t xml:space="preserve">New Zealand </w:t>
            </w:r>
            <w:r w:rsidRPr="009E06AA">
              <w:rPr>
                <w:color w:val="000000"/>
              </w:rPr>
              <w:t>specific</w:t>
            </w:r>
          </w:p>
        </w:tc>
        <w:tc>
          <w:tcPr>
            <w:tcW w:w="2693" w:type="dxa"/>
            <w:shd w:val="clear" w:color="auto" w:fill="FFFFFF"/>
            <w:tcMar>
              <w:top w:w="0" w:type="dxa"/>
              <w:left w:w="85" w:type="dxa"/>
              <w:bottom w:w="0" w:type="dxa"/>
              <w:right w:w="85" w:type="dxa"/>
            </w:tcMar>
          </w:tcPr>
          <w:p w14:paraId="278539D6" w14:textId="77777777" w:rsidR="00E87995" w:rsidRPr="009E06AA" w:rsidRDefault="00E87995" w:rsidP="00B55F24">
            <w:pPr>
              <w:pStyle w:val="TableText"/>
              <w:spacing w:before="40" w:after="40"/>
            </w:pPr>
            <w:r w:rsidRPr="009E06AA">
              <w:rPr>
                <w:color w:val="000000"/>
              </w:rPr>
              <w:t>Beca Infrastructure Ltd (unpublished)</w:t>
            </w:r>
          </w:p>
        </w:tc>
      </w:tr>
      <w:tr w:rsidR="00E87995" w:rsidRPr="009E06AA" w14:paraId="6165BCA5" w14:textId="77777777" w:rsidTr="00765D65">
        <w:tc>
          <w:tcPr>
            <w:tcW w:w="2410" w:type="dxa"/>
            <w:shd w:val="clear" w:color="auto" w:fill="FFFFFF"/>
            <w:tcMar>
              <w:top w:w="0" w:type="dxa"/>
              <w:left w:w="85" w:type="dxa"/>
              <w:bottom w:w="0" w:type="dxa"/>
              <w:right w:w="85" w:type="dxa"/>
            </w:tcMar>
          </w:tcPr>
          <w:p w14:paraId="0DF9F1D5" w14:textId="77777777" w:rsidR="00E87995" w:rsidRPr="009E06AA" w:rsidRDefault="00E87995" w:rsidP="00ED4BFD">
            <w:pPr>
              <w:pStyle w:val="TableText"/>
              <w:spacing w:before="40" w:after="40"/>
              <w:ind w:left="113"/>
            </w:pPr>
            <w:r w:rsidRPr="009E06AA">
              <w:rPr>
                <w:color w:val="000000"/>
              </w:rPr>
              <w:t>Correction factor for BOD</w:t>
            </w:r>
          </w:p>
        </w:tc>
        <w:tc>
          <w:tcPr>
            <w:tcW w:w="1701" w:type="dxa"/>
            <w:shd w:val="clear" w:color="auto" w:fill="FFFFFF"/>
            <w:tcMar>
              <w:top w:w="0" w:type="dxa"/>
              <w:left w:w="85" w:type="dxa"/>
              <w:bottom w:w="0" w:type="dxa"/>
              <w:right w:w="85" w:type="dxa"/>
            </w:tcMar>
          </w:tcPr>
          <w:p w14:paraId="48BF2B08" w14:textId="77777777" w:rsidR="00E87995" w:rsidRPr="009E06AA" w:rsidRDefault="00E87995" w:rsidP="00E770EF">
            <w:pPr>
              <w:pStyle w:val="TableText"/>
              <w:spacing w:before="40" w:after="40"/>
              <w:jc w:val="right"/>
            </w:pPr>
            <w:r w:rsidRPr="009E06AA">
              <w:rPr>
                <w:color w:val="000000"/>
              </w:rPr>
              <w:t>Range of 1.</w:t>
            </w:r>
            <w:r w:rsidRPr="009E06AA">
              <w:rPr>
                <w:rFonts w:eastAsia="Calibri" w:cs="Calibri"/>
                <w:color w:val="000000"/>
                <w:szCs w:val="16"/>
              </w:rPr>
              <w:t>8</w:t>
            </w:r>
            <w:r w:rsidRPr="009E06AA">
              <w:rPr>
                <w:color w:val="000000"/>
              </w:rPr>
              <w:t>–14.9</w:t>
            </w:r>
          </w:p>
        </w:tc>
        <w:tc>
          <w:tcPr>
            <w:tcW w:w="1701" w:type="dxa"/>
            <w:shd w:val="clear" w:color="auto" w:fill="FFFFFF"/>
            <w:tcMar>
              <w:top w:w="0" w:type="dxa"/>
              <w:left w:w="85" w:type="dxa"/>
              <w:bottom w:w="0" w:type="dxa"/>
              <w:right w:w="85" w:type="dxa"/>
            </w:tcMar>
          </w:tcPr>
          <w:p w14:paraId="68E2A3A7" w14:textId="77777777" w:rsidR="00E87995" w:rsidRPr="009E06AA" w:rsidRDefault="00E87995" w:rsidP="00B55F24">
            <w:pPr>
              <w:pStyle w:val="TableText"/>
              <w:spacing w:before="40" w:after="40"/>
            </w:pPr>
            <w:r w:rsidRPr="009E06AA" w:rsidDel="004F2229">
              <w:rPr>
                <w:color w:val="000000"/>
              </w:rPr>
              <w:t>New Zealand</w:t>
            </w:r>
            <w:r w:rsidRPr="009E06AA">
              <w:rPr>
                <w:color w:val="000000"/>
              </w:rPr>
              <w:t xml:space="preserve"> specific</w:t>
            </w:r>
          </w:p>
        </w:tc>
        <w:tc>
          <w:tcPr>
            <w:tcW w:w="2693" w:type="dxa"/>
            <w:shd w:val="clear" w:color="auto" w:fill="FFFFFF"/>
            <w:tcMar>
              <w:top w:w="0" w:type="dxa"/>
              <w:left w:w="85" w:type="dxa"/>
              <w:bottom w:w="0" w:type="dxa"/>
              <w:right w:w="85" w:type="dxa"/>
            </w:tcMar>
          </w:tcPr>
          <w:p w14:paraId="59AD1E06" w14:textId="77777777" w:rsidR="00E87995" w:rsidRPr="009E06AA" w:rsidRDefault="00E87995" w:rsidP="00B55F24">
            <w:pPr>
              <w:pStyle w:val="TableText"/>
              <w:spacing w:before="40" w:after="40"/>
            </w:pPr>
            <w:r w:rsidRPr="009E06AA">
              <w:rPr>
                <w:color w:val="000000"/>
              </w:rPr>
              <w:t>Beca Infrastructure Ltd (unpublished)</w:t>
            </w:r>
          </w:p>
        </w:tc>
      </w:tr>
      <w:tr w:rsidR="00E87995" w:rsidRPr="009E06AA" w14:paraId="336B4161" w14:textId="77777777" w:rsidTr="00765D65">
        <w:tc>
          <w:tcPr>
            <w:tcW w:w="2410" w:type="dxa"/>
            <w:shd w:val="clear" w:color="auto" w:fill="FFFFFF"/>
            <w:tcMar>
              <w:top w:w="0" w:type="dxa"/>
              <w:left w:w="85" w:type="dxa"/>
              <w:bottom w:w="0" w:type="dxa"/>
              <w:right w:w="85" w:type="dxa"/>
            </w:tcMar>
          </w:tcPr>
          <w:p w14:paraId="1702F86F" w14:textId="77777777" w:rsidR="00E87995" w:rsidRPr="009E06AA" w:rsidRDefault="00E87995" w:rsidP="00ED4BFD">
            <w:pPr>
              <w:pStyle w:val="TableText"/>
              <w:spacing w:before="40" w:after="40"/>
              <w:ind w:left="113"/>
            </w:pPr>
            <w:r w:rsidRPr="009E06AA">
              <w:rPr>
                <w:color w:val="000000"/>
              </w:rPr>
              <w:t>Maximum methane-producing capacity (kg CH₄/kg BOD)</w:t>
            </w:r>
          </w:p>
        </w:tc>
        <w:tc>
          <w:tcPr>
            <w:tcW w:w="1701" w:type="dxa"/>
            <w:shd w:val="clear" w:color="auto" w:fill="FFFFFF"/>
            <w:tcMar>
              <w:top w:w="0" w:type="dxa"/>
              <w:left w:w="85" w:type="dxa"/>
              <w:bottom w:w="0" w:type="dxa"/>
              <w:right w:w="85" w:type="dxa"/>
            </w:tcMar>
          </w:tcPr>
          <w:p w14:paraId="680182C7" w14:textId="77777777" w:rsidR="00E87995" w:rsidRPr="009E06AA" w:rsidRDefault="00E87995" w:rsidP="00E770EF">
            <w:pPr>
              <w:pStyle w:val="TableText"/>
              <w:spacing w:before="40" w:after="40"/>
              <w:jc w:val="right"/>
            </w:pPr>
            <w:r w:rsidRPr="009E06AA">
              <w:rPr>
                <w:color w:val="000000"/>
              </w:rPr>
              <w:t>0.625</w:t>
            </w:r>
          </w:p>
        </w:tc>
        <w:tc>
          <w:tcPr>
            <w:tcW w:w="1701" w:type="dxa"/>
            <w:shd w:val="clear" w:color="auto" w:fill="FFFFFF"/>
            <w:tcMar>
              <w:top w:w="0" w:type="dxa"/>
              <w:left w:w="85" w:type="dxa"/>
              <w:bottom w:w="0" w:type="dxa"/>
              <w:right w:w="85" w:type="dxa"/>
            </w:tcMar>
          </w:tcPr>
          <w:p w14:paraId="1D02FEF0" w14:textId="77777777" w:rsidR="00E87995" w:rsidRPr="009E06AA" w:rsidRDefault="00E87995" w:rsidP="00B55F24">
            <w:pPr>
              <w:pStyle w:val="TableText"/>
              <w:spacing w:before="40" w:after="40"/>
            </w:pPr>
            <w:r w:rsidRPr="009E06AA" w:rsidDel="004F2229">
              <w:rPr>
                <w:color w:val="000000"/>
              </w:rPr>
              <w:t>New Zealand</w:t>
            </w:r>
            <w:r w:rsidRPr="009E06AA">
              <w:rPr>
                <w:color w:val="000000"/>
              </w:rPr>
              <w:t xml:space="preserve"> specific</w:t>
            </w:r>
          </w:p>
        </w:tc>
        <w:tc>
          <w:tcPr>
            <w:tcW w:w="2693" w:type="dxa"/>
            <w:shd w:val="clear" w:color="auto" w:fill="FFFFFF"/>
            <w:tcMar>
              <w:top w:w="0" w:type="dxa"/>
              <w:left w:w="85" w:type="dxa"/>
              <w:bottom w:w="0" w:type="dxa"/>
              <w:right w:w="85" w:type="dxa"/>
            </w:tcMar>
          </w:tcPr>
          <w:p w14:paraId="16FAED38" w14:textId="77777777" w:rsidR="00E87995" w:rsidRPr="009E06AA" w:rsidRDefault="00E87995" w:rsidP="00B55F24">
            <w:pPr>
              <w:pStyle w:val="TableText"/>
              <w:spacing w:before="40" w:after="40"/>
            </w:pPr>
            <w:r w:rsidRPr="009E06AA">
              <w:rPr>
                <w:color w:val="000000"/>
              </w:rPr>
              <w:t>SCS Wetherill Environmental (unpublished)</w:t>
            </w:r>
          </w:p>
        </w:tc>
      </w:tr>
    </w:tbl>
    <w:p w14:paraId="34B7FD62" w14:textId="77777777" w:rsidR="00E87995" w:rsidRPr="009E06AA" w:rsidRDefault="00E87995" w:rsidP="00E87995">
      <w:pPr>
        <w:pStyle w:val="Noteundertable"/>
        <w:spacing w:after="0"/>
      </w:pPr>
      <w:r w:rsidRPr="009E06AA">
        <w:rPr>
          <w:b/>
          <w:bCs/>
        </w:rPr>
        <w:t>Note:</w:t>
      </w:r>
      <w:r w:rsidRPr="009E06AA">
        <w:tab/>
        <w:t>BOD = biochemical oxygen demand.</w:t>
      </w:r>
    </w:p>
    <w:p w14:paraId="11805599" w14:textId="77777777" w:rsidR="00E87995" w:rsidRPr="009E06AA" w:rsidRDefault="00E87995" w:rsidP="00E87995">
      <w:pPr>
        <w:pStyle w:val="Heading6"/>
      </w:pPr>
      <w:bookmarkStart w:id="3026" w:name="X698e3d1972339c976269d4c73c660df246dc4e1"/>
      <w:bookmarkEnd w:id="3020"/>
      <w:r w:rsidRPr="009E06AA">
        <w:t>Methane correction factors for handling systems</w:t>
      </w:r>
    </w:p>
    <w:p w14:paraId="03607C84" w14:textId="77777777" w:rsidR="00E87995" w:rsidRPr="009E06AA" w:rsidRDefault="00E87995" w:rsidP="008C4A0F">
      <w:pPr>
        <w:pStyle w:val="BodyText"/>
        <w:spacing w:before="80" w:after="100"/>
      </w:pPr>
      <w:r w:rsidRPr="009E06AA">
        <w:t xml:space="preserve">Methane correction factors for the different handling systems in </w:t>
      </w:r>
      <w:r w:rsidRPr="009E06AA" w:rsidDel="00CC101A">
        <w:t>New Zealand</w:t>
      </w:r>
      <w:r w:rsidRPr="009E06AA">
        <w:t xml:space="preserve"> were estimated by SCS Wetherill Environmental (unpublished). These factors range from zero up to 0.65 for the different types of anaerobic treatment. The different treatment types are added together, weighted by the population for each type of treatment, to give an aggregated CH</w:t>
      </w:r>
      <w:r w:rsidRPr="009E06AA">
        <w:rPr>
          <w:vertAlign w:val="subscript"/>
        </w:rPr>
        <w:t>4</w:t>
      </w:r>
      <w:r w:rsidRPr="009E06AA">
        <w:t xml:space="preserve"> correction factor ranging between 0.032 and 0.043. Table 7.5.2 shows the aggregate CH</w:t>
      </w:r>
      <w:r w:rsidRPr="009E06AA">
        <w:rPr>
          <w:vertAlign w:val="subscript"/>
        </w:rPr>
        <w:t>4</w:t>
      </w:r>
      <w:r w:rsidRPr="009E06AA">
        <w:t xml:space="preserve"> correction factor applied across the time series.</w:t>
      </w:r>
    </w:p>
    <w:p w14:paraId="279594B1" w14:textId="77777777" w:rsidR="00E87995" w:rsidRPr="009E06AA" w:rsidRDefault="00E87995" w:rsidP="00E87995">
      <w:pPr>
        <w:pStyle w:val="Heading6"/>
      </w:pPr>
      <w:bookmarkStart w:id="3027" w:name="adjustments-to-biochemical-oxygen-demand"/>
      <w:bookmarkEnd w:id="3026"/>
      <w:r w:rsidRPr="009E06AA">
        <w:t>Adjustments to biochemical oxygen demand</w:t>
      </w:r>
    </w:p>
    <w:p w14:paraId="307621BE" w14:textId="77777777" w:rsidR="00E87995" w:rsidRPr="009E06AA" w:rsidRDefault="00E87995" w:rsidP="00E87995">
      <w:pPr>
        <w:pStyle w:val="BodyText"/>
      </w:pPr>
      <w:r w:rsidRPr="009E06AA" w:rsidDel="0001481A">
        <w:t>New Zealand</w:t>
      </w:r>
      <w:r w:rsidRPr="009E06AA">
        <w:t xml:space="preserve"> uses a value of 26 kilograms biochemical oxygen demand (BOD) per person per year. This is equivalent to the IPCC high-range default value for the Oceania region of about 70 grams per person per day (IPCC, 2006a). This value has been determined as a typical value for wastewater treatment methods adopted in </w:t>
      </w:r>
      <w:r w:rsidRPr="009E06AA" w:rsidDel="00293410">
        <w:t>New Zealand</w:t>
      </w:r>
      <w:r w:rsidRPr="009E06AA">
        <w:t xml:space="preserve"> (Beca Infrastructure Ltd, unpublished).</w:t>
      </w:r>
    </w:p>
    <w:p w14:paraId="3EF94EE4" w14:textId="77777777" w:rsidR="00E87995" w:rsidRPr="009E06AA" w:rsidRDefault="00E87995" w:rsidP="00E87995">
      <w:pPr>
        <w:pStyle w:val="BodyText"/>
      </w:pPr>
      <w:r w:rsidRPr="009E06AA">
        <w:t>This value has been increased by 25 per cent for most treatment plants, to allow for the additional wastewater that they take from commercial and industrial activity within the municipal area. Ten of the treatment plants have been identified as accepting much larger amounts of industrial and/or commercial wastewater. The correction factor for BOD for these plants ranges from 77 per cent to 1,390 per cent above the amount of domestic wastewater (Beca Infrastructure Ltd, unpublished). No adjustment to the BOD is made for septic tanks.</w:t>
      </w:r>
    </w:p>
    <w:p w14:paraId="7D5444A3" w14:textId="77777777" w:rsidR="00E87995" w:rsidRPr="009E06AA" w:rsidRDefault="00E87995" w:rsidP="00E87995">
      <w:pPr>
        <w:pStyle w:val="Heading6"/>
      </w:pPr>
      <w:bookmarkStart w:id="3028" w:name="recovery"/>
      <w:bookmarkEnd w:id="3027"/>
      <w:r w:rsidRPr="009E06AA">
        <w:t>Recovery</w:t>
      </w:r>
    </w:p>
    <w:p w14:paraId="24DA09D1" w14:textId="77777777" w:rsidR="00E87995" w:rsidRPr="009E06AA" w:rsidRDefault="00E87995" w:rsidP="00E87995">
      <w:pPr>
        <w:pStyle w:val="BodyText"/>
      </w:pPr>
      <w:r w:rsidRPr="009E06AA">
        <w:t>Methane removal via flaring or for energy production is known to occur at eight plants in New Zealand. All CH</w:t>
      </w:r>
      <w:r w:rsidRPr="009E06AA">
        <w:rPr>
          <w:vertAlign w:val="subscript"/>
        </w:rPr>
        <w:t>4</w:t>
      </w:r>
      <w:r w:rsidRPr="009E06AA">
        <w:t xml:space="preserve"> generated at these plants is flared or used for energy production and, consequently, no</w:t>
      </w:r>
      <w:r w:rsidRPr="009E06AA" w:rsidDel="00DC384E">
        <w:t xml:space="preserve"> </w:t>
      </w:r>
      <w:r w:rsidRPr="009E06AA">
        <w:t>CH</w:t>
      </w:r>
      <w:r w:rsidRPr="009E06AA">
        <w:rPr>
          <w:vertAlign w:val="subscript"/>
        </w:rPr>
        <w:t>4</w:t>
      </w:r>
      <w:r w:rsidRPr="009E06AA">
        <w:t xml:space="preserve"> emissions are reported for those plants (Beca Infrastructure Ltd, unpublished).</w:t>
      </w:r>
    </w:p>
    <w:p w14:paraId="5BB76047" w14:textId="77777777" w:rsidR="00E87995" w:rsidRPr="009E06AA" w:rsidRDefault="00E87995" w:rsidP="00BF2A76">
      <w:pPr>
        <w:pStyle w:val="Heading5"/>
      </w:pPr>
      <w:bookmarkStart w:id="3029" w:name="X6df5e7359f7d9ea7bbeae025ed840ba1935ac6e"/>
      <w:bookmarkEnd w:id="3019"/>
      <w:bookmarkEnd w:id="3028"/>
      <w:r w:rsidRPr="009E06AA">
        <w:t>Nitrous oxide emissions from domestic wastewater</w:t>
      </w:r>
    </w:p>
    <w:p w14:paraId="24F57D54" w14:textId="77777777" w:rsidR="00E87995" w:rsidRPr="009E06AA" w:rsidRDefault="00E87995" w:rsidP="00E87995">
      <w:pPr>
        <w:pStyle w:val="BodyText"/>
      </w:pPr>
      <w:r w:rsidRPr="009E06AA">
        <w:t>Table 7.5.7 summarises the parameter values applied for estimating N</w:t>
      </w:r>
      <w:r w:rsidRPr="009E06AA">
        <w:rPr>
          <w:vertAlign w:val="subscript"/>
        </w:rPr>
        <w:t>2</w:t>
      </w:r>
      <w:r w:rsidRPr="009E06AA">
        <w:t>O emissions from domestic and commercial wastewater treatment.</w:t>
      </w:r>
    </w:p>
    <w:p w14:paraId="78D5CAD1" w14:textId="77777777" w:rsidR="00E87995" w:rsidRPr="009E06AA" w:rsidRDefault="00E87995" w:rsidP="00E87995">
      <w:pPr>
        <w:pStyle w:val="Table"/>
      </w:pPr>
      <w:bookmarkStart w:id="3030" w:name="_Toc128383685"/>
      <w:bookmarkStart w:id="3031" w:name="_Toc131591458"/>
      <w:bookmarkStart w:id="3032" w:name="_Toc160537337"/>
      <w:bookmarkStart w:id="3033" w:name="_Toc160537699"/>
      <w:bookmarkStart w:id="3034" w:name="_Toc164153949"/>
      <w:r w:rsidRPr="009E06AA">
        <w:t>Table 7.5.7</w:t>
      </w:r>
      <w:r w:rsidRPr="009E06AA">
        <w:tab/>
        <w:t xml:space="preserve">Parameter values applied by </w:t>
      </w:r>
      <w:r w:rsidRPr="009E06AA" w:rsidDel="00747A34">
        <w:t>New Zealand</w:t>
      </w:r>
      <w:r w:rsidRPr="009E06AA">
        <w:t xml:space="preserve"> for estimating nitrous oxide emissions from domestic and commercial wastewater treatment</w:t>
      </w:r>
      <w:bookmarkEnd w:id="3030"/>
      <w:bookmarkEnd w:id="3031"/>
      <w:bookmarkEnd w:id="3032"/>
      <w:bookmarkEnd w:id="3033"/>
      <w:bookmarkEnd w:id="3034"/>
    </w:p>
    <w:tbl>
      <w:tblPr>
        <w:tblW w:w="8505" w:type="dxa"/>
        <w:tblBorders>
          <w:top w:val="single" w:sz="4" w:space="0" w:color="1B556B" w:themeColor="text2"/>
          <w:bottom w:val="single" w:sz="4" w:space="0" w:color="1B556B" w:themeColor="text2"/>
          <w:insideH w:val="single" w:sz="4" w:space="0" w:color="1B556B" w:themeColor="text2"/>
        </w:tblBorders>
        <w:tblLook w:val="0420" w:firstRow="1" w:lastRow="0" w:firstColumn="0" w:lastColumn="0" w:noHBand="0" w:noVBand="1"/>
      </w:tblPr>
      <w:tblGrid>
        <w:gridCol w:w="4536"/>
        <w:gridCol w:w="709"/>
        <w:gridCol w:w="1559"/>
        <w:gridCol w:w="1701"/>
      </w:tblGrid>
      <w:tr w:rsidR="00E87995" w:rsidRPr="009E06AA" w14:paraId="40560E25" w14:textId="77777777" w:rsidTr="00B55F24">
        <w:trPr>
          <w:tblHeader/>
        </w:trPr>
        <w:tc>
          <w:tcPr>
            <w:tcW w:w="4536" w:type="dxa"/>
            <w:shd w:val="clear" w:color="auto" w:fill="1B556B"/>
            <w:tcMar>
              <w:top w:w="0" w:type="dxa"/>
              <w:left w:w="85" w:type="dxa"/>
              <w:bottom w:w="0" w:type="dxa"/>
              <w:right w:w="85" w:type="dxa"/>
            </w:tcMar>
          </w:tcPr>
          <w:p w14:paraId="3CD2A2D2" w14:textId="77777777" w:rsidR="00E87995" w:rsidRPr="009E06AA" w:rsidRDefault="00E87995" w:rsidP="00B55F24">
            <w:pPr>
              <w:pStyle w:val="TableTextBold"/>
              <w:spacing w:before="40" w:after="40"/>
              <w:rPr>
                <w:noProof w:val="0"/>
                <w:color w:val="FFFFFF" w:themeColor="background1"/>
              </w:rPr>
            </w:pPr>
            <w:r w:rsidRPr="009E06AA">
              <w:rPr>
                <w:noProof w:val="0"/>
                <w:color w:val="FFFFFF" w:themeColor="background1"/>
              </w:rPr>
              <w:t>Parameter</w:t>
            </w:r>
          </w:p>
        </w:tc>
        <w:tc>
          <w:tcPr>
            <w:tcW w:w="709" w:type="dxa"/>
            <w:shd w:val="clear" w:color="auto" w:fill="1B556B"/>
            <w:tcMar>
              <w:top w:w="0" w:type="dxa"/>
              <w:left w:w="85" w:type="dxa"/>
              <w:bottom w:w="0" w:type="dxa"/>
              <w:right w:w="85" w:type="dxa"/>
            </w:tcMar>
          </w:tcPr>
          <w:p w14:paraId="77BD2588" w14:textId="77777777" w:rsidR="00E87995" w:rsidRPr="009E06AA" w:rsidRDefault="00E87995" w:rsidP="00E770EF">
            <w:pPr>
              <w:pStyle w:val="TableTextBold"/>
              <w:spacing w:before="40" w:after="40"/>
              <w:jc w:val="right"/>
              <w:rPr>
                <w:noProof w:val="0"/>
                <w:color w:val="FFFFFF" w:themeColor="background1"/>
              </w:rPr>
            </w:pPr>
            <w:r w:rsidRPr="009E06AA">
              <w:rPr>
                <w:noProof w:val="0"/>
                <w:color w:val="FFFFFF" w:themeColor="background1"/>
              </w:rPr>
              <w:t>Value</w:t>
            </w:r>
          </w:p>
        </w:tc>
        <w:tc>
          <w:tcPr>
            <w:tcW w:w="1559" w:type="dxa"/>
            <w:shd w:val="clear" w:color="auto" w:fill="1B556B"/>
            <w:tcMar>
              <w:top w:w="0" w:type="dxa"/>
              <w:left w:w="85" w:type="dxa"/>
              <w:bottom w:w="0" w:type="dxa"/>
              <w:right w:w="85" w:type="dxa"/>
            </w:tcMar>
          </w:tcPr>
          <w:p w14:paraId="2E55CB0B" w14:textId="77777777" w:rsidR="00E87995" w:rsidRPr="009E06AA" w:rsidRDefault="00E87995" w:rsidP="00B55F24">
            <w:pPr>
              <w:pStyle w:val="TableTextBold"/>
              <w:spacing w:before="40" w:after="40"/>
              <w:rPr>
                <w:noProof w:val="0"/>
                <w:color w:val="FFFFFF" w:themeColor="background1"/>
              </w:rPr>
            </w:pPr>
            <w:r w:rsidRPr="009E06AA">
              <w:rPr>
                <w:noProof w:val="0"/>
                <w:color w:val="FFFFFF" w:themeColor="background1"/>
              </w:rPr>
              <w:t>Source</w:t>
            </w:r>
          </w:p>
        </w:tc>
        <w:tc>
          <w:tcPr>
            <w:tcW w:w="1701" w:type="dxa"/>
            <w:shd w:val="clear" w:color="auto" w:fill="1B556B"/>
            <w:tcMar>
              <w:top w:w="0" w:type="dxa"/>
              <w:left w:w="85" w:type="dxa"/>
              <w:bottom w:w="0" w:type="dxa"/>
              <w:right w:w="85" w:type="dxa"/>
            </w:tcMar>
          </w:tcPr>
          <w:p w14:paraId="2C5B298F" w14:textId="77777777" w:rsidR="00E87995" w:rsidRPr="009E06AA" w:rsidRDefault="00E87995" w:rsidP="00B55F24">
            <w:pPr>
              <w:pStyle w:val="TableTextBold"/>
              <w:spacing w:before="40" w:after="40"/>
              <w:rPr>
                <w:noProof w:val="0"/>
                <w:color w:val="FFFFFF" w:themeColor="background1"/>
              </w:rPr>
            </w:pPr>
            <w:r w:rsidRPr="009E06AA">
              <w:rPr>
                <w:noProof w:val="0"/>
                <w:color w:val="FFFFFF" w:themeColor="background1"/>
              </w:rPr>
              <w:t>Reference</w:t>
            </w:r>
          </w:p>
        </w:tc>
      </w:tr>
      <w:tr w:rsidR="00E87995" w:rsidRPr="009E06AA" w14:paraId="45F2DF47" w14:textId="77777777" w:rsidTr="00B55F24">
        <w:tc>
          <w:tcPr>
            <w:tcW w:w="4536" w:type="dxa"/>
            <w:shd w:val="clear" w:color="auto" w:fill="FFFFFF"/>
            <w:tcMar>
              <w:top w:w="0" w:type="dxa"/>
              <w:left w:w="85" w:type="dxa"/>
              <w:bottom w:w="0" w:type="dxa"/>
              <w:right w:w="85" w:type="dxa"/>
            </w:tcMar>
          </w:tcPr>
          <w:p w14:paraId="406967F3" w14:textId="77777777" w:rsidR="00E87995" w:rsidRPr="009E06AA" w:rsidRDefault="00E87995" w:rsidP="00B55F24">
            <w:pPr>
              <w:pStyle w:val="TableText"/>
              <w:spacing w:before="40" w:after="40"/>
            </w:pPr>
            <w:r w:rsidRPr="009E06AA">
              <w:rPr>
                <w:color w:val="000000"/>
              </w:rPr>
              <w:t>Per capita protein consumption (kg/person/year)</w:t>
            </w:r>
          </w:p>
        </w:tc>
        <w:tc>
          <w:tcPr>
            <w:tcW w:w="709" w:type="dxa"/>
            <w:shd w:val="clear" w:color="auto" w:fill="FFFFFF"/>
            <w:tcMar>
              <w:top w:w="0" w:type="dxa"/>
              <w:left w:w="85" w:type="dxa"/>
              <w:bottom w:w="0" w:type="dxa"/>
              <w:right w:w="85" w:type="dxa"/>
            </w:tcMar>
          </w:tcPr>
          <w:p w14:paraId="26C5AC32" w14:textId="77777777" w:rsidR="00E87995" w:rsidRPr="009E06AA" w:rsidRDefault="00E87995" w:rsidP="00E770EF">
            <w:pPr>
              <w:pStyle w:val="TableText"/>
              <w:spacing w:before="40" w:after="40"/>
              <w:jc w:val="right"/>
            </w:pPr>
            <w:r w:rsidRPr="009E06AA">
              <w:rPr>
                <w:color w:val="000000"/>
              </w:rPr>
              <w:t>36.135</w:t>
            </w:r>
          </w:p>
        </w:tc>
        <w:tc>
          <w:tcPr>
            <w:tcW w:w="1559" w:type="dxa"/>
            <w:shd w:val="clear" w:color="auto" w:fill="FFFFFF"/>
            <w:tcMar>
              <w:top w:w="0" w:type="dxa"/>
              <w:left w:w="85" w:type="dxa"/>
              <w:bottom w:w="0" w:type="dxa"/>
              <w:right w:w="85" w:type="dxa"/>
            </w:tcMar>
          </w:tcPr>
          <w:p w14:paraId="086BC89E" w14:textId="77777777" w:rsidR="00E87995" w:rsidRPr="009E06AA" w:rsidRDefault="00E87995" w:rsidP="00B55F24">
            <w:pPr>
              <w:pStyle w:val="TableText"/>
              <w:spacing w:before="40" w:after="40"/>
            </w:pPr>
            <w:r w:rsidRPr="009E06AA" w:rsidDel="00747A34">
              <w:rPr>
                <w:color w:val="000000"/>
              </w:rPr>
              <w:t>New Zealand</w:t>
            </w:r>
            <w:r w:rsidRPr="009E06AA">
              <w:rPr>
                <w:color w:val="000000"/>
              </w:rPr>
              <w:t xml:space="preserve"> specific</w:t>
            </w:r>
          </w:p>
        </w:tc>
        <w:tc>
          <w:tcPr>
            <w:tcW w:w="1701" w:type="dxa"/>
            <w:shd w:val="clear" w:color="auto" w:fill="FFFFFF"/>
            <w:tcMar>
              <w:top w:w="0" w:type="dxa"/>
              <w:left w:w="85" w:type="dxa"/>
              <w:bottom w:w="0" w:type="dxa"/>
              <w:right w:w="85" w:type="dxa"/>
            </w:tcMar>
          </w:tcPr>
          <w:p w14:paraId="29FC0FB2" w14:textId="77777777" w:rsidR="00E87995" w:rsidRPr="009E06AA" w:rsidRDefault="00E87995" w:rsidP="00B55F24">
            <w:pPr>
              <w:pStyle w:val="TableText"/>
              <w:spacing w:before="40" w:after="40"/>
            </w:pPr>
            <w:r w:rsidRPr="009E06AA">
              <w:rPr>
                <w:color w:val="000000"/>
              </w:rPr>
              <w:t>Beca Infrastructure Ltd (unpublished)</w:t>
            </w:r>
          </w:p>
        </w:tc>
      </w:tr>
      <w:tr w:rsidR="00E87995" w:rsidRPr="009E06AA" w14:paraId="6966342D" w14:textId="77777777" w:rsidTr="00B55F24">
        <w:tc>
          <w:tcPr>
            <w:tcW w:w="4536" w:type="dxa"/>
            <w:shd w:val="clear" w:color="auto" w:fill="FFFFFF"/>
            <w:tcMar>
              <w:top w:w="0" w:type="dxa"/>
              <w:left w:w="85" w:type="dxa"/>
              <w:bottom w:w="0" w:type="dxa"/>
              <w:right w:w="85" w:type="dxa"/>
            </w:tcMar>
          </w:tcPr>
          <w:p w14:paraId="116C88CD" w14:textId="77777777" w:rsidR="00E87995" w:rsidRPr="009E06AA" w:rsidRDefault="00E87995" w:rsidP="00B55F24">
            <w:pPr>
              <w:pStyle w:val="TableText"/>
              <w:spacing w:before="40" w:after="40"/>
            </w:pPr>
            <w:r w:rsidRPr="009E06AA">
              <w:rPr>
                <w:color w:val="000000"/>
              </w:rPr>
              <w:t>Fraction of nitrogen in protein</w:t>
            </w:r>
          </w:p>
        </w:tc>
        <w:tc>
          <w:tcPr>
            <w:tcW w:w="709" w:type="dxa"/>
            <w:shd w:val="clear" w:color="auto" w:fill="FFFFFF"/>
            <w:tcMar>
              <w:top w:w="0" w:type="dxa"/>
              <w:left w:w="85" w:type="dxa"/>
              <w:bottom w:w="0" w:type="dxa"/>
              <w:right w:w="85" w:type="dxa"/>
            </w:tcMar>
          </w:tcPr>
          <w:p w14:paraId="0BC8EA6E" w14:textId="77777777" w:rsidR="00E87995" w:rsidRPr="009E06AA" w:rsidRDefault="00E87995" w:rsidP="00E770EF">
            <w:pPr>
              <w:pStyle w:val="TableText"/>
              <w:spacing w:before="40" w:after="40"/>
              <w:jc w:val="right"/>
            </w:pPr>
            <w:r w:rsidRPr="009E06AA">
              <w:rPr>
                <w:color w:val="000000"/>
              </w:rPr>
              <w:t>0.16</w:t>
            </w:r>
          </w:p>
        </w:tc>
        <w:tc>
          <w:tcPr>
            <w:tcW w:w="1559" w:type="dxa"/>
            <w:shd w:val="clear" w:color="auto" w:fill="FFFFFF"/>
            <w:tcMar>
              <w:top w:w="0" w:type="dxa"/>
              <w:left w:w="85" w:type="dxa"/>
              <w:bottom w:w="0" w:type="dxa"/>
              <w:right w:w="85" w:type="dxa"/>
            </w:tcMar>
          </w:tcPr>
          <w:p w14:paraId="35D63C27" w14:textId="77777777" w:rsidR="00E87995" w:rsidRPr="009E06AA" w:rsidRDefault="00E87995" w:rsidP="00B55F24">
            <w:pPr>
              <w:pStyle w:val="TableText"/>
              <w:spacing w:before="40" w:after="40"/>
            </w:pPr>
            <w:r w:rsidRPr="009E06AA">
              <w:rPr>
                <w:color w:val="000000"/>
              </w:rPr>
              <w:t>IPCC default</w:t>
            </w:r>
          </w:p>
        </w:tc>
        <w:tc>
          <w:tcPr>
            <w:tcW w:w="1701" w:type="dxa"/>
            <w:shd w:val="clear" w:color="auto" w:fill="FFFFFF"/>
            <w:tcMar>
              <w:top w:w="0" w:type="dxa"/>
              <w:left w:w="85" w:type="dxa"/>
              <w:bottom w:w="0" w:type="dxa"/>
              <w:right w:w="85" w:type="dxa"/>
            </w:tcMar>
          </w:tcPr>
          <w:p w14:paraId="76CE74DD" w14:textId="77777777" w:rsidR="00E87995" w:rsidRPr="009E06AA" w:rsidRDefault="00E87995" w:rsidP="00B55F24">
            <w:pPr>
              <w:pStyle w:val="TableText"/>
              <w:spacing w:before="40" w:after="40"/>
            </w:pPr>
            <w:r w:rsidRPr="009E06AA">
              <w:rPr>
                <w:color w:val="000000"/>
              </w:rPr>
              <w:t>IPCC (2006a)</w:t>
            </w:r>
          </w:p>
        </w:tc>
      </w:tr>
      <w:tr w:rsidR="00E87995" w:rsidRPr="009E06AA" w14:paraId="73856398" w14:textId="77777777" w:rsidTr="00B55F24">
        <w:tc>
          <w:tcPr>
            <w:tcW w:w="4536" w:type="dxa"/>
            <w:shd w:val="clear" w:color="auto" w:fill="FFFFFF"/>
            <w:tcMar>
              <w:top w:w="0" w:type="dxa"/>
              <w:left w:w="85" w:type="dxa"/>
              <w:bottom w:w="0" w:type="dxa"/>
              <w:right w:w="85" w:type="dxa"/>
            </w:tcMar>
          </w:tcPr>
          <w:p w14:paraId="10EC7FC9" w14:textId="77777777" w:rsidR="00E87995" w:rsidRPr="009E06AA" w:rsidRDefault="00E87995" w:rsidP="00B55F24">
            <w:pPr>
              <w:pStyle w:val="TableText"/>
              <w:spacing w:before="40" w:after="40"/>
            </w:pPr>
            <w:r w:rsidRPr="009E06AA">
              <w:rPr>
                <w:color w:val="000000"/>
              </w:rPr>
              <w:t>Fraction of non-consumed protein</w:t>
            </w:r>
          </w:p>
        </w:tc>
        <w:tc>
          <w:tcPr>
            <w:tcW w:w="709" w:type="dxa"/>
            <w:shd w:val="clear" w:color="auto" w:fill="FFFFFF"/>
            <w:tcMar>
              <w:top w:w="0" w:type="dxa"/>
              <w:left w:w="85" w:type="dxa"/>
              <w:bottom w:w="0" w:type="dxa"/>
              <w:right w:w="85" w:type="dxa"/>
            </w:tcMar>
          </w:tcPr>
          <w:p w14:paraId="5BEF08E6" w14:textId="77777777" w:rsidR="00E87995" w:rsidRPr="009E06AA" w:rsidRDefault="00E87995" w:rsidP="00E770EF">
            <w:pPr>
              <w:pStyle w:val="TableText"/>
              <w:spacing w:before="40" w:after="40"/>
              <w:jc w:val="right"/>
            </w:pPr>
            <w:r w:rsidRPr="009E06AA">
              <w:rPr>
                <w:color w:val="000000"/>
              </w:rPr>
              <w:t>1.4</w:t>
            </w:r>
          </w:p>
        </w:tc>
        <w:tc>
          <w:tcPr>
            <w:tcW w:w="1559" w:type="dxa"/>
            <w:shd w:val="clear" w:color="auto" w:fill="FFFFFF"/>
            <w:tcMar>
              <w:top w:w="0" w:type="dxa"/>
              <w:left w:w="85" w:type="dxa"/>
              <w:bottom w:w="0" w:type="dxa"/>
              <w:right w:w="85" w:type="dxa"/>
            </w:tcMar>
          </w:tcPr>
          <w:p w14:paraId="7C35594F" w14:textId="77777777" w:rsidR="00E87995" w:rsidRPr="009E06AA" w:rsidRDefault="00E87995" w:rsidP="00B55F24">
            <w:pPr>
              <w:pStyle w:val="TableText"/>
              <w:spacing w:before="40" w:after="40"/>
            </w:pPr>
            <w:r w:rsidRPr="009E06AA">
              <w:rPr>
                <w:color w:val="000000"/>
              </w:rPr>
              <w:t>IPCC default</w:t>
            </w:r>
          </w:p>
        </w:tc>
        <w:tc>
          <w:tcPr>
            <w:tcW w:w="1701" w:type="dxa"/>
            <w:shd w:val="clear" w:color="auto" w:fill="FFFFFF"/>
            <w:tcMar>
              <w:top w:w="0" w:type="dxa"/>
              <w:left w:w="85" w:type="dxa"/>
              <w:bottom w:w="0" w:type="dxa"/>
              <w:right w:w="85" w:type="dxa"/>
            </w:tcMar>
          </w:tcPr>
          <w:p w14:paraId="25B03246" w14:textId="77777777" w:rsidR="00E87995" w:rsidRPr="009E06AA" w:rsidRDefault="00E87995" w:rsidP="00B55F24">
            <w:pPr>
              <w:pStyle w:val="TableText"/>
              <w:spacing w:before="40" w:after="40"/>
            </w:pPr>
            <w:r w:rsidRPr="009E06AA">
              <w:rPr>
                <w:color w:val="000000"/>
              </w:rPr>
              <w:t>IPCC (2006a)</w:t>
            </w:r>
          </w:p>
        </w:tc>
      </w:tr>
      <w:tr w:rsidR="00E87995" w:rsidRPr="009E06AA" w14:paraId="45326F57" w14:textId="77777777" w:rsidTr="00B55F24">
        <w:tc>
          <w:tcPr>
            <w:tcW w:w="4536" w:type="dxa"/>
            <w:shd w:val="clear" w:color="auto" w:fill="FFFFFF"/>
            <w:tcMar>
              <w:top w:w="0" w:type="dxa"/>
              <w:left w:w="85" w:type="dxa"/>
              <w:bottom w:w="0" w:type="dxa"/>
              <w:right w:w="85" w:type="dxa"/>
            </w:tcMar>
          </w:tcPr>
          <w:p w14:paraId="5F4AB8F3" w14:textId="77777777" w:rsidR="00E87995" w:rsidRPr="009E06AA" w:rsidRDefault="00E87995" w:rsidP="00B55F24">
            <w:pPr>
              <w:pStyle w:val="TableText"/>
              <w:spacing w:before="40" w:after="40"/>
            </w:pPr>
            <w:r w:rsidRPr="009E06AA">
              <w:rPr>
                <w:color w:val="000000"/>
              </w:rPr>
              <w:t>Fraction of industrial and commercial co</w:t>
            </w:r>
            <w:r w:rsidRPr="009E06AA">
              <w:rPr>
                <w:rFonts w:ascii="Cambria Math" w:hAnsi="Cambria Math" w:cs="Cambria Math"/>
                <w:color w:val="000000"/>
              </w:rPr>
              <w:t>‑</w:t>
            </w:r>
            <w:r w:rsidRPr="009E06AA">
              <w:rPr>
                <w:color w:val="000000"/>
              </w:rPr>
              <w:t>discharged protein</w:t>
            </w:r>
          </w:p>
        </w:tc>
        <w:tc>
          <w:tcPr>
            <w:tcW w:w="709" w:type="dxa"/>
            <w:shd w:val="clear" w:color="auto" w:fill="FFFFFF"/>
            <w:tcMar>
              <w:top w:w="0" w:type="dxa"/>
              <w:left w:w="85" w:type="dxa"/>
              <w:bottom w:w="0" w:type="dxa"/>
              <w:right w:w="85" w:type="dxa"/>
            </w:tcMar>
          </w:tcPr>
          <w:p w14:paraId="50A6307F" w14:textId="77777777" w:rsidR="00E87995" w:rsidRPr="009E06AA" w:rsidRDefault="00E87995" w:rsidP="00E770EF">
            <w:pPr>
              <w:pStyle w:val="TableText"/>
              <w:spacing w:before="40" w:after="40"/>
              <w:jc w:val="right"/>
            </w:pPr>
            <w:r w:rsidRPr="009E06AA">
              <w:rPr>
                <w:color w:val="000000"/>
              </w:rPr>
              <w:t>1.25</w:t>
            </w:r>
          </w:p>
        </w:tc>
        <w:tc>
          <w:tcPr>
            <w:tcW w:w="1559" w:type="dxa"/>
            <w:shd w:val="clear" w:color="auto" w:fill="FFFFFF"/>
            <w:tcMar>
              <w:top w:w="0" w:type="dxa"/>
              <w:left w:w="85" w:type="dxa"/>
              <w:bottom w:w="0" w:type="dxa"/>
              <w:right w:w="85" w:type="dxa"/>
            </w:tcMar>
          </w:tcPr>
          <w:p w14:paraId="129F5966" w14:textId="77777777" w:rsidR="00E87995" w:rsidRPr="009E06AA" w:rsidRDefault="00E87995" w:rsidP="00B55F24">
            <w:pPr>
              <w:pStyle w:val="TableText"/>
              <w:spacing w:before="40" w:after="40"/>
            </w:pPr>
            <w:r w:rsidRPr="009E06AA">
              <w:rPr>
                <w:color w:val="000000"/>
              </w:rPr>
              <w:t>IPCC default</w:t>
            </w:r>
          </w:p>
        </w:tc>
        <w:tc>
          <w:tcPr>
            <w:tcW w:w="1701" w:type="dxa"/>
            <w:shd w:val="clear" w:color="auto" w:fill="FFFFFF"/>
            <w:tcMar>
              <w:top w:w="0" w:type="dxa"/>
              <w:left w:w="85" w:type="dxa"/>
              <w:bottom w:w="0" w:type="dxa"/>
              <w:right w:w="85" w:type="dxa"/>
            </w:tcMar>
          </w:tcPr>
          <w:p w14:paraId="063548B1" w14:textId="77777777" w:rsidR="00E87995" w:rsidRPr="009E06AA" w:rsidRDefault="00E87995" w:rsidP="00B55F24">
            <w:pPr>
              <w:pStyle w:val="TableText"/>
              <w:spacing w:before="40" w:after="40"/>
            </w:pPr>
            <w:r w:rsidRPr="009E06AA">
              <w:rPr>
                <w:color w:val="000000"/>
              </w:rPr>
              <w:t>IPCC (2006a)</w:t>
            </w:r>
          </w:p>
        </w:tc>
      </w:tr>
      <w:tr w:rsidR="00E87995" w:rsidRPr="009E06AA" w14:paraId="195DEC4E" w14:textId="77777777" w:rsidTr="00B55F24">
        <w:tc>
          <w:tcPr>
            <w:tcW w:w="4536" w:type="dxa"/>
            <w:shd w:val="clear" w:color="auto" w:fill="FFFFFF"/>
            <w:tcMar>
              <w:top w:w="0" w:type="dxa"/>
              <w:left w:w="85" w:type="dxa"/>
              <w:bottom w:w="0" w:type="dxa"/>
              <w:right w:w="85" w:type="dxa"/>
            </w:tcMar>
          </w:tcPr>
          <w:p w14:paraId="3AE6298F" w14:textId="77777777" w:rsidR="00E87995" w:rsidRPr="009E06AA" w:rsidRDefault="00E87995" w:rsidP="00B55F24">
            <w:pPr>
              <w:pStyle w:val="TableText"/>
              <w:spacing w:before="40" w:after="40"/>
            </w:pPr>
            <w:r w:rsidRPr="009E06AA">
              <w:rPr>
                <w:color w:val="000000"/>
              </w:rPr>
              <w:t>Nitrogen removed with sludge (kg)</w:t>
            </w:r>
          </w:p>
        </w:tc>
        <w:tc>
          <w:tcPr>
            <w:tcW w:w="709" w:type="dxa"/>
            <w:shd w:val="clear" w:color="auto" w:fill="FFFFFF"/>
            <w:tcMar>
              <w:top w:w="0" w:type="dxa"/>
              <w:left w:w="85" w:type="dxa"/>
              <w:bottom w:w="0" w:type="dxa"/>
              <w:right w:w="85" w:type="dxa"/>
            </w:tcMar>
          </w:tcPr>
          <w:p w14:paraId="2AD51B55" w14:textId="77777777" w:rsidR="00E87995" w:rsidRPr="009E06AA" w:rsidRDefault="00E87995" w:rsidP="00E770EF">
            <w:pPr>
              <w:pStyle w:val="TableText"/>
              <w:spacing w:before="40" w:after="40"/>
              <w:jc w:val="right"/>
            </w:pPr>
            <w:r w:rsidRPr="009E06AA">
              <w:rPr>
                <w:color w:val="000000"/>
              </w:rPr>
              <w:t>0</w:t>
            </w:r>
          </w:p>
        </w:tc>
        <w:tc>
          <w:tcPr>
            <w:tcW w:w="1559" w:type="dxa"/>
            <w:shd w:val="clear" w:color="auto" w:fill="FFFFFF"/>
            <w:tcMar>
              <w:top w:w="0" w:type="dxa"/>
              <w:left w:w="85" w:type="dxa"/>
              <w:bottom w:w="0" w:type="dxa"/>
              <w:right w:w="85" w:type="dxa"/>
            </w:tcMar>
          </w:tcPr>
          <w:p w14:paraId="4C865130" w14:textId="77777777" w:rsidR="00E87995" w:rsidRPr="009E06AA" w:rsidRDefault="00E87995" w:rsidP="00B55F24">
            <w:pPr>
              <w:pStyle w:val="TableText"/>
              <w:spacing w:before="40" w:after="40"/>
            </w:pPr>
            <w:r w:rsidRPr="009E06AA">
              <w:rPr>
                <w:color w:val="000000"/>
              </w:rPr>
              <w:t>IPCC default</w:t>
            </w:r>
          </w:p>
        </w:tc>
        <w:tc>
          <w:tcPr>
            <w:tcW w:w="1701" w:type="dxa"/>
            <w:shd w:val="clear" w:color="auto" w:fill="FFFFFF"/>
            <w:tcMar>
              <w:top w:w="0" w:type="dxa"/>
              <w:left w:w="85" w:type="dxa"/>
              <w:bottom w:w="0" w:type="dxa"/>
              <w:right w:w="85" w:type="dxa"/>
            </w:tcMar>
          </w:tcPr>
          <w:p w14:paraId="57E578F3" w14:textId="77777777" w:rsidR="00E87995" w:rsidRPr="009E06AA" w:rsidRDefault="00E87995" w:rsidP="00B55F24">
            <w:pPr>
              <w:pStyle w:val="TableText"/>
              <w:spacing w:before="40" w:after="40"/>
            </w:pPr>
            <w:r w:rsidRPr="009E06AA">
              <w:rPr>
                <w:color w:val="000000"/>
              </w:rPr>
              <w:t>IPCC (2006a)</w:t>
            </w:r>
          </w:p>
        </w:tc>
      </w:tr>
      <w:tr w:rsidR="00E87995" w:rsidRPr="009E06AA" w14:paraId="17933892" w14:textId="77777777" w:rsidTr="00B55F24">
        <w:tc>
          <w:tcPr>
            <w:tcW w:w="4536" w:type="dxa"/>
            <w:shd w:val="clear" w:color="auto" w:fill="FFFFFF"/>
            <w:tcMar>
              <w:top w:w="0" w:type="dxa"/>
              <w:left w:w="85" w:type="dxa"/>
              <w:bottom w:w="0" w:type="dxa"/>
              <w:right w:w="85" w:type="dxa"/>
            </w:tcMar>
          </w:tcPr>
          <w:p w14:paraId="433F20A3" w14:textId="77777777" w:rsidR="00E87995" w:rsidRPr="009E06AA" w:rsidRDefault="00E87995" w:rsidP="00B55F24">
            <w:pPr>
              <w:pStyle w:val="TableText"/>
              <w:spacing w:before="40" w:after="40"/>
            </w:pPr>
            <w:r w:rsidRPr="009E06AA">
              <w:rPr>
                <w:color w:val="000000"/>
              </w:rPr>
              <w:t>Emission factor</w:t>
            </w:r>
          </w:p>
        </w:tc>
        <w:tc>
          <w:tcPr>
            <w:tcW w:w="709" w:type="dxa"/>
            <w:shd w:val="clear" w:color="auto" w:fill="FFFFFF"/>
            <w:tcMar>
              <w:top w:w="0" w:type="dxa"/>
              <w:left w:w="85" w:type="dxa"/>
              <w:bottom w:w="0" w:type="dxa"/>
              <w:right w:w="85" w:type="dxa"/>
            </w:tcMar>
          </w:tcPr>
          <w:p w14:paraId="67D3DECF" w14:textId="77777777" w:rsidR="00E87995" w:rsidRPr="009E06AA" w:rsidRDefault="00E87995" w:rsidP="00E770EF">
            <w:pPr>
              <w:pStyle w:val="TableText"/>
              <w:spacing w:before="40" w:after="40"/>
              <w:jc w:val="right"/>
            </w:pPr>
            <w:r w:rsidRPr="009E06AA">
              <w:rPr>
                <w:color w:val="000000"/>
              </w:rPr>
              <w:t>0.005</w:t>
            </w:r>
          </w:p>
        </w:tc>
        <w:tc>
          <w:tcPr>
            <w:tcW w:w="1559" w:type="dxa"/>
            <w:shd w:val="clear" w:color="auto" w:fill="FFFFFF"/>
            <w:tcMar>
              <w:top w:w="0" w:type="dxa"/>
              <w:left w:w="85" w:type="dxa"/>
              <w:bottom w:w="0" w:type="dxa"/>
              <w:right w:w="85" w:type="dxa"/>
            </w:tcMar>
          </w:tcPr>
          <w:p w14:paraId="4617A3FC" w14:textId="77777777" w:rsidR="00E87995" w:rsidRPr="009E06AA" w:rsidRDefault="00E87995" w:rsidP="00B55F24">
            <w:pPr>
              <w:pStyle w:val="TableText"/>
              <w:spacing w:before="40" w:after="40"/>
            </w:pPr>
            <w:r w:rsidRPr="009E06AA">
              <w:rPr>
                <w:color w:val="000000"/>
              </w:rPr>
              <w:t>IPCC default</w:t>
            </w:r>
          </w:p>
        </w:tc>
        <w:tc>
          <w:tcPr>
            <w:tcW w:w="1701" w:type="dxa"/>
            <w:shd w:val="clear" w:color="auto" w:fill="FFFFFF"/>
            <w:tcMar>
              <w:top w:w="0" w:type="dxa"/>
              <w:left w:w="85" w:type="dxa"/>
              <w:bottom w:w="0" w:type="dxa"/>
              <w:right w:w="85" w:type="dxa"/>
            </w:tcMar>
          </w:tcPr>
          <w:p w14:paraId="13FACCE5" w14:textId="77777777" w:rsidR="00E87995" w:rsidRPr="009E06AA" w:rsidRDefault="00E87995" w:rsidP="00B55F24">
            <w:pPr>
              <w:pStyle w:val="TableText"/>
              <w:spacing w:before="40" w:after="40"/>
            </w:pPr>
            <w:r w:rsidRPr="009E06AA">
              <w:rPr>
                <w:color w:val="000000"/>
              </w:rPr>
              <w:t>IPCC (2006a)</w:t>
            </w:r>
          </w:p>
        </w:tc>
      </w:tr>
      <w:tr w:rsidR="00E87995" w:rsidRPr="009E06AA" w14:paraId="13362679" w14:textId="77777777" w:rsidTr="00B55F24">
        <w:tc>
          <w:tcPr>
            <w:tcW w:w="4536" w:type="dxa"/>
            <w:shd w:val="clear" w:color="auto" w:fill="FFFFFF"/>
            <w:tcMar>
              <w:top w:w="0" w:type="dxa"/>
              <w:left w:w="85" w:type="dxa"/>
              <w:bottom w:w="0" w:type="dxa"/>
              <w:right w:w="85" w:type="dxa"/>
            </w:tcMar>
          </w:tcPr>
          <w:p w14:paraId="05EE088B" w14:textId="77777777" w:rsidR="00E87995" w:rsidRPr="009E06AA" w:rsidRDefault="00E87995" w:rsidP="00B55F24">
            <w:pPr>
              <w:pStyle w:val="TableText"/>
              <w:spacing w:before="40" w:after="40"/>
            </w:pPr>
            <w:r w:rsidRPr="009E06AA">
              <w:rPr>
                <w:color w:val="000000"/>
              </w:rPr>
              <w:t xml:space="preserve">Direct </w:t>
            </w:r>
            <w:r w:rsidRPr="009E06AA">
              <w:rPr>
                <w:rFonts w:eastAsia="Calibri" w:cs="Calibri"/>
                <w:color w:val="000000"/>
                <w:szCs w:val="16"/>
              </w:rPr>
              <w:t>nitrous oxide</w:t>
            </w:r>
            <w:r w:rsidRPr="009E06AA">
              <w:rPr>
                <w:color w:val="000000"/>
              </w:rPr>
              <w:t xml:space="preserve"> emissions from wastewater treatment plants</w:t>
            </w:r>
          </w:p>
        </w:tc>
        <w:tc>
          <w:tcPr>
            <w:tcW w:w="709" w:type="dxa"/>
            <w:shd w:val="clear" w:color="auto" w:fill="FFFFFF"/>
            <w:tcMar>
              <w:top w:w="0" w:type="dxa"/>
              <w:left w:w="85" w:type="dxa"/>
              <w:bottom w:w="0" w:type="dxa"/>
              <w:right w:w="85" w:type="dxa"/>
            </w:tcMar>
          </w:tcPr>
          <w:p w14:paraId="17CA6543" w14:textId="77777777" w:rsidR="00E87995" w:rsidRPr="009E06AA" w:rsidRDefault="00E87995" w:rsidP="00E770EF">
            <w:pPr>
              <w:pStyle w:val="TableText"/>
              <w:spacing w:before="40" w:after="40"/>
              <w:jc w:val="right"/>
            </w:pPr>
            <w:r w:rsidRPr="009E06AA">
              <w:rPr>
                <w:color w:val="000000"/>
              </w:rPr>
              <w:t>0</w:t>
            </w:r>
          </w:p>
        </w:tc>
        <w:tc>
          <w:tcPr>
            <w:tcW w:w="1559" w:type="dxa"/>
            <w:shd w:val="clear" w:color="auto" w:fill="FFFFFF"/>
            <w:tcMar>
              <w:top w:w="0" w:type="dxa"/>
              <w:left w:w="85" w:type="dxa"/>
              <w:bottom w:w="0" w:type="dxa"/>
              <w:right w:w="85" w:type="dxa"/>
            </w:tcMar>
          </w:tcPr>
          <w:p w14:paraId="4A9B679F" w14:textId="77777777" w:rsidR="00E87995" w:rsidRPr="009E06AA" w:rsidRDefault="00E87995" w:rsidP="00B55F24">
            <w:pPr>
              <w:pStyle w:val="TableText"/>
              <w:spacing w:before="40" w:after="40"/>
            </w:pPr>
            <w:r w:rsidRPr="009E06AA">
              <w:rPr>
                <w:color w:val="000000"/>
              </w:rPr>
              <w:t>IPCC default</w:t>
            </w:r>
          </w:p>
        </w:tc>
        <w:tc>
          <w:tcPr>
            <w:tcW w:w="1701" w:type="dxa"/>
            <w:shd w:val="clear" w:color="auto" w:fill="FFFFFF"/>
            <w:tcMar>
              <w:top w:w="0" w:type="dxa"/>
              <w:left w:w="85" w:type="dxa"/>
              <w:bottom w:w="0" w:type="dxa"/>
              <w:right w:w="85" w:type="dxa"/>
            </w:tcMar>
          </w:tcPr>
          <w:p w14:paraId="46E32603" w14:textId="77777777" w:rsidR="00E87995" w:rsidRPr="009E06AA" w:rsidRDefault="00E87995" w:rsidP="00B55F24">
            <w:pPr>
              <w:pStyle w:val="TableText"/>
              <w:spacing w:before="40" w:after="40"/>
            </w:pPr>
            <w:r w:rsidRPr="009E06AA">
              <w:rPr>
                <w:color w:val="000000"/>
              </w:rPr>
              <w:t>IPCC (2006a)</w:t>
            </w:r>
          </w:p>
        </w:tc>
      </w:tr>
    </w:tbl>
    <w:p w14:paraId="1F6E9A38" w14:textId="77777777" w:rsidR="00E87995" w:rsidRPr="009E06AA" w:rsidRDefault="00E87995" w:rsidP="00E87995">
      <w:pPr>
        <w:pStyle w:val="BodyText"/>
        <w:spacing w:before="240"/>
      </w:pPr>
      <w:r w:rsidRPr="009E06AA">
        <w:t xml:space="preserve">A value of 36.135 kilograms of protein per person per year is used. This figure was the maximum value reported by </w:t>
      </w:r>
      <w:r w:rsidRPr="009E06AA" w:rsidDel="001C7DAD">
        <w:t>New Zealand</w:t>
      </w:r>
      <w:r w:rsidRPr="009E06AA">
        <w:t xml:space="preserve"> to the Food and Agriculture Organization of the United Nations.</w:t>
      </w:r>
    </w:p>
    <w:p w14:paraId="711F1AE7" w14:textId="77777777" w:rsidR="00E87995" w:rsidRPr="009E06AA" w:rsidRDefault="00E87995" w:rsidP="00E87995">
      <w:pPr>
        <w:pStyle w:val="Heading6"/>
      </w:pPr>
      <w:bookmarkStart w:id="3035" w:name="recovery-1"/>
      <w:r w:rsidRPr="009E06AA">
        <w:t>Recovery</w:t>
      </w:r>
    </w:p>
    <w:p w14:paraId="5157F179" w14:textId="77777777" w:rsidR="00E87995" w:rsidRPr="009E06AA" w:rsidRDefault="00E87995" w:rsidP="00E87995">
      <w:pPr>
        <w:pStyle w:val="BodyText"/>
      </w:pPr>
      <w:r w:rsidRPr="009E06AA">
        <w:t>There is no recovery of emissions reported for this source.</w:t>
      </w:r>
    </w:p>
    <w:p w14:paraId="35D79BFB" w14:textId="77777777" w:rsidR="00E87995" w:rsidRPr="009E06AA" w:rsidRDefault="00E87995" w:rsidP="00E87995">
      <w:pPr>
        <w:pStyle w:val="Heading4"/>
      </w:pPr>
      <w:bookmarkStart w:id="3036" w:name="industrial-wastewater-5.d.2-2"/>
      <w:bookmarkEnd w:id="3018"/>
      <w:bookmarkEnd w:id="3029"/>
      <w:bookmarkEnd w:id="3035"/>
      <w:r w:rsidRPr="009E06AA">
        <w:t>Industrial wastewater (5.D.2)</w:t>
      </w:r>
    </w:p>
    <w:p w14:paraId="2B87AAAD" w14:textId="77777777" w:rsidR="00E87995" w:rsidRPr="009E06AA" w:rsidRDefault="00E87995" w:rsidP="00BF2A76">
      <w:pPr>
        <w:pStyle w:val="Heading5"/>
      </w:pPr>
      <w:bookmarkStart w:id="3037" w:name="Xb027ccc27a0528429fadaa4c67f957225579be4"/>
      <w:r w:rsidRPr="009E06AA">
        <w:t>Methane emissions from industrial wastewater treatment – Meat industry</w:t>
      </w:r>
    </w:p>
    <w:p w14:paraId="0EAB750F" w14:textId="77777777" w:rsidR="00E87995" w:rsidRPr="009E06AA" w:rsidRDefault="00E87995" w:rsidP="00E87995">
      <w:pPr>
        <w:pStyle w:val="BodyText"/>
      </w:pPr>
      <w:r w:rsidRPr="009E06AA">
        <w:t>Table 7.5.8 summarises the parameter values applied for estimating CH</w:t>
      </w:r>
      <w:r w:rsidRPr="009E06AA">
        <w:rPr>
          <w:vertAlign w:val="subscript"/>
        </w:rPr>
        <w:t>4</w:t>
      </w:r>
      <w:r w:rsidRPr="009E06AA">
        <w:t xml:space="preserve"> emissions from wastewater treatment by the meat industry.</w:t>
      </w:r>
    </w:p>
    <w:p w14:paraId="62B67B7E" w14:textId="77777777" w:rsidR="00E87995" w:rsidRPr="009E06AA" w:rsidRDefault="00E87995" w:rsidP="00E87995">
      <w:pPr>
        <w:pStyle w:val="Table"/>
      </w:pPr>
      <w:bookmarkStart w:id="3038" w:name="_Toc128383686"/>
      <w:bookmarkStart w:id="3039" w:name="_Toc131591459"/>
      <w:bookmarkStart w:id="3040" w:name="_Toc160537338"/>
      <w:bookmarkStart w:id="3041" w:name="_Toc160537700"/>
      <w:bookmarkStart w:id="3042" w:name="_Toc164153950"/>
      <w:r w:rsidRPr="009E06AA">
        <w:t>Table 7.5.8</w:t>
      </w:r>
      <w:r w:rsidRPr="009E06AA">
        <w:tab/>
        <w:t xml:space="preserve">Parameter values applied by </w:t>
      </w:r>
      <w:r w:rsidRPr="009E06AA" w:rsidDel="00747A34">
        <w:t>New Zealand</w:t>
      </w:r>
      <w:r w:rsidRPr="009E06AA">
        <w:t xml:space="preserve"> for estimating methane emissions from wastewater treatment by the meat industry</w:t>
      </w:r>
      <w:bookmarkEnd w:id="3038"/>
      <w:bookmarkEnd w:id="3039"/>
      <w:bookmarkEnd w:id="3040"/>
      <w:bookmarkEnd w:id="3041"/>
      <w:bookmarkEnd w:id="3042"/>
    </w:p>
    <w:tbl>
      <w:tblPr>
        <w:tblW w:w="8505" w:type="dxa"/>
        <w:tblBorders>
          <w:top w:val="single" w:sz="4" w:space="0" w:color="1B556B" w:themeColor="text2"/>
          <w:bottom w:val="single" w:sz="4" w:space="0" w:color="1B556B" w:themeColor="text2"/>
          <w:insideH w:val="single" w:sz="4" w:space="0" w:color="1B556B" w:themeColor="text2"/>
        </w:tblBorders>
        <w:tblLook w:val="0420" w:firstRow="1" w:lastRow="0" w:firstColumn="0" w:lastColumn="0" w:noHBand="0" w:noVBand="1"/>
      </w:tblPr>
      <w:tblGrid>
        <w:gridCol w:w="2410"/>
        <w:gridCol w:w="2268"/>
        <w:gridCol w:w="1701"/>
        <w:gridCol w:w="2126"/>
      </w:tblGrid>
      <w:tr w:rsidR="00E87995" w:rsidRPr="009E06AA" w14:paraId="45D5B8F7" w14:textId="77777777" w:rsidTr="00B55F24">
        <w:trPr>
          <w:tblHeader/>
        </w:trPr>
        <w:tc>
          <w:tcPr>
            <w:tcW w:w="2410" w:type="dxa"/>
            <w:shd w:val="clear" w:color="auto" w:fill="1B556B"/>
            <w:tcMar>
              <w:top w:w="0" w:type="dxa"/>
              <w:left w:w="85" w:type="dxa"/>
              <w:bottom w:w="0" w:type="dxa"/>
              <w:right w:w="85" w:type="dxa"/>
            </w:tcMar>
          </w:tcPr>
          <w:p w14:paraId="0DAC6FB6" w14:textId="77777777" w:rsidR="00E87995" w:rsidRPr="009E06AA" w:rsidRDefault="00E87995" w:rsidP="00B55F24">
            <w:pPr>
              <w:pStyle w:val="TableTextBold"/>
              <w:spacing w:before="40" w:after="40"/>
              <w:rPr>
                <w:noProof w:val="0"/>
                <w:color w:val="FFFFFF" w:themeColor="background1"/>
              </w:rPr>
            </w:pPr>
            <w:r w:rsidRPr="009E06AA">
              <w:rPr>
                <w:noProof w:val="0"/>
                <w:color w:val="FFFFFF" w:themeColor="background1"/>
              </w:rPr>
              <w:t>Parameter</w:t>
            </w:r>
          </w:p>
        </w:tc>
        <w:tc>
          <w:tcPr>
            <w:tcW w:w="2268" w:type="dxa"/>
            <w:shd w:val="clear" w:color="auto" w:fill="1B556B"/>
            <w:tcMar>
              <w:top w:w="0" w:type="dxa"/>
              <w:left w:w="85" w:type="dxa"/>
              <w:bottom w:w="0" w:type="dxa"/>
              <w:right w:w="85" w:type="dxa"/>
            </w:tcMar>
          </w:tcPr>
          <w:p w14:paraId="2B4651EA" w14:textId="77777777" w:rsidR="00E87995" w:rsidRPr="009E06AA" w:rsidRDefault="00E87995" w:rsidP="00226D56">
            <w:pPr>
              <w:pStyle w:val="TableTextBold"/>
              <w:spacing w:before="40" w:after="40"/>
              <w:jc w:val="right"/>
              <w:rPr>
                <w:noProof w:val="0"/>
                <w:color w:val="FFFFFF" w:themeColor="background1"/>
              </w:rPr>
            </w:pPr>
            <w:r w:rsidRPr="009E06AA">
              <w:rPr>
                <w:noProof w:val="0"/>
                <w:color w:val="FFFFFF" w:themeColor="background1"/>
              </w:rPr>
              <w:t>Value</w:t>
            </w:r>
          </w:p>
        </w:tc>
        <w:tc>
          <w:tcPr>
            <w:tcW w:w="1701" w:type="dxa"/>
            <w:shd w:val="clear" w:color="auto" w:fill="1B556B"/>
            <w:tcMar>
              <w:top w:w="0" w:type="dxa"/>
              <w:left w:w="85" w:type="dxa"/>
              <w:bottom w:w="0" w:type="dxa"/>
              <w:right w:w="85" w:type="dxa"/>
            </w:tcMar>
          </w:tcPr>
          <w:p w14:paraId="43C14BB5" w14:textId="77777777" w:rsidR="00E87995" w:rsidRPr="009E06AA" w:rsidRDefault="00E87995" w:rsidP="00B55F24">
            <w:pPr>
              <w:pStyle w:val="TableTextBold"/>
              <w:spacing w:before="40" w:after="40"/>
              <w:rPr>
                <w:noProof w:val="0"/>
                <w:color w:val="FFFFFF" w:themeColor="background1"/>
              </w:rPr>
            </w:pPr>
            <w:r w:rsidRPr="009E06AA">
              <w:rPr>
                <w:noProof w:val="0"/>
                <w:color w:val="FFFFFF" w:themeColor="background1"/>
              </w:rPr>
              <w:t>Source</w:t>
            </w:r>
          </w:p>
        </w:tc>
        <w:tc>
          <w:tcPr>
            <w:tcW w:w="2126" w:type="dxa"/>
            <w:shd w:val="clear" w:color="auto" w:fill="1B556B"/>
            <w:tcMar>
              <w:top w:w="0" w:type="dxa"/>
              <w:left w:w="85" w:type="dxa"/>
              <w:bottom w:w="0" w:type="dxa"/>
              <w:right w:w="85" w:type="dxa"/>
            </w:tcMar>
          </w:tcPr>
          <w:p w14:paraId="69824674" w14:textId="77777777" w:rsidR="00E87995" w:rsidRPr="009E06AA" w:rsidRDefault="00E87995" w:rsidP="00B55F24">
            <w:pPr>
              <w:pStyle w:val="TableTextBold"/>
              <w:spacing w:before="40" w:after="40"/>
              <w:rPr>
                <w:noProof w:val="0"/>
                <w:color w:val="FFFFFF" w:themeColor="background1"/>
              </w:rPr>
            </w:pPr>
            <w:r w:rsidRPr="009E06AA">
              <w:rPr>
                <w:noProof w:val="0"/>
                <w:color w:val="FFFFFF" w:themeColor="background1"/>
              </w:rPr>
              <w:t>Reference</w:t>
            </w:r>
          </w:p>
        </w:tc>
      </w:tr>
      <w:tr w:rsidR="00E87995" w:rsidRPr="009E06AA" w14:paraId="407CEBAA" w14:textId="77777777" w:rsidTr="00B55F24">
        <w:tc>
          <w:tcPr>
            <w:tcW w:w="2410" w:type="dxa"/>
            <w:shd w:val="clear" w:color="auto" w:fill="FFFFFF"/>
            <w:tcMar>
              <w:top w:w="0" w:type="dxa"/>
              <w:left w:w="85" w:type="dxa"/>
              <w:bottom w:w="0" w:type="dxa"/>
              <w:right w:w="85" w:type="dxa"/>
            </w:tcMar>
          </w:tcPr>
          <w:p w14:paraId="3325B9FE" w14:textId="77777777" w:rsidR="00E87995" w:rsidRPr="009E06AA" w:rsidRDefault="00E87995" w:rsidP="00B55F24">
            <w:pPr>
              <w:pStyle w:val="TableText"/>
              <w:spacing w:before="40" w:after="40"/>
            </w:pPr>
            <w:r w:rsidRPr="009E06AA">
              <w:rPr>
                <w:color w:val="000000"/>
              </w:rPr>
              <w:t>Degradable organic component (kg COD/tonne of product)</w:t>
            </w:r>
          </w:p>
        </w:tc>
        <w:tc>
          <w:tcPr>
            <w:tcW w:w="2268" w:type="dxa"/>
            <w:shd w:val="clear" w:color="auto" w:fill="FFFFFF"/>
            <w:tcMar>
              <w:top w:w="0" w:type="dxa"/>
              <w:left w:w="85" w:type="dxa"/>
              <w:bottom w:w="0" w:type="dxa"/>
              <w:right w:w="85" w:type="dxa"/>
            </w:tcMar>
          </w:tcPr>
          <w:p w14:paraId="495D0C15" w14:textId="77777777" w:rsidR="00E87995" w:rsidRPr="009E06AA" w:rsidRDefault="00E87995" w:rsidP="00E770EF">
            <w:pPr>
              <w:pStyle w:val="TableText"/>
              <w:spacing w:before="40" w:after="40"/>
              <w:jc w:val="right"/>
            </w:pPr>
            <w:r w:rsidRPr="009E06AA">
              <w:rPr>
                <w:color w:val="000000"/>
              </w:rPr>
              <w:t>50</w:t>
            </w:r>
          </w:p>
        </w:tc>
        <w:tc>
          <w:tcPr>
            <w:tcW w:w="1701" w:type="dxa"/>
            <w:shd w:val="clear" w:color="auto" w:fill="FFFFFF"/>
            <w:tcMar>
              <w:top w:w="0" w:type="dxa"/>
              <w:left w:w="85" w:type="dxa"/>
              <w:bottom w:w="0" w:type="dxa"/>
              <w:right w:w="85" w:type="dxa"/>
            </w:tcMar>
          </w:tcPr>
          <w:p w14:paraId="11A54E0F" w14:textId="77777777" w:rsidR="00E87995" w:rsidRPr="009E06AA" w:rsidRDefault="00E87995" w:rsidP="00B55F24">
            <w:pPr>
              <w:pStyle w:val="TableText"/>
              <w:spacing w:before="40" w:after="40"/>
            </w:pPr>
            <w:r w:rsidRPr="009E06AA" w:rsidDel="00747A34">
              <w:rPr>
                <w:color w:val="000000"/>
              </w:rPr>
              <w:t>New Zealand</w:t>
            </w:r>
            <w:r w:rsidRPr="009E06AA">
              <w:rPr>
                <w:color w:val="000000"/>
              </w:rPr>
              <w:t xml:space="preserve"> specific</w:t>
            </w:r>
          </w:p>
        </w:tc>
        <w:tc>
          <w:tcPr>
            <w:tcW w:w="2126" w:type="dxa"/>
            <w:shd w:val="clear" w:color="auto" w:fill="FFFFFF"/>
            <w:tcMar>
              <w:top w:w="0" w:type="dxa"/>
              <w:left w:w="85" w:type="dxa"/>
              <w:bottom w:w="0" w:type="dxa"/>
              <w:right w:w="85" w:type="dxa"/>
            </w:tcMar>
          </w:tcPr>
          <w:p w14:paraId="0DB0536B" w14:textId="77777777" w:rsidR="00E87995" w:rsidRPr="009E06AA" w:rsidRDefault="00E87995" w:rsidP="00B55F24">
            <w:pPr>
              <w:pStyle w:val="TableText"/>
              <w:spacing w:before="40" w:after="40"/>
            </w:pPr>
            <w:r w:rsidRPr="009E06AA">
              <w:rPr>
                <w:color w:val="000000"/>
              </w:rPr>
              <w:t>SCS Wetherill Environmental (unpublished)</w:t>
            </w:r>
          </w:p>
        </w:tc>
      </w:tr>
      <w:tr w:rsidR="00E87995" w:rsidRPr="009E06AA" w14:paraId="4BC4CD04" w14:textId="77777777" w:rsidTr="00B55F24">
        <w:tc>
          <w:tcPr>
            <w:tcW w:w="2410" w:type="dxa"/>
            <w:shd w:val="clear" w:color="auto" w:fill="FFFFFF"/>
            <w:tcMar>
              <w:top w:w="0" w:type="dxa"/>
              <w:left w:w="85" w:type="dxa"/>
              <w:bottom w:w="0" w:type="dxa"/>
              <w:right w:w="85" w:type="dxa"/>
            </w:tcMar>
          </w:tcPr>
          <w:p w14:paraId="1369B0A7" w14:textId="77777777" w:rsidR="00E87995" w:rsidRPr="009E06AA" w:rsidRDefault="00E87995" w:rsidP="00B55F24">
            <w:pPr>
              <w:pStyle w:val="TableText"/>
              <w:spacing w:before="40" w:after="40"/>
            </w:pPr>
            <w:r w:rsidRPr="009E06AA">
              <w:rPr>
                <w:color w:val="000000"/>
              </w:rPr>
              <w:t>Methane correction factor</w:t>
            </w:r>
          </w:p>
        </w:tc>
        <w:tc>
          <w:tcPr>
            <w:tcW w:w="2268" w:type="dxa"/>
            <w:shd w:val="clear" w:color="auto" w:fill="FFFFFF"/>
            <w:tcMar>
              <w:top w:w="0" w:type="dxa"/>
              <w:left w:w="85" w:type="dxa"/>
              <w:bottom w:w="0" w:type="dxa"/>
              <w:right w:w="85" w:type="dxa"/>
            </w:tcMar>
          </w:tcPr>
          <w:p w14:paraId="58AAAC9D" w14:textId="77777777" w:rsidR="00E87995" w:rsidRPr="009E06AA" w:rsidRDefault="00E87995" w:rsidP="00E770EF">
            <w:pPr>
              <w:pStyle w:val="TableText"/>
              <w:spacing w:before="40" w:after="40"/>
              <w:jc w:val="right"/>
            </w:pPr>
            <w:r w:rsidRPr="009E06AA">
              <w:rPr>
                <w:color w:val="000000"/>
              </w:rPr>
              <w:t>Range of 0–0.55</w:t>
            </w:r>
          </w:p>
        </w:tc>
        <w:tc>
          <w:tcPr>
            <w:tcW w:w="1701" w:type="dxa"/>
            <w:shd w:val="clear" w:color="auto" w:fill="FFFFFF"/>
            <w:tcMar>
              <w:top w:w="0" w:type="dxa"/>
              <w:left w:w="85" w:type="dxa"/>
              <w:bottom w:w="0" w:type="dxa"/>
              <w:right w:w="85" w:type="dxa"/>
            </w:tcMar>
          </w:tcPr>
          <w:p w14:paraId="26ACFAD9" w14:textId="77777777" w:rsidR="00E87995" w:rsidRPr="009E06AA" w:rsidRDefault="00E87995" w:rsidP="00B55F24">
            <w:pPr>
              <w:pStyle w:val="TableText"/>
              <w:spacing w:before="40" w:after="40"/>
            </w:pPr>
            <w:r w:rsidRPr="009E06AA" w:rsidDel="00633EF5">
              <w:rPr>
                <w:color w:val="000000"/>
              </w:rPr>
              <w:t>New Zealand</w:t>
            </w:r>
            <w:r w:rsidRPr="009E06AA">
              <w:rPr>
                <w:color w:val="000000"/>
              </w:rPr>
              <w:t xml:space="preserve"> specific</w:t>
            </w:r>
          </w:p>
        </w:tc>
        <w:tc>
          <w:tcPr>
            <w:tcW w:w="2126" w:type="dxa"/>
            <w:shd w:val="clear" w:color="auto" w:fill="FFFFFF"/>
            <w:tcMar>
              <w:top w:w="0" w:type="dxa"/>
              <w:left w:w="85" w:type="dxa"/>
              <w:bottom w:w="0" w:type="dxa"/>
              <w:right w:w="85" w:type="dxa"/>
            </w:tcMar>
          </w:tcPr>
          <w:p w14:paraId="55201B51" w14:textId="77777777" w:rsidR="00E87995" w:rsidRPr="009E06AA" w:rsidRDefault="00E87995" w:rsidP="00B55F24">
            <w:pPr>
              <w:pStyle w:val="TableText"/>
              <w:spacing w:before="40" w:after="40"/>
            </w:pPr>
            <w:r w:rsidRPr="009E06AA">
              <w:rPr>
                <w:color w:val="000000"/>
              </w:rPr>
              <w:t>SCS Wetherill Environmental (unpublished)</w:t>
            </w:r>
          </w:p>
        </w:tc>
      </w:tr>
      <w:tr w:rsidR="00E87995" w:rsidRPr="009E06AA" w14:paraId="76C59D05" w14:textId="77777777" w:rsidTr="00B55F24">
        <w:tc>
          <w:tcPr>
            <w:tcW w:w="2410" w:type="dxa"/>
            <w:shd w:val="clear" w:color="auto" w:fill="FFFFFF"/>
            <w:tcMar>
              <w:top w:w="0" w:type="dxa"/>
              <w:left w:w="85" w:type="dxa"/>
              <w:bottom w:w="0" w:type="dxa"/>
              <w:right w:w="85" w:type="dxa"/>
            </w:tcMar>
          </w:tcPr>
          <w:p w14:paraId="57F9DD15" w14:textId="77777777" w:rsidR="00E87995" w:rsidRPr="009E06AA" w:rsidRDefault="00E87995" w:rsidP="00B55F24">
            <w:pPr>
              <w:pStyle w:val="TableText"/>
              <w:spacing w:before="40" w:after="40"/>
            </w:pPr>
            <w:r w:rsidRPr="009E06AA">
              <w:rPr>
                <w:color w:val="000000"/>
              </w:rPr>
              <w:t>Maximum methane-producing capacity (kg CH₄/kg COD)</w:t>
            </w:r>
          </w:p>
        </w:tc>
        <w:tc>
          <w:tcPr>
            <w:tcW w:w="2268" w:type="dxa"/>
            <w:shd w:val="clear" w:color="auto" w:fill="FFFFFF"/>
            <w:tcMar>
              <w:top w:w="0" w:type="dxa"/>
              <w:left w:w="85" w:type="dxa"/>
              <w:bottom w:w="0" w:type="dxa"/>
              <w:right w:w="85" w:type="dxa"/>
            </w:tcMar>
          </w:tcPr>
          <w:p w14:paraId="27A3452C" w14:textId="77777777" w:rsidR="00E87995" w:rsidRPr="009E06AA" w:rsidRDefault="00E87995" w:rsidP="00E770EF">
            <w:pPr>
              <w:pStyle w:val="TableText"/>
              <w:spacing w:before="40" w:after="40"/>
              <w:jc w:val="right"/>
            </w:pPr>
            <w:r w:rsidRPr="009E06AA">
              <w:rPr>
                <w:color w:val="000000"/>
              </w:rPr>
              <w:t>0.25</w:t>
            </w:r>
          </w:p>
        </w:tc>
        <w:tc>
          <w:tcPr>
            <w:tcW w:w="1701" w:type="dxa"/>
            <w:shd w:val="clear" w:color="auto" w:fill="FFFFFF"/>
            <w:tcMar>
              <w:top w:w="0" w:type="dxa"/>
              <w:left w:w="85" w:type="dxa"/>
              <w:bottom w:w="0" w:type="dxa"/>
              <w:right w:w="85" w:type="dxa"/>
            </w:tcMar>
          </w:tcPr>
          <w:p w14:paraId="3DA17AF5" w14:textId="77777777" w:rsidR="00E87995" w:rsidRPr="009E06AA" w:rsidRDefault="00E87995" w:rsidP="00B55F24">
            <w:pPr>
              <w:pStyle w:val="TableText"/>
              <w:spacing w:before="40" w:after="40"/>
            </w:pPr>
            <w:r w:rsidRPr="009E06AA">
              <w:rPr>
                <w:color w:val="000000"/>
              </w:rPr>
              <w:t>IPCC default</w:t>
            </w:r>
          </w:p>
        </w:tc>
        <w:tc>
          <w:tcPr>
            <w:tcW w:w="2126" w:type="dxa"/>
            <w:shd w:val="clear" w:color="auto" w:fill="FFFFFF"/>
            <w:tcMar>
              <w:top w:w="0" w:type="dxa"/>
              <w:left w:w="85" w:type="dxa"/>
              <w:bottom w:w="0" w:type="dxa"/>
              <w:right w:w="85" w:type="dxa"/>
            </w:tcMar>
          </w:tcPr>
          <w:p w14:paraId="76F6D7E6" w14:textId="77777777" w:rsidR="00E87995" w:rsidRPr="009E06AA" w:rsidRDefault="00E87995" w:rsidP="00B55F24">
            <w:pPr>
              <w:pStyle w:val="TableText"/>
              <w:spacing w:before="40" w:after="40"/>
            </w:pPr>
            <w:r w:rsidRPr="009E06AA">
              <w:rPr>
                <w:color w:val="000000"/>
              </w:rPr>
              <w:t>IPCC (2006a)</w:t>
            </w:r>
          </w:p>
        </w:tc>
      </w:tr>
      <w:tr w:rsidR="00E87995" w:rsidRPr="009E06AA" w14:paraId="2DED68FE" w14:textId="77777777" w:rsidTr="00B55F24">
        <w:tc>
          <w:tcPr>
            <w:tcW w:w="2410" w:type="dxa"/>
            <w:shd w:val="clear" w:color="auto" w:fill="FFFFFF"/>
            <w:tcMar>
              <w:top w:w="0" w:type="dxa"/>
              <w:left w:w="85" w:type="dxa"/>
              <w:bottom w:w="0" w:type="dxa"/>
              <w:right w:w="85" w:type="dxa"/>
            </w:tcMar>
          </w:tcPr>
          <w:p w14:paraId="1625BC6F" w14:textId="77777777" w:rsidR="00E87995" w:rsidRPr="009E06AA" w:rsidRDefault="00E87995" w:rsidP="00B55F24">
            <w:pPr>
              <w:pStyle w:val="TableText"/>
              <w:spacing w:before="40" w:after="40"/>
            </w:pPr>
            <w:r w:rsidRPr="009E06AA">
              <w:rPr>
                <w:color w:val="000000"/>
              </w:rPr>
              <w:t>Overall emission factor</w:t>
            </w:r>
          </w:p>
        </w:tc>
        <w:tc>
          <w:tcPr>
            <w:tcW w:w="2268" w:type="dxa"/>
            <w:shd w:val="clear" w:color="auto" w:fill="FFFFFF"/>
            <w:tcMar>
              <w:top w:w="0" w:type="dxa"/>
              <w:left w:w="85" w:type="dxa"/>
              <w:bottom w:w="0" w:type="dxa"/>
              <w:right w:w="85" w:type="dxa"/>
            </w:tcMar>
          </w:tcPr>
          <w:p w14:paraId="40BAAC4A" w14:textId="77777777" w:rsidR="00E87995" w:rsidRPr="009E06AA" w:rsidRDefault="00E87995" w:rsidP="00E770EF">
            <w:pPr>
              <w:pStyle w:val="TableText"/>
              <w:spacing w:before="40" w:after="40"/>
              <w:jc w:val="right"/>
            </w:pPr>
            <w:r w:rsidRPr="009E06AA">
              <w:rPr>
                <w:color w:val="000000"/>
              </w:rPr>
              <w:t xml:space="preserve">0.036 (meat excluding poultry) </w:t>
            </w:r>
            <w:r w:rsidRPr="009E06AA">
              <w:rPr>
                <w:color w:val="000000"/>
              </w:rPr>
              <w:br/>
              <w:t>0.0344 (poultry)</w:t>
            </w:r>
          </w:p>
        </w:tc>
        <w:tc>
          <w:tcPr>
            <w:tcW w:w="1701" w:type="dxa"/>
            <w:shd w:val="clear" w:color="auto" w:fill="FFFFFF"/>
            <w:tcMar>
              <w:top w:w="0" w:type="dxa"/>
              <w:left w:w="85" w:type="dxa"/>
              <w:bottom w:w="0" w:type="dxa"/>
              <w:right w:w="85" w:type="dxa"/>
            </w:tcMar>
          </w:tcPr>
          <w:p w14:paraId="5470750A" w14:textId="77777777" w:rsidR="00E87995" w:rsidRPr="009E06AA" w:rsidRDefault="00E87995" w:rsidP="00B55F24">
            <w:pPr>
              <w:pStyle w:val="TableText"/>
              <w:spacing w:before="40" w:after="40"/>
            </w:pPr>
            <w:r w:rsidRPr="009E06AA" w:rsidDel="00633EF5">
              <w:rPr>
                <w:color w:val="000000"/>
              </w:rPr>
              <w:t>New Zealand</w:t>
            </w:r>
            <w:r w:rsidRPr="009E06AA">
              <w:rPr>
                <w:color w:val="000000"/>
              </w:rPr>
              <w:t xml:space="preserve"> specific</w:t>
            </w:r>
          </w:p>
        </w:tc>
        <w:tc>
          <w:tcPr>
            <w:tcW w:w="2126" w:type="dxa"/>
            <w:shd w:val="clear" w:color="auto" w:fill="FFFFFF"/>
            <w:tcMar>
              <w:top w:w="0" w:type="dxa"/>
              <w:left w:w="85" w:type="dxa"/>
              <w:bottom w:w="0" w:type="dxa"/>
              <w:right w:w="85" w:type="dxa"/>
            </w:tcMar>
          </w:tcPr>
          <w:p w14:paraId="7946D885" w14:textId="77777777" w:rsidR="00E87995" w:rsidRPr="009E06AA" w:rsidRDefault="00E87995" w:rsidP="00B55F24">
            <w:pPr>
              <w:pStyle w:val="TableText"/>
              <w:spacing w:before="40" w:after="40"/>
            </w:pPr>
            <w:r w:rsidRPr="009E06AA">
              <w:rPr>
                <w:color w:val="000000"/>
              </w:rPr>
              <w:t>Cardno (unpublished)</w:t>
            </w:r>
          </w:p>
        </w:tc>
      </w:tr>
    </w:tbl>
    <w:p w14:paraId="07E1A9B9" w14:textId="77777777" w:rsidR="00E87995" w:rsidRPr="009E06AA" w:rsidRDefault="00E87995" w:rsidP="00E87995">
      <w:pPr>
        <w:pStyle w:val="Noteundertable"/>
      </w:pPr>
      <w:r w:rsidRPr="009E06AA">
        <w:rPr>
          <w:b/>
          <w:bCs/>
        </w:rPr>
        <w:t>Note:</w:t>
      </w:r>
      <w:r w:rsidRPr="009E06AA">
        <w:tab/>
        <w:t>COD = chemical oxygen demand.</w:t>
      </w:r>
    </w:p>
    <w:p w14:paraId="7738E2B0" w14:textId="77777777" w:rsidR="00E87995" w:rsidRPr="009E06AA" w:rsidRDefault="00E87995" w:rsidP="00E87995">
      <w:pPr>
        <w:pStyle w:val="Heading6"/>
      </w:pPr>
      <w:bookmarkStart w:id="3043" w:name="recovery-2"/>
      <w:r w:rsidRPr="009E06AA">
        <w:t>Recovery</w:t>
      </w:r>
    </w:p>
    <w:p w14:paraId="5C5D7AE3" w14:textId="77777777" w:rsidR="00E87995" w:rsidRPr="009E06AA" w:rsidRDefault="00E87995" w:rsidP="00E87995">
      <w:pPr>
        <w:pStyle w:val="BodyText"/>
      </w:pPr>
      <w:r w:rsidRPr="009E06AA">
        <w:t>There is no recovery of emissions reported for this source.</w:t>
      </w:r>
    </w:p>
    <w:p w14:paraId="09404789" w14:textId="77777777" w:rsidR="00E87995" w:rsidRPr="009E06AA" w:rsidRDefault="00E87995" w:rsidP="00BF2A76">
      <w:pPr>
        <w:pStyle w:val="Heading5"/>
      </w:pPr>
      <w:bookmarkStart w:id="3044" w:name="Xb0f87ab327284949166e160373d79028699348d"/>
      <w:bookmarkEnd w:id="3037"/>
      <w:bookmarkEnd w:id="3043"/>
      <w:r w:rsidRPr="009E06AA">
        <w:t>Methane emissions from industrial wastewater treatment – Pulp and paper industry</w:t>
      </w:r>
    </w:p>
    <w:p w14:paraId="020509EC" w14:textId="77777777" w:rsidR="00E87995" w:rsidRPr="009E06AA" w:rsidRDefault="00E87995" w:rsidP="00E87995">
      <w:pPr>
        <w:pStyle w:val="BodyText"/>
      </w:pPr>
      <w:r w:rsidRPr="009E06AA">
        <w:t>Table 7.5.9 summarises the parameter values applied for estimating CH</w:t>
      </w:r>
      <w:r w:rsidRPr="009E06AA">
        <w:rPr>
          <w:vertAlign w:val="subscript"/>
        </w:rPr>
        <w:t>4</w:t>
      </w:r>
      <w:r w:rsidRPr="009E06AA">
        <w:t xml:space="preserve"> emissions from wastewater treatment by the pulp and paper industry.</w:t>
      </w:r>
    </w:p>
    <w:p w14:paraId="165A4A39" w14:textId="77777777" w:rsidR="00E87995" w:rsidRPr="009E06AA" w:rsidRDefault="00E87995" w:rsidP="00E87995">
      <w:pPr>
        <w:pStyle w:val="Table"/>
      </w:pPr>
      <w:bookmarkStart w:id="3045" w:name="_Toc128383687"/>
      <w:bookmarkStart w:id="3046" w:name="_Toc131591460"/>
      <w:bookmarkStart w:id="3047" w:name="_Toc160537339"/>
      <w:bookmarkStart w:id="3048" w:name="_Toc160537701"/>
      <w:bookmarkStart w:id="3049" w:name="_Toc164153951"/>
      <w:r w:rsidRPr="009E06AA">
        <w:t>Table 7.5.9</w:t>
      </w:r>
      <w:r w:rsidRPr="009E06AA">
        <w:tab/>
        <w:t xml:space="preserve">Parameter values applied by </w:t>
      </w:r>
      <w:r w:rsidRPr="009E06AA" w:rsidDel="00747A34">
        <w:t>New Zealand</w:t>
      </w:r>
      <w:r w:rsidRPr="009E06AA">
        <w:t xml:space="preserve"> for estimating methane emissions for wastewater treatment by the pulp and paper industry</w:t>
      </w:r>
      <w:bookmarkEnd w:id="3045"/>
      <w:bookmarkEnd w:id="3046"/>
      <w:bookmarkEnd w:id="3047"/>
      <w:bookmarkEnd w:id="3048"/>
      <w:bookmarkEnd w:id="3049"/>
    </w:p>
    <w:tbl>
      <w:tblPr>
        <w:tblW w:w="8505" w:type="dxa"/>
        <w:tblBorders>
          <w:top w:val="single" w:sz="4" w:space="0" w:color="1B556B" w:themeColor="text2"/>
          <w:bottom w:val="single" w:sz="4" w:space="0" w:color="1B556B" w:themeColor="text2"/>
          <w:insideH w:val="single" w:sz="4" w:space="0" w:color="1B556B" w:themeColor="text2"/>
        </w:tblBorders>
        <w:tblLook w:val="0420" w:firstRow="1" w:lastRow="0" w:firstColumn="0" w:lastColumn="0" w:noHBand="0" w:noVBand="1"/>
      </w:tblPr>
      <w:tblGrid>
        <w:gridCol w:w="3828"/>
        <w:gridCol w:w="1275"/>
        <w:gridCol w:w="1560"/>
        <w:gridCol w:w="1842"/>
      </w:tblGrid>
      <w:tr w:rsidR="00E87995" w:rsidRPr="009E06AA" w14:paraId="699BCA37" w14:textId="77777777" w:rsidTr="00B55F24">
        <w:trPr>
          <w:tblHeader/>
        </w:trPr>
        <w:tc>
          <w:tcPr>
            <w:tcW w:w="3828" w:type="dxa"/>
            <w:shd w:val="clear" w:color="auto" w:fill="1B556B"/>
            <w:tcMar>
              <w:top w:w="0" w:type="dxa"/>
              <w:left w:w="85" w:type="dxa"/>
              <w:bottom w:w="0" w:type="dxa"/>
              <w:right w:w="85" w:type="dxa"/>
            </w:tcMar>
          </w:tcPr>
          <w:p w14:paraId="20DE3BFC" w14:textId="77777777" w:rsidR="00E87995" w:rsidRPr="009E06AA" w:rsidRDefault="00E87995" w:rsidP="00B55F24">
            <w:pPr>
              <w:pStyle w:val="TableTextBold"/>
              <w:rPr>
                <w:noProof w:val="0"/>
                <w:color w:val="FFFFFF" w:themeColor="background1"/>
              </w:rPr>
            </w:pPr>
            <w:r w:rsidRPr="009E06AA">
              <w:rPr>
                <w:noProof w:val="0"/>
                <w:color w:val="FFFFFF" w:themeColor="background1"/>
              </w:rPr>
              <w:t>Parameter</w:t>
            </w:r>
          </w:p>
        </w:tc>
        <w:tc>
          <w:tcPr>
            <w:tcW w:w="1275" w:type="dxa"/>
            <w:shd w:val="clear" w:color="auto" w:fill="1B556B"/>
            <w:tcMar>
              <w:top w:w="0" w:type="dxa"/>
              <w:left w:w="85" w:type="dxa"/>
              <w:bottom w:w="0" w:type="dxa"/>
              <w:right w:w="85" w:type="dxa"/>
            </w:tcMar>
          </w:tcPr>
          <w:p w14:paraId="08B003C6" w14:textId="77777777" w:rsidR="00E87995" w:rsidRPr="009E06AA" w:rsidRDefault="00E87995" w:rsidP="00E770EF">
            <w:pPr>
              <w:pStyle w:val="TableTextBold"/>
              <w:jc w:val="right"/>
              <w:rPr>
                <w:noProof w:val="0"/>
                <w:color w:val="FFFFFF" w:themeColor="background1"/>
              </w:rPr>
            </w:pPr>
            <w:r w:rsidRPr="009E06AA">
              <w:rPr>
                <w:noProof w:val="0"/>
                <w:color w:val="FFFFFF" w:themeColor="background1"/>
              </w:rPr>
              <w:t>Value</w:t>
            </w:r>
          </w:p>
        </w:tc>
        <w:tc>
          <w:tcPr>
            <w:tcW w:w="1560" w:type="dxa"/>
            <w:shd w:val="clear" w:color="auto" w:fill="1B556B"/>
            <w:tcMar>
              <w:top w:w="0" w:type="dxa"/>
              <w:left w:w="85" w:type="dxa"/>
              <w:bottom w:w="0" w:type="dxa"/>
              <w:right w:w="85" w:type="dxa"/>
            </w:tcMar>
          </w:tcPr>
          <w:p w14:paraId="638D7282" w14:textId="77777777" w:rsidR="00E87995" w:rsidRPr="009E06AA" w:rsidRDefault="00E87995" w:rsidP="00B55F24">
            <w:pPr>
              <w:pStyle w:val="TableTextBold"/>
              <w:rPr>
                <w:noProof w:val="0"/>
                <w:color w:val="FFFFFF" w:themeColor="background1"/>
              </w:rPr>
            </w:pPr>
            <w:r w:rsidRPr="009E06AA">
              <w:rPr>
                <w:noProof w:val="0"/>
                <w:color w:val="FFFFFF" w:themeColor="background1"/>
              </w:rPr>
              <w:t>Source</w:t>
            </w:r>
          </w:p>
        </w:tc>
        <w:tc>
          <w:tcPr>
            <w:tcW w:w="1842" w:type="dxa"/>
            <w:shd w:val="clear" w:color="auto" w:fill="1B556B"/>
            <w:tcMar>
              <w:top w:w="0" w:type="dxa"/>
              <w:left w:w="85" w:type="dxa"/>
              <w:bottom w:w="0" w:type="dxa"/>
              <w:right w:w="85" w:type="dxa"/>
            </w:tcMar>
          </w:tcPr>
          <w:p w14:paraId="446ECC2E" w14:textId="77777777" w:rsidR="00E87995" w:rsidRPr="009E06AA" w:rsidRDefault="00E87995" w:rsidP="00B55F24">
            <w:pPr>
              <w:pStyle w:val="TableTextBold"/>
              <w:rPr>
                <w:noProof w:val="0"/>
                <w:color w:val="FFFFFF" w:themeColor="background1"/>
              </w:rPr>
            </w:pPr>
            <w:r w:rsidRPr="009E06AA">
              <w:rPr>
                <w:noProof w:val="0"/>
                <w:color w:val="FFFFFF" w:themeColor="background1"/>
              </w:rPr>
              <w:t>Reference</w:t>
            </w:r>
          </w:p>
        </w:tc>
      </w:tr>
      <w:tr w:rsidR="00E87995" w:rsidRPr="009E06AA" w14:paraId="48E5DBEF" w14:textId="77777777" w:rsidTr="00B55F24">
        <w:tc>
          <w:tcPr>
            <w:tcW w:w="3828" w:type="dxa"/>
            <w:shd w:val="clear" w:color="auto" w:fill="FFFFFF"/>
            <w:tcMar>
              <w:top w:w="0" w:type="dxa"/>
              <w:left w:w="85" w:type="dxa"/>
              <w:bottom w:w="0" w:type="dxa"/>
              <w:right w:w="85" w:type="dxa"/>
            </w:tcMar>
          </w:tcPr>
          <w:p w14:paraId="18A98117" w14:textId="77777777" w:rsidR="00E87995" w:rsidRPr="009E06AA" w:rsidRDefault="00E87995" w:rsidP="00B55F24">
            <w:pPr>
              <w:pStyle w:val="TableText"/>
            </w:pPr>
            <w:r w:rsidRPr="009E06AA">
              <w:rPr>
                <w:color w:val="000000"/>
              </w:rPr>
              <w:t>Degradable organic component (kg COD/tonne of product)</w:t>
            </w:r>
          </w:p>
        </w:tc>
        <w:tc>
          <w:tcPr>
            <w:tcW w:w="1275" w:type="dxa"/>
            <w:shd w:val="clear" w:color="auto" w:fill="FFFFFF"/>
            <w:tcMar>
              <w:top w:w="0" w:type="dxa"/>
              <w:left w:w="85" w:type="dxa"/>
              <w:bottom w:w="0" w:type="dxa"/>
              <w:right w:w="85" w:type="dxa"/>
            </w:tcMar>
          </w:tcPr>
          <w:p w14:paraId="39CA126B" w14:textId="77777777" w:rsidR="00E87995" w:rsidRPr="009E06AA" w:rsidRDefault="00E87995" w:rsidP="00E770EF">
            <w:pPr>
              <w:pStyle w:val="TableText"/>
              <w:jc w:val="right"/>
            </w:pPr>
            <w:r w:rsidRPr="009E06AA">
              <w:rPr>
                <w:color w:val="000000"/>
              </w:rPr>
              <w:t>36</w:t>
            </w:r>
          </w:p>
        </w:tc>
        <w:tc>
          <w:tcPr>
            <w:tcW w:w="1560" w:type="dxa"/>
            <w:shd w:val="clear" w:color="auto" w:fill="FFFFFF"/>
            <w:tcMar>
              <w:top w:w="0" w:type="dxa"/>
              <w:left w:w="85" w:type="dxa"/>
              <w:bottom w:w="0" w:type="dxa"/>
              <w:right w:w="85" w:type="dxa"/>
            </w:tcMar>
          </w:tcPr>
          <w:p w14:paraId="18315C27" w14:textId="77777777" w:rsidR="00E87995" w:rsidRPr="009E06AA" w:rsidRDefault="00E87995" w:rsidP="00B55F24">
            <w:pPr>
              <w:pStyle w:val="TableText"/>
            </w:pPr>
            <w:r w:rsidRPr="009E06AA" w:rsidDel="00747A34">
              <w:rPr>
                <w:color w:val="000000"/>
              </w:rPr>
              <w:t>New Zealand</w:t>
            </w:r>
            <w:r w:rsidRPr="009E06AA">
              <w:rPr>
                <w:color w:val="000000"/>
              </w:rPr>
              <w:t xml:space="preserve"> specific</w:t>
            </w:r>
          </w:p>
        </w:tc>
        <w:tc>
          <w:tcPr>
            <w:tcW w:w="1842" w:type="dxa"/>
            <w:shd w:val="clear" w:color="auto" w:fill="FFFFFF"/>
            <w:tcMar>
              <w:top w:w="0" w:type="dxa"/>
              <w:left w:w="85" w:type="dxa"/>
              <w:bottom w:w="0" w:type="dxa"/>
              <w:right w:w="85" w:type="dxa"/>
            </w:tcMar>
          </w:tcPr>
          <w:p w14:paraId="38A9105F" w14:textId="77777777" w:rsidR="00E87995" w:rsidRPr="009E06AA" w:rsidRDefault="00E87995" w:rsidP="00B55F24">
            <w:pPr>
              <w:pStyle w:val="TableText"/>
            </w:pPr>
            <w:r w:rsidRPr="009E06AA">
              <w:rPr>
                <w:color w:val="000000"/>
              </w:rPr>
              <w:t>Beca Infrastructure Ltd (unpublished)</w:t>
            </w:r>
          </w:p>
        </w:tc>
      </w:tr>
      <w:tr w:rsidR="00E87995" w:rsidRPr="009E06AA" w14:paraId="4B01FA54" w14:textId="77777777" w:rsidTr="00B55F24">
        <w:tc>
          <w:tcPr>
            <w:tcW w:w="3828" w:type="dxa"/>
            <w:shd w:val="clear" w:color="auto" w:fill="FFFFFF"/>
            <w:tcMar>
              <w:top w:w="0" w:type="dxa"/>
              <w:left w:w="85" w:type="dxa"/>
              <w:bottom w:w="0" w:type="dxa"/>
              <w:right w:w="85" w:type="dxa"/>
            </w:tcMar>
          </w:tcPr>
          <w:p w14:paraId="35334E58" w14:textId="77777777" w:rsidR="00E87995" w:rsidRPr="009E06AA" w:rsidRDefault="00E87995" w:rsidP="00B55F24">
            <w:pPr>
              <w:pStyle w:val="TableText"/>
            </w:pPr>
            <w:r w:rsidRPr="009E06AA">
              <w:rPr>
                <w:color w:val="000000"/>
              </w:rPr>
              <w:t>Methane correction factor</w:t>
            </w:r>
          </w:p>
        </w:tc>
        <w:tc>
          <w:tcPr>
            <w:tcW w:w="1275" w:type="dxa"/>
            <w:shd w:val="clear" w:color="auto" w:fill="FFFFFF"/>
            <w:tcMar>
              <w:top w:w="0" w:type="dxa"/>
              <w:left w:w="85" w:type="dxa"/>
              <w:bottom w:w="0" w:type="dxa"/>
              <w:right w:w="85" w:type="dxa"/>
            </w:tcMar>
          </w:tcPr>
          <w:p w14:paraId="0C515CBD" w14:textId="77777777" w:rsidR="00E87995" w:rsidRPr="009E06AA" w:rsidRDefault="00E87995" w:rsidP="00E770EF">
            <w:pPr>
              <w:pStyle w:val="TableText"/>
              <w:jc w:val="right"/>
            </w:pPr>
            <w:r w:rsidRPr="009E06AA">
              <w:rPr>
                <w:color w:val="000000"/>
              </w:rPr>
              <w:t>Range of 0–0.8</w:t>
            </w:r>
          </w:p>
        </w:tc>
        <w:tc>
          <w:tcPr>
            <w:tcW w:w="1560" w:type="dxa"/>
            <w:shd w:val="clear" w:color="auto" w:fill="FFFFFF"/>
            <w:tcMar>
              <w:top w:w="0" w:type="dxa"/>
              <w:left w:w="85" w:type="dxa"/>
              <w:bottom w:w="0" w:type="dxa"/>
              <w:right w:w="85" w:type="dxa"/>
            </w:tcMar>
          </w:tcPr>
          <w:p w14:paraId="285F7F2D" w14:textId="77777777" w:rsidR="00E87995" w:rsidRPr="009E06AA" w:rsidRDefault="00E87995" w:rsidP="00B55F24">
            <w:pPr>
              <w:pStyle w:val="TableText"/>
            </w:pPr>
            <w:r w:rsidRPr="009E06AA" w:rsidDel="000E087B">
              <w:rPr>
                <w:color w:val="000000"/>
              </w:rPr>
              <w:t>New Zealand</w:t>
            </w:r>
            <w:r w:rsidRPr="009E06AA">
              <w:rPr>
                <w:color w:val="000000"/>
              </w:rPr>
              <w:t xml:space="preserve"> specific</w:t>
            </w:r>
          </w:p>
        </w:tc>
        <w:tc>
          <w:tcPr>
            <w:tcW w:w="1842" w:type="dxa"/>
            <w:shd w:val="clear" w:color="auto" w:fill="FFFFFF"/>
            <w:tcMar>
              <w:top w:w="0" w:type="dxa"/>
              <w:left w:w="85" w:type="dxa"/>
              <w:bottom w:w="0" w:type="dxa"/>
              <w:right w:w="85" w:type="dxa"/>
            </w:tcMar>
          </w:tcPr>
          <w:p w14:paraId="729EA3E2" w14:textId="77777777" w:rsidR="00E87995" w:rsidRPr="009E06AA" w:rsidRDefault="00E87995" w:rsidP="00B55F24">
            <w:pPr>
              <w:pStyle w:val="TableText"/>
            </w:pPr>
            <w:r w:rsidRPr="009E06AA">
              <w:rPr>
                <w:color w:val="000000"/>
              </w:rPr>
              <w:t>Beca Infrastructure Ltd (unpublished)</w:t>
            </w:r>
          </w:p>
        </w:tc>
      </w:tr>
      <w:tr w:rsidR="00E87995" w:rsidRPr="009E06AA" w14:paraId="55C5B744" w14:textId="77777777" w:rsidTr="00B55F24">
        <w:tc>
          <w:tcPr>
            <w:tcW w:w="3828" w:type="dxa"/>
            <w:shd w:val="clear" w:color="auto" w:fill="FFFFFF"/>
            <w:tcMar>
              <w:top w:w="0" w:type="dxa"/>
              <w:left w:w="85" w:type="dxa"/>
              <w:bottom w:w="0" w:type="dxa"/>
              <w:right w:w="85" w:type="dxa"/>
            </w:tcMar>
          </w:tcPr>
          <w:p w14:paraId="25ED51A4" w14:textId="77777777" w:rsidR="00E87995" w:rsidRPr="009E06AA" w:rsidRDefault="00E87995" w:rsidP="00B55F24">
            <w:pPr>
              <w:pStyle w:val="TableText"/>
            </w:pPr>
            <w:r w:rsidRPr="009E06AA">
              <w:rPr>
                <w:color w:val="000000"/>
              </w:rPr>
              <w:t>Maximum methane-producing capacity (kg CH₄/kg COD)</w:t>
            </w:r>
          </w:p>
        </w:tc>
        <w:tc>
          <w:tcPr>
            <w:tcW w:w="1275" w:type="dxa"/>
            <w:shd w:val="clear" w:color="auto" w:fill="FFFFFF"/>
            <w:tcMar>
              <w:top w:w="0" w:type="dxa"/>
              <w:left w:w="85" w:type="dxa"/>
              <w:bottom w:w="0" w:type="dxa"/>
              <w:right w:w="85" w:type="dxa"/>
            </w:tcMar>
          </w:tcPr>
          <w:p w14:paraId="1C61D45A" w14:textId="77777777" w:rsidR="00E87995" w:rsidRPr="009E06AA" w:rsidRDefault="00E87995" w:rsidP="00E770EF">
            <w:pPr>
              <w:pStyle w:val="TableText"/>
              <w:jc w:val="right"/>
            </w:pPr>
            <w:r w:rsidRPr="009E06AA">
              <w:rPr>
                <w:color w:val="000000"/>
              </w:rPr>
              <w:t>0.25</w:t>
            </w:r>
          </w:p>
        </w:tc>
        <w:tc>
          <w:tcPr>
            <w:tcW w:w="1560" w:type="dxa"/>
            <w:shd w:val="clear" w:color="auto" w:fill="FFFFFF"/>
            <w:tcMar>
              <w:top w:w="0" w:type="dxa"/>
              <w:left w:w="85" w:type="dxa"/>
              <w:bottom w:w="0" w:type="dxa"/>
              <w:right w:w="85" w:type="dxa"/>
            </w:tcMar>
          </w:tcPr>
          <w:p w14:paraId="701C3704" w14:textId="77777777" w:rsidR="00E87995" w:rsidRPr="009E06AA" w:rsidRDefault="00E87995" w:rsidP="00B55F24">
            <w:pPr>
              <w:pStyle w:val="TableText"/>
            </w:pPr>
            <w:r w:rsidRPr="009E06AA">
              <w:rPr>
                <w:color w:val="000000"/>
              </w:rPr>
              <w:t>IPCC default</w:t>
            </w:r>
          </w:p>
        </w:tc>
        <w:tc>
          <w:tcPr>
            <w:tcW w:w="1842" w:type="dxa"/>
            <w:shd w:val="clear" w:color="auto" w:fill="FFFFFF"/>
            <w:tcMar>
              <w:top w:w="0" w:type="dxa"/>
              <w:left w:w="85" w:type="dxa"/>
              <w:bottom w:w="0" w:type="dxa"/>
              <w:right w:w="85" w:type="dxa"/>
            </w:tcMar>
          </w:tcPr>
          <w:p w14:paraId="057788BF" w14:textId="77777777" w:rsidR="00E87995" w:rsidRPr="009E06AA" w:rsidRDefault="00E87995" w:rsidP="00B55F24">
            <w:pPr>
              <w:pStyle w:val="TableText"/>
            </w:pPr>
            <w:r w:rsidRPr="009E06AA">
              <w:rPr>
                <w:color w:val="000000"/>
              </w:rPr>
              <w:t>IPCC (2006a)</w:t>
            </w:r>
          </w:p>
        </w:tc>
      </w:tr>
      <w:tr w:rsidR="00E87995" w:rsidRPr="009E06AA" w14:paraId="06ADB419" w14:textId="77777777" w:rsidTr="00B55F24">
        <w:tc>
          <w:tcPr>
            <w:tcW w:w="3828" w:type="dxa"/>
            <w:shd w:val="clear" w:color="auto" w:fill="FFFFFF"/>
            <w:tcMar>
              <w:top w:w="0" w:type="dxa"/>
              <w:left w:w="85" w:type="dxa"/>
              <w:bottom w:w="0" w:type="dxa"/>
              <w:right w:w="85" w:type="dxa"/>
            </w:tcMar>
          </w:tcPr>
          <w:p w14:paraId="1D14882B" w14:textId="77777777" w:rsidR="00E87995" w:rsidRPr="009E06AA" w:rsidRDefault="00E87995" w:rsidP="00B55F24">
            <w:pPr>
              <w:pStyle w:val="TableText"/>
            </w:pPr>
            <w:r w:rsidRPr="009E06AA">
              <w:rPr>
                <w:color w:val="000000"/>
              </w:rPr>
              <w:t>Overall emission factor</w:t>
            </w:r>
          </w:p>
        </w:tc>
        <w:tc>
          <w:tcPr>
            <w:tcW w:w="1275" w:type="dxa"/>
            <w:shd w:val="clear" w:color="auto" w:fill="FFFFFF"/>
            <w:tcMar>
              <w:top w:w="0" w:type="dxa"/>
              <w:left w:w="85" w:type="dxa"/>
              <w:bottom w:w="0" w:type="dxa"/>
              <w:right w:w="85" w:type="dxa"/>
            </w:tcMar>
          </w:tcPr>
          <w:p w14:paraId="37B892A4" w14:textId="77777777" w:rsidR="00E87995" w:rsidRPr="009E06AA" w:rsidRDefault="00E87995" w:rsidP="00E770EF">
            <w:pPr>
              <w:pStyle w:val="TableText"/>
              <w:jc w:val="right"/>
            </w:pPr>
            <w:r w:rsidRPr="009E06AA">
              <w:rPr>
                <w:color w:val="000000"/>
              </w:rPr>
              <w:t>0.0117</w:t>
            </w:r>
          </w:p>
        </w:tc>
        <w:tc>
          <w:tcPr>
            <w:tcW w:w="1560" w:type="dxa"/>
            <w:shd w:val="clear" w:color="auto" w:fill="FFFFFF"/>
            <w:tcMar>
              <w:top w:w="0" w:type="dxa"/>
              <w:left w:w="85" w:type="dxa"/>
              <w:bottom w:w="0" w:type="dxa"/>
              <w:right w:w="85" w:type="dxa"/>
            </w:tcMar>
          </w:tcPr>
          <w:p w14:paraId="3EDE802F" w14:textId="77777777" w:rsidR="00E87995" w:rsidRPr="009E06AA" w:rsidRDefault="00E87995" w:rsidP="00B55F24">
            <w:pPr>
              <w:pStyle w:val="TableText"/>
            </w:pPr>
            <w:r w:rsidRPr="009E06AA" w:rsidDel="000E087B">
              <w:rPr>
                <w:color w:val="000000"/>
              </w:rPr>
              <w:t>New Zealand</w:t>
            </w:r>
            <w:r w:rsidRPr="009E06AA">
              <w:rPr>
                <w:color w:val="000000"/>
              </w:rPr>
              <w:t xml:space="preserve"> specific</w:t>
            </w:r>
          </w:p>
        </w:tc>
        <w:tc>
          <w:tcPr>
            <w:tcW w:w="1842" w:type="dxa"/>
            <w:shd w:val="clear" w:color="auto" w:fill="FFFFFF"/>
            <w:tcMar>
              <w:top w:w="0" w:type="dxa"/>
              <w:left w:w="85" w:type="dxa"/>
              <w:bottom w:w="0" w:type="dxa"/>
              <w:right w:w="85" w:type="dxa"/>
            </w:tcMar>
          </w:tcPr>
          <w:p w14:paraId="78E86669" w14:textId="77777777" w:rsidR="00E87995" w:rsidRPr="009E06AA" w:rsidRDefault="00E87995" w:rsidP="00B55F24">
            <w:pPr>
              <w:pStyle w:val="TableText"/>
            </w:pPr>
            <w:r w:rsidRPr="009E06AA">
              <w:rPr>
                <w:color w:val="000000"/>
              </w:rPr>
              <w:t>Cardno (unpublished)</w:t>
            </w:r>
          </w:p>
        </w:tc>
      </w:tr>
    </w:tbl>
    <w:p w14:paraId="50E2D090" w14:textId="77777777" w:rsidR="00E87995" w:rsidRPr="009E06AA" w:rsidRDefault="00E87995" w:rsidP="00E87995">
      <w:pPr>
        <w:pStyle w:val="Noteundertable"/>
      </w:pPr>
      <w:r w:rsidRPr="009E06AA">
        <w:rPr>
          <w:b/>
          <w:bCs/>
        </w:rPr>
        <w:t>Note:</w:t>
      </w:r>
      <w:r w:rsidRPr="009E06AA">
        <w:tab/>
        <w:t>COD = chemical oxygen demand.</w:t>
      </w:r>
    </w:p>
    <w:p w14:paraId="286807F8" w14:textId="77777777" w:rsidR="00E87995" w:rsidRPr="009E06AA" w:rsidRDefault="00E87995" w:rsidP="00E87995">
      <w:pPr>
        <w:pStyle w:val="Heading6"/>
      </w:pPr>
      <w:bookmarkStart w:id="3050" w:name="recovery-3"/>
      <w:r w:rsidRPr="009E06AA">
        <w:t>Recovery</w:t>
      </w:r>
    </w:p>
    <w:p w14:paraId="3A067EE6" w14:textId="77777777" w:rsidR="00E87995" w:rsidRPr="009E06AA" w:rsidRDefault="00E87995" w:rsidP="00E87995">
      <w:pPr>
        <w:pStyle w:val="BodyText"/>
      </w:pPr>
      <w:r w:rsidRPr="009E06AA">
        <w:t>There is no recovery of emissions reported for this source.</w:t>
      </w:r>
    </w:p>
    <w:p w14:paraId="263F142C" w14:textId="77777777" w:rsidR="00E87995" w:rsidRPr="009E06AA" w:rsidRDefault="00E87995" w:rsidP="00BF2A76">
      <w:pPr>
        <w:pStyle w:val="Heading5"/>
      </w:pPr>
      <w:bookmarkStart w:id="3051" w:name="X5488992b1bcc26c67c2161f3c767fe6715fed57"/>
      <w:bookmarkEnd w:id="3044"/>
      <w:bookmarkEnd w:id="3050"/>
      <w:r w:rsidRPr="009E06AA">
        <w:t>Methane emissions from industrial wastewater treatment – Wine industry</w:t>
      </w:r>
    </w:p>
    <w:p w14:paraId="5CF5B4EC" w14:textId="77777777" w:rsidR="00E87995" w:rsidRPr="009E06AA" w:rsidRDefault="00E87995" w:rsidP="00E87995">
      <w:pPr>
        <w:pStyle w:val="BodyText"/>
      </w:pPr>
      <w:r w:rsidRPr="009E06AA">
        <w:t>Table 7.5.10 summarises the parameter values applied for estimating CH</w:t>
      </w:r>
      <w:r w:rsidRPr="009E06AA">
        <w:rPr>
          <w:vertAlign w:val="subscript"/>
        </w:rPr>
        <w:t>4</w:t>
      </w:r>
      <w:r w:rsidRPr="009E06AA">
        <w:t xml:space="preserve"> emissions from wastewater treatment by the wine industry.</w:t>
      </w:r>
    </w:p>
    <w:p w14:paraId="592AB2E0" w14:textId="77777777" w:rsidR="00E87995" w:rsidRPr="009E06AA" w:rsidRDefault="00E87995" w:rsidP="00E87995">
      <w:pPr>
        <w:pStyle w:val="Table"/>
      </w:pPr>
      <w:bookmarkStart w:id="3052" w:name="_Toc128383688"/>
      <w:bookmarkStart w:id="3053" w:name="_Toc131591461"/>
      <w:bookmarkStart w:id="3054" w:name="_Toc160537340"/>
      <w:bookmarkStart w:id="3055" w:name="_Toc160537702"/>
      <w:bookmarkStart w:id="3056" w:name="_Toc164153952"/>
      <w:r w:rsidRPr="009E06AA">
        <w:t>Table 7.5.10</w:t>
      </w:r>
      <w:r w:rsidRPr="009E06AA">
        <w:tab/>
        <w:t xml:space="preserve">Parameter values applied by </w:t>
      </w:r>
      <w:r w:rsidRPr="009E06AA" w:rsidDel="00747A34">
        <w:t>New Zealand</w:t>
      </w:r>
      <w:r w:rsidRPr="009E06AA">
        <w:t xml:space="preserve"> for estimating methane emissions for wastewater treatment by the wine industry</w:t>
      </w:r>
      <w:bookmarkEnd w:id="3052"/>
      <w:bookmarkEnd w:id="3053"/>
      <w:bookmarkEnd w:id="3054"/>
      <w:bookmarkEnd w:id="3055"/>
      <w:bookmarkEnd w:id="3056"/>
    </w:p>
    <w:tbl>
      <w:tblPr>
        <w:tblW w:w="8505" w:type="dxa"/>
        <w:tblBorders>
          <w:top w:val="single" w:sz="4" w:space="0" w:color="1B556B" w:themeColor="text2"/>
          <w:bottom w:val="single" w:sz="4" w:space="0" w:color="1B556B" w:themeColor="text2"/>
          <w:insideH w:val="single" w:sz="4" w:space="0" w:color="1B556B" w:themeColor="text2"/>
        </w:tblBorders>
        <w:tblLook w:val="0420" w:firstRow="1" w:lastRow="0" w:firstColumn="0" w:lastColumn="0" w:noHBand="0" w:noVBand="1"/>
      </w:tblPr>
      <w:tblGrid>
        <w:gridCol w:w="4037"/>
        <w:gridCol w:w="1153"/>
        <w:gridCol w:w="1585"/>
        <w:gridCol w:w="1730"/>
      </w:tblGrid>
      <w:tr w:rsidR="00E87995" w:rsidRPr="009E06AA" w14:paraId="39333826" w14:textId="77777777" w:rsidTr="00B55F24">
        <w:trPr>
          <w:tblHeader/>
        </w:trPr>
        <w:tc>
          <w:tcPr>
            <w:tcW w:w="3969" w:type="dxa"/>
            <w:shd w:val="clear" w:color="auto" w:fill="1B556B"/>
            <w:tcMar>
              <w:top w:w="0" w:type="dxa"/>
              <w:left w:w="85" w:type="dxa"/>
              <w:bottom w:w="0" w:type="dxa"/>
              <w:right w:w="85" w:type="dxa"/>
            </w:tcMar>
          </w:tcPr>
          <w:p w14:paraId="561D1FDA" w14:textId="77777777" w:rsidR="00E87995" w:rsidRPr="009E06AA" w:rsidRDefault="00E87995" w:rsidP="00B55F24">
            <w:pPr>
              <w:pStyle w:val="TableTextBold"/>
              <w:spacing w:before="40" w:after="40"/>
              <w:rPr>
                <w:noProof w:val="0"/>
                <w:color w:val="FFFFFF" w:themeColor="background1"/>
              </w:rPr>
            </w:pPr>
            <w:r w:rsidRPr="009E06AA">
              <w:rPr>
                <w:noProof w:val="0"/>
                <w:color w:val="FFFFFF" w:themeColor="background1"/>
              </w:rPr>
              <w:t>Parameter</w:t>
            </w:r>
          </w:p>
        </w:tc>
        <w:tc>
          <w:tcPr>
            <w:tcW w:w="1134" w:type="dxa"/>
            <w:shd w:val="clear" w:color="auto" w:fill="1B556B"/>
            <w:tcMar>
              <w:top w:w="0" w:type="dxa"/>
              <w:left w:w="85" w:type="dxa"/>
              <w:bottom w:w="0" w:type="dxa"/>
              <w:right w:w="85" w:type="dxa"/>
            </w:tcMar>
          </w:tcPr>
          <w:p w14:paraId="365BDE4A" w14:textId="77777777" w:rsidR="00E87995" w:rsidRPr="009E06AA" w:rsidRDefault="00E87995" w:rsidP="00E770EF">
            <w:pPr>
              <w:pStyle w:val="TableTextBold"/>
              <w:spacing w:before="40" w:after="40"/>
              <w:jc w:val="right"/>
              <w:rPr>
                <w:noProof w:val="0"/>
                <w:color w:val="FFFFFF" w:themeColor="background1"/>
              </w:rPr>
            </w:pPr>
            <w:r w:rsidRPr="009E06AA">
              <w:rPr>
                <w:noProof w:val="0"/>
                <w:color w:val="FFFFFF" w:themeColor="background1"/>
              </w:rPr>
              <w:t>Value</w:t>
            </w:r>
          </w:p>
        </w:tc>
        <w:tc>
          <w:tcPr>
            <w:tcW w:w="1559" w:type="dxa"/>
            <w:shd w:val="clear" w:color="auto" w:fill="1B556B"/>
            <w:tcMar>
              <w:top w:w="0" w:type="dxa"/>
              <w:left w:w="85" w:type="dxa"/>
              <w:bottom w:w="0" w:type="dxa"/>
              <w:right w:w="85" w:type="dxa"/>
            </w:tcMar>
          </w:tcPr>
          <w:p w14:paraId="7D6B8C87" w14:textId="77777777" w:rsidR="00E87995" w:rsidRPr="009E06AA" w:rsidRDefault="00E87995" w:rsidP="00B55F24">
            <w:pPr>
              <w:pStyle w:val="TableTextBold"/>
              <w:spacing w:before="40" w:after="40"/>
              <w:rPr>
                <w:noProof w:val="0"/>
                <w:color w:val="FFFFFF" w:themeColor="background1"/>
              </w:rPr>
            </w:pPr>
            <w:r w:rsidRPr="009E06AA">
              <w:rPr>
                <w:noProof w:val="0"/>
                <w:color w:val="FFFFFF" w:themeColor="background1"/>
              </w:rPr>
              <w:t>Source</w:t>
            </w:r>
          </w:p>
        </w:tc>
        <w:tc>
          <w:tcPr>
            <w:tcW w:w="1701" w:type="dxa"/>
            <w:shd w:val="clear" w:color="auto" w:fill="1B556B"/>
            <w:tcMar>
              <w:top w:w="0" w:type="dxa"/>
              <w:left w:w="85" w:type="dxa"/>
              <w:bottom w:w="0" w:type="dxa"/>
              <w:right w:w="85" w:type="dxa"/>
            </w:tcMar>
          </w:tcPr>
          <w:p w14:paraId="21FB1A78" w14:textId="77777777" w:rsidR="00E87995" w:rsidRPr="009E06AA" w:rsidRDefault="00E87995" w:rsidP="00B55F24">
            <w:pPr>
              <w:pStyle w:val="TableTextBold"/>
              <w:spacing w:before="40" w:after="40"/>
              <w:rPr>
                <w:noProof w:val="0"/>
                <w:color w:val="FFFFFF" w:themeColor="background1"/>
              </w:rPr>
            </w:pPr>
            <w:r w:rsidRPr="009E06AA">
              <w:rPr>
                <w:noProof w:val="0"/>
                <w:color w:val="FFFFFF" w:themeColor="background1"/>
              </w:rPr>
              <w:t>Reference</w:t>
            </w:r>
          </w:p>
        </w:tc>
      </w:tr>
      <w:tr w:rsidR="00E87995" w:rsidRPr="009E06AA" w14:paraId="7385B3BE" w14:textId="77777777" w:rsidTr="00B55F24">
        <w:tc>
          <w:tcPr>
            <w:tcW w:w="3969" w:type="dxa"/>
            <w:shd w:val="clear" w:color="auto" w:fill="FFFFFF"/>
            <w:tcMar>
              <w:top w:w="0" w:type="dxa"/>
              <w:left w:w="85" w:type="dxa"/>
              <w:bottom w:w="0" w:type="dxa"/>
              <w:right w:w="85" w:type="dxa"/>
            </w:tcMar>
          </w:tcPr>
          <w:p w14:paraId="7CFDD960" w14:textId="77777777" w:rsidR="00E87995" w:rsidRPr="009E06AA" w:rsidRDefault="00E87995" w:rsidP="00B55F24">
            <w:pPr>
              <w:pStyle w:val="TableText"/>
              <w:spacing w:before="40" w:after="40"/>
            </w:pPr>
            <w:r w:rsidRPr="009E06AA">
              <w:rPr>
                <w:color w:val="000000"/>
              </w:rPr>
              <w:t>Degradable organic component (kg COD/tonne of product)</w:t>
            </w:r>
          </w:p>
        </w:tc>
        <w:tc>
          <w:tcPr>
            <w:tcW w:w="1134" w:type="dxa"/>
            <w:shd w:val="clear" w:color="auto" w:fill="FFFFFF"/>
            <w:tcMar>
              <w:top w:w="0" w:type="dxa"/>
              <w:left w:w="85" w:type="dxa"/>
              <w:bottom w:w="0" w:type="dxa"/>
              <w:right w:w="85" w:type="dxa"/>
            </w:tcMar>
          </w:tcPr>
          <w:p w14:paraId="31893455" w14:textId="77777777" w:rsidR="00E87995" w:rsidRPr="009E06AA" w:rsidRDefault="00E87995" w:rsidP="00E770EF">
            <w:pPr>
              <w:pStyle w:val="TableText"/>
              <w:spacing w:before="40" w:after="40"/>
              <w:jc w:val="right"/>
            </w:pPr>
            <w:r w:rsidRPr="009E06AA">
              <w:rPr>
                <w:color w:val="000000"/>
              </w:rPr>
              <w:t>12.42</w:t>
            </w:r>
          </w:p>
        </w:tc>
        <w:tc>
          <w:tcPr>
            <w:tcW w:w="1559" w:type="dxa"/>
            <w:shd w:val="clear" w:color="auto" w:fill="FFFFFF"/>
            <w:tcMar>
              <w:top w:w="0" w:type="dxa"/>
              <w:left w:w="85" w:type="dxa"/>
              <w:bottom w:w="0" w:type="dxa"/>
              <w:right w:w="85" w:type="dxa"/>
            </w:tcMar>
          </w:tcPr>
          <w:p w14:paraId="77A96F7A" w14:textId="77777777" w:rsidR="00E87995" w:rsidRPr="009E06AA" w:rsidRDefault="00E87995" w:rsidP="00B55F24">
            <w:pPr>
              <w:pStyle w:val="TableText"/>
              <w:spacing w:before="40" w:after="40"/>
            </w:pPr>
            <w:r w:rsidRPr="009E06AA" w:rsidDel="00747A34">
              <w:rPr>
                <w:color w:val="000000"/>
              </w:rPr>
              <w:t>New Zealand</w:t>
            </w:r>
            <w:r w:rsidRPr="009E06AA">
              <w:rPr>
                <w:color w:val="000000"/>
              </w:rPr>
              <w:t xml:space="preserve"> specific</w:t>
            </w:r>
          </w:p>
        </w:tc>
        <w:tc>
          <w:tcPr>
            <w:tcW w:w="1701" w:type="dxa"/>
            <w:shd w:val="clear" w:color="auto" w:fill="FFFFFF"/>
            <w:tcMar>
              <w:top w:w="0" w:type="dxa"/>
              <w:left w:w="85" w:type="dxa"/>
              <w:bottom w:w="0" w:type="dxa"/>
              <w:right w:w="85" w:type="dxa"/>
            </w:tcMar>
          </w:tcPr>
          <w:p w14:paraId="3A2689EA" w14:textId="77777777" w:rsidR="00E87995" w:rsidRPr="009E06AA" w:rsidRDefault="00E87995" w:rsidP="00B55F24">
            <w:pPr>
              <w:pStyle w:val="TableText"/>
              <w:spacing w:before="40" w:after="40"/>
            </w:pPr>
            <w:r w:rsidRPr="009E06AA">
              <w:rPr>
                <w:color w:val="000000"/>
              </w:rPr>
              <w:t>Beca Infrastructure Ltd (unpublished)</w:t>
            </w:r>
          </w:p>
        </w:tc>
      </w:tr>
      <w:tr w:rsidR="00E87995" w:rsidRPr="009E06AA" w14:paraId="4565BE55" w14:textId="77777777" w:rsidTr="00B55F24">
        <w:tc>
          <w:tcPr>
            <w:tcW w:w="3969" w:type="dxa"/>
            <w:shd w:val="clear" w:color="auto" w:fill="FFFFFF"/>
            <w:tcMar>
              <w:top w:w="0" w:type="dxa"/>
              <w:left w:w="85" w:type="dxa"/>
              <w:bottom w:w="0" w:type="dxa"/>
              <w:right w:w="85" w:type="dxa"/>
            </w:tcMar>
          </w:tcPr>
          <w:p w14:paraId="6B4D62C7" w14:textId="77777777" w:rsidR="00E87995" w:rsidRPr="009E06AA" w:rsidRDefault="00E87995" w:rsidP="00B55F24">
            <w:pPr>
              <w:pStyle w:val="TableText"/>
              <w:spacing w:before="40" w:after="40"/>
            </w:pPr>
            <w:r w:rsidRPr="009E06AA">
              <w:rPr>
                <w:color w:val="000000"/>
              </w:rPr>
              <w:t>Methane correction factor</w:t>
            </w:r>
          </w:p>
        </w:tc>
        <w:tc>
          <w:tcPr>
            <w:tcW w:w="1134" w:type="dxa"/>
            <w:shd w:val="clear" w:color="auto" w:fill="FFFFFF"/>
            <w:tcMar>
              <w:top w:w="0" w:type="dxa"/>
              <w:left w:w="85" w:type="dxa"/>
              <w:bottom w:w="0" w:type="dxa"/>
              <w:right w:w="85" w:type="dxa"/>
            </w:tcMar>
          </w:tcPr>
          <w:p w14:paraId="12D355B8" w14:textId="77777777" w:rsidR="00E87995" w:rsidRPr="009E06AA" w:rsidRDefault="00E87995" w:rsidP="00E770EF">
            <w:pPr>
              <w:pStyle w:val="TableText"/>
              <w:spacing w:before="40" w:after="40"/>
              <w:jc w:val="right"/>
            </w:pPr>
            <w:r w:rsidRPr="009E06AA">
              <w:rPr>
                <w:color w:val="000000"/>
              </w:rPr>
              <w:t>Range of 0–0.5</w:t>
            </w:r>
          </w:p>
        </w:tc>
        <w:tc>
          <w:tcPr>
            <w:tcW w:w="1559" w:type="dxa"/>
            <w:shd w:val="clear" w:color="auto" w:fill="FFFFFF"/>
            <w:tcMar>
              <w:top w:w="0" w:type="dxa"/>
              <w:left w:w="85" w:type="dxa"/>
              <w:bottom w:w="0" w:type="dxa"/>
              <w:right w:w="85" w:type="dxa"/>
            </w:tcMar>
          </w:tcPr>
          <w:p w14:paraId="508C3D33" w14:textId="77777777" w:rsidR="00E87995" w:rsidRPr="009E06AA" w:rsidRDefault="00E87995" w:rsidP="00B55F24">
            <w:pPr>
              <w:pStyle w:val="TableText"/>
              <w:spacing w:before="40" w:after="40"/>
            </w:pPr>
            <w:r w:rsidRPr="009E06AA" w:rsidDel="001330BE">
              <w:rPr>
                <w:color w:val="000000"/>
              </w:rPr>
              <w:t>New Zealand</w:t>
            </w:r>
            <w:r w:rsidRPr="009E06AA">
              <w:rPr>
                <w:color w:val="000000"/>
              </w:rPr>
              <w:t xml:space="preserve"> specific</w:t>
            </w:r>
          </w:p>
        </w:tc>
        <w:tc>
          <w:tcPr>
            <w:tcW w:w="1701" w:type="dxa"/>
            <w:shd w:val="clear" w:color="auto" w:fill="FFFFFF"/>
            <w:tcMar>
              <w:top w:w="0" w:type="dxa"/>
              <w:left w:w="85" w:type="dxa"/>
              <w:bottom w:w="0" w:type="dxa"/>
              <w:right w:w="85" w:type="dxa"/>
            </w:tcMar>
          </w:tcPr>
          <w:p w14:paraId="2F14A0B3" w14:textId="77777777" w:rsidR="00E87995" w:rsidRPr="009E06AA" w:rsidRDefault="00E87995" w:rsidP="00B55F24">
            <w:pPr>
              <w:pStyle w:val="TableText"/>
              <w:spacing w:before="40" w:after="40"/>
            </w:pPr>
            <w:r w:rsidRPr="009E06AA">
              <w:rPr>
                <w:color w:val="000000"/>
              </w:rPr>
              <w:t>Beca Infrastructure Ltd (unpublished)</w:t>
            </w:r>
          </w:p>
        </w:tc>
      </w:tr>
      <w:tr w:rsidR="00E87995" w:rsidRPr="009E06AA" w14:paraId="0CB95CB9" w14:textId="77777777" w:rsidTr="00B55F24">
        <w:tc>
          <w:tcPr>
            <w:tcW w:w="3969" w:type="dxa"/>
            <w:shd w:val="clear" w:color="auto" w:fill="FFFFFF"/>
            <w:tcMar>
              <w:top w:w="0" w:type="dxa"/>
              <w:left w:w="85" w:type="dxa"/>
              <w:bottom w:w="0" w:type="dxa"/>
              <w:right w:w="85" w:type="dxa"/>
            </w:tcMar>
          </w:tcPr>
          <w:p w14:paraId="6B438B68" w14:textId="77777777" w:rsidR="00E87995" w:rsidRPr="009E06AA" w:rsidRDefault="00E87995" w:rsidP="00B55F24">
            <w:pPr>
              <w:pStyle w:val="TableText"/>
              <w:spacing w:before="40" w:after="40"/>
            </w:pPr>
            <w:r w:rsidRPr="009E06AA">
              <w:rPr>
                <w:color w:val="000000"/>
              </w:rPr>
              <w:t>Maximum methane-producing capacity (kg CH₄/kg COD)</w:t>
            </w:r>
          </w:p>
        </w:tc>
        <w:tc>
          <w:tcPr>
            <w:tcW w:w="1134" w:type="dxa"/>
            <w:shd w:val="clear" w:color="auto" w:fill="FFFFFF"/>
            <w:tcMar>
              <w:top w:w="0" w:type="dxa"/>
              <w:left w:w="85" w:type="dxa"/>
              <w:bottom w:w="0" w:type="dxa"/>
              <w:right w:w="85" w:type="dxa"/>
            </w:tcMar>
          </w:tcPr>
          <w:p w14:paraId="19480E64" w14:textId="77777777" w:rsidR="00E87995" w:rsidRPr="009E06AA" w:rsidRDefault="00E87995" w:rsidP="00E770EF">
            <w:pPr>
              <w:pStyle w:val="TableText"/>
              <w:spacing w:before="40" w:after="40"/>
              <w:jc w:val="right"/>
            </w:pPr>
            <w:r w:rsidRPr="009E06AA">
              <w:rPr>
                <w:color w:val="000000"/>
              </w:rPr>
              <w:t>0.25</w:t>
            </w:r>
          </w:p>
        </w:tc>
        <w:tc>
          <w:tcPr>
            <w:tcW w:w="1559" w:type="dxa"/>
            <w:shd w:val="clear" w:color="auto" w:fill="FFFFFF"/>
            <w:tcMar>
              <w:top w:w="0" w:type="dxa"/>
              <w:left w:w="85" w:type="dxa"/>
              <w:bottom w:w="0" w:type="dxa"/>
              <w:right w:w="85" w:type="dxa"/>
            </w:tcMar>
          </w:tcPr>
          <w:p w14:paraId="7C5CE4AC" w14:textId="77777777" w:rsidR="00E87995" w:rsidRPr="009E06AA" w:rsidRDefault="00E87995" w:rsidP="00B55F24">
            <w:pPr>
              <w:pStyle w:val="TableText"/>
              <w:spacing w:before="40" w:after="40"/>
            </w:pPr>
            <w:r w:rsidRPr="009E06AA">
              <w:rPr>
                <w:color w:val="000000"/>
              </w:rPr>
              <w:t>IPCC default</w:t>
            </w:r>
          </w:p>
        </w:tc>
        <w:tc>
          <w:tcPr>
            <w:tcW w:w="1701" w:type="dxa"/>
            <w:shd w:val="clear" w:color="auto" w:fill="FFFFFF"/>
            <w:tcMar>
              <w:top w:w="0" w:type="dxa"/>
              <w:left w:w="85" w:type="dxa"/>
              <w:bottom w:w="0" w:type="dxa"/>
              <w:right w:w="85" w:type="dxa"/>
            </w:tcMar>
          </w:tcPr>
          <w:p w14:paraId="12BD8C3B" w14:textId="77777777" w:rsidR="00E87995" w:rsidRPr="009E06AA" w:rsidRDefault="00E87995" w:rsidP="00B55F24">
            <w:pPr>
              <w:pStyle w:val="TableText"/>
              <w:spacing w:before="40" w:after="40"/>
            </w:pPr>
            <w:r w:rsidRPr="009E06AA">
              <w:rPr>
                <w:color w:val="000000"/>
              </w:rPr>
              <w:t>IPCC (2006a)</w:t>
            </w:r>
          </w:p>
        </w:tc>
      </w:tr>
      <w:tr w:rsidR="00E87995" w:rsidRPr="009E06AA" w14:paraId="719DCB82" w14:textId="77777777" w:rsidTr="00B55F24">
        <w:tc>
          <w:tcPr>
            <w:tcW w:w="3969" w:type="dxa"/>
            <w:shd w:val="clear" w:color="auto" w:fill="FFFFFF"/>
            <w:tcMar>
              <w:top w:w="0" w:type="dxa"/>
              <w:left w:w="85" w:type="dxa"/>
              <w:bottom w:w="0" w:type="dxa"/>
              <w:right w:w="85" w:type="dxa"/>
            </w:tcMar>
          </w:tcPr>
          <w:p w14:paraId="3E26DBE8" w14:textId="77777777" w:rsidR="00E87995" w:rsidRPr="009E06AA" w:rsidRDefault="00E87995" w:rsidP="00B55F24">
            <w:pPr>
              <w:pStyle w:val="TableText"/>
              <w:spacing w:before="40" w:after="40"/>
            </w:pPr>
            <w:r w:rsidRPr="009E06AA">
              <w:rPr>
                <w:color w:val="000000"/>
              </w:rPr>
              <w:t>Overall emission factor</w:t>
            </w:r>
          </w:p>
        </w:tc>
        <w:tc>
          <w:tcPr>
            <w:tcW w:w="1134" w:type="dxa"/>
            <w:shd w:val="clear" w:color="auto" w:fill="FFFFFF"/>
            <w:tcMar>
              <w:top w:w="0" w:type="dxa"/>
              <w:left w:w="85" w:type="dxa"/>
              <w:bottom w:w="0" w:type="dxa"/>
              <w:right w:w="85" w:type="dxa"/>
            </w:tcMar>
          </w:tcPr>
          <w:p w14:paraId="73CF1DAF" w14:textId="77777777" w:rsidR="00E87995" w:rsidRPr="009E06AA" w:rsidRDefault="00E87995" w:rsidP="00E770EF">
            <w:pPr>
              <w:pStyle w:val="TableText"/>
              <w:spacing w:before="40" w:after="40"/>
              <w:jc w:val="right"/>
            </w:pPr>
            <w:r w:rsidRPr="009E06AA">
              <w:rPr>
                <w:color w:val="000000"/>
              </w:rPr>
              <w:t>0.0167</w:t>
            </w:r>
          </w:p>
        </w:tc>
        <w:tc>
          <w:tcPr>
            <w:tcW w:w="1559" w:type="dxa"/>
            <w:shd w:val="clear" w:color="auto" w:fill="FFFFFF"/>
            <w:tcMar>
              <w:top w:w="0" w:type="dxa"/>
              <w:left w:w="85" w:type="dxa"/>
              <w:bottom w:w="0" w:type="dxa"/>
              <w:right w:w="85" w:type="dxa"/>
            </w:tcMar>
          </w:tcPr>
          <w:p w14:paraId="6BB2AA93" w14:textId="77777777" w:rsidR="00E87995" w:rsidRPr="009E06AA" w:rsidRDefault="00E87995" w:rsidP="00B55F24">
            <w:pPr>
              <w:pStyle w:val="TableText"/>
              <w:spacing w:before="40" w:after="40"/>
            </w:pPr>
            <w:r w:rsidRPr="009E06AA" w:rsidDel="001330BE">
              <w:rPr>
                <w:color w:val="000000"/>
              </w:rPr>
              <w:t>New Zealand</w:t>
            </w:r>
            <w:r w:rsidRPr="009E06AA">
              <w:rPr>
                <w:color w:val="000000"/>
              </w:rPr>
              <w:t xml:space="preserve"> specific</w:t>
            </w:r>
          </w:p>
        </w:tc>
        <w:tc>
          <w:tcPr>
            <w:tcW w:w="1701" w:type="dxa"/>
            <w:shd w:val="clear" w:color="auto" w:fill="FFFFFF"/>
            <w:tcMar>
              <w:top w:w="0" w:type="dxa"/>
              <w:left w:w="85" w:type="dxa"/>
              <w:bottom w:w="0" w:type="dxa"/>
              <w:right w:w="85" w:type="dxa"/>
            </w:tcMar>
          </w:tcPr>
          <w:p w14:paraId="4046A7BD" w14:textId="77777777" w:rsidR="00E87995" w:rsidRPr="009E06AA" w:rsidRDefault="00E87995" w:rsidP="00B55F24">
            <w:pPr>
              <w:pStyle w:val="TableText"/>
              <w:spacing w:before="40" w:after="40"/>
            </w:pPr>
            <w:r w:rsidRPr="009E06AA">
              <w:rPr>
                <w:color w:val="000000"/>
              </w:rPr>
              <w:t>Cardno (unpublished)</w:t>
            </w:r>
          </w:p>
        </w:tc>
      </w:tr>
    </w:tbl>
    <w:p w14:paraId="4D952FDD" w14:textId="77777777" w:rsidR="00E87995" w:rsidRPr="009E06AA" w:rsidRDefault="00E87995" w:rsidP="00E87995">
      <w:pPr>
        <w:pStyle w:val="Noteundertable"/>
      </w:pPr>
      <w:r w:rsidRPr="009E06AA">
        <w:rPr>
          <w:b/>
          <w:bCs/>
        </w:rPr>
        <w:t>Note:</w:t>
      </w:r>
      <w:r w:rsidRPr="009E06AA">
        <w:tab/>
        <w:t>COD = chemical oxygen demand.</w:t>
      </w:r>
    </w:p>
    <w:p w14:paraId="6F5A1204" w14:textId="77777777" w:rsidR="00E87995" w:rsidRPr="009E06AA" w:rsidRDefault="00E87995" w:rsidP="00E87995">
      <w:pPr>
        <w:pStyle w:val="Heading6"/>
      </w:pPr>
      <w:bookmarkStart w:id="3057" w:name="recovery-4"/>
      <w:r w:rsidRPr="009E06AA">
        <w:t>Recovery</w:t>
      </w:r>
    </w:p>
    <w:p w14:paraId="6D721065" w14:textId="77777777" w:rsidR="00E87995" w:rsidRPr="009E06AA" w:rsidRDefault="00E87995" w:rsidP="00E87995">
      <w:pPr>
        <w:pStyle w:val="BodyText"/>
      </w:pPr>
      <w:r w:rsidRPr="009E06AA">
        <w:t>There is no recovery of emissions reported for this source.</w:t>
      </w:r>
    </w:p>
    <w:p w14:paraId="4BEBF717" w14:textId="77777777" w:rsidR="00E87995" w:rsidRPr="009E06AA" w:rsidRDefault="00E87995" w:rsidP="00BF2A76">
      <w:pPr>
        <w:pStyle w:val="Heading5"/>
      </w:pPr>
      <w:bookmarkStart w:id="3058" w:name="X5a52bbb68da2cb296e8b721fd30922a71eebd28"/>
      <w:bookmarkEnd w:id="3051"/>
      <w:bookmarkEnd w:id="3057"/>
      <w:r w:rsidRPr="009E06AA">
        <w:t>Methane emissions from industrial wastewater treatment – Wool scouring industry</w:t>
      </w:r>
    </w:p>
    <w:p w14:paraId="367305B2" w14:textId="77777777" w:rsidR="00E87995" w:rsidRPr="009E06AA" w:rsidRDefault="00E87995" w:rsidP="00E87995">
      <w:pPr>
        <w:pStyle w:val="BodyText"/>
      </w:pPr>
      <w:r w:rsidRPr="009E06AA">
        <w:t>Table 7.5.11 summarises the parameter values applied for estimating CH</w:t>
      </w:r>
      <w:r w:rsidRPr="009E06AA">
        <w:rPr>
          <w:vertAlign w:val="subscript"/>
        </w:rPr>
        <w:t>4</w:t>
      </w:r>
      <w:r w:rsidRPr="009E06AA">
        <w:t xml:space="preserve"> emissions from wastewater treatment by the wool scouring industry.</w:t>
      </w:r>
    </w:p>
    <w:p w14:paraId="75AE5D6B" w14:textId="77777777" w:rsidR="00E87995" w:rsidRPr="009E06AA" w:rsidRDefault="00E87995" w:rsidP="00E87995">
      <w:pPr>
        <w:pStyle w:val="Table"/>
      </w:pPr>
      <w:bookmarkStart w:id="3059" w:name="_Toc128383689"/>
      <w:bookmarkStart w:id="3060" w:name="_Toc131591462"/>
      <w:bookmarkStart w:id="3061" w:name="_Toc160537341"/>
      <w:bookmarkStart w:id="3062" w:name="_Toc160537703"/>
      <w:bookmarkStart w:id="3063" w:name="_Toc164153953"/>
      <w:r w:rsidRPr="009E06AA">
        <w:t>Table 7.5.11</w:t>
      </w:r>
      <w:r w:rsidRPr="009E06AA">
        <w:tab/>
        <w:t xml:space="preserve">Parameter values applied by </w:t>
      </w:r>
      <w:r w:rsidRPr="009E06AA" w:rsidDel="00747A34">
        <w:t>New Zealand</w:t>
      </w:r>
      <w:r w:rsidRPr="009E06AA">
        <w:t xml:space="preserve"> for estimating methane emissions for wastewater treatment by the wool scouring industry</w:t>
      </w:r>
      <w:bookmarkEnd w:id="3059"/>
      <w:bookmarkEnd w:id="3060"/>
      <w:bookmarkEnd w:id="3061"/>
      <w:bookmarkEnd w:id="3062"/>
      <w:bookmarkEnd w:id="3063"/>
    </w:p>
    <w:tbl>
      <w:tblPr>
        <w:tblW w:w="8505" w:type="dxa"/>
        <w:tblBorders>
          <w:top w:val="single" w:sz="4" w:space="0" w:color="1B556B" w:themeColor="text2"/>
          <w:bottom w:val="single" w:sz="4" w:space="0" w:color="1B556B" w:themeColor="text2"/>
          <w:insideH w:val="single" w:sz="4" w:space="0" w:color="1B556B" w:themeColor="text2"/>
        </w:tblBorders>
        <w:tblLook w:val="0420" w:firstRow="1" w:lastRow="0" w:firstColumn="0" w:lastColumn="0" w:noHBand="0" w:noVBand="1"/>
      </w:tblPr>
      <w:tblGrid>
        <w:gridCol w:w="4206"/>
        <w:gridCol w:w="616"/>
        <w:gridCol w:w="1558"/>
        <w:gridCol w:w="2125"/>
      </w:tblGrid>
      <w:tr w:rsidR="00E87995" w:rsidRPr="009E06AA" w14:paraId="6D8EA93D" w14:textId="77777777" w:rsidTr="00B55F24">
        <w:trPr>
          <w:tblHeader/>
        </w:trPr>
        <w:tc>
          <w:tcPr>
            <w:tcW w:w="4207" w:type="dxa"/>
            <w:shd w:val="clear" w:color="auto" w:fill="1B556B"/>
            <w:tcMar>
              <w:top w:w="0" w:type="dxa"/>
              <w:left w:w="85" w:type="dxa"/>
              <w:bottom w:w="0" w:type="dxa"/>
              <w:right w:w="85" w:type="dxa"/>
            </w:tcMar>
          </w:tcPr>
          <w:p w14:paraId="3D42D752" w14:textId="77777777" w:rsidR="00E87995" w:rsidRPr="009E06AA" w:rsidRDefault="00E87995" w:rsidP="00B55F24">
            <w:pPr>
              <w:pStyle w:val="TableTextBold"/>
              <w:spacing w:before="40" w:after="40"/>
              <w:rPr>
                <w:noProof w:val="0"/>
                <w:color w:val="FFFFFF" w:themeColor="background1"/>
              </w:rPr>
            </w:pPr>
            <w:r w:rsidRPr="009E06AA">
              <w:rPr>
                <w:noProof w:val="0"/>
                <w:color w:val="FFFFFF" w:themeColor="background1"/>
              </w:rPr>
              <w:t>Parameter</w:t>
            </w:r>
          </w:p>
        </w:tc>
        <w:tc>
          <w:tcPr>
            <w:tcW w:w="613" w:type="dxa"/>
            <w:shd w:val="clear" w:color="auto" w:fill="1B556B"/>
            <w:tcMar>
              <w:top w:w="0" w:type="dxa"/>
              <w:left w:w="85" w:type="dxa"/>
              <w:bottom w:w="0" w:type="dxa"/>
              <w:right w:w="85" w:type="dxa"/>
            </w:tcMar>
          </w:tcPr>
          <w:p w14:paraId="484B2B99" w14:textId="77777777" w:rsidR="00E87995" w:rsidRPr="009E06AA" w:rsidRDefault="00E87995" w:rsidP="00E770EF">
            <w:pPr>
              <w:pStyle w:val="TableTextBold"/>
              <w:spacing w:before="40" w:after="40"/>
              <w:jc w:val="right"/>
              <w:rPr>
                <w:noProof w:val="0"/>
                <w:color w:val="FFFFFF" w:themeColor="background1"/>
              </w:rPr>
            </w:pPr>
            <w:r w:rsidRPr="009E06AA">
              <w:rPr>
                <w:noProof w:val="0"/>
                <w:color w:val="FFFFFF" w:themeColor="background1"/>
              </w:rPr>
              <w:t>Value</w:t>
            </w:r>
          </w:p>
        </w:tc>
        <w:tc>
          <w:tcPr>
            <w:tcW w:w="1559" w:type="dxa"/>
            <w:shd w:val="clear" w:color="auto" w:fill="1B556B"/>
            <w:tcMar>
              <w:top w:w="0" w:type="dxa"/>
              <w:left w:w="85" w:type="dxa"/>
              <w:bottom w:w="0" w:type="dxa"/>
              <w:right w:w="85" w:type="dxa"/>
            </w:tcMar>
          </w:tcPr>
          <w:p w14:paraId="06D45903" w14:textId="77777777" w:rsidR="00E87995" w:rsidRPr="009E06AA" w:rsidRDefault="00E87995" w:rsidP="00B55F24">
            <w:pPr>
              <w:pStyle w:val="TableTextBold"/>
              <w:spacing w:before="40" w:after="40"/>
              <w:rPr>
                <w:noProof w:val="0"/>
                <w:color w:val="FFFFFF" w:themeColor="background1"/>
              </w:rPr>
            </w:pPr>
            <w:r w:rsidRPr="009E06AA">
              <w:rPr>
                <w:noProof w:val="0"/>
                <w:color w:val="FFFFFF" w:themeColor="background1"/>
              </w:rPr>
              <w:t>Source</w:t>
            </w:r>
          </w:p>
        </w:tc>
        <w:tc>
          <w:tcPr>
            <w:tcW w:w="2126" w:type="dxa"/>
            <w:shd w:val="clear" w:color="auto" w:fill="1B556B"/>
            <w:tcMar>
              <w:top w:w="0" w:type="dxa"/>
              <w:left w:w="85" w:type="dxa"/>
              <w:bottom w:w="0" w:type="dxa"/>
              <w:right w:w="85" w:type="dxa"/>
            </w:tcMar>
          </w:tcPr>
          <w:p w14:paraId="1B67860F" w14:textId="77777777" w:rsidR="00E87995" w:rsidRPr="009E06AA" w:rsidRDefault="00E87995" w:rsidP="00B55F24">
            <w:pPr>
              <w:pStyle w:val="TableTextBold"/>
              <w:spacing w:before="40" w:after="40"/>
              <w:rPr>
                <w:noProof w:val="0"/>
                <w:color w:val="FFFFFF" w:themeColor="background1"/>
              </w:rPr>
            </w:pPr>
            <w:r w:rsidRPr="009E06AA">
              <w:rPr>
                <w:noProof w:val="0"/>
                <w:color w:val="FFFFFF" w:themeColor="background1"/>
              </w:rPr>
              <w:t>Reference</w:t>
            </w:r>
          </w:p>
        </w:tc>
      </w:tr>
      <w:tr w:rsidR="00E87995" w:rsidRPr="009E06AA" w14:paraId="7E4E4F3B" w14:textId="77777777" w:rsidTr="00B55F24">
        <w:tc>
          <w:tcPr>
            <w:tcW w:w="4207" w:type="dxa"/>
            <w:shd w:val="clear" w:color="auto" w:fill="FFFFFF"/>
            <w:tcMar>
              <w:top w:w="0" w:type="dxa"/>
              <w:left w:w="85" w:type="dxa"/>
              <w:bottom w:w="0" w:type="dxa"/>
              <w:right w:w="85" w:type="dxa"/>
            </w:tcMar>
          </w:tcPr>
          <w:p w14:paraId="14FF876B" w14:textId="77777777" w:rsidR="00E87995" w:rsidRPr="009E06AA" w:rsidRDefault="00E87995" w:rsidP="00B55F24">
            <w:pPr>
              <w:pStyle w:val="TableText"/>
              <w:spacing w:before="40" w:after="40"/>
            </w:pPr>
            <w:r w:rsidRPr="009E06AA">
              <w:rPr>
                <w:color w:val="000000"/>
              </w:rPr>
              <w:t>Degradable organic component (kg COD/tonne of product)</w:t>
            </w:r>
          </w:p>
        </w:tc>
        <w:tc>
          <w:tcPr>
            <w:tcW w:w="613" w:type="dxa"/>
            <w:shd w:val="clear" w:color="auto" w:fill="FFFFFF"/>
            <w:tcMar>
              <w:top w:w="0" w:type="dxa"/>
              <w:left w:w="85" w:type="dxa"/>
              <w:bottom w:w="0" w:type="dxa"/>
              <w:right w:w="85" w:type="dxa"/>
            </w:tcMar>
          </w:tcPr>
          <w:p w14:paraId="29FAC9E5" w14:textId="77777777" w:rsidR="00E87995" w:rsidRPr="009E06AA" w:rsidRDefault="00E87995" w:rsidP="00E770EF">
            <w:pPr>
              <w:pStyle w:val="TableText"/>
              <w:spacing w:before="40" w:after="40"/>
              <w:jc w:val="right"/>
            </w:pPr>
            <w:r w:rsidRPr="009E06AA">
              <w:rPr>
                <w:color w:val="000000"/>
              </w:rPr>
              <w:t>22</w:t>
            </w:r>
          </w:p>
        </w:tc>
        <w:tc>
          <w:tcPr>
            <w:tcW w:w="1559" w:type="dxa"/>
            <w:shd w:val="clear" w:color="auto" w:fill="FFFFFF"/>
            <w:tcMar>
              <w:top w:w="0" w:type="dxa"/>
              <w:left w:w="85" w:type="dxa"/>
              <w:bottom w:w="0" w:type="dxa"/>
              <w:right w:w="85" w:type="dxa"/>
            </w:tcMar>
          </w:tcPr>
          <w:p w14:paraId="15202E9C" w14:textId="77777777" w:rsidR="00E87995" w:rsidRPr="009E06AA" w:rsidRDefault="00E87995" w:rsidP="00B55F24">
            <w:pPr>
              <w:pStyle w:val="TableText"/>
              <w:spacing w:before="40" w:after="40"/>
            </w:pPr>
            <w:r w:rsidRPr="009E06AA" w:rsidDel="00747A34">
              <w:rPr>
                <w:color w:val="000000"/>
              </w:rPr>
              <w:t>New Zealand</w:t>
            </w:r>
            <w:r w:rsidRPr="009E06AA">
              <w:rPr>
                <w:color w:val="000000"/>
              </w:rPr>
              <w:t xml:space="preserve"> specific</w:t>
            </w:r>
          </w:p>
        </w:tc>
        <w:tc>
          <w:tcPr>
            <w:tcW w:w="2126" w:type="dxa"/>
            <w:shd w:val="clear" w:color="auto" w:fill="FFFFFF"/>
            <w:tcMar>
              <w:top w:w="0" w:type="dxa"/>
              <w:left w:w="85" w:type="dxa"/>
              <w:bottom w:w="0" w:type="dxa"/>
              <w:right w:w="85" w:type="dxa"/>
            </w:tcMar>
          </w:tcPr>
          <w:p w14:paraId="0EA8D70A" w14:textId="77777777" w:rsidR="00E87995" w:rsidRPr="009E06AA" w:rsidRDefault="00E87995" w:rsidP="00B55F24">
            <w:pPr>
              <w:pStyle w:val="TableText"/>
              <w:spacing w:before="40" w:after="40"/>
            </w:pPr>
            <w:r w:rsidRPr="009E06AA">
              <w:rPr>
                <w:color w:val="000000"/>
              </w:rPr>
              <w:t>SCS Wetherill Environmental (unpublished)</w:t>
            </w:r>
          </w:p>
        </w:tc>
      </w:tr>
      <w:tr w:rsidR="00E87995" w:rsidRPr="009E06AA" w14:paraId="418910BA" w14:textId="77777777" w:rsidTr="00B55F24">
        <w:tc>
          <w:tcPr>
            <w:tcW w:w="4207" w:type="dxa"/>
            <w:shd w:val="clear" w:color="auto" w:fill="FFFFFF"/>
            <w:tcMar>
              <w:top w:w="0" w:type="dxa"/>
              <w:left w:w="85" w:type="dxa"/>
              <w:bottom w:w="0" w:type="dxa"/>
              <w:right w:w="85" w:type="dxa"/>
            </w:tcMar>
          </w:tcPr>
          <w:p w14:paraId="1D4277E8" w14:textId="77777777" w:rsidR="00E87995" w:rsidRPr="009E06AA" w:rsidRDefault="00E87995" w:rsidP="00B55F24">
            <w:pPr>
              <w:pStyle w:val="TableText"/>
              <w:spacing w:before="40" w:after="40"/>
            </w:pPr>
            <w:r w:rsidRPr="009E06AA">
              <w:rPr>
                <w:color w:val="000000"/>
              </w:rPr>
              <w:t>Methane correction factor</w:t>
            </w:r>
          </w:p>
        </w:tc>
        <w:tc>
          <w:tcPr>
            <w:tcW w:w="613" w:type="dxa"/>
            <w:shd w:val="clear" w:color="auto" w:fill="FFFFFF"/>
            <w:tcMar>
              <w:top w:w="0" w:type="dxa"/>
              <w:left w:w="85" w:type="dxa"/>
              <w:bottom w:w="0" w:type="dxa"/>
              <w:right w:w="85" w:type="dxa"/>
            </w:tcMar>
          </w:tcPr>
          <w:p w14:paraId="19FEC14C" w14:textId="77777777" w:rsidR="00E87995" w:rsidRPr="009E06AA" w:rsidRDefault="00E87995" w:rsidP="00E770EF">
            <w:pPr>
              <w:pStyle w:val="TableText"/>
              <w:spacing w:before="40" w:after="40"/>
              <w:jc w:val="right"/>
            </w:pPr>
            <w:r w:rsidRPr="009E06AA">
              <w:rPr>
                <w:color w:val="000000"/>
              </w:rPr>
              <w:t>0.29</w:t>
            </w:r>
          </w:p>
        </w:tc>
        <w:tc>
          <w:tcPr>
            <w:tcW w:w="1559" w:type="dxa"/>
            <w:shd w:val="clear" w:color="auto" w:fill="FFFFFF"/>
            <w:tcMar>
              <w:top w:w="0" w:type="dxa"/>
              <w:left w:w="85" w:type="dxa"/>
              <w:bottom w:w="0" w:type="dxa"/>
              <w:right w:w="85" w:type="dxa"/>
            </w:tcMar>
          </w:tcPr>
          <w:p w14:paraId="5D4A350F" w14:textId="77777777" w:rsidR="00E87995" w:rsidRPr="009E06AA" w:rsidRDefault="00E87995" w:rsidP="00B55F24">
            <w:pPr>
              <w:pStyle w:val="TableText"/>
              <w:spacing w:before="40" w:after="40"/>
            </w:pPr>
            <w:r w:rsidRPr="009E06AA" w:rsidDel="001330BE">
              <w:rPr>
                <w:color w:val="000000"/>
              </w:rPr>
              <w:t xml:space="preserve">New Zealand </w:t>
            </w:r>
            <w:r w:rsidRPr="009E06AA">
              <w:rPr>
                <w:color w:val="000000"/>
              </w:rPr>
              <w:t>specific</w:t>
            </w:r>
          </w:p>
        </w:tc>
        <w:tc>
          <w:tcPr>
            <w:tcW w:w="2126" w:type="dxa"/>
            <w:shd w:val="clear" w:color="auto" w:fill="FFFFFF"/>
            <w:tcMar>
              <w:top w:w="0" w:type="dxa"/>
              <w:left w:w="85" w:type="dxa"/>
              <w:bottom w:w="0" w:type="dxa"/>
              <w:right w:w="85" w:type="dxa"/>
            </w:tcMar>
          </w:tcPr>
          <w:p w14:paraId="02E25FFD" w14:textId="77777777" w:rsidR="00E87995" w:rsidRPr="009E06AA" w:rsidRDefault="00E87995" w:rsidP="00B55F24">
            <w:pPr>
              <w:pStyle w:val="TableText"/>
              <w:spacing w:before="40" w:after="40"/>
            </w:pPr>
            <w:r w:rsidRPr="009E06AA">
              <w:rPr>
                <w:color w:val="000000"/>
              </w:rPr>
              <w:t>SCS Wetherill Environmental (unpublished)</w:t>
            </w:r>
          </w:p>
        </w:tc>
      </w:tr>
      <w:tr w:rsidR="00E87995" w:rsidRPr="009E06AA" w14:paraId="3C693376" w14:textId="77777777" w:rsidTr="00B55F24">
        <w:tc>
          <w:tcPr>
            <w:tcW w:w="4207" w:type="dxa"/>
            <w:shd w:val="clear" w:color="auto" w:fill="FFFFFF"/>
            <w:tcMar>
              <w:top w:w="0" w:type="dxa"/>
              <w:left w:w="85" w:type="dxa"/>
              <w:bottom w:w="0" w:type="dxa"/>
              <w:right w:w="85" w:type="dxa"/>
            </w:tcMar>
          </w:tcPr>
          <w:p w14:paraId="425382AB" w14:textId="77777777" w:rsidR="00E87995" w:rsidRPr="009E06AA" w:rsidRDefault="00E87995" w:rsidP="00B55F24">
            <w:pPr>
              <w:pStyle w:val="TableText"/>
              <w:spacing w:before="40" w:after="40"/>
            </w:pPr>
            <w:r w:rsidRPr="009E06AA">
              <w:rPr>
                <w:color w:val="000000"/>
              </w:rPr>
              <w:t>Maximum methane-producing capacity (kg CH₄/kg COD)</w:t>
            </w:r>
          </w:p>
        </w:tc>
        <w:tc>
          <w:tcPr>
            <w:tcW w:w="613" w:type="dxa"/>
            <w:shd w:val="clear" w:color="auto" w:fill="FFFFFF"/>
            <w:tcMar>
              <w:top w:w="0" w:type="dxa"/>
              <w:left w:w="85" w:type="dxa"/>
              <w:bottom w:w="0" w:type="dxa"/>
              <w:right w:w="85" w:type="dxa"/>
            </w:tcMar>
          </w:tcPr>
          <w:p w14:paraId="18C8B576" w14:textId="77777777" w:rsidR="00E87995" w:rsidRPr="009E06AA" w:rsidRDefault="00E87995" w:rsidP="00E770EF">
            <w:pPr>
              <w:pStyle w:val="TableText"/>
              <w:spacing w:before="40" w:after="40"/>
              <w:jc w:val="right"/>
            </w:pPr>
            <w:r w:rsidRPr="009E06AA">
              <w:rPr>
                <w:color w:val="000000"/>
              </w:rPr>
              <w:t>0.25</w:t>
            </w:r>
          </w:p>
        </w:tc>
        <w:tc>
          <w:tcPr>
            <w:tcW w:w="1559" w:type="dxa"/>
            <w:shd w:val="clear" w:color="auto" w:fill="FFFFFF"/>
            <w:tcMar>
              <w:top w:w="0" w:type="dxa"/>
              <w:left w:w="85" w:type="dxa"/>
              <w:bottom w:w="0" w:type="dxa"/>
              <w:right w:w="85" w:type="dxa"/>
            </w:tcMar>
          </w:tcPr>
          <w:p w14:paraId="66E63373" w14:textId="77777777" w:rsidR="00E87995" w:rsidRPr="009E06AA" w:rsidRDefault="00E87995" w:rsidP="00B55F24">
            <w:pPr>
              <w:pStyle w:val="TableText"/>
              <w:spacing w:before="40" w:after="40"/>
            </w:pPr>
            <w:r w:rsidRPr="009E06AA">
              <w:rPr>
                <w:color w:val="000000"/>
              </w:rPr>
              <w:t>IPCC default</w:t>
            </w:r>
          </w:p>
        </w:tc>
        <w:tc>
          <w:tcPr>
            <w:tcW w:w="2126" w:type="dxa"/>
            <w:shd w:val="clear" w:color="auto" w:fill="FFFFFF"/>
            <w:tcMar>
              <w:top w:w="0" w:type="dxa"/>
              <w:left w:w="85" w:type="dxa"/>
              <w:bottom w:w="0" w:type="dxa"/>
              <w:right w:w="85" w:type="dxa"/>
            </w:tcMar>
          </w:tcPr>
          <w:p w14:paraId="2850BCD6" w14:textId="77777777" w:rsidR="00E87995" w:rsidRPr="009E06AA" w:rsidRDefault="00E87995" w:rsidP="00B55F24">
            <w:pPr>
              <w:pStyle w:val="TableText"/>
              <w:spacing w:before="40" w:after="40"/>
            </w:pPr>
            <w:r w:rsidRPr="009E06AA">
              <w:rPr>
                <w:color w:val="000000"/>
              </w:rPr>
              <w:t>IPCC (2006a)</w:t>
            </w:r>
          </w:p>
        </w:tc>
      </w:tr>
      <w:tr w:rsidR="00E87995" w:rsidRPr="009E06AA" w14:paraId="1DE37618" w14:textId="77777777" w:rsidTr="00B55F24">
        <w:tc>
          <w:tcPr>
            <w:tcW w:w="4207" w:type="dxa"/>
            <w:shd w:val="clear" w:color="auto" w:fill="FFFFFF"/>
            <w:tcMar>
              <w:top w:w="0" w:type="dxa"/>
              <w:left w:w="85" w:type="dxa"/>
              <w:bottom w:w="0" w:type="dxa"/>
              <w:right w:w="85" w:type="dxa"/>
            </w:tcMar>
          </w:tcPr>
          <w:p w14:paraId="2AE807EA" w14:textId="77777777" w:rsidR="00E87995" w:rsidRPr="009E06AA" w:rsidRDefault="00E87995" w:rsidP="00B55F24">
            <w:pPr>
              <w:pStyle w:val="TableText"/>
              <w:spacing w:before="40" w:after="40"/>
            </w:pPr>
            <w:r w:rsidRPr="009E06AA">
              <w:rPr>
                <w:color w:val="000000"/>
              </w:rPr>
              <w:t>Overall emission factor</w:t>
            </w:r>
          </w:p>
        </w:tc>
        <w:tc>
          <w:tcPr>
            <w:tcW w:w="613" w:type="dxa"/>
            <w:shd w:val="clear" w:color="auto" w:fill="FFFFFF"/>
            <w:tcMar>
              <w:top w:w="0" w:type="dxa"/>
              <w:left w:w="85" w:type="dxa"/>
              <w:bottom w:w="0" w:type="dxa"/>
              <w:right w:w="85" w:type="dxa"/>
            </w:tcMar>
          </w:tcPr>
          <w:p w14:paraId="228471E1" w14:textId="77777777" w:rsidR="00E87995" w:rsidRPr="009E06AA" w:rsidRDefault="00E87995" w:rsidP="00E770EF">
            <w:pPr>
              <w:pStyle w:val="TableText"/>
              <w:spacing w:before="40" w:after="40"/>
              <w:jc w:val="right"/>
            </w:pPr>
            <w:r w:rsidRPr="009E06AA">
              <w:rPr>
                <w:color w:val="000000"/>
              </w:rPr>
              <w:t>0.0065</w:t>
            </w:r>
          </w:p>
        </w:tc>
        <w:tc>
          <w:tcPr>
            <w:tcW w:w="1559" w:type="dxa"/>
            <w:shd w:val="clear" w:color="auto" w:fill="FFFFFF"/>
            <w:tcMar>
              <w:top w:w="0" w:type="dxa"/>
              <w:left w:w="85" w:type="dxa"/>
              <w:bottom w:w="0" w:type="dxa"/>
              <w:right w:w="85" w:type="dxa"/>
            </w:tcMar>
          </w:tcPr>
          <w:p w14:paraId="4E117E5C" w14:textId="77777777" w:rsidR="00E87995" w:rsidRPr="009E06AA" w:rsidRDefault="00E87995" w:rsidP="00B55F24">
            <w:pPr>
              <w:pStyle w:val="TableText"/>
              <w:spacing w:before="40" w:after="40"/>
            </w:pPr>
            <w:r w:rsidRPr="009E06AA" w:rsidDel="001330BE">
              <w:rPr>
                <w:color w:val="000000"/>
              </w:rPr>
              <w:t>New Zealand</w:t>
            </w:r>
            <w:r w:rsidRPr="009E06AA">
              <w:rPr>
                <w:color w:val="000000"/>
              </w:rPr>
              <w:t xml:space="preserve"> specific</w:t>
            </w:r>
          </w:p>
        </w:tc>
        <w:tc>
          <w:tcPr>
            <w:tcW w:w="2126" w:type="dxa"/>
            <w:shd w:val="clear" w:color="auto" w:fill="FFFFFF"/>
            <w:tcMar>
              <w:top w:w="0" w:type="dxa"/>
              <w:left w:w="85" w:type="dxa"/>
              <w:bottom w:w="0" w:type="dxa"/>
              <w:right w:w="85" w:type="dxa"/>
            </w:tcMar>
          </w:tcPr>
          <w:p w14:paraId="10295D0D" w14:textId="77777777" w:rsidR="00E87995" w:rsidRPr="009E06AA" w:rsidRDefault="00E87995" w:rsidP="00B55F24">
            <w:pPr>
              <w:pStyle w:val="TableText"/>
              <w:spacing w:before="40" w:after="40"/>
            </w:pPr>
            <w:r w:rsidRPr="009E06AA">
              <w:rPr>
                <w:color w:val="000000"/>
              </w:rPr>
              <w:t>SCS Wetherill Environmental (unpublished)</w:t>
            </w:r>
          </w:p>
        </w:tc>
      </w:tr>
    </w:tbl>
    <w:p w14:paraId="3A363D4D" w14:textId="77777777" w:rsidR="00E87995" w:rsidRPr="009E06AA" w:rsidRDefault="00E87995" w:rsidP="00E87995">
      <w:pPr>
        <w:pStyle w:val="Noteundertable"/>
      </w:pPr>
      <w:r w:rsidRPr="009E06AA">
        <w:rPr>
          <w:b/>
          <w:bCs/>
        </w:rPr>
        <w:t>Note:</w:t>
      </w:r>
      <w:r w:rsidRPr="009E06AA">
        <w:tab/>
        <w:t>COD = chemical oxygen demand.</w:t>
      </w:r>
    </w:p>
    <w:p w14:paraId="4DDA90DB" w14:textId="77777777" w:rsidR="00E87995" w:rsidRPr="009E06AA" w:rsidRDefault="00E87995" w:rsidP="00E87995">
      <w:pPr>
        <w:pStyle w:val="Heading6"/>
      </w:pPr>
      <w:bookmarkStart w:id="3064" w:name="recovery-5"/>
      <w:r w:rsidRPr="009E06AA">
        <w:t>Recovery</w:t>
      </w:r>
    </w:p>
    <w:p w14:paraId="54F41240" w14:textId="77777777" w:rsidR="00E87995" w:rsidRPr="009E06AA" w:rsidRDefault="00E87995" w:rsidP="00E87995">
      <w:pPr>
        <w:pStyle w:val="BodyText"/>
      </w:pPr>
      <w:r w:rsidRPr="009E06AA">
        <w:t>There is no recovery of emissions reported for this source.</w:t>
      </w:r>
    </w:p>
    <w:p w14:paraId="326D0249" w14:textId="77777777" w:rsidR="00E87995" w:rsidRPr="009E06AA" w:rsidRDefault="00E87995" w:rsidP="00BF2A76">
      <w:pPr>
        <w:pStyle w:val="Heading5"/>
      </w:pPr>
      <w:bookmarkStart w:id="3065" w:name="Xc1a340efd67d5eccc23ff934f22dc8335d4080f"/>
      <w:bookmarkEnd w:id="3058"/>
      <w:bookmarkEnd w:id="3064"/>
      <w:r w:rsidRPr="009E06AA">
        <w:t>Methane emissions from industrial wastewater treatment – Leather and skins industry</w:t>
      </w:r>
    </w:p>
    <w:p w14:paraId="1AFD669D" w14:textId="77777777" w:rsidR="00E87995" w:rsidRPr="009E06AA" w:rsidRDefault="00E87995" w:rsidP="00E87995">
      <w:pPr>
        <w:pStyle w:val="BodyText"/>
      </w:pPr>
      <w:r w:rsidRPr="009E06AA">
        <w:t>Table 7.5.12 summarises the parameter values applied for estimating CH</w:t>
      </w:r>
      <w:r w:rsidRPr="009E06AA">
        <w:rPr>
          <w:vertAlign w:val="subscript"/>
        </w:rPr>
        <w:t>4</w:t>
      </w:r>
      <w:r w:rsidRPr="009E06AA">
        <w:t xml:space="preserve"> emissions from wastewater treatment by the leather and skins industry.</w:t>
      </w:r>
    </w:p>
    <w:p w14:paraId="06566271" w14:textId="77777777" w:rsidR="00E87995" w:rsidRPr="009E06AA" w:rsidRDefault="00E87995" w:rsidP="00E87995">
      <w:pPr>
        <w:pStyle w:val="Table"/>
      </w:pPr>
      <w:bookmarkStart w:id="3066" w:name="_Toc128383690"/>
      <w:bookmarkStart w:id="3067" w:name="_Toc131591463"/>
      <w:bookmarkStart w:id="3068" w:name="_Toc160537342"/>
      <w:bookmarkStart w:id="3069" w:name="_Toc160537704"/>
      <w:bookmarkStart w:id="3070" w:name="_Toc164153954"/>
      <w:r w:rsidRPr="009E06AA">
        <w:t>Table 7.5.12</w:t>
      </w:r>
      <w:r w:rsidRPr="009E06AA">
        <w:tab/>
        <w:t xml:space="preserve">Parameter values applied by </w:t>
      </w:r>
      <w:r w:rsidRPr="009E06AA" w:rsidDel="00747A34">
        <w:t>New Zealand</w:t>
      </w:r>
      <w:r w:rsidRPr="009E06AA">
        <w:t xml:space="preserve"> for estimating methane emissions for wastewater treatment by the leather and skins industry</w:t>
      </w:r>
      <w:bookmarkEnd w:id="3066"/>
      <w:bookmarkEnd w:id="3067"/>
      <w:bookmarkEnd w:id="3068"/>
      <w:bookmarkEnd w:id="3069"/>
      <w:bookmarkEnd w:id="3070"/>
    </w:p>
    <w:tbl>
      <w:tblPr>
        <w:tblW w:w="8505" w:type="dxa"/>
        <w:tblBorders>
          <w:top w:val="single" w:sz="4" w:space="0" w:color="1B556B" w:themeColor="text2"/>
          <w:bottom w:val="single" w:sz="4" w:space="0" w:color="1B556B" w:themeColor="text2"/>
          <w:insideH w:val="single" w:sz="4" w:space="0" w:color="1B556B" w:themeColor="text2"/>
        </w:tblBorders>
        <w:tblLook w:val="0420" w:firstRow="1" w:lastRow="0" w:firstColumn="0" w:lastColumn="0" w:noHBand="0" w:noVBand="1"/>
      </w:tblPr>
      <w:tblGrid>
        <w:gridCol w:w="2268"/>
        <w:gridCol w:w="1276"/>
        <w:gridCol w:w="1701"/>
        <w:gridCol w:w="3260"/>
      </w:tblGrid>
      <w:tr w:rsidR="00E87995" w:rsidRPr="009E06AA" w14:paraId="7EBDB7E8" w14:textId="77777777" w:rsidTr="00E770EF">
        <w:trPr>
          <w:tblHeader/>
        </w:trPr>
        <w:tc>
          <w:tcPr>
            <w:tcW w:w="2268" w:type="dxa"/>
            <w:shd w:val="clear" w:color="auto" w:fill="1B556B"/>
            <w:tcMar>
              <w:top w:w="0" w:type="dxa"/>
              <w:left w:w="85" w:type="dxa"/>
              <w:bottom w:w="0" w:type="dxa"/>
              <w:right w:w="85" w:type="dxa"/>
            </w:tcMar>
          </w:tcPr>
          <w:p w14:paraId="3B0B2E84" w14:textId="77777777" w:rsidR="00E87995" w:rsidRPr="009E06AA" w:rsidRDefault="00E87995" w:rsidP="00B55F24">
            <w:pPr>
              <w:pStyle w:val="TableTextBold"/>
              <w:spacing w:before="40" w:after="40"/>
              <w:rPr>
                <w:noProof w:val="0"/>
                <w:color w:val="FFFFFF" w:themeColor="background1"/>
              </w:rPr>
            </w:pPr>
            <w:r w:rsidRPr="009E06AA">
              <w:rPr>
                <w:noProof w:val="0"/>
                <w:color w:val="FFFFFF" w:themeColor="background1"/>
              </w:rPr>
              <w:t>Parameter</w:t>
            </w:r>
          </w:p>
        </w:tc>
        <w:tc>
          <w:tcPr>
            <w:tcW w:w="1276" w:type="dxa"/>
            <w:shd w:val="clear" w:color="auto" w:fill="1B556B"/>
            <w:tcMar>
              <w:top w:w="0" w:type="dxa"/>
              <w:left w:w="85" w:type="dxa"/>
              <w:bottom w:w="0" w:type="dxa"/>
              <w:right w:w="85" w:type="dxa"/>
            </w:tcMar>
          </w:tcPr>
          <w:p w14:paraId="370450E6" w14:textId="77777777" w:rsidR="00E87995" w:rsidRPr="009E06AA" w:rsidRDefault="00E87995" w:rsidP="00E770EF">
            <w:pPr>
              <w:pStyle w:val="TableTextBold"/>
              <w:spacing w:before="40" w:after="40"/>
              <w:jc w:val="right"/>
              <w:rPr>
                <w:noProof w:val="0"/>
                <w:color w:val="FFFFFF" w:themeColor="background1"/>
              </w:rPr>
            </w:pPr>
            <w:r w:rsidRPr="009E06AA">
              <w:rPr>
                <w:noProof w:val="0"/>
                <w:color w:val="FFFFFF" w:themeColor="background1"/>
              </w:rPr>
              <w:t>Value</w:t>
            </w:r>
          </w:p>
        </w:tc>
        <w:tc>
          <w:tcPr>
            <w:tcW w:w="1701" w:type="dxa"/>
            <w:shd w:val="clear" w:color="auto" w:fill="1B556B"/>
            <w:tcMar>
              <w:top w:w="0" w:type="dxa"/>
              <w:left w:w="85" w:type="dxa"/>
              <w:bottom w:w="0" w:type="dxa"/>
              <w:right w:w="85" w:type="dxa"/>
            </w:tcMar>
          </w:tcPr>
          <w:p w14:paraId="3BA06451" w14:textId="77777777" w:rsidR="00E87995" w:rsidRPr="009E06AA" w:rsidRDefault="00E87995" w:rsidP="00B55F24">
            <w:pPr>
              <w:pStyle w:val="TableTextBold"/>
              <w:spacing w:before="40" w:after="40"/>
              <w:rPr>
                <w:noProof w:val="0"/>
                <w:color w:val="FFFFFF" w:themeColor="background1"/>
              </w:rPr>
            </w:pPr>
            <w:r w:rsidRPr="009E06AA">
              <w:rPr>
                <w:noProof w:val="0"/>
                <w:color w:val="FFFFFF" w:themeColor="background1"/>
              </w:rPr>
              <w:t>Source</w:t>
            </w:r>
          </w:p>
        </w:tc>
        <w:tc>
          <w:tcPr>
            <w:tcW w:w="3260" w:type="dxa"/>
            <w:shd w:val="clear" w:color="auto" w:fill="1B556B"/>
            <w:tcMar>
              <w:top w:w="0" w:type="dxa"/>
              <w:left w:w="85" w:type="dxa"/>
              <w:bottom w:w="0" w:type="dxa"/>
              <w:right w:w="85" w:type="dxa"/>
            </w:tcMar>
          </w:tcPr>
          <w:p w14:paraId="13354C53" w14:textId="77777777" w:rsidR="00E87995" w:rsidRPr="009E06AA" w:rsidRDefault="00E87995" w:rsidP="00B55F24">
            <w:pPr>
              <w:pStyle w:val="TableTextBold"/>
              <w:spacing w:before="40" w:after="40"/>
              <w:rPr>
                <w:noProof w:val="0"/>
                <w:color w:val="FFFFFF" w:themeColor="background1"/>
              </w:rPr>
            </w:pPr>
            <w:r w:rsidRPr="009E06AA">
              <w:rPr>
                <w:noProof w:val="0"/>
                <w:color w:val="FFFFFF" w:themeColor="background1"/>
              </w:rPr>
              <w:t>Reference</w:t>
            </w:r>
          </w:p>
        </w:tc>
      </w:tr>
      <w:tr w:rsidR="00E87995" w:rsidRPr="009E06AA" w14:paraId="0E55FDE6" w14:textId="77777777" w:rsidTr="00E770EF">
        <w:tc>
          <w:tcPr>
            <w:tcW w:w="2268" w:type="dxa"/>
            <w:shd w:val="clear" w:color="auto" w:fill="FFFFFF"/>
            <w:tcMar>
              <w:top w:w="0" w:type="dxa"/>
              <w:left w:w="85" w:type="dxa"/>
              <w:bottom w:w="0" w:type="dxa"/>
              <w:right w:w="85" w:type="dxa"/>
            </w:tcMar>
          </w:tcPr>
          <w:p w14:paraId="4F45427B" w14:textId="77777777" w:rsidR="00E87995" w:rsidRPr="009E06AA" w:rsidRDefault="00E87995" w:rsidP="00B55F24">
            <w:pPr>
              <w:pStyle w:val="TableText"/>
              <w:spacing w:before="40" w:after="40"/>
            </w:pPr>
            <w:r w:rsidRPr="009E06AA">
              <w:rPr>
                <w:color w:val="000000"/>
              </w:rPr>
              <w:t>Degradable organic component (kg COD/tonne of product)</w:t>
            </w:r>
          </w:p>
        </w:tc>
        <w:tc>
          <w:tcPr>
            <w:tcW w:w="1276" w:type="dxa"/>
            <w:shd w:val="clear" w:color="auto" w:fill="FFFFFF"/>
            <w:tcMar>
              <w:top w:w="0" w:type="dxa"/>
              <w:left w:w="85" w:type="dxa"/>
              <w:bottom w:w="0" w:type="dxa"/>
              <w:right w:w="85" w:type="dxa"/>
            </w:tcMar>
          </w:tcPr>
          <w:p w14:paraId="2F14449F" w14:textId="77777777" w:rsidR="00E87995" w:rsidRPr="009E06AA" w:rsidRDefault="00E87995" w:rsidP="00E770EF">
            <w:pPr>
              <w:pStyle w:val="TableText"/>
              <w:spacing w:before="40" w:after="40"/>
              <w:jc w:val="right"/>
            </w:pPr>
            <w:r w:rsidRPr="009E06AA">
              <w:rPr>
                <w:color w:val="000000"/>
              </w:rPr>
              <w:t>180</w:t>
            </w:r>
          </w:p>
        </w:tc>
        <w:tc>
          <w:tcPr>
            <w:tcW w:w="1701" w:type="dxa"/>
            <w:shd w:val="clear" w:color="auto" w:fill="FFFFFF"/>
            <w:tcMar>
              <w:top w:w="0" w:type="dxa"/>
              <w:left w:w="85" w:type="dxa"/>
              <w:bottom w:w="0" w:type="dxa"/>
              <w:right w:w="85" w:type="dxa"/>
            </w:tcMar>
          </w:tcPr>
          <w:p w14:paraId="37995CBB" w14:textId="77777777" w:rsidR="00E87995" w:rsidRPr="009E06AA" w:rsidRDefault="00E87995" w:rsidP="00B55F24">
            <w:pPr>
              <w:pStyle w:val="TableText"/>
              <w:spacing w:before="40" w:after="40"/>
            </w:pPr>
            <w:r w:rsidRPr="009E06AA" w:rsidDel="00747A34">
              <w:rPr>
                <w:color w:val="000000"/>
              </w:rPr>
              <w:t>New Zealand</w:t>
            </w:r>
            <w:r w:rsidRPr="009E06AA">
              <w:rPr>
                <w:color w:val="000000"/>
              </w:rPr>
              <w:t xml:space="preserve"> specific</w:t>
            </w:r>
          </w:p>
        </w:tc>
        <w:tc>
          <w:tcPr>
            <w:tcW w:w="3260" w:type="dxa"/>
            <w:shd w:val="clear" w:color="auto" w:fill="FFFFFF"/>
            <w:tcMar>
              <w:top w:w="0" w:type="dxa"/>
              <w:left w:w="85" w:type="dxa"/>
              <w:bottom w:w="0" w:type="dxa"/>
              <w:right w:w="85" w:type="dxa"/>
            </w:tcMar>
          </w:tcPr>
          <w:p w14:paraId="11874B07" w14:textId="77777777" w:rsidR="00E87995" w:rsidRPr="009E06AA" w:rsidRDefault="00E87995" w:rsidP="00B55F24">
            <w:pPr>
              <w:pStyle w:val="TableText"/>
              <w:spacing w:before="40" w:after="40"/>
            </w:pPr>
            <w:r w:rsidRPr="009E06AA">
              <w:rPr>
                <w:color w:val="000000"/>
              </w:rPr>
              <w:t>SCS Wetherill Environmental (unpublished)</w:t>
            </w:r>
          </w:p>
        </w:tc>
      </w:tr>
      <w:tr w:rsidR="00E87995" w:rsidRPr="009E06AA" w14:paraId="26ABACE9" w14:textId="77777777" w:rsidTr="00E770EF">
        <w:tc>
          <w:tcPr>
            <w:tcW w:w="2268" w:type="dxa"/>
            <w:shd w:val="clear" w:color="auto" w:fill="FFFFFF"/>
            <w:tcMar>
              <w:top w:w="0" w:type="dxa"/>
              <w:left w:w="85" w:type="dxa"/>
              <w:bottom w:w="0" w:type="dxa"/>
              <w:right w:w="85" w:type="dxa"/>
            </w:tcMar>
          </w:tcPr>
          <w:p w14:paraId="13FA166E" w14:textId="77777777" w:rsidR="00E87995" w:rsidRPr="009E06AA" w:rsidRDefault="00E87995" w:rsidP="00B55F24">
            <w:pPr>
              <w:pStyle w:val="TableText"/>
              <w:spacing w:before="40" w:after="40"/>
            </w:pPr>
            <w:r w:rsidRPr="009E06AA">
              <w:rPr>
                <w:color w:val="000000"/>
              </w:rPr>
              <w:t>Methane correction factor</w:t>
            </w:r>
          </w:p>
        </w:tc>
        <w:tc>
          <w:tcPr>
            <w:tcW w:w="1276" w:type="dxa"/>
            <w:shd w:val="clear" w:color="auto" w:fill="FFFFFF"/>
            <w:tcMar>
              <w:top w:w="0" w:type="dxa"/>
              <w:left w:w="85" w:type="dxa"/>
              <w:bottom w:w="0" w:type="dxa"/>
              <w:right w:w="85" w:type="dxa"/>
            </w:tcMar>
          </w:tcPr>
          <w:p w14:paraId="7C3B4470" w14:textId="77777777" w:rsidR="00E87995" w:rsidRPr="009E06AA" w:rsidRDefault="00E87995" w:rsidP="00E770EF">
            <w:pPr>
              <w:pStyle w:val="TableText"/>
              <w:spacing w:before="40" w:after="40"/>
              <w:jc w:val="right"/>
            </w:pPr>
            <w:r w:rsidRPr="009E06AA">
              <w:rPr>
                <w:color w:val="000000"/>
              </w:rPr>
              <w:t>Range of 0–0.55</w:t>
            </w:r>
          </w:p>
        </w:tc>
        <w:tc>
          <w:tcPr>
            <w:tcW w:w="1701" w:type="dxa"/>
            <w:shd w:val="clear" w:color="auto" w:fill="FFFFFF"/>
            <w:tcMar>
              <w:top w:w="0" w:type="dxa"/>
              <w:left w:w="85" w:type="dxa"/>
              <w:bottom w:w="0" w:type="dxa"/>
              <w:right w:w="85" w:type="dxa"/>
            </w:tcMar>
          </w:tcPr>
          <w:p w14:paraId="08BD6BA9" w14:textId="77777777" w:rsidR="00E87995" w:rsidRPr="009E06AA" w:rsidRDefault="00E87995" w:rsidP="00B55F24">
            <w:pPr>
              <w:pStyle w:val="TableText"/>
              <w:spacing w:before="40" w:after="40"/>
            </w:pPr>
            <w:r w:rsidRPr="009E06AA" w:rsidDel="00EC5DB8">
              <w:rPr>
                <w:color w:val="000000"/>
              </w:rPr>
              <w:t>New Zealand</w:t>
            </w:r>
            <w:r w:rsidRPr="009E06AA">
              <w:rPr>
                <w:color w:val="000000"/>
              </w:rPr>
              <w:t xml:space="preserve"> specific</w:t>
            </w:r>
          </w:p>
        </w:tc>
        <w:tc>
          <w:tcPr>
            <w:tcW w:w="3260" w:type="dxa"/>
            <w:shd w:val="clear" w:color="auto" w:fill="FFFFFF"/>
            <w:tcMar>
              <w:top w:w="0" w:type="dxa"/>
              <w:left w:w="85" w:type="dxa"/>
              <w:bottom w:w="0" w:type="dxa"/>
              <w:right w:w="85" w:type="dxa"/>
            </w:tcMar>
          </w:tcPr>
          <w:p w14:paraId="65D7E651" w14:textId="77777777" w:rsidR="00E87995" w:rsidRPr="009E06AA" w:rsidRDefault="00E87995" w:rsidP="00B55F24">
            <w:pPr>
              <w:pStyle w:val="TableText"/>
              <w:spacing w:before="40" w:after="40"/>
            </w:pPr>
            <w:r w:rsidRPr="009E06AA">
              <w:rPr>
                <w:color w:val="000000"/>
              </w:rPr>
              <w:t>SCS Wetherill Environmental (unpublished)</w:t>
            </w:r>
          </w:p>
        </w:tc>
      </w:tr>
      <w:tr w:rsidR="00E87995" w:rsidRPr="009E06AA" w14:paraId="0C080BD3" w14:textId="77777777" w:rsidTr="00E770EF">
        <w:tc>
          <w:tcPr>
            <w:tcW w:w="2268" w:type="dxa"/>
            <w:shd w:val="clear" w:color="auto" w:fill="FFFFFF"/>
            <w:tcMar>
              <w:top w:w="0" w:type="dxa"/>
              <w:left w:w="85" w:type="dxa"/>
              <w:bottom w:w="0" w:type="dxa"/>
              <w:right w:w="85" w:type="dxa"/>
            </w:tcMar>
          </w:tcPr>
          <w:p w14:paraId="2315274F" w14:textId="77777777" w:rsidR="00E87995" w:rsidRPr="009E06AA" w:rsidRDefault="00E87995" w:rsidP="00B55F24">
            <w:pPr>
              <w:pStyle w:val="TableText"/>
              <w:spacing w:before="40" w:after="40"/>
            </w:pPr>
            <w:r w:rsidRPr="009E06AA">
              <w:rPr>
                <w:color w:val="000000"/>
              </w:rPr>
              <w:t>Maximum methane-producing capacity (kg CH₄/kg COD)</w:t>
            </w:r>
          </w:p>
        </w:tc>
        <w:tc>
          <w:tcPr>
            <w:tcW w:w="1276" w:type="dxa"/>
            <w:shd w:val="clear" w:color="auto" w:fill="FFFFFF"/>
            <w:tcMar>
              <w:top w:w="0" w:type="dxa"/>
              <w:left w:w="85" w:type="dxa"/>
              <w:bottom w:w="0" w:type="dxa"/>
              <w:right w:w="85" w:type="dxa"/>
            </w:tcMar>
          </w:tcPr>
          <w:p w14:paraId="7D91D22B" w14:textId="77777777" w:rsidR="00E87995" w:rsidRPr="009E06AA" w:rsidRDefault="00E87995" w:rsidP="00E770EF">
            <w:pPr>
              <w:pStyle w:val="TableText"/>
              <w:spacing w:before="40" w:after="40"/>
              <w:jc w:val="right"/>
            </w:pPr>
            <w:r w:rsidRPr="009E06AA">
              <w:rPr>
                <w:color w:val="000000"/>
              </w:rPr>
              <w:t>0.25</w:t>
            </w:r>
          </w:p>
        </w:tc>
        <w:tc>
          <w:tcPr>
            <w:tcW w:w="1701" w:type="dxa"/>
            <w:shd w:val="clear" w:color="auto" w:fill="FFFFFF"/>
            <w:tcMar>
              <w:top w:w="0" w:type="dxa"/>
              <w:left w:w="85" w:type="dxa"/>
              <w:bottom w:w="0" w:type="dxa"/>
              <w:right w:w="85" w:type="dxa"/>
            </w:tcMar>
          </w:tcPr>
          <w:p w14:paraId="5E38BEF8" w14:textId="77777777" w:rsidR="00E87995" w:rsidRPr="009E06AA" w:rsidRDefault="00E87995" w:rsidP="00B55F24">
            <w:pPr>
              <w:pStyle w:val="TableText"/>
              <w:spacing w:before="40" w:after="40"/>
            </w:pPr>
            <w:r w:rsidRPr="009E06AA">
              <w:rPr>
                <w:color w:val="000000"/>
              </w:rPr>
              <w:t>IPCC default</w:t>
            </w:r>
          </w:p>
        </w:tc>
        <w:tc>
          <w:tcPr>
            <w:tcW w:w="3260" w:type="dxa"/>
            <w:shd w:val="clear" w:color="auto" w:fill="FFFFFF"/>
            <w:tcMar>
              <w:top w:w="0" w:type="dxa"/>
              <w:left w:w="85" w:type="dxa"/>
              <w:bottom w:w="0" w:type="dxa"/>
              <w:right w:w="85" w:type="dxa"/>
            </w:tcMar>
          </w:tcPr>
          <w:p w14:paraId="420319F8" w14:textId="77777777" w:rsidR="00E87995" w:rsidRPr="009E06AA" w:rsidRDefault="00E87995" w:rsidP="00B55F24">
            <w:pPr>
              <w:pStyle w:val="TableText"/>
              <w:spacing w:before="40" w:after="40"/>
            </w:pPr>
            <w:r w:rsidRPr="009E06AA">
              <w:rPr>
                <w:color w:val="000000"/>
              </w:rPr>
              <w:t>IPCC (2006a)</w:t>
            </w:r>
          </w:p>
        </w:tc>
      </w:tr>
      <w:tr w:rsidR="00E87995" w:rsidRPr="009E06AA" w14:paraId="16B4D1A4" w14:textId="77777777" w:rsidTr="00E770EF">
        <w:tc>
          <w:tcPr>
            <w:tcW w:w="2268" w:type="dxa"/>
            <w:shd w:val="clear" w:color="auto" w:fill="FFFFFF"/>
            <w:tcMar>
              <w:top w:w="0" w:type="dxa"/>
              <w:left w:w="85" w:type="dxa"/>
              <w:bottom w:w="0" w:type="dxa"/>
              <w:right w:w="85" w:type="dxa"/>
            </w:tcMar>
          </w:tcPr>
          <w:p w14:paraId="2BBA5121" w14:textId="77777777" w:rsidR="00E87995" w:rsidRPr="009E06AA" w:rsidRDefault="00E87995" w:rsidP="00B55F24">
            <w:pPr>
              <w:pStyle w:val="TableText"/>
              <w:spacing w:before="40" w:after="40"/>
            </w:pPr>
            <w:r w:rsidRPr="009E06AA">
              <w:rPr>
                <w:color w:val="000000"/>
              </w:rPr>
              <w:t>Overall emission factor</w:t>
            </w:r>
          </w:p>
        </w:tc>
        <w:tc>
          <w:tcPr>
            <w:tcW w:w="1276" w:type="dxa"/>
            <w:shd w:val="clear" w:color="auto" w:fill="FFFFFF"/>
            <w:tcMar>
              <w:top w:w="0" w:type="dxa"/>
              <w:left w:w="85" w:type="dxa"/>
              <w:bottom w:w="0" w:type="dxa"/>
              <w:right w:w="85" w:type="dxa"/>
            </w:tcMar>
          </w:tcPr>
          <w:p w14:paraId="25C730A9" w14:textId="77777777" w:rsidR="00E87995" w:rsidRPr="009E06AA" w:rsidRDefault="00E87995" w:rsidP="00E770EF">
            <w:pPr>
              <w:pStyle w:val="TableText"/>
              <w:spacing w:before="40" w:after="40"/>
              <w:jc w:val="right"/>
            </w:pPr>
            <w:r w:rsidRPr="009E06AA">
              <w:rPr>
                <w:color w:val="000000"/>
              </w:rPr>
              <w:t>0.0124</w:t>
            </w:r>
          </w:p>
        </w:tc>
        <w:tc>
          <w:tcPr>
            <w:tcW w:w="1701" w:type="dxa"/>
            <w:shd w:val="clear" w:color="auto" w:fill="FFFFFF"/>
            <w:tcMar>
              <w:top w:w="0" w:type="dxa"/>
              <w:left w:w="85" w:type="dxa"/>
              <w:bottom w:w="0" w:type="dxa"/>
              <w:right w:w="85" w:type="dxa"/>
            </w:tcMar>
          </w:tcPr>
          <w:p w14:paraId="65A29CC8" w14:textId="77777777" w:rsidR="00E87995" w:rsidRPr="009E06AA" w:rsidRDefault="00E87995" w:rsidP="00B55F24">
            <w:pPr>
              <w:pStyle w:val="TableText"/>
              <w:spacing w:before="40" w:after="40"/>
            </w:pPr>
            <w:r w:rsidRPr="009E06AA" w:rsidDel="00EC5DB8">
              <w:rPr>
                <w:color w:val="000000"/>
              </w:rPr>
              <w:t>New Zealand</w:t>
            </w:r>
            <w:r w:rsidRPr="009E06AA">
              <w:rPr>
                <w:color w:val="000000"/>
              </w:rPr>
              <w:t xml:space="preserve"> specific</w:t>
            </w:r>
          </w:p>
        </w:tc>
        <w:tc>
          <w:tcPr>
            <w:tcW w:w="3260" w:type="dxa"/>
            <w:shd w:val="clear" w:color="auto" w:fill="FFFFFF"/>
            <w:tcMar>
              <w:top w:w="0" w:type="dxa"/>
              <w:left w:w="85" w:type="dxa"/>
              <w:bottom w:w="0" w:type="dxa"/>
              <w:right w:w="85" w:type="dxa"/>
            </w:tcMar>
          </w:tcPr>
          <w:p w14:paraId="2A65993F" w14:textId="77777777" w:rsidR="00E87995" w:rsidRPr="009E06AA" w:rsidRDefault="00E87995" w:rsidP="00B55F24">
            <w:pPr>
              <w:pStyle w:val="TableText"/>
              <w:spacing w:before="40" w:after="40"/>
            </w:pPr>
            <w:r w:rsidRPr="009E06AA">
              <w:rPr>
                <w:color w:val="000000"/>
              </w:rPr>
              <w:t>SCS Wetherill Environmental (unpublished)</w:t>
            </w:r>
          </w:p>
        </w:tc>
      </w:tr>
    </w:tbl>
    <w:p w14:paraId="31DB4C8E" w14:textId="77777777" w:rsidR="00E87995" w:rsidRPr="009E06AA" w:rsidRDefault="00E87995" w:rsidP="00E87995">
      <w:pPr>
        <w:pStyle w:val="Noteundertable"/>
      </w:pPr>
      <w:r w:rsidRPr="009E06AA">
        <w:rPr>
          <w:b/>
          <w:bCs/>
        </w:rPr>
        <w:t>Note:</w:t>
      </w:r>
      <w:r w:rsidRPr="009E06AA">
        <w:tab/>
        <w:t>COD = chemical oxygen demand.</w:t>
      </w:r>
    </w:p>
    <w:p w14:paraId="4514C478" w14:textId="77777777" w:rsidR="00E87995" w:rsidRPr="009E06AA" w:rsidRDefault="00E87995" w:rsidP="00E87995">
      <w:pPr>
        <w:pStyle w:val="Heading6"/>
      </w:pPr>
      <w:bookmarkStart w:id="3071" w:name="recovery-6"/>
      <w:r w:rsidRPr="009E06AA">
        <w:t>Recovery</w:t>
      </w:r>
    </w:p>
    <w:p w14:paraId="48C2041D" w14:textId="77777777" w:rsidR="00E87995" w:rsidRPr="009E06AA" w:rsidRDefault="00E87995" w:rsidP="00E87995">
      <w:pPr>
        <w:pStyle w:val="BodyText"/>
        <w:spacing w:before="100" w:after="100"/>
      </w:pPr>
      <w:r w:rsidRPr="009E06AA">
        <w:t>There is no recovery of emissions reported for this source.</w:t>
      </w:r>
    </w:p>
    <w:p w14:paraId="5624A22D" w14:textId="77777777" w:rsidR="00E87995" w:rsidRPr="009E06AA" w:rsidRDefault="00E87995" w:rsidP="00BF2A76">
      <w:pPr>
        <w:pStyle w:val="Heading5"/>
      </w:pPr>
      <w:bookmarkStart w:id="3072" w:name="Xe49511f11d376eec0be6644f93ad4abce330135"/>
      <w:bookmarkEnd w:id="3065"/>
      <w:bookmarkEnd w:id="3071"/>
      <w:r w:rsidRPr="009E06AA">
        <w:t>Nitrous oxide emissions from industrial wastewater treatment – Meat industry</w:t>
      </w:r>
    </w:p>
    <w:p w14:paraId="566E89CA" w14:textId="77777777" w:rsidR="00E87995" w:rsidRPr="009E06AA" w:rsidRDefault="00E87995" w:rsidP="00E87995">
      <w:pPr>
        <w:pStyle w:val="BodyText"/>
        <w:spacing w:before="100"/>
      </w:pPr>
      <w:r w:rsidRPr="009E06AA">
        <w:t>Table 7.5.13 summarises the parameter values applied for estimating N</w:t>
      </w:r>
      <w:r w:rsidRPr="009E06AA">
        <w:rPr>
          <w:vertAlign w:val="subscript"/>
        </w:rPr>
        <w:t>2</w:t>
      </w:r>
      <w:r w:rsidRPr="009E06AA">
        <w:t>O emissions from wastewater treatment by the meat industry.</w:t>
      </w:r>
    </w:p>
    <w:p w14:paraId="69A8E45F" w14:textId="77777777" w:rsidR="00E87995" w:rsidRPr="009E06AA" w:rsidRDefault="00E87995" w:rsidP="00E87995">
      <w:pPr>
        <w:pStyle w:val="Table"/>
      </w:pPr>
      <w:bookmarkStart w:id="3073" w:name="_Toc128383691"/>
      <w:bookmarkStart w:id="3074" w:name="_Toc131591464"/>
      <w:bookmarkStart w:id="3075" w:name="_Toc160537343"/>
      <w:bookmarkStart w:id="3076" w:name="_Toc160537705"/>
      <w:bookmarkStart w:id="3077" w:name="_Toc164153955"/>
      <w:r w:rsidRPr="009E06AA">
        <w:t>Table 7.5.13</w:t>
      </w:r>
      <w:r w:rsidRPr="009E06AA">
        <w:tab/>
        <w:t xml:space="preserve">Parameter values applied by </w:t>
      </w:r>
      <w:r w:rsidRPr="009E06AA" w:rsidDel="00747A34">
        <w:t>New Zealand</w:t>
      </w:r>
      <w:r w:rsidRPr="009E06AA">
        <w:t xml:space="preserve"> for estimating nitrous oxide emissions for wastewater treatment for the meat industry</w:t>
      </w:r>
      <w:bookmarkEnd w:id="3073"/>
      <w:bookmarkEnd w:id="3074"/>
      <w:bookmarkEnd w:id="3075"/>
      <w:bookmarkEnd w:id="3076"/>
      <w:bookmarkEnd w:id="3077"/>
    </w:p>
    <w:tbl>
      <w:tblPr>
        <w:tblW w:w="8505" w:type="dxa"/>
        <w:tblBorders>
          <w:top w:val="single" w:sz="4" w:space="0" w:color="1B556B" w:themeColor="text2"/>
          <w:bottom w:val="single" w:sz="4" w:space="0" w:color="1B556B" w:themeColor="text2"/>
          <w:insideH w:val="single" w:sz="4" w:space="0" w:color="1B556B" w:themeColor="text2"/>
        </w:tblBorders>
        <w:tblLook w:val="0420" w:firstRow="1" w:lastRow="0" w:firstColumn="0" w:lastColumn="0" w:noHBand="0" w:noVBand="1"/>
      </w:tblPr>
      <w:tblGrid>
        <w:gridCol w:w="2977"/>
        <w:gridCol w:w="1842"/>
        <w:gridCol w:w="1560"/>
        <w:gridCol w:w="2126"/>
      </w:tblGrid>
      <w:tr w:rsidR="00E87995" w:rsidRPr="009E06AA" w14:paraId="5EDB9F96" w14:textId="77777777" w:rsidTr="00B55F24">
        <w:trPr>
          <w:tblHeader/>
        </w:trPr>
        <w:tc>
          <w:tcPr>
            <w:tcW w:w="1750" w:type="pct"/>
            <w:shd w:val="clear" w:color="auto" w:fill="1B556B"/>
            <w:tcMar>
              <w:top w:w="0" w:type="dxa"/>
              <w:left w:w="85" w:type="dxa"/>
              <w:bottom w:w="0" w:type="dxa"/>
              <w:right w:w="85" w:type="dxa"/>
            </w:tcMar>
          </w:tcPr>
          <w:p w14:paraId="0F4DF020" w14:textId="77777777" w:rsidR="00E87995" w:rsidRPr="009E06AA" w:rsidRDefault="00E87995" w:rsidP="00B55F24">
            <w:pPr>
              <w:pStyle w:val="TableText"/>
              <w:spacing w:before="40" w:after="40"/>
              <w:rPr>
                <w:b/>
                <w:bCs/>
                <w:color w:val="FFFFFF" w:themeColor="background1"/>
              </w:rPr>
            </w:pPr>
            <w:r w:rsidRPr="009E06AA">
              <w:rPr>
                <w:b/>
                <w:bCs/>
                <w:color w:val="FFFFFF" w:themeColor="background1"/>
              </w:rPr>
              <w:t>Parameter</w:t>
            </w:r>
          </w:p>
        </w:tc>
        <w:tc>
          <w:tcPr>
            <w:tcW w:w="1083" w:type="pct"/>
            <w:shd w:val="clear" w:color="auto" w:fill="1B556B"/>
            <w:tcMar>
              <w:top w:w="0" w:type="dxa"/>
              <w:left w:w="85" w:type="dxa"/>
              <w:bottom w:w="0" w:type="dxa"/>
              <w:right w:w="85" w:type="dxa"/>
            </w:tcMar>
          </w:tcPr>
          <w:p w14:paraId="3C01A669" w14:textId="77777777" w:rsidR="00E87995" w:rsidRPr="009E06AA" w:rsidRDefault="00E87995" w:rsidP="00240523">
            <w:pPr>
              <w:pStyle w:val="TableText"/>
              <w:spacing w:before="40" w:after="40"/>
              <w:jc w:val="right"/>
              <w:rPr>
                <w:b/>
                <w:bCs/>
                <w:color w:val="FFFFFF" w:themeColor="background1"/>
              </w:rPr>
            </w:pPr>
            <w:r w:rsidRPr="009E06AA">
              <w:rPr>
                <w:b/>
                <w:bCs/>
                <w:color w:val="FFFFFF" w:themeColor="background1"/>
              </w:rPr>
              <w:t>Value</w:t>
            </w:r>
          </w:p>
        </w:tc>
        <w:tc>
          <w:tcPr>
            <w:tcW w:w="917" w:type="pct"/>
            <w:shd w:val="clear" w:color="auto" w:fill="1B556B"/>
            <w:tcMar>
              <w:top w:w="0" w:type="dxa"/>
              <w:left w:w="85" w:type="dxa"/>
              <w:bottom w:w="0" w:type="dxa"/>
              <w:right w:w="85" w:type="dxa"/>
            </w:tcMar>
          </w:tcPr>
          <w:p w14:paraId="2659D91F" w14:textId="77777777" w:rsidR="00E87995" w:rsidRPr="009E06AA" w:rsidRDefault="00E87995" w:rsidP="00B55F24">
            <w:pPr>
              <w:pStyle w:val="TableText"/>
              <w:spacing w:before="40" w:after="40"/>
              <w:rPr>
                <w:b/>
                <w:bCs/>
                <w:color w:val="FFFFFF" w:themeColor="background1"/>
              </w:rPr>
            </w:pPr>
            <w:r w:rsidRPr="009E06AA">
              <w:rPr>
                <w:b/>
                <w:bCs/>
                <w:color w:val="FFFFFF" w:themeColor="background1"/>
              </w:rPr>
              <w:t>Source</w:t>
            </w:r>
          </w:p>
        </w:tc>
        <w:tc>
          <w:tcPr>
            <w:tcW w:w="1250" w:type="pct"/>
            <w:shd w:val="clear" w:color="auto" w:fill="1B556B"/>
            <w:tcMar>
              <w:top w:w="0" w:type="dxa"/>
              <w:left w:w="85" w:type="dxa"/>
              <w:bottom w:w="0" w:type="dxa"/>
              <w:right w:w="85" w:type="dxa"/>
            </w:tcMar>
          </w:tcPr>
          <w:p w14:paraId="5FEB3EF8" w14:textId="77777777" w:rsidR="00E87995" w:rsidRPr="009E06AA" w:rsidRDefault="00E87995" w:rsidP="00B55F24">
            <w:pPr>
              <w:pStyle w:val="TableText"/>
              <w:spacing w:before="40" w:after="40"/>
              <w:rPr>
                <w:b/>
                <w:bCs/>
                <w:color w:val="FFFFFF" w:themeColor="background1"/>
              </w:rPr>
            </w:pPr>
            <w:r w:rsidRPr="009E06AA">
              <w:rPr>
                <w:b/>
                <w:bCs/>
                <w:color w:val="FFFFFF" w:themeColor="background1"/>
              </w:rPr>
              <w:t>Reference</w:t>
            </w:r>
          </w:p>
        </w:tc>
      </w:tr>
      <w:tr w:rsidR="00E87995" w:rsidRPr="009E06AA" w14:paraId="12CC931A" w14:textId="77777777" w:rsidTr="00B55F24">
        <w:tc>
          <w:tcPr>
            <w:tcW w:w="1750" w:type="pct"/>
            <w:shd w:val="clear" w:color="auto" w:fill="FFFFFF"/>
            <w:tcMar>
              <w:top w:w="0" w:type="dxa"/>
              <w:left w:w="85" w:type="dxa"/>
              <w:bottom w:w="0" w:type="dxa"/>
              <w:right w:w="85" w:type="dxa"/>
            </w:tcMar>
          </w:tcPr>
          <w:p w14:paraId="2A86221F" w14:textId="77777777" w:rsidR="00E87995" w:rsidRPr="009E06AA" w:rsidRDefault="00E87995" w:rsidP="00B55F24">
            <w:pPr>
              <w:pStyle w:val="TableText"/>
              <w:spacing w:before="40" w:after="40"/>
            </w:pPr>
            <w:r w:rsidRPr="009E06AA">
              <w:rPr>
                <w:color w:val="000000"/>
              </w:rPr>
              <w:t>Degradable organic component (kg COD/tonne of product)</w:t>
            </w:r>
          </w:p>
        </w:tc>
        <w:tc>
          <w:tcPr>
            <w:tcW w:w="1083" w:type="pct"/>
            <w:shd w:val="clear" w:color="auto" w:fill="FFFFFF"/>
            <w:tcMar>
              <w:top w:w="0" w:type="dxa"/>
              <w:left w:w="85" w:type="dxa"/>
              <w:bottom w:w="0" w:type="dxa"/>
              <w:right w:w="85" w:type="dxa"/>
            </w:tcMar>
          </w:tcPr>
          <w:p w14:paraId="76D7D6ED" w14:textId="77777777" w:rsidR="00E87995" w:rsidRPr="009E06AA" w:rsidRDefault="00E87995" w:rsidP="00240523">
            <w:pPr>
              <w:pStyle w:val="TableText"/>
              <w:spacing w:before="40" w:after="40"/>
              <w:jc w:val="right"/>
            </w:pPr>
            <w:r w:rsidRPr="009E06AA">
              <w:rPr>
                <w:color w:val="000000"/>
              </w:rPr>
              <w:t>50</w:t>
            </w:r>
          </w:p>
        </w:tc>
        <w:tc>
          <w:tcPr>
            <w:tcW w:w="917" w:type="pct"/>
            <w:shd w:val="clear" w:color="auto" w:fill="FFFFFF"/>
            <w:tcMar>
              <w:top w:w="0" w:type="dxa"/>
              <w:left w:w="85" w:type="dxa"/>
              <w:bottom w:w="0" w:type="dxa"/>
              <w:right w:w="85" w:type="dxa"/>
            </w:tcMar>
          </w:tcPr>
          <w:p w14:paraId="515D2FDE" w14:textId="77777777" w:rsidR="00E87995" w:rsidRPr="009E06AA" w:rsidRDefault="00E87995" w:rsidP="00B55F24">
            <w:pPr>
              <w:pStyle w:val="TableText"/>
              <w:spacing w:before="40" w:after="40"/>
            </w:pPr>
            <w:r w:rsidRPr="009E06AA" w:rsidDel="00747A34">
              <w:rPr>
                <w:color w:val="000000"/>
              </w:rPr>
              <w:t>New Zealand</w:t>
            </w:r>
            <w:r w:rsidRPr="009E06AA">
              <w:rPr>
                <w:color w:val="000000"/>
              </w:rPr>
              <w:t xml:space="preserve"> specific</w:t>
            </w:r>
          </w:p>
        </w:tc>
        <w:tc>
          <w:tcPr>
            <w:tcW w:w="1250" w:type="pct"/>
            <w:shd w:val="clear" w:color="auto" w:fill="FFFFFF"/>
            <w:tcMar>
              <w:top w:w="0" w:type="dxa"/>
              <w:left w:w="85" w:type="dxa"/>
              <w:bottom w:w="0" w:type="dxa"/>
              <w:right w:w="85" w:type="dxa"/>
            </w:tcMar>
          </w:tcPr>
          <w:p w14:paraId="7F023588" w14:textId="77777777" w:rsidR="00E87995" w:rsidRPr="009E06AA" w:rsidRDefault="00E87995" w:rsidP="00B55F24">
            <w:pPr>
              <w:pStyle w:val="TableText"/>
              <w:spacing w:before="40" w:after="40"/>
            </w:pPr>
            <w:r w:rsidRPr="009E06AA">
              <w:rPr>
                <w:color w:val="000000"/>
              </w:rPr>
              <w:t>SCS Wetherill Environmental (unpublished)</w:t>
            </w:r>
          </w:p>
        </w:tc>
      </w:tr>
      <w:tr w:rsidR="00E87995" w:rsidRPr="009E06AA" w14:paraId="2390F5CC" w14:textId="77777777" w:rsidTr="00B55F24">
        <w:tc>
          <w:tcPr>
            <w:tcW w:w="1750" w:type="pct"/>
            <w:shd w:val="clear" w:color="auto" w:fill="FFFFFF"/>
            <w:tcMar>
              <w:top w:w="0" w:type="dxa"/>
              <w:left w:w="85" w:type="dxa"/>
              <w:bottom w:w="0" w:type="dxa"/>
              <w:right w:w="85" w:type="dxa"/>
            </w:tcMar>
          </w:tcPr>
          <w:p w14:paraId="4D34071D" w14:textId="77777777" w:rsidR="00E87995" w:rsidRPr="009E06AA" w:rsidRDefault="00E87995" w:rsidP="00B55F24">
            <w:pPr>
              <w:pStyle w:val="TableText"/>
              <w:spacing w:before="40" w:after="40"/>
            </w:pPr>
            <w:r w:rsidRPr="009E06AA">
              <w:rPr>
                <w:color w:val="000000"/>
              </w:rPr>
              <w:t>Ratio of total nitrogen to biodegradable COD (TN:COD</w:t>
            </w:r>
            <w:r w:rsidRPr="009E06AA">
              <w:rPr>
                <w:color w:val="000000"/>
                <w:vertAlign w:val="subscript"/>
              </w:rPr>
              <w:t>b</w:t>
            </w:r>
            <w:r w:rsidRPr="009E06AA">
              <w:rPr>
                <w:color w:val="000000"/>
              </w:rPr>
              <w:t>)</w:t>
            </w:r>
          </w:p>
        </w:tc>
        <w:tc>
          <w:tcPr>
            <w:tcW w:w="1083" w:type="pct"/>
            <w:shd w:val="clear" w:color="auto" w:fill="FFFFFF"/>
            <w:tcMar>
              <w:top w:w="0" w:type="dxa"/>
              <w:left w:w="85" w:type="dxa"/>
              <w:bottom w:w="0" w:type="dxa"/>
              <w:right w:w="85" w:type="dxa"/>
            </w:tcMar>
          </w:tcPr>
          <w:p w14:paraId="6001C5FD" w14:textId="77777777" w:rsidR="00E87995" w:rsidRPr="009E06AA" w:rsidRDefault="00E87995" w:rsidP="00240523">
            <w:pPr>
              <w:pStyle w:val="TableText"/>
              <w:spacing w:before="40" w:after="40"/>
              <w:jc w:val="right"/>
            </w:pPr>
            <w:r w:rsidRPr="009E06AA">
              <w:rPr>
                <w:color w:val="000000"/>
              </w:rPr>
              <w:t>0.09</w:t>
            </w:r>
          </w:p>
        </w:tc>
        <w:tc>
          <w:tcPr>
            <w:tcW w:w="917" w:type="pct"/>
            <w:shd w:val="clear" w:color="auto" w:fill="FFFFFF"/>
            <w:tcMar>
              <w:top w:w="0" w:type="dxa"/>
              <w:left w:w="85" w:type="dxa"/>
              <w:bottom w:w="0" w:type="dxa"/>
              <w:right w:w="85" w:type="dxa"/>
            </w:tcMar>
          </w:tcPr>
          <w:p w14:paraId="3F156EAD" w14:textId="77777777" w:rsidR="00E87995" w:rsidRPr="009E06AA" w:rsidRDefault="00E87995" w:rsidP="00B55F24">
            <w:pPr>
              <w:pStyle w:val="TableText"/>
              <w:spacing w:before="40" w:after="40"/>
            </w:pPr>
            <w:r w:rsidRPr="009E06AA" w:rsidDel="00A06AA2">
              <w:rPr>
                <w:color w:val="000000"/>
              </w:rPr>
              <w:t>New Zealand</w:t>
            </w:r>
            <w:r w:rsidRPr="009E06AA">
              <w:rPr>
                <w:color w:val="000000"/>
              </w:rPr>
              <w:t xml:space="preserve"> specific</w:t>
            </w:r>
          </w:p>
        </w:tc>
        <w:tc>
          <w:tcPr>
            <w:tcW w:w="1250" w:type="pct"/>
            <w:shd w:val="clear" w:color="auto" w:fill="FFFFFF"/>
            <w:tcMar>
              <w:top w:w="0" w:type="dxa"/>
              <w:left w:w="85" w:type="dxa"/>
              <w:bottom w:w="0" w:type="dxa"/>
              <w:right w:w="85" w:type="dxa"/>
            </w:tcMar>
          </w:tcPr>
          <w:p w14:paraId="3443AEAD" w14:textId="77777777" w:rsidR="00E87995" w:rsidRPr="009E06AA" w:rsidRDefault="00E87995" w:rsidP="00B55F24">
            <w:pPr>
              <w:pStyle w:val="TableText"/>
              <w:spacing w:before="40" w:after="40"/>
            </w:pPr>
            <w:r w:rsidRPr="009E06AA">
              <w:rPr>
                <w:color w:val="000000"/>
              </w:rPr>
              <w:t>Cardno (unpublished)</w:t>
            </w:r>
          </w:p>
        </w:tc>
      </w:tr>
      <w:tr w:rsidR="00E87995" w:rsidRPr="009E06AA" w14:paraId="2F07188D" w14:textId="77777777" w:rsidTr="00B55F24">
        <w:tc>
          <w:tcPr>
            <w:tcW w:w="1750" w:type="pct"/>
            <w:shd w:val="clear" w:color="auto" w:fill="FFFFFF"/>
            <w:tcMar>
              <w:top w:w="0" w:type="dxa"/>
              <w:left w:w="85" w:type="dxa"/>
              <w:bottom w:w="0" w:type="dxa"/>
              <w:right w:w="85" w:type="dxa"/>
            </w:tcMar>
          </w:tcPr>
          <w:p w14:paraId="0B324983" w14:textId="77777777" w:rsidR="00E87995" w:rsidRPr="009E06AA" w:rsidRDefault="00E87995" w:rsidP="00B55F24">
            <w:pPr>
              <w:pStyle w:val="TableText"/>
              <w:spacing w:before="40" w:after="40"/>
            </w:pPr>
            <w:r w:rsidRPr="009E06AA">
              <w:rPr>
                <w:color w:val="000000"/>
              </w:rPr>
              <w:t>Overall emission factor</w:t>
            </w:r>
          </w:p>
        </w:tc>
        <w:tc>
          <w:tcPr>
            <w:tcW w:w="1083" w:type="pct"/>
            <w:shd w:val="clear" w:color="auto" w:fill="FFFFFF"/>
            <w:tcMar>
              <w:top w:w="0" w:type="dxa"/>
              <w:left w:w="85" w:type="dxa"/>
              <w:bottom w:w="0" w:type="dxa"/>
              <w:right w:w="85" w:type="dxa"/>
            </w:tcMar>
          </w:tcPr>
          <w:p w14:paraId="233AD51F" w14:textId="77777777" w:rsidR="00E87995" w:rsidRPr="009E06AA" w:rsidRDefault="00E87995" w:rsidP="00240523">
            <w:pPr>
              <w:pStyle w:val="TableText"/>
              <w:spacing w:before="40" w:after="40"/>
              <w:jc w:val="right"/>
            </w:pPr>
            <w:r w:rsidRPr="009E06AA">
              <w:rPr>
                <w:color w:val="000000"/>
              </w:rPr>
              <w:t>Range of 0.0013–0.0019</w:t>
            </w:r>
          </w:p>
        </w:tc>
        <w:tc>
          <w:tcPr>
            <w:tcW w:w="917" w:type="pct"/>
            <w:shd w:val="clear" w:color="auto" w:fill="FFFFFF"/>
            <w:tcMar>
              <w:top w:w="0" w:type="dxa"/>
              <w:left w:w="85" w:type="dxa"/>
              <w:bottom w:w="0" w:type="dxa"/>
              <w:right w:w="85" w:type="dxa"/>
            </w:tcMar>
          </w:tcPr>
          <w:p w14:paraId="230ED863" w14:textId="77777777" w:rsidR="00E87995" w:rsidRPr="009E06AA" w:rsidRDefault="00E87995" w:rsidP="00B55F24">
            <w:pPr>
              <w:pStyle w:val="TableText"/>
              <w:spacing w:before="40" w:after="40"/>
            </w:pPr>
            <w:r w:rsidRPr="009E06AA" w:rsidDel="00A06AA2">
              <w:rPr>
                <w:color w:val="000000"/>
              </w:rPr>
              <w:t>New Zealand</w:t>
            </w:r>
            <w:r w:rsidRPr="009E06AA">
              <w:rPr>
                <w:color w:val="000000"/>
              </w:rPr>
              <w:t xml:space="preserve"> specific</w:t>
            </w:r>
          </w:p>
        </w:tc>
        <w:tc>
          <w:tcPr>
            <w:tcW w:w="1250" w:type="pct"/>
            <w:shd w:val="clear" w:color="auto" w:fill="FFFFFF"/>
            <w:tcMar>
              <w:top w:w="0" w:type="dxa"/>
              <w:left w:w="85" w:type="dxa"/>
              <w:bottom w:w="0" w:type="dxa"/>
              <w:right w:w="85" w:type="dxa"/>
            </w:tcMar>
          </w:tcPr>
          <w:p w14:paraId="0B900471" w14:textId="77777777" w:rsidR="00E87995" w:rsidRPr="009E06AA" w:rsidRDefault="00E87995" w:rsidP="00B55F24">
            <w:pPr>
              <w:pStyle w:val="TableText"/>
              <w:spacing w:before="40" w:after="40"/>
            </w:pPr>
            <w:r w:rsidRPr="009E06AA">
              <w:rPr>
                <w:color w:val="000000"/>
              </w:rPr>
              <w:t>Cardno (unpublished)</w:t>
            </w:r>
          </w:p>
        </w:tc>
      </w:tr>
    </w:tbl>
    <w:p w14:paraId="3E45A739" w14:textId="77777777" w:rsidR="00E87995" w:rsidRPr="009E06AA" w:rsidRDefault="00E87995" w:rsidP="00E87995">
      <w:pPr>
        <w:pStyle w:val="Noteundertable"/>
        <w:spacing w:after="80"/>
      </w:pPr>
      <w:r w:rsidRPr="009E06AA">
        <w:rPr>
          <w:b/>
          <w:bCs/>
        </w:rPr>
        <w:t>Note:</w:t>
      </w:r>
      <w:r w:rsidRPr="009E06AA">
        <w:tab/>
        <w:t>COD = chemical oxygen demand; TN = total nitrogen.</w:t>
      </w:r>
    </w:p>
    <w:p w14:paraId="112D12EC" w14:textId="77777777" w:rsidR="00E87995" w:rsidRPr="009E06AA" w:rsidRDefault="00E87995" w:rsidP="00E87995">
      <w:pPr>
        <w:pStyle w:val="Heading6"/>
      </w:pPr>
      <w:bookmarkStart w:id="3078" w:name="recovery-7"/>
      <w:r w:rsidRPr="009E06AA">
        <w:t>Recovery</w:t>
      </w:r>
    </w:p>
    <w:p w14:paraId="093B99B7" w14:textId="77777777" w:rsidR="00E87995" w:rsidRPr="009E06AA" w:rsidRDefault="00E87995" w:rsidP="00E87995">
      <w:pPr>
        <w:pStyle w:val="BodyText"/>
        <w:spacing w:before="100" w:after="100"/>
      </w:pPr>
      <w:r w:rsidRPr="009E06AA">
        <w:t>There is no recovery of emissions reported for this source.</w:t>
      </w:r>
    </w:p>
    <w:p w14:paraId="4E84BAE0" w14:textId="77777777" w:rsidR="00E87995" w:rsidRPr="009E06AA" w:rsidRDefault="00E87995" w:rsidP="00BF2A76">
      <w:pPr>
        <w:pStyle w:val="Heading5"/>
      </w:pPr>
      <w:bookmarkStart w:id="3079" w:name="X5d86673037b98ba8b78ea95af024b5ec0c9825a"/>
      <w:bookmarkEnd w:id="3072"/>
      <w:bookmarkEnd w:id="3078"/>
      <w:r w:rsidRPr="009E06AA">
        <w:t>Nitrous oxide emissions from industrial wastewater treatment – Dairy processing industry</w:t>
      </w:r>
    </w:p>
    <w:p w14:paraId="55020275" w14:textId="77777777" w:rsidR="00E87995" w:rsidRPr="009E06AA" w:rsidRDefault="00E87995" w:rsidP="00E87995">
      <w:pPr>
        <w:pStyle w:val="BodyText"/>
        <w:spacing w:before="100" w:after="100"/>
      </w:pPr>
      <w:r w:rsidRPr="009E06AA">
        <w:t>Table 7.5.14 summarises the parameter values applied for estimating N</w:t>
      </w:r>
      <w:r w:rsidRPr="009E06AA">
        <w:rPr>
          <w:vertAlign w:val="subscript"/>
        </w:rPr>
        <w:t>2</w:t>
      </w:r>
      <w:r w:rsidRPr="009E06AA">
        <w:t>O emissions from wastewater treatment by the dairy processing industry.</w:t>
      </w:r>
    </w:p>
    <w:p w14:paraId="49252F99" w14:textId="77777777" w:rsidR="00E87995" w:rsidRPr="009E06AA" w:rsidRDefault="00E87995" w:rsidP="00E87995">
      <w:pPr>
        <w:pStyle w:val="Table"/>
      </w:pPr>
      <w:bookmarkStart w:id="3080" w:name="_Toc128383692"/>
      <w:bookmarkStart w:id="3081" w:name="_Toc131591465"/>
      <w:bookmarkStart w:id="3082" w:name="_Toc160537344"/>
      <w:bookmarkStart w:id="3083" w:name="_Toc160537706"/>
      <w:bookmarkStart w:id="3084" w:name="_Toc164153956"/>
      <w:r w:rsidRPr="009E06AA">
        <w:t>Table 7.5.14</w:t>
      </w:r>
      <w:r w:rsidRPr="009E06AA">
        <w:tab/>
        <w:t xml:space="preserve">Parameter values applied by </w:t>
      </w:r>
      <w:r w:rsidRPr="009E06AA" w:rsidDel="00747A34">
        <w:t>New Zealand</w:t>
      </w:r>
      <w:r w:rsidRPr="009E06AA">
        <w:t xml:space="preserve"> for estimating nitrous oxide emissions for wastewater treatment for the dairy processing industry</w:t>
      </w:r>
      <w:bookmarkEnd w:id="3080"/>
      <w:bookmarkEnd w:id="3081"/>
      <w:bookmarkEnd w:id="3082"/>
      <w:bookmarkEnd w:id="3083"/>
      <w:bookmarkEnd w:id="3084"/>
    </w:p>
    <w:tbl>
      <w:tblPr>
        <w:tblW w:w="8505" w:type="dxa"/>
        <w:tblBorders>
          <w:top w:val="single" w:sz="4" w:space="0" w:color="1B556B" w:themeColor="text2"/>
          <w:bottom w:val="single" w:sz="4" w:space="0" w:color="1B556B" w:themeColor="text2"/>
          <w:insideH w:val="single" w:sz="4" w:space="0" w:color="1B556B" w:themeColor="text2"/>
        </w:tblBorders>
        <w:tblLook w:val="0420" w:firstRow="1" w:lastRow="0" w:firstColumn="0" w:lastColumn="0" w:noHBand="0" w:noVBand="1"/>
      </w:tblPr>
      <w:tblGrid>
        <w:gridCol w:w="4111"/>
        <w:gridCol w:w="992"/>
        <w:gridCol w:w="1657"/>
        <w:gridCol w:w="1745"/>
      </w:tblGrid>
      <w:tr w:rsidR="00E87995" w:rsidRPr="009E06AA" w14:paraId="2000FD6E" w14:textId="77777777" w:rsidTr="00B55F24">
        <w:trPr>
          <w:tblHeader/>
        </w:trPr>
        <w:tc>
          <w:tcPr>
            <w:tcW w:w="2417" w:type="pct"/>
            <w:shd w:val="clear" w:color="auto" w:fill="1B556B"/>
            <w:tcMar>
              <w:top w:w="0" w:type="dxa"/>
              <w:left w:w="85" w:type="dxa"/>
              <w:bottom w:w="0" w:type="dxa"/>
              <w:right w:w="85" w:type="dxa"/>
            </w:tcMar>
          </w:tcPr>
          <w:p w14:paraId="329FEC68" w14:textId="77777777" w:rsidR="00E87995" w:rsidRPr="009E06AA" w:rsidRDefault="00E87995" w:rsidP="00B55F24">
            <w:pPr>
              <w:pStyle w:val="TableText"/>
              <w:spacing w:before="40" w:after="40"/>
              <w:rPr>
                <w:b/>
                <w:bCs/>
                <w:color w:val="FFFFFF" w:themeColor="background1"/>
              </w:rPr>
            </w:pPr>
            <w:r w:rsidRPr="009E06AA">
              <w:rPr>
                <w:b/>
                <w:bCs/>
                <w:color w:val="FFFFFF" w:themeColor="background1"/>
              </w:rPr>
              <w:t>Parameter</w:t>
            </w:r>
          </w:p>
        </w:tc>
        <w:tc>
          <w:tcPr>
            <w:tcW w:w="583" w:type="pct"/>
            <w:shd w:val="clear" w:color="auto" w:fill="1B556B"/>
            <w:tcMar>
              <w:top w:w="0" w:type="dxa"/>
              <w:left w:w="85" w:type="dxa"/>
              <w:bottom w:w="0" w:type="dxa"/>
              <w:right w:w="85" w:type="dxa"/>
            </w:tcMar>
          </w:tcPr>
          <w:p w14:paraId="3C3D13DE" w14:textId="77777777" w:rsidR="00E87995" w:rsidRPr="009E06AA" w:rsidRDefault="00E87995" w:rsidP="00240523">
            <w:pPr>
              <w:pStyle w:val="TableText"/>
              <w:spacing w:before="40" w:after="40"/>
              <w:jc w:val="right"/>
              <w:rPr>
                <w:b/>
                <w:bCs/>
                <w:color w:val="FFFFFF" w:themeColor="background1"/>
              </w:rPr>
            </w:pPr>
            <w:r w:rsidRPr="009E06AA">
              <w:rPr>
                <w:b/>
                <w:bCs/>
                <w:color w:val="FFFFFF" w:themeColor="background1"/>
              </w:rPr>
              <w:t>Value</w:t>
            </w:r>
          </w:p>
        </w:tc>
        <w:tc>
          <w:tcPr>
            <w:tcW w:w="974" w:type="pct"/>
            <w:shd w:val="clear" w:color="auto" w:fill="1B556B"/>
            <w:tcMar>
              <w:top w:w="0" w:type="dxa"/>
              <w:left w:w="85" w:type="dxa"/>
              <w:bottom w:w="0" w:type="dxa"/>
              <w:right w:w="85" w:type="dxa"/>
            </w:tcMar>
          </w:tcPr>
          <w:p w14:paraId="0E300D6F" w14:textId="77777777" w:rsidR="00E87995" w:rsidRPr="009E06AA" w:rsidRDefault="00E87995" w:rsidP="00B55F24">
            <w:pPr>
              <w:pStyle w:val="TableText"/>
              <w:spacing w:before="40" w:after="40"/>
              <w:rPr>
                <w:b/>
                <w:bCs/>
                <w:color w:val="FFFFFF" w:themeColor="background1"/>
              </w:rPr>
            </w:pPr>
            <w:r w:rsidRPr="009E06AA">
              <w:rPr>
                <w:b/>
                <w:bCs/>
                <w:color w:val="FFFFFF" w:themeColor="background1"/>
              </w:rPr>
              <w:t>Source</w:t>
            </w:r>
          </w:p>
        </w:tc>
        <w:tc>
          <w:tcPr>
            <w:tcW w:w="0" w:type="auto"/>
            <w:shd w:val="clear" w:color="auto" w:fill="1B556B"/>
            <w:tcMar>
              <w:top w:w="0" w:type="dxa"/>
              <w:left w:w="85" w:type="dxa"/>
              <w:bottom w:w="0" w:type="dxa"/>
              <w:right w:w="85" w:type="dxa"/>
            </w:tcMar>
          </w:tcPr>
          <w:p w14:paraId="6480105F" w14:textId="77777777" w:rsidR="00E87995" w:rsidRPr="009E06AA" w:rsidRDefault="00E87995" w:rsidP="00B55F24">
            <w:pPr>
              <w:pStyle w:val="TableText"/>
              <w:spacing w:before="40" w:after="40"/>
              <w:rPr>
                <w:b/>
                <w:bCs/>
                <w:color w:val="FFFFFF" w:themeColor="background1"/>
              </w:rPr>
            </w:pPr>
            <w:r w:rsidRPr="009E06AA">
              <w:rPr>
                <w:b/>
                <w:bCs/>
                <w:color w:val="FFFFFF" w:themeColor="background1"/>
              </w:rPr>
              <w:t>Reference</w:t>
            </w:r>
          </w:p>
        </w:tc>
      </w:tr>
      <w:tr w:rsidR="00E87995" w:rsidRPr="009E06AA" w14:paraId="2D8FCD83" w14:textId="77777777" w:rsidTr="00B55F24">
        <w:tc>
          <w:tcPr>
            <w:tcW w:w="2417" w:type="pct"/>
            <w:shd w:val="clear" w:color="auto" w:fill="FFFFFF"/>
            <w:tcMar>
              <w:top w:w="0" w:type="dxa"/>
              <w:left w:w="85" w:type="dxa"/>
              <w:bottom w:w="0" w:type="dxa"/>
              <w:right w:w="85" w:type="dxa"/>
            </w:tcMar>
          </w:tcPr>
          <w:p w14:paraId="61073488" w14:textId="77777777" w:rsidR="00E87995" w:rsidRPr="009E06AA" w:rsidRDefault="00E87995" w:rsidP="00B55F24">
            <w:pPr>
              <w:pStyle w:val="TableText"/>
              <w:spacing w:before="40" w:after="40"/>
            </w:pPr>
            <w:r w:rsidRPr="009E06AA">
              <w:rPr>
                <w:color w:val="000000"/>
              </w:rPr>
              <w:t>Degradable organic component (kg COD/tonne of product)</w:t>
            </w:r>
          </w:p>
        </w:tc>
        <w:tc>
          <w:tcPr>
            <w:tcW w:w="583" w:type="pct"/>
            <w:shd w:val="clear" w:color="auto" w:fill="FFFFFF"/>
            <w:tcMar>
              <w:top w:w="0" w:type="dxa"/>
              <w:left w:w="85" w:type="dxa"/>
              <w:bottom w:w="0" w:type="dxa"/>
              <w:right w:w="85" w:type="dxa"/>
            </w:tcMar>
          </w:tcPr>
          <w:p w14:paraId="6C7741DC" w14:textId="77777777" w:rsidR="00E87995" w:rsidRPr="009E06AA" w:rsidRDefault="00E87995" w:rsidP="00240523">
            <w:pPr>
              <w:pStyle w:val="TableText"/>
              <w:spacing w:before="40" w:after="40"/>
              <w:jc w:val="right"/>
            </w:pPr>
            <w:r w:rsidRPr="009E06AA">
              <w:rPr>
                <w:color w:val="000000"/>
              </w:rPr>
              <w:t>2</w:t>
            </w:r>
          </w:p>
        </w:tc>
        <w:tc>
          <w:tcPr>
            <w:tcW w:w="974" w:type="pct"/>
            <w:shd w:val="clear" w:color="auto" w:fill="FFFFFF"/>
            <w:tcMar>
              <w:top w:w="0" w:type="dxa"/>
              <w:left w:w="85" w:type="dxa"/>
              <w:bottom w:w="0" w:type="dxa"/>
              <w:right w:w="85" w:type="dxa"/>
            </w:tcMar>
          </w:tcPr>
          <w:p w14:paraId="362689D0" w14:textId="77777777" w:rsidR="00E87995" w:rsidRPr="009E06AA" w:rsidRDefault="00E87995" w:rsidP="00B55F24">
            <w:pPr>
              <w:pStyle w:val="TableText"/>
              <w:spacing w:before="40" w:after="40"/>
            </w:pPr>
            <w:r w:rsidRPr="009E06AA" w:rsidDel="00747A34">
              <w:rPr>
                <w:color w:val="000000"/>
              </w:rPr>
              <w:t>New Zealand</w:t>
            </w:r>
            <w:r w:rsidRPr="009E06AA">
              <w:rPr>
                <w:color w:val="000000"/>
              </w:rPr>
              <w:t xml:space="preserve"> specific</w:t>
            </w:r>
          </w:p>
        </w:tc>
        <w:tc>
          <w:tcPr>
            <w:tcW w:w="0" w:type="auto"/>
            <w:shd w:val="clear" w:color="auto" w:fill="FFFFFF"/>
            <w:tcMar>
              <w:top w:w="0" w:type="dxa"/>
              <w:left w:w="85" w:type="dxa"/>
              <w:bottom w:w="0" w:type="dxa"/>
              <w:right w:w="85" w:type="dxa"/>
            </w:tcMar>
          </w:tcPr>
          <w:p w14:paraId="7F81B1D2" w14:textId="77777777" w:rsidR="00E87995" w:rsidRPr="009E06AA" w:rsidRDefault="00E87995" w:rsidP="00B55F24">
            <w:pPr>
              <w:pStyle w:val="TableText"/>
              <w:spacing w:before="40" w:after="40"/>
            </w:pPr>
            <w:r w:rsidRPr="009E06AA">
              <w:rPr>
                <w:color w:val="000000"/>
              </w:rPr>
              <w:t>Cardno (unpublished)</w:t>
            </w:r>
          </w:p>
        </w:tc>
      </w:tr>
      <w:tr w:rsidR="00E87995" w:rsidRPr="009E06AA" w14:paraId="2BDB3491" w14:textId="77777777" w:rsidTr="00B55F24">
        <w:tc>
          <w:tcPr>
            <w:tcW w:w="2417" w:type="pct"/>
            <w:shd w:val="clear" w:color="auto" w:fill="FFFFFF"/>
            <w:tcMar>
              <w:top w:w="0" w:type="dxa"/>
              <w:left w:w="85" w:type="dxa"/>
              <w:bottom w:w="0" w:type="dxa"/>
              <w:right w:w="85" w:type="dxa"/>
            </w:tcMar>
          </w:tcPr>
          <w:p w14:paraId="00CBD6C3" w14:textId="77777777" w:rsidR="00E87995" w:rsidRPr="009E06AA" w:rsidRDefault="00E87995" w:rsidP="00B55F24">
            <w:pPr>
              <w:pStyle w:val="TableText"/>
              <w:spacing w:before="40" w:after="40"/>
            </w:pPr>
            <w:r w:rsidRPr="009E06AA">
              <w:rPr>
                <w:color w:val="000000"/>
              </w:rPr>
              <w:t>Ratio of total nitrogen to biodegradable COD (TN:COD</w:t>
            </w:r>
            <w:r w:rsidRPr="009E06AA">
              <w:rPr>
                <w:color w:val="000000"/>
                <w:vertAlign w:val="subscript"/>
              </w:rPr>
              <w:t>b</w:t>
            </w:r>
            <w:r w:rsidRPr="009E06AA">
              <w:rPr>
                <w:color w:val="000000"/>
              </w:rPr>
              <w:t>)</w:t>
            </w:r>
          </w:p>
        </w:tc>
        <w:tc>
          <w:tcPr>
            <w:tcW w:w="583" w:type="pct"/>
            <w:shd w:val="clear" w:color="auto" w:fill="FFFFFF"/>
            <w:tcMar>
              <w:top w:w="0" w:type="dxa"/>
              <w:left w:w="85" w:type="dxa"/>
              <w:bottom w:w="0" w:type="dxa"/>
              <w:right w:w="85" w:type="dxa"/>
            </w:tcMar>
          </w:tcPr>
          <w:p w14:paraId="26FAA4D9" w14:textId="77777777" w:rsidR="00E87995" w:rsidRPr="009E06AA" w:rsidRDefault="00E87995" w:rsidP="00240523">
            <w:pPr>
              <w:pStyle w:val="TableText"/>
              <w:spacing w:before="40" w:after="40"/>
              <w:jc w:val="right"/>
            </w:pPr>
            <w:r w:rsidRPr="009E06AA">
              <w:rPr>
                <w:color w:val="000000"/>
              </w:rPr>
              <w:t>0.044</w:t>
            </w:r>
          </w:p>
        </w:tc>
        <w:tc>
          <w:tcPr>
            <w:tcW w:w="974" w:type="pct"/>
            <w:shd w:val="clear" w:color="auto" w:fill="FFFFFF"/>
            <w:tcMar>
              <w:top w:w="0" w:type="dxa"/>
              <w:left w:w="85" w:type="dxa"/>
              <w:bottom w:w="0" w:type="dxa"/>
              <w:right w:w="85" w:type="dxa"/>
            </w:tcMar>
          </w:tcPr>
          <w:p w14:paraId="7892E089" w14:textId="77777777" w:rsidR="00E87995" w:rsidRPr="009E06AA" w:rsidRDefault="00E87995" w:rsidP="00B55F24">
            <w:pPr>
              <w:pStyle w:val="TableText"/>
              <w:spacing w:before="40" w:after="40"/>
            </w:pPr>
            <w:r w:rsidRPr="009E06AA" w:rsidDel="00A06AA2">
              <w:rPr>
                <w:color w:val="000000"/>
              </w:rPr>
              <w:t>New Zealand</w:t>
            </w:r>
            <w:r w:rsidRPr="009E06AA">
              <w:rPr>
                <w:color w:val="000000"/>
              </w:rPr>
              <w:t xml:space="preserve"> specific</w:t>
            </w:r>
          </w:p>
        </w:tc>
        <w:tc>
          <w:tcPr>
            <w:tcW w:w="0" w:type="auto"/>
            <w:shd w:val="clear" w:color="auto" w:fill="FFFFFF"/>
            <w:tcMar>
              <w:top w:w="0" w:type="dxa"/>
              <w:left w:w="85" w:type="dxa"/>
              <w:bottom w:w="0" w:type="dxa"/>
              <w:right w:w="85" w:type="dxa"/>
            </w:tcMar>
          </w:tcPr>
          <w:p w14:paraId="35BCECF5" w14:textId="77777777" w:rsidR="00E87995" w:rsidRPr="009E06AA" w:rsidRDefault="00E87995" w:rsidP="00B55F24">
            <w:pPr>
              <w:pStyle w:val="TableText"/>
              <w:spacing w:before="40" w:after="40"/>
            </w:pPr>
            <w:r w:rsidRPr="009E06AA">
              <w:rPr>
                <w:color w:val="000000"/>
              </w:rPr>
              <w:t>Cardno (unpublished)</w:t>
            </w:r>
          </w:p>
        </w:tc>
      </w:tr>
      <w:tr w:rsidR="00E87995" w:rsidRPr="009E06AA" w14:paraId="75340B49" w14:textId="77777777" w:rsidTr="00B55F24">
        <w:tc>
          <w:tcPr>
            <w:tcW w:w="2417" w:type="pct"/>
            <w:shd w:val="clear" w:color="auto" w:fill="FFFFFF"/>
            <w:tcMar>
              <w:top w:w="0" w:type="dxa"/>
              <w:left w:w="85" w:type="dxa"/>
              <w:bottom w:w="0" w:type="dxa"/>
              <w:right w:w="85" w:type="dxa"/>
            </w:tcMar>
          </w:tcPr>
          <w:p w14:paraId="137C760C" w14:textId="77777777" w:rsidR="00E87995" w:rsidRPr="009E06AA" w:rsidRDefault="00E87995" w:rsidP="00B55F24">
            <w:pPr>
              <w:pStyle w:val="TableText"/>
              <w:spacing w:before="40" w:after="40"/>
            </w:pPr>
            <w:r w:rsidRPr="009E06AA">
              <w:rPr>
                <w:color w:val="000000"/>
              </w:rPr>
              <w:t>Overall emission factor</w:t>
            </w:r>
          </w:p>
        </w:tc>
        <w:tc>
          <w:tcPr>
            <w:tcW w:w="583" w:type="pct"/>
            <w:shd w:val="clear" w:color="auto" w:fill="FFFFFF"/>
            <w:tcMar>
              <w:top w:w="0" w:type="dxa"/>
              <w:left w:w="85" w:type="dxa"/>
              <w:bottom w:w="0" w:type="dxa"/>
              <w:right w:w="85" w:type="dxa"/>
            </w:tcMar>
          </w:tcPr>
          <w:p w14:paraId="28C955E5" w14:textId="77777777" w:rsidR="00E87995" w:rsidRPr="009E06AA" w:rsidRDefault="00E87995" w:rsidP="00240523">
            <w:pPr>
              <w:pStyle w:val="TableText"/>
              <w:spacing w:before="40" w:after="40"/>
              <w:jc w:val="right"/>
            </w:pPr>
            <w:r w:rsidRPr="009E06AA">
              <w:rPr>
                <w:color w:val="000000"/>
              </w:rPr>
              <w:t>0.0028</w:t>
            </w:r>
          </w:p>
        </w:tc>
        <w:tc>
          <w:tcPr>
            <w:tcW w:w="974" w:type="pct"/>
            <w:shd w:val="clear" w:color="auto" w:fill="FFFFFF"/>
            <w:tcMar>
              <w:top w:w="0" w:type="dxa"/>
              <w:left w:w="85" w:type="dxa"/>
              <w:bottom w:w="0" w:type="dxa"/>
              <w:right w:w="85" w:type="dxa"/>
            </w:tcMar>
          </w:tcPr>
          <w:p w14:paraId="4EF0FA1F" w14:textId="77777777" w:rsidR="00E87995" w:rsidRPr="009E06AA" w:rsidRDefault="00E87995" w:rsidP="00B55F24">
            <w:pPr>
              <w:pStyle w:val="TableText"/>
              <w:spacing w:before="40" w:after="40"/>
            </w:pPr>
            <w:r w:rsidRPr="009E06AA" w:rsidDel="00A06AA2">
              <w:rPr>
                <w:color w:val="000000"/>
              </w:rPr>
              <w:t>New Zealand</w:t>
            </w:r>
            <w:r w:rsidRPr="009E06AA">
              <w:rPr>
                <w:color w:val="000000"/>
              </w:rPr>
              <w:t xml:space="preserve"> specific</w:t>
            </w:r>
          </w:p>
        </w:tc>
        <w:tc>
          <w:tcPr>
            <w:tcW w:w="0" w:type="auto"/>
            <w:shd w:val="clear" w:color="auto" w:fill="FFFFFF"/>
            <w:tcMar>
              <w:top w:w="0" w:type="dxa"/>
              <w:left w:w="85" w:type="dxa"/>
              <w:bottom w:w="0" w:type="dxa"/>
              <w:right w:w="85" w:type="dxa"/>
            </w:tcMar>
          </w:tcPr>
          <w:p w14:paraId="0DB85F7E" w14:textId="77777777" w:rsidR="00E87995" w:rsidRPr="009E06AA" w:rsidRDefault="00E87995" w:rsidP="00B55F24">
            <w:pPr>
              <w:pStyle w:val="TableText"/>
              <w:spacing w:before="40" w:after="40"/>
            </w:pPr>
            <w:r w:rsidRPr="009E06AA">
              <w:rPr>
                <w:color w:val="000000"/>
              </w:rPr>
              <w:t>Cardno (unpublished)</w:t>
            </w:r>
          </w:p>
        </w:tc>
      </w:tr>
    </w:tbl>
    <w:p w14:paraId="68A1D74B" w14:textId="77777777" w:rsidR="00E87995" w:rsidRPr="009E06AA" w:rsidRDefault="00E87995" w:rsidP="00E87995">
      <w:pPr>
        <w:pStyle w:val="Noteundertable"/>
        <w:spacing w:after="80"/>
      </w:pPr>
      <w:r w:rsidRPr="009E06AA">
        <w:rPr>
          <w:b/>
          <w:bCs/>
        </w:rPr>
        <w:t>Note:</w:t>
      </w:r>
      <w:r w:rsidRPr="009E06AA">
        <w:tab/>
        <w:t>COD = chemical oxygen demand; TN = total nitrogen.</w:t>
      </w:r>
    </w:p>
    <w:p w14:paraId="23CD481E" w14:textId="77777777" w:rsidR="00E87995" w:rsidRPr="009E06AA" w:rsidRDefault="00E87995" w:rsidP="00E87995">
      <w:pPr>
        <w:pStyle w:val="Heading6"/>
      </w:pPr>
      <w:bookmarkStart w:id="3085" w:name="recovery-8"/>
      <w:r w:rsidRPr="009E06AA">
        <w:t>Recovery</w:t>
      </w:r>
    </w:p>
    <w:p w14:paraId="155461A5" w14:textId="77777777" w:rsidR="00E87995" w:rsidRPr="009E06AA" w:rsidRDefault="00E87995" w:rsidP="00E87995">
      <w:pPr>
        <w:pStyle w:val="BodyText"/>
        <w:spacing w:before="100" w:after="100"/>
      </w:pPr>
      <w:r w:rsidRPr="009E06AA">
        <w:t>There is no recovery of emissions reported for this source.</w:t>
      </w:r>
    </w:p>
    <w:p w14:paraId="6132BA00" w14:textId="77777777" w:rsidR="00E87995" w:rsidRPr="009E06AA" w:rsidRDefault="00E87995" w:rsidP="00BF2A76">
      <w:pPr>
        <w:pStyle w:val="Heading5"/>
      </w:pPr>
      <w:bookmarkStart w:id="3086" w:name="X8304ebedd37f21741b77165175d750c1cbc201b"/>
      <w:bookmarkEnd w:id="3079"/>
      <w:bookmarkEnd w:id="3085"/>
      <w:r w:rsidRPr="009E06AA">
        <w:t>Nitrous oxide emissions from industrial wastewater treatment – Leather and skins industry</w:t>
      </w:r>
    </w:p>
    <w:p w14:paraId="721681A4" w14:textId="77777777" w:rsidR="00E87995" w:rsidRPr="009E06AA" w:rsidRDefault="00E87995" w:rsidP="00E87995">
      <w:pPr>
        <w:pStyle w:val="BodyText"/>
        <w:spacing w:before="100" w:after="100"/>
      </w:pPr>
      <w:r w:rsidRPr="009E06AA">
        <w:t>Table 7.5.15 summarises the parameter values applied for estimating N</w:t>
      </w:r>
      <w:r w:rsidRPr="009E06AA">
        <w:rPr>
          <w:vertAlign w:val="subscript"/>
        </w:rPr>
        <w:t>2</w:t>
      </w:r>
      <w:r w:rsidRPr="009E06AA">
        <w:t>O emissions from wastewater treatment by the leather and skins industry.</w:t>
      </w:r>
    </w:p>
    <w:p w14:paraId="64786324" w14:textId="77777777" w:rsidR="00E87995" w:rsidRPr="009E06AA" w:rsidRDefault="00E87995" w:rsidP="00E87995">
      <w:pPr>
        <w:pStyle w:val="Table"/>
      </w:pPr>
      <w:bookmarkStart w:id="3087" w:name="_Toc128383693"/>
      <w:bookmarkStart w:id="3088" w:name="_Toc131591466"/>
      <w:bookmarkStart w:id="3089" w:name="_Toc160537345"/>
      <w:bookmarkStart w:id="3090" w:name="_Toc160537707"/>
      <w:bookmarkStart w:id="3091" w:name="_Toc164153957"/>
      <w:r w:rsidRPr="009E06AA">
        <w:t>Table 7.5.15</w:t>
      </w:r>
      <w:r w:rsidRPr="009E06AA">
        <w:tab/>
        <w:t xml:space="preserve">Parameter values applied by </w:t>
      </w:r>
      <w:r w:rsidRPr="009E06AA" w:rsidDel="00747A34">
        <w:t>New Zealand</w:t>
      </w:r>
      <w:r w:rsidRPr="009E06AA">
        <w:t xml:space="preserve"> for estimating nitrous oxide emissions for wastewater treatment for the leather and skins industry</w:t>
      </w:r>
      <w:bookmarkEnd w:id="3087"/>
      <w:bookmarkEnd w:id="3088"/>
      <w:bookmarkEnd w:id="3089"/>
      <w:bookmarkEnd w:id="3090"/>
      <w:bookmarkEnd w:id="3091"/>
    </w:p>
    <w:tbl>
      <w:tblPr>
        <w:tblW w:w="8505" w:type="dxa"/>
        <w:tblBorders>
          <w:top w:val="single" w:sz="4" w:space="0" w:color="1B556B" w:themeColor="text2"/>
          <w:bottom w:val="single" w:sz="4" w:space="0" w:color="1B556B" w:themeColor="text2"/>
          <w:insideH w:val="single" w:sz="4" w:space="0" w:color="1B556B" w:themeColor="text2"/>
        </w:tblBorders>
        <w:tblLook w:val="0420" w:firstRow="1" w:lastRow="0" w:firstColumn="0" w:lastColumn="0" w:noHBand="0" w:noVBand="1"/>
      </w:tblPr>
      <w:tblGrid>
        <w:gridCol w:w="3260"/>
        <w:gridCol w:w="708"/>
        <w:gridCol w:w="1560"/>
        <w:gridCol w:w="2977"/>
      </w:tblGrid>
      <w:tr w:rsidR="00E87995" w:rsidRPr="009E06AA" w14:paraId="518C848F" w14:textId="77777777" w:rsidTr="00B55F24">
        <w:trPr>
          <w:tblHeader/>
        </w:trPr>
        <w:tc>
          <w:tcPr>
            <w:tcW w:w="1917" w:type="pct"/>
            <w:shd w:val="clear" w:color="auto" w:fill="1B556B"/>
            <w:tcMar>
              <w:top w:w="0" w:type="dxa"/>
              <w:left w:w="85" w:type="dxa"/>
              <w:bottom w:w="0" w:type="dxa"/>
              <w:right w:w="85" w:type="dxa"/>
            </w:tcMar>
          </w:tcPr>
          <w:p w14:paraId="798051F0" w14:textId="77777777" w:rsidR="00E87995" w:rsidRPr="009E06AA" w:rsidRDefault="00E87995" w:rsidP="00B55F24">
            <w:pPr>
              <w:pStyle w:val="TableTextBold"/>
              <w:spacing w:before="40" w:after="40"/>
              <w:rPr>
                <w:noProof w:val="0"/>
                <w:color w:val="FFFFFF" w:themeColor="background1"/>
              </w:rPr>
            </w:pPr>
            <w:r w:rsidRPr="009E06AA">
              <w:rPr>
                <w:noProof w:val="0"/>
                <w:color w:val="FFFFFF" w:themeColor="background1"/>
              </w:rPr>
              <w:t>Parameter</w:t>
            </w:r>
          </w:p>
        </w:tc>
        <w:tc>
          <w:tcPr>
            <w:tcW w:w="416" w:type="pct"/>
            <w:shd w:val="clear" w:color="auto" w:fill="1B556B"/>
            <w:tcMar>
              <w:top w:w="0" w:type="dxa"/>
              <w:left w:w="85" w:type="dxa"/>
              <w:bottom w:w="0" w:type="dxa"/>
              <w:right w:w="85" w:type="dxa"/>
            </w:tcMar>
          </w:tcPr>
          <w:p w14:paraId="4AD459AD" w14:textId="77777777" w:rsidR="00E87995" w:rsidRPr="009E06AA" w:rsidRDefault="00E87995" w:rsidP="00240523">
            <w:pPr>
              <w:pStyle w:val="TableTextBold"/>
              <w:spacing w:before="40" w:after="40"/>
              <w:jc w:val="right"/>
              <w:rPr>
                <w:noProof w:val="0"/>
                <w:color w:val="FFFFFF" w:themeColor="background1"/>
              </w:rPr>
            </w:pPr>
            <w:r w:rsidRPr="009E06AA">
              <w:rPr>
                <w:noProof w:val="0"/>
                <w:color w:val="FFFFFF" w:themeColor="background1"/>
              </w:rPr>
              <w:t>Value</w:t>
            </w:r>
          </w:p>
        </w:tc>
        <w:tc>
          <w:tcPr>
            <w:tcW w:w="917" w:type="pct"/>
            <w:shd w:val="clear" w:color="auto" w:fill="1B556B"/>
            <w:tcMar>
              <w:top w:w="0" w:type="dxa"/>
              <w:left w:w="85" w:type="dxa"/>
              <w:bottom w:w="0" w:type="dxa"/>
              <w:right w:w="85" w:type="dxa"/>
            </w:tcMar>
          </w:tcPr>
          <w:p w14:paraId="4F81147E" w14:textId="77777777" w:rsidR="00E87995" w:rsidRPr="009E06AA" w:rsidRDefault="00E87995" w:rsidP="00B55F24">
            <w:pPr>
              <w:pStyle w:val="TableTextBold"/>
              <w:spacing w:before="40" w:after="40"/>
              <w:rPr>
                <w:noProof w:val="0"/>
                <w:color w:val="FFFFFF" w:themeColor="background1"/>
              </w:rPr>
            </w:pPr>
            <w:r w:rsidRPr="009E06AA">
              <w:rPr>
                <w:noProof w:val="0"/>
                <w:color w:val="FFFFFF" w:themeColor="background1"/>
              </w:rPr>
              <w:t>Source</w:t>
            </w:r>
          </w:p>
        </w:tc>
        <w:tc>
          <w:tcPr>
            <w:tcW w:w="1750" w:type="pct"/>
            <w:shd w:val="clear" w:color="auto" w:fill="1B556B"/>
            <w:tcMar>
              <w:top w:w="0" w:type="dxa"/>
              <w:left w:w="85" w:type="dxa"/>
              <w:bottom w:w="0" w:type="dxa"/>
              <w:right w:w="85" w:type="dxa"/>
            </w:tcMar>
          </w:tcPr>
          <w:p w14:paraId="25FC0D07" w14:textId="77777777" w:rsidR="00E87995" w:rsidRPr="009E06AA" w:rsidRDefault="00E87995" w:rsidP="00B55F24">
            <w:pPr>
              <w:pStyle w:val="TableTextBold"/>
              <w:spacing w:before="40" w:after="40"/>
              <w:rPr>
                <w:noProof w:val="0"/>
                <w:color w:val="FFFFFF" w:themeColor="background1"/>
              </w:rPr>
            </w:pPr>
            <w:r w:rsidRPr="009E06AA">
              <w:rPr>
                <w:noProof w:val="0"/>
                <w:color w:val="FFFFFF" w:themeColor="background1"/>
              </w:rPr>
              <w:t>Reference</w:t>
            </w:r>
          </w:p>
        </w:tc>
      </w:tr>
      <w:tr w:rsidR="00E87995" w:rsidRPr="009E06AA" w14:paraId="1931EA3A" w14:textId="77777777" w:rsidTr="00B55F24">
        <w:tc>
          <w:tcPr>
            <w:tcW w:w="1917" w:type="pct"/>
            <w:shd w:val="clear" w:color="auto" w:fill="FFFFFF"/>
            <w:tcMar>
              <w:top w:w="0" w:type="dxa"/>
              <w:left w:w="85" w:type="dxa"/>
              <w:bottom w:w="0" w:type="dxa"/>
              <w:right w:w="85" w:type="dxa"/>
            </w:tcMar>
          </w:tcPr>
          <w:p w14:paraId="16C63293" w14:textId="77777777" w:rsidR="00E87995" w:rsidRPr="009E06AA" w:rsidRDefault="00E87995" w:rsidP="00B55F24">
            <w:pPr>
              <w:pStyle w:val="TableText"/>
              <w:spacing w:before="40" w:after="40"/>
            </w:pPr>
            <w:r w:rsidRPr="009E06AA">
              <w:rPr>
                <w:color w:val="000000"/>
              </w:rPr>
              <w:t>Degradable organic component (kg COD/tonne of product)</w:t>
            </w:r>
          </w:p>
        </w:tc>
        <w:tc>
          <w:tcPr>
            <w:tcW w:w="416" w:type="pct"/>
            <w:shd w:val="clear" w:color="auto" w:fill="FFFFFF"/>
            <w:tcMar>
              <w:top w:w="0" w:type="dxa"/>
              <w:left w:w="85" w:type="dxa"/>
              <w:bottom w:w="0" w:type="dxa"/>
              <w:right w:w="85" w:type="dxa"/>
            </w:tcMar>
          </w:tcPr>
          <w:p w14:paraId="4C8EF5F6" w14:textId="77777777" w:rsidR="00E87995" w:rsidRPr="009E06AA" w:rsidRDefault="00E87995" w:rsidP="00240523">
            <w:pPr>
              <w:pStyle w:val="TableText"/>
              <w:spacing w:before="40" w:after="40"/>
              <w:jc w:val="right"/>
            </w:pPr>
            <w:r w:rsidRPr="009E06AA">
              <w:rPr>
                <w:color w:val="000000"/>
              </w:rPr>
              <w:t>180</w:t>
            </w:r>
          </w:p>
        </w:tc>
        <w:tc>
          <w:tcPr>
            <w:tcW w:w="917" w:type="pct"/>
            <w:shd w:val="clear" w:color="auto" w:fill="FFFFFF"/>
            <w:tcMar>
              <w:top w:w="0" w:type="dxa"/>
              <w:left w:w="85" w:type="dxa"/>
              <w:bottom w:w="0" w:type="dxa"/>
              <w:right w:w="85" w:type="dxa"/>
            </w:tcMar>
          </w:tcPr>
          <w:p w14:paraId="237EBFED" w14:textId="77777777" w:rsidR="00E87995" w:rsidRPr="009E06AA" w:rsidRDefault="00E87995" w:rsidP="00B55F24">
            <w:pPr>
              <w:pStyle w:val="TableText"/>
              <w:spacing w:before="40" w:after="40"/>
            </w:pPr>
            <w:r w:rsidRPr="009E06AA" w:rsidDel="00747A34">
              <w:rPr>
                <w:color w:val="000000"/>
              </w:rPr>
              <w:t>New Zealand</w:t>
            </w:r>
            <w:r w:rsidRPr="009E06AA">
              <w:rPr>
                <w:color w:val="000000"/>
              </w:rPr>
              <w:t xml:space="preserve"> specific</w:t>
            </w:r>
          </w:p>
        </w:tc>
        <w:tc>
          <w:tcPr>
            <w:tcW w:w="1750" w:type="pct"/>
            <w:shd w:val="clear" w:color="auto" w:fill="FFFFFF"/>
            <w:tcMar>
              <w:top w:w="0" w:type="dxa"/>
              <w:left w:w="85" w:type="dxa"/>
              <w:bottom w:w="0" w:type="dxa"/>
              <w:right w:w="85" w:type="dxa"/>
            </w:tcMar>
          </w:tcPr>
          <w:p w14:paraId="5095AD9B" w14:textId="77777777" w:rsidR="00E87995" w:rsidRPr="009E06AA" w:rsidRDefault="00E87995" w:rsidP="00B55F24">
            <w:pPr>
              <w:pStyle w:val="TableText"/>
              <w:spacing w:before="40" w:after="40"/>
            </w:pPr>
            <w:r w:rsidRPr="009E06AA">
              <w:rPr>
                <w:color w:val="000000"/>
              </w:rPr>
              <w:t>SCS Wetherill Environmental (unpublished)</w:t>
            </w:r>
          </w:p>
        </w:tc>
      </w:tr>
      <w:tr w:rsidR="00E87995" w:rsidRPr="009E06AA" w14:paraId="28FC37D6" w14:textId="77777777" w:rsidTr="00B55F24">
        <w:tc>
          <w:tcPr>
            <w:tcW w:w="1917" w:type="pct"/>
            <w:shd w:val="clear" w:color="auto" w:fill="FFFFFF"/>
            <w:tcMar>
              <w:top w:w="0" w:type="dxa"/>
              <w:left w:w="85" w:type="dxa"/>
              <w:bottom w:w="0" w:type="dxa"/>
              <w:right w:w="85" w:type="dxa"/>
            </w:tcMar>
          </w:tcPr>
          <w:p w14:paraId="2AF38186" w14:textId="77777777" w:rsidR="00E87995" w:rsidRPr="009E06AA" w:rsidRDefault="00E87995" w:rsidP="00B55F24">
            <w:pPr>
              <w:pStyle w:val="TableText"/>
              <w:spacing w:before="40" w:after="40"/>
            </w:pPr>
            <w:r w:rsidRPr="009E06AA">
              <w:rPr>
                <w:color w:val="000000"/>
              </w:rPr>
              <w:t>Ratio of total nitrogen to biodegradable COD (TN:COD</w:t>
            </w:r>
            <w:r w:rsidRPr="009E06AA">
              <w:rPr>
                <w:color w:val="000000"/>
                <w:vertAlign w:val="subscript"/>
              </w:rPr>
              <w:t>b</w:t>
            </w:r>
            <w:r w:rsidRPr="009E06AA">
              <w:rPr>
                <w:color w:val="000000"/>
              </w:rPr>
              <w:t>)</w:t>
            </w:r>
          </w:p>
        </w:tc>
        <w:tc>
          <w:tcPr>
            <w:tcW w:w="416" w:type="pct"/>
            <w:shd w:val="clear" w:color="auto" w:fill="FFFFFF"/>
            <w:tcMar>
              <w:top w:w="0" w:type="dxa"/>
              <w:left w:w="85" w:type="dxa"/>
              <w:bottom w:w="0" w:type="dxa"/>
              <w:right w:w="85" w:type="dxa"/>
            </w:tcMar>
          </w:tcPr>
          <w:p w14:paraId="5ABCABF9" w14:textId="77777777" w:rsidR="00E87995" w:rsidRPr="009E06AA" w:rsidRDefault="00E87995" w:rsidP="00240523">
            <w:pPr>
              <w:pStyle w:val="TableText"/>
              <w:spacing w:before="40" w:after="40"/>
              <w:jc w:val="right"/>
            </w:pPr>
            <w:r w:rsidRPr="009E06AA">
              <w:rPr>
                <w:color w:val="000000"/>
              </w:rPr>
              <w:t>0.08</w:t>
            </w:r>
          </w:p>
        </w:tc>
        <w:tc>
          <w:tcPr>
            <w:tcW w:w="917" w:type="pct"/>
            <w:shd w:val="clear" w:color="auto" w:fill="FFFFFF"/>
            <w:tcMar>
              <w:top w:w="0" w:type="dxa"/>
              <w:left w:w="85" w:type="dxa"/>
              <w:bottom w:w="0" w:type="dxa"/>
              <w:right w:w="85" w:type="dxa"/>
            </w:tcMar>
          </w:tcPr>
          <w:p w14:paraId="131E5570" w14:textId="77777777" w:rsidR="00E87995" w:rsidRPr="009E06AA" w:rsidRDefault="00E87995" w:rsidP="00B55F24">
            <w:pPr>
              <w:pStyle w:val="TableText"/>
              <w:spacing w:before="40" w:after="40"/>
            </w:pPr>
            <w:r w:rsidRPr="009E06AA" w:rsidDel="00256928">
              <w:rPr>
                <w:color w:val="000000"/>
              </w:rPr>
              <w:t>New Zealand</w:t>
            </w:r>
            <w:r w:rsidRPr="009E06AA">
              <w:rPr>
                <w:color w:val="000000"/>
              </w:rPr>
              <w:t xml:space="preserve"> specific</w:t>
            </w:r>
          </w:p>
        </w:tc>
        <w:tc>
          <w:tcPr>
            <w:tcW w:w="1750" w:type="pct"/>
            <w:shd w:val="clear" w:color="auto" w:fill="FFFFFF"/>
            <w:tcMar>
              <w:top w:w="0" w:type="dxa"/>
              <w:left w:w="85" w:type="dxa"/>
              <w:bottom w:w="0" w:type="dxa"/>
              <w:right w:w="85" w:type="dxa"/>
            </w:tcMar>
          </w:tcPr>
          <w:p w14:paraId="0DC06555" w14:textId="77777777" w:rsidR="00E87995" w:rsidRPr="009E06AA" w:rsidRDefault="00E87995" w:rsidP="00B55F24">
            <w:pPr>
              <w:pStyle w:val="TableText"/>
              <w:spacing w:before="40" w:after="40"/>
            </w:pPr>
            <w:r w:rsidRPr="009E06AA">
              <w:rPr>
                <w:color w:val="000000"/>
              </w:rPr>
              <w:t>SCS Wetherill Environmental (unpublished)</w:t>
            </w:r>
          </w:p>
        </w:tc>
      </w:tr>
      <w:tr w:rsidR="00E87995" w:rsidRPr="009E06AA" w14:paraId="043C7C14" w14:textId="77777777" w:rsidTr="00B55F24">
        <w:tc>
          <w:tcPr>
            <w:tcW w:w="1917" w:type="pct"/>
            <w:shd w:val="clear" w:color="auto" w:fill="FFFFFF"/>
            <w:tcMar>
              <w:top w:w="0" w:type="dxa"/>
              <w:left w:w="85" w:type="dxa"/>
              <w:bottom w:w="0" w:type="dxa"/>
              <w:right w:w="85" w:type="dxa"/>
            </w:tcMar>
          </w:tcPr>
          <w:p w14:paraId="6EF6CAEE" w14:textId="77777777" w:rsidR="00E87995" w:rsidRPr="009E06AA" w:rsidRDefault="00E87995" w:rsidP="00B55F24">
            <w:pPr>
              <w:pStyle w:val="TableText"/>
              <w:spacing w:before="40" w:after="40"/>
            </w:pPr>
            <w:r w:rsidRPr="009E06AA">
              <w:rPr>
                <w:color w:val="000000"/>
              </w:rPr>
              <w:t>Overall emission factor</w:t>
            </w:r>
          </w:p>
        </w:tc>
        <w:tc>
          <w:tcPr>
            <w:tcW w:w="416" w:type="pct"/>
            <w:shd w:val="clear" w:color="auto" w:fill="FFFFFF"/>
            <w:tcMar>
              <w:top w:w="0" w:type="dxa"/>
              <w:left w:w="85" w:type="dxa"/>
              <w:bottom w:w="0" w:type="dxa"/>
              <w:right w:w="85" w:type="dxa"/>
            </w:tcMar>
          </w:tcPr>
          <w:p w14:paraId="0CD40387" w14:textId="77777777" w:rsidR="00E87995" w:rsidRPr="009E06AA" w:rsidRDefault="00E87995" w:rsidP="00240523">
            <w:pPr>
              <w:pStyle w:val="TableText"/>
              <w:spacing w:before="40" w:after="40"/>
              <w:jc w:val="right"/>
            </w:pPr>
            <w:r w:rsidRPr="009E06AA">
              <w:rPr>
                <w:color w:val="000000"/>
              </w:rPr>
              <w:t>0.02</w:t>
            </w:r>
          </w:p>
        </w:tc>
        <w:tc>
          <w:tcPr>
            <w:tcW w:w="917" w:type="pct"/>
            <w:shd w:val="clear" w:color="auto" w:fill="FFFFFF"/>
            <w:tcMar>
              <w:top w:w="0" w:type="dxa"/>
              <w:left w:w="85" w:type="dxa"/>
              <w:bottom w:w="0" w:type="dxa"/>
              <w:right w:w="85" w:type="dxa"/>
            </w:tcMar>
          </w:tcPr>
          <w:p w14:paraId="3C97F748" w14:textId="77777777" w:rsidR="00E87995" w:rsidRPr="009E06AA" w:rsidRDefault="00E87995" w:rsidP="00B55F24">
            <w:pPr>
              <w:pStyle w:val="TableText"/>
              <w:spacing w:before="40" w:after="40"/>
            </w:pPr>
            <w:r w:rsidRPr="009E06AA" w:rsidDel="00256928">
              <w:rPr>
                <w:color w:val="000000"/>
              </w:rPr>
              <w:t>New Zealand</w:t>
            </w:r>
            <w:r w:rsidRPr="009E06AA">
              <w:rPr>
                <w:color w:val="000000"/>
              </w:rPr>
              <w:t xml:space="preserve"> specific</w:t>
            </w:r>
          </w:p>
        </w:tc>
        <w:tc>
          <w:tcPr>
            <w:tcW w:w="1750" w:type="pct"/>
            <w:shd w:val="clear" w:color="auto" w:fill="FFFFFF"/>
            <w:tcMar>
              <w:top w:w="0" w:type="dxa"/>
              <w:left w:w="85" w:type="dxa"/>
              <w:bottom w:w="0" w:type="dxa"/>
              <w:right w:w="85" w:type="dxa"/>
            </w:tcMar>
          </w:tcPr>
          <w:p w14:paraId="2CF66990" w14:textId="77777777" w:rsidR="00E87995" w:rsidRPr="009E06AA" w:rsidRDefault="00E87995" w:rsidP="00B55F24">
            <w:pPr>
              <w:pStyle w:val="TableText"/>
              <w:spacing w:before="40" w:after="40"/>
            </w:pPr>
            <w:r w:rsidRPr="009E06AA">
              <w:rPr>
                <w:color w:val="000000"/>
              </w:rPr>
              <w:t>SCS Wetherill Environmental (unpublished)</w:t>
            </w:r>
          </w:p>
        </w:tc>
      </w:tr>
    </w:tbl>
    <w:p w14:paraId="1F70B8AD" w14:textId="77777777" w:rsidR="00E87995" w:rsidRPr="009E06AA" w:rsidRDefault="00E87995" w:rsidP="00E87995">
      <w:pPr>
        <w:pStyle w:val="Noteundertable"/>
      </w:pPr>
      <w:r w:rsidRPr="009E06AA">
        <w:rPr>
          <w:b/>
          <w:bCs/>
        </w:rPr>
        <w:t>Note:</w:t>
      </w:r>
      <w:r w:rsidRPr="009E06AA">
        <w:tab/>
        <w:t>COD = chemical oxygen demand; TN = total nitrogen.</w:t>
      </w:r>
    </w:p>
    <w:p w14:paraId="42697B2C" w14:textId="77777777" w:rsidR="00E87995" w:rsidRPr="009E06AA" w:rsidRDefault="00E87995" w:rsidP="00E87995">
      <w:pPr>
        <w:pStyle w:val="Heading6"/>
      </w:pPr>
      <w:bookmarkStart w:id="3092" w:name="recovery-9"/>
      <w:r w:rsidRPr="009E06AA">
        <w:t>Recovery</w:t>
      </w:r>
    </w:p>
    <w:p w14:paraId="63A714E8" w14:textId="77777777" w:rsidR="00E87995" w:rsidRPr="009E06AA" w:rsidRDefault="00E87995" w:rsidP="00E87995">
      <w:pPr>
        <w:pStyle w:val="BodyText"/>
      </w:pPr>
      <w:r w:rsidRPr="009E06AA">
        <w:t>There is no recovery of emissions reported for this source.</w:t>
      </w:r>
    </w:p>
    <w:p w14:paraId="1BDA04E4" w14:textId="77777777" w:rsidR="00E87995" w:rsidRPr="009E06AA" w:rsidRDefault="00E87995" w:rsidP="00E87995">
      <w:pPr>
        <w:pStyle w:val="Heading3"/>
      </w:pPr>
      <w:bookmarkStart w:id="3093" w:name="_Toc160537251"/>
      <w:bookmarkStart w:id="3094" w:name="X335db87626b49a835690f4032684f06d4f55ca8"/>
      <w:bookmarkStart w:id="3095" w:name="X6505d2f8ce2b5e37d67ba3699a05ded481a459a"/>
      <w:bookmarkEnd w:id="2985"/>
      <w:bookmarkEnd w:id="3036"/>
      <w:bookmarkEnd w:id="3086"/>
      <w:bookmarkEnd w:id="3092"/>
      <w:r w:rsidRPr="009E06AA">
        <w:t xml:space="preserve">7.5.3 </w:t>
      </w:r>
      <w:r w:rsidRPr="009E06AA">
        <w:tab/>
        <w:t>Uncertainty assessment and time-series consistency</w:t>
      </w:r>
      <w:bookmarkEnd w:id="3093"/>
    </w:p>
    <w:p w14:paraId="15FA54EE" w14:textId="77777777" w:rsidR="00E87995" w:rsidRPr="009E06AA" w:rsidRDefault="00E87995" w:rsidP="00E87995">
      <w:pPr>
        <w:pStyle w:val="Heading4"/>
      </w:pPr>
      <w:bookmarkStart w:id="3096" w:name="uncertainties-4"/>
      <w:r w:rsidRPr="009E06AA">
        <w:t>Uncertainties</w:t>
      </w:r>
    </w:p>
    <w:p w14:paraId="3F98E77B" w14:textId="77777777" w:rsidR="00E87995" w:rsidRPr="009E06AA" w:rsidRDefault="00E87995" w:rsidP="00E87995">
      <w:pPr>
        <w:pStyle w:val="Table"/>
      </w:pPr>
      <w:bookmarkStart w:id="3097" w:name="_Toc128383694"/>
      <w:bookmarkStart w:id="3098" w:name="_Toc131591467"/>
      <w:bookmarkStart w:id="3099" w:name="_Toc160537346"/>
      <w:bookmarkStart w:id="3100" w:name="_Toc160537708"/>
      <w:bookmarkStart w:id="3101" w:name="_Toc164153958"/>
      <w:r w:rsidRPr="009E06AA">
        <w:t>Table 7.5.16</w:t>
      </w:r>
      <w:r w:rsidRPr="009E06AA">
        <w:tab/>
        <w:t>Uncertainty in emissions from wastewater</w:t>
      </w:r>
      <w:bookmarkEnd w:id="3097"/>
      <w:bookmarkEnd w:id="3098"/>
      <w:bookmarkEnd w:id="3099"/>
      <w:bookmarkEnd w:id="3100"/>
      <w:bookmarkEnd w:id="3101"/>
    </w:p>
    <w:tbl>
      <w:tblPr>
        <w:tblW w:w="8505" w:type="dxa"/>
        <w:tblBorders>
          <w:top w:val="single" w:sz="4" w:space="0" w:color="1B556B" w:themeColor="text2"/>
          <w:bottom w:val="single" w:sz="4" w:space="0" w:color="1B556B" w:themeColor="text2"/>
          <w:insideH w:val="single" w:sz="4" w:space="0" w:color="1B556B" w:themeColor="text2"/>
        </w:tblBorders>
        <w:tblLook w:val="0420" w:firstRow="1" w:lastRow="0" w:firstColumn="0" w:lastColumn="0" w:noHBand="0" w:noVBand="1"/>
      </w:tblPr>
      <w:tblGrid>
        <w:gridCol w:w="3243"/>
        <w:gridCol w:w="2485"/>
        <w:gridCol w:w="2777"/>
      </w:tblGrid>
      <w:tr w:rsidR="00E87995" w:rsidRPr="009E06AA" w14:paraId="2F8A94F1" w14:textId="77777777" w:rsidTr="00B55F24">
        <w:trPr>
          <w:tblHeader/>
        </w:trPr>
        <w:tc>
          <w:tcPr>
            <w:tcW w:w="0" w:type="auto"/>
            <w:shd w:val="clear" w:color="auto" w:fill="1B556B"/>
            <w:tcMar>
              <w:top w:w="0" w:type="dxa"/>
              <w:left w:w="85" w:type="dxa"/>
              <w:bottom w:w="0" w:type="dxa"/>
              <w:right w:w="85" w:type="dxa"/>
            </w:tcMar>
          </w:tcPr>
          <w:p w14:paraId="67F53C4A" w14:textId="77777777" w:rsidR="00E87995" w:rsidRPr="009E06AA" w:rsidRDefault="00E87995" w:rsidP="00B55F24">
            <w:pPr>
              <w:pStyle w:val="TableText"/>
              <w:spacing w:before="30" w:after="30"/>
              <w:rPr>
                <w:b/>
                <w:bCs/>
                <w:color w:val="FFFFFF" w:themeColor="background1"/>
              </w:rPr>
            </w:pPr>
            <w:r w:rsidRPr="009E06AA">
              <w:rPr>
                <w:b/>
                <w:bCs/>
                <w:color w:val="FFFFFF" w:themeColor="background1"/>
              </w:rPr>
              <w:t>Emissions category</w:t>
            </w:r>
          </w:p>
        </w:tc>
        <w:tc>
          <w:tcPr>
            <w:tcW w:w="0" w:type="auto"/>
            <w:shd w:val="clear" w:color="auto" w:fill="1B556B"/>
            <w:tcMar>
              <w:top w:w="0" w:type="dxa"/>
              <w:left w:w="85" w:type="dxa"/>
              <w:bottom w:w="0" w:type="dxa"/>
              <w:right w:w="85" w:type="dxa"/>
            </w:tcMar>
          </w:tcPr>
          <w:p w14:paraId="4616BE38" w14:textId="77777777" w:rsidR="00E87995" w:rsidRPr="009E06AA" w:rsidRDefault="00E87995" w:rsidP="00240523">
            <w:pPr>
              <w:pStyle w:val="TableText"/>
              <w:spacing w:before="30" w:after="30"/>
              <w:jc w:val="right"/>
              <w:rPr>
                <w:b/>
                <w:bCs/>
                <w:color w:val="FFFFFF" w:themeColor="background1"/>
              </w:rPr>
            </w:pPr>
            <w:r w:rsidRPr="009E06AA">
              <w:rPr>
                <w:b/>
                <w:bCs/>
                <w:color w:val="FFFFFF" w:themeColor="background1"/>
              </w:rPr>
              <w:t>Uncertainty in activity data (%)</w:t>
            </w:r>
          </w:p>
        </w:tc>
        <w:tc>
          <w:tcPr>
            <w:tcW w:w="0" w:type="auto"/>
            <w:shd w:val="clear" w:color="auto" w:fill="1B556B"/>
            <w:tcMar>
              <w:top w:w="0" w:type="dxa"/>
              <w:left w:w="85" w:type="dxa"/>
              <w:bottom w:w="0" w:type="dxa"/>
              <w:right w:w="85" w:type="dxa"/>
            </w:tcMar>
          </w:tcPr>
          <w:p w14:paraId="718C544A" w14:textId="77777777" w:rsidR="00E87995" w:rsidRPr="009E06AA" w:rsidRDefault="00E87995" w:rsidP="00240523">
            <w:pPr>
              <w:pStyle w:val="TableText"/>
              <w:spacing w:before="30" w:after="30"/>
              <w:jc w:val="right"/>
              <w:rPr>
                <w:b/>
                <w:bCs/>
                <w:color w:val="FFFFFF" w:themeColor="background1"/>
              </w:rPr>
            </w:pPr>
            <w:r w:rsidRPr="009E06AA">
              <w:rPr>
                <w:b/>
                <w:bCs/>
                <w:color w:val="FFFFFF" w:themeColor="background1"/>
              </w:rPr>
              <w:t>Uncertainty in emission factors (%)</w:t>
            </w:r>
          </w:p>
        </w:tc>
      </w:tr>
      <w:tr w:rsidR="00E87995" w:rsidRPr="009E06AA" w14:paraId="166A199B" w14:textId="77777777" w:rsidTr="00B55F24">
        <w:tc>
          <w:tcPr>
            <w:tcW w:w="0" w:type="auto"/>
            <w:shd w:val="clear" w:color="auto" w:fill="FFFFFF"/>
            <w:tcMar>
              <w:top w:w="0" w:type="dxa"/>
              <w:left w:w="85" w:type="dxa"/>
              <w:bottom w:w="0" w:type="dxa"/>
              <w:right w:w="85" w:type="dxa"/>
            </w:tcMar>
          </w:tcPr>
          <w:p w14:paraId="7280B757" w14:textId="77777777" w:rsidR="00E87995" w:rsidRPr="009E06AA" w:rsidRDefault="00E87995" w:rsidP="00B55F24">
            <w:pPr>
              <w:pStyle w:val="TableText"/>
              <w:spacing w:before="30" w:after="30"/>
            </w:pPr>
            <w:r w:rsidRPr="009E06AA">
              <w:rPr>
                <w:color w:val="000000"/>
              </w:rPr>
              <w:t>Domestic and industrial wastewater (CH₄)</w:t>
            </w:r>
          </w:p>
        </w:tc>
        <w:tc>
          <w:tcPr>
            <w:tcW w:w="0" w:type="auto"/>
            <w:shd w:val="clear" w:color="auto" w:fill="FFFFFF"/>
            <w:tcMar>
              <w:top w:w="0" w:type="dxa"/>
              <w:left w:w="85" w:type="dxa"/>
              <w:bottom w:w="0" w:type="dxa"/>
              <w:right w:w="85" w:type="dxa"/>
            </w:tcMar>
          </w:tcPr>
          <w:p w14:paraId="4F0683FC" w14:textId="77777777" w:rsidR="00E87995" w:rsidRPr="009E06AA" w:rsidRDefault="00E87995" w:rsidP="00240523">
            <w:pPr>
              <w:pStyle w:val="TableText"/>
              <w:spacing w:before="30" w:after="30"/>
              <w:jc w:val="right"/>
            </w:pPr>
            <w:r w:rsidRPr="009E06AA">
              <w:rPr>
                <w:color w:val="000000"/>
              </w:rPr>
              <w:t>±10</w:t>
            </w:r>
          </w:p>
        </w:tc>
        <w:tc>
          <w:tcPr>
            <w:tcW w:w="0" w:type="auto"/>
            <w:shd w:val="clear" w:color="auto" w:fill="FFFFFF"/>
            <w:tcMar>
              <w:top w:w="0" w:type="dxa"/>
              <w:left w:w="85" w:type="dxa"/>
              <w:bottom w:w="0" w:type="dxa"/>
              <w:right w:w="85" w:type="dxa"/>
            </w:tcMar>
          </w:tcPr>
          <w:p w14:paraId="48022C4B" w14:textId="77777777" w:rsidR="00E87995" w:rsidRPr="009E06AA" w:rsidRDefault="00E87995" w:rsidP="00240523">
            <w:pPr>
              <w:pStyle w:val="TableText"/>
              <w:spacing w:before="30" w:after="30"/>
              <w:jc w:val="right"/>
            </w:pPr>
            <w:r w:rsidRPr="009E06AA">
              <w:rPr>
                <w:color w:val="000000"/>
              </w:rPr>
              <w:t>±40</w:t>
            </w:r>
          </w:p>
        </w:tc>
      </w:tr>
      <w:tr w:rsidR="00E87995" w:rsidRPr="009E06AA" w14:paraId="5904EEC3" w14:textId="77777777" w:rsidTr="00B55F24">
        <w:tc>
          <w:tcPr>
            <w:tcW w:w="0" w:type="auto"/>
            <w:shd w:val="clear" w:color="auto" w:fill="FFFFFF"/>
            <w:tcMar>
              <w:top w:w="0" w:type="dxa"/>
              <w:left w:w="85" w:type="dxa"/>
              <w:bottom w:w="0" w:type="dxa"/>
              <w:right w:w="85" w:type="dxa"/>
            </w:tcMar>
          </w:tcPr>
          <w:p w14:paraId="7F651969" w14:textId="77777777" w:rsidR="00E87995" w:rsidRPr="009E06AA" w:rsidRDefault="00E87995" w:rsidP="00B55F24">
            <w:pPr>
              <w:pStyle w:val="TableText"/>
              <w:spacing w:before="30" w:after="30"/>
            </w:pPr>
            <w:r w:rsidRPr="009E06AA">
              <w:rPr>
                <w:color w:val="000000"/>
              </w:rPr>
              <w:t>Domestic and industrial wastewater (N₂O)</w:t>
            </w:r>
          </w:p>
        </w:tc>
        <w:tc>
          <w:tcPr>
            <w:tcW w:w="0" w:type="auto"/>
            <w:shd w:val="clear" w:color="auto" w:fill="FFFFFF"/>
            <w:tcMar>
              <w:top w:w="0" w:type="dxa"/>
              <w:left w:w="85" w:type="dxa"/>
              <w:bottom w:w="0" w:type="dxa"/>
              <w:right w:w="85" w:type="dxa"/>
            </w:tcMar>
          </w:tcPr>
          <w:p w14:paraId="648CC3A2" w14:textId="77777777" w:rsidR="00E87995" w:rsidRPr="009E06AA" w:rsidRDefault="00E87995" w:rsidP="00240523">
            <w:pPr>
              <w:pStyle w:val="TableText"/>
              <w:spacing w:before="30" w:after="30"/>
              <w:jc w:val="right"/>
            </w:pPr>
            <w:r w:rsidRPr="009E06AA">
              <w:rPr>
                <w:color w:val="000000"/>
              </w:rPr>
              <w:t>±10</w:t>
            </w:r>
          </w:p>
        </w:tc>
        <w:tc>
          <w:tcPr>
            <w:tcW w:w="0" w:type="auto"/>
            <w:shd w:val="clear" w:color="auto" w:fill="FFFFFF"/>
            <w:tcMar>
              <w:top w:w="0" w:type="dxa"/>
              <w:left w:w="85" w:type="dxa"/>
              <w:bottom w:w="0" w:type="dxa"/>
              <w:right w:w="85" w:type="dxa"/>
            </w:tcMar>
          </w:tcPr>
          <w:p w14:paraId="073A0CAD" w14:textId="77777777" w:rsidR="00E87995" w:rsidRPr="009E06AA" w:rsidRDefault="00E87995" w:rsidP="00240523">
            <w:pPr>
              <w:pStyle w:val="TableText"/>
              <w:spacing w:before="30" w:after="30"/>
              <w:jc w:val="right"/>
            </w:pPr>
            <w:r w:rsidRPr="009E06AA">
              <w:rPr>
                <w:color w:val="000000"/>
              </w:rPr>
              <w:t>±90</w:t>
            </w:r>
          </w:p>
        </w:tc>
      </w:tr>
    </w:tbl>
    <w:p w14:paraId="2D48853C" w14:textId="77777777" w:rsidR="00E87995" w:rsidRPr="009E06AA" w:rsidRDefault="00E87995" w:rsidP="00BF2A76">
      <w:pPr>
        <w:pStyle w:val="Heading5"/>
      </w:pPr>
      <w:bookmarkStart w:id="3102" w:name="methane-emissions"/>
      <w:r w:rsidRPr="009E06AA">
        <w:t>Methane emissions</w:t>
      </w:r>
    </w:p>
    <w:p w14:paraId="522C12D5" w14:textId="77777777" w:rsidR="00E87995" w:rsidRPr="009E06AA" w:rsidRDefault="00E87995" w:rsidP="00E87995">
      <w:pPr>
        <w:pStyle w:val="BodyText"/>
        <w:spacing w:after="100"/>
      </w:pPr>
      <w:r w:rsidRPr="009E06AA">
        <w:t>The parameters used to estimate CH</w:t>
      </w:r>
      <w:r w:rsidRPr="009E06AA">
        <w:rPr>
          <w:vertAlign w:val="subscript"/>
        </w:rPr>
        <w:t>4</w:t>
      </w:r>
      <w:r w:rsidRPr="009E06AA">
        <w:t xml:space="preserve"> emissions from domestic and industrial wastewater (see table 7.5.16) have an estimated uncertainty of ±40 per cent (SCS Wetherill Environmental, unpublished). This stems from uncertainties in:</w:t>
      </w:r>
    </w:p>
    <w:p w14:paraId="7FDB4C84" w14:textId="77777777" w:rsidR="00E87995" w:rsidRPr="009E06AA" w:rsidRDefault="00E87995" w:rsidP="00E87995">
      <w:pPr>
        <w:pStyle w:val="Bullet"/>
        <w:spacing w:after="100"/>
      </w:pPr>
      <w:r w:rsidRPr="009E06AA">
        <w:t>the factors used to calculate emissions from the different wastewater treatment processes</w:t>
      </w:r>
    </w:p>
    <w:p w14:paraId="1B136DAD" w14:textId="77777777" w:rsidR="00E87995" w:rsidRPr="009E06AA" w:rsidRDefault="00E87995" w:rsidP="00E87995">
      <w:pPr>
        <w:pStyle w:val="Bullet"/>
        <w:spacing w:after="100"/>
      </w:pPr>
      <w:r w:rsidRPr="009E06AA">
        <w:t>the quantities of wastewater handled by the different wastewater treatment plants</w:t>
      </w:r>
    </w:p>
    <w:p w14:paraId="536333ED" w14:textId="77777777" w:rsidR="00E87995" w:rsidRPr="009E06AA" w:rsidRDefault="00E87995" w:rsidP="00E87995">
      <w:pPr>
        <w:pStyle w:val="Bullet"/>
        <w:spacing w:after="100"/>
      </w:pPr>
      <w:r w:rsidRPr="009E06AA">
        <w:t>the accuracy and completeness of the data relating to each plant</w:t>
      </w:r>
    </w:p>
    <w:p w14:paraId="1FCC0023" w14:textId="77777777" w:rsidR="00E87995" w:rsidRPr="009E06AA" w:rsidRDefault="00E87995" w:rsidP="00E87995">
      <w:pPr>
        <w:pStyle w:val="Bullet"/>
        <w:spacing w:after="100"/>
      </w:pPr>
      <w:r w:rsidRPr="009E06AA">
        <w:t>the factors used to calculate the degradable organic content in the wastewater</w:t>
      </w:r>
    </w:p>
    <w:p w14:paraId="702E0DE9" w14:textId="77777777" w:rsidR="00E87995" w:rsidRPr="009E06AA" w:rsidRDefault="00E87995" w:rsidP="00E87995">
      <w:pPr>
        <w:pStyle w:val="Bullet"/>
        <w:spacing w:after="100"/>
      </w:pPr>
      <w:r w:rsidRPr="009E06AA">
        <w:t>the wastewater treatment methods.</w:t>
      </w:r>
    </w:p>
    <w:p w14:paraId="31D8A3A0" w14:textId="77777777" w:rsidR="00E87995" w:rsidRPr="009E06AA" w:rsidRDefault="00E87995" w:rsidP="00BF2A76">
      <w:pPr>
        <w:pStyle w:val="Heading5"/>
      </w:pPr>
      <w:bookmarkStart w:id="3103" w:name="nitrous-oxide-emissions-1"/>
      <w:bookmarkEnd w:id="3102"/>
      <w:r w:rsidRPr="009E06AA">
        <w:t>Nitrous oxide emissions</w:t>
      </w:r>
    </w:p>
    <w:p w14:paraId="5F09EDE4" w14:textId="77777777" w:rsidR="00E87995" w:rsidRPr="009E06AA" w:rsidRDefault="00E87995" w:rsidP="00E87995">
      <w:pPr>
        <w:pStyle w:val="BodyText"/>
        <w:spacing w:before="100" w:after="100"/>
      </w:pPr>
      <w:r w:rsidRPr="009E06AA">
        <w:t>Large uncertainties are associated with the IPCC default emission factors for N</w:t>
      </w:r>
      <w:r w:rsidRPr="009E06AA">
        <w:rPr>
          <w:vertAlign w:val="subscript"/>
        </w:rPr>
        <w:t>2</w:t>
      </w:r>
      <w:r w:rsidRPr="009E06AA">
        <w:t xml:space="preserve">O emissions from wastewater treatment effluent (IPCC, 2006a). The uncertainty is estimated to be ±90 per cent based on the ranges experienced in collecting and applying similar data internationally, and expert judgement on the application of this experience to </w:t>
      </w:r>
      <w:r w:rsidRPr="009E06AA" w:rsidDel="009157AA">
        <w:t xml:space="preserve">New </w:t>
      </w:r>
      <w:r w:rsidRPr="009E06AA">
        <w:t>Zealand (Law et al., 2012).</w:t>
      </w:r>
    </w:p>
    <w:p w14:paraId="1AF82995" w14:textId="77777777" w:rsidR="00E87995" w:rsidRPr="009E06AA" w:rsidRDefault="00E87995" w:rsidP="00E87995">
      <w:pPr>
        <w:pStyle w:val="Heading4"/>
      </w:pPr>
      <w:bookmarkStart w:id="3104" w:name="time-series-consistency-3"/>
      <w:bookmarkEnd w:id="3096"/>
      <w:bookmarkEnd w:id="3103"/>
      <w:r w:rsidRPr="009E06AA">
        <w:t>Time-series consistency</w:t>
      </w:r>
    </w:p>
    <w:p w14:paraId="3D60063B" w14:textId="77777777" w:rsidR="00E87995" w:rsidRPr="009E06AA" w:rsidRDefault="00E87995" w:rsidP="00E87995">
      <w:pPr>
        <w:pStyle w:val="BodyText"/>
        <w:spacing w:before="100" w:after="100"/>
      </w:pPr>
      <w:r w:rsidRPr="009E06AA">
        <w:t>Time-series consistency is ensured by the use of consistent models and parameters across the period. Where changes to methodologies or emission factors have occurred, the entire time series has been recalculated.</w:t>
      </w:r>
    </w:p>
    <w:p w14:paraId="27DBDBC1" w14:textId="77777777" w:rsidR="00E87995" w:rsidRPr="009E06AA" w:rsidRDefault="00E87995" w:rsidP="00E87995">
      <w:pPr>
        <w:pStyle w:val="Heading3"/>
        <w:spacing w:before="240"/>
      </w:pPr>
      <w:bookmarkStart w:id="3105" w:name="_Toc160537252"/>
      <w:bookmarkStart w:id="3106" w:name="X82c00aa75cec5601534b14371f804a69d91c8c4"/>
      <w:bookmarkEnd w:id="3094"/>
      <w:bookmarkEnd w:id="3095"/>
      <w:bookmarkEnd w:id="3104"/>
      <w:r w:rsidRPr="009E06AA">
        <w:t xml:space="preserve">7.5.4 </w:t>
      </w:r>
      <w:r w:rsidRPr="009E06AA">
        <w:tab/>
        <w:t>Category-specific QA/QC and verification</w:t>
      </w:r>
      <w:bookmarkEnd w:id="3105"/>
    </w:p>
    <w:p w14:paraId="388A382E" w14:textId="77777777" w:rsidR="00E87995" w:rsidRPr="009E06AA" w:rsidRDefault="00E87995" w:rsidP="00E87995">
      <w:pPr>
        <w:pStyle w:val="BodyText"/>
        <w:spacing w:before="100" w:after="100"/>
      </w:pPr>
      <w:r w:rsidRPr="009E06AA">
        <w:t xml:space="preserve">In the preparation for this inventory submission, the data for the </w:t>
      </w:r>
      <w:r w:rsidRPr="009E06AA">
        <w:rPr>
          <w:i/>
          <w:iCs/>
        </w:rPr>
        <w:t>Wastewater treatment and discharge</w:t>
      </w:r>
      <w:r w:rsidRPr="009E06AA">
        <w:t xml:space="preserve"> category underwent Tier 1 quality checks.</w:t>
      </w:r>
    </w:p>
    <w:p w14:paraId="299A17FA" w14:textId="77777777" w:rsidR="00E87995" w:rsidRPr="009E06AA" w:rsidRDefault="00E87995" w:rsidP="00882E2D">
      <w:pPr>
        <w:pStyle w:val="Heading3"/>
        <w:spacing w:before="240"/>
      </w:pPr>
      <w:bookmarkStart w:id="3107" w:name="_Toc160537253"/>
      <w:bookmarkStart w:id="3108" w:name="category-specific-recalculations-3"/>
      <w:bookmarkEnd w:id="3106"/>
      <w:r w:rsidRPr="009E06AA">
        <w:t xml:space="preserve">7.5.5 </w:t>
      </w:r>
      <w:r w:rsidRPr="009E06AA">
        <w:tab/>
        <w:t>Category-specific recalculations</w:t>
      </w:r>
      <w:bookmarkEnd w:id="3107"/>
    </w:p>
    <w:p w14:paraId="17968E71" w14:textId="77777777" w:rsidR="00E87995" w:rsidRPr="009E06AA" w:rsidRDefault="00E87995" w:rsidP="00E87995">
      <w:pPr>
        <w:pStyle w:val="Heading4"/>
      </w:pPr>
      <w:bookmarkStart w:id="3109" w:name="X5c9c54e7058d7078b7a5b4d3a53718bf553c884"/>
      <w:r w:rsidRPr="009E06AA">
        <w:t>Emissions from domestic and industrial wastewater treatment</w:t>
      </w:r>
    </w:p>
    <w:p w14:paraId="05E33682" w14:textId="77777777" w:rsidR="00E87995" w:rsidRPr="009E06AA" w:rsidRDefault="00E87995" w:rsidP="00E87995">
      <w:pPr>
        <w:pStyle w:val="BodyText"/>
        <w:spacing w:before="100" w:after="100"/>
      </w:pPr>
      <w:r w:rsidRPr="009E06AA">
        <w:t xml:space="preserve">Emissions from </w:t>
      </w:r>
      <w:r w:rsidRPr="009E06AA">
        <w:rPr>
          <w:i/>
          <w:iCs/>
        </w:rPr>
        <w:t>Domestic wastewater</w:t>
      </w:r>
      <w:r w:rsidRPr="009E06AA">
        <w:t xml:space="preserve"> remained the same in 1990 and decreased by 0.7 kt CO</w:t>
      </w:r>
      <w:r w:rsidRPr="009E06AA">
        <w:rPr>
          <w:vertAlign w:val="subscript"/>
        </w:rPr>
        <w:t>2</w:t>
      </w:r>
      <w:r w:rsidRPr="009E06AA">
        <w:t xml:space="preserve">-e in 2021. This is the result of revising population data using the latest estimates available and applying these consistently across the time series where possible. Similarly, emissions from </w:t>
      </w:r>
      <w:r w:rsidRPr="009E06AA">
        <w:rPr>
          <w:i/>
          <w:iCs/>
        </w:rPr>
        <w:t>Industrial wastewater</w:t>
      </w:r>
      <w:r w:rsidRPr="009E06AA">
        <w:t xml:space="preserve"> did not change in 1990 and decreased by 0.1 kt CO</w:t>
      </w:r>
      <w:r w:rsidRPr="009E06AA">
        <w:rPr>
          <w:vertAlign w:val="subscript"/>
        </w:rPr>
        <w:t>2</w:t>
      </w:r>
      <w:r w:rsidRPr="009E06AA">
        <w:t>-e in 2021. More details on recalculations are provided in chapter 10.</w:t>
      </w:r>
    </w:p>
    <w:p w14:paraId="78AEC834" w14:textId="169C62DD" w:rsidR="00E87995" w:rsidRPr="009E06AA" w:rsidRDefault="00E87995" w:rsidP="00882E2D">
      <w:pPr>
        <w:pStyle w:val="Heading3"/>
        <w:spacing w:before="240"/>
      </w:pPr>
      <w:bookmarkStart w:id="3110" w:name="_Toc160537254"/>
      <w:bookmarkStart w:id="3111" w:name="category-specific-planned-improvements-3"/>
      <w:bookmarkEnd w:id="3108"/>
      <w:bookmarkEnd w:id="3109"/>
      <w:r w:rsidRPr="009E06AA">
        <w:t>7.5.6</w:t>
      </w:r>
      <w:r w:rsidR="00882E2D" w:rsidRPr="009E06AA">
        <w:tab/>
      </w:r>
      <w:r w:rsidRPr="009E06AA">
        <w:t>Category-specific planned improvements</w:t>
      </w:r>
      <w:bookmarkEnd w:id="3110"/>
    </w:p>
    <w:p w14:paraId="64436ED2" w14:textId="77777777" w:rsidR="00E87995" w:rsidRPr="009E06AA" w:rsidRDefault="00E87995" w:rsidP="00E87995">
      <w:pPr>
        <w:pStyle w:val="BodyText"/>
        <w:spacing w:before="100" w:after="100"/>
      </w:pPr>
      <w:r w:rsidRPr="009E06AA">
        <w:t xml:space="preserve">No specific improvements are planned for this source category. </w:t>
      </w:r>
    </w:p>
    <w:p w14:paraId="09FF58EA" w14:textId="77777777" w:rsidR="00E87995" w:rsidRPr="009E06AA" w:rsidRDefault="00E87995" w:rsidP="00E87995">
      <w:pPr>
        <w:pStyle w:val="Heading2"/>
        <w:pageBreakBefore/>
        <w:spacing w:after="360"/>
      </w:pPr>
      <w:bookmarkStart w:id="3112" w:name="_Toc131591265"/>
      <w:bookmarkStart w:id="3113" w:name="_Toc160537255"/>
      <w:bookmarkStart w:id="3114" w:name="_Toc164154220"/>
      <w:bookmarkStart w:id="3115" w:name="chapter-7-references"/>
      <w:bookmarkEnd w:id="2974"/>
      <w:bookmarkEnd w:id="3111"/>
      <w:r w:rsidRPr="009E06AA">
        <w:t>Chapter 7: References</w:t>
      </w:r>
      <w:bookmarkEnd w:id="3112"/>
      <w:bookmarkEnd w:id="3113"/>
      <w:bookmarkEnd w:id="3114"/>
    </w:p>
    <w:p w14:paraId="2402CEB1" w14:textId="77777777" w:rsidR="00E87995" w:rsidRPr="009E06AA" w:rsidRDefault="00E87995" w:rsidP="00E87995">
      <w:pPr>
        <w:pStyle w:val="References"/>
      </w:pPr>
      <w:r w:rsidRPr="009E06AA">
        <w:t>Beca Infrastructure Ltd. Unpublished. National Greenhouse Gas Inventory from Wastewater Treatment and Discharge. Report commissioned by the Ministry for the Environment in 2007.</w:t>
      </w:r>
    </w:p>
    <w:p w14:paraId="1AC0334C" w14:textId="77777777" w:rsidR="00E87995" w:rsidRPr="009E06AA" w:rsidRDefault="00E87995" w:rsidP="00E87995">
      <w:pPr>
        <w:pStyle w:val="References"/>
      </w:pPr>
      <w:r w:rsidRPr="009E06AA">
        <w:t>Beca Ltd. Unpublished. Industrial Wastewater Greenhouse Gas (GHG) Estimates from the Pulp and Paper, Wool Scouring and Wine Industries for New Zealand’s GHG Inventory. Report commissioned by the Ministry for the Environment in 2013.</w:t>
      </w:r>
    </w:p>
    <w:p w14:paraId="5A7C99AA" w14:textId="77777777" w:rsidR="00E87995" w:rsidRPr="009E06AA" w:rsidRDefault="00E87995" w:rsidP="00E87995">
      <w:pPr>
        <w:pStyle w:val="References"/>
      </w:pPr>
      <w:r w:rsidRPr="009E06AA">
        <w:t>Cardno. Unpublished. Greenhouse Gas Emissions from Industrial Wastewater Treatment. Report commissioned by the Ministry for the Environment in 2015.</w:t>
      </w:r>
    </w:p>
    <w:p w14:paraId="791FEB4B" w14:textId="77777777" w:rsidR="00E87995" w:rsidRPr="009E06AA" w:rsidRDefault="00E87995" w:rsidP="00E87995">
      <w:pPr>
        <w:pStyle w:val="References"/>
      </w:pPr>
      <w:r w:rsidRPr="009E06AA">
        <w:t xml:space="preserve">Eunomia Research and </w:t>
      </w:r>
      <w:r w:rsidRPr="009E06AA">
        <w:rPr>
          <w:szCs w:val="20"/>
        </w:rPr>
        <w:t xml:space="preserve">Consulting and </w:t>
      </w:r>
      <w:r w:rsidRPr="009E06AA">
        <w:t>Waste Not Consulting. Unpublished. Incorporating Waste Minimisation Act Data into New Zealand’s Greenhouse Gas Estimates. Report commissioned by the Ministry for the Environment in 2014.</w:t>
      </w:r>
    </w:p>
    <w:p w14:paraId="58928299" w14:textId="77777777" w:rsidR="00E87995" w:rsidRPr="009E06AA" w:rsidRDefault="00E87995" w:rsidP="00E87995">
      <w:pPr>
        <w:pStyle w:val="References"/>
      </w:pPr>
      <w:r w:rsidRPr="009E06AA">
        <w:t>Eunomia. Unpublished(a). Improvements to Estimates of Greenhouse Gas Emissions from Landfills. Report commissioned by the Ministry for the Environment in 2020.</w:t>
      </w:r>
    </w:p>
    <w:p w14:paraId="07A90638" w14:textId="77777777" w:rsidR="00E87995" w:rsidRPr="009E06AA" w:rsidRDefault="00E87995" w:rsidP="00E87995">
      <w:pPr>
        <w:pStyle w:val="References"/>
      </w:pPr>
      <w:r w:rsidRPr="009E06AA">
        <w:t>Eunomia. Unpublished(b). Data updated from National Resource Recovery Project situational analysis report (2019). Commissioned by the Ministry for the Environment in 2020.</w:t>
      </w:r>
    </w:p>
    <w:p w14:paraId="7A6055A0" w14:textId="77777777" w:rsidR="00E87995" w:rsidRPr="009E06AA" w:rsidRDefault="00E87995" w:rsidP="00E87995">
      <w:pPr>
        <w:pStyle w:val="References"/>
      </w:pPr>
      <w:r w:rsidRPr="009E06AA">
        <w:t>Eunomia. Unpublished(c). Waste Data Improvements for Non-Municipal Landfills and Farm Waste. Report commissioned by the Ministry for the Environment in 2022.</w:t>
      </w:r>
    </w:p>
    <w:p w14:paraId="5CC1DFAC" w14:textId="77777777" w:rsidR="00E87995" w:rsidRPr="009E06AA" w:rsidRDefault="00E87995" w:rsidP="00E87995">
      <w:pPr>
        <w:pStyle w:val="References"/>
      </w:pPr>
      <w:r w:rsidRPr="009E06AA">
        <w:t xml:space="preserve">GHD. 2013. </w:t>
      </w:r>
      <w:hyperlink r:id="rId167" w:history="1">
        <w:r w:rsidRPr="009E06AA">
          <w:rPr>
            <w:rStyle w:val="Hyperlink"/>
            <w:i/>
          </w:rPr>
          <w:t>Non-natural Rural Wastes: Site survey analysis</w:t>
        </w:r>
      </w:hyperlink>
      <w:r w:rsidRPr="009E06AA">
        <w:t>. GHD Ltd for the Canterbury Regional Council, published as Canterbury Regional Council Report No R13/52. Retrieved 9 November 2017.</w:t>
      </w:r>
    </w:p>
    <w:p w14:paraId="14AEAFC4" w14:textId="77777777" w:rsidR="00E87995" w:rsidRPr="009E06AA" w:rsidRDefault="00E87995" w:rsidP="00E87995">
      <w:pPr>
        <w:pStyle w:val="References"/>
      </w:pPr>
      <w:r w:rsidRPr="009E06AA">
        <w:t xml:space="preserve">GHD. 2014. </w:t>
      </w:r>
      <w:hyperlink r:id="rId168" w:history="1">
        <w:r w:rsidRPr="009E06AA">
          <w:rPr>
            <w:rStyle w:val="Hyperlink"/>
            <w:i/>
          </w:rPr>
          <w:t>Rural Waste Surveys Data Analysis: Waikato and Bay of Plenty</w:t>
        </w:r>
      </w:hyperlink>
      <w:r w:rsidRPr="009E06AA">
        <w:t xml:space="preserve">. GHD Ltd for the Waikato Regional Council, published as Waikato Regional Council Report No 3114554. </w:t>
      </w:r>
      <w:r w:rsidRPr="009E06AA">
        <w:rPr>
          <w:szCs w:val="20"/>
        </w:rPr>
        <w:t>Retrieved 9 November 2017</w:t>
      </w:r>
      <w:r w:rsidRPr="009E06AA">
        <w:t>.</w:t>
      </w:r>
    </w:p>
    <w:p w14:paraId="0C99A35C" w14:textId="77777777" w:rsidR="00E87995" w:rsidRPr="009E06AA" w:rsidRDefault="00E87995" w:rsidP="00E87995">
      <w:pPr>
        <w:pStyle w:val="References"/>
      </w:pPr>
      <w:r w:rsidRPr="009E06AA">
        <w:t xml:space="preserve">IPCC. 2006a. Eggleston HS, Buendia L, Miwa K, Ngara T, Tanabe K (eds). </w:t>
      </w:r>
      <w:r w:rsidRPr="009E06AA">
        <w:rPr>
          <w:i/>
        </w:rPr>
        <w:t>2006 IPCC Guidelines for National Greenhouse Gas Inventories. Volume 5. Waste</w:t>
      </w:r>
      <w:r w:rsidRPr="009E06AA">
        <w:t>. IPCC National Greenhouse Gas Inventories Programme. Japan: Institute for Global Environmental Strategies for IPCC.</w:t>
      </w:r>
    </w:p>
    <w:p w14:paraId="7D1CB9E3" w14:textId="77777777" w:rsidR="00E87995" w:rsidRPr="009E06AA" w:rsidRDefault="00E87995" w:rsidP="00E87995">
      <w:pPr>
        <w:pStyle w:val="References"/>
      </w:pPr>
      <w:r w:rsidRPr="009E06AA">
        <w:t xml:space="preserve">IPCC. 2006b. Eggleston HS, Buendia L, Miwa K, Ngara T, Tanabe K (eds). </w:t>
      </w:r>
      <w:r w:rsidRPr="009E06AA">
        <w:rPr>
          <w:i/>
        </w:rPr>
        <w:t>2006 IPCC Guidelines for National Greenhouse Gas Inventories. Volume 2. Energy</w:t>
      </w:r>
      <w:r w:rsidRPr="009E06AA">
        <w:t>. IPCC National Greenhouse Gas Inventories Programme. Japan: Institute for Global Environmental Strategies for IPCC.</w:t>
      </w:r>
    </w:p>
    <w:p w14:paraId="521445E1" w14:textId="77777777" w:rsidR="00E87995" w:rsidRPr="009E06AA" w:rsidRDefault="00E87995" w:rsidP="00E87995">
      <w:pPr>
        <w:pStyle w:val="References"/>
      </w:pPr>
      <w:r w:rsidRPr="009E06AA">
        <w:t xml:space="preserve">IPCC. 2007. Forster P, Ramaswamy V, Artaxo P, Berntsen T, Betts R, Fahey DW, Haywood J, Lean J, Lowe DC, Myhre G, Nganga J, Prinn R, Raga G, Schulz M, Van Dorland R. Changes in Atmospheric Constituents and in Radiative Forcing. In: S Solomon, D Qin, M Manning, Z Chen, M Marquis, KB Averyt, M Tignor and HL Miller (eds) </w:t>
      </w:r>
      <w:r w:rsidRPr="009E06AA">
        <w:rPr>
          <w:i/>
          <w:iCs/>
        </w:rPr>
        <w:t>Climate Change 2007: The Physical Science Basis. Contribution of Working Group I to the Fourth Assessment Report of the Intergovernmental Panel on Climate Change</w:t>
      </w:r>
      <w:r w:rsidRPr="009E06AA">
        <w:t xml:space="preserve">. Cambridge: Cambridge University Press. </w:t>
      </w:r>
    </w:p>
    <w:p w14:paraId="6EC9B1DC" w14:textId="77777777" w:rsidR="00E87995" w:rsidRPr="009E06AA" w:rsidRDefault="00E87995" w:rsidP="00E87995">
      <w:pPr>
        <w:pStyle w:val="References"/>
      </w:pPr>
      <w:r w:rsidRPr="009E06AA">
        <w:t xml:space="preserve">IPCC. 2013. Stocker TF, Qin D, Plattner G-K, Tignor M, Allen SK, Boschung J, Nauels A, Xia Y, Bex V, Midgley PM (eds). </w:t>
      </w:r>
      <w:r w:rsidRPr="009E06AA">
        <w:rPr>
          <w:i/>
          <w:iCs/>
        </w:rPr>
        <w:t>Climate Change 2013: The Physical Science Basis. Contribution of Working Group I to the Fifth Assessment Report of the Intergovernmental Panel on Climate Change</w:t>
      </w:r>
      <w:r w:rsidRPr="009E06AA">
        <w:t xml:space="preserve">. Cambridge: Cambridge University Press. </w:t>
      </w:r>
    </w:p>
    <w:p w14:paraId="4AB93F0E" w14:textId="77777777" w:rsidR="00E87995" w:rsidRPr="009E06AA" w:rsidRDefault="00E87995" w:rsidP="00E87995">
      <w:pPr>
        <w:pStyle w:val="References"/>
      </w:pPr>
      <w:r w:rsidRPr="009E06AA">
        <w:t xml:space="preserve">IPCC. 2019. Calvo Buendia E, Tanabe K, Kranjc A, Baasansuren J, Fukuda M, Ngarize S, Osako A, Pyrozhenko Y, Shermanau P, Federici S (eds). </w:t>
      </w:r>
      <w:r w:rsidRPr="009E06AA">
        <w:rPr>
          <w:i/>
        </w:rPr>
        <w:t>2019 Refinement to the 2006 IPCC Guidelines for National Greenhouse Gas Inventories. Volume 5. Waste</w:t>
      </w:r>
      <w:r w:rsidRPr="009E06AA">
        <w:t>. IPCC National Greenhouse Gas Inventories Programme. Switzerland: Intergovernmental Panel on Climate Change.</w:t>
      </w:r>
    </w:p>
    <w:p w14:paraId="3FB4D8EC" w14:textId="77777777" w:rsidR="00E87995" w:rsidRPr="009E06AA" w:rsidRDefault="00E87995" w:rsidP="00E87995">
      <w:pPr>
        <w:pStyle w:val="References"/>
      </w:pPr>
      <w:r w:rsidRPr="009E06AA">
        <w:t xml:space="preserve">Law Y, Ye L, Pan Y, Yuan Z. 2012. Nitrous oxide emissions from wastewater treatment processes. </w:t>
      </w:r>
      <w:r w:rsidRPr="009E06AA">
        <w:rPr>
          <w:i/>
        </w:rPr>
        <w:t>Philosophical Transactions of the Royal Society ‘B’</w:t>
      </w:r>
      <w:r w:rsidRPr="009E06AA">
        <w:t xml:space="preserve"> 367(1593): 1265–1277.</w:t>
      </w:r>
    </w:p>
    <w:p w14:paraId="17F2B199" w14:textId="77777777" w:rsidR="00E87995" w:rsidRPr="009E06AA" w:rsidRDefault="00E87995" w:rsidP="00E87995">
      <w:pPr>
        <w:pStyle w:val="References"/>
      </w:pPr>
      <w:r w:rsidRPr="009E06AA">
        <w:t xml:space="preserve">Ministry for the Environment. 1997. </w:t>
      </w:r>
      <w:r w:rsidRPr="009E06AA">
        <w:rPr>
          <w:i/>
        </w:rPr>
        <w:t>National Waste Data Report</w:t>
      </w:r>
      <w:r w:rsidRPr="009E06AA">
        <w:t>. Wellington: Ministry for the Environment.</w:t>
      </w:r>
    </w:p>
    <w:p w14:paraId="54940895" w14:textId="77777777" w:rsidR="00E87995" w:rsidRPr="009E06AA" w:rsidRDefault="00E87995" w:rsidP="00E87995">
      <w:pPr>
        <w:pStyle w:val="References"/>
      </w:pPr>
      <w:r w:rsidRPr="009E06AA">
        <w:t xml:space="preserve">Ministry for the Environment. 2002a. </w:t>
      </w:r>
      <w:r w:rsidRPr="009E06AA">
        <w:rPr>
          <w:i/>
        </w:rPr>
        <w:t>The New Zealand Waste Strategy</w:t>
      </w:r>
      <w:r w:rsidRPr="009E06AA">
        <w:t>. Wellington: Ministry for the Environment.</w:t>
      </w:r>
    </w:p>
    <w:p w14:paraId="4E1A1957" w14:textId="77777777" w:rsidR="00E87995" w:rsidRPr="009E06AA" w:rsidRDefault="00E87995" w:rsidP="00E87995">
      <w:pPr>
        <w:pStyle w:val="References"/>
      </w:pPr>
      <w:r w:rsidRPr="009E06AA">
        <w:t xml:space="preserve">Ministry for the Environment. 2002b. </w:t>
      </w:r>
      <w:r w:rsidRPr="009E06AA">
        <w:rPr>
          <w:i/>
        </w:rPr>
        <w:t>Solid Waste Analysis Protocol</w:t>
      </w:r>
      <w:r w:rsidRPr="009E06AA">
        <w:t>. Wellington: Ministry for the Environment.</w:t>
      </w:r>
    </w:p>
    <w:p w14:paraId="5A4AF6F2" w14:textId="77777777" w:rsidR="00E87995" w:rsidRPr="009E06AA" w:rsidRDefault="00E87995" w:rsidP="00E87995">
      <w:pPr>
        <w:pStyle w:val="References"/>
      </w:pPr>
      <w:r w:rsidRPr="009E06AA">
        <w:t xml:space="preserve">Ministry for the Environment. 2010. </w:t>
      </w:r>
      <w:r w:rsidRPr="009E06AA">
        <w:rPr>
          <w:i/>
        </w:rPr>
        <w:t>The New Zealand Waste Strategy: Reducing Harm, Improving Efficiency</w:t>
      </w:r>
      <w:r w:rsidRPr="009E06AA">
        <w:t>. Wellington: Ministry for the Environment.</w:t>
      </w:r>
    </w:p>
    <w:p w14:paraId="08F081AD" w14:textId="77777777" w:rsidR="00E87995" w:rsidRPr="009E06AA" w:rsidRDefault="00E87995" w:rsidP="00E87995">
      <w:pPr>
        <w:pStyle w:val="References"/>
        <w:rPr>
          <w:highlight w:val="yellow"/>
        </w:rPr>
      </w:pPr>
      <w:r w:rsidRPr="009E06AA">
        <w:t xml:space="preserve">Ministry for the Environment. 2022. </w:t>
      </w:r>
      <w:r w:rsidRPr="009E06AA">
        <w:rPr>
          <w:i/>
          <w:iCs/>
        </w:rPr>
        <w:t xml:space="preserve">Te hau mārohi ki anamata </w:t>
      </w:r>
      <w:r w:rsidRPr="009E06AA">
        <w:rPr>
          <w:i/>
          <w:iCs/>
        </w:rPr>
        <w:softHyphen/>
        <w:t>– Towards a productive, sustainable and inclusive economy: Aotearoa New Zealand’s first emissions reduction plan</w:t>
      </w:r>
      <w:r w:rsidRPr="009E06AA">
        <w:t>. Wellington: Ministry for the Environment.</w:t>
      </w:r>
    </w:p>
    <w:p w14:paraId="0DAB8292" w14:textId="77777777" w:rsidR="00E87995" w:rsidRPr="009E06AA" w:rsidRDefault="00E87995" w:rsidP="00E87995">
      <w:pPr>
        <w:pStyle w:val="References"/>
        <w:rPr>
          <w:szCs w:val="20"/>
        </w:rPr>
      </w:pPr>
      <w:r w:rsidRPr="009E06AA">
        <w:rPr>
          <w:szCs w:val="20"/>
        </w:rPr>
        <w:t xml:space="preserve">Ministry for the Environment. 2023. </w:t>
      </w:r>
      <w:r w:rsidRPr="009E06AA">
        <w:rPr>
          <w:i/>
          <w:iCs/>
          <w:szCs w:val="20"/>
        </w:rPr>
        <w:t>Te rautaki para / Waste Strategy: Getting rid of waste for a circular Aotearoa New Zealand</w:t>
      </w:r>
      <w:r w:rsidRPr="009E06AA">
        <w:rPr>
          <w:szCs w:val="20"/>
        </w:rPr>
        <w:t>. Wellington: Ministry for the Environment.</w:t>
      </w:r>
    </w:p>
    <w:p w14:paraId="07BCE1C6" w14:textId="77777777" w:rsidR="00E87995" w:rsidRPr="009E06AA" w:rsidRDefault="00E87995" w:rsidP="00E87995">
      <w:pPr>
        <w:pStyle w:val="References"/>
      </w:pPr>
      <w:r w:rsidRPr="009E06AA">
        <w:t xml:space="preserve">Ministry of Commerce. 1993. </w:t>
      </w:r>
      <w:r w:rsidRPr="009E06AA">
        <w:rPr>
          <w:i/>
        </w:rPr>
        <w:t>New Zealand Energy Information Handbook:</w:t>
      </w:r>
      <w:r w:rsidRPr="009E06AA">
        <w:t xml:space="preserve"> </w:t>
      </w:r>
      <w:r w:rsidRPr="009E06AA">
        <w:rPr>
          <w:i/>
        </w:rPr>
        <w:t>Energy Data, Conversion Factors, Definitions.</w:t>
      </w:r>
      <w:r w:rsidRPr="009E06AA">
        <w:t xml:space="preserve"> Taylor Baines and Associates.</w:t>
      </w:r>
    </w:p>
    <w:p w14:paraId="742E2E63" w14:textId="77777777" w:rsidR="00E87995" w:rsidRPr="009E06AA" w:rsidRDefault="00E87995" w:rsidP="00E87995">
      <w:pPr>
        <w:pStyle w:val="References"/>
      </w:pPr>
      <w:r w:rsidRPr="009E06AA">
        <w:t xml:space="preserve">MWH. 2017. </w:t>
      </w:r>
      <w:hyperlink r:id="rId169" w:history="1">
        <w:r w:rsidRPr="009E06AA">
          <w:rPr>
            <w:rStyle w:val="Hyperlink"/>
            <w:i/>
          </w:rPr>
          <w:t>National Waste Disposal Survey. Final Report</w:t>
        </w:r>
      </w:hyperlink>
      <w:r w:rsidRPr="009E06AA">
        <w:rPr>
          <w:i/>
        </w:rPr>
        <w:t>.</w:t>
      </w:r>
      <w:r w:rsidRPr="009E06AA">
        <w:t xml:space="preserve"> MWH for the Ministry for the Environment, published as National Waste Disposal Survey Final Report 2017 No CR275. Retrieved 9</w:t>
      </w:r>
      <w:r w:rsidRPr="009E06AA">
        <w:rPr>
          <w:szCs w:val="20"/>
        </w:rPr>
        <w:t xml:space="preserve"> </w:t>
      </w:r>
      <w:r w:rsidRPr="009E06AA">
        <w:t>November 2017.</w:t>
      </w:r>
    </w:p>
    <w:p w14:paraId="2AB6746B" w14:textId="77777777" w:rsidR="00E87995" w:rsidRPr="009E06AA" w:rsidRDefault="00E87995" w:rsidP="00E87995">
      <w:pPr>
        <w:pStyle w:val="References"/>
      </w:pPr>
      <w:r w:rsidRPr="009E06AA">
        <w:t>SCS Wetherill Environmental. Unpublished. National Greenhouse Gas Inventory from the Waste Sector 1990–2020. Report commissioned by the Ministry for the Environment in 2002.</w:t>
      </w:r>
    </w:p>
    <w:p w14:paraId="349CE871" w14:textId="77777777" w:rsidR="00E87995" w:rsidRPr="009E06AA" w:rsidRDefault="00E87995" w:rsidP="00E87995">
      <w:pPr>
        <w:pStyle w:val="References"/>
      </w:pPr>
      <w:r w:rsidRPr="009E06AA">
        <w:t>SKM. Unpublished(a). Greenhouse Gases from the Waste Incineration Sector. Report commissioned by the Ministry for the Environment in 2007.</w:t>
      </w:r>
    </w:p>
    <w:p w14:paraId="028DFA0A" w14:textId="77777777" w:rsidR="00E87995" w:rsidRPr="009E06AA" w:rsidRDefault="00E87995" w:rsidP="00E87995">
      <w:pPr>
        <w:pStyle w:val="References"/>
      </w:pPr>
      <w:r w:rsidRPr="009E06AA">
        <w:t>SKM. Unpublished(b). Estimates of Landfill Methane Recovered in New Zealand 1990–2012. Report commissioned by the Ministry for the Environment in 2009.</w:t>
      </w:r>
    </w:p>
    <w:p w14:paraId="1BBE13F2" w14:textId="77777777" w:rsidR="00E87995" w:rsidRPr="009E06AA" w:rsidRDefault="00E87995" w:rsidP="00E87995">
      <w:pPr>
        <w:pStyle w:val="References"/>
      </w:pPr>
      <w:r w:rsidRPr="009E06AA">
        <w:t>Tonkin and Taylor Ltd. Unpublished(a). National Greenhouse Gas Emissions from Wastewater Sludge. Report commissioned by the Ministry for the Environment in 2011.</w:t>
      </w:r>
    </w:p>
    <w:p w14:paraId="660FFB3D" w14:textId="77777777" w:rsidR="00E87995" w:rsidRPr="009E06AA" w:rsidRDefault="00E87995" w:rsidP="00E87995">
      <w:pPr>
        <w:pStyle w:val="References"/>
      </w:pPr>
      <w:r w:rsidRPr="009E06AA">
        <w:t>Tonkin and Taylor Ltd. Unpublished(b). GHG Estimates from Non-municipal Landfills New Zealand. Report commissioned by the Ministry for the Environment in 2014.</w:t>
      </w:r>
    </w:p>
    <w:p w14:paraId="0E263937" w14:textId="77777777" w:rsidR="00E87995" w:rsidRPr="009E06AA" w:rsidRDefault="00E87995" w:rsidP="00E87995">
      <w:pPr>
        <w:pStyle w:val="References"/>
      </w:pPr>
      <w:r w:rsidRPr="009E06AA">
        <w:t xml:space="preserve">van der Weerden A, de Klein C, Kelliher R, Rollo M. 2014. </w:t>
      </w:r>
      <w:r w:rsidRPr="009E06AA">
        <w:rPr>
          <w:i/>
        </w:rPr>
        <w:t>Reporting to 2006 IPCC Guidelines for N</w:t>
      </w:r>
      <w:r w:rsidRPr="009E06AA">
        <w:rPr>
          <w:i/>
          <w:vertAlign w:val="subscript"/>
        </w:rPr>
        <w:t>2</w:t>
      </w:r>
      <w:r w:rsidRPr="009E06AA">
        <w:rPr>
          <w:i/>
        </w:rPr>
        <w:t>O Emissions from Additional Sources of Organic N: Final report</w:t>
      </w:r>
      <w:r w:rsidRPr="009E06AA">
        <w:t>. Wellington: Ministry for Primary Industries.</w:t>
      </w:r>
    </w:p>
    <w:p w14:paraId="6B6DB597" w14:textId="77777777" w:rsidR="00E87995" w:rsidRPr="009E06AA" w:rsidRDefault="00E87995" w:rsidP="00E87995">
      <w:pPr>
        <w:pStyle w:val="References"/>
      </w:pPr>
      <w:r w:rsidRPr="009E06AA">
        <w:t>Waste Not Consulting. Unpublished(a). Waste Composition and Construction Waste Data. Report commissioned by the Ministry for the Environment in 2006.</w:t>
      </w:r>
    </w:p>
    <w:p w14:paraId="6ADC4E0D" w14:textId="77777777" w:rsidR="00E87995" w:rsidRPr="009E06AA" w:rsidRDefault="00E87995" w:rsidP="00E87995">
      <w:pPr>
        <w:pStyle w:val="References"/>
      </w:pPr>
      <w:r w:rsidRPr="009E06AA">
        <w:t>Waste Not Consulting. Unpublished(b). Reviewing the 2008 National Waste Composition Estimate and Producing a 2012 Estimate. Report commissioned by the Ministry for the Environment in 2013.</w:t>
      </w:r>
    </w:p>
    <w:p w14:paraId="20AB2DA7" w14:textId="77777777" w:rsidR="00E87995" w:rsidRPr="009E06AA" w:rsidRDefault="00E87995" w:rsidP="00E87995">
      <w:pPr>
        <w:pStyle w:val="References"/>
      </w:pPr>
      <w:r w:rsidRPr="009E06AA">
        <w:t>Waste Not Consulting. Unpublished(c). Update of National Average Waste Composition for Class 1 Landfills. Report commissioned by the Ministry for the Environment in 2020.</w:t>
      </w:r>
      <w:bookmarkEnd w:id="2749"/>
      <w:bookmarkEnd w:id="3115"/>
    </w:p>
    <w:p w14:paraId="62032CEB" w14:textId="77777777" w:rsidR="00E87995" w:rsidRPr="009E06AA" w:rsidRDefault="00E87995" w:rsidP="00E87995">
      <w:pPr>
        <w:pStyle w:val="References"/>
      </w:pPr>
    </w:p>
    <w:p w14:paraId="6F9CA801" w14:textId="77777777" w:rsidR="00B55A78" w:rsidRPr="009E06AA" w:rsidRDefault="00B55A78" w:rsidP="006F5D1B">
      <w:pPr>
        <w:sectPr w:rsidR="00B55A78" w:rsidRPr="009E06AA" w:rsidSect="00F66BF9">
          <w:footerReference w:type="even" r:id="rId170"/>
          <w:footerReference w:type="default" r:id="rId171"/>
          <w:pgSz w:w="11907" w:h="16840" w:code="9"/>
          <w:pgMar w:top="1418" w:right="1701" w:bottom="1418" w:left="1701" w:header="567" w:footer="567" w:gutter="0"/>
          <w:cols w:space="720"/>
        </w:sectPr>
      </w:pPr>
    </w:p>
    <w:p w14:paraId="78050C4A" w14:textId="77777777" w:rsidR="00AD187C" w:rsidRPr="009E06AA" w:rsidRDefault="00AD187C" w:rsidP="00AD187C">
      <w:pPr>
        <w:pStyle w:val="Heading1"/>
      </w:pPr>
      <w:bookmarkStart w:id="3116" w:name="_Toc5269392"/>
      <w:bookmarkStart w:id="3117" w:name="_Toc36224432"/>
      <w:bookmarkStart w:id="3118" w:name="_Toc68786352"/>
      <w:bookmarkStart w:id="3119" w:name="_Toc131591266"/>
      <w:bookmarkStart w:id="3120" w:name="_Toc160205175"/>
      <w:bookmarkStart w:id="3121" w:name="_Toc160441760"/>
      <w:bookmarkStart w:id="3122" w:name="_Toc164154221"/>
      <w:bookmarkStart w:id="3123" w:name="X393dcd999f67bfa1a08e976d21b7e91a670658a"/>
      <w:r w:rsidRPr="009E06AA">
        <w:t>Chapter 8: Tokelau</w:t>
      </w:r>
      <w:bookmarkEnd w:id="3116"/>
      <w:r w:rsidRPr="009E06AA">
        <w:t xml:space="preserve"> (other) sector</w:t>
      </w:r>
      <w:bookmarkEnd w:id="3117"/>
      <w:bookmarkEnd w:id="3118"/>
      <w:bookmarkEnd w:id="3119"/>
      <w:bookmarkEnd w:id="3120"/>
      <w:bookmarkEnd w:id="3121"/>
      <w:bookmarkEnd w:id="3122"/>
    </w:p>
    <w:p w14:paraId="74B57960" w14:textId="77777777" w:rsidR="00AD187C" w:rsidRPr="009E06AA" w:rsidRDefault="00AD187C" w:rsidP="00AD187C">
      <w:pPr>
        <w:pStyle w:val="BodyText"/>
      </w:pPr>
      <w:r w:rsidRPr="009E06AA">
        <w:t>New Zealand ratified the United Nations Framework Convention on Climate Change (the Convention) on 16 September 1993 and the Paris Agreement on 4 October 2016. The extension to Tokelau (as of 13 November 2017) of New Zealand’s ratification of the Convention and of the Paris Agreement requires New Zealand to include Tokelau in the obligatory climate change reporting managed by the Ministry for the Environment. Delivering on this obligation, among other things, means that New Zealand’s national greenhouse gas (GHG) inventory shall include the GHG estimates from Tokelau.</w:t>
      </w:r>
    </w:p>
    <w:p w14:paraId="70FE59DF" w14:textId="77777777" w:rsidR="00AD187C" w:rsidRPr="009E06AA" w:rsidRDefault="00AD187C" w:rsidP="00AD187C">
      <w:pPr>
        <w:pStyle w:val="BodyText"/>
      </w:pPr>
      <w:r w:rsidRPr="009E06AA">
        <w:t>Beginning with the 2019 submission, New Zealand’s national inventory includes emissions from Tokelau, which is an overseas dependent territory of New Zealand. See chapter 2, table 2.2.2 for the contribution of emissions from Tokelau. Generally, in New Zealand’s inventory, net and gross emissions are reported as a total of emissions from New Zealand’s mainland territory, plus emissions from Tokelau where applicable. Because emissions from Tokelau are small, and the methodology used varies greatly between Tokelau’s inventory and the inventory for New Zealand’s mainland territory, emissions from Tokelau are reported in the Other sector.</w:t>
      </w:r>
    </w:p>
    <w:p w14:paraId="68CAC5E8" w14:textId="77777777" w:rsidR="00AD187C" w:rsidRPr="009E06AA" w:rsidRDefault="00AD187C" w:rsidP="00AD187C">
      <w:pPr>
        <w:pStyle w:val="BodyText"/>
      </w:pPr>
      <w:r w:rsidRPr="009E06AA">
        <w:t>Methodological issues for Tokelau are detailed in chapter 8, separately from the sectoral chapters that focus on methods for New Zealand’s mainland territory only. Annex 7 provides the common reporting tables (CRTs) of the time series for emissions and activity data, and information on methods and emission factors for each sector and category contributing to the gross emissions from Tokelau.</w:t>
      </w:r>
    </w:p>
    <w:p w14:paraId="461745E6" w14:textId="0054D8B5" w:rsidR="00AD187C" w:rsidRPr="009E06AA" w:rsidRDefault="00AD187C" w:rsidP="00AD187C">
      <w:pPr>
        <w:pStyle w:val="BodyText"/>
      </w:pPr>
      <w:r w:rsidRPr="009E06AA">
        <w:t>Roles and responsibilities in relation to GHG inventory reporting from Tokelau are outlined below in section 8.1.</w:t>
      </w:r>
      <w:r w:rsidR="00357284" w:rsidRPr="009E06AA">
        <w:t>2</w:t>
      </w:r>
      <w:r w:rsidRPr="009E06AA">
        <w:t xml:space="preserve">. The information on quality-assurance and quality-control planning for Tokelau is included in </w:t>
      </w:r>
      <w:r w:rsidR="00357284" w:rsidRPr="009E06AA">
        <w:t>section 8.1.</w:t>
      </w:r>
      <w:r w:rsidR="00D257D9" w:rsidRPr="009E06AA">
        <w:t>5</w:t>
      </w:r>
      <w:r w:rsidRPr="009E06AA">
        <w:t>.</w:t>
      </w:r>
    </w:p>
    <w:p w14:paraId="05E1629F" w14:textId="77777777" w:rsidR="00AD187C" w:rsidRPr="009E06AA" w:rsidRDefault="00AD187C" w:rsidP="00AD187C">
      <w:pPr>
        <w:pStyle w:val="BodyText"/>
      </w:pPr>
      <w:r w:rsidRPr="009E06AA">
        <w:t>To maintain transparency of the inventory and visibility of the GHG data from Tokelau, sector 6 (Other) is used to present emissions from Tokelau’s own sectors in the CRTs. This chapter provides an overview of Tokelau’s economy and industry. It includes information on emissions trends and methodological notes in regard to the GHG emissions from Tokelau.</w:t>
      </w:r>
    </w:p>
    <w:p w14:paraId="32912DFA" w14:textId="77777777" w:rsidR="00AD187C" w:rsidRPr="009E06AA" w:rsidRDefault="00AD187C" w:rsidP="00AD187C">
      <w:pPr>
        <w:pStyle w:val="Heading2"/>
        <w:spacing w:before="320"/>
      </w:pPr>
      <w:bookmarkStart w:id="3124" w:name="_Toc5269393"/>
      <w:bookmarkStart w:id="3125" w:name="_Toc36224433"/>
      <w:bookmarkStart w:id="3126" w:name="_Toc68786353"/>
      <w:bookmarkStart w:id="3127" w:name="_Toc131591267"/>
      <w:bookmarkStart w:id="3128" w:name="_Toc160205176"/>
      <w:bookmarkStart w:id="3129" w:name="_Toc160441761"/>
      <w:bookmarkStart w:id="3130" w:name="_Toc164154222"/>
      <w:bookmarkStart w:id="3131" w:name="tokelau-overview"/>
      <w:r w:rsidRPr="009E06AA">
        <w:t xml:space="preserve">8.1 </w:t>
      </w:r>
      <w:r w:rsidRPr="009E06AA">
        <w:tab/>
        <w:t>Tokelau overview</w:t>
      </w:r>
      <w:bookmarkEnd w:id="3124"/>
      <w:bookmarkEnd w:id="3125"/>
      <w:bookmarkEnd w:id="3126"/>
      <w:bookmarkEnd w:id="3127"/>
      <w:bookmarkEnd w:id="3128"/>
      <w:bookmarkEnd w:id="3129"/>
      <w:bookmarkEnd w:id="3130"/>
    </w:p>
    <w:p w14:paraId="069D9CDA" w14:textId="77777777" w:rsidR="00AD187C" w:rsidRPr="009E06AA" w:rsidRDefault="00AD187C" w:rsidP="00AD187C">
      <w:pPr>
        <w:pStyle w:val="Heading3"/>
        <w:spacing w:before="240"/>
      </w:pPr>
      <w:bookmarkStart w:id="3132" w:name="_Toc160205177"/>
      <w:bookmarkStart w:id="3133" w:name="_Toc160441762"/>
      <w:bookmarkStart w:id="3134" w:name="geography"/>
      <w:r w:rsidRPr="009E06AA">
        <w:t xml:space="preserve">8.1.1 </w:t>
      </w:r>
      <w:r w:rsidRPr="009E06AA">
        <w:tab/>
        <w:t>Geography</w:t>
      </w:r>
      <w:bookmarkEnd w:id="3132"/>
      <w:bookmarkEnd w:id="3133"/>
    </w:p>
    <w:p w14:paraId="6797002E" w14:textId="77777777" w:rsidR="00AD187C" w:rsidRPr="009E06AA" w:rsidRDefault="00AD187C" w:rsidP="00AD187C">
      <w:pPr>
        <w:pStyle w:val="BodyText"/>
      </w:pPr>
      <w:r w:rsidRPr="009E06AA">
        <w:t>Tokelau is a non-self-governing territory</w:t>
      </w:r>
      <w:r w:rsidRPr="009E06AA">
        <w:rPr>
          <w:rStyle w:val="FootnoteReference"/>
        </w:rPr>
        <w:footnoteReference w:id="63"/>
      </w:r>
      <w:r w:rsidRPr="009E06AA">
        <w:t xml:space="preserve"> of New Zealand and is made up of three small coral atolls: Atafu, Nukunonu and Fakaofo. The total land area is 12 square kilometres within an Exclusive Economic Zone (EEZ) covering 318,990 square kilometres. Atafu, the northern atoll, has a surface area of 3.5 square kilometres; Nukunonu, the central atoll, is 4.7 square kilometres and Fakaofo, the southern atoll, is 4 square kilometres (figure 8.1.1).</w:t>
      </w:r>
    </w:p>
    <w:p w14:paraId="26EECC44" w14:textId="77777777" w:rsidR="00AD187C" w:rsidRPr="009E06AA" w:rsidRDefault="00AD187C" w:rsidP="00AD187C">
      <w:pPr>
        <w:pStyle w:val="Figure"/>
      </w:pPr>
      <w:bookmarkStart w:id="3135" w:name="_Toc5269721"/>
      <w:bookmarkStart w:id="3136" w:name="_Toc36292824"/>
      <w:bookmarkStart w:id="3137" w:name="_Toc64972931"/>
      <w:bookmarkStart w:id="3138" w:name="_Toc68786688"/>
      <w:bookmarkStart w:id="3139" w:name="_Toc130211296"/>
      <w:bookmarkStart w:id="3140" w:name="_Toc131591581"/>
      <w:bookmarkStart w:id="3141" w:name="_Toc160205426"/>
      <w:bookmarkStart w:id="3142" w:name="_Toc160441563"/>
      <w:bookmarkStart w:id="3143" w:name="_Toc164154049"/>
      <w:r w:rsidRPr="009E06AA">
        <w:rPr>
          <w:bCs/>
        </w:rPr>
        <w:t xml:space="preserve">Figure 8.1.1 </w:t>
      </w:r>
      <w:r w:rsidRPr="009E06AA">
        <w:rPr>
          <w:bCs/>
        </w:rPr>
        <w:tab/>
        <w:t>Map of Tokelau</w:t>
      </w:r>
      <w:bookmarkEnd w:id="3135"/>
      <w:bookmarkEnd w:id="3136"/>
      <w:bookmarkEnd w:id="3137"/>
      <w:bookmarkEnd w:id="3138"/>
      <w:bookmarkEnd w:id="3139"/>
      <w:bookmarkEnd w:id="3140"/>
      <w:bookmarkEnd w:id="3141"/>
      <w:bookmarkEnd w:id="3142"/>
      <w:bookmarkEnd w:id="3143"/>
    </w:p>
    <w:p w14:paraId="321F013B" w14:textId="77777777" w:rsidR="00AD187C" w:rsidRPr="009E06AA" w:rsidRDefault="00AD187C" w:rsidP="00AD187C">
      <w:pPr>
        <w:pStyle w:val="BodyText"/>
      </w:pPr>
      <w:r w:rsidRPr="009E06AA">
        <w:rPr>
          <w:noProof/>
        </w:rPr>
        <w:drawing>
          <wp:inline distT="0" distB="0" distL="0" distR="0" wp14:anchorId="029E60DE" wp14:editId="10F6DCEC">
            <wp:extent cx="4052235" cy="2059806"/>
            <wp:effectExtent l="0" t="0" r="0" b="0"/>
            <wp:docPr id="22" name="Picture 22"/>
            <wp:cNvGraphicFramePr/>
            <a:graphic xmlns:a="http://schemas.openxmlformats.org/drawingml/2006/main">
              <a:graphicData uri="http://schemas.openxmlformats.org/drawingml/2006/picture">
                <pic:pic xmlns:pic="http://schemas.openxmlformats.org/drawingml/2006/picture">
                  <pic:nvPicPr>
                    <pic:cNvPr id="23" name="Picture" descr="images/fig_8_1_1.png"/>
                    <pic:cNvPicPr>
                      <a:picLocks noChangeAspect="1" noChangeArrowheads="1"/>
                    </pic:cNvPicPr>
                  </pic:nvPicPr>
                  <pic:blipFill>
                    <a:blip r:embed="rId172"/>
                    <a:stretch>
                      <a:fillRect/>
                    </a:stretch>
                  </pic:blipFill>
                  <pic:spPr bwMode="auto">
                    <a:xfrm>
                      <a:off x="0" y="0"/>
                      <a:ext cx="4052235" cy="2059806"/>
                    </a:xfrm>
                    <a:prstGeom prst="rect">
                      <a:avLst/>
                    </a:prstGeom>
                    <a:noFill/>
                    <a:ln w="9525">
                      <a:noFill/>
                      <a:headEnd/>
                      <a:tailEnd/>
                    </a:ln>
                  </pic:spPr>
                </pic:pic>
              </a:graphicData>
            </a:graphic>
          </wp:inline>
        </w:drawing>
      </w:r>
    </w:p>
    <w:p w14:paraId="6A7EF492" w14:textId="77777777" w:rsidR="00AD187C" w:rsidRPr="009E06AA" w:rsidRDefault="00AD187C" w:rsidP="00AD187C">
      <w:pPr>
        <w:pStyle w:val="Source"/>
        <w:spacing w:after="120"/>
      </w:pPr>
      <w:r w:rsidRPr="009E06AA">
        <w:t>Source:</w:t>
      </w:r>
      <w:r w:rsidRPr="009E06AA">
        <w:tab/>
        <w:t>Tokelau Islands Maps.</w:t>
      </w:r>
    </w:p>
    <w:p w14:paraId="23797176" w14:textId="77777777" w:rsidR="00AD187C" w:rsidRPr="009E06AA" w:rsidRDefault="00AD187C" w:rsidP="00AD187C">
      <w:pPr>
        <w:pStyle w:val="BodyText"/>
      </w:pPr>
      <w:r w:rsidRPr="009E06AA">
        <w:t>From Atafu in the north to Fakaofo in the south, Tokelau extends for less than 200 kilometres. The atolls are about 3 to 5 metres above sea level. The maximum width of any island (motu) on the atolls’ rims is 200 metres. Tokelau is, therefore, particularly vulnerable to natural hazards.</w:t>
      </w:r>
    </w:p>
    <w:p w14:paraId="05028F57" w14:textId="77777777" w:rsidR="00AD187C" w:rsidRPr="009E06AA" w:rsidRDefault="00AD187C" w:rsidP="00AD187C">
      <w:pPr>
        <w:pStyle w:val="Heading3"/>
      </w:pPr>
      <w:bookmarkStart w:id="3144" w:name="_Toc160205178"/>
      <w:bookmarkStart w:id="3145" w:name="_Toc160441763"/>
      <w:bookmarkStart w:id="3146" w:name="censuses-of-dwellings-and-population"/>
      <w:bookmarkEnd w:id="3134"/>
      <w:r w:rsidRPr="009E06AA">
        <w:t xml:space="preserve">8.1.2 </w:t>
      </w:r>
      <w:r w:rsidRPr="009E06AA">
        <w:tab/>
        <w:t>Censuses of dwellings and population</w:t>
      </w:r>
      <w:bookmarkEnd w:id="3144"/>
      <w:bookmarkEnd w:id="3145"/>
    </w:p>
    <w:p w14:paraId="4E41BD6B" w14:textId="77777777" w:rsidR="00AD187C" w:rsidRPr="009E06AA" w:rsidRDefault="00AD187C" w:rsidP="00AD187C">
      <w:pPr>
        <w:pStyle w:val="BodyText"/>
      </w:pPr>
      <w:r w:rsidRPr="009E06AA">
        <w:t>Tokelauans have New Zealand citizenship.</w:t>
      </w:r>
    </w:p>
    <w:p w14:paraId="4B0C9048" w14:textId="77777777" w:rsidR="00AD187C" w:rsidRPr="009E06AA" w:rsidRDefault="00AD187C" w:rsidP="00AD187C">
      <w:pPr>
        <w:pStyle w:val="BodyText"/>
      </w:pPr>
      <w:r w:rsidRPr="009E06AA">
        <w:t>Tokelau has carried out independent censuses of population and dwellings five yearly; detailed data are available on the number of inhabitants, livestock, housing, and some appliances. Only the past four censuses in Tokelau (2006, 2011, 2016 and the 2019 mini census) have used a precise definition of who is a ‘de jure Tokelauan’</w:t>
      </w:r>
      <w:r w:rsidRPr="009E06AA">
        <w:rPr>
          <w:rStyle w:val="FootnoteReference"/>
        </w:rPr>
        <w:footnoteReference w:id="64"/>
      </w:r>
      <w:r w:rsidRPr="009E06AA">
        <w:t xml:space="preserve"> and the people who actually lived in Tokelau during the census night (‘de facto’ population). The de facto population has been used for the purposes of estimating emissions, which was 1,295 people in 2019. From 1990 to 2019, the population was fluctuating but generally declined for both de facto and de jure measures. Around 15,000 of the people who identify as Tokelauan live overseas, most of whom live in New Zealand.</w:t>
      </w:r>
    </w:p>
    <w:p w14:paraId="3C07EEE7" w14:textId="77777777" w:rsidR="00AD187C" w:rsidRPr="009E06AA" w:rsidRDefault="00AD187C" w:rsidP="00AD187C">
      <w:pPr>
        <w:pStyle w:val="BodyText"/>
      </w:pPr>
      <w:r w:rsidRPr="009E06AA">
        <w:t>Tokelau has a subsistence economy in which the sharing (inati) of essential resources plays an important and significant role. The inhabitants are dependent on local natural resources, particularly fishing in the lagoon and deep sea, growing coconuts and breadfruit, and keeping domesticated pigs and chickens.</w:t>
      </w:r>
    </w:p>
    <w:p w14:paraId="1764D81B" w14:textId="77777777" w:rsidR="00AD187C" w:rsidRPr="009E06AA" w:rsidRDefault="00AD187C" w:rsidP="00AD187C">
      <w:pPr>
        <w:pStyle w:val="BodyText"/>
      </w:pPr>
      <w:r w:rsidRPr="009E06AA">
        <w:t>The coral atolls provide a subsistence lifestyle within a fragile environment. Tokelau imports most of its foodstuffs from Samoa. The Tokelau economy is dependent on two major financial resources: economic and administrative assistance from New Zealand, and income from fisheries. New Zealand provides general budget support to help the delivery of essential services, consistent with its constitutional and United Nations Charter obligations.</w:t>
      </w:r>
    </w:p>
    <w:p w14:paraId="12C34287" w14:textId="77777777" w:rsidR="00AD187C" w:rsidRPr="009E06AA" w:rsidRDefault="00AD187C" w:rsidP="00AD187C">
      <w:pPr>
        <w:pStyle w:val="Heading4"/>
      </w:pPr>
      <w:bookmarkStart w:id="3147" w:name="reporting-arrangements"/>
      <w:r w:rsidRPr="009E06AA">
        <w:t>Reporting arrangements</w:t>
      </w:r>
    </w:p>
    <w:p w14:paraId="67DBE9CA" w14:textId="77777777" w:rsidR="00AD187C" w:rsidRPr="009E06AA" w:rsidRDefault="00AD187C" w:rsidP="00AD187C">
      <w:pPr>
        <w:pStyle w:val="BodyText"/>
        <w:keepLines/>
      </w:pPr>
      <w:r w:rsidRPr="009E06AA">
        <w:t>Including Tokelau in New Zealand’s inventory reporting is a gradual process. This requires building the expert capacity and establishing connections with the various organisations and businesses in Tokelau that participate in data collection and processing. Estimates include emissions from the largest Tokelau contributors, which are the Energy, Industrial Processes and Product Use (IPPU), Agriculture and Waste sectors, using Intergovernmental Panel on Climate Change (IPCC) Tier 1 methodologies with default emission factors for all reported categories (IPCC, 2006a-d). The Land Use, Land-Use Change and Forestry sector is not estimated because Tokelau has no planted or managed forests, and any emissions are expected to be negligible.</w:t>
      </w:r>
    </w:p>
    <w:p w14:paraId="7AA4E5C9" w14:textId="77777777" w:rsidR="00AD187C" w:rsidRPr="009E06AA" w:rsidRDefault="00AD187C" w:rsidP="00AD187C">
      <w:pPr>
        <w:pStyle w:val="BodyText"/>
      </w:pPr>
      <w:r w:rsidRPr="009E06AA">
        <w:t xml:space="preserve">New Zealand and Tokelau signed a Memorandum of Understanding (MoU) on 18 January 2018 to establish the relationship between Tokelau and New Zealand regarding the governance of international climate change reporting relating to the inclusion of Tokelau in New Zealand’s </w:t>
      </w:r>
      <w:r w:rsidRPr="009E06AA">
        <w:rPr>
          <w:spacing w:val="-2"/>
        </w:rPr>
        <w:t>national inventory system. According to the MoU, both New Zealand’s central inventory agency</w:t>
      </w:r>
      <w:r w:rsidRPr="009E06AA">
        <w:t xml:space="preserve"> (the Ministry for the Environment) and Tokelau’s Ministry of Climate, Oceans and Resilience, formerly known as the Climate Change Division within the Office of the Council for the Ongoing Government of Tokelau, have roles in inventory reporting.</w:t>
      </w:r>
    </w:p>
    <w:p w14:paraId="23105671" w14:textId="69376694" w:rsidR="00AD187C" w:rsidRPr="009E06AA" w:rsidRDefault="00AD187C" w:rsidP="00AD187C">
      <w:pPr>
        <w:pStyle w:val="BodyText"/>
      </w:pPr>
      <w:r w:rsidRPr="009E06AA">
        <w:t>New Zealand’s Ministry for the Environment takes responsibility for:</w:t>
      </w:r>
    </w:p>
    <w:p w14:paraId="44D101CB" w14:textId="77777777" w:rsidR="00AD187C" w:rsidRPr="009E06AA" w:rsidRDefault="00AD187C" w:rsidP="00AD187C">
      <w:pPr>
        <w:pStyle w:val="Bullet"/>
      </w:pPr>
      <w:r w:rsidRPr="009E06AA">
        <w:t>coordination of communications between New Zealand and Tokelau officials, as well as communications with project consultants in New Zealand and overseas</w:t>
      </w:r>
    </w:p>
    <w:p w14:paraId="213EB34C" w14:textId="77777777" w:rsidR="00AD187C" w:rsidRPr="009E06AA" w:rsidRDefault="00AD187C" w:rsidP="00AD187C">
      <w:pPr>
        <w:pStyle w:val="Bullet"/>
      </w:pPr>
      <w:r w:rsidRPr="009E06AA">
        <w:t>coordination with other New Zealand government agencies participating in the inventory production, should their consulting or advice be required for the project</w:t>
      </w:r>
    </w:p>
    <w:p w14:paraId="7D712952" w14:textId="77777777" w:rsidR="00AD187C" w:rsidRPr="009E06AA" w:rsidRDefault="00AD187C" w:rsidP="00AD187C">
      <w:pPr>
        <w:pStyle w:val="Bullet"/>
      </w:pPr>
      <w:r w:rsidRPr="009E06AA">
        <w:t>initial consultation on developing a national GHG inventory system for Tokelau, together with the relevant instructive materials, principles, protocols and procedures of Tier 1 statistics, and methodological guidance for the inventory</w:t>
      </w:r>
    </w:p>
    <w:p w14:paraId="794B3043" w14:textId="77777777" w:rsidR="00AD187C" w:rsidRPr="009E06AA" w:rsidRDefault="00AD187C" w:rsidP="00AD187C">
      <w:pPr>
        <w:pStyle w:val="Bullet"/>
      </w:pPr>
      <w:r w:rsidRPr="009E06AA">
        <w:t>technical advice on various aspects of the project regarding the subject matter, the legal background (the Convention reporting guidance), software issues, and the quality</w:t>
      </w:r>
      <w:r w:rsidRPr="009E06AA">
        <w:noBreakHyphen/>
        <w:t>assurance and quality-control issues associated with changes in the national inventory system</w:t>
      </w:r>
    </w:p>
    <w:p w14:paraId="548775BF" w14:textId="77777777" w:rsidR="00AD187C" w:rsidRPr="009E06AA" w:rsidRDefault="00AD187C" w:rsidP="00AD187C">
      <w:pPr>
        <w:pStyle w:val="Bullet"/>
      </w:pPr>
      <w:r w:rsidRPr="009E06AA">
        <w:t>production of the complete set of the data tables in agreed formats</w:t>
      </w:r>
    </w:p>
    <w:p w14:paraId="6BBD0084" w14:textId="77777777" w:rsidR="00AD187C" w:rsidRPr="009E06AA" w:rsidRDefault="00AD187C" w:rsidP="00AD187C">
      <w:pPr>
        <w:pStyle w:val="Bullet"/>
      </w:pPr>
      <w:r w:rsidRPr="009E06AA">
        <w:t>final integration of the Tokelau GHG inventory component into the joint inventory submission to the Convention</w:t>
      </w:r>
    </w:p>
    <w:p w14:paraId="4CC9C9E1" w14:textId="77777777" w:rsidR="00AD187C" w:rsidRPr="009E06AA" w:rsidRDefault="00AD187C" w:rsidP="00AD187C">
      <w:pPr>
        <w:pStyle w:val="Bullet"/>
      </w:pPr>
      <w:r w:rsidRPr="009E06AA">
        <w:t>submitting the joint inventory to the Convention and coordinating communication with the Convention associated with the inventory submission and review</w:t>
      </w:r>
    </w:p>
    <w:p w14:paraId="74529560" w14:textId="77777777" w:rsidR="00AD187C" w:rsidRPr="009E06AA" w:rsidRDefault="00AD187C" w:rsidP="00AD187C">
      <w:pPr>
        <w:pStyle w:val="Bullet"/>
      </w:pPr>
      <w:r w:rsidRPr="009E06AA">
        <w:t>publication of the joint inventory report and the CRTs online, as well as all supplementary materials.</w:t>
      </w:r>
    </w:p>
    <w:p w14:paraId="1F397F82" w14:textId="2D764877" w:rsidR="00AD187C" w:rsidRPr="009E06AA" w:rsidRDefault="00AD187C" w:rsidP="00AD187C">
      <w:pPr>
        <w:pStyle w:val="BodyText"/>
      </w:pPr>
      <w:r w:rsidRPr="009E06AA">
        <w:t>Tokelau’s Ministry of Climate, Oceans and Resilience takes responsibility for:</w:t>
      </w:r>
    </w:p>
    <w:p w14:paraId="7BDD6CF9" w14:textId="77777777" w:rsidR="00AD187C" w:rsidRPr="009E06AA" w:rsidRDefault="00AD187C" w:rsidP="00AD187C">
      <w:pPr>
        <w:pStyle w:val="Bullet"/>
      </w:pPr>
      <w:r w:rsidRPr="009E06AA">
        <w:t>coordinating the project implementation in Tokelau by communicating with the relevant agencies, organisations and individuals involved in Tokelau’s GHG inventory; coordinating their efforts and delegating responsibilities to ensure sufficient information and support are provided to those agencies, organisations and individuals to enable the GHG inventory production</w:t>
      </w:r>
    </w:p>
    <w:p w14:paraId="78AA88FC" w14:textId="77777777" w:rsidR="00AD187C" w:rsidRPr="009E06AA" w:rsidRDefault="00AD187C" w:rsidP="00AD187C">
      <w:pPr>
        <w:pStyle w:val="Bullet"/>
      </w:pPr>
      <w:r w:rsidRPr="009E06AA">
        <w:t>providing timely advice on all cultural aspects of the project and helping to resolve any matters associated with potential cultural issues</w:t>
      </w:r>
    </w:p>
    <w:p w14:paraId="4156278E" w14:textId="77777777" w:rsidR="00AD187C" w:rsidRPr="009E06AA" w:rsidRDefault="00AD187C" w:rsidP="00AD187C">
      <w:pPr>
        <w:pStyle w:val="Bullet"/>
      </w:pPr>
      <w:r w:rsidRPr="009E06AA">
        <w:t>ensuring that the agreed project schedule is fully complied with, and the relevant timeframes are met, which includes submission of Tokelau’s GHG data and information to New Zealand’s national inventory compiler within the agreed timeframe</w:t>
      </w:r>
    </w:p>
    <w:p w14:paraId="21383DBE" w14:textId="77777777" w:rsidR="00AD187C" w:rsidRPr="009E06AA" w:rsidRDefault="00AD187C" w:rsidP="00AD187C">
      <w:pPr>
        <w:pStyle w:val="Bullet"/>
      </w:pPr>
      <w:r w:rsidRPr="009E06AA">
        <w:t>coordinating Tokelau’s efforts in activity data collection for the inventory reporting and data processing</w:t>
      </w:r>
    </w:p>
    <w:p w14:paraId="05A55C9F" w14:textId="1FB6FF01" w:rsidR="00AD187C" w:rsidRPr="009E06AA" w:rsidRDefault="00AD187C" w:rsidP="00AD187C">
      <w:pPr>
        <w:pStyle w:val="Bullet"/>
      </w:pPr>
      <w:r w:rsidRPr="009E06AA">
        <w:t xml:space="preserve">producing a peer-reviewed draft of the Tokelau chapter that is consistent with Paris Agreement reporting requirements as agreed under the Convention (UNFCCC, 2018a), chapter II of the Paris Agreement’s modalities, procedures and guidelines (UNFCCC, 2018b), including the use of the 2006 IPCC Guidelines and following the common reporting tables in </w:t>
      </w:r>
      <w:r w:rsidR="00890E83" w:rsidRPr="009E06AA">
        <w:t>A</w:t>
      </w:r>
      <w:r w:rsidRPr="009E06AA">
        <w:t>nnex I to decision 5/CMA.3 (UNFCCC, 2021).</w:t>
      </w:r>
    </w:p>
    <w:p w14:paraId="33DEF4E3" w14:textId="77777777" w:rsidR="00AD187C" w:rsidRPr="009E06AA" w:rsidRDefault="00AD187C" w:rsidP="00AD187C">
      <w:pPr>
        <w:pStyle w:val="BodyText"/>
      </w:pPr>
      <w:r w:rsidRPr="009E06AA">
        <w:t>Both the Ministry for the Environment and Ministry of Climate, Oceans and Resilience are responsible for adhering to the principles and protocols for producers of Tier 1 statistics (Stats NZ, 2007).</w:t>
      </w:r>
    </w:p>
    <w:bookmarkEnd w:id="3147"/>
    <w:p w14:paraId="0B6579FE" w14:textId="77777777" w:rsidR="00AD187C" w:rsidRPr="009E06AA" w:rsidRDefault="00AD187C" w:rsidP="00AD187C">
      <w:pPr>
        <w:pStyle w:val="Heading4"/>
      </w:pPr>
      <w:r w:rsidRPr="009E06AA">
        <w:t>Methodological issues</w:t>
      </w:r>
    </w:p>
    <w:p w14:paraId="4F05AA5D" w14:textId="77777777" w:rsidR="00AD187C" w:rsidRPr="009E06AA" w:rsidRDefault="00AD187C" w:rsidP="00BF2A76">
      <w:pPr>
        <w:pStyle w:val="Heading5"/>
      </w:pPr>
      <w:bookmarkStart w:id="3148" w:name="methods-and-emission-factors"/>
      <w:r w:rsidRPr="009E06AA">
        <w:t>Methods and emission factors</w:t>
      </w:r>
    </w:p>
    <w:p w14:paraId="27658841" w14:textId="77777777" w:rsidR="00AD187C" w:rsidRPr="009E06AA" w:rsidRDefault="00AD187C" w:rsidP="00AD187C">
      <w:pPr>
        <w:pStyle w:val="BodyText"/>
      </w:pPr>
      <w:r w:rsidRPr="009E06AA">
        <w:t>Tier 1 methodological approaches with default emission factors were used for estimating emissions from all Tokelau source categories.</w:t>
      </w:r>
    </w:p>
    <w:p w14:paraId="7D28F09D" w14:textId="77777777" w:rsidR="00AD187C" w:rsidRPr="009E06AA" w:rsidRDefault="00AD187C" w:rsidP="00AD187C">
      <w:pPr>
        <w:pStyle w:val="BodyText"/>
      </w:pPr>
      <w:r w:rsidRPr="009E06AA">
        <w:t>Tokelau is in a different climate zone from New Zealand and has a different lifestyle and different technologies. There are also differences in the scale of operations, especially in the Agriculture sector, which do not allow applying New Zealand’s definition of a farm to Tokelau. For estimating emissions from Tokelau, the 2006 IPCC default emission factors for Oceania with a warm climate are used, whereas New Zealand uses default emission factors associated with a temperate climate.</w:t>
      </w:r>
    </w:p>
    <w:p w14:paraId="26A3B06C" w14:textId="77777777" w:rsidR="00AD187C" w:rsidRPr="009E06AA" w:rsidRDefault="00AD187C" w:rsidP="00AD187C">
      <w:pPr>
        <w:pStyle w:val="BodyText"/>
      </w:pPr>
      <w:r w:rsidRPr="009E06AA">
        <w:t>The calorific values for fuels used for Tokelau are also different from those used for New Zealand because those fuels are coming from different sources. Relevant emission factors used for estimating emissions and references to the methods are included in sections 8.2 to 8.15 dedicated to the inventory sectors reported by Tokelau.</w:t>
      </w:r>
    </w:p>
    <w:p w14:paraId="70B3DC99" w14:textId="77777777" w:rsidR="00AD187C" w:rsidRPr="009E06AA" w:rsidRDefault="00AD187C" w:rsidP="00AD187C">
      <w:pPr>
        <w:pStyle w:val="Heading4"/>
      </w:pPr>
      <w:bookmarkStart w:id="3149" w:name="activity-data"/>
      <w:bookmarkEnd w:id="3148"/>
      <w:r w:rsidRPr="009E06AA">
        <w:t>Activity data</w:t>
      </w:r>
    </w:p>
    <w:p w14:paraId="3F22D0B8" w14:textId="77777777" w:rsidR="00AD187C" w:rsidRPr="009E06AA" w:rsidRDefault="00AD187C" w:rsidP="00AD187C">
      <w:pPr>
        <w:pStyle w:val="BodyText"/>
      </w:pPr>
      <w:r w:rsidRPr="009E06AA">
        <w:t>The Tokelau National Statistics Office collects and processes activity data from Tokelau for inventory preparation. Table 8.1.1 contains the key sources of the activity data from Tokelau used in Tokelau’s GHG inventory.</w:t>
      </w:r>
    </w:p>
    <w:p w14:paraId="35ADF57E" w14:textId="77777777" w:rsidR="00AD187C" w:rsidRPr="009E06AA" w:rsidRDefault="00AD187C" w:rsidP="00AD187C">
      <w:pPr>
        <w:pStyle w:val="Table"/>
      </w:pPr>
      <w:bookmarkStart w:id="3150" w:name="_Toc130211267"/>
      <w:bookmarkStart w:id="3151" w:name="_Toc131591468"/>
      <w:bookmarkStart w:id="3152" w:name="_Toc160205504"/>
      <w:bookmarkStart w:id="3153" w:name="_Toc160441623"/>
      <w:bookmarkStart w:id="3154" w:name="_Toc164153959"/>
      <w:r w:rsidRPr="009E06AA">
        <w:t xml:space="preserve">Table 8.1.1 </w:t>
      </w:r>
      <w:r w:rsidRPr="009E06AA">
        <w:tab/>
        <w:t>Key sources for activity data in Tokelau</w:t>
      </w:r>
      <w:bookmarkEnd w:id="3150"/>
      <w:bookmarkEnd w:id="3151"/>
      <w:bookmarkEnd w:id="3152"/>
      <w:bookmarkEnd w:id="3153"/>
      <w:bookmarkEnd w:id="3154"/>
    </w:p>
    <w:tbl>
      <w:tblPr>
        <w:tblW w:w="8505" w:type="dxa"/>
        <w:tblBorders>
          <w:top w:val="single" w:sz="4" w:space="0" w:color="1B556B" w:themeColor="text2"/>
          <w:bottom w:val="single" w:sz="4" w:space="0" w:color="1B556B" w:themeColor="text2"/>
          <w:insideH w:val="single" w:sz="4" w:space="0" w:color="1B556B" w:themeColor="text2"/>
        </w:tblBorders>
        <w:tblLayout w:type="fixed"/>
        <w:tblLook w:val="0420" w:firstRow="1" w:lastRow="0" w:firstColumn="0" w:lastColumn="0" w:noHBand="0" w:noVBand="1"/>
      </w:tblPr>
      <w:tblGrid>
        <w:gridCol w:w="514"/>
        <w:gridCol w:w="1500"/>
        <w:gridCol w:w="2664"/>
        <w:gridCol w:w="3827"/>
      </w:tblGrid>
      <w:tr w:rsidR="00AD187C" w:rsidRPr="009E06AA" w14:paraId="4ADEB9E3" w14:textId="77777777" w:rsidTr="00B55F24">
        <w:trPr>
          <w:tblHeader/>
        </w:trPr>
        <w:tc>
          <w:tcPr>
            <w:tcW w:w="514" w:type="dxa"/>
            <w:shd w:val="clear" w:color="auto" w:fill="1B556B"/>
            <w:tcMar>
              <w:top w:w="0" w:type="dxa"/>
              <w:left w:w="85" w:type="dxa"/>
              <w:bottom w:w="0" w:type="dxa"/>
              <w:right w:w="85" w:type="dxa"/>
            </w:tcMar>
          </w:tcPr>
          <w:p w14:paraId="6DAFA3A9" w14:textId="77777777" w:rsidR="00AD187C" w:rsidRPr="009E06AA" w:rsidRDefault="00AD187C" w:rsidP="00B55F24">
            <w:pPr>
              <w:pStyle w:val="TableTextBold"/>
              <w:rPr>
                <w:noProof w:val="0"/>
                <w:color w:val="FFFFFF" w:themeColor="background1"/>
              </w:rPr>
            </w:pPr>
            <w:r w:rsidRPr="009E06AA">
              <w:rPr>
                <w:noProof w:val="0"/>
                <w:color w:val="FFFFFF" w:themeColor="background1"/>
              </w:rPr>
              <w:t>Item</w:t>
            </w:r>
          </w:p>
        </w:tc>
        <w:tc>
          <w:tcPr>
            <w:tcW w:w="1500" w:type="dxa"/>
            <w:shd w:val="clear" w:color="auto" w:fill="1B556B"/>
            <w:tcMar>
              <w:top w:w="0" w:type="dxa"/>
              <w:left w:w="85" w:type="dxa"/>
              <w:bottom w:w="0" w:type="dxa"/>
              <w:right w:w="85" w:type="dxa"/>
            </w:tcMar>
          </w:tcPr>
          <w:p w14:paraId="06266FC7" w14:textId="77777777" w:rsidR="00AD187C" w:rsidRPr="009E06AA" w:rsidRDefault="00AD187C" w:rsidP="00B55F24">
            <w:pPr>
              <w:pStyle w:val="TableTextBold"/>
              <w:rPr>
                <w:noProof w:val="0"/>
                <w:color w:val="FFFFFF" w:themeColor="background1"/>
              </w:rPr>
            </w:pPr>
            <w:r w:rsidRPr="009E06AA">
              <w:rPr>
                <w:noProof w:val="0"/>
                <w:color w:val="FFFFFF" w:themeColor="background1"/>
              </w:rPr>
              <w:t>Name/abbreviation</w:t>
            </w:r>
          </w:p>
        </w:tc>
        <w:tc>
          <w:tcPr>
            <w:tcW w:w="2664" w:type="dxa"/>
            <w:shd w:val="clear" w:color="auto" w:fill="1B556B"/>
            <w:tcMar>
              <w:top w:w="0" w:type="dxa"/>
              <w:left w:w="85" w:type="dxa"/>
              <w:bottom w:w="0" w:type="dxa"/>
              <w:right w:w="85" w:type="dxa"/>
            </w:tcMar>
          </w:tcPr>
          <w:p w14:paraId="0B9ACFA2" w14:textId="77777777" w:rsidR="00AD187C" w:rsidRPr="009E06AA" w:rsidRDefault="00AD187C" w:rsidP="00B55F24">
            <w:pPr>
              <w:pStyle w:val="TableTextBold"/>
              <w:rPr>
                <w:noProof w:val="0"/>
                <w:color w:val="FFFFFF" w:themeColor="background1"/>
              </w:rPr>
            </w:pPr>
            <w:r w:rsidRPr="009E06AA">
              <w:rPr>
                <w:noProof w:val="0"/>
                <w:color w:val="FFFFFF" w:themeColor="background1"/>
              </w:rPr>
              <w:t>Explanation</w:t>
            </w:r>
          </w:p>
        </w:tc>
        <w:tc>
          <w:tcPr>
            <w:tcW w:w="3827" w:type="dxa"/>
            <w:shd w:val="clear" w:color="auto" w:fill="1B556B"/>
            <w:tcMar>
              <w:top w:w="0" w:type="dxa"/>
              <w:left w:w="85" w:type="dxa"/>
              <w:bottom w:w="0" w:type="dxa"/>
              <w:right w:w="85" w:type="dxa"/>
            </w:tcMar>
          </w:tcPr>
          <w:p w14:paraId="4D1C1F04" w14:textId="77777777" w:rsidR="00AD187C" w:rsidRPr="009E06AA" w:rsidRDefault="00AD187C" w:rsidP="00B55F24">
            <w:pPr>
              <w:pStyle w:val="TableTextBold"/>
              <w:rPr>
                <w:noProof w:val="0"/>
                <w:color w:val="FFFFFF" w:themeColor="background1"/>
              </w:rPr>
            </w:pPr>
            <w:r w:rsidRPr="009E06AA">
              <w:rPr>
                <w:noProof w:val="0"/>
                <w:color w:val="FFFFFF" w:themeColor="background1"/>
              </w:rPr>
              <w:t>Used where</w:t>
            </w:r>
          </w:p>
        </w:tc>
      </w:tr>
      <w:tr w:rsidR="00AD187C" w:rsidRPr="009E06AA" w14:paraId="409057F3" w14:textId="77777777" w:rsidTr="00B55F24">
        <w:tc>
          <w:tcPr>
            <w:tcW w:w="514" w:type="dxa"/>
            <w:shd w:val="clear" w:color="auto" w:fill="FFFFFF"/>
            <w:tcMar>
              <w:top w:w="0" w:type="dxa"/>
              <w:left w:w="85" w:type="dxa"/>
              <w:bottom w:w="0" w:type="dxa"/>
              <w:right w:w="85" w:type="dxa"/>
            </w:tcMar>
          </w:tcPr>
          <w:p w14:paraId="5D8E26B5" w14:textId="77777777" w:rsidR="00AD187C" w:rsidRPr="009E06AA" w:rsidRDefault="00AD187C" w:rsidP="00B55F24">
            <w:pPr>
              <w:pStyle w:val="TableText"/>
            </w:pPr>
            <w:r w:rsidRPr="009E06AA">
              <w:t>1</w:t>
            </w:r>
          </w:p>
        </w:tc>
        <w:tc>
          <w:tcPr>
            <w:tcW w:w="1500" w:type="dxa"/>
            <w:shd w:val="clear" w:color="auto" w:fill="FFFFFF"/>
            <w:tcMar>
              <w:top w:w="0" w:type="dxa"/>
              <w:left w:w="85" w:type="dxa"/>
              <w:bottom w:w="0" w:type="dxa"/>
              <w:right w:w="85" w:type="dxa"/>
            </w:tcMar>
          </w:tcPr>
          <w:p w14:paraId="316FE783" w14:textId="77777777" w:rsidR="00AD187C" w:rsidRPr="009E06AA" w:rsidRDefault="00AD187C" w:rsidP="00B55F24">
            <w:pPr>
              <w:pStyle w:val="TableText"/>
            </w:pPr>
            <w:r w:rsidRPr="009E06AA">
              <w:t>Census</w:t>
            </w:r>
          </w:p>
        </w:tc>
        <w:tc>
          <w:tcPr>
            <w:tcW w:w="2664" w:type="dxa"/>
            <w:shd w:val="clear" w:color="auto" w:fill="FFFFFF"/>
            <w:tcMar>
              <w:top w:w="0" w:type="dxa"/>
              <w:left w:w="85" w:type="dxa"/>
              <w:bottom w:w="0" w:type="dxa"/>
              <w:right w:w="85" w:type="dxa"/>
            </w:tcMar>
          </w:tcPr>
          <w:p w14:paraId="2D116CCD" w14:textId="77777777" w:rsidR="00AD187C" w:rsidRPr="009E06AA" w:rsidRDefault="00AD187C" w:rsidP="00B55F24">
            <w:pPr>
              <w:pStyle w:val="TableText"/>
            </w:pPr>
            <w:r w:rsidRPr="009E06AA">
              <w:rPr>
                <w:rFonts w:eastAsia="Calibri"/>
              </w:rPr>
              <w:t>Tokelau Census of Population and Dwellings 2006, 2011, 2016, 2019 (mini census).</w:t>
            </w:r>
            <w:r w:rsidRPr="009E06AA">
              <w:rPr>
                <w:rFonts w:eastAsia="Calibri" w:cs="Calibri"/>
                <w:szCs w:val="16"/>
              </w:rPr>
              <w:t xml:space="preserve"> </w:t>
            </w:r>
            <w:r w:rsidRPr="009E06AA">
              <w:rPr>
                <w:rFonts w:eastAsia="Calibri" w:cs="Calibri"/>
                <w:szCs w:val="16"/>
              </w:rPr>
              <w:br/>
            </w:r>
            <w:hyperlink r:id="rId173" w:history="1">
              <w:r w:rsidRPr="009E06AA">
                <w:rPr>
                  <w:rStyle w:val="Hyperlink"/>
                  <w:rFonts w:eastAsia="Calibri" w:cs="Calibri"/>
                  <w:szCs w:val="16"/>
                </w:rPr>
                <w:t>www.tinyurl.com/</w:t>
              </w:r>
              <w:r w:rsidRPr="009E06AA">
                <w:rPr>
                  <w:rStyle w:val="Hyperlink"/>
                  <w:rFonts w:eastAsia="Calibri"/>
                </w:rPr>
                <w:t>TokelauCensus</w:t>
              </w:r>
            </w:hyperlink>
          </w:p>
        </w:tc>
        <w:tc>
          <w:tcPr>
            <w:tcW w:w="3827" w:type="dxa"/>
            <w:shd w:val="clear" w:color="auto" w:fill="FFFFFF"/>
            <w:tcMar>
              <w:top w:w="0" w:type="dxa"/>
              <w:left w:w="85" w:type="dxa"/>
              <w:bottom w:w="0" w:type="dxa"/>
              <w:right w:w="85" w:type="dxa"/>
            </w:tcMar>
          </w:tcPr>
          <w:p w14:paraId="1087B0A5" w14:textId="4266BD25" w:rsidR="00AD187C" w:rsidRPr="009E06AA" w:rsidRDefault="00AD187C" w:rsidP="00B55F24">
            <w:pPr>
              <w:pStyle w:val="TableText"/>
            </w:pPr>
            <w:r w:rsidRPr="009E06AA">
              <w:t>Census data; interpolations for populations of people and livestock; solid and water waste disposal (flush toilets), number of private aluminium boats and outboard motors, home appliances</w:t>
            </w:r>
            <w:r w:rsidR="00373663" w:rsidRPr="009E06AA">
              <w:t>.</w:t>
            </w:r>
          </w:p>
        </w:tc>
      </w:tr>
      <w:tr w:rsidR="00AD187C" w:rsidRPr="009E06AA" w14:paraId="2C30D0D7" w14:textId="77777777" w:rsidTr="00B55F24">
        <w:tc>
          <w:tcPr>
            <w:tcW w:w="514" w:type="dxa"/>
            <w:shd w:val="clear" w:color="auto" w:fill="FFFFFF"/>
            <w:tcMar>
              <w:top w:w="0" w:type="dxa"/>
              <w:left w:w="85" w:type="dxa"/>
              <w:bottom w:w="0" w:type="dxa"/>
              <w:right w:w="85" w:type="dxa"/>
            </w:tcMar>
          </w:tcPr>
          <w:p w14:paraId="7C8ACCFB" w14:textId="77777777" w:rsidR="00AD187C" w:rsidRPr="009E06AA" w:rsidRDefault="00AD187C" w:rsidP="00B55F24">
            <w:pPr>
              <w:pStyle w:val="TableText"/>
            </w:pPr>
            <w:r w:rsidRPr="009E06AA">
              <w:t>2</w:t>
            </w:r>
          </w:p>
        </w:tc>
        <w:tc>
          <w:tcPr>
            <w:tcW w:w="1500" w:type="dxa"/>
            <w:shd w:val="clear" w:color="auto" w:fill="FFFFFF"/>
            <w:tcMar>
              <w:top w:w="0" w:type="dxa"/>
              <w:left w:w="85" w:type="dxa"/>
              <w:bottom w:w="0" w:type="dxa"/>
              <w:right w:w="85" w:type="dxa"/>
            </w:tcMar>
          </w:tcPr>
          <w:p w14:paraId="73E6B2DD" w14:textId="77777777" w:rsidR="00AD187C" w:rsidRPr="009E06AA" w:rsidRDefault="00AD187C" w:rsidP="00B55F24">
            <w:pPr>
              <w:pStyle w:val="TableText"/>
            </w:pPr>
            <w:r w:rsidRPr="009E06AA">
              <w:t>Archives NZ</w:t>
            </w:r>
          </w:p>
        </w:tc>
        <w:tc>
          <w:tcPr>
            <w:tcW w:w="2664" w:type="dxa"/>
            <w:shd w:val="clear" w:color="auto" w:fill="FFFFFF"/>
            <w:tcMar>
              <w:top w:w="0" w:type="dxa"/>
              <w:left w:w="85" w:type="dxa"/>
              <w:bottom w:w="0" w:type="dxa"/>
              <w:right w:w="85" w:type="dxa"/>
            </w:tcMar>
          </w:tcPr>
          <w:p w14:paraId="7468C7E3" w14:textId="77777777" w:rsidR="00AD187C" w:rsidRPr="009E06AA" w:rsidRDefault="00AD187C" w:rsidP="00B55F24">
            <w:pPr>
              <w:pStyle w:val="TableText"/>
            </w:pPr>
            <w:r w:rsidRPr="009E06AA">
              <w:t>Archives New Zealand, Wellington</w:t>
            </w:r>
          </w:p>
        </w:tc>
        <w:tc>
          <w:tcPr>
            <w:tcW w:w="3827" w:type="dxa"/>
            <w:shd w:val="clear" w:color="auto" w:fill="FFFFFF"/>
            <w:tcMar>
              <w:top w:w="0" w:type="dxa"/>
              <w:left w:w="85" w:type="dxa"/>
              <w:bottom w:w="0" w:type="dxa"/>
              <w:right w:w="85" w:type="dxa"/>
            </w:tcMar>
          </w:tcPr>
          <w:p w14:paraId="72C93630" w14:textId="5E8FECBF" w:rsidR="00AD187C" w:rsidRPr="009E06AA" w:rsidRDefault="00AD187C" w:rsidP="00B55F24">
            <w:pPr>
              <w:pStyle w:val="TableText"/>
            </w:pPr>
            <w:r w:rsidRPr="009E06AA">
              <w:t>Historic Census records going back to 1951, at five-year intervals (Tokelau National Statistics Office collation and analysis)</w:t>
            </w:r>
            <w:r w:rsidR="00373663" w:rsidRPr="009E06AA">
              <w:t>.</w:t>
            </w:r>
          </w:p>
        </w:tc>
      </w:tr>
      <w:tr w:rsidR="00AD187C" w:rsidRPr="009E06AA" w14:paraId="7185A5B4" w14:textId="77777777" w:rsidTr="00B55F24">
        <w:tc>
          <w:tcPr>
            <w:tcW w:w="514" w:type="dxa"/>
            <w:shd w:val="clear" w:color="auto" w:fill="FFFFFF"/>
            <w:tcMar>
              <w:top w:w="0" w:type="dxa"/>
              <w:left w:w="85" w:type="dxa"/>
              <w:bottom w:w="0" w:type="dxa"/>
              <w:right w:w="85" w:type="dxa"/>
            </w:tcMar>
          </w:tcPr>
          <w:p w14:paraId="67C89641" w14:textId="77777777" w:rsidR="00AD187C" w:rsidRPr="009E06AA" w:rsidRDefault="00AD187C" w:rsidP="00B55F24">
            <w:pPr>
              <w:pStyle w:val="TableText"/>
            </w:pPr>
            <w:r w:rsidRPr="009E06AA">
              <w:t>3</w:t>
            </w:r>
          </w:p>
        </w:tc>
        <w:tc>
          <w:tcPr>
            <w:tcW w:w="1500" w:type="dxa"/>
            <w:shd w:val="clear" w:color="auto" w:fill="FFFFFF"/>
            <w:tcMar>
              <w:top w:w="0" w:type="dxa"/>
              <w:left w:w="85" w:type="dxa"/>
              <w:bottom w:w="0" w:type="dxa"/>
              <w:right w:w="85" w:type="dxa"/>
            </w:tcMar>
          </w:tcPr>
          <w:p w14:paraId="153926C4" w14:textId="77777777" w:rsidR="00AD187C" w:rsidRPr="009E06AA" w:rsidRDefault="00AD187C" w:rsidP="00B55F24">
            <w:pPr>
              <w:pStyle w:val="TableText"/>
            </w:pPr>
            <w:r w:rsidRPr="009E06AA">
              <w:t>HIES</w:t>
            </w:r>
          </w:p>
        </w:tc>
        <w:tc>
          <w:tcPr>
            <w:tcW w:w="2664" w:type="dxa"/>
            <w:shd w:val="clear" w:color="auto" w:fill="FFFFFF"/>
            <w:tcMar>
              <w:top w:w="0" w:type="dxa"/>
              <w:left w:w="85" w:type="dxa"/>
              <w:bottom w:w="0" w:type="dxa"/>
              <w:right w:w="85" w:type="dxa"/>
            </w:tcMar>
          </w:tcPr>
          <w:p w14:paraId="4C90D6F0" w14:textId="77777777" w:rsidR="00AD187C" w:rsidRPr="009E06AA" w:rsidRDefault="00AD187C" w:rsidP="00B55F24">
            <w:pPr>
              <w:pStyle w:val="TableText"/>
            </w:pPr>
            <w:r w:rsidRPr="009E06AA">
              <w:rPr>
                <w:rFonts w:eastAsia="Calibri"/>
              </w:rPr>
              <w:t>Tokelau Household Income and Expenditure Survey 2015/16</w:t>
            </w:r>
            <w:r w:rsidRPr="009E06AA">
              <w:rPr>
                <w:rFonts w:eastAsia="Calibri" w:cs="Calibri"/>
                <w:szCs w:val="16"/>
              </w:rPr>
              <w:t xml:space="preserve"> </w:t>
            </w:r>
            <w:r w:rsidRPr="009E06AA">
              <w:rPr>
                <w:rFonts w:eastAsia="Calibri" w:cs="Calibri"/>
                <w:szCs w:val="16"/>
              </w:rPr>
              <w:br/>
            </w:r>
            <w:hyperlink r:id="rId174" w:history="1">
              <w:r w:rsidRPr="009E06AA">
                <w:rPr>
                  <w:rStyle w:val="Hyperlink"/>
                  <w:rFonts w:eastAsia="Calibri" w:cs="Calibri"/>
                  <w:szCs w:val="16"/>
                </w:rPr>
                <w:t>www.tinyurl.com/TokelauHIES</w:t>
              </w:r>
            </w:hyperlink>
            <w:r w:rsidRPr="009E06AA">
              <w:rPr>
                <w:rFonts w:eastAsia="Calibri" w:cs="Calibri"/>
                <w:szCs w:val="16"/>
              </w:rPr>
              <w:t xml:space="preserve"> </w:t>
            </w:r>
          </w:p>
        </w:tc>
        <w:tc>
          <w:tcPr>
            <w:tcW w:w="3827" w:type="dxa"/>
            <w:shd w:val="clear" w:color="auto" w:fill="FFFFFF"/>
            <w:tcMar>
              <w:top w:w="0" w:type="dxa"/>
              <w:left w:w="85" w:type="dxa"/>
              <w:bottom w:w="0" w:type="dxa"/>
              <w:right w:w="85" w:type="dxa"/>
            </w:tcMar>
          </w:tcPr>
          <w:p w14:paraId="6B9295B1" w14:textId="4345F6A8" w:rsidR="00AD187C" w:rsidRPr="009E06AA" w:rsidRDefault="00AD187C" w:rsidP="00B55F24">
            <w:pPr>
              <w:pStyle w:val="TableText"/>
            </w:pPr>
            <w:r w:rsidRPr="009E06AA">
              <w:t>Population and dwellings data supplementary to Census, in partnership with Pacific Community (SPC)</w:t>
            </w:r>
            <w:r w:rsidR="00373663" w:rsidRPr="009E06AA">
              <w:t>.</w:t>
            </w:r>
          </w:p>
        </w:tc>
      </w:tr>
      <w:tr w:rsidR="00AD187C" w:rsidRPr="009E06AA" w14:paraId="781FA53F" w14:textId="77777777" w:rsidTr="00B55F24">
        <w:tc>
          <w:tcPr>
            <w:tcW w:w="514" w:type="dxa"/>
            <w:shd w:val="clear" w:color="auto" w:fill="FFFFFF"/>
            <w:tcMar>
              <w:top w:w="0" w:type="dxa"/>
              <w:left w:w="85" w:type="dxa"/>
              <w:bottom w:w="0" w:type="dxa"/>
              <w:right w:w="85" w:type="dxa"/>
            </w:tcMar>
          </w:tcPr>
          <w:p w14:paraId="2F32D4B7" w14:textId="77777777" w:rsidR="00AD187C" w:rsidRPr="009E06AA" w:rsidRDefault="00AD187C" w:rsidP="00B55F24">
            <w:pPr>
              <w:pStyle w:val="TableText"/>
            </w:pPr>
            <w:r w:rsidRPr="009E06AA">
              <w:t>4</w:t>
            </w:r>
          </w:p>
        </w:tc>
        <w:tc>
          <w:tcPr>
            <w:tcW w:w="1500" w:type="dxa"/>
            <w:shd w:val="clear" w:color="auto" w:fill="FFFFFF"/>
            <w:tcMar>
              <w:top w:w="0" w:type="dxa"/>
              <w:left w:w="85" w:type="dxa"/>
              <w:bottom w:w="0" w:type="dxa"/>
              <w:right w:w="85" w:type="dxa"/>
            </w:tcMar>
          </w:tcPr>
          <w:p w14:paraId="4C1740BA" w14:textId="77777777" w:rsidR="00AD187C" w:rsidRPr="009E06AA" w:rsidRDefault="00AD187C" w:rsidP="00B55F24">
            <w:pPr>
              <w:pStyle w:val="TableText"/>
            </w:pPr>
            <w:r w:rsidRPr="009E06AA">
              <w:t>SNZ, Stats NZ</w:t>
            </w:r>
          </w:p>
        </w:tc>
        <w:tc>
          <w:tcPr>
            <w:tcW w:w="2664" w:type="dxa"/>
            <w:shd w:val="clear" w:color="auto" w:fill="FFFFFF"/>
            <w:tcMar>
              <w:top w:w="0" w:type="dxa"/>
              <w:left w:w="85" w:type="dxa"/>
              <w:bottom w:w="0" w:type="dxa"/>
              <w:right w:w="85" w:type="dxa"/>
            </w:tcMar>
          </w:tcPr>
          <w:p w14:paraId="331B0E04" w14:textId="77777777" w:rsidR="00AD187C" w:rsidRPr="009E06AA" w:rsidRDefault="00AD187C" w:rsidP="00B55F24">
            <w:pPr>
              <w:pStyle w:val="TableText"/>
            </w:pPr>
            <w:r w:rsidRPr="009E06AA">
              <w:rPr>
                <w:rFonts w:eastAsia="Calibri"/>
              </w:rPr>
              <w:t>Stats NZ, Wellington</w:t>
            </w:r>
            <w:r w:rsidRPr="009E06AA">
              <w:rPr>
                <w:rFonts w:eastAsia="Calibri" w:cs="Calibri"/>
                <w:szCs w:val="16"/>
              </w:rPr>
              <w:t xml:space="preserve"> </w:t>
            </w:r>
            <w:r w:rsidRPr="009E06AA">
              <w:rPr>
                <w:rFonts w:eastAsia="Calibri" w:cs="Calibri"/>
                <w:szCs w:val="16"/>
              </w:rPr>
              <w:br/>
            </w:r>
            <w:hyperlink r:id="rId175" w:history="1">
              <w:r w:rsidRPr="009E06AA">
                <w:rPr>
                  <w:rStyle w:val="Hyperlink"/>
                  <w:rFonts w:eastAsia="Calibri" w:cs="Calibri"/>
                  <w:szCs w:val="16"/>
                </w:rPr>
                <w:t>www.stats.govt.nz</w:t>
              </w:r>
            </w:hyperlink>
          </w:p>
        </w:tc>
        <w:tc>
          <w:tcPr>
            <w:tcW w:w="3827" w:type="dxa"/>
            <w:shd w:val="clear" w:color="auto" w:fill="FFFFFF"/>
            <w:tcMar>
              <w:top w:w="0" w:type="dxa"/>
              <w:left w:w="85" w:type="dxa"/>
              <w:bottom w:w="0" w:type="dxa"/>
              <w:right w:w="85" w:type="dxa"/>
            </w:tcMar>
          </w:tcPr>
          <w:p w14:paraId="2FF57F41" w14:textId="696C3CE8" w:rsidR="00AD187C" w:rsidRPr="009E06AA" w:rsidRDefault="00AD187C" w:rsidP="00B55F24">
            <w:pPr>
              <w:pStyle w:val="TableText"/>
            </w:pPr>
            <w:r w:rsidRPr="009E06AA">
              <w:t>Major partner in collection, analysis and publication of Tokelau Census data</w:t>
            </w:r>
            <w:r w:rsidR="00373663" w:rsidRPr="009E06AA">
              <w:t>.</w:t>
            </w:r>
          </w:p>
        </w:tc>
      </w:tr>
      <w:tr w:rsidR="00AD187C" w:rsidRPr="009E06AA" w14:paraId="7707861D" w14:textId="77777777" w:rsidTr="00B55F24">
        <w:tc>
          <w:tcPr>
            <w:tcW w:w="514" w:type="dxa"/>
            <w:shd w:val="clear" w:color="auto" w:fill="FFFFFF"/>
            <w:tcMar>
              <w:top w:w="0" w:type="dxa"/>
              <w:left w:w="85" w:type="dxa"/>
              <w:bottom w:w="0" w:type="dxa"/>
              <w:right w:w="85" w:type="dxa"/>
            </w:tcMar>
          </w:tcPr>
          <w:p w14:paraId="71134A69" w14:textId="77777777" w:rsidR="00AD187C" w:rsidRPr="009E06AA" w:rsidRDefault="00AD187C" w:rsidP="00B55F24">
            <w:pPr>
              <w:pStyle w:val="TableText"/>
            </w:pPr>
            <w:r w:rsidRPr="009E06AA">
              <w:t>5</w:t>
            </w:r>
          </w:p>
        </w:tc>
        <w:tc>
          <w:tcPr>
            <w:tcW w:w="1500" w:type="dxa"/>
            <w:shd w:val="clear" w:color="auto" w:fill="FFFFFF"/>
            <w:tcMar>
              <w:top w:w="0" w:type="dxa"/>
              <w:left w:w="85" w:type="dxa"/>
              <w:bottom w:w="0" w:type="dxa"/>
              <w:right w:w="85" w:type="dxa"/>
            </w:tcMar>
          </w:tcPr>
          <w:p w14:paraId="0C1A86F9" w14:textId="77777777" w:rsidR="00AD187C" w:rsidRPr="009E06AA" w:rsidRDefault="00AD187C" w:rsidP="00B55F24">
            <w:pPr>
              <w:pStyle w:val="TableText"/>
            </w:pPr>
            <w:r w:rsidRPr="009E06AA">
              <w:t>TNSO</w:t>
            </w:r>
          </w:p>
        </w:tc>
        <w:tc>
          <w:tcPr>
            <w:tcW w:w="2664" w:type="dxa"/>
            <w:shd w:val="clear" w:color="auto" w:fill="FFFFFF"/>
            <w:tcMar>
              <w:top w:w="0" w:type="dxa"/>
              <w:left w:w="85" w:type="dxa"/>
              <w:bottom w:w="0" w:type="dxa"/>
              <w:right w:w="85" w:type="dxa"/>
            </w:tcMar>
          </w:tcPr>
          <w:p w14:paraId="70B8B66D" w14:textId="77777777" w:rsidR="00AD187C" w:rsidRPr="009E06AA" w:rsidRDefault="00AD187C" w:rsidP="00B55F24">
            <w:pPr>
              <w:pStyle w:val="TableText"/>
            </w:pPr>
            <w:r w:rsidRPr="009E06AA">
              <w:rPr>
                <w:rFonts w:eastAsia="Calibri"/>
              </w:rPr>
              <w:t>Tokelau National Statistics Office, Apia</w:t>
            </w:r>
            <w:r w:rsidRPr="009E06AA">
              <w:rPr>
                <w:rFonts w:eastAsia="Calibri" w:cs="Calibri"/>
                <w:szCs w:val="16"/>
              </w:rPr>
              <w:t xml:space="preserve"> </w:t>
            </w:r>
            <w:r w:rsidRPr="009E06AA">
              <w:rPr>
                <w:rFonts w:eastAsia="Calibri" w:cs="Calibri"/>
                <w:szCs w:val="16"/>
              </w:rPr>
              <w:br/>
            </w:r>
            <w:hyperlink r:id="rId176" w:history="1">
              <w:r w:rsidRPr="009E06AA">
                <w:rPr>
                  <w:rStyle w:val="Hyperlink"/>
                  <w:rFonts w:eastAsia="Calibri" w:cs="Calibri"/>
                  <w:szCs w:val="16"/>
                </w:rPr>
                <w:t>www.tokelau.org.nz/Stats.html</w:t>
              </w:r>
            </w:hyperlink>
          </w:p>
        </w:tc>
        <w:tc>
          <w:tcPr>
            <w:tcW w:w="3827" w:type="dxa"/>
            <w:shd w:val="clear" w:color="auto" w:fill="FFFFFF"/>
            <w:tcMar>
              <w:top w:w="0" w:type="dxa"/>
              <w:left w:w="85" w:type="dxa"/>
              <w:bottom w:w="0" w:type="dxa"/>
              <w:right w:w="85" w:type="dxa"/>
            </w:tcMar>
          </w:tcPr>
          <w:p w14:paraId="793B67BC" w14:textId="03DBCBC6" w:rsidR="00AD187C" w:rsidRPr="009E06AA" w:rsidRDefault="00AD187C" w:rsidP="00B55F24">
            <w:pPr>
              <w:pStyle w:val="TableText"/>
            </w:pPr>
            <w:r w:rsidRPr="009E06AA">
              <w:t>Joint collection, analysis and publication of Tokelau Census data</w:t>
            </w:r>
            <w:r w:rsidR="00373663" w:rsidRPr="009E06AA">
              <w:t>.</w:t>
            </w:r>
          </w:p>
        </w:tc>
      </w:tr>
      <w:tr w:rsidR="00AD187C" w:rsidRPr="009E06AA" w14:paraId="772F058A" w14:textId="77777777" w:rsidTr="00B55F24">
        <w:tc>
          <w:tcPr>
            <w:tcW w:w="514" w:type="dxa"/>
            <w:shd w:val="clear" w:color="auto" w:fill="FFFFFF"/>
            <w:tcMar>
              <w:top w:w="0" w:type="dxa"/>
              <w:left w:w="85" w:type="dxa"/>
              <w:bottom w:w="0" w:type="dxa"/>
              <w:right w:w="85" w:type="dxa"/>
            </w:tcMar>
          </w:tcPr>
          <w:p w14:paraId="76B0F93F" w14:textId="77777777" w:rsidR="00AD187C" w:rsidRPr="009E06AA" w:rsidRDefault="00AD187C" w:rsidP="00B55F24">
            <w:pPr>
              <w:pStyle w:val="TableText"/>
            </w:pPr>
            <w:r w:rsidRPr="009E06AA">
              <w:t>6</w:t>
            </w:r>
          </w:p>
        </w:tc>
        <w:tc>
          <w:tcPr>
            <w:tcW w:w="1500" w:type="dxa"/>
            <w:shd w:val="clear" w:color="auto" w:fill="FFFFFF"/>
            <w:tcMar>
              <w:top w:w="0" w:type="dxa"/>
              <w:left w:w="85" w:type="dxa"/>
              <w:bottom w:w="0" w:type="dxa"/>
              <w:right w:w="85" w:type="dxa"/>
            </w:tcMar>
          </w:tcPr>
          <w:p w14:paraId="7E56E9AF" w14:textId="77777777" w:rsidR="00AD187C" w:rsidRPr="009E06AA" w:rsidRDefault="00AD187C" w:rsidP="00B55F24">
            <w:pPr>
              <w:pStyle w:val="TableText"/>
            </w:pPr>
            <w:r w:rsidRPr="009E06AA">
              <w:t>DoE</w:t>
            </w:r>
          </w:p>
        </w:tc>
        <w:tc>
          <w:tcPr>
            <w:tcW w:w="2664" w:type="dxa"/>
            <w:shd w:val="clear" w:color="auto" w:fill="FFFFFF"/>
            <w:tcMar>
              <w:top w:w="0" w:type="dxa"/>
              <w:left w:w="85" w:type="dxa"/>
              <w:bottom w:w="0" w:type="dxa"/>
              <w:right w:w="85" w:type="dxa"/>
            </w:tcMar>
          </w:tcPr>
          <w:p w14:paraId="674FCBE4" w14:textId="77777777" w:rsidR="00AD187C" w:rsidRPr="009E06AA" w:rsidRDefault="00AD187C" w:rsidP="00B55F24">
            <w:pPr>
              <w:pStyle w:val="TableText"/>
            </w:pPr>
            <w:r w:rsidRPr="009E06AA">
              <w:t>Tokelau Department of Energy</w:t>
            </w:r>
          </w:p>
        </w:tc>
        <w:tc>
          <w:tcPr>
            <w:tcW w:w="3827" w:type="dxa"/>
            <w:shd w:val="clear" w:color="auto" w:fill="FFFFFF"/>
            <w:tcMar>
              <w:top w:w="0" w:type="dxa"/>
              <w:left w:w="85" w:type="dxa"/>
              <w:bottom w:w="0" w:type="dxa"/>
              <w:right w:w="85" w:type="dxa"/>
            </w:tcMar>
          </w:tcPr>
          <w:p w14:paraId="7B4DEAA0" w14:textId="246F1A94" w:rsidR="00AD187C" w:rsidRPr="009E06AA" w:rsidRDefault="00AD187C" w:rsidP="00B55F24">
            <w:pPr>
              <w:pStyle w:val="TableText"/>
            </w:pPr>
            <w:r w:rsidRPr="009E06AA">
              <w:t>Estimate of diesel use for 24/7 power generation in 2004, plus before and after installation of solar panels in July–September 2012 (personal communication Mr</w:t>
            </w:r>
            <w:r w:rsidRPr="009E06AA">
              <w:rPr>
                <w:rFonts w:eastAsia="Calibri" w:cs="Calibri"/>
                <w:szCs w:val="16"/>
              </w:rPr>
              <w:t> </w:t>
            </w:r>
            <w:r w:rsidRPr="009E06AA">
              <w:t>Robin Pene, DoE director)</w:t>
            </w:r>
            <w:r w:rsidR="00373663" w:rsidRPr="009E06AA">
              <w:t>.</w:t>
            </w:r>
          </w:p>
        </w:tc>
      </w:tr>
      <w:tr w:rsidR="00AD187C" w:rsidRPr="009E06AA" w14:paraId="63F722F1" w14:textId="77777777" w:rsidTr="00B55F24">
        <w:tc>
          <w:tcPr>
            <w:tcW w:w="514" w:type="dxa"/>
            <w:shd w:val="clear" w:color="auto" w:fill="FFFFFF"/>
            <w:tcMar>
              <w:top w:w="0" w:type="dxa"/>
              <w:left w:w="85" w:type="dxa"/>
              <w:bottom w:w="0" w:type="dxa"/>
              <w:right w:w="85" w:type="dxa"/>
            </w:tcMar>
          </w:tcPr>
          <w:p w14:paraId="61F4846E" w14:textId="77777777" w:rsidR="00AD187C" w:rsidRPr="009E06AA" w:rsidRDefault="00AD187C" w:rsidP="00B55F24">
            <w:pPr>
              <w:pStyle w:val="TableText"/>
            </w:pPr>
            <w:r w:rsidRPr="009E06AA">
              <w:rPr>
                <w:color w:val="000000"/>
              </w:rPr>
              <w:t>7</w:t>
            </w:r>
          </w:p>
        </w:tc>
        <w:tc>
          <w:tcPr>
            <w:tcW w:w="1500" w:type="dxa"/>
            <w:shd w:val="clear" w:color="auto" w:fill="FFFFFF"/>
            <w:tcMar>
              <w:top w:w="0" w:type="dxa"/>
              <w:left w:w="85" w:type="dxa"/>
              <w:bottom w:w="0" w:type="dxa"/>
              <w:right w:w="85" w:type="dxa"/>
            </w:tcMar>
          </w:tcPr>
          <w:p w14:paraId="7C894F31" w14:textId="77777777" w:rsidR="00AD187C" w:rsidRPr="009E06AA" w:rsidRDefault="00AD187C" w:rsidP="00B55F24">
            <w:pPr>
              <w:pStyle w:val="TableText"/>
            </w:pPr>
            <w:r w:rsidRPr="009E06AA">
              <w:rPr>
                <w:color w:val="000000"/>
              </w:rPr>
              <w:t>PPS</w:t>
            </w:r>
          </w:p>
        </w:tc>
        <w:tc>
          <w:tcPr>
            <w:tcW w:w="2664" w:type="dxa"/>
            <w:shd w:val="clear" w:color="auto" w:fill="FFFFFF"/>
            <w:tcMar>
              <w:top w:w="0" w:type="dxa"/>
              <w:left w:w="85" w:type="dxa"/>
              <w:bottom w:w="0" w:type="dxa"/>
              <w:right w:w="85" w:type="dxa"/>
            </w:tcMar>
          </w:tcPr>
          <w:p w14:paraId="3AB005D5" w14:textId="77777777" w:rsidR="00AD187C" w:rsidRPr="009E06AA" w:rsidRDefault="00AD187C" w:rsidP="00B55F24">
            <w:pPr>
              <w:pStyle w:val="TableText"/>
            </w:pPr>
            <w:r w:rsidRPr="009E06AA">
              <w:rPr>
                <w:color w:val="000000"/>
              </w:rPr>
              <w:t>Petroleum Product Supplies Ltd Apia</w:t>
            </w:r>
          </w:p>
        </w:tc>
        <w:tc>
          <w:tcPr>
            <w:tcW w:w="3827" w:type="dxa"/>
            <w:shd w:val="clear" w:color="auto" w:fill="FFFFFF"/>
            <w:tcMar>
              <w:top w:w="0" w:type="dxa"/>
              <w:left w:w="85" w:type="dxa"/>
              <w:bottom w:w="0" w:type="dxa"/>
              <w:right w:w="85" w:type="dxa"/>
            </w:tcMar>
          </w:tcPr>
          <w:p w14:paraId="0DDCA01D" w14:textId="10403AFD" w:rsidR="00AD187C" w:rsidRPr="009E06AA" w:rsidRDefault="00AD187C" w:rsidP="00B55F24">
            <w:pPr>
              <w:pStyle w:val="TableText"/>
            </w:pPr>
            <w:r w:rsidRPr="009E06AA">
              <w:rPr>
                <w:color w:val="000000"/>
              </w:rPr>
              <w:t>Fuel prices and volumes supplied for shipping and on-atoll use of diesel, petrol, kerosene and lubricant oil</w:t>
            </w:r>
            <w:r w:rsidR="00373663" w:rsidRPr="009E06AA">
              <w:rPr>
                <w:color w:val="000000"/>
              </w:rPr>
              <w:t>.</w:t>
            </w:r>
          </w:p>
        </w:tc>
      </w:tr>
      <w:tr w:rsidR="00AD187C" w:rsidRPr="009E06AA" w14:paraId="6236481A" w14:textId="77777777" w:rsidTr="00B55F24">
        <w:tc>
          <w:tcPr>
            <w:tcW w:w="514" w:type="dxa"/>
            <w:shd w:val="clear" w:color="auto" w:fill="FFFFFF"/>
            <w:tcMar>
              <w:top w:w="0" w:type="dxa"/>
              <w:left w:w="85" w:type="dxa"/>
              <w:bottom w:w="0" w:type="dxa"/>
              <w:right w:w="85" w:type="dxa"/>
            </w:tcMar>
          </w:tcPr>
          <w:p w14:paraId="1B04706A" w14:textId="77777777" w:rsidR="00AD187C" w:rsidRPr="009E06AA" w:rsidRDefault="00AD187C" w:rsidP="00B55F24">
            <w:pPr>
              <w:pStyle w:val="TableText"/>
            </w:pPr>
            <w:r w:rsidRPr="009E06AA">
              <w:rPr>
                <w:color w:val="000000"/>
              </w:rPr>
              <w:t>8</w:t>
            </w:r>
          </w:p>
        </w:tc>
        <w:tc>
          <w:tcPr>
            <w:tcW w:w="1500" w:type="dxa"/>
            <w:shd w:val="clear" w:color="auto" w:fill="FFFFFF"/>
            <w:tcMar>
              <w:top w:w="0" w:type="dxa"/>
              <w:left w:w="85" w:type="dxa"/>
              <w:bottom w:w="0" w:type="dxa"/>
              <w:right w:w="85" w:type="dxa"/>
            </w:tcMar>
          </w:tcPr>
          <w:p w14:paraId="14594576" w14:textId="77777777" w:rsidR="00AD187C" w:rsidRPr="009E06AA" w:rsidRDefault="00AD187C" w:rsidP="00B55F24">
            <w:pPr>
              <w:pStyle w:val="TableText"/>
            </w:pPr>
            <w:r w:rsidRPr="009E06AA">
              <w:rPr>
                <w:color w:val="000000"/>
              </w:rPr>
              <w:t>DoF</w:t>
            </w:r>
          </w:p>
        </w:tc>
        <w:tc>
          <w:tcPr>
            <w:tcW w:w="2664" w:type="dxa"/>
            <w:shd w:val="clear" w:color="auto" w:fill="FFFFFF"/>
            <w:tcMar>
              <w:top w:w="0" w:type="dxa"/>
              <w:left w:w="85" w:type="dxa"/>
              <w:bottom w:w="0" w:type="dxa"/>
              <w:right w:w="85" w:type="dxa"/>
            </w:tcMar>
          </w:tcPr>
          <w:p w14:paraId="3FCA8720" w14:textId="77777777" w:rsidR="00AD187C" w:rsidRPr="009E06AA" w:rsidRDefault="00AD187C" w:rsidP="00B55F24">
            <w:pPr>
              <w:pStyle w:val="TableText"/>
            </w:pPr>
            <w:r w:rsidRPr="009E06AA">
              <w:rPr>
                <w:color w:val="000000"/>
              </w:rPr>
              <w:t>Tokelau Department of Finance</w:t>
            </w:r>
          </w:p>
        </w:tc>
        <w:tc>
          <w:tcPr>
            <w:tcW w:w="3827" w:type="dxa"/>
            <w:shd w:val="clear" w:color="auto" w:fill="FFFFFF"/>
            <w:tcMar>
              <w:top w:w="0" w:type="dxa"/>
              <w:left w:w="85" w:type="dxa"/>
              <w:bottom w:w="0" w:type="dxa"/>
              <w:right w:w="85" w:type="dxa"/>
            </w:tcMar>
          </w:tcPr>
          <w:p w14:paraId="57AEA67F" w14:textId="77E79837" w:rsidR="00AD187C" w:rsidRPr="009E06AA" w:rsidRDefault="00AD187C" w:rsidP="00B55F24">
            <w:pPr>
              <w:pStyle w:val="TableText"/>
            </w:pPr>
            <w:r w:rsidRPr="009E06AA">
              <w:rPr>
                <w:color w:val="000000"/>
              </w:rPr>
              <w:t>Paid invoices and payment records to PPS, Origin</w:t>
            </w:r>
            <w:r w:rsidRPr="009E06AA">
              <w:rPr>
                <w:rFonts w:eastAsia="Calibri" w:cs="Calibri"/>
                <w:color w:val="000000"/>
                <w:szCs w:val="16"/>
              </w:rPr>
              <w:t>,</w:t>
            </w:r>
            <w:r w:rsidRPr="009E06AA">
              <w:rPr>
                <w:color w:val="000000"/>
              </w:rPr>
              <w:t xml:space="preserve"> and on-atoll stores</w:t>
            </w:r>
            <w:r w:rsidR="00373663" w:rsidRPr="009E06AA">
              <w:rPr>
                <w:color w:val="000000"/>
              </w:rPr>
              <w:t>.</w:t>
            </w:r>
          </w:p>
        </w:tc>
      </w:tr>
      <w:tr w:rsidR="00AD187C" w:rsidRPr="009E06AA" w14:paraId="3B4E1F66" w14:textId="77777777" w:rsidTr="00B55F24">
        <w:tc>
          <w:tcPr>
            <w:tcW w:w="514" w:type="dxa"/>
            <w:shd w:val="clear" w:color="auto" w:fill="FFFFFF"/>
            <w:tcMar>
              <w:top w:w="0" w:type="dxa"/>
              <w:left w:w="85" w:type="dxa"/>
              <w:bottom w:w="0" w:type="dxa"/>
              <w:right w:w="85" w:type="dxa"/>
            </w:tcMar>
          </w:tcPr>
          <w:p w14:paraId="5778F1D9" w14:textId="77777777" w:rsidR="00AD187C" w:rsidRPr="009E06AA" w:rsidRDefault="00AD187C" w:rsidP="00B55F24">
            <w:pPr>
              <w:pStyle w:val="TableText"/>
            </w:pPr>
            <w:r w:rsidRPr="009E06AA">
              <w:t>9</w:t>
            </w:r>
          </w:p>
        </w:tc>
        <w:tc>
          <w:tcPr>
            <w:tcW w:w="1500" w:type="dxa"/>
            <w:shd w:val="clear" w:color="auto" w:fill="FFFFFF"/>
            <w:tcMar>
              <w:top w:w="0" w:type="dxa"/>
              <w:left w:w="85" w:type="dxa"/>
              <w:bottom w:w="0" w:type="dxa"/>
              <w:right w:w="85" w:type="dxa"/>
            </w:tcMar>
          </w:tcPr>
          <w:p w14:paraId="55E2FAF5" w14:textId="77777777" w:rsidR="00AD187C" w:rsidRPr="009E06AA" w:rsidRDefault="00AD187C" w:rsidP="00B55F24">
            <w:pPr>
              <w:pStyle w:val="TableText"/>
            </w:pPr>
            <w:r w:rsidRPr="009E06AA">
              <w:t>2018 vehicle survey</w:t>
            </w:r>
          </w:p>
        </w:tc>
        <w:tc>
          <w:tcPr>
            <w:tcW w:w="2664" w:type="dxa"/>
            <w:shd w:val="clear" w:color="auto" w:fill="FFFFFF"/>
            <w:tcMar>
              <w:top w:w="0" w:type="dxa"/>
              <w:left w:w="85" w:type="dxa"/>
              <w:bottom w:w="0" w:type="dxa"/>
              <w:right w:w="85" w:type="dxa"/>
            </w:tcMar>
          </w:tcPr>
          <w:p w14:paraId="7FC25CC5" w14:textId="77777777" w:rsidR="00AD187C" w:rsidRPr="009E06AA" w:rsidRDefault="00AD187C" w:rsidP="00B55F24">
            <w:pPr>
              <w:pStyle w:val="TableText"/>
            </w:pPr>
            <w:r w:rsidRPr="009E06AA">
              <w:t>Photo survey of Tokelau motorised vehicles on-atoll, August–December 2018</w:t>
            </w:r>
          </w:p>
        </w:tc>
        <w:tc>
          <w:tcPr>
            <w:tcW w:w="3827" w:type="dxa"/>
            <w:shd w:val="clear" w:color="auto" w:fill="FFFFFF"/>
            <w:tcMar>
              <w:top w:w="0" w:type="dxa"/>
              <w:left w:w="85" w:type="dxa"/>
              <w:bottom w:w="0" w:type="dxa"/>
              <w:right w:w="85" w:type="dxa"/>
            </w:tcMar>
          </w:tcPr>
          <w:p w14:paraId="5E6DF49D" w14:textId="3732E5FD" w:rsidR="00AD187C" w:rsidRPr="009E06AA" w:rsidRDefault="00AD187C" w:rsidP="00B55F24">
            <w:pPr>
              <w:pStyle w:val="TableText"/>
            </w:pPr>
            <w:r w:rsidRPr="009E06AA">
              <w:t>Personal communication JA Jasperse, TNSO</w:t>
            </w:r>
            <w:r w:rsidR="00373663" w:rsidRPr="009E06AA">
              <w:t>.</w:t>
            </w:r>
          </w:p>
        </w:tc>
      </w:tr>
      <w:tr w:rsidR="00AD187C" w:rsidRPr="009E06AA" w14:paraId="5DD38BA1" w14:textId="77777777" w:rsidTr="00B55F24">
        <w:tc>
          <w:tcPr>
            <w:tcW w:w="514" w:type="dxa"/>
            <w:shd w:val="clear" w:color="auto" w:fill="FFFFFF"/>
            <w:tcMar>
              <w:top w:w="0" w:type="dxa"/>
              <w:left w:w="85" w:type="dxa"/>
              <w:bottom w:w="0" w:type="dxa"/>
              <w:right w:w="85" w:type="dxa"/>
            </w:tcMar>
          </w:tcPr>
          <w:p w14:paraId="3F176944" w14:textId="77777777" w:rsidR="00AD187C" w:rsidRPr="009E06AA" w:rsidRDefault="00AD187C" w:rsidP="00B55F24">
            <w:pPr>
              <w:pStyle w:val="TableText"/>
            </w:pPr>
            <w:r w:rsidRPr="009E06AA">
              <w:t>10</w:t>
            </w:r>
          </w:p>
        </w:tc>
        <w:tc>
          <w:tcPr>
            <w:tcW w:w="1500" w:type="dxa"/>
            <w:shd w:val="clear" w:color="auto" w:fill="FFFFFF"/>
            <w:tcMar>
              <w:top w:w="0" w:type="dxa"/>
              <w:left w:w="85" w:type="dxa"/>
              <w:bottom w:w="0" w:type="dxa"/>
              <w:right w:w="85" w:type="dxa"/>
            </w:tcMar>
          </w:tcPr>
          <w:p w14:paraId="002E2E0C" w14:textId="77777777" w:rsidR="00AD187C" w:rsidRPr="009E06AA" w:rsidRDefault="00AD187C" w:rsidP="00B55F24">
            <w:pPr>
              <w:pStyle w:val="TableText"/>
            </w:pPr>
            <w:r w:rsidRPr="009E06AA">
              <w:t>Origin</w:t>
            </w:r>
          </w:p>
        </w:tc>
        <w:tc>
          <w:tcPr>
            <w:tcW w:w="2664" w:type="dxa"/>
            <w:shd w:val="clear" w:color="auto" w:fill="FFFFFF"/>
            <w:tcMar>
              <w:top w:w="0" w:type="dxa"/>
              <w:left w:w="85" w:type="dxa"/>
              <w:bottom w:w="0" w:type="dxa"/>
              <w:right w:w="85" w:type="dxa"/>
            </w:tcMar>
          </w:tcPr>
          <w:p w14:paraId="06A93BC2" w14:textId="77777777" w:rsidR="00AD187C" w:rsidRPr="009E06AA" w:rsidRDefault="00AD187C" w:rsidP="00B55F24">
            <w:pPr>
              <w:pStyle w:val="TableText"/>
            </w:pPr>
            <w:r w:rsidRPr="009E06AA">
              <w:t>Origin Energy Samoa Ltd, Apia</w:t>
            </w:r>
          </w:p>
        </w:tc>
        <w:tc>
          <w:tcPr>
            <w:tcW w:w="3827" w:type="dxa"/>
            <w:shd w:val="clear" w:color="auto" w:fill="FFFFFF"/>
            <w:tcMar>
              <w:top w:w="0" w:type="dxa"/>
              <w:left w:w="85" w:type="dxa"/>
              <w:bottom w:w="0" w:type="dxa"/>
              <w:right w:w="85" w:type="dxa"/>
            </w:tcMar>
          </w:tcPr>
          <w:p w14:paraId="25663A33" w14:textId="5CF117F1" w:rsidR="00AD187C" w:rsidRPr="009E06AA" w:rsidRDefault="00AD187C" w:rsidP="00B55F24">
            <w:pPr>
              <w:pStyle w:val="TableText"/>
            </w:pPr>
            <w:r w:rsidRPr="009E06AA">
              <w:t>Prices and volumes supplied for on-atoll use of propane for cooking</w:t>
            </w:r>
            <w:r w:rsidR="00373663" w:rsidRPr="009E06AA">
              <w:t>.</w:t>
            </w:r>
          </w:p>
        </w:tc>
      </w:tr>
      <w:tr w:rsidR="00AD187C" w:rsidRPr="009E06AA" w14:paraId="5553CAD0" w14:textId="77777777" w:rsidTr="00B55F24">
        <w:tc>
          <w:tcPr>
            <w:tcW w:w="514" w:type="dxa"/>
            <w:shd w:val="clear" w:color="auto" w:fill="FFFFFF"/>
            <w:tcMar>
              <w:top w:w="0" w:type="dxa"/>
              <w:left w:w="85" w:type="dxa"/>
              <w:bottom w:w="0" w:type="dxa"/>
              <w:right w:w="85" w:type="dxa"/>
            </w:tcMar>
          </w:tcPr>
          <w:p w14:paraId="17A095FD" w14:textId="77777777" w:rsidR="00AD187C" w:rsidRPr="009E06AA" w:rsidRDefault="00AD187C" w:rsidP="00B55F24">
            <w:pPr>
              <w:pStyle w:val="TableText"/>
            </w:pPr>
            <w:r w:rsidRPr="009E06AA">
              <w:t>11</w:t>
            </w:r>
          </w:p>
        </w:tc>
        <w:tc>
          <w:tcPr>
            <w:tcW w:w="1500" w:type="dxa"/>
            <w:shd w:val="clear" w:color="auto" w:fill="FFFFFF"/>
            <w:tcMar>
              <w:top w:w="0" w:type="dxa"/>
              <w:left w:w="85" w:type="dxa"/>
              <w:bottom w:w="0" w:type="dxa"/>
              <w:right w:w="85" w:type="dxa"/>
            </w:tcMar>
          </w:tcPr>
          <w:p w14:paraId="06A6DBB0" w14:textId="77777777" w:rsidR="00AD187C" w:rsidRPr="009E06AA" w:rsidRDefault="00AD187C" w:rsidP="00B55F24">
            <w:pPr>
              <w:pStyle w:val="TableText"/>
            </w:pPr>
            <w:r w:rsidRPr="009E06AA">
              <w:t>PCTrade-Green</w:t>
            </w:r>
          </w:p>
        </w:tc>
        <w:tc>
          <w:tcPr>
            <w:tcW w:w="2664" w:type="dxa"/>
            <w:shd w:val="clear" w:color="auto" w:fill="FFFFFF"/>
            <w:tcMar>
              <w:top w:w="0" w:type="dxa"/>
              <w:left w:w="85" w:type="dxa"/>
              <w:bottom w:w="0" w:type="dxa"/>
              <w:right w:w="85" w:type="dxa"/>
            </w:tcMar>
          </w:tcPr>
          <w:p w14:paraId="4A469B12" w14:textId="77777777" w:rsidR="00AD187C" w:rsidRPr="009E06AA" w:rsidRDefault="00AD187C" w:rsidP="00B55F24">
            <w:pPr>
              <w:pStyle w:val="TableText"/>
            </w:pPr>
            <w:r w:rsidRPr="009E06AA">
              <w:t>Excel version of PCTrade package developed by Stats NZ, Christchurch</w:t>
            </w:r>
          </w:p>
        </w:tc>
        <w:tc>
          <w:tcPr>
            <w:tcW w:w="3827" w:type="dxa"/>
            <w:shd w:val="clear" w:color="auto" w:fill="FFFFFF"/>
            <w:tcMar>
              <w:top w:w="0" w:type="dxa"/>
              <w:left w:w="85" w:type="dxa"/>
              <w:bottom w:w="0" w:type="dxa"/>
              <w:right w:w="85" w:type="dxa"/>
            </w:tcMar>
          </w:tcPr>
          <w:p w14:paraId="11B7DADB" w14:textId="28305F81" w:rsidR="00AD187C" w:rsidRPr="009E06AA" w:rsidRDefault="00AD187C" w:rsidP="00B55F24">
            <w:pPr>
              <w:pStyle w:val="TableText"/>
            </w:pPr>
            <w:r w:rsidRPr="009E06AA">
              <w:t>Used for analysing cargo shipping manifests, providing number of return voyages Apia–Tokelau over time, imports of goods, and exports of recyclables to date (2014 – June 2019 data available)</w:t>
            </w:r>
            <w:r w:rsidR="00373663" w:rsidRPr="009E06AA">
              <w:t>.</w:t>
            </w:r>
          </w:p>
        </w:tc>
      </w:tr>
      <w:tr w:rsidR="00AD187C" w:rsidRPr="009E06AA" w14:paraId="30DA03A3" w14:textId="77777777" w:rsidTr="00B55F24">
        <w:tc>
          <w:tcPr>
            <w:tcW w:w="514" w:type="dxa"/>
            <w:shd w:val="clear" w:color="auto" w:fill="FFFFFF"/>
            <w:tcMar>
              <w:top w:w="0" w:type="dxa"/>
              <w:left w:w="85" w:type="dxa"/>
              <w:bottom w:w="0" w:type="dxa"/>
              <w:right w:w="85" w:type="dxa"/>
            </w:tcMar>
          </w:tcPr>
          <w:p w14:paraId="0A9883CE" w14:textId="77777777" w:rsidR="00AD187C" w:rsidRPr="009E06AA" w:rsidRDefault="00AD187C" w:rsidP="00B55F24">
            <w:pPr>
              <w:pStyle w:val="TableText"/>
            </w:pPr>
            <w:r w:rsidRPr="009E06AA">
              <w:t>12</w:t>
            </w:r>
          </w:p>
        </w:tc>
        <w:tc>
          <w:tcPr>
            <w:tcW w:w="1500" w:type="dxa"/>
            <w:shd w:val="clear" w:color="auto" w:fill="FFFFFF"/>
            <w:tcMar>
              <w:top w:w="0" w:type="dxa"/>
              <w:left w:w="85" w:type="dxa"/>
              <w:bottom w:w="0" w:type="dxa"/>
              <w:right w:w="85" w:type="dxa"/>
            </w:tcMar>
          </w:tcPr>
          <w:p w14:paraId="18051B14" w14:textId="77777777" w:rsidR="00AD187C" w:rsidRPr="009E06AA" w:rsidRDefault="00AD187C" w:rsidP="00B55F24">
            <w:pPr>
              <w:pStyle w:val="TableText"/>
            </w:pPr>
            <w:r w:rsidRPr="009E06AA">
              <w:t>DoH</w:t>
            </w:r>
          </w:p>
        </w:tc>
        <w:tc>
          <w:tcPr>
            <w:tcW w:w="2664" w:type="dxa"/>
            <w:shd w:val="clear" w:color="auto" w:fill="FFFFFF"/>
            <w:tcMar>
              <w:top w:w="0" w:type="dxa"/>
              <w:left w:w="85" w:type="dxa"/>
              <w:bottom w:w="0" w:type="dxa"/>
              <w:right w:w="85" w:type="dxa"/>
            </w:tcMar>
          </w:tcPr>
          <w:p w14:paraId="16EC8C4F" w14:textId="77777777" w:rsidR="00AD187C" w:rsidRPr="009E06AA" w:rsidRDefault="00AD187C" w:rsidP="00B55F24">
            <w:pPr>
              <w:pStyle w:val="TableText"/>
            </w:pPr>
            <w:r w:rsidRPr="009E06AA">
              <w:t>Tokelau Department of Health</w:t>
            </w:r>
          </w:p>
        </w:tc>
        <w:tc>
          <w:tcPr>
            <w:tcW w:w="3827" w:type="dxa"/>
            <w:shd w:val="clear" w:color="auto" w:fill="FFFFFF"/>
            <w:tcMar>
              <w:top w:w="0" w:type="dxa"/>
              <w:left w:w="85" w:type="dxa"/>
              <w:bottom w:w="0" w:type="dxa"/>
              <w:right w:w="85" w:type="dxa"/>
            </w:tcMar>
          </w:tcPr>
          <w:p w14:paraId="0BCF7577" w14:textId="7FB88E86" w:rsidR="00AD187C" w:rsidRPr="009E06AA" w:rsidRDefault="00AD187C" w:rsidP="00B55F24">
            <w:pPr>
              <w:pStyle w:val="TableText"/>
            </w:pPr>
            <w:r w:rsidRPr="009E06AA">
              <w:t>Anecdotal information on inhalers, laser gas, fire extinguishers</w:t>
            </w:r>
            <w:r w:rsidR="00373663" w:rsidRPr="009E06AA">
              <w:t>.</w:t>
            </w:r>
          </w:p>
        </w:tc>
      </w:tr>
      <w:tr w:rsidR="00AD187C" w:rsidRPr="009E06AA" w14:paraId="5C02B226" w14:textId="77777777" w:rsidTr="00B55F24">
        <w:tc>
          <w:tcPr>
            <w:tcW w:w="514" w:type="dxa"/>
            <w:shd w:val="clear" w:color="auto" w:fill="FFFFFF"/>
            <w:tcMar>
              <w:top w:w="0" w:type="dxa"/>
              <w:left w:w="85" w:type="dxa"/>
              <w:bottom w:w="0" w:type="dxa"/>
              <w:right w:w="85" w:type="dxa"/>
            </w:tcMar>
          </w:tcPr>
          <w:p w14:paraId="36CA60E7" w14:textId="77777777" w:rsidR="00AD187C" w:rsidRPr="009E06AA" w:rsidRDefault="00AD187C" w:rsidP="00B55F24">
            <w:pPr>
              <w:pStyle w:val="TableText"/>
            </w:pPr>
            <w:r w:rsidRPr="009E06AA">
              <w:t>13</w:t>
            </w:r>
          </w:p>
        </w:tc>
        <w:tc>
          <w:tcPr>
            <w:tcW w:w="1500" w:type="dxa"/>
            <w:shd w:val="clear" w:color="auto" w:fill="FFFFFF"/>
            <w:tcMar>
              <w:top w:w="0" w:type="dxa"/>
              <w:left w:w="85" w:type="dxa"/>
              <w:bottom w:w="0" w:type="dxa"/>
              <w:right w:w="85" w:type="dxa"/>
            </w:tcMar>
          </w:tcPr>
          <w:p w14:paraId="0CF44BD9" w14:textId="77777777" w:rsidR="00AD187C" w:rsidRPr="009E06AA" w:rsidRDefault="00AD187C" w:rsidP="00B55F24">
            <w:pPr>
              <w:pStyle w:val="TableText"/>
            </w:pPr>
            <w:r w:rsidRPr="009E06AA">
              <w:t>TSS</w:t>
            </w:r>
          </w:p>
        </w:tc>
        <w:tc>
          <w:tcPr>
            <w:tcW w:w="2664" w:type="dxa"/>
            <w:shd w:val="clear" w:color="auto" w:fill="FFFFFF"/>
            <w:tcMar>
              <w:top w:w="0" w:type="dxa"/>
              <w:left w:w="85" w:type="dxa"/>
              <w:bottom w:w="0" w:type="dxa"/>
              <w:right w:w="85" w:type="dxa"/>
            </w:tcMar>
          </w:tcPr>
          <w:p w14:paraId="130E73B7" w14:textId="77777777" w:rsidR="00AD187C" w:rsidRPr="009E06AA" w:rsidRDefault="00AD187C" w:rsidP="00B55F24">
            <w:pPr>
              <w:pStyle w:val="TableText"/>
            </w:pPr>
            <w:r w:rsidRPr="009E06AA">
              <w:t>Tokelau Department of Transport and Support Services, Apia</w:t>
            </w:r>
          </w:p>
        </w:tc>
        <w:tc>
          <w:tcPr>
            <w:tcW w:w="3827" w:type="dxa"/>
            <w:shd w:val="clear" w:color="auto" w:fill="FFFFFF"/>
            <w:tcMar>
              <w:top w:w="0" w:type="dxa"/>
              <w:left w:w="85" w:type="dxa"/>
              <w:bottom w:w="0" w:type="dxa"/>
              <w:right w:w="85" w:type="dxa"/>
            </w:tcMar>
          </w:tcPr>
          <w:p w14:paraId="2C79E995" w14:textId="6640B692" w:rsidR="00AD187C" w:rsidRPr="009E06AA" w:rsidRDefault="00AD187C" w:rsidP="00B55F24">
            <w:pPr>
              <w:pStyle w:val="TableText"/>
            </w:pPr>
            <w:r w:rsidRPr="009E06AA">
              <w:t>Cargo shipping manifests for analysis of imports of all goods, and export of recyclables</w:t>
            </w:r>
            <w:r w:rsidR="00373663" w:rsidRPr="009E06AA">
              <w:t>.</w:t>
            </w:r>
          </w:p>
        </w:tc>
      </w:tr>
      <w:tr w:rsidR="00AD187C" w:rsidRPr="009E06AA" w14:paraId="0AC75579" w14:textId="77777777" w:rsidTr="00B55F24">
        <w:tc>
          <w:tcPr>
            <w:tcW w:w="514" w:type="dxa"/>
            <w:shd w:val="clear" w:color="auto" w:fill="FFFFFF"/>
            <w:tcMar>
              <w:top w:w="0" w:type="dxa"/>
              <w:left w:w="85" w:type="dxa"/>
              <w:bottom w:w="0" w:type="dxa"/>
              <w:right w:w="85" w:type="dxa"/>
            </w:tcMar>
          </w:tcPr>
          <w:p w14:paraId="6E793E68" w14:textId="77777777" w:rsidR="00AD187C" w:rsidRPr="009E06AA" w:rsidRDefault="00AD187C" w:rsidP="00B55F24">
            <w:pPr>
              <w:pStyle w:val="TableText"/>
            </w:pPr>
            <w:r w:rsidRPr="009E06AA">
              <w:t>14</w:t>
            </w:r>
          </w:p>
        </w:tc>
        <w:tc>
          <w:tcPr>
            <w:tcW w:w="1500" w:type="dxa"/>
            <w:shd w:val="clear" w:color="auto" w:fill="FFFFFF"/>
            <w:tcMar>
              <w:top w:w="0" w:type="dxa"/>
              <w:left w:w="85" w:type="dxa"/>
              <w:bottom w:w="0" w:type="dxa"/>
              <w:right w:w="85" w:type="dxa"/>
            </w:tcMar>
          </w:tcPr>
          <w:p w14:paraId="3C5C1D7C" w14:textId="77777777" w:rsidR="00AD187C" w:rsidRPr="009E06AA" w:rsidRDefault="00AD187C" w:rsidP="00B55F24">
            <w:pPr>
              <w:pStyle w:val="TableText"/>
            </w:pPr>
            <w:r w:rsidRPr="009E06AA">
              <w:t>2014 Imports study</w:t>
            </w:r>
          </w:p>
        </w:tc>
        <w:tc>
          <w:tcPr>
            <w:tcW w:w="2664" w:type="dxa"/>
            <w:shd w:val="clear" w:color="auto" w:fill="FFFFFF"/>
            <w:tcMar>
              <w:top w:w="0" w:type="dxa"/>
              <w:left w:w="85" w:type="dxa"/>
              <w:bottom w:w="0" w:type="dxa"/>
              <w:right w:w="85" w:type="dxa"/>
            </w:tcMar>
          </w:tcPr>
          <w:p w14:paraId="34E3E1B5" w14:textId="77777777" w:rsidR="00AD187C" w:rsidRPr="009E06AA" w:rsidRDefault="00AD187C" w:rsidP="00B55F24">
            <w:pPr>
              <w:pStyle w:val="TableText"/>
            </w:pPr>
            <w:r w:rsidRPr="009E06AA">
              <w:t>Jasperse JA. 2016. Analysis of 2014 imports into Tokelau from Samoa, Part</w:t>
            </w:r>
            <w:r w:rsidRPr="009E06AA">
              <w:rPr>
                <w:rFonts w:eastAsia="Calibri" w:cs="Calibri"/>
                <w:szCs w:val="16"/>
              </w:rPr>
              <w:t> </w:t>
            </w:r>
            <w:r w:rsidRPr="009E06AA">
              <w:t>2: Stores’ invoices reconciled with cargo manifests, and quality of life implications, Tokelau National Statistics Office</w:t>
            </w:r>
          </w:p>
        </w:tc>
        <w:tc>
          <w:tcPr>
            <w:tcW w:w="3827" w:type="dxa"/>
            <w:shd w:val="clear" w:color="auto" w:fill="FFFFFF"/>
            <w:tcMar>
              <w:top w:w="0" w:type="dxa"/>
              <w:left w:w="85" w:type="dxa"/>
              <w:bottom w:w="0" w:type="dxa"/>
              <w:right w:w="85" w:type="dxa"/>
            </w:tcMar>
          </w:tcPr>
          <w:p w14:paraId="2556B76B" w14:textId="0F11B7E6" w:rsidR="00AD187C" w:rsidRPr="009E06AA" w:rsidRDefault="00AD187C" w:rsidP="00B55F24">
            <w:pPr>
              <w:pStyle w:val="TableText"/>
            </w:pPr>
            <w:r w:rsidRPr="009E06AA">
              <w:rPr>
                <w:rFonts w:eastAsia="Calibri"/>
              </w:rPr>
              <w:t>Various Energy and Waste sector data, for example, calculation of per capita protein consumption</w:t>
            </w:r>
            <w:r w:rsidRPr="009E06AA">
              <w:rPr>
                <w:rFonts w:eastAsia="Calibri" w:cs="Calibri"/>
                <w:szCs w:val="16"/>
              </w:rPr>
              <w:t xml:space="preserve"> </w:t>
            </w:r>
            <w:r w:rsidRPr="009E06AA">
              <w:rPr>
                <w:rFonts w:eastAsia="Calibri" w:cs="Calibri"/>
                <w:szCs w:val="16"/>
              </w:rPr>
              <w:br/>
            </w:r>
            <w:hyperlink r:id="rId177" w:history="1">
              <w:r w:rsidRPr="009E06AA">
                <w:rPr>
                  <w:rStyle w:val="Hyperlink"/>
                  <w:rFonts w:eastAsia="Calibri" w:cs="Calibri"/>
                  <w:szCs w:val="16"/>
                </w:rPr>
                <w:t>www.tokelau.org.nz/Bulletin/September+2016/2014+imports+final.html</w:t>
              </w:r>
            </w:hyperlink>
            <w:r w:rsidR="00373663" w:rsidRPr="009E06AA">
              <w:rPr>
                <w:rStyle w:val="Hyperlink"/>
                <w:rFonts w:eastAsia="Calibri" w:cs="Calibri"/>
                <w:color w:val="auto"/>
                <w:szCs w:val="16"/>
              </w:rPr>
              <w:t>.</w:t>
            </w:r>
          </w:p>
        </w:tc>
      </w:tr>
      <w:tr w:rsidR="00AD187C" w:rsidRPr="009E06AA" w14:paraId="0C829ECB" w14:textId="77777777" w:rsidTr="00B55F24">
        <w:tc>
          <w:tcPr>
            <w:tcW w:w="514" w:type="dxa"/>
            <w:shd w:val="clear" w:color="auto" w:fill="FFFFFF"/>
            <w:tcMar>
              <w:top w:w="0" w:type="dxa"/>
              <w:left w:w="85" w:type="dxa"/>
              <w:bottom w:w="0" w:type="dxa"/>
              <w:right w:w="85" w:type="dxa"/>
            </w:tcMar>
          </w:tcPr>
          <w:p w14:paraId="1C26AF04" w14:textId="77777777" w:rsidR="00AD187C" w:rsidRPr="009E06AA" w:rsidRDefault="00AD187C" w:rsidP="00B55F24">
            <w:pPr>
              <w:pStyle w:val="TableText"/>
            </w:pPr>
            <w:r w:rsidRPr="009E06AA">
              <w:t>15</w:t>
            </w:r>
          </w:p>
        </w:tc>
        <w:tc>
          <w:tcPr>
            <w:tcW w:w="1500" w:type="dxa"/>
            <w:shd w:val="clear" w:color="auto" w:fill="FFFFFF"/>
            <w:tcMar>
              <w:top w:w="0" w:type="dxa"/>
              <w:left w:w="85" w:type="dxa"/>
              <w:bottom w:w="0" w:type="dxa"/>
              <w:right w:w="85" w:type="dxa"/>
            </w:tcMar>
          </w:tcPr>
          <w:p w14:paraId="1314FECD" w14:textId="77777777" w:rsidR="00AD187C" w:rsidRPr="009E06AA" w:rsidRDefault="00AD187C" w:rsidP="00B55F24">
            <w:pPr>
              <w:pStyle w:val="TableText"/>
            </w:pPr>
            <w:r w:rsidRPr="009E06AA">
              <w:t>EDNRE</w:t>
            </w:r>
          </w:p>
        </w:tc>
        <w:tc>
          <w:tcPr>
            <w:tcW w:w="2664" w:type="dxa"/>
            <w:shd w:val="clear" w:color="auto" w:fill="FFFFFF"/>
            <w:tcMar>
              <w:top w:w="0" w:type="dxa"/>
              <w:left w:w="85" w:type="dxa"/>
              <w:bottom w:w="0" w:type="dxa"/>
              <w:right w:w="85" w:type="dxa"/>
            </w:tcMar>
          </w:tcPr>
          <w:p w14:paraId="277FC9DA" w14:textId="77777777" w:rsidR="00AD187C" w:rsidRPr="009E06AA" w:rsidRDefault="00AD187C" w:rsidP="00B55F24">
            <w:pPr>
              <w:pStyle w:val="TableText"/>
            </w:pPr>
            <w:r w:rsidRPr="009E06AA">
              <w:t>Tokelau Department of Economic Development, Natural Resources and Environment</w:t>
            </w:r>
          </w:p>
        </w:tc>
        <w:tc>
          <w:tcPr>
            <w:tcW w:w="3827" w:type="dxa"/>
            <w:shd w:val="clear" w:color="auto" w:fill="FFFFFF"/>
            <w:tcMar>
              <w:top w:w="0" w:type="dxa"/>
              <w:left w:w="85" w:type="dxa"/>
              <w:bottom w:w="0" w:type="dxa"/>
              <w:right w:w="85" w:type="dxa"/>
            </w:tcMar>
          </w:tcPr>
          <w:p w14:paraId="6C6F7FB1" w14:textId="463CDDD1" w:rsidR="00AD187C" w:rsidRPr="009E06AA" w:rsidRDefault="00AD187C" w:rsidP="00B55F24">
            <w:pPr>
              <w:pStyle w:val="TableText"/>
            </w:pPr>
            <w:r w:rsidRPr="009E06AA">
              <w:t>Anecdotal information on waste disposal and export</w:t>
            </w:r>
            <w:r w:rsidR="00373663" w:rsidRPr="009E06AA">
              <w:t>.</w:t>
            </w:r>
          </w:p>
        </w:tc>
      </w:tr>
      <w:tr w:rsidR="00AD187C" w:rsidRPr="009E06AA" w14:paraId="6C5C54CF" w14:textId="77777777" w:rsidTr="00B55F24">
        <w:tc>
          <w:tcPr>
            <w:tcW w:w="514" w:type="dxa"/>
            <w:shd w:val="clear" w:color="auto" w:fill="FFFFFF"/>
            <w:tcMar>
              <w:top w:w="0" w:type="dxa"/>
              <w:left w:w="85" w:type="dxa"/>
              <w:bottom w:w="0" w:type="dxa"/>
              <w:right w:w="85" w:type="dxa"/>
            </w:tcMar>
          </w:tcPr>
          <w:p w14:paraId="0A127E08" w14:textId="77777777" w:rsidR="00AD187C" w:rsidRPr="009E06AA" w:rsidRDefault="00AD187C" w:rsidP="00B55F24">
            <w:pPr>
              <w:pStyle w:val="TableText"/>
            </w:pPr>
            <w:r w:rsidRPr="009E06AA">
              <w:t>16</w:t>
            </w:r>
          </w:p>
        </w:tc>
        <w:tc>
          <w:tcPr>
            <w:tcW w:w="1500" w:type="dxa"/>
            <w:shd w:val="clear" w:color="auto" w:fill="FFFFFF"/>
            <w:tcMar>
              <w:top w:w="0" w:type="dxa"/>
              <w:left w:w="85" w:type="dxa"/>
              <w:bottom w:w="0" w:type="dxa"/>
              <w:right w:w="85" w:type="dxa"/>
            </w:tcMar>
          </w:tcPr>
          <w:p w14:paraId="0279B9CC" w14:textId="77777777" w:rsidR="00AD187C" w:rsidRPr="009E06AA" w:rsidRDefault="00AD187C" w:rsidP="00B55F24">
            <w:pPr>
              <w:pStyle w:val="TableText"/>
            </w:pPr>
            <w:r w:rsidRPr="009E06AA">
              <w:t>PCRAFI</w:t>
            </w:r>
          </w:p>
        </w:tc>
        <w:tc>
          <w:tcPr>
            <w:tcW w:w="2664" w:type="dxa"/>
            <w:shd w:val="clear" w:color="auto" w:fill="FFFFFF"/>
            <w:tcMar>
              <w:top w:w="0" w:type="dxa"/>
              <w:left w:w="85" w:type="dxa"/>
              <w:bottom w:w="0" w:type="dxa"/>
              <w:right w:w="85" w:type="dxa"/>
            </w:tcMar>
          </w:tcPr>
          <w:p w14:paraId="12D98621" w14:textId="77777777" w:rsidR="00AD187C" w:rsidRPr="009E06AA" w:rsidRDefault="00AD187C" w:rsidP="00B55F24">
            <w:pPr>
              <w:pStyle w:val="TableText"/>
            </w:pPr>
            <w:r w:rsidRPr="009E06AA">
              <w:t>Koroisamanunu</w:t>
            </w:r>
            <w:r w:rsidRPr="009E06AA">
              <w:rPr>
                <w:rFonts w:eastAsia="Calibri" w:cs="Calibri"/>
                <w:szCs w:val="16"/>
              </w:rPr>
              <w:t>,</w:t>
            </w:r>
            <w:r w:rsidRPr="009E06AA">
              <w:t xml:space="preserve"> Iva</w:t>
            </w:r>
            <w:r w:rsidRPr="009E06AA">
              <w:rPr>
                <w:rFonts w:eastAsia="Calibri" w:cs="Calibri"/>
                <w:szCs w:val="16"/>
              </w:rPr>
              <w:t>; Joy</w:t>
            </w:r>
            <w:r w:rsidRPr="009E06AA">
              <w:t xml:space="preserve"> Papao</w:t>
            </w:r>
            <w:r w:rsidRPr="009E06AA">
              <w:rPr>
                <w:rFonts w:eastAsia="Calibri" w:cs="Calibri"/>
                <w:szCs w:val="16"/>
              </w:rPr>
              <w:t>; Mereoni</w:t>
            </w:r>
            <w:r w:rsidRPr="009E06AA">
              <w:t xml:space="preserve"> Ketewai</w:t>
            </w:r>
            <w:r w:rsidRPr="009E06AA">
              <w:rPr>
                <w:rFonts w:eastAsia="Calibri" w:cs="Calibri"/>
                <w:szCs w:val="16"/>
              </w:rPr>
              <w:t>; and Arieta</w:t>
            </w:r>
            <w:r w:rsidRPr="009E06AA">
              <w:t xml:space="preserve"> Sokota</w:t>
            </w:r>
            <w:r w:rsidRPr="009E06AA">
              <w:rPr>
                <w:rFonts w:eastAsia="Calibri" w:cs="Calibri"/>
                <w:szCs w:val="16"/>
              </w:rPr>
              <w:t>:</w:t>
            </w:r>
            <w:r w:rsidRPr="009E06AA">
              <w:t> Mission Preliminary Report (Fieldwork undertaken from 8 August – 2 September 2013). SOPAC technical note (PR193</w:t>
            </w:r>
            <w:r w:rsidRPr="009E06AA">
              <w:rPr>
                <w:rFonts w:eastAsia="Calibri" w:cs="Calibri"/>
                <w:szCs w:val="16"/>
              </w:rPr>
              <w:t>), May 2014.</w:t>
            </w:r>
            <w:r w:rsidRPr="009E06AA">
              <w:t xml:space="preserve"> Water and Sanitation Programme and Disaster Reduction Programme. Applied Geoscience and Technology Division (SOPAC), Suva, Fiji Islands</w:t>
            </w:r>
          </w:p>
        </w:tc>
        <w:tc>
          <w:tcPr>
            <w:tcW w:w="3827" w:type="dxa"/>
            <w:shd w:val="clear" w:color="auto" w:fill="FFFFFF"/>
            <w:tcMar>
              <w:top w:w="0" w:type="dxa"/>
              <w:left w:w="85" w:type="dxa"/>
              <w:bottom w:w="0" w:type="dxa"/>
              <w:right w:w="85" w:type="dxa"/>
            </w:tcMar>
          </w:tcPr>
          <w:p w14:paraId="3DFB4A40" w14:textId="7C193679" w:rsidR="00AD187C" w:rsidRPr="009E06AA" w:rsidRDefault="00AD187C" w:rsidP="00B55F24">
            <w:pPr>
              <w:pStyle w:val="TableText"/>
            </w:pPr>
            <w:r w:rsidRPr="009E06AA">
              <w:t>Information on drinking water, wastewater and sanitation</w:t>
            </w:r>
            <w:r w:rsidR="00373663" w:rsidRPr="009E06AA">
              <w:t>.</w:t>
            </w:r>
          </w:p>
        </w:tc>
      </w:tr>
      <w:tr w:rsidR="00AD187C" w:rsidRPr="009E06AA" w14:paraId="50F8186C" w14:textId="77777777" w:rsidTr="00B55F24">
        <w:tc>
          <w:tcPr>
            <w:tcW w:w="514" w:type="dxa"/>
            <w:shd w:val="clear" w:color="auto" w:fill="FFFFFF"/>
            <w:tcMar>
              <w:top w:w="0" w:type="dxa"/>
              <w:left w:w="85" w:type="dxa"/>
              <w:bottom w:w="0" w:type="dxa"/>
              <w:right w:w="85" w:type="dxa"/>
            </w:tcMar>
          </w:tcPr>
          <w:p w14:paraId="2D2E880E" w14:textId="77777777" w:rsidR="00AD187C" w:rsidRPr="009E06AA" w:rsidRDefault="00AD187C" w:rsidP="00B55F24">
            <w:pPr>
              <w:pStyle w:val="TableText"/>
            </w:pPr>
            <w:r w:rsidRPr="009E06AA">
              <w:t>17</w:t>
            </w:r>
          </w:p>
        </w:tc>
        <w:tc>
          <w:tcPr>
            <w:tcW w:w="1500" w:type="dxa"/>
            <w:shd w:val="clear" w:color="auto" w:fill="FFFFFF"/>
            <w:tcMar>
              <w:top w:w="0" w:type="dxa"/>
              <w:left w:w="85" w:type="dxa"/>
              <w:bottom w:w="0" w:type="dxa"/>
              <w:right w:w="85" w:type="dxa"/>
            </w:tcMar>
          </w:tcPr>
          <w:p w14:paraId="6D26487D" w14:textId="77777777" w:rsidR="00AD187C" w:rsidRPr="009E06AA" w:rsidRDefault="00AD187C" w:rsidP="00B55F24">
            <w:pPr>
              <w:pStyle w:val="TableText"/>
            </w:pPr>
            <w:r w:rsidRPr="009E06AA">
              <w:t>MiCORE</w:t>
            </w:r>
          </w:p>
        </w:tc>
        <w:tc>
          <w:tcPr>
            <w:tcW w:w="2664" w:type="dxa"/>
            <w:shd w:val="clear" w:color="auto" w:fill="FFFFFF"/>
            <w:tcMar>
              <w:top w:w="0" w:type="dxa"/>
              <w:left w:w="85" w:type="dxa"/>
              <w:bottom w:w="0" w:type="dxa"/>
              <w:right w:w="85" w:type="dxa"/>
            </w:tcMar>
          </w:tcPr>
          <w:p w14:paraId="70B7E795" w14:textId="77777777" w:rsidR="00AD187C" w:rsidRPr="009E06AA" w:rsidRDefault="00AD187C" w:rsidP="00B55F24">
            <w:pPr>
              <w:pStyle w:val="TableText"/>
            </w:pPr>
            <w:r w:rsidRPr="009E06AA">
              <w:t>Tokelau Ministry of Climate, Oceans and Resilience</w:t>
            </w:r>
          </w:p>
        </w:tc>
        <w:tc>
          <w:tcPr>
            <w:tcW w:w="3827" w:type="dxa"/>
            <w:shd w:val="clear" w:color="auto" w:fill="FFFFFF"/>
            <w:tcMar>
              <w:top w:w="0" w:type="dxa"/>
              <w:left w:w="85" w:type="dxa"/>
              <w:bottom w:w="0" w:type="dxa"/>
              <w:right w:w="85" w:type="dxa"/>
            </w:tcMar>
          </w:tcPr>
          <w:p w14:paraId="5A3C28DA" w14:textId="6E4BBC7C" w:rsidR="00AD187C" w:rsidRPr="009E06AA" w:rsidRDefault="00AD187C" w:rsidP="00B55F24">
            <w:pPr>
              <w:pStyle w:val="TableText"/>
            </w:pPr>
            <w:r w:rsidRPr="009E06AA">
              <w:t>Partner to Memorandum of Understanding with New Zealand Ministry for the Environment leading to</w:t>
            </w:r>
            <w:r w:rsidRPr="009E06AA">
              <w:rPr>
                <w:rFonts w:eastAsia="Calibri" w:cs="Calibri"/>
                <w:szCs w:val="16"/>
              </w:rPr>
              <w:t xml:space="preserve"> </w:t>
            </w:r>
            <w:r w:rsidRPr="009E06AA">
              <w:t>the present inventory</w:t>
            </w:r>
            <w:r w:rsidR="00373663" w:rsidRPr="009E06AA">
              <w:t>.</w:t>
            </w:r>
          </w:p>
        </w:tc>
      </w:tr>
    </w:tbl>
    <w:p w14:paraId="58CDD048" w14:textId="77777777" w:rsidR="00AD187C" w:rsidRPr="009E06AA" w:rsidRDefault="00AD187C" w:rsidP="00AD187C">
      <w:pPr>
        <w:pStyle w:val="Heading4"/>
        <w:spacing w:before="360"/>
      </w:pPr>
      <w:bookmarkStart w:id="3155" w:name="Xcc02e3b70565634eaff70f028a415dd9a5523ae"/>
      <w:bookmarkEnd w:id="3149"/>
      <w:r w:rsidRPr="009E06AA">
        <w:t>Tokelau’s data and information in the common reporting tables</w:t>
      </w:r>
    </w:p>
    <w:p w14:paraId="6ABC4D52" w14:textId="77777777" w:rsidR="00AD187C" w:rsidRPr="009E06AA" w:rsidRDefault="00AD187C" w:rsidP="00AD187C">
      <w:pPr>
        <w:pStyle w:val="BodyText"/>
      </w:pPr>
      <w:r w:rsidRPr="009E06AA">
        <w:t>The methodologies for estimating emissions in Tokelau and New Zealand differ, so adding Tokelau and New Zealand’s activity data at a category level and estimating combined emissions within each category is currently not possible. Due to limitations of the CRT, including specific categories for Tokelau consistently across all inventory sectors is also not possible.</w:t>
      </w:r>
    </w:p>
    <w:p w14:paraId="54EF2398" w14:textId="77777777" w:rsidR="00AD187C" w:rsidRPr="009E06AA" w:rsidRDefault="00AD187C" w:rsidP="00AD187C">
      <w:pPr>
        <w:pStyle w:val="BodyText"/>
        <w:spacing w:after="100"/>
      </w:pPr>
      <w:r w:rsidRPr="009E06AA">
        <w:t>Tokelau requested New Zealand’s inventory team to maintain visibility of the data from Tokelau in the CRT, so that Tokelau officials could use them for other reporting and policy purposes. Reporting Tokelau as a different inventory sector provides this visibility.</w:t>
      </w:r>
    </w:p>
    <w:p w14:paraId="75357221" w14:textId="77777777" w:rsidR="00AD187C" w:rsidRPr="009E06AA" w:rsidRDefault="00AD187C" w:rsidP="00AD187C">
      <w:pPr>
        <w:pStyle w:val="BodyText"/>
        <w:spacing w:before="100" w:after="100"/>
      </w:pPr>
      <w:r w:rsidRPr="009E06AA">
        <w:t>To maintain transparency of the inventory and visibility of the GHG data from Tokelau, CRT sector 6 (Other) was used to present emissions from Tokelau by sector in the CRT. Currently, the CRT environment does not allow the creation of lower-level categories in sector 6. To avoid double counting in the CRT, the data and information are aggregated for each of the Energy, IPPU, Agriculture and Waste sectors. In addition, annex 7 includes detailed tables with time series from 1990 to 2022 for each category reported for Tokelau. For comparability reasons, these tables are presented in a similar format to the CRT entry tables, and the table names follow the CRT naming convention for emission categories. The executive summary and chapter 2 of this National Inventory Report include comparisons between Tokelau and New Zealand’s emissions.</w:t>
      </w:r>
    </w:p>
    <w:p w14:paraId="1E685C1E" w14:textId="77777777" w:rsidR="00AD187C" w:rsidRPr="009E06AA" w:rsidRDefault="00AD187C" w:rsidP="00AD187C">
      <w:pPr>
        <w:pStyle w:val="Heading3"/>
        <w:spacing w:before="280"/>
      </w:pPr>
      <w:bookmarkStart w:id="3156" w:name="_Toc160205179"/>
      <w:bookmarkStart w:id="3157" w:name="_Toc160441764"/>
      <w:bookmarkStart w:id="3158" w:name="emissions-reporting"/>
      <w:bookmarkEnd w:id="3146"/>
      <w:bookmarkEnd w:id="3155"/>
      <w:r w:rsidRPr="009E06AA">
        <w:t>8.1.3</w:t>
      </w:r>
      <w:r w:rsidRPr="009E06AA">
        <w:tab/>
        <w:t>Emissions reporting</w:t>
      </w:r>
      <w:bookmarkEnd w:id="3156"/>
      <w:bookmarkEnd w:id="3157"/>
    </w:p>
    <w:p w14:paraId="24A2B5C1" w14:textId="77777777" w:rsidR="00AD187C" w:rsidRPr="009E06AA" w:rsidRDefault="00AD187C" w:rsidP="00AD187C">
      <w:pPr>
        <w:pStyle w:val="BodyText"/>
        <w:spacing w:before="100" w:after="100"/>
      </w:pPr>
      <w:r w:rsidRPr="009E06AA">
        <w:t>Due to the small land size area, small population and absence of industry, Tokelau has a very low impact on the environment and emits very small amounts of GHGs. In relative terms, emissions have increased overall since 1990, due to increasing per capita consumption despite a decrease in population. Tokelau produces mainly carbon dioxide (CO</w:t>
      </w:r>
      <w:r w:rsidRPr="009E06AA">
        <w:rPr>
          <w:vertAlign w:val="subscript"/>
        </w:rPr>
        <w:t>2</w:t>
      </w:r>
      <w:r w:rsidRPr="009E06AA">
        <w:t>) emissions (59.3 per cent) and methane (CH</w:t>
      </w:r>
      <w:r w:rsidRPr="009E06AA">
        <w:rPr>
          <w:vertAlign w:val="subscript"/>
        </w:rPr>
        <w:t>4</w:t>
      </w:r>
      <w:r w:rsidRPr="009E06AA">
        <w:t>) emissions (35.3 per cent) followed by hydrofluorocarbons (HFCs) (4.5 per cent) and nitrous oxide (N</w:t>
      </w:r>
      <w:r w:rsidRPr="009E06AA">
        <w:rPr>
          <w:vertAlign w:val="subscript"/>
        </w:rPr>
        <w:t>2</w:t>
      </w:r>
      <w:r w:rsidRPr="009E06AA">
        <w:t>O) emissions (0.9 per cent). Emissions from HFCs largely come from the use of domestic fridges and freezers.</w:t>
      </w:r>
    </w:p>
    <w:p w14:paraId="11237233" w14:textId="77777777" w:rsidR="00AD187C" w:rsidRPr="009E06AA" w:rsidRDefault="00AD187C" w:rsidP="00AD187C">
      <w:pPr>
        <w:pStyle w:val="BodyText"/>
        <w:spacing w:before="100" w:after="100"/>
      </w:pPr>
      <w:r w:rsidRPr="009E06AA">
        <w:t>The total amount of all GHGs from all sources in Tokelau in 2022 was 4.69 kilotonnes carbon dioxide equivalent (kt CO</w:t>
      </w:r>
      <w:r w:rsidRPr="009E06AA">
        <w:rPr>
          <w:vertAlign w:val="subscript"/>
        </w:rPr>
        <w:t>2</w:t>
      </w:r>
      <w:r w:rsidRPr="009E06AA">
        <w:t xml:space="preserve">-e), contributing around 0.006 per cent to New Zealand’s gross emissions. This is below the significance threshold </w:t>
      </w:r>
      <w:r w:rsidRPr="009E06AA">
        <w:rPr>
          <w:szCs w:val="16"/>
        </w:rPr>
        <w:t>in accordance with paragraph 32, chapter II of the Annex to the decision 18/CMA.1 (UNFCCC, 2018b</w:t>
      </w:r>
      <w:r w:rsidRPr="009E06AA">
        <w:t xml:space="preserve">). </w:t>
      </w:r>
    </w:p>
    <w:p w14:paraId="17E0D423" w14:textId="31C97870" w:rsidR="00AD187C" w:rsidRPr="009E06AA" w:rsidRDefault="00AD187C" w:rsidP="00AD187C">
      <w:pPr>
        <w:pStyle w:val="BodyText"/>
        <w:spacing w:before="100" w:after="100"/>
      </w:pPr>
      <w:r w:rsidRPr="009E06AA">
        <w:t>Emissions from Tokelau have increased since 1990, mainly due to increases in CO</w:t>
      </w:r>
      <w:r w:rsidRPr="009E06AA">
        <w:rPr>
          <w:vertAlign w:val="subscript"/>
        </w:rPr>
        <w:t>2</w:t>
      </w:r>
      <w:r w:rsidRPr="009E06AA">
        <w:t xml:space="preserve"> emissions from the </w:t>
      </w:r>
      <w:r w:rsidRPr="009E06AA">
        <w:rPr>
          <w:i/>
          <w:iCs/>
        </w:rPr>
        <w:t>Domestic navigation</w:t>
      </w:r>
      <w:r w:rsidRPr="009E06AA">
        <w:t xml:space="preserve"> category (see figure</w:t>
      </w:r>
      <w:r w:rsidR="00501486" w:rsidRPr="009E06AA">
        <w:t>s</w:t>
      </w:r>
      <w:r w:rsidRPr="009E06AA">
        <w:t xml:space="preserve"> 8.</w:t>
      </w:r>
      <w:r w:rsidR="00501486" w:rsidRPr="009E06AA">
        <w:t>1.</w:t>
      </w:r>
      <w:r w:rsidRPr="009E06AA">
        <w:t>4</w:t>
      </w:r>
      <w:r w:rsidR="00501486" w:rsidRPr="009E06AA">
        <w:t xml:space="preserve"> and</w:t>
      </w:r>
      <w:r w:rsidR="00DA541E" w:rsidRPr="009E06AA">
        <w:t xml:space="preserve"> 8.3.2</w:t>
      </w:r>
      <w:r w:rsidRPr="009E06AA">
        <w:t>).</w:t>
      </w:r>
    </w:p>
    <w:p w14:paraId="273712BD" w14:textId="77777777" w:rsidR="00AD187C" w:rsidRPr="009E06AA" w:rsidRDefault="00AD187C" w:rsidP="00AD187C">
      <w:pPr>
        <w:pStyle w:val="BodyText"/>
        <w:spacing w:after="100"/>
      </w:pPr>
      <w:r w:rsidRPr="009E06AA">
        <w:t>The emissions in Tokelau are limited to:</w:t>
      </w:r>
    </w:p>
    <w:p w14:paraId="06D6B634" w14:textId="77777777" w:rsidR="00AD187C" w:rsidRPr="009E06AA" w:rsidRDefault="00AD187C" w:rsidP="00AD187C">
      <w:pPr>
        <w:pStyle w:val="Bullet"/>
        <w:spacing w:after="100"/>
      </w:pPr>
      <w:r w:rsidRPr="009E06AA">
        <w:t>CO</w:t>
      </w:r>
      <w:r w:rsidRPr="009E06AA">
        <w:rPr>
          <w:vertAlign w:val="subscript"/>
        </w:rPr>
        <w:t>2</w:t>
      </w:r>
      <w:r w:rsidRPr="009E06AA">
        <w:t xml:space="preserve"> from boat engines and vehicles</w:t>
      </w:r>
    </w:p>
    <w:p w14:paraId="76189EB0" w14:textId="77777777" w:rsidR="00AD187C" w:rsidRPr="009E06AA" w:rsidRDefault="00AD187C" w:rsidP="00AD187C">
      <w:pPr>
        <w:pStyle w:val="Bullet"/>
        <w:spacing w:after="100"/>
      </w:pPr>
      <w:r w:rsidRPr="009E06AA">
        <w:t>CO</w:t>
      </w:r>
      <w:r w:rsidRPr="009E06AA">
        <w:rPr>
          <w:vertAlign w:val="subscript"/>
        </w:rPr>
        <w:t>2</w:t>
      </w:r>
      <w:r w:rsidRPr="009E06AA">
        <w:t xml:space="preserve"> from back-up power generators</w:t>
      </w:r>
    </w:p>
    <w:p w14:paraId="298CAFD0" w14:textId="77777777" w:rsidR="00AD187C" w:rsidRPr="009E06AA" w:rsidRDefault="00AD187C" w:rsidP="00AD187C">
      <w:pPr>
        <w:pStyle w:val="Bullet"/>
        <w:spacing w:after="100"/>
      </w:pPr>
      <w:r w:rsidRPr="009E06AA">
        <w:t>fluorinated gases from the use of refrigerants</w:t>
      </w:r>
    </w:p>
    <w:p w14:paraId="15418B5E" w14:textId="77777777" w:rsidR="00AD187C" w:rsidRPr="009E06AA" w:rsidRDefault="00AD187C" w:rsidP="00AD187C">
      <w:pPr>
        <w:pStyle w:val="Bullet"/>
        <w:spacing w:after="100"/>
      </w:pPr>
      <w:r w:rsidRPr="009E06AA">
        <w:t>CH</w:t>
      </w:r>
      <w:r w:rsidRPr="009E06AA">
        <w:rPr>
          <w:vertAlign w:val="subscript"/>
        </w:rPr>
        <w:t>4</w:t>
      </w:r>
      <w:r w:rsidRPr="009E06AA">
        <w:t xml:space="preserve"> and N</w:t>
      </w:r>
      <w:r w:rsidRPr="009E06AA">
        <w:rPr>
          <w:vertAlign w:val="subscript"/>
        </w:rPr>
        <w:t>2</w:t>
      </w:r>
      <w:r w:rsidRPr="009E06AA">
        <w:t>O from livestock (pigs and poultry)</w:t>
      </w:r>
    </w:p>
    <w:p w14:paraId="0E8C4F99" w14:textId="77777777" w:rsidR="00AD187C" w:rsidRPr="009E06AA" w:rsidRDefault="00AD187C" w:rsidP="00AD187C">
      <w:pPr>
        <w:pStyle w:val="Bullet"/>
        <w:spacing w:after="100"/>
      </w:pPr>
      <w:r w:rsidRPr="009E06AA">
        <w:t>CH</w:t>
      </w:r>
      <w:r w:rsidRPr="009E06AA">
        <w:rPr>
          <w:vertAlign w:val="subscript"/>
        </w:rPr>
        <w:t>4</w:t>
      </w:r>
      <w:r w:rsidRPr="009E06AA">
        <w:t>, CO</w:t>
      </w:r>
      <w:r w:rsidRPr="009E06AA">
        <w:rPr>
          <w:vertAlign w:val="subscript"/>
        </w:rPr>
        <w:t>2</w:t>
      </w:r>
      <w:r w:rsidRPr="009E06AA">
        <w:t xml:space="preserve"> and N</w:t>
      </w:r>
      <w:r w:rsidRPr="009E06AA">
        <w:rPr>
          <w:vertAlign w:val="subscript"/>
        </w:rPr>
        <w:t>2</w:t>
      </w:r>
      <w:r w:rsidRPr="009E06AA">
        <w:t>O from waste.</w:t>
      </w:r>
    </w:p>
    <w:p w14:paraId="37D647C5" w14:textId="77777777" w:rsidR="00AD187C" w:rsidRPr="009E06AA" w:rsidRDefault="00AD187C" w:rsidP="00AD187C">
      <w:pPr>
        <w:pStyle w:val="Heading4"/>
      </w:pPr>
      <w:r w:rsidRPr="009E06AA">
        <w:t>2022</w:t>
      </w:r>
    </w:p>
    <w:p w14:paraId="328C2A55" w14:textId="77777777" w:rsidR="00AD187C" w:rsidRPr="009E06AA" w:rsidRDefault="00AD187C" w:rsidP="00AD187C">
      <w:pPr>
        <w:pStyle w:val="BodyText"/>
        <w:spacing w:before="100" w:after="100"/>
      </w:pPr>
      <w:r w:rsidRPr="009E06AA">
        <w:t>In 2022, emissions from Tokelau contributed 0.006 per cent (4.69 kt CO</w:t>
      </w:r>
      <w:r w:rsidRPr="009E06AA">
        <w:rPr>
          <w:vertAlign w:val="subscript"/>
        </w:rPr>
        <w:t>2</w:t>
      </w:r>
      <w:r w:rsidRPr="009E06AA">
        <w:t>-e) of New Zealand’s gross GHG emissions.</w:t>
      </w:r>
    </w:p>
    <w:p w14:paraId="4640C995" w14:textId="77777777" w:rsidR="00AD187C" w:rsidRPr="009E06AA" w:rsidRDefault="00AD187C" w:rsidP="00AD187C">
      <w:pPr>
        <w:pStyle w:val="BodyText"/>
        <w:spacing w:before="100" w:after="100"/>
      </w:pPr>
      <w:r w:rsidRPr="009E06AA">
        <w:t xml:space="preserve">The largest source category is </w:t>
      </w:r>
      <w:r w:rsidRPr="009E06AA">
        <w:rPr>
          <w:i/>
          <w:iCs/>
        </w:rPr>
        <w:t>Electricity generation</w:t>
      </w:r>
      <w:r w:rsidRPr="009E06AA">
        <w:t>, which contributed 48.5 per cent (1.34 kt CO</w:t>
      </w:r>
      <w:r w:rsidRPr="009E06AA">
        <w:rPr>
          <w:vertAlign w:val="subscript"/>
        </w:rPr>
        <w:t>2</w:t>
      </w:r>
      <w:r w:rsidRPr="009E06AA">
        <w:t>-e) of all energy emissions and 28.6 per cent of gross emissions from Tokelau.</w:t>
      </w:r>
    </w:p>
    <w:p w14:paraId="3E8236A4" w14:textId="77777777" w:rsidR="00AD187C" w:rsidRPr="009E06AA" w:rsidRDefault="00AD187C" w:rsidP="00AD187C">
      <w:pPr>
        <w:pStyle w:val="BodyText"/>
        <w:spacing w:before="100" w:after="100"/>
      </w:pPr>
      <w:r w:rsidRPr="009E06AA">
        <w:t>Carbon dioxide dominated emissions from Tokelau, contributing 59.3 per cent (2.78 kt CO</w:t>
      </w:r>
      <w:r w:rsidRPr="009E06AA">
        <w:rPr>
          <w:vertAlign w:val="subscript"/>
        </w:rPr>
        <w:t>2</w:t>
      </w:r>
      <w:r w:rsidRPr="009E06AA">
        <w:t>-e) of its total emissions in 2022. At 2.74 kt CO</w:t>
      </w:r>
      <w:r w:rsidRPr="009E06AA">
        <w:rPr>
          <w:vertAlign w:val="subscript"/>
        </w:rPr>
        <w:t>2</w:t>
      </w:r>
      <w:r w:rsidRPr="009E06AA">
        <w:t>, the Energy sector contributed 98.6 per cent of total CO</w:t>
      </w:r>
      <w:r w:rsidRPr="009E06AA">
        <w:rPr>
          <w:vertAlign w:val="subscript"/>
        </w:rPr>
        <w:t>2</w:t>
      </w:r>
      <w:r w:rsidRPr="009E06AA">
        <w:t xml:space="preserve"> emissions, mostly from </w:t>
      </w:r>
      <w:r w:rsidRPr="009E06AA">
        <w:rPr>
          <w:i/>
          <w:iCs/>
        </w:rPr>
        <w:t>Electricity generation</w:t>
      </w:r>
      <w:r w:rsidRPr="009E06AA">
        <w:t xml:space="preserve">; with the remaining 1.4 per cent (0.04 kt) coming from </w:t>
      </w:r>
      <w:r w:rsidRPr="009E06AA">
        <w:rPr>
          <w:i/>
          <w:iCs/>
        </w:rPr>
        <w:t>Open burning of waste</w:t>
      </w:r>
      <w:r w:rsidRPr="009E06AA">
        <w:t xml:space="preserve"> in the Waste sector.</w:t>
      </w:r>
    </w:p>
    <w:p w14:paraId="2476FF6E" w14:textId="77777777" w:rsidR="00AD187C" w:rsidRPr="009E06AA" w:rsidRDefault="00AD187C" w:rsidP="00AD187C">
      <w:pPr>
        <w:pStyle w:val="BodyText"/>
      </w:pPr>
      <w:r w:rsidRPr="009E06AA">
        <w:t>Methane emissions contributed 35.3 per cent (1.66 kt CO</w:t>
      </w:r>
      <w:r w:rsidRPr="009E06AA">
        <w:rPr>
          <w:vertAlign w:val="subscript"/>
        </w:rPr>
        <w:t>2</w:t>
      </w:r>
      <w:r w:rsidRPr="009E06AA">
        <w:t>-e) to the total emissions from Tokelau. The Agriculture sector in Tokelau contributed 55.7 per cent of CH</w:t>
      </w:r>
      <w:r w:rsidRPr="009E06AA">
        <w:rPr>
          <w:vertAlign w:val="subscript"/>
        </w:rPr>
        <w:t>4</w:t>
      </w:r>
      <w:r w:rsidRPr="009E06AA">
        <w:t xml:space="preserve"> emissions (0.92 kt CO</w:t>
      </w:r>
      <w:r w:rsidRPr="009E06AA">
        <w:rPr>
          <w:vertAlign w:val="subscript"/>
        </w:rPr>
        <w:t>2</w:t>
      </w:r>
      <w:r w:rsidRPr="009E06AA">
        <w:t xml:space="preserve">-e), which mostly came from </w:t>
      </w:r>
      <w:r w:rsidRPr="009E06AA">
        <w:rPr>
          <w:i/>
          <w:iCs/>
        </w:rPr>
        <w:t>Manure management</w:t>
      </w:r>
      <w:r w:rsidRPr="009E06AA">
        <w:t>. A significant portion of CH</w:t>
      </w:r>
      <w:r w:rsidRPr="009E06AA">
        <w:rPr>
          <w:vertAlign w:val="subscript"/>
        </w:rPr>
        <w:t>4</w:t>
      </w:r>
      <w:r w:rsidRPr="009E06AA">
        <w:t xml:space="preserve"> emissions, 43.8 per cent (0.72 kt CO</w:t>
      </w:r>
      <w:r w:rsidRPr="009E06AA">
        <w:rPr>
          <w:vertAlign w:val="subscript"/>
        </w:rPr>
        <w:t>2</w:t>
      </w:r>
      <w:r w:rsidRPr="009E06AA">
        <w:t xml:space="preserve">-e), came from the Waste sector, largely from </w:t>
      </w:r>
      <w:r w:rsidRPr="009E06AA">
        <w:rPr>
          <w:i/>
          <w:iCs/>
        </w:rPr>
        <w:t>Solid waste disposal</w:t>
      </w:r>
      <w:r w:rsidRPr="009E06AA">
        <w:t>. The Energy sector contributed the remaining 0.5 per cent of CH</w:t>
      </w:r>
      <w:r w:rsidRPr="009E06AA">
        <w:rPr>
          <w:vertAlign w:val="subscript"/>
        </w:rPr>
        <w:t>4</w:t>
      </w:r>
      <w:r w:rsidRPr="009E06AA">
        <w:t xml:space="preserve"> emissions (0.01 kt CO</w:t>
      </w:r>
      <w:r w:rsidRPr="009E06AA">
        <w:rPr>
          <w:vertAlign w:val="subscript"/>
        </w:rPr>
        <w:t>2</w:t>
      </w:r>
      <w:r w:rsidRPr="009E06AA">
        <w:t xml:space="preserve">-e), which mostly came from </w:t>
      </w:r>
      <w:r w:rsidRPr="009E06AA">
        <w:rPr>
          <w:i/>
          <w:iCs/>
        </w:rPr>
        <w:t>Domestic navigation</w:t>
      </w:r>
      <w:r w:rsidRPr="009E06AA">
        <w:t>.</w:t>
      </w:r>
    </w:p>
    <w:p w14:paraId="0431EE3D" w14:textId="77777777" w:rsidR="00AD187C" w:rsidRPr="009E06AA" w:rsidRDefault="00AD187C" w:rsidP="00AD187C">
      <w:pPr>
        <w:pStyle w:val="BodyText"/>
      </w:pPr>
      <w:r w:rsidRPr="009E06AA">
        <w:t>Nitrous oxide emissions contributed 0.9 per cent (0.04 kt CO</w:t>
      </w:r>
      <w:r w:rsidRPr="009E06AA">
        <w:rPr>
          <w:vertAlign w:val="subscript"/>
        </w:rPr>
        <w:t>2</w:t>
      </w:r>
      <w:r w:rsidRPr="009E06AA">
        <w:t>-e) to the total emissions from Tokelau. The IPPU sector (</w:t>
      </w:r>
      <w:r w:rsidRPr="009E06AA">
        <w:rPr>
          <w:i/>
          <w:iCs/>
        </w:rPr>
        <w:t>Medical applications</w:t>
      </w:r>
      <w:r w:rsidRPr="009E06AA">
        <w:t>) contributed the largest amount of N</w:t>
      </w:r>
      <w:r w:rsidRPr="009E06AA">
        <w:rPr>
          <w:vertAlign w:val="subscript"/>
        </w:rPr>
        <w:t>2</w:t>
      </w:r>
      <w:r w:rsidRPr="009E06AA">
        <w:t>O, 47.5 per cent (0.02 kt CO</w:t>
      </w:r>
      <w:r w:rsidRPr="009E06AA">
        <w:rPr>
          <w:vertAlign w:val="subscript"/>
        </w:rPr>
        <w:t>2</w:t>
      </w:r>
      <w:r w:rsidRPr="009E06AA">
        <w:t>-e) of the total N</w:t>
      </w:r>
      <w:r w:rsidRPr="009E06AA">
        <w:rPr>
          <w:vertAlign w:val="subscript"/>
        </w:rPr>
        <w:t>2</w:t>
      </w:r>
      <w:r w:rsidRPr="009E06AA">
        <w:t>O. The Energy sector contributed a further 29.0 per cent (0.01 kt CO</w:t>
      </w:r>
      <w:r w:rsidRPr="009E06AA">
        <w:rPr>
          <w:vertAlign w:val="subscript"/>
        </w:rPr>
        <w:t>2</w:t>
      </w:r>
      <w:r w:rsidRPr="009E06AA">
        <w:t xml:space="preserve">-e), which comes largely from </w:t>
      </w:r>
      <w:r w:rsidRPr="009E06AA">
        <w:rPr>
          <w:i/>
          <w:iCs/>
        </w:rPr>
        <w:t>Domestic navigation</w:t>
      </w:r>
      <w:r w:rsidRPr="009E06AA">
        <w:t>. The Waste sector contributed the remaining 23.5 per cent of N</w:t>
      </w:r>
      <w:r w:rsidRPr="009E06AA">
        <w:rPr>
          <w:vertAlign w:val="subscript"/>
        </w:rPr>
        <w:t>2</w:t>
      </w:r>
      <w:r w:rsidRPr="009E06AA">
        <w:t xml:space="preserve">O (0.01 kt CO2-e) from </w:t>
      </w:r>
      <w:r w:rsidRPr="009E06AA">
        <w:rPr>
          <w:i/>
          <w:iCs/>
        </w:rPr>
        <w:t>Open burning</w:t>
      </w:r>
      <w:r w:rsidRPr="009E06AA">
        <w:t>.</w:t>
      </w:r>
    </w:p>
    <w:p w14:paraId="0A8D5462" w14:textId="77777777" w:rsidR="00AD187C" w:rsidRPr="009E06AA" w:rsidRDefault="00AD187C" w:rsidP="00AD187C">
      <w:pPr>
        <w:pStyle w:val="BodyText"/>
      </w:pPr>
      <w:r w:rsidRPr="009E06AA">
        <w:t>Emissions of fluorinated gases from Tokelau consisted of HFC emissions only, contributing 4.5 per cent (0.21 kt CO</w:t>
      </w:r>
      <w:r w:rsidRPr="009E06AA">
        <w:rPr>
          <w:vertAlign w:val="subscript"/>
        </w:rPr>
        <w:t>2</w:t>
      </w:r>
      <w:r w:rsidRPr="009E06AA">
        <w:t xml:space="preserve">-e) to the total emissions from Tokelau. These emissions largely result from the use of </w:t>
      </w:r>
      <w:r w:rsidRPr="009E06AA">
        <w:rPr>
          <w:i/>
          <w:iCs/>
        </w:rPr>
        <w:t>Air conditioning</w:t>
      </w:r>
      <w:r w:rsidRPr="009E06AA">
        <w:t>. Emissions of perfluorocarbons (PFCs), nitrogen trifluoride and sulphur hexafluoride do not occur in Tokelau.</w:t>
      </w:r>
    </w:p>
    <w:p w14:paraId="6AEAEC3F" w14:textId="77777777" w:rsidR="00AD187C" w:rsidRPr="009E06AA" w:rsidRDefault="00AD187C" w:rsidP="00AD187C">
      <w:pPr>
        <w:pStyle w:val="BodyText"/>
      </w:pPr>
      <w:r w:rsidRPr="009E06AA">
        <w:t>Figures 8.1.2 and 8.1.3 show emissions from Tokelau by gas and by sector.</w:t>
      </w:r>
    </w:p>
    <w:p w14:paraId="51761303" w14:textId="77777777" w:rsidR="00AD187C" w:rsidRPr="009E06AA" w:rsidRDefault="00AD187C" w:rsidP="00AD187C">
      <w:pPr>
        <w:pStyle w:val="Figure"/>
      </w:pPr>
      <w:bookmarkStart w:id="3159" w:name="_Toc5269722"/>
      <w:bookmarkStart w:id="3160" w:name="_Toc36292825"/>
      <w:bookmarkStart w:id="3161" w:name="_Toc64972932"/>
      <w:bookmarkStart w:id="3162" w:name="_Toc68786689"/>
      <w:bookmarkStart w:id="3163" w:name="_Toc130211297"/>
      <w:bookmarkStart w:id="3164" w:name="_Toc131591582"/>
      <w:bookmarkStart w:id="3165" w:name="_Toc160205427"/>
      <w:bookmarkStart w:id="3166" w:name="_Toc160441564"/>
      <w:bookmarkStart w:id="3167" w:name="_Toc164154050"/>
      <w:r w:rsidRPr="009E06AA">
        <w:rPr>
          <w:bCs/>
        </w:rPr>
        <w:t xml:space="preserve">Figure 8.1.2 </w:t>
      </w:r>
      <w:r w:rsidRPr="009E06AA">
        <w:rPr>
          <w:bCs/>
        </w:rPr>
        <w:tab/>
        <w:t xml:space="preserve">Tokelau’s emissions by gas in </w:t>
      </w:r>
      <w:bookmarkEnd w:id="3159"/>
      <w:bookmarkEnd w:id="3160"/>
      <w:bookmarkEnd w:id="3161"/>
      <w:bookmarkEnd w:id="3162"/>
      <w:bookmarkEnd w:id="3163"/>
      <w:bookmarkEnd w:id="3164"/>
      <w:r w:rsidRPr="009E06AA">
        <w:rPr>
          <w:bCs/>
        </w:rPr>
        <w:t>2022</w:t>
      </w:r>
      <w:bookmarkEnd w:id="3165"/>
      <w:bookmarkEnd w:id="3166"/>
      <w:bookmarkEnd w:id="3167"/>
    </w:p>
    <w:p w14:paraId="39C44A1C" w14:textId="77777777" w:rsidR="00AD187C" w:rsidRPr="009E06AA" w:rsidRDefault="00AD187C" w:rsidP="00AD187C">
      <w:pPr>
        <w:pStyle w:val="BodyText"/>
      </w:pPr>
      <w:bookmarkStart w:id="3168" w:name="_Toc5269723"/>
      <w:r w:rsidRPr="009E06AA">
        <w:rPr>
          <w:noProof/>
        </w:rPr>
        <w:drawing>
          <wp:inline distT="0" distB="0" distL="0" distR="0" wp14:anchorId="69860D05" wp14:editId="56AE6E01">
            <wp:extent cx="5397478" cy="2576883"/>
            <wp:effectExtent l="0" t="0" r="0" b="0"/>
            <wp:docPr id="193926626" name="Picture 193926626" descr="A graph of a number of percent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33" name="Picture" descr="A graph of a number of percents&#10;&#10;Description automatically generated with medium confidence"/>
                    <pic:cNvPicPr>
                      <a:picLocks noChangeAspect="1" noChangeArrowheads="1"/>
                    </pic:cNvPicPr>
                  </pic:nvPicPr>
                  <pic:blipFill rotWithShape="1">
                    <a:blip r:embed="rId178"/>
                    <a:srcRect t="12542"/>
                    <a:stretch/>
                  </pic:blipFill>
                  <pic:spPr bwMode="auto">
                    <a:xfrm>
                      <a:off x="0" y="0"/>
                      <a:ext cx="5397500" cy="2576893"/>
                    </a:xfrm>
                    <a:prstGeom prst="rect">
                      <a:avLst/>
                    </a:prstGeom>
                    <a:noFill/>
                    <a:ln>
                      <a:noFill/>
                    </a:ln>
                    <a:extLst>
                      <a:ext uri="{53640926-AAD7-44D8-BBD7-CCE9431645EC}">
                        <a14:shadowObscured xmlns:a14="http://schemas.microsoft.com/office/drawing/2010/main"/>
                      </a:ext>
                    </a:extLst>
                  </pic:spPr>
                </pic:pic>
              </a:graphicData>
            </a:graphic>
          </wp:inline>
        </w:drawing>
      </w:r>
    </w:p>
    <w:p w14:paraId="3A5BDCDA" w14:textId="77777777" w:rsidR="00AD187C" w:rsidRPr="009E06AA" w:rsidRDefault="00AD187C" w:rsidP="00AD187C">
      <w:pPr>
        <w:pStyle w:val="Figure"/>
        <w:spacing w:before="240"/>
      </w:pPr>
      <w:bookmarkStart w:id="3169" w:name="_Toc36292826"/>
      <w:bookmarkStart w:id="3170" w:name="_Toc64972933"/>
      <w:bookmarkStart w:id="3171" w:name="_Toc68786690"/>
      <w:bookmarkStart w:id="3172" w:name="_Toc130211298"/>
      <w:bookmarkStart w:id="3173" w:name="_Toc131591583"/>
      <w:bookmarkStart w:id="3174" w:name="_Toc160205428"/>
      <w:bookmarkStart w:id="3175" w:name="_Toc160441565"/>
      <w:bookmarkStart w:id="3176" w:name="_Toc164154051"/>
      <w:r w:rsidRPr="009E06AA">
        <w:rPr>
          <w:bCs/>
        </w:rPr>
        <w:t xml:space="preserve">Figure 8.1.3 </w:t>
      </w:r>
      <w:r w:rsidRPr="009E06AA">
        <w:rPr>
          <w:bCs/>
        </w:rPr>
        <w:tab/>
        <w:t xml:space="preserve">Tokelau’s emissions by sector in </w:t>
      </w:r>
      <w:bookmarkEnd w:id="3168"/>
      <w:bookmarkEnd w:id="3169"/>
      <w:bookmarkEnd w:id="3170"/>
      <w:bookmarkEnd w:id="3171"/>
      <w:bookmarkEnd w:id="3172"/>
      <w:bookmarkEnd w:id="3173"/>
      <w:r w:rsidRPr="009E06AA">
        <w:rPr>
          <w:bCs/>
        </w:rPr>
        <w:t>2022</w:t>
      </w:r>
      <w:bookmarkEnd w:id="3174"/>
      <w:bookmarkEnd w:id="3175"/>
      <w:bookmarkEnd w:id="3176"/>
    </w:p>
    <w:p w14:paraId="71347860" w14:textId="77777777" w:rsidR="00AD187C" w:rsidRPr="009E06AA" w:rsidRDefault="00AD187C" w:rsidP="00AD187C">
      <w:pPr>
        <w:pStyle w:val="BodyText"/>
      </w:pPr>
      <w:r w:rsidRPr="009E06AA">
        <w:rPr>
          <w:noProof/>
        </w:rPr>
        <w:drawing>
          <wp:inline distT="0" distB="0" distL="0" distR="0" wp14:anchorId="7CBEF97F" wp14:editId="457674DF">
            <wp:extent cx="5396192" cy="1682524"/>
            <wp:effectExtent l="0" t="0" r="0" b="0"/>
            <wp:docPr id="36" name="Picture 36" descr="A graph of a number of peopl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36" name="Picture" descr="A graph of a number of people&#10;&#10;Description automatically generated with medium confidence"/>
                    <pic:cNvPicPr>
                      <a:picLocks noChangeAspect="1" noChangeArrowheads="1"/>
                    </pic:cNvPicPr>
                  </pic:nvPicPr>
                  <pic:blipFill rotWithShape="1">
                    <a:blip r:embed="rId179"/>
                    <a:srcRect t="26524"/>
                    <a:stretch/>
                  </pic:blipFill>
                  <pic:spPr bwMode="auto">
                    <a:xfrm>
                      <a:off x="0" y="0"/>
                      <a:ext cx="5397500" cy="1682932"/>
                    </a:xfrm>
                    <a:prstGeom prst="rect">
                      <a:avLst/>
                    </a:prstGeom>
                    <a:noFill/>
                    <a:ln>
                      <a:noFill/>
                    </a:ln>
                    <a:extLst>
                      <a:ext uri="{53640926-AAD7-44D8-BBD7-CCE9431645EC}">
                        <a14:shadowObscured xmlns:a14="http://schemas.microsoft.com/office/drawing/2010/main"/>
                      </a:ext>
                    </a:extLst>
                  </pic:spPr>
                </pic:pic>
              </a:graphicData>
            </a:graphic>
          </wp:inline>
        </w:drawing>
      </w:r>
    </w:p>
    <w:p w14:paraId="04FAEB45" w14:textId="77777777" w:rsidR="00AD187C" w:rsidRPr="009E06AA" w:rsidRDefault="00AD187C" w:rsidP="00AD187C">
      <w:pPr>
        <w:pStyle w:val="Heading4"/>
      </w:pPr>
      <w:r w:rsidRPr="009E06AA">
        <w:t>1990–2022</w:t>
      </w:r>
    </w:p>
    <w:p w14:paraId="29207B3A" w14:textId="77777777" w:rsidR="00AD187C" w:rsidRPr="009E06AA" w:rsidRDefault="00AD187C" w:rsidP="00AD187C">
      <w:pPr>
        <w:pStyle w:val="BodyText"/>
      </w:pPr>
      <w:r w:rsidRPr="009E06AA">
        <w:t>In 1990, total emissions from Tokelau were 3.37 kt CO</w:t>
      </w:r>
      <w:r w:rsidRPr="009E06AA">
        <w:rPr>
          <w:vertAlign w:val="subscript"/>
        </w:rPr>
        <w:t>2</w:t>
      </w:r>
      <w:r w:rsidRPr="009E06AA">
        <w:t>-e. Between 1990 and 2022, total emissions increased by 38.9 per cent (1.31 kt CO</w:t>
      </w:r>
      <w:r w:rsidRPr="009E06AA">
        <w:rPr>
          <w:vertAlign w:val="subscript"/>
        </w:rPr>
        <w:t>2</w:t>
      </w:r>
      <w:r w:rsidRPr="009E06AA">
        <w:t>-e) to 4.69 kt CO</w:t>
      </w:r>
      <w:r w:rsidRPr="009E06AA">
        <w:rPr>
          <w:vertAlign w:val="subscript"/>
        </w:rPr>
        <w:t>2</w:t>
      </w:r>
      <w:r w:rsidRPr="009E06AA">
        <w:t>-e (table 8.1.2 and figure 8.1.4). From 1990 to 2022, the average annual increase in gross emissions was 1.24 per cent.</w:t>
      </w:r>
    </w:p>
    <w:p w14:paraId="5E242CA5" w14:textId="77777777" w:rsidR="00AD187C" w:rsidRPr="009E06AA" w:rsidRDefault="00AD187C" w:rsidP="00AD187C">
      <w:pPr>
        <w:pStyle w:val="BodyText"/>
      </w:pPr>
      <w:r w:rsidRPr="009E06AA">
        <w:t xml:space="preserve">The increase was largely due to changes in the Energy sector. The emission categories that contributed the most to this change were </w:t>
      </w:r>
      <w:r w:rsidRPr="009E06AA">
        <w:rPr>
          <w:i/>
          <w:iCs/>
        </w:rPr>
        <w:t>Domestic navigation</w:t>
      </w:r>
      <w:r w:rsidRPr="009E06AA">
        <w:t xml:space="preserve"> and </w:t>
      </w:r>
      <w:r w:rsidRPr="009E06AA">
        <w:rPr>
          <w:i/>
          <w:iCs/>
        </w:rPr>
        <w:t>Electricity generation</w:t>
      </w:r>
      <w:r w:rsidRPr="009E06AA">
        <w:t>.</w:t>
      </w:r>
    </w:p>
    <w:p w14:paraId="2CD1A835" w14:textId="27EBD0A2" w:rsidR="00AD187C" w:rsidRPr="009E06AA" w:rsidRDefault="00AD187C" w:rsidP="00AD187C">
      <w:pPr>
        <w:pStyle w:val="BodyText"/>
      </w:pPr>
      <w:r w:rsidRPr="009E06AA">
        <w:t xml:space="preserve">The changes in </w:t>
      </w:r>
      <w:r w:rsidRPr="009E06AA">
        <w:rPr>
          <w:i/>
          <w:iCs/>
        </w:rPr>
        <w:t>Domestic navigation</w:t>
      </w:r>
      <w:r w:rsidRPr="009E06AA">
        <w:t xml:space="preserve"> are a result of Tokelau gaining ownership and use of the ferry </w:t>
      </w:r>
      <w:r w:rsidRPr="009E06AA">
        <w:rPr>
          <w:i/>
          <w:iCs/>
        </w:rPr>
        <w:t>Mataliki</w:t>
      </w:r>
      <w:r w:rsidRPr="009E06AA">
        <w:t xml:space="preserve"> in 2016, cargo vessel </w:t>
      </w:r>
      <w:r w:rsidRPr="009E06AA">
        <w:rPr>
          <w:i/>
          <w:iCs/>
        </w:rPr>
        <w:t>Kalopaga</w:t>
      </w:r>
      <w:r w:rsidRPr="009E06AA">
        <w:t xml:space="preserve"> in 2018 and </w:t>
      </w:r>
      <w:r w:rsidRPr="009E06AA">
        <w:rPr>
          <w:i/>
          <w:iCs/>
        </w:rPr>
        <w:t>Fetu o te Moana</w:t>
      </w:r>
      <w:r w:rsidRPr="009E06AA">
        <w:t xml:space="preserve"> in 2019, leading to an increasing number of sea voyages between the atolls, which increased transport emissions. The changes in Tokelau’s Energy sector emissions from </w:t>
      </w:r>
      <w:r w:rsidRPr="009E06AA">
        <w:rPr>
          <w:i/>
          <w:iCs/>
        </w:rPr>
        <w:t>Electricity generation</w:t>
      </w:r>
      <w:r w:rsidRPr="009E06AA">
        <w:t xml:space="preserve"> drive the overall emissions trend observed across most of the time series. Initially, up until 20</w:t>
      </w:r>
      <w:r w:rsidR="00CA7302" w:rsidRPr="009E06AA">
        <w:t>03</w:t>
      </w:r>
      <w:r w:rsidRPr="009E06AA">
        <w:t xml:space="preserve">, emissions from this source were relatively stable. A significant increase in emissions was then observed (of nearly 400 per cent) due to an increase in the use of diesel generators for electricity production occurring between 2003 and 2011. This was followed by a significant drop in emissions occurring in 2012 and 2013 (by 82.5 per cent), when solar electricity generation began. Toward the end of the time series, diesel generator use increased again as the generation from solar power decreased, with emissions increasing accordingly. </w:t>
      </w:r>
    </w:p>
    <w:p w14:paraId="022ED32C" w14:textId="77777777" w:rsidR="00AD187C" w:rsidRPr="009E06AA" w:rsidRDefault="00AD187C" w:rsidP="00AD187C">
      <w:pPr>
        <w:pStyle w:val="BodyText"/>
      </w:pPr>
      <w:r w:rsidRPr="009E06AA">
        <w:t>Emissions from Tokelau’s IPPU sector have also increased mainly due to the introduction of air conditioning after 2006. Emissions from Tokelau’s Agriculture sector decreased slightly as a result of a reduced population of pigs.</w:t>
      </w:r>
    </w:p>
    <w:p w14:paraId="5967F143" w14:textId="77777777" w:rsidR="00AD187C" w:rsidRPr="009E06AA" w:rsidRDefault="00AD187C" w:rsidP="00AD187C">
      <w:pPr>
        <w:pStyle w:val="Table"/>
      </w:pPr>
      <w:bookmarkStart w:id="3177" w:name="_Toc36224675"/>
      <w:bookmarkStart w:id="3178" w:name="_Toc68786561"/>
      <w:bookmarkStart w:id="3179" w:name="_Toc130211268"/>
      <w:bookmarkStart w:id="3180" w:name="_Toc131591469"/>
      <w:bookmarkStart w:id="3181" w:name="_Toc160205505"/>
      <w:bookmarkStart w:id="3182" w:name="_Toc160441624"/>
      <w:bookmarkStart w:id="3183" w:name="_Toc164153960"/>
      <w:bookmarkStart w:id="3184" w:name="_Toc5269724"/>
      <w:r w:rsidRPr="009E06AA">
        <w:t xml:space="preserve">Table 8.1.2 </w:t>
      </w:r>
      <w:r w:rsidRPr="009E06AA">
        <w:tab/>
        <w:t>Gross emissions from Tokelau by gas in 1990 and</w:t>
      </w:r>
      <w:bookmarkEnd w:id="3177"/>
      <w:bookmarkEnd w:id="3178"/>
      <w:bookmarkEnd w:id="3179"/>
      <w:bookmarkEnd w:id="3180"/>
      <w:r w:rsidRPr="009E06AA">
        <w:t xml:space="preserve"> 2022</w:t>
      </w:r>
      <w:bookmarkEnd w:id="3181"/>
      <w:bookmarkEnd w:id="3182"/>
      <w:bookmarkEnd w:id="3183"/>
    </w:p>
    <w:tbl>
      <w:tblPr>
        <w:tblW w:w="8505"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151"/>
        <w:gridCol w:w="1015"/>
        <w:gridCol w:w="1015"/>
        <w:gridCol w:w="2087"/>
        <w:gridCol w:w="1237"/>
      </w:tblGrid>
      <w:tr w:rsidR="00AD187C" w:rsidRPr="009E06AA" w14:paraId="28FA1425" w14:textId="77777777" w:rsidTr="00B55F24">
        <w:trPr>
          <w:tblHeader/>
        </w:trPr>
        <w:tc>
          <w:tcPr>
            <w:tcW w:w="0" w:type="auto"/>
            <w:shd w:val="clear" w:color="auto" w:fill="1B556B"/>
            <w:tcMar>
              <w:top w:w="0" w:type="dxa"/>
              <w:left w:w="85" w:type="dxa"/>
              <w:bottom w:w="0" w:type="dxa"/>
              <w:right w:w="85" w:type="dxa"/>
            </w:tcMar>
          </w:tcPr>
          <w:p w14:paraId="039F6C9D" w14:textId="77777777" w:rsidR="00AD187C" w:rsidRPr="009E06AA" w:rsidRDefault="00AD187C" w:rsidP="00B55F24">
            <w:pPr>
              <w:pStyle w:val="TableTextBold"/>
              <w:rPr>
                <w:noProof w:val="0"/>
                <w:color w:val="FFFFFF" w:themeColor="background1"/>
                <w:szCs w:val="16"/>
              </w:rPr>
            </w:pPr>
            <w:r w:rsidRPr="009E06AA">
              <w:rPr>
                <w:rFonts w:eastAsia="Calibri"/>
                <w:noProof w:val="0"/>
                <w:color w:val="FFFFFF" w:themeColor="background1"/>
                <w:szCs w:val="16"/>
              </w:rPr>
              <w:t xml:space="preserve"> </w:t>
            </w:r>
          </w:p>
        </w:tc>
        <w:tc>
          <w:tcPr>
            <w:tcW w:w="0" w:type="auto"/>
            <w:gridSpan w:val="2"/>
            <w:shd w:val="clear" w:color="auto" w:fill="1B556B"/>
            <w:tcMar>
              <w:top w:w="0" w:type="dxa"/>
              <w:left w:w="85" w:type="dxa"/>
              <w:bottom w:w="0" w:type="dxa"/>
              <w:right w:w="85" w:type="dxa"/>
            </w:tcMar>
          </w:tcPr>
          <w:p w14:paraId="16168247" w14:textId="77777777" w:rsidR="00AD187C" w:rsidRPr="009E06AA" w:rsidRDefault="00AD187C" w:rsidP="00482537">
            <w:pPr>
              <w:pStyle w:val="TableTextBold"/>
              <w:jc w:val="right"/>
              <w:rPr>
                <w:noProof w:val="0"/>
                <w:color w:val="FFFFFF" w:themeColor="background1"/>
                <w:szCs w:val="16"/>
              </w:rPr>
            </w:pPr>
            <w:r w:rsidRPr="009E06AA">
              <w:rPr>
                <w:rFonts w:eastAsia="Calibri"/>
                <w:noProof w:val="0"/>
                <w:color w:val="FFFFFF" w:themeColor="background1"/>
                <w:szCs w:val="16"/>
              </w:rPr>
              <w:t>Emissions (kt CO₂-e)</w:t>
            </w:r>
          </w:p>
        </w:tc>
        <w:tc>
          <w:tcPr>
            <w:tcW w:w="0" w:type="auto"/>
            <w:shd w:val="clear" w:color="auto" w:fill="1B556B"/>
            <w:tcMar>
              <w:top w:w="0" w:type="dxa"/>
              <w:left w:w="85" w:type="dxa"/>
              <w:bottom w:w="0" w:type="dxa"/>
              <w:right w:w="85" w:type="dxa"/>
            </w:tcMar>
          </w:tcPr>
          <w:p w14:paraId="78909CF4" w14:textId="77777777" w:rsidR="00AD187C" w:rsidRPr="009E06AA" w:rsidRDefault="00AD187C" w:rsidP="000179F3">
            <w:pPr>
              <w:pStyle w:val="TableTextBold"/>
              <w:jc w:val="right"/>
              <w:rPr>
                <w:noProof w:val="0"/>
                <w:color w:val="FFFFFF" w:themeColor="background1"/>
                <w:szCs w:val="16"/>
              </w:rPr>
            </w:pPr>
            <w:r w:rsidRPr="009E06AA">
              <w:rPr>
                <w:rFonts w:eastAsia="Calibri"/>
                <w:noProof w:val="0"/>
                <w:color w:val="FFFFFF" w:themeColor="background1"/>
                <w:szCs w:val="16"/>
              </w:rPr>
              <w:t>Difference (kt CO₂-e)</w:t>
            </w:r>
          </w:p>
        </w:tc>
        <w:tc>
          <w:tcPr>
            <w:tcW w:w="0" w:type="auto"/>
            <w:shd w:val="clear" w:color="auto" w:fill="1B556B"/>
            <w:tcMar>
              <w:top w:w="0" w:type="dxa"/>
              <w:left w:w="85" w:type="dxa"/>
              <w:bottom w:w="0" w:type="dxa"/>
              <w:right w:w="85" w:type="dxa"/>
            </w:tcMar>
          </w:tcPr>
          <w:p w14:paraId="5EE24190" w14:textId="77777777" w:rsidR="00AD187C" w:rsidRPr="009E06AA" w:rsidRDefault="00AD187C" w:rsidP="000179F3">
            <w:pPr>
              <w:pStyle w:val="TableTextBold"/>
              <w:jc w:val="right"/>
              <w:rPr>
                <w:noProof w:val="0"/>
                <w:color w:val="FFFFFF" w:themeColor="background1"/>
                <w:szCs w:val="16"/>
              </w:rPr>
            </w:pPr>
            <w:r w:rsidRPr="009E06AA">
              <w:rPr>
                <w:rFonts w:eastAsia="Calibri"/>
                <w:noProof w:val="0"/>
                <w:color w:val="FFFFFF" w:themeColor="background1"/>
                <w:szCs w:val="16"/>
              </w:rPr>
              <w:t>Change (%)</w:t>
            </w:r>
          </w:p>
        </w:tc>
      </w:tr>
      <w:tr w:rsidR="00AD187C" w:rsidRPr="009E06AA" w14:paraId="664AE196" w14:textId="77777777" w:rsidTr="00B55F24">
        <w:tc>
          <w:tcPr>
            <w:tcW w:w="0" w:type="auto"/>
            <w:shd w:val="clear" w:color="auto" w:fill="FFFFFF"/>
            <w:tcMar>
              <w:top w:w="0" w:type="dxa"/>
              <w:left w:w="85" w:type="dxa"/>
              <w:bottom w:w="0" w:type="dxa"/>
              <w:right w:w="85" w:type="dxa"/>
            </w:tcMar>
          </w:tcPr>
          <w:p w14:paraId="1CE39953" w14:textId="77777777" w:rsidR="00AD187C" w:rsidRPr="009E06AA" w:rsidRDefault="00AD187C" w:rsidP="00B55F24">
            <w:pPr>
              <w:pStyle w:val="TableText"/>
              <w:rPr>
                <w:b/>
                <w:bCs/>
                <w:szCs w:val="16"/>
              </w:rPr>
            </w:pPr>
            <w:r w:rsidRPr="009E06AA">
              <w:rPr>
                <w:b/>
                <w:bCs/>
                <w:color w:val="1B556B"/>
                <w:szCs w:val="16"/>
              </w:rPr>
              <w:t>Direct greenhouse gas emissions</w:t>
            </w:r>
          </w:p>
        </w:tc>
        <w:tc>
          <w:tcPr>
            <w:tcW w:w="0" w:type="auto"/>
            <w:shd w:val="clear" w:color="auto" w:fill="FFFFFF"/>
            <w:tcMar>
              <w:top w:w="0" w:type="dxa"/>
              <w:left w:w="85" w:type="dxa"/>
              <w:bottom w:w="0" w:type="dxa"/>
              <w:right w:w="85" w:type="dxa"/>
            </w:tcMar>
          </w:tcPr>
          <w:p w14:paraId="627DBC5F" w14:textId="77777777" w:rsidR="00AD187C" w:rsidRPr="009E06AA" w:rsidRDefault="00AD187C" w:rsidP="000179F3">
            <w:pPr>
              <w:pStyle w:val="TableText"/>
              <w:jc w:val="right"/>
              <w:rPr>
                <w:b/>
                <w:bCs/>
                <w:szCs w:val="16"/>
              </w:rPr>
            </w:pPr>
            <w:r w:rsidRPr="009E06AA">
              <w:rPr>
                <w:rFonts w:eastAsia="Calibri"/>
                <w:b/>
                <w:bCs/>
                <w:color w:val="1B556B"/>
                <w:szCs w:val="16"/>
              </w:rPr>
              <w:t>1990</w:t>
            </w:r>
          </w:p>
        </w:tc>
        <w:tc>
          <w:tcPr>
            <w:tcW w:w="0" w:type="auto"/>
            <w:shd w:val="clear" w:color="auto" w:fill="FFFFFF"/>
            <w:tcMar>
              <w:top w:w="0" w:type="dxa"/>
              <w:left w:w="85" w:type="dxa"/>
              <w:bottom w:w="0" w:type="dxa"/>
              <w:right w:w="85" w:type="dxa"/>
            </w:tcMar>
          </w:tcPr>
          <w:p w14:paraId="0CB083B3" w14:textId="77777777" w:rsidR="00AD187C" w:rsidRPr="009E06AA" w:rsidRDefault="00AD187C" w:rsidP="000179F3">
            <w:pPr>
              <w:pStyle w:val="TableText"/>
              <w:jc w:val="right"/>
              <w:rPr>
                <w:b/>
                <w:bCs/>
                <w:szCs w:val="16"/>
              </w:rPr>
            </w:pPr>
            <w:r w:rsidRPr="009E06AA">
              <w:rPr>
                <w:rFonts w:eastAsia="Calibri"/>
                <w:b/>
                <w:bCs/>
                <w:color w:val="1B556B"/>
                <w:szCs w:val="16"/>
              </w:rPr>
              <w:t>2022</w:t>
            </w:r>
          </w:p>
        </w:tc>
        <w:tc>
          <w:tcPr>
            <w:tcW w:w="0" w:type="auto"/>
            <w:shd w:val="clear" w:color="auto" w:fill="FFFFFF"/>
            <w:tcMar>
              <w:top w:w="0" w:type="dxa"/>
              <w:left w:w="85" w:type="dxa"/>
              <w:bottom w:w="0" w:type="dxa"/>
              <w:right w:w="85" w:type="dxa"/>
            </w:tcMar>
          </w:tcPr>
          <w:p w14:paraId="6AB90ED1" w14:textId="77777777" w:rsidR="00AD187C" w:rsidRPr="009E06AA" w:rsidRDefault="00AD187C" w:rsidP="000179F3">
            <w:pPr>
              <w:pStyle w:val="TableText"/>
              <w:jc w:val="right"/>
              <w:rPr>
                <w:b/>
                <w:bCs/>
                <w:szCs w:val="16"/>
              </w:rPr>
            </w:pPr>
            <w:r w:rsidRPr="009E06AA">
              <w:rPr>
                <w:b/>
                <w:bCs/>
                <w:color w:val="1B556B"/>
                <w:szCs w:val="16"/>
              </w:rPr>
              <w:t>1990</w:t>
            </w:r>
            <w:r w:rsidRPr="009E06AA">
              <w:rPr>
                <w:rFonts w:eastAsia="Calibri"/>
                <w:b/>
                <w:bCs/>
                <w:color w:val="1B556B"/>
                <w:szCs w:val="16"/>
              </w:rPr>
              <w:t>–2022</w:t>
            </w:r>
          </w:p>
        </w:tc>
        <w:tc>
          <w:tcPr>
            <w:tcW w:w="0" w:type="auto"/>
            <w:shd w:val="clear" w:color="auto" w:fill="FFFFFF"/>
            <w:tcMar>
              <w:top w:w="0" w:type="dxa"/>
              <w:left w:w="85" w:type="dxa"/>
              <w:bottom w:w="0" w:type="dxa"/>
              <w:right w:w="85" w:type="dxa"/>
            </w:tcMar>
          </w:tcPr>
          <w:p w14:paraId="587A48E2" w14:textId="77777777" w:rsidR="00AD187C" w:rsidRPr="009E06AA" w:rsidRDefault="00AD187C" w:rsidP="000179F3">
            <w:pPr>
              <w:pStyle w:val="TableText"/>
              <w:jc w:val="right"/>
              <w:rPr>
                <w:b/>
                <w:bCs/>
                <w:szCs w:val="16"/>
              </w:rPr>
            </w:pPr>
            <w:r w:rsidRPr="009E06AA">
              <w:rPr>
                <w:b/>
                <w:bCs/>
                <w:color w:val="1B556B"/>
                <w:szCs w:val="16"/>
              </w:rPr>
              <w:t>1990</w:t>
            </w:r>
            <w:r w:rsidRPr="009E06AA">
              <w:rPr>
                <w:rFonts w:eastAsia="Calibri"/>
                <w:b/>
                <w:bCs/>
                <w:color w:val="1B556B"/>
                <w:szCs w:val="16"/>
              </w:rPr>
              <w:t>–2022</w:t>
            </w:r>
          </w:p>
        </w:tc>
      </w:tr>
      <w:tr w:rsidR="00AD187C" w:rsidRPr="009E06AA" w14:paraId="77171A0C" w14:textId="77777777" w:rsidTr="00B55F24">
        <w:tc>
          <w:tcPr>
            <w:tcW w:w="0" w:type="auto"/>
            <w:shd w:val="clear" w:color="auto" w:fill="FFFFFF"/>
            <w:tcMar>
              <w:top w:w="0" w:type="dxa"/>
              <w:left w:w="85" w:type="dxa"/>
              <w:bottom w:w="0" w:type="dxa"/>
              <w:right w:w="85" w:type="dxa"/>
            </w:tcMar>
          </w:tcPr>
          <w:p w14:paraId="61BD2F60" w14:textId="77777777" w:rsidR="00AD187C" w:rsidRPr="009E06AA" w:rsidRDefault="00AD187C" w:rsidP="00B55F24">
            <w:pPr>
              <w:pStyle w:val="TableText"/>
              <w:rPr>
                <w:szCs w:val="16"/>
              </w:rPr>
            </w:pPr>
            <w:r w:rsidRPr="009E06AA">
              <w:rPr>
                <w:rFonts w:eastAsia="Calibri"/>
                <w:color w:val="000000"/>
                <w:szCs w:val="16"/>
              </w:rPr>
              <w:t>CO₂</w:t>
            </w:r>
          </w:p>
        </w:tc>
        <w:tc>
          <w:tcPr>
            <w:tcW w:w="0" w:type="auto"/>
            <w:shd w:val="clear" w:color="auto" w:fill="FFFFFF"/>
            <w:tcMar>
              <w:top w:w="0" w:type="dxa"/>
              <w:left w:w="85" w:type="dxa"/>
              <w:bottom w:w="0" w:type="dxa"/>
              <w:right w:w="85" w:type="dxa"/>
            </w:tcMar>
          </w:tcPr>
          <w:p w14:paraId="31CF67B1" w14:textId="77777777" w:rsidR="00AD187C" w:rsidRPr="009E06AA" w:rsidRDefault="00AD187C" w:rsidP="000179F3">
            <w:pPr>
              <w:pStyle w:val="TableText"/>
              <w:jc w:val="right"/>
              <w:rPr>
                <w:szCs w:val="16"/>
              </w:rPr>
            </w:pPr>
            <w:r w:rsidRPr="009E06AA">
              <w:rPr>
                <w:color w:val="000000"/>
                <w:szCs w:val="16"/>
              </w:rPr>
              <w:t>1.30</w:t>
            </w:r>
          </w:p>
        </w:tc>
        <w:tc>
          <w:tcPr>
            <w:tcW w:w="0" w:type="auto"/>
            <w:shd w:val="clear" w:color="auto" w:fill="FFFFFF"/>
            <w:tcMar>
              <w:top w:w="0" w:type="dxa"/>
              <w:left w:w="85" w:type="dxa"/>
              <w:bottom w:w="0" w:type="dxa"/>
              <w:right w:w="85" w:type="dxa"/>
            </w:tcMar>
          </w:tcPr>
          <w:p w14:paraId="7CC9C7C4" w14:textId="77777777" w:rsidR="00AD187C" w:rsidRPr="009E06AA" w:rsidRDefault="00AD187C" w:rsidP="000179F3">
            <w:pPr>
              <w:pStyle w:val="TableText"/>
              <w:jc w:val="right"/>
              <w:rPr>
                <w:szCs w:val="16"/>
              </w:rPr>
            </w:pPr>
            <w:r w:rsidRPr="009E06AA">
              <w:rPr>
                <w:color w:val="000000"/>
                <w:szCs w:val="16"/>
              </w:rPr>
              <w:t>2.</w:t>
            </w:r>
            <w:r w:rsidRPr="009E06AA">
              <w:rPr>
                <w:rFonts w:eastAsia="Calibri"/>
                <w:color w:val="000000"/>
                <w:szCs w:val="16"/>
              </w:rPr>
              <w:t>78</w:t>
            </w:r>
          </w:p>
        </w:tc>
        <w:tc>
          <w:tcPr>
            <w:tcW w:w="0" w:type="auto"/>
            <w:shd w:val="clear" w:color="auto" w:fill="FFFFFF"/>
            <w:tcMar>
              <w:top w:w="0" w:type="dxa"/>
              <w:left w:w="85" w:type="dxa"/>
              <w:bottom w:w="0" w:type="dxa"/>
              <w:right w:w="85" w:type="dxa"/>
            </w:tcMar>
          </w:tcPr>
          <w:p w14:paraId="64019B91" w14:textId="77777777" w:rsidR="00AD187C" w:rsidRPr="009E06AA" w:rsidRDefault="00AD187C" w:rsidP="000179F3">
            <w:pPr>
              <w:pStyle w:val="TableText"/>
              <w:jc w:val="right"/>
              <w:rPr>
                <w:szCs w:val="16"/>
              </w:rPr>
            </w:pPr>
            <w:r w:rsidRPr="009E06AA">
              <w:rPr>
                <w:rFonts w:eastAsia="Calibri"/>
                <w:color w:val="000000"/>
                <w:szCs w:val="16"/>
              </w:rPr>
              <w:t>1.48</w:t>
            </w:r>
          </w:p>
        </w:tc>
        <w:tc>
          <w:tcPr>
            <w:tcW w:w="0" w:type="auto"/>
            <w:shd w:val="clear" w:color="auto" w:fill="FFFFFF"/>
            <w:tcMar>
              <w:top w:w="0" w:type="dxa"/>
              <w:left w:w="85" w:type="dxa"/>
              <w:bottom w:w="0" w:type="dxa"/>
              <w:right w:w="85" w:type="dxa"/>
            </w:tcMar>
          </w:tcPr>
          <w:p w14:paraId="2CBA0323" w14:textId="77777777" w:rsidR="00AD187C" w:rsidRPr="009E06AA" w:rsidRDefault="00AD187C" w:rsidP="000179F3">
            <w:pPr>
              <w:pStyle w:val="TableText"/>
              <w:jc w:val="right"/>
              <w:rPr>
                <w:szCs w:val="16"/>
              </w:rPr>
            </w:pPr>
            <w:r w:rsidRPr="009E06AA">
              <w:rPr>
                <w:rFonts w:eastAsia="Calibri"/>
                <w:color w:val="000000"/>
                <w:szCs w:val="16"/>
              </w:rPr>
              <w:t>114.0</w:t>
            </w:r>
          </w:p>
        </w:tc>
      </w:tr>
      <w:tr w:rsidR="00AD187C" w:rsidRPr="009E06AA" w14:paraId="0AE05807" w14:textId="77777777" w:rsidTr="00B55F24">
        <w:tc>
          <w:tcPr>
            <w:tcW w:w="0" w:type="auto"/>
            <w:shd w:val="clear" w:color="auto" w:fill="FFFFFF"/>
            <w:tcMar>
              <w:top w:w="0" w:type="dxa"/>
              <w:left w:w="85" w:type="dxa"/>
              <w:bottom w:w="0" w:type="dxa"/>
              <w:right w:w="85" w:type="dxa"/>
            </w:tcMar>
          </w:tcPr>
          <w:p w14:paraId="4C4F3160" w14:textId="77777777" w:rsidR="00AD187C" w:rsidRPr="009E06AA" w:rsidRDefault="00AD187C" w:rsidP="00B55F24">
            <w:pPr>
              <w:pStyle w:val="TableText"/>
              <w:rPr>
                <w:szCs w:val="16"/>
              </w:rPr>
            </w:pPr>
            <w:r w:rsidRPr="009E06AA">
              <w:rPr>
                <w:rFonts w:eastAsia="Calibri"/>
                <w:color w:val="000000"/>
                <w:szCs w:val="16"/>
              </w:rPr>
              <w:t>CH₄</w:t>
            </w:r>
          </w:p>
        </w:tc>
        <w:tc>
          <w:tcPr>
            <w:tcW w:w="0" w:type="auto"/>
            <w:shd w:val="clear" w:color="auto" w:fill="FFFFFF"/>
            <w:tcMar>
              <w:top w:w="0" w:type="dxa"/>
              <w:left w:w="85" w:type="dxa"/>
              <w:bottom w:w="0" w:type="dxa"/>
              <w:right w:w="85" w:type="dxa"/>
            </w:tcMar>
          </w:tcPr>
          <w:p w14:paraId="152602D3" w14:textId="77777777" w:rsidR="00AD187C" w:rsidRPr="009E06AA" w:rsidRDefault="00AD187C" w:rsidP="000179F3">
            <w:pPr>
              <w:pStyle w:val="TableText"/>
              <w:jc w:val="right"/>
              <w:rPr>
                <w:szCs w:val="16"/>
              </w:rPr>
            </w:pPr>
            <w:r w:rsidRPr="009E06AA">
              <w:rPr>
                <w:rFonts w:eastAsia="Calibri"/>
                <w:color w:val="000000"/>
                <w:szCs w:val="16"/>
              </w:rPr>
              <w:t>2.00</w:t>
            </w:r>
          </w:p>
        </w:tc>
        <w:tc>
          <w:tcPr>
            <w:tcW w:w="0" w:type="auto"/>
            <w:shd w:val="clear" w:color="auto" w:fill="FFFFFF"/>
            <w:tcMar>
              <w:top w:w="0" w:type="dxa"/>
              <w:left w:w="85" w:type="dxa"/>
              <w:bottom w:w="0" w:type="dxa"/>
              <w:right w:w="85" w:type="dxa"/>
            </w:tcMar>
          </w:tcPr>
          <w:p w14:paraId="6E470F0C" w14:textId="77777777" w:rsidR="00AD187C" w:rsidRPr="009E06AA" w:rsidRDefault="00AD187C" w:rsidP="000179F3">
            <w:pPr>
              <w:pStyle w:val="TableText"/>
              <w:jc w:val="right"/>
              <w:rPr>
                <w:szCs w:val="16"/>
              </w:rPr>
            </w:pPr>
            <w:r w:rsidRPr="009E06AA">
              <w:rPr>
                <w:color w:val="000000"/>
                <w:szCs w:val="16"/>
              </w:rPr>
              <w:t>1.</w:t>
            </w:r>
            <w:r w:rsidRPr="009E06AA">
              <w:rPr>
                <w:rFonts w:eastAsia="Calibri"/>
                <w:color w:val="000000"/>
                <w:szCs w:val="16"/>
              </w:rPr>
              <w:t>66</w:t>
            </w:r>
          </w:p>
        </w:tc>
        <w:tc>
          <w:tcPr>
            <w:tcW w:w="0" w:type="auto"/>
            <w:shd w:val="clear" w:color="auto" w:fill="FFFFFF"/>
            <w:tcMar>
              <w:top w:w="0" w:type="dxa"/>
              <w:left w:w="85" w:type="dxa"/>
              <w:bottom w:w="0" w:type="dxa"/>
              <w:right w:w="85" w:type="dxa"/>
            </w:tcMar>
          </w:tcPr>
          <w:p w14:paraId="37193A9E" w14:textId="77777777" w:rsidR="00AD187C" w:rsidRPr="009E06AA" w:rsidRDefault="00AD187C" w:rsidP="000179F3">
            <w:pPr>
              <w:pStyle w:val="TableText"/>
              <w:jc w:val="right"/>
              <w:rPr>
                <w:szCs w:val="16"/>
              </w:rPr>
            </w:pPr>
            <w:r w:rsidRPr="009E06AA">
              <w:rPr>
                <w:rFonts w:eastAsia="Calibri"/>
                <w:color w:val="000000"/>
                <w:szCs w:val="16"/>
              </w:rPr>
              <w:t>-</w:t>
            </w:r>
            <w:r w:rsidRPr="009E06AA">
              <w:rPr>
                <w:color w:val="000000"/>
                <w:szCs w:val="16"/>
              </w:rPr>
              <w:t>0.</w:t>
            </w:r>
            <w:r w:rsidRPr="009E06AA">
              <w:rPr>
                <w:rFonts w:eastAsia="Calibri"/>
                <w:color w:val="000000"/>
                <w:szCs w:val="16"/>
              </w:rPr>
              <w:t>34</w:t>
            </w:r>
          </w:p>
        </w:tc>
        <w:tc>
          <w:tcPr>
            <w:tcW w:w="0" w:type="auto"/>
            <w:shd w:val="clear" w:color="auto" w:fill="FFFFFF"/>
            <w:tcMar>
              <w:top w:w="0" w:type="dxa"/>
              <w:left w:w="85" w:type="dxa"/>
              <w:bottom w:w="0" w:type="dxa"/>
              <w:right w:w="85" w:type="dxa"/>
            </w:tcMar>
          </w:tcPr>
          <w:p w14:paraId="5DEA9198" w14:textId="77777777" w:rsidR="00AD187C" w:rsidRPr="009E06AA" w:rsidRDefault="00AD187C" w:rsidP="000179F3">
            <w:pPr>
              <w:pStyle w:val="TableText"/>
              <w:jc w:val="right"/>
              <w:rPr>
                <w:szCs w:val="16"/>
              </w:rPr>
            </w:pPr>
            <w:r w:rsidRPr="009E06AA">
              <w:rPr>
                <w:rFonts w:eastAsia="Calibri"/>
                <w:color w:val="000000"/>
                <w:szCs w:val="16"/>
              </w:rPr>
              <w:t>-</w:t>
            </w:r>
            <w:r w:rsidRPr="009E06AA">
              <w:rPr>
                <w:color w:val="000000"/>
                <w:szCs w:val="16"/>
              </w:rPr>
              <w:t>17.</w:t>
            </w:r>
            <w:r w:rsidRPr="009E06AA">
              <w:rPr>
                <w:rFonts w:eastAsia="Calibri"/>
                <w:color w:val="000000"/>
                <w:szCs w:val="16"/>
              </w:rPr>
              <w:t>1</w:t>
            </w:r>
          </w:p>
        </w:tc>
      </w:tr>
      <w:tr w:rsidR="00AD187C" w:rsidRPr="009E06AA" w14:paraId="6EB9AC40" w14:textId="77777777" w:rsidTr="00B55F24">
        <w:tc>
          <w:tcPr>
            <w:tcW w:w="0" w:type="auto"/>
            <w:shd w:val="clear" w:color="auto" w:fill="FFFFFF"/>
            <w:tcMar>
              <w:top w:w="0" w:type="dxa"/>
              <w:left w:w="85" w:type="dxa"/>
              <w:bottom w:w="0" w:type="dxa"/>
              <w:right w:w="85" w:type="dxa"/>
            </w:tcMar>
          </w:tcPr>
          <w:p w14:paraId="5B9DB5EB" w14:textId="77777777" w:rsidR="00AD187C" w:rsidRPr="009E06AA" w:rsidRDefault="00AD187C" w:rsidP="00B55F24">
            <w:pPr>
              <w:pStyle w:val="TableText"/>
              <w:rPr>
                <w:szCs w:val="16"/>
              </w:rPr>
            </w:pPr>
            <w:r w:rsidRPr="009E06AA">
              <w:rPr>
                <w:rFonts w:eastAsia="Calibri"/>
                <w:color w:val="000000"/>
                <w:szCs w:val="16"/>
              </w:rPr>
              <w:t>N₂O</w:t>
            </w:r>
          </w:p>
        </w:tc>
        <w:tc>
          <w:tcPr>
            <w:tcW w:w="0" w:type="auto"/>
            <w:shd w:val="clear" w:color="auto" w:fill="FFFFFF"/>
            <w:tcMar>
              <w:top w:w="0" w:type="dxa"/>
              <w:left w:w="85" w:type="dxa"/>
              <w:bottom w:w="0" w:type="dxa"/>
              <w:right w:w="85" w:type="dxa"/>
            </w:tcMar>
          </w:tcPr>
          <w:p w14:paraId="4C58ED1C" w14:textId="77777777" w:rsidR="00AD187C" w:rsidRPr="009E06AA" w:rsidRDefault="00AD187C" w:rsidP="000179F3">
            <w:pPr>
              <w:pStyle w:val="TableText"/>
              <w:jc w:val="right"/>
              <w:rPr>
                <w:szCs w:val="16"/>
              </w:rPr>
            </w:pPr>
            <w:r w:rsidRPr="009E06AA">
              <w:rPr>
                <w:color w:val="000000"/>
                <w:szCs w:val="16"/>
              </w:rPr>
              <w:t>0.</w:t>
            </w:r>
            <w:r w:rsidRPr="009E06AA">
              <w:rPr>
                <w:rFonts w:eastAsia="Calibri"/>
                <w:color w:val="000000"/>
                <w:szCs w:val="16"/>
              </w:rPr>
              <w:t>08</w:t>
            </w:r>
          </w:p>
        </w:tc>
        <w:tc>
          <w:tcPr>
            <w:tcW w:w="0" w:type="auto"/>
            <w:shd w:val="clear" w:color="auto" w:fill="FFFFFF"/>
            <w:tcMar>
              <w:top w:w="0" w:type="dxa"/>
              <w:left w:w="85" w:type="dxa"/>
              <w:bottom w:w="0" w:type="dxa"/>
              <w:right w:w="85" w:type="dxa"/>
            </w:tcMar>
          </w:tcPr>
          <w:p w14:paraId="0A8D24DD" w14:textId="77777777" w:rsidR="00AD187C" w:rsidRPr="009E06AA" w:rsidRDefault="00AD187C" w:rsidP="000179F3">
            <w:pPr>
              <w:pStyle w:val="TableText"/>
              <w:jc w:val="right"/>
              <w:rPr>
                <w:szCs w:val="16"/>
              </w:rPr>
            </w:pPr>
            <w:r w:rsidRPr="009E06AA">
              <w:rPr>
                <w:color w:val="000000"/>
                <w:szCs w:val="16"/>
              </w:rPr>
              <w:t>0.</w:t>
            </w:r>
            <w:r w:rsidRPr="009E06AA">
              <w:rPr>
                <w:rFonts w:eastAsia="Calibri"/>
                <w:color w:val="000000"/>
                <w:szCs w:val="16"/>
              </w:rPr>
              <w:t>04</w:t>
            </w:r>
          </w:p>
        </w:tc>
        <w:tc>
          <w:tcPr>
            <w:tcW w:w="0" w:type="auto"/>
            <w:shd w:val="clear" w:color="auto" w:fill="FFFFFF"/>
            <w:tcMar>
              <w:top w:w="0" w:type="dxa"/>
              <w:left w:w="85" w:type="dxa"/>
              <w:bottom w:w="0" w:type="dxa"/>
              <w:right w:w="85" w:type="dxa"/>
            </w:tcMar>
          </w:tcPr>
          <w:p w14:paraId="63CBF605" w14:textId="77777777" w:rsidR="00AD187C" w:rsidRPr="009E06AA" w:rsidRDefault="00AD187C" w:rsidP="000179F3">
            <w:pPr>
              <w:pStyle w:val="TableText"/>
              <w:jc w:val="right"/>
              <w:rPr>
                <w:szCs w:val="16"/>
              </w:rPr>
            </w:pPr>
            <w:r w:rsidRPr="009E06AA">
              <w:rPr>
                <w:rFonts w:eastAsia="Calibri"/>
                <w:color w:val="000000"/>
                <w:szCs w:val="16"/>
              </w:rPr>
              <w:t>-</w:t>
            </w:r>
            <w:r w:rsidRPr="009E06AA">
              <w:rPr>
                <w:color w:val="000000"/>
                <w:szCs w:val="16"/>
              </w:rPr>
              <w:t>0.</w:t>
            </w:r>
            <w:r w:rsidRPr="009E06AA">
              <w:rPr>
                <w:rFonts w:eastAsia="Calibri"/>
                <w:color w:val="000000"/>
                <w:szCs w:val="16"/>
              </w:rPr>
              <w:t>03</w:t>
            </w:r>
          </w:p>
        </w:tc>
        <w:tc>
          <w:tcPr>
            <w:tcW w:w="0" w:type="auto"/>
            <w:shd w:val="clear" w:color="auto" w:fill="FFFFFF"/>
            <w:tcMar>
              <w:top w:w="0" w:type="dxa"/>
              <w:left w:w="85" w:type="dxa"/>
              <w:bottom w:w="0" w:type="dxa"/>
              <w:right w:w="85" w:type="dxa"/>
            </w:tcMar>
          </w:tcPr>
          <w:p w14:paraId="22A9FF73" w14:textId="77777777" w:rsidR="00AD187C" w:rsidRPr="009E06AA" w:rsidRDefault="00AD187C" w:rsidP="000179F3">
            <w:pPr>
              <w:pStyle w:val="TableText"/>
              <w:jc w:val="right"/>
              <w:rPr>
                <w:szCs w:val="16"/>
              </w:rPr>
            </w:pPr>
            <w:r w:rsidRPr="009E06AA">
              <w:rPr>
                <w:rFonts w:eastAsia="Calibri"/>
                <w:color w:val="000000"/>
                <w:szCs w:val="16"/>
              </w:rPr>
              <w:t>-44.7</w:t>
            </w:r>
          </w:p>
        </w:tc>
      </w:tr>
      <w:tr w:rsidR="00AD187C" w:rsidRPr="009E06AA" w14:paraId="664D6D8F" w14:textId="77777777" w:rsidTr="00B55F24">
        <w:tc>
          <w:tcPr>
            <w:tcW w:w="0" w:type="auto"/>
            <w:shd w:val="clear" w:color="auto" w:fill="FFFFFF"/>
            <w:tcMar>
              <w:top w:w="0" w:type="dxa"/>
              <w:left w:w="85" w:type="dxa"/>
              <w:bottom w:w="0" w:type="dxa"/>
              <w:right w:w="85" w:type="dxa"/>
            </w:tcMar>
          </w:tcPr>
          <w:p w14:paraId="64120C68" w14:textId="77777777" w:rsidR="00AD187C" w:rsidRPr="009E06AA" w:rsidRDefault="00AD187C" w:rsidP="00B55F24">
            <w:pPr>
              <w:pStyle w:val="TableText"/>
              <w:rPr>
                <w:szCs w:val="16"/>
              </w:rPr>
            </w:pPr>
            <w:r w:rsidRPr="009E06AA">
              <w:rPr>
                <w:color w:val="000000"/>
                <w:szCs w:val="16"/>
              </w:rPr>
              <w:t>HFCs</w:t>
            </w:r>
          </w:p>
        </w:tc>
        <w:tc>
          <w:tcPr>
            <w:tcW w:w="0" w:type="auto"/>
            <w:shd w:val="clear" w:color="auto" w:fill="FFFFFF"/>
            <w:tcMar>
              <w:top w:w="0" w:type="dxa"/>
              <w:left w:w="85" w:type="dxa"/>
              <w:bottom w:w="0" w:type="dxa"/>
              <w:right w:w="85" w:type="dxa"/>
            </w:tcMar>
          </w:tcPr>
          <w:p w14:paraId="2372E70C" w14:textId="77777777" w:rsidR="00AD187C" w:rsidRPr="009E06AA" w:rsidRDefault="00AD187C" w:rsidP="000179F3">
            <w:pPr>
              <w:pStyle w:val="TableText"/>
              <w:jc w:val="right"/>
              <w:rPr>
                <w:szCs w:val="16"/>
              </w:rPr>
            </w:pPr>
            <w:r w:rsidRPr="009E06AA">
              <w:rPr>
                <w:color w:val="000000"/>
                <w:szCs w:val="16"/>
              </w:rPr>
              <w:t>NO</w:t>
            </w:r>
          </w:p>
        </w:tc>
        <w:tc>
          <w:tcPr>
            <w:tcW w:w="0" w:type="auto"/>
            <w:shd w:val="clear" w:color="auto" w:fill="FFFFFF"/>
            <w:tcMar>
              <w:top w:w="0" w:type="dxa"/>
              <w:left w:w="85" w:type="dxa"/>
              <w:bottom w:w="0" w:type="dxa"/>
              <w:right w:w="85" w:type="dxa"/>
            </w:tcMar>
          </w:tcPr>
          <w:p w14:paraId="0A16751B" w14:textId="77777777" w:rsidR="00AD187C" w:rsidRPr="009E06AA" w:rsidRDefault="00AD187C" w:rsidP="000179F3">
            <w:pPr>
              <w:pStyle w:val="TableText"/>
              <w:jc w:val="right"/>
              <w:rPr>
                <w:szCs w:val="16"/>
              </w:rPr>
            </w:pPr>
            <w:r w:rsidRPr="009E06AA">
              <w:rPr>
                <w:color w:val="000000"/>
                <w:szCs w:val="16"/>
              </w:rPr>
              <w:t>0.</w:t>
            </w:r>
            <w:r w:rsidRPr="009E06AA">
              <w:rPr>
                <w:rFonts w:eastAsia="Calibri"/>
                <w:color w:val="000000"/>
                <w:szCs w:val="16"/>
              </w:rPr>
              <w:t>21</w:t>
            </w:r>
          </w:p>
        </w:tc>
        <w:tc>
          <w:tcPr>
            <w:tcW w:w="0" w:type="auto"/>
            <w:shd w:val="clear" w:color="auto" w:fill="FFFFFF"/>
            <w:tcMar>
              <w:top w:w="0" w:type="dxa"/>
              <w:left w:w="85" w:type="dxa"/>
              <w:bottom w:w="0" w:type="dxa"/>
              <w:right w:w="85" w:type="dxa"/>
            </w:tcMar>
          </w:tcPr>
          <w:p w14:paraId="1A9733B3" w14:textId="77777777" w:rsidR="00AD187C" w:rsidRPr="009E06AA" w:rsidRDefault="00AD187C" w:rsidP="000179F3">
            <w:pPr>
              <w:pStyle w:val="TableText"/>
              <w:jc w:val="right"/>
              <w:rPr>
                <w:szCs w:val="16"/>
              </w:rPr>
            </w:pPr>
            <w:r w:rsidRPr="009E06AA">
              <w:rPr>
                <w:color w:val="000000"/>
                <w:szCs w:val="16"/>
              </w:rPr>
              <w:t>0.</w:t>
            </w:r>
            <w:r w:rsidRPr="009E06AA">
              <w:rPr>
                <w:rFonts w:eastAsia="Calibri"/>
                <w:color w:val="000000"/>
                <w:szCs w:val="16"/>
              </w:rPr>
              <w:t>21</w:t>
            </w:r>
          </w:p>
        </w:tc>
        <w:tc>
          <w:tcPr>
            <w:tcW w:w="0" w:type="auto"/>
            <w:shd w:val="clear" w:color="auto" w:fill="FFFFFF"/>
            <w:tcMar>
              <w:top w:w="0" w:type="dxa"/>
              <w:left w:w="85" w:type="dxa"/>
              <w:bottom w:w="0" w:type="dxa"/>
              <w:right w:w="85" w:type="dxa"/>
            </w:tcMar>
          </w:tcPr>
          <w:p w14:paraId="35A717EB" w14:textId="77777777" w:rsidR="00AD187C" w:rsidRPr="009E06AA" w:rsidRDefault="00AD187C" w:rsidP="000179F3">
            <w:pPr>
              <w:pStyle w:val="TableText"/>
              <w:jc w:val="right"/>
              <w:rPr>
                <w:szCs w:val="16"/>
              </w:rPr>
            </w:pPr>
            <w:r w:rsidRPr="009E06AA">
              <w:rPr>
                <w:color w:val="000000"/>
                <w:szCs w:val="16"/>
              </w:rPr>
              <w:t>NA</w:t>
            </w:r>
          </w:p>
        </w:tc>
      </w:tr>
      <w:tr w:rsidR="00AD187C" w:rsidRPr="009E06AA" w14:paraId="78D1FC4C" w14:textId="77777777" w:rsidTr="00B55F24">
        <w:tc>
          <w:tcPr>
            <w:tcW w:w="0" w:type="auto"/>
            <w:shd w:val="clear" w:color="auto" w:fill="FFFFFF"/>
            <w:tcMar>
              <w:top w:w="0" w:type="dxa"/>
              <w:left w:w="85" w:type="dxa"/>
              <w:bottom w:w="0" w:type="dxa"/>
              <w:right w:w="85" w:type="dxa"/>
            </w:tcMar>
          </w:tcPr>
          <w:p w14:paraId="4370E2F6" w14:textId="77777777" w:rsidR="00AD187C" w:rsidRPr="009E06AA" w:rsidRDefault="00AD187C" w:rsidP="00B55F24">
            <w:pPr>
              <w:pStyle w:val="TableText"/>
              <w:rPr>
                <w:szCs w:val="16"/>
              </w:rPr>
            </w:pPr>
            <w:r w:rsidRPr="009E06AA">
              <w:rPr>
                <w:color w:val="000000"/>
                <w:szCs w:val="16"/>
              </w:rPr>
              <w:t>PFCs</w:t>
            </w:r>
          </w:p>
        </w:tc>
        <w:tc>
          <w:tcPr>
            <w:tcW w:w="0" w:type="auto"/>
            <w:shd w:val="clear" w:color="auto" w:fill="FFFFFF"/>
            <w:tcMar>
              <w:top w:w="0" w:type="dxa"/>
              <w:left w:w="85" w:type="dxa"/>
              <w:bottom w:w="0" w:type="dxa"/>
              <w:right w:w="85" w:type="dxa"/>
            </w:tcMar>
          </w:tcPr>
          <w:p w14:paraId="5CBFD34E" w14:textId="77777777" w:rsidR="00AD187C" w:rsidRPr="009E06AA" w:rsidRDefault="00AD187C" w:rsidP="000179F3">
            <w:pPr>
              <w:pStyle w:val="TableText"/>
              <w:jc w:val="right"/>
              <w:rPr>
                <w:szCs w:val="16"/>
              </w:rPr>
            </w:pPr>
            <w:r w:rsidRPr="009E06AA">
              <w:rPr>
                <w:color w:val="000000"/>
                <w:szCs w:val="16"/>
              </w:rPr>
              <w:t>NO</w:t>
            </w:r>
          </w:p>
        </w:tc>
        <w:tc>
          <w:tcPr>
            <w:tcW w:w="0" w:type="auto"/>
            <w:shd w:val="clear" w:color="auto" w:fill="FFFFFF"/>
            <w:tcMar>
              <w:top w:w="0" w:type="dxa"/>
              <w:left w:w="85" w:type="dxa"/>
              <w:bottom w:w="0" w:type="dxa"/>
              <w:right w:w="85" w:type="dxa"/>
            </w:tcMar>
          </w:tcPr>
          <w:p w14:paraId="461A2C4E" w14:textId="77777777" w:rsidR="00AD187C" w:rsidRPr="009E06AA" w:rsidRDefault="00AD187C" w:rsidP="000179F3">
            <w:pPr>
              <w:pStyle w:val="TableText"/>
              <w:jc w:val="right"/>
              <w:rPr>
                <w:szCs w:val="16"/>
              </w:rPr>
            </w:pPr>
            <w:r w:rsidRPr="009E06AA">
              <w:rPr>
                <w:color w:val="000000"/>
                <w:szCs w:val="16"/>
              </w:rPr>
              <w:t>NO</w:t>
            </w:r>
          </w:p>
        </w:tc>
        <w:tc>
          <w:tcPr>
            <w:tcW w:w="0" w:type="auto"/>
            <w:shd w:val="clear" w:color="auto" w:fill="FFFFFF"/>
            <w:tcMar>
              <w:top w:w="0" w:type="dxa"/>
              <w:left w:w="85" w:type="dxa"/>
              <w:bottom w:w="0" w:type="dxa"/>
              <w:right w:w="85" w:type="dxa"/>
            </w:tcMar>
          </w:tcPr>
          <w:p w14:paraId="7522856C" w14:textId="77777777" w:rsidR="00AD187C" w:rsidRPr="009E06AA" w:rsidRDefault="00AD187C" w:rsidP="000179F3">
            <w:pPr>
              <w:pStyle w:val="TableText"/>
              <w:jc w:val="right"/>
              <w:rPr>
                <w:szCs w:val="16"/>
              </w:rPr>
            </w:pPr>
            <w:r w:rsidRPr="009E06AA">
              <w:rPr>
                <w:color w:val="000000"/>
                <w:szCs w:val="16"/>
              </w:rPr>
              <w:t>NA</w:t>
            </w:r>
          </w:p>
        </w:tc>
        <w:tc>
          <w:tcPr>
            <w:tcW w:w="0" w:type="auto"/>
            <w:shd w:val="clear" w:color="auto" w:fill="FFFFFF"/>
            <w:tcMar>
              <w:top w:w="0" w:type="dxa"/>
              <w:left w:w="85" w:type="dxa"/>
              <w:bottom w:w="0" w:type="dxa"/>
              <w:right w:w="85" w:type="dxa"/>
            </w:tcMar>
          </w:tcPr>
          <w:p w14:paraId="48657F50" w14:textId="77777777" w:rsidR="00AD187C" w:rsidRPr="009E06AA" w:rsidRDefault="00AD187C" w:rsidP="000179F3">
            <w:pPr>
              <w:pStyle w:val="TableText"/>
              <w:jc w:val="right"/>
              <w:rPr>
                <w:szCs w:val="16"/>
              </w:rPr>
            </w:pPr>
            <w:r w:rsidRPr="009E06AA">
              <w:rPr>
                <w:color w:val="000000"/>
                <w:szCs w:val="16"/>
              </w:rPr>
              <w:t>NA</w:t>
            </w:r>
          </w:p>
        </w:tc>
      </w:tr>
      <w:tr w:rsidR="00AD187C" w:rsidRPr="009E06AA" w14:paraId="48CC8723" w14:textId="77777777" w:rsidTr="00B55F24">
        <w:tc>
          <w:tcPr>
            <w:tcW w:w="0" w:type="auto"/>
            <w:shd w:val="clear" w:color="auto" w:fill="FFFFFF"/>
            <w:tcMar>
              <w:top w:w="0" w:type="dxa"/>
              <w:left w:w="85" w:type="dxa"/>
              <w:bottom w:w="0" w:type="dxa"/>
              <w:right w:w="85" w:type="dxa"/>
            </w:tcMar>
          </w:tcPr>
          <w:p w14:paraId="2AC8E074" w14:textId="77777777" w:rsidR="00AD187C" w:rsidRPr="009E06AA" w:rsidRDefault="00AD187C" w:rsidP="00B55F24">
            <w:pPr>
              <w:pStyle w:val="TableText"/>
              <w:rPr>
                <w:szCs w:val="16"/>
              </w:rPr>
            </w:pPr>
            <w:r w:rsidRPr="009E06AA">
              <w:rPr>
                <w:color w:val="000000"/>
                <w:szCs w:val="16"/>
              </w:rPr>
              <w:t>SF</w:t>
            </w:r>
            <w:r w:rsidRPr="009E06AA">
              <w:rPr>
                <w:color w:val="000000"/>
                <w:szCs w:val="16"/>
                <w:vertAlign w:val="subscript"/>
              </w:rPr>
              <w:t>6</w:t>
            </w:r>
          </w:p>
        </w:tc>
        <w:tc>
          <w:tcPr>
            <w:tcW w:w="0" w:type="auto"/>
            <w:shd w:val="clear" w:color="auto" w:fill="FFFFFF"/>
            <w:tcMar>
              <w:top w:w="0" w:type="dxa"/>
              <w:left w:w="85" w:type="dxa"/>
              <w:bottom w:w="0" w:type="dxa"/>
              <w:right w:w="85" w:type="dxa"/>
            </w:tcMar>
          </w:tcPr>
          <w:p w14:paraId="77578AE5" w14:textId="77777777" w:rsidR="00AD187C" w:rsidRPr="009E06AA" w:rsidRDefault="00AD187C" w:rsidP="000179F3">
            <w:pPr>
              <w:pStyle w:val="TableText"/>
              <w:jc w:val="right"/>
              <w:rPr>
                <w:szCs w:val="16"/>
              </w:rPr>
            </w:pPr>
            <w:r w:rsidRPr="009E06AA">
              <w:rPr>
                <w:color w:val="000000"/>
                <w:szCs w:val="16"/>
              </w:rPr>
              <w:t>NO</w:t>
            </w:r>
          </w:p>
        </w:tc>
        <w:tc>
          <w:tcPr>
            <w:tcW w:w="0" w:type="auto"/>
            <w:shd w:val="clear" w:color="auto" w:fill="FFFFFF"/>
            <w:tcMar>
              <w:top w:w="0" w:type="dxa"/>
              <w:left w:w="85" w:type="dxa"/>
              <w:bottom w:w="0" w:type="dxa"/>
              <w:right w:w="85" w:type="dxa"/>
            </w:tcMar>
          </w:tcPr>
          <w:p w14:paraId="74785B57" w14:textId="77777777" w:rsidR="00AD187C" w:rsidRPr="009E06AA" w:rsidRDefault="00AD187C" w:rsidP="000179F3">
            <w:pPr>
              <w:pStyle w:val="TableText"/>
              <w:jc w:val="right"/>
              <w:rPr>
                <w:szCs w:val="16"/>
              </w:rPr>
            </w:pPr>
            <w:r w:rsidRPr="009E06AA">
              <w:rPr>
                <w:color w:val="000000"/>
                <w:szCs w:val="16"/>
              </w:rPr>
              <w:t>NO</w:t>
            </w:r>
          </w:p>
        </w:tc>
        <w:tc>
          <w:tcPr>
            <w:tcW w:w="0" w:type="auto"/>
            <w:shd w:val="clear" w:color="auto" w:fill="FFFFFF"/>
            <w:tcMar>
              <w:top w:w="0" w:type="dxa"/>
              <w:left w:w="85" w:type="dxa"/>
              <w:bottom w:w="0" w:type="dxa"/>
              <w:right w:w="85" w:type="dxa"/>
            </w:tcMar>
          </w:tcPr>
          <w:p w14:paraId="48550507" w14:textId="77777777" w:rsidR="00AD187C" w:rsidRPr="009E06AA" w:rsidRDefault="00AD187C" w:rsidP="000179F3">
            <w:pPr>
              <w:pStyle w:val="TableText"/>
              <w:jc w:val="right"/>
              <w:rPr>
                <w:szCs w:val="16"/>
              </w:rPr>
            </w:pPr>
            <w:r w:rsidRPr="009E06AA">
              <w:rPr>
                <w:color w:val="000000"/>
                <w:szCs w:val="16"/>
              </w:rPr>
              <w:t>NA</w:t>
            </w:r>
          </w:p>
        </w:tc>
        <w:tc>
          <w:tcPr>
            <w:tcW w:w="0" w:type="auto"/>
            <w:shd w:val="clear" w:color="auto" w:fill="FFFFFF"/>
            <w:tcMar>
              <w:top w:w="0" w:type="dxa"/>
              <w:left w:w="85" w:type="dxa"/>
              <w:bottom w:w="0" w:type="dxa"/>
              <w:right w:w="85" w:type="dxa"/>
            </w:tcMar>
          </w:tcPr>
          <w:p w14:paraId="00AEB118" w14:textId="77777777" w:rsidR="00AD187C" w:rsidRPr="009E06AA" w:rsidRDefault="00AD187C" w:rsidP="000179F3">
            <w:pPr>
              <w:pStyle w:val="TableText"/>
              <w:jc w:val="right"/>
              <w:rPr>
                <w:szCs w:val="16"/>
              </w:rPr>
            </w:pPr>
            <w:r w:rsidRPr="009E06AA">
              <w:rPr>
                <w:color w:val="000000"/>
                <w:szCs w:val="16"/>
              </w:rPr>
              <w:t>NA</w:t>
            </w:r>
          </w:p>
        </w:tc>
      </w:tr>
      <w:tr w:rsidR="00AD187C" w:rsidRPr="009E06AA" w14:paraId="0C91AC8D" w14:textId="77777777" w:rsidTr="00B55F24">
        <w:tc>
          <w:tcPr>
            <w:tcW w:w="0" w:type="auto"/>
            <w:shd w:val="clear" w:color="auto" w:fill="FFFFFF"/>
            <w:tcMar>
              <w:top w:w="0" w:type="dxa"/>
              <w:left w:w="85" w:type="dxa"/>
              <w:bottom w:w="0" w:type="dxa"/>
              <w:right w:w="85" w:type="dxa"/>
            </w:tcMar>
          </w:tcPr>
          <w:p w14:paraId="69692401" w14:textId="77777777" w:rsidR="00AD187C" w:rsidRPr="009E06AA" w:rsidRDefault="00AD187C" w:rsidP="00B55F24">
            <w:pPr>
              <w:pStyle w:val="TableText"/>
              <w:rPr>
                <w:szCs w:val="16"/>
              </w:rPr>
            </w:pPr>
            <w:r w:rsidRPr="009E06AA">
              <w:rPr>
                <w:color w:val="000000"/>
                <w:szCs w:val="16"/>
              </w:rPr>
              <w:t>NF</w:t>
            </w:r>
            <w:r w:rsidRPr="009E06AA">
              <w:rPr>
                <w:color w:val="000000"/>
                <w:szCs w:val="16"/>
                <w:vertAlign w:val="subscript"/>
              </w:rPr>
              <w:t>3</w:t>
            </w:r>
          </w:p>
        </w:tc>
        <w:tc>
          <w:tcPr>
            <w:tcW w:w="0" w:type="auto"/>
            <w:shd w:val="clear" w:color="auto" w:fill="FFFFFF"/>
            <w:tcMar>
              <w:top w:w="0" w:type="dxa"/>
              <w:left w:w="85" w:type="dxa"/>
              <w:bottom w:w="0" w:type="dxa"/>
              <w:right w:w="85" w:type="dxa"/>
            </w:tcMar>
          </w:tcPr>
          <w:p w14:paraId="01971AF3" w14:textId="77777777" w:rsidR="00AD187C" w:rsidRPr="009E06AA" w:rsidRDefault="00AD187C" w:rsidP="000179F3">
            <w:pPr>
              <w:pStyle w:val="TableText"/>
              <w:jc w:val="right"/>
              <w:rPr>
                <w:szCs w:val="16"/>
              </w:rPr>
            </w:pPr>
            <w:r w:rsidRPr="009E06AA">
              <w:rPr>
                <w:color w:val="000000"/>
                <w:szCs w:val="16"/>
              </w:rPr>
              <w:t>NO</w:t>
            </w:r>
          </w:p>
        </w:tc>
        <w:tc>
          <w:tcPr>
            <w:tcW w:w="0" w:type="auto"/>
            <w:shd w:val="clear" w:color="auto" w:fill="FFFFFF"/>
            <w:tcMar>
              <w:top w:w="0" w:type="dxa"/>
              <w:left w:w="85" w:type="dxa"/>
              <w:bottom w:w="0" w:type="dxa"/>
              <w:right w:w="85" w:type="dxa"/>
            </w:tcMar>
          </w:tcPr>
          <w:p w14:paraId="1CF194ED" w14:textId="77777777" w:rsidR="00AD187C" w:rsidRPr="009E06AA" w:rsidRDefault="00AD187C" w:rsidP="000179F3">
            <w:pPr>
              <w:pStyle w:val="TableText"/>
              <w:jc w:val="right"/>
              <w:rPr>
                <w:szCs w:val="16"/>
              </w:rPr>
            </w:pPr>
            <w:r w:rsidRPr="009E06AA">
              <w:rPr>
                <w:color w:val="000000"/>
                <w:szCs w:val="16"/>
              </w:rPr>
              <w:t>NO</w:t>
            </w:r>
          </w:p>
        </w:tc>
        <w:tc>
          <w:tcPr>
            <w:tcW w:w="0" w:type="auto"/>
            <w:shd w:val="clear" w:color="auto" w:fill="FFFFFF"/>
            <w:tcMar>
              <w:top w:w="0" w:type="dxa"/>
              <w:left w:w="85" w:type="dxa"/>
              <w:bottom w:w="0" w:type="dxa"/>
              <w:right w:w="85" w:type="dxa"/>
            </w:tcMar>
          </w:tcPr>
          <w:p w14:paraId="7AEB07DC" w14:textId="77777777" w:rsidR="00AD187C" w:rsidRPr="009E06AA" w:rsidRDefault="00AD187C" w:rsidP="000179F3">
            <w:pPr>
              <w:pStyle w:val="TableText"/>
              <w:jc w:val="right"/>
              <w:rPr>
                <w:szCs w:val="16"/>
              </w:rPr>
            </w:pPr>
            <w:r w:rsidRPr="009E06AA">
              <w:rPr>
                <w:color w:val="000000"/>
                <w:szCs w:val="16"/>
              </w:rPr>
              <w:t>NA</w:t>
            </w:r>
          </w:p>
        </w:tc>
        <w:tc>
          <w:tcPr>
            <w:tcW w:w="0" w:type="auto"/>
            <w:shd w:val="clear" w:color="auto" w:fill="FFFFFF"/>
            <w:tcMar>
              <w:top w:w="0" w:type="dxa"/>
              <w:left w:w="85" w:type="dxa"/>
              <w:bottom w:w="0" w:type="dxa"/>
              <w:right w:w="85" w:type="dxa"/>
            </w:tcMar>
          </w:tcPr>
          <w:p w14:paraId="25997E5E" w14:textId="77777777" w:rsidR="00AD187C" w:rsidRPr="009E06AA" w:rsidRDefault="00AD187C" w:rsidP="000179F3">
            <w:pPr>
              <w:pStyle w:val="TableText"/>
              <w:jc w:val="right"/>
              <w:rPr>
                <w:szCs w:val="16"/>
              </w:rPr>
            </w:pPr>
            <w:r w:rsidRPr="009E06AA">
              <w:rPr>
                <w:color w:val="000000"/>
                <w:szCs w:val="16"/>
              </w:rPr>
              <w:t>NA</w:t>
            </w:r>
          </w:p>
        </w:tc>
      </w:tr>
      <w:tr w:rsidR="00AD187C" w:rsidRPr="009E06AA" w14:paraId="5E25CA7D" w14:textId="77777777" w:rsidTr="00B55F24">
        <w:tc>
          <w:tcPr>
            <w:tcW w:w="0" w:type="auto"/>
            <w:shd w:val="clear" w:color="auto" w:fill="FFFFFF"/>
            <w:tcMar>
              <w:top w:w="0" w:type="dxa"/>
              <w:left w:w="85" w:type="dxa"/>
              <w:bottom w:w="0" w:type="dxa"/>
              <w:right w:w="85" w:type="dxa"/>
            </w:tcMar>
          </w:tcPr>
          <w:p w14:paraId="4B954CE0" w14:textId="77777777" w:rsidR="00AD187C" w:rsidRPr="009E06AA" w:rsidRDefault="00AD187C" w:rsidP="00B55F24">
            <w:pPr>
              <w:pStyle w:val="TableText"/>
              <w:rPr>
                <w:b/>
                <w:bCs/>
                <w:szCs w:val="16"/>
              </w:rPr>
            </w:pPr>
            <w:r w:rsidRPr="009E06AA">
              <w:rPr>
                <w:b/>
                <w:bCs/>
                <w:color w:val="1B556B"/>
                <w:szCs w:val="16"/>
              </w:rPr>
              <w:t>Gross, all gases</w:t>
            </w:r>
          </w:p>
        </w:tc>
        <w:tc>
          <w:tcPr>
            <w:tcW w:w="0" w:type="auto"/>
            <w:shd w:val="clear" w:color="auto" w:fill="FFFFFF"/>
            <w:tcMar>
              <w:top w:w="0" w:type="dxa"/>
              <w:left w:w="85" w:type="dxa"/>
              <w:bottom w:w="0" w:type="dxa"/>
              <w:right w:w="85" w:type="dxa"/>
            </w:tcMar>
          </w:tcPr>
          <w:p w14:paraId="39B31B4C" w14:textId="77777777" w:rsidR="00AD187C" w:rsidRPr="009E06AA" w:rsidRDefault="00AD187C" w:rsidP="000179F3">
            <w:pPr>
              <w:pStyle w:val="TableText"/>
              <w:jc w:val="right"/>
              <w:rPr>
                <w:b/>
                <w:bCs/>
                <w:szCs w:val="16"/>
              </w:rPr>
            </w:pPr>
            <w:r w:rsidRPr="009E06AA">
              <w:rPr>
                <w:b/>
                <w:bCs/>
                <w:color w:val="1B556B"/>
                <w:szCs w:val="16"/>
              </w:rPr>
              <w:t>3.</w:t>
            </w:r>
            <w:r w:rsidRPr="009E06AA">
              <w:rPr>
                <w:rFonts w:eastAsia="Calibri"/>
                <w:b/>
                <w:bCs/>
                <w:color w:val="1B556B"/>
                <w:szCs w:val="16"/>
              </w:rPr>
              <w:t>37</w:t>
            </w:r>
          </w:p>
        </w:tc>
        <w:tc>
          <w:tcPr>
            <w:tcW w:w="0" w:type="auto"/>
            <w:shd w:val="clear" w:color="auto" w:fill="FFFFFF"/>
            <w:tcMar>
              <w:top w:w="0" w:type="dxa"/>
              <w:left w:w="85" w:type="dxa"/>
              <w:bottom w:w="0" w:type="dxa"/>
              <w:right w:w="85" w:type="dxa"/>
            </w:tcMar>
          </w:tcPr>
          <w:p w14:paraId="272AF7FF" w14:textId="77777777" w:rsidR="00AD187C" w:rsidRPr="009E06AA" w:rsidRDefault="00AD187C" w:rsidP="000179F3">
            <w:pPr>
              <w:pStyle w:val="TableText"/>
              <w:jc w:val="right"/>
              <w:rPr>
                <w:b/>
                <w:bCs/>
                <w:szCs w:val="16"/>
              </w:rPr>
            </w:pPr>
            <w:r w:rsidRPr="009E06AA">
              <w:rPr>
                <w:rFonts w:eastAsia="Calibri"/>
                <w:b/>
                <w:bCs/>
                <w:color w:val="1B556B"/>
                <w:szCs w:val="16"/>
              </w:rPr>
              <w:t>4.69</w:t>
            </w:r>
          </w:p>
        </w:tc>
        <w:tc>
          <w:tcPr>
            <w:tcW w:w="0" w:type="auto"/>
            <w:shd w:val="clear" w:color="auto" w:fill="FFFFFF"/>
            <w:tcMar>
              <w:top w:w="0" w:type="dxa"/>
              <w:left w:w="85" w:type="dxa"/>
              <w:bottom w:w="0" w:type="dxa"/>
              <w:right w:w="85" w:type="dxa"/>
            </w:tcMar>
          </w:tcPr>
          <w:p w14:paraId="3678ACC2" w14:textId="77777777" w:rsidR="00AD187C" w:rsidRPr="009E06AA" w:rsidRDefault="00AD187C" w:rsidP="000179F3">
            <w:pPr>
              <w:pStyle w:val="TableText"/>
              <w:jc w:val="right"/>
              <w:rPr>
                <w:b/>
                <w:bCs/>
                <w:szCs w:val="16"/>
              </w:rPr>
            </w:pPr>
            <w:r w:rsidRPr="009E06AA">
              <w:rPr>
                <w:rFonts w:eastAsia="Calibri"/>
                <w:b/>
                <w:bCs/>
                <w:color w:val="1B556B"/>
                <w:szCs w:val="16"/>
              </w:rPr>
              <w:t>1.31</w:t>
            </w:r>
          </w:p>
        </w:tc>
        <w:tc>
          <w:tcPr>
            <w:tcW w:w="0" w:type="auto"/>
            <w:shd w:val="clear" w:color="auto" w:fill="FFFFFF"/>
            <w:tcMar>
              <w:top w:w="0" w:type="dxa"/>
              <w:left w:w="85" w:type="dxa"/>
              <w:bottom w:w="0" w:type="dxa"/>
              <w:right w:w="85" w:type="dxa"/>
            </w:tcMar>
          </w:tcPr>
          <w:p w14:paraId="4E884E04" w14:textId="77777777" w:rsidR="00AD187C" w:rsidRPr="009E06AA" w:rsidRDefault="00AD187C" w:rsidP="000179F3">
            <w:pPr>
              <w:pStyle w:val="TableText"/>
              <w:jc w:val="right"/>
              <w:rPr>
                <w:b/>
                <w:bCs/>
                <w:szCs w:val="16"/>
              </w:rPr>
            </w:pPr>
            <w:r w:rsidRPr="009E06AA">
              <w:rPr>
                <w:rFonts w:eastAsia="Calibri"/>
                <w:b/>
                <w:bCs/>
                <w:color w:val="1B556B"/>
                <w:szCs w:val="16"/>
              </w:rPr>
              <w:t>38.9</w:t>
            </w:r>
          </w:p>
        </w:tc>
      </w:tr>
    </w:tbl>
    <w:p w14:paraId="6AD611D9" w14:textId="77777777" w:rsidR="00AD187C" w:rsidRPr="009E06AA" w:rsidRDefault="00AD187C" w:rsidP="00AD187C">
      <w:pPr>
        <w:pStyle w:val="Noteundertable"/>
      </w:pPr>
      <w:r w:rsidRPr="009E06AA">
        <w:rPr>
          <w:b/>
          <w:bCs/>
        </w:rPr>
        <w:t>Note:</w:t>
      </w:r>
      <w:r w:rsidRPr="009E06AA">
        <w:tab/>
        <w:t>Emissions from the Land Use, Land-Use Change and Forestry sector are not estimated for Tokelau. The percentage change for hydrofluorocarbons (HFCs) is not applicable (NA) because HFC production or use was not occurring (NO) in 1990. Columns may not total due to rounding. Presented percentages are calculated from unrounded values.</w:t>
      </w:r>
    </w:p>
    <w:p w14:paraId="31779603" w14:textId="27917345" w:rsidR="00AD187C" w:rsidRPr="009E06AA" w:rsidRDefault="00AD187C" w:rsidP="00AD187C">
      <w:pPr>
        <w:pStyle w:val="Figure"/>
      </w:pPr>
      <w:bookmarkStart w:id="3185" w:name="_Toc36292827"/>
      <w:bookmarkStart w:id="3186" w:name="_Toc64972934"/>
      <w:bookmarkStart w:id="3187" w:name="_Toc68786691"/>
      <w:bookmarkStart w:id="3188" w:name="_Toc160205429"/>
      <w:bookmarkStart w:id="3189" w:name="_Toc160441566"/>
      <w:bookmarkStart w:id="3190" w:name="_Toc164154052"/>
      <w:bookmarkStart w:id="3191" w:name="_Toc130211299"/>
      <w:bookmarkStart w:id="3192" w:name="_Toc131591584"/>
      <w:bookmarkEnd w:id="3184"/>
      <w:r w:rsidRPr="009E06AA">
        <w:rPr>
          <w:bCs/>
        </w:rPr>
        <w:t xml:space="preserve">Figure 8.1.4 </w:t>
      </w:r>
      <w:r w:rsidRPr="009E06AA">
        <w:rPr>
          <w:bCs/>
        </w:rPr>
        <w:tab/>
        <w:t>Emissions by sector for Tokelau (kt CO</w:t>
      </w:r>
      <w:r w:rsidRPr="009E06AA">
        <w:rPr>
          <w:bCs/>
          <w:vertAlign w:val="subscript"/>
        </w:rPr>
        <w:t>2</w:t>
      </w:r>
      <w:r w:rsidRPr="009E06AA">
        <w:rPr>
          <w:bCs/>
        </w:rPr>
        <w:t>-e)</w:t>
      </w:r>
      <w:r w:rsidR="00387B6F" w:rsidRPr="009E06AA">
        <w:rPr>
          <w:bCs/>
        </w:rPr>
        <w:t>,</w:t>
      </w:r>
      <w:r w:rsidRPr="009E06AA">
        <w:rPr>
          <w:bCs/>
        </w:rPr>
        <w:t xml:space="preserve"> from 1990 to </w:t>
      </w:r>
      <w:bookmarkEnd w:id="3185"/>
      <w:bookmarkEnd w:id="3186"/>
      <w:bookmarkEnd w:id="3187"/>
      <w:r w:rsidRPr="009E06AA">
        <w:rPr>
          <w:bCs/>
        </w:rPr>
        <w:t>2022</w:t>
      </w:r>
      <w:bookmarkEnd w:id="3188"/>
      <w:bookmarkEnd w:id="3189"/>
      <w:bookmarkEnd w:id="3190"/>
    </w:p>
    <w:p w14:paraId="53C2C562" w14:textId="77777777" w:rsidR="00AD187C" w:rsidRPr="009E06AA" w:rsidRDefault="00AD187C" w:rsidP="00AD187C">
      <w:pPr>
        <w:pStyle w:val="BodyText"/>
      </w:pPr>
      <w:r w:rsidRPr="009E06AA">
        <w:rPr>
          <w:noProof/>
        </w:rPr>
        <w:drawing>
          <wp:inline distT="0" distB="0" distL="0" distR="0" wp14:anchorId="6C6E730A" wp14:editId="64403347">
            <wp:extent cx="5348377" cy="3932037"/>
            <wp:effectExtent l="0" t="0" r="5080" b="0"/>
            <wp:docPr id="1014501560" name="Picture 1014501560"/>
            <wp:cNvGraphicFramePr/>
            <a:graphic xmlns:a="http://schemas.openxmlformats.org/drawingml/2006/main">
              <a:graphicData uri="http://schemas.openxmlformats.org/drawingml/2006/picture">
                <pic:pic xmlns:pic="http://schemas.openxmlformats.org/drawingml/2006/picture">
                  <pic:nvPicPr>
                    <pic:cNvPr id="41" name="Picture" descr="code/graphs/images/fig_8_1_4_tokelau_sector.png"/>
                    <pic:cNvPicPr>
                      <a:picLocks noChangeAspect="1" noChangeArrowheads="1"/>
                    </pic:cNvPicPr>
                  </pic:nvPicPr>
                  <pic:blipFill rotWithShape="1">
                    <a:blip r:embed="rId45"/>
                    <a:srcRect b="1976"/>
                    <a:stretch/>
                  </pic:blipFill>
                  <pic:spPr bwMode="auto">
                    <a:xfrm>
                      <a:off x="0" y="0"/>
                      <a:ext cx="5349385" cy="3932778"/>
                    </a:xfrm>
                    <a:prstGeom prst="rect">
                      <a:avLst/>
                    </a:prstGeom>
                    <a:noFill/>
                    <a:ln>
                      <a:noFill/>
                    </a:ln>
                    <a:extLst>
                      <a:ext uri="{53640926-AAD7-44D8-BBD7-CCE9431645EC}">
                        <a14:shadowObscured xmlns:a14="http://schemas.microsoft.com/office/drawing/2010/main"/>
                      </a:ext>
                    </a:extLst>
                  </pic:spPr>
                </pic:pic>
              </a:graphicData>
            </a:graphic>
          </wp:inline>
        </w:drawing>
      </w:r>
    </w:p>
    <w:p w14:paraId="721B27B3" w14:textId="77777777" w:rsidR="00AD187C" w:rsidRPr="009E06AA" w:rsidRDefault="00AD187C" w:rsidP="00AD187C">
      <w:pPr>
        <w:pStyle w:val="Heading4"/>
      </w:pPr>
      <w:r w:rsidRPr="009E06AA">
        <w:t>2021</w:t>
      </w:r>
      <w:bookmarkEnd w:id="3191"/>
      <w:bookmarkEnd w:id="3192"/>
      <w:r w:rsidRPr="009E06AA">
        <w:t>–2022</w:t>
      </w:r>
    </w:p>
    <w:p w14:paraId="16CEFBD6" w14:textId="77777777" w:rsidR="00AD187C" w:rsidRPr="009E06AA" w:rsidRDefault="00AD187C" w:rsidP="00AD187C">
      <w:pPr>
        <w:pStyle w:val="BodyText"/>
        <w:spacing w:before="100" w:after="100"/>
      </w:pPr>
      <w:r w:rsidRPr="009E06AA">
        <w:t>Total Tokelau emissions in 2022 were 0.75 kt CO</w:t>
      </w:r>
      <w:r w:rsidRPr="009E06AA">
        <w:rPr>
          <w:vertAlign w:val="subscript"/>
        </w:rPr>
        <w:t>2</w:t>
      </w:r>
      <w:r w:rsidRPr="009E06AA">
        <w:t xml:space="preserve">-e (19.2 per cent) higher than emissions in 2021. The increase in emissions is largely in the </w:t>
      </w:r>
      <w:r w:rsidRPr="009E06AA">
        <w:rPr>
          <w:i/>
          <w:iCs/>
        </w:rPr>
        <w:t>Electricity generation</w:t>
      </w:r>
      <w:r w:rsidRPr="009E06AA">
        <w:t xml:space="preserve"> category, which is the result of a greater reliance on diesel generators for electricity due to solar power having reduced availability when Nukunonu’s solar panel batteries overheated and the COVID-19 pandemic delayed maintenance. This increase is slightly offset by a small decrease in the </w:t>
      </w:r>
      <w:r w:rsidRPr="009E06AA">
        <w:rPr>
          <w:i/>
        </w:rPr>
        <w:t>Domestic navigation</w:t>
      </w:r>
      <w:r w:rsidRPr="009E06AA">
        <w:t xml:space="preserve"> category, due to decreased shipping within Tokelau.</w:t>
      </w:r>
    </w:p>
    <w:p w14:paraId="1D9FF352" w14:textId="77777777" w:rsidR="00AD187C" w:rsidRPr="009E06AA" w:rsidRDefault="00AD187C" w:rsidP="00AD187C">
      <w:pPr>
        <w:pStyle w:val="Heading4"/>
      </w:pPr>
      <w:bookmarkStart w:id="3193" w:name="key-categories"/>
      <w:r w:rsidRPr="009E06AA">
        <w:t>Key categories</w:t>
      </w:r>
    </w:p>
    <w:p w14:paraId="1C465B92" w14:textId="77777777" w:rsidR="00AD187C" w:rsidRPr="009E06AA" w:rsidRDefault="00AD187C" w:rsidP="00AD187C">
      <w:pPr>
        <w:pStyle w:val="BodyText"/>
        <w:spacing w:before="100" w:after="100"/>
      </w:pPr>
      <w:r w:rsidRPr="009E06AA">
        <w:t>Emission categories from Tokelau have been included in the key category analysis, along with all categories reported in New Zealand’s inventory. None of the emission categories from Tokelau are key categories (either level or trend) in the 2024 submission.</w:t>
      </w:r>
    </w:p>
    <w:p w14:paraId="5233AE27" w14:textId="77777777" w:rsidR="00AD187C" w:rsidRPr="009E06AA" w:rsidRDefault="00AD187C" w:rsidP="00AD187C">
      <w:pPr>
        <w:pStyle w:val="Heading3"/>
      </w:pPr>
      <w:bookmarkStart w:id="3194" w:name="_Toc160205180"/>
      <w:bookmarkStart w:id="3195" w:name="_Toc160441765"/>
      <w:bookmarkStart w:id="3196" w:name="recalculation-and-improvement"/>
      <w:bookmarkEnd w:id="3158"/>
      <w:bookmarkEnd w:id="3193"/>
      <w:r w:rsidRPr="009E06AA">
        <w:t xml:space="preserve">8.1.4 </w:t>
      </w:r>
      <w:r w:rsidRPr="009E06AA">
        <w:tab/>
        <w:t>Recalculations and improvements</w:t>
      </w:r>
      <w:bookmarkEnd w:id="3194"/>
      <w:bookmarkEnd w:id="3195"/>
    </w:p>
    <w:p w14:paraId="23ACFE43" w14:textId="77777777" w:rsidR="00AD187C" w:rsidRPr="009E06AA" w:rsidRDefault="00AD187C" w:rsidP="00AD187C">
      <w:pPr>
        <w:pStyle w:val="BodyText"/>
        <w:spacing w:before="100" w:after="100"/>
      </w:pPr>
      <w:r w:rsidRPr="009E06AA">
        <w:t>Throughout this chapter, recalculations are presented by applying 100-year time horizon global warming potential (GWP100) values from the IPCC Fifth Assessment Report (AR5) for both the previous and current submission to ensure a like-for-like comparison. The change from applying the GWP100 values from the IPCC's Fourth Assessment Report in the previous submission to applying the AR5 values in the current submission has not been considered as a recalculation to the inventory.</w:t>
      </w:r>
    </w:p>
    <w:p w14:paraId="3EA31FFD" w14:textId="77777777" w:rsidR="00AD187C" w:rsidRPr="009E06AA" w:rsidRDefault="00AD187C" w:rsidP="00AD187C">
      <w:pPr>
        <w:pStyle w:val="BodyText"/>
        <w:spacing w:before="100"/>
      </w:pPr>
      <w:r w:rsidRPr="009E06AA">
        <w:t>One minor recalculation has been made in the Tokelau emission estimates since the 2023 submission. The recalculation made for the Tokelau sector has resulted in no change in emissions in 1990 and a 0.058 per cent (0.0023 kt CO</w:t>
      </w:r>
      <w:r w:rsidRPr="009E06AA">
        <w:rPr>
          <w:vertAlign w:val="subscript"/>
        </w:rPr>
        <w:t>2</w:t>
      </w:r>
      <w:r w:rsidRPr="009E06AA">
        <w:t>-e) decrease in emissions in 2021.</w:t>
      </w:r>
    </w:p>
    <w:p w14:paraId="130F09F9" w14:textId="77777777" w:rsidR="00AD187C" w:rsidRPr="009E06AA" w:rsidRDefault="00AD187C" w:rsidP="00AD187C">
      <w:pPr>
        <w:pStyle w:val="Heading3"/>
      </w:pPr>
      <w:bookmarkStart w:id="3197" w:name="_Toc160205181"/>
      <w:bookmarkStart w:id="3198" w:name="_Toc160441766"/>
      <w:bookmarkEnd w:id="3196"/>
      <w:r w:rsidRPr="009E06AA">
        <w:t xml:space="preserve">8.1.5 </w:t>
      </w:r>
      <w:r w:rsidRPr="009E06AA">
        <w:tab/>
        <w:t>Quality-assurance/quality-control (QA/QC) processes</w:t>
      </w:r>
      <w:bookmarkEnd w:id="3197"/>
      <w:bookmarkEnd w:id="3198"/>
    </w:p>
    <w:p w14:paraId="42FE5FDC" w14:textId="77777777" w:rsidR="00AD187C" w:rsidRPr="009E06AA" w:rsidRDefault="00AD187C" w:rsidP="00AD187C">
      <w:pPr>
        <w:pStyle w:val="BodyText"/>
      </w:pPr>
      <w:r w:rsidRPr="009E06AA">
        <w:t>Tokelau’s activity data undergo quality-control processes at the Tokelau National Statistics Office. Tokelau’s emissions estimates undergo quality-assurance and quality-control processes that are similar to those of other inventory sectors.</w:t>
      </w:r>
    </w:p>
    <w:p w14:paraId="33B062EC" w14:textId="77777777" w:rsidR="00AD187C" w:rsidRPr="009E06AA" w:rsidRDefault="00AD187C" w:rsidP="00AD187C">
      <w:pPr>
        <w:pStyle w:val="BodyText"/>
      </w:pPr>
      <w:r w:rsidRPr="009E06AA">
        <w:t>Figure 8.1.5 presents an overview of the compilation process for Tokelau, and its integration into New Zealand’s inventory. It also shows where quality-assurance and quality-control steps are applied.</w:t>
      </w:r>
    </w:p>
    <w:p w14:paraId="10CFD613" w14:textId="2371B57B" w:rsidR="00AD187C" w:rsidRPr="009E06AA" w:rsidRDefault="00AD187C" w:rsidP="00AD187C">
      <w:pPr>
        <w:pStyle w:val="Figure"/>
      </w:pPr>
      <w:bookmarkStart w:id="3199" w:name="_Toc160205430"/>
      <w:bookmarkStart w:id="3200" w:name="_Toc160441567"/>
      <w:bookmarkStart w:id="3201" w:name="_Toc164154053"/>
      <w:r w:rsidRPr="009E06AA">
        <w:rPr>
          <w:bCs/>
        </w:rPr>
        <w:t xml:space="preserve">Figure 8.1.5 </w:t>
      </w:r>
      <w:r w:rsidRPr="009E06AA">
        <w:rPr>
          <w:bCs/>
        </w:rPr>
        <w:tab/>
        <w:t>Data processing, quality-assurance and quality-control processes applied to the inventory data</w:t>
      </w:r>
      <w:r w:rsidR="00387B6F" w:rsidRPr="009E06AA">
        <w:rPr>
          <w:bCs/>
        </w:rPr>
        <w:t> </w:t>
      </w:r>
      <w:r w:rsidRPr="009E06AA">
        <w:rPr>
          <w:bCs/>
        </w:rPr>
        <w:t>from Tokelau and its integration into New Zealand’s inventory</w:t>
      </w:r>
      <w:bookmarkEnd w:id="3199"/>
      <w:bookmarkEnd w:id="3200"/>
      <w:bookmarkEnd w:id="3201"/>
    </w:p>
    <w:p w14:paraId="10543E51" w14:textId="77777777" w:rsidR="00AD187C" w:rsidRPr="009E06AA" w:rsidRDefault="00AD187C" w:rsidP="00AD187C">
      <w:pPr>
        <w:pStyle w:val="BodyText"/>
      </w:pPr>
      <w:r w:rsidRPr="009E06AA">
        <w:rPr>
          <w:noProof/>
        </w:rPr>
        <w:drawing>
          <wp:inline distT="0" distB="0" distL="0" distR="0" wp14:anchorId="0DFC1352" wp14:editId="7C27E9CA">
            <wp:extent cx="5335815" cy="4218245"/>
            <wp:effectExtent l="0" t="0" r="0" b="0"/>
            <wp:docPr id="19532802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280276" name="Picture 1953280276"/>
                    <pic:cNvPicPr/>
                  </pic:nvPicPr>
                  <pic:blipFill rotWithShape="1">
                    <a:blip r:embed="rId180" cstate="print">
                      <a:extLst>
                        <a:ext uri="{28A0092B-C50C-407E-A947-70E740481C1C}">
                          <a14:useLocalDpi xmlns:a14="http://schemas.microsoft.com/office/drawing/2010/main" val="0"/>
                        </a:ext>
                      </a:extLst>
                    </a:blip>
                    <a:srcRect/>
                    <a:stretch/>
                  </pic:blipFill>
                  <pic:spPr bwMode="auto">
                    <a:xfrm>
                      <a:off x="0" y="0"/>
                      <a:ext cx="5336540" cy="4218818"/>
                    </a:xfrm>
                    <a:prstGeom prst="rect">
                      <a:avLst/>
                    </a:prstGeom>
                    <a:ln>
                      <a:noFill/>
                    </a:ln>
                    <a:extLst>
                      <a:ext uri="{53640926-AAD7-44D8-BBD7-CCE9431645EC}">
                        <a14:shadowObscured xmlns:a14="http://schemas.microsoft.com/office/drawing/2010/main"/>
                      </a:ext>
                    </a:extLst>
                  </pic:spPr>
                </pic:pic>
              </a:graphicData>
            </a:graphic>
          </wp:inline>
        </w:drawing>
      </w:r>
    </w:p>
    <w:p w14:paraId="0AE771BC" w14:textId="77777777" w:rsidR="00AD187C" w:rsidRPr="009E06AA" w:rsidRDefault="00AD187C" w:rsidP="00AD187C">
      <w:pPr>
        <w:pStyle w:val="Heading2"/>
        <w:spacing w:before="400"/>
      </w:pPr>
      <w:bookmarkStart w:id="3202" w:name="_Toc5269394"/>
      <w:bookmarkStart w:id="3203" w:name="_Toc36224434"/>
      <w:bookmarkStart w:id="3204" w:name="_Toc68786354"/>
      <w:bookmarkStart w:id="3205" w:name="_Toc131591268"/>
      <w:bookmarkStart w:id="3206" w:name="_Toc160205182"/>
      <w:bookmarkStart w:id="3207" w:name="_Toc160441767"/>
      <w:bookmarkStart w:id="3208" w:name="_Toc164154223"/>
      <w:bookmarkStart w:id="3209" w:name="X42f4476d97131f2c6daa47dde56e0ec00dea697"/>
      <w:bookmarkEnd w:id="3131"/>
      <w:r w:rsidRPr="009E06AA">
        <w:t xml:space="preserve">8.2 </w:t>
      </w:r>
      <w:r w:rsidRPr="009E06AA">
        <w:tab/>
        <w:t>Energy emissions from Tokelau (6. Tokelau_1)</w:t>
      </w:r>
      <w:bookmarkEnd w:id="3202"/>
      <w:bookmarkEnd w:id="3203"/>
      <w:bookmarkEnd w:id="3204"/>
      <w:bookmarkEnd w:id="3205"/>
      <w:bookmarkEnd w:id="3206"/>
      <w:bookmarkEnd w:id="3207"/>
      <w:bookmarkEnd w:id="3208"/>
    </w:p>
    <w:p w14:paraId="6C02F7A3" w14:textId="77777777" w:rsidR="00AD187C" w:rsidRPr="009E06AA" w:rsidRDefault="00AD187C" w:rsidP="00AD187C">
      <w:pPr>
        <w:pStyle w:val="Heading3"/>
        <w:spacing w:before="240"/>
      </w:pPr>
      <w:bookmarkStart w:id="3210" w:name="_Toc160205183"/>
      <w:bookmarkStart w:id="3211" w:name="_Toc160441768"/>
      <w:bookmarkStart w:id="3212" w:name="overview-of-tokelaus-energy-sector"/>
      <w:r w:rsidRPr="009E06AA">
        <w:t xml:space="preserve">8.2.1 </w:t>
      </w:r>
      <w:r w:rsidRPr="009E06AA">
        <w:tab/>
        <w:t>Overview of Tokelau’s Energy sector</w:t>
      </w:r>
      <w:bookmarkEnd w:id="3210"/>
      <w:bookmarkEnd w:id="3211"/>
    </w:p>
    <w:p w14:paraId="48E306D9" w14:textId="77777777" w:rsidR="00AD187C" w:rsidRPr="009E06AA" w:rsidRDefault="00AD187C" w:rsidP="00AD187C">
      <w:pPr>
        <w:pStyle w:val="BodyText"/>
      </w:pPr>
      <w:r w:rsidRPr="009E06AA">
        <w:t>The total amount of all energy emissions in Tokelau in 2022 was 2.76 kt CO</w:t>
      </w:r>
      <w:r w:rsidRPr="009E06AA">
        <w:rPr>
          <w:vertAlign w:val="subscript"/>
        </w:rPr>
        <w:t>2</w:t>
      </w:r>
      <w:r w:rsidRPr="009E06AA">
        <w:t xml:space="preserve">-e. This contributed 58.9 per cent to the total emissions from Tokelau and 0.0035 per cent to New Zealand’s gross emissions including Tokelau. The categories that contributed to the energy emissions were </w:t>
      </w:r>
      <w:r w:rsidRPr="009E06AA">
        <w:rPr>
          <w:i/>
        </w:rPr>
        <w:t>Domestic navigation</w:t>
      </w:r>
      <w:r w:rsidRPr="009E06AA">
        <w:t xml:space="preserve">, </w:t>
      </w:r>
      <w:r w:rsidRPr="009E06AA">
        <w:rPr>
          <w:i/>
          <w:iCs/>
        </w:rPr>
        <w:t>Electricity generation</w:t>
      </w:r>
      <w:r w:rsidRPr="009E06AA">
        <w:t xml:space="preserve"> and </w:t>
      </w:r>
      <w:r w:rsidRPr="009E06AA">
        <w:rPr>
          <w:i/>
        </w:rPr>
        <w:t>Other – Residential</w:t>
      </w:r>
      <w:r w:rsidRPr="009E06AA">
        <w:t>.</w:t>
      </w:r>
    </w:p>
    <w:p w14:paraId="488A9C8E" w14:textId="77777777" w:rsidR="00AD187C" w:rsidRPr="009E06AA" w:rsidRDefault="00AD187C" w:rsidP="00AD187C">
      <w:pPr>
        <w:pStyle w:val="BodyText"/>
      </w:pPr>
      <w:r w:rsidRPr="009E06AA">
        <w:t>For all energy categories, emissions were estimated using the IPCC Tier 1 methodological approach with IPCC default emission factors (IPCC, 2006a). Default IPCC uncertainty values were used for all estimates (IPCC, 2006a).</w:t>
      </w:r>
    </w:p>
    <w:p w14:paraId="08A4D8BE" w14:textId="77777777" w:rsidR="00AD187C" w:rsidRPr="009E06AA" w:rsidRDefault="00AD187C" w:rsidP="00AD187C">
      <w:pPr>
        <w:pStyle w:val="BodyText"/>
      </w:pPr>
      <w:r w:rsidRPr="009E06AA">
        <w:t>Tokelau predominately uses diesel oil and petrol (for back-up generators and transport) and liquefied petroleum gas (LPG) (for cooking purposes). Solid fuels are not used in Tokelau, other than on a small scale, for instance the husks of locally grown coconuts. Emissions from solid fuels are, therefore, not estimated.</w:t>
      </w:r>
    </w:p>
    <w:p w14:paraId="371BACBE" w14:textId="77777777" w:rsidR="00AD187C" w:rsidRPr="009E06AA" w:rsidRDefault="00AD187C" w:rsidP="00AD187C">
      <w:pPr>
        <w:pStyle w:val="BodyText"/>
      </w:pPr>
      <w:r w:rsidRPr="009E06AA">
        <w:t xml:space="preserve">Small amounts of other fossil fuels are imported by Tokelau, which are assumed to be combusted. These include gasoline, other kerosene and lubricants. Their combustion is accounted for under </w:t>
      </w:r>
      <w:r w:rsidRPr="009E06AA">
        <w:rPr>
          <w:i/>
          <w:iCs/>
        </w:rPr>
        <w:t>Gas/diesel oil</w:t>
      </w:r>
      <w:r w:rsidRPr="009E06AA">
        <w:t xml:space="preserve">. Around 40 drums (205-litre capacity per drum) of oil are imported annually, the bulk of which is assumed to be mixed with petrol for ‘outboard’ engine use and combusted, with only a few drums used to lubricate cars and other engines. Because none of those are recycled, combustion is the most likely outcome. Oil changes carried out in Apia during servicing of the ferries </w:t>
      </w:r>
      <w:r w:rsidRPr="009E06AA">
        <w:rPr>
          <w:i/>
          <w:iCs/>
        </w:rPr>
        <w:t>Mataliki</w:t>
      </w:r>
      <w:r w:rsidRPr="009E06AA">
        <w:t xml:space="preserve"> and </w:t>
      </w:r>
      <w:r w:rsidRPr="009E06AA">
        <w:rPr>
          <w:i/>
          <w:iCs/>
        </w:rPr>
        <w:t>Kalopaga</w:t>
      </w:r>
      <w:r w:rsidRPr="009E06AA">
        <w:t>, after every five roundtrips, has the more significant amount of waste oil but this remains in Samoa.</w:t>
      </w:r>
    </w:p>
    <w:p w14:paraId="3BBEC5F2" w14:textId="77777777" w:rsidR="00AD187C" w:rsidRPr="009E06AA" w:rsidRDefault="00AD187C" w:rsidP="00AD187C">
      <w:pPr>
        <w:pStyle w:val="BodyText"/>
      </w:pPr>
      <w:r w:rsidRPr="009E06AA">
        <w:t>For consistency with New Zealand’s Energy sector, gross calorific values were used for Energy sector estimates from Tokelau. The relevant IPCC default emission factors were adjusted accordingly by multiplying them by 0.95 and 0.90 for liquid and gaseous fuels respectively.</w:t>
      </w:r>
    </w:p>
    <w:p w14:paraId="20BCB559" w14:textId="77777777" w:rsidR="00AD187C" w:rsidRPr="009E06AA" w:rsidRDefault="00AD187C" w:rsidP="00AD187C">
      <w:pPr>
        <w:pStyle w:val="Heading3"/>
      </w:pPr>
      <w:bookmarkStart w:id="3213" w:name="_Toc160205184"/>
      <w:bookmarkStart w:id="3214" w:name="_Toc160441769"/>
      <w:bookmarkStart w:id="3215" w:name="reference-approach"/>
      <w:bookmarkEnd w:id="3212"/>
      <w:r w:rsidRPr="009E06AA">
        <w:t xml:space="preserve">8.2.2 </w:t>
      </w:r>
      <w:r w:rsidRPr="009E06AA">
        <w:tab/>
        <w:t>Reference approach</w:t>
      </w:r>
      <w:bookmarkEnd w:id="3213"/>
      <w:bookmarkEnd w:id="3214"/>
    </w:p>
    <w:p w14:paraId="0285E869" w14:textId="77777777" w:rsidR="00AD187C" w:rsidRPr="009E06AA" w:rsidRDefault="00AD187C" w:rsidP="00AD187C">
      <w:pPr>
        <w:pStyle w:val="BodyText"/>
      </w:pPr>
      <w:r w:rsidRPr="009E06AA">
        <w:t>The reference approach calculations were performed according to the methods described in the 2006 IPCC Guidelines. Equations 6.1 to 6.4 from chapter 6 in the 2006 IPCC Guidelines were used for calculating consumption and estimating emissions (IPCC, 2006a). Gross calorific values were used for all calculations.</w:t>
      </w:r>
    </w:p>
    <w:p w14:paraId="6631A5C9" w14:textId="77777777" w:rsidR="00AD187C" w:rsidRPr="009E06AA" w:rsidRDefault="00AD187C" w:rsidP="00AD187C">
      <w:pPr>
        <w:pStyle w:val="BodyText"/>
      </w:pPr>
      <w:r w:rsidRPr="009E06AA">
        <w:t>In 2022, total CO</w:t>
      </w:r>
      <w:r w:rsidRPr="009E06AA">
        <w:rPr>
          <w:vertAlign w:val="subscript"/>
        </w:rPr>
        <w:t>2</w:t>
      </w:r>
      <w:r w:rsidRPr="009E06AA">
        <w:t xml:space="preserve"> emissions from the reference approach in Tokelau were 1.99 kt, which differs from the sectoral approach by 2.3 per cent. The average variation of differences between the sectoral and reference approach across the time series was 2.2 per cent.</w:t>
      </w:r>
    </w:p>
    <w:p w14:paraId="19B1FF38" w14:textId="77777777" w:rsidR="00AD187C" w:rsidRPr="009E06AA" w:rsidRDefault="00AD187C" w:rsidP="00AD187C">
      <w:pPr>
        <w:pStyle w:val="Heading3"/>
      </w:pPr>
      <w:bookmarkStart w:id="3216" w:name="_Toc160205185"/>
      <w:bookmarkStart w:id="3217" w:name="_Toc160441770"/>
      <w:bookmarkStart w:id="3218" w:name="international-bunker-fuels"/>
      <w:bookmarkEnd w:id="3215"/>
      <w:r w:rsidRPr="009E06AA">
        <w:t xml:space="preserve">8.2.3 </w:t>
      </w:r>
      <w:r w:rsidRPr="009E06AA">
        <w:tab/>
        <w:t>International bunker fuels</w:t>
      </w:r>
      <w:bookmarkEnd w:id="3216"/>
      <w:bookmarkEnd w:id="3217"/>
    </w:p>
    <w:p w14:paraId="5C98C0BD" w14:textId="77777777" w:rsidR="00AD187C" w:rsidRPr="009E06AA" w:rsidRDefault="00AD187C" w:rsidP="00AD187C">
      <w:pPr>
        <w:pStyle w:val="BodyText"/>
      </w:pPr>
      <w:r w:rsidRPr="009E06AA">
        <w:t>No fuel is used for international navigation in Tokelau, because only domestic voyages are made by Tokelau’s vessels. All international voyages use the fuel loaded in Samoa and no refuelling is done in Tokelau for the international routes.</w:t>
      </w:r>
      <w:bookmarkStart w:id="3219" w:name="X28afd734f18878b6460c7bd7cf440e665c35fc3"/>
      <w:bookmarkEnd w:id="3209"/>
      <w:bookmarkEnd w:id="3218"/>
    </w:p>
    <w:p w14:paraId="6B26F1BE" w14:textId="77777777" w:rsidR="00AD187C" w:rsidRPr="009E06AA" w:rsidRDefault="00AD187C" w:rsidP="00AD187C">
      <w:pPr>
        <w:pStyle w:val="BodyText"/>
        <w:rPr>
          <w:b/>
        </w:rPr>
      </w:pPr>
      <w:r w:rsidRPr="009E06AA">
        <w:t>Tokelau has no domestic or international aviation transportation.</w:t>
      </w:r>
    </w:p>
    <w:p w14:paraId="5014F31E" w14:textId="77777777" w:rsidR="00AD187C" w:rsidRPr="009E06AA" w:rsidRDefault="00AD187C" w:rsidP="00AD187C">
      <w:pPr>
        <w:pStyle w:val="Heading2"/>
      </w:pPr>
      <w:bookmarkStart w:id="3220" w:name="_Toc160205186"/>
      <w:bookmarkStart w:id="3221" w:name="_Toc160441771"/>
      <w:bookmarkStart w:id="3222" w:name="_Toc164154224"/>
      <w:r w:rsidRPr="009E06AA">
        <w:t xml:space="preserve">8.3 </w:t>
      </w:r>
      <w:r w:rsidRPr="009E06AA">
        <w:tab/>
        <w:t>Stationary combustion: Public electricity and heat production</w:t>
      </w:r>
      <w:bookmarkEnd w:id="3220"/>
      <w:bookmarkEnd w:id="3221"/>
      <w:bookmarkEnd w:id="3222"/>
    </w:p>
    <w:p w14:paraId="4EBFB1B8" w14:textId="77777777" w:rsidR="00AD187C" w:rsidRPr="009E06AA" w:rsidRDefault="00AD187C" w:rsidP="00AD187C">
      <w:pPr>
        <w:pStyle w:val="Heading3"/>
        <w:spacing w:before="240"/>
      </w:pPr>
      <w:bookmarkStart w:id="3223" w:name="_Toc160205187"/>
      <w:bookmarkStart w:id="3224" w:name="_Toc160441772"/>
      <w:r w:rsidRPr="009E06AA">
        <w:t xml:space="preserve">8.3.1 </w:t>
      </w:r>
      <w:r w:rsidRPr="009E06AA">
        <w:tab/>
        <w:t>Description</w:t>
      </w:r>
      <w:bookmarkEnd w:id="3223"/>
      <w:bookmarkEnd w:id="3224"/>
    </w:p>
    <w:p w14:paraId="2B11C84C" w14:textId="77777777" w:rsidR="00AD187C" w:rsidRPr="009E06AA" w:rsidRDefault="00AD187C" w:rsidP="00AD187C">
      <w:pPr>
        <w:pStyle w:val="BodyText"/>
      </w:pPr>
      <w:r w:rsidRPr="009E06AA">
        <w:t xml:space="preserve">The main source of emissions from this category in Tokelau includes electricity production from back-up generators. Tokelau uses liquid fossil fuels for these purposes, therefore, only liquid fossil fuels are reported in the </w:t>
      </w:r>
      <w:r w:rsidRPr="009E06AA">
        <w:rPr>
          <w:i/>
        </w:rPr>
        <w:t>Energy industries</w:t>
      </w:r>
      <w:r w:rsidRPr="009E06AA">
        <w:t xml:space="preserve"> category.</w:t>
      </w:r>
    </w:p>
    <w:p w14:paraId="643DC707" w14:textId="77777777" w:rsidR="00AD187C" w:rsidRPr="009E06AA" w:rsidRDefault="00AD187C" w:rsidP="00AD187C">
      <w:pPr>
        <w:pStyle w:val="BodyText"/>
      </w:pPr>
      <w:r w:rsidRPr="009E06AA">
        <w:t>Like most small Pacific Island nations and territories, Tokelau has been heavily reliant on the importation of fossil fuels for energy generation. Imports increased significantly in 2004, when electric power became available for households 24 hours a day, 7 days a week. Before that, electricity was generated between 6 pm and 10 pm daily, and annual diesel consumption was about 20 per cent of the value in 2011.</w:t>
      </w:r>
    </w:p>
    <w:p w14:paraId="310932F5" w14:textId="77777777" w:rsidR="00AD187C" w:rsidRPr="009E06AA" w:rsidRDefault="00AD187C" w:rsidP="00AD187C">
      <w:pPr>
        <w:pStyle w:val="BodyText"/>
      </w:pPr>
      <w:r w:rsidRPr="009E06AA">
        <w:t>In 2012, the installation of 4,000 solar photovoltaics (PV) systems across the three atolls was completed (figure 8.3.1). Each of the three Tokelau atolls now has a significant array of solar PV systems that cater for a significant proportion of local electric power requirements.</w:t>
      </w:r>
    </w:p>
    <w:p w14:paraId="48F4AB8F" w14:textId="77777777" w:rsidR="00AD187C" w:rsidRPr="009E06AA" w:rsidRDefault="00AD187C" w:rsidP="00AD187C">
      <w:pPr>
        <w:pStyle w:val="Figure"/>
      </w:pPr>
      <w:bookmarkStart w:id="3225" w:name="_Toc5269725"/>
      <w:bookmarkStart w:id="3226" w:name="_Toc36292828"/>
      <w:bookmarkStart w:id="3227" w:name="_Toc64972935"/>
      <w:bookmarkStart w:id="3228" w:name="_Toc68786692"/>
      <w:bookmarkStart w:id="3229" w:name="_Toc130211300"/>
      <w:bookmarkStart w:id="3230" w:name="_Toc131591585"/>
      <w:bookmarkStart w:id="3231" w:name="_Toc160205431"/>
      <w:bookmarkStart w:id="3232" w:name="_Toc160441568"/>
      <w:bookmarkStart w:id="3233" w:name="_Toc164154054"/>
      <w:r w:rsidRPr="009E06AA">
        <w:rPr>
          <w:bCs/>
        </w:rPr>
        <w:t xml:space="preserve">Figure 8.3.1 </w:t>
      </w:r>
      <w:r w:rsidRPr="009E06AA">
        <w:rPr>
          <w:bCs/>
        </w:rPr>
        <w:tab/>
        <w:t>Cluster block diagram for Tokelau’s solar project</w:t>
      </w:r>
      <w:bookmarkEnd w:id="3225"/>
      <w:bookmarkEnd w:id="3226"/>
      <w:bookmarkEnd w:id="3227"/>
      <w:bookmarkEnd w:id="3228"/>
      <w:bookmarkEnd w:id="3229"/>
      <w:bookmarkEnd w:id="3230"/>
      <w:bookmarkEnd w:id="3231"/>
      <w:bookmarkEnd w:id="3232"/>
      <w:bookmarkEnd w:id="3233"/>
    </w:p>
    <w:p w14:paraId="6D665C85" w14:textId="77777777" w:rsidR="00AD187C" w:rsidRPr="009E06AA" w:rsidRDefault="00AD187C" w:rsidP="00AD187C">
      <w:pPr>
        <w:pStyle w:val="BodyText"/>
      </w:pPr>
      <w:r w:rsidRPr="009E06AA">
        <w:rPr>
          <w:noProof/>
        </w:rPr>
        <w:drawing>
          <wp:inline distT="0" distB="0" distL="0" distR="0" wp14:anchorId="6CE6DCA3" wp14:editId="6FAB4A81">
            <wp:extent cx="4821249" cy="2958513"/>
            <wp:effectExtent l="0" t="0" r="0" b="0"/>
            <wp:docPr id="1678481494" name="Picture 1678481494"/>
            <wp:cNvGraphicFramePr/>
            <a:graphic xmlns:a="http://schemas.openxmlformats.org/drawingml/2006/main">
              <a:graphicData uri="http://schemas.openxmlformats.org/drawingml/2006/picture">
                <pic:pic xmlns:pic="http://schemas.openxmlformats.org/drawingml/2006/picture">
                  <pic:nvPicPr>
                    <pic:cNvPr id="58" name="Picture" descr="images/fig_8_2_1.png"/>
                    <pic:cNvPicPr>
                      <a:picLocks noChangeAspect="1" noChangeArrowheads="1"/>
                    </pic:cNvPicPr>
                  </pic:nvPicPr>
                  <pic:blipFill rotWithShape="1">
                    <a:blip r:embed="rId181"/>
                    <a:srcRect t="1311" b="8796"/>
                    <a:stretch/>
                  </pic:blipFill>
                  <pic:spPr bwMode="auto">
                    <a:xfrm>
                      <a:off x="0" y="0"/>
                      <a:ext cx="4822190" cy="2959091"/>
                    </a:xfrm>
                    <a:prstGeom prst="rect">
                      <a:avLst/>
                    </a:prstGeom>
                    <a:noFill/>
                    <a:ln>
                      <a:noFill/>
                    </a:ln>
                    <a:extLst>
                      <a:ext uri="{53640926-AAD7-44D8-BBD7-CCE9431645EC}">
                        <a14:shadowObscured xmlns:a14="http://schemas.microsoft.com/office/drawing/2010/main"/>
                      </a:ext>
                    </a:extLst>
                  </pic:spPr>
                </pic:pic>
              </a:graphicData>
            </a:graphic>
          </wp:inline>
        </w:drawing>
      </w:r>
    </w:p>
    <w:p w14:paraId="0AF856C7" w14:textId="77777777" w:rsidR="00AD187C" w:rsidRPr="009E06AA" w:rsidRDefault="00AD187C" w:rsidP="00387CF3">
      <w:pPr>
        <w:pStyle w:val="Source"/>
        <w:spacing w:after="120"/>
      </w:pPr>
      <w:r w:rsidRPr="009E06AA">
        <w:t>Source: International Renewable Energy Agency.</w:t>
      </w:r>
    </w:p>
    <w:p w14:paraId="7425B887" w14:textId="77777777" w:rsidR="00AD187C" w:rsidRPr="009E06AA" w:rsidRDefault="00AD187C" w:rsidP="00AD187C">
      <w:pPr>
        <w:pStyle w:val="BodyText"/>
      </w:pPr>
      <w:r w:rsidRPr="009E06AA">
        <w:t>Tokelau received wide media coverage for its installation of solar PV units.</w:t>
      </w:r>
      <w:r w:rsidRPr="009E06AA">
        <w:rPr>
          <w:rStyle w:val="FootnoteReference"/>
        </w:rPr>
        <w:footnoteReference w:id="65"/>
      </w:r>
      <w:r w:rsidRPr="009E06AA">
        <w:t xml:space="preserve"> The change resulted in a significant drop in liquid fossil fuels consumption for electricity production in Tokelau (by around 82.5 per cent) and a decrease in the total energy emissions by 36.4 per cent between 2011 and 2013. However, some power generation using diesel remains necessary as a back up, during the failure of solar PV units, prolonged cloudy spells, and to meet the steadily increasing demand from households and the public sector. In 2022, Tokelau’s reliance on diesel generators has increased in part due to Nukunonu’s solar panel batteries overheating due to low maintenance. A project that was planned to upgrade the solar panel batteries was deferred due to COVID-19.</w:t>
      </w:r>
    </w:p>
    <w:p w14:paraId="662501A3" w14:textId="77777777" w:rsidR="00AD187C" w:rsidRPr="009E06AA" w:rsidRDefault="00AD187C" w:rsidP="00AD187C">
      <w:pPr>
        <w:pStyle w:val="Heading4"/>
      </w:pPr>
      <w:bookmarkStart w:id="3234" w:name="energy-emission-trends"/>
      <w:r w:rsidRPr="009E06AA">
        <w:t>Energy emission trends</w:t>
      </w:r>
    </w:p>
    <w:p w14:paraId="34BCA7F3" w14:textId="77777777" w:rsidR="00AD187C" w:rsidRPr="009E06AA" w:rsidRDefault="00AD187C" w:rsidP="00AD187C">
      <w:pPr>
        <w:pStyle w:val="BodyText"/>
      </w:pPr>
      <w:r w:rsidRPr="009E06AA">
        <w:t xml:space="preserve">For Tokelau, the </w:t>
      </w:r>
      <w:r w:rsidRPr="009E06AA">
        <w:rPr>
          <w:i/>
          <w:iCs/>
        </w:rPr>
        <w:t>Electricity generation</w:t>
      </w:r>
      <w:r w:rsidRPr="009E06AA">
        <w:t xml:space="preserve"> category accounted for 100 per cent of the emissions from the </w:t>
      </w:r>
      <w:r w:rsidRPr="009E06AA">
        <w:rPr>
          <w:i/>
        </w:rPr>
        <w:t>Energy industries</w:t>
      </w:r>
      <w:r w:rsidRPr="009E06AA">
        <w:t xml:space="preserve"> category for the entire time series. In 2022, emissions from the </w:t>
      </w:r>
      <w:r w:rsidRPr="009E06AA">
        <w:rPr>
          <w:i/>
        </w:rPr>
        <w:t>Energy industries</w:t>
      </w:r>
      <w:r w:rsidRPr="009E06AA">
        <w:t xml:space="preserve"> category totalled 1.34 kt CO</w:t>
      </w:r>
      <w:r w:rsidRPr="009E06AA">
        <w:rPr>
          <w:vertAlign w:val="subscript"/>
        </w:rPr>
        <w:t>2</w:t>
      </w:r>
      <w:r w:rsidRPr="009E06AA">
        <w:t>-e (48.5 per cent of all energy emissions from Tokelau). Emissions from energy industries increased by 1.11 kt CO</w:t>
      </w:r>
      <w:r w:rsidRPr="009E06AA">
        <w:rPr>
          <w:vertAlign w:val="subscript"/>
        </w:rPr>
        <w:t>2</w:t>
      </w:r>
      <w:r w:rsidRPr="009E06AA">
        <w:t>-e (480.0 per cent) since the 1990 level of 0.23 kt CO</w:t>
      </w:r>
      <w:r w:rsidRPr="009E06AA">
        <w:rPr>
          <w:vertAlign w:val="subscript"/>
        </w:rPr>
        <w:t>2</w:t>
      </w:r>
      <w:r w:rsidRPr="009E06AA">
        <w:t>-e.</w:t>
      </w:r>
    </w:p>
    <w:p w14:paraId="4483F808" w14:textId="77777777" w:rsidR="00AD187C" w:rsidRPr="009E06AA" w:rsidRDefault="00AD187C" w:rsidP="00AD187C">
      <w:pPr>
        <w:pStyle w:val="BodyText"/>
      </w:pPr>
      <w:r w:rsidRPr="009E06AA">
        <w:t>The increase in emissions in 2004 was due to continuously generating electricity from fossil fuels, which was later offset by the installation of solar PV units in 2012. After 2012, solar energy dominated electricity production until the end of the time series when demand increased for diesel generation because the generation from solar power decreased. Figure 8.3.2 shows emission trends in the Energy sector by category for Tokelau.</w:t>
      </w:r>
    </w:p>
    <w:p w14:paraId="15CF342F" w14:textId="5C4BFFDB" w:rsidR="00AD187C" w:rsidRPr="009E06AA" w:rsidRDefault="00AD187C" w:rsidP="00AD187C">
      <w:pPr>
        <w:pStyle w:val="Figure"/>
        <w:spacing w:after="80"/>
      </w:pPr>
      <w:bookmarkStart w:id="3235" w:name="_Toc36292829"/>
      <w:bookmarkStart w:id="3236" w:name="_Toc64972936"/>
      <w:bookmarkStart w:id="3237" w:name="_Toc68786693"/>
      <w:bookmarkStart w:id="3238" w:name="_Toc130211301"/>
      <w:bookmarkStart w:id="3239" w:name="_Toc131591586"/>
      <w:bookmarkStart w:id="3240" w:name="_Toc160205432"/>
      <w:bookmarkStart w:id="3241" w:name="_Toc160441569"/>
      <w:bookmarkStart w:id="3242" w:name="_Toc164154055"/>
      <w:r w:rsidRPr="009E06AA">
        <w:rPr>
          <w:bCs/>
        </w:rPr>
        <w:t>Figure 8.3.2</w:t>
      </w:r>
      <w:r w:rsidRPr="009E06AA">
        <w:t xml:space="preserve"> </w:t>
      </w:r>
      <w:r w:rsidRPr="009E06AA">
        <w:tab/>
        <w:t>Energy emissions by category for Tokelau (kt CO</w:t>
      </w:r>
      <w:r w:rsidRPr="009E06AA">
        <w:rPr>
          <w:vertAlign w:val="subscript"/>
        </w:rPr>
        <w:t>2</w:t>
      </w:r>
      <w:r w:rsidRPr="009E06AA">
        <w:t>-e)</w:t>
      </w:r>
      <w:r w:rsidR="00387B6F" w:rsidRPr="009E06AA">
        <w:t>,</w:t>
      </w:r>
      <w:r w:rsidRPr="009E06AA">
        <w:t xml:space="preserve"> from </w:t>
      </w:r>
      <w:r w:rsidRPr="009E06AA">
        <w:rPr>
          <w:bCs/>
        </w:rPr>
        <w:t>1990</w:t>
      </w:r>
      <w:r w:rsidRPr="009E06AA">
        <w:t xml:space="preserve"> to </w:t>
      </w:r>
      <w:bookmarkEnd w:id="3235"/>
      <w:bookmarkEnd w:id="3236"/>
      <w:bookmarkEnd w:id="3237"/>
      <w:bookmarkEnd w:id="3238"/>
      <w:bookmarkEnd w:id="3239"/>
      <w:r w:rsidRPr="009E06AA">
        <w:rPr>
          <w:bCs/>
        </w:rPr>
        <w:t>2022</w:t>
      </w:r>
      <w:bookmarkEnd w:id="3240"/>
      <w:bookmarkEnd w:id="3241"/>
      <w:bookmarkEnd w:id="3242"/>
    </w:p>
    <w:p w14:paraId="4911AA6B" w14:textId="77777777" w:rsidR="00AD187C" w:rsidRPr="009E06AA" w:rsidRDefault="00AD187C" w:rsidP="00AD187C">
      <w:pPr>
        <w:pStyle w:val="BodyText"/>
      </w:pPr>
      <w:r w:rsidRPr="009E06AA">
        <w:rPr>
          <w:noProof/>
        </w:rPr>
        <w:drawing>
          <wp:inline distT="0" distB="0" distL="0" distR="0" wp14:anchorId="19562948" wp14:editId="197A70B9">
            <wp:extent cx="5396256" cy="2665562"/>
            <wp:effectExtent l="0" t="0" r="0" b="1905"/>
            <wp:docPr id="62" name="Picture 62"/>
            <wp:cNvGraphicFramePr/>
            <a:graphic xmlns:a="http://schemas.openxmlformats.org/drawingml/2006/main">
              <a:graphicData uri="http://schemas.openxmlformats.org/drawingml/2006/picture">
                <pic:pic xmlns:pic="http://schemas.openxmlformats.org/drawingml/2006/picture">
                  <pic:nvPicPr>
                    <pic:cNvPr id="63" name="Picture" descr="images/fig_8_3_2.png"/>
                    <pic:cNvPicPr>
                      <a:picLocks noChangeAspect="1" noChangeArrowheads="1"/>
                    </pic:cNvPicPr>
                  </pic:nvPicPr>
                  <pic:blipFill rotWithShape="1">
                    <a:blip r:embed="rId182"/>
                    <a:srcRect b="1853"/>
                    <a:stretch/>
                  </pic:blipFill>
                  <pic:spPr bwMode="auto">
                    <a:xfrm>
                      <a:off x="0" y="0"/>
                      <a:ext cx="5397500" cy="2666176"/>
                    </a:xfrm>
                    <a:prstGeom prst="rect">
                      <a:avLst/>
                    </a:prstGeom>
                    <a:noFill/>
                    <a:ln>
                      <a:noFill/>
                    </a:ln>
                    <a:extLst>
                      <a:ext uri="{53640926-AAD7-44D8-BBD7-CCE9431645EC}">
                        <a14:shadowObscured xmlns:a14="http://schemas.microsoft.com/office/drawing/2010/main"/>
                      </a:ext>
                    </a:extLst>
                  </pic:spPr>
                </pic:pic>
              </a:graphicData>
            </a:graphic>
          </wp:inline>
        </w:drawing>
      </w:r>
    </w:p>
    <w:p w14:paraId="45C39F51" w14:textId="77777777" w:rsidR="00AD187C" w:rsidRPr="009E06AA" w:rsidRDefault="00AD187C" w:rsidP="00AD187C">
      <w:pPr>
        <w:pStyle w:val="Heading3"/>
        <w:spacing w:before="280"/>
      </w:pPr>
      <w:bookmarkStart w:id="3243" w:name="_Toc160205188"/>
      <w:bookmarkStart w:id="3244" w:name="_Toc160441773"/>
      <w:bookmarkEnd w:id="3234"/>
      <w:r w:rsidRPr="009E06AA">
        <w:t xml:space="preserve">8.3.2 </w:t>
      </w:r>
      <w:r w:rsidRPr="009E06AA">
        <w:tab/>
        <w:t>Methodological issues</w:t>
      </w:r>
      <w:bookmarkEnd w:id="3243"/>
      <w:bookmarkEnd w:id="3244"/>
    </w:p>
    <w:p w14:paraId="7CC3B519" w14:textId="77777777" w:rsidR="00AD187C" w:rsidRPr="009E06AA" w:rsidRDefault="00AD187C" w:rsidP="00AD187C">
      <w:pPr>
        <w:pStyle w:val="Heading4"/>
        <w:spacing w:before="180"/>
      </w:pPr>
      <w:bookmarkStart w:id="3245" w:name="activity-data-1"/>
      <w:r w:rsidRPr="009E06AA">
        <w:t>Activity data</w:t>
      </w:r>
    </w:p>
    <w:p w14:paraId="7B0775A4" w14:textId="77777777" w:rsidR="00AD187C" w:rsidRPr="009E06AA" w:rsidRDefault="00AD187C" w:rsidP="00AD187C">
      <w:pPr>
        <w:pStyle w:val="BodyText"/>
        <w:spacing w:before="100" w:after="100"/>
      </w:pPr>
      <w:r w:rsidRPr="009E06AA">
        <w:t xml:space="preserve">The sources of activity data for the </w:t>
      </w:r>
      <w:r w:rsidRPr="009E06AA">
        <w:rPr>
          <w:i/>
        </w:rPr>
        <w:t>Energy industries</w:t>
      </w:r>
      <w:r w:rsidRPr="009E06AA">
        <w:t xml:space="preserve"> category are included in table 8.1.1. Key sources for the energy supply and consumption data are the Tokelau Department of Energy and Petroleum Product Supplies Ltd (Apia, Samoa). The Tokelau Department of Energy provided background data for estimates of diesel use for power generation around the time that electricity changed to 24 hours a day, 7 days a week in Tokelau in 2004 (item 6 in table 8.1.1). Based on purchase information, the Department of Finance provided the data on fuel prices and volumes supplied by Petroleum Product Supplies Ltd for shipping and on-atoll use of diesel, petrol, kerosene and lubricant oil (item 7 in table 8.1.1). Only liquid fossil fuels (i.e., gas and diesel oil) are used in the </w:t>
      </w:r>
      <w:r w:rsidRPr="009E06AA">
        <w:rPr>
          <w:i/>
        </w:rPr>
        <w:t>Energy industries</w:t>
      </w:r>
      <w:r w:rsidRPr="009E06AA">
        <w:t xml:space="preserve"> category. All fossil fuels in Tokelau are imported, activity data are mostly obtained from analysis of invoices from main suppliers and shipping manifests.</w:t>
      </w:r>
    </w:p>
    <w:p w14:paraId="683914A1" w14:textId="77777777" w:rsidR="00AD187C" w:rsidRPr="009E06AA" w:rsidRDefault="00AD187C" w:rsidP="00AD187C">
      <w:pPr>
        <w:pStyle w:val="BodyText"/>
        <w:spacing w:before="100" w:after="100"/>
      </w:pPr>
      <w:r w:rsidRPr="009E06AA">
        <w:t>In the course of the analysis of available data, discrepancies were discovered between the fuel imports shown on shipping manifests and the more reliable financial fuel purchase data that were audited. Detailed data were not available for each year from 1990 to 2022 (or data reliability was not high), so a trade-off was made between data granularity and data quality. The biggest and most reliably recorded data variations are reflected in the time series.</w:t>
      </w:r>
    </w:p>
    <w:p w14:paraId="70D94EA9" w14:textId="77777777" w:rsidR="00AD187C" w:rsidRPr="009E06AA" w:rsidRDefault="00AD187C" w:rsidP="00AD187C">
      <w:pPr>
        <w:pStyle w:val="BodyText"/>
        <w:spacing w:before="100" w:after="100"/>
      </w:pPr>
      <w:r w:rsidRPr="009E06AA">
        <w:t>For electricity generation, two important events occurred: first, the changeover to 24 hour, 7 days a week electricity in 2004 (from 6 pm to 10 pm before that, at an estimated 20 per cent of the 24 hour, 7 days a week value in 2011); and second the introduction of solar PV-powered plants in 2012. The change during 2012, due to the installation of solar PV-powered plants, was reasonably well documented and, therefore, reflected in the time series. For the years 1990 to 2003, 2005 to 2011 and 2013 to 2015, the activity data (and corresponding emissions) are shown as constant. In 2022, Tokelau’s reliance on diesel generators has increased due to an increase in demand and a decrease in the availability of solar power.</w:t>
      </w:r>
    </w:p>
    <w:p w14:paraId="5BAB91FE" w14:textId="77777777" w:rsidR="00AD187C" w:rsidRPr="009E06AA" w:rsidRDefault="00AD187C" w:rsidP="00AD187C">
      <w:pPr>
        <w:pStyle w:val="BodyText"/>
        <w:spacing w:before="100" w:after="100"/>
      </w:pPr>
      <w:r w:rsidRPr="009E06AA">
        <w:t>The diesel data for 2013 to 2015 were entirely based on analysis during 2018 of fuel purchases, when, for the first time, Tokelau’s analysts could clearly separate out the diesel used on-atoll and for shipping. The methodology for such analyses that was put in place for the 2019 inventory submission was refined in each subsequent submission.</w:t>
      </w:r>
    </w:p>
    <w:p w14:paraId="600CACFD" w14:textId="77777777" w:rsidR="00AD187C" w:rsidRPr="009E06AA" w:rsidRDefault="00AD187C" w:rsidP="00AD187C">
      <w:pPr>
        <w:pStyle w:val="BodyText"/>
      </w:pPr>
      <w:r w:rsidRPr="009E06AA">
        <w:t>Diesel is delivered on ‘dangerous goods sailings’ to Tokelau in the ships’ fuel bunkers. On arrival, it is pumped into drums on a barge, for shipping to shore and transport to the generator sites.</w:t>
      </w:r>
    </w:p>
    <w:p w14:paraId="61555F71" w14:textId="77777777" w:rsidR="00AD187C" w:rsidRPr="009E06AA" w:rsidRDefault="00AD187C" w:rsidP="00AD187C">
      <w:pPr>
        <w:pStyle w:val="Heading4"/>
      </w:pPr>
      <w:bookmarkStart w:id="3246" w:name="methods-and-emission-factors-1"/>
      <w:bookmarkEnd w:id="3245"/>
      <w:r w:rsidRPr="009E06AA">
        <w:t>Methods and emission factors</w:t>
      </w:r>
    </w:p>
    <w:p w14:paraId="233B63B8" w14:textId="77777777" w:rsidR="00AD187C" w:rsidRPr="009E06AA" w:rsidRDefault="00AD187C" w:rsidP="00AD187C">
      <w:pPr>
        <w:pStyle w:val="BodyText"/>
      </w:pPr>
      <w:r w:rsidRPr="009E06AA">
        <w:t xml:space="preserve">An IPCC Tier 1 method was applied for estimating emissions from the </w:t>
      </w:r>
      <w:r w:rsidRPr="009E06AA">
        <w:rPr>
          <w:i/>
          <w:iCs/>
        </w:rPr>
        <w:t>Electricity generation</w:t>
      </w:r>
      <w:r w:rsidRPr="009E06AA">
        <w:t xml:space="preserve"> category. The method required the data on the amount of LPG combusted in the source category and a default emission factor from table 2.2, section 2.3.2.1, volume 2 of the 2006 IPCC Guidelines. Default emission factors from the 2006 IPCC Guidelines were converted from net calorific values to gross calorific values using the Organisation for Economic Co-operation and Development (OECD) and International Energy Agency (IEA) assumptions to make these conversions:</w:t>
      </w:r>
    </w:p>
    <w:p w14:paraId="386D5260" w14:textId="77777777" w:rsidR="00AD187C" w:rsidRPr="009E06AA" w:rsidRDefault="00AD187C" w:rsidP="00AD187C">
      <w:pPr>
        <w:pStyle w:val="BodyText"/>
        <w:spacing w:before="100" w:after="100"/>
        <w:jc w:val="center"/>
        <w:rPr>
          <w:rFonts w:ascii="Cambria Math" w:hAnsi="Cambria Math"/>
          <w:i/>
          <w:sz w:val="24"/>
        </w:rPr>
      </w:pPr>
      <w:r w:rsidRPr="009E06AA">
        <w:rPr>
          <w:rFonts w:ascii="Cambria Math" w:hAnsi="Cambria Math"/>
          <w:i/>
          <w:sz w:val="24"/>
        </w:rPr>
        <w:t>Gross Emission Factor (liquid fuels) = 0.95 x Net Emission Factor</w:t>
      </w:r>
    </w:p>
    <w:p w14:paraId="54FE001F" w14:textId="77777777" w:rsidR="00AD187C" w:rsidRPr="009E06AA" w:rsidRDefault="00AD187C" w:rsidP="00AD187C">
      <w:pPr>
        <w:pStyle w:val="BodyText"/>
      </w:pPr>
      <w:r w:rsidRPr="009E06AA">
        <w:t>Equations 2.1 and 2.2 from section 2.3.1.1 in the 2006 IPCC Guidelines were used for estimating emissions (IPCC, 2006a).</w:t>
      </w:r>
    </w:p>
    <w:p w14:paraId="2F577789" w14:textId="77777777" w:rsidR="00AD187C" w:rsidRPr="009E06AA" w:rsidRDefault="00AD187C" w:rsidP="00AD187C">
      <w:pPr>
        <w:pStyle w:val="Heading3"/>
      </w:pPr>
      <w:bookmarkStart w:id="3247" w:name="_Toc160205189"/>
      <w:bookmarkStart w:id="3248" w:name="_Toc160441774"/>
      <w:bookmarkEnd w:id="3246"/>
      <w:r w:rsidRPr="009E06AA">
        <w:t xml:space="preserve">8.3.3 </w:t>
      </w:r>
      <w:r w:rsidRPr="009E06AA">
        <w:tab/>
        <w:t>Uncertainty assessment and time-series consistency</w:t>
      </w:r>
      <w:bookmarkEnd w:id="3247"/>
      <w:bookmarkEnd w:id="3248"/>
    </w:p>
    <w:p w14:paraId="4991872E" w14:textId="77777777" w:rsidR="00AD187C" w:rsidRPr="009E06AA" w:rsidRDefault="00AD187C" w:rsidP="00AD187C">
      <w:pPr>
        <w:pStyle w:val="BodyText"/>
      </w:pPr>
      <w:r w:rsidRPr="009E06AA">
        <w:rPr>
          <w:spacing w:val="-2"/>
        </w:rPr>
        <w:t>For this submission, it was not possible to develop Tokelau-specific uncertainty values, therefore, for emission factors, default uncertainty values provided in the 2006 IPCC Guideline</w:t>
      </w:r>
      <w:r w:rsidRPr="009E06AA">
        <w:t>s were used for CO</w:t>
      </w:r>
      <w:r w:rsidRPr="009E06AA">
        <w:rPr>
          <w:vertAlign w:val="subscript"/>
        </w:rPr>
        <w:t>2</w:t>
      </w:r>
      <w:r w:rsidRPr="009E06AA">
        <w:t xml:space="preserve"> and CH</w:t>
      </w:r>
      <w:r w:rsidRPr="009E06AA">
        <w:rPr>
          <w:vertAlign w:val="subscript"/>
        </w:rPr>
        <w:t>4</w:t>
      </w:r>
      <w:r w:rsidRPr="009E06AA">
        <w:t xml:space="preserve"> (for public power, co-generation and district heating) (IPCC, 2006a). Because no quantified default emission factor is provided for N</w:t>
      </w:r>
      <w:r w:rsidRPr="009E06AA">
        <w:rPr>
          <w:vertAlign w:val="subscript"/>
        </w:rPr>
        <w:t>2</w:t>
      </w:r>
      <w:r w:rsidRPr="009E06AA">
        <w:t>O, New Zealand’s emission factor uncertainty across the Energy sector for N</w:t>
      </w:r>
      <w:r w:rsidRPr="009E06AA">
        <w:rPr>
          <w:vertAlign w:val="subscript"/>
        </w:rPr>
        <w:t>2</w:t>
      </w:r>
      <w:r w:rsidRPr="009E06AA">
        <w:t>O was used for this category.</w:t>
      </w:r>
    </w:p>
    <w:p w14:paraId="6EFBC354" w14:textId="77777777" w:rsidR="00AD187C" w:rsidRPr="009E06AA" w:rsidRDefault="00AD187C" w:rsidP="00AD187C">
      <w:pPr>
        <w:pStyle w:val="BodyText"/>
      </w:pPr>
      <w:r w:rsidRPr="009E06AA">
        <w:t xml:space="preserve">For activity data, due to the lack of detailed pre-2018 fuel data, an upper level of the default uncertainty range for the main activity electricity and heat production associated with data extrapolation from the 2006 IPCC Guidelines was applied (IPCC, 2006a). Table 8.3.1 shows the use of uncertainties for the </w:t>
      </w:r>
      <w:r w:rsidRPr="009E06AA">
        <w:rPr>
          <w:i/>
          <w:iCs/>
        </w:rPr>
        <w:t>Energy industries</w:t>
      </w:r>
      <w:r w:rsidRPr="009E06AA">
        <w:t xml:space="preserve"> category.</w:t>
      </w:r>
    </w:p>
    <w:p w14:paraId="4B8162A1" w14:textId="77777777" w:rsidR="00AD187C" w:rsidRPr="009E06AA" w:rsidRDefault="00AD187C" w:rsidP="00AD187C">
      <w:pPr>
        <w:pStyle w:val="Table"/>
      </w:pPr>
      <w:bookmarkStart w:id="3249" w:name="_Toc5269596"/>
      <w:bookmarkStart w:id="3250" w:name="_Toc36224677"/>
      <w:bookmarkStart w:id="3251" w:name="_Toc68786563"/>
      <w:bookmarkStart w:id="3252" w:name="_Toc130211269"/>
      <w:bookmarkStart w:id="3253" w:name="_Toc131591470"/>
      <w:bookmarkStart w:id="3254" w:name="_Toc160205506"/>
      <w:bookmarkStart w:id="3255" w:name="_Toc160441625"/>
      <w:bookmarkStart w:id="3256" w:name="_Toc164153961"/>
      <w:r w:rsidRPr="009E06AA">
        <w:t xml:space="preserve">Table 8.3.1 </w:t>
      </w:r>
      <w:r w:rsidRPr="009E06AA">
        <w:tab/>
        <w:t xml:space="preserve">Uncertainties for the </w:t>
      </w:r>
      <w:r w:rsidRPr="009E06AA">
        <w:rPr>
          <w:i/>
          <w:iCs/>
        </w:rPr>
        <w:t>Energy industries</w:t>
      </w:r>
      <w:r w:rsidRPr="009E06AA">
        <w:t xml:space="preserve"> category</w:t>
      </w:r>
      <w:bookmarkEnd w:id="3249"/>
      <w:bookmarkEnd w:id="3250"/>
      <w:bookmarkEnd w:id="3251"/>
      <w:bookmarkEnd w:id="3252"/>
      <w:bookmarkEnd w:id="3253"/>
      <w:bookmarkEnd w:id="3254"/>
      <w:bookmarkEnd w:id="3255"/>
      <w:bookmarkEnd w:id="3256"/>
    </w:p>
    <w:tbl>
      <w:tblPr>
        <w:tblW w:w="8505" w:type="dxa"/>
        <w:tblBorders>
          <w:top w:val="single" w:sz="4" w:space="0" w:color="1B556B"/>
          <w:bottom w:val="single" w:sz="4" w:space="0" w:color="1B556B"/>
          <w:insideH w:val="single" w:sz="4" w:space="0" w:color="1B556B"/>
          <w:insideV w:val="single" w:sz="4" w:space="0" w:color="1B556B"/>
        </w:tblBorders>
        <w:tblLook w:val="0420" w:firstRow="1" w:lastRow="0" w:firstColumn="0" w:lastColumn="0" w:noHBand="0" w:noVBand="1"/>
      </w:tblPr>
      <w:tblGrid>
        <w:gridCol w:w="567"/>
        <w:gridCol w:w="993"/>
        <w:gridCol w:w="1417"/>
        <w:gridCol w:w="1701"/>
        <w:gridCol w:w="3827"/>
      </w:tblGrid>
      <w:tr w:rsidR="00AD187C" w:rsidRPr="009E06AA" w14:paraId="759B8243" w14:textId="77777777" w:rsidTr="00B55F24">
        <w:trPr>
          <w:tblHeader/>
        </w:trPr>
        <w:tc>
          <w:tcPr>
            <w:tcW w:w="567" w:type="dxa"/>
            <w:shd w:val="clear" w:color="auto" w:fill="1B556B"/>
            <w:tcMar>
              <w:top w:w="0" w:type="dxa"/>
              <w:left w:w="85" w:type="dxa"/>
              <w:bottom w:w="0" w:type="dxa"/>
              <w:right w:w="85" w:type="dxa"/>
            </w:tcMar>
            <w:vAlign w:val="bottom"/>
          </w:tcPr>
          <w:p w14:paraId="3DB190BB" w14:textId="77777777" w:rsidR="00AD187C" w:rsidRPr="009E06AA" w:rsidRDefault="00AD187C" w:rsidP="00B55F24">
            <w:pPr>
              <w:pStyle w:val="TableTextBold"/>
              <w:spacing w:before="40" w:after="40"/>
              <w:rPr>
                <w:noProof w:val="0"/>
                <w:color w:val="FFFFFF" w:themeColor="background1"/>
              </w:rPr>
            </w:pPr>
            <w:r w:rsidRPr="009E06AA">
              <w:rPr>
                <w:noProof w:val="0"/>
                <w:color w:val="FFFFFF" w:themeColor="background1"/>
              </w:rPr>
              <w:t>Gas</w:t>
            </w:r>
          </w:p>
        </w:tc>
        <w:tc>
          <w:tcPr>
            <w:tcW w:w="993" w:type="dxa"/>
            <w:tcBorders>
              <w:bottom w:val="single" w:sz="4" w:space="0" w:color="1B556B"/>
            </w:tcBorders>
            <w:shd w:val="clear" w:color="auto" w:fill="1B556B"/>
            <w:tcMar>
              <w:top w:w="0" w:type="dxa"/>
              <w:left w:w="85" w:type="dxa"/>
              <w:bottom w:w="0" w:type="dxa"/>
              <w:right w:w="85" w:type="dxa"/>
            </w:tcMar>
            <w:vAlign w:val="bottom"/>
          </w:tcPr>
          <w:p w14:paraId="600A3265" w14:textId="77777777" w:rsidR="00AD187C" w:rsidRPr="009E06AA" w:rsidRDefault="00AD187C" w:rsidP="00B55F24">
            <w:pPr>
              <w:pStyle w:val="TableTextBold"/>
              <w:spacing w:before="40" w:after="40"/>
              <w:rPr>
                <w:noProof w:val="0"/>
                <w:color w:val="FFFFFF" w:themeColor="background1"/>
              </w:rPr>
            </w:pPr>
            <w:r w:rsidRPr="009E06AA">
              <w:rPr>
                <w:noProof w:val="0"/>
                <w:color w:val="FFFFFF" w:themeColor="background1"/>
              </w:rPr>
              <w:t>Fuel type</w:t>
            </w:r>
          </w:p>
        </w:tc>
        <w:tc>
          <w:tcPr>
            <w:tcW w:w="1417" w:type="dxa"/>
            <w:tcBorders>
              <w:bottom w:val="single" w:sz="4" w:space="0" w:color="1B556B"/>
            </w:tcBorders>
            <w:shd w:val="clear" w:color="auto" w:fill="1B556B"/>
            <w:tcMar>
              <w:top w:w="0" w:type="dxa"/>
              <w:left w:w="85" w:type="dxa"/>
              <w:bottom w:w="0" w:type="dxa"/>
              <w:right w:w="85" w:type="dxa"/>
            </w:tcMar>
            <w:vAlign w:val="bottom"/>
          </w:tcPr>
          <w:p w14:paraId="023C2C14" w14:textId="77777777" w:rsidR="00AD187C" w:rsidRPr="009E06AA" w:rsidRDefault="00AD187C" w:rsidP="00850ECB">
            <w:pPr>
              <w:pStyle w:val="TableTextBold"/>
              <w:spacing w:before="40" w:after="40"/>
              <w:jc w:val="right"/>
              <w:rPr>
                <w:noProof w:val="0"/>
                <w:color w:val="FFFFFF" w:themeColor="background1"/>
              </w:rPr>
            </w:pPr>
            <w:r w:rsidRPr="009E06AA">
              <w:rPr>
                <w:noProof w:val="0"/>
                <w:color w:val="FFFFFF" w:themeColor="background1"/>
              </w:rPr>
              <w:t>Activity data (AD) uncertainty (%)</w:t>
            </w:r>
          </w:p>
        </w:tc>
        <w:tc>
          <w:tcPr>
            <w:tcW w:w="1701" w:type="dxa"/>
            <w:tcBorders>
              <w:bottom w:val="single" w:sz="4" w:space="0" w:color="1B556B"/>
            </w:tcBorders>
            <w:shd w:val="clear" w:color="auto" w:fill="1B556B"/>
            <w:tcMar>
              <w:top w:w="0" w:type="dxa"/>
              <w:left w:w="85" w:type="dxa"/>
              <w:bottom w:w="0" w:type="dxa"/>
              <w:right w:w="85" w:type="dxa"/>
            </w:tcMar>
            <w:vAlign w:val="bottom"/>
          </w:tcPr>
          <w:p w14:paraId="5973B782" w14:textId="77777777" w:rsidR="00AD187C" w:rsidRPr="009E06AA" w:rsidRDefault="00AD187C" w:rsidP="00850ECB">
            <w:pPr>
              <w:pStyle w:val="TableTextBold"/>
              <w:spacing w:before="40" w:after="40"/>
              <w:jc w:val="right"/>
              <w:rPr>
                <w:noProof w:val="0"/>
                <w:color w:val="FFFFFF" w:themeColor="background1"/>
              </w:rPr>
            </w:pPr>
            <w:r w:rsidRPr="009E06AA">
              <w:rPr>
                <w:noProof w:val="0"/>
                <w:color w:val="FFFFFF" w:themeColor="background1"/>
              </w:rPr>
              <w:t>Emission factor (EF) uncertainty (%)</w:t>
            </w:r>
          </w:p>
        </w:tc>
        <w:tc>
          <w:tcPr>
            <w:tcW w:w="3827" w:type="dxa"/>
            <w:shd w:val="clear" w:color="auto" w:fill="1B556B"/>
            <w:tcMar>
              <w:top w:w="0" w:type="dxa"/>
              <w:left w:w="85" w:type="dxa"/>
              <w:bottom w:w="0" w:type="dxa"/>
              <w:right w:w="85" w:type="dxa"/>
            </w:tcMar>
            <w:vAlign w:val="bottom"/>
          </w:tcPr>
          <w:p w14:paraId="4753D191" w14:textId="77777777" w:rsidR="00AD187C" w:rsidRPr="009E06AA" w:rsidRDefault="00AD187C" w:rsidP="00B55F24">
            <w:pPr>
              <w:pStyle w:val="TableTextBold"/>
              <w:spacing w:before="40" w:after="40"/>
              <w:rPr>
                <w:noProof w:val="0"/>
                <w:color w:val="FFFFFF" w:themeColor="background1"/>
              </w:rPr>
            </w:pPr>
            <w:r w:rsidRPr="009E06AA">
              <w:rPr>
                <w:noProof w:val="0"/>
                <w:color w:val="FFFFFF" w:themeColor="background1"/>
              </w:rPr>
              <w:t>Source</w:t>
            </w:r>
          </w:p>
        </w:tc>
      </w:tr>
      <w:tr w:rsidR="00AD187C" w:rsidRPr="009E06AA" w14:paraId="262E4377" w14:textId="77777777" w:rsidTr="00B55F24">
        <w:tc>
          <w:tcPr>
            <w:tcW w:w="567" w:type="dxa"/>
            <w:tcBorders>
              <w:right w:val="nil"/>
            </w:tcBorders>
            <w:shd w:val="clear" w:color="auto" w:fill="FFFFFF"/>
            <w:tcMar>
              <w:top w:w="0" w:type="dxa"/>
              <w:left w:w="85" w:type="dxa"/>
              <w:bottom w:w="0" w:type="dxa"/>
              <w:right w:w="85" w:type="dxa"/>
            </w:tcMar>
          </w:tcPr>
          <w:p w14:paraId="69E13554" w14:textId="77777777" w:rsidR="00AD187C" w:rsidRPr="009E06AA" w:rsidRDefault="00AD187C" w:rsidP="00B55F24">
            <w:pPr>
              <w:pStyle w:val="TableText"/>
              <w:spacing w:before="40" w:after="40"/>
            </w:pPr>
            <w:r w:rsidRPr="009E06AA">
              <w:t>CO</w:t>
            </w:r>
            <w:r w:rsidRPr="009E06AA">
              <w:rPr>
                <w:vertAlign w:val="subscript"/>
              </w:rPr>
              <w:t>2</w:t>
            </w:r>
          </w:p>
        </w:tc>
        <w:tc>
          <w:tcPr>
            <w:tcW w:w="993" w:type="dxa"/>
            <w:tcBorders>
              <w:left w:val="nil"/>
              <w:right w:val="nil"/>
            </w:tcBorders>
            <w:shd w:val="clear" w:color="auto" w:fill="FFFFFF"/>
            <w:tcMar>
              <w:top w:w="0" w:type="dxa"/>
              <w:left w:w="85" w:type="dxa"/>
              <w:bottom w:w="0" w:type="dxa"/>
              <w:right w:w="85" w:type="dxa"/>
            </w:tcMar>
          </w:tcPr>
          <w:p w14:paraId="7FC7D46B" w14:textId="77777777" w:rsidR="00AD187C" w:rsidRPr="009E06AA" w:rsidRDefault="00AD187C" w:rsidP="00B55F24">
            <w:pPr>
              <w:pStyle w:val="TableText"/>
              <w:spacing w:before="40" w:after="40"/>
            </w:pPr>
            <w:r w:rsidRPr="009E06AA">
              <w:t>Liquid fuels</w:t>
            </w:r>
          </w:p>
        </w:tc>
        <w:tc>
          <w:tcPr>
            <w:tcW w:w="1417" w:type="dxa"/>
            <w:tcBorders>
              <w:left w:val="nil"/>
              <w:right w:val="nil"/>
            </w:tcBorders>
            <w:shd w:val="clear" w:color="auto" w:fill="FFFFFF"/>
            <w:tcMar>
              <w:top w:w="0" w:type="dxa"/>
              <w:left w:w="85" w:type="dxa"/>
              <w:bottom w:w="0" w:type="dxa"/>
              <w:right w:w="85" w:type="dxa"/>
            </w:tcMar>
          </w:tcPr>
          <w:p w14:paraId="302D0535" w14:textId="77777777" w:rsidR="00AD187C" w:rsidRPr="009E06AA" w:rsidRDefault="00AD187C" w:rsidP="00850ECB">
            <w:pPr>
              <w:pStyle w:val="TableText"/>
              <w:spacing w:before="40" w:after="40"/>
              <w:jc w:val="right"/>
            </w:pPr>
            <w:r w:rsidRPr="009E06AA">
              <w:t>10</w:t>
            </w:r>
          </w:p>
        </w:tc>
        <w:tc>
          <w:tcPr>
            <w:tcW w:w="1701" w:type="dxa"/>
            <w:tcBorders>
              <w:left w:val="nil"/>
              <w:right w:val="nil"/>
            </w:tcBorders>
            <w:shd w:val="clear" w:color="auto" w:fill="FFFFFF"/>
            <w:tcMar>
              <w:top w:w="0" w:type="dxa"/>
              <w:left w:w="85" w:type="dxa"/>
              <w:bottom w:w="0" w:type="dxa"/>
              <w:right w:w="85" w:type="dxa"/>
            </w:tcMar>
          </w:tcPr>
          <w:p w14:paraId="4A2D914E" w14:textId="77777777" w:rsidR="00AD187C" w:rsidRPr="009E06AA" w:rsidRDefault="00AD187C" w:rsidP="00850ECB">
            <w:pPr>
              <w:pStyle w:val="TableText"/>
              <w:spacing w:before="40" w:after="40"/>
              <w:jc w:val="right"/>
            </w:pPr>
            <w:r w:rsidRPr="009E06AA">
              <w:t>±7</w:t>
            </w:r>
          </w:p>
        </w:tc>
        <w:tc>
          <w:tcPr>
            <w:tcW w:w="3827" w:type="dxa"/>
            <w:tcBorders>
              <w:left w:val="nil"/>
            </w:tcBorders>
            <w:shd w:val="clear" w:color="auto" w:fill="FFFFFF"/>
            <w:tcMar>
              <w:top w:w="0" w:type="dxa"/>
              <w:left w:w="85" w:type="dxa"/>
              <w:bottom w:w="0" w:type="dxa"/>
              <w:right w:w="85" w:type="dxa"/>
            </w:tcMar>
          </w:tcPr>
          <w:p w14:paraId="512C2903" w14:textId="77777777" w:rsidR="00AD187C" w:rsidRPr="009E06AA" w:rsidRDefault="00AD187C" w:rsidP="00B55F24">
            <w:pPr>
              <w:pStyle w:val="TableText"/>
              <w:spacing w:before="40" w:after="40"/>
            </w:pPr>
            <w:r w:rsidRPr="009E06AA">
              <w:rPr>
                <w:rFonts w:eastAsia="Calibri"/>
              </w:rPr>
              <w:t>AD: page 2.41, IPCC, 2006a (table 2.15)</w:t>
            </w:r>
            <w:r w:rsidRPr="009E06AA">
              <w:rPr>
                <w:rFonts w:eastAsia="Calibri" w:cs="Calibri"/>
                <w:szCs w:val="16"/>
              </w:rPr>
              <w:t xml:space="preserve"> </w:t>
            </w:r>
            <w:r w:rsidRPr="009E06AA">
              <w:rPr>
                <w:rFonts w:eastAsia="Calibri" w:cs="Calibri"/>
                <w:szCs w:val="16"/>
              </w:rPr>
              <w:br/>
            </w:r>
            <w:r w:rsidRPr="009E06AA">
              <w:t>EF: page 2.38, IPCC, 2006a</w:t>
            </w:r>
          </w:p>
        </w:tc>
      </w:tr>
      <w:tr w:rsidR="00AD187C" w:rsidRPr="009E06AA" w14:paraId="0887CC94" w14:textId="77777777" w:rsidTr="00B55F24">
        <w:tc>
          <w:tcPr>
            <w:tcW w:w="567" w:type="dxa"/>
            <w:tcBorders>
              <w:right w:val="nil"/>
            </w:tcBorders>
            <w:shd w:val="clear" w:color="auto" w:fill="FFFFFF"/>
            <w:tcMar>
              <w:top w:w="0" w:type="dxa"/>
              <w:left w:w="85" w:type="dxa"/>
              <w:bottom w:w="0" w:type="dxa"/>
              <w:right w:w="85" w:type="dxa"/>
            </w:tcMar>
          </w:tcPr>
          <w:p w14:paraId="57DEEADF" w14:textId="77777777" w:rsidR="00AD187C" w:rsidRPr="009E06AA" w:rsidRDefault="00AD187C" w:rsidP="00B55F24">
            <w:pPr>
              <w:pStyle w:val="TableText"/>
              <w:spacing w:before="40" w:after="40"/>
            </w:pPr>
            <w:r w:rsidRPr="009E06AA">
              <w:t>CH</w:t>
            </w:r>
            <w:r w:rsidRPr="009E06AA">
              <w:rPr>
                <w:vertAlign w:val="subscript"/>
              </w:rPr>
              <w:t>4</w:t>
            </w:r>
          </w:p>
        </w:tc>
        <w:tc>
          <w:tcPr>
            <w:tcW w:w="993" w:type="dxa"/>
            <w:tcBorders>
              <w:left w:val="nil"/>
              <w:right w:val="nil"/>
            </w:tcBorders>
            <w:shd w:val="clear" w:color="auto" w:fill="FFFFFF"/>
            <w:tcMar>
              <w:top w:w="0" w:type="dxa"/>
              <w:left w:w="85" w:type="dxa"/>
              <w:bottom w:w="0" w:type="dxa"/>
              <w:right w:w="85" w:type="dxa"/>
            </w:tcMar>
          </w:tcPr>
          <w:p w14:paraId="1DE54129" w14:textId="77777777" w:rsidR="00AD187C" w:rsidRPr="009E06AA" w:rsidRDefault="00AD187C" w:rsidP="00B55F24">
            <w:pPr>
              <w:pStyle w:val="TableText"/>
              <w:spacing w:before="40" w:after="40"/>
            </w:pPr>
            <w:r w:rsidRPr="009E06AA">
              <w:t>Liquid fuels</w:t>
            </w:r>
          </w:p>
        </w:tc>
        <w:tc>
          <w:tcPr>
            <w:tcW w:w="1417" w:type="dxa"/>
            <w:tcBorders>
              <w:left w:val="nil"/>
              <w:right w:val="nil"/>
            </w:tcBorders>
            <w:shd w:val="clear" w:color="auto" w:fill="FFFFFF"/>
            <w:tcMar>
              <w:top w:w="0" w:type="dxa"/>
              <w:left w:w="85" w:type="dxa"/>
              <w:bottom w:w="0" w:type="dxa"/>
              <w:right w:w="85" w:type="dxa"/>
            </w:tcMar>
          </w:tcPr>
          <w:p w14:paraId="7F0174B1" w14:textId="77777777" w:rsidR="00AD187C" w:rsidRPr="009E06AA" w:rsidRDefault="00AD187C" w:rsidP="00850ECB">
            <w:pPr>
              <w:pStyle w:val="TableText"/>
              <w:spacing w:before="40" w:after="40"/>
              <w:jc w:val="right"/>
            </w:pPr>
            <w:r w:rsidRPr="009E06AA">
              <w:t>10</w:t>
            </w:r>
          </w:p>
        </w:tc>
        <w:tc>
          <w:tcPr>
            <w:tcW w:w="1701" w:type="dxa"/>
            <w:tcBorders>
              <w:left w:val="nil"/>
              <w:right w:val="nil"/>
            </w:tcBorders>
            <w:shd w:val="clear" w:color="auto" w:fill="FFFFFF"/>
            <w:tcMar>
              <w:top w:w="0" w:type="dxa"/>
              <w:left w:w="85" w:type="dxa"/>
              <w:bottom w:w="0" w:type="dxa"/>
              <w:right w:w="85" w:type="dxa"/>
            </w:tcMar>
          </w:tcPr>
          <w:p w14:paraId="75E6B058" w14:textId="77777777" w:rsidR="00AD187C" w:rsidRPr="009E06AA" w:rsidRDefault="00AD187C" w:rsidP="00850ECB">
            <w:pPr>
              <w:pStyle w:val="TableText"/>
              <w:spacing w:before="40" w:after="40"/>
              <w:jc w:val="right"/>
            </w:pPr>
            <w:r w:rsidRPr="009E06AA">
              <w:t>±50.0</w:t>
            </w:r>
          </w:p>
        </w:tc>
        <w:tc>
          <w:tcPr>
            <w:tcW w:w="3827" w:type="dxa"/>
            <w:tcBorders>
              <w:left w:val="nil"/>
            </w:tcBorders>
            <w:shd w:val="clear" w:color="auto" w:fill="FFFFFF"/>
            <w:tcMar>
              <w:top w:w="0" w:type="dxa"/>
              <w:left w:w="85" w:type="dxa"/>
              <w:bottom w:w="0" w:type="dxa"/>
              <w:right w:w="85" w:type="dxa"/>
            </w:tcMar>
          </w:tcPr>
          <w:p w14:paraId="2E081E86" w14:textId="77777777" w:rsidR="00AD187C" w:rsidRPr="009E06AA" w:rsidRDefault="00AD187C" w:rsidP="00B55F24">
            <w:pPr>
              <w:pStyle w:val="TableText"/>
              <w:spacing w:before="40" w:after="40"/>
            </w:pPr>
            <w:r w:rsidRPr="009E06AA">
              <w:rPr>
                <w:rFonts w:eastAsia="Calibri"/>
              </w:rPr>
              <w:t>AD: page 2.41, IPCC, 2006a (table 2.15)</w:t>
            </w:r>
            <w:r w:rsidRPr="009E06AA">
              <w:rPr>
                <w:rFonts w:eastAsia="Calibri" w:cs="Calibri"/>
                <w:szCs w:val="16"/>
              </w:rPr>
              <w:t xml:space="preserve"> </w:t>
            </w:r>
            <w:r w:rsidRPr="009E06AA">
              <w:rPr>
                <w:rFonts w:eastAsia="Calibri" w:cs="Calibri"/>
                <w:szCs w:val="16"/>
              </w:rPr>
              <w:br/>
            </w:r>
            <w:r w:rsidRPr="009E06AA">
              <w:t>EF: page 2.38, IPCC, 2006a (table 2.12)</w:t>
            </w:r>
          </w:p>
        </w:tc>
      </w:tr>
      <w:tr w:rsidR="00AD187C" w:rsidRPr="009E06AA" w14:paraId="4C4448DC" w14:textId="77777777" w:rsidTr="00B55F24">
        <w:tc>
          <w:tcPr>
            <w:tcW w:w="567" w:type="dxa"/>
            <w:tcBorders>
              <w:right w:val="nil"/>
            </w:tcBorders>
            <w:shd w:val="clear" w:color="auto" w:fill="FFFFFF"/>
            <w:tcMar>
              <w:top w:w="0" w:type="dxa"/>
              <w:left w:w="85" w:type="dxa"/>
              <w:bottom w:w="0" w:type="dxa"/>
              <w:right w:w="85" w:type="dxa"/>
            </w:tcMar>
          </w:tcPr>
          <w:p w14:paraId="5CC011B2" w14:textId="77777777" w:rsidR="00AD187C" w:rsidRPr="009E06AA" w:rsidRDefault="00AD187C" w:rsidP="00B55F24">
            <w:pPr>
              <w:pStyle w:val="TableText"/>
              <w:spacing w:before="40" w:after="40"/>
            </w:pPr>
            <w:r w:rsidRPr="009E06AA">
              <w:t>N</w:t>
            </w:r>
            <w:r w:rsidRPr="009E06AA">
              <w:rPr>
                <w:vertAlign w:val="subscript"/>
              </w:rPr>
              <w:t>2</w:t>
            </w:r>
            <w:r w:rsidRPr="009E06AA">
              <w:t>O</w:t>
            </w:r>
          </w:p>
        </w:tc>
        <w:tc>
          <w:tcPr>
            <w:tcW w:w="993" w:type="dxa"/>
            <w:tcBorders>
              <w:left w:val="nil"/>
              <w:right w:val="nil"/>
            </w:tcBorders>
            <w:shd w:val="clear" w:color="auto" w:fill="FFFFFF"/>
            <w:tcMar>
              <w:top w:w="0" w:type="dxa"/>
              <w:left w:w="85" w:type="dxa"/>
              <w:bottom w:w="0" w:type="dxa"/>
              <w:right w:w="85" w:type="dxa"/>
            </w:tcMar>
          </w:tcPr>
          <w:p w14:paraId="4F73C1E4" w14:textId="77777777" w:rsidR="00AD187C" w:rsidRPr="009E06AA" w:rsidRDefault="00AD187C" w:rsidP="00B55F24">
            <w:pPr>
              <w:pStyle w:val="TableText"/>
              <w:spacing w:before="40" w:after="40"/>
            </w:pPr>
            <w:r w:rsidRPr="009E06AA">
              <w:t>Liquid fuels</w:t>
            </w:r>
          </w:p>
        </w:tc>
        <w:tc>
          <w:tcPr>
            <w:tcW w:w="1417" w:type="dxa"/>
            <w:tcBorders>
              <w:left w:val="nil"/>
              <w:right w:val="nil"/>
            </w:tcBorders>
            <w:shd w:val="clear" w:color="auto" w:fill="FFFFFF"/>
            <w:tcMar>
              <w:top w:w="0" w:type="dxa"/>
              <w:left w:w="85" w:type="dxa"/>
              <w:bottom w:w="0" w:type="dxa"/>
              <w:right w:w="85" w:type="dxa"/>
            </w:tcMar>
          </w:tcPr>
          <w:p w14:paraId="26E214B5" w14:textId="77777777" w:rsidR="00AD187C" w:rsidRPr="009E06AA" w:rsidRDefault="00AD187C" w:rsidP="00850ECB">
            <w:pPr>
              <w:pStyle w:val="TableText"/>
              <w:spacing w:before="40" w:after="40"/>
              <w:jc w:val="right"/>
            </w:pPr>
            <w:r w:rsidRPr="009E06AA">
              <w:t>10</w:t>
            </w:r>
          </w:p>
        </w:tc>
        <w:tc>
          <w:tcPr>
            <w:tcW w:w="1701" w:type="dxa"/>
            <w:tcBorders>
              <w:left w:val="nil"/>
              <w:right w:val="nil"/>
            </w:tcBorders>
            <w:shd w:val="clear" w:color="auto" w:fill="FFFFFF"/>
            <w:tcMar>
              <w:top w:w="0" w:type="dxa"/>
              <w:left w:w="85" w:type="dxa"/>
              <w:bottom w:w="0" w:type="dxa"/>
              <w:right w:w="85" w:type="dxa"/>
            </w:tcMar>
          </w:tcPr>
          <w:p w14:paraId="4A41252A" w14:textId="77777777" w:rsidR="00AD187C" w:rsidRPr="009E06AA" w:rsidRDefault="00AD187C" w:rsidP="00850ECB">
            <w:pPr>
              <w:pStyle w:val="TableText"/>
              <w:spacing w:before="40" w:after="40"/>
              <w:jc w:val="right"/>
            </w:pPr>
            <w:r w:rsidRPr="009E06AA">
              <w:t>±50.0</w:t>
            </w:r>
          </w:p>
        </w:tc>
        <w:tc>
          <w:tcPr>
            <w:tcW w:w="3827" w:type="dxa"/>
            <w:tcBorders>
              <w:left w:val="nil"/>
            </w:tcBorders>
            <w:shd w:val="clear" w:color="auto" w:fill="FFFFFF"/>
            <w:tcMar>
              <w:top w:w="0" w:type="dxa"/>
              <w:left w:w="85" w:type="dxa"/>
              <w:bottom w:w="0" w:type="dxa"/>
              <w:right w:w="85" w:type="dxa"/>
            </w:tcMar>
          </w:tcPr>
          <w:p w14:paraId="403BAC0D" w14:textId="77777777" w:rsidR="00AD187C" w:rsidRPr="009E06AA" w:rsidRDefault="00AD187C" w:rsidP="00B55F24">
            <w:pPr>
              <w:pStyle w:val="TableText"/>
              <w:spacing w:before="40" w:after="40"/>
            </w:pPr>
            <w:r w:rsidRPr="009E06AA">
              <w:rPr>
                <w:rFonts w:eastAsia="Calibri"/>
              </w:rPr>
              <w:t>AD: page 2.41, IPCC, 2006a (table 2.15)</w:t>
            </w:r>
            <w:r w:rsidRPr="009E06AA">
              <w:rPr>
                <w:rFonts w:eastAsia="Calibri" w:cs="Calibri"/>
                <w:szCs w:val="16"/>
              </w:rPr>
              <w:t xml:space="preserve"> </w:t>
            </w:r>
            <w:r w:rsidRPr="009E06AA">
              <w:rPr>
                <w:rFonts w:eastAsia="Calibri" w:cs="Calibri"/>
                <w:szCs w:val="16"/>
              </w:rPr>
              <w:br/>
            </w:r>
            <w:r w:rsidRPr="009E06AA">
              <w:t>EF: New Zealand’s value is used (table 3.3.1, chapter 3)</w:t>
            </w:r>
          </w:p>
        </w:tc>
      </w:tr>
    </w:tbl>
    <w:p w14:paraId="72AC0D77" w14:textId="77777777" w:rsidR="00AD187C" w:rsidRPr="009E06AA" w:rsidRDefault="00AD187C" w:rsidP="00AD187C">
      <w:pPr>
        <w:pStyle w:val="BodyText"/>
        <w:keepLines/>
        <w:spacing w:before="240"/>
      </w:pPr>
      <w:r w:rsidRPr="009E06AA">
        <w:t xml:space="preserve">For the </w:t>
      </w:r>
      <w:r w:rsidRPr="009E06AA">
        <w:rPr>
          <w:i/>
          <w:iCs/>
        </w:rPr>
        <w:t>Electricity generation</w:t>
      </w:r>
      <w:r w:rsidRPr="009E06AA">
        <w:t xml:space="preserve"> category, time-series consistency is maintained by using a combination of actual and inferred data for diesel consumed depending on the information available. For all years before 2019, except 2011 and 2015, diesel use is assumed based on the typical use of the diesel electricity generators.</w:t>
      </w:r>
    </w:p>
    <w:p w14:paraId="4D8D7D80" w14:textId="77777777" w:rsidR="00AD187C" w:rsidRPr="009E06AA" w:rsidRDefault="00AD187C" w:rsidP="00AD187C">
      <w:pPr>
        <w:pStyle w:val="Heading3"/>
      </w:pPr>
      <w:bookmarkStart w:id="3257" w:name="_Toc160205190"/>
      <w:bookmarkStart w:id="3258" w:name="_Toc160441775"/>
      <w:r w:rsidRPr="009E06AA">
        <w:t xml:space="preserve">8.3.4 </w:t>
      </w:r>
      <w:r w:rsidRPr="009E06AA">
        <w:tab/>
        <w:t>Category-specific QA/QC and verification</w:t>
      </w:r>
      <w:bookmarkEnd w:id="3257"/>
      <w:bookmarkEnd w:id="3258"/>
    </w:p>
    <w:p w14:paraId="4814674C" w14:textId="77777777" w:rsidR="00AD187C" w:rsidRPr="009E06AA" w:rsidRDefault="00AD187C" w:rsidP="00AD187C">
      <w:pPr>
        <w:pStyle w:val="BodyText"/>
      </w:pPr>
      <w:r w:rsidRPr="009E06AA">
        <w:t>Quality control of the activity data and calculations was applied to each category for Tokelau. No verification was possible because no alternative data were available.</w:t>
      </w:r>
    </w:p>
    <w:p w14:paraId="51CBB99B" w14:textId="77777777" w:rsidR="00AD187C" w:rsidRPr="009E06AA" w:rsidRDefault="00AD187C" w:rsidP="00AD187C">
      <w:pPr>
        <w:pStyle w:val="Heading3"/>
      </w:pPr>
      <w:bookmarkStart w:id="3259" w:name="_Toc160205191"/>
      <w:bookmarkStart w:id="3260" w:name="_Toc160441776"/>
      <w:r w:rsidRPr="009E06AA">
        <w:t xml:space="preserve">8.3.5 </w:t>
      </w:r>
      <w:r w:rsidRPr="009E06AA">
        <w:tab/>
        <w:t>Category-specific recalculations</w:t>
      </w:r>
      <w:bookmarkEnd w:id="3259"/>
      <w:bookmarkEnd w:id="3260"/>
    </w:p>
    <w:p w14:paraId="0F9C57D6" w14:textId="77777777" w:rsidR="00AD187C" w:rsidRPr="009E06AA" w:rsidRDefault="00AD187C" w:rsidP="00AD187C">
      <w:pPr>
        <w:pStyle w:val="BodyText"/>
      </w:pPr>
      <w:r w:rsidRPr="009E06AA">
        <w:t xml:space="preserve">There were no changes to estimates for the </w:t>
      </w:r>
      <w:r w:rsidRPr="009E06AA">
        <w:rPr>
          <w:i/>
          <w:iCs/>
        </w:rPr>
        <w:t>Energy industries</w:t>
      </w:r>
      <w:r w:rsidRPr="009E06AA">
        <w:t xml:space="preserve"> category.</w:t>
      </w:r>
    </w:p>
    <w:p w14:paraId="7BE26F20" w14:textId="77777777" w:rsidR="00AD187C" w:rsidRPr="009E06AA" w:rsidRDefault="00AD187C" w:rsidP="00AD187C">
      <w:pPr>
        <w:pStyle w:val="Heading3"/>
      </w:pPr>
      <w:bookmarkStart w:id="3261" w:name="_Toc160205192"/>
      <w:bookmarkStart w:id="3262" w:name="_Toc160441777"/>
      <w:bookmarkStart w:id="3263" w:name="source-specific-planned-improvements"/>
      <w:r w:rsidRPr="009E06AA">
        <w:t xml:space="preserve">8.3.6 </w:t>
      </w:r>
      <w:r w:rsidRPr="009E06AA">
        <w:tab/>
        <w:t>Category-specific planned improvements</w:t>
      </w:r>
      <w:bookmarkEnd w:id="3261"/>
      <w:bookmarkEnd w:id="3262"/>
    </w:p>
    <w:p w14:paraId="38CE1C48" w14:textId="77777777" w:rsidR="00AD187C" w:rsidRPr="009E06AA" w:rsidRDefault="00AD187C" w:rsidP="00AD187C">
      <w:pPr>
        <w:pStyle w:val="BodyText"/>
      </w:pPr>
      <w:r w:rsidRPr="009E06AA">
        <w:t>No improvements are planned for energy industries. Some areas identified for possible improvements are better monitoring of diesel fuel landing on-atoll at the power sites, and clearly separating fuel used for power generation from heavy machinery and diesel-powered vehicles. Data on gross electricity production from oil were acquired in late 2019 from the International Renewable Energy Agency; these could provide additional detail and verification of energy use back to their base year 2000. Future imports of coolants (ethylene glycol) for the solar PV-powered plants may also be considered in future.</w:t>
      </w:r>
    </w:p>
    <w:p w14:paraId="561FC129" w14:textId="77777777" w:rsidR="00AD187C" w:rsidRPr="009E06AA" w:rsidRDefault="00AD187C" w:rsidP="00AD187C">
      <w:pPr>
        <w:pStyle w:val="Heading2"/>
      </w:pPr>
      <w:bookmarkStart w:id="3264" w:name="_Toc160205193"/>
      <w:bookmarkStart w:id="3265" w:name="_Toc160441778"/>
      <w:bookmarkStart w:id="3266" w:name="_Toc164154225"/>
      <w:bookmarkStart w:id="3267" w:name="X6da9d0846c18e0efc0e652fbafb90ab5bef5cfc"/>
      <w:bookmarkEnd w:id="3219"/>
      <w:bookmarkEnd w:id="3263"/>
      <w:r w:rsidRPr="009E06AA">
        <w:t xml:space="preserve">8.4 </w:t>
      </w:r>
      <w:r w:rsidRPr="009E06AA">
        <w:tab/>
        <w:t>Stationary combustion: Other sectors – Residential</w:t>
      </w:r>
      <w:bookmarkEnd w:id="3264"/>
      <w:bookmarkEnd w:id="3265"/>
      <w:bookmarkEnd w:id="3266"/>
    </w:p>
    <w:p w14:paraId="1B4214EB" w14:textId="77777777" w:rsidR="00AD187C" w:rsidRPr="009E06AA" w:rsidRDefault="00AD187C" w:rsidP="00AD187C">
      <w:pPr>
        <w:pStyle w:val="Heading3"/>
        <w:spacing w:before="240"/>
      </w:pPr>
      <w:bookmarkStart w:id="3268" w:name="_Toc160205194"/>
      <w:bookmarkStart w:id="3269" w:name="_Toc160441779"/>
      <w:r w:rsidRPr="009E06AA">
        <w:t xml:space="preserve">8.4.1 </w:t>
      </w:r>
      <w:r w:rsidRPr="009E06AA">
        <w:tab/>
        <w:t>Description</w:t>
      </w:r>
      <w:bookmarkEnd w:id="3268"/>
      <w:bookmarkEnd w:id="3269"/>
    </w:p>
    <w:p w14:paraId="512938BD" w14:textId="77777777" w:rsidR="00AD187C" w:rsidRPr="009E06AA" w:rsidRDefault="00AD187C" w:rsidP="00AD187C">
      <w:pPr>
        <w:pStyle w:val="BodyText"/>
      </w:pPr>
      <w:r w:rsidRPr="009E06AA">
        <w:t xml:space="preserve">Tokelau has no significant industry. All energy is used by domestic and fishing activities and community–government activities (e.g., meeting halls and offices, village freezers, building projects, stevedoring). Therefore, emissions associated with energy consumption in Tokelau (except fishing) are included in the category </w:t>
      </w:r>
      <w:r w:rsidRPr="009E06AA">
        <w:rPr>
          <w:i/>
        </w:rPr>
        <w:t>Other sectors – Residential</w:t>
      </w:r>
      <w:r w:rsidRPr="009E06AA">
        <w:t xml:space="preserve">. The small amount of emissions associated with communal activities are not easily distinguishable from those coming from residential activities and are therefore included in the </w:t>
      </w:r>
      <w:r w:rsidRPr="009E06AA">
        <w:rPr>
          <w:i/>
        </w:rPr>
        <w:t>Other sectors</w:t>
      </w:r>
      <w:r w:rsidRPr="009E06AA">
        <w:rPr>
          <w:i/>
          <w:iCs/>
        </w:rPr>
        <w:t xml:space="preserve"> </w:t>
      </w:r>
      <w:r w:rsidRPr="009E06AA">
        <w:rPr>
          <w:i/>
        </w:rPr>
        <w:t>– Residential</w:t>
      </w:r>
      <w:r w:rsidRPr="009E06AA">
        <w:t xml:space="preserve"> category. Emissions from fishing are included in </w:t>
      </w:r>
      <w:r w:rsidRPr="009E06AA">
        <w:rPr>
          <w:i/>
        </w:rPr>
        <w:t>Domestic navigation</w:t>
      </w:r>
      <w:r w:rsidRPr="009E06AA">
        <w:t>. This is because it is difficult to distinguish fuel use for fishing from fuel use for domestic navigation in Tokelau, because families use the same boats for both purposes.</w:t>
      </w:r>
    </w:p>
    <w:p w14:paraId="35727B6F" w14:textId="77777777" w:rsidR="00AD187C" w:rsidRPr="009E06AA" w:rsidRDefault="00AD187C" w:rsidP="00AD187C">
      <w:pPr>
        <w:pStyle w:val="BodyText"/>
      </w:pPr>
      <w:r w:rsidRPr="009E06AA">
        <w:t xml:space="preserve">According to the 2016 Tokelau Census, every household has a fridge and a freezer, and some households now have air conditioning. Most households (over 60 per cent) also own a washing machine, a computer and a television. The United Nations Development Programme, under the Tokelau Energy Sector Support Project, has in the past funded a programme of replacing old inefficient fridges and freezers with new ones. Home appliances in Tokelau mainly use the power provided by solar PV-powered plants, supplemented as needed by back-up diesel-powered generators. Emissions associated with the use of diesel-powered back-up generators are included in the </w:t>
      </w:r>
      <w:r w:rsidRPr="009E06AA">
        <w:rPr>
          <w:i/>
          <w:iCs/>
        </w:rPr>
        <w:t>Energy industries</w:t>
      </w:r>
      <w:r w:rsidRPr="009E06AA">
        <w:t xml:space="preserve"> category.</w:t>
      </w:r>
    </w:p>
    <w:p w14:paraId="03F623D3" w14:textId="77777777" w:rsidR="00AD187C" w:rsidRPr="009E06AA" w:rsidRDefault="00AD187C" w:rsidP="00AD187C">
      <w:pPr>
        <w:pStyle w:val="BodyText"/>
        <w:keepLines/>
      </w:pPr>
      <w:r w:rsidRPr="009E06AA">
        <w:t xml:space="preserve">Gas cooking using imported natural gas (LPG) is the preferred method used by about 72.0 per cent of households, replacing kerosene stoves. For the past decade, the use of kerosene stoves dropped from 56.6 per cent of households in 2006 to 23.6 per cent in 2016 (2016 Tokelau Census). Associated activity data and emissions are included in the </w:t>
      </w:r>
      <w:r w:rsidRPr="009E06AA">
        <w:rPr>
          <w:i/>
          <w:iCs/>
        </w:rPr>
        <w:t>Other sectors – Residential</w:t>
      </w:r>
      <w:r w:rsidRPr="009E06AA">
        <w:t xml:space="preserve"> category.</w:t>
      </w:r>
    </w:p>
    <w:p w14:paraId="14C9089B" w14:textId="77777777" w:rsidR="00AD187C" w:rsidRPr="009E06AA" w:rsidRDefault="00AD187C" w:rsidP="00AD187C">
      <w:pPr>
        <w:pStyle w:val="BodyText"/>
      </w:pPr>
      <w:r w:rsidRPr="009E06AA">
        <w:t xml:space="preserve">In 2022, emissions from the </w:t>
      </w:r>
      <w:r w:rsidRPr="009E06AA">
        <w:rPr>
          <w:i/>
          <w:iCs/>
        </w:rPr>
        <w:t>Other sectors – Residential</w:t>
      </w:r>
      <w:r w:rsidRPr="009E06AA">
        <w:t xml:space="preserve"> category were 0.10 kt CO</w:t>
      </w:r>
      <w:r w:rsidRPr="009E06AA">
        <w:rPr>
          <w:vertAlign w:val="subscript"/>
        </w:rPr>
        <w:t>2</w:t>
      </w:r>
      <w:r w:rsidRPr="009E06AA">
        <w:t>-e (3.6 per cent of all energy emissions from Tokelau).</w:t>
      </w:r>
    </w:p>
    <w:p w14:paraId="7F5BE990" w14:textId="77777777" w:rsidR="00AD187C" w:rsidRPr="009E06AA" w:rsidRDefault="00AD187C" w:rsidP="00AD187C">
      <w:pPr>
        <w:pStyle w:val="Heading3"/>
      </w:pPr>
      <w:bookmarkStart w:id="3270" w:name="_Toc160205195"/>
      <w:bookmarkStart w:id="3271" w:name="_Toc160441780"/>
      <w:r w:rsidRPr="009E06AA">
        <w:t xml:space="preserve">8.4.2 </w:t>
      </w:r>
      <w:r w:rsidRPr="009E06AA">
        <w:tab/>
        <w:t>Methodological issues</w:t>
      </w:r>
      <w:bookmarkEnd w:id="3270"/>
      <w:bookmarkEnd w:id="3271"/>
    </w:p>
    <w:p w14:paraId="041C2F8E" w14:textId="77777777" w:rsidR="00AD187C" w:rsidRPr="009E06AA" w:rsidRDefault="00AD187C" w:rsidP="00AD187C">
      <w:pPr>
        <w:pStyle w:val="Heading4"/>
      </w:pPr>
      <w:bookmarkStart w:id="3272" w:name="activity-data-2"/>
      <w:r w:rsidRPr="009E06AA">
        <w:t>Activity data</w:t>
      </w:r>
    </w:p>
    <w:p w14:paraId="4858FFFA" w14:textId="77777777" w:rsidR="00AD187C" w:rsidRPr="009E06AA" w:rsidRDefault="00AD187C" w:rsidP="00AD187C">
      <w:pPr>
        <w:pStyle w:val="BodyText"/>
      </w:pPr>
      <w:r w:rsidRPr="009E06AA">
        <w:t xml:space="preserve">The sources of activity data for the </w:t>
      </w:r>
      <w:r w:rsidRPr="009E06AA">
        <w:rPr>
          <w:i/>
        </w:rPr>
        <w:t>Other sectors – Residential</w:t>
      </w:r>
      <w:r w:rsidRPr="009E06AA">
        <w:t xml:space="preserve"> category are included in table 8.1.1. The key data source for the category is paid invoices from Origin Energy Samoa Ltd (Apia, Samoa) providing prices and volumes of propane supplied on-atoll for cooking.</w:t>
      </w:r>
    </w:p>
    <w:p w14:paraId="1960E5CD" w14:textId="77777777" w:rsidR="00AD187C" w:rsidRPr="009E06AA" w:rsidRDefault="00AD187C" w:rsidP="00AD187C">
      <w:pPr>
        <w:pStyle w:val="Heading4"/>
      </w:pPr>
      <w:bookmarkStart w:id="3273" w:name="methods-and-emission-factors-2"/>
      <w:bookmarkEnd w:id="3272"/>
      <w:r w:rsidRPr="009E06AA">
        <w:t>Methods and emission factors</w:t>
      </w:r>
    </w:p>
    <w:p w14:paraId="355CA3FE" w14:textId="77777777" w:rsidR="00AD187C" w:rsidRPr="009E06AA" w:rsidRDefault="00AD187C" w:rsidP="00AD187C">
      <w:pPr>
        <w:pStyle w:val="BodyText"/>
      </w:pPr>
      <w:r w:rsidRPr="009E06AA">
        <w:rPr>
          <w:spacing w:val="-2"/>
        </w:rPr>
        <w:t xml:space="preserve">An IPCC Tier 1 method was applied for estimating emissions from the </w:t>
      </w:r>
      <w:r w:rsidRPr="009E06AA">
        <w:rPr>
          <w:i/>
          <w:spacing w:val="-2"/>
        </w:rPr>
        <w:t>Other sectors – Residentia</w:t>
      </w:r>
      <w:r w:rsidRPr="009E06AA">
        <w:rPr>
          <w:i/>
        </w:rPr>
        <w:t>l</w:t>
      </w:r>
      <w:r w:rsidRPr="009E06AA">
        <w:t xml:space="preserve"> category. The method required the data on the amount of LPG combusted in the source category and a default emission factor from table 2.2, section 2.3.2.1, volume 2 of the 2006 IPCC Guidelines. Default emission factors from the 2006 IPCC Guidelines were converted from net calorific values to gross calorific values using the OECD and IEA assumptions to make these conversions:</w:t>
      </w:r>
    </w:p>
    <w:p w14:paraId="3E0C1BCB" w14:textId="77777777" w:rsidR="00AD187C" w:rsidRPr="009E06AA" w:rsidRDefault="00AD187C" w:rsidP="00AD187C">
      <w:pPr>
        <w:pStyle w:val="BodyText"/>
        <w:jc w:val="center"/>
        <w:rPr>
          <w:rFonts w:ascii="Cambria Math" w:hAnsi="Cambria Math"/>
          <w:i/>
          <w:sz w:val="24"/>
        </w:rPr>
      </w:pPr>
      <w:r w:rsidRPr="009E06AA">
        <w:rPr>
          <w:rFonts w:ascii="Cambria Math" w:hAnsi="Cambria Math"/>
          <w:i/>
          <w:sz w:val="24"/>
        </w:rPr>
        <w:t>Gross Emission Factor (gaseous fuels) = 0.90 x Net Emission Factor</w:t>
      </w:r>
    </w:p>
    <w:p w14:paraId="71931063" w14:textId="77777777" w:rsidR="00AD187C" w:rsidRPr="009E06AA" w:rsidRDefault="00AD187C" w:rsidP="00AD187C">
      <w:pPr>
        <w:pStyle w:val="BodyText"/>
      </w:pPr>
      <w:r w:rsidRPr="009E06AA">
        <w:t>Equations 2.1 and 2.2 from section 2.3.1.1 in the 2006 IPCC Guidelines were used for estimating emissions (IPCC, 2006a).</w:t>
      </w:r>
    </w:p>
    <w:p w14:paraId="31E89768" w14:textId="77777777" w:rsidR="00AD187C" w:rsidRPr="009E06AA" w:rsidRDefault="00AD187C" w:rsidP="00AD187C">
      <w:pPr>
        <w:pStyle w:val="Heading3"/>
      </w:pPr>
      <w:bookmarkStart w:id="3274" w:name="_Toc160205196"/>
      <w:bookmarkStart w:id="3275" w:name="_Toc160441781"/>
      <w:bookmarkEnd w:id="3273"/>
      <w:r w:rsidRPr="009E06AA">
        <w:t xml:space="preserve">8.4.3 </w:t>
      </w:r>
      <w:r w:rsidRPr="009E06AA">
        <w:tab/>
        <w:t>Uncertainty assessment and time-series consistency</w:t>
      </w:r>
      <w:bookmarkEnd w:id="3274"/>
      <w:bookmarkEnd w:id="3275"/>
    </w:p>
    <w:p w14:paraId="43054AEC" w14:textId="77777777" w:rsidR="00AD187C" w:rsidRPr="009E06AA" w:rsidRDefault="00AD187C" w:rsidP="00AD187C">
      <w:pPr>
        <w:pStyle w:val="BodyText"/>
      </w:pPr>
      <w:r w:rsidRPr="009E06AA">
        <w:rPr>
          <w:spacing w:val="-2"/>
        </w:rPr>
        <w:t>For this submission, it was not possible to develop Tokelau-specific uncertainty values, therefore</w:t>
      </w:r>
      <w:r w:rsidRPr="009E06AA">
        <w:t xml:space="preserve">, for emission factors, default uncertainty values provided in the 2006 IPCC </w:t>
      </w:r>
      <w:r w:rsidRPr="009E06AA">
        <w:rPr>
          <w:spacing w:val="-2"/>
        </w:rPr>
        <w:t>Guidelines were used for CO</w:t>
      </w:r>
      <w:r w:rsidRPr="009E06AA">
        <w:rPr>
          <w:spacing w:val="-2"/>
          <w:vertAlign w:val="subscript"/>
        </w:rPr>
        <w:t>2</w:t>
      </w:r>
      <w:r w:rsidRPr="009E06AA">
        <w:rPr>
          <w:spacing w:val="-2"/>
        </w:rPr>
        <w:t xml:space="preserve"> and CH</w:t>
      </w:r>
      <w:r w:rsidRPr="009E06AA">
        <w:rPr>
          <w:spacing w:val="-2"/>
          <w:vertAlign w:val="subscript"/>
        </w:rPr>
        <w:t>4</w:t>
      </w:r>
      <w:r w:rsidRPr="009E06AA">
        <w:rPr>
          <w:spacing w:val="-2"/>
        </w:rPr>
        <w:t xml:space="preserve"> (for commercial, institutional and residential combustion)</w:t>
      </w:r>
      <w:r w:rsidRPr="009E06AA">
        <w:t xml:space="preserve"> (IPCC, 2006a). Because no quantified default emission factor is provided for N</w:t>
      </w:r>
      <w:r w:rsidRPr="009E06AA">
        <w:rPr>
          <w:vertAlign w:val="subscript"/>
        </w:rPr>
        <w:t>2</w:t>
      </w:r>
      <w:r w:rsidRPr="009E06AA">
        <w:t>O, New Zealand’s emission factor uncertainty across the Energy sector for N</w:t>
      </w:r>
      <w:r w:rsidRPr="009E06AA">
        <w:rPr>
          <w:vertAlign w:val="subscript"/>
        </w:rPr>
        <w:t>2</w:t>
      </w:r>
      <w:r w:rsidRPr="009E06AA">
        <w:t>O was used for this category.</w:t>
      </w:r>
    </w:p>
    <w:p w14:paraId="3D1806EB" w14:textId="77777777" w:rsidR="00AD187C" w:rsidRPr="009E06AA" w:rsidRDefault="00AD187C" w:rsidP="00AD187C">
      <w:pPr>
        <w:pStyle w:val="BodyText"/>
      </w:pPr>
      <w:r w:rsidRPr="009E06AA">
        <w:t xml:space="preserve">For activity data, a mid-range level of default uncertainty range associated with data extrapolation from the 2006 IPCC Guidelines was applied (IPCC, 2006a). Table 8.4.1 shows the use of uncertainties for the </w:t>
      </w:r>
      <w:r w:rsidRPr="009E06AA">
        <w:rPr>
          <w:i/>
          <w:iCs/>
        </w:rPr>
        <w:t>Other sectors – Residential</w:t>
      </w:r>
      <w:r w:rsidRPr="009E06AA">
        <w:t xml:space="preserve"> category.</w:t>
      </w:r>
    </w:p>
    <w:p w14:paraId="5DCE2E46" w14:textId="77777777" w:rsidR="00AD187C" w:rsidRPr="009E06AA" w:rsidRDefault="00AD187C" w:rsidP="00AD187C">
      <w:pPr>
        <w:pStyle w:val="Table"/>
      </w:pPr>
      <w:bookmarkStart w:id="3276" w:name="_Toc5269597"/>
      <w:bookmarkStart w:id="3277" w:name="_Toc36224678"/>
      <w:bookmarkStart w:id="3278" w:name="_Toc68786564"/>
      <w:bookmarkStart w:id="3279" w:name="_Toc130211270"/>
      <w:bookmarkStart w:id="3280" w:name="_Toc131591471"/>
      <w:bookmarkStart w:id="3281" w:name="_Toc160205507"/>
      <w:bookmarkStart w:id="3282" w:name="_Toc160441626"/>
      <w:bookmarkStart w:id="3283" w:name="_Toc164153962"/>
      <w:r w:rsidRPr="009E06AA">
        <w:t xml:space="preserve">Table 8.4.1 </w:t>
      </w:r>
      <w:r w:rsidRPr="009E06AA">
        <w:tab/>
        <w:t xml:space="preserve">Uncertainties for the </w:t>
      </w:r>
      <w:r w:rsidRPr="009E06AA">
        <w:rPr>
          <w:i/>
          <w:iCs/>
        </w:rPr>
        <w:t>Other sectors – Residential</w:t>
      </w:r>
      <w:r w:rsidRPr="009E06AA">
        <w:t xml:space="preserve"> category</w:t>
      </w:r>
      <w:bookmarkEnd w:id="3276"/>
      <w:bookmarkEnd w:id="3277"/>
      <w:bookmarkEnd w:id="3278"/>
      <w:bookmarkEnd w:id="3279"/>
      <w:bookmarkEnd w:id="3280"/>
      <w:bookmarkEnd w:id="3281"/>
      <w:bookmarkEnd w:id="3282"/>
      <w:bookmarkEnd w:id="3283"/>
    </w:p>
    <w:tbl>
      <w:tblPr>
        <w:tblW w:w="8494" w:type="dxa"/>
        <w:tblBorders>
          <w:top w:val="single" w:sz="4" w:space="0" w:color="1B556B"/>
          <w:left w:val="single" w:sz="4" w:space="0" w:color="FFFFFF"/>
          <w:bottom w:val="single" w:sz="4" w:space="0" w:color="1B556B"/>
          <w:right w:val="single" w:sz="4" w:space="0" w:color="FFFFFF"/>
          <w:insideH w:val="single" w:sz="4" w:space="0" w:color="1B556B"/>
        </w:tblBorders>
        <w:tblLook w:val="0420" w:firstRow="1" w:lastRow="0" w:firstColumn="0" w:lastColumn="0" w:noHBand="0" w:noVBand="1"/>
      </w:tblPr>
      <w:tblGrid>
        <w:gridCol w:w="430"/>
        <w:gridCol w:w="1089"/>
        <w:gridCol w:w="1458"/>
        <w:gridCol w:w="1559"/>
        <w:gridCol w:w="3958"/>
      </w:tblGrid>
      <w:tr w:rsidR="00AD187C" w:rsidRPr="009E06AA" w14:paraId="1F0F719D" w14:textId="77777777" w:rsidTr="00B55F24">
        <w:trPr>
          <w:tblHeader/>
        </w:trPr>
        <w:tc>
          <w:tcPr>
            <w:tcW w:w="0" w:type="auto"/>
            <w:tcBorders>
              <w:left w:val="nil"/>
            </w:tcBorders>
            <w:shd w:val="clear" w:color="auto" w:fill="1B556B"/>
            <w:tcMar>
              <w:top w:w="0" w:type="dxa"/>
              <w:left w:w="85" w:type="dxa"/>
              <w:bottom w:w="0" w:type="dxa"/>
              <w:right w:w="85" w:type="dxa"/>
            </w:tcMar>
            <w:vAlign w:val="bottom"/>
          </w:tcPr>
          <w:p w14:paraId="49D22984" w14:textId="77777777" w:rsidR="00AD187C" w:rsidRPr="009E06AA" w:rsidRDefault="00AD187C" w:rsidP="00B55F24">
            <w:pPr>
              <w:pStyle w:val="TableText"/>
              <w:rPr>
                <w:b/>
                <w:bCs/>
                <w:color w:val="FFFFFF" w:themeColor="background1"/>
              </w:rPr>
            </w:pPr>
            <w:r w:rsidRPr="009E06AA">
              <w:rPr>
                <w:b/>
                <w:bCs/>
                <w:color w:val="FFFFFF" w:themeColor="background1"/>
              </w:rPr>
              <w:t>Gas</w:t>
            </w:r>
          </w:p>
        </w:tc>
        <w:tc>
          <w:tcPr>
            <w:tcW w:w="1089" w:type="dxa"/>
            <w:shd w:val="clear" w:color="auto" w:fill="1B556B"/>
            <w:tcMar>
              <w:top w:w="0" w:type="dxa"/>
              <w:left w:w="85" w:type="dxa"/>
              <w:bottom w:w="0" w:type="dxa"/>
              <w:right w:w="85" w:type="dxa"/>
            </w:tcMar>
            <w:vAlign w:val="bottom"/>
          </w:tcPr>
          <w:p w14:paraId="1E8F90FC" w14:textId="77777777" w:rsidR="00AD187C" w:rsidRPr="009E06AA" w:rsidRDefault="00AD187C" w:rsidP="00B55F24">
            <w:pPr>
              <w:pStyle w:val="TableText"/>
              <w:rPr>
                <w:b/>
                <w:bCs/>
                <w:color w:val="FFFFFF" w:themeColor="background1"/>
              </w:rPr>
            </w:pPr>
            <w:r w:rsidRPr="009E06AA">
              <w:rPr>
                <w:b/>
                <w:bCs/>
                <w:color w:val="FFFFFF" w:themeColor="background1"/>
              </w:rPr>
              <w:t>Fuel type</w:t>
            </w:r>
          </w:p>
        </w:tc>
        <w:tc>
          <w:tcPr>
            <w:tcW w:w="1458" w:type="dxa"/>
            <w:shd w:val="clear" w:color="auto" w:fill="1B556B"/>
            <w:tcMar>
              <w:top w:w="0" w:type="dxa"/>
              <w:left w:w="85" w:type="dxa"/>
              <w:bottom w:w="0" w:type="dxa"/>
              <w:right w:w="85" w:type="dxa"/>
            </w:tcMar>
            <w:vAlign w:val="bottom"/>
          </w:tcPr>
          <w:p w14:paraId="04B9D9D5" w14:textId="77777777" w:rsidR="00AD187C" w:rsidRPr="009E06AA" w:rsidRDefault="00AD187C" w:rsidP="00850ECB">
            <w:pPr>
              <w:pStyle w:val="TableText"/>
              <w:jc w:val="right"/>
              <w:rPr>
                <w:b/>
                <w:bCs/>
                <w:color w:val="FFFFFF" w:themeColor="background1"/>
              </w:rPr>
            </w:pPr>
            <w:r w:rsidRPr="009E06AA">
              <w:rPr>
                <w:b/>
                <w:bCs/>
                <w:color w:val="FFFFFF" w:themeColor="background1"/>
              </w:rPr>
              <w:t>Activity data (AD) uncertainty (%)</w:t>
            </w:r>
          </w:p>
        </w:tc>
        <w:tc>
          <w:tcPr>
            <w:tcW w:w="1559" w:type="dxa"/>
            <w:shd w:val="clear" w:color="auto" w:fill="1B556B"/>
            <w:tcMar>
              <w:top w:w="0" w:type="dxa"/>
              <w:left w:w="85" w:type="dxa"/>
              <w:bottom w:w="0" w:type="dxa"/>
              <w:right w:w="85" w:type="dxa"/>
            </w:tcMar>
            <w:vAlign w:val="bottom"/>
          </w:tcPr>
          <w:p w14:paraId="68E68263" w14:textId="77777777" w:rsidR="00AD187C" w:rsidRPr="009E06AA" w:rsidRDefault="00AD187C" w:rsidP="00850ECB">
            <w:pPr>
              <w:pStyle w:val="TableText"/>
              <w:jc w:val="right"/>
              <w:rPr>
                <w:b/>
                <w:bCs/>
                <w:color w:val="FFFFFF" w:themeColor="background1"/>
              </w:rPr>
            </w:pPr>
            <w:r w:rsidRPr="009E06AA">
              <w:rPr>
                <w:b/>
                <w:bCs/>
                <w:color w:val="FFFFFF" w:themeColor="background1"/>
              </w:rPr>
              <w:t>Emission factor (EF) uncertainty (%)</w:t>
            </w:r>
          </w:p>
        </w:tc>
        <w:tc>
          <w:tcPr>
            <w:tcW w:w="3958" w:type="dxa"/>
            <w:tcBorders>
              <w:right w:val="nil"/>
            </w:tcBorders>
            <w:shd w:val="clear" w:color="auto" w:fill="1B556B"/>
            <w:tcMar>
              <w:top w:w="0" w:type="dxa"/>
              <w:left w:w="85" w:type="dxa"/>
              <w:bottom w:w="0" w:type="dxa"/>
              <w:right w:w="85" w:type="dxa"/>
            </w:tcMar>
            <w:vAlign w:val="bottom"/>
          </w:tcPr>
          <w:p w14:paraId="6E251124" w14:textId="77777777" w:rsidR="00AD187C" w:rsidRPr="009E06AA" w:rsidRDefault="00AD187C" w:rsidP="00B55F24">
            <w:pPr>
              <w:pStyle w:val="TableText"/>
              <w:rPr>
                <w:b/>
                <w:bCs/>
                <w:color w:val="FFFFFF" w:themeColor="background1"/>
              </w:rPr>
            </w:pPr>
            <w:r w:rsidRPr="009E06AA">
              <w:rPr>
                <w:b/>
                <w:bCs/>
                <w:color w:val="FFFFFF" w:themeColor="background1"/>
              </w:rPr>
              <w:t>Source</w:t>
            </w:r>
          </w:p>
        </w:tc>
      </w:tr>
      <w:tr w:rsidR="00AD187C" w:rsidRPr="009E06AA" w14:paraId="51F03ABB" w14:textId="77777777" w:rsidTr="00B55F24">
        <w:trPr>
          <w:trHeight w:val="283"/>
        </w:trPr>
        <w:tc>
          <w:tcPr>
            <w:tcW w:w="0" w:type="auto"/>
            <w:shd w:val="clear" w:color="auto" w:fill="FFFFFF"/>
            <w:tcMar>
              <w:top w:w="0" w:type="dxa"/>
              <w:left w:w="85" w:type="dxa"/>
              <w:bottom w:w="0" w:type="dxa"/>
              <w:right w:w="85" w:type="dxa"/>
            </w:tcMar>
          </w:tcPr>
          <w:p w14:paraId="2E865E4A" w14:textId="77777777" w:rsidR="00AD187C" w:rsidRPr="009E06AA" w:rsidRDefault="00AD187C" w:rsidP="00B55F24">
            <w:pPr>
              <w:pStyle w:val="TableText"/>
            </w:pPr>
            <w:r w:rsidRPr="009E06AA">
              <w:rPr>
                <w:color w:val="000000"/>
              </w:rPr>
              <w:t>CO</w:t>
            </w:r>
            <w:r w:rsidRPr="009E06AA">
              <w:rPr>
                <w:color w:val="000000"/>
                <w:vertAlign w:val="subscript"/>
              </w:rPr>
              <w:t>2</w:t>
            </w:r>
          </w:p>
        </w:tc>
        <w:tc>
          <w:tcPr>
            <w:tcW w:w="1089" w:type="dxa"/>
            <w:shd w:val="clear" w:color="auto" w:fill="FFFFFF"/>
            <w:tcMar>
              <w:top w:w="0" w:type="dxa"/>
              <w:left w:w="85" w:type="dxa"/>
              <w:bottom w:w="0" w:type="dxa"/>
              <w:right w:w="85" w:type="dxa"/>
            </w:tcMar>
          </w:tcPr>
          <w:p w14:paraId="73DC16F2" w14:textId="77777777" w:rsidR="00AD187C" w:rsidRPr="009E06AA" w:rsidRDefault="00AD187C" w:rsidP="00B55F24">
            <w:pPr>
              <w:pStyle w:val="TableText"/>
            </w:pPr>
            <w:r w:rsidRPr="009E06AA">
              <w:rPr>
                <w:color w:val="000000"/>
              </w:rPr>
              <w:t>Liquid fuels</w:t>
            </w:r>
          </w:p>
        </w:tc>
        <w:tc>
          <w:tcPr>
            <w:tcW w:w="1458" w:type="dxa"/>
            <w:shd w:val="clear" w:color="auto" w:fill="FFFFFF"/>
            <w:tcMar>
              <w:top w:w="0" w:type="dxa"/>
              <w:left w:w="85" w:type="dxa"/>
              <w:bottom w:w="0" w:type="dxa"/>
              <w:right w:w="85" w:type="dxa"/>
            </w:tcMar>
          </w:tcPr>
          <w:p w14:paraId="5D69287D" w14:textId="77777777" w:rsidR="00AD187C" w:rsidRPr="009E06AA" w:rsidRDefault="00AD187C" w:rsidP="00850ECB">
            <w:pPr>
              <w:pStyle w:val="TableText"/>
              <w:jc w:val="right"/>
            </w:pPr>
            <w:r w:rsidRPr="009E06AA">
              <w:rPr>
                <w:color w:val="000000"/>
              </w:rPr>
              <w:t>20</w:t>
            </w:r>
          </w:p>
        </w:tc>
        <w:tc>
          <w:tcPr>
            <w:tcW w:w="1559" w:type="dxa"/>
            <w:shd w:val="clear" w:color="auto" w:fill="FFFFFF"/>
            <w:tcMar>
              <w:top w:w="0" w:type="dxa"/>
              <w:left w:w="85" w:type="dxa"/>
              <w:bottom w:w="0" w:type="dxa"/>
              <w:right w:w="85" w:type="dxa"/>
            </w:tcMar>
          </w:tcPr>
          <w:p w14:paraId="264336E0" w14:textId="77777777" w:rsidR="00AD187C" w:rsidRPr="009E06AA" w:rsidRDefault="00AD187C" w:rsidP="00850ECB">
            <w:pPr>
              <w:pStyle w:val="TableText"/>
              <w:jc w:val="right"/>
            </w:pPr>
            <w:r w:rsidRPr="009E06AA">
              <w:rPr>
                <w:color w:val="000000"/>
              </w:rPr>
              <w:t>±7</w:t>
            </w:r>
          </w:p>
        </w:tc>
        <w:tc>
          <w:tcPr>
            <w:tcW w:w="3958" w:type="dxa"/>
            <w:shd w:val="clear" w:color="auto" w:fill="FFFFFF"/>
            <w:tcMar>
              <w:top w:w="0" w:type="dxa"/>
              <w:left w:w="85" w:type="dxa"/>
              <w:bottom w:w="0" w:type="dxa"/>
              <w:right w:w="85" w:type="dxa"/>
            </w:tcMar>
          </w:tcPr>
          <w:p w14:paraId="7B9D05B0" w14:textId="77777777" w:rsidR="00AD187C" w:rsidRPr="009E06AA" w:rsidRDefault="00AD187C" w:rsidP="00B55F24">
            <w:pPr>
              <w:pStyle w:val="TableText"/>
            </w:pPr>
            <w:r w:rsidRPr="009E06AA">
              <w:rPr>
                <w:rFonts w:eastAsia="Calibri"/>
                <w:color w:val="000000"/>
              </w:rPr>
              <w:t>AD: page 2.41, IPCC, 2006a (table 2.15)</w:t>
            </w:r>
            <w:r w:rsidRPr="009E06AA">
              <w:rPr>
                <w:rFonts w:eastAsia="Calibri" w:cs="Calibri"/>
                <w:color w:val="000000"/>
                <w:szCs w:val="16"/>
              </w:rPr>
              <w:t xml:space="preserve"> </w:t>
            </w:r>
            <w:r w:rsidRPr="009E06AA">
              <w:rPr>
                <w:rFonts w:eastAsia="Calibri" w:cs="Calibri"/>
                <w:color w:val="000000"/>
                <w:szCs w:val="16"/>
              </w:rPr>
              <w:br/>
            </w:r>
            <w:r w:rsidRPr="009E06AA">
              <w:rPr>
                <w:color w:val="000000"/>
              </w:rPr>
              <w:t>EF: page 2.38, IPCC, 2006a</w:t>
            </w:r>
          </w:p>
        </w:tc>
      </w:tr>
      <w:tr w:rsidR="00AD187C" w:rsidRPr="009E06AA" w14:paraId="606737A6" w14:textId="77777777" w:rsidTr="00B55F24">
        <w:trPr>
          <w:trHeight w:val="283"/>
        </w:trPr>
        <w:tc>
          <w:tcPr>
            <w:tcW w:w="0" w:type="auto"/>
            <w:shd w:val="clear" w:color="auto" w:fill="FFFFFF"/>
            <w:tcMar>
              <w:top w:w="0" w:type="dxa"/>
              <w:left w:w="85" w:type="dxa"/>
              <w:bottom w:w="0" w:type="dxa"/>
              <w:right w:w="85" w:type="dxa"/>
            </w:tcMar>
          </w:tcPr>
          <w:p w14:paraId="0809F346" w14:textId="77777777" w:rsidR="00AD187C" w:rsidRPr="009E06AA" w:rsidRDefault="00AD187C" w:rsidP="00B55F24">
            <w:pPr>
              <w:pStyle w:val="TableText"/>
            </w:pPr>
            <w:r w:rsidRPr="009E06AA">
              <w:rPr>
                <w:color w:val="000000"/>
              </w:rPr>
              <w:t>CH</w:t>
            </w:r>
            <w:r w:rsidRPr="009E06AA">
              <w:rPr>
                <w:color w:val="000000"/>
                <w:vertAlign w:val="subscript"/>
              </w:rPr>
              <w:t>4</w:t>
            </w:r>
          </w:p>
        </w:tc>
        <w:tc>
          <w:tcPr>
            <w:tcW w:w="1089" w:type="dxa"/>
            <w:shd w:val="clear" w:color="auto" w:fill="FFFFFF"/>
            <w:tcMar>
              <w:top w:w="0" w:type="dxa"/>
              <w:left w:w="85" w:type="dxa"/>
              <w:bottom w:w="0" w:type="dxa"/>
              <w:right w:w="85" w:type="dxa"/>
            </w:tcMar>
          </w:tcPr>
          <w:p w14:paraId="00C68805" w14:textId="77777777" w:rsidR="00AD187C" w:rsidRPr="009E06AA" w:rsidRDefault="00AD187C" w:rsidP="00B55F24">
            <w:pPr>
              <w:pStyle w:val="TableText"/>
            </w:pPr>
            <w:r w:rsidRPr="009E06AA">
              <w:rPr>
                <w:color w:val="000000"/>
              </w:rPr>
              <w:t>Liquid fuels</w:t>
            </w:r>
          </w:p>
        </w:tc>
        <w:tc>
          <w:tcPr>
            <w:tcW w:w="1458" w:type="dxa"/>
            <w:shd w:val="clear" w:color="auto" w:fill="FFFFFF"/>
            <w:tcMar>
              <w:top w:w="0" w:type="dxa"/>
              <w:left w:w="85" w:type="dxa"/>
              <w:bottom w:w="0" w:type="dxa"/>
              <w:right w:w="85" w:type="dxa"/>
            </w:tcMar>
          </w:tcPr>
          <w:p w14:paraId="5B5CD526" w14:textId="77777777" w:rsidR="00AD187C" w:rsidRPr="009E06AA" w:rsidRDefault="00AD187C" w:rsidP="00850ECB">
            <w:pPr>
              <w:pStyle w:val="TableText"/>
              <w:jc w:val="right"/>
            </w:pPr>
            <w:r w:rsidRPr="009E06AA">
              <w:rPr>
                <w:color w:val="000000"/>
              </w:rPr>
              <w:t>20</w:t>
            </w:r>
          </w:p>
        </w:tc>
        <w:tc>
          <w:tcPr>
            <w:tcW w:w="1559" w:type="dxa"/>
            <w:shd w:val="clear" w:color="auto" w:fill="FFFFFF"/>
            <w:tcMar>
              <w:top w:w="0" w:type="dxa"/>
              <w:left w:w="85" w:type="dxa"/>
              <w:bottom w:w="0" w:type="dxa"/>
              <w:right w:w="85" w:type="dxa"/>
            </w:tcMar>
          </w:tcPr>
          <w:p w14:paraId="1369E887" w14:textId="77777777" w:rsidR="00AD187C" w:rsidRPr="009E06AA" w:rsidRDefault="00AD187C" w:rsidP="00850ECB">
            <w:pPr>
              <w:pStyle w:val="TableText"/>
              <w:jc w:val="right"/>
            </w:pPr>
            <w:r w:rsidRPr="009E06AA">
              <w:rPr>
                <w:color w:val="000000"/>
              </w:rPr>
              <w:t>±50.0</w:t>
            </w:r>
          </w:p>
        </w:tc>
        <w:tc>
          <w:tcPr>
            <w:tcW w:w="3958" w:type="dxa"/>
            <w:shd w:val="clear" w:color="auto" w:fill="FFFFFF"/>
            <w:tcMar>
              <w:top w:w="0" w:type="dxa"/>
              <w:left w:w="85" w:type="dxa"/>
              <w:bottom w:w="0" w:type="dxa"/>
              <w:right w:w="85" w:type="dxa"/>
            </w:tcMar>
          </w:tcPr>
          <w:p w14:paraId="610A3A30" w14:textId="77777777" w:rsidR="00AD187C" w:rsidRPr="009E06AA" w:rsidRDefault="00AD187C" w:rsidP="00B55F24">
            <w:pPr>
              <w:pStyle w:val="TableText"/>
            </w:pPr>
            <w:r w:rsidRPr="009E06AA">
              <w:rPr>
                <w:rFonts w:eastAsia="Calibri"/>
                <w:color w:val="000000"/>
              </w:rPr>
              <w:t>AD: page 2.41, IPCC, 2006a (table 2.15)</w:t>
            </w:r>
            <w:r w:rsidRPr="009E06AA">
              <w:rPr>
                <w:rFonts w:eastAsia="Calibri" w:cs="Calibri"/>
                <w:color w:val="000000"/>
                <w:szCs w:val="16"/>
              </w:rPr>
              <w:t xml:space="preserve"> </w:t>
            </w:r>
            <w:r w:rsidRPr="009E06AA">
              <w:rPr>
                <w:rFonts w:eastAsia="Calibri" w:cs="Calibri"/>
                <w:color w:val="000000"/>
                <w:szCs w:val="16"/>
              </w:rPr>
              <w:br/>
            </w:r>
            <w:r w:rsidRPr="009E06AA">
              <w:rPr>
                <w:color w:val="000000"/>
              </w:rPr>
              <w:t>EF: page 2.38, IPCC, 2006a (table 2.12)</w:t>
            </w:r>
          </w:p>
        </w:tc>
      </w:tr>
      <w:tr w:rsidR="00AD187C" w:rsidRPr="009E06AA" w14:paraId="6AD8930C" w14:textId="77777777" w:rsidTr="00B55F24">
        <w:trPr>
          <w:trHeight w:val="283"/>
        </w:trPr>
        <w:tc>
          <w:tcPr>
            <w:tcW w:w="0" w:type="auto"/>
            <w:shd w:val="clear" w:color="auto" w:fill="FFFFFF"/>
            <w:tcMar>
              <w:top w:w="0" w:type="dxa"/>
              <w:left w:w="85" w:type="dxa"/>
              <w:bottom w:w="0" w:type="dxa"/>
              <w:right w:w="85" w:type="dxa"/>
            </w:tcMar>
          </w:tcPr>
          <w:p w14:paraId="72CED0F0" w14:textId="77777777" w:rsidR="00AD187C" w:rsidRPr="009E06AA" w:rsidRDefault="00AD187C" w:rsidP="00B55F24">
            <w:pPr>
              <w:pStyle w:val="TableText"/>
            </w:pPr>
            <w:r w:rsidRPr="009E06AA">
              <w:rPr>
                <w:color w:val="000000"/>
              </w:rPr>
              <w:t>N</w:t>
            </w:r>
            <w:r w:rsidRPr="009E06AA">
              <w:rPr>
                <w:color w:val="000000"/>
                <w:vertAlign w:val="subscript"/>
              </w:rPr>
              <w:t>2</w:t>
            </w:r>
            <w:r w:rsidRPr="009E06AA">
              <w:rPr>
                <w:color w:val="000000"/>
              </w:rPr>
              <w:t>O</w:t>
            </w:r>
          </w:p>
        </w:tc>
        <w:tc>
          <w:tcPr>
            <w:tcW w:w="1089" w:type="dxa"/>
            <w:shd w:val="clear" w:color="auto" w:fill="FFFFFF"/>
            <w:tcMar>
              <w:top w:w="0" w:type="dxa"/>
              <w:left w:w="85" w:type="dxa"/>
              <w:bottom w:w="0" w:type="dxa"/>
              <w:right w:w="85" w:type="dxa"/>
            </w:tcMar>
          </w:tcPr>
          <w:p w14:paraId="03328E23" w14:textId="77777777" w:rsidR="00AD187C" w:rsidRPr="009E06AA" w:rsidRDefault="00AD187C" w:rsidP="00B55F24">
            <w:pPr>
              <w:pStyle w:val="TableText"/>
            </w:pPr>
            <w:r w:rsidRPr="009E06AA">
              <w:rPr>
                <w:color w:val="000000"/>
              </w:rPr>
              <w:t>Liquid fuels</w:t>
            </w:r>
          </w:p>
        </w:tc>
        <w:tc>
          <w:tcPr>
            <w:tcW w:w="1458" w:type="dxa"/>
            <w:shd w:val="clear" w:color="auto" w:fill="FFFFFF"/>
            <w:tcMar>
              <w:top w:w="0" w:type="dxa"/>
              <w:left w:w="85" w:type="dxa"/>
              <w:bottom w:w="0" w:type="dxa"/>
              <w:right w:w="85" w:type="dxa"/>
            </w:tcMar>
          </w:tcPr>
          <w:p w14:paraId="45838D70" w14:textId="77777777" w:rsidR="00AD187C" w:rsidRPr="009E06AA" w:rsidRDefault="00AD187C" w:rsidP="00850ECB">
            <w:pPr>
              <w:pStyle w:val="TableText"/>
              <w:jc w:val="right"/>
            </w:pPr>
            <w:r w:rsidRPr="009E06AA">
              <w:rPr>
                <w:color w:val="000000"/>
              </w:rPr>
              <w:t>20</w:t>
            </w:r>
          </w:p>
        </w:tc>
        <w:tc>
          <w:tcPr>
            <w:tcW w:w="1559" w:type="dxa"/>
            <w:shd w:val="clear" w:color="auto" w:fill="FFFFFF"/>
            <w:tcMar>
              <w:top w:w="0" w:type="dxa"/>
              <w:left w:w="85" w:type="dxa"/>
              <w:bottom w:w="0" w:type="dxa"/>
              <w:right w:w="85" w:type="dxa"/>
            </w:tcMar>
          </w:tcPr>
          <w:p w14:paraId="62D5C86C" w14:textId="77777777" w:rsidR="00AD187C" w:rsidRPr="009E06AA" w:rsidRDefault="00AD187C" w:rsidP="00850ECB">
            <w:pPr>
              <w:pStyle w:val="TableText"/>
              <w:jc w:val="right"/>
            </w:pPr>
            <w:r w:rsidRPr="009E06AA">
              <w:rPr>
                <w:color w:val="000000"/>
              </w:rPr>
              <w:t>±50.0</w:t>
            </w:r>
          </w:p>
        </w:tc>
        <w:tc>
          <w:tcPr>
            <w:tcW w:w="3958" w:type="dxa"/>
            <w:shd w:val="clear" w:color="auto" w:fill="FFFFFF"/>
            <w:tcMar>
              <w:top w:w="0" w:type="dxa"/>
              <w:left w:w="85" w:type="dxa"/>
              <w:bottom w:w="0" w:type="dxa"/>
              <w:right w:w="85" w:type="dxa"/>
            </w:tcMar>
          </w:tcPr>
          <w:p w14:paraId="3E76B3B2" w14:textId="77777777" w:rsidR="00AD187C" w:rsidRPr="009E06AA" w:rsidRDefault="00AD187C" w:rsidP="00B55F24">
            <w:pPr>
              <w:pStyle w:val="TableText"/>
            </w:pPr>
            <w:r w:rsidRPr="009E06AA">
              <w:rPr>
                <w:rFonts w:eastAsia="Calibri"/>
                <w:color w:val="000000"/>
              </w:rPr>
              <w:t>AD: page 2.41, IPCC, 2006a (table 2.15)</w:t>
            </w:r>
            <w:r w:rsidRPr="009E06AA">
              <w:rPr>
                <w:rFonts w:eastAsia="Calibri" w:cs="Calibri"/>
                <w:color w:val="000000"/>
                <w:szCs w:val="16"/>
              </w:rPr>
              <w:t xml:space="preserve"> </w:t>
            </w:r>
            <w:r w:rsidRPr="009E06AA">
              <w:rPr>
                <w:rFonts w:eastAsia="Calibri" w:cs="Calibri"/>
                <w:color w:val="000000"/>
                <w:szCs w:val="16"/>
              </w:rPr>
              <w:br/>
            </w:r>
            <w:r w:rsidRPr="009E06AA">
              <w:rPr>
                <w:color w:val="000000"/>
              </w:rPr>
              <w:t>EF: New Zealand’s value (table 3.3.1, chapter 3)</w:t>
            </w:r>
          </w:p>
        </w:tc>
      </w:tr>
    </w:tbl>
    <w:p w14:paraId="118E15F8" w14:textId="77777777" w:rsidR="00AD187C" w:rsidRPr="009E06AA" w:rsidRDefault="00AD187C" w:rsidP="00AD187C">
      <w:pPr>
        <w:pStyle w:val="BodyText"/>
        <w:spacing w:before="240"/>
      </w:pPr>
      <w:r w:rsidRPr="009E06AA">
        <w:t xml:space="preserve">For the </w:t>
      </w:r>
      <w:r w:rsidRPr="009E06AA">
        <w:rPr>
          <w:i/>
          <w:iCs/>
        </w:rPr>
        <w:t>Other sectors – Residential</w:t>
      </w:r>
      <w:r w:rsidRPr="009E06AA">
        <w:t xml:space="preserve"> category, time-series consistency is maintained by keeping activity data constant at 2018 amounts and using actual data since 2018 for which data is available.</w:t>
      </w:r>
    </w:p>
    <w:p w14:paraId="12ED8012" w14:textId="77777777" w:rsidR="00AD187C" w:rsidRPr="009E06AA" w:rsidRDefault="00AD187C" w:rsidP="00AD187C">
      <w:pPr>
        <w:pStyle w:val="Heading3"/>
        <w:spacing w:before="280"/>
      </w:pPr>
      <w:bookmarkStart w:id="3284" w:name="_Toc160205197"/>
      <w:bookmarkStart w:id="3285" w:name="_Toc160441782"/>
      <w:r w:rsidRPr="009E06AA">
        <w:t xml:space="preserve">8.4.4 </w:t>
      </w:r>
      <w:r w:rsidRPr="009E06AA">
        <w:tab/>
        <w:t>Category-specific QA/QC and verification</w:t>
      </w:r>
      <w:bookmarkEnd w:id="3284"/>
      <w:bookmarkEnd w:id="3285"/>
    </w:p>
    <w:p w14:paraId="3C56F620" w14:textId="77777777" w:rsidR="00AD187C" w:rsidRPr="009E06AA" w:rsidRDefault="00AD187C" w:rsidP="00AD187C">
      <w:pPr>
        <w:pStyle w:val="BodyText"/>
        <w:spacing w:after="100"/>
      </w:pPr>
      <w:r w:rsidRPr="009E06AA">
        <w:t>Quality control of the activity data and calculations was applied to each category for Tokelau. No verification was possible because no alternative data were available.</w:t>
      </w:r>
    </w:p>
    <w:p w14:paraId="6F2CFD51" w14:textId="77777777" w:rsidR="00AD187C" w:rsidRPr="009E06AA" w:rsidRDefault="00AD187C" w:rsidP="00AD187C">
      <w:pPr>
        <w:pStyle w:val="Heading3"/>
        <w:spacing w:before="280"/>
      </w:pPr>
      <w:bookmarkStart w:id="3286" w:name="_Toc160205198"/>
      <w:bookmarkStart w:id="3287" w:name="_Toc160441783"/>
      <w:r w:rsidRPr="009E06AA">
        <w:t xml:space="preserve">8.4.5 </w:t>
      </w:r>
      <w:r w:rsidRPr="009E06AA">
        <w:tab/>
        <w:t>Category-specific recalculations</w:t>
      </w:r>
      <w:bookmarkEnd w:id="3286"/>
      <w:bookmarkEnd w:id="3287"/>
    </w:p>
    <w:p w14:paraId="2BFF0882" w14:textId="77777777" w:rsidR="00AD187C" w:rsidRPr="009E06AA" w:rsidRDefault="00AD187C" w:rsidP="00AD187C">
      <w:pPr>
        <w:pStyle w:val="BodyText"/>
        <w:spacing w:after="100"/>
      </w:pPr>
      <w:r w:rsidRPr="009E06AA">
        <w:t xml:space="preserve">There were no changes to estimates for the </w:t>
      </w:r>
      <w:r w:rsidRPr="009E06AA">
        <w:rPr>
          <w:i/>
          <w:iCs/>
        </w:rPr>
        <w:t>Other sectors – Residential</w:t>
      </w:r>
      <w:r w:rsidRPr="009E06AA">
        <w:t xml:space="preserve"> category.</w:t>
      </w:r>
    </w:p>
    <w:p w14:paraId="71F63545" w14:textId="77777777" w:rsidR="00AD187C" w:rsidRPr="009E06AA" w:rsidRDefault="00AD187C" w:rsidP="00AD187C">
      <w:pPr>
        <w:pStyle w:val="Heading3"/>
        <w:spacing w:before="280"/>
      </w:pPr>
      <w:bookmarkStart w:id="3288" w:name="_Toc160205199"/>
      <w:bookmarkStart w:id="3289" w:name="_Toc160441784"/>
      <w:bookmarkStart w:id="3290" w:name="source-specific-planned-improvements-1"/>
      <w:r w:rsidRPr="009E06AA">
        <w:t xml:space="preserve">8.4.6 </w:t>
      </w:r>
      <w:r w:rsidRPr="009E06AA">
        <w:tab/>
        <w:t>Category-specific planned improvements</w:t>
      </w:r>
      <w:bookmarkEnd w:id="3288"/>
      <w:bookmarkEnd w:id="3289"/>
    </w:p>
    <w:p w14:paraId="0D66944D" w14:textId="77777777" w:rsidR="00AD187C" w:rsidRPr="009E06AA" w:rsidRDefault="00AD187C" w:rsidP="00AD187C">
      <w:pPr>
        <w:pStyle w:val="BodyText"/>
        <w:spacing w:after="100"/>
      </w:pPr>
      <w:r w:rsidRPr="009E06AA">
        <w:t xml:space="preserve">No improvements are planned for the </w:t>
      </w:r>
      <w:r w:rsidRPr="009E06AA">
        <w:rPr>
          <w:i/>
        </w:rPr>
        <w:t>Other sectors – Residential</w:t>
      </w:r>
      <w:r w:rsidRPr="009E06AA">
        <w:t xml:space="preserve"> category. One area identified for possible future improvement is to consider additional LPG imports purchased from Aute Gas (Apia, Samoa), for Nukunonu. However, the difference is likely to be small, compared with the current approach (where Nukunonu is taken as the average between the fuel purchases from Origin, by Atafu and Fakaofo). For future submissions, further analysis of activity data from Tokelau, to reflect year-to-year variations, will be considered as far as resources allow.</w:t>
      </w:r>
    </w:p>
    <w:p w14:paraId="335407BE" w14:textId="77777777" w:rsidR="00AD187C" w:rsidRPr="009E06AA" w:rsidRDefault="00AD187C" w:rsidP="00AD187C">
      <w:pPr>
        <w:pStyle w:val="Heading2"/>
      </w:pPr>
      <w:bookmarkStart w:id="3291" w:name="_Toc160205200"/>
      <w:bookmarkStart w:id="3292" w:name="_Toc160441785"/>
      <w:bookmarkStart w:id="3293" w:name="_Toc164154226"/>
      <w:bookmarkStart w:id="3294" w:name="mobile-combustion-domestic-navigation"/>
      <w:bookmarkEnd w:id="3267"/>
      <w:bookmarkEnd w:id="3290"/>
      <w:r w:rsidRPr="009E06AA">
        <w:t xml:space="preserve">8.5 </w:t>
      </w:r>
      <w:r w:rsidRPr="009E06AA">
        <w:tab/>
        <w:t>Mobile combustion: Domestic navigation</w:t>
      </w:r>
      <w:bookmarkEnd w:id="3291"/>
      <w:bookmarkEnd w:id="3292"/>
      <w:bookmarkEnd w:id="3293"/>
    </w:p>
    <w:p w14:paraId="39B9DF96" w14:textId="77777777" w:rsidR="00AD187C" w:rsidRPr="009E06AA" w:rsidRDefault="00AD187C" w:rsidP="00AD187C">
      <w:pPr>
        <w:pStyle w:val="Heading3"/>
        <w:spacing w:before="240"/>
      </w:pPr>
      <w:bookmarkStart w:id="3295" w:name="_Toc160205201"/>
      <w:bookmarkStart w:id="3296" w:name="_Toc160441786"/>
      <w:r w:rsidRPr="009E06AA">
        <w:t xml:space="preserve">8.5.1 </w:t>
      </w:r>
      <w:r w:rsidRPr="009E06AA">
        <w:tab/>
        <w:t>Description</w:t>
      </w:r>
      <w:bookmarkEnd w:id="3295"/>
      <w:bookmarkEnd w:id="3296"/>
    </w:p>
    <w:p w14:paraId="2AC355FC" w14:textId="4EC6C3C3" w:rsidR="00AD187C" w:rsidRPr="009E06AA" w:rsidRDefault="00AD187C" w:rsidP="00AD187C">
      <w:pPr>
        <w:pStyle w:val="BodyText"/>
      </w:pPr>
      <w:r w:rsidRPr="009E06AA">
        <w:t>The only means of transport to and from Tokelau is by sea because there is no air transportation. All travel and supplies to Tokelau originate and terminate in Samoa, Tokelau’s closest neighbour. A direct trip from any of the three atolls to the nearest port, Apia, usually takes between 26 hours and 40 hours. There are no ports and terminals in Tokelau, and no offshore anchorage is available</w:t>
      </w:r>
      <w:r w:rsidR="00EA07DE" w:rsidRPr="009E06AA">
        <w:t>;</w:t>
      </w:r>
      <w:r w:rsidRPr="009E06AA">
        <w:t xml:space="preserve"> barges that can enter the fringe reef are used for loading and offloading ships.</w:t>
      </w:r>
    </w:p>
    <w:p w14:paraId="22C66BE1" w14:textId="77777777" w:rsidR="00AD187C" w:rsidRPr="009E06AA" w:rsidRDefault="00AD187C" w:rsidP="00AD187C">
      <w:pPr>
        <w:pStyle w:val="BodyText"/>
      </w:pPr>
      <w:r w:rsidRPr="009E06AA">
        <w:t xml:space="preserve">The passenger ferries and cargo ships arriving from Apia (distance around 500 kilometres) generally visit the three atolls in succession: they are 60 kilometres and 90 kilometres apart, respectively. A round trip is about 1,300 kilometres using diesel from Apia. Up until 2018, the fraction (300/1300) is used to estimate </w:t>
      </w:r>
      <w:r w:rsidRPr="009E06AA">
        <w:rPr>
          <w:i/>
          <w:iCs/>
        </w:rPr>
        <w:t>Domestic navigation</w:t>
      </w:r>
      <w:r w:rsidRPr="009E06AA">
        <w:t xml:space="preserve"> within Tokelau. For 2022, actual data on the number of inter-atoll trips was used. </w:t>
      </w:r>
    </w:p>
    <w:p w14:paraId="31256D95" w14:textId="77777777" w:rsidR="00AD187C" w:rsidRPr="009E06AA" w:rsidRDefault="00AD187C" w:rsidP="00AD187C">
      <w:pPr>
        <w:pStyle w:val="BodyText"/>
      </w:pPr>
      <w:r w:rsidRPr="009E06AA">
        <w:t>Until recently, the main forms of road transport on the atolls were trucks, pick-ups, motorbikes and a range of golf carts. Some vehicles are electric, fuelled by solar PV energy. Solar-powered streetlights ensure safety on the roadways. The private importation of other vehicles has increased recently.</w:t>
      </w:r>
    </w:p>
    <w:p w14:paraId="03E9B49D" w14:textId="77777777" w:rsidR="00AD187C" w:rsidRPr="009E06AA" w:rsidRDefault="00AD187C" w:rsidP="00AD187C">
      <w:pPr>
        <w:pStyle w:val="BodyText"/>
      </w:pPr>
      <w:r w:rsidRPr="009E06AA">
        <w:t xml:space="preserve">The number of petrol cars has been very small in Tokelau. In 2022 there were only about 40 cars (in addition to the vehicles above) and 30 motorbikes, with the entire network of unsealed roads being about 10 kilometres. Census 2001 and prior recorded only four registered cars. Aluminium boats with an outboard motor are widely used by families. Emissions from fuels used for road transport are orders of magnitude lower than from boats, and it was not possible to distinguish the small amounts of fuels used by cars from the total amount used by boats and cars. That is why emissions from road transport are included under the </w:t>
      </w:r>
      <w:r w:rsidRPr="009E06AA">
        <w:rPr>
          <w:i/>
          <w:iCs/>
        </w:rPr>
        <w:t>Domestic navigation</w:t>
      </w:r>
      <w:r w:rsidRPr="009E06AA">
        <w:t xml:space="preserve"> category.</w:t>
      </w:r>
    </w:p>
    <w:p w14:paraId="37C2A974" w14:textId="77777777" w:rsidR="00AD187C" w:rsidRPr="009E06AA" w:rsidRDefault="00AD187C" w:rsidP="00AD187C">
      <w:pPr>
        <w:pStyle w:val="BodyText"/>
      </w:pPr>
      <w:r w:rsidRPr="009E06AA">
        <w:t xml:space="preserve">According to its 2016 census, Tokelau has 176 aluminium boats with 160 outboard motors, which use most of the imported petrol to travel within and outside the large lagoons. Most of the diesel use is by the ferries travelling to and from Samoa. </w:t>
      </w:r>
      <w:r w:rsidRPr="009E06AA">
        <w:rPr>
          <w:i/>
          <w:iCs/>
        </w:rPr>
        <w:t>Fetu o te Moana</w:t>
      </w:r>
      <w:r w:rsidRPr="009E06AA">
        <w:t xml:space="preserve"> is a new search and rescue vessel delivered in 2019 that also provides general inter-atoll transport.</w:t>
      </w:r>
    </w:p>
    <w:p w14:paraId="41EB8661" w14:textId="77777777" w:rsidR="00AD187C" w:rsidRPr="009E06AA" w:rsidRDefault="00AD187C" w:rsidP="00AD187C">
      <w:pPr>
        <w:pStyle w:val="BodyText"/>
      </w:pPr>
      <w:r w:rsidRPr="009E06AA">
        <w:t xml:space="preserve">For Tokelau, the </w:t>
      </w:r>
      <w:r w:rsidRPr="009E06AA">
        <w:rPr>
          <w:i/>
          <w:iCs/>
        </w:rPr>
        <w:t>Domestic navigation</w:t>
      </w:r>
      <w:r w:rsidRPr="009E06AA">
        <w:t xml:space="preserve"> category accounted for 100 per cent of the emissions from the </w:t>
      </w:r>
      <w:r w:rsidRPr="009E06AA">
        <w:rPr>
          <w:i/>
          <w:iCs/>
        </w:rPr>
        <w:t>Transport</w:t>
      </w:r>
      <w:r w:rsidRPr="009E06AA">
        <w:t xml:space="preserve"> category for the entire time series. In 2022, emissions from the </w:t>
      </w:r>
      <w:r w:rsidRPr="009E06AA">
        <w:rPr>
          <w:i/>
          <w:iCs/>
        </w:rPr>
        <w:t>Domestic navigation</w:t>
      </w:r>
      <w:r w:rsidRPr="009E06AA">
        <w:t xml:space="preserve"> category totalled 1.32 kt CO</w:t>
      </w:r>
      <w:r w:rsidRPr="009E06AA">
        <w:rPr>
          <w:vertAlign w:val="subscript"/>
        </w:rPr>
        <w:t>2</w:t>
      </w:r>
      <w:r w:rsidRPr="009E06AA">
        <w:t>-e (47.8 per cent of all energy emissions from Tokelau).</w:t>
      </w:r>
    </w:p>
    <w:p w14:paraId="038F1CC5" w14:textId="77777777" w:rsidR="00AD187C" w:rsidRPr="009E06AA" w:rsidRDefault="00AD187C" w:rsidP="00AD187C">
      <w:pPr>
        <w:pStyle w:val="Heading3"/>
        <w:spacing w:before="280"/>
      </w:pPr>
      <w:bookmarkStart w:id="3297" w:name="_Toc160205202"/>
      <w:bookmarkStart w:id="3298" w:name="_Toc160441787"/>
      <w:r w:rsidRPr="009E06AA">
        <w:t xml:space="preserve">8.5.2 </w:t>
      </w:r>
      <w:r w:rsidRPr="009E06AA">
        <w:tab/>
        <w:t>Methodological issues</w:t>
      </w:r>
      <w:bookmarkEnd w:id="3297"/>
      <w:bookmarkEnd w:id="3298"/>
    </w:p>
    <w:p w14:paraId="244F69C4" w14:textId="77777777" w:rsidR="00AD187C" w:rsidRPr="009E06AA" w:rsidRDefault="00AD187C" w:rsidP="00AD187C">
      <w:pPr>
        <w:pStyle w:val="Heading4"/>
      </w:pPr>
      <w:bookmarkStart w:id="3299" w:name="activity-data-3"/>
      <w:r w:rsidRPr="009E06AA">
        <w:t>Activity data</w:t>
      </w:r>
    </w:p>
    <w:p w14:paraId="15994086" w14:textId="77777777" w:rsidR="00AD187C" w:rsidRPr="009E06AA" w:rsidRDefault="00AD187C" w:rsidP="00AD187C">
      <w:pPr>
        <w:pStyle w:val="BodyText"/>
      </w:pPr>
      <w:r w:rsidRPr="009E06AA">
        <w:t xml:space="preserve">The sources of activity data for the </w:t>
      </w:r>
      <w:r w:rsidRPr="009E06AA">
        <w:rPr>
          <w:i/>
        </w:rPr>
        <w:t>Transport</w:t>
      </w:r>
      <w:r w:rsidRPr="009E06AA">
        <w:t xml:space="preserve"> category are included in table 8.1.1. Activity data sources for the category are:</w:t>
      </w:r>
    </w:p>
    <w:p w14:paraId="334D10A0" w14:textId="2682572F" w:rsidR="00AD187C" w:rsidRPr="009E06AA" w:rsidRDefault="00AD187C" w:rsidP="00AD187C">
      <w:pPr>
        <w:pStyle w:val="Bullet"/>
      </w:pPr>
      <w:r w:rsidRPr="009E06AA">
        <w:t>paid invoices from Petroleum Product Supplies Ltd (Apia, Samoa) with data on fuel prices</w:t>
      </w:r>
      <w:r w:rsidR="00350D54" w:rsidRPr="009E06AA">
        <w:t> </w:t>
      </w:r>
      <w:r w:rsidRPr="009E06AA">
        <w:t xml:space="preserve">and volumes supplied for shipping and on-atoll use: diesel, petrol, kerosene and lubricant oil </w:t>
      </w:r>
    </w:p>
    <w:p w14:paraId="2E838997" w14:textId="77777777" w:rsidR="00AD187C" w:rsidRPr="009E06AA" w:rsidRDefault="00AD187C" w:rsidP="00AD187C">
      <w:pPr>
        <w:pStyle w:val="Bullet"/>
      </w:pPr>
      <w:r w:rsidRPr="009E06AA">
        <w:t>the Tokelau Department of Finance’s invoices and payment records to Petroleum Product Supplies Ltd, Origin and on-atoll stores</w:t>
      </w:r>
    </w:p>
    <w:p w14:paraId="074239EE" w14:textId="77777777" w:rsidR="00AD187C" w:rsidRPr="009E06AA" w:rsidRDefault="00AD187C" w:rsidP="00AD187C">
      <w:pPr>
        <w:pStyle w:val="Bullet"/>
      </w:pPr>
      <w:r w:rsidRPr="009E06AA">
        <w:t>a photo survey of Tokelau motorised vehicles on-atoll, August–December 2018.</w:t>
      </w:r>
    </w:p>
    <w:p w14:paraId="12B50B4C" w14:textId="77777777" w:rsidR="00AD187C" w:rsidRPr="009E06AA" w:rsidRDefault="00AD187C" w:rsidP="00AD187C">
      <w:pPr>
        <w:pStyle w:val="BodyText"/>
      </w:pPr>
      <w:r w:rsidRPr="009E06AA">
        <w:t>Additional energy data related to cargo manifests were obtained from an Analysis of 2014 Imports into Tokelau from Samoa, Part 2: Stores’ invoices reconciled with cargo manifests, and quality of life implications (Jasperse, 2016). Only liquid fossil fuels (gas and diesel oil) are used for fuelling Tokelau’s transport.</w:t>
      </w:r>
    </w:p>
    <w:p w14:paraId="467F200D" w14:textId="77777777" w:rsidR="00AD187C" w:rsidRPr="009E06AA" w:rsidRDefault="00AD187C" w:rsidP="00AD187C">
      <w:pPr>
        <w:pStyle w:val="BodyText"/>
      </w:pPr>
      <w:r w:rsidRPr="009E06AA">
        <w:t>Due to large discrepancies between different sources of raw data, reliable statistics on fuel consumption across the period 1990 to 2022 are not available. Some anecdotal transport data exist for the number of roundtrips Apia–Tokelau during the years 1990 to 2014. Actual records are available after this period.</w:t>
      </w:r>
    </w:p>
    <w:p w14:paraId="15FD6A77" w14:textId="77777777" w:rsidR="00AD187C" w:rsidRPr="009E06AA" w:rsidRDefault="00AD187C" w:rsidP="00AD187C">
      <w:pPr>
        <w:pStyle w:val="Heading4"/>
      </w:pPr>
      <w:bookmarkStart w:id="3300" w:name="methods-and-emission-factors-3"/>
      <w:bookmarkEnd w:id="3299"/>
      <w:r w:rsidRPr="009E06AA">
        <w:t>Methods and emission factors</w:t>
      </w:r>
    </w:p>
    <w:p w14:paraId="35EA259B" w14:textId="77777777" w:rsidR="00AD187C" w:rsidRPr="009E06AA" w:rsidRDefault="00AD187C" w:rsidP="00AD187C">
      <w:pPr>
        <w:pStyle w:val="BodyText"/>
      </w:pPr>
      <w:r w:rsidRPr="009E06AA">
        <w:t xml:space="preserve">A Tier 1 method was applied for estimating emissions from the </w:t>
      </w:r>
      <w:r w:rsidRPr="009E06AA">
        <w:rPr>
          <w:i/>
        </w:rPr>
        <w:t>Domestic navigation</w:t>
      </w:r>
      <w:r w:rsidRPr="009E06AA">
        <w:t xml:space="preserve"> category. The method required the data on the amount of fuel combusted in the source category and a default emission factor from tables 3.5.2 (for CO</w:t>
      </w:r>
      <w:r w:rsidRPr="009E06AA">
        <w:rPr>
          <w:vertAlign w:val="subscript"/>
        </w:rPr>
        <w:t>2</w:t>
      </w:r>
      <w:r w:rsidRPr="009E06AA">
        <w:t>) and 3.5.3 (for non-CO</w:t>
      </w:r>
      <w:r w:rsidRPr="009E06AA">
        <w:rPr>
          <w:vertAlign w:val="subscript"/>
        </w:rPr>
        <w:t>2</w:t>
      </w:r>
      <w:r w:rsidRPr="009E06AA">
        <w:t xml:space="preserve"> gases), section 3.5.1.2, volume 2 of the 2006 IPCC Guidelines. Default emission factors from the 2006 IPCC Guidelines were converted from net calorific values to gross calorific values using the OECD and IEA assumptions to make these conversions:</w:t>
      </w:r>
    </w:p>
    <w:p w14:paraId="72B184FF" w14:textId="77777777" w:rsidR="00AD187C" w:rsidRPr="009E06AA" w:rsidRDefault="00AD187C" w:rsidP="00AD187C">
      <w:pPr>
        <w:pStyle w:val="BodyText"/>
        <w:rPr>
          <w:rFonts w:ascii="Cambria Math" w:hAnsi="Cambria Math"/>
          <w:i/>
          <w:iCs/>
          <w:sz w:val="24"/>
          <w:szCs w:val="24"/>
        </w:rPr>
      </w:pPr>
      <m:oMathPara>
        <m:oMathParaPr>
          <m:jc m:val="center"/>
        </m:oMathParaPr>
        <m:oMath>
          <m:r>
            <m:rPr>
              <m:nor/>
            </m:rPr>
            <w:rPr>
              <w:rFonts w:ascii="Cambria Math" w:hAnsi="Cambria Math"/>
              <w:i/>
              <w:iCs/>
              <w:sz w:val="24"/>
              <w:szCs w:val="24"/>
            </w:rPr>
            <m:t>Gross</m:t>
          </m:r>
          <m:r>
            <w:rPr>
              <w:rFonts w:ascii="Cambria Math" w:hAnsi="Cambria Math"/>
              <w:sz w:val="24"/>
              <w:szCs w:val="24"/>
            </w:rPr>
            <m:t> </m:t>
          </m:r>
          <m:r>
            <m:rPr>
              <m:nor/>
            </m:rPr>
            <w:rPr>
              <w:rFonts w:ascii="Cambria Math" w:hAnsi="Cambria Math"/>
              <w:i/>
              <w:iCs/>
              <w:sz w:val="24"/>
              <w:szCs w:val="24"/>
            </w:rPr>
            <m:t>Emission</m:t>
          </m:r>
          <m:r>
            <w:rPr>
              <w:rFonts w:ascii="Cambria Math" w:hAnsi="Cambria Math"/>
              <w:sz w:val="24"/>
              <w:szCs w:val="24"/>
            </w:rPr>
            <m:t> </m:t>
          </m:r>
          <m:r>
            <m:rPr>
              <m:nor/>
            </m:rPr>
            <w:rPr>
              <w:rFonts w:ascii="Cambria Math" w:hAnsi="Cambria Math"/>
              <w:i/>
              <w:iCs/>
              <w:sz w:val="24"/>
              <w:szCs w:val="24"/>
            </w:rPr>
            <m:t>Factor</m:t>
          </m:r>
          <m:r>
            <w:rPr>
              <w:rFonts w:ascii="Cambria Math" w:hAnsi="Cambria Math"/>
              <w:sz w:val="24"/>
              <w:szCs w:val="24"/>
            </w:rPr>
            <m:t> </m:t>
          </m:r>
          <m:d>
            <m:dPr>
              <m:ctrlPr>
                <w:rPr>
                  <w:rFonts w:ascii="Cambria Math" w:hAnsi="Cambria Math"/>
                  <w:i/>
                  <w:iCs/>
                  <w:sz w:val="24"/>
                  <w:szCs w:val="24"/>
                </w:rPr>
              </m:ctrlPr>
            </m:dPr>
            <m:e>
              <m:r>
                <w:rPr>
                  <w:rFonts w:ascii="Cambria Math" w:hAnsi="Cambria Math"/>
                  <w:sz w:val="24"/>
                  <w:szCs w:val="24"/>
                </w:rPr>
                <m:t>liquidfuels</m:t>
              </m:r>
            </m:e>
          </m:d>
          <m:r>
            <w:rPr>
              <w:rFonts w:ascii="Cambria Math" w:hAnsi="Cambria Math"/>
              <w:sz w:val="24"/>
              <w:szCs w:val="24"/>
            </w:rPr>
            <m:t>= 0.95×</m:t>
          </m:r>
          <m:r>
            <m:rPr>
              <m:nor/>
            </m:rPr>
            <w:rPr>
              <w:rFonts w:ascii="Cambria Math" w:hAnsi="Cambria Math"/>
              <w:i/>
              <w:iCs/>
              <w:sz w:val="24"/>
              <w:szCs w:val="24"/>
            </w:rPr>
            <m:t>Net</m:t>
          </m:r>
          <m:r>
            <w:rPr>
              <w:rFonts w:ascii="Cambria Math" w:hAnsi="Cambria Math"/>
              <w:sz w:val="24"/>
              <w:szCs w:val="24"/>
            </w:rPr>
            <m:t> </m:t>
          </m:r>
          <m:r>
            <m:rPr>
              <m:nor/>
            </m:rPr>
            <w:rPr>
              <w:rFonts w:ascii="Cambria Math" w:hAnsi="Cambria Math"/>
              <w:i/>
              <w:iCs/>
              <w:sz w:val="24"/>
              <w:szCs w:val="24"/>
            </w:rPr>
            <m:t>Emission</m:t>
          </m:r>
          <m:r>
            <w:rPr>
              <w:rFonts w:ascii="Cambria Math" w:hAnsi="Cambria Math"/>
              <w:sz w:val="24"/>
              <w:szCs w:val="24"/>
            </w:rPr>
            <m:t> </m:t>
          </m:r>
          <m:r>
            <m:rPr>
              <m:nor/>
            </m:rPr>
            <w:rPr>
              <w:rFonts w:ascii="Cambria Math" w:hAnsi="Cambria Math"/>
              <w:i/>
              <w:iCs/>
              <w:sz w:val="24"/>
              <w:szCs w:val="24"/>
            </w:rPr>
            <m:t>Factor</m:t>
          </m:r>
        </m:oMath>
      </m:oMathPara>
    </w:p>
    <w:p w14:paraId="1F4814BD" w14:textId="77777777" w:rsidR="00AD187C" w:rsidRPr="009E06AA" w:rsidRDefault="00AD187C" w:rsidP="00AD187C">
      <w:pPr>
        <w:pStyle w:val="BodyText"/>
      </w:pPr>
      <w:r w:rsidRPr="009E06AA">
        <w:t>Equation 3.5.1 in section 3.5.1.1 in the 2006 IPCC Guidelines was used for estimating emissions (IPCC, 2006a).</w:t>
      </w:r>
    </w:p>
    <w:p w14:paraId="2B5051EE" w14:textId="77777777" w:rsidR="00AD187C" w:rsidRPr="009E06AA" w:rsidRDefault="00AD187C" w:rsidP="00AD187C">
      <w:pPr>
        <w:pStyle w:val="Heading3"/>
        <w:spacing w:before="280"/>
      </w:pPr>
      <w:bookmarkStart w:id="3301" w:name="_Toc160205203"/>
      <w:bookmarkStart w:id="3302" w:name="_Toc160441788"/>
      <w:bookmarkEnd w:id="3300"/>
      <w:r w:rsidRPr="009E06AA">
        <w:t xml:space="preserve">8.5.3 </w:t>
      </w:r>
      <w:r w:rsidRPr="009E06AA">
        <w:tab/>
        <w:t>Uncertainty assessment and time-series consistency</w:t>
      </w:r>
      <w:bookmarkEnd w:id="3301"/>
      <w:bookmarkEnd w:id="3302"/>
    </w:p>
    <w:p w14:paraId="4363E4F0" w14:textId="77777777" w:rsidR="00AD187C" w:rsidRPr="009E06AA" w:rsidRDefault="00AD187C" w:rsidP="00AD187C">
      <w:pPr>
        <w:pStyle w:val="BodyText"/>
      </w:pPr>
      <w:r w:rsidRPr="009E06AA">
        <w:t>For this submission, it was not possible to develop Tokelau-specific uncertainty values, therefore, for emission factors, default uncertainty values provided in the 2006 IPCC Guidelines were used for CO</w:t>
      </w:r>
      <w:r w:rsidRPr="009E06AA">
        <w:rPr>
          <w:vertAlign w:val="subscript"/>
        </w:rPr>
        <w:t>2</w:t>
      </w:r>
      <w:r w:rsidRPr="009E06AA">
        <w:t xml:space="preserve"> (for diesel) and CH</w:t>
      </w:r>
      <w:r w:rsidRPr="009E06AA">
        <w:rPr>
          <w:vertAlign w:val="subscript"/>
        </w:rPr>
        <w:t>4</w:t>
      </w:r>
      <w:r w:rsidRPr="009E06AA">
        <w:t xml:space="preserve"> (upper value) (IPCC, 2006a). For N</w:t>
      </w:r>
      <w:r w:rsidRPr="009E06AA">
        <w:rPr>
          <w:vertAlign w:val="subscript"/>
        </w:rPr>
        <w:t>2</w:t>
      </w:r>
      <w:r w:rsidRPr="009E06AA">
        <w:t>O, New Zealand’s emission factor uncertainty across the Energy sector for N</w:t>
      </w:r>
      <w:r w:rsidRPr="009E06AA">
        <w:rPr>
          <w:vertAlign w:val="subscript"/>
        </w:rPr>
        <w:t>2</w:t>
      </w:r>
      <w:r w:rsidRPr="009E06AA">
        <w:t xml:space="preserve">O was used for this category, which is within the default uncertainty range. For activity data, due to discrepancies between different data sources, an upper level of default uncertainty range associated with incomplete surveys from the 2006 IPCC Guidelines was applied (IPCC, 2006a). Table 8.5.1 shows the use of uncertainties for </w:t>
      </w:r>
      <w:r w:rsidRPr="009E06AA">
        <w:rPr>
          <w:i/>
          <w:iCs/>
        </w:rPr>
        <w:t>Domestic navigation</w:t>
      </w:r>
      <w:r w:rsidRPr="009E06AA">
        <w:t xml:space="preserve"> (diesel).</w:t>
      </w:r>
    </w:p>
    <w:p w14:paraId="6A529DFB" w14:textId="77777777" w:rsidR="00AD187C" w:rsidRPr="009E06AA" w:rsidRDefault="00AD187C" w:rsidP="00AD187C">
      <w:pPr>
        <w:pStyle w:val="Table"/>
      </w:pPr>
      <w:bookmarkStart w:id="3303" w:name="_Toc160205508"/>
      <w:bookmarkStart w:id="3304" w:name="_Toc160441627"/>
      <w:bookmarkStart w:id="3305" w:name="_Toc164153963"/>
      <w:r w:rsidRPr="009E06AA">
        <w:t>Table 8.</w:t>
      </w:r>
      <w:bookmarkStart w:id="3306" w:name="_Toc5269598"/>
      <w:bookmarkStart w:id="3307" w:name="_Toc36224679"/>
      <w:bookmarkStart w:id="3308" w:name="_Toc68786565"/>
      <w:bookmarkStart w:id="3309" w:name="_Toc130211271"/>
      <w:bookmarkStart w:id="3310" w:name="_Toc131591472"/>
      <w:r w:rsidRPr="009E06AA">
        <w:t xml:space="preserve">5.1 </w:t>
      </w:r>
      <w:r w:rsidRPr="009E06AA">
        <w:tab/>
        <w:t xml:space="preserve">Uncertainties for the </w:t>
      </w:r>
      <w:r w:rsidRPr="009E06AA">
        <w:rPr>
          <w:i/>
          <w:iCs/>
        </w:rPr>
        <w:t xml:space="preserve">Domestic navigation </w:t>
      </w:r>
      <w:r w:rsidRPr="009E06AA">
        <w:t>(diesel) category</w:t>
      </w:r>
      <w:bookmarkEnd w:id="3303"/>
      <w:bookmarkEnd w:id="3304"/>
      <w:bookmarkEnd w:id="3305"/>
      <w:bookmarkEnd w:id="3306"/>
      <w:bookmarkEnd w:id="3307"/>
      <w:bookmarkEnd w:id="3308"/>
      <w:bookmarkEnd w:id="3309"/>
      <w:bookmarkEnd w:id="3310"/>
    </w:p>
    <w:tbl>
      <w:tblPr>
        <w:tblW w:w="8505"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430"/>
        <w:gridCol w:w="988"/>
        <w:gridCol w:w="1611"/>
        <w:gridCol w:w="1507"/>
        <w:gridCol w:w="3969"/>
      </w:tblGrid>
      <w:tr w:rsidR="00AD187C" w:rsidRPr="009E06AA" w14:paraId="564B979D" w14:textId="77777777" w:rsidTr="00B55F24">
        <w:trPr>
          <w:tblHeader/>
        </w:trPr>
        <w:tc>
          <w:tcPr>
            <w:tcW w:w="0" w:type="auto"/>
            <w:shd w:val="clear" w:color="auto" w:fill="1B556B"/>
            <w:tcMar>
              <w:top w:w="0" w:type="dxa"/>
              <w:left w:w="85" w:type="dxa"/>
              <w:bottom w:w="0" w:type="dxa"/>
              <w:right w:w="85" w:type="dxa"/>
            </w:tcMar>
            <w:vAlign w:val="bottom"/>
          </w:tcPr>
          <w:p w14:paraId="7E839B5E" w14:textId="77777777" w:rsidR="00AD187C" w:rsidRPr="009E06AA" w:rsidRDefault="00AD187C" w:rsidP="00B55F24">
            <w:pPr>
              <w:pStyle w:val="TableTextBold"/>
              <w:spacing w:before="50" w:after="50"/>
              <w:rPr>
                <w:noProof w:val="0"/>
                <w:color w:val="FFFFFF" w:themeColor="background1"/>
              </w:rPr>
            </w:pPr>
            <w:r w:rsidRPr="009E06AA">
              <w:rPr>
                <w:noProof w:val="0"/>
                <w:color w:val="FFFFFF" w:themeColor="background1"/>
              </w:rPr>
              <w:t>Gas</w:t>
            </w:r>
          </w:p>
        </w:tc>
        <w:tc>
          <w:tcPr>
            <w:tcW w:w="988" w:type="dxa"/>
            <w:shd w:val="clear" w:color="auto" w:fill="1B556B"/>
            <w:tcMar>
              <w:top w:w="0" w:type="dxa"/>
              <w:left w:w="85" w:type="dxa"/>
              <w:bottom w:w="0" w:type="dxa"/>
              <w:right w:w="85" w:type="dxa"/>
            </w:tcMar>
            <w:vAlign w:val="bottom"/>
          </w:tcPr>
          <w:p w14:paraId="19EC68A6" w14:textId="77777777" w:rsidR="00AD187C" w:rsidRPr="009E06AA" w:rsidRDefault="00AD187C" w:rsidP="00B55F24">
            <w:pPr>
              <w:pStyle w:val="TableTextBold"/>
              <w:spacing w:before="50" w:after="50"/>
              <w:rPr>
                <w:noProof w:val="0"/>
                <w:color w:val="FFFFFF" w:themeColor="background1"/>
              </w:rPr>
            </w:pPr>
            <w:r w:rsidRPr="009E06AA">
              <w:rPr>
                <w:noProof w:val="0"/>
                <w:color w:val="FFFFFF" w:themeColor="background1"/>
              </w:rPr>
              <w:t>Fuel type</w:t>
            </w:r>
          </w:p>
        </w:tc>
        <w:tc>
          <w:tcPr>
            <w:tcW w:w="1611" w:type="dxa"/>
            <w:shd w:val="clear" w:color="auto" w:fill="1B556B"/>
            <w:tcMar>
              <w:top w:w="0" w:type="dxa"/>
              <w:left w:w="85" w:type="dxa"/>
              <w:bottom w:w="0" w:type="dxa"/>
              <w:right w:w="85" w:type="dxa"/>
            </w:tcMar>
            <w:vAlign w:val="bottom"/>
          </w:tcPr>
          <w:p w14:paraId="1D7779C1" w14:textId="77777777" w:rsidR="00AD187C" w:rsidRPr="009E06AA" w:rsidRDefault="00AD187C" w:rsidP="00E77BCA">
            <w:pPr>
              <w:pStyle w:val="TableTextBold"/>
              <w:spacing w:before="50" w:after="50"/>
              <w:jc w:val="right"/>
              <w:rPr>
                <w:noProof w:val="0"/>
                <w:color w:val="FFFFFF" w:themeColor="background1"/>
              </w:rPr>
            </w:pPr>
            <w:r w:rsidRPr="009E06AA">
              <w:rPr>
                <w:noProof w:val="0"/>
                <w:color w:val="FFFFFF" w:themeColor="background1"/>
              </w:rPr>
              <w:t>Activity data (AD) uncertainty (%)</w:t>
            </w:r>
          </w:p>
        </w:tc>
        <w:tc>
          <w:tcPr>
            <w:tcW w:w="1507" w:type="dxa"/>
            <w:shd w:val="clear" w:color="auto" w:fill="1B556B"/>
            <w:tcMar>
              <w:top w:w="0" w:type="dxa"/>
              <w:left w:w="85" w:type="dxa"/>
              <w:bottom w:w="0" w:type="dxa"/>
              <w:right w:w="85" w:type="dxa"/>
            </w:tcMar>
            <w:vAlign w:val="bottom"/>
          </w:tcPr>
          <w:p w14:paraId="0B86A59A" w14:textId="77777777" w:rsidR="00AD187C" w:rsidRPr="009E06AA" w:rsidRDefault="00AD187C" w:rsidP="00E77BCA">
            <w:pPr>
              <w:pStyle w:val="TableTextBold"/>
              <w:spacing w:before="50" w:after="50"/>
              <w:jc w:val="right"/>
              <w:rPr>
                <w:noProof w:val="0"/>
                <w:color w:val="FFFFFF" w:themeColor="background1"/>
              </w:rPr>
            </w:pPr>
            <w:r w:rsidRPr="009E06AA">
              <w:rPr>
                <w:noProof w:val="0"/>
                <w:color w:val="FFFFFF" w:themeColor="background1"/>
              </w:rPr>
              <w:t>Emission factor (EF) uncertainty (%)</w:t>
            </w:r>
          </w:p>
        </w:tc>
        <w:tc>
          <w:tcPr>
            <w:tcW w:w="3969" w:type="dxa"/>
            <w:shd w:val="clear" w:color="auto" w:fill="1B556B"/>
            <w:tcMar>
              <w:top w:w="0" w:type="dxa"/>
              <w:left w:w="85" w:type="dxa"/>
              <w:bottom w:w="0" w:type="dxa"/>
              <w:right w:w="85" w:type="dxa"/>
            </w:tcMar>
            <w:vAlign w:val="bottom"/>
          </w:tcPr>
          <w:p w14:paraId="478BB92C" w14:textId="77777777" w:rsidR="00AD187C" w:rsidRPr="009E06AA" w:rsidRDefault="00AD187C" w:rsidP="00B55F24">
            <w:pPr>
              <w:pStyle w:val="TableTextBold"/>
              <w:spacing w:before="50" w:after="50"/>
              <w:rPr>
                <w:noProof w:val="0"/>
                <w:color w:val="FFFFFF" w:themeColor="background1"/>
              </w:rPr>
            </w:pPr>
            <w:r w:rsidRPr="009E06AA">
              <w:rPr>
                <w:noProof w:val="0"/>
                <w:color w:val="FFFFFF" w:themeColor="background1"/>
              </w:rPr>
              <w:t>Source</w:t>
            </w:r>
          </w:p>
        </w:tc>
      </w:tr>
      <w:tr w:rsidR="00AD187C" w:rsidRPr="009E06AA" w14:paraId="46EC637F" w14:textId="77777777" w:rsidTr="00B55F24">
        <w:tc>
          <w:tcPr>
            <w:tcW w:w="0" w:type="auto"/>
            <w:shd w:val="clear" w:color="auto" w:fill="FFFFFF"/>
            <w:tcMar>
              <w:top w:w="0" w:type="dxa"/>
              <w:left w:w="85" w:type="dxa"/>
              <w:bottom w:w="0" w:type="dxa"/>
              <w:right w:w="85" w:type="dxa"/>
            </w:tcMar>
          </w:tcPr>
          <w:p w14:paraId="2D043894" w14:textId="77777777" w:rsidR="00AD187C" w:rsidRPr="009E06AA" w:rsidRDefault="00AD187C" w:rsidP="00B55F24">
            <w:pPr>
              <w:pStyle w:val="TableText"/>
              <w:spacing w:before="50" w:after="50"/>
            </w:pPr>
            <w:r w:rsidRPr="009E06AA">
              <w:rPr>
                <w:color w:val="000000"/>
              </w:rPr>
              <w:t>CO</w:t>
            </w:r>
            <w:r w:rsidRPr="009E06AA">
              <w:rPr>
                <w:color w:val="000000"/>
                <w:vertAlign w:val="subscript"/>
              </w:rPr>
              <w:t>2</w:t>
            </w:r>
          </w:p>
        </w:tc>
        <w:tc>
          <w:tcPr>
            <w:tcW w:w="988" w:type="dxa"/>
            <w:shd w:val="clear" w:color="auto" w:fill="FFFFFF"/>
            <w:tcMar>
              <w:top w:w="0" w:type="dxa"/>
              <w:left w:w="85" w:type="dxa"/>
              <w:bottom w:w="0" w:type="dxa"/>
              <w:right w:w="85" w:type="dxa"/>
            </w:tcMar>
          </w:tcPr>
          <w:p w14:paraId="15FB57BD" w14:textId="77777777" w:rsidR="00AD187C" w:rsidRPr="009E06AA" w:rsidRDefault="00AD187C" w:rsidP="00B55F24">
            <w:pPr>
              <w:pStyle w:val="TableText"/>
              <w:spacing w:before="50" w:after="50"/>
            </w:pPr>
            <w:r w:rsidRPr="009E06AA">
              <w:rPr>
                <w:color w:val="000000"/>
              </w:rPr>
              <w:t>Liquid fuels</w:t>
            </w:r>
          </w:p>
        </w:tc>
        <w:tc>
          <w:tcPr>
            <w:tcW w:w="1611" w:type="dxa"/>
            <w:shd w:val="clear" w:color="auto" w:fill="FFFFFF"/>
            <w:tcMar>
              <w:top w:w="0" w:type="dxa"/>
              <w:left w:w="85" w:type="dxa"/>
              <w:bottom w:w="0" w:type="dxa"/>
              <w:right w:w="85" w:type="dxa"/>
            </w:tcMar>
          </w:tcPr>
          <w:p w14:paraId="6661BC8F" w14:textId="77777777" w:rsidR="00AD187C" w:rsidRPr="009E06AA" w:rsidRDefault="00AD187C" w:rsidP="00E77BCA">
            <w:pPr>
              <w:pStyle w:val="TableText"/>
              <w:spacing w:before="50" w:after="50"/>
              <w:jc w:val="right"/>
            </w:pPr>
            <w:r w:rsidRPr="009E06AA">
              <w:rPr>
                <w:color w:val="000000"/>
              </w:rPr>
              <w:t>±50</w:t>
            </w:r>
          </w:p>
        </w:tc>
        <w:tc>
          <w:tcPr>
            <w:tcW w:w="1507" w:type="dxa"/>
            <w:shd w:val="clear" w:color="auto" w:fill="FFFFFF"/>
            <w:tcMar>
              <w:top w:w="0" w:type="dxa"/>
              <w:left w:w="85" w:type="dxa"/>
              <w:bottom w:w="0" w:type="dxa"/>
              <w:right w:w="85" w:type="dxa"/>
            </w:tcMar>
          </w:tcPr>
          <w:p w14:paraId="4E8B9E0E" w14:textId="77777777" w:rsidR="00AD187C" w:rsidRPr="009E06AA" w:rsidRDefault="00AD187C" w:rsidP="00E77BCA">
            <w:pPr>
              <w:pStyle w:val="TableText"/>
              <w:spacing w:before="50" w:after="50"/>
              <w:jc w:val="right"/>
            </w:pPr>
            <w:r w:rsidRPr="009E06AA">
              <w:rPr>
                <w:color w:val="000000"/>
              </w:rPr>
              <w:t>±1.5</w:t>
            </w:r>
          </w:p>
        </w:tc>
        <w:tc>
          <w:tcPr>
            <w:tcW w:w="3969" w:type="dxa"/>
            <w:shd w:val="clear" w:color="auto" w:fill="FFFFFF"/>
            <w:tcMar>
              <w:top w:w="0" w:type="dxa"/>
              <w:left w:w="85" w:type="dxa"/>
              <w:bottom w:w="0" w:type="dxa"/>
              <w:right w:w="85" w:type="dxa"/>
            </w:tcMar>
          </w:tcPr>
          <w:p w14:paraId="5D3B4C56" w14:textId="77777777" w:rsidR="00AD187C" w:rsidRPr="009E06AA" w:rsidRDefault="00AD187C" w:rsidP="00B55F24">
            <w:pPr>
              <w:pStyle w:val="TableText"/>
              <w:spacing w:before="50" w:after="50"/>
            </w:pPr>
            <w:r w:rsidRPr="009E06AA">
              <w:rPr>
                <w:color w:val="000000"/>
              </w:rPr>
              <w:t>Section 3.5.1.7, IPCC, 2006a</w:t>
            </w:r>
          </w:p>
        </w:tc>
      </w:tr>
      <w:tr w:rsidR="00AD187C" w:rsidRPr="009E06AA" w14:paraId="797620C3" w14:textId="77777777" w:rsidTr="00B55F24">
        <w:tc>
          <w:tcPr>
            <w:tcW w:w="0" w:type="auto"/>
            <w:shd w:val="clear" w:color="auto" w:fill="FFFFFF"/>
            <w:tcMar>
              <w:top w:w="0" w:type="dxa"/>
              <w:left w:w="85" w:type="dxa"/>
              <w:bottom w:w="0" w:type="dxa"/>
              <w:right w:w="85" w:type="dxa"/>
            </w:tcMar>
          </w:tcPr>
          <w:p w14:paraId="75B1DA52" w14:textId="77777777" w:rsidR="00AD187C" w:rsidRPr="009E06AA" w:rsidRDefault="00AD187C" w:rsidP="00B55F24">
            <w:pPr>
              <w:pStyle w:val="TableText"/>
              <w:spacing w:before="50" w:after="50"/>
            </w:pPr>
            <w:r w:rsidRPr="009E06AA">
              <w:rPr>
                <w:color w:val="000000"/>
              </w:rPr>
              <w:t>CH</w:t>
            </w:r>
            <w:r w:rsidRPr="009E06AA">
              <w:rPr>
                <w:color w:val="000000"/>
                <w:vertAlign w:val="subscript"/>
              </w:rPr>
              <w:t>4</w:t>
            </w:r>
          </w:p>
        </w:tc>
        <w:tc>
          <w:tcPr>
            <w:tcW w:w="988" w:type="dxa"/>
            <w:shd w:val="clear" w:color="auto" w:fill="FFFFFF"/>
            <w:tcMar>
              <w:top w:w="0" w:type="dxa"/>
              <w:left w:w="85" w:type="dxa"/>
              <w:bottom w:w="0" w:type="dxa"/>
              <w:right w:w="85" w:type="dxa"/>
            </w:tcMar>
          </w:tcPr>
          <w:p w14:paraId="43117E2A" w14:textId="77777777" w:rsidR="00AD187C" w:rsidRPr="009E06AA" w:rsidRDefault="00AD187C" w:rsidP="00B55F24">
            <w:pPr>
              <w:pStyle w:val="TableText"/>
              <w:spacing w:before="50" w:after="50"/>
            </w:pPr>
            <w:r w:rsidRPr="009E06AA">
              <w:rPr>
                <w:color w:val="000000"/>
              </w:rPr>
              <w:t>Liquid fuels</w:t>
            </w:r>
          </w:p>
        </w:tc>
        <w:tc>
          <w:tcPr>
            <w:tcW w:w="1611" w:type="dxa"/>
            <w:shd w:val="clear" w:color="auto" w:fill="FFFFFF"/>
            <w:tcMar>
              <w:top w:w="0" w:type="dxa"/>
              <w:left w:w="85" w:type="dxa"/>
              <w:bottom w:w="0" w:type="dxa"/>
              <w:right w:w="85" w:type="dxa"/>
            </w:tcMar>
          </w:tcPr>
          <w:p w14:paraId="1121ED33" w14:textId="77777777" w:rsidR="00AD187C" w:rsidRPr="009E06AA" w:rsidRDefault="00AD187C" w:rsidP="00E77BCA">
            <w:pPr>
              <w:pStyle w:val="TableText"/>
              <w:spacing w:before="50" w:after="50"/>
              <w:jc w:val="right"/>
            </w:pPr>
            <w:r w:rsidRPr="009E06AA">
              <w:rPr>
                <w:color w:val="000000"/>
              </w:rPr>
              <w:t>±50</w:t>
            </w:r>
          </w:p>
        </w:tc>
        <w:tc>
          <w:tcPr>
            <w:tcW w:w="1507" w:type="dxa"/>
            <w:shd w:val="clear" w:color="auto" w:fill="FFFFFF"/>
            <w:tcMar>
              <w:top w:w="0" w:type="dxa"/>
              <w:left w:w="85" w:type="dxa"/>
              <w:bottom w:w="0" w:type="dxa"/>
              <w:right w:w="85" w:type="dxa"/>
            </w:tcMar>
          </w:tcPr>
          <w:p w14:paraId="5D956C22" w14:textId="77777777" w:rsidR="00AD187C" w:rsidRPr="009E06AA" w:rsidRDefault="00AD187C" w:rsidP="00E77BCA">
            <w:pPr>
              <w:pStyle w:val="TableText"/>
              <w:spacing w:before="50" w:after="50"/>
              <w:jc w:val="right"/>
            </w:pPr>
            <w:r w:rsidRPr="009E06AA">
              <w:rPr>
                <w:color w:val="000000"/>
              </w:rPr>
              <w:t>±50.0</w:t>
            </w:r>
          </w:p>
        </w:tc>
        <w:tc>
          <w:tcPr>
            <w:tcW w:w="3969" w:type="dxa"/>
            <w:shd w:val="clear" w:color="auto" w:fill="FFFFFF"/>
            <w:tcMar>
              <w:top w:w="0" w:type="dxa"/>
              <w:left w:w="85" w:type="dxa"/>
              <w:bottom w:w="0" w:type="dxa"/>
              <w:right w:w="85" w:type="dxa"/>
            </w:tcMar>
          </w:tcPr>
          <w:p w14:paraId="48622D71" w14:textId="77777777" w:rsidR="00AD187C" w:rsidRPr="009E06AA" w:rsidRDefault="00AD187C" w:rsidP="00B55F24">
            <w:pPr>
              <w:pStyle w:val="TableText"/>
              <w:spacing w:before="50" w:after="50"/>
            </w:pPr>
            <w:r w:rsidRPr="009E06AA">
              <w:rPr>
                <w:color w:val="000000"/>
              </w:rPr>
              <w:t>Section 3.5.1.7, IPCC, 2006a</w:t>
            </w:r>
          </w:p>
        </w:tc>
      </w:tr>
      <w:tr w:rsidR="00AD187C" w:rsidRPr="009E06AA" w14:paraId="1FC60C70" w14:textId="77777777" w:rsidTr="00B55F24">
        <w:tc>
          <w:tcPr>
            <w:tcW w:w="0" w:type="auto"/>
            <w:shd w:val="clear" w:color="auto" w:fill="FFFFFF"/>
            <w:tcMar>
              <w:top w:w="0" w:type="dxa"/>
              <w:left w:w="85" w:type="dxa"/>
              <w:bottom w:w="0" w:type="dxa"/>
              <w:right w:w="85" w:type="dxa"/>
            </w:tcMar>
          </w:tcPr>
          <w:p w14:paraId="43D3DB71" w14:textId="77777777" w:rsidR="00AD187C" w:rsidRPr="009E06AA" w:rsidRDefault="00AD187C" w:rsidP="00B55F24">
            <w:pPr>
              <w:pStyle w:val="TableText"/>
              <w:spacing w:before="50" w:after="50"/>
            </w:pPr>
            <w:r w:rsidRPr="009E06AA">
              <w:rPr>
                <w:color w:val="000000"/>
              </w:rPr>
              <w:t>N</w:t>
            </w:r>
            <w:r w:rsidRPr="009E06AA">
              <w:rPr>
                <w:color w:val="000000"/>
                <w:vertAlign w:val="subscript"/>
              </w:rPr>
              <w:t>2</w:t>
            </w:r>
            <w:r w:rsidRPr="009E06AA">
              <w:rPr>
                <w:color w:val="000000"/>
              </w:rPr>
              <w:t>O</w:t>
            </w:r>
          </w:p>
        </w:tc>
        <w:tc>
          <w:tcPr>
            <w:tcW w:w="988" w:type="dxa"/>
            <w:shd w:val="clear" w:color="auto" w:fill="FFFFFF"/>
            <w:tcMar>
              <w:top w:w="0" w:type="dxa"/>
              <w:left w:w="85" w:type="dxa"/>
              <w:bottom w:w="0" w:type="dxa"/>
              <w:right w:w="85" w:type="dxa"/>
            </w:tcMar>
          </w:tcPr>
          <w:p w14:paraId="3196489B" w14:textId="77777777" w:rsidR="00AD187C" w:rsidRPr="009E06AA" w:rsidRDefault="00AD187C" w:rsidP="00B55F24">
            <w:pPr>
              <w:pStyle w:val="TableText"/>
              <w:spacing w:before="50" w:after="50"/>
            </w:pPr>
            <w:r w:rsidRPr="009E06AA">
              <w:rPr>
                <w:color w:val="000000"/>
              </w:rPr>
              <w:t>Liquid fuels</w:t>
            </w:r>
          </w:p>
        </w:tc>
        <w:tc>
          <w:tcPr>
            <w:tcW w:w="1611" w:type="dxa"/>
            <w:shd w:val="clear" w:color="auto" w:fill="FFFFFF"/>
            <w:tcMar>
              <w:top w:w="0" w:type="dxa"/>
              <w:left w:w="85" w:type="dxa"/>
              <w:bottom w:w="0" w:type="dxa"/>
              <w:right w:w="85" w:type="dxa"/>
            </w:tcMar>
          </w:tcPr>
          <w:p w14:paraId="6D6C31E1" w14:textId="77777777" w:rsidR="00AD187C" w:rsidRPr="009E06AA" w:rsidRDefault="00AD187C" w:rsidP="00E77BCA">
            <w:pPr>
              <w:pStyle w:val="TableText"/>
              <w:spacing w:before="50" w:after="50"/>
              <w:jc w:val="right"/>
            </w:pPr>
            <w:r w:rsidRPr="009E06AA">
              <w:rPr>
                <w:color w:val="000000"/>
              </w:rPr>
              <w:t>±50</w:t>
            </w:r>
          </w:p>
        </w:tc>
        <w:tc>
          <w:tcPr>
            <w:tcW w:w="1507" w:type="dxa"/>
            <w:shd w:val="clear" w:color="auto" w:fill="FFFFFF"/>
            <w:tcMar>
              <w:top w:w="0" w:type="dxa"/>
              <w:left w:w="85" w:type="dxa"/>
              <w:bottom w:w="0" w:type="dxa"/>
              <w:right w:w="85" w:type="dxa"/>
            </w:tcMar>
          </w:tcPr>
          <w:p w14:paraId="6AC28131" w14:textId="77777777" w:rsidR="00AD187C" w:rsidRPr="009E06AA" w:rsidRDefault="00AD187C" w:rsidP="00E77BCA">
            <w:pPr>
              <w:pStyle w:val="TableText"/>
              <w:spacing w:before="50" w:after="50"/>
              <w:jc w:val="right"/>
            </w:pPr>
            <w:r w:rsidRPr="009E06AA">
              <w:rPr>
                <w:color w:val="000000"/>
              </w:rPr>
              <w:t>±50.0</w:t>
            </w:r>
          </w:p>
        </w:tc>
        <w:tc>
          <w:tcPr>
            <w:tcW w:w="3969" w:type="dxa"/>
            <w:shd w:val="clear" w:color="auto" w:fill="FFFFFF"/>
            <w:tcMar>
              <w:top w:w="0" w:type="dxa"/>
              <w:left w:w="85" w:type="dxa"/>
              <w:bottom w:w="0" w:type="dxa"/>
              <w:right w:w="85" w:type="dxa"/>
            </w:tcMar>
          </w:tcPr>
          <w:p w14:paraId="42E329C4" w14:textId="77777777" w:rsidR="00AD187C" w:rsidRPr="009E06AA" w:rsidRDefault="00AD187C" w:rsidP="00B55F24">
            <w:pPr>
              <w:pStyle w:val="TableText"/>
              <w:spacing w:before="50" w:after="50"/>
            </w:pPr>
            <w:r w:rsidRPr="009E06AA">
              <w:rPr>
                <w:color w:val="000000"/>
              </w:rPr>
              <w:t>New Zealand’s value is used (table 3.3.1, chapter 3), section 3.5.1.7, IPCC, 2006a</w:t>
            </w:r>
          </w:p>
        </w:tc>
      </w:tr>
    </w:tbl>
    <w:p w14:paraId="0BD7DC10" w14:textId="77777777" w:rsidR="00AD187C" w:rsidRPr="009E06AA" w:rsidRDefault="00AD187C" w:rsidP="00AD187C">
      <w:pPr>
        <w:pStyle w:val="BodyText"/>
        <w:spacing w:before="240"/>
      </w:pPr>
      <w:r w:rsidRPr="009E06AA">
        <w:t xml:space="preserve">For the </w:t>
      </w:r>
      <w:r w:rsidRPr="009E06AA">
        <w:rPr>
          <w:i/>
          <w:iCs/>
        </w:rPr>
        <w:t>Domestic navigation</w:t>
      </w:r>
      <w:r w:rsidRPr="009E06AA">
        <w:t xml:space="preserve"> category, time-series consistency is maintained by estimating activity data for years before 2018 when detailed data became available.</w:t>
      </w:r>
    </w:p>
    <w:p w14:paraId="73220E34" w14:textId="77777777" w:rsidR="00AD187C" w:rsidRPr="009E06AA" w:rsidRDefault="00AD187C" w:rsidP="00AD187C">
      <w:pPr>
        <w:pStyle w:val="Heading3"/>
        <w:spacing w:before="280"/>
      </w:pPr>
      <w:bookmarkStart w:id="3311" w:name="_Toc160205204"/>
      <w:bookmarkStart w:id="3312" w:name="_Toc160441789"/>
      <w:r w:rsidRPr="009E06AA">
        <w:t xml:space="preserve">8.5.4 </w:t>
      </w:r>
      <w:r w:rsidRPr="009E06AA">
        <w:tab/>
        <w:t>Category-specific QA/QC and verification</w:t>
      </w:r>
      <w:bookmarkEnd w:id="3311"/>
      <w:bookmarkEnd w:id="3312"/>
    </w:p>
    <w:p w14:paraId="7C87CA29" w14:textId="77777777" w:rsidR="00AD187C" w:rsidRPr="009E06AA" w:rsidRDefault="00AD187C" w:rsidP="00AD187C">
      <w:pPr>
        <w:pStyle w:val="BodyText"/>
      </w:pPr>
      <w:r w:rsidRPr="009E06AA">
        <w:t>Quality control of the activity data and calculations was applied to each category for Tokelau. No verification was possible because no alternative data were available.</w:t>
      </w:r>
    </w:p>
    <w:p w14:paraId="00638F0B" w14:textId="77777777" w:rsidR="00AD187C" w:rsidRPr="009E06AA" w:rsidRDefault="00AD187C" w:rsidP="00AD187C">
      <w:pPr>
        <w:pStyle w:val="Heading3"/>
      </w:pPr>
      <w:bookmarkStart w:id="3313" w:name="_Toc160205205"/>
      <w:bookmarkStart w:id="3314" w:name="_Toc160441790"/>
      <w:r w:rsidRPr="009E06AA">
        <w:t xml:space="preserve">8.5.5 </w:t>
      </w:r>
      <w:r w:rsidRPr="009E06AA">
        <w:tab/>
        <w:t>Category-specific recalculations</w:t>
      </w:r>
      <w:bookmarkEnd w:id="3313"/>
      <w:bookmarkEnd w:id="3314"/>
    </w:p>
    <w:p w14:paraId="06734E20" w14:textId="77777777" w:rsidR="00AD187C" w:rsidRPr="009E06AA" w:rsidRDefault="00AD187C" w:rsidP="00AD187C">
      <w:pPr>
        <w:pStyle w:val="BodyText"/>
      </w:pPr>
      <w:r w:rsidRPr="009E06AA">
        <w:t xml:space="preserve">There were no changes to estimates for the </w:t>
      </w:r>
      <w:r w:rsidRPr="009E06AA">
        <w:rPr>
          <w:i/>
          <w:iCs/>
        </w:rPr>
        <w:t>Domestic navigation</w:t>
      </w:r>
      <w:r w:rsidRPr="009E06AA">
        <w:t xml:space="preserve"> category.</w:t>
      </w:r>
    </w:p>
    <w:p w14:paraId="1088CCCA" w14:textId="77777777" w:rsidR="00AD187C" w:rsidRPr="009E06AA" w:rsidRDefault="00AD187C" w:rsidP="00AD187C">
      <w:pPr>
        <w:pStyle w:val="Heading3"/>
      </w:pPr>
      <w:bookmarkStart w:id="3315" w:name="_Toc160205206"/>
      <w:bookmarkStart w:id="3316" w:name="_Toc160441791"/>
      <w:bookmarkStart w:id="3317" w:name="source-specific-planned-improvements-2"/>
      <w:r w:rsidRPr="009E06AA">
        <w:t xml:space="preserve">8.5.6 </w:t>
      </w:r>
      <w:r w:rsidRPr="009E06AA">
        <w:tab/>
        <w:t>Category-specific planned improvements</w:t>
      </w:r>
      <w:bookmarkEnd w:id="3315"/>
      <w:bookmarkEnd w:id="3316"/>
    </w:p>
    <w:p w14:paraId="6B2514D8" w14:textId="77777777" w:rsidR="00AD187C" w:rsidRPr="009E06AA" w:rsidRDefault="00AD187C" w:rsidP="00AD187C">
      <w:pPr>
        <w:pStyle w:val="BodyText"/>
      </w:pPr>
      <w:r w:rsidRPr="009E06AA">
        <w:t xml:space="preserve">No improvements are planned for </w:t>
      </w:r>
      <w:r w:rsidRPr="009E06AA">
        <w:rPr>
          <w:i/>
        </w:rPr>
        <w:t>Transport</w:t>
      </w:r>
      <w:r w:rsidRPr="009E06AA">
        <w:t>. For future submissions, further analysis of activity data to reflect year-to-year variations will be considered as far as resources allow.</w:t>
      </w:r>
    </w:p>
    <w:p w14:paraId="089D839E" w14:textId="77777777" w:rsidR="00AD187C" w:rsidRPr="009E06AA" w:rsidRDefault="00AD187C" w:rsidP="00AD187C">
      <w:pPr>
        <w:pStyle w:val="Heading2"/>
      </w:pPr>
      <w:bookmarkStart w:id="3318" w:name="_Toc5269395"/>
      <w:bookmarkStart w:id="3319" w:name="_Toc36224435"/>
      <w:bookmarkStart w:id="3320" w:name="_Toc68786355"/>
      <w:bookmarkStart w:id="3321" w:name="_Toc131591269"/>
      <w:bookmarkStart w:id="3322" w:name="_Toc160205207"/>
      <w:bookmarkStart w:id="3323" w:name="_Toc160441792"/>
      <w:bookmarkStart w:id="3324" w:name="_Toc164154227"/>
      <w:bookmarkStart w:id="3325" w:name="X38adceddd0246d107027869b12a4e115ee3107c"/>
      <w:bookmarkEnd w:id="3294"/>
      <w:bookmarkEnd w:id="3317"/>
      <w:r w:rsidRPr="009E06AA">
        <w:t xml:space="preserve">8.6 </w:t>
      </w:r>
      <w:r w:rsidRPr="009E06AA">
        <w:tab/>
        <w:t>Emissions from Industrial Processes and Product Use in Tokelau (6. Tokelau_2)</w:t>
      </w:r>
      <w:bookmarkEnd w:id="3318"/>
      <w:bookmarkEnd w:id="3319"/>
      <w:bookmarkEnd w:id="3320"/>
      <w:bookmarkEnd w:id="3321"/>
      <w:bookmarkEnd w:id="3322"/>
      <w:bookmarkEnd w:id="3323"/>
      <w:bookmarkEnd w:id="3324"/>
    </w:p>
    <w:p w14:paraId="1DCEF7E0" w14:textId="77777777" w:rsidR="00AD187C" w:rsidRPr="009E06AA" w:rsidRDefault="00AD187C" w:rsidP="00AD187C">
      <w:pPr>
        <w:pStyle w:val="Heading3"/>
        <w:spacing w:before="240"/>
      </w:pPr>
      <w:bookmarkStart w:id="3326" w:name="_Toc160205208"/>
      <w:bookmarkStart w:id="3327" w:name="_Toc160441793"/>
      <w:bookmarkStart w:id="3328" w:name="X3f10a5aaf563e81def2fdb0dee65129036e6a58"/>
      <w:r w:rsidRPr="009E06AA">
        <w:t xml:space="preserve">8.6.1 </w:t>
      </w:r>
      <w:r w:rsidRPr="009E06AA">
        <w:tab/>
        <w:t>Overview of Tokelau’s Industrial Processes and Product Use sector</w:t>
      </w:r>
      <w:bookmarkEnd w:id="3326"/>
      <w:bookmarkEnd w:id="3327"/>
    </w:p>
    <w:p w14:paraId="28081E0C" w14:textId="77777777" w:rsidR="00AD187C" w:rsidRPr="009E06AA" w:rsidRDefault="00AD187C" w:rsidP="00AD187C">
      <w:pPr>
        <w:pStyle w:val="BodyText"/>
      </w:pPr>
      <w:r w:rsidRPr="009E06AA">
        <w:t>Tokelau has no significant industry. The emissions associated with the IPPU sector come from the following activities:</w:t>
      </w:r>
    </w:p>
    <w:p w14:paraId="5A758BBF" w14:textId="77777777" w:rsidR="00AD187C" w:rsidRPr="009E06AA" w:rsidRDefault="00AD187C" w:rsidP="00AD187C">
      <w:pPr>
        <w:pStyle w:val="Bullet"/>
      </w:pPr>
      <w:r w:rsidRPr="009E06AA">
        <w:t>use of refrigeration and air conditioning – HFCs</w:t>
      </w:r>
    </w:p>
    <w:p w14:paraId="6A7F12F9" w14:textId="77777777" w:rsidR="00AD187C" w:rsidRPr="009E06AA" w:rsidRDefault="00AD187C" w:rsidP="00AD187C">
      <w:pPr>
        <w:pStyle w:val="Bullet"/>
      </w:pPr>
      <w:r w:rsidRPr="009E06AA">
        <w:t>use of metered dose inhalers – HFC-134a and HFC-227ea</w:t>
      </w:r>
    </w:p>
    <w:p w14:paraId="2807CC93" w14:textId="77777777" w:rsidR="00AD187C" w:rsidRPr="009E06AA" w:rsidRDefault="00AD187C" w:rsidP="00AD187C">
      <w:pPr>
        <w:pStyle w:val="Bullet"/>
      </w:pPr>
      <w:r w:rsidRPr="009E06AA">
        <w:t>medical applications of N</w:t>
      </w:r>
      <w:r w:rsidRPr="009E06AA">
        <w:rPr>
          <w:vertAlign w:val="subscript"/>
        </w:rPr>
        <w:t>2</w:t>
      </w:r>
      <w:r w:rsidRPr="009E06AA">
        <w:t>O.</w:t>
      </w:r>
    </w:p>
    <w:p w14:paraId="4E3FEF61" w14:textId="77777777" w:rsidR="00AD187C" w:rsidRPr="009E06AA" w:rsidRDefault="00AD187C" w:rsidP="00AD187C">
      <w:pPr>
        <w:pStyle w:val="BodyText"/>
      </w:pPr>
      <w:r w:rsidRPr="009E06AA">
        <w:t xml:space="preserve">Thus, the source categories included in this report are </w:t>
      </w:r>
      <w:r w:rsidRPr="009E06AA">
        <w:rPr>
          <w:i/>
          <w:iCs/>
        </w:rPr>
        <w:t>Refrigeration and air conditioning</w:t>
      </w:r>
      <w:r w:rsidRPr="009E06AA">
        <w:t xml:space="preserve"> (2.F.1), </w:t>
      </w:r>
      <w:r w:rsidRPr="009E06AA">
        <w:rPr>
          <w:i/>
          <w:iCs/>
        </w:rPr>
        <w:t>Metered dose inhalers</w:t>
      </w:r>
      <w:r w:rsidRPr="009E06AA">
        <w:t xml:space="preserve"> (2.F.4) and </w:t>
      </w:r>
      <w:r w:rsidRPr="009E06AA">
        <w:rPr>
          <w:i/>
          <w:iCs/>
        </w:rPr>
        <w:t>Medical applications</w:t>
      </w:r>
      <w:r w:rsidRPr="009E06AA">
        <w:t xml:space="preserve"> (2.G.3).</w:t>
      </w:r>
    </w:p>
    <w:p w14:paraId="05CF3D20" w14:textId="77777777" w:rsidR="00AD187C" w:rsidRPr="009E06AA" w:rsidRDefault="00AD187C" w:rsidP="00AD187C">
      <w:pPr>
        <w:pStyle w:val="BodyText"/>
      </w:pPr>
      <w:r w:rsidRPr="009E06AA">
        <w:t>The total amount of all IPPU emissions in Tokelau in 2022 was 0.23 kt CO</w:t>
      </w:r>
      <w:r w:rsidRPr="009E06AA">
        <w:rPr>
          <w:vertAlign w:val="subscript"/>
        </w:rPr>
        <w:t>2</w:t>
      </w:r>
      <w:r w:rsidRPr="009E06AA">
        <w:t xml:space="preserve">-e. They contributed 4.9 per cent to the total emissions from Tokelau and 0.0003 per cent to New Zealand’s gross emissions including Tokelau. The biggest contributor to the total IPPU HFC emissions is </w:t>
      </w:r>
      <w:r w:rsidRPr="009E06AA">
        <w:rPr>
          <w:i/>
          <w:iCs/>
        </w:rPr>
        <w:t>Stationary air conditioning</w:t>
      </w:r>
      <w:r w:rsidRPr="009E06AA">
        <w:t xml:space="preserve"> followed by </w:t>
      </w:r>
      <w:r w:rsidRPr="009E06AA">
        <w:rPr>
          <w:i/>
          <w:iCs/>
        </w:rPr>
        <w:t>Domestic refrigeration</w:t>
      </w:r>
      <w:r w:rsidRPr="009E06AA">
        <w:t>, with 67.8 per cent and 17.6 per cent of IPPU emissions from Tokelau, respectively. Figure 8.6.1 shows emission trends in the IPPU sector by category for Tokelau.</w:t>
      </w:r>
    </w:p>
    <w:p w14:paraId="7A68A2C7" w14:textId="180E9931" w:rsidR="00AD187C" w:rsidRPr="009E06AA" w:rsidRDefault="00AD187C" w:rsidP="00AD187C">
      <w:pPr>
        <w:pStyle w:val="Figure"/>
        <w:spacing w:after="80"/>
      </w:pPr>
      <w:bookmarkStart w:id="3329" w:name="_Toc36292830"/>
      <w:bookmarkStart w:id="3330" w:name="_Toc64972937"/>
      <w:bookmarkStart w:id="3331" w:name="_Toc68786694"/>
      <w:bookmarkStart w:id="3332" w:name="_Toc130211302"/>
      <w:bookmarkStart w:id="3333" w:name="_Toc131591587"/>
      <w:bookmarkStart w:id="3334" w:name="_Toc160205433"/>
      <w:bookmarkStart w:id="3335" w:name="_Toc160441570"/>
      <w:bookmarkStart w:id="3336" w:name="_Toc164154056"/>
      <w:r w:rsidRPr="009E06AA">
        <w:rPr>
          <w:bCs/>
        </w:rPr>
        <w:t xml:space="preserve">Figure 8.6.1 </w:t>
      </w:r>
      <w:r w:rsidRPr="009E06AA">
        <w:rPr>
          <w:bCs/>
        </w:rPr>
        <w:tab/>
        <w:t>Industrial Processes and Product Use emissions by category for Tokelau (kt CO</w:t>
      </w:r>
      <w:r w:rsidRPr="009E06AA">
        <w:rPr>
          <w:bCs/>
          <w:vertAlign w:val="subscript"/>
        </w:rPr>
        <w:t>2</w:t>
      </w:r>
      <w:r w:rsidRPr="009E06AA">
        <w:rPr>
          <w:bCs/>
        </w:rPr>
        <w:t>-e)</w:t>
      </w:r>
      <w:r w:rsidR="00387B6F" w:rsidRPr="009E06AA">
        <w:rPr>
          <w:bCs/>
        </w:rPr>
        <w:t>,</w:t>
      </w:r>
      <w:r w:rsidRPr="009E06AA">
        <w:rPr>
          <w:bCs/>
        </w:rPr>
        <w:t xml:space="preserve"> from 1990 to</w:t>
      </w:r>
      <w:bookmarkEnd w:id="3329"/>
      <w:bookmarkEnd w:id="3330"/>
      <w:bookmarkEnd w:id="3331"/>
      <w:bookmarkEnd w:id="3332"/>
      <w:bookmarkEnd w:id="3333"/>
      <w:r w:rsidRPr="009E06AA">
        <w:rPr>
          <w:bCs/>
        </w:rPr>
        <w:t> 2022</w:t>
      </w:r>
      <w:bookmarkEnd w:id="3334"/>
      <w:bookmarkEnd w:id="3335"/>
      <w:bookmarkEnd w:id="3336"/>
    </w:p>
    <w:p w14:paraId="1B39A84D" w14:textId="77777777" w:rsidR="00AD187C" w:rsidRPr="009E06AA" w:rsidRDefault="00AD187C" w:rsidP="00AD187C">
      <w:pPr>
        <w:pStyle w:val="BodyText"/>
      </w:pPr>
      <w:r w:rsidRPr="009E06AA">
        <w:rPr>
          <w:noProof/>
        </w:rPr>
        <w:drawing>
          <wp:inline distT="0" distB="0" distL="0" distR="0" wp14:anchorId="09431A37" wp14:editId="6E515B83">
            <wp:extent cx="5331124" cy="2967487"/>
            <wp:effectExtent l="0" t="0" r="3175" b="4445"/>
            <wp:docPr id="93" name="Picture 93"/>
            <wp:cNvGraphicFramePr/>
            <a:graphic xmlns:a="http://schemas.openxmlformats.org/drawingml/2006/main">
              <a:graphicData uri="http://schemas.openxmlformats.org/drawingml/2006/picture">
                <pic:pic xmlns:pic="http://schemas.openxmlformats.org/drawingml/2006/picture">
                  <pic:nvPicPr>
                    <pic:cNvPr id="94" name="Picture" descr="images/fig_8_6_1.png"/>
                    <pic:cNvPicPr>
                      <a:picLocks noChangeAspect="1" noChangeArrowheads="1"/>
                    </pic:cNvPicPr>
                  </pic:nvPicPr>
                  <pic:blipFill>
                    <a:blip r:embed="rId183"/>
                    <a:stretch>
                      <a:fillRect/>
                    </a:stretch>
                  </pic:blipFill>
                  <pic:spPr bwMode="auto">
                    <a:xfrm>
                      <a:off x="0" y="0"/>
                      <a:ext cx="5334983" cy="2969635"/>
                    </a:xfrm>
                    <a:prstGeom prst="rect">
                      <a:avLst/>
                    </a:prstGeom>
                    <a:noFill/>
                    <a:ln w="9525">
                      <a:noFill/>
                      <a:headEnd/>
                      <a:tailEnd/>
                    </a:ln>
                  </pic:spPr>
                </pic:pic>
              </a:graphicData>
            </a:graphic>
          </wp:inline>
        </w:drawing>
      </w:r>
      <w:r w:rsidRPr="009E06AA">
        <w:t xml:space="preserve"> </w:t>
      </w:r>
    </w:p>
    <w:p w14:paraId="0DFA5D21" w14:textId="77777777" w:rsidR="00AD187C" w:rsidRPr="009E06AA" w:rsidRDefault="00AD187C" w:rsidP="00AD187C">
      <w:pPr>
        <w:pStyle w:val="Heading2"/>
      </w:pPr>
      <w:bookmarkStart w:id="3337" w:name="_Toc160205209"/>
      <w:bookmarkStart w:id="3338" w:name="_Toc160441794"/>
      <w:bookmarkStart w:id="3339" w:name="_Toc164154228"/>
      <w:bookmarkStart w:id="3340" w:name="X259a99bc59bd2356422201190e2f15d542f112e"/>
      <w:bookmarkEnd w:id="3325"/>
      <w:bookmarkEnd w:id="3328"/>
      <w:r w:rsidRPr="009E06AA">
        <w:t xml:space="preserve">8.7 </w:t>
      </w:r>
      <w:r w:rsidRPr="009E06AA">
        <w:tab/>
        <w:t>Emissions from Refrigeration and air conditioning in Tokelau</w:t>
      </w:r>
      <w:bookmarkEnd w:id="3337"/>
      <w:bookmarkEnd w:id="3338"/>
      <w:bookmarkEnd w:id="3339"/>
    </w:p>
    <w:p w14:paraId="58D37595" w14:textId="77777777" w:rsidR="00AD187C" w:rsidRPr="009E06AA" w:rsidRDefault="00AD187C" w:rsidP="00AD187C">
      <w:pPr>
        <w:pStyle w:val="Heading3"/>
        <w:spacing w:before="240"/>
      </w:pPr>
      <w:bookmarkStart w:id="3341" w:name="_Toc160205210"/>
      <w:bookmarkStart w:id="3342" w:name="_Toc160441795"/>
      <w:r w:rsidRPr="009E06AA">
        <w:t xml:space="preserve">8.7.1 </w:t>
      </w:r>
      <w:r w:rsidRPr="009E06AA">
        <w:tab/>
        <w:t>Description</w:t>
      </w:r>
      <w:bookmarkEnd w:id="3341"/>
      <w:bookmarkEnd w:id="3342"/>
    </w:p>
    <w:p w14:paraId="4352B09E" w14:textId="77777777" w:rsidR="00AD187C" w:rsidRPr="009E06AA" w:rsidRDefault="00AD187C" w:rsidP="00AD187C">
      <w:pPr>
        <w:pStyle w:val="BodyText"/>
        <w:spacing w:before="100" w:after="100"/>
      </w:pPr>
      <w:r w:rsidRPr="009E06AA">
        <w:t xml:space="preserve">Due to a very small number of air-conditioned vehicles in Tokelau, all emissions from this category are reported in </w:t>
      </w:r>
      <w:r w:rsidRPr="009E06AA">
        <w:rPr>
          <w:i/>
        </w:rPr>
        <w:t>Stationary air conditioning</w:t>
      </w:r>
      <w:r w:rsidRPr="009E06AA">
        <w:t xml:space="preserve"> (2.F.1.f).</w:t>
      </w:r>
    </w:p>
    <w:p w14:paraId="564E6EEB" w14:textId="77777777" w:rsidR="00AD187C" w:rsidRPr="009E06AA" w:rsidRDefault="00AD187C" w:rsidP="00AD187C">
      <w:pPr>
        <w:pStyle w:val="BodyText"/>
        <w:spacing w:before="100" w:after="100"/>
      </w:pPr>
      <w:r w:rsidRPr="009E06AA">
        <w:t xml:space="preserve">Because most fridge and freezer appliances are installed in households, the emissions associated with refrigeration are reported in </w:t>
      </w:r>
      <w:r w:rsidRPr="009E06AA">
        <w:rPr>
          <w:i/>
          <w:iCs/>
        </w:rPr>
        <w:t>Domestic refrigeration</w:t>
      </w:r>
      <w:r w:rsidRPr="009E06AA">
        <w:t xml:space="preserve"> (2.F.1.b). Emissions from fridge and freezer appliances are based on the number of those appliances, however, no HFCs were used before 1994. To account for the phase-in of HFCs, it has been assumed that the proportion of appliances using HFCs increased 10 per cent per year, starting at 10 per cent of appliances in 1994 and reaching 100 per cent of appliances in 2003. This phase-in is reflected in figure 8.6.1. Emissions continue to change after 2003 due to changes in the overall number of appliances.</w:t>
      </w:r>
    </w:p>
    <w:p w14:paraId="1A021F31" w14:textId="77777777" w:rsidR="00AD187C" w:rsidRPr="009E06AA" w:rsidRDefault="00AD187C" w:rsidP="00AD187C">
      <w:pPr>
        <w:pStyle w:val="Heading3"/>
        <w:spacing w:before="280"/>
      </w:pPr>
      <w:bookmarkStart w:id="3343" w:name="_Toc160205211"/>
      <w:bookmarkStart w:id="3344" w:name="_Toc160441796"/>
      <w:bookmarkStart w:id="3345" w:name="methodological-issues-4"/>
      <w:r w:rsidRPr="009E06AA">
        <w:t xml:space="preserve">8.7.2 </w:t>
      </w:r>
      <w:r w:rsidRPr="009E06AA">
        <w:tab/>
        <w:t>Methodological issues</w:t>
      </w:r>
      <w:bookmarkEnd w:id="3343"/>
      <w:bookmarkEnd w:id="3344"/>
    </w:p>
    <w:p w14:paraId="5E734AE7" w14:textId="77777777" w:rsidR="00AD187C" w:rsidRPr="009E06AA" w:rsidRDefault="00AD187C" w:rsidP="00AD187C">
      <w:pPr>
        <w:pStyle w:val="Heading4"/>
      </w:pPr>
      <w:bookmarkStart w:id="3346" w:name="activity-data-4"/>
      <w:r w:rsidRPr="009E06AA">
        <w:t>Activity data</w:t>
      </w:r>
    </w:p>
    <w:p w14:paraId="080D714A" w14:textId="77777777" w:rsidR="00AD187C" w:rsidRPr="009E06AA" w:rsidRDefault="00AD187C" w:rsidP="00AD187C">
      <w:pPr>
        <w:pStyle w:val="BodyText"/>
        <w:spacing w:after="100"/>
      </w:pPr>
      <w:r w:rsidRPr="009E06AA">
        <w:t>The data for the number of appliances are sourced from:</w:t>
      </w:r>
    </w:p>
    <w:p w14:paraId="06BFD08B" w14:textId="77777777" w:rsidR="00AD187C" w:rsidRPr="009E06AA" w:rsidRDefault="00AD187C" w:rsidP="00AD187C">
      <w:pPr>
        <w:pStyle w:val="Bullet"/>
        <w:spacing w:after="100"/>
      </w:pPr>
      <w:r w:rsidRPr="009E06AA">
        <w:t>Tokelau Census of Population and Dwellings (2006, 2011, 2016) (item 1 in table 8.1.1) for 2006 to 2016 data points</w:t>
      </w:r>
    </w:p>
    <w:p w14:paraId="07B021DE" w14:textId="77777777" w:rsidR="00AD187C" w:rsidRPr="009E06AA" w:rsidRDefault="00AD187C" w:rsidP="00AD187C">
      <w:pPr>
        <w:pStyle w:val="Bullet"/>
      </w:pPr>
      <w:r w:rsidRPr="009E06AA">
        <w:t>Archives New Zealand (Wellington, New Zealand) for historic Census records going back to 1950, mostly at five-year intervals</w:t>
      </w:r>
    </w:p>
    <w:p w14:paraId="0B0FEC10" w14:textId="77777777" w:rsidR="00AD187C" w:rsidRPr="009E06AA" w:rsidRDefault="00AD187C" w:rsidP="00AD187C">
      <w:pPr>
        <w:pStyle w:val="Bullet"/>
      </w:pPr>
      <w:r w:rsidRPr="009E06AA">
        <w:t>Tokelau Household Income and Expenditure Survey 2015/16 for population and dwellings data supplementary to the Census</w:t>
      </w:r>
    </w:p>
    <w:p w14:paraId="7CDFCDF1" w14:textId="77777777" w:rsidR="00AD187C" w:rsidRPr="009E06AA" w:rsidRDefault="00AD187C" w:rsidP="00AD187C">
      <w:pPr>
        <w:pStyle w:val="Bullet"/>
      </w:pPr>
      <w:r w:rsidRPr="009E06AA">
        <w:t>Tokelau Department of Health for anecdotal information on inhalers, the laser gas, and fire extinguishers</w:t>
      </w:r>
    </w:p>
    <w:p w14:paraId="30EC963B" w14:textId="77777777" w:rsidR="00AD187C" w:rsidRPr="009E06AA" w:rsidRDefault="00AD187C" w:rsidP="00AD187C">
      <w:pPr>
        <w:pStyle w:val="Bullet"/>
      </w:pPr>
      <w:r w:rsidRPr="009E06AA">
        <w:t>Tokelau Department of Transport and Support Services (Apia, Samoa) for cargo shipping manifests for analysis of imports of all goods</w:t>
      </w:r>
    </w:p>
    <w:p w14:paraId="7F4C1CB0" w14:textId="77777777" w:rsidR="00AD187C" w:rsidRPr="009E06AA" w:rsidRDefault="00AD187C" w:rsidP="00AD187C">
      <w:pPr>
        <w:pStyle w:val="Bullet"/>
      </w:pPr>
      <w:r w:rsidRPr="009E06AA">
        <w:t>Stats NZ (Wellington, New Zealand), which helped in the collection, analysis and publication of Tokelau Census data</w:t>
      </w:r>
    </w:p>
    <w:p w14:paraId="25F5822D" w14:textId="77777777" w:rsidR="00AD187C" w:rsidRPr="009E06AA" w:rsidRDefault="00AD187C" w:rsidP="00AD187C">
      <w:pPr>
        <w:pStyle w:val="Bullet"/>
      </w:pPr>
      <w:r w:rsidRPr="009E06AA">
        <w:t>Tokelau National Statistics Office, which performed collection, analysis and publication of Tokelau Census data with subsequent data collation and analyses.</w:t>
      </w:r>
    </w:p>
    <w:p w14:paraId="568FC419" w14:textId="77777777" w:rsidR="00AD187C" w:rsidRPr="009E06AA" w:rsidRDefault="00AD187C" w:rsidP="00AD187C">
      <w:pPr>
        <w:pStyle w:val="BodyText"/>
      </w:pPr>
      <w:r w:rsidRPr="009E06AA">
        <w:t>The raw data on the number of appliances used in Tokelau obtained from the Census have been further analysed and cross-referenced through other sources (e.g., see those listed in table 8.1.1); available data points are increased by equal increments between the data collection years.</w:t>
      </w:r>
    </w:p>
    <w:p w14:paraId="6462E56C" w14:textId="77777777" w:rsidR="00AD187C" w:rsidRPr="009E06AA" w:rsidRDefault="00AD187C" w:rsidP="00AD187C">
      <w:pPr>
        <w:pStyle w:val="Heading4"/>
      </w:pPr>
      <w:bookmarkStart w:id="3347" w:name="method-and-emission-factors"/>
      <w:bookmarkEnd w:id="3346"/>
      <w:r w:rsidRPr="009E06AA">
        <w:t>Method and emission factors</w:t>
      </w:r>
    </w:p>
    <w:p w14:paraId="4108411E" w14:textId="77777777" w:rsidR="00AD187C" w:rsidRPr="009E06AA" w:rsidRDefault="00AD187C" w:rsidP="00AD187C">
      <w:pPr>
        <w:pStyle w:val="BodyText"/>
      </w:pPr>
      <w:r w:rsidRPr="009E06AA">
        <w:t>For both air conditioning and domestic refrigeration, the following assumptions were made:</w:t>
      </w:r>
    </w:p>
    <w:p w14:paraId="74B6F06A" w14:textId="77777777" w:rsidR="00AD187C" w:rsidRPr="009E06AA" w:rsidRDefault="00AD187C" w:rsidP="00AD187C">
      <w:pPr>
        <w:pStyle w:val="Bullet"/>
      </w:pPr>
      <w:r w:rsidRPr="009E06AA">
        <w:t>no chemicals are imported or exported, except as a component of each sort of equipment; emissions are assumed to be derived from current equipment only</w:t>
      </w:r>
    </w:p>
    <w:p w14:paraId="29320E84" w14:textId="77777777" w:rsidR="00AD187C" w:rsidRPr="009E06AA" w:rsidRDefault="00AD187C" w:rsidP="00AD187C">
      <w:pPr>
        <w:pStyle w:val="Bullet"/>
      </w:pPr>
      <w:r w:rsidRPr="009E06AA">
        <w:t>HFCs and PFCs are neither produced nor exported or disposed of in Tokelau, therefore, the net consumption is essentially equal to imports</w:t>
      </w:r>
    </w:p>
    <w:p w14:paraId="0063A91C" w14:textId="77777777" w:rsidR="00AD187C" w:rsidRPr="009E06AA" w:rsidRDefault="00AD187C" w:rsidP="00AD187C">
      <w:pPr>
        <w:pStyle w:val="Bullet"/>
      </w:pPr>
      <w:r w:rsidRPr="009E06AA">
        <w:t>a composite default emission factor of 15 per cent can be used for estimating emissions for both domestic refrigeration and stationary air conditioning</w:t>
      </w:r>
    </w:p>
    <w:p w14:paraId="0A5B51C5" w14:textId="77777777" w:rsidR="00AD187C" w:rsidRPr="009E06AA" w:rsidRDefault="00AD187C" w:rsidP="00AD187C">
      <w:pPr>
        <w:pStyle w:val="Bullet"/>
      </w:pPr>
      <w:r w:rsidRPr="009E06AA">
        <w:t>assumed percentage of new equipment exported (0 per cent for Tokelau)</w:t>
      </w:r>
    </w:p>
    <w:p w14:paraId="6C5CA7B1" w14:textId="77777777" w:rsidR="00AD187C" w:rsidRPr="009E06AA" w:rsidRDefault="00AD187C" w:rsidP="00AD187C">
      <w:pPr>
        <w:pStyle w:val="Bullet"/>
      </w:pPr>
      <w:r w:rsidRPr="009E06AA">
        <w:t>assumed percentage of new equipment imported (100 per cent for Tokelau)</w:t>
      </w:r>
    </w:p>
    <w:p w14:paraId="399A1133" w14:textId="77777777" w:rsidR="00AD187C" w:rsidRPr="009E06AA" w:rsidRDefault="00AD187C" w:rsidP="00AD187C">
      <w:pPr>
        <w:pStyle w:val="Bullet"/>
      </w:pPr>
      <w:r w:rsidRPr="009E06AA">
        <w:t>the HFC emissions from stationary air conditioning did not occur until 2006</w:t>
      </w:r>
    </w:p>
    <w:p w14:paraId="6692AF69" w14:textId="77777777" w:rsidR="00AD187C" w:rsidRPr="009E06AA" w:rsidRDefault="00AD187C" w:rsidP="00AD187C">
      <w:pPr>
        <w:pStyle w:val="Bullet"/>
      </w:pPr>
      <w:r w:rsidRPr="009E06AA">
        <w:t>the HFC emissions from domestic refrigeration did not occur until 1994 (the same as for New Zealand)</w:t>
      </w:r>
    </w:p>
    <w:p w14:paraId="24603FD7" w14:textId="77777777" w:rsidR="00AD187C" w:rsidRPr="009E06AA" w:rsidRDefault="00AD187C" w:rsidP="00AD187C">
      <w:pPr>
        <w:pStyle w:val="Bullet"/>
      </w:pPr>
      <w:r w:rsidRPr="009E06AA">
        <w:t>the average charge for fridges and freezers has the upper limit of the mass of gas of 0.5 kilograms (from table 7.9 of volume 3 of the 2006 IPCC Guidelines (IPCC, 2006b))</w:t>
      </w:r>
    </w:p>
    <w:p w14:paraId="1B7DD5C7" w14:textId="77777777" w:rsidR="00AD187C" w:rsidRPr="009E06AA" w:rsidRDefault="00AD187C" w:rsidP="00AD187C">
      <w:pPr>
        <w:pStyle w:val="Bullet"/>
      </w:pPr>
      <w:r w:rsidRPr="009E06AA">
        <w:t>the average charge for an air conditioning unit is 10 kilograms (default value from the 2006 IPCC Guidelines (IPCC, 2006a))</w:t>
      </w:r>
    </w:p>
    <w:p w14:paraId="457EEF63" w14:textId="77777777" w:rsidR="00AD187C" w:rsidRPr="009E06AA" w:rsidRDefault="00AD187C" w:rsidP="00AD187C">
      <w:pPr>
        <w:pStyle w:val="Bullet"/>
      </w:pPr>
      <w:r w:rsidRPr="009E06AA">
        <w:t>for air conditioning units and fridges and freezers, Tokelau reports the same set of HFCs as New Zealand. These are HFC-32, HFC-125 and HFC-134a for air conditioning units, and HFC-134a for refrigeration.</w:t>
      </w:r>
    </w:p>
    <w:p w14:paraId="31B2765E" w14:textId="77777777" w:rsidR="00AD187C" w:rsidRPr="009E06AA" w:rsidRDefault="00AD187C" w:rsidP="00AD187C">
      <w:pPr>
        <w:pStyle w:val="BodyText"/>
      </w:pPr>
      <w:r w:rsidRPr="009E06AA">
        <w:t>The Tier 1a method from the 2006 IPCC Guidelines is used for estimating emissions from category 2.F.1 in Tokelau (IPCC, 2006b). In this method, activity data are represented by a net consumption value (equation 7.1 from volume 3 of the 2006 IPCC Guidelines), while the emission factor is a value that represents a weighted average of several parameters, as shown below in table 7.9 from volume 3 of the 2006 IPCC Guidelines (IPCC, 2006b).</w:t>
      </w:r>
    </w:p>
    <w:p w14:paraId="2673BFFA" w14:textId="77777777" w:rsidR="00AD187C" w:rsidRPr="009E06AA" w:rsidRDefault="00AD187C" w:rsidP="00AD187C">
      <w:pPr>
        <w:pStyle w:val="BodyText"/>
        <w:keepNext/>
      </w:pPr>
      <w:r w:rsidRPr="009E06AA">
        <w:t>The calculation formula for net consumption within the Tier 1a method is as follows.</w:t>
      </w:r>
    </w:p>
    <w:p w14:paraId="4198ACC4" w14:textId="77777777" w:rsidR="00AD187C" w:rsidRPr="004008DA" w:rsidRDefault="00AD187C" w:rsidP="00AD187C">
      <w:pPr>
        <w:pStyle w:val="BodyText"/>
        <w:keepNext/>
        <w:pBdr>
          <w:top w:val="single" w:sz="2" w:space="10" w:color="auto"/>
          <w:left w:val="single" w:sz="2" w:space="0" w:color="auto"/>
          <w:bottom w:val="single" w:sz="2" w:space="10" w:color="auto"/>
          <w:right w:val="single" w:sz="2" w:space="10" w:color="auto"/>
        </w:pBdr>
        <w:ind w:left="454" w:right="851"/>
        <w:jc w:val="center"/>
        <w:rPr>
          <w:rFonts w:ascii="Cambria Math" w:hAnsi="Cambria Math"/>
          <w:b/>
          <w:smallCaps/>
        </w:rPr>
      </w:pPr>
      <w:r w:rsidRPr="004008DA">
        <w:rPr>
          <w:rFonts w:ascii="Cambria Math" w:hAnsi="Cambria Math"/>
          <w:b/>
          <w:smallCaps/>
        </w:rPr>
        <w:t>Equation 7.1</w:t>
      </w:r>
    </w:p>
    <w:p w14:paraId="1928B7F8" w14:textId="77777777" w:rsidR="00AD187C" w:rsidRPr="004008DA" w:rsidRDefault="00AD187C" w:rsidP="00AD187C">
      <w:pPr>
        <w:pStyle w:val="BodyText"/>
        <w:pBdr>
          <w:top w:val="single" w:sz="2" w:space="10" w:color="auto"/>
          <w:left w:val="single" w:sz="2" w:space="0" w:color="auto"/>
          <w:bottom w:val="single" w:sz="2" w:space="10" w:color="auto"/>
          <w:right w:val="single" w:sz="2" w:space="10" w:color="auto"/>
        </w:pBdr>
        <w:spacing w:before="0" w:after="0"/>
        <w:ind w:left="454" w:right="851"/>
        <w:jc w:val="center"/>
        <w:rPr>
          <w:rFonts w:ascii="Cambria Math" w:hAnsi="Cambria Math"/>
          <w:b/>
          <w:smallCaps/>
        </w:rPr>
      </w:pPr>
      <w:r w:rsidRPr="004008DA">
        <w:rPr>
          <w:rFonts w:ascii="Cambria Math" w:hAnsi="Cambria Math"/>
          <w:b/>
          <w:smallCaps/>
        </w:rPr>
        <w:t>Calculation of net consumption of a chemical in a specific application</w:t>
      </w:r>
    </w:p>
    <w:p w14:paraId="4A2653A0" w14:textId="77777777" w:rsidR="00AD187C" w:rsidRPr="004008DA" w:rsidRDefault="00AD187C" w:rsidP="00AD187C">
      <w:pPr>
        <w:pStyle w:val="BodyText"/>
        <w:pBdr>
          <w:top w:val="single" w:sz="2" w:space="10" w:color="auto"/>
          <w:left w:val="single" w:sz="2" w:space="0" w:color="auto"/>
          <w:bottom w:val="single" w:sz="2" w:space="10" w:color="auto"/>
          <w:right w:val="single" w:sz="2" w:space="10" w:color="auto"/>
        </w:pBdr>
        <w:ind w:left="454" w:right="851"/>
        <w:jc w:val="center"/>
        <w:rPr>
          <w:rFonts w:ascii="Cambria Math" w:hAnsi="Cambria Math"/>
          <w:i/>
        </w:rPr>
      </w:pPr>
      <w:r w:rsidRPr="004008DA">
        <w:rPr>
          <w:rFonts w:ascii="Cambria Math" w:hAnsi="Cambria Math"/>
          <w:i/>
        </w:rPr>
        <w:t>Net Consumption = Production + Imports – Exports – Destruction</w:t>
      </w:r>
    </w:p>
    <w:p w14:paraId="3B62F33F" w14:textId="77777777" w:rsidR="00AD187C" w:rsidRPr="009E06AA" w:rsidRDefault="00AD187C" w:rsidP="00AD187C">
      <w:pPr>
        <w:pStyle w:val="BodyText"/>
      </w:pPr>
      <w:r w:rsidRPr="009E06AA">
        <w:t>Net consumption values for each HFC are then used to calculate annual emissions for applications exhibiting prompt emissions, as follows.</w:t>
      </w:r>
    </w:p>
    <w:p w14:paraId="5E1A94B9" w14:textId="77777777" w:rsidR="00AD187C" w:rsidRPr="004008DA" w:rsidRDefault="00AD187C" w:rsidP="00AD187C">
      <w:pPr>
        <w:pStyle w:val="BodyText"/>
        <w:pBdr>
          <w:top w:val="single" w:sz="2" w:space="10" w:color="auto"/>
          <w:left w:val="single" w:sz="2" w:space="0" w:color="auto"/>
          <w:bottom w:val="single" w:sz="2" w:space="10" w:color="auto"/>
          <w:right w:val="single" w:sz="2" w:space="10" w:color="auto"/>
        </w:pBdr>
        <w:ind w:left="454" w:right="851"/>
        <w:jc w:val="center"/>
        <w:rPr>
          <w:rFonts w:ascii="Cambria Math" w:hAnsi="Cambria Math"/>
          <w:b/>
          <w:smallCaps/>
        </w:rPr>
      </w:pPr>
      <w:r w:rsidRPr="004008DA">
        <w:rPr>
          <w:rFonts w:ascii="Cambria Math" w:hAnsi="Cambria Math"/>
          <w:b/>
          <w:smallCaps/>
        </w:rPr>
        <w:t>Equation 7.2A</w:t>
      </w:r>
    </w:p>
    <w:p w14:paraId="3CC85912" w14:textId="77777777" w:rsidR="00AD187C" w:rsidRPr="004008DA" w:rsidRDefault="00AD187C" w:rsidP="00AD187C">
      <w:pPr>
        <w:pStyle w:val="BodyText"/>
        <w:pBdr>
          <w:top w:val="single" w:sz="2" w:space="10" w:color="auto"/>
          <w:left w:val="single" w:sz="2" w:space="0" w:color="auto"/>
          <w:bottom w:val="single" w:sz="2" w:space="10" w:color="auto"/>
          <w:right w:val="single" w:sz="2" w:space="10" w:color="auto"/>
        </w:pBdr>
        <w:spacing w:before="0" w:after="0"/>
        <w:ind w:left="454" w:right="851"/>
        <w:jc w:val="center"/>
        <w:rPr>
          <w:rFonts w:ascii="Cambria Math" w:hAnsi="Cambria Math"/>
          <w:b/>
          <w:smallCaps/>
        </w:rPr>
      </w:pPr>
      <w:r w:rsidRPr="004008DA">
        <w:rPr>
          <w:rFonts w:ascii="Cambria Math" w:hAnsi="Cambria Math"/>
          <w:b/>
          <w:smallCaps/>
        </w:rPr>
        <w:t>Calculation of emissions of a chemical from a specific application</w:t>
      </w:r>
    </w:p>
    <w:p w14:paraId="6D0DD589" w14:textId="77777777" w:rsidR="00AD187C" w:rsidRPr="004008DA" w:rsidRDefault="00AD187C" w:rsidP="00AD187C">
      <w:pPr>
        <w:pStyle w:val="BodyText"/>
        <w:pBdr>
          <w:top w:val="single" w:sz="2" w:space="10" w:color="auto"/>
          <w:left w:val="single" w:sz="2" w:space="0" w:color="auto"/>
          <w:bottom w:val="single" w:sz="2" w:space="10" w:color="auto"/>
          <w:right w:val="single" w:sz="2" w:space="10" w:color="auto"/>
        </w:pBdr>
        <w:spacing w:after="0"/>
        <w:ind w:left="454" w:right="851"/>
        <w:jc w:val="center"/>
        <w:rPr>
          <w:rFonts w:ascii="Cambria Math" w:hAnsi="Cambria Math"/>
          <w:i/>
          <w:sz w:val="16"/>
          <w:szCs w:val="20"/>
        </w:rPr>
      </w:pPr>
      <w:r w:rsidRPr="004008DA">
        <w:rPr>
          <w:rFonts w:ascii="Cambria Math" w:hAnsi="Cambria Math"/>
          <w:i/>
        </w:rPr>
        <w:t xml:space="preserve">Annual Emissions = Net Consumption </w:t>
      </w:r>
      <w:r w:rsidRPr="004008DA">
        <w:rPr>
          <w:rFonts w:ascii="Symbol" w:eastAsia="Symbol" w:hAnsi="Symbol"/>
          <w:i/>
        </w:rPr>
        <w:t>·</w:t>
      </w:r>
      <w:r w:rsidRPr="004008DA">
        <w:rPr>
          <w:rFonts w:ascii="Cambria Math" w:hAnsi="Cambria Math"/>
          <w:i/>
        </w:rPr>
        <w:t xml:space="preserve"> Composite</w:t>
      </w:r>
      <w:r w:rsidRPr="004008DA">
        <w:rPr>
          <w:rFonts w:ascii="Cambria Math" w:hAnsi="Cambria Math"/>
          <w:i/>
          <w:smallCaps/>
        </w:rPr>
        <w:t xml:space="preserve"> </w:t>
      </w:r>
      <w:r w:rsidRPr="004008DA">
        <w:rPr>
          <w:rFonts w:ascii="Cambria Math" w:hAnsi="Cambria Math"/>
          <w:i/>
        </w:rPr>
        <w:t>EF</w:t>
      </w:r>
    </w:p>
    <w:p w14:paraId="46C5EC58" w14:textId="77777777" w:rsidR="00AD187C" w:rsidRPr="009E06AA" w:rsidRDefault="00AD187C" w:rsidP="00AD187C">
      <w:pPr>
        <w:pStyle w:val="Heading3"/>
        <w:spacing w:before="480"/>
      </w:pPr>
      <w:bookmarkStart w:id="3348" w:name="_Toc160205212"/>
      <w:bookmarkStart w:id="3349" w:name="_Toc160441797"/>
      <w:bookmarkEnd w:id="3345"/>
      <w:bookmarkEnd w:id="3347"/>
      <w:r w:rsidRPr="009E06AA">
        <w:t xml:space="preserve">8.7.3 </w:t>
      </w:r>
      <w:r w:rsidRPr="009E06AA">
        <w:tab/>
        <w:t>Uncertainty assessment and time-series consistency</w:t>
      </w:r>
      <w:bookmarkEnd w:id="3348"/>
      <w:bookmarkEnd w:id="3349"/>
    </w:p>
    <w:p w14:paraId="3208C44F" w14:textId="77777777" w:rsidR="00AD187C" w:rsidRPr="009E06AA" w:rsidRDefault="00AD187C" w:rsidP="00AD187C">
      <w:pPr>
        <w:pStyle w:val="BodyText"/>
      </w:pPr>
      <w:r w:rsidRPr="009E06AA">
        <w:t>Because a composite emission factor was used for both the 2.F.1.b and 2.F.1.f categories, the uncertainty level for activity data is assumed at a level of ±32 per cent (see table 8.7.1). The 2006 IPCC Guidelines (IPCC, 2006b) do not provide a default value for the composite factors, so New Zealand’s value for uncertainties to describe refrigerant leakages was used for both categories.</w:t>
      </w:r>
    </w:p>
    <w:p w14:paraId="155FEA76" w14:textId="77777777" w:rsidR="00AD187C" w:rsidRPr="009E06AA" w:rsidRDefault="00AD187C" w:rsidP="00AD187C">
      <w:pPr>
        <w:pStyle w:val="Table"/>
      </w:pPr>
      <w:bookmarkStart w:id="3350" w:name="_Toc5269599"/>
      <w:bookmarkStart w:id="3351" w:name="_Toc36224680"/>
      <w:bookmarkStart w:id="3352" w:name="_Toc68786566"/>
      <w:bookmarkStart w:id="3353" w:name="_Toc130211272"/>
      <w:bookmarkStart w:id="3354" w:name="_Toc131591473"/>
      <w:bookmarkStart w:id="3355" w:name="_Toc160205509"/>
      <w:bookmarkStart w:id="3356" w:name="_Toc160441628"/>
      <w:bookmarkStart w:id="3357" w:name="_Toc164153964"/>
      <w:r w:rsidRPr="009E06AA">
        <w:t xml:space="preserve">Table 8.7.1 </w:t>
      </w:r>
      <w:r w:rsidRPr="009E06AA">
        <w:tab/>
        <w:t xml:space="preserve">Uncertainties for the </w:t>
      </w:r>
      <w:r w:rsidRPr="009E06AA">
        <w:rPr>
          <w:i/>
          <w:iCs/>
        </w:rPr>
        <w:t>Refrigeration and air conditioning</w:t>
      </w:r>
      <w:r w:rsidRPr="009E06AA">
        <w:t xml:space="preserve"> category</w:t>
      </w:r>
      <w:bookmarkEnd w:id="3350"/>
      <w:bookmarkEnd w:id="3351"/>
      <w:bookmarkEnd w:id="3352"/>
      <w:bookmarkEnd w:id="3353"/>
      <w:bookmarkEnd w:id="3354"/>
      <w:bookmarkEnd w:id="3355"/>
      <w:bookmarkEnd w:id="3356"/>
      <w:bookmarkEnd w:id="3357"/>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492"/>
        <w:gridCol w:w="765"/>
        <w:gridCol w:w="2140"/>
        <w:gridCol w:w="2268"/>
        <w:gridCol w:w="2829"/>
      </w:tblGrid>
      <w:tr w:rsidR="00AD187C" w:rsidRPr="009E06AA" w14:paraId="5AF9C5FF" w14:textId="77777777" w:rsidTr="00B55F24">
        <w:trPr>
          <w:tblHeader/>
        </w:trPr>
        <w:tc>
          <w:tcPr>
            <w:tcW w:w="0" w:type="auto"/>
            <w:shd w:val="clear" w:color="auto" w:fill="1B556B"/>
            <w:tcMar>
              <w:top w:w="0" w:type="dxa"/>
              <w:left w:w="85" w:type="dxa"/>
              <w:bottom w:w="0" w:type="dxa"/>
              <w:right w:w="85" w:type="dxa"/>
            </w:tcMar>
            <w:vAlign w:val="bottom"/>
          </w:tcPr>
          <w:p w14:paraId="1BB26997" w14:textId="77777777" w:rsidR="00AD187C" w:rsidRPr="009E06AA" w:rsidRDefault="00AD187C" w:rsidP="00B55F24">
            <w:pPr>
              <w:pStyle w:val="TableTextBold"/>
              <w:rPr>
                <w:noProof w:val="0"/>
                <w:color w:val="FFFFFF" w:themeColor="background1"/>
              </w:rPr>
            </w:pPr>
            <w:r w:rsidRPr="009E06AA">
              <w:rPr>
                <w:noProof w:val="0"/>
                <w:color w:val="FFFFFF" w:themeColor="background1"/>
              </w:rPr>
              <w:t>Gas</w:t>
            </w:r>
          </w:p>
        </w:tc>
        <w:tc>
          <w:tcPr>
            <w:tcW w:w="0" w:type="auto"/>
            <w:shd w:val="clear" w:color="auto" w:fill="1B556B"/>
            <w:tcMar>
              <w:top w:w="0" w:type="dxa"/>
              <w:left w:w="85" w:type="dxa"/>
              <w:bottom w:w="0" w:type="dxa"/>
              <w:right w:w="85" w:type="dxa"/>
            </w:tcMar>
            <w:vAlign w:val="bottom"/>
          </w:tcPr>
          <w:p w14:paraId="26898C97" w14:textId="77777777" w:rsidR="00AD187C" w:rsidRPr="009E06AA" w:rsidRDefault="00AD187C" w:rsidP="00B55F24">
            <w:pPr>
              <w:pStyle w:val="TableTextBold"/>
              <w:rPr>
                <w:noProof w:val="0"/>
                <w:color w:val="FFFFFF" w:themeColor="background1"/>
              </w:rPr>
            </w:pPr>
            <w:r w:rsidRPr="009E06AA">
              <w:rPr>
                <w:noProof w:val="0"/>
                <w:color w:val="FFFFFF" w:themeColor="background1"/>
              </w:rPr>
              <w:t>Category</w:t>
            </w:r>
          </w:p>
        </w:tc>
        <w:tc>
          <w:tcPr>
            <w:tcW w:w="2140" w:type="dxa"/>
            <w:shd w:val="clear" w:color="auto" w:fill="1B556B"/>
            <w:tcMar>
              <w:top w:w="0" w:type="dxa"/>
              <w:left w:w="85" w:type="dxa"/>
              <w:bottom w:w="0" w:type="dxa"/>
              <w:right w:w="85" w:type="dxa"/>
            </w:tcMar>
            <w:vAlign w:val="bottom"/>
          </w:tcPr>
          <w:p w14:paraId="05E34251" w14:textId="77777777" w:rsidR="00AD187C" w:rsidRPr="009E06AA" w:rsidRDefault="00AD187C" w:rsidP="006154A8">
            <w:pPr>
              <w:pStyle w:val="TableTextBold"/>
              <w:jc w:val="right"/>
              <w:rPr>
                <w:noProof w:val="0"/>
                <w:color w:val="FFFFFF" w:themeColor="background1"/>
              </w:rPr>
            </w:pPr>
            <w:r w:rsidRPr="009E06AA">
              <w:rPr>
                <w:noProof w:val="0"/>
                <w:color w:val="FFFFFF" w:themeColor="background1"/>
              </w:rPr>
              <w:t>Activity data uncertainty (%)</w:t>
            </w:r>
          </w:p>
        </w:tc>
        <w:tc>
          <w:tcPr>
            <w:tcW w:w="2268" w:type="dxa"/>
            <w:shd w:val="clear" w:color="auto" w:fill="1B556B"/>
            <w:tcMar>
              <w:top w:w="0" w:type="dxa"/>
              <w:left w:w="85" w:type="dxa"/>
              <w:bottom w:w="0" w:type="dxa"/>
              <w:right w:w="85" w:type="dxa"/>
            </w:tcMar>
            <w:vAlign w:val="bottom"/>
          </w:tcPr>
          <w:p w14:paraId="7A73DF82" w14:textId="77777777" w:rsidR="00AD187C" w:rsidRPr="009E06AA" w:rsidRDefault="00AD187C" w:rsidP="00B55F24">
            <w:pPr>
              <w:pStyle w:val="TableTextBold"/>
              <w:rPr>
                <w:noProof w:val="0"/>
                <w:color w:val="FFFFFF" w:themeColor="background1"/>
              </w:rPr>
            </w:pPr>
            <w:r w:rsidRPr="009E06AA">
              <w:rPr>
                <w:noProof w:val="0"/>
                <w:color w:val="FFFFFF" w:themeColor="background1"/>
              </w:rPr>
              <w:t>Emission factor uncertainty (%)</w:t>
            </w:r>
          </w:p>
        </w:tc>
        <w:tc>
          <w:tcPr>
            <w:tcW w:w="2829" w:type="dxa"/>
            <w:shd w:val="clear" w:color="auto" w:fill="1B556B"/>
            <w:tcMar>
              <w:top w:w="0" w:type="dxa"/>
              <w:left w:w="85" w:type="dxa"/>
              <w:bottom w:w="0" w:type="dxa"/>
              <w:right w:w="85" w:type="dxa"/>
            </w:tcMar>
            <w:vAlign w:val="bottom"/>
          </w:tcPr>
          <w:p w14:paraId="4A52865F" w14:textId="77777777" w:rsidR="00AD187C" w:rsidRPr="009E06AA" w:rsidRDefault="00AD187C" w:rsidP="00B55F24">
            <w:pPr>
              <w:pStyle w:val="TableTextBold"/>
              <w:rPr>
                <w:noProof w:val="0"/>
                <w:color w:val="FFFFFF" w:themeColor="background1"/>
              </w:rPr>
            </w:pPr>
            <w:r w:rsidRPr="009E06AA">
              <w:rPr>
                <w:noProof w:val="0"/>
                <w:color w:val="FFFFFF" w:themeColor="background1"/>
              </w:rPr>
              <w:t>Source</w:t>
            </w:r>
          </w:p>
        </w:tc>
      </w:tr>
      <w:tr w:rsidR="00AD187C" w:rsidRPr="009E06AA" w14:paraId="4C4AD86F" w14:textId="77777777" w:rsidTr="00B55F24">
        <w:tc>
          <w:tcPr>
            <w:tcW w:w="0" w:type="auto"/>
            <w:shd w:val="clear" w:color="auto" w:fill="FFFFFF"/>
            <w:tcMar>
              <w:top w:w="0" w:type="dxa"/>
              <w:left w:w="85" w:type="dxa"/>
              <w:bottom w:w="0" w:type="dxa"/>
              <w:right w:w="85" w:type="dxa"/>
            </w:tcMar>
          </w:tcPr>
          <w:p w14:paraId="3B2DBF86" w14:textId="77777777" w:rsidR="00AD187C" w:rsidRPr="009E06AA" w:rsidRDefault="00AD187C" w:rsidP="00B55F24">
            <w:pPr>
              <w:pStyle w:val="TableText"/>
            </w:pPr>
            <w:r w:rsidRPr="009E06AA">
              <w:t>HFCs</w:t>
            </w:r>
          </w:p>
        </w:tc>
        <w:tc>
          <w:tcPr>
            <w:tcW w:w="0" w:type="auto"/>
            <w:shd w:val="clear" w:color="auto" w:fill="FFFFFF"/>
            <w:tcMar>
              <w:top w:w="0" w:type="dxa"/>
              <w:left w:w="85" w:type="dxa"/>
              <w:bottom w:w="0" w:type="dxa"/>
              <w:right w:w="85" w:type="dxa"/>
            </w:tcMar>
          </w:tcPr>
          <w:p w14:paraId="65194321" w14:textId="77777777" w:rsidR="00AD187C" w:rsidRPr="009E06AA" w:rsidRDefault="00AD187C" w:rsidP="00B55F24">
            <w:pPr>
              <w:pStyle w:val="TableText"/>
            </w:pPr>
            <w:r w:rsidRPr="009E06AA">
              <w:t>2.F.1</w:t>
            </w:r>
          </w:p>
        </w:tc>
        <w:tc>
          <w:tcPr>
            <w:tcW w:w="2140" w:type="dxa"/>
            <w:shd w:val="clear" w:color="auto" w:fill="FFFFFF"/>
            <w:tcMar>
              <w:top w:w="0" w:type="dxa"/>
              <w:left w:w="85" w:type="dxa"/>
              <w:bottom w:w="0" w:type="dxa"/>
              <w:right w:w="85" w:type="dxa"/>
            </w:tcMar>
          </w:tcPr>
          <w:p w14:paraId="153145D2" w14:textId="77777777" w:rsidR="00AD187C" w:rsidRPr="009E06AA" w:rsidRDefault="00AD187C" w:rsidP="006154A8">
            <w:pPr>
              <w:pStyle w:val="TableText"/>
              <w:jc w:val="right"/>
            </w:pPr>
            <w:r w:rsidRPr="009E06AA">
              <w:t>±</w:t>
            </w:r>
            <w:r w:rsidRPr="009E06AA">
              <w:rPr>
                <w:rFonts w:eastAsia="Calibri" w:cs="Calibri"/>
              </w:rPr>
              <w:t>24</w:t>
            </w:r>
          </w:p>
        </w:tc>
        <w:tc>
          <w:tcPr>
            <w:tcW w:w="2268" w:type="dxa"/>
            <w:shd w:val="clear" w:color="auto" w:fill="FFFFFF"/>
            <w:tcMar>
              <w:top w:w="0" w:type="dxa"/>
              <w:left w:w="85" w:type="dxa"/>
              <w:bottom w:w="0" w:type="dxa"/>
              <w:right w:w="85" w:type="dxa"/>
            </w:tcMar>
          </w:tcPr>
          <w:p w14:paraId="1E50544B" w14:textId="77777777" w:rsidR="00AD187C" w:rsidRPr="009E06AA" w:rsidRDefault="00AD187C" w:rsidP="00B55F24">
            <w:pPr>
              <w:pStyle w:val="TableText"/>
            </w:pPr>
            <w:r w:rsidRPr="009E06AA">
              <w:t>NA</w:t>
            </w:r>
          </w:p>
        </w:tc>
        <w:tc>
          <w:tcPr>
            <w:tcW w:w="2829" w:type="dxa"/>
            <w:shd w:val="clear" w:color="auto" w:fill="FFFFFF"/>
            <w:tcMar>
              <w:top w:w="0" w:type="dxa"/>
              <w:left w:w="85" w:type="dxa"/>
              <w:bottom w:w="0" w:type="dxa"/>
              <w:right w:w="85" w:type="dxa"/>
            </w:tcMar>
          </w:tcPr>
          <w:p w14:paraId="0ABE9445" w14:textId="77777777" w:rsidR="00AD187C" w:rsidRPr="009E06AA" w:rsidRDefault="00AD187C" w:rsidP="00B55F24">
            <w:pPr>
              <w:pStyle w:val="TableText"/>
            </w:pPr>
            <w:r w:rsidRPr="009E06AA">
              <w:t>New Zealand’s value is used (table 4.7.</w:t>
            </w:r>
            <w:r w:rsidRPr="009E06AA">
              <w:rPr>
                <w:rFonts w:eastAsia="Calibri" w:cs="Calibri"/>
              </w:rPr>
              <w:t>4</w:t>
            </w:r>
            <w:r w:rsidRPr="009E06AA">
              <w:t>, chapter 4)</w:t>
            </w:r>
          </w:p>
        </w:tc>
      </w:tr>
    </w:tbl>
    <w:p w14:paraId="6E5DEB18" w14:textId="77777777" w:rsidR="00AD187C" w:rsidRPr="009E06AA" w:rsidRDefault="00AD187C" w:rsidP="00AD187C">
      <w:pPr>
        <w:pStyle w:val="BodyText"/>
        <w:spacing w:before="240"/>
      </w:pPr>
      <w:r w:rsidRPr="009E06AA">
        <w:t>Time-series consistency is maintained by interpolating the number of air conditioning and refrigeration units in between census years, which are generally five years apart.</w:t>
      </w:r>
    </w:p>
    <w:p w14:paraId="2410F095" w14:textId="77777777" w:rsidR="00AD187C" w:rsidRPr="009E06AA" w:rsidRDefault="00AD187C" w:rsidP="00AD187C">
      <w:pPr>
        <w:pStyle w:val="Heading3"/>
      </w:pPr>
      <w:bookmarkStart w:id="3358" w:name="_Toc160205213"/>
      <w:bookmarkStart w:id="3359" w:name="_Toc160441798"/>
      <w:bookmarkStart w:id="3360" w:name="X187910eb94fda0957981d3d62def95cc1933357"/>
      <w:r w:rsidRPr="009E06AA">
        <w:t xml:space="preserve">8.7.4 </w:t>
      </w:r>
      <w:r w:rsidRPr="009E06AA">
        <w:tab/>
        <w:t>Category-specific QA/QC and verification</w:t>
      </w:r>
      <w:bookmarkEnd w:id="3358"/>
      <w:bookmarkEnd w:id="3359"/>
    </w:p>
    <w:p w14:paraId="38EA3728" w14:textId="77777777" w:rsidR="00AD187C" w:rsidRPr="009E06AA" w:rsidRDefault="00AD187C" w:rsidP="00AD187C">
      <w:pPr>
        <w:pStyle w:val="BodyText"/>
      </w:pPr>
      <w:r w:rsidRPr="009E06AA">
        <w:t>Quality control of the activity data and calculations was applied to each category for Tokelau. No verification was possible because no alternative data were available.</w:t>
      </w:r>
    </w:p>
    <w:p w14:paraId="0C52C7C3" w14:textId="77777777" w:rsidR="00AD187C" w:rsidRPr="009E06AA" w:rsidRDefault="00AD187C" w:rsidP="00AD187C">
      <w:pPr>
        <w:pStyle w:val="Heading3"/>
      </w:pPr>
      <w:bookmarkStart w:id="3361" w:name="_Toc160205214"/>
      <w:bookmarkStart w:id="3362" w:name="_Toc160441799"/>
      <w:bookmarkEnd w:id="3360"/>
      <w:r w:rsidRPr="009E06AA">
        <w:t xml:space="preserve">8.7.5 </w:t>
      </w:r>
      <w:r w:rsidRPr="009E06AA">
        <w:tab/>
        <w:t>Category-specific recalculations</w:t>
      </w:r>
      <w:bookmarkEnd w:id="3361"/>
      <w:bookmarkEnd w:id="3362"/>
    </w:p>
    <w:p w14:paraId="5EC6293A" w14:textId="77777777" w:rsidR="00AD187C" w:rsidRPr="009E06AA" w:rsidRDefault="00AD187C" w:rsidP="00AD187C">
      <w:pPr>
        <w:pStyle w:val="BodyText"/>
      </w:pPr>
      <w:r w:rsidRPr="009E06AA">
        <w:t xml:space="preserve">There were no changes to estimates for the </w:t>
      </w:r>
      <w:r w:rsidRPr="009E06AA">
        <w:rPr>
          <w:i/>
          <w:iCs/>
        </w:rPr>
        <w:t>Stationary air conditioning</w:t>
      </w:r>
      <w:r w:rsidRPr="009E06AA">
        <w:t xml:space="preserve"> and </w:t>
      </w:r>
      <w:r w:rsidRPr="009E06AA">
        <w:rPr>
          <w:i/>
          <w:iCs/>
        </w:rPr>
        <w:t>Domestic refrigeration</w:t>
      </w:r>
      <w:r w:rsidRPr="009E06AA">
        <w:t xml:space="preserve"> categories.</w:t>
      </w:r>
    </w:p>
    <w:p w14:paraId="73288868" w14:textId="77777777" w:rsidR="00AD187C" w:rsidRPr="009E06AA" w:rsidRDefault="00AD187C" w:rsidP="00AD187C">
      <w:pPr>
        <w:pStyle w:val="Heading3"/>
      </w:pPr>
      <w:bookmarkStart w:id="3363" w:name="_Toc160205215"/>
      <w:bookmarkStart w:id="3364" w:name="_Toc160441800"/>
      <w:bookmarkStart w:id="3365" w:name="source-specific-planned-improvements-3"/>
      <w:r w:rsidRPr="009E06AA">
        <w:t xml:space="preserve">8.7.6 </w:t>
      </w:r>
      <w:r w:rsidRPr="009E06AA">
        <w:tab/>
        <w:t>Category-specific planned improvements</w:t>
      </w:r>
      <w:bookmarkEnd w:id="3363"/>
      <w:bookmarkEnd w:id="3364"/>
    </w:p>
    <w:p w14:paraId="75060506" w14:textId="77777777" w:rsidR="00AD187C" w:rsidRPr="009E06AA" w:rsidRDefault="00AD187C" w:rsidP="00AD187C">
      <w:pPr>
        <w:pStyle w:val="BodyText"/>
      </w:pPr>
      <w:r w:rsidRPr="009E06AA">
        <w:t>No improvements are planned for the next inventory submission.</w:t>
      </w:r>
    </w:p>
    <w:p w14:paraId="02FBB224" w14:textId="0D80794B" w:rsidR="00AD187C" w:rsidRPr="009E06AA" w:rsidRDefault="00AD187C" w:rsidP="00AD187C">
      <w:pPr>
        <w:pStyle w:val="Heading2"/>
      </w:pPr>
      <w:bookmarkStart w:id="3366" w:name="_Toc160205216"/>
      <w:bookmarkStart w:id="3367" w:name="_Toc160441801"/>
      <w:bookmarkStart w:id="3368" w:name="_Toc164154229"/>
      <w:bookmarkStart w:id="3369" w:name="Xabcb26278593acebd294af29228d70df7b298f2"/>
      <w:bookmarkEnd w:id="3340"/>
      <w:bookmarkEnd w:id="3365"/>
      <w:r w:rsidRPr="009E06AA">
        <w:t xml:space="preserve">8.8 </w:t>
      </w:r>
      <w:r w:rsidRPr="009E06AA">
        <w:tab/>
        <w:t>Emissions from Metered dose inhalers and</w:t>
      </w:r>
      <w:r w:rsidR="00874EEE" w:rsidRPr="009E06AA">
        <w:t> </w:t>
      </w:r>
      <w:r w:rsidRPr="009E06AA">
        <w:t>Medical applications in Tokelau</w:t>
      </w:r>
      <w:bookmarkEnd w:id="3366"/>
      <w:bookmarkEnd w:id="3367"/>
      <w:bookmarkEnd w:id="3368"/>
    </w:p>
    <w:p w14:paraId="0CEDC568" w14:textId="77777777" w:rsidR="00AD187C" w:rsidRPr="009E06AA" w:rsidRDefault="00AD187C" w:rsidP="00AD187C">
      <w:pPr>
        <w:pStyle w:val="Heading3"/>
        <w:spacing w:before="240"/>
      </w:pPr>
      <w:bookmarkStart w:id="3370" w:name="_Toc160205217"/>
      <w:bookmarkStart w:id="3371" w:name="_Toc160441802"/>
      <w:bookmarkStart w:id="3372" w:name="description-4"/>
      <w:r w:rsidRPr="009E06AA">
        <w:t xml:space="preserve">8.8.1 </w:t>
      </w:r>
      <w:r w:rsidRPr="009E06AA">
        <w:tab/>
        <w:t>Description</w:t>
      </w:r>
      <w:bookmarkEnd w:id="3370"/>
      <w:bookmarkEnd w:id="3371"/>
    </w:p>
    <w:p w14:paraId="18BACE59" w14:textId="77777777" w:rsidR="00AD187C" w:rsidRPr="009E06AA" w:rsidRDefault="00AD187C" w:rsidP="00AD187C">
      <w:pPr>
        <w:pStyle w:val="BodyText"/>
      </w:pPr>
      <w:r w:rsidRPr="009E06AA">
        <w:t xml:space="preserve">The </w:t>
      </w:r>
      <w:r w:rsidRPr="009E06AA">
        <w:rPr>
          <w:i/>
          <w:iCs/>
        </w:rPr>
        <w:t>Metered dose inhalers</w:t>
      </w:r>
      <w:r w:rsidRPr="009E06AA">
        <w:t xml:space="preserve"> (2.F.4.a) and </w:t>
      </w:r>
      <w:r w:rsidRPr="009E06AA">
        <w:rPr>
          <w:i/>
        </w:rPr>
        <w:t>Medical applications</w:t>
      </w:r>
      <w:r w:rsidRPr="009E06AA">
        <w:t xml:space="preserve"> categories (2.G.3.a) contribute negligible amounts of HFC (HFC-134a and HFC-227ea) and N</w:t>
      </w:r>
      <w:r w:rsidRPr="009E06AA">
        <w:rPr>
          <w:vertAlign w:val="subscript"/>
        </w:rPr>
        <w:t>2</w:t>
      </w:r>
      <w:r w:rsidRPr="009E06AA">
        <w:t>O emissions respectively to the total emissions from the IPPU sector in Tokelau. They are reported by scaling New Zealand’s emissions from the same category by Tokelau’s de facto population.</w:t>
      </w:r>
    </w:p>
    <w:p w14:paraId="518AF334" w14:textId="77777777" w:rsidR="00AD187C" w:rsidRPr="009E06AA" w:rsidRDefault="00AD187C" w:rsidP="00AD187C">
      <w:pPr>
        <w:pStyle w:val="BodyText"/>
      </w:pPr>
      <w:r w:rsidRPr="009E06AA">
        <w:t xml:space="preserve">In 2022, the </w:t>
      </w:r>
      <w:r w:rsidRPr="009E06AA">
        <w:rPr>
          <w:i/>
          <w:iCs/>
        </w:rPr>
        <w:t>Metered dose inhalers</w:t>
      </w:r>
      <w:r w:rsidRPr="009E06AA">
        <w:t xml:space="preserve"> category contributed 6.0 per cent to total IPPU emissions from Tokelau, and the category </w:t>
      </w:r>
      <w:r w:rsidRPr="009E06AA">
        <w:rPr>
          <w:i/>
          <w:iCs/>
        </w:rPr>
        <w:t>Medical applications</w:t>
      </w:r>
      <w:r w:rsidRPr="009E06AA">
        <w:t xml:space="preserve"> contributed 8.7 per cent to the sector, which amounted to 0.03 kt CO</w:t>
      </w:r>
      <w:r w:rsidRPr="009E06AA">
        <w:rPr>
          <w:vertAlign w:val="subscript"/>
        </w:rPr>
        <w:t>2</w:t>
      </w:r>
      <w:r w:rsidRPr="009E06AA">
        <w:t>-e from both categories.</w:t>
      </w:r>
    </w:p>
    <w:p w14:paraId="5AA0FC66" w14:textId="77777777" w:rsidR="00AD187C" w:rsidRPr="009E06AA" w:rsidRDefault="00AD187C" w:rsidP="00AD187C">
      <w:pPr>
        <w:pStyle w:val="Heading3"/>
      </w:pPr>
      <w:bookmarkStart w:id="3373" w:name="_Toc160205218"/>
      <w:bookmarkStart w:id="3374" w:name="_Toc160441803"/>
      <w:bookmarkStart w:id="3375" w:name="methodological-issues-5"/>
      <w:bookmarkEnd w:id="3372"/>
      <w:r w:rsidRPr="009E06AA">
        <w:t xml:space="preserve">8.8.2 </w:t>
      </w:r>
      <w:r w:rsidRPr="009E06AA">
        <w:tab/>
        <w:t>Methodological issues</w:t>
      </w:r>
      <w:bookmarkEnd w:id="3373"/>
      <w:bookmarkEnd w:id="3374"/>
    </w:p>
    <w:p w14:paraId="6CFFC9CA" w14:textId="77777777" w:rsidR="00AD187C" w:rsidRPr="009E06AA" w:rsidRDefault="00AD187C" w:rsidP="00AD187C">
      <w:pPr>
        <w:pStyle w:val="Heading4"/>
      </w:pPr>
      <w:bookmarkStart w:id="3376" w:name="activity-data-5"/>
      <w:r w:rsidRPr="009E06AA">
        <w:t>Activity data</w:t>
      </w:r>
    </w:p>
    <w:p w14:paraId="2BED4A70" w14:textId="77777777" w:rsidR="00AD187C" w:rsidRPr="009E06AA" w:rsidRDefault="00AD187C" w:rsidP="00AD187C">
      <w:pPr>
        <w:pStyle w:val="BodyText"/>
      </w:pPr>
      <w:r w:rsidRPr="009E06AA">
        <w:t xml:space="preserve">Only anecdotal evidence associated with the activity data for both categories is available from Tokelau’s Department of Health (see table 8.1.1). They are reported by scaling New Zealand’s emissions from the same category by Tokelau’s </w:t>
      </w:r>
      <w:r w:rsidRPr="009E06AA">
        <w:rPr>
          <w:i/>
        </w:rPr>
        <w:t>de facto</w:t>
      </w:r>
      <w:r w:rsidRPr="009E06AA">
        <w:t xml:space="preserve"> population for the entire time series to each gas.</w:t>
      </w:r>
    </w:p>
    <w:p w14:paraId="494D6E7F" w14:textId="77777777" w:rsidR="00AD187C" w:rsidRPr="009E06AA" w:rsidRDefault="00AD187C" w:rsidP="00AD187C">
      <w:pPr>
        <w:pStyle w:val="Heading4"/>
      </w:pPr>
      <w:bookmarkStart w:id="3377" w:name="method-and-emission-factors-1"/>
      <w:bookmarkEnd w:id="3376"/>
      <w:r w:rsidRPr="009E06AA">
        <w:t>Method and emission factors</w:t>
      </w:r>
    </w:p>
    <w:p w14:paraId="3A94E6BD" w14:textId="77777777" w:rsidR="00AD187C" w:rsidRPr="009E06AA" w:rsidRDefault="00AD187C" w:rsidP="00AD187C">
      <w:pPr>
        <w:pStyle w:val="BodyText"/>
      </w:pPr>
      <w:r w:rsidRPr="009E06AA">
        <w:t>For both categories, a Tier 1a methodology was applied because New Zealand applied this methodology for estimating emissions from 2.F.4 and Tier 1 methodology for 2.G.3 (IPCC, 2006b). In addition, population ratios from population statistics of Tokelau and New Zealand</w:t>
      </w:r>
      <w:r w:rsidRPr="009E06AA" w:rsidDel="00E728F1">
        <w:t xml:space="preserve"> </w:t>
      </w:r>
      <w:r w:rsidRPr="009E06AA">
        <w:t>have been calculated for each year of the time series except the years when the emissions were not occurring (until 1995 for HFC-134a and 2011 for HFC-227ea).</w:t>
      </w:r>
    </w:p>
    <w:p w14:paraId="7D64AA03" w14:textId="77777777" w:rsidR="00AD187C" w:rsidRPr="009E06AA" w:rsidRDefault="00AD187C" w:rsidP="00AD187C">
      <w:pPr>
        <w:pStyle w:val="BodyText"/>
      </w:pPr>
      <w:r w:rsidRPr="009E06AA">
        <w:t>For 2.F.4.a, a product life factor of 100 per cent was used. For 2.G.3a, it was assumed that N</w:t>
      </w:r>
      <w:r w:rsidRPr="009E06AA">
        <w:rPr>
          <w:vertAlign w:val="subscript"/>
        </w:rPr>
        <w:t>2</w:t>
      </w:r>
      <w:r w:rsidRPr="009E06AA">
        <w:t>O is used as a propellant in pressurised and aerosol food products, none of the N</w:t>
      </w:r>
      <w:r w:rsidRPr="009E06AA">
        <w:rPr>
          <w:vertAlign w:val="subscript"/>
        </w:rPr>
        <w:t>2</w:t>
      </w:r>
      <w:r w:rsidRPr="009E06AA">
        <w:t>O is reacted during the process and all of the N</w:t>
      </w:r>
      <w:r w:rsidRPr="009E06AA">
        <w:rPr>
          <w:vertAlign w:val="subscript"/>
        </w:rPr>
        <w:t>2</w:t>
      </w:r>
      <w:r w:rsidRPr="009E06AA">
        <w:t>O is emitted to the atmosphere. Therefore, a default emission factor of 1.0 was used for this category.</w:t>
      </w:r>
    </w:p>
    <w:p w14:paraId="19DB2EA0" w14:textId="77777777" w:rsidR="00AD187C" w:rsidRPr="009E06AA" w:rsidRDefault="00AD187C" w:rsidP="00AD187C">
      <w:pPr>
        <w:pStyle w:val="Heading3"/>
      </w:pPr>
      <w:bookmarkStart w:id="3378" w:name="_Toc160205219"/>
      <w:bookmarkStart w:id="3379" w:name="_Toc160441804"/>
      <w:bookmarkStart w:id="3380" w:name="Xb4e9c864bdd741e666e28ebd13088e9dbbb3ac8"/>
      <w:bookmarkEnd w:id="3375"/>
      <w:bookmarkEnd w:id="3377"/>
      <w:r w:rsidRPr="009E06AA">
        <w:t xml:space="preserve">8.8.3 </w:t>
      </w:r>
      <w:r w:rsidRPr="009E06AA">
        <w:tab/>
        <w:t>Uncertainty assessment and time-series consistency</w:t>
      </w:r>
      <w:bookmarkEnd w:id="3378"/>
      <w:bookmarkEnd w:id="3379"/>
    </w:p>
    <w:p w14:paraId="08987B95" w14:textId="77777777" w:rsidR="00AD187C" w:rsidRPr="009E06AA" w:rsidRDefault="00AD187C" w:rsidP="00AD187C">
      <w:pPr>
        <w:pStyle w:val="BodyText"/>
      </w:pPr>
      <w:r w:rsidRPr="009E06AA">
        <w:t>For consistency of reporting, the same uncertainty values for categories 2.G.3.a were applied for Tokelau and New Zealand (see section 4.8.3 in chapter 4 and table 8.8.1). The same uncertainty for 2.F.1 has also been applied to 2.F.4 in the absence of further information.</w:t>
      </w:r>
    </w:p>
    <w:p w14:paraId="5CC9B33B" w14:textId="77777777" w:rsidR="00AD187C" w:rsidRPr="009E06AA" w:rsidRDefault="00AD187C" w:rsidP="00AD187C">
      <w:pPr>
        <w:pStyle w:val="Table"/>
      </w:pPr>
      <w:bookmarkStart w:id="3381" w:name="_Toc5269600"/>
      <w:bookmarkStart w:id="3382" w:name="_Toc36224681"/>
      <w:bookmarkStart w:id="3383" w:name="_Toc68786567"/>
      <w:bookmarkStart w:id="3384" w:name="_Toc130211273"/>
      <w:bookmarkStart w:id="3385" w:name="_Toc131591474"/>
      <w:bookmarkStart w:id="3386" w:name="_Toc160205510"/>
      <w:bookmarkStart w:id="3387" w:name="_Toc160441629"/>
      <w:bookmarkStart w:id="3388" w:name="_Toc164153965"/>
      <w:r w:rsidRPr="009E06AA">
        <w:t xml:space="preserve">Table 8.8.1 </w:t>
      </w:r>
      <w:r w:rsidRPr="009E06AA">
        <w:tab/>
        <w:t xml:space="preserve">Uncertainties for the </w:t>
      </w:r>
      <w:r w:rsidRPr="009E06AA">
        <w:rPr>
          <w:i/>
          <w:iCs/>
        </w:rPr>
        <w:t>Other product manufacture and use</w:t>
      </w:r>
      <w:bookmarkEnd w:id="3381"/>
      <w:bookmarkEnd w:id="3382"/>
      <w:bookmarkEnd w:id="3383"/>
      <w:r w:rsidRPr="009E06AA">
        <w:t xml:space="preserve"> category</w:t>
      </w:r>
      <w:bookmarkEnd w:id="3384"/>
      <w:bookmarkEnd w:id="3385"/>
      <w:bookmarkEnd w:id="3386"/>
      <w:bookmarkEnd w:id="3387"/>
      <w:bookmarkEnd w:id="3388"/>
    </w:p>
    <w:tbl>
      <w:tblPr>
        <w:tblW w:w="8494" w:type="dxa"/>
        <w:tblBorders>
          <w:top w:val="single" w:sz="4" w:space="0" w:color="1B556B" w:themeColor="text2"/>
          <w:bottom w:val="single" w:sz="4" w:space="0" w:color="1B556B" w:themeColor="text2"/>
          <w:insideH w:val="single" w:sz="4" w:space="0" w:color="1B556B" w:themeColor="text2"/>
        </w:tblBorders>
        <w:tblLook w:val="0420" w:firstRow="1" w:lastRow="0" w:firstColumn="0" w:lastColumn="0" w:noHBand="0" w:noVBand="1"/>
      </w:tblPr>
      <w:tblGrid>
        <w:gridCol w:w="2304"/>
        <w:gridCol w:w="3678"/>
        <w:gridCol w:w="2512"/>
      </w:tblGrid>
      <w:tr w:rsidR="00AD187C" w:rsidRPr="009E06AA" w14:paraId="0814E4B7" w14:textId="77777777" w:rsidTr="00B55F24">
        <w:trPr>
          <w:tblHeader/>
        </w:trPr>
        <w:tc>
          <w:tcPr>
            <w:tcW w:w="0" w:type="auto"/>
            <w:shd w:val="clear" w:color="auto" w:fill="1B556B" w:themeFill="text2"/>
            <w:tcMar>
              <w:top w:w="0" w:type="dxa"/>
              <w:left w:w="85" w:type="dxa"/>
              <w:bottom w:w="0" w:type="dxa"/>
              <w:right w:w="85" w:type="dxa"/>
            </w:tcMar>
            <w:vAlign w:val="center"/>
          </w:tcPr>
          <w:p w14:paraId="40EDCFCD" w14:textId="77777777" w:rsidR="00AD187C" w:rsidRPr="009E06AA" w:rsidRDefault="00AD187C" w:rsidP="00B55F24">
            <w:pPr>
              <w:pStyle w:val="TableTextBold"/>
              <w:rPr>
                <w:noProof w:val="0"/>
                <w:color w:val="FFFFFF" w:themeColor="background1"/>
              </w:rPr>
            </w:pPr>
            <w:r w:rsidRPr="009E06AA">
              <w:rPr>
                <w:noProof w:val="0"/>
                <w:color w:val="FFFFFF" w:themeColor="background1"/>
              </w:rPr>
              <w:t>Category</w:t>
            </w:r>
          </w:p>
        </w:tc>
        <w:tc>
          <w:tcPr>
            <w:tcW w:w="0" w:type="auto"/>
            <w:shd w:val="clear" w:color="auto" w:fill="1B556B" w:themeFill="text2"/>
            <w:tcMar>
              <w:top w:w="0" w:type="dxa"/>
              <w:left w:w="85" w:type="dxa"/>
              <w:bottom w:w="0" w:type="dxa"/>
              <w:right w:w="85" w:type="dxa"/>
            </w:tcMar>
            <w:vAlign w:val="center"/>
          </w:tcPr>
          <w:p w14:paraId="7E49BE7D" w14:textId="77777777" w:rsidR="00AD187C" w:rsidRPr="009E06AA" w:rsidRDefault="00AD187C" w:rsidP="006154A8">
            <w:pPr>
              <w:pStyle w:val="TableTextBold"/>
              <w:jc w:val="right"/>
              <w:rPr>
                <w:noProof w:val="0"/>
                <w:color w:val="FFFFFF" w:themeColor="background1"/>
              </w:rPr>
            </w:pPr>
            <w:r w:rsidRPr="009E06AA">
              <w:rPr>
                <w:noProof w:val="0"/>
                <w:color w:val="FFFFFF" w:themeColor="background1"/>
              </w:rPr>
              <w:t>Uncertainty in activity data (%)</w:t>
            </w:r>
          </w:p>
        </w:tc>
        <w:tc>
          <w:tcPr>
            <w:tcW w:w="0" w:type="auto"/>
            <w:shd w:val="clear" w:color="auto" w:fill="1B556B" w:themeFill="text2"/>
            <w:tcMar>
              <w:top w:w="0" w:type="dxa"/>
              <w:left w:w="85" w:type="dxa"/>
              <w:bottom w:w="0" w:type="dxa"/>
              <w:right w:w="85" w:type="dxa"/>
            </w:tcMar>
            <w:vAlign w:val="center"/>
          </w:tcPr>
          <w:p w14:paraId="6E1DCB80" w14:textId="77777777" w:rsidR="00AD187C" w:rsidRPr="009E06AA" w:rsidRDefault="00AD187C" w:rsidP="00B55F24">
            <w:pPr>
              <w:pStyle w:val="TableTextBold"/>
              <w:rPr>
                <w:noProof w:val="0"/>
                <w:color w:val="FFFFFF" w:themeColor="background1"/>
              </w:rPr>
            </w:pPr>
            <w:r w:rsidRPr="009E06AA">
              <w:rPr>
                <w:noProof w:val="0"/>
                <w:color w:val="FFFFFF" w:themeColor="background1"/>
              </w:rPr>
              <w:t>Uncertainty in emission factors</w:t>
            </w:r>
          </w:p>
        </w:tc>
      </w:tr>
      <w:tr w:rsidR="00AD187C" w:rsidRPr="009E06AA" w14:paraId="7D752692" w14:textId="77777777" w:rsidTr="00B55F24">
        <w:tc>
          <w:tcPr>
            <w:tcW w:w="0" w:type="auto"/>
            <w:shd w:val="clear" w:color="auto" w:fill="FFFFFF"/>
            <w:tcMar>
              <w:top w:w="0" w:type="dxa"/>
              <w:left w:w="85" w:type="dxa"/>
              <w:bottom w:w="0" w:type="dxa"/>
              <w:right w:w="85" w:type="dxa"/>
            </w:tcMar>
          </w:tcPr>
          <w:p w14:paraId="2496F3A9" w14:textId="77777777" w:rsidR="00AD187C" w:rsidRPr="009E06AA" w:rsidRDefault="00AD187C" w:rsidP="00B55F24">
            <w:pPr>
              <w:pStyle w:val="TableText"/>
            </w:pPr>
            <w:r w:rsidRPr="009E06AA">
              <w:t>N</w:t>
            </w:r>
            <w:r w:rsidRPr="009E06AA">
              <w:rPr>
                <w:vertAlign w:val="subscript"/>
              </w:rPr>
              <w:t>2</w:t>
            </w:r>
            <w:r w:rsidRPr="009E06AA">
              <w:t>O from other product uses</w:t>
            </w:r>
          </w:p>
        </w:tc>
        <w:tc>
          <w:tcPr>
            <w:tcW w:w="0" w:type="auto"/>
            <w:shd w:val="clear" w:color="auto" w:fill="FFFFFF"/>
            <w:tcMar>
              <w:top w:w="0" w:type="dxa"/>
              <w:left w:w="85" w:type="dxa"/>
              <w:bottom w:w="0" w:type="dxa"/>
              <w:right w:w="85" w:type="dxa"/>
            </w:tcMar>
          </w:tcPr>
          <w:p w14:paraId="4E0E5031" w14:textId="77777777" w:rsidR="00AD187C" w:rsidRPr="009E06AA" w:rsidRDefault="00AD187C" w:rsidP="006154A8">
            <w:pPr>
              <w:pStyle w:val="TableText"/>
              <w:jc w:val="right"/>
            </w:pPr>
            <w:r w:rsidRPr="009E06AA">
              <w:rPr>
                <w:rFonts w:eastAsia="Calibri"/>
              </w:rPr>
              <w:t>±30 (2002–12)</w:t>
            </w:r>
            <w:r w:rsidRPr="009E06AA">
              <w:rPr>
                <w:rFonts w:eastAsia="Calibri" w:cs="Calibri"/>
                <w:szCs w:val="16"/>
              </w:rPr>
              <w:t xml:space="preserve"> </w:t>
            </w:r>
            <w:r w:rsidRPr="009E06AA">
              <w:rPr>
                <w:rFonts w:eastAsia="Calibri" w:cs="Calibri"/>
                <w:szCs w:val="16"/>
              </w:rPr>
              <w:br/>
            </w:r>
            <w:r w:rsidRPr="009E06AA">
              <w:rPr>
                <w:rFonts w:eastAsia="Calibri"/>
              </w:rPr>
              <w:t xml:space="preserve">±5 (2013–18) </w:t>
            </w:r>
            <w:r w:rsidRPr="009E06AA">
              <w:rPr>
                <w:rFonts w:eastAsia="Calibri" w:cs="Calibri"/>
                <w:szCs w:val="16"/>
              </w:rPr>
              <w:br/>
            </w:r>
            <w:r w:rsidRPr="009E06AA">
              <w:t>For simplicity, an average of 15% has been used</w:t>
            </w:r>
          </w:p>
        </w:tc>
        <w:tc>
          <w:tcPr>
            <w:tcW w:w="0" w:type="auto"/>
            <w:shd w:val="clear" w:color="auto" w:fill="FFFFFF"/>
            <w:tcMar>
              <w:top w:w="0" w:type="dxa"/>
              <w:left w:w="85" w:type="dxa"/>
              <w:bottom w:w="0" w:type="dxa"/>
              <w:right w:w="85" w:type="dxa"/>
            </w:tcMar>
          </w:tcPr>
          <w:p w14:paraId="162751AD" w14:textId="77777777" w:rsidR="00AD187C" w:rsidRPr="009E06AA" w:rsidRDefault="00AD187C" w:rsidP="00B55F24">
            <w:pPr>
              <w:pStyle w:val="TableText"/>
            </w:pPr>
            <w:r w:rsidRPr="009E06AA">
              <w:t>NA</w:t>
            </w:r>
          </w:p>
        </w:tc>
      </w:tr>
    </w:tbl>
    <w:p w14:paraId="1255AF3F" w14:textId="77777777" w:rsidR="00AD187C" w:rsidRPr="009E06AA" w:rsidRDefault="00AD187C" w:rsidP="00AD187C">
      <w:pPr>
        <w:pStyle w:val="BodyText"/>
        <w:spacing w:before="240"/>
      </w:pPr>
      <w:r w:rsidRPr="009E06AA">
        <w:t>Time-series consistency is maintained by scaling data for New Zealand based on a per capita equivalent across the entire time series.</w:t>
      </w:r>
    </w:p>
    <w:p w14:paraId="7C30AF44" w14:textId="77777777" w:rsidR="00AD187C" w:rsidRPr="009E06AA" w:rsidRDefault="00AD187C" w:rsidP="00AD187C">
      <w:pPr>
        <w:pStyle w:val="Heading3"/>
      </w:pPr>
      <w:bookmarkStart w:id="3389" w:name="_Toc160205220"/>
      <w:bookmarkStart w:id="3390" w:name="_Toc160441805"/>
      <w:bookmarkStart w:id="3391" w:name="X351b21e8e7b63b231f89d69bfe2546b820386ca"/>
      <w:bookmarkEnd w:id="3380"/>
      <w:r w:rsidRPr="009E06AA">
        <w:t>8.</w:t>
      </w:r>
      <w:bookmarkStart w:id="3392" w:name="_Toc5269396"/>
      <w:bookmarkStart w:id="3393" w:name="_Toc36224436"/>
      <w:bookmarkStart w:id="3394" w:name="_Toc68786356"/>
      <w:bookmarkStart w:id="3395" w:name="_Toc131591270"/>
      <w:r w:rsidRPr="009E06AA">
        <w:t xml:space="preserve">8.4 </w:t>
      </w:r>
      <w:r w:rsidRPr="009E06AA">
        <w:tab/>
        <w:t>Category-specific QA/QC and verification</w:t>
      </w:r>
      <w:bookmarkEnd w:id="3389"/>
      <w:bookmarkEnd w:id="3390"/>
    </w:p>
    <w:p w14:paraId="72C0CA6C" w14:textId="77777777" w:rsidR="00AD187C" w:rsidRPr="009E06AA" w:rsidRDefault="00AD187C" w:rsidP="00AD187C">
      <w:pPr>
        <w:pStyle w:val="BodyText"/>
      </w:pPr>
      <w:r w:rsidRPr="009E06AA">
        <w:t>Quality control of the activity data and calculations was applied to each category for Tokelau. No verification was possible because no alternative data were available.</w:t>
      </w:r>
    </w:p>
    <w:p w14:paraId="692281D9" w14:textId="77777777" w:rsidR="00AD187C" w:rsidRPr="009E06AA" w:rsidRDefault="00AD187C" w:rsidP="00AD187C">
      <w:pPr>
        <w:pStyle w:val="Heading3"/>
      </w:pPr>
      <w:bookmarkStart w:id="3396" w:name="_Toc160205221"/>
      <w:bookmarkStart w:id="3397" w:name="_Toc160441806"/>
      <w:bookmarkStart w:id="3398" w:name="category-specific-recalculations-4"/>
      <w:bookmarkEnd w:id="3391"/>
      <w:r w:rsidRPr="009E06AA">
        <w:t xml:space="preserve">8.8.5 </w:t>
      </w:r>
      <w:r w:rsidRPr="009E06AA">
        <w:tab/>
        <w:t>Category-specific recalculations</w:t>
      </w:r>
      <w:bookmarkEnd w:id="3396"/>
      <w:bookmarkEnd w:id="3397"/>
    </w:p>
    <w:p w14:paraId="6BDC6255" w14:textId="77777777" w:rsidR="00AD187C" w:rsidRPr="009E06AA" w:rsidRDefault="00AD187C" w:rsidP="00AD187C">
      <w:pPr>
        <w:pStyle w:val="BodyText"/>
      </w:pPr>
      <w:r w:rsidRPr="009E06AA">
        <w:t xml:space="preserve">For the </w:t>
      </w:r>
      <w:r w:rsidRPr="009E06AA">
        <w:rPr>
          <w:i/>
          <w:iCs/>
        </w:rPr>
        <w:t>Metered dose inhalers</w:t>
      </w:r>
      <w:r w:rsidRPr="009E06AA">
        <w:t xml:space="preserve"> category, there was no change in estimates for 1990 and an 18.4 per cent (0.003 kt CO</w:t>
      </w:r>
      <w:r w:rsidRPr="009E06AA">
        <w:rPr>
          <w:vertAlign w:val="subscript"/>
        </w:rPr>
        <w:t>2</w:t>
      </w:r>
      <w:r w:rsidRPr="009E06AA">
        <w:t xml:space="preserve">-e) decrease in 2022. For the </w:t>
      </w:r>
      <w:r w:rsidRPr="009E06AA">
        <w:rPr>
          <w:i/>
          <w:iCs/>
        </w:rPr>
        <w:t>Medical applications</w:t>
      </w:r>
      <w:r w:rsidRPr="009E06AA">
        <w:t xml:space="preserve"> category, there was no change in estimates for 1990 and a 4.2 per cent (0.0008 kt CO</w:t>
      </w:r>
      <w:r w:rsidRPr="009E06AA">
        <w:rPr>
          <w:vertAlign w:val="subscript"/>
        </w:rPr>
        <w:t>2</w:t>
      </w:r>
      <w:r w:rsidRPr="009E06AA">
        <w:t>-e) increase in 2022. Both changes were due to updates in the emissions data for New Zealand, which is scaled for Tokelau.</w:t>
      </w:r>
    </w:p>
    <w:p w14:paraId="00B5446E" w14:textId="77777777" w:rsidR="00AD187C" w:rsidRPr="009E06AA" w:rsidRDefault="00AD187C" w:rsidP="00AD187C">
      <w:pPr>
        <w:pStyle w:val="Heading3"/>
      </w:pPr>
      <w:bookmarkStart w:id="3399" w:name="_Toc160205222"/>
      <w:bookmarkStart w:id="3400" w:name="_Toc160441807"/>
      <w:bookmarkStart w:id="3401" w:name="source-specific-planned-improvements-4"/>
      <w:bookmarkEnd w:id="3398"/>
      <w:r w:rsidRPr="009E06AA">
        <w:t xml:space="preserve">8.8.6 </w:t>
      </w:r>
      <w:r w:rsidRPr="009E06AA">
        <w:tab/>
        <w:t>Category-specific planned improvements</w:t>
      </w:r>
      <w:bookmarkEnd w:id="3399"/>
      <w:bookmarkEnd w:id="3400"/>
    </w:p>
    <w:p w14:paraId="450ED2A7" w14:textId="77777777" w:rsidR="00AD187C" w:rsidRPr="009E06AA" w:rsidRDefault="00AD187C" w:rsidP="00AD187C">
      <w:pPr>
        <w:pStyle w:val="BodyText"/>
      </w:pPr>
      <w:r w:rsidRPr="009E06AA">
        <w:t>No improvements are planned for the next inventory submission.</w:t>
      </w:r>
    </w:p>
    <w:p w14:paraId="64B42E54" w14:textId="77777777" w:rsidR="00AD187C" w:rsidRPr="009E06AA" w:rsidRDefault="00AD187C" w:rsidP="00AD187C">
      <w:pPr>
        <w:pStyle w:val="Heading2"/>
      </w:pPr>
      <w:bookmarkStart w:id="3402" w:name="_Toc160205223"/>
      <w:bookmarkStart w:id="3403" w:name="_Toc160441808"/>
      <w:bookmarkStart w:id="3404" w:name="_Toc164154230"/>
      <w:bookmarkStart w:id="3405" w:name="Xddd08e0ee245bbd82f6774d99317708105c3ffb"/>
      <w:bookmarkEnd w:id="3369"/>
      <w:bookmarkEnd w:id="3401"/>
      <w:r w:rsidRPr="009E06AA">
        <w:t xml:space="preserve">8.9 </w:t>
      </w:r>
      <w:r w:rsidRPr="009E06AA">
        <w:tab/>
        <w:t>Emissions from the Agriculture sector in Tokelau (6. Tokelau_3)</w:t>
      </w:r>
      <w:bookmarkEnd w:id="3392"/>
      <w:bookmarkEnd w:id="3393"/>
      <w:bookmarkEnd w:id="3394"/>
      <w:bookmarkEnd w:id="3395"/>
      <w:bookmarkEnd w:id="3402"/>
      <w:bookmarkEnd w:id="3403"/>
      <w:bookmarkEnd w:id="3404"/>
    </w:p>
    <w:p w14:paraId="6F6233C4" w14:textId="77777777" w:rsidR="00AD187C" w:rsidRPr="009E06AA" w:rsidRDefault="00AD187C" w:rsidP="00AD187C">
      <w:pPr>
        <w:pStyle w:val="BodyText"/>
      </w:pPr>
      <w:r w:rsidRPr="009E06AA">
        <w:t>Fish, rather than locally produced plants or animals, are the most important food source in Tokelau. The low fertility of the coral soil means few crops are supported. Food needs are not met by locally grown produce and are heavily supplemented by imports.</w:t>
      </w:r>
    </w:p>
    <w:p w14:paraId="2568CB95" w14:textId="77777777" w:rsidR="00AD187C" w:rsidRPr="009E06AA" w:rsidRDefault="00AD187C" w:rsidP="00AD187C">
      <w:pPr>
        <w:pStyle w:val="BodyText"/>
      </w:pPr>
      <w:r w:rsidRPr="009E06AA">
        <w:t>Cultivated food crops are limited to breadfruit (</w:t>
      </w:r>
      <w:r w:rsidRPr="009E06AA">
        <w:rPr>
          <w:i/>
          <w:iCs/>
        </w:rPr>
        <w:t>Artocarpus altilis</w:t>
      </w:r>
      <w:r w:rsidRPr="009E06AA">
        <w:t>), giant swamp taro ‘pulaka’ (</w:t>
      </w:r>
      <w:r w:rsidRPr="009E06AA">
        <w:rPr>
          <w:i/>
          <w:iCs/>
        </w:rPr>
        <w:t>Cyrtosperma chamissonis</w:t>
      </w:r>
      <w:r w:rsidRPr="009E06AA">
        <w:t>), taro palagi (</w:t>
      </w:r>
      <w:r w:rsidRPr="009E06AA">
        <w:rPr>
          <w:i/>
          <w:iCs/>
        </w:rPr>
        <w:t>Xanthosoma sagittifolium</w:t>
      </w:r>
      <w:r w:rsidRPr="009E06AA">
        <w:t>), giant taro (</w:t>
      </w:r>
      <w:r w:rsidRPr="009E06AA">
        <w:rPr>
          <w:i/>
          <w:iCs/>
        </w:rPr>
        <w:t>Alocasia macrorrhizos</w:t>
      </w:r>
      <w:r w:rsidRPr="009E06AA">
        <w:t>), banana (</w:t>
      </w:r>
      <w:r w:rsidRPr="009E06AA">
        <w:rPr>
          <w:i/>
          <w:iCs/>
        </w:rPr>
        <w:t>Musa</w:t>
      </w:r>
      <w:r w:rsidRPr="009E06AA">
        <w:t xml:space="preserve"> sp. [2 varieties]), papaya (</w:t>
      </w:r>
      <w:r w:rsidRPr="009E06AA">
        <w:rPr>
          <w:i/>
          <w:iCs/>
        </w:rPr>
        <w:t>Carica papaya</w:t>
      </w:r>
      <w:r w:rsidRPr="009E06AA">
        <w:t>), pumpkin (</w:t>
      </w:r>
      <w:r w:rsidRPr="009E06AA">
        <w:rPr>
          <w:i/>
          <w:iCs/>
        </w:rPr>
        <w:t>Cucurbita</w:t>
      </w:r>
      <w:r w:rsidRPr="009E06AA">
        <w:t xml:space="preserve"> sp.) and coconut (</w:t>
      </w:r>
      <w:r w:rsidRPr="009E06AA">
        <w:rPr>
          <w:i/>
          <w:iCs/>
        </w:rPr>
        <w:t>Cocos nucifera</w:t>
      </w:r>
      <w:r w:rsidRPr="009E06AA">
        <w:t>).</w:t>
      </w:r>
    </w:p>
    <w:p w14:paraId="4056E3D4" w14:textId="77777777" w:rsidR="00AD187C" w:rsidRPr="009E06AA" w:rsidRDefault="00AD187C" w:rsidP="00AD187C">
      <w:pPr>
        <w:pStyle w:val="BodyText"/>
        <w:rPr>
          <w:spacing w:val="-2"/>
        </w:rPr>
      </w:pPr>
      <w:r w:rsidRPr="009E06AA">
        <w:t xml:space="preserve">A small amount of subsistence agriculture occurs in Tokelau. Coconuts are used for human and livestock consumption. Fakaofo grows small amounts of swamp taro. The villages have breadfruit trees and some banana patches; the women’s committees run community gardens </w:t>
      </w:r>
      <w:r w:rsidRPr="009E06AA">
        <w:rPr>
          <w:spacing w:val="-2"/>
        </w:rPr>
        <w:t>and grow pandanus ‘fala’ (</w:t>
      </w:r>
      <w:r w:rsidRPr="009E06AA">
        <w:rPr>
          <w:i/>
          <w:iCs/>
          <w:spacing w:val="-2"/>
        </w:rPr>
        <w:t>Pandanus odoratissimus</w:t>
      </w:r>
      <w:r w:rsidRPr="009E06AA">
        <w:rPr>
          <w:spacing w:val="-2"/>
        </w:rPr>
        <w:t>) for traditional crafts (e.g., mats, hats, fans).</w:t>
      </w:r>
    </w:p>
    <w:p w14:paraId="606F078B" w14:textId="77777777" w:rsidR="00AD187C" w:rsidRPr="009E06AA" w:rsidRDefault="00AD187C" w:rsidP="00AD187C">
      <w:pPr>
        <w:pStyle w:val="BodyText"/>
      </w:pPr>
      <w:r w:rsidRPr="009E06AA">
        <w:t>A previous United Nations Development Programme-sponsored project for the establishment of keyhole gardens</w:t>
      </w:r>
      <w:r w:rsidRPr="009E06AA">
        <w:rPr>
          <w:rStyle w:val="FootnoteReference"/>
        </w:rPr>
        <w:footnoteReference w:id="66"/>
      </w:r>
      <w:r w:rsidRPr="009E06AA">
        <w:t xml:space="preserve"> by Tokelau youth has been abandoned.</w:t>
      </w:r>
    </w:p>
    <w:p w14:paraId="1E813CEF" w14:textId="77777777" w:rsidR="00AD187C" w:rsidRPr="009E06AA" w:rsidRDefault="00AD187C" w:rsidP="00AD187C">
      <w:pPr>
        <w:pStyle w:val="BodyText"/>
      </w:pPr>
      <w:r w:rsidRPr="009E06AA">
        <w:t>No industrial-scale farming occurs in Tokelau. Tokelau atolls do not have any large agricultural and horticultural development that would fall under New Zealand’s definition of a farm. There are no cows, sheep or deer, with agricultural livestock represented by small numbers of pen</w:t>
      </w:r>
      <w:r w:rsidRPr="009E06AA">
        <w:noBreakHyphen/>
        <w:t>kept pigs and free range chickens only.</w:t>
      </w:r>
    </w:p>
    <w:p w14:paraId="5F0B63B4" w14:textId="77777777" w:rsidR="00AD187C" w:rsidRPr="009E06AA" w:rsidRDefault="00AD187C" w:rsidP="00AD187C">
      <w:pPr>
        <w:pStyle w:val="BodyText"/>
      </w:pPr>
      <w:r w:rsidRPr="009E06AA">
        <w:t>Tokelau also has no pasture and no managed agricultural soils, therefore, emissions from the </w:t>
      </w:r>
      <w:r w:rsidRPr="009E06AA">
        <w:rPr>
          <w:i/>
          <w:iCs/>
        </w:rPr>
        <w:t>Direct N</w:t>
      </w:r>
      <w:r w:rsidRPr="009E06AA">
        <w:rPr>
          <w:i/>
          <w:iCs/>
          <w:vertAlign w:val="subscript"/>
        </w:rPr>
        <w:t>2</w:t>
      </w:r>
      <w:r w:rsidRPr="009E06AA">
        <w:rPr>
          <w:i/>
          <w:iCs/>
        </w:rPr>
        <w:t>O emissions from managed soils</w:t>
      </w:r>
      <w:r w:rsidRPr="009E06AA">
        <w:t xml:space="preserve"> and </w:t>
      </w:r>
      <w:r w:rsidRPr="009E06AA">
        <w:rPr>
          <w:i/>
          <w:iCs/>
        </w:rPr>
        <w:t>Indirect N</w:t>
      </w:r>
      <w:r w:rsidRPr="009E06AA">
        <w:rPr>
          <w:i/>
          <w:iCs/>
          <w:vertAlign w:val="subscript"/>
        </w:rPr>
        <w:t>2</w:t>
      </w:r>
      <w:r w:rsidRPr="009E06AA">
        <w:rPr>
          <w:i/>
          <w:iCs/>
        </w:rPr>
        <w:t>O emissions from managed soils</w:t>
      </w:r>
      <w:r w:rsidRPr="009E06AA">
        <w:t xml:space="preserve"> categories are discounted and reported as NO (not occurring). However, it may be possible to estimate emissions from agricultural soils in a future submission.</w:t>
      </w:r>
    </w:p>
    <w:p w14:paraId="52FCEA26" w14:textId="77777777" w:rsidR="00AD187C" w:rsidRPr="009E06AA" w:rsidRDefault="00AD187C" w:rsidP="00AD187C">
      <w:pPr>
        <w:pStyle w:val="BodyText"/>
      </w:pPr>
      <w:r w:rsidRPr="009E06AA">
        <w:t>This submission includes agricultural emissions from Tokelau associated with enteric fermentation and manure management from swine and poultry.</w:t>
      </w:r>
    </w:p>
    <w:p w14:paraId="4BAF9403" w14:textId="77777777" w:rsidR="00AD187C" w:rsidRPr="009E06AA" w:rsidRDefault="00AD187C" w:rsidP="00AD187C">
      <w:pPr>
        <w:pStyle w:val="BodyText"/>
      </w:pPr>
      <w:r w:rsidRPr="009E06AA">
        <w:t>Total emissions from the Agriculture sector in Tokelau amounted to 0.92 kt CO</w:t>
      </w:r>
      <w:r w:rsidRPr="009E06AA">
        <w:rPr>
          <w:vertAlign w:val="subscript"/>
        </w:rPr>
        <w:t>2</w:t>
      </w:r>
      <w:r w:rsidRPr="009E06AA">
        <w:t>-e in 2022. This makes the sector the second biggest emitter in Tokelau (19.7 per cent of the total emissions from Tokelau) at 0.001 per cent of New Zealand’s gross emissions. Figure 8.9.1 shows emission trends in the Agriculture sector by category for Tokelau.</w:t>
      </w:r>
    </w:p>
    <w:p w14:paraId="29CE199F" w14:textId="0317B111" w:rsidR="00AD187C" w:rsidRPr="009E06AA" w:rsidRDefault="00AD187C" w:rsidP="00AD187C">
      <w:pPr>
        <w:pStyle w:val="Figure"/>
      </w:pPr>
      <w:bookmarkStart w:id="3406" w:name="_Toc36292831"/>
      <w:bookmarkStart w:id="3407" w:name="_Toc64972938"/>
      <w:bookmarkStart w:id="3408" w:name="_Toc68786695"/>
      <w:bookmarkStart w:id="3409" w:name="_Toc130211303"/>
      <w:bookmarkStart w:id="3410" w:name="_Toc131591588"/>
      <w:bookmarkStart w:id="3411" w:name="_Toc160205434"/>
      <w:bookmarkStart w:id="3412" w:name="_Toc160441571"/>
      <w:bookmarkStart w:id="3413" w:name="_Toc164154057"/>
      <w:r w:rsidRPr="009E06AA">
        <w:rPr>
          <w:bCs/>
        </w:rPr>
        <w:t xml:space="preserve">Figure 8.9.1 </w:t>
      </w:r>
      <w:r w:rsidRPr="009E06AA">
        <w:rPr>
          <w:bCs/>
        </w:rPr>
        <w:tab/>
        <w:t>Agriculture emissions by category for Tokelau (kt CO</w:t>
      </w:r>
      <w:r w:rsidRPr="009E06AA">
        <w:rPr>
          <w:bCs/>
          <w:vertAlign w:val="subscript"/>
        </w:rPr>
        <w:t>2</w:t>
      </w:r>
      <w:r w:rsidRPr="009E06AA">
        <w:rPr>
          <w:bCs/>
        </w:rPr>
        <w:t>-e)</w:t>
      </w:r>
      <w:r w:rsidR="00387B6F" w:rsidRPr="009E06AA">
        <w:rPr>
          <w:bCs/>
        </w:rPr>
        <w:t>,</w:t>
      </w:r>
      <w:r w:rsidRPr="009E06AA">
        <w:rPr>
          <w:bCs/>
        </w:rPr>
        <w:t xml:space="preserve"> from 1990 to </w:t>
      </w:r>
      <w:bookmarkEnd w:id="3406"/>
      <w:bookmarkEnd w:id="3407"/>
      <w:bookmarkEnd w:id="3408"/>
      <w:bookmarkEnd w:id="3409"/>
      <w:bookmarkEnd w:id="3410"/>
      <w:r w:rsidRPr="009E06AA">
        <w:rPr>
          <w:bCs/>
        </w:rPr>
        <w:t>2022</w:t>
      </w:r>
      <w:bookmarkEnd w:id="3411"/>
      <w:bookmarkEnd w:id="3412"/>
      <w:bookmarkEnd w:id="3413"/>
    </w:p>
    <w:p w14:paraId="62B9BD21" w14:textId="77777777" w:rsidR="00AD187C" w:rsidRPr="009E06AA" w:rsidRDefault="00AD187C" w:rsidP="00AD187C">
      <w:pPr>
        <w:pStyle w:val="BodyText"/>
      </w:pPr>
      <w:r w:rsidRPr="009E06AA">
        <w:rPr>
          <w:noProof/>
        </w:rPr>
        <w:drawing>
          <wp:inline distT="0" distB="0" distL="0" distR="0" wp14:anchorId="42309EE2" wp14:editId="5E4C2C53">
            <wp:extent cx="5397500" cy="2724649"/>
            <wp:effectExtent l="0" t="0" r="0" b="0"/>
            <wp:docPr id="117" name="Picture 117"/>
            <wp:cNvGraphicFramePr/>
            <a:graphic xmlns:a="http://schemas.openxmlformats.org/drawingml/2006/main">
              <a:graphicData uri="http://schemas.openxmlformats.org/drawingml/2006/picture">
                <pic:pic xmlns:pic="http://schemas.openxmlformats.org/drawingml/2006/picture">
                  <pic:nvPicPr>
                    <pic:cNvPr id="118" name="Picture" descr="images/fig_8_9_1.png"/>
                    <pic:cNvPicPr>
                      <a:picLocks noChangeAspect="1" noChangeArrowheads="1"/>
                    </pic:cNvPicPr>
                  </pic:nvPicPr>
                  <pic:blipFill>
                    <a:blip r:embed="rId184"/>
                    <a:stretch>
                      <a:fillRect/>
                    </a:stretch>
                  </pic:blipFill>
                  <pic:spPr bwMode="auto">
                    <a:xfrm>
                      <a:off x="0" y="0"/>
                      <a:ext cx="5397500" cy="2724649"/>
                    </a:xfrm>
                    <a:prstGeom prst="rect">
                      <a:avLst/>
                    </a:prstGeom>
                    <a:noFill/>
                    <a:ln w="9525">
                      <a:noFill/>
                      <a:headEnd/>
                      <a:tailEnd/>
                    </a:ln>
                  </pic:spPr>
                </pic:pic>
              </a:graphicData>
            </a:graphic>
          </wp:inline>
        </w:drawing>
      </w:r>
      <w:r w:rsidRPr="009E06AA">
        <w:t xml:space="preserve"> </w:t>
      </w:r>
    </w:p>
    <w:p w14:paraId="0A998910" w14:textId="77777777" w:rsidR="00AD187C" w:rsidRPr="009E06AA" w:rsidRDefault="00AD187C" w:rsidP="00AD187C">
      <w:pPr>
        <w:pStyle w:val="Noteundertable"/>
      </w:pPr>
      <w:r w:rsidRPr="009E06AA">
        <w:rPr>
          <w:b/>
          <w:bCs/>
        </w:rPr>
        <w:t>Note:</w:t>
      </w:r>
      <w:r w:rsidRPr="009E06AA">
        <w:t xml:space="preserve"> The emissions contribution from 3.B.1.4 </w:t>
      </w:r>
      <w:r w:rsidRPr="009E06AA">
        <w:rPr>
          <w:i/>
          <w:iCs/>
        </w:rPr>
        <w:t>Manure management poultry</w:t>
      </w:r>
      <w:r w:rsidRPr="009E06AA">
        <w:t xml:space="preserve"> is too small to be shown in the figure.</w:t>
      </w:r>
    </w:p>
    <w:p w14:paraId="3F2BD7C5" w14:textId="77777777" w:rsidR="00AD187C" w:rsidRPr="009E06AA" w:rsidRDefault="00AD187C" w:rsidP="00AD187C">
      <w:pPr>
        <w:pStyle w:val="Heading2"/>
        <w:tabs>
          <w:tab w:val="clear" w:pos="851"/>
          <w:tab w:val="left" w:pos="964"/>
        </w:tabs>
      </w:pPr>
      <w:bookmarkStart w:id="3414" w:name="_Toc160205224"/>
      <w:bookmarkStart w:id="3415" w:name="_Toc160441809"/>
      <w:bookmarkStart w:id="3416" w:name="_Toc164154231"/>
      <w:bookmarkStart w:id="3417" w:name="X0215868fbab31567654195afb63fca574c20924"/>
      <w:bookmarkEnd w:id="3405"/>
      <w:r w:rsidRPr="009E06AA">
        <w:t xml:space="preserve">8.10 </w:t>
      </w:r>
      <w:r w:rsidRPr="009E06AA">
        <w:tab/>
        <w:t>Emissions from Enteric fermentation in Tokelau</w:t>
      </w:r>
      <w:bookmarkEnd w:id="3414"/>
      <w:bookmarkEnd w:id="3415"/>
      <w:bookmarkEnd w:id="3416"/>
    </w:p>
    <w:p w14:paraId="100179CF" w14:textId="77777777" w:rsidR="00AD187C" w:rsidRPr="009E06AA" w:rsidRDefault="00AD187C" w:rsidP="00AD187C">
      <w:pPr>
        <w:pStyle w:val="Heading3"/>
        <w:tabs>
          <w:tab w:val="clear" w:pos="851"/>
          <w:tab w:val="left" w:pos="964"/>
        </w:tabs>
        <w:spacing w:before="240"/>
      </w:pPr>
      <w:bookmarkStart w:id="3418" w:name="_Toc160205225"/>
      <w:bookmarkStart w:id="3419" w:name="_Toc160441810"/>
      <w:bookmarkStart w:id="3420" w:name="description-5"/>
      <w:r w:rsidRPr="009E06AA">
        <w:t xml:space="preserve">8.10.1 </w:t>
      </w:r>
      <w:r w:rsidRPr="009E06AA">
        <w:tab/>
        <w:t>Description</w:t>
      </w:r>
      <w:bookmarkEnd w:id="3418"/>
      <w:bookmarkEnd w:id="3419"/>
    </w:p>
    <w:p w14:paraId="23AABA7D" w14:textId="77777777" w:rsidR="00AD187C" w:rsidRPr="009E06AA" w:rsidRDefault="00AD187C" w:rsidP="00AD187C">
      <w:pPr>
        <w:pStyle w:val="BodyText"/>
      </w:pPr>
      <w:r w:rsidRPr="009E06AA">
        <w:t>The only domestic farm animals kept are pigs (in community pens) and chickens (free range) (table 8.10.1). There is potential to generate energy from the piggery waste and reduce the effluent pollution of the lagoon.</w:t>
      </w:r>
    </w:p>
    <w:p w14:paraId="67C12167" w14:textId="77777777" w:rsidR="00AD187C" w:rsidRPr="009E06AA" w:rsidRDefault="00AD187C" w:rsidP="00AD187C">
      <w:pPr>
        <w:pStyle w:val="Table"/>
      </w:pPr>
      <w:bookmarkStart w:id="3421" w:name="_Toc5269601"/>
      <w:bookmarkStart w:id="3422" w:name="_Toc36224682"/>
      <w:bookmarkStart w:id="3423" w:name="_Toc68786568"/>
      <w:bookmarkStart w:id="3424" w:name="_Toc130211274"/>
      <w:bookmarkStart w:id="3425" w:name="_Toc131591475"/>
      <w:bookmarkStart w:id="3426" w:name="_Toc160205511"/>
      <w:bookmarkStart w:id="3427" w:name="_Toc160441630"/>
      <w:bookmarkStart w:id="3428" w:name="_Toc164153966"/>
      <w:r w:rsidRPr="009E06AA">
        <w:t xml:space="preserve">Table 8.10.1 </w:t>
      </w:r>
      <w:r w:rsidRPr="009E06AA">
        <w:tab/>
        <w:t>Number of livestock in Tokelau (2016)</w:t>
      </w:r>
      <w:bookmarkEnd w:id="3421"/>
      <w:bookmarkEnd w:id="3422"/>
      <w:bookmarkEnd w:id="3423"/>
      <w:bookmarkEnd w:id="3424"/>
      <w:bookmarkEnd w:id="3425"/>
      <w:bookmarkEnd w:id="3426"/>
      <w:bookmarkEnd w:id="3427"/>
      <w:bookmarkEnd w:id="3428"/>
    </w:p>
    <w:tbl>
      <w:tblPr>
        <w:tblW w:w="8505" w:type="dxa"/>
        <w:tblBorders>
          <w:top w:val="single" w:sz="4" w:space="0" w:color="1B556B" w:themeColor="text2"/>
          <w:bottom w:val="single" w:sz="4" w:space="0" w:color="1B556B" w:themeColor="text2"/>
          <w:insideH w:val="single" w:sz="4" w:space="0" w:color="1B556B" w:themeColor="text2"/>
        </w:tblBorders>
        <w:tblLook w:val="0420" w:firstRow="1" w:lastRow="0" w:firstColumn="0" w:lastColumn="0" w:noHBand="0" w:noVBand="1"/>
      </w:tblPr>
      <w:tblGrid>
        <w:gridCol w:w="2343"/>
        <w:gridCol w:w="2193"/>
        <w:gridCol w:w="1893"/>
        <w:gridCol w:w="2076"/>
      </w:tblGrid>
      <w:tr w:rsidR="00AD187C" w:rsidRPr="009E06AA" w14:paraId="109E5272" w14:textId="77777777" w:rsidTr="00B55F24">
        <w:trPr>
          <w:tblHeader/>
        </w:trPr>
        <w:tc>
          <w:tcPr>
            <w:tcW w:w="0" w:type="auto"/>
            <w:shd w:val="clear" w:color="auto" w:fill="1B556B"/>
            <w:tcMar>
              <w:top w:w="0" w:type="dxa"/>
              <w:left w:w="85" w:type="dxa"/>
              <w:bottom w:w="0" w:type="dxa"/>
              <w:right w:w="85" w:type="dxa"/>
            </w:tcMar>
          </w:tcPr>
          <w:p w14:paraId="772B5E02" w14:textId="77777777" w:rsidR="00AD187C" w:rsidRPr="009E06AA" w:rsidRDefault="00AD187C" w:rsidP="00B55F24">
            <w:pPr>
              <w:pStyle w:val="TableTextBold"/>
              <w:spacing w:before="40" w:after="40"/>
              <w:rPr>
                <w:noProof w:val="0"/>
                <w:color w:val="FFFFFF" w:themeColor="background1"/>
              </w:rPr>
            </w:pPr>
            <w:r w:rsidRPr="009E06AA">
              <w:rPr>
                <w:noProof w:val="0"/>
                <w:color w:val="FFFFFF" w:themeColor="background1"/>
              </w:rPr>
              <w:t>Atoll</w:t>
            </w:r>
          </w:p>
        </w:tc>
        <w:tc>
          <w:tcPr>
            <w:tcW w:w="2193" w:type="dxa"/>
            <w:shd w:val="clear" w:color="auto" w:fill="1B556B"/>
            <w:tcMar>
              <w:top w:w="0" w:type="dxa"/>
              <w:left w:w="85" w:type="dxa"/>
              <w:bottom w:w="0" w:type="dxa"/>
              <w:right w:w="85" w:type="dxa"/>
            </w:tcMar>
          </w:tcPr>
          <w:p w14:paraId="55C25AA7" w14:textId="77777777" w:rsidR="00AD187C" w:rsidRPr="009E06AA" w:rsidRDefault="00AD187C" w:rsidP="006154A8">
            <w:pPr>
              <w:pStyle w:val="TableTextBold"/>
              <w:spacing w:before="40" w:after="40"/>
              <w:jc w:val="right"/>
              <w:rPr>
                <w:noProof w:val="0"/>
                <w:color w:val="FFFFFF" w:themeColor="background1"/>
              </w:rPr>
            </w:pPr>
            <w:r w:rsidRPr="009E06AA">
              <w:rPr>
                <w:noProof w:val="0"/>
                <w:color w:val="FFFFFF" w:themeColor="background1"/>
              </w:rPr>
              <w:t>Households</w:t>
            </w:r>
          </w:p>
        </w:tc>
        <w:tc>
          <w:tcPr>
            <w:tcW w:w="1893" w:type="dxa"/>
            <w:shd w:val="clear" w:color="auto" w:fill="1B556B"/>
            <w:tcMar>
              <w:top w:w="0" w:type="dxa"/>
              <w:left w:w="85" w:type="dxa"/>
              <w:bottom w:w="0" w:type="dxa"/>
              <w:right w:w="85" w:type="dxa"/>
            </w:tcMar>
          </w:tcPr>
          <w:p w14:paraId="1C1C901D" w14:textId="77777777" w:rsidR="00AD187C" w:rsidRPr="009E06AA" w:rsidRDefault="00AD187C" w:rsidP="006154A8">
            <w:pPr>
              <w:pStyle w:val="TableTextBold"/>
              <w:spacing w:before="40" w:after="40"/>
              <w:jc w:val="right"/>
              <w:rPr>
                <w:noProof w:val="0"/>
                <w:color w:val="FFFFFF" w:themeColor="background1"/>
              </w:rPr>
            </w:pPr>
            <w:r w:rsidRPr="009E06AA">
              <w:rPr>
                <w:noProof w:val="0"/>
                <w:color w:val="FFFFFF" w:themeColor="background1"/>
              </w:rPr>
              <w:t>Pigs</w:t>
            </w:r>
          </w:p>
        </w:tc>
        <w:tc>
          <w:tcPr>
            <w:tcW w:w="0" w:type="auto"/>
            <w:shd w:val="clear" w:color="auto" w:fill="1B556B"/>
            <w:tcMar>
              <w:top w:w="0" w:type="dxa"/>
              <w:left w:w="85" w:type="dxa"/>
              <w:bottom w:w="0" w:type="dxa"/>
              <w:right w:w="85" w:type="dxa"/>
            </w:tcMar>
          </w:tcPr>
          <w:p w14:paraId="0ED15B0A" w14:textId="77777777" w:rsidR="00AD187C" w:rsidRPr="009E06AA" w:rsidRDefault="00AD187C" w:rsidP="006154A8">
            <w:pPr>
              <w:pStyle w:val="TableTextBold"/>
              <w:spacing w:before="40" w:after="40"/>
              <w:jc w:val="right"/>
              <w:rPr>
                <w:noProof w:val="0"/>
                <w:color w:val="FFFFFF" w:themeColor="background1"/>
              </w:rPr>
            </w:pPr>
            <w:r w:rsidRPr="009E06AA">
              <w:rPr>
                <w:noProof w:val="0"/>
                <w:color w:val="FFFFFF" w:themeColor="background1"/>
              </w:rPr>
              <w:t>Chickens</w:t>
            </w:r>
          </w:p>
        </w:tc>
      </w:tr>
      <w:tr w:rsidR="00AD187C" w:rsidRPr="009E06AA" w14:paraId="2A8E7246" w14:textId="77777777" w:rsidTr="00B55F24">
        <w:tc>
          <w:tcPr>
            <w:tcW w:w="0" w:type="auto"/>
            <w:shd w:val="clear" w:color="auto" w:fill="FFFFFF"/>
            <w:tcMar>
              <w:top w:w="0" w:type="dxa"/>
              <w:left w:w="85" w:type="dxa"/>
              <w:bottom w:w="0" w:type="dxa"/>
              <w:right w:w="85" w:type="dxa"/>
            </w:tcMar>
          </w:tcPr>
          <w:p w14:paraId="24CDA1A7" w14:textId="77777777" w:rsidR="00AD187C" w:rsidRPr="009E06AA" w:rsidRDefault="00AD187C" w:rsidP="00B55F24">
            <w:pPr>
              <w:pStyle w:val="TableText"/>
              <w:spacing w:before="40" w:after="40"/>
            </w:pPr>
            <w:r w:rsidRPr="009E06AA">
              <w:rPr>
                <w:color w:val="000000"/>
              </w:rPr>
              <w:t>Atafu</w:t>
            </w:r>
          </w:p>
        </w:tc>
        <w:tc>
          <w:tcPr>
            <w:tcW w:w="2193" w:type="dxa"/>
            <w:shd w:val="clear" w:color="auto" w:fill="FFFFFF"/>
            <w:tcMar>
              <w:top w:w="0" w:type="dxa"/>
              <w:left w:w="85" w:type="dxa"/>
              <w:bottom w:w="0" w:type="dxa"/>
              <w:right w:w="85" w:type="dxa"/>
            </w:tcMar>
          </w:tcPr>
          <w:p w14:paraId="7FBF4D05" w14:textId="77777777" w:rsidR="00AD187C" w:rsidRPr="009E06AA" w:rsidRDefault="00AD187C" w:rsidP="006154A8">
            <w:pPr>
              <w:pStyle w:val="TableText"/>
              <w:spacing w:before="40" w:after="40"/>
              <w:jc w:val="right"/>
            </w:pPr>
            <w:r w:rsidRPr="009E06AA">
              <w:rPr>
                <w:color w:val="000000"/>
              </w:rPr>
              <w:t>88</w:t>
            </w:r>
          </w:p>
        </w:tc>
        <w:tc>
          <w:tcPr>
            <w:tcW w:w="1893" w:type="dxa"/>
            <w:shd w:val="clear" w:color="auto" w:fill="FFFFFF"/>
            <w:tcMar>
              <w:top w:w="0" w:type="dxa"/>
              <w:left w:w="85" w:type="dxa"/>
              <w:bottom w:w="0" w:type="dxa"/>
              <w:right w:w="85" w:type="dxa"/>
            </w:tcMar>
          </w:tcPr>
          <w:p w14:paraId="68FAB259" w14:textId="77777777" w:rsidR="00AD187C" w:rsidRPr="009E06AA" w:rsidRDefault="00AD187C" w:rsidP="006154A8">
            <w:pPr>
              <w:pStyle w:val="TableText"/>
              <w:spacing w:before="40" w:after="40"/>
              <w:jc w:val="right"/>
            </w:pPr>
            <w:r w:rsidRPr="009E06AA">
              <w:rPr>
                <w:color w:val="000000"/>
              </w:rPr>
              <w:t>742</w:t>
            </w:r>
          </w:p>
        </w:tc>
        <w:tc>
          <w:tcPr>
            <w:tcW w:w="0" w:type="auto"/>
            <w:shd w:val="clear" w:color="auto" w:fill="FFFFFF"/>
            <w:tcMar>
              <w:top w:w="0" w:type="dxa"/>
              <w:left w:w="85" w:type="dxa"/>
              <w:bottom w:w="0" w:type="dxa"/>
              <w:right w:w="85" w:type="dxa"/>
            </w:tcMar>
          </w:tcPr>
          <w:p w14:paraId="7498F225" w14:textId="77777777" w:rsidR="00AD187C" w:rsidRPr="009E06AA" w:rsidRDefault="00AD187C" w:rsidP="006154A8">
            <w:pPr>
              <w:pStyle w:val="TableText"/>
              <w:spacing w:before="40" w:after="40"/>
              <w:jc w:val="right"/>
            </w:pPr>
            <w:r w:rsidRPr="009E06AA">
              <w:rPr>
                <w:color w:val="000000"/>
              </w:rPr>
              <w:t>270</w:t>
            </w:r>
          </w:p>
        </w:tc>
      </w:tr>
      <w:tr w:rsidR="00AD187C" w:rsidRPr="009E06AA" w14:paraId="1011F6B6" w14:textId="77777777" w:rsidTr="00B55F24">
        <w:tc>
          <w:tcPr>
            <w:tcW w:w="0" w:type="auto"/>
            <w:shd w:val="clear" w:color="auto" w:fill="FFFFFF"/>
            <w:tcMar>
              <w:top w:w="0" w:type="dxa"/>
              <w:left w:w="85" w:type="dxa"/>
              <w:bottom w:w="0" w:type="dxa"/>
              <w:right w:w="85" w:type="dxa"/>
            </w:tcMar>
          </w:tcPr>
          <w:p w14:paraId="35C2B295" w14:textId="77777777" w:rsidR="00AD187C" w:rsidRPr="009E06AA" w:rsidRDefault="00AD187C" w:rsidP="00B55F24">
            <w:pPr>
              <w:pStyle w:val="TableText"/>
              <w:spacing w:before="40" w:after="40"/>
            </w:pPr>
            <w:r w:rsidRPr="009E06AA">
              <w:rPr>
                <w:color w:val="000000"/>
              </w:rPr>
              <w:t>Fakaofo</w:t>
            </w:r>
          </w:p>
        </w:tc>
        <w:tc>
          <w:tcPr>
            <w:tcW w:w="2193" w:type="dxa"/>
            <w:shd w:val="clear" w:color="auto" w:fill="FFFFFF"/>
            <w:tcMar>
              <w:top w:w="0" w:type="dxa"/>
              <w:left w:w="85" w:type="dxa"/>
              <w:bottom w:w="0" w:type="dxa"/>
              <w:right w:w="85" w:type="dxa"/>
            </w:tcMar>
          </w:tcPr>
          <w:p w14:paraId="0949DF17" w14:textId="77777777" w:rsidR="00AD187C" w:rsidRPr="009E06AA" w:rsidRDefault="00AD187C" w:rsidP="006154A8">
            <w:pPr>
              <w:pStyle w:val="TableText"/>
              <w:spacing w:before="40" w:after="40"/>
              <w:jc w:val="right"/>
            </w:pPr>
            <w:r w:rsidRPr="009E06AA">
              <w:rPr>
                <w:color w:val="000000"/>
              </w:rPr>
              <w:t>85</w:t>
            </w:r>
          </w:p>
        </w:tc>
        <w:tc>
          <w:tcPr>
            <w:tcW w:w="1893" w:type="dxa"/>
            <w:shd w:val="clear" w:color="auto" w:fill="FFFFFF"/>
            <w:tcMar>
              <w:top w:w="0" w:type="dxa"/>
              <w:left w:w="85" w:type="dxa"/>
              <w:bottom w:w="0" w:type="dxa"/>
              <w:right w:w="85" w:type="dxa"/>
            </w:tcMar>
          </w:tcPr>
          <w:p w14:paraId="72002A7A" w14:textId="77777777" w:rsidR="00AD187C" w:rsidRPr="009E06AA" w:rsidRDefault="00AD187C" w:rsidP="006154A8">
            <w:pPr>
              <w:pStyle w:val="TableText"/>
              <w:spacing w:before="40" w:after="40"/>
              <w:jc w:val="right"/>
            </w:pPr>
            <w:r w:rsidRPr="009E06AA">
              <w:rPr>
                <w:color w:val="000000"/>
              </w:rPr>
              <w:t>419</w:t>
            </w:r>
          </w:p>
        </w:tc>
        <w:tc>
          <w:tcPr>
            <w:tcW w:w="0" w:type="auto"/>
            <w:shd w:val="clear" w:color="auto" w:fill="FFFFFF"/>
            <w:tcMar>
              <w:top w:w="0" w:type="dxa"/>
              <w:left w:w="85" w:type="dxa"/>
              <w:bottom w:w="0" w:type="dxa"/>
              <w:right w:w="85" w:type="dxa"/>
            </w:tcMar>
          </w:tcPr>
          <w:p w14:paraId="0B6A8236" w14:textId="77777777" w:rsidR="00AD187C" w:rsidRPr="009E06AA" w:rsidRDefault="00AD187C" w:rsidP="006154A8">
            <w:pPr>
              <w:pStyle w:val="TableText"/>
              <w:spacing w:before="40" w:after="40"/>
              <w:jc w:val="right"/>
            </w:pPr>
            <w:r w:rsidRPr="009E06AA">
              <w:rPr>
                <w:color w:val="000000"/>
              </w:rPr>
              <w:t>50</w:t>
            </w:r>
          </w:p>
        </w:tc>
      </w:tr>
      <w:tr w:rsidR="00AD187C" w:rsidRPr="009E06AA" w14:paraId="3B661E30" w14:textId="77777777" w:rsidTr="00B55F24">
        <w:tc>
          <w:tcPr>
            <w:tcW w:w="0" w:type="auto"/>
            <w:shd w:val="clear" w:color="auto" w:fill="FFFFFF"/>
            <w:tcMar>
              <w:top w:w="0" w:type="dxa"/>
              <w:left w:w="85" w:type="dxa"/>
              <w:bottom w:w="0" w:type="dxa"/>
              <w:right w:w="85" w:type="dxa"/>
            </w:tcMar>
          </w:tcPr>
          <w:p w14:paraId="1C325439" w14:textId="77777777" w:rsidR="00AD187C" w:rsidRPr="009E06AA" w:rsidRDefault="00AD187C" w:rsidP="00B55F24">
            <w:pPr>
              <w:pStyle w:val="TableText"/>
              <w:spacing w:before="40" w:after="40"/>
            </w:pPr>
            <w:r w:rsidRPr="009E06AA">
              <w:rPr>
                <w:color w:val="000000"/>
              </w:rPr>
              <w:t>Nukunonu</w:t>
            </w:r>
          </w:p>
        </w:tc>
        <w:tc>
          <w:tcPr>
            <w:tcW w:w="2193" w:type="dxa"/>
            <w:shd w:val="clear" w:color="auto" w:fill="FFFFFF"/>
            <w:tcMar>
              <w:top w:w="0" w:type="dxa"/>
              <w:left w:w="85" w:type="dxa"/>
              <w:bottom w:w="0" w:type="dxa"/>
              <w:right w:w="85" w:type="dxa"/>
            </w:tcMar>
          </w:tcPr>
          <w:p w14:paraId="51D5D9B6" w14:textId="77777777" w:rsidR="00AD187C" w:rsidRPr="009E06AA" w:rsidRDefault="00AD187C" w:rsidP="006154A8">
            <w:pPr>
              <w:pStyle w:val="TableText"/>
              <w:spacing w:before="40" w:after="40"/>
              <w:jc w:val="right"/>
            </w:pPr>
            <w:r w:rsidRPr="009E06AA">
              <w:rPr>
                <w:color w:val="000000"/>
              </w:rPr>
              <w:t>83</w:t>
            </w:r>
          </w:p>
        </w:tc>
        <w:tc>
          <w:tcPr>
            <w:tcW w:w="1893" w:type="dxa"/>
            <w:shd w:val="clear" w:color="auto" w:fill="FFFFFF"/>
            <w:tcMar>
              <w:top w:w="0" w:type="dxa"/>
              <w:left w:w="85" w:type="dxa"/>
              <w:bottom w:w="0" w:type="dxa"/>
              <w:right w:w="85" w:type="dxa"/>
            </w:tcMar>
          </w:tcPr>
          <w:p w14:paraId="140DEE24" w14:textId="77777777" w:rsidR="00AD187C" w:rsidRPr="009E06AA" w:rsidRDefault="00AD187C" w:rsidP="006154A8">
            <w:pPr>
              <w:pStyle w:val="TableText"/>
              <w:spacing w:before="40" w:after="40"/>
              <w:jc w:val="right"/>
            </w:pPr>
            <w:r w:rsidRPr="009E06AA">
              <w:rPr>
                <w:color w:val="000000"/>
              </w:rPr>
              <w:t>536</w:t>
            </w:r>
          </w:p>
        </w:tc>
        <w:tc>
          <w:tcPr>
            <w:tcW w:w="0" w:type="auto"/>
            <w:shd w:val="clear" w:color="auto" w:fill="FFFFFF"/>
            <w:tcMar>
              <w:top w:w="0" w:type="dxa"/>
              <w:left w:w="85" w:type="dxa"/>
              <w:bottom w:w="0" w:type="dxa"/>
              <w:right w:w="85" w:type="dxa"/>
            </w:tcMar>
          </w:tcPr>
          <w:p w14:paraId="75759871" w14:textId="77777777" w:rsidR="00AD187C" w:rsidRPr="009E06AA" w:rsidRDefault="00AD187C" w:rsidP="006154A8">
            <w:pPr>
              <w:pStyle w:val="TableText"/>
              <w:spacing w:before="40" w:after="40"/>
              <w:jc w:val="right"/>
            </w:pPr>
            <w:r w:rsidRPr="009E06AA">
              <w:rPr>
                <w:color w:val="000000"/>
              </w:rPr>
              <w:t>305</w:t>
            </w:r>
          </w:p>
        </w:tc>
      </w:tr>
      <w:tr w:rsidR="00AD187C" w:rsidRPr="009E06AA" w14:paraId="63DC173D" w14:textId="77777777" w:rsidTr="00B55F24">
        <w:tc>
          <w:tcPr>
            <w:tcW w:w="0" w:type="auto"/>
            <w:shd w:val="clear" w:color="auto" w:fill="FFFFFF"/>
            <w:tcMar>
              <w:top w:w="0" w:type="dxa"/>
              <w:left w:w="85" w:type="dxa"/>
              <w:bottom w:w="0" w:type="dxa"/>
              <w:right w:w="85" w:type="dxa"/>
            </w:tcMar>
          </w:tcPr>
          <w:p w14:paraId="57A0EA15" w14:textId="77777777" w:rsidR="00AD187C" w:rsidRPr="009E06AA" w:rsidRDefault="00AD187C" w:rsidP="00B55F24">
            <w:pPr>
              <w:pStyle w:val="TableText"/>
              <w:spacing w:before="40" w:after="40"/>
            </w:pPr>
            <w:r w:rsidRPr="009E06AA">
              <w:rPr>
                <w:color w:val="000000"/>
              </w:rPr>
              <w:t>Tokelau</w:t>
            </w:r>
          </w:p>
        </w:tc>
        <w:tc>
          <w:tcPr>
            <w:tcW w:w="2193" w:type="dxa"/>
            <w:shd w:val="clear" w:color="auto" w:fill="FFFFFF"/>
            <w:tcMar>
              <w:top w:w="0" w:type="dxa"/>
              <w:left w:w="85" w:type="dxa"/>
              <w:bottom w:w="0" w:type="dxa"/>
              <w:right w:w="85" w:type="dxa"/>
            </w:tcMar>
          </w:tcPr>
          <w:p w14:paraId="53410EE1" w14:textId="77777777" w:rsidR="00AD187C" w:rsidRPr="009E06AA" w:rsidRDefault="00AD187C" w:rsidP="006154A8">
            <w:pPr>
              <w:pStyle w:val="TableText"/>
              <w:spacing w:before="40" w:after="40"/>
              <w:jc w:val="right"/>
            </w:pPr>
            <w:r w:rsidRPr="009E06AA">
              <w:rPr>
                <w:color w:val="000000"/>
              </w:rPr>
              <w:t>256</w:t>
            </w:r>
          </w:p>
        </w:tc>
        <w:tc>
          <w:tcPr>
            <w:tcW w:w="1893" w:type="dxa"/>
            <w:shd w:val="clear" w:color="auto" w:fill="FFFFFF"/>
            <w:tcMar>
              <w:top w:w="0" w:type="dxa"/>
              <w:left w:w="85" w:type="dxa"/>
              <w:bottom w:w="0" w:type="dxa"/>
              <w:right w:w="85" w:type="dxa"/>
            </w:tcMar>
          </w:tcPr>
          <w:p w14:paraId="01E4B31F" w14:textId="77777777" w:rsidR="00AD187C" w:rsidRPr="009E06AA" w:rsidRDefault="00AD187C" w:rsidP="006154A8">
            <w:pPr>
              <w:pStyle w:val="TableText"/>
              <w:spacing w:before="40" w:after="40"/>
              <w:jc w:val="right"/>
            </w:pPr>
            <w:r w:rsidRPr="009E06AA">
              <w:rPr>
                <w:color w:val="000000"/>
              </w:rPr>
              <w:t>1,697</w:t>
            </w:r>
          </w:p>
        </w:tc>
        <w:tc>
          <w:tcPr>
            <w:tcW w:w="0" w:type="auto"/>
            <w:shd w:val="clear" w:color="auto" w:fill="FFFFFF"/>
            <w:tcMar>
              <w:top w:w="0" w:type="dxa"/>
              <w:left w:w="85" w:type="dxa"/>
              <w:bottom w:w="0" w:type="dxa"/>
              <w:right w:w="85" w:type="dxa"/>
            </w:tcMar>
          </w:tcPr>
          <w:p w14:paraId="3DB85686" w14:textId="77777777" w:rsidR="00AD187C" w:rsidRPr="009E06AA" w:rsidRDefault="00AD187C" w:rsidP="006154A8">
            <w:pPr>
              <w:pStyle w:val="TableText"/>
              <w:spacing w:before="40" w:after="40"/>
              <w:jc w:val="right"/>
            </w:pPr>
            <w:r w:rsidRPr="009E06AA">
              <w:rPr>
                <w:color w:val="000000"/>
              </w:rPr>
              <w:t>625</w:t>
            </w:r>
          </w:p>
        </w:tc>
      </w:tr>
    </w:tbl>
    <w:p w14:paraId="0D7477B9" w14:textId="77777777" w:rsidR="00AD187C" w:rsidRPr="009E06AA" w:rsidRDefault="00AD187C" w:rsidP="00AD187C">
      <w:pPr>
        <w:pStyle w:val="BodyText"/>
        <w:spacing w:before="240"/>
      </w:pPr>
      <w:r w:rsidRPr="009E06AA">
        <w:t xml:space="preserve">Because the 2006 IPCC Guidelines do not provide a default emission factor for enteric fermentation for poultry, this category is reported as NE (not estimated). Therefore, only swine (pigs) are included under the </w:t>
      </w:r>
      <w:r w:rsidRPr="009E06AA">
        <w:rPr>
          <w:i/>
          <w:iCs/>
        </w:rPr>
        <w:t>Enteric fermentation</w:t>
      </w:r>
      <w:r w:rsidRPr="009E06AA">
        <w:t xml:space="preserve"> (3.A.3) category.</w:t>
      </w:r>
    </w:p>
    <w:p w14:paraId="4821B1A6" w14:textId="77777777" w:rsidR="00AD187C" w:rsidRPr="009E06AA" w:rsidRDefault="00AD187C" w:rsidP="00AD187C">
      <w:pPr>
        <w:pStyle w:val="BodyText"/>
      </w:pPr>
      <w:r w:rsidRPr="009E06AA">
        <w:t xml:space="preserve">The </w:t>
      </w:r>
      <w:r w:rsidRPr="009E06AA">
        <w:rPr>
          <w:i/>
          <w:iCs/>
        </w:rPr>
        <w:t>Enteric fermentation – Swine</w:t>
      </w:r>
      <w:r w:rsidRPr="009E06AA">
        <w:t xml:space="preserve"> category contributed 7.5 per cent to the total Agriculture emissions in Tokelau in 2022, and amounted to 0.07 kt CO</w:t>
      </w:r>
      <w:r w:rsidRPr="009E06AA">
        <w:rPr>
          <w:vertAlign w:val="subscript"/>
        </w:rPr>
        <w:t>2</w:t>
      </w:r>
      <w:r w:rsidRPr="009E06AA">
        <w:t>-e.</w:t>
      </w:r>
    </w:p>
    <w:p w14:paraId="4FA9050C" w14:textId="77777777" w:rsidR="00AD187C" w:rsidRPr="009E06AA" w:rsidRDefault="00AD187C" w:rsidP="00AD187C">
      <w:pPr>
        <w:pStyle w:val="Heading3"/>
        <w:ind w:left="964" w:hanging="964"/>
      </w:pPr>
      <w:bookmarkStart w:id="3429" w:name="_Toc160205226"/>
      <w:bookmarkStart w:id="3430" w:name="_Toc160441811"/>
      <w:bookmarkStart w:id="3431" w:name="methodolical-issues"/>
      <w:bookmarkEnd w:id="3420"/>
      <w:r w:rsidRPr="009E06AA">
        <w:t xml:space="preserve">8.10.2 </w:t>
      </w:r>
      <w:r w:rsidRPr="009E06AA">
        <w:tab/>
        <w:t>Methodological issues</w:t>
      </w:r>
      <w:bookmarkEnd w:id="3429"/>
      <w:bookmarkEnd w:id="3430"/>
    </w:p>
    <w:p w14:paraId="22336BBD" w14:textId="77777777" w:rsidR="00AD187C" w:rsidRPr="009E06AA" w:rsidRDefault="00AD187C" w:rsidP="00AD187C">
      <w:pPr>
        <w:pStyle w:val="Heading4"/>
      </w:pPr>
      <w:bookmarkStart w:id="3432" w:name="activity-data-6"/>
      <w:r w:rsidRPr="009E06AA">
        <w:t>Activity data</w:t>
      </w:r>
    </w:p>
    <w:p w14:paraId="29B8E4FD" w14:textId="77777777" w:rsidR="00AD187C" w:rsidRPr="009E06AA" w:rsidRDefault="00AD187C" w:rsidP="00AD187C">
      <w:pPr>
        <w:pStyle w:val="BodyText"/>
      </w:pPr>
      <w:r w:rsidRPr="009E06AA">
        <w:t>Animal population figures were obtained from the Tokelau Census data (see table 8.1.1). The animal population between the census years is calculated by equal increments between the data collection points, to obtain the average animal population (AAP) per year.</w:t>
      </w:r>
    </w:p>
    <w:p w14:paraId="353581A5" w14:textId="77777777" w:rsidR="00AD187C" w:rsidRPr="009E06AA" w:rsidRDefault="00AD187C" w:rsidP="00AD187C">
      <w:pPr>
        <w:pStyle w:val="BodyText"/>
      </w:pPr>
      <w:r w:rsidRPr="009E06AA">
        <w:t>An average pig weight of 80 kilograms is used.</w:t>
      </w:r>
    </w:p>
    <w:p w14:paraId="60BB7892" w14:textId="77777777" w:rsidR="00AD187C" w:rsidRPr="009E06AA" w:rsidRDefault="00AD187C" w:rsidP="00AD187C">
      <w:pPr>
        <w:pStyle w:val="Heading4"/>
      </w:pPr>
      <w:bookmarkStart w:id="3433" w:name="methods-and-emission-factors-4"/>
      <w:bookmarkEnd w:id="3432"/>
      <w:r w:rsidRPr="009E06AA">
        <w:t>Methods and emission factors</w:t>
      </w:r>
    </w:p>
    <w:p w14:paraId="130D6CE2" w14:textId="77777777" w:rsidR="00AD187C" w:rsidRPr="009E06AA" w:rsidRDefault="00AD187C" w:rsidP="00AD187C">
      <w:pPr>
        <w:pStyle w:val="BodyText"/>
      </w:pPr>
      <w:r w:rsidRPr="009E06AA">
        <w:t>Tier 1 methodology with a default emission factor of 1.5 kg CH</w:t>
      </w:r>
      <w:r w:rsidRPr="009E06AA">
        <w:rPr>
          <w:vertAlign w:val="subscript"/>
        </w:rPr>
        <w:t>4</w:t>
      </w:r>
      <w:r w:rsidRPr="009E06AA">
        <w:t>/head/year from table 10.10 in volume 4 of the 2006 IPCC Guidelines was used for calculating emissions from this category (IPCC, 2006c). Tokelau’s allocation by climate zone is 100 per cent to a warm climate.</w:t>
      </w:r>
    </w:p>
    <w:p w14:paraId="0516C68A" w14:textId="77777777" w:rsidR="00AD187C" w:rsidRPr="009E06AA" w:rsidRDefault="00AD187C" w:rsidP="00AD187C">
      <w:pPr>
        <w:pStyle w:val="BodyText"/>
      </w:pPr>
      <w:r w:rsidRPr="009E06AA">
        <w:t xml:space="preserve">The following equation was used for calculating emissions from swine. </w:t>
      </w:r>
    </w:p>
    <w:p w14:paraId="55CB4498" w14:textId="77777777" w:rsidR="00AD187C" w:rsidRPr="009E06AA" w:rsidRDefault="00AD187C" w:rsidP="00AD187C">
      <w:pPr>
        <w:pStyle w:val="BodyText"/>
        <w:rPr>
          <w:rFonts w:ascii="Cambria Math" w:hAnsi="Cambria Math"/>
          <w:i/>
          <w:iCs/>
          <w:sz w:val="24"/>
          <w:szCs w:val="24"/>
        </w:rPr>
      </w:pPr>
      <m:oMathPara>
        <m:oMathParaPr>
          <m:jc m:val="center"/>
        </m:oMathParaPr>
        <m:oMath>
          <m:r>
            <m:rPr>
              <m:nor/>
            </m:rPr>
            <w:rPr>
              <w:rFonts w:ascii="Cambria Math" w:hAnsi="Cambria Math"/>
              <w:i/>
              <w:iCs/>
              <w:sz w:val="24"/>
              <w:szCs w:val="24"/>
            </w:rPr>
            <m:t>Emissions (kt CH 4 )</m:t>
          </m:r>
          <m:r>
            <w:rPr>
              <w:rFonts w:ascii="Cambria Math" w:hAnsi="Cambria Math"/>
              <w:sz w:val="24"/>
              <w:szCs w:val="24"/>
            </w:rPr>
            <m:t> =</m:t>
          </m:r>
          <m:r>
            <m:rPr>
              <m:nor/>
            </m:rPr>
            <w:rPr>
              <w:rFonts w:ascii="Cambria Math" w:hAnsi="Cambria Math"/>
              <w:i/>
              <w:iCs/>
              <w:sz w:val="24"/>
              <w:szCs w:val="24"/>
            </w:rPr>
            <m:t>AAP (Swine)</m:t>
          </m:r>
          <m:r>
            <w:rPr>
              <w:rFonts w:ascii="Cambria Math" w:hAnsi="Cambria Math"/>
              <w:sz w:val="24"/>
              <w:szCs w:val="24"/>
            </w:rPr>
            <m:t> </m:t>
          </m:r>
          <m:r>
            <m:rPr>
              <m:nor/>
            </m:rPr>
            <w:rPr>
              <w:rFonts w:ascii="Cambria Math" w:hAnsi="Cambria Math"/>
              <w:i/>
              <w:iCs/>
              <w:sz w:val="24"/>
              <w:szCs w:val="24"/>
            </w:rPr>
            <m:t>1.5 [kg CH 4 head-1 year-1]</m:t>
          </m:r>
          <m:r>
            <w:rPr>
              <w:rFonts w:ascii="Cambria Math" w:hAnsi="Cambria Math"/>
              <w:sz w:val="24"/>
              <w:szCs w:val="24"/>
            </w:rPr>
            <m:t> </m:t>
          </m:r>
          <m:r>
            <m:rPr>
              <m:nor/>
            </m:rPr>
            <w:rPr>
              <w:rFonts w:ascii="Cambria Math" w:hAnsi="Cambria Math"/>
              <w:i/>
              <w:iCs/>
              <w:sz w:val="24"/>
              <w:szCs w:val="24"/>
            </w:rPr>
            <m:t>/10^6[kg/kt]</m:t>
          </m:r>
        </m:oMath>
      </m:oMathPara>
    </w:p>
    <w:p w14:paraId="7213585A" w14:textId="77777777" w:rsidR="00AD187C" w:rsidRPr="009E06AA" w:rsidRDefault="00AD187C" w:rsidP="00AD187C">
      <w:pPr>
        <w:pStyle w:val="Heading3"/>
        <w:tabs>
          <w:tab w:val="clear" w:pos="851"/>
        </w:tabs>
        <w:ind w:left="964" w:hanging="964"/>
      </w:pPr>
      <w:bookmarkStart w:id="3434" w:name="_Toc160205227"/>
      <w:bookmarkStart w:id="3435" w:name="_Toc160441812"/>
      <w:bookmarkStart w:id="3436" w:name="X0ab8e8ef5b87fe642718b68b9b4a5dadd1e08ad"/>
      <w:bookmarkEnd w:id="3431"/>
      <w:bookmarkEnd w:id="3433"/>
      <w:r w:rsidRPr="009E06AA">
        <w:t xml:space="preserve">8.10.3 </w:t>
      </w:r>
      <w:r w:rsidRPr="009E06AA">
        <w:tab/>
        <w:t>Uncertainty assessment and time-series consistency</w:t>
      </w:r>
      <w:bookmarkEnd w:id="3434"/>
      <w:bookmarkEnd w:id="3435"/>
    </w:p>
    <w:p w14:paraId="6B316C6E" w14:textId="77777777" w:rsidR="00AD187C" w:rsidRPr="009E06AA" w:rsidRDefault="00AD187C" w:rsidP="00AD187C">
      <w:pPr>
        <w:pStyle w:val="BodyText"/>
      </w:pPr>
      <w:r w:rsidRPr="009E06AA">
        <w:t>Section 10.2.3 (volume 4) of the 2006 IPCC Guidelines states that the uncertainty associated with animal populations will vary widely, depending on the source, but should be within ±20 per cent (IPCC, 2006c). The default emission factor uncertainty is ±30 per cent to 50 per cent (default mid-range is ±40 per cent).</w:t>
      </w:r>
    </w:p>
    <w:p w14:paraId="62199BFD" w14:textId="77777777" w:rsidR="00AD187C" w:rsidRPr="009E06AA" w:rsidRDefault="00AD187C" w:rsidP="00AD187C">
      <w:pPr>
        <w:pStyle w:val="BodyText"/>
      </w:pPr>
      <w:r w:rsidRPr="009E06AA">
        <w:t>For this category, the default uncertainty value of ±20 per cent for activity data and an upper range default emission factor uncertainty of ±50 per cent were used.</w:t>
      </w:r>
    </w:p>
    <w:p w14:paraId="0B8225A2" w14:textId="77777777" w:rsidR="00AD187C" w:rsidRPr="009E06AA" w:rsidRDefault="00AD187C" w:rsidP="00AD187C">
      <w:pPr>
        <w:pStyle w:val="BodyText"/>
      </w:pPr>
      <w:r w:rsidRPr="009E06AA">
        <w:t>Time-series consistency was maintained by interpolating the number of animals in between census years (which are generally five years apart).</w:t>
      </w:r>
    </w:p>
    <w:p w14:paraId="1AEA80D6" w14:textId="77777777" w:rsidR="00AD187C" w:rsidRPr="009E06AA" w:rsidRDefault="00AD187C" w:rsidP="00AD187C">
      <w:pPr>
        <w:pStyle w:val="Heading3"/>
        <w:tabs>
          <w:tab w:val="clear" w:pos="851"/>
        </w:tabs>
        <w:spacing w:before="280"/>
        <w:ind w:left="964" w:hanging="964"/>
      </w:pPr>
      <w:bookmarkStart w:id="3437" w:name="_Toc160205228"/>
      <w:bookmarkStart w:id="3438" w:name="_Toc160441813"/>
      <w:bookmarkStart w:id="3439" w:name="X511bcec4874a433f24cd41de3b2e366b8e8bb1c"/>
      <w:bookmarkEnd w:id="3436"/>
      <w:r w:rsidRPr="009E06AA">
        <w:t xml:space="preserve">8.10.4 </w:t>
      </w:r>
      <w:r w:rsidRPr="009E06AA">
        <w:tab/>
        <w:t>Category-specific QA/QC and verification</w:t>
      </w:r>
      <w:bookmarkEnd w:id="3437"/>
      <w:bookmarkEnd w:id="3438"/>
    </w:p>
    <w:p w14:paraId="315D4212" w14:textId="77777777" w:rsidR="00AD187C" w:rsidRPr="009E06AA" w:rsidRDefault="00AD187C" w:rsidP="00AD187C">
      <w:pPr>
        <w:pStyle w:val="BodyText"/>
      </w:pPr>
      <w:r w:rsidRPr="009E06AA">
        <w:t>Quality control of the activity data and calculations was applied to each category for Tokelau. No verification was possible because no alternative data were available.</w:t>
      </w:r>
    </w:p>
    <w:p w14:paraId="61BC8C72" w14:textId="77777777" w:rsidR="00AD187C" w:rsidRPr="009E06AA" w:rsidRDefault="00AD187C" w:rsidP="00AD187C">
      <w:pPr>
        <w:pStyle w:val="Heading3"/>
        <w:tabs>
          <w:tab w:val="clear" w:pos="851"/>
        </w:tabs>
        <w:spacing w:before="280"/>
        <w:ind w:left="964" w:hanging="964"/>
      </w:pPr>
      <w:bookmarkStart w:id="3440" w:name="_Toc160205229"/>
      <w:bookmarkStart w:id="3441" w:name="_Toc160441814"/>
      <w:bookmarkStart w:id="3442" w:name="category-specific-recalculations-5"/>
      <w:bookmarkEnd w:id="3439"/>
      <w:r w:rsidRPr="009E06AA">
        <w:t xml:space="preserve">8.10.5 </w:t>
      </w:r>
      <w:r w:rsidRPr="009E06AA">
        <w:tab/>
        <w:t>Category-specific recalculations</w:t>
      </w:r>
      <w:bookmarkEnd w:id="3440"/>
      <w:bookmarkEnd w:id="3441"/>
    </w:p>
    <w:p w14:paraId="1964DE70" w14:textId="77777777" w:rsidR="00AD187C" w:rsidRPr="009E06AA" w:rsidRDefault="00AD187C" w:rsidP="00AD187C">
      <w:pPr>
        <w:pStyle w:val="BodyText"/>
      </w:pPr>
      <w:r w:rsidRPr="009E06AA">
        <w:t xml:space="preserve">There were no changes to estimates for the </w:t>
      </w:r>
      <w:r w:rsidRPr="009E06AA">
        <w:rPr>
          <w:i/>
          <w:iCs/>
        </w:rPr>
        <w:t>Enteric fermentation</w:t>
      </w:r>
      <w:r w:rsidRPr="009E06AA">
        <w:t xml:space="preserve"> categories.</w:t>
      </w:r>
    </w:p>
    <w:p w14:paraId="4DB62D2D" w14:textId="77777777" w:rsidR="00AD187C" w:rsidRPr="009E06AA" w:rsidRDefault="00AD187C" w:rsidP="00AD187C">
      <w:pPr>
        <w:pStyle w:val="Heading3"/>
        <w:tabs>
          <w:tab w:val="clear" w:pos="851"/>
        </w:tabs>
        <w:spacing w:before="280"/>
        <w:ind w:left="964" w:hanging="964"/>
      </w:pPr>
      <w:bookmarkStart w:id="3443" w:name="_Toc160205230"/>
      <w:bookmarkStart w:id="3444" w:name="_Toc160441815"/>
      <w:bookmarkStart w:id="3445" w:name="source-specific-planned-improvements-5"/>
      <w:bookmarkEnd w:id="3442"/>
      <w:r w:rsidRPr="009E06AA">
        <w:t xml:space="preserve">8.10.6 </w:t>
      </w:r>
      <w:r w:rsidRPr="009E06AA">
        <w:tab/>
        <w:t>Category-specific planned improvements</w:t>
      </w:r>
      <w:bookmarkEnd w:id="3443"/>
      <w:bookmarkEnd w:id="3444"/>
    </w:p>
    <w:p w14:paraId="60F003EB" w14:textId="77777777" w:rsidR="00AD187C" w:rsidRPr="009E06AA" w:rsidRDefault="00AD187C" w:rsidP="00AD187C">
      <w:pPr>
        <w:pStyle w:val="BodyText"/>
      </w:pPr>
      <w:r w:rsidRPr="009E06AA">
        <w:t>No improvements are planned for the next inventory submission.</w:t>
      </w:r>
    </w:p>
    <w:p w14:paraId="72D32FC6" w14:textId="77777777" w:rsidR="00AD187C" w:rsidRPr="009E06AA" w:rsidRDefault="00AD187C" w:rsidP="00AD187C">
      <w:pPr>
        <w:pStyle w:val="Heading2"/>
      </w:pPr>
      <w:bookmarkStart w:id="3446" w:name="_Toc160205231"/>
      <w:bookmarkStart w:id="3447" w:name="_Toc160441816"/>
      <w:bookmarkStart w:id="3448" w:name="_Toc164154232"/>
      <w:bookmarkStart w:id="3449" w:name="X0c937cd03feb60680bee749d8530cea897fc4e3"/>
      <w:bookmarkEnd w:id="3417"/>
      <w:bookmarkEnd w:id="3445"/>
      <w:r w:rsidRPr="009E06AA">
        <w:t xml:space="preserve">8.11 </w:t>
      </w:r>
      <w:r w:rsidRPr="009E06AA">
        <w:tab/>
        <w:t>Emissions from Manure management in Tokelau</w:t>
      </w:r>
      <w:bookmarkEnd w:id="3446"/>
      <w:bookmarkEnd w:id="3447"/>
      <w:bookmarkEnd w:id="3448"/>
    </w:p>
    <w:p w14:paraId="2ADCC43B" w14:textId="77777777" w:rsidR="00AD187C" w:rsidRPr="009E06AA" w:rsidRDefault="00AD187C" w:rsidP="00AD187C">
      <w:pPr>
        <w:pStyle w:val="Heading3"/>
        <w:tabs>
          <w:tab w:val="clear" w:pos="851"/>
          <w:tab w:val="left" w:pos="993"/>
        </w:tabs>
        <w:spacing w:before="240"/>
      </w:pPr>
      <w:bookmarkStart w:id="3450" w:name="_Toc160205232"/>
      <w:bookmarkStart w:id="3451" w:name="_Toc160441817"/>
      <w:bookmarkStart w:id="3452" w:name="description-6"/>
      <w:r w:rsidRPr="009E06AA">
        <w:t>8.11.1</w:t>
      </w:r>
      <w:r w:rsidRPr="009E06AA">
        <w:tab/>
        <w:t>Description</w:t>
      </w:r>
      <w:bookmarkEnd w:id="3450"/>
      <w:bookmarkEnd w:id="3451"/>
    </w:p>
    <w:p w14:paraId="7260C44D" w14:textId="77777777" w:rsidR="00AD187C" w:rsidRPr="009E06AA" w:rsidRDefault="00AD187C" w:rsidP="00AD187C">
      <w:pPr>
        <w:pStyle w:val="BodyText"/>
        <w:spacing w:before="100" w:after="100"/>
      </w:pPr>
      <w:r w:rsidRPr="009E06AA">
        <w:t xml:space="preserve">The 2006 IPCC Guidelines provide default emission factors for </w:t>
      </w:r>
      <w:r w:rsidRPr="009E06AA">
        <w:rPr>
          <w:i/>
        </w:rPr>
        <w:t>Manure management</w:t>
      </w:r>
      <w:r w:rsidRPr="009E06AA">
        <w:t xml:space="preserve"> (3.B.1) for both swine and poultry, therefore, both animal types are included in reporting from this category (IPCC, 2006c).</w:t>
      </w:r>
    </w:p>
    <w:p w14:paraId="0557B902" w14:textId="77777777" w:rsidR="00AD187C" w:rsidRPr="009E06AA" w:rsidRDefault="00AD187C" w:rsidP="00AD187C">
      <w:pPr>
        <w:pStyle w:val="BodyText"/>
        <w:spacing w:before="100" w:after="100"/>
      </w:pPr>
      <w:r w:rsidRPr="009E06AA">
        <w:rPr>
          <w:i/>
          <w:iCs/>
        </w:rPr>
        <w:t>Manure management – Swine</w:t>
      </w:r>
      <w:r w:rsidRPr="009E06AA">
        <w:t xml:space="preserve"> contributed 92.4 per cent to the total agriculture emissions in Tokelau in 2022 and amounted to 0.85 kt CO</w:t>
      </w:r>
      <w:r w:rsidRPr="009E06AA">
        <w:rPr>
          <w:vertAlign w:val="subscript"/>
        </w:rPr>
        <w:t>2</w:t>
      </w:r>
      <w:r w:rsidRPr="009E06AA">
        <w:t xml:space="preserve">-e. </w:t>
      </w:r>
      <w:r w:rsidRPr="009E06AA">
        <w:rPr>
          <w:i/>
          <w:iCs/>
        </w:rPr>
        <w:t>Manure management</w:t>
      </w:r>
      <w:r w:rsidRPr="009E06AA">
        <w:rPr>
          <w:i/>
        </w:rPr>
        <w:t xml:space="preserve"> – </w:t>
      </w:r>
      <w:r w:rsidRPr="009E06AA">
        <w:rPr>
          <w:i/>
          <w:iCs/>
        </w:rPr>
        <w:t>poultry</w:t>
      </w:r>
      <w:r w:rsidRPr="009E06AA">
        <w:t xml:space="preserve"> was very small at 0.1 per cent (0.0005 kt CO</w:t>
      </w:r>
      <w:r w:rsidRPr="009E06AA">
        <w:rPr>
          <w:vertAlign w:val="subscript"/>
        </w:rPr>
        <w:t>2</w:t>
      </w:r>
      <w:r w:rsidRPr="009E06AA">
        <w:t>-e).</w:t>
      </w:r>
    </w:p>
    <w:p w14:paraId="11613F19" w14:textId="77777777" w:rsidR="00AD187C" w:rsidRPr="009E06AA" w:rsidRDefault="00AD187C" w:rsidP="00AD187C">
      <w:pPr>
        <w:pStyle w:val="Heading3"/>
        <w:tabs>
          <w:tab w:val="clear" w:pos="851"/>
          <w:tab w:val="left" w:pos="993"/>
        </w:tabs>
        <w:spacing w:before="280"/>
      </w:pPr>
      <w:bookmarkStart w:id="3453" w:name="_Toc160205233"/>
      <w:bookmarkStart w:id="3454" w:name="_Toc160441818"/>
      <w:bookmarkStart w:id="3455" w:name="methodological-issues-6"/>
      <w:bookmarkEnd w:id="3452"/>
      <w:r w:rsidRPr="009E06AA">
        <w:t>8.11.2</w:t>
      </w:r>
      <w:r w:rsidRPr="009E06AA">
        <w:tab/>
        <w:t>Methodological issues</w:t>
      </w:r>
      <w:bookmarkEnd w:id="3453"/>
      <w:bookmarkEnd w:id="3454"/>
    </w:p>
    <w:p w14:paraId="5ABE4C7D" w14:textId="77777777" w:rsidR="00AD187C" w:rsidRPr="009E06AA" w:rsidRDefault="00AD187C" w:rsidP="00AD187C">
      <w:pPr>
        <w:pStyle w:val="Heading4"/>
      </w:pPr>
      <w:bookmarkStart w:id="3456" w:name="activity-data-7"/>
      <w:r w:rsidRPr="009E06AA">
        <w:t>Activity data</w:t>
      </w:r>
    </w:p>
    <w:p w14:paraId="51895045" w14:textId="77777777" w:rsidR="00AD187C" w:rsidRPr="009E06AA" w:rsidRDefault="00AD187C" w:rsidP="00AD187C">
      <w:pPr>
        <w:pStyle w:val="BodyText"/>
      </w:pPr>
      <w:r w:rsidRPr="009E06AA">
        <w:t xml:space="preserve">The activity data entries for </w:t>
      </w:r>
      <w:r w:rsidRPr="009E06AA">
        <w:rPr>
          <w:i/>
        </w:rPr>
        <w:t>Manure management</w:t>
      </w:r>
      <w:r w:rsidRPr="009E06AA">
        <w:t xml:space="preserve"> are exactly the same as for </w:t>
      </w:r>
      <w:r w:rsidRPr="009E06AA">
        <w:rPr>
          <w:i/>
        </w:rPr>
        <w:t>Enteric fermentation</w:t>
      </w:r>
      <w:r w:rsidRPr="009E06AA">
        <w:t xml:space="preserve"> (see section 8.10). The assumption is that all poultry are dry layers.</w:t>
      </w:r>
    </w:p>
    <w:p w14:paraId="1BD94062" w14:textId="77777777" w:rsidR="00AD187C" w:rsidRPr="009E06AA" w:rsidRDefault="00AD187C" w:rsidP="00AD187C">
      <w:pPr>
        <w:pStyle w:val="Heading4"/>
      </w:pPr>
      <w:bookmarkStart w:id="3457" w:name="methods-and-emission-factors-5"/>
      <w:bookmarkEnd w:id="3456"/>
      <w:r w:rsidRPr="009E06AA">
        <w:t>Methods and emission factors</w:t>
      </w:r>
    </w:p>
    <w:p w14:paraId="7887B6DB" w14:textId="77777777" w:rsidR="00AD187C" w:rsidRPr="009E06AA" w:rsidRDefault="00AD187C" w:rsidP="00AD187C">
      <w:pPr>
        <w:pStyle w:val="BodyText"/>
      </w:pPr>
      <w:r w:rsidRPr="009E06AA">
        <w:t xml:space="preserve">A Tier 1 methodology with default emission factors provided in table 10.15 in volume 4 of the 2006 IPCC Guidelines was used for estimating emissions from the </w:t>
      </w:r>
      <w:r w:rsidRPr="009E06AA">
        <w:rPr>
          <w:i/>
        </w:rPr>
        <w:t>Manure management</w:t>
      </w:r>
      <w:r w:rsidRPr="009E06AA">
        <w:t xml:space="preserve"> category. The Tier 1 method is based on animal population data and does not require distinguishing between different manure management systems. Equation 10.22 from volume 4 of the 2006 IPCC Guidelines was applied in conjunction with the default emission factors from table 10.14 in volume 4 of 2006 IPCC Guidelines for Oceania with a warm climate. These are 18.5 kg CH</w:t>
      </w:r>
      <w:r w:rsidRPr="009E06AA">
        <w:rPr>
          <w:vertAlign w:val="subscript"/>
        </w:rPr>
        <w:t>4</w:t>
      </w:r>
      <w:r w:rsidRPr="009E06AA">
        <w:t>/head/year for swine and 0.03 kg CH</w:t>
      </w:r>
      <w:r w:rsidRPr="009E06AA">
        <w:rPr>
          <w:vertAlign w:val="subscript"/>
        </w:rPr>
        <w:t>4</w:t>
      </w:r>
      <w:r w:rsidRPr="009E06AA">
        <w:t>/head/year for poultry (IPCC, 2006c).</w:t>
      </w:r>
    </w:p>
    <w:p w14:paraId="097EE5CD" w14:textId="77777777" w:rsidR="00AD187C" w:rsidRPr="009E06AA" w:rsidRDefault="00AD187C" w:rsidP="00AD187C">
      <w:pPr>
        <w:pStyle w:val="Heading3"/>
        <w:tabs>
          <w:tab w:val="clear" w:pos="851"/>
          <w:tab w:val="left" w:pos="993"/>
        </w:tabs>
        <w:spacing w:before="280"/>
      </w:pPr>
      <w:bookmarkStart w:id="3458" w:name="_Toc160205234"/>
      <w:bookmarkStart w:id="3459" w:name="_Toc160441819"/>
      <w:bookmarkStart w:id="3460" w:name="Xffea5ffffc98752bb48def9f34f9e4b8030b4fc"/>
      <w:bookmarkEnd w:id="3455"/>
      <w:bookmarkEnd w:id="3457"/>
      <w:r w:rsidRPr="009E06AA">
        <w:t xml:space="preserve">8.11.3 </w:t>
      </w:r>
      <w:r w:rsidRPr="009E06AA">
        <w:tab/>
        <w:t>Uncertainty assessment and time-series consistency</w:t>
      </w:r>
      <w:bookmarkEnd w:id="3458"/>
      <w:bookmarkEnd w:id="3459"/>
    </w:p>
    <w:p w14:paraId="64428EDC" w14:textId="77777777" w:rsidR="00AD187C" w:rsidRPr="009E06AA" w:rsidRDefault="00AD187C" w:rsidP="00AD187C">
      <w:pPr>
        <w:pStyle w:val="BodyText"/>
      </w:pPr>
      <w:r w:rsidRPr="009E06AA">
        <w:t xml:space="preserve">Default uncertainty values for activity data and emission factors were used for this category. Section 10.2.3 in volume 4 of the 2006 IPCC Guidelines states that the uncertainty associated with populations will vary widely, depending on the source, but should be within ±20 per cent </w:t>
      </w:r>
      <w:r w:rsidRPr="009E06AA">
        <w:rPr>
          <w:spacing w:val="-2"/>
        </w:rPr>
        <w:t xml:space="preserve">(IPCC, 2006c). The default emission factor uncertainty for </w:t>
      </w:r>
      <w:r w:rsidRPr="009E06AA">
        <w:rPr>
          <w:i/>
          <w:spacing w:val="-2"/>
        </w:rPr>
        <w:t>Manure management</w:t>
      </w:r>
      <w:r w:rsidRPr="009E06AA">
        <w:rPr>
          <w:spacing w:val="-2"/>
        </w:rPr>
        <w:t xml:space="preserve"> is ±30 per cent.</w:t>
      </w:r>
    </w:p>
    <w:p w14:paraId="686F8043" w14:textId="77777777" w:rsidR="00AD187C" w:rsidRPr="009E06AA" w:rsidRDefault="00AD187C" w:rsidP="00AD187C">
      <w:pPr>
        <w:pStyle w:val="BodyText"/>
      </w:pPr>
      <w:r w:rsidRPr="009E06AA">
        <w:t>Time-series consistency was maintained by interpolating the number of animals in between census years (which are generally five years apart).</w:t>
      </w:r>
    </w:p>
    <w:p w14:paraId="18986B3A" w14:textId="77777777" w:rsidR="00AD187C" w:rsidRPr="009E06AA" w:rsidRDefault="00AD187C" w:rsidP="00AD187C">
      <w:pPr>
        <w:pStyle w:val="Heading3"/>
        <w:tabs>
          <w:tab w:val="clear" w:pos="851"/>
          <w:tab w:val="left" w:pos="964"/>
        </w:tabs>
        <w:spacing w:before="280"/>
      </w:pPr>
      <w:bookmarkStart w:id="3461" w:name="_Toc160205235"/>
      <w:bookmarkStart w:id="3462" w:name="_Toc160441820"/>
      <w:bookmarkStart w:id="3463" w:name="Xc428e0d42c859f01c17db7f9908d48fe1a63ff1"/>
      <w:bookmarkStart w:id="3464" w:name="_Toc5269397"/>
      <w:bookmarkStart w:id="3465" w:name="_Toc36224437"/>
      <w:bookmarkStart w:id="3466" w:name="_Toc68786357"/>
      <w:bookmarkStart w:id="3467" w:name="_Toc131591271"/>
      <w:bookmarkEnd w:id="3460"/>
      <w:r w:rsidRPr="009E06AA">
        <w:t xml:space="preserve">8.11.4 </w:t>
      </w:r>
      <w:r w:rsidRPr="009E06AA">
        <w:tab/>
        <w:t>Category-specific QA/QC and verification</w:t>
      </w:r>
      <w:bookmarkEnd w:id="3461"/>
      <w:bookmarkEnd w:id="3462"/>
    </w:p>
    <w:p w14:paraId="2A563E3A" w14:textId="77777777" w:rsidR="00AD187C" w:rsidRPr="009E06AA" w:rsidRDefault="00AD187C" w:rsidP="00AD187C">
      <w:pPr>
        <w:pStyle w:val="BodyText"/>
      </w:pPr>
      <w:r w:rsidRPr="009E06AA">
        <w:t>Quality control of the activity data and calculations was applied to each category for Tokelau. No verification was possible because no alternative data were available.</w:t>
      </w:r>
    </w:p>
    <w:p w14:paraId="499E0CB7" w14:textId="77777777" w:rsidR="00AD187C" w:rsidRPr="009E06AA" w:rsidRDefault="00AD187C" w:rsidP="00AD187C">
      <w:pPr>
        <w:pStyle w:val="Heading3"/>
        <w:tabs>
          <w:tab w:val="clear" w:pos="851"/>
          <w:tab w:val="left" w:pos="964"/>
        </w:tabs>
        <w:spacing w:before="280"/>
      </w:pPr>
      <w:bookmarkStart w:id="3468" w:name="_Toc160205236"/>
      <w:bookmarkStart w:id="3469" w:name="_Toc160441821"/>
      <w:bookmarkStart w:id="3470" w:name="category-specific-recalculations-6"/>
      <w:bookmarkEnd w:id="3463"/>
      <w:r w:rsidRPr="009E06AA">
        <w:t xml:space="preserve">8.11.5 </w:t>
      </w:r>
      <w:r w:rsidRPr="009E06AA">
        <w:tab/>
        <w:t>Category-specific recalculations</w:t>
      </w:r>
      <w:bookmarkEnd w:id="3468"/>
      <w:bookmarkEnd w:id="3469"/>
    </w:p>
    <w:p w14:paraId="4F5A938F" w14:textId="77777777" w:rsidR="00AD187C" w:rsidRPr="009E06AA" w:rsidRDefault="00AD187C" w:rsidP="00AD187C">
      <w:pPr>
        <w:pStyle w:val="BodyText"/>
      </w:pPr>
      <w:r w:rsidRPr="009E06AA">
        <w:t xml:space="preserve">There were no changes to estimates for the </w:t>
      </w:r>
      <w:r w:rsidRPr="009E06AA">
        <w:rPr>
          <w:i/>
          <w:iCs/>
        </w:rPr>
        <w:t>Manure management</w:t>
      </w:r>
      <w:r w:rsidRPr="009E06AA">
        <w:t xml:space="preserve"> category.</w:t>
      </w:r>
    </w:p>
    <w:p w14:paraId="60DBAEF0" w14:textId="77777777" w:rsidR="00AD187C" w:rsidRPr="009E06AA" w:rsidRDefault="00AD187C" w:rsidP="00AD187C">
      <w:pPr>
        <w:pStyle w:val="Heading3"/>
        <w:tabs>
          <w:tab w:val="clear" w:pos="851"/>
          <w:tab w:val="left" w:pos="964"/>
        </w:tabs>
        <w:spacing w:before="280"/>
      </w:pPr>
      <w:bookmarkStart w:id="3471" w:name="_Toc160205237"/>
      <w:bookmarkStart w:id="3472" w:name="_Toc160441822"/>
      <w:bookmarkStart w:id="3473" w:name="source-specific-planned-improvements-6"/>
      <w:bookmarkEnd w:id="3470"/>
      <w:r w:rsidRPr="009E06AA">
        <w:t xml:space="preserve">8.11.6 </w:t>
      </w:r>
      <w:r w:rsidRPr="009E06AA">
        <w:tab/>
        <w:t>Category-specific planned improvements</w:t>
      </w:r>
      <w:bookmarkEnd w:id="3471"/>
      <w:bookmarkEnd w:id="3472"/>
    </w:p>
    <w:p w14:paraId="66D30CCB" w14:textId="77777777" w:rsidR="00AD187C" w:rsidRPr="009E06AA" w:rsidRDefault="00AD187C" w:rsidP="00AD187C">
      <w:pPr>
        <w:pStyle w:val="BodyText"/>
      </w:pPr>
      <w:r w:rsidRPr="009E06AA">
        <w:t>No improvements are planned for the next inventory submission.</w:t>
      </w:r>
    </w:p>
    <w:p w14:paraId="499EBF42" w14:textId="77777777" w:rsidR="00AD187C" w:rsidRPr="009E06AA" w:rsidRDefault="00AD187C" w:rsidP="00AD187C">
      <w:pPr>
        <w:pStyle w:val="Heading2"/>
        <w:tabs>
          <w:tab w:val="clear" w:pos="851"/>
          <w:tab w:val="left" w:pos="964"/>
        </w:tabs>
      </w:pPr>
      <w:bookmarkStart w:id="3474" w:name="_Toc160205238"/>
      <w:bookmarkStart w:id="3475" w:name="_Toc160441823"/>
      <w:bookmarkStart w:id="3476" w:name="_Toc164154233"/>
      <w:bookmarkStart w:id="3477" w:name="Xfced506df1b9a6e5f52b3bde10fa5de3a5bd483"/>
      <w:bookmarkEnd w:id="3449"/>
      <w:bookmarkEnd w:id="3473"/>
      <w:r w:rsidRPr="009E06AA">
        <w:t xml:space="preserve">8.12 </w:t>
      </w:r>
      <w:r w:rsidRPr="009E06AA">
        <w:tab/>
        <w:t>Emissions from the Waste sector in Tokelau (6 Tokelau_5)</w:t>
      </w:r>
      <w:bookmarkEnd w:id="3464"/>
      <w:bookmarkEnd w:id="3465"/>
      <w:bookmarkEnd w:id="3466"/>
      <w:bookmarkEnd w:id="3467"/>
      <w:bookmarkEnd w:id="3474"/>
      <w:bookmarkEnd w:id="3475"/>
      <w:bookmarkEnd w:id="3476"/>
    </w:p>
    <w:p w14:paraId="6A1C15F3" w14:textId="77777777" w:rsidR="00AD187C" w:rsidRPr="009E06AA" w:rsidRDefault="00AD187C" w:rsidP="00AD187C">
      <w:pPr>
        <w:pStyle w:val="BodyText"/>
        <w:spacing w:before="100" w:after="100"/>
      </w:pPr>
      <w:r w:rsidRPr="009E06AA">
        <w:t>The total amount of all Waste sector emissions in Tokelau in 2022 was 0.77 kt CO</w:t>
      </w:r>
      <w:r w:rsidRPr="009E06AA">
        <w:rPr>
          <w:vertAlign w:val="subscript"/>
        </w:rPr>
        <w:t>2</w:t>
      </w:r>
      <w:r w:rsidRPr="009E06AA">
        <w:t xml:space="preserve">-e, making the Waste sector the third-biggest emitter in Tokelau. The Waste sector contributed 16.5 per cent to the total emissions from Tokelau and 0.001 per cent to New Zealand’s gross emissions including Tokelau. </w:t>
      </w:r>
    </w:p>
    <w:p w14:paraId="5282F659" w14:textId="77777777" w:rsidR="00AD187C" w:rsidRPr="009E06AA" w:rsidRDefault="00AD187C" w:rsidP="00AD187C">
      <w:pPr>
        <w:pStyle w:val="BodyText"/>
        <w:spacing w:before="100" w:after="100"/>
      </w:pPr>
      <w:r w:rsidRPr="009E06AA">
        <w:t xml:space="preserve">The sources of emissions in the Waste sector in Tokelau were from the categories </w:t>
      </w:r>
      <w:r w:rsidRPr="009E06AA">
        <w:rPr>
          <w:i/>
        </w:rPr>
        <w:t>Solid waste disposal</w:t>
      </w:r>
      <w:r w:rsidRPr="009E06AA">
        <w:t xml:space="preserve">, </w:t>
      </w:r>
      <w:r w:rsidRPr="009E06AA">
        <w:rPr>
          <w:i/>
        </w:rPr>
        <w:t>Wastewater treatment and discharge</w:t>
      </w:r>
      <w:r w:rsidRPr="009E06AA">
        <w:t xml:space="preserve"> and </w:t>
      </w:r>
      <w:r w:rsidRPr="009E06AA">
        <w:rPr>
          <w:i/>
        </w:rPr>
        <w:t>Incineration and open burning of waste</w:t>
      </w:r>
      <w:r w:rsidRPr="009E06AA">
        <w:t>, which contributed 44.7 per cent, 38.5 per cent and 16.8 per cent, respectively, to the total emissions from the Waste sector in Tokelau.</w:t>
      </w:r>
    </w:p>
    <w:p w14:paraId="0531A3D4" w14:textId="77777777" w:rsidR="00AD187C" w:rsidRPr="009E06AA" w:rsidRDefault="00AD187C" w:rsidP="00AD187C">
      <w:pPr>
        <w:pStyle w:val="BodyText"/>
        <w:spacing w:before="100" w:after="100"/>
      </w:pPr>
      <w:r w:rsidRPr="009E06AA">
        <w:t>The raw data related to the Waste sector were obtained from multiple sources (see items 1 to 5, 11, and 13 to 16 in table 8.1.1). The data were compiled, analysed and processed by the Tokelau National Statistics Office to produce activity data. The human population data were used as a driver for estimates in all of the Waste categories.</w:t>
      </w:r>
    </w:p>
    <w:p w14:paraId="5C66BA48" w14:textId="77777777" w:rsidR="00AD187C" w:rsidRPr="009E06AA" w:rsidRDefault="00AD187C" w:rsidP="00AD187C">
      <w:pPr>
        <w:pStyle w:val="BodyText"/>
        <w:spacing w:before="100" w:after="100"/>
      </w:pPr>
      <w:r w:rsidRPr="009E06AA">
        <w:t>Emissions from all categories reported in the Waste sector for Tokelau were estimated using a Tier 1 methodological approach (IPCC, 2006d). Figure 8.12.1 shows emission trends in the Waste sector by category for Tokelau.</w:t>
      </w:r>
    </w:p>
    <w:p w14:paraId="6C0533D2" w14:textId="4771E6DC" w:rsidR="00AD187C" w:rsidRPr="009E06AA" w:rsidRDefault="00AD187C" w:rsidP="00AD187C">
      <w:pPr>
        <w:pStyle w:val="Figure"/>
        <w:spacing w:after="80"/>
      </w:pPr>
      <w:bookmarkStart w:id="3478" w:name="_Toc36292832"/>
      <w:bookmarkStart w:id="3479" w:name="_Toc64972939"/>
      <w:bookmarkStart w:id="3480" w:name="_Toc68786696"/>
      <w:bookmarkStart w:id="3481" w:name="_Toc130211304"/>
      <w:bookmarkStart w:id="3482" w:name="_Toc131591589"/>
      <w:bookmarkStart w:id="3483" w:name="_Toc160205435"/>
      <w:bookmarkStart w:id="3484" w:name="_Toc160441572"/>
      <w:bookmarkStart w:id="3485" w:name="_Toc164154058"/>
      <w:r w:rsidRPr="009E06AA">
        <w:rPr>
          <w:bCs/>
        </w:rPr>
        <w:t xml:space="preserve">Figure 8.12.1 </w:t>
      </w:r>
      <w:r w:rsidRPr="009E06AA">
        <w:rPr>
          <w:bCs/>
        </w:rPr>
        <w:tab/>
        <w:t>Waste sector emissions by category for Tokelau (kt CO</w:t>
      </w:r>
      <w:r w:rsidRPr="009E06AA">
        <w:rPr>
          <w:bCs/>
          <w:vertAlign w:val="subscript"/>
        </w:rPr>
        <w:t>2</w:t>
      </w:r>
      <w:r w:rsidRPr="009E06AA">
        <w:rPr>
          <w:bCs/>
        </w:rPr>
        <w:t>-e)</w:t>
      </w:r>
      <w:r w:rsidR="00A360EE" w:rsidRPr="009E06AA">
        <w:rPr>
          <w:bCs/>
        </w:rPr>
        <w:t>,</w:t>
      </w:r>
      <w:r w:rsidRPr="009E06AA">
        <w:rPr>
          <w:bCs/>
        </w:rPr>
        <w:t xml:space="preserve"> from 1990 to </w:t>
      </w:r>
      <w:bookmarkEnd w:id="3478"/>
      <w:bookmarkEnd w:id="3479"/>
      <w:bookmarkEnd w:id="3480"/>
      <w:bookmarkEnd w:id="3481"/>
      <w:bookmarkEnd w:id="3482"/>
      <w:r w:rsidRPr="009E06AA">
        <w:rPr>
          <w:bCs/>
        </w:rPr>
        <w:t>2022</w:t>
      </w:r>
      <w:bookmarkEnd w:id="3483"/>
      <w:bookmarkEnd w:id="3484"/>
      <w:bookmarkEnd w:id="3485"/>
    </w:p>
    <w:p w14:paraId="1EA1ED10" w14:textId="77777777" w:rsidR="00AD187C" w:rsidRPr="009E06AA" w:rsidRDefault="00AD187C" w:rsidP="00AD187C">
      <w:pPr>
        <w:pStyle w:val="BodyText"/>
      </w:pPr>
      <w:r w:rsidRPr="009E06AA">
        <w:rPr>
          <w:noProof/>
        </w:rPr>
        <w:drawing>
          <wp:inline distT="0" distB="0" distL="0" distR="0" wp14:anchorId="2B4D5F65" wp14:editId="5251671A">
            <wp:extent cx="5397424" cy="2993366"/>
            <wp:effectExtent l="0" t="0" r="0" b="0"/>
            <wp:docPr id="139" name="Picture 139"/>
            <wp:cNvGraphicFramePr/>
            <a:graphic xmlns:a="http://schemas.openxmlformats.org/drawingml/2006/main">
              <a:graphicData uri="http://schemas.openxmlformats.org/drawingml/2006/picture">
                <pic:pic xmlns:pic="http://schemas.openxmlformats.org/drawingml/2006/picture">
                  <pic:nvPicPr>
                    <pic:cNvPr id="140" name="Picture" descr="images/fig_8_12_1.png"/>
                    <pic:cNvPicPr>
                      <a:picLocks noChangeAspect="1" noChangeArrowheads="1"/>
                    </pic:cNvPicPr>
                  </pic:nvPicPr>
                  <pic:blipFill rotWithShape="1">
                    <a:blip r:embed="rId185"/>
                    <a:srcRect b="1895"/>
                    <a:stretch/>
                  </pic:blipFill>
                  <pic:spPr bwMode="auto">
                    <a:xfrm>
                      <a:off x="0" y="0"/>
                      <a:ext cx="5397500" cy="2993408"/>
                    </a:xfrm>
                    <a:prstGeom prst="rect">
                      <a:avLst/>
                    </a:prstGeom>
                    <a:noFill/>
                    <a:ln>
                      <a:noFill/>
                    </a:ln>
                    <a:extLst>
                      <a:ext uri="{53640926-AAD7-44D8-BBD7-CCE9431645EC}">
                        <a14:shadowObscured xmlns:a14="http://schemas.microsoft.com/office/drawing/2010/main"/>
                      </a:ext>
                    </a:extLst>
                  </pic:spPr>
                </pic:pic>
              </a:graphicData>
            </a:graphic>
          </wp:inline>
        </w:drawing>
      </w:r>
      <w:r w:rsidRPr="009E06AA">
        <w:t xml:space="preserve"> </w:t>
      </w:r>
    </w:p>
    <w:p w14:paraId="45103656" w14:textId="77777777" w:rsidR="00AD187C" w:rsidRPr="009E06AA" w:rsidRDefault="00AD187C" w:rsidP="00AD187C">
      <w:pPr>
        <w:pStyle w:val="Heading2"/>
        <w:tabs>
          <w:tab w:val="clear" w:pos="851"/>
          <w:tab w:val="left" w:pos="964"/>
        </w:tabs>
      </w:pPr>
      <w:bookmarkStart w:id="3486" w:name="_Toc160205239"/>
      <w:bookmarkStart w:id="3487" w:name="_Toc160441824"/>
      <w:bookmarkStart w:id="3488" w:name="_Toc164154234"/>
      <w:bookmarkStart w:id="3489" w:name="X725de2b5a6a918fdd4faec738dc6e98560fba3a"/>
      <w:bookmarkEnd w:id="3477"/>
      <w:r w:rsidRPr="009E06AA">
        <w:t xml:space="preserve">8.13 </w:t>
      </w:r>
      <w:r w:rsidRPr="009E06AA">
        <w:tab/>
        <w:t>Emissions from Solid waste disposal in Tokelau</w:t>
      </w:r>
      <w:bookmarkEnd w:id="3486"/>
      <w:bookmarkEnd w:id="3487"/>
      <w:bookmarkEnd w:id="3488"/>
    </w:p>
    <w:p w14:paraId="1A014B93" w14:textId="77777777" w:rsidR="00AD187C" w:rsidRPr="009E06AA" w:rsidRDefault="00AD187C" w:rsidP="00AD187C">
      <w:pPr>
        <w:pStyle w:val="Heading3"/>
        <w:tabs>
          <w:tab w:val="clear" w:pos="851"/>
          <w:tab w:val="left" w:pos="964"/>
        </w:tabs>
        <w:spacing w:before="180"/>
      </w:pPr>
      <w:bookmarkStart w:id="3490" w:name="_Toc160205240"/>
      <w:bookmarkStart w:id="3491" w:name="_Toc160441825"/>
      <w:bookmarkStart w:id="3492" w:name="description-7"/>
      <w:r w:rsidRPr="009E06AA">
        <w:t>8.13.1</w:t>
      </w:r>
      <w:r w:rsidRPr="009E06AA">
        <w:tab/>
        <w:t>Description</w:t>
      </w:r>
      <w:bookmarkEnd w:id="3490"/>
      <w:bookmarkEnd w:id="3491"/>
    </w:p>
    <w:p w14:paraId="3EBD0112" w14:textId="77777777" w:rsidR="00AD187C" w:rsidRPr="009E06AA" w:rsidRDefault="00AD187C" w:rsidP="00AD187C">
      <w:pPr>
        <w:pStyle w:val="BodyText"/>
        <w:spacing w:after="100"/>
      </w:pPr>
      <w:r w:rsidRPr="009E06AA">
        <w:t>According to the 2016 Tokelau Census, most household rubbish is collected by village workers. Fakaofo had the highest proportion of households where all rubbish was collected (72.9 per cent). Of all private occupied dwellings, 98.8 per cent had at least some of their household rubbish collected. Most of the collected rubbish is either burned on the reef or buried in centralised areas of the islands. Exceptions are the organic waste, which is fed daily to pigs, large beer bottles that are exported for recycling to Apia (Samoa) and metal waste that is collected and sold as scrap in Apia under an MoU with a Samoan company.</w:t>
      </w:r>
      <w:r w:rsidRPr="009E06AA">
        <w:rPr>
          <w:rStyle w:val="FootnoteReference"/>
        </w:rPr>
        <w:footnoteReference w:id="67"/>
      </w:r>
    </w:p>
    <w:p w14:paraId="73DEF1FE" w14:textId="77777777" w:rsidR="00AD187C" w:rsidRPr="009E06AA" w:rsidRDefault="00AD187C" w:rsidP="00AD187C">
      <w:pPr>
        <w:pStyle w:val="BodyText"/>
        <w:spacing w:before="100" w:after="100"/>
      </w:pPr>
      <w:r w:rsidRPr="009E06AA">
        <w:t>Where village workers do not collect household rubbish, households use alternative methods for disposal. The most common methods are burning, burial and disposing of in the garden. Tokelau has no dedicated categorised landfills, therefore, solid waste disposal is reported for uncategorised landfills only.</w:t>
      </w:r>
    </w:p>
    <w:p w14:paraId="4AF6910A" w14:textId="77777777" w:rsidR="00AD187C" w:rsidRPr="009E06AA" w:rsidRDefault="00AD187C" w:rsidP="00AD187C">
      <w:pPr>
        <w:pStyle w:val="BodyText"/>
        <w:spacing w:before="100" w:after="100"/>
      </w:pPr>
      <w:r w:rsidRPr="009E06AA">
        <w:t xml:space="preserve">The </w:t>
      </w:r>
      <w:r w:rsidRPr="009E06AA">
        <w:rPr>
          <w:i/>
          <w:iCs/>
        </w:rPr>
        <w:t>Solid waste disposal</w:t>
      </w:r>
      <w:r w:rsidRPr="009E06AA">
        <w:t xml:space="preserve"> category contributed 44.7 per cent to the total Waste emissions in Tokelau in 2022, which amounted to 0.35 kt CO</w:t>
      </w:r>
      <w:r w:rsidRPr="009E06AA">
        <w:rPr>
          <w:vertAlign w:val="subscript"/>
        </w:rPr>
        <w:t>2</w:t>
      </w:r>
      <w:r w:rsidRPr="009E06AA">
        <w:t>-e.</w:t>
      </w:r>
    </w:p>
    <w:p w14:paraId="7026F888" w14:textId="77777777" w:rsidR="00AD187C" w:rsidRPr="009E06AA" w:rsidRDefault="00AD187C" w:rsidP="00AD187C">
      <w:pPr>
        <w:pStyle w:val="Heading3"/>
        <w:tabs>
          <w:tab w:val="clear" w:pos="851"/>
          <w:tab w:val="left" w:pos="964"/>
        </w:tabs>
        <w:spacing w:before="280"/>
      </w:pPr>
      <w:bookmarkStart w:id="3493" w:name="_Toc160205241"/>
      <w:bookmarkStart w:id="3494" w:name="_Toc160441826"/>
      <w:bookmarkStart w:id="3495" w:name="methodological-issues-7"/>
      <w:bookmarkEnd w:id="3492"/>
      <w:r w:rsidRPr="009E06AA">
        <w:t>8.13.2</w:t>
      </w:r>
      <w:r w:rsidRPr="009E06AA">
        <w:tab/>
        <w:t>Methodological issues</w:t>
      </w:r>
      <w:bookmarkEnd w:id="3493"/>
      <w:bookmarkEnd w:id="3494"/>
    </w:p>
    <w:p w14:paraId="221979B0" w14:textId="77777777" w:rsidR="00AD187C" w:rsidRPr="009E06AA" w:rsidRDefault="00AD187C" w:rsidP="00AD187C">
      <w:pPr>
        <w:pStyle w:val="Heading4"/>
        <w:spacing w:before="200"/>
      </w:pPr>
      <w:bookmarkStart w:id="3496" w:name="activity-data-8"/>
      <w:r w:rsidRPr="009E06AA">
        <w:t>Activity data</w:t>
      </w:r>
    </w:p>
    <w:p w14:paraId="465E0737" w14:textId="77777777" w:rsidR="00AD187C" w:rsidRPr="009E06AA" w:rsidRDefault="00AD187C" w:rsidP="00AD187C">
      <w:pPr>
        <w:pStyle w:val="Bullet"/>
        <w:spacing w:before="120" w:after="100"/>
      </w:pPr>
      <w:r w:rsidRPr="009E06AA">
        <w:t>The total amount of solid waste is based on the 2006 IPCC default of 690 kg/person/year for Oceania (IPCC, 2006d). This is likely to be an overestimate, however, a country-specific value is not available.</w:t>
      </w:r>
    </w:p>
    <w:p w14:paraId="20479E40" w14:textId="77777777" w:rsidR="00AD187C" w:rsidRPr="009E06AA" w:rsidRDefault="00AD187C" w:rsidP="00AD187C">
      <w:pPr>
        <w:pStyle w:val="Bullet"/>
        <w:spacing w:after="100"/>
      </w:pPr>
      <w:r w:rsidRPr="009E06AA">
        <w:t>Solid waste is assumed to be half buried and the other half burned. As above, this does not account for exported solid waste or organic waste fed to pigs and will be an overestimate.</w:t>
      </w:r>
    </w:p>
    <w:p w14:paraId="768ECBD9" w14:textId="77777777" w:rsidR="00AD187C" w:rsidRPr="009E06AA" w:rsidRDefault="00AD187C" w:rsidP="00AD187C">
      <w:pPr>
        <w:pStyle w:val="Bullet"/>
        <w:spacing w:after="100"/>
      </w:pPr>
      <w:r w:rsidRPr="009E06AA">
        <w:t>The composition of solid waste for the landfill calculations is based on the 2006 IPCC default (67.5 per cent food, 6 per cent paper/cardboard, 2.5 per cent wood, and the remaining 24 per cent is ‘inert’) (IPCC, 2006d). This does not take into account the food waste that is fed to animals or used for composting and gardens, nor data on waste composition, such as disposable nappies, and will likely be an overestimate overall.</w:t>
      </w:r>
    </w:p>
    <w:p w14:paraId="5F2F326D" w14:textId="77777777" w:rsidR="00AD187C" w:rsidRPr="009E06AA" w:rsidRDefault="00AD187C" w:rsidP="00AD187C">
      <w:pPr>
        <w:pStyle w:val="Heading4"/>
      </w:pPr>
      <w:bookmarkStart w:id="3497" w:name="methods-and-emission-factors-6"/>
      <w:bookmarkEnd w:id="3496"/>
      <w:r w:rsidRPr="009E06AA">
        <w:t>Methods and emission factors</w:t>
      </w:r>
    </w:p>
    <w:p w14:paraId="30AE5D56" w14:textId="77777777" w:rsidR="00AD187C" w:rsidRPr="009E06AA" w:rsidRDefault="00AD187C" w:rsidP="00AD187C">
      <w:pPr>
        <w:pStyle w:val="BodyText"/>
        <w:spacing w:before="100" w:after="100"/>
      </w:pPr>
      <w:r w:rsidRPr="009E06AA">
        <w:t>A Tier 1 methodology has been applied to estimate emissions from this category. The Tier 1 approach is to use all default values. It is assumed that 50 per cent of waste is buried (landfilled) and the other 50 per cent is burned. Any amounts of waste shipped offshore are additional and are not counted. Table 8.13.1 sums up the information about parameters used for calculating emissions from this category.</w:t>
      </w:r>
    </w:p>
    <w:p w14:paraId="2C3F68A3" w14:textId="77777777" w:rsidR="00AD187C" w:rsidRPr="009E06AA" w:rsidRDefault="00AD187C" w:rsidP="00AD187C">
      <w:pPr>
        <w:pStyle w:val="Table"/>
      </w:pPr>
      <w:bookmarkStart w:id="3498" w:name="_Toc5269602"/>
      <w:bookmarkStart w:id="3499" w:name="_Toc36224683"/>
      <w:bookmarkStart w:id="3500" w:name="_Toc68786569"/>
      <w:bookmarkStart w:id="3501" w:name="_Toc130211275"/>
      <w:bookmarkStart w:id="3502" w:name="_Toc131591476"/>
      <w:bookmarkStart w:id="3503" w:name="_Toc160205512"/>
      <w:bookmarkStart w:id="3504" w:name="_Toc160441631"/>
      <w:bookmarkStart w:id="3505" w:name="_Toc164153967"/>
      <w:r w:rsidRPr="009E06AA">
        <w:t xml:space="preserve">Table 8.13.1 </w:t>
      </w:r>
      <w:r w:rsidRPr="009E06AA">
        <w:tab/>
        <w:t>Summary of parameters for uncategorised landfills in Tokelau</w:t>
      </w:r>
      <w:bookmarkEnd w:id="3498"/>
      <w:bookmarkEnd w:id="3499"/>
      <w:bookmarkEnd w:id="3500"/>
      <w:bookmarkEnd w:id="3501"/>
      <w:bookmarkEnd w:id="3502"/>
      <w:bookmarkEnd w:id="3503"/>
      <w:bookmarkEnd w:id="3504"/>
      <w:bookmarkEnd w:id="3505"/>
    </w:p>
    <w:tbl>
      <w:tblPr>
        <w:tblW w:w="8505" w:type="dxa"/>
        <w:tblBorders>
          <w:top w:val="single" w:sz="4" w:space="0" w:color="1B556B" w:themeColor="text2"/>
          <w:bottom w:val="single" w:sz="4" w:space="0" w:color="1B556B" w:themeColor="text2"/>
          <w:insideH w:val="single" w:sz="4" w:space="0" w:color="1B556B" w:themeColor="text2"/>
        </w:tblBorders>
        <w:tblLook w:val="0420" w:firstRow="1" w:lastRow="0" w:firstColumn="0" w:lastColumn="0" w:noHBand="0" w:noVBand="1"/>
      </w:tblPr>
      <w:tblGrid>
        <w:gridCol w:w="2862"/>
        <w:gridCol w:w="998"/>
        <w:gridCol w:w="1923"/>
        <w:gridCol w:w="2722"/>
      </w:tblGrid>
      <w:tr w:rsidR="00AD187C" w:rsidRPr="009E06AA" w14:paraId="4CEBCC37" w14:textId="77777777" w:rsidTr="00B55F24">
        <w:trPr>
          <w:tblHeader/>
        </w:trPr>
        <w:tc>
          <w:tcPr>
            <w:tcW w:w="0" w:type="auto"/>
            <w:shd w:val="clear" w:color="auto" w:fill="1B556B"/>
            <w:tcMar>
              <w:top w:w="0" w:type="dxa"/>
              <w:left w:w="85" w:type="dxa"/>
              <w:bottom w:w="0" w:type="dxa"/>
              <w:right w:w="85" w:type="dxa"/>
            </w:tcMar>
          </w:tcPr>
          <w:p w14:paraId="179DF821" w14:textId="77777777" w:rsidR="00AD187C" w:rsidRPr="009E06AA" w:rsidRDefault="00AD187C" w:rsidP="00B55F24">
            <w:pPr>
              <w:pStyle w:val="TableTextBold"/>
              <w:spacing w:before="40" w:after="40"/>
              <w:rPr>
                <w:noProof w:val="0"/>
                <w:color w:val="FFFFFF" w:themeColor="background1"/>
                <w:szCs w:val="16"/>
              </w:rPr>
            </w:pPr>
            <w:r w:rsidRPr="009E06AA">
              <w:rPr>
                <w:noProof w:val="0"/>
                <w:color w:val="FFFFFF" w:themeColor="background1"/>
                <w:szCs w:val="16"/>
              </w:rPr>
              <w:t>Parameter</w:t>
            </w:r>
          </w:p>
        </w:tc>
        <w:tc>
          <w:tcPr>
            <w:tcW w:w="0" w:type="auto"/>
            <w:shd w:val="clear" w:color="auto" w:fill="1B556B"/>
            <w:tcMar>
              <w:top w:w="0" w:type="dxa"/>
              <w:left w:w="85" w:type="dxa"/>
              <w:bottom w:w="0" w:type="dxa"/>
              <w:right w:w="85" w:type="dxa"/>
            </w:tcMar>
          </w:tcPr>
          <w:p w14:paraId="2244C555" w14:textId="77777777" w:rsidR="00AD187C" w:rsidRPr="009E06AA" w:rsidRDefault="00AD187C" w:rsidP="009220D7">
            <w:pPr>
              <w:pStyle w:val="TableTextBold"/>
              <w:spacing w:before="40" w:after="40"/>
              <w:jc w:val="right"/>
              <w:rPr>
                <w:noProof w:val="0"/>
                <w:color w:val="FFFFFF" w:themeColor="background1"/>
                <w:szCs w:val="16"/>
              </w:rPr>
            </w:pPr>
            <w:r w:rsidRPr="009E06AA">
              <w:rPr>
                <w:noProof w:val="0"/>
                <w:color w:val="FFFFFF" w:themeColor="background1"/>
                <w:szCs w:val="16"/>
              </w:rPr>
              <w:t>Values</w:t>
            </w:r>
          </w:p>
        </w:tc>
        <w:tc>
          <w:tcPr>
            <w:tcW w:w="0" w:type="auto"/>
            <w:shd w:val="clear" w:color="auto" w:fill="1B556B"/>
            <w:tcMar>
              <w:top w:w="0" w:type="dxa"/>
              <w:left w:w="85" w:type="dxa"/>
              <w:bottom w:w="0" w:type="dxa"/>
              <w:right w:w="85" w:type="dxa"/>
            </w:tcMar>
          </w:tcPr>
          <w:p w14:paraId="43532253" w14:textId="77777777" w:rsidR="00AD187C" w:rsidRPr="009E06AA" w:rsidRDefault="00AD187C" w:rsidP="00B55F24">
            <w:pPr>
              <w:pStyle w:val="TableTextBold"/>
              <w:spacing w:before="40" w:after="40"/>
              <w:rPr>
                <w:noProof w:val="0"/>
                <w:color w:val="FFFFFF" w:themeColor="background1"/>
                <w:szCs w:val="16"/>
              </w:rPr>
            </w:pPr>
            <w:r w:rsidRPr="009E06AA">
              <w:rPr>
                <w:noProof w:val="0"/>
                <w:color w:val="FFFFFF" w:themeColor="background1"/>
                <w:szCs w:val="16"/>
              </w:rPr>
              <w:t>Source</w:t>
            </w:r>
          </w:p>
        </w:tc>
        <w:tc>
          <w:tcPr>
            <w:tcW w:w="0" w:type="auto"/>
            <w:shd w:val="clear" w:color="auto" w:fill="1B556B"/>
            <w:tcMar>
              <w:top w:w="0" w:type="dxa"/>
              <w:left w:w="85" w:type="dxa"/>
              <w:bottom w:w="0" w:type="dxa"/>
              <w:right w:w="85" w:type="dxa"/>
            </w:tcMar>
          </w:tcPr>
          <w:p w14:paraId="675898D3" w14:textId="77777777" w:rsidR="00AD187C" w:rsidRPr="009E06AA" w:rsidRDefault="00AD187C" w:rsidP="00B55F24">
            <w:pPr>
              <w:pStyle w:val="TableTextBold"/>
              <w:spacing w:before="40" w:after="40"/>
              <w:rPr>
                <w:noProof w:val="0"/>
                <w:color w:val="FFFFFF" w:themeColor="background1"/>
                <w:szCs w:val="16"/>
              </w:rPr>
            </w:pPr>
            <w:r w:rsidRPr="009E06AA">
              <w:rPr>
                <w:noProof w:val="0"/>
                <w:color w:val="FFFFFF" w:themeColor="background1"/>
                <w:szCs w:val="16"/>
              </w:rPr>
              <w:t>Reference</w:t>
            </w:r>
          </w:p>
        </w:tc>
      </w:tr>
      <w:tr w:rsidR="00AD187C" w:rsidRPr="009E06AA" w14:paraId="409B9509" w14:textId="77777777" w:rsidTr="00B55F24">
        <w:trPr>
          <w:trHeight w:val="283"/>
        </w:trPr>
        <w:tc>
          <w:tcPr>
            <w:tcW w:w="0" w:type="auto"/>
            <w:shd w:val="clear" w:color="auto" w:fill="FFFFFF"/>
            <w:tcMar>
              <w:top w:w="0" w:type="dxa"/>
              <w:left w:w="85" w:type="dxa"/>
              <w:bottom w:w="0" w:type="dxa"/>
              <w:right w:w="85" w:type="dxa"/>
            </w:tcMar>
          </w:tcPr>
          <w:p w14:paraId="0D063399" w14:textId="77777777" w:rsidR="00AD187C" w:rsidRPr="009E06AA" w:rsidRDefault="00AD187C" w:rsidP="00B55F24">
            <w:pPr>
              <w:pStyle w:val="TableText"/>
              <w:spacing w:before="40" w:after="40"/>
              <w:rPr>
                <w:szCs w:val="16"/>
              </w:rPr>
            </w:pPr>
            <w:r w:rsidRPr="009E06AA">
              <w:rPr>
                <w:color w:val="000000"/>
                <w:szCs w:val="16"/>
              </w:rPr>
              <w:t>Bulk MSW DOC (kt C/kt waste)</w:t>
            </w:r>
          </w:p>
        </w:tc>
        <w:tc>
          <w:tcPr>
            <w:tcW w:w="0" w:type="auto"/>
            <w:shd w:val="clear" w:color="auto" w:fill="FFFFFF"/>
            <w:tcMar>
              <w:top w:w="0" w:type="dxa"/>
              <w:left w:w="85" w:type="dxa"/>
              <w:bottom w:w="0" w:type="dxa"/>
              <w:right w:w="85" w:type="dxa"/>
            </w:tcMar>
          </w:tcPr>
          <w:p w14:paraId="41F63159" w14:textId="77777777" w:rsidR="00AD187C" w:rsidRPr="009E06AA" w:rsidRDefault="00AD187C" w:rsidP="009220D7">
            <w:pPr>
              <w:pStyle w:val="TableText"/>
              <w:spacing w:before="40" w:after="40"/>
              <w:jc w:val="right"/>
              <w:rPr>
                <w:szCs w:val="16"/>
              </w:rPr>
            </w:pPr>
            <w:r w:rsidRPr="009E06AA">
              <w:rPr>
                <w:color w:val="000000"/>
                <w:szCs w:val="16"/>
              </w:rPr>
              <w:t>0.14</w:t>
            </w:r>
          </w:p>
        </w:tc>
        <w:tc>
          <w:tcPr>
            <w:tcW w:w="0" w:type="auto"/>
            <w:shd w:val="clear" w:color="auto" w:fill="FFFFFF"/>
            <w:tcMar>
              <w:top w:w="0" w:type="dxa"/>
              <w:left w:w="85" w:type="dxa"/>
              <w:bottom w:w="0" w:type="dxa"/>
              <w:right w:w="85" w:type="dxa"/>
            </w:tcMar>
          </w:tcPr>
          <w:p w14:paraId="1CD00916" w14:textId="77777777" w:rsidR="00AD187C" w:rsidRPr="009E06AA" w:rsidRDefault="00AD187C" w:rsidP="00B55F24">
            <w:pPr>
              <w:pStyle w:val="TableText"/>
              <w:spacing w:before="40" w:after="40"/>
              <w:rPr>
                <w:szCs w:val="16"/>
              </w:rPr>
            </w:pPr>
            <w:r w:rsidRPr="009E06AA">
              <w:rPr>
                <w:color w:val="000000"/>
                <w:szCs w:val="16"/>
              </w:rPr>
              <w:t>IPCC default</w:t>
            </w:r>
          </w:p>
        </w:tc>
        <w:tc>
          <w:tcPr>
            <w:tcW w:w="0" w:type="auto"/>
            <w:shd w:val="clear" w:color="auto" w:fill="FFFFFF"/>
            <w:tcMar>
              <w:top w:w="0" w:type="dxa"/>
              <w:left w:w="85" w:type="dxa"/>
              <w:bottom w:w="0" w:type="dxa"/>
              <w:right w:w="85" w:type="dxa"/>
            </w:tcMar>
          </w:tcPr>
          <w:p w14:paraId="73F95E17" w14:textId="77777777" w:rsidR="00AD187C" w:rsidRPr="009E06AA" w:rsidRDefault="00AD187C" w:rsidP="00B55F24">
            <w:pPr>
              <w:pStyle w:val="TableText"/>
              <w:spacing w:before="40" w:after="40"/>
              <w:rPr>
                <w:szCs w:val="16"/>
              </w:rPr>
            </w:pPr>
            <w:r w:rsidRPr="009E06AA">
              <w:rPr>
                <w:color w:val="000000"/>
                <w:szCs w:val="16"/>
              </w:rPr>
              <w:t>IPCC, 2006d (worksheets for SWDS)</w:t>
            </w:r>
          </w:p>
        </w:tc>
      </w:tr>
      <w:tr w:rsidR="00AD187C" w:rsidRPr="009E06AA" w14:paraId="26DCECCA" w14:textId="77777777" w:rsidTr="00B55F24">
        <w:trPr>
          <w:trHeight w:val="283"/>
        </w:trPr>
        <w:tc>
          <w:tcPr>
            <w:tcW w:w="0" w:type="auto"/>
            <w:shd w:val="clear" w:color="auto" w:fill="FFFFFF"/>
            <w:tcMar>
              <w:top w:w="0" w:type="dxa"/>
              <w:left w:w="85" w:type="dxa"/>
              <w:bottom w:w="0" w:type="dxa"/>
              <w:right w:w="85" w:type="dxa"/>
            </w:tcMar>
          </w:tcPr>
          <w:p w14:paraId="2BB15DB3" w14:textId="77777777" w:rsidR="00AD187C" w:rsidRPr="009E06AA" w:rsidRDefault="00AD187C" w:rsidP="00B55F24">
            <w:pPr>
              <w:pStyle w:val="TableText"/>
              <w:spacing w:before="40" w:after="40"/>
              <w:rPr>
                <w:szCs w:val="16"/>
              </w:rPr>
            </w:pPr>
            <w:r w:rsidRPr="009E06AA">
              <w:rPr>
                <w:color w:val="000000"/>
                <w:szCs w:val="16"/>
              </w:rPr>
              <w:t>k-value</w:t>
            </w:r>
          </w:p>
        </w:tc>
        <w:tc>
          <w:tcPr>
            <w:tcW w:w="0" w:type="auto"/>
            <w:shd w:val="clear" w:color="auto" w:fill="FFFFFF"/>
            <w:tcMar>
              <w:top w:w="0" w:type="dxa"/>
              <w:left w:w="85" w:type="dxa"/>
              <w:bottom w:w="0" w:type="dxa"/>
              <w:right w:w="85" w:type="dxa"/>
            </w:tcMar>
          </w:tcPr>
          <w:p w14:paraId="4E64774A" w14:textId="77777777" w:rsidR="00AD187C" w:rsidRPr="009E06AA" w:rsidRDefault="00AD187C" w:rsidP="009220D7">
            <w:pPr>
              <w:pStyle w:val="TableText"/>
              <w:spacing w:before="40" w:after="40"/>
              <w:jc w:val="right"/>
              <w:rPr>
                <w:szCs w:val="16"/>
              </w:rPr>
            </w:pPr>
            <w:r w:rsidRPr="009E06AA">
              <w:rPr>
                <w:color w:val="000000"/>
                <w:szCs w:val="16"/>
              </w:rPr>
              <w:t>0.17</w:t>
            </w:r>
          </w:p>
        </w:tc>
        <w:tc>
          <w:tcPr>
            <w:tcW w:w="0" w:type="auto"/>
            <w:shd w:val="clear" w:color="auto" w:fill="FFFFFF"/>
            <w:tcMar>
              <w:top w:w="0" w:type="dxa"/>
              <w:left w:w="85" w:type="dxa"/>
              <w:bottom w:w="0" w:type="dxa"/>
              <w:right w:w="85" w:type="dxa"/>
            </w:tcMar>
          </w:tcPr>
          <w:p w14:paraId="7F4134DC" w14:textId="77777777" w:rsidR="00AD187C" w:rsidRPr="009E06AA" w:rsidRDefault="00AD187C" w:rsidP="00B55F24">
            <w:pPr>
              <w:pStyle w:val="TableText"/>
              <w:spacing w:before="40" w:after="40"/>
              <w:rPr>
                <w:szCs w:val="16"/>
              </w:rPr>
            </w:pPr>
            <w:r w:rsidRPr="009E06AA">
              <w:rPr>
                <w:color w:val="000000"/>
                <w:szCs w:val="16"/>
              </w:rPr>
              <w:t>IPCC default</w:t>
            </w:r>
          </w:p>
        </w:tc>
        <w:tc>
          <w:tcPr>
            <w:tcW w:w="0" w:type="auto"/>
            <w:shd w:val="clear" w:color="auto" w:fill="FFFFFF"/>
            <w:tcMar>
              <w:top w:w="0" w:type="dxa"/>
              <w:left w:w="85" w:type="dxa"/>
              <w:bottom w:w="0" w:type="dxa"/>
              <w:right w:w="85" w:type="dxa"/>
            </w:tcMar>
          </w:tcPr>
          <w:p w14:paraId="0395DA1B" w14:textId="77777777" w:rsidR="00AD187C" w:rsidRPr="009E06AA" w:rsidRDefault="00AD187C" w:rsidP="00B55F24">
            <w:pPr>
              <w:pStyle w:val="TableText"/>
              <w:spacing w:before="40" w:after="40"/>
              <w:rPr>
                <w:szCs w:val="16"/>
              </w:rPr>
            </w:pPr>
            <w:r w:rsidRPr="009E06AA">
              <w:rPr>
                <w:color w:val="000000"/>
                <w:szCs w:val="16"/>
              </w:rPr>
              <w:t>Table 3.2, IPCC, 2006d</w:t>
            </w:r>
          </w:p>
        </w:tc>
      </w:tr>
      <w:tr w:rsidR="00AD187C" w:rsidRPr="009E06AA" w14:paraId="29BF4334" w14:textId="77777777" w:rsidTr="00B55F24">
        <w:trPr>
          <w:trHeight w:val="283"/>
        </w:trPr>
        <w:tc>
          <w:tcPr>
            <w:tcW w:w="0" w:type="auto"/>
            <w:shd w:val="clear" w:color="auto" w:fill="FFFFFF"/>
            <w:tcMar>
              <w:top w:w="0" w:type="dxa"/>
              <w:left w:w="85" w:type="dxa"/>
              <w:bottom w:w="0" w:type="dxa"/>
              <w:right w:w="85" w:type="dxa"/>
            </w:tcMar>
          </w:tcPr>
          <w:p w14:paraId="0474D6F4" w14:textId="77777777" w:rsidR="00AD187C" w:rsidRPr="009E06AA" w:rsidRDefault="00AD187C" w:rsidP="00B55F24">
            <w:pPr>
              <w:pStyle w:val="TableText"/>
              <w:spacing w:before="40" w:after="40"/>
              <w:rPr>
                <w:szCs w:val="16"/>
              </w:rPr>
            </w:pPr>
            <w:r w:rsidRPr="009E06AA">
              <w:rPr>
                <w:color w:val="000000"/>
                <w:szCs w:val="16"/>
              </w:rPr>
              <w:t>Methane correction factor</w:t>
            </w:r>
          </w:p>
        </w:tc>
        <w:tc>
          <w:tcPr>
            <w:tcW w:w="0" w:type="auto"/>
            <w:shd w:val="clear" w:color="auto" w:fill="FFFFFF"/>
            <w:tcMar>
              <w:top w:w="0" w:type="dxa"/>
              <w:left w:w="85" w:type="dxa"/>
              <w:bottom w:w="0" w:type="dxa"/>
              <w:right w:w="85" w:type="dxa"/>
            </w:tcMar>
          </w:tcPr>
          <w:p w14:paraId="116712C1" w14:textId="77777777" w:rsidR="00AD187C" w:rsidRPr="009E06AA" w:rsidRDefault="00AD187C" w:rsidP="009220D7">
            <w:pPr>
              <w:pStyle w:val="TableText"/>
              <w:spacing w:before="40" w:after="40"/>
              <w:jc w:val="right"/>
              <w:rPr>
                <w:szCs w:val="16"/>
              </w:rPr>
            </w:pPr>
            <w:r w:rsidRPr="009E06AA">
              <w:rPr>
                <w:color w:val="000000"/>
                <w:szCs w:val="16"/>
              </w:rPr>
              <w:t>0.6</w:t>
            </w:r>
          </w:p>
        </w:tc>
        <w:tc>
          <w:tcPr>
            <w:tcW w:w="0" w:type="auto"/>
            <w:shd w:val="clear" w:color="auto" w:fill="FFFFFF"/>
            <w:tcMar>
              <w:top w:w="0" w:type="dxa"/>
              <w:left w:w="85" w:type="dxa"/>
              <w:bottom w:w="0" w:type="dxa"/>
              <w:right w:w="85" w:type="dxa"/>
            </w:tcMar>
          </w:tcPr>
          <w:p w14:paraId="3A472DDC" w14:textId="77777777" w:rsidR="00AD187C" w:rsidRPr="009E06AA" w:rsidRDefault="00AD187C" w:rsidP="00B55F24">
            <w:pPr>
              <w:pStyle w:val="TableText"/>
              <w:spacing w:before="40" w:after="40"/>
              <w:rPr>
                <w:szCs w:val="16"/>
              </w:rPr>
            </w:pPr>
            <w:r w:rsidRPr="009E06AA">
              <w:rPr>
                <w:color w:val="000000"/>
                <w:szCs w:val="16"/>
              </w:rPr>
              <w:t>IPCC default</w:t>
            </w:r>
          </w:p>
        </w:tc>
        <w:tc>
          <w:tcPr>
            <w:tcW w:w="0" w:type="auto"/>
            <w:shd w:val="clear" w:color="auto" w:fill="FFFFFF"/>
            <w:tcMar>
              <w:top w:w="0" w:type="dxa"/>
              <w:left w:w="85" w:type="dxa"/>
              <w:bottom w:w="0" w:type="dxa"/>
              <w:right w:w="85" w:type="dxa"/>
            </w:tcMar>
          </w:tcPr>
          <w:p w14:paraId="57B73028" w14:textId="77777777" w:rsidR="00AD187C" w:rsidRPr="009E06AA" w:rsidRDefault="00AD187C" w:rsidP="00B55F24">
            <w:pPr>
              <w:pStyle w:val="TableText"/>
              <w:spacing w:before="40" w:after="40"/>
              <w:rPr>
                <w:szCs w:val="16"/>
              </w:rPr>
            </w:pPr>
            <w:r w:rsidRPr="009E06AA">
              <w:rPr>
                <w:color w:val="000000"/>
                <w:szCs w:val="16"/>
              </w:rPr>
              <w:t>Table 3.1, IPCC, 2006d</w:t>
            </w:r>
          </w:p>
        </w:tc>
      </w:tr>
      <w:tr w:rsidR="00AD187C" w:rsidRPr="009E06AA" w14:paraId="489C9048" w14:textId="77777777" w:rsidTr="00B55F24">
        <w:trPr>
          <w:trHeight w:val="283"/>
        </w:trPr>
        <w:tc>
          <w:tcPr>
            <w:tcW w:w="0" w:type="auto"/>
            <w:shd w:val="clear" w:color="auto" w:fill="FFFFFF"/>
            <w:tcMar>
              <w:top w:w="0" w:type="dxa"/>
              <w:left w:w="85" w:type="dxa"/>
              <w:bottom w:w="0" w:type="dxa"/>
              <w:right w:w="85" w:type="dxa"/>
            </w:tcMar>
          </w:tcPr>
          <w:p w14:paraId="2981DF1C" w14:textId="77777777" w:rsidR="00AD187C" w:rsidRPr="009E06AA" w:rsidRDefault="00AD187C" w:rsidP="00B55F24">
            <w:pPr>
              <w:pStyle w:val="TableText"/>
              <w:spacing w:before="40" w:after="40"/>
              <w:rPr>
                <w:szCs w:val="16"/>
              </w:rPr>
            </w:pPr>
            <w:r w:rsidRPr="009E06AA">
              <w:rPr>
                <w:color w:val="000000"/>
                <w:szCs w:val="16"/>
              </w:rPr>
              <w:t>Oxidation factor</w:t>
            </w:r>
          </w:p>
        </w:tc>
        <w:tc>
          <w:tcPr>
            <w:tcW w:w="0" w:type="auto"/>
            <w:shd w:val="clear" w:color="auto" w:fill="FFFFFF"/>
            <w:tcMar>
              <w:top w:w="0" w:type="dxa"/>
              <w:left w:w="85" w:type="dxa"/>
              <w:bottom w:w="0" w:type="dxa"/>
              <w:right w:w="85" w:type="dxa"/>
            </w:tcMar>
          </w:tcPr>
          <w:p w14:paraId="7658F801" w14:textId="77777777" w:rsidR="00AD187C" w:rsidRPr="009E06AA" w:rsidRDefault="00AD187C" w:rsidP="009220D7">
            <w:pPr>
              <w:pStyle w:val="TableText"/>
              <w:spacing w:before="40" w:after="40"/>
              <w:jc w:val="right"/>
              <w:rPr>
                <w:szCs w:val="16"/>
              </w:rPr>
            </w:pPr>
            <w:r w:rsidRPr="009E06AA">
              <w:rPr>
                <w:color w:val="000000"/>
                <w:szCs w:val="16"/>
              </w:rPr>
              <w:t>0 per cent</w:t>
            </w:r>
          </w:p>
        </w:tc>
        <w:tc>
          <w:tcPr>
            <w:tcW w:w="0" w:type="auto"/>
            <w:shd w:val="clear" w:color="auto" w:fill="FFFFFF"/>
            <w:tcMar>
              <w:top w:w="0" w:type="dxa"/>
              <w:left w:w="85" w:type="dxa"/>
              <w:bottom w:w="0" w:type="dxa"/>
              <w:right w:w="85" w:type="dxa"/>
            </w:tcMar>
          </w:tcPr>
          <w:p w14:paraId="4E2F3F77" w14:textId="77777777" w:rsidR="00AD187C" w:rsidRPr="009E06AA" w:rsidRDefault="00AD187C" w:rsidP="00B55F24">
            <w:pPr>
              <w:pStyle w:val="TableText"/>
              <w:spacing w:before="40" w:after="40"/>
              <w:rPr>
                <w:szCs w:val="16"/>
              </w:rPr>
            </w:pPr>
            <w:r w:rsidRPr="009E06AA">
              <w:rPr>
                <w:color w:val="000000"/>
                <w:szCs w:val="16"/>
              </w:rPr>
              <w:t>IPCC default</w:t>
            </w:r>
          </w:p>
        </w:tc>
        <w:tc>
          <w:tcPr>
            <w:tcW w:w="0" w:type="auto"/>
            <w:shd w:val="clear" w:color="auto" w:fill="FFFFFF"/>
            <w:tcMar>
              <w:top w:w="0" w:type="dxa"/>
              <w:left w:w="85" w:type="dxa"/>
              <w:bottom w:w="0" w:type="dxa"/>
              <w:right w:w="85" w:type="dxa"/>
            </w:tcMar>
          </w:tcPr>
          <w:p w14:paraId="05A290E0" w14:textId="77777777" w:rsidR="00AD187C" w:rsidRPr="009E06AA" w:rsidRDefault="00AD187C" w:rsidP="00B55F24">
            <w:pPr>
              <w:pStyle w:val="TableText"/>
              <w:spacing w:before="40" w:after="40"/>
              <w:rPr>
                <w:szCs w:val="16"/>
              </w:rPr>
            </w:pPr>
            <w:r w:rsidRPr="009E06AA">
              <w:rPr>
                <w:color w:val="000000"/>
                <w:szCs w:val="16"/>
              </w:rPr>
              <w:t>Table 3.2, IPCC, 2006d</w:t>
            </w:r>
          </w:p>
        </w:tc>
      </w:tr>
      <w:tr w:rsidR="00AD187C" w:rsidRPr="009E06AA" w14:paraId="5972C967" w14:textId="77777777" w:rsidTr="00B55F24">
        <w:trPr>
          <w:trHeight w:val="283"/>
        </w:trPr>
        <w:tc>
          <w:tcPr>
            <w:tcW w:w="0" w:type="auto"/>
            <w:shd w:val="clear" w:color="auto" w:fill="FFFFFF"/>
            <w:tcMar>
              <w:top w:w="0" w:type="dxa"/>
              <w:left w:w="85" w:type="dxa"/>
              <w:bottom w:w="0" w:type="dxa"/>
              <w:right w:w="85" w:type="dxa"/>
            </w:tcMar>
          </w:tcPr>
          <w:p w14:paraId="3957E8C2" w14:textId="77777777" w:rsidR="00AD187C" w:rsidRPr="009E06AA" w:rsidRDefault="00AD187C" w:rsidP="00B55F24">
            <w:pPr>
              <w:pStyle w:val="TableText"/>
              <w:spacing w:before="40" w:after="40"/>
              <w:rPr>
                <w:szCs w:val="16"/>
              </w:rPr>
            </w:pPr>
            <w:r w:rsidRPr="009E06AA">
              <w:rPr>
                <w:color w:val="000000"/>
                <w:szCs w:val="16"/>
              </w:rPr>
              <w:t>Starting year</w:t>
            </w:r>
          </w:p>
        </w:tc>
        <w:tc>
          <w:tcPr>
            <w:tcW w:w="0" w:type="auto"/>
            <w:shd w:val="clear" w:color="auto" w:fill="FFFFFF"/>
            <w:tcMar>
              <w:top w:w="0" w:type="dxa"/>
              <w:left w:w="85" w:type="dxa"/>
              <w:bottom w:w="0" w:type="dxa"/>
              <w:right w:w="85" w:type="dxa"/>
            </w:tcMar>
          </w:tcPr>
          <w:p w14:paraId="7C8922B4" w14:textId="77777777" w:rsidR="00AD187C" w:rsidRPr="009E06AA" w:rsidRDefault="00AD187C" w:rsidP="009220D7">
            <w:pPr>
              <w:pStyle w:val="TableText"/>
              <w:spacing w:before="40" w:after="40"/>
              <w:jc w:val="right"/>
              <w:rPr>
                <w:szCs w:val="16"/>
              </w:rPr>
            </w:pPr>
            <w:r w:rsidRPr="009E06AA">
              <w:rPr>
                <w:color w:val="000000"/>
                <w:szCs w:val="16"/>
              </w:rPr>
              <w:t>1950</w:t>
            </w:r>
          </w:p>
        </w:tc>
        <w:tc>
          <w:tcPr>
            <w:tcW w:w="0" w:type="auto"/>
            <w:shd w:val="clear" w:color="auto" w:fill="FFFFFF"/>
            <w:tcMar>
              <w:top w:w="0" w:type="dxa"/>
              <w:left w:w="85" w:type="dxa"/>
              <w:bottom w:w="0" w:type="dxa"/>
              <w:right w:w="85" w:type="dxa"/>
            </w:tcMar>
          </w:tcPr>
          <w:p w14:paraId="3405577E" w14:textId="77777777" w:rsidR="00AD187C" w:rsidRPr="009E06AA" w:rsidRDefault="00AD187C" w:rsidP="00B55F24">
            <w:pPr>
              <w:pStyle w:val="TableText"/>
              <w:spacing w:before="40" w:after="40"/>
              <w:rPr>
                <w:szCs w:val="16"/>
              </w:rPr>
            </w:pPr>
            <w:r w:rsidRPr="009E06AA">
              <w:rPr>
                <w:color w:val="000000"/>
                <w:szCs w:val="16"/>
              </w:rPr>
              <w:t>IPCC default</w:t>
            </w:r>
          </w:p>
        </w:tc>
        <w:tc>
          <w:tcPr>
            <w:tcW w:w="0" w:type="auto"/>
            <w:shd w:val="clear" w:color="auto" w:fill="FFFFFF"/>
            <w:tcMar>
              <w:top w:w="0" w:type="dxa"/>
              <w:left w:w="85" w:type="dxa"/>
              <w:bottom w:w="0" w:type="dxa"/>
              <w:right w:w="85" w:type="dxa"/>
            </w:tcMar>
          </w:tcPr>
          <w:p w14:paraId="4BFA393D" w14:textId="77777777" w:rsidR="00AD187C" w:rsidRPr="009E06AA" w:rsidRDefault="00AD187C" w:rsidP="00B55F24">
            <w:pPr>
              <w:pStyle w:val="TableText"/>
              <w:spacing w:before="40" w:after="40"/>
              <w:rPr>
                <w:szCs w:val="16"/>
              </w:rPr>
            </w:pPr>
            <w:r w:rsidRPr="009E06AA">
              <w:rPr>
                <w:color w:val="000000"/>
                <w:szCs w:val="16"/>
              </w:rPr>
              <w:t>Section 3.6, p 3.24, IPCC, 2006d</w:t>
            </w:r>
          </w:p>
        </w:tc>
      </w:tr>
      <w:tr w:rsidR="00AD187C" w:rsidRPr="009E06AA" w14:paraId="216FD108" w14:textId="77777777" w:rsidTr="00B55F24">
        <w:trPr>
          <w:trHeight w:val="283"/>
        </w:trPr>
        <w:tc>
          <w:tcPr>
            <w:tcW w:w="0" w:type="auto"/>
            <w:shd w:val="clear" w:color="auto" w:fill="FFFFFF"/>
            <w:tcMar>
              <w:top w:w="0" w:type="dxa"/>
              <w:left w:w="85" w:type="dxa"/>
              <w:bottom w:w="0" w:type="dxa"/>
              <w:right w:w="85" w:type="dxa"/>
            </w:tcMar>
          </w:tcPr>
          <w:p w14:paraId="23A55201" w14:textId="77777777" w:rsidR="00AD187C" w:rsidRPr="009E06AA" w:rsidRDefault="00AD187C" w:rsidP="00B55F24">
            <w:pPr>
              <w:pStyle w:val="TableText"/>
              <w:spacing w:before="40" w:after="40"/>
              <w:rPr>
                <w:szCs w:val="16"/>
              </w:rPr>
            </w:pPr>
            <w:r w:rsidRPr="009E06AA">
              <w:rPr>
                <w:color w:val="000000"/>
                <w:szCs w:val="16"/>
              </w:rPr>
              <w:t>Delay time</w:t>
            </w:r>
          </w:p>
        </w:tc>
        <w:tc>
          <w:tcPr>
            <w:tcW w:w="0" w:type="auto"/>
            <w:shd w:val="clear" w:color="auto" w:fill="FFFFFF"/>
            <w:tcMar>
              <w:top w:w="0" w:type="dxa"/>
              <w:left w:w="85" w:type="dxa"/>
              <w:bottom w:w="0" w:type="dxa"/>
              <w:right w:w="85" w:type="dxa"/>
            </w:tcMar>
          </w:tcPr>
          <w:p w14:paraId="1847C52F" w14:textId="77777777" w:rsidR="00AD187C" w:rsidRPr="009E06AA" w:rsidRDefault="00AD187C" w:rsidP="009220D7">
            <w:pPr>
              <w:pStyle w:val="TableText"/>
              <w:spacing w:before="40" w:after="40"/>
              <w:jc w:val="right"/>
              <w:rPr>
                <w:szCs w:val="16"/>
              </w:rPr>
            </w:pPr>
            <w:r w:rsidRPr="009E06AA">
              <w:rPr>
                <w:color w:val="000000"/>
                <w:szCs w:val="16"/>
              </w:rPr>
              <w:t>6 months</w:t>
            </w:r>
          </w:p>
        </w:tc>
        <w:tc>
          <w:tcPr>
            <w:tcW w:w="0" w:type="auto"/>
            <w:shd w:val="clear" w:color="auto" w:fill="FFFFFF"/>
            <w:tcMar>
              <w:top w:w="0" w:type="dxa"/>
              <w:left w:w="85" w:type="dxa"/>
              <w:bottom w:w="0" w:type="dxa"/>
              <w:right w:w="85" w:type="dxa"/>
            </w:tcMar>
          </w:tcPr>
          <w:p w14:paraId="1464673B" w14:textId="77777777" w:rsidR="00AD187C" w:rsidRPr="009E06AA" w:rsidRDefault="00AD187C" w:rsidP="00B55F24">
            <w:pPr>
              <w:pStyle w:val="TableText"/>
              <w:spacing w:before="40" w:after="40"/>
              <w:rPr>
                <w:szCs w:val="16"/>
              </w:rPr>
            </w:pPr>
            <w:r w:rsidRPr="009E06AA">
              <w:rPr>
                <w:color w:val="000000"/>
                <w:szCs w:val="16"/>
              </w:rPr>
              <w:t>IPCC default</w:t>
            </w:r>
          </w:p>
        </w:tc>
        <w:tc>
          <w:tcPr>
            <w:tcW w:w="0" w:type="auto"/>
            <w:shd w:val="clear" w:color="auto" w:fill="FFFFFF"/>
            <w:tcMar>
              <w:top w:w="0" w:type="dxa"/>
              <w:left w:w="85" w:type="dxa"/>
              <w:bottom w:w="0" w:type="dxa"/>
              <w:right w:w="85" w:type="dxa"/>
            </w:tcMar>
          </w:tcPr>
          <w:p w14:paraId="6AD8FD06" w14:textId="77777777" w:rsidR="00AD187C" w:rsidRPr="009E06AA" w:rsidRDefault="00AD187C" w:rsidP="00B55F24">
            <w:pPr>
              <w:pStyle w:val="TableText"/>
              <w:spacing w:before="40" w:after="40"/>
              <w:rPr>
                <w:szCs w:val="16"/>
              </w:rPr>
            </w:pPr>
            <w:r w:rsidRPr="009E06AA">
              <w:rPr>
                <w:color w:val="000000"/>
                <w:szCs w:val="16"/>
              </w:rPr>
              <w:t>Section 3.2.3, p 3.19, IPCC, 2006d</w:t>
            </w:r>
          </w:p>
        </w:tc>
      </w:tr>
      <w:tr w:rsidR="00AD187C" w:rsidRPr="009E06AA" w14:paraId="0431820C" w14:textId="77777777" w:rsidTr="00B55F24">
        <w:trPr>
          <w:trHeight w:val="283"/>
        </w:trPr>
        <w:tc>
          <w:tcPr>
            <w:tcW w:w="0" w:type="auto"/>
            <w:shd w:val="clear" w:color="auto" w:fill="FFFFFF"/>
            <w:tcMar>
              <w:top w:w="0" w:type="dxa"/>
              <w:left w:w="85" w:type="dxa"/>
              <w:bottom w:w="0" w:type="dxa"/>
              <w:right w:w="85" w:type="dxa"/>
            </w:tcMar>
          </w:tcPr>
          <w:p w14:paraId="59B2F180" w14:textId="77777777" w:rsidR="00AD187C" w:rsidRPr="009E06AA" w:rsidRDefault="00AD187C" w:rsidP="00B55F24">
            <w:pPr>
              <w:pStyle w:val="TableText"/>
              <w:spacing w:before="40" w:after="40"/>
              <w:rPr>
                <w:szCs w:val="16"/>
              </w:rPr>
            </w:pPr>
            <w:r w:rsidRPr="009E06AA">
              <w:rPr>
                <w:color w:val="000000"/>
                <w:szCs w:val="16"/>
              </w:rPr>
              <w:t>Fraction of DOC that decomposes</w:t>
            </w:r>
          </w:p>
        </w:tc>
        <w:tc>
          <w:tcPr>
            <w:tcW w:w="0" w:type="auto"/>
            <w:shd w:val="clear" w:color="auto" w:fill="FFFFFF"/>
            <w:tcMar>
              <w:top w:w="0" w:type="dxa"/>
              <w:left w:w="85" w:type="dxa"/>
              <w:bottom w:w="0" w:type="dxa"/>
              <w:right w:w="85" w:type="dxa"/>
            </w:tcMar>
          </w:tcPr>
          <w:p w14:paraId="40E7B449" w14:textId="77777777" w:rsidR="00AD187C" w:rsidRPr="009E06AA" w:rsidRDefault="00AD187C" w:rsidP="009220D7">
            <w:pPr>
              <w:pStyle w:val="TableText"/>
              <w:spacing w:before="40" w:after="40"/>
              <w:jc w:val="right"/>
              <w:rPr>
                <w:szCs w:val="16"/>
              </w:rPr>
            </w:pPr>
            <w:r w:rsidRPr="009E06AA">
              <w:rPr>
                <w:color w:val="000000"/>
                <w:szCs w:val="16"/>
              </w:rPr>
              <w:t>0.5</w:t>
            </w:r>
          </w:p>
        </w:tc>
        <w:tc>
          <w:tcPr>
            <w:tcW w:w="0" w:type="auto"/>
            <w:shd w:val="clear" w:color="auto" w:fill="FFFFFF"/>
            <w:tcMar>
              <w:top w:w="0" w:type="dxa"/>
              <w:left w:w="85" w:type="dxa"/>
              <w:bottom w:w="0" w:type="dxa"/>
              <w:right w:w="85" w:type="dxa"/>
            </w:tcMar>
          </w:tcPr>
          <w:p w14:paraId="13FC26DE" w14:textId="77777777" w:rsidR="00AD187C" w:rsidRPr="009E06AA" w:rsidRDefault="00AD187C" w:rsidP="00B55F24">
            <w:pPr>
              <w:pStyle w:val="TableText"/>
              <w:spacing w:before="40" w:after="40"/>
              <w:rPr>
                <w:szCs w:val="16"/>
              </w:rPr>
            </w:pPr>
            <w:r w:rsidRPr="009E06AA">
              <w:rPr>
                <w:color w:val="000000"/>
                <w:szCs w:val="16"/>
              </w:rPr>
              <w:t>IPCC default</w:t>
            </w:r>
          </w:p>
        </w:tc>
        <w:tc>
          <w:tcPr>
            <w:tcW w:w="0" w:type="auto"/>
            <w:shd w:val="clear" w:color="auto" w:fill="FFFFFF"/>
            <w:tcMar>
              <w:top w:w="0" w:type="dxa"/>
              <w:left w:w="85" w:type="dxa"/>
              <w:bottom w:w="0" w:type="dxa"/>
              <w:right w:w="85" w:type="dxa"/>
            </w:tcMar>
          </w:tcPr>
          <w:p w14:paraId="4B6BDE07" w14:textId="77777777" w:rsidR="00AD187C" w:rsidRPr="009E06AA" w:rsidRDefault="00AD187C" w:rsidP="00B55F24">
            <w:pPr>
              <w:pStyle w:val="TableText"/>
              <w:spacing w:before="40" w:after="40"/>
              <w:rPr>
                <w:szCs w:val="16"/>
              </w:rPr>
            </w:pPr>
            <w:r w:rsidRPr="009E06AA">
              <w:rPr>
                <w:color w:val="000000"/>
                <w:szCs w:val="16"/>
              </w:rPr>
              <w:t>Section 3.2.3, p 3.13, IPCC, 2006d</w:t>
            </w:r>
          </w:p>
        </w:tc>
      </w:tr>
      <w:tr w:rsidR="00AD187C" w:rsidRPr="009E06AA" w14:paraId="56153C88" w14:textId="77777777" w:rsidTr="00B55F24">
        <w:trPr>
          <w:trHeight w:val="283"/>
        </w:trPr>
        <w:tc>
          <w:tcPr>
            <w:tcW w:w="0" w:type="auto"/>
            <w:shd w:val="clear" w:color="auto" w:fill="FFFFFF"/>
            <w:tcMar>
              <w:top w:w="0" w:type="dxa"/>
              <w:left w:w="85" w:type="dxa"/>
              <w:bottom w:w="0" w:type="dxa"/>
              <w:right w:w="85" w:type="dxa"/>
            </w:tcMar>
          </w:tcPr>
          <w:p w14:paraId="7A56AF1E" w14:textId="77777777" w:rsidR="00AD187C" w:rsidRPr="009E06AA" w:rsidRDefault="00AD187C" w:rsidP="00B55F24">
            <w:pPr>
              <w:pStyle w:val="TableText"/>
              <w:spacing w:before="40" w:after="40"/>
              <w:rPr>
                <w:szCs w:val="16"/>
              </w:rPr>
            </w:pPr>
            <w:r w:rsidRPr="009E06AA">
              <w:rPr>
                <w:color w:val="000000"/>
                <w:szCs w:val="16"/>
              </w:rPr>
              <w:t>Fraction of CH</w:t>
            </w:r>
            <w:r w:rsidRPr="009E06AA">
              <w:rPr>
                <w:color w:val="000000"/>
                <w:szCs w:val="16"/>
                <w:vertAlign w:val="subscript"/>
              </w:rPr>
              <w:t>4</w:t>
            </w:r>
            <w:r w:rsidRPr="009E06AA">
              <w:rPr>
                <w:color w:val="000000"/>
                <w:szCs w:val="16"/>
              </w:rPr>
              <w:t xml:space="preserve"> in gas</w:t>
            </w:r>
          </w:p>
        </w:tc>
        <w:tc>
          <w:tcPr>
            <w:tcW w:w="0" w:type="auto"/>
            <w:shd w:val="clear" w:color="auto" w:fill="FFFFFF"/>
            <w:tcMar>
              <w:top w:w="0" w:type="dxa"/>
              <w:left w:w="85" w:type="dxa"/>
              <w:bottom w:w="0" w:type="dxa"/>
              <w:right w:w="85" w:type="dxa"/>
            </w:tcMar>
          </w:tcPr>
          <w:p w14:paraId="6A890AE8" w14:textId="77777777" w:rsidR="00AD187C" w:rsidRPr="009E06AA" w:rsidRDefault="00AD187C" w:rsidP="009220D7">
            <w:pPr>
              <w:pStyle w:val="TableText"/>
              <w:spacing w:before="40" w:after="40"/>
              <w:jc w:val="right"/>
              <w:rPr>
                <w:szCs w:val="16"/>
              </w:rPr>
            </w:pPr>
            <w:r w:rsidRPr="009E06AA">
              <w:rPr>
                <w:color w:val="000000"/>
                <w:szCs w:val="16"/>
              </w:rPr>
              <w:t>0.5</w:t>
            </w:r>
          </w:p>
        </w:tc>
        <w:tc>
          <w:tcPr>
            <w:tcW w:w="0" w:type="auto"/>
            <w:shd w:val="clear" w:color="auto" w:fill="FFFFFF"/>
            <w:tcMar>
              <w:top w:w="0" w:type="dxa"/>
              <w:left w:w="85" w:type="dxa"/>
              <w:bottom w:w="0" w:type="dxa"/>
              <w:right w:w="85" w:type="dxa"/>
            </w:tcMar>
          </w:tcPr>
          <w:p w14:paraId="26744D9C" w14:textId="77777777" w:rsidR="00AD187C" w:rsidRPr="009E06AA" w:rsidRDefault="00AD187C" w:rsidP="00B55F24">
            <w:pPr>
              <w:pStyle w:val="TableText"/>
              <w:spacing w:before="40" w:after="40"/>
              <w:rPr>
                <w:szCs w:val="16"/>
              </w:rPr>
            </w:pPr>
            <w:r w:rsidRPr="009E06AA">
              <w:rPr>
                <w:color w:val="000000"/>
                <w:szCs w:val="16"/>
              </w:rPr>
              <w:t>IPCC default</w:t>
            </w:r>
          </w:p>
        </w:tc>
        <w:tc>
          <w:tcPr>
            <w:tcW w:w="0" w:type="auto"/>
            <w:shd w:val="clear" w:color="auto" w:fill="FFFFFF"/>
            <w:tcMar>
              <w:top w:w="0" w:type="dxa"/>
              <w:left w:w="85" w:type="dxa"/>
              <w:bottom w:w="0" w:type="dxa"/>
              <w:right w:w="85" w:type="dxa"/>
            </w:tcMar>
          </w:tcPr>
          <w:p w14:paraId="56D21FA7" w14:textId="77777777" w:rsidR="00AD187C" w:rsidRPr="009E06AA" w:rsidRDefault="00AD187C" w:rsidP="00B55F24">
            <w:pPr>
              <w:pStyle w:val="TableText"/>
              <w:spacing w:before="40" w:after="40"/>
              <w:rPr>
                <w:szCs w:val="16"/>
              </w:rPr>
            </w:pPr>
            <w:r w:rsidRPr="009E06AA">
              <w:rPr>
                <w:color w:val="000000"/>
                <w:szCs w:val="16"/>
              </w:rPr>
              <w:t>Section 3.2.3, p 3.15, IPCC, 2006d</w:t>
            </w:r>
          </w:p>
        </w:tc>
      </w:tr>
      <w:tr w:rsidR="00AD187C" w:rsidRPr="009E06AA" w14:paraId="2ECE56DA" w14:textId="77777777" w:rsidTr="00B55F24">
        <w:trPr>
          <w:trHeight w:val="283"/>
        </w:trPr>
        <w:tc>
          <w:tcPr>
            <w:tcW w:w="0" w:type="auto"/>
            <w:shd w:val="clear" w:color="auto" w:fill="FFFFFF"/>
            <w:tcMar>
              <w:top w:w="0" w:type="dxa"/>
              <w:left w:w="85" w:type="dxa"/>
              <w:bottom w:w="0" w:type="dxa"/>
              <w:right w:w="85" w:type="dxa"/>
            </w:tcMar>
          </w:tcPr>
          <w:p w14:paraId="07C018B5" w14:textId="77777777" w:rsidR="00AD187C" w:rsidRPr="009E06AA" w:rsidRDefault="00AD187C" w:rsidP="00B55F24">
            <w:pPr>
              <w:pStyle w:val="TableText"/>
              <w:spacing w:before="40" w:after="40"/>
              <w:rPr>
                <w:szCs w:val="16"/>
              </w:rPr>
            </w:pPr>
            <w:r w:rsidRPr="009E06AA">
              <w:rPr>
                <w:color w:val="000000"/>
                <w:szCs w:val="16"/>
              </w:rPr>
              <w:t>Amount of waste per person per year</w:t>
            </w:r>
          </w:p>
        </w:tc>
        <w:tc>
          <w:tcPr>
            <w:tcW w:w="0" w:type="auto"/>
            <w:shd w:val="clear" w:color="auto" w:fill="FFFFFF"/>
            <w:tcMar>
              <w:top w:w="0" w:type="dxa"/>
              <w:left w:w="85" w:type="dxa"/>
              <w:bottom w:w="0" w:type="dxa"/>
              <w:right w:w="85" w:type="dxa"/>
            </w:tcMar>
          </w:tcPr>
          <w:p w14:paraId="6F808F6C" w14:textId="77777777" w:rsidR="00AD187C" w:rsidRPr="009E06AA" w:rsidRDefault="00AD187C" w:rsidP="009220D7">
            <w:pPr>
              <w:pStyle w:val="TableText"/>
              <w:spacing w:before="40" w:after="40"/>
              <w:jc w:val="right"/>
              <w:rPr>
                <w:szCs w:val="16"/>
              </w:rPr>
            </w:pPr>
            <w:r w:rsidRPr="009E06AA">
              <w:rPr>
                <w:color w:val="000000"/>
                <w:szCs w:val="16"/>
              </w:rPr>
              <w:t>690 kg</w:t>
            </w:r>
          </w:p>
        </w:tc>
        <w:tc>
          <w:tcPr>
            <w:tcW w:w="0" w:type="auto"/>
            <w:shd w:val="clear" w:color="auto" w:fill="FFFFFF"/>
            <w:tcMar>
              <w:top w:w="0" w:type="dxa"/>
              <w:left w:w="85" w:type="dxa"/>
              <w:bottom w:w="0" w:type="dxa"/>
              <w:right w:w="85" w:type="dxa"/>
            </w:tcMar>
          </w:tcPr>
          <w:p w14:paraId="320B20DD" w14:textId="77777777" w:rsidR="00AD187C" w:rsidRPr="009E06AA" w:rsidRDefault="00AD187C" w:rsidP="00B55F24">
            <w:pPr>
              <w:pStyle w:val="TableText"/>
              <w:spacing w:before="40" w:after="40"/>
              <w:rPr>
                <w:szCs w:val="16"/>
              </w:rPr>
            </w:pPr>
            <w:r w:rsidRPr="009E06AA">
              <w:rPr>
                <w:color w:val="000000"/>
                <w:szCs w:val="16"/>
              </w:rPr>
              <w:t>IPCC default for Oceania</w:t>
            </w:r>
          </w:p>
        </w:tc>
        <w:tc>
          <w:tcPr>
            <w:tcW w:w="0" w:type="auto"/>
            <w:shd w:val="clear" w:color="auto" w:fill="FFFFFF"/>
            <w:tcMar>
              <w:top w:w="0" w:type="dxa"/>
              <w:left w:w="85" w:type="dxa"/>
              <w:bottom w:w="0" w:type="dxa"/>
              <w:right w:w="85" w:type="dxa"/>
            </w:tcMar>
          </w:tcPr>
          <w:p w14:paraId="6FF89739" w14:textId="77777777" w:rsidR="00AD187C" w:rsidRPr="009E06AA" w:rsidRDefault="00AD187C" w:rsidP="00B55F24">
            <w:pPr>
              <w:pStyle w:val="TableText"/>
              <w:spacing w:before="40" w:after="40"/>
              <w:rPr>
                <w:szCs w:val="16"/>
              </w:rPr>
            </w:pPr>
            <w:r w:rsidRPr="009E06AA">
              <w:rPr>
                <w:color w:val="000000"/>
                <w:szCs w:val="16"/>
              </w:rPr>
              <w:t>Annex 2A.1, IPCC, 2006d</w:t>
            </w:r>
          </w:p>
        </w:tc>
      </w:tr>
      <w:tr w:rsidR="00AD187C" w:rsidRPr="009E06AA" w14:paraId="679F7020" w14:textId="77777777" w:rsidTr="00B55F24">
        <w:trPr>
          <w:trHeight w:val="283"/>
        </w:trPr>
        <w:tc>
          <w:tcPr>
            <w:tcW w:w="0" w:type="auto"/>
            <w:shd w:val="clear" w:color="auto" w:fill="FFFFFF"/>
            <w:tcMar>
              <w:top w:w="0" w:type="dxa"/>
              <w:left w:w="85" w:type="dxa"/>
              <w:bottom w:w="0" w:type="dxa"/>
              <w:right w:w="85" w:type="dxa"/>
            </w:tcMar>
          </w:tcPr>
          <w:p w14:paraId="3CE6A776" w14:textId="77777777" w:rsidR="00AD187C" w:rsidRPr="009E06AA" w:rsidRDefault="00AD187C" w:rsidP="00B55F24">
            <w:pPr>
              <w:pStyle w:val="TableText"/>
              <w:spacing w:before="40" w:after="40"/>
              <w:rPr>
                <w:szCs w:val="16"/>
              </w:rPr>
            </w:pPr>
            <w:r w:rsidRPr="009E06AA">
              <w:rPr>
                <w:color w:val="000000"/>
                <w:szCs w:val="16"/>
              </w:rPr>
              <w:t>Amount of waste landfilled</w:t>
            </w:r>
          </w:p>
        </w:tc>
        <w:tc>
          <w:tcPr>
            <w:tcW w:w="0" w:type="auto"/>
            <w:shd w:val="clear" w:color="auto" w:fill="FFFFFF"/>
            <w:tcMar>
              <w:top w:w="0" w:type="dxa"/>
              <w:left w:w="85" w:type="dxa"/>
              <w:bottom w:w="0" w:type="dxa"/>
              <w:right w:w="85" w:type="dxa"/>
            </w:tcMar>
          </w:tcPr>
          <w:p w14:paraId="77B33188" w14:textId="77777777" w:rsidR="00AD187C" w:rsidRPr="009E06AA" w:rsidRDefault="00AD187C" w:rsidP="009220D7">
            <w:pPr>
              <w:pStyle w:val="TableText"/>
              <w:spacing w:before="40" w:after="40"/>
              <w:jc w:val="right"/>
              <w:rPr>
                <w:szCs w:val="16"/>
              </w:rPr>
            </w:pPr>
            <w:r w:rsidRPr="009E06AA">
              <w:rPr>
                <w:color w:val="000000"/>
                <w:szCs w:val="16"/>
              </w:rPr>
              <w:t>50 per cent</w:t>
            </w:r>
          </w:p>
        </w:tc>
        <w:tc>
          <w:tcPr>
            <w:tcW w:w="0" w:type="auto"/>
            <w:shd w:val="clear" w:color="auto" w:fill="FFFFFF"/>
            <w:tcMar>
              <w:top w:w="0" w:type="dxa"/>
              <w:left w:w="85" w:type="dxa"/>
              <w:bottom w:w="0" w:type="dxa"/>
              <w:right w:w="85" w:type="dxa"/>
            </w:tcMar>
          </w:tcPr>
          <w:p w14:paraId="30801C2D" w14:textId="77777777" w:rsidR="00AD187C" w:rsidRPr="009E06AA" w:rsidRDefault="00AD187C" w:rsidP="00B55F24">
            <w:pPr>
              <w:pStyle w:val="TableText"/>
              <w:spacing w:before="40" w:after="40"/>
              <w:rPr>
                <w:szCs w:val="16"/>
              </w:rPr>
            </w:pPr>
            <w:r w:rsidRPr="009E06AA">
              <w:rPr>
                <w:color w:val="000000"/>
                <w:szCs w:val="16"/>
              </w:rPr>
              <w:t>Assumption</w:t>
            </w:r>
          </w:p>
        </w:tc>
        <w:tc>
          <w:tcPr>
            <w:tcW w:w="0" w:type="auto"/>
            <w:shd w:val="clear" w:color="auto" w:fill="FFFFFF"/>
            <w:tcMar>
              <w:top w:w="0" w:type="dxa"/>
              <w:left w:w="85" w:type="dxa"/>
              <w:bottom w:w="0" w:type="dxa"/>
              <w:right w:w="85" w:type="dxa"/>
            </w:tcMar>
          </w:tcPr>
          <w:p w14:paraId="3DC5C83C" w14:textId="77777777" w:rsidR="00AD187C" w:rsidRPr="009E06AA" w:rsidRDefault="00AD187C" w:rsidP="00B55F24">
            <w:pPr>
              <w:pStyle w:val="TableText"/>
              <w:spacing w:before="40" w:after="40"/>
              <w:rPr>
                <w:szCs w:val="16"/>
              </w:rPr>
            </w:pPr>
            <w:r w:rsidRPr="009E06AA">
              <w:rPr>
                <w:szCs w:val="16"/>
              </w:rPr>
              <w:t xml:space="preserve"> </w:t>
            </w:r>
          </w:p>
        </w:tc>
      </w:tr>
    </w:tbl>
    <w:p w14:paraId="6A9D5CA8" w14:textId="6C72A6A6" w:rsidR="00AD187C" w:rsidRPr="009E06AA" w:rsidRDefault="00AD187C" w:rsidP="00AD187C">
      <w:pPr>
        <w:pStyle w:val="Noteundertable"/>
        <w:spacing w:after="0"/>
      </w:pPr>
      <w:r w:rsidRPr="009E06AA">
        <w:rPr>
          <w:b/>
          <w:bCs/>
        </w:rPr>
        <w:t>Note:</w:t>
      </w:r>
      <w:r w:rsidRPr="009E06AA">
        <w:t xml:space="preserve"> </w:t>
      </w:r>
      <w:r w:rsidR="00E95F15" w:rsidRPr="009E06AA">
        <w:tab/>
      </w:r>
      <w:r w:rsidRPr="009E06AA">
        <w:t>DOC = degradable organic carbon; MSW = municipal solid waste; SWDS = solid waste disposal sites.</w:t>
      </w:r>
    </w:p>
    <w:p w14:paraId="31F87B7D" w14:textId="77777777" w:rsidR="00AD187C" w:rsidRPr="009E06AA" w:rsidRDefault="00AD187C" w:rsidP="00AD187C">
      <w:pPr>
        <w:pStyle w:val="Heading3"/>
        <w:tabs>
          <w:tab w:val="clear" w:pos="851"/>
          <w:tab w:val="left" w:pos="964"/>
        </w:tabs>
      </w:pPr>
      <w:bookmarkStart w:id="3506" w:name="_Toc160205242"/>
      <w:bookmarkStart w:id="3507" w:name="_Toc160441827"/>
      <w:bookmarkStart w:id="3508" w:name="X81f2cd4ef3dc5d9c7123681e80343cab0fee43b"/>
      <w:bookmarkEnd w:id="3495"/>
      <w:bookmarkEnd w:id="3497"/>
      <w:r w:rsidRPr="009E06AA">
        <w:t>8.13.3</w:t>
      </w:r>
      <w:r w:rsidRPr="009E06AA">
        <w:tab/>
        <w:t>Uncertainty assessment and time-series consistency</w:t>
      </w:r>
      <w:bookmarkEnd w:id="3506"/>
      <w:bookmarkEnd w:id="3507"/>
    </w:p>
    <w:p w14:paraId="24A637D0" w14:textId="77777777" w:rsidR="00AD187C" w:rsidRPr="009E06AA" w:rsidRDefault="00AD187C" w:rsidP="00AD187C">
      <w:pPr>
        <w:pStyle w:val="BodyText"/>
      </w:pPr>
      <w:r w:rsidRPr="009E06AA">
        <w:t xml:space="preserve">The same uncertainty data for uncategorised landfills were used for Tokelau and New Zealand (see table 7.2.9, chapter 7; for methodological notes, refer to the uncertainties for the </w:t>
      </w:r>
      <w:r w:rsidRPr="009E06AA">
        <w:rPr>
          <w:i/>
        </w:rPr>
        <w:t>Solid waste</w:t>
      </w:r>
      <w:r w:rsidRPr="009E06AA">
        <w:t xml:space="preserve"> category, section 7.2.3, chapter 7; and table 8.13.2).</w:t>
      </w:r>
    </w:p>
    <w:p w14:paraId="17B7F265" w14:textId="77777777" w:rsidR="00AD187C" w:rsidRPr="009E06AA" w:rsidRDefault="00AD187C" w:rsidP="00AD187C">
      <w:pPr>
        <w:pStyle w:val="Table"/>
      </w:pPr>
      <w:bookmarkStart w:id="3509" w:name="_Toc5269603"/>
      <w:bookmarkStart w:id="3510" w:name="_Toc36224684"/>
      <w:bookmarkStart w:id="3511" w:name="_Toc68786570"/>
      <w:bookmarkStart w:id="3512" w:name="_Toc130211276"/>
      <w:bookmarkStart w:id="3513" w:name="_Toc131591477"/>
      <w:bookmarkStart w:id="3514" w:name="_Toc160205513"/>
      <w:bookmarkStart w:id="3515" w:name="_Toc160441632"/>
      <w:bookmarkStart w:id="3516" w:name="_Toc164153968"/>
      <w:r w:rsidRPr="009E06AA">
        <w:t xml:space="preserve">Table 8.13.2 </w:t>
      </w:r>
      <w:r w:rsidRPr="009E06AA">
        <w:tab/>
        <w:t xml:space="preserve">Uncertainty in emissions from the </w:t>
      </w:r>
      <w:r w:rsidRPr="009E06AA">
        <w:rPr>
          <w:i/>
          <w:iCs/>
        </w:rPr>
        <w:t>Solid waste disposal</w:t>
      </w:r>
      <w:r w:rsidRPr="009E06AA">
        <w:t xml:space="preserve"> category</w:t>
      </w:r>
      <w:bookmarkEnd w:id="3509"/>
      <w:bookmarkEnd w:id="3510"/>
      <w:bookmarkEnd w:id="3511"/>
      <w:bookmarkEnd w:id="3512"/>
      <w:bookmarkEnd w:id="3513"/>
      <w:bookmarkEnd w:id="3514"/>
      <w:bookmarkEnd w:id="3515"/>
      <w:bookmarkEnd w:id="3516"/>
    </w:p>
    <w:tbl>
      <w:tblPr>
        <w:tblW w:w="8505" w:type="dxa"/>
        <w:tblLook w:val="0420" w:firstRow="1" w:lastRow="0" w:firstColumn="0" w:lastColumn="0" w:noHBand="0" w:noVBand="1"/>
      </w:tblPr>
      <w:tblGrid>
        <w:gridCol w:w="2205"/>
        <w:gridCol w:w="2975"/>
        <w:gridCol w:w="3325"/>
      </w:tblGrid>
      <w:tr w:rsidR="00AD187C" w:rsidRPr="009E06AA" w14:paraId="1698C1CA" w14:textId="77777777" w:rsidTr="00B55F24">
        <w:trPr>
          <w:tblHeader/>
        </w:trPr>
        <w:tc>
          <w:tcPr>
            <w:tcW w:w="0" w:type="auto"/>
            <w:tcBorders>
              <w:top w:val="single" w:sz="4" w:space="0" w:color="1B556B" w:themeColor="text2"/>
              <w:bottom w:val="single" w:sz="4" w:space="0" w:color="1B556B" w:themeColor="text2"/>
            </w:tcBorders>
            <w:shd w:val="clear" w:color="auto" w:fill="1B556B" w:themeFill="text2"/>
            <w:tcMar>
              <w:top w:w="0" w:type="dxa"/>
              <w:left w:w="85" w:type="dxa"/>
              <w:bottom w:w="0" w:type="dxa"/>
              <w:right w:w="85" w:type="dxa"/>
            </w:tcMar>
          </w:tcPr>
          <w:p w14:paraId="06DAB947" w14:textId="77777777" w:rsidR="00AD187C" w:rsidRPr="009E06AA" w:rsidRDefault="00AD187C" w:rsidP="00B55F24">
            <w:pPr>
              <w:pStyle w:val="TableTextBold"/>
              <w:rPr>
                <w:noProof w:val="0"/>
                <w:color w:val="FFFFFF" w:themeColor="background1"/>
              </w:rPr>
            </w:pPr>
            <w:r w:rsidRPr="009E06AA">
              <w:rPr>
                <w:noProof w:val="0"/>
                <w:color w:val="FFFFFF" w:themeColor="background1"/>
              </w:rPr>
              <w:t>Emissions category</w:t>
            </w:r>
          </w:p>
        </w:tc>
        <w:tc>
          <w:tcPr>
            <w:tcW w:w="0" w:type="auto"/>
            <w:tcBorders>
              <w:top w:val="single" w:sz="4" w:space="0" w:color="1B556B" w:themeColor="text2"/>
              <w:bottom w:val="single" w:sz="4" w:space="0" w:color="1B556B" w:themeColor="text2"/>
            </w:tcBorders>
            <w:shd w:val="clear" w:color="auto" w:fill="1B556B" w:themeFill="text2"/>
            <w:tcMar>
              <w:top w:w="0" w:type="dxa"/>
              <w:left w:w="85" w:type="dxa"/>
              <w:bottom w:w="0" w:type="dxa"/>
              <w:right w:w="85" w:type="dxa"/>
            </w:tcMar>
          </w:tcPr>
          <w:p w14:paraId="10028F32" w14:textId="77777777" w:rsidR="00AD187C" w:rsidRPr="009E06AA" w:rsidRDefault="00AD187C" w:rsidP="009220D7">
            <w:pPr>
              <w:pStyle w:val="TableTextBold"/>
              <w:jc w:val="right"/>
              <w:rPr>
                <w:noProof w:val="0"/>
                <w:color w:val="FFFFFF" w:themeColor="background1"/>
              </w:rPr>
            </w:pPr>
            <w:r w:rsidRPr="009E06AA">
              <w:rPr>
                <w:noProof w:val="0"/>
                <w:color w:val="FFFFFF" w:themeColor="background1"/>
              </w:rPr>
              <w:t>Uncertainty in activity data (%)</w:t>
            </w:r>
          </w:p>
        </w:tc>
        <w:tc>
          <w:tcPr>
            <w:tcW w:w="0" w:type="auto"/>
            <w:tcBorders>
              <w:top w:val="single" w:sz="4" w:space="0" w:color="1B556B" w:themeColor="text2"/>
              <w:bottom w:val="single" w:sz="4" w:space="0" w:color="1B556B" w:themeColor="text2"/>
            </w:tcBorders>
            <w:shd w:val="clear" w:color="auto" w:fill="1B556B" w:themeFill="text2"/>
            <w:tcMar>
              <w:top w:w="0" w:type="dxa"/>
              <w:left w:w="85" w:type="dxa"/>
              <w:bottom w:w="0" w:type="dxa"/>
              <w:right w:w="85" w:type="dxa"/>
            </w:tcMar>
          </w:tcPr>
          <w:p w14:paraId="4D3C1FB2" w14:textId="77777777" w:rsidR="00AD187C" w:rsidRPr="009E06AA" w:rsidRDefault="00AD187C" w:rsidP="009220D7">
            <w:pPr>
              <w:pStyle w:val="TableTextBold"/>
              <w:jc w:val="right"/>
              <w:rPr>
                <w:noProof w:val="0"/>
                <w:color w:val="FFFFFF" w:themeColor="background1"/>
              </w:rPr>
            </w:pPr>
            <w:r w:rsidRPr="009E06AA">
              <w:rPr>
                <w:noProof w:val="0"/>
                <w:color w:val="FFFFFF" w:themeColor="background1"/>
              </w:rPr>
              <w:t>Uncertainty in emission factors (%)</w:t>
            </w:r>
          </w:p>
        </w:tc>
      </w:tr>
      <w:tr w:rsidR="00AD187C" w:rsidRPr="009E06AA" w14:paraId="6A12D0BF" w14:textId="77777777" w:rsidTr="00B55F24">
        <w:tc>
          <w:tcPr>
            <w:tcW w:w="0" w:type="auto"/>
            <w:tcBorders>
              <w:top w:val="single" w:sz="4" w:space="0" w:color="1B556B" w:themeColor="text2"/>
              <w:left w:val="single" w:sz="4" w:space="0" w:color="FFFFFF"/>
              <w:bottom w:val="single" w:sz="4" w:space="0" w:color="1B556B" w:themeColor="text2"/>
            </w:tcBorders>
            <w:shd w:val="clear" w:color="auto" w:fill="FFFFFF"/>
            <w:tcMar>
              <w:top w:w="0" w:type="dxa"/>
              <w:left w:w="85" w:type="dxa"/>
              <w:bottom w:w="0" w:type="dxa"/>
              <w:right w:w="85" w:type="dxa"/>
            </w:tcMar>
          </w:tcPr>
          <w:p w14:paraId="7D4F18DA" w14:textId="77777777" w:rsidR="00AD187C" w:rsidRPr="009E06AA" w:rsidRDefault="00AD187C" w:rsidP="00B55F24">
            <w:pPr>
              <w:pStyle w:val="TableText"/>
            </w:pPr>
            <w:r w:rsidRPr="009E06AA">
              <w:t>Uncategorised landfills</w:t>
            </w:r>
          </w:p>
        </w:tc>
        <w:tc>
          <w:tcPr>
            <w:tcW w:w="0" w:type="auto"/>
            <w:tcBorders>
              <w:top w:val="single" w:sz="4" w:space="0" w:color="1B556B" w:themeColor="text2"/>
              <w:bottom w:val="single" w:sz="4" w:space="0" w:color="1B556B" w:themeColor="text2"/>
            </w:tcBorders>
            <w:shd w:val="clear" w:color="auto" w:fill="FFFFFF"/>
            <w:tcMar>
              <w:top w:w="0" w:type="dxa"/>
              <w:left w:w="85" w:type="dxa"/>
              <w:bottom w:w="0" w:type="dxa"/>
              <w:right w:w="85" w:type="dxa"/>
            </w:tcMar>
          </w:tcPr>
          <w:p w14:paraId="5E79656B" w14:textId="77777777" w:rsidR="00AD187C" w:rsidRPr="009E06AA" w:rsidRDefault="00AD187C" w:rsidP="009220D7">
            <w:pPr>
              <w:pStyle w:val="TableText"/>
              <w:jc w:val="right"/>
            </w:pPr>
            <w:r w:rsidRPr="009E06AA">
              <w:t>±140</w:t>
            </w:r>
          </w:p>
        </w:tc>
        <w:tc>
          <w:tcPr>
            <w:tcW w:w="0" w:type="auto"/>
            <w:tcBorders>
              <w:top w:val="single" w:sz="4" w:space="0" w:color="1B556B" w:themeColor="text2"/>
              <w:bottom w:val="single" w:sz="4" w:space="0" w:color="1B556B" w:themeColor="text2"/>
              <w:right w:val="single" w:sz="4" w:space="0" w:color="FFFFFF"/>
            </w:tcBorders>
            <w:shd w:val="clear" w:color="auto" w:fill="FFFFFF"/>
            <w:tcMar>
              <w:top w:w="0" w:type="dxa"/>
              <w:left w:w="85" w:type="dxa"/>
              <w:bottom w:w="0" w:type="dxa"/>
              <w:right w:w="85" w:type="dxa"/>
            </w:tcMar>
          </w:tcPr>
          <w:p w14:paraId="7234AE62" w14:textId="77777777" w:rsidR="00AD187C" w:rsidRPr="009E06AA" w:rsidRDefault="00AD187C" w:rsidP="009220D7">
            <w:pPr>
              <w:pStyle w:val="TableText"/>
              <w:jc w:val="right"/>
            </w:pPr>
            <w:r w:rsidRPr="009E06AA">
              <w:t>±40</w:t>
            </w:r>
          </w:p>
        </w:tc>
      </w:tr>
    </w:tbl>
    <w:p w14:paraId="6EDF25FF" w14:textId="77777777" w:rsidR="00AD187C" w:rsidRPr="009E06AA" w:rsidRDefault="00AD187C" w:rsidP="00AD187C">
      <w:pPr>
        <w:pStyle w:val="BodyText"/>
      </w:pPr>
      <w:r w:rsidRPr="009E06AA">
        <w:t>Time-series consistency is maintained by interpolating the population data in between census years which are generally five years apart.</w:t>
      </w:r>
    </w:p>
    <w:p w14:paraId="01C19616" w14:textId="77777777" w:rsidR="00AD187C" w:rsidRPr="009E06AA" w:rsidRDefault="00AD187C" w:rsidP="00AD187C">
      <w:pPr>
        <w:pStyle w:val="Heading3"/>
        <w:tabs>
          <w:tab w:val="clear" w:pos="851"/>
          <w:tab w:val="left" w:pos="964"/>
        </w:tabs>
      </w:pPr>
      <w:bookmarkStart w:id="3517" w:name="_Toc160205243"/>
      <w:bookmarkStart w:id="3518" w:name="_Toc160441828"/>
      <w:bookmarkStart w:id="3519" w:name="X9e51331d4552f7898c3145f15aafcd553318a4a"/>
      <w:bookmarkEnd w:id="3508"/>
      <w:r w:rsidRPr="009E06AA">
        <w:t>8.13.4</w:t>
      </w:r>
      <w:r w:rsidRPr="009E06AA">
        <w:tab/>
        <w:t>Category-specific QA/QC and verification</w:t>
      </w:r>
      <w:bookmarkEnd w:id="3517"/>
      <w:bookmarkEnd w:id="3518"/>
    </w:p>
    <w:p w14:paraId="7AA77393" w14:textId="77777777" w:rsidR="00AD187C" w:rsidRPr="009E06AA" w:rsidRDefault="00AD187C" w:rsidP="00AD187C">
      <w:pPr>
        <w:pStyle w:val="BodyText"/>
      </w:pPr>
      <w:r w:rsidRPr="009E06AA">
        <w:t>Quality control of the activity data and calculations were applied to each category for Tokelau. No verification was possible because no alternative data were available.</w:t>
      </w:r>
    </w:p>
    <w:p w14:paraId="0509C758" w14:textId="77777777" w:rsidR="00AD187C" w:rsidRPr="009E06AA" w:rsidRDefault="00AD187C" w:rsidP="00AD187C">
      <w:pPr>
        <w:pStyle w:val="Heading3"/>
        <w:tabs>
          <w:tab w:val="clear" w:pos="851"/>
          <w:tab w:val="left" w:pos="964"/>
        </w:tabs>
      </w:pPr>
      <w:bookmarkStart w:id="3520" w:name="_Toc160205244"/>
      <w:bookmarkStart w:id="3521" w:name="_Toc160441829"/>
      <w:bookmarkStart w:id="3522" w:name="category-specific-recalculations-7"/>
      <w:bookmarkEnd w:id="3519"/>
      <w:r w:rsidRPr="009E06AA">
        <w:t>8.13.5</w:t>
      </w:r>
      <w:r w:rsidRPr="009E06AA">
        <w:tab/>
        <w:t>Category-specific recalculations</w:t>
      </w:r>
      <w:bookmarkEnd w:id="3520"/>
      <w:bookmarkEnd w:id="3521"/>
    </w:p>
    <w:p w14:paraId="6331259A" w14:textId="77777777" w:rsidR="00AD187C" w:rsidRPr="009E06AA" w:rsidRDefault="00AD187C" w:rsidP="00AD187C">
      <w:pPr>
        <w:pStyle w:val="BodyText"/>
      </w:pPr>
      <w:r w:rsidRPr="009E06AA">
        <w:t xml:space="preserve">There were no changes to estimates for the </w:t>
      </w:r>
      <w:r w:rsidRPr="009E06AA">
        <w:rPr>
          <w:i/>
          <w:iCs/>
        </w:rPr>
        <w:t>Solid waste disposal</w:t>
      </w:r>
      <w:r w:rsidRPr="009E06AA">
        <w:t xml:space="preserve"> category.</w:t>
      </w:r>
    </w:p>
    <w:p w14:paraId="6F7C6C58" w14:textId="77777777" w:rsidR="00AD187C" w:rsidRPr="009E06AA" w:rsidRDefault="00AD187C" w:rsidP="00AD187C">
      <w:pPr>
        <w:pStyle w:val="Heading3"/>
        <w:tabs>
          <w:tab w:val="clear" w:pos="851"/>
          <w:tab w:val="left" w:pos="964"/>
        </w:tabs>
      </w:pPr>
      <w:bookmarkStart w:id="3523" w:name="_Toc160205245"/>
      <w:bookmarkStart w:id="3524" w:name="_Toc160441830"/>
      <w:bookmarkStart w:id="3525" w:name="source-specific-planned-improvements-7"/>
      <w:bookmarkEnd w:id="3522"/>
      <w:r w:rsidRPr="009E06AA">
        <w:t>8.13.6</w:t>
      </w:r>
      <w:r w:rsidRPr="009E06AA">
        <w:tab/>
        <w:t>Category-specific planned improvements</w:t>
      </w:r>
      <w:bookmarkEnd w:id="3523"/>
      <w:bookmarkEnd w:id="3524"/>
    </w:p>
    <w:p w14:paraId="13555F49" w14:textId="77777777" w:rsidR="00AD187C" w:rsidRPr="009E06AA" w:rsidRDefault="00AD187C" w:rsidP="00AD187C">
      <w:pPr>
        <w:pStyle w:val="BodyText"/>
      </w:pPr>
      <w:r w:rsidRPr="009E06AA">
        <w:t>No improvements are planned for the next inventory submission.</w:t>
      </w:r>
    </w:p>
    <w:p w14:paraId="4D353BFA" w14:textId="77777777" w:rsidR="00AD187C" w:rsidRPr="009E06AA" w:rsidRDefault="00AD187C" w:rsidP="00AD187C">
      <w:pPr>
        <w:pStyle w:val="Heading2"/>
        <w:tabs>
          <w:tab w:val="clear" w:pos="851"/>
          <w:tab w:val="left" w:pos="964"/>
        </w:tabs>
      </w:pPr>
      <w:bookmarkStart w:id="3526" w:name="_Toc160205246"/>
      <w:bookmarkStart w:id="3527" w:name="_Toc160441831"/>
      <w:bookmarkStart w:id="3528" w:name="_Toc164154235"/>
      <w:bookmarkStart w:id="3529" w:name="X156bbd1a38db223c7cc1d20232e8ff3f3a22384"/>
      <w:bookmarkEnd w:id="3489"/>
      <w:bookmarkEnd w:id="3525"/>
      <w:r w:rsidRPr="009E06AA">
        <w:t xml:space="preserve">8.14 </w:t>
      </w:r>
      <w:r w:rsidRPr="009E06AA">
        <w:tab/>
        <w:t>Emissions from Incineration and open burning in Tokelau</w:t>
      </w:r>
      <w:bookmarkEnd w:id="3526"/>
      <w:bookmarkEnd w:id="3527"/>
      <w:bookmarkEnd w:id="3528"/>
    </w:p>
    <w:p w14:paraId="0E4AB21A" w14:textId="77777777" w:rsidR="00AD187C" w:rsidRPr="009E06AA" w:rsidRDefault="00AD187C" w:rsidP="00AD187C">
      <w:pPr>
        <w:pStyle w:val="Heading3"/>
        <w:tabs>
          <w:tab w:val="clear" w:pos="851"/>
          <w:tab w:val="left" w:pos="964"/>
        </w:tabs>
        <w:spacing w:before="240"/>
      </w:pPr>
      <w:bookmarkStart w:id="3530" w:name="_Toc160205247"/>
      <w:bookmarkStart w:id="3531" w:name="_Toc160441832"/>
      <w:bookmarkStart w:id="3532" w:name="description-8"/>
      <w:r w:rsidRPr="009E06AA">
        <w:t>8.14.1</w:t>
      </w:r>
      <w:r w:rsidRPr="009E06AA">
        <w:tab/>
        <w:t>Description</w:t>
      </w:r>
      <w:bookmarkEnd w:id="3530"/>
      <w:bookmarkEnd w:id="3531"/>
    </w:p>
    <w:p w14:paraId="629F3F79" w14:textId="77777777" w:rsidR="00AD187C" w:rsidRPr="009E06AA" w:rsidRDefault="00AD187C" w:rsidP="00AD187C">
      <w:pPr>
        <w:pStyle w:val="BodyText"/>
      </w:pPr>
      <w:r w:rsidRPr="009E06AA">
        <w:t xml:space="preserve">Because Tokelau has no major incineration facilities, all emissions associated with waste burning are reported in the </w:t>
      </w:r>
      <w:r w:rsidRPr="009E06AA">
        <w:rPr>
          <w:i/>
        </w:rPr>
        <w:t>Open burning</w:t>
      </w:r>
      <w:r w:rsidRPr="009E06AA">
        <w:t xml:space="preserve"> category. Carbon dioxide, CH</w:t>
      </w:r>
      <w:r w:rsidRPr="009E06AA">
        <w:rPr>
          <w:vertAlign w:val="subscript"/>
        </w:rPr>
        <w:t>4</w:t>
      </w:r>
      <w:r w:rsidRPr="009E06AA">
        <w:t xml:space="preserve"> and N</w:t>
      </w:r>
      <w:r w:rsidRPr="009E06AA">
        <w:rPr>
          <w:vertAlign w:val="subscript"/>
        </w:rPr>
        <w:t>2</w:t>
      </w:r>
      <w:r w:rsidRPr="009E06AA">
        <w:t>O are reported in this category.</w:t>
      </w:r>
    </w:p>
    <w:p w14:paraId="1252EF5C" w14:textId="77777777" w:rsidR="00AD187C" w:rsidRPr="009E06AA" w:rsidRDefault="00AD187C" w:rsidP="00AD187C">
      <w:pPr>
        <w:pStyle w:val="BodyText"/>
      </w:pPr>
      <w:r w:rsidRPr="009E06AA">
        <w:t>The composition of solid waste for CO</w:t>
      </w:r>
      <w:r w:rsidRPr="009E06AA">
        <w:rPr>
          <w:vertAlign w:val="subscript"/>
        </w:rPr>
        <w:t>2</w:t>
      </w:r>
      <w:r w:rsidRPr="009E06AA">
        <w:t xml:space="preserve"> from open burning is the same as for landfills, except that the 24 per cent ‘inert’ is considered to be ‘other inert’ for open burning purposes (and not disaggregated into glass, metal, plastic and so on). Keeping the 24 per cent in ‘other inert’ is likely to result in an overestimate.</w:t>
      </w:r>
    </w:p>
    <w:p w14:paraId="12B54D34" w14:textId="77777777" w:rsidR="00AD187C" w:rsidRPr="009E06AA" w:rsidRDefault="00AD187C" w:rsidP="00AD187C">
      <w:pPr>
        <w:pStyle w:val="BodyText"/>
      </w:pPr>
      <w:r w:rsidRPr="009E06AA">
        <w:t>The emission factors for open burning of solid waste for CH</w:t>
      </w:r>
      <w:r w:rsidRPr="009E06AA">
        <w:rPr>
          <w:vertAlign w:val="subscript"/>
        </w:rPr>
        <w:t>4</w:t>
      </w:r>
      <w:r w:rsidRPr="009E06AA">
        <w:t xml:space="preserve"> and N</w:t>
      </w:r>
      <w:r w:rsidRPr="009E06AA">
        <w:rPr>
          <w:vertAlign w:val="subscript"/>
        </w:rPr>
        <w:t>2</w:t>
      </w:r>
      <w:r w:rsidRPr="009E06AA">
        <w:t>O are the IPCC defaults for municipal solid waste and are based on a generic waste composition. It is not clear if this will over- or under-estimate emissions.</w:t>
      </w:r>
    </w:p>
    <w:p w14:paraId="505F80E2" w14:textId="77777777" w:rsidR="00AD187C" w:rsidRPr="009E06AA" w:rsidRDefault="00AD187C" w:rsidP="00AD187C">
      <w:pPr>
        <w:pStyle w:val="BodyText"/>
      </w:pPr>
      <w:r w:rsidRPr="009E06AA">
        <w:t xml:space="preserve">The category </w:t>
      </w:r>
      <w:r w:rsidRPr="009E06AA">
        <w:rPr>
          <w:i/>
          <w:iCs/>
        </w:rPr>
        <w:t>Incineration and open burning</w:t>
      </w:r>
      <w:r w:rsidRPr="009E06AA">
        <w:rPr>
          <w:i/>
        </w:rPr>
        <w:t xml:space="preserve"> </w:t>
      </w:r>
      <w:r w:rsidRPr="009E06AA">
        <w:t>contributed 16.8 per cent to the total Waste sector emissions in Tokelau in 2022, which amounted to 0.13 kt CO</w:t>
      </w:r>
      <w:r w:rsidRPr="009E06AA">
        <w:rPr>
          <w:vertAlign w:val="subscript"/>
        </w:rPr>
        <w:t>2</w:t>
      </w:r>
      <w:r w:rsidRPr="009E06AA">
        <w:t>-e.</w:t>
      </w:r>
    </w:p>
    <w:p w14:paraId="7AE03265" w14:textId="77777777" w:rsidR="00AD187C" w:rsidRPr="009E06AA" w:rsidRDefault="00AD187C" w:rsidP="00AD187C">
      <w:pPr>
        <w:pStyle w:val="Heading3"/>
        <w:tabs>
          <w:tab w:val="clear" w:pos="851"/>
          <w:tab w:val="left" w:pos="964"/>
        </w:tabs>
        <w:spacing w:before="240"/>
      </w:pPr>
      <w:bookmarkStart w:id="3533" w:name="_Toc160205248"/>
      <w:bookmarkStart w:id="3534" w:name="_Toc160441833"/>
      <w:bookmarkStart w:id="3535" w:name="methodological-issues-8"/>
      <w:bookmarkEnd w:id="3532"/>
      <w:r w:rsidRPr="009E06AA">
        <w:t>8.14.2</w:t>
      </w:r>
      <w:r w:rsidRPr="009E06AA">
        <w:tab/>
        <w:t>Methodological issues</w:t>
      </w:r>
      <w:bookmarkEnd w:id="3533"/>
      <w:bookmarkEnd w:id="3534"/>
    </w:p>
    <w:p w14:paraId="05FA33CC" w14:textId="77777777" w:rsidR="00AD187C" w:rsidRPr="009E06AA" w:rsidRDefault="00AD187C" w:rsidP="00AD187C">
      <w:pPr>
        <w:pStyle w:val="Heading4"/>
      </w:pPr>
      <w:bookmarkStart w:id="3536" w:name="activity-data-9"/>
      <w:r w:rsidRPr="009E06AA">
        <w:t>Activity data</w:t>
      </w:r>
    </w:p>
    <w:p w14:paraId="6AA1CA2F" w14:textId="77777777" w:rsidR="00AD187C" w:rsidRPr="009E06AA" w:rsidRDefault="00AD187C" w:rsidP="00AD187C">
      <w:pPr>
        <w:pStyle w:val="BodyText"/>
      </w:pPr>
      <w:r w:rsidRPr="009E06AA">
        <w:t>The calculations are based on Tokelau’s population data and assume that 50 per cent of the waste is landfilled and the other 50 per cent is burned. This information is reported as ‘non-biogenic’ open burning because only fossil carbon is reported, and the emission factors for CH</w:t>
      </w:r>
      <w:r w:rsidRPr="009E06AA">
        <w:rPr>
          <w:vertAlign w:val="subscript"/>
        </w:rPr>
        <w:t>4</w:t>
      </w:r>
      <w:r w:rsidRPr="009E06AA">
        <w:t xml:space="preserve"> and N</w:t>
      </w:r>
      <w:r w:rsidRPr="009E06AA">
        <w:rPr>
          <w:vertAlign w:val="subscript"/>
        </w:rPr>
        <w:t>2</w:t>
      </w:r>
      <w:r w:rsidRPr="009E06AA">
        <w:t>O are for municipal solid waste, which does not distinguish biogenic and non</w:t>
      </w:r>
      <w:r w:rsidRPr="009E06AA">
        <w:noBreakHyphen/>
        <w:t>biogenic waste.</w:t>
      </w:r>
    </w:p>
    <w:p w14:paraId="5BD66C4D" w14:textId="77777777" w:rsidR="00AD187C" w:rsidRPr="009E06AA" w:rsidRDefault="00AD187C" w:rsidP="00AD187C">
      <w:pPr>
        <w:pStyle w:val="Heading4"/>
      </w:pPr>
      <w:bookmarkStart w:id="3537" w:name="method-and-emission-factors-2"/>
      <w:bookmarkEnd w:id="3536"/>
      <w:r w:rsidRPr="009E06AA">
        <w:t>Methods and emission factors</w:t>
      </w:r>
    </w:p>
    <w:p w14:paraId="4C05B025" w14:textId="77777777" w:rsidR="00AD187C" w:rsidRPr="009E06AA" w:rsidRDefault="00AD187C" w:rsidP="00AD187C">
      <w:pPr>
        <w:pStyle w:val="BodyText"/>
      </w:pPr>
      <w:r w:rsidRPr="009E06AA">
        <w:t>A Tier 1 methodology with default 2006 IPCC parameters was used for calculating emissions from this category.</w:t>
      </w:r>
    </w:p>
    <w:p w14:paraId="1143640B" w14:textId="77777777" w:rsidR="00AD187C" w:rsidRPr="009E06AA" w:rsidRDefault="00AD187C" w:rsidP="00AD187C">
      <w:pPr>
        <w:pStyle w:val="BodyText"/>
      </w:pPr>
      <w:r w:rsidRPr="009E06AA">
        <w:t>The emission factor for CO</w:t>
      </w:r>
      <w:r w:rsidRPr="009E06AA">
        <w:rPr>
          <w:vertAlign w:val="subscript"/>
        </w:rPr>
        <w:t>2</w:t>
      </w:r>
      <w:r w:rsidRPr="009E06AA">
        <w:t xml:space="preserve"> was the weighted average of calculated factors from table 8.14.1 and a 58 per cent oxidation factor for open burning. For other gases, the following 2006 IPCC default emission factors were used: for CH</w:t>
      </w:r>
      <w:r w:rsidRPr="009E06AA">
        <w:rPr>
          <w:vertAlign w:val="subscript"/>
        </w:rPr>
        <w:t>4</w:t>
      </w:r>
      <w:r w:rsidRPr="009E06AA">
        <w:t>, the default emission factor for municipal solid waste in section 5.4.2 (6,500 kg CH</w:t>
      </w:r>
      <w:r w:rsidRPr="009E06AA">
        <w:rPr>
          <w:vertAlign w:val="subscript"/>
        </w:rPr>
        <w:t>4</w:t>
      </w:r>
      <w:r w:rsidRPr="009E06AA">
        <w:t>/gigagrams (Gg) wet waste); for N</w:t>
      </w:r>
      <w:r w:rsidRPr="009E06AA">
        <w:rPr>
          <w:vertAlign w:val="subscript"/>
        </w:rPr>
        <w:t>2</w:t>
      </w:r>
      <w:r w:rsidRPr="009E06AA">
        <w:t>O, the default emission factor for open burning of municipal solid waste from table 5.6 (150 kg N</w:t>
      </w:r>
      <w:r w:rsidRPr="009E06AA">
        <w:rPr>
          <w:vertAlign w:val="subscript"/>
        </w:rPr>
        <w:t>2</w:t>
      </w:r>
      <w:r w:rsidRPr="009E06AA">
        <w:t>O/Gg dry waste) (IPCC, 2006d). Converted waste volume to dry weight by using dry matter conversion was calculated for CO</w:t>
      </w:r>
      <w:r w:rsidRPr="009E06AA">
        <w:rPr>
          <w:vertAlign w:val="subscript"/>
        </w:rPr>
        <w:t>2</w:t>
      </w:r>
      <w:r w:rsidRPr="009E06AA">
        <w:t xml:space="preserve"> (56.1 per cent). Table 8.14.1 shows waste type and the composition data based on default 2006 IPCC parameters used in estimating emissions from </w:t>
      </w:r>
      <w:r w:rsidRPr="009E06AA">
        <w:rPr>
          <w:i/>
          <w:iCs/>
        </w:rPr>
        <w:t>Open burning of waste</w:t>
      </w:r>
      <w:r w:rsidRPr="009E06AA">
        <w:t>.</w:t>
      </w:r>
    </w:p>
    <w:p w14:paraId="6161C359" w14:textId="77777777" w:rsidR="00AD187C" w:rsidRPr="009E06AA" w:rsidRDefault="00AD187C" w:rsidP="00AD187C">
      <w:pPr>
        <w:pStyle w:val="Table"/>
      </w:pPr>
      <w:bookmarkStart w:id="3538" w:name="_Toc5269604"/>
      <w:bookmarkStart w:id="3539" w:name="_Toc36224685"/>
      <w:bookmarkStart w:id="3540" w:name="_Toc68786571"/>
      <w:bookmarkStart w:id="3541" w:name="_Toc130211277"/>
      <w:bookmarkStart w:id="3542" w:name="_Toc131591478"/>
      <w:bookmarkStart w:id="3543" w:name="_Toc160205514"/>
      <w:bookmarkStart w:id="3544" w:name="_Toc160441633"/>
      <w:bookmarkStart w:id="3545" w:name="_Toc164153969"/>
      <w:r w:rsidRPr="009E06AA">
        <w:t xml:space="preserve">Table 8.14.1 </w:t>
      </w:r>
      <w:r w:rsidRPr="009E06AA">
        <w:tab/>
        <w:t xml:space="preserve">Composition data and carbon content used for estimating emissions from </w:t>
      </w:r>
      <w:r w:rsidRPr="009E06AA">
        <w:rPr>
          <w:i/>
          <w:iCs/>
        </w:rPr>
        <w:t>Open burning of waste</w:t>
      </w:r>
      <w:bookmarkEnd w:id="3538"/>
      <w:bookmarkEnd w:id="3539"/>
      <w:bookmarkEnd w:id="3540"/>
      <w:bookmarkEnd w:id="3541"/>
      <w:bookmarkEnd w:id="3542"/>
      <w:bookmarkEnd w:id="3543"/>
      <w:bookmarkEnd w:id="3544"/>
      <w:bookmarkEnd w:id="3545"/>
      <w:r w:rsidRPr="009E06AA">
        <w:t xml:space="preserve"> </w:t>
      </w:r>
    </w:p>
    <w:tbl>
      <w:tblPr>
        <w:tblW w:w="8505" w:type="dxa"/>
        <w:tblBorders>
          <w:top w:val="single" w:sz="4" w:space="0" w:color="1B556B" w:themeColor="text2"/>
          <w:bottom w:val="single" w:sz="4" w:space="0" w:color="1B556B" w:themeColor="text2"/>
          <w:insideH w:val="single" w:sz="4" w:space="0" w:color="1B556B" w:themeColor="text2"/>
        </w:tblBorders>
        <w:tblLook w:val="0420" w:firstRow="1" w:lastRow="0" w:firstColumn="0" w:lastColumn="0" w:noHBand="0" w:noVBand="1"/>
      </w:tblPr>
      <w:tblGrid>
        <w:gridCol w:w="2410"/>
        <w:gridCol w:w="1559"/>
        <w:gridCol w:w="1333"/>
        <w:gridCol w:w="1008"/>
        <w:gridCol w:w="1088"/>
        <w:gridCol w:w="1107"/>
      </w:tblGrid>
      <w:tr w:rsidR="00AD187C" w:rsidRPr="009E06AA" w14:paraId="2F108E57" w14:textId="77777777" w:rsidTr="00B55F24">
        <w:trPr>
          <w:tblHeader/>
        </w:trPr>
        <w:tc>
          <w:tcPr>
            <w:tcW w:w="2410" w:type="dxa"/>
            <w:shd w:val="clear" w:color="auto" w:fill="1B556B"/>
            <w:tcMar>
              <w:top w:w="0" w:type="dxa"/>
              <w:left w:w="85" w:type="dxa"/>
              <w:bottom w:w="0" w:type="dxa"/>
              <w:right w:w="85" w:type="dxa"/>
            </w:tcMar>
            <w:vAlign w:val="bottom"/>
          </w:tcPr>
          <w:p w14:paraId="7E9026DD" w14:textId="77777777" w:rsidR="00AD187C" w:rsidRPr="009E06AA" w:rsidRDefault="00AD187C" w:rsidP="00B55F24">
            <w:pPr>
              <w:pStyle w:val="TableTextBold"/>
              <w:rPr>
                <w:noProof w:val="0"/>
                <w:color w:val="FFFFFF" w:themeColor="background1"/>
              </w:rPr>
            </w:pPr>
            <w:r w:rsidRPr="009E06AA">
              <w:rPr>
                <w:noProof w:val="0"/>
                <w:color w:val="FFFFFF" w:themeColor="background1"/>
              </w:rPr>
              <w:t>Waste type</w:t>
            </w:r>
          </w:p>
        </w:tc>
        <w:tc>
          <w:tcPr>
            <w:tcW w:w="1559" w:type="dxa"/>
            <w:shd w:val="clear" w:color="auto" w:fill="1B556B"/>
            <w:tcMar>
              <w:top w:w="0" w:type="dxa"/>
              <w:left w:w="85" w:type="dxa"/>
              <w:bottom w:w="0" w:type="dxa"/>
              <w:right w:w="85" w:type="dxa"/>
            </w:tcMar>
            <w:vAlign w:val="bottom"/>
          </w:tcPr>
          <w:p w14:paraId="7B2FDDF3" w14:textId="77777777" w:rsidR="00AD187C" w:rsidRPr="009E06AA" w:rsidRDefault="00AD187C" w:rsidP="009220D7">
            <w:pPr>
              <w:pStyle w:val="TableTextBold"/>
              <w:jc w:val="right"/>
              <w:rPr>
                <w:noProof w:val="0"/>
                <w:color w:val="FFFFFF" w:themeColor="background1"/>
              </w:rPr>
            </w:pPr>
            <w:r w:rsidRPr="009E06AA">
              <w:rPr>
                <w:noProof w:val="0"/>
                <w:color w:val="FFFFFF" w:themeColor="background1"/>
              </w:rPr>
              <w:t>Landfill composition (%)</w:t>
            </w:r>
          </w:p>
        </w:tc>
        <w:tc>
          <w:tcPr>
            <w:tcW w:w="1333" w:type="dxa"/>
            <w:shd w:val="clear" w:color="auto" w:fill="1B556B"/>
            <w:tcMar>
              <w:top w:w="0" w:type="dxa"/>
              <w:left w:w="85" w:type="dxa"/>
              <w:bottom w:w="0" w:type="dxa"/>
              <w:right w:w="85" w:type="dxa"/>
            </w:tcMar>
            <w:vAlign w:val="bottom"/>
          </w:tcPr>
          <w:p w14:paraId="7662A23E" w14:textId="77777777" w:rsidR="00AD187C" w:rsidRPr="009E06AA" w:rsidRDefault="00AD187C" w:rsidP="009220D7">
            <w:pPr>
              <w:pStyle w:val="TableTextBold"/>
              <w:jc w:val="right"/>
              <w:rPr>
                <w:noProof w:val="0"/>
                <w:color w:val="FFFFFF" w:themeColor="background1"/>
              </w:rPr>
            </w:pPr>
            <w:r w:rsidRPr="009E06AA">
              <w:rPr>
                <w:noProof w:val="0"/>
                <w:color w:val="FFFFFF" w:themeColor="background1"/>
              </w:rPr>
              <w:t>CO</w:t>
            </w:r>
            <w:r w:rsidRPr="009E06AA">
              <w:rPr>
                <w:noProof w:val="0"/>
                <w:color w:val="FFFFFF" w:themeColor="background1"/>
                <w:vertAlign w:val="subscript"/>
              </w:rPr>
              <w:t xml:space="preserve">2 </w:t>
            </w:r>
            <w:r w:rsidRPr="009E06AA">
              <w:rPr>
                <w:noProof w:val="0"/>
                <w:color w:val="FFFFFF" w:themeColor="background1"/>
              </w:rPr>
              <w:t>incineration composition (%)</w:t>
            </w:r>
          </w:p>
        </w:tc>
        <w:tc>
          <w:tcPr>
            <w:tcW w:w="0" w:type="auto"/>
            <w:shd w:val="clear" w:color="auto" w:fill="1B556B"/>
            <w:tcMar>
              <w:top w:w="0" w:type="dxa"/>
              <w:left w:w="85" w:type="dxa"/>
              <w:bottom w:w="0" w:type="dxa"/>
              <w:right w:w="85" w:type="dxa"/>
            </w:tcMar>
            <w:vAlign w:val="bottom"/>
          </w:tcPr>
          <w:p w14:paraId="40F7252D" w14:textId="77777777" w:rsidR="00AD187C" w:rsidRPr="009E06AA" w:rsidRDefault="00AD187C" w:rsidP="009220D7">
            <w:pPr>
              <w:pStyle w:val="TableTextBold"/>
              <w:jc w:val="right"/>
              <w:rPr>
                <w:noProof w:val="0"/>
                <w:color w:val="FFFFFF" w:themeColor="background1"/>
              </w:rPr>
            </w:pPr>
            <w:r w:rsidRPr="009E06AA">
              <w:rPr>
                <w:noProof w:val="0"/>
                <w:color w:val="FFFFFF" w:themeColor="background1"/>
              </w:rPr>
              <w:t>Dry matter (%)</w:t>
            </w:r>
          </w:p>
        </w:tc>
        <w:tc>
          <w:tcPr>
            <w:tcW w:w="0" w:type="auto"/>
            <w:shd w:val="clear" w:color="auto" w:fill="1B556B"/>
            <w:tcMar>
              <w:top w:w="0" w:type="dxa"/>
              <w:left w:w="85" w:type="dxa"/>
              <w:bottom w:w="0" w:type="dxa"/>
              <w:right w:w="85" w:type="dxa"/>
            </w:tcMar>
            <w:vAlign w:val="bottom"/>
          </w:tcPr>
          <w:p w14:paraId="645A048A" w14:textId="77777777" w:rsidR="00AD187C" w:rsidRPr="009E06AA" w:rsidRDefault="00AD187C" w:rsidP="009220D7">
            <w:pPr>
              <w:pStyle w:val="TableTextBold"/>
              <w:jc w:val="right"/>
              <w:rPr>
                <w:noProof w:val="0"/>
                <w:color w:val="FFFFFF" w:themeColor="background1"/>
              </w:rPr>
            </w:pPr>
            <w:r w:rsidRPr="009E06AA">
              <w:rPr>
                <w:noProof w:val="0"/>
                <w:color w:val="FFFFFF" w:themeColor="background1"/>
              </w:rPr>
              <w:t>Total carbon (%)</w:t>
            </w:r>
          </w:p>
        </w:tc>
        <w:tc>
          <w:tcPr>
            <w:tcW w:w="0" w:type="auto"/>
            <w:shd w:val="clear" w:color="auto" w:fill="1B556B"/>
            <w:tcMar>
              <w:top w:w="0" w:type="dxa"/>
              <w:left w:w="85" w:type="dxa"/>
              <w:bottom w:w="0" w:type="dxa"/>
              <w:right w:w="85" w:type="dxa"/>
            </w:tcMar>
            <w:vAlign w:val="bottom"/>
          </w:tcPr>
          <w:p w14:paraId="6C6D1020" w14:textId="77777777" w:rsidR="00AD187C" w:rsidRPr="009E06AA" w:rsidRDefault="00AD187C" w:rsidP="009220D7">
            <w:pPr>
              <w:pStyle w:val="TableTextBold"/>
              <w:jc w:val="right"/>
              <w:rPr>
                <w:noProof w:val="0"/>
                <w:color w:val="FFFFFF" w:themeColor="background1"/>
              </w:rPr>
            </w:pPr>
            <w:r w:rsidRPr="009E06AA">
              <w:rPr>
                <w:noProof w:val="0"/>
                <w:color w:val="FFFFFF" w:themeColor="background1"/>
              </w:rPr>
              <w:t>Fossil carbon (%)</w:t>
            </w:r>
          </w:p>
        </w:tc>
      </w:tr>
      <w:tr w:rsidR="00AD187C" w:rsidRPr="009E06AA" w14:paraId="68728BF1" w14:textId="77777777" w:rsidTr="00B55F24">
        <w:tc>
          <w:tcPr>
            <w:tcW w:w="2410" w:type="dxa"/>
            <w:shd w:val="clear" w:color="auto" w:fill="FFFFFF"/>
            <w:tcMar>
              <w:top w:w="0" w:type="dxa"/>
              <w:left w:w="85" w:type="dxa"/>
              <w:bottom w:w="0" w:type="dxa"/>
              <w:right w:w="85" w:type="dxa"/>
            </w:tcMar>
          </w:tcPr>
          <w:p w14:paraId="29317D0B" w14:textId="77777777" w:rsidR="00AD187C" w:rsidRPr="009E06AA" w:rsidRDefault="00AD187C" w:rsidP="00B55F24">
            <w:pPr>
              <w:pStyle w:val="TableText"/>
            </w:pPr>
            <w:r w:rsidRPr="009E06AA">
              <w:rPr>
                <w:color w:val="000000"/>
              </w:rPr>
              <w:t>Paper/card</w:t>
            </w:r>
          </w:p>
        </w:tc>
        <w:tc>
          <w:tcPr>
            <w:tcW w:w="1559" w:type="dxa"/>
            <w:shd w:val="clear" w:color="auto" w:fill="FFFFFF"/>
            <w:tcMar>
              <w:top w:w="0" w:type="dxa"/>
              <w:left w:w="85" w:type="dxa"/>
              <w:bottom w:w="0" w:type="dxa"/>
              <w:right w:w="85" w:type="dxa"/>
            </w:tcMar>
          </w:tcPr>
          <w:p w14:paraId="6A96D5E0" w14:textId="77777777" w:rsidR="00AD187C" w:rsidRPr="009E06AA" w:rsidRDefault="00AD187C" w:rsidP="009220D7">
            <w:pPr>
              <w:pStyle w:val="TableText"/>
              <w:jc w:val="right"/>
            </w:pPr>
            <w:r w:rsidRPr="009E06AA">
              <w:rPr>
                <w:color w:val="000000"/>
              </w:rPr>
              <w:t>6.0</w:t>
            </w:r>
          </w:p>
        </w:tc>
        <w:tc>
          <w:tcPr>
            <w:tcW w:w="1333" w:type="dxa"/>
            <w:shd w:val="clear" w:color="auto" w:fill="FFFFFF"/>
            <w:tcMar>
              <w:top w:w="0" w:type="dxa"/>
              <w:left w:w="85" w:type="dxa"/>
              <w:bottom w:w="0" w:type="dxa"/>
              <w:right w:w="85" w:type="dxa"/>
            </w:tcMar>
          </w:tcPr>
          <w:p w14:paraId="3797EC22" w14:textId="77777777" w:rsidR="00AD187C" w:rsidRPr="009E06AA" w:rsidRDefault="00AD187C" w:rsidP="009220D7">
            <w:pPr>
              <w:pStyle w:val="TableText"/>
              <w:jc w:val="right"/>
            </w:pPr>
            <w:r w:rsidRPr="009E06AA">
              <w:rPr>
                <w:rFonts w:eastAsia="Calibri" w:cs="Calibri"/>
                <w:color w:val="000000"/>
                <w:szCs w:val="16"/>
              </w:rPr>
              <w:t>6.0</w:t>
            </w:r>
          </w:p>
        </w:tc>
        <w:tc>
          <w:tcPr>
            <w:tcW w:w="0" w:type="auto"/>
            <w:shd w:val="clear" w:color="auto" w:fill="FFFFFF"/>
            <w:tcMar>
              <w:top w:w="0" w:type="dxa"/>
              <w:left w:w="85" w:type="dxa"/>
              <w:bottom w:w="0" w:type="dxa"/>
              <w:right w:w="85" w:type="dxa"/>
            </w:tcMar>
          </w:tcPr>
          <w:p w14:paraId="5A4AB48F" w14:textId="77777777" w:rsidR="00AD187C" w:rsidRPr="009E06AA" w:rsidRDefault="00AD187C" w:rsidP="009220D7">
            <w:pPr>
              <w:pStyle w:val="TableText"/>
              <w:jc w:val="right"/>
            </w:pPr>
            <w:r w:rsidRPr="009E06AA">
              <w:rPr>
                <w:color w:val="000000"/>
              </w:rPr>
              <w:t>90</w:t>
            </w:r>
          </w:p>
        </w:tc>
        <w:tc>
          <w:tcPr>
            <w:tcW w:w="0" w:type="auto"/>
            <w:shd w:val="clear" w:color="auto" w:fill="FFFFFF"/>
            <w:tcMar>
              <w:top w:w="0" w:type="dxa"/>
              <w:left w:w="85" w:type="dxa"/>
              <w:bottom w:w="0" w:type="dxa"/>
              <w:right w:w="85" w:type="dxa"/>
            </w:tcMar>
          </w:tcPr>
          <w:p w14:paraId="7EFDB47A" w14:textId="77777777" w:rsidR="00AD187C" w:rsidRPr="009E06AA" w:rsidRDefault="00AD187C" w:rsidP="009220D7">
            <w:pPr>
              <w:pStyle w:val="TableText"/>
              <w:jc w:val="right"/>
            </w:pPr>
            <w:r w:rsidRPr="009E06AA">
              <w:rPr>
                <w:color w:val="000000"/>
              </w:rPr>
              <w:t>43</w:t>
            </w:r>
          </w:p>
        </w:tc>
        <w:tc>
          <w:tcPr>
            <w:tcW w:w="0" w:type="auto"/>
            <w:shd w:val="clear" w:color="auto" w:fill="FFFFFF"/>
            <w:tcMar>
              <w:top w:w="0" w:type="dxa"/>
              <w:left w:w="85" w:type="dxa"/>
              <w:bottom w:w="0" w:type="dxa"/>
              <w:right w:w="85" w:type="dxa"/>
            </w:tcMar>
          </w:tcPr>
          <w:p w14:paraId="6601A70D" w14:textId="77777777" w:rsidR="00AD187C" w:rsidRPr="009E06AA" w:rsidRDefault="00AD187C" w:rsidP="009220D7">
            <w:pPr>
              <w:pStyle w:val="TableText"/>
              <w:jc w:val="right"/>
            </w:pPr>
            <w:r w:rsidRPr="009E06AA">
              <w:rPr>
                <w:color w:val="000000"/>
              </w:rPr>
              <w:t>1</w:t>
            </w:r>
          </w:p>
        </w:tc>
      </w:tr>
      <w:tr w:rsidR="00AD187C" w:rsidRPr="009E06AA" w14:paraId="56E1274D" w14:textId="77777777" w:rsidTr="00B55F24">
        <w:tc>
          <w:tcPr>
            <w:tcW w:w="2410" w:type="dxa"/>
            <w:shd w:val="clear" w:color="auto" w:fill="FFFFFF"/>
            <w:tcMar>
              <w:top w:w="0" w:type="dxa"/>
              <w:left w:w="85" w:type="dxa"/>
              <w:bottom w:w="0" w:type="dxa"/>
              <w:right w:w="85" w:type="dxa"/>
            </w:tcMar>
          </w:tcPr>
          <w:p w14:paraId="0D6F7DD0" w14:textId="77777777" w:rsidR="00AD187C" w:rsidRPr="009E06AA" w:rsidRDefault="00AD187C" w:rsidP="00B55F24">
            <w:pPr>
              <w:pStyle w:val="TableText"/>
            </w:pPr>
            <w:r w:rsidRPr="009E06AA">
              <w:rPr>
                <w:color w:val="000000"/>
              </w:rPr>
              <w:t>Textiles</w:t>
            </w:r>
          </w:p>
        </w:tc>
        <w:tc>
          <w:tcPr>
            <w:tcW w:w="1559" w:type="dxa"/>
            <w:shd w:val="clear" w:color="auto" w:fill="FFFFFF"/>
            <w:tcMar>
              <w:top w:w="0" w:type="dxa"/>
              <w:left w:w="85" w:type="dxa"/>
              <w:bottom w:w="0" w:type="dxa"/>
              <w:right w:w="85" w:type="dxa"/>
            </w:tcMar>
          </w:tcPr>
          <w:p w14:paraId="093A3F33" w14:textId="77777777" w:rsidR="00AD187C" w:rsidRPr="009E06AA" w:rsidRDefault="00AD187C" w:rsidP="009220D7">
            <w:pPr>
              <w:pStyle w:val="TableText"/>
              <w:jc w:val="right"/>
            </w:pPr>
            <w:r w:rsidRPr="009E06AA">
              <w:rPr>
                <w:color w:val="000000"/>
              </w:rPr>
              <w:t>0</w:t>
            </w:r>
          </w:p>
        </w:tc>
        <w:tc>
          <w:tcPr>
            <w:tcW w:w="1333" w:type="dxa"/>
            <w:shd w:val="clear" w:color="auto" w:fill="FFFFFF"/>
            <w:tcMar>
              <w:top w:w="0" w:type="dxa"/>
              <w:left w:w="85" w:type="dxa"/>
              <w:bottom w:w="0" w:type="dxa"/>
              <w:right w:w="85" w:type="dxa"/>
            </w:tcMar>
          </w:tcPr>
          <w:p w14:paraId="1A974891" w14:textId="77777777" w:rsidR="00AD187C" w:rsidRPr="009E06AA" w:rsidRDefault="00AD187C" w:rsidP="009220D7">
            <w:pPr>
              <w:pStyle w:val="TableText"/>
              <w:jc w:val="right"/>
            </w:pPr>
            <w:r w:rsidRPr="009E06AA">
              <w:rPr>
                <w:rFonts w:eastAsia="Calibri" w:cs="Calibri"/>
                <w:color w:val="000000"/>
                <w:szCs w:val="16"/>
              </w:rPr>
              <w:t>0</w:t>
            </w:r>
          </w:p>
        </w:tc>
        <w:tc>
          <w:tcPr>
            <w:tcW w:w="0" w:type="auto"/>
            <w:shd w:val="clear" w:color="auto" w:fill="FFFFFF"/>
            <w:tcMar>
              <w:top w:w="0" w:type="dxa"/>
              <w:left w:w="85" w:type="dxa"/>
              <w:bottom w:w="0" w:type="dxa"/>
              <w:right w:w="85" w:type="dxa"/>
            </w:tcMar>
          </w:tcPr>
          <w:p w14:paraId="38C7AFA1" w14:textId="77777777" w:rsidR="00AD187C" w:rsidRPr="009E06AA" w:rsidRDefault="00AD187C" w:rsidP="009220D7">
            <w:pPr>
              <w:pStyle w:val="TableText"/>
              <w:jc w:val="right"/>
            </w:pPr>
            <w:r w:rsidRPr="009E06AA">
              <w:rPr>
                <w:color w:val="000000"/>
              </w:rPr>
              <w:t>80</w:t>
            </w:r>
          </w:p>
        </w:tc>
        <w:tc>
          <w:tcPr>
            <w:tcW w:w="0" w:type="auto"/>
            <w:shd w:val="clear" w:color="auto" w:fill="FFFFFF"/>
            <w:tcMar>
              <w:top w:w="0" w:type="dxa"/>
              <w:left w:w="85" w:type="dxa"/>
              <w:bottom w:w="0" w:type="dxa"/>
              <w:right w:w="85" w:type="dxa"/>
            </w:tcMar>
          </w:tcPr>
          <w:p w14:paraId="5FA97BDE" w14:textId="77777777" w:rsidR="00AD187C" w:rsidRPr="009E06AA" w:rsidRDefault="00AD187C" w:rsidP="009220D7">
            <w:pPr>
              <w:pStyle w:val="TableText"/>
              <w:jc w:val="right"/>
            </w:pPr>
            <w:r w:rsidRPr="009E06AA">
              <w:rPr>
                <w:color w:val="000000"/>
              </w:rPr>
              <w:t>50</w:t>
            </w:r>
          </w:p>
        </w:tc>
        <w:tc>
          <w:tcPr>
            <w:tcW w:w="0" w:type="auto"/>
            <w:shd w:val="clear" w:color="auto" w:fill="FFFFFF"/>
            <w:tcMar>
              <w:top w:w="0" w:type="dxa"/>
              <w:left w:w="85" w:type="dxa"/>
              <w:bottom w:w="0" w:type="dxa"/>
              <w:right w:w="85" w:type="dxa"/>
            </w:tcMar>
          </w:tcPr>
          <w:p w14:paraId="0401DF53" w14:textId="77777777" w:rsidR="00AD187C" w:rsidRPr="009E06AA" w:rsidRDefault="00AD187C" w:rsidP="009220D7">
            <w:pPr>
              <w:pStyle w:val="TableText"/>
              <w:jc w:val="right"/>
            </w:pPr>
            <w:r w:rsidRPr="009E06AA">
              <w:rPr>
                <w:color w:val="000000"/>
              </w:rPr>
              <w:t>20</w:t>
            </w:r>
          </w:p>
        </w:tc>
      </w:tr>
      <w:tr w:rsidR="00AD187C" w:rsidRPr="009E06AA" w14:paraId="32611BEC" w14:textId="77777777" w:rsidTr="00B55F24">
        <w:tc>
          <w:tcPr>
            <w:tcW w:w="2410" w:type="dxa"/>
            <w:shd w:val="clear" w:color="auto" w:fill="FFFFFF"/>
            <w:tcMar>
              <w:top w:w="0" w:type="dxa"/>
              <w:left w:w="85" w:type="dxa"/>
              <w:bottom w:w="0" w:type="dxa"/>
              <w:right w:w="85" w:type="dxa"/>
            </w:tcMar>
          </w:tcPr>
          <w:p w14:paraId="16AD9F00" w14:textId="77777777" w:rsidR="00AD187C" w:rsidRPr="009E06AA" w:rsidRDefault="00AD187C" w:rsidP="00B55F24">
            <w:pPr>
              <w:pStyle w:val="TableText"/>
            </w:pPr>
            <w:r w:rsidRPr="009E06AA">
              <w:rPr>
                <w:color w:val="000000"/>
              </w:rPr>
              <w:t>Food waste</w:t>
            </w:r>
          </w:p>
        </w:tc>
        <w:tc>
          <w:tcPr>
            <w:tcW w:w="1559" w:type="dxa"/>
            <w:shd w:val="clear" w:color="auto" w:fill="FFFFFF"/>
            <w:tcMar>
              <w:top w:w="0" w:type="dxa"/>
              <w:left w:w="85" w:type="dxa"/>
              <w:bottom w:w="0" w:type="dxa"/>
              <w:right w:w="85" w:type="dxa"/>
            </w:tcMar>
          </w:tcPr>
          <w:p w14:paraId="1DB9774D" w14:textId="77777777" w:rsidR="00AD187C" w:rsidRPr="009E06AA" w:rsidRDefault="00AD187C" w:rsidP="009220D7">
            <w:pPr>
              <w:pStyle w:val="TableText"/>
              <w:jc w:val="right"/>
            </w:pPr>
            <w:r w:rsidRPr="009E06AA">
              <w:rPr>
                <w:color w:val="000000"/>
              </w:rPr>
              <w:t>67.5</w:t>
            </w:r>
          </w:p>
        </w:tc>
        <w:tc>
          <w:tcPr>
            <w:tcW w:w="1333" w:type="dxa"/>
            <w:shd w:val="clear" w:color="auto" w:fill="FFFFFF"/>
            <w:tcMar>
              <w:top w:w="0" w:type="dxa"/>
              <w:left w:w="85" w:type="dxa"/>
              <w:bottom w:w="0" w:type="dxa"/>
              <w:right w:w="85" w:type="dxa"/>
            </w:tcMar>
          </w:tcPr>
          <w:p w14:paraId="6F229691" w14:textId="77777777" w:rsidR="00AD187C" w:rsidRPr="009E06AA" w:rsidRDefault="00AD187C" w:rsidP="009220D7">
            <w:pPr>
              <w:pStyle w:val="TableText"/>
              <w:jc w:val="right"/>
            </w:pPr>
            <w:r w:rsidRPr="009E06AA">
              <w:rPr>
                <w:rFonts w:eastAsia="Calibri" w:cs="Calibri"/>
                <w:color w:val="000000"/>
                <w:szCs w:val="16"/>
              </w:rPr>
              <w:t>67.5</w:t>
            </w:r>
          </w:p>
        </w:tc>
        <w:tc>
          <w:tcPr>
            <w:tcW w:w="0" w:type="auto"/>
            <w:shd w:val="clear" w:color="auto" w:fill="FFFFFF"/>
            <w:tcMar>
              <w:top w:w="0" w:type="dxa"/>
              <w:left w:w="85" w:type="dxa"/>
              <w:bottom w:w="0" w:type="dxa"/>
              <w:right w:w="85" w:type="dxa"/>
            </w:tcMar>
          </w:tcPr>
          <w:p w14:paraId="1CF73176" w14:textId="77777777" w:rsidR="00AD187C" w:rsidRPr="009E06AA" w:rsidRDefault="00AD187C" w:rsidP="009220D7">
            <w:pPr>
              <w:pStyle w:val="TableText"/>
              <w:jc w:val="right"/>
            </w:pPr>
            <w:r w:rsidRPr="009E06AA">
              <w:rPr>
                <w:color w:val="000000"/>
              </w:rPr>
              <w:t>40</w:t>
            </w:r>
          </w:p>
        </w:tc>
        <w:tc>
          <w:tcPr>
            <w:tcW w:w="0" w:type="auto"/>
            <w:shd w:val="clear" w:color="auto" w:fill="FFFFFF"/>
            <w:tcMar>
              <w:top w:w="0" w:type="dxa"/>
              <w:left w:w="85" w:type="dxa"/>
              <w:bottom w:w="0" w:type="dxa"/>
              <w:right w:w="85" w:type="dxa"/>
            </w:tcMar>
          </w:tcPr>
          <w:p w14:paraId="52314E36" w14:textId="77777777" w:rsidR="00AD187C" w:rsidRPr="009E06AA" w:rsidRDefault="00AD187C" w:rsidP="009220D7">
            <w:pPr>
              <w:pStyle w:val="TableText"/>
              <w:jc w:val="right"/>
            </w:pPr>
            <w:r w:rsidRPr="009E06AA">
              <w:rPr>
                <w:color w:val="000000"/>
              </w:rPr>
              <w:t>38</w:t>
            </w:r>
          </w:p>
        </w:tc>
        <w:tc>
          <w:tcPr>
            <w:tcW w:w="0" w:type="auto"/>
            <w:shd w:val="clear" w:color="auto" w:fill="FFFFFF"/>
            <w:tcMar>
              <w:top w:w="0" w:type="dxa"/>
              <w:left w:w="85" w:type="dxa"/>
              <w:bottom w:w="0" w:type="dxa"/>
              <w:right w:w="85" w:type="dxa"/>
            </w:tcMar>
          </w:tcPr>
          <w:p w14:paraId="48925F5C" w14:textId="77777777" w:rsidR="00AD187C" w:rsidRPr="009E06AA" w:rsidRDefault="00AD187C" w:rsidP="009220D7">
            <w:pPr>
              <w:pStyle w:val="TableText"/>
              <w:jc w:val="right"/>
            </w:pPr>
            <w:r w:rsidRPr="009E06AA">
              <w:rPr>
                <w:color w:val="000000"/>
              </w:rPr>
              <w:t>0</w:t>
            </w:r>
          </w:p>
        </w:tc>
      </w:tr>
      <w:tr w:rsidR="00AD187C" w:rsidRPr="009E06AA" w14:paraId="5CC3C683" w14:textId="77777777" w:rsidTr="00B55F24">
        <w:tc>
          <w:tcPr>
            <w:tcW w:w="2410" w:type="dxa"/>
            <w:shd w:val="clear" w:color="auto" w:fill="FFFFFF"/>
            <w:tcMar>
              <w:top w:w="0" w:type="dxa"/>
              <w:left w:w="85" w:type="dxa"/>
              <w:bottom w:w="0" w:type="dxa"/>
              <w:right w:w="85" w:type="dxa"/>
            </w:tcMar>
          </w:tcPr>
          <w:p w14:paraId="5278FBDC" w14:textId="77777777" w:rsidR="00AD187C" w:rsidRPr="009E06AA" w:rsidRDefault="00AD187C" w:rsidP="00B55F24">
            <w:pPr>
              <w:pStyle w:val="TableText"/>
            </w:pPr>
            <w:r w:rsidRPr="009E06AA">
              <w:rPr>
                <w:color w:val="000000"/>
              </w:rPr>
              <w:t>Wood</w:t>
            </w:r>
          </w:p>
        </w:tc>
        <w:tc>
          <w:tcPr>
            <w:tcW w:w="1559" w:type="dxa"/>
            <w:shd w:val="clear" w:color="auto" w:fill="FFFFFF"/>
            <w:tcMar>
              <w:top w:w="0" w:type="dxa"/>
              <w:left w:w="85" w:type="dxa"/>
              <w:bottom w:w="0" w:type="dxa"/>
              <w:right w:w="85" w:type="dxa"/>
            </w:tcMar>
          </w:tcPr>
          <w:p w14:paraId="0662F992" w14:textId="77777777" w:rsidR="00AD187C" w:rsidRPr="009E06AA" w:rsidRDefault="00AD187C" w:rsidP="009220D7">
            <w:pPr>
              <w:pStyle w:val="TableText"/>
              <w:jc w:val="right"/>
            </w:pPr>
            <w:r w:rsidRPr="009E06AA">
              <w:rPr>
                <w:color w:val="000000"/>
              </w:rPr>
              <w:t>2.5</w:t>
            </w:r>
          </w:p>
        </w:tc>
        <w:tc>
          <w:tcPr>
            <w:tcW w:w="1333" w:type="dxa"/>
            <w:shd w:val="clear" w:color="auto" w:fill="FFFFFF"/>
            <w:tcMar>
              <w:top w:w="0" w:type="dxa"/>
              <w:left w:w="85" w:type="dxa"/>
              <w:bottom w:w="0" w:type="dxa"/>
              <w:right w:w="85" w:type="dxa"/>
            </w:tcMar>
          </w:tcPr>
          <w:p w14:paraId="1E0D16EE" w14:textId="77777777" w:rsidR="00AD187C" w:rsidRPr="009E06AA" w:rsidRDefault="00AD187C" w:rsidP="009220D7">
            <w:pPr>
              <w:pStyle w:val="TableText"/>
              <w:jc w:val="right"/>
            </w:pPr>
            <w:r w:rsidRPr="009E06AA">
              <w:rPr>
                <w:rFonts w:eastAsia="Calibri" w:cs="Calibri"/>
                <w:color w:val="000000"/>
                <w:szCs w:val="16"/>
              </w:rPr>
              <w:t>2.5</w:t>
            </w:r>
          </w:p>
        </w:tc>
        <w:tc>
          <w:tcPr>
            <w:tcW w:w="0" w:type="auto"/>
            <w:shd w:val="clear" w:color="auto" w:fill="FFFFFF"/>
            <w:tcMar>
              <w:top w:w="0" w:type="dxa"/>
              <w:left w:w="85" w:type="dxa"/>
              <w:bottom w:w="0" w:type="dxa"/>
              <w:right w:w="85" w:type="dxa"/>
            </w:tcMar>
          </w:tcPr>
          <w:p w14:paraId="77356779" w14:textId="77777777" w:rsidR="00AD187C" w:rsidRPr="009E06AA" w:rsidRDefault="00AD187C" w:rsidP="009220D7">
            <w:pPr>
              <w:pStyle w:val="TableText"/>
              <w:jc w:val="right"/>
            </w:pPr>
            <w:r w:rsidRPr="009E06AA">
              <w:rPr>
                <w:color w:val="000000"/>
              </w:rPr>
              <w:t>85</w:t>
            </w:r>
          </w:p>
        </w:tc>
        <w:tc>
          <w:tcPr>
            <w:tcW w:w="0" w:type="auto"/>
            <w:shd w:val="clear" w:color="auto" w:fill="FFFFFF"/>
            <w:tcMar>
              <w:top w:w="0" w:type="dxa"/>
              <w:left w:w="85" w:type="dxa"/>
              <w:bottom w:w="0" w:type="dxa"/>
              <w:right w:w="85" w:type="dxa"/>
            </w:tcMar>
          </w:tcPr>
          <w:p w14:paraId="56CF83F1" w14:textId="77777777" w:rsidR="00AD187C" w:rsidRPr="009E06AA" w:rsidRDefault="00AD187C" w:rsidP="009220D7">
            <w:pPr>
              <w:pStyle w:val="TableText"/>
              <w:jc w:val="right"/>
            </w:pPr>
            <w:r w:rsidRPr="009E06AA">
              <w:rPr>
                <w:color w:val="000000"/>
              </w:rPr>
              <w:t>50</w:t>
            </w:r>
          </w:p>
        </w:tc>
        <w:tc>
          <w:tcPr>
            <w:tcW w:w="0" w:type="auto"/>
            <w:shd w:val="clear" w:color="auto" w:fill="FFFFFF"/>
            <w:tcMar>
              <w:top w:w="0" w:type="dxa"/>
              <w:left w:w="85" w:type="dxa"/>
              <w:bottom w:w="0" w:type="dxa"/>
              <w:right w:w="85" w:type="dxa"/>
            </w:tcMar>
          </w:tcPr>
          <w:p w14:paraId="72059F79" w14:textId="77777777" w:rsidR="00AD187C" w:rsidRPr="009E06AA" w:rsidRDefault="00AD187C" w:rsidP="009220D7">
            <w:pPr>
              <w:pStyle w:val="TableText"/>
              <w:jc w:val="right"/>
            </w:pPr>
            <w:r w:rsidRPr="009E06AA">
              <w:rPr>
                <w:color w:val="000000"/>
              </w:rPr>
              <w:t>0</w:t>
            </w:r>
          </w:p>
        </w:tc>
      </w:tr>
      <w:tr w:rsidR="00AD187C" w:rsidRPr="009E06AA" w14:paraId="1957DB88" w14:textId="77777777" w:rsidTr="00B55F24">
        <w:tc>
          <w:tcPr>
            <w:tcW w:w="2410" w:type="dxa"/>
            <w:shd w:val="clear" w:color="auto" w:fill="FFFFFF"/>
            <w:tcMar>
              <w:top w:w="0" w:type="dxa"/>
              <w:left w:w="85" w:type="dxa"/>
              <w:bottom w:w="0" w:type="dxa"/>
              <w:right w:w="85" w:type="dxa"/>
            </w:tcMar>
          </w:tcPr>
          <w:p w14:paraId="5DA37C9C" w14:textId="77777777" w:rsidR="00AD187C" w:rsidRPr="009E06AA" w:rsidRDefault="00AD187C" w:rsidP="00B55F24">
            <w:pPr>
              <w:pStyle w:val="TableText"/>
            </w:pPr>
            <w:r w:rsidRPr="009E06AA">
              <w:rPr>
                <w:color w:val="000000"/>
              </w:rPr>
              <w:t>Garden and park waste</w:t>
            </w:r>
          </w:p>
        </w:tc>
        <w:tc>
          <w:tcPr>
            <w:tcW w:w="1559" w:type="dxa"/>
            <w:shd w:val="clear" w:color="auto" w:fill="FFFFFF"/>
            <w:tcMar>
              <w:top w:w="0" w:type="dxa"/>
              <w:left w:w="85" w:type="dxa"/>
              <w:bottom w:w="0" w:type="dxa"/>
              <w:right w:w="85" w:type="dxa"/>
            </w:tcMar>
          </w:tcPr>
          <w:p w14:paraId="63F05186" w14:textId="77777777" w:rsidR="00AD187C" w:rsidRPr="009E06AA" w:rsidRDefault="00AD187C" w:rsidP="009220D7">
            <w:pPr>
              <w:pStyle w:val="TableText"/>
              <w:jc w:val="right"/>
            </w:pPr>
            <w:r w:rsidRPr="009E06AA">
              <w:rPr>
                <w:color w:val="000000"/>
              </w:rPr>
              <w:t>0</w:t>
            </w:r>
          </w:p>
        </w:tc>
        <w:tc>
          <w:tcPr>
            <w:tcW w:w="1333" w:type="dxa"/>
            <w:shd w:val="clear" w:color="auto" w:fill="FFFFFF"/>
            <w:tcMar>
              <w:top w:w="0" w:type="dxa"/>
              <w:left w:w="85" w:type="dxa"/>
              <w:bottom w:w="0" w:type="dxa"/>
              <w:right w:w="85" w:type="dxa"/>
            </w:tcMar>
          </w:tcPr>
          <w:p w14:paraId="15746E41" w14:textId="77777777" w:rsidR="00AD187C" w:rsidRPr="009E06AA" w:rsidRDefault="00AD187C" w:rsidP="009220D7">
            <w:pPr>
              <w:pStyle w:val="TableText"/>
              <w:jc w:val="right"/>
            </w:pPr>
            <w:r w:rsidRPr="009E06AA">
              <w:rPr>
                <w:rFonts w:eastAsia="Calibri" w:cs="Calibri"/>
                <w:color w:val="000000"/>
                <w:szCs w:val="16"/>
              </w:rPr>
              <w:t>0</w:t>
            </w:r>
          </w:p>
        </w:tc>
        <w:tc>
          <w:tcPr>
            <w:tcW w:w="0" w:type="auto"/>
            <w:shd w:val="clear" w:color="auto" w:fill="FFFFFF"/>
            <w:tcMar>
              <w:top w:w="0" w:type="dxa"/>
              <w:left w:w="85" w:type="dxa"/>
              <w:bottom w:w="0" w:type="dxa"/>
              <w:right w:w="85" w:type="dxa"/>
            </w:tcMar>
          </w:tcPr>
          <w:p w14:paraId="2EB66EA8" w14:textId="77777777" w:rsidR="00AD187C" w:rsidRPr="009E06AA" w:rsidRDefault="00AD187C" w:rsidP="009220D7">
            <w:pPr>
              <w:pStyle w:val="TableText"/>
              <w:jc w:val="right"/>
            </w:pPr>
            <w:r w:rsidRPr="009E06AA">
              <w:rPr>
                <w:color w:val="000000"/>
              </w:rPr>
              <w:t>40</w:t>
            </w:r>
          </w:p>
        </w:tc>
        <w:tc>
          <w:tcPr>
            <w:tcW w:w="0" w:type="auto"/>
            <w:shd w:val="clear" w:color="auto" w:fill="FFFFFF"/>
            <w:tcMar>
              <w:top w:w="0" w:type="dxa"/>
              <w:left w:w="85" w:type="dxa"/>
              <w:bottom w:w="0" w:type="dxa"/>
              <w:right w:w="85" w:type="dxa"/>
            </w:tcMar>
          </w:tcPr>
          <w:p w14:paraId="27C001F8" w14:textId="77777777" w:rsidR="00AD187C" w:rsidRPr="009E06AA" w:rsidRDefault="00AD187C" w:rsidP="009220D7">
            <w:pPr>
              <w:pStyle w:val="TableText"/>
              <w:jc w:val="right"/>
            </w:pPr>
            <w:r w:rsidRPr="009E06AA">
              <w:rPr>
                <w:color w:val="000000"/>
              </w:rPr>
              <w:t>49</w:t>
            </w:r>
          </w:p>
        </w:tc>
        <w:tc>
          <w:tcPr>
            <w:tcW w:w="0" w:type="auto"/>
            <w:shd w:val="clear" w:color="auto" w:fill="FFFFFF"/>
            <w:tcMar>
              <w:top w:w="0" w:type="dxa"/>
              <w:left w:w="85" w:type="dxa"/>
              <w:bottom w:w="0" w:type="dxa"/>
              <w:right w:w="85" w:type="dxa"/>
            </w:tcMar>
          </w:tcPr>
          <w:p w14:paraId="0C183FE5" w14:textId="77777777" w:rsidR="00AD187C" w:rsidRPr="009E06AA" w:rsidRDefault="00AD187C" w:rsidP="009220D7">
            <w:pPr>
              <w:pStyle w:val="TableText"/>
              <w:jc w:val="right"/>
            </w:pPr>
            <w:r w:rsidRPr="009E06AA">
              <w:rPr>
                <w:color w:val="000000"/>
              </w:rPr>
              <w:t>0</w:t>
            </w:r>
          </w:p>
        </w:tc>
      </w:tr>
      <w:tr w:rsidR="00AD187C" w:rsidRPr="009E06AA" w14:paraId="473885F7" w14:textId="77777777" w:rsidTr="00B55F24">
        <w:tc>
          <w:tcPr>
            <w:tcW w:w="2410" w:type="dxa"/>
            <w:shd w:val="clear" w:color="auto" w:fill="FFFFFF"/>
            <w:tcMar>
              <w:top w:w="0" w:type="dxa"/>
              <w:left w:w="85" w:type="dxa"/>
              <w:bottom w:w="0" w:type="dxa"/>
              <w:right w:w="85" w:type="dxa"/>
            </w:tcMar>
          </w:tcPr>
          <w:p w14:paraId="5A8DB1BE" w14:textId="77777777" w:rsidR="00AD187C" w:rsidRPr="009E06AA" w:rsidRDefault="00AD187C" w:rsidP="00B55F24">
            <w:pPr>
              <w:pStyle w:val="TableText"/>
            </w:pPr>
            <w:r w:rsidRPr="009E06AA">
              <w:rPr>
                <w:color w:val="000000"/>
              </w:rPr>
              <w:t>Nappies</w:t>
            </w:r>
          </w:p>
        </w:tc>
        <w:tc>
          <w:tcPr>
            <w:tcW w:w="1559" w:type="dxa"/>
            <w:shd w:val="clear" w:color="auto" w:fill="FFFFFF"/>
            <w:tcMar>
              <w:top w:w="0" w:type="dxa"/>
              <w:left w:w="85" w:type="dxa"/>
              <w:bottom w:w="0" w:type="dxa"/>
              <w:right w:w="85" w:type="dxa"/>
            </w:tcMar>
          </w:tcPr>
          <w:p w14:paraId="08E8AEDA" w14:textId="77777777" w:rsidR="00AD187C" w:rsidRPr="009E06AA" w:rsidRDefault="00AD187C" w:rsidP="009220D7">
            <w:pPr>
              <w:pStyle w:val="TableText"/>
              <w:jc w:val="right"/>
            </w:pPr>
            <w:r w:rsidRPr="009E06AA">
              <w:rPr>
                <w:color w:val="000000"/>
              </w:rPr>
              <w:t>0</w:t>
            </w:r>
          </w:p>
        </w:tc>
        <w:tc>
          <w:tcPr>
            <w:tcW w:w="1333" w:type="dxa"/>
            <w:shd w:val="clear" w:color="auto" w:fill="FFFFFF"/>
            <w:tcMar>
              <w:top w:w="0" w:type="dxa"/>
              <w:left w:w="85" w:type="dxa"/>
              <w:bottom w:w="0" w:type="dxa"/>
              <w:right w:w="85" w:type="dxa"/>
            </w:tcMar>
          </w:tcPr>
          <w:p w14:paraId="61889917" w14:textId="77777777" w:rsidR="00AD187C" w:rsidRPr="009E06AA" w:rsidRDefault="00AD187C" w:rsidP="009220D7">
            <w:pPr>
              <w:pStyle w:val="TableText"/>
              <w:jc w:val="right"/>
            </w:pPr>
            <w:r w:rsidRPr="009E06AA">
              <w:rPr>
                <w:rFonts w:eastAsia="Calibri" w:cs="Calibri"/>
                <w:color w:val="000000"/>
                <w:szCs w:val="16"/>
              </w:rPr>
              <w:t>0</w:t>
            </w:r>
          </w:p>
        </w:tc>
        <w:tc>
          <w:tcPr>
            <w:tcW w:w="0" w:type="auto"/>
            <w:shd w:val="clear" w:color="auto" w:fill="FFFFFF"/>
            <w:tcMar>
              <w:top w:w="0" w:type="dxa"/>
              <w:left w:w="85" w:type="dxa"/>
              <w:bottom w:w="0" w:type="dxa"/>
              <w:right w:w="85" w:type="dxa"/>
            </w:tcMar>
          </w:tcPr>
          <w:p w14:paraId="5065F486" w14:textId="77777777" w:rsidR="00AD187C" w:rsidRPr="009E06AA" w:rsidRDefault="00AD187C" w:rsidP="009220D7">
            <w:pPr>
              <w:pStyle w:val="TableText"/>
              <w:jc w:val="right"/>
            </w:pPr>
            <w:r w:rsidRPr="009E06AA">
              <w:rPr>
                <w:color w:val="000000"/>
              </w:rPr>
              <w:t>40</w:t>
            </w:r>
          </w:p>
        </w:tc>
        <w:tc>
          <w:tcPr>
            <w:tcW w:w="0" w:type="auto"/>
            <w:shd w:val="clear" w:color="auto" w:fill="FFFFFF"/>
            <w:tcMar>
              <w:top w:w="0" w:type="dxa"/>
              <w:left w:w="85" w:type="dxa"/>
              <w:bottom w:w="0" w:type="dxa"/>
              <w:right w:w="85" w:type="dxa"/>
            </w:tcMar>
          </w:tcPr>
          <w:p w14:paraId="7262AB78" w14:textId="77777777" w:rsidR="00AD187C" w:rsidRPr="009E06AA" w:rsidRDefault="00AD187C" w:rsidP="009220D7">
            <w:pPr>
              <w:pStyle w:val="TableText"/>
              <w:jc w:val="right"/>
            </w:pPr>
            <w:r w:rsidRPr="009E06AA">
              <w:rPr>
                <w:color w:val="000000"/>
              </w:rPr>
              <w:t>70</w:t>
            </w:r>
          </w:p>
        </w:tc>
        <w:tc>
          <w:tcPr>
            <w:tcW w:w="0" w:type="auto"/>
            <w:shd w:val="clear" w:color="auto" w:fill="FFFFFF"/>
            <w:tcMar>
              <w:top w:w="0" w:type="dxa"/>
              <w:left w:w="85" w:type="dxa"/>
              <w:bottom w:w="0" w:type="dxa"/>
              <w:right w:w="85" w:type="dxa"/>
            </w:tcMar>
          </w:tcPr>
          <w:p w14:paraId="4E58FEEC" w14:textId="77777777" w:rsidR="00AD187C" w:rsidRPr="009E06AA" w:rsidRDefault="00AD187C" w:rsidP="009220D7">
            <w:pPr>
              <w:pStyle w:val="TableText"/>
              <w:jc w:val="right"/>
            </w:pPr>
            <w:r w:rsidRPr="009E06AA">
              <w:rPr>
                <w:color w:val="000000"/>
              </w:rPr>
              <w:t>10</w:t>
            </w:r>
          </w:p>
        </w:tc>
      </w:tr>
      <w:tr w:rsidR="00AD187C" w:rsidRPr="009E06AA" w14:paraId="4BAE7EDA" w14:textId="77777777" w:rsidTr="00B55F24">
        <w:tc>
          <w:tcPr>
            <w:tcW w:w="2410" w:type="dxa"/>
            <w:shd w:val="clear" w:color="auto" w:fill="FFFFFF"/>
            <w:tcMar>
              <w:top w:w="0" w:type="dxa"/>
              <w:left w:w="85" w:type="dxa"/>
              <w:bottom w:w="0" w:type="dxa"/>
              <w:right w:w="85" w:type="dxa"/>
            </w:tcMar>
          </w:tcPr>
          <w:p w14:paraId="5E783397" w14:textId="77777777" w:rsidR="00AD187C" w:rsidRPr="009E06AA" w:rsidRDefault="00AD187C" w:rsidP="00B55F24">
            <w:pPr>
              <w:pStyle w:val="TableText"/>
            </w:pPr>
            <w:r w:rsidRPr="009E06AA">
              <w:rPr>
                <w:color w:val="000000"/>
              </w:rPr>
              <w:t>Rubber and leather</w:t>
            </w:r>
          </w:p>
        </w:tc>
        <w:tc>
          <w:tcPr>
            <w:tcW w:w="1559" w:type="dxa"/>
            <w:shd w:val="clear" w:color="auto" w:fill="FFFFFF"/>
            <w:tcMar>
              <w:top w:w="0" w:type="dxa"/>
              <w:left w:w="85" w:type="dxa"/>
              <w:bottom w:w="0" w:type="dxa"/>
              <w:right w:w="85" w:type="dxa"/>
            </w:tcMar>
          </w:tcPr>
          <w:p w14:paraId="4460000C" w14:textId="77777777" w:rsidR="00AD187C" w:rsidRPr="009E06AA" w:rsidRDefault="00AD187C" w:rsidP="009220D7">
            <w:pPr>
              <w:pStyle w:val="TableText"/>
              <w:jc w:val="right"/>
            </w:pPr>
            <w:r w:rsidRPr="009E06AA">
              <w:rPr>
                <w:rFonts w:eastAsia="Calibri" w:cs="Calibri"/>
                <w:color w:val="000000"/>
                <w:szCs w:val="16"/>
              </w:rPr>
              <w:t>part of inert</w:t>
            </w:r>
          </w:p>
        </w:tc>
        <w:tc>
          <w:tcPr>
            <w:tcW w:w="1333" w:type="dxa"/>
            <w:shd w:val="clear" w:color="auto" w:fill="FFFFFF"/>
            <w:tcMar>
              <w:top w:w="0" w:type="dxa"/>
              <w:left w:w="85" w:type="dxa"/>
              <w:bottom w:w="0" w:type="dxa"/>
              <w:right w:w="85" w:type="dxa"/>
            </w:tcMar>
          </w:tcPr>
          <w:p w14:paraId="31EE9E2F" w14:textId="77777777" w:rsidR="00AD187C" w:rsidRPr="009E06AA" w:rsidRDefault="00AD187C" w:rsidP="009220D7">
            <w:pPr>
              <w:pStyle w:val="TableText"/>
              <w:jc w:val="right"/>
            </w:pPr>
            <w:r w:rsidRPr="009E06AA">
              <w:rPr>
                <w:color w:val="000000"/>
              </w:rPr>
              <w:t>0</w:t>
            </w:r>
          </w:p>
        </w:tc>
        <w:tc>
          <w:tcPr>
            <w:tcW w:w="0" w:type="auto"/>
            <w:shd w:val="clear" w:color="auto" w:fill="FFFFFF"/>
            <w:tcMar>
              <w:top w:w="0" w:type="dxa"/>
              <w:left w:w="85" w:type="dxa"/>
              <w:bottom w:w="0" w:type="dxa"/>
              <w:right w:w="85" w:type="dxa"/>
            </w:tcMar>
          </w:tcPr>
          <w:p w14:paraId="2A37320A" w14:textId="77777777" w:rsidR="00AD187C" w:rsidRPr="009E06AA" w:rsidRDefault="00AD187C" w:rsidP="009220D7">
            <w:pPr>
              <w:pStyle w:val="TableText"/>
              <w:jc w:val="right"/>
            </w:pPr>
            <w:r w:rsidRPr="009E06AA">
              <w:rPr>
                <w:color w:val="000000"/>
              </w:rPr>
              <w:t>84</w:t>
            </w:r>
          </w:p>
        </w:tc>
        <w:tc>
          <w:tcPr>
            <w:tcW w:w="0" w:type="auto"/>
            <w:shd w:val="clear" w:color="auto" w:fill="FFFFFF"/>
            <w:tcMar>
              <w:top w:w="0" w:type="dxa"/>
              <w:left w:w="85" w:type="dxa"/>
              <w:bottom w:w="0" w:type="dxa"/>
              <w:right w:w="85" w:type="dxa"/>
            </w:tcMar>
          </w:tcPr>
          <w:p w14:paraId="22876F9E" w14:textId="77777777" w:rsidR="00AD187C" w:rsidRPr="009E06AA" w:rsidRDefault="00AD187C" w:rsidP="009220D7">
            <w:pPr>
              <w:pStyle w:val="TableText"/>
              <w:jc w:val="right"/>
            </w:pPr>
            <w:r w:rsidRPr="009E06AA">
              <w:rPr>
                <w:color w:val="000000"/>
              </w:rPr>
              <w:t>67</w:t>
            </w:r>
          </w:p>
        </w:tc>
        <w:tc>
          <w:tcPr>
            <w:tcW w:w="0" w:type="auto"/>
            <w:shd w:val="clear" w:color="auto" w:fill="FFFFFF"/>
            <w:tcMar>
              <w:top w:w="0" w:type="dxa"/>
              <w:left w:w="85" w:type="dxa"/>
              <w:bottom w:w="0" w:type="dxa"/>
              <w:right w:w="85" w:type="dxa"/>
            </w:tcMar>
          </w:tcPr>
          <w:p w14:paraId="40D1CCE7" w14:textId="77777777" w:rsidR="00AD187C" w:rsidRPr="009E06AA" w:rsidRDefault="00AD187C" w:rsidP="009220D7">
            <w:pPr>
              <w:pStyle w:val="TableText"/>
              <w:jc w:val="right"/>
            </w:pPr>
            <w:r w:rsidRPr="009E06AA">
              <w:rPr>
                <w:color w:val="000000"/>
              </w:rPr>
              <w:t>20</w:t>
            </w:r>
          </w:p>
        </w:tc>
      </w:tr>
      <w:tr w:rsidR="00AD187C" w:rsidRPr="009E06AA" w14:paraId="7E9775BE" w14:textId="77777777" w:rsidTr="00B55F24">
        <w:tc>
          <w:tcPr>
            <w:tcW w:w="2410" w:type="dxa"/>
            <w:shd w:val="clear" w:color="auto" w:fill="FFFFFF"/>
            <w:tcMar>
              <w:top w:w="0" w:type="dxa"/>
              <w:left w:w="85" w:type="dxa"/>
              <w:bottom w:w="0" w:type="dxa"/>
              <w:right w:w="85" w:type="dxa"/>
            </w:tcMar>
          </w:tcPr>
          <w:p w14:paraId="00454F3C" w14:textId="77777777" w:rsidR="00AD187C" w:rsidRPr="009E06AA" w:rsidRDefault="00AD187C" w:rsidP="00B55F24">
            <w:pPr>
              <w:pStyle w:val="TableText"/>
            </w:pPr>
            <w:r w:rsidRPr="009E06AA">
              <w:rPr>
                <w:color w:val="000000"/>
              </w:rPr>
              <w:t>Plastics</w:t>
            </w:r>
          </w:p>
        </w:tc>
        <w:tc>
          <w:tcPr>
            <w:tcW w:w="1559" w:type="dxa"/>
            <w:shd w:val="clear" w:color="auto" w:fill="FFFFFF"/>
            <w:tcMar>
              <w:top w:w="0" w:type="dxa"/>
              <w:left w:w="85" w:type="dxa"/>
              <w:bottom w:w="0" w:type="dxa"/>
              <w:right w:w="85" w:type="dxa"/>
            </w:tcMar>
          </w:tcPr>
          <w:p w14:paraId="7DFD62B2" w14:textId="77777777" w:rsidR="00AD187C" w:rsidRPr="009E06AA" w:rsidRDefault="00AD187C" w:rsidP="009220D7">
            <w:pPr>
              <w:pStyle w:val="TableText"/>
              <w:jc w:val="right"/>
            </w:pPr>
            <w:r w:rsidRPr="009E06AA">
              <w:rPr>
                <w:rFonts w:eastAsia="Calibri" w:cs="Calibri"/>
                <w:color w:val="000000"/>
                <w:szCs w:val="16"/>
              </w:rPr>
              <w:t>part of inert</w:t>
            </w:r>
          </w:p>
        </w:tc>
        <w:tc>
          <w:tcPr>
            <w:tcW w:w="1333" w:type="dxa"/>
            <w:shd w:val="clear" w:color="auto" w:fill="FFFFFF"/>
            <w:tcMar>
              <w:top w:w="0" w:type="dxa"/>
              <w:left w:w="85" w:type="dxa"/>
              <w:bottom w:w="0" w:type="dxa"/>
              <w:right w:w="85" w:type="dxa"/>
            </w:tcMar>
          </w:tcPr>
          <w:p w14:paraId="7CC045D1" w14:textId="77777777" w:rsidR="00AD187C" w:rsidRPr="009E06AA" w:rsidRDefault="00AD187C" w:rsidP="009220D7">
            <w:pPr>
              <w:pStyle w:val="TableText"/>
              <w:jc w:val="right"/>
            </w:pPr>
            <w:r w:rsidRPr="009E06AA">
              <w:rPr>
                <w:color w:val="000000"/>
              </w:rPr>
              <w:t>0</w:t>
            </w:r>
          </w:p>
        </w:tc>
        <w:tc>
          <w:tcPr>
            <w:tcW w:w="0" w:type="auto"/>
            <w:shd w:val="clear" w:color="auto" w:fill="FFFFFF"/>
            <w:tcMar>
              <w:top w:w="0" w:type="dxa"/>
              <w:left w:w="85" w:type="dxa"/>
              <w:bottom w:w="0" w:type="dxa"/>
              <w:right w:w="85" w:type="dxa"/>
            </w:tcMar>
          </w:tcPr>
          <w:p w14:paraId="77435497" w14:textId="77777777" w:rsidR="00AD187C" w:rsidRPr="009E06AA" w:rsidRDefault="00AD187C" w:rsidP="009220D7">
            <w:pPr>
              <w:pStyle w:val="TableText"/>
              <w:jc w:val="right"/>
            </w:pPr>
            <w:r w:rsidRPr="009E06AA">
              <w:rPr>
                <w:color w:val="000000"/>
              </w:rPr>
              <w:t>100</w:t>
            </w:r>
          </w:p>
        </w:tc>
        <w:tc>
          <w:tcPr>
            <w:tcW w:w="0" w:type="auto"/>
            <w:shd w:val="clear" w:color="auto" w:fill="FFFFFF"/>
            <w:tcMar>
              <w:top w:w="0" w:type="dxa"/>
              <w:left w:w="85" w:type="dxa"/>
              <w:bottom w:w="0" w:type="dxa"/>
              <w:right w:w="85" w:type="dxa"/>
            </w:tcMar>
          </w:tcPr>
          <w:p w14:paraId="6D1113D2" w14:textId="77777777" w:rsidR="00AD187C" w:rsidRPr="009E06AA" w:rsidRDefault="00AD187C" w:rsidP="009220D7">
            <w:pPr>
              <w:pStyle w:val="TableText"/>
              <w:jc w:val="right"/>
            </w:pPr>
            <w:r w:rsidRPr="009E06AA">
              <w:rPr>
                <w:color w:val="000000"/>
              </w:rPr>
              <w:t>75</w:t>
            </w:r>
          </w:p>
        </w:tc>
        <w:tc>
          <w:tcPr>
            <w:tcW w:w="0" w:type="auto"/>
            <w:shd w:val="clear" w:color="auto" w:fill="FFFFFF"/>
            <w:tcMar>
              <w:top w:w="0" w:type="dxa"/>
              <w:left w:w="85" w:type="dxa"/>
              <w:bottom w:w="0" w:type="dxa"/>
              <w:right w:w="85" w:type="dxa"/>
            </w:tcMar>
          </w:tcPr>
          <w:p w14:paraId="43325FF1" w14:textId="77777777" w:rsidR="00AD187C" w:rsidRPr="009E06AA" w:rsidRDefault="00AD187C" w:rsidP="009220D7">
            <w:pPr>
              <w:pStyle w:val="TableText"/>
              <w:jc w:val="right"/>
            </w:pPr>
            <w:r w:rsidRPr="009E06AA">
              <w:rPr>
                <w:color w:val="000000"/>
              </w:rPr>
              <w:t>100</w:t>
            </w:r>
          </w:p>
        </w:tc>
      </w:tr>
      <w:tr w:rsidR="00AD187C" w:rsidRPr="009E06AA" w14:paraId="03563261" w14:textId="77777777" w:rsidTr="00B55F24">
        <w:tc>
          <w:tcPr>
            <w:tcW w:w="2410" w:type="dxa"/>
            <w:shd w:val="clear" w:color="auto" w:fill="FFFFFF"/>
            <w:tcMar>
              <w:top w:w="0" w:type="dxa"/>
              <w:left w:w="85" w:type="dxa"/>
              <w:bottom w:w="0" w:type="dxa"/>
              <w:right w:w="85" w:type="dxa"/>
            </w:tcMar>
          </w:tcPr>
          <w:p w14:paraId="138CE805" w14:textId="77777777" w:rsidR="00AD187C" w:rsidRPr="009E06AA" w:rsidRDefault="00AD187C" w:rsidP="00B55F24">
            <w:pPr>
              <w:pStyle w:val="TableText"/>
            </w:pPr>
            <w:r w:rsidRPr="009E06AA">
              <w:rPr>
                <w:color w:val="000000"/>
              </w:rPr>
              <w:t>Metal</w:t>
            </w:r>
          </w:p>
        </w:tc>
        <w:tc>
          <w:tcPr>
            <w:tcW w:w="1559" w:type="dxa"/>
            <w:shd w:val="clear" w:color="auto" w:fill="FFFFFF"/>
            <w:tcMar>
              <w:top w:w="0" w:type="dxa"/>
              <w:left w:w="85" w:type="dxa"/>
              <w:bottom w:w="0" w:type="dxa"/>
              <w:right w:w="85" w:type="dxa"/>
            </w:tcMar>
          </w:tcPr>
          <w:p w14:paraId="1FADD42C" w14:textId="77777777" w:rsidR="00AD187C" w:rsidRPr="009E06AA" w:rsidRDefault="00AD187C" w:rsidP="009220D7">
            <w:pPr>
              <w:pStyle w:val="TableText"/>
              <w:jc w:val="right"/>
            </w:pPr>
            <w:r w:rsidRPr="009E06AA">
              <w:rPr>
                <w:rFonts w:eastAsia="Calibri" w:cs="Calibri"/>
                <w:color w:val="000000"/>
                <w:szCs w:val="16"/>
              </w:rPr>
              <w:t>part of inert</w:t>
            </w:r>
          </w:p>
        </w:tc>
        <w:tc>
          <w:tcPr>
            <w:tcW w:w="1333" w:type="dxa"/>
            <w:shd w:val="clear" w:color="auto" w:fill="FFFFFF"/>
            <w:tcMar>
              <w:top w:w="0" w:type="dxa"/>
              <w:left w:w="85" w:type="dxa"/>
              <w:bottom w:w="0" w:type="dxa"/>
              <w:right w:w="85" w:type="dxa"/>
            </w:tcMar>
          </w:tcPr>
          <w:p w14:paraId="6AB152FB" w14:textId="77777777" w:rsidR="00AD187C" w:rsidRPr="009E06AA" w:rsidRDefault="00AD187C" w:rsidP="009220D7">
            <w:pPr>
              <w:pStyle w:val="TableText"/>
              <w:jc w:val="right"/>
            </w:pPr>
            <w:r w:rsidRPr="009E06AA">
              <w:rPr>
                <w:color w:val="000000"/>
              </w:rPr>
              <w:t>0</w:t>
            </w:r>
          </w:p>
        </w:tc>
        <w:tc>
          <w:tcPr>
            <w:tcW w:w="0" w:type="auto"/>
            <w:shd w:val="clear" w:color="auto" w:fill="FFFFFF"/>
            <w:tcMar>
              <w:top w:w="0" w:type="dxa"/>
              <w:left w:w="85" w:type="dxa"/>
              <w:bottom w:w="0" w:type="dxa"/>
              <w:right w:w="85" w:type="dxa"/>
            </w:tcMar>
          </w:tcPr>
          <w:p w14:paraId="2FC94D76" w14:textId="77777777" w:rsidR="00AD187C" w:rsidRPr="009E06AA" w:rsidRDefault="00AD187C" w:rsidP="009220D7">
            <w:pPr>
              <w:pStyle w:val="TableText"/>
              <w:jc w:val="right"/>
            </w:pPr>
            <w:r w:rsidRPr="009E06AA">
              <w:rPr>
                <w:color w:val="000000"/>
              </w:rPr>
              <w:t>100</w:t>
            </w:r>
          </w:p>
        </w:tc>
        <w:tc>
          <w:tcPr>
            <w:tcW w:w="0" w:type="auto"/>
            <w:shd w:val="clear" w:color="auto" w:fill="FFFFFF"/>
            <w:tcMar>
              <w:top w:w="0" w:type="dxa"/>
              <w:left w:w="85" w:type="dxa"/>
              <w:bottom w:w="0" w:type="dxa"/>
              <w:right w:w="85" w:type="dxa"/>
            </w:tcMar>
          </w:tcPr>
          <w:p w14:paraId="58AD7F62" w14:textId="77777777" w:rsidR="00AD187C" w:rsidRPr="009E06AA" w:rsidRDefault="00AD187C" w:rsidP="009220D7">
            <w:pPr>
              <w:pStyle w:val="TableText"/>
              <w:jc w:val="right"/>
            </w:pPr>
            <w:r w:rsidRPr="009E06AA">
              <w:rPr>
                <w:color w:val="000000"/>
              </w:rPr>
              <w:t>NA</w:t>
            </w:r>
          </w:p>
        </w:tc>
        <w:tc>
          <w:tcPr>
            <w:tcW w:w="0" w:type="auto"/>
            <w:shd w:val="clear" w:color="auto" w:fill="FFFFFF"/>
            <w:tcMar>
              <w:top w:w="0" w:type="dxa"/>
              <w:left w:w="85" w:type="dxa"/>
              <w:bottom w:w="0" w:type="dxa"/>
              <w:right w:w="85" w:type="dxa"/>
            </w:tcMar>
          </w:tcPr>
          <w:p w14:paraId="12FCB270" w14:textId="77777777" w:rsidR="00AD187C" w:rsidRPr="009E06AA" w:rsidRDefault="00AD187C" w:rsidP="009220D7">
            <w:pPr>
              <w:pStyle w:val="TableText"/>
              <w:jc w:val="right"/>
            </w:pPr>
            <w:r w:rsidRPr="009E06AA">
              <w:rPr>
                <w:color w:val="000000"/>
              </w:rPr>
              <w:t>NA</w:t>
            </w:r>
          </w:p>
        </w:tc>
      </w:tr>
      <w:tr w:rsidR="00AD187C" w:rsidRPr="009E06AA" w14:paraId="4FC35F51" w14:textId="77777777" w:rsidTr="00B55F24">
        <w:tc>
          <w:tcPr>
            <w:tcW w:w="2410" w:type="dxa"/>
            <w:shd w:val="clear" w:color="auto" w:fill="FFFFFF"/>
            <w:tcMar>
              <w:top w:w="0" w:type="dxa"/>
              <w:left w:w="85" w:type="dxa"/>
              <w:bottom w:w="0" w:type="dxa"/>
              <w:right w:w="85" w:type="dxa"/>
            </w:tcMar>
          </w:tcPr>
          <w:p w14:paraId="1CD775DA" w14:textId="77777777" w:rsidR="00AD187C" w:rsidRPr="009E06AA" w:rsidRDefault="00AD187C" w:rsidP="00B55F24">
            <w:pPr>
              <w:pStyle w:val="TableText"/>
            </w:pPr>
            <w:r w:rsidRPr="009E06AA">
              <w:rPr>
                <w:color w:val="000000"/>
              </w:rPr>
              <w:t>Glass</w:t>
            </w:r>
          </w:p>
        </w:tc>
        <w:tc>
          <w:tcPr>
            <w:tcW w:w="1559" w:type="dxa"/>
            <w:shd w:val="clear" w:color="auto" w:fill="FFFFFF"/>
            <w:tcMar>
              <w:top w:w="0" w:type="dxa"/>
              <w:left w:w="85" w:type="dxa"/>
              <w:bottom w:w="0" w:type="dxa"/>
              <w:right w:w="85" w:type="dxa"/>
            </w:tcMar>
          </w:tcPr>
          <w:p w14:paraId="10D0F208" w14:textId="77777777" w:rsidR="00AD187C" w:rsidRPr="009E06AA" w:rsidRDefault="00AD187C" w:rsidP="009220D7">
            <w:pPr>
              <w:pStyle w:val="TableText"/>
              <w:jc w:val="right"/>
            </w:pPr>
            <w:r w:rsidRPr="009E06AA">
              <w:rPr>
                <w:rFonts w:eastAsia="Calibri" w:cs="Calibri"/>
                <w:color w:val="000000"/>
                <w:szCs w:val="16"/>
              </w:rPr>
              <w:t>part of inert</w:t>
            </w:r>
          </w:p>
        </w:tc>
        <w:tc>
          <w:tcPr>
            <w:tcW w:w="1333" w:type="dxa"/>
            <w:shd w:val="clear" w:color="auto" w:fill="FFFFFF"/>
            <w:tcMar>
              <w:top w:w="0" w:type="dxa"/>
              <w:left w:w="85" w:type="dxa"/>
              <w:bottom w:w="0" w:type="dxa"/>
              <w:right w:w="85" w:type="dxa"/>
            </w:tcMar>
          </w:tcPr>
          <w:p w14:paraId="3AE1DB79" w14:textId="77777777" w:rsidR="00AD187C" w:rsidRPr="009E06AA" w:rsidRDefault="00AD187C" w:rsidP="009220D7">
            <w:pPr>
              <w:pStyle w:val="TableText"/>
              <w:jc w:val="right"/>
            </w:pPr>
            <w:r w:rsidRPr="009E06AA">
              <w:rPr>
                <w:color w:val="000000"/>
              </w:rPr>
              <w:t>0</w:t>
            </w:r>
          </w:p>
        </w:tc>
        <w:tc>
          <w:tcPr>
            <w:tcW w:w="0" w:type="auto"/>
            <w:shd w:val="clear" w:color="auto" w:fill="FFFFFF"/>
            <w:tcMar>
              <w:top w:w="0" w:type="dxa"/>
              <w:left w:w="85" w:type="dxa"/>
              <w:bottom w:w="0" w:type="dxa"/>
              <w:right w:w="85" w:type="dxa"/>
            </w:tcMar>
          </w:tcPr>
          <w:p w14:paraId="05AD7E23" w14:textId="77777777" w:rsidR="00AD187C" w:rsidRPr="009E06AA" w:rsidRDefault="00AD187C" w:rsidP="009220D7">
            <w:pPr>
              <w:pStyle w:val="TableText"/>
              <w:jc w:val="right"/>
            </w:pPr>
            <w:r w:rsidRPr="009E06AA">
              <w:rPr>
                <w:color w:val="000000"/>
              </w:rPr>
              <w:t>100</w:t>
            </w:r>
          </w:p>
        </w:tc>
        <w:tc>
          <w:tcPr>
            <w:tcW w:w="0" w:type="auto"/>
            <w:shd w:val="clear" w:color="auto" w:fill="FFFFFF"/>
            <w:tcMar>
              <w:top w:w="0" w:type="dxa"/>
              <w:left w:w="85" w:type="dxa"/>
              <w:bottom w:w="0" w:type="dxa"/>
              <w:right w:w="85" w:type="dxa"/>
            </w:tcMar>
          </w:tcPr>
          <w:p w14:paraId="6BCCBBA3" w14:textId="77777777" w:rsidR="00AD187C" w:rsidRPr="009E06AA" w:rsidRDefault="00AD187C" w:rsidP="009220D7">
            <w:pPr>
              <w:pStyle w:val="TableText"/>
              <w:jc w:val="right"/>
            </w:pPr>
            <w:r w:rsidRPr="009E06AA">
              <w:rPr>
                <w:color w:val="000000"/>
              </w:rPr>
              <w:t>NA</w:t>
            </w:r>
          </w:p>
        </w:tc>
        <w:tc>
          <w:tcPr>
            <w:tcW w:w="0" w:type="auto"/>
            <w:shd w:val="clear" w:color="auto" w:fill="FFFFFF"/>
            <w:tcMar>
              <w:top w:w="0" w:type="dxa"/>
              <w:left w:w="85" w:type="dxa"/>
              <w:bottom w:w="0" w:type="dxa"/>
              <w:right w:w="85" w:type="dxa"/>
            </w:tcMar>
          </w:tcPr>
          <w:p w14:paraId="28473B87" w14:textId="77777777" w:rsidR="00AD187C" w:rsidRPr="009E06AA" w:rsidRDefault="00AD187C" w:rsidP="009220D7">
            <w:pPr>
              <w:pStyle w:val="TableText"/>
              <w:jc w:val="right"/>
            </w:pPr>
            <w:r w:rsidRPr="009E06AA">
              <w:rPr>
                <w:color w:val="000000"/>
              </w:rPr>
              <w:t>NA</w:t>
            </w:r>
          </w:p>
        </w:tc>
      </w:tr>
      <w:tr w:rsidR="00AD187C" w:rsidRPr="009E06AA" w14:paraId="47CB1A78" w14:textId="77777777" w:rsidTr="00B55F24">
        <w:tc>
          <w:tcPr>
            <w:tcW w:w="2410" w:type="dxa"/>
            <w:shd w:val="clear" w:color="auto" w:fill="FFFFFF"/>
            <w:tcMar>
              <w:top w:w="0" w:type="dxa"/>
              <w:left w:w="85" w:type="dxa"/>
              <w:bottom w:w="0" w:type="dxa"/>
              <w:right w:w="85" w:type="dxa"/>
            </w:tcMar>
          </w:tcPr>
          <w:p w14:paraId="152C85E3" w14:textId="77777777" w:rsidR="00AD187C" w:rsidRPr="009E06AA" w:rsidRDefault="00AD187C" w:rsidP="00B55F24">
            <w:pPr>
              <w:pStyle w:val="TableText"/>
            </w:pPr>
            <w:r w:rsidRPr="009E06AA">
              <w:rPr>
                <w:color w:val="000000"/>
              </w:rPr>
              <w:t>Other, inert</w:t>
            </w:r>
          </w:p>
        </w:tc>
        <w:tc>
          <w:tcPr>
            <w:tcW w:w="1559" w:type="dxa"/>
            <w:shd w:val="clear" w:color="auto" w:fill="FFFFFF"/>
            <w:tcMar>
              <w:top w:w="0" w:type="dxa"/>
              <w:left w:w="85" w:type="dxa"/>
              <w:bottom w:w="0" w:type="dxa"/>
              <w:right w:w="85" w:type="dxa"/>
            </w:tcMar>
          </w:tcPr>
          <w:p w14:paraId="681918AC" w14:textId="77777777" w:rsidR="00AD187C" w:rsidRPr="009E06AA" w:rsidRDefault="00AD187C" w:rsidP="009220D7">
            <w:pPr>
              <w:pStyle w:val="TableText"/>
              <w:jc w:val="right"/>
            </w:pPr>
            <w:r w:rsidRPr="009E06AA">
              <w:rPr>
                <w:rFonts w:eastAsia="Calibri" w:cs="Calibri"/>
                <w:color w:val="000000"/>
                <w:szCs w:val="16"/>
              </w:rPr>
              <w:t>24.0</w:t>
            </w:r>
          </w:p>
        </w:tc>
        <w:tc>
          <w:tcPr>
            <w:tcW w:w="1333" w:type="dxa"/>
            <w:shd w:val="clear" w:color="auto" w:fill="FFFFFF"/>
            <w:tcMar>
              <w:top w:w="0" w:type="dxa"/>
              <w:left w:w="85" w:type="dxa"/>
              <w:bottom w:w="0" w:type="dxa"/>
              <w:right w:w="85" w:type="dxa"/>
            </w:tcMar>
          </w:tcPr>
          <w:p w14:paraId="25D47C11" w14:textId="77777777" w:rsidR="00AD187C" w:rsidRPr="009E06AA" w:rsidRDefault="00AD187C" w:rsidP="009220D7">
            <w:pPr>
              <w:pStyle w:val="TableText"/>
              <w:jc w:val="right"/>
            </w:pPr>
            <w:r w:rsidRPr="009E06AA">
              <w:rPr>
                <w:color w:val="000000"/>
              </w:rPr>
              <w:t>24.0</w:t>
            </w:r>
          </w:p>
        </w:tc>
        <w:tc>
          <w:tcPr>
            <w:tcW w:w="0" w:type="auto"/>
            <w:shd w:val="clear" w:color="auto" w:fill="FFFFFF"/>
            <w:tcMar>
              <w:top w:w="0" w:type="dxa"/>
              <w:left w:w="85" w:type="dxa"/>
              <w:bottom w:w="0" w:type="dxa"/>
              <w:right w:w="85" w:type="dxa"/>
            </w:tcMar>
          </w:tcPr>
          <w:p w14:paraId="63A85C22" w14:textId="77777777" w:rsidR="00AD187C" w:rsidRPr="009E06AA" w:rsidRDefault="00AD187C" w:rsidP="009220D7">
            <w:pPr>
              <w:pStyle w:val="TableText"/>
              <w:jc w:val="right"/>
            </w:pPr>
            <w:r w:rsidRPr="009E06AA">
              <w:rPr>
                <w:color w:val="000000"/>
              </w:rPr>
              <w:t>90</w:t>
            </w:r>
          </w:p>
        </w:tc>
        <w:tc>
          <w:tcPr>
            <w:tcW w:w="0" w:type="auto"/>
            <w:shd w:val="clear" w:color="auto" w:fill="FFFFFF"/>
            <w:tcMar>
              <w:top w:w="0" w:type="dxa"/>
              <w:left w:w="85" w:type="dxa"/>
              <w:bottom w:w="0" w:type="dxa"/>
              <w:right w:w="85" w:type="dxa"/>
            </w:tcMar>
          </w:tcPr>
          <w:p w14:paraId="4CE37AE3" w14:textId="77777777" w:rsidR="00AD187C" w:rsidRPr="009E06AA" w:rsidRDefault="00AD187C" w:rsidP="009220D7">
            <w:pPr>
              <w:pStyle w:val="TableText"/>
              <w:jc w:val="right"/>
            </w:pPr>
            <w:r w:rsidRPr="009E06AA">
              <w:rPr>
                <w:color w:val="000000"/>
              </w:rPr>
              <w:t>3</w:t>
            </w:r>
          </w:p>
        </w:tc>
        <w:tc>
          <w:tcPr>
            <w:tcW w:w="0" w:type="auto"/>
            <w:shd w:val="clear" w:color="auto" w:fill="FFFFFF"/>
            <w:tcMar>
              <w:top w:w="0" w:type="dxa"/>
              <w:left w:w="85" w:type="dxa"/>
              <w:bottom w:w="0" w:type="dxa"/>
              <w:right w:w="85" w:type="dxa"/>
            </w:tcMar>
          </w:tcPr>
          <w:p w14:paraId="4DEE3DF1" w14:textId="77777777" w:rsidR="00AD187C" w:rsidRPr="009E06AA" w:rsidRDefault="00AD187C" w:rsidP="009220D7">
            <w:pPr>
              <w:pStyle w:val="TableText"/>
              <w:jc w:val="right"/>
            </w:pPr>
            <w:r w:rsidRPr="009E06AA">
              <w:rPr>
                <w:color w:val="000000"/>
              </w:rPr>
              <w:t>100</w:t>
            </w:r>
          </w:p>
        </w:tc>
      </w:tr>
      <w:tr w:rsidR="00AD187C" w:rsidRPr="009E06AA" w14:paraId="78C254AE" w14:textId="77777777" w:rsidTr="00B55F24">
        <w:tc>
          <w:tcPr>
            <w:tcW w:w="2410" w:type="dxa"/>
            <w:shd w:val="clear" w:color="auto" w:fill="FFFFFF"/>
            <w:tcMar>
              <w:top w:w="0" w:type="dxa"/>
              <w:left w:w="85" w:type="dxa"/>
              <w:bottom w:w="0" w:type="dxa"/>
              <w:right w:w="85" w:type="dxa"/>
            </w:tcMar>
          </w:tcPr>
          <w:p w14:paraId="55C35837" w14:textId="77777777" w:rsidR="00AD187C" w:rsidRPr="009E06AA" w:rsidRDefault="00AD187C" w:rsidP="00B55F24">
            <w:pPr>
              <w:pStyle w:val="TableText"/>
              <w:rPr>
                <w:b/>
                <w:bCs/>
              </w:rPr>
            </w:pPr>
            <w:r w:rsidRPr="009E06AA">
              <w:rPr>
                <w:b/>
                <w:bCs/>
                <w:color w:val="1B556B"/>
              </w:rPr>
              <w:t>Calculated weighted average</w:t>
            </w:r>
          </w:p>
        </w:tc>
        <w:tc>
          <w:tcPr>
            <w:tcW w:w="1559" w:type="dxa"/>
            <w:shd w:val="clear" w:color="auto" w:fill="FFFFFF"/>
            <w:tcMar>
              <w:top w:w="0" w:type="dxa"/>
              <w:left w:w="85" w:type="dxa"/>
              <w:bottom w:w="0" w:type="dxa"/>
              <w:right w:w="85" w:type="dxa"/>
            </w:tcMar>
          </w:tcPr>
          <w:p w14:paraId="421C2207" w14:textId="77777777" w:rsidR="00AD187C" w:rsidRPr="009E06AA" w:rsidRDefault="00AD187C" w:rsidP="009220D7">
            <w:pPr>
              <w:pStyle w:val="TableText"/>
              <w:jc w:val="right"/>
              <w:rPr>
                <w:b/>
                <w:bCs/>
              </w:rPr>
            </w:pPr>
          </w:p>
        </w:tc>
        <w:tc>
          <w:tcPr>
            <w:tcW w:w="1333" w:type="dxa"/>
            <w:shd w:val="clear" w:color="auto" w:fill="FFFFFF"/>
            <w:tcMar>
              <w:top w:w="0" w:type="dxa"/>
              <w:left w:w="85" w:type="dxa"/>
              <w:bottom w:w="0" w:type="dxa"/>
              <w:right w:w="85" w:type="dxa"/>
            </w:tcMar>
          </w:tcPr>
          <w:p w14:paraId="4C523D89" w14:textId="77777777" w:rsidR="00AD187C" w:rsidRPr="009E06AA" w:rsidRDefault="00AD187C" w:rsidP="009220D7">
            <w:pPr>
              <w:pStyle w:val="TableText"/>
              <w:jc w:val="right"/>
              <w:rPr>
                <w:b/>
                <w:bCs/>
              </w:rPr>
            </w:pPr>
          </w:p>
        </w:tc>
        <w:tc>
          <w:tcPr>
            <w:tcW w:w="0" w:type="auto"/>
            <w:shd w:val="clear" w:color="auto" w:fill="FFFFFF"/>
            <w:tcMar>
              <w:top w:w="0" w:type="dxa"/>
              <w:left w:w="85" w:type="dxa"/>
              <w:bottom w:w="0" w:type="dxa"/>
              <w:right w:w="85" w:type="dxa"/>
            </w:tcMar>
          </w:tcPr>
          <w:p w14:paraId="0A0F8631" w14:textId="77777777" w:rsidR="00AD187C" w:rsidRPr="009E06AA" w:rsidRDefault="00AD187C" w:rsidP="009220D7">
            <w:pPr>
              <w:pStyle w:val="TableText"/>
              <w:jc w:val="right"/>
              <w:rPr>
                <w:b/>
                <w:bCs/>
              </w:rPr>
            </w:pPr>
            <w:r w:rsidRPr="009E06AA">
              <w:rPr>
                <w:b/>
                <w:bCs/>
                <w:color w:val="1B556B"/>
              </w:rPr>
              <w:t>56.13</w:t>
            </w:r>
          </w:p>
        </w:tc>
        <w:tc>
          <w:tcPr>
            <w:tcW w:w="0" w:type="auto"/>
            <w:shd w:val="clear" w:color="auto" w:fill="FFFFFF"/>
            <w:tcMar>
              <w:top w:w="0" w:type="dxa"/>
              <w:left w:w="85" w:type="dxa"/>
              <w:bottom w:w="0" w:type="dxa"/>
              <w:right w:w="85" w:type="dxa"/>
            </w:tcMar>
          </w:tcPr>
          <w:p w14:paraId="109BBBFA" w14:textId="77777777" w:rsidR="00AD187C" w:rsidRPr="009E06AA" w:rsidRDefault="00AD187C" w:rsidP="009220D7">
            <w:pPr>
              <w:pStyle w:val="TableText"/>
              <w:jc w:val="right"/>
              <w:rPr>
                <w:b/>
                <w:bCs/>
              </w:rPr>
            </w:pPr>
            <w:r w:rsidRPr="009E06AA">
              <w:rPr>
                <w:b/>
                <w:bCs/>
                <w:color w:val="1B556B"/>
              </w:rPr>
              <w:t>30.20</w:t>
            </w:r>
          </w:p>
        </w:tc>
        <w:tc>
          <w:tcPr>
            <w:tcW w:w="0" w:type="auto"/>
            <w:shd w:val="clear" w:color="auto" w:fill="FFFFFF"/>
            <w:tcMar>
              <w:top w:w="0" w:type="dxa"/>
              <w:left w:w="85" w:type="dxa"/>
              <w:bottom w:w="0" w:type="dxa"/>
              <w:right w:w="85" w:type="dxa"/>
            </w:tcMar>
          </w:tcPr>
          <w:p w14:paraId="418725CF" w14:textId="77777777" w:rsidR="00AD187C" w:rsidRPr="009E06AA" w:rsidRDefault="00AD187C" w:rsidP="009220D7">
            <w:pPr>
              <w:pStyle w:val="TableText"/>
              <w:jc w:val="right"/>
              <w:rPr>
                <w:b/>
                <w:bCs/>
              </w:rPr>
            </w:pPr>
            <w:r w:rsidRPr="009E06AA">
              <w:rPr>
                <w:b/>
                <w:bCs/>
                <w:color w:val="1B556B"/>
              </w:rPr>
              <w:t>24.06</w:t>
            </w:r>
          </w:p>
        </w:tc>
      </w:tr>
    </w:tbl>
    <w:p w14:paraId="52379949" w14:textId="77777777" w:rsidR="00AD187C" w:rsidRPr="009E06AA" w:rsidRDefault="00AD187C" w:rsidP="00AD187C">
      <w:pPr>
        <w:pStyle w:val="Noteundertable"/>
      </w:pPr>
      <w:r w:rsidRPr="009E06AA">
        <w:rPr>
          <w:b/>
          <w:bCs/>
        </w:rPr>
        <w:t>Note:</w:t>
      </w:r>
      <w:r w:rsidRPr="009E06AA">
        <w:tab/>
        <w:t>NA = not applicable.</w:t>
      </w:r>
    </w:p>
    <w:p w14:paraId="3A006BF2" w14:textId="77777777" w:rsidR="00AD187C" w:rsidRPr="009E06AA" w:rsidRDefault="00AD187C" w:rsidP="00AD187C">
      <w:pPr>
        <w:pStyle w:val="BodyText"/>
      </w:pPr>
      <w:r w:rsidRPr="009E06AA">
        <w:t>Percentages in table 8.14.1 are defaults from table 2.3 and table 2.4 in volume 5, 2006 IPCC Guidelines (IPCC, 2006d).</w:t>
      </w:r>
    </w:p>
    <w:p w14:paraId="3D3A085E" w14:textId="77777777" w:rsidR="00AD187C" w:rsidRPr="009E06AA" w:rsidRDefault="00AD187C" w:rsidP="00AD187C">
      <w:pPr>
        <w:pStyle w:val="BodyText"/>
      </w:pPr>
      <w:r w:rsidRPr="009E06AA">
        <w:t>An assumption was made that ‘inert’ waste for landfills is classified entirely as ‘other inert’ waste for incineration (the impact of this assumption is that emissions are slightly higher than distributing the 24 per cent over the various inert types due to the high fossil carbon percentage).</w:t>
      </w:r>
    </w:p>
    <w:p w14:paraId="765FD5BD" w14:textId="77777777" w:rsidR="00AD187C" w:rsidRPr="009E06AA" w:rsidRDefault="00AD187C" w:rsidP="00AD187C">
      <w:pPr>
        <w:pStyle w:val="Heading3"/>
        <w:tabs>
          <w:tab w:val="clear" w:pos="851"/>
          <w:tab w:val="left" w:pos="964"/>
        </w:tabs>
      </w:pPr>
      <w:bookmarkStart w:id="3546" w:name="_Toc160205249"/>
      <w:bookmarkStart w:id="3547" w:name="_Toc160441834"/>
      <w:bookmarkStart w:id="3548" w:name="X674c798d6e2cd288a78f61c80de76e56203a537"/>
      <w:bookmarkEnd w:id="3535"/>
      <w:bookmarkEnd w:id="3537"/>
      <w:r w:rsidRPr="009E06AA">
        <w:t>8.14.3</w:t>
      </w:r>
      <w:r w:rsidRPr="009E06AA">
        <w:tab/>
        <w:t>Uncertainty assessment and time-series consistency</w:t>
      </w:r>
      <w:bookmarkEnd w:id="3546"/>
      <w:bookmarkEnd w:id="3547"/>
    </w:p>
    <w:p w14:paraId="55979A76" w14:textId="77777777" w:rsidR="00AD187C" w:rsidRPr="009E06AA" w:rsidRDefault="00AD187C" w:rsidP="00AD187C">
      <w:pPr>
        <w:pStyle w:val="BodyText"/>
      </w:pPr>
      <w:r w:rsidRPr="009E06AA">
        <w:t xml:space="preserve">The same uncertainty data for </w:t>
      </w:r>
      <w:r w:rsidRPr="009E06AA">
        <w:rPr>
          <w:i/>
        </w:rPr>
        <w:t>Open burning of waste</w:t>
      </w:r>
      <w:r w:rsidRPr="009E06AA">
        <w:t xml:space="preserve"> were used for Tokelau (see table 8.14.2) and New Zealand (see table 7.4.6, chapter 7; for methodological notes, refer to uncertainties in emissions from </w:t>
      </w:r>
      <w:r w:rsidRPr="009E06AA">
        <w:rPr>
          <w:i/>
        </w:rPr>
        <w:t>Incineration and open burning</w:t>
      </w:r>
      <w:r w:rsidRPr="009E06AA">
        <w:t>, section 7.4.3, chapter 7).</w:t>
      </w:r>
    </w:p>
    <w:p w14:paraId="340D82CD" w14:textId="77777777" w:rsidR="00AD187C" w:rsidRPr="009E06AA" w:rsidRDefault="00AD187C" w:rsidP="00AD187C">
      <w:pPr>
        <w:pStyle w:val="Table"/>
      </w:pPr>
      <w:bookmarkStart w:id="3549" w:name="_Toc5269605"/>
      <w:bookmarkStart w:id="3550" w:name="_Toc36224686"/>
      <w:bookmarkStart w:id="3551" w:name="_Toc68786572"/>
      <w:bookmarkStart w:id="3552" w:name="_Toc130211278"/>
      <w:bookmarkStart w:id="3553" w:name="_Toc131591479"/>
      <w:bookmarkStart w:id="3554" w:name="_Toc160205515"/>
      <w:bookmarkStart w:id="3555" w:name="_Toc160441634"/>
      <w:bookmarkStart w:id="3556" w:name="_Toc164153970"/>
      <w:r w:rsidRPr="009E06AA">
        <w:t xml:space="preserve">Table 8.14.2 </w:t>
      </w:r>
      <w:r w:rsidRPr="009E06AA">
        <w:tab/>
        <w:t xml:space="preserve">Uncertainty in emissions from </w:t>
      </w:r>
      <w:r w:rsidRPr="009E06AA">
        <w:rPr>
          <w:i/>
          <w:iCs/>
        </w:rPr>
        <w:t>Open burning of waste</w:t>
      </w:r>
      <w:r w:rsidRPr="009E06AA">
        <w:t xml:space="preserve"> for Tokelau</w:t>
      </w:r>
      <w:bookmarkEnd w:id="3549"/>
      <w:bookmarkEnd w:id="3550"/>
      <w:bookmarkEnd w:id="3551"/>
      <w:bookmarkEnd w:id="3552"/>
      <w:bookmarkEnd w:id="3553"/>
      <w:bookmarkEnd w:id="3554"/>
      <w:bookmarkEnd w:id="3555"/>
      <w:bookmarkEnd w:id="3556"/>
    </w:p>
    <w:tbl>
      <w:tblPr>
        <w:tblW w:w="8505" w:type="dxa"/>
        <w:tblBorders>
          <w:top w:val="single" w:sz="4" w:space="0" w:color="1B556B" w:themeColor="text2"/>
          <w:bottom w:val="single" w:sz="4" w:space="0" w:color="1B556B" w:themeColor="text2"/>
          <w:insideH w:val="single" w:sz="4" w:space="0" w:color="1B556B" w:themeColor="text2"/>
        </w:tblBorders>
        <w:tblLook w:val="0420" w:firstRow="1" w:lastRow="0" w:firstColumn="0" w:lastColumn="0" w:noHBand="0" w:noVBand="1"/>
      </w:tblPr>
      <w:tblGrid>
        <w:gridCol w:w="2430"/>
        <w:gridCol w:w="2869"/>
        <w:gridCol w:w="3206"/>
      </w:tblGrid>
      <w:tr w:rsidR="00AD187C" w:rsidRPr="009E06AA" w14:paraId="00AF2B53" w14:textId="77777777" w:rsidTr="00B55F24">
        <w:trPr>
          <w:tblHeader/>
        </w:trPr>
        <w:tc>
          <w:tcPr>
            <w:tcW w:w="0" w:type="auto"/>
            <w:shd w:val="clear" w:color="auto" w:fill="1B556B"/>
            <w:tcMar>
              <w:top w:w="0" w:type="dxa"/>
              <w:left w:w="85" w:type="dxa"/>
              <w:bottom w:w="0" w:type="dxa"/>
              <w:right w:w="85" w:type="dxa"/>
            </w:tcMar>
          </w:tcPr>
          <w:p w14:paraId="055FB576" w14:textId="77777777" w:rsidR="00AD187C" w:rsidRPr="009E06AA" w:rsidRDefault="00AD187C" w:rsidP="00B55F24">
            <w:pPr>
              <w:pStyle w:val="TableTextBold"/>
              <w:spacing w:before="40" w:after="40"/>
              <w:rPr>
                <w:noProof w:val="0"/>
                <w:color w:val="FFFFFF" w:themeColor="background1"/>
              </w:rPr>
            </w:pPr>
            <w:r w:rsidRPr="009E06AA">
              <w:rPr>
                <w:noProof w:val="0"/>
                <w:color w:val="FFFFFF" w:themeColor="background1"/>
              </w:rPr>
              <w:t>Emissions category</w:t>
            </w:r>
          </w:p>
        </w:tc>
        <w:tc>
          <w:tcPr>
            <w:tcW w:w="0" w:type="auto"/>
            <w:shd w:val="clear" w:color="auto" w:fill="1B556B"/>
            <w:tcMar>
              <w:top w:w="0" w:type="dxa"/>
              <w:left w:w="85" w:type="dxa"/>
              <w:bottom w:w="0" w:type="dxa"/>
              <w:right w:w="85" w:type="dxa"/>
            </w:tcMar>
          </w:tcPr>
          <w:p w14:paraId="43C1322E" w14:textId="77777777" w:rsidR="00AD187C" w:rsidRPr="009E06AA" w:rsidRDefault="00AD187C" w:rsidP="009220D7">
            <w:pPr>
              <w:pStyle w:val="TableTextBold"/>
              <w:spacing w:before="40" w:after="40"/>
              <w:jc w:val="right"/>
              <w:rPr>
                <w:noProof w:val="0"/>
                <w:color w:val="FFFFFF" w:themeColor="background1"/>
              </w:rPr>
            </w:pPr>
            <w:r w:rsidRPr="009E06AA">
              <w:rPr>
                <w:noProof w:val="0"/>
                <w:color w:val="FFFFFF" w:themeColor="background1"/>
              </w:rPr>
              <w:t>Uncertainty in activity data (%)</w:t>
            </w:r>
          </w:p>
        </w:tc>
        <w:tc>
          <w:tcPr>
            <w:tcW w:w="0" w:type="auto"/>
            <w:shd w:val="clear" w:color="auto" w:fill="1B556B"/>
            <w:tcMar>
              <w:top w:w="0" w:type="dxa"/>
              <w:left w:w="85" w:type="dxa"/>
              <w:bottom w:w="0" w:type="dxa"/>
              <w:right w:w="85" w:type="dxa"/>
            </w:tcMar>
          </w:tcPr>
          <w:p w14:paraId="65AEDF08" w14:textId="77777777" w:rsidR="00AD187C" w:rsidRPr="009E06AA" w:rsidRDefault="00AD187C" w:rsidP="009220D7">
            <w:pPr>
              <w:pStyle w:val="TableTextBold"/>
              <w:spacing w:before="40" w:after="40"/>
              <w:jc w:val="right"/>
              <w:rPr>
                <w:noProof w:val="0"/>
                <w:color w:val="FFFFFF" w:themeColor="background1"/>
              </w:rPr>
            </w:pPr>
            <w:r w:rsidRPr="009E06AA">
              <w:rPr>
                <w:noProof w:val="0"/>
                <w:color w:val="FFFFFF" w:themeColor="background1"/>
              </w:rPr>
              <w:t>Uncertainty in emission factors (%)</w:t>
            </w:r>
          </w:p>
        </w:tc>
      </w:tr>
      <w:tr w:rsidR="00AD187C" w:rsidRPr="009E06AA" w14:paraId="66E366A2" w14:textId="77777777" w:rsidTr="00B55F24">
        <w:tc>
          <w:tcPr>
            <w:tcW w:w="0" w:type="auto"/>
            <w:shd w:val="clear" w:color="auto" w:fill="FFFFFF"/>
            <w:tcMar>
              <w:top w:w="0" w:type="dxa"/>
              <w:left w:w="85" w:type="dxa"/>
              <w:bottom w:w="0" w:type="dxa"/>
              <w:right w:w="85" w:type="dxa"/>
            </w:tcMar>
          </w:tcPr>
          <w:p w14:paraId="5B1DB477" w14:textId="77777777" w:rsidR="00AD187C" w:rsidRPr="009E06AA" w:rsidRDefault="00AD187C" w:rsidP="00B55F24">
            <w:pPr>
              <w:pStyle w:val="TableText"/>
              <w:spacing w:before="40" w:after="40"/>
            </w:pPr>
            <w:r w:rsidRPr="009E06AA">
              <w:t>Waste open burning (CO</w:t>
            </w:r>
            <w:r w:rsidRPr="009E06AA">
              <w:rPr>
                <w:vertAlign w:val="subscript"/>
              </w:rPr>
              <w:t>2</w:t>
            </w:r>
            <w:r w:rsidRPr="009E06AA">
              <w:t>)</w:t>
            </w:r>
          </w:p>
        </w:tc>
        <w:tc>
          <w:tcPr>
            <w:tcW w:w="0" w:type="auto"/>
            <w:shd w:val="clear" w:color="auto" w:fill="FFFFFF"/>
            <w:tcMar>
              <w:top w:w="0" w:type="dxa"/>
              <w:left w:w="85" w:type="dxa"/>
              <w:bottom w:w="0" w:type="dxa"/>
              <w:right w:w="85" w:type="dxa"/>
            </w:tcMar>
          </w:tcPr>
          <w:p w14:paraId="1DA1249B" w14:textId="77777777" w:rsidR="00AD187C" w:rsidRPr="009E06AA" w:rsidRDefault="00AD187C" w:rsidP="009220D7">
            <w:pPr>
              <w:pStyle w:val="TableText"/>
              <w:spacing w:before="40" w:after="40"/>
              <w:jc w:val="right"/>
            </w:pPr>
            <w:r w:rsidRPr="009E06AA">
              <w:t>±50</w:t>
            </w:r>
          </w:p>
        </w:tc>
        <w:tc>
          <w:tcPr>
            <w:tcW w:w="0" w:type="auto"/>
            <w:shd w:val="clear" w:color="auto" w:fill="FFFFFF"/>
            <w:tcMar>
              <w:top w:w="0" w:type="dxa"/>
              <w:left w:w="85" w:type="dxa"/>
              <w:bottom w:w="0" w:type="dxa"/>
              <w:right w:w="85" w:type="dxa"/>
            </w:tcMar>
          </w:tcPr>
          <w:p w14:paraId="4A06186A" w14:textId="77777777" w:rsidR="00AD187C" w:rsidRPr="009E06AA" w:rsidRDefault="00AD187C" w:rsidP="009220D7">
            <w:pPr>
              <w:pStyle w:val="TableText"/>
              <w:spacing w:before="40" w:after="40"/>
              <w:jc w:val="right"/>
            </w:pPr>
            <w:r w:rsidRPr="009E06AA">
              <w:t>±40</w:t>
            </w:r>
          </w:p>
        </w:tc>
      </w:tr>
      <w:tr w:rsidR="00AD187C" w:rsidRPr="009E06AA" w14:paraId="767C25D4" w14:textId="77777777" w:rsidTr="00B55F24">
        <w:tc>
          <w:tcPr>
            <w:tcW w:w="0" w:type="auto"/>
            <w:shd w:val="clear" w:color="auto" w:fill="FFFFFF"/>
            <w:tcMar>
              <w:top w:w="0" w:type="dxa"/>
              <w:left w:w="85" w:type="dxa"/>
              <w:bottom w:w="0" w:type="dxa"/>
              <w:right w:w="85" w:type="dxa"/>
            </w:tcMar>
          </w:tcPr>
          <w:p w14:paraId="3CE543AC" w14:textId="77777777" w:rsidR="00AD187C" w:rsidRPr="009E06AA" w:rsidRDefault="00AD187C" w:rsidP="00B55F24">
            <w:pPr>
              <w:pStyle w:val="TableText"/>
              <w:spacing w:before="40" w:after="40"/>
            </w:pPr>
            <w:r w:rsidRPr="009E06AA">
              <w:rPr>
                <w:color w:val="000000"/>
              </w:rPr>
              <w:t>Waste open burning (CH</w:t>
            </w:r>
            <w:r w:rsidRPr="009E06AA">
              <w:rPr>
                <w:color w:val="000000"/>
                <w:vertAlign w:val="subscript"/>
              </w:rPr>
              <w:t>4</w:t>
            </w:r>
            <w:r w:rsidRPr="009E06AA">
              <w:rPr>
                <w:color w:val="000000"/>
              </w:rPr>
              <w:t>)</w:t>
            </w:r>
          </w:p>
        </w:tc>
        <w:tc>
          <w:tcPr>
            <w:tcW w:w="0" w:type="auto"/>
            <w:shd w:val="clear" w:color="auto" w:fill="FFFFFF"/>
            <w:tcMar>
              <w:top w:w="0" w:type="dxa"/>
              <w:left w:w="85" w:type="dxa"/>
              <w:bottom w:w="0" w:type="dxa"/>
              <w:right w:w="85" w:type="dxa"/>
            </w:tcMar>
          </w:tcPr>
          <w:p w14:paraId="4261E9C3" w14:textId="77777777" w:rsidR="00AD187C" w:rsidRPr="009E06AA" w:rsidRDefault="00AD187C" w:rsidP="009220D7">
            <w:pPr>
              <w:pStyle w:val="TableText"/>
              <w:spacing w:before="40" w:after="40"/>
              <w:jc w:val="right"/>
            </w:pPr>
            <w:r w:rsidRPr="009E06AA">
              <w:rPr>
                <w:color w:val="000000"/>
              </w:rPr>
              <w:t>±50</w:t>
            </w:r>
          </w:p>
        </w:tc>
        <w:tc>
          <w:tcPr>
            <w:tcW w:w="0" w:type="auto"/>
            <w:shd w:val="clear" w:color="auto" w:fill="FFFFFF"/>
            <w:tcMar>
              <w:top w:w="0" w:type="dxa"/>
              <w:left w:w="85" w:type="dxa"/>
              <w:bottom w:w="0" w:type="dxa"/>
              <w:right w:w="85" w:type="dxa"/>
            </w:tcMar>
          </w:tcPr>
          <w:p w14:paraId="4151B43B" w14:textId="77777777" w:rsidR="00AD187C" w:rsidRPr="009E06AA" w:rsidRDefault="00AD187C" w:rsidP="009220D7">
            <w:pPr>
              <w:pStyle w:val="TableText"/>
              <w:spacing w:before="40" w:after="40"/>
              <w:jc w:val="right"/>
            </w:pPr>
            <w:r w:rsidRPr="009E06AA">
              <w:rPr>
                <w:color w:val="000000"/>
              </w:rPr>
              <w:t>±100</w:t>
            </w:r>
          </w:p>
        </w:tc>
      </w:tr>
      <w:tr w:rsidR="00AD187C" w:rsidRPr="009E06AA" w14:paraId="4B112D49" w14:textId="77777777" w:rsidTr="00B55F24">
        <w:tc>
          <w:tcPr>
            <w:tcW w:w="0" w:type="auto"/>
            <w:shd w:val="clear" w:color="auto" w:fill="FFFFFF"/>
            <w:tcMar>
              <w:top w:w="0" w:type="dxa"/>
              <w:left w:w="85" w:type="dxa"/>
              <w:bottom w:w="0" w:type="dxa"/>
              <w:right w:w="85" w:type="dxa"/>
            </w:tcMar>
          </w:tcPr>
          <w:p w14:paraId="13C43386" w14:textId="77777777" w:rsidR="00AD187C" w:rsidRPr="009E06AA" w:rsidRDefault="00AD187C" w:rsidP="00B55F24">
            <w:pPr>
              <w:pStyle w:val="TableText"/>
              <w:spacing w:before="40" w:after="40"/>
            </w:pPr>
            <w:r w:rsidRPr="009E06AA">
              <w:rPr>
                <w:color w:val="000000"/>
              </w:rPr>
              <w:t>Waste open burning (N</w:t>
            </w:r>
            <w:r w:rsidRPr="009E06AA">
              <w:rPr>
                <w:color w:val="000000"/>
                <w:vertAlign w:val="subscript"/>
              </w:rPr>
              <w:t>2</w:t>
            </w:r>
            <w:r w:rsidRPr="009E06AA">
              <w:rPr>
                <w:color w:val="000000"/>
              </w:rPr>
              <w:t>O)</w:t>
            </w:r>
          </w:p>
        </w:tc>
        <w:tc>
          <w:tcPr>
            <w:tcW w:w="0" w:type="auto"/>
            <w:shd w:val="clear" w:color="auto" w:fill="FFFFFF"/>
            <w:tcMar>
              <w:top w:w="0" w:type="dxa"/>
              <w:left w:w="85" w:type="dxa"/>
              <w:bottom w:w="0" w:type="dxa"/>
              <w:right w:w="85" w:type="dxa"/>
            </w:tcMar>
          </w:tcPr>
          <w:p w14:paraId="68F958BE" w14:textId="77777777" w:rsidR="00AD187C" w:rsidRPr="009E06AA" w:rsidRDefault="00AD187C" w:rsidP="009220D7">
            <w:pPr>
              <w:pStyle w:val="TableText"/>
              <w:spacing w:before="40" w:after="40"/>
              <w:jc w:val="right"/>
            </w:pPr>
            <w:r w:rsidRPr="009E06AA">
              <w:rPr>
                <w:color w:val="000000"/>
              </w:rPr>
              <w:t>±50</w:t>
            </w:r>
          </w:p>
        </w:tc>
        <w:tc>
          <w:tcPr>
            <w:tcW w:w="0" w:type="auto"/>
            <w:shd w:val="clear" w:color="auto" w:fill="FFFFFF"/>
            <w:tcMar>
              <w:top w:w="0" w:type="dxa"/>
              <w:left w:w="85" w:type="dxa"/>
              <w:bottom w:w="0" w:type="dxa"/>
              <w:right w:w="85" w:type="dxa"/>
            </w:tcMar>
          </w:tcPr>
          <w:p w14:paraId="40CE72A6" w14:textId="77777777" w:rsidR="00AD187C" w:rsidRPr="009E06AA" w:rsidRDefault="00AD187C" w:rsidP="009220D7">
            <w:pPr>
              <w:pStyle w:val="TableText"/>
              <w:spacing w:before="40" w:after="40"/>
              <w:jc w:val="right"/>
            </w:pPr>
            <w:r w:rsidRPr="009E06AA">
              <w:rPr>
                <w:color w:val="000000"/>
              </w:rPr>
              <w:t>±100</w:t>
            </w:r>
          </w:p>
        </w:tc>
      </w:tr>
    </w:tbl>
    <w:p w14:paraId="6D032155" w14:textId="77777777" w:rsidR="00AD187C" w:rsidRPr="009E06AA" w:rsidRDefault="00AD187C" w:rsidP="00AD187C">
      <w:pPr>
        <w:pStyle w:val="BodyText"/>
        <w:spacing w:before="240"/>
      </w:pPr>
      <w:r w:rsidRPr="009E06AA">
        <w:t>Time-series consistency was maintained by interpolating the population data in between census years (which are generally five years apart).</w:t>
      </w:r>
    </w:p>
    <w:p w14:paraId="2C22B596" w14:textId="77777777" w:rsidR="00AD187C" w:rsidRPr="009E06AA" w:rsidRDefault="00AD187C" w:rsidP="00AD187C">
      <w:pPr>
        <w:pStyle w:val="Heading3"/>
        <w:tabs>
          <w:tab w:val="clear" w:pos="851"/>
          <w:tab w:val="left" w:pos="964"/>
        </w:tabs>
        <w:spacing w:before="280"/>
      </w:pPr>
      <w:bookmarkStart w:id="3557" w:name="_Toc160205250"/>
      <w:bookmarkStart w:id="3558" w:name="_Toc160441835"/>
      <w:bookmarkStart w:id="3559" w:name="Xf500030fb70614424014ec7cce89f605e2f1d27"/>
      <w:bookmarkEnd w:id="3548"/>
      <w:r w:rsidRPr="009E06AA">
        <w:t>8.14.4</w:t>
      </w:r>
      <w:r w:rsidRPr="009E06AA">
        <w:tab/>
        <w:t>Category-specific QA/QC and verification</w:t>
      </w:r>
      <w:bookmarkEnd w:id="3557"/>
      <w:bookmarkEnd w:id="3558"/>
    </w:p>
    <w:p w14:paraId="4A9D1123" w14:textId="77777777" w:rsidR="00AD187C" w:rsidRPr="009E06AA" w:rsidRDefault="00AD187C" w:rsidP="00AD187C">
      <w:pPr>
        <w:pStyle w:val="BodyText"/>
      </w:pPr>
      <w:r w:rsidRPr="009E06AA">
        <w:t>Quality control of the activity data and calculations was applied to each category for Tokelau. No verification was possible because no alternative data were available.</w:t>
      </w:r>
    </w:p>
    <w:p w14:paraId="06A736CC" w14:textId="77777777" w:rsidR="00AD187C" w:rsidRPr="009E06AA" w:rsidRDefault="00AD187C" w:rsidP="00AD187C">
      <w:pPr>
        <w:pStyle w:val="Heading3"/>
        <w:tabs>
          <w:tab w:val="clear" w:pos="851"/>
          <w:tab w:val="left" w:pos="964"/>
        </w:tabs>
        <w:spacing w:before="280"/>
      </w:pPr>
      <w:bookmarkStart w:id="3560" w:name="_Toc160205251"/>
      <w:bookmarkStart w:id="3561" w:name="_Toc160441836"/>
      <w:bookmarkStart w:id="3562" w:name="category-specific-recalculations-8"/>
      <w:bookmarkEnd w:id="3559"/>
      <w:r w:rsidRPr="009E06AA">
        <w:t>8.14.5</w:t>
      </w:r>
      <w:r w:rsidRPr="009E06AA">
        <w:tab/>
        <w:t>Category-specific recalculations</w:t>
      </w:r>
      <w:bookmarkEnd w:id="3560"/>
      <w:bookmarkEnd w:id="3561"/>
    </w:p>
    <w:p w14:paraId="57EDE3BC" w14:textId="77777777" w:rsidR="00AD187C" w:rsidRPr="009E06AA" w:rsidRDefault="00AD187C" w:rsidP="00AD187C">
      <w:pPr>
        <w:pStyle w:val="BodyText"/>
      </w:pPr>
      <w:r w:rsidRPr="009E06AA">
        <w:t xml:space="preserve">There were no changes to estimates for the </w:t>
      </w:r>
      <w:r w:rsidRPr="009E06AA">
        <w:rPr>
          <w:i/>
          <w:iCs/>
        </w:rPr>
        <w:t>Open burning and incineration</w:t>
      </w:r>
      <w:r w:rsidRPr="009E06AA">
        <w:t xml:space="preserve"> category.</w:t>
      </w:r>
    </w:p>
    <w:p w14:paraId="5C4682E7" w14:textId="77777777" w:rsidR="00AD187C" w:rsidRPr="009E06AA" w:rsidRDefault="00AD187C" w:rsidP="00AD187C">
      <w:pPr>
        <w:pStyle w:val="Heading3"/>
        <w:tabs>
          <w:tab w:val="clear" w:pos="851"/>
          <w:tab w:val="left" w:pos="964"/>
        </w:tabs>
        <w:spacing w:before="280"/>
      </w:pPr>
      <w:bookmarkStart w:id="3563" w:name="_Toc160205252"/>
      <w:bookmarkStart w:id="3564" w:name="_Toc160441837"/>
      <w:bookmarkStart w:id="3565" w:name="source-specific-planned-improvements-8"/>
      <w:bookmarkEnd w:id="3562"/>
      <w:r w:rsidRPr="009E06AA">
        <w:t>8.14.6</w:t>
      </w:r>
      <w:r w:rsidRPr="009E06AA">
        <w:tab/>
        <w:t>Category-specific planned improvements</w:t>
      </w:r>
      <w:bookmarkEnd w:id="3563"/>
      <w:bookmarkEnd w:id="3564"/>
    </w:p>
    <w:p w14:paraId="1818CF6E" w14:textId="77777777" w:rsidR="00AD187C" w:rsidRPr="009E06AA" w:rsidRDefault="00AD187C" w:rsidP="00AD187C">
      <w:pPr>
        <w:pStyle w:val="BodyText"/>
      </w:pPr>
      <w:r w:rsidRPr="009E06AA">
        <w:t>No improvements are planned for the next inventory submission.</w:t>
      </w:r>
    </w:p>
    <w:p w14:paraId="0ADA7DF0" w14:textId="77777777" w:rsidR="00AD187C" w:rsidRPr="009E06AA" w:rsidRDefault="00AD187C" w:rsidP="00AD187C">
      <w:pPr>
        <w:pStyle w:val="Heading2"/>
        <w:tabs>
          <w:tab w:val="clear" w:pos="851"/>
          <w:tab w:val="left" w:pos="964"/>
        </w:tabs>
      </w:pPr>
      <w:bookmarkStart w:id="3566" w:name="_Toc160205253"/>
      <w:bookmarkStart w:id="3567" w:name="_Toc160441838"/>
      <w:bookmarkStart w:id="3568" w:name="_Toc164154236"/>
      <w:bookmarkStart w:id="3569" w:name="X0e50015b25e963c1f231fec718c9f62ae1331d9"/>
      <w:bookmarkEnd w:id="3529"/>
      <w:bookmarkEnd w:id="3565"/>
      <w:r w:rsidRPr="009E06AA">
        <w:t xml:space="preserve">8.15 </w:t>
      </w:r>
      <w:r w:rsidRPr="009E06AA">
        <w:tab/>
        <w:t>Emissions from Wastewater treatment and discharge in Tokelau</w:t>
      </w:r>
      <w:bookmarkEnd w:id="3566"/>
      <w:bookmarkEnd w:id="3567"/>
      <w:bookmarkEnd w:id="3568"/>
    </w:p>
    <w:p w14:paraId="7B1E24E5" w14:textId="77777777" w:rsidR="00AD187C" w:rsidRPr="009E06AA" w:rsidRDefault="00AD187C" w:rsidP="00AD187C">
      <w:pPr>
        <w:pStyle w:val="Heading3"/>
        <w:tabs>
          <w:tab w:val="clear" w:pos="851"/>
          <w:tab w:val="left" w:pos="964"/>
        </w:tabs>
        <w:spacing w:before="240"/>
      </w:pPr>
      <w:bookmarkStart w:id="3570" w:name="_Toc160205254"/>
      <w:bookmarkStart w:id="3571" w:name="_Toc160441839"/>
      <w:bookmarkStart w:id="3572" w:name="description-9"/>
      <w:r w:rsidRPr="009E06AA">
        <w:t>8.15.1</w:t>
      </w:r>
      <w:r w:rsidRPr="009E06AA">
        <w:tab/>
        <w:t>Description</w:t>
      </w:r>
      <w:bookmarkEnd w:id="3570"/>
      <w:bookmarkEnd w:id="3571"/>
    </w:p>
    <w:p w14:paraId="4E7A54AF" w14:textId="77777777" w:rsidR="00AD187C" w:rsidRPr="009E06AA" w:rsidRDefault="00AD187C" w:rsidP="00AD187C">
      <w:pPr>
        <w:pStyle w:val="BodyText"/>
      </w:pPr>
      <w:r w:rsidRPr="009E06AA">
        <w:t xml:space="preserve">In the absence of industrial plants in Tokelau, all emissions associated with wastewater treatment and discharge are reported in the </w:t>
      </w:r>
      <w:r w:rsidRPr="009E06AA">
        <w:rPr>
          <w:i/>
        </w:rPr>
        <w:t>Domestic wastewater</w:t>
      </w:r>
      <w:r w:rsidRPr="009E06AA">
        <w:t xml:space="preserve"> category (5.D.1). The category uses the same population values as in the </w:t>
      </w:r>
      <w:r w:rsidRPr="009E06AA">
        <w:rPr>
          <w:i/>
        </w:rPr>
        <w:t>Solid waste disposal</w:t>
      </w:r>
      <w:r w:rsidRPr="009E06AA">
        <w:t xml:space="preserve"> and </w:t>
      </w:r>
      <w:r w:rsidRPr="009E06AA">
        <w:rPr>
          <w:i/>
        </w:rPr>
        <w:t>Open burning</w:t>
      </w:r>
      <w:r w:rsidRPr="009E06AA">
        <w:rPr>
          <w:i/>
          <w:iCs/>
        </w:rPr>
        <w:t xml:space="preserve"> </w:t>
      </w:r>
      <w:r w:rsidRPr="009E06AA">
        <w:rPr>
          <w:i/>
        </w:rPr>
        <w:t>of</w:t>
      </w:r>
      <w:r w:rsidRPr="009E06AA">
        <w:rPr>
          <w:i/>
          <w:iCs/>
        </w:rPr>
        <w:t> </w:t>
      </w:r>
      <w:r w:rsidRPr="009E06AA">
        <w:rPr>
          <w:i/>
        </w:rPr>
        <w:t>waste</w:t>
      </w:r>
      <w:r w:rsidRPr="009E06AA">
        <w:t xml:space="preserve"> categories (see above). The category includes emissions of CH</w:t>
      </w:r>
      <w:r w:rsidRPr="009E06AA">
        <w:rPr>
          <w:vertAlign w:val="subscript"/>
        </w:rPr>
        <w:t>4</w:t>
      </w:r>
      <w:r w:rsidRPr="009E06AA">
        <w:t xml:space="preserve"> and N</w:t>
      </w:r>
      <w:r w:rsidRPr="009E06AA">
        <w:rPr>
          <w:vertAlign w:val="subscript"/>
        </w:rPr>
        <w:t>2</w:t>
      </w:r>
      <w:r w:rsidRPr="009E06AA">
        <w:t>O.</w:t>
      </w:r>
    </w:p>
    <w:p w14:paraId="460FA234" w14:textId="77777777" w:rsidR="00AD187C" w:rsidRPr="009E06AA" w:rsidRDefault="00AD187C" w:rsidP="00AD187C">
      <w:pPr>
        <w:pStyle w:val="BodyText"/>
      </w:pPr>
      <w:r w:rsidRPr="009E06AA">
        <w:t xml:space="preserve">The </w:t>
      </w:r>
      <w:r w:rsidRPr="009E06AA">
        <w:rPr>
          <w:i/>
          <w:iCs/>
        </w:rPr>
        <w:t>Domestic wastewater</w:t>
      </w:r>
      <w:r w:rsidRPr="009E06AA">
        <w:t xml:space="preserve"> category contributed 38.5 per cent to the total of Waste sector emissions from Tokelau in 2022, which amounted to 0.30 kt CO</w:t>
      </w:r>
      <w:r w:rsidRPr="009E06AA">
        <w:rPr>
          <w:vertAlign w:val="subscript"/>
        </w:rPr>
        <w:t>2</w:t>
      </w:r>
      <w:r w:rsidRPr="009E06AA">
        <w:t>-e.</w:t>
      </w:r>
    </w:p>
    <w:p w14:paraId="60CE7C8E" w14:textId="77777777" w:rsidR="00AD187C" w:rsidRPr="009E06AA" w:rsidRDefault="00AD187C" w:rsidP="00AD187C">
      <w:pPr>
        <w:pStyle w:val="Heading3"/>
        <w:tabs>
          <w:tab w:val="clear" w:pos="851"/>
          <w:tab w:val="left" w:pos="964"/>
        </w:tabs>
        <w:spacing w:before="280"/>
      </w:pPr>
      <w:bookmarkStart w:id="3573" w:name="_Toc160205255"/>
      <w:bookmarkStart w:id="3574" w:name="_Toc160441840"/>
      <w:bookmarkStart w:id="3575" w:name="methodological-issues-9"/>
      <w:bookmarkEnd w:id="3572"/>
      <w:r w:rsidRPr="009E06AA">
        <w:t>8.15.2</w:t>
      </w:r>
      <w:r w:rsidRPr="009E06AA">
        <w:tab/>
        <w:t>Methodological issues</w:t>
      </w:r>
      <w:bookmarkEnd w:id="3573"/>
      <w:bookmarkEnd w:id="3574"/>
    </w:p>
    <w:p w14:paraId="6C8D415A" w14:textId="77777777" w:rsidR="00AD187C" w:rsidRPr="009E06AA" w:rsidRDefault="00AD187C" w:rsidP="00AD187C">
      <w:pPr>
        <w:pStyle w:val="BodyText"/>
      </w:pPr>
      <w:r w:rsidRPr="009E06AA">
        <w:t>A Tier 1 methodology with the 2006 IPCC default emission factors (except the protein consumption value) for all gases was applied for estimating emissions from this category.</w:t>
      </w:r>
    </w:p>
    <w:p w14:paraId="02111DDF" w14:textId="77777777" w:rsidR="00AD187C" w:rsidRPr="009E06AA" w:rsidRDefault="00AD187C" w:rsidP="00AD187C">
      <w:pPr>
        <w:pStyle w:val="BodyText"/>
      </w:pPr>
      <w:r w:rsidRPr="009E06AA">
        <w:t>Assumptions for estimating CH</w:t>
      </w:r>
      <w:r w:rsidRPr="009E06AA">
        <w:rPr>
          <w:vertAlign w:val="subscript"/>
        </w:rPr>
        <w:t>4</w:t>
      </w:r>
      <w:r w:rsidRPr="009E06AA">
        <w:t xml:space="preserve"> emissions from wastewater:</w:t>
      </w:r>
    </w:p>
    <w:p w14:paraId="65B3B75F" w14:textId="77777777" w:rsidR="00AD187C" w:rsidRPr="009E06AA" w:rsidRDefault="00AD187C" w:rsidP="00AD187C">
      <w:pPr>
        <w:pStyle w:val="Bullet"/>
      </w:pPr>
      <w:r w:rsidRPr="009E06AA">
        <w:t>60 grams biochemical oxygen demand (BOD) per person per day (as for Canada, Europe, Russia and Oceania), which calculates as 21.9 kg/person/year</w:t>
      </w:r>
    </w:p>
    <w:p w14:paraId="3A8E9CAB" w14:textId="77777777" w:rsidR="00AD187C" w:rsidRPr="009E06AA" w:rsidRDefault="00AD187C" w:rsidP="00AD187C">
      <w:pPr>
        <w:pStyle w:val="Bullet"/>
      </w:pPr>
      <w:r w:rsidRPr="009E06AA">
        <w:t>for population, the same time series as in categories 5.A.3 and 5.C was used</w:t>
      </w:r>
    </w:p>
    <w:p w14:paraId="0C1D1ED8" w14:textId="77777777" w:rsidR="00AD187C" w:rsidRPr="009E06AA" w:rsidRDefault="00AD187C" w:rsidP="00AD187C">
      <w:pPr>
        <w:pStyle w:val="Bullet"/>
      </w:pPr>
      <w:r w:rsidRPr="009E06AA">
        <w:t xml:space="preserve">despite having no wastewater collection system, a correction factor for industrial BOD discharged in sewers of 1.25 is used (default for collected systems) to account for any industrial and commercial activity in Tokelau, such as fishing. No other estimates of industrial wastewater are made (effectively 5.D.2 </w:t>
      </w:r>
      <w:r w:rsidRPr="009E06AA">
        <w:rPr>
          <w:i/>
          <w:iCs/>
        </w:rPr>
        <w:t>Industrial wastewater</w:t>
      </w:r>
      <w:r w:rsidRPr="009E06AA">
        <w:t xml:space="preserve"> is ‘IE’ (included elsewhere) and included in 5.D.1 </w:t>
      </w:r>
      <w:r w:rsidRPr="009E06AA">
        <w:rPr>
          <w:i/>
          <w:iCs/>
        </w:rPr>
        <w:t>Domestic wastewater</w:t>
      </w:r>
      <w:r w:rsidRPr="009E06AA">
        <w:t>)</w:t>
      </w:r>
    </w:p>
    <w:p w14:paraId="54350C53" w14:textId="77777777" w:rsidR="00AD187C" w:rsidRPr="009E06AA" w:rsidRDefault="00AD187C" w:rsidP="00AD187C">
      <w:pPr>
        <w:pStyle w:val="Bullet"/>
      </w:pPr>
      <w:r w:rsidRPr="009E06AA">
        <w:t>in 2016, most Tokelauans had access to a private toilet in their homes using septic tanks: 72.9 per cent of private occupied dwellings had an indoor flush toilet, and 21.6 per cent of dwellings had an outdoor flush toilet. Atafu had the highest proportion of dwellings with an indoor toilet (87.4 per cent), and Nukunonu had the highest proportion of households with an outdoor toilet (34.9 per cent) (Census 2016, similar to values for 2011 and 2006). The percentage of open water toilets gradually reduced from 65 per cent of dwellings in 1991 to nil by 2016.</w:t>
      </w:r>
    </w:p>
    <w:p w14:paraId="1226AD6A" w14:textId="77777777" w:rsidR="00AD187C" w:rsidRPr="009E06AA" w:rsidRDefault="00AD187C" w:rsidP="00AD187C">
      <w:pPr>
        <w:pStyle w:val="BodyText"/>
      </w:pPr>
      <w:r w:rsidRPr="009E06AA">
        <w:t>Table 8.15.1 sums up default parameters used for estimating CH</w:t>
      </w:r>
      <w:r w:rsidRPr="009E06AA">
        <w:rPr>
          <w:vertAlign w:val="subscript"/>
        </w:rPr>
        <w:t>4</w:t>
      </w:r>
      <w:r w:rsidRPr="009E06AA">
        <w:t xml:space="preserve"> emissions for Tokelau wastewater treatment. The default BOD correction factor for collected systems is used to account for industrial and commercial water because there is no separate estimate.</w:t>
      </w:r>
    </w:p>
    <w:p w14:paraId="70D76624" w14:textId="77777777" w:rsidR="00AD187C" w:rsidRPr="009E06AA" w:rsidRDefault="00AD187C" w:rsidP="00AD187C">
      <w:pPr>
        <w:pStyle w:val="Table"/>
      </w:pPr>
      <w:bookmarkStart w:id="3576" w:name="_Toc5269606"/>
      <w:bookmarkStart w:id="3577" w:name="_Toc36224687"/>
      <w:bookmarkStart w:id="3578" w:name="_Toc68786573"/>
      <w:bookmarkStart w:id="3579" w:name="_Toc130211279"/>
      <w:bookmarkStart w:id="3580" w:name="_Toc131591480"/>
      <w:bookmarkStart w:id="3581" w:name="_Toc160205516"/>
      <w:bookmarkStart w:id="3582" w:name="_Toc160441635"/>
      <w:bookmarkStart w:id="3583" w:name="_Toc164153971"/>
      <w:r w:rsidRPr="009E06AA">
        <w:t xml:space="preserve">Table 8.15.1 </w:t>
      </w:r>
      <w:r w:rsidRPr="009E06AA">
        <w:tab/>
        <w:t>Parameters for estimating methane emissions for Tokelau wastewater treatment</w:t>
      </w:r>
      <w:bookmarkEnd w:id="3576"/>
      <w:bookmarkEnd w:id="3577"/>
      <w:bookmarkEnd w:id="3578"/>
      <w:bookmarkEnd w:id="3579"/>
      <w:bookmarkEnd w:id="3580"/>
      <w:bookmarkEnd w:id="3581"/>
      <w:bookmarkEnd w:id="3582"/>
      <w:bookmarkEnd w:id="3583"/>
    </w:p>
    <w:tbl>
      <w:tblPr>
        <w:tblW w:w="8505" w:type="dxa"/>
        <w:tblBorders>
          <w:top w:val="single" w:sz="4" w:space="0" w:color="1B556B" w:themeColor="text2"/>
          <w:bottom w:val="single" w:sz="4" w:space="0" w:color="1B556B" w:themeColor="text2"/>
          <w:insideH w:val="single" w:sz="4" w:space="0" w:color="1B556B" w:themeColor="text2"/>
        </w:tblBorders>
        <w:tblLook w:val="0420" w:firstRow="1" w:lastRow="0" w:firstColumn="0" w:lastColumn="0" w:noHBand="0" w:noVBand="1"/>
      </w:tblPr>
      <w:tblGrid>
        <w:gridCol w:w="3402"/>
        <w:gridCol w:w="567"/>
        <w:gridCol w:w="1843"/>
        <w:gridCol w:w="2693"/>
      </w:tblGrid>
      <w:tr w:rsidR="00AD187C" w:rsidRPr="009E06AA" w14:paraId="1673ED58" w14:textId="77777777" w:rsidTr="00B55F24">
        <w:trPr>
          <w:tblHeader/>
        </w:trPr>
        <w:tc>
          <w:tcPr>
            <w:tcW w:w="3402" w:type="dxa"/>
            <w:shd w:val="clear" w:color="auto" w:fill="1B556B"/>
            <w:tcMar>
              <w:top w:w="0" w:type="dxa"/>
              <w:left w:w="85" w:type="dxa"/>
              <w:bottom w:w="0" w:type="dxa"/>
              <w:right w:w="85" w:type="dxa"/>
            </w:tcMar>
          </w:tcPr>
          <w:p w14:paraId="12765A7B" w14:textId="77777777" w:rsidR="00AD187C" w:rsidRPr="009E06AA" w:rsidRDefault="00AD187C" w:rsidP="00B55F24">
            <w:pPr>
              <w:pStyle w:val="TableTextBold"/>
              <w:keepNext/>
              <w:rPr>
                <w:noProof w:val="0"/>
                <w:color w:val="FFFFFF" w:themeColor="background1"/>
              </w:rPr>
            </w:pPr>
            <w:r w:rsidRPr="009E06AA">
              <w:rPr>
                <w:noProof w:val="0"/>
                <w:color w:val="FFFFFF" w:themeColor="background1"/>
              </w:rPr>
              <w:t>Parameter</w:t>
            </w:r>
          </w:p>
        </w:tc>
        <w:tc>
          <w:tcPr>
            <w:tcW w:w="567" w:type="dxa"/>
            <w:shd w:val="clear" w:color="auto" w:fill="1B556B"/>
            <w:tcMar>
              <w:top w:w="0" w:type="dxa"/>
              <w:left w:w="85" w:type="dxa"/>
              <w:bottom w:w="0" w:type="dxa"/>
              <w:right w:w="85" w:type="dxa"/>
            </w:tcMar>
          </w:tcPr>
          <w:p w14:paraId="6179EDA2" w14:textId="77777777" w:rsidR="00AD187C" w:rsidRPr="009E06AA" w:rsidRDefault="00AD187C" w:rsidP="009220D7">
            <w:pPr>
              <w:pStyle w:val="TableTextBold"/>
              <w:keepNext/>
              <w:jc w:val="right"/>
              <w:rPr>
                <w:noProof w:val="0"/>
                <w:color w:val="FFFFFF" w:themeColor="background1"/>
              </w:rPr>
            </w:pPr>
            <w:r w:rsidRPr="009E06AA">
              <w:rPr>
                <w:noProof w:val="0"/>
                <w:color w:val="FFFFFF" w:themeColor="background1"/>
              </w:rPr>
              <w:t>Value</w:t>
            </w:r>
          </w:p>
        </w:tc>
        <w:tc>
          <w:tcPr>
            <w:tcW w:w="1843" w:type="dxa"/>
            <w:shd w:val="clear" w:color="auto" w:fill="1B556B"/>
            <w:tcMar>
              <w:top w:w="0" w:type="dxa"/>
              <w:left w:w="85" w:type="dxa"/>
              <w:bottom w:w="0" w:type="dxa"/>
              <w:right w:w="85" w:type="dxa"/>
            </w:tcMar>
          </w:tcPr>
          <w:p w14:paraId="1D9E4E99" w14:textId="77777777" w:rsidR="00AD187C" w:rsidRPr="009E06AA" w:rsidRDefault="00AD187C" w:rsidP="00B55F24">
            <w:pPr>
              <w:pStyle w:val="TableTextBold"/>
              <w:keepNext/>
              <w:rPr>
                <w:noProof w:val="0"/>
                <w:color w:val="FFFFFF" w:themeColor="background1"/>
              </w:rPr>
            </w:pPr>
            <w:r w:rsidRPr="009E06AA">
              <w:rPr>
                <w:noProof w:val="0"/>
                <w:color w:val="FFFFFF" w:themeColor="background1"/>
              </w:rPr>
              <w:t>Source</w:t>
            </w:r>
          </w:p>
        </w:tc>
        <w:tc>
          <w:tcPr>
            <w:tcW w:w="2693" w:type="dxa"/>
            <w:shd w:val="clear" w:color="auto" w:fill="1B556B"/>
            <w:tcMar>
              <w:top w:w="0" w:type="dxa"/>
              <w:left w:w="85" w:type="dxa"/>
              <w:bottom w:w="0" w:type="dxa"/>
              <w:right w:w="85" w:type="dxa"/>
            </w:tcMar>
          </w:tcPr>
          <w:p w14:paraId="5D3A08E4" w14:textId="77777777" w:rsidR="00AD187C" w:rsidRPr="009E06AA" w:rsidRDefault="00AD187C" w:rsidP="00B55F24">
            <w:pPr>
              <w:pStyle w:val="TableTextBold"/>
              <w:keepNext/>
              <w:rPr>
                <w:noProof w:val="0"/>
                <w:color w:val="FFFFFF" w:themeColor="background1"/>
              </w:rPr>
            </w:pPr>
            <w:r w:rsidRPr="009E06AA">
              <w:rPr>
                <w:noProof w:val="0"/>
                <w:color w:val="FFFFFF" w:themeColor="background1"/>
              </w:rPr>
              <w:t>Reference</w:t>
            </w:r>
          </w:p>
        </w:tc>
      </w:tr>
      <w:tr w:rsidR="00AD187C" w:rsidRPr="009E06AA" w14:paraId="77DAD140" w14:textId="77777777" w:rsidTr="00B55F24">
        <w:tc>
          <w:tcPr>
            <w:tcW w:w="3402" w:type="dxa"/>
            <w:shd w:val="clear" w:color="auto" w:fill="FFFFFF"/>
            <w:tcMar>
              <w:top w:w="0" w:type="dxa"/>
              <w:left w:w="85" w:type="dxa"/>
              <w:bottom w:w="0" w:type="dxa"/>
              <w:right w:w="85" w:type="dxa"/>
            </w:tcMar>
          </w:tcPr>
          <w:p w14:paraId="78650CA0" w14:textId="77777777" w:rsidR="00AD187C" w:rsidRPr="009E06AA" w:rsidRDefault="00AD187C" w:rsidP="00B55F24">
            <w:pPr>
              <w:pStyle w:val="TableText"/>
              <w:keepNext/>
            </w:pPr>
            <w:r w:rsidRPr="009E06AA">
              <w:rPr>
                <w:color w:val="000000"/>
              </w:rPr>
              <w:t>Methane correction factors</w:t>
            </w:r>
          </w:p>
        </w:tc>
        <w:tc>
          <w:tcPr>
            <w:tcW w:w="567" w:type="dxa"/>
            <w:shd w:val="clear" w:color="auto" w:fill="FFFFFF"/>
            <w:tcMar>
              <w:top w:w="0" w:type="dxa"/>
              <w:left w:w="85" w:type="dxa"/>
              <w:bottom w:w="0" w:type="dxa"/>
              <w:right w:w="85" w:type="dxa"/>
            </w:tcMar>
          </w:tcPr>
          <w:p w14:paraId="57A25727" w14:textId="77777777" w:rsidR="00AD187C" w:rsidRPr="009E06AA" w:rsidRDefault="00AD187C" w:rsidP="009220D7">
            <w:pPr>
              <w:pStyle w:val="TableText"/>
              <w:jc w:val="right"/>
            </w:pPr>
          </w:p>
        </w:tc>
        <w:tc>
          <w:tcPr>
            <w:tcW w:w="1843" w:type="dxa"/>
            <w:shd w:val="clear" w:color="auto" w:fill="FFFFFF"/>
            <w:tcMar>
              <w:top w:w="0" w:type="dxa"/>
              <w:left w:w="85" w:type="dxa"/>
              <w:bottom w:w="0" w:type="dxa"/>
              <w:right w:w="85" w:type="dxa"/>
            </w:tcMar>
          </w:tcPr>
          <w:p w14:paraId="09F644EB" w14:textId="77777777" w:rsidR="00AD187C" w:rsidRPr="009E06AA" w:rsidRDefault="00AD187C" w:rsidP="00B55F24">
            <w:pPr>
              <w:pStyle w:val="TableText"/>
            </w:pPr>
          </w:p>
        </w:tc>
        <w:tc>
          <w:tcPr>
            <w:tcW w:w="2693" w:type="dxa"/>
            <w:shd w:val="clear" w:color="auto" w:fill="FFFFFF"/>
            <w:tcMar>
              <w:top w:w="0" w:type="dxa"/>
              <w:left w:w="85" w:type="dxa"/>
              <w:bottom w:w="0" w:type="dxa"/>
              <w:right w:w="85" w:type="dxa"/>
            </w:tcMar>
          </w:tcPr>
          <w:p w14:paraId="47BEA55E" w14:textId="77777777" w:rsidR="00AD187C" w:rsidRPr="009E06AA" w:rsidRDefault="00AD187C" w:rsidP="00B55F24">
            <w:pPr>
              <w:pStyle w:val="TableText"/>
            </w:pPr>
          </w:p>
        </w:tc>
      </w:tr>
      <w:tr w:rsidR="00AD187C" w:rsidRPr="009E06AA" w14:paraId="554B28E0" w14:textId="77777777" w:rsidTr="00B55F24">
        <w:tc>
          <w:tcPr>
            <w:tcW w:w="3402" w:type="dxa"/>
            <w:shd w:val="clear" w:color="auto" w:fill="FFFFFF"/>
            <w:tcMar>
              <w:top w:w="0" w:type="dxa"/>
              <w:left w:w="85" w:type="dxa"/>
              <w:bottom w:w="0" w:type="dxa"/>
              <w:right w:w="85" w:type="dxa"/>
            </w:tcMar>
          </w:tcPr>
          <w:p w14:paraId="209A76BE" w14:textId="77777777" w:rsidR="00AD187C" w:rsidRPr="009E06AA" w:rsidRDefault="00AD187C" w:rsidP="00B55F24">
            <w:pPr>
              <w:pStyle w:val="TableText"/>
              <w:ind w:left="284"/>
              <w:rPr>
                <w:i/>
                <w:iCs/>
              </w:rPr>
            </w:pPr>
            <w:r w:rsidRPr="009E06AA">
              <w:rPr>
                <w:i/>
                <w:iCs/>
                <w:color w:val="000000"/>
              </w:rPr>
              <w:t>Septic system</w:t>
            </w:r>
          </w:p>
        </w:tc>
        <w:tc>
          <w:tcPr>
            <w:tcW w:w="567" w:type="dxa"/>
            <w:shd w:val="clear" w:color="auto" w:fill="FFFFFF"/>
            <w:tcMar>
              <w:top w:w="0" w:type="dxa"/>
              <w:left w:w="85" w:type="dxa"/>
              <w:bottom w:w="0" w:type="dxa"/>
              <w:right w:w="85" w:type="dxa"/>
            </w:tcMar>
          </w:tcPr>
          <w:p w14:paraId="60CA1F7A" w14:textId="77777777" w:rsidR="00AD187C" w:rsidRPr="009E06AA" w:rsidRDefault="00AD187C" w:rsidP="009220D7">
            <w:pPr>
              <w:pStyle w:val="TableText"/>
              <w:jc w:val="right"/>
            </w:pPr>
            <w:r w:rsidRPr="009E06AA">
              <w:rPr>
                <w:color w:val="000000"/>
              </w:rPr>
              <w:t>0.5</w:t>
            </w:r>
          </w:p>
        </w:tc>
        <w:tc>
          <w:tcPr>
            <w:tcW w:w="1843" w:type="dxa"/>
            <w:shd w:val="clear" w:color="auto" w:fill="FFFFFF"/>
            <w:tcMar>
              <w:top w:w="0" w:type="dxa"/>
              <w:left w:w="85" w:type="dxa"/>
              <w:bottom w:w="0" w:type="dxa"/>
              <w:right w:w="85" w:type="dxa"/>
            </w:tcMar>
          </w:tcPr>
          <w:p w14:paraId="45267DF6" w14:textId="77777777" w:rsidR="00AD187C" w:rsidRPr="009E06AA" w:rsidRDefault="00AD187C" w:rsidP="00B55F24">
            <w:pPr>
              <w:pStyle w:val="TableText"/>
            </w:pPr>
            <w:r w:rsidRPr="009E06AA">
              <w:rPr>
                <w:color w:val="000000"/>
              </w:rPr>
              <w:t>IPCC default</w:t>
            </w:r>
          </w:p>
        </w:tc>
        <w:tc>
          <w:tcPr>
            <w:tcW w:w="2693" w:type="dxa"/>
            <w:shd w:val="clear" w:color="auto" w:fill="FFFFFF"/>
            <w:tcMar>
              <w:top w:w="0" w:type="dxa"/>
              <w:left w:w="85" w:type="dxa"/>
              <w:bottom w:w="0" w:type="dxa"/>
              <w:right w:w="85" w:type="dxa"/>
            </w:tcMar>
          </w:tcPr>
          <w:p w14:paraId="70BB1CC2" w14:textId="77777777" w:rsidR="00AD187C" w:rsidRPr="009E06AA" w:rsidRDefault="00AD187C" w:rsidP="00B55F24">
            <w:pPr>
              <w:pStyle w:val="TableText"/>
            </w:pPr>
            <w:r w:rsidRPr="009E06AA">
              <w:rPr>
                <w:color w:val="000000"/>
              </w:rPr>
              <w:t>Table 6.3, section 6.2.2.2, IPCC, 2006d</w:t>
            </w:r>
          </w:p>
        </w:tc>
      </w:tr>
      <w:tr w:rsidR="00AD187C" w:rsidRPr="009E06AA" w14:paraId="1212B652" w14:textId="77777777" w:rsidTr="00B55F24">
        <w:tc>
          <w:tcPr>
            <w:tcW w:w="3402" w:type="dxa"/>
            <w:shd w:val="clear" w:color="auto" w:fill="FFFFFF"/>
            <w:tcMar>
              <w:top w:w="0" w:type="dxa"/>
              <w:left w:w="85" w:type="dxa"/>
              <w:bottom w:w="0" w:type="dxa"/>
              <w:right w:w="85" w:type="dxa"/>
            </w:tcMar>
          </w:tcPr>
          <w:p w14:paraId="3F6BF084" w14:textId="77777777" w:rsidR="00AD187C" w:rsidRPr="009E06AA" w:rsidRDefault="00AD187C" w:rsidP="00B55F24">
            <w:pPr>
              <w:pStyle w:val="TableText"/>
              <w:ind w:left="284"/>
              <w:rPr>
                <w:i/>
                <w:iCs/>
              </w:rPr>
            </w:pPr>
            <w:r w:rsidRPr="009E06AA">
              <w:rPr>
                <w:i/>
                <w:iCs/>
                <w:color w:val="000000"/>
              </w:rPr>
              <w:t>Sea, river and lake discharge</w:t>
            </w:r>
          </w:p>
        </w:tc>
        <w:tc>
          <w:tcPr>
            <w:tcW w:w="567" w:type="dxa"/>
            <w:shd w:val="clear" w:color="auto" w:fill="FFFFFF"/>
            <w:tcMar>
              <w:top w:w="0" w:type="dxa"/>
              <w:left w:w="85" w:type="dxa"/>
              <w:bottom w:w="0" w:type="dxa"/>
              <w:right w:w="85" w:type="dxa"/>
            </w:tcMar>
          </w:tcPr>
          <w:p w14:paraId="2AF6DB4F" w14:textId="77777777" w:rsidR="00AD187C" w:rsidRPr="009E06AA" w:rsidRDefault="00AD187C" w:rsidP="009220D7">
            <w:pPr>
              <w:pStyle w:val="TableText"/>
              <w:jc w:val="right"/>
            </w:pPr>
            <w:r w:rsidRPr="009E06AA">
              <w:rPr>
                <w:color w:val="000000"/>
              </w:rPr>
              <w:t>0.1</w:t>
            </w:r>
          </w:p>
        </w:tc>
        <w:tc>
          <w:tcPr>
            <w:tcW w:w="1843" w:type="dxa"/>
            <w:shd w:val="clear" w:color="auto" w:fill="FFFFFF"/>
            <w:tcMar>
              <w:top w:w="0" w:type="dxa"/>
              <w:left w:w="85" w:type="dxa"/>
              <w:bottom w:w="0" w:type="dxa"/>
              <w:right w:w="85" w:type="dxa"/>
            </w:tcMar>
          </w:tcPr>
          <w:p w14:paraId="5B4839FE" w14:textId="77777777" w:rsidR="00AD187C" w:rsidRPr="009E06AA" w:rsidRDefault="00AD187C" w:rsidP="00B55F24">
            <w:pPr>
              <w:pStyle w:val="TableText"/>
            </w:pPr>
            <w:r w:rsidRPr="009E06AA">
              <w:rPr>
                <w:color w:val="000000"/>
              </w:rPr>
              <w:t>IPCC default</w:t>
            </w:r>
          </w:p>
        </w:tc>
        <w:tc>
          <w:tcPr>
            <w:tcW w:w="2693" w:type="dxa"/>
            <w:shd w:val="clear" w:color="auto" w:fill="FFFFFF"/>
            <w:tcMar>
              <w:top w:w="0" w:type="dxa"/>
              <w:left w:w="85" w:type="dxa"/>
              <w:bottom w:w="0" w:type="dxa"/>
              <w:right w:w="85" w:type="dxa"/>
            </w:tcMar>
          </w:tcPr>
          <w:p w14:paraId="7CE5AC5F" w14:textId="77777777" w:rsidR="00AD187C" w:rsidRPr="009E06AA" w:rsidRDefault="00AD187C" w:rsidP="00B55F24">
            <w:pPr>
              <w:pStyle w:val="TableText"/>
            </w:pPr>
            <w:r w:rsidRPr="009E06AA">
              <w:rPr>
                <w:color w:val="000000"/>
              </w:rPr>
              <w:t>Table 6.3, section 6.2.2.2, IPCC, 2006d</w:t>
            </w:r>
          </w:p>
        </w:tc>
      </w:tr>
      <w:tr w:rsidR="00AD187C" w:rsidRPr="009E06AA" w14:paraId="32218870" w14:textId="77777777" w:rsidTr="00B55F24">
        <w:tc>
          <w:tcPr>
            <w:tcW w:w="3402" w:type="dxa"/>
            <w:shd w:val="clear" w:color="auto" w:fill="FFFFFF"/>
            <w:tcMar>
              <w:top w:w="0" w:type="dxa"/>
              <w:left w:w="85" w:type="dxa"/>
              <w:bottom w:w="0" w:type="dxa"/>
              <w:right w:w="85" w:type="dxa"/>
            </w:tcMar>
          </w:tcPr>
          <w:p w14:paraId="72E91A5D" w14:textId="77777777" w:rsidR="00AD187C" w:rsidRPr="009E06AA" w:rsidRDefault="00AD187C" w:rsidP="00B55F24">
            <w:pPr>
              <w:pStyle w:val="TableText"/>
              <w:ind w:left="284"/>
              <w:rPr>
                <w:i/>
                <w:iCs/>
              </w:rPr>
            </w:pPr>
            <w:r w:rsidRPr="009E06AA">
              <w:rPr>
                <w:i/>
                <w:iCs/>
                <w:color w:val="000000"/>
              </w:rPr>
              <w:t>Weighted average methane correction factor</w:t>
            </w:r>
          </w:p>
        </w:tc>
        <w:tc>
          <w:tcPr>
            <w:tcW w:w="567" w:type="dxa"/>
            <w:shd w:val="clear" w:color="auto" w:fill="FFFFFF"/>
            <w:tcMar>
              <w:top w:w="0" w:type="dxa"/>
              <w:left w:w="85" w:type="dxa"/>
              <w:bottom w:w="0" w:type="dxa"/>
              <w:right w:w="85" w:type="dxa"/>
            </w:tcMar>
          </w:tcPr>
          <w:p w14:paraId="73A552ED" w14:textId="77777777" w:rsidR="00AD187C" w:rsidRPr="009E06AA" w:rsidRDefault="00AD187C" w:rsidP="009220D7">
            <w:pPr>
              <w:pStyle w:val="TableText"/>
              <w:jc w:val="right"/>
            </w:pPr>
            <w:r w:rsidRPr="009E06AA">
              <w:rPr>
                <w:color w:val="000000"/>
              </w:rPr>
              <w:t>0.233</w:t>
            </w:r>
          </w:p>
        </w:tc>
        <w:tc>
          <w:tcPr>
            <w:tcW w:w="1843" w:type="dxa"/>
            <w:shd w:val="clear" w:color="auto" w:fill="FFFFFF"/>
            <w:tcMar>
              <w:top w:w="0" w:type="dxa"/>
              <w:left w:w="85" w:type="dxa"/>
              <w:bottom w:w="0" w:type="dxa"/>
              <w:right w:w="85" w:type="dxa"/>
            </w:tcMar>
          </w:tcPr>
          <w:p w14:paraId="286B32BA" w14:textId="77777777" w:rsidR="00AD187C" w:rsidRPr="009E06AA" w:rsidRDefault="00AD187C" w:rsidP="00B55F24">
            <w:pPr>
              <w:pStyle w:val="TableText"/>
            </w:pPr>
            <w:r w:rsidRPr="009E06AA">
              <w:rPr>
                <w:color w:val="000000"/>
              </w:rPr>
              <w:t>Calculated</w:t>
            </w:r>
          </w:p>
        </w:tc>
        <w:tc>
          <w:tcPr>
            <w:tcW w:w="2693" w:type="dxa"/>
            <w:shd w:val="clear" w:color="auto" w:fill="FFFFFF"/>
            <w:tcMar>
              <w:top w:w="0" w:type="dxa"/>
              <w:left w:w="85" w:type="dxa"/>
              <w:bottom w:w="0" w:type="dxa"/>
              <w:right w:w="85" w:type="dxa"/>
            </w:tcMar>
          </w:tcPr>
          <w:p w14:paraId="3385E150" w14:textId="77777777" w:rsidR="00AD187C" w:rsidRPr="009E06AA" w:rsidRDefault="00AD187C" w:rsidP="00B55F24">
            <w:pPr>
              <w:pStyle w:val="TableText"/>
            </w:pPr>
          </w:p>
        </w:tc>
      </w:tr>
      <w:tr w:rsidR="00AD187C" w:rsidRPr="009E06AA" w14:paraId="57F6690B" w14:textId="77777777" w:rsidTr="00B55F24">
        <w:tc>
          <w:tcPr>
            <w:tcW w:w="3402" w:type="dxa"/>
            <w:shd w:val="clear" w:color="auto" w:fill="FFFFFF"/>
            <w:tcMar>
              <w:top w:w="0" w:type="dxa"/>
              <w:left w:w="85" w:type="dxa"/>
              <w:bottom w:w="0" w:type="dxa"/>
              <w:right w:w="85" w:type="dxa"/>
            </w:tcMar>
          </w:tcPr>
          <w:p w14:paraId="4B7C0A60" w14:textId="77777777" w:rsidR="00AD187C" w:rsidRPr="009E06AA" w:rsidRDefault="00AD187C" w:rsidP="00B55F24">
            <w:pPr>
              <w:pStyle w:val="TableText"/>
            </w:pPr>
            <w:r w:rsidRPr="009E06AA">
              <w:rPr>
                <w:color w:val="000000"/>
              </w:rPr>
              <w:t>Maximum methane producing capacity (kg CH4/kg BOD)</w:t>
            </w:r>
          </w:p>
        </w:tc>
        <w:tc>
          <w:tcPr>
            <w:tcW w:w="567" w:type="dxa"/>
            <w:shd w:val="clear" w:color="auto" w:fill="FFFFFF"/>
            <w:tcMar>
              <w:top w:w="0" w:type="dxa"/>
              <w:left w:w="85" w:type="dxa"/>
              <w:bottom w:w="0" w:type="dxa"/>
              <w:right w:w="85" w:type="dxa"/>
            </w:tcMar>
          </w:tcPr>
          <w:p w14:paraId="70A6EEF9" w14:textId="77777777" w:rsidR="00AD187C" w:rsidRPr="009E06AA" w:rsidRDefault="00AD187C" w:rsidP="009220D7">
            <w:pPr>
              <w:pStyle w:val="TableText"/>
              <w:jc w:val="right"/>
            </w:pPr>
            <w:r w:rsidRPr="009E06AA">
              <w:rPr>
                <w:color w:val="000000"/>
              </w:rPr>
              <w:t>0.6</w:t>
            </w:r>
          </w:p>
        </w:tc>
        <w:tc>
          <w:tcPr>
            <w:tcW w:w="1843" w:type="dxa"/>
            <w:shd w:val="clear" w:color="auto" w:fill="FFFFFF"/>
            <w:tcMar>
              <w:top w:w="0" w:type="dxa"/>
              <w:left w:w="85" w:type="dxa"/>
              <w:bottom w:w="0" w:type="dxa"/>
              <w:right w:w="85" w:type="dxa"/>
            </w:tcMar>
          </w:tcPr>
          <w:p w14:paraId="4F2AA817" w14:textId="77777777" w:rsidR="00AD187C" w:rsidRPr="009E06AA" w:rsidRDefault="00AD187C" w:rsidP="00B55F24">
            <w:pPr>
              <w:pStyle w:val="TableText"/>
            </w:pPr>
            <w:r w:rsidRPr="009E06AA">
              <w:rPr>
                <w:color w:val="000000"/>
              </w:rPr>
              <w:t>IPCC default</w:t>
            </w:r>
          </w:p>
        </w:tc>
        <w:tc>
          <w:tcPr>
            <w:tcW w:w="2693" w:type="dxa"/>
            <w:shd w:val="clear" w:color="auto" w:fill="FFFFFF"/>
            <w:tcMar>
              <w:top w:w="0" w:type="dxa"/>
              <w:left w:w="85" w:type="dxa"/>
              <w:bottom w:w="0" w:type="dxa"/>
              <w:right w:w="85" w:type="dxa"/>
            </w:tcMar>
          </w:tcPr>
          <w:p w14:paraId="327F47E8" w14:textId="77777777" w:rsidR="00AD187C" w:rsidRPr="009E06AA" w:rsidRDefault="00AD187C" w:rsidP="00B55F24">
            <w:pPr>
              <w:pStyle w:val="TableText"/>
            </w:pPr>
            <w:r w:rsidRPr="009E06AA">
              <w:rPr>
                <w:color w:val="000000"/>
              </w:rPr>
              <w:t>Table 6.2, section 6.2.2.2, IPCC, 2006d</w:t>
            </w:r>
          </w:p>
        </w:tc>
      </w:tr>
      <w:tr w:rsidR="00AD187C" w:rsidRPr="009E06AA" w14:paraId="4B5CA7AB" w14:textId="77777777" w:rsidTr="00B55F24">
        <w:tc>
          <w:tcPr>
            <w:tcW w:w="3402" w:type="dxa"/>
            <w:shd w:val="clear" w:color="auto" w:fill="FFFFFF"/>
            <w:tcMar>
              <w:top w:w="0" w:type="dxa"/>
              <w:left w:w="85" w:type="dxa"/>
              <w:bottom w:w="0" w:type="dxa"/>
              <w:right w:w="85" w:type="dxa"/>
            </w:tcMar>
          </w:tcPr>
          <w:p w14:paraId="2328BC11" w14:textId="77777777" w:rsidR="00AD187C" w:rsidRPr="009E06AA" w:rsidRDefault="00AD187C" w:rsidP="00B55F24">
            <w:pPr>
              <w:pStyle w:val="TableText"/>
            </w:pPr>
            <w:r w:rsidRPr="009E06AA">
              <w:rPr>
                <w:color w:val="000000"/>
              </w:rPr>
              <w:t>Biochemical oxygen demand (kg BOD/person/year)</w:t>
            </w:r>
          </w:p>
        </w:tc>
        <w:tc>
          <w:tcPr>
            <w:tcW w:w="567" w:type="dxa"/>
            <w:shd w:val="clear" w:color="auto" w:fill="FFFFFF"/>
            <w:tcMar>
              <w:top w:w="0" w:type="dxa"/>
              <w:left w:w="85" w:type="dxa"/>
              <w:bottom w:w="0" w:type="dxa"/>
              <w:right w:w="85" w:type="dxa"/>
            </w:tcMar>
          </w:tcPr>
          <w:p w14:paraId="6CC38F52" w14:textId="77777777" w:rsidR="00AD187C" w:rsidRPr="009E06AA" w:rsidRDefault="00AD187C" w:rsidP="009220D7">
            <w:pPr>
              <w:pStyle w:val="TableText"/>
              <w:jc w:val="right"/>
            </w:pPr>
            <w:r w:rsidRPr="009E06AA">
              <w:rPr>
                <w:color w:val="000000"/>
              </w:rPr>
              <w:t>21.9</w:t>
            </w:r>
          </w:p>
        </w:tc>
        <w:tc>
          <w:tcPr>
            <w:tcW w:w="1843" w:type="dxa"/>
            <w:shd w:val="clear" w:color="auto" w:fill="FFFFFF"/>
            <w:tcMar>
              <w:top w:w="0" w:type="dxa"/>
              <w:left w:w="85" w:type="dxa"/>
              <w:bottom w:w="0" w:type="dxa"/>
              <w:right w:w="85" w:type="dxa"/>
            </w:tcMar>
          </w:tcPr>
          <w:p w14:paraId="255E3101" w14:textId="77777777" w:rsidR="00AD187C" w:rsidRPr="009E06AA" w:rsidRDefault="00AD187C" w:rsidP="00B55F24">
            <w:pPr>
              <w:pStyle w:val="TableText"/>
            </w:pPr>
            <w:r w:rsidRPr="009E06AA">
              <w:rPr>
                <w:color w:val="000000"/>
              </w:rPr>
              <w:t>IPCC default for Oceania</w:t>
            </w:r>
          </w:p>
        </w:tc>
        <w:tc>
          <w:tcPr>
            <w:tcW w:w="2693" w:type="dxa"/>
            <w:shd w:val="clear" w:color="auto" w:fill="FFFFFF"/>
            <w:tcMar>
              <w:top w:w="0" w:type="dxa"/>
              <w:left w:w="85" w:type="dxa"/>
              <w:bottom w:w="0" w:type="dxa"/>
              <w:right w:w="85" w:type="dxa"/>
            </w:tcMar>
          </w:tcPr>
          <w:p w14:paraId="298AC2B7" w14:textId="77777777" w:rsidR="00AD187C" w:rsidRPr="009E06AA" w:rsidRDefault="00AD187C" w:rsidP="00B55F24">
            <w:pPr>
              <w:pStyle w:val="TableText"/>
            </w:pPr>
            <w:r w:rsidRPr="009E06AA">
              <w:rPr>
                <w:color w:val="000000"/>
              </w:rPr>
              <w:t>IPCC, 2006d (worksheets for SWDS)</w:t>
            </w:r>
          </w:p>
        </w:tc>
      </w:tr>
      <w:tr w:rsidR="00AD187C" w:rsidRPr="009E06AA" w14:paraId="3DC63CB3" w14:textId="77777777" w:rsidTr="00B55F24">
        <w:tc>
          <w:tcPr>
            <w:tcW w:w="3402" w:type="dxa"/>
            <w:shd w:val="clear" w:color="auto" w:fill="FFFFFF"/>
            <w:tcMar>
              <w:top w:w="0" w:type="dxa"/>
              <w:left w:w="85" w:type="dxa"/>
              <w:bottom w:w="0" w:type="dxa"/>
              <w:right w:w="85" w:type="dxa"/>
            </w:tcMar>
          </w:tcPr>
          <w:p w14:paraId="3C992602" w14:textId="77777777" w:rsidR="00AD187C" w:rsidRPr="009E06AA" w:rsidRDefault="00AD187C" w:rsidP="00B55F24">
            <w:pPr>
              <w:pStyle w:val="TableText"/>
            </w:pPr>
            <w:r w:rsidRPr="009E06AA">
              <w:rPr>
                <w:color w:val="000000"/>
              </w:rPr>
              <w:t>Correction factor for BOD</w:t>
            </w:r>
          </w:p>
        </w:tc>
        <w:tc>
          <w:tcPr>
            <w:tcW w:w="567" w:type="dxa"/>
            <w:shd w:val="clear" w:color="auto" w:fill="FFFFFF"/>
            <w:tcMar>
              <w:top w:w="0" w:type="dxa"/>
              <w:left w:w="85" w:type="dxa"/>
              <w:bottom w:w="0" w:type="dxa"/>
              <w:right w:w="85" w:type="dxa"/>
            </w:tcMar>
          </w:tcPr>
          <w:p w14:paraId="5A54013A" w14:textId="77777777" w:rsidR="00AD187C" w:rsidRPr="009E06AA" w:rsidRDefault="00AD187C" w:rsidP="009220D7">
            <w:pPr>
              <w:pStyle w:val="TableText"/>
              <w:jc w:val="right"/>
            </w:pPr>
            <w:r w:rsidRPr="009E06AA">
              <w:rPr>
                <w:color w:val="000000"/>
              </w:rPr>
              <w:t>1.25</w:t>
            </w:r>
          </w:p>
        </w:tc>
        <w:tc>
          <w:tcPr>
            <w:tcW w:w="1843" w:type="dxa"/>
            <w:shd w:val="clear" w:color="auto" w:fill="FFFFFF"/>
            <w:tcMar>
              <w:top w:w="0" w:type="dxa"/>
              <w:left w:w="85" w:type="dxa"/>
              <w:bottom w:w="0" w:type="dxa"/>
              <w:right w:w="85" w:type="dxa"/>
            </w:tcMar>
          </w:tcPr>
          <w:p w14:paraId="63BFFA7D" w14:textId="77777777" w:rsidR="00AD187C" w:rsidRPr="009E06AA" w:rsidRDefault="00AD187C" w:rsidP="00B55F24">
            <w:pPr>
              <w:pStyle w:val="TableText"/>
            </w:pPr>
            <w:r w:rsidRPr="009E06AA">
              <w:rPr>
                <w:color w:val="000000"/>
              </w:rPr>
              <w:t>IPCC default for collected systems</w:t>
            </w:r>
          </w:p>
        </w:tc>
        <w:tc>
          <w:tcPr>
            <w:tcW w:w="2693" w:type="dxa"/>
            <w:shd w:val="clear" w:color="auto" w:fill="FFFFFF"/>
            <w:tcMar>
              <w:top w:w="0" w:type="dxa"/>
              <w:left w:w="85" w:type="dxa"/>
              <w:bottom w:w="0" w:type="dxa"/>
              <w:right w:w="85" w:type="dxa"/>
            </w:tcMar>
          </w:tcPr>
          <w:p w14:paraId="56F9873E" w14:textId="77777777" w:rsidR="00AD187C" w:rsidRPr="009E06AA" w:rsidRDefault="00AD187C" w:rsidP="00B55F24">
            <w:pPr>
              <w:pStyle w:val="TableText"/>
            </w:pPr>
            <w:r w:rsidRPr="009E06AA">
              <w:rPr>
                <w:color w:val="000000"/>
              </w:rPr>
              <w:t>Section 6.2.2.3, p 6.14, IPCC, 2006d</w:t>
            </w:r>
          </w:p>
        </w:tc>
      </w:tr>
    </w:tbl>
    <w:p w14:paraId="79137D6F" w14:textId="77777777" w:rsidR="00AD187C" w:rsidRPr="009E06AA" w:rsidRDefault="00AD187C" w:rsidP="00AD187C">
      <w:pPr>
        <w:pStyle w:val="Noteundertable"/>
      </w:pPr>
      <w:r w:rsidRPr="009E06AA">
        <w:rPr>
          <w:b/>
          <w:bCs/>
        </w:rPr>
        <w:t>Note:</w:t>
      </w:r>
      <w:r w:rsidRPr="009E06AA">
        <w:t xml:space="preserve"> </w:t>
      </w:r>
      <w:r w:rsidRPr="009E06AA">
        <w:tab/>
        <w:t>BOD = biochemical oxygen demand; SWDS = solid waste disposal sites.</w:t>
      </w:r>
    </w:p>
    <w:p w14:paraId="7BC0066E" w14:textId="77777777" w:rsidR="00AD187C" w:rsidRPr="009E06AA" w:rsidRDefault="00AD187C" w:rsidP="00AD187C">
      <w:pPr>
        <w:pStyle w:val="Heading4"/>
      </w:pPr>
      <w:bookmarkStart w:id="3584" w:name="Xa453b68a9f9baadb2d637a8d8db162bf576fe8b"/>
      <w:r w:rsidRPr="009E06AA">
        <w:t>Assumptions for estimating nitrous oxide emissions from wastewater</w:t>
      </w:r>
    </w:p>
    <w:p w14:paraId="10C39496" w14:textId="77777777" w:rsidR="00AD187C" w:rsidRPr="009E06AA" w:rsidRDefault="00AD187C" w:rsidP="00AD187C">
      <w:pPr>
        <w:pStyle w:val="BodyText"/>
      </w:pPr>
      <w:r w:rsidRPr="009E06AA">
        <w:t>Table 8.15.2 shows the parameters used to calculate N</w:t>
      </w:r>
      <w:r w:rsidRPr="009E06AA">
        <w:rPr>
          <w:vertAlign w:val="subscript"/>
        </w:rPr>
        <w:t>2</w:t>
      </w:r>
      <w:r w:rsidRPr="009E06AA">
        <w:t>O emissions from wastewater. It is assumed that septic tanks do not discharge to the sea and that only the population using open water toilets contribute to the nitrogen in effluent calculation.</w:t>
      </w:r>
    </w:p>
    <w:p w14:paraId="3A280440" w14:textId="77777777" w:rsidR="00AD187C" w:rsidRPr="009E06AA" w:rsidRDefault="00AD187C" w:rsidP="00AD187C">
      <w:pPr>
        <w:pStyle w:val="BodyText"/>
      </w:pPr>
      <w:r w:rsidRPr="009E06AA">
        <w:t>Protein consumption of 32.45 kg/person/year has been calculated based on known consumption compiled by the Tokelau National Statistics Office. The fraction of industrial and commercial co-discharged protein accounts for any commercial and industrial activities because there is no separate estimate.</w:t>
      </w:r>
    </w:p>
    <w:p w14:paraId="2C37E936" w14:textId="77777777" w:rsidR="00AD187C" w:rsidRPr="009E06AA" w:rsidRDefault="00AD187C" w:rsidP="00AD187C">
      <w:pPr>
        <w:pStyle w:val="Table"/>
      </w:pPr>
      <w:bookmarkStart w:id="3585" w:name="_Toc5269607"/>
      <w:bookmarkStart w:id="3586" w:name="_Toc36224688"/>
      <w:bookmarkStart w:id="3587" w:name="_Toc68786574"/>
      <w:bookmarkStart w:id="3588" w:name="_Toc130211280"/>
      <w:bookmarkStart w:id="3589" w:name="_Toc131591481"/>
      <w:bookmarkStart w:id="3590" w:name="_Toc160205517"/>
      <w:bookmarkStart w:id="3591" w:name="_Toc160441636"/>
      <w:bookmarkStart w:id="3592" w:name="_Toc164153972"/>
      <w:r w:rsidRPr="009E06AA">
        <w:t xml:space="preserve">Table 8.15.2 </w:t>
      </w:r>
      <w:r w:rsidRPr="009E06AA">
        <w:tab/>
        <w:t>Parameter values applied for estimating nitrous oxide emissions for Tokelau wastewater treatment</w:t>
      </w:r>
      <w:bookmarkEnd w:id="3585"/>
      <w:bookmarkEnd w:id="3586"/>
      <w:bookmarkEnd w:id="3587"/>
      <w:bookmarkEnd w:id="3588"/>
      <w:bookmarkEnd w:id="3589"/>
      <w:bookmarkEnd w:id="3590"/>
      <w:bookmarkEnd w:id="3591"/>
      <w:bookmarkEnd w:id="3592"/>
    </w:p>
    <w:tbl>
      <w:tblPr>
        <w:tblW w:w="8505" w:type="dxa"/>
        <w:tblBorders>
          <w:top w:val="single" w:sz="4" w:space="0" w:color="1B556B" w:themeColor="text2"/>
          <w:bottom w:val="single" w:sz="4" w:space="0" w:color="1B556B" w:themeColor="text2"/>
          <w:insideH w:val="single" w:sz="4" w:space="0" w:color="1B556B" w:themeColor="text2"/>
        </w:tblBorders>
        <w:tblLook w:val="0420" w:firstRow="1" w:lastRow="0" w:firstColumn="0" w:lastColumn="0" w:noHBand="0" w:noVBand="1"/>
      </w:tblPr>
      <w:tblGrid>
        <w:gridCol w:w="3119"/>
        <w:gridCol w:w="709"/>
        <w:gridCol w:w="1559"/>
        <w:gridCol w:w="3118"/>
      </w:tblGrid>
      <w:tr w:rsidR="00AD187C" w:rsidRPr="009E06AA" w14:paraId="73F24F4D" w14:textId="77777777" w:rsidTr="00B55F24">
        <w:trPr>
          <w:tblHeader/>
        </w:trPr>
        <w:tc>
          <w:tcPr>
            <w:tcW w:w="3119" w:type="dxa"/>
            <w:shd w:val="clear" w:color="auto" w:fill="1B556B"/>
            <w:tcMar>
              <w:top w:w="0" w:type="dxa"/>
              <w:left w:w="85" w:type="dxa"/>
              <w:bottom w:w="0" w:type="dxa"/>
              <w:right w:w="85" w:type="dxa"/>
            </w:tcMar>
          </w:tcPr>
          <w:p w14:paraId="77FA8DE9" w14:textId="77777777" w:rsidR="00AD187C" w:rsidRPr="009E06AA" w:rsidRDefault="00AD187C" w:rsidP="00B55F24">
            <w:pPr>
              <w:pStyle w:val="TableTextBold"/>
              <w:keepNext/>
              <w:rPr>
                <w:noProof w:val="0"/>
                <w:color w:val="FFFFFF" w:themeColor="background1"/>
              </w:rPr>
            </w:pPr>
            <w:r w:rsidRPr="009E06AA">
              <w:rPr>
                <w:noProof w:val="0"/>
                <w:color w:val="FFFFFF" w:themeColor="background1"/>
              </w:rPr>
              <w:t>Parameter</w:t>
            </w:r>
          </w:p>
        </w:tc>
        <w:tc>
          <w:tcPr>
            <w:tcW w:w="709" w:type="dxa"/>
            <w:shd w:val="clear" w:color="auto" w:fill="1B556B"/>
            <w:tcMar>
              <w:top w:w="0" w:type="dxa"/>
              <w:left w:w="85" w:type="dxa"/>
              <w:bottom w:w="0" w:type="dxa"/>
              <w:right w:w="85" w:type="dxa"/>
            </w:tcMar>
          </w:tcPr>
          <w:p w14:paraId="622326EB" w14:textId="77777777" w:rsidR="00AD187C" w:rsidRPr="009E06AA" w:rsidRDefault="00AD187C" w:rsidP="009220D7">
            <w:pPr>
              <w:pStyle w:val="TableTextBold"/>
              <w:keepNext/>
              <w:jc w:val="right"/>
              <w:rPr>
                <w:noProof w:val="0"/>
                <w:color w:val="FFFFFF" w:themeColor="background1"/>
              </w:rPr>
            </w:pPr>
            <w:r w:rsidRPr="009E06AA">
              <w:rPr>
                <w:noProof w:val="0"/>
                <w:color w:val="FFFFFF" w:themeColor="background1"/>
              </w:rPr>
              <w:t>Value</w:t>
            </w:r>
          </w:p>
        </w:tc>
        <w:tc>
          <w:tcPr>
            <w:tcW w:w="1559" w:type="dxa"/>
            <w:shd w:val="clear" w:color="auto" w:fill="1B556B"/>
            <w:tcMar>
              <w:top w:w="0" w:type="dxa"/>
              <w:left w:w="85" w:type="dxa"/>
              <w:bottom w:w="0" w:type="dxa"/>
              <w:right w:w="85" w:type="dxa"/>
            </w:tcMar>
          </w:tcPr>
          <w:p w14:paraId="7998E833" w14:textId="77777777" w:rsidR="00AD187C" w:rsidRPr="009E06AA" w:rsidRDefault="00AD187C" w:rsidP="00B55F24">
            <w:pPr>
              <w:pStyle w:val="TableTextBold"/>
              <w:keepNext/>
              <w:rPr>
                <w:noProof w:val="0"/>
                <w:color w:val="FFFFFF" w:themeColor="background1"/>
              </w:rPr>
            </w:pPr>
            <w:r w:rsidRPr="009E06AA">
              <w:rPr>
                <w:noProof w:val="0"/>
                <w:color w:val="FFFFFF" w:themeColor="background1"/>
              </w:rPr>
              <w:t>Source</w:t>
            </w:r>
          </w:p>
        </w:tc>
        <w:tc>
          <w:tcPr>
            <w:tcW w:w="3118" w:type="dxa"/>
            <w:shd w:val="clear" w:color="auto" w:fill="1B556B"/>
            <w:tcMar>
              <w:top w:w="0" w:type="dxa"/>
              <w:left w:w="85" w:type="dxa"/>
              <w:bottom w:w="0" w:type="dxa"/>
              <w:right w:w="85" w:type="dxa"/>
            </w:tcMar>
          </w:tcPr>
          <w:p w14:paraId="7A10DCC4" w14:textId="77777777" w:rsidR="00AD187C" w:rsidRPr="009E06AA" w:rsidRDefault="00AD187C" w:rsidP="00B55F24">
            <w:pPr>
              <w:pStyle w:val="TableTextBold"/>
              <w:keepNext/>
              <w:rPr>
                <w:noProof w:val="0"/>
                <w:color w:val="FFFFFF" w:themeColor="background1"/>
              </w:rPr>
            </w:pPr>
            <w:r w:rsidRPr="009E06AA">
              <w:rPr>
                <w:noProof w:val="0"/>
                <w:color w:val="FFFFFF" w:themeColor="background1"/>
              </w:rPr>
              <w:t>Reference</w:t>
            </w:r>
          </w:p>
        </w:tc>
      </w:tr>
      <w:tr w:rsidR="00AD187C" w:rsidRPr="009E06AA" w14:paraId="0B74A2BD" w14:textId="77777777" w:rsidTr="00B55F24">
        <w:tc>
          <w:tcPr>
            <w:tcW w:w="3119" w:type="dxa"/>
            <w:shd w:val="clear" w:color="auto" w:fill="FFFFFF"/>
            <w:tcMar>
              <w:top w:w="0" w:type="dxa"/>
              <w:left w:w="85" w:type="dxa"/>
              <w:bottom w:w="0" w:type="dxa"/>
              <w:right w:w="85" w:type="dxa"/>
            </w:tcMar>
          </w:tcPr>
          <w:p w14:paraId="31D91FCE" w14:textId="77777777" w:rsidR="00AD187C" w:rsidRPr="009E06AA" w:rsidRDefault="00AD187C" w:rsidP="00B55F24">
            <w:pPr>
              <w:pStyle w:val="TableText"/>
              <w:keepNext/>
            </w:pPr>
            <w:r w:rsidRPr="009E06AA">
              <w:rPr>
                <w:color w:val="000000"/>
              </w:rPr>
              <w:t>Per capita protein consumption (kg/person/year)</w:t>
            </w:r>
          </w:p>
        </w:tc>
        <w:tc>
          <w:tcPr>
            <w:tcW w:w="709" w:type="dxa"/>
            <w:shd w:val="clear" w:color="auto" w:fill="FFFFFF"/>
            <w:tcMar>
              <w:top w:w="0" w:type="dxa"/>
              <w:left w:w="85" w:type="dxa"/>
              <w:bottom w:w="0" w:type="dxa"/>
              <w:right w:w="85" w:type="dxa"/>
            </w:tcMar>
          </w:tcPr>
          <w:p w14:paraId="71A5EBCA" w14:textId="77777777" w:rsidR="00AD187C" w:rsidRPr="009E06AA" w:rsidRDefault="00AD187C" w:rsidP="009220D7">
            <w:pPr>
              <w:pStyle w:val="TableText"/>
              <w:keepNext/>
              <w:jc w:val="right"/>
            </w:pPr>
            <w:r w:rsidRPr="009E06AA">
              <w:rPr>
                <w:color w:val="000000"/>
              </w:rPr>
              <w:t>32.</w:t>
            </w:r>
            <w:r w:rsidRPr="009E06AA">
              <w:rPr>
                <w:rFonts w:eastAsia="Calibri" w:cs="Calibri"/>
                <w:color w:val="000000"/>
                <w:szCs w:val="16"/>
              </w:rPr>
              <w:t>448</w:t>
            </w:r>
          </w:p>
        </w:tc>
        <w:tc>
          <w:tcPr>
            <w:tcW w:w="1559" w:type="dxa"/>
            <w:shd w:val="clear" w:color="auto" w:fill="FFFFFF"/>
            <w:tcMar>
              <w:top w:w="0" w:type="dxa"/>
              <w:left w:w="85" w:type="dxa"/>
              <w:bottom w:w="0" w:type="dxa"/>
              <w:right w:w="85" w:type="dxa"/>
            </w:tcMar>
          </w:tcPr>
          <w:p w14:paraId="055388F1" w14:textId="77777777" w:rsidR="00AD187C" w:rsidRPr="009E06AA" w:rsidRDefault="00AD187C" w:rsidP="00B55F24">
            <w:pPr>
              <w:pStyle w:val="TableText"/>
              <w:keepNext/>
            </w:pPr>
            <w:r w:rsidRPr="009E06AA">
              <w:rPr>
                <w:color w:val="000000"/>
              </w:rPr>
              <w:t>Tokelau specific</w:t>
            </w:r>
          </w:p>
        </w:tc>
        <w:tc>
          <w:tcPr>
            <w:tcW w:w="3118" w:type="dxa"/>
            <w:shd w:val="clear" w:color="auto" w:fill="FFFFFF"/>
            <w:tcMar>
              <w:top w:w="0" w:type="dxa"/>
              <w:left w:w="85" w:type="dxa"/>
              <w:bottom w:w="0" w:type="dxa"/>
              <w:right w:w="85" w:type="dxa"/>
            </w:tcMar>
          </w:tcPr>
          <w:p w14:paraId="70B93008" w14:textId="77777777" w:rsidR="00AD187C" w:rsidRPr="009E06AA" w:rsidRDefault="00AD187C" w:rsidP="00B55F24">
            <w:pPr>
              <w:pStyle w:val="TableText"/>
              <w:keepNext/>
            </w:pPr>
            <w:r w:rsidRPr="009E06AA">
              <w:rPr>
                <w:color w:val="000000"/>
              </w:rPr>
              <w:t>Developed by Tokelau’s National Statistics Office using imports data (see table 8.1.</w:t>
            </w:r>
            <w:r w:rsidRPr="009E06AA">
              <w:rPr>
                <w:rFonts w:eastAsia="Calibri" w:cs="Calibri"/>
                <w:color w:val="000000"/>
                <w:szCs w:val="16"/>
              </w:rPr>
              <w:t>1</w:t>
            </w:r>
            <w:r w:rsidRPr="009E06AA">
              <w:rPr>
                <w:color w:val="000000"/>
              </w:rPr>
              <w:t>)</w:t>
            </w:r>
          </w:p>
        </w:tc>
      </w:tr>
      <w:tr w:rsidR="00AD187C" w:rsidRPr="009E06AA" w14:paraId="3C69E622" w14:textId="77777777" w:rsidTr="00B55F24">
        <w:tc>
          <w:tcPr>
            <w:tcW w:w="3119" w:type="dxa"/>
            <w:shd w:val="clear" w:color="auto" w:fill="FFFFFF"/>
            <w:tcMar>
              <w:top w:w="0" w:type="dxa"/>
              <w:left w:w="85" w:type="dxa"/>
              <w:bottom w:w="0" w:type="dxa"/>
              <w:right w:w="85" w:type="dxa"/>
            </w:tcMar>
          </w:tcPr>
          <w:p w14:paraId="1493DBA5" w14:textId="77777777" w:rsidR="00AD187C" w:rsidRPr="009E06AA" w:rsidRDefault="00AD187C" w:rsidP="00B55F24">
            <w:pPr>
              <w:pStyle w:val="TableText"/>
              <w:keepNext/>
            </w:pPr>
            <w:r w:rsidRPr="009E06AA">
              <w:rPr>
                <w:color w:val="000000"/>
              </w:rPr>
              <w:t>Fraction of nitrogen in protein</w:t>
            </w:r>
          </w:p>
        </w:tc>
        <w:tc>
          <w:tcPr>
            <w:tcW w:w="709" w:type="dxa"/>
            <w:shd w:val="clear" w:color="auto" w:fill="FFFFFF"/>
            <w:tcMar>
              <w:top w:w="0" w:type="dxa"/>
              <w:left w:w="85" w:type="dxa"/>
              <w:bottom w:w="0" w:type="dxa"/>
              <w:right w:w="85" w:type="dxa"/>
            </w:tcMar>
          </w:tcPr>
          <w:p w14:paraId="075DF826" w14:textId="77777777" w:rsidR="00AD187C" w:rsidRPr="009E06AA" w:rsidRDefault="00AD187C" w:rsidP="009220D7">
            <w:pPr>
              <w:pStyle w:val="TableText"/>
              <w:keepNext/>
              <w:jc w:val="right"/>
            </w:pPr>
            <w:r w:rsidRPr="009E06AA">
              <w:rPr>
                <w:color w:val="000000"/>
              </w:rPr>
              <w:t>0.16</w:t>
            </w:r>
          </w:p>
        </w:tc>
        <w:tc>
          <w:tcPr>
            <w:tcW w:w="1559" w:type="dxa"/>
            <w:shd w:val="clear" w:color="auto" w:fill="FFFFFF"/>
            <w:tcMar>
              <w:top w:w="0" w:type="dxa"/>
              <w:left w:w="85" w:type="dxa"/>
              <w:bottom w:w="0" w:type="dxa"/>
              <w:right w:w="85" w:type="dxa"/>
            </w:tcMar>
          </w:tcPr>
          <w:p w14:paraId="3B058DEA" w14:textId="77777777" w:rsidR="00AD187C" w:rsidRPr="009E06AA" w:rsidRDefault="00AD187C" w:rsidP="00B55F24">
            <w:pPr>
              <w:pStyle w:val="TableText"/>
              <w:keepNext/>
            </w:pPr>
            <w:r w:rsidRPr="009E06AA">
              <w:rPr>
                <w:color w:val="000000"/>
              </w:rPr>
              <w:t>IPCC default</w:t>
            </w:r>
          </w:p>
        </w:tc>
        <w:tc>
          <w:tcPr>
            <w:tcW w:w="3118" w:type="dxa"/>
            <w:shd w:val="clear" w:color="auto" w:fill="FFFFFF"/>
            <w:tcMar>
              <w:top w:w="0" w:type="dxa"/>
              <w:left w:w="85" w:type="dxa"/>
              <w:bottom w:w="0" w:type="dxa"/>
              <w:right w:w="85" w:type="dxa"/>
            </w:tcMar>
          </w:tcPr>
          <w:p w14:paraId="5F22281E" w14:textId="77777777" w:rsidR="00AD187C" w:rsidRPr="009E06AA" w:rsidRDefault="00AD187C" w:rsidP="00B55F24">
            <w:pPr>
              <w:pStyle w:val="TableText"/>
              <w:keepNext/>
            </w:pPr>
            <w:r w:rsidRPr="009E06AA">
              <w:rPr>
                <w:color w:val="000000"/>
              </w:rPr>
              <w:t>Section 6.3.1.3, p 6.25, IPCC, 2006d</w:t>
            </w:r>
          </w:p>
        </w:tc>
      </w:tr>
      <w:tr w:rsidR="00AD187C" w:rsidRPr="009E06AA" w14:paraId="26A4A13E" w14:textId="77777777" w:rsidTr="00B55F24">
        <w:tc>
          <w:tcPr>
            <w:tcW w:w="3119" w:type="dxa"/>
            <w:shd w:val="clear" w:color="auto" w:fill="FFFFFF"/>
            <w:tcMar>
              <w:top w:w="0" w:type="dxa"/>
              <w:left w:w="85" w:type="dxa"/>
              <w:bottom w:w="0" w:type="dxa"/>
              <w:right w:w="85" w:type="dxa"/>
            </w:tcMar>
          </w:tcPr>
          <w:p w14:paraId="45AE7B05" w14:textId="77777777" w:rsidR="00AD187C" w:rsidRPr="009E06AA" w:rsidRDefault="00AD187C" w:rsidP="00B55F24">
            <w:pPr>
              <w:pStyle w:val="TableText"/>
              <w:keepNext/>
            </w:pPr>
            <w:r w:rsidRPr="009E06AA">
              <w:rPr>
                <w:color w:val="000000"/>
              </w:rPr>
              <w:t>Fraction of non-consumed protein</w:t>
            </w:r>
          </w:p>
        </w:tc>
        <w:tc>
          <w:tcPr>
            <w:tcW w:w="709" w:type="dxa"/>
            <w:shd w:val="clear" w:color="auto" w:fill="FFFFFF"/>
            <w:tcMar>
              <w:top w:w="0" w:type="dxa"/>
              <w:left w:w="85" w:type="dxa"/>
              <w:bottom w:w="0" w:type="dxa"/>
              <w:right w:w="85" w:type="dxa"/>
            </w:tcMar>
          </w:tcPr>
          <w:p w14:paraId="51B25265" w14:textId="77777777" w:rsidR="00AD187C" w:rsidRPr="009E06AA" w:rsidRDefault="00AD187C" w:rsidP="009220D7">
            <w:pPr>
              <w:pStyle w:val="TableText"/>
              <w:keepNext/>
              <w:jc w:val="right"/>
            </w:pPr>
            <w:r w:rsidRPr="009E06AA">
              <w:rPr>
                <w:color w:val="000000"/>
              </w:rPr>
              <w:t>1.1</w:t>
            </w:r>
          </w:p>
        </w:tc>
        <w:tc>
          <w:tcPr>
            <w:tcW w:w="1559" w:type="dxa"/>
            <w:shd w:val="clear" w:color="auto" w:fill="FFFFFF"/>
            <w:tcMar>
              <w:top w:w="0" w:type="dxa"/>
              <w:left w:w="85" w:type="dxa"/>
              <w:bottom w:w="0" w:type="dxa"/>
              <w:right w:w="85" w:type="dxa"/>
            </w:tcMar>
          </w:tcPr>
          <w:p w14:paraId="410FD5E4" w14:textId="77777777" w:rsidR="00AD187C" w:rsidRPr="009E06AA" w:rsidRDefault="00AD187C" w:rsidP="00B55F24">
            <w:pPr>
              <w:pStyle w:val="TableText"/>
              <w:keepNext/>
            </w:pPr>
            <w:r w:rsidRPr="009E06AA">
              <w:rPr>
                <w:color w:val="000000"/>
              </w:rPr>
              <w:t>IPCC default for developing countries</w:t>
            </w:r>
          </w:p>
        </w:tc>
        <w:tc>
          <w:tcPr>
            <w:tcW w:w="3118" w:type="dxa"/>
            <w:shd w:val="clear" w:color="auto" w:fill="FFFFFF"/>
            <w:tcMar>
              <w:top w:w="0" w:type="dxa"/>
              <w:left w:w="85" w:type="dxa"/>
              <w:bottom w:w="0" w:type="dxa"/>
              <w:right w:w="85" w:type="dxa"/>
            </w:tcMar>
          </w:tcPr>
          <w:p w14:paraId="178D6692" w14:textId="77777777" w:rsidR="00AD187C" w:rsidRPr="009E06AA" w:rsidRDefault="00AD187C" w:rsidP="00B55F24">
            <w:pPr>
              <w:pStyle w:val="TableText"/>
              <w:keepNext/>
            </w:pPr>
            <w:r w:rsidRPr="009E06AA">
              <w:rPr>
                <w:color w:val="000000"/>
              </w:rPr>
              <w:t>Table 6.11, section 6.3.3, IPCC, 2006d</w:t>
            </w:r>
          </w:p>
        </w:tc>
      </w:tr>
      <w:tr w:rsidR="00AD187C" w:rsidRPr="009E06AA" w14:paraId="360CE7CD" w14:textId="77777777" w:rsidTr="00B55F24">
        <w:tc>
          <w:tcPr>
            <w:tcW w:w="3119" w:type="dxa"/>
            <w:shd w:val="clear" w:color="auto" w:fill="FFFFFF"/>
            <w:tcMar>
              <w:top w:w="0" w:type="dxa"/>
              <w:left w:w="85" w:type="dxa"/>
              <w:bottom w:w="0" w:type="dxa"/>
              <w:right w:w="85" w:type="dxa"/>
            </w:tcMar>
          </w:tcPr>
          <w:p w14:paraId="14CA95D4" w14:textId="77777777" w:rsidR="00AD187C" w:rsidRPr="009E06AA" w:rsidRDefault="00AD187C" w:rsidP="00B55F24">
            <w:pPr>
              <w:pStyle w:val="TableText"/>
              <w:keepNext/>
            </w:pPr>
            <w:r w:rsidRPr="009E06AA">
              <w:rPr>
                <w:color w:val="000000"/>
              </w:rPr>
              <w:t>Fraction of industrial and commercial co</w:t>
            </w:r>
            <w:r w:rsidRPr="009E06AA">
              <w:rPr>
                <w:rFonts w:ascii="Cambria Math" w:eastAsia="Calibri" w:hAnsi="Cambria Math" w:cs="Cambria Math"/>
                <w:color w:val="000000"/>
                <w:szCs w:val="16"/>
              </w:rPr>
              <w:t>‑</w:t>
            </w:r>
            <w:r w:rsidRPr="009E06AA">
              <w:rPr>
                <w:color w:val="000000"/>
              </w:rPr>
              <w:t>discharged protein</w:t>
            </w:r>
          </w:p>
        </w:tc>
        <w:tc>
          <w:tcPr>
            <w:tcW w:w="709" w:type="dxa"/>
            <w:shd w:val="clear" w:color="auto" w:fill="FFFFFF"/>
            <w:tcMar>
              <w:top w:w="0" w:type="dxa"/>
              <w:left w:w="85" w:type="dxa"/>
              <w:bottom w:w="0" w:type="dxa"/>
              <w:right w:w="85" w:type="dxa"/>
            </w:tcMar>
          </w:tcPr>
          <w:p w14:paraId="3AE29260" w14:textId="77777777" w:rsidR="00AD187C" w:rsidRPr="009E06AA" w:rsidRDefault="00AD187C" w:rsidP="009220D7">
            <w:pPr>
              <w:pStyle w:val="TableText"/>
              <w:keepNext/>
              <w:jc w:val="right"/>
            </w:pPr>
            <w:r w:rsidRPr="009E06AA">
              <w:rPr>
                <w:color w:val="000000"/>
              </w:rPr>
              <w:t>1.25</w:t>
            </w:r>
          </w:p>
        </w:tc>
        <w:tc>
          <w:tcPr>
            <w:tcW w:w="1559" w:type="dxa"/>
            <w:shd w:val="clear" w:color="auto" w:fill="FFFFFF"/>
            <w:tcMar>
              <w:top w:w="0" w:type="dxa"/>
              <w:left w:w="85" w:type="dxa"/>
              <w:bottom w:w="0" w:type="dxa"/>
              <w:right w:w="85" w:type="dxa"/>
            </w:tcMar>
          </w:tcPr>
          <w:p w14:paraId="211634BC" w14:textId="77777777" w:rsidR="00AD187C" w:rsidRPr="009E06AA" w:rsidRDefault="00AD187C" w:rsidP="00B55F24">
            <w:pPr>
              <w:pStyle w:val="TableText"/>
              <w:keepNext/>
            </w:pPr>
            <w:r w:rsidRPr="009E06AA">
              <w:rPr>
                <w:color w:val="000000"/>
              </w:rPr>
              <w:t>IPCC default</w:t>
            </w:r>
          </w:p>
        </w:tc>
        <w:tc>
          <w:tcPr>
            <w:tcW w:w="3118" w:type="dxa"/>
            <w:shd w:val="clear" w:color="auto" w:fill="FFFFFF"/>
            <w:tcMar>
              <w:top w:w="0" w:type="dxa"/>
              <w:left w:w="85" w:type="dxa"/>
              <w:bottom w:w="0" w:type="dxa"/>
              <w:right w:w="85" w:type="dxa"/>
            </w:tcMar>
          </w:tcPr>
          <w:p w14:paraId="6BF1CB30" w14:textId="77777777" w:rsidR="00AD187C" w:rsidRPr="009E06AA" w:rsidRDefault="00AD187C" w:rsidP="00B55F24">
            <w:pPr>
              <w:pStyle w:val="TableText"/>
              <w:keepNext/>
            </w:pPr>
            <w:r w:rsidRPr="009E06AA">
              <w:rPr>
                <w:color w:val="000000"/>
              </w:rPr>
              <w:t>Table 6.11, section 6.3.3, IPCC, 2006d</w:t>
            </w:r>
          </w:p>
        </w:tc>
      </w:tr>
      <w:tr w:rsidR="00AD187C" w:rsidRPr="009E06AA" w14:paraId="43052D64" w14:textId="77777777" w:rsidTr="00B55F24">
        <w:tc>
          <w:tcPr>
            <w:tcW w:w="3119" w:type="dxa"/>
            <w:shd w:val="clear" w:color="auto" w:fill="FFFFFF"/>
            <w:tcMar>
              <w:top w:w="0" w:type="dxa"/>
              <w:left w:w="85" w:type="dxa"/>
              <w:bottom w:w="0" w:type="dxa"/>
              <w:right w:w="85" w:type="dxa"/>
            </w:tcMar>
          </w:tcPr>
          <w:p w14:paraId="28256496" w14:textId="77777777" w:rsidR="00AD187C" w:rsidRPr="009E06AA" w:rsidRDefault="00AD187C" w:rsidP="00B55F24">
            <w:pPr>
              <w:pStyle w:val="TableText"/>
            </w:pPr>
            <w:r w:rsidRPr="009E06AA">
              <w:rPr>
                <w:color w:val="000000"/>
              </w:rPr>
              <w:t>Nitrogen removed with sludge (kg)</w:t>
            </w:r>
          </w:p>
        </w:tc>
        <w:tc>
          <w:tcPr>
            <w:tcW w:w="709" w:type="dxa"/>
            <w:shd w:val="clear" w:color="auto" w:fill="FFFFFF"/>
            <w:tcMar>
              <w:top w:w="0" w:type="dxa"/>
              <w:left w:w="85" w:type="dxa"/>
              <w:bottom w:w="0" w:type="dxa"/>
              <w:right w:w="85" w:type="dxa"/>
            </w:tcMar>
          </w:tcPr>
          <w:p w14:paraId="3D90A26A" w14:textId="77777777" w:rsidR="00AD187C" w:rsidRPr="009E06AA" w:rsidRDefault="00AD187C" w:rsidP="009220D7">
            <w:pPr>
              <w:pStyle w:val="TableText"/>
              <w:jc w:val="right"/>
            </w:pPr>
            <w:r w:rsidRPr="009E06AA">
              <w:rPr>
                <w:color w:val="000000"/>
              </w:rPr>
              <w:t>0</w:t>
            </w:r>
          </w:p>
        </w:tc>
        <w:tc>
          <w:tcPr>
            <w:tcW w:w="1559" w:type="dxa"/>
            <w:shd w:val="clear" w:color="auto" w:fill="FFFFFF"/>
            <w:tcMar>
              <w:top w:w="0" w:type="dxa"/>
              <w:left w:w="85" w:type="dxa"/>
              <w:bottom w:w="0" w:type="dxa"/>
              <w:right w:w="85" w:type="dxa"/>
            </w:tcMar>
          </w:tcPr>
          <w:p w14:paraId="70B380C4" w14:textId="77777777" w:rsidR="00AD187C" w:rsidRPr="009E06AA" w:rsidRDefault="00AD187C" w:rsidP="00B55F24">
            <w:pPr>
              <w:pStyle w:val="TableText"/>
            </w:pPr>
            <w:r w:rsidRPr="009E06AA">
              <w:rPr>
                <w:color w:val="000000"/>
              </w:rPr>
              <w:t>IPCC default</w:t>
            </w:r>
          </w:p>
        </w:tc>
        <w:tc>
          <w:tcPr>
            <w:tcW w:w="3118" w:type="dxa"/>
            <w:shd w:val="clear" w:color="auto" w:fill="FFFFFF"/>
            <w:tcMar>
              <w:top w:w="0" w:type="dxa"/>
              <w:left w:w="85" w:type="dxa"/>
              <w:bottom w:w="0" w:type="dxa"/>
              <w:right w:w="85" w:type="dxa"/>
            </w:tcMar>
          </w:tcPr>
          <w:p w14:paraId="315FCB40" w14:textId="77777777" w:rsidR="00AD187C" w:rsidRPr="009E06AA" w:rsidRDefault="00AD187C" w:rsidP="00B55F24">
            <w:pPr>
              <w:pStyle w:val="TableText"/>
            </w:pPr>
            <w:r w:rsidRPr="009E06AA">
              <w:rPr>
                <w:color w:val="000000"/>
              </w:rPr>
              <w:t>Section 6.3.1.3, p 6.25, IPCC, 2006d</w:t>
            </w:r>
          </w:p>
        </w:tc>
      </w:tr>
      <w:tr w:rsidR="00AD187C" w:rsidRPr="009E06AA" w14:paraId="10BAF5BE" w14:textId="77777777" w:rsidTr="00B55F24">
        <w:tc>
          <w:tcPr>
            <w:tcW w:w="3119" w:type="dxa"/>
            <w:shd w:val="clear" w:color="auto" w:fill="FFFFFF"/>
            <w:tcMar>
              <w:top w:w="0" w:type="dxa"/>
              <w:left w:w="85" w:type="dxa"/>
              <w:bottom w:w="0" w:type="dxa"/>
              <w:right w:w="85" w:type="dxa"/>
            </w:tcMar>
          </w:tcPr>
          <w:p w14:paraId="38AB38AF" w14:textId="77777777" w:rsidR="00AD187C" w:rsidRPr="009E06AA" w:rsidRDefault="00AD187C" w:rsidP="00B55F24">
            <w:pPr>
              <w:pStyle w:val="TableText"/>
            </w:pPr>
            <w:r w:rsidRPr="009E06AA">
              <w:rPr>
                <w:color w:val="000000"/>
              </w:rPr>
              <w:t>Emission factor</w:t>
            </w:r>
          </w:p>
        </w:tc>
        <w:tc>
          <w:tcPr>
            <w:tcW w:w="709" w:type="dxa"/>
            <w:shd w:val="clear" w:color="auto" w:fill="FFFFFF"/>
            <w:tcMar>
              <w:top w:w="0" w:type="dxa"/>
              <w:left w:w="85" w:type="dxa"/>
              <w:bottom w:w="0" w:type="dxa"/>
              <w:right w:w="85" w:type="dxa"/>
            </w:tcMar>
          </w:tcPr>
          <w:p w14:paraId="1BAA65DF" w14:textId="77777777" w:rsidR="00AD187C" w:rsidRPr="009E06AA" w:rsidRDefault="00AD187C" w:rsidP="009220D7">
            <w:pPr>
              <w:pStyle w:val="TableText"/>
              <w:jc w:val="right"/>
            </w:pPr>
            <w:r w:rsidRPr="009E06AA">
              <w:rPr>
                <w:color w:val="000000"/>
              </w:rPr>
              <w:t>0.005</w:t>
            </w:r>
          </w:p>
        </w:tc>
        <w:tc>
          <w:tcPr>
            <w:tcW w:w="1559" w:type="dxa"/>
            <w:shd w:val="clear" w:color="auto" w:fill="FFFFFF"/>
            <w:tcMar>
              <w:top w:w="0" w:type="dxa"/>
              <w:left w:w="85" w:type="dxa"/>
              <w:bottom w:w="0" w:type="dxa"/>
              <w:right w:w="85" w:type="dxa"/>
            </w:tcMar>
          </w:tcPr>
          <w:p w14:paraId="7312DCBF" w14:textId="77777777" w:rsidR="00AD187C" w:rsidRPr="009E06AA" w:rsidRDefault="00AD187C" w:rsidP="00B55F24">
            <w:pPr>
              <w:pStyle w:val="TableText"/>
            </w:pPr>
            <w:r w:rsidRPr="009E06AA">
              <w:rPr>
                <w:color w:val="000000"/>
              </w:rPr>
              <w:t>IPCC default</w:t>
            </w:r>
          </w:p>
        </w:tc>
        <w:tc>
          <w:tcPr>
            <w:tcW w:w="3118" w:type="dxa"/>
            <w:shd w:val="clear" w:color="auto" w:fill="FFFFFF"/>
            <w:tcMar>
              <w:top w:w="0" w:type="dxa"/>
              <w:left w:w="85" w:type="dxa"/>
              <w:bottom w:w="0" w:type="dxa"/>
              <w:right w:w="85" w:type="dxa"/>
            </w:tcMar>
          </w:tcPr>
          <w:p w14:paraId="35AB8931" w14:textId="77777777" w:rsidR="00AD187C" w:rsidRPr="009E06AA" w:rsidRDefault="00AD187C" w:rsidP="00B55F24">
            <w:pPr>
              <w:pStyle w:val="TableText"/>
            </w:pPr>
            <w:r w:rsidRPr="009E06AA">
              <w:rPr>
                <w:color w:val="000000"/>
              </w:rPr>
              <w:t>Table 6.11, section 6.3.3, IPCC, 2006d</w:t>
            </w:r>
          </w:p>
        </w:tc>
      </w:tr>
      <w:tr w:rsidR="00AD187C" w:rsidRPr="009E06AA" w14:paraId="788601D8" w14:textId="77777777" w:rsidTr="00B55F24">
        <w:tc>
          <w:tcPr>
            <w:tcW w:w="3119" w:type="dxa"/>
            <w:shd w:val="clear" w:color="auto" w:fill="FFFFFF"/>
            <w:tcMar>
              <w:top w:w="0" w:type="dxa"/>
              <w:left w:w="85" w:type="dxa"/>
              <w:bottom w:w="0" w:type="dxa"/>
              <w:right w:w="85" w:type="dxa"/>
            </w:tcMar>
          </w:tcPr>
          <w:p w14:paraId="6F7244CD" w14:textId="77777777" w:rsidR="00AD187C" w:rsidRPr="009E06AA" w:rsidRDefault="00AD187C" w:rsidP="00B55F24">
            <w:pPr>
              <w:pStyle w:val="TableText"/>
            </w:pPr>
            <w:r w:rsidRPr="009E06AA">
              <w:rPr>
                <w:color w:val="000000"/>
              </w:rPr>
              <w:t>Emissions from wastewater treatment plants</w:t>
            </w:r>
          </w:p>
        </w:tc>
        <w:tc>
          <w:tcPr>
            <w:tcW w:w="709" w:type="dxa"/>
            <w:shd w:val="clear" w:color="auto" w:fill="FFFFFF"/>
            <w:tcMar>
              <w:top w:w="0" w:type="dxa"/>
              <w:left w:w="85" w:type="dxa"/>
              <w:bottom w:w="0" w:type="dxa"/>
              <w:right w:w="85" w:type="dxa"/>
            </w:tcMar>
          </w:tcPr>
          <w:p w14:paraId="0DC650F4" w14:textId="77777777" w:rsidR="00AD187C" w:rsidRPr="009E06AA" w:rsidRDefault="00AD187C" w:rsidP="009220D7">
            <w:pPr>
              <w:pStyle w:val="TableText"/>
              <w:jc w:val="right"/>
            </w:pPr>
            <w:r w:rsidRPr="009E06AA">
              <w:rPr>
                <w:color w:val="000000"/>
              </w:rPr>
              <w:t>0</w:t>
            </w:r>
          </w:p>
        </w:tc>
        <w:tc>
          <w:tcPr>
            <w:tcW w:w="1559" w:type="dxa"/>
            <w:shd w:val="clear" w:color="auto" w:fill="FFFFFF"/>
            <w:tcMar>
              <w:top w:w="0" w:type="dxa"/>
              <w:left w:w="85" w:type="dxa"/>
              <w:bottom w:w="0" w:type="dxa"/>
              <w:right w:w="85" w:type="dxa"/>
            </w:tcMar>
          </w:tcPr>
          <w:p w14:paraId="0C1C6A73" w14:textId="77777777" w:rsidR="00AD187C" w:rsidRPr="009E06AA" w:rsidRDefault="00AD187C" w:rsidP="00B55F24">
            <w:pPr>
              <w:pStyle w:val="TableText"/>
            </w:pPr>
            <w:r w:rsidRPr="009E06AA">
              <w:rPr>
                <w:color w:val="000000"/>
              </w:rPr>
              <w:t>IPCC default</w:t>
            </w:r>
          </w:p>
        </w:tc>
        <w:tc>
          <w:tcPr>
            <w:tcW w:w="3118" w:type="dxa"/>
            <w:shd w:val="clear" w:color="auto" w:fill="FFFFFF"/>
            <w:tcMar>
              <w:top w:w="0" w:type="dxa"/>
              <w:left w:w="85" w:type="dxa"/>
              <w:bottom w:w="0" w:type="dxa"/>
              <w:right w:w="85" w:type="dxa"/>
            </w:tcMar>
          </w:tcPr>
          <w:p w14:paraId="392C6E08" w14:textId="77777777" w:rsidR="00AD187C" w:rsidRPr="009E06AA" w:rsidRDefault="00AD187C" w:rsidP="00B55F24">
            <w:pPr>
              <w:pStyle w:val="TableText"/>
            </w:pPr>
            <w:r w:rsidRPr="009E06AA">
              <w:rPr>
                <w:color w:val="000000"/>
              </w:rPr>
              <w:t>IPCC (2006d)</w:t>
            </w:r>
          </w:p>
        </w:tc>
      </w:tr>
    </w:tbl>
    <w:p w14:paraId="4801AC9C" w14:textId="77777777" w:rsidR="00AD187C" w:rsidRPr="009E06AA" w:rsidRDefault="00AD187C" w:rsidP="00A5418A">
      <w:pPr>
        <w:pStyle w:val="Heading3"/>
        <w:tabs>
          <w:tab w:val="clear" w:pos="851"/>
          <w:tab w:val="left" w:pos="964"/>
        </w:tabs>
        <w:spacing w:before="480"/>
      </w:pPr>
      <w:bookmarkStart w:id="3593" w:name="_Toc160205256"/>
      <w:bookmarkStart w:id="3594" w:name="_Toc160441841"/>
      <w:bookmarkStart w:id="3595" w:name="Xc2f7f4cc24afb7fd9ee18ea5af74de07072b33f"/>
      <w:bookmarkEnd w:id="3575"/>
      <w:bookmarkEnd w:id="3584"/>
      <w:r w:rsidRPr="009E06AA">
        <w:t>8.15.3</w:t>
      </w:r>
      <w:r w:rsidRPr="009E06AA">
        <w:tab/>
        <w:t>Uncertainty assessment and time-series consistency</w:t>
      </w:r>
      <w:bookmarkEnd w:id="3593"/>
      <w:bookmarkEnd w:id="3594"/>
    </w:p>
    <w:p w14:paraId="0347C14E" w14:textId="77777777" w:rsidR="00AD187C" w:rsidRPr="009E06AA" w:rsidRDefault="00AD187C" w:rsidP="00AD187C">
      <w:pPr>
        <w:pStyle w:val="BodyText"/>
      </w:pPr>
      <w:r w:rsidRPr="009E06AA">
        <w:t xml:space="preserve">The same uncertainty data for </w:t>
      </w:r>
      <w:r w:rsidRPr="009E06AA">
        <w:rPr>
          <w:i/>
        </w:rPr>
        <w:t>Domestic wastewater</w:t>
      </w:r>
      <w:r w:rsidRPr="009E06AA">
        <w:t xml:space="preserve"> were used for Tokelau and New Zealand (see table 7.5.16, chapter 7; for methodological notes, refer to uncertainties in emissions from </w:t>
      </w:r>
      <w:r w:rsidRPr="009E06AA">
        <w:rPr>
          <w:i/>
        </w:rPr>
        <w:t>Domestic wastewater</w:t>
      </w:r>
      <w:r w:rsidRPr="009E06AA">
        <w:t xml:space="preserve"> in section 7.5.3, chapter 7). Table 8.15.3 shows uncertainties for activity data and emission factors used by Tokelau for </w:t>
      </w:r>
      <w:r w:rsidRPr="009E06AA">
        <w:rPr>
          <w:i/>
        </w:rPr>
        <w:t>Domestic wastewater</w:t>
      </w:r>
      <w:r w:rsidRPr="009E06AA">
        <w:t>.</w:t>
      </w:r>
    </w:p>
    <w:p w14:paraId="72CF7EA3" w14:textId="77777777" w:rsidR="00AD187C" w:rsidRPr="009E06AA" w:rsidRDefault="00AD187C" w:rsidP="00AD187C">
      <w:pPr>
        <w:pStyle w:val="Table"/>
      </w:pPr>
      <w:bookmarkStart w:id="3596" w:name="_Toc5269608"/>
      <w:bookmarkStart w:id="3597" w:name="_Toc36224689"/>
      <w:bookmarkStart w:id="3598" w:name="_Toc68786575"/>
      <w:bookmarkStart w:id="3599" w:name="_Toc130211281"/>
      <w:bookmarkStart w:id="3600" w:name="_Toc131591482"/>
      <w:bookmarkStart w:id="3601" w:name="_Toc160205518"/>
      <w:bookmarkStart w:id="3602" w:name="_Toc160441637"/>
      <w:bookmarkStart w:id="3603" w:name="_Toc164153973"/>
      <w:r w:rsidRPr="009E06AA">
        <w:t xml:space="preserve">Table 8.15.3 </w:t>
      </w:r>
      <w:r w:rsidRPr="009E06AA">
        <w:tab/>
        <w:t xml:space="preserve">Uncertainty in emissions from </w:t>
      </w:r>
      <w:r w:rsidRPr="009E06AA">
        <w:rPr>
          <w:i/>
          <w:iCs/>
        </w:rPr>
        <w:t>Domestic wastewater</w:t>
      </w:r>
      <w:bookmarkEnd w:id="3596"/>
      <w:bookmarkEnd w:id="3597"/>
      <w:bookmarkEnd w:id="3598"/>
      <w:bookmarkEnd w:id="3599"/>
      <w:bookmarkEnd w:id="3600"/>
      <w:bookmarkEnd w:id="3601"/>
      <w:bookmarkEnd w:id="3602"/>
      <w:bookmarkEnd w:id="3603"/>
    </w:p>
    <w:tbl>
      <w:tblPr>
        <w:tblW w:w="8505" w:type="dxa"/>
        <w:tblBorders>
          <w:top w:val="single" w:sz="4" w:space="0" w:color="1B556B" w:themeColor="text2"/>
          <w:bottom w:val="single" w:sz="4" w:space="0" w:color="1B556B" w:themeColor="text2"/>
          <w:insideH w:val="single" w:sz="4" w:space="0" w:color="1B556B" w:themeColor="text2"/>
        </w:tblBorders>
        <w:tblLook w:val="0420" w:firstRow="1" w:lastRow="0" w:firstColumn="0" w:lastColumn="0" w:noHBand="0" w:noVBand="1"/>
      </w:tblPr>
      <w:tblGrid>
        <w:gridCol w:w="3241"/>
        <w:gridCol w:w="2486"/>
        <w:gridCol w:w="2778"/>
      </w:tblGrid>
      <w:tr w:rsidR="00AD187C" w:rsidRPr="009E06AA" w14:paraId="58C8BF3E" w14:textId="77777777" w:rsidTr="00B55F24">
        <w:trPr>
          <w:tblHeader/>
        </w:trPr>
        <w:tc>
          <w:tcPr>
            <w:tcW w:w="0" w:type="auto"/>
            <w:shd w:val="clear" w:color="auto" w:fill="1B556B"/>
            <w:tcMar>
              <w:top w:w="0" w:type="dxa"/>
              <w:left w:w="85" w:type="dxa"/>
              <w:bottom w:w="0" w:type="dxa"/>
              <w:right w:w="85" w:type="dxa"/>
            </w:tcMar>
          </w:tcPr>
          <w:p w14:paraId="1D3A20FD" w14:textId="77777777" w:rsidR="00AD187C" w:rsidRPr="009E06AA" w:rsidRDefault="00AD187C" w:rsidP="00B55F24">
            <w:pPr>
              <w:pStyle w:val="TableTextBold"/>
              <w:rPr>
                <w:noProof w:val="0"/>
                <w:color w:val="FFFFFF" w:themeColor="background1"/>
              </w:rPr>
            </w:pPr>
            <w:r w:rsidRPr="009E06AA">
              <w:rPr>
                <w:noProof w:val="0"/>
                <w:color w:val="FFFFFF" w:themeColor="background1"/>
              </w:rPr>
              <w:t>Emissions category</w:t>
            </w:r>
          </w:p>
        </w:tc>
        <w:tc>
          <w:tcPr>
            <w:tcW w:w="0" w:type="auto"/>
            <w:shd w:val="clear" w:color="auto" w:fill="1B556B"/>
            <w:tcMar>
              <w:top w:w="0" w:type="dxa"/>
              <w:left w:w="85" w:type="dxa"/>
              <w:bottom w:w="0" w:type="dxa"/>
              <w:right w:w="85" w:type="dxa"/>
            </w:tcMar>
          </w:tcPr>
          <w:p w14:paraId="5A10585C" w14:textId="77777777" w:rsidR="00AD187C" w:rsidRPr="009E06AA" w:rsidRDefault="00AD187C" w:rsidP="009220D7">
            <w:pPr>
              <w:pStyle w:val="TableTextBold"/>
              <w:jc w:val="right"/>
              <w:rPr>
                <w:noProof w:val="0"/>
                <w:color w:val="FFFFFF" w:themeColor="background1"/>
              </w:rPr>
            </w:pPr>
            <w:r w:rsidRPr="009E06AA">
              <w:rPr>
                <w:noProof w:val="0"/>
                <w:color w:val="FFFFFF" w:themeColor="background1"/>
              </w:rPr>
              <w:t>Uncertainty in activity data (%)</w:t>
            </w:r>
          </w:p>
        </w:tc>
        <w:tc>
          <w:tcPr>
            <w:tcW w:w="0" w:type="auto"/>
            <w:shd w:val="clear" w:color="auto" w:fill="1B556B"/>
            <w:tcMar>
              <w:top w:w="0" w:type="dxa"/>
              <w:left w:w="85" w:type="dxa"/>
              <w:bottom w:w="0" w:type="dxa"/>
              <w:right w:w="85" w:type="dxa"/>
            </w:tcMar>
          </w:tcPr>
          <w:p w14:paraId="401AA214" w14:textId="77777777" w:rsidR="00AD187C" w:rsidRPr="009E06AA" w:rsidRDefault="00AD187C" w:rsidP="009220D7">
            <w:pPr>
              <w:pStyle w:val="TableTextBold"/>
              <w:jc w:val="right"/>
              <w:rPr>
                <w:noProof w:val="0"/>
                <w:color w:val="FFFFFF" w:themeColor="background1"/>
              </w:rPr>
            </w:pPr>
            <w:r w:rsidRPr="009E06AA">
              <w:rPr>
                <w:noProof w:val="0"/>
                <w:color w:val="FFFFFF" w:themeColor="background1"/>
              </w:rPr>
              <w:t>Uncertainty in emission factors (%)</w:t>
            </w:r>
          </w:p>
        </w:tc>
      </w:tr>
      <w:tr w:rsidR="00AD187C" w:rsidRPr="009E06AA" w14:paraId="06E6AE86" w14:textId="77777777" w:rsidTr="00B55F24">
        <w:tc>
          <w:tcPr>
            <w:tcW w:w="0" w:type="auto"/>
            <w:shd w:val="clear" w:color="auto" w:fill="FFFFFF"/>
            <w:tcMar>
              <w:top w:w="0" w:type="dxa"/>
              <w:left w:w="85" w:type="dxa"/>
              <w:bottom w:w="0" w:type="dxa"/>
              <w:right w:w="85" w:type="dxa"/>
            </w:tcMar>
          </w:tcPr>
          <w:p w14:paraId="285D8F88" w14:textId="77777777" w:rsidR="00AD187C" w:rsidRPr="009E06AA" w:rsidRDefault="00AD187C" w:rsidP="00B55F24">
            <w:pPr>
              <w:pStyle w:val="TableText"/>
            </w:pPr>
            <w:r w:rsidRPr="009E06AA">
              <w:rPr>
                <w:color w:val="000000"/>
              </w:rPr>
              <w:t>Domestic and industrial wastewater (CH</w:t>
            </w:r>
            <w:r w:rsidRPr="009E06AA">
              <w:rPr>
                <w:color w:val="000000"/>
                <w:vertAlign w:val="subscript"/>
              </w:rPr>
              <w:t>4</w:t>
            </w:r>
            <w:r w:rsidRPr="009E06AA">
              <w:rPr>
                <w:color w:val="000000"/>
              </w:rPr>
              <w:t>)</w:t>
            </w:r>
          </w:p>
        </w:tc>
        <w:tc>
          <w:tcPr>
            <w:tcW w:w="0" w:type="auto"/>
            <w:shd w:val="clear" w:color="auto" w:fill="FFFFFF"/>
            <w:tcMar>
              <w:top w:w="0" w:type="dxa"/>
              <w:left w:w="85" w:type="dxa"/>
              <w:bottom w:w="0" w:type="dxa"/>
              <w:right w:w="85" w:type="dxa"/>
            </w:tcMar>
          </w:tcPr>
          <w:p w14:paraId="28581E5D" w14:textId="77777777" w:rsidR="00AD187C" w:rsidRPr="009E06AA" w:rsidRDefault="00AD187C" w:rsidP="009220D7">
            <w:pPr>
              <w:pStyle w:val="TableText"/>
              <w:jc w:val="right"/>
            </w:pPr>
            <w:r w:rsidRPr="009E06AA">
              <w:rPr>
                <w:color w:val="000000"/>
              </w:rPr>
              <w:t>±10</w:t>
            </w:r>
          </w:p>
        </w:tc>
        <w:tc>
          <w:tcPr>
            <w:tcW w:w="0" w:type="auto"/>
            <w:shd w:val="clear" w:color="auto" w:fill="FFFFFF"/>
            <w:tcMar>
              <w:top w:w="0" w:type="dxa"/>
              <w:left w:w="85" w:type="dxa"/>
              <w:bottom w:w="0" w:type="dxa"/>
              <w:right w:w="85" w:type="dxa"/>
            </w:tcMar>
          </w:tcPr>
          <w:p w14:paraId="579193F9" w14:textId="77777777" w:rsidR="00AD187C" w:rsidRPr="009E06AA" w:rsidRDefault="00AD187C" w:rsidP="009220D7">
            <w:pPr>
              <w:pStyle w:val="TableText"/>
              <w:jc w:val="right"/>
            </w:pPr>
            <w:r w:rsidRPr="009E06AA">
              <w:rPr>
                <w:color w:val="000000"/>
              </w:rPr>
              <w:t>±40</w:t>
            </w:r>
          </w:p>
        </w:tc>
      </w:tr>
      <w:tr w:rsidR="00AD187C" w:rsidRPr="009E06AA" w14:paraId="0F8E9BA8" w14:textId="77777777" w:rsidTr="00B55F24">
        <w:tc>
          <w:tcPr>
            <w:tcW w:w="0" w:type="auto"/>
            <w:shd w:val="clear" w:color="auto" w:fill="FFFFFF"/>
            <w:tcMar>
              <w:top w:w="0" w:type="dxa"/>
              <w:left w:w="85" w:type="dxa"/>
              <w:bottom w:w="0" w:type="dxa"/>
              <w:right w:w="85" w:type="dxa"/>
            </w:tcMar>
          </w:tcPr>
          <w:p w14:paraId="5AC1EFD8" w14:textId="77777777" w:rsidR="00AD187C" w:rsidRPr="009E06AA" w:rsidRDefault="00AD187C" w:rsidP="00B55F24">
            <w:pPr>
              <w:pStyle w:val="TableText"/>
            </w:pPr>
            <w:r w:rsidRPr="009E06AA">
              <w:rPr>
                <w:color w:val="000000"/>
              </w:rPr>
              <w:t>Domestic and industrial wastewater (N</w:t>
            </w:r>
            <w:r w:rsidRPr="009E06AA">
              <w:rPr>
                <w:color w:val="000000"/>
                <w:vertAlign w:val="subscript"/>
              </w:rPr>
              <w:t>2</w:t>
            </w:r>
            <w:r w:rsidRPr="009E06AA">
              <w:rPr>
                <w:color w:val="000000"/>
              </w:rPr>
              <w:t>O)</w:t>
            </w:r>
          </w:p>
        </w:tc>
        <w:tc>
          <w:tcPr>
            <w:tcW w:w="0" w:type="auto"/>
            <w:shd w:val="clear" w:color="auto" w:fill="FFFFFF"/>
            <w:tcMar>
              <w:top w:w="0" w:type="dxa"/>
              <w:left w:w="85" w:type="dxa"/>
              <w:bottom w:w="0" w:type="dxa"/>
              <w:right w:w="85" w:type="dxa"/>
            </w:tcMar>
          </w:tcPr>
          <w:p w14:paraId="5D1B0EE7" w14:textId="77777777" w:rsidR="00AD187C" w:rsidRPr="009E06AA" w:rsidRDefault="00AD187C" w:rsidP="009220D7">
            <w:pPr>
              <w:pStyle w:val="TableText"/>
              <w:jc w:val="right"/>
            </w:pPr>
            <w:r w:rsidRPr="009E06AA">
              <w:rPr>
                <w:color w:val="000000"/>
              </w:rPr>
              <w:t>±10</w:t>
            </w:r>
          </w:p>
        </w:tc>
        <w:tc>
          <w:tcPr>
            <w:tcW w:w="0" w:type="auto"/>
            <w:shd w:val="clear" w:color="auto" w:fill="FFFFFF"/>
            <w:tcMar>
              <w:top w:w="0" w:type="dxa"/>
              <w:left w:w="85" w:type="dxa"/>
              <w:bottom w:w="0" w:type="dxa"/>
              <w:right w:w="85" w:type="dxa"/>
            </w:tcMar>
          </w:tcPr>
          <w:p w14:paraId="7217A129" w14:textId="77777777" w:rsidR="00AD187C" w:rsidRPr="009E06AA" w:rsidRDefault="00AD187C" w:rsidP="009220D7">
            <w:pPr>
              <w:pStyle w:val="TableText"/>
              <w:jc w:val="right"/>
            </w:pPr>
            <w:r w:rsidRPr="009E06AA">
              <w:rPr>
                <w:color w:val="000000"/>
              </w:rPr>
              <w:t>±90</w:t>
            </w:r>
          </w:p>
        </w:tc>
      </w:tr>
    </w:tbl>
    <w:p w14:paraId="6CF635F3" w14:textId="77777777" w:rsidR="00AD187C" w:rsidRPr="009E06AA" w:rsidRDefault="00AD187C" w:rsidP="00A5418A">
      <w:pPr>
        <w:pStyle w:val="BodyText"/>
        <w:spacing w:before="240"/>
      </w:pPr>
      <w:r w:rsidRPr="009E06AA">
        <w:t>Time-series consistency is maintained by interpolating the population data and the use of open water toilets in between census years, which are generally five years apart.</w:t>
      </w:r>
    </w:p>
    <w:p w14:paraId="3C8094C7" w14:textId="77777777" w:rsidR="00AD187C" w:rsidRPr="009E06AA" w:rsidRDefault="00AD187C" w:rsidP="00AD187C">
      <w:pPr>
        <w:pStyle w:val="Heading3"/>
        <w:tabs>
          <w:tab w:val="clear" w:pos="851"/>
          <w:tab w:val="left" w:pos="964"/>
        </w:tabs>
      </w:pPr>
      <w:bookmarkStart w:id="3604" w:name="_Toc160205257"/>
      <w:bookmarkStart w:id="3605" w:name="_Toc160441842"/>
      <w:bookmarkStart w:id="3606" w:name="Xfde77fe021db7c2b1b1e9d23147a0038844b916"/>
      <w:bookmarkEnd w:id="3595"/>
      <w:r w:rsidRPr="009E06AA">
        <w:t>8.15.4</w:t>
      </w:r>
      <w:r w:rsidRPr="009E06AA">
        <w:tab/>
        <w:t>Category-specific QA/QC and verification</w:t>
      </w:r>
      <w:bookmarkEnd w:id="3604"/>
      <w:bookmarkEnd w:id="3605"/>
    </w:p>
    <w:p w14:paraId="2BD8668B" w14:textId="77777777" w:rsidR="00AD187C" w:rsidRPr="009E06AA" w:rsidRDefault="00AD187C" w:rsidP="00AD187C">
      <w:pPr>
        <w:pStyle w:val="BodyText"/>
      </w:pPr>
      <w:r w:rsidRPr="009E06AA">
        <w:t>Quality control of the activity data and calculations was applied to each category for Tokelau. No verification was possible because no alternative data were available.</w:t>
      </w:r>
    </w:p>
    <w:p w14:paraId="27E2AA94" w14:textId="77777777" w:rsidR="00AD187C" w:rsidRPr="009E06AA" w:rsidRDefault="00AD187C" w:rsidP="00AD187C">
      <w:pPr>
        <w:pStyle w:val="Heading3"/>
        <w:tabs>
          <w:tab w:val="clear" w:pos="851"/>
          <w:tab w:val="left" w:pos="964"/>
        </w:tabs>
      </w:pPr>
      <w:bookmarkStart w:id="3607" w:name="_Toc160205258"/>
      <w:bookmarkStart w:id="3608" w:name="_Toc160441843"/>
      <w:bookmarkStart w:id="3609" w:name="category-specific-recalculations-9"/>
      <w:bookmarkEnd w:id="3606"/>
      <w:r w:rsidRPr="009E06AA">
        <w:t>8.15.5</w:t>
      </w:r>
      <w:r w:rsidRPr="009E06AA">
        <w:tab/>
        <w:t>Category-specific recalculations</w:t>
      </w:r>
      <w:bookmarkEnd w:id="3607"/>
      <w:bookmarkEnd w:id="3608"/>
    </w:p>
    <w:p w14:paraId="3DB6BF91" w14:textId="77777777" w:rsidR="00AD187C" w:rsidRPr="009E06AA" w:rsidRDefault="00AD187C" w:rsidP="00AD187C">
      <w:pPr>
        <w:pStyle w:val="BodyText"/>
      </w:pPr>
      <w:r w:rsidRPr="009E06AA">
        <w:t xml:space="preserve">There were no changes to estimates for the </w:t>
      </w:r>
      <w:r w:rsidRPr="009E06AA">
        <w:rPr>
          <w:i/>
          <w:iCs/>
        </w:rPr>
        <w:t>Domestic wastewater</w:t>
      </w:r>
      <w:r w:rsidRPr="009E06AA">
        <w:t xml:space="preserve"> category.</w:t>
      </w:r>
    </w:p>
    <w:p w14:paraId="26DFE250" w14:textId="77777777" w:rsidR="00AD187C" w:rsidRPr="009E06AA" w:rsidRDefault="00AD187C" w:rsidP="00AD187C">
      <w:pPr>
        <w:pStyle w:val="Heading3"/>
        <w:tabs>
          <w:tab w:val="clear" w:pos="851"/>
          <w:tab w:val="left" w:pos="964"/>
        </w:tabs>
      </w:pPr>
      <w:bookmarkStart w:id="3610" w:name="_Toc160205259"/>
      <w:bookmarkStart w:id="3611" w:name="_Toc160441844"/>
      <w:bookmarkStart w:id="3612" w:name="source-specific-planned-improvements-9"/>
      <w:bookmarkEnd w:id="3609"/>
      <w:r w:rsidRPr="009E06AA">
        <w:t>8.15.6</w:t>
      </w:r>
      <w:r w:rsidRPr="009E06AA">
        <w:tab/>
        <w:t>Category-specific planned improvements</w:t>
      </w:r>
      <w:bookmarkEnd w:id="3610"/>
      <w:bookmarkEnd w:id="3611"/>
    </w:p>
    <w:p w14:paraId="75F9D939" w14:textId="77777777" w:rsidR="00AD187C" w:rsidRPr="009E06AA" w:rsidRDefault="00AD187C" w:rsidP="00AD187C">
      <w:pPr>
        <w:pStyle w:val="BodyText"/>
      </w:pPr>
      <w:r w:rsidRPr="009E06AA">
        <w:t>No improvements are planned for the next inventory submission.</w:t>
      </w:r>
    </w:p>
    <w:p w14:paraId="0D0F4876" w14:textId="77777777" w:rsidR="00AD187C" w:rsidRPr="009E06AA" w:rsidRDefault="00AD187C" w:rsidP="00AD187C">
      <w:pPr>
        <w:rPr>
          <w:rFonts w:ascii="Georgia" w:hAnsi="Georgia"/>
          <w:b/>
          <w:color w:val="1B556B"/>
          <w:sz w:val="32"/>
        </w:rPr>
      </w:pPr>
      <w:bookmarkStart w:id="3613" w:name="chapter-8-references"/>
      <w:bookmarkEnd w:id="3569"/>
      <w:bookmarkEnd w:id="3612"/>
      <w:r w:rsidRPr="009E06AA">
        <w:br w:type="page"/>
      </w:r>
    </w:p>
    <w:p w14:paraId="1E5B87F3" w14:textId="77777777" w:rsidR="00AD187C" w:rsidRPr="009E06AA" w:rsidRDefault="00AD187C" w:rsidP="00AD187C">
      <w:pPr>
        <w:pStyle w:val="Heading2"/>
      </w:pPr>
      <w:bookmarkStart w:id="3614" w:name="_Toc5269398"/>
      <w:bookmarkStart w:id="3615" w:name="_Toc36224438"/>
      <w:bookmarkStart w:id="3616" w:name="_Toc68786358"/>
      <w:bookmarkStart w:id="3617" w:name="_Toc131591272"/>
      <w:bookmarkStart w:id="3618" w:name="_Toc160205260"/>
      <w:bookmarkStart w:id="3619" w:name="_Toc160441845"/>
      <w:bookmarkStart w:id="3620" w:name="_Toc164154237"/>
      <w:r w:rsidRPr="009E06AA">
        <w:t>Chapter 8: References</w:t>
      </w:r>
      <w:bookmarkEnd w:id="3614"/>
      <w:bookmarkEnd w:id="3615"/>
      <w:bookmarkEnd w:id="3616"/>
      <w:bookmarkEnd w:id="3617"/>
      <w:bookmarkEnd w:id="3618"/>
      <w:bookmarkEnd w:id="3619"/>
      <w:bookmarkEnd w:id="3620"/>
    </w:p>
    <w:p w14:paraId="387B27C8" w14:textId="77777777" w:rsidR="00AD187C" w:rsidRPr="009E06AA" w:rsidRDefault="00AD187C" w:rsidP="00AD187C">
      <w:pPr>
        <w:pStyle w:val="BodyText"/>
      </w:pPr>
    </w:p>
    <w:p w14:paraId="67B1E777" w14:textId="77777777" w:rsidR="00AD187C" w:rsidRPr="009E06AA" w:rsidRDefault="00AD187C" w:rsidP="00AD187C">
      <w:pPr>
        <w:pStyle w:val="References"/>
      </w:pPr>
      <w:r w:rsidRPr="009E06AA">
        <w:t xml:space="preserve">Government of Tokelau. 2017. </w:t>
      </w:r>
      <w:hyperlink r:id="rId186" w:history="1">
        <w:r w:rsidRPr="009E06AA">
          <w:rPr>
            <w:rStyle w:val="Hyperlink"/>
            <w:i/>
            <w:iCs/>
          </w:rPr>
          <w:t>Solid Waste Management: MOU Signed between Tokelau EDNRE and Pacific Recycle Co. Ltd</w:t>
        </w:r>
      </w:hyperlink>
      <w:r w:rsidRPr="009E06AA">
        <w:t>. Retrieved 9 March 2018.</w:t>
      </w:r>
    </w:p>
    <w:p w14:paraId="2F09A8D5" w14:textId="77777777" w:rsidR="00AD187C" w:rsidRPr="009E06AA" w:rsidRDefault="00AD187C" w:rsidP="00AD187C">
      <w:pPr>
        <w:pStyle w:val="References"/>
      </w:pPr>
      <w:r w:rsidRPr="009E06AA">
        <w:t xml:space="preserve">IPCC. 2006a. Eggleston HS, Buendia L, Miwa K, Ngara T, Tanabe K (eds). </w:t>
      </w:r>
      <w:r w:rsidRPr="009E06AA">
        <w:rPr>
          <w:i/>
          <w:iCs/>
        </w:rPr>
        <w:t>2006 IPCC Guidelines for National Greenhouse Gas Inventories</w:t>
      </w:r>
      <w:r w:rsidRPr="009E06AA">
        <w:t xml:space="preserve">. </w:t>
      </w:r>
      <w:r w:rsidRPr="009E06AA">
        <w:rPr>
          <w:i/>
          <w:iCs/>
        </w:rPr>
        <w:t>Volume 2. Energy</w:t>
      </w:r>
      <w:r w:rsidRPr="009E06AA">
        <w:t>. IPCC National Greenhouse Gas Inventories Programme. Japan: Institute for Global Environmental Strategies for IPCC.</w:t>
      </w:r>
    </w:p>
    <w:p w14:paraId="209EBCBC" w14:textId="77777777" w:rsidR="00AD187C" w:rsidRPr="009E06AA" w:rsidRDefault="00AD187C" w:rsidP="00AD187C">
      <w:pPr>
        <w:pStyle w:val="References"/>
      </w:pPr>
      <w:r w:rsidRPr="009E06AA">
        <w:t xml:space="preserve">IPCC. 2006b. Eggleston HS, Buendia L, Miwa K, Ngara T, Tanabe K (eds). </w:t>
      </w:r>
      <w:r w:rsidRPr="009E06AA">
        <w:rPr>
          <w:i/>
          <w:iCs/>
        </w:rPr>
        <w:t>2006 IPCC</w:t>
      </w:r>
      <w:r w:rsidRPr="009E06AA">
        <w:rPr>
          <w:i/>
        </w:rPr>
        <w:t xml:space="preserve"> </w:t>
      </w:r>
      <w:r w:rsidRPr="009E06AA">
        <w:rPr>
          <w:i/>
          <w:iCs/>
        </w:rPr>
        <w:t>Guidelines for National Greenhouse Gas Inventories</w:t>
      </w:r>
      <w:r w:rsidRPr="009E06AA">
        <w:t xml:space="preserve">. </w:t>
      </w:r>
      <w:r w:rsidRPr="009E06AA">
        <w:rPr>
          <w:i/>
          <w:iCs/>
        </w:rPr>
        <w:t>Volume 3. Industrial Processes and Product Use</w:t>
      </w:r>
      <w:r w:rsidRPr="009E06AA">
        <w:t>. IPCC National Greenhouse Gas Inventories Programme. Japan: Published for the IPCC by the Institute for Global Environmental Strategies.</w:t>
      </w:r>
    </w:p>
    <w:p w14:paraId="04BB4B79" w14:textId="3AF74218" w:rsidR="00AD187C" w:rsidRPr="009E06AA" w:rsidRDefault="00AD187C" w:rsidP="00AD187C">
      <w:pPr>
        <w:pStyle w:val="References"/>
      </w:pPr>
      <w:r w:rsidRPr="009E06AA">
        <w:t xml:space="preserve">IPCC. 2006c. Eggleston HS, Buendia L, Miwa K, Ngara T, Tanabe K (eds). </w:t>
      </w:r>
      <w:r w:rsidRPr="009E06AA">
        <w:rPr>
          <w:i/>
          <w:iCs/>
        </w:rPr>
        <w:t>2006 IPCC Guidelines for National Greenhouse Gas Inventories</w:t>
      </w:r>
      <w:r w:rsidRPr="009E06AA">
        <w:t xml:space="preserve">. </w:t>
      </w:r>
      <w:r w:rsidRPr="009E06AA">
        <w:rPr>
          <w:i/>
          <w:iCs/>
        </w:rPr>
        <w:t>Volume 4. Agriculture, Forestry and Other Land Use</w:t>
      </w:r>
      <w:r w:rsidRPr="009E06AA">
        <w:t>. IPCC National</w:t>
      </w:r>
      <w:r w:rsidR="00A5418A" w:rsidRPr="009E06AA">
        <w:t> </w:t>
      </w:r>
      <w:r w:rsidRPr="009E06AA">
        <w:t>Greenhouse Gas Inventories Programme. Japan: Published for the IPCC by the Institute for Global Environmental Strategies.</w:t>
      </w:r>
    </w:p>
    <w:p w14:paraId="204B05E6" w14:textId="77777777" w:rsidR="00AD187C" w:rsidRPr="009E06AA" w:rsidRDefault="00AD187C" w:rsidP="00AD187C">
      <w:pPr>
        <w:pStyle w:val="References"/>
      </w:pPr>
      <w:r w:rsidRPr="009E06AA">
        <w:t xml:space="preserve">IPCC. 2006d. Eggleston HS, Buendia L, Miwa K, Ngara T, Tanabe K (eds). </w:t>
      </w:r>
      <w:r w:rsidRPr="009E06AA">
        <w:rPr>
          <w:i/>
        </w:rPr>
        <w:t>2006 IPCC Guidelines for National</w:t>
      </w:r>
      <w:r w:rsidRPr="009E06AA">
        <w:rPr>
          <w:i/>
          <w:iCs/>
        </w:rPr>
        <w:t xml:space="preserve"> </w:t>
      </w:r>
      <w:r w:rsidRPr="009E06AA">
        <w:rPr>
          <w:i/>
        </w:rPr>
        <w:t>Greenhouse Gas Inventories</w:t>
      </w:r>
      <w:r w:rsidRPr="009E06AA">
        <w:t xml:space="preserve">. </w:t>
      </w:r>
      <w:r w:rsidRPr="009E06AA">
        <w:rPr>
          <w:i/>
        </w:rPr>
        <w:t>Volume 5. Waste</w:t>
      </w:r>
      <w:r w:rsidRPr="009E06AA">
        <w:t>. IPCC National Greenhouse Gas Inventories Programme. Japan: Published for the IPCC by the Institute for Global Environmental Strategies.</w:t>
      </w:r>
    </w:p>
    <w:p w14:paraId="792E1115" w14:textId="77777777" w:rsidR="00AD187C" w:rsidRPr="009E06AA" w:rsidRDefault="00AD187C" w:rsidP="00AD187C">
      <w:pPr>
        <w:pStyle w:val="References"/>
      </w:pPr>
      <w:r w:rsidRPr="009E06AA">
        <w:t xml:space="preserve">International Renewable Energy Agency. 2013. </w:t>
      </w:r>
      <w:hyperlink r:id="rId187" w:history="1">
        <w:r w:rsidRPr="009E06AA">
          <w:rPr>
            <w:rStyle w:val="Hyperlink"/>
            <w:i/>
            <w:iCs/>
          </w:rPr>
          <w:t>Renewable energy opportunities and challenges in the Pacific Islands region</w:t>
        </w:r>
      </w:hyperlink>
      <w:r w:rsidRPr="009E06AA">
        <w:t>. Retrieved 31 January 2019.</w:t>
      </w:r>
    </w:p>
    <w:p w14:paraId="77524C3C" w14:textId="77777777" w:rsidR="00AD187C" w:rsidRPr="009E06AA" w:rsidRDefault="00AD187C" w:rsidP="00AD187C">
      <w:pPr>
        <w:pStyle w:val="References"/>
      </w:pPr>
      <w:r w:rsidRPr="009E06AA">
        <w:t xml:space="preserve">Jasperse JA. 2016. </w:t>
      </w:r>
      <w:hyperlink r:id="rId188" w:history="1">
        <w:r w:rsidRPr="009E06AA">
          <w:rPr>
            <w:rStyle w:val="Hyperlink"/>
            <w:i/>
            <w:iCs/>
          </w:rPr>
          <w:t>Analysis of 2014 imports into Tokelau from Samoa, Part 2: Stores’ invoices reconciled with cargo manifests, and quality of life implications</w:t>
        </w:r>
      </w:hyperlink>
      <w:r w:rsidRPr="009E06AA">
        <w:t>. Apia, Samoa: Tokelau National Statistics Office. Retrieved 28 February 2019.</w:t>
      </w:r>
    </w:p>
    <w:p w14:paraId="2B439282" w14:textId="77777777" w:rsidR="00AD187C" w:rsidRPr="009E06AA" w:rsidRDefault="00AD187C" w:rsidP="00AD187C">
      <w:pPr>
        <w:pStyle w:val="References"/>
      </w:pPr>
      <w:r w:rsidRPr="009E06AA">
        <w:t xml:space="preserve">Koroisamanunu I, Papao J, Ketewai M and Sokota A. 2014. </w:t>
      </w:r>
      <w:r w:rsidRPr="009E06AA">
        <w:rPr>
          <w:i/>
          <w:iCs/>
        </w:rPr>
        <w:t>Mission Preliminary Report (Fieldwork undertaken from 8 August – 2 September 2013). SOPAC technical note (PR193), May 2014</w:t>
      </w:r>
      <w:r w:rsidRPr="009E06AA">
        <w:t>. Suva, Fiji: Water and Sanitation Programme and Disaster Reduction Programme. Applied Geoscience and Technology Division (SOPAC).</w:t>
      </w:r>
    </w:p>
    <w:p w14:paraId="5A5850AE" w14:textId="77777777" w:rsidR="00AD187C" w:rsidRPr="009E06AA" w:rsidRDefault="00AD187C" w:rsidP="00AD187C">
      <w:pPr>
        <w:pStyle w:val="References"/>
      </w:pPr>
      <w:r w:rsidRPr="009E06AA">
        <w:t xml:space="preserve">Roorda M, Carpenter D, Laing A, McGillivray M. 2015. </w:t>
      </w:r>
      <w:hyperlink r:id="rId189" w:history="1">
        <w:r w:rsidRPr="009E06AA">
          <w:rPr>
            <w:rStyle w:val="Hyperlink"/>
            <w:i/>
            <w:iCs/>
          </w:rPr>
          <w:t>Evaluation of the Tokelau Country Programme</w:t>
        </w:r>
      </w:hyperlink>
      <w:r w:rsidRPr="009E06AA">
        <w:t>. Prepared for the Ministry of Foreign Affairs and Trade by Adam Smith International. Retrieved 31 January 2019.</w:t>
      </w:r>
    </w:p>
    <w:p w14:paraId="091BF9AF" w14:textId="77777777" w:rsidR="00AD187C" w:rsidRPr="009E06AA" w:rsidRDefault="00AD187C" w:rsidP="00AD187C">
      <w:pPr>
        <w:pStyle w:val="References"/>
      </w:pPr>
      <w:r w:rsidRPr="009E06AA">
        <w:t xml:space="preserve">Stats NZ. 2007. </w:t>
      </w:r>
      <w:hyperlink r:id="rId190" w:history="1">
        <w:r w:rsidRPr="009E06AA">
          <w:rPr>
            <w:rStyle w:val="Hyperlink"/>
            <w:i/>
            <w:iCs/>
          </w:rPr>
          <w:t>Principles and Protocols for Producers of Tier 1 Statistics</w:t>
        </w:r>
        <w:r w:rsidRPr="009E06AA">
          <w:rPr>
            <w:rStyle w:val="Hyperlink"/>
          </w:rPr>
          <w:t xml:space="preserve">. </w:t>
        </w:r>
      </w:hyperlink>
      <w:r w:rsidRPr="009E06AA">
        <w:t>Retrieved 31 January 2019.</w:t>
      </w:r>
    </w:p>
    <w:p w14:paraId="11465338" w14:textId="77777777" w:rsidR="00AD187C" w:rsidRPr="009E06AA" w:rsidRDefault="00AD187C" w:rsidP="00AD187C">
      <w:pPr>
        <w:pStyle w:val="References"/>
      </w:pPr>
      <w:r w:rsidRPr="009E06AA">
        <w:t xml:space="preserve">Tokelau Islands Maps. </w:t>
      </w:r>
      <w:hyperlink r:id="rId191" w:history="1">
        <w:r w:rsidRPr="009E06AA">
          <w:rPr>
            <w:rStyle w:val="Hyperlink"/>
            <w:i/>
            <w:iCs/>
          </w:rPr>
          <w:t>South Pacific Literatures and Cultures</w:t>
        </w:r>
      </w:hyperlink>
      <w:r w:rsidRPr="009E06AA">
        <w:t>. Retrieved 31 January 2019.</w:t>
      </w:r>
    </w:p>
    <w:p w14:paraId="51F33800" w14:textId="77777777" w:rsidR="00AD187C" w:rsidRPr="009E06AA" w:rsidRDefault="00AD187C" w:rsidP="00AD187C">
      <w:pPr>
        <w:pStyle w:val="References"/>
      </w:pPr>
      <w:r w:rsidRPr="009E06AA">
        <w:t xml:space="preserve">Tokelau National Statistics Office. 2020. </w:t>
      </w:r>
      <w:hyperlink r:id="rId192" w:history="1">
        <w:r w:rsidRPr="009E06AA">
          <w:rPr>
            <w:rStyle w:val="Hyperlink"/>
            <w:i/>
            <w:iCs/>
          </w:rPr>
          <w:t>Final count:</w:t>
        </w:r>
        <w:r w:rsidRPr="009E06AA">
          <w:rPr>
            <w:rStyle w:val="Hyperlink"/>
          </w:rPr>
          <w:t xml:space="preserve"> </w:t>
        </w:r>
        <w:r w:rsidRPr="009E06AA">
          <w:rPr>
            <w:rStyle w:val="Hyperlink"/>
            <w:i/>
            <w:iCs/>
          </w:rPr>
          <w:t>2019 Tokelau Population Count</w:t>
        </w:r>
      </w:hyperlink>
      <w:r w:rsidRPr="009E06AA">
        <w:t>. Retrieved 31 January 2022.</w:t>
      </w:r>
    </w:p>
    <w:p w14:paraId="7AB83BBA" w14:textId="77777777" w:rsidR="00AD187C" w:rsidRPr="009E06AA" w:rsidRDefault="00AD187C" w:rsidP="00AD187C">
      <w:pPr>
        <w:pStyle w:val="References"/>
        <w:rPr>
          <w:i/>
          <w:iCs/>
        </w:rPr>
      </w:pPr>
      <w:r w:rsidRPr="009E06AA">
        <w:t xml:space="preserve">UNFCCC. 2018a. FCCC/CP/2018/10/Add.1. </w:t>
      </w:r>
      <w:r w:rsidRPr="009E06AA">
        <w:rPr>
          <w:i/>
        </w:rPr>
        <w:t>Decision 1/CP.24 Preparations for the implementation of the Paris Agreement and the first session of the Conference of the Parties serving as the meeting of the Parties to the Paris Agreement</w:t>
      </w:r>
      <w:r w:rsidRPr="009E06AA">
        <w:rPr>
          <w:i/>
          <w:iCs/>
        </w:rPr>
        <w:t>.</w:t>
      </w:r>
    </w:p>
    <w:p w14:paraId="08D845B6" w14:textId="77777777" w:rsidR="00AD187C" w:rsidRPr="009E06AA" w:rsidRDefault="00AD187C" w:rsidP="00AD187C">
      <w:pPr>
        <w:pStyle w:val="References"/>
      </w:pPr>
      <w:r w:rsidRPr="009E06AA">
        <w:t xml:space="preserve">UNFCCC. 2018b. FCCC/PA/CMA/2018/3/Add.2. </w:t>
      </w:r>
      <w:r w:rsidRPr="009E06AA">
        <w:rPr>
          <w:i/>
        </w:rPr>
        <w:t>Report of the Conference of the Parties serving as the meeting of the Parties to the Paris Agreement on the third part of its first session, held in Katowice from 2 to 15 December 2018. Addendum 2. Part two: Action taken by the Conference of the Parties serving as the meeting of the Parties to the Paris Agreement</w:t>
      </w:r>
      <w:r w:rsidRPr="009E06AA">
        <w:t>.</w:t>
      </w:r>
    </w:p>
    <w:p w14:paraId="6BF70366" w14:textId="77777777" w:rsidR="00AD187C" w:rsidRPr="009E06AA" w:rsidRDefault="00AD187C" w:rsidP="00AD187C">
      <w:pPr>
        <w:pStyle w:val="References"/>
      </w:pPr>
      <w:r w:rsidRPr="009E06AA">
        <w:t xml:space="preserve">UNFCCC. 2021. CCC/PA/CMA/2021/10/Add.2. </w:t>
      </w:r>
      <w:r w:rsidRPr="009E06AA">
        <w:rPr>
          <w:i/>
        </w:rPr>
        <w:t>Report of the Conference of the Parties serving as the meeting of the Parties to the Paris Agreement on its third session, held in Glasgow from 31 October to 13 November 2021. Addendum Part two: Action taken by the Conference of the Parties serving as the meeting of the Parties to the Paris Agreement at its third session</w:t>
      </w:r>
      <w:r w:rsidRPr="009E06AA">
        <w:t>.</w:t>
      </w:r>
    </w:p>
    <w:p w14:paraId="7E4A474D" w14:textId="77777777" w:rsidR="00AD187C" w:rsidRPr="009E06AA" w:rsidRDefault="00AD187C" w:rsidP="00AD187C">
      <w:pPr>
        <w:pStyle w:val="References"/>
      </w:pPr>
      <w:r w:rsidRPr="009E06AA">
        <w:t xml:space="preserve">United Nations. 1945. </w:t>
      </w:r>
      <w:hyperlink r:id="rId193" w:history="1">
        <w:r w:rsidRPr="009E06AA">
          <w:rPr>
            <w:rStyle w:val="Hyperlink"/>
            <w:i/>
            <w:iCs/>
          </w:rPr>
          <w:t>Charter of the United Nations, 1945</w:t>
        </w:r>
      </w:hyperlink>
      <w:r w:rsidRPr="009E06AA">
        <w:t>. Retrieved 31 January 2019.</w:t>
      </w:r>
      <w:bookmarkEnd w:id="3123"/>
      <w:bookmarkEnd w:id="3613"/>
    </w:p>
    <w:p w14:paraId="2CB7C5E8" w14:textId="77777777" w:rsidR="00760CC0" w:rsidRPr="009E06AA" w:rsidRDefault="00760CC0" w:rsidP="00AD187C">
      <w:pPr>
        <w:pStyle w:val="References"/>
      </w:pPr>
    </w:p>
    <w:p w14:paraId="7BF6AD02" w14:textId="77777777" w:rsidR="006A51E8" w:rsidRPr="009E06AA" w:rsidRDefault="006A51E8" w:rsidP="00AD187C">
      <w:pPr>
        <w:pStyle w:val="References"/>
        <w:sectPr w:rsidR="006A51E8" w:rsidRPr="009E06AA" w:rsidSect="00F66BF9">
          <w:footerReference w:type="even" r:id="rId194"/>
          <w:footerReference w:type="default" r:id="rId195"/>
          <w:pgSz w:w="11907" w:h="16840" w:code="9"/>
          <w:pgMar w:top="1418" w:right="1701" w:bottom="1418" w:left="1701" w:header="567" w:footer="567" w:gutter="0"/>
          <w:cols w:space="720"/>
        </w:sectPr>
      </w:pPr>
    </w:p>
    <w:p w14:paraId="3DAF0FA4" w14:textId="353D0769" w:rsidR="009B4CC0" w:rsidRPr="009E06AA" w:rsidRDefault="009B4CC0" w:rsidP="009B4CC0">
      <w:pPr>
        <w:pStyle w:val="Heading1"/>
      </w:pPr>
      <w:bookmarkStart w:id="3621" w:name="_Toc5269399"/>
      <w:bookmarkStart w:id="3622" w:name="_Toc36224439"/>
      <w:bookmarkStart w:id="3623" w:name="_Toc131591273"/>
      <w:bookmarkStart w:id="3624" w:name="_Toc164154238"/>
      <w:r w:rsidRPr="009E06AA">
        <w:t>Chapter 9: Indirect carbon dioxide and nitrous oxide emissions</w:t>
      </w:r>
      <w:bookmarkEnd w:id="3621"/>
      <w:bookmarkEnd w:id="3622"/>
      <w:bookmarkEnd w:id="3623"/>
      <w:bookmarkEnd w:id="3624"/>
    </w:p>
    <w:p w14:paraId="7FF7E7FB" w14:textId="77777777" w:rsidR="009B4CC0" w:rsidRPr="009E06AA" w:rsidRDefault="009B4CC0" w:rsidP="006A51E8">
      <w:pPr>
        <w:pStyle w:val="BodyText"/>
      </w:pPr>
      <w:r w:rsidRPr="009E06AA">
        <w:t>New Zealand elected not to report indirect carbon dioxide emissions in its 2024 inventory submission. Indirect nitrous oxide emissions are reported in the Agriculture sector (chapter 5) and the Land Use, Land-Use Change and Forestry sector (chapter 6).</w:t>
      </w:r>
    </w:p>
    <w:p w14:paraId="4BDD1268" w14:textId="77777777" w:rsidR="006A51E8" w:rsidRPr="009E06AA" w:rsidRDefault="006A51E8" w:rsidP="006A51E8">
      <w:pPr>
        <w:pStyle w:val="BodyText"/>
      </w:pPr>
    </w:p>
    <w:p w14:paraId="01521C44" w14:textId="77777777" w:rsidR="002A12C5" w:rsidRPr="009E06AA" w:rsidRDefault="002A12C5" w:rsidP="006A51E8">
      <w:pPr>
        <w:pStyle w:val="BodyText"/>
        <w:sectPr w:rsidR="002A12C5" w:rsidRPr="009E06AA" w:rsidSect="00F66BF9">
          <w:footerReference w:type="even" r:id="rId196"/>
          <w:pgSz w:w="11907" w:h="16840" w:code="9"/>
          <w:pgMar w:top="1418" w:right="1701" w:bottom="1418" w:left="1701" w:header="567" w:footer="567" w:gutter="0"/>
          <w:cols w:space="720"/>
        </w:sectPr>
      </w:pPr>
    </w:p>
    <w:p w14:paraId="7BE4F6A2" w14:textId="77777777" w:rsidR="005D02EF" w:rsidRPr="009E06AA" w:rsidRDefault="005D02EF" w:rsidP="005D02EF">
      <w:pPr>
        <w:pStyle w:val="Heading1"/>
      </w:pPr>
      <w:bookmarkStart w:id="3625" w:name="_Toc164154239"/>
      <w:bookmarkStart w:id="3626" w:name="X15723e2af0975b848fa432e68188ad746a6b4f3"/>
      <w:r w:rsidRPr="009E06AA">
        <w:t>Chapter 10: Recalculations and improvements</w:t>
      </w:r>
      <w:bookmarkEnd w:id="3625"/>
    </w:p>
    <w:p w14:paraId="19D69A1E" w14:textId="77777777" w:rsidR="005D02EF" w:rsidRPr="009E06AA" w:rsidRDefault="005D02EF" w:rsidP="005D02EF">
      <w:pPr>
        <w:pStyle w:val="BodyText"/>
      </w:pPr>
      <w:r w:rsidRPr="009E06AA">
        <w:t>This chapter summarises the recalculations and improvements made to the inventory following the 2023 submission. Further details on the recalculations and improvements for each sector are provided in chapters 3 to 8.</w:t>
      </w:r>
    </w:p>
    <w:p w14:paraId="58E32EB7" w14:textId="77777777" w:rsidR="005D02EF" w:rsidRPr="009E06AA" w:rsidRDefault="005D02EF" w:rsidP="005D02EF">
      <w:pPr>
        <w:pStyle w:val="BodyText"/>
      </w:pPr>
      <w:r w:rsidRPr="009E06AA">
        <w:t>Recalculations of estimates reported in the previous submission of the inventory are due to improvements in:</w:t>
      </w:r>
    </w:p>
    <w:p w14:paraId="1E83F6B4" w14:textId="77777777" w:rsidR="005D02EF" w:rsidRPr="009E06AA" w:rsidRDefault="005D02EF" w:rsidP="005D02EF">
      <w:pPr>
        <w:pStyle w:val="Bullet"/>
      </w:pPr>
      <w:r w:rsidRPr="009E06AA">
        <w:t>activity data</w:t>
      </w:r>
    </w:p>
    <w:p w14:paraId="479C1129" w14:textId="77777777" w:rsidR="005D02EF" w:rsidRPr="009E06AA" w:rsidRDefault="005D02EF" w:rsidP="005D02EF">
      <w:pPr>
        <w:pStyle w:val="Bullet"/>
      </w:pPr>
      <w:r w:rsidRPr="009E06AA">
        <w:t>parameters for estimating emissions including emission factors</w:t>
      </w:r>
    </w:p>
    <w:p w14:paraId="494B2D75" w14:textId="77777777" w:rsidR="005D02EF" w:rsidRPr="009E06AA" w:rsidRDefault="005D02EF" w:rsidP="005D02EF">
      <w:pPr>
        <w:pStyle w:val="Bullet"/>
      </w:pPr>
      <w:r w:rsidRPr="009E06AA">
        <w:t>methodology, including correcting errors</w:t>
      </w:r>
    </w:p>
    <w:p w14:paraId="641BB9FE" w14:textId="77777777" w:rsidR="005D02EF" w:rsidRPr="009E06AA" w:rsidRDefault="005D02EF" w:rsidP="005D02EF">
      <w:pPr>
        <w:pStyle w:val="Bullet"/>
      </w:pPr>
      <w:r w:rsidRPr="009E06AA">
        <w:t>activity data and emission factors that became available for certain sources that were previously reported as ‘NE’ (not estimated) because of insufficient data.</w:t>
      </w:r>
    </w:p>
    <w:p w14:paraId="16BB32F9" w14:textId="77777777" w:rsidR="005D02EF" w:rsidRPr="009E06AA" w:rsidRDefault="005D02EF" w:rsidP="005D02EF">
      <w:pPr>
        <w:pStyle w:val="BodyText"/>
      </w:pPr>
      <w:r w:rsidRPr="009E06AA">
        <w:t>It is good practice to recalculate the whole time series from 1990 to the latest reporting year, to ensure consistency across the time series. This means some estimates of emissions and/or removals reported in this submission are different from estimates reported in the previous submission. There may be exceptions to recalculating the entire time series and, where this has occurred, explanations are provided.</w:t>
      </w:r>
    </w:p>
    <w:p w14:paraId="269F2AF0" w14:textId="77777777" w:rsidR="005D02EF" w:rsidRPr="009E06AA" w:rsidRDefault="005D02EF" w:rsidP="005D02EF">
      <w:pPr>
        <w:pStyle w:val="BodyText"/>
      </w:pPr>
      <w:r w:rsidRPr="009E06AA">
        <w:t>Throughout this chapter, recalculations are presented by applying 100-year time horizon global warming potential values from the Intergovernmental Panel on Climate Change (IPCC) Fifth Assessment Report (IPCC, 2013) for both the previous and current submission to ensure a like-for-like comparison (IPCC, 2006a). The change from applying the 100-year time horizon global warming potential values from the IPCC’s Fourth Assessment Report (IPCC, 2007) in the previous submission to applying the Fifth Assessment Report values in the current submission has not been considered as a recalculation to the inventory.</w:t>
      </w:r>
    </w:p>
    <w:p w14:paraId="433F00AB" w14:textId="77777777" w:rsidR="005D02EF" w:rsidRPr="009E06AA" w:rsidRDefault="005D02EF" w:rsidP="005D02EF">
      <w:pPr>
        <w:pStyle w:val="Heading2"/>
      </w:pPr>
      <w:bookmarkStart w:id="3627" w:name="_Toc161311133"/>
      <w:bookmarkStart w:id="3628" w:name="_Toc164154240"/>
      <w:bookmarkStart w:id="3629" w:name="implications-and-justifications"/>
      <w:r w:rsidRPr="009E06AA">
        <w:t xml:space="preserve">10.1 </w:t>
      </w:r>
      <w:r w:rsidRPr="009E06AA">
        <w:tab/>
        <w:t>Explanations and justifications for recalculations, including in response to the review process</w:t>
      </w:r>
      <w:bookmarkEnd w:id="3627"/>
      <w:bookmarkEnd w:id="3628"/>
    </w:p>
    <w:p w14:paraId="630984E6" w14:textId="77777777" w:rsidR="005D02EF" w:rsidRPr="009E06AA" w:rsidRDefault="005D02EF" w:rsidP="0074467E">
      <w:pPr>
        <w:pStyle w:val="BodyText"/>
      </w:pPr>
      <w:r w:rsidRPr="009E06AA">
        <w:t>Key reasons for recalculations in this inventory are given in the sectoral chapters and are summarised in table 10.1.1.</w:t>
      </w:r>
    </w:p>
    <w:p w14:paraId="7F3C5127" w14:textId="77777777" w:rsidR="005D02EF" w:rsidRPr="009E06AA" w:rsidRDefault="005D02EF" w:rsidP="005D02EF">
      <w:pPr>
        <w:pStyle w:val="Table"/>
      </w:pPr>
      <w:bookmarkStart w:id="3630" w:name="_Toc161311306"/>
      <w:bookmarkStart w:id="3631" w:name="_Toc164153974"/>
      <w:r w:rsidRPr="009E06AA">
        <w:t xml:space="preserve">Table 10.1.1 </w:t>
      </w:r>
      <w:r w:rsidRPr="009E06AA">
        <w:tab/>
        <w:t>Explanations and justifications for recalculations</w:t>
      </w:r>
      <w:bookmarkEnd w:id="3630"/>
      <w:bookmarkEnd w:id="3631"/>
    </w:p>
    <w:tbl>
      <w:tblPr>
        <w:tblW w:w="8522" w:type="dxa"/>
        <w:tblBorders>
          <w:top w:val="single" w:sz="4" w:space="0" w:color="1B556B"/>
          <w:bottom w:val="single" w:sz="4" w:space="0" w:color="1B556B"/>
          <w:insideH w:val="single" w:sz="4" w:space="0" w:color="1B556B"/>
        </w:tblBorders>
        <w:tblCellMar>
          <w:left w:w="85" w:type="dxa"/>
          <w:right w:w="85" w:type="dxa"/>
        </w:tblCellMar>
        <w:tblLook w:val="0420" w:firstRow="1" w:lastRow="0" w:firstColumn="0" w:lastColumn="0" w:noHBand="0" w:noVBand="1"/>
      </w:tblPr>
      <w:tblGrid>
        <w:gridCol w:w="906"/>
        <w:gridCol w:w="4481"/>
        <w:gridCol w:w="1134"/>
        <w:gridCol w:w="2001"/>
      </w:tblGrid>
      <w:tr w:rsidR="005D02EF" w:rsidRPr="009E06AA" w14:paraId="24C7B806" w14:textId="77777777" w:rsidTr="00B55F24">
        <w:trPr>
          <w:tblHeader/>
        </w:trPr>
        <w:tc>
          <w:tcPr>
            <w:tcW w:w="906" w:type="dxa"/>
            <w:shd w:val="clear" w:color="auto" w:fill="1B556B"/>
            <w:tcMar>
              <w:left w:w="85" w:type="dxa"/>
              <w:right w:w="57" w:type="dxa"/>
            </w:tcMar>
            <w:vAlign w:val="bottom"/>
          </w:tcPr>
          <w:p w14:paraId="4802510F" w14:textId="77777777" w:rsidR="005D02EF" w:rsidRPr="009E06AA" w:rsidRDefault="005D02EF" w:rsidP="00B55F24">
            <w:pPr>
              <w:pStyle w:val="TableTextBold"/>
              <w:spacing w:before="40" w:after="40"/>
              <w:rPr>
                <w:rFonts w:eastAsia="Calibri" w:cs="Calibri"/>
                <w:noProof w:val="0"/>
                <w:color w:val="FFFFFF" w:themeColor="background1"/>
                <w:szCs w:val="16"/>
              </w:rPr>
            </w:pPr>
            <w:r w:rsidRPr="009E06AA">
              <w:rPr>
                <w:rFonts w:eastAsia="Calibri" w:cs="Calibri"/>
                <w:noProof w:val="0"/>
                <w:color w:val="FFFFFF" w:themeColor="background1"/>
                <w:szCs w:val="16"/>
              </w:rPr>
              <w:t>Sector</w:t>
            </w:r>
          </w:p>
        </w:tc>
        <w:tc>
          <w:tcPr>
            <w:tcW w:w="4481" w:type="dxa"/>
            <w:shd w:val="clear" w:color="auto" w:fill="1B556B"/>
            <w:tcMar>
              <w:top w:w="0" w:type="dxa"/>
              <w:left w:w="85" w:type="dxa"/>
              <w:bottom w:w="0" w:type="dxa"/>
              <w:right w:w="57" w:type="dxa"/>
            </w:tcMar>
            <w:vAlign w:val="bottom"/>
          </w:tcPr>
          <w:p w14:paraId="1BEC8B16" w14:textId="77777777" w:rsidR="005D02EF" w:rsidRPr="009E06AA" w:rsidRDefault="005D02EF" w:rsidP="00B55F24">
            <w:pPr>
              <w:pStyle w:val="TableTextBold"/>
              <w:spacing w:before="40" w:after="40"/>
              <w:rPr>
                <w:rFonts w:cs="Calibri"/>
                <w:noProof w:val="0"/>
                <w:color w:val="FFFFFF" w:themeColor="background1"/>
                <w:szCs w:val="16"/>
              </w:rPr>
            </w:pPr>
            <w:r w:rsidRPr="009E06AA">
              <w:rPr>
                <w:rFonts w:eastAsia="Calibri" w:cs="Calibri"/>
                <w:noProof w:val="0"/>
                <w:color w:val="FFFFFF" w:themeColor="background1"/>
                <w:szCs w:val="16"/>
              </w:rPr>
              <w:t>Explanation of recalculation</w:t>
            </w:r>
          </w:p>
        </w:tc>
        <w:tc>
          <w:tcPr>
            <w:tcW w:w="1134" w:type="dxa"/>
            <w:shd w:val="clear" w:color="auto" w:fill="1B556B"/>
            <w:tcMar>
              <w:top w:w="0" w:type="dxa"/>
              <w:left w:w="85" w:type="dxa"/>
              <w:bottom w:w="0" w:type="dxa"/>
              <w:right w:w="57" w:type="dxa"/>
            </w:tcMar>
            <w:vAlign w:val="bottom"/>
          </w:tcPr>
          <w:p w14:paraId="5CA08E47" w14:textId="77777777" w:rsidR="005D02EF" w:rsidRPr="009E06AA" w:rsidRDefault="005D02EF" w:rsidP="00B55F24">
            <w:pPr>
              <w:pStyle w:val="TableTextBold"/>
              <w:spacing w:before="40" w:after="40"/>
              <w:rPr>
                <w:rFonts w:cs="Calibri"/>
                <w:noProof w:val="0"/>
                <w:color w:val="FFFFFF" w:themeColor="background1"/>
                <w:szCs w:val="16"/>
              </w:rPr>
            </w:pPr>
            <w:r w:rsidRPr="009E06AA">
              <w:rPr>
                <w:rFonts w:eastAsia="Calibri" w:cs="Calibri"/>
                <w:noProof w:val="0"/>
                <w:color w:val="FFFFFF" w:themeColor="background1"/>
                <w:szCs w:val="16"/>
              </w:rPr>
              <w:t>Underpinning IPCC principle</w:t>
            </w:r>
          </w:p>
        </w:tc>
        <w:tc>
          <w:tcPr>
            <w:tcW w:w="2001" w:type="dxa"/>
            <w:shd w:val="clear" w:color="auto" w:fill="1B556B"/>
            <w:tcMar>
              <w:top w:w="0" w:type="dxa"/>
              <w:left w:w="85" w:type="dxa"/>
              <w:bottom w:w="0" w:type="dxa"/>
              <w:right w:w="57" w:type="dxa"/>
            </w:tcMar>
            <w:vAlign w:val="bottom"/>
          </w:tcPr>
          <w:p w14:paraId="167F17FB" w14:textId="77777777" w:rsidR="005D02EF" w:rsidRPr="009E06AA" w:rsidRDefault="005D02EF" w:rsidP="00B55F24">
            <w:pPr>
              <w:pStyle w:val="TableTextBold"/>
              <w:spacing w:before="40" w:after="40"/>
              <w:rPr>
                <w:rFonts w:cs="Calibri"/>
                <w:noProof w:val="0"/>
                <w:color w:val="FFFFFF" w:themeColor="background1"/>
                <w:szCs w:val="16"/>
              </w:rPr>
            </w:pPr>
            <w:r w:rsidRPr="009E06AA">
              <w:rPr>
                <w:rFonts w:eastAsia="Calibri" w:cs="Calibri"/>
                <w:noProof w:val="0"/>
                <w:color w:val="FFFFFF" w:themeColor="background1"/>
                <w:szCs w:val="16"/>
              </w:rPr>
              <w:t>Additional justification</w:t>
            </w:r>
          </w:p>
        </w:tc>
      </w:tr>
      <w:tr w:rsidR="005D02EF" w:rsidRPr="009E06AA" w14:paraId="4C0D1C06" w14:textId="77777777" w:rsidTr="00B55F24">
        <w:tc>
          <w:tcPr>
            <w:tcW w:w="906" w:type="dxa"/>
            <w:shd w:val="clear" w:color="auto" w:fill="FFFFFF"/>
            <w:tcMar>
              <w:left w:w="85" w:type="dxa"/>
              <w:right w:w="57" w:type="dxa"/>
            </w:tcMar>
          </w:tcPr>
          <w:p w14:paraId="1CEB8EBB" w14:textId="77777777" w:rsidR="005D02EF" w:rsidRPr="009E06AA" w:rsidRDefault="005D02EF" w:rsidP="00B55F24">
            <w:pPr>
              <w:pStyle w:val="TableText"/>
              <w:spacing w:before="40" w:after="40"/>
              <w:rPr>
                <w:rFonts w:cs="Calibri"/>
                <w:szCs w:val="16"/>
              </w:rPr>
            </w:pPr>
            <w:r w:rsidRPr="009E06AA">
              <w:rPr>
                <w:rFonts w:cs="Calibri"/>
                <w:szCs w:val="16"/>
              </w:rPr>
              <w:t>Energy</w:t>
            </w:r>
          </w:p>
        </w:tc>
        <w:tc>
          <w:tcPr>
            <w:tcW w:w="4481" w:type="dxa"/>
            <w:shd w:val="clear" w:color="auto" w:fill="FFFFFF"/>
            <w:tcMar>
              <w:top w:w="0" w:type="dxa"/>
              <w:left w:w="85" w:type="dxa"/>
              <w:bottom w:w="0" w:type="dxa"/>
              <w:right w:w="57" w:type="dxa"/>
            </w:tcMar>
          </w:tcPr>
          <w:p w14:paraId="13CF5987" w14:textId="77777777" w:rsidR="005D02EF" w:rsidRPr="009E06AA" w:rsidRDefault="005D02EF" w:rsidP="00B55F24">
            <w:pPr>
              <w:pStyle w:val="TableText"/>
              <w:spacing w:before="40" w:after="40"/>
              <w:rPr>
                <w:rFonts w:cs="Calibri"/>
                <w:szCs w:val="16"/>
              </w:rPr>
            </w:pPr>
            <w:r w:rsidRPr="009E06AA">
              <w:rPr>
                <w:rFonts w:cs="Calibri"/>
                <w:szCs w:val="16"/>
              </w:rPr>
              <w:t>Updated data sourced from field operators have been used to improve the accuracy of emissions estimates for geothermal activities.</w:t>
            </w:r>
          </w:p>
        </w:tc>
        <w:tc>
          <w:tcPr>
            <w:tcW w:w="1134" w:type="dxa"/>
            <w:shd w:val="clear" w:color="auto" w:fill="FFFFFF"/>
            <w:tcMar>
              <w:top w:w="0" w:type="dxa"/>
              <w:left w:w="85" w:type="dxa"/>
              <w:bottom w:w="0" w:type="dxa"/>
              <w:right w:w="57" w:type="dxa"/>
            </w:tcMar>
          </w:tcPr>
          <w:p w14:paraId="14AA4F5C" w14:textId="77777777" w:rsidR="005D02EF" w:rsidRPr="009E06AA" w:rsidRDefault="005D02EF" w:rsidP="00B55F24">
            <w:pPr>
              <w:pStyle w:val="TableText"/>
              <w:spacing w:before="40" w:after="40"/>
              <w:rPr>
                <w:rFonts w:cs="Calibri"/>
                <w:szCs w:val="16"/>
              </w:rPr>
            </w:pPr>
            <w:r w:rsidRPr="009E06AA">
              <w:rPr>
                <w:rFonts w:cs="Calibri"/>
                <w:szCs w:val="16"/>
              </w:rPr>
              <w:t>Accuracy</w:t>
            </w:r>
          </w:p>
        </w:tc>
        <w:tc>
          <w:tcPr>
            <w:tcW w:w="2001" w:type="dxa"/>
            <w:shd w:val="clear" w:color="auto" w:fill="FFFFFF"/>
            <w:tcMar>
              <w:top w:w="0" w:type="dxa"/>
              <w:left w:w="85" w:type="dxa"/>
              <w:bottom w:w="0" w:type="dxa"/>
              <w:right w:w="57" w:type="dxa"/>
            </w:tcMar>
          </w:tcPr>
          <w:p w14:paraId="64B3428E" w14:textId="77777777" w:rsidR="005D02EF" w:rsidRPr="009E06AA" w:rsidRDefault="005D02EF" w:rsidP="00B55F24">
            <w:pPr>
              <w:pStyle w:val="TableText"/>
              <w:spacing w:before="40" w:after="40"/>
              <w:rPr>
                <w:rFonts w:cs="Calibri"/>
                <w:szCs w:val="16"/>
              </w:rPr>
            </w:pPr>
          </w:p>
        </w:tc>
      </w:tr>
      <w:tr w:rsidR="005D02EF" w:rsidRPr="009E06AA" w14:paraId="79EA7C2A" w14:textId="77777777" w:rsidTr="00B55F24">
        <w:tc>
          <w:tcPr>
            <w:tcW w:w="906" w:type="dxa"/>
            <w:shd w:val="clear" w:color="auto" w:fill="FFFFFF"/>
            <w:tcMar>
              <w:left w:w="85" w:type="dxa"/>
              <w:right w:w="57" w:type="dxa"/>
            </w:tcMar>
          </w:tcPr>
          <w:p w14:paraId="2DF8F53C" w14:textId="77777777" w:rsidR="005D02EF" w:rsidRPr="009E06AA" w:rsidRDefault="005D02EF" w:rsidP="00B55F24">
            <w:pPr>
              <w:pStyle w:val="TableText"/>
              <w:spacing w:before="40" w:after="40"/>
              <w:rPr>
                <w:rFonts w:cs="Calibri"/>
                <w:szCs w:val="16"/>
              </w:rPr>
            </w:pPr>
            <w:r w:rsidRPr="009E06AA">
              <w:rPr>
                <w:rFonts w:cs="Calibri"/>
                <w:szCs w:val="16"/>
              </w:rPr>
              <w:t>IPPU</w:t>
            </w:r>
          </w:p>
        </w:tc>
        <w:tc>
          <w:tcPr>
            <w:tcW w:w="4481" w:type="dxa"/>
            <w:shd w:val="clear" w:color="auto" w:fill="FFFFFF"/>
            <w:tcMar>
              <w:top w:w="0" w:type="dxa"/>
              <w:left w:w="85" w:type="dxa"/>
              <w:bottom w:w="0" w:type="dxa"/>
              <w:right w:w="57" w:type="dxa"/>
            </w:tcMar>
          </w:tcPr>
          <w:p w14:paraId="42E4DD95" w14:textId="77777777" w:rsidR="005D02EF" w:rsidRPr="009E06AA" w:rsidRDefault="005D02EF" w:rsidP="00B55F24">
            <w:pPr>
              <w:pStyle w:val="TableText"/>
              <w:spacing w:before="40" w:after="40"/>
              <w:rPr>
                <w:rFonts w:cs="Calibri"/>
                <w:szCs w:val="16"/>
              </w:rPr>
            </w:pPr>
            <w:r w:rsidRPr="009E06AA">
              <w:rPr>
                <w:rFonts w:cs="Calibri"/>
                <w:szCs w:val="16"/>
              </w:rPr>
              <w:t>Minor error correction in soda ash, limestone related emissions.</w:t>
            </w:r>
          </w:p>
        </w:tc>
        <w:tc>
          <w:tcPr>
            <w:tcW w:w="1134" w:type="dxa"/>
            <w:shd w:val="clear" w:color="auto" w:fill="FFFFFF"/>
            <w:tcMar>
              <w:top w:w="0" w:type="dxa"/>
              <w:left w:w="85" w:type="dxa"/>
              <w:bottom w:w="0" w:type="dxa"/>
              <w:right w:w="57" w:type="dxa"/>
            </w:tcMar>
          </w:tcPr>
          <w:p w14:paraId="61156E59" w14:textId="77777777" w:rsidR="005D02EF" w:rsidRPr="009E06AA" w:rsidRDefault="005D02EF" w:rsidP="00B55F24">
            <w:pPr>
              <w:pStyle w:val="TableText"/>
              <w:spacing w:before="40" w:after="40"/>
              <w:rPr>
                <w:rFonts w:cs="Calibri"/>
                <w:szCs w:val="16"/>
              </w:rPr>
            </w:pPr>
            <w:r w:rsidRPr="009E06AA">
              <w:rPr>
                <w:rFonts w:cs="Calibri"/>
                <w:szCs w:val="16"/>
              </w:rPr>
              <w:t>Accuracy</w:t>
            </w:r>
          </w:p>
        </w:tc>
        <w:tc>
          <w:tcPr>
            <w:tcW w:w="2001" w:type="dxa"/>
            <w:shd w:val="clear" w:color="auto" w:fill="FFFFFF"/>
            <w:tcMar>
              <w:top w:w="0" w:type="dxa"/>
              <w:left w:w="85" w:type="dxa"/>
              <w:bottom w:w="0" w:type="dxa"/>
              <w:right w:w="57" w:type="dxa"/>
            </w:tcMar>
          </w:tcPr>
          <w:p w14:paraId="0E3748A4" w14:textId="77777777" w:rsidR="005D02EF" w:rsidRPr="009E06AA" w:rsidRDefault="005D02EF" w:rsidP="00B55F24">
            <w:pPr>
              <w:pStyle w:val="TableText"/>
              <w:spacing w:before="40" w:after="40"/>
              <w:rPr>
                <w:rFonts w:eastAsia="Calibri" w:cs="Calibri"/>
                <w:color w:val="000000"/>
                <w:szCs w:val="16"/>
              </w:rPr>
            </w:pPr>
            <w:r w:rsidRPr="009E06AA">
              <w:rPr>
                <w:rFonts w:eastAsia="Calibri" w:cs="Calibri"/>
                <w:color w:val="000000"/>
                <w:szCs w:val="16"/>
              </w:rPr>
              <w:t>Correction of errors</w:t>
            </w:r>
          </w:p>
        </w:tc>
      </w:tr>
      <w:tr w:rsidR="005D02EF" w:rsidRPr="009E06AA" w14:paraId="6FAB19CB" w14:textId="77777777" w:rsidTr="00B55F24">
        <w:tc>
          <w:tcPr>
            <w:tcW w:w="906" w:type="dxa"/>
            <w:shd w:val="clear" w:color="auto" w:fill="FFFFFF"/>
            <w:tcMar>
              <w:left w:w="85" w:type="dxa"/>
              <w:right w:w="57" w:type="dxa"/>
            </w:tcMar>
          </w:tcPr>
          <w:p w14:paraId="33AA4720" w14:textId="77777777" w:rsidR="005D02EF" w:rsidRPr="009E06AA" w:rsidRDefault="005D02EF" w:rsidP="00B55F24">
            <w:pPr>
              <w:pStyle w:val="TableText"/>
              <w:spacing w:before="40" w:after="40"/>
              <w:rPr>
                <w:rFonts w:cs="Calibri"/>
                <w:szCs w:val="16"/>
              </w:rPr>
            </w:pPr>
          </w:p>
        </w:tc>
        <w:tc>
          <w:tcPr>
            <w:tcW w:w="4481" w:type="dxa"/>
            <w:shd w:val="clear" w:color="auto" w:fill="FFFFFF"/>
            <w:tcMar>
              <w:top w:w="0" w:type="dxa"/>
              <w:left w:w="85" w:type="dxa"/>
              <w:bottom w:w="0" w:type="dxa"/>
              <w:right w:w="57" w:type="dxa"/>
            </w:tcMar>
          </w:tcPr>
          <w:p w14:paraId="267777CF" w14:textId="77777777" w:rsidR="005D02EF" w:rsidRPr="009E06AA" w:rsidRDefault="005D02EF" w:rsidP="00B55F24">
            <w:pPr>
              <w:pStyle w:val="TableText"/>
              <w:spacing w:before="40" w:after="40"/>
              <w:rPr>
                <w:rFonts w:cs="Calibri"/>
                <w:szCs w:val="16"/>
              </w:rPr>
            </w:pPr>
            <w:r w:rsidRPr="009E06AA">
              <w:rPr>
                <w:rFonts w:cs="Calibri"/>
                <w:szCs w:val="16"/>
              </w:rPr>
              <w:t>Minor error correction in total exported hydrofluorocarbons.</w:t>
            </w:r>
          </w:p>
        </w:tc>
        <w:tc>
          <w:tcPr>
            <w:tcW w:w="1134" w:type="dxa"/>
            <w:shd w:val="clear" w:color="auto" w:fill="FFFFFF"/>
            <w:tcMar>
              <w:top w:w="0" w:type="dxa"/>
              <w:left w:w="85" w:type="dxa"/>
              <w:bottom w:w="0" w:type="dxa"/>
              <w:right w:w="57" w:type="dxa"/>
            </w:tcMar>
          </w:tcPr>
          <w:p w14:paraId="503C0A3A" w14:textId="77777777" w:rsidR="005D02EF" w:rsidRPr="009E06AA" w:rsidRDefault="005D02EF" w:rsidP="00B55F24">
            <w:pPr>
              <w:pStyle w:val="TableText"/>
              <w:spacing w:before="40" w:after="40"/>
              <w:rPr>
                <w:rFonts w:cs="Calibri"/>
                <w:szCs w:val="16"/>
              </w:rPr>
            </w:pPr>
            <w:r w:rsidRPr="009E06AA">
              <w:rPr>
                <w:rFonts w:cs="Calibri"/>
                <w:szCs w:val="16"/>
              </w:rPr>
              <w:t>Accuracy</w:t>
            </w:r>
          </w:p>
        </w:tc>
        <w:tc>
          <w:tcPr>
            <w:tcW w:w="2001" w:type="dxa"/>
            <w:shd w:val="clear" w:color="auto" w:fill="FFFFFF"/>
            <w:tcMar>
              <w:top w:w="0" w:type="dxa"/>
              <w:left w:w="85" w:type="dxa"/>
              <w:bottom w:w="0" w:type="dxa"/>
              <w:right w:w="57" w:type="dxa"/>
            </w:tcMar>
          </w:tcPr>
          <w:p w14:paraId="2A613E98" w14:textId="77777777" w:rsidR="005D02EF" w:rsidRPr="009E06AA" w:rsidRDefault="005D02EF" w:rsidP="00B55F24">
            <w:pPr>
              <w:pStyle w:val="TableText"/>
              <w:spacing w:before="40" w:after="40"/>
              <w:rPr>
                <w:rFonts w:eastAsia="Calibri" w:cs="Calibri"/>
                <w:color w:val="000000"/>
                <w:szCs w:val="16"/>
              </w:rPr>
            </w:pPr>
            <w:r w:rsidRPr="009E06AA">
              <w:rPr>
                <w:rFonts w:eastAsia="Calibri" w:cs="Calibri"/>
                <w:color w:val="000000"/>
                <w:szCs w:val="16"/>
              </w:rPr>
              <w:t>Correction of errors</w:t>
            </w:r>
          </w:p>
        </w:tc>
      </w:tr>
      <w:tr w:rsidR="005D02EF" w:rsidRPr="009E06AA" w14:paraId="3F482FA8" w14:textId="77777777" w:rsidTr="00B55F24">
        <w:tc>
          <w:tcPr>
            <w:tcW w:w="906" w:type="dxa"/>
            <w:shd w:val="clear" w:color="auto" w:fill="FFFFFF"/>
            <w:tcMar>
              <w:left w:w="85" w:type="dxa"/>
              <w:right w:w="57" w:type="dxa"/>
            </w:tcMar>
          </w:tcPr>
          <w:p w14:paraId="12097304" w14:textId="77777777" w:rsidR="005D02EF" w:rsidRPr="009E06AA" w:rsidRDefault="005D02EF" w:rsidP="00B55F24">
            <w:pPr>
              <w:pStyle w:val="TableText"/>
              <w:spacing w:before="40" w:after="40"/>
              <w:rPr>
                <w:rFonts w:cs="Calibri"/>
                <w:szCs w:val="16"/>
              </w:rPr>
            </w:pPr>
          </w:p>
        </w:tc>
        <w:tc>
          <w:tcPr>
            <w:tcW w:w="4481" w:type="dxa"/>
            <w:shd w:val="clear" w:color="auto" w:fill="FFFFFF"/>
            <w:tcMar>
              <w:top w:w="0" w:type="dxa"/>
              <w:left w:w="85" w:type="dxa"/>
              <w:bottom w:w="0" w:type="dxa"/>
              <w:right w:w="57" w:type="dxa"/>
            </w:tcMar>
          </w:tcPr>
          <w:p w14:paraId="0F8E1415" w14:textId="77777777" w:rsidR="005D02EF" w:rsidRPr="009E06AA" w:rsidRDefault="005D02EF" w:rsidP="00B55F24">
            <w:pPr>
              <w:pStyle w:val="TableText"/>
              <w:spacing w:before="40" w:after="40"/>
              <w:rPr>
                <w:rFonts w:cs="Calibri"/>
                <w:szCs w:val="16"/>
              </w:rPr>
            </w:pPr>
            <w:r w:rsidRPr="009E06AA">
              <w:rPr>
                <w:rFonts w:cs="Calibri"/>
                <w:szCs w:val="16"/>
              </w:rPr>
              <w:t>Minor error correction in industrial refrigerant related emissions.</w:t>
            </w:r>
          </w:p>
        </w:tc>
        <w:tc>
          <w:tcPr>
            <w:tcW w:w="1134" w:type="dxa"/>
            <w:shd w:val="clear" w:color="auto" w:fill="FFFFFF"/>
            <w:tcMar>
              <w:top w:w="0" w:type="dxa"/>
              <w:left w:w="85" w:type="dxa"/>
              <w:bottom w:w="0" w:type="dxa"/>
              <w:right w:w="57" w:type="dxa"/>
            </w:tcMar>
          </w:tcPr>
          <w:p w14:paraId="58A522DF" w14:textId="77777777" w:rsidR="005D02EF" w:rsidRPr="009E06AA" w:rsidRDefault="005D02EF" w:rsidP="00B55F24">
            <w:pPr>
              <w:pStyle w:val="TableText"/>
              <w:spacing w:before="40" w:after="40"/>
              <w:rPr>
                <w:rFonts w:cs="Calibri"/>
                <w:szCs w:val="16"/>
              </w:rPr>
            </w:pPr>
            <w:r w:rsidRPr="009E06AA">
              <w:rPr>
                <w:rFonts w:cs="Calibri"/>
                <w:szCs w:val="16"/>
              </w:rPr>
              <w:t>Accuracy</w:t>
            </w:r>
          </w:p>
        </w:tc>
        <w:tc>
          <w:tcPr>
            <w:tcW w:w="2001" w:type="dxa"/>
            <w:shd w:val="clear" w:color="auto" w:fill="FFFFFF"/>
            <w:tcMar>
              <w:top w:w="0" w:type="dxa"/>
              <w:left w:w="85" w:type="dxa"/>
              <w:bottom w:w="0" w:type="dxa"/>
              <w:right w:w="57" w:type="dxa"/>
            </w:tcMar>
          </w:tcPr>
          <w:p w14:paraId="5237BC86" w14:textId="77777777" w:rsidR="005D02EF" w:rsidRPr="009E06AA" w:rsidRDefault="005D02EF" w:rsidP="00B55F24">
            <w:pPr>
              <w:pStyle w:val="TableText"/>
              <w:spacing w:before="40" w:after="40"/>
              <w:rPr>
                <w:rFonts w:eastAsia="Calibri" w:cs="Calibri"/>
                <w:color w:val="000000"/>
                <w:szCs w:val="16"/>
              </w:rPr>
            </w:pPr>
            <w:r w:rsidRPr="009E06AA">
              <w:rPr>
                <w:rFonts w:eastAsia="Calibri" w:cs="Calibri"/>
                <w:color w:val="000000"/>
                <w:szCs w:val="16"/>
              </w:rPr>
              <w:t>Correction of errors</w:t>
            </w:r>
          </w:p>
        </w:tc>
      </w:tr>
      <w:tr w:rsidR="005D02EF" w:rsidRPr="009E06AA" w14:paraId="07ADE8B4" w14:textId="77777777" w:rsidTr="00B55F24">
        <w:tc>
          <w:tcPr>
            <w:tcW w:w="906" w:type="dxa"/>
            <w:shd w:val="clear" w:color="auto" w:fill="FFFFFF"/>
            <w:tcMar>
              <w:left w:w="85" w:type="dxa"/>
              <w:right w:w="57" w:type="dxa"/>
            </w:tcMar>
          </w:tcPr>
          <w:p w14:paraId="4F5904BD" w14:textId="77777777" w:rsidR="005D02EF" w:rsidRPr="009E06AA" w:rsidRDefault="005D02EF" w:rsidP="00B55F24">
            <w:pPr>
              <w:pStyle w:val="TableText"/>
              <w:spacing w:before="40" w:after="40"/>
              <w:rPr>
                <w:rFonts w:cs="Calibri"/>
                <w:szCs w:val="16"/>
              </w:rPr>
            </w:pPr>
          </w:p>
        </w:tc>
        <w:tc>
          <w:tcPr>
            <w:tcW w:w="4481" w:type="dxa"/>
            <w:shd w:val="clear" w:color="auto" w:fill="FFFFFF"/>
            <w:tcMar>
              <w:top w:w="0" w:type="dxa"/>
              <w:left w:w="85" w:type="dxa"/>
              <w:bottom w:w="0" w:type="dxa"/>
              <w:right w:w="57" w:type="dxa"/>
            </w:tcMar>
          </w:tcPr>
          <w:p w14:paraId="2517B628" w14:textId="77777777" w:rsidR="005D02EF" w:rsidRPr="009E06AA" w:rsidRDefault="005D02EF" w:rsidP="00B55F24">
            <w:pPr>
              <w:pStyle w:val="TableText"/>
              <w:spacing w:before="40" w:after="40"/>
              <w:rPr>
                <w:rFonts w:cs="Calibri"/>
                <w:szCs w:val="16"/>
              </w:rPr>
            </w:pPr>
            <w:r w:rsidRPr="009E06AA">
              <w:rPr>
                <w:rFonts w:cs="Calibri"/>
                <w:szCs w:val="16"/>
              </w:rPr>
              <w:t>Minor error correction in fire protection related emissions.</w:t>
            </w:r>
          </w:p>
        </w:tc>
        <w:tc>
          <w:tcPr>
            <w:tcW w:w="1134" w:type="dxa"/>
            <w:shd w:val="clear" w:color="auto" w:fill="FFFFFF"/>
            <w:tcMar>
              <w:top w:w="0" w:type="dxa"/>
              <w:left w:w="85" w:type="dxa"/>
              <w:bottom w:w="0" w:type="dxa"/>
              <w:right w:w="57" w:type="dxa"/>
            </w:tcMar>
          </w:tcPr>
          <w:p w14:paraId="19B3DACD" w14:textId="77777777" w:rsidR="005D02EF" w:rsidRPr="009E06AA" w:rsidRDefault="005D02EF" w:rsidP="00B55F24">
            <w:pPr>
              <w:pStyle w:val="TableText"/>
              <w:spacing w:before="40" w:after="40"/>
              <w:rPr>
                <w:rFonts w:cs="Calibri"/>
                <w:szCs w:val="16"/>
              </w:rPr>
            </w:pPr>
            <w:r w:rsidRPr="009E06AA">
              <w:rPr>
                <w:rFonts w:cs="Calibri"/>
                <w:szCs w:val="16"/>
              </w:rPr>
              <w:t>Accuracy</w:t>
            </w:r>
          </w:p>
        </w:tc>
        <w:tc>
          <w:tcPr>
            <w:tcW w:w="2001" w:type="dxa"/>
            <w:shd w:val="clear" w:color="auto" w:fill="FFFFFF"/>
            <w:tcMar>
              <w:top w:w="0" w:type="dxa"/>
              <w:left w:w="85" w:type="dxa"/>
              <w:bottom w:w="0" w:type="dxa"/>
              <w:right w:w="57" w:type="dxa"/>
            </w:tcMar>
          </w:tcPr>
          <w:p w14:paraId="23DD9BC7" w14:textId="77777777" w:rsidR="005D02EF" w:rsidRPr="009E06AA" w:rsidRDefault="005D02EF" w:rsidP="00B55F24">
            <w:pPr>
              <w:pStyle w:val="TableText"/>
              <w:spacing w:before="40" w:after="40"/>
              <w:rPr>
                <w:rFonts w:eastAsia="Calibri" w:cs="Calibri"/>
                <w:color w:val="000000"/>
                <w:szCs w:val="16"/>
              </w:rPr>
            </w:pPr>
            <w:r w:rsidRPr="009E06AA">
              <w:rPr>
                <w:rFonts w:eastAsia="Calibri" w:cs="Calibri"/>
                <w:color w:val="000000"/>
                <w:szCs w:val="16"/>
              </w:rPr>
              <w:t>Correction of errors</w:t>
            </w:r>
          </w:p>
        </w:tc>
      </w:tr>
      <w:tr w:rsidR="005D02EF" w:rsidRPr="009E06AA" w14:paraId="7EB2207E" w14:textId="77777777" w:rsidTr="00B55F24">
        <w:tc>
          <w:tcPr>
            <w:tcW w:w="906" w:type="dxa"/>
            <w:shd w:val="clear" w:color="auto" w:fill="FFFFFF"/>
            <w:tcMar>
              <w:left w:w="85" w:type="dxa"/>
              <w:right w:w="57" w:type="dxa"/>
            </w:tcMar>
          </w:tcPr>
          <w:p w14:paraId="35C4F8D7" w14:textId="77777777" w:rsidR="005D02EF" w:rsidRPr="009E06AA" w:rsidRDefault="005D02EF" w:rsidP="00B55F24">
            <w:pPr>
              <w:pStyle w:val="TableText"/>
              <w:spacing w:before="40" w:after="40"/>
              <w:rPr>
                <w:rFonts w:cs="Calibri"/>
                <w:szCs w:val="16"/>
              </w:rPr>
            </w:pPr>
          </w:p>
        </w:tc>
        <w:tc>
          <w:tcPr>
            <w:tcW w:w="4481" w:type="dxa"/>
            <w:shd w:val="clear" w:color="auto" w:fill="FFFFFF"/>
            <w:tcMar>
              <w:top w:w="0" w:type="dxa"/>
              <w:left w:w="85" w:type="dxa"/>
              <w:bottom w:w="0" w:type="dxa"/>
              <w:right w:w="57" w:type="dxa"/>
            </w:tcMar>
          </w:tcPr>
          <w:p w14:paraId="608B1377" w14:textId="77777777" w:rsidR="005D02EF" w:rsidRPr="009E06AA" w:rsidRDefault="005D02EF" w:rsidP="00B55F24">
            <w:pPr>
              <w:pStyle w:val="TableText"/>
              <w:spacing w:before="40" w:after="40"/>
              <w:rPr>
                <w:rFonts w:cs="Calibri"/>
                <w:szCs w:val="16"/>
              </w:rPr>
            </w:pPr>
            <w:r w:rsidRPr="009E06AA">
              <w:rPr>
                <w:rFonts w:cs="Calibri"/>
                <w:szCs w:val="16"/>
              </w:rPr>
              <w:t>Minor error correction in medical applications.</w:t>
            </w:r>
          </w:p>
        </w:tc>
        <w:tc>
          <w:tcPr>
            <w:tcW w:w="1134" w:type="dxa"/>
            <w:shd w:val="clear" w:color="auto" w:fill="FFFFFF"/>
            <w:tcMar>
              <w:top w:w="0" w:type="dxa"/>
              <w:left w:w="85" w:type="dxa"/>
              <w:bottom w:w="0" w:type="dxa"/>
              <w:right w:w="57" w:type="dxa"/>
            </w:tcMar>
          </w:tcPr>
          <w:p w14:paraId="5276A162" w14:textId="77777777" w:rsidR="005D02EF" w:rsidRPr="009E06AA" w:rsidRDefault="005D02EF" w:rsidP="00B55F24">
            <w:pPr>
              <w:pStyle w:val="TableText"/>
              <w:spacing w:before="40" w:after="40"/>
              <w:rPr>
                <w:rFonts w:cs="Calibri"/>
                <w:szCs w:val="16"/>
              </w:rPr>
            </w:pPr>
            <w:r w:rsidRPr="009E06AA">
              <w:rPr>
                <w:rFonts w:cs="Calibri"/>
                <w:szCs w:val="16"/>
              </w:rPr>
              <w:t>Accuracy</w:t>
            </w:r>
          </w:p>
        </w:tc>
        <w:tc>
          <w:tcPr>
            <w:tcW w:w="2001" w:type="dxa"/>
            <w:shd w:val="clear" w:color="auto" w:fill="FFFFFF"/>
            <w:tcMar>
              <w:top w:w="0" w:type="dxa"/>
              <w:left w:w="85" w:type="dxa"/>
              <w:bottom w:w="0" w:type="dxa"/>
              <w:right w:w="57" w:type="dxa"/>
            </w:tcMar>
          </w:tcPr>
          <w:p w14:paraId="2C1A0EAF" w14:textId="77777777" w:rsidR="005D02EF" w:rsidRPr="009E06AA" w:rsidRDefault="005D02EF" w:rsidP="00B55F24">
            <w:pPr>
              <w:pStyle w:val="TableText"/>
              <w:spacing w:before="40" w:after="40"/>
              <w:rPr>
                <w:rFonts w:eastAsia="Calibri" w:cs="Calibri"/>
                <w:color w:val="000000"/>
                <w:szCs w:val="16"/>
              </w:rPr>
            </w:pPr>
            <w:r w:rsidRPr="009E06AA">
              <w:rPr>
                <w:rFonts w:eastAsia="Calibri" w:cs="Calibri"/>
                <w:color w:val="000000"/>
                <w:szCs w:val="16"/>
              </w:rPr>
              <w:t>Correction of errors</w:t>
            </w:r>
          </w:p>
        </w:tc>
      </w:tr>
      <w:tr w:rsidR="005D02EF" w:rsidRPr="009E06AA" w14:paraId="6A855A79" w14:textId="77777777" w:rsidTr="00B55F24">
        <w:tc>
          <w:tcPr>
            <w:tcW w:w="906" w:type="dxa"/>
            <w:shd w:val="clear" w:color="auto" w:fill="FFFFFF"/>
            <w:tcMar>
              <w:left w:w="85" w:type="dxa"/>
              <w:right w:w="57" w:type="dxa"/>
            </w:tcMar>
          </w:tcPr>
          <w:p w14:paraId="12958893" w14:textId="77777777" w:rsidR="005D02EF" w:rsidRPr="009E06AA" w:rsidRDefault="005D02EF" w:rsidP="00B55F24">
            <w:pPr>
              <w:pStyle w:val="TableText"/>
              <w:spacing w:before="40" w:after="40"/>
              <w:rPr>
                <w:rFonts w:cs="Calibri"/>
                <w:szCs w:val="16"/>
              </w:rPr>
            </w:pPr>
          </w:p>
        </w:tc>
        <w:tc>
          <w:tcPr>
            <w:tcW w:w="4481" w:type="dxa"/>
            <w:shd w:val="clear" w:color="auto" w:fill="FFFFFF"/>
            <w:tcMar>
              <w:top w:w="0" w:type="dxa"/>
              <w:left w:w="85" w:type="dxa"/>
              <w:bottom w:w="0" w:type="dxa"/>
              <w:right w:w="57" w:type="dxa"/>
            </w:tcMar>
          </w:tcPr>
          <w:p w14:paraId="0DA51A31" w14:textId="77777777" w:rsidR="005D02EF" w:rsidRPr="009E06AA" w:rsidRDefault="005D02EF" w:rsidP="00B55F24">
            <w:pPr>
              <w:pStyle w:val="TableText"/>
              <w:spacing w:before="40" w:after="40"/>
              <w:rPr>
                <w:rFonts w:cs="Calibri"/>
                <w:szCs w:val="16"/>
              </w:rPr>
            </w:pPr>
            <w:r w:rsidRPr="009E06AA">
              <w:rPr>
                <w:rFonts w:cs="Calibri"/>
                <w:szCs w:val="16"/>
              </w:rPr>
              <w:t>Re-estimated amounts of imported refrigerant.</w:t>
            </w:r>
          </w:p>
        </w:tc>
        <w:tc>
          <w:tcPr>
            <w:tcW w:w="1134" w:type="dxa"/>
            <w:shd w:val="clear" w:color="auto" w:fill="FFFFFF"/>
            <w:tcMar>
              <w:top w:w="0" w:type="dxa"/>
              <w:left w:w="85" w:type="dxa"/>
              <w:bottom w:w="0" w:type="dxa"/>
              <w:right w:w="57" w:type="dxa"/>
            </w:tcMar>
          </w:tcPr>
          <w:p w14:paraId="11EA726A" w14:textId="77777777" w:rsidR="005D02EF" w:rsidRPr="009E06AA" w:rsidRDefault="005D02EF" w:rsidP="00B55F24">
            <w:pPr>
              <w:pStyle w:val="TableText"/>
              <w:spacing w:before="40" w:after="40"/>
              <w:rPr>
                <w:rFonts w:cs="Calibri"/>
                <w:szCs w:val="16"/>
              </w:rPr>
            </w:pPr>
            <w:r w:rsidRPr="009E06AA">
              <w:rPr>
                <w:rFonts w:cs="Calibri"/>
                <w:szCs w:val="16"/>
              </w:rPr>
              <w:t>Accuracy</w:t>
            </w:r>
          </w:p>
        </w:tc>
        <w:tc>
          <w:tcPr>
            <w:tcW w:w="2001" w:type="dxa"/>
            <w:shd w:val="clear" w:color="auto" w:fill="FFFFFF"/>
            <w:tcMar>
              <w:top w:w="0" w:type="dxa"/>
              <w:left w:w="85" w:type="dxa"/>
              <w:bottom w:w="0" w:type="dxa"/>
              <w:right w:w="57" w:type="dxa"/>
            </w:tcMar>
          </w:tcPr>
          <w:p w14:paraId="6A341137" w14:textId="77777777" w:rsidR="005D02EF" w:rsidRPr="009E06AA" w:rsidRDefault="005D02EF" w:rsidP="00B55F24">
            <w:pPr>
              <w:pStyle w:val="TableText"/>
              <w:spacing w:before="40" w:after="40"/>
              <w:rPr>
                <w:rFonts w:eastAsia="Calibri" w:cs="Calibri"/>
                <w:color w:val="000000"/>
                <w:szCs w:val="16"/>
              </w:rPr>
            </w:pPr>
            <w:r w:rsidRPr="009E06AA">
              <w:rPr>
                <w:rFonts w:eastAsia="Calibri" w:cs="Calibri"/>
                <w:color w:val="000000"/>
                <w:szCs w:val="16"/>
              </w:rPr>
              <w:t>Improved data availability</w:t>
            </w:r>
          </w:p>
        </w:tc>
      </w:tr>
      <w:tr w:rsidR="005D02EF" w:rsidRPr="009E06AA" w14:paraId="2D746B62" w14:textId="77777777" w:rsidTr="00B55F24">
        <w:tc>
          <w:tcPr>
            <w:tcW w:w="906" w:type="dxa"/>
            <w:shd w:val="clear" w:color="auto" w:fill="FFFFFF"/>
            <w:tcMar>
              <w:left w:w="85" w:type="dxa"/>
              <w:right w:w="57" w:type="dxa"/>
            </w:tcMar>
          </w:tcPr>
          <w:p w14:paraId="18ECB897" w14:textId="77777777" w:rsidR="005D02EF" w:rsidRPr="009E06AA" w:rsidRDefault="005D02EF" w:rsidP="00B55F24">
            <w:pPr>
              <w:pStyle w:val="TableText"/>
              <w:spacing w:before="40" w:after="40"/>
              <w:rPr>
                <w:rFonts w:cs="Calibri"/>
                <w:szCs w:val="16"/>
              </w:rPr>
            </w:pPr>
          </w:p>
        </w:tc>
        <w:tc>
          <w:tcPr>
            <w:tcW w:w="4481" w:type="dxa"/>
            <w:shd w:val="clear" w:color="auto" w:fill="FFFFFF"/>
            <w:tcMar>
              <w:top w:w="0" w:type="dxa"/>
              <w:left w:w="85" w:type="dxa"/>
              <w:bottom w:w="0" w:type="dxa"/>
              <w:right w:w="57" w:type="dxa"/>
            </w:tcMar>
          </w:tcPr>
          <w:p w14:paraId="4C722A28" w14:textId="77777777" w:rsidR="005D02EF" w:rsidRPr="009E06AA" w:rsidRDefault="005D02EF" w:rsidP="00B55F24">
            <w:pPr>
              <w:pStyle w:val="TableText"/>
              <w:spacing w:before="40" w:after="40"/>
              <w:rPr>
                <w:rFonts w:cs="Calibri"/>
                <w:szCs w:val="16"/>
              </w:rPr>
            </w:pPr>
            <w:r w:rsidRPr="009E06AA">
              <w:rPr>
                <w:rFonts w:cs="Calibri"/>
                <w:szCs w:val="16"/>
              </w:rPr>
              <w:t>Adjusted transport refrigeration sector operations emission factors to be more consistent with IPCC (2006b) mid ranges.</w:t>
            </w:r>
          </w:p>
        </w:tc>
        <w:tc>
          <w:tcPr>
            <w:tcW w:w="1134" w:type="dxa"/>
            <w:shd w:val="clear" w:color="auto" w:fill="FFFFFF"/>
            <w:tcMar>
              <w:top w:w="0" w:type="dxa"/>
              <w:left w:w="85" w:type="dxa"/>
              <w:bottom w:w="0" w:type="dxa"/>
              <w:right w:w="57" w:type="dxa"/>
            </w:tcMar>
          </w:tcPr>
          <w:p w14:paraId="52C82E4D" w14:textId="77777777" w:rsidR="005D02EF" w:rsidRPr="009E06AA" w:rsidRDefault="005D02EF" w:rsidP="00B55F24">
            <w:pPr>
              <w:pStyle w:val="TableText"/>
              <w:spacing w:before="40" w:after="40"/>
              <w:rPr>
                <w:rFonts w:cs="Calibri"/>
                <w:szCs w:val="16"/>
              </w:rPr>
            </w:pPr>
            <w:r w:rsidRPr="009E06AA">
              <w:rPr>
                <w:rFonts w:cs="Calibri"/>
                <w:szCs w:val="16"/>
              </w:rPr>
              <w:t xml:space="preserve">Accuracy </w:t>
            </w:r>
          </w:p>
        </w:tc>
        <w:tc>
          <w:tcPr>
            <w:tcW w:w="2001" w:type="dxa"/>
            <w:shd w:val="clear" w:color="auto" w:fill="FFFFFF"/>
            <w:tcMar>
              <w:top w:w="0" w:type="dxa"/>
              <w:left w:w="85" w:type="dxa"/>
              <w:bottom w:w="0" w:type="dxa"/>
              <w:right w:w="57" w:type="dxa"/>
            </w:tcMar>
          </w:tcPr>
          <w:p w14:paraId="64A51DC8" w14:textId="77777777" w:rsidR="005D02EF" w:rsidRPr="009E06AA" w:rsidRDefault="005D02EF" w:rsidP="00B55F24">
            <w:pPr>
              <w:pStyle w:val="TableText"/>
              <w:spacing w:before="40" w:after="40"/>
              <w:rPr>
                <w:rFonts w:eastAsia="Calibri" w:cs="Calibri"/>
                <w:color w:val="000000"/>
                <w:szCs w:val="16"/>
              </w:rPr>
            </w:pPr>
            <w:r w:rsidRPr="009E06AA">
              <w:rPr>
                <w:rFonts w:eastAsia="Calibri" w:cs="Calibri"/>
                <w:color w:val="000000"/>
                <w:szCs w:val="16"/>
              </w:rPr>
              <w:t>Improved data availability</w:t>
            </w:r>
          </w:p>
        </w:tc>
      </w:tr>
      <w:tr w:rsidR="005D02EF" w:rsidRPr="009E06AA" w14:paraId="494755BE" w14:textId="77777777" w:rsidTr="00B55F24">
        <w:tc>
          <w:tcPr>
            <w:tcW w:w="906" w:type="dxa"/>
            <w:shd w:val="clear" w:color="auto" w:fill="FFFFFF"/>
            <w:tcMar>
              <w:left w:w="85" w:type="dxa"/>
              <w:right w:w="57" w:type="dxa"/>
            </w:tcMar>
          </w:tcPr>
          <w:p w14:paraId="66484D64" w14:textId="77777777" w:rsidR="005D02EF" w:rsidRPr="009E06AA" w:rsidRDefault="005D02EF" w:rsidP="00B55F24">
            <w:pPr>
              <w:pStyle w:val="TableText"/>
              <w:spacing w:before="40" w:after="40"/>
              <w:rPr>
                <w:rFonts w:cs="Calibri"/>
                <w:szCs w:val="16"/>
              </w:rPr>
            </w:pPr>
          </w:p>
        </w:tc>
        <w:tc>
          <w:tcPr>
            <w:tcW w:w="4481" w:type="dxa"/>
            <w:shd w:val="clear" w:color="auto" w:fill="FFFFFF"/>
            <w:tcMar>
              <w:top w:w="0" w:type="dxa"/>
              <w:left w:w="85" w:type="dxa"/>
              <w:bottom w:w="0" w:type="dxa"/>
              <w:right w:w="57" w:type="dxa"/>
            </w:tcMar>
          </w:tcPr>
          <w:p w14:paraId="7ECDD768" w14:textId="77777777" w:rsidR="005D02EF" w:rsidRPr="009E06AA" w:rsidRDefault="005D02EF" w:rsidP="00B55F24">
            <w:pPr>
              <w:pStyle w:val="TableText"/>
              <w:spacing w:before="40" w:after="40"/>
              <w:rPr>
                <w:rFonts w:cs="Calibri"/>
                <w:szCs w:val="16"/>
              </w:rPr>
            </w:pPr>
            <w:r w:rsidRPr="009E06AA">
              <w:rPr>
                <w:rFonts w:cs="Calibri"/>
                <w:szCs w:val="16"/>
              </w:rPr>
              <w:t>Re-estimated supermarket and industrial cool-store refrigerants.</w:t>
            </w:r>
          </w:p>
        </w:tc>
        <w:tc>
          <w:tcPr>
            <w:tcW w:w="1134" w:type="dxa"/>
            <w:shd w:val="clear" w:color="auto" w:fill="FFFFFF"/>
            <w:tcMar>
              <w:top w:w="0" w:type="dxa"/>
              <w:left w:w="85" w:type="dxa"/>
              <w:bottom w:w="0" w:type="dxa"/>
              <w:right w:w="57" w:type="dxa"/>
            </w:tcMar>
          </w:tcPr>
          <w:p w14:paraId="39CDA811" w14:textId="77777777" w:rsidR="005D02EF" w:rsidRPr="009E06AA" w:rsidRDefault="005D02EF" w:rsidP="00B55F24">
            <w:pPr>
              <w:pStyle w:val="TableText"/>
              <w:spacing w:before="40" w:after="40"/>
              <w:rPr>
                <w:rFonts w:cs="Calibri"/>
                <w:szCs w:val="16"/>
              </w:rPr>
            </w:pPr>
            <w:r w:rsidRPr="009E06AA">
              <w:rPr>
                <w:rFonts w:cs="Calibri"/>
                <w:szCs w:val="16"/>
              </w:rPr>
              <w:t>Accuracy</w:t>
            </w:r>
          </w:p>
        </w:tc>
        <w:tc>
          <w:tcPr>
            <w:tcW w:w="2001" w:type="dxa"/>
            <w:shd w:val="clear" w:color="auto" w:fill="FFFFFF"/>
            <w:tcMar>
              <w:top w:w="0" w:type="dxa"/>
              <w:left w:w="85" w:type="dxa"/>
              <w:bottom w:w="0" w:type="dxa"/>
              <w:right w:w="57" w:type="dxa"/>
            </w:tcMar>
          </w:tcPr>
          <w:p w14:paraId="21B5749C" w14:textId="77777777" w:rsidR="005D02EF" w:rsidRPr="009E06AA" w:rsidRDefault="005D02EF" w:rsidP="00B55F24">
            <w:pPr>
              <w:pStyle w:val="TableText"/>
              <w:spacing w:before="40" w:after="40"/>
              <w:rPr>
                <w:rFonts w:eastAsia="Calibri" w:cs="Calibri"/>
                <w:color w:val="000000"/>
                <w:szCs w:val="16"/>
              </w:rPr>
            </w:pPr>
            <w:r w:rsidRPr="009E06AA">
              <w:rPr>
                <w:rFonts w:eastAsia="Calibri" w:cs="Calibri"/>
                <w:color w:val="000000"/>
                <w:szCs w:val="16"/>
              </w:rPr>
              <w:t>Improved data availability</w:t>
            </w:r>
          </w:p>
        </w:tc>
      </w:tr>
      <w:tr w:rsidR="005D02EF" w:rsidRPr="009E06AA" w14:paraId="0724143B" w14:textId="77777777" w:rsidTr="00B55F24">
        <w:tc>
          <w:tcPr>
            <w:tcW w:w="906" w:type="dxa"/>
            <w:shd w:val="clear" w:color="auto" w:fill="FFFFFF"/>
            <w:tcMar>
              <w:left w:w="85" w:type="dxa"/>
              <w:right w:w="57" w:type="dxa"/>
            </w:tcMar>
          </w:tcPr>
          <w:p w14:paraId="50B14864" w14:textId="77777777" w:rsidR="005D02EF" w:rsidRPr="009E06AA" w:rsidRDefault="005D02EF" w:rsidP="00B55F24">
            <w:pPr>
              <w:pStyle w:val="TableText"/>
              <w:spacing w:before="40" w:after="40"/>
              <w:rPr>
                <w:rFonts w:cs="Calibri"/>
                <w:szCs w:val="16"/>
              </w:rPr>
            </w:pPr>
          </w:p>
        </w:tc>
        <w:tc>
          <w:tcPr>
            <w:tcW w:w="4481" w:type="dxa"/>
            <w:shd w:val="clear" w:color="auto" w:fill="FFFFFF"/>
            <w:tcMar>
              <w:top w:w="0" w:type="dxa"/>
              <w:left w:w="85" w:type="dxa"/>
              <w:bottom w:w="0" w:type="dxa"/>
              <w:right w:w="57" w:type="dxa"/>
            </w:tcMar>
          </w:tcPr>
          <w:p w14:paraId="3C331386" w14:textId="77777777" w:rsidR="005D02EF" w:rsidRPr="009E06AA" w:rsidRDefault="005D02EF" w:rsidP="00B55F24">
            <w:pPr>
              <w:pStyle w:val="TableText"/>
              <w:spacing w:before="40" w:after="40"/>
              <w:rPr>
                <w:rFonts w:cs="Calibri"/>
                <w:szCs w:val="16"/>
              </w:rPr>
            </w:pPr>
            <w:r w:rsidRPr="009E06AA">
              <w:rPr>
                <w:rFonts w:cs="Calibri"/>
                <w:szCs w:val="16"/>
              </w:rPr>
              <w:t>Readjusted early retirement and recycle of R410A heat pumps.</w:t>
            </w:r>
          </w:p>
        </w:tc>
        <w:tc>
          <w:tcPr>
            <w:tcW w:w="1134" w:type="dxa"/>
            <w:shd w:val="clear" w:color="auto" w:fill="FFFFFF"/>
            <w:tcMar>
              <w:top w:w="0" w:type="dxa"/>
              <w:left w:w="85" w:type="dxa"/>
              <w:bottom w:w="0" w:type="dxa"/>
              <w:right w:w="57" w:type="dxa"/>
            </w:tcMar>
          </w:tcPr>
          <w:p w14:paraId="0E80C470" w14:textId="77777777" w:rsidR="005D02EF" w:rsidRPr="009E06AA" w:rsidRDefault="005D02EF" w:rsidP="00B55F24">
            <w:pPr>
              <w:pStyle w:val="TableText"/>
              <w:spacing w:before="40" w:after="40"/>
              <w:rPr>
                <w:rFonts w:cs="Calibri"/>
                <w:szCs w:val="16"/>
              </w:rPr>
            </w:pPr>
            <w:r w:rsidRPr="009E06AA">
              <w:rPr>
                <w:rFonts w:cs="Calibri"/>
                <w:szCs w:val="16"/>
              </w:rPr>
              <w:t>Accuracy</w:t>
            </w:r>
          </w:p>
        </w:tc>
        <w:tc>
          <w:tcPr>
            <w:tcW w:w="2001" w:type="dxa"/>
            <w:shd w:val="clear" w:color="auto" w:fill="FFFFFF"/>
            <w:tcMar>
              <w:top w:w="0" w:type="dxa"/>
              <w:left w:w="85" w:type="dxa"/>
              <w:bottom w:w="0" w:type="dxa"/>
              <w:right w:w="57" w:type="dxa"/>
            </w:tcMar>
          </w:tcPr>
          <w:p w14:paraId="7CFCBE79" w14:textId="77777777" w:rsidR="005D02EF" w:rsidRPr="009E06AA" w:rsidRDefault="005D02EF" w:rsidP="00B55F24">
            <w:pPr>
              <w:pStyle w:val="TableText"/>
              <w:spacing w:before="40" w:after="40"/>
              <w:rPr>
                <w:rFonts w:eastAsia="Calibri" w:cs="Calibri"/>
                <w:color w:val="000000"/>
                <w:szCs w:val="16"/>
              </w:rPr>
            </w:pPr>
            <w:r w:rsidRPr="009E06AA">
              <w:rPr>
                <w:rFonts w:eastAsia="Calibri" w:cs="Calibri"/>
                <w:color w:val="000000"/>
                <w:szCs w:val="16"/>
              </w:rPr>
              <w:t>Improved data availability</w:t>
            </w:r>
          </w:p>
        </w:tc>
      </w:tr>
      <w:tr w:rsidR="005D02EF" w:rsidRPr="009E06AA" w14:paraId="08909139" w14:textId="77777777" w:rsidTr="00B55F24">
        <w:tc>
          <w:tcPr>
            <w:tcW w:w="906" w:type="dxa"/>
            <w:shd w:val="clear" w:color="auto" w:fill="FFFFFF"/>
            <w:tcMar>
              <w:left w:w="85" w:type="dxa"/>
              <w:right w:w="57" w:type="dxa"/>
            </w:tcMar>
          </w:tcPr>
          <w:p w14:paraId="0E28E10C" w14:textId="77777777" w:rsidR="005D02EF" w:rsidRPr="009E06AA" w:rsidRDefault="005D02EF" w:rsidP="00B55F24">
            <w:pPr>
              <w:pStyle w:val="TableText"/>
              <w:spacing w:before="40" w:after="40"/>
              <w:rPr>
                <w:rFonts w:cs="Calibri"/>
                <w:szCs w:val="16"/>
              </w:rPr>
            </w:pPr>
          </w:p>
        </w:tc>
        <w:tc>
          <w:tcPr>
            <w:tcW w:w="4481" w:type="dxa"/>
            <w:shd w:val="clear" w:color="auto" w:fill="FFFFFF"/>
            <w:tcMar>
              <w:top w:w="0" w:type="dxa"/>
              <w:left w:w="85" w:type="dxa"/>
              <w:bottom w:w="0" w:type="dxa"/>
              <w:right w:w="57" w:type="dxa"/>
            </w:tcMar>
          </w:tcPr>
          <w:p w14:paraId="514E3305" w14:textId="77777777" w:rsidR="005D02EF" w:rsidRPr="009E06AA" w:rsidRDefault="005D02EF" w:rsidP="00B55F24">
            <w:pPr>
              <w:pStyle w:val="TableText"/>
              <w:spacing w:before="40" w:after="40"/>
              <w:rPr>
                <w:rFonts w:cs="Calibri"/>
                <w:szCs w:val="16"/>
              </w:rPr>
            </w:pPr>
            <w:r w:rsidRPr="009E06AA">
              <w:rPr>
                <w:rFonts w:cs="Calibri"/>
                <w:szCs w:val="16"/>
              </w:rPr>
              <w:t>Reassessed reduced historical emissions of R410A heat pumps.</w:t>
            </w:r>
          </w:p>
        </w:tc>
        <w:tc>
          <w:tcPr>
            <w:tcW w:w="1134" w:type="dxa"/>
            <w:shd w:val="clear" w:color="auto" w:fill="FFFFFF"/>
            <w:tcMar>
              <w:top w:w="0" w:type="dxa"/>
              <w:left w:w="85" w:type="dxa"/>
              <w:bottom w:w="0" w:type="dxa"/>
              <w:right w:w="57" w:type="dxa"/>
            </w:tcMar>
          </w:tcPr>
          <w:p w14:paraId="4008205B" w14:textId="77777777" w:rsidR="005D02EF" w:rsidRPr="009E06AA" w:rsidRDefault="005D02EF" w:rsidP="00B55F24">
            <w:pPr>
              <w:pStyle w:val="TableText"/>
              <w:spacing w:before="40" w:after="40"/>
              <w:rPr>
                <w:rFonts w:cs="Calibri"/>
                <w:szCs w:val="16"/>
              </w:rPr>
            </w:pPr>
            <w:r w:rsidRPr="009E06AA">
              <w:rPr>
                <w:rFonts w:cs="Calibri"/>
                <w:szCs w:val="16"/>
              </w:rPr>
              <w:t xml:space="preserve">Accuracy </w:t>
            </w:r>
          </w:p>
        </w:tc>
        <w:tc>
          <w:tcPr>
            <w:tcW w:w="2001" w:type="dxa"/>
            <w:shd w:val="clear" w:color="auto" w:fill="FFFFFF"/>
            <w:tcMar>
              <w:top w:w="0" w:type="dxa"/>
              <w:left w:w="85" w:type="dxa"/>
              <w:bottom w:w="0" w:type="dxa"/>
              <w:right w:w="57" w:type="dxa"/>
            </w:tcMar>
          </w:tcPr>
          <w:p w14:paraId="12CE1F39" w14:textId="77777777" w:rsidR="005D02EF" w:rsidRPr="009E06AA" w:rsidRDefault="005D02EF" w:rsidP="00B55F24">
            <w:pPr>
              <w:pStyle w:val="TableText"/>
              <w:spacing w:before="40" w:after="40"/>
              <w:rPr>
                <w:rFonts w:eastAsia="Calibri" w:cs="Calibri"/>
                <w:color w:val="000000"/>
                <w:szCs w:val="16"/>
              </w:rPr>
            </w:pPr>
            <w:r w:rsidRPr="009E06AA">
              <w:rPr>
                <w:rFonts w:eastAsia="Calibri" w:cs="Calibri"/>
                <w:color w:val="000000"/>
                <w:szCs w:val="16"/>
              </w:rPr>
              <w:t>Improved data availability</w:t>
            </w:r>
          </w:p>
        </w:tc>
      </w:tr>
      <w:tr w:rsidR="005D02EF" w:rsidRPr="009E06AA" w14:paraId="2C6FFF7F" w14:textId="77777777" w:rsidTr="00B55F24">
        <w:tc>
          <w:tcPr>
            <w:tcW w:w="906" w:type="dxa"/>
            <w:shd w:val="clear" w:color="auto" w:fill="FFFFFF"/>
            <w:tcMar>
              <w:left w:w="85" w:type="dxa"/>
              <w:right w:w="57" w:type="dxa"/>
            </w:tcMar>
          </w:tcPr>
          <w:p w14:paraId="2D1FDE12" w14:textId="77777777" w:rsidR="005D02EF" w:rsidRPr="009E06AA" w:rsidRDefault="005D02EF" w:rsidP="00B55F24">
            <w:pPr>
              <w:pStyle w:val="TableText"/>
              <w:spacing w:before="40" w:after="40"/>
              <w:rPr>
                <w:rFonts w:cs="Calibri"/>
                <w:szCs w:val="16"/>
              </w:rPr>
            </w:pPr>
            <w:r w:rsidRPr="009E06AA">
              <w:rPr>
                <w:rFonts w:cs="Calibri"/>
                <w:szCs w:val="16"/>
              </w:rPr>
              <w:t>Agriculture</w:t>
            </w:r>
          </w:p>
        </w:tc>
        <w:tc>
          <w:tcPr>
            <w:tcW w:w="4481" w:type="dxa"/>
            <w:shd w:val="clear" w:color="auto" w:fill="FFFFFF"/>
            <w:tcMar>
              <w:top w:w="0" w:type="dxa"/>
              <w:left w:w="85" w:type="dxa"/>
              <w:bottom w:w="0" w:type="dxa"/>
              <w:right w:w="57" w:type="dxa"/>
            </w:tcMar>
          </w:tcPr>
          <w:p w14:paraId="3A973261" w14:textId="77777777" w:rsidR="005D02EF" w:rsidRPr="009E06AA" w:rsidRDefault="005D02EF" w:rsidP="00B55F24">
            <w:pPr>
              <w:pStyle w:val="TableText"/>
              <w:spacing w:before="40" w:after="40"/>
              <w:rPr>
                <w:rFonts w:cs="Calibri"/>
                <w:szCs w:val="16"/>
              </w:rPr>
            </w:pPr>
            <w:r w:rsidRPr="009E06AA">
              <w:rPr>
                <w:rFonts w:cs="Calibri"/>
                <w:szCs w:val="16"/>
              </w:rPr>
              <w:t>Improvements to beef cattle population and liveweight estimates. Significant changes to the beef population model were implemented including changing the national calving date, adding new age classes for slaughter bulls, heifers and steers, and changing slaughter dates of all classes to more accurately reflect actual data.</w:t>
            </w:r>
          </w:p>
        </w:tc>
        <w:tc>
          <w:tcPr>
            <w:tcW w:w="1134" w:type="dxa"/>
            <w:shd w:val="clear" w:color="auto" w:fill="FFFFFF"/>
            <w:tcMar>
              <w:top w:w="0" w:type="dxa"/>
              <w:left w:w="85" w:type="dxa"/>
              <w:bottom w:w="0" w:type="dxa"/>
              <w:right w:w="57" w:type="dxa"/>
            </w:tcMar>
          </w:tcPr>
          <w:p w14:paraId="557484E9" w14:textId="77777777" w:rsidR="005D02EF" w:rsidRPr="009E06AA" w:rsidRDefault="005D02EF" w:rsidP="00B55F24">
            <w:pPr>
              <w:pStyle w:val="TableText"/>
              <w:spacing w:before="40" w:after="40"/>
              <w:rPr>
                <w:rFonts w:cs="Calibri"/>
                <w:szCs w:val="16"/>
              </w:rPr>
            </w:pPr>
            <w:r w:rsidRPr="009E06AA">
              <w:rPr>
                <w:rFonts w:cs="Calibri"/>
                <w:szCs w:val="16"/>
              </w:rPr>
              <w:t>Accuracy</w:t>
            </w:r>
          </w:p>
        </w:tc>
        <w:tc>
          <w:tcPr>
            <w:tcW w:w="2001" w:type="dxa"/>
            <w:shd w:val="clear" w:color="auto" w:fill="FFFFFF"/>
            <w:tcMar>
              <w:top w:w="0" w:type="dxa"/>
              <w:left w:w="85" w:type="dxa"/>
              <w:bottom w:w="0" w:type="dxa"/>
              <w:right w:w="57" w:type="dxa"/>
            </w:tcMar>
          </w:tcPr>
          <w:p w14:paraId="721BB808" w14:textId="77777777" w:rsidR="005D02EF" w:rsidRPr="009E06AA" w:rsidRDefault="005D02EF" w:rsidP="00B55F24">
            <w:pPr>
              <w:pStyle w:val="TableText"/>
              <w:spacing w:before="40" w:after="40"/>
              <w:rPr>
                <w:rFonts w:eastAsia="Calibri" w:cs="Calibri"/>
                <w:color w:val="000000"/>
                <w:szCs w:val="16"/>
              </w:rPr>
            </w:pPr>
          </w:p>
        </w:tc>
      </w:tr>
      <w:tr w:rsidR="005D02EF" w:rsidRPr="009E06AA" w14:paraId="1C5C626F" w14:textId="77777777" w:rsidTr="00B55F24">
        <w:tc>
          <w:tcPr>
            <w:tcW w:w="906" w:type="dxa"/>
            <w:shd w:val="clear" w:color="auto" w:fill="FFFFFF"/>
            <w:tcMar>
              <w:left w:w="85" w:type="dxa"/>
              <w:right w:w="57" w:type="dxa"/>
            </w:tcMar>
          </w:tcPr>
          <w:p w14:paraId="5FA976E3" w14:textId="77777777" w:rsidR="005D02EF" w:rsidRPr="009E06AA" w:rsidRDefault="005D02EF" w:rsidP="00B55F24">
            <w:pPr>
              <w:pStyle w:val="TableText"/>
              <w:spacing w:before="40" w:after="40"/>
              <w:rPr>
                <w:rFonts w:cs="Calibri"/>
                <w:szCs w:val="16"/>
              </w:rPr>
            </w:pPr>
          </w:p>
        </w:tc>
        <w:tc>
          <w:tcPr>
            <w:tcW w:w="4481" w:type="dxa"/>
            <w:shd w:val="clear" w:color="auto" w:fill="FFFFFF"/>
            <w:tcMar>
              <w:top w:w="0" w:type="dxa"/>
              <w:left w:w="85" w:type="dxa"/>
              <w:bottom w:w="0" w:type="dxa"/>
              <w:right w:w="57" w:type="dxa"/>
            </w:tcMar>
          </w:tcPr>
          <w:p w14:paraId="0342D4CF" w14:textId="77777777" w:rsidR="005D02EF" w:rsidRPr="009E06AA" w:rsidRDefault="005D02EF" w:rsidP="00B55F24">
            <w:pPr>
              <w:pStyle w:val="TableText"/>
              <w:spacing w:before="40" w:after="40"/>
              <w:rPr>
                <w:rFonts w:cs="Calibri"/>
                <w:szCs w:val="16"/>
              </w:rPr>
            </w:pPr>
            <w:r w:rsidRPr="009E06AA">
              <w:rPr>
                <w:rFonts w:cs="Calibri"/>
                <w:szCs w:val="16"/>
              </w:rPr>
              <w:t xml:space="preserve">Changed the assumed proportion of lambs held over to a second slaughter date from a constant 16 per cent, to a linear trend for 1990–2010 followed by a constant 22 per cent thereafter based on a lamb slaughter sample dataset. </w:t>
            </w:r>
          </w:p>
        </w:tc>
        <w:tc>
          <w:tcPr>
            <w:tcW w:w="1134" w:type="dxa"/>
            <w:shd w:val="clear" w:color="auto" w:fill="FFFFFF"/>
            <w:tcMar>
              <w:top w:w="0" w:type="dxa"/>
              <w:left w:w="85" w:type="dxa"/>
              <w:bottom w:w="0" w:type="dxa"/>
              <w:right w:w="57" w:type="dxa"/>
            </w:tcMar>
          </w:tcPr>
          <w:p w14:paraId="35EAC3B8" w14:textId="77777777" w:rsidR="005D02EF" w:rsidRPr="009E06AA" w:rsidRDefault="005D02EF" w:rsidP="00B55F24">
            <w:pPr>
              <w:pStyle w:val="TableText"/>
              <w:spacing w:before="40" w:after="40"/>
              <w:rPr>
                <w:rFonts w:cs="Calibri"/>
                <w:szCs w:val="16"/>
              </w:rPr>
            </w:pPr>
            <w:r w:rsidRPr="009E06AA">
              <w:rPr>
                <w:rFonts w:cs="Calibri"/>
                <w:szCs w:val="16"/>
              </w:rPr>
              <w:t>Accuracy</w:t>
            </w:r>
          </w:p>
        </w:tc>
        <w:tc>
          <w:tcPr>
            <w:tcW w:w="2001" w:type="dxa"/>
            <w:shd w:val="clear" w:color="auto" w:fill="FFFFFF"/>
            <w:tcMar>
              <w:top w:w="0" w:type="dxa"/>
              <w:left w:w="85" w:type="dxa"/>
              <w:bottom w:w="0" w:type="dxa"/>
              <w:right w:w="57" w:type="dxa"/>
            </w:tcMar>
          </w:tcPr>
          <w:p w14:paraId="0A633E5E" w14:textId="77777777" w:rsidR="005D02EF" w:rsidRPr="009E06AA" w:rsidRDefault="005D02EF" w:rsidP="00B55F24">
            <w:pPr>
              <w:pStyle w:val="TableText"/>
              <w:spacing w:before="40" w:after="40"/>
              <w:rPr>
                <w:rFonts w:eastAsia="Calibri" w:cs="Calibri"/>
                <w:color w:val="000000"/>
                <w:szCs w:val="16"/>
              </w:rPr>
            </w:pPr>
          </w:p>
        </w:tc>
      </w:tr>
      <w:tr w:rsidR="005D02EF" w:rsidRPr="009E06AA" w14:paraId="244EC5A6" w14:textId="77777777" w:rsidTr="00B55F24">
        <w:tc>
          <w:tcPr>
            <w:tcW w:w="906" w:type="dxa"/>
            <w:shd w:val="clear" w:color="auto" w:fill="FFFFFF"/>
            <w:tcMar>
              <w:left w:w="85" w:type="dxa"/>
              <w:right w:w="57" w:type="dxa"/>
            </w:tcMar>
          </w:tcPr>
          <w:p w14:paraId="1F38FE57" w14:textId="77777777" w:rsidR="005D02EF" w:rsidRPr="009E06AA" w:rsidRDefault="005D02EF" w:rsidP="00B55F24">
            <w:pPr>
              <w:pStyle w:val="TableText"/>
              <w:spacing w:before="40" w:after="40"/>
              <w:rPr>
                <w:rFonts w:cs="Calibri"/>
                <w:szCs w:val="16"/>
              </w:rPr>
            </w:pPr>
          </w:p>
        </w:tc>
        <w:tc>
          <w:tcPr>
            <w:tcW w:w="4481" w:type="dxa"/>
            <w:shd w:val="clear" w:color="auto" w:fill="FFFFFF"/>
            <w:tcMar>
              <w:top w:w="0" w:type="dxa"/>
              <w:left w:w="85" w:type="dxa"/>
              <w:bottom w:w="0" w:type="dxa"/>
              <w:right w:w="57" w:type="dxa"/>
            </w:tcMar>
          </w:tcPr>
          <w:p w14:paraId="6882040E" w14:textId="77777777" w:rsidR="005D02EF" w:rsidRPr="009E06AA" w:rsidRDefault="005D02EF" w:rsidP="00B55F24">
            <w:pPr>
              <w:pStyle w:val="TableText"/>
              <w:spacing w:before="40" w:after="40"/>
              <w:rPr>
                <w:rFonts w:cs="Calibri"/>
                <w:szCs w:val="16"/>
              </w:rPr>
            </w:pPr>
            <w:r w:rsidRPr="009E06AA">
              <w:rPr>
                <w:rFonts w:cs="Calibri"/>
                <w:szCs w:val="16"/>
              </w:rPr>
              <w:t>Improvements and corrections to model code.</w:t>
            </w:r>
          </w:p>
        </w:tc>
        <w:tc>
          <w:tcPr>
            <w:tcW w:w="1134" w:type="dxa"/>
            <w:shd w:val="clear" w:color="auto" w:fill="FFFFFF"/>
            <w:tcMar>
              <w:top w:w="0" w:type="dxa"/>
              <w:left w:w="85" w:type="dxa"/>
              <w:bottom w:w="0" w:type="dxa"/>
              <w:right w:w="57" w:type="dxa"/>
            </w:tcMar>
          </w:tcPr>
          <w:p w14:paraId="5EE26C9E" w14:textId="77777777" w:rsidR="005D02EF" w:rsidRPr="009E06AA" w:rsidRDefault="005D02EF" w:rsidP="00B55F24">
            <w:pPr>
              <w:pStyle w:val="TableText"/>
              <w:spacing w:before="40" w:after="40"/>
              <w:rPr>
                <w:rFonts w:cs="Calibri"/>
                <w:szCs w:val="16"/>
              </w:rPr>
            </w:pPr>
            <w:r w:rsidRPr="009E06AA">
              <w:rPr>
                <w:rFonts w:cs="Calibri"/>
                <w:szCs w:val="16"/>
              </w:rPr>
              <w:t>Accuracy</w:t>
            </w:r>
          </w:p>
        </w:tc>
        <w:tc>
          <w:tcPr>
            <w:tcW w:w="2001" w:type="dxa"/>
            <w:shd w:val="clear" w:color="auto" w:fill="FFFFFF"/>
            <w:tcMar>
              <w:top w:w="0" w:type="dxa"/>
              <w:left w:w="85" w:type="dxa"/>
              <w:bottom w:w="0" w:type="dxa"/>
              <w:right w:w="57" w:type="dxa"/>
            </w:tcMar>
          </w:tcPr>
          <w:p w14:paraId="2F6DD9F1" w14:textId="77777777" w:rsidR="005D02EF" w:rsidRPr="009E06AA" w:rsidRDefault="005D02EF" w:rsidP="00B55F24">
            <w:pPr>
              <w:pStyle w:val="TableText"/>
              <w:spacing w:before="40" w:after="40"/>
              <w:rPr>
                <w:rFonts w:eastAsia="Calibri" w:cs="Calibri"/>
                <w:color w:val="000000"/>
                <w:szCs w:val="16"/>
              </w:rPr>
            </w:pPr>
            <w:r w:rsidRPr="009E06AA">
              <w:rPr>
                <w:rFonts w:eastAsia="Calibri" w:cs="Calibri"/>
                <w:color w:val="000000"/>
                <w:szCs w:val="16"/>
              </w:rPr>
              <w:t>Correction of errors</w:t>
            </w:r>
          </w:p>
        </w:tc>
      </w:tr>
      <w:tr w:rsidR="005D02EF" w:rsidRPr="009E06AA" w14:paraId="22B381E5" w14:textId="77777777" w:rsidTr="00B55F24">
        <w:tc>
          <w:tcPr>
            <w:tcW w:w="906" w:type="dxa"/>
            <w:shd w:val="clear" w:color="auto" w:fill="FFFFFF"/>
            <w:tcMar>
              <w:left w:w="85" w:type="dxa"/>
              <w:right w:w="57" w:type="dxa"/>
            </w:tcMar>
          </w:tcPr>
          <w:p w14:paraId="7D0135A3" w14:textId="77777777" w:rsidR="005D02EF" w:rsidRPr="009E06AA" w:rsidRDefault="005D02EF" w:rsidP="00B55F24">
            <w:pPr>
              <w:pStyle w:val="TableText"/>
              <w:spacing w:before="40" w:after="40"/>
              <w:rPr>
                <w:rFonts w:cs="Calibri"/>
                <w:szCs w:val="16"/>
              </w:rPr>
            </w:pPr>
          </w:p>
        </w:tc>
        <w:tc>
          <w:tcPr>
            <w:tcW w:w="4481" w:type="dxa"/>
            <w:shd w:val="clear" w:color="auto" w:fill="FFFFFF"/>
            <w:tcMar>
              <w:top w:w="0" w:type="dxa"/>
              <w:left w:w="85" w:type="dxa"/>
              <w:bottom w:w="0" w:type="dxa"/>
              <w:right w:w="57" w:type="dxa"/>
            </w:tcMar>
          </w:tcPr>
          <w:p w14:paraId="3273A13B" w14:textId="77777777" w:rsidR="005D02EF" w:rsidRPr="009E06AA" w:rsidRDefault="005D02EF" w:rsidP="00B55F24">
            <w:pPr>
              <w:pStyle w:val="TableText"/>
              <w:spacing w:before="40" w:after="40"/>
              <w:rPr>
                <w:rFonts w:cs="Calibri"/>
                <w:szCs w:val="16"/>
              </w:rPr>
            </w:pPr>
            <w:r w:rsidRPr="009E06AA">
              <w:rPr>
                <w:rFonts w:cs="Calibri"/>
                <w:szCs w:val="16"/>
              </w:rPr>
              <w:t>Migration of the model from an Excel-based system combined with Visual Basic for Applications code to an R-based system.</w:t>
            </w:r>
          </w:p>
        </w:tc>
        <w:tc>
          <w:tcPr>
            <w:tcW w:w="1134" w:type="dxa"/>
            <w:shd w:val="clear" w:color="auto" w:fill="FFFFFF"/>
            <w:tcMar>
              <w:top w:w="0" w:type="dxa"/>
              <w:left w:w="85" w:type="dxa"/>
              <w:bottom w:w="0" w:type="dxa"/>
              <w:right w:w="57" w:type="dxa"/>
            </w:tcMar>
          </w:tcPr>
          <w:p w14:paraId="18FD2762" w14:textId="77777777" w:rsidR="005D02EF" w:rsidRPr="009E06AA" w:rsidRDefault="005D02EF" w:rsidP="00B55F24">
            <w:pPr>
              <w:pStyle w:val="TableText"/>
              <w:spacing w:before="40" w:after="40"/>
              <w:rPr>
                <w:rFonts w:cs="Calibri"/>
                <w:szCs w:val="16"/>
              </w:rPr>
            </w:pPr>
            <w:r w:rsidRPr="009E06AA">
              <w:rPr>
                <w:rFonts w:cs="Calibri"/>
                <w:szCs w:val="16"/>
              </w:rPr>
              <w:t>Transparency</w:t>
            </w:r>
          </w:p>
        </w:tc>
        <w:tc>
          <w:tcPr>
            <w:tcW w:w="2001" w:type="dxa"/>
            <w:shd w:val="clear" w:color="auto" w:fill="FFFFFF"/>
            <w:tcMar>
              <w:top w:w="0" w:type="dxa"/>
              <w:left w:w="85" w:type="dxa"/>
              <w:bottom w:w="0" w:type="dxa"/>
              <w:right w:w="57" w:type="dxa"/>
            </w:tcMar>
          </w:tcPr>
          <w:p w14:paraId="42DC9100" w14:textId="77777777" w:rsidR="005D02EF" w:rsidRPr="009E06AA" w:rsidRDefault="005D02EF" w:rsidP="00B55F24">
            <w:pPr>
              <w:pStyle w:val="TableText"/>
              <w:spacing w:before="40" w:after="40"/>
              <w:rPr>
                <w:rFonts w:eastAsia="Calibri" w:cs="Calibri"/>
                <w:color w:val="000000"/>
                <w:szCs w:val="16"/>
              </w:rPr>
            </w:pPr>
          </w:p>
        </w:tc>
      </w:tr>
      <w:tr w:rsidR="005D02EF" w:rsidRPr="009E06AA" w14:paraId="67602DF6" w14:textId="77777777" w:rsidTr="00B55F24">
        <w:tc>
          <w:tcPr>
            <w:tcW w:w="906" w:type="dxa"/>
            <w:shd w:val="clear" w:color="auto" w:fill="FFFFFF"/>
            <w:tcMar>
              <w:left w:w="85" w:type="dxa"/>
              <w:right w:w="57" w:type="dxa"/>
            </w:tcMar>
          </w:tcPr>
          <w:p w14:paraId="5B8B0050" w14:textId="77777777" w:rsidR="005D02EF" w:rsidRPr="009E06AA" w:rsidRDefault="005D02EF" w:rsidP="00B55F24">
            <w:pPr>
              <w:pStyle w:val="TableText"/>
              <w:spacing w:before="40" w:after="40"/>
              <w:rPr>
                <w:rFonts w:cs="Calibri"/>
                <w:szCs w:val="16"/>
              </w:rPr>
            </w:pPr>
            <w:r w:rsidRPr="009E06AA">
              <w:rPr>
                <w:rFonts w:cs="Calibri"/>
                <w:szCs w:val="16"/>
              </w:rPr>
              <w:t>LULUCF</w:t>
            </w:r>
          </w:p>
        </w:tc>
        <w:tc>
          <w:tcPr>
            <w:tcW w:w="4481" w:type="dxa"/>
            <w:shd w:val="clear" w:color="auto" w:fill="FFFFFF"/>
            <w:tcMar>
              <w:top w:w="0" w:type="dxa"/>
              <w:left w:w="85" w:type="dxa"/>
              <w:bottom w:w="0" w:type="dxa"/>
              <w:right w:w="57" w:type="dxa"/>
            </w:tcMar>
          </w:tcPr>
          <w:p w14:paraId="7E97D9E5" w14:textId="77777777" w:rsidR="005D02EF" w:rsidRPr="009E06AA" w:rsidRDefault="005D02EF" w:rsidP="00B55F24">
            <w:pPr>
              <w:pStyle w:val="TableText"/>
              <w:spacing w:before="40" w:after="40"/>
              <w:rPr>
                <w:rFonts w:cs="Calibri"/>
                <w:szCs w:val="16"/>
              </w:rPr>
            </w:pPr>
            <w:r w:rsidRPr="009E06AA">
              <w:rPr>
                <w:rFonts w:cs="Calibri"/>
                <w:szCs w:val="16"/>
              </w:rPr>
              <w:t>The pre-1990 and post-1989 planted forest yield tables</w:t>
            </w:r>
            <w:r w:rsidRPr="009E06AA">
              <w:rPr>
                <w:rStyle w:val="FootnoteReference"/>
                <w:rFonts w:cs="Calibri"/>
                <w:sz w:val="16"/>
                <w:szCs w:val="16"/>
              </w:rPr>
              <w:footnoteReference w:id="68"/>
            </w:r>
            <w:r w:rsidRPr="009E06AA">
              <w:rPr>
                <w:rFonts w:cs="Calibri"/>
                <w:szCs w:val="16"/>
              </w:rPr>
              <w:t xml:space="preserve"> have been updated to provide more accurate and up-to-date estimates of carbon stock change. Updates to planted forest yield tables have resulted in a decrease in net emissions of approximately 330.8 kilotonnes carbon dioxide equivalent (kt CO</w:t>
            </w:r>
            <w:r w:rsidRPr="009E06AA">
              <w:rPr>
                <w:rFonts w:cs="Calibri"/>
                <w:szCs w:val="16"/>
                <w:vertAlign w:val="subscript"/>
              </w:rPr>
              <w:t>2</w:t>
            </w:r>
            <w:r w:rsidRPr="009E06AA">
              <w:rPr>
                <w:rFonts w:cs="Calibri"/>
                <w:szCs w:val="16"/>
              </w:rPr>
              <w:t>-e) in 1990 and an increase in emissions of approximately 383.2 kt CO</w:t>
            </w:r>
            <w:r w:rsidRPr="009E06AA">
              <w:rPr>
                <w:rFonts w:cs="Calibri"/>
                <w:szCs w:val="16"/>
                <w:vertAlign w:val="subscript"/>
              </w:rPr>
              <w:t>2</w:t>
            </w:r>
            <w:r w:rsidRPr="009E06AA">
              <w:rPr>
                <w:rFonts w:cs="Calibri"/>
                <w:szCs w:val="16"/>
              </w:rPr>
              <w:t>-e in 2021.</w:t>
            </w:r>
          </w:p>
        </w:tc>
        <w:tc>
          <w:tcPr>
            <w:tcW w:w="1134" w:type="dxa"/>
            <w:shd w:val="clear" w:color="auto" w:fill="FFFFFF"/>
            <w:tcMar>
              <w:top w:w="0" w:type="dxa"/>
              <w:left w:w="85" w:type="dxa"/>
              <w:bottom w:w="0" w:type="dxa"/>
              <w:right w:w="57" w:type="dxa"/>
            </w:tcMar>
          </w:tcPr>
          <w:p w14:paraId="228F286B" w14:textId="77777777" w:rsidR="005D02EF" w:rsidRPr="009E06AA" w:rsidRDefault="005D02EF" w:rsidP="00B55F24">
            <w:pPr>
              <w:pStyle w:val="TableText"/>
              <w:spacing w:before="40" w:after="40"/>
              <w:rPr>
                <w:rFonts w:cs="Calibri"/>
                <w:szCs w:val="16"/>
              </w:rPr>
            </w:pPr>
            <w:r w:rsidRPr="009E06AA">
              <w:rPr>
                <w:rFonts w:cs="Calibri"/>
                <w:szCs w:val="16"/>
              </w:rPr>
              <w:t>Accuracy</w:t>
            </w:r>
          </w:p>
        </w:tc>
        <w:tc>
          <w:tcPr>
            <w:tcW w:w="2001" w:type="dxa"/>
            <w:shd w:val="clear" w:color="auto" w:fill="FFFFFF"/>
            <w:tcMar>
              <w:top w:w="0" w:type="dxa"/>
              <w:left w:w="85" w:type="dxa"/>
              <w:bottom w:w="0" w:type="dxa"/>
              <w:right w:w="57" w:type="dxa"/>
            </w:tcMar>
          </w:tcPr>
          <w:p w14:paraId="690E5F05" w14:textId="77777777" w:rsidR="005D02EF" w:rsidRPr="009E06AA" w:rsidRDefault="005D02EF" w:rsidP="00B55F24">
            <w:pPr>
              <w:pStyle w:val="TableText"/>
              <w:spacing w:before="40" w:after="40"/>
              <w:rPr>
                <w:rFonts w:eastAsia="Calibri" w:cs="Calibri"/>
                <w:color w:val="000000"/>
                <w:szCs w:val="16"/>
              </w:rPr>
            </w:pPr>
            <w:r w:rsidRPr="009E06AA">
              <w:rPr>
                <w:rFonts w:eastAsia="Calibri" w:cs="Calibri"/>
                <w:color w:val="000000"/>
                <w:szCs w:val="16"/>
              </w:rPr>
              <w:t>Additional data available; key category improvement (</w:t>
            </w:r>
            <w:r w:rsidRPr="009E06AA">
              <w:rPr>
                <w:rFonts w:eastAsia="Calibri" w:cs="Calibri"/>
                <w:i/>
                <w:iCs/>
                <w:color w:val="000000"/>
                <w:szCs w:val="16"/>
              </w:rPr>
              <w:t>Land converted to forest land</w:t>
            </w:r>
            <w:r w:rsidRPr="009E06AA">
              <w:rPr>
                <w:rFonts w:eastAsia="Calibri" w:cs="Calibri"/>
                <w:color w:val="000000"/>
                <w:szCs w:val="16"/>
              </w:rPr>
              <w:t xml:space="preserve">, </w:t>
            </w:r>
            <w:r w:rsidRPr="009E06AA">
              <w:rPr>
                <w:rFonts w:eastAsia="Calibri" w:cs="Calibri"/>
                <w:i/>
                <w:iCs/>
                <w:color w:val="000000"/>
                <w:szCs w:val="16"/>
              </w:rPr>
              <w:t>Forest land remaining forest land</w:t>
            </w:r>
            <w:r w:rsidRPr="009E06AA">
              <w:rPr>
                <w:rFonts w:eastAsia="Calibri" w:cs="Calibri"/>
                <w:color w:val="000000"/>
                <w:szCs w:val="16"/>
              </w:rPr>
              <w:t>)</w:t>
            </w:r>
          </w:p>
        </w:tc>
      </w:tr>
      <w:tr w:rsidR="005D02EF" w:rsidRPr="009E06AA" w14:paraId="1CD83BED" w14:textId="77777777" w:rsidTr="00B55F24">
        <w:tc>
          <w:tcPr>
            <w:tcW w:w="906" w:type="dxa"/>
            <w:shd w:val="clear" w:color="auto" w:fill="FFFFFF"/>
            <w:tcMar>
              <w:left w:w="85" w:type="dxa"/>
              <w:right w:w="57" w:type="dxa"/>
            </w:tcMar>
          </w:tcPr>
          <w:p w14:paraId="6FD02CD4" w14:textId="77777777" w:rsidR="005D02EF" w:rsidRPr="009E06AA" w:rsidRDefault="005D02EF" w:rsidP="00B55F24">
            <w:pPr>
              <w:pStyle w:val="TableText"/>
              <w:spacing w:before="40" w:after="40"/>
              <w:rPr>
                <w:rFonts w:cs="Calibri"/>
                <w:szCs w:val="16"/>
              </w:rPr>
            </w:pPr>
          </w:p>
        </w:tc>
        <w:tc>
          <w:tcPr>
            <w:tcW w:w="4481" w:type="dxa"/>
            <w:shd w:val="clear" w:color="auto" w:fill="FFFFFF"/>
            <w:tcMar>
              <w:top w:w="0" w:type="dxa"/>
              <w:left w:w="85" w:type="dxa"/>
              <w:bottom w:w="0" w:type="dxa"/>
              <w:right w:w="57" w:type="dxa"/>
            </w:tcMar>
          </w:tcPr>
          <w:p w14:paraId="2054A187" w14:textId="37FA066B" w:rsidR="005D02EF" w:rsidRPr="009E06AA" w:rsidRDefault="005D02EF" w:rsidP="00B55F24">
            <w:pPr>
              <w:pStyle w:val="TableText"/>
              <w:spacing w:before="40" w:after="40"/>
              <w:rPr>
                <w:rFonts w:cs="Calibri"/>
                <w:szCs w:val="16"/>
              </w:rPr>
            </w:pPr>
            <w:r w:rsidRPr="009E06AA">
              <w:rPr>
                <w:rFonts w:cs="Calibri"/>
                <w:szCs w:val="16"/>
              </w:rPr>
              <w:t>A series of planted forest modelling improvements was made. The</w:t>
            </w:r>
            <w:r w:rsidR="009120F3" w:rsidRPr="009E06AA">
              <w:rPr>
                <w:rFonts w:cs="Calibri"/>
                <w:szCs w:val="16"/>
              </w:rPr>
              <w:t> </w:t>
            </w:r>
            <w:r w:rsidRPr="009E06AA">
              <w:rPr>
                <w:rFonts w:cs="Calibri"/>
                <w:szCs w:val="16"/>
              </w:rPr>
              <w:t>key component was a revision of the pre-1990 planted forest harvesting time series between 1980 and 1989. The largest impact occurs in 1990 where net emissions reduced by approximately 3,898.8 kt CO</w:t>
            </w:r>
            <w:r w:rsidRPr="009E06AA">
              <w:rPr>
                <w:rFonts w:cs="Calibri"/>
                <w:szCs w:val="16"/>
                <w:vertAlign w:val="subscript"/>
              </w:rPr>
              <w:t>2</w:t>
            </w:r>
            <w:r w:rsidRPr="009E06AA">
              <w:rPr>
                <w:rFonts w:cs="Calibri"/>
                <w:szCs w:val="16"/>
              </w:rPr>
              <w:t>-e. Net emissions for 2021 increased by approximately 216.9 kt CO</w:t>
            </w:r>
            <w:r w:rsidRPr="009E06AA">
              <w:rPr>
                <w:rFonts w:cs="Calibri"/>
                <w:szCs w:val="16"/>
                <w:vertAlign w:val="subscript"/>
              </w:rPr>
              <w:t>2</w:t>
            </w:r>
            <w:r w:rsidRPr="009E06AA">
              <w:rPr>
                <w:rFonts w:cs="Calibri"/>
                <w:szCs w:val="16"/>
              </w:rPr>
              <w:t>-e.</w:t>
            </w:r>
          </w:p>
        </w:tc>
        <w:tc>
          <w:tcPr>
            <w:tcW w:w="1134" w:type="dxa"/>
            <w:shd w:val="clear" w:color="auto" w:fill="FFFFFF"/>
            <w:tcMar>
              <w:top w:w="0" w:type="dxa"/>
              <w:left w:w="85" w:type="dxa"/>
              <w:bottom w:w="0" w:type="dxa"/>
              <w:right w:w="57" w:type="dxa"/>
            </w:tcMar>
          </w:tcPr>
          <w:p w14:paraId="69C569B8" w14:textId="77777777" w:rsidR="005D02EF" w:rsidRPr="009E06AA" w:rsidRDefault="005D02EF" w:rsidP="00B55F24">
            <w:pPr>
              <w:pStyle w:val="TableText"/>
              <w:spacing w:before="40" w:after="40"/>
              <w:rPr>
                <w:rFonts w:cs="Calibri"/>
                <w:szCs w:val="16"/>
              </w:rPr>
            </w:pPr>
            <w:r w:rsidRPr="009E06AA">
              <w:rPr>
                <w:rFonts w:cs="Calibri"/>
                <w:szCs w:val="16"/>
              </w:rPr>
              <w:t>Consistency</w:t>
            </w:r>
          </w:p>
        </w:tc>
        <w:tc>
          <w:tcPr>
            <w:tcW w:w="2001" w:type="dxa"/>
            <w:shd w:val="clear" w:color="auto" w:fill="FFFFFF"/>
            <w:tcMar>
              <w:top w:w="0" w:type="dxa"/>
              <w:left w:w="85" w:type="dxa"/>
              <w:bottom w:w="0" w:type="dxa"/>
              <w:right w:w="57" w:type="dxa"/>
            </w:tcMar>
          </w:tcPr>
          <w:p w14:paraId="5575A217" w14:textId="77777777" w:rsidR="005D02EF" w:rsidRPr="009E06AA" w:rsidRDefault="005D02EF" w:rsidP="00B55F24">
            <w:pPr>
              <w:pStyle w:val="TableText"/>
              <w:spacing w:before="40" w:after="40"/>
              <w:rPr>
                <w:rFonts w:eastAsia="Calibri" w:cs="Calibri"/>
                <w:color w:val="000000"/>
                <w:szCs w:val="16"/>
              </w:rPr>
            </w:pPr>
            <w:r w:rsidRPr="009E06AA">
              <w:rPr>
                <w:rFonts w:eastAsia="Calibri" w:cs="Calibri"/>
                <w:color w:val="000000"/>
                <w:szCs w:val="16"/>
              </w:rPr>
              <w:t>Consistency; key category improvement (</w:t>
            </w:r>
            <w:r w:rsidRPr="009E06AA">
              <w:rPr>
                <w:rFonts w:eastAsia="Calibri" w:cs="Calibri"/>
                <w:i/>
                <w:iCs/>
                <w:color w:val="000000"/>
                <w:szCs w:val="16"/>
              </w:rPr>
              <w:t>Forest land remaining forest land</w:t>
            </w:r>
            <w:r w:rsidRPr="009E06AA">
              <w:rPr>
                <w:rFonts w:eastAsia="Calibri" w:cs="Calibri"/>
                <w:color w:val="000000"/>
                <w:szCs w:val="16"/>
              </w:rPr>
              <w:t xml:space="preserve">, </w:t>
            </w:r>
            <w:r w:rsidRPr="009E06AA">
              <w:rPr>
                <w:rFonts w:eastAsia="Calibri" w:cs="Calibri"/>
                <w:i/>
                <w:iCs/>
                <w:color w:val="000000"/>
                <w:szCs w:val="16"/>
              </w:rPr>
              <w:t>Land converted to forest land</w:t>
            </w:r>
            <w:r w:rsidRPr="009E06AA">
              <w:rPr>
                <w:rFonts w:eastAsia="Calibri" w:cs="Calibri"/>
                <w:color w:val="000000"/>
                <w:szCs w:val="16"/>
              </w:rPr>
              <w:t xml:space="preserve">, </w:t>
            </w:r>
            <w:r w:rsidRPr="009E06AA">
              <w:rPr>
                <w:rFonts w:eastAsia="Calibri" w:cs="Calibri"/>
                <w:i/>
                <w:iCs/>
                <w:color w:val="000000"/>
                <w:szCs w:val="16"/>
              </w:rPr>
              <w:t>Land converted to grassland</w:t>
            </w:r>
            <w:r w:rsidRPr="009E06AA">
              <w:rPr>
                <w:rFonts w:eastAsia="Calibri" w:cs="Calibri"/>
                <w:color w:val="000000"/>
                <w:szCs w:val="16"/>
              </w:rPr>
              <w:t>)</w:t>
            </w:r>
          </w:p>
        </w:tc>
      </w:tr>
      <w:tr w:rsidR="005D02EF" w:rsidRPr="009E06AA" w14:paraId="795D93E6" w14:textId="77777777" w:rsidTr="00B55F24">
        <w:tc>
          <w:tcPr>
            <w:tcW w:w="906" w:type="dxa"/>
            <w:shd w:val="clear" w:color="auto" w:fill="FFFFFF"/>
            <w:tcMar>
              <w:left w:w="85" w:type="dxa"/>
              <w:right w:w="57" w:type="dxa"/>
            </w:tcMar>
          </w:tcPr>
          <w:p w14:paraId="2E7FB855" w14:textId="77777777" w:rsidR="005D02EF" w:rsidRPr="009E06AA" w:rsidRDefault="005D02EF" w:rsidP="00B55F24">
            <w:pPr>
              <w:pStyle w:val="TableText"/>
              <w:spacing w:before="40" w:after="40"/>
              <w:rPr>
                <w:rFonts w:cs="Calibri"/>
                <w:szCs w:val="16"/>
              </w:rPr>
            </w:pPr>
          </w:p>
        </w:tc>
        <w:tc>
          <w:tcPr>
            <w:tcW w:w="4481" w:type="dxa"/>
            <w:shd w:val="clear" w:color="auto" w:fill="FFFFFF"/>
            <w:tcMar>
              <w:top w:w="0" w:type="dxa"/>
              <w:left w:w="85" w:type="dxa"/>
              <w:bottom w:w="0" w:type="dxa"/>
              <w:right w:w="57" w:type="dxa"/>
            </w:tcMar>
          </w:tcPr>
          <w:p w14:paraId="74CF686C" w14:textId="4347D845" w:rsidR="005D02EF" w:rsidRPr="009E06AA" w:rsidRDefault="005D02EF" w:rsidP="00B55F24">
            <w:pPr>
              <w:pStyle w:val="TableText"/>
              <w:spacing w:before="40" w:after="40"/>
              <w:rPr>
                <w:rFonts w:cs="Calibri"/>
                <w:szCs w:val="16"/>
              </w:rPr>
            </w:pPr>
            <w:r w:rsidRPr="009E06AA">
              <w:rPr>
                <w:rFonts w:cs="Calibri"/>
                <w:szCs w:val="16"/>
              </w:rPr>
              <w:t>A new land use map (LUM 2020) was introduced, including wall-to-wall mapping of land-use change up to 31 December 2020. The</w:t>
            </w:r>
            <w:r w:rsidR="009120F3" w:rsidRPr="009E06AA">
              <w:rPr>
                <w:rFonts w:cs="Calibri"/>
                <w:szCs w:val="16"/>
              </w:rPr>
              <w:t> </w:t>
            </w:r>
            <w:r w:rsidRPr="009E06AA">
              <w:rPr>
                <w:rFonts w:cs="Calibri"/>
                <w:szCs w:val="16"/>
              </w:rPr>
              <w:t>LUM 2020 incorporated a number of mapping updates. The cumulative impact of these mapping updates increased 1990 net emissions by 46.7 kt CO</w:t>
            </w:r>
            <w:r w:rsidRPr="009E06AA">
              <w:rPr>
                <w:rFonts w:cs="Calibri"/>
                <w:szCs w:val="16"/>
                <w:vertAlign w:val="subscript"/>
              </w:rPr>
              <w:t>2</w:t>
            </w:r>
            <w:r w:rsidRPr="009E06AA">
              <w:rPr>
                <w:rFonts w:cs="Calibri"/>
                <w:szCs w:val="16"/>
              </w:rPr>
              <w:t>-e and increased 2021 net emissions by 54.1 kt CO</w:t>
            </w:r>
            <w:r w:rsidRPr="009E06AA">
              <w:rPr>
                <w:rFonts w:cs="Calibri"/>
                <w:szCs w:val="16"/>
                <w:vertAlign w:val="subscript"/>
              </w:rPr>
              <w:t>2</w:t>
            </w:r>
            <w:r w:rsidRPr="009E06AA">
              <w:rPr>
                <w:rFonts w:cs="Calibri"/>
                <w:szCs w:val="16"/>
              </w:rPr>
              <w:t>-e.</w:t>
            </w:r>
          </w:p>
        </w:tc>
        <w:tc>
          <w:tcPr>
            <w:tcW w:w="1134" w:type="dxa"/>
            <w:shd w:val="clear" w:color="auto" w:fill="FFFFFF"/>
            <w:tcMar>
              <w:top w:w="0" w:type="dxa"/>
              <w:left w:w="85" w:type="dxa"/>
              <w:bottom w:w="0" w:type="dxa"/>
              <w:right w:w="57" w:type="dxa"/>
            </w:tcMar>
          </w:tcPr>
          <w:p w14:paraId="53E5E561" w14:textId="77777777" w:rsidR="005D02EF" w:rsidRPr="009E06AA" w:rsidRDefault="005D02EF" w:rsidP="00B55F24">
            <w:pPr>
              <w:pStyle w:val="TableText"/>
              <w:spacing w:before="40" w:after="40"/>
              <w:rPr>
                <w:rFonts w:cs="Calibri"/>
                <w:szCs w:val="16"/>
              </w:rPr>
            </w:pPr>
            <w:r w:rsidRPr="009E06AA">
              <w:rPr>
                <w:rFonts w:cs="Calibri"/>
                <w:szCs w:val="16"/>
              </w:rPr>
              <w:t>Accuracy</w:t>
            </w:r>
          </w:p>
        </w:tc>
        <w:tc>
          <w:tcPr>
            <w:tcW w:w="2001" w:type="dxa"/>
            <w:shd w:val="clear" w:color="auto" w:fill="FFFFFF"/>
            <w:tcMar>
              <w:top w:w="0" w:type="dxa"/>
              <w:left w:w="85" w:type="dxa"/>
              <w:bottom w:w="0" w:type="dxa"/>
              <w:right w:w="57" w:type="dxa"/>
            </w:tcMar>
          </w:tcPr>
          <w:p w14:paraId="359D94AD" w14:textId="77777777" w:rsidR="005D02EF" w:rsidRPr="009E06AA" w:rsidRDefault="005D02EF" w:rsidP="00B55F24">
            <w:pPr>
              <w:pStyle w:val="TableText"/>
              <w:spacing w:before="40" w:after="40"/>
              <w:rPr>
                <w:rFonts w:eastAsia="Calibri" w:cs="Calibri"/>
                <w:color w:val="000000"/>
                <w:szCs w:val="16"/>
              </w:rPr>
            </w:pPr>
            <w:r w:rsidRPr="009E06AA">
              <w:rPr>
                <w:rFonts w:eastAsia="Calibri" w:cs="Calibri"/>
                <w:color w:val="000000"/>
                <w:szCs w:val="16"/>
              </w:rPr>
              <w:t>Additional data available</w:t>
            </w:r>
          </w:p>
        </w:tc>
      </w:tr>
      <w:tr w:rsidR="005D02EF" w:rsidRPr="009E06AA" w14:paraId="2ADD0FB7" w14:textId="77777777" w:rsidTr="00B55F24">
        <w:tc>
          <w:tcPr>
            <w:tcW w:w="906" w:type="dxa"/>
            <w:shd w:val="clear" w:color="auto" w:fill="FFFFFF"/>
            <w:tcMar>
              <w:left w:w="85" w:type="dxa"/>
              <w:right w:w="57" w:type="dxa"/>
            </w:tcMar>
          </w:tcPr>
          <w:p w14:paraId="15FFE3B5" w14:textId="77777777" w:rsidR="005D02EF" w:rsidRPr="009E06AA" w:rsidRDefault="005D02EF" w:rsidP="00B55F24">
            <w:pPr>
              <w:pStyle w:val="TableText"/>
              <w:spacing w:before="40" w:after="40"/>
              <w:rPr>
                <w:rFonts w:cs="Calibri"/>
                <w:szCs w:val="16"/>
              </w:rPr>
            </w:pPr>
          </w:p>
        </w:tc>
        <w:tc>
          <w:tcPr>
            <w:tcW w:w="4481" w:type="dxa"/>
            <w:shd w:val="clear" w:color="auto" w:fill="FFFFFF"/>
            <w:tcMar>
              <w:top w:w="0" w:type="dxa"/>
              <w:left w:w="85" w:type="dxa"/>
              <w:bottom w:w="0" w:type="dxa"/>
              <w:right w:w="57" w:type="dxa"/>
            </w:tcMar>
          </w:tcPr>
          <w:p w14:paraId="14CF41B1" w14:textId="08FF3707" w:rsidR="005D02EF" w:rsidRPr="009E06AA" w:rsidRDefault="005D02EF" w:rsidP="00B55F24">
            <w:pPr>
              <w:pStyle w:val="TableText"/>
              <w:spacing w:before="40" w:after="40"/>
              <w:rPr>
                <w:rFonts w:cs="Calibri"/>
                <w:szCs w:val="16"/>
              </w:rPr>
            </w:pPr>
            <w:r w:rsidRPr="009E06AA">
              <w:rPr>
                <w:rFonts w:cs="Calibri"/>
                <w:szCs w:val="16"/>
              </w:rPr>
              <w:t xml:space="preserve">Improvements to the method used to estimate deforestation have been made. </w:t>
            </w:r>
            <w:r w:rsidRPr="009E06AA">
              <w:rPr>
                <w:rStyle w:val="CommentReference"/>
                <w:rFonts w:cs="Calibri"/>
              </w:rPr>
              <w:t>T</w:t>
            </w:r>
            <w:r w:rsidRPr="009E06AA">
              <w:rPr>
                <w:rFonts w:cs="Calibri"/>
                <w:szCs w:val="16"/>
              </w:rPr>
              <w:t>he emissions impact of revising the deforestation estimate for 2021 is an increase of approximately 374.9 kt CO</w:t>
            </w:r>
            <w:r w:rsidRPr="009E06AA">
              <w:rPr>
                <w:rFonts w:cs="Calibri"/>
                <w:szCs w:val="16"/>
                <w:vertAlign w:val="subscript"/>
              </w:rPr>
              <w:t>2</w:t>
            </w:r>
            <w:r w:rsidRPr="009E06AA">
              <w:rPr>
                <w:rFonts w:cs="Calibri"/>
                <w:szCs w:val="16"/>
              </w:rPr>
              <w:t>-e (for further detail on this improvement, see chapter 6, section</w:t>
            </w:r>
            <w:r w:rsidRPr="009E06AA" w:rsidDel="00A333FE">
              <w:rPr>
                <w:rFonts w:cs="Calibri"/>
                <w:szCs w:val="16"/>
              </w:rPr>
              <w:t xml:space="preserve"> </w:t>
            </w:r>
            <w:r w:rsidRPr="009E06AA">
              <w:rPr>
                <w:rFonts w:cs="Calibri"/>
                <w:szCs w:val="16"/>
              </w:rPr>
              <w:t xml:space="preserve">6.4.5 and annex </w:t>
            </w:r>
            <w:r w:rsidR="009120F3" w:rsidRPr="009E06AA">
              <w:rPr>
                <w:rFonts w:cs="Calibri"/>
                <w:szCs w:val="16"/>
              </w:rPr>
              <w:t>5</w:t>
            </w:r>
            <w:r w:rsidRPr="009E06AA">
              <w:rPr>
                <w:rFonts w:cs="Calibri"/>
                <w:szCs w:val="16"/>
              </w:rPr>
              <w:t>, section A</w:t>
            </w:r>
            <w:r w:rsidR="009120F3" w:rsidRPr="009E06AA">
              <w:rPr>
                <w:rFonts w:cs="Calibri"/>
                <w:szCs w:val="16"/>
              </w:rPr>
              <w:t>5</w:t>
            </w:r>
            <w:r w:rsidRPr="009E06AA">
              <w:rPr>
                <w:rFonts w:cs="Calibri"/>
                <w:szCs w:val="16"/>
              </w:rPr>
              <w:t xml:space="preserve">.2.2). </w:t>
            </w:r>
          </w:p>
        </w:tc>
        <w:tc>
          <w:tcPr>
            <w:tcW w:w="1134" w:type="dxa"/>
            <w:shd w:val="clear" w:color="auto" w:fill="FFFFFF"/>
            <w:tcMar>
              <w:top w:w="0" w:type="dxa"/>
              <w:left w:w="85" w:type="dxa"/>
              <w:bottom w:w="0" w:type="dxa"/>
              <w:right w:w="57" w:type="dxa"/>
            </w:tcMar>
          </w:tcPr>
          <w:p w14:paraId="6E17D9D9" w14:textId="77777777" w:rsidR="005D02EF" w:rsidRPr="009E06AA" w:rsidRDefault="005D02EF" w:rsidP="00B55F24">
            <w:pPr>
              <w:pStyle w:val="TableText"/>
              <w:spacing w:before="40" w:after="40"/>
              <w:rPr>
                <w:rFonts w:cs="Calibri"/>
                <w:szCs w:val="16"/>
              </w:rPr>
            </w:pPr>
            <w:r w:rsidRPr="009E06AA">
              <w:rPr>
                <w:rFonts w:cs="Calibri"/>
                <w:szCs w:val="16"/>
              </w:rPr>
              <w:t>Accuracy</w:t>
            </w:r>
          </w:p>
        </w:tc>
        <w:tc>
          <w:tcPr>
            <w:tcW w:w="2001" w:type="dxa"/>
            <w:shd w:val="clear" w:color="auto" w:fill="FFFFFF"/>
            <w:tcMar>
              <w:top w:w="0" w:type="dxa"/>
              <w:left w:w="85" w:type="dxa"/>
              <w:bottom w:w="0" w:type="dxa"/>
              <w:right w:w="57" w:type="dxa"/>
            </w:tcMar>
          </w:tcPr>
          <w:p w14:paraId="240D3CAA" w14:textId="77777777" w:rsidR="005D02EF" w:rsidRPr="009E06AA" w:rsidRDefault="005D02EF" w:rsidP="00B55F24">
            <w:pPr>
              <w:pStyle w:val="TableText"/>
              <w:spacing w:before="40" w:after="40"/>
              <w:rPr>
                <w:rFonts w:eastAsia="Calibri" w:cs="Calibri"/>
                <w:color w:val="000000"/>
                <w:szCs w:val="16"/>
              </w:rPr>
            </w:pPr>
            <w:r w:rsidRPr="009E06AA">
              <w:rPr>
                <w:rFonts w:eastAsia="Calibri" w:cs="Calibri"/>
                <w:color w:val="000000"/>
                <w:szCs w:val="16"/>
              </w:rPr>
              <w:t>Additional data available; key category improvement (</w:t>
            </w:r>
            <w:r w:rsidRPr="009E06AA">
              <w:rPr>
                <w:rFonts w:eastAsia="Calibri" w:cs="Calibri"/>
                <w:i/>
                <w:iCs/>
                <w:color w:val="000000"/>
                <w:szCs w:val="16"/>
              </w:rPr>
              <w:t>Land converted to grassland</w:t>
            </w:r>
            <w:r w:rsidRPr="009E06AA">
              <w:rPr>
                <w:rFonts w:eastAsia="Calibri" w:cs="Calibri"/>
                <w:color w:val="000000"/>
                <w:szCs w:val="16"/>
              </w:rPr>
              <w:t>)</w:t>
            </w:r>
          </w:p>
        </w:tc>
      </w:tr>
      <w:tr w:rsidR="005D02EF" w:rsidRPr="009E06AA" w14:paraId="3BDE733F" w14:textId="77777777" w:rsidTr="00B55F24">
        <w:tc>
          <w:tcPr>
            <w:tcW w:w="906" w:type="dxa"/>
            <w:shd w:val="clear" w:color="auto" w:fill="FFFFFF"/>
            <w:tcMar>
              <w:left w:w="85" w:type="dxa"/>
              <w:right w:w="57" w:type="dxa"/>
            </w:tcMar>
          </w:tcPr>
          <w:p w14:paraId="7DB09DAB" w14:textId="77777777" w:rsidR="005D02EF" w:rsidRPr="009E06AA" w:rsidRDefault="005D02EF" w:rsidP="00B55F24">
            <w:pPr>
              <w:pStyle w:val="TableText"/>
              <w:spacing w:before="40" w:after="40"/>
              <w:rPr>
                <w:rFonts w:cs="Calibri"/>
                <w:szCs w:val="16"/>
              </w:rPr>
            </w:pPr>
          </w:p>
        </w:tc>
        <w:tc>
          <w:tcPr>
            <w:tcW w:w="4481" w:type="dxa"/>
            <w:shd w:val="clear" w:color="auto" w:fill="FFFFFF"/>
            <w:tcMar>
              <w:top w:w="0" w:type="dxa"/>
              <w:left w:w="85" w:type="dxa"/>
              <w:bottom w:w="0" w:type="dxa"/>
              <w:right w:w="57" w:type="dxa"/>
            </w:tcMar>
          </w:tcPr>
          <w:p w14:paraId="7B9DA02E" w14:textId="2912D9E9" w:rsidR="005D02EF" w:rsidRPr="009E06AA" w:rsidRDefault="005D02EF" w:rsidP="00B55F24">
            <w:pPr>
              <w:pStyle w:val="TableText"/>
              <w:spacing w:before="40" w:after="40"/>
              <w:rPr>
                <w:rFonts w:cs="Calibri"/>
                <w:szCs w:val="16"/>
              </w:rPr>
            </w:pPr>
            <w:r w:rsidRPr="009E06AA">
              <w:rPr>
                <w:rFonts w:cs="Calibri"/>
                <w:szCs w:val="16"/>
              </w:rPr>
              <w:t>The harvested wood product model has been updated to incorporate New Zealand-specific weighted half-life values for harvested wood products produced and consumed in both the domestic and export markets. The emissions impact of this change</w:t>
            </w:r>
            <w:r w:rsidR="000D1760" w:rsidRPr="009E06AA">
              <w:rPr>
                <w:rFonts w:cs="Calibri"/>
                <w:szCs w:val="16"/>
              </w:rPr>
              <w:t> </w:t>
            </w:r>
            <w:r w:rsidRPr="009E06AA">
              <w:rPr>
                <w:rFonts w:cs="Calibri"/>
                <w:szCs w:val="16"/>
              </w:rPr>
              <w:t>is an increase in emissions of approximately 43.2 kt CO</w:t>
            </w:r>
            <w:r w:rsidRPr="009E06AA">
              <w:rPr>
                <w:rFonts w:cs="Calibri"/>
                <w:szCs w:val="16"/>
                <w:vertAlign w:val="subscript"/>
              </w:rPr>
              <w:t>2</w:t>
            </w:r>
            <w:r w:rsidRPr="009E06AA">
              <w:rPr>
                <w:rFonts w:cs="Calibri"/>
                <w:szCs w:val="16"/>
              </w:rPr>
              <w:t>-e in 1990 and an increase in emissions of approximately 157.8 kt CO</w:t>
            </w:r>
            <w:r w:rsidRPr="009E06AA">
              <w:rPr>
                <w:rFonts w:cs="Calibri"/>
                <w:szCs w:val="16"/>
                <w:vertAlign w:val="subscript"/>
              </w:rPr>
              <w:t>2</w:t>
            </w:r>
            <w:r w:rsidRPr="009E06AA">
              <w:rPr>
                <w:rFonts w:cs="Calibri"/>
                <w:szCs w:val="16"/>
              </w:rPr>
              <w:t>-e in 2021.</w:t>
            </w:r>
          </w:p>
        </w:tc>
        <w:tc>
          <w:tcPr>
            <w:tcW w:w="1134" w:type="dxa"/>
            <w:shd w:val="clear" w:color="auto" w:fill="FFFFFF"/>
            <w:tcMar>
              <w:top w:w="0" w:type="dxa"/>
              <w:left w:w="85" w:type="dxa"/>
              <w:bottom w:w="0" w:type="dxa"/>
              <w:right w:w="57" w:type="dxa"/>
            </w:tcMar>
          </w:tcPr>
          <w:p w14:paraId="6916F6AD" w14:textId="77777777" w:rsidR="005D02EF" w:rsidRPr="009E06AA" w:rsidRDefault="005D02EF" w:rsidP="00B55F24">
            <w:pPr>
              <w:pStyle w:val="TableText"/>
              <w:spacing w:before="40" w:after="40"/>
              <w:rPr>
                <w:rFonts w:cs="Calibri"/>
                <w:szCs w:val="16"/>
              </w:rPr>
            </w:pPr>
            <w:r w:rsidRPr="009E06AA">
              <w:rPr>
                <w:rFonts w:cs="Calibri"/>
                <w:szCs w:val="16"/>
              </w:rPr>
              <w:t>Accuracy</w:t>
            </w:r>
          </w:p>
        </w:tc>
        <w:tc>
          <w:tcPr>
            <w:tcW w:w="2001" w:type="dxa"/>
            <w:shd w:val="clear" w:color="auto" w:fill="FFFFFF"/>
            <w:tcMar>
              <w:top w:w="0" w:type="dxa"/>
              <w:left w:w="85" w:type="dxa"/>
              <w:bottom w:w="0" w:type="dxa"/>
              <w:right w:w="57" w:type="dxa"/>
            </w:tcMar>
          </w:tcPr>
          <w:p w14:paraId="31022F54" w14:textId="77777777" w:rsidR="005D02EF" w:rsidRPr="009E06AA" w:rsidRDefault="005D02EF" w:rsidP="00B55F24">
            <w:pPr>
              <w:pStyle w:val="TableText"/>
              <w:spacing w:before="40" w:after="40"/>
              <w:rPr>
                <w:rFonts w:eastAsia="Calibri" w:cs="Calibri"/>
                <w:color w:val="000000"/>
                <w:szCs w:val="16"/>
              </w:rPr>
            </w:pPr>
            <w:r w:rsidRPr="009E06AA">
              <w:rPr>
                <w:rFonts w:eastAsia="Calibri" w:cs="Calibri"/>
                <w:color w:val="000000"/>
                <w:szCs w:val="16"/>
              </w:rPr>
              <w:t>Transparency; key category improvement (</w:t>
            </w:r>
            <w:r w:rsidRPr="009E06AA">
              <w:rPr>
                <w:rFonts w:eastAsia="Calibri" w:cs="Calibri"/>
                <w:i/>
                <w:iCs/>
                <w:color w:val="000000"/>
                <w:szCs w:val="16"/>
              </w:rPr>
              <w:t>Harvested wood products</w:t>
            </w:r>
            <w:r w:rsidRPr="009E06AA">
              <w:rPr>
                <w:rFonts w:eastAsia="Calibri" w:cs="Calibri"/>
                <w:color w:val="000000"/>
                <w:szCs w:val="16"/>
              </w:rPr>
              <w:t>)</w:t>
            </w:r>
          </w:p>
        </w:tc>
      </w:tr>
      <w:tr w:rsidR="005D02EF" w:rsidRPr="009E06AA" w14:paraId="47CA335E" w14:textId="77777777" w:rsidTr="00B55F24">
        <w:tc>
          <w:tcPr>
            <w:tcW w:w="906" w:type="dxa"/>
            <w:shd w:val="clear" w:color="auto" w:fill="FFFFFF"/>
            <w:tcMar>
              <w:left w:w="85" w:type="dxa"/>
              <w:right w:w="57" w:type="dxa"/>
            </w:tcMar>
          </w:tcPr>
          <w:p w14:paraId="5FF80789" w14:textId="77777777" w:rsidR="005D02EF" w:rsidRPr="009E06AA" w:rsidRDefault="005D02EF" w:rsidP="00B55F24">
            <w:pPr>
              <w:pStyle w:val="TableText"/>
              <w:spacing w:before="40" w:after="40"/>
              <w:rPr>
                <w:rFonts w:cs="Calibri"/>
                <w:szCs w:val="16"/>
              </w:rPr>
            </w:pPr>
            <w:r w:rsidRPr="009E06AA">
              <w:rPr>
                <w:rFonts w:cs="Calibri"/>
                <w:szCs w:val="16"/>
              </w:rPr>
              <w:t>Waste</w:t>
            </w:r>
          </w:p>
        </w:tc>
        <w:tc>
          <w:tcPr>
            <w:tcW w:w="4481" w:type="dxa"/>
            <w:shd w:val="clear" w:color="auto" w:fill="FFFFFF"/>
            <w:tcMar>
              <w:top w:w="0" w:type="dxa"/>
              <w:left w:w="85" w:type="dxa"/>
              <w:bottom w:w="0" w:type="dxa"/>
              <w:right w:w="57" w:type="dxa"/>
            </w:tcMar>
          </w:tcPr>
          <w:p w14:paraId="4945EFD5" w14:textId="7D8F6BBC" w:rsidR="005D02EF" w:rsidRPr="009E06AA" w:rsidRDefault="005D02EF" w:rsidP="00B55F24">
            <w:pPr>
              <w:pStyle w:val="TableText"/>
              <w:spacing w:before="40" w:after="40"/>
              <w:rPr>
                <w:rFonts w:cs="Calibri"/>
                <w:szCs w:val="16"/>
              </w:rPr>
            </w:pPr>
            <w:r w:rsidRPr="009E06AA">
              <w:rPr>
                <w:rFonts w:cs="Calibri"/>
                <w:szCs w:val="16"/>
              </w:rPr>
              <w:t xml:space="preserve">Estimated emissions from </w:t>
            </w:r>
            <w:r w:rsidRPr="009E06AA">
              <w:rPr>
                <w:rFonts w:cs="Calibri"/>
                <w:i/>
                <w:iCs/>
                <w:szCs w:val="16"/>
              </w:rPr>
              <w:t>Managed waste disposal sites</w:t>
            </w:r>
            <w:r w:rsidRPr="009E06AA">
              <w:rPr>
                <w:rFonts w:cs="Calibri"/>
                <w:szCs w:val="16"/>
              </w:rPr>
              <w:t xml:space="preserve"> (5.A.1.a) have not changed in 1990 and have increased by 4.8 kt CO</w:t>
            </w:r>
            <w:r w:rsidRPr="009E06AA">
              <w:rPr>
                <w:rFonts w:cs="Calibri"/>
                <w:szCs w:val="16"/>
                <w:vertAlign w:val="subscript"/>
              </w:rPr>
              <w:t>2</w:t>
            </w:r>
            <w:r w:rsidRPr="009E06AA">
              <w:rPr>
                <w:rFonts w:cs="Calibri"/>
                <w:szCs w:val="16"/>
              </w:rPr>
              <w:t>-e (0.4</w:t>
            </w:r>
            <w:r w:rsidR="009120F3" w:rsidRPr="009E06AA">
              <w:rPr>
                <w:rFonts w:cs="Calibri"/>
                <w:szCs w:val="16"/>
              </w:rPr>
              <w:t> </w:t>
            </w:r>
            <w:r w:rsidRPr="009E06AA">
              <w:rPr>
                <w:rFonts w:cs="Calibri"/>
                <w:szCs w:val="16"/>
              </w:rPr>
              <w:t>per cent) in 2021. This is due to the effects of updating the gas capture status for one landfill.</w:t>
            </w:r>
          </w:p>
        </w:tc>
        <w:tc>
          <w:tcPr>
            <w:tcW w:w="1134" w:type="dxa"/>
            <w:shd w:val="clear" w:color="auto" w:fill="FFFFFF"/>
            <w:tcMar>
              <w:top w:w="0" w:type="dxa"/>
              <w:left w:w="85" w:type="dxa"/>
              <w:bottom w:w="0" w:type="dxa"/>
              <w:right w:w="57" w:type="dxa"/>
            </w:tcMar>
          </w:tcPr>
          <w:p w14:paraId="1B0E88C9" w14:textId="77777777" w:rsidR="005D02EF" w:rsidRPr="009E06AA" w:rsidRDefault="005D02EF" w:rsidP="00B55F24">
            <w:pPr>
              <w:pStyle w:val="TableText"/>
              <w:spacing w:before="40" w:after="40"/>
              <w:rPr>
                <w:rFonts w:cs="Calibri"/>
                <w:szCs w:val="16"/>
              </w:rPr>
            </w:pPr>
            <w:r w:rsidRPr="009E06AA">
              <w:rPr>
                <w:rFonts w:cs="Calibri"/>
                <w:szCs w:val="16"/>
              </w:rPr>
              <w:t>Accuracy</w:t>
            </w:r>
          </w:p>
        </w:tc>
        <w:tc>
          <w:tcPr>
            <w:tcW w:w="2001" w:type="dxa"/>
            <w:shd w:val="clear" w:color="auto" w:fill="FFFFFF"/>
            <w:tcMar>
              <w:top w:w="0" w:type="dxa"/>
              <w:left w:w="85" w:type="dxa"/>
              <w:bottom w:w="0" w:type="dxa"/>
              <w:right w:w="57" w:type="dxa"/>
            </w:tcMar>
          </w:tcPr>
          <w:p w14:paraId="17A248A9" w14:textId="77777777" w:rsidR="005D02EF" w:rsidRPr="009E06AA" w:rsidRDefault="005D02EF" w:rsidP="00B55F24">
            <w:pPr>
              <w:pStyle w:val="TableText"/>
              <w:spacing w:before="40" w:after="40"/>
              <w:rPr>
                <w:rFonts w:eastAsia="Calibri" w:cs="Calibri"/>
                <w:color w:val="000000"/>
                <w:szCs w:val="16"/>
              </w:rPr>
            </w:pPr>
            <w:r w:rsidRPr="009E06AA">
              <w:rPr>
                <w:rFonts w:eastAsia="Calibri" w:cs="Calibri"/>
                <w:color w:val="000000"/>
                <w:szCs w:val="16"/>
              </w:rPr>
              <w:t xml:space="preserve">Key category improvement: </w:t>
            </w:r>
            <w:r w:rsidRPr="009E06AA">
              <w:rPr>
                <w:rFonts w:eastAsia="Calibri" w:cs="Calibri"/>
                <w:i/>
                <w:iCs/>
                <w:color w:val="000000"/>
                <w:szCs w:val="16"/>
              </w:rPr>
              <w:t>Solid waste disposal</w:t>
            </w:r>
          </w:p>
        </w:tc>
      </w:tr>
      <w:tr w:rsidR="005D02EF" w:rsidRPr="009E06AA" w14:paraId="407ECBD7" w14:textId="77777777" w:rsidTr="00B55F24">
        <w:tc>
          <w:tcPr>
            <w:tcW w:w="906" w:type="dxa"/>
            <w:shd w:val="clear" w:color="auto" w:fill="FFFFFF"/>
            <w:tcMar>
              <w:left w:w="85" w:type="dxa"/>
              <w:right w:w="57" w:type="dxa"/>
            </w:tcMar>
          </w:tcPr>
          <w:p w14:paraId="33216AED" w14:textId="77777777" w:rsidR="005D02EF" w:rsidRPr="009E06AA" w:rsidRDefault="005D02EF" w:rsidP="00B55F24">
            <w:pPr>
              <w:pStyle w:val="TableText"/>
              <w:keepNext/>
              <w:spacing w:before="40" w:after="40"/>
              <w:rPr>
                <w:rFonts w:cs="Calibri"/>
                <w:szCs w:val="16"/>
              </w:rPr>
            </w:pPr>
          </w:p>
        </w:tc>
        <w:tc>
          <w:tcPr>
            <w:tcW w:w="4481" w:type="dxa"/>
            <w:shd w:val="clear" w:color="auto" w:fill="FFFFFF"/>
            <w:tcMar>
              <w:top w:w="0" w:type="dxa"/>
              <w:left w:w="85" w:type="dxa"/>
              <w:bottom w:w="0" w:type="dxa"/>
              <w:right w:w="57" w:type="dxa"/>
            </w:tcMar>
          </w:tcPr>
          <w:p w14:paraId="240FCE68" w14:textId="77777777" w:rsidR="005D02EF" w:rsidRPr="009E06AA" w:rsidRDefault="005D02EF" w:rsidP="00B55F24">
            <w:pPr>
              <w:pStyle w:val="TableText"/>
              <w:spacing w:before="40" w:after="40"/>
              <w:rPr>
                <w:rFonts w:cs="Calibri"/>
                <w:szCs w:val="16"/>
              </w:rPr>
            </w:pPr>
            <w:r w:rsidRPr="009E06AA">
              <w:rPr>
                <w:rFonts w:cs="Calibri"/>
                <w:szCs w:val="16"/>
              </w:rPr>
              <w:t xml:space="preserve">Estimated emissions from </w:t>
            </w:r>
            <w:r w:rsidRPr="009E06AA">
              <w:rPr>
                <w:rFonts w:cs="Calibri"/>
                <w:i/>
                <w:iCs/>
                <w:szCs w:val="16"/>
              </w:rPr>
              <w:t>Unmanaged landfills</w:t>
            </w:r>
            <w:r w:rsidRPr="009E06AA">
              <w:rPr>
                <w:rFonts w:cs="Calibri"/>
                <w:szCs w:val="16"/>
              </w:rPr>
              <w:t xml:space="preserve"> (5.A.2) have decreased by 7.0 CO</w:t>
            </w:r>
            <w:r w:rsidRPr="009E06AA">
              <w:rPr>
                <w:rFonts w:cs="Calibri"/>
                <w:szCs w:val="16"/>
                <w:vertAlign w:val="subscript"/>
              </w:rPr>
              <w:t>2</w:t>
            </w:r>
            <w:r w:rsidRPr="009E06AA">
              <w:rPr>
                <w:rFonts w:cs="Calibri"/>
                <w:szCs w:val="16"/>
              </w:rPr>
              <w:t>-e (0.9 per cent) in 1990 and decreased by 5.7 CO</w:t>
            </w:r>
            <w:r w:rsidRPr="009E06AA">
              <w:rPr>
                <w:rFonts w:cs="Calibri"/>
                <w:szCs w:val="16"/>
                <w:vertAlign w:val="subscript"/>
              </w:rPr>
              <w:t>2</w:t>
            </w:r>
            <w:r w:rsidRPr="009E06AA">
              <w:rPr>
                <w:rFonts w:cs="Calibri"/>
                <w:szCs w:val="16"/>
              </w:rPr>
              <w:t>-e (0.9 per cent) in 2021. This is due to updates to activity data for farm fills, after revisions to the number and type of farms reported in the latest agricultural production statistics.</w:t>
            </w:r>
            <w:r w:rsidRPr="009E06AA">
              <w:rPr>
                <w:rStyle w:val="FootnoteReference"/>
                <w:rFonts w:cs="Calibri"/>
                <w:sz w:val="16"/>
                <w:szCs w:val="16"/>
              </w:rPr>
              <w:footnoteReference w:id="69"/>
            </w:r>
          </w:p>
        </w:tc>
        <w:tc>
          <w:tcPr>
            <w:tcW w:w="1134" w:type="dxa"/>
            <w:shd w:val="clear" w:color="auto" w:fill="FFFFFF"/>
            <w:tcMar>
              <w:top w:w="0" w:type="dxa"/>
              <w:left w:w="85" w:type="dxa"/>
              <w:bottom w:w="0" w:type="dxa"/>
              <w:right w:w="57" w:type="dxa"/>
            </w:tcMar>
          </w:tcPr>
          <w:p w14:paraId="0D6E2A20" w14:textId="77777777" w:rsidR="005D02EF" w:rsidRPr="009E06AA" w:rsidRDefault="005D02EF" w:rsidP="00B55F24">
            <w:pPr>
              <w:pStyle w:val="TableText"/>
              <w:spacing w:before="40" w:after="40"/>
              <w:rPr>
                <w:rFonts w:cs="Calibri"/>
                <w:szCs w:val="16"/>
              </w:rPr>
            </w:pPr>
            <w:r w:rsidRPr="009E06AA">
              <w:rPr>
                <w:rFonts w:cs="Calibri"/>
                <w:szCs w:val="16"/>
              </w:rPr>
              <w:t>Accuracy</w:t>
            </w:r>
          </w:p>
        </w:tc>
        <w:tc>
          <w:tcPr>
            <w:tcW w:w="2001" w:type="dxa"/>
            <w:shd w:val="clear" w:color="auto" w:fill="FFFFFF"/>
            <w:tcMar>
              <w:top w:w="0" w:type="dxa"/>
              <w:left w:w="85" w:type="dxa"/>
              <w:bottom w:w="0" w:type="dxa"/>
              <w:right w:w="57" w:type="dxa"/>
            </w:tcMar>
          </w:tcPr>
          <w:p w14:paraId="5652C5E5" w14:textId="77777777" w:rsidR="005D02EF" w:rsidRPr="009E06AA" w:rsidRDefault="005D02EF" w:rsidP="00B55F24">
            <w:pPr>
              <w:pStyle w:val="TableText"/>
              <w:spacing w:before="40" w:after="40"/>
              <w:rPr>
                <w:rFonts w:eastAsia="Calibri" w:cs="Calibri"/>
                <w:color w:val="000000"/>
                <w:szCs w:val="16"/>
              </w:rPr>
            </w:pPr>
            <w:r w:rsidRPr="009E06AA">
              <w:rPr>
                <w:rFonts w:eastAsia="Calibri" w:cs="Calibri"/>
                <w:color w:val="000000"/>
                <w:szCs w:val="16"/>
              </w:rPr>
              <w:t xml:space="preserve">Key category improvement: </w:t>
            </w:r>
            <w:r w:rsidRPr="009E06AA">
              <w:rPr>
                <w:rFonts w:eastAsia="Calibri" w:cs="Calibri"/>
                <w:i/>
                <w:iCs/>
                <w:color w:val="000000"/>
                <w:szCs w:val="16"/>
              </w:rPr>
              <w:t>Solid waste disposal</w:t>
            </w:r>
          </w:p>
        </w:tc>
      </w:tr>
      <w:tr w:rsidR="005D02EF" w:rsidRPr="009E06AA" w14:paraId="267F0DAC" w14:textId="77777777" w:rsidTr="00B55F24">
        <w:tc>
          <w:tcPr>
            <w:tcW w:w="906" w:type="dxa"/>
            <w:shd w:val="clear" w:color="auto" w:fill="FFFFFF"/>
            <w:tcMar>
              <w:left w:w="85" w:type="dxa"/>
              <w:right w:w="57" w:type="dxa"/>
            </w:tcMar>
          </w:tcPr>
          <w:p w14:paraId="5B5ED54A" w14:textId="77777777" w:rsidR="005D02EF" w:rsidRPr="009E06AA" w:rsidRDefault="005D02EF" w:rsidP="00B55F24">
            <w:pPr>
              <w:pStyle w:val="TableText"/>
              <w:spacing w:before="40" w:after="40"/>
              <w:rPr>
                <w:rFonts w:cs="Calibri"/>
                <w:szCs w:val="16"/>
              </w:rPr>
            </w:pPr>
          </w:p>
        </w:tc>
        <w:tc>
          <w:tcPr>
            <w:tcW w:w="4481" w:type="dxa"/>
            <w:shd w:val="clear" w:color="auto" w:fill="FFFFFF"/>
            <w:tcMar>
              <w:top w:w="0" w:type="dxa"/>
              <w:left w:w="85" w:type="dxa"/>
              <w:bottom w:w="0" w:type="dxa"/>
              <w:right w:w="57" w:type="dxa"/>
            </w:tcMar>
          </w:tcPr>
          <w:p w14:paraId="60295E15" w14:textId="77777777" w:rsidR="005D02EF" w:rsidRPr="009E06AA" w:rsidRDefault="005D02EF" w:rsidP="00B55F24">
            <w:pPr>
              <w:pStyle w:val="TableText"/>
              <w:spacing w:before="40" w:after="40"/>
              <w:rPr>
                <w:rFonts w:cs="Calibri"/>
                <w:szCs w:val="16"/>
              </w:rPr>
            </w:pPr>
            <w:r w:rsidRPr="009E06AA">
              <w:rPr>
                <w:rFonts w:cs="Calibri"/>
                <w:szCs w:val="16"/>
              </w:rPr>
              <w:t xml:space="preserve">Estimated emissions from </w:t>
            </w:r>
            <w:r w:rsidRPr="009E06AA">
              <w:rPr>
                <w:rFonts w:cs="Calibri"/>
                <w:i/>
                <w:iCs/>
                <w:szCs w:val="16"/>
              </w:rPr>
              <w:t>Composting</w:t>
            </w:r>
            <w:r w:rsidRPr="009E06AA">
              <w:rPr>
                <w:rFonts w:cs="Calibri"/>
                <w:szCs w:val="16"/>
              </w:rPr>
              <w:t xml:space="preserve"> (5.B.1) have not changed in 1990 and have decreased by 0.4 kt CO</w:t>
            </w:r>
            <w:r w:rsidRPr="009E06AA">
              <w:rPr>
                <w:rFonts w:cs="Calibri"/>
                <w:szCs w:val="16"/>
                <w:vertAlign w:val="subscript"/>
              </w:rPr>
              <w:t>2</w:t>
            </w:r>
            <w:r w:rsidRPr="009E06AA">
              <w:rPr>
                <w:rFonts w:cs="Calibri"/>
                <w:szCs w:val="16"/>
              </w:rPr>
              <w:t>-e (0.6 per cent) in 2021. This is due to the effect of policy actions beginning in 2020, which are now included in the activity data.</w:t>
            </w:r>
          </w:p>
        </w:tc>
        <w:tc>
          <w:tcPr>
            <w:tcW w:w="1134" w:type="dxa"/>
            <w:shd w:val="clear" w:color="auto" w:fill="FFFFFF"/>
            <w:tcMar>
              <w:top w:w="0" w:type="dxa"/>
              <w:left w:w="85" w:type="dxa"/>
              <w:bottom w:w="0" w:type="dxa"/>
              <w:right w:w="57" w:type="dxa"/>
            </w:tcMar>
          </w:tcPr>
          <w:p w14:paraId="2E0B428B" w14:textId="77777777" w:rsidR="005D02EF" w:rsidRPr="009E06AA" w:rsidRDefault="005D02EF" w:rsidP="00B55F24">
            <w:pPr>
              <w:pStyle w:val="TableText"/>
              <w:spacing w:before="40" w:after="40"/>
              <w:rPr>
                <w:rFonts w:cs="Calibri"/>
                <w:szCs w:val="16"/>
              </w:rPr>
            </w:pPr>
            <w:r w:rsidRPr="009E06AA">
              <w:rPr>
                <w:rFonts w:cs="Calibri"/>
                <w:szCs w:val="16"/>
              </w:rPr>
              <w:t>Completeness</w:t>
            </w:r>
          </w:p>
        </w:tc>
        <w:tc>
          <w:tcPr>
            <w:tcW w:w="2001" w:type="dxa"/>
            <w:shd w:val="clear" w:color="auto" w:fill="FFFFFF"/>
            <w:tcMar>
              <w:top w:w="0" w:type="dxa"/>
              <w:left w:w="85" w:type="dxa"/>
              <w:bottom w:w="0" w:type="dxa"/>
              <w:right w:w="57" w:type="dxa"/>
            </w:tcMar>
          </w:tcPr>
          <w:p w14:paraId="01048C17" w14:textId="77777777" w:rsidR="005D02EF" w:rsidRPr="009E06AA" w:rsidRDefault="005D02EF" w:rsidP="00B55F24">
            <w:pPr>
              <w:pStyle w:val="TableText"/>
              <w:spacing w:before="40" w:after="40"/>
              <w:rPr>
                <w:rFonts w:eastAsia="Calibri" w:cs="Calibri"/>
                <w:color w:val="000000"/>
                <w:szCs w:val="16"/>
              </w:rPr>
            </w:pPr>
          </w:p>
        </w:tc>
      </w:tr>
      <w:tr w:rsidR="005D02EF" w:rsidRPr="009E06AA" w14:paraId="28D81460" w14:textId="77777777" w:rsidTr="00B55F24">
        <w:tc>
          <w:tcPr>
            <w:tcW w:w="906" w:type="dxa"/>
            <w:shd w:val="clear" w:color="auto" w:fill="FFFFFF"/>
            <w:tcMar>
              <w:left w:w="85" w:type="dxa"/>
              <w:right w:w="57" w:type="dxa"/>
            </w:tcMar>
          </w:tcPr>
          <w:p w14:paraId="733C459E" w14:textId="77777777" w:rsidR="005D02EF" w:rsidRPr="009E06AA" w:rsidRDefault="005D02EF" w:rsidP="00B55F24">
            <w:pPr>
              <w:pStyle w:val="TableText"/>
              <w:spacing w:before="40" w:after="40"/>
              <w:rPr>
                <w:rFonts w:cs="Calibri"/>
                <w:szCs w:val="16"/>
              </w:rPr>
            </w:pPr>
          </w:p>
        </w:tc>
        <w:tc>
          <w:tcPr>
            <w:tcW w:w="4481" w:type="dxa"/>
            <w:shd w:val="clear" w:color="auto" w:fill="FFFFFF"/>
            <w:tcMar>
              <w:top w:w="0" w:type="dxa"/>
              <w:left w:w="85" w:type="dxa"/>
              <w:bottom w:w="0" w:type="dxa"/>
              <w:right w:w="57" w:type="dxa"/>
            </w:tcMar>
          </w:tcPr>
          <w:p w14:paraId="6A47A456" w14:textId="77777777" w:rsidR="005D02EF" w:rsidRPr="009E06AA" w:rsidRDefault="005D02EF" w:rsidP="00B55F24">
            <w:pPr>
              <w:pStyle w:val="TableText"/>
              <w:spacing w:before="40" w:after="40"/>
              <w:rPr>
                <w:rFonts w:cs="Calibri"/>
                <w:szCs w:val="16"/>
              </w:rPr>
            </w:pPr>
            <w:r w:rsidRPr="009E06AA">
              <w:rPr>
                <w:rFonts w:cs="Calibri"/>
                <w:szCs w:val="16"/>
              </w:rPr>
              <w:t xml:space="preserve">Estimated emissions from </w:t>
            </w:r>
            <w:r w:rsidRPr="009E06AA">
              <w:rPr>
                <w:rFonts w:cs="Calibri"/>
                <w:i/>
                <w:iCs/>
                <w:szCs w:val="16"/>
              </w:rPr>
              <w:t>Open burning of waste</w:t>
            </w:r>
            <w:r w:rsidRPr="009E06AA">
              <w:rPr>
                <w:rFonts w:cs="Calibri"/>
                <w:szCs w:val="16"/>
              </w:rPr>
              <w:t xml:space="preserve"> (5.C.2) have decreased by 8.4 CO</w:t>
            </w:r>
            <w:r w:rsidRPr="009E06AA">
              <w:rPr>
                <w:rFonts w:cs="Calibri"/>
                <w:szCs w:val="16"/>
                <w:vertAlign w:val="subscript"/>
              </w:rPr>
              <w:t>2</w:t>
            </w:r>
            <w:r w:rsidRPr="009E06AA">
              <w:rPr>
                <w:rFonts w:cs="Calibri"/>
                <w:szCs w:val="16"/>
              </w:rPr>
              <w:t>-e (2.7 per cent) in 1990 and decreased by 4.2 CO</w:t>
            </w:r>
            <w:r w:rsidRPr="009E06AA">
              <w:rPr>
                <w:rFonts w:cs="Calibri"/>
                <w:szCs w:val="16"/>
                <w:vertAlign w:val="subscript"/>
              </w:rPr>
              <w:t>2</w:t>
            </w:r>
            <w:r w:rsidRPr="009E06AA">
              <w:rPr>
                <w:rFonts w:cs="Calibri"/>
                <w:szCs w:val="16"/>
              </w:rPr>
              <w:t>-e (2.2 per cent) in 2021. This is due to updates to activity data for farm fills, after revisions to the number and type of farms reported in the latest agricultural production statistics.</w:t>
            </w:r>
            <w:r w:rsidRPr="009E06AA">
              <w:rPr>
                <w:rStyle w:val="FootnoteReference"/>
                <w:rFonts w:cs="Calibri"/>
                <w:sz w:val="16"/>
                <w:szCs w:val="16"/>
              </w:rPr>
              <w:footnoteReference w:id="70"/>
            </w:r>
          </w:p>
        </w:tc>
        <w:tc>
          <w:tcPr>
            <w:tcW w:w="1134" w:type="dxa"/>
            <w:shd w:val="clear" w:color="auto" w:fill="FFFFFF"/>
            <w:tcMar>
              <w:top w:w="0" w:type="dxa"/>
              <w:left w:w="85" w:type="dxa"/>
              <w:bottom w:w="0" w:type="dxa"/>
              <w:right w:w="57" w:type="dxa"/>
            </w:tcMar>
          </w:tcPr>
          <w:p w14:paraId="5978690F" w14:textId="77777777" w:rsidR="005D02EF" w:rsidRPr="009E06AA" w:rsidRDefault="005D02EF" w:rsidP="00B55F24">
            <w:pPr>
              <w:pStyle w:val="TableText"/>
              <w:spacing w:before="40" w:after="40"/>
              <w:rPr>
                <w:rFonts w:cs="Calibri"/>
                <w:szCs w:val="16"/>
              </w:rPr>
            </w:pPr>
            <w:r w:rsidRPr="009E06AA">
              <w:rPr>
                <w:rFonts w:cs="Calibri"/>
                <w:szCs w:val="16"/>
              </w:rPr>
              <w:t>Accuracy</w:t>
            </w:r>
          </w:p>
        </w:tc>
        <w:tc>
          <w:tcPr>
            <w:tcW w:w="2001" w:type="dxa"/>
            <w:shd w:val="clear" w:color="auto" w:fill="FFFFFF"/>
            <w:tcMar>
              <w:top w:w="0" w:type="dxa"/>
              <w:left w:w="85" w:type="dxa"/>
              <w:bottom w:w="0" w:type="dxa"/>
              <w:right w:w="57" w:type="dxa"/>
            </w:tcMar>
          </w:tcPr>
          <w:p w14:paraId="7B633AEA" w14:textId="77777777" w:rsidR="005D02EF" w:rsidRPr="009E06AA" w:rsidRDefault="005D02EF" w:rsidP="00B55F24">
            <w:pPr>
              <w:pStyle w:val="TableText"/>
              <w:spacing w:before="40" w:after="40"/>
              <w:rPr>
                <w:rFonts w:eastAsia="Calibri" w:cs="Calibri"/>
                <w:color w:val="000000"/>
                <w:szCs w:val="16"/>
              </w:rPr>
            </w:pPr>
          </w:p>
        </w:tc>
      </w:tr>
      <w:tr w:rsidR="005D02EF" w:rsidRPr="009E06AA" w14:paraId="138D64F9" w14:textId="77777777" w:rsidTr="00B55F24">
        <w:tc>
          <w:tcPr>
            <w:tcW w:w="906" w:type="dxa"/>
            <w:shd w:val="clear" w:color="auto" w:fill="FFFFFF"/>
            <w:tcMar>
              <w:left w:w="85" w:type="dxa"/>
              <w:right w:w="57" w:type="dxa"/>
            </w:tcMar>
          </w:tcPr>
          <w:p w14:paraId="049279F9" w14:textId="77777777" w:rsidR="005D02EF" w:rsidRPr="009E06AA" w:rsidRDefault="005D02EF" w:rsidP="00B55F24">
            <w:pPr>
              <w:pStyle w:val="TableText"/>
              <w:spacing w:before="40" w:after="40"/>
              <w:rPr>
                <w:rFonts w:cs="Calibri"/>
                <w:szCs w:val="16"/>
              </w:rPr>
            </w:pPr>
            <w:r w:rsidRPr="009E06AA">
              <w:rPr>
                <w:rFonts w:cs="Calibri"/>
                <w:szCs w:val="16"/>
              </w:rPr>
              <w:t>Tokelau</w:t>
            </w:r>
          </w:p>
        </w:tc>
        <w:tc>
          <w:tcPr>
            <w:tcW w:w="4481" w:type="dxa"/>
            <w:shd w:val="clear" w:color="auto" w:fill="FFFFFF"/>
            <w:tcMar>
              <w:top w:w="0" w:type="dxa"/>
              <w:left w:w="85" w:type="dxa"/>
              <w:bottom w:w="0" w:type="dxa"/>
              <w:right w:w="57" w:type="dxa"/>
            </w:tcMar>
          </w:tcPr>
          <w:p w14:paraId="025E09CC" w14:textId="77777777" w:rsidR="005D02EF" w:rsidRPr="009E06AA" w:rsidRDefault="005D02EF" w:rsidP="00B55F24">
            <w:pPr>
              <w:pStyle w:val="TableText"/>
              <w:spacing w:before="40" w:after="40"/>
              <w:rPr>
                <w:rFonts w:cs="Calibri"/>
                <w:szCs w:val="16"/>
              </w:rPr>
            </w:pPr>
            <w:r w:rsidRPr="009E06AA">
              <w:rPr>
                <w:rFonts w:cs="Calibri"/>
                <w:szCs w:val="16"/>
              </w:rPr>
              <w:t xml:space="preserve">Estimated emissions from </w:t>
            </w:r>
            <w:r w:rsidRPr="009E06AA">
              <w:rPr>
                <w:rFonts w:cs="Calibri"/>
                <w:i/>
                <w:iCs/>
                <w:szCs w:val="16"/>
              </w:rPr>
              <w:t>Metered dose inhalers</w:t>
            </w:r>
            <w:r w:rsidRPr="009E06AA">
              <w:rPr>
                <w:rFonts w:cs="Calibri"/>
                <w:szCs w:val="16"/>
              </w:rPr>
              <w:t xml:space="preserve"> (2.F.4.a) in Tokelau have not changed in 1990 and decreased by 0.003 kt CO</w:t>
            </w:r>
            <w:r w:rsidRPr="009E06AA">
              <w:rPr>
                <w:rFonts w:cs="Calibri"/>
                <w:szCs w:val="16"/>
                <w:vertAlign w:val="subscript"/>
              </w:rPr>
              <w:t>2</w:t>
            </w:r>
            <w:r w:rsidRPr="009E06AA">
              <w:rPr>
                <w:rFonts w:cs="Calibri"/>
                <w:szCs w:val="16"/>
              </w:rPr>
              <w:t xml:space="preserve">-e (18.4 per cent) in 2021. In addition, estimated emissions from </w:t>
            </w:r>
            <w:r w:rsidRPr="009E06AA">
              <w:rPr>
                <w:rFonts w:cs="Calibri"/>
                <w:i/>
                <w:iCs/>
                <w:szCs w:val="16"/>
              </w:rPr>
              <w:t>Medical applications</w:t>
            </w:r>
            <w:r w:rsidRPr="009E06AA">
              <w:rPr>
                <w:rFonts w:cs="Calibri"/>
                <w:szCs w:val="16"/>
              </w:rPr>
              <w:t xml:space="preserve"> (2.G.3.a) in Tokelau have not changed in 1990 and increased by 0.001 kt CO</w:t>
            </w:r>
            <w:r w:rsidRPr="009E06AA">
              <w:rPr>
                <w:rFonts w:cs="Calibri"/>
                <w:szCs w:val="16"/>
                <w:vertAlign w:val="subscript"/>
              </w:rPr>
              <w:t>2</w:t>
            </w:r>
            <w:r w:rsidRPr="009E06AA">
              <w:rPr>
                <w:rFonts w:cs="Calibri"/>
                <w:szCs w:val="16"/>
              </w:rPr>
              <w:t>-e (4.2 per cent) in 2021. Both changes are the result of updates to the data in the equivalent categories in the New Zealand IPPU sector, which are pro-rated to Tokelau’s population in the absence of data for Tokelau.</w:t>
            </w:r>
          </w:p>
        </w:tc>
        <w:tc>
          <w:tcPr>
            <w:tcW w:w="1134" w:type="dxa"/>
            <w:shd w:val="clear" w:color="auto" w:fill="FFFFFF"/>
            <w:tcMar>
              <w:top w:w="0" w:type="dxa"/>
              <w:left w:w="85" w:type="dxa"/>
              <w:bottom w:w="0" w:type="dxa"/>
              <w:right w:w="57" w:type="dxa"/>
            </w:tcMar>
          </w:tcPr>
          <w:p w14:paraId="6CAA7D65" w14:textId="77777777" w:rsidR="005D02EF" w:rsidRPr="009E06AA" w:rsidRDefault="005D02EF" w:rsidP="00B55F24">
            <w:pPr>
              <w:pStyle w:val="TableText"/>
              <w:spacing w:before="40" w:after="40"/>
              <w:rPr>
                <w:rFonts w:cs="Calibri"/>
                <w:szCs w:val="16"/>
              </w:rPr>
            </w:pPr>
            <w:r w:rsidRPr="009E06AA">
              <w:rPr>
                <w:rFonts w:cs="Calibri"/>
                <w:szCs w:val="16"/>
              </w:rPr>
              <w:t>Consistency</w:t>
            </w:r>
          </w:p>
        </w:tc>
        <w:tc>
          <w:tcPr>
            <w:tcW w:w="2001" w:type="dxa"/>
            <w:shd w:val="clear" w:color="auto" w:fill="FFFFFF"/>
            <w:tcMar>
              <w:top w:w="0" w:type="dxa"/>
              <w:left w:w="85" w:type="dxa"/>
              <w:bottom w:w="0" w:type="dxa"/>
              <w:right w:w="57" w:type="dxa"/>
            </w:tcMar>
          </w:tcPr>
          <w:p w14:paraId="639984ED" w14:textId="77777777" w:rsidR="005D02EF" w:rsidRPr="009E06AA" w:rsidRDefault="005D02EF" w:rsidP="00B55F24">
            <w:pPr>
              <w:pStyle w:val="TableText"/>
              <w:spacing w:before="40" w:after="40"/>
              <w:rPr>
                <w:rFonts w:eastAsia="Calibri" w:cs="Calibri"/>
                <w:color w:val="000000"/>
                <w:szCs w:val="16"/>
              </w:rPr>
            </w:pPr>
          </w:p>
        </w:tc>
      </w:tr>
    </w:tbl>
    <w:p w14:paraId="32675503" w14:textId="77777777" w:rsidR="005D02EF" w:rsidRPr="009E06AA" w:rsidRDefault="005D02EF" w:rsidP="005D02EF">
      <w:pPr>
        <w:pStyle w:val="Heading2"/>
        <w:tabs>
          <w:tab w:val="clear" w:pos="851"/>
          <w:tab w:val="left" w:pos="993"/>
        </w:tabs>
        <w:spacing w:before="480"/>
      </w:pPr>
      <w:bookmarkStart w:id="3632" w:name="_Toc161311134"/>
      <w:bookmarkStart w:id="3633" w:name="_Toc164154241"/>
      <w:bookmarkStart w:id="3634" w:name="new-zealands-gross-emissions"/>
      <w:r w:rsidRPr="009E06AA">
        <w:t xml:space="preserve">10.2 </w:t>
      </w:r>
      <w:r w:rsidRPr="009E06AA">
        <w:tab/>
        <w:t>Implications for emissions and removal levels and trends, including time-series consistency</w:t>
      </w:r>
      <w:bookmarkEnd w:id="3632"/>
      <w:bookmarkEnd w:id="3633"/>
    </w:p>
    <w:p w14:paraId="4135228A" w14:textId="77777777" w:rsidR="005D02EF" w:rsidRPr="009E06AA" w:rsidRDefault="005D02EF" w:rsidP="001945CB">
      <w:pPr>
        <w:pStyle w:val="Heading3"/>
        <w:tabs>
          <w:tab w:val="clear" w:pos="851"/>
          <w:tab w:val="left" w:pos="993"/>
        </w:tabs>
        <w:spacing w:before="240"/>
      </w:pPr>
      <w:bookmarkStart w:id="3635" w:name="_Toc161311135"/>
      <w:r w:rsidRPr="009E06AA">
        <w:t xml:space="preserve">10.2.1 </w:t>
      </w:r>
      <w:r w:rsidRPr="009E06AA">
        <w:tab/>
        <w:t>New Zealand’s gross emissions</w:t>
      </w:r>
      <w:bookmarkEnd w:id="3635"/>
    </w:p>
    <w:p w14:paraId="2E7AE8CB" w14:textId="77777777" w:rsidR="005D02EF" w:rsidRPr="009E06AA" w:rsidRDefault="005D02EF" w:rsidP="005D02EF">
      <w:pPr>
        <w:pStyle w:val="BodyText"/>
      </w:pPr>
      <w:r w:rsidRPr="009E06AA">
        <w:t>The effect of recalculations on New Zealand’s gross emissions is shown in figure 10.2.1. There was a 1.5 per cent (1,051.7 kilotonnes carbon dioxide equivalent (kt CO₂-e)) increase in gross emissions in 1990 and a 2.5 per cent (1,995.4 kt CO₂-e) increase for the 2021 year.</w:t>
      </w:r>
    </w:p>
    <w:p w14:paraId="3C41735C" w14:textId="77777777" w:rsidR="005D02EF" w:rsidRPr="009E06AA" w:rsidRDefault="005D02EF" w:rsidP="005D02EF">
      <w:pPr>
        <w:pStyle w:val="BodyText"/>
        <w:rPr>
          <w:i/>
          <w:iCs/>
        </w:rPr>
      </w:pPr>
      <w:r w:rsidRPr="009E06AA">
        <w:t xml:space="preserve">The greatest contribution to the increase in gross emissions estimates across the time series came from improvements made in the Agriculture sector. This increase is mainly the result of improving emissions estimates for </w:t>
      </w:r>
      <w:r w:rsidRPr="009E06AA">
        <w:rPr>
          <w:i/>
          <w:iCs/>
        </w:rPr>
        <w:t xml:space="preserve">Non-dairy </w:t>
      </w:r>
      <w:r w:rsidRPr="009E06AA">
        <w:t>(beef)</w:t>
      </w:r>
      <w:r w:rsidRPr="009E06AA">
        <w:rPr>
          <w:i/>
          <w:iCs/>
        </w:rPr>
        <w:t xml:space="preserve"> cattle</w:t>
      </w:r>
      <w:r w:rsidRPr="009E06AA">
        <w:t xml:space="preserve">, </w:t>
      </w:r>
      <w:r w:rsidRPr="009E06AA">
        <w:rPr>
          <w:i/>
          <w:iCs/>
        </w:rPr>
        <w:t>Dairy cattle</w:t>
      </w:r>
      <w:r w:rsidRPr="009E06AA">
        <w:t xml:space="preserve"> and </w:t>
      </w:r>
      <w:r w:rsidRPr="009E06AA">
        <w:rPr>
          <w:i/>
          <w:iCs/>
        </w:rPr>
        <w:t>Urine and dung deposited by grazing animals</w:t>
      </w:r>
      <w:r w:rsidRPr="009E06AA">
        <w:t>.</w:t>
      </w:r>
      <w:r w:rsidRPr="009E06AA">
        <w:rPr>
          <w:i/>
          <w:iCs/>
        </w:rPr>
        <w:t xml:space="preserve"> </w:t>
      </w:r>
    </w:p>
    <w:p w14:paraId="35F3726E" w14:textId="2BD88D87" w:rsidR="005D02EF" w:rsidRPr="009E06AA" w:rsidRDefault="005D02EF" w:rsidP="005D02EF">
      <w:pPr>
        <w:pStyle w:val="Figure"/>
      </w:pPr>
      <w:bookmarkStart w:id="3636" w:name="_Toc161311160"/>
      <w:bookmarkStart w:id="3637" w:name="_Toc164154059"/>
      <w:r w:rsidRPr="009E06AA">
        <w:t xml:space="preserve">Figure 10.2.1 </w:t>
      </w:r>
      <w:r w:rsidRPr="009E06AA">
        <w:tab/>
        <w:t>Effect of recalculations on New Zealand’s gross greenhouse gas emissions estimates</w:t>
      </w:r>
      <w:r w:rsidR="00A360EE" w:rsidRPr="009E06AA">
        <w:t>,</w:t>
      </w:r>
      <w:r w:rsidRPr="009E06AA">
        <w:t xml:space="preserve"> from</w:t>
      </w:r>
      <w:r w:rsidR="00227B34" w:rsidRPr="009E06AA">
        <w:t> </w:t>
      </w:r>
      <w:r w:rsidRPr="009E06AA">
        <w:t>1990 to 2021</w:t>
      </w:r>
      <w:bookmarkEnd w:id="3636"/>
      <w:bookmarkEnd w:id="3637"/>
    </w:p>
    <w:p w14:paraId="5779AFEA" w14:textId="77777777" w:rsidR="005D02EF" w:rsidRPr="009E06AA" w:rsidRDefault="005D02EF" w:rsidP="005D02EF">
      <w:pPr>
        <w:pStyle w:val="BodyText"/>
      </w:pPr>
      <w:r w:rsidRPr="009E06AA">
        <w:rPr>
          <w:noProof/>
        </w:rPr>
        <w:drawing>
          <wp:inline distT="0" distB="0" distL="0" distR="0" wp14:anchorId="62A2B504" wp14:editId="17073498">
            <wp:extent cx="5397500" cy="3962400"/>
            <wp:effectExtent l="0" t="0" r="0" b="0"/>
            <wp:docPr id="1002746758" name="Picture 1002746758"/>
            <wp:cNvGraphicFramePr/>
            <a:graphic xmlns:a="http://schemas.openxmlformats.org/drawingml/2006/main">
              <a:graphicData uri="http://schemas.openxmlformats.org/drawingml/2006/picture">
                <pic:pic xmlns:pic="http://schemas.openxmlformats.org/drawingml/2006/picture">
                  <pic:nvPicPr>
                    <pic:cNvPr id="22" name="Picture" descr="code/graphs/images/fig_10_1_1.png"/>
                    <pic:cNvPicPr>
                      <a:picLocks noChangeAspect="1" noChangeArrowheads="1"/>
                    </pic:cNvPicPr>
                  </pic:nvPicPr>
                  <pic:blipFill rotWithShape="1">
                    <a:blip r:embed="rId197"/>
                    <a:srcRect b="2118"/>
                    <a:stretch/>
                  </pic:blipFill>
                  <pic:spPr bwMode="auto">
                    <a:xfrm>
                      <a:off x="0" y="0"/>
                      <a:ext cx="5397500" cy="3962400"/>
                    </a:xfrm>
                    <a:prstGeom prst="rect">
                      <a:avLst/>
                    </a:prstGeom>
                    <a:noFill/>
                    <a:ln>
                      <a:noFill/>
                    </a:ln>
                    <a:extLst>
                      <a:ext uri="{53640926-AAD7-44D8-BBD7-CCE9431645EC}">
                        <a14:shadowObscured xmlns:a14="http://schemas.microsoft.com/office/drawing/2010/main"/>
                      </a:ext>
                    </a:extLst>
                  </pic:spPr>
                </pic:pic>
              </a:graphicData>
            </a:graphic>
          </wp:inline>
        </w:drawing>
      </w:r>
    </w:p>
    <w:p w14:paraId="725E888F" w14:textId="77777777" w:rsidR="005D02EF" w:rsidRPr="009E06AA" w:rsidRDefault="005D02EF" w:rsidP="005D02EF">
      <w:pPr>
        <w:pStyle w:val="Heading3"/>
      </w:pPr>
      <w:bookmarkStart w:id="3638" w:name="_Toc161311136"/>
      <w:bookmarkStart w:id="3639" w:name="new-zealands-net-emissions"/>
      <w:r w:rsidRPr="009E06AA">
        <w:t xml:space="preserve">10.2.2 </w:t>
      </w:r>
      <w:r w:rsidRPr="009E06AA">
        <w:tab/>
        <w:t>New Zealand’s net emissions</w:t>
      </w:r>
      <w:bookmarkEnd w:id="3638"/>
    </w:p>
    <w:p w14:paraId="2FA9CD03" w14:textId="77777777" w:rsidR="005D02EF" w:rsidRPr="009E06AA" w:rsidRDefault="005D02EF" w:rsidP="005D02EF">
      <w:pPr>
        <w:pStyle w:val="BodyText"/>
      </w:pPr>
      <w:r w:rsidRPr="009E06AA">
        <w:t xml:space="preserve">The effect of recalculations on net emissions estimates, which include the Land Use, Land-Use Change and Forestry (LULUCF) sector is shown in figure 10.2.2. There was a decrease of 6.4 per </w:t>
      </w:r>
      <w:r w:rsidRPr="009E06AA">
        <w:rPr>
          <w:spacing w:val="-2"/>
        </w:rPr>
        <w:t>cent (3,073.8 kt CO₂-e) in net emissions in 1990 and an increase of 4.4 per cent (2,591.5 kt CO₂-e</w:t>
      </w:r>
      <w:r w:rsidRPr="009E06AA">
        <w:t xml:space="preserve">) in net emissions in 2021. </w:t>
      </w:r>
    </w:p>
    <w:p w14:paraId="202AB7B2" w14:textId="77777777" w:rsidR="005D02EF" w:rsidRPr="009E06AA" w:rsidRDefault="005D02EF" w:rsidP="005D02EF">
      <w:pPr>
        <w:pStyle w:val="BodyText"/>
      </w:pPr>
      <w:r w:rsidRPr="009E06AA">
        <w:t xml:space="preserve">The changes in net emissions are a result of the combined effect of the improvements made to gross emissions estimates, described above, and to the LULUCF sector estimates. The improvements to the LULUCF sector that contributed the most to the recalculations for net emissions were in improving emissions estimates in </w:t>
      </w:r>
      <w:r w:rsidRPr="009E06AA">
        <w:rPr>
          <w:i/>
          <w:iCs/>
        </w:rPr>
        <w:t>Post-1989 forest remaining post-1989 forest</w:t>
      </w:r>
      <w:r w:rsidRPr="009E06AA">
        <w:t xml:space="preserve">. This was in response to updates that were made to the planted forest models to ensure consistency of treatment of harvesting and deforestation activities between pre-1990 and post-1989 planted forests. </w:t>
      </w:r>
    </w:p>
    <w:p w14:paraId="21D5E5B5" w14:textId="2DBA2BB7" w:rsidR="005D02EF" w:rsidRPr="009E06AA" w:rsidRDefault="005D02EF" w:rsidP="005D02EF">
      <w:pPr>
        <w:pStyle w:val="Figure"/>
      </w:pPr>
      <w:bookmarkStart w:id="3640" w:name="_Toc161311161"/>
      <w:bookmarkStart w:id="3641" w:name="_Toc164154060"/>
      <w:r w:rsidRPr="009E06AA">
        <w:t xml:space="preserve">Figure 10.2.2 </w:t>
      </w:r>
      <w:r w:rsidRPr="009E06AA">
        <w:tab/>
        <w:t>Effect of recalculations on New Zealand’s net greenhouse gas emissions estimates</w:t>
      </w:r>
      <w:r w:rsidR="00A360EE" w:rsidRPr="009E06AA">
        <w:t>,</w:t>
      </w:r>
      <w:r w:rsidRPr="009E06AA">
        <w:t xml:space="preserve"> from 1990 to 2021</w:t>
      </w:r>
      <w:bookmarkEnd w:id="3640"/>
      <w:bookmarkEnd w:id="3641"/>
    </w:p>
    <w:p w14:paraId="25DA1384" w14:textId="77777777" w:rsidR="005D02EF" w:rsidRPr="009E06AA" w:rsidRDefault="005D02EF" w:rsidP="005D02EF">
      <w:pPr>
        <w:pStyle w:val="BodyText"/>
        <w:jc w:val="center"/>
      </w:pPr>
      <w:r w:rsidRPr="009E06AA">
        <w:rPr>
          <w:noProof/>
        </w:rPr>
        <w:drawing>
          <wp:inline distT="0" distB="0" distL="0" distR="0" wp14:anchorId="0A797267" wp14:editId="7026A252">
            <wp:extent cx="5082902" cy="3686894"/>
            <wp:effectExtent l="0" t="0" r="3810" b="8890"/>
            <wp:docPr id="912475048" name="Picture 912475048" descr="A graph of a line graph&#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912475048" name="Picture 912475048" descr="A graph of a line graph&#10;&#10;Description automatically generated with medium confidence"/>
                    <pic:cNvPicPr>
                      <a:picLocks noChangeAspect="1" noChangeArrowheads="1"/>
                    </pic:cNvPicPr>
                  </pic:nvPicPr>
                  <pic:blipFill rotWithShape="1">
                    <a:blip r:embed="rId198"/>
                    <a:srcRect b="2599"/>
                    <a:stretch/>
                  </pic:blipFill>
                  <pic:spPr bwMode="auto">
                    <a:xfrm>
                      <a:off x="0" y="0"/>
                      <a:ext cx="5104299" cy="3702414"/>
                    </a:xfrm>
                    <a:prstGeom prst="rect">
                      <a:avLst/>
                    </a:prstGeom>
                    <a:noFill/>
                    <a:ln>
                      <a:noFill/>
                    </a:ln>
                    <a:extLst>
                      <a:ext uri="{53640926-AAD7-44D8-BBD7-CCE9431645EC}">
                        <a14:shadowObscured xmlns:a14="http://schemas.microsoft.com/office/drawing/2010/main"/>
                      </a:ext>
                    </a:extLst>
                  </pic:spPr>
                </pic:pic>
              </a:graphicData>
            </a:graphic>
          </wp:inline>
        </w:drawing>
      </w:r>
    </w:p>
    <w:p w14:paraId="3A2B82B9" w14:textId="77777777" w:rsidR="005D02EF" w:rsidRPr="009E06AA" w:rsidRDefault="005D02EF" w:rsidP="005D02EF">
      <w:pPr>
        <w:pStyle w:val="BodyText"/>
      </w:pPr>
      <w:r w:rsidRPr="009E06AA">
        <w:t>The following tables show the category that had the largest impact on the recalculations across the time series by sector. Table 10.2.1 shows the recalculations for the category that increased emissions estimates the most for each sector.</w:t>
      </w:r>
    </w:p>
    <w:p w14:paraId="3242CFE5" w14:textId="77777777" w:rsidR="005D02EF" w:rsidRPr="009E06AA" w:rsidRDefault="005D02EF" w:rsidP="005D02EF">
      <w:pPr>
        <w:pStyle w:val="Table"/>
        <w:jc w:val="both"/>
      </w:pPr>
      <w:bookmarkStart w:id="3642" w:name="_Toc161311307"/>
      <w:bookmarkStart w:id="3643" w:name="_Toc164153975"/>
      <w:r w:rsidRPr="009E06AA">
        <w:t xml:space="preserve">Table 10.2.1 </w:t>
      </w:r>
      <w:r w:rsidRPr="009E06AA">
        <w:tab/>
        <w:t>Recalculations that led to the greatest increase in emissions estimates in each sector</w:t>
      </w:r>
      <w:bookmarkEnd w:id="3642"/>
      <w:bookmarkEnd w:id="3643"/>
    </w:p>
    <w:tbl>
      <w:tblPr>
        <w:tblW w:w="8505"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994"/>
        <w:gridCol w:w="3542"/>
        <w:gridCol w:w="2127"/>
        <w:gridCol w:w="1842"/>
      </w:tblGrid>
      <w:tr w:rsidR="005D02EF" w:rsidRPr="009E06AA" w14:paraId="1D1E8790" w14:textId="77777777" w:rsidTr="00B55F24">
        <w:trPr>
          <w:tblHeader/>
        </w:trPr>
        <w:tc>
          <w:tcPr>
            <w:tcW w:w="584" w:type="pct"/>
            <w:shd w:val="clear" w:color="auto" w:fill="1B556B"/>
            <w:tcMar>
              <w:top w:w="0" w:type="dxa"/>
              <w:left w:w="85" w:type="dxa"/>
              <w:bottom w:w="0" w:type="dxa"/>
              <w:right w:w="85" w:type="dxa"/>
            </w:tcMar>
            <w:vAlign w:val="bottom"/>
          </w:tcPr>
          <w:p w14:paraId="482E521E" w14:textId="77777777" w:rsidR="005D02EF" w:rsidRPr="009E06AA" w:rsidRDefault="005D02EF" w:rsidP="00B55F24">
            <w:pPr>
              <w:pStyle w:val="TableTextBold"/>
              <w:spacing w:before="40" w:after="40"/>
              <w:rPr>
                <w:rFonts w:eastAsia="Calibri"/>
                <w:noProof w:val="0"/>
                <w:color w:val="FFFFFF" w:themeColor="background1"/>
              </w:rPr>
            </w:pPr>
            <w:r w:rsidRPr="009E06AA">
              <w:rPr>
                <w:rFonts w:eastAsia="Calibri"/>
                <w:noProof w:val="0"/>
                <w:color w:val="FFFFFF" w:themeColor="background1"/>
              </w:rPr>
              <w:t>Sector</w:t>
            </w:r>
          </w:p>
        </w:tc>
        <w:tc>
          <w:tcPr>
            <w:tcW w:w="2082" w:type="pct"/>
            <w:shd w:val="clear" w:color="auto" w:fill="1B556B"/>
            <w:tcMar>
              <w:top w:w="0" w:type="dxa"/>
              <w:left w:w="85" w:type="dxa"/>
              <w:bottom w:w="0" w:type="dxa"/>
              <w:right w:w="85" w:type="dxa"/>
            </w:tcMar>
            <w:vAlign w:val="bottom"/>
          </w:tcPr>
          <w:p w14:paraId="34111F24" w14:textId="77777777" w:rsidR="005D02EF" w:rsidRPr="009E06AA" w:rsidRDefault="005D02EF" w:rsidP="00B55F24">
            <w:pPr>
              <w:pStyle w:val="TableTextBold"/>
              <w:spacing w:before="40" w:after="40"/>
              <w:rPr>
                <w:noProof w:val="0"/>
                <w:color w:val="FFFFFF" w:themeColor="background1"/>
              </w:rPr>
            </w:pPr>
            <w:r w:rsidRPr="009E06AA">
              <w:rPr>
                <w:rFonts w:eastAsia="Calibri"/>
                <w:noProof w:val="0"/>
                <w:color w:val="FFFFFF" w:themeColor="background1"/>
              </w:rPr>
              <w:t>Category with the largest increase in estimated emissions across the entire time series</w:t>
            </w:r>
          </w:p>
        </w:tc>
        <w:tc>
          <w:tcPr>
            <w:tcW w:w="1250" w:type="pct"/>
            <w:shd w:val="clear" w:color="auto" w:fill="1B556B"/>
            <w:tcMar>
              <w:top w:w="0" w:type="dxa"/>
              <w:left w:w="85" w:type="dxa"/>
              <w:bottom w:w="0" w:type="dxa"/>
              <w:right w:w="85" w:type="dxa"/>
            </w:tcMar>
            <w:vAlign w:val="bottom"/>
          </w:tcPr>
          <w:p w14:paraId="0FE4848B" w14:textId="77777777" w:rsidR="005D02EF" w:rsidRPr="009E06AA" w:rsidRDefault="005D02EF" w:rsidP="009F7434">
            <w:pPr>
              <w:pStyle w:val="TableTextBold"/>
              <w:spacing w:before="40" w:after="40"/>
              <w:jc w:val="right"/>
              <w:rPr>
                <w:noProof w:val="0"/>
                <w:color w:val="FFFFFF" w:themeColor="background1"/>
              </w:rPr>
            </w:pPr>
            <w:r w:rsidRPr="009E06AA">
              <w:rPr>
                <w:rFonts w:eastAsia="Calibri"/>
                <w:noProof w:val="0"/>
                <w:color w:val="FFFFFF" w:themeColor="background1"/>
              </w:rPr>
              <w:t>Largest single increase in emissions for the category (kt CO</w:t>
            </w:r>
            <w:r w:rsidRPr="009E06AA">
              <w:rPr>
                <w:rFonts w:eastAsia="Calibri"/>
                <w:noProof w:val="0"/>
                <w:color w:val="FFFFFF" w:themeColor="background1"/>
                <w:vertAlign w:val="subscript"/>
              </w:rPr>
              <w:t>2</w:t>
            </w:r>
            <w:r w:rsidRPr="009E06AA">
              <w:rPr>
                <w:rFonts w:eastAsia="Calibri"/>
                <w:noProof w:val="0"/>
                <w:color w:val="FFFFFF" w:themeColor="background1"/>
              </w:rPr>
              <w:t>-e)</w:t>
            </w:r>
          </w:p>
        </w:tc>
        <w:tc>
          <w:tcPr>
            <w:tcW w:w="1083" w:type="pct"/>
            <w:shd w:val="clear" w:color="auto" w:fill="1B556B"/>
            <w:tcMar>
              <w:top w:w="0" w:type="dxa"/>
              <w:left w:w="85" w:type="dxa"/>
              <w:bottom w:w="0" w:type="dxa"/>
              <w:right w:w="85" w:type="dxa"/>
            </w:tcMar>
            <w:vAlign w:val="bottom"/>
          </w:tcPr>
          <w:p w14:paraId="4CBD8184" w14:textId="77777777" w:rsidR="005D02EF" w:rsidRPr="009E06AA" w:rsidRDefault="005D02EF" w:rsidP="009F7434">
            <w:pPr>
              <w:pStyle w:val="TableTextBold"/>
              <w:spacing w:before="40" w:after="40"/>
              <w:jc w:val="right"/>
              <w:rPr>
                <w:noProof w:val="0"/>
                <w:color w:val="FFFFFF" w:themeColor="background1"/>
              </w:rPr>
            </w:pPr>
            <w:r w:rsidRPr="009E06AA">
              <w:rPr>
                <w:rFonts w:eastAsia="Calibri"/>
                <w:noProof w:val="0"/>
                <w:color w:val="FFFFFF" w:themeColor="background1"/>
              </w:rPr>
              <w:t>Year of the largest increase in estimated emissions</w:t>
            </w:r>
          </w:p>
        </w:tc>
      </w:tr>
      <w:tr w:rsidR="005D02EF" w:rsidRPr="009E06AA" w14:paraId="076AFEFF" w14:textId="77777777" w:rsidTr="00B55F24">
        <w:tc>
          <w:tcPr>
            <w:tcW w:w="584" w:type="pct"/>
            <w:shd w:val="clear" w:color="auto" w:fill="FFFFFF"/>
            <w:tcMar>
              <w:top w:w="0" w:type="dxa"/>
              <w:left w:w="85" w:type="dxa"/>
              <w:bottom w:w="0" w:type="dxa"/>
              <w:right w:w="85" w:type="dxa"/>
            </w:tcMar>
            <w:vAlign w:val="center"/>
          </w:tcPr>
          <w:p w14:paraId="3743544A" w14:textId="77777777" w:rsidR="005D02EF" w:rsidRPr="009E06AA" w:rsidRDefault="005D02EF" w:rsidP="00B55F24">
            <w:pPr>
              <w:pStyle w:val="TableText"/>
              <w:spacing w:before="40" w:after="40"/>
            </w:pPr>
            <w:r w:rsidRPr="009E06AA">
              <w:rPr>
                <w:rFonts w:eastAsia="Calibri"/>
              </w:rPr>
              <w:t>Energy</w:t>
            </w:r>
          </w:p>
        </w:tc>
        <w:tc>
          <w:tcPr>
            <w:tcW w:w="2082" w:type="pct"/>
            <w:shd w:val="clear" w:color="auto" w:fill="FFFFFF"/>
            <w:tcMar>
              <w:top w:w="0" w:type="dxa"/>
              <w:left w:w="85" w:type="dxa"/>
              <w:bottom w:w="0" w:type="dxa"/>
              <w:right w:w="85" w:type="dxa"/>
            </w:tcMar>
          </w:tcPr>
          <w:p w14:paraId="2D055E78" w14:textId="77777777" w:rsidR="005D02EF" w:rsidRPr="009E06AA" w:rsidRDefault="005D02EF" w:rsidP="00B55F24">
            <w:pPr>
              <w:pStyle w:val="TableText"/>
              <w:spacing w:before="40" w:after="40"/>
            </w:pPr>
            <w:r w:rsidRPr="009E06AA">
              <w:t>1.A.3.b.iii Diesel oil</w:t>
            </w:r>
          </w:p>
        </w:tc>
        <w:tc>
          <w:tcPr>
            <w:tcW w:w="1250" w:type="pct"/>
            <w:shd w:val="clear" w:color="auto" w:fill="FFFFFF"/>
            <w:tcMar>
              <w:top w:w="0" w:type="dxa"/>
              <w:left w:w="85" w:type="dxa"/>
              <w:bottom w:w="0" w:type="dxa"/>
              <w:right w:w="85" w:type="dxa"/>
            </w:tcMar>
          </w:tcPr>
          <w:p w14:paraId="4205F54A" w14:textId="77777777" w:rsidR="005D02EF" w:rsidRPr="009E06AA" w:rsidRDefault="005D02EF" w:rsidP="009F7434">
            <w:pPr>
              <w:pStyle w:val="TableText"/>
              <w:spacing w:before="40" w:after="40"/>
              <w:jc w:val="right"/>
            </w:pPr>
            <w:r w:rsidRPr="009E06AA">
              <w:t>25.1</w:t>
            </w:r>
          </w:p>
        </w:tc>
        <w:tc>
          <w:tcPr>
            <w:tcW w:w="1083" w:type="pct"/>
            <w:shd w:val="clear" w:color="auto" w:fill="FFFFFF"/>
            <w:tcMar>
              <w:top w:w="0" w:type="dxa"/>
              <w:left w:w="85" w:type="dxa"/>
              <w:bottom w:w="0" w:type="dxa"/>
              <w:right w:w="85" w:type="dxa"/>
            </w:tcMar>
          </w:tcPr>
          <w:p w14:paraId="799FED99" w14:textId="77777777" w:rsidR="005D02EF" w:rsidRPr="009E06AA" w:rsidRDefault="005D02EF" w:rsidP="009F7434">
            <w:pPr>
              <w:pStyle w:val="TableText"/>
              <w:spacing w:before="40" w:after="40"/>
              <w:jc w:val="right"/>
            </w:pPr>
            <w:r w:rsidRPr="009E06AA">
              <w:t>2021</w:t>
            </w:r>
          </w:p>
        </w:tc>
      </w:tr>
      <w:tr w:rsidR="005D02EF" w:rsidRPr="009E06AA" w14:paraId="17208230" w14:textId="77777777" w:rsidTr="00B55F24">
        <w:tc>
          <w:tcPr>
            <w:tcW w:w="584" w:type="pct"/>
            <w:shd w:val="clear" w:color="auto" w:fill="FFFFFF"/>
            <w:tcMar>
              <w:top w:w="0" w:type="dxa"/>
              <w:left w:w="85" w:type="dxa"/>
              <w:bottom w:w="0" w:type="dxa"/>
              <w:right w:w="85" w:type="dxa"/>
            </w:tcMar>
            <w:vAlign w:val="center"/>
          </w:tcPr>
          <w:p w14:paraId="2EC52C38" w14:textId="77777777" w:rsidR="005D02EF" w:rsidRPr="009E06AA" w:rsidRDefault="005D02EF" w:rsidP="00B55F24">
            <w:pPr>
              <w:pStyle w:val="TableText"/>
              <w:spacing w:before="40" w:after="40"/>
            </w:pPr>
            <w:r w:rsidRPr="009E06AA">
              <w:rPr>
                <w:rFonts w:eastAsia="Calibri"/>
              </w:rPr>
              <w:t>IPPU</w:t>
            </w:r>
          </w:p>
        </w:tc>
        <w:tc>
          <w:tcPr>
            <w:tcW w:w="2082" w:type="pct"/>
            <w:shd w:val="clear" w:color="auto" w:fill="FFFFFF"/>
            <w:tcMar>
              <w:top w:w="0" w:type="dxa"/>
              <w:left w:w="85" w:type="dxa"/>
              <w:bottom w:w="0" w:type="dxa"/>
              <w:right w:w="85" w:type="dxa"/>
            </w:tcMar>
          </w:tcPr>
          <w:p w14:paraId="5D3E20EE" w14:textId="77777777" w:rsidR="005D02EF" w:rsidRPr="009E06AA" w:rsidRDefault="005D02EF" w:rsidP="00B55F24">
            <w:pPr>
              <w:pStyle w:val="TableText"/>
              <w:spacing w:before="40" w:after="40"/>
            </w:pPr>
            <w:r w:rsidRPr="009E06AA">
              <w:t>2.F.1.f HFC-125</w:t>
            </w:r>
          </w:p>
        </w:tc>
        <w:tc>
          <w:tcPr>
            <w:tcW w:w="1250" w:type="pct"/>
            <w:shd w:val="clear" w:color="auto" w:fill="FFFFFF"/>
            <w:tcMar>
              <w:top w:w="0" w:type="dxa"/>
              <w:left w:w="85" w:type="dxa"/>
              <w:bottom w:w="0" w:type="dxa"/>
              <w:right w:w="85" w:type="dxa"/>
            </w:tcMar>
          </w:tcPr>
          <w:p w14:paraId="33823A54" w14:textId="77777777" w:rsidR="005D02EF" w:rsidRPr="009E06AA" w:rsidRDefault="005D02EF" w:rsidP="009F7434">
            <w:pPr>
              <w:pStyle w:val="TableText"/>
              <w:spacing w:before="40" w:after="40"/>
              <w:jc w:val="right"/>
            </w:pPr>
            <w:r w:rsidRPr="009E06AA">
              <w:t>145.7</w:t>
            </w:r>
          </w:p>
        </w:tc>
        <w:tc>
          <w:tcPr>
            <w:tcW w:w="1083" w:type="pct"/>
            <w:shd w:val="clear" w:color="auto" w:fill="FFFFFF"/>
            <w:tcMar>
              <w:top w:w="0" w:type="dxa"/>
              <w:left w:w="85" w:type="dxa"/>
              <w:bottom w:w="0" w:type="dxa"/>
              <w:right w:w="85" w:type="dxa"/>
            </w:tcMar>
          </w:tcPr>
          <w:p w14:paraId="260489A0" w14:textId="77777777" w:rsidR="005D02EF" w:rsidRPr="009E06AA" w:rsidRDefault="005D02EF" w:rsidP="009F7434">
            <w:pPr>
              <w:pStyle w:val="TableText"/>
              <w:spacing w:before="40" w:after="40"/>
              <w:jc w:val="right"/>
            </w:pPr>
            <w:r w:rsidRPr="009E06AA">
              <w:t>2021</w:t>
            </w:r>
          </w:p>
        </w:tc>
      </w:tr>
      <w:tr w:rsidR="005D02EF" w:rsidRPr="009E06AA" w14:paraId="6C518230" w14:textId="77777777" w:rsidTr="00B55F24">
        <w:tc>
          <w:tcPr>
            <w:tcW w:w="584" w:type="pct"/>
            <w:shd w:val="clear" w:color="auto" w:fill="FFFFFF"/>
            <w:tcMar>
              <w:top w:w="0" w:type="dxa"/>
              <w:left w:w="85" w:type="dxa"/>
              <w:bottom w:w="0" w:type="dxa"/>
              <w:right w:w="85" w:type="dxa"/>
            </w:tcMar>
            <w:vAlign w:val="center"/>
          </w:tcPr>
          <w:p w14:paraId="552F34B7" w14:textId="77777777" w:rsidR="005D02EF" w:rsidRPr="009E06AA" w:rsidRDefault="005D02EF" w:rsidP="00B55F24">
            <w:pPr>
              <w:pStyle w:val="TableText"/>
              <w:spacing w:before="40" w:after="40"/>
            </w:pPr>
            <w:r w:rsidRPr="009E06AA">
              <w:rPr>
                <w:rFonts w:eastAsia="Calibri"/>
              </w:rPr>
              <w:t>Agriculture</w:t>
            </w:r>
          </w:p>
        </w:tc>
        <w:tc>
          <w:tcPr>
            <w:tcW w:w="2082" w:type="pct"/>
            <w:shd w:val="clear" w:color="auto" w:fill="FFFFFF"/>
            <w:tcMar>
              <w:top w:w="0" w:type="dxa"/>
              <w:left w:w="85" w:type="dxa"/>
              <w:bottom w:w="0" w:type="dxa"/>
              <w:right w:w="85" w:type="dxa"/>
            </w:tcMar>
          </w:tcPr>
          <w:p w14:paraId="0F06430D" w14:textId="77777777" w:rsidR="005D02EF" w:rsidRPr="009E06AA" w:rsidRDefault="005D02EF" w:rsidP="00B55F24">
            <w:pPr>
              <w:pStyle w:val="TableText"/>
              <w:spacing w:before="40" w:after="40"/>
            </w:pPr>
            <w:r w:rsidRPr="009E06AA">
              <w:t>3.A.1 Non-dairy cattle</w:t>
            </w:r>
          </w:p>
        </w:tc>
        <w:tc>
          <w:tcPr>
            <w:tcW w:w="1250" w:type="pct"/>
            <w:shd w:val="clear" w:color="auto" w:fill="FFFFFF"/>
            <w:tcMar>
              <w:top w:w="0" w:type="dxa"/>
              <w:left w:w="85" w:type="dxa"/>
              <w:bottom w:w="0" w:type="dxa"/>
              <w:right w:w="85" w:type="dxa"/>
            </w:tcMar>
          </w:tcPr>
          <w:p w14:paraId="7E46F2C8" w14:textId="77777777" w:rsidR="005D02EF" w:rsidRPr="009E06AA" w:rsidRDefault="005D02EF" w:rsidP="009F7434">
            <w:pPr>
              <w:pStyle w:val="TableText"/>
              <w:spacing w:before="40" w:after="40"/>
              <w:jc w:val="right"/>
            </w:pPr>
            <w:r w:rsidRPr="009E06AA">
              <w:t>1,015.6</w:t>
            </w:r>
          </w:p>
        </w:tc>
        <w:tc>
          <w:tcPr>
            <w:tcW w:w="1083" w:type="pct"/>
            <w:shd w:val="clear" w:color="auto" w:fill="FFFFFF"/>
            <w:tcMar>
              <w:top w:w="0" w:type="dxa"/>
              <w:left w:w="85" w:type="dxa"/>
              <w:bottom w:w="0" w:type="dxa"/>
              <w:right w:w="85" w:type="dxa"/>
            </w:tcMar>
          </w:tcPr>
          <w:p w14:paraId="02DCD12E" w14:textId="77777777" w:rsidR="005D02EF" w:rsidRPr="009E06AA" w:rsidRDefault="005D02EF" w:rsidP="009F7434">
            <w:pPr>
              <w:pStyle w:val="TableText"/>
              <w:spacing w:before="40" w:after="40"/>
              <w:jc w:val="right"/>
            </w:pPr>
            <w:r w:rsidRPr="009E06AA">
              <w:t>1996</w:t>
            </w:r>
          </w:p>
        </w:tc>
      </w:tr>
      <w:tr w:rsidR="005D02EF" w:rsidRPr="009E06AA" w14:paraId="61198CA3" w14:textId="77777777" w:rsidTr="00B55F24">
        <w:tc>
          <w:tcPr>
            <w:tcW w:w="584" w:type="pct"/>
            <w:shd w:val="clear" w:color="auto" w:fill="FFFFFF"/>
            <w:tcMar>
              <w:top w:w="0" w:type="dxa"/>
              <w:left w:w="85" w:type="dxa"/>
              <w:bottom w:w="0" w:type="dxa"/>
              <w:right w:w="85" w:type="dxa"/>
            </w:tcMar>
            <w:vAlign w:val="center"/>
          </w:tcPr>
          <w:p w14:paraId="0DFC594A" w14:textId="77777777" w:rsidR="005D02EF" w:rsidRPr="009E06AA" w:rsidRDefault="005D02EF" w:rsidP="00B55F24">
            <w:pPr>
              <w:pStyle w:val="TableText"/>
              <w:spacing w:before="40" w:after="40"/>
            </w:pPr>
            <w:r w:rsidRPr="009E06AA">
              <w:rPr>
                <w:rFonts w:eastAsia="Calibri"/>
              </w:rPr>
              <w:t>LULUCF</w:t>
            </w:r>
          </w:p>
        </w:tc>
        <w:tc>
          <w:tcPr>
            <w:tcW w:w="2082" w:type="pct"/>
            <w:shd w:val="clear" w:color="auto" w:fill="FFFFFF"/>
            <w:tcMar>
              <w:top w:w="0" w:type="dxa"/>
              <w:left w:w="85" w:type="dxa"/>
              <w:bottom w:w="0" w:type="dxa"/>
              <w:right w:w="85" w:type="dxa"/>
            </w:tcMar>
          </w:tcPr>
          <w:p w14:paraId="24FA1B04" w14:textId="77777777" w:rsidR="005D02EF" w:rsidRPr="009E06AA" w:rsidRDefault="005D02EF" w:rsidP="00B55F24">
            <w:pPr>
              <w:pStyle w:val="TableText"/>
              <w:spacing w:before="40" w:after="40"/>
            </w:pPr>
            <w:r w:rsidRPr="009E06AA">
              <w:t>4.A.1.i Post-1989 forest remaining post-1989 forest</w:t>
            </w:r>
          </w:p>
        </w:tc>
        <w:tc>
          <w:tcPr>
            <w:tcW w:w="1250" w:type="pct"/>
            <w:shd w:val="clear" w:color="auto" w:fill="FFFFFF"/>
            <w:tcMar>
              <w:top w:w="0" w:type="dxa"/>
              <w:left w:w="85" w:type="dxa"/>
              <w:bottom w:w="0" w:type="dxa"/>
              <w:right w:w="85" w:type="dxa"/>
            </w:tcMar>
          </w:tcPr>
          <w:p w14:paraId="29EB2599" w14:textId="77777777" w:rsidR="005D02EF" w:rsidRPr="009E06AA" w:rsidRDefault="005D02EF" w:rsidP="009F7434">
            <w:pPr>
              <w:pStyle w:val="TableText"/>
              <w:spacing w:before="40" w:after="40"/>
              <w:jc w:val="right"/>
            </w:pPr>
            <w:r w:rsidRPr="009E06AA">
              <w:t>2,756.1</w:t>
            </w:r>
          </w:p>
        </w:tc>
        <w:tc>
          <w:tcPr>
            <w:tcW w:w="1083" w:type="pct"/>
            <w:shd w:val="clear" w:color="auto" w:fill="FFFFFF"/>
            <w:tcMar>
              <w:top w:w="0" w:type="dxa"/>
              <w:left w:w="85" w:type="dxa"/>
              <w:bottom w:w="0" w:type="dxa"/>
              <w:right w:w="85" w:type="dxa"/>
            </w:tcMar>
          </w:tcPr>
          <w:p w14:paraId="3D0E1A73" w14:textId="77777777" w:rsidR="005D02EF" w:rsidRPr="009E06AA" w:rsidRDefault="005D02EF" w:rsidP="009F7434">
            <w:pPr>
              <w:pStyle w:val="TableText"/>
              <w:spacing w:before="40" w:after="40"/>
              <w:jc w:val="right"/>
            </w:pPr>
            <w:r w:rsidRPr="009E06AA">
              <w:t>2020</w:t>
            </w:r>
          </w:p>
        </w:tc>
      </w:tr>
      <w:tr w:rsidR="005D02EF" w:rsidRPr="009E06AA" w14:paraId="3FBE0D03" w14:textId="77777777" w:rsidTr="00B55F24">
        <w:tc>
          <w:tcPr>
            <w:tcW w:w="584" w:type="pct"/>
            <w:shd w:val="clear" w:color="auto" w:fill="FFFFFF"/>
            <w:tcMar>
              <w:top w:w="0" w:type="dxa"/>
              <w:left w:w="85" w:type="dxa"/>
              <w:bottom w:w="0" w:type="dxa"/>
              <w:right w:w="85" w:type="dxa"/>
            </w:tcMar>
            <w:vAlign w:val="center"/>
          </w:tcPr>
          <w:p w14:paraId="2C352168" w14:textId="77777777" w:rsidR="005D02EF" w:rsidRPr="009E06AA" w:rsidRDefault="005D02EF" w:rsidP="00B55F24">
            <w:pPr>
              <w:pStyle w:val="TableText"/>
              <w:spacing w:before="40" w:after="40"/>
            </w:pPr>
            <w:r w:rsidRPr="009E06AA">
              <w:rPr>
                <w:rFonts w:eastAsia="Calibri"/>
              </w:rPr>
              <w:t>Waste</w:t>
            </w:r>
          </w:p>
        </w:tc>
        <w:tc>
          <w:tcPr>
            <w:tcW w:w="2082" w:type="pct"/>
            <w:shd w:val="clear" w:color="auto" w:fill="FFFFFF"/>
            <w:tcMar>
              <w:top w:w="0" w:type="dxa"/>
              <w:left w:w="85" w:type="dxa"/>
              <w:bottom w:w="0" w:type="dxa"/>
              <w:right w:w="85" w:type="dxa"/>
            </w:tcMar>
          </w:tcPr>
          <w:p w14:paraId="0D4F649B" w14:textId="77777777" w:rsidR="005D02EF" w:rsidRPr="009E06AA" w:rsidRDefault="005D02EF" w:rsidP="00B55F24">
            <w:pPr>
              <w:pStyle w:val="TableText"/>
              <w:spacing w:before="40" w:after="40"/>
            </w:pPr>
            <w:r w:rsidRPr="009E06AA">
              <w:t>5.A.1.a Anaerobic</w:t>
            </w:r>
          </w:p>
        </w:tc>
        <w:tc>
          <w:tcPr>
            <w:tcW w:w="1250" w:type="pct"/>
            <w:shd w:val="clear" w:color="auto" w:fill="FFFFFF"/>
            <w:tcMar>
              <w:top w:w="0" w:type="dxa"/>
              <w:left w:w="85" w:type="dxa"/>
              <w:bottom w:w="0" w:type="dxa"/>
              <w:right w:w="85" w:type="dxa"/>
            </w:tcMar>
          </w:tcPr>
          <w:p w14:paraId="39D34F46" w14:textId="77777777" w:rsidR="005D02EF" w:rsidRPr="009E06AA" w:rsidRDefault="005D02EF" w:rsidP="009F7434">
            <w:pPr>
              <w:pStyle w:val="TableText"/>
              <w:spacing w:before="40" w:after="40"/>
              <w:jc w:val="right"/>
            </w:pPr>
            <w:r w:rsidRPr="009E06AA">
              <w:t>5.9</w:t>
            </w:r>
          </w:p>
        </w:tc>
        <w:tc>
          <w:tcPr>
            <w:tcW w:w="1083" w:type="pct"/>
            <w:shd w:val="clear" w:color="auto" w:fill="FFFFFF"/>
            <w:tcMar>
              <w:top w:w="0" w:type="dxa"/>
              <w:left w:w="85" w:type="dxa"/>
              <w:bottom w:w="0" w:type="dxa"/>
              <w:right w:w="85" w:type="dxa"/>
            </w:tcMar>
          </w:tcPr>
          <w:p w14:paraId="7A94F669" w14:textId="77777777" w:rsidR="005D02EF" w:rsidRPr="009E06AA" w:rsidRDefault="005D02EF" w:rsidP="009F7434">
            <w:pPr>
              <w:pStyle w:val="TableText"/>
              <w:spacing w:before="40" w:after="40"/>
              <w:jc w:val="right"/>
            </w:pPr>
            <w:r w:rsidRPr="009E06AA">
              <w:t>2014</w:t>
            </w:r>
          </w:p>
        </w:tc>
      </w:tr>
      <w:tr w:rsidR="005D02EF" w:rsidRPr="009E06AA" w14:paraId="2CBAE74B" w14:textId="77777777" w:rsidTr="00B55F24">
        <w:tc>
          <w:tcPr>
            <w:tcW w:w="584" w:type="pct"/>
            <w:shd w:val="clear" w:color="auto" w:fill="FFFFFF"/>
            <w:tcMar>
              <w:top w:w="0" w:type="dxa"/>
              <w:left w:w="85" w:type="dxa"/>
              <w:bottom w:w="0" w:type="dxa"/>
              <w:right w:w="85" w:type="dxa"/>
            </w:tcMar>
            <w:vAlign w:val="center"/>
          </w:tcPr>
          <w:p w14:paraId="7905F118" w14:textId="77777777" w:rsidR="005D02EF" w:rsidRPr="009E06AA" w:rsidRDefault="005D02EF" w:rsidP="00B55F24">
            <w:pPr>
              <w:pStyle w:val="TableText"/>
              <w:spacing w:before="40" w:after="40"/>
            </w:pPr>
            <w:r w:rsidRPr="009E06AA">
              <w:rPr>
                <w:rFonts w:eastAsia="Calibri"/>
              </w:rPr>
              <w:t>Tokelau</w:t>
            </w:r>
          </w:p>
        </w:tc>
        <w:tc>
          <w:tcPr>
            <w:tcW w:w="2082" w:type="pct"/>
            <w:shd w:val="clear" w:color="auto" w:fill="FFFFFF"/>
            <w:tcMar>
              <w:top w:w="0" w:type="dxa"/>
              <w:left w:w="85" w:type="dxa"/>
              <w:bottom w:w="0" w:type="dxa"/>
              <w:right w:w="85" w:type="dxa"/>
            </w:tcMar>
          </w:tcPr>
          <w:p w14:paraId="73FF3115" w14:textId="77777777" w:rsidR="005D02EF" w:rsidRPr="009E06AA" w:rsidRDefault="005D02EF" w:rsidP="00B55F24">
            <w:pPr>
              <w:pStyle w:val="TableText"/>
              <w:spacing w:before="40" w:after="40"/>
            </w:pPr>
            <w:r w:rsidRPr="009E06AA">
              <w:t>6. Tokelau_2. Industrial Processes and Product Use</w:t>
            </w:r>
          </w:p>
        </w:tc>
        <w:tc>
          <w:tcPr>
            <w:tcW w:w="1250" w:type="pct"/>
            <w:shd w:val="clear" w:color="auto" w:fill="FFFFFF"/>
            <w:tcMar>
              <w:top w:w="0" w:type="dxa"/>
              <w:left w:w="85" w:type="dxa"/>
              <w:bottom w:w="0" w:type="dxa"/>
              <w:right w:w="85" w:type="dxa"/>
            </w:tcMar>
          </w:tcPr>
          <w:p w14:paraId="200AED24" w14:textId="77777777" w:rsidR="005D02EF" w:rsidRPr="009E06AA" w:rsidRDefault="005D02EF" w:rsidP="009F7434">
            <w:pPr>
              <w:pStyle w:val="TableText"/>
              <w:spacing w:before="40" w:after="40"/>
              <w:jc w:val="right"/>
            </w:pPr>
            <w:r w:rsidRPr="009E06AA">
              <w:t>No change</w:t>
            </w:r>
          </w:p>
        </w:tc>
        <w:tc>
          <w:tcPr>
            <w:tcW w:w="1083" w:type="pct"/>
            <w:shd w:val="clear" w:color="auto" w:fill="FFFFFF"/>
            <w:tcMar>
              <w:top w:w="0" w:type="dxa"/>
              <w:left w:w="85" w:type="dxa"/>
              <w:bottom w:w="0" w:type="dxa"/>
              <w:right w:w="85" w:type="dxa"/>
            </w:tcMar>
          </w:tcPr>
          <w:p w14:paraId="5E3830F4" w14:textId="77777777" w:rsidR="005D02EF" w:rsidRPr="009E06AA" w:rsidRDefault="005D02EF" w:rsidP="009F7434">
            <w:pPr>
              <w:pStyle w:val="TableText"/>
              <w:spacing w:before="40" w:after="40"/>
              <w:jc w:val="right"/>
            </w:pPr>
            <w:r w:rsidRPr="009E06AA">
              <w:t>NA</w:t>
            </w:r>
          </w:p>
        </w:tc>
      </w:tr>
    </w:tbl>
    <w:p w14:paraId="1947FC3E" w14:textId="5EF982C5" w:rsidR="005D02EF" w:rsidRPr="009E06AA" w:rsidRDefault="005D02EF" w:rsidP="005D02EF">
      <w:pPr>
        <w:pStyle w:val="Noteundertable"/>
      </w:pPr>
      <w:r w:rsidRPr="009E06AA">
        <w:rPr>
          <w:b/>
          <w:bCs/>
        </w:rPr>
        <w:t>Note:</w:t>
      </w:r>
      <w:r w:rsidRPr="009E06AA">
        <w:t xml:space="preserve"> </w:t>
      </w:r>
      <w:r w:rsidR="008A1D32" w:rsidRPr="009E06AA">
        <w:tab/>
      </w:r>
      <w:r w:rsidRPr="009E06AA">
        <w:t>NA = not available.</w:t>
      </w:r>
    </w:p>
    <w:p w14:paraId="79A4A1C0" w14:textId="77777777" w:rsidR="005D02EF" w:rsidRPr="009E06AA" w:rsidRDefault="005D02EF" w:rsidP="005D02EF">
      <w:pPr>
        <w:pStyle w:val="BodyText"/>
        <w:keepNext/>
      </w:pPr>
      <w:r w:rsidRPr="009E06AA">
        <w:t>Table 10.2.2 shows the recalculations for the category that reduced emissions estimates the most for each sector.</w:t>
      </w:r>
    </w:p>
    <w:p w14:paraId="3BDE2AAD" w14:textId="77777777" w:rsidR="005D02EF" w:rsidRPr="009E06AA" w:rsidRDefault="005D02EF" w:rsidP="005D02EF">
      <w:pPr>
        <w:pStyle w:val="Table"/>
      </w:pPr>
      <w:bookmarkStart w:id="3644" w:name="_Toc161311308"/>
      <w:bookmarkStart w:id="3645" w:name="_Toc164153976"/>
      <w:r w:rsidRPr="009E06AA">
        <w:t xml:space="preserve">Table 10.2.2 </w:t>
      </w:r>
      <w:r w:rsidRPr="009E06AA">
        <w:tab/>
        <w:t>Recalculations that led to the greatest decrease in emissions estimates in each sector</w:t>
      </w:r>
      <w:bookmarkEnd w:id="3644"/>
      <w:bookmarkEnd w:id="3645"/>
    </w:p>
    <w:tbl>
      <w:tblPr>
        <w:tblW w:w="8505" w:type="dxa"/>
        <w:tblBorders>
          <w:top w:val="single" w:sz="4" w:space="0" w:color="1B556B" w:themeColor="text2"/>
          <w:bottom w:val="single" w:sz="4" w:space="0" w:color="1B556B" w:themeColor="text2"/>
          <w:insideH w:val="single" w:sz="4" w:space="0" w:color="1B556B" w:themeColor="text2"/>
        </w:tblBorders>
        <w:tblLook w:val="0420" w:firstRow="1" w:lastRow="0" w:firstColumn="0" w:lastColumn="0" w:noHBand="0" w:noVBand="1"/>
      </w:tblPr>
      <w:tblGrid>
        <w:gridCol w:w="892"/>
        <w:gridCol w:w="3749"/>
        <w:gridCol w:w="1772"/>
        <w:gridCol w:w="2092"/>
      </w:tblGrid>
      <w:tr w:rsidR="005D02EF" w:rsidRPr="009E06AA" w14:paraId="5E574A93" w14:textId="77777777" w:rsidTr="00B55F24">
        <w:trPr>
          <w:tblHeader/>
        </w:trPr>
        <w:tc>
          <w:tcPr>
            <w:tcW w:w="0" w:type="auto"/>
            <w:shd w:val="clear" w:color="auto" w:fill="1B556B"/>
            <w:tcMar>
              <w:top w:w="0" w:type="dxa"/>
              <w:left w:w="85" w:type="dxa"/>
              <w:bottom w:w="0" w:type="dxa"/>
              <w:right w:w="85" w:type="dxa"/>
            </w:tcMar>
            <w:vAlign w:val="bottom"/>
          </w:tcPr>
          <w:p w14:paraId="5518064A" w14:textId="77777777" w:rsidR="005D02EF" w:rsidRPr="009E06AA" w:rsidRDefault="005D02EF" w:rsidP="00B55F24">
            <w:pPr>
              <w:pStyle w:val="TableTextBold"/>
              <w:keepNext/>
              <w:spacing w:before="40" w:after="40"/>
              <w:rPr>
                <w:noProof w:val="0"/>
                <w:color w:val="FFFFFF" w:themeColor="background1"/>
              </w:rPr>
            </w:pPr>
            <w:r w:rsidRPr="009E06AA">
              <w:rPr>
                <w:rFonts w:eastAsia="Calibri"/>
                <w:noProof w:val="0"/>
                <w:color w:val="FFFFFF" w:themeColor="background1"/>
              </w:rPr>
              <w:t>Sector</w:t>
            </w:r>
          </w:p>
        </w:tc>
        <w:tc>
          <w:tcPr>
            <w:tcW w:w="2204" w:type="pct"/>
            <w:shd w:val="clear" w:color="auto" w:fill="1B556B"/>
            <w:tcMar>
              <w:top w:w="0" w:type="dxa"/>
              <w:left w:w="85" w:type="dxa"/>
              <w:bottom w:w="0" w:type="dxa"/>
              <w:right w:w="85" w:type="dxa"/>
            </w:tcMar>
            <w:vAlign w:val="bottom"/>
          </w:tcPr>
          <w:p w14:paraId="15B61DC0" w14:textId="77777777" w:rsidR="005D02EF" w:rsidRPr="009E06AA" w:rsidRDefault="005D02EF" w:rsidP="00B55F24">
            <w:pPr>
              <w:pStyle w:val="TableTextBold"/>
              <w:keepNext/>
              <w:spacing w:before="40" w:after="40"/>
              <w:rPr>
                <w:noProof w:val="0"/>
                <w:color w:val="FFFFFF" w:themeColor="background1"/>
              </w:rPr>
            </w:pPr>
            <w:r w:rsidRPr="009E06AA">
              <w:rPr>
                <w:rFonts w:eastAsia="Calibri"/>
                <w:noProof w:val="0"/>
                <w:color w:val="FFFFFF" w:themeColor="background1"/>
              </w:rPr>
              <w:t>Category with the largest reduction in estimated emissions across the entire time series</w:t>
            </w:r>
          </w:p>
        </w:tc>
        <w:tc>
          <w:tcPr>
            <w:tcW w:w="1042" w:type="pct"/>
            <w:shd w:val="clear" w:color="auto" w:fill="1B556B"/>
            <w:tcMar>
              <w:top w:w="0" w:type="dxa"/>
              <w:left w:w="85" w:type="dxa"/>
              <w:bottom w:w="0" w:type="dxa"/>
              <w:right w:w="85" w:type="dxa"/>
            </w:tcMar>
            <w:vAlign w:val="bottom"/>
          </w:tcPr>
          <w:p w14:paraId="06A01290" w14:textId="77777777" w:rsidR="005D02EF" w:rsidRPr="009E06AA" w:rsidRDefault="005D02EF" w:rsidP="009F7434">
            <w:pPr>
              <w:pStyle w:val="TableTextBold"/>
              <w:keepNext/>
              <w:spacing w:before="40" w:after="40"/>
              <w:jc w:val="right"/>
              <w:rPr>
                <w:noProof w:val="0"/>
                <w:color w:val="FFFFFF" w:themeColor="background1"/>
              </w:rPr>
            </w:pPr>
            <w:r w:rsidRPr="009E06AA">
              <w:rPr>
                <w:rFonts w:eastAsia="Calibri"/>
                <w:noProof w:val="0"/>
                <w:color w:val="FFFFFF" w:themeColor="background1"/>
              </w:rPr>
              <w:t>Largest single decrease in emissions for the category (kt CO</w:t>
            </w:r>
            <w:r w:rsidRPr="009E06AA">
              <w:rPr>
                <w:rFonts w:eastAsia="Calibri"/>
                <w:noProof w:val="0"/>
                <w:color w:val="FFFFFF" w:themeColor="background1"/>
                <w:vertAlign w:val="subscript"/>
              </w:rPr>
              <w:t>2</w:t>
            </w:r>
            <w:r w:rsidRPr="009E06AA">
              <w:rPr>
                <w:rFonts w:eastAsia="Calibri"/>
                <w:noProof w:val="0"/>
                <w:color w:val="FFFFFF" w:themeColor="background1"/>
              </w:rPr>
              <w:t>-e)</w:t>
            </w:r>
          </w:p>
        </w:tc>
        <w:tc>
          <w:tcPr>
            <w:tcW w:w="0" w:type="auto"/>
            <w:shd w:val="clear" w:color="auto" w:fill="1B556B"/>
            <w:tcMar>
              <w:top w:w="0" w:type="dxa"/>
              <w:left w:w="85" w:type="dxa"/>
              <w:bottom w:w="0" w:type="dxa"/>
              <w:right w:w="85" w:type="dxa"/>
            </w:tcMar>
            <w:vAlign w:val="bottom"/>
          </w:tcPr>
          <w:p w14:paraId="45F4E08D" w14:textId="77777777" w:rsidR="005D02EF" w:rsidRPr="009E06AA" w:rsidRDefault="005D02EF" w:rsidP="009F7434">
            <w:pPr>
              <w:pStyle w:val="TableTextBold"/>
              <w:keepNext/>
              <w:spacing w:before="40" w:after="40"/>
              <w:jc w:val="right"/>
              <w:rPr>
                <w:noProof w:val="0"/>
                <w:color w:val="FFFFFF" w:themeColor="background1"/>
              </w:rPr>
            </w:pPr>
            <w:r w:rsidRPr="009E06AA">
              <w:rPr>
                <w:rFonts w:eastAsia="Calibri"/>
                <w:noProof w:val="0"/>
                <w:color w:val="FFFFFF" w:themeColor="background1"/>
              </w:rPr>
              <w:t>Year of the largest decrease in estimated emissions</w:t>
            </w:r>
          </w:p>
        </w:tc>
      </w:tr>
      <w:tr w:rsidR="005D02EF" w:rsidRPr="009E06AA" w14:paraId="18198367" w14:textId="77777777" w:rsidTr="00B55F24">
        <w:tc>
          <w:tcPr>
            <w:tcW w:w="0" w:type="auto"/>
            <w:shd w:val="clear" w:color="auto" w:fill="FFFFFF"/>
            <w:tcMar>
              <w:top w:w="0" w:type="dxa"/>
              <w:left w:w="85" w:type="dxa"/>
              <w:bottom w:w="0" w:type="dxa"/>
              <w:right w:w="85" w:type="dxa"/>
            </w:tcMar>
          </w:tcPr>
          <w:p w14:paraId="55D4E2EF" w14:textId="77777777" w:rsidR="005D02EF" w:rsidRPr="009E06AA" w:rsidRDefault="005D02EF" w:rsidP="00B55F24">
            <w:pPr>
              <w:pStyle w:val="TableText"/>
              <w:keepNext/>
              <w:spacing w:before="40" w:after="40"/>
            </w:pPr>
            <w:r w:rsidRPr="009E06AA">
              <w:rPr>
                <w:rFonts w:eastAsia="Calibri"/>
                <w:color w:val="000000"/>
              </w:rPr>
              <w:t>Energy</w:t>
            </w:r>
          </w:p>
        </w:tc>
        <w:tc>
          <w:tcPr>
            <w:tcW w:w="2204" w:type="pct"/>
            <w:shd w:val="clear" w:color="auto" w:fill="FFFFFF"/>
            <w:tcMar>
              <w:top w:w="0" w:type="dxa"/>
              <w:left w:w="85" w:type="dxa"/>
              <w:bottom w:w="0" w:type="dxa"/>
              <w:right w:w="85" w:type="dxa"/>
            </w:tcMar>
          </w:tcPr>
          <w:p w14:paraId="6312DC7D" w14:textId="77777777" w:rsidR="005D02EF" w:rsidRPr="009E06AA" w:rsidRDefault="005D02EF" w:rsidP="00B55F24">
            <w:pPr>
              <w:pStyle w:val="TableText"/>
              <w:keepNext/>
              <w:spacing w:before="40" w:after="40"/>
            </w:pPr>
            <w:r w:rsidRPr="009E06AA">
              <w:t>1.A.1.a Public electricity and heat production</w:t>
            </w:r>
          </w:p>
        </w:tc>
        <w:tc>
          <w:tcPr>
            <w:tcW w:w="1042" w:type="pct"/>
            <w:shd w:val="clear" w:color="auto" w:fill="FFFFFF"/>
            <w:tcMar>
              <w:top w:w="0" w:type="dxa"/>
              <w:left w:w="85" w:type="dxa"/>
              <w:bottom w:w="0" w:type="dxa"/>
              <w:right w:w="85" w:type="dxa"/>
            </w:tcMar>
          </w:tcPr>
          <w:p w14:paraId="65A1964D" w14:textId="77777777" w:rsidR="005D02EF" w:rsidRPr="009E06AA" w:rsidRDefault="005D02EF" w:rsidP="009F7434">
            <w:pPr>
              <w:pStyle w:val="TableText"/>
              <w:keepNext/>
              <w:spacing w:before="40" w:after="40"/>
              <w:jc w:val="right"/>
            </w:pPr>
            <w:r w:rsidRPr="009E06AA">
              <w:t>-217.2</w:t>
            </w:r>
          </w:p>
        </w:tc>
        <w:tc>
          <w:tcPr>
            <w:tcW w:w="0" w:type="auto"/>
            <w:shd w:val="clear" w:color="auto" w:fill="FFFFFF"/>
            <w:tcMar>
              <w:top w:w="0" w:type="dxa"/>
              <w:left w:w="85" w:type="dxa"/>
              <w:bottom w:w="0" w:type="dxa"/>
              <w:right w:w="85" w:type="dxa"/>
            </w:tcMar>
          </w:tcPr>
          <w:p w14:paraId="03100196" w14:textId="77777777" w:rsidR="005D02EF" w:rsidRPr="009E06AA" w:rsidRDefault="005D02EF" w:rsidP="009F7434">
            <w:pPr>
              <w:pStyle w:val="TableText"/>
              <w:keepNext/>
              <w:spacing w:before="40" w:after="40"/>
              <w:jc w:val="right"/>
            </w:pPr>
            <w:r w:rsidRPr="009E06AA">
              <w:t>2020</w:t>
            </w:r>
          </w:p>
        </w:tc>
      </w:tr>
      <w:tr w:rsidR="005D02EF" w:rsidRPr="009E06AA" w14:paraId="3FCB854C" w14:textId="77777777" w:rsidTr="00B55F24">
        <w:tc>
          <w:tcPr>
            <w:tcW w:w="0" w:type="auto"/>
            <w:shd w:val="clear" w:color="auto" w:fill="FFFFFF"/>
            <w:tcMar>
              <w:top w:w="0" w:type="dxa"/>
              <w:left w:w="85" w:type="dxa"/>
              <w:bottom w:w="0" w:type="dxa"/>
              <w:right w:w="85" w:type="dxa"/>
            </w:tcMar>
          </w:tcPr>
          <w:p w14:paraId="25D2CAD5" w14:textId="77777777" w:rsidR="005D02EF" w:rsidRPr="009E06AA" w:rsidRDefault="005D02EF" w:rsidP="00B55F24">
            <w:pPr>
              <w:pStyle w:val="TableText"/>
              <w:keepNext/>
              <w:spacing w:before="40" w:after="40"/>
            </w:pPr>
            <w:r w:rsidRPr="009E06AA">
              <w:rPr>
                <w:rFonts w:eastAsia="Calibri"/>
                <w:color w:val="000000"/>
              </w:rPr>
              <w:t>IPPU</w:t>
            </w:r>
          </w:p>
        </w:tc>
        <w:tc>
          <w:tcPr>
            <w:tcW w:w="2204" w:type="pct"/>
            <w:shd w:val="clear" w:color="auto" w:fill="FFFFFF"/>
            <w:tcMar>
              <w:top w:w="0" w:type="dxa"/>
              <w:left w:w="85" w:type="dxa"/>
              <w:bottom w:w="0" w:type="dxa"/>
              <w:right w:w="85" w:type="dxa"/>
            </w:tcMar>
          </w:tcPr>
          <w:p w14:paraId="22BC11A4" w14:textId="77777777" w:rsidR="005D02EF" w:rsidRPr="009E06AA" w:rsidRDefault="005D02EF" w:rsidP="00B55F24">
            <w:pPr>
              <w:pStyle w:val="TableText"/>
              <w:keepNext/>
              <w:spacing w:before="40" w:after="40"/>
            </w:pPr>
            <w:r w:rsidRPr="009E06AA">
              <w:t>2.F.1.f HFC-125</w:t>
            </w:r>
          </w:p>
        </w:tc>
        <w:tc>
          <w:tcPr>
            <w:tcW w:w="1042" w:type="pct"/>
            <w:shd w:val="clear" w:color="auto" w:fill="FFFFFF"/>
            <w:tcMar>
              <w:top w:w="0" w:type="dxa"/>
              <w:left w:w="85" w:type="dxa"/>
              <w:bottom w:w="0" w:type="dxa"/>
              <w:right w:w="85" w:type="dxa"/>
            </w:tcMar>
          </w:tcPr>
          <w:p w14:paraId="23FD8643" w14:textId="77777777" w:rsidR="005D02EF" w:rsidRPr="009E06AA" w:rsidRDefault="005D02EF" w:rsidP="009F7434">
            <w:pPr>
              <w:pStyle w:val="TableText"/>
              <w:keepNext/>
              <w:spacing w:before="40" w:after="40"/>
              <w:jc w:val="right"/>
            </w:pPr>
            <w:r w:rsidRPr="009E06AA">
              <w:t>-40.2</w:t>
            </w:r>
          </w:p>
        </w:tc>
        <w:tc>
          <w:tcPr>
            <w:tcW w:w="0" w:type="auto"/>
            <w:shd w:val="clear" w:color="auto" w:fill="FFFFFF"/>
            <w:tcMar>
              <w:top w:w="0" w:type="dxa"/>
              <w:left w:w="85" w:type="dxa"/>
              <w:bottom w:w="0" w:type="dxa"/>
              <w:right w:w="85" w:type="dxa"/>
            </w:tcMar>
          </w:tcPr>
          <w:p w14:paraId="50148F55" w14:textId="77777777" w:rsidR="005D02EF" w:rsidRPr="009E06AA" w:rsidRDefault="005D02EF" w:rsidP="009F7434">
            <w:pPr>
              <w:pStyle w:val="TableText"/>
              <w:keepNext/>
              <w:spacing w:before="40" w:after="40"/>
              <w:jc w:val="right"/>
            </w:pPr>
            <w:r w:rsidRPr="009E06AA">
              <w:t>2017</w:t>
            </w:r>
          </w:p>
        </w:tc>
      </w:tr>
      <w:tr w:rsidR="005D02EF" w:rsidRPr="009E06AA" w14:paraId="65F8FCCC" w14:textId="77777777" w:rsidTr="00B55F24">
        <w:tc>
          <w:tcPr>
            <w:tcW w:w="0" w:type="auto"/>
            <w:shd w:val="clear" w:color="auto" w:fill="FFFFFF"/>
            <w:tcMar>
              <w:top w:w="0" w:type="dxa"/>
              <w:left w:w="85" w:type="dxa"/>
              <w:bottom w:w="0" w:type="dxa"/>
              <w:right w:w="85" w:type="dxa"/>
            </w:tcMar>
          </w:tcPr>
          <w:p w14:paraId="7DC59124" w14:textId="77777777" w:rsidR="005D02EF" w:rsidRPr="009E06AA" w:rsidRDefault="005D02EF" w:rsidP="00B55F24">
            <w:pPr>
              <w:pStyle w:val="TableText"/>
              <w:keepNext/>
              <w:spacing w:before="40" w:after="40"/>
            </w:pPr>
            <w:r w:rsidRPr="009E06AA">
              <w:rPr>
                <w:rFonts w:eastAsia="Calibri"/>
                <w:color w:val="000000"/>
              </w:rPr>
              <w:t>Agriculture</w:t>
            </w:r>
          </w:p>
        </w:tc>
        <w:tc>
          <w:tcPr>
            <w:tcW w:w="2204" w:type="pct"/>
            <w:shd w:val="clear" w:color="auto" w:fill="FFFFFF"/>
            <w:tcMar>
              <w:top w:w="0" w:type="dxa"/>
              <w:left w:w="85" w:type="dxa"/>
              <w:bottom w:w="0" w:type="dxa"/>
              <w:right w:w="85" w:type="dxa"/>
            </w:tcMar>
          </w:tcPr>
          <w:p w14:paraId="1F5E1ECC" w14:textId="77777777" w:rsidR="005D02EF" w:rsidRPr="009E06AA" w:rsidRDefault="005D02EF" w:rsidP="00B55F24">
            <w:pPr>
              <w:pStyle w:val="TableText"/>
              <w:keepNext/>
              <w:spacing w:before="40" w:after="40"/>
            </w:pPr>
            <w:r w:rsidRPr="009E06AA">
              <w:t>3.A.2 Sheep</w:t>
            </w:r>
          </w:p>
        </w:tc>
        <w:tc>
          <w:tcPr>
            <w:tcW w:w="1042" w:type="pct"/>
            <w:shd w:val="clear" w:color="auto" w:fill="FFFFFF"/>
            <w:tcMar>
              <w:top w:w="0" w:type="dxa"/>
              <w:left w:w="85" w:type="dxa"/>
              <w:bottom w:w="0" w:type="dxa"/>
              <w:right w:w="85" w:type="dxa"/>
            </w:tcMar>
          </w:tcPr>
          <w:p w14:paraId="78D03061" w14:textId="77777777" w:rsidR="005D02EF" w:rsidRPr="009E06AA" w:rsidRDefault="005D02EF" w:rsidP="009F7434">
            <w:pPr>
              <w:pStyle w:val="TableText"/>
              <w:keepNext/>
              <w:spacing w:before="40" w:after="40"/>
              <w:jc w:val="right"/>
            </w:pPr>
            <w:r w:rsidRPr="009E06AA">
              <w:t>-17.4</w:t>
            </w:r>
          </w:p>
        </w:tc>
        <w:tc>
          <w:tcPr>
            <w:tcW w:w="0" w:type="auto"/>
            <w:shd w:val="clear" w:color="auto" w:fill="FFFFFF"/>
            <w:tcMar>
              <w:top w:w="0" w:type="dxa"/>
              <w:left w:w="85" w:type="dxa"/>
              <w:bottom w:w="0" w:type="dxa"/>
              <w:right w:w="85" w:type="dxa"/>
            </w:tcMar>
          </w:tcPr>
          <w:p w14:paraId="65DCE2E3" w14:textId="77777777" w:rsidR="005D02EF" w:rsidRPr="009E06AA" w:rsidRDefault="005D02EF" w:rsidP="009F7434">
            <w:pPr>
              <w:pStyle w:val="TableText"/>
              <w:keepNext/>
              <w:spacing w:before="40" w:after="40"/>
              <w:jc w:val="right"/>
            </w:pPr>
            <w:r w:rsidRPr="009E06AA">
              <w:t>1990</w:t>
            </w:r>
          </w:p>
        </w:tc>
      </w:tr>
      <w:tr w:rsidR="005D02EF" w:rsidRPr="009E06AA" w14:paraId="262ECBAE" w14:textId="77777777" w:rsidTr="00B55F24">
        <w:tc>
          <w:tcPr>
            <w:tcW w:w="0" w:type="auto"/>
            <w:shd w:val="clear" w:color="auto" w:fill="FFFFFF"/>
            <w:tcMar>
              <w:top w:w="0" w:type="dxa"/>
              <w:left w:w="85" w:type="dxa"/>
              <w:bottom w:w="0" w:type="dxa"/>
              <w:right w:w="85" w:type="dxa"/>
            </w:tcMar>
          </w:tcPr>
          <w:p w14:paraId="1C071240" w14:textId="77777777" w:rsidR="005D02EF" w:rsidRPr="009E06AA" w:rsidRDefault="005D02EF" w:rsidP="00B55F24">
            <w:pPr>
              <w:pStyle w:val="TableText"/>
              <w:spacing w:before="40" w:after="40"/>
            </w:pPr>
            <w:r w:rsidRPr="009E06AA">
              <w:rPr>
                <w:rFonts w:eastAsia="Calibri"/>
                <w:color w:val="000000"/>
              </w:rPr>
              <w:t>LULUCF</w:t>
            </w:r>
          </w:p>
        </w:tc>
        <w:tc>
          <w:tcPr>
            <w:tcW w:w="2204" w:type="pct"/>
            <w:shd w:val="clear" w:color="auto" w:fill="FFFFFF"/>
            <w:tcMar>
              <w:top w:w="0" w:type="dxa"/>
              <w:left w:w="85" w:type="dxa"/>
              <w:bottom w:w="0" w:type="dxa"/>
              <w:right w:w="85" w:type="dxa"/>
            </w:tcMar>
          </w:tcPr>
          <w:p w14:paraId="5653E98E" w14:textId="77777777" w:rsidR="005D02EF" w:rsidRPr="009E06AA" w:rsidRDefault="005D02EF" w:rsidP="00B55F24">
            <w:pPr>
              <w:pStyle w:val="TableText"/>
              <w:spacing w:before="40" w:after="40"/>
            </w:pPr>
            <w:r w:rsidRPr="009E06AA">
              <w:t>4.A.1.i Pre-1990 planted forest remaining pre-1990 planted forest</w:t>
            </w:r>
          </w:p>
        </w:tc>
        <w:tc>
          <w:tcPr>
            <w:tcW w:w="1042" w:type="pct"/>
            <w:shd w:val="clear" w:color="auto" w:fill="FFFFFF"/>
            <w:tcMar>
              <w:top w:w="0" w:type="dxa"/>
              <w:left w:w="85" w:type="dxa"/>
              <w:bottom w:w="0" w:type="dxa"/>
              <w:right w:w="85" w:type="dxa"/>
            </w:tcMar>
          </w:tcPr>
          <w:p w14:paraId="6C33D14A" w14:textId="77777777" w:rsidR="005D02EF" w:rsidRPr="009E06AA" w:rsidRDefault="005D02EF" w:rsidP="009F7434">
            <w:pPr>
              <w:pStyle w:val="TableText"/>
              <w:spacing w:before="40" w:after="40"/>
              <w:jc w:val="right"/>
            </w:pPr>
            <w:r w:rsidRPr="009E06AA">
              <w:t>-4,783.7</w:t>
            </w:r>
          </w:p>
        </w:tc>
        <w:tc>
          <w:tcPr>
            <w:tcW w:w="0" w:type="auto"/>
            <w:shd w:val="clear" w:color="auto" w:fill="FFFFFF"/>
            <w:tcMar>
              <w:top w:w="0" w:type="dxa"/>
              <w:left w:w="85" w:type="dxa"/>
              <w:bottom w:w="0" w:type="dxa"/>
              <w:right w:w="85" w:type="dxa"/>
            </w:tcMar>
          </w:tcPr>
          <w:p w14:paraId="1AF0E285" w14:textId="77777777" w:rsidR="005D02EF" w:rsidRPr="009E06AA" w:rsidRDefault="005D02EF" w:rsidP="009F7434">
            <w:pPr>
              <w:pStyle w:val="TableText"/>
              <w:spacing w:before="40" w:after="40"/>
              <w:jc w:val="right"/>
            </w:pPr>
            <w:r w:rsidRPr="009E06AA">
              <w:t>1990</w:t>
            </w:r>
          </w:p>
        </w:tc>
      </w:tr>
      <w:tr w:rsidR="005D02EF" w:rsidRPr="009E06AA" w14:paraId="1A78B5FF" w14:textId="77777777" w:rsidTr="00B55F24">
        <w:tc>
          <w:tcPr>
            <w:tcW w:w="0" w:type="auto"/>
            <w:shd w:val="clear" w:color="auto" w:fill="FFFFFF"/>
            <w:tcMar>
              <w:top w:w="0" w:type="dxa"/>
              <w:left w:w="85" w:type="dxa"/>
              <w:bottom w:w="0" w:type="dxa"/>
              <w:right w:w="85" w:type="dxa"/>
            </w:tcMar>
          </w:tcPr>
          <w:p w14:paraId="6C489100" w14:textId="77777777" w:rsidR="005D02EF" w:rsidRPr="009E06AA" w:rsidRDefault="005D02EF" w:rsidP="00B55F24">
            <w:pPr>
              <w:pStyle w:val="TableText"/>
              <w:spacing w:before="40" w:after="40"/>
            </w:pPr>
            <w:r w:rsidRPr="009E06AA">
              <w:rPr>
                <w:rFonts w:eastAsia="Calibri"/>
                <w:color w:val="000000"/>
              </w:rPr>
              <w:t>Waste</w:t>
            </w:r>
          </w:p>
        </w:tc>
        <w:tc>
          <w:tcPr>
            <w:tcW w:w="2204" w:type="pct"/>
            <w:shd w:val="clear" w:color="auto" w:fill="FFFFFF"/>
            <w:tcMar>
              <w:top w:w="0" w:type="dxa"/>
              <w:left w:w="85" w:type="dxa"/>
              <w:bottom w:w="0" w:type="dxa"/>
              <w:right w:w="85" w:type="dxa"/>
            </w:tcMar>
          </w:tcPr>
          <w:p w14:paraId="36EF8F15" w14:textId="77777777" w:rsidR="005D02EF" w:rsidRPr="009E06AA" w:rsidRDefault="005D02EF" w:rsidP="00B55F24">
            <w:pPr>
              <w:pStyle w:val="TableText"/>
              <w:spacing w:before="40" w:after="40"/>
            </w:pPr>
            <w:r w:rsidRPr="009E06AA">
              <w:t>5.A.2 Unmanaged waste disposal sites</w:t>
            </w:r>
          </w:p>
        </w:tc>
        <w:tc>
          <w:tcPr>
            <w:tcW w:w="1042" w:type="pct"/>
            <w:shd w:val="clear" w:color="auto" w:fill="FFFFFF"/>
            <w:tcMar>
              <w:top w:w="0" w:type="dxa"/>
              <w:left w:w="85" w:type="dxa"/>
              <w:bottom w:w="0" w:type="dxa"/>
              <w:right w:w="85" w:type="dxa"/>
            </w:tcMar>
          </w:tcPr>
          <w:p w14:paraId="1F50E9A1" w14:textId="77777777" w:rsidR="005D02EF" w:rsidRPr="009E06AA" w:rsidRDefault="005D02EF" w:rsidP="009F7434">
            <w:pPr>
              <w:pStyle w:val="TableText"/>
              <w:spacing w:before="40" w:after="40"/>
              <w:jc w:val="right"/>
            </w:pPr>
            <w:r w:rsidRPr="009E06AA">
              <w:t>-9.0</w:t>
            </w:r>
          </w:p>
        </w:tc>
        <w:tc>
          <w:tcPr>
            <w:tcW w:w="0" w:type="auto"/>
            <w:shd w:val="clear" w:color="auto" w:fill="FFFFFF"/>
            <w:tcMar>
              <w:top w:w="0" w:type="dxa"/>
              <w:left w:w="85" w:type="dxa"/>
              <w:bottom w:w="0" w:type="dxa"/>
              <w:right w:w="85" w:type="dxa"/>
            </w:tcMar>
          </w:tcPr>
          <w:p w14:paraId="7E1F8686" w14:textId="77777777" w:rsidR="005D02EF" w:rsidRPr="009E06AA" w:rsidRDefault="005D02EF" w:rsidP="009F7434">
            <w:pPr>
              <w:pStyle w:val="TableText"/>
              <w:spacing w:before="40" w:after="40"/>
              <w:jc w:val="right"/>
            </w:pPr>
            <w:r w:rsidRPr="009E06AA">
              <w:t>2001</w:t>
            </w:r>
          </w:p>
        </w:tc>
      </w:tr>
      <w:tr w:rsidR="005D02EF" w:rsidRPr="009E06AA" w14:paraId="47D11B90" w14:textId="77777777" w:rsidTr="00B55F24">
        <w:tc>
          <w:tcPr>
            <w:tcW w:w="0" w:type="auto"/>
            <w:shd w:val="clear" w:color="auto" w:fill="FFFFFF"/>
            <w:tcMar>
              <w:top w:w="0" w:type="dxa"/>
              <w:left w:w="85" w:type="dxa"/>
              <w:bottom w:w="0" w:type="dxa"/>
              <w:right w:w="85" w:type="dxa"/>
            </w:tcMar>
          </w:tcPr>
          <w:p w14:paraId="23EAC018" w14:textId="77777777" w:rsidR="005D02EF" w:rsidRPr="009E06AA" w:rsidRDefault="005D02EF" w:rsidP="00B55F24">
            <w:pPr>
              <w:pStyle w:val="TableText"/>
              <w:spacing w:before="40" w:after="40"/>
            </w:pPr>
            <w:r w:rsidRPr="009E06AA">
              <w:rPr>
                <w:rFonts w:eastAsia="Calibri"/>
                <w:color w:val="000000"/>
              </w:rPr>
              <w:t>Tokelau</w:t>
            </w:r>
          </w:p>
        </w:tc>
        <w:tc>
          <w:tcPr>
            <w:tcW w:w="2204" w:type="pct"/>
            <w:shd w:val="clear" w:color="auto" w:fill="FFFFFF"/>
            <w:tcMar>
              <w:top w:w="0" w:type="dxa"/>
              <w:left w:w="85" w:type="dxa"/>
              <w:bottom w:w="0" w:type="dxa"/>
              <w:right w:w="85" w:type="dxa"/>
            </w:tcMar>
          </w:tcPr>
          <w:p w14:paraId="7FD824FE" w14:textId="77777777" w:rsidR="005D02EF" w:rsidRPr="009E06AA" w:rsidRDefault="005D02EF" w:rsidP="00B55F24">
            <w:pPr>
              <w:pStyle w:val="TableText"/>
              <w:spacing w:before="40" w:after="40"/>
            </w:pPr>
            <w:r w:rsidRPr="009E06AA">
              <w:t>6. Tokelau_2. Industrial Processes and Product Use</w:t>
            </w:r>
          </w:p>
        </w:tc>
        <w:tc>
          <w:tcPr>
            <w:tcW w:w="1042" w:type="pct"/>
            <w:shd w:val="clear" w:color="auto" w:fill="FFFFFF"/>
            <w:tcMar>
              <w:top w:w="0" w:type="dxa"/>
              <w:left w:w="85" w:type="dxa"/>
              <w:bottom w:w="0" w:type="dxa"/>
              <w:right w:w="85" w:type="dxa"/>
            </w:tcMar>
          </w:tcPr>
          <w:p w14:paraId="22102108" w14:textId="77777777" w:rsidR="005D02EF" w:rsidRPr="009E06AA" w:rsidRDefault="005D02EF" w:rsidP="009F7434">
            <w:pPr>
              <w:pStyle w:val="TableText"/>
              <w:spacing w:before="40" w:after="40"/>
              <w:jc w:val="right"/>
            </w:pPr>
            <w:r w:rsidRPr="009E06AA">
              <w:t>-0.004</w:t>
            </w:r>
          </w:p>
        </w:tc>
        <w:tc>
          <w:tcPr>
            <w:tcW w:w="0" w:type="auto"/>
            <w:shd w:val="clear" w:color="auto" w:fill="FFFFFF"/>
            <w:tcMar>
              <w:top w:w="0" w:type="dxa"/>
              <w:left w:w="85" w:type="dxa"/>
              <w:bottom w:w="0" w:type="dxa"/>
              <w:right w:w="85" w:type="dxa"/>
            </w:tcMar>
          </w:tcPr>
          <w:p w14:paraId="5FCFF404" w14:textId="77777777" w:rsidR="005D02EF" w:rsidRPr="009E06AA" w:rsidRDefault="005D02EF" w:rsidP="009F7434">
            <w:pPr>
              <w:pStyle w:val="TableText"/>
              <w:spacing w:before="40" w:after="40"/>
              <w:jc w:val="right"/>
            </w:pPr>
            <w:r w:rsidRPr="009E06AA">
              <w:t>2020</w:t>
            </w:r>
          </w:p>
        </w:tc>
      </w:tr>
    </w:tbl>
    <w:p w14:paraId="3C1B428C" w14:textId="77777777" w:rsidR="005D02EF" w:rsidRPr="009E06AA" w:rsidRDefault="005D02EF" w:rsidP="005D02EF">
      <w:pPr>
        <w:pStyle w:val="BodyText"/>
      </w:pPr>
      <w:r w:rsidRPr="009E06AA">
        <w:t>The following sections detail the effect of and reasons for recalculations for each sector and summarise the improvements.</w:t>
      </w:r>
    </w:p>
    <w:p w14:paraId="7CD4C986" w14:textId="77777777" w:rsidR="005D02EF" w:rsidRPr="009E06AA" w:rsidRDefault="005D02EF" w:rsidP="005D02EF">
      <w:pPr>
        <w:pStyle w:val="Heading3"/>
      </w:pPr>
      <w:bookmarkStart w:id="3646" w:name="_Toc161311137"/>
      <w:bookmarkStart w:id="3647" w:name="energy"/>
      <w:bookmarkEnd w:id="3639"/>
      <w:r w:rsidRPr="009E06AA">
        <w:t xml:space="preserve">10.2.3 </w:t>
      </w:r>
      <w:r w:rsidRPr="009E06AA">
        <w:tab/>
        <w:t>Energy</w:t>
      </w:r>
      <w:bookmarkEnd w:id="3646"/>
    </w:p>
    <w:p w14:paraId="0A4423A0" w14:textId="77777777" w:rsidR="005D02EF" w:rsidRPr="009E06AA" w:rsidRDefault="005D02EF" w:rsidP="005D02EF">
      <w:pPr>
        <w:pStyle w:val="BodyText"/>
      </w:pPr>
      <w:r w:rsidRPr="009E06AA">
        <w:t>Changes to activity data in the Energy sector have resulted in a 0.01 per cent (1.5 kt CO₂-e) increase in energy emissions estimates in 1990 and a 0.05 per cent (14.8 kt CO₂-e) decrease in energy emissions estimates in 2021 (figure 10.2.3).</w:t>
      </w:r>
    </w:p>
    <w:p w14:paraId="73177408" w14:textId="5A2BE3BF" w:rsidR="005D02EF" w:rsidRPr="009E06AA" w:rsidRDefault="005D02EF" w:rsidP="005D02EF">
      <w:pPr>
        <w:pStyle w:val="Figure"/>
      </w:pPr>
      <w:bookmarkStart w:id="3648" w:name="_Toc161311162"/>
      <w:bookmarkStart w:id="3649" w:name="_Toc164154061"/>
      <w:r w:rsidRPr="009E06AA">
        <w:rPr>
          <w:bCs/>
        </w:rPr>
        <w:t xml:space="preserve">Figure 10.2.3 </w:t>
      </w:r>
      <w:r w:rsidRPr="009E06AA">
        <w:rPr>
          <w:bCs/>
        </w:rPr>
        <w:tab/>
        <w:t>Effect of changes to activity data on emissions estimates from New Zealand’s Energy sector</w:t>
      </w:r>
      <w:r w:rsidR="00A360EE" w:rsidRPr="009E06AA">
        <w:rPr>
          <w:bCs/>
        </w:rPr>
        <w:t>,</w:t>
      </w:r>
      <w:r w:rsidRPr="009E06AA">
        <w:rPr>
          <w:bCs/>
        </w:rPr>
        <w:t xml:space="preserve"> from 1990 to 2021</w:t>
      </w:r>
      <w:bookmarkEnd w:id="3648"/>
      <w:bookmarkEnd w:id="3649"/>
    </w:p>
    <w:p w14:paraId="65CB5EF9" w14:textId="77777777" w:rsidR="005D02EF" w:rsidRPr="009E06AA" w:rsidRDefault="005D02EF" w:rsidP="005D02EF">
      <w:pPr>
        <w:pStyle w:val="BodyText"/>
      </w:pPr>
      <w:r w:rsidRPr="009E06AA">
        <w:rPr>
          <w:noProof/>
        </w:rPr>
        <w:drawing>
          <wp:inline distT="0" distB="0" distL="0" distR="0" wp14:anchorId="152E19E1" wp14:editId="24A38A68">
            <wp:extent cx="5397500" cy="3959524"/>
            <wp:effectExtent l="0" t="0" r="0" b="3175"/>
            <wp:docPr id="1661150444" name="Picture 1661150444" descr="A graph showing a line of growth&#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661150444" name="Picture 1661150444" descr="A graph showing a line of growth&#10;&#10;Description automatically generated with medium confidence"/>
                    <pic:cNvPicPr>
                      <a:picLocks noChangeAspect="1" noChangeArrowheads="1"/>
                    </pic:cNvPicPr>
                  </pic:nvPicPr>
                  <pic:blipFill rotWithShape="1">
                    <a:blip r:embed="rId199"/>
                    <a:srcRect b="2189"/>
                    <a:stretch/>
                  </pic:blipFill>
                  <pic:spPr bwMode="auto">
                    <a:xfrm>
                      <a:off x="0" y="0"/>
                      <a:ext cx="5397500" cy="3959524"/>
                    </a:xfrm>
                    <a:prstGeom prst="rect">
                      <a:avLst/>
                    </a:prstGeom>
                    <a:noFill/>
                    <a:ln>
                      <a:noFill/>
                    </a:ln>
                    <a:extLst>
                      <a:ext uri="{53640926-AAD7-44D8-BBD7-CCE9431645EC}">
                        <a14:shadowObscured xmlns:a14="http://schemas.microsoft.com/office/drawing/2010/main"/>
                      </a:ext>
                    </a:extLst>
                  </pic:spPr>
                </pic:pic>
              </a:graphicData>
            </a:graphic>
          </wp:inline>
        </w:drawing>
      </w:r>
    </w:p>
    <w:p w14:paraId="46077144" w14:textId="77777777" w:rsidR="005D02EF" w:rsidRPr="009E06AA" w:rsidRDefault="005D02EF" w:rsidP="005D02EF">
      <w:pPr>
        <w:pStyle w:val="Heading3"/>
        <w:tabs>
          <w:tab w:val="clear" w:pos="851"/>
          <w:tab w:val="left" w:pos="993"/>
        </w:tabs>
      </w:pPr>
      <w:bookmarkStart w:id="3650" w:name="_Toc161311138"/>
      <w:bookmarkStart w:id="3651" w:name="industrial-processes-and-product-use"/>
      <w:bookmarkEnd w:id="3647"/>
      <w:r w:rsidRPr="009E06AA">
        <w:t xml:space="preserve">10.2.4 </w:t>
      </w:r>
      <w:r w:rsidRPr="009E06AA">
        <w:tab/>
        <w:t>Industrial Processes and Product Use</w:t>
      </w:r>
      <w:bookmarkEnd w:id="3650"/>
    </w:p>
    <w:p w14:paraId="26910C61" w14:textId="77777777" w:rsidR="005D02EF" w:rsidRPr="009E06AA" w:rsidRDefault="005D02EF" w:rsidP="005D02EF">
      <w:pPr>
        <w:pStyle w:val="BodyText"/>
      </w:pPr>
      <w:r w:rsidRPr="009E06AA">
        <w:t>Improvements and recalculations made in the Industrial Processes and Product Use (IPPU) sector have resulted in a 0.1 per cent (2.3 kt CO₂-e) decrease for 1990 and a 4.3 per cent (193.8 kt CO₂-e) increase in emissions estimates for 2021 (figure 10.2.4).</w:t>
      </w:r>
    </w:p>
    <w:p w14:paraId="2594B470" w14:textId="0BEF176A" w:rsidR="005D02EF" w:rsidRPr="009E06AA" w:rsidRDefault="005D02EF" w:rsidP="005D02EF">
      <w:pPr>
        <w:pStyle w:val="Figure"/>
      </w:pPr>
      <w:bookmarkStart w:id="3652" w:name="_Toc161311163"/>
      <w:bookmarkStart w:id="3653" w:name="_Toc164154062"/>
      <w:r w:rsidRPr="009E06AA">
        <w:rPr>
          <w:bCs/>
        </w:rPr>
        <w:t xml:space="preserve">Figure 10.2.4 </w:t>
      </w:r>
      <w:r w:rsidRPr="009E06AA">
        <w:rPr>
          <w:bCs/>
        </w:rPr>
        <w:tab/>
        <w:t>Effect of recalculations on emissions estimates from the IPPU sector</w:t>
      </w:r>
      <w:r w:rsidR="00A360EE" w:rsidRPr="009E06AA">
        <w:rPr>
          <w:bCs/>
        </w:rPr>
        <w:t>,</w:t>
      </w:r>
      <w:r w:rsidRPr="009E06AA">
        <w:rPr>
          <w:bCs/>
        </w:rPr>
        <w:t xml:space="preserve"> from 1990 to</w:t>
      </w:r>
      <w:r w:rsidR="00B31EAA" w:rsidRPr="009E06AA">
        <w:rPr>
          <w:bCs/>
        </w:rPr>
        <w:t> </w:t>
      </w:r>
      <w:r w:rsidRPr="009E06AA">
        <w:rPr>
          <w:bCs/>
        </w:rPr>
        <w:t>2021</w:t>
      </w:r>
      <w:bookmarkEnd w:id="3652"/>
      <w:bookmarkEnd w:id="3653"/>
    </w:p>
    <w:p w14:paraId="54DB064D" w14:textId="77777777" w:rsidR="005D02EF" w:rsidRPr="009E06AA" w:rsidRDefault="005D02EF" w:rsidP="005D02EF">
      <w:pPr>
        <w:pStyle w:val="BodyText"/>
      </w:pPr>
      <w:r w:rsidRPr="009E06AA">
        <w:rPr>
          <w:noProof/>
        </w:rPr>
        <w:drawing>
          <wp:inline distT="0" distB="0" distL="0" distR="0" wp14:anchorId="31017E11" wp14:editId="214E1431">
            <wp:extent cx="5172076" cy="3835264"/>
            <wp:effectExtent l="0" t="0" r="0" b="0"/>
            <wp:docPr id="377827960" name="Picture 377827960" descr="A graph showing a line of growth&#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377827960" name="Picture 377827960" descr="A graph showing a line of growth&#10;&#10;Description automatically generated with medium confidence"/>
                    <pic:cNvPicPr>
                      <a:picLocks noChangeAspect="1" noChangeArrowheads="1"/>
                    </pic:cNvPicPr>
                  </pic:nvPicPr>
                  <pic:blipFill rotWithShape="1">
                    <a:blip r:embed="rId200"/>
                    <a:srcRect r="1000" b="2118"/>
                    <a:stretch/>
                  </pic:blipFill>
                  <pic:spPr bwMode="auto">
                    <a:xfrm>
                      <a:off x="0" y="0"/>
                      <a:ext cx="5172804" cy="3835804"/>
                    </a:xfrm>
                    <a:prstGeom prst="rect">
                      <a:avLst/>
                    </a:prstGeom>
                    <a:noFill/>
                    <a:ln>
                      <a:noFill/>
                    </a:ln>
                    <a:extLst>
                      <a:ext uri="{53640926-AAD7-44D8-BBD7-CCE9431645EC}">
                        <a14:shadowObscured xmlns:a14="http://schemas.microsoft.com/office/drawing/2010/main"/>
                      </a:ext>
                    </a:extLst>
                  </pic:spPr>
                </pic:pic>
              </a:graphicData>
            </a:graphic>
          </wp:inline>
        </w:drawing>
      </w:r>
    </w:p>
    <w:p w14:paraId="718D9B1A" w14:textId="77777777" w:rsidR="005D02EF" w:rsidRPr="009E06AA" w:rsidRDefault="005D02EF" w:rsidP="005D02EF">
      <w:pPr>
        <w:pStyle w:val="BodyText"/>
      </w:pPr>
      <w:r w:rsidRPr="009E06AA">
        <w:t xml:space="preserve">The changes to reported emissions estimates between submissions are largely due to the net effect of re-estimations of total bulk refrigerant imports, and refrigerant retirement and reuse rate. </w:t>
      </w:r>
    </w:p>
    <w:p w14:paraId="60841A32" w14:textId="77777777" w:rsidR="005D02EF" w:rsidRPr="009E06AA" w:rsidRDefault="005D02EF" w:rsidP="005D02EF">
      <w:pPr>
        <w:pStyle w:val="Heading3"/>
        <w:tabs>
          <w:tab w:val="clear" w:pos="851"/>
          <w:tab w:val="left" w:pos="993"/>
        </w:tabs>
      </w:pPr>
      <w:bookmarkStart w:id="3654" w:name="_Toc161311139"/>
      <w:bookmarkStart w:id="3655" w:name="agriculture"/>
      <w:bookmarkEnd w:id="3651"/>
      <w:r w:rsidRPr="009E06AA">
        <w:t xml:space="preserve">10.2.5 </w:t>
      </w:r>
      <w:r w:rsidRPr="009E06AA">
        <w:tab/>
        <w:t>Agriculture</w:t>
      </w:r>
      <w:bookmarkEnd w:id="3654"/>
    </w:p>
    <w:p w14:paraId="46EDE3C7" w14:textId="77777777" w:rsidR="005D02EF" w:rsidRPr="009E06AA" w:rsidRDefault="005D02EF" w:rsidP="005D02EF">
      <w:pPr>
        <w:pStyle w:val="BodyText"/>
        <w:keepNext/>
      </w:pPr>
      <w:r w:rsidRPr="009E06AA">
        <w:t>Improvements and recalculations made to the Agriculture inventory have resulted in a 3.0 per cent (1,068.6 kt CO₂-e) increase in estimated agricultural emissions in 1990 and a 4.5 per cent (1,823.0 kt CO₂-e) increase in estimated agricultural emissions in 2021 (figure 10.2.5).</w:t>
      </w:r>
    </w:p>
    <w:p w14:paraId="2F482D8C" w14:textId="3100748E" w:rsidR="005D02EF" w:rsidRPr="009E06AA" w:rsidRDefault="005D02EF" w:rsidP="005D02EF">
      <w:pPr>
        <w:pStyle w:val="Figure"/>
      </w:pPr>
      <w:bookmarkStart w:id="3656" w:name="_Toc161311164"/>
      <w:bookmarkStart w:id="3657" w:name="_Toc164154063"/>
      <w:r w:rsidRPr="009E06AA">
        <w:rPr>
          <w:bCs/>
        </w:rPr>
        <w:t xml:space="preserve">Figure 10.2.5 </w:t>
      </w:r>
      <w:r w:rsidRPr="009E06AA">
        <w:rPr>
          <w:bCs/>
        </w:rPr>
        <w:tab/>
        <w:t>Effect of recalculations on emissions estimates from New Zealand’s Agriculture sector</w:t>
      </w:r>
      <w:r w:rsidR="00A360EE" w:rsidRPr="009E06AA">
        <w:rPr>
          <w:bCs/>
        </w:rPr>
        <w:t>,</w:t>
      </w:r>
      <w:r w:rsidRPr="009E06AA">
        <w:rPr>
          <w:bCs/>
        </w:rPr>
        <w:t xml:space="preserve"> from 1990 to 2021</w:t>
      </w:r>
      <w:bookmarkEnd w:id="3656"/>
      <w:bookmarkEnd w:id="3657"/>
    </w:p>
    <w:p w14:paraId="7F082F0B" w14:textId="77777777" w:rsidR="005D02EF" w:rsidRPr="009E06AA" w:rsidRDefault="005D02EF" w:rsidP="005D02EF">
      <w:pPr>
        <w:pStyle w:val="BodyText"/>
        <w:jc w:val="center"/>
      </w:pPr>
      <w:r w:rsidRPr="009E06AA">
        <w:rPr>
          <w:noProof/>
        </w:rPr>
        <w:drawing>
          <wp:inline distT="0" distB="0" distL="0" distR="0" wp14:anchorId="4B695040" wp14:editId="223886C9">
            <wp:extent cx="5194300" cy="3804062"/>
            <wp:effectExtent l="0" t="0" r="6350" b="6350"/>
            <wp:docPr id="955742288" name="Picture 955742288" descr="A graph of a graph with blue and green line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955742288" name="Picture 955742288" descr="A graph of a graph with blue and green lines&#10;&#10;Description automatically generated with medium confidence"/>
                    <pic:cNvPicPr>
                      <a:picLocks noChangeAspect="1" noChangeArrowheads="1"/>
                    </pic:cNvPicPr>
                  </pic:nvPicPr>
                  <pic:blipFill rotWithShape="1">
                    <a:blip r:embed="rId201"/>
                    <a:srcRect b="2353"/>
                    <a:stretch/>
                  </pic:blipFill>
                  <pic:spPr bwMode="auto">
                    <a:xfrm>
                      <a:off x="0" y="0"/>
                      <a:ext cx="5195780" cy="3805146"/>
                    </a:xfrm>
                    <a:prstGeom prst="rect">
                      <a:avLst/>
                    </a:prstGeom>
                    <a:noFill/>
                    <a:ln>
                      <a:noFill/>
                    </a:ln>
                    <a:extLst>
                      <a:ext uri="{53640926-AAD7-44D8-BBD7-CCE9431645EC}">
                        <a14:shadowObscured xmlns:a14="http://schemas.microsoft.com/office/drawing/2010/main"/>
                      </a:ext>
                    </a:extLst>
                  </pic:spPr>
                </pic:pic>
              </a:graphicData>
            </a:graphic>
          </wp:inline>
        </w:drawing>
      </w:r>
    </w:p>
    <w:p w14:paraId="7801BB5E" w14:textId="77777777" w:rsidR="005D02EF" w:rsidRPr="009E06AA" w:rsidRDefault="005D02EF" w:rsidP="005D02EF">
      <w:pPr>
        <w:pStyle w:val="BodyText"/>
      </w:pPr>
      <w:r w:rsidRPr="009E06AA">
        <w:t>The improvements implemented for the Agriculture inventory in the 2024 submission are:</w:t>
      </w:r>
    </w:p>
    <w:p w14:paraId="757E0772" w14:textId="77777777" w:rsidR="005D02EF" w:rsidRPr="009E06AA" w:rsidRDefault="005D02EF" w:rsidP="005D02EF">
      <w:pPr>
        <w:pStyle w:val="Bullet"/>
      </w:pPr>
      <w:r w:rsidRPr="009E06AA">
        <w:t xml:space="preserve">improved estimates of within-year beef cattle population and liveweights </w:t>
      </w:r>
    </w:p>
    <w:p w14:paraId="7EF09BD1" w14:textId="77777777" w:rsidR="005D02EF" w:rsidRPr="009E06AA" w:rsidRDefault="005D02EF" w:rsidP="005D02EF">
      <w:pPr>
        <w:pStyle w:val="Bullet"/>
      </w:pPr>
      <w:r w:rsidRPr="009E06AA">
        <w:t>updated proportion of lambs held over to a second slaughter date</w:t>
      </w:r>
    </w:p>
    <w:p w14:paraId="6F96A76B" w14:textId="77777777" w:rsidR="005D02EF" w:rsidRPr="009E06AA" w:rsidRDefault="005D02EF" w:rsidP="005D02EF">
      <w:pPr>
        <w:pStyle w:val="Bullet"/>
      </w:pPr>
      <w:r w:rsidRPr="009E06AA">
        <w:t>improvements and corrections to model code</w:t>
      </w:r>
      <w:r w:rsidRPr="009E06AA" w:rsidDel="005F6B85">
        <w:t xml:space="preserve"> </w:t>
      </w:r>
    </w:p>
    <w:p w14:paraId="01A1B5E0" w14:textId="77777777" w:rsidR="005D02EF" w:rsidRPr="009E06AA" w:rsidRDefault="005D02EF" w:rsidP="005D02EF">
      <w:pPr>
        <w:pStyle w:val="Bullet"/>
      </w:pPr>
      <w:r w:rsidRPr="009E06AA">
        <w:rPr>
          <w:rFonts w:cs="Calibri"/>
          <w:color w:val="000000"/>
          <w:shd w:val="clear" w:color="auto" w:fill="FFFFFF"/>
        </w:rPr>
        <w:t>migration of the model implementation from Excel to an R-based system</w:t>
      </w:r>
    </w:p>
    <w:p w14:paraId="33CB0B8C" w14:textId="77777777" w:rsidR="005D02EF" w:rsidRPr="009E06AA" w:rsidRDefault="005D02EF" w:rsidP="005D02EF">
      <w:pPr>
        <w:pStyle w:val="Bullet"/>
      </w:pPr>
      <w:r w:rsidRPr="009E06AA">
        <w:rPr>
          <w:rFonts w:cs="Calibri"/>
          <w:color w:val="000000"/>
          <w:shd w:val="clear" w:color="auto" w:fill="FFFFFF"/>
        </w:rPr>
        <w:t>revisions to agricultural statistics, using the latest available activity data from sources described in chapter 5, section 5.1.4. </w:t>
      </w:r>
    </w:p>
    <w:p w14:paraId="0F86C40B" w14:textId="77777777" w:rsidR="005D02EF" w:rsidRPr="009E06AA" w:rsidRDefault="005D02EF" w:rsidP="0045735A">
      <w:pPr>
        <w:pStyle w:val="Heading4"/>
      </w:pPr>
      <w:r w:rsidRPr="009E06AA">
        <w:t>Improvements to beef cattle population and liveweight estimates</w:t>
      </w:r>
    </w:p>
    <w:p w14:paraId="401B923B" w14:textId="77777777" w:rsidR="005D02EF" w:rsidRPr="009E06AA" w:rsidRDefault="005D02EF" w:rsidP="005D02EF">
      <w:pPr>
        <w:pStyle w:val="BodyText"/>
      </w:pPr>
      <w:r w:rsidRPr="009E06AA">
        <w:t>Emissions estimates in all categories relating to beef cattle since 1990 reported in the 2024 submission have been enhanced by a methodological update to estimates of within-year beef cattle population change and liveweight change.</w:t>
      </w:r>
    </w:p>
    <w:p w14:paraId="7CC5B46A" w14:textId="77777777" w:rsidR="005D02EF" w:rsidRPr="009E06AA" w:rsidRDefault="005D02EF" w:rsidP="005D02EF">
      <w:pPr>
        <w:pStyle w:val="BodyText"/>
      </w:pPr>
      <w:r w:rsidRPr="009E06AA">
        <w:t xml:space="preserve">Beef cattle population is modelled on a monthly basis, which allows for accounting of within-year population changes that have an impact on emissions (e.g., breeding, slaughter dates and other seasonal variation). However, New Zealand does not have relevant monthly data available, so several assumptions are required to estimate populations for each month over the course of a year. </w:t>
      </w:r>
    </w:p>
    <w:p w14:paraId="47A739E6" w14:textId="77777777" w:rsidR="005D02EF" w:rsidRPr="009E06AA" w:rsidRDefault="005D02EF" w:rsidP="005D02EF">
      <w:pPr>
        <w:pStyle w:val="BodyText"/>
        <w:spacing w:after="100"/>
      </w:pPr>
      <w:r w:rsidRPr="009E06AA">
        <w:t>Recent research carried out by AgResearch used industry data to improve current methods and assumptions for birth and slaughter dates for individual classes of beef cattle (and sheep; see section 10.2.5, ‘Changing the assumed proportion of lambs held over to a second slaughter date’) (</w:t>
      </w:r>
      <w:r w:rsidRPr="009E06AA">
        <w:rPr>
          <w:rFonts w:cs="Arial"/>
        </w:rPr>
        <w:t>Stevens et al., 2022)</w:t>
      </w:r>
      <w:r w:rsidRPr="009E06AA">
        <w:t xml:space="preserve">. </w:t>
      </w:r>
    </w:p>
    <w:p w14:paraId="7564FBE7" w14:textId="77777777" w:rsidR="005D02EF" w:rsidRPr="009E06AA" w:rsidRDefault="005D02EF" w:rsidP="005D02EF">
      <w:pPr>
        <w:pStyle w:val="BodyText"/>
        <w:spacing w:after="100"/>
      </w:pPr>
      <w:r w:rsidRPr="009E06AA">
        <w:t>Stevens et al. (2022) made several recommendations including changing the national calving date, adding new age classes for slaughter bulls, heifers and steers, and changing slaughter dates of all classes to more accurately reflect actual data.</w:t>
      </w:r>
    </w:p>
    <w:p w14:paraId="3E20B478" w14:textId="77777777" w:rsidR="005D02EF" w:rsidRPr="009E06AA" w:rsidRDefault="005D02EF" w:rsidP="005D02EF">
      <w:pPr>
        <w:pStyle w:val="BodyText"/>
        <w:spacing w:after="100"/>
      </w:pPr>
      <w:r w:rsidRPr="009E06AA">
        <w:t>Key changes implemented in the 2024 submission that affect all classes include:</w:t>
      </w:r>
    </w:p>
    <w:p w14:paraId="07B83AA3" w14:textId="77777777" w:rsidR="005D02EF" w:rsidRPr="009E06AA" w:rsidRDefault="005D02EF" w:rsidP="005D02EF">
      <w:pPr>
        <w:pStyle w:val="Bullet"/>
        <w:spacing w:after="100"/>
      </w:pPr>
      <w:r w:rsidRPr="009E06AA">
        <w:t>calculating an average population to use as the representative population for each month, rather than the value on the first of the month</w:t>
      </w:r>
    </w:p>
    <w:p w14:paraId="41AE26ED" w14:textId="77777777" w:rsidR="005D02EF" w:rsidRPr="009E06AA" w:rsidRDefault="005D02EF" w:rsidP="005D02EF">
      <w:pPr>
        <w:pStyle w:val="Bullet"/>
        <w:spacing w:after="100"/>
      </w:pPr>
      <w:r w:rsidRPr="009E06AA">
        <w:t>distributing the beef population reported in the Agricultural Production Survey differently, to account for the new classes</w:t>
      </w:r>
    </w:p>
    <w:p w14:paraId="51183647" w14:textId="77777777" w:rsidR="005D02EF" w:rsidRPr="009E06AA" w:rsidRDefault="005D02EF" w:rsidP="005D02EF">
      <w:pPr>
        <w:pStyle w:val="Bullet"/>
        <w:spacing w:after="100"/>
      </w:pPr>
      <w:bookmarkStart w:id="3658" w:name="_Hlk153464067"/>
      <w:r w:rsidRPr="009E06AA">
        <w:t>changing the date for all births, and animals moving from one age category to the next, to now occur on 25 September</w:t>
      </w:r>
    </w:p>
    <w:bookmarkEnd w:id="3658"/>
    <w:p w14:paraId="28E71604" w14:textId="77777777" w:rsidR="005D02EF" w:rsidRPr="009E06AA" w:rsidRDefault="005D02EF" w:rsidP="005D02EF">
      <w:pPr>
        <w:pStyle w:val="Bullet"/>
        <w:spacing w:after="100"/>
      </w:pPr>
      <w:r w:rsidRPr="009E06AA">
        <w:t>changing the liveweight calculations, to accommodate the new classes and longer lifespans</w:t>
      </w:r>
    </w:p>
    <w:p w14:paraId="44445139" w14:textId="77777777" w:rsidR="005D02EF" w:rsidRPr="009E06AA" w:rsidRDefault="005D02EF" w:rsidP="005D02EF">
      <w:pPr>
        <w:pStyle w:val="Bullet"/>
        <w:spacing w:after="100"/>
        <w:rPr>
          <w:rFonts w:eastAsiaTheme="minorEastAsia" w:cs="Arial"/>
        </w:rPr>
      </w:pPr>
      <w:r w:rsidRPr="009E06AA">
        <w:rPr>
          <w:rFonts w:eastAsiaTheme="minorEastAsia" w:cs="Arial"/>
        </w:rPr>
        <w:t>changing how the number of animals killed at slaughter is now determined, which is by the slaughter numbers reported in the livestock slaughter statistics collected by the Ministry for Primary Industries.</w:t>
      </w:r>
    </w:p>
    <w:p w14:paraId="0BECD346" w14:textId="77777777" w:rsidR="005D02EF" w:rsidRPr="009E06AA" w:rsidRDefault="005D02EF" w:rsidP="005D02EF">
      <w:pPr>
        <w:pStyle w:val="BodyText"/>
        <w:spacing w:before="100" w:after="100"/>
      </w:pPr>
      <w:r w:rsidRPr="009E06AA">
        <w:rPr>
          <w:spacing w:val="-2"/>
        </w:rPr>
        <w:t>These changes increase total annual agricultural emissions reported in 2021 by 1,092.1 kt CO</w:t>
      </w:r>
      <w:r w:rsidRPr="009E06AA">
        <w:rPr>
          <w:spacing w:val="-2"/>
          <w:vertAlign w:val="subscript"/>
        </w:rPr>
        <w:t>2</w:t>
      </w:r>
      <w:r w:rsidRPr="009E06AA">
        <w:rPr>
          <w:spacing w:val="-2"/>
        </w:rPr>
        <w:noBreakHyphen/>
        <w:t>e</w:t>
      </w:r>
      <w:r w:rsidRPr="009E06AA">
        <w:t xml:space="preserve">, or around 2.7 per cent of total agricultural emissions (table 10.2.3). </w:t>
      </w:r>
    </w:p>
    <w:p w14:paraId="1771D68F" w14:textId="77777777" w:rsidR="005D02EF" w:rsidRPr="009E06AA" w:rsidRDefault="005D02EF" w:rsidP="005D02EF">
      <w:pPr>
        <w:pStyle w:val="BodyText"/>
        <w:spacing w:before="100" w:after="100"/>
      </w:pPr>
      <w:r w:rsidRPr="009E06AA">
        <w:t>This increase occurs because the new modelling assumes (more accurately) that beef animals are living for longer on average. This means the population contains larger animals that generate more emissions. Changes to the slaughter calculations also mean that the estimated population is larger in some classes for some months.</w:t>
      </w:r>
    </w:p>
    <w:p w14:paraId="0540F349" w14:textId="7A9831D2" w:rsidR="005D02EF" w:rsidRPr="009E06AA" w:rsidRDefault="005D02EF" w:rsidP="005D02EF">
      <w:pPr>
        <w:pStyle w:val="Table"/>
      </w:pPr>
      <w:bookmarkStart w:id="3659" w:name="_Toc161311309"/>
      <w:bookmarkStart w:id="3660" w:name="_Toc164153977"/>
      <w:r w:rsidRPr="009E06AA">
        <w:t>Table 10.2.3</w:t>
      </w:r>
      <w:r w:rsidRPr="009E06AA">
        <w:tab/>
        <w:t>Emissions impact of changing beef cattle population and liveweight estimates</w:t>
      </w:r>
      <w:bookmarkEnd w:id="3659"/>
      <w:bookmarkEnd w:id="3660"/>
    </w:p>
    <w:tbl>
      <w:tblPr>
        <w:tblW w:w="8505" w:type="dxa"/>
        <w:tblBorders>
          <w:top w:val="single" w:sz="4" w:space="0" w:color="1B556B" w:themeColor="text2"/>
          <w:bottom w:val="single" w:sz="4" w:space="0" w:color="1B556B" w:themeColor="text2"/>
          <w:insideH w:val="single" w:sz="4" w:space="0" w:color="1B556B" w:themeColor="text2"/>
        </w:tblBorders>
        <w:tblCellMar>
          <w:left w:w="85" w:type="dxa"/>
          <w:right w:w="85" w:type="dxa"/>
        </w:tblCellMar>
        <w:tblLook w:val="04A0" w:firstRow="1" w:lastRow="0" w:firstColumn="1" w:lastColumn="0" w:noHBand="0" w:noVBand="1"/>
      </w:tblPr>
      <w:tblGrid>
        <w:gridCol w:w="1565"/>
        <w:gridCol w:w="2337"/>
        <w:gridCol w:w="737"/>
        <w:gridCol w:w="737"/>
        <w:gridCol w:w="1562"/>
        <w:gridCol w:w="1567"/>
      </w:tblGrid>
      <w:tr w:rsidR="005D02EF" w:rsidRPr="009E06AA" w14:paraId="2BEF24F9" w14:textId="77777777" w:rsidTr="00B55F24">
        <w:tc>
          <w:tcPr>
            <w:tcW w:w="1588" w:type="dxa"/>
            <w:shd w:val="clear" w:color="auto" w:fill="1B556B"/>
            <w:vAlign w:val="bottom"/>
            <w:hideMark/>
          </w:tcPr>
          <w:p w14:paraId="27C1E800" w14:textId="77777777" w:rsidR="005D02EF" w:rsidRPr="009E06AA" w:rsidRDefault="005D02EF" w:rsidP="00B55F24">
            <w:pPr>
              <w:pStyle w:val="TableText"/>
              <w:spacing w:before="40" w:after="40"/>
              <w:rPr>
                <w:b/>
                <w:bCs/>
                <w:color w:val="FFFFFF" w:themeColor="background1"/>
              </w:rPr>
            </w:pPr>
            <w:r w:rsidRPr="009E06AA">
              <w:rPr>
                <w:rFonts w:cs="Calibri"/>
                <w:b/>
                <w:bCs/>
                <w:color w:val="FFFFFF" w:themeColor="background1"/>
                <w:szCs w:val="16"/>
              </w:rPr>
              <w:t>Emissions (kt CO</w:t>
            </w:r>
            <w:r w:rsidRPr="009E06AA">
              <w:rPr>
                <w:rFonts w:cs="Calibri"/>
                <w:b/>
                <w:bCs/>
                <w:color w:val="FFFFFF"/>
                <w:szCs w:val="16"/>
                <w:vertAlign w:val="subscript"/>
              </w:rPr>
              <w:t>2</w:t>
            </w:r>
            <w:r w:rsidRPr="009E06AA">
              <w:rPr>
                <w:rFonts w:cs="Calibri"/>
                <w:b/>
                <w:bCs/>
                <w:color w:val="FFFFFF"/>
                <w:szCs w:val="16"/>
              </w:rPr>
              <w:t>-e)</w:t>
            </w:r>
          </w:p>
        </w:tc>
        <w:tc>
          <w:tcPr>
            <w:tcW w:w="2381" w:type="dxa"/>
            <w:shd w:val="clear" w:color="auto" w:fill="1B556B"/>
            <w:vAlign w:val="bottom"/>
            <w:hideMark/>
          </w:tcPr>
          <w:p w14:paraId="54EE0F7B" w14:textId="77777777" w:rsidR="005D02EF" w:rsidRPr="009E06AA" w:rsidRDefault="005D02EF" w:rsidP="00B55F24">
            <w:pPr>
              <w:pStyle w:val="TableText"/>
              <w:spacing w:before="40" w:after="40"/>
              <w:rPr>
                <w:b/>
                <w:bCs/>
                <w:color w:val="FFFFFF" w:themeColor="background1"/>
              </w:rPr>
            </w:pPr>
            <w:r w:rsidRPr="009E06AA">
              <w:rPr>
                <w:rFonts w:cs="Calibri"/>
                <w:color w:val="000000"/>
                <w:sz w:val="20"/>
                <w:szCs w:val="20"/>
              </w:rPr>
              <w:t> </w:t>
            </w:r>
          </w:p>
        </w:tc>
        <w:tc>
          <w:tcPr>
            <w:tcW w:w="737" w:type="dxa"/>
            <w:shd w:val="clear" w:color="auto" w:fill="1B556B"/>
            <w:vAlign w:val="bottom"/>
            <w:hideMark/>
          </w:tcPr>
          <w:p w14:paraId="4BD4C676" w14:textId="77777777" w:rsidR="005D02EF" w:rsidRPr="009E06AA" w:rsidRDefault="005D02EF" w:rsidP="00CD101C">
            <w:pPr>
              <w:pStyle w:val="TableText"/>
              <w:spacing w:before="40" w:after="40"/>
              <w:jc w:val="right"/>
              <w:rPr>
                <w:b/>
                <w:bCs/>
                <w:color w:val="FFFFFF" w:themeColor="background1"/>
              </w:rPr>
            </w:pPr>
            <w:r w:rsidRPr="009E06AA">
              <w:rPr>
                <w:rFonts w:cs="Calibri"/>
                <w:b/>
                <w:bCs/>
                <w:color w:val="FFFFFF" w:themeColor="background1"/>
                <w:szCs w:val="16"/>
              </w:rPr>
              <w:t>1990</w:t>
            </w:r>
          </w:p>
        </w:tc>
        <w:tc>
          <w:tcPr>
            <w:tcW w:w="737" w:type="dxa"/>
            <w:shd w:val="clear" w:color="auto" w:fill="1B556B"/>
            <w:vAlign w:val="bottom"/>
            <w:hideMark/>
          </w:tcPr>
          <w:p w14:paraId="3CCE8278" w14:textId="77777777" w:rsidR="005D02EF" w:rsidRPr="009E06AA" w:rsidRDefault="005D02EF" w:rsidP="00CD101C">
            <w:pPr>
              <w:pStyle w:val="TableText"/>
              <w:spacing w:before="40" w:after="40"/>
              <w:jc w:val="right"/>
              <w:rPr>
                <w:b/>
                <w:bCs/>
                <w:color w:val="FFFFFF" w:themeColor="background1"/>
              </w:rPr>
            </w:pPr>
            <w:r w:rsidRPr="009E06AA">
              <w:rPr>
                <w:rFonts w:cs="Calibri"/>
                <w:b/>
                <w:bCs/>
                <w:color w:val="FFFFFF" w:themeColor="background1"/>
                <w:szCs w:val="16"/>
              </w:rPr>
              <w:t>2021</w:t>
            </w:r>
          </w:p>
        </w:tc>
        <w:tc>
          <w:tcPr>
            <w:tcW w:w="1588" w:type="dxa"/>
            <w:shd w:val="clear" w:color="auto" w:fill="1B556B"/>
            <w:vAlign w:val="bottom"/>
            <w:hideMark/>
          </w:tcPr>
          <w:p w14:paraId="59701B1F" w14:textId="77777777" w:rsidR="005D02EF" w:rsidRPr="009E06AA" w:rsidRDefault="005D02EF" w:rsidP="00CD101C">
            <w:pPr>
              <w:pStyle w:val="TableText"/>
              <w:spacing w:before="40" w:after="40"/>
              <w:jc w:val="right"/>
              <w:rPr>
                <w:b/>
                <w:bCs/>
                <w:color w:val="FFFFFF" w:themeColor="background1"/>
              </w:rPr>
            </w:pPr>
            <w:r w:rsidRPr="009E06AA">
              <w:rPr>
                <w:rFonts w:cs="Calibri"/>
                <w:b/>
                <w:bCs/>
                <w:color w:val="FFFFFF" w:themeColor="background1"/>
                <w:szCs w:val="16"/>
              </w:rPr>
              <w:t>Change in emission outputs between 1990 and 2021 (kt CO</w:t>
            </w:r>
            <w:r w:rsidRPr="009E06AA">
              <w:rPr>
                <w:rFonts w:cs="Calibri"/>
                <w:b/>
                <w:bCs/>
                <w:color w:val="FFFFFF"/>
                <w:szCs w:val="16"/>
                <w:vertAlign w:val="subscript"/>
              </w:rPr>
              <w:t>2</w:t>
            </w:r>
            <w:r w:rsidRPr="009E06AA">
              <w:rPr>
                <w:rFonts w:cs="Calibri"/>
                <w:b/>
                <w:bCs/>
                <w:color w:val="FFFFFF"/>
                <w:szCs w:val="16"/>
              </w:rPr>
              <w:t>-e)</w:t>
            </w:r>
          </w:p>
        </w:tc>
        <w:tc>
          <w:tcPr>
            <w:tcW w:w="1588" w:type="dxa"/>
            <w:shd w:val="clear" w:color="auto" w:fill="1B556B"/>
            <w:vAlign w:val="bottom"/>
            <w:hideMark/>
          </w:tcPr>
          <w:p w14:paraId="3CCD52D2" w14:textId="77777777" w:rsidR="005D02EF" w:rsidRPr="009E06AA" w:rsidRDefault="005D02EF" w:rsidP="00CD101C">
            <w:pPr>
              <w:pStyle w:val="TableText"/>
              <w:spacing w:before="40" w:after="40"/>
              <w:jc w:val="right"/>
              <w:rPr>
                <w:b/>
                <w:bCs/>
                <w:color w:val="FFFFFF" w:themeColor="background1"/>
              </w:rPr>
            </w:pPr>
            <w:r w:rsidRPr="009E06AA">
              <w:rPr>
                <w:rFonts w:cs="Calibri"/>
                <w:b/>
                <w:bCs/>
                <w:color w:val="FFFFFF" w:themeColor="background1"/>
                <w:szCs w:val="16"/>
              </w:rPr>
              <w:t>Percentage change in emission outputs between 1990 and 2021 (%)</w:t>
            </w:r>
          </w:p>
        </w:tc>
      </w:tr>
      <w:tr w:rsidR="005D02EF" w:rsidRPr="009E06AA" w14:paraId="30F5600B" w14:textId="77777777" w:rsidTr="00B55F24">
        <w:tc>
          <w:tcPr>
            <w:tcW w:w="1588" w:type="dxa"/>
            <w:vMerge w:val="restart"/>
            <w:vAlign w:val="center"/>
            <w:hideMark/>
          </w:tcPr>
          <w:p w14:paraId="106A2067" w14:textId="77777777" w:rsidR="005D02EF" w:rsidRPr="009E06AA" w:rsidRDefault="005D02EF" w:rsidP="00B55F24">
            <w:pPr>
              <w:pStyle w:val="TableText"/>
              <w:spacing w:before="40" w:after="40"/>
              <w:rPr>
                <w:color w:val="000000"/>
              </w:rPr>
            </w:pPr>
            <w:r w:rsidRPr="009E06AA">
              <w:rPr>
                <w:rFonts w:cs="Calibri"/>
                <w:color w:val="000000"/>
                <w:szCs w:val="16"/>
              </w:rPr>
              <w:t xml:space="preserve">Total emissions from </w:t>
            </w:r>
            <w:r w:rsidRPr="009E06AA">
              <w:rPr>
                <w:rFonts w:cs="Calibri"/>
                <w:i/>
                <w:iCs/>
                <w:color w:val="000000"/>
                <w:szCs w:val="16"/>
              </w:rPr>
              <w:t>Agriculture</w:t>
            </w:r>
            <w:r w:rsidRPr="009E06AA">
              <w:rPr>
                <w:rFonts w:cs="Calibri"/>
                <w:color w:val="000000"/>
                <w:szCs w:val="16"/>
              </w:rPr>
              <w:t xml:space="preserve"> (kt CO</w:t>
            </w:r>
            <w:r w:rsidRPr="009E06AA">
              <w:rPr>
                <w:rFonts w:cs="Calibri"/>
                <w:color w:val="000000"/>
                <w:szCs w:val="16"/>
                <w:vertAlign w:val="subscript"/>
              </w:rPr>
              <w:t>2</w:t>
            </w:r>
            <w:r w:rsidRPr="009E06AA">
              <w:rPr>
                <w:rFonts w:cs="Calibri"/>
                <w:color w:val="000000"/>
                <w:szCs w:val="16"/>
              </w:rPr>
              <w:t>-e)</w:t>
            </w:r>
          </w:p>
        </w:tc>
        <w:tc>
          <w:tcPr>
            <w:tcW w:w="2381" w:type="dxa"/>
            <w:vAlign w:val="center"/>
            <w:hideMark/>
          </w:tcPr>
          <w:p w14:paraId="5269CEE2" w14:textId="77777777" w:rsidR="005D02EF" w:rsidRPr="009E06AA" w:rsidRDefault="005D02EF" w:rsidP="00B55F24">
            <w:pPr>
              <w:pStyle w:val="TableText"/>
              <w:spacing w:before="40" w:after="40"/>
              <w:rPr>
                <w:color w:val="000000"/>
              </w:rPr>
            </w:pPr>
            <w:r w:rsidRPr="009E06AA">
              <w:rPr>
                <w:rFonts w:cs="Calibri"/>
                <w:color w:val="000000"/>
                <w:szCs w:val="16"/>
              </w:rPr>
              <w:t>Previous inventory emissions estimates using previous population and liveweight model</w:t>
            </w:r>
          </w:p>
        </w:tc>
        <w:tc>
          <w:tcPr>
            <w:tcW w:w="737" w:type="dxa"/>
            <w:hideMark/>
          </w:tcPr>
          <w:p w14:paraId="4032882C" w14:textId="77777777" w:rsidR="005D02EF" w:rsidRPr="009E06AA" w:rsidRDefault="005D02EF" w:rsidP="00CD101C">
            <w:pPr>
              <w:pStyle w:val="TableText"/>
              <w:spacing w:before="40" w:after="40"/>
              <w:jc w:val="right"/>
              <w:rPr>
                <w:color w:val="000000"/>
                <w:highlight w:val="yellow"/>
              </w:rPr>
            </w:pPr>
            <w:r w:rsidRPr="009E06AA">
              <w:rPr>
                <w:rFonts w:cs="Calibri"/>
                <w:color w:val="000000"/>
                <w:szCs w:val="16"/>
              </w:rPr>
              <w:t>36,052.9</w:t>
            </w:r>
          </w:p>
        </w:tc>
        <w:tc>
          <w:tcPr>
            <w:tcW w:w="737" w:type="dxa"/>
            <w:hideMark/>
          </w:tcPr>
          <w:p w14:paraId="6D9ED22E" w14:textId="77777777" w:rsidR="005D02EF" w:rsidRPr="009E06AA" w:rsidRDefault="005D02EF" w:rsidP="00CD101C">
            <w:pPr>
              <w:pStyle w:val="TableText"/>
              <w:spacing w:before="40" w:after="40"/>
              <w:jc w:val="right"/>
              <w:rPr>
                <w:color w:val="000000"/>
                <w:highlight w:val="yellow"/>
              </w:rPr>
            </w:pPr>
            <w:r w:rsidRPr="009E06AA">
              <w:rPr>
                <w:rFonts w:cs="Calibri"/>
                <w:color w:val="000000"/>
                <w:szCs w:val="16"/>
              </w:rPr>
              <w:t>40,497.6</w:t>
            </w:r>
          </w:p>
        </w:tc>
        <w:tc>
          <w:tcPr>
            <w:tcW w:w="1588" w:type="dxa"/>
            <w:hideMark/>
          </w:tcPr>
          <w:p w14:paraId="00F21285" w14:textId="77777777" w:rsidR="005D02EF" w:rsidRPr="009E06AA" w:rsidRDefault="005D02EF" w:rsidP="00CD101C">
            <w:pPr>
              <w:pStyle w:val="TableText"/>
              <w:spacing w:before="40" w:after="40"/>
              <w:jc w:val="right"/>
              <w:rPr>
                <w:color w:val="000000"/>
                <w:highlight w:val="yellow"/>
              </w:rPr>
            </w:pPr>
            <w:r w:rsidRPr="009E06AA">
              <w:rPr>
                <w:rFonts w:cs="Calibri"/>
                <w:color w:val="000000"/>
                <w:szCs w:val="16"/>
              </w:rPr>
              <w:t>4,444.7</w:t>
            </w:r>
          </w:p>
        </w:tc>
        <w:tc>
          <w:tcPr>
            <w:tcW w:w="1588" w:type="dxa"/>
            <w:hideMark/>
          </w:tcPr>
          <w:p w14:paraId="61BD29B1" w14:textId="77777777" w:rsidR="005D02EF" w:rsidRPr="009E06AA" w:rsidRDefault="005D02EF" w:rsidP="00CD101C">
            <w:pPr>
              <w:pStyle w:val="TableText"/>
              <w:spacing w:before="40" w:after="40"/>
              <w:jc w:val="right"/>
              <w:rPr>
                <w:color w:val="000000"/>
                <w:highlight w:val="yellow"/>
              </w:rPr>
            </w:pPr>
            <w:r w:rsidRPr="009E06AA">
              <w:rPr>
                <w:rFonts w:cs="Calibri"/>
                <w:color w:val="000000"/>
                <w:szCs w:val="16"/>
              </w:rPr>
              <w:t>12.3</w:t>
            </w:r>
          </w:p>
        </w:tc>
      </w:tr>
      <w:tr w:rsidR="005D02EF" w:rsidRPr="009E06AA" w14:paraId="36C74C76" w14:textId="77777777" w:rsidTr="00B55F24">
        <w:tc>
          <w:tcPr>
            <w:tcW w:w="1588" w:type="dxa"/>
            <w:vMerge/>
            <w:vAlign w:val="center"/>
            <w:hideMark/>
          </w:tcPr>
          <w:p w14:paraId="507244C9" w14:textId="77777777" w:rsidR="005D02EF" w:rsidRPr="009E06AA" w:rsidRDefault="005D02EF" w:rsidP="00B55F24">
            <w:pPr>
              <w:rPr>
                <w:color w:val="000000"/>
                <w:sz w:val="16"/>
              </w:rPr>
            </w:pPr>
          </w:p>
        </w:tc>
        <w:tc>
          <w:tcPr>
            <w:tcW w:w="2381" w:type="dxa"/>
            <w:vAlign w:val="center"/>
            <w:hideMark/>
          </w:tcPr>
          <w:p w14:paraId="4AC5B51A" w14:textId="77777777" w:rsidR="005D02EF" w:rsidRPr="009E06AA" w:rsidRDefault="005D02EF" w:rsidP="00B55F24">
            <w:pPr>
              <w:pStyle w:val="TableText"/>
              <w:spacing w:before="40" w:after="40"/>
              <w:rPr>
                <w:color w:val="000000"/>
              </w:rPr>
            </w:pPr>
            <w:r w:rsidRPr="009E06AA">
              <w:rPr>
                <w:rFonts w:cs="Calibri"/>
                <w:color w:val="000000"/>
                <w:szCs w:val="16"/>
              </w:rPr>
              <w:t>Current inventory emissions estimates using new population and liveweight model</w:t>
            </w:r>
          </w:p>
        </w:tc>
        <w:tc>
          <w:tcPr>
            <w:tcW w:w="737" w:type="dxa"/>
            <w:hideMark/>
          </w:tcPr>
          <w:p w14:paraId="1DC1775F" w14:textId="77777777" w:rsidR="005D02EF" w:rsidRPr="009E06AA" w:rsidRDefault="005D02EF" w:rsidP="00CD101C">
            <w:pPr>
              <w:pStyle w:val="TableText"/>
              <w:spacing w:before="40" w:after="40"/>
              <w:jc w:val="right"/>
              <w:rPr>
                <w:color w:val="000000"/>
                <w:highlight w:val="yellow"/>
              </w:rPr>
            </w:pPr>
            <w:r w:rsidRPr="009E06AA">
              <w:rPr>
                <w:rFonts w:cs="Calibri"/>
                <w:color w:val="000000"/>
                <w:szCs w:val="16"/>
              </w:rPr>
              <w:t>36,973.9</w:t>
            </w:r>
          </w:p>
        </w:tc>
        <w:tc>
          <w:tcPr>
            <w:tcW w:w="737" w:type="dxa"/>
            <w:hideMark/>
          </w:tcPr>
          <w:p w14:paraId="220D3195" w14:textId="77777777" w:rsidR="005D02EF" w:rsidRPr="009E06AA" w:rsidRDefault="005D02EF" w:rsidP="00CD101C">
            <w:pPr>
              <w:pStyle w:val="TableText"/>
              <w:spacing w:before="40" w:after="40"/>
              <w:jc w:val="right"/>
              <w:rPr>
                <w:color w:val="000000"/>
                <w:highlight w:val="yellow"/>
              </w:rPr>
            </w:pPr>
            <w:r w:rsidRPr="009E06AA">
              <w:rPr>
                <w:rFonts w:cs="Calibri"/>
                <w:color w:val="000000"/>
                <w:szCs w:val="16"/>
              </w:rPr>
              <w:t>41,589.7</w:t>
            </w:r>
          </w:p>
        </w:tc>
        <w:tc>
          <w:tcPr>
            <w:tcW w:w="1588" w:type="dxa"/>
            <w:hideMark/>
          </w:tcPr>
          <w:p w14:paraId="6F33F233" w14:textId="77777777" w:rsidR="005D02EF" w:rsidRPr="009E06AA" w:rsidRDefault="005D02EF" w:rsidP="00CD101C">
            <w:pPr>
              <w:pStyle w:val="TableText"/>
              <w:spacing w:before="40" w:after="40"/>
              <w:jc w:val="right"/>
              <w:rPr>
                <w:color w:val="000000"/>
                <w:highlight w:val="yellow"/>
              </w:rPr>
            </w:pPr>
            <w:r w:rsidRPr="009E06AA">
              <w:rPr>
                <w:rFonts w:cs="Calibri"/>
                <w:color w:val="000000"/>
                <w:szCs w:val="16"/>
              </w:rPr>
              <w:t>4,615.8</w:t>
            </w:r>
          </w:p>
        </w:tc>
        <w:tc>
          <w:tcPr>
            <w:tcW w:w="1588" w:type="dxa"/>
            <w:hideMark/>
          </w:tcPr>
          <w:p w14:paraId="36DF7CE6" w14:textId="77777777" w:rsidR="005D02EF" w:rsidRPr="009E06AA" w:rsidRDefault="005D02EF" w:rsidP="00CD101C">
            <w:pPr>
              <w:pStyle w:val="TableText"/>
              <w:spacing w:before="40" w:after="40"/>
              <w:jc w:val="right"/>
              <w:rPr>
                <w:color w:val="000000"/>
                <w:highlight w:val="yellow"/>
              </w:rPr>
            </w:pPr>
            <w:r w:rsidRPr="009E06AA">
              <w:rPr>
                <w:rFonts w:cs="Calibri"/>
                <w:color w:val="000000"/>
                <w:szCs w:val="16"/>
              </w:rPr>
              <w:t>12.5</w:t>
            </w:r>
          </w:p>
        </w:tc>
      </w:tr>
      <w:tr w:rsidR="005D02EF" w:rsidRPr="009E06AA" w14:paraId="680CC2F5" w14:textId="77777777" w:rsidTr="00B55F24">
        <w:tc>
          <w:tcPr>
            <w:tcW w:w="1588" w:type="dxa"/>
            <w:vMerge/>
            <w:vAlign w:val="center"/>
            <w:hideMark/>
          </w:tcPr>
          <w:p w14:paraId="16CD1A98" w14:textId="77777777" w:rsidR="005D02EF" w:rsidRPr="009E06AA" w:rsidRDefault="005D02EF" w:rsidP="00B55F24">
            <w:pPr>
              <w:rPr>
                <w:color w:val="000000"/>
                <w:sz w:val="16"/>
              </w:rPr>
            </w:pPr>
          </w:p>
        </w:tc>
        <w:tc>
          <w:tcPr>
            <w:tcW w:w="2381" w:type="dxa"/>
            <w:vAlign w:val="center"/>
            <w:hideMark/>
          </w:tcPr>
          <w:p w14:paraId="5581F6E2" w14:textId="77777777" w:rsidR="005D02EF" w:rsidRPr="009E06AA" w:rsidRDefault="005D02EF" w:rsidP="00B55F24">
            <w:pPr>
              <w:pStyle w:val="TableText"/>
              <w:spacing w:before="40" w:after="40"/>
              <w:rPr>
                <w:color w:val="000000"/>
              </w:rPr>
            </w:pPr>
            <w:r w:rsidRPr="009E06AA">
              <w:rPr>
                <w:rFonts w:cs="Calibri"/>
                <w:color w:val="000000"/>
                <w:szCs w:val="16"/>
              </w:rPr>
              <w:t>Difference in emissions estimates between submissions </w:t>
            </w:r>
          </w:p>
        </w:tc>
        <w:tc>
          <w:tcPr>
            <w:tcW w:w="737" w:type="dxa"/>
            <w:hideMark/>
          </w:tcPr>
          <w:p w14:paraId="75E928BF" w14:textId="77777777" w:rsidR="005D02EF" w:rsidRPr="009E06AA" w:rsidRDefault="005D02EF" w:rsidP="00CD101C">
            <w:pPr>
              <w:pStyle w:val="TableText"/>
              <w:spacing w:before="40" w:after="40"/>
              <w:jc w:val="right"/>
              <w:rPr>
                <w:color w:val="000000"/>
                <w:highlight w:val="yellow"/>
              </w:rPr>
            </w:pPr>
            <w:r w:rsidRPr="009E06AA">
              <w:rPr>
                <w:rFonts w:cs="Calibri"/>
                <w:color w:val="000000"/>
                <w:szCs w:val="16"/>
              </w:rPr>
              <w:t>921.0</w:t>
            </w:r>
          </w:p>
        </w:tc>
        <w:tc>
          <w:tcPr>
            <w:tcW w:w="737" w:type="dxa"/>
            <w:hideMark/>
          </w:tcPr>
          <w:p w14:paraId="0CCD0FC4" w14:textId="77777777" w:rsidR="005D02EF" w:rsidRPr="009E06AA" w:rsidRDefault="005D02EF" w:rsidP="00CD101C">
            <w:pPr>
              <w:pStyle w:val="TableText"/>
              <w:spacing w:before="40" w:after="40"/>
              <w:jc w:val="right"/>
              <w:rPr>
                <w:color w:val="000000"/>
                <w:highlight w:val="yellow"/>
              </w:rPr>
            </w:pPr>
            <w:r w:rsidRPr="009E06AA">
              <w:rPr>
                <w:rFonts w:cs="Calibri"/>
                <w:color w:val="000000"/>
                <w:szCs w:val="16"/>
              </w:rPr>
              <w:t>1,092.1</w:t>
            </w:r>
          </w:p>
        </w:tc>
        <w:tc>
          <w:tcPr>
            <w:tcW w:w="1588" w:type="dxa"/>
            <w:hideMark/>
          </w:tcPr>
          <w:p w14:paraId="31E286BB" w14:textId="77777777" w:rsidR="005D02EF" w:rsidRPr="009E06AA" w:rsidRDefault="005D02EF" w:rsidP="00CD101C">
            <w:pPr>
              <w:pStyle w:val="TableText"/>
              <w:spacing w:before="40" w:after="40"/>
              <w:jc w:val="right"/>
              <w:rPr>
                <w:color w:val="000000"/>
                <w:highlight w:val="yellow"/>
              </w:rPr>
            </w:pPr>
            <w:r w:rsidRPr="009E06AA">
              <w:rPr>
                <w:rFonts w:cs="Calibri"/>
                <w:color w:val="000000"/>
                <w:szCs w:val="16"/>
              </w:rPr>
              <w:t>171.2</w:t>
            </w:r>
          </w:p>
        </w:tc>
        <w:tc>
          <w:tcPr>
            <w:tcW w:w="1588" w:type="dxa"/>
            <w:hideMark/>
          </w:tcPr>
          <w:p w14:paraId="5A577412" w14:textId="77777777" w:rsidR="005D02EF" w:rsidRPr="009E06AA" w:rsidRDefault="005D02EF" w:rsidP="00CD101C">
            <w:pPr>
              <w:pStyle w:val="TableText"/>
              <w:spacing w:before="40" w:after="40"/>
              <w:ind w:left="397"/>
              <w:jc w:val="right"/>
              <w:rPr>
                <w:color w:val="000000"/>
              </w:rPr>
            </w:pPr>
            <w:r w:rsidRPr="009E06AA">
              <w:rPr>
                <w:rFonts w:cs="Calibri"/>
                <w:color w:val="000000"/>
                <w:szCs w:val="16"/>
              </w:rPr>
              <w:t> </w:t>
            </w:r>
          </w:p>
        </w:tc>
      </w:tr>
    </w:tbl>
    <w:p w14:paraId="4CA02AD6" w14:textId="77777777" w:rsidR="005D02EF" w:rsidRPr="009E06AA" w:rsidRDefault="005D02EF" w:rsidP="00CD101C">
      <w:pPr>
        <w:pStyle w:val="Heading4"/>
        <w:spacing w:before="360"/>
      </w:pPr>
      <w:r w:rsidRPr="009E06AA">
        <w:t>Changing the assumed proportion of lambs held over to a second slaughter date</w:t>
      </w:r>
    </w:p>
    <w:p w14:paraId="37983AEB" w14:textId="77777777" w:rsidR="005D02EF" w:rsidRPr="009E06AA" w:rsidRDefault="005D02EF" w:rsidP="005D02EF">
      <w:pPr>
        <w:pStyle w:val="BodyText"/>
        <w:spacing w:before="100"/>
      </w:pPr>
      <w:r w:rsidRPr="009E06AA">
        <w:t>The population of lambs in March is now assumed to be equal to the preceding July sum of the four growing, non-breeding sheep categories (breeding ewe hoggets, dry ewe hoggets, ram hoggets and wether hoggets), minus an adjustment for deaths that occur between July and March. The previous assumption was that every March, 84 per cent of lambs are sold to slaughter, with the remainder (accounting for deaths) maturing into the hogget category (16 per cent held over).</w:t>
      </w:r>
    </w:p>
    <w:p w14:paraId="661927C7" w14:textId="77777777" w:rsidR="005D02EF" w:rsidRPr="009E06AA" w:rsidRDefault="005D02EF" w:rsidP="005D02EF">
      <w:pPr>
        <w:pStyle w:val="BodyText"/>
      </w:pPr>
      <w:r w:rsidRPr="009E06AA">
        <w:t>Recent research carried out by AgResearch (Stevens et al., 2022) has used industry data to improve this assumption. For the 2024 submission, the assumed portion of lambs held over to a second slaughter date has been updated to a linear trend (based on an industry sample data set) for the years 1990 to 2010, followed by a constant 22 per cent thereafter. This change was made to better reflect historical data from industry on the number of lambs held over to a second slaughter date.</w:t>
      </w:r>
    </w:p>
    <w:p w14:paraId="6E17F866" w14:textId="77777777" w:rsidR="005D02EF" w:rsidRPr="009E06AA" w:rsidRDefault="005D02EF" w:rsidP="00227B34">
      <w:pPr>
        <w:pStyle w:val="BodyText"/>
      </w:pPr>
      <w:r w:rsidRPr="009E06AA">
        <w:t>This change results in a relatively small impact, increasing reported emissions by 0.1 per cent (40.8 kt CO</w:t>
      </w:r>
      <w:r w:rsidRPr="009E06AA">
        <w:rPr>
          <w:vertAlign w:val="subscript"/>
        </w:rPr>
        <w:t>2</w:t>
      </w:r>
      <w:r w:rsidRPr="009E06AA">
        <w:t>-e) of emissions reported in 2021 (table 10.2.4).</w:t>
      </w:r>
    </w:p>
    <w:p w14:paraId="28A14B9B" w14:textId="3BBC34EF" w:rsidR="005D02EF" w:rsidRPr="009E06AA" w:rsidRDefault="005D02EF" w:rsidP="005D02EF">
      <w:pPr>
        <w:pStyle w:val="Table"/>
      </w:pPr>
      <w:bookmarkStart w:id="3661" w:name="_Toc161311310"/>
      <w:bookmarkStart w:id="3662" w:name="_Toc164153978"/>
      <w:r w:rsidRPr="009E06AA">
        <w:t>Table 10.2.4</w:t>
      </w:r>
      <w:r w:rsidRPr="009E06AA">
        <w:tab/>
      </w:r>
      <w:bookmarkEnd w:id="3661"/>
      <w:r w:rsidRPr="009E06AA">
        <w:t xml:space="preserve">Emissions impact of changing </w:t>
      </w:r>
      <w:r w:rsidRPr="009E06AA">
        <w:rPr>
          <w:rFonts w:cs="Calibri"/>
        </w:rPr>
        <w:t>the proportion of lambs held over to a second slaughter date</w:t>
      </w:r>
      <w:bookmarkEnd w:id="3662"/>
    </w:p>
    <w:tbl>
      <w:tblPr>
        <w:tblW w:w="5000" w:type="pct"/>
        <w:tblBorders>
          <w:top w:val="single" w:sz="4" w:space="0" w:color="1B556B" w:themeColor="text2"/>
          <w:bottom w:val="single" w:sz="4" w:space="0" w:color="1B556B" w:themeColor="text2"/>
          <w:insideH w:val="single" w:sz="4" w:space="0" w:color="1B556B" w:themeColor="text2"/>
        </w:tblBorders>
        <w:tblLook w:val="04A0" w:firstRow="1" w:lastRow="0" w:firstColumn="1" w:lastColumn="0" w:noHBand="0" w:noVBand="1"/>
      </w:tblPr>
      <w:tblGrid>
        <w:gridCol w:w="1544"/>
        <w:gridCol w:w="2175"/>
        <w:gridCol w:w="790"/>
        <w:gridCol w:w="790"/>
        <w:gridCol w:w="1603"/>
        <w:gridCol w:w="1603"/>
      </w:tblGrid>
      <w:tr w:rsidR="005D02EF" w:rsidRPr="009E06AA" w14:paraId="68A7CF5A" w14:textId="77777777" w:rsidTr="00B55F24">
        <w:tc>
          <w:tcPr>
            <w:tcW w:w="1531" w:type="dxa"/>
            <w:shd w:val="clear" w:color="auto" w:fill="1B556B"/>
            <w:vAlign w:val="bottom"/>
            <w:hideMark/>
          </w:tcPr>
          <w:p w14:paraId="4EDE382C" w14:textId="77777777" w:rsidR="005D02EF" w:rsidRPr="009E06AA" w:rsidRDefault="005D02EF" w:rsidP="00B55F24">
            <w:pPr>
              <w:pStyle w:val="TableText"/>
              <w:spacing w:before="40" w:after="40"/>
              <w:rPr>
                <w:b/>
                <w:bCs/>
                <w:color w:val="FFFFFF" w:themeColor="background1"/>
              </w:rPr>
            </w:pPr>
            <w:r w:rsidRPr="009E06AA">
              <w:rPr>
                <w:rFonts w:cs="Calibri"/>
                <w:b/>
                <w:bCs/>
                <w:color w:val="FFFFFF" w:themeColor="background1"/>
                <w:szCs w:val="16"/>
              </w:rPr>
              <w:t>Emissions (kt CO</w:t>
            </w:r>
            <w:r w:rsidRPr="009E06AA">
              <w:rPr>
                <w:rFonts w:cs="Calibri"/>
                <w:b/>
                <w:bCs/>
                <w:color w:val="FFFFFF"/>
                <w:szCs w:val="16"/>
                <w:vertAlign w:val="subscript"/>
              </w:rPr>
              <w:t>2</w:t>
            </w:r>
            <w:r w:rsidRPr="009E06AA">
              <w:rPr>
                <w:rFonts w:cs="Calibri"/>
                <w:b/>
                <w:bCs/>
                <w:color w:val="FFFFFF"/>
                <w:szCs w:val="16"/>
              </w:rPr>
              <w:t>-e)</w:t>
            </w:r>
          </w:p>
        </w:tc>
        <w:tc>
          <w:tcPr>
            <w:tcW w:w="2155" w:type="dxa"/>
            <w:shd w:val="clear" w:color="auto" w:fill="1B556B"/>
            <w:vAlign w:val="bottom"/>
            <w:hideMark/>
          </w:tcPr>
          <w:p w14:paraId="3E1DD909" w14:textId="77777777" w:rsidR="005D02EF" w:rsidRPr="009E06AA" w:rsidRDefault="005D02EF" w:rsidP="00B55F24">
            <w:pPr>
              <w:pStyle w:val="TableText"/>
              <w:spacing w:before="40" w:after="40"/>
              <w:rPr>
                <w:b/>
                <w:bCs/>
                <w:color w:val="FFFFFF" w:themeColor="background1"/>
              </w:rPr>
            </w:pPr>
            <w:r w:rsidRPr="009E06AA">
              <w:rPr>
                <w:rFonts w:cs="Calibri"/>
                <w:color w:val="000000"/>
                <w:sz w:val="20"/>
                <w:szCs w:val="20"/>
              </w:rPr>
              <w:t> </w:t>
            </w:r>
          </w:p>
        </w:tc>
        <w:tc>
          <w:tcPr>
            <w:tcW w:w="737" w:type="dxa"/>
            <w:shd w:val="clear" w:color="auto" w:fill="1B556B"/>
            <w:vAlign w:val="bottom"/>
            <w:hideMark/>
          </w:tcPr>
          <w:p w14:paraId="1A1BFB13" w14:textId="77777777" w:rsidR="005D02EF" w:rsidRPr="009E06AA" w:rsidRDefault="005D02EF" w:rsidP="00CD101C">
            <w:pPr>
              <w:pStyle w:val="TableText"/>
              <w:spacing w:before="40" w:after="40"/>
              <w:jc w:val="right"/>
              <w:rPr>
                <w:b/>
                <w:bCs/>
                <w:color w:val="FFFFFF" w:themeColor="background1"/>
              </w:rPr>
            </w:pPr>
            <w:r w:rsidRPr="009E06AA">
              <w:rPr>
                <w:rFonts w:cs="Calibri"/>
                <w:b/>
                <w:bCs/>
                <w:color w:val="FFFFFF" w:themeColor="background1"/>
                <w:szCs w:val="16"/>
              </w:rPr>
              <w:t>1990</w:t>
            </w:r>
          </w:p>
        </w:tc>
        <w:tc>
          <w:tcPr>
            <w:tcW w:w="737" w:type="dxa"/>
            <w:shd w:val="clear" w:color="auto" w:fill="1B556B"/>
            <w:vAlign w:val="bottom"/>
            <w:hideMark/>
          </w:tcPr>
          <w:p w14:paraId="3E7BC259" w14:textId="77777777" w:rsidR="005D02EF" w:rsidRPr="009E06AA" w:rsidRDefault="005D02EF" w:rsidP="00CD101C">
            <w:pPr>
              <w:pStyle w:val="TableText"/>
              <w:spacing w:before="40" w:after="40"/>
              <w:jc w:val="right"/>
              <w:rPr>
                <w:b/>
                <w:bCs/>
                <w:color w:val="FFFFFF" w:themeColor="background1"/>
              </w:rPr>
            </w:pPr>
            <w:r w:rsidRPr="009E06AA">
              <w:rPr>
                <w:rFonts w:cs="Calibri"/>
                <w:b/>
                <w:bCs/>
                <w:color w:val="FFFFFF" w:themeColor="background1"/>
                <w:szCs w:val="16"/>
              </w:rPr>
              <w:t>2021</w:t>
            </w:r>
          </w:p>
        </w:tc>
        <w:tc>
          <w:tcPr>
            <w:tcW w:w="1588" w:type="dxa"/>
            <w:shd w:val="clear" w:color="auto" w:fill="1B556B"/>
            <w:vAlign w:val="bottom"/>
            <w:hideMark/>
          </w:tcPr>
          <w:p w14:paraId="2CDB9DE2" w14:textId="77777777" w:rsidR="005D02EF" w:rsidRPr="009E06AA" w:rsidRDefault="005D02EF" w:rsidP="00CD101C">
            <w:pPr>
              <w:pStyle w:val="TableText"/>
              <w:spacing w:before="40" w:after="40"/>
              <w:jc w:val="right"/>
              <w:rPr>
                <w:b/>
                <w:bCs/>
                <w:color w:val="FFFFFF" w:themeColor="background1"/>
              </w:rPr>
            </w:pPr>
            <w:r w:rsidRPr="009E06AA">
              <w:rPr>
                <w:rFonts w:cs="Calibri"/>
                <w:b/>
                <w:bCs/>
                <w:color w:val="FFFFFF" w:themeColor="background1"/>
                <w:szCs w:val="16"/>
              </w:rPr>
              <w:t>Change in emission outputs between 1990 and 2021 (kt CO</w:t>
            </w:r>
            <w:r w:rsidRPr="009E06AA">
              <w:rPr>
                <w:rFonts w:cs="Calibri"/>
                <w:b/>
                <w:bCs/>
                <w:color w:val="FFFFFF"/>
                <w:szCs w:val="16"/>
                <w:vertAlign w:val="subscript"/>
              </w:rPr>
              <w:t>2</w:t>
            </w:r>
            <w:r w:rsidRPr="009E06AA">
              <w:rPr>
                <w:rFonts w:cs="Calibri"/>
                <w:b/>
                <w:bCs/>
                <w:color w:val="FFFFFF"/>
                <w:szCs w:val="16"/>
              </w:rPr>
              <w:t>-e)</w:t>
            </w:r>
          </w:p>
        </w:tc>
        <w:tc>
          <w:tcPr>
            <w:tcW w:w="1588" w:type="dxa"/>
            <w:shd w:val="clear" w:color="auto" w:fill="1B556B"/>
            <w:vAlign w:val="bottom"/>
            <w:hideMark/>
          </w:tcPr>
          <w:p w14:paraId="0044C0DF" w14:textId="77777777" w:rsidR="005D02EF" w:rsidRPr="009E06AA" w:rsidRDefault="005D02EF" w:rsidP="00CD101C">
            <w:pPr>
              <w:pStyle w:val="TableText"/>
              <w:spacing w:before="40" w:after="40"/>
              <w:jc w:val="right"/>
              <w:rPr>
                <w:b/>
                <w:bCs/>
                <w:color w:val="FFFFFF" w:themeColor="background1"/>
              </w:rPr>
            </w:pPr>
            <w:r w:rsidRPr="009E06AA">
              <w:rPr>
                <w:rFonts w:cs="Calibri"/>
                <w:b/>
                <w:bCs/>
                <w:color w:val="FFFFFF" w:themeColor="background1"/>
                <w:szCs w:val="16"/>
              </w:rPr>
              <w:t>Percentage change in emission outputs between 1990 and 2021 (%)</w:t>
            </w:r>
          </w:p>
        </w:tc>
      </w:tr>
      <w:tr w:rsidR="005D02EF" w:rsidRPr="009E06AA" w14:paraId="1331BC3C" w14:textId="77777777" w:rsidTr="00B55F24">
        <w:tc>
          <w:tcPr>
            <w:tcW w:w="1531" w:type="dxa"/>
            <w:vMerge w:val="restart"/>
            <w:vAlign w:val="center"/>
            <w:hideMark/>
          </w:tcPr>
          <w:p w14:paraId="08CA8D36" w14:textId="77777777" w:rsidR="005D02EF" w:rsidRPr="009E06AA" w:rsidRDefault="005D02EF" w:rsidP="00B55F24">
            <w:pPr>
              <w:pStyle w:val="TableText"/>
              <w:spacing w:before="40" w:after="40"/>
              <w:rPr>
                <w:color w:val="000000"/>
              </w:rPr>
            </w:pPr>
            <w:r w:rsidRPr="009E06AA">
              <w:rPr>
                <w:rFonts w:cs="Calibri"/>
                <w:color w:val="000000"/>
                <w:szCs w:val="16"/>
              </w:rPr>
              <w:t xml:space="preserve">Total emissions from </w:t>
            </w:r>
            <w:r w:rsidRPr="009E06AA">
              <w:rPr>
                <w:rFonts w:cs="Calibri"/>
                <w:i/>
                <w:iCs/>
                <w:color w:val="000000"/>
                <w:szCs w:val="16"/>
              </w:rPr>
              <w:t>Agriculture</w:t>
            </w:r>
            <w:r w:rsidRPr="009E06AA">
              <w:rPr>
                <w:rFonts w:cs="Calibri"/>
                <w:color w:val="000000"/>
                <w:szCs w:val="16"/>
              </w:rPr>
              <w:t xml:space="preserve"> (kt CO</w:t>
            </w:r>
            <w:r w:rsidRPr="009E06AA">
              <w:rPr>
                <w:rFonts w:cs="Calibri"/>
                <w:color w:val="000000"/>
                <w:szCs w:val="16"/>
                <w:vertAlign w:val="subscript"/>
              </w:rPr>
              <w:t>2</w:t>
            </w:r>
            <w:r w:rsidRPr="009E06AA">
              <w:rPr>
                <w:rFonts w:cs="Calibri"/>
                <w:color w:val="000000"/>
                <w:szCs w:val="16"/>
              </w:rPr>
              <w:t>-e)</w:t>
            </w:r>
          </w:p>
        </w:tc>
        <w:tc>
          <w:tcPr>
            <w:tcW w:w="2155" w:type="dxa"/>
            <w:vAlign w:val="center"/>
            <w:hideMark/>
          </w:tcPr>
          <w:p w14:paraId="5D98067D" w14:textId="77777777" w:rsidR="005D02EF" w:rsidRPr="009E06AA" w:rsidRDefault="005D02EF" w:rsidP="00B55F24">
            <w:pPr>
              <w:pStyle w:val="TableText"/>
              <w:spacing w:before="40" w:after="40"/>
              <w:rPr>
                <w:color w:val="000000"/>
              </w:rPr>
            </w:pPr>
            <w:r w:rsidRPr="009E06AA">
              <w:rPr>
                <w:rFonts w:cs="Calibri"/>
                <w:color w:val="000000"/>
                <w:szCs w:val="16"/>
              </w:rPr>
              <w:t xml:space="preserve">Previous inventory emissions estimate using previous proportion of lambs held over </w:t>
            </w:r>
          </w:p>
        </w:tc>
        <w:tc>
          <w:tcPr>
            <w:tcW w:w="737" w:type="dxa"/>
            <w:hideMark/>
          </w:tcPr>
          <w:p w14:paraId="2C3DDA41" w14:textId="77777777" w:rsidR="005D02EF" w:rsidRPr="009E06AA" w:rsidRDefault="005D02EF" w:rsidP="00CD101C">
            <w:pPr>
              <w:pStyle w:val="TableText"/>
              <w:spacing w:before="40" w:after="40"/>
              <w:jc w:val="right"/>
              <w:rPr>
                <w:color w:val="000000"/>
                <w:highlight w:val="yellow"/>
              </w:rPr>
            </w:pPr>
            <w:r w:rsidRPr="009E06AA">
              <w:rPr>
                <w:rFonts w:cs="Calibri"/>
                <w:color w:val="000000"/>
                <w:szCs w:val="16"/>
              </w:rPr>
              <w:t>36,052.9</w:t>
            </w:r>
          </w:p>
        </w:tc>
        <w:tc>
          <w:tcPr>
            <w:tcW w:w="737" w:type="dxa"/>
            <w:hideMark/>
          </w:tcPr>
          <w:p w14:paraId="5BEAB838" w14:textId="77777777" w:rsidR="005D02EF" w:rsidRPr="009E06AA" w:rsidRDefault="005D02EF" w:rsidP="00CD101C">
            <w:pPr>
              <w:pStyle w:val="TableText"/>
              <w:spacing w:before="40" w:after="40"/>
              <w:jc w:val="right"/>
              <w:rPr>
                <w:color w:val="000000"/>
                <w:highlight w:val="yellow"/>
              </w:rPr>
            </w:pPr>
            <w:r w:rsidRPr="009E06AA">
              <w:rPr>
                <w:rFonts w:cs="Calibri"/>
                <w:color w:val="000000"/>
                <w:szCs w:val="16"/>
              </w:rPr>
              <w:t>40,497.6</w:t>
            </w:r>
          </w:p>
        </w:tc>
        <w:tc>
          <w:tcPr>
            <w:tcW w:w="1588" w:type="dxa"/>
            <w:hideMark/>
          </w:tcPr>
          <w:p w14:paraId="56AA168E" w14:textId="77777777" w:rsidR="005D02EF" w:rsidRPr="009E06AA" w:rsidRDefault="005D02EF" w:rsidP="00CD101C">
            <w:pPr>
              <w:pStyle w:val="TableText"/>
              <w:spacing w:before="40" w:after="40"/>
              <w:jc w:val="right"/>
              <w:rPr>
                <w:color w:val="000000"/>
                <w:highlight w:val="yellow"/>
              </w:rPr>
            </w:pPr>
            <w:r w:rsidRPr="009E06AA">
              <w:rPr>
                <w:rFonts w:cs="Calibri"/>
                <w:color w:val="000000"/>
                <w:szCs w:val="16"/>
              </w:rPr>
              <w:t>4,444.7</w:t>
            </w:r>
          </w:p>
        </w:tc>
        <w:tc>
          <w:tcPr>
            <w:tcW w:w="1588" w:type="dxa"/>
            <w:hideMark/>
          </w:tcPr>
          <w:p w14:paraId="56303A19" w14:textId="77777777" w:rsidR="005D02EF" w:rsidRPr="009E06AA" w:rsidRDefault="005D02EF" w:rsidP="00CD101C">
            <w:pPr>
              <w:pStyle w:val="TableText"/>
              <w:spacing w:before="40" w:after="40"/>
              <w:jc w:val="right"/>
              <w:rPr>
                <w:color w:val="000000"/>
                <w:highlight w:val="yellow"/>
              </w:rPr>
            </w:pPr>
            <w:r w:rsidRPr="009E06AA">
              <w:rPr>
                <w:rFonts w:cs="Calibri"/>
                <w:color w:val="000000"/>
                <w:szCs w:val="16"/>
              </w:rPr>
              <w:t>12.3</w:t>
            </w:r>
          </w:p>
        </w:tc>
      </w:tr>
      <w:tr w:rsidR="005D02EF" w:rsidRPr="009E06AA" w14:paraId="1A73E3C9" w14:textId="77777777" w:rsidTr="00B55F24">
        <w:tc>
          <w:tcPr>
            <w:tcW w:w="1531" w:type="dxa"/>
            <w:vMerge/>
            <w:vAlign w:val="center"/>
            <w:hideMark/>
          </w:tcPr>
          <w:p w14:paraId="760EF387" w14:textId="77777777" w:rsidR="005D02EF" w:rsidRPr="009E06AA" w:rsidRDefault="005D02EF" w:rsidP="00B55F24">
            <w:pPr>
              <w:rPr>
                <w:color w:val="000000"/>
                <w:sz w:val="16"/>
              </w:rPr>
            </w:pPr>
          </w:p>
        </w:tc>
        <w:tc>
          <w:tcPr>
            <w:tcW w:w="2155" w:type="dxa"/>
            <w:vAlign w:val="center"/>
            <w:hideMark/>
          </w:tcPr>
          <w:p w14:paraId="36A188EA" w14:textId="77777777" w:rsidR="005D02EF" w:rsidRPr="009E06AA" w:rsidRDefault="005D02EF" w:rsidP="00B55F24">
            <w:pPr>
              <w:pStyle w:val="TableText"/>
              <w:spacing w:before="40" w:after="40"/>
              <w:rPr>
                <w:color w:val="000000"/>
              </w:rPr>
            </w:pPr>
            <w:r w:rsidRPr="009E06AA">
              <w:rPr>
                <w:rFonts w:cs="Calibri"/>
                <w:color w:val="000000"/>
                <w:szCs w:val="16"/>
              </w:rPr>
              <w:t xml:space="preserve">Current inventory emissions estimate using new proportion of lambs held over </w:t>
            </w:r>
          </w:p>
        </w:tc>
        <w:tc>
          <w:tcPr>
            <w:tcW w:w="737" w:type="dxa"/>
            <w:hideMark/>
          </w:tcPr>
          <w:p w14:paraId="6E0E510C" w14:textId="77777777" w:rsidR="005D02EF" w:rsidRPr="009E06AA" w:rsidRDefault="005D02EF" w:rsidP="00CD101C">
            <w:pPr>
              <w:pStyle w:val="TableText"/>
              <w:spacing w:before="40" w:after="40"/>
              <w:jc w:val="right"/>
              <w:rPr>
                <w:color w:val="000000"/>
                <w:highlight w:val="yellow"/>
              </w:rPr>
            </w:pPr>
            <w:r w:rsidRPr="009E06AA">
              <w:rPr>
                <w:rFonts w:cs="Calibri"/>
                <w:color w:val="000000"/>
                <w:szCs w:val="16"/>
              </w:rPr>
              <w:t>36,052.9</w:t>
            </w:r>
          </w:p>
        </w:tc>
        <w:tc>
          <w:tcPr>
            <w:tcW w:w="737" w:type="dxa"/>
            <w:hideMark/>
          </w:tcPr>
          <w:p w14:paraId="3648239C" w14:textId="77777777" w:rsidR="005D02EF" w:rsidRPr="009E06AA" w:rsidRDefault="005D02EF" w:rsidP="00CD101C">
            <w:pPr>
              <w:pStyle w:val="TableText"/>
              <w:spacing w:before="40" w:after="40"/>
              <w:jc w:val="right"/>
              <w:rPr>
                <w:color w:val="000000"/>
                <w:highlight w:val="yellow"/>
              </w:rPr>
            </w:pPr>
            <w:r w:rsidRPr="009E06AA">
              <w:rPr>
                <w:rFonts w:cs="Calibri"/>
                <w:color w:val="000000"/>
                <w:szCs w:val="16"/>
              </w:rPr>
              <w:t>40,538.3</w:t>
            </w:r>
          </w:p>
        </w:tc>
        <w:tc>
          <w:tcPr>
            <w:tcW w:w="1588" w:type="dxa"/>
            <w:hideMark/>
          </w:tcPr>
          <w:p w14:paraId="088AE108" w14:textId="77777777" w:rsidR="005D02EF" w:rsidRPr="009E06AA" w:rsidRDefault="005D02EF" w:rsidP="00CD101C">
            <w:pPr>
              <w:pStyle w:val="TableText"/>
              <w:spacing w:before="40" w:after="40"/>
              <w:jc w:val="right"/>
              <w:rPr>
                <w:color w:val="000000"/>
                <w:highlight w:val="yellow"/>
              </w:rPr>
            </w:pPr>
            <w:r w:rsidRPr="009E06AA">
              <w:rPr>
                <w:rFonts w:cs="Calibri"/>
                <w:color w:val="000000"/>
                <w:szCs w:val="16"/>
              </w:rPr>
              <w:t>4,485.4</w:t>
            </w:r>
          </w:p>
        </w:tc>
        <w:tc>
          <w:tcPr>
            <w:tcW w:w="1588" w:type="dxa"/>
            <w:hideMark/>
          </w:tcPr>
          <w:p w14:paraId="52E79CB6" w14:textId="77777777" w:rsidR="005D02EF" w:rsidRPr="009E06AA" w:rsidRDefault="005D02EF" w:rsidP="00CD101C">
            <w:pPr>
              <w:pStyle w:val="TableText"/>
              <w:spacing w:before="40" w:after="40"/>
              <w:jc w:val="right"/>
              <w:rPr>
                <w:color w:val="000000"/>
                <w:highlight w:val="yellow"/>
              </w:rPr>
            </w:pPr>
            <w:r w:rsidRPr="009E06AA">
              <w:rPr>
                <w:rFonts w:cs="Calibri"/>
                <w:color w:val="000000"/>
                <w:szCs w:val="16"/>
              </w:rPr>
              <w:t>12.4</w:t>
            </w:r>
          </w:p>
        </w:tc>
      </w:tr>
      <w:tr w:rsidR="005D02EF" w:rsidRPr="009E06AA" w14:paraId="3EB7B460" w14:textId="77777777" w:rsidTr="00B55F24">
        <w:tc>
          <w:tcPr>
            <w:tcW w:w="1531" w:type="dxa"/>
            <w:vMerge/>
            <w:vAlign w:val="center"/>
            <w:hideMark/>
          </w:tcPr>
          <w:p w14:paraId="6AF65E8C" w14:textId="77777777" w:rsidR="005D02EF" w:rsidRPr="009E06AA" w:rsidRDefault="005D02EF" w:rsidP="00B55F24">
            <w:pPr>
              <w:rPr>
                <w:color w:val="000000"/>
                <w:sz w:val="16"/>
              </w:rPr>
            </w:pPr>
          </w:p>
        </w:tc>
        <w:tc>
          <w:tcPr>
            <w:tcW w:w="2155" w:type="dxa"/>
            <w:vAlign w:val="center"/>
            <w:hideMark/>
          </w:tcPr>
          <w:p w14:paraId="08961A79" w14:textId="77777777" w:rsidR="005D02EF" w:rsidRPr="009E06AA" w:rsidRDefault="005D02EF" w:rsidP="00B55F24">
            <w:pPr>
              <w:pStyle w:val="TableText"/>
              <w:spacing w:before="40" w:after="40"/>
              <w:rPr>
                <w:color w:val="000000"/>
              </w:rPr>
            </w:pPr>
            <w:r w:rsidRPr="009E06AA">
              <w:rPr>
                <w:rFonts w:cs="Calibri"/>
                <w:color w:val="000000"/>
                <w:szCs w:val="16"/>
              </w:rPr>
              <w:t>Difference in emissions estimates between submissions </w:t>
            </w:r>
          </w:p>
        </w:tc>
        <w:tc>
          <w:tcPr>
            <w:tcW w:w="737" w:type="dxa"/>
            <w:hideMark/>
          </w:tcPr>
          <w:p w14:paraId="01823FF2" w14:textId="77777777" w:rsidR="005D02EF" w:rsidRPr="009E06AA" w:rsidRDefault="005D02EF" w:rsidP="00CD101C">
            <w:pPr>
              <w:pStyle w:val="TableText"/>
              <w:spacing w:before="40" w:after="40"/>
              <w:jc w:val="right"/>
              <w:rPr>
                <w:color w:val="000000"/>
                <w:highlight w:val="yellow"/>
              </w:rPr>
            </w:pPr>
            <w:r w:rsidRPr="009E06AA">
              <w:rPr>
                <w:rFonts w:cs="Calibri"/>
                <w:color w:val="000000"/>
                <w:szCs w:val="16"/>
              </w:rPr>
              <w:t>0.0</w:t>
            </w:r>
          </w:p>
        </w:tc>
        <w:tc>
          <w:tcPr>
            <w:tcW w:w="737" w:type="dxa"/>
            <w:hideMark/>
          </w:tcPr>
          <w:p w14:paraId="7CDBCBED" w14:textId="77777777" w:rsidR="005D02EF" w:rsidRPr="009E06AA" w:rsidRDefault="005D02EF" w:rsidP="00CD101C">
            <w:pPr>
              <w:pStyle w:val="TableText"/>
              <w:spacing w:before="40" w:after="40"/>
              <w:jc w:val="right"/>
              <w:rPr>
                <w:color w:val="000000"/>
                <w:highlight w:val="yellow"/>
              </w:rPr>
            </w:pPr>
            <w:r w:rsidRPr="009E06AA">
              <w:rPr>
                <w:rFonts w:cs="Calibri"/>
                <w:color w:val="000000"/>
                <w:szCs w:val="16"/>
              </w:rPr>
              <w:t>40.8</w:t>
            </w:r>
          </w:p>
        </w:tc>
        <w:tc>
          <w:tcPr>
            <w:tcW w:w="1588" w:type="dxa"/>
            <w:hideMark/>
          </w:tcPr>
          <w:p w14:paraId="172B38F7" w14:textId="77777777" w:rsidR="005D02EF" w:rsidRPr="009E06AA" w:rsidRDefault="005D02EF" w:rsidP="00CD101C">
            <w:pPr>
              <w:pStyle w:val="TableText"/>
              <w:spacing w:before="40" w:after="40"/>
              <w:jc w:val="right"/>
              <w:rPr>
                <w:color w:val="000000"/>
                <w:highlight w:val="yellow"/>
              </w:rPr>
            </w:pPr>
            <w:r w:rsidRPr="009E06AA">
              <w:rPr>
                <w:rFonts w:cs="Calibri"/>
                <w:color w:val="000000"/>
                <w:szCs w:val="16"/>
              </w:rPr>
              <w:t>40.8</w:t>
            </w:r>
          </w:p>
        </w:tc>
        <w:tc>
          <w:tcPr>
            <w:tcW w:w="1588" w:type="dxa"/>
            <w:hideMark/>
          </w:tcPr>
          <w:p w14:paraId="7035101A" w14:textId="77777777" w:rsidR="005D02EF" w:rsidRPr="009E06AA" w:rsidRDefault="005D02EF" w:rsidP="00CD101C">
            <w:pPr>
              <w:pStyle w:val="TableText"/>
              <w:spacing w:before="40" w:after="40"/>
              <w:ind w:left="397"/>
              <w:jc w:val="right"/>
              <w:rPr>
                <w:color w:val="000000"/>
              </w:rPr>
            </w:pPr>
            <w:r w:rsidRPr="009E06AA">
              <w:rPr>
                <w:rFonts w:cs="Calibri"/>
                <w:color w:val="000000"/>
                <w:szCs w:val="16"/>
              </w:rPr>
              <w:t> </w:t>
            </w:r>
          </w:p>
        </w:tc>
      </w:tr>
    </w:tbl>
    <w:p w14:paraId="288F9554" w14:textId="77777777" w:rsidR="005D02EF" w:rsidRPr="009E06AA" w:rsidRDefault="005D02EF" w:rsidP="00CD101C">
      <w:pPr>
        <w:pStyle w:val="Heading4"/>
      </w:pPr>
      <w:bookmarkStart w:id="3663" w:name="_Hlk158015163"/>
      <w:r w:rsidRPr="009E06AA">
        <w:t>Improvements and corrections to model code</w:t>
      </w:r>
      <w:bookmarkEnd w:id="3663"/>
    </w:p>
    <w:p w14:paraId="276071D0" w14:textId="77777777" w:rsidR="005D02EF" w:rsidRPr="009E06AA" w:rsidRDefault="005D02EF" w:rsidP="005D02EF">
      <w:pPr>
        <w:pStyle w:val="BodyText"/>
      </w:pPr>
      <w:bookmarkStart w:id="3664" w:name="_Hlk153464427"/>
      <w:r w:rsidRPr="009E06AA">
        <w:t>Each year, the Agriculture inventory compilation team identifies changes to improve alignment between the model code and the written methodology (</w:t>
      </w:r>
      <w:hyperlink r:id="rId202" w:history="1">
        <w:r w:rsidRPr="009E06AA">
          <w:rPr>
            <w:rStyle w:val="Hyperlink"/>
          </w:rPr>
          <w:t>Ministry for Primary Industries,</w:t>
        </w:r>
      </w:hyperlink>
      <w:r w:rsidRPr="009E06AA">
        <w:rPr>
          <w:rStyle w:val="Hyperlink"/>
        </w:rPr>
        <w:t xml:space="preserve"> 2022)</w:t>
      </w:r>
      <w:r w:rsidRPr="009E06AA">
        <w:t>. Improvements to the input data and methodology have also been implemented, in response to comments from international reviewers.</w:t>
      </w:r>
    </w:p>
    <w:bookmarkEnd w:id="3664"/>
    <w:p w14:paraId="39FAF82D" w14:textId="77777777" w:rsidR="005D02EF" w:rsidRPr="009E06AA" w:rsidRDefault="005D02EF" w:rsidP="005D02EF">
      <w:pPr>
        <w:pStyle w:val="BodyText"/>
        <w:rPr>
          <w:rFonts w:cs="Arial"/>
        </w:rPr>
      </w:pPr>
      <w:r w:rsidRPr="009E06AA">
        <w:rPr>
          <w:spacing w:val="-2"/>
        </w:rPr>
        <w:t>For the 2024 submission, the modelling for the Agriculture sector was done in an R environmen</w:t>
      </w:r>
      <w:r w:rsidRPr="009E06AA">
        <w:t xml:space="preserve">t for the first time. In contrast, for the 2023 submission, the sector was modelled in a Microsoft Excel-based system combined with Visual Basic for Applications code. </w:t>
      </w:r>
      <w:r w:rsidRPr="009E06AA">
        <w:rPr>
          <w:rFonts w:cs="Arial"/>
        </w:rPr>
        <w:t xml:space="preserve">After the migration from Excel to R, the two models were run in parallel. A careful comparison of the results identified several errors and differences of interpretation of the methodology document between the two models. </w:t>
      </w:r>
    </w:p>
    <w:p w14:paraId="6C0FB85A" w14:textId="77777777" w:rsidR="005D02EF" w:rsidRPr="009E06AA" w:rsidRDefault="005D02EF" w:rsidP="005D02EF">
      <w:pPr>
        <w:spacing w:before="120" w:after="120"/>
        <w:rPr>
          <w:rFonts w:cs="Arial"/>
        </w:rPr>
      </w:pPr>
      <w:r w:rsidRPr="009E06AA">
        <w:rPr>
          <w:rFonts w:cs="Arial"/>
        </w:rPr>
        <w:t>Changes implemented in the 2024 submission, as a result of these processes, include:</w:t>
      </w:r>
    </w:p>
    <w:p w14:paraId="32204504" w14:textId="77777777" w:rsidR="005D02EF" w:rsidRPr="009E06AA" w:rsidRDefault="005D02EF" w:rsidP="005D02EF">
      <w:pPr>
        <w:pStyle w:val="Bullet"/>
      </w:pPr>
      <w:r w:rsidRPr="009E06AA">
        <w:t xml:space="preserve">alignment between the dairy population calculations implemented in the model and those written in the methodology document </w:t>
      </w:r>
    </w:p>
    <w:p w14:paraId="1B0468B9" w14:textId="77777777" w:rsidR="005D02EF" w:rsidRPr="009E06AA" w:rsidRDefault="005D02EF" w:rsidP="005D02EF">
      <w:pPr>
        <w:pStyle w:val="Bullet"/>
      </w:pPr>
      <w:r w:rsidRPr="009E06AA">
        <w:t>improvement to how the input data for exports of one- to two-year old heifers is used</w:t>
      </w:r>
    </w:p>
    <w:p w14:paraId="13323283" w14:textId="77777777" w:rsidR="005D02EF" w:rsidRPr="009E06AA" w:rsidRDefault="005D02EF" w:rsidP="005D02EF">
      <w:pPr>
        <w:pStyle w:val="Bullet"/>
      </w:pPr>
      <w:r w:rsidRPr="009E06AA">
        <w:t>minor changes across deer, dairy and sheep, to ensure the liveweight calculations, gestation requirements and nitrogen retention were accurate.</w:t>
      </w:r>
    </w:p>
    <w:p w14:paraId="07C89300" w14:textId="52BE7D07" w:rsidR="005D02EF" w:rsidRPr="009E06AA" w:rsidRDefault="005D02EF" w:rsidP="005D02EF">
      <w:pPr>
        <w:pStyle w:val="BodyText"/>
      </w:pPr>
      <w:r w:rsidRPr="009E06AA">
        <w:t>The migration of the Agriculture inventory model from Excel to R provided a good opportunity to identify enhancements, therefore, for this reason, there are more corrections than in other years.</w:t>
      </w:r>
    </w:p>
    <w:p w14:paraId="34BC1E73" w14:textId="77777777" w:rsidR="005D02EF" w:rsidRPr="009E06AA" w:rsidRDefault="005D02EF" w:rsidP="005D02EF">
      <w:pPr>
        <w:pStyle w:val="BodyText"/>
      </w:pPr>
      <w:bookmarkStart w:id="3665" w:name="_Hlk157588543"/>
      <w:r w:rsidRPr="009E06AA">
        <w:t>The total impact of these changes is an increase of 916.5 kt CO</w:t>
      </w:r>
      <w:r w:rsidRPr="009E06AA">
        <w:rPr>
          <w:vertAlign w:val="subscript"/>
        </w:rPr>
        <w:t>2</w:t>
      </w:r>
      <w:r w:rsidRPr="009E06AA">
        <w:t>-e of emissions reported in 2021 (table 10.2.5). This corresponds to an increase in reported total agricultural emissions of around 2.3 per cent.</w:t>
      </w:r>
    </w:p>
    <w:p w14:paraId="2FE8E524" w14:textId="3E47812D" w:rsidR="005D02EF" w:rsidRPr="009E06AA" w:rsidRDefault="005D02EF" w:rsidP="005D02EF">
      <w:pPr>
        <w:pStyle w:val="Table"/>
        <w:rPr>
          <w:rFonts w:cs="Arial"/>
        </w:rPr>
      </w:pPr>
      <w:bookmarkStart w:id="3666" w:name="_Toc161311311"/>
      <w:bookmarkStart w:id="3667" w:name="_Toc164153979"/>
      <w:r w:rsidRPr="009E06AA">
        <w:t>Table 10.2.5</w:t>
      </w:r>
      <w:r w:rsidRPr="009E06AA">
        <w:tab/>
      </w:r>
      <w:bookmarkEnd w:id="3666"/>
      <w:r w:rsidRPr="009E06AA">
        <w:t>Emissions impact of i</w:t>
      </w:r>
      <w:r w:rsidRPr="009E06AA">
        <w:rPr>
          <w:bCs/>
        </w:rPr>
        <w:t>mprovements and corrections to model code</w:t>
      </w:r>
      <w:bookmarkEnd w:id="3667"/>
    </w:p>
    <w:tbl>
      <w:tblPr>
        <w:tblW w:w="5000" w:type="pct"/>
        <w:tblBorders>
          <w:top w:val="single" w:sz="4" w:space="0" w:color="1B556B" w:themeColor="text2"/>
          <w:bottom w:val="single" w:sz="4" w:space="0" w:color="1B556B" w:themeColor="text2"/>
          <w:insideH w:val="single" w:sz="4" w:space="0" w:color="1B556B" w:themeColor="text2"/>
        </w:tblBorders>
        <w:tblCellMar>
          <w:left w:w="85" w:type="dxa"/>
          <w:right w:w="85" w:type="dxa"/>
        </w:tblCellMar>
        <w:tblLook w:val="04A0" w:firstRow="1" w:lastRow="0" w:firstColumn="1" w:lastColumn="0" w:noHBand="0" w:noVBand="1"/>
      </w:tblPr>
      <w:tblGrid>
        <w:gridCol w:w="1568"/>
        <w:gridCol w:w="2047"/>
        <w:gridCol w:w="796"/>
        <w:gridCol w:w="796"/>
        <w:gridCol w:w="1649"/>
        <w:gridCol w:w="1649"/>
      </w:tblGrid>
      <w:tr w:rsidR="005D02EF" w:rsidRPr="009E06AA" w14:paraId="5453EE6F" w14:textId="77777777" w:rsidTr="00B55F24">
        <w:tc>
          <w:tcPr>
            <w:tcW w:w="1568" w:type="dxa"/>
            <w:shd w:val="clear" w:color="auto" w:fill="1B556B"/>
            <w:vAlign w:val="bottom"/>
            <w:hideMark/>
          </w:tcPr>
          <w:bookmarkEnd w:id="3665"/>
          <w:p w14:paraId="14AB54DF" w14:textId="77777777" w:rsidR="005D02EF" w:rsidRPr="009E06AA" w:rsidRDefault="005D02EF" w:rsidP="00B55F24">
            <w:pPr>
              <w:pStyle w:val="TableText"/>
              <w:spacing w:before="40" w:after="40"/>
              <w:rPr>
                <w:b/>
                <w:bCs/>
                <w:color w:val="FFFFFF" w:themeColor="background1"/>
              </w:rPr>
            </w:pPr>
            <w:r w:rsidRPr="009E06AA">
              <w:rPr>
                <w:rFonts w:cs="Calibri"/>
                <w:b/>
                <w:bCs/>
                <w:color w:val="FFFFFF" w:themeColor="background1"/>
                <w:szCs w:val="16"/>
              </w:rPr>
              <w:t>Emissions (kt CO</w:t>
            </w:r>
            <w:r w:rsidRPr="009E06AA">
              <w:rPr>
                <w:rFonts w:cs="Calibri"/>
                <w:b/>
                <w:bCs/>
                <w:color w:val="FFFFFF"/>
                <w:szCs w:val="16"/>
                <w:vertAlign w:val="subscript"/>
              </w:rPr>
              <w:t>2</w:t>
            </w:r>
            <w:r w:rsidRPr="009E06AA">
              <w:rPr>
                <w:rFonts w:cs="Calibri"/>
                <w:b/>
                <w:bCs/>
                <w:color w:val="FFFFFF"/>
                <w:szCs w:val="16"/>
              </w:rPr>
              <w:t>-e)</w:t>
            </w:r>
          </w:p>
        </w:tc>
        <w:tc>
          <w:tcPr>
            <w:tcW w:w="2047" w:type="dxa"/>
            <w:shd w:val="clear" w:color="auto" w:fill="1B556B"/>
            <w:vAlign w:val="bottom"/>
            <w:hideMark/>
          </w:tcPr>
          <w:p w14:paraId="0BE3AABC" w14:textId="77777777" w:rsidR="005D02EF" w:rsidRPr="009E06AA" w:rsidRDefault="005D02EF" w:rsidP="00B55F24">
            <w:pPr>
              <w:pStyle w:val="TableText"/>
              <w:spacing w:before="40" w:after="40"/>
              <w:rPr>
                <w:b/>
                <w:bCs/>
                <w:color w:val="FFFFFF" w:themeColor="background1"/>
              </w:rPr>
            </w:pPr>
            <w:r w:rsidRPr="009E06AA">
              <w:rPr>
                <w:rFonts w:cs="Calibri"/>
                <w:color w:val="000000"/>
                <w:sz w:val="20"/>
                <w:szCs w:val="20"/>
              </w:rPr>
              <w:t> </w:t>
            </w:r>
          </w:p>
        </w:tc>
        <w:tc>
          <w:tcPr>
            <w:tcW w:w="796" w:type="dxa"/>
            <w:shd w:val="clear" w:color="auto" w:fill="1B556B"/>
            <w:vAlign w:val="bottom"/>
            <w:hideMark/>
          </w:tcPr>
          <w:p w14:paraId="381998DB" w14:textId="77777777" w:rsidR="005D02EF" w:rsidRPr="009E06AA" w:rsidRDefault="005D02EF" w:rsidP="00CD101C">
            <w:pPr>
              <w:pStyle w:val="TableText"/>
              <w:spacing w:before="40" w:after="40"/>
              <w:jc w:val="right"/>
              <w:rPr>
                <w:b/>
                <w:bCs/>
                <w:color w:val="FFFFFF" w:themeColor="background1"/>
              </w:rPr>
            </w:pPr>
            <w:r w:rsidRPr="009E06AA">
              <w:rPr>
                <w:rFonts w:cs="Calibri"/>
                <w:b/>
                <w:bCs/>
                <w:color w:val="FFFFFF" w:themeColor="background1"/>
                <w:szCs w:val="16"/>
              </w:rPr>
              <w:t>1990</w:t>
            </w:r>
          </w:p>
        </w:tc>
        <w:tc>
          <w:tcPr>
            <w:tcW w:w="796" w:type="dxa"/>
            <w:shd w:val="clear" w:color="auto" w:fill="1B556B"/>
            <w:vAlign w:val="bottom"/>
            <w:hideMark/>
          </w:tcPr>
          <w:p w14:paraId="4909E9FE" w14:textId="77777777" w:rsidR="005D02EF" w:rsidRPr="009E06AA" w:rsidRDefault="005D02EF" w:rsidP="00CD101C">
            <w:pPr>
              <w:pStyle w:val="TableText"/>
              <w:spacing w:before="40" w:after="40"/>
              <w:jc w:val="right"/>
              <w:rPr>
                <w:b/>
                <w:bCs/>
                <w:color w:val="FFFFFF" w:themeColor="background1"/>
              </w:rPr>
            </w:pPr>
            <w:r w:rsidRPr="009E06AA">
              <w:rPr>
                <w:rFonts w:cs="Calibri"/>
                <w:b/>
                <w:bCs/>
                <w:color w:val="FFFFFF" w:themeColor="background1"/>
                <w:szCs w:val="16"/>
              </w:rPr>
              <w:t>2021</w:t>
            </w:r>
          </w:p>
        </w:tc>
        <w:tc>
          <w:tcPr>
            <w:tcW w:w="1649" w:type="dxa"/>
            <w:shd w:val="clear" w:color="auto" w:fill="1B556B"/>
            <w:vAlign w:val="bottom"/>
            <w:hideMark/>
          </w:tcPr>
          <w:p w14:paraId="1C628659" w14:textId="77777777" w:rsidR="005D02EF" w:rsidRPr="009E06AA" w:rsidRDefault="005D02EF" w:rsidP="00CD101C">
            <w:pPr>
              <w:pStyle w:val="TableText"/>
              <w:spacing w:before="40" w:after="40"/>
              <w:jc w:val="right"/>
              <w:rPr>
                <w:b/>
                <w:bCs/>
                <w:color w:val="FFFFFF" w:themeColor="background1"/>
              </w:rPr>
            </w:pPr>
            <w:r w:rsidRPr="009E06AA">
              <w:rPr>
                <w:rFonts w:cs="Calibri"/>
                <w:b/>
                <w:bCs/>
                <w:color w:val="FFFFFF" w:themeColor="background1"/>
                <w:szCs w:val="16"/>
              </w:rPr>
              <w:t>Change in emission outputs between 1990 and 2021 (kt CO</w:t>
            </w:r>
            <w:r w:rsidRPr="009E06AA">
              <w:rPr>
                <w:rFonts w:cs="Calibri"/>
                <w:b/>
                <w:bCs/>
                <w:color w:val="FFFFFF"/>
                <w:szCs w:val="16"/>
                <w:vertAlign w:val="subscript"/>
              </w:rPr>
              <w:t>2</w:t>
            </w:r>
            <w:r w:rsidRPr="009E06AA">
              <w:rPr>
                <w:rFonts w:cs="Calibri"/>
                <w:b/>
                <w:bCs/>
                <w:color w:val="FFFFFF"/>
                <w:szCs w:val="16"/>
              </w:rPr>
              <w:t>-e)</w:t>
            </w:r>
          </w:p>
        </w:tc>
        <w:tc>
          <w:tcPr>
            <w:tcW w:w="1649" w:type="dxa"/>
            <w:shd w:val="clear" w:color="auto" w:fill="1B556B"/>
            <w:vAlign w:val="bottom"/>
            <w:hideMark/>
          </w:tcPr>
          <w:p w14:paraId="0AC8CC57" w14:textId="77777777" w:rsidR="005D02EF" w:rsidRPr="009E06AA" w:rsidRDefault="005D02EF" w:rsidP="00CD101C">
            <w:pPr>
              <w:pStyle w:val="TableText"/>
              <w:spacing w:before="40" w:after="40"/>
              <w:jc w:val="right"/>
              <w:rPr>
                <w:b/>
                <w:bCs/>
                <w:color w:val="FFFFFF" w:themeColor="background1"/>
              </w:rPr>
            </w:pPr>
            <w:r w:rsidRPr="009E06AA">
              <w:rPr>
                <w:rFonts w:cs="Calibri"/>
                <w:b/>
                <w:bCs/>
                <w:color w:val="FFFFFF" w:themeColor="background1"/>
                <w:szCs w:val="16"/>
              </w:rPr>
              <w:t>Percentage change in emission outputs between 1990 and 2021 (%)</w:t>
            </w:r>
          </w:p>
        </w:tc>
      </w:tr>
      <w:tr w:rsidR="005D02EF" w:rsidRPr="009E06AA" w14:paraId="1CC1FA5E" w14:textId="77777777" w:rsidTr="00B55F24">
        <w:tc>
          <w:tcPr>
            <w:tcW w:w="1568" w:type="dxa"/>
            <w:vMerge w:val="restart"/>
            <w:vAlign w:val="center"/>
            <w:hideMark/>
          </w:tcPr>
          <w:p w14:paraId="32EF0772" w14:textId="77777777" w:rsidR="005D02EF" w:rsidRPr="009E06AA" w:rsidRDefault="005D02EF" w:rsidP="00B55F24">
            <w:pPr>
              <w:pStyle w:val="TableText"/>
              <w:spacing w:before="40" w:after="40"/>
              <w:rPr>
                <w:color w:val="000000"/>
              </w:rPr>
            </w:pPr>
            <w:r w:rsidRPr="009E06AA">
              <w:rPr>
                <w:rFonts w:cs="Calibri"/>
                <w:color w:val="000000"/>
                <w:szCs w:val="16"/>
              </w:rPr>
              <w:t xml:space="preserve">Total emissions from </w:t>
            </w:r>
            <w:r w:rsidRPr="009E06AA">
              <w:rPr>
                <w:rFonts w:cs="Calibri"/>
                <w:i/>
                <w:iCs/>
                <w:color w:val="000000"/>
                <w:szCs w:val="16"/>
              </w:rPr>
              <w:t>Agriculture</w:t>
            </w:r>
            <w:r w:rsidRPr="009E06AA">
              <w:rPr>
                <w:rFonts w:cs="Calibri"/>
                <w:color w:val="000000"/>
                <w:szCs w:val="16"/>
              </w:rPr>
              <w:t xml:space="preserve"> (kt CO</w:t>
            </w:r>
            <w:r w:rsidRPr="009E06AA">
              <w:rPr>
                <w:rFonts w:cs="Calibri"/>
                <w:color w:val="000000"/>
                <w:szCs w:val="16"/>
                <w:vertAlign w:val="subscript"/>
              </w:rPr>
              <w:t>2</w:t>
            </w:r>
            <w:r w:rsidRPr="009E06AA">
              <w:rPr>
                <w:rFonts w:cs="Calibri"/>
                <w:color w:val="000000"/>
                <w:szCs w:val="16"/>
              </w:rPr>
              <w:t>-e)</w:t>
            </w:r>
          </w:p>
        </w:tc>
        <w:tc>
          <w:tcPr>
            <w:tcW w:w="2047" w:type="dxa"/>
            <w:vAlign w:val="center"/>
            <w:hideMark/>
          </w:tcPr>
          <w:p w14:paraId="16FD6234" w14:textId="77777777" w:rsidR="005D02EF" w:rsidRPr="009E06AA" w:rsidRDefault="005D02EF" w:rsidP="00B55F24">
            <w:pPr>
              <w:pStyle w:val="TableText"/>
              <w:spacing w:before="40" w:after="40"/>
              <w:rPr>
                <w:color w:val="000000"/>
              </w:rPr>
            </w:pPr>
            <w:r w:rsidRPr="009E06AA">
              <w:rPr>
                <w:rFonts w:cs="Calibri"/>
                <w:color w:val="000000"/>
                <w:szCs w:val="16"/>
              </w:rPr>
              <w:t>Previous inventory emissions estimate</w:t>
            </w:r>
          </w:p>
        </w:tc>
        <w:tc>
          <w:tcPr>
            <w:tcW w:w="796" w:type="dxa"/>
            <w:hideMark/>
          </w:tcPr>
          <w:p w14:paraId="11AD2ACD" w14:textId="77777777" w:rsidR="005D02EF" w:rsidRPr="009E06AA" w:rsidRDefault="005D02EF" w:rsidP="00CD101C">
            <w:pPr>
              <w:pStyle w:val="TableText"/>
              <w:spacing w:before="40" w:after="40"/>
              <w:jc w:val="right"/>
              <w:rPr>
                <w:color w:val="000000"/>
                <w:highlight w:val="yellow"/>
              </w:rPr>
            </w:pPr>
            <w:r w:rsidRPr="009E06AA">
              <w:rPr>
                <w:rFonts w:cs="Calibri"/>
                <w:color w:val="000000"/>
                <w:szCs w:val="16"/>
              </w:rPr>
              <w:t>36,052.9</w:t>
            </w:r>
          </w:p>
        </w:tc>
        <w:tc>
          <w:tcPr>
            <w:tcW w:w="796" w:type="dxa"/>
            <w:hideMark/>
          </w:tcPr>
          <w:p w14:paraId="3B4FC002" w14:textId="77777777" w:rsidR="005D02EF" w:rsidRPr="009E06AA" w:rsidRDefault="005D02EF" w:rsidP="00CD101C">
            <w:pPr>
              <w:pStyle w:val="TableText"/>
              <w:spacing w:before="40" w:after="40"/>
              <w:jc w:val="right"/>
              <w:rPr>
                <w:color w:val="000000"/>
                <w:highlight w:val="yellow"/>
              </w:rPr>
            </w:pPr>
            <w:r w:rsidRPr="009E06AA">
              <w:rPr>
                <w:rFonts w:cs="Calibri"/>
                <w:color w:val="000000"/>
                <w:szCs w:val="16"/>
              </w:rPr>
              <w:t>40,497.6</w:t>
            </w:r>
          </w:p>
        </w:tc>
        <w:tc>
          <w:tcPr>
            <w:tcW w:w="1649" w:type="dxa"/>
            <w:hideMark/>
          </w:tcPr>
          <w:p w14:paraId="7D85D5C7" w14:textId="77777777" w:rsidR="005D02EF" w:rsidRPr="009E06AA" w:rsidRDefault="005D02EF" w:rsidP="00CD101C">
            <w:pPr>
              <w:pStyle w:val="TableText"/>
              <w:spacing w:before="40" w:after="40"/>
              <w:jc w:val="right"/>
              <w:rPr>
                <w:color w:val="000000"/>
                <w:highlight w:val="yellow"/>
              </w:rPr>
            </w:pPr>
            <w:r w:rsidRPr="009E06AA">
              <w:rPr>
                <w:rFonts w:cs="Calibri"/>
                <w:color w:val="000000"/>
                <w:szCs w:val="16"/>
              </w:rPr>
              <w:t>4,444.7</w:t>
            </w:r>
          </w:p>
        </w:tc>
        <w:tc>
          <w:tcPr>
            <w:tcW w:w="1649" w:type="dxa"/>
            <w:hideMark/>
          </w:tcPr>
          <w:p w14:paraId="12673752" w14:textId="77777777" w:rsidR="005D02EF" w:rsidRPr="009E06AA" w:rsidRDefault="005D02EF" w:rsidP="00CD101C">
            <w:pPr>
              <w:pStyle w:val="TableText"/>
              <w:spacing w:before="40" w:after="40"/>
              <w:jc w:val="right"/>
              <w:rPr>
                <w:color w:val="000000"/>
                <w:highlight w:val="yellow"/>
              </w:rPr>
            </w:pPr>
            <w:r w:rsidRPr="009E06AA">
              <w:rPr>
                <w:rFonts w:cs="Calibri"/>
                <w:color w:val="000000"/>
                <w:szCs w:val="16"/>
              </w:rPr>
              <w:t>12.3</w:t>
            </w:r>
          </w:p>
        </w:tc>
      </w:tr>
      <w:tr w:rsidR="005D02EF" w:rsidRPr="009E06AA" w14:paraId="4D2D70D5" w14:textId="77777777" w:rsidTr="00B55F24">
        <w:tc>
          <w:tcPr>
            <w:tcW w:w="0" w:type="auto"/>
            <w:vMerge/>
            <w:vAlign w:val="center"/>
            <w:hideMark/>
          </w:tcPr>
          <w:p w14:paraId="58AE96C1" w14:textId="77777777" w:rsidR="005D02EF" w:rsidRPr="009E06AA" w:rsidRDefault="005D02EF" w:rsidP="00B55F24">
            <w:pPr>
              <w:rPr>
                <w:color w:val="000000"/>
                <w:sz w:val="16"/>
              </w:rPr>
            </w:pPr>
          </w:p>
        </w:tc>
        <w:tc>
          <w:tcPr>
            <w:tcW w:w="2047" w:type="dxa"/>
            <w:vAlign w:val="center"/>
            <w:hideMark/>
          </w:tcPr>
          <w:p w14:paraId="3CDA4334" w14:textId="77777777" w:rsidR="005D02EF" w:rsidRPr="009E06AA" w:rsidRDefault="005D02EF" w:rsidP="00B55F24">
            <w:pPr>
              <w:pStyle w:val="TableText"/>
              <w:spacing w:before="40" w:after="40"/>
              <w:rPr>
                <w:color w:val="000000"/>
              </w:rPr>
            </w:pPr>
            <w:r w:rsidRPr="009E06AA">
              <w:rPr>
                <w:rFonts w:cs="Calibri"/>
                <w:color w:val="000000"/>
                <w:szCs w:val="16"/>
              </w:rPr>
              <w:t>Current inventory emissions estimate with corrections</w:t>
            </w:r>
          </w:p>
        </w:tc>
        <w:tc>
          <w:tcPr>
            <w:tcW w:w="796" w:type="dxa"/>
            <w:hideMark/>
          </w:tcPr>
          <w:p w14:paraId="1C50FA9C" w14:textId="77777777" w:rsidR="005D02EF" w:rsidRPr="009E06AA" w:rsidRDefault="005D02EF" w:rsidP="00CD101C">
            <w:pPr>
              <w:pStyle w:val="TableText"/>
              <w:spacing w:before="40" w:after="40"/>
              <w:jc w:val="right"/>
              <w:rPr>
                <w:color w:val="000000"/>
                <w:highlight w:val="yellow"/>
              </w:rPr>
            </w:pPr>
            <w:r w:rsidRPr="009E06AA">
              <w:rPr>
                <w:rFonts w:cs="Calibri"/>
                <w:color w:val="000000"/>
                <w:szCs w:val="16"/>
              </w:rPr>
              <w:t>36,265.4</w:t>
            </w:r>
          </w:p>
        </w:tc>
        <w:tc>
          <w:tcPr>
            <w:tcW w:w="796" w:type="dxa"/>
            <w:hideMark/>
          </w:tcPr>
          <w:p w14:paraId="69AAE88B" w14:textId="77777777" w:rsidR="005D02EF" w:rsidRPr="009E06AA" w:rsidRDefault="005D02EF" w:rsidP="00CD101C">
            <w:pPr>
              <w:pStyle w:val="TableText"/>
              <w:spacing w:before="40" w:after="40"/>
              <w:jc w:val="right"/>
              <w:rPr>
                <w:color w:val="000000"/>
                <w:highlight w:val="yellow"/>
              </w:rPr>
            </w:pPr>
            <w:r w:rsidRPr="009E06AA">
              <w:rPr>
                <w:rFonts w:cs="Calibri"/>
                <w:color w:val="000000"/>
                <w:szCs w:val="16"/>
              </w:rPr>
              <w:t>41,414.0</w:t>
            </w:r>
          </w:p>
        </w:tc>
        <w:tc>
          <w:tcPr>
            <w:tcW w:w="1649" w:type="dxa"/>
            <w:hideMark/>
          </w:tcPr>
          <w:p w14:paraId="5CA80D56" w14:textId="77777777" w:rsidR="005D02EF" w:rsidRPr="009E06AA" w:rsidRDefault="005D02EF" w:rsidP="00CD101C">
            <w:pPr>
              <w:pStyle w:val="TableText"/>
              <w:spacing w:before="40" w:after="40"/>
              <w:jc w:val="right"/>
              <w:rPr>
                <w:color w:val="000000"/>
                <w:highlight w:val="yellow"/>
              </w:rPr>
            </w:pPr>
            <w:r w:rsidRPr="009E06AA">
              <w:rPr>
                <w:rFonts w:cs="Calibri"/>
                <w:color w:val="000000"/>
                <w:szCs w:val="16"/>
              </w:rPr>
              <w:t>5,148.6</w:t>
            </w:r>
          </w:p>
        </w:tc>
        <w:tc>
          <w:tcPr>
            <w:tcW w:w="1649" w:type="dxa"/>
            <w:hideMark/>
          </w:tcPr>
          <w:p w14:paraId="36148B36" w14:textId="77777777" w:rsidR="005D02EF" w:rsidRPr="009E06AA" w:rsidRDefault="005D02EF" w:rsidP="00CD101C">
            <w:pPr>
              <w:pStyle w:val="TableText"/>
              <w:spacing w:before="40" w:after="40"/>
              <w:jc w:val="right"/>
              <w:rPr>
                <w:color w:val="000000"/>
                <w:highlight w:val="yellow"/>
              </w:rPr>
            </w:pPr>
            <w:r w:rsidRPr="009E06AA">
              <w:rPr>
                <w:rFonts w:cs="Calibri"/>
                <w:color w:val="000000"/>
                <w:szCs w:val="16"/>
              </w:rPr>
              <w:t>14.2</w:t>
            </w:r>
          </w:p>
        </w:tc>
      </w:tr>
      <w:tr w:rsidR="005D02EF" w:rsidRPr="009E06AA" w14:paraId="232CE29F" w14:textId="77777777" w:rsidTr="00B55F24">
        <w:tc>
          <w:tcPr>
            <w:tcW w:w="0" w:type="auto"/>
            <w:vMerge/>
            <w:vAlign w:val="center"/>
            <w:hideMark/>
          </w:tcPr>
          <w:p w14:paraId="634E6987" w14:textId="77777777" w:rsidR="005D02EF" w:rsidRPr="009E06AA" w:rsidRDefault="005D02EF" w:rsidP="00B55F24">
            <w:pPr>
              <w:rPr>
                <w:color w:val="000000"/>
                <w:sz w:val="16"/>
              </w:rPr>
            </w:pPr>
          </w:p>
        </w:tc>
        <w:tc>
          <w:tcPr>
            <w:tcW w:w="2047" w:type="dxa"/>
            <w:vAlign w:val="center"/>
            <w:hideMark/>
          </w:tcPr>
          <w:p w14:paraId="52334B31" w14:textId="77777777" w:rsidR="005D02EF" w:rsidRPr="009E06AA" w:rsidRDefault="005D02EF" w:rsidP="00B55F24">
            <w:pPr>
              <w:pStyle w:val="TableText"/>
              <w:spacing w:before="40" w:after="40"/>
              <w:rPr>
                <w:color w:val="000000"/>
              </w:rPr>
            </w:pPr>
            <w:r w:rsidRPr="009E06AA">
              <w:rPr>
                <w:rFonts w:cs="Calibri"/>
                <w:color w:val="000000"/>
                <w:szCs w:val="16"/>
              </w:rPr>
              <w:t>Difference in emissions estimates compared with current inventory </w:t>
            </w:r>
          </w:p>
        </w:tc>
        <w:tc>
          <w:tcPr>
            <w:tcW w:w="796" w:type="dxa"/>
            <w:hideMark/>
          </w:tcPr>
          <w:p w14:paraId="14D866E7" w14:textId="77777777" w:rsidR="005D02EF" w:rsidRPr="009E06AA" w:rsidRDefault="005D02EF" w:rsidP="00CD101C">
            <w:pPr>
              <w:pStyle w:val="TableText"/>
              <w:spacing w:before="40" w:after="40"/>
              <w:jc w:val="right"/>
              <w:rPr>
                <w:color w:val="000000"/>
                <w:highlight w:val="yellow"/>
              </w:rPr>
            </w:pPr>
            <w:r w:rsidRPr="009E06AA">
              <w:rPr>
                <w:rFonts w:cs="Calibri"/>
                <w:color w:val="000000"/>
                <w:szCs w:val="16"/>
              </w:rPr>
              <w:t>212.5</w:t>
            </w:r>
          </w:p>
        </w:tc>
        <w:tc>
          <w:tcPr>
            <w:tcW w:w="796" w:type="dxa"/>
            <w:hideMark/>
          </w:tcPr>
          <w:p w14:paraId="4CF06610" w14:textId="77777777" w:rsidR="005D02EF" w:rsidRPr="009E06AA" w:rsidRDefault="005D02EF" w:rsidP="00CD101C">
            <w:pPr>
              <w:pStyle w:val="TableText"/>
              <w:spacing w:before="40" w:after="40"/>
              <w:jc w:val="right"/>
              <w:rPr>
                <w:color w:val="000000"/>
                <w:highlight w:val="yellow"/>
              </w:rPr>
            </w:pPr>
            <w:r w:rsidRPr="009E06AA">
              <w:rPr>
                <w:rFonts w:cs="Calibri"/>
                <w:color w:val="000000"/>
                <w:szCs w:val="16"/>
              </w:rPr>
              <w:t>916.5</w:t>
            </w:r>
          </w:p>
        </w:tc>
        <w:tc>
          <w:tcPr>
            <w:tcW w:w="1649" w:type="dxa"/>
            <w:hideMark/>
          </w:tcPr>
          <w:p w14:paraId="3D884BDB" w14:textId="77777777" w:rsidR="005D02EF" w:rsidRPr="009E06AA" w:rsidRDefault="005D02EF" w:rsidP="00CD101C">
            <w:pPr>
              <w:pStyle w:val="TableText"/>
              <w:spacing w:before="40" w:after="40"/>
              <w:jc w:val="right"/>
              <w:rPr>
                <w:color w:val="000000"/>
                <w:highlight w:val="yellow"/>
              </w:rPr>
            </w:pPr>
            <w:r w:rsidRPr="009E06AA">
              <w:rPr>
                <w:rFonts w:cs="Calibri"/>
                <w:color w:val="000000"/>
                <w:szCs w:val="16"/>
              </w:rPr>
              <w:t>704.0</w:t>
            </w:r>
          </w:p>
        </w:tc>
        <w:tc>
          <w:tcPr>
            <w:tcW w:w="1649" w:type="dxa"/>
            <w:hideMark/>
          </w:tcPr>
          <w:p w14:paraId="30D2D472" w14:textId="77777777" w:rsidR="005D02EF" w:rsidRPr="009E06AA" w:rsidRDefault="005D02EF" w:rsidP="00CD101C">
            <w:pPr>
              <w:pStyle w:val="TableText"/>
              <w:spacing w:before="40" w:after="40"/>
              <w:ind w:left="397"/>
              <w:jc w:val="right"/>
              <w:rPr>
                <w:color w:val="000000"/>
              </w:rPr>
            </w:pPr>
            <w:r w:rsidRPr="009E06AA">
              <w:rPr>
                <w:rFonts w:cs="Calibri"/>
                <w:color w:val="000000"/>
                <w:szCs w:val="16"/>
              </w:rPr>
              <w:t> </w:t>
            </w:r>
          </w:p>
        </w:tc>
      </w:tr>
    </w:tbl>
    <w:p w14:paraId="0BFEB300" w14:textId="77777777" w:rsidR="005D02EF" w:rsidRPr="009E06AA" w:rsidRDefault="005D02EF" w:rsidP="00CD101C">
      <w:pPr>
        <w:pStyle w:val="Heading4"/>
        <w:spacing w:before="360"/>
      </w:pPr>
      <w:r w:rsidRPr="009E06AA">
        <w:t>Migration from Excel to an R-based system</w:t>
      </w:r>
    </w:p>
    <w:p w14:paraId="4525B42F" w14:textId="77777777" w:rsidR="005D02EF" w:rsidRPr="009E06AA" w:rsidRDefault="005D02EF" w:rsidP="005D02EF">
      <w:pPr>
        <w:pStyle w:val="BodyText"/>
      </w:pPr>
      <w:r w:rsidRPr="009E06AA">
        <w:t xml:space="preserve">Emissions estimates in all categories reported in the 2024 submission have been altered by the </w:t>
      </w:r>
      <w:r w:rsidRPr="009E06AA">
        <w:rPr>
          <w:spacing w:val="-2"/>
        </w:rPr>
        <w:t>migration of the model from an Excel-based system combined with Visual Basic for Application</w:t>
      </w:r>
      <w:r w:rsidRPr="009E06AA">
        <w:t>s</w:t>
      </w:r>
      <w:r w:rsidRPr="009E06AA" w:rsidDel="009D7735">
        <w:t xml:space="preserve"> </w:t>
      </w:r>
      <w:r w:rsidRPr="009E06AA">
        <w:t xml:space="preserve">code to an R-based system. </w:t>
      </w:r>
    </w:p>
    <w:p w14:paraId="527E36DB" w14:textId="77777777" w:rsidR="005D02EF" w:rsidRPr="009E06AA" w:rsidRDefault="005D02EF" w:rsidP="005D02EF">
      <w:pPr>
        <w:pStyle w:val="BodyText"/>
      </w:pPr>
      <w:r w:rsidRPr="009E06AA">
        <w:t xml:space="preserve">The goal was to replicate the calculations and outputs in the Excel model in R, while improving the workflow and creating a processing system that is linear and transparent. The two models are well aligned with some minor differences in emissions estimates. The largest difference is due to the R model performing some calculations at a more disaggregated level, such as nitrogen excretion allocated to different hill slopes. The overall impact of the migration was small (0.1 per cent of total agricultural emissions in 2021) and accuracy of the estimates has been improved through progressing the migration. </w:t>
      </w:r>
    </w:p>
    <w:p w14:paraId="4F0B49D9" w14:textId="77777777" w:rsidR="005D02EF" w:rsidRPr="009E06AA" w:rsidRDefault="005D02EF" w:rsidP="005D02EF">
      <w:pPr>
        <w:pStyle w:val="BodyText"/>
      </w:pPr>
      <w:bookmarkStart w:id="3668" w:name="_Hlk157588631"/>
      <w:r w:rsidRPr="009E06AA">
        <w:t>Migrating the model to the R-based system resulted in emissions estimates decreasing by 0.2 per cent (-63.7 kt CO</w:t>
      </w:r>
      <w:r w:rsidRPr="009E06AA">
        <w:rPr>
          <w:vertAlign w:val="subscript"/>
        </w:rPr>
        <w:t>2</w:t>
      </w:r>
      <w:r w:rsidRPr="009E06AA">
        <w:t>-e) in 1990 and decreasing by 0.1 per cent (-37.4 kt CO</w:t>
      </w:r>
      <w:r w:rsidRPr="009E06AA">
        <w:rPr>
          <w:vertAlign w:val="subscript"/>
        </w:rPr>
        <w:t>2</w:t>
      </w:r>
      <w:r w:rsidRPr="009E06AA">
        <w:t>-e) in 2021 (table 10.2.6).</w:t>
      </w:r>
    </w:p>
    <w:p w14:paraId="7F1CDEF2" w14:textId="583378B5" w:rsidR="005D02EF" w:rsidRPr="009E06AA" w:rsidRDefault="005D02EF" w:rsidP="005D02EF">
      <w:pPr>
        <w:pStyle w:val="Table"/>
      </w:pPr>
      <w:bookmarkStart w:id="3669" w:name="_Toc161311312"/>
      <w:bookmarkStart w:id="3670" w:name="_Toc164153980"/>
      <w:r w:rsidRPr="009E06AA">
        <w:t>Table 10.2.6</w:t>
      </w:r>
      <w:r w:rsidRPr="009E06AA">
        <w:tab/>
      </w:r>
      <w:bookmarkEnd w:id="3668"/>
      <w:bookmarkEnd w:id="3669"/>
      <w:r w:rsidRPr="009E06AA">
        <w:t>Emissions impact of migration from Excel to an R-based system</w:t>
      </w:r>
      <w:bookmarkEnd w:id="3670"/>
    </w:p>
    <w:tbl>
      <w:tblPr>
        <w:tblW w:w="8505" w:type="dxa"/>
        <w:tblBorders>
          <w:top w:val="single" w:sz="4" w:space="0" w:color="1B556B" w:themeColor="text2"/>
          <w:bottom w:val="single" w:sz="4" w:space="0" w:color="1B556B" w:themeColor="text2"/>
          <w:insideH w:val="single" w:sz="4" w:space="0" w:color="1B556B" w:themeColor="text2"/>
        </w:tblBorders>
        <w:tblLook w:val="04A0" w:firstRow="1" w:lastRow="0" w:firstColumn="1" w:lastColumn="0" w:noHBand="0" w:noVBand="1"/>
      </w:tblPr>
      <w:tblGrid>
        <w:gridCol w:w="1568"/>
        <w:gridCol w:w="2047"/>
        <w:gridCol w:w="796"/>
        <w:gridCol w:w="796"/>
        <w:gridCol w:w="1649"/>
        <w:gridCol w:w="1649"/>
      </w:tblGrid>
      <w:tr w:rsidR="005D02EF" w:rsidRPr="009E06AA" w14:paraId="631BA344" w14:textId="77777777" w:rsidTr="00B55F24">
        <w:tc>
          <w:tcPr>
            <w:tcW w:w="1568" w:type="dxa"/>
            <w:shd w:val="clear" w:color="auto" w:fill="1B556B"/>
            <w:vAlign w:val="bottom"/>
            <w:hideMark/>
          </w:tcPr>
          <w:p w14:paraId="11A1F74F" w14:textId="77777777" w:rsidR="005D02EF" w:rsidRPr="009E06AA" w:rsidRDefault="005D02EF" w:rsidP="00B55F24">
            <w:pPr>
              <w:pStyle w:val="TableText"/>
              <w:spacing w:before="40" w:after="40"/>
              <w:rPr>
                <w:b/>
                <w:bCs/>
                <w:color w:val="FFFFFF" w:themeColor="background1"/>
              </w:rPr>
            </w:pPr>
            <w:r w:rsidRPr="009E06AA">
              <w:rPr>
                <w:rFonts w:cs="Calibri"/>
                <w:b/>
                <w:bCs/>
                <w:color w:val="FFFFFF" w:themeColor="background1"/>
                <w:szCs w:val="16"/>
              </w:rPr>
              <w:t>Emissions (kt CO</w:t>
            </w:r>
            <w:r w:rsidRPr="009E06AA">
              <w:rPr>
                <w:rFonts w:cs="Calibri"/>
                <w:b/>
                <w:bCs/>
                <w:color w:val="FFFFFF"/>
                <w:szCs w:val="16"/>
                <w:vertAlign w:val="subscript"/>
              </w:rPr>
              <w:t>2</w:t>
            </w:r>
            <w:r w:rsidRPr="009E06AA">
              <w:rPr>
                <w:rFonts w:cs="Calibri"/>
                <w:b/>
                <w:bCs/>
                <w:color w:val="FFFFFF"/>
                <w:szCs w:val="16"/>
              </w:rPr>
              <w:t>-e)</w:t>
            </w:r>
          </w:p>
        </w:tc>
        <w:tc>
          <w:tcPr>
            <w:tcW w:w="2047" w:type="dxa"/>
            <w:shd w:val="clear" w:color="auto" w:fill="1B556B"/>
            <w:vAlign w:val="bottom"/>
            <w:hideMark/>
          </w:tcPr>
          <w:p w14:paraId="0D993BE3" w14:textId="77777777" w:rsidR="005D02EF" w:rsidRPr="009E06AA" w:rsidRDefault="005D02EF" w:rsidP="00B55F24">
            <w:pPr>
              <w:pStyle w:val="TableText"/>
              <w:spacing w:before="40" w:after="40"/>
              <w:rPr>
                <w:b/>
                <w:bCs/>
                <w:color w:val="FFFFFF" w:themeColor="background1"/>
              </w:rPr>
            </w:pPr>
            <w:r w:rsidRPr="009E06AA">
              <w:rPr>
                <w:rFonts w:cs="Calibri"/>
                <w:color w:val="000000"/>
                <w:sz w:val="20"/>
                <w:szCs w:val="20"/>
              </w:rPr>
              <w:t> </w:t>
            </w:r>
          </w:p>
        </w:tc>
        <w:tc>
          <w:tcPr>
            <w:tcW w:w="796" w:type="dxa"/>
            <w:shd w:val="clear" w:color="auto" w:fill="1B556B"/>
            <w:vAlign w:val="bottom"/>
            <w:hideMark/>
          </w:tcPr>
          <w:p w14:paraId="4A9B310E" w14:textId="77777777" w:rsidR="005D02EF" w:rsidRPr="009E06AA" w:rsidRDefault="005D02EF" w:rsidP="00CD101C">
            <w:pPr>
              <w:pStyle w:val="TableText"/>
              <w:spacing w:before="40" w:after="40"/>
              <w:jc w:val="right"/>
              <w:rPr>
                <w:b/>
                <w:bCs/>
                <w:color w:val="FFFFFF" w:themeColor="background1"/>
              </w:rPr>
            </w:pPr>
            <w:r w:rsidRPr="009E06AA">
              <w:rPr>
                <w:rFonts w:cs="Calibri"/>
                <w:b/>
                <w:bCs/>
                <w:color w:val="FFFFFF" w:themeColor="background1"/>
                <w:szCs w:val="16"/>
              </w:rPr>
              <w:t>1990</w:t>
            </w:r>
          </w:p>
        </w:tc>
        <w:tc>
          <w:tcPr>
            <w:tcW w:w="796" w:type="dxa"/>
            <w:shd w:val="clear" w:color="auto" w:fill="1B556B"/>
            <w:vAlign w:val="bottom"/>
            <w:hideMark/>
          </w:tcPr>
          <w:p w14:paraId="3EB5CBC4" w14:textId="77777777" w:rsidR="005D02EF" w:rsidRPr="009E06AA" w:rsidRDefault="005D02EF" w:rsidP="00CD101C">
            <w:pPr>
              <w:pStyle w:val="TableText"/>
              <w:spacing w:before="40" w:after="40"/>
              <w:jc w:val="right"/>
              <w:rPr>
                <w:b/>
                <w:bCs/>
                <w:color w:val="FFFFFF" w:themeColor="background1"/>
              </w:rPr>
            </w:pPr>
            <w:r w:rsidRPr="009E06AA">
              <w:rPr>
                <w:rFonts w:cs="Calibri"/>
                <w:b/>
                <w:bCs/>
                <w:color w:val="FFFFFF" w:themeColor="background1"/>
                <w:szCs w:val="16"/>
              </w:rPr>
              <w:t>2021</w:t>
            </w:r>
          </w:p>
        </w:tc>
        <w:tc>
          <w:tcPr>
            <w:tcW w:w="1649" w:type="dxa"/>
            <w:shd w:val="clear" w:color="auto" w:fill="1B556B"/>
            <w:vAlign w:val="bottom"/>
            <w:hideMark/>
          </w:tcPr>
          <w:p w14:paraId="5F56E456" w14:textId="77777777" w:rsidR="005D02EF" w:rsidRPr="009E06AA" w:rsidRDefault="005D02EF" w:rsidP="00CD101C">
            <w:pPr>
              <w:pStyle w:val="TableText"/>
              <w:spacing w:before="40" w:after="40"/>
              <w:jc w:val="right"/>
              <w:rPr>
                <w:b/>
                <w:bCs/>
                <w:color w:val="FFFFFF" w:themeColor="background1"/>
              </w:rPr>
            </w:pPr>
            <w:r w:rsidRPr="009E06AA">
              <w:rPr>
                <w:rFonts w:cs="Calibri"/>
                <w:b/>
                <w:bCs/>
                <w:color w:val="FFFFFF" w:themeColor="background1"/>
                <w:szCs w:val="16"/>
              </w:rPr>
              <w:t>Change in emission outputs between 1990 and 2021 (kt CO</w:t>
            </w:r>
            <w:r w:rsidRPr="009E06AA">
              <w:rPr>
                <w:rFonts w:cs="Calibri"/>
                <w:b/>
                <w:bCs/>
                <w:color w:val="FFFFFF"/>
                <w:szCs w:val="16"/>
                <w:vertAlign w:val="subscript"/>
              </w:rPr>
              <w:t>2</w:t>
            </w:r>
            <w:r w:rsidRPr="009E06AA">
              <w:rPr>
                <w:rFonts w:cs="Calibri"/>
                <w:b/>
                <w:bCs/>
                <w:color w:val="FFFFFF"/>
                <w:szCs w:val="16"/>
              </w:rPr>
              <w:t>-e)</w:t>
            </w:r>
          </w:p>
        </w:tc>
        <w:tc>
          <w:tcPr>
            <w:tcW w:w="1649" w:type="dxa"/>
            <w:shd w:val="clear" w:color="auto" w:fill="1B556B"/>
            <w:vAlign w:val="bottom"/>
            <w:hideMark/>
          </w:tcPr>
          <w:p w14:paraId="238291AF" w14:textId="77777777" w:rsidR="005D02EF" w:rsidRPr="009E06AA" w:rsidRDefault="005D02EF" w:rsidP="00CD101C">
            <w:pPr>
              <w:pStyle w:val="TableText"/>
              <w:spacing w:before="40" w:after="40"/>
              <w:jc w:val="right"/>
              <w:rPr>
                <w:b/>
                <w:bCs/>
                <w:color w:val="FFFFFF" w:themeColor="background1"/>
              </w:rPr>
            </w:pPr>
            <w:r w:rsidRPr="009E06AA">
              <w:rPr>
                <w:rFonts w:cs="Calibri"/>
                <w:b/>
                <w:bCs/>
                <w:color w:val="FFFFFF" w:themeColor="background1"/>
                <w:szCs w:val="16"/>
              </w:rPr>
              <w:t>Percentage change in emission outputs between 1990 and 2021 (%)</w:t>
            </w:r>
          </w:p>
        </w:tc>
      </w:tr>
      <w:tr w:rsidR="005D02EF" w:rsidRPr="009E06AA" w14:paraId="2D7DB53B" w14:textId="77777777" w:rsidTr="00B55F24">
        <w:tc>
          <w:tcPr>
            <w:tcW w:w="1568" w:type="dxa"/>
            <w:vMerge w:val="restart"/>
            <w:vAlign w:val="center"/>
            <w:hideMark/>
          </w:tcPr>
          <w:p w14:paraId="3653467D" w14:textId="77777777" w:rsidR="005D02EF" w:rsidRPr="009E06AA" w:rsidRDefault="005D02EF" w:rsidP="00B55F24">
            <w:pPr>
              <w:pStyle w:val="TableText"/>
              <w:spacing w:before="40" w:after="40"/>
              <w:rPr>
                <w:color w:val="000000"/>
              </w:rPr>
            </w:pPr>
            <w:r w:rsidRPr="009E06AA">
              <w:rPr>
                <w:rFonts w:cs="Calibri"/>
                <w:color w:val="000000"/>
                <w:szCs w:val="16"/>
              </w:rPr>
              <w:t xml:space="preserve">Total emissions from </w:t>
            </w:r>
            <w:r w:rsidRPr="009E06AA">
              <w:rPr>
                <w:rFonts w:cs="Calibri"/>
                <w:i/>
                <w:iCs/>
                <w:color w:val="000000"/>
                <w:szCs w:val="16"/>
              </w:rPr>
              <w:t>Agriculture</w:t>
            </w:r>
            <w:r w:rsidRPr="009E06AA">
              <w:rPr>
                <w:rFonts w:cs="Calibri"/>
                <w:color w:val="000000"/>
                <w:szCs w:val="16"/>
              </w:rPr>
              <w:t xml:space="preserve"> (kt CO</w:t>
            </w:r>
            <w:r w:rsidRPr="009E06AA">
              <w:rPr>
                <w:rFonts w:cs="Calibri"/>
                <w:color w:val="000000"/>
                <w:szCs w:val="16"/>
                <w:vertAlign w:val="subscript"/>
              </w:rPr>
              <w:t>2</w:t>
            </w:r>
            <w:r w:rsidRPr="009E06AA">
              <w:rPr>
                <w:rFonts w:cs="Calibri"/>
                <w:color w:val="000000"/>
                <w:szCs w:val="16"/>
              </w:rPr>
              <w:t>-e)</w:t>
            </w:r>
          </w:p>
        </w:tc>
        <w:tc>
          <w:tcPr>
            <w:tcW w:w="2047" w:type="dxa"/>
            <w:vAlign w:val="center"/>
            <w:hideMark/>
          </w:tcPr>
          <w:p w14:paraId="33C3FAA2" w14:textId="77777777" w:rsidR="005D02EF" w:rsidRPr="009E06AA" w:rsidRDefault="005D02EF" w:rsidP="00B55F24">
            <w:pPr>
              <w:pStyle w:val="TableText"/>
              <w:spacing w:before="40" w:after="40"/>
              <w:rPr>
                <w:color w:val="000000"/>
              </w:rPr>
            </w:pPr>
            <w:r w:rsidRPr="009E06AA">
              <w:rPr>
                <w:rFonts w:cs="Calibri"/>
                <w:color w:val="000000"/>
                <w:szCs w:val="16"/>
              </w:rPr>
              <w:t>Previous inventory emissions estimates using Excel model </w:t>
            </w:r>
          </w:p>
        </w:tc>
        <w:tc>
          <w:tcPr>
            <w:tcW w:w="796" w:type="dxa"/>
            <w:hideMark/>
          </w:tcPr>
          <w:p w14:paraId="0072EECC" w14:textId="77777777" w:rsidR="005D02EF" w:rsidRPr="009E06AA" w:rsidRDefault="005D02EF" w:rsidP="00CD101C">
            <w:pPr>
              <w:pStyle w:val="TableText"/>
              <w:spacing w:before="40" w:after="40"/>
              <w:jc w:val="right"/>
              <w:rPr>
                <w:color w:val="000000"/>
                <w:highlight w:val="yellow"/>
              </w:rPr>
            </w:pPr>
            <w:r w:rsidRPr="009E06AA">
              <w:rPr>
                <w:rFonts w:cs="Calibri"/>
                <w:color w:val="000000"/>
                <w:szCs w:val="16"/>
              </w:rPr>
              <w:t>36,052.9</w:t>
            </w:r>
          </w:p>
        </w:tc>
        <w:tc>
          <w:tcPr>
            <w:tcW w:w="796" w:type="dxa"/>
            <w:hideMark/>
          </w:tcPr>
          <w:p w14:paraId="543FC8B2" w14:textId="77777777" w:rsidR="005D02EF" w:rsidRPr="009E06AA" w:rsidRDefault="005D02EF" w:rsidP="00CD101C">
            <w:pPr>
              <w:pStyle w:val="TableText"/>
              <w:spacing w:before="40" w:after="40"/>
              <w:jc w:val="right"/>
              <w:rPr>
                <w:color w:val="000000"/>
                <w:highlight w:val="yellow"/>
              </w:rPr>
            </w:pPr>
            <w:r w:rsidRPr="009E06AA">
              <w:rPr>
                <w:rFonts w:cs="Calibri"/>
                <w:color w:val="000000"/>
                <w:szCs w:val="16"/>
              </w:rPr>
              <w:t>40,497.6</w:t>
            </w:r>
          </w:p>
        </w:tc>
        <w:tc>
          <w:tcPr>
            <w:tcW w:w="1649" w:type="dxa"/>
            <w:hideMark/>
          </w:tcPr>
          <w:p w14:paraId="2E034489" w14:textId="77777777" w:rsidR="005D02EF" w:rsidRPr="009E06AA" w:rsidRDefault="005D02EF" w:rsidP="00CD101C">
            <w:pPr>
              <w:pStyle w:val="TableText"/>
              <w:spacing w:before="40" w:after="40"/>
              <w:jc w:val="right"/>
              <w:rPr>
                <w:color w:val="000000"/>
                <w:highlight w:val="yellow"/>
              </w:rPr>
            </w:pPr>
            <w:r w:rsidRPr="009E06AA">
              <w:rPr>
                <w:rFonts w:cs="Calibri"/>
                <w:color w:val="000000"/>
                <w:szCs w:val="16"/>
              </w:rPr>
              <w:t>4,444.7</w:t>
            </w:r>
          </w:p>
        </w:tc>
        <w:tc>
          <w:tcPr>
            <w:tcW w:w="1649" w:type="dxa"/>
            <w:hideMark/>
          </w:tcPr>
          <w:p w14:paraId="4E6901FA" w14:textId="77777777" w:rsidR="005D02EF" w:rsidRPr="009E06AA" w:rsidRDefault="005D02EF" w:rsidP="00CD101C">
            <w:pPr>
              <w:pStyle w:val="TableText"/>
              <w:spacing w:before="40" w:after="40"/>
              <w:jc w:val="right"/>
              <w:rPr>
                <w:color w:val="000000"/>
                <w:highlight w:val="yellow"/>
              </w:rPr>
            </w:pPr>
            <w:r w:rsidRPr="009E06AA">
              <w:rPr>
                <w:rFonts w:cs="Calibri"/>
                <w:color w:val="000000"/>
                <w:szCs w:val="16"/>
              </w:rPr>
              <w:t>12.3</w:t>
            </w:r>
          </w:p>
        </w:tc>
      </w:tr>
      <w:tr w:rsidR="005D02EF" w:rsidRPr="009E06AA" w14:paraId="6085CC80" w14:textId="77777777" w:rsidTr="00B55F24">
        <w:tc>
          <w:tcPr>
            <w:tcW w:w="0" w:type="auto"/>
            <w:vMerge/>
            <w:vAlign w:val="center"/>
            <w:hideMark/>
          </w:tcPr>
          <w:p w14:paraId="4A9E5101" w14:textId="77777777" w:rsidR="005D02EF" w:rsidRPr="009E06AA" w:rsidRDefault="005D02EF" w:rsidP="00B55F24">
            <w:pPr>
              <w:rPr>
                <w:color w:val="000000"/>
                <w:sz w:val="16"/>
              </w:rPr>
            </w:pPr>
          </w:p>
        </w:tc>
        <w:tc>
          <w:tcPr>
            <w:tcW w:w="2047" w:type="dxa"/>
            <w:vAlign w:val="center"/>
            <w:hideMark/>
          </w:tcPr>
          <w:p w14:paraId="36967286" w14:textId="77777777" w:rsidR="005D02EF" w:rsidRPr="009E06AA" w:rsidRDefault="005D02EF" w:rsidP="00B55F24">
            <w:pPr>
              <w:pStyle w:val="TableText"/>
              <w:spacing w:before="40" w:after="40"/>
              <w:rPr>
                <w:color w:val="000000"/>
              </w:rPr>
            </w:pPr>
            <w:r w:rsidRPr="009E06AA">
              <w:rPr>
                <w:rFonts w:cs="Calibri"/>
                <w:color w:val="000000"/>
                <w:szCs w:val="16"/>
              </w:rPr>
              <w:t>Current inventory emissions estimates using R model </w:t>
            </w:r>
          </w:p>
        </w:tc>
        <w:tc>
          <w:tcPr>
            <w:tcW w:w="796" w:type="dxa"/>
            <w:hideMark/>
          </w:tcPr>
          <w:p w14:paraId="44B44C61" w14:textId="77777777" w:rsidR="005D02EF" w:rsidRPr="009E06AA" w:rsidRDefault="005D02EF" w:rsidP="00CD101C">
            <w:pPr>
              <w:pStyle w:val="TableText"/>
              <w:spacing w:before="40" w:after="40"/>
              <w:jc w:val="right"/>
              <w:rPr>
                <w:color w:val="000000"/>
                <w:highlight w:val="yellow"/>
              </w:rPr>
            </w:pPr>
            <w:r w:rsidRPr="009E06AA">
              <w:rPr>
                <w:rFonts w:cs="Calibri"/>
                <w:color w:val="000000"/>
                <w:szCs w:val="16"/>
              </w:rPr>
              <w:t>35,989.2</w:t>
            </w:r>
          </w:p>
        </w:tc>
        <w:tc>
          <w:tcPr>
            <w:tcW w:w="796" w:type="dxa"/>
            <w:hideMark/>
          </w:tcPr>
          <w:p w14:paraId="53E30CF0" w14:textId="77777777" w:rsidR="005D02EF" w:rsidRPr="009E06AA" w:rsidRDefault="005D02EF" w:rsidP="00CD101C">
            <w:pPr>
              <w:pStyle w:val="TableText"/>
              <w:spacing w:before="40" w:after="40"/>
              <w:jc w:val="right"/>
              <w:rPr>
                <w:color w:val="000000"/>
                <w:highlight w:val="yellow"/>
              </w:rPr>
            </w:pPr>
            <w:r w:rsidRPr="009E06AA">
              <w:rPr>
                <w:rFonts w:cs="Calibri"/>
                <w:color w:val="000000"/>
                <w:szCs w:val="16"/>
              </w:rPr>
              <w:t>40,460.2</w:t>
            </w:r>
          </w:p>
        </w:tc>
        <w:tc>
          <w:tcPr>
            <w:tcW w:w="1649" w:type="dxa"/>
            <w:hideMark/>
          </w:tcPr>
          <w:p w14:paraId="48743C03" w14:textId="77777777" w:rsidR="005D02EF" w:rsidRPr="009E06AA" w:rsidRDefault="005D02EF" w:rsidP="00CD101C">
            <w:pPr>
              <w:pStyle w:val="TableText"/>
              <w:spacing w:before="40" w:after="40"/>
              <w:jc w:val="right"/>
              <w:rPr>
                <w:color w:val="000000"/>
                <w:highlight w:val="yellow"/>
              </w:rPr>
            </w:pPr>
            <w:r w:rsidRPr="009E06AA">
              <w:rPr>
                <w:rFonts w:cs="Calibri"/>
                <w:color w:val="000000"/>
                <w:szCs w:val="16"/>
              </w:rPr>
              <w:t> </w:t>
            </w:r>
          </w:p>
        </w:tc>
        <w:tc>
          <w:tcPr>
            <w:tcW w:w="1649" w:type="dxa"/>
            <w:hideMark/>
          </w:tcPr>
          <w:p w14:paraId="2E2F1D5A" w14:textId="77777777" w:rsidR="005D02EF" w:rsidRPr="009E06AA" w:rsidRDefault="005D02EF" w:rsidP="00CD101C">
            <w:pPr>
              <w:pStyle w:val="TableText"/>
              <w:spacing w:before="40" w:after="40"/>
              <w:jc w:val="right"/>
              <w:rPr>
                <w:color w:val="000000"/>
                <w:highlight w:val="yellow"/>
              </w:rPr>
            </w:pPr>
            <w:r w:rsidRPr="009E06AA">
              <w:rPr>
                <w:rFonts w:cs="Calibri"/>
                <w:color w:val="000000"/>
                <w:szCs w:val="16"/>
              </w:rPr>
              <w:t> </w:t>
            </w:r>
          </w:p>
        </w:tc>
      </w:tr>
      <w:tr w:rsidR="005D02EF" w:rsidRPr="009E06AA" w14:paraId="5771D8A8" w14:textId="77777777" w:rsidTr="00B55F24">
        <w:tc>
          <w:tcPr>
            <w:tcW w:w="0" w:type="auto"/>
            <w:vMerge/>
            <w:vAlign w:val="center"/>
            <w:hideMark/>
          </w:tcPr>
          <w:p w14:paraId="08033D4B" w14:textId="77777777" w:rsidR="005D02EF" w:rsidRPr="009E06AA" w:rsidRDefault="005D02EF" w:rsidP="00B55F24">
            <w:pPr>
              <w:rPr>
                <w:color w:val="000000"/>
                <w:sz w:val="16"/>
              </w:rPr>
            </w:pPr>
          </w:p>
        </w:tc>
        <w:tc>
          <w:tcPr>
            <w:tcW w:w="2047" w:type="dxa"/>
            <w:vAlign w:val="center"/>
            <w:hideMark/>
          </w:tcPr>
          <w:p w14:paraId="7F532435" w14:textId="77777777" w:rsidR="005D02EF" w:rsidRPr="009E06AA" w:rsidRDefault="005D02EF" w:rsidP="00B55F24">
            <w:pPr>
              <w:pStyle w:val="TableText"/>
              <w:spacing w:before="40" w:after="40"/>
              <w:rPr>
                <w:color w:val="000000"/>
              </w:rPr>
            </w:pPr>
            <w:r w:rsidRPr="009E06AA">
              <w:rPr>
                <w:rFonts w:cs="Calibri"/>
                <w:color w:val="000000"/>
                <w:szCs w:val="16"/>
              </w:rPr>
              <w:t>Difference in emissions estimates compared with current inventory </w:t>
            </w:r>
          </w:p>
        </w:tc>
        <w:tc>
          <w:tcPr>
            <w:tcW w:w="796" w:type="dxa"/>
            <w:hideMark/>
          </w:tcPr>
          <w:p w14:paraId="33A10DC6" w14:textId="77777777" w:rsidR="005D02EF" w:rsidRPr="009E06AA" w:rsidRDefault="005D02EF" w:rsidP="00CD101C">
            <w:pPr>
              <w:pStyle w:val="TableText"/>
              <w:spacing w:before="40" w:after="40"/>
              <w:jc w:val="right"/>
              <w:rPr>
                <w:color w:val="000000"/>
                <w:highlight w:val="yellow"/>
              </w:rPr>
            </w:pPr>
            <w:r w:rsidRPr="009E06AA">
              <w:rPr>
                <w:rFonts w:cs="Calibri"/>
                <w:color w:val="000000"/>
                <w:szCs w:val="16"/>
              </w:rPr>
              <w:t>-63.7</w:t>
            </w:r>
          </w:p>
        </w:tc>
        <w:tc>
          <w:tcPr>
            <w:tcW w:w="796" w:type="dxa"/>
            <w:hideMark/>
          </w:tcPr>
          <w:p w14:paraId="449A3CF8" w14:textId="77777777" w:rsidR="005D02EF" w:rsidRPr="009E06AA" w:rsidRDefault="005D02EF" w:rsidP="00CD101C">
            <w:pPr>
              <w:pStyle w:val="TableText"/>
              <w:spacing w:before="40" w:after="40"/>
              <w:jc w:val="right"/>
              <w:rPr>
                <w:color w:val="000000"/>
                <w:highlight w:val="yellow"/>
              </w:rPr>
            </w:pPr>
            <w:r w:rsidRPr="009E06AA">
              <w:rPr>
                <w:rFonts w:cs="Calibri"/>
                <w:color w:val="000000"/>
                <w:szCs w:val="16"/>
              </w:rPr>
              <w:t>-37.4</w:t>
            </w:r>
          </w:p>
        </w:tc>
        <w:tc>
          <w:tcPr>
            <w:tcW w:w="1649" w:type="dxa"/>
            <w:hideMark/>
          </w:tcPr>
          <w:p w14:paraId="6C21E057" w14:textId="77777777" w:rsidR="005D02EF" w:rsidRPr="009E06AA" w:rsidRDefault="005D02EF" w:rsidP="00CD101C">
            <w:pPr>
              <w:pStyle w:val="TableText"/>
              <w:spacing w:before="40" w:after="40"/>
              <w:jc w:val="right"/>
              <w:rPr>
                <w:color w:val="000000"/>
                <w:highlight w:val="yellow"/>
              </w:rPr>
            </w:pPr>
            <w:r w:rsidRPr="009E06AA">
              <w:rPr>
                <w:rFonts w:cs="Calibri"/>
                <w:color w:val="000000"/>
                <w:szCs w:val="16"/>
              </w:rPr>
              <w:t> </w:t>
            </w:r>
          </w:p>
        </w:tc>
        <w:tc>
          <w:tcPr>
            <w:tcW w:w="1649" w:type="dxa"/>
            <w:hideMark/>
          </w:tcPr>
          <w:p w14:paraId="6AA8592C" w14:textId="77777777" w:rsidR="005D02EF" w:rsidRPr="009E06AA" w:rsidRDefault="005D02EF" w:rsidP="00CD101C">
            <w:pPr>
              <w:pStyle w:val="TableText"/>
              <w:spacing w:before="40" w:after="40"/>
              <w:ind w:left="397"/>
              <w:jc w:val="right"/>
              <w:rPr>
                <w:color w:val="000000"/>
              </w:rPr>
            </w:pPr>
            <w:r w:rsidRPr="009E06AA">
              <w:rPr>
                <w:rFonts w:cs="Calibri"/>
                <w:color w:val="000000"/>
                <w:szCs w:val="16"/>
              </w:rPr>
              <w:t> </w:t>
            </w:r>
          </w:p>
        </w:tc>
      </w:tr>
    </w:tbl>
    <w:p w14:paraId="45917F8B" w14:textId="77777777" w:rsidR="005D02EF" w:rsidRPr="009E06AA" w:rsidRDefault="005D02EF" w:rsidP="005D02EF">
      <w:pPr>
        <w:pStyle w:val="Heading3"/>
        <w:tabs>
          <w:tab w:val="clear" w:pos="851"/>
          <w:tab w:val="left" w:pos="993"/>
        </w:tabs>
        <w:spacing w:before="440"/>
      </w:pPr>
      <w:bookmarkStart w:id="3671" w:name="_Toc161311140"/>
      <w:bookmarkStart w:id="3672" w:name="land-use-land-use-change-and-forestry"/>
      <w:bookmarkEnd w:id="3655"/>
      <w:r w:rsidRPr="009E06AA">
        <w:t xml:space="preserve">10.2.6 </w:t>
      </w:r>
      <w:r w:rsidRPr="009E06AA">
        <w:tab/>
        <w:t>Land use, land-use change and forestry</w:t>
      </w:r>
      <w:bookmarkEnd w:id="3671"/>
    </w:p>
    <w:p w14:paraId="79D6E184" w14:textId="77777777" w:rsidR="005D02EF" w:rsidRPr="009E06AA" w:rsidRDefault="005D02EF" w:rsidP="005D02EF">
      <w:pPr>
        <w:pStyle w:val="BodyText"/>
        <w:keepNext/>
      </w:pPr>
      <w:r w:rsidRPr="009E06AA">
        <w:t>Improvements made to the LULUCF sector have resulted in a 20.4 per cent (4,125.5 kt CO₂-e) increase in estimated net LULUCF removals in 1990 and a 2.8 per cent (596.1 kt CO₂-e) decrease in estimated net LULUCF removals in 2021 (figure 10.2.6).</w:t>
      </w:r>
    </w:p>
    <w:p w14:paraId="439685FB" w14:textId="798431F1" w:rsidR="005D02EF" w:rsidRPr="009E06AA" w:rsidRDefault="005D02EF" w:rsidP="005D02EF">
      <w:pPr>
        <w:pStyle w:val="Figure"/>
      </w:pPr>
      <w:bookmarkStart w:id="3673" w:name="_Toc161311165"/>
      <w:bookmarkStart w:id="3674" w:name="_Toc164154064"/>
      <w:r w:rsidRPr="009E06AA">
        <w:rPr>
          <w:bCs/>
        </w:rPr>
        <w:t xml:space="preserve">Figure 10.2.6 </w:t>
      </w:r>
      <w:r w:rsidRPr="009E06AA">
        <w:rPr>
          <w:bCs/>
        </w:rPr>
        <w:tab/>
        <w:t>Effect of recalculations on net emissions estimates from New Zealand’s LULUCF sector</w:t>
      </w:r>
      <w:r w:rsidR="00A360EE" w:rsidRPr="009E06AA">
        <w:rPr>
          <w:bCs/>
        </w:rPr>
        <w:t>,</w:t>
      </w:r>
      <w:r w:rsidRPr="009E06AA">
        <w:rPr>
          <w:bCs/>
        </w:rPr>
        <w:t xml:space="preserve"> from 1990 to 2021</w:t>
      </w:r>
      <w:bookmarkEnd w:id="3673"/>
      <w:bookmarkEnd w:id="3674"/>
    </w:p>
    <w:p w14:paraId="009EBFEF" w14:textId="77777777" w:rsidR="005D02EF" w:rsidRPr="009E06AA" w:rsidRDefault="005D02EF" w:rsidP="005D02EF">
      <w:pPr>
        <w:pStyle w:val="BodyText"/>
        <w:jc w:val="center"/>
      </w:pPr>
      <w:r w:rsidRPr="009E06AA">
        <w:rPr>
          <w:noProof/>
        </w:rPr>
        <w:drawing>
          <wp:inline distT="0" distB="0" distL="0" distR="0" wp14:anchorId="6D979732" wp14:editId="6B90529F">
            <wp:extent cx="5299516" cy="3870704"/>
            <wp:effectExtent l="0" t="0" r="0" b="0"/>
            <wp:docPr id="1481354092" name="Picture 1481354092" descr="A graph of a graph showing the growth of the stock marke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481354092" name="Picture 1481354092" descr="A graph of a graph showing the growth of the stock market&#10;&#10;Description automatically generated with medium confidence"/>
                    <pic:cNvPicPr>
                      <a:picLocks noChangeAspect="1" noChangeArrowheads="1"/>
                    </pic:cNvPicPr>
                  </pic:nvPicPr>
                  <pic:blipFill rotWithShape="1">
                    <a:blip r:embed="rId203"/>
                    <a:srcRect b="2615"/>
                    <a:stretch/>
                  </pic:blipFill>
                  <pic:spPr bwMode="auto">
                    <a:xfrm>
                      <a:off x="0" y="0"/>
                      <a:ext cx="5301319" cy="3872021"/>
                    </a:xfrm>
                    <a:prstGeom prst="rect">
                      <a:avLst/>
                    </a:prstGeom>
                    <a:noFill/>
                    <a:ln>
                      <a:noFill/>
                    </a:ln>
                    <a:extLst>
                      <a:ext uri="{53640926-AAD7-44D8-BBD7-CCE9431645EC}">
                        <a14:shadowObscured xmlns:a14="http://schemas.microsoft.com/office/drawing/2010/main"/>
                      </a:ext>
                    </a:extLst>
                  </pic:spPr>
                </pic:pic>
              </a:graphicData>
            </a:graphic>
          </wp:inline>
        </w:drawing>
      </w:r>
    </w:p>
    <w:p w14:paraId="6535EDD1" w14:textId="251AB49B" w:rsidR="005D02EF" w:rsidRPr="009E06AA" w:rsidRDefault="005D02EF" w:rsidP="005D02EF">
      <w:pPr>
        <w:pStyle w:val="Noteundertable"/>
      </w:pPr>
      <w:r w:rsidRPr="009E06AA">
        <w:rPr>
          <w:b/>
          <w:bCs/>
        </w:rPr>
        <w:t>Note:</w:t>
      </w:r>
      <w:r w:rsidRPr="009E06AA">
        <w:t xml:space="preserve"> </w:t>
      </w:r>
      <w:r w:rsidR="008A1D32" w:rsidRPr="009E06AA">
        <w:tab/>
      </w:r>
      <w:r w:rsidRPr="009E06AA">
        <w:t>Net emissions are expressed as a negative value to clarify that the value is a removal and not an emission.</w:t>
      </w:r>
    </w:p>
    <w:p w14:paraId="60F15B65" w14:textId="77777777" w:rsidR="005D02EF" w:rsidRPr="009E06AA" w:rsidRDefault="005D02EF" w:rsidP="005D02EF">
      <w:pPr>
        <w:pStyle w:val="Heading3"/>
        <w:tabs>
          <w:tab w:val="clear" w:pos="851"/>
          <w:tab w:val="left" w:pos="993"/>
        </w:tabs>
      </w:pPr>
      <w:bookmarkStart w:id="3675" w:name="_Toc161311141"/>
      <w:bookmarkStart w:id="3676" w:name="waste"/>
      <w:bookmarkEnd w:id="3672"/>
      <w:r w:rsidRPr="009E06AA">
        <w:t xml:space="preserve">10.2.7 </w:t>
      </w:r>
      <w:r w:rsidRPr="009E06AA">
        <w:tab/>
        <w:t>Waste</w:t>
      </w:r>
      <w:bookmarkEnd w:id="3675"/>
    </w:p>
    <w:p w14:paraId="264C0949" w14:textId="77777777" w:rsidR="005D02EF" w:rsidRPr="009E06AA" w:rsidRDefault="005D02EF" w:rsidP="005D02EF">
      <w:pPr>
        <w:pStyle w:val="BodyText"/>
        <w:keepNext/>
      </w:pPr>
      <w:r w:rsidRPr="009E06AA">
        <w:t>Improvements and recalculations made to estimates in the Waste sector have resulted in a 0.4 per cent (16.0 kt CO₂-e) decrease in emissions estimates in 1990 and a 0.2 per cent (6.5 kt CO₂-e) decrease in emissions estimates in 2021 (figure 10.2.7).</w:t>
      </w:r>
    </w:p>
    <w:p w14:paraId="4E0CF5F5" w14:textId="5F7CD9E5" w:rsidR="005D02EF" w:rsidRPr="009E06AA" w:rsidRDefault="005D02EF" w:rsidP="005D02EF">
      <w:pPr>
        <w:pStyle w:val="Figure"/>
      </w:pPr>
      <w:bookmarkStart w:id="3677" w:name="_Toc161311166"/>
      <w:bookmarkStart w:id="3678" w:name="_Toc164154065"/>
      <w:r w:rsidRPr="009E06AA">
        <w:rPr>
          <w:bCs/>
        </w:rPr>
        <w:t xml:space="preserve">Figure 10.2.7 </w:t>
      </w:r>
      <w:r w:rsidRPr="009E06AA">
        <w:rPr>
          <w:bCs/>
        </w:rPr>
        <w:tab/>
        <w:t>Effect of recalculations on emissions estimates from New Zealand’s Waste sector</w:t>
      </w:r>
      <w:r w:rsidR="00A360EE" w:rsidRPr="009E06AA">
        <w:rPr>
          <w:bCs/>
        </w:rPr>
        <w:t>,</w:t>
      </w:r>
      <w:r w:rsidRPr="009E06AA">
        <w:rPr>
          <w:bCs/>
        </w:rPr>
        <w:t xml:space="preserve"> from 1990 to 2021</w:t>
      </w:r>
      <w:bookmarkEnd w:id="3677"/>
      <w:bookmarkEnd w:id="3678"/>
    </w:p>
    <w:p w14:paraId="624499EF" w14:textId="77777777" w:rsidR="005D02EF" w:rsidRPr="009E06AA" w:rsidRDefault="005D02EF" w:rsidP="005D02EF">
      <w:pPr>
        <w:pStyle w:val="BodyText"/>
        <w:jc w:val="center"/>
      </w:pPr>
      <w:r w:rsidRPr="009E06AA">
        <w:rPr>
          <w:noProof/>
        </w:rPr>
        <w:drawing>
          <wp:inline distT="0" distB="0" distL="0" distR="0" wp14:anchorId="1ABE888A" wp14:editId="1A88C378">
            <wp:extent cx="5208740" cy="3796078"/>
            <wp:effectExtent l="0" t="0" r="0" b="0"/>
            <wp:docPr id="240730276" name="Picture 240730276" descr="A line graph with numbers and a line&#10;&#10;Description automatically generated"/>
            <wp:cNvGraphicFramePr/>
            <a:graphic xmlns:a="http://schemas.openxmlformats.org/drawingml/2006/main">
              <a:graphicData uri="http://schemas.openxmlformats.org/drawingml/2006/picture">
                <pic:pic xmlns:pic="http://schemas.openxmlformats.org/drawingml/2006/picture">
                  <pic:nvPicPr>
                    <pic:cNvPr id="240730276" name="Picture 240730276" descr="A line graph with numbers and a line&#10;&#10;Description automatically generated"/>
                    <pic:cNvPicPr>
                      <a:picLocks noChangeAspect="1" noChangeArrowheads="1"/>
                    </pic:cNvPicPr>
                  </pic:nvPicPr>
                  <pic:blipFill rotWithShape="1">
                    <a:blip r:embed="rId204"/>
                    <a:srcRect b="2828"/>
                    <a:stretch/>
                  </pic:blipFill>
                  <pic:spPr bwMode="auto">
                    <a:xfrm>
                      <a:off x="0" y="0"/>
                      <a:ext cx="5211116" cy="3797810"/>
                    </a:xfrm>
                    <a:prstGeom prst="rect">
                      <a:avLst/>
                    </a:prstGeom>
                    <a:noFill/>
                    <a:ln>
                      <a:noFill/>
                    </a:ln>
                    <a:extLst>
                      <a:ext uri="{53640926-AAD7-44D8-BBD7-CCE9431645EC}">
                        <a14:shadowObscured xmlns:a14="http://schemas.microsoft.com/office/drawing/2010/main"/>
                      </a:ext>
                    </a:extLst>
                  </pic:spPr>
                </pic:pic>
              </a:graphicData>
            </a:graphic>
          </wp:inline>
        </w:drawing>
      </w:r>
    </w:p>
    <w:p w14:paraId="7CD24F2C" w14:textId="77777777" w:rsidR="005D02EF" w:rsidRPr="009E06AA" w:rsidRDefault="005D02EF" w:rsidP="005D02EF">
      <w:pPr>
        <w:pStyle w:val="BodyText"/>
      </w:pPr>
      <w:r w:rsidRPr="009E06AA">
        <w:t>Minor changes to the Waste sector have been made that affect emissions as follows.</w:t>
      </w:r>
    </w:p>
    <w:p w14:paraId="2B3433A9" w14:textId="77777777" w:rsidR="005D02EF" w:rsidRPr="009E06AA" w:rsidRDefault="005D02EF" w:rsidP="005D02EF">
      <w:pPr>
        <w:pStyle w:val="Bullet"/>
      </w:pPr>
      <w:r w:rsidRPr="009E06AA">
        <w:t xml:space="preserve">The Levin–Hokio landfill within the </w:t>
      </w:r>
      <w:r w:rsidRPr="009E06AA">
        <w:rPr>
          <w:i/>
          <w:iCs/>
        </w:rPr>
        <w:t>Managed waste disposal sites</w:t>
      </w:r>
      <w:r w:rsidRPr="009E06AA">
        <w:t xml:space="preserve"> category stopped receiving waste in 2022, and, as a result, the landfill gas capture rate was revised over the duration of gas capture beginning in 2021 from 68 per cent to 52 per cent, which is the value for closed sites. </w:t>
      </w:r>
    </w:p>
    <w:p w14:paraId="0CAEAACC" w14:textId="77777777" w:rsidR="005D02EF" w:rsidRPr="009E06AA" w:rsidRDefault="005D02EF" w:rsidP="005D02EF">
      <w:pPr>
        <w:pStyle w:val="Bullet"/>
      </w:pPr>
      <w:r w:rsidRPr="009E06AA">
        <w:t xml:space="preserve">Activity data for </w:t>
      </w:r>
      <w:r w:rsidRPr="009E06AA">
        <w:rPr>
          <w:i/>
          <w:iCs/>
        </w:rPr>
        <w:t>Farm fills</w:t>
      </w:r>
      <w:r w:rsidRPr="009E06AA">
        <w:t xml:space="preserve"> and </w:t>
      </w:r>
      <w:r w:rsidRPr="009E06AA">
        <w:rPr>
          <w:i/>
          <w:iCs/>
        </w:rPr>
        <w:t>Open burning</w:t>
      </w:r>
      <w:r w:rsidRPr="009E06AA">
        <w:t xml:space="preserve"> </w:t>
      </w:r>
      <w:r w:rsidRPr="009E06AA">
        <w:rPr>
          <w:i/>
          <w:iCs/>
        </w:rPr>
        <w:t>of waste</w:t>
      </w:r>
      <w:r w:rsidRPr="009E06AA">
        <w:t xml:space="preserve"> were revised to account for the </w:t>
      </w:r>
      <w:r w:rsidRPr="009E06AA">
        <w:rPr>
          <w:spacing w:val="-2"/>
        </w:rPr>
        <w:t>updated number and type of farms reported in the latest agricultural production statistics.</w:t>
      </w:r>
      <w:r w:rsidRPr="009E06AA">
        <w:rPr>
          <w:rStyle w:val="FootnoteReference"/>
          <w:spacing w:val="-2"/>
        </w:rPr>
        <w:footnoteReference w:id="71"/>
      </w:r>
      <w:r w:rsidRPr="009E06AA">
        <w:t> </w:t>
      </w:r>
    </w:p>
    <w:p w14:paraId="23DB03C4" w14:textId="77777777" w:rsidR="005D02EF" w:rsidRPr="009E06AA" w:rsidRDefault="005D02EF" w:rsidP="005D02EF">
      <w:pPr>
        <w:pStyle w:val="Heading3"/>
        <w:tabs>
          <w:tab w:val="clear" w:pos="851"/>
          <w:tab w:val="left" w:pos="993"/>
        </w:tabs>
      </w:pPr>
      <w:bookmarkStart w:id="3679" w:name="_Toc161311142"/>
      <w:bookmarkEnd w:id="3676"/>
      <w:r w:rsidRPr="009E06AA">
        <w:t xml:space="preserve">10.2.8 </w:t>
      </w:r>
      <w:r w:rsidRPr="009E06AA">
        <w:tab/>
        <w:t>Other sector (Tokelau)</w:t>
      </w:r>
      <w:bookmarkEnd w:id="3679"/>
    </w:p>
    <w:p w14:paraId="242C3DC3" w14:textId="77777777" w:rsidR="005D02EF" w:rsidRPr="009E06AA" w:rsidRDefault="005D02EF" w:rsidP="005D02EF">
      <w:pPr>
        <w:pStyle w:val="BodyText"/>
        <w:keepNext/>
      </w:pPr>
      <w:r w:rsidRPr="009E06AA">
        <w:t>Improvements made to estimates in Tokelau have resulted in no change in emissions in 1990 and a 0.1 per cent (0.002 kt CO₂-e) decrease in emissions in 2021 (figure 10.2.8).</w:t>
      </w:r>
    </w:p>
    <w:p w14:paraId="504A2739" w14:textId="53BFFD08" w:rsidR="005D02EF" w:rsidRPr="009E06AA" w:rsidRDefault="005D02EF" w:rsidP="005D02EF">
      <w:pPr>
        <w:pStyle w:val="Figure"/>
      </w:pPr>
      <w:bookmarkStart w:id="3680" w:name="_Toc161311167"/>
      <w:bookmarkStart w:id="3681" w:name="_Toc164154066"/>
      <w:r w:rsidRPr="009E06AA">
        <w:rPr>
          <w:bCs/>
        </w:rPr>
        <w:t xml:space="preserve">Figure 10.2.8 </w:t>
      </w:r>
      <w:r w:rsidRPr="009E06AA">
        <w:rPr>
          <w:bCs/>
        </w:rPr>
        <w:tab/>
        <w:t>Effect of recalculations on emissions estimates from the Tokelau sector</w:t>
      </w:r>
      <w:r w:rsidR="00A360EE" w:rsidRPr="009E06AA">
        <w:rPr>
          <w:bCs/>
        </w:rPr>
        <w:t>,</w:t>
      </w:r>
      <w:r w:rsidRPr="009E06AA">
        <w:rPr>
          <w:bCs/>
        </w:rPr>
        <w:t xml:space="preserve"> from 1990 to 2021</w:t>
      </w:r>
      <w:bookmarkEnd w:id="3680"/>
      <w:bookmarkEnd w:id="3681"/>
    </w:p>
    <w:p w14:paraId="47CF9730" w14:textId="77777777" w:rsidR="005D02EF" w:rsidRPr="009E06AA" w:rsidRDefault="005D02EF" w:rsidP="005D02EF">
      <w:pPr>
        <w:pStyle w:val="BodyText"/>
      </w:pPr>
      <w:r w:rsidRPr="009E06AA">
        <w:rPr>
          <w:noProof/>
        </w:rPr>
        <w:drawing>
          <wp:inline distT="0" distB="0" distL="0" distR="0" wp14:anchorId="0BBF81F4" wp14:editId="4CE91953">
            <wp:extent cx="5397500" cy="3957278"/>
            <wp:effectExtent l="0" t="0" r="0" b="5715"/>
            <wp:docPr id="519106587" name="Picture 519106587" descr="A line graph with numbers and lines&#10;&#10;Description automatically generated"/>
            <wp:cNvGraphicFramePr/>
            <a:graphic xmlns:a="http://schemas.openxmlformats.org/drawingml/2006/main">
              <a:graphicData uri="http://schemas.openxmlformats.org/drawingml/2006/picture">
                <pic:pic xmlns:pic="http://schemas.openxmlformats.org/drawingml/2006/picture">
                  <pic:nvPicPr>
                    <pic:cNvPr id="519106587" name="Picture 519106587" descr="A line graph with numbers and lines&#10;&#10;Description automatically generated"/>
                    <pic:cNvPicPr>
                      <a:picLocks noChangeAspect="1" noChangeArrowheads="1"/>
                    </pic:cNvPicPr>
                  </pic:nvPicPr>
                  <pic:blipFill rotWithShape="1">
                    <a:blip r:embed="rId205"/>
                    <a:srcRect b="2244"/>
                    <a:stretch/>
                  </pic:blipFill>
                  <pic:spPr bwMode="auto">
                    <a:xfrm>
                      <a:off x="0" y="0"/>
                      <a:ext cx="5397500" cy="3957278"/>
                    </a:xfrm>
                    <a:prstGeom prst="rect">
                      <a:avLst/>
                    </a:prstGeom>
                    <a:noFill/>
                    <a:ln>
                      <a:noFill/>
                    </a:ln>
                    <a:extLst>
                      <a:ext uri="{53640926-AAD7-44D8-BBD7-CCE9431645EC}">
                        <a14:shadowObscured xmlns:a14="http://schemas.microsoft.com/office/drawing/2010/main"/>
                      </a:ext>
                    </a:extLst>
                  </pic:spPr>
                </pic:pic>
              </a:graphicData>
            </a:graphic>
          </wp:inline>
        </w:drawing>
      </w:r>
    </w:p>
    <w:p w14:paraId="01E7F258" w14:textId="77777777" w:rsidR="005D02EF" w:rsidRPr="009E06AA" w:rsidRDefault="005D02EF" w:rsidP="005D02EF">
      <w:pPr>
        <w:pStyle w:val="Noteundertable"/>
      </w:pPr>
      <w:r w:rsidRPr="009E06AA">
        <w:rPr>
          <w:b/>
          <w:bCs/>
        </w:rPr>
        <w:t>Note</w:t>
      </w:r>
      <w:r w:rsidRPr="009E06AA">
        <w:t xml:space="preserve">: </w:t>
      </w:r>
      <w:r w:rsidRPr="009E06AA">
        <w:tab/>
        <w:t>Due to the small size of the recalculation, the 2024 submission line is obscured by the 2023 submission line.</w:t>
      </w:r>
    </w:p>
    <w:p w14:paraId="3A48CEA5" w14:textId="77777777" w:rsidR="005D02EF" w:rsidRPr="009E06AA" w:rsidRDefault="005D02EF" w:rsidP="005D02EF">
      <w:pPr>
        <w:pStyle w:val="BodyText"/>
      </w:pPr>
    </w:p>
    <w:bookmarkEnd w:id="3634"/>
    <w:p w14:paraId="162C5E06" w14:textId="77777777" w:rsidR="005D02EF" w:rsidRPr="009E06AA" w:rsidRDefault="005D02EF" w:rsidP="005D02EF">
      <w:r w:rsidRPr="009E06AA">
        <w:br w:type="page"/>
      </w:r>
    </w:p>
    <w:p w14:paraId="3F1FBAA3" w14:textId="77777777" w:rsidR="005D02EF" w:rsidRPr="009E06AA" w:rsidRDefault="005D02EF" w:rsidP="005D02EF">
      <w:pPr>
        <w:pStyle w:val="Heading2"/>
        <w:sectPr w:rsidR="005D02EF" w:rsidRPr="009E06AA" w:rsidSect="00F66BF9">
          <w:footerReference w:type="even" r:id="rId206"/>
          <w:footerReference w:type="default" r:id="rId207"/>
          <w:pgSz w:w="11907" w:h="16840" w:code="9"/>
          <w:pgMar w:top="1418" w:right="1701" w:bottom="1418" w:left="1701" w:header="567" w:footer="567" w:gutter="0"/>
          <w:cols w:space="720"/>
        </w:sectPr>
      </w:pPr>
      <w:bookmarkStart w:id="3682" w:name="Xf6ca2e0fd108f2ef62a0a0f8cf6f9c7032daddf"/>
      <w:bookmarkEnd w:id="3629"/>
    </w:p>
    <w:p w14:paraId="3F47CA5E" w14:textId="77777777" w:rsidR="005D02EF" w:rsidRPr="009E06AA" w:rsidRDefault="005D02EF" w:rsidP="005D02EF">
      <w:pPr>
        <w:pStyle w:val="Heading2"/>
        <w:spacing w:before="0"/>
      </w:pPr>
      <w:bookmarkStart w:id="3683" w:name="_Toc161311143"/>
      <w:bookmarkStart w:id="3684" w:name="_Toc164154242"/>
      <w:r w:rsidRPr="009E06AA">
        <w:t>10.3</w:t>
      </w:r>
      <w:r w:rsidRPr="009E06AA">
        <w:tab/>
        <w:t>Areas of improvement and/or capacity building in response to the review process</w:t>
      </w:r>
      <w:bookmarkEnd w:id="3683"/>
      <w:bookmarkEnd w:id="3684"/>
    </w:p>
    <w:p w14:paraId="402B591B" w14:textId="77777777" w:rsidR="005D02EF" w:rsidRPr="009E06AA" w:rsidRDefault="005D02EF" w:rsidP="005D02EF">
      <w:pPr>
        <w:pStyle w:val="BodyText"/>
      </w:pPr>
      <w:r w:rsidRPr="009E06AA">
        <w:t>New Zealand has made improvements to the inventory to take into account the findings from the reviews of previous submissions.</w:t>
      </w:r>
    </w:p>
    <w:p w14:paraId="5A063C4B" w14:textId="77777777" w:rsidR="005D02EF" w:rsidRPr="009E06AA" w:rsidRDefault="005D02EF" w:rsidP="005D02EF">
      <w:pPr>
        <w:pStyle w:val="BodyText"/>
      </w:pPr>
      <w:r w:rsidRPr="009E06AA">
        <w:t>Tables 3 and 5 of the report on the individual review of New Zealand’s greenhouse gas inventory submitted in 2022 (UNFCCC, 2023) contain an assessment of progress in addressing recommendations provided by the expert review teams (ERTs) during the reviews of earlier submissions. These recommendations are detailed in table 10.3.1 and table 10.3.2, along with New Zealand’s latest responses to those recommendations.</w:t>
      </w:r>
    </w:p>
    <w:p w14:paraId="3C440122" w14:textId="77777777" w:rsidR="005D02EF" w:rsidRPr="009E06AA" w:rsidRDefault="005D02EF" w:rsidP="005D02EF">
      <w:pPr>
        <w:pStyle w:val="Table"/>
      </w:pPr>
      <w:bookmarkStart w:id="3685" w:name="_Toc161311313"/>
      <w:bookmarkStart w:id="3686" w:name="_Toc164153981"/>
      <w:r w:rsidRPr="009E06AA">
        <w:t xml:space="preserve">Table 10.3.1 </w:t>
      </w:r>
      <w:r w:rsidRPr="009E06AA">
        <w:tab/>
        <w:t>New Zealand’s response to the status of the recommendations included in the previous review report for New Zealand</w:t>
      </w:r>
      <w:bookmarkEnd w:id="3685"/>
      <w:bookmarkEnd w:id="3686"/>
    </w:p>
    <w:tbl>
      <w:tblPr>
        <w:tblW w:w="13948" w:type="dxa"/>
        <w:tblBorders>
          <w:top w:val="single" w:sz="4" w:space="0" w:color="1B556B"/>
          <w:bottom w:val="single" w:sz="4" w:space="0" w:color="1B556B"/>
          <w:insideH w:val="single" w:sz="4" w:space="0" w:color="1B556B"/>
        </w:tblBorders>
        <w:tblLayout w:type="fixed"/>
        <w:tblCellMar>
          <w:left w:w="57" w:type="dxa"/>
          <w:right w:w="57" w:type="dxa"/>
        </w:tblCellMar>
        <w:tblLook w:val="0420" w:firstRow="1" w:lastRow="0" w:firstColumn="0" w:lastColumn="0" w:noHBand="0" w:noVBand="1"/>
      </w:tblPr>
      <w:tblGrid>
        <w:gridCol w:w="709"/>
        <w:gridCol w:w="2126"/>
        <w:gridCol w:w="3686"/>
        <w:gridCol w:w="4806"/>
        <w:gridCol w:w="2621"/>
      </w:tblGrid>
      <w:tr w:rsidR="005D02EF" w:rsidRPr="009E06AA" w14:paraId="04E51356" w14:textId="77777777" w:rsidTr="00271345">
        <w:trPr>
          <w:tblHeader/>
        </w:trPr>
        <w:tc>
          <w:tcPr>
            <w:tcW w:w="709" w:type="dxa"/>
            <w:shd w:val="clear" w:color="auto" w:fill="1B556B"/>
            <w:tcMar>
              <w:top w:w="0" w:type="dxa"/>
              <w:left w:w="85" w:type="dxa"/>
              <w:bottom w:w="0" w:type="dxa"/>
              <w:right w:w="57" w:type="dxa"/>
            </w:tcMar>
          </w:tcPr>
          <w:p w14:paraId="17EC40CF" w14:textId="77777777" w:rsidR="005D02EF" w:rsidRPr="009E06AA" w:rsidRDefault="005D02EF" w:rsidP="00B55F24">
            <w:pPr>
              <w:pStyle w:val="TableText"/>
              <w:spacing w:before="30" w:after="30"/>
              <w:rPr>
                <w:b/>
                <w:bCs/>
                <w:color w:val="FFFFFF" w:themeColor="background1"/>
              </w:rPr>
            </w:pPr>
            <w:r w:rsidRPr="009E06AA">
              <w:rPr>
                <w:rFonts w:eastAsia="Calibri"/>
                <w:b/>
                <w:bCs/>
                <w:color w:val="FFFFFF" w:themeColor="background1"/>
              </w:rPr>
              <w:t>ID#</w:t>
            </w:r>
          </w:p>
        </w:tc>
        <w:tc>
          <w:tcPr>
            <w:tcW w:w="2126" w:type="dxa"/>
            <w:shd w:val="clear" w:color="auto" w:fill="1B556B"/>
            <w:tcMar>
              <w:top w:w="0" w:type="dxa"/>
              <w:left w:w="85" w:type="dxa"/>
              <w:bottom w:w="0" w:type="dxa"/>
              <w:right w:w="57" w:type="dxa"/>
            </w:tcMar>
          </w:tcPr>
          <w:p w14:paraId="5D7EF54D" w14:textId="77777777" w:rsidR="005D02EF" w:rsidRPr="009E06AA" w:rsidRDefault="005D02EF" w:rsidP="00B55F24">
            <w:pPr>
              <w:pStyle w:val="TableText"/>
              <w:spacing w:before="30" w:after="30"/>
              <w:rPr>
                <w:b/>
                <w:bCs/>
                <w:color w:val="FFFFFF" w:themeColor="background1"/>
              </w:rPr>
            </w:pPr>
            <w:r w:rsidRPr="009E06AA">
              <w:rPr>
                <w:rFonts w:eastAsia="Calibri"/>
                <w:b/>
                <w:bCs/>
                <w:color w:val="FFFFFF" w:themeColor="background1"/>
              </w:rPr>
              <w:t>Issue/problem classification¹</w:t>
            </w:r>
          </w:p>
        </w:tc>
        <w:tc>
          <w:tcPr>
            <w:tcW w:w="3686" w:type="dxa"/>
            <w:shd w:val="clear" w:color="auto" w:fill="1B556B"/>
            <w:tcMar>
              <w:top w:w="0" w:type="dxa"/>
              <w:left w:w="85" w:type="dxa"/>
              <w:bottom w:w="0" w:type="dxa"/>
              <w:right w:w="57" w:type="dxa"/>
            </w:tcMar>
          </w:tcPr>
          <w:p w14:paraId="6A957C56" w14:textId="77777777" w:rsidR="005D02EF" w:rsidRPr="009E06AA" w:rsidRDefault="005D02EF" w:rsidP="00B55F24">
            <w:pPr>
              <w:pStyle w:val="TableText"/>
              <w:spacing w:before="30" w:after="30"/>
              <w:rPr>
                <w:b/>
                <w:bCs/>
                <w:color w:val="FFFFFF" w:themeColor="background1"/>
              </w:rPr>
            </w:pPr>
            <w:r w:rsidRPr="009E06AA">
              <w:rPr>
                <w:rFonts w:eastAsia="Calibri"/>
                <w:b/>
                <w:bCs/>
                <w:color w:val="FFFFFF" w:themeColor="background1"/>
              </w:rPr>
              <w:t>Recommendation from previous review report</w:t>
            </w:r>
          </w:p>
        </w:tc>
        <w:tc>
          <w:tcPr>
            <w:tcW w:w="4806" w:type="dxa"/>
            <w:shd w:val="clear" w:color="auto" w:fill="1B556B"/>
            <w:tcMar>
              <w:top w:w="0" w:type="dxa"/>
              <w:left w:w="85" w:type="dxa"/>
              <w:bottom w:w="0" w:type="dxa"/>
              <w:right w:w="57" w:type="dxa"/>
            </w:tcMar>
          </w:tcPr>
          <w:p w14:paraId="03CFE8A1" w14:textId="77777777" w:rsidR="005D02EF" w:rsidRPr="009E06AA" w:rsidRDefault="005D02EF" w:rsidP="00B55F24">
            <w:pPr>
              <w:pStyle w:val="TableText"/>
              <w:spacing w:before="30" w:after="30"/>
              <w:rPr>
                <w:b/>
                <w:bCs/>
                <w:color w:val="FFFFFF" w:themeColor="background1"/>
              </w:rPr>
            </w:pPr>
            <w:r w:rsidRPr="009E06AA">
              <w:rPr>
                <w:rFonts w:eastAsia="Calibri"/>
                <w:b/>
                <w:bCs/>
                <w:color w:val="FFFFFF" w:themeColor="background1"/>
              </w:rPr>
              <w:t>ERT assessment and rationale</w:t>
            </w:r>
          </w:p>
        </w:tc>
        <w:tc>
          <w:tcPr>
            <w:tcW w:w="2621" w:type="dxa"/>
            <w:shd w:val="clear" w:color="auto" w:fill="1B556B"/>
            <w:tcMar>
              <w:top w:w="0" w:type="dxa"/>
              <w:left w:w="85" w:type="dxa"/>
              <w:bottom w:w="0" w:type="dxa"/>
              <w:right w:w="57" w:type="dxa"/>
            </w:tcMar>
          </w:tcPr>
          <w:p w14:paraId="5A1C25DA" w14:textId="77777777" w:rsidR="005D02EF" w:rsidRPr="009E06AA" w:rsidRDefault="005D02EF" w:rsidP="00B55F24">
            <w:pPr>
              <w:pStyle w:val="TableText"/>
              <w:spacing w:before="30" w:after="30"/>
              <w:rPr>
                <w:b/>
                <w:bCs/>
                <w:color w:val="FFFFFF" w:themeColor="background1"/>
              </w:rPr>
            </w:pPr>
            <w:r w:rsidRPr="009E06AA">
              <w:rPr>
                <w:rFonts w:eastAsia="Calibri"/>
                <w:b/>
                <w:bCs/>
                <w:color w:val="FFFFFF" w:themeColor="background1"/>
              </w:rPr>
              <w:t>New Zealand response</w:t>
            </w:r>
          </w:p>
        </w:tc>
      </w:tr>
      <w:tr w:rsidR="005D02EF" w:rsidRPr="009E06AA" w14:paraId="2974DB98" w14:textId="77777777" w:rsidTr="00271345">
        <w:tc>
          <w:tcPr>
            <w:tcW w:w="709" w:type="dxa"/>
            <w:shd w:val="clear" w:color="auto" w:fill="FFFFFF" w:themeFill="background1"/>
            <w:tcMar>
              <w:top w:w="0" w:type="dxa"/>
              <w:left w:w="85" w:type="dxa"/>
              <w:bottom w:w="0" w:type="dxa"/>
              <w:right w:w="57" w:type="dxa"/>
            </w:tcMar>
          </w:tcPr>
          <w:p w14:paraId="63237660" w14:textId="77777777" w:rsidR="005D02EF" w:rsidRPr="009E06AA" w:rsidRDefault="005D02EF" w:rsidP="00B55F24">
            <w:pPr>
              <w:pStyle w:val="TableText"/>
              <w:spacing w:before="30" w:after="30"/>
            </w:pPr>
            <w:r w:rsidRPr="009E06AA">
              <w:rPr>
                <w:rFonts w:eastAsia="Calibri"/>
                <w:color w:val="000000"/>
              </w:rPr>
              <w:t>General</w:t>
            </w:r>
          </w:p>
        </w:tc>
        <w:tc>
          <w:tcPr>
            <w:tcW w:w="2126" w:type="dxa"/>
            <w:shd w:val="clear" w:color="auto" w:fill="FFFFFF" w:themeFill="background1"/>
            <w:tcMar>
              <w:top w:w="0" w:type="dxa"/>
              <w:left w:w="85" w:type="dxa"/>
              <w:bottom w:w="0" w:type="dxa"/>
              <w:right w:w="57" w:type="dxa"/>
            </w:tcMar>
          </w:tcPr>
          <w:p w14:paraId="62811A30" w14:textId="77777777" w:rsidR="005D02EF" w:rsidRPr="009E06AA" w:rsidRDefault="005D02EF" w:rsidP="00B55F24">
            <w:pPr>
              <w:pStyle w:val="TableText"/>
              <w:spacing w:before="30" w:after="30"/>
            </w:pPr>
          </w:p>
        </w:tc>
        <w:tc>
          <w:tcPr>
            <w:tcW w:w="3686" w:type="dxa"/>
            <w:shd w:val="clear" w:color="auto" w:fill="FFFFFF" w:themeFill="background1"/>
            <w:tcMar>
              <w:top w:w="0" w:type="dxa"/>
              <w:left w:w="85" w:type="dxa"/>
              <w:bottom w:w="0" w:type="dxa"/>
              <w:right w:w="57" w:type="dxa"/>
            </w:tcMar>
          </w:tcPr>
          <w:p w14:paraId="0DD69110" w14:textId="77777777" w:rsidR="005D02EF" w:rsidRPr="009E06AA" w:rsidRDefault="005D02EF" w:rsidP="00B55F24">
            <w:pPr>
              <w:pStyle w:val="TableText"/>
              <w:spacing w:before="30" w:after="30"/>
            </w:pPr>
          </w:p>
        </w:tc>
        <w:tc>
          <w:tcPr>
            <w:tcW w:w="4806" w:type="dxa"/>
            <w:shd w:val="clear" w:color="auto" w:fill="FFFFFF" w:themeFill="background1"/>
            <w:tcMar>
              <w:top w:w="0" w:type="dxa"/>
              <w:left w:w="85" w:type="dxa"/>
              <w:bottom w:w="0" w:type="dxa"/>
              <w:right w:w="57" w:type="dxa"/>
            </w:tcMar>
          </w:tcPr>
          <w:p w14:paraId="7B87BC52" w14:textId="77777777" w:rsidR="005D02EF" w:rsidRPr="009E06AA" w:rsidRDefault="005D02EF" w:rsidP="00B55F24">
            <w:pPr>
              <w:pStyle w:val="TableText"/>
              <w:spacing w:before="30" w:after="30"/>
            </w:pPr>
            <w:r w:rsidRPr="009E06AA">
              <w:rPr>
                <w:rFonts w:eastAsia="Calibri"/>
                <w:color w:val="000000"/>
              </w:rPr>
              <w:t>All recommendations from previous review reports have been resolved.</w:t>
            </w:r>
          </w:p>
        </w:tc>
        <w:tc>
          <w:tcPr>
            <w:tcW w:w="2621" w:type="dxa"/>
            <w:shd w:val="clear" w:color="auto" w:fill="FFFFFF" w:themeFill="background1"/>
            <w:tcMar>
              <w:top w:w="0" w:type="dxa"/>
              <w:left w:w="85" w:type="dxa"/>
              <w:bottom w:w="0" w:type="dxa"/>
              <w:right w:w="57" w:type="dxa"/>
            </w:tcMar>
          </w:tcPr>
          <w:p w14:paraId="215087C2" w14:textId="77777777" w:rsidR="005D02EF" w:rsidRPr="009E06AA" w:rsidRDefault="005D02EF" w:rsidP="00B55F24">
            <w:pPr>
              <w:pStyle w:val="TableText"/>
              <w:spacing w:before="30" w:after="30"/>
            </w:pPr>
            <w:r w:rsidRPr="009E06AA">
              <w:t>NA</w:t>
            </w:r>
          </w:p>
        </w:tc>
      </w:tr>
      <w:tr w:rsidR="005D02EF" w:rsidRPr="009E06AA" w14:paraId="12FFAC55" w14:textId="77777777" w:rsidTr="00271345">
        <w:tc>
          <w:tcPr>
            <w:tcW w:w="709" w:type="dxa"/>
            <w:shd w:val="clear" w:color="auto" w:fill="FFFFFF" w:themeFill="background1"/>
            <w:tcMar>
              <w:top w:w="0" w:type="dxa"/>
              <w:left w:w="85" w:type="dxa"/>
              <w:bottom w:w="0" w:type="dxa"/>
              <w:right w:w="57" w:type="dxa"/>
            </w:tcMar>
          </w:tcPr>
          <w:p w14:paraId="03191FF4" w14:textId="77777777" w:rsidR="005D02EF" w:rsidRPr="009E06AA" w:rsidRDefault="005D02EF" w:rsidP="00B55F24">
            <w:pPr>
              <w:pStyle w:val="TableText"/>
              <w:spacing w:before="30" w:after="30"/>
            </w:pPr>
            <w:r w:rsidRPr="009E06AA">
              <w:rPr>
                <w:rFonts w:eastAsia="Calibri"/>
                <w:color w:val="000000"/>
              </w:rPr>
              <w:t>Energy</w:t>
            </w:r>
          </w:p>
        </w:tc>
        <w:tc>
          <w:tcPr>
            <w:tcW w:w="2126" w:type="dxa"/>
            <w:shd w:val="clear" w:color="auto" w:fill="FFFFFF" w:themeFill="background1"/>
            <w:tcMar>
              <w:top w:w="0" w:type="dxa"/>
              <w:left w:w="85" w:type="dxa"/>
              <w:bottom w:w="0" w:type="dxa"/>
              <w:right w:w="57" w:type="dxa"/>
            </w:tcMar>
          </w:tcPr>
          <w:p w14:paraId="75EB7CEC" w14:textId="77777777" w:rsidR="005D02EF" w:rsidRPr="009E06AA" w:rsidRDefault="005D02EF" w:rsidP="00B55F24">
            <w:pPr>
              <w:pStyle w:val="TableText"/>
              <w:spacing w:before="30" w:after="30"/>
            </w:pPr>
          </w:p>
        </w:tc>
        <w:tc>
          <w:tcPr>
            <w:tcW w:w="3686" w:type="dxa"/>
            <w:shd w:val="clear" w:color="auto" w:fill="FFFFFF" w:themeFill="background1"/>
            <w:tcMar>
              <w:top w:w="0" w:type="dxa"/>
              <w:left w:w="85" w:type="dxa"/>
              <w:bottom w:w="0" w:type="dxa"/>
              <w:right w:w="57" w:type="dxa"/>
            </w:tcMar>
          </w:tcPr>
          <w:p w14:paraId="66246D29" w14:textId="77777777" w:rsidR="005D02EF" w:rsidRPr="009E06AA" w:rsidRDefault="005D02EF" w:rsidP="00B55F24">
            <w:pPr>
              <w:pStyle w:val="TableText"/>
              <w:spacing w:before="30" w:after="30"/>
            </w:pPr>
          </w:p>
        </w:tc>
        <w:tc>
          <w:tcPr>
            <w:tcW w:w="4806" w:type="dxa"/>
            <w:shd w:val="clear" w:color="auto" w:fill="FFFFFF" w:themeFill="background1"/>
            <w:tcMar>
              <w:top w:w="0" w:type="dxa"/>
              <w:left w:w="85" w:type="dxa"/>
              <w:bottom w:w="0" w:type="dxa"/>
              <w:right w:w="57" w:type="dxa"/>
            </w:tcMar>
          </w:tcPr>
          <w:p w14:paraId="1E7C9F61" w14:textId="77777777" w:rsidR="005D02EF" w:rsidRPr="009E06AA" w:rsidRDefault="005D02EF" w:rsidP="00B55F24">
            <w:pPr>
              <w:pStyle w:val="TableText"/>
              <w:spacing w:before="30" w:after="30"/>
            </w:pPr>
          </w:p>
        </w:tc>
        <w:tc>
          <w:tcPr>
            <w:tcW w:w="2621" w:type="dxa"/>
            <w:shd w:val="clear" w:color="auto" w:fill="FFFFFF" w:themeFill="background1"/>
            <w:tcMar>
              <w:top w:w="0" w:type="dxa"/>
              <w:left w:w="85" w:type="dxa"/>
              <w:bottom w:w="0" w:type="dxa"/>
              <w:right w:w="57" w:type="dxa"/>
            </w:tcMar>
          </w:tcPr>
          <w:p w14:paraId="2DFB0BC7" w14:textId="77777777" w:rsidR="005D02EF" w:rsidRPr="009E06AA" w:rsidRDefault="005D02EF" w:rsidP="00B55F24">
            <w:pPr>
              <w:pStyle w:val="TableText"/>
              <w:spacing w:before="30" w:after="30"/>
            </w:pPr>
          </w:p>
        </w:tc>
      </w:tr>
      <w:tr w:rsidR="005D02EF" w:rsidRPr="009E06AA" w14:paraId="7718B13D" w14:textId="77777777" w:rsidTr="00271345">
        <w:tc>
          <w:tcPr>
            <w:tcW w:w="709" w:type="dxa"/>
            <w:shd w:val="clear" w:color="auto" w:fill="FFFFFF" w:themeFill="background1"/>
            <w:tcMar>
              <w:top w:w="0" w:type="dxa"/>
              <w:left w:w="85" w:type="dxa"/>
              <w:bottom w:w="0" w:type="dxa"/>
              <w:right w:w="57" w:type="dxa"/>
            </w:tcMar>
          </w:tcPr>
          <w:p w14:paraId="758306F4" w14:textId="77777777" w:rsidR="005D02EF" w:rsidRPr="009E06AA" w:rsidRDefault="005D02EF" w:rsidP="00B55F24">
            <w:pPr>
              <w:pStyle w:val="TableText"/>
              <w:spacing w:before="30" w:after="30"/>
            </w:pPr>
            <w:r w:rsidRPr="009E06AA">
              <w:rPr>
                <w:rFonts w:eastAsia="Calibri"/>
                <w:color w:val="000000"/>
              </w:rPr>
              <w:t>E.1</w:t>
            </w:r>
          </w:p>
        </w:tc>
        <w:tc>
          <w:tcPr>
            <w:tcW w:w="2126" w:type="dxa"/>
            <w:shd w:val="clear" w:color="auto" w:fill="FFFFFF" w:themeFill="background1"/>
            <w:tcMar>
              <w:top w:w="0" w:type="dxa"/>
              <w:left w:w="85" w:type="dxa"/>
              <w:bottom w:w="0" w:type="dxa"/>
              <w:right w:w="57" w:type="dxa"/>
            </w:tcMar>
          </w:tcPr>
          <w:p w14:paraId="3EAEA2D2" w14:textId="77777777" w:rsidR="005D02EF" w:rsidRPr="009E06AA" w:rsidRDefault="005D02EF" w:rsidP="00B55F24">
            <w:pPr>
              <w:pStyle w:val="TableText"/>
              <w:spacing w:before="30" w:after="30"/>
            </w:pPr>
            <w:r w:rsidRPr="009E06AA">
              <w:rPr>
                <w:rFonts w:eastAsia="Calibri"/>
                <w:color w:val="000000"/>
              </w:rPr>
              <w:t>1.A.1.a Public electricity and heat production – liquid fuels – CO₂, CH₄ and N₂O (E.4, 2021) (E.23, 2019) Transparency</w:t>
            </w:r>
          </w:p>
        </w:tc>
        <w:tc>
          <w:tcPr>
            <w:tcW w:w="3686" w:type="dxa"/>
            <w:shd w:val="clear" w:color="auto" w:fill="FFFFFF" w:themeFill="background1"/>
            <w:tcMar>
              <w:top w:w="0" w:type="dxa"/>
              <w:left w:w="85" w:type="dxa"/>
              <w:bottom w:w="0" w:type="dxa"/>
              <w:right w:w="57" w:type="dxa"/>
            </w:tcMar>
          </w:tcPr>
          <w:p w14:paraId="4CA92695" w14:textId="77777777" w:rsidR="005D02EF" w:rsidRPr="009E06AA" w:rsidRDefault="005D02EF" w:rsidP="00B55F24">
            <w:pPr>
              <w:pStyle w:val="TableText"/>
              <w:spacing w:before="30" w:after="30"/>
            </w:pPr>
            <w:r w:rsidRPr="009E06AA">
              <w:rPr>
                <w:rFonts w:eastAsia="Calibri"/>
                <w:color w:val="000000"/>
              </w:rPr>
              <w:t>Include information on trends in liquid fuel consumption, especially by explaining the values for 2001 (reported as “NO”) and 1992 and 2008 (where consumption and emissions were significantly higher than in other years since 1990).</w:t>
            </w:r>
          </w:p>
        </w:tc>
        <w:tc>
          <w:tcPr>
            <w:tcW w:w="4806" w:type="dxa"/>
            <w:shd w:val="clear" w:color="auto" w:fill="FFFFFF" w:themeFill="background1"/>
            <w:tcMar>
              <w:top w:w="0" w:type="dxa"/>
              <w:left w:w="85" w:type="dxa"/>
              <w:bottom w:w="0" w:type="dxa"/>
              <w:right w:w="57" w:type="dxa"/>
            </w:tcMar>
          </w:tcPr>
          <w:p w14:paraId="103A093C" w14:textId="77777777" w:rsidR="005D02EF" w:rsidRPr="009E06AA" w:rsidRDefault="005D02EF" w:rsidP="00B55F24">
            <w:pPr>
              <w:pStyle w:val="TableText"/>
              <w:spacing w:before="30" w:after="30"/>
            </w:pPr>
            <w:r w:rsidRPr="009E06AA">
              <w:rPr>
                <w:rFonts w:eastAsia="Calibri"/>
                <w:color w:val="000000"/>
              </w:rPr>
              <w:t>Resolved. The Party explained in its NIR (p.82) that emissions from public electricity and heat production fluctuate considerably from year to year and that particularly dry meteorological conditions result in an increase in fossil fuel electricity production to compensate for the shortfall in hydroelectric generation. In addition, as the storage capacity of hydro reservoirs is limited to around 10 per cent of New Zealand’s production, fossil fuel electricity generation is used to balance supply and demand. Information provided in the NIR (table 10.2.2) indicates that AD were checked with the data system manager at the Ministry of Business, Innovation and Employment and found to be correct.</w:t>
            </w:r>
          </w:p>
        </w:tc>
        <w:tc>
          <w:tcPr>
            <w:tcW w:w="2621" w:type="dxa"/>
            <w:shd w:val="clear" w:color="auto" w:fill="FFFFFF" w:themeFill="background1"/>
            <w:tcMar>
              <w:top w:w="0" w:type="dxa"/>
              <w:left w:w="85" w:type="dxa"/>
              <w:bottom w:w="0" w:type="dxa"/>
              <w:right w:w="57" w:type="dxa"/>
            </w:tcMar>
          </w:tcPr>
          <w:p w14:paraId="1D80F3E1" w14:textId="77777777" w:rsidR="005D02EF" w:rsidRPr="009E06AA" w:rsidRDefault="005D02EF" w:rsidP="00B55F24">
            <w:pPr>
              <w:pStyle w:val="TableText"/>
              <w:spacing w:before="30" w:after="30"/>
            </w:pPr>
            <w:r w:rsidRPr="009E06AA">
              <w:t>NA</w:t>
            </w:r>
          </w:p>
        </w:tc>
      </w:tr>
      <w:tr w:rsidR="005D02EF" w:rsidRPr="009E06AA" w14:paraId="0F2F3522" w14:textId="77777777" w:rsidTr="00271345">
        <w:tc>
          <w:tcPr>
            <w:tcW w:w="709" w:type="dxa"/>
            <w:shd w:val="clear" w:color="auto" w:fill="FFFFFF" w:themeFill="background1"/>
            <w:tcMar>
              <w:top w:w="0" w:type="dxa"/>
              <w:left w:w="85" w:type="dxa"/>
              <w:bottom w:w="0" w:type="dxa"/>
              <w:right w:w="57" w:type="dxa"/>
            </w:tcMar>
          </w:tcPr>
          <w:p w14:paraId="09545B56" w14:textId="77777777" w:rsidR="005D02EF" w:rsidRPr="009E06AA" w:rsidRDefault="005D02EF" w:rsidP="00B55F24">
            <w:pPr>
              <w:pStyle w:val="TableText"/>
              <w:spacing w:before="30" w:after="30"/>
            </w:pPr>
            <w:r w:rsidRPr="009E06AA">
              <w:rPr>
                <w:rFonts w:eastAsia="Calibri"/>
                <w:color w:val="000000"/>
              </w:rPr>
              <w:t>E.2</w:t>
            </w:r>
          </w:p>
        </w:tc>
        <w:tc>
          <w:tcPr>
            <w:tcW w:w="2126" w:type="dxa"/>
            <w:shd w:val="clear" w:color="auto" w:fill="FFFFFF" w:themeFill="background1"/>
            <w:tcMar>
              <w:top w:w="0" w:type="dxa"/>
              <w:left w:w="85" w:type="dxa"/>
              <w:bottom w:w="0" w:type="dxa"/>
              <w:right w:w="57" w:type="dxa"/>
            </w:tcMar>
          </w:tcPr>
          <w:p w14:paraId="0440B48F" w14:textId="77777777" w:rsidR="005D02EF" w:rsidRPr="009E06AA" w:rsidRDefault="005D02EF" w:rsidP="00B55F24">
            <w:pPr>
              <w:pStyle w:val="TableText"/>
              <w:spacing w:before="30" w:after="30"/>
            </w:pPr>
            <w:r w:rsidRPr="009E06AA">
              <w:rPr>
                <w:rFonts w:eastAsia="Calibri"/>
                <w:color w:val="000000"/>
              </w:rPr>
              <w:t>1.A.1.a Public electricity and heat production – gaseous fuels – CO₂ (E.18, 2021) Convention reporting adherence</w:t>
            </w:r>
          </w:p>
        </w:tc>
        <w:tc>
          <w:tcPr>
            <w:tcW w:w="3686" w:type="dxa"/>
            <w:shd w:val="clear" w:color="auto" w:fill="FFFFFF" w:themeFill="background1"/>
            <w:tcMar>
              <w:top w:w="0" w:type="dxa"/>
              <w:left w:w="85" w:type="dxa"/>
              <w:bottom w:w="0" w:type="dxa"/>
              <w:right w:w="57" w:type="dxa"/>
            </w:tcMar>
          </w:tcPr>
          <w:p w14:paraId="415B7BE9" w14:textId="77777777" w:rsidR="005D02EF" w:rsidRPr="009E06AA" w:rsidRDefault="005D02EF" w:rsidP="00B55F24">
            <w:pPr>
              <w:pStyle w:val="TableText"/>
              <w:spacing w:before="30" w:after="30"/>
            </w:pPr>
            <w:r w:rsidRPr="009E06AA">
              <w:rPr>
                <w:rFonts w:eastAsia="Calibri"/>
                <w:color w:val="000000"/>
              </w:rPr>
              <w:t>Check the value of the CO₂ IEF for gaseous fuels in 2005 and either justify the inconsistency in the NIR or correct the value for the emission estimates in 2005.</w:t>
            </w:r>
          </w:p>
        </w:tc>
        <w:tc>
          <w:tcPr>
            <w:tcW w:w="4806" w:type="dxa"/>
            <w:shd w:val="clear" w:color="auto" w:fill="FFFFFF" w:themeFill="background1"/>
            <w:tcMar>
              <w:top w:w="0" w:type="dxa"/>
              <w:left w:w="85" w:type="dxa"/>
              <w:bottom w:w="0" w:type="dxa"/>
              <w:right w:w="57" w:type="dxa"/>
            </w:tcMar>
          </w:tcPr>
          <w:p w14:paraId="6DAD68B1" w14:textId="77777777" w:rsidR="005D02EF" w:rsidRPr="009E06AA" w:rsidRDefault="005D02EF" w:rsidP="00B55F24">
            <w:pPr>
              <w:pStyle w:val="TableText"/>
              <w:spacing w:before="30" w:after="30"/>
            </w:pPr>
            <w:r w:rsidRPr="009E06AA">
              <w:rPr>
                <w:rFonts w:eastAsia="Calibri"/>
                <w:color w:val="000000"/>
              </w:rPr>
              <w:t>Resolved. The Party reported in its NIR (p.84) that AD for natural gas consumption for electricity generation have been updated. This resulted in revised CO₂ IEFs for the entire time series. The ERT has not identified any issues with the CO₂ IEF reported for 2005.</w:t>
            </w:r>
          </w:p>
        </w:tc>
        <w:tc>
          <w:tcPr>
            <w:tcW w:w="2621" w:type="dxa"/>
            <w:shd w:val="clear" w:color="auto" w:fill="FFFFFF" w:themeFill="background1"/>
            <w:tcMar>
              <w:top w:w="0" w:type="dxa"/>
              <w:left w:w="85" w:type="dxa"/>
              <w:bottom w:w="0" w:type="dxa"/>
              <w:right w:w="57" w:type="dxa"/>
            </w:tcMar>
          </w:tcPr>
          <w:p w14:paraId="30964058" w14:textId="77777777" w:rsidR="005D02EF" w:rsidRPr="009E06AA" w:rsidRDefault="005D02EF" w:rsidP="00B55F24">
            <w:pPr>
              <w:pStyle w:val="TableText"/>
              <w:spacing w:before="30" w:after="30"/>
            </w:pPr>
            <w:r w:rsidRPr="009E06AA">
              <w:t>NA</w:t>
            </w:r>
          </w:p>
        </w:tc>
      </w:tr>
      <w:tr w:rsidR="005D02EF" w:rsidRPr="009E06AA" w14:paraId="2D9542FB" w14:textId="77777777" w:rsidTr="00271345">
        <w:tc>
          <w:tcPr>
            <w:tcW w:w="709" w:type="dxa"/>
            <w:shd w:val="clear" w:color="auto" w:fill="FFFFFF" w:themeFill="background1"/>
            <w:tcMar>
              <w:top w:w="0" w:type="dxa"/>
              <w:left w:w="85" w:type="dxa"/>
              <w:bottom w:w="0" w:type="dxa"/>
              <w:right w:w="57" w:type="dxa"/>
            </w:tcMar>
          </w:tcPr>
          <w:p w14:paraId="2115FF91" w14:textId="77777777" w:rsidR="005D02EF" w:rsidRPr="009E06AA" w:rsidRDefault="005D02EF" w:rsidP="00B55F24">
            <w:pPr>
              <w:pStyle w:val="TableText"/>
              <w:spacing w:before="30" w:after="30"/>
            </w:pPr>
            <w:r w:rsidRPr="009E06AA">
              <w:rPr>
                <w:rFonts w:eastAsia="Calibri"/>
                <w:color w:val="000000"/>
              </w:rPr>
              <w:t>E.3</w:t>
            </w:r>
          </w:p>
        </w:tc>
        <w:tc>
          <w:tcPr>
            <w:tcW w:w="2126" w:type="dxa"/>
            <w:shd w:val="clear" w:color="auto" w:fill="FFFFFF" w:themeFill="background1"/>
            <w:tcMar>
              <w:top w:w="0" w:type="dxa"/>
              <w:left w:w="85" w:type="dxa"/>
              <w:bottom w:w="0" w:type="dxa"/>
              <w:right w:w="57" w:type="dxa"/>
            </w:tcMar>
          </w:tcPr>
          <w:p w14:paraId="63FA2994" w14:textId="77777777" w:rsidR="005D02EF" w:rsidRPr="009E06AA" w:rsidRDefault="005D02EF" w:rsidP="00B55F24">
            <w:pPr>
              <w:pStyle w:val="TableText"/>
              <w:spacing w:before="30" w:after="30"/>
            </w:pPr>
            <w:r w:rsidRPr="009E06AA">
              <w:rPr>
                <w:rFonts w:eastAsia="Calibri"/>
                <w:color w:val="000000"/>
              </w:rPr>
              <w:t>1.A.2.e Food processing, beverages and tobacco – gaseous fuels – CO₂ (E.19, 2021) Transparency</w:t>
            </w:r>
          </w:p>
        </w:tc>
        <w:tc>
          <w:tcPr>
            <w:tcW w:w="3686" w:type="dxa"/>
            <w:shd w:val="clear" w:color="auto" w:fill="FFFFFF" w:themeFill="background1"/>
            <w:tcMar>
              <w:top w:w="0" w:type="dxa"/>
              <w:left w:w="85" w:type="dxa"/>
              <w:bottom w:w="0" w:type="dxa"/>
              <w:right w:w="57" w:type="dxa"/>
            </w:tcMar>
          </w:tcPr>
          <w:p w14:paraId="0F19ECAF" w14:textId="77777777" w:rsidR="005D02EF" w:rsidRPr="009E06AA" w:rsidRDefault="005D02EF" w:rsidP="00B55F24">
            <w:pPr>
              <w:pStyle w:val="TableText"/>
              <w:spacing w:before="30" w:after="30"/>
            </w:pPr>
            <w:r w:rsidRPr="009E06AA">
              <w:rPr>
                <w:rFonts w:eastAsia="Calibri"/>
                <w:color w:val="000000"/>
              </w:rPr>
              <w:t>Explain in the NIR the reasons why the AD for gaseous fuels were revised for 2013 and why the CO₂ IEF was lower between 1996 and 2012 after the recalculation performed for the 2021 submission. Report in the NIR why the CO₂ IEF was lower for 2003.</w:t>
            </w:r>
          </w:p>
        </w:tc>
        <w:tc>
          <w:tcPr>
            <w:tcW w:w="4806" w:type="dxa"/>
            <w:shd w:val="clear" w:color="auto" w:fill="FFFFFF" w:themeFill="background1"/>
            <w:tcMar>
              <w:top w:w="0" w:type="dxa"/>
              <w:left w:w="85" w:type="dxa"/>
              <w:bottom w:w="0" w:type="dxa"/>
              <w:right w:w="57" w:type="dxa"/>
            </w:tcMar>
          </w:tcPr>
          <w:p w14:paraId="7099A7D9" w14:textId="77777777" w:rsidR="005D02EF" w:rsidRPr="009E06AA" w:rsidRDefault="005D02EF" w:rsidP="00B55F24">
            <w:pPr>
              <w:pStyle w:val="TableText"/>
              <w:spacing w:before="30" w:after="30"/>
            </w:pPr>
            <w:r w:rsidRPr="009E06AA">
              <w:rPr>
                <w:rFonts w:eastAsia="Calibri"/>
                <w:color w:val="000000"/>
              </w:rPr>
              <w:t>Resolved. The Party recalculated the CO₂ EF for gaseous fuels and reported revised emission estimates in CRF table 1.A(a)s2. According to the NIR (p.77), the GHG reporting data system was streamlined and simplified and a number of minor inconsistencies and errors were corrected. During the review, the Party confirmed that the CO₂ EF was one of the inconsistencies addressed.</w:t>
            </w:r>
          </w:p>
        </w:tc>
        <w:tc>
          <w:tcPr>
            <w:tcW w:w="2621" w:type="dxa"/>
            <w:shd w:val="clear" w:color="auto" w:fill="FFFFFF" w:themeFill="background1"/>
            <w:tcMar>
              <w:top w:w="0" w:type="dxa"/>
              <w:left w:w="85" w:type="dxa"/>
              <w:bottom w:w="0" w:type="dxa"/>
              <w:right w:w="57" w:type="dxa"/>
            </w:tcMar>
          </w:tcPr>
          <w:p w14:paraId="51C92B77" w14:textId="77777777" w:rsidR="005D02EF" w:rsidRPr="009E06AA" w:rsidRDefault="005D02EF" w:rsidP="00B55F24">
            <w:pPr>
              <w:pStyle w:val="TableText"/>
              <w:spacing w:before="30" w:after="30"/>
            </w:pPr>
            <w:r w:rsidRPr="009E06AA">
              <w:t>NA</w:t>
            </w:r>
          </w:p>
        </w:tc>
      </w:tr>
      <w:tr w:rsidR="005D02EF" w:rsidRPr="009E06AA" w14:paraId="2E313125" w14:textId="77777777" w:rsidTr="00271345">
        <w:tc>
          <w:tcPr>
            <w:tcW w:w="709" w:type="dxa"/>
            <w:shd w:val="clear" w:color="auto" w:fill="FFFFFF" w:themeFill="background1"/>
            <w:tcMar>
              <w:top w:w="0" w:type="dxa"/>
              <w:left w:w="85" w:type="dxa"/>
              <w:bottom w:w="0" w:type="dxa"/>
              <w:right w:w="57" w:type="dxa"/>
            </w:tcMar>
          </w:tcPr>
          <w:p w14:paraId="52376D5A" w14:textId="77777777" w:rsidR="005D02EF" w:rsidRPr="009E06AA" w:rsidRDefault="005D02EF" w:rsidP="00B55F24">
            <w:pPr>
              <w:pStyle w:val="TableText"/>
              <w:spacing w:before="30" w:after="30"/>
            </w:pPr>
            <w:r w:rsidRPr="009E06AA">
              <w:rPr>
                <w:rFonts w:eastAsia="Calibri"/>
                <w:color w:val="000000"/>
              </w:rPr>
              <w:t>E.4</w:t>
            </w:r>
          </w:p>
        </w:tc>
        <w:tc>
          <w:tcPr>
            <w:tcW w:w="2126" w:type="dxa"/>
            <w:shd w:val="clear" w:color="auto" w:fill="FFFFFF" w:themeFill="background1"/>
            <w:tcMar>
              <w:top w:w="0" w:type="dxa"/>
              <w:left w:w="85" w:type="dxa"/>
              <w:bottom w:w="0" w:type="dxa"/>
              <w:right w:w="57" w:type="dxa"/>
            </w:tcMar>
          </w:tcPr>
          <w:p w14:paraId="336AEB31" w14:textId="77777777" w:rsidR="005D02EF" w:rsidRPr="009E06AA" w:rsidRDefault="005D02EF" w:rsidP="00B55F24">
            <w:pPr>
              <w:pStyle w:val="TableText"/>
              <w:spacing w:before="30" w:after="30"/>
            </w:pPr>
            <w:r w:rsidRPr="009E06AA">
              <w:rPr>
                <w:rFonts w:eastAsia="Calibri"/>
                <w:color w:val="000000"/>
              </w:rPr>
              <w:t>1.A.3.b Road transportation – liquid and gaseous fuels – CO₂, CH₄ and N₂O (E.8, 2021) (E.29, 2019) Comparability</w:t>
            </w:r>
          </w:p>
        </w:tc>
        <w:tc>
          <w:tcPr>
            <w:tcW w:w="3686" w:type="dxa"/>
            <w:shd w:val="clear" w:color="auto" w:fill="FFFFFF" w:themeFill="background1"/>
            <w:tcMar>
              <w:top w:w="0" w:type="dxa"/>
              <w:left w:w="85" w:type="dxa"/>
              <w:bottom w:w="0" w:type="dxa"/>
              <w:right w:w="57" w:type="dxa"/>
            </w:tcMar>
          </w:tcPr>
          <w:p w14:paraId="27CD73F2" w14:textId="77777777" w:rsidR="005D02EF" w:rsidRPr="009E06AA" w:rsidRDefault="005D02EF" w:rsidP="00B55F24">
            <w:pPr>
              <w:pStyle w:val="TableText"/>
              <w:spacing w:before="30" w:after="30"/>
            </w:pPr>
            <w:r w:rsidRPr="009E06AA">
              <w:rPr>
                <w:rFonts w:eastAsia="Calibri"/>
                <w:color w:val="000000"/>
              </w:rPr>
              <w:t>Report as “NO”, instead of “IE”, the AD and emissions for biomass for light- and heavy- duty trucks and buses, and diesel, liquified petroleum gas and biomass for motorcycles for before 2000.</w:t>
            </w:r>
          </w:p>
        </w:tc>
        <w:tc>
          <w:tcPr>
            <w:tcW w:w="4806" w:type="dxa"/>
            <w:shd w:val="clear" w:color="auto" w:fill="FFFFFF" w:themeFill="background1"/>
            <w:tcMar>
              <w:top w:w="0" w:type="dxa"/>
              <w:left w:w="85" w:type="dxa"/>
              <w:bottom w:w="0" w:type="dxa"/>
              <w:right w:w="57" w:type="dxa"/>
            </w:tcMar>
          </w:tcPr>
          <w:p w14:paraId="0FE5C6C9" w14:textId="77777777" w:rsidR="005D02EF" w:rsidRPr="009E06AA" w:rsidRDefault="005D02EF" w:rsidP="00B55F24">
            <w:pPr>
              <w:pStyle w:val="TableText"/>
              <w:spacing w:before="30" w:after="30"/>
            </w:pPr>
            <w:r w:rsidRPr="009E06AA">
              <w:rPr>
                <w:rFonts w:eastAsia="Calibri"/>
                <w:color w:val="000000"/>
              </w:rPr>
              <w:t>Not resolved. The Party has not yet changed the notation keys reported in CRF table 1.A(a)s3. During the review, the Party clarified that the notation keys will be changed for the next annual submission.</w:t>
            </w:r>
          </w:p>
        </w:tc>
        <w:tc>
          <w:tcPr>
            <w:tcW w:w="2621" w:type="dxa"/>
            <w:shd w:val="clear" w:color="auto" w:fill="FFFFFF" w:themeFill="background1"/>
            <w:tcMar>
              <w:top w:w="0" w:type="dxa"/>
              <w:left w:w="85" w:type="dxa"/>
              <w:bottom w:w="0" w:type="dxa"/>
              <w:right w:w="57" w:type="dxa"/>
            </w:tcMar>
          </w:tcPr>
          <w:p w14:paraId="7D07C583" w14:textId="77777777" w:rsidR="005D02EF" w:rsidRPr="009E06AA" w:rsidRDefault="005D02EF" w:rsidP="00B55F24">
            <w:pPr>
              <w:pStyle w:val="TableText"/>
              <w:spacing w:before="30" w:after="30"/>
            </w:pPr>
            <w:r w:rsidRPr="009E06AA">
              <w:rPr>
                <w:b/>
              </w:rPr>
              <w:t>Resolved</w:t>
            </w:r>
            <w:r w:rsidRPr="009E06AA">
              <w:rPr>
                <w:bCs/>
              </w:rPr>
              <w:t xml:space="preserve">. </w:t>
            </w:r>
            <w:r w:rsidRPr="009E06AA">
              <w:t xml:space="preserve">The notation keys have been updated. </w:t>
            </w:r>
          </w:p>
        </w:tc>
      </w:tr>
      <w:tr w:rsidR="005D02EF" w:rsidRPr="009E06AA" w14:paraId="03FAAD95" w14:textId="77777777" w:rsidTr="00271345">
        <w:tc>
          <w:tcPr>
            <w:tcW w:w="709" w:type="dxa"/>
            <w:shd w:val="clear" w:color="auto" w:fill="FFFFFF" w:themeFill="background1"/>
            <w:tcMar>
              <w:top w:w="0" w:type="dxa"/>
              <w:left w:w="85" w:type="dxa"/>
              <w:bottom w:w="0" w:type="dxa"/>
              <w:right w:w="57" w:type="dxa"/>
            </w:tcMar>
          </w:tcPr>
          <w:p w14:paraId="30372A57" w14:textId="77777777" w:rsidR="005D02EF" w:rsidRPr="009E06AA" w:rsidRDefault="005D02EF" w:rsidP="00B55F24">
            <w:pPr>
              <w:pStyle w:val="TableText"/>
              <w:spacing w:before="30" w:after="30"/>
            </w:pPr>
            <w:r w:rsidRPr="009E06AA">
              <w:rPr>
                <w:rFonts w:eastAsia="Calibri"/>
                <w:color w:val="000000"/>
              </w:rPr>
              <w:t>E.5</w:t>
            </w:r>
          </w:p>
        </w:tc>
        <w:tc>
          <w:tcPr>
            <w:tcW w:w="2126" w:type="dxa"/>
            <w:shd w:val="clear" w:color="auto" w:fill="FFFFFF" w:themeFill="background1"/>
            <w:tcMar>
              <w:top w:w="0" w:type="dxa"/>
              <w:left w:w="85" w:type="dxa"/>
              <w:bottom w:w="0" w:type="dxa"/>
              <w:right w:w="57" w:type="dxa"/>
            </w:tcMar>
          </w:tcPr>
          <w:p w14:paraId="4F601389" w14:textId="77777777" w:rsidR="005D02EF" w:rsidRPr="009E06AA" w:rsidRDefault="005D02EF" w:rsidP="00B55F24">
            <w:pPr>
              <w:pStyle w:val="TableText"/>
              <w:spacing w:before="30" w:after="30"/>
            </w:pPr>
            <w:r w:rsidRPr="009E06AA">
              <w:rPr>
                <w:rFonts w:eastAsia="Calibri"/>
                <w:color w:val="000000"/>
              </w:rPr>
              <w:t>1.A.3.b Road transportation – liquid and gaseous fuels – CO₂ (E.9, 2021) (E.30, 2019) Convention reporting adherence</w:t>
            </w:r>
          </w:p>
        </w:tc>
        <w:tc>
          <w:tcPr>
            <w:tcW w:w="3686" w:type="dxa"/>
            <w:shd w:val="clear" w:color="auto" w:fill="FFFFFF" w:themeFill="background1"/>
            <w:tcMar>
              <w:top w:w="0" w:type="dxa"/>
              <w:left w:w="85" w:type="dxa"/>
              <w:bottom w:w="0" w:type="dxa"/>
              <w:right w:w="57" w:type="dxa"/>
            </w:tcMar>
          </w:tcPr>
          <w:p w14:paraId="33DA56FF" w14:textId="77777777" w:rsidR="005D02EF" w:rsidRPr="009E06AA" w:rsidRDefault="005D02EF" w:rsidP="00B55F24">
            <w:pPr>
              <w:pStyle w:val="TableText"/>
              <w:spacing w:before="30" w:after="30"/>
            </w:pPr>
            <w:r w:rsidRPr="009E06AA">
              <w:rPr>
                <w:rFonts w:eastAsia="Calibri"/>
                <w:color w:val="000000"/>
              </w:rPr>
              <w:t>Continue to estimate the CO₂ emissions on the basis of fuel sold, but report the CO₂ emissions for before 2000 disaggregated by vehicle mode (cars, light-duty trucks, heavy- duty trucks and buses, and motorcycles) using the data collected for the estimation of CH₄ and N₂O emissions as a good practice to verify the CO₂ estimates obtained with a tier 1 approach.</w:t>
            </w:r>
          </w:p>
        </w:tc>
        <w:tc>
          <w:tcPr>
            <w:tcW w:w="4806" w:type="dxa"/>
            <w:shd w:val="clear" w:color="auto" w:fill="FFFFFF" w:themeFill="background1"/>
            <w:tcMar>
              <w:top w:w="0" w:type="dxa"/>
              <w:left w:w="85" w:type="dxa"/>
              <w:bottom w:w="0" w:type="dxa"/>
              <w:right w:w="57" w:type="dxa"/>
            </w:tcMar>
          </w:tcPr>
          <w:p w14:paraId="5A484183" w14:textId="77777777" w:rsidR="005D02EF" w:rsidRPr="009E06AA" w:rsidRDefault="005D02EF" w:rsidP="00B55F24">
            <w:pPr>
              <w:pStyle w:val="TableText"/>
              <w:spacing w:before="30" w:after="30"/>
            </w:pPr>
            <w:r w:rsidRPr="009E06AA">
              <w:rPr>
                <w:rFonts w:eastAsia="Calibri"/>
                <w:color w:val="000000"/>
              </w:rPr>
              <w:t>Addressing. The Party stated in the NIR (p.393) that a project for disaggregating the data is under way and that key milestones of the system code reconfiguration have been reached. The Party plans to implement the changes for the next annual submission.</w:t>
            </w:r>
          </w:p>
        </w:tc>
        <w:tc>
          <w:tcPr>
            <w:tcW w:w="2621" w:type="dxa"/>
            <w:shd w:val="clear" w:color="auto" w:fill="FFFFFF" w:themeFill="background1"/>
            <w:tcMar>
              <w:top w:w="0" w:type="dxa"/>
              <w:left w:w="85" w:type="dxa"/>
              <w:bottom w:w="0" w:type="dxa"/>
              <w:right w:w="57" w:type="dxa"/>
            </w:tcMar>
          </w:tcPr>
          <w:p w14:paraId="2106265E" w14:textId="77777777" w:rsidR="005D02EF" w:rsidRPr="009E06AA" w:rsidRDefault="005D02EF" w:rsidP="00B55F24">
            <w:pPr>
              <w:pStyle w:val="TableText"/>
              <w:spacing w:before="30" w:after="30"/>
            </w:pPr>
            <w:r w:rsidRPr="009E06AA">
              <w:rPr>
                <w:b/>
              </w:rPr>
              <w:t>Addressing</w:t>
            </w:r>
            <w:r w:rsidRPr="009E06AA">
              <w:t>. A project to disaggregate these emissions by vehicle mode is under way, noting that key progress in reconfiguring the related system codes has been made (see chapter 3, section 3.2.6). An update will be included in the 2025 annual submission.</w:t>
            </w:r>
          </w:p>
        </w:tc>
      </w:tr>
      <w:tr w:rsidR="005D02EF" w:rsidRPr="009E06AA" w14:paraId="3DA70DE3" w14:textId="77777777" w:rsidTr="00271345">
        <w:tc>
          <w:tcPr>
            <w:tcW w:w="709" w:type="dxa"/>
            <w:shd w:val="clear" w:color="auto" w:fill="FFFFFF" w:themeFill="background1"/>
            <w:tcMar>
              <w:top w:w="0" w:type="dxa"/>
              <w:left w:w="85" w:type="dxa"/>
              <w:bottom w:w="0" w:type="dxa"/>
              <w:right w:w="57" w:type="dxa"/>
            </w:tcMar>
          </w:tcPr>
          <w:p w14:paraId="42E1E0E8" w14:textId="77777777" w:rsidR="005D02EF" w:rsidRPr="009E06AA" w:rsidRDefault="005D02EF" w:rsidP="00B55F24">
            <w:pPr>
              <w:pStyle w:val="TableText"/>
              <w:spacing w:before="30" w:after="30"/>
            </w:pPr>
            <w:r w:rsidRPr="009E06AA">
              <w:rPr>
                <w:rFonts w:eastAsia="Calibri"/>
                <w:color w:val="000000"/>
              </w:rPr>
              <w:t>E.6</w:t>
            </w:r>
          </w:p>
        </w:tc>
        <w:tc>
          <w:tcPr>
            <w:tcW w:w="2126" w:type="dxa"/>
            <w:shd w:val="clear" w:color="auto" w:fill="FFFFFF" w:themeFill="background1"/>
            <w:tcMar>
              <w:top w:w="0" w:type="dxa"/>
              <w:left w:w="85" w:type="dxa"/>
              <w:bottom w:w="0" w:type="dxa"/>
              <w:right w:w="57" w:type="dxa"/>
            </w:tcMar>
          </w:tcPr>
          <w:p w14:paraId="6E7DEB76" w14:textId="77777777" w:rsidR="005D02EF" w:rsidRPr="009E06AA" w:rsidRDefault="005D02EF" w:rsidP="00B55F24">
            <w:pPr>
              <w:pStyle w:val="TableText"/>
              <w:spacing w:before="30" w:after="30"/>
            </w:pPr>
            <w:r w:rsidRPr="009E06AA">
              <w:rPr>
                <w:rFonts w:eastAsia="Calibri"/>
                <w:color w:val="000000"/>
              </w:rPr>
              <w:t>1.A.4 Other sectors – gaseous fuels – CO₂ (E.20, 2021) Transparency</w:t>
            </w:r>
          </w:p>
        </w:tc>
        <w:tc>
          <w:tcPr>
            <w:tcW w:w="3686" w:type="dxa"/>
            <w:shd w:val="clear" w:color="auto" w:fill="FFFFFF" w:themeFill="background1"/>
            <w:tcMar>
              <w:top w:w="0" w:type="dxa"/>
              <w:left w:w="85" w:type="dxa"/>
              <w:bottom w:w="0" w:type="dxa"/>
              <w:right w:w="57" w:type="dxa"/>
            </w:tcMar>
          </w:tcPr>
          <w:p w14:paraId="6FBEFD22" w14:textId="77777777" w:rsidR="005D02EF" w:rsidRPr="009E06AA" w:rsidRDefault="005D02EF" w:rsidP="00B55F24">
            <w:pPr>
              <w:pStyle w:val="TableText"/>
              <w:spacing w:before="30" w:after="30"/>
            </w:pPr>
            <w:r w:rsidRPr="009E06AA">
              <w:rPr>
                <w:rFonts w:eastAsia="Calibri"/>
                <w:color w:val="000000"/>
              </w:rPr>
              <w:t>Explain in the NIR the reasons for the lower CO₂ IEFs between 1996 and 2012 after the recalculation performed for the 2021 submission. Report in the NIR the reason for the lower value of the CO₂ IEF for 2003.</w:t>
            </w:r>
          </w:p>
        </w:tc>
        <w:tc>
          <w:tcPr>
            <w:tcW w:w="4806" w:type="dxa"/>
            <w:shd w:val="clear" w:color="auto" w:fill="FFFFFF" w:themeFill="background1"/>
            <w:tcMar>
              <w:top w:w="0" w:type="dxa"/>
              <w:left w:w="85" w:type="dxa"/>
              <w:bottom w:w="0" w:type="dxa"/>
              <w:right w:w="57" w:type="dxa"/>
            </w:tcMar>
          </w:tcPr>
          <w:p w14:paraId="0D01F784" w14:textId="77777777" w:rsidR="005D02EF" w:rsidRPr="009E06AA" w:rsidRDefault="005D02EF" w:rsidP="00B55F24">
            <w:pPr>
              <w:pStyle w:val="TableText"/>
              <w:spacing w:before="30" w:after="30"/>
            </w:pPr>
            <w:r w:rsidRPr="009E06AA">
              <w:rPr>
                <w:rFonts w:eastAsia="Calibri"/>
                <w:color w:val="000000"/>
              </w:rPr>
              <w:t>Resolved. The Party recalculated the CO₂ EF for gaseous fuels and reported revised emission estimates in CRF table 1.A(a)s2. According to the NIR (p.77), the GHG reporting data system was streamlined and simplified and a number of minor inconsistencies and errors were corrected. During the review, the Party confirmed that the CO₂ EF was one of the inconsistencies addressed.</w:t>
            </w:r>
          </w:p>
        </w:tc>
        <w:tc>
          <w:tcPr>
            <w:tcW w:w="2621" w:type="dxa"/>
            <w:shd w:val="clear" w:color="auto" w:fill="FFFFFF" w:themeFill="background1"/>
            <w:tcMar>
              <w:top w:w="0" w:type="dxa"/>
              <w:left w:w="85" w:type="dxa"/>
              <w:bottom w:w="0" w:type="dxa"/>
              <w:right w:w="57" w:type="dxa"/>
            </w:tcMar>
          </w:tcPr>
          <w:p w14:paraId="1F8147AA" w14:textId="77777777" w:rsidR="005D02EF" w:rsidRPr="009E06AA" w:rsidRDefault="005D02EF" w:rsidP="00B55F24">
            <w:pPr>
              <w:pStyle w:val="TableText"/>
              <w:spacing w:before="30" w:after="30"/>
            </w:pPr>
            <w:r w:rsidRPr="009E06AA">
              <w:t>NA</w:t>
            </w:r>
          </w:p>
        </w:tc>
      </w:tr>
      <w:tr w:rsidR="005D02EF" w:rsidRPr="009E06AA" w14:paraId="146AF2BF" w14:textId="77777777" w:rsidTr="00271345">
        <w:tc>
          <w:tcPr>
            <w:tcW w:w="709" w:type="dxa"/>
            <w:shd w:val="clear" w:color="auto" w:fill="FFFFFF" w:themeFill="background1"/>
            <w:tcMar>
              <w:top w:w="0" w:type="dxa"/>
              <w:left w:w="85" w:type="dxa"/>
              <w:bottom w:w="0" w:type="dxa"/>
              <w:right w:w="57" w:type="dxa"/>
            </w:tcMar>
          </w:tcPr>
          <w:p w14:paraId="4CCCA218" w14:textId="77777777" w:rsidR="005D02EF" w:rsidRPr="009E06AA" w:rsidRDefault="005D02EF" w:rsidP="00B55F24">
            <w:pPr>
              <w:pStyle w:val="TableText"/>
              <w:spacing w:before="30" w:after="30"/>
            </w:pPr>
            <w:r w:rsidRPr="009E06AA">
              <w:rPr>
                <w:rFonts w:eastAsia="Calibri"/>
                <w:color w:val="000000"/>
              </w:rPr>
              <w:t>E.7</w:t>
            </w:r>
          </w:p>
        </w:tc>
        <w:tc>
          <w:tcPr>
            <w:tcW w:w="2126" w:type="dxa"/>
            <w:shd w:val="clear" w:color="auto" w:fill="FFFFFF" w:themeFill="background1"/>
            <w:tcMar>
              <w:top w:w="0" w:type="dxa"/>
              <w:left w:w="85" w:type="dxa"/>
              <w:bottom w:w="0" w:type="dxa"/>
              <w:right w:w="57" w:type="dxa"/>
            </w:tcMar>
          </w:tcPr>
          <w:p w14:paraId="61734A62" w14:textId="77777777" w:rsidR="005D02EF" w:rsidRPr="009E06AA" w:rsidRDefault="005D02EF" w:rsidP="00B55F24">
            <w:pPr>
              <w:pStyle w:val="TableText"/>
              <w:spacing w:before="30" w:after="30"/>
            </w:pPr>
            <w:r w:rsidRPr="009E06AA">
              <w:rPr>
                <w:rFonts w:eastAsia="Calibri"/>
                <w:color w:val="000000"/>
              </w:rPr>
              <w:t>1.A.4.a Commercial/institution al – liquid fuels – CO₂ (E.21, 2021) Transparency</w:t>
            </w:r>
          </w:p>
        </w:tc>
        <w:tc>
          <w:tcPr>
            <w:tcW w:w="3686" w:type="dxa"/>
            <w:shd w:val="clear" w:color="auto" w:fill="FFFFFF" w:themeFill="background1"/>
            <w:tcMar>
              <w:top w:w="0" w:type="dxa"/>
              <w:left w:w="85" w:type="dxa"/>
              <w:bottom w:w="0" w:type="dxa"/>
              <w:right w:w="57" w:type="dxa"/>
            </w:tcMar>
          </w:tcPr>
          <w:p w14:paraId="1EF97F60" w14:textId="77777777" w:rsidR="005D02EF" w:rsidRPr="009E06AA" w:rsidRDefault="005D02EF" w:rsidP="00B55F24">
            <w:pPr>
              <w:pStyle w:val="TableText"/>
              <w:spacing w:before="30" w:after="30"/>
            </w:pPr>
            <w:r w:rsidRPr="009E06AA">
              <w:rPr>
                <w:rFonts w:eastAsia="Calibri"/>
                <w:color w:val="000000"/>
              </w:rPr>
              <w:t>Report fully and transparently on recalculations in the NIR in accordance with paragraphs 43–45 of the UNFCCC Annex I inventory reporting guidelines.</w:t>
            </w:r>
          </w:p>
        </w:tc>
        <w:tc>
          <w:tcPr>
            <w:tcW w:w="4806" w:type="dxa"/>
            <w:shd w:val="clear" w:color="auto" w:fill="FFFFFF" w:themeFill="background1"/>
            <w:tcMar>
              <w:top w:w="0" w:type="dxa"/>
              <w:left w:w="85" w:type="dxa"/>
              <w:bottom w:w="0" w:type="dxa"/>
              <w:right w:w="57" w:type="dxa"/>
            </w:tcMar>
          </w:tcPr>
          <w:p w14:paraId="64983D52" w14:textId="77777777" w:rsidR="005D02EF" w:rsidRPr="009E06AA" w:rsidRDefault="005D02EF" w:rsidP="00B55F24">
            <w:pPr>
              <w:pStyle w:val="TableText"/>
              <w:spacing w:before="30" w:after="30"/>
            </w:pPr>
            <w:r w:rsidRPr="009E06AA">
              <w:rPr>
                <w:rFonts w:eastAsia="Calibri"/>
                <w:color w:val="000000"/>
              </w:rPr>
              <w:t>Resolved. During the 2021 review, the Party explained that there was a reallocation of AD from commercial/institutional (category 1.A.4.a) to road transportation (category 1.A.3.b). However, this reallocation was subsequently reversed in the national oil data system. No issues were identified with the reporting of the recalculations.</w:t>
            </w:r>
          </w:p>
        </w:tc>
        <w:tc>
          <w:tcPr>
            <w:tcW w:w="2621" w:type="dxa"/>
            <w:shd w:val="clear" w:color="auto" w:fill="FFFFFF" w:themeFill="background1"/>
            <w:tcMar>
              <w:top w:w="0" w:type="dxa"/>
              <w:left w:w="85" w:type="dxa"/>
              <w:bottom w:w="0" w:type="dxa"/>
              <w:right w:w="57" w:type="dxa"/>
            </w:tcMar>
          </w:tcPr>
          <w:p w14:paraId="3F755C83" w14:textId="77777777" w:rsidR="005D02EF" w:rsidRPr="009E06AA" w:rsidRDefault="005D02EF" w:rsidP="00B55F24">
            <w:pPr>
              <w:pStyle w:val="TableText"/>
              <w:spacing w:before="30" w:after="30"/>
            </w:pPr>
            <w:r w:rsidRPr="009E06AA">
              <w:t>NA</w:t>
            </w:r>
          </w:p>
        </w:tc>
      </w:tr>
      <w:tr w:rsidR="005D02EF" w:rsidRPr="009E06AA" w14:paraId="03B05951" w14:textId="77777777" w:rsidTr="00271345">
        <w:tc>
          <w:tcPr>
            <w:tcW w:w="709" w:type="dxa"/>
            <w:shd w:val="clear" w:color="auto" w:fill="FFFFFF" w:themeFill="background1"/>
            <w:tcMar>
              <w:top w:w="0" w:type="dxa"/>
              <w:left w:w="85" w:type="dxa"/>
              <w:bottom w:w="0" w:type="dxa"/>
              <w:right w:w="57" w:type="dxa"/>
            </w:tcMar>
          </w:tcPr>
          <w:p w14:paraId="65EF451A" w14:textId="77777777" w:rsidR="005D02EF" w:rsidRPr="009E06AA" w:rsidRDefault="005D02EF" w:rsidP="00B55F24">
            <w:pPr>
              <w:pStyle w:val="TableText"/>
              <w:spacing w:before="30" w:after="30"/>
            </w:pPr>
            <w:r w:rsidRPr="009E06AA">
              <w:rPr>
                <w:rFonts w:eastAsia="Calibri"/>
                <w:color w:val="000000"/>
              </w:rPr>
              <w:t>E.8</w:t>
            </w:r>
          </w:p>
        </w:tc>
        <w:tc>
          <w:tcPr>
            <w:tcW w:w="2126" w:type="dxa"/>
            <w:shd w:val="clear" w:color="auto" w:fill="FFFFFF" w:themeFill="background1"/>
            <w:tcMar>
              <w:top w:w="0" w:type="dxa"/>
              <w:left w:w="85" w:type="dxa"/>
              <w:bottom w:w="0" w:type="dxa"/>
              <w:right w:w="57" w:type="dxa"/>
            </w:tcMar>
          </w:tcPr>
          <w:p w14:paraId="273AEDBC" w14:textId="77777777" w:rsidR="005D02EF" w:rsidRPr="009E06AA" w:rsidRDefault="005D02EF" w:rsidP="00B55F24">
            <w:pPr>
              <w:pStyle w:val="TableText"/>
              <w:spacing w:before="30" w:after="30"/>
            </w:pPr>
            <w:r w:rsidRPr="009E06AA">
              <w:rPr>
                <w:rFonts w:eastAsia="Calibri"/>
                <w:color w:val="000000"/>
              </w:rPr>
              <w:t>1.B.1.a Coal mining and handling – solid fuels – CH₄ (E.12, 2021) (E.15, 2019) (E.14, 2017) (E.17, 2016) (E.31, 2015) Completeness</w:t>
            </w:r>
          </w:p>
        </w:tc>
        <w:tc>
          <w:tcPr>
            <w:tcW w:w="3686" w:type="dxa"/>
            <w:shd w:val="clear" w:color="auto" w:fill="FFFFFF" w:themeFill="background1"/>
            <w:tcMar>
              <w:top w:w="0" w:type="dxa"/>
              <w:left w:w="85" w:type="dxa"/>
              <w:bottom w:w="0" w:type="dxa"/>
              <w:right w:w="57" w:type="dxa"/>
            </w:tcMar>
          </w:tcPr>
          <w:p w14:paraId="1ABEFF5E" w14:textId="77777777" w:rsidR="005D02EF" w:rsidRPr="009E06AA" w:rsidRDefault="005D02EF" w:rsidP="00B55F24">
            <w:pPr>
              <w:pStyle w:val="TableText"/>
              <w:spacing w:before="30" w:after="30"/>
            </w:pPr>
            <w:r w:rsidRPr="009E06AA">
              <w:rPr>
                <w:rFonts w:eastAsia="Calibri"/>
                <w:color w:val="000000"/>
              </w:rPr>
              <w:t>Estimate CH₄ emissions from abandoned underground mines (subcategory 1.B.1.a.i.3) or, if these emissions are considered insignificant, report them as “NE” and provide a quantitative estimate of the likely level of the emissions in accordance with paragraph 37(b) of the UNFCCC Annex I inventory reporting guidelines.</w:t>
            </w:r>
          </w:p>
        </w:tc>
        <w:tc>
          <w:tcPr>
            <w:tcW w:w="4806" w:type="dxa"/>
            <w:shd w:val="clear" w:color="auto" w:fill="FFFFFF" w:themeFill="background1"/>
            <w:tcMar>
              <w:top w:w="0" w:type="dxa"/>
              <w:left w:w="85" w:type="dxa"/>
              <w:bottom w:w="0" w:type="dxa"/>
              <w:right w:w="57" w:type="dxa"/>
            </w:tcMar>
          </w:tcPr>
          <w:p w14:paraId="2C578A39" w14:textId="77777777" w:rsidR="005D02EF" w:rsidRPr="009E06AA" w:rsidRDefault="005D02EF" w:rsidP="00B55F24">
            <w:pPr>
              <w:pStyle w:val="TableText"/>
              <w:spacing w:before="30" w:after="30"/>
            </w:pPr>
            <w:r w:rsidRPr="009E06AA">
              <w:rPr>
                <w:rFonts w:eastAsia="Calibri"/>
                <w:color w:val="000000"/>
              </w:rPr>
              <w:t>Addressing. The Party reported in its NIR (p.104) that a contractor was employed to review all the coal reports within the Ministry of Business, Innovation and Employment’s online coal mine databases and extract details relevant to estimating emissions from abandoned coal mines. On the basis of the preliminary outcome, further research is needed for making a realistic estimate of emissions.</w:t>
            </w:r>
          </w:p>
        </w:tc>
        <w:tc>
          <w:tcPr>
            <w:tcW w:w="2621" w:type="dxa"/>
            <w:shd w:val="clear" w:color="auto" w:fill="FFFFFF" w:themeFill="background1"/>
            <w:tcMar>
              <w:top w:w="0" w:type="dxa"/>
              <w:left w:w="85" w:type="dxa"/>
              <w:bottom w:w="0" w:type="dxa"/>
              <w:right w:w="57" w:type="dxa"/>
            </w:tcMar>
          </w:tcPr>
          <w:p w14:paraId="355E74B7" w14:textId="77777777" w:rsidR="005D02EF" w:rsidRPr="009E06AA" w:rsidRDefault="005D02EF" w:rsidP="00B55F24">
            <w:pPr>
              <w:pStyle w:val="TableText"/>
              <w:spacing w:before="30" w:after="30"/>
            </w:pPr>
            <w:r w:rsidRPr="009E06AA">
              <w:rPr>
                <w:rFonts w:eastAsia="Calibri"/>
                <w:b/>
                <w:color w:val="000000" w:themeColor="text1"/>
              </w:rPr>
              <w:t>Addressing</w:t>
            </w:r>
            <w:r w:rsidRPr="009E06AA">
              <w:rPr>
                <w:rFonts w:eastAsia="Calibri"/>
                <w:color w:val="000000" w:themeColor="text1"/>
              </w:rPr>
              <w:t>. P</w:t>
            </w:r>
            <w:r w:rsidRPr="009E06AA">
              <w:t>rogress has been made in identifying old mines from historical mine records in the South Island, but these data still require significant manual processing before they can be used to meaningfully assess CH</w:t>
            </w:r>
            <w:r w:rsidRPr="009E06AA">
              <w:rPr>
                <w:vertAlign w:val="subscript"/>
              </w:rPr>
              <w:t>4</w:t>
            </w:r>
            <w:r w:rsidRPr="009E06AA">
              <w:t xml:space="preserve"> fugitive emissions</w:t>
            </w:r>
            <w:r w:rsidRPr="009E06AA">
              <w:rPr>
                <w:rFonts w:eastAsia="Calibri"/>
                <w:color w:val="000000" w:themeColor="text1"/>
              </w:rPr>
              <w:t>.</w:t>
            </w:r>
          </w:p>
        </w:tc>
      </w:tr>
      <w:tr w:rsidR="005D02EF" w:rsidRPr="009E06AA" w14:paraId="4FA3A731" w14:textId="77777777" w:rsidTr="00271345">
        <w:tc>
          <w:tcPr>
            <w:tcW w:w="709" w:type="dxa"/>
            <w:shd w:val="clear" w:color="auto" w:fill="FFFFFF" w:themeFill="background1"/>
            <w:tcMar>
              <w:top w:w="0" w:type="dxa"/>
              <w:left w:w="85" w:type="dxa"/>
              <w:bottom w:w="0" w:type="dxa"/>
              <w:right w:w="57" w:type="dxa"/>
            </w:tcMar>
          </w:tcPr>
          <w:p w14:paraId="1F5F1AD2" w14:textId="77777777" w:rsidR="005D02EF" w:rsidRPr="009E06AA" w:rsidRDefault="005D02EF" w:rsidP="00B55F24">
            <w:pPr>
              <w:pStyle w:val="TableText"/>
              <w:spacing w:before="30" w:after="30"/>
            </w:pPr>
            <w:r w:rsidRPr="009E06AA">
              <w:rPr>
                <w:rFonts w:eastAsia="Calibri"/>
                <w:color w:val="000000"/>
              </w:rPr>
              <w:t>E.9</w:t>
            </w:r>
          </w:p>
        </w:tc>
        <w:tc>
          <w:tcPr>
            <w:tcW w:w="2126" w:type="dxa"/>
            <w:shd w:val="clear" w:color="auto" w:fill="FFFFFF" w:themeFill="background1"/>
            <w:tcMar>
              <w:top w:w="0" w:type="dxa"/>
              <w:left w:w="85" w:type="dxa"/>
              <w:bottom w:w="0" w:type="dxa"/>
              <w:right w:w="57" w:type="dxa"/>
            </w:tcMar>
          </w:tcPr>
          <w:p w14:paraId="1E94AC14" w14:textId="77777777" w:rsidR="005D02EF" w:rsidRPr="009E06AA" w:rsidRDefault="005D02EF" w:rsidP="00B55F24">
            <w:pPr>
              <w:pStyle w:val="TableText"/>
              <w:spacing w:before="30" w:after="30"/>
            </w:pPr>
            <w:r w:rsidRPr="009E06AA">
              <w:rPr>
                <w:rFonts w:eastAsia="Calibri"/>
                <w:color w:val="000000"/>
              </w:rPr>
              <w:t>1.B.2.c Venting and flaring – gaseous fuels – CO₂ (E.15, 2021) (E.35, 2019) Comparability</w:t>
            </w:r>
          </w:p>
        </w:tc>
        <w:tc>
          <w:tcPr>
            <w:tcW w:w="3686" w:type="dxa"/>
            <w:shd w:val="clear" w:color="auto" w:fill="FFFFFF" w:themeFill="background1"/>
            <w:tcMar>
              <w:top w:w="0" w:type="dxa"/>
              <w:left w:w="85" w:type="dxa"/>
              <w:bottom w:w="0" w:type="dxa"/>
              <w:right w:w="57" w:type="dxa"/>
            </w:tcMar>
          </w:tcPr>
          <w:p w14:paraId="489A412C" w14:textId="77777777" w:rsidR="005D02EF" w:rsidRPr="009E06AA" w:rsidRDefault="005D02EF" w:rsidP="00B55F24">
            <w:pPr>
              <w:pStyle w:val="TableText"/>
              <w:spacing w:before="30" w:after="30"/>
            </w:pPr>
            <w:r w:rsidRPr="009E06AA">
              <w:rPr>
                <w:rFonts w:eastAsia="Calibri"/>
                <w:color w:val="000000"/>
              </w:rPr>
              <w:t>Report the AD from the Kapuni gas treatment plant for subcategory 1.B.2.c.1.ii venting – gas as confidential, “IE” or “NE”, as appropriate, in CRF table 1.B.2 and review the information on AD reported in the documentation box of the same table.</w:t>
            </w:r>
          </w:p>
        </w:tc>
        <w:tc>
          <w:tcPr>
            <w:tcW w:w="4806" w:type="dxa"/>
            <w:shd w:val="clear" w:color="auto" w:fill="FFFFFF" w:themeFill="background1"/>
            <w:tcMar>
              <w:top w:w="0" w:type="dxa"/>
              <w:left w:w="85" w:type="dxa"/>
              <w:bottom w:w="0" w:type="dxa"/>
              <w:right w:w="57" w:type="dxa"/>
            </w:tcMar>
          </w:tcPr>
          <w:p w14:paraId="60C320E1" w14:textId="77777777" w:rsidR="005D02EF" w:rsidRPr="009E06AA" w:rsidRDefault="005D02EF" w:rsidP="00B55F24">
            <w:pPr>
              <w:pStyle w:val="TableText"/>
              <w:spacing w:before="30" w:after="30"/>
            </w:pPr>
            <w:r w:rsidRPr="009E06AA">
              <w:rPr>
                <w:rFonts w:eastAsia="Calibri"/>
                <w:color w:val="000000"/>
              </w:rPr>
              <w:t>Addressing. The Party reported AD in CRF table 1.B.2 for venting (category 1.B.2.c.ii). However, in the NIR (p.110), and in the documentation box of CRF table 1.B.2, it stated that no AD are available. During the review, the Party clarified that the AD from the Kapuni gas treatment plant are confidential and that the value reported in CRF table 1.B.2.c.ii for venting is only a placeholder that was introduced during the upgrading of the data system. The Party stated its intention to report the AD as “C” in its next annual submission.</w:t>
            </w:r>
          </w:p>
        </w:tc>
        <w:tc>
          <w:tcPr>
            <w:tcW w:w="2621" w:type="dxa"/>
            <w:shd w:val="clear" w:color="auto" w:fill="FFFFFF" w:themeFill="background1"/>
            <w:tcMar>
              <w:top w:w="0" w:type="dxa"/>
              <w:left w:w="85" w:type="dxa"/>
              <w:bottom w:w="0" w:type="dxa"/>
              <w:right w:w="57" w:type="dxa"/>
            </w:tcMar>
          </w:tcPr>
          <w:p w14:paraId="38D14728" w14:textId="77777777" w:rsidR="005D02EF" w:rsidRPr="009E06AA" w:rsidRDefault="005D02EF" w:rsidP="00B55F24">
            <w:pPr>
              <w:pStyle w:val="TableText"/>
              <w:spacing w:before="30" w:after="30"/>
            </w:pPr>
            <w:r w:rsidRPr="009E06AA">
              <w:rPr>
                <w:b/>
                <w:bCs/>
              </w:rPr>
              <w:t>Resolved</w:t>
            </w:r>
            <w:r w:rsidRPr="009E06AA">
              <w:t>. The notation keys have been changed to ‘C’.</w:t>
            </w:r>
          </w:p>
        </w:tc>
      </w:tr>
      <w:tr w:rsidR="005D02EF" w:rsidRPr="009E06AA" w14:paraId="010E3425" w14:textId="77777777" w:rsidTr="00271345">
        <w:tc>
          <w:tcPr>
            <w:tcW w:w="709" w:type="dxa"/>
            <w:shd w:val="clear" w:color="auto" w:fill="FFFFFF" w:themeFill="background1"/>
            <w:tcMar>
              <w:top w:w="0" w:type="dxa"/>
              <w:left w:w="85" w:type="dxa"/>
              <w:bottom w:w="0" w:type="dxa"/>
              <w:right w:w="57" w:type="dxa"/>
            </w:tcMar>
          </w:tcPr>
          <w:p w14:paraId="5451DE96" w14:textId="77777777" w:rsidR="005D02EF" w:rsidRPr="009E06AA" w:rsidRDefault="005D02EF" w:rsidP="00B55F24">
            <w:pPr>
              <w:pStyle w:val="TableText"/>
              <w:spacing w:before="30" w:after="30"/>
            </w:pPr>
            <w:r w:rsidRPr="009E06AA">
              <w:rPr>
                <w:rFonts w:eastAsia="Calibri"/>
                <w:color w:val="000000"/>
              </w:rPr>
              <w:t>IPPU</w:t>
            </w:r>
          </w:p>
        </w:tc>
        <w:tc>
          <w:tcPr>
            <w:tcW w:w="2126" w:type="dxa"/>
            <w:shd w:val="clear" w:color="auto" w:fill="FFFFFF" w:themeFill="background1"/>
            <w:tcMar>
              <w:top w:w="0" w:type="dxa"/>
              <w:left w:w="85" w:type="dxa"/>
              <w:bottom w:w="0" w:type="dxa"/>
              <w:right w:w="57" w:type="dxa"/>
            </w:tcMar>
          </w:tcPr>
          <w:p w14:paraId="63D50DE3" w14:textId="77777777" w:rsidR="005D02EF" w:rsidRPr="009E06AA" w:rsidRDefault="005D02EF" w:rsidP="00B55F24">
            <w:pPr>
              <w:pStyle w:val="TableText"/>
              <w:spacing w:before="30" w:after="30"/>
            </w:pPr>
          </w:p>
        </w:tc>
        <w:tc>
          <w:tcPr>
            <w:tcW w:w="3686" w:type="dxa"/>
            <w:shd w:val="clear" w:color="auto" w:fill="FFFFFF" w:themeFill="background1"/>
            <w:tcMar>
              <w:top w:w="0" w:type="dxa"/>
              <w:left w:w="85" w:type="dxa"/>
              <w:bottom w:w="0" w:type="dxa"/>
              <w:right w:w="57" w:type="dxa"/>
            </w:tcMar>
          </w:tcPr>
          <w:p w14:paraId="7F829ECB" w14:textId="77777777" w:rsidR="005D02EF" w:rsidRPr="009E06AA" w:rsidRDefault="005D02EF" w:rsidP="00B55F24">
            <w:pPr>
              <w:pStyle w:val="TableText"/>
              <w:spacing w:before="30" w:after="30"/>
            </w:pPr>
          </w:p>
        </w:tc>
        <w:tc>
          <w:tcPr>
            <w:tcW w:w="4806" w:type="dxa"/>
            <w:shd w:val="clear" w:color="auto" w:fill="FFFFFF" w:themeFill="background1"/>
            <w:tcMar>
              <w:top w:w="0" w:type="dxa"/>
              <w:left w:w="85" w:type="dxa"/>
              <w:bottom w:w="0" w:type="dxa"/>
              <w:right w:w="57" w:type="dxa"/>
            </w:tcMar>
          </w:tcPr>
          <w:p w14:paraId="5112D013" w14:textId="77777777" w:rsidR="005D02EF" w:rsidRPr="009E06AA" w:rsidRDefault="005D02EF" w:rsidP="00B55F24">
            <w:pPr>
              <w:pStyle w:val="TableText"/>
              <w:spacing w:before="30" w:after="30"/>
            </w:pPr>
          </w:p>
        </w:tc>
        <w:tc>
          <w:tcPr>
            <w:tcW w:w="2621" w:type="dxa"/>
            <w:shd w:val="clear" w:color="auto" w:fill="FFFFFF" w:themeFill="background1"/>
            <w:tcMar>
              <w:top w:w="0" w:type="dxa"/>
              <w:left w:w="85" w:type="dxa"/>
              <w:bottom w:w="0" w:type="dxa"/>
              <w:right w:w="57" w:type="dxa"/>
            </w:tcMar>
          </w:tcPr>
          <w:p w14:paraId="59C54C55" w14:textId="77777777" w:rsidR="005D02EF" w:rsidRPr="009E06AA" w:rsidRDefault="005D02EF" w:rsidP="00B55F24">
            <w:pPr>
              <w:pStyle w:val="TableText"/>
              <w:spacing w:before="30" w:after="30"/>
            </w:pPr>
          </w:p>
        </w:tc>
      </w:tr>
      <w:tr w:rsidR="005D02EF" w:rsidRPr="009E06AA" w14:paraId="5CF30B38" w14:textId="77777777" w:rsidTr="00271345">
        <w:tc>
          <w:tcPr>
            <w:tcW w:w="709" w:type="dxa"/>
            <w:shd w:val="clear" w:color="auto" w:fill="FFFFFF" w:themeFill="background1"/>
            <w:tcMar>
              <w:top w:w="0" w:type="dxa"/>
              <w:left w:w="85" w:type="dxa"/>
              <w:bottom w:w="0" w:type="dxa"/>
              <w:right w:w="57" w:type="dxa"/>
            </w:tcMar>
          </w:tcPr>
          <w:p w14:paraId="18F32C10" w14:textId="77777777" w:rsidR="005D02EF" w:rsidRPr="009E06AA" w:rsidRDefault="005D02EF" w:rsidP="00B55F24">
            <w:pPr>
              <w:pStyle w:val="TableText"/>
              <w:spacing w:before="30" w:after="30"/>
            </w:pPr>
            <w:r w:rsidRPr="009E06AA">
              <w:rPr>
                <w:rFonts w:eastAsia="Calibri"/>
                <w:color w:val="000000"/>
              </w:rPr>
              <w:t>I.1</w:t>
            </w:r>
          </w:p>
        </w:tc>
        <w:tc>
          <w:tcPr>
            <w:tcW w:w="2126" w:type="dxa"/>
            <w:shd w:val="clear" w:color="auto" w:fill="FFFFFF" w:themeFill="background1"/>
            <w:tcMar>
              <w:top w:w="0" w:type="dxa"/>
              <w:left w:w="85" w:type="dxa"/>
              <w:bottom w:w="0" w:type="dxa"/>
              <w:right w:w="57" w:type="dxa"/>
            </w:tcMar>
          </w:tcPr>
          <w:p w14:paraId="43EE1344" w14:textId="77777777" w:rsidR="005D02EF" w:rsidRPr="009E06AA" w:rsidRDefault="005D02EF" w:rsidP="00B55F24">
            <w:pPr>
              <w:pStyle w:val="TableText"/>
              <w:spacing w:before="30" w:after="30"/>
            </w:pPr>
            <w:r w:rsidRPr="009E06AA">
              <w:rPr>
                <w:rFonts w:eastAsia="Calibri"/>
                <w:color w:val="000000"/>
              </w:rPr>
              <w:t>2. General (IPPU) (I.1, 2021) (I.1, 2019) (I.1, 2017) (I.1, 2016) (I.2, 2015) (37, 2014) (42, 2013) Transparency</w:t>
            </w:r>
          </w:p>
        </w:tc>
        <w:tc>
          <w:tcPr>
            <w:tcW w:w="3686" w:type="dxa"/>
            <w:shd w:val="clear" w:color="auto" w:fill="FFFFFF" w:themeFill="background1"/>
            <w:tcMar>
              <w:top w:w="0" w:type="dxa"/>
              <w:left w:w="85" w:type="dxa"/>
              <w:bottom w:w="0" w:type="dxa"/>
              <w:right w:w="57" w:type="dxa"/>
            </w:tcMar>
          </w:tcPr>
          <w:p w14:paraId="1F65F88D" w14:textId="77777777" w:rsidR="005D02EF" w:rsidRPr="009E06AA" w:rsidRDefault="005D02EF" w:rsidP="00B55F24">
            <w:pPr>
              <w:pStyle w:val="TableText"/>
              <w:spacing w:before="30" w:after="30"/>
            </w:pPr>
            <w:r w:rsidRPr="009E06AA">
              <w:rPr>
                <w:rFonts w:eastAsia="Calibri"/>
                <w:color w:val="000000"/>
              </w:rPr>
              <w:t>Include in the NIR detailed information and methodological descriptions on how plant- specific data are estimated.</w:t>
            </w:r>
          </w:p>
        </w:tc>
        <w:tc>
          <w:tcPr>
            <w:tcW w:w="4806" w:type="dxa"/>
            <w:shd w:val="clear" w:color="auto" w:fill="FFFFFF" w:themeFill="background1"/>
            <w:tcMar>
              <w:top w:w="0" w:type="dxa"/>
              <w:left w:w="85" w:type="dxa"/>
              <w:bottom w:w="0" w:type="dxa"/>
              <w:right w:w="57" w:type="dxa"/>
            </w:tcMar>
          </w:tcPr>
          <w:p w14:paraId="25FCF71E" w14:textId="77777777" w:rsidR="005D02EF" w:rsidRPr="009E06AA" w:rsidRDefault="005D02EF" w:rsidP="00B55F24">
            <w:pPr>
              <w:pStyle w:val="TableText"/>
              <w:spacing w:before="30" w:after="30"/>
            </w:pPr>
            <w:r w:rsidRPr="009E06AA">
              <w:rPr>
                <w:rFonts w:eastAsia="Calibri"/>
                <w:color w:val="000000"/>
              </w:rPr>
              <w:t>Resolved. The Party improved the relevant methodological descriptions in its NIR. In response to the recommendation, the Party clarified that information on plant-specific data and methods as well as references to emissions trading scheme regulations were first added to the 2018 submission and have been updated over several NIRs.</w:t>
            </w:r>
          </w:p>
        </w:tc>
        <w:tc>
          <w:tcPr>
            <w:tcW w:w="2621" w:type="dxa"/>
            <w:shd w:val="clear" w:color="auto" w:fill="FFFFFF" w:themeFill="background1"/>
            <w:tcMar>
              <w:top w:w="0" w:type="dxa"/>
              <w:left w:w="85" w:type="dxa"/>
              <w:bottom w:w="0" w:type="dxa"/>
              <w:right w:w="57" w:type="dxa"/>
            </w:tcMar>
          </w:tcPr>
          <w:p w14:paraId="74A0EEB8" w14:textId="77777777" w:rsidR="005D02EF" w:rsidRPr="009E06AA" w:rsidRDefault="005D02EF" w:rsidP="00B55F24">
            <w:pPr>
              <w:pStyle w:val="TableText"/>
              <w:spacing w:before="30" w:after="30"/>
            </w:pPr>
            <w:r w:rsidRPr="009E06AA">
              <w:t>NA</w:t>
            </w:r>
          </w:p>
        </w:tc>
      </w:tr>
      <w:tr w:rsidR="005D02EF" w:rsidRPr="009E06AA" w14:paraId="72170F4D" w14:textId="77777777" w:rsidTr="00271345">
        <w:tc>
          <w:tcPr>
            <w:tcW w:w="709" w:type="dxa"/>
            <w:shd w:val="clear" w:color="auto" w:fill="FFFFFF" w:themeFill="background1"/>
            <w:tcMar>
              <w:top w:w="0" w:type="dxa"/>
              <w:left w:w="85" w:type="dxa"/>
              <w:bottom w:w="0" w:type="dxa"/>
              <w:right w:w="57" w:type="dxa"/>
            </w:tcMar>
          </w:tcPr>
          <w:p w14:paraId="73023F47" w14:textId="77777777" w:rsidR="005D02EF" w:rsidRPr="009E06AA" w:rsidRDefault="005D02EF" w:rsidP="00B55F24">
            <w:pPr>
              <w:pStyle w:val="TableText"/>
              <w:spacing w:before="30" w:after="30"/>
            </w:pPr>
            <w:r w:rsidRPr="009E06AA">
              <w:rPr>
                <w:rFonts w:eastAsia="Calibri"/>
                <w:color w:val="000000"/>
              </w:rPr>
              <w:t>I.2</w:t>
            </w:r>
          </w:p>
        </w:tc>
        <w:tc>
          <w:tcPr>
            <w:tcW w:w="2126" w:type="dxa"/>
            <w:shd w:val="clear" w:color="auto" w:fill="FFFFFF" w:themeFill="background1"/>
            <w:tcMar>
              <w:top w:w="0" w:type="dxa"/>
              <w:left w:w="85" w:type="dxa"/>
              <w:bottom w:w="0" w:type="dxa"/>
              <w:right w:w="57" w:type="dxa"/>
            </w:tcMar>
          </w:tcPr>
          <w:p w14:paraId="38428220" w14:textId="77777777" w:rsidR="005D02EF" w:rsidRPr="009E06AA" w:rsidRDefault="005D02EF" w:rsidP="00B55F24">
            <w:pPr>
              <w:pStyle w:val="TableText"/>
              <w:spacing w:before="30" w:after="30"/>
            </w:pPr>
            <w:r w:rsidRPr="009E06AA">
              <w:rPr>
                <w:rFonts w:eastAsia="Calibri"/>
                <w:color w:val="000000"/>
              </w:rPr>
              <w:t>2. General (IPPU) – HFCs, PFCs and SF₆ (I.2, 2021) (I.17, 2019) (I.16, 2017) (I.20, 2016) (I.23, 2015) Transparency</w:t>
            </w:r>
          </w:p>
        </w:tc>
        <w:tc>
          <w:tcPr>
            <w:tcW w:w="3686" w:type="dxa"/>
            <w:shd w:val="clear" w:color="auto" w:fill="FFFFFF" w:themeFill="background1"/>
            <w:tcMar>
              <w:top w:w="0" w:type="dxa"/>
              <w:left w:w="85" w:type="dxa"/>
              <w:bottom w:w="0" w:type="dxa"/>
              <w:right w:w="57" w:type="dxa"/>
            </w:tcMar>
          </w:tcPr>
          <w:p w14:paraId="6A86DEDD" w14:textId="77777777" w:rsidR="005D02EF" w:rsidRPr="009E06AA" w:rsidRDefault="005D02EF" w:rsidP="00B55F24">
            <w:pPr>
              <w:pStyle w:val="TableText"/>
              <w:spacing w:before="30" w:after="30"/>
            </w:pPr>
            <w:r w:rsidRPr="009E06AA">
              <w:rPr>
                <w:rFonts w:eastAsia="Calibri"/>
                <w:color w:val="000000"/>
              </w:rPr>
              <w:t>Include in the NIR all the information indicated in the section “Reporting and documentation” of the 2006 IPCC Guidelines for categories 2.F product use as substitutes for ozone-depleting substances and 2.G other product manufacture and use.</w:t>
            </w:r>
          </w:p>
        </w:tc>
        <w:tc>
          <w:tcPr>
            <w:tcW w:w="4806" w:type="dxa"/>
            <w:shd w:val="clear" w:color="auto" w:fill="FFFFFF" w:themeFill="background1"/>
            <w:tcMar>
              <w:top w:w="0" w:type="dxa"/>
              <w:left w:w="85" w:type="dxa"/>
              <w:bottom w:w="0" w:type="dxa"/>
              <w:right w:w="57" w:type="dxa"/>
            </w:tcMar>
          </w:tcPr>
          <w:p w14:paraId="5320AAF0" w14:textId="77777777" w:rsidR="005D02EF" w:rsidRPr="009E06AA" w:rsidRDefault="005D02EF" w:rsidP="00B55F24">
            <w:pPr>
              <w:pStyle w:val="TableText"/>
              <w:spacing w:before="30" w:after="30"/>
            </w:pPr>
            <w:r w:rsidRPr="009E06AA">
              <w:rPr>
                <w:rFonts w:eastAsia="Calibri"/>
                <w:color w:val="000000"/>
              </w:rPr>
              <w:t>Resolved. During the review, the Party explained that for product use as substitutes for ozone-depleting substances (category 2.F), most of the specific documentation listed in the 2006 IPCC Guidelines (e.g. vol. 3, chap. 7, table 7.10, p.7.60) is either unavailable or not relevant to the methods used by the Party, including, for example, a schedule for phasing out chlorofluorocarbons and hydrochlorofluorocarbons. The Party also explained that data provided by some manufacturers are confidential and are used in stock models at the national level. The ERT finds that the level of detail in the NIR is sufficiently transparent given New Zealand’s methodological choice and national circumstances. For other product manufacture and use (category 2.G), the documentation listed in the 2006 IPCC Guidelines (vol. 3, chap. 8, table 8.6, p.8.22) is provided and used in the modelling. Information on archiving, including the models used, is summarized in the NIR and in a separate report (Verum Group, 2021) that is referenced in the NIR as unpublished, but which the Party provided to the ERT during the review.</w:t>
            </w:r>
          </w:p>
        </w:tc>
        <w:tc>
          <w:tcPr>
            <w:tcW w:w="2621" w:type="dxa"/>
            <w:shd w:val="clear" w:color="auto" w:fill="FFFFFF" w:themeFill="background1"/>
            <w:tcMar>
              <w:top w:w="0" w:type="dxa"/>
              <w:left w:w="85" w:type="dxa"/>
              <w:bottom w:w="0" w:type="dxa"/>
              <w:right w:w="57" w:type="dxa"/>
            </w:tcMar>
          </w:tcPr>
          <w:p w14:paraId="274A8D2F" w14:textId="77777777" w:rsidR="005D02EF" w:rsidRPr="009E06AA" w:rsidRDefault="005D02EF" w:rsidP="00B55F24">
            <w:pPr>
              <w:pStyle w:val="TableText"/>
              <w:spacing w:before="30" w:after="30"/>
            </w:pPr>
            <w:r w:rsidRPr="009E06AA">
              <w:t>NA</w:t>
            </w:r>
          </w:p>
        </w:tc>
      </w:tr>
      <w:tr w:rsidR="005D02EF" w:rsidRPr="009E06AA" w14:paraId="6413DD8C" w14:textId="77777777" w:rsidTr="00271345">
        <w:tc>
          <w:tcPr>
            <w:tcW w:w="709" w:type="dxa"/>
            <w:shd w:val="clear" w:color="auto" w:fill="FFFFFF" w:themeFill="background1"/>
            <w:tcMar>
              <w:top w:w="0" w:type="dxa"/>
              <w:left w:w="85" w:type="dxa"/>
              <w:bottom w:w="0" w:type="dxa"/>
              <w:right w:w="57" w:type="dxa"/>
            </w:tcMar>
          </w:tcPr>
          <w:p w14:paraId="79B2E4E5" w14:textId="77777777" w:rsidR="005D02EF" w:rsidRPr="009E06AA" w:rsidRDefault="005D02EF" w:rsidP="00B55F24">
            <w:pPr>
              <w:pStyle w:val="TableText"/>
              <w:spacing w:before="30" w:after="30"/>
            </w:pPr>
            <w:r w:rsidRPr="009E06AA">
              <w:rPr>
                <w:rFonts w:eastAsia="Calibri"/>
                <w:color w:val="000000"/>
              </w:rPr>
              <w:t>I.3</w:t>
            </w:r>
          </w:p>
        </w:tc>
        <w:tc>
          <w:tcPr>
            <w:tcW w:w="2126" w:type="dxa"/>
            <w:shd w:val="clear" w:color="auto" w:fill="FFFFFF" w:themeFill="background1"/>
            <w:tcMar>
              <w:top w:w="0" w:type="dxa"/>
              <w:left w:w="85" w:type="dxa"/>
              <w:bottom w:w="0" w:type="dxa"/>
              <w:right w:w="57" w:type="dxa"/>
            </w:tcMar>
          </w:tcPr>
          <w:p w14:paraId="5F0422FF" w14:textId="77777777" w:rsidR="005D02EF" w:rsidRPr="009E06AA" w:rsidRDefault="005D02EF" w:rsidP="00B55F24">
            <w:pPr>
              <w:pStyle w:val="TableText"/>
              <w:spacing w:before="30" w:after="30"/>
            </w:pPr>
            <w:r w:rsidRPr="009E06AA">
              <w:rPr>
                <w:rFonts w:eastAsia="Calibri"/>
                <w:color w:val="000000"/>
              </w:rPr>
              <w:t>2. General (IPPU) (I.3, 2021) (I.23, 2019) Convention reporting adherence</w:t>
            </w:r>
          </w:p>
        </w:tc>
        <w:tc>
          <w:tcPr>
            <w:tcW w:w="3686" w:type="dxa"/>
            <w:shd w:val="clear" w:color="auto" w:fill="FFFFFF" w:themeFill="background1"/>
            <w:tcMar>
              <w:top w:w="0" w:type="dxa"/>
              <w:left w:w="85" w:type="dxa"/>
              <w:bottom w:w="0" w:type="dxa"/>
              <w:right w:w="57" w:type="dxa"/>
            </w:tcMar>
          </w:tcPr>
          <w:p w14:paraId="3CBF6994" w14:textId="77777777" w:rsidR="005D02EF" w:rsidRPr="009E06AA" w:rsidRDefault="005D02EF" w:rsidP="00B55F24">
            <w:pPr>
              <w:pStyle w:val="TableText"/>
              <w:spacing w:before="30" w:after="30"/>
            </w:pPr>
            <w:r w:rsidRPr="009E06AA">
              <w:rPr>
                <w:rFonts w:eastAsia="Calibri"/>
                <w:color w:val="000000"/>
              </w:rPr>
              <w:t>Correct the inconsistency in the reporting of key categories within the NIR, including in the annexes to the NIR, wherein cement production (CO₂) was reported as a key category in both the level and trend assessment in NIR table 4.1.2, but as a key category in the level assessment only in NIR section 4.2.1 and as a key category in the trend assessment only (including and excluding LULUCF) in CRF table 7.</w:t>
            </w:r>
          </w:p>
        </w:tc>
        <w:tc>
          <w:tcPr>
            <w:tcW w:w="4806" w:type="dxa"/>
            <w:shd w:val="clear" w:color="auto" w:fill="FFFFFF" w:themeFill="background1"/>
            <w:tcMar>
              <w:top w:w="0" w:type="dxa"/>
              <w:left w:w="85" w:type="dxa"/>
              <w:bottom w:w="0" w:type="dxa"/>
              <w:right w:w="57" w:type="dxa"/>
            </w:tcMar>
          </w:tcPr>
          <w:p w14:paraId="16421D8C" w14:textId="77777777" w:rsidR="005D02EF" w:rsidRPr="009E06AA" w:rsidRDefault="005D02EF" w:rsidP="00B55F24">
            <w:pPr>
              <w:pStyle w:val="TableText"/>
              <w:spacing w:before="30" w:after="30"/>
            </w:pPr>
            <w:r w:rsidRPr="009E06AA">
              <w:rPr>
                <w:rFonts w:eastAsia="Calibri"/>
                <w:color w:val="000000"/>
              </w:rPr>
              <w:t>Not resolved. The Party corrected the inconsistency in the reporting of key categories between NIR table 4.1.2 and section 4.2.1, noting that cement is a key category by level and trend, but continued to report the category as key in the trend assessment only in CRF table 7.</w:t>
            </w:r>
          </w:p>
        </w:tc>
        <w:tc>
          <w:tcPr>
            <w:tcW w:w="2621" w:type="dxa"/>
            <w:shd w:val="clear" w:color="auto" w:fill="FFFFFF" w:themeFill="background1"/>
            <w:tcMar>
              <w:top w:w="0" w:type="dxa"/>
              <w:left w:w="85" w:type="dxa"/>
              <w:bottom w:w="0" w:type="dxa"/>
              <w:right w:w="57" w:type="dxa"/>
            </w:tcMar>
          </w:tcPr>
          <w:p w14:paraId="017441FB" w14:textId="77777777" w:rsidR="005D02EF" w:rsidRPr="009E06AA" w:rsidRDefault="005D02EF" w:rsidP="00B55F24">
            <w:pPr>
              <w:pStyle w:val="TableText"/>
              <w:spacing w:before="30" w:after="30"/>
              <w:rPr>
                <w:rFonts w:eastAsia="Calibri"/>
                <w:color w:val="000000"/>
              </w:rPr>
            </w:pPr>
            <w:r w:rsidRPr="009E06AA">
              <w:rPr>
                <w:rFonts w:eastAsia="Calibri"/>
                <w:b/>
                <w:bCs/>
                <w:color w:val="000000"/>
              </w:rPr>
              <w:t>Resolved</w:t>
            </w:r>
            <w:r w:rsidRPr="009E06AA">
              <w:rPr>
                <w:rFonts w:eastAsia="Calibri"/>
                <w:color w:val="000000"/>
              </w:rPr>
              <w:t>. Key category analysis and estimation of uncertainties have been repeated in the subsequent submissions and these discrepancies have been removed. New Zealand uses a different approach to the key category analysis than CRF table 7. It is described in chapter 1, section 1.4.</w:t>
            </w:r>
          </w:p>
        </w:tc>
      </w:tr>
      <w:tr w:rsidR="005D02EF" w:rsidRPr="009E06AA" w14:paraId="5F5EE3FF" w14:textId="77777777" w:rsidTr="00271345">
        <w:tc>
          <w:tcPr>
            <w:tcW w:w="709" w:type="dxa"/>
            <w:shd w:val="clear" w:color="auto" w:fill="FFFFFF" w:themeFill="background1"/>
            <w:tcMar>
              <w:top w:w="0" w:type="dxa"/>
              <w:left w:w="85" w:type="dxa"/>
              <w:bottom w:w="0" w:type="dxa"/>
              <w:right w:w="57" w:type="dxa"/>
            </w:tcMar>
          </w:tcPr>
          <w:p w14:paraId="692739DF" w14:textId="77777777" w:rsidR="005D02EF" w:rsidRPr="009E06AA" w:rsidRDefault="005D02EF" w:rsidP="00B55F24">
            <w:pPr>
              <w:pStyle w:val="TableText"/>
              <w:spacing w:before="30" w:after="30"/>
            </w:pPr>
            <w:r w:rsidRPr="009E06AA">
              <w:rPr>
                <w:rFonts w:eastAsia="Calibri"/>
                <w:color w:val="000000"/>
              </w:rPr>
              <w:t>I.4</w:t>
            </w:r>
          </w:p>
        </w:tc>
        <w:tc>
          <w:tcPr>
            <w:tcW w:w="2126" w:type="dxa"/>
            <w:shd w:val="clear" w:color="auto" w:fill="FFFFFF" w:themeFill="background1"/>
            <w:tcMar>
              <w:top w:w="0" w:type="dxa"/>
              <w:left w:w="85" w:type="dxa"/>
              <w:bottom w:w="0" w:type="dxa"/>
              <w:right w:w="57" w:type="dxa"/>
            </w:tcMar>
          </w:tcPr>
          <w:p w14:paraId="20E4088A" w14:textId="77777777" w:rsidR="005D02EF" w:rsidRPr="009E06AA" w:rsidRDefault="005D02EF" w:rsidP="00B55F24">
            <w:pPr>
              <w:pStyle w:val="TableText"/>
              <w:spacing w:before="30" w:after="30"/>
            </w:pPr>
            <w:r w:rsidRPr="009E06AA">
              <w:rPr>
                <w:rFonts w:eastAsia="Calibri"/>
                <w:color w:val="000000"/>
              </w:rPr>
              <w:t>2. General (IPPU) – CO₂ (I.4, 2021) (I.26, 2019) Transparency</w:t>
            </w:r>
          </w:p>
        </w:tc>
        <w:tc>
          <w:tcPr>
            <w:tcW w:w="3686" w:type="dxa"/>
            <w:shd w:val="clear" w:color="auto" w:fill="FFFFFF" w:themeFill="background1"/>
            <w:tcMar>
              <w:top w:w="0" w:type="dxa"/>
              <w:left w:w="85" w:type="dxa"/>
              <w:bottom w:w="0" w:type="dxa"/>
              <w:right w:w="57" w:type="dxa"/>
            </w:tcMar>
          </w:tcPr>
          <w:p w14:paraId="67285884" w14:textId="77777777" w:rsidR="005D02EF" w:rsidRPr="009E06AA" w:rsidRDefault="005D02EF" w:rsidP="00B55F24">
            <w:pPr>
              <w:pStyle w:val="TableText"/>
              <w:spacing w:before="30" w:after="30"/>
            </w:pPr>
            <w:r w:rsidRPr="009E06AA">
              <w:rPr>
                <w:rFonts w:eastAsia="Calibri"/>
                <w:color w:val="000000"/>
              </w:rPr>
              <w:t>Explain how the AD for the chemical and metal industries (categories 2.B and 2.C) are obtained.</w:t>
            </w:r>
          </w:p>
        </w:tc>
        <w:tc>
          <w:tcPr>
            <w:tcW w:w="4806" w:type="dxa"/>
            <w:shd w:val="clear" w:color="auto" w:fill="FFFFFF" w:themeFill="background1"/>
            <w:tcMar>
              <w:top w:w="0" w:type="dxa"/>
              <w:left w:w="85" w:type="dxa"/>
              <w:bottom w:w="0" w:type="dxa"/>
              <w:right w:w="57" w:type="dxa"/>
            </w:tcMar>
          </w:tcPr>
          <w:p w14:paraId="11D8BD9C" w14:textId="77777777" w:rsidR="005D02EF" w:rsidRPr="009E06AA" w:rsidRDefault="005D02EF" w:rsidP="00B55F24">
            <w:pPr>
              <w:pStyle w:val="TableText"/>
              <w:spacing w:before="30" w:after="30"/>
            </w:pPr>
            <w:r w:rsidRPr="009E06AA">
              <w:rPr>
                <w:rFonts w:eastAsia="Calibri"/>
                <w:color w:val="000000"/>
              </w:rPr>
              <w:t>Resolved. The description in the NIR (sections 4.3.2 and 4.4.2) has been updated, which explained how the AD for chemical and metal industries are obtained.</w:t>
            </w:r>
          </w:p>
        </w:tc>
        <w:tc>
          <w:tcPr>
            <w:tcW w:w="2621" w:type="dxa"/>
            <w:shd w:val="clear" w:color="auto" w:fill="FFFFFF" w:themeFill="background1"/>
            <w:tcMar>
              <w:top w:w="0" w:type="dxa"/>
              <w:left w:w="85" w:type="dxa"/>
              <w:bottom w:w="0" w:type="dxa"/>
              <w:right w:w="57" w:type="dxa"/>
            </w:tcMar>
          </w:tcPr>
          <w:p w14:paraId="42EED49A" w14:textId="77777777" w:rsidR="005D02EF" w:rsidRPr="009E06AA" w:rsidRDefault="005D02EF" w:rsidP="00B55F24">
            <w:pPr>
              <w:pStyle w:val="TableText"/>
              <w:spacing w:before="30" w:after="30"/>
            </w:pPr>
            <w:r w:rsidRPr="009E06AA">
              <w:t>NA</w:t>
            </w:r>
          </w:p>
        </w:tc>
      </w:tr>
      <w:tr w:rsidR="005D02EF" w:rsidRPr="009E06AA" w14:paraId="730ED874" w14:textId="77777777" w:rsidTr="00271345">
        <w:tc>
          <w:tcPr>
            <w:tcW w:w="709" w:type="dxa"/>
            <w:shd w:val="clear" w:color="auto" w:fill="FFFFFF" w:themeFill="background1"/>
            <w:tcMar>
              <w:top w:w="0" w:type="dxa"/>
              <w:left w:w="85" w:type="dxa"/>
              <w:bottom w:w="0" w:type="dxa"/>
              <w:right w:w="57" w:type="dxa"/>
            </w:tcMar>
          </w:tcPr>
          <w:p w14:paraId="565D957C" w14:textId="77777777" w:rsidR="005D02EF" w:rsidRPr="009E06AA" w:rsidRDefault="005D02EF" w:rsidP="00B55F24">
            <w:pPr>
              <w:pStyle w:val="TableText"/>
              <w:spacing w:before="30" w:after="30"/>
            </w:pPr>
            <w:r w:rsidRPr="009E06AA">
              <w:rPr>
                <w:rFonts w:eastAsia="Calibri"/>
                <w:color w:val="000000"/>
              </w:rPr>
              <w:t>I.5</w:t>
            </w:r>
          </w:p>
        </w:tc>
        <w:tc>
          <w:tcPr>
            <w:tcW w:w="2126" w:type="dxa"/>
            <w:shd w:val="clear" w:color="auto" w:fill="FFFFFF" w:themeFill="background1"/>
            <w:tcMar>
              <w:top w:w="0" w:type="dxa"/>
              <w:left w:w="85" w:type="dxa"/>
              <w:bottom w:w="0" w:type="dxa"/>
              <w:right w:w="57" w:type="dxa"/>
            </w:tcMar>
          </w:tcPr>
          <w:p w14:paraId="5F3CACCE" w14:textId="77777777" w:rsidR="005D02EF" w:rsidRPr="009E06AA" w:rsidRDefault="005D02EF" w:rsidP="00B55F24">
            <w:pPr>
              <w:pStyle w:val="TableText"/>
              <w:spacing w:before="30" w:after="30"/>
            </w:pPr>
            <w:r w:rsidRPr="009E06AA">
              <w:rPr>
                <w:rFonts w:eastAsia="Calibri"/>
                <w:color w:val="000000"/>
              </w:rPr>
              <w:t>2.A.2 Lime production – CO₂ (I.6, 2021) (I.6, 2019) (I.23, 2017) Transparency</w:t>
            </w:r>
          </w:p>
        </w:tc>
        <w:tc>
          <w:tcPr>
            <w:tcW w:w="3686" w:type="dxa"/>
            <w:shd w:val="clear" w:color="auto" w:fill="FFFFFF" w:themeFill="background1"/>
            <w:tcMar>
              <w:top w:w="0" w:type="dxa"/>
              <w:left w:w="85" w:type="dxa"/>
              <w:bottom w:w="0" w:type="dxa"/>
              <w:right w:w="57" w:type="dxa"/>
            </w:tcMar>
          </w:tcPr>
          <w:p w14:paraId="35BE5738" w14:textId="77777777" w:rsidR="005D02EF" w:rsidRPr="009E06AA" w:rsidRDefault="005D02EF" w:rsidP="00B55F24">
            <w:pPr>
              <w:pStyle w:val="TableText"/>
              <w:spacing w:before="30" w:after="30"/>
            </w:pPr>
            <w:r w:rsidRPr="009E06AA">
              <w:rPr>
                <w:rFonts w:eastAsia="Calibri"/>
                <w:color w:val="000000"/>
              </w:rPr>
              <w:t>Update the description in the NIR to correctly reflect the AD and EFs used and to clarify the assumptions and methods applied for 1990– 2013 and 2014 onward.</w:t>
            </w:r>
          </w:p>
        </w:tc>
        <w:tc>
          <w:tcPr>
            <w:tcW w:w="4806" w:type="dxa"/>
            <w:shd w:val="clear" w:color="auto" w:fill="FFFFFF" w:themeFill="background1"/>
            <w:tcMar>
              <w:top w:w="0" w:type="dxa"/>
              <w:left w:w="85" w:type="dxa"/>
              <w:bottom w:w="0" w:type="dxa"/>
              <w:right w:w="57" w:type="dxa"/>
            </w:tcMar>
          </w:tcPr>
          <w:p w14:paraId="6224C6E6" w14:textId="77777777" w:rsidR="005D02EF" w:rsidRPr="009E06AA" w:rsidRDefault="005D02EF" w:rsidP="00B55F24">
            <w:pPr>
              <w:pStyle w:val="TableText"/>
              <w:spacing w:before="30" w:after="30"/>
            </w:pPr>
            <w:r w:rsidRPr="009E06AA">
              <w:rPr>
                <w:rFonts w:eastAsia="Calibri"/>
                <w:color w:val="000000"/>
              </w:rPr>
              <w:t>Resolved. The Party reported in the NIR (table 10.2.1) that consistent AD are now used for the entire time series. The ERT noted that the NIR includes some changes in the methodological description for estimating emissions from lime production.</w:t>
            </w:r>
          </w:p>
        </w:tc>
        <w:tc>
          <w:tcPr>
            <w:tcW w:w="2621" w:type="dxa"/>
            <w:shd w:val="clear" w:color="auto" w:fill="FFFFFF" w:themeFill="background1"/>
            <w:tcMar>
              <w:top w:w="0" w:type="dxa"/>
              <w:left w:w="85" w:type="dxa"/>
              <w:bottom w:w="0" w:type="dxa"/>
              <w:right w:w="57" w:type="dxa"/>
            </w:tcMar>
          </w:tcPr>
          <w:p w14:paraId="37EF514D" w14:textId="77777777" w:rsidR="005D02EF" w:rsidRPr="009E06AA" w:rsidRDefault="005D02EF" w:rsidP="00B55F24">
            <w:pPr>
              <w:pStyle w:val="TableText"/>
              <w:spacing w:before="30" w:after="30"/>
            </w:pPr>
            <w:r w:rsidRPr="009E06AA">
              <w:t>NA</w:t>
            </w:r>
          </w:p>
        </w:tc>
      </w:tr>
      <w:tr w:rsidR="005D02EF" w:rsidRPr="009E06AA" w14:paraId="3842FC50" w14:textId="77777777" w:rsidTr="00271345">
        <w:tc>
          <w:tcPr>
            <w:tcW w:w="709" w:type="dxa"/>
            <w:shd w:val="clear" w:color="auto" w:fill="FFFFFF" w:themeFill="background1"/>
            <w:tcMar>
              <w:top w:w="0" w:type="dxa"/>
              <w:left w:w="85" w:type="dxa"/>
              <w:bottom w:w="0" w:type="dxa"/>
              <w:right w:w="57" w:type="dxa"/>
            </w:tcMar>
          </w:tcPr>
          <w:p w14:paraId="1B92C00C" w14:textId="77777777" w:rsidR="005D02EF" w:rsidRPr="009E06AA" w:rsidRDefault="005D02EF" w:rsidP="00B55F24">
            <w:pPr>
              <w:pStyle w:val="TableText"/>
              <w:spacing w:before="30" w:after="30"/>
            </w:pPr>
            <w:r w:rsidRPr="009E06AA">
              <w:rPr>
                <w:rFonts w:eastAsia="Calibri"/>
                <w:color w:val="000000"/>
              </w:rPr>
              <w:t>I.6</w:t>
            </w:r>
          </w:p>
        </w:tc>
        <w:tc>
          <w:tcPr>
            <w:tcW w:w="2126" w:type="dxa"/>
            <w:shd w:val="clear" w:color="auto" w:fill="FFFFFF" w:themeFill="background1"/>
            <w:tcMar>
              <w:top w:w="0" w:type="dxa"/>
              <w:left w:w="85" w:type="dxa"/>
              <w:bottom w:w="0" w:type="dxa"/>
              <w:right w:w="57" w:type="dxa"/>
            </w:tcMar>
          </w:tcPr>
          <w:p w14:paraId="67DE4108" w14:textId="77777777" w:rsidR="005D02EF" w:rsidRPr="009E06AA" w:rsidRDefault="005D02EF" w:rsidP="00B55F24">
            <w:pPr>
              <w:pStyle w:val="TableText"/>
              <w:spacing w:before="30" w:after="30"/>
            </w:pPr>
            <w:r w:rsidRPr="009E06AA">
              <w:rPr>
                <w:rFonts w:eastAsia="Calibri"/>
                <w:color w:val="000000"/>
              </w:rPr>
              <w:t>2.A.2 Lime production – CO₂ (I.7, 2021) (I.24, 2019) Accuracy</w:t>
            </w:r>
          </w:p>
        </w:tc>
        <w:tc>
          <w:tcPr>
            <w:tcW w:w="3686" w:type="dxa"/>
            <w:shd w:val="clear" w:color="auto" w:fill="FFFFFF" w:themeFill="background1"/>
            <w:tcMar>
              <w:top w:w="0" w:type="dxa"/>
              <w:left w:w="85" w:type="dxa"/>
              <w:bottom w:w="0" w:type="dxa"/>
              <w:right w:w="57" w:type="dxa"/>
            </w:tcMar>
          </w:tcPr>
          <w:p w14:paraId="5471C458" w14:textId="77777777" w:rsidR="005D02EF" w:rsidRPr="009E06AA" w:rsidRDefault="005D02EF" w:rsidP="00B55F24">
            <w:pPr>
              <w:pStyle w:val="TableText"/>
              <w:spacing w:before="30" w:after="30"/>
            </w:pPr>
            <w:r w:rsidRPr="009E06AA">
              <w:rPr>
                <w:rFonts w:eastAsia="Calibri"/>
                <w:color w:val="000000"/>
              </w:rPr>
              <w:t>Review and, if necessary, revise the CO₂ EF for kiln dust, noting that it cannot be the same as the CO₂ EF for calcium oxide because the dust contains a mixture of calcium oxide and magnesium oxide.</w:t>
            </w:r>
          </w:p>
        </w:tc>
        <w:tc>
          <w:tcPr>
            <w:tcW w:w="4806" w:type="dxa"/>
            <w:shd w:val="clear" w:color="auto" w:fill="FFFFFF" w:themeFill="background1"/>
            <w:tcMar>
              <w:top w:w="0" w:type="dxa"/>
              <w:left w:w="85" w:type="dxa"/>
              <w:bottom w:w="0" w:type="dxa"/>
              <w:right w:w="57" w:type="dxa"/>
            </w:tcMar>
          </w:tcPr>
          <w:p w14:paraId="2B864826" w14:textId="77777777" w:rsidR="005D02EF" w:rsidRPr="009E06AA" w:rsidRDefault="005D02EF" w:rsidP="00B55F24">
            <w:pPr>
              <w:pStyle w:val="TableText"/>
              <w:spacing w:before="30" w:after="30"/>
            </w:pPr>
            <w:r w:rsidRPr="009E06AA">
              <w:rPr>
                <w:rFonts w:eastAsia="Calibri"/>
                <w:color w:val="000000"/>
              </w:rPr>
              <w:t>Resolved. During the review, the Party reported that both companies producing lime in New Zealand reported zero or insignificant amounts of magnesium oxide in kiln dust and therefore no amendment to the CO₂ EF is considered necessary. The ERT considers that the recommendation has been fully addressed and emphasizes the need to reflect such details in future NIRs for the sake of transparency.</w:t>
            </w:r>
          </w:p>
        </w:tc>
        <w:tc>
          <w:tcPr>
            <w:tcW w:w="2621" w:type="dxa"/>
            <w:shd w:val="clear" w:color="auto" w:fill="FFFFFF" w:themeFill="background1"/>
            <w:tcMar>
              <w:top w:w="0" w:type="dxa"/>
              <w:left w:w="85" w:type="dxa"/>
              <w:bottom w:w="0" w:type="dxa"/>
              <w:right w:w="57" w:type="dxa"/>
            </w:tcMar>
          </w:tcPr>
          <w:p w14:paraId="598AAE06" w14:textId="77777777" w:rsidR="005D02EF" w:rsidRPr="009E06AA" w:rsidRDefault="005D02EF" w:rsidP="00B55F24">
            <w:pPr>
              <w:pStyle w:val="TableText"/>
              <w:spacing w:before="30" w:after="30"/>
            </w:pPr>
            <w:r w:rsidRPr="009E06AA">
              <w:t>NA</w:t>
            </w:r>
          </w:p>
        </w:tc>
      </w:tr>
      <w:tr w:rsidR="005D02EF" w:rsidRPr="009E06AA" w14:paraId="44F57BE9" w14:textId="77777777" w:rsidTr="00271345">
        <w:tc>
          <w:tcPr>
            <w:tcW w:w="709" w:type="dxa"/>
            <w:shd w:val="clear" w:color="auto" w:fill="FFFFFF" w:themeFill="background1"/>
            <w:tcMar>
              <w:top w:w="0" w:type="dxa"/>
              <w:left w:w="85" w:type="dxa"/>
              <w:bottom w:w="0" w:type="dxa"/>
              <w:right w:w="57" w:type="dxa"/>
            </w:tcMar>
          </w:tcPr>
          <w:p w14:paraId="7CD6649F" w14:textId="77777777" w:rsidR="005D02EF" w:rsidRPr="009E06AA" w:rsidRDefault="005D02EF" w:rsidP="00B55F24">
            <w:pPr>
              <w:pStyle w:val="TableText"/>
              <w:spacing w:before="30" w:after="30"/>
            </w:pPr>
            <w:r w:rsidRPr="009E06AA">
              <w:rPr>
                <w:rFonts w:eastAsia="Calibri"/>
                <w:color w:val="000000"/>
              </w:rPr>
              <w:t>I.7</w:t>
            </w:r>
          </w:p>
        </w:tc>
        <w:tc>
          <w:tcPr>
            <w:tcW w:w="2126" w:type="dxa"/>
            <w:shd w:val="clear" w:color="auto" w:fill="FFFFFF" w:themeFill="background1"/>
            <w:tcMar>
              <w:top w:w="0" w:type="dxa"/>
              <w:left w:w="85" w:type="dxa"/>
              <w:bottom w:w="0" w:type="dxa"/>
              <w:right w:w="57" w:type="dxa"/>
            </w:tcMar>
          </w:tcPr>
          <w:p w14:paraId="47DF269D" w14:textId="77777777" w:rsidR="005D02EF" w:rsidRPr="009E06AA" w:rsidRDefault="005D02EF" w:rsidP="00B55F24">
            <w:pPr>
              <w:pStyle w:val="TableText"/>
              <w:spacing w:before="30" w:after="30"/>
            </w:pPr>
            <w:r w:rsidRPr="009E06AA">
              <w:rPr>
                <w:rFonts w:eastAsia="Calibri"/>
                <w:color w:val="000000"/>
              </w:rPr>
              <w:t>2.B.1 Ammonia production – CO₂ (I.13, 2021) (I.27, 2019) Comparability</w:t>
            </w:r>
          </w:p>
        </w:tc>
        <w:tc>
          <w:tcPr>
            <w:tcW w:w="3686" w:type="dxa"/>
            <w:shd w:val="clear" w:color="auto" w:fill="FFFFFF" w:themeFill="background1"/>
            <w:tcMar>
              <w:top w:w="0" w:type="dxa"/>
              <w:left w:w="85" w:type="dxa"/>
              <w:bottom w:w="0" w:type="dxa"/>
              <w:right w:w="57" w:type="dxa"/>
            </w:tcMar>
          </w:tcPr>
          <w:p w14:paraId="56D942CE" w14:textId="77777777" w:rsidR="005D02EF" w:rsidRPr="009E06AA" w:rsidRDefault="005D02EF" w:rsidP="00B55F24">
            <w:pPr>
              <w:pStyle w:val="TableText"/>
              <w:spacing w:before="30" w:after="30"/>
            </w:pPr>
            <w:r w:rsidRPr="009E06AA">
              <w:rPr>
                <w:rFonts w:eastAsia="Calibri"/>
                <w:color w:val="000000"/>
              </w:rPr>
              <w:t>Subtract the total quantities of oil and gas used (fuel plus feedstock) in ammonia production from the quantity reported under energy use in the energy sector, include the emissions accordingly in the IPPU sector and explain this reallocation in the NIR.</w:t>
            </w:r>
          </w:p>
        </w:tc>
        <w:tc>
          <w:tcPr>
            <w:tcW w:w="4806" w:type="dxa"/>
            <w:shd w:val="clear" w:color="auto" w:fill="FFFFFF" w:themeFill="background1"/>
            <w:tcMar>
              <w:top w:w="0" w:type="dxa"/>
              <w:left w:w="85" w:type="dxa"/>
              <w:bottom w:w="0" w:type="dxa"/>
              <w:right w:w="57" w:type="dxa"/>
            </w:tcMar>
          </w:tcPr>
          <w:p w14:paraId="67E4B6A5" w14:textId="77777777" w:rsidR="005D02EF" w:rsidRPr="009E06AA" w:rsidRDefault="005D02EF" w:rsidP="00B55F24">
            <w:pPr>
              <w:pStyle w:val="TableText"/>
              <w:spacing w:before="30" w:after="30"/>
            </w:pPr>
            <w:r w:rsidRPr="009E06AA">
              <w:rPr>
                <w:rFonts w:eastAsia="Calibri"/>
                <w:color w:val="000000"/>
              </w:rPr>
              <w:t>Addressing. During the review, the ERT asked New Zealand to clarify its response that “the recommendation cannot be implemented because information submitted by the plant operators is subject to an obligation to keep gas consumption data confidential”. The Party clarified that there was a misunderstanding on the exact requirement of the recommendation and explained that feedstock gas used for ammonia production was not included in the emissions reported for the energy sector and that appropriate notation keys will be used in future annual submissions to reflect any confidentiality issues.</w:t>
            </w:r>
          </w:p>
        </w:tc>
        <w:tc>
          <w:tcPr>
            <w:tcW w:w="2621" w:type="dxa"/>
            <w:shd w:val="clear" w:color="auto" w:fill="FFFFFF" w:themeFill="background1"/>
            <w:tcMar>
              <w:top w:w="0" w:type="dxa"/>
              <w:left w:w="85" w:type="dxa"/>
              <w:bottom w:w="0" w:type="dxa"/>
              <w:right w:w="57" w:type="dxa"/>
            </w:tcMar>
          </w:tcPr>
          <w:p w14:paraId="4C3FC1AA" w14:textId="77777777" w:rsidR="005D02EF" w:rsidRPr="009E06AA" w:rsidRDefault="005D02EF" w:rsidP="00B55F24">
            <w:pPr>
              <w:pStyle w:val="TableText"/>
              <w:spacing w:before="30" w:after="30"/>
              <w:rPr>
                <w:rFonts w:eastAsia="Calibri"/>
                <w:color w:val="000000"/>
              </w:rPr>
            </w:pPr>
            <w:r w:rsidRPr="009E06AA">
              <w:rPr>
                <w:rFonts w:eastAsia="Calibri"/>
                <w:b/>
                <w:color w:val="000000"/>
              </w:rPr>
              <w:t>Resolved</w:t>
            </w:r>
            <w:r w:rsidRPr="009E06AA">
              <w:rPr>
                <w:rFonts w:eastAsia="Calibri"/>
                <w:color w:val="000000"/>
              </w:rPr>
              <w:t>. This recommendation has been actioned. An explanation is provided in chapter 4.</w:t>
            </w:r>
          </w:p>
        </w:tc>
      </w:tr>
      <w:tr w:rsidR="005D02EF" w:rsidRPr="009E06AA" w14:paraId="5801AE82" w14:textId="77777777" w:rsidTr="00271345">
        <w:tc>
          <w:tcPr>
            <w:tcW w:w="709" w:type="dxa"/>
            <w:shd w:val="clear" w:color="auto" w:fill="FFFFFF" w:themeFill="background1"/>
            <w:tcMar>
              <w:top w:w="0" w:type="dxa"/>
              <w:left w:w="85" w:type="dxa"/>
              <w:bottom w:w="0" w:type="dxa"/>
              <w:right w:w="57" w:type="dxa"/>
            </w:tcMar>
          </w:tcPr>
          <w:p w14:paraId="189F7BBA" w14:textId="77777777" w:rsidR="005D02EF" w:rsidRPr="009E06AA" w:rsidRDefault="005D02EF" w:rsidP="00B55F24">
            <w:pPr>
              <w:pStyle w:val="TableText"/>
              <w:spacing w:before="30" w:after="30"/>
            </w:pPr>
            <w:r w:rsidRPr="009E06AA">
              <w:rPr>
                <w:rFonts w:eastAsia="Calibri"/>
                <w:color w:val="000000"/>
              </w:rPr>
              <w:t>I.8</w:t>
            </w:r>
          </w:p>
        </w:tc>
        <w:tc>
          <w:tcPr>
            <w:tcW w:w="2126" w:type="dxa"/>
            <w:shd w:val="clear" w:color="auto" w:fill="FFFFFF" w:themeFill="background1"/>
            <w:tcMar>
              <w:top w:w="0" w:type="dxa"/>
              <w:left w:w="85" w:type="dxa"/>
              <w:bottom w:w="0" w:type="dxa"/>
              <w:right w:w="57" w:type="dxa"/>
            </w:tcMar>
          </w:tcPr>
          <w:p w14:paraId="395A5F7E" w14:textId="77777777" w:rsidR="005D02EF" w:rsidRPr="009E06AA" w:rsidRDefault="005D02EF" w:rsidP="00B55F24">
            <w:pPr>
              <w:pStyle w:val="TableText"/>
              <w:spacing w:before="30" w:after="30"/>
            </w:pPr>
            <w:r w:rsidRPr="009E06AA">
              <w:rPr>
                <w:rFonts w:eastAsia="Calibri"/>
                <w:color w:val="000000"/>
              </w:rPr>
              <w:t>2.C.1 Iron and steel production – CO₂ (I.14, 2021) (I.11, 2019) (I.26, 2017) Completeness</w:t>
            </w:r>
          </w:p>
        </w:tc>
        <w:tc>
          <w:tcPr>
            <w:tcW w:w="3686" w:type="dxa"/>
            <w:shd w:val="clear" w:color="auto" w:fill="FFFFFF" w:themeFill="background1"/>
            <w:tcMar>
              <w:top w:w="0" w:type="dxa"/>
              <w:left w:w="85" w:type="dxa"/>
              <w:bottom w:w="0" w:type="dxa"/>
              <w:right w:w="57" w:type="dxa"/>
            </w:tcMar>
          </w:tcPr>
          <w:p w14:paraId="5B0E4534" w14:textId="77777777" w:rsidR="005D02EF" w:rsidRPr="009E06AA" w:rsidRDefault="005D02EF" w:rsidP="00B55F24">
            <w:pPr>
              <w:pStyle w:val="TableText"/>
              <w:spacing w:before="30" w:after="30"/>
            </w:pPr>
            <w:r w:rsidRPr="009E06AA">
              <w:rPr>
                <w:rFonts w:eastAsia="Calibri"/>
                <w:color w:val="000000"/>
              </w:rPr>
              <w:t>Estimate CO₂ emissions from electric steel production at the Pacific Steel plant, either by using a carbon balance or by applying an appropriate EF, and report these emissions under category 2.C.1.</w:t>
            </w:r>
          </w:p>
        </w:tc>
        <w:tc>
          <w:tcPr>
            <w:tcW w:w="4806" w:type="dxa"/>
            <w:shd w:val="clear" w:color="auto" w:fill="FFFFFF" w:themeFill="background1"/>
            <w:tcMar>
              <w:top w:w="0" w:type="dxa"/>
              <w:left w:w="85" w:type="dxa"/>
              <w:bottom w:w="0" w:type="dxa"/>
              <w:right w:w="57" w:type="dxa"/>
            </w:tcMar>
          </w:tcPr>
          <w:p w14:paraId="4D81D353" w14:textId="77777777" w:rsidR="005D02EF" w:rsidRPr="009E06AA" w:rsidRDefault="005D02EF" w:rsidP="00B55F24">
            <w:pPr>
              <w:pStyle w:val="TableText"/>
              <w:spacing w:before="30" w:after="30"/>
            </w:pPr>
            <w:r w:rsidRPr="009E06AA">
              <w:rPr>
                <w:rFonts w:eastAsia="Calibri"/>
                <w:color w:val="000000"/>
              </w:rPr>
              <w:t>Not resolved. The Party reported in its NIR (table 10.2.1) that the plant was closed in 2015. The ERT notes that the fact that the plant was closed in 2015 does not address the completeness issue for 1990–2015, assuming that the plant was in operation during that complete time period.</w:t>
            </w:r>
          </w:p>
        </w:tc>
        <w:tc>
          <w:tcPr>
            <w:tcW w:w="2621" w:type="dxa"/>
            <w:shd w:val="clear" w:color="auto" w:fill="FFFFFF" w:themeFill="background1"/>
            <w:tcMar>
              <w:top w:w="0" w:type="dxa"/>
              <w:left w:w="85" w:type="dxa"/>
              <w:bottom w:w="0" w:type="dxa"/>
              <w:right w:w="57" w:type="dxa"/>
            </w:tcMar>
          </w:tcPr>
          <w:p w14:paraId="08950587" w14:textId="77777777" w:rsidR="005D02EF" w:rsidRPr="009E06AA" w:rsidRDefault="005D02EF" w:rsidP="00B55F24">
            <w:pPr>
              <w:pStyle w:val="TableText"/>
              <w:spacing w:before="30" w:after="30"/>
            </w:pPr>
            <w:r w:rsidRPr="009E06AA">
              <w:rPr>
                <w:rFonts w:eastAsia="Calibri"/>
                <w:b/>
                <w:bCs/>
                <w:color w:val="000000"/>
              </w:rPr>
              <w:t>Resolved</w:t>
            </w:r>
            <w:r w:rsidRPr="009E06AA">
              <w:rPr>
                <w:rFonts w:eastAsia="Calibri"/>
                <w:color w:val="000000"/>
              </w:rPr>
              <w:t>. New Zealand estimates CO</w:t>
            </w:r>
            <w:r w:rsidRPr="009E06AA">
              <w:rPr>
                <w:rFonts w:eastAsia="Calibri"/>
                <w:color w:val="000000"/>
                <w:vertAlign w:val="subscript"/>
              </w:rPr>
              <w:t>2</w:t>
            </w:r>
            <w:r w:rsidRPr="009E06AA">
              <w:rPr>
                <w:rFonts w:eastAsia="Calibri"/>
                <w:color w:val="000000"/>
              </w:rPr>
              <w:t xml:space="preserve"> emissions from electric steel production at the Pacific Steel plant using an approximate carbon balance. This is described in the chapter 4, section 4.4.2.</w:t>
            </w:r>
          </w:p>
        </w:tc>
      </w:tr>
      <w:tr w:rsidR="005D02EF" w:rsidRPr="009E06AA" w14:paraId="7693D30F" w14:textId="77777777" w:rsidTr="00271345">
        <w:tc>
          <w:tcPr>
            <w:tcW w:w="709" w:type="dxa"/>
            <w:shd w:val="clear" w:color="auto" w:fill="FFFFFF" w:themeFill="background1"/>
            <w:tcMar>
              <w:top w:w="0" w:type="dxa"/>
              <w:left w:w="85" w:type="dxa"/>
              <w:bottom w:w="0" w:type="dxa"/>
              <w:right w:w="57" w:type="dxa"/>
            </w:tcMar>
          </w:tcPr>
          <w:p w14:paraId="5390A058" w14:textId="77777777" w:rsidR="005D02EF" w:rsidRPr="009E06AA" w:rsidRDefault="005D02EF" w:rsidP="00B55F24">
            <w:pPr>
              <w:pStyle w:val="TableText"/>
              <w:spacing w:before="30" w:after="30"/>
            </w:pPr>
            <w:r w:rsidRPr="009E06AA">
              <w:rPr>
                <w:rFonts w:eastAsia="Calibri"/>
                <w:color w:val="000000"/>
              </w:rPr>
              <w:t>I.9</w:t>
            </w:r>
          </w:p>
        </w:tc>
        <w:tc>
          <w:tcPr>
            <w:tcW w:w="2126" w:type="dxa"/>
            <w:shd w:val="clear" w:color="auto" w:fill="FFFFFF" w:themeFill="background1"/>
            <w:tcMar>
              <w:top w:w="0" w:type="dxa"/>
              <w:left w:w="85" w:type="dxa"/>
              <w:bottom w:w="0" w:type="dxa"/>
              <w:right w:w="57" w:type="dxa"/>
            </w:tcMar>
          </w:tcPr>
          <w:p w14:paraId="6E64381E" w14:textId="77777777" w:rsidR="005D02EF" w:rsidRPr="009E06AA" w:rsidRDefault="005D02EF" w:rsidP="00B55F24">
            <w:pPr>
              <w:pStyle w:val="TableText"/>
              <w:spacing w:before="30" w:after="30"/>
            </w:pPr>
            <w:r w:rsidRPr="009E06AA">
              <w:rPr>
                <w:rFonts w:eastAsia="Calibri"/>
                <w:color w:val="000000"/>
              </w:rPr>
              <w:t>2.C.1 Iron and steel production – CH₄ (I.25, 2021) Completeness</w:t>
            </w:r>
          </w:p>
        </w:tc>
        <w:tc>
          <w:tcPr>
            <w:tcW w:w="3686" w:type="dxa"/>
            <w:shd w:val="clear" w:color="auto" w:fill="FFFFFF" w:themeFill="background1"/>
            <w:tcMar>
              <w:top w:w="0" w:type="dxa"/>
              <w:left w:w="85" w:type="dxa"/>
              <w:bottom w:w="0" w:type="dxa"/>
              <w:right w:w="57" w:type="dxa"/>
            </w:tcMar>
          </w:tcPr>
          <w:p w14:paraId="15C9C32C" w14:textId="77777777" w:rsidR="005D02EF" w:rsidRPr="009E06AA" w:rsidRDefault="005D02EF" w:rsidP="00B55F24">
            <w:pPr>
              <w:pStyle w:val="TableText"/>
              <w:spacing w:before="30" w:after="30"/>
            </w:pPr>
            <w:r w:rsidRPr="009E06AA">
              <w:rPr>
                <w:rFonts w:eastAsia="Calibri"/>
                <w:color w:val="000000"/>
              </w:rPr>
              <w:t>Investigate all the potential CH₄ sources and report CH₄ emissions from iron and steel production under category 2.C.1 for the entire time series using a methodology consistent with the decision tree in the 2006 IPCC Guidelines (vol. 3, chap. 4, p.4.20, figure 4.8). Include a description of the methodologies, AD and EFs used for the estimates. Alternatively, report the emissions as “NE” and demonstrate in the NIR that the likely level of emissions is below the significance threshold indicated in paragraph 37(b) of the UNFCCC Annex I inventory reporting guidelines.</w:t>
            </w:r>
          </w:p>
        </w:tc>
        <w:tc>
          <w:tcPr>
            <w:tcW w:w="4806" w:type="dxa"/>
            <w:shd w:val="clear" w:color="auto" w:fill="FFFFFF" w:themeFill="background1"/>
            <w:tcMar>
              <w:top w:w="0" w:type="dxa"/>
              <w:left w:w="85" w:type="dxa"/>
              <w:bottom w:w="0" w:type="dxa"/>
              <w:right w:w="57" w:type="dxa"/>
            </w:tcMar>
          </w:tcPr>
          <w:p w14:paraId="78513497" w14:textId="77777777" w:rsidR="005D02EF" w:rsidRPr="009E06AA" w:rsidRDefault="005D02EF" w:rsidP="00B55F24">
            <w:pPr>
              <w:pStyle w:val="TableText"/>
              <w:spacing w:before="30" w:after="30"/>
            </w:pPr>
            <w:r w:rsidRPr="009E06AA">
              <w:rPr>
                <w:rFonts w:eastAsia="Calibri"/>
                <w:color w:val="000000"/>
              </w:rPr>
              <w:t>Addressing. During the review, the Party stated that it approached the steel company with a request for any available updated information on AD and that discussions with the steel company are ongoing.</w:t>
            </w:r>
          </w:p>
        </w:tc>
        <w:tc>
          <w:tcPr>
            <w:tcW w:w="2621" w:type="dxa"/>
            <w:shd w:val="clear" w:color="auto" w:fill="FFFFFF" w:themeFill="background1"/>
            <w:tcMar>
              <w:top w:w="0" w:type="dxa"/>
              <w:left w:w="85" w:type="dxa"/>
              <w:bottom w:w="0" w:type="dxa"/>
              <w:right w:w="57" w:type="dxa"/>
            </w:tcMar>
          </w:tcPr>
          <w:p w14:paraId="5E5B7B3E" w14:textId="77777777" w:rsidR="005D02EF" w:rsidRPr="009E06AA" w:rsidRDefault="005D02EF" w:rsidP="00B55F24">
            <w:pPr>
              <w:pStyle w:val="TableText"/>
              <w:spacing w:before="30" w:after="30"/>
              <w:rPr>
                <w:rFonts w:eastAsia="Calibri"/>
                <w:i/>
              </w:rPr>
            </w:pPr>
            <w:r w:rsidRPr="009E06AA">
              <w:rPr>
                <w:rFonts w:eastAsia="Calibri"/>
                <w:b/>
                <w:color w:val="000000"/>
              </w:rPr>
              <w:t>Addressing</w:t>
            </w:r>
            <w:r w:rsidRPr="009E06AA">
              <w:rPr>
                <w:rFonts w:eastAsia="Calibri"/>
                <w:color w:val="000000"/>
              </w:rPr>
              <w:t>. Discussions with the steel company are ongoing.</w:t>
            </w:r>
          </w:p>
        </w:tc>
      </w:tr>
      <w:tr w:rsidR="005D02EF" w:rsidRPr="009E06AA" w14:paraId="683DEA72" w14:textId="77777777" w:rsidTr="00271345">
        <w:tc>
          <w:tcPr>
            <w:tcW w:w="709" w:type="dxa"/>
            <w:shd w:val="clear" w:color="auto" w:fill="FFFFFF" w:themeFill="background1"/>
            <w:tcMar>
              <w:top w:w="0" w:type="dxa"/>
              <w:left w:w="85" w:type="dxa"/>
              <w:bottom w:w="0" w:type="dxa"/>
              <w:right w:w="57" w:type="dxa"/>
            </w:tcMar>
          </w:tcPr>
          <w:p w14:paraId="2014E8FA" w14:textId="77777777" w:rsidR="005D02EF" w:rsidRPr="009E06AA" w:rsidRDefault="005D02EF" w:rsidP="00B55F24">
            <w:pPr>
              <w:pStyle w:val="TableText"/>
              <w:spacing w:before="30" w:after="30"/>
            </w:pPr>
            <w:r w:rsidRPr="009E06AA">
              <w:rPr>
                <w:rFonts w:eastAsia="Calibri"/>
                <w:color w:val="000000"/>
              </w:rPr>
              <w:t>I.10</w:t>
            </w:r>
          </w:p>
        </w:tc>
        <w:tc>
          <w:tcPr>
            <w:tcW w:w="2126" w:type="dxa"/>
            <w:shd w:val="clear" w:color="auto" w:fill="FFFFFF" w:themeFill="background1"/>
            <w:tcMar>
              <w:top w:w="0" w:type="dxa"/>
              <w:left w:w="85" w:type="dxa"/>
              <w:bottom w:w="0" w:type="dxa"/>
              <w:right w:w="57" w:type="dxa"/>
            </w:tcMar>
          </w:tcPr>
          <w:p w14:paraId="5D3A827B" w14:textId="77777777" w:rsidR="005D02EF" w:rsidRPr="009E06AA" w:rsidRDefault="005D02EF" w:rsidP="00B55F24">
            <w:pPr>
              <w:pStyle w:val="TableText"/>
              <w:spacing w:before="30" w:after="30"/>
            </w:pPr>
            <w:r w:rsidRPr="009E06AA">
              <w:rPr>
                <w:rFonts w:eastAsia="Calibri"/>
                <w:color w:val="000000"/>
              </w:rPr>
              <w:t>2.C.1 Iron and steel production – CO₂ (I.26, 2021) Transparency</w:t>
            </w:r>
          </w:p>
        </w:tc>
        <w:tc>
          <w:tcPr>
            <w:tcW w:w="3686" w:type="dxa"/>
            <w:shd w:val="clear" w:color="auto" w:fill="FFFFFF" w:themeFill="background1"/>
            <w:tcMar>
              <w:top w:w="0" w:type="dxa"/>
              <w:left w:w="85" w:type="dxa"/>
              <w:bottom w:w="0" w:type="dxa"/>
              <w:right w:w="57" w:type="dxa"/>
            </w:tcMar>
          </w:tcPr>
          <w:p w14:paraId="28AC8359" w14:textId="77777777" w:rsidR="005D02EF" w:rsidRPr="009E06AA" w:rsidRDefault="005D02EF" w:rsidP="00B55F24">
            <w:pPr>
              <w:pStyle w:val="TableText"/>
              <w:spacing w:before="30" w:after="30"/>
            </w:pPr>
            <w:r w:rsidRPr="009E06AA">
              <w:rPr>
                <w:rFonts w:eastAsia="Calibri"/>
                <w:color w:val="000000"/>
              </w:rPr>
              <w:t>Investigate the source of significant changes in the CO₂ IEFs for steel production across the time series and include in the NIR information concerning the trend and the reasons for the changes.</w:t>
            </w:r>
          </w:p>
        </w:tc>
        <w:tc>
          <w:tcPr>
            <w:tcW w:w="4806" w:type="dxa"/>
            <w:shd w:val="clear" w:color="auto" w:fill="FFFFFF" w:themeFill="background1"/>
            <w:tcMar>
              <w:top w:w="0" w:type="dxa"/>
              <w:left w:w="85" w:type="dxa"/>
              <w:bottom w:w="0" w:type="dxa"/>
              <w:right w:w="57" w:type="dxa"/>
            </w:tcMar>
          </w:tcPr>
          <w:p w14:paraId="7D37BEED" w14:textId="77777777" w:rsidR="005D02EF" w:rsidRPr="009E06AA" w:rsidRDefault="005D02EF" w:rsidP="00B55F24">
            <w:pPr>
              <w:pStyle w:val="TableText"/>
              <w:spacing w:before="30" w:after="30"/>
            </w:pPr>
            <w:r w:rsidRPr="009E06AA">
              <w:rPr>
                <w:rFonts w:eastAsia="Calibri"/>
                <w:color w:val="000000"/>
              </w:rPr>
              <w:t>Addressing. Information on the changes in the CO₂ IEFs for steel production across the time series was not included in the NIR. During the review, the Party stated that it approached the steel company with a request for any available updated information on changes affecting the IEFs and that, providing no issues arise, the information will be included in its next annual submission.</w:t>
            </w:r>
          </w:p>
        </w:tc>
        <w:tc>
          <w:tcPr>
            <w:tcW w:w="2621" w:type="dxa"/>
            <w:shd w:val="clear" w:color="auto" w:fill="FFFFFF" w:themeFill="background1"/>
            <w:tcMar>
              <w:top w:w="0" w:type="dxa"/>
              <w:left w:w="85" w:type="dxa"/>
              <w:bottom w:w="0" w:type="dxa"/>
              <w:right w:w="57" w:type="dxa"/>
            </w:tcMar>
          </w:tcPr>
          <w:p w14:paraId="5EA482E1" w14:textId="77777777" w:rsidR="005D02EF" w:rsidRPr="009E06AA" w:rsidRDefault="005D02EF" w:rsidP="00B55F24">
            <w:pPr>
              <w:pStyle w:val="TableText"/>
              <w:spacing w:before="30" w:after="30"/>
              <w:rPr>
                <w:rFonts w:eastAsia="Calibri"/>
                <w:i/>
              </w:rPr>
            </w:pPr>
            <w:r w:rsidRPr="009E06AA">
              <w:rPr>
                <w:rFonts w:eastAsia="Calibri"/>
                <w:b/>
                <w:color w:val="000000"/>
              </w:rPr>
              <w:t>Addressing</w:t>
            </w:r>
            <w:r w:rsidRPr="009E06AA">
              <w:rPr>
                <w:rFonts w:eastAsia="Calibri"/>
                <w:color w:val="000000"/>
              </w:rPr>
              <w:t>. Discissions with the steel company are ongoing.</w:t>
            </w:r>
          </w:p>
        </w:tc>
      </w:tr>
      <w:tr w:rsidR="005D02EF" w:rsidRPr="009E06AA" w14:paraId="588D6955" w14:textId="77777777" w:rsidTr="00271345">
        <w:tc>
          <w:tcPr>
            <w:tcW w:w="709" w:type="dxa"/>
            <w:shd w:val="clear" w:color="auto" w:fill="FFFFFF" w:themeFill="background1"/>
            <w:tcMar>
              <w:top w:w="0" w:type="dxa"/>
              <w:left w:w="85" w:type="dxa"/>
              <w:bottom w:w="0" w:type="dxa"/>
              <w:right w:w="57" w:type="dxa"/>
            </w:tcMar>
          </w:tcPr>
          <w:p w14:paraId="2A580928" w14:textId="77777777" w:rsidR="005D02EF" w:rsidRPr="009E06AA" w:rsidRDefault="005D02EF" w:rsidP="00B55F24">
            <w:pPr>
              <w:pStyle w:val="TableText"/>
              <w:spacing w:before="30" w:after="30"/>
            </w:pPr>
            <w:r w:rsidRPr="009E06AA">
              <w:rPr>
                <w:rFonts w:eastAsia="Calibri"/>
                <w:color w:val="000000"/>
              </w:rPr>
              <w:t>I.11</w:t>
            </w:r>
          </w:p>
        </w:tc>
        <w:tc>
          <w:tcPr>
            <w:tcW w:w="2126" w:type="dxa"/>
            <w:shd w:val="clear" w:color="auto" w:fill="FFFFFF" w:themeFill="background1"/>
            <w:tcMar>
              <w:top w:w="0" w:type="dxa"/>
              <w:left w:w="85" w:type="dxa"/>
              <w:bottom w:w="0" w:type="dxa"/>
              <w:right w:w="57" w:type="dxa"/>
            </w:tcMar>
          </w:tcPr>
          <w:p w14:paraId="0E641309" w14:textId="77777777" w:rsidR="005D02EF" w:rsidRPr="009E06AA" w:rsidRDefault="005D02EF" w:rsidP="00B55F24">
            <w:pPr>
              <w:pStyle w:val="TableText"/>
              <w:spacing w:before="30" w:after="30"/>
            </w:pPr>
            <w:r w:rsidRPr="009E06AA">
              <w:rPr>
                <w:rFonts w:eastAsia="Calibri"/>
                <w:color w:val="000000"/>
              </w:rPr>
              <w:t>2.C.4 Magnesium production – SF₆ (I.15, 2021) (I.14, 2019) (I.28, 2017) Transparency</w:t>
            </w:r>
          </w:p>
        </w:tc>
        <w:tc>
          <w:tcPr>
            <w:tcW w:w="3686" w:type="dxa"/>
            <w:shd w:val="clear" w:color="auto" w:fill="FFFFFF" w:themeFill="background1"/>
            <w:tcMar>
              <w:top w:w="0" w:type="dxa"/>
              <w:left w:w="85" w:type="dxa"/>
              <w:bottom w:w="0" w:type="dxa"/>
              <w:right w:w="57" w:type="dxa"/>
            </w:tcMar>
          </w:tcPr>
          <w:p w14:paraId="303AE908" w14:textId="77777777" w:rsidR="005D02EF" w:rsidRPr="009E06AA" w:rsidRDefault="005D02EF" w:rsidP="00B55F24">
            <w:pPr>
              <w:pStyle w:val="TableText"/>
              <w:spacing w:before="30" w:after="30"/>
            </w:pPr>
            <w:r w:rsidRPr="009E06AA">
              <w:rPr>
                <w:rFonts w:eastAsia="Calibri"/>
                <w:color w:val="000000"/>
              </w:rPr>
              <w:t>State in the NIR that, for SF₆ emissions from magnesium casting, a country-specific uncertainty is used rather than the IPCC default uncertainty and explain the reason for its use.</w:t>
            </w:r>
          </w:p>
        </w:tc>
        <w:tc>
          <w:tcPr>
            <w:tcW w:w="4806" w:type="dxa"/>
            <w:shd w:val="clear" w:color="auto" w:fill="FFFFFF" w:themeFill="background1"/>
            <w:tcMar>
              <w:top w:w="0" w:type="dxa"/>
              <w:left w:w="85" w:type="dxa"/>
              <w:bottom w:w="0" w:type="dxa"/>
              <w:right w:w="57" w:type="dxa"/>
            </w:tcMar>
          </w:tcPr>
          <w:p w14:paraId="5F0AAA8D" w14:textId="77777777" w:rsidR="005D02EF" w:rsidRPr="009E06AA" w:rsidRDefault="005D02EF" w:rsidP="00B55F24">
            <w:pPr>
              <w:pStyle w:val="TableText"/>
              <w:spacing w:before="30" w:after="30"/>
            </w:pPr>
            <w:r w:rsidRPr="009E06AA">
              <w:rPr>
                <w:rFonts w:eastAsia="Calibri"/>
                <w:color w:val="000000"/>
              </w:rPr>
              <w:t>Not resolved. The ERT could not find a statement in the NIR indicating that, for SF₆ emissions from magnesium casting, a country-specific uncertainty is used rather than the IPCC default uncertainty. During the review, the Party stated that an explanation is provided in the NIR (section 4.4.2), which states that, for such a small emissions source (estimated at 120 kg SF₆ or less than 3 kt CO₂ eq/year), only approximate estimates of the quantities of SF₆ used are available.</w:t>
            </w:r>
          </w:p>
        </w:tc>
        <w:tc>
          <w:tcPr>
            <w:tcW w:w="2621" w:type="dxa"/>
            <w:shd w:val="clear" w:color="auto" w:fill="FFFFFF" w:themeFill="background1"/>
            <w:tcMar>
              <w:top w:w="0" w:type="dxa"/>
              <w:left w:w="85" w:type="dxa"/>
              <w:bottom w:w="0" w:type="dxa"/>
              <w:right w:w="57" w:type="dxa"/>
            </w:tcMar>
          </w:tcPr>
          <w:p w14:paraId="373DCA7A" w14:textId="77777777" w:rsidR="005D02EF" w:rsidRPr="009E06AA" w:rsidRDefault="005D02EF" w:rsidP="00B55F24">
            <w:pPr>
              <w:pStyle w:val="TableText"/>
              <w:spacing w:before="30" w:after="30"/>
              <w:rPr>
                <w:rFonts w:eastAsia="Calibri"/>
                <w:i/>
              </w:rPr>
            </w:pPr>
            <w:r w:rsidRPr="009E06AA">
              <w:rPr>
                <w:rFonts w:eastAsia="Calibri"/>
                <w:b/>
                <w:color w:val="000000"/>
              </w:rPr>
              <w:t>Resolved</w:t>
            </w:r>
            <w:r w:rsidRPr="009E06AA">
              <w:rPr>
                <w:rFonts w:eastAsia="Calibri"/>
                <w:color w:val="000000"/>
              </w:rPr>
              <w:t>. New Zealand has updated the text (chapter 4, section 4.4.3) to explain that it uses a country-specific uncertainty value for AD in SF</w:t>
            </w:r>
            <w:r w:rsidRPr="009E06AA">
              <w:rPr>
                <w:rFonts w:eastAsia="Calibri"/>
                <w:color w:val="000000"/>
                <w:vertAlign w:val="subscript"/>
              </w:rPr>
              <w:t>6</w:t>
            </w:r>
            <w:r w:rsidRPr="009E06AA">
              <w:rPr>
                <w:rFonts w:eastAsia="Calibri"/>
                <w:color w:val="000000"/>
              </w:rPr>
              <w:t xml:space="preserve"> emissions from magnesium casting.</w:t>
            </w:r>
          </w:p>
        </w:tc>
      </w:tr>
      <w:tr w:rsidR="005D02EF" w:rsidRPr="009E06AA" w14:paraId="034E88F5" w14:textId="77777777" w:rsidTr="00271345">
        <w:tc>
          <w:tcPr>
            <w:tcW w:w="709" w:type="dxa"/>
            <w:shd w:val="clear" w:color="auto" w:fill="FFFFFF" w:themeFill="background1"/>
            <w:tcMar>
              <w:top w:w="0" w:type="dxa"/>
              <w:left w:w="85" w:type="dxa"/>
              <w:bottom w:w="0" w:type="dxa"/>
              <w:right w:w="57" w:type="dxa"/>
            </w:tcMar>
          </w:tcPr>
          <w:p w14:paraId="440ED8DD" w14:textId="77777777" w:rsidR="005D02EF" w:rsidRPr="009E06AA" w:rsidRDefault="005D02EF" w:rsidP="00B55F24">
            <w:pPr>
              <w:pStyle w:val="TableText"/>
              <w:spacing w:before="30" w:after="30"/>
            </w:pPr>
            <w:r w:rsidRPr="009E06AA">
              <w:rPr>
                <w:rFonts w:eastAsia="Calibri"/>
                <w:color w:val="000000"/>
              </w:rPr>
              <w:t>I.12</w:t>
            </w:r>
          </w:p>
        </w:tc>
        <w:tc>
          <w:tcPr>
            <w:tcW w:w="2126" w:type="dxa"/>
            <w:shd w:val="clear" w:color="auto" w:fill="FFFFFF" w:themeFill="background1"/>
            <w:tcMar>
              <w:top w:w="0" w:type="dxa"/>
              <w:left w:w="85" w:type="dxa"/>
              <w:bottom w:w="0" w:type="dxa"/>
              <w:right w:w="57" w:type="dxa"/>
            </w:tcMar>
          </w:tcPr>
          <w:p w14:paraId="08A28136" w14:textId="77777777" w:rsidR="005D02EF" w:rsidRPr="009E06AA" w:rsidRDefault="005D02EF" w:rsidP="00B55F24">
            <w:pPr>
              <w:pStyle w:val="TableText"/>
              <w:spacing w:before="30" w:after="30"/>
            </w:pPr>
            <w:r w:rsidRPr="009E06AA">
              <w:rPr>
                <w:rFonts w:eastAsia="Calibri"/>
                <w:color w:val="000000"/>
              </w:rPr>
              <w:t>2.D.1 Lubricant use – CO₂ (I.16, 2021) (I.28, 2019) Transparency</w:t>
            </w:r>
          </w:p>
        </w:tc>
        <w:tc>
          <w:tcPr>
            <w:tcW w:w="3686" w:type="dxa"/>
            <w:shd w:val="clear" w:color="auto" w:fill="FFFFFF" w:themeFill="background1"/>
            <w:tcMar>
              <w:top w:w="0" w:type="dxa"/>
              <w:left w:w="85" w:type="dxa"/>
              <w:bottom w:w="0" w:type="dxa"/>
              <w:right w:w="57" w:type="dxa"/>
            </w:tcMar>
          </w:tcPr>
          <w:p w14:paraId="5D43AFCF" w14:textId="77777777" w:rsidR="005D02EF" w:rsidRPr="009E06AA" w:rsidRDefault="005D02EF" w:rsidP="00B55F24">
            <w:pPr>
              <w:pStyle w:val="TableText"/>
              <w:spacing w:before="30" w:after="30"/>
            </w:pPr>
            <w:r w:rsidRPr="009E06AA">
              <w:rPr>
                <w:rFonts w:eastAsia="Calibri"/>
                <w:color w:val="000000"/>
              </w:rPr>
              <w:t>Improve the information on the CO₂ EF for lubricant use, including the source of the EF.</w:t>
            </w:r>
          </w:p>
        </w:tc>
        <w:tc>
          <w:tcPr>
            <w:tcW w:w="4806" w:type="dxa"/>
            <w:shd w:val="clear" w:color="auto" w:fill="FFFFFF" w:themeFill="background1"/>
            <w:tcMar>
              <w:top w:w="0" w:type="dxa"/>
              <w:left w:w="85" w:type="dxa"/>
              <w:bottom w:w="0" w:type="dxa"/>
              <w:right w:w="57" w:type="dxa"/>
            </w:tcMar>
          </w:tcPr>
          <w:p w14:paraId="08BC8513" w14:textId="77777777" w:rsidR="005D02EF" w:rsidRPr="009E06AA" w:rsidRDefault="005D02EF" w:rsidP="00B55F24">
            <w:pPr>
              <w:pStyle w:val="TableText"/>
              <w:spacing w:before="30" w:after="30"/>
            </w:pPr>
            <w:r w:rsidRPr="009E06AA">
              <w:rPr>
                <w:rFonts w:eastAsia="Calibri"/>
                <w:color w:val="000000"/>
              </w:rPr>
              <w:t>Resolved. The Party reported in its NIR information on the CO₂ EF for lubricant use (section 4.5.2) and that the EF is the IPCC default (table 10.2.2).</w:t>
            </w:r>
          </w:p>
        </w:tc>
        <w:tc>
          <w:tcPr>
            <w:tcW w:w="2621" w:type="dxa"/>
            <w:shd w:val="clear" w:color="auto" w:fill="FFFFFF" w:themeFill="background1"/>
            <w:tcMar>
              <w:top w:w="0" w:type="dxa"/>
              <w:left w:w="85" w:type="dxa"/>
              <w:bottom w:w="0" w:type="dxa"/>
              <w:right w:w="57" w:type="dxa"/>
            </w:tcMar>
          </w:tcPr>
          <w:p w14:paraId="4349DA75" w14:textId="77777777" w:rsidR="005D02EF" w:rsidRPr="009E06AA" w:rsidRDefault="005D02EF" w:rsidP="00B55F24">
            <w:pPr>
              <w:pStyle w:val="TableText"/>
              <w:spacing w:before="30" w:after="30"/>
            </w:pPr>
            <w:r w:rsidRPr="009E06AA">
              <w:t>NA</w:t>
            </w:r>
          </w:p>
        </w:tc>
      </w:tr>
      <w:tr w:rsidR="005D02EF" w:rsidRPr="009E06AA" w14:paraId="68F11BAF" w14:textId="77777777" w:rsidTr="00271345">
        <w:tc>
          <w:tcPr>
            <w:tcW w:w="709" w:type="dxa"/>
            <w:shd w:val="clear" w:color="auto" w:fill="FFFFFF" w:themeFill="background1"/>
            <w:tcMar>
              <w:top w:w="0" w:type="dxa"/>
              <w:left w:w="85" w:type="dxa"/>
              <w:bottom w:w="0" w:type="dxa"/>
              <w:right w:w="57" w:type="dxa"/>
            </w:tcMar>
          </w:tcPr>
          <w:p w14:paraId="76E8D94C" w14:textId="77777777" w:rsidR="005D02EF" w:rsidRPr="009E06AA" w:rsidRDefault="005D02EF" w:rsidP="00B55F24">
            <w:pPr>
              <w:pStyle w:val="TableText"/>
              <w:spacing w:before="30" w:after="30"/>
            </w:pPr>
            <w:r w:rsidRPr="009E06AA">
              <w:rPr>
                <w:rFonts w:eastAsia="Calibri"/>
                <w:color w:val="000000"/>
              </w:rPr>
              <w:t>I.13</w:t>
            </w:r>
          </w:p>
        </w:tc>
        <w:tc>
          <w:tcPr>
            <w:tcW w:w="2126" w:type="dxa"/>
            <w:shd w:val="clear" w:color="auto" w:fill="FFFFFF" w:themeFill="background1"/>
            <w:tcMar>
              <w:top w:w="0" w:type="dxa"/>
              <w:left w:w="85" w:type="dxa"/>
              <w:bottom w:w="0" w:type="dxa"/>
              <w:right w:w="57" w:type="dxa"/>
            </w:tcMar>
          </w:tcPr>
          <w:p w14:paraId="5DE51E96" w14:textId="77777777" w:rsidR="005D02EF" w:rsidRPr="009E06AA" w:rsidRDefault="005D02EF" w:rsidP="00B55F24">
            <w:pPr>
              <w:pStyle w:val="TableText"/>
              <w:spacing w:before="30" w:after="30"/>
            </w:pPr>
            <w:r w:rsidRPr="009E06AA">
              <w:rPr>
                <w:rFonts w:eastAsia="Calibri"/>
                <w:color w:val="000000"/>
              </w:rPr>
              <w:t>2.F Product uses as substitutes for ozone- depleting substances – HFCs (I.17, 2021) (I.18, 2019) (I.30, 2017) Transparency</w:t>
            </w:r>
          </w:p>
        </w:tc>
        <w:tc>
          <w:tcPr>
            <w:tcW w:w="3686" w:type="dxa"/>
            <w:shd w:val="clear" w:color="auto" w:fill="FFFFFF" w:themeFill="background1"/>
            <w:tcMar>
              <w:top w:w="0" w:type="dxa"/>
              <w:left w:w="85" w:type="dxa"/>
              <w:bottom w:w="0" w:type="dxa"/>
              <w:right w:w="57" w:type="dxa"/>
            </w:tcMar>
          </w:tcPr>
          <w:p w14:paraId="39D35981" w14:textId="77777777" w:rsidR="005D02EF" w:rsidRPr="009E06AA" w:rsidRDefault="005D02EF" w:rsidP="00B55F24">
            <w:pPr>
              <w:pStyle w:val="TableText"/>
              <w:spacing w:before="30" w:after="30"/>
            </w:pPr>
            <w:r w:rsidRPr="009E06AA">
              <w:rPr>
                <w:rFonts w:eastAsia="Calibri"/>
                <w:color w:val="000000"/>
              </w:rPr>
              <w:t>Explain, in section 4.7.3 of the NIR, which approach (other than a combination of uncertainties) was used to derive the uncertainty of 35 per cent presented in NIR table A2.1.1.</w:t>
            </w:r>
          </w:p>
        </w:tc>
        <w:tc>
          <w:tcPr>
            <w:tcW w:w="4806" w:type="dxa"/>
            <w:shd w:val="clear" w:color="auto" w:fill="FFFFFF" w:themeFill="background1"/>
            <w:tcMar>
              <w:top w:w="0" w:type="dxa"/>
              <w:left w:w="85" w:type="dxa"/>
              <w:bottom w:w="0" w:type="dxa"/>
              <w:right w:w="57" w:type="dxa"/>
            </w:tcMar>
          </w:tcPr>
          <w:p w14:paraId="7C1D6ABF" w14:textId="77777777" w:rsidR="005D02EF" w:rsidRPr="009E06AA" w:rsidRDefault="005D02EF" w:rsidP="00B55F24">
            <w:pPr>
              <w:pStyle w:val="TableText"/>
              <w:spacing w:before="30" w:after="30"/>
            </w:pPr>
            <w:r w:rsidRPr="009E06AA">
              <w:rPr>
                <w:rFonts w:eastAsia="Calibri"/>
                <w:color w:val="000000"/>
              </w:rPr>
              <w:t>Resolved. The Party reported in its NIR (table 10.2.1) that an explanation was provided to the previous ERT and the approach is briefly explained in the NIR (section 4.7.3). During the review, the Party explained that the uncertainties are ±20 per cent for household refrigerators, 30 per cent for self</w:t>
            </w:r>
            <w:r w:rsidRPr="009E06AA">
              <w:rPr>
                <w:rFonts w:eastAsia="Calibri"/>
                <w:color w:val="000000"/>
              </w:rPr>
              <w:noBreakHyphen/>
              <w:t xml:space="preserve">contained refrigerators, 30 per cent for remote cabinets, 40 per cent for dairy refrigeration, 70 per cent for </w:t>
            </w:r>
            <w:r w:rsidRPr="009E06AA">
              <w:rPr>
                <w:rFonts w:eastAsia="Calibri"/>
                <w:color w:val="000000"/>
                <w:spacing w:val="-2"/>
              </w:rPr>
              <w:t>cool stores, 50–80 per cent for three refrigerated transport components</w:t>
            </w:r>
            <w:r w:rsidRPr="009E06AA">
              <w:rPr>
                <w:rFonts w:eastAsia="Calibri"/>
                <w:color w:val="000000"/>
              </w:rPr>
              <w:t xml:space="preserve"> and 30 per cent for other air conditioning. The overall uncertainty is recalculated for each annual submission if the shares of these equipment types change. For other subapplications, the estimates do not change from year to year. The Party also explained that further information is available in a separate report (Verum Group, 2021).</w:t>
            </w:r>
          </w:p>
        </w:tc>
        <w:tc>
          <w:tcPr>
            <w:tcW w:w="2621" w:type="dxa"/>
            <w:shd w:val="clear" w:color="auto" w:fill="FFFFFF" w:themeFill="background1"/>
            <w:tcMar>
              <w:top w:w="0" w:type="dxa"/>
              <w:left w:w="85" w:type="dxa"/>
              <w:bottom w:w="0" w:type="dxa"/>
              <w:right w:w="57" w:type="dxa"/>
            </w:tcMar>
          </w:tcPr>
          <w:p w14:paraId="0F952D22" w14:textId="77777777" w:rsidR="005D02EF" w:rsidRPr="009E06AA" w:rsidRDefault="005D02EF" w:rsidP="00B55F24">
            <w:pPr>
              <w:pStyle w:val="TableText"/>
              <w:spacing w:before="30" w:after="30"/>
            </w:pPr>
            <w:r w:rsidRPr="009E06AA">
              <w:t>NA</w:t>
            </w:r>
          </w:p>
        </w:tc>
      </w:tr>
      <w:tr w:rsidR="005D02EF" w:rsidRPr="009E06AA" w14:paraId="438C5BC3" w14:textId="77777777" w:rsidTr="00271345">
        <w:tc>
          <w:tcPr>
            <w:tcW w:w="709" w:type="dxa"/>
            <w:shd w:val="clear" w:color="auto" w:fill="FFFFFF" w:themeFill="background1"/>
            <w:tcMar>
              <w:top w:w="0" w:type="dxa"/>
              <w:left w:w="85" w:type="dxa"/>
              <w:bottom w:w="0" w:type="dxa"/>
              <w:right w:w="57" w:type="dxa"/>
            </w:tcMar>
          </w:tcPr>
          <w:p w14:paraId="04BFFA78" w14:textId="77777777" w:rsidR="005D02EF" w:rsidRPr="009E06AA" w:rsidRDefault="005D02EF" w:rsidP="00B55F24">
            <w:pPr>
              <w:pStyle w:val="TableText"/>
              <w:spacing w:before="30" w:after="30"/>
            </w:pPr>
            <w:r w:rsidRPr="009E06AA">
              <w:rPr>
                <w:rFonts w:eastAsia="Calibri"/>
                <w:color w:val="000000"/>
              </w:rPr>
              <w:t>I.14</w:t>
            </w:r>
          </w:p>
        </w:tc>
        <w:tc>
          <w:tcPr>
            <w:tcW w:w="2126" w:type="dxa"/>
            <w:shd w:val="clear" w:color="auto" w:fill="FFFFFF" w:themeFill="background1"/>
            <w:tcMar>
              <w:top w:w="0" w:type="dxa"/>
              <w:left w:w="85" w:type="dxa"/>
              <w:bottom w:w="0" w:type="dxa"/>
              <w:right w:w="57" w:type="dxa"/>
            </w:tcMar>
          </w:tcPr>
          <w:p w14:paraId="53F884AA" w14:textId="77777777" w:rsidR="005D02EF" w:rsidRPr="009E06AA" w:rsidRDefault="005D02EF" w:rsidP="00B55F24">
            <w:pPr>
              <w:pStyle w:val="TableText"/>
              <w:spacing w:before="30" w:after="30"/>
            </w:pPr>
            <w:r w:rsidRPr="009E06AA">
              <w:rPr>
                <w:rFonts w:eastAsia="Calibri"/>
                <w:color w:val="000000"/>
              </w:rPr>
              <w:t>2.F Product uses as substitutes for ozone- depleting substances – HFCs (I.18, 2021) (I.29, 2019) Transparency</w:t>
            </w:r>
          </w:p>
        </w:tc>
        <w:tc>
          <w:tcPr>
            <w:tcW w:w="3686" w:type="dxa"/>
            <w:shd w:val="clear" w:color="auto" w:fill="FFFFFF" w:themeFill="background1"/>
            <w:tcMar>
              <w:top w:w="0" w:type="dxa"/>
              <w:left w:w="85" w:type="dxa"/>
              <w:bottom w:w="0" w:type="dxa"/>
              <w:right w:w="57" w:type="dxa"/>
            </w:tcMar>
          </w:tcPr>
          <w:p w14:paraId="00065B02" w14:textId="77777777" w:rsidR="005D02EF" w:rsidRPr="009E06AA" w:rsidRDefault="005D02EF" w:rsidP="00B55F24">
            <w:pPr>
              <w:pStyle w:val="TableText"/>
              <w:spacing w:before="30" w:after="30"/>
            </w:pPr>
            <w:r w:rsidRPr="009E06AA">
              <w:rPr>
                <w:rFonts w:eastAsia="Calibri"/>
                <w:color w:val="000000"/>
              </w:rPr>
              <w:t>Explain in the NIR the model used to estimate emissions for this category in more detail, including the assumptions made.</w:t>
            </w:r>
          </w:p>
        </w:tc>
        <w:tc>
          <w:tcPr>
            <w:tcW w:w="4806" w:type="dxa"/>
            <w:shd w:val="clear" w:color="auto" w:fill="FFFFFF" w:themeFill="background1"/>
            <w:tcMar>
              <w:top w:w="0" w:type="dxa"/>
              <w:left w:w="85" w:type="dxa"/>
              <w:bottom w:w="0" w:type="dxa"/>
              <w:right w:w="57" w:type="dxa"/>
            </w:tcMar>
          </w:tcPr>
          <w:p w14:paraId="0EDE08C3" w14:textId="77777777" w:rsidR="005D02EF" w:rsidRPr="009E06AA" w:rsidRDefault="005D02EF" w:rsidP="00B55F24">
            <w:pPr>
              <w:pStyle w:val="TableText"/>
              <w:spacing w:before="30" w:after="30"/>
            </w:pPr>
            <w:r w:rsidRPr="009E06AA">
              <w:rPr>
                <w:rFonts w:eastAsia="Calibri"/>
                <w:color w:val="000000"/>
              </w:rPr>
              <w:t>Resolved. The Party reported in its NIR (table 10.2.2) that such explanations are expanded on in the NIR (section 4.7.2) and will be further improved in future annual submissions. During the review, the Party informed the ERT that additional information is available in a separate report (Verum Group, 2021), referenced in the NIR.</w:t>
            </w:r>
          </w:p>
        </w:tc>
        <w:tc>
          <w:tcPr>
            <w:tcW w:w="2621" w:type="dxa"/>
            <w:shd w:val="clear" w:color="auto" w:fill="FFFFFF" w:themeFill="background1"/>
            <w:tcMar>
              <w:top w:w="0" w:type="dxa"/>
              <w:left w:w="85" w:type="dxa"/>
              <w:bottom w:w="0" w:type="dxa"/>
              <w:right w:w="57" w:type="dxa"/>
            </w:tcMar>
          </w:tcPr>
          <w:p w14:paraId="7702DAAF" w14:textId="77777777" w:rsidR="005D02EF" w:rsidRPr="009E06AA" w:rsidRDefault="005D02EF" w:rsidP="00B55F24">
            <w:pPr>
              <w:pStyle w:val="TableText"/>
              <w:spacing w:before="30" w:after="30"/>
            </w:pPr>
            <w:r w:rsidRPr="009E06AA">
              <w:t>NA</w:t>
            </w:r>
          </w:p>
        </w:tc>
      </w:tr>
      <w:tr w:rsidR="005D02EF" w:rsidRPr="009E06AA" w14:paraId="689DC2C0" w14:textId="77777777" w:rsidTr="00271345">
        <w:tc>
          <w:tcPr>
            <w:tcW w:w="709" w:type="dxa"/>
            <w:shd w:val="clear" w:color="auto" w:fill="FFFFFF" w:themeFill="background1"/>
            <w:tcMar>
              <w:top w:w="0" w:type="dxa"/>
              <w:left w:w="85" w:type="dxa"/>
              <w:bottom w:w="0" w:type="dxa"/>
              <w:right w:w="57" w:type="dxa"/>
            </w:tcMar>
          </w:tcPr>
          <w:p w14:paraId="7AA916BC" w14:textId="77777777" w:rsidR="005D02EF" w:rsidRPr="009E06AA" w:rsidRDefault="005D02EF" w:rsidP="00B55F24">
            <w:pPr>
              <w:pStyle w:val="TableText"/>
              <w:spacing w:before="30" w:after="30"/>
            </w:pPr>
            <w:r w:rsidRPr="009E06AA">
              <w:rPr>
                <w:rFonts w:eastAsia="Calibri"/>
                <w:color w:val="000000"/>
              </w:rPr>
              <w:t>I.15</w:t>
            </w:r>
          </w:p>
        </w:tc>
        <w:tc>
          <w:tcPr>
            <w:tcW w:w="2126" w:type="dxa"/>
            <w:shd w:val="clear" w:color="auto" w:fill="FFFFFF" w:themeFill="background1"/>
            <w:tcMar>
              <w:top w:w="0" w:type="dxa"/>
              <w:left w:w="85" w:type="dxa"/>
              <w:bottom w:w="0" w:type="dxa"/>
              <w:right w:w="57" w:type="dxa"/>
            </w:tcMar>
          </w:tcPr>
          <w:p w14:paraId="43DA34C4" w14:textId="77777777" w:rsidR="005D02EF" w:rsidRPr="009E06AA" w:rsidRDefault="005D02EF" w:rsidP="00B55F24">
            <w:pPr>
              <w:pStyle w:val="TableText"/>
              <w:spacing w:before="30" w:after="30"/>
            </w:pPr>
            <w:r w:rsidRPr="009E06AA">
              <w:rPr>
                <w:rFonts w:eastAsia="Calibri"/>
                <w:color w:val="000000"/>
              </w:rPr>
              <w:t>2.F Product uses as substitutes for ozone- depleting substances – HFCs (I.19, 2021) (I.29, 2019) Transparency</w:t>
            </w:r>
          </w:p>
        </w:tc>
        <w:tc>
          <w:tcPr>
            <w:tcW w:w="3686" w:type="dxa"/>
            <w:shd w:val="clear" w:color="auto" w:fill="FFFFFF" w:themeFill="background1"/>
            <w:tcMar>
              <w:top w:w="0" w:type="dxa"/>
              <w:left w:w="85" w:type="dxa"/>
              <w:bottom w:w="0" w:type="dxa"/>
              <w:right w:w="57" w:type="dxa"/>
            </w:tcMar>
          </w:tcPr>
          <w:p w14:paraId="25271075" w14:textId="77777777" w:rsidR="005D02EF" w:rsidRPr="009E06AA" w:rsidRDefault="005D02EF" w:rsidP="00B55F24">
            <w:pPr>
              <w:pStyle w:val="TableText"/>
              <w:spacing w:before="30" w:after="30"/>
            </w:pPr>
            <w:r w:rsidRPr="009E06AA">
              <w:rPr>
                <w:rFonts w:eastAsia="Calibri"/>
                <w:color w:val="000000"/>
              </w:rPr>
              <w:t>Improve QA/QC for this category by comparing the results of the bottom-up model with the results of a top-down approach as the import data are based on comprehensive annual surveys, to allow for a clear comparison of the two results, as recommended in the 2006 IPCC Guidelines (vol. 3, chap. 7.1.4.1).</w:t>
            </w:r>
          </w:p>
        </w:tc>
        <w:tc>
          <w:tcPr>
            <w:tcW w:w="4806" w:type="dxa"/>
            <w:shd w:val="clear" w:color="auto" w:fill="FFFFFF" w:themeFill="background1"/>
            <w:tcMar>
              <w:top w:w="0" w:type="dxa"/>
              <w:left w:w="85" w:type="dxa"/>
              <w:bottom w:w="0" w:type="dxa"/>
              <w:right w:w="57" w:type="dxa"/>
            </w:tcMar>
          </w:tcPr>
          <w:p w14:paraId="66AF1665" w14:textId="77777777" w:rsidR="005D02EF" w:rsidRPr="009E06AA" w:rsidRDefault="005D02EF" w:rsidP="00B55F24">
            <w:pPr>
              <w:pStyle w:val="TableText"/>
              <w:spacing w:before="30" w:after="30"/>
            </w:pPr>
            <w:r w:rsidRPr="009E06AA">
              <w:rPr>
                <w:rFonts w:eastAsia="Calibri"/>
                <w:color w:val="000000"/>
              </w:rPr>
              <w:t>Resolved. During the review, the Party explained that the 2006 IPCC Guidelines (vol. 3, chap. 7) recommend comparing equipment-based estimates, at the sub-application level, with a mass balance approach, where applicable. The bottom-up stock models used by New Zealand are unique to each sub-application and have varying – and sometimes high – uncertainty related to the quality of statistical data from the equipment. Data on the total supply of each refrigerant inform the calculation of usage for new installations and the replacement of refrigerants currently in use. Consequently, the available top-down data contribute to the calculation of emissions for each sub-application and cannot be used for a straight comparison with the results of the bottom-up models.</w:t>
            </w:r>
          </w:p>
        </w:tc>
        <w:tc>
          <w:tcPr>
            <w:tcW w:w="2621" w:type="dxa"/>
            <w:shd w:val="clear" w:color="auto" w:fill="FFFFFF" w:themeFill="background1"/>
            <w:tcMar>
              <w:top w:w="0" w:type="dxa"/>
              <w:left w:w="85" w:type="dxa"/>
              <w:bottom w:w="0" w:type="dxa"/>
              <w:right w:w="57" w:type="dxa"/>
            </w:tcMar>
          </w:tcPr>
          <w:p w14:paraId="65FAFBE1" w14:textId="77777777" w:rsidR="005D02EF" w:rsidRPr="009E06AA" w:rsidRDefault="005D02EF" w:rsidP="00B55F24">
            <w:pPr>
              <w:pStyle w:val="TableText"/>
              <w:spacing w:before="30" w:after="30"/>
            </w:pPr>
            <w:r w:rsidRPr="009E06AA">
              <w:t>NA</w:t>
            </w:r>
          </w:p>
        </w:tc>
      </w:tr>
      <w:tr w:rsidR="005D02EF" w:rsidRPr="009E06AA" w14:paraId="7FAA176F" w14:textId="77777777" w:rsidTr="00271345">
        <w:tc>
          <w:tcPr>
            <w:tcW w:w="709" w:type="dxa"/>
            <w:shd w:val="clear" w:color="auto" w:fill="FFFFFF" w:themeFill="background1"/>
            <w:tcMar>
              <w:top w:w="0" w:type="dxa"/>
              <w:left w:w="85" w:type="dxa"/>
              <w:bottom w:w="0" w:type="dxa"/>
              <w:right w:w="57" w:type="dxa"/>
            </w:tcMar>
          </w:tcPr>
          <w:p w14:paraId="07451BB1" w14:textId="77777777" w:rsidR="005D02EF" w:rsidRPr="009E06AA" w:rsidRDefault="005D02EF" w:rsidP="00B55F24">
            <w:pPr>
              <w:pStyle w:val="TableText"/>
              <w:spacing w:before="30" w:after="30"/>
            </w:pPr>
            <w:r w:rsidRPr="009E06AA">
              <w:rPr>
                <w:rFonts w:eastAsia="Calibri"/>
                <w:color w:val="000000"/>
              </w:rPr>
              <w:t>I.16</w:t>
            </w:r>
          </w:p>
        </w:tc>
        <w:tc>
          <w:tcPr>
            <w:tcW w:w="2126" w:type="dxa"/>
            <w:shd w:val="clear" w:color="auto" w:fill="FFFFFF" w:themeFill="background1"/>
            <w:tcMar>
              <w:top w:w="0" w:type="dxa"/>
              <w:left w:w="85" w:type="dxa"/>
              <w:bottom w:w="0" w:type="dxa"/>
              <w:right w:w="57" w:type="dxa"/>
            </w:tcMar>
          </w:tcPr>
          <w:p w14:paraId="014403E9" w14:textId="77777777" w:rsidR="005D02EF" w:rsidRPr="009E06AA" w:rsidRDefault="005D02EF" w:rsidP="00B55F24">
            <w:pPr>
              <w:pStyle w:val="TableText"/>
              <w:spacing w:before="30" w:after="30"/>
            </w:pPr>
            <w:r w:rsidRPr="009E06AA">
              <w:rPr>
                <w:rFonts w:eastAsia="Calibri"/>
                <w:color w:val="000000"/>
              </w:rPr>
              <w:t>2.F.1 Refrigeration and air conditioning – HFCs (I.20, 2021) (I.19, 2019) (I.17, 2017) (I.37, 2016) Transparency</w:t>
            </w:r>
          </w:p>
        </w:tc>
        <w:tc>
          <w:tcPr>
            <w:tcW w:w="3686" w:type="dxa"/>
            <w:shd w:val="clear" w:color="auto" w:fill="FFFFFF" w:themeFill="background1"/>
            <w:tcMar>
              <w:top w:w="0" w:type="dxa"/>
              <w:left w:w="85" w:type="dxa"/>
              <w:bottom w:w="0" w:type="dxa"/>
              <w:right w:w="57" w:type="dxa"/>
            </w:tcMar>
          </w:tcPr>
          <w:p w14:paraId="2956B45F" w14:textId="77777777" w:rsidR="005D02EF" w:rsidRPr="009E06AA" w:rsidRDefault="005D02EF" w:rsidP="00B55F24">
            <w:pPr>
              <w:pStyle w:val="TableText"/>
              <w:spacing w:before="30" w:after="30"/>
            </w:pPr>
            <w:r w:rsidRPr="009E06AA">
              <w:rPr>
                <w:rFonts w:eastAsia="Calibri"/>
                <w:color w:val="000000"/>
              </w:rPr>
              <w:t>Describe in the NIR the methodology used to derive the 2 per cent decline in refrigerant charge in vehicle air-conditioning systems and demonstrate that this methodology is in line with the splicing techniques in the 2006 IPCC Guidelines.</w:t>
            </w:r>
          </w:p>
        </w:tc>
        <w:tc>
          <w:tcPr>
            <w:tcW w:w="4806" w:type="dxa"/>
            <w:shd w:val="clear" w:color="auto" w:fill="FFFFFF" w:themeFill="background1"/>
            <w:tcMar>
              <w:top w:w="0" w:type="dxa"/>
              <w:left w:w="85" w:type="dxa"/>
              <w:bottom w:w="0" w:type="dxa"/>
              <w:right w:w="57" w:type="dxa"/>
            </w:tcMar>
          </w:tcPr>
          <w:p w14:paraId="7E527939" w14:textId="77777777" w:rsidR="005D02EF" w:rsidRPr="009E06AA" w:rsidRDefault="005D02EF" w:rsidP="00B55F24">
            <w:pPr>
              <w:pStyle w:val="TableText"/>
              <w:spacing w:before="30" w:after="30"/>
            </w:pPr>
            <w:r w:rsidRPr="009E06AA">
              <w:rPr>
                <w:rFonts w:eastAsia="Calibri"/>
                <w:color w:val="000000"/>
              </w:rPr>
              <w:t>Resolved. The Party included this description in its NIR (table 10.2.2 and section 4.7.2). During the review, the Party stated that further details are available in a separate report (Verum Group, 2021), referenced in the NIR, that is available to the ERT.</w:t>
            </w:r>
          </w:p>
        </w:tc>
        <w:tc>
          <w:tcPr>
            <w:tcW w:w="2621" w:type="dxa"/>
            <w:shd w:val="clear" w:color="auto" w:fill="FFFFFF" w:themeFill="background1"/>
            <w:tcMar>
              <w:top w:w="0" w:type="dxa"/>
              <w:left w:w="85" w:type="dxa"/>
              <w:bottom w:w="0" w:type="dxa"/>
              <w:right w:w="57" w:type="dxa"/>
            </w:tcMar>
          </w:tcPr>
          <w:p w14:paraId="3D018DCF" w14:textId="77777777" w:rsidR="005D02EF" w:rsidRPr="009E06AA" w:rsidRDefault="005D02EF" w:rsidP="00B55F24">
            <w:pPr>
              <w:pStyle w:val="TableText"/>
              <w:spacing w:before="30" w:after="30"/>
            </w:pPr>
            <w:r w:rsidRPr="009E06AA">
              <w:t>NA</w:t>
            </w:r>
          </w:p>
        </w:tc>
      </w:tr>
      <w:tr w:rsidR="005D02EF" w:rsidRPr="009E06AA" w14:paraId="00C52EBB" w14:textId="77777777" w:rsidTr="00271345">
        <w:tc>
          <w:tcPr>
            <w:tcW w:w="709" w:type="dxa"/>
            <w:shd w:val="clear" w:color="auto" w:fill="FFFFFF" w:themeFill="background1"/>
            <w:tcMar>
              <w:top w:w="0" w:type="dxa"/>
              <w:left w:w="85" w:type="dxa"/>
              <w:bottom w:w="0" w:type="dxa"/>
              <w:right w:w="57" w:type="dxa"/>
            </w:tcMar>
          </w:tcPr>
          <w:p w14:paraId="3B520A57" w14:textId="77777777" w:rsidR="005D02EF" w:rsidRPr="009E06AA" w:rsidRDefault="005D02EF" w:rsidP="00B55F24">
            <w:pPr>
              <w:pStyle w:val="TableText"/>
              <w:spacing w:before="30" w:after="30"/>
            </w:pPr>
            <w:r w:rsidRPr="009E06AA">
              <w:rPr>
                <w:rFonts w:eastAsia="Calibri"/>
                <w:color w:val="000000"/>
              </w:rPr>
              <w:t>I.17</w:t>
            </w:r>
          </w:p>
        </w:tc>
        <w:tc>
          <w:tcPr>
            <w:tcW w:w="2126" w:type="dxa"/>
            <w:shd w:val="clear" w:color="auto" w:fill="FFFFFF" w:themeFill="background1"/>
            <w:tcMar>
              <w:top w:w="0" w:type="dxa"/>
              <w:left w:w="85" w:type="dxa"/>
              <w:bottom w:w="0" w:type="dxa"/>
              <w:right w:w="57" w:type="dxa"/>
            </w:tcMar>
          </w:tcPr>
          <w:p w14:paraId="55637FC0" w14:textId="77777777" w:rsidR="005D02EF" w:rsidRPr="009E06AA" w:rsidRDefault="005D02EF" w:rsidP="00B55F24">
            <w:pPr>
              <w:pStyle w:val="TableText"/>
              <w:spacing w:before="30" w:after="30"/>
            </w:pPr>
            <w:r w:rsidRPr="009E06AA">
              <w:rPr>
                <w:rFonts w:eastAsia="Calibri"/>
                <w:color w:val="000000"/>
              </w:rPr>
              <w:t>2.F.1 Refrigeration and air conditioning – HFCs (I.21, 2021) Accuracy</w:t>
            </w:r>
          </w:p>
        </w:tc>
        <w:tc>
          <w:tcPr>
            <w:tcW w:w="3686" w:type="dxa"/>
            <w:shd w:val="clear" w:color="auto" w:fill="FFFFFF" w:themeFill="background1"/>
            <w:tcMar>
              <w:top w:w="0" w:type="dxa"/>
              <w:left w:w="85" w:type="dxa"/>
              <w:bottom w:w="0" w:type="dxa"/>
              <w:right w:w="57" w:type="dxa"/>
            </w:tcMar>
          </w:tcPr>
          <w:p w14:paraId="6528C1EA" w14:textId="77777777" w:rsidR="005D02EF" w:rsidRPr="009E06AA" w:rsidRDefault="005D02EF" w:rsidP="00B55F24">
            <w:pPr>
              <w:pStyle w:val="TableText"/>
              <w:spacing w:before="30" w:after="30"/>
            </w:pPr>
            <w:r w:rsidRPr="009E06AA">
              <w:rPr>
                <w:rFonts w:eastAsia="Calibri"/>
                <w:color w:val="000000"/>
              </w:rPr>
              <w:t>Update the average charge of HFC-134a for the years from 2010 onward by taking into consideration the cars added to the fleet in recent years on the basis of data available from importers and/or from fleet statistics.</w:t>
            </w:r>
          </w:p>
        </w:tc>
        <w:tc>
          <w:tcPr>
            <w:tcW w:w="4806" w:type="dxa"/>
            <w:shd w:val="clear" w:color="auto" w:fill="FFFFFF" w:themeFill="background1"/>
            <w:tcMar>
              <w:top w:w="0" w:type="dxa"/>
              <w:left w:w="85" w:type="dxa"/>
              <w:bottom w:w="0" w:type="dxa"/>
              <w:right w:w="57" w:type="dxa"/>
            </w:tcMar>
          </w:tcPr>
          <w:p w14:paraId="67A40DB0" w14:textId="77777777" w:rsidR="005D02EF" w:rsidRPr="009E06AA" w:rsidRDefault="005D02EF" w:rsidP="00B55F24">
            <w:pPr>
              <w:pStyle w:val="TableText"/>
              <w:spacing w:before="30" w:after="30"/>
            </w:pPr>
            <w:r w:rsidRPr="009E06AA">
              <w:rPr>
                <w:rFonts w:eastAsia="Calibri"/>
                <w:color w:val="000000"/>
              </w:rPr>
              <w:t>Resolved. The Party reported in its NIR (section 4.7.2) that it imports a wide variety of vehicles, many of them used cars, and that obtaining more accurate and up-to-date statistics on their refrigerant charge is not feasible. However, on the basis of data from importers, the average charge in new vehicles added to the fleet reduced by 2 per cent/year from 2010 to 2020.</w:t>
            </w:r>
          </w:p>
        </w:tc>
        <w:tc>
          <w:tcPr>
            <w:tcW w:w="2621" w:type="dxa"/>
            <w:shd w:val="clear" w:color="auto" w:fill="FFFFFF" w:themeFill="background1"/>
            <w:tcMar>
              <w:top w:w="0" w:type="dxa"/>
              <w:left w:w="85" w:type="dxa"/>
              <w:bottom w:w="0" w:type="dxa"/>
              <w:right w:w="57" w:type="dxa"/>
            </w:tcMar>
          </w:tcPr>
          <w:p w14:paraId="1BAE176B" w14:textId="77777777" w:rsidR="005D02EF" w:rsidRPr="009E06AA" w:rsidRDefault="005D02EF" w:rsidP="00B55F24">
            <w:pPr>
              <w:pStyle w:val="TableText"/>
              <w:spacing w:before="30" w:after="30"/>
            </w:pPr>
            <w:r w:rsidRPr="009E06AA">
              <w:t>NA</w:t>
            </w:r>
          </w:p>
        </w:tc>
      </w:tr>
      <w:tr w:rsidR="005D02EF" w:rsidRPr="009E06AA" w14:paraId="2C8D2367" w14:textId="77777777" w:rsidTr="00271345">
        <w:tc>
          <w:tcPr>
            <w:tcW w:w="709" w:type="dxa"/>
            <w:shd w:val="clear" w:color="auto" w:fill="FFFFFF" w:themeFill="background1"/>
            <w:tcMar>
              <w:top w:w="0" w:type="dxa"/>
              <w:left w:w="85" w:type="dxa"/>
              <w:bottom w:w="0" w:type="dxa"/>
              <w:right w:w="57" w:type="dxa"/>
            </w:tcMar>
          </w:tcPr>
          <w:p w14:paraId="279E5AA8" w14:textId="77777777" w:rsidR="005D02EF" w:rsidRPr="009E06AA" w:rsidRDefault="005D02EF" w:rsidP="00B55F24">
            <w:pPr>
              <w:pStyle w:val="TableText"/>
              <w:spacing w:before="30" w:after="30"/>
            </w:pPr>
            <w:r w:rsidRPr="009E06AA">
              <w:rPr>
                <w:rFonts w:eastAsia="Calibri"/>
                <w:color w:val="000000"/>
              </w:rPr>
              <w:t>I.18</w:t>
            </w:r>
          </w:p>
        </w:tc>
        <w:tc>
          <w:tcPr>
            <w:tcW w:w="2126" w:type="dxa"/>
            <w:shd w:val="clear" w:color="auto" w:fill="FFFFFF" w:themeFill="background1"/>
            <w:tcMar>
              <w:top w:w="0" w:type="dxa"/>
              <w:left w:w="85" w:type="dxa"/>
              <w:bottom w:w="0" w:type="dxa"/>
              <w:right w:w="57" w:type="dxa"/>
            </w:tcMar>
          </w:tcPr>
          <w:p w14:paraId="0108A4A5" w14:textId="77777777" w:rsidR="005D02EF" w:rsidRPr="009E06AA" w:rsidRDefault="005D02EF" w:rsidP="00B55F24">
            <w:pPr>
              <w:pStyle w:val="TableText"/>
              <w:spacing w:before="30" w:after="30"/>
            </w:pPr>
            <w:r w:rsidRPr="009E06AA">
              <w:rPr>
                <w:rFonts w:eastAsia="Calibri"/>
                <w:color w:val="000000"/>
              </w:rPr>
              <w:t>2.F.1 Refrigeration and air conditioning – HFCs (I.23, 2021) (I.31, 2019) Transparency</w:t>
            </w:r>
          </w:p>
        </w:tc>
        <w:tc>
          <w:tcPr>
            <w:tcW w:w="3686" w:type="dxa"/>
            <w:shd w:val="clear" w:color="auto" w:fill="FFFFFF" w:themeFill="background1"/>
            <w:tcMar>
              <w:top w:w="0" w:type="dxa"/>
              <w:left w:w="85" w:type="dxa"/>
              <w:bottom w:w="0" w:type="dxa"/>
              <w:right w:w="57" w:type="dxa"/>
            </w:tcMar>
          </w:tcPr>
          <w:p w14:paraId="43A1031A" w14:textId="77777777" w:rsidR="005D02EF" w:rsidRPr="009E06AA" w:rsidRDefault="005D02EF" w:rsidP="00B55F24">
            <w:pPr>
              <w:pStyle w:val="TableText"/>
              <w:spacing w:before="30" w:after="30"/>
            </w:pPr>
            <w:r w:rsidRPr="009E06AA">
              <w:rPr>
                <w:rFonts w:eastAsia="Calibri"/>
                <w:color w:val="000000"/>
              </w:rPr>
              <w:t>Explain in the NIR, for category 2.F.1.e mobile air conditioning, the trend in HFC</w:t>
            </w:r>
            <w:r w:rsidRPr="009E06AA">
              <w:rPr>
                <w:rFonts w:eastAsia="Calibri"/>
                <w:color w:val="000000"/>
              </w:rPr>
              <w:noBreakHyphen/>
              <w:t>134a filled into new manufactured products, especially the decrease between 2003 and 2004.</w:t>
            </w:r>
          </w:p>
        </w:tc>
        <w:tc>
          <w:tcPr>
            <w:tcW w:w="4806" w:type="dxa"/>
            <w:shd w:val="clear" w:color="auto" w:fill="FFFFFF" w:themeFill="background1"/>
            <w:tcMar>
              <w:top w:w="0" w:type="dxa"/>
              <w:left w:w="85" w:type="dxa"/>
              <w:bottom w:w="0" w:type="dxa"/>
              <w:right w:w="57" w:type="dxa"/>
            </w:tcMar>
          </w:tcPr>
          <w:p w14:paraId="1300E4A3" w14:textId="77777777" w:rsidR="005D02EF" w:rsidRPr="009E06AA" w:rsidRDefault="005D02EF" w:rsidP="00B55F24">
            <w:pPr>
              <w:pStyle w:val="TableText"/>
              <w:spacing w:before="30" w:after="30"/>
            </w:pPr>
            <w:r w:rsidRPr="009E06AA">
              <w:rPr>
                <w:rFonts w:eastAsia="Calibri"/>
                <w:color w:val="000000"/>
              </w:rPr>
              <w:t>Resolved. During the review, the Party explained that responses to enquiries to importers indicate that this trend continued from 2004 to 2005 and that obtaining more accurate and up-to-date statistics is not feasible.</w:t>
            </w:r>
          </w:p>
        </w:tc>
        <w:tc>
          <w:tcPr>
            <w:tcW w:w="2621" w:type="dxa"/>
            <w:shd w:val="clear" w:color="auto" w:fill="FFFFFF" w:themeFill="background1"/>
            <w:tcMar>
              <w:top w:w="0" w:type="dxa"/>
              <w:left w:w="85" w:type="dxa"/>
              <w:bottom w:w="0" w:type="dxa"/>
              <w:right w:w="57" w:type="dxa"/>
            </w:tcMar>
          </w:tcPr>
          <w:p w14:paraId="245002EE" w14:textId="77777777" w:rsidR="005D02EF" w:rsidRPr="009E06AA" w:rsidRDefault="005D02EF" w:rsidP="00B55F24">
            <w:pPr>
              <w:pStyle w:val="TableText"/>
              <w:spacing w:before="30" w:after="30"/>
            </w:pPr>
            <w:r w:rsidRPr="009E06AA">
              <w:t>NA</w:t>
            </w:r>
          </w:p>
        </w:tc>
      </w:tr>
      <w:tr w:rsidR="005D02EF" w:rsidRPr="009E06AA" w14:paraId="566AA034" w14:textId="77777777" w:rsidTr="00271345">
        <w:tc>
          <w:tcPr>
            <w:tcW w:w="709" w:type="dxa"/>
            <w:shd w:val="clear" w:color="auto" w:fill="FFFFFF" w:themeFill="background1"/>
            <w:tcMar>
              <w:top w:w="0" w:type="dxa"/>
              <w:left w:w="85" w:type="dxa"/>
              <w:bottom w:w="0" w:type="dxa"/>
              <w:right w:w="57" w:type="dxa"/>
            </w:tcMar>
          </w:tcPr>
          <w:p w14:paraId="3D93F013" w14:textId="77777777" w:rsidR="005D02EF" w:rsidRPr="009E06AA" w:rsidRDefault="005D02EF" w:rsidP="00B55F24">
            <w:pPr>
              <w:pStyle w:val="TableText"/>
              <w:spacing w:before="30" w:after="30"/>
            </w:pPr>
            <w:r w:rsidRPr="009E06AA">
              <w:rPr>
                <w:rFonts w:eastAsia="Calibri"/>
                <w:color w:val="000000"/>
              </w:rPr>
              <w:t>I.19</w:t>
            </w:r>
          </w:p>
        </w:tc>
        <w:tc>
          <w:tcPr>
            <w:tcW w:w="2126" w:type="dxa"/>
            <w:shd w:val="clear" w:color="auto" w:fill="FFFFFF" w:themeFill="background1"/>
            <w:tcMar>
              <w:top w:w="0" w:type="dxa"/>
              <w:left w:w="85" w:type="dxa"/>
              <w:bottom w:w="0" w:type="dxa"/>
              <w:right w:w="57" w:type="dxa"/>
            </w:tcMar>
          </w:tcPr>
          <w:p w14:paraId="6F6DD195" w14:textId="77777777" w:rsidR="005D02EF" w:rsidRPr="009E06AA" w:rsidRDefault="005D02EF" w:rsidP="00B55F24">
            <w:pPr>
              <w:pStyle w:val="TableText"/>
              <w:spacing w:before="30" w:after="30"/>
            </w:pPr>
            <w:r w:rsidRPr="009E06AA">
              <w:rPr>
                <w:rFonts w:eastAsia="Calibri"/>
                <w:color w:val="000000"/>
              </w:rPr>
              <w:t>2.G.2 SF₆ and PFCs from other product use – SF₆ (I.24, 2021) (I.22, 2019) (I.21, 2017) (I.23, 2016) (I.26, 2015) Transparency</w:t>
            </w:r>
          </w:p>
        </w:tc>
        <w:tc>
          <w:tcPr>
            <w:tcW w:w="3686" w:type="dxa"/>
            <w:shd w:val="clear" w:color="auto" w:fill="FFFFFF" w:themeFill="background1"/>
            <w:tcMar>
              <w:top w:w="0" w:type="dxa"/>
              <w:left w:w="85" w:type="dxa"/>
              <w:bottom w:w="0" w:type="dxa"/>
              <w:right w:w="57" w:type="dxa"/>
            </w:tcMar>
          </w:tcPr>
          <w:p w14:paraId="630E224F" w14:textId="77777777" w:rsidR="005D02EF" w:rsidRPr="009E06AA" w:rsidRDefault="005D02EF" w:rsidP="00B55F24">
            <w:pPr>
              <w:pStyle w:val="TableText"/>
              <w:spacing w:before="30" w:after="30"/>
            </w:pPr>
            <w:r w:rsidRPr="009E06AA">
              <w:rPr>
                <w:rFonts w:eastAsia="Calibri"/>
                <w:color w:val="000000"/>
              </w:rPr>
              <w:t>Include in the NIR an explanation of the analysis of SF₆ emissions from SF₆ use in shoe and double-glazed window manufacturing based on the information that was provided to the ERT during the 2015 review in the responses to questions and a background report.</w:t>
            </w:r>
          </w:p>
        </w:tc>
        <w:tc>
          <w:tcPr>
            <w:tcW w:w="4806" w:type="dxa"/>
            <w:shd w:val="clear" w:color="auto" w:fill="FFFFFF" w:themeFill="background1"/>
            <w:tcMar>
              <w:top w:w="0" w:type="dxa"/>
              <w:left w:w="85" w:type="dxa"/>
              <w:bottom w:w="0" w:type="dxa"/>
              <w:right w:w="57" w:type="dxa"/>
            </w:tcMar>
          </w:tcPr>
          <w:p w14:paraId="3047212B" w14:textId="77777777" w:rsidR="005D02EF" w:rsidRPr="009E06AA" w:rsidRDefault="005D02EF" w:rsidP="00B55F24">
            <w:pPr>
              <w:pStyle w:val="TableText"/>
              <w:spacing w:before="30" w:after="30"/>
            </w:pPr>
            <w:r w:rsidRPr="009E06AA">
              <w:rPr>
                <w:rFonts w:eastAsia="Calibri"/>
                <w:color w:val="000000"/>
              </w:rPr>
              <w:t>Resolved. The Party reported in its NIR (section 4.8.2) that, following enquiries, it has been confirmed that there is no use of SF₆ in New Zealand for those applications.</w:t>
            </w:r>
          </w:p>
        </w:tc>
        <w:tc>
          <w:tcPr>
            <w:tcW w:w="2621" w:type="dxa"/>
            <w:shd w:val="clear" w:color="auto" w:fill="FFFFFF" w:themeFill="background1"/>
            <w:tcMar>
              <w:top w:w="0" w:type="dxa"/>
              <w:left w:w="85" w:type="dxa"/>
              <w:bottom w:w="0" w:type="dxa"/>
              <w:right w:w="57" w:type="dxa"/>
            </w:tcMar>
          </w:tcPr>
          <w:p w14:paraId="33D03AC0" w14:textId="77777777" w:rsidR="005D02EF" w:rsidRPr="009E06AA" w:rsidRDefault="005D02EF" w:rsidP="00B55F24">
            <w:pPr>
              <w:pStyle w:val="TableText"/>
              <w:spacing w:before="30" w:after="30"/>
            </w:pPr>
            <w:r w:rsidRPr="009E06AA">
              <w:t>NA</w:t>
            </w:r>
          </w:p>
        </w:tc>
      </w:tr>
      <w:tr w:rsidR="005D02EF" w:rsidRPr="009E06AA" w14:paraId="27829F81" w14:textId="77777777" w:rsidTr="00271345">
        <w:tc>
          <w:tcPr>
            <w:tcW w:w="2835" w:type="dxa"/>
            <w:gridSpan w:val="2"/>
            <w:shd w:val="clear" w:color="auto" w:fill="FFFFFF" w:themeFill="background1"/>
            <w:tcMar>
              <w:top w:w="0" w:type="dxa"/>
              <w:left w:w="85" w:type="dxa"/>
              <w:bottom w:w="0" w:type="dxa"/>
              <w:right w:w="57" w:type="dxa"/>
            </w:tcMar>
          </w:tcPr>
          <w:p w14:paraId="5390DD88" w14:textId="77777777" w:rsidR="005D02EF" w:rsidRPr="009E06AA" w:rsidRDefault="005D02EF" w:rsidP="00B55F24">
            <w:pPr>
              <w:pStyle w:val="TableText"/>
              <w:spacing w:before="30" w:after="30"/>
            </w:pPr>
            <w:r w:rsidRPr="009E06AA">
              <w:rPr>
                <w:rFonts w:eastAsia="Calibri"/>
                <w:color w:val="000000"/>
              </w:rPr>
              <w:t>Agriculture</w:t>
            </w:r>
          </w:p>
        </w:tc>
        <w:tc>
          <w:tcPr>
            <w:tcW w:w="3686" w:type="dxa"/>
            <w:shd w:val="clear" w:color="auto" w:fill="FFFFFF" w:themeFill="background1"/>
            <w:tcMar>
              <w:top w:w="0" w:type="dxa"/>
              <w:left w:w="85" w:type="dxa"/>
              <w:bottom w:w="0" w:type="dxa"/>
              <w:right w:w="57" w:type="dxa"/>
            </w:tcMar>
          </w:tcPr>
          <w:p w14:paraId="778F80CC" w14:textId="77777777" w:rsidR="005D02EF" w:rsidRPr="009E06AA" w:rsidRDefault="005D02EF" w:rsidP="00B55F24">
            <w:pPr>
              <w:pStyle w:val="TableText"/>
              <w:spacing w:before="30" w:after="30"/>
            </w:pPr>
          </w:p>
        </w:tc>
        <w:tc>
          <w:tcPr>
            <w:tcW w:w="4806" w:type="dxa"/>
            <w:shd w:val="clear" w:color="auto" w:fill="FFFFFF" w:themeFill="background1"/>
            <w:tcMar>
              <w:top w:w="0" w:type="dxa"/>
              <w:left w:w="85" w:type="dxa"/>
              <w:bottom w:w="0" w:type="dxa"/>
              <w:right w:w="57" w:type="dxa"/>
            </w:tcMar>
          </w:tcPr>
          <w:p w14:paraId="574CFC82" w14:textId="77777777" w:rsidR="005D02EF" w:rsidRPr="009E06AA" w:rsidRDefault="005D02EF" w:rsidP="00B55F24">
            <w:pPr>
              <w:pStyle w:val="TableText"/>
              <w:spacing w:before="30" w:after="30"/>
            </w:pPr>
          </w:p>
        </w:tc>
        <w:tc>
          <w:tcPr>
            <w:tcW w:w="2621" w:type="dxa"/>
            <w:shd w:val="clear" w:color="auto" w:fill="FFFFFF" w:themeFill="background1"/>
            <w:tcMar>
              <w:top w:w="0" w:type="dxa"/>
              <w:left w:w="85" w:type="dxa"/>
              <w:bottom w:w="0" w:type="dxa"/>
              <w:right w:w="57" w:type="dxa"/>
            </w:tcMar>
          </w:tcPr>
          <w:p w14:paraId="3F7FDE5E" w14:textId="77777777" w:rsidR="005D02EF" w:rsidRPr="009E06AA" w:rsidRDefault="005D02EF" w:rsidP="00B55F24">
            <w:pPr>
              <w:pStyle w:val="TableText"/>
              <w:spacing w:before="30" w:after="30"/>
            </w:pPr>
          </w:p>
        </w:tc>
      </w:tr>
      <w:tr w:rsidR="005D02EF" w:rsidRPr="009E06AA" w14:paraId="392D9192" w14:textId="77777777" w:rsidTr="00271345">
        <w:tc>
          <w:tcPr>
            <w:tcW w:w="709" w:type="dxa"/>
            <w:shd w:val="clear" w:color="auto" w:fill="FFFFFF" w:themeFill="background1"/>
            <w:tcMar>
              <w:top w:w="0" w:type="dxa"/>
              <w:left w:w="85" w:type="dxa"/>
              <w:bottom w:w="0" w:type="dxa"/>
              <w:right w:w="57" w:type="dxa"/>
            </w:tcMar>
          </w:tcPr>
          <w:p w14:paraId="592DEC28" w14:textId="77777777" w:rsidR="005D02EF" w:rsidRPr="009E06AA" w:rsidRDefault="005D02EF" w:rsidP="00B55F24">
            <w:pPr>
              <w:pStyle w:val="TableText"/>
              <w:spacing w:before="30" w:after="30"/>
            </w:pPr>
            <w:r w:rsidRPr="009E06AA">
              <w:rPr>
                <w:rFonts w:eastAsia="Calibri"/>
                <w:color w:val="000000"/>
              </w:rPr>
              <w:t>A.1</w:t>
            </w:r>
          </w:p>
        </w:tc>
        <w:tc>
          <w:tcPr>
            <w:tcW w:w="2126" w:type="dxa"/>
            <w:shd w:val="clear" w:color="auto" w:fill="FFFFFF" w:themeFill="background1"/>
            <w:tcMar>
              <w:top w:w="0" w:type="dxa"/>
              <w:left w:w="85" w:type="dxa"/>
              <w:bottom w:w="0" w:type="dxa"/>
              <w:right w:w="57" w:type="dxa"/>
            </w:tcMar>
          </w:tcPr>
          <w:p w14:paraId="51C9A1A2" w14:textId="77777777" w:rsidR="005D02EF" w:rsidRPr="009E06AA" w:rsidRDefault="005D02EF" w:rsidP="00B55F24">
            <w:pPr>
              <w:pStyle w:val="TableText"/>
              <w:spacing w:before="30" w:after="30"/>
            </w:pPr>
            <w:r w:rsidRPr="009E06AA">
              <w:rPr>
                <w:rFonts w:eastAsia="Calibri"/>
                <w:color w:val="000000"/>
              </w:rPr>
              <w:t>3.A Enteric fermentation – CH₄ (A.16, 2021) Accuracy</w:t>
            </w:r>
          </w:p>
        </w:tc>
        <w:tc>
          <w:tcPr>
            <w:tcW w:w="3686" w:type="dxa"/>
            <w:shd w:val="clear" w:color="auto" w:fill="FFFFFF" w:themeFill="background1"/>
            <w:tcMar>
              <w:top w:w="0" w:type="dxa"/>
              <w:left w:w="85" w:type="dxa"/>
              <w:bottom w:w="0" w:type="dxa"/>
              <w:right w:w="57" w:type="dxa"/>
            </w:tcMar>
          </w:tcPr>
          <w:p w14:paraId="3F4A9B4B" w14:textId="77777777" w:rsidR="005D02EF" w:rsidRPr="009E06AA" w:rsidRDefault="005D02EF" w:rsidP="00B55F24">
            <w:pPr>
              <w:pStyle w:val="TableText"/>
              <w:spacing w:before="30" w:after="30"/>
            </w:pPr>
            <w:r w:rsidRPr="009E06AA">
              <w:rPr>
                <w:rFonts w:eastAsia="Calibri"/>
                <w:color w:val="000000"/>
              </w:rPr>
              <w:t>Using the data and results of research, improve the model trends or changes in death rates over the time series used for estimating emissions from enteric fermentation for dairy cattle, beef cattle, sheep and deer, and document any recalculations in the NIR.</w:t>
            </w:r>
          </w:p>
        </w:tc>
        <w:tc>
          <w:tcPr>
            <w:tcW w:w="4806" w:type="dxa"/>
            <w:shd w:val="clear" w:color="auto" w:fill="FFFFFF" w:themeFill="background1"/>
            <w:tcMar>
              <w:top w:w="0" w:type="dxa"/>
              <w:left w:w="85" w:type="dxa"/>
              <w:bottom w:w="0" w:type="dxa"/>
              <w:right w:w="57" w:type="dxa"/>
            </w:tcMar>
          </w:tcPr>
          <w:p w14:paraId="2C34651D" w14:textId="77777777" w:rsidR="005D02EF" w:rsidRPr="009E06AA" w:rsidRDefault="005D02EF" w:rsidP="00B55F24">
            <w:pPr>
              <w:pStyle w:val="TableText"/>
              <w:spacing w:before="30" w:after="30"/>
            </w:pPr>
            <w:r w:rsidRPr="009E06AA">
              <w:rPr>
                <w:rFonts w:eastAsia="Calibri"/>
                <w:color w:val="000000"/>
              </w:rPr>
              <w:t>Addressing. For its 2022 submission, the Party continued to apply the fixed death rate values in the characterization of the monthly livestock population for New Zealand’s tier 2 model for estimating emissions from enteric fermentation for dairy cattle, beef cattle, sheep and deer. During the review, the Party clarified that the relevant country-specific research is ongoing and that updated information on death rates for daily-cattle will be used for its 2023 annual submission. The Party also clarified that research into birth and slaughter dates for beef cattle and sheep has just been finalized and these data could be used to revise death rates for beef cattle and sheep for its 2024 annual submission.</w:t>
            </w:r>
          </w:p>
        </w:tc>
        <w:tc>
          <w:tcPr>
            <w:tcW w:w="2621" w:type="dxa"/>
            <w:shd w:val="clear" w:color="auto" w:fill="FFFFFF" w:themeFill="background1"/>
            <w:tcMar>
              <w:top w:w="0" w:type="dxa"/>
              <w:left w:w="85" w:type="dxa"/>
              <w:bottom w:w="0" w:type="dxa"/>
              <w:right w:w="57" w:type="dxa"/>
            </w:tcMar>
          </w:tcPr>
          <w:p w14:paraId="7117CD58" w14:textId="77777777" w:rsidR="005D02EF" w:rsidRPr="009E06AA" w:rsidRDefault="005D02EF" w:rsidP="00B55F24">
            <w:pPr>
              <w:pStyle w:val="TableText"/>
              <w:spacing w:before="30" w:after="30"/>
            </w:pPr>
            <w:r w:rsidRPr="009E06AA">
              <w:rPr>
                <w:b/>
                <w:color w:val="000000"/>
                <w:shd w:val="clear" w:color="auto" w:fill="FFFFFF"/>
              </w:rPr>
              <w:t>Resolved</w:t>
            </w:r>
            <w:r w:rsidRPr="009E06AA">
              <w:rPr>
                <w:bCs/>
                <w:color w:val="000000"/>
                <w:shd w:val="clear" w:color="auto" w:fill="FFFFFF"/>
              </w:rPr>
              <w:t xml:space="preserve">. </w:t>
            </w:r>
            <w:r w:rsidRPr="009E06AA">
              <w:rPr>
                <w:color w:val="000000"/>
                <w:shd w:val="clear" w:color="auto" w:fill="FFFFFF"/>
              </w:rPr>
              <w:t xml:space="preserve">The findings for dairy cattle were included in the 2023 NIR submission as a part of an improved </w:t>
            </w:r>
            <w:r w:rsidRPr="009E06AA">
              <w:rPr>
                <w:i/>
                <w:iCs/>
                <w:color w:val="000000"/>
                <w:shd w:val="clear" w:color="auto" w:fill="FFFFFF"/>
              </w:rPr>
              <w:t>Dairy cattle</w:t>
            </w:r>
            <w:r w:rsidRPr="009E06AA">
              <w:rPr>
                <w:color w:val="000000"/>
                <w:shd w:val="clear" w:color="auto" w:fill="FFFFFF"/>
              </w:rPr>
              <w:t xml:space="preserve"> population model. The findings for beef cattle were included in the 2024 NIR submission as a part of an improved </w:t>
            </w:r>
            <w:r w:rsidRPr="009E06AA">
              <w:rPr>
                <w:i/>
                <w:iCs/>
                <w:color w:val="000000"/>
                <w:shd w:val="clear" w:color="auto" w:fill="FFFFFF"/>
              </w:rPr>
              <w:t>Beef cattle</w:t>
            </w:r>
            <w:r w:rsidRPr="009E06AA">
              <w:rPr>
                <w:color w:val="000000"/>
                <w:shd w:val="clear" w:color="auto" w:fill="FFFFFF"/>
              </w:rPr>
              <w:t xml:space="preserve"> population and liveweight model. The findings for</w:t>
            </w:r>
            <w:r w:rsidRPr="009E06AA">
              <w:rPr>
                <w:i/>
                <w:iCs/>
                <w:color w:val="000000"/>
                <w:shd w:val="clear" w:color="auto" w:fill="FFFFFF"/>
              </w:rPr>
              <w:t xml:space="preserve"> Sheep</w:t>
            </w:r>
            <w:r w:rsidRPr="009E06AA">
              <w:rPr>
                <w:color w:val="000000"/>
                <w:shd w:val="clear" w:color="auto" w:fill="FFFFFF"/>
              </w:rPr>
              <w:t xml:space="preserve"> have been incorporated in the updated proportion of lambs held over to a second slaughter date.</w:t>
            </w:r>
          </w:p>
        </w:tc>
      </w:tr>
      <w:tr w:rsidR="005D02EF" w:rsidRPr="009E06AA" w14:paraId="5C0FDCE3" w14:textId="77777777" w:rsidTr="00271345">
        <w:tc>
          <w:tcPr>
            <w:tcW w:w="709" w:type="dxa"/>
            <w:shd w:val="clear" w:color="auto" w:fill="FFFFFF" w:themeFill="background1"/>
            <w:tcMar>
              <w:top w:w="0" w:type="dxa"/>
              <w:left w:w="85" w:type="dxa"/>
              <w:bottom w:w="0" w:type="dxa"/>
              <w:right w:w="57" w:type="dxa"/>
            </w:tcMar>
          </w:tcPr>
          <w:p w14:paraId="24365765" w14:textId="77777777" w:rsidR="005D02EF" w:rsidRPr="009E06AA" w:rsidRDefault="005D02EF" w:rsidP="00B55F24">
            <w:pPr>
              <w:pStyle w:val="TableText"/>
              <w:spacing w:before="30" w:after="30"/>
            </w:pPr>
            <w:r w:rsidRPr="009E06AA">
              <w:rPr>
                <w:rFonts w:eastAsia="Calibri"/>
                <w:color w:val="000000"/>
              </w:rPr>
              <w:t>A.2</w:t>
            </w:r>
          </w:p>
        </w:tc>
        <w:tc>
          <w:tcPr>
            <w:tcW w:w="2126" w:type="dxa"/>
            <w:shd w:val="clear" w:color="auto" w:fill="FFFFFF" w:themeFill="background1"/>
            <w:tcMar>
              <w:top w:w="0" w:type="dxa"/>
              <w:left w:w="85" w:type="dxa"/>
              <w:bottom w:w="0" w:type="dxa"/>
              <w:right w:w="57" w:type="dxa"/>
            </w:tcMar>
          </w:tcPr>
          <w:p w14:paraId="53C390DC" w14:textId="77777777" w:rsidR="005D02EF" w:rsidRPr="009E06AA" w:rsidRDefault="005D02EF" w:rsidP="00B55F24">
            <w:pPr>
              <w:pStyle w:val="TableText"/>
              <w:spacing w:before="30" w:after="30"/>
            </w:pPr>
            <w:r w:rsidRPr="009E06AA">
              <w:rPr>
                <w:rFonts w:eastAsia="Calibri"/>
                <w:color w:val="000000"/>
              </w:rPr>
              <w:t>3.A.1 Cattle – CH₄, N₂O (A.17, 2021) Accuracy</w:t>
            </w:r>
          </w:p>
        </w:tc>
        <w:tc>
          <w:tcPr>
            <w:tcW w:w="3686" w:type="dxa"/>
            <w:shd w:val="clear" w:color="auto" w:fill="FFFFFF" w:themeFill="background1"/>
            <w:tcMar>
              <w:top w:w="0" w:type="dxa"/>
              <w:left w:w="85" w:type="dxa"/>
              <w:bottom w:w="0" w:type="dxa"/>
              <w:right w:w="57" w:type="dxa"/>
            </w:tcMar>
          </w:tcPr>
          <w:p w14:paraId="10993997" w14:textId="77777777" w:rsidR="005D02EF" w:rsidRPr="009E06AA" w:rsidRDefault="005D02EF" w:rsidP="00B55F24">
            <w:pPr>
              <w:pStyle w:val="TableText"/>
              <w:spacing w:before="30" w:after="30"/>
            </w:pPr>
            <w:r w:rsidRPr="009E06AA">
              <w:rPr>
                <w:rFonts w:eastAsia="Calibri"/>
                <w:color w:val="000000"/>
              </w:rPr>
              <w:t>Review whether a lactation length of six months and a milk yield of 800 l for beef cows are appropriate for the emission estimates and provide further justification for these values in the NIR or recalculate emissions using more appropriate values for milk yield for beef cows.</w:t>
            </w:r>
          </w:p>
        </w:tc>
        <w:tc>
          <w:tcPr>
            <w:tcW w:w="4806" w:type="dxa"/>
            <w:shd w:val="clear" w:color="auto" w:fill="FFFFFF" w:themeFill="background1"/>
            <w:tcMar>
              <w:top w:w="0" w:type="dxa"/>
              <w:left w:w="85" w:type="dxa"/>
              <w:bottom w:w="0" w:type="dxa"/>
              <w:right w:w="57" w:type="dxa"/>
            </w:tcMar>
          </w:tcPr>
          <w:p w14:paraId="61431E62" w14:textId="77777777" w:rsidR="005D02EF" w:rsidRPr="009E06AA" w:rsidRDefault="005D02EF" w:rsidP="00B55F24">
            <w:pPr>
              <w:pStyle w:val="TableText"/>
              <w:spacing w:before="30" w:after="30"/>
            </w:pPr>
            <w:r w:rsidRPr="009E06AA">
              <w:rPr>
                <w:rFonts w:eastAsia="Calibri"/>
                <w:color w:val="000000"/>
              </w:rPr>
              <w:t>Not resolved. The Party did not provide any information to justify the appropriateness of a lactation length of six months and milk yield of 800 l for estimating emissions for beef cows. During the review, the Party clarified that there are currently no data available to justify the values and that, owing to the delay in receiving the 2021 review report, it is unlikely that the issue will be resolved before the 2023 submission. New Zealand will engage with sectoral experts to determine whether the assumed values are still appropriate and, in the event that they are found not to be, identify next steps for addressing the issue.</w:t>
            </w:r>
          </w:p>
        </w:tc>
        <w:tc>
          <w:tcPr>
            <w:tcW w:w="2621" w:type="dxa"/>
            <w:shd w:val="clear" w:color="auto" w:fill="FFFFFF" w:themeFill="background1"/>
            <w:tcMar>
              <w:top w:w="0" w:type="dxa"/>
              <w:left w:w="85" w:type="dxa"/>
              <w:bottom w:w="0" w:type="dxa"/>
              <w:right w:w="57" w:type="dxa"/>
            </w:tcMar>
          </w:tcPr>
          <w:p w14:paraId="66F18F35" w14:textId="77777777" w:rsidR="005D02EF" w:rsidRPr="009E06AA" w:rsidRDefault="005D02EF" w:rsidP="00B55F24">
            <w:pPr>
              <w:pStyle w:val="TableText"/>
              <w:spacing w:before="30" w:after="30"/>
            </w:pPr>
            <w:r w:rsidRPr="009E06AA">
              <w:rPr>
                <w:b/>
                <w:color w:val="000000"/>
                <w:shd w:val="clear" w:color="auto" w:fill="FFFFFF"/>
              </w:rPr>
              <w:t>Not resolved</w:t>
            </w:r>
            <w:r w:rsidRPr="009E06AA">
              <w:rPr>
                <w:bCs/>
                <w:color w:val="000000"/>
                <w:shd w:val="clear" w:color="auto" w:fill="FFFFFF"/>
              </w:rPr>
              <w:t>.</w:t>
            </w:r>
            <w:r w:rsidRPr="009E06AA">
              <w:rPr>
                <w:color w:val="000000"/>
                <w:shd w:val="clear" w:color="auto" w:fill="FFFFFF"/>
              </w:rPr>
              <w:t xml:space="preserve"> New Zealand currently does not have data to provide further justification for these values in its reporting. We will engage with the sector to determine (a) if they are appropriate, and, if not, (b) what values should be used instead, or (c) if new research is required to determine more accurate values for this. </w:t>
            </w:r>
          </w:p>
        </w:tc>
      </w:tr>
      <w:tr w:rsidR="005D02EF" w:rsidRPr="009E06AA" w14:paraId="70989812" w14:textId="77777777" w:rsidTr="00271345">
        <w:tc>
          <w:tcPr>
            <w:tcW w:w="709" w:type="dxa"/>
            <w:shd w:val="clear" w:color="auto" w:fill="FFFFFF" w:themeFill="background1"/>
            <w:tcMar>
              <w:top w:w="0" w:type="dxa"/>
              <w:left w:w="85" w:type="dxa"/>
              <w:bottom w:w="0" w:type="dxa"/>
              <w:right w:w="57" w:type="dxa"/>
            </w:tcMar>
          </w:tcPr>
          <w:p w14:paraId="6799DB3C" w14:textId="77777777" w:rsidR="005D02EF" w:rsidRPr="009E06AA" w:rsidRDefault="005D02EF" w:rsidP="00B55F24">
            <w:pPr>
              <w:pStyle w:val="TableText"/>
              <w:spacing w:before="30" w:after="30"/>
            </w:pPr>
            <w:r w:rsidRPr="009E06AA">
              <w:rPr>
                <w:rFonts w:eastAsia="Calibri"/>
                <w:color w:val="000000"/>
              </w:rPr>
              <w:t>A.3</w:t>
            </w:r>
          </w:p>
        </w:tc>
        <w:tc>
          <w:tcPr>
            <w:tcW w:w="2126" w:type="dxa"/>
            <w:shd w:val="clear" w:color="auto" w:fill="FFFFFF" w:themeFill="background1"/>
            <w:tcMar>
              <w:top w:w="0" w:type="dxa"/>
              <w:left w:w="85" w:type="dxa"/>
              <w:bottom w:w="0" w:type="dxa"/>
              <w:right w:w="57" w:type="dxa"/>
            </w:tcMar>
          </w:tcPr>
          <w:p w14:paraId="147C86C8" w14:textId="77777777" w:rsidR="005D02EF" w:rsidRPr="009E06AA" w:rsidRDefault="005D02EF" w:rsidP="00B55F24">
            <w:pPr>
              <w:pStyle w:val="TableText"/>
              <w:spacing w:before="30" w:after="30"/>
            </w:pPr>
            <w:r w:rsidRPr="009E06AA">
              <w:rPr>
                <w:rFonts w:eastAsia="Calibri"/>
                <w:color w:val="000000"/>
              </w:rPr>
              <w:t>3.A.1 Cattle – CH₄ (A.18, 2021) Transparency</w:t>
            </w:r>
          </w:p>
        </w:tc>
        <w:tc>
          <w:tcPr>
            <w:tcW w:w="3686" w:type="dxa"/>
            <w:shd w:val="clear" w:color="auto" w:fill="FFFFFF" w:themeFill="background1"/>
            <w:tcMar>
              <w:top w:w="0" w:type="dxa"/>
              <w:left w:w="85" w:type="dxa"/>
              <w:bottom w:w="0" w:type="dxa"/>
              <w:right w:w="57" w:type="dxa"/>
            </w:tcMar>
          </w:tcPr>
          <w:p w14:paraId="084B7569" w14:textId="77777777" w:rsidR="005D02EF" w:rsidRPr="009E06AA" w:rsidRDefault="005D02EF" w:rsidP="00B55F24">
            <w:pPr>
              <w:pStyle w:val="TableText"/>
              <w:spacing w:before="30" w:after="30"/>
            </w:pPr>
            <w:r w:rsidRPr="009E06AA">
              <w:rPr>
                <w:rFonts w:eastAsia="Calibri"/>
                <w:color w:val="000000"/>
              </w:rPr>
              <w:t>Include a clearer description in the NIR of how productivity data for milk production from the Livestock Improvement Corporation are matched with terrestrial livestock data, including for those instances where Livestock Improvement Corporation data combine geographically close regions to obtain a single value (productivity data) that is then used for livestock population in these regions.</w:t>
            </w:r>
          </w:p>
        </w:tc>
        <w:tc>
          <w:tcPr>
            <w:tcW w:w="4806" w:type="dxa"/>
            <w:shd w:val="clear" w:color="auto" w:fill="FFFFFF" w:themeFill="background1"/>
            <w:tcMar>
              <w:top w:w="0" w:type="dxa"/>
              <w:left w:w="85" w:type="dxa"/>
              <w:bottom w:w="0" w:type="dxa"/>
              <w:right w:w="57" w:type="dxa"/>
            </w:tcMar>
          </w:tcPr>
          <w:p w14:paraId="51E3ECF3" w14:textId="77777777" w:rsidR="005D02EF" w:rsidRPr="009E06AA" w:rsidRDefault="005D02EF" w:rsidP="00B55F24">
            <w:pPr>
              <w:pStyle w:val="TableText"/>
              <w:spacing w:before="30" w:after="30"/>
            </w:pPr>
            <w:r w:rsidRPr="009E06AA">
              <w:rPr>
                <w:rFonts w:eastAsia="Calibri"/>
                <w:color w:val="000000"/>
              </w:rPr>
              <w:t>Not resolved. The Party did not update the description of how Livestock Improvement Corporation productivity data are matched with terrestrial livestock data in its NIR (p.161). During the review, the Party clarified that this was not done owing to the delay in receiving the 2021 review report. A clearer description will be included in the 2023 submission.</w:t>
            </w:r>
          </w:p>
        </w:tc>
        <w:tc>
          <w:tcPr>
            <w:tcW w:w="2621" w:type="dxa"/>
            <w:shd w:val="clear" w:color="auto" w:fill="FFFFFF" w:themeFill="background1"/>
            <w:tcMar>
              <w:top w:w="0" w:type="dxa"/>
              <w:left w:w="85" w:type="dxa"/>
              <w:bottom w:w="0" w:type="dxa"/>
              <w:right w:w="57" w:type="dxa"/>
            </w:tcMar>
          </w:tcPr>
          <w:p w14:paraId="3005FBC6" w14:textId="77777777" w:rsidR="005D02EF" w:rsidRPr="009E06AA" w:rsidRDefault="005D02EF" w:rsidP="00B55F24">
            <w:pPr>
              <w:pStyle w:val="TableText"/>
              <w:spacing w:before="30" w:after="30"/>
            </w:pPr>
            <w:r w:rsidRPr="009E06AA">
              <w:rPr>
                <w:b/>
                <w:color w:val="000000"/>
                <w:shd w:val="clear" w:color="auto" w:fill="FFFFFF"/>
              </w:rPr>
              <w:t>Resolved</w:t>
            </w:r>
            <w:r w:rsidRPr="009E06AA">
              <w:rPr>
                <w:bCs/>
                <w:color w:val="000000"/>
                <w:shd w:val="clear" w:color="auto" w:fill="FFFFFF"/>
              </w:rPr>
              <w:t>.</w:t>
            </w:r>
            <w:r w:rsidRPr="009E06AA">
              <w:rPr>
                <w:color w:val="000000"/>
                <w:shd w:val="clear" w:color="auto" w:fill="FFFFFF"/>
              </w:rPr>
              <w:t xml:space="preserve"> A clearer description has been added in chapter 5, section 5.1.4. </w:t>
            </w:r>
          </w:p>
        </w:tc>
      </w:tr>
      <w:tr w:rsidR="005D02EF" w:rsidRPr="009E06AA" w14:paraId="068B1BB3" w14:textId="77777777" w:rsidTr="00271345">
        <w:tc>
          <w:tcPr>
            <w:tcW w:w="709" w:type="dxa"/>
            <w:shd w:val="clear" w:color="auto" w:fill="FFFFFF" w:themeFill="background1"/>
            <w:tcMar>
              <w:top w:w="0" w:type="dxa"/>
              <w:left w:w="85" w:type="dxa"/>
              <w:bottom w:w="0" w:type="dxa"/>
              <w:right w:w="57" w:type="dxa"/>
            </w:tcMar>
          </w:tcPr>
          <w:p w14:paraId="290ECCC6" w14:textId="77777777" w:rsidR="005D02EF" w:rsidRPr="009E06AA" w:rsidRDefault="005D02EF" w:rsidP="00B55F24">
            <w:pPr>
              <w:pStyle w:val="TableText"/>
              <w:spacing w:before="30" w:after="30"/>
            </w:pPr>
            <w:r w:rsidRPr="009E06AA">
              <w:rPr>
                <w:rFonts w:eastAsia="Calibri"/>
                <w:color w:val="000000"/>
              </w:rPr>
              <w:t>A.4</w:t>
            </w:r>
          </w:p>
        </w:tc>
        <w:tc>
          <w:tcPr>
            <w:tcW w:w="2126" w:type="dxa"/>
            <w:shd w:val="clear" w:color="auto" w:fill="FFFFFF" w:themeFill="background1"/>
            <w:tcMar>
              <w:top w:w="0" w:type="dxa"/>
              <w:left w:w="85" w:type="dxa"/>
              <w:bottom w:w="0" w:type="dxa"/>
              <w:right w:w="57" w:type="dxa"/>
            </w:tcMar>
          </w:tcPr>
          <w:p w14:paraId="37D28080" w14:textId="77777777" w:rsidR="005D02EF" w:rsidRPr="009E06AA" w:rsidRDefault="005D02EF" w:rsidP="00B55F24">
            <w:pPr>
              <w:pStyle w:val="TableText"/>
              <w:spacing w:before="30" w:after="30"/>
            </w:pPr>
            <w:r w:rsidRPr="009E06AA">
              <w:rPr>
                <w:rFonts w:eastAsia="Calibri"/>
                <w:color w:val="000000"/>
              </w:rPr>
              <w:t>3.A.1 Cattle – CH₄, N₂O (A.19, 2021) Accuracy</w:t>
            </w:r>
          </w:p>
        </w:tc>
        <w:tc>
          <w:tcPr>
            <w:tcW w:w="3686" w:type="dxa"/>
            <w:shd w:val="clear" w:color="auto" w:fill="FFFFFF" w:themeFill="background1"/>
            <w:tcMar>
              <w:top w:w="0" w:type="dxa"/>
              <w:left w:w="85" w:type="dxa"/>
              <w:bottom w:w="0" w:type="dxa"/>
              <w:right w:w="57" w:type="dxa"/>
            </w:tcMar>
          </w:tcPr>
          <w:p w14:paraId="21988DA9" w14:textId="77777777" w:rsidR="005D02EF" w:rsidRPr="009E06AA" w:rsidRDefault="005D02EF" w:rsidP="00B55F24">
            <w:pPr>
              <w:pStyle w:val="TableText"/>
              <w:spacing w:before="30" w:after="30"/>
            </w:pPr>
            <w:r w:rsidRPr="009E06AA">
              <w:rPr>
                <w:rFonts w:eastAsia="Calibri"/>
                <w:color w:val="000000"/>
              </w:rPr>
              <w:t>Incorporate the data and results of the ongoing research in order to provide more up-to-date data on the proportion of dry cows and update the parameter POPdnmct (total number of dairy cows and heifers not in milk or calf in year t), recalculate the emission estimates and explain the recalculations in the NIR.</w:t>
            </w:r>
          </w:p>
        </w:tc>
        <w:tc>
          <w:tcPr>
            <w:tcW w:w="4806" w:type="dxa"/>
            <w:shd w:val="clear" w:color="auto" w:fill="FFFFFF" w:themeFill="background1"/>
            <w:tcMar>
              <w:top w:w="0" w:type="dxa"/>
              <w:left w:w="85" w:type="dxa"/>
              <w:bottom w:w="0" w:type="dxa"/>
              <w:right w:w="57" w:type="dxa"/>
            </w:tcMar>
          </w:tcPr>
          <w:p w14:paraId="747F5A18" w14:textId="77777777" w:rsidR="005D02EF" w:rsidRPr="009E06AA" w:rsidRDefault="005D02EF" w:rsidP="00B55F24">
            <w:pPr>
              <w:pStyle w:val="TableText"/>
              <w:spacing w:before="30" w:after="30"/>
            </w:pPr>
            <w:r w:rsidRPr="009E06AA">
              <w:rPr>
                <w:rFonts w:eastAsia="Calibri"/>
                <w:color w:val="000000"/>
              </w:rPr>
              <w:t>Not resolved. New Zealand did not provide additional information on the results of the ongoing research aimed at updating the data on the proportion of dry cows and the parameter POPdnmct. During the review, the Party clarified that the research is being finalized and the results will be used once available, hopefully as part of improvements for the 2023 submission.</w:t>
            </w:r>
          </w:p>
        </w:tc>
        <w:tc>
          <w:tcPr>
            <w:tcW w:w="2621" w:type="dxa"/>
            <w:shd w:val="clear" w:color="auto" w:fill="FFFFFF" w:themeFill="background1"/>
            <w:tcMar>
              <w:top w:w="0" w:type="dxa"/>
              <w:left w:w="85" w:type="dxa"/>
              <w:bottom w:w="0" w:type="dxa"/>
              <w:right w:w="57" w:type="dxa"/>
            </w:tcMar>
          </w:tcPr>
          <w:p w14:paraId="54B0326B" w14:textId="77777777" w:rsidR="005D02EF" w:rsidRPr="009E06AA" w:rsidRDefault="005D02EF" w:rsidP="00B55F24">
            <w:pPr>
              <w:pStyle w:val="TableText"/>
              <w:spacing w:before="30" w:after="30"/>
            </w:pPr>
            <w:r w:rsidRPr="009E06AA">
              <w:rPr>
                <w:b/>
                <w:color w:val="000000"/>
                <w:shd w:val="clear" w:color="auto" w:fill="FFFFFF"/>
              </w:rPr>
              <w:t>Resolved</w:t>
            </w:r>
            <w:r w:rsidRPr="009E06AA">
              <w:rPr>
                <w:color w:val="000000"/>
                <w:shd w:val="clear" w:color="auto" w:fill="FFFFFF"/>
              </w:rPr>
              <w:t xml:space="preserve">. Additional investigation has confirmed that </w:t>
            </w:r>
            <w:r w:rsidRPr="009E06AA">
              <w:rPr>
                <w:rFonts w:eastAsia="Calibri"/>
                <w:color w:val="000000"/>
              </w:rPr>
              <w:t>POPdnmct</w:t>
            </w:r>
            <w:r w:rsidRPr="009E06AA">
              <w:rPr>
                <w:color w:val="000000"/>
                <w:shd w:val="clear" w:color="auto" w:fill="FFFFFF"/>
              </w:rPr>
              <w:t xml:space="preserve"> is based on survey data collected annually by the Agricultural Production Survey. </w:t>
            </w:r>
          </w:p>
        </w:tc>
      </w:tr>
      <w:tr w:rsidR="005D02EF" w:rsidRPr="009E06AA" w14:paraId="147F44EA" w14:textId="77777777" w:rsidTr="00271345">
        <w:tc>
          <w:tcPr>
            <w:tcW w:w="709" w:type="dxa"/>
            <w:shd w:val="clear" w:color="auto" w:fill="FFFFFF" w:themeFill="background1"/>
            <w:tcMar>
              <w:top w:w="0" w:type="dxa"/>
              <w:left w:w="85" w:type="dxa"/>
              <w:bottom w:w="0" w:type="dxa"/>
              <w:right w:w="57" w:type="dxa"/>
            </w:tcMar>
          </w:tcPr>
          <w:p w14:paraId="21B259ED" w14:textId="77777777" w:rsidR="005D02EF" w:rsidRPr="009E06AA" w:rsidRDefault="005D02EF" w:rsidP="00B55F24">
            <w:pPr>
              <w:pStyle w:val="TableText"/>
              <w:spacing w:before="30" w:after="30"/>
            </w:pPr>
            <w:r w:rsidRPr="009E06AA">
              <w:rPr>
                <w:rFonts w:eastAsia="Calibri"/>
                <w:color w:val="000000"/>
              </w:rPr>
              <w:t>A.5</w:t>
            </w:r>
          </w:p>
        </w:tc>
        <w:tc>
          <w:tcPr>
            <w:tcW w:w="2126" w:type="dxa"/>
            <w:shd w:val="clear" w:color="auto" w:fill="FFFFFF" w:themeFill="background1"/>
            <w:tcMar>
              <w:top w:w="0" w:type="dxa"/>
              <w:left w:w="85" w:type="dxa"/>
              <w:bottom w:w="0" w:type="dxa"/>
              <w:right w:w="57" w:type="dxa"/>
            </w:tcMar>
          </w:tcPr>
          <w:p w14:paraId="52309FE7" w14:textId="77777777" w:rsidR="005D02EF" w:rsidRPr="009E06AA" w:rsidRDefault="005D02EF" w:rsidP="00B55F24">
            <w:pPr>
              <w:pStyle w:val="TableText"/>
              <w:spacing w:before="30" w:after="30"/>
            </w:pPr>
            <w:r w:rsidRPr="009E06AA">
              <w:rPr>
                <w:rFonts w:eastAsia="Calibri"/>
                <w:color w:val="000000"/>
              </w:rPr>
              <w:t>3.A.1 Cattle – CH₄ (A.20, 2021) Accuracy</w:t>
            </w:r>
          </w:p>
        </w:tc>
        <w:tc>
          <w:tcPr>
            <w:tcW w:w="3686" w:type="dxa"/>
            <w:shd w:val="clear" w:color="auto" w:fill="FFFFFF" w:themeFill="background1"/>
            <w:tcMar>
              <w:top w:w="0" w:type="dxa"/>
              <w:left w:w="85" w:type="dxa"/>
              <w:bottom w:w="0" w:type="dxa"/>
              <w:right w:w="57" w:type="dxa"/>
            </w:tcMar>
          </w:tcPr>
          <w:p w14:paraId="2E7353B6" w14:textId="77777777" w:rsidR="005D02EF" w:rsidRPr="009E06AA" w:rsidRDefault="005D02EF" w:rsidP="00B55F24">
            <w:pPr>
              <w:pStyle w:val="TableText"/>
              <w:spacing w:before="30" w:after="30"/>
            </w:pPr>
            <w:r w:rsidRPr="009E06AA">
              <w:rPr>
                <w:rFonts w:eastAsia="Calibri"/>
                <w:color w:val="000000"/>
              </w:rPr>
              <w:t>Improve the methodology related to the instantaneous gain of 10 per cent of the weight of mature cows to account for their higher energy requirements and recalculate the associated emission estimates. Document clearly these recalculations in the NIR.</w:t>
            </w:r>
          </w:p>
        </w:tc>
        <w:tc>
          <w:tcPr>
            <w:tcW w:w="4806" w:type="dxa"/>
            <w:shd w:val="clear" w:color="auto" w:fill="FFFFFF" w:themeFill="background1"/>
            <w:tcMar>
              <w:top w:w="0" w:type="dxa"/>
              <w:left w:w="85" w:type="dxa"/>
              <w:bottom w:w="0" w:type="dxa"/>
              <w:right w:w="57" w:type="dxa"/>
            </w:tcMar>
          </w:tcPr>
          <w:p w14:paraId="195F2B16" w14:textId="77777777" w:rsidR="005D02EF" w:rsidRPr="009E06AA" w:rsidRDefault="005D02EF" w:rsidP="00B55F24">
            <w:pPr>
              <w:pStyle w:val="TableText"/>
              <w:spacing w:before="30" w:after="30"/>
            </w:pPr>
            <w:r w:rsidRPr="009E06AA">
              <w:rPr>
                <w:rFonts w:eastAsia="Calibri"/>
                <w:color w:val="000000"/>
              </w:rPr>
              <w:t>Addressing. New Zealand continued to assume that growing heifer live weight gain linearly increases from 9 per cent when a heifer is born to 90 per cent when it becomes a mature heifer at 638 days old. After 638 days, growing heifers join the class of mature milking cows and make an instantaneous jump in weight to the full mature dairy cow weight. During the review, the Party clarified that the instantaneous weight gain is related to the fact that growing heifers are moving up into the next subcategory of cattle. The Party specified that ongoing research to improve the methodology for estimating dairy cattle population will address this issue and the results will be incorporated into its 2023 submission.</w:t>
            </w:r>
          </w:p>
        </w:tc>
        <w:tc>
          <w:tcPr>
            <w:tcW w:w="2621" w:type="dxa"/>
            <w:shd w:val="clear" w:color="auto" w:fill="FFFFFF" w:themeFill="background1"/>
            <w:tcMar>
              <w:top w:w="0" w:type="dxa"/>
              <w:left w:w="85" w:type="dxa"/>
              <w:bottom w:w="0" w:type="dxa"/>
              <w:right w:w="57" w:type="dxa"/>
            </w:tcMar>
          </w:tcPr>
          <w:p w14:paraId="7304A6C8" w14:textId="77777777" w:rsidR="005D02EF" w:rsidRPr="009E06AA" w:rsidRDefault="005D02EF" w:rsidP="00B55F24">
            <w:pPr>
              <w:pStyle w:val="TableText"/>
              <w:spacing w:before="30" w:after="30"/>
            </w:pPr>
            <w:r w:rsidRPr="009E06AA">
              <w:rPr>
                <w:b/>
                <w:color w:val="000000"/>
                <w:shd w:val="clear" w:color="auto" w:fill="FFFFFF"/>
              </w:rPr>
              <w:t>Resolved</w:t>
            </w:r>
            <w:r w:rsidRPr="009E06AA">
              <w:rPr>
                <w:color w:val="000000"/>
                <w:shd w:val="clear" w:color="auto" w:fill="FFFFFF"/>
              </w:rPr>
              <w:t xml:space="preserve">. This was adjusted as a part of the improved estimates of within-year </w:t>
            </w:r>
            <w:r w:rsidRPr="009E06AA">
              <w:rPr>
                <w:i/>
                <w:iCs/>
                <w:color w:val="000000"/>
                <w:shd w:val="clear" w:color="auto" w:fill="FFFFFF"/>
              </w:rPr>
              <w:t>Dairy cattle</w:t>
            </w:r>
            <w:r w:rsidRPr="009E06AA">
              <w:rPr>
                <w:color w:val="000000"/>
                <w:shd w:val="clear" w:color="auto" w:fill="FFFFFF"/>
              </w:rPr>
              <w:t xml:space="preserve"> population change included in the 2023 NIR submission.</w:t>
            </w:r>
          </w:p>
        </w:tc>
      </w:tr>
      <w:tr w:rsidR="005D02EF" w:rsidRPr="009E06AA" w14:paraId="7E70325C" w14:textId="77777777" w:rsidTr="00271345">
        <w:tc>
          <w:tcPr>
            <w:tcW w:w="709" w:type="dxa"/>
            <w:shd w:val="clear" w:color="auto" w:fill="FFFFFF" w:themeFill="background1"/>
            <w:tcMar>
              <w:top w:w="0" w:type="dxa"/>
              <w:left w:w="85" w:type="dxa"/>
              <w:bottom w:w="0" w:type="dxa"/>
              <w:right w:w="57" w:type="dxa"/>
            </w:tcMar>
          </w:tcPr>
          <w:p w14:paraId="71837B07" w14:textId="77777777" w:rsidR="005D02EF" w:rsidRPr="009E06AA" w:rsidRDefault="005D02EF" w:rsidP="00B55F24">
            <w:pPr>
              <w:pStyle w:val="TableText"/>
              <w:spacing w:before="30" w:after="30"/>
            </w:pPr>
            <w:r w:rsidRPr="009E06AA">
              <w:rPr>
                <w:rFonts w:eastAsia="Calibri"/>
                <w:color w:val="000000"/>
              </w:rPr>
              <w:t>A.6</w:t>
            </w:r>
          </w:p>
        </w:tc>
        <w:tc>
          <w:tcPr>
            <w:tcW w:w="2126" w:type="dxa"/>
            <w:shd w:val="clear" w:color="auto" w:fill="FFFFFF" w:themeFill="background1"/>
            <w:tcMar>
              <w:top w:w="0" w:type="dxa"/>
              <w:left w:w="85" w:type="dxa"/>
              <w:bottom w:w="0" w:type="dxa"/>
              <w:right w:w="57" w:type="dxa"/>
            </w:tcMar>
          </w:tcPr>
          <w:p w14:paraId="5C13BA52" w14:textId="77777777" w:rsidR="005D02EF" w:rsidRPr="009E06AA" w:rsidRDefault="005D02EF" w:rsidP="00B55F24">
            <w:pPr>
              <w:pStyle w:val="TableText"/>
              <w:spacing w:before="30" w:after="30"/>
            </w:pPr>
            <w:r w:rsidRPr="009E06AA">
              <w:rPr>
                <w:rFonts w:eastAsia="Calibri"/>
                <w:color w:val="000000"/>
              </w:rPr>
              <w:t>3.A.4 Other livestock – CH₄ (A.9, 2021) (A.13, 2019) Accuracy</w:t>
            </w:r>
          </w:p>
        </w:tc>
        <w:tc>
          <w:tcPr>
            <w:tcW w:w="3686" w:type="dxa"/>
            <w:shd w:val="clear" w:color="auto" w:fill="FFFFFF" w:themeFill="background1"/>
            <w:tcMar>
              <w:top w:w="0" w:type="dxa"/>
              <w:left w:w="85" w:type="dxa"/>
              <w:bottom w:w="0" w:type="dxa"/>
              <w:right w:w="57" w:type="dxa"/>
            </w:tcMar>
          </w:tcPr>
          <w:p w14:paraId="7BDFC283" w14:textId="77777777" w:rsidR="005D02EF" w:rsidRPr="009E06AA" w:rsidRDefault="005D02EF" w:rsidP="00B55F24">
            <w:pPr>
              <w:pStyle w:val="TableText"/>
              <w:spacing w:before="30" w:after="30"/>
            </w:pPr>
            <w:r w:rsidRPr="009E06AA">
              <w:rPr>
                <w:rFonts w:eastAsia="Calibri"/>
                <w:color w:val="000000"/>
              </w:rPr>
              <w:t>Implement the planned methodological changes regarding revising the assumptions about the population of dairy goats and the total goat population, recalculate the emission estimates and explain them in the NIR.</w:t>
            </w:r>
          </w:p>
        </w:tc>
        <w:tc>
          <w:tcPr>
            <w:tcW w:w="4806" w:type="dxa"/>
            <w:shd w:val="clear" w:color="auto" w:fill="FFFFFF" w:themeFill="background1"/>
            <w:tcMar>
              <w:top w:w="0" w:type="dxa"/>
              <w:left w:w="85" w:type="dxa"/>
              <w:bottom w:w="0" w:type="dxa"/>
              <w:right w:w="57" w:type="dxa"/>
            </w:tcMar>
          </w:tcPr>
          <w:p w14:paraId="52361CEA" w14:textId="77777777" w:rsidR="005D02EF" w:rsidRPr="009E06AA" w:rsidRDefault="005D02EF" w:rsidP="00B55F24">
            <w:pPr>
              <w:pStyle w:val="TableText"/>
              <w:spacing w:before="30" w:after="30"/>
            </w:pPr>
            <w:r w:rsidRPr="009E06AA">
              <w:rPr>
                <w:rFonts w:eastAsia="Calibri"/>
                <w:color w:val="000000"/>
              </w:rPr>
              <w:t>Resolved. In its NIR (table 10.2.2, p.392), the Party stated that it used revised estimates of the dairy goat population for the 2020 inventory. This resulted in an updated CH₄ EF for enteric fermentation for the whole time series in the 2020 inventory (CRF table 3.A.s1). During the review, the Party clarified that data from recent research (Burggraaf et al., 2019) have now been adopted in the methodology regarding the proportion of dairy goats in the overall farmed population and emission estimates have been recalculated accordingly. The ERT noted that a reference to this research was provided in the NIR (p.177).</w:t>
            </w:r>
          </w:p>
        </w:tc>
        <w:tc>
          <w:tcPr>
            <w:tcW w:w="2621" w:type="dxa"/>
            <w:shd w:val="clear" w:color="auto" w:fill="FFFFFF" w:themeFill="background1"/>
            <w:tcMar>
              <w:top w:w="0" w:type="dxa"/>
              <w:left w:w="85" w:type="dxa"/>
              <w:bottom w:w="0" w:type="dxa"/>
              <w:right w:w="57" w:type="dxa"/>
            </w:tcMar>
          </w:tcPr>
          <w:p w14:paraId="01002AA2" w14:textId="77777777" w:rsidR="005D02EF" w:rsidRPr="009E06AA" w:rsidRDefault="005D02EF" w:rsidP="00B55F24">
            <w:pPr>
              <w:pStyle w:val="TableText"/>
              <w:spacing w:before="30" w:after="30"/>
            </w:pPr>
            <w:r w:rsidRPr="009E06AA">
              <w:rPr>
                <w:shd w:val="clear" w:color="auto" w:fill="FFFFFF"/>
              </w:rPr>
              <w:t>NA</w:t>
            </w:r>
          </w:p>
        </w:tc>
      </w:tr>
      <w:tr w:rsidR="005D02EF" w:rsidRPr="009E06AA" w14:paraId="0F0E9DF9" w14:textId="77777777" w:rsidTr="00271345">
        <w:tc>
          <w:tcPr>
            <w:tcW w:w="709" w:type="dxa"/>
            <w:shd w:val="clear" w:color="auto" w:fill="FFFFFF" w:themeFill="background1"/>
            <w:tcMar>
              <w:top w:w="0" w:type="dxa"/>
              <w:left w:w="85" w:type="dxa"/>
              <w:bottom w:w="0" w:type="dxa"/>
              <w:right w:w="57" w:type="dxa"/>
            </w:tcMar>
          </w:tcPr>
          <w:p w14:paraId="3148E564" w14:textId="77777777" w:rsidR="005D02EF" w:rsidRPr="009E06AA" w:rsidRDefault="005D02EF" w:rsidP="00B55F24">
            <w:pPr>
              <w:pStyle w:val="TableText"/>
              <w:keepNext/>
              <w:spacing w:before="30" w:after="30"/>
            </w:pPr>
            <w:r w:rsidRPr="009E06AA">
              <w:rPr>
                <w:rFonts w:eastAsia="Calibri"/>
                <w:color w:val="000000"/>
              </w:rPr>
              <w:t>A.7</w:t>
            </w:r>
          </w:p>
        </w:tc>
        <w:tc>
          <w:tcPr>
            <w:tcW w:w="2126" w:type="dxa"/>
            <w:shd w:val="clear" w:color="auto" w:fill="FFFFFF" w:themeFill="background1"/>
            <w:tcMar>
              <w:top w:w="0" w:type="dxa"/>
              <w:left w:w="85" w:type="dxa"/>
              <w:bottom w:w="0" w:type="dxa"/>
              <w:right w:w="57" w:type="dxa"/>
            </w:tcMar>
          </w:tcPr>
          <w:p w14:paraId="5494F6FB" w14:textId="77777777" w:rsidR="005D02EF" w:rsidRPr="009E06AA" w:rsidRDefault="005D02EF" w:rsidP="00B55F24">
            <w:pPr>
              <w:pStyle w:val="TableText"/>
              <w:spacing w:before="30" w:after="30"/>
            </w:pPr>
            <w:r w:rsidRPr="009E06AA">
              <w:rPr>
                <w:rFonts w:eastAsia="Calibri"/>
                <w:color w:val="000000"/>
              </w:rPr>
              <w:t>3.B.1 Cattle – N₂O (A.21, 2021) Transparency</w:t>
            </w:r>
          </w:p>
        </w:tc>
        <w:tc>
          <w:tcPr>
            <w:tcW w:w="3686" w:type="dxa"/>
            <w:shd w:val="clear" w:color="auto" w:fill="FFFFFF" w:themeFill="background1"/>
            <w:tcMar>
              <w:top w:w="0" w:type="dxa"/>
              <w:left w:w="85" w:type="dxa"/>
              <w:bottom w:w="0" w:type="dxa"/>
              <w:right w:w="57" w:type="dxa"/>
            </w:tcMar>
          </w:tcPr>
          <w:p w14:paraId="71D3EA39" w14:textId="77777777" w:rsidR="005D02EF" w:rsidRPr="009E06AA" w:rsidRDefault="005D02EF" w:rsidP="00B55F24">
            <w:pPr>
              <w:pStyle w:val="TableText"/>
              <w:spacing w:before="30" w:after="30"/>
            </w:pPr>
            <w:r w:rsidRPr="009E06AA">
              <w:rPr>
                <w:rFonts w:eastAsia="Calibri"/>
                <w:color w:val="000000"/>
              </w:rPr>
              <w:t>Correct the description of N excretion in the first two months of life for dairy cattle in section 5.1 of the New Zealand Ministry for Primary Industries technical report in order to resolve the inconsistency with section 5.1.1.2 of the same technical report.</w:t>
            </w:r>
          </w:p>
        </w:tc>
        <w:tc>
          <w:tcPr>
            <w:tcW w:w="4806" w:type="dxa"/>
            <w:shd w:val="clear" w:color="auto" w:fill="FFFFFF" w:themeFill="background1"/>
            <w:tcMar>
              <w:top w:w="0" w:type="dxa"/>
              <w:left w:w="85" w:type="dxa"/>
              <w:bottom w:w="0" w:type="dxa"/>
              <w:right w:w="57" w:type="dxa"/>
            </w:tcMar>
          </w:tcPr>
          <w:p w14:paraId="69CD9440" w14:textId="77777777" w:rsidR="005D02EF" w:rsidRPr="009E06AA" w:rsidRDefault="005D02EF" w:rsidP="00B55F24">
            <w:pPr>
              <w:pStyle w:val="TableText"/>
              <w:spacing w:before="30" w:after="30"/>
            </w:pPr>
            <w:r w:rsidRPr="009E06AA">
              <w:rPr>
                <w:rFonts w:eastAsia="Calibri"/>
                <w:color w:val="000000"/>
              </w:rPr>
              <w:t>Not resolved. The inconsistency in the technical report (New Zealand Ministry for Primary Industries, 2022) remains: it is stated on page 97 that for dairy cattle in the first two months of their life, N excretion is set to zero, whereas it is stated on pages 97–98 of the same report that for dairy cattle less than one year old, N excretion is calculated on the basis of N intake through milk powder and its protein content, as shown in equation 5.3 in the report (p.98). During the review, the Party clarified that the recommendation was not implemented because of the delay in receiving the 2021 review report and that the report by the Ministry for Primary Industries will be updated to ensure consistency.</w:t>
            </w:r>
          </w:p>
        </w:tc>
        <w:tc>
          <w:tcPr>
            <w:tcW w:w="2621" w:type="dxa"/>
            <w:shd w:val="clear" w:color="auto" w:fill="FFFFFF" w:themeFill="background1"/>
            <w:tcMar>
              <w:top w:w="0" w:type="dxa"/>
              <w:left w:w="85" w:type="dxa"/>
              <w:bottom w:w="0" w:type="dxa"/>
              <w:right w:w="57" w:type="dxa"/>
            </w:tcMar>
          </w:tcPr>
          <w:p w14:paraId="0EBD4BB8" w14:textId="77777777" w:rsidR="005D02EF" w:rsidRPr="009E06AA" w:rsidRDefault="005D02EF" w:rsidP="00B55F24">
            <w:pPr>
              <w:pStyle w:val="TableText"/>
              <w:spacing w:before="30" w:after="30"/>
            </w:pPr>
            <w:r w:rsidRPr="009E06AA">
              <w:rPr>
                <w:b/>
                <w:color w:val="000000"/>
                <w:shd w:val="clear" w:color="auto" w:fill="FFFFFF"/>
              </w:rPr>
              <w:t>Resolved</w:t>
            </w:r>
            <w:r w:rsidRPr="009E06AA">
              <w:rPr>
                <w:bCs/>
                <w:color w:val="000000"/>
                <w:shd w:val="clear" w:color="auto" w:fill="FFFFFF"/>
              </w:rPr>
              <w:t xml:space="preserve">. </w:t>
            </w:r>
            <w:r w:rsidRPr="009E06AA">
              <w:rPr>
                <w:color w:val="000000"/>
                <w:shd w:val="clear" w:color="auto" w:fill="FFFFFF"/>
              </w:rPr>
              <w:t xml:space="preserve">Section 5.2 (previously section 5.1) of the Ministry for Primary Industries technical report on the methodology for calculation of New Zealand’s agricultural greenhouse gas emissions (van der Weerden et al., 2014) has been updated for consistency. </w:t>
            </w:r>
          </w:p>
        </w:tc>
      </w:tr>
      <w:tr w:rsidR="005D02EF" w:rsidRPr="009E06AA" w14:paraId="39D5A012" w14:textId="77777777" w:rsidTr="00271345">
        <w:tc>
          <w:tcPr>
            <w:tcW w:w="709" w:type="dxa"/>
            <w:shd w:val="clear" w:color="auto" w:fill="FFFFFF" w:themeFill="background1"/>
            <w:tcMar>
              <w:top w:w="0" w:type="dxa"/>
              <w:left w:w="85" w:type="dxa"/>
              <w:bottom w:w="0" w:type="dxa"/>
              <w:right w:w="57" w:type="dxa"/>
            </w:tcMar>
          </w:tcPr>
          <w:p w14:paraId="3ECF21EA" w14:textId="77777777" w:rsidR="005D02EF" w:rsidRPr="009E06AA" w:rsidRDefault="005D02EF" w:rsidP="00B55F24">
            <w:pPr>
              <w:pStyle w:val="TableText"/>
              <w:spacing w:before="30" w:after="30"/>
            </w:pPr>
            <w:r w:rsidRPr="009E06AA">
              <w:rPr>
                <w:rFonts w:eastAsia="Calibri"/>
                <w:color w:val="000000"/>
              </w:rPr>
              <w:t>A.8</w:t>
            </w:r>
          </w:p>
        </w:tc>
        <w:tc>
          <w:tcPr>
            <w:tcW w:w="2126" w:type="dxa"/>
            <w:shd w:val="clear" w:color="auto" w:fill="FFFFFF" w:themeFill="background1"/>
            <w:tcMar>
              <w:top w:w="0" w:type="dxa"/>
              <w:left w:w="85" w:type="dxa"/>
              <w:bottom w:w="0" w:type="dxa"/>
              <w:right w:w="57" w:type="dxa"/>
            </w:tcMar>
          </w:tcPr>
          <w:p w14:paraId="2B54DA49" w14:textId="77777777" w:rsidR="005D02EF" w:rsidRPr="009E06AA" w:rsidRDefault="005D02EF" w:rsidP="00B55F24">
            <w:pPr>
              <w:pStyle w:val="TableText"/>
              <w:spacing w:before="30" w:after="30"/>
            </w:pPr>
            <w:r w:rsidRPr="009E06AA">
              <w:rPr>
                <w:rFonts w:eastAsia="Calibri"/>
                <w:color w:val="000000"/>
              </w:rPr>
              <w:t>3.B.4 Other livestock – CH₄ (A.12, 2021) (A.16, 2019) Accuracy</w:t>
            </w:r>
          </w:p>
        </w:tc>
        <w:tc>
          <w:tcPr>
            <w:tcW w:w="3686" w:type="dxa"/>
            <w:shd w:val="clear" w:color="auto" w:fill="FFFFFF" w:themeFill="background1"/>
            <w:tcMar>
              <w:top w:w="0" w:type="dxa"/>
              <w:left w:w="85" w:type="dxa"/>
              <w:bottom w:w="0" w:type="dxa"/>
              <w:right w:w="57" w:type="dxa"/>
            </w:tcMar>
          </w:tcPr>
          <w:p w14:paraId="7146F8E9" w14:textId="77777777" w:rsidR="005D02EF" w:rsidRPr="009E06AA" w:rsidRDefault="005D02EF" w:rsidP="00B55F24">
            <w:pPr>
              <w:pStyle w:val="TableText"/>
              <w:spacing w:before="30" w:after="30"/>
            </w:pPr>
            <w:r w:rsidRPr="009E06AA">
              <w:rPr>
                <w:rFonts w:eastAsia="Calibri"/>
                <w:color w:val="000000"/>
              </w:rPr>
              <w:t>Revise the calculation procedures for the CH₄ EF for deer and explain the revisions in the NIR. If three studies from 2003 are still used as the basis for the calculation, consider using a more appropriate average value than a simple arithmetic average, such as a weighted average, to estimate the CH₄ EF for deer; and justify that the obtained value is more appropriate than the IPCC default value.</w:t>
            </w:r>
          </w:p>
        </w:tc>
        <w:tc>
          <w:tcPr>
            <w:tcW w:w="4806" w:type="dxa"/>
            <w:shd w:val="clear" w:color="auto" w:fill="FFFFFF" w:themeFill="background1"/>
            <w:tcMar>
              <w:top w:w="0" w:type="dxa"/>
              <w:left w:w="85" w:type="dxa"/>
              <w:bottom w:w="0" w:type="dxa"/>
              <w:right w:w="57" w:type="dxa"/>
            </w:tcMar>
          </w:tcPr>
          <w:p w14:paraId="4AC7ED0B" w14:textId="77777777" w:rsidR="005D02EF" w:rsidRPr="009E06AA" w:rsidRDefault="005D02EF" w:rsidP="00B55F24">
            <w:pPr>
              <w:pStyle w:val="TableText"/>
              <w:spacing w:before="30" w:after="30"/>
            </w:pPr>
            <w:r w:rsidRPr="009E06AA">
              <w:rPr>
                <w:rFonts w:eastAsia="Calibri"/>
                <w:color w:val="000000"/>
              </w:rPr>
              <w:t>Resolved. The Party continued to apply a simple arithmetic average of CH₄ yield value of 0.000914788 kg CH₄/kg faecal dry matter, which was obtained on the basis of two studies for sheep and three studies for cattle. During the review, the Party clarified that the current procedure for calculating the CH₄ EF for deer remains appropriate given the information available. As deer weights are approximately halfway between those of sheep and beef and the values for sheep and beef are based on robust, country-specific research, basing the CH₄ EF for deer on the average of those two values is likely to be more accurate than using the IPCC default value. The ERT considers the arguments provided by New Zealand to be relevant and robust and thus considers the issue to have been resolved.</w:t>
            </w:r>
          </w:p>
        </w:tc>
        <w:tc>
          <w:tcPr>
            <w:tcW w:w="2621" w:type="dxa"/>
            <w:shd w:val="clear" w:color="auto" w:fill="FFFFFF" w:themeFill="background1"/>
            <w:tcMar>
              <w:top w:w="0" w:type="dxa"/>
              <w:left w:w="85" w:type="dxa"/>
              <w:bottom w:w="0" w:type="dxa"/>
              <w:right w:w="57" w:type="dxa"/>
            </w:tcMar>
          </w:tcPr>
          <w:p w14:paraId="72DD9623" w14:textId="77777777" w:rsidR="005D02EF" w:rsidRPr="009E06AA" w:rsidRDefault="005D02EF" w:rsidP="00B55F24">
            <w:pPr>
              <w:pStyle w:val="TableText"/>
              <w:spacing w:before="30" w:after="30"/>
            </w:pPr>
            <w:r w:rsidRPr="009E06AA">
              <w:rPr>
                <w:color w:val="000000"/>
                <w:bdr w:val="none" w:sz="0" w:space="0" w:color="auto" w:frame="1"/>
              </w:rPr>
              <w:t>NA</w:t>
            </w:r>
          </w:p>
        </w:tc>
      </w:tr>
      <w:tr w:rsidR="005D02EF" w:rsidRPr="009E06AA" w14:paraId="5BDFF58B" w14:textId="77777777" w:rsidTr="00271345">
        <w:tc>
          <w:tcPr>
            <w:tcW w:w="709" w:type="dxa"/>
            <w:shd w:val="clear" w:color="auto" w:fill="FFFFFF" w:themeFill="background1"/>
            <w:tcMar>
              <w:top w:w="0" w:type="dxa"/>
              <w:left w:w="85" w:type="dxa"/>
              <w:bottom w:w="0" w:type="dxa"/>
              <w:right w:w="57" w:type="dxa"/>
            </w:tcMar>
          </w:tcPr>
          <w:p w14:paraId="536AA6FB" w14:textId="77777777" w:rsidR="005D02EF" w:rsidRPr="009E06AA" w:rsidRDefault="005D02EF" w:rsidP="00B55F24">
            <w:pPr>
              <w:pStyle w:val="TableText"/>
              <w:spacing w:before="30" w:after="30"/>
            </w:pPr>
            <w:r w:rsidRPr="009E06AA">
              <w:rPr>
                <w:rFonts w:eastAsia="Calibri"/>
                <w:color w:val="000000"/>
              </w:rPr>
              <w:t>A.9</w:t>
            </w:r>
          </w:p>
        </w:tc>
        <w:tc>
          <w:tcPr>
            <w:tcW w:w="2126" w:type="dxa"/>
            <w:shd w:val="clear" w:color="auto" w:fill="FFFFFF" w:themeFill="background1"/>
            <w:tcMar>
              <w:top w:w="0" w:type="dxa"/>
              <w:left w:w="85" w:type="dxa"/>
              <w:bottom w:w="0" w:type="dxa"/>
              <w:right w:w="57" w:type="dxa"/>
            </w:tcMar>
          </w:tcPr>
          <w:p w14:paraId="3D94E039" w14:textId="77777777" w:rsidR="005D02EF" w:rsidRPr="009E06AA" w:rsidRDefault="005D02EF" w:rsidP="00B55F24">
            <w:pPr>
              <w:pStyle w:val="TableText"/>
              <w:spacing w:before="30" w:after="30"/>
            </w:pPr>
            <w:r w:rsidRPr="009E06AA">
              <w:rPr>
                <w:rFonts w:eastAsia="Calibri"/>
                <w:color w:val="000000"/>
              </w:rPr>
              <w:t>3.D.a.2.a Animal manure applied to soils – N₂O (A.22, 2021) Transparency</w:t>
            </w:r>
          </w:p>
        </w:tc>
        <w:tc>
          <w:tcPr>
            <w:tcW w:w="3686" w:type="dxa"/>
            <w:shd w:val="clear" w:color="auto" w:fill="FFFFFF" w:themeFill="background1"/>
            <w:tcMar>
              <w:top w:w="0" w:type="dxa"/>
              <w:left w:w="85" w:type="dxa"/>
              <w:bottom w:w="0" w:type="dxa"/>
              <w:right w:w="57" w:type="dxa"/>
            </w:tcMar>
          </w:tcPr>
          <w:p w14:paraId="136AB9E9" w14:textId="77777777" w:rsidR="005D02EF" w:rsidRPr="009E06AA" w:rsidRDefault="005D02EF" w:rsidP="00B55F24">
            <w:pPr>
              <w:pStyle w:val="TableText"/>
              <w:spacing w:before="30" w:after="30"/>
            </w:pPr>
            <w:r w:rsidRPr="009E06AA">
              <w:rPr>
                <w:rFonts w:eastAsia="Calibri"/>
                <w:color w:val="000000"/>
              </w:rPr>
              <w:t>Provide additional information describing the manure management systems used for dairy cattle in the NIR, including the information from Rollo et al. (2017).</w:t>
            </w:r>
          </w:p>
        </w:tc>
        <w:tc>
          <w:tcPr>
            <w:tcW w:w="4806" w:type="dxa"/>
            <w:shd w:val="clear" w:color="auto" w:fill="FFFFFF" w:themeFill="background1"/>
            <w:tcMar>
              <w:top w:w="0" w:type="dxa"/>
              <w:left w:w="85" w:type="dxa"/>
              <w:bottom w:w="0" w:type="dxa"/>
              <w:right w:w="57" w:type="dxa"/>
            </w:tcMar>
          </w:tcPr>
          <w:p w14:paraId="006AD2E6" w14:textId="77777777" w:rsidR="005D02EF" w:rsidRPr="009E06AA" w:rsidRDefault="005D02EF" w:rsidP="00B55F24">
            <w:pPr>
              <w:pStyle w:val="TableText"/>
              <w:spacing w:before="30" w:after="30"/>
            </w:pPr>
            <w:r w:rsidRPr="009E06AA">
              <w:rPr>
                <w:rFonts w:eastAsia="Calibri"/>
                <w:color w:val="000000"/>
              </w:rPr>
              <w:t>Not resolved. New Zealand continued to report that “some manure is also collected but not stored; rather it is daily spread directly onto pasture (e.g. swine manure and some dairy manure)” (NIR p.200), and did not include detailed information from Rollo et al. (2017) justifying its stance that this manure management practice does not fall under the definition of the manure management system daily spread, or on reporting “NO” for dairy cattle in CRF tables 3.B(a)s2 and 3.B(b). During the review, the Party clarified that the recommendation was not implemented because of the delay to the 2021 review report; however, more information will be provided in its 2023 submission in order to resolve this issue.</w:t>
            </w:r>
          </w:p>
        </w:tc>
        <w:tc>
          <w:tcPr>
            <w:tcW w:w="2621" w:type="dxa"/>
            <w:shd w:val="clear" w:color="auto" w:fill="FFFFFF" w:themeFill="background1"/>
            <w:tcMar>
              <w:top w:w="0" w:type="dxa"/>
              <w:left w:w="85" w:type="dxa"/>
              <w:bottom w:w="0" w:type="dxa"/>
              <w:right w:w="57" w:type="dxa"/>
            </w:tcMar>
          </w:tcPr>
          <w:p w14:paraId="1D297E53" w14:textId="77777777" w:rsidR="005D02EF" w:rsidRPr="009E06AA" w:rsidRDefault="005D02EF" w:rsidP="00B55F24">
            <w:pPr>
              <w:pStyle w:val="TableText"/>
              <w:spacing w:before="30" w:after="30"/>
            </w:pPr>
            <w:r w:rsidRPr="009E06AA">
              <w:rPr>
                <w:b/>
                <w:color w:val="000000"/>
                <w:shd w:val="clear" w:color="auto" w:fill="FFFFFF"/>
              </w:rPr>
              <w:t>Resolved</w:t>
            </w:r>
            <w:r w:rsidRPr="009E06AA">
              <w:rPr>
                <w:bCs/>
                <w:color w:val="000000"/>
                <w:shd w:val="clear" w:color="auto" w:fill="FFFFFF"/>
              </w:rPr>
              <w:t>.</w:t>
            </w:r>
            <w:r w:rsidRPr="009E06AA">
              <w:rPr>
                <w:color w:val="000000"/>
                <w:shd w:val="clear" w:color="auto" w:fill="FFFFFF"/>
              </w:rPr>
              <w:t xml:space="preserve"> A clearer description has been added in chapter 5, section 5.5.2 under </w:t>
            </w:r>
            <w:r w:rsidRPr="009E06AA">
              <w:rPr>
                <w:i/>
                <w:iCs/>
                <w:color w:val="000000"/>
                <w:shd w:val="clear" w:color="auto" w:fill="FFFFFF"/>
              </w:rPr>
              <w:t>Organic nitrogen fertilisers</w:t>
            </w:r>
            <w:r w:rsidRPr="009E06AA">
              <w:rPr>
                <w:color w:val="000000"/>
                <w:shd w:val="clear" w:color="auto" w:fill="FFFFFF"/>
              </w:rPr>
              <w:t>. A recent report by Rollo et al. (2017) found that only 8 per cent of dairy farms use land application of manure, with direct pumping from a sump. In all cases, manure that was collected was stored for least one or two days before spreading to pasture via irrigation. Therefore, it does not meet the definition of daily spread and the notation key ‘NO’ is reported in 3.B(b) of the CR tables.</w:t>
            </w:r>
          </w:p>
        </w:tc>
      </w:tr>
      <w:tr w:rsidR="005D02EF" w:rsidRPr="009E06AA" w14:paraId="1DAD8B5A" w14:textId="77777777" w:rsidTr="00271345">
        <w:tc>
          <w:tcPr>
            <w:tcW w:w="709" w:type="dxa"/>
            <w:shd w:val="clear" w:color="auto" w:fill="FFFFFF" w:themeFill="background1"/>
            <w:tcMar>
              <w:top w:w="0" w:type="dxa"/>
              <w:left w:w="85" w:type="dxa"/>
              <w:bottom w:w="0" w:type="dxa"/>
              <w:right w:w="57" w:type="dxa"/>
            </w:tcMar>
          </w:tcPr>
          <w:p w14:paraId="39DBAE19" w14:textId="77777777" w:rsidR="005D02EF" w:rsidRPr="009E06AA" w:rsidRDefault="005D02EF" w:rsidP="00B55F24">
            <w:pPr>
              <w:pStyle w:val="TableText"/>
              <w:spacing w:before="30" w:after="30"/>
            </w:pPr>
            <w:r w:rsidRPr="009E06AA">
              <w:rPr>
                <w:rFonts w:eastAsia="Calibri"/>
                <w:color w:val="000000"/>
              </w:rPr>
              <w:t>A.10</w:t>
            </w:r>
          </w:p>
        </w:tc>
        <w:tc>
          <w:tcPr>
            <w:tcW w:w="2126" w:type="dxa"/>
            <w:shd w:val="clear" w:color="auto" w:fill="FFFFFF" w:themeFill="background1"/>
            <w:tcMar>
              <w:top w:w="0" w:type="dxa"/>
              <w:left w:w="85" w:type="dxa"/>
              <w:bottom w:w="0" w:type="dxa"/>
              <w:right w:w="57" w:type="dxa"/>
            </w:tcMar>
          </w:tcPr>
          <w:p w14:paraId="3BB2DA16" w14:textId="77777777" w:rsidR="005D02EF" w:rsidRPr="009E06AA" w:rsidRDefault="005D02EF" w:rsidP="00B55F24">
            <w:pPr>
              <w:pStyle w:val="TableText"/>
              <w:spacing w:before="30" w:after="30"/>
            </w:pPr>
            <w:r w:rsidRPr="009E06AA">
              <w:rPr>
                <w:rFonts w:eastAsia="Calibri"/>
                <w:color w:val="000000"/>
              </w:rPr>
              <w:t>3.D.a.2.c Other organic fertilizers applied to soils – N₂O (A.23, 2021) Completeness</w:t>
            </w:r>
          </w:p>
        </w:tc>
        <w:tc>
          <w:tcPr>
            <w:tcW w:w="3686" w:type="dxa"/>
            <w:shd w:val="clear" w:color="auto" w:fill="FFFFFF" w:themeFill="background1"/>
            <w:tcMar>
              <w:top w:w="0" w:type="dxa"/>
              <w:left w:w="85" w:type="dxa"/>
              <w:bottom w:w="0" w:type="dxa"/>
              <w:right w:w="57" w:type="dxa"/>
            </w:tcMar>
          </w:tcPr>
          <w:p w14:paraId="57655223" w14:textId="77777777" w:rsidR="005D02EF" w:rsidRPr="009E06AA" w:rsidRDefault="005D02EF" w:rsidP="00B55F24">
            <w:pPr>
              <w:pStyle w:val="TableText"/>
              <w:spacing w:before="30" w:after="30"/>
            </w:pPr>
            <w:r w:rsidRPr="009E06AA">
              <w:rPr>
                <w:rFonts w:eastAsia="Calibri"/>
                <w:color w:val="000000"/>
              </w:rPr>
              <w:t>Undertake an updated analysis of the AD related to N applied to soils for non-manure components of organic fertilizers and estimate and report N₂O emissions for this subcategory. If the emissions are considered to fall below the threshold of significance, report in the NIR information in accordance with paragraph 37(b) of the UNFCCC Annex I inventory reporting guidelines on the likely level of N₂O emissions, demonstrating that they are below 0.05 per cent of the national total and do not exceed 500 t CO₂ eq.</w:t>
            </w:r>
          </w:p>
        </w:tc>
        <w:tc>
          <w:tcPr>
            <w:tcW w:w="4806" w:type="dxa"/>
            <w:shd w:val="clear" w:color="auto" w:fill="FFFFFF" w:themeFill="background1"/>
            <w:tcMar>
              <w:top w:w="0" w:type="dxa"/>
              <w:left w:w="85" w:type="dxa"/>
              <w:bottom w:w="0" w:type="dxa"/>
              <w:right w:w="57" w:type="dxa"/>
            </w:tcMar>
          </w:tcPr>
          <w:p w14:paraId="650CE1E1" w14:textId="77777777" w:rsidR="005D02EF" w:rsidRPr="009E06AA" w:rsidRDefault="005D02EF" w:rsidP="00B55F24">
            <w:pPr>
              <w:pStyle w:val="TableText"/>
              <w:spacing w:before="30" w:after="30"/>
            </w:pPr>
            <w:r w:rsidRPr="009E06AA">
              <w:rPr>
                <w:rFonts w:eastAsia="Calibri"/>
                <w:color w:val="000000"/>
              </w:rPr>
              <w:t>Addressing. New Zealand did not report updated information to justify that N₂O emissions from other organic fertilizers applied to soils are below the threshold of significance in accordance with paragraph 37(b) of the UNFCCC Annex I inventory reporting guidelines. During the review, the Party clarified that it continued to refer to van der Weerden et al. (2014), in which the reported results illustrate a yearly breakdown of the contribution of organic amendments as a percentage of total GHG emissions, which ranges from 0.01 to 0.025 per cent. The Party also clarified that, according to the same report, the results should be reviewed in five years, but such a review was not undertaken owing to resource constraints. The Party further clarified that it had listed the need to review the results in van der Weerden et al. (2014) as a priority in the current annual budget round. The ERT considers that the results and information used to evaluate emissions from the organic sources in the aforementioned 2014 report are a robust justification for considering that N₂O emissions from other organic fertilizers applied to soils are below the threshold of significance, as required by paragraph 37(b) of the UNFCCC Annex I inventory reporting guidelines, but that such results and information should be reviewed, as referred to in the same report.</w:t>
            </w:r>
          </w:p>
        </w:tc>
        <w:tc>
          <w:tcPr>
            <w:tcW w:w="2621" w:type="dxa"/>
            <w:shd w:val="clear" w:color="auto" w:fill="FFFFFF" w:themeFill="background1"/>
            <w:tcMar>
              <w:top w:w="0" w:type="dxa"/>
              <w:left w:w="85" w:type="dxa"/>
              <w:bottom w:w="0" w:type="dxa"/>
              <w:right w:w="57" w:type="dxa"/>
            </w:tcMar>
          </w:tcPr>
          <w:p w14:paraId="3A42546C" w14:textId="77777777" w:rsidR="005D02EF" w:rsidRPr="009E06AA" w:rsidRDefault="005D02EF" w:rsidP="00B55F24">
            <w:pPr>
              <w:pStyle w:val="TableText"/>
              <w:spacing w:before="30" w:after="30"/>
            </w:pPr>
            <w:r w:rsidRPr="009E06AA">
              <w:rPr>
                <w:b/>
                <w:color w:val="000000"/>
                <w:shd w:val="clear" w:color="auto" w:fill="FFFFFF"/>
              </w:rPr>
              <w:t>Addressing</w:t>
            </w:r>
            <w:r w:rsidRPr="009E06AA">
              <w:rPr>
                <w:bCs/>
                <w:color w:val="000000"/>
                <w:shd w:val="clear" w:color="auto" w:fill="FFFFFF"/>
              </w:rPr>
              <w:t>.</w:t>
            </w:r>
            <w:r w:rsidRPr="009E06AA">
              <w:rPr>
                <w:color w:val="000000"/>
                <w:shd w:val="clear" w:color="auto" w:fill="FFFFFF"/>
              </w:rPr>
              <w:t xml:space="preserve"> Research on this under way and is expected to be completed in mid-2024. Research will be incorporated when available. </w:t>
            </w:r>
          </w:p>
        </w:tc>
      </w:tr>
      <w:tr w:rsidR="005D02EF" w:rsidRPr="009E06AA" w14:paraId="62AD6570" w14:textId="77777777" w:rsidTr="00271345">
        <w:tc>
          <w:tcPr>
            <w:tcW w:w="709" w:type="dxa"/>
            <w:shd w:val="clear" w:color="auto" w:fill="FFFFFF" w:themeFill="background1"/>
            <w:tcMar>
              <w:top w:w="0" w:type="dxa"/>
              <w:left w:w="85" w:type="dxa"/>
              <w:bottom w:w="0" w:type="dxa"/>
              <w:right w:w="57" w:type="dxa"/>
            </w:tcMar>
          </w:tcPr>
          <w:p w14:paraId="25C7C68D" w14:textId="77777777" w:rsidR="005D02EF" w:rsidRPr="009E06AA" w:rsidRDefault="005D02EF" w:rsidP="00B55F24">
            <w:pPr>
              <w:pStyle w:val="TableText"/>
              <w:spacing w:before="30" w:after="30"/>
            </w:pPr>
            <w:r w:rsidRPr="009E06AA">
              <w:rPr>
                <w:rFonts w:eastAsia="Calibri"/>
                <w:color w:val="000000"/>
              </w:rPr>
              <w:t>A.11</w:t>
            </w:r>
          </w:p>
        </w:tc>
        <w:tc>
          <w:tcPr>
            <w:tcW w:w="2126" w:type="dxa"/>
            <w:shd w:val="clear" w:color="auto" w:fill="FFFFFF" w:themeFill="background1"/>
            <w:tcMar>
              <w:top w:w="0" w:type="dxa"/>
              <w:left w:w="85" w:type="dxa"/>
              <w:bottom w:w="0" w:type="dxa"/>
              <w:right w:w="57" w:type="dxa"/>
            </w:tcMar>
          </w:tcPr>
          <w:p w14:paraId="7C18D44E" w14:textId="77777777" w:rsidR="005D02EF" w:rsidRPr="009E06AA" w:rsidRDefault="005D02EF" w:rsidP="00B55F24">
            <w:pPr>
              <w:pStyle w:val="TableText"/>
              <w:spacing w:before="30" w:after="30"/>
            </w:pPr>
            <w:r w:rsidRPr="009E06AA">
              <w:rPr>
                <w:rFonts w:eastAsia="Calibri"/>
                <w:color w:val="000000"/>
              </w:rPr>
              <w:t>3.D.b Indirect N₂O emissions from managed soils – N₂O (A.15, 2021) (A.19, 2019) Transparency</w:t>
            </w:r>
          </w:p>
        </w:tc>
        <w:tc>
          <w:tcPr>
            <w:tcW w:w="3686" w:type="dxa"/>
            <w:shd w:val="clear" w:color="auto" w:fill="FFFFFF" w:themeFill="background1"/>
            <w:tcMar>
              <w:top w:w="0" w:type="dxa"/>
              <w:left w:w="85" w:type="dxa"/>
              <w:bottom w:w="0" w:type="dxa"/>
              <w:right w:w="57" w:type="dxa"/>
            </w:tcMar>
          </w:tcPr>
          <w:p w14:paraId="5F95A04E" w14:textId="77777777" w:rsidR="005D02EF" w:rsidRPr="009E06AA" w:rsidRDefault="005D02EF" w:rsidP="00B55F24">
            <w:pPr>
              <w:pStyle w:val="TableText"/>
              <w:spacing w:before="30" w:after="30"/>
            </w:pPr>
            <w:r w:rsidRPr="009E06AA">
              <w:rPr>
                <w:rFonts w:eastAsia="Calibri"/>
                <w:color w:val="000000"/>
              </w:rPr>
              <w:t>Revise the description in the NIR of the country-specific values for FracLEACH and for the fraction of applied organic N fertilizer materials and of urine and dung N deposited by grazing animals that volatilizes as ammonia and nitrogen oxides in kg N volatilized.</w:t>
            </w:r>
          </w:p>
        </w:tc>
        <w:tc>
          <w:tcPr>
            <w:tcW w:w="4806" w:type="dxa"/>
            <w:shd w:val="clear" w:color="auto" w:fill="FFFFFF" w:themeFill="background1"/>
            <w:tcMar>
              <w:top w:w="0" w:type="dxa"/>
              <w:left w:w="85" w:type="dxa"/>
              <w:bottom w:w="0" w:type="dxa"/>
              <w:right w:w="57" w:type="dxa"/>
            </w:tcMar>
          </w:tcPr>
          <w:p w14:paraId="0A33C6CD" w14:textId="77777777" w:rsidR="005D02EF" w:rsidRPr="009E06AA" w:rsidRDefault="005D02EF" w:rsidP="00B55F24">
            <w:pPr>
              <w:pStyle w:val="TableText"/>
              <w:spacing w:before="30" w:after="30"/>
            </w:pPr>
            <w:r w:rsidRPr="009E06AA">
              <w:rPr>
                <w:rFonts w:eastAsia="Calibri"/>
                <w:color w:val="000000"/>
              </w:rPr>
              <w:t>Addressing. To estimate indirect N₂O emissions from managed soils, New Zealand used the FracLEACH value, which is further disaggregated for two land-use systems: cropping and grassland. The updated FracLEACH value for cropping systems was applied. In its NIR (p.217), the Party gave a brief description of the methodology used to derive the value, provided a reference (Welten et al., 2021) and clarified that, as the field investigations were ongoing at the time of compiling the NIR, the FracLEACH value for grazing systems was not updated. During the review, the Party clarified that the results of the research to evaluate the country-specific FracLEACH values was partially applied for the 2022 submission and that the remaining findings are scheduled to be applied for the 2023 submission.</w:t>
            </w:r>
          </w:p>
        </w:tc>
        <w:tc>
          <w:tcPr>
            <w:tcW w:w="2621" w:type="dxa"/>
            <w:shd w:val="clear" w:color="auto" w:fill="FFFFFF" w:themeFill="background1"/>
            <w:tcMar>
              <w:top w:w="0" w:type="dxa"/>
              <w:left w:w="85" w:type="dxa"/>
              <w:bottom w:w="0" w:type="dxa"/>
              <w:right w:w="57" w:type="dxa"/>
            </w:tcMar>
          </w:tcPr>
          <w:p w14:paraId="7F5E609D" w14:textId="77777777" w:rsidR="005D02EF" w:rsidRPr="009E06AA" w:rsidRDefault="005D02EF" w:rsidP="00B55F24">
            <w:pPr>
              <w:pStyle w:val="TableText"/>
              <w:spacing w:before="30" w:after="30"/>
            </w:pPr>
            <w:r w:rsidRPr="009E06AA">
              <w:rPr>
                <w:b/>
                <w:color w:val="000000"/>
                <w:shd w:val="clear" w:color="auto" w:fill="FFFFFF"/>
              </w:rPr>
              <w:t>Resolved</w:t>
            </w:r>
            <w:r w:rsidRPr="009E06AA">
              <w:rPr>
                <w:bCs/>
                <w:color w:val="000000"/>
                <w:shd w:val="clear" w:color="auto" w:fill="FFFFFF"/>
              </w:rPr>
              <w:t xml:space="preserve">. </w:t>
            </w:r>
            <w:r w:rsidRPr="009E06AA">
              <w:rPr>
                <w:color w:val="000000"/>
                <w:shd w:val="clear" w:color="auto" w:fill="FFFFFF"/>
              </w:rPr>
              <w:t>These values have been revised based on recent research.</w:t>
            </w:r>
            <w:r w:rsidRPr="009E06AA">
              <w:rPr>
                <w:bCs/>
                <w:color w:val="000000"/>
                <w:shd w:val="clear" w:color="auto" w:fill="FFFFFF"/>
              </w:rPr>
              <w:t xml:space="preserve"> </w:t>
            </w:r>
            <w:r w:rsidRPr="009E06AA">
              <w:rPr>
                <w:color w:val="000000"/>
                <w:shd w:val="clear" w:color="auto" w:fill="FFFFFF"/>
              </w:rPr>
              <w:t>Information on the country-specific Frac</w:t>
            </w:r>
            <w:r w:rsidRPr="009E06AA">
              <w:rPr>
                <w:color w:val="000000"/>
                <w:sz w:val="12"/>
                <w:szCs w:val="12"/>
                <w:shd w:val="clear" w:color="auto" w:fill="FFFFFF"/>
                <w:vertAlign w:val="subscript"/>
              </w:rPr>
              <w:t>LEACH</w:t>
            </w:r>
            <w:r w:rsidRPr="009E06AA">
              <w:rPr>
                <w:color w:val="000000"/>
                <w:shd w:val="clear" w:color="auto" w:fill="FFFFFF"/>
              </w:rPr>
              <w:t xml:space="preserve"> parameter used in the inventory is included in chapter 5, section 5.5.2 (under </w:t>
            </w:r>
            <w:r w:rsidRPr="009E06AA">
              <w:rPr>
                <w:i/>
                <w:iCs/>
                <w:color w:val="000000"/>
                <w:shd w:val="clear" w:color="auto" w:fill="FFFFFF"/>
              </w:rPr>
              <w:t xml:space="preserve">Indirect nitrous oxide emissions from managed soils – Nitrogen leaching and runoff </w:t>
            </w:r>
            <w:r w:rsidRPr="009E06AA">
              <w:rPr>
                <w:color w:val="000000"/>
                <w:shd w:val="clear" w:color="auto" w:fill="FFFFFF"/>
              </w:rPr>
              <w:t>(CRF 3.D.2.2)). See section 5.5.5 in chapter 5, for more detail.</w:t>
            </w:r>
          </w:p>
        </w:tc>
      </w:tr>
      <w:tr w:rsidR="005D02EF" w:rsidRPr="009E06AA" w14:paraId="7535E617" w14:textId="77777777" w:rsidTr="00271345">
        <w:tc>
          <w:tcPr>
            <w:tcW w:w="2835" w:type="dxa"/>
            <w:gridSpan w:val="2"/>
            <w:shd w:val="clear" w:color="auto" w:fill="FFFFFF" w:themeFill="background1"/>
            <w:tcMar>
              <w:top w:w="0" w:type="dxa"/>
              <w:left w:w="85" w:type="dxa"/>
              <w:bottom w:w="0" w:type="dxa"/>
              <w:right w:w="57" w:type="dxa"/>
            </w:tcMar>
          </w:tcPr>
          <w:p w14:paraId="31196403" w14:textId="77777777" w:rsidR="005D02EF" w:rsidRPr="009E06AA" w:rsidRDefault="005D02EF" w:rsidP="00B55F24">
            <w:pPr>
              <w:pStyle w:val="TableText"/>
              <w:keepNext/>
              <w:spacing w:before="30" w:after="30"/>
            </w:pPr>
            <w:r w:rsidRPr="009E06AA">
              <w:rPr>
                <w:rFonts w:eastAsia="Calibri"/>
                <w:color w:val="000000"/>
              </w:rPr>
              <w:t>LULUCF</w:t>
            </w:r>
          </w:p>
        </w:tc>
        <w:tc>
          <w:tcPr>
            <w:tcW w:w="3686" w:type="dxa"/>
            <w:shd w:val="clear" w:color="auto" w:fill="FFFFFF" w:themeFill="background1"/>
            <w:tcMar>
              <w:top w:w="0" w:type="dxa"/>
              <w:left w:w="85" w:type="dxa"/>
              <w:bottom w:w="0" w:type="dxa"/>
              <w:right w:w="57" w:type="dxa"/>
            </w:tcMar>
          </w:tcPr>
          <w:p w14:paraId="361E9744" w14:textId="77777777" w:rsidR="005D02EF" w:rsidRPr="009E06AA" w:rsidRDefault="005D02EF" w:rsidP="00B55F24">
            <w:pPr>
              <w:pStyle w:val="TableText"/>
              <w:spacing w:before="30" w:after="30"/>
            </w:pPr>
          </w:p>
        </w:tc>
        <w:tc>
          <w:tcPr>
            <w:tcW w:w="4806" w:type="dxa"/>
            <w:shd w:val="clear" w:color="auto" w:fill="FFFFFF" w:themeFill="background1"/>
            <w:tcMar>
              <w:top w:w="0" w:type="dxa"/>
              <w:left w:w="85" w:type="dxa"/>
              <w:bottom w:w="0" w:type="dxa"/>
              <w:right w:w="57" w:type="dxa"/>
            </w:tcMar>
          </w:tcPr>
          <w:p w14:paraId="4E9DCCD1" w14:textId="77777777" w:rsidR="005D02EF" w:rsidRPr="009E06AA" w:rsidRDefault="005D02EF" w:rsidP="00B55F24">
            <w:pPr>
              <w:pStyle w:val="TableText"/>
              <w:spacing w:before="30" w:after="30"/>
            </w:pPr>
          </w:p>
        </w:tc>
        <w:tc>
          <w:tcPr>
            <w:tcW w:w="2621" w:type="dxa"/>
            <w:shd w:val="clear" w:color="auto" w:fill="FFFFFF" w:themeFill="background1"/>
            <w:tcMar>
              <w:top w:w="0" w:type="dxa"/>
              <w:left w:w="85" w:type="dxa"/>
              <w:bottom w:w="0" w:type="dxa"/>
              <w:right w:w="57" w:type="dxa"/>
            </w:tcMar>
          </w:tcPr>
          <w:p w14:paraId="16C741D9" w14:textId="77777777" w:rsidR="005D02EF" w:rsidRPr="009E06AA" w:rsidRDefault="005D02EF" w:rsidP="00B55F24">
            <w:pPr>
              <w:pStyle w:val="TableText"/>
              <w:spacing w:before="30" w:after="30"/>
            </w:pPr>
          </w:p>
        </w:tc>
      </w:tr>
      <w:tr w:rsidR="005D02EF" w:rsidRPr="009E06AA" w14:paraId="60D9DE4C" w14:textId="77777777" w:rsidTr="00271345">
        <w:tc>
          <w:tcPr>
            <w:tcW w:w="709" w:type="dxa"/>
            <w:shd w:val="clear" w:color="auto" w:fill="FFFFFF" w:themeFill="background1"/>
            <w:tcMar>
              <w:top w:w="0" w:type="dxa"/>
              <w:left w:w="85" w:type="dxa"/>
              <w:bottom w:w="0" w:type="dxa"/>
              <w:right w:w="57" w:type="dxa"/>
            </w:tcMar>
          </w:tcPr>
          <w:p w14:paraId="2FC8EC67" w14:textId="77777777" w:rsidR="005D02EF" w:rsidRPr="009E06AA" w:rsidRDefault="005D02EF" w:rsidP="00B55F24">
            <w:pPr>
              <w:pStyle w:val="TableText"/>
              <w:spacing w:before="30" w:after="30"/>
            </w:pPr>
            <w:r w:rsidRPr="009E06AA">
              <w:rPr>
                <w:rFonts w:eastAsia="Calibri"/>
                <w:color w:val="000000"/>
              </w:rPr>
              <w:t>L.1</w:t>
            </w:r>
          </w:p>
        </w:tc>
        <w:tc>
          <w:tcPr>
            <w:tcW w:w="2126" w:type="dxa"/>
            <w:shd w:val="clear" w:color="auto" w:fill="FFFFFF" w:themeFill="background1"/>
            <w:tcMar>
              <w:top w:w="0" w:type="dxa"/>
              <w:left w:w="85" w:type="dxa"/>
              <w:bottom w:w="0" w:type="dxa"/>
              <w:right w:w="57" w:type="dxa"/>
            </w:tcMar>
          </w:tcPr>
          <w:p w14:paraId="4A22028F" w14:textId="77777777" w:rsidR="005D02EF" w:rsidRPr="009E06AA" w:rsidRDefault="005D02EF" w:rsidP="00B55F24">
            <w:pPr>
              <w:pStyle w:val="TableText"/>
              <w:spacing w:before="30" w:after="30"/>
            </w:pPr>
            <w:r w:rsidRPr="009E06AA">
              <w:rPr>
                <w:rFonts w:eastAsia="Calibri"/>
                <w:color w:val="000000"/>
              </w:rPr>
              <w:t>4. General (LULUCF) – CO₂ and N₂O (L.1, 2021) (L.10, 2019) Accuracy</w:t>
            </w:r>
          </w:p>
        </w:tc>
        <w:tc>
          <w:tcPr>
            <w:tcW w:w="3686" w:type="dxa"/>
            <w:shd w:val="clear" w:color="auto" w:fill="FFFFFF" w:themeFill="background1"/>
            <w:tcMar>
              <w:top w:w="0" w:type="dxa"/>
              <w:left w:w="85" w:type="dxa"/>
              <w:bottom w:w="0" w:type="dxa"/>
              <w:right w:w="57" w:type="dxa"/>
            </w:tcMar>
          </w:tcPr>
          <w:p w14:paraId="15C90B4F" w14:textId="77777777" w:rsidR="005D02EF" w:rsidRPr="009E06AA" w:rsidRDefault="005D02EF" w:rsidP="00B55F24">
            <w:pPr>
              <w:pStyle w:val="TableText"/>
              <w:spacing w:before="30" w:after="30"/>
            </w:pPr>
            <w:r w:rsidRPr="009E06AA">
              <w:rPr>
                <w:rFonts w:eastAsia="Calibri"/>
                <w:color w:val="000000"/>
              </w:rPr>
              <w:t>Either provide evidence that the estimated SOC changes do not result in systematic over- or underestimations, given that land-use changes occur randomly across the entire SOC variability of a land-use category or subcategory, or replace the current method with one consistent with good practice as defined in the 2006 IPCC Guidelines (vol. 4, chap. 2.3.3.1).</w:t>
            </w:r>
          </w:p>
        </w:tc>
        <w:tc>
          <w:tcPr>
            <w:tcW w:w="4806" w:type="dxa"/>
            <w:shd w:val="clear" w:color="auto" w:fill="FFFFFF" w:themeFill="background1"/>
            <w:tcMar>
              <w:top w:w="0" w:type="dxa"/>
              <w:left w:w="85" w:type="dxa"/>
              <w:bottom w:w="0" w:type="dxa"/>
              <w:right w:w="57" w:type="dxa"/>
            </w:tcMar>
          </w:tcPr>
          <w:p w14:paraId="5CC383A1" w14:textId="77777777" w:rsidR="005D02EF" w:rsidRPr="009E06AA" w:rsidRDefault="005D02EF" w:rsidP="00B55F24">
            <w:pPr>
              <w:pStyle w:val="TableText"/>
              <w:spacing w:before="30" w:after="30"/>
            </w:pPr>
            <w:r w:rsidRPr="009E06AA">
              <w:rPr>
                <w:rFonts w:eastAsia="Calibri"/>
                <w:color w:val="000000"/>
              </w:rPr>
              <w:t>Addressing. The Party reported in its NIR (p.396) that to undertake a robust study to collect this information would likely cost between NZD 400,000 and 600,000/year. At a minimum, this is more than five times the annual research budget for the LULUCF sector. Following decision tree 2.4 in volume 4 of the 2006 IPCC Guidelines, there are insufficient resources to implement such research in the near future without a significant increase in funding. During the review, the Party clarified that it recently assigned a multi-year budget to conduct work on improving mineral soil estimates and that, owing to the nature of the research required, results will not be available for reporting purposes for several years yet. The ERT considers that the recommendation has not yet been fully addressed because the Party has neither verified the accuracy of SOC change estimates produced by the model nor applied an alternative method consistent with the 2006 IPCC Guidelines. The ERT noted that the country-wide application of the IPCC default methodology for SOC in mineral soils together with either IPCC default values (tier 1) or country-specific values (tier 2) for reference SOC stocks and SOC change factors would resolve the issue.</w:t>
            </w:r>
          </w:p>
        </w:tc>
        <w:tc>
          <w:tcPr>
            <w:tcW w:w="2621" w:type="dxa"/>
            <w:shd w:val="clear" w:color="auto" w:fill="FFFFFF" w:themeFill="background1"/>
            <w:tcMar>
              <w:top w:w="0" w:type="dxa"/>
              <w:left w:w="85" w:type="dxa"/>
              <w:bottom w:w="0" w:type="dxa"/>
              <w:right w:w="57" w:type="dxa"/>
            </w:tcMar>
          </w:tcPr>
          <w:p w14:paraId="539D9E97" w14:textId="77777777" w:rsidR="005D02EF" w:rsidRPr="009E06AA" w:rsidRDefault="005D02EF" w:rsidP="00B55F24">
            <w:pPr>
              <w:pStyle w:val="TableText"/>
              <w:spacing w:before="30" w:after="30"/>
            </w:pPr>
            <w:r w:rsidRPr="009E06AA">
              <w:rPr>
                <w:b/>
                <w:bCs/>
              </w:rPr>
              <w:t>Addressing</w:t>
            </w:r>
            <w:r w:rsidRPr="009E06AA">
              <w:t>. New Zealand has recently assigned a multi-year budget to conduct work on improving mineral soil estimates. Due to the nature of the research required, however, results will not be available for reporting purposes for several years yet.</w:t>
            </w:r>
          </w:p>
        </w:tc>
      </w:tr>
      <w:tr w:rsidR="005D02EF" w:rsidRPr="009E06AA" w14:paraId="598C94AF" w14:textId="77777777" w:rsidTr="00271345">
        <w:tc>
          <w:tcPr>
            <w:tcW w:w="709" w:type="dxa"/>
            <w:shd w:val="clear" w:color="auto" w:fill="FFFFFF" w:themeFill="background1"/>
            <w:tcMar>
              <w:top w:w="0" w:type="dxa"/>
              <w:left w:w="85" w:type="dxa"/>
              <w:bottom w:w="0" w:type="dxa"/>
              <w:right w:w="57" w:type="dxa"/>
            </w:tcMar>
          </w:tcPr>
          <w:p w14:paraId="2131E27A" w14:textId="77777777" w:rsidR="005D02EF" w:rsidRPr="009E06AA" w:rsidRDefault="005D02EF" w:rsidP="00B55F24">
            <w:pPr>
              <w:pStyle w:val="TableText"/>
              <w:spacing w:before="30" w:after="30"/>
            </w:pPr>
            <w:r w:rsidRPr="009E06AA">
              <w:rPr>
                <w:rFonts w:eastAsia="Calibri"/>
                <w:color w:val="000000"/>
              </w:rPr>
              <w:t>L.2</w:t>
            </w:r>
          </w:p>
        </w:tc>
        <w:tc>
          <w:tcPr>
            <w:tcW w:w="2126" w:type="dxa"/>
            <w:shd w:val="clear" w:color="auto" w:fill="FFFFFF" w:themeFill="background1"/>
            <w:tcMar>
              <w:top w:w="0" w:type="dxa"/>
              <w:left w:w="85" w:type="dxa"/>
              <w:bottom w:w="0" w:type="dxa"/>
              <w:right w:w="57" w:type="dxa"/>
            </w:tcMar>
          </w:tcPr>
          <w:p w14:paraId="11CA2622" w14:textId="77777777" w:rsidR="005D02EF" w:rsidRPr="009E06AA" w:rsidRDefault="005D02EF" w:rsidP="00B55F24">
            <w:pPr>
              <w:pStyle w:val="TableText"/>
              <w:spacing w:before="30" w:after="30"/>
            </w:pPr>
            <w:r w:rsidRPr="009E06AA">
              <w:rPr>
                <w:rFonts w:eastAsia="Calibri"/>
                <w:color w:val="000000"/>
              </w:rPr>
              <w:t>4. General (LULUCF) – CO₂ (L.2, 2021) (L.11, 2019) Convention reporting adherence</w:t>
            </w:r>
          </w:p>
        </w:tc>
        <w:tc>
          <w:tcPr>
            <w:tcW w:w="3686" w:type="dxa"/>
            <w:shd w:val="clear" w:color="auto" w:fill="FFFFFF" w:themeFill="background1"/>
            <w:tcMar>
              <w:top w:w="0" w:type="dxa"/>
              <w:left w:w="85" w:type="dxa"/>
              <w:bottom w:w="0" w:type="dxa"/>
              <w:right w:w="57" w:type="dxa"/>
            </w:tcMar>
          </w:tcPr>
          <w:p w14:paraId="1325A897" w14:textId="77777777" w:rsidR="005D02EF" w:rsidRPr="009E06AA" w:rsidRDefault="005D02EF" w:rsidP="00B55F24">
            <w:pPr>
              <w:pStyle w:val="TableText"/>
              <w:spacing w:before="30" w:after="30"/>
            </w:pPr>
            <w:r w:rsidRPr="009E06AA">
              <w:rPr>
                <w:rFonts w:eastAsia="Calibri"/>
                <w:color w:val="000000"/>
              </w:rPr>
              <w:t>Provide a comparison across the available time series of data of roundwood statistics reported by the Ministry for Primary Industries and the quantities estimated by the LUCAS model based on the harvested area as allocated to age classes and provide justification for any discrepancies.</w:t>
            </w:r>
          </w:p>
        </w:tc>
        <w:tc>
          <w:tcPr>
            <w:tcW w:w="4806" w:type="dxa"/>
            <w:shd w:val="clear" w:color="auto" w:fill="FFFFFF" w:themeFill="background1"/>
            <w:tcMar>
              <w:top w:w="0" w:type="dxa"/>
              <w:left w:w="85" w:type="dxa"/>
              <w:bottom w:w="0" w:type="dxa"/>
              <w:right w:w="57" w:type="dxa"/>
            </w:tcMar>
          </w:tcPr>
          <w:p w14:paraId="26C17236" w14:textId="77777777" w:rsidR="005D02EF" w:rsidRPr="009E06AA" w:rsidRDefault="005D02EF" w:rsidP="00B55F24">
            <w:pPr>
              <w:pStyle w:val="TableText"/>
              <w:spacing w:before="30" w:after="30"/>
            </w:pPr>
            <w:r w:rsidRPr="009E06AA">
              <w:rPr>
                <w:rFonts w:eastAsia="Calibri"/>
                <w:color w:val="000000"/>
              </w:rPr>
              <w:t>Resolved. The Party added an additional section in annex 3 to the NIR (vol. 2, pp.95–96) describing forest land model validations and, specifically, the differences between LUCAS model harvest losses and the roundwood statistics reported by the Ministry for Primary Industries.</w:t>
            </w:r>
          </w:p>
        </w:tc>
        <w:tc>
          <w:tcPr>
            <w:tcW w:w="2621" w:type="dxa"/>
            <w:shd w:val="clear" w:color="auto" w:fill="FFFFFF" w:themeFill="background1"/>
            <w:tcMar>
              <w:top w:w="0" w:type="dxa"/>
              <w:left w:w="85" w:type="dxa"/>
              <w:bottom w:w="0" w:type="dxa"/>
              <w:right w:w="57" w:type="dxa"/>
            </w:tcMar>
          </w:tcPr>
          <w:p w14:paraId="664754C9" w14:textId="77777777" w:rsidR="005D02EF" w:rsidRPr="009E06AA" w:rsidRDefault="005D02EF" w:rsidP="00B55F24">
            <w:pPr>
              <w:pStyle w:val="TableText"/>
              <w:spacing w:before="30" w:after="30"/>
            </w:pPr>
            <w:r w:rsidRPr="009E06AA">
              <w:t>NA</w:t>
            </w:r>
          </w:p>
        </w:tc>
      </w:tr>
      <w:tr w:rsidR="005D02EF" w:rsidRPr="009E06AA" w14:paraId="0A25F41F" w14:textId="77777777" w:rsidTr="00271345">
        <w:tc>
          <w:tcPr>
            <w:tcW w:w="709" w:type="dxa"/>
            <w:shd w:val="clear" w:color="auto" w:fill="FFFFFF" w:themeFill="background1"/>
            <w:tcMar>
              <w:top w:w="0" w:type="dxa"/>
              <w:left w:w="85" w:type="dxa"/>
              <w:bottom w:w="0" w:type="dxa"/>
              <w:right w:w="57" w:type="dxa"/>
            </w:tcMar>
          </w:tcPr>
          <w:p w14:paraId="0130EC79" w14:textId="77777777" w:rsidR="005D02EF" w:rsidRPr="009E06AA" w:rsidRDefault="005D02EF" w:rsidP="00B55F24">
            <w:pPr>
              <w:pStyle w:val="TableText"/>
              <w:spacing w:before="30" w:after="30"/>
            </w:pPr>
            <w:r w:rsidRPr="009E06AA">
              <w:rPr>
                <w:rFonts w:eastAsia="Calibri"/>
                <w:color w:val="000000"/>
              </w:rPr>
              <w:t>L.3</w:t>
            </w:r>
          </w:p>
        </w:tc>
        <w:tc>
          <w:tcPr>
            <w:tcW w:w="2126" w:type="dxa"/>
            <w:shd w:val="clear" w:color="auto" w:fill="FFFFFF" w:themeFill="background1"/>
            <w:tcMar>
              <w:top w:w="0" w:type="dxa"/>
              <w:left w:w="85" w:type="dxa"/>
              <w:bottom w:w="0" w:type="dxa"/>
              <w:right w:w="57" w:type="dxa"/>
            </w:tcMar>
          </w:tcPr>
          <w:p w14:paraId="4CEC8AD7" w14:textId="77777777" w:rsidR="005D02EF" w:rsidRPr="009E06AA" w:rsidRDefault="005D02EF" w:rsidP="00B55F24">
            <w:pPr>
              <w:pStyle w:val="TableText"/>
              <w:spacing w:before="30" w:after="30"/>
            </w:pPr>
            <w:r w:rsidRPr="009E06AA">
              <w:rPr>
                <w:rFonts w:eastAsia="Calibri"/>
                <w:color w:val="000000"/>
              </w:rPr>
              <w:t>4. General (LULUCF) – CO₂ (L.3, 2021) (L.12, 2019) Convention reporting adherence</w:t>
            </w:r>
          </w:p>
        </w:tc>
        <w:tc>
          <w:tcPr>
            <w:tcW w:w="3686" w:type="dxa"/>
            <w:shd w:val="clear" w:color="auto" w:fill="FFFFFF" w:themeFill="background1"/>
            <w:tcMar>
              <w:top w:w="0" w:type="dxa"/>
              <w:left w:w="85" w:type="dxa"/>
              <w:bottom w:w="0" w:type="dxa"/>
              <w:right w:w="57" w:type="dxa"/>
            </w:tcMar>
          </w:tcPr>
          <w:p w14:paraId="29972C61" w14:textId="77777777" w:rsidR="005D02EF" w:rsidRPr="009E06AA" w:rsidRDefault="005D02EF" w:rsidP="00B55F24">
            <w:pPr>
              <w:pStyle w:val="TableText"/>
              <w:spacing w:before="30" w:after="30"/>
            </w:pPr>
            <w:r w:rsidRPr="009E06AA">
              <w:rPr>
                <w:rFonts w:eastAsia="Calibri"/>
                <w:color w:val="000000"/>
              </w:rPr>
              <w:t>Replace “IE” with estimates of biomass carbon stock losses only for the year in which an area conversion occurs, and with “NO” for any year in which conversion of additional areas does not occur, in CRF tables 4.A and 4.B.</w:t>
            </w:r>
          </w:p>
        </w:tc>
        <w:tc>
          <w:tcPr>
            <w:tcW w:w="4806" w:type="dxa"/>
            <w:shd w:val="clear" w:color="auto" w:fill="FFFFFF" w:themeFill="background1"/>
            <w:tcMar>
              <w:top w:w="0" w:type="dxa"/>
              <w:left w:w="85" w:type="dxa"/>
              <w:bottom w:w="0" w:type="dxa"/>
              <w:right w:w="57" w:type="dxa"/>
            </w:tcMar>
          </w:tcPr>
          <w:p w14:paraId="278E551D" w14:textId="77777777" w:rsidR="005D02EF" w:rsidRPr="009E06AA" w:rsidRDefault="005D02EF" w:rsidP="00B55F24">
            <w:pPr>
              <w:pStyle w:val="TableText"/>
              <w:spacing w:before="30" w:after="30"/>
            </w:pPr>
            <w:r w:rsidRPr="009E06AA">
              <w:rPr>
                <w:rFonts w:eastAsia="Calibri"/>
                <w:color w:val="000000"/>
              </w:rPr>
              <w:t>Resolved. The Party reported “NO” in its NIR (p.396) for annual biomass carbon stocks where conversions did not occur during the time series (e.g. for conversions of post-1989 forest to cropland). Where a land-use conversion had previously occurred but there were some years in the time series when conversion of additional areas did not occur, the annual biomass carbon stocks were reported as “NA” since the methodology does not require the Party to estimate annual biomass stock changes in such years. Perennial biomass carbon stocks were reported as “NA” where biomass carbon gain occurred owing to conversion to land uses that do not host any perennial biomass carbon stock. The ERT agrees with the use of “NA” in these circumstances.</w:t>
            </w:r>
          </w:p>
        </w:tc>
        <w:tc>
          <w:tcPr>
            <w:tcW w:w="2621" w:type="dxa"/>
            <w:shd w:val="clear" w:color="auto" w:fill="FFFFFF" w:themeFill="background1"/>
            <w:tcMar>
              <w:top w:w="0" w:type="dxa"/>
              <w:left w:w="85" w:type="dxa"/>
              <w:bottom w:w="0" w:type="dxa"/>
              <w:right w:w="57" w:type="dxa"/>
            </w:tcMar>
          </w:tcPr>
          <w:p w14:paraId="1A640524" w14:textId="77777777" w:rsidR="005D02EF" w:rsidRPr="009E06AA" w:rsidRDefault="005D02EF" w:rsidP="00B55F24">
            <w:pPr>
              <w:pStyle w:val="TableText"/>
              <w:spacing w:before="30" w:after="30"/>
            </w:pPr>
            <w:r w:rsidRPr="009E06AA">
              <w:t>NA</w:t>
            </w:r>
          </w:p>
        </w:tc>
      </w:tr>
      <w:tr w:rsidR="005D02EF" w:rsidRPr="009E06AA" w14:paraId="4716AD4C" w14:textId="77777777" w:rsidTr="00271345">
        <w:tc>
          <w:tcPr>
            <w:tcW w:w="709" w:type="dxa"/>
            <w:shd w:val="clear" w:color="auto" w:fill="FFFFFF" w:themeFill="background1"/>
            <w:tcMar>
              <w:top w:w="0" w:type="dxa"/>
              <w:left w:w="85" w:type="dxa"/>
              <w:bottom w:w="0" w:type="dxa"/>
              <w:right w:w="57" w:type="dxa"/>
            </w:tcMar>
          </w:tcPr>
          <w:p w14:paraId="6D130C05" w14:textId="77777777" w:rsidR="005D02EF" w:rsidRPr="009E06AA" w:rsidRDefault="005D02EF" w:rsidP="00B55F24">
            <w:pPr>
              <w:pStyle w:val="TableText"/>
              <w:spacing w:before="30" w:after="30"/>
            </w:pPr>
            <w:r w:rsidRPr="009E06AA">
              <w:rPr>
                <w:rFonts w:eastAsia="Calibri"/>
                <w:color w:val="000000"/>
              </w:rPr>
              <w:t>L.4</w:t>
            </w:r>
          </w:p>
        </w:tc>
        <w:tc>
          <w:tcPr>
            <w:tcW w:w="2126" w:type="dxa"/>
            <w:shd w:val="clear" w:color="auto" w:fill="FFFFFF" w:themeFill="background1"/>
            <w:tcMar>
              <w:top w:w="0" w:type="dxa"/>
              <w:left w:w="85" w:type="dxa"/>
              <w:bottom w:w="0" w:type="dxa"/>
              <w:right w:w="57" w:type="dxa"/>
            </w:tcMar>
          </w:tcPr>
          <w:p w14:paraId="0EC115F4" w14:textId="77777777" w:rsidR="005D02EF" w:rsidRPr="009E06AA" w:rsidRDefault="005D02EF" w:rsidP="00B55F24">
            <w:pPr>
              <w:pStyle w:val="TableText"/>
              <w:spacing w:before="30" w:after="30"/>
            </w:pPr>
            <w:r w:rsidRPr="009E06AA">
              <w:rPr>
                <w:rFonts w:eastAsia="Calibri"/>
                <w:color w:val="000000"/>
              </w:rPr>
              <w:t>Land representation – CO₂, CH₄ and N₂O (L.8, 2021) (L.16, 2019) Accuracy</w:t>
            </w:r>
          </w:p>
        </w:tc>
        <w:tc>
          <w:tcPr>
            <w:tcW w:w="3686" w:type="dxa"/>
            <w:shd w:val="clear" w:color="auto" w:fill="FFFFFF" w:themeFill="background1"/>
            <w:tcMar>
              <w:top w:w="0" w:type="dxa"/>
              <w:left w:w="85" w:type="dxa"/>
              <w:bottom w:w="0" w:type="dxa"/>
              <w:right w:w="57" w:type="dxa"/>
            </w:tcMar>
          </w:tcPr>
          <w:p w14:paraId="2073E81E" w14:textId="77777777" w:rsidR="005D02EF" w:rsidRPr="009E06AA" w:rsidRDefault="005D02EF" w:rsidP="00B55F24">
            <w:pPr>
              <w:pStyle w:val="TableText"/>
              <w:spacing w:before="30" w:after="30"/>
            </w:pPr>
            <w:r w:rsidRPr="009E06AA">
              <w:rPr>
                <w:rFonts w:eastAsia="Calibri"/>
                <w:color w:val="000000"/>
              </w:rPr>
              <w:t>Investigate how to use the results of the accuracy assessment, once available, to adjust the reported AD for the land representation.</w:t>
            </w:r>
          </w:p>
        </w:tc>
        <w:tc>
          <w:tcPr>
            <w:tcW w:w="4806" w:type="dxa"/>
            <w:shd w:val="clear" w:color="auto" w:fill="FFFFFF" w:themeFill="background1"/>
            <w:tcMar>
              <w:top w:w="0" w:type="dxa"/>
              <w:left w:w="85" w:type="dxa"/>
              <w:bottom w:w="0" w:type="dxa"/>
              <w:right w:w="57" w:type="dxa"/>
            </w:tcMar>
          </w:tcPr>
          <w:p w14:paraId="199C7C66" w14:textId="77777777" w:rsidR="005D02EF" w:rsidRPr="009E06AA" w:rsidRDefault="005D02EF" w:rsidP="00B55F24">
            <w:pPr>
              <w:pStyle w:val="TableText"/>
              <w:spacing w:before="30" w:after="30"/>
            </w:pPr>
            <w:r w:rsidRPr="009E06AA">
              <w:rPr>
                <w:rFonts w:eastAsia="Calibri"/>
                <w:color w:val="000000"/>
              </w:rPr>
              <w:t>Addressing. The Party reported in its NIR (p.397), with reference to annex A3.2.2 to the NIR, that a confusion matrix for the 2012 map was developed, demonstrating that mapping errors and biases were very limited for all land categories, except grassland and grassland with woody biomass. The Party also reported that a new land-use map using imagery acquired in 2020–2021 is being produced. Once that is complete, an accuracy assessment of the map series with a focus on the accuracy of land-use change mapping will be conducted. The ERT considers that the recommendation has not yet been fully addressed because the Party has not yet completed the accuracy assessment, in particular for land-use change categories where small land-area errors are associated with large errors in emission estimates.</w:t>
            </w:r>
          </w:p>
        </w:tc>
        <w:tc>
          <w:tcPr>
            <w:tcW w:w="2621" w:type="dxa"/>
            <w:shd w:val="clear" w:color="auto" w:fill="FFFFFF" w:themeFill="background1"/>
            <w:tcMar>
              <w:top w:w="0" w:type="dxa"/>
              <w:left w:w="85" w:type="dxa"/>
              <w:bottom w:w="0" w:type="dxa"/>
              <w:right w:w="57" w:type="dxa"/>
            </w:tcMar>
          </w:tcPr>
          <w:p w14:paraId="235D230F" w14:textId="77777777" w:rsidR="005D02EF" w:rsidRPr="009E06AA" w:rsidRDefault="005D02EF" w:rsidP="00B55F24">
            <w:pPr>
              <w:pStyle w:val="TableText"/>
              <w:spacing w:before="30" w:after="30"/>
            </w:pPr>
            <w:r w:rsidRPr="009E06AA">
              <w:rPr>
                <w:b/>
              </w:rPr>
              <w:t>Addressing</w:t>
            </w:r>
            <w:r w:rsidRPr="009E06AA">
              <w:t xml:space="preserve">. A new land use map for 2020 has now been completed. An accuracy assessment of the map series with a focus on the accuracy of land-use change mapping is planned. </w:t>
            </w:r>
          </w:p>
        </w:tc>
      </w:tr>
      <w:tr w:rsidR="005D02EF" w:rsidRPr="009E06AA" w14:paraId="4DE0F757" w14:textId="77777777" w:rsidTr="00271345">
        <w:tc>
          <w:tcPr>
            <w:tcW w:w="709" w:type="dxa"/>
            <w:shd w:val="clear" w:color="auto" w:fill="FFFFFF" w:themeFill="background1"/>
            <w:tcMar>
              <w:top w:w="0" w:type="dxa"/>
              <w:left w:w="85" w:type="dxa"/>
              <w:bottom w:w="0" w:type="dxa"/>
              <w:right w:w="57" w:type="dxa"/>
            </w:tcMar>
          </w:tcPr>
          <w:p w14:paraId="4C0314F3" w14:textId="77777777" w:rsidR="005D02EF" w:rsidRPr="009E06AA" w:rsidRDefault="005D02EF" w:rsidP="00B55F24">
            <w:pPr>
              <w:pStyle w:val="TableText"/>
              <w:spacing w:before="30" w:after="30"/>
            </w:pPr>
            <w:r w:rsidRPr="009E06AA">
              <w:rPr>
                <w:rFonts w:eastAsia="Calibri"/>
                <w:color w:val="000000"/>
              </w:rPr>
              <w:t>L.5</w:t>
            </w:r>
          </w:p>
        </w:tc>
        <w:tc>
          <w:tcPr>
            <w:tcW w:w="2126" w:type="dxa"/>
            <w:shd w:val="clear" w:color="auto" w:fill="FFFFFF" w:themeFill="background1"/>
            <w:tcMar>
              <w:top w:w="0" w:type="dxa"/>
              <w:left w:w="85" w:type="dxa"/>
              <w:bottom w:w="0" w:type="dxa"/>
              <w:right w:w="57" w:type="dxa"/>
            </w:tcMar>
          </w:tcPr>
          <w:p w14:paraId="2D478E0A" w14:textId="77777777" w:rsidR="005D02EF" w:rsidRPr="009E06AA" w:rsidRDefault="005D02EF" w:rsidP="00B55F24">
            <w:pPr>
              <w:pStyle w:val="TableText"/>
              <w:spacing w:before="30" w:after="30"/>
            </w:pPr>
            <w:r w:rsidRPr="009E06AA">
              <w:rPr>
                <w:rFonts w:eastAsia="Calibri"/>
                <w:color w:val="000000"/>
              </w:rPr>
              <w:t>4.A Forest land – CO₂ (L.10, 2021) (L.17, 2019) Transparency</w:t>
            </w:r>
          </w:p>
        </w:tc>
        <w:tc>
          <w:tcPr>
            <w:tcW w:w="3686" w:type="dxa"/>
            <w:shd w:val="clear" w:color="auto" w:fill="FFFFFF" w:themeFill="background1"/>
            <w:tcMar>
              <w:top w:w="0" w:type="dxa"/>
              <w:left w:w="85" w:type="dxa"/>
              <w:bottom w:w="0" w:type="dxa"/>
              <w:right w:w="57" w:type="dxa"/>
            </w:tcMar>
          </w:tcPr>
          <w:p w14:paraId="2D20CE5B" w14:textId="77777777" w:rsidR="005D02EF" w:rsidRPr="009E06AA" w:rsidRDefault="005D02EF" w:rsidP="00B55F24">
            <w:pPr>
              <w:pStyle w:val="TableText"/>
              <w:spacing w:before="30" w:after="30"/>
            </w:pPr>
            <w:r w:rsidRPr="009E06AA">
              <w:rPr>
                <w:rFonts w:eastAsia="Calibri"/>
                <w:color w:val="000000"/>
              </w:rPr>
              <w:t>Provide information on the actual age of harvest of forest plantations as derived from information collected through the National Exotic Forest Description.</w:t>
            </w:r>
          </w:p>
        </w:tc>
        <w:tc>
          <w:tcPr>
            <w:tcW w:w="4806" w:type="dxa"/>
            <w:shd w:val="clear" w:color="auto" w:fill="FFFFFF" w:themeFill="background1"/>
            <w:tcMar>
              <w:top w:w="0" w:type="dxa"/>
              <w:left w:w="85" w:type="dxa"/>
              <w:bottom w:w="0" w:type="dxa"/>
              <w:right w:w="57" w:type="dxa"/>
            </w:tcMar>
          </w:tcPr>
          <w:p w14:paraId="5E993FCA" w14:textId="77777777" w:rsidR="005D02EF" w:rsidRPr="009E06AA" w:rsidRDefault="005D02EF" w:rsidP="00B55F24">
            <w:pPr>
              <w:pStyle w:val="TableText"/>
              <w:spacing w:before="30" w:after="30"/>
            </w:pPr>
            <w:r w:rsidRPr="009E06AA">
              <w:rPr>
                <w:rFonts w:eastAsia="Calibri"/>
                <w:color w:val="000000"/>
              </w:rPr>
              <w:t>Resolved. The Party added information on the actual age of harvest and on the actual age profile of forest plantations (figure A.3.2.11) in annex 3.2.5 to the NIR.</w:t>
            </w:r>
          </w:p>
        </w:tc>
        <w:tc>
          <w:tcPr>
            <w:tcW w:w="2621" w:type="dxa"/>
            <w:shd w:val="clear" w:color="auto" w:fill="FFFFFF" w:themeFill="background1"/>
            <w:tcMar>
              <w:top w:w="0" w:type="dxa"/>
              <w:left w:w="85" w:type="dxa"/>
              <w:bottom w:w="0" w:type="dxa"/>
              <w:right w:w="57" w:type="dxa"/>
            </w:tcMar>
          </w:tcPr>
          <w:p w14:paraId="38311435" w14:textId="77777777" w:rsidR="005D02EF" w:rsidRPr="009E06AA" w:rsidRDefault="005D02EF" w:rsidP="00B55F24">
            <w:pPr>
              <w:pStyle w:val="TableText"/>
              <w:spacing w:before="30" w:after="30"/>
            </w:pPr>
            <w:r w:rsidRPr="009E06AA">
              <w:t>NA</w:t>
            </w:r>
          </w:p>
        </w:tc>
      </w:tr>
      <w:tr w:rsidR="005D02EF" w:rsidRPr="009E06AA" w14:paraId="31D710A1" w14:textId="77777777" w:rsidTr="00271345">
        <w:tc>
          <w:tcPr>
            <w:tcW w:w="709" w:type="dxa"/>
            <w:shd w:val="clear" w:color="auto" w:fill="FFFFFF" w:themeFill="background1"/>
            <w:tcMar>
              <w:top w:w="0" w:type="dxa"/>
              <w:left w:w="85" w:type="dxa"/>
              <w:bottom w:w="0" w:type="dxa"/>
              <w:right w:w="57" w:type="dxa"/>
            </w:tcMar>
          </w:tcPr>
          <w:p w14:paraId="4A7DA663" w14:textId="77777777" w:rsidR="005D02EF" w:rsidRPr="009E06AA" w:rsidRDefault="005D02EF" w:rsidP="00B55F24">
            <w:pPr>
              <w:pStyle w:val="TableText"/>
              <w:spacing w:before="30" w:after="30"/>
            </w:pPr>
            <w:r w:rsidRPr="009E06AA">
              <w:rPr>
                <w:rFonts w:eastAsia="Calibri"/>
                <w:color w:val="000000"/>
              </w:rPr>
              <w:t>L.6</w:t>
            </w:r>
          </w:p>
        </w:tc>
        <w:tc>
          <w:tcPr>
            <w:tcW w:w="2126" w:type="dxa"/>
            <w:shd w:val="clear" w:color="auto" w:fill="FFFFFF" w:themeFill="background1"/>
            <w:tcMar>
              <w:top w:w="0" w:type="dxa"/>
              <w:left w:w="85" w:type="dxa"/>
              <w:bottom w:w="0" w:type="dxa"/>
              <w:right w:w="57" w:type="dxa"/>
            </w:tcMar>
          </w:tcPr>
          <w:p w14:paraId="5164FF60" w14:textId="77777777" w:rsidR="005D02EF" w:rsidRPr="009E06AA" w:rsidRDefault="005D02EF" w:rsidP="00B55F24">
            <w:pPr>
              <w:pStyle w:val="TableText"/>
              <w:spacing w:before="30" w:after="30"/>
            </w:pPr>
            <w:r w:rsidRPr="009E06AA">
              <w:rPr>
                <w:rFonts w:eastAsia="Calibri"/>
                <w:color w:val="000000"/>
              </w:rPr>
              <w:t>4.A Forest land – CO₂ (L.26, 2021) Transparency</w:t>
            </w:r>
          </w:p>
        </w:tc>
        <w:tc>
          <w:tcPr>
            <w:tcW w:w="3686" w:type="dxa"/>
            <w:shd w:val="clear" w:color="auto" w:fill="FFFFFF" w:themeFill="background1"/>
            <w:tcMar>
              <w:top w:w="0" w:type="dxa"/>
              <w:left w:w="85" w:type="dxa"/>
              <w:bottom w:w="0" w:type="dxa"/>
              <w:right w:w="57" w:type="dxa"/>
            </w:tcMar>
          </w:tcPr>
          <w:p w14:paraId="2AA5F6CB" w14:textId="77777777" w:rsidR="005D02EF" w:rsidRPr="009E06AA" w:rsidRDefault="005D02EF" w:rsidP="00B55F24">
            <w:pPr>
              <w:pStyle w:val="TableText"/>
              <w:spacing w:before="30" w:after="30"/>
            </w:pPr>
            <w:r w:rsidRPr="009E06AA">
              <w:rPr>
                <w:rFonts w:eastAsia="Calibri"/>
                <w:color w:val="000000"/>
              </w:rPr>
              <w:t>Include in the NIR the definitions of tall and regenerating forests, their respective areas and how this distinction and the associated calculations result in complete estimates of CSC, in particular in the event of natural disturbances.</w:t>
            </w:r>
          </w:p>
        </w:tc>
        <w:tc>
          <w:tcPr>
            <w:tcW w:w="4806" w:type="dxa"/>
            <w:shd w:val="clear" w:color="auto" w:fill="FFFFFF" w:themeFill="background1"/>
            <w:tcMar>
              <w:top w:w="0" w:type="dxa"/>
              <w:left w:w="85" w:type="dxa"/>
              <w:bottom w:w="0" w:type="dxa"/>
              <w:right w:w="57" w:type="dxa"/>
            </w:tcMar>
          </w:tcPr>
          <w:p w14:paraId="3BF99952" w14:textId="77777777" w:rsidR="005D02EF" w:rsidRPr="009E06AA" w:rsidRDefault="005D02EF" w:rsidP="00B55F24">
            <w:pPr>
              <w:pStyle w:val="TableText"/>
              <w:spacing w:before="30" w:after="30"/>
            </w:pPr>
            <w:r w:rsidRPr="009E06AA">
              <w:rPr>
                <w:rFonts w:eastAsia="Calibri"/>
                <w:color w:val="000000"/>
              </w:rPr>
              <w:t>Resolved. The Party reported in its NIR the definitions (table 6.3.5, p.255) and areas (table 6.3.6, p.255) of tall and regenerating forests. Forest areas are classified spatially as either tall or regenerating and, accordingly, CSC is calculated separately. Natural disturbances affect the carbon stocks measured in the national forest inventory plot network and therefore are implicitly included in the CSC calculations.</w:t>
            </w:r>
          </w:p>
        </w:tc>
        <w:tc>
          <w:tcPr>
            <w:tcW w:w="2621" w:type="dxa"/>
            <w:shd w:val="clear" w:color="auto" w:fill="FFFFFF" w:themeFill="background1"/>
            <w:tcMar>
              <w:top w:w="0" w:type="dxa"/>
              <w:left w:w="85" w:type="dxa"/>
              <w:bottom w:w="0" w:type="dxa"/>
              <w:right w:w="57" w:type="dxa"/>
            </w:tcMar>
          </w:tcPr>
          <w:p w14:paraId="717BB4E1" w14:textId="77777777" w:rsidR="005D02EF" w:rsidRPr="009E06AA" w:rsidRDefault="005D02EF" w:rsidP="00B55F24">
            <w:pPr>
              <w:pStyle w:val="TableText"/>
              <w:spacing w:before="30" w:after="30"/>
            </w:pPr>
            <w:r w:rsidRPr="009E06AA">
              <w:t>NA</w:t>
            </w:r>
          </w:p>
        </w:tc>
      </w:tr>
      <w:tr w:rsidR="005D02EF" w:rsidRPr="009E06AA" w14:paraId="47803B76" w14:textId="77777777" w:rsidTr="00271345">
        <w:tc>
          <w:tcPr>
            <w:tcW w:w="709" w:type="dxa"/>
            <w:shd w:val="clear" w:color="auto" w:fill="FFFFFF" w:themeFill="background1"/>
            <w:tcMar>
              <w:top w:w="0" w:type="dxa"/>
              <w:left w:w="85" w:type="dxa"/>
              <w:bottom w:w="0" w:type="dxa"/>
              <w:right w:w="57" w:type="dxa"/>
            </w:tcMar>
          </w:tcPr>
          <w:p w14:paraId="22A5B1C1" w14:textId="77777777" w:rsidR="005D02EF" w:rsidRPr="009E06AA" w:rsidRDefault="005D02EF" w:rsidP="00B55F24">
            <w:pPr>
              <w:pStyle w:val="TableText"/>
              <w:spacing w:before="30" w:after="30"/>
            </w:pPr>
            <w:r w:rsidRPr="009E06AA">
              <w:rPr>
                <w:rFonts w:eastAsia="Calibri"/>
                <w:color w:val="000000"/>
              </w:rPr>
              <w:t>L.7</w:t>
            </w:r>
          </w:p>
        </w:tc>
        <w:tc>
          <w:tcPr>
            <w:tcW w:w="2126" w:type="dxa"/>
            <w:shd w:val="clear" w:color="auto" w:fill="FFFFFF" w:themeFill="background1"/>
            <w:tcMar>
              <w:top w:w="0" w:type="dxa"/>
              <w:left w:w="85" w:type="dxa"/>
              <w:bottom w:w="0" w:type="dxa"/>
              <w:right w:w="57" w:type="dxa"/>
            </w:tcMar>
          </w:tcPr>
          <w:p w14:paraId="49A0F49B" w14:textId="77777777" w:rsidR="005D02EF" w:rsidRPr="009E06AA" w:rsidRDefault="005D02EF" w:rsidP="00B55F24">
            <w:pPr>
              <w:pStyle w:val="TableText"/>
              <w:spacing w:before="30" w:after="30"/>
            </w:pPr>
            <w:r w:rsidRPr="009E06AA">
              <w:rPr>
                <w:rFonts w:eastAsia="Calibri"/>
                <w:color w:val="000000"/>
              </w:rPr>
              <w:t>4.A.1 Forest land remaining forest land – CO₂ (L.11, 2021) (L.4, 2019) (L.5, 2017) Accuracy</w:t>
            </w:r>
          </w:p>
        </w:tc>
        <w:tc>
          <w:tcPr>
            <w:tcW w:w="3686" w:type="dxa"/>
            <w:shd w:val="clear" w:color="auto" w:fill="FFFFFF" w:themeFill="background1"/>
            <w:tcMar>
              <w:top w:w="0" w:type="dxa"/>
              <w:left w:w="85" w:type="dxa"/>
              <w:bottom w:w="0" w:type="dxa"/>
              <w:right w:w="57" w:type="dxa"/>
            </w:tcMar>
          </w:tcPr>
          <w:p w14:paraId="3ED4C0B1" w14:textId="77777777" w:rsidR="005D02EF" w:rsidRPr="009E06AA" w:rsidRDefault="005D02EF" w:rsidP="00B55F24">
            <w:pPr>
              <w:pStyle w:val="TableText"/>
              <w:spacing w:before="30" w:after="30"/>
            </w:pPr>
            <w:r w:rsidRPr="009E06AA">
              <w:rPr>
                <w:rFonts w:eastAsia="Calibri"/>
                <w:color w:val="000000"/>
              </w:rPr>
              <w:t>Update the below-ground biomass ratios, noting that choosing a value above the median in the range of 9–33 per cent without further documentation entails the risk of overestimation of removals from forest land remaining forest land, or, if that update is not possible, report in the NIR on the progress on the ongoing work to update the below-ground biomass ratios.</w:t>
            </w:r>
          </w:p>
        </w:tc>
        <w:tc>
          <w:tcPr>
            <w:tcW w:w="4806" w:type="dxa"/>
            <w:shd w:val="clear" w:color="auto" w:fill="FFFFFF" w:themeFill="background1"/>
            <w:tcMar>
              <w:top w:w="0" w:type="dxa"/>
              <w:left w:w="85" w:type="dxa"/>
              <w:bottom w:w="0" w:type="dxa"/>
              <w:right w:w="57" w:type="dxa"/>
            </w:tcMar>
          </w:tcPr>
          <w:p w14:paraId="02F10CBD" w14:textId="77777777" w:rsidR="005D02EF" w:rsidRPr="009E06AA" w:rsidRDefault="005D02EF" w:rsidP="00B55F24">
            <w:pPr>
              <w:pStyle w:val="TableText"/>
              <w:spacing w:before="30" w:after="30"/>
            </w:pPr>
            <w:r w:rsidRPr="009E06AA">
              <w:rPr>
                <w:rFonts w:eastAsia="Calibri"/>
                <w:color w:val="000000"/>
              </w:rPr>
              <w:t>Resolved. The Party reported below-ground biomass ratios in its NIR (vol. 2, table A3.2.10, p.87) that were updated on the basis of peer-reviewed literature (Easdale et al., 2019).</w:t>
            </w:r>
          </w:p>
        </w:tc>
        <w:tc>
          <w:tcPr>
            <w:tcW w:w="2621" w:type="dxa"/>
            <w:shd w:val="clear" w:color="auto" w:fill="FFFFFF" w:themeFill="background1"/>
            <w:tcMar>
              <w:top w:w="0" w:type="dxa"/>
              <w:left w:w="85" w:type="dxa"/>
              <w:bottom w:w="0" w:type="dxa"/>
              <w:right w:w="57" w:type="dxa"/>
            </w:tcMar>
          </w:tcPr>
          <w:p w14:paraId="7482583E" w14:textId="77777777" w:rsidR="005D02EF" w:rsidRPr="009E06AA" w:rsidRDefault="005D02EF" w:rsidP="00B55F24">
            <w:pPr>
              <w:pStyle w:val="TableText"/>
              <w:spacing w:before="30" w:after="30"/>
            </w:pPr>
            <w:r w:rsidRPr="009E06AA">
              <w:t>NA</w:t>
            </w:r>
          </w:p>
        </w:tc>
      </w:tr>
      <w:tr w:rsidR="005D02EF" w:rsidRPr="009E06AA" w14:paraId="385E5C9D" w14:textId="77777777" w:rsidTr="00271345">
        <w:tc>
          <w:tcPr>
            <w:tcW w:w="709" w:type="dxa"/>
            <w:shd w:val="clear" w:color="auto" w:fill="FFFFFF" w:themeFill="background1"/>
            <w:tcMar>
              <w:top w:w="0" w:type="dxa"/>
              <w:left w:w="85" w:type="dxa"/>
              <w:bottom w:w="0" w:type="dxa"/>
              <w:right w:w="57" w:type="dxa"/>
            </w:tcMar>
          </w:tcPr>
          <w:p w14:paraId="1D75EEDE" w14:textId="77777777" w:rsidR="005D02EF" w:rsidRPr="009E06AA" w:rsidRDefault="005D02EF" w:rsidP="00B55F24">
            <w:pPr>
              <w:pStyle w:val="TableText"/>
              <w:spacing w:before="30" w:after="30"/>
            </w:pPr>
            <w:r w:rsidRPr="009E06AA">
              <w:rPr>
                <w:rFonts w:eastAsia="Calibri"/>
                <w:color w:val="000000"/>
              </w:rPr>
              <w:t>L.8</w:t>
            </w:r>
          </w:p>
        </w:tc>
        <w:tc>
          <w:tcPr>
            <w:tcW w:w="2126" w:type="dxa"/>
            <w:shd w:val="clear" w:color="auto" w:fill="FFFFFF" w:themeFill="background1"/>
            <w:tcMar>
              <w:top w:w="0" w:type="dxa"/>
              <w:left w:w="85" w:type="dxa"/>
              <w:bottom w:w="0" w:type="dxa"/>
              <w:right w:w="57" w:type="dxa"/>
            </w:tcMar>
          </w:tcPr>
          <w:p w14:paraId="50597BAF" w14:textId="77777777" w:rsidR="005D02EF" w:rsidRPr="009E06AA" w:rsidRDefault="005D02EF" w:rsidP="00B55F24">
            <w:pPr>
              <w:pStyle w:val="TableText"/>
              <w:spacing w:before="30" w:after="30"/>
            </w:pPr>
            <w:r w:rsidRPr="009E06AA">
              <w:rPr>
                <w:rFonts w:eastAsia="Calibri"/>
                <w:color w:val="000000"/>
              </w:rPr>
              <w:t>4.A.1 Forest land remaining forest land – CO₂ (L.12, 2021) (L.18, 2019) Completeness</w:t>
            </w:r>
          </w:p>
        </w:tc>
        <w:tc>
          <w:tcPr>
            <w:tcW w:w="3686" w:type="dxa"/>
            <w:shd w:val="clear" w:color="auto" w:fill="FFFFFF" w:themeFill="background1"/>
            <w:tcMar>
              <w:top w:w="0" w:type="dxa"/>
              <w:left w:w="85" w:type="dxa"/>
              <w:bottom w:w="0" w:type="dxa"/>
              <w:right w:w="57" w:type="dxa"/>
            </w:tcMar>
          </w:tcPr>
          <w:p w14:paraId="13EADBE4" w14:textId="77777777" w:rsidR="005D02EF" w:rsidRPr="009E06AA" w:rsidRDefault="005D02EF" w:rsidP="00B55F24">
            <w:pPr>
              <w:pStyle w:val="TableText"/>
              <w:spacing w:before="30" w:after="30"/>
            </w:pPr>
            <w:r w:rsidRPr="009E06AA">
              <w:rPr>
                <w:rFonts w:eastAsia="Calibri"/>
                <w:color w:val="000000"/>
              </w:rPr>
              <w:t>Report estimates of above-ground biomass CSCs, noting that those estimates should include all gains and losses in tall natural forest remaining tall natural forest; however, carbon stock losses as a result of stand-replacing disturbances (such as storms or destructive wildfires) that lead to a subsequent regeneration of the natural forest, and carbon stock gains up to the average carbon stock of tall forests, should be reported within the regenerating natural forest category, including the entire transition of regenerating natural forest to tall natural forest.</w:t>
            </w:r>
          </w:p>
        </w:tc>
        <w:tc>
          <w:tcPr>
            <w:tcW w:w="4806" w:type="dxa"/>
            <w:shd w:val="clear" w:color="auto" w:fill="FFFFFF" w:themeFill="background1"/>
            <w:tcMar>
              <w:top w:w="0" w:type="dxa"/>
              <w:left w:w="85" w:type="dxa"/>
              <w:bottom w:w="0" w:type="dxa"/>
              <w:right w:w="57" w:type="dxa"/>
            </w:tcMar>
          </w:tcPr>
          <w:p w14:paraId="34028236" w14:textId="77777777" w:rsidR="005D02EF" w:rsidRPr="009E06AA" w:rsidRDefault="005D02EF" w:rsidP="00B55F24">
            <w:pPr>
              <w:pStyle w:val="TableText"/>
              <w:spacing w:before="30" w:after="30"/>
            </w:pPr>
            <w:r w:rsidRPr="009E06AA">
              <w:rPr>
                <w:rFonts w:eastAsia="Calibri"/>
                <w:color w:val="000000"/>
              </w:rPr>
              <w:t>Resolved. The Party reported in its NIR (p.88) and in CRF table 4.A estimates of CSC for tall and regenerating forests.</w:t>
            </w:r>
          </w:p>
        </w:tc>
        <w:tc>
          <w:tcPr>
            <w:tcW w:w="2621" w:type="dxa"/>
            <w:shd w:val="clear" w:color="auto" w:fill="FFFFFF" w:themeFill="background1"/>
            <w:tcMar>
              <w:top w:w="0" w:type="dxa"/>
              <w:left w:w="85" w:type="dxa"/>
              <w:bottom w:w="0" w:type="dxa"/>
              <w:right w:w="57" w:type="dxa"/>
            </w:tcMar>
          </w:tcPr>
          <w:p w14:paraId="5F4A16ED" w14:textId="77777777" w:rsidR="005D02EF" w:rsidRPr="009E06AA" w:rsidRDefault="005D02EF" w:rsidP="00B55F24">
            <w:pPr>
              <w:pStyle w:val="TableText"/>
              <w:spacing w:before="30" w:after="30"/>
            </w:pPr>
            <w:r w:rsidRPr="009E06AA">
              <w:t>NA</w:t>
            </w:r>
          </w:p>
        </w:tc>
      </w:tr>
      <w:tr w:rsidR="005D02EF" w:rsidRPr="009E06AA" w14:paraId="2F27C413" w14:textId="77777777" w:rsidTr="00271345">
        <w:tc>
          <w:tcPr>
            <w:tcW w:w="709" w:type="dxa"/>
            <w:shd w:val="clear" w:color="auto" w:fill="FFFFFF" w:themeFill="background1"/>
            <w:tcMar>
              <w:top w:w="0" w:type="dxa"/>
              <w:left w:w="85" w:type="dxa"/>
              <w:bottom w:w="0" w:type="dxa"/>
              <w:right w:w="57" w:type="dxa"/>
            </w:tcMar>
          </w:tcPr>
          <w:p w14:paraId="1713B6B3" w14:textId="77777777" w:rsidR="005D02EF" w:rsidRPr="009E06AA" w:rsidRDefault="005D02EF" w:rsidP="00B55F24">
            <w:pPr>
              <w:pStyle w:val="TableText"/>
              <w:spacing w:before="30" w:after="30"/>
            </w:pPr>
            <w:r w:rsidRPr="009E06AA">
              <w:rPr>
                <w:rFonts w:eastAsia="Calibri"/>
                <w:color w:val="000000"/>
              </w:rPr>
              <w:t>L.9</w:t>
            </w:r>
          </w:p>
        </w:tc>
        <w:tc>
          <w:tcPr>
            <w:tcW w:w="2126" w:type="dxa"/>
            <w:shd w:val="clear" w:color="auto" w:fill="FFFFFF" w:themeFill="background1"/>
            <w:tcMar>
              <w:top w:w="0" w:type="dxa"/>
              <w:left w:w="85" w:type="dxa"/>
              <w:bottom w:w="0" w:type="dxa"/>
              <w:right w:w="57" w:type="dxa"/>
            </w:tcMar>
          </w:tcPr>
          <w:p w14:paraId="6A54A553" w14:textId="77777777" w:rsidR="005D02EF" w:rsidRPr="009E06AA" w:rsidRDefault="005D02EF" w:rsidP="00B55F24">
            <w:pPr>
              <w:pStyle w:val="TableText"/>
              <w:spacing w:before="30" w:after="30"/>
            </w:pPr>
            <w:r w:rsidRPr="009E06AA">
              <w:rPr>
                <w:rFonts w:eastAsia="Calibri"/>
                <w:color w:val="000000"/>
              </w:rPr>
              <w:t>4.A.1 Forest land remaining forest land – CO₂ (L.13, 2021) (L.19, 2019) Accuracy</w:t>
            </w:r>
          </w:p>
        </w:tc>
        <w:tc>
          <w:tcPr>
            <w:tcW w:w="3686" w:type="dxa"/>
            <w:shd w:val="clear" w:color="auto" w:fill="FFFFFF" w:themeFill="background1"/>
            <w:tcMar>
              <w:top w:w="0" w:type="dxa"/>
              <w:left w:w="85" w:type="dxa"/>
              <w:bottom w:w="0" w:type="dxa"/>
              <w:right w:w="57" w:type="dxa"/>
            </w:tcMar>
          </w:tcPr>
          <w:p w14:paraId="4C57591D" w14:textId="77777777" w:rsidR="005D02EF" w:rsidRPr="009E06AA" w:rsidRDefault="005D02EF" w:rsidP="00B55F24">
            <w:pPr>
              <w:pStyle w:val="TableText"/>
              <w:spacing w:before="30" w:after="30"/>
            </w:pPr>
            <w:r w:rsidRPr="009E06AA">
              <w:rPr>
                <w:rFonts w:eastAsia="Calibri"/>
                <w:color w:val="000000"/>
              </w:rPr>
              <w:t>Provide evidence that national circumstances make the collection of data on SOC in mineral soils and on its variation across time in forest land remaining forest land impracticable or, if this is not possible, plan activities to be implemented in the next few years to collect the data needed to apply a tier 2 method to estimate SOC changes in mineral soils of tall natural forest remaining tall natural forest.</w:t>
            </w:r>
          </w:p>
        </w:tc>
        <w:tc>
          <w:tcPr>
            <w:tcW w:w="4806" w:type="dxa"/>
            <w:shd w:val="clear" w:color="auto" w:fill="FFFFFF" w:themeFill="background1"/>
            <w:tcMar>
              <w:top w:w="0" w:type="dxa"/>
              <w:left w:w="85" w:type="dxa"/>
              <w:bottom w:w="0" w:type="dxa"/>
              <w:right w:w="57" w:type="dxa"/>
            </w:tcMar>
          </w:tcPr>
          <w:p w14:paraId="4E027FF5" w14:textId="77777777" w:rsidR="005D02EF" w:rsidRPr="009E06AA" w:rsidRDefault="005D02EF" w:rsidP="00B55F24">
            <w:pPr>
              <w:pStyle w:val="TableText"/>
              <w:spacing w:before="30" w:after="30"/>
            </w:pPr>
            <w:r w:rsidRPr="009E06AA">
              <w:rPr>
                <w:rFonts w:eastAsia="Calibri"/>
                <w:color w:val="000000"/>
              </w:rPr>
              <w:t>Resolved. The Party reported in its NIR (pp.397–398) that undertaking a robust study to collect this information would likely cost between NZD 400,000 and 600,000/year. At a minimum, this is more than five times the annual research budget for the LULUCF sector. In line with guidance in the 2006 IPCC Guidelines (vol. 4, chap. 2, figure 2.4), there are insufficient resources to implement such research in the near future. To do so would require a significant increase in funding. During the review, the Party clarified that it recently assigned a multi-year budget to conduct work on improving mineral soil estimates. However, results will not be available for reporting purposes for several years yet.</w:t>
            </w:r>
          </w:p>
        </w:tc>
        <w:tc>
          <w:tcPr>
            <w:tcW w:w="2621" w:type="dxa"/>
            <w:shd w:val="clear" w:color="auto" w:fill="FFFFFF" w:themeFill="background1"/>
            <w:tcMar>
              <w:top w:w="0" w:type="dxa"/>
              <w:left w:w="85" w:type="dxa"/>
              <w:bottom w:w="0" w:type="dxa"/>
              <w:right w:w="57" w:type="dxa"/>
            </w:tcMar>
          </w:tcPr>
          <w:p w14:paraId="50F3AC59" w14:textId="77777777" w:rsidR="005D02EF" w:rsidRPr="009E06AA" w:rsidRDefault="005D02EF" w:rsidP="00B55F24">
            <w:pPr>
              <w:pStyle w:val="TableText"/>
              <w:spacing w:before="30" w:after="30"/>
            </w:pPr>
            <w:r w:rsidRPr="009E06AA">
              <w:t>NA</w:t>
            </w:r>
          </w:p>
        </w:tc>
      </w:tr>
      <w:tr w:rsidR="005D02EF" w:rsidRPr="009E06AA" w14:paraId="644E09D0" w14:textId="77777777" w:rsidTr="00271345">
        <w:tc>
          <w:tcPr>
            <w:tcW w:w="709" w:type="dxa"/>
            <w:shd w:val="clear" w:color="auto" w:fill="FFFFFF" w:themeFill="background1"/>
            <w:tcMar>
              <w:top w:w="0" w:type="dxa"/>
              <w:left w:w="85" w:type="dxa"/>
              <w:bottom w:w="0" w:type="dxa"/>
              <w:right w:w="57" w:type="dxa"/>
            </w:tcMar>
          </w:tcPr>
          <w:p w14:paraId="2399DC67" w14:textId="77777777" w:rsidR="005D02EF" w:rsidRPr="009E06AA" w:rsidRDefault="005D02EF" w:rsidP="00B55F24">
            <w:pPr>
              <w:pStyle w:val="TableText"/>
              <w:spacing w:before="30" w:after="30"/>
            </w:pPr>
            <w:r w:rsidRPr="009E06AA">
              <w:rPr>
                <w:rFonts w:eastAsia="Calibri"/>
                <w:color w:val="000000"/>
              </w:rPr>
              <w:t>L.10</w:t>
            </w:r>
          </w:p>
        </w:tc>
        <w:tc>
          <w:tcPr>
            <w:tcW w:w="2126" w:type="dxa"/>
            <w:shd w:val="clear" w:color="auto" w:fill="FFFFFF" w:themeFill="background1"/>
            <w:tcMar>
              <w:top w:w="0" w:type="dxa"/>
              <w:left w:w="85" w:type="dxa"/>
              <w:bottom w:w="0" w:type="dxa"/>
              <w:right w:w="57" w:type="dxa"/>
            </w:tcMar>
          </w:tcPr>
          <w:p w14:paraId="60A92A8A" w14:textId="77777777" w:rsidR="005D02EF" w:rsidRPr="009E06AA" w:rsidRDefault="005D02EF" w:rsidP="00B55F24">
            <w:pPr>
              <w:pStyle w:val="TableText"/>
              <w:spacing w:before="30" w:after="30"/>
            </w:pPr>
            <w:r w:rsidRPr="009E06AA">
              <w:rPr>
                <w:rFonts w:eastAsia="Calibri"/>
                <w:color w:val="000000"/>
              </w:rPr>
              <w:t>4.A.2 Land converted to forest land – N₂O (L.14, 2021) (L.20, 2019) Transparency</w:t>
            </w:r>
          </w:p>
        </w:tc>
        <w:tc>
          <w:tcPr>
            <w:tcW w:w="3686" w:type="dxa"/>
            <w:shd w:val="clear" w:color="auto" w:fill="FFFFFF" w:themeFill="background1"/>
            <w:tcMar>
              <w:top w:w="0" w:type="dxa"/>
              <w:left w:w="85" w:type="dxa"/>
              <w:bottom w:w="0" w:type="dxa"/>
              <w:right w:w="57" w:type="dxa"/>
            </w:tcMar>
          </w:tcPr>
          <w:p w14:paraId="54D1E924" w14:textId="77777777" w:rsidR="005D02EF" w:rsidRPr="009E06AA" w:rsidRDefault="005D02EF" w:rsidP="00B55F24">
            <w:pPr>
              <w:pStyle w:val="TableText"/>
              <w:spacing w:before="30" w:after="30"/>
            </w:pPr>
            <w:r w:rsidRPr="009E06AA">
              <w:rPr>
                <w:rFonts w:eastAsia="Calibri"/>
                <w:color w:val="000000"/>
              </w:rPr>
              <w:t>Report disaggregated information for the two subcategories of post-1989 natural forest and post-1989 plantations.</w:t>
            </w:r>
          </w:p>
        </w:tc>
        <w:tc>
          <w:tcPr>
            <w:tcW w:w="4806" w:type="dxa"/>
            <w:shd w:val="clear" w:color="auto" w:fill="FFFFFF" w:themeFill="background1"/>
            <w:tcMar>
              <w:top w:w="0" w:type="dxa"/>
              <w:left w:w="85" w:type="dxa"/>
              <w:bottom w:w="0" w:type="dxa"/>
              <w:right w:w="57" w:type="dxa"/>
            </w:tcMar>
          </w:tcPr>
          <w:p w14:paraId="13E9F155" w14:textId="77777777" w:rsidR="005D02EF" w:rsidRPr="009E06AA" w:rsidRDefault="005D02EF" w:rsidP="00B55F24">
            <w:pPr>
              <w:pStyle w:val="TableText"/>
              <w:spacing w:before="30" w:after="30"/>
            </w:pPr>
            <w:r w:rsidRPr="009E06AA">
              <w:rPr>
                <w:rFonts w:eastAsia="Calibri"/>
                <w:color w:val="000000"/>
              </w:rPr>
              <w:t>Not resolved. The Party reported in CRF table 4(III) information on N₂O emissions from land converted to forest land but that information was not disaggregated by forest type. During the review, New Zealand stated that it has identified a solution to disaggregate reporting in CRF table 4(III) and it is currently determining whether it could be implemented in time for the 2023 submission. The ERT considers that the recommendation has not yet been addressed because the Party has not yet reported in CRF table 4(III) information on land converted to forest land disaggregated by forest type.</w:t>
            </w:r>
          </w:p>
        </w:tc>
        <w:tc>
          <w:tcPr>
            <w:tcW w:w="2621" w:type="dxa"/>
            <w:shd w:val="clear" w:color="auto" w:fill="FFFFFF" w:themeFill="background1"/>
            <w:tcMar>
              <w:top w:w="0" w:type="dxa"/>
              <w:left w:w="85" w:type="dxa"/>
              <w:bottom w:w="0" w:type="dxa"/>
              <w:right w:w="57" w:type="dxa"/>
            </w:tcMar>
          </w:tcPr>
          <w:p w14:paraId="10DC08E6" w14:textId="77777777" w:rsidR="005D02EF" w:rsidRPr="009E06AA" w:rsidRDefault="005D02EF" w:rsidP="00B55F24">
            <w:pPr>
              <w:pStyle w:val="TableText"/>
              <w:spacing w:before="30" w:after="30"/>
            </w:pPr>
            <w:r w:rsidRPr="009E06AA">
              <w:rPr>
                <w:b/>
              </w:rPr>
              <w:t>Not resolved</w:t>
            </w:r>
            <w:r w:rsidRPr="009E06AA">
              <w:t>. New Zealand was unable to implement a solution to disaggregate this information by forest type. A solution will be sought upon development of the new ETF reporting tools.</w:t>
            </w:r>
          </w:p>
        </w:tc>
      </w:tr>
      <w:tr w:rsidR="005D02EF" w:rsidRPr="009E06AA" w14:paraId="07191108" w14:textId="77777777" w:rsidTr="00271345">
        <w:tc>
          <w:tcPr>
            <w:tcW w:w="709" w:type="dxa"/>
            <w:shd w:val="clear" w:color="auto" w:fill="FFFFFF" w:themeFill="background1"/>
            <w:tcMar>
              <w:top w:w="0" w:type="dxa"/>
              <w:left w:w="85" w:type="dxa"/>
              <w:bottom w:w="0" w:type="dxa"/>
              <w:right w:w="57" w:type="dxa"/>
            </w:tcMar>
          </w:tcPr>
          <w:p w14:paraId="20DB5B7D" w14:textId="77777777" w:rsidR="005D02EF" w:rsidRPr="009E06AA" w:rsidRDefault="005D02EF" w:rsidP="00B55F24">
            <w:pPr>
              <w:pStyle w:val="TableText"/>
              <w:spacing w:before="30" w:after="30"/>
            </w:pPr>
            <w:r w:rsidRPr="009E06AA">
              <w:rPr>
                <w:rFonts w:eastAsia="Calibri"/>
                <w:color w:val="000000"/>
              </w:rPr>
              <w:t>L.11</w:t>
            </w:r>
          </w:p>
        </w:tc>
        <w:tc>
          <w:tcPr>
            <w:tcW w:w="2126" w:type="dxa"/>
            <w:shd w:val="clear" w:color="auto" w:fill="FFFFFF" w:themeFill="background1"/>
            <w:tcMar>
              <w:top w:w="0" w:type="dxa"/>
              <w:left w:w="85" w:type="dxa"/>
              <w:bottom w:w="0" w:type="dxa"/>
              <w:right w:w="57" w:type="dxa"/>
            </w:tcMar>
          </w:tcPr>
          <w:p w14:paraId="1A51859B" w14:textId="77777777" w:rsidR="005D02EF" w:rsidRPr="009E06AA" w:rsidRDefault="005D02EF" w:rsidP="00B55F24">
            <w:pPr>
              <w:pStyle w:val="TableText"/>
              <w:spacing w:before="30" w:after="30"/>
            </w:pPr>
            <w:r w:rsidRPr="009E06AA">
              <w:rPr>
                <w:rFonts w:eastAsia="Calibri"/>
                <w:color w:val="000000"/>
              </w:rPr>
              <w:t>4.B.1 Cropland remaining cropland – CO₂ (L.15, 2021) (L.21, 2019) Completeness</w:t>
            </w:r>
          </w:p>
        </w:tc>
        <w:tc>
          <w:tcPr>
            <w:tcW w:w="3686" w:type="dxa"/>
            <w:shd w:val="clear" w:color="auto" w:fill="FFFFFF" w:themeFill="background1"/>
            <w:tcMar>
              <w:top w:w="0" w:type="dxa"/>
              <w:left w:w="85" w:type="dxa"/>
              <w:bottom w:w="0" w:type="dxa"/>
              <w:right w:w="57" w:type="dxa"/>
            </w:tcMar>
          </w:tcPr>
          <w:p w14:paraId="447F51D1" w14:textId="77777777" w:rsidR="005D02EF" w:rsidRPr="009E06AA" w:rsidRDefault="005D02EF" w:rsidP="00B55F24">
            <w:pPr>
              <w:pStyle w:val="TableText"/>
              <w:spacing w:before="30" w:after="30"/>
            </w:pPr>
            <w:r w:rsidRPr="009E06AA">
              <w:rPr>
                <w:rFonts w:eastAsia="Calibri"/>
                <w:color w:val="000000"/>
              </w:rPr>
              <w:t>Identify the main subdivisions for New Zealand’s perennial cropland on the basis of the harvesting cycle and the biomass carbon stock at the end of the harvesting cycle, and build an age–class distribution for each subdivision; estimate and report annual biomass carbon stock gains and losses accordingly; and report the estimation and all additional information in the NIR.</w:t>
            </w:r>
          </w:p>
        </w:tc>
        <w:tc>
          <w:tcPr>
            <w:tcW w:w="4806" w:type="dxa"/>
            <w:shd w:val="clear" w:color="auto" w:fill="FFFFFF" w:themeFill="background1"/>
            <w:tcMar>
              <w:top w:w="0" w:type="dxa"/>
              <w:left w:w="85" w:type="dxa"/>
              <w:bottom w:w="0" w:type="dxa"/>
              <w:right w:w="57" w:type="dxa"/>
            </w:tcMar>
          </w:tcPr>
          <w:p w14:paraId="637295D7" w14:textId="77777777" w:rsidR="005D02EF" w:rsidRPr="009E06AA" w:rsidRDefault="005D02EF" w:rsidP="00B55F24">
            <w:pPr>
              <w:pStyle w:val="TableText"/>
              <w:spacing w:before="30" w:after="30"/>
            </w:pPr>
            <w:r w:rsidRPr="009E06AA">
              <w:rPr>
                <w:rFonts w:eastAsia="Calibri"/>
                <w:color w:val="000000"/>
              </w:rPr>
              <w:t>Not resolved. The Party reported in its NIR (p.398) that emissions from cropland remaining cropland are low relative to those for other categories, such as forest land and harvested wood products. The category is therefore a low research priority and funding is unable to be directed to this at present. The ERT considers that the recommendation has not yet been addressed because the Party has not yet estimated CSCs in perennial biomass associated with the ageing and replanting of perennial crops. The ERT noted that the use of historical statistical data on perennial crop area allows for an age–class distribution to be built and used to estimate annual carbon stock gains and losses associated with the ageing of perennial crop plantations and the renewal of those at the end of the production cycle.</w:t>
            </w:r>
          </w:p>
        </w:tc>
        <w:tc>
          <w:tcPr>
            <w:tcW w:w="2621" w:type="dxa"/>
            <w:shd w:val="clear" w:color="auto" w:fill="FFFFFF" w:themeFill="background1"/>
            <w:tcMar>
              <w:top w:w="0" w:type="dxa"/>
              <w:left w:w="85" w:type="dxa"/>
              <w:bottom w:w="0" w:type="dxa"/>
              <w:right w:w="57" w:type="dxa"/>
            </w:tcMar>
          </w:tcPr>
          <w:p w14:paraId="3DEB4DEB" w14:textId="77777777" w:rsidR="005D02EF" w:rsidRPr="009E06AA" w:rsidRDefault="005D02EF" w:rsidP="00B55F24">
            <w:pPr>
              <w:pStyle w:val="TableText"/>
              <w:spacing w:before="30" w:after="30"/>
            </w:pPr>
            <w:r w:rsidRPr="009E06AA">
              <w:rPr>
                <w:b/>
                <w:bCs/>
              </w:rPr>
              <w:t>Not resolved</w:t>
            </w:r>
            <w:r w:rsidRPr="009E06AA">
              <w:t xml:space="preserve">. Emissions from </w:t>
            </w:r>
            <w:r w:rsidRPr="009E06AA">
              <w:rPr>
                <w:i/>
                <w:iCs/>
              </w:rPr>
              <w:t>Cropland remaining cropland</w:t>
            </w:r>
            <w:r w:rsidRPr="009E06AA">
              <w:t xml:space="preserve"> are low relative to those for other categories, such as </w:t>
            </w:r>
            <w:r w:rsidRPr="009E06AA">
              <w:rPr>
                <w:i/>
                <w:iCs/>
              </w:rPr>
              <w:t>Forest land</w:t>
            </w:r>
            <w:r w:rsidRPr="009E06AA">
              <w:t xml:space="preserve"> and </w:t>
            </w:r>
            <w:r w:rsidRPr="009E06AA">
              <w:rPr>
                <w:i/>
                <w:iCs/>
              </w:rPr>
              <w:t>Harvested wood products</w:t>
            </w:r>
            <w:r w:rsidRPr="009E06AA">
              <w:t>. The category is therefore a low research priority and funding is unable to be directed to this at present.</w:t>
            </w:r>
          </w:p>
        </w:tc>
      </w:tr>
      <w:tr w:rsidR="005D02EF" w:rsidRPr="009E06AA" w14:paraId="4BFF3593" w14:textId="77777777" w:rsidTr="00271345">
        <w:tc>
          <w:tcPr>
            <w:tcW w:w="709" w:type="dxa"/>
            <w:shd w:val="clear" w:color="auto" w:fill="FFFFFF" w:themeFill="background1"/>
            <w:tcMar>
              <w:top w:w="0" w:type="dxa"/>
              <w:left w:w="85" w:type="dxa"/>
              <w:bottom w:w="0" w:type="dxa"/>
              <w:right w:w="57" w:type="dxa"/>
            </w:tcMar>
          </w:tcPr>
          <w:p w14:paraId="67AF1F85" w14:textId="77777777" w:rsidR="005D02EF" w:rsidRPr="009E06AA" w:rsidRDefault="005D02EF" w:rsidP="00B55F24">
            <w:pPr>
              <w:pStyle w:val="TableText"/>
              <w:spacing w:before="30" w:after="30"/>
            </w:pPr>
            <w:r w:rsidRPr="009E06AA">
              <w:rPr>
                <w:rFonts w:eastAsia="Calibri"/>
                <w:color w:val="000000"/>
              </w:rPr>
              <w:t>L.12</w:t>
            </w:r>
          </w:p>
        </w:tc>
        <w:tc>
          <w:tcPr>
            <w:tcW w:w="2126" w:type="dxa"/>
            <w:shd w:val="clear" w:color="auto" w:fill="FFFFFF" w:themeFill="background1"/>
            <w:tcMar>
              <w:top w:w="0" w:type="dxa"/>
              <w:left w:w="85" w:type="dxa"/>
              <w:bottom w:w="0" w:type="dxa"/>
              <w:right w:w="57" w:type="dxa"/>
            </w:tcMar>
          </w:tcPr>
          <w:p w14:paraId="44591353" w14:textId="77777777" w:rsidR="005D02EF" w:rsidRPr="009E06AA" w:rsidRDefault="005D02EF" w:rsidP="00B55F24">
            <w:pPr>
              <w:pStyle w:val="TableText"/>
              <w:spacing w:before="30" w:after="30"/>
            </w:pPr>
            <w:r w:rsidRPr="009E06AA">
              <w:rPr>
                <w:rFonts w:eastAsia="Calibri"/>
                <w:color w:val="000000"/>
              </w:rPr>
              <w:t>4.B.1 Cropland remaining cropland – CO₂ (L.16, 2021) (L.22, 2019) Completeness</w:t>
            </w:r>
          </w:p>
        </w:tc>
        <w:tc>
          <w:tcPr>
            <w:tcW w:w="3686" w:type="dxa"/>
            <w:shd w:val="clear" w:color="auto" w:fill="FFFFFF" w:themeFill="background1"/>
            <w:tcMar>
              <w:top w:w="0" w:type="dxa"/>
              <w:left w:w="85" w:type="dxa"/>
              <w:bottom w:w="0" w:type="dxa"/>
              <w:right w:w="57" w:type="dxa"/>
            </w:tcMar>
          </w:tcPr>
          <w:p w14:paraId="2847211C" w14:textId="77777777" w:rsidR="005D02EF" w:rsidRPr="009E06AA" w:rsidRDefault="005D02EF" w:rsidP="00B55F24">
            <w:pPr>
              <w:pStyle w:val="TableText"/>
              <w:spacing w:before="30" w:after="30"/>
            </w:pPr>
            <w:r w:rsidRPr="009E06AA">
              <w:rPr>
                <w:rFonts w:eastAsia="Calibri"/>
                <w:color w:val="000000"/>
              </w:rPr>
              <w:t>Plan the activities needed to collect data and prepare estimates of SOC changes in cropland associated with changes in management practices.</w:t>
            </w:r>
          </w:p>
        </w:tc>
        <w:tc>
          <w:tcPr>
            <w:tcW w:w="4806" w:type="dxa"/>
            <w:shd w:val="clear" w:color="auto" w:fill="FFFFFF" w:themeFill="background1"/>
            <w:tcMar>
              <w:top w:w="0" w:type="dxa"/>
              <w:left w:w="85" w:type="dxa"/>
              <w:bottom w:w="0" w:type="dxa"/>
              <w:right w:w="57" w:type="dxa"/>
            </w:tcMar>
          </w:tcPr>
          <w:p w14:paraId="4BCDED5D" w14:textId="77777777" w:rsidR="005D02EF" w:rsidRPr="009E06AA" w:rsidRDefault="005D02EF" w:rsidP="00B55F24">
            <w:pPr>
              <w:pStyle w:val="TableText"/>
              <w:spacing w:before="30" w:after="30"/>
            </w:pPr>
            <w:r w:rsidRPr="009E06AA">
              <w:rPr>
                <w:rFonts w:eastAsia="Calibri"/>
                <w:color w:val="000000"/>
              </w:rPr>
              <w:t>Addressing. The Party reported in its NIR (p.271) that a longitudinal study on the impact of management practices on grassland and cropland soils is under way. Time-series data on a network of 500 soil sample plots over 12 years will be collected, but the data are not expected to be available for several years. During the review, New Zealand clarified that the baseline data for this study will be collected by 2023/2024 and that the 12-year timeline is for the resampling of those 500 sample plots, which will inform and refine estimates of SOC changes within one land use over time. New Zealand also clarified that it aims to use these baseline data to improve its mineral SOC stock change estimates for all agricultural land uses by its 2026 submission, and that improvements to its reporting on management practices may also be made before the resampled data are available. The ERT considers that the recommendation has not yet been fully addressed because, while the Party has secured dedicated funding and commenced a multi-year research programme, it has not yet collected the necessary data to estimate and report SOC changes in mineral soils associated with agricultural management changes as required for the IPCC default methodology for cropland remaining cropland.</w:t>
            </w:r>
          </w:p>
        </w:tc>
        <w:tc>
          <w:tcPr>
            <w:tcW w:w="2621" w:type="dxa"/>
            <w:shd w:val="clear" w:color="auto" w:fill="FFFFFF" w:themeFill="background1"/>
            <w:tcMar>
              <w:top w:w="0" w:type="dxa"/>
              <w:left w:w="85" w:type="dxa"/>
              <w:bottom w:w="0" w:type="dxa"/>
              <w:right w:w="57" w:type="dxa"/>
            </w:tcMar>
          </w:tcPr>
          <w:p w14:paraId="3617D97C" w14:textId="77777777" w:rsidR="005D02EF" w:rsidRPr="009E06AA" w:rsidRDefault="005D02EF" w:rsidP="00B55F24">
            <w:pPr>
              <w:pStyle w:val="TableText"/>
              <w:spacing w:before="30" w:after="30"/>
            </w:pPr>
            <w:r w:rsidRPr="009E06AA">
              <w:rPr>
                <w:b/>
                <w:bCs/>
              </w:rPr>
              <w:t>Addressing</w:t>
            </w:r>
            <w:r w:rsidRPr="009E06AA">
              <w:t>. A longitudinal agricultural land soils study is currently under way. The collection of baseline data for the national 500 soils programme will be completed by 2023/24 and a 12-year timeline for resampling the 500 sites will inform and refine estimates of change through time within one land use. New Zealand also aims to improve mineral SOC stock change estimates for all agricultural land uses with the baseline data by the 2026 submission.</w:t>
            </w:r>
          </w:p>
        </w:tc>
      </w:tr>
      <w:tr w:rsidR="005D02EF" w:rsidRPr="009E06AA" w14:paraId="535CBBE9" w14:textId="77777777" w:rsidTr="00271345">
        <w:tc>
          <w:tcPr>
            <w:tcW w:w="709" w:type="dxa"/>
            <w:shd w:val="clear" w:color="auto" w:fill="FFFFFF" w:themeFill="background1"/>
            <w:tcMar>
              <w:top w:w="0" w:type="dxa"/>
              <w:left w:w="85" w:type="dxa"/>
              <w:bottom w:w="0" w:type="dxa"/>
              <w:right w:w="57" w:type="dxa"/>
            </w:tcMar>
          </w:tcPr>
          <w:p w14:paraId="18B725D7" w14:textId="77777777" w:rsidR="005D02EF" w:rsidRPr="009E06AA" w:rsidRDefault="005D02EF" w:rsidP="00B55F24">
            <w:pPr>
              <w:pStyle w:val="TableText"/>
              <w:spacing w:before="30" w:after="30"/>
            </w:pPr>
            <w:r w:rsidRPr="009E06AA">
              <w:rPr>
                <w:rFonts w:eastAsia="Calibri"/>
                <w:color w:val="000000"/>
              </w:rPr>
              <w:t>L.13</w:t>
            </w:r>
          </w:p>
        </w:tc>
        <w:tc>
          <w:tcPr>
            <w:tcW w:w="2126" w:type="dxa"/>
            <w:shd w:val="clear" w:color="auto" w:fill="FFFFFF" w:themeFill="background1"/>
            <w:tcMar>
              <w:top w:w="0" w:type="dxa"/>
              <w:left w:w="85" w:type="dxa"/>
              <w:bottom w:w="0" w:type="dxa"/>
              <w:right w:w="57" w:type="dxa"/>
            </w:tcMar>
          </w:tcPr>
          <w:p w14:paraId="45336FFD" w14:textId="77777777" w:rsidR="005D02EF" w:rsidRPr="009E06AA" w:rsidRDefault="005D02EF" w:rsidP="00B55F24">
            <w:pPr>
              <w:pStyle w:val="TableText"/>
              <w:spacing w:before="30" w:after="30"/>
            </w:pPr>
            <w:r w:rsidRPr="009E06AA">
              <w:rPr>
                <w:rFonts w:eastAsia="Calibri"/>
                <w:color w:val="000000"/>
              </w:rPr>
              <w:t>4.C.2 Land converted to grassland – CO₂ (L.17, 2021) (L.23, 2019) Convention reporting adherence</w:t>
            </w:r>
          </w:p>
        </w:tc>
        <w:tc>
          <w:tcPr>
            <w:tcW w:w="3686" w:type="dxa"/>
            <w:shd w:val="clear" w:color="auto" w:fill="FFFFFF" w:themeFill="background1"/>
            <w:tcMar>
              <w:top w:w="0" w:type="dxa"/>
              <w:left w:w="85" w:type="dxa"/>
              <w:bottom w:w="0" w:type="dxa"/>
              <w:right w:w="57" w:type="dxa"/>
            </w:tcMar>
          </w:tcPr>
          <w:p w14:paraId="615C104E" w14:textId="77777777" w:rsidR="005D02EF" w:rsidRPr="009E06AA" w:rsidRDefault="005D02EF" w:rsidP="00B55F24">
            <w:pPr>
              <w:pStyle w:val="TableText"/>
              <w:spacing w:before="30" w:after="30"/>
            </w:pPr>
            <w:r w:rsidRPr="009E06AA">
              <w:rPr>
                <w:rFonts w:eastAsia="Calibri"/>
                <w:color w:val="000000"/>
              </w:rPr>
              <w:t>Report “NE” for biomass carbon stock losses for wetlands converted to grassland, providing relevant references to the 2006 IPCC Guidelines for justification, or revise the methodology by assigning a biomass carbon stock value to wetlands before conversion, in particular for the subcategory vegetated wetlands.</w:t>
            </w:r>
          </w:p>
        </w:tc>
        <w:tc>
          <w:tcPr>
            <w:tcW w:w="4806" w:type="dxa"/>
            <w:shd w:val="clear" w:color="auto" w:fill="FFFFFF" w:themeFill="background1"/>
            <w:tcMar>
              <w:top w:w="0" w:type="dxa"/>
              <w:left w:w="85" w:type="dxa"/>
              <w:bottom w:w="0" w:type="dxa"/>
              <w:right w:w="57" w:type="dxa"/>
            </w:tcMar>
          </w:tcPr>
          <w:p w14:paraId="23EA608C" w14:textId="77777777" w:rsidR="005D02EF" w:rsidRPr="009E06AA" w:rsidRDefault="005D02EF" w:rsidP="00B55F24">
            <w:pPr>
              <w:pStyle w:val="TableText"/>
              <w:spacing w:before="30" w:after="30"/>
            </w:pPr>
            <w:r w:rsidRPr="009E06AA">
              <w:rPr>
                <w:rFonts w:eastAsia="Calibri"/>
                <w:color w:val="000000"/>
              </w:rPr>
              <w:t>Resolved. The Party reported this subcategory as “NE” in CRF table 4.C because the 2006 IPCC Guidelines (vol. 6, chap. 6.7.2) do not provide default values for above-ground biomass or dead organic matter and the country has no country-specific data. During the review, the Party clarified that, following its 2022 submission, a literature review was conducted on available research on biomass carbon stocks in vegetated wetlands. This research will allow New Zealand to assign biomass carbon stock values to vegetated wetlands before conversion, and the results will be used for its 2023 submission.</w:t>
            </w:r>
          </w:p>
        </w:tc>
        <w:tc>
          <w:tcPr>
            <w:tcW w:w="2621" w:type="dxa"/>
            <w:shd w:val="clear" w:color="auto" w:fill="FFFFFF" w:themeFill="background1"/>
            <w:tcMar>
              <w:top w:w="0" w:type="dxa"/>
              <w:left w:w="85" w:type="dxa"/>
              <w:bottom w:w="0" w:type="dxa"/>
              <w:right w:w="57" w:type="dxa"/>
            </w:tcMar>
          </w:tcPr>
          <w:p w14:paraId="71869706" w14:textId="77777777" w:rsidR="005D02EF" w:rsidRPr="009E06AA" w:rsidRDefault="005D02EF" w:rsidP="00B55F24">
            <w:pPr>
              <w:pStyle w:val="TableText"/>
              <w:spacing w:before="30" w:after="30"/>
            </w:pPr>
            <w:r w:rsidRPr="009E06AA">
              <w:t>NA</w:t>
            </w:r>
          </w:p>
        </w:tc>
      </w:tr>
      <w:tr w:rsidR="005D02EF" w:rsidRPr="009E06AA" w14:paraId="34CD455B" w14:textId="77777777" w:rsidTr="00271345">
        <w:tc>
          <w:tcPr>
            <w:tcW w:w="709" w:type="dxa"/>
            <w:shd w:val="clear" w:color="auto" w:fill="FFFFFF" w:themeFill="background1"/>
            <w:tcMar>
              <w:top w:w="0" w:type="dxa"/>
              <w:left w:w="85" w:type="dxa"/>
              <w:bottom w:w="0" w:type="dxa"/>
              <w:right w:w="57" w:type="dxa"/>
            </w:tcMar>
          </w:tcPr>
          <w:p w14:paraId="27A1C7DE" w14:textId="77777777" w:rsidR="005D02EF" w:rsidRPr="009E06AA" w:rsidRDefault="005D02EF" w:rsidP="00B55F24">
            <w:pPr>
              <w:pStyle w:val="TableText"/>
              <w:spacing w:before="30" w:after="30"/>
            </w:pPr>
            <w:r w:rsidRPr="009E06AA">
              <w:rPr>
                <w:rFonts w:eastAsia="Calibri"/>
                <w:color w:val="000000"/>
              </w:rPr>
              <w:t>L.14</w:t>
            </w:r>
          </w:p>
        </w:tc>
        <w:tc>
          <w:tcPr>
            <w:tcW w:w="2126" w:type="dxa"/>
            <w:shd w:val="clear" w:color="auto" w:fill="FFFFFF" w:themeFill="background1"/>
            <w:tcMar>
              <w:top w:w="0" w:type="dxa"/>
              <w:left w:w="85" w:type="dxa"/>
              <w:bottom w:w="0" w:type="dxa"/>
              <w:right w:w="57" w:type="dxa"/>
            </w:tcMar>
          </w:tcPr>
          <w:p w14:paraId="047D4A8C" w14:textId="77777777" w:rsidR="005D02EF" w:rsidRPr="009E06AA" w:rsidRDefault="005D02EF" w:rsidP="00B55F24">
            <w:pPr>
              <w:pStyle w:val="TableText"/>
              <w:spacing w:before="30" w:after="30"/>
            </w:pPr>
            <w:r w:rsidRPr="009E06AA">
              <w:rPr>
                <w:rFonts w:eastAsia="Calibri"/>
                <w:color w:val="000000"/>
              </w:rPr>
              <w:t>4.D Wetlands – CO₂ (L.18, 2021) (L.6, 2019) (L.7, 2017) Completeness</w:t>
            </w:r>
          </w:p>
        </w:tc>
        <w:tc>
          <w:tcPr>
            <w:tcW w:w="3686" w:type="dxa"/>
            <w:shd w:val="clear" w:color="auto" w:fill="FFFFFF" w:themeFill="background1"/>
            <w:tcMar>
              <w:top w:w="0" w:type="dxa"/>
              <w:left w:w="85" w:type="dxa"/>
              <w:bottom w:w="0" w:type="dxa"/>
              <w:right w:w="57" w:type="dxa"/>
            </w:tcMar>
          </w:tcPr>
          <w:p w14:paraId="55A1877E" w14:textId="77777777" w:rsidR="005D02EF" w:rsidRPr="009E06AA" w:rsidRDefault="005D02EF" w:rsidP="00B55F24">
            <w:pPr>
              <w:pStyle w:val="TableText"/>
              <w:spacing w:before="30" w:after="30"/>
            </w:pPr>
            <w:r w:rsidRPr="009E06AA">
              <w:rPr>
                <w:rFonts w:eastAsia="Calibri"/>
                <w:color w:val="000000"/>
              </w:rPr>
              <w:t>Continue the ongoing work to improve estimates for wetlands and report the emissions for subcategories 4.D.1.1 (peat extraction remaining peat extraction) and 4.D.2.1 (land converted to peat extraction).</w:t>
            </w:r>
          </w:p>
        </w:tc>
        <w:tc>
          <w:tcPr>
            <w:tcW w:w="4806" w:type="dxa"/>
            <w:shd w:val="clear" w:color="auto" w:fill="FFFFFF" w:themeFill="background1"/>
            <w:tcMar>
              <w:top w:w="0" w:type="dxa"/>
              <w:left w:w="85" w:type="dxa"/>
              <w:bottom w:w="0" w:type="dxa"/>
              <w:right w:w="57" w:type="dxa"/>
            </w:tcMar>
          </w:tcPr>
          <w:p w14:paraId="30D7D42D" w14:textId="77777777" w:rsidR="005D02EF" w:rsidRPr="009E06AA" w:rsidRDefault="005D02EF" w:rsidP="00B55F24">
            <w:pPr>
              <w:pStyle w:val="TableText"/>
              <w:spacing w:before="30" w:after="30"/>
            </w:pPr>
            <w:r w:rsidRPr="009E06AA">
              <w:rPr>
                <w:rFonts w:eastAsia="Calibri"/>
                <w:color w:val="000000"/>
              </w:rPr>
              <w:t>Resolved. Although the Party reported in its NIR (p.280) that information from land converted to peat extraction was reported as “NE” in the CRF tables because the areas under peat extraction have remained the same since 1990, the ERT noted that in CRF table 4.D, it is reported that “New Zealand does not have activity data available to reliably report on this activity”, so reporting this subcategory as “NE” is appropriate.</w:t>
            </w:r>
          </w:p>
        </w:tc>
        <w:tc>
          <w:tcPr>
            <w:tcW w:w="2621" w:type="dxa"/>
            <w:shd w:val="clear" w:color="auto" w:fill="FFFFFF" w:themeFill="background1"/>
            <w:tcMar>
              <w:top w:w="0" w:type="dxa"/>
              <w:left w:w="85" w:type="dxa"/>
              <w:bottom w:w="0" w:type="dxa"/>
              <w:right w:w="57" w:type="dxa"/>
            </w:tcMar>
          </w:tcPr>
          <w:p w14:paraId="62F38F4C" w14:textId="77777777" w:rsidR="005D02EF" w:rsidRPr="009E06AA" w:rsidRDefault="005D02EF" w:rsidP="00B55F24">
            <w:pPr>
              <w:pStyle w:val="TableText"/>
              <w:spacing w:before="30" w:after="30"/>
            </w:pPr>
            <w:r w:rsidRPr="009E06AA">
              <w:t>NA</w:t>
            </w:r>
          </w:p>
        </w:tc>
      </w:tr>
      <w:tr w:rsidR="005D02EF" w:rsidRPr="009E06AA" w14:paraId="7E969E91" w14:textId="77777777" w:rsidTr="00271345">
        <w:tc>
          <w:tcPr>
            <w:tcW w:w="709" w:type="dxa"/>
            <w:shd w:val="clear" w:color="auto" w:fill="FFFFFF" w:themeFill="background1"/>
            <w:tcMar>
              <w:top w:w="0" w:type="dxa"/>
              <w:left w:w="85" w:type="dxa"/>
              <w:bottom w:w="0" w:type="dxa"/>
              <w:right w:w="57" w:type="dxa"/>
            </w:tcMar>
          </w:tcPr>
          <w:p w14:paraId="41EA795E" w14:textId="77777777" w:rsidR="005D02EF" w:rsidRPr="009E06AA" w:rsidRDefault="005D02EF" w:rsidP="00B55F24">
            <w:pPr>
              <w:pStyle w:val="TableText"/>
              <w:spacing w:before="30" w:after="30"/>
            </w:pPr>
            <w:r w:rsidRPr="009E06AA">
              <w:rPr>
                <w:rFonts w:eastAsia="Calibri"/>
                <w:color w:val="000000"/>
              </w:rPr>
              <w:t>L.15</w:t>
            </w:r>
          </w:p>
        </w:tc>
        <w:tc>
          <w:tcPr>
            <w:tcW w:w="2126" w:type="dxa"/>
            <w:shd w:val="clear" w:color="auto" w:fill="FFFFFF" w:themeFill="background1"/>
            <w:tcMar>
              <w:top w:w="0" w:type="dxa"/>
              <w:left w:w="85" w:type="dxa"/>
              <w:bottom w:w="0" w:type="dxa"/>
              <w:right w:w="57" w:type="dxa"/>
            </w:tcMar>
          </w:tcPr>
          <w:p w14:paraId="5B3EE5A9" w14:textId="77777777" w:rsidR="005D02EF" w:rsidRPr="009E06AA" w:rsidRDefault="005D02EF" w:rsidP="00B55F24">
            <w:pPr>
              <w:pStyle w:val="TableText"/>
              <w:spacing w:before="30" w:after="30"/>
            </w:pPr>
            <w:r w:rsidRPr="009E06AA">
              <w:rPr>
                <w:rFonts w:eastAsia="Calibri"/>
                <w:color w:val="000000"/>
              </w:rPr>
              <w:t>4.E.2 Land converted to settlements – CO₂ (L.27, 2021) Accuracy</w:t>
            </w:r>
          </w:p>
        </w:tc>
        <w:tc>
          <w:tcPr>
            <w:tcW w:w="3686" w:type="dxa"/>
            <w:shd w:val="clear" w:color="auto" w:fill="FFFFFF" w:themeFill="background1"/>
            <w:tcMar>
              <w:top w:w="0" w:type="dxa"/>
              <w:left w:w="85" w:type="dxa"/>
              <w:bottom w:w="0" w:type="dxa"/>
              <w:right w:w="57" w:type="dxa"/>
            </w:tcMar>
          </w:tcPr>
          <w:p w14:paraId="16FD6E6C" w14:textId="77777777" w:rsidR="005D02EF" w:rsidRPr="009E06AA" w:rsidRDefault="005D02EF" w:rsidP="00B55F24">
            <w:pPr>
              <w:pStyle w:val="TableText"/>
              <w:spacing w:before="30" w:after="30"/>
            </w:pPr>
            <w:r w:rsidRPr="009E06AA">
              <w:rPr>
                <w:rFonts w:eastAsia="Calibri"/>
                <w:color w:val="000000"/>
              </w:rPr>
              <w:t>Assess the share of impervious surfaces within the settlements category and estimate soil CSC for land converted to settlements on the basis of this share and in accordance with the 2006 IPCC Guidelines.</w:t>
            </w:r>
          </w:p>
        </w:tc>
        <w:tc>
          <w:tcPr>
            <w:tcW w:w="4806" w:type="dxa"/>
            <w:shd w:val="clear" w:color="auto" w:fill="FFFFFF" w:themeFill="background1"/>
            <w:tcMar>
              <w:top w:w="0" w:type="dxa"/>
              <w:left w:w="85" w:type="dxa"/>
              <w:bottom w:w="0" w:type="dxa"/>
              <w:right w:w="57" w:type="dxa"/>
            </w:tcMar>
          </w:tcPr>
          <w:p w14:paraId="1381D98A" w14:textId="77777777" w:rsidR="005D02EF" w:rsidRPr="009E06AA" w:rsidRDefault="005D02EF" w:rsidP="00B55F24">
            <w:pPr>
              <w:pStyle w:val="TableText"/>
              <w:spacing w:before="30" w:after="30"/>
            </w:pPr>
            <w:r w:rsidRPr="009E06AA">
              <w:rPr>
                <w:rFonts w:eastAsia="Calibri"/>
                <w:color w:val="000000"/>
              </w:rPr>
              <w:t>Not resolved. The Party did not report any relevant information in its NIR. During the review, the Party clarified that research on settlements is low priority and it has not been possible to direct funding to this area. The ERT considers that the recommendation has not yet been addressed because the Party has not yet applied, as a first step, the IPCC default method and values to calculate SOC losses for land converted to settlements.</w:t>
            </w:r>
          </w:p>
        </w:tc>
        <w:tc>
          <w:tcPr>
            <w:tcW w:w="2621" w:type="dxa"/>
            <w:shd w:val="clear" w:color="auto" w:fill="FFFFFF" w:themeFill="background1"/>
            <w:tcMar>
              <w:top w:w="0" w:type="dxa"/>
              <w:left w:w="85" w:type="dxa"/>
              <w:bottom w:w="0" w:type="dxa"/>
              <w:right w:w="57" w:type="dxa"/>
            </w:tcMar>
          </w:tcPr>
          <w:p w14:paraId="77832E5D" w14:textId="77777777" w:rsidR="005D02EF" w:rsidRPr="009E06AA" w:rsidRDefault="005D02EF" w:rsidP="00B55F24">
            <w:pPr>
              <w:pStyle w:val="TableText"/>
              <w:spacing w:before="30" w:after="30"/>
            </w:pPr>
            <w:r w:rsidRPr="009E06AA">
              <w:rPr>
                <w:b/>
              </w:rPr>
              <w:t>Not resolved</w:t>
            </w:r>
            <w:r w:rsidRPr="009E06AA">
              <w:rPr>
                <w:bCs/>
              </w:rPr>
              <w:t>.</w:t>
            </w:r>
            <w:r w:rsidRPr="009E06AA">
              <w:t xml:space="preserve"> Research on settlements is low priority due to the small emissions associated with this category. Therefore, it has not been possible to direct funding into this area.</w:t>
            </w:r>
          </w:p>
        </w:tc>
      </w:tr>
      <w:tr w:rsidR="005D02EF" w:rsidRPr="009E06AA" w14:paraId="38BEA63C" w14:textId="77777777" w:rsidTr="00271345">
        <w:tc>
          <w:tcPr>
            <w:tcW w:w="709" w:type="dxa"/>
            <w:shd w:val="clear" w:color="auto" w:fill="FFFFFF" w:themeFill="background1"/>
            <w:tcMar>
              <w:top w:w="0" w:type="dxa"/>
              <w:left w:w="85" w:type="dxa"/>
              <w:bottom w:w="0" w:type="dxa"/>
              <w:right w:w="57" w:type="dxa"/>
            </w:tcMar>
          </w:tcPr>
          <w:p w14:paraId="734E1962" w14:textId="77777777" w:rsidR="005D02EF" w:rsidRPr="009E06AA" w:rsidRDefault="005D02EF" w:rsidP="00B55F24">
            <w:pPr>
              <w:pStyle w:val="TableText"/>
              <w:spacing w:before="30" w:after="30"/>
            </w:pPr>
            <w:r w:rsidRPr="009E06AA">
              <w:rPr>
                <w:rFonts w:eastAsia="Calibri"/>
                <w:color w:val="000000"/>
              </w:rPr>
              <w:t>L.16</w:t>
            </w:r>
          </w:p>
        </w:tc>
        <w:tc>
          <w:tcPr>
            <w:tcW w:w="2126" w:type="dxa"/>
            <w:shd w:val="clear" w:color="auto" w:fill="FFFFFF" w:themeFill="background1"/>
            <w:tcMar>
              <w:top w:w="0" w:type="dxa"/>
              <w:left w:w="85" w:type="dxa"/>
              <w:bottom w:w="0" w:type="dxa"/>
              <w:right w:w="57" w:type="dxa"/>
            </w:tcMar>
          </w:tcPr>
          <w:p w14:paraId="1630B66C" w14:textId="77777777" w:rsidR="005D02EF" w:rsidRPr="009E06AA" w:rsidRDefault="005D02EF" w:rsidP="00B55F24">
            <w:pPr>
              <w:pStyle w:val="TableText"/>
              <w:spacing w:before="30" w:after="30"/>
            </w:pPr>
            <w:r w:rsidRPr="009E06AA">
              <w:rPr>
                <w:rFonts w:eastAsia="Calibri"/>
                <w:color w:val="000000"/>
              </w:rPr>
              <w:t>4.F Other land – CO₂, CH₄ and N₂O (L.20, 2021) (L.27, 2019) Accuracy</w:t>
            </w:r>
          </w:p>
        </w:tc>
        <w:tc>
          <w:tcPr>
            <w:tcW w:w="3686" w:type="dxa"/>
            <w:shd w:val="clear" w:color="auto" w:fill="FFFFFF" w:themeFill="background1"/>
            <w:tcMar>
              <w:top w:w="0" w:type="dxa"/>
              <w:left w:w="85" w:type="dxa"/>
              <w:bottom w:w="0" w:type="dxa"/>
              <w:right w:w="57" w:type="dxa"/>
            </w:tcMar>
          </w:tcPr>
          <w:p w14:paraId="65D2FD69" w14:textId="77777777" w:rsidR="005D02EF" w:rsidRPr="009E06AA" w:rsidRDefault="005D02EF" w:rsidP="00B55F24">
            <w:pPr>
              <w:pStyle w:val="TableText"/>
              <w:spacing w:before="30" w:after="30"/>
            </w:pPr>
            <w:r w:rsidRPr="009E06AA">
              <w:rPr>
                <w:rFonts w:eastAsia="Calibri"/>
                <w:color w:val="000000"/>
              </w:rPr>
              <w:t>Reclassify all other land with significant SOC content under the most appropriate land-use category and recalculate the land representation and SOC changes for the revised area of conversion to and from other land.</w:t>
            </w:r>
          </w:p>
        </w:tc>
        <w:tc>
          <w:tcPr>
            <w:tcW w:w="4806" w:type="dxa"/>
            <w:shd w:val="clear" w:color="auto" w:fill="FFFFFF" w:themeFill="background1"/>
            <w:tcMar>
              <w:top w:w="0" w:type="dxa"/>
              <w:left w:w="85" w:type="dxa"/>
              <w:bottom w:w="0" w:type="dxa"/>
              <w:right w:w="57" w:type="dxa"/>
            </w:tcMar>
          </w:tcPr>
          <w:p w14:paraId="6A509D7A" w14:textId="77777777" w:rsidR="005D02EF" w:rsidRPr="009E06AA" w:rsidRDefault="005D02EF" w:rsidP="00B55F24">
            <w:pPr>
              <w:pStyle w:val="TableText"/>
              <w:spacing w:before="30" w:after="30"/>
            </w:pPr>
            <w:r w:rsidRPr="009E06AA">
              <w:rPr>
                <w:rFonts w:eastAsia="Calibri"/>
                <w:color w:val="000000"/>
              </w:rPr>
              <w:t>Not resolved. The Party reported in its NIR (section 6.8.6, p.287) that the mapping of other land in 1990 was based on low 30 m resolution Landsat satellite imagery, meaning that some areas of lower productive grassland and bare ground without a typical grassland spectral signature could have been incorrectly classed as other land. Subsequent land-use change has highlighted that the 1990 classification should be reviewed and updated. This is a scheduled improvement activity. The Party also reported that the country-specific reference SOC value, based only on three estimates, is high compared with the default value in the 2006 IPCC Guidelines (vol. 4, chap. 2) and has a relatively high uncertainty. Further soil sampling in land classified as other land is required to improve soil carbon estimates for this land-use category. However, while this action is listed as a planned improvement, it has not yet received funding and is unlikely to be implemented before the next annual submission. During the review, New Zealand, stated that it aims to narrow its definition of other land and ensure estimates of mineral SOC stock changes are more representative for this category through improving mapping and additional soil sampling. The ERT considers that the recommendation has not yet been addressed because the Party has not yet separated land without significant SOC stocks in mineral soils from land with significant SOC. Mixing of both types within a single category results in a high likelihood of overestimating SOC gains in conversion to vegetated land uses and SOC losses in conversion from vegetated land uses to other land. That is because conversion of other land to other vegetated land uses occurs exclusively on other land with significant SOC stocks.</w:t>
            </w:r>
          </w:p>
        </w:tc>
        <w:tc>
          <w:tcPr>
            <w:tcW w:w="2621" w:type="dxa"/>
            <w:shd w:val="clear" w:color="auto" w:fill="FFFFFF" w:themeFill="background1"/>
            <w:tcMar>
              <w:top w:w="0" w:type="dxa"/>
              <w:left w:w="85" w:type="dxa"/>
              <w:bottom w:w="0" w:type="dxa"/>
              <w:right w:w="57" w:type="dxa"/>
            </w:tcMar>
          </w:tcPr>
          <w:p w14:paraId="31B64696" w14:textId="77777777" w:rsidR="005D02EF" w:rsidRPr="009E06AA" w:rsidRDefault="005D02EF" w:rsidP="00B55F24">
            <w:pPr>
              <w:pStyle w:val="TableText"/>
              <w:spacing w:before="30" w:after="30"/>
            </w:pPr>
            <w:r w:rsidRPr="009E06AA">
              <w:rPr>
                <w:b/>
                <w:bCs/>
              </w:rPr>
              <w:t>Not resolved</w:t>
            </w:r>
            <w:r w:rsidRPr="009E06AA">
              <w:t>. New Zealand aims to narrow the definition of other land and ensure estimates of mineral SOC stock changes are aligned with this category, through improving mapping and additional sampling.</w:t>
            </w:r>
          </w:p>
        </w:tc>
      </w:tr>
      <w:tr w:rsidR="005D02EF" w:rsidRPr="009E06AA" w14:paraId="1B1C98B4" w14:textId="77777777" w:rsidTr="00271345">
        <w:tc>
          <w:tcPr>
            <w:tcW w:w="709" w:type="dxa"/>
            <w:shd w:val="clear" w:color="auto" w:fill="FFFFFF" w:themeFill="background1"/>
            <w:tcMar>
              <w:top w:w="0" w:type="dxa"/>
              <w:left w:w="85" w:type="dxa"/>
              <w:bottom w:w="0" w:type="dxa"/>
              <w:right w:w="57" w:type="dxa"/>
            </w:tcMar>
          </w:tcPr>
          <w:p w14:paraId="04FC190D" w14:textId="77777777" w:rsidR="005D02EF" w:rsidRPr="009E06AA" w:rsidRDefault="005D02EF" w:rsidP="00B55F24">
            <w:pPr>
              <w:pStyle w:val="TableText"/>
              <w:spacing w:before="30" w:after="30"/>
            </w:pPr>
            <w:r w:rsidRPr="009E06AA">
              <w:rPr>
                <w:rFonts w:eastAsia="Calibri"/>
                <w:color w:val="000000"/>
              </w:rPr>
              <w:t>L.17</w:t>
            </w:r>
          </w:p>
        </w:tc>
        <w:tc>
          <w:tcPr>
            <w:tcW w:w="2126" w:type="dxa"/>
            <w:shd w:val="clear" w:color="auto" w:fill="FFFFFF" w:themeFill="background1"/>
            <w:tcMar>
              <w:top w:w="0" w:type="dxa"/>
              <w:left w:w="85" w:type="dxa"/>
              <w:bottom w:w="0" w:type="dxa"/>
              <w:right w:w="57" w:type="dxa"/>
            </w:tcMar>
          </w:tcPr>
          <w:p w14:paraId="5659C59D" w14:textId="77777777" w:rsidR="005D02EF" w:rsidRPr="009E06AA" w:rsidRDefault="005D02EF" w:rsidP="00B55F24">
            <w:pPr>
              <w:pStyle w:val="TableText"/>
              <w:spacing w:before="30" w:after="30"/>
            </w:pPr>
            <w:r w:rsidRPr="009E06AA">
              <w:rPr>
                <w:rFonts w:eastAsia="Calibri"/>
                <w:color w:val="000000"/>
              </w:rPr>
              <w:t>4.F.2 Land converted to other land – CO₂ (L.21, 2021) (L.28, 2019) Accuracy</w:t>
            </w:r>
          </w:p>
        </w:tc>
        <w:tc>
          <w:tcPr>
            <w:tcW w:w="3686" w:type="dxa"/>
            <w:shd w:val="clear" w:color="auto" w:fill="FFFFFF" w:themeFill="background1"/>
            <w:tcMar>
              <w:top w:w="0" w:type="dxa"/>
              <w:left w:w="85" w:type="dxa"/>
              <w:bottom w:w="0" w:type="dxa"/>
              <w:right w:w="57" w:type="dxa"/>
            </w:tcMar>
          </w:tcPr>
          <w:p w14:paraId="4CFEF339" w14:textId="77777777" w:rsidR="005D02EF" w:rsidRPr="009E06AA" w:rsidRDefault="005D02EF" w:rsidP="00B55F24">
            <w:pPr>
              <w:pStyle w:val="TableText"/>
              <w:spacing w:before="30" w:after="30"/>
            </w:pPr>
            <w:r w:rsidRPr="009E06AA">
              <w:rPr>
                <w:rFonts w:eastAsia="Calibri"/>
                <w:color w:val="000000"/>
              </w:rPr>
              <w:t>Verify the occurrence of the conversion of land with organic soils to other land and, if SOC losses are not reported for organic soils converted to other land, report “NA” in the CRF table.</w:t>
            </w:r>
          </w:p>
        </w:tc>
        <w:tc>
          <w:tcPr>
            <w:tcW w:w="4806" w:type="dxa"/>
            <w:shd w:val="clear" w:color="auto" w:fill="FFFFFF" w:themeFill="background1"/>
            <w:tcMar>
              <w:top w:w="0" w:type="dxa"/>
              <w:left w:w="85" w:type="dxa"/>
              <w:bottom w:w="0" w:type="dxa"/>
              <w:right w:w="57" w:type="dxa"/>
            </w:tcMar>
          </w:tcPr>
          <w:p w14:paraId="6BC5ADB7" w14:textId="77777777" w:rsidR="005D02EF" w:rsidRPr="009E06AA" w:rsidRDefault="005D02EF" w:rsidP="00B55F24">
            <w:pPr>
              <w:pStyle w:val="TableText"/>
              <w:spacing w:before="30" w:after="30"/>
            </w:pPr>
            <w:r w:rsidRPr="009E06AA">
              <w:rPr>
                <w:rFonts w:eastAsia="Calibri"/>
                <w:color w:val="000000"/>
              </w:rPr>
              <w:t>Not resolved. The Party reported in its NIR (p.399) that improving the 1990 classification of other land is a scheduled activity. The ERT considers that the recommendation has not yet been addressed because the Party has not yet reported on the goal of the scheduled activity (expected by the ERT to be a classification of land cover and soil types) or the timescale for achieving that goal.</w:t>
            </w:r>
          </w:p>
        </w:tc>
        <w:tc>
          <w:tcPr>
            <w:tcW w:w="2621" w:type="dxa"/>
            <w:shd w:val="clear" w:color="auto" w:fill="FFFFFF" w:themeFill="background1"/>
            <w:tcMar>
              <w:top w:w="0" w:type="dxa"/>
              <w:left w:w="85" w:type="dxa"/>
              <w:bottom w:w="0" w:type="dxa"/>
              <w:right w:w="57" w:type="dxa"/>
            </w:tcMar>
          </w:tcPr>
          <w:p w14:paraId="19A647C9" w14:textId="77777777" w:rsidR="005D02EF" w:rsidRPr="009E06AA" w:rsidRDefault="005D02EF" w:rsidP="00B55F24">
            <w:pPr>
              <w:pStyle w:val="TableText"/>
              <w:spacing w:before="30" w:after="30"/>
            </w:pPr>
            <w:r w:rsidRPr="009E06AA">
              <w:rPr>
                <w:rFonts w:eastAsia="Calibri"/>
                <w:b/>
                <w:color w:val="000000"/>
              </w:rPr>
              <w:t>Addressing</w:t>
            </w:r>
            <w:r w:rsidRPr="009E06AA">
              <w:rPr>
                <w:rFonts w:eastAsia="Calibri"/>
                <w:color w:val="000000"/>
              </w:rPr>
              <w:t xml:space="preserve">. A review of the 2020 land use map has revealed approximately 8 hectares of </w:t>
            </w:r>
            <w:r w:rsidRPr="009E06AA">
              <w:rPr>
                <w:rFonts w:eastAsia="Calibri"/>
                <w:i/>
                <w:iCs/>
                <w:color w:val="000000"/>
              </w:rPr>
              <w:t>Land converted to other land</w:t>
            </w:r>
            <w:r w:rsidRPr="009E06AA">
              <w:rPr>
                <w:rFonts w:eastAsia="Calibri"/>
                <w:color w:val="000000"/>
              </w:rPr>
              <w:t xml:space="preserve"> on organic soils. These appear to be a result of a mixture of mapping errors in the land use map and edge mapping errors in the organic soil map. Work is under way to correct these errors.</w:t>
            </w:r>
          </w:p>
        </w:tc>
      </w:tr>
      <w:tr w:rsidR="005D02EF" w:rsidRPr="009E06AA" w14:paraId="53608FE9" w14:textId="77777777" w:rsidTr="00271345">
        <w:tc>
          <w:tcPr>
            <w:tcW w:w="709" w:type="dxa"/>
            <w:shd w:val="clear" w:color="auto" w:fill="FFFFFF" w:themeFill="background1"/>
            <w:tcMar>
              <w:top w:w="0" w:type="dxa"/>
              <w:left w:w="85" w:type="dxa"/>
              <w:bottom w:w="0" w:type="dxa"/>
              <w:right w:w="57" w:type="dxa"/>
            </w:tcMar>
          </w:tcPr>
          <w:p w14:paraId="331AEB16" w14:textId="77777777" w:rsidR="005D02EF" w:rsidRPr="009E06AA" w:rsidRDefault="005D02EF" w:rsidP="00B55F24">
            <w:pPr>
              <w:pStyle w:val="TableText"/>
              <w:spacing w:before="30" w:after="30"/>
            </w:pPr>
            <w:r w:rsidRPr="009E06AA">
              <w:rPr>
                <w:rFonts w:eastAsia="Calibri"/>
                <w:color w:val="000000"/>
              </w:rPr>
              <w:t>L.18</w:t>
            </w:r>
          </w:p>
        </w:tc>
        <w:tc>
          <w:tcPr>
            <w:tcW w:w="2126" w:type="dxa"/>
            <w:shd w:val="clear" w:color="auto" w:fill="FFFFFF" w:themeFill="background1"/>
            <w:tcMar>
              <w:top w:w="0" w:type="dxa"/>
              <w:left w:w="85" w:type="dxa"/>
              <w:bottom w:w="0" w:type="dxa"/>
              <w:right w:w="57" w:type="dxa"/>
            </w:tcMar>
          </w:tcPr>
          <w:p w14:paraId="2AB97F96" w14:textId="77777777" w:rsidR="005D02EF" w:rsidRPr="009E06AA" w:rsidRDefault="005D02EF" w:rsidP="00B55F24">
            <w:pPr>
              <w:pStyle w:val="TableText"/>
              <w:spacing w:before="30" w:after="30"/>
            </w:pPr>
            <w:r w:rsidRPr="009E06AA">
              <w:rPr>
                <w:rFonts w:eastAsia="Calibri"/>
                <w:color w:val="000000"/>
              </w:rPr>
              <w:t>4(II) Emissions/removals from drainage and rewetting and other management of organic/mineral soils – N₂O (L.22, 2021) (L.29, 2019) Completeness</w:t>
            </w:r>
          </w:p>
        </w:tc>
        <w:tc>
          <w:tcPr>
            <w:tcW w:w="3686" w:type="dxa"/>
            <w:shd w:val="clear" w:color="auto" w:fill="FFFFFF" w:themeFill="background1"/>
            <w:tcMar>
              <w:top w:w="0" w:type="dxa"/>
              <w:left w:w="85" w:type="dxa"/>
              <w:bottom w:w="0" w:type="dxa"/>
              <w:right w:w="57" w:type="dxa"/>
            </w:tcMar>
          </w:tcPr>
          <w:p w14:paraId="29607A1B" w14:textId="77777777" w:rsidR="005D02EF" w:rsidRPr="009E06AA" w:rsidRDefault="005D02EF" w:rsidP="00B55F24">
            <w:pPr>
              <w:pStyle w:val="TableText"/>
              <w:spacing w:before="30" w:after="30"/>
            </w:pPr>
            <w:r w:rsidRPr="009E06AA">
              <w:rPr>
                <w:rFonts w:eastAsia="Calibri"/>
                <w:color w:val="000000"/>
              </w:rPr>
              <w:t>Report N₂O emissions from drainage of non- agricultural organic soils in CRF table 4(II) for each land category for which an SOC loss in organic soils is reported in CRF tables 4.A, 4.D and 4.E.</w:t>
            </w:r>
          </w:p>
        </w:tc>
        <w:tc>
          <w:tcPr>
            <w:tcW w:w="4806" w:type="dxa"/>
            <w:shd w:val="clear" w:color="auto" w:fill="FFFFFF" w:themeFill="background1"/>
            <w:tcMar>
              <w:top w:w="0" w:type="dxa"/>
              <w:left w:w="85" w:type="dxa"/>
              <w:bottom w:w="0" w:type="dxa"/>
              <w:right w:w="57" w:type="dxa"/>
            </w:tcMar>
          </w:tcPr>
          <w:p w14:paraId="753924C3" w14:textId="77777777" w:rsidR="005D02EF" w:rsidRPr="009E06AA" w:rsidRDefault="005D02EF" w:rsidP="00B55F24">
            <w:pPr>
              <w:pStyle w:val="TableText"/>
              <w:spacing w:before="30" w:after="30"/>
            </w:pPr>
            <w:r w:rsidRPr="009E06AA">
              <w:rPr>
                <w:rFonts w:eastAsia="Calibri"/>
                <w:color w:val="000000"/>
              </w:rPr>
              <w:t>Addressing. The Party reported in CRF table 4(II) carbon stock losses from drained organic soils in forest land. During the review, the Party clarified that, during the review of its 2021 submission, the previous ERT acknowledged that there is no default value in the 2006 IPCC Guidelines that can be applied for wetlands or settlements. However, the ERT suggested that, because New Zealand considers that most of its settlement area can be counted as grassland when it comes to soil carbon, the EFs for grassland should be applied to settlements. For the 2022 submission, these emissions were calculated but not included in the CRF tables or emission totals. As there is no reporting category for these emissions in the CRF tables, assistance was sought on how they could be reported. Unfortunately, the response to this request was not received in time to incorporate the emission estimates into the submission. Therefore, the value of 23.2 kt CO₂ eq emissions resulting from drained organic soils in settlements has not been included in the total emissions for LULUCF, but this is planned for the 2023 submission. The ERT considers that the recommendation has not yet been fully addressed because the Party has not yet included in its inventory the estimated N₂O emissions caused by the drainage of organic soils in the settlements land-use category.</w:t>
            </w:r>
          </w:p>
        </w:tc>
        <w:tc>
          <w:tcPr>
            <w:tcW w:w="2621" w:type="dxa"/>
            <w:shd w:val="clear" w:color="auto" w:fill="FFFFFF" w:themeFill="background1"/>
            <w:tcMar>
              <w:top w:w="0" w:type="dxa"/>
              <w:left w:w="85" w:type="dxa"/>
              <w:bottom w:w="0" w:type="dxa"/>
              <w:right w:w="57" w:type="dxa"/>
            </w:tcMar>
          </w:tcPr>
          <w:p w14:paraId="2C444D91" w14:textId="77777777" w:rsidR="005D02EF" w:rsidRPr="009E06AA" w:rsidRDefault="005D02EF" w:rsidP="00B55F24">
            <w:pPr>
              <w:pStyle w:val="TableText"/>
              <w:spacing w:before="30" w:after="30"/>
            </w:pPr>
            <w:r w:rsidRPr="009E06AA">
              <w:rPr>
                <w:b/>
                <w:bCs/>
              </w:rPr>
              <w:t>Addressing</w:t>
            </w:r>
            <w:r w:rsidRPr="009E06AA">
              <w:t xml:space="preserve">. Emissions from drained organic soils in </w:t>
            </w:r>
            <w:r w:rsidRPr="009E06AA">
              <w:rPr>
                <w:i/>
                <w:iCs/>
              </w:rPr>
              <w:t>Forest land</w:t>
            </w:r>
            <w:r w:rsidRPr="009E06AA">
              <w:t xml:space="preserve"> have been calculated for the 2024 submission (see chapter 6, section 6.11.2). Note that during the review of the 2021 submission, the ERT acknowledged that there is no default method in the 2006 IPCC Guidelines (IPCC, 2006c) that can be applied to </w:t>
            </w:r>
            <w:r w:rsidRPr="009E06AA">
              <w:rPr>
                <w:i/>
                <w:iCs/>
              </w:rPr>
              <w:t>Wetlands</w:t>
            </w:r>
            <w:r w:rsidRPr="009E06AA">
              <w:t xml:space="preserve"> or </w:t>
            </w:r>
            <w:r w:rsidRPr="009E06AA">
              <w:rPr>
                <w:i/>
                <w:iCs/>
              </w:rPr>
              <w:t>Settlements</w:t>
            </w:r>
            <w:r w:rsidRPr="009E06AA">
              <w:t xml:space="preserve">. However, the ERT suggested that, because New Zealand considers most of its </w:t>
            </w:r>
            <w:r w:rsidRPr="009E06AA">
              <w:rPr>
                <w:i/>
                <w:iCs/>
              </w:rPr>
              <w:t>Settlements</w:t>
            </w:r>
            <w:r w:rsidRPr="009E06AA">
              <w:t xml:space="preserve"> area can be assimilated to </w:t>
            </w:r>
            <w:r w:rsidRPr="009E06AA">
              <w:rPr>
                <w:i/>
                <w:iCs/>
              </w:rPr>
              <w:t>Grassland</w:t>
            </w:r>
            <w:r w:rsidRPr="009E06AA">
              <w:t xml:space="preserve"> when it comes to soil carbon, the emission factors for </w:t>
            </w:r>
            <w:r w:rsidRPr="009E06AA">
              <w:rPr>
                <w:i/>
                <w:iCs/>
              </w:rPr>
              <w:t>Grassland</w:t>
            </w:r>
            <w:r w:rsidRPr="009E06AA">
              <w:t xml:space="preserve"> should be applied to </w:t>
            </w:r>
            <w:r w:rsidRPr="009E06AA">
              <w:rPr>
                <w:i/>
                <w:iCs/>
              </w:rPr>
              <w:t>Settlements</w:t>
            </w:r>
            <w:r w:rsidRPr="009E06AA">
              <w:t>. For this submission, these emissions have been calculated but not included in the CRT or emission totals. For more information, see chapter 6, section 6.8.6.</w:t>
            </w:r>
          </w:p>
        </w:tc>
      </w:tr>
      <w:tr w:rsidR="005D02EF" w:rsidRPr="009E06AA" w14:paraId="5B681F14" w14:textId="77777777" w:rsidTr="00271345">
        <w:tc>
          <w:tcPr>
            <w:tcW w:w="709" w:type="dxa"/>
            <w:shd w:val="clear" w:color="auto" w:fill="FFFFFF" w:themeFill="background1"/>
            <w:tcMar>
              <w:top w:w="0" w:type="dxa"/>
              <w:left w:w="85" w:type="dxa"/>
              <w:bottom w:w="0" w:type="dxa"/>
              <w:right w:w="57" w:type="dxa"/>
            </w:tcMar>
          </w:tcPr>
          <w:p w14:paraId="3A7DCE7D" w14:textId="77777777" w:rsidR="005D02EF" w:rsidRPr="009E06AA" w:rsidRDefault="005D02EF" w:rsidP="00B55F24">
            <w:pPr>
              <w:pStyle w:val="TableText"/>
              <w:spacing w:before="30" w:after="30"/>
            </w:pPr>
            <w:r w:rsidRPr="009E06AA">
              <w:rPr>
                <w:rFonts w:eastAsia="Calibri"/>
                <w:color w:val="000000"/>
              </w:rPr>
              <w:t>L.19</w:t>
            </w:r>
          </w:p>
        </w:tc>
        <w:tc>
          <w:tcPr>
            <w:tcW w:w="2126" w:type="dxa"/>
            <w:shd w:val="clear" w:color="auto" w:fill="FFFFFF" w:themeFill="background1"/>
            <w:tcMar>
              <w:top w:w="0" w:type="dxa"/>
              <w:left w:w="85" w:type="dxa"/>
              <w:bottom w:w="0" w:type="dxa"/>
              <w:right w:w="57" w:type="dxa"/>
            </w:tcMar>
          </w:tcPr>
          <w:p w14:paraId="07675A05" w14:textId="77777777" w:rsidR="005D02EF" w:rsidRPr="009E06AA" w:rsidRDefault="005D02EF" w:rsidP="00B55F24">
            <w:pPr>
              <w:pStyle w:val="TableText"/>
              <w:spacing w:before="30" w:after="30"/>
            </w:pPr>
            <w:r w:rsidRPr="009E06AA">
              <w:rPr>
                <w:rFonts w:eastAsia="Calibri"/>
                <w:color w:val="000000"/>
              </w:rPr>
              <w:t>4(IV) Indirect N₂O emissions from managed soils – N₂O (L.25, 2021) (L.31, 2019) Completeness</w:t>
            </w:r>
          </w:p>
        </w:tc>
        <w:tc>
          <w:tcPr>
            <w:tcW w:w="3686" w:type="dxa"/>
            <w:shd w:val="clear" w:color="auto" w:fill="FFFFFF" w:themeFill="background1"/>
            <w:tcMar>
              <w:top w:w="0" w:type="dxa"/>
              <w:left w:w="85" w:type="dxa"/>
              <w:bottom w:w="0" w:type="dxa"/>
              <w:right w:w="57" w:type="dxa"/>
            </w:tcMar>
          </w:tcPr>
          <w:p w14:paraId="22F525AB" w14:textId="77777777" w:rsidR="005D02EF" w:rsidRPr="009E06AA" w:rsidRDefault="005D02EF" w:rsidP="00B55F24">
            <w:pPr>
              <w:pStyle w:val="TableText"/>
              <w:spacing w:before="30" w:after="30"/>
            </w:pPr>
            <w:r w:rsidRPr="009E06AA">
              <w:rPr>
                <w:rFonts w:eastAsia="Calibri"/>
                <w:color w:val="000000"/>
              </w:rPr>
              <w:t>Report indirect N₂O emissions from leaching and run-off of N mineralization associated with SOC losses in mineral soils in CRF table 4(IV).</w:t>
            </w:r>
          </w:p>
        </w:tc>
        <w:tc>
          <w:tcPr>
            <w:tcW w:w="4806" w:type="dxa"/>
            <w:shd w:val="clear" w:color="auto" w:fill="FFFFFF" w:themeFill="background1"/>
            <w:tcMar>
              <w:top w:w="0" w:type="dxa"/>
              <w:left w:w="85" w:type="dxa"/>
              <w:bottom w:w="0" w:type="dxa"/>
              <w:right w:w="57" w:type="dxa"/>
            </w:tcMar>
          </w:tcPr>
          <w:p w14:paraId="31B2DF46" w14:textId="77777777" w:rsidR="005D02EF" w:rsidRPr="009E06AA" w:rsidRDefault="005D02EF" w:rsidP="00B55F24">
            <w:pPr>
              <w:pStyle w:val="TableText"/>
              <w:spacing w:before="30" w:after="30"/>
            </w:pPr>
            <w:r w:rsidRPr="009E06AA">
              <w:rPr>
                <w:rFonts w:eastAsia="Calibri"/>
                <w:color w:val="000000"/>
              </w:rPr>
              <w:t>Resolved. The Party reported in CRF table 4(IV) indirect N₂O emissions from leaching and run-off for all land-use categories other than cropland remaining cropland.</w:t>
            </w:r>
          </w:p>
        </w:tc>
        <w:tc>
          <w:tcPr>
            <w:tcW w:w="2621" w:type="dxa"/>
            <w:shd w:val="clear" w:color="auto" w:fill="FFFFFF" w:themeFill="background1"/>
            <w:tcMar>
              <w:top w:w="0" w:type="dxa"/>
              <w:left w:w="85" w:type="dxa"/>
              <w:bottom w:w="0" w:type="dxa"/>
              <w:right w:w="57" w:type="dxa"/>
            </w:tcMar>
          </w:tcPr>
          <w:p w14:paraId="362C4537" w14:textId="77777777" w:rsidR="005D02EF" w:rsidRPr="009E06AA" w:rsidRDefault="005D02EF" w:rsidP="00B55F24">
            <w:pPr>
              <w:pStyle w:val="TableText"/>
              <w:spacing w:before="30" w:after="30"/>
            </w:pPr>
            <w:r w:rsidRPr="009E06AA">
              <w:t>NA</w:t>
            </w:r>
          </w:p>
        </w:tc>
      </w:tr>
      <w:tr w:rsidR="005D02EF" w:rsidRPr="009E06AA" w14:paraId="46BA10AD" w14:textId="77777777" w:rsidTr="00271345">
        <w:tc>
          <w:tcPr>
            <w:tcW w:w="709" w:type="dxa"/>
            <w:shd w:val="clear" w:color="auto" w:fill="FFFFFF" w:themeFill="background1"/>
            <w:tcMar>
              <w:top w:w="0" w:type="dxa"/>
              <w:left w:w="85" w:type="dxa"/>
              <w:bottom w:w="0" w:type="dxa"/>
              <w:right w:w="57" w:type="dxa"/>
            </w:tcMar>
          </w:tcPr>
          <w:p w14:paraId="447D22C6" w14:textId="77777777" w:rsidR="005D02EF" w:rsidRPr="009E06AA" w:rsidRDefault="005D02EF" w:rsidP="00B55F24">
            <w:pPr>
              <w:pStyle w:val="TableText"/>
              <w:spacing w:before="30" w:after="30"/>
            </w:pPr>
            <w:r w:rsidRPr="009E06AA">
              <w:rPr>
                <w:rFonts w:eastAsia="Calibri"/>
                <w:color w:val="000000"/>
              </w:rPr>
              <w:t>L.20</w:t>
            </w:r>
          </w:p>
        </w:tc>
        <w:tc>
          <w:tcPr>
            <w:tcW w:w="2126" w:type="dxa"/>
            <w:shd w:val="clear" w:color="auto" w:fill="FFFFFF" w:themeFill="background1"/>
            <w:tcMar>
              <w:top w:w="0" w:type="dxa"/>
              <w:left w:w="85" w:type="dxa"/>
              <w:bottom w:w="0" w:type="dxa"/>
              <w:right w:w="57" w:type="dxa"/>
            </w:tcMar>
          </w:tcPr>
          <w:p w14:paraId="0FABDDF9" w14:textId="77777777" w:rsidR="005D02EF" w:rsidRPr="009E06AA" w:rsidRDefault="005D02EF" w:rsidP="00B55F24">
            <w:pPr>
              <w:pStyle w:val="TableText"/>
              <w:spacing w:before="30" w:after="30"/>
            </w:pPr>
            <w:r w:rsidRPr="009E06AA">
              <w:rPr>
                <w:rFonts w:eastAsia="Calibri"/>
                <w:color w:val="000000"/>
              </w:rPr>
              <w:t>4(V) Biomass burning – CO₂ (L.28, 2021) Transparency</w:t>
            </w:r>
          </w:p>
        </w:tc>
        <w:tc>
          <w:tcPr>
            <w:tcW w:w="3686" w:type="dxa"/>
            <w:shd w:val="clear" w:color="auto" w:fill="FFFFFF" w:themeFill="background1"/>
            <w:tcMar>
              <w:top w:w="0" w:type="dxa"/>
              <w:left w:w="85" w:type="dxa"/>
              <w:bottom w:w="0" w:type="dxa"/>
              <w:right w:w="57" w:type="dxa"/>
            </w:tcMar>
          </w:tcPr>
          <w:p w14:paraId="4F6F5D57" w14:textId="77777777" w:rsidR="005D02EF" w:rsidRPr="009E06AA" w:rsidRDefault="005D02EF" w:rsidP="00B55F24">
            <w:pPr>
              <w:pStyle w:val="TableText"/>
              <w:spacing w:before="30" w:after="30"/>
            </w:pPr>
            <w:r w:rsidRPr="009E06AA">
              <w:rPr>
                <w:rFonts w:eastAsia="Calibri"/>
                <w:color w:val="000000"/>
              </w:rPr>
              <w:t>Transparently describe in the NIR how CO₂ emissions from wildfires are captured in the estimates for planted forests by the general stock change calculation, specifying in particular what share of salvage logging is assumed, whether it is entirely or partly deducted from the estimated ‘non-salvage’ harvest area, and whether age distribution is impacted by wildfire.</w:t>
            </w:r>
          </w:p>
        </w:tc>
        <w:tc>
          <w:tcPr>
            <w:tcW w:w="4806" w:type="dxa"/>
            <w:shd w:val="clear" w:color="auto" w:fill="FFFFFF" w:themeFill="background1"/>
            <w:tcMar>
              <w:top w:w="0" w:type="dxa"/>
              <w:left w:w="85" w:type="dxa"/>
              <w:bottom w:w="0" w:type="dxa"/>
              <w:right w:w="57" w:type="dxa"/>
            </w:tcMar>
          </w:tcPr>
          <w:p w14:paraId="7E5CC22C" w14:textId="77777777" w:rsidR="005D02EF" w:rsidRPr="009E06AA" w:rsidRDefault="005D02EF" w:rsidP="00B55F24">
            <w:pPr>
              <w:pStyle w:val="TableText"/>
              <w:spacing w:before="30" w:after="30"/>
            </w:pPr>
            <w:r w:rsidRPr="009E06AA">
              <w:rPr>
                <w:rFonts w:eastAsia="Calibri"/>
                <w:color w:val="000000"/>
              </w:rPr>
              <w:t>Resolved. The Party reported in its NIR (p.297) that CO₂ emissions from wildfires in forest land remaining forest land are included in the general stock change calculation. In forest land remaining forest land, burned stands are either harvested (so emissions are included with the harvesting emissions) or left to grow at reduced stocking. For both natural and planted forests, emissions from areas burned are captured within the forest plot networks that New Zealand uses to estimate CSC. In these cases, to avoid double counting of CO₂ emissions, “IE” is reported in CRF table 4(V).</w:t>
            </w:r>
          </w:p>
        </w:tc>
        <w:tc>
          <w:tcPr>
            <w:tcW w:w="2621" w:type="dxa"/>
            <w:shd w:val="clear" w:color="auto" w:fill="FFFFFF" w:themeFill="background1"/>
            <w:tcMar>
              <w:top w:w="0" w:type="dxa"/>
              <w:left w:w="85" w:type="dxa"/>
              <w:bottom w:w="0" w:type="dxa"/>
              <w:right w:w="57" w:type="dxa"/>
            </w:tcMar>
          </w:tcPr>
          <w:p w14:paraId="4791FD95" w14:textId="77777777" w:rsidR="005D02EF" w:rsidRPr="009E06AA" w:rsidRDefault="005D02EF" w:rsidP="00B55F24">
            <w:pPr>
              <w:pStyle w:val="TableText"/>
              <w:spacing w:before="30" w:after="30"/>
            </w:pPr>
            <w:r w:rsidRPr="009E06AA">
              <w:t>NA</w:t>
            </w:r>
          </w:p>
        </w:tc>
      </w:tr>
      <w:tr w:rsidR="005D02EF" w:rsidRPr="009E06AA" w14:paraId="75FE09B1" w14:textId="77777777" w:rsidTr="00271345">
        <w:tc>
          <w:tcPr>
            <w:tcW w:w="709" w:type="dxa"/>
            <w:shd w:val="clear" w:color="auto" w:fill="FFFFFF" w:themeFill="background1"/>
            <w:tcMar>
              <w:top w:w="0" w:type="dxa"/>
              <w:left w:w="85" w:type="dxa"/>
              <w:bottom w:w="0" w:type="dxa"/>
              <w:right w:w="57" w:type="dxa"/>
            </w:tcMar>
          </w:tcPr>
          <w:p w14:paraId="6B1E84A0" w14:textId="77777777" w:rsidR="005D02EF" w:rsidRPr="009E06AA" w:rsidRDefault="005D02EF" w:rsidP="00B55F24">
            <w:pPr>
              <w:pStyle w:val="TableText"/>
              <w:spacing w:before="30" w:after="30"/>
            </w:pPr>
            <w:r w:rsidRPr="009E06AA">
              <w:rPr>
                <w:rFonts w:eastAsia="Calibri"/>
                <w:color w:val="000000"/>
              </w:rPr>
              <w:t>L.21</w:t>
            </w:r>
          </w:p>
        </w:tc>
        <w:tc>
          <w:tcPr>
            <w:tcW w:w="2126" w:type="dxa"/>
            <w:shd w:val="clear" w:color="auto" w:fill="FFFFFF" w:themeFill="background1"/>
            <w:tcMar>
              <w:top w:w="0" w:type="dxa"/>
              <w:left w:w="85" w:type="dxa"/>
              <w:bottom w:w="0" w:type="dxa"/>
              <w:right w:w="57" w:type="dxa"/>
            </w:tcMar>
          </w:tcPr>
          <w:p w14:paraId="0CD2EEC8" w14:textId="77777777" w:rsidR="005D02EF" w:rsidRPr="009E06AA" w:rsidRDefault="005D02EF" w:rsidP="00B55F24">
            <w:pPr>
              <w:pStyle w:val="TableText"/>
              <w:spacing w:before="30" w:after="30"/>
            </w:pPr>
            <w:r w:rsidRPr="009E06AA">
              <w:rPr>
                <w:rFonts w:eastAsia="Calibri"/>
                <w:color w:val="000000"/>
              </w:rPr>
              <w:t>4(V) Biomass burning – N₂O (L.29, 2021) Transparency</w:t>
            </w:r>
          </w:p>
        </w:tc>
        <w:tc>
          <w:tcPr>
            <w:tcW w:w="3686" w:type="dxa"/>
            <w:shd w:val="clear" w:color="auto" w:fill="FFFFFF" w:themeFill="background1"/>
            <w:tcMar>
              <w:top w:w="0" w:type="dxa"/>
              <w:left w:w="85" w:type="dxa"/>
              <w:bottom w:w="0" w:type="dxa"/>
              <w:right w:w="57" w:type="dxa"/>
            </w:tcMar>
          </w:tcPr>
          <w:p w14:paraId="131F1D7D" w14:textId="77777777" w:rsidR="005D02EF" w:rsidRPr="009E06AA" w:rsidRDefault="005D02EF" w:rsidP="00B55F24">
            <w:pPr>
              <w:pStyle w:val="TableText"/>
              <w:spacing w:before="30" w:after="30"/>
            </w:pPr>
            <w:r w:rsidRPr="009E06AA">
              <w:rPr>
                <w:rFonts w:eastAsia="Calibri"/>
                <w:color w:val="000000"/>
              </w:rPr>
              <w:t>Provide explanations in the NIR on how the Fire and Emergency New Zealand database is fed, whether by remote sensing data or field reports, together with information on the time series of annually burned area.</w:t>
            </w:r>
          </w:p>
        </w:tc>
        <w:tc>
          <w:tcPr>
            <w:tcW w:w="4806" w:type="dxa"/>
            <w:shd w:val="clear" w:color="auto" w:fill="FFFFFF" w:themeFill="background1"/>
            <w:tcMar>
              <w:top w:w="0" w:type="dxa"/>
              <w:left w:w="85" w:type="dxa"/>
              <w:bottom w:w="0" w:type="dxa"/>
              <w:right w:w="57" w:type="dxa"/>
            </w:tcMar>
          </w:tcPr>
          <w:p w14:paraId="2BBB0C0B" w14:textId="77777777" w:rsidR="005D02EF" w:rsidRPr="009E06AA" w:rsidRDefault="005D02EF" w:rsidP="00B55F24">
            <w:pPr>
              <w:pStyle w:val="TableText"/>
              <w:spacing w:before="30" w:after="30"/>
            </w:pPr>
            <w:r w:rsidRPr="009E06AA">
              <w:rPr>
                <w:rFonts w:eastAsia="Calibri"/>
                <w:color w:val="000000"/>
              </w:rPr>
              <w:t>Resolved. The Party reported in its NIR (p.298) that wildfire AD are sourced from Fire and Emergency New Zealand, which maintains a database in which wildfire events are recorded. Historically, burned areas were estimated and allocated by field staff by vegetation type: grass, tussock, gorse, scrub, wetlands, plantation forest and indigenous forest. The process was updated in 2017 and now involves mapping the burned area and overlaying land-cover categories to identify vegetation types. The ERT noted that a reference to the online information on wildfire compiled by Fire and Emergency New Zealand would further enhance the transparency of the inventory.</w:t>
            </w:r>
          </w:p>
        </w:tc>
        <w:tc>
          <w:tcPr>
            <w:tcW w:w="2621" w:type="dxa"/>
            <w:shd w:val="clear" w:color="auto" w:fill="FFFFFF" w:themeFill="background1"/>
            <w:tcMar>
              <w:top w:w="0" w:type="dxa"/>
              <w:left w:w="85" w:type="dxa"/>
              <w:bottom w:w="0" w:type="dxa"/>
              <w:right w:w="57" w:type="dxa"/>
            </w:tcMar>
          </w:tcPr>
          <w:p w14:paraId="41C9CE59" w14:textId="77777777" w:rsidR="005D02EF" w:rsidRPr="009E06AA" w:rsidRDefault="005D02EF" w:rsidP="00B55F24">
            <w:pPr>
              <w:pStyle w:val="TableText"/>
              <w:spacing w:before="30" w:after="30"/>
            </w:pPr>
            <w:r w:rsidRPr="009E06AA">
              <w:t>NA</w:t>
            </w:r>
          </w:p>
        </w:tc>
      </w:tr>
      <w:tr w:rsidR="005D02EF" w:rsidRPr="009E06AA" w14:paraId="7AF1812B" w14:textId="77777777" w:rsidTr="00271345">
        <w:tc>
          <w:tcPr>
            <w:tcW w:w="709" w:type="dxa"/>
            <w:shd w:val="clear" w:color="auto" w:fill="FFFFFF" w:themeFill="background1"/>
            <w:tcMar>
              <w:top w:w="0" w:type="dxa"/>
              <w:left w:w="85" w:type="dxa"/>
              <w:bottom w:w="0" w:type="dxa"/>
              <w:right w:w="57" w:type="dxa"/>
            </w:tcMar>
          </w:tcPr>
          <w:p w14:paraId="2DC6B194" w14:textId="77777777" w:rsidR="005D02EF" w:rsidRPr="009E06AA" w:rsidRDefault="005D02EF" w:rsidP="00B55F24">
            <w:pPr>
              <w:pStyle w:val="TableText"/>
              <w:keepNext/>
              <w:spacing w:before="30" w:after="30"/>
            </w:pPr>
            <w:r w:rsidRPr="009E06AA">
              <w:rPr>
                <w:rFonts w:eastAsia="Calibri"/>
                <w:color w:val="000000"/>
              </w:rPr>
              <w:t>Waste</w:t>
            </w:r>
          </w:p>
        </w:tc>
        <w:tc>
          <w:tcPr>
            <w:tcW w:w="2126" w:type="dxa"/>
            <w:shd w:val="clear" w:color="auto" w:fill="FFFFFF" w:themeFill="background1"/>
            <w:tcMar>
              <w:top w:w="0" w:type="dxa"/>
              <w:left w:w="85" w:type="dxa"/>
              <w:bottom w:w="0" w:type="dxa"/>
              <w:right w:w="57" w:type="dxa"/>
            </w:tcMar>
          </w:tcPr>
          <w:p w14:paraId="3A97525C" w14:textId="77777777" w:rsidR="005D02EF" w:rsidRPr="009E06AA" w:rsidRDefault="005D02EF" w:rsidP="00B55F24">
            <w:pPr>
              <w:pStyle w:val="TableText"/>
              <w:spacing w:before="30" w:after="30"/>
            </w:pPr>
          </w:p>
        </w:tc>
        <w:tc>
          <w:tcPr>
            <w:tcW w:w="3686" w:type="dxa"/>
            <w:shd w:val="clear" w:color="auto" w:fill="FFFFFF" w:themeFill="background1"/>
            <w:tcMar>
              <w:top w:w="0" w:type="dxa"/>
              <w:left w:w="85" w:type="dxa"/>
              <w:bottom w:w="0" w:type="dxa"/>
              <w:right w:w="57" w:type="dxa"/>
            </w:tcMar>
          </w:tcPr>
          <w:p w14:paraId="5A3F53DC" w14:textId="77777777" w:rsidR="005D02EF" w:rsidRPr="009E06AA" w:rsidRDefault="005D02EF" w:rsidP="00B55F24">
            <w:pPr>
              <w:pStyle w:val="TableText"/>
              <w:spacing w:before="30" w:after="30"/>
            </w:pPr>
          </w:p>
        </w:tc>
        <w:tc>
          <w:tcPr>
            <w:tcW w:w="4806" w:type="dxa"/>
            <w:shd w:val="clear" w:color="auto" w:fill="FFFFFF" w:themeFill="background1"/>
            <w:tcMar>
              <w:top w:w="0" w:type="dxa"/>
              <w:left w:w="85" w:type="dxa"/>
              <w:bottom w:w="0" w:type="dxa"/>
              <w:right w:w="57" w:type="dxa"/>
            </w:tcMar>
          </w:tcPr>
          <w:p w14:paraId="4A8100DA" w14:textId="77777777" w:rsidR="005D02EF" w:rsidRPr="009E06AA" w:rsidRDefault="005D02EF" w:rsidP="00B55F24">
            <w:pPr>
              <w:pStyle w:val="TableText"/>
              <w:spacing w:before="30" w:after="30"/>
            </w:pPr>
          </w:p>
        </w:tc>
        <w:tc>
          <w:tcPr>
            <w:tcW w:w="2621" w:type="dxa"/>
            <w:shd w:val="clear" w:color="auto" w:fill="FFFFFF" w:themeFill="background1"/>
            <w:tcMar>
              <w:top w:w="0" w:type="dxa"/>
              <w:left w:w="85" w:type="dxa"/>
              <w:bottom w:w="0" w:type="dxa"/>
              <w:right w:w="57" w:type="dxa"/>
            </w:tcMar>
          </w:tcPr>
          <w:p w14:paraId="520A948B" w14:textId="77777777" w:rsidR="005D02EF" w:rsidRPr="009E06AA" w:rsidRDefault="005D02EF" w:rsidP="00B55F24">
            <w:pPr>
              <w:pStyle w:val="TableText"/>
              <w:spacing w:before="30" w:after="30"/>
            </w:pPr>
          </w:p>
        </w:tc>
      </w:tr>
      <w:tr w:rsidR="005D02EF" w:rsidRPr="009E06AA" w14:paraId="7B07B139" w14:textId="77777777" w:rsidTr="00271345">
        <w:tc>
          <w:tcPr>
            <w:tcW w:w="709" w:type="dxa"/>
            <w:shd w:val="clear" w:color="auto" w:fill="FFFFFF" w:themeFill="background1"/>
            <w:tcMar>
              <w:top w:w="0" w:type="dxa"/>
              <w:left w:w="85" w:type="dxa"/>
              <w:bottom w:w="0" w:type="dxa"/>
              <w:right w:w="57" w:type="dxa"/>
            </w:tcMar>
          </w:tcPr>
          <w:p w14:paraId="1DF5454F" w14:textId="77777777" w:rsidR="005D02EF" w:rsidRPr="009E06AA" w:rsidRDefault="005D02EF" w:rsidP="00B55F24">
            <w:pPr>
              <w:pStyle w:val="TableText"/>
              <w:spacing w:before="30" w:after="30"/>
            </w:pPr>
            <w:r w:rsidRPr="009E06AA">
              <w:rPr>
                <w:rFonts w:eastAsia="Calibri"/>
                <w:color w:val="000000"/>
              </w:rPr>
              <w:t>W.1</w:t>
            </w:r>
          </w:p>
        </w:tc>
        <w:tc>
          <w:tcPr>
            <w:tcW w:w="2126" w:type="dxa"/>
            <w:shd w:val="clear" w:color="auto" w:fill="FFFFFF" w:themeFill="background1"/>
            <w:tcMar>
              <w:top w:w="0" w:type="dxa"/>
              <w:left w:w="85" w:type="dxa"/>
              <w:bottom w:w="0" w:type="dxa"/>
              <w:right w:w="57" w:type="dxa"/>
            </w:tcMar>
          </w:tcPr>
          <w:p w14:paraId="6570B6BF" w14:textId="77777777" w:rsidR="005D02EF" w:rsidRPr="009E06AA" w:rsidRDefault="005D02EF" w:rsidP="00B55F24">
            <w:pPr>
              <w:pStyle w:val="TableText"/>
              <w:spacing w:before="30" w:after="30"/>
            </w:pPr>
            <w:r w:rsidRPr="009E06AA">
              <w:rPr>
                <w:rFonts w:eastAsia="Calibri"/>
                <w:color w:val="000000"/>
              </w:rPr>
              <w:t>5. General (waste) – CO₂ (W.1, 2021) (W.17, 2019) Transparency</w:t>
            </w:r>
          </w:p>
        </w:tc>
        <w:tc>
          <w:tcPr>
            <w:tcW w:w="3686" w:type="dxa"/>
            <w:shd w:val="clear" w:color="auto" w:fill="FFFFFF" w:themeFill="background1"/>
            <w:tcMar>
              <w:top w:w="0" w:type="dxa"/>
              <w:left w:w="85" w:type="dxa"/>
              <w:bottom w:w="0" w:type="dxa"/>
              <w:right w:w="57" w:type="dxa"/>
            </w:tcMar>
          </w:tcPr>
          <w:p w14:paraId="301FAF6E" w14:textId="77777777" w:rsidR="005D02EF" w:rsidRPr="009E06AA" w:rsidRDefault="005D02EF" w:rsidP="00B55F24">
            <w:pPr>
              <w:pStyle w:val="TableText"/>
              <w:spacing w:before="30" w:after="30"/>
            </w:pPr>
            <w:r w:rsidRPr="009E06AA">
              <w:rPr>
                <w:rFonts w:eastAsia="Calibri"/>
                <w:color w:val="000000"/>
              </w:rPr>
              <w:t>Include more information on current waste management, such as an overview of MSW generation and its treatment method (recycling, composting, incineration or disposal) in NIR section 7.1.1, and its impact on the composition of waste disposed to landfill.</w:t>
            </w:r>
          </w:p>
        </w:tc>
        <w:tc>
          <w:tcPr>
            <w:tcW w:w="4806" w:type="dxa"/>
            <w:shd w:val="clear" w:color="auto" w:fill="FFFFFF" w:themeFill="background1"/>
            <w:tcMar>
              <w:top w:w="0" w:type="dxa"/>
              <w:left w:w="85" w:type="dxa"/>
              <w:bottom w:w="0" w:type="dxa"/>
              <w:right w:w="57" w:type="dxa"/>
            </w:tcMar>
          </w:tcPr>
          <w:p w14:paraId="4A99D3F8" w14:textId="77777777" w:rsidR="005D02EF" w:rsidRPr="009E06AA" w:rsidRDefault="005D02EF" w:rsidP="00B55F24">
            <w:pPr>
              <w:pStyle w:val="TableText"/>
              <w:spacing w:before="30" w:after="30"/>
            </w:pPr>
            <w:r w:rsidRPr="009E06AA">
              <w:rPr>
                <w:rFonts w:eastAsia="Calibri"/>
                <w:color w:val="000000"/>
              </w:rPr>
              <w:t>Not resolved. The previous ERT noted that the Party did not indicate how management practices impact the composition of waste disposed to landfill. During the review, the Party indicated that no changes were made to NIR section 7.1.1 compared with the 2021 submission.</w:t>
            </w:r>
          </w:p>
        </w:tc>
        <w:tc>
          <w:tcPr>
            <w:tcW w:w="2621" w:type="dxa"/>
            <w:shd w:val="clear" w:color="auto" w:fill="FFFFFF" w:themeFill="background1"/>
            <w:tcMar>
              <w:top w:w="0" w:type="dxa"/>
              <w:left w:w="85" w:type="dxa"/>
              <w:bottom w:w="0" w:type="dxa"/>
              <w:right w:w="57" w:type="dxa"/>
            </w:tcMar>
          </w:tcPr>
          <w:p w14:paraId="0A65B61A" w14:textId="77777777" w:rsidR="005D02EF" w:rsidRPr="009E06AA" w:rsidRDefault="005D02EF" w:rsidP="00B55F24">
            <w:pPr>
              <w:pStyle w:val="TableText"/>
              <w:spacing w:before="30" w:after="30"/>
              <w:rPr>
                <w:rFonts w:cstheme="minorHAnsi"/>
              </w:rPr>
            </w:pPr>
            <w:r w:rsidRPr="009E06AA">
              <w:rPr>
                <w:rFonts w:cstheme="minorHAnsi"/>
                <w:b/>
                <w:bCs/>
              </w:rPr>
              <w:t>Addressing</w:t>
            </w:r>
            <w:r w:rsidRPr="009E06AA">
              <w:rPr>
                <w:rFonts w:cstheme="minorHAnsi"/>
              </w:rPr>
              <w:t>. New Zealand is in the process of collecting quantitative and qualitative data to improve the information provided under chapter 7, section 7.1.1, regarding the impact of waste management practices on the composition of waste disposed to landfills. This information is being collected through the implementation of New Zealand’s first Emissions Reduction Plan (Ministry for the Environment, 2022) and it is expected to be available in late 2024.</w:t>
            </w:r>
          </w:p>
        </w:tc>
      </w:tr>
      <w:tr w:rsidR="005D02EF" w:rsidRPr="009E06AA" w14:paraId="017B0264" w14:textId="77777777" w:rsidTr="00271345">
        <w:tc>
          <w:tcPr>
            <w:tcW w:w="709" w:type="dxa"/>
            <w:shd w:val="clear" w:color="auto" w:fill="FFFFFF" w:themeFill="background1"/>
            <w:tcMar>
              <w:top w:w="0" w:type="dxa"/>
              <w:left w:w="85" w:type="dxa"/>
              <w:bottom w:w="0" w:type="dxa"/>
              <w:right w:w="57" w:type="dxa"/>
            </w:tcMar>
          </w:tcPr>
          <w:p w14:paraId="7126D73B" w14:textId="77777777" w:rsidR="005D02EF" w:rsidRPr="009E06AA" w:rsidRDefault="005D02EF" w:rsidP="00B55F24">
            <w:pPr>
              <w:pStyle w:val="TableText"/>
              <w:spacing w:before="30" w:after="30"/>
            </w:pPr>
            <w:r w:rsidRPr="009E06AA">
              <w:rPr>
                <w:rFonts w:eastAsia="Calibri"/>
                <w:color w:val="000000"/>
              </w:rPr>
              <w:t>W.2</w:t>
            </w:r>
          </w:p>
        </w:tc>
        <w:tc>
          <w:tcPr>
            <w:tcW w:w="2126" w:type="dxa"/>
            <w:shd w:val="clear" w:color="auto" w:fill="FFFFFF" w:themeFill="background1"/>
            <w:tcMar>
              <w:top w:w="0" w:type="dxa"/>
              <w:left w:w="85" w:type="dxa"/>
              <w:bottom w:w="0" w:type="dxa"/>
              <w:right w:w="57" w:type="dxa"/>
            </w:tcMar>
          </w:tcPr>
          <w:p w14:paraId="7A1BF8A0" w14:textId="77777777" w:rsidR="005D02EF" w:rsidRPr="009E06AA" w:rsidRDefault="005D02EF" w:rsidP="00B55F24">
            <w:pPr>
              <w:pStyle w:val="TableText"/>
              <w:spacing w:before="30" w:after="30"/>
            </w:pPr>
            <w:r w:rsidRPr="009E06AA">
              <w:rPr>
                <w:rFonts w:eastAsia="Calibri"/>
                <w:color w:val="000000"/>
              </w:rPr>
              <w:t>5.A Solid waste disposal on land – CH₄ (W.3, 2021) (W.4, 2019) (W.5, 2017) (W.4, 2016) (W.7, 2015) Accuracy</w:t>
            </w:r>
          </w:p>
        </w:tc>
        <w:tc>
          <w:tcPr>
            <w:tcW w:w="3686" w:type="dxa"/>
            <w:shd w:val="clear" w:color="auto" w:fill="FFFFFF" w:themeFill="background1"/>
            <w:tcMar>
              <w:top w:w="0" w:type="dxa"/>
              <w:left w:w="85" w:type="dxa"/>
              <w:bottom w:w="0" w:type="dxa"/>
              <w:right w:w="57" w:type="dxa"/>
            </w:tcMar>
          </w:tcPr>
          <w:p w14:paraId="1E1E1E9E" w14:textId="77777777" w:rsidR="005D02EF" w:rsidRPr="009E06AA" w:rsidRDefault="005D02EF" w:rsidP="00B55F24">
            <w:pPr>
              <w:pStyle w:val="TableText"/>
              <w:spacing w:before="30" w:after="30"/>
            </w:pPr>
            <w:r w:rsidRPr="009E06AA">
              <w:rPr>
                <w:rFonts w:eastAsia="Calibri"/>
                <w:color w:val="000000"/>
              </w:rPr>
              <w:t>Provide substantive justification for the country-specific values for CH₄ recovery efficiency, including justification for the factors that can enhance the recovery, or revise the estimates for CH₄ recovery at SWDS for which metered data are not available to 20 per cent, in order to be consistent with the 2006 IPCC Guidelines.</w:t>
            </w:r>
          </w:p>
        </w:tc>
        <w:tc>
          <w:tcPr>
            <w:tcW w:w="4806" w:type="dxa"/>
            <w:shd w:val="clear" w:color="auto" w:fill="FFFFFF" w:themeFill="background1"/>
            <w:tcMar>
              <w:top w:w="0" w:type="dxa"/>
              <w:left w:w="85" w:type="dxa"/>
              <w:bottom w:w="0" w:type="dxa"/>
              <w:right w:w="57" w:type="dxa"/>
            </w:tcMar>
          </w:tcPr>
          <w:p w14:paraId="04895D0F" w14:textId="77777777" w:rsidR="005D02EF" w:rsidRPr="009E06AA" w:rsidRDefault="005D02EF" w:rsidP="00B55F24">
            <w:pPr>
              <w:pStyle w:val="TableText"/>
              <w:spacing w:before="30" w:after="30"/>
            </w:pPr>
            <w:r w:rsidRPr="009E06AA">
              <w:rPr>
                <w:rFonts w:eastAsia="Calibri"/>
                <w:color w:val="000000"/>
              </w:rPr>
              <w:t>Resolved. The Party provided in its NIR (p.318) a reference to an unpublished study in which these country-specific values on CH₄ recovery are justified (see ID# W.12 in table 5).</w:t>
            </w:r>
          </w:p>
        </w:tc>
        <w:tc>
          <w:tcPr>
            <w:tcW w:w="2621" w:type="dxa"/>
            <w:shd w:val="clear" w:color="auto" w:fill="FFFFFF" w:themeFill="background1"/>
            <w:tcMar>
              <w:top w:w="0" w:type="dxa"/>
              <w:left w:w="85" w:type="dxa"/>
              <w:bottom w:w="0" w:type="dxa"/>
              <w:right w:w="57" w:type="dxa"/>
            </w:tcMar>
          </w:tcPr>
          <w:p w14:paraId="24C3AAC5" w14:textId="77777777" w:rsidR="005D02EF" w:rsidRPr="009E06AA" w:rsidRDefault="005D02EF" w:rsidP="00B55F24">
            <w:pPr>
              <w:pStyle w:val="TableText"/>
              <w:spacing w:before="30" w:after="30"/>
            </w:pPr>
            <w:r w:rsidRPr="009E06AA">
              <w:t>NA</w:t>
            </w:r>
          </w:p>
        </w:tc>
      </w:tr>
      <w:tr w:rsidR="005D02EF" w:rsidRPr="009E06AA" w14:paraId="0412FA7C" w14:textId="77777777" w:rsidTr="00271345">
        <w:tc>
          <w:tcPr>
            <w:tcW w:w="709" w:type="dxa"/>
            <w:shd w:val="clear" w:color="auto" w:fill="FFFFFF" w:themeFill="background1"/>
            <w:tcMar>
              <w:top w:w="0" w:type="dxa"/>
              <w:left w:w="85" w:type="dxa"/>
              <w:bottom w:w="0" w:type="dxa"/>
              <w:right w:w="57" w:type="dxa"/>
            </w:tcMar>
          </w:tcPr>
          <w:p w14:paraId="671759FE" w14:textId="77777777" w:rsidR="005D02EF" w:rsidRPr="009E06AA" w:rsidRDefault="005D02EF" w:rsidP="00B55F24">
            <w:pPr>
              <w:pStyle w:val="TableText"/>
              <w:spacing w:before="30" w:after="30"/>
            </w:pPr>
            <w:r w:rsidRPr="009E06AA">
              <w:rPr>
                <w:rFonts w:eastAsia="Calibri"/>
                <w:color w:val="000000"/>
              </w:rPr>
              <w:t>W.3</w:t>
            </w:r>
          </w:p>
        </w:tc>
        <w:tc>
          <w:tcPr>
            <w:tcW w:w="2126" w:type="dxa"/>
            <w:shd w:val="clear" w:color="auto" w:fill="FFFFFF" w:themeFill="background1"/>
            <w:tcMar>
              <w:top w:w="0" w:type="dxa"/>
              <w:left w:w="85" w:type="dxa"/>
              <w:bottom w:w="0" w:type="dxa"/>
              <w:right w:w="57" w:type="dxa"/>
            </w:tcMar>
          </w:tcPr>
          <w:p w14:paraId="05E450CD" w14:textId="77777777" w:rsidR="005D02EF" w:rsidRPr="009E06AA" w:rsidRDefault="005D02EF" w:rsidP="00B55F24">
            <w:pPr>
              <w:pStyle w:val="TableText"/>
              <w:spacing w:before="30" w:after="30"/>
            </w:pPr>
            <w:r w:rsidRPr="009E06AA">
              <w:rPr>
                <w:rFonts w:eastAsia="Calibri"/>
                <w:color w:val="000000"/>
              </w:rPr>
              <w:t>5.A Solid waste disposal on land – CH₄ (W.13, 2021) Transparency</w:t>
            </w:r>
          </w:p>
        </w:tc>
        <w:tc>
          <w:tcPr>
            <w:tcW w:w="3686" w:type="dxa"/>
            <w:shd w:val="clear" w:color="auto" w:fill="FFFFFF" w:themeFill="background1"/>
            <w:tcMar>
              <w:top w:w="0" w:type="dxa"/>
              <w:left w:w="85" w:type="dxa"/>
              <w:bottom w:w="0" w:type="dxa"/>
              <w:right w:w="57" w:type="dxa"/>
            </w:tcMar>
          </w:tcPr>
          <w:p w14:paraId="22FC7A27" w14:textId="77777777" w:rsidR="005D02EF" w:rsidRPr="009E06AA" w:rsidRDefault="005D02EF" w:rsidP="00B55F24">
            <w:pPr>
              <w:pStyle w:val="TableText"/>
              <w:spacing w:before="30" w:after="30"/>
            </w:pPr>
            <w:r w:rsidRPr="009E06AA">
              <w:rPr>
                <w:rFonts w:eastAsia="Calibri"/>
                <w:color w:val="000000"/>
              </w:rPr>
              <w:t>Include information in the NIR on the consolidation of MSW landfill sites – from numerous small and poorly managed to fewer large-scale and well-managed landfills – and any additional information on the changing trends in waste generation and waste management in the country.</w:t>
            </w:r>
          </w:p>
        </w:tc>
        <w:tc>
          <w:tcPr>
            <w:tcW w:w="4806" w:type="dxa"/>
            <w:shd w:val="clear" w:color="auto" w:fill="FFFFFF" w:themeFill="background1"/>
            <w:tcMar>
              <w:top w:w="0" w:type="dxa"/>
              <w:left w:w="85" w:type="dxa"/>
              <w:bottom w:w="0" w:type="dxa"/>
              <w:right w:w="57" w:type="dxa"/>
            </w:tcMar>
          </w:tcPr>
          <w:p w14:paraId="4AE6EE0D" w14:textId="77777777" w:rsidR="005D02EF" w:rsidRPr="009E06AA" w:rsidRDefault="005D02EF" w:rsidP="00B55F24">
            <w:pPr>
              <w:pStyle w:val="TableText"/>
              <w:spacing w:before="30" w:after="30"/>
            </w:pPr>
            <w:r w:rsidRPr="009E06AA">
              <w:rPr>
                <w:rFonts w:eastAsia="Calibri"/>
                <w:color w:val="000000"/>
              </w:rPr>
              <w:t>Resolved. The Party provided in its NIR (p.308) an explanation of the waste policies that resulted in the disposal of solid waste to fewer larger and better managed landfills.</w:t>
            </w:r>
          </w:p>
        </w:tc>
        <w:tc>
          <w:tcPr>
            <w:tcW w:w="2621" w:type="dxa"/>
            <w:shd w:val="clear" w:color="auto" w:fill="FFFFFF" w:themeFill="background1"/>
            <w:tcMar>
              <w:top w:w="0" w:type="dxa"/>
              <w:left w:w="85" w:type="dxa"/>
              <w:bottom w:w="0" w:type="dxa"/>
              <w:right w:w="57" w:type="dxa"/>
            </w:tcMar>
          </w:tcPr>
          <w:p w14:paraId="1847584B" w14:textId="77777777" w:rsidR="005D02EF" w:rsidRPr="009E06AA" w:rsidRDefault="005D02EF" w:rsidP="00B55F24">
            <w:pPr>
              <w:pStyle w:val="TableText"/>
              <w:spacing w:before="30" w:after="30"/>
            </w:pPr>
            <w:r w:rsidRPr="009E06AA">
              <w:t>NA</w:t>
            </w:r>
          </w:p>
        </w:tc>
      </w:tr>
      <w:tr w:rsidR="005D02EF" w:rsidRPr="009E06AA" w14:paraId="3514F6FF" w14:textId="77777777" w:rsidTr="00271345">
        <w:tc>
          <w:tcPr>
            <w:tcW w:w="709" w:type="dxa"/>
            <w:shd w:val="clear" w:color="auto" w:fill="FFFFFF" w:themeFill="background1"/>
            <w:tcMar>
              <w:top w:w="0" w:type="dxa"/>
              <w:left w:w="85" w:type="dxa"/>
              <w:bottom w:w="0" w:type="dxa"/>
              <w:right w:w="57" w:type="dxa"/>
            </w:tcMar>
          </w:tcPr>
          <w:p w14:paraId="6720143A" w14:textId="77777777" w:rsidR="005D02EF" w:rsidRPr="009E06AA" w:rsidRDefault="005D02EF" w:rsidP="00B55F24">
            <w:pPr>
              <w:pStyle w:val="TableText"/>
              <w:spacing w:before="30" w:after="30"/>
            </w:pPr>
            <w:r w:rsidRPr="009E06AA">
              <w:rPr>
                <w:rFonts w:eastAsia="Calibri"/>
                <w:color w:val="000000"/>
              </w:rPr>
              <w:t>W.4</w:t>
            </w:r>
          </w:p>
        </w:tc>
        <w:tc>
          <w:tcPr>
            <w:tcW w:w="2126" w:type="dxa"/>
            <w:shd w:val="clear" w:color="auto" w:fill="FFFFFF" w:themeFill="background1"/>
            <w:tcMar>
              <w:top w:w="0" w:type="dxa"/>
              <w:left w:w="85" w:type="dxa"/>
              <w:bottom w:w="0" w:type="dxa"/>
              <w:right w:w="57" w:type="dxa"/>
            </w:tcMar>
          </w:tcPr>
          <w:p w14:paraId="54B4E337" w14:textId="77777777" w:rsidR="005D02EF" w:rsidRPr="009E06AA" w:rsidRDefault="005D02EF" w:rsidP="00B55F24">
            <w:pPr>
              <w:pStyle w:val="TableText"/>
              <w:spacing w:before="30" w:after="30"/>
            </w:pPr>
            <w:r w:rsidRPr="009E06AA">
              <w:rPr>
                <w:rFonts w:eastAsia="Calibri"/>
                <w:color w:val="000000"/>
              </w:rPr>
              <w:t>5.A.3 Uncategorized waste disposal sites – CH₄ (W.14, 2021) Transparency</w:t>
            </w:r>
          </w:p>
        </w:tc>
        <w:tc>
          <w:tcPr>
            <w:tcW w:w="3686" w:type="dxa"/>
            <w:shd w:val="clear" w:color="auto" w:fill="FFFFFF" w:themeFill="background1"/>
            <w:tcMar>
              <w:top w:w="0" w:type="dxa"/>
              <w:left w:w="85" w:type="dxa"/>
              <w:bottom w:w="0" w:type="dxa"/>
              <w:right w:w="57" w:type="dxa"/>
            </w:tcMar>
          </w:tcPr>
          <w:p w14:paraId="3A7D8F45" w14:textId="77777777" w:rsidR="005D02EF" w:rsidRPr="009E06AA" w:rsidRDefault="005D02EF" w:rsidP="00B55F24">
            <w:pPr>
              <w:pStyle w:val="TableText"/>
              <w:spacing w:before="30" w:after="30"/>
            </w:pPr>
            <w:r w:rsidRPr="009E06AA">
              <w:rPr>
                <w:rFonts w:eastAsia="Calibri"/>
                <w:color w:val="000000"/>
              </w:rPr>
              <w:t>Provide additional information in NIR section 7.1.1 on current waste management practices, including a higher-resolution version of figure 7.1.1 and an overview of MSW generation and its treatment method (recycling, composting, incineration, or disposal), and the impact of such practices on the composition of waste disposed to landfill.</w:t>
            </w:r>
          </w:p>
        </w:tc>
        <w:tc>
          <w:tcPr>
            <w:tcW w:w="4806" w:type="dxa"/>
            <w:shd w:val="clear" w:color="auto" w:fill="FFFFFF" w:themeFill="background1"/>
            <w:tcMar>
              <w:top w:w="0" w:type="dxa"/>
              <w:left w:w="85" w:type="dxa"/>
              <w:bottom w:w="0" w:type="dxa"/>
              <w:right w:w="57" w:type="dxa"/>
            </w:tcMar>
          </w:tcPr>
          <w:p w14:paraId="7DEE1F2E" w14:textId="77777777" w:rsidR="005D02EF" w:rsidRPr="009E06AA" w:rsidRDefault="005D02EF" w:rsidP="00B55F24">
            <w:pPr>
              <w:pStyle w:val="TableText"/>
              <w:spacing w:before="30" w:after="30"/>
            </w:pPr>
            <w:r w:rsidRPr="009E06AA">
              <w:rPr>
                <w:rFonts w:eastAsia="Calibri"/>
                <w:color w:val="000000"/>
              </w:rPr>
              <w:t>Addressing. The Party indicated that no changes were made to NIR figure 7.1.1 because the previous ERT was insufficiently explicit on what improvements would be useful for future reviews. According to the current ERT, figure 7.1.1 should be an introductory figure, allowing the reader to understand the main waste generation, pre-treatment and disposal methods and to assess completeness. The figure should preferably contain some quantitative information for a recent year (preferably the latest reported year of the annual submission). The figure may be simplified; intermediate actors (waste collectors, aggregators and redistributors) do not need to be included. Terms should be consistent with text in the NIR and in the 2006 IPCC Guidelines (e.g. MSW instead of residential households).</w:t>
            </w:r>
          </w:p>
        </w:tc>
        <w:tc>
          <w:tcPr>
            <w:tcW w:w="2621" w:type="dxa"/>
            <w:shd w:val="clear" w:color="auto" w:fill="FFFFFF" w:themeFill="background1"/>
            <w:tcMar>
              <w:top w:w="0" w:type="dxa"/>
              <w:left w:w="85" w:type="dxa"/>
              <w:bottom w:w="0" w:type="dxa"/>
              <w:right w:w="57" w:type="dxa"/>
            </w:tcMar>
          </w:tcPr>
          <w:p w14:paraId="332F351A" w14:textId="77777777" w:rsidR="005D02EF" w:rsidRPr="009E06AA" w:rsidRDefault="005D02EF" w:rsidP="00B55F24">
            <w:pPr>
              <w:pStyle w:val="TableText"/>
              <w:spacing w:before="30" w:after="30"/>
            </w:pPr>
            <w:r w:rsidRPr="009E06AA">
              <w:rPr>
                <w:rFonts w:cstheme="minorHAnsi"/>
                <w:b/>
                <w:bCs/>
              </w:rPr>
              <w:t>Addressing</w:t>
            </w:r>
            <w:r w:rsidRPr="009E06AA">
              <w:rPr>
                <w:rFonts w:cstheme="minorHAnsi"/>
              </w:rPr>
              <w:t>. New Zealand is collecting quantitative and qualitative data to improve the resolution of figure 7.1.1 in chapter 7 regarding MSW generation and its treatment methods (recycling, composting, incineration or disposal). This information is being collected through the implementation of New Zealand’s first Emissions Reduction Plan (Ministry for the Environment, 2022) and it is expected to be available in late 2024.</w:t>
            </w:r>
          </w:p>
        </w:tc>
      </w:tr>
      <w:tr w:rsidR="005D02EF" w:rsidRPr="009E06AA" w14:paraId="53CAB73A" w14:textId="77777777" w:rsidTr="00271345">
        <w:tc>
          <w:tcPr>
            <w:tcW w:w="709" w:type="dxa"/>
            <w:shd w:val="clear" w:color="auto" w:fill="FFFFFF" w:themeFill="background1"/>
            <w:tcMar>
              <w:top w:w="0" w:type="dxa"/>
              <w:left w:w="85" w:type="dxa"/>
              <w:bottom w:w="0" w:type="dxa"/>
              <w:right w:w="57" w:type="dxa"/>
            </w:tcMar>
          </w:tcPr>
          <w:p w14:paraId="0054523B" w14:textId="77777777" w:rsidR="005D02EF" w:rsidRPr="009E06AA" w:rsidRDefault="005D02EF" w:rsidP="00B55F24">
            <w:pPr>
              <w:pStyle w:val="TableText"/>
              <w:spacing w:before="30" w:after="30"/>
            </w:pPr>
            <w:r w:rsidRPr="009E06AA">
              <w:rPr>
                <w:rFonts w:eastAsia="Calibri"/>
                <w:color w:val="000000"/>
              </w:rPr>
              <w:t>W.5</w:t>
            </w:r>
          </w:p>
        </w:tc>
        <w:tc>
          <w:tcPr>
            <w:tcW w:w="2126" w:type="dxa"/>
            <w:shd w:val="clear" w:color="auto" w:fill="FFFFFF" w:themeFill="background1"/>
            <w:tcMar>
              <w:top w:w="0" w:type="dxa"/>
              <w:left w:w="85" w:type="dxa"/>
              <w:bottom w:w="0" w:type="dxa"/>
              <w:right w:w="57" w:type="dxa"/>
            </w:tcMar>
          </w:tcPr>
          <w:p w14:paraId="3DE360C0" w14:textId="77777777" w:rsidR="005D02EF" w:rsidRPr="009E06AA" w:rsidRDefault="005D02EF" w:rsidP="00B55F24">
            <w:pPr>
              <w:pStyle w:val="TableText"/>
              <w:spacing w:before="30" w:after="30"/>
            </w:pPr>
            <w:r w:rsidRPr="009E06AA">
              <w:rPr>
                <w:rFonts w:eastAsia="Calibri"/>
                <w:color w:val="000000"/>
              </w:rPr>
              <w:t>5.B.1 Composting – CH₄ (W.15, 2021) Convention reporting adherence</w:t>
            </w:r>
          </w:p>
        </w:tc>
        <w:tc>
          <w:tcPr>
            <w:tcW w:w="3686" w:type="dxa"/>
            <w:shd w:val="clear" w:color="auto" w:fill="FFFFFF" w:themeFill="background1"/>
            <w:tcMar>
              <w:top w:w="0" w:type="dxa"/>
              <w:left w:w="85" w:type="dxa"/>
              <w:bottom w:w="0" w:type="dxa"/>
              <w:right w:w="57" w:type="dxa"/>
            </w:tcMar>
          </w:tcPr>
          <w:p w14:paraId="57036BE2" w14:textId="77777777" w:rsidR="005D02EF" w:rsidRPr="009E06AA" w:rsidRDefault="005D02EF" w:rsidP="00B55F24">
            <w:pPr>
              <w:pStyle w:val="TableText"/>
              <w:spacing w:before="30" w:after="30"/>
            </w:pPr>
            <w:r w:rsidRPr="009E06AA">
              <w:rPr>
                <w:rFonts w:eastAsia="Calibri"/>
                <w:color w:val="000000"/>
              </w:rPr>
              <w:t>Correct the text in the NIR (p.381) to refer to the correct number in table 7.2.3 (which reflects total MSW) and provide a description of the AD on composting used for the estimates.</w:t>
            </w:r>
          </w:p>
        </w:tc>
        <w:tc>
          <w:tcPr>
            <w:tcW w:w="4806" w:type="dxa"/>
            <w:shd w:val="clear" w:color="auto" w:fill="FFFFFF" w:themeFill="background1"/>
            <w:tcMar>
              <w:top w:w="0" w:type="dxa"/>
              <w:left w:w="85" w:type="dxa"/>
              <w:bottom w:w="0" w:type="dxa"/>
              <w:right w:w="57" w:type="dxa"/>
            </w:tcMar>
          </w:tcPr>
          <w:p w14:paraId="394EA5ED" w14:textId="77777777" w:rsidR="005D02EF" w:rsidRPr="009E06AA" w:rsidRDefault="005D02EF" w:rsidP="00B55F24">
            <w:pPr>
              <w:pStyle w:val="TableText"/>
              <w:spacing w:before="30" w:after="30"/>
            </w:pPr>
            <w:r w:rsidRPr="009E06AA">
              <w:rPr>
                <w:rFonts w:eastAsia="Calibri"/>
                <w:color w:val="000000"/>
              </w:rPr>
              <w:t>Resolved. The Party provided in its NIR (p.322) a reference to the correct NIR table 7.2.3 (solid waste deposited to municipal and uncategorized landfills from 1950 to 2020).</w:t>
            </w:r>
          </w:p>
        </w:tc>
        <w:tc>
          <w:tcPr>
            <w:tcW w:w="2621" w:type="dxa"/>
            <w:shd w:val="clear" w:color="auto" w:fill="FFFFFF" w:themeFill="background1"/>
            <w:tcMar>
              <w:top w:w="0" w:type="dxa"/>
              <w:left w:w="85" w:type="dxa"/>
              <w:bottom w:w="0" w:type="dxa"/>
              <w:right w:w="57" w:type="dxa"/>
            </w:tcMar>
          </w:tcPr>
          <w:p w14:paraId="1940535C" w14:textId="77777777" w:rsidR="005D02EF" w:rsidRPr="009E06AA" w:rsidRDefault="005D02EF" w:rsidP="00B55F24">
            <w:pPr>
              <w:pStyle w:val="TableText"/>
              <w:spacing w:before="30" w:after="30"/>
            </w:pPr>
            <w:r w:rsidRPr="009E06AA">
              <w:t>NA</w:t>
            </w:r>
          </w:p>
        </w:tc>
      </w:tr>
      <w:tr w:rsidR="005D02EF" w:rsidRPr="009E06AA" w14:paraId="7932716D" w14:textId="77777777" w:rsidTr="00271345">
        <w:tc>
          <w:tcPr>
            <w:tcW w:w="709" w:type="dxa"/>
            <w:shd w:val="clear" w:color="auto" w:fill="FFFFFF" w:themeFill="background1"/>
            <w:tcMar>
              <w:top w:w="0" w:type="dxa"/>
              <w:left w:w="85" w:type="dxa"/>
              <w:bottom w:w="0" w:type="dxa"/>
              <w:right w:w="57" w:type="dxa"/>
            </w:tcMar>
          </w:tcPr>
          <w:p w14:paraId="22E41EDD" w14:textId="77777777" w:rsidR="005D02EF" w:rsidRPr="009E06AA" w:rsidRDefault="005D02EF" w:rsidP="00B55F24">
            <w:pPr>
              <w:pStyle w:val="TableText"/>
              <w:spacing w:before="30" w:after="30"/>
            </w:pPr>
            <w:r w:rsidRPr="009E06AA">
              <w:rPr>
                <w:rFonts w:eastAsia="Calibri"/>
                <w:color w:val="000000"/>
              </w:rPr>
              <w:t>W.6</w:t>
            </w:r>
          </w:p>
        </w:tc>
        <w:tc>
          <w:tcPr>
            <w:tcW w:w="2126" w:type="dxa"/>
            <w:shd w:val="clear" w:color="auto" w:fill="FFFFFF" w:themeFill="background1"/>
            <w:tcMar>
              <w:top w:w="0" w:type="dxa"/>
              <w:left w:w="85" w:type="dxa"/>
              <w:bottom w:w="0" w:type="dxa"/>
              <w:right w:w="57" w:type="dxa"/>
            </w:tcMar>
          </w:tcPr>
          <w:p w14:paraId="2480C241" w14:textId="77777777" w:rsidR="005D02EF" w:rsidRPr="009E06AA" w:rsidRDefault="005D02EF" w:rsidP="00B55F24">
            <w:pPr>
              <w:pStyle w:val="TableText"/>
              <w:spacing w:before="30" w:after="30"/>
            </w:pPr>
            <w:r w:rsidRPr="009E06AA">
              <w:rPr>
                <w:rFonts w:eastAsia="Calibri"/>
                <w:color w:val="000000"/>
              </w:rPr>
              <w:t>5.C.1 Waste incineration – CO₂ (W.8, 2021) (W.21, 2019) Convention reporting adherence</w:t>
            </w:r>
          </w:p>
        </w:tc>
        <w:tc>
          <w:tcPr>
            <w:tcW w:w="3686" w:type="dxa"/>
            <w:shd w:val="clear" w:color="auto" w:fill="FFFFFF" w:themeFill="background1"/>
            <w:tcMar>
              <w:top w:w="0" w:type="dxa"/>
              <w:left w:w="85" w:type="dxa"/>
              <w:bottom w:w="0" w:type="dxa"/>
              <w:right w:w="57" w:type="dxa"/>
            </w:tcMar>
          </w:tcPr>
          <w:p w14:paraId="7AA8F367" w14:textId="77777777" w:rsidR="005D02EF" w:rsidRPr="009E06AA" w:rsidRDefault="005D02EF" w:rsidP="00B55F24">
            <w:pPr>
              <w:pStyle w:val="TableText"/>
              <w:spacing w:before="30" w:after="30"/>
            </w:pPr>
            <w:r w:rsidRPr="009E06AA">
              <w:rPr>
                <w:rFonts w:eastAsia="Calibri"/>
                <w:color w:val="000000"/>
              </w:rPr>
              <w:t>Investigate historical data on waste incineration in schools and revise the estimates, if appropriate.</w:t>
            </w:r>
          </w:p>
        </w:tc>
        <w:tc>
          <w:tcPr>
            <w:tcW w:w="4806" w:type="dxa"/>
            <w:shd w:val="clear" w:color="auto" w:fill="FFFFFF" w:themeFill="background1"/>
            <w:tcMar>
              <w:top w:w="0" w:type="dxa"/>
              <w:left w:w="85" w:type="dxa"/>
              <w:bottom w:w="0" w:type="dxa"/>
              <w:right w:w="57" w:type="dxa"/>
            </w:tcMar>
          </w:tcPr>
          <w:p w14:paraId="3E8EB4AC" w14:textId="77777777" w:rsidR="005D02EF" w:rsidRPr="009E06AA" w:rsidRDefault="005D02EF" w:rsidP="00B55F24">
            <w:pPr>
              <w:pStyle w:val="TableText"/>
              <w:spacing w:before="30" w:after="30"/>
            </w:pPr>
            <w:r w:rsidRPr="009E06AA">
              <w:rPr>
                <w:rFonts w:eastAsia="Calibri"/>
                <w:color w:val="000000"/>
              </w:rPr>
              <w:t>Addressing. The Party reported the incineration of MSW (category 5.C.1) in CRF table 5.C as “NO”. The Party stated in the NIR (p.302) that MSW is generally not incinerated in New Zealand. The Party provided in annex 6 to the NIR an explanation of why emissions from waste incineration in schools are below the significance threshold. In annex 6.2 to the NIR, estimated emissions were reported to be 0.04 kt CO₂ eq/year, which is less than 1 per cent of the significance threshold for 2020. It is unlikely that emissions in the past would have exceeded the significance thresholds in specific years of the time series 1990– 2020. During the review, the Party clarified that it incorrectly reported “NE” under subcategory 5.C.2.2.a instead of subcategory 5.C.1.2.a in CRF Reporter. The ERT considers the use of “NE” for reporting under subcategory 5.C.1.2.a to be appropriate as emissions for this subcategory are below the significance threshold.</w:t>
            </w:r>
          </w:p>
        </w:tc>
        <w:tc>
          <w:tcPr>
            <w:tcW w:w="2621" w:type="dxa"/>
            <w:shd w:val="clear" w:color="auto" w:fill="FFFFFF" w:themeFill="background1"/>
            <w:tcMar>
              <w:top w:w="0" w:type="dxa"/>
              <w:left w:w="85" w:type="dxa"/>
              <w:bottom w:w="0" w:type="dxa"/>
              <w:right w:w="57" w:type="dxa"/>
            </w:tcMar>
          </w:tcPr>
          <w:p w14:paraId="03B606E0" w14:textId="77777777" w:rsidR="005D02EF" w:rsidRPr="009E06AA" w:rsidRDefault="005D02EF" w:rsidP="00B55F24">
            <w:pPr>
              <w:pStyle w:val="TableText"/>
              <w:spacing w:before="30" w:after="30"/>
            </w:pPr>
            <w:r w:rsidRPr="009E06AA">
              <w:rPr>
                <w:b/>
                <w:bCs/>
              </w:rPr>
              <w:t>Resolved</w:t>
            </w:r>
            <w:r w:rsidRPr="009E06AA">
              <w:rPr>
                <w:bCs/>
              </w:rPr>
              <w:t>.</w:t>
            </w:r>
            <w:r w:rsidRPr="009E06AA">
              <w:t xml:space="preserve"> New Zealand has investigated historical data on waste incineration in schools. There is no additional data on the practice of incinerating waste in rural schools. New Zealand has corrected its reporting of this source in CRF table 5.C so that it is in accordance with the explanation provided in chapter 7.</w:t>
            </w:r>
          </w:p>
        </w:tc>
      </w:tr>
      <w:tr w:rsidR="005D02EF" w:rsidRPr="009E06AA" w14:paraId="4821C02F" w14:textId="77777777" w:rsidTr="00271345">
        <w:tc>
          <w:tcPr>
            <w:tcW w:w="709" w:type="dxa"/>
            <w:shd w:val="clear" w:color="auto" w:fill="FFFFFF" w:themeFill="background1"/>
            <w:tcMar>
              <w:top w:w="0" w:type="dxa"/>
              <w:left w:w="85" w:type="dxa"/>
              <w:bottom w:w="0" w:type="dxa"/>
              <w:right w:w="57" w:type="dxa"/>
            </w:tcMar>
          </w:tcPr>
          <w:p w14:paraId="1F364954" w14:textId="77777777" w:rsidR="005D02EF" w:rsidRPr="009E06AA" w:rsidRDefault="005D02EF" w:rsidP="00B55F24">
            <w:pPr>
              <w:pStyle w:val="TableText"/>
              <w:keepNext/>
              <w:spacing w:before="30" w:after="30"/>
            </w:pPr>
            <w:r w:rsidRPr="009E06AA">
              <w:rPr>
                <w:rFonts w:eastAsia="Calibri"/>
                <w:color w:val="000000"/>
              </w:rPr>
              <w:t>W.7</w:t>
            </w:r>
          </w:p>
        </w:tc>
        <w:tc>
          <w:tcPr>
            <w:tcW w:w="2126" w:type="dxa"/>
            <w:shd w:val="clear" w:color="auto" w:fill="FFFFFF" w:themeFill="background1"/>
            <w:tcMar>
              <w:top w:w="0" w:type="dxa"/>
              <w:left w:w="85" w:type="dxa"/>
              <w:bottom w:w="0" w:type="dxa"/>
              <w:right w:w="57" w:type="dxa"/>
            </w:tcMar>
          </w:tcPr>
          <w:p w14:paraId="00A7D032" w14:textId="77777777" w:rsidR="005D02EF" w:rsidRPr="009E06AA" w:rsidRDefault="005D02EF" w:rsidP="00B55F24">
            <w:pPr>
              <w:pStyle w:val="TableText"/>
              <w:spacing w:before="30" w:after="30"/>
            </w:pPr>
            <w:r w:rsidRPr="009E06AA">
              <w:rPr>
                <w:rFonts w:eastAsia="Calibri"/>
                <w:color w:val="000000"/>
              </w:rPr>
              <w:t>5.C.1 Waste incineration – CO₂, CH₄ and N₂O (W.16, 2021) Transparency</w:t>
            </w:r>
          </w:p>
        </w:tc>
        <w:tc>
          <w:tcPr>
            <w:tcW w:w="3686" w:type="dxa"/>
            <w:shd w:val="clear" w:color="auto" w:fill="FFFFFF" w:themeFill="background1"/>
            <w:tcMar>
              <w:top w:w="0" w:type="dxa"/>
              <w:left w:w="85" w:type="dxa"/>
              <w:bottom w:w="0" w:type="dxa"/>
              <w:right w:w="57" w:type="dxa"/>
            </w:tcMar>
          </w:tcPr>
          <w:p w14:paraId="40EAB5E0" w14:textId="77777777" w:rsidR="005D02EF" w:rsidRPr="009E06AA" w:rsidRDefault="005D02EF" w:rsidP="00B55F24">
            <w:pPr>
              <w:pStyle w:val="TableText"/>
              <w:spacing w:before="30" w:after="30"/>
            </w:pPr>
            <w:r w:rsidRPr="009E06AA">
              <w:rPr>
                <w:rFonts w:eastAsia="Calibri"/>
                <w:color w:val="000000"/>
              </w:rPr>
              <w:t>Include information in the NIR to clarify how clinical waste is defined in line with national circumstances.</w:t>
            </w:r>
          </w:p>
        </w:tc>
        <w:tc>
          <w:tcPr>
            <w:tcW w:w="4806" w:type="dxa"/>
            <w:shd w:val="clear" w:color="auto" w:fill="FFFFFF" w:themeFill="background1"/>
            <w:tcMar>
              <w:top w:w="0" w:type="dxa"/>
              <w:left w:w="85" w:type="dxa"/>
              <w:bottom w:w="0" w:type="dxa"/>
              <w:right w:w="57" w:type="dxa"/>
            </w:tcMar>
          </w:tcPr>
          <w:p w14:paraId="0750368F" w14:textId="77777777" w:rsidR="005D02EF" w:rsidRPr="009E06AA" w:rsidRDefault="005D02EF" w:rsidP="00B55F24">
            <w:pPr>
              <w:pStyle w:val="TableText"/>
              <w:spacing w:before="30" w:after="30"/>
            </w:pPr>
            <w:r w:rsidRPr="009E06AA">
              <w:rPr>
                <w:rFonts w:eastAsia="Calibri"/>
                <w:color w:val="000000"/>
              </w:rPr>
              <w:t>Resolved. In the NIR (section 7.4.1, p.323), New Zealand clarified the term clinical waste: “clinical wastes refers to a combination of clinical, medical and quarantine wastes”. The ERT considers that this definition of clinical waste is consistent with the terminology in the 2006 IPCC Guidelines.</w:t>
            </w:r>
          </w:p>
        </w:tc>
        <w:tc>
          <w:tcPr>
            <w:tcW w:w="2621" w:type="dxa"/>
            <w:shd w:val="clear" w:color="auto" w:fill="FFFFFF" w:themeFill="background1"/>
            <w:tcMar>
              <w:top w:w="0" w:type="dxa"/>
              <w:left w:w="85" w:type="dxa"/>
              <w:bottom w:w="0" w:type="dxa"/>
              <w:right w:w="57" w:type="dxa"/>
            </w:tcMar>
          </w:tcPr>
          <w:p w14:paraId="2B49C545" w14:textId="77777777" w:rsidR="005D02EF" w:rsidRPr="009E06AA" w:rsidRDefault="005D02EF" w:rsidP="00B55F24">
            <w:pPr>
              <w:pStyle w:val="TableText"/>
              <w:spacing w:before="30" w:after="30"/>
            </w:pPr>
            <w:r w:rsidRPr="009E06AA">
              <w:t>NA</w:t>
            </w:r>
          </w:p>
        </w:tc>
      </w:tr>
      <w:tr w:rsidR="005D02EF" w:rsidRPr="009E06AA" w14:paraId="3356346D" w14:textId="77777777" w:rsidTr="00271345">
        <w:tc>
          <w:tcPr>
            <w:tcW w:w="709" w:type="dxa"/>
            <w:shd w:val="clear" w:color="auto" w:fill="FFFFFF" w:themeFill="background1"/>
            <w:tcMar>
              <w:top w:w="0" w:type="dxa"/>
              <w:left w:w="85" w:type="dxa"/>
              <w:bottom w:w="0" w:type="dxa"/>
              <w:right w:w="57" w:type="dxa"/>
            </w:tcMar>
          </w:tcPr>
          <w:p w14:paraId="51D695ED" w14:textId="77777777" w:rsidR="005D02EF" w:rsidRPr="009E06AA" w:rsidRDefault="005D02EF" w:rsidP="00B55F24">
            <w:pPr>
              <w:pStyle w:val="TableText"/>
              <w:spacing w:before="30" w:after="30"/>
            </w:pPr>
            <w:r w:rsidRPr="009E06AA">
              <w:rPr>
                <w:rFonts w:eastAsia="Calibri"/>
                <w:color w:val="000000"/>
              </w:rPr>
              <w:t>W.8</w:t>
            </w:r>
          </w:p>
        </w:tc>
        <w:tc>
          <w:tcPr>
            <w:tcW w:w="2126" w:type="dxa"/>
            <w:shd w:val="clear" w:color="auto" w:fill="FFFFFF" w:themeFill="background1"/>
            <w:tcMar>
              <w:top w:w="0" w:type="dxa"/>
              <w:left w:w="85" w:type="dxa"/>
              <w:bottom w:w="0" w:type="dxa"/>
              <w:right w:w="57" w:type="dxa"/>
            </w:tcMar>
          </w:tcPr>
          <w:p w14:paraId="3042908C" w14:textId="77777777" w:rsidR="005D02EF" w:rsidRPr="009E06AA" w:rsidRDefault="005D02EF" w:rsidP="00B55F24">
            <w:pPr>
              <w:pStyle w:val="TableText"/>
              <w:spacing w:before="30" w:after="30"/>
            </w:pPr>
            <w:r w:rsidRPr="009E06AA">
              <w:rPr>
                <w:rFonts w:eastAsia="Calibri"/>
                <w:color w:val="000000"/>
              </w:rPr>
              <w:t>5.C.2 Open burning of waste – CO₂, CH₄ and N₂O (W.17, 2021) Transparency</w:t>
            </w:r>
          </w:p>
        </w:tc>
        <w:tc>
          <w:tcPr>
            <w:tcW w:w="3686" w:type="dxa"/>
            <w:shd w:val="clear" w:color="auto" w:fill="FFFFFF" w:themeFill="background1"/>
            <w:tcMar>
              <w:top w:w="0" w:type="dxa"/>
              <w:left w:w="85" w:type="dxa"/>
              <w:bottom w:w="0" w:type="dxa"/>
              <w:right w:w="57" w:type="dxa"/>
            </w:tcMar>
          </w:tcPr>
          <w:p w14:paraId="04B01079" w14:textId="77777777" w:rsidR="005D02EF" w:rsidRPr="009E06AA" w:rsidRDefault="005D02EF" w:rsidP="00B55F24">
            <w:pPr>
              <w:pStyle w:val="TableText"/>
              <w:spacing w:before="30" w:after="30"/>
            </w:pPr>
            <w:r w:rsidRPr="009E06AA">
              <w:rPr>
                <w:rFonts w:eastAsia="Calibri"/>
                <w:color w:val="000000"/>
              </w:rPr>
              <w:t>Clarify in the NIR that farm fills are disposed of in two different treatment pathways (i.e. under unmanaged landfill and under open burning) and that the AD for both pathways have the same value, and provide some basis on which to justify why the same value of AD is applied for both farms fills and open burning.</w:t>
            </w:r>
          </w:p>
        </w:tc>
        <w:tc>
          <w:tcPr>
            <w:tcW w:w="4806" w:type="dxa"/>
            <w:shd w:val="clear" w:color="auto" w:fill="FFFFFF" w:themeFill="background1"/>
            <w:tcMar>
              <w:top w:w="0" w:type="dxa"/>
              <w:left w:w="85" w:type="dxa"/>
              <w:bottom w:w="0" w:type="dxa"/>
              <w:right w:w="57" w:type="dxa"/>
            </w:tcMar>
          </w:tcPr>
          <w:p w14:paraId="71749B9D" w14:textId="77777777" w:rsidR="005D02EF" w:rsidRPr="009E06AA" w:rsidRDefault="005D02EF" w:rsidP="00B55F24">
            <w:pPr>
              <w:pStyle w:val="TableText"/>
              <w:spacing w:before="30" w:after="30"/>
            </w:pPr>
            <w:r w:rsidRPr="009E06AA">
              <w:rPr>
                <w:rFonts w:eastAsia="Calibri"/>
                <w:color w:val="000000"/>
              </w:rPr>
              <w:t>Resolved. The Party described in the NIR (pp.312–313 and 325) the two treatment pathways for this uncollected waste, providing justification for assuming a 50:50 split between both treatment options in the absence of better information and expressing the need to understand the split.</w:t>
            </w:r>
          </w:p>
        </w:tc>
        <w:tc>
          <w:tcPr>
            <w:tcW w:w="2621" w:type="dxa"/>
            <w:shd w:val="clear" w:color="auto" w:fill="FFFFFF" w:themeFill="background1"/>
            <w:tcMar>
              <w:top w:w="0" w:type="dxa"/>
              <w:left w:w="85" w:type="dxa"/>
              <w:bottom w:w="0" w:type="dxa"/>
              <w:right w:w="57" w:type="dxa"/>
            </w:tcMar>
          </w:tcPr>
          <w:p w14:paraId="2182D5F1" w14:textId="77777777" w:rsidR="005D02EF" w:rsidRPr="009E06AA" w:rsidRDefault="005D02EF" w:rsidP="00B55F24">
            <w:pPr>
              <w:pStyle w:val="TableText"/>
              <w:spacing w:before="30" w:after="30"/>
            </w:pPr>
            <w:r w:rsidRPr="009E06AA">
              <w:t>NA</w:t>
            </w:r>
          </w:p>
        </w:tc>
      </w:tr>
      <w:tr w:rsidR="005D02EF" w:rsidRPr="009E06AA" w14:paraId="2C1EA006" w14:textId="77777777" w:rsidTr="00271345">
        <w:tc>
          <w:tcPr>
            <w:tcW w:w="709" w:type="dxa"/>
            <w:shd w:val="clear" w:color="auto" w:fill="FFFFFF" w:themeFill="background1"/>
            <w:tcMar>
              <w:top w:w="0" w:type="dxa"/>
              <w:left w:w="85" w:type="dxa"/>
              <w:bottom w:w="0" w:type="dxa"/>
              <w:right w:w="57" w:type="dxa"/>
            </w:tcMar>
          </w:tcPr>
          <w:p w14:paraId="0D260414" w14:textId="77777777" w:rsidR="005D02EF" w:rsidRPr="009E06AA" w:rsidRDefault="005D02EF" w:rsidP="00B55F24">
            <w:pPr>
              <w:pStyle w:val="TableText"/>
              <w:spacing w:before="30" w:after="30"/>
            </w:pPr>
            <w:r w:rsidRPr="009E06AA">
              <w:rPr>
                <w:rFonts w:eastAsia="Calibri"/>
                <w:color w:val="000000"/>
              </w:rPr>
              <w:t>W.9</w:t>
            </w:r>
          </w:p>
        </w:tc>
        <w:tc>
          <w:tcPr>
            <w:tcW w:w="2126" w:type="dxa"/>
            <w:shd w:val="clear" w:color="auto" w:fill="FFFFFF" w:themeFill="background1"/>
            <w:tcMar>
              <w:top w:w="0" w:type="dxa"/>
              <w:left w:w="85" w:type="dxa"/>
              <w:bottom w:w="0" w:type="dxa"/>
              <w:right w:w="57" w:type="dxa"/>
            </w:tcMar>
          </w:tcPr>
          <w:p w14:paraId="06773BE0" w14:textId="77777777" w:rsidR="005D02EF" w:rsidRPr="009E06AA" w:rsidRDefault="005D02EF" w:rsidP="00B55F24">
            <w:pPr>
              <w:pStyle w:val="TableText"/>
              <w:spacing w:before="30" w:after="30"/>
            </w:pPr>
            <w:r w:rsidRPr="009E06AA">
              <w:rPr>
                <w:rFonts w:eastAsia="Calibri"/>
                <w:color w:val="000000"/>
              </w:rPr>
              <w:t>5.D Wastewater treatment and discharge – N₂O (W.10, 2021) (W.22, 2019) Accuracy</w:t>
            </w:r>
          </w:p>
        </w:tc>
        <w:tc>
          <w:tcPr>
            <w:tcW w:w="3686" w:type="dxa"/>
            <w:shd w:val="clear" w:color="auto" w:fill="FFFFFF" w:themeFill="background1"/>
            <w:tcMar>
              <w:top w:w="0" w:type="dxa"/>
              <w:left w:w="85" w:type="dxa"/>
              <w:bottom w:w="0" w:type="dxa"/>
              <w:right w:w="57" w:type="dxa"/>
            </w:tcMar>
          </w:tcPr>
          <w:p w14:paraId="2740B43A" w14:textId="77777777" w:rsidR="005D02EF" w:rsidRPr="009E06AA" w:rsidRDefault="005D02EF" w:rsidP="00B55F24">
            <w:pPr>
              <w:pStyle w:val="TableText"/>
              <w:spacing w:before="30" w:after="30"/>
            </w:pPr>
            <w:r w:rsidRPr="009E06AA">
              <w:rPr>
                <w:rFonts w:eastAsia="Calibri"/>
                <w:color w:val="000000"/>
              </w:rPr>
              <w:t>Revise the reporting of N₂O emissions from industrial wastewater and sewage sludge applied to soils in the agriculture and waste chapters of the NIR and in CRF table 3.D, and explain any recalculations in the NIR.</w:t>
            </w:r>
          </w:p>
        </w:tc>
        <w:tc>
          <w:tcPr>
            <w:tcW w:w="4806" w:type="dxa"/>
            <w:shd w:val="clear" w:color="auto" w:fill="FFFFFF" w:themeFill="background1"/>
            <w:tcMar>
              <w:top w:w="0" w:type="dxa"/>
              <w:left w:w="85" w:type="dxa"/>
              <w:bottom w:w="0" w:type="dxa"/>
              <w:right w:w="57" w:type="dxa"/>
            </w:tcMar>
          </w:tcPr>
          <w:p w14:paraId="784EE338" w14:textId="77777777" w:rsidR="005D02EF" w:rsidRPr="009E06AA" w:rsidRDefault="005D02EF" w:rsidP="00B55F24">
            <w:pPr>
              <w:pStyle w:val="TableText"/>
              <w:spacing w:before="30" w:after="30"/>
            </w:pPr>
            <w:r w:rsidRPr="009E06AA">
              <w:rPr>
                <w:rFonts w:eastAsia="Calibri"/>
                <w:color w:val="000000"/>
              </w:rPr>
              <w:t>Not resolved. During the review, the Party indicated that this is a low-priority issue owing to the expected small scale of emissions. Therefore, New Zealand has not yet taken action to address the recommendation.</w:t>
            </w:r>
          </w:p>
        </w:tc>
        <w:tc>
          <w:tcPr>
            <w:tcW w:w="2621" w:type="dxa"/>
            <w:shd w:val="clear" w:color="auto" w:fill="FFFFFF" w:themeFill="background1"/>
            <w:tcMar>
              <w:top w:w="0" w:type="dxa"/>
              <w:left w:w="85" w:type="dxa"/>
              <w:bottom w:w="0" w:type="dxa"/>
              <w:right w:w="57" w:type="dxa"/>
            </w:tcMar>
          </w:tcPr>
          <w:p w14:paraId="056FC67F" w14:textId="77777777" w:rsidR="005D02EF" w:rsidRPr="009E06AA" w:rsidRDefault="005D02EF" w:rsidP="00B55F24">
            <w:pPr>
              <w:pStyle w:val="TableText"/>
              <w:spacing w:before="30" w:after="30"/>
            </w:pPr>
            <w:r w:rsidRPr="009E06AA">
              <w:rPr>
                <w:b/>
              </w:rPr>
              <w:t>Not resolved</w:t>
            </w:r>
            <w:r w:rsidRPr="009E06AA">
              <w:t xml:space="preserve">. It has not been prioritised due to the negligible emissions associated with sludge. </w:t>
            </w:r>
          </w:p>
        </w:tc>
      </w:tr>
      <w:tr w:rsidR="005D02EF" w:rsidRPr="009E06AA" w14:paraId="14D214CF" w14:textId="77777777" w:rsidTr="00271345">
        <w:tc>
          <w:tcPr>
            <w:tcW w:w="709" w:type="dxa"/>
            <w:shd w:val="clear" w:color="auto" w:fill="FFFFFF" w:themeFill="background1"/>
            <w:tcMar>
              <w:top w:w="0" w:type="dxa"/>
              <w:left w:w="85" w:type="dxa"/>
              <w:bottom w:w="0" w:type="dxa"/>
              <w:right w:w="57" w:type="dxa"/>
            </w:tcMar>
          </w:tcPr>
          <w:p w14:paraId="2DEDCE43" w14:textId="77777777" w:rsidR="005D02EF" w:rsidRPr="009E06AA" w:rsidRDefault="005D02EF" w:rsidP="00B55F24">
            <w:pPr>
              <w:pStyle w:val="TableText"/>
              <w:spacing w:before="30" w:after="30"/>
            </w:pPr>
            <w:r w:rsidRPr="009E06AA">
              <w:rPr>
                <w:rFonts w:eastAsia="Calibri"/>
                <w:color w:val="000000"/>
              </w:rPr>
              <w:t>W.10</w:t>
            </w:r>
          </w:p>
        </w:tc>
        <w:tc>
          <w:tcPr>
            <w:tcW w:w="2126" w:type="dxa"/>
            <w:shd w:val="clear" w:color="auto" w:fill="FFFFFF" w:themeFill="background1"/>
            <w:tcMar>
              <w:top w:w="0" w:type="dxa"/>
              <w:left w:w="85" w:type="dxa"/>
              <w:bottom w:w="0" w:type="dxa"/>
              <w:right w:w="57" w:type="dxa"/>
            </w:tcMar>
          </w:tcPr>
          <w:p w14:paraId="170EB024" w14:textId="77777777" w:rsidR="005D02EF" w:rsidRPr="009E06AA" w:rsidRDefault="005D02EF" w:rsidP="00B55F24">
            <w:pPr>
              <w:pStyle w:val="TableText"/>
              <w:spacing w:before="30" w:after="30"/>
            </w:pPr>
            <w:r w:rsidRPr="009E06AA">
              <w:rPr>
                <w:rFonts w:eastAsia="Calibri"/>
                <w:color w:val="000000"/>
              </w:rPr>
              <w:t>5.D Wastewater treatment and discharge – CH₄ and N₂O (W.11, 2021) (W.23, 2019) Accuracy</w:t>
            </w:r>
          </w:p>
        </w:tc>
        <w:tc>
          <w:tcPr>
            <w:tcW w:w="3686" w:type="dxa"/>
            <w:shd w:val="clear" w:color="auto" w:fill="FFFFFF" w:themeFill="background1"/>
            <w:tcMar>
              <w:top w:w="0" w:type="dxa"/>
              <w:left w:w="85" w:type="dxa"/>
              <w:bottom w:w="0" w:type="dxa"/>
              <w:right w:w="57" w:type="dxa"/>
            </w:tcMar>
          </w:tcPr>
          <w:p w14:paraId="298819B7" w14:textId="77777777" w:rsidR="005D02EF" w:rsidRPr="009E06AA" w:rsidRDefault="005D02EF" w:rsidP="00B55F24">
            <w:pPr>
              <w:pStyle w:val="TableText"/>
              <w:spacing w:before="30" w:after="30"/>
            </w:pPr>
            <w:r w:rsidRPr="009E06AA">
              <w:rPr>
                <w:rFonts w:eastAsia="Calibri"/>
                <w:color w:val="000000"/>
              </w:rPr>
              <w:t>Clarify and report consistent information on the final treatment or disposal of sludge, including incineration and disposal in municipal landfills; review the estimates; and explain any recalculations in the NIR.</w:t>
            </w:r>
          </w:p>
        </w:tc>
        <w:tc>
          <w:tcPr>
            <w:tcW w:w="4806" w:type="dxa"/>
            <w:shd w:val="clear" w:color="auto" w:fill="FFFFFF" w:themeFill="background1"/>
            <w:tcMar>
              <w:top w:w="0" w:type="dxa"/>
              <w:left w:w="85" w:type="dxa"/>
              <w:bottom w:w="0" w:type="dxa"/>
              <w:right w:w="57" w:type="dxa"/>
            </w:tcMar>
          </w:tcPr>
          <w:p w14:paraId="654F43A4" w14:textId="77777777" w:rsidR="005D02EF" w:rsidRPr="009E06AA" w:rsidRDefault="005D02EF" w:rsidP="00B55F24">
            <w:pPr>
              <w:pStyle w:val="TableText"/>
              <w:spacing w:before="30" w:after="30"/>
            </w:pPr>
            <w:r w:rsidRPr="009E06AA">
              <w:rPr>
                <w:rFonts w:eastAsia="Calibri"/>
                <w:color w:val="000000"/>
              </w:rPr>
              <w:t>Addressing. The Party did not report a clear and consistent overview of final treatment and disposal of sludge in the NIR. The ERT considers that the overview should provide information on all sludge treatment and removal options (reuse, landfilling, biological treatment, incineration), ensuring that the total amount of sludge treated is consistent with the total amount of biochemical oxygen demand removed as sludge in the calculation of emissions from wastewater treatment and discharge (see ID# W.15 in table 5).</w:t>
            </w:r>
          </w:p>
        </w:tc>
        <w:tc>
          <w:tcPr>
            <w:tcW w:w="2621" w:type="dxa"/>
            <w:shd w:val="clear" w:color="auto" w:fill="FFFFFF" w:themeFill="background1"/>
            <w:tcMar>
              <w:top w:w="0" w:type="dxa"/>
              <w:left w:w="85" w:type="dxa"/>
              <w:bottom w:w="0" w:type="dxa"/>
              <w:right w:w="57" w:type="dxa"/>
            </w:tcMar>
          </w:tcPr>
          <w:p w14:paraId="2CE2D354" w14:textId="77777777" w:rsidR="005D02EF" w:rsidRPr="009E06AA" w:rsidRDefault="005D02EF" w:rsidP="00B55F24">
            <w:pPr>
              <w:pStyle w:val="TableText"/>
              <w:spacing w:before="30" w:after="30"/>
            </w:pPr>
            <w:r w:rsidRPr="009E06AA">
              <w:rPr>
                <w:b/>
              </w:rPr>
              <w:t>Addressing</w:t>
            </w:r>
            <w:r w:rsidRPr="009E06AA">
              <w:t xml:space="preserve">. Volumes of sludge disposed of in managed landfills have been updated according to Eunomia (unpublished). Further improvements will be included a future submission. </w:t>
            </w:r>
          </w:p>
        </w:tc>
      </w:tr>
      <w:tr w:rsidR="005D02EF" w:rsidRPr="009E06AA" w14:paraId="34D99AC1" w14:textId="77777777" w:rsidTr="00271345">
        <w:tc>
          <w:tcPr>
            <w:tcW w:w="709" w:type="dxa"/>
            <w:shd w:val="clear" w:color="auto" w:fill="FFFFFF" w:themeFill="background1"/>
            <w:tcMar>
              <w:top w:w="0" w:type="dxa"/>
              <w:left w:w="85" w:type="dxa"/>
              <w:bottom w:w="0" w:type="dxa"/>
              <w:right w:w="57" w:type="dxa"/>
            </w:tcMar>
          </w:tcPr>
          <w:p w14:paraId="5A751420" w14:textId="77777777" w:rsidR="005D02EF" w:rsidRPr="009E06AA" w:rsidRDefault="005D02EF" w:rsidP="00B55F24">
            <w:pPr>
              <w:pStyle w:val="TableText"/>
              <w:spacing w:before="30" w:after="30"/>
            </w:pPr>
            <w:r w:rsidRPr="009E06AA">
              <w:rPr>
                <w:rFonts w:eastAsia="Calibri"/>
                <w:color w:val="000000"/>
              </w:rPr>
              <w:t>W.11</w:t>
            </w:r>
          </w:p>
        </w:tc>
        <w:tc>
          <w:tcPr>
            <w:tcW w:w="2126" w:type="dxa"/>
            <w:shd w:val="clear" w:color="auto" w:fill="FFFFFF" w:themeFill="background1"/>
            <w:tcMar>
              <w:top w:w="0" w:type="dxa"/>
              <w:left w:w="85" w:type="dxa"/>
              <w:bottom w:w="0" w:type="dxa"/>
              <w:right w:w="57" w:type="dxa"/>
            </w:tcMar>
          </w:tcPr>
          <w:p w14:paraId="5892020A" w14:textId="77777777" w:rsidR="005D02EF" w:rsidRPr="009E06AA" w:rsidRDefault="005D02EF" w:rsidP="00B55F24">
            <w:pPr>
              <w:pStyle w:val="TableText"/>
              <w:spacing w:before="30" w:after="30"/>
            </w:pPr>
            <w:r w:rsidRPr="009E06AA">
              <w:rPr>
                <w:rFonts w:eastAsia="Calibri"/>
                <w:color w:val="000000"/>
              </w:rPr>
              <w:t>5.D.2 Industrial wastewater – CH₄ (W.12, 2021) (W.24, 2019) Comparability</w:t>
            </w:r>
          </w:p>
        </w:tc>
        <w:tc>
          <w:tcPr>
            <w:tcW w:w="3686" w:type="dxa"/>
            <w:shd w:val="clear" w:color="auto" w:fill="FFFFFF" w:themeFill="background1"/>
            <w:tcMar>
              <w:top w:w="0" w:type="dxa"/>
              <w:left w:w="85" w:type="dxa"/>
              <w:bottom w:w="0" w:type="dxa"/>
              <w:right w:w="57" w:type="dxa"/>
            </w:tcMar>
          </w:tcPr>
          <w:p w14:paraId="7465217B" w14:textId="77777777" w:rsidR="005D02EF" w:rsidRPr="009E06AA" w:rsidRDefault="005D02EF" w:rsidP="00B55F24">
            <w:pPr>
              <w:pStyle w:val="TableText"/>
              <w:spacing w:before="30" w:after="30"/>
            </w:pPr>
            <w:r w:rsidRPr="009E06AA">
              <w:rPr>
                <w:rFonts w:eastAsia="Calibri"/>
                <w:color w:val="000000"/>
              </w:rPr>
              <w:t>Estimate and report the amount of CH₄ flared and for energy recovery, respectively, in CRF table 5.D, noting that the amount of CH₄ for energy recovery, if occurring, should probably be reported as “IE” in that table and the estimates reported under the energy sector.</w:t>
            </w:r>
          </w:p>
        </w:tc>
        <w:tc>
          <w:tcPr>
            <w:tcW w:w="4806" w:type="dxa"/>
            <w:shd w:val="clear" w:color="auto" w:fill="FFFFFF" w:themeFill="background1"/>
            <w:tcMar>
              <w:top w:w="0" w:type="dxa"/>
              <w:left w:w="85" w:type="dxa"/>
              <w:bottom w:w="0" w:type="dxa"/>
              <w:right w:w="57" w:type="dxa"/>
            </w:tcMar>
          </w:tcPr>
          <w:p w14:paraId="66C26271" w14:textId="77777777" w:rsidR="005D02EF" w:rsidRPr="009E06AA" w:rsidRDefault="005D02EF" w:rsidP="00B55F24">
            <w:pPr>
              <w:pStyle w:val="TableText"/>
              <w:spacing w:before="30" w:after="30"/>
            </w:pPr>
            <w:r w:rsidRPr="009E06AA">
              <w:rPr>
                <w:rFonts w:eastAsia="Calibri"/>
                <w:color w:val="000000"/>
              </w:rPr>
              <w:t>Resolved. The Party reported CH₄ flared as “NE” and CH₄ utilized for energy production as “IE” in CRF table 5.D. On the basis of a number of submissions from Parties included in Annex I to the Convention in a similar situation, the ERT considers that “NE” is appropriate for reporting CH₄ flared.</w:t>
            </w:r>
          </w:p>
        </w:tc>
        <w:tc>
          <w:tcPr>
            <w:tcW w:w="2621" w:type="dxa"/>
            <w:shd w:val="clear" w:color="auto" w:fill="FFFFFF" w:themeFill="background1"/>
            <w:tcMar>
              <w:top w:w="0" w:type="dxa"/>
              <w:left w:w="85" w:type="dxa"/>
              <w:bottom w:w="0" w:type="dxa"/>
              <w:right w:w="57" w:type="dxa"/>
            </w:tcMar>
          </w:tcPr>
          <w:p w14:paraId="4A478582" w14:textId="77777777" w:rsidR="005D02EF" w:rsidRPr="009E06AA" w:rsidRDefault="005D02EF" w:rsidP="00B55F24">
            <w:pPr>
              <w:pStyle w:val="TableText"/>
              <w:spacing w:before="30" w:after="30"/>
            </w:pPr>
            <w:r w:rsidRPr="009E06AA">
              <w:t>NA</w:t>
            </w:r>
          </w:p>
        </w:tc>
      </w:tr>
    </w:tbl>
    <w:p w14:paraId="1B129F61" w14:textId="77777777" w:rsidR="005D02EF" w:rsidRPr="009E06AA" w:rsidRDefault="005D02EF" w:rsidP="005D02EF">
      <w:pPr>
        <w:pStyle w:val="Noteundertable"/>
        <w:spacing w:after="0"/>
      </w:pPr>
      <w:r w:rsidRPr="009E06AA">
        <w:rPr>
          <w:b/>
          <w:bCs/>
        </w:rPr>
        <w:t>Notes</w:t>
      </w:r>
      <w:r w:rsidRPr="009E06AA">
        <w:t xml:space="preserve">: </w:t>
      </w:r>
      <w:r w:rsidRPr="009E06AA">
        <w:tab/>
        <w:t xml:space="preserve">¹References in parentheses are to the paragraph(s) and the year(s) of the previous review report(s) in which the issue or problem was raised. Issues are identified in accordance with paras. 80–83 of the UNFCCC review guidelines and classified as per para. 81 of the same guidelines. Problems are identified and classified as problems of transparency, accuracy, consistency, completeness or comparability in accordance with para. 69 of the Article 8 review guidelines in conjunction with decision 4/CMP.11. AD = activity data; </w:t>
      </w:r>
      <w:r w:rsidRPr="009E06AA">
        <w:rPr>
          <w:rFonts w:eastAsia="Calibri"/>
          <w:color w:val="000000"/>
        </w:rPr>
        <w:t xml:space="preserve">CH₄ = methane; </w:t>
      </w:r>
      <w:r w:rsidRPr="009E06AA">
        <w:t xml:space="preserve">CO₂ = carbon dioxide; </w:t>
      </w:r>
      <w:r w:rsidRPr="009E06AA">
        <w:rPr>
          <w:rFonts w:eastAsia="Calibri"/>
          <w:color w:val="000000"/>
        </w:rPr>
        <w:t xml:space="preserve">CR = common reporting; </w:t>
      </w:r>
      <w:r w:rsidRPr="009E06AA">
        <w:t xml:space="preserve">CRF = common reporting format; CRT = common reporting table; CSC = carbon stock change; EF = emission factor; ERT = expert review team; eq = equivalent; ETF = Enhanced Transparency Framework; GHG = greenhouse gas; IE = included elsewhere; IEF = implied emission factor; IPCC = Intergovernmental Panel on Climate Change; IPPU = Industrial Processes and Product Use; kg = kilogram; kt = kilotonne; l = litre; LULUCF = Land Use, Land-Use Change and Forestry; MSW = municipal waste disposal; N = nitrogen; NA = not available; NE = not estimated; NIR = National Inventory Report; NO = not occurring; </w:t>
      </w:r>
      <w:r w:rsidRPr="009E06AA">
        <w:rPr>
          <w:rFonts w:eastAsia="Calibri"/>
          <w:color w:val="000000"/>
        </w:rPr>
        <w:t>N₂O</w:t>
      </w:r>
      <w:r w:rsidRPr="009E06AA">
        <w:t xml:space="preserve"> = nitrous oxide; NZD = New Zealand dollars; </w:t>
      </w:r>
      <w:r w:rsidRPr="009E06AA">
        <w:rPr>
          <w:rFonts w:eastAsia="Calibri"/>
          <w:color w:val="000000"/>
        </w:rPr>
        <w:t>QA/QC = quality assurance and quality control; SF</w:t>
      </w:r>
      <w:r w:rsidRPr="009E06AA">
        <w:rPr>
          <w:rFonts w:eastAsia="Calibri"/>
          <w:color w:val="000000"/>
          <w:vertAlign w:val="subscript"/>
        </w:rPr>
        <w:t>6</w:t>
      </w:r>
      <w:r w:rsidRPr="009E06AA">
        <w:rPr>
          <w:rFonts w:eastAsia="Calibri"/>
          <w:color w:val="000000"/>
        </w:rPr>
        <w:t> =</w:t>
      </w:r>
      <w:r w:rsidRPr="009E06AA">
        <w:t xml:space="preserve"> </w:t>
      </w:r>
      <w:r w:rsidRPr="009E06AA">
        <w:rPr>
          <w:rFonts w:eastAsia="Calibri"/>
          <w:color w:val="000000"/>
        </w:rPr>
        <w:t xml:space="preserve">sulphur hexafluoride; SOC = soil organic carbon; SWDS = solid waste disposable sites; t = tonnes; </w:t>
      </w:r>
      <w:r w:rsidRPr="009E06AA">
        <w:t>UNFCCC = United Nations Framework Convention on Climate Change.</w:t>
      </w:r>
    </w:p>
    <w:p w14:paraId="347907BB" w14:textId="7AD94248" w:rsidR="005D02EF" w:rsidRPr="009E06AA" w:rsidRDefault="005D02EF" w:rsidP="005D02EF">
      <w:pPr>
        <w:pStyle w:val="BodyText"/>
        <w:keepNext/>
      </w:pPr>
      <w:r w:rsidRPr="009E06AA">
        <w:t>Table 5 of the assessment and review report of New Zealand’s 2022 National Inventory Report contains new recommendations related to the review of the 2022 submission. These recommendations, along with New Zealand’s latest responses to date, are detailed in table 10.3.</w:t>
      </w:r>
      <w:r w:rsidR="00D4515A">
        <w:t>2</w:t>
      </w:r>
      <w:r w:rsidRPr="009E06AA">
        <w:t>.</w:t>
      </w:r>
    </w:p>
    <w:p w14:paraId="222A7351" w14:textId="77777777" w:rsidR="005D02EF" w:rsidRPr="009E06AA" w:rsidRDefault="005D02EF" w:rsidP="005D02EF">
      <w:pPr>
        <w:pStyle w:val="Table"/>
      </w:pPr>
      <w:bookmarkStart w:id="3687" w:name="_Toc161311314"/>
      <w:bookmarkStart w:id="3688" w:name="_Toc164153982"/>
      <w:r w:rsidRPr="009E06AA">
        <w:t xml:space="preserve">Table 10.3.2 </w:t>
      </w:r>
      <w:r w:rsidRPr="009E06AA">
        <w:tab/>
        <w:t>New Zealand’s response to the additional findings made during the individual review of the 2022 annual submission</w:t>
      </w:r>
      <w:bookmarkEnd w:id="3687"/>
      <w:bookmarkEnd w:id="3688"/>
    </w:p>
    <w:tbl>
      <w:tblPr>
        <w:tblW w:w="13948" w:type="dxa"/>
        <w:tblBorders>
          <w:top w:val="single" w:sz="4" w:space="0" w:color="1B556B"/>
          <w:bottom w:val="single" w:sz="4" w:space="0" w:color="1B556B"/>
          <w:insideH w:val="single" w:sz="4" w:space="0" w:color="1B556B"/>
        </w:tblBorders>
        <w:tblCellMar>
          <w:left w:w="57" w:type="dxa"/>
          <w:right w:w="57" w:type="dxa"/>
        </w:tblCellMar>
        <w:tblLook w:val="0420" w:firstRow="1" w:lastRow="0" w:firstColumn="0" w:lastColumn="0" w:noHBand="0" w:noVBand="1"/>
      </w:tblPr>
      <w:tblGrid>
        <w:gridCol w:w="923"/>
        <w:gridCol w:w="1331"/>
        <w:gridCol w:w="6784"/>
        <w:gridCol w:w="1412"/>
        <w:gridCol w:w="3498"/>
      </w:tblGrid>
      <w:tr w:rsidR="005D02EF" w:rsidRPr="009E06AA" w14:paraId="08D3E731" w14:textId="77777777" w:rsidTr="00B55F24">
        <w:trPr>
          <w:tblHeader/>
        </w:trPr>
        <w:tc>
          <w:tcPr>
            <w:tcW w:w="0" w:type="auto"/>
            <w:shd w:val="clear" w:color="auto" w:fill="1B556B"/>
            <w:tcMar>
              <w:top w:w="0" w:type="dxa"/>
              <w:left w:w="85" w:type="dxa"/>
              <w:bottom w:w="0" w:type="dxa"/>
              <w:right w:w="57" w:type="dxa"/>
            </w:tcMar>
            <w:vAlign w:val="bottom"/>
          </w:tcPr>
          <w:p w14:paraId="5196B0DC" w14:textId="77777777" w:rsidR="005D02EF" w:rsidRPr="009E06AA" w:rsidRDefault="005D02EF" w:rsidP="00B55F24">
            <w:pPr>
              <w:pStyle w:val="TableTextBold"/>
              <w:spacing w:before="30" w:after="30"/>
              <w:rPr>
                <w:noProof w:val="0"/>
                <w:color w:val="FFFFFF" w:themeColor="background1"/>
              </w:rPr>
            </w:pPr>
            <w:r w:rsidRPr="009E06AA">
              <w:rPr>
                <w:rFonts w:eastAsia="Calibri"/>
                <w:noProof w:val="0"/>
                <w:color w:val="FFFFFF" w:themeColor="background1"/>
              </w:rPr>
              <w:t>ID#</w:t>
            </w:r>
          </w:p>
        </w:tc>
        <w:tc>
          <w:tcPr>
            <w:tcW w:w="477" w:type="pct"/>
            <w:shd w:val="clear" w:color="auto" w:fill="1B556B"/>
            <w:tcMar>
              <w:top w:w="0" w:type="dxa"/>
              <w:left w:w="85" w:type="dxa"/>
              <w:bottom w:w="0" w:type="dxa"/>
              <w:right w:w="57" w:type="dxa"/>
            </w:tcMar>
            <w:vAlign w:val="bottom"/>
          </w:tcPr>
          <w:p w14:paraId="1D0BB7DF" w14:textId="77777777" w:rsidR="005D02EF" w:rsidRPr="009E06AA" w:rsidRDefault="005D02EF" w:rsidP="00B55F24">
            <w:pPr>
              <w:pStyle w:val="TableTextBold"/>
              <w:spacing w:before="30" w:after="30"/>
              <w:rPr>
                <w:noProof w:val="0"/>
                <w:color w:val="FFFFFF" w:themeColor="background1"/>
              </w:rPr>
            </w:pPr>
            <w:r w:rsidRPr="009E06AA">
              <w:rPr>
                <w:rFonts w:eastAsia="Calibri"/>
                <w:noProof w:val="0"/>
                <w:color w:val="FFFFFF" w:themeColor="background1"/>
              </w:rPr>
              <w:t>Finding classification</w:t>
            </w:r>
          </w:p>
        </w:tc>
        <w:tc>
          <w:tcPr>
            <w:tcW w:w="2432" w:type="pct"/>
            <w:shd w:val="clear" w:color="auto" w:fill="1B556B"/>
            <w:tcMar>
              <w:top w:w="0" w:type="dxa"/>
              <w:left w:w="85" w:type="dxa"/>
              <w:bottom w:w="0" w:type="dxa"/>
              <w:right w:w="57" w:type="dxa"/>
            </w:tcMar>
            <w:vAlign w:val="bottom"/>
          </w:tcPr>
          <w:p w14:paraId="6599B895" w14:textId="77777777" w:rsidR="005D02EF" w:rsidRPr="009E06AA" w:rsidRDefault="005D02EF" w:rsidP="00B55F24">
            <w:pPr>
              <w:pStyle w:val="TableTextBold"/>
              <w:spacing w:before="30" w:after="30"/>
              <w:rPr>
                <w:noProof w:val="0"/>
                <w:color w:val="FFFFFF" w:themeColor="background1"/>
              </w:rPr>
            </w:pPr>
            <w:r w:rsidRPr="009E06AA">
              <w:rPr>
                <w:rFonts w:eastAsia="Calibri"/>
                <w:noProof w:val="0"/>
                <w:color w:val="FFFFFF" w:themeColor="background1"/>
              </w:rPr>
              <w:t>Description of finding with recommendation or encouragement</w:t>
            </w:r>
          </w:p>
        </w:tc>
        <w:tc>
          <w:tcPr>
            <w:tcW w:w="506" w:type="pct"/>
            <w:shd w:val="clear" w:color="auto" w:fill="1B556B"/>
            <w:tcMar>
              <w:top w:w="0" w:type="dxa"/>
              <w:left w:w="85" w:type="dxa"/>
              <w:bottom w:w="0" w:type="dxa"/>
              <w:right w:w="57" w:type="dxa"/>
            </w:tcMar>
            <w:vAlign w:val="bottom"/>
          </w:tcPr>
          <w:p w14:paraId="554B0C69" w14:textId="77777777" w:rsidR="005D02EF" w:rsidRPr="009E06AA" w:rsidRDefault="005D02EF" w:rsidP="00B55F24">
            <w:pPr>
              <w:pStyle w:val="TableTextBold"/>
              <w:spacing w:before="30" w:after="30"/>
              <w:rPr>
                <w:noProof w:val="0"/>
                <w:color w:val="FFFFFF" w:themeColor="background1"/>
              </w:rPr>
            </w:pPr>
            <w:r w:rsidRPr="009E06AA">
              <w:rPr>
                <w:rFonts w:eastAsia="Calibri"/>
                <w:noProof w:val="0"/>
                <w:color w:val="FFFFFF" w:themeColor="background1"/>
              </w:rPr>
              <w:t>Is finding an issue/problem?³</w:t>
            </w:r>
          </w:p>
        </w:tc>
        <w:tc>
          <w:tcPr>
            <w:tcW w:w="1254" w:type="pct"/>
            <w:shd w:val="clear" w:color="auto" w:fill="1B556B"/>
            <w:tcMar>
              <w:top w:w="0" w:type="dxa"/>
              <w:left w:w="85" w:type="dxa"/>
              <w:bottom w:w="0" w:type="dxa"/>
              <w:right w:w="57" w:type="dxa"/>
            </w:tcMar>
            <w:vAlign w:val="bottom"/>
          </w:tcPr>
          <w:p w14:paraId="3B2801A5" w14:textId="77777777" w:rsidR="005D02EF" w:rsidRPr="009E06AA" w:rsidRDefault="005D02EF" w:rsidP="00B55F24">
            <w:pPr>
              <w:pStyle w:val="TableTextBold"/>
              <w:spacing w:before="30" w:after="30"/>
              <w:rPr>
                <w:noProof w:val="0"/>
                <w:color w:val="FFFFFF" w:themeColor="background1"/>
              </w:rPr>
            </w:pPr>
            <w:r w:rsidRPr="009E06AA">
              <w:rPr>
                <w:rFonts w:eastAsia="Calibri"/>
                <w:noProof w:val="0"/>
                <w:color w:val="FFFFFF" w:themeColor="background1"/>
              </w:rPr>
              <w:t>New Zealand response</w:t>
            </w:r>
          </w:p>
        </w:tc>
      </w:tr>
      <w:tr w:rsidR="005D02EF" w:rsidRPr="009E06AA" w14:paraId="29AFF802" w14:textId="77777777" w:rsidTr="00B55F24">
        <w:tc>
          <w:tcPr>
            <w:tcW w:w="0" w:type="auto"/>
            <w:shd w:val="clear" w:color="auto" w:fill="FFFFFF" w:themeFill="background1"/>
            <w:tcMar>
              <w:top w:w="0" w:type="dxa"/>
              <w:left w:w="85" w:type="dxa"/>
              <w:bottom w:w="0" w:type="dxa"/>
              <w:right w:w="57" w:type="dxa"/>
            </w:tcMar>
          </w:tcPr>
          <w:p w14:paraId="44590AE2" w14:textId="77777777" w:rsidR="005D02EF" w:rsidRPr="009E06AA" w:rsidRDefault="005D02EF" w:rsidP="00B55F24">
            <w:pPr>
              <w:pStyle w:val="TableText"/>
              <w:spacing w:before="30" w:after="30"/>
            </w:pPr>
            <w:r w:rsidRPr="009E06AA">
              <w:rPr>
                <w:rFonts w:eastAsia="Calibri"/>
                <w:color w:val="000000"/>
              </w:rPr>
              <w:t>General</w:t>
            </w:r>
          </w:p>
        </w:tc>
        <w:tc>
          <w:tcPr>
            <w:tcW w:w="477" w:type="pct"/>
            <w:shd w:val="clear" w:color="auto" w:fill="FFFFFF" w:themeFill="background1"/>
            <w:tcMar>
              <w:top w:w="0" w:type="dxa"/>
              <w:left w:w="85" w:type="dxa"/>
              <w:bottom w:w="0" w:type="dxa"/>
              <w:right w:w="57" w:type="dxa"/>
            </w:tcMar>
          </w:tcPr>
          <w:p w14:paraId="27034FE7" w14:textId="77777777" w:rsidR="005D02EF" w:rsidRPr="009E06AA" w:rsidRDefault="005D02EF" w:rsidP="00B55F24">
            <w:pPr>
              <w:pStyle w:val="TableText"/>
              <w:spacing w:before="30" w:after="30"/>
            </w:pPr>
          </w:p>
        </w:tc>
        <w:tc>
          <w:tcPr>
            <w:tcW w:w="2432" w:type="pct"/>
            <w:shd w:val="clear" w:color="auto" w:fill="FFFFFF" w:themeFill="background1"/>
            <w:tcMar>
              <w:top w:w="0" w:type="dxa"/>
              <w:left w:w="85" w:type="dxa"/>
              <w:bottom w:w="0" w:type="dxa"/>
              <w:right w:w="57" w:type="dxa"/>
            </w:tcMar>
          </w:tcPr>
          <w:p w14:paraId="451D158D" w14:textId="77777777" w:rsidR="005D02EF" w:rsidRPr="009E06AA" w:rsidRDefault="005D02EF" w:rsidP="00B55F24">
            <w:pPr>
              <w:pStyle w:val="TableText"/>
              <w:spacing w:before="30" w:after="30"/>
            </w:pPr>
            <w:r w:rsidRPr="009E06AA">
              <w:rPr>
                <w:rFonts w:eastAsia="Calibri"/>
                <w:color w:val="000000"/>
              </w:rPr>
              <w:t>No general findings additional to those included in table 3 were made by the ERT during the review.</w:t>
            </w:r>
          </w:p>
        </w:tc>
        <w:tc>
          <w:tcPr>
            <w:tcW w:w="506" w:type="pct"/>
            <w:shd w:val="clear" w:color="auto" w:fill="FFFFFF" w:themeFill="background1"/>
            <w:tcMar>
              <w:top w:w="0" w:type="dxa"/>
              <w:left w:w="85" w:type="dxa"/>
              <w:bottom w:w="0" w:type="dxa"/>
              <w:right w:w="57" w:type="dxa"/>
            </w:tcMar>
          </w:tcPr>
          <w:p w14:paraId="07D0AAC0" w14:textId="77777777" w:rsidR="005D02EF" w:rsidRPr="009E06AA" w:rsidRDefault="005D02EF" w:rsidP="00B55F24">
            <w:pPr>
              <w:pStyle w:val="TableText"/>
              <w:spacing w:before="30" w:after="30"/>
            </w:pPr>
          </w:p>
        </w:tc>
        <w:tc>
          <w:tcPr>
            <w:tcW w:w="1254" w:type="pct"/>
            <w:shd w:val="clear" w:color="auto" w:fill="FFFFFF" w:themeFill="background1"/>
            <w:tcMar>
              <w:top w:w="0" w:type="dxa"/>
              <w:left w:w="85" w:type="dxa"/>
              <w:bottom w:w="0" w:type="dxa"/>
              <w:right w:w="57" w:type="dxa"/>
            </w:tcMar>
          </w:tcPr>
          <w:p w14:paraId="6B334A22" w14:textId="77777777" w:rsidR="005D02EF" w:rsidRPr="009E06AA" w:rsidRDefault="005D02EF" w:rsidP="00B55F24">
            <w:pPr>
              <w:pStyle w:val="TableText"/>
              <w:spacing w:before="30" w:after="30"/>
            </w:pPr>
          </w:p>
        </w:tc>
      </w:tr>
      <w:tr w:rsidR="005D02EF" w:rsidRPr="009E06AA" w14:paraId="7D009DC4" w14:textId="77777777" w:rsidTr="00B55F24">
        <w:tc>
          <w:tcPr>
            <w:tcW w:w="0" w:type="auto"/>
            <w:shd w:val="clear" w:color="auto" w:fill="FFFFFF" w:themeFill="background1"/>
            <w:tcMar>
              <w:top w:w="0" w:type="dxa"/>
              <w:left w:w="85" w:type="dxa"/>
              <w:bottom w:w="0" w:type="dxa"/>
              <w:right w:w="57" w:type="dxa"/>
            </w:tcMar>
          </w:tcPr>
          <w:p w14:paraId="5ECA2FBA" w14:textId="77777777" w:rsidR="005D02EF" w:rsidRPr="009E06AA" w:rsidRDefault="005D02EF" w:rsidP="00B55F24">
            <w:pPr>
              <w:pStyle w:val="TableText"/>
              <w:spacing w:before="30" w:after="30"/>
            </w:pPr>
            <w:r w:rsidRPr="009E06AA">
              <w:rPr>
                <w:rFonts w:eastAsia="Calibri"/>
                <w:color w:val="000000"/>
              </w:rPr>
              <w:t>Energy</w:t>
            </w:r>
          </w:p>
        </w:tc>
        <w:tc>
          <w:tcPr>
            <w:tcW w:w="477" w:type="pct"/>
            <w:shd w:val="clear" w:color="auto" w:fill="FFFFFF" w:themeFill="background1"/>
            <w:tcMar>
              <w:top w:w="0" w:type="dxa"/>
              <w:left w:w="85" w:type="dxa"/>
              <w:bottom w:w="0" w:type="dxa"/>
              <w:right w:w="57" w:type="dxa"/>
            </w:tcMar>
          </w:tcPr>
          <w:p w14:paraId="0D95EBF5" w14:textId="77777777" w:rsidR="005D02EF" w:rsidRPr="009E06AA" w:rsidRDefault="005D02EF" w:rsidP="00B55F24">
            <w:pPr>
              <w:pStyle w:val="TableText"/>
              <w:spacing w:before="30" w:after="30"/>
            </w:pPr>
          </w:p>
        </w:tc>
        <w:tc>
          <w:tcPr>
            <w:tcW w:w="2432" w:type="pct"/>
            <w:shd w:val="clear" w:color="auto" w:fill="FFFFFF" w:themeFill="background1"/>
            <w:tcMar>
              <w:top w:w="0" w:type="dxa"/>
              <w:left w:w="85" w:type="dxa"/>
              <w:bottom w:w="0" w:type="dxa"/>
              <w:right w:w="57" w:type="dxa"/>
            </w:tcMar>
          </w:tcPr>
          <w:p w14:paraId="4B89D35F" w14:textId="77777777" w:rsidR="005D02EF" w:rsidRPr="009E06AA" w:rsidRDefault="005D02EF" w:rsidP="00B55F24">
            <w:pPr>
              <w:pStyle w:val="TableText"/>
              <w:spacing w:before="30" w:after="30"/>
            </w:pPr>
          </w:p>
        </w:tc>
        <w:tc>
          <w:tcPr>
            <w:tcW w:w="506" w:type="pct"/>
            <w:shd w:val="clear" w:color="auto" w:fill="FFFFFF" w:themeFill="background1"/>
            <w:tcMar>
              <w:top w:w="0" w:type="dxa"/>
              <w:left w:w="85" w:type="dxa"/>
              <w:bottom w:w="0" w:type="dxa"/>
              <w:right w:w="57" w:type="dxa"/>
            </w:tcMar>
          </w:tcPr>
          <w:p w14:paraId="017EB44A" w14:textId="77777777" w:rsidR="005D02EF" w:rsidRPr="009E06AA" w:rsidRDefault="005D02EF" w:rsidP="00B55F24">
            <w:pPr>
              <w:pStyle w:val="TableText"/>
              <w:spacing w:before="30" w:after="30"/>
            </w:pPr>
          </w:p>
        </w:tc>
        <w:tc>
          <w:tcPr>
            <w:tcW w:w="1254" w:type="pct"/>
            <w:shd w:val="clear" w:color="auto" w:fill="FFFFFF" w:themeFill="background1"/>
            <w:tcMar>
              <w:top w:w="0" w:type="dxa"/>
              <w:left w:w="85" w:type="dxa"/>
              <w:bottom w:w="0" w:type="dxa"/>
              <w:right w:w="57" w:type="dxa"/>
            </w:tcMar>
          </w:tcPr>
          <w:p w14:paraId="74D72703" w14:textId="77777777" w:rsidR="005D02EF" w:rsidRPr="009E06AA" w:rsidRDefault="005D02EF" w:rsidP="00B55F24">
            <w:pPr>
              <w:pStyle w:val="TableText"/>
              <w:spacing w:before="30" w:after="30"/>
            </w:pPr>
          </w:p>
        </w:tc>
      </w:tr>
      <w:tr w:rsidR="005D02EF" w:rsidRPr="009E06AA" w14:paraId="190D2353" w14:textId="77777777" w:rsidTr="00B55F24">
        <w:tc>
          <w:tcPr>
            <w:tcW w:w="0" w:type="auto"/>
            <w:shd w:val="clear" w:color="auto" w:fill="FFFFFF" w:themeFill="background1"/>
            <w:tcMar>
              <w:top w:w="0" w:type="dxa"/>
              <w:left w:w="85" w:type="dxa"/>
              <w:bottom w:w="0" w:type="dxa"/>
              <w:right w:w="57" w:type="dxa"/>
            </w:tcMar>
          </w:tcPr>
          <w:p w14:paraId="1BB1615D" w14:textId="77777777" w:rsidR="005D02EF" w:rsidRPr="009E06AA" w:rsidRDefault="005D02EF" w:rsidP="00B55F24">
            <w:pPr>
              <w:pStyle w:val="TableText"/>
              <w:spacing w:before="30" w:after="30"/>
            </w:pPr>
            <w:r w:rsidRPr="009E06AA">
              <w:rPr>
                <w:rFonts w:eastAsia="Calibri"/>
                <w:color w:val="000000"/>
              </w:rPr>
              <w:t>E.10</w:t>
            </w:r>
          </w:p>
        </w:tc>
        <w:tc>
          <w:tcPr>
            <w:tcW w:w="477" w:type="pct"/>
            <w:shd w:val="clear" w:color="auto" w:fill="FFFFFF" w:themeFill="background1"/>
            <w:tcMar>
              <w:top w:w="0" w:type="dxa"/>
              <w:left w:w="85" w:type="dxa"/>
              <w:bottom w:w="0" w:type="dxa"/>
              <w:right w:w="57" w:type="dxa"/>
            </w:tcMar>
          </w:tcPr>
          <w:p w14:paraId="7EF0FBAE" w14:textId="77777777" w:rsidR="005D02EF" w:rsidRPr="009E06AA" w:rsidRDefault="005D02EF" w:rsidP="00B55F24">
            <w:pPr>
              <w:pStyle w:val="TableText"/>
              <w:spacing w:before="30" w:after="30"/>
            </w:pPr>
            <w:r w:rsidRPr="009E06AA">
              <w:rPr>
                <w:rFonts w:eastAsia="Calibri"/>
                <w:color w:val="000000"/>
              </w:rPr>
              <w:t>1. General (energy sector) – gaseous fuels – CO₂</w:t>
            </w:r>
          </w:p>
        </w:tc>
        <w:tc>
          <w:tcPr>
            <w:tcW w:w="2432" w:type="pct"/>
            <w:shd w:val="clear" w:color="auto" w:fill="FFFFFF" w:themeFill="background1"/>
            <w:tcMar>
              <w:top w:w="0" w:type="dxa"/>
              <w:left w:w="85" w:type="dxa"/>
              <w:bottom w:w="0" w:type="dxa"/>
              <w:right w:w="57" w:type="dxa"/>
            </w:tcMar>
          </w:tcPr>
          <w:p w14:paraId="7DF44CAD" w14:textId="77777777" w:rsidR="005D02EF" w:rsidRPr="009E06AA" w:rsidRDefault="005D02EF" w:rsidP="00B55F24">
            <w:pPr>
              <w:pStyle w:val="TableText"/>
              <w:spacing w:before="30" w:after="30"/>
            </w:pPr>
            <w:r w:rsidRPr="009E06AA">
              <w:rPr>
                <w:rFonts w:eastAsia="Calibri"/>
                <w:color w:val="000000"/>
              </w:rPr>
              <w:t>On the basis of information provided in the NIR (pp.75 and 91) and an annex to the NIR (annex 4, table A4.1), the CO₂ EFs for liquid fuels are based on regular measurements from the only refinery in New Zealand. During the review, the Party clarified that these CO₂ EFs are not based on actual measurements of calorific value and carbon content, but are calculated on the basis of the fuel density. The Party stated that the refinery used to provide approximately 75 per cent of all liquid fuels consumed in New Zealand, but that dropped to 52 per cent in 2021 and the refinery ceased operation in 2022. As of April 2022, the facility is being converted into an import terminal without refinery activities. The ERT recommends that New Zealand review the carbon content and calorific values of the imported liquid fuels in accordance with good practice guidance provided in the 2006 IPCC Guidelines or equivalent international standards and recalculate its estimates on the basis of any changes to the CO₂ EFs.</w:t>
            </w:r>
          </w:p>
        </w:tc>
        <w:tc>
          <w:tcPr>
            <w:tcW w:w="506" w:type="pct"/>
            <w:shd w:val="clear" w:color="auto" w:fill="FFFFFF" w:themeFill="background1"/>
            <w:tcMar>
              <w:top w:w="0" w:type="dxa"/>
              <w:left w:w="85" w:type="dxa"/>
              <w:bottom w:w="0" w:type="dxa"/>
              <w:right w:w="57" w:type="dxa"/>
            </w:tcMar>
          </w:tcPr>
          <w:p w14:paraId="202E7C77" w14:textId="77777777" w:rsidR="005D02EF" w:rsidRPr="009E06AA" w:rsidRDefault="005D02EF" w:rsidP="00B55F24">
            <w:pPr>
              <w:pStyle w:val="TableText"/>
              <w:spacing w:before="30" w:after="30"/>
            </w:pPr>
            <w:r w:rsidRPr="009E06AA">
              <w:rPr>
                <w:rFonts w:eastAsia="Calibri"/>
                <w:color w:val="000000"/>
              </w:rPr>
              <w:t>Yes. Accuracy</w:t>
            </w:r>
          </w:p>
        </w:tc>
        <w:tc>
          <w:tcPr>
            <w:tcW w:w="1254" w:type="pct"/>
            <w:shd w:val="clear" w:color="auto" w:fill="FFFFFF" w:themeFill="background1"/>
            <w:tcMar>
              <w:top w:w="0" w:type="dxa"/>
              <w:left w:w="85" w:type="dxa"/>
              <w:bottom w:w="0" w:type="dxa"/>
              <w:right w:w="57" w:type="dxa"/>
            </w:tcMar>
          </w:tcPr>
          <w:p w14:paraId="32699F33" w14:textId="77777777" w:rsidR="005D02EF" w:rsidRPr="009E06AA" w:rsidRDefault="005D02EF" w:rsidP="00B55F24">
            <w:pPr>
              <w:pStyle w:val="TableText"/>
              <w:spacing w:before="30" w:after="30"/>
            </w:pPr>
            <w:r w:rsidRPr="009E06AA">
              <w:rPr>
                <w:rFonts w:eastAsia="Calibri"/>
                <w:color w:val="000000" w:themeColor="text1"/>
              </w:rPr>
              <w:t xml:space="preserve">Addressing. MBIE now collects fuel property information from liquid fuel importers on a monthly basis. This is used to calculate an annual weighted average carbon content and calorific value for each fuel type. The updated densities and calorific values are published in MBIE’s oil statistics, which are available online: </w:t>
            </w:r>
            <w:hyperlink r:id="rId208" w:history="1">
              <w:r w:rsidRPr="009E06AA">
                <w:rPr>
                  <w:rStyle w:val="Hyperlink"/>
                </w:rPr>
                <w:t>www.mbie.govt.nz/building-and-energy/energy-and-natural-resources/energy-statistics-and-modelling/energy-statistics/oil-statistics</w:t>
              </w:r>
            </w:hyperlink>
            <w:r w:rsidRPr="009E06AA">
              <w:rPr>
                <w:rFonts w:eastAsia="Calibri"/>
                <w:color w:val="000000" w:themeColor="text1"/>
              </w:rPr>
              <w:t>. These data are then directly used to prepare the emissions estimates for the National Inventory Report.</w:t>
            </w:r>
          </w:p>
        </w:tc>
      </w:tr>
      <w:tr w:rsidR="005D02EF" w:rsidRPr="009E06AA" w14:paraId="758FCC7C" w14:textId="77777777" w:rsidTr="00B55F24">
        <w:tc>
          <w:tcPr>
            <w:tcW w:w="0" w:type="auto"/>
            <w:shd w:val="clear" w:color="auto" w:fill="FFFFFF" w:themeFill="background1"/>
            <w:tcMar>
              <w:top w:w="0" w:type="dxa"/>
              <w:left w:w="85" w:type="dxa"/>
              <w:bottom w:w="0" w:type="dxa"/>
              <w:right w:w="57" w:type="dxa"/>
            </w:tcMar>
          </w:tcPr>
          <w:p w14:paraId="2810D8AF" w14:textId="77777777" w:rsidR="005D02EF" w:rsidRPr="009E06AA" w:rsidRDefault="005D02EF" w:rsidP="00B55F24">
            <w:pPr>
              <w:pStyle w:val="TableText"/>
              <w:spacing w:before="30" w:after="30"/>
            </w:pPr>
            <w:r w:rsidRPr="009E06AA">
              <w:rPr>
                <w:rFonts w:eastAsia="Calibri"/>
                <w:color w:val="000000"/>
              </w:rPr>
              <w:t>IPPU</w:t>
            </w:r>
          </w:p>
        </w:tc>
        <w:tc>
          <w:tcPr>
            <w:tcW w:w="477" w:type="pct"/>
            <w:shd w:val="clear" w:color="auto" w:fill="FFFFFF" w:themeFill="background1"/>
            <w:tcMar>
              <w:top w:w="0" w:type="dxa"/>
              <w:left w:w="85" w:type="dxa"/>
              <w:bottom w:w="0" w:type="dxa"/>
              <w:right w:w="57" w:type="dxa"/>
            </w:tcMar>
          </w:tcPr>
          <w:p w14:paraId="29556786" w14:textId="77777777" w:rsidR="005D02EF" w:rsidRPr="009E06AA" w:rsidRDefault="005D02EF" w:rsidP="00B55F24">
            <w:pPr>
              <w:pStyle w:val="TableText"/>
              <w:spacing w:before="30" w:after="30"/>
            </w:pPr>
          </w:p>
        </w:tc>
        <w:tc>
          <w:tcPr>
            <w:tcW w:w="2432" w:type="pct"/>
            <w:shd w:val="clear" w:color="auto" w:fill="FFFFFF" w:themeFill="background1"/>
            <w:tcMar>
              <w:top w:w="0" w:type="dxa"/>
              <w:left w:w="85" w:type="dxa"/>
              <w:bottom w:w="0" w:type="dxa"/>
              <w:right w:w="57" w:type="dxa"/>
            </w:tcMar>
          </w:tcPr>
          <w:p w14:paraId="4C715120" w14:textId="77777777" w:rsidR="005D02EF" w:rsidRPr="009E06AA" w:rsidRDefault="005D02EF" w:rsidP="00B55F24">
            <w:pPr>
              <w:pStyle w:val="TableText"/>
              <w:spacing w:before="30" w:after="30"/>
            </w:pPr>
            <w:r w:rsidRPr="009E06AA">
              <w:rPr>
                <w:rFonts w:eastAsia="Calibri"/>
                <w:color w:val="000000"/>
              </w:rPr>
              <w:t>No findings for the IPPU sector additional to those included in table 3 were made by the ERT during the review.</w:t>
            </w:r>
          </w:p>
        </w:tc>
        <w:tc>
          <w:tcPr>
            <w:tcW w:w="506" w:type="pct"/>
            <w:shd w:val="clear" w:color="auto" w:fill="FFFFFF" w:themeFill="background1"/>
            <w:tcMar>
              <w:top w:w="0" w:type="dxa"/>
              <w:left w:w="85" w:type="dxa"/>
              <w:bottom w:w="0" w:type="dxa"/>
              <w:right w:w="57" w:type="dxa"/>
            </w:tcMar>
          </w:tcPr>
          <w:p w14:paraId="32422379" w14:textId="77777777" w:rsidR="005D02EF" w:rsidRPr="009E06AA" w:rsidRDefault="005D02EF" w:rsidP="00B55F24">
            <w:pPr>
              <w:pStyle w:val="TableText"/>
              <w:spacing w:before="30" w:after="30"/>
            </w:pPr>
          </w:p>
        </w:tc>
        <w:tc>
          <w:tcPr>
            <w:tcW w:w="1254" w:type="pct"/>
            <w:shd w:val="clear" w:color="auto" w:fill="FFFFFF" w:themeFill="background1"/>
            <w:tcMar>
              <w:top w:w="0" w:type="dxa"/>
              <w:left w:w="85" w:type="dxa"/>
              <w:bottom w:w="0" w:type="dxa"/>
              <w:right w:w="57" w:type="dxa"/>
            </w:tcMar>
          </w:tcPr>
          <w:p w14:paraId="2E57B38C" w14:textId="77777777" w:rsidR="005D02EF" w:rsidRPr="009E06AA" w:rsidRDefault="005D02EF" w:rsidP="00B55F24">
            <w:pPr>
              <w:pStyle w:val="TableText"/>
              <w:spacing w:before="30" w:after="30"/>
            </w:pPr>
          </w:p>
        </w:tc>
      </w:tr>
      <w:tr w:rsidR="005D02EF" w:rsidRPr="009E06AA" w14:paraId="3E8C64BE" w14:textId="77777777" w:rsidTr="00B55F24">
        <w:tc>
          <w:tcPr>
            <w:tcW w:w="0" w:type="auto"/>
            <w:shd w:val="clear" w:color="auto" w:fill="FFFFFF" w:themeFill="background1"/>
            <w:tcMar>
              <w:top w:w="0" w:type="dxa"/>
              <w:left w:w="85" w:type="dxa"/>
              <w:bottom w:w="0" w:type="dxa"/>
              <w:right w:w="57" w:type="dxa"/>
            </w:tcMar>
          </w:tcPr>
          <w:p w14:paraId="28A4ADF4" w14:textId="77777777" w:rsidR="005D02EF" w:rsidRPr="009E06AA" w:rsidRDefault="005D02EF" w:rsidP="00B55F24">
            <w:pPr>
              <w:pStyle w:val="TableText"/>
              <w:spacing w:before="30" w:after="30"/>
            </w:pPr>
            <w:r w:rsidRPr="009E06AA">
              <w:rPr>
                <w:rFonts w:eastAsia="Calibri"/>
                <w:color w:val="000000"/>
              </w:rPr>
              <w:t>Agriculture</w:t>
            </w:r>
          </w:p>
        </w:tc>
        <w:tc>
          <w:tcPr>
            <w:tcW w:w="477" w:type="pct"/>
            <w:shd w:val="clear" w:color="auto" w:fill="FFFFFF" w:themeFill="background1"/>
            <w:tcMar>
              <w:top w:w="0" w:type="dxa"/>
              <w:left w:w="85" w:type="dxa"/>
              <w:bottom w:w="0" w:type="dxa"/>
              <w:right w:w="57" w:type="dxa"/>
            </w:tcMar>
          </w:tcPr>
          <w:p w14:paraId="50B23BB0" w14:textId="77777777" w:rsidR="005D02EF" w:rsidRPr="009E06AA" w:rsidRDefault="005D02EF" w:rsidP="00B55F24">
            <w:pPr>
              <w:pStyle w:val="TableText"/>
              <w:spacing w:before="30" w:after="30"/>
            </w:pPr>
          </w:p>
        </w:tc>
        <w:tc>
          <w:tcPr>
            <w:tcW w:w="2432" w:type="pct"/>
            <w:shd w:val="clear" w:color="auto" w:fill="FFFFFF" w:themeFill="background1"/>
            <w:tcMar>
              <w:top w:w="0" w:type="dxa"/>
              <w:left w:w="85" w:type="dxa"/>
              <w:bottom w:w="0" w:type="dxa"/>
              <w:right w:w="57" w:type="dxa"/>
            </w:tcMar>
          </w:tcPr>
          <w:p w14:paraId="60A8A4CE" w14:textId="77777777" w:rsidR="005D02EF" w:rsidRPr="009E06AA" w:rsidRDefault="005D02EF" w:rsidP="00B55F24">
            <w:pPr>
              <w:pStyle w:val="TableText"/>
              <w:spacing w:before="30" w:after="30"/>
            </w:pPr>
          </w:p>
        </w:tc>
        <w:tc>
          <w:tcPr>
            <w:tcW w:w="506" w:type="pct"/>
            <w:shd w:val="clear" w:color="auto" w:fill="FFFFFF" w:themeFill="background1"/>
            <w:tcMar>
              <w:top w:w="0" w:type="dxa"/>
              <w:left w:w="85" w:type="dxa"/>
              <w:bottom w:w="0" w:type="dxa"/>
              <w:right w:w="57" w:type="dxa"/>
            </w:tcMar>
          </w:tcPr>
          <w:p w14:paraId="40C752D2" w14:textId="77777777" w:rsidR="005D02EF" w:rsidRPr="009E06AA" w:rsidRDefault="005D02EF" w:rsidP="00B55F24">
            <w:pPr>
              <w:pStyle w:val="TableText"/>
              <w:spacing w:before="30" w:after="30"/>
            </w:pPr>
          </w:p>
        </w:tc>
        <w:tc>
          <w:tcPr>
            <w:tcW w:w="1254" w:type="pct"/>
            <w:shd w:val="clear" w:color="auto" w:fill="FFFFFF" w:themeFill="background1"/>
            <w:tcMar>
              <w:top w:w="0" w:type="dxa"/>
              <w:left w:w="85" w:type="dxa"/>
              <w:bottom w:w="0" w:type="dxa"/>
              <w:right w:w="57" w:type="dxa"/>
            </w:tcMar>
          </w:tcPr>
          <w:p w14:paraId="39C10FEA" w14:textId="77777777" w:rsidR="005D02EF" w:rsidRPr="009E06AA" w:rsidRDefault="005D02EF" w:rsidP="00B55F24">
            <w:pPr>
              <w:pStyle w:val="TableText"/>
              <w:spacing w:before="30" w:after="30"/>
            </w:pPr>
          </w:p>
        </w:tc>
      </w:tr>
      <w:tr w:rsidR="005D02EF" w:rsidRPr="009E06AA" w14:paraId="3CFD7085" w14:textId="77777777" w:rsidTr="00B55F24">
        <w:tc>
          <w:tcPr>
            <w:tcW w:w="0" w:type="auto"/>
            <w:shd w:val="clear" w:color="auto" w:fill="FFFFFF" w:themeFill="background1"/>
            <w:tcMar>
              <w:top w:w="0" w:type="dxa"/>
              <w:left w:w="85" w:type="dxa"/>
              <w:bottom w:w="0" w:type="dxa"/>
              <w:right w:w="57" w:type="dxa"/>
            </w:tcMar>
          </w:tcPr>
          <w:p w14:paraId="2B01939C" w14:textId="77777777" w:rsidR="005D02EF" w:rsidRPr="009E06AA" w:rsidRDefault="005D02EF" w:rsidP="00B55F24">
            <w:pPr>
              <w:pStyle w:val="TableText"/>
              <w:spacing w:before="30" w:after="30"/>
            </w:pPr>
            <w:r w:rsidRPr="009E06AA">
              <w:rPr>
                <w:rFonts w:eastAsia="Calibri"/>
                <w:color w:val="000000"/>
              </w:rPr>
              <w:t>A.12</w:t>
            </w:r>
          </w:p>
        </w:tc>
        <w:tc>
          <w:tcPr>
            <w:tcW w:w="477" w:type="pct"/>
            <w:shd w:val="clear" w:color="auto" w:fill="FFFFFF" w:themeFill="background1"/>
            <w:tcMar>
              <w:top w:w="0" w:type="dxa"/>
              <w:left w:w="85" w:type="dxa"/>
              <w:bottom w:w="0" w:type="dxa"/>
              <w:right w:w="57" w:type="dxa"/>
            </w:tcMar>
          </w:tcPr>
          <w:p w14:paraId="76887F31" w14:textId="77777777" w:rsidR="005D02EF" w:rsidRPr="009E06AA" w:rsidRDefault="005D02EF" w:rsidP="00B55F24">
            <w:pPr>
              <w:pStyle w:val="TableText"/>
              <w:spacing w:before="30" w:after="30"/>
            </w:pPr>
            <w:r w:rsidRPr="009E06AA">
              <w:rPr>
                <w:rFonts w:eastAsia="Calibri"/>
                <w:color w:val="000000"/>
              </w:rPr>
              <w:t>3.B.1 Cattle – CH₄</w:t>
            </w:r>
          </w:p>
        </w:tc>
        <w:tc>
          <w:tcPr>
            <w:tcW w:w="2432" w:type="pct"/>
            <w:shd w:val="clear" w:color="auto" w:fill="FFFFFF" w:themeFill="background1"/>
            <w:tcMar>
              <w:top w:w="0" w:type="dxa"/>
              <w:left w:w="85" w:type="dxa"/>
              <w:bottom w:w="0" w:type="dxa"/>
              <w:right w:w="57" w:type="dxa"/>
            </w:tcMar>
          </w:tcPr>
          <w:p w14:paraId="6D846B7E" w14:textId="77777777" w:rsidR="005D02EF" w:rsidRPr="009E06AA" w:rsidRDefault="005D02EF" w:rsidP="00B55F24">
            <w:pPr>
              <w:pStyle w:val="TableText"/>
              <w:spacing w:before="30" w:after="30"/>
            </w:pPr>
            <w:r w:rsidRPr="009E06AA">
              <w:rPr>
                <w:rFonts w:eastAsia="Calibri"/>
                <w:color w:val="000000"/>
              </w:rPr>
              <w:t>New Zealand stated in its NIR (p.185) that, to determine CH₄ emissions from dairy cattle manure in anaerobic lagoons, the default MCF value of 0.76 at an average annual temperature of 15°C was used. However, the ERT noted that New Zealand also stated in its NIR (p.193) that the “current value [sic] for the MCF is 0.74, based on the 2006 IPCC default value for uncovered anaerobic lagoons at an annual temperature of 15 degrees Celsius”. The ERT also noted that, in CRF table 3.B(a)s2, New Zealand reported “NA” for the MCF value for anaerobic lagoons used to store and treat manure generated by dairy cattle. In response to a request for clarification of the MCF value for anaerobic lagoons used in the estimates of CH₄ emissions from manure management of dairy cattle, and to specify the range of average annual temperatures used to select the MCF values for the entire reporting period, the Party clarified that the MCF value used is from the 2006 IPCC Guidelines (vol. 4, chap. 10, table 10.17) and that value (0.74) is correctly stated in the NIR (p.193). The Party also clarified that the MCF value was selected on the basis of an annual average temperature of 15°C, which is a conservative estimate given that average historical temperatures have typically been lower. To confirm this statement, the Party provided the ERT with the data on average annual temperatures for 1990–2020 from the National Institute of Water and Atmospheric Research for the Waikato region, which is a more northern and warmer region of New Zealand where the majority of its dairy cattle are farmed. Additionally, New Zealand stated that the annual temperature ranges from 10°C in the south to 16°C in the north and the MCF for anaerobic lagoon was selected on the basis of the higher end of that range. The ERT recommends that New Zealand (1) correct the omission in the reporting of the MCF value for anaerobic lagoons used to store and treat dairy cattle manure; (2) report the MCF value for anaerobic lagoons in CRF table 3.B(a)s2 for the entire reporting period; and (3) provide the reference source and brief description of the climate data used as the basis for selecting an appropriate MCF value for anaerobic lagoon manure management system from the 2006 IPCC Guidelines (vol. 4, chap. 10, table 10.17).</w:t>
            </w:r>
          </w:p>
        </w:tc>
        <w:tc>
          <w:tcPr>
            <w:tcW w:w="506" w:type="pct"/>
            <w:shd w:val="clear" w:color="auto" w:fill="FFFFFF" w:themeFill="background1"/>
            <w:tcMar>
              <w:top w:w="0" w:type="dxa"/>
              <w:left w:w="85" w:type="dxa"/>
              <w:bottom w:w="0" w:type="dxa"/>
              <w:right w:w="57" w:type="dxa"/>
            </w:tcMar>
          </w:tcPr>
          <w:p w14:paraId="0C1CA1CF" w14:textId="77777777" w:rsidR="005D02EF" w:rsidRPr="009E06AA" w:rsidRDefault="005D02EF" w:rsidP="00B55F24">
            <w:pPr>
              <w:pStyle w:val="TableText"/>
              <w:spacing w:before="30" w:after="30"/>
            </w:pPr>
            <w:r w:rsidRPr="009E06AA">
              <w:rPr>
                <w:rFonts w:eastAsia="Calibri"/>
                <w:color w:val="000000"/>
              </w:rPr>
              <w:t>Yes. Transparency</w:t>
            </w:r>
          </w:p>
        </w:tc>
        <w:tc>
          <w:tcPr>
            <w:tcW w:w="1254" w:type="pct"/>
            <w:shd w:val="clear" w:color="auto" w:fill="FFFFFF" w:themeFill="background1"/>
            <w:tcMar>
              <w:top w:w="0" w:type="dxa"/>
              <w:left w:w="85" w:type="dxa"/>
              <w:bottom w:w="0" w:type="dxa"/>
              <w:right w:w="57" w:type="dxa"/>
            </w:tcMar>
          </w:tcPr>
          <w:p w14:paraId="41783E5E" w14:textId="77777777" w:rsidR="005D02EF" w:rsidRPr="009E06AA" w:rsidRDefault="005D02EF" w:rsidP="00B55F24">
            <w:pPr>
              <w:pStyle w:val="TableText"/>
              <w:spacing w:before="30" w:after="30"/>
            </w:pPr>
            <w:r w:rsidRPr="009E06AA">
              <w:rPr>
                <w:bCs/>
                <w:color w:val="000000"/>
                <w:shd w:val="clear" w:color="auto" w:fill="FFFFFF"/>
              </w:rPr>
              <w:t xml:space="preserve">Addressing. </w:t>
            </w:r>
            <w:r w:rsidRPr="009E06AA">
              <w:rPr>
                <w:color w:val="000000"/>
                <w:shd w:val="clear" w:color="auto" w:fill="FFFFFF"/>
              </w:rPr>
              <w:t xml:space="preserve">Section 5.3.2 in chapter 5 has be corrected to state a MCF of 0.74 is used. CRT 3.B.1.1 </w:t>
            </w:r>
            <w:r w:rsidRPr="009E06AA">
              <w:rPr>
                <w:i/>
                <w:iCs/>
                <w:color w:val="000000"/>
                <w:shd w:val="clear" w:color="auto" w:fill="FFFFFF"/>
              </w:rPr>
              <w:t>Dairy cattle</w:t>
            </w:r>
            <w:r w:rsidRPr="009E06AA">
              <w:rPr>
                <w:color w:val="000000"/>
                <w:shd w:val="clear" w:color="auto" w:fill="FFFFFF"/>
              </w:rPr>
              <w:t xml:space="preserve"> has been updated to report the MCF for the entire reporting period. Research is under way to improve this section of the inventory, starting with a nationwide farm survey of dairy manure and effluent management practices. </w:t>
            </w:r>
          </w:p>
        </w:tc>
      </w:tr>
      <w:tr w:rsidR="005D02EF" w:rsidRPr="009E06AA" w14:paraId="5FF752C0" w14:textId="77777777" w:rsidTr="00B55F24">
        <w:tc>
          <w:tcPr>
            <w:tcW w:w="0" w:type="auto"/>
            <w:shd w:val="clear" w:color="auto" w:fill="FFFFFF" w:themeFill="background1"/>
            <w:tcMar>
              <w:top w:w="0" w:type="dxa"/>
              <w:left w:w="85" w:type="dxa"/>
              <w:bottom w:w="0" w:type="dxa"/>
              <w:right w:w="57" w:type="dxa"/>
            </w:tcMar>
          </w:tcPr>
          <w:p w14:paraId="61D26605" w14:textId="77777777" w:rsidR="005D02EF" w:rsidRPr="009E06AA" w:rsidRDefault="005D02EF" w:rsidP="00B55F24">
            <w:pPr>
              <w:pStyle w:val="TableText"/>
              <w:spacing w:before="30" w:after="30"/>
            </w:pPr>
            <w:r w:rsidRPr="009E06AA">
              <w:rPr>
                <w:rFonts w:eastAsia="Calibri"/>
                <w:color w:val="000000"/>
              </w:rPr>
              <w:t>LULUCF</w:t>
            </w:r>
          </w:p>
        </w:tc>
        <w:tc>
          <w:tcPr>
            <w:tcW w:w="477" w:type="pct"/>
            <w:shd w:val="clear" w:color="auto" w:fill="FFFFFF" w:themeFill="background1"/>
            <w:tcMar>
              <w:top w:w="0" w:type="dxa"/>
              <w:left w:w="85" w:type="dxa"/>
              <w:bottom w:w="0" w:type="dxa"/>
              <w:right w:w="57" w:type="dxa"/>
            </w:tcMar>
          </w:tcPr>
          <w:p w14:paraId="5FA0C780" w14:textId="77777777" w:rsidR="005D02EF" w:rsidRPr="009E06AA" w:rsidRDefault="005D02EF" w:rsidP="00B55F24">
            <w:pPr>
              <w:pStyle w:val="TableText"/>
              <w:spacing w:before="30" w:after="30"/>
            </w:pPr>
          </w:p>
        </w:tc>
        <w:tc>
          <w:tcPr>
            <w:tcW w:w="2432" w:type="pct"/>
            <w:shd w:val="clear" w:color="auto" w:fill="FFFFFF" w:themeFill="background1"/>
            <w:tcMar>
              <w:top w:w="0" w:type="dxa"/>
              <w:left w:w="85" w:type="dxa"/>
              <w:bottom w:w="0" w:type="dxa"/>
              <w:right w:w="57" w:type="dxa"/>
            </w:tcMar>
          </w:tcPr>
          <w:p w14:paraId="361252BE" w14:textId="77777777" w:rsidR="005D02EF" w:rsidRPr="009E06AA" w:rsidRDefault="005D02EF" w:rsidP="00B55F24">
            <w:pPr>
              <w:pStyle w:val="TableText"/>
              <w:spacing w:before="30" w:after="30"/>
            </w:pPr>
            <w:r w:rsidRPr="009E06AA">
              <w:rPr>
                <w:rFonts w:eastAsia="Calibri"/>
                <w:color w:val="000000"/>
              </w:rPr>
              <w:t>No findings for the LULUCF sector additional to those included in table 3 were made by the ERT during the review.</w:t>
            </w:r>
          </w:p>
        </w:tc>
        <w:tc>
          <w:tcPr>
            <w:tcW w:w="506" w:type="pct"/>
            <w:shd w:val="clear" w:color="auto" w:fill="FFFFFF" w:themeFill="background1"/>
            <w:tcMar>
              <w:top w:w="0" w:type="dxa"/>
              <w:left w:w="85" w:type="dxa"/>
              <w:bottom w:w="0" w:type="dxa"/>
              <w:right w:w="57" w:type="dxa"/>
            </w:tcMar>
          </w:tcPr>
          <w:p w14:paraId="77FD034F" w14:textId="77777777" w:rsidR="005D02EF" w:rsidRPr="009E06AA" w:rsidRDefault="005D02EF" w:rsidP="00B55F24">
            <w:pPr>
              <w:pStyle w:val="TableText"/>
              <w:spacing w:before="30" w:after="30"/>
            </w:pPr>
          </w:p>
        </w:tc>
        <w:tc>
          <w:tcPr>
            <w:tcW w:w="1254" w:type="pct"/>
            <w:shd w:val="clear" w:color="auto" w:fill="FFFFFF" w:themeFill="background1"/>
            <w:tcMar>
              <w:top w:w="0" w:type="dxa"/>
              <w:left w:w="85" w:type="dxa"/>
              <w:bottom w:w="0" w:type="dxa"/>
              <w:right w:w="57" w:type="dxa"/>
            </w:tcMar>
          </w:tcPr>
          <w:p w14:paraId="4074E80F" w14:textId="77777777" w:rsidR="005D02EF" w:rsidRPr="009E06AA" w:rsidRDefault="005D02EF" w:rsidP="00B55F24">
            <w:pPr>
              <w:pStyle w:val="TableText"/>
              <w:spacing w:before="30" w:after="30"/>
            </w:pPr>
          </w:p>
        </w:tc>
      </w:tr>
      <w:tr w:rsidR="005D02EF" w:rsidRPr="009E06AA" w14:paraId="47C00A82" w14:textId="77777777" w:rsidTr="00B55F24">
        <w:tc>
          <w:tcPr>
            <w:tcW w:w="0" w:type="auto"/>
            <w:shd w:val="clear" w:color="auto" w:fill="FFFFFF" w:themeFill="background1"/>
            <w:tcMar>
              <w:top w:w="0" w:type="dxa"/>
              <w:left w:w="85" w:type="dxa"/>
              <w:bottom w:w="0" w:type="dxa"/>
              <w:right w:w="57" w:type="dxa"/>
            </w:tcMar>
          </w:tcPr>
          <w:p w14:paraId="2E2E7EA5" w14:textId="77777777" w:rsidR="005D02EF" w:rsidRPr="009E06AA" w:rsidRDefault="005D02EF" w:rsidP="00B55F24">
            <w:pPr>
              <w:pStyle w:val="TableText"/>
              <w:keepNext/>
              <w:spacing w:before="30" w:after="30"/>
            </w:pPr>
            <w:r w:rsidRPr="009E06AA">
              <w:rPr>
                <w:rFonts w:eastAsia="Calibri"/>
                <w:color w:val="000000" w:themeColor="text1"/>
              </w:rPr>
              <w:t>Waste</w:t>
            </w:r>
          </w:p>
        </w:tc>
        <w:tc>
          <w:tcPr>
            <w:tcW w:w="477" w:type="pct"/>
            <w:shd w:val="clear" w:color="auto" w:fill="FFFFFF" w:themeFill="background1"/>
            <w:tcMar>
              <w:top w:w="0" w:type="dxa"/>
              <w:left w:w="85" w:type="dxa"/>
              <w:bottom w:w="0" w:type="dxa"/>
              <w:right w:w="57" w:type="dxa"/>
            </w:tcMar>
          </w:tcPr>
          <w:p w14:paraId="48BD5330" w14:textId="77777777" w:rsidR="005D02EF" w:rsidRPr="009E06AA" w:rsidRDefault="005D02EF" w:rsidP="00B55F24">
            <w:pPr>
              <w:pStyle w:val="TableText"/>
              <w:spacing w:before="30" w:after="30"/>
            </w:pPr>
          </w:p>
        </w:tc>
        <w:tc>
          <w:tcPr>
            <w:tcW w:w="2432" w:type="pct"/>
            <w:shd w:val="clear" w:color="auto" w:fill="FFFFFF" w:themeFill="background1"/>
            <w:tcMar>
              <w:top w:w="0" w:type="dxa"/>
              <w:left w:w="85" w:type="dxa"/>
              <w:bottom w:w="0" w:type="dxa"/>
              <w:right w:w="57" w:type="dxa"/>
            </w:tcMar>
          </w:tcPr>
          <w:p w14:paraId="222D2AB6" w14:textId="77777777" w:rsidR="005D02EF" w:rsidRPr="009E06AA" w:rsidRDefault="005D02EF" w:rsidP="00B55F24">
            <w:pPr>
              <w:pStyle w:val="TableText"/>
              <w:spacing w:before="30" w:after="30"/>
            </w:pPr>
          </w:p>
        </w:tc>
        <w:tc>
          <w:tcPr>
            <w:tcW w:w="506" w:type="pct"/>
            <w:shd w:val="clear" w:color="auto" w:fill="FFFFFF" w:themeFill="background1"/>
            <w:tcMar>
              <w:top w:w="0" w:type="dxa"/>
              <w:left w:w="85" w:type="dxa"/>
              <w:bottom w:w="0" w:type="dxa"/>
              <w:right w:w="57" w:type="dxa"/>
            </w:tcMar>
          </w:tcPr>
          <w:p w14:paraId="39CC4C87" w14:textId="77777777" w:rsidR="005D02EF" w:rsidRPr="009E06AA" w:rsidRDefault="005D02EF" w:rsidP="00B55F24">
            <w:pPr>
              <w:pStyle w:val="TableText"/>
              <w:spacing w:before="30" w:after="30"/>
            </w:pPr>
          </w:p>
        </w:tc>
        <w:tc>
          <w:tcPr>
            <w:tcW w:w="1254" w:type="pct"/>
            <w:shd w:val="clear" w:color="auto" w:fill="FFFFFF" w:themeFill="background1"/>
            <w:tcMar>
              <w:top w:w="0" w:type="dxa"/>
              <w:left w:w="85" w:type="dxa"/>
              <w:bottom w:w="0" w:type="dxa"/>
              <w:right w:w="57" w:type="dxa"/>
            </w:tcMar>
          </w:tcPr>
          <w:p w14:paraId="6DA0AAA9" w14:textId="77777777" w:rsidR="005D02EF" w:rsidRPr="009E06AA" w:rsidRDefault="005D02EF" w:rsidP="00B55F24">
            <w:pPr>
              <w:pStyle w:val="TableText"/>
              <w:spacing w:before="30" w:after="30"/>
            </w:pPr>
          </w:p>
        </w:tc>
      </w:tr>
      <w:tr w:rsidR="005D02EF" w:rsidRPr="009E06AA" w14:paraId="0405A03D" w14:textId="77777777" w:rsidTr="00B55F24">
        <w:tc>
          <w:tcPr>
            <w:tcW w:w="0" w:type="auto"/>
            <w:shd w:val="clear" w:color="auto" w:fill="FFFFFF" w:themeFill="background1"/>
            <w:tcMar>
              <w:top w:w="0" w:type="dxa"/>
              <w:left w:w="85" w:type="dxa"/>
              <w:bottom w:w="0" w:type="dxa"/>
              <w:right w:w="57" w:type="dxa"/>
            </w:tcMar>
          </w:tcPr>
          <w:p w14:paraId="2D5FF378" w14:textId="77777777" w:rsidR="005D02EF" w:rsidRPr="009E06AA" w:rsidRDefault="005D02EF" w:rsidP="00B55F24">
            <w:pPr>
              <w:pStyle w:val="TableText"/>
              <w:spacing w:before="30" w:after="30"/>
            </w:pPr>
            <w:r w:rsidRPr="009E06AA">
              <w:rPr>
                <w:rFonts w:eastAsia="Calibri"/>
                <w:color w:val="000000"/>
              </w:rPr>
              <w:t>W.12</w:t>
            </w:r>
          </w:p>
        </w:tc>
        <w:tc>
          <w:tcPr>
            <w:tcW w:w="477" w:type="pct"/>
            <w:shd w:val="clear" w:color="auto" w:fill="FFFFFF" w:themeFill="background1"/>
            <w:tcMar>
              <w:top w:w="0" w:type="dxa"/>
              <w:left w:w="85" w:type="dxa"/>
              <w:bottom w:w="0" w:type="dxa"/>
              <w:right w:w="57" w:type="dxa"/>
            </w:tcMar>
          </w:tcPr>
          <w:p w14:paraId="550C1F0E" w14:textId="77777777" w:rsidR="005D02EF" w:rsidRPr="009E06AA" w:rsidRDefault="005D02EF" w:rsidP="00B55F24">
            <w:pPr>
              <w:pStyle w:val="TableText"/>
              <w:spacing w:before="30" w:after="30"/>
            </w:pPr>
            <w:r w:rsidRPr="009E06AA">
              <w:rPr>
                <w:rFonts w:eastAsia="Calibri"/>
                <w:color w:val="000000"/>
              </w:rPr>
              <w:t>5.A Solid waste disposal on land – CH₄</w:t>
            </w:r>
          </w:p>
        </w:tc>
        <w:tc>
          <w:tcPr>
            <w:tcW w:w="2432" w:type="pct"/>
            <w:shd w:val="clear" w:color="auto" w:fill="FFFFFF" w:themeFill="background1"/>
            <w:tcMar>
              <w:top w:w="0" w:type="dxa"/>
              <w:left w:w="85" w:type="dxa"/>
              <w:bottom w:w="0" w:type="dxa"/>
              <w:right w:w="57" w:type="dxa"/>
            </w:tcMar>
          </w:tcPr>
          <w:p w14:paraId="4D103B78" w14:textId="77777777" w:rsidR="005D02EF" w:rsidRPr="009E06AA" w:rsidRDefault="005D02EF" w:rsidP="00B55F24">
            <w:pPr>
              <w:pStyle w:val="TableText"/>
              <w:spacing w:before="30" w:after="30"/>
            </w:pPr>
            <w:r w:rsidRPr="009E06AA">
              <w:rPr>
                <w:rFonts w:eastAsia="Calibri"/>
                <w:color w:val="000000"/>
              </w:rPr>
              <w:t>The Party reported in its NIR (p.318) that CH₄ recovery from SWDS was estimated assuming a 68 per cent recovery efficiency for SWDS that were open in the latest reporting year and a 52 per cent recovery efficiency for sites that were closed. These recovery efficiencies were justified by referring to an unpublished study by consulting group Eunomia, which cites these percentages as being the instantaneous recovery efficiency (the ratio of CH₄ recovery and predicted generation, using a model for emissions from landfill named the MELMod model) at SWDS in the United Kingdom of Great Britain and Northern Ireland and argues that, with respect to waste composition and biodegradation of organic material, there are no substantial differences between SWDS in the United Kingdom and New Zealand. Also, site management practices appear to be similar. In the absence of more of the data used by operators (to arrive at alternative lifetime capture rates), it is unclear to Eunomia why the rates would differ so widely between active sites in the two countries. The ERT noted that the justification of Eunomia’s argument that United Kingdom CH₄ recovery efficiencies are applicable to New Zealand is insufficient. Collection efficiency is dependent on the permeability of the cover soil, the part of the SWDS where CH₄ is collected (with emphasis on freshly deposited waste), well density (gas well/ha) and screening for surface emissions, among other factors. After 2000, the United Kingdom developed strict regulations on this, and it is not clear whether similar regulations exist in New Zealand and, if so, whether they have been successfully implemented. The ERT noted that the assumption of a 68/52 per cent recovery rate is not in accordance with the 2006 IPCC Guidelines (vol. 5, chap. 3, pp.3.18–3.19), which indicate that CH₄ recovery should be measured (either directly or indirectly from energy generation). If no measurement data are available, recovery might be estimated on the basis of installed capacity (assuming 35 per cent of this capacity is actually used) or a default recovery of 20 per cent can be assumed for the part of the waste where CH₄ is collected. The ERT also noted that, according to the Eunomia study, SWDS operators do have available measurements of CH₄ collected. However, owing to commercial confidentiality and administrative simplicity, these data are not reported to the competent authorities and so are not available to the GHG inventory team. The ERT recommends that the Party quantify CH₄ recovery on the basis of amounts measured by the SWDS operators. As long as this information is not available, a recovery efficiency of 20 per cent can be assumed for the part of the waste where CH₄ is collected or, alternatively, recovery can be estimated as 35 per cent of available collection capacity in accordance with the 2006 IPCC Guidelines (vol. 5, chap. 3, pp.3.18–3.19). The ERT also encourages the Party to build up an institutional framework, so that measurements of CH₄ collection by the SWDS operators become available to the inventory team.</w:t>
            </w:r>
          </w:p>
        </w:tc>
        <w:tc>
          <w:tcPr>
            <w:tcW w:w="506" w:type="pct"/>
            <w:shd w:val="clear" w:color="auto" w:fill="FFFFFF" w:themeFill="background1"/>
            <w:tcMar>
              <w:top w:w="0" w:type="dxa"/>
              <w:left w:w="85" w:type="dxa"/>
              <w:bottom w:w="0" w:type="dxa"/>
              <w:right w:w="57" w:type="dxa"/>
            </w:tcMar>
          </w:tcPr>
          <w:p w14:paraId="02C64D34" w14:textId="77777777" w:rsidR="005D02EF" w:rsidRPr="009E06AA" w:rsidRDefault="005D02EF" w:rsidP="00B55F24">
            <w:pPr>
              <w:pStyle w:val="TableText"/>
              <w:spacing w:before="30" w:after="30"/>
            </w:pPr>
            <w:r w:rsidRPr="009E06AA">
              <w:rPr>
                <w:rFonts w:eastAsia="Calibri"/>
                <w:color w:val="000000"/>
              </w:rPr>
              <w:t>Yes. Accuracy</w:t>
            </w:r>
          </w:p>
        </w:tc>
        <w:tc>
          <w:tcPr>
            <w:tcW w:w="1254" w:type="pct"/>
            <w:shd w:val="clear" w:color="auto" w:fill="FFFFFF" w:themeFill="background1"/>
            <w:tcMar>
              <w:top w:w="0" w:type="dxa"/>
              <w:left w:w="85" w:type="dxa"/>
              <w:bottom w:w="0" w:type="dxa"/>
              <w:right w:w="57" w:type="dxa"/>
            </w:tcMar>
          </w:tcPr>
          <w:p w14:paraId="0C8C78DE" w14:textId="77777777" w:rsidR="005D02EF" w:rsidRPr="009E06AA" w:rsidRDefault="005D02EF" w:rsidP="00B55F24">
            <w:pPr>
              <w:pStyle w:val="TableText"/>
              <w:spacing w:before="30" w:after="30"/>
            </w:pPr>
            <w:r w:rsidRPr="009E06AA">
              <w:t xml:space="preserve">Addressing. </w:t>
            </w:r>
            <w:r w:rsidRPr="009E06AA">
              <w:rPr>
                <w:rFonts w:cstheme="minorHAnsi"/>
              </w:rPr>
              <w:t>New Zealand is collecting quantitative data to determine a CH</w:t>
            </w:r>
            <w:r w:rsidRPr="009E06AA">
              <w:rPr>
                <w:rFonts w:cstheme="minorHAnsi"/>
                <w:vertAlign w:val="subscript"/>
              </w:rPr>
              <w:t>4</w:t>
            </w:r>
            <w:r w:rsidRPr="009E06AA">
              <w:rPr>
                <w:rFonts w:cstheme="minorHAnsi"/>
              </w:rPr>
              <w:t xml:space="preserve"> recovery efficiency rate adequate to the New Zealand context. This information is being gathered through the implementation of New Zealand’s first Emissions Reduction Plan (Ministry for the Environment, 2022) and it is expected to be available in late 2024.</w:t>
            </w:r>
          </w:p>
        </w:tc>
      </w:tr>
      <w:tr w:rsidR="005D02EF" w:rsidRPr="009E06AA" w14:paraId="4E849185" w14:textId="77777777" w:rsidTr="00B55F24">
        <w:tc>
          <w:tcPr>
            <w:tcW w:w="0" w:type="auto"/>
            <w:shd w:val="clear" w:color="auto" w:fill="FFFFFF" w:themeFill="background1"/>
            <w:tcMar>
              <w:top w:w="0" w:type="dxa"/>
              <w:left w:w="85" w:type="dxa"/>
              <w:bottom w:w="0" w:type="dxa"/>
              <w:right w:w="57" w:type="dxa"/>
            </w:tcMar>
          </w:tcPr>
          <w:p w14:paraId="66E1087C" w14:textId="77777777" w:rsidR="005D02EF" w:rsidRPr="009E06AA" w:rsidRDefault="005D02EF" w:rsidP="00B55F24">
            <w:pPr>
              <w:pStyle w:val="TableText"/>
              <w:spacing w:before="30" w:after="30"/>
            </w:pPr>
            <w:r w:rsidRPr="009E06AA">
              <w:rPr>
                <w:rFonts w:eastAsia="Calibri"/>
                <w:color w:val="000000"/>
              </w:rPr>
              <w:t>W.13</w:t>
            </w:r>
          </w:p>
        </w:tc>
        <w:tc>
          <w:tcPr>
            <w:tcW w:w="477" w:type="pct"/>
            <w:shd w:val="clear" w:color="auto" w:fill="FFFFFF" w:themeFill="background1"/>
            <w:tcMar>
              <w:top w:w="0" w:type="dxa"/>
              <w:left w:w="85" w:type="dxa"/>
              <w:bottom w:w="0" w:type="dxa"/>
              <w:right w:w="57" w:type="dxa"/>
            </w:tcMar>
          </w:tcPr>
          <w:p w14:paraId="620F60CE" w14:textId="77777777" w:rsidR="005D02EF" w:rsidRPr="009E06AA" w:rsidRDefault="005D02EF" w:rsidP="00B55F24">
            <w:pPr>
              <w:pStyle w:val="TableText"/>
              <w:spacing w:before="30" w:after="30"/>
            </w:pPr>
            <w:r w:rsidRPr="009E06AA">
              <w:rPr>
                <w:rFonts w:eastAsia="Calibri"/>
                <w:color w:val="000000"/>
              </w:rPr>
              <w:t>5.A Solid waste disposal on land – CH₄</w:t>
            </w:r>
          </w:p>
        </w:tc>
        <w:tc>
          <w:tcPr>
            <w:tcW w:w="2432" w:type="pct"/>
            <w:shd w:val="clear" w:color="auto" w:fill="FFFFFF" w:themeFill="background1"/>
            <w:tcMar>
              <w:top w:w="0" w:type="dxa"/>
              <w:left w:w="85" w:type="dxa"/>
              <w:bottom w:w="0" w:type="dxa"/>
              <w:right w:w="57" w:type="dxa"/>
            </w:tcMar>
          </w:tcPr>
          <w:p w14:paraId="03019708" w14:textId="77777777" w:rsidR="005D02EF" w:rsidRPr="009E06AA" w:rsidRDefault="005D02EF" w:rsidP="00B55F24">
            <w:pPr>
              <w:pStyle w:val="TableText"/>
              <w:spacing w:before="30" w:after="30"/>
            </w:pPr>
            <w:r w:rsidRPr="009E06AA">
              <w:rPr>
                <w:rFonts w:eastAsia="Calibri"/>
                <w:color w:val="000000"/>
              </w:rPr>
              <w:t>The Party reported in its NIR (pp.317–318) that CH₄ generation in SWDS was estimated assuming country-specific values for the decay rate constant. This is justified by referring to the unpublished Eunomia study, wherein it is suggested that decay rate constant values from a model for landfill gas named the GasSim model be used because the United Kingdom and New Zealand have similar waste composition and management practices and both, being islands, have a maritime climate. According to the Eunomia study, the use of the GasSim factors allows for maritime climate to be taken into account, which is not the case for the default decay rate constant values from the 2006 IPCC Guidelines (vol. 5, chap. 3, p.3.17). However, it is indicated in the study that these values should be further verified in New Zealand using a similar benchmarking process to that undertaken in the United Kingdom to identify whether the appropriate factors are being used as New Zealand sites typically have higher temperatures and higher rainfall than those in the United Kingdom. The 2006 IPCC Guidelines (vol. 1, chap. 2, p.2.12 and table 2.2) give guidance on what information can be used for developing country-specific model parameters. Other specific studies, census, surveys, measurement and monitoring data can also be used. However, the factors must be representative and standard methods must be used. The ERT noted that the assumptions in GasSim are not transparent and the details of the validation of GasSim in British landfills are not available for review. The ERT agrees that the model from the 2006 IPCC Guidelines has its limitations and that GasSim might result in a better prediction for both the United Kingdom and New Zealand. However, an open and scientific discussion on the accuracy of GasSim’s prediction is needed before results from the GasSim model can be accepted for GHG inventory purposes. The ERT agrees with the opinion expressed in the Eunomia study that a benchmarking process would provide valuable information on biodegradation in SWDS in New Zealand. The ERT recommends that the Party either justify that the decay rate constant values from the GasSim model are appropriate for New Zealand’s circumstances, for example by undertaking a benchmarking process to ensure that the values are appropriate for the country’s climatic conditions, or quantify CH₄ generation from SWDS using the default decay rate constant values from the 2006 IPCC Guidelines (vol. 5, chap. 3, p.3.17).</w:t>
            </w:r>
          </w:p>
        </w:tc>
        <w:tc>
          <w:tcPr>
            <w:tcW w:w="506" w:type="pct"/>
            <w:shd w:val="clear" w:color="auto" w:fill="FFFFFF" w:themeFill="background1"/>
            <w:tcMar>
              <w:top w:w="0" w:type="dxa"/>
              <w:left w:w="85" w:type="dxa"/>
              <w:bottom w:w="0" w:type="dxa"/>
              <w:right w:w="57" w:type="dxa"/>
            </w:tcMar>
          </w:tcPr>
          <w:p w14:paraId="6F0BB95D" w14:textId="77777777" w:rsidR="005D02EF" w:rsidRPr="009E06AA" w:rsidRDefault="005D02EF" w:rsidP="00B55F24">
            <w:pPr>
              <w:pStyle w:val="TableText"/>
              <w:spacing w:before="30" w:after="30"/>
            </w:pPr>
            <w:r w:rsidRPr="009E06AA">
              <w:rPr>
                <w:rFonts w:eastAsia="Calibri"/>
                <w:color w:val="000000"/>
              </w:rPr>
              <w:t>Yes. Accuracy</w:t>
            </w:r>
          </w:p>
        </w:tc>
        <w:tc>
          <w:tcPr>
            <w:tcW w:w="1254" w:type="pct"/>
            <w:shd w:val="clear" w:color="auto" w:fill="FFFFFF" w:themeFill="background1"/>
            <w:tcMar>
              <w:top w:w="0" w:type="dxa"/>
              <w:left w:w="85" w:type="dxa"/>
              <w:bottom w:w="0" w:type="dxa"/>
              <w:right w:w="57" w:type="dxa"/>
            </w:tcMar>
          </w:tcPr>
          <w:p w14:paraId="2FD30C1D" w14:textId="7BD0BC30" w:rsidR="005D02EF" w:rsidRPr="009E06AA" w:rsidRDefault="005D02EF" w:rsidP="00B55F24">
            <w:pPr>
              <w:pStyle w:val="TableText"/>
              <w:spacing w:before="30" w:after="30"/>
            </w:pPr>
            <w:r w:rsidRPr="009E06AA">
              <w:t xml:space="preserve">Addressing. </w:t>
            </w:r>
            <w:r w:rsidRPr="009E06AA">
              <w:rPr>
                <w:rFonts w:cstheme="minorHAnsi"/>
              </w:rPr>
              <w:t>New Zealand is collecting quantitative data and assessing the current model to determine a decay rate constant adequate to the New Zealand context. This information is being gathered through the implementation of New Zealand’s first Emissions Reduction Plan (Ministry for the Environment, 2022) and it is expected to be available in late 2024.</w:t>
            </w:r>
          </w:p>
        </w:tc>
      </w:tr>
      <w:tr w:rsidR="005D02EF" w:rsidRPr="009E06AA" w14:paraId="33BA761C" w14:textId="77777777" w:rsidTr="00B55F24">
        <w:tc>
          <w:tcPr>
            <w:tcW w:w="0" w:type="auto"/>
            <w:shd w:val="clear" w:color="auto" w:fill="FFFFFF" w:themeFill="background1"/>
            <w:tcMar>
              <w:top w:w="0" w:type="dxa"/>
              <w:left w:w="85" w:type="dxa"/>
              <w:bottom w:w="0" w:type="dxa"/>
              <w:right w:w="57" w:type="dxa"/>
            </w:tcMar>
          </w:tcPr>
          <w:p w14:paraId="4ECF851D" w14:textId="77777777" w:rsidR="005D02EF" w:rsidRPr="009E06AA" w:rsidRDefault="005D02EF" w:rsidP="00B55F24">
            <w:pPr>
              <w:pStyle w:val="TableText"/>
              <w:spacing w:before="30" w:after="30"/>
            </w:pPr>
            <w:r w:rsidRPr="009E06AA">
              <w:rPr>
                <w:rFonts w:eastAsia="Calibri"/>
                <w:color w:val="000000"/>
              </w:rPr>
              <w:t>W.14</w:t>
            </w:r>
          </w:p>
        </w:tc>
        <w:tc>
          <w:tcPr>
            <w:tcW w:w="477" w:type="pct"/>
            <w:shd w:val="clear" w:color="auto" w:fill="FFFFFF" w:themeFill="background1"/>
            <w:tcMar>
              <w:top w:w="0" w:type="dxa"/>
              <w:left w:w="85" w:type="dxa"/>
              <w:bottom w:w="0" w:type="dxa"/>
              <w:right w:w="57" w:type="dxa"/>
            </w:tcMar>
          </w:tcPr>
          <w:p w14:paraId="0A3295A9" w14:textId="77777777" w:rsidR="005D02EF" w:rsidRPr="009E06AA" w:rsidRDefault="005D02EF" w:rsidP="00B55F24">
            <w:pPr>
              <w:pStyle w:val="TableText"/>
              <w:spacing w:before="30" w:after="30"/>
            </w:pPr>
            <w:r w:rsidRPr="009E06AA">
              <w:rPr>
                <w:rFonts w:eastAsia="Calibri"/>
                <w:color w:val="000000"/>
              </w:rPr>
              <w:t>5.A Solid waste disposal on land – CH₄</w:t>
            </w:r>
          </w:p>
        </w:tc>
        <w:tc>
          <w:tcPr>
            <w:tcW w:w="2432" w:type="pct"/>
            <w:shd w:val="clear" w:color="auto" w:fill="FFFFFF" w:themeFill="background1"/>
            <w:tcMar>
              <w:top w:w="0" w:type="dxa"/>
              <w:left w:w="85" w:type="dxa"/>
              <w:bottom w:w="0" w:type="dxa"/>
              <w:right w:w="57" w:type="dxa"/>
            </w:tcMar>
          </w:tcPr>
          <w:p w14:paraId="51A42BFE" w14:textId="77777777" w:rsidR="005D02EF" w:rsidRPr="009E06AA" w:rsidRDefault="005D02EF" w:rsidP="00B55F24">
            <w:pPr>
              <w:pStyle w:val="TableText"/>
              <w:spacing w:before="30" w:after="30"/>
            </w:pPr>
            <w:r w:rsidRPr="009E06AA">
              <w:rPr>
                <w:rFonts w:eastAsia="Calibri"/>
                <w:color w:val="000000"/>
              </w:rPr>
              <w:t>The Party reported in its NIR (p.317) that CH₄ emissions from SWDS are estimated assuming a fraction of CH₄ in landfill gas of 0.57. This is justified by referring to the unpublished Eunomia study, wherein reference is made to Golder Associates (2014), according to which the fraction of CH₄ in landfill is based on 50,000 landfill gas monitoring data sets supplied by SWDS in the United Kingdom for 2010–2012. The ERT noted that the value of 0.57, as proposed by Golder Associates (2014), is based on available analyses of the composition of recovered landfill gas. The 2006 IPCC Guidelines (vol. 5, chap. 3, p.3.15) indicate that, in SWDS, CO₂ is absorbed in seepage water and the neutral condition of the SWDS transforms much of the absorbed CO₂ to bicarbonate. Therefore, if the fraction of CH₄ in landfill gas is based on measurements of CH₄ concentrations measured in emitted landfill gas, it is good practice to adjust for the CO₂ absorption in seepage water. During the review, the Party confirmed that while the value of 0.57 was based on experimental data, CO₂ absorption was not accounted for in Golder Associates (2014). The ERT recommends that the Party either adjust the county-specific value of 0.57 for CO₂ absorption in seepage water or revert to the default value of 0.5 from the 2006 IPCC Guidelines (vol. 5, chap. 3, p.3.15).</w:t>
            </w:r>
          </w:p>
        </w:tc>
        <w:tc>
          <w:tcPr>
            <w:tcW w:w="506" w:type="pct"/>
            <w:shd w:val="clear" w:color="auto" w:fill="FFFFFF" w:themeFill="background1"/>
            <w:tcMar>
              <w:top w:w="0" w:type="dxa"/>
              <w:left w:w="85" w:type="dxa"/>
              <w:bottom w:w="0" w:type="dxa"/>
              <w:right w:w="57" w:type="dxa"/>
            </w:tcMar>
          </w:tcPr>
          <w:p w14:paraId="22388093" w14:textId="77777777" w:rsidR="005D02EF" w:rsidRPr="009E06AA" w:rsidRDefault="005D02EF" w:rsidP="00B55F24">
            <w:pPr>
              <w:pStyle w:val="TableText"/>
              <w:spacing w:before="30" w:after="30"/>
            </w:pPr>
            <w:r w:rsidRPr="009E06AA">
              <w:rPr>
                <w:rFonts w:eastAsia="Calibri"/>
                <w:color w:val="000000"/>
              </w:rPr>
              <w:t>Yes. Accuracy</w:t>
            </w:r>
          </w:p>
        </w:tc>
        <w:tc>
          <w:tcPr>
            <w:tcW w:w="1254" w:type="pct"/>
            <w:shd w:val="clear" w:color="auto" w:fill="FFFFFF" w:themeFill="background1"/>
            <w:tcMar>
              <w:top w:w="0" w:type="dxa"/>
              <w:left w:w="85" w:type="dxa"/>
              <w:bottom w:w="0" w:type="dxa"/>
              <w:right w:w="57" w:type="dxa"/>
            </w:tcMar>
          </w:tcPr>
          <w:p w14:paraId="6CA93DF3" w14:textId="77777777" w:rsidR="005D02EF" w:rsidRPr="009E06AA" w:rsidRDefault="005D02EF" w:rsidP="00B55F24">
            <w:pPr>
              <w:pStyle w:val="TableText"/>
              <w:spacing w:before="30" w:after="30"/>
            </w:pPr>
            <w:r w:rsidRPr="009E06AA">
              <w:t xml:space="preserve">Addressing. </w:t>
            </w:r>
            <w:r w:rsidRPr="009E06AA">
              <w:rPr>
                <w:rFonts w:cstheme="minorHAnsi"/>
              </w:rPr>
              <w:t>New Zealand is collecting quantitative data and revising current assumptions on fraction of CH4 in landfill gas, to adopt an adequate country-specific value. This information is being gathered through the implementation of the Emissions Reduction Plan and it is expected to be available in late 2024.</w:t>
            </w:r>
          </w:p>
        </w:tc>
      </w:tr>
      <w:tr w:rsidR="005D02EF" w:rsidRPr="009E06AA" w14:paraId="446665B1" w14:textId="77777777" w:rsidTr="00B55F24">
        <w:tc>
          <w:tcPr>
            <w:tcW w:w="0" w:type="auto"/>
            <w:shd w:val="clear" w:color="auto" w:fill="FFFFFF" w:themeFill="background1"/>
            <w:tcMar>
              <w:top w:w="0" w:type="dxa"/>
              <w:left w:w="85" w:type="dxa"/>
              <w:bottom w:w="0" w:type="dxa"/>
              <w:right w:w="57" w:type="dxa"/>
            </w:tcMar>
          </w:tcPr>
          <w:p w14:paraId="1351DA21" w14:textId="77777777" w:rsidR="005D02EF" w:rsidRPr="009E06AA" w:rsidRDefault="005D02EF" w:rsidP="00B55F24">
            <w:pPr>
              <w:pStyle w:val="TableText"/>
              <w:spacing w:before="30" w:after="30"/>
            </w:pPr>
            <w:r w:rsidRPr="009E06AA">
              <w:rPr>
                <w:rFonts w:eastAsia="Calibri"/>
                <w:color w:val="000000"/>
              </w:rPr>
              <w:t>W.15</w:t>
            </w:r>
          </w:p>
        </w:tc>
        <w:tc>
          <w:tcPr>
            <w:tcW w:w="477" w:type="pct"/>
            <w:shd w:val="clear" w:color="auto" w:fill="FFFFFF" w:themeFill="background1"/>
            <w:tcMar>
              <w:top w:w="0" w:type="dxa"/>
              <w:left w:w="85" w:type="dxa"/>
              <w:bottom w:w="0" w:type="dxa"/>
              <w:right w:w="57" w:type="dxa"/>
            </w:tcMar>
          </w:tcPr>
          <w:p w14:paraId="4629E22E" w14:textId="77777777" w:rsidR="005D02EF" w:rsidRPr="009E06AA" w:rsidRDefault="005D02EF" w:rsidP="00B55F24">
            <w:pPr>
              <w:pStyle w:val="TableText"/>
              <w:spacing w:before="30" w:after="30"/>
            </w:pPr>
            <w:r w:rsidRPr="009E06AA">
              <w:rPr>
                <w:rFonts w:eastAsia="Calibri"/>
                <w:color w:val="000000"/>
              </w:rPr>
              <w:t>5.D Wastewater treatment and discharge – CH₄ and N₂O</w:t>
            </w:r>
          </w:p>
        </w:tc>
        <w:tc>
          <w:tcPr>
            <w:tcW w:w="2432" w:type="pct"/>
            <w:shd w:val="clear" w:color="auto" w:fill="FFFFFF" w:themeFill="background1"/>
            <w:tcMar>
              <w:top w:w="0" w:type="dxa"/>
              <w:left w:w="85" w:type="dxa"/>
              <w:bottom w:w="0" w:type="dxa"/>
              <w:right w:w="57" w:type="dxa"/>
            </w:tcMar>
          </w:tcPr>
          <w:p w14:paraId="4FD6CF68" w14:textId="77777777" w:rsidR="005D02EF" w:rsidRPr="009E06AA" w:rsidRDefault="005D02EF" w:rsidP="00B55F24">
            <w:pPr>
              <w:pStyle w:val="TableText"/>
              <w:spacing w:before="30" w:after="30"/>
            </w:pPr>
            <w:r w:rsidRPr="009E06AA">
              <w:rPr>
                <w:rFonts w:eastAsia="Calibri"/>
                <w:color w:val="000000"/>
              </w:rPr>
              <w:t>The Party reported in its NIR (p.329) that sludge amounts are reported as “IE” for both domestic and industrial wastewater because most of the sludge is sent to SWDS, and that AD and emissions from sludge disposal are reported in the solid waste disposal source category (see NIR p.316). In addition, emissions from sludge treatment and disposal are mentioned in the NIR for the energy (p.86) and agriculture (p.201) sectors, as well as for the waste sector under the category incineration (p.325). The ERT noted that this is not in agreement with the 2006 IPCC Guidelines. Where statistics on sludge removal are not available, the amount of TOW removed as sludge in equations 6.1 and 6.4 of the 2006 IPCC Guidelines (vol. 5, chap. 6) is zero. In this case, all organic material (TOW) is assumed to be completely converted to gases (i.e. CO₂, CH₄, N and N₂O) and reported under wastewater treatment and discharge (category 5.D) and CH₄ and N₂O emissions from sludge treatment and disposal are included in the total emissions for category 5.D, assuming the EFs for category 5.D (see the 2006 IPCC Guidelines, vol. 5, chap. 6.6.1). When sludge is included in other categories, the calculation of emissions for category 5.D should be corrected for the corresponding amount of TOW removed as sludge, as indicated in equations 6.1 and 6.4 of the 2006 IPCC Guidelines (vol. 5, chap. 6, pp.6.11 and 6.18, under “completeness” and “reporting and documentation”). Failure to make this correction results in double counting of emissions. Therefore, if New Zealand has information on the mass of sludge removed and an estimate of the organic matter in dry sludge, the amount of TOW removed as sludge might be calculated as the product of (1) the total dry mass of sludge, (2) the average organic matter content in sludge and (3) a conversion of organic matter to chemical oxygen demand. When one assumes that organic matter can be described as cellulose (C(H2O)n), the oxidation proceeds via C(H2O)n + n O2 → n CO₂ + n H2O and the conversion of 1 kg organic matter corresponds to 32/30 kg chemical oxygen demand. The ERT recommends that the Party revise its estimates to prevent double counting of emissions by either removing emissions from sludge treatment and discharge for all sectors other than for category 5.D, or correcting the calculation of emissions for category 5.D using equations 6.1 and 6.4 from the 2006 IPCC Guidelines and an amount of TOW removed as sludge that corresponds to the AD for emissions from sludge treatment and disposal for categories 5.A and 5.C and in the energy and agriculture sectors. If New Zealand were to choose the first option, the issues in ID# W.9 and W.10 in table 3 would automatically be resolved as well.</w:t>
            </w:r>
          </w:p>
        </w:tc>
        <w:tc>
          <w:tcPr>
            <w:tcW w:w="506" w:type="pct"/>
            <w:shd w:val="clear" w:color="auto" w:fill="FFFFFF" w:themeFill="background1"/>
            <w:tcMar>
              <w:top w:w="0" w:type="dxa"/>
              <w:left w:w="85" w:type="dxa"/>
              <w:bottom w:w="0" w:type="dxa"/>
              <w:right w:w="57" w:type="dxa"/>
            </w:tcMar>
          </w:tcPr>
          <w:p w14:paraId="7EDFBAAB" w14:textId="77777777" w:rsidR="005D02EF" w:rsidRPr="009E06AA" w:rsidRDefault="005D02EF" w:rsidP="00B55F24">
            <w:pPr>
              <w:pStyle w:val="TableText"/>
              <w:spacing w:before="30" w:after="30"/>
            </w:pPr>
            <w:r w:rsidRPr="009E06AA">
              <w:rPr>
                <w:rFonts w:eastAsia="Calibri"/>
                <w:color w:val="000000"/>
              </w:rPr>
              <w:t>Yes. Accuracy</w:t>
            </w:r>
          </w:p>
        </w:tc>
        <w:tc>
          <w:tcPr>
            <w:tcW w:w="1254" w:type="pct"/>
            <w:shd w:val="clear" w:color="auto" w:fill="FFFFFF" w:themeFill="background1"/>
            <w:tcMar>
              <w:top w:w="0" w:type="dxa"/>
              <w:left w:w="85" w:type="dxa"/>
              <w:bottom w:w="0" w:type="dxa"/>
              <w:right w:w="57" w:type="dxa"/>
            </w:tcMar>
          </w:tcPr>
          <w:p w14:paraId="680935EB" w14:textId="77777777" w:rsidR="005D02EF" w:rsidRPr="009E06AA" w:rsidRDefault="005D02EF" w:rsidP="00B55F24">
            <w:pPr>
              <w:pStyle w:val="TableText"/>
              <w:spacing w:before="30" w:after="30"/>
            </w:pPr>
            <w:r w:rsidRPr="009E06AA">
              <w:rPr>
                <w:bCs/>
              </w:rPr>
              <w:t>Not resolved</w:t>
            </w:r>
            <w:r w:rsidRPr="009E06AA">
              <w:t>. New Zealand plans to collect information on the mass of sludge removed and organic matter content in dry sludge to revise its current estimates. It has not yet been prioritised due to the negligible emissions associated with sludge.</w:t>
            </w:r>
          </w:p>
        </w:tc>
      </w:tr>
    </w:tbl>
    <w:p w14:paraId="78AA82D7" w14:textId="5DCD38C4" w:rsidR="005D02EF" w:rsidRPr="009E06AA" w:rsidRDefault="005D02EF" w:rsidP="00CE20AA">
      <w:pPr>
        <w:pStyle w:val="Noteundertable"/>
        <w:spacing w:after="0"/>
      </w:pPr>
      <w:r w:rsidRPr="009E06AA">
        <w:rPr>
          <w:b/>
          <w:bCs/>
        </w:rPr>
        <w:t>Note</w:t>
      </w:r>
      <w:r w:rsidRPr="009E06AA">
        <w:t xml:space="preserve">: </w:t>
      </w:r>
      <w:r w:rsidRPr="009E06AA">
        <w:tab/>
        <w:t>³Recommendations made by the Expert Review Team during the review are related to issues as defined in para. 81 of the United Nations Framework Convention on Climate Change review guidelines or problems as defined in para. 69 of the Article 8 review guidelines (UNFCCC, 2023). AD = activity data; CO₂ = carbon dioxide; CH₄ = methane; CRF = common reporting format; CRT = common reporting table; EFs = emission factors; ERT = expert review team; IE = included elsewhere; IPCC = Intergovernmental Panel on Climate Change; IPPU = Industrial Processes and Product Use; kg = kilogram; LULUCF = Land Use, Land-Use Change and Forestry; MBIE = Ministry of Business, Innovation and Employment; MCF = methane conversion factor; N = nitrogen; NA = not available; NIR = National Inventory Report; N₂O = nitrous oxide; SWDS = solid waste disposable sites; TOW = total organic product in wastewater.</w:t>
      </w:r>
      <w:r w:rsidR="00CE20AA" w:rsidRPr="009E06AA">
        <w:t xml:space="preserve"> </w:t>
      </w:r>
    </w:p>
    <w:p w14:paraId="406A7B60" w14:textId="77777777" w:rsidR="005D02EF" w:rsidRPr="009E06AA" w:rsidRDefault="005D02EF" w:rsidP="005D02EF">
      <w:pPr>
        <w:pStyle w:val="Heading2"/>
        <w:sectPr w:rsidR="005D02EF" w:rsidRPr="009E06AA" w:rsidSect="00F66BF9">
          <w:footerReference w:type="default" r:id="rId209"/>
          <w:pgSz w:w="16840" w:h="11907" w:orient="landscape" w:code="9"/>
          <w:pgMar w:top="1701" w:right="1418" w:bottom="1701" w:left="1418" w:header="567" w:footer="567" w:gutter="0"/>
          <w:cols w:space="720"/>
        </w:sectPr>
      </w:pPr>
      <w:bookmarkStart w:id="3689" w:name="chapter-10-references"/>
      <w:bookmarkEnd w:id="3682"/>
    </w:p>
    <w:p w14:paraId="500BE2B9" w14:textId="77777777" w:rsidR="005D02EF" w:rsidRPr="009E06AA" w:rsidRDefault="005D02EF" w:rsidP="005D02EF">
      <w:pPr>
        <w:pStyle w:val="Heading2"/>
        <w:spacing w:before="0" w:after="360"/>
      </w:pPr>
      <w:bookmarkStart w:id="3690" w:name="_Toc161311144"/>
      <w:bookmarkStart w:id="3691" w:name="_Toc164154243"/>
      <w:r w:rsidRPr="009E06AA">
        <w:t>Chapter 10: References</w:t>
      </w:r>
      <w:bookmarkEnd w:id="3690"/>
      <w:bookmarkEnd w:id="3691"/>
    </w:p>
    <w:p w14:paraId="7305ACAB" w14:textId="77777777" w:rsidR="005D02EF" w:rsidRPr="009E06AA" w:rsidRDefault="005D02EF" w:rsidP="005D02EF">
      <w:pPr>
        <w:pStyle w:val="References"/>
      </w:pPr>
      <w:r w:rsidRPr="009E06AA">
        <w:t xml:space="preserve">Easdale TA, Richardson SJ, Marden M, England JR, Gayoso-Aguilar J, Guerra-Carcamo JE, Brandon AM. 2019. Root biomass allocation in southern temperate forests. </w:t>
      </w:r>
      <w:r w:rsidRPr="009E06AA">
        <w:rPr>
          <w:i/>
          <w:iCs/>
        </w:rPr>
        <w:t>Forest Ecology and Management</w:t>
      </w:r>
      <w:r w:rsidRPr="009E06AA">
        <w:t xml:space="preserve"> 453: 117542.</w:t>
      </w:r>
    </w:p>
    <w:p w14:paraId="3BBE17AE" w14:textId="77777777" w:rsidR="005D02EF" w:rsidRPr="009E06AA" w:rsidRDefault="005D02EF" w:rsidP="005D02EF">
      <w:pPr>
        <w:pStyle w:val="References"/>
      </w:pPr>
      <w:r w:rsidRPr="009E06AA">
        <w:t>Eunomia. Unpublished. Improvements to Estimates of Greenhouse Gas Emissions from Landfills. Contract report prepared for the Ministry for the Environment in 2020.</w:t>
      </w:r>
    </w:p>
    <w:p w14:paraId="069F35EC" w14:textId="77777777" w:rsidR="005D02EF" w:rsidRPr="009E06AA" w:rsidRDefault="005D02EF" w:rsidP="005D02EF">
      <w:pPr>
        <w:pStyle w:val="References"/>
      </w:pPr>
      <w:r w:rsidRPr="009E06AA">
        <w:t xml:space="preserve">IPCC. 2006a. Eggleston HS, Buendia L, Miwa K, Ngara T, Tanabe K (eds). </w:t>
      </w:r>
      <w:r w:rsidRPr="009E06AA">
        <w:rPr>
          <w:i/>
          <w:iCs/>
        </w:rPr>
        <w:t xml:space="preserve">2006 IPCC Guidelines for National Greenhouse Gas Inventories. Volume 1. General Guidance and Reporting. </w:t>
      </w:r>
      <w:r w:rsidRPr="009E06AA">
        <w:t>IPCC National Greenhouse Gas Inventories Programme. Japan: Institute for Global Environmental Strategies for IPCC.</w:t>
      </w:r>
    </w:p>
    <w:p w14:paraId="24E44BB1" w14:textId="77777777" w:rsidR="005D02EF" w:rsidRPr="009E06AA" w:rsidRDefault="005D02EF" w:rsidP="005D02EF">
      <w:pPr>
        <w:pStyle w:val="References"/>
      </w:pPr>
      <w:r w:rsidRPr="009E06AA">
        <w:t xml:space="preserve">IPCC. 2006b. Eggleston HS, Buendia L, Miwa K, Ngara T, Tanabe K (eds). </w:t>
      </w:r>
      <w:r w:rsidRPr="009E06AA">
        <w:rPr>
          <w:i/>
          <w:iCs/>
        </w:rPr>
        <w:t>2006 IPCC Guidelines for National Greenhouse Gas Inventories. Volume 3. Industrial Processes and Product Use</w:t>
      </w:r>
      <w:r w:rsidRPr="009E06AA">
        <w:t>. IPCC National Greenhouse Gas Inventories Programme. Japan: Institute for Global Environmental Strategies for IPCC.</w:t>
      </w:r>
    </w:p>
    <w:p w14:paraId="65389E8A" w14:textId="77777777" w:rsidR="005D02EF" w:rsidRPr="009E06AA" w:rsidRDefault="005D02EF" w:rsidP="005D02EF">
      <w:pPr>
        <w:pStyle w:val="References"/>
      </w:pPr>
      <w:r w:rsidRPr="009E06AA">
        <w:t xml:space="preserve">IPCC. 2006c. Eggleston HS, Buendia L, Miwa K, Ngara T, Tanabe K (eds). </w:t>
      </w:r>
      <w:r w:rsidRPr="009E06AA">
        <w:rPr>
          <w:i/>
          <w:iCs/>
        </w:rPr>
        <w:t xml:space="preserve">2006 IPCC Guidelines for National Greenhouse Gas Inventories. Volume 4. Agriculture, Forestry and Other Land Use. </w:t>
      </w:r>
      <w:r w:rsidRPr="009E06AA">
        <w:t>IPCC National Greenhouse Gas Inventories Programme. Japan: Institute for Global Environmental Strategies for IPCC.</w:t>
      </w:r>
    </w:p>
    <w:p w14:paraId="4826FAC9" w14:textId="77777777" w:rsidR="005D02EF" w:rsidRPr="009E06AA" w:rsidRDefault="005D02EF" w:rsidP="005D02EF">
      <w:pPr>
        <w:pStyle w:val="References"/>
      </w:pPr>
      <w:r w:rsidRPr="009E06AA">
        <w:t xml:space="preserve">IPCC. 2007. Forster P, Ramaswamy V, Artaxo P, Berntsen T, Betts R, Fahey DW, Haywood J, Lean J, Lowe DC, Myhre G, Nganga J, Prinn R, Raga G, Schulz M, Van Dorland R. Changes in Atmospheric Constituents and in Radiative Forcing. In: S Solomon, D Qin, M Manning, Z Chen, M Marquis, KB Averyt, M Tignor and HL Miller (eds) </w:t>
      </w:r>
      <w:r w:rsidRPr="009E06AA">
        <w:rPr>
          <w:i/>
          <w:iCs/>
        </w:rPr>
        <w:t>Climate Change 2007: The Physical Science Basis. Contribution of Working Group I to the Fourth Assessment Report of the Intergovernmental Panel on Climate Change</w:t>
      </w:r>
      <w:r w:rsidRPr="009E06AA">
        <w:t>. Cambridge: Cambridge University Press.</w:t>
      </w:r>
    </w:p>
    <w:p w14:paraId="1A6FC504" w14:textId="77777777" w:rsidR="005D02EF" w:rsidRPr="009E06AA" w:rsidRDefault="005D02EF" w:rsidP="005D02EF">
      <w:pPr>
        <w:pStyle w:val="References"/>
      </w:pPr>
      <w:r w:rsidRPr="009E06AA">
        <w:t xml:space="preserve">IPCC. 2013. Stocker TF, Qin D, Plattner G-K, Tignor M, Allen SK, Boschung J, Nauels A, Xia Y, Bex V, Midgley PM (eds). </w:t>
      </w:r>
      <w:r w:rsidRPr="009E06AA">
        <w:rPr>
          <w:i/>
          <w:iCs/>
        </w:rPr>
        <w:t>Climate Change 2013: The Physical Science Basis. Contribution of Working Group I to the Fifth Assessment Report of the Intergovernmental Panel on Climate Change</w:t>
      </w:r>
      <w:r w:rsidRPr="009E06AA">
        <w:t xml:space="preserve">. Cambridge: Cambridge University Press. </w:t>
      </w:r>
    </w:p>
    <w:p w14:paraId="4CE5F5AE" w14:textId="77777777" w:rsidR="005D02EF" w:rsidRPr="009E06AA" w:rsidRDefault="005D02EF" w:rsidP="005D02EF">
      <w:pPr>
        <w:pStyle w:val="References"/>
      </w:pPr>
      <w:r w:rsidRPr="009E06AA">
        <w:t xml:space="preserve">Ministry for Primary Industries. 2022. </w:t>
      </w:r>
      <w:hyperlink r:id="rId210" w:history="1">
        <w:r w:rsidRPr="009E06AA">
          <w:rPr>
            <w:rStyle w:val="Hyperlink"/>
            <w:i/>
            <w:iCs/>
          </w:rPr>
          <w:t>Methodology for calculation of New Zealand’s agricultural greenhouse gas emissions Version 8</w:t>
        </w:r>
      </w:hyperlink>
      <w:r w:rsidRPr="009E06AA">
        <w:t>. Wellington: Ministry for Primary Industries. Retrieved 12 January 2024.</w:t>
      </w:r>
    </w:p>
    <w:p w14:paraId="2D0EFC23" w14:textId="77777777" w:rsidR="005D02EF" w:rsidRPr="009E06AA" w:rsidRDefault="005D02EF" w:rsidP="005D02EF">
      <w:pPr>
        <w:pStyle w:val="References"/>
      </w:pPr>
      <w:r w:rsidRPr="009E06AA">
        <w:t xml:space="preserve">Ministry for the Environment. 2022. </w:t>
      </w:r>
      <w:r w:rsidRPr="009E06AA">
        <w:rPr>
          <w:i/>
          <w:iCs/>
        </w:rPr>
        <w:t>Te hau mārohi ki anamata: Towards a productive, sustainable and inclusive economy – Aotearoa New Zealand’s first emissions reduction plan</w:t>
      </w:r>
      <w:r w:rsidRPr="009E06AA">
        <w:t>. Wellington: Ministry for the Environment.</w:t>
      </w:r>
    </w:p>
    <w:p w14:paraId="32EBA215" w14:textId="77777777" w:rsidR="005D02EF" w:rsidRPr="009E06AA" w:rsidRDefault="005D02EF" w:rsidP="005D02EF">
      <w:pPr>
        <w:pStyle w:val="References"/>
      </w:pPr>
      <w:r w:rsidRPr="009E06AA">
        <w:t xml:space="preserve">Rollo M, Ledgard S, Longhurst B. 2017. </w:t>
      </w:r>
      <w:r w:rsidRPr="009E06AA">
        <w:rPr>
          <w:i/>
          <w:iCs/>
        </w:rPr>
        <w:t>Final Report: Trends in Dairy Effluent Management.</w:t>
      </w:r>
      <w:r w:rsidRPr="009E06AA">
        <w:t xml:space="preserve"> Report prepared for the Ministry for Primary Industries by AgResearch. Wellington: Ministry for Primary Industries.</w:t>
      </w:r>
    </w:p>
    <w:p w14:paraId="14B5D187" w14:textId="77777777" w:rsidR="005D02EF" w:rsidRPr="009E06AA" w:rsidRDefault="005D02EF" w:rsidP="005D02EF">
      <w:pPr>
        <w:pStyle w:val="References"/>
      </w:pPr>
      <w:r w:rsidRPr="009E06AA">
        <w:t xml:space="preserve">Stevens D, Rollo M, Vibart R, Chrystal J, Speirs B, Davison R, Burtt A. 2022. </w:t>
      </w:r>
      <w:r w:rsidRPr="009E06AA">
        <w:rPr>
          <w:i/>
          <w:iCs/>
        </w:rPr>
        <w:t>Sheep and Cattle Birth and Slaughter Dates</w:t>
      </w:r>
      <w:r w:rsidRPr="009E06AA">
        <w:t>. Report prepared for the Ministry for Primary Industries. Wellington: Ministry for Primary Industries.</w:t>
      </w:r>
    </w:p>
    <w:p w14:paraId="1E33EFFA" w14:textId="1AB37CC1" w:rsidR="005D02EF" w:rsidRPr="009E06AA" w:rsidRDefault="005D02EF" w:rsidP="005D02EF">
      <w:pPr>
        <w:pStyle w:val="References"/>
      </w:pPr>
      <w:r w:rsidRPr="009E06AA">
        <w:t xml:space="preserve">UNFCCC. 2023. FCCC/ARR/2022/NZL. </w:t>
      </w:r>
      <w:r w:rsidRPr="009E06AA">
        <w:rPr>
          <w:i/>
          <w:iCs/>
        </w:rPr>
        <w:t>Report on the Individual Review of the Annual Submission of New</w:t>
      </w:r>
      <w:r w:rsidR="005F04CF" w:rsidRPr="009E06AA">
        <w:rPr>
          <w:i/>
          <w:iCs/>
        </w:rPr>
        <w:t> </w:t>
      </w:r>
      <w:r w:rsidRPr="009E06AA">
        <w:rPr>
          <w:i/>
          <w:iCs/>
        </w:rPr>
        <w:t>Zealand Submitted in 2022.</w:t>
      </w:r>
      <w:r w:rsidRPr="009E06AA">
        <w:t xml:space="preserve"> Centralised Review.</w:t>
      </w:r>
    </w:p>
    <w:p w14:paraId="498A0BAF" w14:textId="77777777" w:rsidR="005D02EF" w:rsidRPr="009E06AA" w:rsidRDefault="005D02EF" w:rsidP="005D02EF">
      <w:pPr>
        <w:pStyle w:val="References"/>
      </w:pPr>
      <w:r w:rsidRPr="009E06AA">
        <w:t xml:space="preserve">van der Weerden A, de Klein C, Kelliher F, Rollo M. 2014. </w:t>
      </w:r>
      <w:r w:rsidRPr="009E06AA">
        <w:rPr>
          <w:i/>
          <w:iCs/>
        </w:rPr>
        <w:t>Reporting to 2006 IPCC Guidelines for N</w:t>
      </w:r>
      <w:r w:rsidRPr="009E06AA">
        <w:rPr>
          <w:i/>
          <w:iCs/>
          <w:vertAlign w:val="subscript"/>
        </w:rPr>
        <w:t>2</w:t>
      </w:r>
      <w:r w:rsidRPr="009E06AA">
        <w:rPr>
          <w:i/>
          <w:iCs/>
        </w:rPr>
        <w:t>O Emissions from Additional Sources of Organic N: Final Report.</w:t>
      </w:r>
      <w:r w:rsidRPr="009E06AA">
        <w:t xml:space="preserve"> MPI Technical Report. Wellington: Ministry for Primary Industries.</w:t>
      </w:r>
    </w:p>
    <w:p w14:paraId="4FEF0573" w14:textId="77777777" w:rsidR="005D02EF" w:rsidRPr="009E06AA" w:rsidRDefault="005D02EF" w:rsidP="005D02EF">
      <w:pPr>
        <w:pStyle w:val="References"/>
      </w:pPr>
      <w:r w:rsidRPr="009E06AA">
        <w:t xml:space="preserve">Welten B, Mercer G, Smith C, Sprosen M, Ledgard S. 2021. </w:t>
      </w:r>
      <w:r w:rsidRPr="009E06AA">
        <w:rPr>
          <w:i/>
          <w:iCs/>
        </w:rPr>
        <w:t>Refining Estimates of Nitrogen Leaching for the New Zealand Agricultural Greenhouse Gas Inventory.</w:t>
      </w:r>
      <w:r w:rsidRPr="009E06AA">
        <w:t xml:space="preserve"> Contract report prepared for the Ministry for Primary Industries.</w:t>
      </w:r>
    </w:p>
    <w:bookmarkEnd w:id="3626"/>
    <w:bookmarkEnd w:id="3689"/>
    <w:p w14:paraId="1FB0F48E" w14:textId="77777777" w:rsidR="005D02EF" w:rsidRPr="009E06AA" w:rsidRDefault="005D02EF" w:rsidP="005D02EF">
      <w:pPr>
        <w:pStyle w:val="BodyText"/>
        <w:spacing w:before="0"/>
      </w:pPr>
    </w:p>
    <w:sectPr w:rsidR="005D02EF" w:rsidRPr="009E06AA" w:rsidSect="00F66BF9">
      <w:footerReference w:type="default" r:id="rId211"/>
      <w:pgSz w:w="11907" w:h="16840" w:code="9"/>
      <w:pgMar w:top="1418" w:right="1701" w:bottom="1418" w:left="1701" w:header="567" w:footer="56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314F4C" w14:textId="77777777" w:rsidR="00F66BF9" w:rsidRDefault="00F66BF9">
      <w:r>
        <w:separator/>
      </w:r>
    </w:p>
  </w:endnote>
  <w:endnote w:type="continuationSeparator" w:id="0">
    <w:p w14:paraId="7F7FD7E2" w14:textId="77777777" w:rsidR="00F66BF9" w:rsidRDefault="00F66BF9">
      <w:r>
        <w:continuationSeparator/>
      </w:r>
    </w:p>
  </w:endnote>
  <w:endnote w:type="continuationNotice" w:id="1">
    <w:p w14:paraId="584D55A4" w14:textId="77777777" w:rsidR="00F66BF9" w:rsidRDefault="00F66BF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JBHHJB+Arial,Bold">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Malgun Gothic">
    <w:panose1 w:val="020B0503020000020004"/>
    <w:charset w:val="81"/>
    <w:family w:val="swiss"/>
    <w:pitch w:val="variable"/>
    <w:sig w:usb0="9000002F" w:usb1="29D77CFB" w:usb2="00000012" w:usb3="00000000" w:csb0="00080001" w:csb1="00000000"/>
  </w:font>
  <w:font w:name="Arial Bold">
    <w:altName w:val="Arial"/>
    <w:panose1 w:val="00000000000000000000"/>
    <w:charset w:val="00"/>
    <w:family w:val="roman"/>
    <w:notTrueType/>
    <w:pitch w:val="default"/>
  </w:font>
  <w:font w:name="Cordia New">
    <w:panose1 w:val="020B0304020202020204"/>
    <w:charset w:val="00"/>
    <w:family w:val="swiss"/>
    <w:pitch w:val="variable"/>
    <w:sig w:usb0="81000003" w:usb1="00000000" w:usb2="00000000" w:usb3="00000000" w:csb0="00010001" w:csb1="00000000"/>
  </w:font>
  <w:font w:name="Cambria Math">
    <w:panose1 w:val="02040503050406030204"/>
    <w:charset w:val="00"/>
    <w:family w:val="roman"/>
    <w:pitch w:val="variable"/>
    <w:sig w:usb0="E00006FF" w:usb1="420024FF" w:usb2="02000000" w:usb3="00000000" w:csb0="0000019F" w:csb1="00000000"/>
  </w:font>
  <w:font w:name="+mn-ea">
    <w:altName w:val="Cambria"/>
    <w:panose1 w:val="00000000000000000000"/>
    <w:charset w:val="00"/>
    <w:family w:val="roman"/>
    <w:notTrueType/>
    <w:pitch w:val="default"/>
  </w:font>
  <w:font w:name="Yu Gothic Light">
    <w:altName w:val="游ゴシック Light"/>
    <w:panose1 w:val="020B0300000000000000"/>
    <w:charset w:val="80"/>
    <w:family w:val="swiss"/>
    <w:pitch w:val="variable"/>
    <w:sig w:usb0="E00002FF" w:usb1="2AC7FDFF" w:usb2="00000016" w:usb3="00000000" w:csb0="0002009F" w:csb1="00000000"/>
  </w:font>
  <w:font w:name="Yu Gothic">
    <w:altName w:val="游ゴシック"/>
    <w:panose1 w:val="020B0400000000000000"/>
    <w:charset w:val="80"/>
    <w:family w:val="swiss"/>
    <w:pitch w:val="variable"/>
    <w:sig w:usb0="E00002FF" w:usb1="2AC7FDFF" w:usb2="00000016"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112BD" w14:textId="68A45A2F" w:rsidR="005660CD" w:rsidRDefault="00982015" w:rsidP="00B44BA5">
    <w:pPr>
      <w:ind w:left="-567"/>
    </w:pPr>
    <w:r>
      <w:rPr>
        <w:b/>
        <w:noProof/>
      </w:rPr>
      <w:drawing>
        <wp:inline distT="0" distB="0" distL="0" distR="0" wp14:anchorId="687F5303" wp14:editId="4478C82E">
          <wp:extent cx="2242820" cy="543560"/>
          <wp:effectExtent l="0" t="0" r="0" b="0"/>
          <wp:docPr id="2" name="Picture 16"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hape&#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l="3163"/>
                  <a:stretch>
                    <a:fillRect/>
                  </a:stretch>
                </pic:blipFill>
                <pic:spPr bwMode="auto">
                  <a:xfrm>
                    <a:off x="0" y="0"/>
                    <a:ext cx="2242820" cy="543560"/>
                  </a:xfrm>
                  <a:prstGeom prst="rect">
                    <a:avLst/>
                  </a:prstGeom>
                  <a:noFill/>
                  <a:ln>
                    <a:noFill/>
                  </a:ln>
                </pic:spPr>
              </pic:pic>
            </a:graphicData>
          </a:graphic>
        </wp:inline>
      </w:drawing>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68D2DA" w14:textId="5DEFB994" w:rsidR="00CD41E4" w:rsidRDefault="00CD41E4"/>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305707" w14:textId="77777777" w:rsidR="005660CD" w:rsidRPr="00EC2491" w:rsidRDefault="005660CD" w:rsidP="00EC2491">
    <w:pPr>
      <w:pStyle w:val="FooterEven"/>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sidR="002868D3">
      <w:rPr>
        <w:rStyle w:val="PageNumber"/>
        <w:noProof/>
        <w:sz w:val="22"/>
      </w:rPr>
      <w:t>2</w:t>
    </w:r>
    <w:r w:rsidRPr="00762043">
      <w:rPr>
        <w:rStyle w:val="PageNumber"/>
        <w:sz w:val="22"/>
      </w:rPr>
      <w:fldChar w:fldCharType="end"/>
    </w:r>
    <w:r>
      <w:rPr>
        <w:rStyle w:val="PageNumber"/>
        <w:b w:val="0"/>
        <w:sz w:val="22"/>
      </w:rPr>
      <w:tab/>
    </w:r>
    <w:r w:rsidRPr="00CF7F79">
      <w:t>Chapter 3: Energy</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AC9318" w14:textId="77777777" w:rsidR="005660CD" w:rsidRPr="00027E55" w:rsidRDefault="005660CD" w:rsidP="00715D39">
    <w:pPr>
      <w:pStyle w:val="FooterOdd"/>
      <w:rPr>
        <w:b/>
      </w:rPr>
    </w:pPr>
    <w:r>
      <w:tab/>
    </w:r>
    <w:r w:rsidRPr="00BF1C36">
      <w:t xml:space="preserve">New Zealand’s </w:t>
    </w:r>
    <w:r w:rsidRPr="00B928E7">
      <w:t>Greenhouse</w:t>
    </w:r>
    <w:r w:rsidRPr="00BF1C36">
      <w:t xml:space="preserve"> Gas </w:t>
    </w:r>
    <w:r w:rsidRPr="00715D39">
      <w:t>Inventory</w:t>
    </w:r>
    <w:r w:rsidRPr="00BF1C36">
      <w:t xml:space="preserve"> 1990–20</w:t>
    </w:r>
    <w:r>
      <w:t>22</w:t>
    </w:r>
    <w:r w:rsidRPr="00027E55">
      <w:tab/>
    </w: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sidR="002868D3">
      <w:rPr>
        <w:rStyle w:val="PageNumber"/>
        <w:noProof/>
        <w:sz w:val="22"/>
      </w:rPr>
      <w:t>1</w:t>
    </w:r>
    <w:r w:rsidRPr="00762043">
      <w:rPr>
        <w:rStyle w:val="PageNumber"/>
        <w:sz w:val="22"/>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2FBB85" w14:textId="77777777" w:rsidR="005660CD" w:rsidRPr="00EC2491" w:rsidRDefault="005660CD" w:rsidP="00EC2491">
    <w:pPr>
      <w:pStyle w:val="FooterEven"/>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8</w:t>
    </w:r>
    <w:r w:rsidRPr="00762043">
      <w:rPr>
        <w:rStyle w:val="PageNumber"/>
        <w:sz w:val="22"/>
      </w:rPr>
      <w:fldChar w:fldCharType="end"/>
    </w:r>
    <w:r>
      <w:rPr>
        <w:rStyle w:val="PageNumber"/>
        <w:b w:val="0"/>
        <w:sz w:val="22"/>
      </w:rPr>
      <w:tab/>
    </w:r>
    <w:r w:rsidRPr="003F608F">
      <w:t>Chapter 4: Industrial Processes and Product Use (IPPU)</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62CBAA" w14:textId="77777777" w:rsidR="005660CD" w:rsidRPr="00027E55" w:rsidRDefault="005660CD" w:rsidP="00715D39">
    <w:pPr>
      <w:pStyle w:val="FooterOdd"/>
      <w:rPr>
        <w:b/>
      </w:rPr>
    </w:pPr>
    <w:r>
      <w:tab/>
    </w:r>
    <w:r w:rsidRPr="00BF1C36">
      <w:t xml:space="preserve">New Zealand’s </w:t>
    </w:r>
    <w:r w:rsidRPr="00B928E7">
      <w:t>Greenhouse</w:t>
    </w:r>
    <w:r w:rsidRPr="00BF1C36">
      <w:t xml:space="preserve"> Gas </w:t>
    </w:r>
    <w:r w:rsidRPr="00715D39">
      <w:t>Inventory</w:t>
    </w:r>
    <w:r w:rsidRPr="00BF1C36">
      <w:t xml:space="preserve"> 1990–20</w:t>
    </w:r>
    <w:r>
      <w:t>22</w:t>
    </w:r>
    <w:r w:rsidRPr="00027E55">
      <w:tab/>
    </w: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3</w:t>
    </w:r>
    <w:r w:rsidRPr="00762043">
      <w:rPr>
        <w:rStyle w:val="PageNumber"/>
        <w:sz w:val="22"/>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346617" w14:textId="77777777" w:rsidR="00CD41E4" w:rsidRDefault="005660CD" w:rsidP="00B55F24">
    <w:pPr>
      <w:pStyle w:val="FooterEven"/>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8</w:t>
    </w:r>
    <w:r w:rsidRPr="00762043">
      <w:rPr>
        <w:rStyle w:val="PageNumber"/>
        <w:sz w:val="22"/>
      </w:rPr>
      <w:fldChar w:fldCharType="end"/>
    </w:r>
    <w:r w:rsidRPr="00717D61">
      <w:rPr>
        <w:rStyle w:val="PageNumber"/>
        <w:b w:val="0"/>
        <w:sz w:val="22"/>
      </w:rPr>
      <w:tab/>
    </w:r>
    <w:r w:rsidRPr="00AC3C78">
      <w:t xml:space="preserve">Chapter 5: </w:t>
    </w:r>
    <w:r>
      <w:t>Agriculture</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9F1DF1" w14:textId="77777777" w:rsidR="00CD41E4" w:rsidRDefault="005660CD" w:rsidP="00B55F24">
    <w:pPr>
      <w:pStyle w:val="FooterOdd"/>
    </w:pPr>
    <w:r>
      <w:tab/>
    </w:r>
    <w:r w:rsidRPr="00BF1C36">
      <w:t xml:space="preserve">New Zealand’s </w:t>
    </w:r>
    <w:r w:rsidRPr="00B928E7">
      <w:t>Greenhouse</w:t>
    </w:r>
    <w:r w:rsidRPr="00BF1C36">
      <w:t xml:space="preserve"> Gas </w:t>
    </w:r>
    <w:r w:rsidRPr="00715D39">
      <w:t>Inventory</w:t>
    </w:r>
    <w:r w:rsidRPr="00BF1C36">
      <w:t xml:space="preserve"> 1990–20</w:t>
    </w:r>
    <w:r>
      <w:t>22</w:t>
    </w:r>
    <w:r w:rsidRPr="00027E55">
      <w:tab/>
    </w:r>
    <w:r w:rsidRPr="00717D61">
      <w:rPr>
        <w:rStyle w:val="PageNumber"/>
        <w:sz w:val="22"/>
      </w:rPr>
      <w:fldChar w:fldCharType="begin"/>
    </w:r>
    <w:r w:rsidRPr="00762043">
      <w:rPr>
        <w:rStyle w:val="PageNumber"/>
        <w:sz w:val="22"/>
      </w:rPr>
      <w:instrText xml:space="preserve"> PAGE </w:instrText>
    </w:r>
    <w:r w:rsidRPr="00717D61">
      <w:rPr>
        <w:rStyle w:val="PageNumber"/>
        <w:sz w:val="22"/>
      </w:rPr>
      <w:fldChar w:fldCharType="separate"/>
    </w:r>
    <w:r>
      <w:rPr>
        <w:rStyle w:val="PageNumber"/>
        <w:noProof/>
        <w:sz w:val="22"/>
      </w:rPr>
      <w:t>3</w:t>
    </w:r>
    <w:r w:rsidRPr="00717D61">
      <w:rPr>
        <w:rStyle w:val="PageNumber"/>
        <w:sz w:val="22"/>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2AFDBE" w14:textId="77777777" w:rsidR="00053418" w:rsidRPr="004C6829" w:rsidRDefault="00053418" w:rsidP="00B55F24">
    <w:pPr>
      <w:pStyle w:val="FooterEven"/>
      <w:rPr>
        <w:b/>
        <w:bCs/>
      </w:rPr>
    </w:pPr>
    <w:r w:rsidRPr="004C6829">
      <w:rPr>
        <w:b/>
        <w:bCs/>
        <w:sz w:val="22"/>
        <w:szCs w:val="28"/>
      </w:rPr>
      <w:fldChar w:fldCharType="begin"/>
    </w:r>
    <w:r w:rsidRPr="004C6829">
      <w:rPr>
        <w:b/>
        <w:bCs/>
        <w:sz w:val="22"/>
        <w:szCs w:val="28"/>
      </w:rPr>
      <w:instrText xml:space="preserve"> PAGE   \* MERGEFORMAT </w:instrText>
    </w:r>
    <w:r w:rsidRPr="004C6829">
      <w:rPr>
        <w:b/>
        <w:bCs/>
        <w:sz w:val="22"/>
        <w:szCs w:val="28"/>
      </w:rPr>
      <w:fldChar w:fldCharType="separate"/>
    </w:r>
    <w:r w:rsidRPr="004C6829">
      <w:rPr>
        <w:b/>
        <w:bCs/>
        <w:noProof/>
        <w:sz w:val="22"/>
        <w:szCs w:val="28"/>
      </w:rPr>
      <w:t>1</w:t>
    </w:r>
    <w:r w:rsidRPr="004C6829">
      <w:rPr>
        <w:b/>
        <w:bCs/>
        <w:noProof/>
        <w:sz w:val="22"/>
        <w:szCs w:val="28"/>
      </w:rPr>
      <w:fldChar w:fldCharType="end"/>
    </w:r>
    <w:r w:rsidRPr="00E85BC6">
      <w:rPr>
        <w:noProof/>
      </w:rPr>
      <w:tab/>
      <w:t>Chapter 6:</w:t>
    </w:r>
    <w:r>
      <w:rPr>
        <w:b/>
        <w:bCs/>
        <w:noProof/>
      </w:rPr>
      <w:t xml:space="preserve"> </w:t>
    </w:r>
    <w:r w:rsidRPr="00E85BC6">
      <w:rPr>
        <w:noProof/>
      </w:rPr>
      <w:t>Land Use, Land-Use Change and Forestry</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AC5F03" w14:textId="77777777" w:rsidR="00053418" w:rsidRPr="00D51304" w:rsidRDefault="00053418" w:rsidP="00B55F24">
    <w:pPr>
      <w:pStyle w:val="FooterOdd"/>
      <w:rPr>
        <w:rFonts w:cs="Calibri"/>
        <w:b/>
      </w:rPr>
    </w:pPr>
    <w:r w:rsidRPr="000467A0">
      <w:tab/>
      <w:t>New Zealand’s Greenhouse Gas Inventory 1990–202</w:t>
    </w:r>
    <w:r>
      <w:t>2</w:t>
    </w:r>
    <w:r w:rsidRPr="000467A0">
      <w:tab/>
    </w:r>
    <w:r w:rsidRPr="00D51304">
      <w:rPr>
        <w:rStyle w:val="PageNumber"/>
        <w:rFonts w:eastAsia="Symbol" w:cs="Calibri"/>
        <w:sz w:val="22"/>
      </w:rPr>
      <w:fldChar w:fldCharType="begin"/>
    </w:r>
    <w:r w:rsidRPr="00D51304">
      <w:rPr>
        <w:rStyle w:val="PageNumber"/>
        <w:rFonts w:eastAsia="Symbol" w:cs="Calibri"/>
        <w:sz w:val="22"/>
      </w:rPr>
      <w:instrText xml:space="preserve"> PAGE </w:instrText>
    </w:r>
    <w:r w:rsidRPr="00D51304">
      <w:rPr>
        <w:rStyle w:val="PageNumber"/>
        <w:rFonts w:eastAsia="Symbol" w:cs="Calibri"/>
        <w:sz w:val="22"/>
      </w:rPr>
      <w:fldChar w:fldCharType="separate"/>
    </w:r>
    <w:r w:rsidRPr="00D51304">
      <w:rPr>
        <w:rStyle w:val="PageNumber"/>
        <w:rFonts w:eastAsia="Symbol" w:cs="Calibri"/>
        <w:noProof/>
        <w:sz w:val="22"/>
      </w:rPr>
      <w:t>61</w:t>
    </w:r>
    <w:r w:rsidRPr="00D51304">
      <w:rPr>
        <w:rStyle w:val="PageNumber"/>
        <w:rFonts w:eastAsia="Symbol" w:cs="Calibri"/>
        <w:sz w:val="22"/>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6750F2" w14:textId="77777777" w:rsidR="00053418" w:rsidRPr="00D51304" w:rsidRDefault="00053418" w:rsidP="00B55F24">
    <w:pPr>
      <w:pStyle w:val="FooterOdd"/>
      <w:tabs>
        <w:tab w:val="clear" w:pos="7655"/>
        <w:tab w:val="clear" w:pos="8505"/>
        <w:tab w:val="right" w:pos="12758"/>
        <w:tab w:val="right" w:pos="14002"/>
      </w:tabs>
      <w:rPr>
        <w:rFonts w:cs="Calibri"/>
        <w:b/>
      </w:rPr>
    </w:pPr>
    <w:r w:rsidRPr="000467A0">
      <w:tab/>
      <w:t>New Zealand’s Greenhouse Gas Inventory 1990–202</w:t>
    </w:r>
    <w:r>
      <w:t>2</w:t>
    </w:r>
    <w:r w:rsidRPr="000467A0">
      <w:tab/>
    </w:r>
    <w:r w:rsidRPr="00D51304">
      <w:rPr>
        <w:rStyle w:val="PageNumber"/>
        <w:rFonts w:eastAsia="Symbol" w:cs="Calibri"/>
        <w:sz w:val="22"/>
      </w:rPr>
      <w:fldChar w:fldCharType="begin"/>
    </w:r>
    <w:r w:rsidRPr="00D51304">
      <w:rPr>
        <w:rStyle w:val="PageNumber"/>
        <w:rFonts w:eastAsia="Symbol" w:cs="Calibri"/>
        <w:sz w:val="22"/>
      </w:rPr>
      <w:instrText xml:space="preserve"> PAGE </w:instrText>
    </w:r>
    <w:r w:rsidRPr="00D51304">
      <w:rPr>
        <w:rStyle w:val="PageNumber"/>
        <w:rFonts w:eastAsia="Symbol" w:cs="Calibri"/>
        <w:sz w:val="22"/>
      </w:rPr>
      <w:fldChar w:fldCharType="separate"/>
    </w:r>
    <w:r w:rsidRPr="00D51304">
      <w:rPr>
        <w:rStyle w:val="PageNumber"/>
        <w:rFonts w:eastAsia="Symbol" w:cs="Calibri"/>
        <w:noProof/>
        <w:sz w:val="22"/>
      </w:rPr>
      <w:t>61</w:t>
    </w:r>
    <w:r w:rsidRPr="00D51304">
      <w:rPr>
        <w:rStyle w:val="PageNumber"/>
        <w:rFonts w:eastAsia="Symbol" w:cs="Calibri"/>
        <w:sz w:val="2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62FD85" w14:textId="77777777" w:rsidR="005660CD" w:rsidRDefault="005660CD"/>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ADF495" w14:textId="77777777" w:rsidR="00053418" w:rsidRPr="00316A42" w:rsidRDefault="00053418" w:rsidP="00B55F24">
    <w:pPr>
      <w:pStyle w:val="FooterOdd"/>
      <w:rPr>
        <w:b/>
      </w:rPr>
    </w:pPr>
    <w:r w:rsidRPr="000467A0">
      <w:tab/>
      <w:t>New Zealand’s Greenhouse Gas Inventory 1990–202</w:t>
    </w:r>
    <w:r>
      <w:t>2</w:t>
    </w:r>
    <w:r w:rsidRPr="000467A0">
      <w:tab/>
    </w:r>
    <w:r w:rsidRPr="004C6829">
      <w:rPr>
        <w:rStyle w:val="PageNumber"/>
        <w:rFonts w:eastAsia="Symbol" w:cs="Calibri"/>
        <w:sz w:val="22"/>
      </w:rPr>
      <w:fldChar w:fldCharType="begin"/>
    </w:r>
    <w:r w:rsidRPr="004C6829">
      <w:rPr>
        <w:rStyle w:val="PageNumber"/>
        <w:rFonts w:eastAsia="Symbol" w:cs="Calibri"/>
        <w:sz w:val="22"/>
      </w:rPr>
      <w:instrText xml:space="preserve"> PAGE </w:instrText>
    </w:r>
    <w:r w:rsidRPr="004C6829">
      <w:rPr>
        <w:rStyle w:val="PageNumber"/>
        <w:rFonts w:eastAsia="Symbol" w:cs="Calibri"/>
        <w:sz w:val="22"/>
      </w:rPr>
      <w:fldChar w:fldCharType="separate"/>
    </w:r>
    <w:r w:rsidRPr="004C6829">
      <w:rPr>
        <w:rStyle w:val="PageNumber"/>
        <w:rFonts w:eastAsia="Symbol" w:cs="Calibri"/>
        <w:noProof/>
        <w:sz w:val="22"/>
      </w:rPr>
      <w:t>61</w:t>
    </w:r>
    <w:r w:rsidRPr="004C6829">
      <w:rPr>
        <w:rStyle w:val="PageNumber"/>
        <w:rFonts w:eastAsia="Symbol" w:cs="Calibri"/>
        <w:sz w:val="22"/>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0E3BF8" w14:textId="3CD033CA" w:rsidR="00053418" w:rsidRPr="00316A42" w:rsidRDefault="00053418" w:rsidP="00B55F24">
    <w:pPr>
      <w:pStyle w:val="FooterOdd"/>
      <w:tabs>
        <w:tab w:val="clear" w:pos="7655"/>
        <w:tab w:val="clear" w:pos="8505"/>
        <w:tab w:val="right" w:pos="13041"/>
        <w:tab w:val="right" w:pos="14005"/>
      </w:tabs>
      <w:rPr>
        <w:b/>
      </w:rPr>
    </w:pPr>
    <w:r w:rsidRPr="000467A0">
      <w:tab/>
      <w:t>New Zealand’s Greenhouse Gas Inventory 1990–202</w:t>
    </w:r>
    <w:r w:rsidR="00A9732E">
      <w:t>2</w:t>
    </w:r>
    <w:r w:rsidRPr="000467A0">
      <w:tab/>
    </w:r>
    <w:r w:rsidRPr="004C6829">
      <w:rPr>
        <w:rStyle w:val="PageNumber"/>
        <w:rFonts w:eastAsia="Symbol" w:cs="Calibri"/>
        <w:sz w:val="22"/>
      </w:rPr>
      <w:fldChar w:fldCharType="begin"/>
    </w:r>
    <w:r w:rsidRPr="004C6829">
      <w:rPr>
        <w:rStyle w:val="PageNumber"/>
        <w:rFonts w:eastAsia="Symbol" w:cs="Calibri"/>
        <w:sz w:val="22"/>
      </w:rPr>
      <w:instrText xml:space="preserve"> PAGE </w:instrText>
    </w:r>
    <w:r w:rsidRPr="004C6829">
      <w:rPr>
        <w:rStyle w:val="PageNumber"/>
        <w:rFonts w:eastAsia="Symbol" w:cs="Calibri"/>
        <w:sz w:val="22"/>
      </w:rPr>
      <w:fldChar w:fldCharType="separate"/>
    </w:r>
    <w:r w:rsidRPr="004C6829">
      <w:rPr>
        <w:rStyle w:val="PageNumber"/>
        <w:rFonts w:eastAsia="Symbol" w:cs="Calibri"/>
        <w:noProof/>
        <w:sz w:val="22"/>
      </w:rPr>
      <w:t>61</w:t>
    </w:r>
    <w:r w:rsidRPr="004C6829">
      <w:rPr>
        <w:rStyle w:val="PageNumber"/>
        <w:rFonts w:eastAsia="Symbol" w:cs="Calibri"/>
        <w:sz w:val="22"/>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AD8042" w14:textId="1452BA8A" w:rsidR="00324DFC" w:rsidRPr="00316A42" w:rsidRDefault="000F503A" w:rsidP="00324DFC">
    <w:pPr>
      <w:pStyle w:val="FooterOdd"/>
      <w:rPr>
        <w:b/>
      </w:rPr>
    </w:pPr>
    <w:r>
      <w:tab/>
    </w:r>
    <w:r w:rsidR="00324DFC" w:rsidRPr="000467A0">
      <w:t>New Zealand’s Greenhouse Gas Inventory 1990–202</w:t>
    </w:r>
    <w:r w:rsidR="00324DFC">
      <w:t>2</w:t>
    </w:r>
    <w:r w:rsidR="00324DFC" w:rsidRPr="000467A0">
      <w:tab/>
    </w:r>
    <w:r w:rsidR="00324DFC" w:rsidRPr="004C6829">
      <w:rPr>
        <w:rStyle w:val="PageNumber"/>
        <w:rFonts w:eastAsia="Symbol" w:cs="Calibri"/>
        <w:sz w:val="22"/>
      </w:rPr>
      <w:fldChar w:fldCharType="begin"/>
    </w:r>
    <w:r w:rsidR="00324DFC" w:rsidRPr="004C6829">
      <w:rPr>
        <w:rStyle w:val="PageNumber"/>
        <w:rFonts w:eastAsia="Symbol" w:cs="Calibri"/>
        <w:sz w:val="22"/>
      </w:rPr>
      <w:instrText xml:space="preserve"> PAGE </w:instrText>
    </w:r>
    <w:r w:rsidR="00324DFC" w:rsidRPr="004C6829">
      <w:rPr>
        <w:rStyle w:val="PageNumber"/>
        <w:rFonts w:eastAsia="Symbol" w:cs="Calibri"/>
        <w:sz w:val="22"/>
      </w:rPr>
      <w:fldChar w:fldCharType="separate"/>
    </w:r>
    <w:r w:rsidR="00324DFC" w:rsidRPr="004C6829">
      <w:rPr>
        <w:rStyle w:val="PageNumber"/>
        <w:rFonts w:eastAsia="Symbol" w:cs="Calibri"/>
        <w:noProof/>
        <w:sz w:val="22"/>
      </w:rPr>
      <w:t>61</w:t>
    </w:r>
    <w:r w:rsidR="00324DFC" w:rsidRPr="004C6829">
      <w:rPr>
        <w:rStyle w:val="PageNumber"/>
        <w:rFonts w:eastAsia="Symbol" w:cs="Calibri"/>
        <w:sz w:val="22"/>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15AD53" w14:textId="77777777" w:rsidR="00CD41E4" w:rsidRPr="00EC2491" w:rsidRDefault="00C52A1D" w:rsidP="004F09BF">
    <w:pPr>
      <w:pStyle w:val="FooterEven"/>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18</w:t>
    </w:r>
    <w:r w:rsidRPr="00762043">
      <w:rPr>
        <w:rStyle w:val="PageNumber"/>
        <w:sz w:val="22"/>
      </w:rPr>
      <w:fldChar w:fldCharType="end"/>
    </w:r>
    <w:r>
      <w:rPr>
        <w:rStyle w:val="PageNumber"/>
        <w:sz w:val="22"/>
      </w:rPr>
      <w:tab/>
    </w:r>
    <w:r w:rsidRPr="00BE58EC">
      <w:t>Chapter 7: Waste</w: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D84CAC" w14:textId="77777777" w:rsidR="00CD41E4" w:rsidRPr="00BE58EC" w:rsidRDefault="00C52A1D" w:rsidP="00B55F24">
    <w:pPr>
      <w:pStyle w:val="FooterOdd"/>
      <w:rPr>
        <w:b/>
      </w:rPr>
    </w:pPr>
    <w:r w:rsidRPr="00BE58EC">
      <w:tab/>
      <w:t>New Zealand’s Greenhouse Gas Inventory 1990–2022</w:t>
    </w:r>
    <w:r w:rsidRPr="00BE58EC">
      <w:tab/>
    </w:r>
    <w:r w:rsidRPr="00BE58EC">
      <w:rPr>
        <w:rStyle w:val="PageNumber"/>
        <w:sz w:val="22"/>
      </w:rPr>
      <w:fldChar w:fldCharType="begin"/>
    </w:r>
    <w:r w:rsidRPr="00BE58EC">
      <w:rPr>
        <w:rStyle w:val="PageNumber"/>
        <w:sz w:val="22"/>
      </w:rPr>
      <w:instrText xml:space="preserve"> PAGE </w:instrText>
    </w:r>
    <w:r w:rsidRPr="00BE58EC">
      <w:rPr>
        <w:rStyle w:val="PageNumber"/>
        <w:sz w:val="22"/>
      </w:rPr>
      <w:fldChar w:fldCharType="separate"/>
    </w:r>
    <w:r w:rsidRPr="00BE58EC">
      <w:rPr>
        <w:rStyle w:val="PageNumber"/>
        <w:noProof/>
        <w:sz w:val="22"/>
      </w:rPr>
      <w:t>1</w:t>
    </w:r>
    <w:r w:rsidRPr="00BE58EC">
      <w:rPr>
        <w:rStyle w:val="PageNumber"/>
        <w:sz w:val="22"/>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4C8E2F" w14:textId="77777777" w:rsidR="00CD41E4" w:rsidRPr="00EC2491" w:rsidRDefault="00C52A1D" w:rsidP="00B55F24">
    <w:pPr>
      <w:pStyle w:val="EvenFooter"/>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18</w:t>
    </w:r>
    <w:r w:rsidRPr="00762043">
      <w:rPr>
        <w:rStyle w:val="PageNumber"/>
        <w:sz w:val="22"/>
      </w:rPr>
      <w:fldChar w:fldCharType="end"/>
    </w:r>
    <w:r>
      <w:rPr>
        <w:rStyle w:val="PageNumber"/>
        <w:sz w:val="22"/>
      </w:rPr>
      <w:tab/>
    </w:r>
    <w:r w:rsidRPr="00101685">
      <w:t>Chapter 8: Tokelau (other) sector</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97FBAB" w14:textId="77777777" w:rsidR="00CD41E4" w:rsidRPr="00027E55" w:rsidRDefault="00C52A1D" w:rsidP="00A47F10">
    <w:pPr>
      <w:pStyle w:val="FooterOdd"/>
      <w:rPr>
        <w:b/>
      </w:rPr>
    </w:pPr>
    <w:r>
      <w:tab/>
    </w:r>
    <w:r w:rsidRPr="00BF1C36">
      <w:t xml:space="preserve">New Zealand’s </w:t>
    </w:r>
    <w:r w:rsidRPr="00B928E7">
      <w:t>Greenhouse</w:t>
    </w:r>
    <w:r w:rsidRPr="00BF1C36">
      <w:t xml:space="preserve"> Gas </w:t>
    </w:r>
    <w:r w:rsidRPr="00715D39">
      <w:t>Inventory</w:t>
    </w:r>
    <w:r w:rsidRPr="00BF1C36">
      <w:t xml:space="preserve"> 1990–20</w:t>
    </w:r>
    <w:r>
      <w:t>22</w:t>
    </w:r>
    <w:r w:rsidRPr="00027E55">
      <w:tab/>
    </w: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1</w:t>
    </w:r>
    <w:r w:rsidRPr="00762043">
      <w:rPr>
        <w:rStyle w:val="PageNumber"/>
        <w:sz w:val="22"/>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F31FDB" w14:textId="75086D7E" w:rsidR="006A51E8" w:rsidRPr="00EC2491" w:rsidRDefault="006A51E8" w:rsidP="00F04457">
    <w:pPr>
      <w:pStyle w:val="FooterEven"/>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18</w:t>
    </w:r>
    <w:r w:rsidRPr="00762043">
      <w:rPr>
        <w:rStyle w:val="PageNumber"/>
        <w:sz w:val="22"/>
      </w:rPr>
      <w:fldChar w:fldCharType="end"/>
    </w:r>
    <w:r>
      <w:rPr>
        <w:rStyle w:val="PageNumber"/>
        <w:sz w:val="22"/>
      </w:rPr>
      <w:tab/>
    </w:r>
    <w:r w:rsidR="002A12C5" w:rsidRPr="002A12C5">
      <w:t>Chapter 9: Indirect carbon dioxide and nitrous oxide emissions</w: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5A7781" w14:textId="77777777" w:rsidR="005D02EF" w:rsidRPr="00EC2491" w:rsidRDefault="005D02EF" w:rsidP="00B55F24">
    <w:pPr>
      <w:pStyle w:val="FooterEven"/>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18</w:t>
    </w:r>
    <w:r w:rsidRPr="00762043">
      <w:rPr>
        <w:rStyle w:val="PageNumber"/>
        <w:sz w:val="22"/>
      </w:rPr>
      <w:fldChar w:fldCharType="end"/>
    </w:r>
    <w:r>
      <w:rPr>
        <w:rStyle w:val="PageNumber"/>
        <w:sz w:val="22"/>
      </w:rPr>
      <w:tab/>
    </w:r>
    <w:r w:rsidRPr="00AF0E38">
      <w:t xml:space="preserve">Chapter 10: Recalculations and </w:t>
    </w:r>
    <w:r w:rsidRPr="00AC74CF">
      <w:t>improvements</w: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E9E6F0" w14:textId="77777777" w:rsidR="005D02EF" w:rsidRPr="00027E55" w:rsidRDefault="005D02EF" w:rsidP="00F04457">
    <w:pPr>
      <w:pStyle w:val="FooterOdd"/>
      <w:rPr>
        <w:b/>
      </w:rPr>
    </w:pPr>
    <w:r>
      <w:tab/>
    </w:r>
    <w:r w:rsidRPr="00BF1C36">
      <w:t xml:space="preserve">New Zealand’s </w:t>
    </w:r>
    <w:r w:rsidRPr="00B928E7">
      <w:t>Greenhouse</w:t>
    </w:r>
    <w:r w:rsidRPr="00BF1C36">
      <w:t xml:space="preserve"> Gas </w:t>
    </w:r>
    <w:r w:rsidRPr="00715D39">
      <w:t>Inventory</w:t>
    </w:r>
    <w:r w:rsidRPr="00BF1C36">
      <w:t xml:space="preserve"> 1990–20</w:t>
    </w:r>
    <w:r>
      <w:t>22</w:t>
    </w:r>
    <w:r w:rsidRPr="00027E55">
      <w:tab/>
    </w: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1</w:t>
    </w:r>
    <w:r w:rsidRPr="00762043">
      <w:rPr>
        <w:rStyle w:val="PageNumber"/>
        <w:sz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1E0881" w14:textId="6C021E21" w:rsidR="005660CD" w:rsidRPr="00B928E7" w:rsidRDefault="005660CD" w:rsidP="00B928E7">
    <w:pPr>
      <w:pStyle w:val="FooterEven"/>
    </w:pPr>
    <w:r w:rsidRPr="00027E55">
      <w:rPr>
        <w:rStyle w:val="PageNumber"/>
        <w:b w:val="0"/>
        <w:sz w:val="22"/>
      </w:rPr>
      <w:fldChar w:fldCharType="begin"/>
    </w:r>
    <w:r w:rsidRPr="00027E55">
      <w:rPr>
        <w:rStyle w:val="PageNumber"/>
        <w:b w:val="0"/>
        <w:sz w:val="22"/>
      </w:rPr>
      <w:instrText xml:space="preserve"> PAGE </w:instrText>
    </w:r>
    <w:r w:rsidRPr="00027E55">
      <w:rPr>
        <w:rStyle w:val="PageNumber"/>
        <w:b w:val="0"/>
        <w:sz w:val="22"/>
      </w:rPr>
      <w:fldChar w:fldCharType="separate"/>
    </w:r>
    <w:r w:rsidR="002868D3">
      <w:rPr>
        <w:rStyle w:val="PageNumber"/>
        <w:b w:val="0"/>
        <w:noProof/>
        <w:sz w:val="22"/>
      </w:rPr>
      <w:t>iv</w:t>
    </w:r>
    <w:r w:rsidRPr="00027E55">
      <w:rPr>
        <w:rStyle w:val="PageNumber"/>
        <w:b w:val="0"/>
        <w:sz w:val="22"/>
      </w:rPr>
      <w:fldChar w:fldCharType="end"/>
    </w:r>
    <w:r>
      <w:rPr>
        <w:rStyle w:val="PageNumber"/>
        <w:b w:val="0"/>
        <w:sz w:val="22"/>
      </w:rPr>
      <w:tab/>
    </w:r>
    <w:r w:rsidRPr="00BF1C36">
      <w:t>New Zealand’s Greenhouse Gas Inventory 1990–20</w:t>
    </w:r>
    <w:r w:rsidR="009206D2">
      <w:t>22</w: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62A8C5" w14:textId="77777777" w:rsidR="005D02EF" w:rsidRPr="00027E55" w:rsidRDefault="005D02EF" w:rsidP="00B55F24">
    <w:pPr>
      <w:pStyle w:val="FooterOdd"/>
      <w:tabs>
        <w:tab w:val="clear" w:pos="7655"/>
        <w:tab w:val="clear" w:pos="8505"/>
        <w:tab w:val="right" w:pos="13041"/>
        <w:tab w:val="right" w:pos="14004"/>
      </w:tabs>
      <w:rPr>
        <w:b/>
      </w:rPr>
    </w:pPr>
    <w:r>
      <w:tab/>
    </w:r>
    <w:r w:rsidRPr="00BF1C36">
      <w:t xml:space="preserve">New Zealand’s </w:t>
    </w:r>
    <w:r w:rsidRPr="00B928E7">
      <w:t>Greenhouse</w:t>
    </w:r>
    <w:r w:rsidRPr="00BF1C36">
      <w:t xml:space="preserve"> Gas </w:t>
    </w:r>
    <w:r w:rsidRPr="00715D39">
      <w:t>Inventory</w:t>
    </w:r>
    <w:r w:rsidRPr="00BF1C36">
      <w:t xml:space="preserve"> 1990–20</w:t>
    </w:r>
    <w:r>
      <w:t>22</w:t>
    </w:r>
    <w:r w:rsidRPr="00027E55">
      <w:tab/>
    </w: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1</w:t>
    </w:r>
    <w:r w:rsidRPr="00762043">
      <w:rPr>
        <w:rStyle w:val="PageNumber"/>
        <w:sz w:val="22"/>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DD2B56" w14:textId="3D0F4479" w:rsidR="00F55B34" w:rsidRPr="00027E55" w:rsidRDefault="00F55B34" w:rsidP="00F55B34">
    <w:pPr>
      <w:pStyle w:val="FooterOdd"/>
      <w:rPr>
        <w:b/>
      </w:rPr>
    </w:pPr>
    <w:r>
      <w:tab/>
    </w:r>
    <w:r w:rsidRPr="00BF1C36">
      <w:t xml:space="preserve">New Zealand’s </w:t>
    </w:r>
    <w:r w:rsidRPr="00B928E7">
      <w:t>Greenhouse</w:t>
    </w:r>
    <w:r w:rsidRPr="00BF1C36">
      <w:t xml:space="preserve"> Gas </w:t>
    </w:r>
    <w:r w:rsidRPr="00715D39">
      <w:t>Inventory</w:t>
    </w:r>
    <w:r w:rsidRPr="00BF1C36">
      <w:t xml:space="preserve"> 1990–20</w:t>
    </w:r>
    <w:r>
      <w:t>22</w:t>
    </w:r>
    <w:r w:rsidRPr="00027E55">
      <w:tab/>
    </w: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1</w:t>
    </w:r>
    <w:r w:rsidRPr="00762043">
      <w:rPr>
        <w:rStyle w:val="PageNumber"/>
        <w:sz w:val="22"/>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D28CF1" w14:textId="39683CE4" w:rsidR="005660CD" w:rsidRPr="00027E55" w:rsidRDefault="005660CD" w:rsidP="00F660F9">
    <w:pPr>
      <w:pStyle w:val="FooterOdd"/>
      <w:rPr>
        <w:rStyle w:val="PageNumber"/>
        <w:b w:val="0"/>
      </w:rPr>
    </w:pPr>
    <w:r>
      <w:tab/>
    </w:r>
    <w:r w:rsidRPr="00BF1C36">
      <w:t>New Zealand’s Greenhouse Gas Inventory 1990–20</w:t>
    </w:r>
    <w:r w:rsidR="009206D2">
      <w:t>22</w:t>
    </w:r>
    <w:r>
      <w:tab/>
    </w:r>
    <w:r w:rsidRPr="00027E55">
      <w:rPr>
        <w:rStyle w:val="PageNumber"/>
        <w:b w:val="0"/>
        <w:sz w:val="22"/>
      </w:rPr>
      <w:fldChar w:fldCharType="begin"/>
    </w:r>
    <w:r w:rsidRPr="00027E55">
      <w:rPr>
        <w:rStyle w:val="PageNumber"/>
        <w:b w:val="0"/>
        <w:sz w:val="22"/>
      </w:rPr>
      <w:instrText xml:space="preserve"> PAGE </w:instrText>
    </w:r>
    <w:r w:rsidRPr="00027E55">
      <w:rPr>
        <w:rStyle w:val="PageNumber"/>
        <w:b w:val="0"/>
        <w:sz w:val="22"/>
      </w:rPr>
      <w:fldChar w:fldCharType="separate"/>
    </w:r>
    <w:r w:rsidR="002868D3">
      <w:rPr>
        <w:rStyle w:val="PageNumber"/>
        <w:b w:val="0"/>
        <w:noProof/>
        <w:sz w:val="22"/>
      </w:rPr>
      <w:t>iii</w:t>
    </w:r>
    <w:r w:rsidRPr="00027E55">
      <w:rPr>
        <w:rStyle w:val="PageNumber"/>
        <w:b w:val="0"/>
        <w:sz w:val="22"/>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29D452" w14:textId="799AC0D4" w:rsidR="00F50F02" w:rsidRPr="00B928E7" w:rsidRDefault="00F50F02" w:rsidP="00B928E7">
    <w:pPr>
      <w:pStyle w:val="FooterEven"/>
    </w:pPr>
    <w:r w:rsidRPr="00027E55">
      <w:rPr>
        <w:rStyle w:val="PageNumber"/>
        <w:b w:val="0"/>
        <w:sz w:val="22"/>
      </w:rPr>
      <w:fldChar w:fldCharType="begin"/>
    </w:r>
    <w:r w:rsidRPr="00027E55">
      <w:rPr>
        <w:rStyle w:val="PageNumber"/>
        <w:b w:val="0"/>
        <w:sz w:val="22"/>
      </w:rPr>
      <w:instrText xml:space="preserve"> PAGE </w:instrText>
    </w:r>
    <w:r w:rsidRPr="00027E55">
      <w:rPr>
        <w:rStyle w:val="PageNumber"/>
        <w:b w:val="0"/>
        <w:sz w:val="22"/>
      </w:rPr>
      <w:fldChar w:fldCharType="separate"/>
    </w:r>
    <w:r>
      <w:rPr>
        <w:rStyle w:val="PageNumber"/>
        <w:b w:val="0"/>
        <w:noProof/>
        <w:sz w:val="22"/>
      </w:rPr>
      <w:t>iv</w:t>
    </w:r>
    <w:r w:rsidRPr="00027E55">
      <w:rPr>
        <w:rStyle w:val="PageNumber"/>
        <w:b w:val="0"/>
        <w:sz w:val="22"/>
      </w:rPr>
      <w:fldChar w:fldCharType="end"/>
    </w:r>
    <w:r>
      <w:rPr>
        <w:rStyle w:val="PageNumber"/>
        <w:b w:val="0"/>
        <w:sz w:val="22"/>
      </w:rPr>
      <w:tab/>
    </w:r>
    <w:r w:rsidRPr="00F50F02">
      <w:t>Executive summary</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00C3D0" w14:textId="36DC9437" w:rsidR="005660CD" w:rsidRPr="00EC2491" w:rsidRDefault="005660CD" w:rsidP="00EC2491">
    <w:pPr>
      <w:pStyle w:val="FooterEven"/>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sidR="002868D3">
      <w:rPr>
        <w:rStyle w:val="PageNumber"/>
        <w:noProof/>
        <w:sz w:val="22"/>
      </w:rPr>
      <w:t>2</w:t>
    </w:r>
    <w:r w:rsidRPr="00762043">
      <w:rPr>
        <w:rStyle w:val="PageNumber"/>
        <w:sz w:val="22"/>
      </w:rPr>
      <w:fldChar w:fldCharType="end"/>
    </w:r>
    <w:r>
      <w:rPr>
        <w:rStyle w:val="PageNumber"/>
        <w:b w:val="0"/>
        <w:sz w:val="22"/>
      </w:rPr>
      <w:tab/>
    </w:r>
    <w:r w:rsidR="00BC14DF" w:rsidRPr="00BC14DF">
      <w:t>Chapter 1: National circumstances, institutional arrangements and cross cutting information</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DB7EF1" w14:textId="79A5973A" w:rsidR="005660CD" w:rsidRPr="00027E55" w:rsidRDefault="005660CD" w:rsidP="00715D39">
    <w:pPr>
      <w:pStyle w:val="FooterOdd"/>
      <w:rPr>
        <w:b/>
      </w:rPr>
    </w:pPr>
    <w:r>
      <w:tab/>
    </w:r>
    <w:r w:rsidRPr="00BF1C36">
      <w:t xml:space="preserve">New Zealand’s </w:t>
    </w:r>
    <w:r w:rsidRPr="00B928E7">
      <w:t>Greenhouse</w:t>
    </w:r>
    <w:r w:rsidRPr="00BF1C36">
      <w:t xml:space="preserve"> Gas </w:t>
    </w:r>
    <w:r w:rsidRPr="00715D39">
      <w:t>Inventory</w:t>
    </w:r>
    <w:r w:rsidRPr="00BF1C36">
      <w:t xml:space="preserve"> 1990–20</w:t>
    </w:r>
    <w:r w:rsidR="00C652C8">
      <w:t>22</w:t>
    </w:r>
    <w:r w:rsidRPr="00027E55">
      <w:tab/>
    </w: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sidR="002868D3">
      <w:rPr>
        <w:rStyle w:val="PageNumber"/>
        <w:noProof/>
        <w:sz w:val="22"/>
      </w:rPr>
      <w:t>1</w:t>
    </w:r>
    <w:r w:rsidRPr="00762043">
      <w:rPr>
        <w:rStyle w:val="PageNumber"/>
        <w:sz w:val="22"/>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E25BA2" w14:textId="77777777" w:rsidR="00CD41E4" w:rsidRPr="00EC2491" w:rsidRDefault="00C52A1D" w:rsidP="004A7BD6">
    <w:pPr>
      <w:pStyle w:val="FooterEven"/>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18</w:t>
    </w:r>
    <w:r w:rsidRPr="00762043">
      <w:rPr>
        <w:rStyle w:val="PageNumber"/>
        <w:sz w:val="22"/>
      </w:rPr>
      <w:fldChar w:fldCharType="end"/>
    </w:r>
    <w:r>
      <w:rPr>
        <w:rStyle w:val="PageNumber"/>
        <w:sz w:val="22"/>
      </w:rPr>
      <w:tab/>
    </w:r>
    <w:r w:rsidRPr="00492CD5">
      <w:t>Chapter 2: Trends in greenhouse gas emissions and removals</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ECE134" w14:textId="77777777" w:rsidR="00CD41E4" w:rsidRPr="00027E55" w:rsidRDefault="00C52A1D" w:rsidP="00567A2B">
    <w:pPr>
      <w:pStyle w:val="FooterOdd"/>
      <w:rPr>
        <w:b/>
      </w:rPr>
    </w:pPr>
    <w:r>
      <w:tab/>
    </w:r>
    <w:r w:rsidRPr="00BF1C36">
      <w:t xml:space="preserve">New Zealand’s </w:t>
    </w:r>
    <w:r w:rsidRPr="00B928E7">
      <w:t>Greenhouse</w:t>
    </w:r>
    <w:r w:rsidRPr="00BF1C36">
      <w:t xml:space="preserve"> Gas </w:t>
    </w:r>
    <w:r w:rsidRPr="00715D39">
      <w:t>Inventory</w:t>
    </w:r>
    <w:r w:rsidRPr="00BF1C36">
      <w:t xml:space="preserve"> </w:t>
    </w:r>
    <w:r w:rsidRPr="00492CD5">
      <w:t>1990</w:t>
    </w:r>
    <w:r w:rsidRPr="00BF1C36">
      <w:t>–20</w:t>
    </w:r>
    <w:r>
      <w:t>22</w:t>
    </w:r>
    <w:r w:rsidRPr="00027E55">
      <w:tab/>
    </w: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1</w:t>
    </w:r>
    <w:r w:rsidRPr="00762043">
      <w:rPr>
        <w:rStyle w:val="PageNumber"/>
        <w:sz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9BEF5A" w14:textId="77777777" w:rsidR="00F66BF9" w:rsidRDefault="00F66BF9">
      <w:r>
        <w:separator/>
      </w:r>
    </w:p>
  </w:footnote>
  <w:footnote w:type="continuationSeparator" w:id="0">
    <w:p w14:paraId="17BC0071" w14:textId="77777777" w:rsidR="00F66BF9" w:rsidRDefault="00F66BF9">
      <w:r>
        <w:continuationSeparator/>
      </w:r>
    </w:p>
  </w:footnote>
  <w:footnote w:type="continuationNotice" w:id="1">
    <w:p w14:paraId="4D0ADE7E" w14:textId="77777777" w:rsidR="00F66BF9" w:rsidRDefault="00F66BF9"/>
  </w:footnote>
  <w:footnote w:id="2">
    <w:p w14:paraId="2BF2ABCE" w14:textId="77777777" w:rsidR="00FB2AFE" w:rsidRDefault="00FB2AFE" w:rsidP="00FB2AFE">
      <w:pPr>
        <w:pStyle w:val="FootnoteText"/>
      </w:pPr>
      <w:r>
        <w:rPr>
          <w:rStyle w:val="FootnoteReference"/>
        </w:rPr>
        <w:footnoteRef/>
      </w:r>
      <w:r>
        <w:t xml:space="preserve"> </w:t>
      </w:r>
      <w:r>
        <w:tab/>
        <w:t>Methane emissions produced from the digestive process in ruminant livestock.</w:t>
      </w:r>
    </w:p>
  </w:footnote>
  <w:footnote w:id="3">
    <w:p w14:paraId="17B5CD30" w14:textId="77777777" w:rsidR="00FB2AFE" w:rsidRDefault="00FB2AFE" w:rsidP="00FB2AFE">
      <w:pPr>
        <w:pStyle w:val="FootnoteText"/>
      </w:pPr>
      <w:r>
        <w:rPr>
          <w:rStyle w:val="FootnoteReference"/>
        </w:rPr>
        <w:footnoteRef/>
      </w:r>
      <w:r>
        <w:t xml:space="preserve"> </w:t>
      </w:r>
      <w:r>
        <w:tab/>
      </w:r>
      <w:r w:rsidRPr="00213206">
        <w:t xml:space="preserve">Net emissions in the </w:t>
      </w:r>
      <w:r w:rsidRPr="00302C86">
        <w:rPr>
          <w:i/>
          <w:iCs/>
        </w:rPr>
        <w:t>Harvested wood products</w:t>
      </w:r>
      <w:r w:rsidRPr="00213206">
        <w:t xml:space="preserve"> category are driven by the harvesting of planted forests to produce roundwood, resulting in changes to the carbon stock of this pool. The </w:t>
      </w:r>
      <w:r>
        <w:t>h</w:t>
      </w:r>
      <w:r w:rsidRPr="00213206">
        <w:t xml:space="preserve">arvested wood products pool gains carbon as new </w:t>
      </w:r>
      <w:r>
        <w:t>h</w:t>
      </w:r>
      <w:r w:rsidRPr="00213206">
        <w:t xml:space="preserve">arvested wood products are created. Losses from the </w:t>
      </w:r>
      <w:r>
        <w:t>h</w:t>
      </w:r>
      <w:r w:rsidRPr="00213206">
        <w:t>arvested wood products pool occur due to products being discarded. To account for these losses through time, a decay profile, or half-life, is applied for each product type.</w:t>
      </w:r>
    </w:p>
  </w:footnote>
  <w:footnote w:id="4">
    <w:p w14:paraId="348D6BA0" w14:textId="77777777" w:rsidR="00FB2AFE" w:rsidRDefault="00FB2AFE" w:rsidP="00FB2AFE">
      <w:pPr>
        <w:pStyle w:val="FootnoteText"/>
      </w:pPr>
      <w:r>
        <w:rPr>
          <w:rStyle w:val="FootnoteReference"/>
        </w:rPr>
        <w:footnoteRef/>
      </w:r>
      <w:r>
        <w:t xml:space="preserve"> </w:t>
      </w:r>
      <w:r>
        <w:tab/>
        <w:t>The planted yield tables present nationally representative estimates of carbon stocks by forest age (in years).</w:t>
      </w:r>
    </w:p>
  </w:footnote>
  <w:footnote w:id="5">
    <w:p w14:paraId="3066B404" w14:textId="106E5525" w:rsidR="00FB2AFE" w:rsidRDefault="00FB2AFE" w:rsidP="00FB2AFE">
      <w:pPr>
        <w:pStyle w:val="FootnoteText"/>
      </w:pPr>
      <w:r>
        <w:rPr>
          <w:rStyle w:val="FootnoteReference"/>
        </w:rPr>
        <w:footnoteRef/>
      </w:r>
      <w:r>
        <w:t xml:space="preserve"> </w:t>
      </w:r>
      <w:r>
        <w:tab/>
        <w:t xml:space="preserve">For more information, see Stats NZ. </w:t>
      </w:r>
      <w:hyperlink r:id="rId1" w:history="1">
        <w:r w:rsidRPr="00E16670">
          <w:rPr>
            <w:rStyle w:val="Hyperlink"/>
            <w:i/>
            <w:iCs/>
          </w:rPr>
          <w:t xml:space="preserve">Agricultural production </w:t>
        </w:r>
        <w:r w:rsidRPr="00AF25DE">
          <w:rPr>
            <w:rStyle w:val="Hyperlink"/>
          </w:rPr>
          <w:t>statistics</w:t>
        </w:r>
        <w:r w:rsidRPr="00E16670">
          <w:rPr>
            <w:rStyle w:val="Hyperlink"/>
            <w:i/>
            <w:iCs/>
          </w:rPr>
          <w:t>: Year to June 2022 (provisional)</w:t>
        </w:r>
      </w:hyperlink>
      <w:r w:rsidRPr="00AF25DE">
        <w:t>. Retrieved 6 March 2024</w:t>
      </w:r>
      <w:r>
        <w:t>.</w:t>
      </w:r>
    </w:p>
  </w:footnote>
  <w:footnote w:id="6">
    <w:p w14:paraId="07B2F7B7" w14:textId="77777777" w:rsidR="00C3347F" w:rsidRDefault="00C3347F" w:rsidP="00C3347F">
      <w:pPr>
        <w:pStyle w:val="FootnoteText"/>
      </w:pPr>
      <w:r>
        <w:rPr>
          <w:rStyle w:val="FootnoteReference"/>
        </w:rPr>
        <w:footnoteRef/>
      </w:r>
      <w:r>
        <w:t xml:space="preserve"> </w:t>
      </w:r>
      <w:r>
        <w:tab/>
        <w:t>Annex II to the Convention (a subset of Annex I) lists the Organisation for Economic Co-operation and Development member countries at the time the Convention was agreed.</w:t>
      </w:r>
    </w:p>
  </w:footnote>
  <w:footnote w:id="7">
    <w:p w14:paraId="77D5C9A5" w14:textId="77777777" w:rsidR="00C3347F" w:rsidRDefault="00C3347F" w:rsidP="00C3347F">
      <w:pPr>
        <w:pStyle w:val="FootnoteText"/>
      </w:pPr>
      <w:r>
        <w:rPr>
          <w:rStyle w:val="FootnoteReference"/>
        </w:rPr>
        <w:footnoteRef/>
      </w:r>
      <w:r>
        <w:t xml:space="preserve"> </w:t>
      </w:r>
      <w:r>
        <w:tab/>
        <w:t>Annex I to the Convention lists the countries included in Annex II, as defined above, together with countries defined at the time as undergoing the process of transition to a market economy, commonly known as ‘economies in transition’.</w:t>
      </w:r>
    </w:p>
  </w:footnote>
  <w:footnote w:id="8">
    <w:p w14:paraId="5FA5B88C" w14:textId="77777777" w:rsidR="00C3347F" w:rsidRDefault="00C3347F" w:rsidP="00C3347F">
      <w:pPr>
        <w:pStyle w:val="FootnoteText"/>
      </w:pPr>
      <w:r>
        <w:rPr>
          <w:rStyle w:val="FootnoteReference"/>
        </w:rPr>
        <w:footnoteRef/>
      </w:r>
      <w:r>
        <w:t xml:space="preserve"> </w:t>
      </w:r>
      <w:r>
        <w:tab/>
        <w:t xml:space="preserve">Because </w:t>
      </w:r>
      <w:r w:rsidRPr="00596ACB">
        <w:t>nitrogen trifluoride</w:t>
      </w:r>
      <w:r w:rsidRPr="00596ACB" w:rsidDel="00596ACB">
        <w:t xml:space="preserve"> </w:t>
      </w:r>
      <w:r>
        <w:t>emissions do not occur in New Zealand, they are not included in this report.</w:t>
      </w:r>
    </w:p>
  </w:footnote>
  <w:footnote w:id="9">
    <w:p w14:paraId="73A5CB91" w14:textId="77777777" w:rsidR="00C3347F" w:rsidRDefault="00C3347F" w:rsidP="00C3347F">
      <w:pPr>
        <w:pStyle w:val="FootnoteText"/>
      </w:pPr>
      <w:r>
        <w:rPr>
          <w:rStyle w:val="FootnoteReference"/>
        </w:rPr>
        <w:footnoteRef/>
      </w:r>
      <w:r>
        <w:t xml:space="preserve"> </w:t>
      </w:r>
      <w:r>
        <w:tab/>
        <w:t xml:space="preserve">Indirect greenhouse gases are the gases that have </w:t>
      </w:r>
      <w:r w:rsidRPr="006C7382">
        <w:t>indirect</w:t>
      </w:r>
      <w:r>
        <w:t xml:space="preserve"> radiative effects in the atmosphere. This may happen either through conversion of an indirect gas to a direct greenhouse gas in the atmosphere (for example, where carbon monoxide is converted to carbon dioxide) or when chemical reactions in the atmosphere involving these gases change the concentrations of direct greenhouse gases.</w:t>
      </w:r>
    </w:p>
  </w:footnote>
  <w:footnote w:id="10">
    <w:p w14:paraId="3A7F6B6B" w14:textId="77777777" w:rsidR="00C3347F" w:rsidRDefault="00C3347F" w:rsidP="00C3347F">
      <w:pPr>
        <w:pStyle w:val="FootnoteText"/>
      </w:pPr>
      <w:r>
        <w:rPr>
          <w:rStyle w:val="FootnoteReference"/>
        </w:rPr>
        <w:footnoteRef/>
      </w:r>
      <w:r>
        <w:t xml:space="preserve"> </w:t>
      </w:r>
      <w:r>
        <w:tab/>
        <w:t>The United Nations Charter (United Nations, 1945) defines a non-self-governing territory as a territory “whose people have not yet attained a full measure of self-government”. Tokelau has been on the United Nations list of non-self-governing territories since 1946, following New Zealand’s declaration of its intention to transmit information on the Tokelau Islands under Article 73e of the United Nations Charter.</w:t>
      </w:r>
    </w:p>
  </w:footnote>
  <w:footnote w:id="11">
    <w:p w14:paraId="4548B785" w14:textId="77777777" w:rsidR="00C3347F" w:rsidRDefault="00C3347F" w:rsidP="00C3347F">
      <w:pPr>
        <w:pStyle w:val="FootnoteText"/>
      </w:pPr>
      <w:r>
        <w:rPr>
          <w:rStyle w:val="FootnoteReference"/>
        </w:rPr>
        <w:footnoteRef/>
      </w:r>
      <w:r>
        <w:t xml:space="preserve"> </w:t>
      </w:r>
      <w:r>
        <w:tab/>
        <w:t>The Climate Change Response Act has been amended several times since 2002. The Climate Change Response (Emissions Trading Reform) Amendment Act 2020, among other things, added reporting under the Paris Agreement to the functions of the inventory agency.</w:t>
      </w:r>
    </w:p>
  </w:footnote>
  <w:footnote w:id="12">
    <w:p w14:paraId="11B54661" w14:textId="77777777" w:rsidR="00C3347F" w:rsidRDefault="00C3347F" w:rsidP="00C3347F">
      <w:pPr>
        <w:pStyle w:val="FootnoteText"/>
      </w:pPr>
      <w:r>
        <w:rPr>
          <w:rStyle w:val="FootnoteReference"/>
        </w:rPr>
        <w:footnoteRef/>
      </w:r>
      <w:r>
        <w:t xml:space="preserve"> </w:t>
      </w:r>
      <w:r>
        <w:tab/>
        <w:t>Inserted, on 23 June 2020, by section 56(1) of the Climate Change Response (Emissions Trading Reform) Amendment Act 2020 (2020 No 22).</w:t>
      </w:r>
    </w:p>
  </w:footnote>
  <w:footnote w:id="13">
    <w:p w14:paraId="7259C1A4" w14:textId="77777777" w:rsidR="00C3347F" w:rsidRDefault="00C3347F" w:rsidP="00C3347F">
      <w:pPr>
        <w:pStyle w:val="FootnoteText"/>
      </w:pPr>
      <w:r>
        <w:rPr>
          <w:rStyle w:val="FootnoteReference"/>
        </w:rPr>
        <w:footnoteRef/>
      </w:r>
      <w:r>
        <w:t xml:space="preserve"> </w:t>
      </w:r>
      <w:r>
        <w:tab/>
        <w:t>Quality assurance (QA) is a planned system of review procedures conducted by personnel not directly involved in the inventory compilation and development process.</w:t>
      </w:r>
    </w:p>
  </w:footnote>
  <w:footnote w:id="14">
    <w:p w14:paraId="78669893" w14:textId="77777777" w:rsidR="00C3347F" w:rsidRDefault="00C3347F" w:rsidP="00C3347F">
      <w:pPr>
        <w:pStyle w:val="FootnoteText"/>
      </w:pPr>
      <w:r>
        <w:rPr>
          <w:rStyle w:val="FootnoteReference"/>
        </w:rPr>
        <w:footnoteRef/>
      </w:r>
      <w:r>
        <w:t xml:space="preserve"> </w:t>
      </w:r>
      <w:r>
        <w:tab/>
        <w:t>Quality control (QC) is a system of routine technical activities to assess and maintain the quality of the inventory as it is being compiled. It is performed by personnel compiling the inventory.</w:t>
      </w:r>
    </w:p>
  </w:footnote>
  <w:footnote w:id="15">
    <w:p w14:paraId="12F8441A" w14:textId="77777777" w:rsidR="00C3347F" w:rsidRDefault="00C3347F" w:rsidP="00C3347F">
      <w:pPr>
        <w:pStyle w:val="FootnoteText"/>
      </w:pPr>
      <w:r>
        <w:rPr>
          <w:rStyle w:val="FootnoteReference"/>
        </w:rPr>
        <w:footnoteRef/>
      </w:r>
      <w:r>
        <w:t xml:space="preserve"> </w:t>
      </w:r>
      <w:r>
        <w:tab/>
        <w:t>Climate Change Response (Emissions Trading) Amendment Act 2008.</w:t>
      </w:r>
    </w:p>
  </w:footnote>
  <w:footnote w:id="16">
    <w:p w14:paraId="5959674B" w14:textId="77777777" w:rsidR="00C3347F" w:rsidRDefault="00C3347F" w:rsidP="00C3347F">
      <w:pPr>
        <w:pStyle w:val="FootnoteText"/>
      </w:pPr>
      <w:r>
        <w:rPr>
          <w:rStyle w:val="FootnoteReference"/>
        </w:rPr>
        <w:footnoteRef/>
      </w:r>
      <w:r>
        <w:t xml:space="preserve"> </w:t>
      </w:r>
      <w:r>
        <w:tab/>
        <w:t>Climate Change Response (Emissions Trading Reform) Amendment Act 2020.</w:t>
      </w:r>
    </w:p>
  </w:footnote>
  <w:footnote w:id="17">
    <w:p w14:paraId="55DC9DE2" w14:textId="77777777" w:rsidR="00C3347F" w:rsidRDefault="00C3347F" w:rsidP="00C3347F">
      <w:pPr>
        <w:pStyle w:val="FootnoteText"/>
      </w:pPr>
      <w:r>
        <w:rPr>
          <w:rStyle w:val="FootnoteReference"/>
        </w:rPr>
        <w:footnoteRef/>
      </w:r>
      <w:r>
        <w:t xml:space="preserve"> </w:t>
      </w:r>
      <w:r>
        <w:tab/>
        <w:t>MMS stands for a manure management system (see chapter 5).</w:t>
      </w:r>
    </w:p>
  </w:footnote>
  <w:footnote w:id="18">
    <w:p w14:paraId="45C5E219" w14:textId="77777777" w:rsidR="00BF5487" w:rsidRDefault="00BF5487" w:rsidP="00BF5487">
      <w:pPr>
        <w:pStyle w:val="FootnoteText"/>
      </w:pPr>
      <w:r>
        <w:rPr>
          <w:rStyle w:val="FootnoteReference"/>
        </w:rPr>
        <w:footnoteRef/>
      </w:r>
      <w:r>
        <w:t xml:space="preserve"> </w:t>
      </w:r>
      <w:r>
        <w:tab/>
        <w:t>Methane emissions produced from the digestive process in ruminant livestock.</w:t>
      </w:r>
    </w:p>
  </w:footnote>
  <w:footnote w:id="19">
    <w:p w14:paraId="537FB6E4" w14:textId="77777777" w:rsidR="00BF5487" w:rsidRDefault="00BF5487" w:rsidP="00BF5487">
      <w:pPr>
        <w:pStyle w:val="FootnoteText"/>
      </w:pPr>
      <w:r>
        <w:rPr>
          <w:rStyle w:val="FootnoteReference"/>
        </w:rPr>
        <w:footnoteRef/>
      </w:r>
      <w:r>
        <w:t xml:space="preserve"> </w:t>
      </w:r>
      <w:r>
        <w:tab/>
        <w:t xml:space="preserve">Net emissions in the </w:t>
      </w:r>
      <w:r>
        <w:rPr>
          <w:i/>
          <w:iCs/>
        </w:rPr>
        <w:t>Harvested wood products</w:t>
      </w:r>
      <w:r>
        <w:t xml:space="preserve"> category are driven by the harvesting of planted forests to produce roundwood, resulting in changes to the carbon stock of this pool. The h</w:t>
      </w:r>
      <w:r w:rsidRPr="001D5983">
        <w:t>arvested wood products</w:t>
      </w:r>
      <w:r>
        <w:t xml:space="preserve"> pool gains carbon as new h</w:t>
      </w:r>
      <w:r w:rsidRPr="001D5983">
        <w:t>arvested wood products</w:t>
      </w:r>
      <w:r>
        <w:t xml:space="preserve"> are created. Losses from the h</w:t>
      </w:r>
      <w:r w:rsidRPr="001D5983">
        <w:t>arvested wood products</w:t>
      </w:r>
      <w:r>
        <w:t xml:space="preserve"> pool occur due to products being discarded and decaying. If the gains are higher than losses, then the </w:t>
      </w:r>
      <w:r w:rsidRPr="00FE0875">
        <w:rPr>
          <w:i/>
          <w:iCs/>
        </w:rPr>
        <w:t>Harves</w:t>
      </w:r>
      <w:r>
        <w:rPr>
          <w:i/>
          <w:iCs/>
        </w:rPr>
        <w:t>ted</w:t>
      </w:r>
      <w:r w:rsidRPr="00FE0875">
        <w:rPr>
          <w:i/>
          <w:iCs/>
        </w:rPr>
        <w:t xml:space="preserve"> wood products</w:t>
      </w:r>
      <w:r>
        <w:t xml:space="preserve"> category is treated as a net sink and vice versa. To account for these losses through time, a decay profile, or half-life, is applied for each product type.</w:t>
      </w:r>
    </w:p>
  </w:footnote>
  <w:footnote w:id="20">
    <w:p w14:paraId="6598328D" w14:textId="77777777" w:rsidR="00BF5487" w:rsidRDefault="00BF5487" w:rsidP="00BF5487">
      <w:pPr>
        <w:pStyle w:val="FootnoteText"/>
      </w:pPr>
      <w:r>
        <w:rPr>
          <w:rStyle w:val="FootnoteReference"/>
        </w:rPr>
        <w:footnoteRef/>
      </w:r>
      <w:r>
        <w:t xml:space="preserve"> </w:t>
      </w:r>
      <w:r>
        <w:tab/>
        <w:t>For more information, see</w:t>
      </w:r>
      <w:r w:rsidRPr="009D638F">
        <w:t xml:space="preserve"> Ministry for Primary Industries</w:t>
      </w:r>
      <w:r>
        <w:t xml:space="preserve">. </w:t>
      </w:r>
      <w:hyperlink r:id="rId2" w:history="1">
        <w:r w:rsidRPr="00B64640">
          <w:rPr>
            <w:rStyle w:val="Hyperlink"/>
            <w:i/>
            <w:iCs/>
          </w:rPr>
          <w:t>Situation</w:t>
        </w:r>
        <w:r w:rsidRPr="00761C20">
          <w:rPr>
            <w:rStyle w:val="Hyperlink"/>
            <w:i/>
            <w:iCs/>
          </w:rPr>
          <w:t xml:space="preserve"> and Outlook for Primary Industries</w:t>
        </w:r>
      </w:hyperlink>
      <w:r>
        <w:t>. Retrieved 21 March 2024.</w:t>
      </w:r>
    </w:p>
  </w:footnote>
  <w:footnote w:id="21">
    <w:p w14:paraId="1AD83061" w14:textId="77777777" w:rsidR="00BF5487" w:rsidRDefault="00BF5487" w:rsidP="00BF5487">
      <w:pPr>
        <w:pStyle w:val="FootnoteText"/>
      </w:pPr>
      <w:r>
        <w:rPr>
          <w:rStyle w:val="FootnoteReference"/>
        </w:rPr>
        <w:footnoteRef/>
      </w:r>
      <w:r>
        <w:t xml:space="preserve"> </w:t>
      </w:r>
      <w:r>
        <w:tab/>
        <w:t xml:space="preserve">For more information, see </w:t>
      </w:r>
      <w:r w:rsidRPr="009D638F">
        <w:t>Ministry for Primary Industries</w:t>
      </w:r>
      <w:r>
        <w:t xml:space="preserve">. </w:t>
      </w:r>
      <w:hyperlink r:id="rId3" w:history="1">
        <w:r w:rsidRPr="002D085B">
          <w:rPr>
            <w:rStyle w:val="Hyperlink"/>
            <w:i/>
            <w:iCs/>
          </w:rPr>
          <w:t>Situation and Outlook for Primary Industries</w:t>
        </w:r>
      </w:hyperlink>
      <w:r>
        <w:t>. Retrieved 21 March 2024.</w:t>
      </w:r>
    </w:p>
  </w:footnote>
  <w:footnote w:id="22">
    <w:p w14:paraId="1C7FC73E" w14:textId="77777777" w:rsidR="00D97D6C" w:rsidRPr="009E1BC6" w:rsidRDefault="00D97D6C" w:rsidP="00D97D6C">
      <w:pPr>
        <w:pStyle w:val="FootnoteText"/>
      </w:pPr>
      <w:r>
        <w:rPr>
          <w:rStyle w:val="FootnoteReference"/>
        </w:rPr>
        <w:footnoteRef/>
      </w:r>
      <w:r>
        <w:t xml:space="preserve"> </w:t>
      </w:r>
      <w:r>
        <w:tab/>
      </w:r>
      <w:r>
        <w:rPr>
          <w:lang w:eastAsia="en-GB"/>
        </w:rPr>
        <w:t>For urea production, the fraction of carbon stored varies across the time series, depending on the composition of the feedstock gas.</w:t>
      </w:r>
    </w:p>
  </w:footnote>
  <w:footnote w:id="23">
    <w:p w14:paraId="6D0B4DCB" w14:textId="77777777" w:rsidR="00D97D6C" w:rsidRDefault="00D97D6C" w:rsidP="00D97D6C">
      <w:pPr>
        <w:pStyle w:val="FootnoteText"/>
      </w:pPr>
      <w:r w:rsidRPr="005B6A26">
        <w:rPr>
          <w:rStyle w:val="FootnoteReference"/>
        </w:rPr>
        <w:footnoteRef/>
      </w:r>
      <w:r>
        <w:t xml:space="preserve"> </w:t>
      </w:r>
      <w:r>
        <w:tab/>
        <w:t xml:space="preserve">Phosphate rock: </w:t>
      </w:r>
      <w:r w:rsidRPr="00713F4E">
        <w:t>rock rich in the mi</w:t>
      </w:r>
      <w:r>
        <w:t>neral fluorapatite, Ca</w:t>
      </w:r>
      <w:r w:rsidRPr="00FD073B">
        <w:rPr>
          <w:vertAlign w:val="subscript"/>
        </w:rPr>
        <w:t>5</w:t>
      </w:r>
      <w:r>
        <w:t>(PO</w:t>
      </w:r>
      <w:r w:rsidRPr="00FD073B">
        <w:rPr>
          <w:vertAlign w:val="subscript"/>
        </w:rPr>
        <w:t>4</w:t>
      </w:r>
      <w:r>
        <w:t>)</w:t>
      </w:r>
      <w:r w:rsidRPr="00FD073B">
        <w:rPr>
          <w:vertAlign w:val="subscript"/>
        </w:rPr>
        <w:t>3</w:t>
      </w:r>
      <w:r>
        <w:t>F.</w:t>
      </w:r>
    </w:p>
  </w:footnote>
  <w:footnote w:id="24">
    <w:p w14:paraId="65B44E65" w14:textId="77777777" w:rsidR="00D97D6C" w:rsidRDefault="00D97D6C" w:rsidP="00D97D6C">
      <w:pPr>
        <w:pStyle w:val="FootnoteText"/>
      </w:pPr>
      <w:r>
        <w:rPr>
          <w:rStyle w:val="FootnoteReference"/>
        </w:rPr>
        <w:footnoteRef/>
      </w:r>
      <w:r>
        <w:t xml:space="preserve"> </w:t>
      </w:r>
      <w:r>
        <w:tab/>
        <w:t xml:space="preserve">As of 2018, </w:t>
      </w:r>
      <w:r w:rsidRPr="00237E11">
        <w:t>New Zealand only manufactures a small number of buses and heavy trucks</w:t>
      </w:r>
      <w:r>
        <w:t>.</w:t>
      </w:r>
    </w:p>
  </w:footnote>
  <w:footnote w:id="25">
    <w:p w14:paraId="271E27F4" w14:textId="77777777" w:rsidR="007523B8" w:rsidRPr="005A386A" w:rsidRDefault="007523B8" w:rsidP="007523B8">
      <w:pPr>
        <w:pStyle w:val="FootnoteText"/>
        <w:spacing w:after="0"/>
      </w:pPr>
      <w:r w:rsidRPr="005A386A">
        <w:rPr>
          <w:rStyle w:val="FootnoteReference"/>
        </w:rPr>
        <w:footnoteRef/>
      </w:r>
      <w:r w:rsidRPr="005A386A">
        <w:t xml:space="preserve"> </w:t>
      </w:r>
      <w:r w:rsidRPr="005A386A">
        <w:tab/>
      </w:r>
      <w:bookmarkStart w:id="784" w:name="_Hlk126157604"/>
      <w:r w:rsidRPr="005A386A">
        <w:t xml:space="preserve">Implied emission factors (IEFs) are calculated by dividing the total emissions of a particular animal </w:t>
      </w:r>
      <w:r>
        <w:t>species</w:t>
      </w:r>
      <w:r w:rsidRPr="005A386A">
        <w:t xml:space="preserve"> and sector (e.g., enteric fermentation from sheep) by the number of animals</w:t>
      </w:r>
      <w:r>
        <w:t xml:space="preserve"> in that species and sector</w:t>
      </w:r>
      <w:r w:rsidRPr="005A386A">
        <w:t>.</w:t>
      </w:r>
      <w:bookmarkEnd w:id="784"/>
    </w:p>
  </w:footnote>
  <w:footnote w:id="26">
    <w:p w14:paraId="4AEF8B24" w14:textId="77777777" w:rsidR="007523B8" w:rsidRPr="00D93F91" w:rsidRDefault="007523B8" w:rsidP="007523B8">
      <w:pPr>
        <w:pStyle w:val="FootnoteText"/>
      </w:pPr>
      <w:r w:rsidRPr="005A386A">
        <w:rPr>
          <w:rStyle w:val="FootnoteReference"/>
        </w:rPr>
        <w:footnoteRef/>
      </w:r>
      <w:r w:rsidRPr="005A386A">
        <w:t xml:space="preserve"> </w:t>
      </w:r>
      <w:r w:rsidRPr="005A386A">
        <w:tab/>
        <w:t>Percentage of carcass weight in relation to liveweight.</w:t>
      </w:r>
    </w:p>
  </w:footnote>
  <w:footnote w:id="27">
    <w:p w14:paraId="62B9B333" w14:textId="77777777" w:rsidR="007523B8" w:rsidRPr="005A386A" w:rsidRDefault="007523B8" w:rsidP="007523B8">
      <w:pPr>
        <w:pStyle w:val="FootnoteText"/>
      </w:pPr>
      <w:r w:rsidRPr="005A386A">
        <w:rPr>
          <w:rStyle w:val="FootnoteReference"/>
        </w:rPr>
        <w:footnoteRef/>
      </w:r>
      <w:r w:rsidRPr="005A386A">
        <w:t xml:space="preserve"> </w:t>
      </w:r>
      <w:r w:rsidRPr="005A386A">
        <w:tab/>
      </w:r>
      <w:r w:rsidRPr="005A386A">
        <w:rPr>
          <w:spacing w:val="-2"/>
        </w:rPr>
        <w:t xml:space="preserve">The number of beef cows slaughtered is assumed to be </w:t>
      </w:r>
      <w:r w:rsidRPr="00D41214">
        <w:rPr>
          <w:spacing w:val="-2"/>
        </w:rPr>
        <w:t>17</w:t>
      </w:r>
      <w:r w:rsidRPr="005A386A">
        <w:rPr>
          <w:spacing w:val="-2"/>
        </w:rPr>
        <w:t xml:space="preserve"> per cent of the total beef cow herd, with other</w:t>
      </w:r>
      <w:r>
        <w:rPr>
          <w:spacing w:val="-2"/>
        </w:rPr>
        <w:t xml:space="preserve"> </w:t>
      </w:r>
      <w:r w:rsidRPr="005A386A">
        <w:rPr>
          <w:spacing w:val="-2"/>
        </w:rPr>
        <w:t>adult cows slaughtered assumed to be dairy cows. The carcass weight of dairy cattle slaughtered was</w:t>
      </w:r>
      <w:r>
        <w:rPr>
          <w:spacing w:val="-2"/>
        </w:rPr>
        <w:t xml:space="preserve"> </w:t>
      </w:r>
      <w:r w:rsidRPr="005A386A">
        <w:rPr>
          <w:spacing w:val="-2"/>
        </w:rPr>
        <w:t xml:space="preserve">estimated using the adult dairy cow liveweights and a killing-out percentage of </w:t>
      </w:r>
      <w:r w:rsidRPr="00D41214">
        <w:rPr>
          <w:spacing w:val="-2"/>
        </w:rPr>
        <w:t>42</w:t>
      </w:r>
      <w:r w:rsidRPr="005A386A">
        <w:rPr>
          <w:spacing w:val="-2"/>
        </w:rPr>
        <w:t xml:space="preserve"> per cent (</w:t>
      </w:r>
      <w:r w:rsidRPr="009E0893">
        <w:rPr>
          <w:spacing w:val="-2"/>
        </w:rPr>
        <w:t>Thomson et al., 2010</w:t>
      </w:r>
      <w:r w:rsidRPr="005A386A">
        <w:rPr>
          <w:spacing w:val="-2"/>
        </w:rPr>
        <w:t xml:space="preserve">). The total weight of dairy cattle slaughtered was calculated (carcass weight × number slaughtered) and then deducted from the national total carcass weight of slaughtered adult cows. This figure was then divided by the number of beef cows slaughtered, to obtain an estimate of the carcass weight of adult beef cows. Liveweights were calculated assuming a killing-out percentage of </w:t>
      </w:r>
      <w:r w:rsidRPr="00D41214">
        <w:rPr>
          <w:spacing w:val="-2"/>
        </w:rPr>
        <w:t>42.6</w:t>
      </w:r>
      <w:r w:rsidRPr="005A386A">
        <w:rPr>
          <w:spacing w:val="-2"/>
        </w:rPr>
        <w:t> per cent (</w:t>
      </w:r>
      <w:r w:rsidRPr="009E0893">
        <w:rPr>
          <w:spacing w:val="-2"/>
        </w:rPr>
        <w:t>Thomson et al., 2010</w:t>
      </w:r>
      <w:r w:rsidRPr="005A386A">
        <w:rPr>
          <w:spacing w:val="-2"/>
        </w:rPr>
        <w:t>).</w:t>
      </w:r>
    </w:p>
  </w:footnote>
  <w:footnote w:id="28">
    <w:p w14:paraId="091CA48A" w14:textId="77777777" w:rsidR="007523B8" w:rsidRDefault="007523B8" w:rsidP="007523B8">
      <w:pPr>
        <w:pStyle w:val="FootnoteText"/>
      </w:pPr>
      <w:r>
        <w:rPr>
          <w:rStyle w:val="FootnoteReference"/>
        </w:rPr>
        <w:footnoteRef/>
      </w:r>
      <w:r>
        <w:t xml:space="preserve"> </w:t>
      </w:r>
      <w:r>
        <w:tab/>
        <w:t>Also known as ‘meat chickens’, which tend to be larger breeds with higher muscle content.</w:t>
      </w:r>
    </w:p>
  </w:footnote>
  <w:footnote w:id="29">
    <w:p w14:paraId="2AE10306" w14:textId="77777777" w:rsidR="007523B8" w:rsidRDefault="007523B8" w:rsidP="007523B8">
      <w:pPr>
        <w:pStyle w:val="FootnoteText"/>
      </w:pPr>
      <w:r>
        <w:rPr>
          <w:rStyle w:val="FootnoteReference"/>
        </w:rPr>
        <w:footnoteRef/>
      </w:r>
      <w:r>
        <w:t xml:space="preserve"> </w:t>
      </w:r>
      <w:r>
        <w:tab/>
        <w:t>Methanet and NzOnet contain experts on methane (</w:t>
      </w:r>
      <w:r w:rsidRPr="00D9348B">
        <w:rPr>
          <w:rFonts w:cs="Calibri"/>
        </w:rPr>
        <w:t>CH</w:t>
      </w:r>
      <w:r w:rsidRPr="00D9348B">
        <w:rPr>
          <w:rFonts w:cs="Calibri"/>
          <w:vertAlign w:val="subscript"/>
        </w:rPr>
        <w:t>4</w:t>
      </w:r>
      <w:r>
        <w:t>) and nitrous oxide (</w:t>
      </w:r>
      <w:r w:rsidRPr="00D9348B">
        <w:rPr>
          <w:rFonts w:cs="Calibri"/>
        </w:rPr>
        <w:t>N</w:t>
      </w:r>
      <w:r w:rsidRPr="00D9348B">
        <w:rPr>
          <w:rFonts w:cs="Calibri"/>
          <w:vertAlign w:val="subscript"/>
        </w:rPr>
        <w:t>2</w:t>
      </w:r>
      <w:r w:rsidRPr="00D9348B">
        <w:rPr>
          <w:rFonts w:cs="Calibri"/>
        </w:rPr>
        <w:t>O</w:t>
      </w:r>
      <w:r>
        <w:t>) respectively. These advisory groups</w:t>
      </w:r>
      <w:r w:rsidRPr="00EB41C3">
        <w:rPr>
          <w:rFonts w:cs="Calibri"/>
        </w:rPr>
        <w:t xml:space="preserve"> </w:t>
      </w:r>
      <w:r w:rsidRPr="00D9348B">
        <w:rPr>
          <w:rFonts w:cs="Calibri"/>
        </w:rPr>
        <w:t>have been running since the early 2000s. The groups were formed to identify the main direction of research needed to improve the CH</w:t>
      </w:r>
      <w:r w:rsidRPr="00D9348B">
        <w:rPr>
          <w:rFonts w:cs="Calibri"/>
          <w:vertAlign w:val="subscript"/>
        </w:rPr>
        <w:t>4</w:t>
      </w:r>
      <w:r w:rsidRPr="00D9348B">
        <w:rPr>
          <w:rFonts w:cs="Calibri"/>
        </w:rPr>
        <w:t xml:space="preserve"> and N</w:t>
      </w:r>
      <w:r w:rsidRPr="00D9348B">
        <w:rPr>
          <w:rFonts w:cs="Calibri"/>
          <w:vertAlign w:val="subscript"/>
        </w:rPr>
        <w:t>2</w:t>
      </w:r>
      <w:r w:rsidRPr="00D9348B">
        <w:rPr>
          <w:rFonts w:cs="Calibri"/>
        </w:rPr>
        <w:t>O inventory accounts and mitigation, develop a collaborative approach to improve the quality of CH</w:t>
      </w:r>
      <w:r w:rsidRPr="00D9348B">
        <w:rPr>
          <w:rFonts w:cs="Calibri"/>
          <w:vertAlign w:val="subscript"/>
        </w:rPr>
        <w:t>4</w:t>
      </w:r>
      <w:r w:rsidRPr="00D9348B">
        <w:rPr>
          <w:rFonts w:cs="Calibri"/>
        </w:rPr>
        <w:t xml:space="preserve"> and N</w:t>
      </w:r>
      <w:r w:rsidRPr="00D9348B">
        <w:rPr>
          <w:rFonts w:cs="Calibri"/>
          <w:vertAlign w:val="subscript"/>
        </w:rPr>
        <w:t>2</w:t>
      </w:r>
      <w:r w:rsidRPr="00D9348B">
        <w:rPr>
          <w:rFonts w:cs="Calibri"/>
        </w:rPr>
        <w:t>O emission data, and build and maintain inventory research capability</w:t>
      </w:r>
      <w:r>
        <w:rPr>
          <w:rFonts w:cs="Calibri"/>
        </w:rPr>
        <w:t>.</w:t>
      </w:r>
    </w:p>
  </w:footnote>
  <w:footnote w:id="30">
    <w:p w14:paraId="153DBC33" w14:textId="77777777" w:rsidR="007523B8" w:rsidRPr="00532AA7" w:rsidRDefault="007523B8" w:rsidP="007523B8">
      <w:pPr>
        <w:pStyle w:val="FootnoteText"/>
      </w:pPr>
      <w:r>
        <w:rPr>
          <w:rStyle w:val="FootnoteReference"/>
        </w:rPr>
        <w:footnoteRef/>
      </w:r>
      <w:r>
        <w:t xml:space="preserve"> </w:t>
      </w:r>
      <w:r>
        <w:tab/>
        <w:t>R is a programming language for statistical computing and data visualisation. It is a free piece of open</w:t>
      </w:r>
      <w:r>
        <w:noBreakHyphen/>
        <w:t>source software that is commonly used for data analysis.</w:t>
      </w:r>
    </w:p>
  </w:footnote>
  <w:footnote w:id="31">
    <w:p w14:paraId="7C699AC9" w14:textId="77777777" w:rsidR="007523B8" w:rsidRPr="005A386A" w:rsidRDefault="007523B8" w:rsidP="007523B8">
      <w:pPr>
        <w:pStyle w:val="FootnoteText"/>
        <w:spacing w:after="40"/>
      </w:pPr>
      <w:r w:rsidRPr="005A386A">
        <w:rPr>
          <w:rStyle w:val="FootnoteReference"/>
        </w:rPr>
        <w:footnoteRef/>
      </w:r>
      <w:r w:rsidRPr="005A386A">
        <w:t xml:space="preserve"> </w:t>
      </w:r>
      <w:r w:rsidRPr="005A386A">
        <w:tab/>
        <w:t xml:space="preserve">The equation displayed here is a rearranged form of the equation displayed </w:t>
      </w:r>
      <w:r w:rsidRPr="00A553BA">
        <w:t>in Swainson et al. (2016):</w:t>
      </w:r>
      <w:r w:rsidRPr="005A386A">
        <w:t xml:space="preserve"> Ln(CH</w:t>
      </w:r>
      <w:r w:rsidRPr="005A386A">
        <w:rPr>
          <w:vertAlign w:val="subscript"/>
        </w:rPr>
        <w:t>4</w:t>
      </w:r>
      <w:r w:rsidRPr="005A386A">
        <w:t xml:space="preserve">) = 0.734 × In(DMI) + 0.05 </w:t>
      </w:r>
      <w:r w:rsidRPr="005A386A">
        <w:rPr>
          <w:szCs w:val="19"/>
        </w:rPr>
        <w:t>×</w:t>
      </w:r>
      <w:r w:rsidRPr="005A386A">
        <w:t xml:space="preserve"> ME + 2.46.</w:t>
      </w:r>
    </w:p>
  </w:footnote>
  <w:footnote w:id="32">
    <w:p w14:paraId="7A63FBF0" w14:textId="77777777" w:rsidR="007523B8" w:rsidRPr="005A386A" w:rsidRDefault="007523B8" w:rsidP="007523B8">
      <w:pPr>
        <w:pStyle w:val="FootnoteText"/>
        <w:spacing w:after="40"/>
      </w:pPr>
      <w:r w:rsidRPr="005A386A">
        <w:rPr>
          <w:rStyle w:val="FootnoteReference"/>
        </w:rPr>
        <w:footnoteRef/>
      </w:r>
      <w:r w:rsidRPr="005A386A">
        <w:t xml:space="preserve"> </w:t>
      </w:r>
      <w:r w:rsidRPr="005A386A">
        <w:tab/>
        <w:t xml:space="preserve">The equation displayed here is a rearranged form of the equation displayed </w:t>
      </w:r>
      <w:r w:rsidRPr="00A553BA">
        <w:t>in Swainson et al. (2016):</w:t>
      </w:r>
      <w:r w:rsidRPr="005A386A">
        <w:t xml:space="preserve"> Ln(CH</w:t>
      </w:r>
      <w:r w:rsidRPr="005A386A">
        <w:rPr>
          <w:vertAlign w:val="subscript"/>
        </w:rPr>
        <w:t>4</w:t>
      </w:r>
      <w:r w:rsidRPr="005A386A">
        <w:t>) = 0.765 × In(DMI) + 3.09.</w:t>
      </w:r>
    </w:p>
  </w:footnote>
  <w:footnote w:id="33">
    <w:p w14:paraId="68C52E2E" w14:textId="77777777" w:rsidR="007523B8" w:rsidRPr="005A386A" w:rsidRDefault="007523B8" w:rsidP="007523B8">
      <w:pPr>
        <w:pStyle w:val="FootnoteText"/>
        <w:spacing w:after="40"/>
        <w:rPr>
          <w:szCs w:val="19"/>
        </w:rPr>
      </w:pPr>
      <w:r w:rsidRPr="005A386A">
        <w:rPr>
          <w:rStyle w:val="FootnoteReference"/>
          <w:szCs w:val="19"/>
        </w:rPr>
        <w:footnoteRef/>
      </w:r>
      <w:r w:rsidRPr="005A386A">
        <w:rPr>
          <w:szCs w:val="19"/>
        </w:rPr>
        <w:t xml:space="preserve"> </w:t>
      </w:r>
      <w:r w:rsidRPr="005A386A">
        <w:rPr>
          <w:szCs w:val="19"/>
        </w:rPr>
        <w:tab/>
        <w:t xml:space="preserve">For example, Blaxter and Clapperton (1965); Moe and Tyrrel (1975); Baldwin et al. (1988); Djikstra et al. (1992) and Benchaar et al. (2001) – all cited in Clark et al. (2003). </w:t>
      </w:r>
    </w:p>
  </w:footnote>
  <w:footnote w:id="34">
    <w:p w14:paraId="6F898E9F" w14:textId="77777777" w:rsidR="007523B8" w:rsidRDefault="007523B8" w:rsidP="007523B8">
      <w:pPr>
        <w:pStyle w:val="FootnoteText"/>
      </w:pPr>
      <w:r>
        <w:rPr>
          <w:rStyle w:val="FootnoteReference"/>
        </w:rPr>
        <w:footnoteRef/>
      </w:r>
      <w:r>
        <w:t xml:space="preserve"> </w:t>
      </w:r>
      <w:r>
        <w:tab/>
        <w:t xml:space="preserve">Value </w:t>
      </w:r>
      <w:r w:rsidRPr="00BE78CA">
        <w:rPr>
          <w:rFonts w:cs="Calibri"/>
        </w:rPr>
        <w:t xml:space="preserve">used in </w:t>
      </w:r>
      <w:r>
        <w:rPr>
          <w:rFonts w:cs="Calibri"/>
        </w:rPr>
        <w:t>earlier</w:t>
      </w:r>
      <w:r w:rsidRPr="00BE78CA">
        <w:rPr>
          <w:rFonts w:cs="Calibri"/>
        </w:rPr>
        <w:t xml:space="preserve"> versions of the National Inventory Report (</w:t>
      </w:r>
      <w:r w:rsidRPr="001B3A4A">
        <w:rPr>
          <w:rFonts w:cs="Calibri"/>
        </w:rPr>
        <w:t>21.25</w:t>
      </w:r>
      <w:r w:rsidRPr="00BE78CA">
        <w:rPr>
          <w:rFonts w:cs="Calibri"/>
        </w:rPr>
        <w:t xml:space="preserve"> g</w:t>
      </w:r>
      <w:r>
        <w:rPr>
          <w:rFonts w:cs="Calibri"/>
        </w:rPr>
        <w:t>rams methane per kilogram dry</w:t>
      </w:r>
      <w:r>
        <w:rPr>
          <w:rFonts w:cs="Calibri"/>
        </w:rPr>
        <w:noBreakHyphen/>
        <w:t>matter intake</w:t>
      </w:r>
      <w:r w:rsidRPr="00BE78CA">
        <w:rPr>
          <w:rFonts w:cs="Calibri"/>
        </w:rPr>
        <w:t>)</w:t>
      </w:r>
      <w:r>
        <w:rPr>
          <w:rFonts w:cs="Calibri"/>
        </w:rPr>
        <w:t>.</w:t>
      </w:r>
    </w:p>
  </w:footnote>
  <w:footnote w:id="35">
    <w:p w14:paraId="0B3169E5" w14:textId="77777777" w:rsidR="007523B8" w:rsidRPr="005A386A" w:rsidRDefault="007523B8" w:rsidP="007523B8">
      <w:pPr>
        <w:pStyle w:val="FootnoteText"/>
        <w:rPr>
          <w:szCs w:val="19"/>
        </w:rPr>
      </w:pPr>
      <w:r w:rsidRPr="005A386A">
        <w:rPr>
          <w:rStyle w:val="FootnoteReference"/>
          <w:szCs w:val="19"/>
        </w:rPr>
        <w:footnoteRef/>
      </w:r>
      <w:r w:rsidRPr="005A386A">
        <w:rPr>
          <w:szCs w:val="19"/>
        </w:rPr>
        <w:t xml:space="preserve"> </w:t>
      </w:r>
      <w:r w:rsidRPr="005A386A">
        <w:rPr>
          <w:szCs w:val="19"/>
        </w:rPr>
        <w:tab/>
        <w:t>The IPCC (2006) default emission factor for swine is identical to the IPCC (1996) emission factor.</w:t>
      </w:r>
    </w:p>
  </w:footnote>
  <w:footnote w:id="36">
    <w:p w14:paraId="01B81AB0" w14:textId="77777777" w:rsidR="007523B8" w:rsidRPr="005A386A" w:rsidRDefault="007523B8" w:rsidP="007523B8">
      <w:pPr>
        <w:pStyle w:val="FootnoteText"/>
      </w:pPr>
      <w:r w:rsidRPr="005A386A">
        <w:rPr>
          <w:rStyle w:val="FootnoteReference"/>
        </w:rPr>
        <w:footnoteRef/>
      </w:r>
      <w:r w:rsidRPr="005A386A">
        <w:t xml:space="preserve"> </w:t>
      </w:r>
      <w:r w:rsidRPr="005A386A">
        <w:tab/>
        <w:t xml:space="preserve">As reported in </w:t>
      </w:r>
      <w:r w:rsidRPr="003A7597">
        <w:t xml:space="preserve">Australia’s </w:t>
      </w:r>
      <w:hyperlink r:id="rId4" w:history="1">
        <w:r w:rsidRPr="00273E52">
          <w:rPr>
            <w:rStyle w:val="Hyperlink"/>
            <w:i/>
            <w:iCs/>
          </w:rPr>
          <w:t>Common Reporting Format</w:t>
        </w:r>
      </w:hyperlink>
      <w:r w:rsidRPr="003A7597">
        <w:rPr>
          <w:i/>
          <w:iCs/>
        </w:rPr>
        <w:t xml:space="preserve"> 202</w:t>
      </w:r>
      <w:r>
        <w:rPr>
          <w:i/>
          <w:iCs/>
        </w:rPr>
        <w:t>3</w:t>
      </w:r>
      <w:r w:rsidRPr="003A7597">
        <w:t>.</w:t>
      </w:r>
      <w:r w:rsidRPr="005A386A">
        <w:t xml:space="preserve"> Retrieved </w:t>
      </w:r>
      <w:r>
        <w:t>12 December 2023</w:t>
      </w:r>
      <w:r w:rsidRPr="00A24508">
        <w:rPr>
          <w:rFonts w:cs="Arial"/>
          <w:spacing w:val="-2"/>
          <w:szCs w:val="16"/>
        </w:rPr>
        <w:t xml:space="preserve">. </w:t>
      </w:r>
      <w:r w:rsidRPr="00A24508">
        <w:rPr>
          <w:spacing w:val="-2"/>
        </w:rPr>
        <w:t>Note</w:t>
      </w:r>
      <w:r w:rsidRPr="005A386A">
        <w:rPr>
          <w:spacing w:val="-2"/>
        </w:rPr>
        <w:t xml:space="preserve"> that the Australian-specific </w:t>
      </w:r>
      <w:r>
        <w:rPr>
          <w:spacing w:val="-2"/>
        </w:rPr>
        <w:t>beef</w:t>
      </w:r>
      <w:r w:rsidRPr="005A386A">
        <w:rPr>
          <w:spacing w:val="-2"/>
        </w:rPr>
        <w:t xml:space="preserve"> cattle IEF value is calculated</w:t>
      </w:r>
      <w:r w:rsidRPr="005A386A">
        <w:t xml:space="preserve"> from a population-based weighted average of pasture and feedlot IEF values from </w:t>
      </w:r>
      <w:r>
        <w:t>beef</w:t>
      </w:r>
      <w:r w:rsidRPr="005A386A">
        <w:t xml:space="preserve"> cattle.</w:t>
      </w:r>
    </w:p>
  </w:footnote>
  <w:footnote w:id="37">
    <w:p w14:paraId="0EE470A9" w14:textId="2B3E2A40" w:rsidR="007523B8" w:rsidRDefault="007523B8" w:rsidP="007523B8">
      <w:pPr>
        <w:pStyle w:val="FootnoteText"/>
        <w:spacing w:after="0"/>
      </w:pPr>
      <w:r>
        <w:rPr>
          <w:rStyle w:val="FootnoteReference"/>
        </w:rPr>
        <w:footnoteRef/>
      </w:r>
      <w:r>
        <w:t xml:space="preserve"> </w:t>
      </w:r>
      <w:r>
        <w:tab/>
        <w:t>See the ‘</w:t>
      </w:r>
      <w:r w:rsidRPr="00712DD7">
        <w:t>Five Production Systems</w:t>
      </w:r>
      <w:r>
        <w:t xml:space="preserve">’ at </w:t>
      </w:r>
      <w:hyperlink r:id="rId5" w:history="1">
        <w:r>
          <w:rPr>
            <w:rStyle w:val="Hyperlink"/>
          </w:rPr>
          <w:t>www.dairynz.co.nz/feed/fundamentals/fundamentals-overview</w:t>
        </w:r>
      </w:hyperlink>
      <w:r>
        <w:t>,</w:t>
      </w:r>
      <w:r>
        <w:rPr>
          <w:rStyle w:val="Hyperlink"/>
        </w:rPr>
        <w:t xml:space="preserve"> </w:t>
      </w:r>
      <w:r w:rsidRPr="00843CF7">
        <w:rPr>
          <w:rStyle w:val="Hyperlink"/>
          <w:color w:val="auto"/>
        </w:rPr>
        <w:t>for</w:t>
      </w:r>
      <w:r w:rsidR="00F845E9">
        <w:rPr>
          <w:rStyle w:val="Hyperlink"/>
          <w:color w:val="auto"/>
        </w:rPr>
        <w:t> </w:t>
      </w:r>
      <w:r w:rsidRPr="00843CF7">
        <w:rPr>
          <w:rStyle w:val="Hyperlink"/>
          <w:color w:val="auto"/>
        </w:rPr>
        <w:t>more information.</w:t>
      </w:r>
    </w:p>
  </w:footnote>
  <w:footnote w:id="38">
    <w:p w14:paraId="6CC2C901" w14:textId="77777777" w:rsidR="007523B8" w:rsidRPr="005A386A" w:rsidRDefault="007523B8" w:rsidP="007523B8">
      <w:pPr>
        <w:pStyle w:val="FootnoteText"/>
        <w:spacing w:after="40"/>
        <w:rPr>
          <w:i/>
          <w:szCs w:val="19"/>
        </w:rPr>
      </w:pPr>
      <w:r w:rsidRPr="005A386A">
        <w:rPr>
          <w:rStyle w:val="FootnoteReference"/>
          <w:szCs w:val="19"/>
        </w:rPr>
        <w:footnoteRef/>
      </w:r>
      <w:r w:rsidRPr="005A386A">
        <w:rPr>
          <w:szCs w:val="19"/>
        </w:rPr>
        <w:t xml:space="preserve"> </w:t>
      </w:r>
      <w:r w:rsidRPr="005A386A">
        <w:rPr>
          <w:szCs w:val="19"/>
        </w:rPr>
        <w:tab/>
        <w:t xml:space="preserve">Reported under </w:t>
      </w:r>
      <w:r w:rsidRPr="005A386A">
        <w:rPr>
          <w:i/>
          <w:szCs w:val="19"/>
        </w:rPr>
        <w:t>Agricultural soils</w:t>
      </w:r>
      <w:r w:rsidRPr="005A386A">
        <w:rPr>
          <w:szCs w:val="19"/>
        </w:rPr>
        <w:t xml:space="preserve">, under </w:t>
      </w:r>
      <w:r w:rsidRPr="005A386A">
        <w:rPr>
          <w:i/>
          <w:szCs w:val="19"/>
        </w:rPr>
        <w:t>Organic nitrogen fertilisers</w:t>
      </w:r>
      <w:r w:rsidRPr="005A386A">
        <w:rPr>
          <w:szCs w:val="19"/>
        </w:rPr>
        <w:t xml:space="preserve"> (3.D.1.2).</w:t>
      </w:r>
    </w:p>
  </w:footnote>
  <w:footnote w:id="39">
    <w:p w14:paraId="07A61265" w14:textId="77777777" w:rsidR="007523B8" w:rsidRPr="005A386A" w:rsidRDefault="007523B8" w:rsidP="007523B8">
      <w:pPr>
        <w:pStyle w:val="FootnoteText"/>
        <w:spacing w:after="40"/>
        <w:rPr>
          <w:szCs w:val="19"/>
        </w:rPr>
      </w:pPr>
      <w:r w:rsidRPr="005A386A">
        <w:rPr>
          <w:rStyle w:val="FootnoteReference"/>
          <w:szCs w:val="19"/>
        </w:rPr>
        <w:footnoteRef/>
      </w:r>
      <w:r w:rsidRPr="005A386A">
        <w:rPr>
          <w:szCs w:val="19"/>
        </w:rPr>
        <w:t xml:space="preserve"> </w:t>
      </w:r>
      <w:r w:rsidRPr="005A386A">
        <w:rPr>
          <w:szCs w:val="19"/>
        </w:rPr>
        <w:tab/>
        <w:t xml:space="preserve">Reported under </w:t>
      </w:r>
      <w:r w:rsidRPr="005A386A">
        <w:rPr>
          <w:i/>
          <w:szCs w:val="19"/>
        </w:rPr>
        <w:t>Agricultural soils</w:t>
      </w:r>
      <w:r w:rsidRPr="005A386A">
        <w:rPr>
          <w:szCs w:val="19"/>
        </w:rPr>
        <w:t xml:space="preserve">, under </w:t>
      </w:r>
      <w:r w:rsidRPr="005A386A">
        <w:rPr>
          <w:i/>
          <w:szCs w:val="19"/>
        </w:rPr>
        <w:t>Urine and dung deposited by grazing animals</w:t>
      </w:r>
      <w:r w:rsidRPr="005A386A">
        <w:rPr>
          <w:szCs w:val="19"/>
        </w:rPr>
        <w:t xml:space="preserve"> (3.D.1.3).</w:t>
      </w:r>
    </w:p>
  </w:footnote>
  <w:footnote w:id="40">
    <w:p w14:paraId="091C56E1" w14:textId="77777777" w:rsidR="007523B8" w:rsidRPr="005A386A" w:rsidRDefault="007523B8" w:rsidP="007523B8">
      <w:pPr>
        <w:pStyle w:val="FootnoteText"/>
        <w:spacing w:after="40"/>
      </w:pPr>
      <w:r w:rsidRPr="005A386A">
        <w:rPr>
          <w:rStyle w:val="FootnoteReference"/>
        </w:rPr>
        <w:footnoteRef/>
      </w:r>
      <w:r w:rsidRPr="005A386A">
        <w:t xml:space="preserve"> </w:t>
      </w:r>
      <w:r w:rsidRPr="005A386A">
        <w:tab/>
      </w:r>
      <w:r w:rsidRPr="00156364">
        <w:t xml:space="preserve">Rollo et al. </w:t>
      </w:r>
      <w:r>
        <w:t>(</w:t>
      </w:r>
      <w:r w:rsidRPr="00156364">
        <w:t>2017</w:t>
      </w:r>
      <w:r>
        <w:t>).</w:t>
      </w:r>
    </w:p>
  </w:footnote>
  <w:footnote w:id="41">
    <w:p w14:paraId="1F3DB355" w14:textId="77777777" w:rsidR="007523B8" w:rsidRPr="005A386A" w:rsidRDefault="007523B8" w:rsidP="007523B8">
      <w:pPr>
        <w:pStyle w:val="FootnoteText"/>
        <w:spacing w:after="40"/>
        <w:rPr>
          <w:szCs w:val="19"/>
        </w:rPr>
      </w:pPr>
      <w:r w:rsidRPr="005A386A">
        <w:rPr>
          <w:rStyle w:val="FootnoteReference"/>
          <w:color w:val="000000"/>
          <w:szCs w:val="19"/>
        </w:rPr>
        <w:footnoteRef/>
      </w:r>
      <w:r w:rsidRPr="005A386A">
        <w:rPr>
          <w:color w:val="000000"/>
          <w:szCs w:val="19"/>
        </w:rPr>
        <w:t xml:space="preserve"> </w:t>
      </w:r>
      <w:r w:rsidRPr="005A386A">
        <w:rPr>
          <w:color w:val="000000"/>
          <w:szCs w:val="19"/>
        </w:rPr>
        <w:tab/>
      </w:r>
      <w:r w:rsidRPr="00A553BA">
        <w:rPr>
          <w:szCs w:val="19"/>
        </w:rPr>
        <w:t>Hill (2012).</w:t>
      </w:r>
    </w:p>
  </w:footnote>
  <w:footnote w:id="42">
    <w:p w14:paraId="1D158332" w14:textId="77777777" w:rsidR="007523B8" w:rsidRPr="005A386A" w:rsidRDefault="007523B8" w:rsidP="007523B8">
      <w:pPr>
        <w:pStyle w:val="FootnoteText"/>
        <w:spacing w:after="40"/>
        <w:rPr>
          <w:szCs w:val="19"/>
        </w:rPr>
      </w:pPr>
      <w:r w:rsidRPr="005A386A">
        <w:rPr>
          <w:rStyle w:val="FootnoteReference"/>
          <w:szCs w:val="19"/>
        </w:rPr>
        <w:footnoteRef/>
      </w:r>
      <w:r w:rsidRPr="005A386A">
        <w:rPr>
          <w:szCs w:val="19"/>
        </w:rPr>
        <w:t xml:space="preserve"> </w:t>
      </w:r>
      <w:r w:rsidRPr="005A386A">
        <w:rPr>
          <w:szCs w:val="19"/>
        </w:rPr>
        <w:tab/>
      </w:r>
      <w:r w:rsidRPr="00A553BA">
        <w:rPr>
          <w:szCs w:val="19"/>
        </w:rPr>
        <w:t>Fick et al. (2011)</w:t>
      </w:r>
      <w:r w:rsidRPr="005A386A">
        <w:rPr>
          <w:szCs w:val="19"/>
        </w:rPr>
        <w:t xml:space="preserve"> and pers. comm. (2010).</w:t>
      </w:r>
    </w:p>
  </w:footnote>
  <w:footnote w:id="43">
    <w:p w14:paraId="5D56DB4C" w14:textId="77777777" w:rsidR="007523B8" w:rsidRPr="005A386A" w:rsidRDefault="007523B8" w:rsidP="007523B8">
      <w:pPr>
        <w:pStyle w:val="FootnoteText"/>
        <w:spacing w:after="40"/>
        <w:rPr>
          <w:szCs w:val="19"/>
        </w:rPr>
      </w:pPr>
      <w:r w:rsidRPr="005A386A">
        <w:rPr>
          <w:rStyle w:val="FootnoteReference"/>
          <w:szCs w:val="19"/>
        </w:rPr>
        <w:footnoteRef/>
      </w:r>
      <w:r w:rsidRPr="005A386A">
        <w:rPr>
          <w:szCs w:val="19"/>
        </w:rPr>
        <w:t xml:space="preserve"> </w:t>
      </w:r>
      <w:r w:rsidRPr="005A386A">
        <w:rPr>
          <w:szCs w:val="19"/>
        </w:rPr>
        <w:tab/>
      </w:r>
      <w:r w:rsidRPr="00A553BA">
        <w:rPr>
          <w:szCs w:val="19"/>
        </w:rPr>
        <w:t>Fick et al. (2011)</w:t>
      </w:r>
      <w:r w:rsidRPr="005A386A">
        <w:rPr>
          <w:szCs w:val="19"/>
        </w:rPr>
        <w:t xml:space="preserve"> and pers. comm. (2010).</w:t>
      </w:r>
    </w:p>
  </w:footnote>
  <w:footnote w:id="44">
    <w:p w14:paraId="6827CD0C" w14:textId="77777777" w:rsidR="007523B8" w:rsidRPr="005A386A" w:rsidRDefault="007523B8" w:rsidP="007523B8">
      <w:pPr>
        <w:pStyle w:val="FootnoteText"/>
        <w:rPr>
          <w:szCs w:val="19"/>
        </w:rPr>
      </w:pPr>
      <w:r w:rsidRPr="005A386A">
        <w:rPr>
          <w:rStyle w:val="FootnoteReference"/>
          <w:szCs w:val="19"/>
        </w:rPr>
        <w:footnoteRef/>
      </w:r>
      <w:r w:rsidRPr="005A386A">
        <w:rPr>
          <w:szCs w:val="19"/>
        </w:rPr>
        <w:t xml:space="preserve"> </w:t>
      </w:r>
      <w:r w:rsidRPr="005A386A">
        <w:rPr>
          <w:szCs w:val="19"/>
        </w:rPr>
        <w:tab/>
      </w:r>
      <w:r w:rsidRPr="00A553BA">
        <w:rPr>
          <w:szCs w:val="19"/>
        </w:rPr>
        <w:t>IPCC (1996)</w:t>
      </w:r>
      <w:r w:rsidRPr="005A386A">
        <w:rPr>
          <w:szCs w:val="19"/>
        </w:rPr>
        <w:t xml:space="preserve"> default waste management proportions for Oceania.</w:t>
      </w:r>
    </w:p>
  </w:footnote>
  <w:footnote w:id="45">
    <w:p w14:paraId="59F2286A" w14:textId="77777777" w:rsidR="007523B8" w:rsidRPr="00C75E28" w:rsidRDefault="007523B8" w:rsidP="007523B8">
      <w:pPr>
        <w:pStyle w:val="FootnoteText"/>
        <w:spacing w:after="0"/>
      </w:pPr>
      <w:r>
        <w:rPr>
          <w:rStyle w:val="FootnoteReference"/>
        </w:rPr>
        <w:footnoteRef/>
      </w:r>
      <w:r>
        <w:t xml:space="preserve"> </w:t>
      </w:r>
      <w:r>
        <w:tab/>
      </w:r>
      <w:r>
        <w:rPr>
          <w:i/>
          <w:iCs/>
        </w:rPr>
        <w:t>Other</w:t>
      </w:r>
      <w:r>
        <w:t xml:space="preserve"> poultry generally consists of ostrich and emus, hence the higher </w:t>
      </w:r>
      <w:r w:rsidRPr="00F20E03">
        <w:t>emissions</w:t>
      </w:r>
      <w:r>
        <w:t xml:space="preserve"> per head.</w:t>
      </w:r>
    </w:p>
  </w:footnote>
  <w:footnote w:id="46">
    <w:p w14:paraId="3A05494B" w14:textId="77777777" w:rsidR="007523B8" w:rsidRPr="00847307" w:rsidRDefault="007523B8" w:rsidP="007523B8">
      <w:pPr>
        <w:pStyle w:val="FootnoteText"/>
        <w:spacing w:after="0"/>
      </w:pPr>
      <w:r>
        <w:rPr>
          <w:rStyle w:val="FootnoteReference"/>
        </w:rPr>
        <w:footnoteRef/>
      </w:r>
      <w:r>
        <w:t xml:space="preserve"> </w:t>
      </w:r>
      <w:r>
        <w:tab/>
      </w:r>
      <w:r w:rsidRPr="00D9348B">
        <w:rPr>
          <w:rFonts w:cs="Calibri"/>
          <w:spacing w:val="-2"/>
        </w:rPr>
        <w:t xml:space="preserve">For full details of how </w:t>
      </w:r>
      <w:r w:rsidRPr="003C238F">
        <w:rPr>
          <w:rFonts w:cs="Calibri"/>
          <w:spacing w:val="-2"/>
        </w:rPr>
        <w:t>nitrogen excretion</w:t>
      </w:r>
      <w:r w:rsidRPr="00D9348B">
        <w:rPr>
          <w:rFonts w:cs="Calibri"/>
          <w:spacing w:val="-2"/>
        </w:rPr>
        <w:t xml:space="preserve"> rat</w:t>
      </w:r>
      <w:r w:rsidRPr="00B8784F">
        <w:rPr>
          <w:rFonts w:cs="Calibri"/>
          <w:spacing w:val="-2"/>
        </w:rPr>
        <w:t xml:space="preserve">es are derived for each livestock category, see the technical detail provided in the </w:t>
      </w:r>
      <w:r w:rsidRPr="00A93A6E">
        <w:t>Agriculture</w:t>
      </w:r>
      <w:r w:rsidRPr="00B8784F">
        <w:rPr>
          <w:rFonts w:cs="Calibri"/>
          <w:spacing w:val="-2"/>
        </w:rPr>
        <w:t xml:space="preserve"> inventory </w:t>
      </w:r>
      <w:r>
        <w:rPr>
          <w:rFonts w:cs="Calibri"/>
          <w:spacing w:val="-2"/>
        </w:rPr>
        <w:t xml:space="preserve">model </w:t>
      </w:r>
      <w:r w:rsidRPr="00B8784F">
        <w:rPr>
          <w:rFonts w:cs="Calibri"/>
          <w:spacing w:val="-2"/>
        </w:rPr>
        <w:t>methodology document on the MPI website</w:t>
      </w:r>
      <w:r w:rsidRPr="00B8784F">
        <w:rPr>
          <w:rFonts w:cs="Calibri"/>
        </w:rPr>
        <w:t xml:space="preserve"> (</w:t>
      </w:r>
      <w:hyperlink r:id="rId6" w:history="1">
        <w:r w:rsidRPr="00730ADE">
          <w:rPr>
            <w:rStyle w:val="Hyperlink"/>
          </w:rPr>
          <w:t>www.mpi.govt.nz/ dmsdocument/13906-Detailed-methodologies-for-agricultural-greenhouse-gas-emission-calculation</w:t>
        </w:r>
      </w:hyperlink>
      <w:r w:rsidRPr="00B8784F">
        <w:t>).</w:t>
      </w:r>
    </w:p>
  </w:footnote>
  <w:footnote w:id="47">
    <w:p w14:paraId="77D99377" w14:textId="77777777" w:rsidR="007523B8" w:rsidRPr="005A386A" w:rsidRDefault="007523B8" w:rsidP="007523B8">
      <w:pPr>
        <w:pStyle w:val="FootnoteText"/>
        <w:rPr>
          <w:szCs w:val="19"/>
        </w:rPr>
      </w:pPr>
      <w:r w:rsidRPr="005A386A">
        <w:rPr>
          <w:rStyle w:val="FootnoteReference"/>
        </w:rPr>
        <w:footnoteRef/>
      </w:r>
      <w:r w:rsidRPr="005A386A">
        <w:t xml:space="preserve"> </w:t>
      </w:r>
      <w:r w:rsidRPr="005A386A">
        <w:tab/>
        <w:t xml:space="preserve">As reported in </w:t>
      </w:r>
      <w:r w:rsidRPr="003A7597">
        <w:t xml:space="preserve">Australia’s </w:t>
      </w:r>
      <w:hyperlink r:id="rId7" w:history="1">
        <w:r w:rsidRPr="00770127">
          <w:rPr>
            <w:rStyle w:val="Hyperlink"/>
            <w:i/>
            <w:iCs/>
          </w:rPr>
          <w:t>Common Reporting Format 2023</w:t>
        </w:r>
      </w:hyperlink>
      <w:r w:rsidRPr="003A7597">
        <w:t>.</w:t>
      </w:r>
      <w:r w:rsidRPr="005A386A">
        <w:t xml:space="preserve"> Retrieved </w:t>
      </w:r>
      <w:r>
        <w:t>12 December 2023</w:t>
      </w:r>
      <w:r w:rsidRPr="00CD62EB">
        <w:t xml:space="preserve">. Note that the Australian-specific </w:t>
      </w:r>
      <w:r>
        <w:t xml:space="preserve">beef </w:t>
      </w:r>
      <w:r w:rsidRPr="005A386A">
        <w:t xml:space="preserve">cattle IEF value is calculated from a population-based weighted average of pasture and feedlot IEF values from </w:t>
      </w:r>
      <w:r>
        <w:t>beef</w:t>
      </w:r>
      <w:r w:rsidRPr="005A386A">
        <w:t xml:space="preserve"> cattle.</w:t>
      </w:r>
    </w:p>
  </w:footnote>
  <w:footnote w:id="48">
    <w:p w14:paraId="70FB3889" w14:textId="77777777" w:rsidR="007523B8" w:rsidRPr="008036DC" w:rsidRDefault="007523B8" w:rsidP="007523B8">
      <w:pPr>
        <w:pStyle w:val="FootnoteText"/>
      </w:pPr>
      <w:r>
        <w:rPr>
          <w:rStyle w:val="FootnoteReference"/>
        </w:rPr>
        <w:footnoteRef/>
      </w:r>
      <w:r>
        <w:t xml:space="preserve"> </w:t>
      </w:r>
      <w:r>
        <w:tab/>
        <w:t>Flatland is classified as flat pastoral land or plains with a gradient lower than 12 degrees (i.e., equivalent to low slopes).</w:t>
      </w:r>
    </w:p>
  </w:footnote>
  <w:footnote w:id="49">
    <w:p w14:paraId="70B4C6CB" w14:textId="77777777" w:rsidR="007523B8" w:rsidRPr="0040348A" w:rsidRDefault="007523B8" w:rsidP="007523B8">
      <w:pPr>
        <w:pStyle w:val="FootnoteText"/>
        <w:spacing w:after="40"/>
      </w:pPr>
      <w:r>
        <w:rPr>
          <w:rStyle w:val="FootnoteReference"/>
        </w:rPr>
        <w:footnoteRef/>
      </w:r>
      <w:r>
        <w:t xml:space="preserve"> </w:t>
      </w:r>
      <w:r>
        <w:tab/>
        <w:t>Low slopes are classified as hill country pastoral land with a gradient on average lower than 12 degrees.</w:t>
      </w:r>
    </w:p>
  </w:footnote>
  <w:footnote w:id="50">
    <w:p w14:paraId="623B50A8" w14:textId="77777777" w:rsidR="007523B8" w:rsidRPr="0040348A" w:rsidRDefault="007523B8" w:rsidP="007523B8">
      <w:pPr>
        <w:pStyle w:val="FootnoteText"/>
        <w:spacing w:after="40"/>
      </w:pPr>
      <w:r>
        <w:rPr>
          <w:rStyle w:val="FootnoteReference"/>
        </w:rPr>
        <w:footnoteRef/>
      </w:r>
      <w:r>
        <w:t xml:space="preserve"> </w:t>
      </w:r>
      <w:r>
        <w:tab/>
        <w:t xml:space="preserve">Medium slopes are classified as hill country pastoral land with a gradient </w:t>
      </w:r>
      <w:r w:rsidRPr="008F496F">
        <w:t>on average</w:t>
      </w:r>
      <w:r>
        <w:t xml:space="preserve"> between 12 degrees</w:t>
      </w:r>
      <w:r>
        <w:rPr>
          <w:vertAlign w:val="superscript"/>
        </w:rPr>
        <w:t xml:space="preserve"> </w:t>
      </w:r>
      <w:r>
        <w:t>and 24 degrees.</w:t>
      </w:r>
    </w:p>
  </w:footnote>
  <w:footnote w:id="51">
    <w:p w14:paraId="18922110" w14:textId="77777777" w:rsidR="007523B8" w:rsidRPr="0040348A" w:rsidRDefault="007523B8" w:rsidP="007523B8">
      <w:pPr>
        <w:pStyle w:val="FootnoteText"/>
        <w:spacing w:after="40"/>
      </w:pPr>
      <w:r>
        <w:rPr>
          <w:rStyle w:val="FootnoteReference"/>
        </w:rPr>
        <w:footnoteRef/>
      </w:r>
      <w:r>
        <w:t xml:space="preserve"> </w:t>
      </w:r>
      <w:r>
        <w:tab/>
        <w:t xml:space="preserve">Steep slopes are classified as hill country pastoral land with a gradient </w:t>
      </w:r>
      <w:r w:rsidRPr="008F496F">
        <w:t>on average</w:t>
      </w:r>
      <w:r>
        <w:t xml:space="preserve"> greater than 24</w:t>
      </w:r>
      <w:r>
        <w:rPr>
          <w:vertAlign w:val="superscript"/>
        </w:rPr>
        <w:t xml:space="preserve"> </w:t>
      </w:r>
      <w:r>
        <w:t>degrees.</w:t>
      </w:r>
    </w:p>
  </w:footnote>
  <w:footnote w:id="52">
    <w:p w14:paraId="390B2919" w14:textId="77777777" w:rsidR="007523B8" w:rsidRPr="005A386A" w:rsidRDefault="007523B8" w:rsidP="007523B8">
      <w:pPr>
        <w:pStyle w:val="FootnoteText"/>
        <w:spacing w:after="40"/>
      </w:pPr>
      <w:r w:rsidRPr="005A386A">
        <w:rPr>
          <w:rStyle w:val="FootnoteReference"/>
        </w:rPr>
        <w:footnoteRef/>
      </w:r>
      <w:r w:rsidRPr="005A386A">
        <w:t xml:space="preserve"> </w:t>
      </w:r>
      <w:r w:rsidRPr="005A386A">
        <w:tab/>
        <w:t xml:space="preserve">Activity data on urease inhibitor usage before 2016 </w:t>
      </w:r>
      <w:r>
        <w:t>was</w:t>
      </w:r>
      <w:r w:rsidRPr="005A386A">
        <w:t xml:space="preserve"> provided by Ballance Agri-Nutrients Limited. </w:t>
      </w:r>
    </w:p>
  </w:footnote>
  <w:footnote w:id="53">
    <w:p w14:paraId="4B9DE788" w14:textId="77777777" w:rsidR="00053418" w:rsidRDefault="00053418" w:rsidP="00053418">
      <w:pPr>
        <w:pStyle w:val="FootnoteText"/>
      </w:pPr>
      <w:r>
        <w:rPr>
          <w:rStyle w:val="FootnoteReference"/>
        </w:rPr>
        <w:footnoteRef/>
      </w:r>
      <w:r>
        <w:t xml:space="preserve"> </w:t>
      </w:r>
      <w:r>
        <w:tab/>
        <w:t>The planted yield tables present nationally representative estimates of carbon stocks by forest age (in years).</w:t>
      </w:r>
    </w:p>
  </w:footnote>
  <w:footnote w:id="54">
    <w:p w14:paraId="03C8249A" w14:textId="77777777" w:rsidR="00053418" w:rsidRPr="006D46F1" w:rsidRDefault="00053418" w:rsidP="00053418">
      <w:pPr>
        <w:pStyle w:val="FootnoteText"/>
        <w:rPr>
          <w:rFonts w:cs="Calibri"/>
        </w:rPr>
      </w:pPr>
      <w:r w:rsidRPr="009C1148">
        <w:rPr>
          <w:rStyle w:val="FootnoteReference"/>
        </w:rPr>
        <w:footnoteRef/>
      </w:r>
      <w:r w:rsidRPr="006D46F1">
        <w:rPr>
          <w:rFonts w:cs="Calibri"/>
        </w:rPr>
        <w:tab/>
        <w:t>An exception occurred in the creation of the Clyde Dam. The Clutha River in the South Island was dammed, creating Lake Dunstan. The area flooded was mostly low producing grassland.</w:t>
      </w:r>
    </w:p>
  </w:footnote>
  <w:footnote w:id="55">
    <w:p w14:paraId="3030D368" w14:textId="77777777" w:rsidR="00053418" w:rsidRDefault="00053418" w:rsidP="00053418">
      <w:pPr>
        <w:pStyle w:val="FootnoteText"/>
      </w:pPr>
      <w:r>
        <w:rPr>
          <w:rStyle w:val="FootnoteReference"/>
        </w:rPr>
        <w:footnoteRef/>
      </w:r>
      <w:r>
        <w:t xml:space="preserve"> </w:t>
      </w:r>
      <w:r>
        <w:tab/>
        <w:t xml:space="preserve">New Zealand has elected not to apply the 2013 </w:t>
      </w:r>
      <w:r w:rsidRPr="00EC2F52">
        <w:rPr>
          <w:i/>
        </w:rPr>
        <w:t>Wetlands</w:t>
      </w:r>
      <w:r>
        <w:t xml:space="preserve"> supplement. This decision will be revised at a later date.</w:t>
      </w:r>
    </w:p>
  </w:footnote>
  <w:footnote w:id="56">
    <w:p w14:paraId="0B24C203" w14:textId="77777777" w:rsidR="00E87995" w:rsidRDefault="00E87995" w:rsidP="00E87995">
      <w:pPr>
        <w:pStyle w:val="FootnoteText"/>
      </w:pPr>
      <w:r>
        <w:rPr>
          <w:rStyle w:val="FootnoteReference"/>
        </w:rPr>
        <w:footnoteRef/>
      </w:r>
      <w:r>
        <w:t xml:space="preserve"> </w:t>
      </w:r>
      <w:r>
        <w:tab/>
        <w:t>This chapter uses classifications according to the United Nations Framework Convention on Climate Change (UNFCCC) and Intergovernmental Panel on Climate Change (IPCC) reporting guidelines. The sites categorised as ‘unmanaged’ may actually be managed by requirements such as council consent conditions; however, they do not meet the definition of a managed landfill under the greenhouse gas inventory (IPCC, 2006a).</w:t>
      </w:r>
    </w:p>
  </w:footnote>
  <w:footnote w:id="57">
    <w:p w14:paraId="1C33B373" w14:textId="77777777" w:rsidR="00E87995" w:rsidRDefault="00E87995" w:rsidP="00E87995">
      <w:pPr>
        <w:pStyle w:val="FootnoteText"/>
      </w:pPr>
      <w:r>
        <w:rPr>
          <w:rStyle w:val="FootnoteReference"/>
        </w:rPr>
        <w:footnoteRef/>
      </w:r>
      <w:r>
        <w:t xml:space="preserve"> </w:t>
      </w:r>
      <w:r>
        <w:tab/>
        <w:t xml:space="preserve">For more information, see </w:t>
      </w:r>
      <w:hyperlink r:id="rId8" w:history="1">
        <w:r w:rsidRPr="003F26C4">
          <w:rPr>
            <w:rStyle w:val="Hyperlink"/>
          </w:rPr>
          <w:t>New Zealand’s first emissions reduction plan</w:t>
        </w:r>
      </w:hyperlink>
      <w:r>
        <w:t xml:space="preserve">. Retrieved 4 March 2024. </w:t>
      </w:r>
    </w:p>
  </w:footnote>
  <w:footnote w:id="58">
    <w:p w14:paraId="06780BC3" w14:textId="77777777" w:rsidR="00E87995" w:rsidRDefault="00E87995" w:rsidP="00E87995">
      <w:pPr>
        <w:pStyle w:val="FootnoteText"/>
      </w:pPr>
      <w:r>
        <w:rPr>
          <w:rStyle w:val="FootnoteReference"/>
        </w:rPr>
        <w:footnoteRef/>
      </w:r>
      <w:r>
        <w:t xml:space="preserve"> </w:t>
      </w:r>
      <w:r>
        <w:tab/>
        <w:t xml:space="preserve">For more information, see Stats NZ. </w:t>
      </w:r>
      <w:hyperlink r:id="rId9" w:history="1">
        <w:r w:rsidRPr="00350064">
          <w:rPr>
            <w:rStyle w:val="Hyperlink"/>
            <w:i/>
            <w:iCs/>
          </w:rPr>
          <w:t>Agricultural production statistics: Year to June 2022 (provisional)</w:t>
        </w:r>
      </w:hyperlink>
      <w:r w:rsidRPr="00BF33E8">
        <w:t>. Retrieved 6</w:t>
      </w:r>
      <w:r>
        <w:t> </w:t>
      </w:r>
      <w:r w:rsidRPr="00BF33E8">
        <w:t>March 2024</w:t>
      </w:r>
      <w:r>
        <w:t>.</w:t>
      </w:r>
    </w:p>
  </w:footnote>
  <w:footnote w:id="59">
    <w:p w14:paraId="4667E82B" w14:textId="77777777" w:rsidR="00E87995" w:rsidRDefault="00E87995" w:rsidP="00E87995">
      <w:pPr>
        <w:pStyle w:val="FootnoteText"/>
      </w:pPr>
      <w:r>
        <w:rPr>
          <w:rStyle w:val="FootnoteReference"/>
        </w:rPr>
        <w:footnoteRef/>
      </w:r>
      <w:r>
        <w:t xml:space="preserve"> </w:t>
      </w:r>
      <w:r>
        <w:tab/>
        <w:t>The use of ‘industrial and commercial’ is used in a general sense in this report, which is different from how these terms are used in a domestic policy setting.</w:t>
      </w:r>
    </w:p>
  </w:footnote>
  <w:footnote w:id="60">
    <w:p w14:paraId="1B429988" w14:textId="77777777" w:rsidR="00E87995" w:rsidRDefault="00E87995" w:rsidP="00E87995">
      <w:pPr>
        <w:pStyle w:val="FootnoteText"/>
      </w:pPr>
      <w:r>
        <w:rPr>
          <w:rStyle w:val="FootnoteReference"/>
        </w:rPr>
        <w:footnoteRef/>
      </w:r>
      <w:r>
        <w:t xml:space="preserve"> </w:t>
      </w:r>
      <w:r>
        <w:tab/>
        <w:t xml:space="preserve">More information can be found about the new waste strategy and other developments at Ministry for the Environment. </w:t>
      </w:r>
      <w:hyperlink r:id="rId10" w:history="1">
        <w:r w:rsidRPr="00870A0C">
          <w:rPr>
            <w:rStyle w:val="Hyperlink"/>
            <w:i/>
          </w:rPr>
          <w:t>Aotearoa New Zealand Waste Strategy</w:t>
        </w:r>
      </w:hyperlink>
      <w:r>
        <w:t xml:space="preserve">. Retrieved 4 March 2024. </w:t>
      </w:r>
    </w:p>
  </w:footnote>
  <w:footnote w:id="61">
    <w:p w14:paraId="6508BD10" w14:textId="77777777" w:rsidR="00E87995" w:rsidRDefault="00E87995" w:rsidP="00E87995">
      <w:pPr>
        <w:pStyle w:val="FootnoteText"/>
      </w:pPr>
      <w:r>
        <w:rPr>
          <w:rStyle w:val="FootnoteReference"/>
        </w:rPr>
        <w:footnoteRef/>
      </w:r>
      <w:r>
        <w:t xml:space="preserve"> </w:t>
      </w:r>
      <w:r>
        <w:tab/>
        <w:t xml:space="preserve">For more information, see Stats NZ. </w:t>
      </w:r>
      <w:hyperlink r:id="rId11" w:history="1">
        <w:r w:rsidRPr="00350064">
          <w:rPr>
            <w:rStyle w:val="Hyperlink"/>
            <w:i/>
            <w:iCs/>
          </w:rPr>
          <w:t>Agricultural production statistics: Year to June 2022 (provisional)</w:t>
        </w:r>
      </w:hyperlink>
      <w:r w:rsidRPr="00BF33E8">
        <w:t>. Retrieved 6</w:t>
      </w:r>
      <w:r>
        <w:t> </w:t>
      </w:r>
      <w:r w:rsidRPr="00BF33E8">
        <w:t>March 2024</w:t>
      </w:r>
      <w:r>
        <w:t>.</w:t>
      </w:r>
    </w:p>
  </w:footnote>
  <w:footnote w:id="62">
    <w:p w14:paraId="1B49F3AB" w14:textId="77777777" w:rsidR="00E87995" w:rsidRDefault="00E87995" w:rsidP="00E87995">
      <w:pPr>
        <w:pStyle w:val="FootnoteText"/>
      </w:pPr>
      <w:r>
        <w:rPr>
          <w:rStyle w:val="FootnoteReference"/>
        </w:rPr>
        <w:footnoteRef/>
      </w:r>
      <w:r>
        <w:t xml:space="preserve"> </w:t>
      </w:r>
      <w:r>
        <w:tab/>
        <w:t xml:space="preserve">For more information, see </w:t>
      </w:r>
      <w:hyperlink r:id="rId12" w:history="1">
        <w:r>
          <w:rPr>
            <w:rStyle w:val="Hyperlink"/>
          </w:rPr>
          <w:t>Home – Compost Collective</w:t>
        </w:r>
      </w:hyperlink>
      <w:r>
        <w:t>. Retrieved 6 March 2023.</w:t>
      </w:r>
    </w:p>
  </w:footnote>
  <w:footnote w:id="63">
    <w:p w14:paraId="62B05301" w14:textId="77777777" w:rsidR="00AD187C" w:rsidRDefault="00AD187C" w:rsidP="00AD187C">
      <w:pPr>
        <w:pStyle w:val="FootnoteText"/>
      </w:pPr>
      <w:r>
        <w:rPr>
          <w:rStyle w:val="FootnoteReference"/>
        </w:rPr>
        <w:footnoteRef/>
      </w:r>
      <w:r>
        <w:t xml:space="preserve"> </w:t>
      </w:r>
      <w:r>
        <w:tab/>
      </w:r>
      <w:r w:rsidRPr="00736173">
        <w:t>In the United Nations Charter (United Nations, 1945), a</w:t>
      </w:r>
      <w:r>
        <w:t xml:space="preserve"> </w:t>
      </w:r>
      <w:r w:rsidRPr="00736173">
        <w:t>non-self-governing territory</w:t>
      </w:r>
      <w:r>
        <w:t xml:space="preserve"> </w:t>
      </w:r>
      <w:r w:rsidRPr="00736173">
        <w:t>is defined as a</w:t>
      </w:r>
      <w:r>
        <w:t xml:space="preserve"> </w:t>
      </w:r>
      <w:r w:rsidRPr="00736173">
        <w:t>territory “whose people</w:t>
      </w:r>
      <w:r>
        <w:t>s</w:t>
      </w:r>
      <w:r w:rsidRPr="00736173">
        <w:t xml:space="preserve"> have not yet attained a full measure of</w:t>
      </w:r>
      <w:r>
        <w:t xml:space="preserve"> </w:t>
      </w:r>
      <w:r w:rsidRPr="00736173">
        <w:t>self-government”. Tokelau has been on</w:t>
      </w:r>
      <w:r>
        <w:t> </w:t>
      </w:r>
      <w:r w:rsidRPr="00736173">
        <w:t>the United Nations list of non-self-governing territories since 1946, following the declaration of the intention by New Zealand to transmit information on the Tokelau Islands under Article 73e of the United</w:t>
      </w:r>
      <w:r>
        <w:t xml:space="preserve"> </w:t>
      </w:r>
      <w:r w:rsidRPr="00736173">
        <w:t>Nations Charter.</w:t>
      </w:r>
    </w:p>
  </w:footnote>
  <w:footnote w:id="64">
    <w:p w14:paraId="216D2E8C" w14:textId="77777777" w:rsidR="00AD187C" w:rsidRDefault="00AD187C" w:rsidP="00AD187C">
      <w:pPr>
        <w:pStyle w:val="FootnoteText"/>
      </w:pPr>
      <w:r>
        <w:rPr>
          <w:rStyle w:val="FootnoteReference"/>
        </w:rPr>
        <w:footnoteRef/>
      </w:r>
      <w:r>
        <w:t xml:space="preserve"> </w:t>
      </w:r>
      <w:r>
        <w:tab/>
      </w:r>
      <w:r w:rsidRPr="00736173">
        <w:t>A ‘de jure’ census tallies</w:t>
      </w:r>
      <w:r>
        <w:t xml:space="preserve"> </w:t>
      </w:r>
      <w:r w:rsidRPr="00736173">
        <w:t>people according to their regular or legal residence.</w:t>
      </w:r>
    </w:p>
  </w:footnote>
  <w:footnote w:id="65">
    <w:p w14:paraId="749F7AE3" w14:textId="77777777" w:rsidR="00AD187C" w:rsidRDefault="00AD187C" w:rsidP="00AD187C">
      <w:pPr>
        <w:pStyle w:val="FootnoteText"/>
      </w:pPr>
      <w:r>
        <w:rPr>
          <w:rStyle w:val="FootnoteReference"/>
        </w:rPr>
        <w:footnoteRef/>
      </w:r>
      <w:r>
        <w:t xml:space="preserve"> </w:t>
      </w:r>
      <w:r>
        <w:tab/>
        <w:t xml:space="preserve">See </w:t>
      </w:r>
      <w:r w:rsidRPr="006804C1">
        <w:t>Roorda</w:t>
      </w:r>
      <w:r>
        <w:rPr>
          <w:i/>
          <w:iCs/>
        </w:rPr>
        <w:t xml:space="preserve"> </w:t>
      </w:r>
      <w:r w:rsidRPr="00FD3388">
        <w:t xml:space="preserve">et al. </w:t>
      </w:r>
      <w:r>
        <w:t>(</w:t>
      </w:r>
      <w:r w:rsidRPr="00FD3388">
        <w:t>2015</w:t>
      </w:r>
      <w:r>
        <w:t xml:space="preserve">) </w:t>
      </w:r>
      <w:hyperlink r:id="rId13" w:history="1">
        <w:r w:rsidRPr="00835190">
          <w:rPr>
            <w:rStyle w:val="Hyperlink"/>
            <w:i/>
            <w:iCs/>
          </w:rPr>
          <w:t>Evaluation of the Tokelau Country Programme</w:t>
        </w:r>
      </w:hyperlink>
      <w:r>
        <w:t>,</w:t>
      </w:r>
      <w:r w:rsidRPr="008D5156">
        <w:t xml:space="preserve"> </w:t>
      </w:r>
      <w:r>
        <w:t>page 46.</w:t>
      </w:r>
    </w:p>
  </w:footnote>
  <w:footnote w:id="66">
    <w:p w14:paraId="253A41FD" w14:textId="77777777" w:rsidR="00AD187C" w:rsidRDefault="00AD187C" w:rsidP="00AD187C">
      <w:pPr>
        <w:pStyle w:val="FootnoteText"/>
      </w:pPr>
      <w:r>
        <w:rPr>
          <w:rStyle w:val="FootnoteReference"/>
        </w:rPr>
        <w:footnoteRef/>
      </w:r>
      <w:r>
        <w:t xml:space="preserve"> </w:t>
      </w:r>
      <w:r>
        <w:tab/>
        <w:t>A keyhole garden is a small (around 2.5 metre diameter) circular raised garden with a keyhole-shaped indentation on one side. Moisture and nutrients flow from an active compost pile placed in the centre of a round plant bed.</w:t>
      </w:r>
    </w:p>
  </w:footnote>
  <w:footnote w:id="67">
    <w:p w14:paraId="47025390" w14:textId="77777777" w:rsidR="00AD187C" w:rsidRDefault="00AD187C" w:rsidP="00AD187C">
      <w:pPr>
        <w:pStyle w:val="FootnoteText"/>
        <w:spacing w:after="20"/>
      </w:pPr>
      <w:r>
        <w:rPr>
          <w:rStyle w:val="FootnoteReference"/>
        </w:rPr>
        <w:footnoteRef/>
      </w:r>
      <w:r>
        <w:t xml:space="preserve"> </w:t>
      </w:r>
      <w:r>
        <w:tab/>
        <w:t xml:space="preserve">See Government of Tokelau. 2017. </w:t>
      </w:r>
      <w:hyperlink r:id="rId14" w:history="1">
        <w:r w:rsidRPr="005B4F9D">
          <w:rPr>
            <w:rStyle w:val="Hyperlink"/>
            <w:i/>
            <w:iCs/>
          </w:rPr>
          <w:t>Solid Waste Management: MOU Signed between Tokelau EDNRE and Pacific Recycle Co. Ltd</w:t>
        </w:r>
      </w:hyperlink>
      <w:r>
        <w:t xml:space="preserve">. Retrieved </w:t>
      </w:r>
      <w:r w:rsidRPr="00736173">
        <w:t>9 March 2018.</w:t>
      </w:r>
    </w:p>
  </w:footnote>
  <w:footnote w:id="68">
    <w:p w14:paraId="257D5B06" w14:textId="77777777" w:rsidR="005D02EF" w:rsidRDefault="005D02EF" w:rsidP="005D02EF">
      <w:pPr>
        <w:pStyle w:val="FootnoteText"/>
      </w:pPr>
      <w:r>
        <w:rPr>
          <w:rStyle w:val="FootnoteReference"/>
        </w:rPr>
        <w:footnoteRef/>
      </w:r>
      <w:r>
        <w:t xml:space="preserve"> </w:t>
      </w:r>
      <w:r>
        <w:tab/>
        <w:t>The planted yield tables present nationally representative estimates of carbon stocks by forest age (in years).</w:t>
      </w:r>
    </w:p>
  </w:footnote>
  <w:footnote w:id="69">
    <w:p w14:paraId="5519AECC" w14:textId="77777777" w:rsidR="005D02EF" w:rsidRDefault="005D02EF" w:rsidP="005D02EF">
      <w:pPr>
        <w:pStyle w:val="FootnoteText"/>
      </w:pPr>
      <w:r>
        <w:rPr>
          <w:rStyle w:val="FootnoteReference"/>
        </w:rPr>
        <w:footnoteRef/>
      </w:r>
      <w:r>
        <w:t xml:space="preserve"> </w:t>
      </w:r>
      <w:r>
        <w:tab/>
        <w:t xml:space="preserve">See Stats NZ. </w:t>
      </w:r>
      <w:hyperlink r:id="rId15" w:history="1">
        <w:r w:rsidRPr="004A3ED1">
          <w:rPr>
            <w:rStyle w:val="Hyperlink"/>
            <w:i/>
            <w:iCs/>
          </w:rPr>
          <w:t>Agricultural production statistics: Year to June 2022 (provisional)</w:t>
        </w:r>
      </w:hyperlink>
      <w:r>
        <w:t>.</w:t>
      </w:r>
      <w:r w:rsidRPr="00945FF5">
        <w:t xml:space="preserve"> </w:t>
      </w:r>
      <w:r>
        <w:t>Retrieved 26 March 2024</w:t>
      </w:r>
      <w:r w:rsidRPr="00945FF5">
        <w:t>.</w:t>
      </w:r>
    </w:p>
  </w:footnote>
  <w:footnote w:id="70">
    <w:p w14:paraId="5553BC19" w14:textId="77777777" w:rsidR="005D02EF" w:rsidRDefault="005D02EF" w:rsidP="005D02EF">
      <w:pPr>
        <w:pStyle w:val="FootnoteText"/>
      </w:pPr>
      <w:r>
        <w:rPr>
          <w:rStyle w:val="FootnoteReference"/>
        </w:rPr>
        <w:footnoteRef/>
      </w:r>
      <w:r>
        <w:t xml:space="preserve"> </w:t>
      </w:r>
      <w:r>
        <w:tab/>
        <w:t xml:space="preserve">See Stats NZ. </w:t>
      </w:r>
      <w:hyperlink r:id="rId16" w:history="1">
        <w:r w:rsidRPr="004A3ED1">
          <w:rPr>
            <w:rStyle w:val="Hyperlink"/>
            <w:i/>
            <w:iCs/>
          </w:rPr>
          <w:t>Agricultural production statistics: Year to June 2022 (provisional)</w:t>
        </w:r>
      </w:hyperlink>
      <w:r>
        <w:t>.</w:t>
      </w:r>
      <w:r w:rsidRPr="00945FF5">
        <w:t xml:space="preserve"> </w:t>
      </w:r>
      <w:r>
        <w:t>Retrieved 26 March 2024.</w:t>
      </w:r>
    </w:p>
  </w:footnote>
  <w:footnote w:id="71">
    <w:p w14:paraId="0863EBD1" w14:textId="03A9644C" w:rsidR="005D02EF" w:rsidRDefault="005D02EF" w:rsidP="005D02EF">
      <w:pPr>
        <w:pStyle w:val="FootnoteText"/>
      </w:pPr>
      <w:r>
        <w:rPr>
          <w:rStyle w:val="FootnoteReference"/>
        </w:rPr>
        <w:footnoteRef/>
      </w:r>
      <w:r>
        <w:t xml:space="preserve"> </w:t>
      </w:r>
      <w:r>
        <w:tab/>
        <w:t xml:space="preserve">See Stats NZ. </w:t>
      </w:r>
      <w:hyperlink r:id="rId17" w:history="1">
        <w:r w:rsidRPr="00780E34">
          <w:rPr>
            <w:rStyle w:val="Hyperlink"/>
            <w:i/>
            <w:iCs/>
          </w:rPr>
          <w:t>Agricultural production statistics: Year to June 2022 (provisional)</w:t>
        </w:r>
      </w:hyperlink>
      <w:r>
        <w:t>.</w:t>
      </w:r>
      <w:r w:rsidRPr="00945FF5">
        <w:t xml:space="preserve"> </w:t>
      </w:r>
      <w:r>
        <w:t>Retrieved 26 March 2024.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00A468" w14:textId="4FCB51FA" w:rsidR="005660CD" w:rsidRDefault="00982015" w:rsidP="00B44BA5">
    <w:pPr>
      <w:pStyle w:val="Header"/>
      <w:ind w:left="-567"/>
      <w:jc w:val="left"/>
    </w:pPr>
    <w:r>
      <w:rPr>
        <w:noProof/>
      </w:rPr>
      <w:drawing>
        <wp:inline distT="0" distB="0" distL="0" distR="0" wp14:anchorId="63059704" wp14:editId="3E43F2ED">
          <wp:extent cx="2406650" cy="68135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l="2927" t="8191" r="2281" b="7092"/>
                  <a:stretch>
                    <a:fillRect/>
                  </a:stretch>
                </pic:blipFill>
                <pic:spPr bwMode="auto">
                  <a:xfrm>
                    <a:off x="0" y="0"/>
                    <a:ext cx="2406650" cy="681355"/>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423D44" w14:textId="77777777" w:rsidR="005660CD" w:rsidRDefault="005660C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46605E" w14:textId="4908EE4B" w:rsidR="005660CD" w:rsidRPr="006316D5" w:rsidRDefault="005660CD" w:rsidP="006316D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71E71B" w14:textId="2ED84FD3" w:rsidR="005660CD" w:rsidRPr="00207728" w:rsidRDefault="005660CD" w:rsidP="00207728">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879C4B" w14:textId="6433B5F4" w:rsidR="005660CD" w:rsidRPr="00207728" w:rsidRDefault="005660CD" w:rsidP="00207728">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09836D" w14:textId="14B0CE86" w:rsidR="00CD41E4" w:rsidRDefault="00CD41E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CE786C8A"/>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1D6AC9AC"/>
    <w:lvl w:ilvl="0">
      <w:start w:val="1"/>
      <w:numFmt w:val="decimal"/>
      <w:pStyle w:val="ListNumber4"/>
      <w:lvlText w:val="%1."/>
      <w:lvlJc w:val="left"/>
      <w:pPr>
        <w:tabs>
          <w:tab w:val="num" w:pos="1209"/>
        </w:tabs>
        <w:ind w:left="1209" w:hanging="360"/>
      </w:pPr>
    </w:lvl>
  </w:abstractNum>
  <w:abstractNum w:abstractNumId="2" w15:restartNumberingAfterBreak="0">
    <w:nsid w:val="FFFFFF80"/>
    <w:multiLevelType w:val="singleLevel"/>
    <w:tmpl w:val="548CEFF2"/>
    <w:lvl w:ilvl="0">
      <w:start w:val="1"/>
      <w:numFmt w:val="bullet"/>
      <w:pStyle w:val="ListBullet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E3000008"/>
    <w:lvl w:ilvl="0">
      <w:start w:val="1"/>
      <w:numFmt w:val="bullet"/>
      <w:pStyle w:val="ListBullet4"/>
      <w:lvlText w:val=""/>
      <w:lvlJc w:val="left"/>
      <w:pPr>
        <w:tabs>
          <w:tab w:val="num" w:pos="1209"/>
        </w:tabs>
        <w:ind w:left="1209" w:hanging="360"/>
      </w:pPr>
      <w:rPr>
        <w:rFonts w:ascii="Symbol" w:hAnsi="Symbol" w:hint="default"/>
      </w:rPr>
    </w:lvl>
  </w:abstractNum>
  <w:abstractNum w:abstractNumId="4" w15:restartNumberingAfterBreak="0">
    <w:nsid w:val="FFFFFF82"/>
    <w:multiLevelType w:val="singleLevel"/>
    <w:tmpl w:val="132E234E"/>
    <w:lvl w:ilvl="0">
      <w:start w:val="1"/>
      <w:numFmt w:val="bullet"/>
      <w:pStyle w:val="ListBullet3"/>
      <w:lvlText w:val=""/>
      <w:lvlJc w:val="left"/>
      <w:pPr>
        <w:tabs>
          <w:tab w:val="num" w:pos="926"/>
        </w:tabs>
        <w:ind w:left="926" w:hanging="360"/>
      </w:pPr>
      <w:rPr>
        <w:rFonts w:ascii="Symbol" w:hAnsi="Symbol" w:hint="default"/>
      </w:rPr>
    </w:lvl>
  </w:abstractNum>
  <w:abstractNum w:abstractNumId="5" w15:restartNumberingAfterBreak="0">
    <w:nsid w:val="FFFFFF83"/>
    <w:multiLevelType w:val="singleLevel"/>
    <w:tmpl w:val="3F6446A0"/>
    <w:lvl w:ilvl="0">
      <w:start w:val="1"/>
      <w:numFmt w:val="bullet"/>
      <w:pStyle w:val="ListBullet2"/>
      <w:lvlText w:val=""/>
      <w:lvlJc w:val="left"/>
      <w:pPr>
        <w:tabs>
          <w:tab w:val="num" w:pos="643"/>
        </w:tabs>
        <w:ind w:left="643" w:hanging="360"/>
      </w:pPr>
      <w:rPr>
        <w:rFonts w:ascii="Symbol" w:hAnsi="Symbol" w:hint="default"/>
      </w:rPr>
    </w:lvl>
  </w:abstractNum>
  <w:abstractNum w:abstractNumId="6" w15:restartNumberingAfterBreak="0">
    <w:nsid w:val="FFFFFF89"/>
    <w:multiLevelType w:val="singleLevel"/>
    <w:tmpl w:val="FD86B90A"/>
    <w:lvl w:ilvl="0">
      <w:start w:val="1"/>
      <w:numFmt w:val="bullet"/>
      <w:pStyle w:val="ListBullet"/>
      <w:lvlText w:val=""/>
      <w:lvlJc w:val="left"/>
      <w:pPr>
        <w:tabs>
          <w:tab w:val="num" w:pos="360"/>
        </w:tabs>
        <w:ind w:left="360" w:hanging="360"/>
      </w:pPr>
      <w:rPr>
        <w:rFonts w:ascii="Symbol" w:hAnsi="Symbol" w:hint="default"/>
      </w:rPr>
    </w:lvl>
  </w:abstractNum>
  <w:abstractNum w:abstractNumId="7" w15:restartNumberingAfterBreak="0">
    <w:nsid w:val="00B25EF1"/>
    <w:multiLevelType w:val="hybridMultilevel"/>
    <w:tmpl w:val="D396E14C"/>
    <w:lvl w:ilvl="0" w:tplc="AC76D722">
      <w:start w:val="1"/>
      <w:numFmt w:val="bullet"/>
      <w:lvlText w:val=""/>
      <w:lvlJc w:val="left"/>
      <w:pPr>
        <w:ind w:left="360" w:hanging="360"/>
      </w:pPr>
      <w:rPr>
        <w:rFonts w:ascii="Symbol" w:hAnsi="Symbol" w:hint="default"/>
        <w:sz w:val="18"/>
        <w:szCs w:val="18"/>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8" w15:restartNumberingAfterBreak="0">
    <w:nsid w:val="041849F3"/>
    <w:multiLevelType w:val="hybridMultilevel"/>
    <w:tmpl w:val="9234825C"/>
    <w:lvl w:ilvl="0" w:tplc="4AE8F718">
      <w:start w:val="1"/>
      <w:numFmt w:val="lowerLetter"/>
      <w:pStyle w:val="a"/>
      <w:lvlText w:val="(%1)"/>
      <w:lvlJc w:val="left"/>
      <w:pPr>
        <w:tabs>
          <w:tab w:val="num" w:pos="720"/>
        </w:tabs>
        <w:ind w:left="720" w:hanging="360"/>
      </w:pPr>
      <w:rPr>
        <w:rFonts w:hint="default"/>
      </w:rPr>
    </w:lvl>
    <w:lvl w:ilvl="1" w:tplc="08090019">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9" w15:restartNumberingAfterBreak="0">
    <w:nsid w:val="04B67626"/>
    <w:multiLevelType w:val="multilevel"/>
    <w:tmpl w:val="01E06AB0"/>
    <w:lvl w:ilvl="0">
      <w:start w:val="1"/>
      <w:numFmt w:val="decimal"/>
      <w:pStyle w:val="Numberedparagraph"/>
      <w:lvlText w:val="%1."/>
      <w:lvlJc w:val="left"/>
      <w:pPr>
        <w:tabs>
          <w:tab w:val="num" w:pos="397"/>
        </w:tabs>
        <w:ind w:left="397" w:hanging="397"/>
      </w:pPr>
      <w:rPr>
        <w:rFonts w:ascii="Calibri" w:hAnsi="Calibri" w:cs="Calibri" w:hint="default"/>
        <w:b w:val="0"/>
        <w:i w:val="0"/>
        <w:color w:val="auto"/>
        <w:sz w:val="22"/>
        <w:szCs w:val="22"/>
      </w:rPr>
    </w:lvl>
    <w:lvl w:ilvl="1">
      <w:start w:val="1"/>
      <w:numFmt w:val="lowerLetter"/>
      <w:lvlText w:val="%2."/>
      <w:lvlJc w:val="left"/>
      <w:pPr>
        <w:tabs>
          <w:tab w:val="num" w:pos="1440"/>
        </w:tabs>
        <w:ind w:left="1440" w:hanging="360"/>
      </w:pPr>
      <w:rPr>
        <w:rFonts w:hint="default"/>
        <w:b/>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 w15:restartNumberingAfterBreak="0">
    <w:nsid w:val="0AA937C0"/>
    <w:multiLevelType w:val="hybridMultilevel"/>
    <w:tmpl w:val="6B0C318C"/>
    <w:lvl w:ilvl="0" w:tplc="1409000F">
      <w:start w:val="1"/>
      <w:numFmt w:val="decimal"/>
      <w:lvlText w:val="%1."/>
      <w:lvlJc w:val="left"/>
      <w:pPr>
        <w:ind w:left="720" w:hanging="360"/>
      </w:pPr>
    </w:lvl>
    <w:lvl w:ilvl="1" w:tplc="32CAB862">
      <w:start w:val="1"/>
      <w:numFmt w:val="lowerLetter"/>
      <w:pStyle w:val="Boxa"/>
      <w:lvlText w:val="%2."/>
      <w:lvlJc w:val="left"/>
      <w:pPr>
        <w:ind w:left="1440" w:hanging="360"/>
      </w:pPr>
    </w:lvl>
    <w:lvl w:ilvl="2" w:tplc="1409001B">
      <w:start w:val="1"/>
      <w:numFmt w:val="decimal"/>
      <w:lvlText w:val="%3."/>
      <w:lvlJc w:val="left"/>
      <w:pPr>
        <w:tabs>
          <w:tab w:val="num" w:pos="2160"/>
        </w:tabs>
        <w:ind w:left="2160" w:hanging="360"/>
      </w:pPr>
    </w:lvl>
    <w:lvl w:ilvl="3" w:tplc="1409000F">
      <w:start w:val="1"/>
      <w:numFmt w:val="decimal"/>
      <w:lvlText w:val="%4."/>
      <w:lvlJc w:val="left"/>
      <w:pPr>
        <w:tabs>
          <w:tab w:val="num" w:pos="2880"/>
        </w:tabs>
        <w:ind w:left="2880" w:hanging="360"/>
      </w:pPr>
    </w:lvl>
    <w:lvl w:ilvl="4" w:tplc="14090019">
      <w:start w:val="1"/>
      <w:numFmt w:val="decimal"/>
      <w:lvlText w:val="%5."/>
      <w:lvlJc w:val="left"/>
      <w:pPr>
        <w:tabs>
          <w:tab w:val="num" w:pos="3600"/>
        </w:tabs>
        <w:ind w:left="3600" w:hanging="360"/>
      </w:pPr>
    </w:lvl>
    <w:lvl w:ilvl="5" w:tplc="1409001B">
      <w:start w:val="1"/>
      <w:numFmt w:val="decimal"/>
      <w:lvlText w:val="%6."/>
      <w:lvlJc w:val="left"/>
      <w:pPr>
        <w:tabs>
          <w:tab w:val="num" w:pos="4320"/>
        </w:tabs>
        <w:ind w:left="4320" w:hanging="360"/>
      </w:pPr>
    </w:lvl>
    <w:lvl w:ilvl="6" w:tplc="1409000F">
      <w:start w:val="1"/>
      <w:numFmt w:val="decimal"/>
      <w:lvlText w:val="%7."/>
      <w:lvlJc w:val="left"/>
      <w:pPr>
        <w:tabs>
          <w:tab w:val="num" w:pos="5040"/>
        </w:tabs>
        <w:ind w:left="5040" w:hanging="360"/>
      </w:pPr>
    </w:lvl>
    <w:lvl w:ilvl="7" w:tplc="14090019">
      <w:start w:val="1"/>
      <w:numFmt w:val="decimal"/>
      <w:lvlText w:val="%8."/>
      <w:lvlJc w:val="left"/>
      <w:pPr>
        <w:tabs>
          <w:tab w:val="num" w:pos="5760"/>
        </w:tabs>
        <w:ind w:left="5760" w:hanging="360"/>
      </w:pPr>
    </w:lvl>
    <w:lvl w:ilvl="8" w:tplc="1409001B">
      <w:start w:val="1"/>
      <w:numFmt w:val="decimal"/>
      <w:lvlText w:val="%9."/>
      <w:lvlJc w:val="left"/>
      <w:pPr>
        <w:tabs>
          <w:tab w:val="num" w:pos="6480"/>
        </w:tabs>
        <w:ind w:left="6480" w:hanging="360"/>
      </w:pPr>
    </w:lvl>
  </w:abstractNum>
  <w:abstractNum w:abstractNumId="11" w15:restartNumberingAfterBreak="0">
    <w:nsid w:val="16305FAC"/>
    <w:multiLevelType w:val="multilevel"/>
    <w:tmpl w:val="5CD615F8"/>
    <w:styleLink w:val="Annex"/>
    <w:lvl w:ilvl="0">
      <w:start w:val="4"/>
      <w:numFmt w:val="decimal"/>
      <w:lvlText w:val="A%1"/>
      <w:lvlJc w:val="left"/>
      <w:pPr>
        <w:ind w:left="0" w:firstLine="0"/>
      </w:pPr>
      <w:rPr>
        <w:rFonts w:hint="default"/>
      </w:rPr>
    </w:lvl>
    <w:lvl w:ilvl="1">
      <w:start w:val="1"/>
      <w:numFmt w:val="decimal"/>
      <w:lvlText w:val="A%1.%2"/>
      <w:lvlJc w:val="left"/>
      <w:pPr>
        <w:ind w:left="0" w:firstLine="0"/>
      </w:pPr>
      <w:rPr>
        <w:rFonts w:hint="default"/>
      </w:rPr>
    </w:lvl>
    <w:lvl w:ilvl="2">
      <w:start w:val="1"/>
      <w:numFmt w:val="decimal"/>
      <w:lvlText w:val="A%1.%2.%3"/>
      <w:lvlJc w:val="left"/>
      <w:pPr>
        <w:ind w:left="0" w:firstLine="0"/>
      </w:pPr>
      <w:rPr>
        <w:rFonts w:hint="default"/>
      </w:rPr>
    </w:lvl>
    <w:lvl w:ilvl="3">
      <w:start w:val="1"/>
      <w:numFmt w:val="decimal"/>
      <w:lvlText w:val="A%1.%2.%3.%4"/>
      <w:lvlJc w:val="left"/>
      <w:pPr>
        <w:ind w:left="0" w:firstLine="0"/>
      </w:pPr>
      <w:rPr>
        <w:rFonts w:hint="default"/>
      </w:rPr>
    </w:lvl>
    <w:lvl w:ilvl="4">
      <w:start w:val="1"/>
      <w:numFmt w:val="decimal"/>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2" w15:restartNumberingAfterBreak="0">
    <w:nsid w:val="204F1D2E"/>
    <w:multiLevelType w:val="multilevel"/>
    <w:tmpl w:val="7CB0E0AA"/>
    <w:lvl w:ilvl="0">
      <w:start w:val="1"/>
      <w:numFmt w:val="bullet"/>
      <w:pStyle w:val="Boxsub-bullet"/>
      <w:lvlText w:val="‒"/>
      <w:lvlJc w:val="left"/>
      <w:pPr>
        <w:ind w:left="1077" w:hanging="397"/>
      </w:p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13" w15:restartNumberingAfterBreak="0">
    <w:nsid w:val="208C5CF5"/>
    <w:multiLevelType w:val="multilevel"/>
    <w:tmpl w:val="A07E8244"/>
    <w:lvl w:ilvl="0">
      <w:start w:val="1"/>
      <w:numFmt w:val="lowerLetter"/>
      <w:pStyle w:val="Sub-lista"/>
      <w:lvlText w:val="%1)"/>
      <w:lvlJc w:val="left"/>
      <w:pPr>
        <w:tabs>
          <w:tab w:val="num" w:pos="794"/>
        </w:tabs>
        <w:ind w:left="397" w:hanging="397"/>
      </w:pPr>
      <w:rPr>
        <w:rFonts w:ascii="Calibri" w:hAnsi="Calibri" w:cs="Calibri" w:hint="default"/>
        <w:b w:val="0"/>
        <w:i w:val="0"/>
        <w:sz w:val="22"/>
        <w:szCs w:val="22"/>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 w15:restartNumberingAfterBreak="0">
    <w:nsid w:val="2152700F"/>
    <w:multiLevelType w:val="hybridMultilevel"/>
    <w:tmpl w:val="A9302530"/>
    <w:lvl w:ilvl="0" w:tplc="17F6C056">
      <w:start w:val="1"/>
      <w:numFmt w:val="bullet"/>
      <w:pStyle w:val="Informationboxbullet"/>
      <w:lvlText w:val=""/>
      <w:lvlJc w:val="left"/>
      <w:pPr>
        <w:ind w:left="1004" w:hanging="360"/>
      </w:pPr>
      <w:rPr>
        <w:rFonts w:ascii="Symbol" w:hAnsi="Symbol" w:hint="default"/>
        <w:sz w:val="18"/>
        <w:szCs w:val="18"/>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15" w15:restartNumberingAfterBreak="0">
    <w:nsid w:val="27BD2E58"/>
    <w:multiLevelType w:val="multilevel"/>
    <w:tmpl w:val="B0DC6D48"/>
    <w:lvl w:ilvl="0">
      <w:start w:val="1"/>
      <w:numFmt w:val="bullet"/>
      <w:lvlText w:val=""/>
      <w:lvlJc w:val="left"/>
      <w:pPr>
        <w:ind w:left="397" w:hanging="397"/>
      </w:pPr>
      <w:rPr>
        <w:rFonts w:ascii="Symbol" w:hAnsi="Symbol" w:hint="default"/>
        <w:sz w:val="20"/>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B8B2D74"/>
    <w:multiLevelType w:val="hybridMultilevel"/>
    <w:tmpl w:val="EF1C9466"/>
    <w:lvl w:ilvl="0" w:tplc="6D362E22">
      <w:start w:val="1"/>
      <w:numFmt w:val="bullet"/>
      <w:pStyle w:val="TableBullet"/>
      <w:lvlText w:val=""/>
      <w:lvlJc w:val="left"/>
      <w:pPr>
        <w:tabs>
          <w:tab w:val="num" w:pos="284"/>
        </w:tabs>
        <w:ind w:left="284" w:hanging="284"/>
      </w:pPr>
      <w:rPr>
        <w:rFonts w:ascii="Symbol" w:hAnsi="Symbol" w:hint="default"/>
        <w:sz w:val="16"/>
        <w:szCs w:val="16"/>
      </w:rPr>
    </w:lvl>
    <w:lvl w:ilvl="1" w:tplc="14090003" w:tentative="1">
      <w:start w:val="1"/>
      <w:numFmt w:val="bullet"/>
      <w:lvlText w:val="o"/>
      <w:lvlJc w:val="left"/>
      <w:pPr>
        <w:tabs>
          <w:tab w:val="num" w:pos="1440"/>
        </w:tabs>
        <w:ind w:left="1440" w:hanging="360"/>
      </w:pPr>
      <w:rPr>
        <w:rFonts w:ascii="Courier New" w:hAnsi="Courier New" w:cs="Courier New"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B934134"/>
    <w:multiLevelType w:val="hybridMultilevel"/>
    <w:tmpl w:val="67F24C4E"/>
    <w:lvl w:ilvl="0" w:tplc="DC66E45C">
      <w:start w:val="1"/>
      <w:numFmt w:val="bullet"/>
      <w:pStyle w:val="Keypointsub-bullet"/>
      <w:lvlText w:val="‒"/>
      <w:lvlJc w:val="left"/>
      <w:pPr>
        <w:ind w:left="1400" w:hanging="360"/>
      </w:pPr>
      <w:rPr>
        <w:rFonts w:ascii="Calibri" w:hAnsi="Calibri" w:cs="Times New Roman" w:hint="default"/>
        <w:b w:val="0"/>
        <w:i w:val="0"/>
        <w:sz w:val="20"/>
      </w:rPr>
    </w:lvl>
    <w:lvl w:ilvl="1" w:tplc="14090003" w:tentative="1">
      <w:start w:val="1"/>
      <w:numFmt w:val="bullet"/>
      <w:lvlText w:val="o"/>
      <w:lvlJc w:val="left"/>
      <w:pPr>
        <w:ind w:left="2120" w:hanging="360"/>
      </w:pPr>
      <w:rPr>
        <w:rFonts w:ascii="Courier New" w:hAnsi="Courier New" w:cs="Courier New" w:hint="default"/>
      </w:rPr>
    </w:lvl>
    <w:lvl w:ilvl="2" w:tplc="14090005" w:tentative="1">
      <w:start w:val="1"/>
      <w:numFmt w:val="bullet"/>
      <w:lvlText w:val=""/>
      <w:lvlJc w:val="left"/>
      <w:pPr>
        <w:ind w:left="2840" w:hanging="360"/>
      </w:pPr>
      <w:rPr>
        <w:rFonts w:ascii="Wingdings" w:hAnsi="Wingdings" w:hint="default"/>
      </w:rPr>
    </w:lvl>
    <w:lvl w:ilvl="3" w:tplc="14090001" w:tentative="1">
      <w:start w:val="1"/>
      <w:numFmt w:val="bullet"/>
      <w:lvlText w:val=""/>
      <w:lvlJc w:val="left"/>
      <w:pPr>
        <w:ind w:left="3560" w:hanging="360"/>
      </w:pPr>
      <w:rPr>
        <w:rFonts w:ascii="Symbol" w:hAnsi="Symbol" w:hint="default"/>
      </w:rPr>
    </w:lvl>
    <w:lvl w:ilvl="4" w:tplc="14090003" w:tentative="1">
      <w:start w:val="1"/>
      <w:numFmt w:val="bullet"/>
      <w:lvlText w:val="o"/>
      <w:lvlJc w:val="left"/>
      <w:pPr>
        <w:ind w:left="4280" w:hanging="360"/>
      </w:pPr>
      <w:rPr>
        <w:rFonts w:ascii="Courier New" w:hAnsi="Courier New" w:cs="Courier New" w:hint="default"/>
      </w:rPr>
    </w:lvl>
    <w:lvl w:ilvl="5" w:tplc="14090005" w:tentative="1">
      <w:start w:val="1"/>
      <w:numFmt w:val="bullet"/>
      <w:lvlText w:val=""/>
      <w:lvlJc w:val="left"/>
      <w:pPr>
        <w:ind w:left="5000" w:hanging="360"/>
      </w:pPr>
      <w:rPr>
        <w:rFonts w:ascii="Wingdings" w:hAnsi="Wingdings" w:hint="default"/>
      </w:rPr>
    </w:lvl>
    <w:lvl w:ilvl="6" w:tplc="14090001" w:tentative="1">
      <w:start w:val="1"/>
      <w:numFmt w:val="bullet"/>
      <w:lvlText w:val=""/>
      <w:lvlJc w:val="left"/>
      <w:pPr>
        <w:ind w:left="5720" w:hanging="360"/>
      </w:pPr>
      <w:rPr>
        <w:rFonts w:ascii="Symbol" w:hAnsi="Symbol" w:hint="default"/>
      </w:rPr>
    </w:lvl>
    <w:lvl w:ilvl="7" w:tplc="14090003" w:tentative="1">
      <w:start w:val="1"/>
      <w:numFmt w:val="bullet"/>
      <w:lvlText w:val="o"/>
      <w:lvlJc w:val="left"/>
      <w:pPr>
        <w:ind w:left="6440" w:hanging="360"/>
      </w:pPr>
      <w:rPr>
        <w:rFonts w:ascii="Courier New" w:hAnsi="Courier New" w:cs="Courier New" w:hint="default"/>
      </w:rPr>
    </w:lvl>
    <w:lvl w:ilvl="8" w:tplc="14090005" w:tentative="1">
      <w:start w:val="1"/>
      <w:numFmt w:val="bullet"/>
      <w:lvlText w:val=""/>
      <w:lvlJc w:val="left"/>
      <w:pPr>
        <w:ind w:left="7160" w:hanging="360"/>
      </w:pPr>
      <w:rPr>
        <w:rFonts w:ascii="Wingdings" w:hAnsi="Wingdings" w:hint="default"/>
      </w:rPr>
    </w:lvl>
  </w:abstractNum>
  <w:abstractNum w:abstractNumId="18" w15:restartNumberingAfterBreak="0">
    <w:nsid w:val="40995EBC"/>
    <w:multiLevelType w:val="hybridMultilevel"/>
    <w:tmpl w:val="307EDE46"/>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9" w15:restartNumberingAfterBreak="0">
    <w:nsid w:val="427701FB"/>
    <w:multiLevelType w:val="hybridMultilevel"/>
    <w:tmpl w:val="87A07910"/>
    <w:lvl w:ilvl="0" w:tplc="FFFFFFFF">
      <w:start w:val="1"/>
      <w:numFmt w:val="bullet"/>
      <w:pStyle w:val="Sub-list"/>
      <w:lvlText w:val=""/>
      <w:lvlJc w:val="left"/>
      <w:pPr>
        <w:tabs>
          <w:tab w:val="num" w:pos="397"/>
        </w:tabs>
        <w:ind w:left="397" w:firstLine="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40B17DC"/>
    <w:multiLevelType w:val="hybridMultilevel"/>
    <w:tmpl w:val="230E4DE8"/>
    <w:lvl w:ilvl="0" w:tplc="4E5C9CCE">
      <w:start w:val="1"/>
      <w:numFmt w:val="bullet"/>
      <w:lvlText w:val=""/>
      <w:lvlJc w:val="left"/>
      <w:pPr>
        <w:tabs>
          <w:tab w:val="num" w:pos="284"/>
        </w:tabs>
        <w:ind w:left="284" w:hanging="284"/>
      </w:pPr>
      <w:rPr>
        <w:rFonts w:ascii="Symbol" w:hAnsi="Symbol" w:hint="default"/>
        <w:sz w:val="16"/>
        <w:szCs w:val="16"/>
      </w:rPr>
    </w:lvl>
    <w:lvl w:ilvl="1" w:tplc="14090003">
      <w:numFmt w:val="bullet"/>
      <w:lvlText w:val="-"/>
      <w:lvlJc w:val="left"/>
      <w:pPr>
        <w:ind w:left="1440" w:hanging="360"/>
      </w:pPr>
      <w:rPr>
        <w:rFonts w:ascii="Calibri" w:eastAsiaTheme="minorEastAsia" w:hAnsi="Calibri" w:cstheme="minorBidi" w:hint="default"/>
      </w:rPr>
    </w:lvl>
    <w:lvl w:ilvl="2" w:tplc="14090005">
      <w:start w:val="1"/>
      <w:numFmt w:val="bullet"/>
      <w:lvlText w:val=""/>
      <w:lvlJc w:val="left"/>
      <w:pPr>
        <w:tabs>
          <w:tab w:val="num" w:pos="2160"/>
        </w:tabs>
        <w:ind w:left="2160" w:hanging="360"/>
      </w:pPr>
      <w:rPr>
        <w:rFonts w:ascii="Wingdings" w:hAnsi="Wingdings" w:hint="default"/>
      </w:rPr>
    </w:lvl>
    <w:lvl w:ilvl="3" w:tplc="14090001">
      <w:start w:val="1"/>
      <w:numFmt w:val="bullet"/>
      <w:lvlText w:val=""/>
      <w:lvlJc w:val="left"/>
      <w:pPr>
        <w:tabs>
          <w:tab w:val="num" w:pos="2880"/>
        </w:tabs>
        <w:ind w:left="2880" w:hanging="360"/>
      </w:pPr>
      <w:rPr>
        <w:rFonts w:ascii="Symbol" w:hAnsi="Symbol" w:hint="default"/>
      </w:rPr>
    </w:lvl>
    <w:lvl w:ilvl="4" w:tplc="14090003">
      <w:start w:val="1"/>
      <w:numFmt w:val="bullet"/>
      <w:lvlText w:val="o"/>
      <w:lvlJc w:val="left"/>
      <w:pPr>
        <w:tabs>
          <w:tab w:val="num" w:pos="3600"/>
        </w:tabs>
        <w:ind w:left="3600" w:hanging="360"/>
      </w:pPr>
      <w:rPr>
        <w:rFonts w:ascii="Courier New" w:hAnsi="Courier New" w:cs="Courier New" w:hint="default"/>
      </w:rPr>
    </w:lvl>
    <w:lvl w:ilvl="5" w:tplc="14090005">
      <w:start w:val="1"/>
      <w:numFmt w:val="bullet"/>
      <w:lvlText w:val=""/>
      <w:lvlJc w:val="left"/>
      <w:pPr>
        <w:tabs>
          <w:tab w:val="num" w:pos="4320"/>
        </w:tabs>
        <w:ind w:left="4320" w:hanging="360"/>
      </w:pPr>
      <w:rPr>
        <w:rFonts w:ascii="Wingdings" w:hAnsi="Wingdings" w:hint="default"/>
      </w:rPr>
    </w:lvl>
    <w:lvl w:ilvl="6" w:tplc="14090001">
      <w:start w:val="1"/>
      <w:numFmt w:val="bullet"/>
      <w:lvlText w:val=""/>
      <w:lvlJc w:val="left"/>
      <w:pPr>
        <w:tabs>
          <w:tab w:val="num" w:pos="5040"/>
        </w:tabs>
        <w:ind w:left="5040" w:hanging="360"/>
      </w:pPr>
      <w:rPr>
        <w:rFonts w:ascii="Symbol" w:hAnsi="Symbol" w:hint="default"/>
      </w:rPr>
    </w:lvl>
    <w:lvl w:ilvl="7" w:tplc="14090003">
      <w:start w:val="1"/>
      <w:numFmt w:val="bullet"/>
      <w:lvlText w:val="o"/>
      <w:lvlJc w:val="left"/>
      <w:pPr>
        <w:tabs>
          <w:tab w:val="num" w:pos="5760"/>
        </w:tabs>
        <w:ind w:left="5760" w:hanging="360"/>
      </w:pPr>
      <w:rPr>
        <w:rFonts w:ascii="Courier New" w:hAnsi="Courier New" w:cs="Courier New" w:hint="default"/>
      </w:rPr>
    </w:lvl>
    <w:lvl w:ilvl="8" w:tplc="14090005">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5B15110"/>
    <w:multiLevelType w:val="multilevel"/>
    <w:tmpl w:val="D6480D1C"/>
    <w:lvl w:ilvl="0">
      <w:start w:val="1"/>
      <w:numFmt w:val="bullet"/>
      <w:pStyle w:val="Bullet"/>
      <w:lvlText w:val=""/>
      <w:lvlJc w:val="left"/>
      <w:pPr>
        <w:ind w:left="397" w:hanging="397"/>
      </w:pPr>
      <w:rPr>
        <w:rFonts w:ascii="Symbol" w:hAnsi="Symbol" w:hint="default"/>
        <w:b/>
        <w:bCs/>
        <w:sz w:val="18"/>
        <w:szCs w:val="18"/>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63D6104"/>
    <w:multiLevelType w:val="hybridMultilevel"/>
    <w:tmpl w:val="7698242C"/>
    <w:lvl w:ilvl="0" w:tplc="F710A272">
      <w:start w:val="1"/>
      <w:numFmt w:val="lowerRoman"/>
      <w:pStyle w:val="Sub-listi"/>
      <w:lvlText w:val="%1."/>
      <w:lvlJc w:val="left"/>
      <w:pPr>
        <w:tabs>
          <w:tab w:val="num" w:pos="1191"/>
        </w:tabs>
        <w:ind w:left="1191" w:hanging="397"/>
      </w:pPr>
      <w:rPr>
        <w:rFonts w:ascii="Calibri" w:hAnsi="Calibri" w:cs="Calibri" w:hint="default"/>
        <w:b w:val="0"/>
        <w:i w:val="0"/>
        <w:sz w:val="22"/>
        <w:szCs w:val="22"/>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3" w15:restartNumberingAfterBreak="0">
    <w:nsid w:val="53535234"/>
    <w:multiLevelType w:val="singleLevel"/>
    <w:tmpl w:val="7FC073B8"/>
    <w:lvl w:ilvl="0">
      <w:start w:val="1"/>
      <w:numFmt w:val="bullet"/>
      <w:pStyle w:val="BoxBullet"/>
      <w:lvlText w:val=""/>
      <w:lvlJc w:val="left"/>
      <w:pPr>
        <w:tabs>
          <w:tab w:val="num" w:pos="851"/>
        </w:tabs>
        <w:ind w:left="851" w:hanging="567"/>
      </w:pPr>
      <w:rPr>
        <w:rFonts w:ascii="Symbol" w:hAnsi="Symbol" w:hint="default"/>
        <w:sz w:val="16"/>
      </w:rPr>
    </w:lvl>
  </w:abstractNum>
  <w:abstractNum w:abstractNumId="24" w15:restartNumberingAfterBreak="0">
    <w:nsid w:val="569A0D6A"/>
    <w:multiLevelType w:val="hybridMultilevel"/>
    <w:tmpl w:val="F33839CE"/>
    <w:lvl w:ilvl="0" w:tplc="A6FC95F2">
      <w:start w:val="1"/>
      <w:numFmt w:val="bullet"/>
      <w:lvlText w:val=""/>
      <w:lvlJc w:val="left"/>
      <w:pPr>
        <w:tabs>
          <w:tab w:val="num" w:pos="397"/>
        </w:tabs>
        <w:ind w:left="397" w:hanging="397"/>
      </w:pPr>
      <w:rPr>
        <w:rFonts w:ascii="Symbol" w:hAnsi="Symbol" w:cs="Symbol" w:hint="default"/>
        <w:sz w:val="20"/>
        <w:szCs w:val="2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75811DDE"/>
    <w:multiLevelType w:val="hybridMultilevel"/>
    <w:tmpl w:val="5784BADA"/>
    <w:lvl w:ilvl="0" w:tplc="14090001">
      <w:start w:val="1"/>
      <w:numFmt w:val="bullet"/>
      <w:pStyle w:val="TableDash"/>
      <w:lvlText w:val=""/>
      <w:lvlJc w:val="left"/>
      <w:pPr>
        <w:tabs>
          <w:tab w:val="num" w:pos="567"/>
        </w:tabs>
        <w:ind w:left="567" w:hanging="283"/>
      </w:pPr>
      <w:rPr>
        <w:rFonts w:ascii="Symbol" w:hAnsi="Symbol" w:hint="default"/>
        <w:color w:val="auto"/>
        <w:sz w:val="16"/>
        <w:szCs w:val="16"/>
      </w:rPr>
    </w:lvl>
    <w:lvl w:ilvl="1" w:tplc="14090003">
      <w:start w:val="1"/>
      <w:numFmt w:val="bullet"/>
      <w:lvlText w:val="o"/>
      <w:lvlJc w:val="left"/>
      <w:pPr>
        <w:tabs>
          <w:tab w:val="num" w:pos="1440"/>
        </w:tabs>
        <w:ind w:left="1440" w:hanging="360"/>
      </w:pPr>
      <w:rPr>
        <w:rFonts w:ascii="Courier New" w:hAnsi="Courier New" w:cs="Courier New"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759D56AB"/>
    <w:multiLevelType w:val="multilevel"/>
    <w:tmpl w:val="3F54EFCC"/>
    <w:lvl w:ilvl="0">
      <w:start w:val="1"/>
      <w:numFmt w:val="bullet"/>
      <w:pStyle w:val="Keypointsbullet"/>
      <w:lvlText w:val=""/>
      <w:lvlJc w:val="left"/>
      <w:pPr>
        <w:ind w:left="680" w:hanging="396"/>
      </w:pPr>
      <w:rPr>
        <w:rFonts w:ascii="Symbol" w:hAnsi="Symbol" w:hint="default"/>
        <w:sz w:val="16"/>
        <w:szCs w:val="16"/>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7" w15:restartNumberingAfterBreak="0">
    <w:nsid w:val="75FE74C4"/>
    <w:multiLevelType w:val="multilevel"/>
    <w:tmpl w:val="219A7D10"/>
    <w:lvl w:ilvl="0">
      <w:start w:val="1"/>
      <w:numFmt w:val="bullet"/>
      <w:pStyle w:val="Sub-bullet"/>
      <w:lvlText w:val=""/>
      <w:lvlJc w:val="left"/>
      <w:pPr>
        <w:ind w:left="794" w:hanging="397"/>
      </w:pPr>
      <w:rPr>
        <w:rFonts w:ascii="Symbol" w:hAnsi="Symbol" w:hint="default"/>
      </w:rPr>
    </w:lvl>
    <w:lvl w:ilvl="1">
      <w:start w:val="1"/>
      <w:numFmt w:val="bullet"/>
      <w:lvlText w:val="o"/>
      <w:lvlJc w:val="left"/>
      <w:pPr>
        <w:ind w:left="1647" w:hanging="360"/>
      </w:pPr>
      <w:rPr>
        <w:rFonts w:ascii="Courier New" w:hAnsi="Courier New" w:cs="Courier New" w:hint="default"/>
      </w:rPr>
    </w:lvl>
    <w:lvl w:ilvl="2">
      <w:start w:val="1"/>
      <w:numFmt w:val="bullet"/>
      <w:lvlText w:val=""/>
      <w:lvlJc w:val="left"/>
      <w:pPr>
        <w:ind w:left="2367" w:hanging="360"/>
      </w:pPr>
      <w:rPr>
        <w:rFonts w:ascii="Wingdings" w:hAnsi="Wingdings" w:hint="default"/>
      </w:rPr>
    </w:lvl>
    <w:lvl w:ilvl="3">
      <w:start w:val="1"/>
      <w:numFmt w:val="bullet"/>
      <w:lvlText w:val=""/>
      <w:lvlJc w:val="left"/>
      <w:pPr>
        <w:ind w:left="3087" w:hanging="360"/>
      </w:pPr>
      <w:rPr>
        <w:rFonts w:ascii="Symbol" w:hAnsi="Symbol" w:hint="default"/>
      </w:rPr>
    </w:lvl>
    <w:lvl w:ilvl="4">
      <w:start w:val="1"/>
      <w:numFmt w:val="bullet"/>
      <w:lvlText w:val="o"/>
      <w:lvlJc w:val="left"/>
      <w:pPr>
        <w:ind w:left="3807" w:hanging="360"/>
      </w:pPr>
      <w:rPr>
        <w:rFonts w:ascii="Courier New" w:hAnsi="Courier New" w:cs="Courier New" w:hint="default"/>
      </w:rPr>
    </w:lvl>
    <w:lvl w:ilvl="5">
      <w:start w:val="1"/>
      <w:numFmt w:val="bullet"/>
      <w:lvlText w:val=""/>
      <w:lvlJc w:val="left"/>
      <w:pPr>
        <w:ind w:left="4527" w:hanging="360"/>
      </w:pPr>
      <w:rPr>
        <w:rFonts w:ascii="Wingdings" w:hAnsi="Wingdings" w:hint="default"/>
      </w:rPr>
    </w:lvl>
    <w:lvl w:ilvl="6">
      <w:start w:val="1"/>
      <w:numFmt w:val="bullet"/>
      <w:lvlText w:val=""/>
      <w:lvlJc w:val="left"/>
      <w:pPr>
        <w:ind w:left="5247" w:hanging="360"/>
      </w:pPr>
      <w:rPr>
        <w:rFonts w:ascii="Symbol" w:hAnsi="Symbol" w:hint="default"/>
      </w:rPr>
    </w:lvl>
    <w:lvl w:ilvl="7">
      <w:start w:val="1"/>
      <w:numFmt w:val="bullet"/>
      <w:lvlText w:val="o"/>
      <w:lvlJc w:val="left"/>
      <w:pPr>
        <w:ind w:left="5967" w:hanging="360"/>
      </w:pPr>
      <w:rPr>
        <w:rFonts w:ascii="Courier New" w:hAnsi="Courier New" w:cs="Courier New" w:hint="default"/>
      </w:rPr>
    </w:lvl>
    <w:lvl w:ilvl="8">
      <w:start w:val="1"/>
      <w:numFmt w:val="bullet"/>
      <w:lvlText w:val=""/>
      <w:lvlJc w:val="left"/>
      <w:pPr>
        <w:ind w:left="6687" w:hanging="360"/>
      </w:pPr>
      <w:rPr>
        <w:rFonts w:ascii="Wingdings" w:hAnsi="Wingdings" w:hint="default"/>
      </w:rPr>
    </w:lvl>
  </w:abstractNum>
  <w:abstractNum w:abstractNumId="28" w15:restartNumberingAfterBreak="0">
    <w:nsid w:val="7E4D254A"/>
    <w:multiLevelType w:val="singleLevel"/>
    <w:tmpl w:val="59B61C52"/>
    <w:lvl w:ilvl="0">
      <w:start w:val="1"/>
      <w:numFmt w:val="bullet"/>
      <w:pStyle w:val="Bulletindent"/>
      <w:lvlText w:val=""/>
      <w:lvlJc w:val="left"/>
      <w:pPr>
        <w:tabs>
          <w:tab w:val="num" w:pos="567"/>
        </w:tabs>
        <w:ind w:left="567" w:hanging="567"/>
      </w:pPr>
      <w:rPr>
        <w:rFonts w:ascii="Symbol" w:hAnsi="Symbol" w:hint="default"/>
        <w:sz w:val="20"/>
      </w:rPr>
    </w:lvl>
  </w:abstractNum>
  <w:num w:numId="1" w16cid:durableId="1569415069">
    <w:abstractNumId w:val="23"/>
  </w:num>
  <w:num w:numId="2" w16cid:durableId="1719546779">
    <w:abstractNumId w:val="28"/>
  </w:num>
  <w:num w:numId="3" w16cid:durableId="187716939">
    <w:abstractNumId w:val="16"/>
  </w:num>
  <w:num w:numId="4" w16cid:durableId="718165160">
    <w:abstractNumId w:val="21"/>
  </w:num>
  <w:num w:numId="5" w16cid:durableId="1978681129">
    <w:abstractNumId w:val="27"/>
  </w:num>
  <w:num w:numId="6" w16cid:durableId="1351374546">
    <w:abstractNumId w:val="6"/>
  </w:num>
  <w:num w:numId="7" w16cid:durableId="647561907">
    <w:abstractNumId w:val="5"/>
  </w:num>
  <w:num w:numId="8" w16cid:durableId="2079209326">
    <w:abstractNumId w:val="4"/>
  </w:num>
  <w:num w:numId="9" w16cid:durableId="505364909">
    <w:abstractNumId w:val="3"/>
  </w:num>
  <w:num w:numId="10" w16cid:durableId="197545637">
    <w:abstractNumId w:val="2"/>
  </w:num>
  <w:num w:numId="11" w16cid:durableId="1566379223">
    <w:abstractNumId w:val="8"/>
  </w:num>
  <w:num w:numId="12" w16cid:durableId="1048412069">
    <w:abstractNumId w:val="9"/>
  </w:num>
  <w:num w:numId="13" w16cid:durableId="1072047681">
    <w:abstractNumId w:val="13"/>
  </w:num>
  <w:num w:numId="14" w16cid:durableId="986668735">
    <w:abstractNumId w:val="19"/>
  </w:num>
  <w:num w:numId="15" w16cid:durableId="559098980">
    <w:abstractNumId w:val="22"/>
  </w:num>
  <w:num w:numId="16" w16cid:durableId="734398456">
    <w:abstractNumId w:val="25"/>
  </w:num>
  <w:num w:numId="17" w16cid:durableId="1180506479">
    <w:abstractNumId w:val="1"/>
  </w:num>
  <w:num w:numId="18" w16cid:durableId="269287683">
    <w:abstractNumId w:val="0"/>
  </w:num>
  <w:num w:numId="19" w16cid:durableId="1536428399">
    <w:abstractNumId w:val="11"/>
  </w:num>
  <w:num w:numId="20" w16cid:durableId="1446923759">
    <w:abstractNumId w:val="17"/>
  </w:num>
  <w:num w:numId="21" w16cid:durableId="179956702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901670193">
    <w:abstractNumId w:val="26"/>
  </w:num>
  <w:num w:numId="23" w16cid:durableId="645202008">
    <w:abstractNumId w:val="12"/>
  </w:num>
  <w:num w:numId="24" w16cid:durableId="23135012">
    <w:abstractNumId w:val="24"/>
  </w:num>
  <w:num w:numId="25" w16cid:durableId="2003770694">
    <w:abstractNumId w:val="15"/>
  </w:num>
  <w:num w:numId="26" w16cid:durableId="107428010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592477433">
    <w:abstractNumId w:val="18"/>
  </w:num>
  <w:num w:numId="28" w16cid:durableId="172602526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684937953">
    <w:abstractNumId w:val="7"/>
  </w:num>
  <w:num w:numId="30" w16cid:durableId="1495948274">
    <w:abstractNumId w:val="14"/>
  </w:num>
  <w:num w:numId="31" w16cid:durableId="138726632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2081709241">
    <w:abstractNumId w:val="22"/>
    <w:lvlOverride w:ilvl="0">
      <w:startOverride w:val="1"/>
    </w:lvlOverride>
  </w:num>
  <w:num w:numId="33" w16cid:durableId="1910310215">
    <w:abstractNumId w:val="20"/>
  </w:num>
  <w:num w:numId="34" w16cid:durableId="113888593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removePersonalInformation/>
  <w:removeDateAndTime/>
  <w:activeWritingStyle w:appName="MSWord" w:lang="en-NZ" w:vendorID="64" w:dllVersion="0" w:nlCheck="1" w:checkStyle="0"/>
  <w:stylePaneFormatFilter w:val="5804" w:allStyles="0" w:customStyles="0" w:latentStyles="1" w:stylesInUse="0" w:headingStyles="0" w:numberingStyles="0" w:tableStyles="0" w:directFormattingOnRuns="0" w:directFormattingOnParagraphs="0" w:directFormattingOnNumbering="0" w:directFormattingOnTables="1" w:clearFormatting="1" w:top3HeadingStyles="0" w:visibleStyles="1" w:alternateStyleNames="0"/>
  <w:defaultTabStop w:val="397"/>
  <w:evenAndOddHeaders/>
  <w:drawingGridHorizontalSpacing w:val="187"/>
  <w:displayVerticalDrawingGridEvery w:val="2"/>
  <w:noPunctuationKerning/>
  <w:characterSpacingControl w:val="doNotCompress"/>
  <w:hdrShapeDefaults>
    <o:shapedefaults v:ext="edit" spidmax="2053"/>
  </w:hdrShapeDefaults>
  <w:footnotePr>
    <w:footnote w:id="-1"/>
    <w:footnote w:id="0"/>
    <w:footnote w:id="1"/>
  </w:footnotePr>
  <w:endnotePr>
    <w:endnote w:id="-1"/>
    <w:endnote w:id="0"/>
    <w:endnote w:id="1"/>
  </w:endnotePr>
  <w:compat>
    <w:suppressBottomSpacing/>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2015"/>
    <w:rsid w:val="000011F9"/>
    <w:rsid w:val="00001716"/>
    <w:rsid w:val="00002ACF"/>
    <w:rsid w:val="00005A32"/>
    <w:rsid w:val="00006F41"/>
    <w:rsid w:val="00007ABB"/>
    <w:rsid w:val="00011228"/>
    <w:rsid w:val="000179F3"/>
    <w:rsid w:val="00021ACF"/>
    <w:rsid w:val="00026000"/>
    <w:rsid w:val="00027E55"/>
    <w:rsid w:val="0003060D"/>
    <w:rsid w:val="0003206D"/>
    <w:rsid w:val="00032A28"/>
    <w:rsid w:val="000348EA"/>
    <w:rsid w:val="00035185"/>
    <w:rsid w:val="0003612E"/>
    <w:rsid w:val="000366CA"/>
    <w:rsid w:val="000434DD"/>
    <w:rsid w:val="00043F61"/>
    <w:rsid w:val="000468B4"/>
    <w:rsid w:val="00050008"/>
    <w:rsid w:val="00053418"/>
    <w:rsid w:val="00054325"/>
    <w:rsid w:val="0005698D"/>
    <w:rsid w:val="000576EC"/>
    <w:rsid w:val="00060BD6"/>
    <w:rsid w:val="000631DF"/>
    <w:rsid w:val="00063847"/>
    <w:rsid w:val="00064A61"/>
    <w:rsid w:val="00073990"/>
    <w:rsid w:val="00077284"/>
    <w:rsid w:val="00081DEE"/>
    <w:rsid w:val="0008598D"/>
    <w:rsid w:val="000874F7"/>
    <w:rsid w:val="000906CF"/>
    <w:rsid w:val="00094891"/>
    <w:rsid w:val="000959CB"/>
    <w:rsid w:val="00096D3F"/>
    <w:rsid w:val="000A0EE1"/>
    <w:rsid w:val="000A2B85"/>
    <w:rsid w:val="000A74E0"/>
    <w:rsid w:val="000B197D"/>
    <w:rsid w:val="000B2E7F"/>
    <w:rsid w:val="000B5A02"/>
    <w:rsid w:val="000B7215"/>
    <w:rsid w:val="000B7CBD"/>
    <w:rsid w:val="000C20A6"/>
    <w:rsid w:val="000C319F"/>
    <w:rsid w:val="000C57A2"/>
    <w:rsid w:val="000D0C33"/>
    <w:rsid w:val="000D1760"/>
    <w:rsid w:val="000D5262"/>
    <w:rsid w:val="000D5C05"/>
    <w:rsid w:val="000E3614"/>
    <w:rsid w:val="000E3EA5"/>
    <w:rsid w:val="000E4B57"/>
    <w:rsid w:val="000F3007"/>
    <w:rsid w:val="000F42B0"/>
    <w:rsid w:val="000F4AF8"/>
    <w:rsid w:val="000F4DEF"/>
    <w:rsid w:val="000F503A"/>
    <w:rsid w:val="000F6170"/>
    <w:rsid w:val="000F635C"/>
    <w:rsid w:val="00106A17"/>
    <w:rsid w:val="001078BC"/>
    <w:rsid w:val="00112B66"/>
    <w:rsid w:val="00112F75"/>
    <w:rsid w:val="00113114"/>
    <w:rsid w:val="00116008"/>
    <w:rsid w:val="001168AF"/>
    <w:rsid w:val="00116E1B"/>
    <w:rsid w:val="00116F12"/>
    <w:rsid w:val="0011748D"/>
    <w:rsid w:val="001221C3"/>
    <w:rsid w:val="00126E65"/>
    <w:rsid w:val="00127302"/>
    <w:rsid w:val="001331A9"/>
    <w:rsid w:val="0013321C"/>
    <w:rsid w:val="0013524C"/>
    <w:rsid w:val="001365A7"/>
    <w:rsid w:val="001413D0"/>
    <w:rsid w:val="00141604"/>
    <w:rsid w:val="00142681"/>
    <w:rsid w:val="00142C5F"/>
    <w:rsid w:val="001433D8"/>
    <w:rsid w:val="00144A70"/>
    <w:rsid w:val="00147A44"/>
    <w:rsid w:val="00152E1E"/>
    <w:rsid w:val="00153F5A"/>
    <w:rsid w:val="00154D9C"/>
    <w:rsid w:val="001608E9"/>
    <w:rsid w:val="00160B55"/>
    <w:rsid w:val="00162AA2"/>
    <w:rsid w:val="00163BA4"/>
    <w:rsid w:val="00167528"/>
    <w:rsid w:val="00167925"/>
    <w:rsid w:val="0017620E"/>
    <w:rsid w:val="0017657D"/>
    <w:rsid w:val="00176AF4"/>
    <w:rsid w:val="00181696"/>
    <w:rsid w:val="001818DF"/>
    <w:rsid w:val="00185A24"/>
    <w:rsid w:val="001866EE"/>
    <w:rsid w:val="00186AD2"/>
    <w:rsid w:val="001904CB"/>
    <w:rsid w:val="00194140"/>
    <w:rsid w:val="001945CB"/>
    <w:rsid w:val="00194A09"/>
    <w:rsid w:val="00195B47"/>
    <w:rsid w:val="00196F1B"/>
    <w:rsid w:val="001970E1"/>
    <w:rsid w:val="001A1903"/>
    <w:rsid w:val="001A1997"/>
    <w:rsid w:val="001A5322"/>
    <w:rsid w:val="001B13DE"/>
    <w:rsid w:val="001B4972"/>
    <w:rsid w:val="001B6FD2"/>
    <w:rsid w:val="001C015D"/>
    <w:rsid w:val="001C0F42"/>
    <w:rsid w:val="001C11E3"/>
    <w:rsid w:val="001C2601"/>
    <w:rsid w:val="001C3E6B"/>
    <w:rsid w:val="001C4445"/>
    <w:rsid w:val="001C73E0"/>
    <w:rsid w:val="001D1FF9"/>
    <w:rsid w:val="001D3E5F"/>
    <w:rsid w:val="001D41E1"/>
    <w:rsid w:val="001D7776"/>
    <w:rsid w:val="001E2FAD"/>
    <w:rsid w:val="001E47A3"/>
    <w:rsid w:val="001E4E65"/>
    <w:rsid w:val="001E4FC6"/>
    <w:rsid w:val="001E70D3"/>
    <w:rsid w:val="001E7F25"/>
    <w:rsid w:val="001F24CC"/>
    <w:rsid w:val="001F2560"/>
    <w:rsid w:val="001F2F49"/>
    <w:rsid w:val="001F4892"/>
    <w:rsid w:val="001F48D9"/>
    <w:rsid w:val="001F77B4"/>
    <w:rsid w:val="0020073F"/>
    <w:rsid w:val="002037F5"/>
    <w:rsid w:val="00204B8F"/>
    <w:rsid w:val="00204D2F"/>
    <w:rsid w:val="00206328"/>
    <w:rsid w:val="002065B1"/>
    <w:rsid w:val="00207728"/>
    <w:rsid w:val="00207ABF"/>
    <w:rsid w:val="002124BD"/>
    <w:rsid w:val="002144D2"/>
    <w:rsid w:val="002159B8"/>
    <w:rsid w:val="00217603"/>
    <w:rsid w:val="002176E7"/>
    <w:rsid w:val="002222AE"/>
    <w:rsid w:val="00223334"/>
    <w:rsid w:val="002233B1"/>
    <w:rsid w:val="0022545C"/>
    <w:rsid w:val="002256B1"/>
    <w:rsid w:val="00226D56"/>
    <w:rsid w:val="00227B34"/>
    <w:rsid w:val="00230D16"/>
    <w:rsid w:val="002341D7"/>
    <w:rsid w:val="00234777"/>
    <w:rsid w:val="00240523"/>
    <w:rsid w:val="00240B42"/>
    <w:rsid w:val="00241B08"/>
    <w:rsid w:val="00243E16"/>
    <w:rsid w:val="00245C00"/>
    <w:rsid w:val="002474E5"/>
    <w:rsid w:val="00247AD8"/>
    <w:rsid w:val="0025495B"/>
    <w:rsid w:val="002549D8"/>
    <w:rsid w:val="00254E5F"/>
    <w:rsid w:val="00255D7B"/>
    <w:rsid w:val="00256C9F"/>
    <w:rsid w:val="00256D20"/>
    <w:rsid w:val="00257FE6"/>
    <w:rsid w:val="0026089D"/>
    <w:rsid w:val="00260B48"/>
    <w:rsid w:val="00264A8F"/>
    <w:rsid w:val="00264EEA"/>
    <w:rsid w:val="00266706"/>
    <w:rsid w:val="002712B9"/>
    <w:rsid w:val="00271345"/>
    <w:rsid w:val="00275749"/>
    <w:rsid w:val="00275D38"/>
    <w:rsid w:val="00276842"/>
    <w:rsid w:val="00280610"/>
    <w:rsid w:val="0028581A"/>
    <w:rsid w:val="00285AA9"/>
    <w:rsid w:val="00285D4A"/>
    <w:rsid w:val="002868D3"/>
    <w:rsid w:val="002901AB"/>
    <w:rsid w:val="002908E0"/>
    <w:rsid w:val="00292132"/>
    <w:rsid w:val="00293D14"/>
    <w:rsid w:val="002947DE"/>
    <w:rsid w:val="00295B2A"/>
    <w:rsid w:val="002966B5"/>
    <w:rsid w:val="00296D90"/>
    <w:rsid w:val="002971AC"/>
    <w:rsid w:val="002A0819"/>
    <w:rsid w:val="002A12C5"/>
    <w:rsid w:val="002A1361"/>
    <w:rsid w:val="002A1939"/>
    <w:rsid w:val="002A222C"/>
    <w:rsid w:val="002A49D7"/>
    <w:rsid w:val="002B08C0"/>
    <w:rsid w:val="002B1C5A"/>
    <w:rsid w:val="002B3284"/>
    <w:rsid w:val="002B4A77"/>
    <w:rsid w:val="002B4AFC"/>
    <w:rsid w:val="002B7208"/>
    <w:rsid w:val="002C085E"/>
    <w:rsid w:val="002C7D9A"/>
    <w:rsid w:val="002D1C09"/>
    <w:rsid w:val="002D389E"/>
    <w:rsid w:val="002D45F2"/>
    <w:rsid w:val="002D60DB"/>
    <w:rsid w:val="002D6A54"/>
    <w:rsid w:val="002E6DE5"/>
    <w:rsid w:val="002E7B67"/>
    <w:rsid w:val="002E7D8B"/>
    <w:rsid w:val="002F134A"/>
    <w:rsid w:val="002F1BB0"/>
    <w:rsid w:val="002F3D2A"/>
    <w:rsid w:val="002F5820"/>
    <w:rsid w:val="002F66D0"/>
    <w:rsid w:val="00300C1B"/>
    <w:rsid w:val="0030160B"/>
    <w:rsid w:val="003021DF"/>
    <w:rsid w:val="0030253D"/>
    <w:rsid w:val="00302D84"/>
    <w:rsid w:val="00302DE5"/>
    <w:rsid w:val="0030459D"/>
    <w:rsid w:val="0030472F"/>
    <w:rsid w:val="003058B9"/>
    <w:rsid w:val="003116BC"/>
    <w:rsid w:val="00313E90"/>
    <w:rsid w:val="0031435A"/>
    <w:rsid w:val="00314B3B"/>
    <w:rsid w:val="00315505"/>
    <w:rsid w:val="00315760"/>
    <w:rsid w:val="003210B4"/>
    <w:rsid w:val="003231B1"/>
    <w:rsid w:val="0032349D"/>
    <w:rsid w:val="00324DFC"/>
    <w:rsid w:val="0032708F"/>
    <w:rsid w:val="00331D9D"/>
    <w:rsid w:val="003402C5"/>
    <w:rsid w:val="003403DE"/>
    <w:rsid w:val="003405C7"/>
    <w:rsid w:val="00340622"/>
    <w:rsid w:val="003420AA"/>
    <w:rsid w:val="00350D54"/>
    <w:rsid w:val="0035431C"/>
    <w:rsid w:val="00356160"/>
    <w:rsid w:val="00357284"/>
    <w:rsid w:val="0035798D"/>
    <w:rsid w:val="0036016B"/>
    <w:rsid w:val="0036392B"/>
    <w:rsid w:val="00363D10"/>
    <w:rsid w:val="00364169"/>
    <w:rsid w:val="00364812"/>
    <w:rsid w:val="00365205"/>
    <w:rsid w:val="00367178"/>
    <w:rsid w:val="0036746F"/>
    <w:rsid w:val="003709F7"/>
    <w:rsid w:val="003711BE"/>
    <w:rsid w:val="003723F0"/>
    <w:rsid w:val="00373663"/>
    <w:rsid w:val="00374342"/>
    <w:rsid w:val="00374637"/>
    <w:rsid w:val="0037590E"/>
    <w:rsid w:val="00377186"/>
    <w:rsid w:val="00377BB2"/>
    <w:rsid w:val="00383207"/>
    <w:rsid w:val="00385131"/>
    <w:rsid w:val="003859E1"/>
    <w:rsid w:val="00387498"/>
    <w:rsid w:val="003876D9"/>
    <w:rsid w:val="00387826"/>
    <w:rsid w:val="00387AE7"/>
    <w:rsid w:val="00387B6F"/>
    <w:rsid w:val="00387CF1"/>
    <w:rsid w:val="00387CF3"/>
    <w:rsid w:val="003951C4"/>
    <w:rsid w:val="00396F88"/>
    <w:rsid w:val="003972EF"/>
    <w:rsid w:val="00397D2B"/>
    <w:rsid w:val="003A12FB"/>
    <w:rsid w:val="003A1709"/>
    <w:rsid w:val="003A42BD"/>
    <w:rsid w:val="003A5006"/>
    <w:rsid w:val="003A52AD"/>
    <w:rsid w:val="003A64A5"/>
    <w:rsid w:val="003B3690"/>
    <w:rsid w:val="003B4A58"/>
    <w:rsid w:val="003B4C43"/>
    <w:rsid w:val="003B5141"/>
    <w:rsid w:val="003B5F5B"/>
    <w:rsid w:val="003B6CED"/>
    <w:rsid w:val="003B7A4F"/>
    <w:rsid w:val="003C2092"/>
    <w:rsid w:val="003C2615"/>
    <w:rsid w:val="003C686F"/>
    <w:rsid w:val="003D0318"/>
    <w:rsid w:val="003D5417"/>
    <w:rsid w:val="003D6A24"/>
    <w:rsid w:val="003E19A0"/>
    <w:rsid w:val="003E31F3"/>
    <w:rsid w:val="003E3AC5"/>
    <w:rsid w:val="003E65AA"/>
    <w:rsid w:val="003E7147"/>
    <w:rsid w:val="003F10FB"/>
    <w:rsid w:val="003F1B9F"/>
    <w:rsid w:val="003F5599"/>
    <w:rsid w:val="003F7586"/>
    <w:rsid w:val="004008DA"/>
    <w:rsid w:val="00400F92"/>
    <w:rsid w:val="00402665"/>
    <w:rsid w:val="00402C72"/>
    <w:rsid w:val="00402CE6"/>
    <w:rsid w:val="004044F1"/>
    <w:rsid w:val="00417017"/>
    <w:rsid w:val="004176C3"/>
    <w:rsid w:val="00422CFC"/>
    <w:rsid w:val="00423C96"/>
    <w:rsid w:val="004241BC"/>
    <w:rsid w:val="0042424B"/>
    <w:rsid w:val="00430D5D"/>
    <w:rsid w:val="004329D3"/>
    <w:rsid w:val="0043789E"/>
    <w:rsid w:val="00442C36"/>
    <w:rsid w:val="0044505E"/>
    <w:rsid w:val="00446D7A"/>
    <w:rsid w:val="00450510"/>
    <w:rsid w:val="00453B4A"/>
    <w:rsid w:val="004541BD"/>
    <w:rsid w:val="0045652C"/>
    <w:rsid w:val="0045735A"/>
    <w:rsid w:val="0046167F"/>
    <w:rsid w:val="00462205"/>
    <w:rsid w:val="00462497"/>
    <w:rsid w:val="0046323A"/>
    <w:rsid w:val="00463340"/>
    <w:rsid w:val="00465555"/>
    <w:rsid w:val="004655C5"/>
    <w:rsid w:val="004668D8"/>
    <w:rsid w:val="00466E0A"/>
    <w:rsid w:val="00471B91"/>
    <w:rsid w:val="00472445"/>
    <w:rsid w:val="004757AE"/>
    <w:rsid w:val="00477210"/>
    <w:rsid w:val="004805A3"/>
    <w:rsid w:val="00481448"/>
    <w:rsid w:val="00482537"/>
    <w:rsid w:val="0048270A"/>
    <w:rsid w:val="00490EB0"/>
    <w:rsid w:val="00490FA4"/>
    <w:rsid w:val="00494358"/>
    <w:rsid w:val="0049793F"/>
    <w:rsid w:val="004A067C"/>
    <w:rsid w:val="004A580A"/>
    <w:rsid w:val="004A5903"/>
    <w:rsid w:val="004A618E"/>
    <w:rsid w:val="004A6FEB"/>
    <w:rsid w:val="004A7BD6"/>
    <w:rsid w:val="004B0977"/>
    <w:rsid w:val="004B0E0E"/>
    <w:rsid w:val="004B1E9C"/>
    <w:rsid w:val="004B3E80"/>
    <w:rsid w:val="004B4616"/>
    <w:rsid w:val="004B4ECE"/>
    <w:rsid w:val="004B5802"/>
    <w:rsid w:val="004C0C49"/>
    <w:rsid w:val="004C1329"/>
    <w:rsid w:val="004C2DE0"/>
    <w:rsid w:val="004C2F4E"/>
    <w:rsid w:val="004D074D"/>
    <w:rsid w:val="004D2B95"/>
    <w:rsid w:val="004D6E70"/>
    <w:rsid w:val="004E19FA"/>
    <w:rsid w:val="004E4B2C"/>
    <w:rsid w:val="004E755A"/>
    <w:rsid w:val="004E7ED0"/>
    <w:rsid w:val="004F03B3"/>
    <w:rsid w:val="004F05BD"/>
    <w:rsid w:val="004F09BF"/>
    <w:rsid w:val="004F1572"/>
    <w:rsid w:val="004F2C3A"/>
    <w:rsid w:val="004F4C83"/>
    <w:rsid w:val="004F5386"/>
    <w:rsid w:val="004F7BCC"/>
    <w:rsid w:val="00500429"/>
    <w:rsid w:val="00501486"/>
    <w:rsid w:val="00504254"/>
    <w:rsid w:val="005067A0"/>
    <w:rsid w:val="0050694C"/>
    <w:rsid w:val="0051099B"/>
    <w:rsid w:val="00511285"/>
    <w:rsid w:val="00511297"/>
    <w:rsid w:val="005119E7"/>
    <w:rsid w:val="00513552"/>
    <w:rsid w:val="0051687D"/>
    <w:rsid w:val="00516A6C"/>
    <w:rsid w:val="00517734"/>
    <w:rsid w:val="005219A0"/>
    <w:rsid w:val="00523487"/>
    <w:rsid w:val="00524C41"/>
    <w:rsid w:val="00526270"/>
    <w:rsid w:val="00534210"/>
    <w:rsid w:val="00534BBC"/>
    <w:rsid w:val="005365EE"/>
    <w:rsid w:val="00540C2B"/>
    <w:rsid w:val="00542552"/>
    <w:rsid w:val="00543478"/>
    <w:rsid w:val="00544343"/>
    <w:rsid w:val="00545600"/>
    <w:rsid w:val="00546A6A"/>
    <w:rsid w:val="00546F7F"/>
    <w:rsid w:val="00550502"/>
    <w:rsid w:val="00552F73"/>
    <w:rsid w:val="00553232"/>
    <w:rsid w:val="00554A58"/>
    <w:rsid w:val="00560019"/>
    <w:rsid w:val="005630B0"/>
    <w:rsid w:val="005660CD"/>
    <w:rsid w:val="0056746F"/>
    <w:rsid w:val="00567A2B"/>
    <w:rsid w:val="00567F40"/>
    <w:rsid w:val="0057034D"/>
    <w:rsid w:val="00570EBD"/>
    <w:rsid w:val="005720F2"/>
    <w:rsid w:val="00573E06"/>
    <w:rsid w:val="00576F29"/>
    <w:rsid w:val="00577145"/>
    <w:rsid w:val="00584D1A"/>
    <w:rsid w:val="00586346"/>
    <w:rsid w:val="00596603"/>
    <w:rsid w:val="005A2EDB"/>
    <w:rsid w:val="005A5ABE"/>
    <w:rsid w:val="005A6E9D"/>
    <w:rsid w:val="005B138E"/>
    <w:rsid w:val="005B2F4D"/>
    <w:rsid w:val="005B4380"/>
    <w:rsid w:val="005B4EAF"/>
    <w:rsid w:val="005B754B"/>
    <w:rsid w:val="005B76A4"/>
    <w:rsid w:val="005C3384"/>
    <w:rsid w:val="005C3808"/>
    <w:rsid w:val="005C3960"/>
    <w:rsid w:val="005C416E"/>
    <w:rsid w:val="005C5467"/>
    <w:rsid w:val="005C66A9"/>
    <w:rsid w:val="005C7D06"/>
    <w:rsid w:val="005D02EF"/>
    <w:rsid w:val="005D1C3A"/>
    <w:rsid w:val="005D4994"/>
    <w:rsid w:val="005E43DD"/>
    <w:rsid w:val="005E4A58"/>
    <w:rsid w:val="005E75EE"/>
    <w:rsid w:val="005E7D6C"/>
    <w:rsid w:val="005F04CF"/>
    <w:rsid w:val="005F3121"/>
    <w:rsid w:val="005F6BB6"/>
    <w:rsid w:val="005F6D92"/>
    <w:rsid w:val="00600179"/>
    <w:rsid w:val="00601A8B"/>
    <w:rsid w:val="00603FC0"/>
    <w:rsid w:val="006042F8"/>
    <w:rsid w:val="006051BE"/>
    <w:rsid w:val="006076E4"/>
    <w:rsid w:val="00610DE2"/>
    <w:rsid w:val="00612433"/>
    <w:rsid w:val="006154A8"/>
    <w:rsid w:val="00615FBF"/>
    <w:rsid w:val="0061756C"/>
    <w:rsid w:val="0061761F"/>
    <w:rsid w:val="0062123F"/>
    <w:rsid w:val="0062208C"/>
    <w:rsid w:val="00623BA7"/>
    <w:rsid w:val="00623C34"/>
    <w:rsid w:val="006316D5"/>
    <w:rsid w:val="00636BF0"/>
    <w:rsid w:val="00636ED3"/>
    <w:rsid w:val="00642FAA"/>
    <w:rsid w:val="006457C3"/>
    <w:rsid w:val="00646B6D"/>
    <w:rsid w:val="00650F99"/>
    <w:rsid w:val="00652568"/>
    <w:rsid w:val="00655908"/>
    <w:rsid w:val="0066542C"/>
    <w:rsid w:val="006654F8"/>
    <w:rsid w:val="00665768"/>
    <w:rsid w:val="00667291"/>
    <w:rsid w:val="006736AE"/>
    <w:rsid w:val="006769D5"/>
    <w:rsid w:val="006817BD"/>
    <w:rsid w:val="00683F84"/>
    <w:rsid w:val="0068545A"/>
    <w:rsid w:val="00685F58"/>
    <w:rsid w:val="00686249"/>
    <w:rsid w:val="006869E9"/>
    <w:rsid w:val="00687504"/>
    <w:rsid w:val="006934D8"/>
    <w:rsid w:val="0069638A"/>
    <w:rsid w:val="00697F20"/>
    <w:rsid w:val="006A171F"/>
    <w:rsid w:val="006A1D31"/>
    <w:rsid w:val="006A4BCE"/>
    <w:rsid w:val="006A4E5F"/>
    <w:rsid w:val="006A51E8"/>
    <w:rsid w:val="006A5971"/>
    <w:rsid w:val="006B282E"/>
    <w:rsid w:val="006B28AD"/>
    <w:rsid w:val="006B45FB"/>
    <w:rsid w:val="006B591E"/>
    <w:rsid w:val="006C5E88"/>
    <w:rsid w:val="006D3FAE"/>
    <w:rsid w:val="006D4600"/>
    <w:rsid w:val="006D5222"/>
    <w:rsid w:val="006E02E2"/>
    <w:rsid w:val="006E0A2C"/>
    <w:rsid w:val="006E1C16"/>
    <w:rsid w:val="006E202B"/>
    <w:rsid w:val="006E25DF"/>
    <w:rsid w:val="006E2601"/>
    <w:rsid w:val="006E2CCE"/>
    <w:rsid w:val="006E57B5"/>
    <w:rsid w:val="006E6D85"/>
    <w:rsid w:val="006F08FE"/>
    <w:rsid w:val="006F59D3"/>
    <w:rsid w:val="006F5D1B"/>
    <w:rsid w:val="0070259C"/>
    <w:rsid w:val="00702FA0"/>
    <w:rsid w:val="00703770"/>
    <w:rsid w:val="0071011B"/>
    <w:rsid w:val="00715D39"/>
    <w:rsid w:val="00716A46"/>
    <w:rsid w:val="007175D2"/>
    <w:rsid w:val="007213D0"/>
    <w:rsid w:val="00724218"/>
    <w:rsid w:val="00733A25"/>
    <w:rsid w:val="00736000"/>
    <w:rsid w:val="007378EC"/>
    <w:rsid w:val="00737E65"/>
    <w:rsid w:val="0074030A"/>
    <w:rsid w:val="007409A3"/>
    <w:rsid w:val="0074467E"/>
    <w:rsid w:val="00747C8F"/>
    <w:rsid w:val="007500AF"/>
    <w:rsid w:val="007523B8"/>
    <w:rsid w:val="0075294D"/>
    <w:rsid w:val="00753230"/>
    <w:rsid w:val="0075376C"/>
    <w:rsid w:val="00755E20"/>
    <w:rsid w:val="00760CC0"/>
    <w:rsid w:val="00762043"/>
    <w:rsid w:val="007633C2"/>
    <w:rsid w:val="00765A47"/>
    <w:rsid w:val="00765D65"/>
    <w:rsid w:val="00767A49"/>
    <w:rsid w:val="00770BC1"/>
    <w:rsid w:val="00770E82"/>
    <w:rsid w:val="00772032"/>
    <w:rsid w:val="00772E94"/>
    <w:rsid w:val="007730C3"/>
    <w:rsid w:val="00773F98"/>
    <w:rsid w:val="007740D8"/>
    <w:rsid w:val="00781AFC"/>
    <w:rsid w:val="00781F96"/>
    <w:rsid w:val="00782E7B"/>
    <w:rsid w:val="007860B5"/>
    <w:rsid w:val="007862A6"/>
    <w:rsid w:val="00787D1E"/>
    <w:rsid w:val="00790A04"/>
    <w:rsid w:val="00793763"/>
    <w:rsid w:val="00795D7C"/>
    <w:rsid w:val="0079735A"/>
    <w:rsid w:val="007A2360"/>
    <w:rsid w:val="007A240B"/>
    <w:rsid w:val="007A40BF"/>
    <w:rsid w:val="007A68AB"/>
    <w:rsid w:val="007A7456"/>
    <w:rsid w:val="007A7F96"/>
    <w:rsid w:val="007B028B"/>
    <w:rsid w:val="007B1D71"/>
    <w:rsid w:val="007B5769"/>
    <w:rsid w:val="007B6713"/>
    <w:rsid w:val="007C00D0"/>
    <w:rsid w:val="007C1740"/>
    <w:rsid w:val="007C2186"/>
    <w:rsid w:val="007C2869"/>
    <w:rsid w:val="007C2AF7"/>
    <w:rsid w:val="007C5F77"/>
    <w:rsid w:val="007C6C85"/>
    <w:rsid w:val="007C7663"/>
    <w:rsid w:val="007D2063"/>
    <w:rsid w:val="007D3D7A"/>
    <w:rsid w:val="007D639E"/>
    <w:rsid w:val="007E03CB"/>
    <w:rsid w:val="007E04C8"/>
    <w:rsid w:val="007E156B"/>
    <w:rsid w:val="007E170C"/>
    <w:rsid w:val="007E44FD"/>
    <w:rsid w:val="007F2233"/>
    <w:rsid w:val="007F71BF"/>
    <w:rsid w:val="007F752D"/>
    <w:rsid w:val="00801FDD"/>
    <w:rsid w:val="00806606"/>
    <w:rsid w:val="0080694B"/>
    <w:rsid w:val="00811362"/>
    <w:rsid w:val="00814B4C"/>
    <w:rsid w:val="00816581"/>
    <w:rsid w:val="0081779C"/>
    <w:rsid w:val="00820C8B"/>
    <w:rsid w:val="00820E28"/>
    <w:rsid w:val="008224E0"/>
    <w:rsid w:val="00824EAA"/>
    <w:rsid w:val="0082555B"/>
    <w:rsid w:val="008303AF"/>
    <w:rsid w:val="00831D0D"/>
    <w:rsid w:val="00832DEE"/>
    <w:rsid w:val="0083376D"/>
    <w:rsid w:val="00833836"/>
    <w:rsid w:val="00833B4E"/>
    <w:rsid w:val="0084327A"/>
    <w:rsid w:val="00847895"/>
    <w:rsid w:val="00850ECB"/>
    <w:rsid w:val="008549FF"/>
    <w:rsid w:val="00854B9D"/>
    <w:rsid w:val="00855A8A"/>
    <w:rsid w:val="0085698C"/>
    <w:rsid w:val="008613C8"/>
    <w:rsid w:val="00863D9C"/>
    <w:rsid w:val="008660E8"/>
    <w:rsid w:val="00872795"/>
    <w:rsid w:val="008741F9"/>
    <w:rsid w:val="00874EEE"/>
    <w:rsid w:val="00874F50"/>
    <w:rsid w:val="00875E26"/>
    <w:rsid w:val="00876E40"/>
    <w:rsid w:val="008775EA"/>
    <w:rsid w:val="00882528"/>
    <w:rsid w:val="00882E2D"/>
    <w:rsid w:val="0088359C"/>
    <w:rsid w:val="008845F3"/>
    <w:rsid w:val="0088576F"/>
    <w:rsid w:val="00887310"/>
    <w:rsid w:val="00890E83"/>
    <w:rsid w:val="00893BA6"/>
    <w:rsid w:val="008A1D32"/>
    <w:rsid w:val="008A2EC5"/>
    <w:rsid w:val="008A4896"/>
    <w:rsid w:val="008B01D9"/>
    <w:rsid w:val="008B0509"/>
    <w:rsid w:val="008B33D6"/>
    <w:rsid w:val="008B5A6A"/>
    <w:rsid w:val="008B77F5"/>
    <w:rsid w:val="008B7A08"/>
    <w:rsid w:val="008C0279"/>
    <w:rsid w:val="008C0DC0"/>
    <w:rsid w:val="008C10F0"/>
    <w:rsid w:val="008C3829"/>
    <w:rsid w:val="008C4A0F"/>
    <w:rsid w:val="008C4ECA"/>
    <w:rsid w:val="008C58E4"/>
    <w:rsid w:val="008C7F68"/>
    <w:rsid w:val="008D0283"/>
    <w:rsid w:val="008D0A88"/>
    <w:rsid w:val="008D2F94"/>
    <w:rsid w:val="008E380C"/>
    <w:rsid w:val="008E4294"/>
    <w:rsid w:val="008E4394"/>
    <w:rsid w:val="008E5501"/>
    <w:rsid w:val="008E5DEE"/>
    <w:rsid w:val="008E63BA"/>
    <w:rsid w:val="008E64F1"/>
    <w:rsid w:val="008F12C0"/>
    <w:rsid w:val="008F25D2"/>
    <w:rsid w:val="008F4423"/>
    <w:rsid w:val="008F50EC"/>
    <w:rsid w:val="008F7CF3"/>
    <w:rsid w:val="00900016"/>
    <w:rsid w:val="00901F41"/>
    <w:rsid w:val="00903728"/>
    <w:rsid w:val="0090626D"/>
    <w:rsid w:val="009101A1"/>
    <w:rsid w:val="009120F3"/>
    <w:rsid w:val="009148C6"/>
    <w:rsid w:val="00914CC6"/>
    <w:rsid w:val="009206D2"/>
    <w:rsid w:val="009220D7"/>
    <w:rsid w:val="00922303"/>
    <w:rsid w:val="0092555D"/>
    <w:rsid w:val="0092732A"/>
    <w:rsid w:val="0092751F"/>
    <w:rsid w:val="00927D96"/>
    <w:rsid w:val="00932067"/>
    <w:rsid w:val="00932AD1"/>
    <w:rsid w:val="00934445"/>
    <w:rsid w:val="00934954"/>
    <w:rsid w:val="009357BD"/>
    <w:rsid w:val="0093594A"/>
    <w:rsid w:val="00937A43"/>
    <w:rsid w:val="00943A42"/>
    <w:rsid w:val="00943D4B"/>
    <w:rsid w:val="00952417"/>
    <w:rsid w:val="00953309"/>
    <w:rsid w:val="00955D73"/>
    <w:rsid w:val="00960AF9"/>
    <w:rsid w:val="00960BB4"/>
    <w:rsid w:val="0096199C"/>
    <w:rsid w:val="009634A1"/>
    <w:rsid w:val="00963D64"/>
    <w:rsid w:val="00964278"/>
    <w:rsid w:val="0096512C"/>
    <w:rsid w:val="0096529E"/>
    <w:rsid w:val="0096540A"/>
    <w:rsid w:val="00965678"/>
    <w:rsid w:val="00966C4F"/>
    <w:rsid w:val="00971718"/>
    <w:rsid w:val="0098180A"/>
    <w:rsid w:val="00982015"/>
    <w:rsid w:val="00993218"/>
    <w:rsid w:val="00995F81"/>
    <w:rsid w:val="009969AE"/>
    <w:rsid w:val="009A123C"/>
    <w:rsid w:val="009A3078"/>
    <w:rsid w:val="009B4CC0"/>
    <w:rsid w:val="009C03CC"/>
    <w:rsid w:val="009C5D2A"/>
    <w:rsid w:val="009C5F59"/>
    <w:rsid w:val="009C780E"/>
    <w:rsid w:val="009D1D78"/>
    <w:rsid w:val="009D3391"/>
    <w:rsid w:val="009D4221"/>
    <w:rsid w:val="009E06AA"/>
    <w:rsid w:val="009E0DA4"/>
    <w:rsid w:val="009E4901"/>
    <w:rsid w:val="009E4AC7"/>
    <w:rsid w:val="009F04EE"/>
    <w:rsid w:val="009F0FA8"/>
    <w:rsid w:val="009F1EA1"/>
    <w:rsid w:val="009F7434"/>
    <w:rsid w:val="00A011A9"/>
    <w:rsid w:val="00A0129A"/>
    <w:rsid w:val="00A01BF9"/>
    <w:rsid w:val="00A0298A"/>
    <w:rsid w:val="00A02C86"/>
    <w:rsid w:val="00A05DC2"/>
    <w:rsid w:val="00A06065"/>
    <w:rsid w:val="00A06700"/>
    <w:rsid w:val="00A12B57"/>
    <w:rsid w:val="00A14723"/>
    <w:rsid w:val="00A14D1A"/>
    <w:rsid w:val="00A17C12"/>
    <w:rsid w:val="00A26859"/>
    <w:rsid w:val="00A26B1B"/>
    <w:rsid w:val="00A331E7"/>
    <w:rsid w:val="00A34169"/>
    <w:rsid w:val="00A35FF4"/>
    <w:rsid w:val="00A360EE"/>
    <w:rsid w:val="00A41C3C"/>
    <w:rsid w:val="00A4233D"/>
    <w:rsid w:val="00A430C1"/>
    <w:rsid w:val="00A43357"/>
    <w:rsid w:val="00A44CBA"/>
    <w:rsid w:val="00A45F70"/>
    <w:rsid w:val="00A475BB"/>
    <w:rsid w:val="00A47F10"/>
    <w:rsid w:val="00A515BD"/>
    <w:rsid w:val="00A51CF7"/>
    <w:rsid w:val="00A52B62"/>
    <w:rsid w:val="00A53C49"/>
    <w:rsid w:val="00A5418A"/>
    <w:rsid w:val="00A549C3"/>
    <w:rsid w:val="00A5587D"/>
    <w:rsid w:val="00A56507"/>
    <w:rsid w:val="00A56DC4"/>
    <w:rsid w:val="00A57C31"/>
    <w:rsid w:val="00A57DDA"/>
    <w:rsid w:val="00A62180"/>
    <w:rsid w:val="00A66E42"/>
    <w:rsid w:val="00A70F6E"/>
    <w:rsid w:val="00A801D2"/>
    <w:rsid w:val="00A858D3"/>
    <w:rsid w:val="00A877A0"/>
    <w:rsid w:val="00A87EE1"/>
    <w:rsid w:val="00A9732E"/>
    <w:rsid w:val="00AB10A8"/>
    <w:rsid w:val="00AB2710"/>
    <w:rsid w:val="00AB763D"/>
    <w:rsid w:val="00AB798D"/>
    <w:rsid w:val="00AC2AB4"/>
    <w:rsid w:val="00AC79E6"/>
    <w:rsid w:val="00AD184B"/>
    <w:rsid w:val="00AD187C"/>
    <w:rsid w:val="00AD3840"/>
    <w:rsid w:val="00AD61A3"/>
    <w:rsid w:val="00AD6720"/>
    <w:rsid w:val="00AE027A"/>
    <w:rsid w:val="00AE2944"/>
    <w:rsid w:val="00AE34FA"/>
    <w:rsid w:val="00AF3172"/>
    <w:rsid w:val="00AF393B"/>
    <w:rsid w:val="00AF4F19"/>
    <w:rsid w:val="00AF7D42"/>
    <w:rsid w:val="00AF7F38"/>
    <w:rsid w:val="00B007F0"/>
    <w:rsid w:val="00B01DAF"/>
    <w:rsid w:val="00B0566D"/>
    <w:rsid w:val="00B0713A"/>
    <w:rsid w:val="00B07C06"/>
    <w:rsid w:val="00B10BD6"/>
    <w:rsid w:val="00B110CC"/>
    <w:rsid w:val="00B11F53"/>
    <w:rsid w:val="00B12805"/>
    <w:rsid w:val="00B16055"/>
    <w:rsid w:val="00B16F95"/>
    <w:rsid w:val="00B2120D"/>
    <w:rsid w:val="00B21CBB"/>
    <w:rsid w:val="00B2444E"/>
    <w:rsid w:val="00B26855"/>
    <w:rsid w:val="00B26F8B"/>
    <w:rsid w:val="00B30D99"/>
    <w:rsid w:val="00B31E10"/>
    <w:rsid w:val="00B31EAA"/>
    <w:rsid w:val="00B32B5E"/>
    <w:rsid w:val="00B33DEC"/>
    <w:rsid w:val="00B35BD9"/>
    <w:rsid w:val="00B37DE8"/>
    <w:rsid w:val="00B44BA5"/>
    <w:rsid w:val="00B55A78"/>
    <w:rsid w:val="00B55F24"/>
    <w:rsid w:val="00B6138A"/>
    <w:rsid w:val="00B64E99"/>
    <w:rsid w:val="00B654F6"/>
    <w:rsid w:val="00B71C61"/>
    <w:rsid w:val="00B73CD6"/>
    <w:rsid w:val="00B770E3"/>
    <w:rsid w:val="00B80566"/>
    <w:rsid w:val="00B9054D"/>
    <w:rsid w:val="00B911F3"/>
    <w:rsid w:val="00B921FF"/>
    <w:rsid w:val="00B928E7"/>
    <w:rsid w:val="00B93BC4"/>
    <w:rsid w:val="00B95F90"/>
    <w:rsid w:val="00BA047C"/>
    <w:rsid w:val="00BA1BDF"/>
    <w:rsid w:val="00BA288A"/>
    <w:rsid w:val="00BA544F"/>
    <w:rsid w:val="00BA5F7E"/>
    <w:rsid w:val="00BB1BE4"/>
    <w:rsid w:val="00BB3DF0"/>
    <w:rsid w:val="00BB3ED2"/>
    <w:rsid w:val="00BB59B2"/>
    <w:rsid w:val="00BB59D3"/>
    <w:rsid w:val="00BB61D7"/>
    <w:rsid w:val="00BC015A"/>
    <w:rsid w:val="00BC0AAC"/>
    <w:rsid w:val="00BC14DF"/>
    <w:rsid w:val="00BC18F3"/>
    <w:rsid w:val="00BC3F50"/>
    <w:rsid w:val="00BC6850"/>
    <w:rsid w:val="00BC7E76"/>
    <w:rsid w:val="00BD0F60"/>
    <w:rsid w:val="00BD450F"/>
    <w:rsid w:val="00BD5558"/>
    <w:rsid w:val="00BE2857"/>
    <w:rsid w:val="00BE52D0"/>
    <w:rsid w:val="00BE6A3E"/>
    <w:rsid w:val="00BE72B8"/>
    <w:rsid w:val="00BF12F6"/>
    <w:rsid w:val="00BF17BF"/>
    <w:rsid w:val="00BF2A76"/>
    <w:rsid w:val="00BF3338"/>
    <w:rsid w:val="00BF5487"/>
    <w:rsid w:val="00BF5F5F"/>
    <w:rsid w:val="00BF6C32"/>
    <w:rsid w:val="00BF7F52"/>
    <w:rsid w:val="00C00765"/>
    <w:rsid w:val="00C02029"/>
    <w:rsid w:val="00C03791"/>
    <w:rsid w:val="00C071F3"/>
    <w:rsid w:val="00C10464"/>
    <w:rsid w:val="00C11716"/>
    <w:rsid w:val="00C119C2"/>
    <w:rsid w:val="00C16C7F"/>
    <w:rsid w:val="00C206A0"/>
    <w:rsid w:val="00C21B54"/>
    <w:rsid w:val="00C25C30"/>
    <w:rsid w:val="00C26331"/>
    <w:rsid w:val="00C26640"/>
    <w:rsid w:val="00C26905"/>
    <w:rsid w:val="00C32E77"/>
    <w:rsid w:val="00C33354"/>
    <w:rsid w:val="00C3347F"/>
    <w:rsid w:val="00C33995"/>
    <w:rsid w:val="00C3440D"/>
    <w:rsid w:val="00C40967"/>
    <w:rsid w:val="00C4212A"/>
    <w:rsid w:val="00C42C64"/>
    <w:rsid w:val="00C50D0B"/>
    <w:rsid w:val="00C52A1D"/>
    <w:rsid w:val="00C56747"/>
    <w:rsid w:val="00C5766E"/>
    <w:rsid w:val="00C600E2"/>
    <w:rsid w:val="00C60B54"/>
    <w:rsid w:val="00C635A3"/>
    <w:rsid w:val="00C639B7"/>
    <w:rsid w:val="00C63D43"/>
    <w:rsid w:val="00C64A32"/>
    <w:rsid w:val="00C652C8"/>
    <w:rsid w:val="00C70A4E"/>
    <w:rsid w:val="00C74134"/>
    <w:rsid w:val="00C7587B"/>
    <w:rsid w:val="00C75969"/>
    <w:rsid w:val="00C75D6E"/>
    <w:rsid w:val="00C81269"/>
    <w:rsid w:val="00C81E39"/>
    <w:rsid w:val="00C82226"/>
    <w:rsid w:val="00C823B1"/>
    <w:rsid w:val="00C851D4"/>
    <w:rsid w:val="00C879A6"/>
    <w:rsid w:val="00C902FC"/>
    <w:rsid w:val="00CA08AC"/>
    <w:rsid w:val="00CA271E"/>
    <w:rsid w:val="00CA334E"/>
    <w:rsid w:val="00CA3862"/>
    <w:rsid w:val="00CA4B67"/>
    <w:rsid w:val="00CA6694"/>
    <w:rsid w:val="00CA7302"/>
    <w:rsid w:val="00CB0393"/>
    <w:rsid w:val="00CB1488"/>
    <w:rsid w:val="00CB15E4"/>
    <w:rsid w:val="00CB5EEC"/>
    <w:rsid w:val="00CB7414"/>
    <w:rsid w:val="00CB7E27"/>
    <w:rsid w:val="00CC39B6"/>
    <w:rsid w:val="00CC3A50"/>
    <w:rsid w:val="00CC69B3"/>
    <w:rsid w:val="00CD0624"/>
    <w:rsid w:val="00CD101C"/>
    <w:rsid w:val="00CD2D4D"/>
    <w:rsid w:val="00CD4096"/>
    <w:rsid w:val="00CD41E4"/>
    <w:rsid w:val="00CD57E4"/>
    <w:rsid w:val="00CD65BC"/>
    <w:rsid w:val="00CE19C1"/>
    <w:rsid w:val="00CE20AA"/>
    <w:rsid w:val="00CE527F"/>
    <w:rsid w:val="00CF5C97"/>
    <w:rsid w:val="00CF77F4"/>
    <w:rsid w:val="00D01CFE"/>
    <w:rsid w:val="00D03CCB"/>
    <w:rsid w:val="00D056D2"/>
    <w:rsid w:val="00D07BB1"/>
    <w:rsid w:val="00D07C4B"/>
    <w:rsid w:val="00D20F98"/>
    <w:rsid w:val="00D22258"/>
    <w:rsid w:val="00D225D8"/>
    <w:rsid w:val="00D23D8B"/>
    <w:rsid w:val="00D257D9"/>
    <w:rsid w:val="00D2740C"/>
    <w:rsid w:val="00D339C2"/>
    <w:rsid w:val="00D33A2E"/>
    <w:rsid w:val="00D34910"/>
    <w:rsid w:val="00D363C9"/>
    <w:rsid w:val="00D40FA5"/>
    <w:rsid w:val="00D41862"/>
    <w:rsid w:val="00D41CAF"/>
    <w:rsid w:val="00D4367D"/>
    <w:rsid w:val="00D44C32"/>
    <w:rsid w:val="00D4515A"/>
    <w:rsid w:val="00D47E84"/>
    <w:rsid w:val="00D511A1"/>
    <w:rsid w:val="00D55917"/>
    <w:rsid w:val="00D60DEB"/>
    <w:rsid w:val="00D650EB"/>
    <w:rsid w:val="00D66501"/>
    <w:rsid w:val="00D67869"/>
    <w:rsid w:val="00D67BE9"/>
    <w:rsid w:val="00D700B3"/>
    <w:rsid w:val="00D70323"/>
    <w:rsid w:val="00D7550A"/>
    <w:rsid w:val="00D759AB"/>
    <w:rsid w:val="00D80427"/>
    <w:rsid w:val="00D86BC0"/>
    <w:rsid w:val="00D872BF"/>
    <w:rsid w:val="00D87769"/>
    <w:rsid w:val="00D97D6C"/>
    <w:rsid w:val="00DA0812"/>
    <w:rsid w:val="00DA1657"/>
    <w:rsid w:val="00DA2568"/>
    <w:rsid w:val="00DA355E"/>
    <w:rsid w:val="00DA541E"/>
    <w:rsid w:val="00DB0E36"/>
    <w:rsid w:val="00DB6582"/>
    <w:rsid w:val="00DB784A"/>
    <w:rsid w:val="00DB7D0A"/>
    <w:rsid w:val="00DC0271"/>
    <w:rsid w:val="00DC42C0"/>
    <w:rsid w:val="00DC4308"/>
    <w:rsid w:val="00DC6145"/>
    <w:rsid w:val="00DC691E"/>
    <w:rsid w:val="00DC74EF"/>
    <w:rsid w:val="00DD041D"/>
    <w:rsid w:val="00DD0644"/>
    <w:rsid w:val="00DE01F6"/>
    <w:rsid w:val="00DE0894"/>
    <w:rsid w:val="00DE2998"/>
    <w:rsid w:val="00DE4223"/>
    <w:rsid w:val="00DE47C7"/>
    <w:rsid w:val="00DE4EAE"/>
    <w:rsid w:val="00DE6B60"/>
    <w:rsid w:val="00DF09FC"/>
    <w:rsid w:val="00DF18EF"/>
    <w:rsid w:val="00DF2F37"/>
    <w:rsid w:val="00DF643D"/>
    <w:rsid w:val="00DF7E89"/>
    <w:rsid w:val="00E000F2"/>
    <w:rsid w:val="00E06D10"/>
    <w:rsid w:val="00E11BD0"/>
    <w:rsid w:val="00E123C4"/>
    <w:rsid w:val="00E1572A"/>
    <w:rsid w:val="00E158F1"/>
    <w:rsid w:val="00E16670"/>
    <w:rsid w:val="00E16C6B"/>
    <w:rsid w:val="00E179A3"/>
    <w:rsid w:val="00E20458"/>
    <w:rsid w:val="00E20A73"/>
    <w:rsid w:val="00E23DAC"/>
    <w:rsid w:val="00E247AF"/>
    <w:rsid w:val="00E27551"/>
    <w:rsid w:val="00E27F09"/>
    <w:rsid w:val="00E33E8B"/>
    <w:rsid w:val="00E36349"/>
    <w:rsid w:val="00E3749D"/>
    <w:rsid w:val="00E427FD"/>
    <w:rsid w:val="00E42861"/>
    <w:rsid w:val="00E431D4"/>
    <w:rsid w:val="00E439EB"/>
    <w:rsid w:val="00E43FB7"/>
    <w:rsid w:val="00E454F9"/>
    <w:rsid w:val="00E500C3"/>
    <w:rsid w:val="00E50FE0"/>
    <w:rsid w:val="00E5102E"/>
    <w:rsid w:val="00E56487"/>
    <w:rsid w:val="00E65B77"/>
    <w:rsid w:val="00E675D5"/>
    <w:rsid w:val="00E70D5C"/>
    <w:rsid w:val="00E719A5"/>
    <w:rsid w:val="00E740E9"/>
    <w:rsid w:val="00E74D8B"/>
    <w:rsid w:val="00E770EF"/>
    <w:rsid w:val="00E77BCA"/>
    <w:rsid w:val="00E84E9E"/>
    <w:rsid w:val="00E8520A"/>
    <w:rsid w:val="00E853F3"/>
    <w:rsid w:val="00E87995"/>
    <w:rsid w:val="00E92B9D"/>
    <w:rsid w:val="00E92F58"/>
    <w:rsid w:val="00E94383"/>
    <w:rsid w:val="00E95F15"/>
    <w:rsid w:val="00E96F52"/>
    <w:rsid w:val="00EA07DE"/>
    <w:rsid w:val="00EA38CC"/>
    <w:rsid w:val="00EA5E24"/>
    <w:rsid w:val="00EB23B0"/>
    <w:rsid w:val="00EB7E34"/>
    <w:rsid w:val="00EC2491"/>
    <w:rsid w:val="00ED1EDB"/>
    <w:rsid w:val="00ED2C42"/>
    <w:rsid w:val="00ED4AC4"/>
    <w:rsid w:val="00ED4BFD"/>
    <w:rsid w:val="00EE33D7"/>
    <w:rsid w:val="00EF0AC4"/>
    <w:rsid w:val="00EF3B2B"/>
    <w:rsid w:val="00EF4DB6"/>
    <w:rsid w:val="00EF4F0B"/>
    <w:rsid w:val="00EF56D7"/>
    <w:rsid w:val="00EF5F09"/>
    <w:rsid w:val="00F00EE9"/>
    <w:rsid w:val="00F04457"/>
    <w:rsid w:val="00F10B85"/>
    <w:rsid w:val="00F1153C"/>
    <w:rsid w:val="00F131A0"/>
    <w:rsid w:val="00F15BAB"/>
    <w:rsid w:val="00F21F8A"/>
    <w:rsid w:val="00F23C8D"/>
    <w:rsid w:val="00F25A08"/>
    <w:rsid w:val="00F271D5"/>
    <w:rsid w:val="00F27D97"/>
    <w:rsid w:val="00F35341"/>
    <w:rsid w:val="00F379DD"/>
    <w:rsid w:val="00F37CFC"/>
    <w:rsid w:val="00F41DE1"/>
    <w:rsid w:val="00F44F77"/>
    <w:rsid w:val="00F4561B"/>
    <w:rsid w:val="00F47244"/>
    <w:rsid w:val="00F50F02"/>
    <w:rsid w:val="00F511A7"/>
    <w:rsid w:val="00F5563F"/>
    <w:rsid w:val="00F55B34"/>
    <w:rsid w:val="00F57215"/>
    <w:rsid w:val="00F626E1"/>
    <w:rsid w:val="00F63301"/>
    <w:rsid w:val="00F660F9"/>
    <w:rsid w:val="00F66BF9"/>
    <w:rsid w:val="00F67D1D"/>
    <w:rsid w:val="00F703CF"/>
    <w:rsid w:val="00F72889"/>
    <w:rsid w:val="00F763BD"/>
    <w:rsid w:val="00F8272E"/>
    <w:rsid w:val="00F8292C"/>
    <w:rsid w:val="00F845E9"/>
    <w:rsid w:val="00F85AF1"/>
    <w:rsid w:val="00F876D8"/>
    <w:rsid w:val="00F87AA7"/>
    <w:rsid w:val="00F928B9"/>
    <w:rsid w:val="00F97074"/>
    <w:rsid w:val="00FA5F45"/>
    <w:rsid w:val="00FA66B2"/>
    <w:rsid w:val="00FA728E"/>
    <w:rsid w:val="00FA7522"/>
    <w:rsid w:val="00FA7893"/>
    <w:rsid w:val="00FB05E6"/>
    <w:rsid w:val="00FB2AFE"/>
    <w:rsid w:val="00FC1413"/>
    <w:rsid w:val="00FC1D0B"/>
    <w:rsid w:val="00FC2C59"/>
    <w:rsid w:val="00FC3049"/>
    <w:rsid w:val="00FC417A"/>
    <w:rsid w:val="00FC5AE5"/>
    <w:rsid w:val="00FC5AF2"/>
    <w:rsid w:val="00FC5F27"/>
    <w:rsid w:val="00FC6585"/>
    <w:rsid w:val="00FC6916"/>
    <w:rsid w:val="00FD178C"/>
    <w:rsid w:val="00FE261C"/>
    <w:rsid w:val="00FE2F8A"/>
    <w:rsid w:val="00FE38E6"/>
    <w:rsid w:val="00FE7C1C"/>
    <w:rsid w:val="00FF1487"/>
    <w:rsid w:val="00FF2FD2"/>
    <w:rsid w:val="00FF5E51"/>
    <w:rsid w:val="386B6148"/>
  </w:rsids>
  <m:mathPr>
    <m:mathFont m:val="Cambria Math"/>
    <m:brkBin m:val="before"/>
    <m:brkBinSub m:val="--"/>
    <m:smallFrac m:val="0"/>
    <m:dispDef/>
    <m:lMargin m:val="0"/>
    <m:rMargin m:val="0"/>
    <m:defJc m:val="centerGroup"/>
    <m:wrapIndent m:val="1440"/>
    <m:intLim m:val="subSup"/>
    <m:naryLim m:val="undOvr"/>
  </m:mathPr>
  <w:themeFontLang w:val="en-NZ"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3"/>
    <o:shapelayout v:ext="edit">
      <o:idmap v:ext="edit" data="2"/>
    </o:shapelayout>
  </w:shapeDefaults>
  <w:decimalSymbol w:val="."/>
  <w:listSeparator w:val=","/>
  <w14:docId w14:val="4138672D"/>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NZ" w:eastAsia="en-NZ"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lsdException w:name="footer" w:semiHidden="1" w:uiPriority="0"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iPriority="0"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emiHidden/>
    <w:qFormat/>
    <w:rsid w:val="00773F98"/>
    <w:rPr>
      <w:sz w:val="22"/>
      <w:szCs w:val="22"/>
    </w:rPr>
  </w:style>
  <w:style w:type="paragraph" w:styleId="Heading1">
    <w:name w:val="heading 1"/>
    <w:basedOn w:val="Normal"/>
    <w:next w:val="Normal"/>
    <w:link w:val="Heading1Char"/>
    <w:qFormat/>
    <w:rsid w:val="00650F99"/>
    <w:pPr>
      <w:keepNext/>
      <w:pBdr>
        <w:bottom w:val="single" w:sz="4" w:space="4" w:color="365F91"/>
      </w:pBdr>
      <w:spacing w:after="480"/>
      <w:outlineLvl w:val="0"/>
    </w:pPr>
    <w:rPr>
      <w:rFonts w:ascii="Georgia" w:hAnsi="Georgia"/>
      <w:bCs/>
      <w:color w:val="1B556B"/>
      <w:sz w:val="48"/>
    </w:rPr>
  </w:style>
  <w:style w:type="paragraph" w:styleId="Heading2">
    <w:name w:val="heading 2"/>
    <w:basedOn w:val="Normal"/>
    <w:next w:val="BodyText"/>
    <w:link w:val="Heading2Char"/>
    <w:qFormat/>
    <w:rsid w:val="00793763"/>
    <w:pPr>
      <w:keepNext/>
      <w:tabs>
        <w:tab w:val="left" w:pos="851"/>
      </w:tabs>
      <w:spacing w:before="360"/>
      <w:outlineLvl w:val="1"/>
    </w:pPr>
    <w:rPr>
      <w:rFonts w:ascii="Georgia" w:hAnsi="Georgia"/>
      <w:b/>
      <w:color w:val="1B556B"/>
      <w:sz w:val="32"/>
    </w:rPr>
  </w:style>
  <w:style w:type="paragraph" w:styleId="Heading3">
    <w:name w:val="heading 3"/>
    <w:basedOn w:val="Normal"/>
    <w:next w:val="BodyText"/>
    <w:link w:val="Heading3Char"/>
    <w:qFormat/>
    <w:rsid w:val="00094891"/>
    <w:pPr>
      <w:keepNext/>
      <w:tabs>
        <w:tab w:val="left" w:pos="851"/>
      </w:tabs>
      <w:spacing w:before="360"/>
      <w:outlineLvl w:val="2"/>
    </w:pPr>
    <w:rPr>
      <w:rFonts w:ascii="Georgia" w:hAnsi="Georgia"/>
      <w:b/>
      <w:color w:val="1B556B"/>
      <w:sz w:val="26"/>
    </w:rPr>
  </w:style>
  <w:style w:type="paragraph" w:styleId="Heading4">
    <w:name w:val="heading 4"/>
    <w:basedOn w:val="Normal"/>
    <w:next w:val="Normal"/>
    <w:link w:val="Heading4Char"/>
    <w:qFormat/>
    <w:rsid w:val="005E75EE"/>
    <w:pPr>
      <w:keepNext/>
      <w:spacing w:before="240"/>
      <w:outlineLvl w:val="3"/>
    </w:pPr>
    <w:rPr>
      <w:b/>
      <w:color w:val="1B556B"/>
    </w:rPr>
  </w:style>
  <w:style w:type="paragraph" w:styleId="Heading5">
    <w:name w:val="heading 5"/>
    <w:basedOn w:val="Normal"/>
    <w:next w:val="Normal"/>
    <w:link w:val="Heading5Char"/>
    <w:qFormat/>
    <w:rsid w:val="00BF2A76"/>
    <w:pPr>
      <w:keepNext/>
      <w:spacing w:before="240"/>
      <w:outlineLvl w:val="4"/>
    </w:pPr>
    <w:rPr>
      <w:bCs/>
      <w:i/>
      <w:iCs/>
      <w:color w:val="1B556B"/>
      <w:szCs w:val="26"/>
    </w:rPr>
  </w:style>
  <w:style w:type="paragraph" w:styleId="Heading6">
    <w:name w:val="heading 6"/>
    <w:basedOn w:val="Normal"/>
    <w:next w:val="Normal"/>
    <w:link w:val="Heading6Char"/>
    <w:unhideWhenUsed/>
    <w:qFormat/>
    <w:rsid w:val="008613C8"/>
    <w:pPr>
      <w:keepNext/>
      <w:keepLines/>
      <w:spacing w:before="240"/>
      <w:outlineLvl w:val="5"/>
    </w:pPr>
    <w:rPr>
      <w:rFonts w:eastAsiaTheme="majorEastAsia" w:cs="Calibri"/>
      <w:b/>
      <w:bCs/>
      <w:color w:val="0E2A35" w:themeColor="accent1" w:themeShade="7F"/>
    </w:rPr>
  </w:style>
  <w:style w:type="paragraph" w:styleId="Heading7">
    <w:name w:val="heading 7"/>
    <w:aliases w:val=" Char15,Char15"/>
    <w:basedOn w:val="Normal"/>
    <w:next w:val="Normal"/>
    <w:link w:val="Heading7Char"/>
    <w:semiHidden/>
    <w:qFormat/>
    <w:rsid w:val="00FB2AFE"/>
    <w:pPr>
      <w:keepNext/>
      <w:keepLines/>
      <w:spacing w:before="200"/>
      <w:outlineLvl w:val="6"/>
    </w:pPr>
    <w:rPr>
      <w:rFonts w:ascii="Arial" w:hAnsi="Arial"/>
      <w:i/>
      <w:iCs/>
      <w:color w:val="404040"/>
      <w:lang w:eastAsia="en-US"/>
    </w:rPr>
  </w:style>
  <w:style w:type="paragraph" w:styleId="Heading8">
    <w:name w:val="heading 8"/>
    <w:aliases w:val=" Char14,Char14"/>
    <w:basedOn w:val="Normal"/>
    <w:next w:val="Normal"/>
    <w:link w:val="Heading8Char"/>
    <w:semiHidden/>
    <w:qFormat/>
    <w:rsid w:val="00FB2AFE"/>
    <w:pPr>
      <w:keepNext/>
      <w:keepLines/>
      <w:spacing w:before="200"/>
      <w:outlineLvl w:val="7"/>
    </w:pPr>
    <w:rPr>
      <w:rFonts w:ascii="Arial" w:hAnsi="Arial"/>
      <w:color w:val="4F81BD"/>
      <w:sz w:val="20"/>
      <w:szCs w:val="20"/>
      <w:lang w:eastAsia="en-US"/>
    </w:rPr>
  </w:style>
  <w:style w:type="paragraph" w:styleId="Heading9">
    <w:name w:val="heading 9"/>
    <w:aliases w:val=" Char13,Char13"/>
    <w:basedOn w:val="Normal"/>
    <w:next w:val="Normal"/>
    <w:link w:val="Heading9Char"/>
    <w:semiHidden/>
    <w:qFormat/>
    <w:rsid w:val="00FB2AFE"/>
    <w:pPr>
      <w:keepNext/>
      <w:keepLines/>
      <w:spacing w:before="200"/>
      <w:outlineLvl w:val="8"/>
    </w:pPr>
    <w:rPr>
      <w:rFonts w:ascii="Arial" w:hAnsi="Arial"/>
      <w:i/>
      <w:iCs/>
      <w:color w:val="404040"/>
      <w:sz w:val="20"/>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aliases w:val="RS Table Grid a"/>
    <w:basedOn w:val="TableNormal"/>
    <w:uiPriority w:val="59"/>
    <w:rsid w:val="00B26F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semiHidden/>
    <w:rsid w:val="00772E94"/>
    <w:pPr>
      <w:jc w:val="center"/>
    </w:pPr>
    <w:rPr>
      <w:rFonts w:ascii="Arial" w:hAnsi="Arial"/>
      <w:sz w:val="16"/>
    </w:rPr>
  </w:style>
  <w:style w:type="paragraph" w:styleId="Footer">
    <w:name w:val="footer"/>
    <w:basedOn w:val="Normal"/>
    <w:link w:val="FooterChar"/>
    <w:semiHidden/>
    <w:rsid w:val="00313E90"/>
    <w:pPr>
      <w:tabs>
        <w:tab w:val="center" w:pos="4513"/>
        <w:tab w:val="right" w:pos="9026"/>
      </w:tabs>
    </w:pPr>
  </w:style>
  <w:style w:type="paragraph" w:customStyle="1" w:styleId="Blockquote">
    <w:name w:val="Blockquote"/>
    <w:basedOn w:val="Normal"/>
    <w:semiHidden/>
    <w:rsid w:val="00772E94"/>
    <w:pPr>
      <w:ind w:left="567" w:right="567"/>
    </w:pPr>
    <w:rPr>
      <w:i/>
      <w:sz w:val="20"/>
    </w:rPr>
  </w:style>
  <w:style w:type="paragraph" w:styleId="BodyText">
    <w:name w:val="Body Text"/>
    <w:basedOn w:val="Normal"/>
    <w:link w:val="BodyTextChar"/>
    <w:qFormat/>
    <w:rsid w:val="00CE19C1"/>
    <w:pPr>
      <w:spacing w:before="120" w:after="120"/>
    </w:pPr>
  </w:style>
  <w:style w:type="paragraph" w:customStyle="1" w:styleId="Box">
    <w:name w:val="Box"/>
    <w:basedOn w:val="Normal"/>
    <w:next w:val="Normal"/>
    <w:uiPriority w:val="2"/>
    <w:semiHidden/>
    <w:rsid w:val="000576EC"/>
    <w:pPr>
      <w:pBdr>
        <w:top w:val="single" w:sz="6" w:space="15" w:color="auto"/>
        <w:left w:val="single" w:sz="6" w:space="15" w:color="auto"/>
        <w:bottom w:val="single" w:sz="6" w:space="15" w:color="auto"/>
        <w:right w:val="single" w:sz="6" w:space="15" w:color="auto"/>
      </w:pBdr>
      <w:ind w:right="284"/>
    </w:pPr>
    <w:rPr>
      <w:sz w:val="20"/>
    </w:rPr>
  </w:style>
  <w:style w:type="paragraph" w:customStyle="1" w:styleId="BoxBullet">
    <w:name w:val="Box Bullet"/>
    <w:basedOn w:val="Box"/>
    <w:uiPriority w:val="2"/>
    <w:semiHidden/>
    <w:rsid w:val="00855A8A"/>
    <w:pPr>
      <w:numPr>
        <w:numId w:val="1"/>
      </w:numPr>
      <w:tabs>
        <w:tab w:val="clear" w:pos="851"/>
        <w:tab w:val="left" w:pos="567"/>
      </w:tabs>
      <w:spacing w:before="120"/>
      <w:ind w:left="567"/>
    </w:pPr>
  </w:style>
  <w:style w:type="paragraph" w:customStyle="1" w:styleId="BoxHeading">
    <w:name w:val="BoxHeading"/>
    <w:basedOn w:val="Box"/>
    <w:next w:val="Box"/>
    <w:uiPriority w:val="2"/>
    <w:semiHidden/>
    <w:rsid w:val="00153F5A"/>
    <w:pPr>
      <w:spacing w:after="240"/>
    </w:pPr>
    <w:rPr>
      <w:b/>
      <w:sz w:val="22"/>
    </w:rPr>
  </w:style>
  <w:style w:type="paragraph" w:customStyle="1" w:styleId="Bullet">
    <w:name w:val="Bullet"/>
    <w:basedOn w:val="Normal"/>
    <w:link w:val="BulletChar"/>
    <w:qFormat/>
    <w:rsid w:val="00AC2AB4"/>
    <w:pPr>
      <w:numPr>
        <w:numId w:val="4"/>
      </w:numPr>
      <w:tabs>
        <w:tab w:val="left" w:pos="397"/>
      </w:tabs>
      <w:spacing w:after="120"/>
    </w:pPr>
  </w:style>
  <w:style w:type="paragraph" w:customStyle="1" w:styleId="Heading">
    <w:name w:val="Heading"/>
    <w:basedOn w:val="Heading1"/>
    <w:next w:val="Normal"/>
    <w:semiHidden/>
    <w:rsid w:val="00650F99"/>
    <w:pPr>
      <w:outlineLvl w:val="9"/>
    </w:pPr>
  </w:style>
  <w:style w:type="paragraph" w:customStyle="1" w:styleId="ContentsHeading">
    <w:name w:val="ContentsHeading"/>
    <w:basedOn w:val="Heading"/>
    <w:next w:val="BodyText"/>
    <w:semiHidden/>
    <w:rsid w:val="00650F99"/>
    <w:rPr>
      <w:b/>
    </w:rPr>
  </w:style>
  <w:style w:type="paragraph" w:customStyle="1" w:styleId="Sub-bullet">
    <w:name w:val="Sub-bullet"/>
    <w:basedOn w:val="Normal"/>
    <w:uiPriority w:val="1"/>
    <w:qFormat/>
    <w:rsid w:val="00C42C64"/>
    <w:pPr>
      <w:numPr>
        <w:numId w:val="5"/>
      </w:numPr>
      <w:tabs>
        <w:tab w:val="left" w:pos="794"/>
      </w:tabs>
      <w:spacing w:after="120"/>
    </w:pPr>
  </w:style>
  <w:style w:type="paragraph" w:customStyle="1" w:styleId="FooterEven">
    <w:name w:val="Footer Even"/>
    <w:basedOn w:val="Normal"/>
    <w:next w:val="Normal"/>
    <w:uiPriority w:val="99"/>
    <w:rsid w:val="00A34169"/>
    <w:pPr>
      <w:pBdr>
        <w:top w:val="single" w:sz="4" w:space="4" w:color="auto"/>
      </w:pBdr>
      <w:tabs>
        <w:tab w:val="left" w:pos="851"/>
      </w:tabs>
    </w:pPr>
    <w:rPr>
      <w:sz w:val="16"/>
    </w:rPr>
  </w:style>
  <w:style w:type="paragraph" w:customStyle="1" w:styleId="Figure">
    <w:name w:val="Figure"/>
    <w:basedOn w:val="Normal"/>
    <w:next w:val="BodyText"/>
    <w:link w:val="FigureChar"/>
    <w:uiPriority w:val="1"/>
    <w:qFormat/>
    <w:rsid w:val="00854B9D"/>
    <w:pPr>
      <w:keepNext/>
      <w:spacing w:before="120" w:after="120"/>
      <w:ind w:left="1247" w:hanging="1247"/>
    </w:pPr>
    <w:rPr>
      <w:b/>
      <w:sz w:val="18"/>
    </w:rPr>
  </w:style>
  <w:style w:type="character" w:styleId="FootnoteReference">
    <w:name w:val="footnote reference"/>
    <w:uiPriority w:val="99"/>
    <w:semiHidden/>
    <w:rsid w:val="00CE19C1"/>
    <w:rPr>
      <w:rFonts w:ascii="Calibri" w:hAnsi="Calibri"/>
      <w:sz w:val="22"/>
      <w:vertAlign w:val="superscript"/>
    </w:rPr>
  </w:style>
  <w:style w:type="paragraph" w:styleId="FootnoteText">
    <w:name w:val="footnote text"/>
    <w:basedOn w:val="Normal"/>
    <w:link w:val="FootnoteTextChar"/>
    <w:uiPriority w:val="99"/>
    <w:qFormat/>
    <w:rsid w:val="0032349D"/>
    <w:pPr>
      <w:spacing w:after="60"/>
      <w:ind w:left="284" w:hanging="284"/>
    </w:pPr>
    <w:rPr>
      <w:sz w:val="19"/>
    </w:rPr>
  </w:style>
  <w:style w:type="character" w:styleId="Hyperlink">
    <w:name w:val="Hyperlink"/>
    <w:uiPriority w:val="99"/>
    <w:rsid w:val="00A430C1"/>
    <w:rPr>
      <w:color w:val="32809C"/>
      <w:u w:val="none"/>
    </w:rPr>
  </w:style>
  <w:style w:type="paragraph" w:customStyle="1" w:styleId="Imprint">
    <w:name w:val="Imprint"/>
    <w:basedOn w:val="Normal"/>
    <w:next w:val="Normal"/>
    <w:uiPriority w:val="3"/>
    <w:rsid w:val="00A34169"/>
    <w:pPr>
      <w:spacing w:after="240"/>
      <w:jc w:val="center"/>
    </w:pPr>
  </w:style>
  <w:style w:type="paragraph" w:customStyle="1" w:styleId="Noteundertable">
    <w:name w:val="Note under table"/>
    <w:basedOn w:val="Normal"/>
    <w:next w:val="Normal"/>
    <w:link w:val="NoteundertableChar"/>
    <w:qFormat/>
    <w:rsid w:val="006D3FAE"/>
    <w:pPr>
      <w:tabs>
        <w:tab w:val="left" w:pos="567"/>
      </w:tabs>
      <w:spacing w:before="120" w:after="120"/>
      <w:ind w:left="567" w:hanging="567"/>
    </w:pPr>
    <w:rPr>
      <w:sz w:val="18"/>
    </w:rPr>
  </w:style>
  <w:style w:type="paragraph" w:customStyle="1" w:styleId="FooterOdd">
    <w:name w:val="Footer Odd"/>
    <w:basedOn w:val="Normal"/>
    <w:next w:val="Normal"/>
    <w:uiPriority w:val="99"/>
    <w:rsid w:val="00A34169"/>
    <w:pPr>
      <w:pBdr>
        <w:top w:val="single" w:sz="4" w:space="4" w:color="auto"/>
      </w:pBdr>
      <w:tabs>
        <w:tab w:val="right" w:pos="7655"/>
        <w:tab w:val="right" w:pos="8505"/>
      </w:tabs>
    </w:pPr>
    <w:rPr>
      <w:sz w:val="16"/>
    </w:rPr>
  </w:style>
  <w:style w:type="character" w:styleId="PageNumber">
    <w:name w:val="page number"/>
    <w:semiHidden/>
    <w:rsid w:val="00A34169"/>
    <w:rPr>
      <w:rFonts w:ascii="Calibri" w:hAnsi="Calibri"/>
      <w:b/>
      <w:sz w:val="24"/>
    </w:rPr>
  </w:style>
  <w:style w:type="paragraph" w:customStyle="1" w:styleId="References">
    <w:name w:val="References"/>
    <w:basedOn w:val="Normal"/>
    <w:link w:val="ReferencesChar"/>
    <w:qFormat/>
    <w:rsid w:val="00772E94"/>
    <w:pPr>
      <w:spacing w:after="120"/>
    </w:pPr>
    <w:rPr>
      <w:sz w:val="20"/>
    </w:rPr>
  </w:style>
  <w:style w:type="paragraph" w:customStyle="1" w:styleId="Source">
    <w:name w:val="Source"/>
    <w:basedOn w:val="Normal"/>
    <w:next w:val="Normal"/>
    <w:uiPriority w:val="1"/>
    <w:qFormat/>
    <w:rsid w:val="00CE19C1"/>
    <w:pPr>
      <w:tabs>
        <w:tab w:val="left" w:pos="680"/>
      </w:tabs>
      <w:spacing w:before="120"/>
    </w:pPr>
    <w:rPr>
      <w:sz w:val="16"/>
    </w:rPr>
  </w:style>
  <w:style w:type="paragraph" w:styleId="Title">
    <w:name w:val="Title"/>
    <w:basedOn w:val="Normal"/>
    <w:link w:val="TitleChar"/>
    <w:uiPriority w:val="2"/>
    <w:semiHidden/>
    <w:qFormat/>
    <w:rsid w:val="00650F99"/>
    <w:pPr>
      <w:spacing w:line="360" w:lineRule="auto"/>
      <w:jc w:val="center"/>
    </w:pPr>
    <w:rPr>
      <w:rFonts w:ascii="Georgia" w:hAnsi="Georgia"/>
      <w:b/>
      <w:color w:val="1B556B"/>
      <w:sz w:val="48"/>
    </w:rPr>
  </w:style>
  <w:style w:type="paragraph" w:styleId="Subtitle">
    <w:name w:val="Subtitle"/>
    <w:basedOn w:val="Title"/>
    <w:link w:val="SubtitleChar"/>
    <w:semiHidden/>
    <w:qFormat/>
    <w:rsid w:val="00772E94"/>
    <w:pPr>
      <w:spacing w:before="600" w:line="240" w:lineRule="auto"/>
      <w:outlineLvl w:val="1"/>
    </w:pPr>
    <w:rPr>
      <w:sz w:val="36"/>
    </w:rPr>
  </w:style>
  <w:style w:type="paragraph" w:customStyle="1" w:styleId="Table">
    <w:name w:val="Table"/>
    <w:basedOn w:val="Normal"/>
    <w:next w:val="BodyText"/>
    <w:link w:val="TableChar"/>
    <w:rsid w:val="007409A3"/>
    <w:pPr>
      <w:keepNext/>
      <w:spacing w:before="120" w:after="120"/>
      <w:ind w:left="1247" w:hanging="1247"/>
    </w:pPr>
    <w:rPr>
      <w:b/>
      <w:sz w:val="18"/>
    </w:rPr>
  </w:style>
  <w:style w:type="paragraph" w:customStyle="1" w:styleId="TableText">
    <w:name w:val="TableText"/>
    <w:basedOn w:val="Normal"/>
    <w:link w:val="TableTextChar"/>
    <w:qFormat/>
    <w:rsid w:val="00CE19C1"/>
    <w:pPr>
      <w:spacing w:before="60" w:after="60"/>
    </w:pPr>
    <w:rPr>
      <w:sz w:val="16"/>
    </w:rPr>
  </w:style>
  <w:style w:type="paragraph" w:customStyle="1" w:styleId="TableTextBold">
    <w:name w:val="TableText Bold"/>
    <w:basedOn w:val="TableText"/>
    <w:link w:val="TableTextBoldChar"/>
    <w:qFormat/>
    <w:rsid w:val="00F511A7"/>
    <w:rPr>
      <w:b/>
      <w:noProof/>
    </w:rPr>
  </w:style>
  <w:style w:type="paragraph" w:styleId="TOC1">
    <w:name w:val="toc 1"/>
    <w:basedOn w:val="Normal"/>
    <w:next w:val="Normal"/>
    <w:uiPriority w:val="39"/>
    <w:qFormat/>
    <w:rsid w:val="00901F41"/>
    <w:pPr>
      <w:tabs>
        <w:tab w:val="right" w:pos="8505"/>
      </w:tabs>
      <w:spacing w:before="220"/>
      <w:ind w:right="567"/>
    </w:pPr>
    <w:rPr>
      <w:noProof/>
      <w:sz w:val="24"/>
    </w:rPr>
  </w:style>
  <w:style w:type="paragraph" w:styleId="TOC2">
    <w:name w:val="toc 2"/>
    <w:basedOn w:val="Normal"/>
    <w:next w:val="Normal"/>
    <w:uiPriority w:val="39"/>
    <w:qFormat/>
    <w:rsid w:val="00C11716"/>
    <w:pPr>
      <w:tabs>
        <w:tab w:val="left" w:pos="1134"/>
        <w:tab w:val="right" w:pos="8505"/>
      </w:tabs>
      <w:spacing w:before="120"/>
      <w:ind w:left="1134" w:right="567" w:hanging="567"/>
    </w:pPr>
    <w:rPr>
      <w:noProof/>
      <w:sz w:val="20"/>
    </w:rPr>
  </w:style>
  <w:style w:type="paragraph" w:styleId="TOC3">
    <w:name w:val="toc 3"/>
    <w:basedOn w:val="Normal"/>
    <w:next w:val="Normal"/>
    <w:uiPriority w:val="39"/>
    <w:qFormat/>
    <w:rsid w:val="005C3384"/>
    <w:pPr>
      <w:tabs>
        <w:tab w:val="left" w:pos="1701"/>
        <w:tab w:val="right" w:pos="7938"/>
      </w:tabs>
      <w:spacing w:before="120" w:after="120"/>
      <w:ind w:left="1134"/>
    </w:pPr>
    <w:rPr>
      <w:rFonts w:ascii="Arial" w:hAnsi="Arial"/>
      <w:sz w:val="20"/>
    </w:rPr>
  </w:style>
  <w:style w:type="paragraph" w:styleId="Caption">
    <w:name w:val="caption"/>
    <w:basedOn w:val="Normal"/>
    <w:next w:val="Normal"/>
    <w:semiHidden/>
    <w:qFormat/>
    <w:rsid w:val="00CE19C1"/>
    <w:pPr>
      <w:tabs>
        <w:tab w:val="left" w:pos="851"/>
      </w:tabs>
    </w:pPr>
    <w:rPr>
      <w:bCs/>
      <w:sz w:val="18"/>
    </w:rPr>
  </w:style>
  <w:style w:type="paragraph" w:customStyle="1" w:styleId="TableBullet">
    <w:name w:val="TableBullet"/>
    <w:basedOn w:val="TableText"/>
    <w:next w:val="TableText"/>
    <w:qFormat/>
    <w:rsid w:val="00546A6A"/>
    <w:pPr>
      <w:numPr>
        <w:numId w:val="3"/>
      </w:numPr>
    </w:pPr>
    <w:rPr>
      <w:szCs w:val="16"/>
    </w:rPr>
  </w:style>
  <w:style w:type="paragraph" w:styleId="TableofFigures">
    <w:name w:val="table of figures"/>
    <w:basedOn w:val="Normal"/>
    <w:next w:val="Normal"/>
    <w:uiPriority w:val="99"/>
    <w:rsid w:val="00773F98"/>
    <w:pPr>
      <w:tabs>
        <w:tab w:val="right" w:pos="8505"/>
      </w:tabs>
      <w:spacing w:before="20" w:after="20"/>
      <w:ind w:left="1247" w:right="567" w:hanging="1247"/>
    </w:pPr>
    <w:rPr>
      <w:sz w:val="20"/>
    </w:rPr>
  </w:style>
  <w:style w:type="paragraph" w:styleId="BalloonText">
    <w:name w:val="Balloon Text"/>
    <w:aliases w:val=" Char6,Char6"/>
    <w:basedOn w:val="Normal"/>
    <w:link w:val="BalloonTextChar"/>
    <w:uiPriority w:val="99"/>
    <w:semiHidden/>
    <w:unhideWhenUsed/>
    <w:rsid w:val="007409A3"/>
    <w:rPr>
      <w:rFonts w:ascii="Segoe UI" w:hAnsi="Segoe UI" w:cs="Segoe UI"/>
      <w:sz w:val="18"/>
      <w:szCs w:val="18"/>
    </w:rPr>
  </w:style>
  <w:style w:type="character" w:customStyle="1" w:styleId="BalloonTextChar">
    <w:name w:val="Balloon Text Char"/>
    <w:aliases w:val=" Char6 Char,Char6 Char"/>
    <w:link w:val="BalloonText"/>
    <w:uiPriority w:val="99"/>
    <w:semiHidden/>
    <w:rsid w:val="007409A3"/>
    <w:rPr>
      <w:rFonts w:ascii="Segoe UI" w:hAnsi="Segoe UI" w:cs="Segoe UI"/>
      <w:sz w:val="18"/>
      <w:szCs w:val="18"/>
    </w:rPr>
  </w:style>
  <w:style w:type="character" w:customStyle="1" w:styleId="Heading1Char">
    <w:name w:val="Heading 1 Char"/>
    <w:link w:val="Heading1"/>
    <w:rsid w:val="00CF5C97"/>
    <w:rPr>
      <w:rFonts w:ascii="Georgia" w:hAnsi="Georgia"/>
      <w:bCs/>
      <w:color w:val="1B556B"/>
      <w:sz w:val="48"/>
      <w:szCs w:val="22"/>
    </w:rPr>
  </w:style>
  <w:style w:type="character" w:customStyle="1" w:styleId="Heading6Char">
    <w:name w:val="Heading 6 Char"/>
    <w:basedOn w:val="DefaultParagraphFont"/>
    <w:link w:val="Heading6"/>
    <w:rsid w:val="008613C8"/>
    <w:rPr>
      <w:rFonts w:eastAsiaTheme="majorEastAsia" w:cs="Calibri"/>
      <w:b/>
      <w:bCs/>
      <w:color w:val="0E2A35" w:themeColor="accent1" w:themeShade="7F"/>
      <w:sz w:val="22"/>
      <w:szCs w:val="22"/>
    </w:rPr>
  </w:style>
  <w:style w:type="character" w:customStyle="1" w:styleId="BodyTextChar">
    <w:name w:val="Body Text Char"/>
    <w:basedOn w:val="DefaultParagraphFont"/>
    <w:link w:val="BodyText"/>
    <w:rsid w:val="009206D2"/>
    <w:rPr>
      <w:sz w:val="22"/>
      <w:szCs w:val="22"/>
    </w:rPr>
  </w:style>
  <w:style w:type="character" w:customStyle="1" w:styleId="BulletChar">
    <w:name w:val="Bullet Char"/>
    <w:link w:val="Bullet"/>
    <w:locked/>
    <w:rsid w:val="009206D2"/>
    <w:rPr>
      <w:sz w:val="22"/>
      <w:szCs w:val="22"/>
    </w:rPr>
  </w:style>
  <w:style w:type="character" w:customStyle="1" w:styleId="Heading7Char">
    <w:name w:val="Heading 7 Char"/>
    <w:aliases w:val=" Char15 Char,Char15 Char"/>
    <w:basedOn w:val="DefaultParagraphFont"/>
    <w:link w:val="Heading7"/>
    <w:semiHidden/>
    <w:rsid w:val="00FB2AFE"/>
    <w:rPr>
      <w:rFonts w:ascii="Arial" w:hAnsi="Arial"/>
      <w:i/>
      <w:iCs/>
      <w:color w:val="404040"/>
      <w:sz w:val="22"/>
      <w:szCs w:val="22"/>
      <w:lang w:eastAsia="en-US"/>
    </w:rPr>
  </w:style>
  <w:style w:type="character" w:customStyle="1" w:styleId="Heading8Char">
    <w:name w:val="Heading 8 Char"/>
    <w:aliases w:val=" Char14 Char,Char14 Char"/>
    <w:basedOn w:val="DefaultParagraphFont"/>
    <w:link w:val="Heading8"/>
    <w:semiHidden/>
    <w:rsid w:val="00FB2AFE"/>
    <w:rPr>
      <w:rFonts w:ascii="Arial" w:hAnsi="Arial"/>
      <w:color w:val="4F81BD"/>
      <w:lang w:eastAsia="en-US"/>
    </w:rPr>
  </w:style>
  <w:style w:type="character" w:customStyle="1" w:styleId="Heading9Char">
    <w:name w:val="Heading 9 Char"/>
    <w:aliases w:val=" Char13 Char,Char13 Char"/>
    <w:basedOn w:val="DefaultParagraphFont"/>
    <w:link w:val="Heading9"/>
    <w:semiHidden/>
    <w:rsid w:val="00FB2AFE"/>
    <w:rPr>
      <w:rFonts w:ascii="Arial" w:hAnsi="Arial"/>
      <w:i/>
      <w:iCs/>
      <w:color w:val="404040"/>
      <w:lang w:eastAsia="en-US"/>
    </w:rPr>
  </w:style>
  <w:style w:type="character" w:customStyle="1" w:styleId="Heading2Char">
    <w:name w:val="Heading 2 Char"/>
    <w:link w:val="Heading2"/>
    <w:rsid w:val="00793763"/>
    <w:rPr>
      <w:rFonts w:ascii="Georgia" w:hAnsi="Georgia"/>
      <w:b/>
      <w:color w:val="1B556B"/>
      <w:sz w:val="32"/>
      <w:szCs w:val="22"/>
    </w:rPr>
  </w:style>
  <w:style w:type="character" w:customStyle="1" w:styleId="Heading3Char">
    <w:name w:val="Heading 3 Char"/>
    <w:link w:val="Heading3"/>
    <w:rsid w:val="00094891"/>
    <w:rPr>
      <w:rFonts w:ascii="Georgia" w:hAnsi="Georgia"/>
      <w:b/>
      <w:color w:val="1B556B"/>
      <w:sz w:val="26"/>
      <w:szCs w:val="22"/>
    </w:rPr>
  </w:style>
  <w:style w:type="character" w:customStyle="1" w:styleId="Heading4Char">
    <w:name w:val="Heading 4 Char"/>
    <w:link w:val="Heading4"/>
    <w:rsid w:val="005E75EE"/>
    <w:rPr>
      <w:b/>
      <w:color w:val="1B556B"/>
      <w:sz w:val="22"/>
      <w:szCs w:val="22"/>
    </w:rPr>
  </w:style>
  <w:style w:type="character" w:customStyle="1" w:styleId="Heading5Char">
    <w:name w:val="Heading 5 Char"/>
    <w:link w:val="Heading5"/>
    <w:rsid w:val="00BF2A76"/>
    <w:rPr>
      <w:bCs/>
      <w:i/>
      <w:iCs/>
      <w:color w:val="1B556B"/>
      <w:sz w:val="22"/>
      <w:szCs w:val="26"/>
    </w:rPr>
  </w:style>
  <w:style w:type="character" w:customStyle="1" w:styleId="HeaderChar">
    <w:name w:val="Header Char"/>
    <w:link w:val="Header"/>
    <w:semiHidden/>
    <w:rsid w:val="00FB2AFE"/>
    <w:rPr>
      <w:rFonts w:ascii="Arial" w:hAnsi="Arial"/>
      <w:sz w:val="16"/>
      <w:szCs w:val="22"/>
    </w:rPr>
  </w:style>
  <w:style w:type="character" w:customStyle="1" w:styleId="FootnoteTextChar">
    <w:name w:val="Footnote Text Char"/>
    <w:link w:val="FootnoteText"/>
    <w:uiPriority w:val="99"/>
    <w:rsid w:val="00FB2AFE"/>
    <w:rPr>
      <w:sz w:val="19"/>
      <w:szCs w:val="22"/>
    </w:rPr>
  </w:style>
  <w:style w:type="paragraph" w:customStyle="1" w:styleId="OddFooter">
    <w:name w:val="Odd Footer"/>
    <w:basedOn w:val="Normal"/>
    <w:next w:val="Normal"/>
    <w:semiHidden/>
    <w:rsid w:val="00FB2AFE"/>
    <w:pPr>
      <w:pBdr>
        <w:top w:val="single" w:sz="4" w:space="4" w:color="auto"/>
      </w:pBdr>
      <w:tabs>
        <w:tab w:val="right" w:pos="7655"/>
        <w:tab w:val="right" w:pos="8505"/>
      </w:tabs>
    </w:pPr>
    <w:rPr>
      <w:sz w:val="16"/>
    </w:rPr>
  </w:style>
  <w:style w:type="character" w:customStyle="1" w:styleId="TitleChar">
    <w:name w:val="Title Char"/>
    <w:link w:val="Title"/>
    <w:uiPriority w:val="2"/>
    <w:semiHidden/>
    <w:rsid w:val="00053418"/>
    <w:rPr>
      <w:rFonts w:ascii="Georgia" w:hAnsi="Georgia"/>
      <w:b/>
      <w:color w:val="1B556B"/>
      <w:sz w:val="48"/>
      <w:szCs w:val="22"/>
    </w:rPr>
  </w:style>
  <w:style w:type="character" w:customStyle="1" w:styleId="SubtitleChar">
    <w:name w:val="Subtitle Char"/>
    <w:link w:val="Subtitle"/>
    <w:semiHidden/>
    <w:rsid w:val="00FB2AFE"/>
    <w:rPr>
      <w:rFonts w:ascii="Georgia" w:hAnsi="Georgia"/>
      <w:b/>
      <w:color w:val="1B556B"/>
      <w:sz w:val="36"/>
      <w:szCs w:val="22"/>
    </w:rPr>
  </w:style>
  <w:style w:type="character" w:customStyle="1" w:styleId="FooterChar">
    <w:name w:val="Footer Char"/>
    <w:basedOn w:val="DefaultParagraphFont"/>
    <w:link w:val="Footer"/>
    <w:semiHidden/>
    <w:rsid w:val="0062123F"/>
    <w:rPr>
      <w:sz w:val="22"/>
      <w:szCs w:val="22"/>
    </w:rPr>
  </w:style>
  <w:style w:type="character" w:customStyle="1" w:styleId="TableTextBoldChar">
    <w:name w:val="TableText Bold Char"/>
    <w:link w:val="TableTextBold"/>
    <w:rsid w:val="00FB2AFE"/>
    <w:rPr>
      <w:b/>
      <w:noProof/>
      <w:sz w:val="16"/>
      <w:szCs w:val="22"/>
    </w:rPr>
  </w:style>
  <w:style w:type="character" w:customStyle="1" w:styleId="TableTextChar">
    <w:name w:val="TableText Char"/>
    <w:link w:val="TableText"/>
    <w:rsid w:val="00FB2AFE"/>
    <w:rPr>
      <w:sz w:val="16"/>
      <w:szCs w:val="22"/>
    </w:rPr>
  </w:style>
  <w:style w:type="character" w:customStyle="1" w:styleId="FigureChar">
    <w:name w:val="Figure Char"/>
    <w:link w:val="Figure"/>
    <w:uiPriority w:val="1"/>
    <w:rsid w:val="00FB2AFE"/>
    <w:rPr>
      <w:b/>
      <w:sz w:val="18"/>
      <w:szCs w:val="22"/>
    </w:rPr>
  </w:style>
  <w:style w:type="character" w:customStyle="1" w:styleId="ReferencesChar">
    <w:name w:val="References Char"/>
    <w:link w:val="References"/>
    <w:rsid w:val="00FB2AFE"/>
    <w:rPr>
      <w:szCs w:val="22"/>
    </w:rPr>
  </w:style>
  <w:style w:type="character" w:customStyle="1" w:styleId="TableChar">
    <w:name w:val="Table Char"/>
    <w:link w:val="Table"/>
    <w:locked/>
    <w:rsid w:val="00FB2AFE"/>
    <w:rPr>
      <w:b/>
      <w:sz w:val="18"/>
      <w:szCs w:val="22"/>
    </w:rPr>
  </w:style>
  <w:style w:type="paragraph" w:styleId="TOCHeading">
    <w:name w:val="TOC Heading"/>
    <w:basedOn w:val="Heading1"/>
    <w:next w:val="Normal"/>
    <w:uiPriority w:val="39"/>
    <w:semiHidden/>
    <w:qFormat/>
    <w:rsid w:val="00FB2AFE"/>
    <w:pPr>
      <w:keepLines/>
      <w:pBdr>
        <w:bottom w:val="none" w:sz="0" w:space="0" w:color="auto"/>
      </w:pBdr>
      <w:spacing w:before="480" w:after="0"/>
      <w:jc w:val="both"/>
      <w:outlineLvl w:val="9"/>
    </w:pPr>
    <w:rPr>
      <w:b/>
      <w:bCs w:val="0"/>
      <w:sz w:val="28"/>
      <w:szCs w:val="28"/>
    </w:rPr>
  </w:style>
  <w:style w:type="paragraph" w:customStyle="1" w:styleId="Footereven0">
    <w:name w:val="Footer even"/>
    <w:basedOn w:val="EvenFooter"/>
    <w:uiPriority w:val="2"/>
    <w:semiHidden/>
    <w:qFormat/>
    <w:rsid w:val="005D02EF"/>
  </w:style>
  <w:style w:type="character" w:customStyle="1" w:styleId="CommentTextChar">
    <w:name w:val="Comment Text Char"/>
    <w:aliases w:val=" Char7 Char,Char7 Char"/>
    <w:link w:val="CommentText"/>
    <w:uiPriority w:val="99"/>
    <w:semiHidden/>
    <w:qFormat/>
    <w:rsid w:val="00A515BD"/>
    <w:rPr>
      <w:rFonts w:eastAsia="Arial"/>
    </w:rPr>
  </w:style>
  <w:style w:type="character" w:customStyle="1" w:styleId="CommentTextChar1">
    <w:name w:val="Comment Text Char1"/>
    <w:basedOn w:val="DefaultParagraphFont"/>
    <w:uiPriority w:val="99"/>
    <w:semiHidden/>
    <w:rsid w:val="00FB2AFE"/>
  </w:style>
  <w:style w:type="character" w:customStyle="1" w:styleId="CommentSubjectChar1">
    <w:name w:val="Comment Subject Char1"/>
    <w:aliases w:val="Char5 Char1"/>
    <w:uiPriority w:val="99"/>
    <w:semiHidden/>
    <w:rsid w:val="00FB2AFE"/>
    <w:rPr>
      <w:b/>
      <w:bCs/>
    </w:rPr>
  </w:style>
  <w:style w:type="paragraph" w:customStyle="1" w:styleId="Default">
    <w:name w:val="Default"/>
    <w:semiHidden/>
    <w:rsid w:val="00FB2AFE"/>
    <w:pPr>
      <w:autoSpaceDE w:val="0"/>
      <w:autoSpaceDN w:val="0"/>
      <w:adjustRightInd w:val="0"/>
    </w:pPr>
    <w:rPr>
      <w:rFonts w:ascii="JBHHJB+Arial,Bold" w:hAnsi="JBHHJB+Arial,Bold" w:cs="JBHHJB+Arial,Bold"/>
      <w:i/>
      <w:color w:val="000000"/>
      <w:sz w:val="24"/>
      <w:szCs w:val="24"/>
    </w:rPr>
  </w:style>
  <w:style w:type="character" w:customStyle="1" w:styleId="EndnoteTextChar">
    <w:name w:val="Endnote Text Char"/>
    <w:aliases w:val=" Char3 Char,Char3 Char"/>
    <w:link w:val="EndnoteText"/>
    <w:semiHidden/>
    <w:rsid w:val="00FB2AFE"/>
    <w:rPr>
      <w:i/>
    </w:rPr>
  </w:style>
  <w:style w:type="paragraph" w:styleId="EndnoteText">
    <w:name w:val="endnote text"/>
    <w:aliases w:val=" Char3,Char3"/>
    <w:basedOn w:val="Normal"/>
    <w:link w:val="EndnoteTextChar"/>
    <w:semiHidden/>
    <w:rsid w:val="00FB2AFE"/>
    <w:pPr>
      <w:spacing w:after="120"/>
    </w:pPr>
    <w:rPr>
      <w:i/>
      <w:sz w:val="20"/>
      <w:szCs w:val="20"/>
    </w:rPr>
  </w:style>
  <w:style w:type="character" w:customStyle="1" w:styleId="EndnoteTextChar1">
    <w:name w:val="Endnote Text Char1"/>
    <w:aliases w:val="Char3 Char1"/>
    <w:basedOn w:val="DefaultParagraphFont"/>
    <w:uiPriority w:val="99"/>
    <w:semiHidden/>
    <w:rsid w:val="00FB2AFE"/>
  </w:style>
  <w:style w:type="character" w:styleId="Emphasis">
    <w:name w:val="Emphasis"/>
    <w:uiPriority w:val="20"/>
    <w:semiHidden/>
    <w:qFormat/>
    <w:rsid w:val="00FB2AFE"/>
    <w:rPr>
      <w:i/>
      <w:iCs/>
    </w:rPr>
  </w:style>
  <w:style w:type="character" w:customStyle="1" w:styleId="BulletsChar">
    <w:name w:val="Bullets Char"/>
    <w:link w:val="Bullets"/>
    <w:semiHidden/>
    <w:rsid w:val="00FB2AFE"/>
  </w:style>
  <w:style w:type="paragraph" w:customStyle="1" w:styleId="Bullets">
    <w:name w:val="Bullets"/>
    <w:basedOn w:val="Normal"/>
    <w:link w:val="BulletsChar"/>
    <w:semiHidden/>
    <w:rsid w:val="00FB2AFE"/>
    <w:pPr>
      <w:tabs>
        <w:tab w:val="left" w:pos="397"/>
      </w:tabs>
      <w:spacing w:before="120"/>
      <w:ind w:left="397" w:hanging="397"/>
    </w:pPr>
    <w:rPr>
      <w:sz w:val="20"/>
      <w:szCs w:val="20"/>
    </w:rPr>
  </w:style>
  <w:style w:type="paragraph" w:styleId="Revision">
    <w:name w:val="Revision"/>
    <w:hidden/>
    <w:uiPriority w:val="99"/>
    <w:rsid w:val="00FB2AFE"/>
    <w:rPr>
      <w:rFonts w:ascii="Times New Roman" w:hAnsi="Times New Roman"/>
      <w:i/>
      <w:sz w:val="22"/>
      <w:lang w:eastAsia="en-US"/>
    </w:rPr>
  </w:style>
  <w:style w:type="character" w:customStyle="1" w:styleId="PlainTextChar1">
    <w:name w:val="Plain Text Char1"/>
    <w:aliases w:val="Char2 Char1"/>
    <w:uiPriority w:val="99"/>
    <w:semiHidden/>
    <w:rsid w:val="00FB2AFE"/>
    <w:rPr>
      <w:rFonts w:ascii="Courier New" w:hAnsi="Courier New" w:cs="Courier New"/>
      <w:lang w:eastAsia="en-US"/>
    </w:rPr>
  </w:style>
  <w:style w:type="paragraph" w:styleId="ListBullet">
    <w:name w:val="List Bullet"/>
    <w:basedOn w:val="Normal"/>
    <w:semiHidden/>
    <w:rsid w:val="00FB2AFE"/>
    <w:pPr>
      <w:numPr>
        <w:numId w:val="6"/>
      </w:numPr>
      <w:spacing w:after="120"/>
    </w:pPr>
    <w:rPr>
      <w:rFonts w:ascii="Arial" w:hAnsi="Arial"/>
      <w:sz w:val="24"/>
      <w:lang w:eastAsia="en-US"/>
    </w:rPr>
  </w:style>
  <w:style w:type="paragraph" w:styleId="ListBullet2">
    <w:name w:val="List Bullet 2"/>
    <w:basedOn w:val="ListBullet"/>
    <w:semiHidden/>
    <w:rsid w:val="00FB2AFE"/>
    <w:pPr>
      <w:numPr>
        <w:numId w:val="7"/>
      </w:numPr>
      <w:tabs>
        <w:tab w:val="clear" w:pos="643"/>
        <w:tab w:val="num" w:pos="720"/>
      </w:tabs>
      <w:ind w:left="720"/>
    </w:pPr>
  </w:style>
  <w:style w:type="paragraph" w:styleId="ListBullet3">
    <w:name w:val="List Bullet 3"/>
    <w:basedOn w:val="ListBullet2"/>
    <w:semiHidden/>
    <w:rsid w:val="00FB2AFE"/>
    <w:pPr>
      <w:numPr>
        <w:numId w:val="8"/>
      </w:numPr>
      <w:tabs>
        <w:tab w:val="clear" w:pos="926"/>
        <w:tab w:val="num" w:pos="1080"/>
      </w:tabs>
      <w:ind w:left="720" w:firstLine="0"/>
    </w:pPr>
  </w:style>
  <w:style w:type="paragraph" w:styleId="ListBullet4">
    <w:name w:val="List Bullet 4"/>
    <w:basedOn w:val="ListBullet3"/>
    <w:semiHidden/>
    <w:rsid w:val="00FB2AFE"/>
    <w:pPr>
      <w:numPr>
        <w:numId w:val="9"/>
      </w:numPr>
      <w:tabs>
        <w:tab w:val="clear" w:pos="1209"/>
        <w:tab w:val="left" w:pos="1435"/>
      </w:tabs>
      <w:ind w:left="1434" w:hanging="357"/>
    </w:pPr>
  </w:style>
  <w:style w:type="paragraph" w:styleId="ListBullet5">
    <w:name w:val="List Bullet 5"/>
    <w:basedOn w:val="ListBullet4"/>
    <w:semiHidden/>
    <w:rsid w:val="00FB2AFE"/>
    <w:pPr>
      <w:numPr>
        <w:numId w:val="10"/>
      </w:numPr>
      <w:tabs>
        <w:tab w:val="clear" w:pos="1435"/>
        <w:tab w:val="clear" w:pos="1492"/>
        <w:tab w:val="num" w:pos="1794"/>
      </w:tabs>
      <w:ind w:left="1794"/>
    </w:pPr>
  </w:style>
  <w:style w:type="paragraph" w:customStyle="1" w:styleId="Numberedparagraph">
    <w:name w:val="Numbered paragraph"/>
    <w:basedOn w:val="Normal"/>
    <w:qFormat/>
    <w:rsid w:val="00DF09FC"/>
    <w:pPr>
      <w:numPr>
        <w:numId w:val="12"/>
      </w:numPr>
      <w:spacing w:after="120"/>
    </w:pPr>
    <w:rPr>
      <w:rFonts w:cs="Calibri"/>
      <w:lang w:eastAsia="en-US"/>
    </w:rPr>
  </w:style>
  <w:style w:type="paragraph" w:customStyle="1" w:styleId="Sub-list">
    <w:name w:val="Sub-list"/>
    <w:basedOn w:val="Normal"/>
    <w:semiHidden/>
    <w:rsid w:val="00FB2AFE"/>
    <w:pPr>
      <w:numPr>
        <w:numId w:val="14"/>
      </w:numPr>
      <w:tabs>
        <w:tab w:val="clear" w:pos="397"/>
        <w:tab w:val="num" w:pos="360"/>
        <w:tab w:val="left" w:pos="794"/>
      </w:tabs>
      <w:spacing w:before="60" w:after="120"/>
      <w:ind w:left="794" w:hanging="397"/>
    </w:pPr>
    <w:rPr>
      <w:rFonts w:ascii="Times New Roman" w:hAnsi="Times New Roman"/>
      <w:lang w:eastAsia="en-US"/>
    </w:rPr>
  </w:style>
  <w:style w:type="paragraph" w:customStyle="1" w:styleId="Sub-lista">
    <w:name w:val="Sub-list a"/>
    <w:aliases w:val="b"/>
    <w:basedOn w:val="Normal"/>
    <w:rsid w:val="00FB2AFE"/>
    <w:pPr>
      <w:numPr>
        <w:numId w:val="13"/>
      </w:numPr>
      <w:tabs>
        <w:tab w:val="clear" w:pos="794"/>
        <w:tab w:val="left" w:pos="397"/>
      </w:tabs>
      <w:spacing w:after="120"/>
    </w:pPr>
    <w:rPr>
      <w:rFonts w:cs="Calibri"/>
      <w:lang w:eastAsia="ko-KR"/>
    </w:rPr>
  </w:style>
  <w:style w:type="paragraph" w:customStyle="1" w:styleId="Sub-listi">
    <w:name w:val="Sub-list i"/>
    <w:aliases w:val="ii"/>
    <w:basedOn w:val="BodyText"/>
    <w:rsid w:val="00FB2AFE"/>
    <w:pPr>
      <w:numPr>
        <w:numId w:val="15"/>
      </w:numPr>
      <w:tabs>
        <w:tab w:val="clear" w:pos="1191"/>
        <w:tab w:val="num" w:pos="360"/>
      </w:tabs>
      <w:spacing w:before="0"/>
      <w:ind w:left="397"/>
    </w:pPr>
  </w:style>
  <w:style w:type="paragraph" w:customStyle="1" w:styleId="TableDash">
    <w:name w:val="TableDash"/>
    <w:basedOn w:val="Normal"/>
    <w:rsid w:val="00B71C61"/>
    <w:pPr>
      <w:numPr>
        <w:numId w:val="16"/>
      </w:numPr>
      <w:tabs>
        <w:tab w:val="clear" w:pos="567"/>
        <w:tab w:val="num" w:pos="360"/>
      </w:tabs>
      <w:spacing w:before="20" w:after="20"/>
      <w:ind w:left="568" w:hanging="284"/>
    </w:pPr>
    <w:rPr>
      <w:rFonts w:cs="Arial"/>
      <w:sz w:val="16"/>
      <w:szCs w:val="16"/>
      <w:lang w:eastAsia="en-US"/>
    </w:rPr>
  </w:style>
  <w:style w:type="paragraph" w:customStyle="1" w:styleId="a">
    <w:name w:val="(a)"/>
    <w:aliases w:val="(b) list"/>
    <w:basedOn w:val="Normal"/>
    <w:semiHidden/>
    <w:rsid w:val="00FB2AFE"/>
    <w:pPr>
      <w:numPr>
        <w:numId w:val="11"/>
      </w:numPr>
      <w:tabs>
        <w:tab w:val="clear" w:pos="720"/>
        <w:tab w:val="num" w:pos="360"/>
      </w:tabs>
      <w:ind w:left="360"/>
    </w:pPr>
    <w:rPr>
      <w:rFonts w:ascii="Times New Roman" w:hAnsi="Times New Roman"/>
      <w:szCs w:val="20"/>
    </w:rPr>
  </w:style>
  <w:style w:type="character" w:customStyle="1" w:styleId="NoteundertableChar">
    <w:name w:val="Note under table Char"/>
    <w:link w:val="Noteundertable"/>
    <w:rsid w:val="00FB2AFE"/>
    <w:rPr>
      <w:sz w:val="18"/>
      <w:szCs w:val="22"/>
    </w:rPr>
  </w:style>
  <w:style w:type="character" w:styleId="CommentReference">
    <w:name w:val="annotation reference"/>
    <w:uiPriority w:val="99"/>
    <w:semiHidden/>
    <w:rsid w:val="00FB2AFE"/>
    <w:rPr>
      <w:sz w:val="16"/>
      <w:szCs w:val="16"/>
    </w:rPr>
  </w:style>
  <w:style w:type="character" w:styleId="FollowedHyperlink">
    <w:name w:val="FollowedHyperlink"/>
    <w:uiPriority w:val="99"/>
    <w:semiHidden/>
    <w:rsid w:val="00FB2AFE"/>
    <w:rPr>
      <w:color w:val="800080"/>
      <w:u w:val="none"/>
    </w:rPr>
  </w:style>
  <w:style w:type="paragraph" w:styleId="NormalWeb">
    <w:name w:val="Normal (Web)"/>
    <w:basedOn w:val="Normal"/>
    <w:semiHidden/>
    <w:rsid w:val="00FB2AFE"/>
    <w:pPr>
      <w:widowControl w:val="0"/>
      <w:adjustRightInd w:val="0"/>
      <w:spacing w:before="100" w:beforeAutospacing="1" w:after="100" w:afterAutospacing="1"/>
      <w:textAlignment w:val="baseline"/>
    </w:pPr>
    <w:rPr>
      <w:rFonts w:ascii="Times New Roman" w:hAnsi="Times New Roman"/>
      <w:szCs w:val="24"/>
      <w:lang w:val="en-GB" w:eastAsia="en-GB"/>
    </w:rPr>
  </w:style>
  <w:style w:type="table" w:styleId="Table3Deffects3">
    <w:name w:val="Table 3D effects 3"/>
    <w:basedOn w:val="TableNormal"/>
    <w:rsid w:val="00FB2AFE"/>
    <w:rPr>
      <w:rFonts w:ascii="Times New Roman" w:hAnsi="Times New Roman"/>
      <w:i/>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Captions">
    <w:name w:val="Captions"/>
    <w:basedOn w:val="Normal"/>
    <w:next w:val="Normal"/>
    <w:semiHidden/>
    <w:rsid w:val="00FB2AFE"/>
    <w:pPr>
      <w:tabs>
        <w:tab w:val="left" w:pos="851"/>
      </w:tabs>
      <w:suppressAutoHyphens/>
      <w:spacing w:before="120" w:after="120"/>
    </w:pPr>
    <w:rPr>
      <w:rFonts w:ascii="Times New Roman" w:hAnsi="Times New Roman"/>
      <w:lang w:eastAsia="ar-SA"/>
    </w:rPr>
  </w:style>
  <w:style w:type="character" w:customStyle="1" w:styleId="FootnoteCharacters">
    <w:name w:val="Footnote Characters"/>
    <w:semiHidden/>
    <w:rsid w:val="00FB2AFE"/>
    <w:rPr>
      <w:vertAlign w:val="superscript"/>
    </w:rPr>
  </w:style>
  <w:style w:type="character" w:customStyle="1" w:styleId="EndnoteCharacters">
    <w:name w:val="Endnote Characters"/>
    <w:semiHidden/>
    <w:rsid w:val="00FB2AFE"/>
    <w:rPr>
      <w:vertAlign w:val="superscript"/>
    </w:rPr>
  </w:style>
  <w:style w:type="paragraph" w:customStyle="1" w:styleId="Index">
    <w:name w:val="Index"/>
    <w:basedOn w:val="Normal"/>
    <w:semiHidden/>
    <w:rsid w:val="00FB2AFE"/>
    <w:pPr>
      <w:suppressLineNumbers/>
      <w:suppressAutoHyphens/>
      <w:spacing w:after="120"/>
    </w:pPr>
    <w:rPr>
      <w:rFonts w:ascii="Times New Roman" w:hAnsi="Times New Roman"/>
      <w:lang w:eastAsia="ar-SA"/>
    </w:rPr>
  </w:style>
  <w:style w:type="paragraph" w:styleId="TOC4">
    <w:name w:val="toc 4"/>
    <w:basedOn w:val="Normal"/>
    <w:next w:val="Normal"/>
    <w:uiPriority w:val="39"/>
    <w:rsid w:val="00FB2AFE"/>
    <w:pPr>
      <w:tabs>
        <w:tab w:val="right" w:leader="dot" w:pos="7938"/>
      </w:tabs>
      <w:suppressAutoHyphens/>
      <w:spacing w:before="60" w:after="60"/>
      <w:ind w:left="1701"/>
    </w:pPr>
    <w:rPr>
      <w:rFonts w:ascii="Arial" w:hAnsi="Arial"/>
      <w:sz w:val="18"/>
      <w:lang w:eastAsia="ar-SA"/>
    </w:rPr>
  </w:style>
  <w:style w:type="paragraph" w:styleId="TOC5">
    <w:name w:val="toc 5"/>
    <w:basedOn w:val="Normal"/>
    <w:next w:val="Normal"/>
    <w:uiPriority w:val="39"/>
    <w:rsid w:val="00FB2AFE"/>
    <w:pPr>
      <w:tabs>
        <w:tab w:val="left" w:pos="2268"/>
        <w:tab w:val="right" w:leader="dot" w:pos="7938"/>
      </w:tabs>
      <w:suppressAutoHyphens/>
      <w:spacing w:before="60" w:after="60"/>
      <w:ind w:left="2268"/>
    </w:pPr>
    <w:rPr>
      <w:rFonts w:ascii="Arial" w:hAnsi="Arial"/>
      <w:sz w:val="18"/>
      <w:lang w:eastAsia="ar-SA"/>
    </w:rPr>
  </w:style>
  <w:style w:type="paragraph" w:styleId="TOC6">
    <w:name w:val="toc 6"/>
    <w:basedOn w:val="Normal"/>
    <w:next w:val="Normal"/>
    <w:uiPriority w:val="39"/>
    <w:rsid w:val="00FB2AFE"/>
    <w:pPr>
      <w:tabs>
        <w:tab w:val="left" w:pos="2552"/>
        <w:tab w:val="right" w:leader="dot" w:pos="7938"/>
      </w:tabs>
      <w:suppressAutoHyphens/>
      <w:spacing w:before="60" w:after="60"/>
      <w:ind w:left="2835"/>
    </w:pPr>
    <w:rPr>
      <w:rFonts w:ascii="Arial" w:hAnsi="Arial"/>
      <w:sz w:val="18"/>
      <w:lang w:eastAsia="ar-SA"/>
    </w:rPr>
  </w:style>
  <w:style w:type="paragraph" w:styleId="TOC7">
    <w:name w:val="toc 7"/>
    <w:basedOn w:val="Normal"/>
    <w:next w:val="Normal"/>
    <w:uiPriority w:val="39"/>
    <w:rsid w:val="00FB2AFE"/>
    <w:pPr>
      <w:suppressAutoHyphens/>
      <w:spacing w:after="100" w:line="276" w:lineRule="auto"/>
      <w:ind w:left="1320"/>
    </w:pPr>
    <w:rPr>
      <w:lang w:eastAsia="ar-SA"/>
    </w:rPr>
  </w:style>
  <w:style w:type="paragraph" w:styleId="TOC8">
    <w:name w:val="toc 8"/>
    <w:basedOn w:val="Normal"/>
    <w:next w:val="Normal"/>
    <w:uiPriority w:val="39"/>
    <w:rsid w:val="00FB2AFE"/>
    <w:pPr>
      <w:suppressAutoHyphens/>
      <w:spacing w:after="100" w:line="276" w:lineRule="auto"/>
      <w:ind w:left="1540"/>
    </w:pPr>
    <w:rPr>
      <w:lang w:eastAsia="ar-SA"/>
    </w:rPr>
  </w:style>
  <w:style w:type="paragraph" w:styleId="TOC9">
    <w:name w:val="toc 9"/>
    <w:basedOn w:val="Normal"/>
    <w:next w:val="Normal"/>
    <w:uiPriority w:val="39"/>
    <w:rsid w:val="00FB2AFE"/>
    <w:pPr>
      <w:suppressAutoHyphens/>
      <w:spacing w:after="100" w:line="276" w:lineRule="auto"/>
      <w:ind w:left="1760"/>
    </w:pPr>
    <w:rPr>
      <w:lang w:eastAsia="ar-SA"/>
    </w:rPr>
  </w:style>
  <w:style w:type="paragraph" w:customStyle="1" w:styleId="Glossary">
    <w:name w:val="Glossary"/>
    <w:basedOn w:val="Normal"/>
    <w:semiHidden/>
    <w:rsid w:val="00FB2AFE"/>
    <w:pPr>
      <w:tabs>
        <w:tab w:val="left" w:pos="2835"/>
      </w:tabs>
      <w:suppressAutoHyphens/>
      <w:spacing w:after="120"/>
      <w:ind w:left="2835" w:hanging="2835"/>
    </w:pPr>
    <w:rPr>
      <w:rFonts w:ascii="Times New Roman" w:hAnsi="Times New Roman"/>
      <w:lang w:eastAsia="ar-SA"/>
    </w:rPr>
  </w:style>
  <w:style w:type="paragraph" w:customStyle="1" w:styleId="Headerleft">
    <w:name w:val="Header left"/>
    <w:basedOn w:val="Normal"/>
    <w:semiHidden/>
    <w:rsid w:val="00FB2AFE"/>
    <w:pPr>
      <w:suppressLineNumbers/>
      <w:tabs>
        <w:tab w:val="center" w:pos="3968"/>
        <w:tab w:val="right" w:pos="7937"/>
      </w:tabs>
      <w:suppressAutoHyphens/>
      <w:spacing w:after="120"/>
    </w:pPr>
    <w:rPr>
      <w:rFonts w:ascii="Times New Roman" w:hAnsi="Times New Roman"/>
      <w:lang w:eastAsia="ar-SA"/>
    </w:rPr>
  </w:style>
  <w:style w:type="paragraph" w:styleId="Bibliography">
    <w:name w:val="Bibliography"/>
    <w:basedOn w:val="Normal"/>
    <w:next w:val="Normal"/>
    <w:uiPriority w:val="37"/>
    <w:semiHidden/>
    <w:rsid w:val="00FB2AFE"/>
    <w:pPr>
      <w:widowControl w:val="0"/>
      <w:adjustRightInd w:val="0"/>
      <w:spacing w:after="120"/>
      <w:textAlignment w:val="baseline"/>
    </w:pPr>
    <w:rPr>
      <w:rFonts w:ascii="Times New Roman" w:hAnsi="Times New Roman"/>
      <w:lang w:eastAsia="en-US"/>
    </w:rPr>
  </w:style>
  <w:style w:type="paragraph" w:styleId="DocumentMap">
    <w:name w:val="Document Map"/>
    <w:aliases w:val=" Char1,Char1"/>
    <w:basedOn w:val="Normal"/>
    <w:link w:val="DocumentMapChar"/>
    <w:semiHidden/>
    <w:rsid w:val="00FB2AFE"/>
    <w:pPr>
      <w:widowControl w:val="0"/>
      <w:adjustRightInd w:val="0"/>
      <w:spacing w:after="120"/>
      <w:textAlignment w:val="baseline"/>
    </w:pPr>
    <w:rPr>
      <w:rFonts w:ascii="Tahoma" w:hAnsi="Tahoma" w:cs="Tahoma"/>
      <w:sz w:val="16"/>
      <w:szCs w:val="16"/>
      <w:lang w:eastAsia="en-US"/>
    </w:rPr>
  </w:style>
  <w:style w:type="character" w:customStyle="1" w:styleId="DocumentMapChar">
    <w:name w:val="Document Map Char"/>
    <w:aliases w:val=" Char1 Char,Char1 Char"/>
    <w:basedOn w:val="DefaultParagraphFont"/>
    <w:link w:val="DocumentMap"/>
    <w:semiHidden/>
    <w:rsid w:val="00FB2AFE"/>
    <w:rPr>
      <w:rFonts w:ascii="Tahoma" w:hAnsi="Tahoma" w:cs="Tahoma"/>
      <w:sz w:val="16"/>
      <w:szCs w:val="16"/>
      <w:lang w:eastAsia="en-US"/>
    </w:rPr>
  </w:style>
  <w:style w:type="paragraph" w:customStyle="1" w:styleId="StyleHeading6Before6pt">
    <w:name w:val="Style Heading 6 + Before:  6 pt"/>
    <w:basedOn w:val="Heading6"/>
    <w:uiPriority w:val="99"/>
    <w:semiHidden/>
    <w:rsid w:val="00FB2AFE"/>
    <w:pPr>
      <w:keepLines w:val="0"/>
      <w:spacing w:before="120"/>
    </w:pPr>
    <w:rPr>
      <w:rFonts w:eastAsia="Times New Roman" w:cs="Times New Roman"/>
      <w:b w:val="0"/>
      <w:iCs/>
      <w:color w:val="auto"/>
      <w:szCs w:val="20"/>
      <w:lang w:eastAsia="en-US"/>
    </w:rPr>
  </w:style>
  <w:style w:type="paragraph" w:styleId="NormalIndent">
    <w:name w:val="Normal Indent"/>
    <w:basedOn w:val="Normal"/>
    <w:uiPriority w:val="99"/>
    <w:semiHidden/>
    <w:rsid w:val="00FB2AFE"/>
    <w:pPr>
      <w:spacing w:after="120"/>
      <w:ind w:left="567" w:right="567"/>
    </w:pPr>
    <w:rPr>
      <w:rFonts w:ascii="Times New Roman" w:hAnsi="Times New Roman"/>
      <w:lang w:eastAsia="en-US"/>
    </w:rPr>
  </w:style>
  <w:style w:type="character" w:styleId="Strong">
    <w:name w:val="Strong"/>
    <w:uiPriority w:val="22"/>
    <w:semiHidden/>
    <w:qFormat/>
    <w:rsid w:val="00FB2AFE"/>
    <w:rPr>
      <w:b/>
      <w:bCs/>
    </w:rPr>
  </w:style>
  <w:style w:type="paragraph" w:styleId="Quote">
    <w:name w:val="Quote"/>
    <w:basedOn w:val="Normal"/>
    <w:next w:val="Normal"/>
    <w:link w:val="QuoteChar"/>
    <w:uiPriority w:val="29"/>
    <w:semiHidden/>
    <w:qFormat/>
    <w:rsid w:val="00FB2AFE"/>
    <w:pPr>
      <w:spacing w:after="120" w:line="260" w:lineRule="atLeast"/>
      <w:ind w:left="567" w:right="567"/>
    </w:pPr>
    <w:rPr>
      <w:iCs/>
      <w:color w:val="000000"/>
      <w:sz w:val="20"/>
      <w:lang w:eastAsia="en-US"/>
    </w:rPr>
  </w:style>
  <w:style w:type="character" w:customStyle="1" w:styleId="QuoteChar">
    <w:name w:val="Quote Char"/>
    <w:basedOn w:val="DefaultParagraphFont"/>
    <w:link w:val="Quote"/>
    <w:uiPriority w:val="29"/>
    <w:semiHidden/>
    <w:rsid w:val="0044505E"/>
    <w:rPr>
      <w:iCs/>
      <w:color w:val="000000"/>
      <w:szCs w:val="22"/>
      <w:lang w:eastAsia="en-US"/>
    </w:rPr>
  </w:style>
  <w:style w:type="character" w:styleId="BookTitle">
    <w:name w:val="Book Title"/>
    <w:uiPriority w:val="33"/>
    <w:semiHidden/>
    <w:qFormat/>
    <w:rsid w:val="00FB2AFE"/>
    <w:rPr>
      <w:b/>
      <w:bCs/>
      <w:smallCaps/>
      <w:spacing w:val="5"/>
    </w:rPr>
  </w:style>
  <w:style w:type="table" w:styleId="LightList-Accent1">
    <w:name w:val="Light List Accent 1"/>
    <w:basedOn w:val="TableNormal"/>
    <w:uiPriority w:val="61"/>
    <w:rsid w:val="00FB2AFE"/>
    <w:pPr>
      <w:jc w:val="right"/>
    </w:pPr>
    <w:rPr>
      <w:rFonts w:ascii="Arial" w:hAnsi="Arial"/>
      <w:szCs w:val="22"/>
      <w:lang w:eastAsia="en-US"/>
    </w:rPr>
    <w:tblPr>
      <w:tblStyleRowBandSize w:val="1"/>
      <w:tblStyleColBandSize w:val="1"/>
      <w:tblBorders>
        <w:top w:val="single" w:sz="8" w:space="0" w:color="1F497D"/>
        <w:bottom w:val="single" w:sz="8" w:space="0" w:color="1F497D"/>
        <w:insideH w:val="single" w:sz="8" w:space="0" w:color="1F497D"/>
      </w:tblBorders>
    </w:tblPr>
    <w:tcPr>
      <w:vAlign w:val="center"/>
    </w:tc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MediumShading1-Accent1">
    <w:name w:val="Medium Shading 1 Accent 1"/>
    <w:basedOn w:val="TableProfessional"/>
    <w:uiPriority w:val="63"/>
    <w:rsid w:val="00FB2AFE"/>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none" w:sz="0" w:space="0" w:color="auto"/>
      </w:tblBorders>
    </w:tblPr>
    <w:tcPr>
      <w:shd w:val="clear" w:color="auto" w:fill="auto"/>
    </w:tc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l2br w:val="none" w:sz="0" w:space="0" w:color="auto"/>
          <w:tr2bl w:val="none" w:sz="0" w:space="0" w:color="auto"/>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TableProfessional">
    <w:name w:val="Table Professional"/>
    <w:basedOn w:val="TableNormal"/>
    <w:uiPriority w:val="99"/>
    <w:semiHidden/>
    <w:unhideWhenUsed/>
    <w:rsid w:val="00FB2AFE"/>
    <w:pPr>
      <w:spacing w:after="120"/>
      <w:jc w:val="both"/>
    </w:pPr>
    <w:rPr>
      <w:rFonts w:ascii="Arial" w:hAnsi="Arial"/>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character" w:styleId="PlaceholderText">
    <w:name w:val="Placeholder Text"/>
    <w:uiPriority w:val="99"/>
    <w:semiHidden/>
    <w:rsid w:val="00FB2AFE"/>
    <w:rPr>
      <w:color w:val="808080"/>
    </w:rPr>
  </w:style>
  <w:style w:type="table" w:customStyle="1" w:styleId="LightList-Accent11">
    <w:name w:val="Light List - Accent 11"/>
    <w:basedOn w:val="TableNormal"/>
    <w:next w:val="LightList-Accent1"/>
    <w:uiPriority w:val="61"/>
    <w:rsid w:val="00FB2AFE"/>
    <w:rPr>
      <w:rFonts w:eastAsia="Arial"/>
      <w:sz w:val="16"/>
      <w:szCs w:val="22"/>
      <w:lang w:eastAsia="en-US"/>
    </w:rPr>
    <w:tblPr>
      <w:tblStyleRowBandSize w:val="1"/>
      <w:tblStyleColBandSize w:val="1"/>
      <w:tblBorders>
        <w:top w:val="single" w:sz="8" w:space="0" w:color="365F91"/>
        <w:left w:val="single" w:sz="8" w:space="0" w:color="365F91"/>
        <w:bottom w:val="single" w:sz="8" w:space="0" w:color="365F91"/>
        <w:right w:val="single" w:sz="8" w:space="0" w:color="365F91"/>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styleId="IntenseEmphasis">
    <w:name w:val="Intense Emphasis"/>
    <w:uiPriority w:val="21"/>
    <w:semiHidden/>
    <w:qFormat/>
    <w:rsid w:val="00FB2AFE"/>
    <w:rPr>
      <w:b w:val="0"/>
      <w:bCs/>
      <w:i w:val="0"/>
      <w:iCs/>
      <w:color w:val="4F81BD"/>
    </w:rPr>
  </w:style>
  <w:style w:type="paragraph" w:customStyle="1" w:styleId="Tableboldblue">
    <w:name w:val="Table bold blue"/>
    <w:basedOn w:val="Normal"/>
    <w:qFormat/>
    <w:rsid w:val="00FB2AFE"/>
    <w:pPr>
      <w:spacing w:before="60" w:after="60"/>
    </w:pPr>
    <w:rPr>
      <w:b/>
      <w:color w:val="1B556B" w:themeColor="text2"/>
      <w:sz w:val="16"/>
      <w:lang w:eastAsia="en-US"/>
    </w:rPr>
  </w:style>
  <w:style w:type="character" w:customStyle="1" w:styleId="BodyText3Char">
    <w:name w:val="Body Text 3 Char"/>
    <w:link w:val="BodyText3"/>
    <w:uiPriority w:val="99"/>
    <w:semiHidden/>
    <w:rsid w:val="00FB2AFE"/>
    <w:rPr>
      <w:rFonts w:eastAsia="MS Mincho"/>
      <w:sz w:val="16"/>
      <w:szCs w:val="16"/>
      <w:lang w:eastAsia="ja-JP"/>
    </w:rPr>
  </w:style>
  <w:style w:type="paragraph" w:styleId="BodyText3">
    <w:name w:val="Body Text 3"/>
    <w:basedOn w:val="Normal"/>
    <w:link w:val="BodyText3Char"/>
    <w:uiPriority w:val="99"/>
    <w:semiHidden/>
    <w:rsid w:val="00FB2AFE"/>
    <w:pPr>
      <w:spacing w:after="120"/>
    </w:pPr>
    <w:rPr>
      <w:rFonts w:eastAsia="MS Mincho"/>
      <w:sz w:val="16"/>
      <w:szCs w:val="16"/>
      <w:lang w:eastAsia="ja-JP"/>
    </w:rPr>
  </w:style>
  <w:style w:type="character" w:customStyle="1" w:styleId="BodyText3Char1">
    <w:name w:val="Body Text 3 Char1"/>
    <w:basedOn w:val="DefaultParagraphFont"/>
    <w:uiPriority w:val="99"/>
    <w:semiHidden/>
    <w:rsid w:val="00FB2AFE"/>
    <w:rPr>
      <w:sz w:val="16"/>
      <w:szCs w:val="16"/>
    </w:rPr>
  </w:style>
  <w:style w:type="character" w:customStyle="1" w:styleId="BodyTextFirstIndentChar">
    <w:name w:val="Body Text First Indent Char"/>
    <w:link w:val="BodyTextFirstIndent"/>
    <w:uiPriority w:val="99"/>
    <w:semiHidden/>
    <w:rsid w:val="00FB2AFE"/>
    <w:rPr>
      <w:rFonts w:eastAsia="MS Mincho"/>
      <w:lang w:eastAsia="ja-JP"/>
    </w:rPr>
  </w:style>
  <w:style w:type="paragraph" w:styleId="BodyTextFirstIndent">
    <w:name w:val="Body Text First Indent"/>
    <w:basedOn w:val="BodyText"/>
    <w:link w:val="BodyTextFirstIndentChar"/>
    <w:uiPriority w:val="99"/>
    <w:semiHidden/>
    <w:rsid w:val="00FB2AFE"/>
    <w:pPr>
      <w:ind w:firstLine="360"/>
    </w:pPr>
    <w:rPr>
      <w:rFonts w:eastAsia="MS Mincho"/>
      <w:sz w:val="20"/>
      <w:szCs w:val="20"/>
      <w:lang w:eastAsia="ja-JP"/>
    </w:rPr>
  </w:style>
  <w:style w:type="character" w:customStyle="1" w:styleId="BodyTextFirstIndentChar1">
    <w:name w:val="Body Text First Indent Char1"/>
    <w:basedOn w:val="BodyTextChar"/>
    <w:uiPriority w:val="99"/>
    <w:semiHidden/>
    <w:rsid w:val="00FB2AFE"/>
    <w:rPr>
      <w:sz w:val="22"/>
      <w:szCs w:val="22"/>
    </w:rPr>
  </w:style>
  <w:style w:type="character" w:customStyle="1" w:styleId="BodyTextIndentChar">
    <w:name w:val="Body Text Indent Char"/>
    <w:link w:val="BodyTextIndent"/>
    <w:uiPriority w:val="99"/>
    <w:semiHidden/>
    <w:rsid w:val="00FB2AFE"/>
    <w:rPr>
      <w:rFonts w:eastAsia="MS Mincho"/>
      <w:lang w:eastAsia="ja-JP"/>
    </w:rPr>
  </w:style>
  <w:style w:type="paragraph" w:styleId="BodyTextIndent">
    <w:name w:val="Body Text Indent"/>
    <w:basedOn w:val="Normal"/>
    <w:link w:val="BodyTextIndentChar"/>
    <w:uiPriority w:val="99"/>
    <w:semiHidden/>
    <w:rsid w:val="00FB2AFE"/>
    <w:pPr>
      <w:spacing w:after="120"/>
      <w:ind w:left="283"/>
    </w:pPr>
    <w:rPr>
      <w:rFonts w:eastAsia="MS Mincho"/>
      <w:sz w:val="20"/>
      <w:szCs w:val="20"/>
      <w:lang w:eastAsia="ja-JP"/>
    </w:rPr>
  </w:style>
  <w:style w:type="character" w:customStyle="1" w:styleId="BodyTextIndentChar1">
    <w:name w:val="Body Text Indent Char1"/>
    <w:basedOn w:val="DefaultParagraphFont"/>
    <w:uiPriority w:val="99"/>
    <w:semiHidden/>
    <w:rsid w:val="00FB2AFE"/>
    <w:rPr>
      <w:sz w:val="22"/>
      <w:szCs w:val="22"/>
    </w:rPr>
  </w:style>
  <w:style w:type="character" w:customStyle="1" w:styleId="BodyTextFirstIndent2Char">
    <w:name w:val="Body Text First Indent 2 Char"/>
    <w:link w:val="BodyTextFirstIndent2"/>
    <w:uiPriority w:val="99"/>
    <w:semiHidden/>
    <w:rsid w:val="00FB2AFE"/>
    <w:rPr>
      <w:rFonts w:eastAsia="MS Mincho"/>
      <w:lang w:eastAsia="ja-JP"/>
    </w:rPr>
  </w:style>
  <w:style w:type="paragraph" w:styleId="BodyTextFirstIndent2">
    <w:name w:val="Body Text First Indent 2"/>
    <w:basedOn w:val="BodyTextIndent"/>
    <w:link w:val="BodyTextFirstIndent2Char"/>
    <w:uiPriority w:val="99"/>
    <w:semiHidden/>
    <w:rsid w:val="00FB2AFE"/>
    <w:pPr>
      <w:spacing w:after="0"/>
      <w:ind w:left="360" w:firstLine="360"/>
    </w:pPr>
  </w:style>
  <w:style w:type="character" w:customStyle="1" w:styleId="BodyTextFirstIndent2Char1">
    <w:name w:val="Body Text First Indent 2 Char1"/>
    <w:basedOn w:val="BodyTextIndentChar1"/>
    <w:uiPriority w:val="99"/>
    <w:semiHidden/>
    <w:rsid w:val="00FB2AFE"/>
    <w:rPr>
      <w:sz w:val="22"/>
      <w:szCs w:val="22"/>
    </w:rPr>
  </w:style>
  <w:style w:type="character" w:customStyle="1" w:styleId="BodyTextIndent2Char">
    <w:name w:val="Body Text Indent 2 Char"/>
    <w:link w:val="BodyTextIndent2"/>
    <w:uiPriority w:val="99"/>
    <w:semiHidden/>
    <w:rsid w:val="00FB2AFE"/>
    <w:rPr>
      <w:rFonts w:eastAsia="MS Mincho"/>
      <w:lang w:eastAsia="ja-JP"/>
    </w:rPr>
  </w:style>
  <w:style w:type="paragraph" w:styleId="BodyTextIndent2">
    <w:name w:val="Body Text Indent 2"/>
    <w:basedOn w:val="Normal"/>
    <w:link w:val="BodyTextIndent2Char"/>
    <w:uiPriority w:val="99"/>
    <w:semiHidden/>
    <w:rsid w:val="00FB2AFE"/>
    <w:pPr>
      <w:spacing w:after="120" w:line="480" w:lineRule="auto"/>
      <w:ind w:left="283"/>
    </w:pPr>
    <w:rPr>
      <w:rFonts w:eastAsia="MS Mincho"/>
      <w:sz w:val="20"/>
      <w:szCs w:val="20"/>
      <w:lang w:eastAsia="ja-JP"/>
    </w:rPr>
  </w:style>
  <w:style w:type="character" w:customStyle="1" w:styleId="BodyTextIndent2Char1">
    <w:name w:val="Body Text Indent 2 Char1"/>
    <w:basedOn w:val="DefaultParagraphFont"/>
    <w:uiPriority w:val="99"/>
    <w:semiHidden/>
    <w:rsid w:val="00FB2AFE"/>
    <w:rPr>
      <w:sz w:val="22"/>
      <w:szCs w:val="22"/>
    </w:rPr>
  </w:style>
  <w:style w:type="character" w:customStyle="1" w:styleId="BodyTextIndent3Char">
    <w:name w:val="Body Text Indent 3 Char"/>
    <w:link w:val="BodyTextIndent3"/>
    <w:uiPriority w:val="99"/>
    <w:semiHidden/>
    <w:rsid w:val="00FB2AFE"/>
    <w:rPr>
      <w:rFonts w:eastAsia="MS Mincho"/>
      <w:sz w:val="16"/>
      <w:szCs w:val="16"/>
      <w:lang w:eastAsia="ja-JP"/>
    </w:rPr>
  </w:style>
  <w:style w:type="paragraph" w:styleId="BodyTextIndent3">
    <w:name w:val="Body Text Indent 3"/>
    <w:basedOn w:val="Normal"/>
    <w:link w:val="BodyTextIndent3Char"/>
    <w:uiPriority w:val="99"/>
    <w:semiHidden/>
    <w:rsid w:val="00FB2AFE"/>
    <w:pPr>
      <w:spacing w:after="120"/>
      <w:ind w:left="283"/>
    </w:pPr>
    <w:rPr>
      <w:rFonts w:eastAsia="MS Mincho"/>
      <w:sz w:val="16"/>
      <w:szCs w:val="16"/>
      <w:lang w:eastAsia="ja-JP"/>
    </w:rPr>
  </w:style>
  <w:style w:type="character" w:customStyle="1" w:styleId="BodyTextIndent3Char1">
    <w:name w:val="Body Text Indent 3 Char1"/>
    <w:basedOn w:val="DefaultParagraphFont"/>
    <w:uiPriority w:val="99"/>
    <w:semiHidden/>
    <w:rsid w:val="00FB2AFE"/>
    <w:rPr>
      <w:sz w:val="16"/>
      <w:szCs w:val="16"/>
    </w:rPr>
  </w:style>
  <w:style w:type="character" w:customStyle="1" w:styleId="ClosingChar">
    <w:name w:val="Closing Char"/>
    <w:link w:val="Closing"/>
    <w:uiPriority w:val="99"/>
    <w:semiHidden/>
    <w:rsid w:val="00FB2AFE"/>
    <w:rPr>
      <w:rFonts w:eastAsia="MS Mincho"/>
      <w:lang w:eastAsia="ja-JP"/>
    </w:rPr>
  </w:style>
  <w:style w:type="paragraph" w:styleId="Closing">
    <w:name w:val="Closing"/>
    <w:basedOn w:val="Normal"/>
    <w:link w:val="ClosingChar"/>
    <w:uiPriority w:val="99"/>
    <w:semiHidden/>
    <w:rsid w:val="00FB2AFE"/>
    <w:pPr>
      <w:ind w:left="4252"/>
    </w:pPr>
    <w:rPr>
      <w:rFonts w:eastAsia="MS Mincho"/>
      <w:sz w:val="20"/>
      <w:szCs w:val="20"/>
      <w:lang w:eastAsia="ja-JP"/>
    </w:rPr>
  </w:style>
  <w:style w:type="character" w:customStyle="1" w:styleId="ClosingChar1">
    <w:name w:val="Closing Char1"/>
    <w:basedOn w:val="DefaultParagraphFont"/>
    <w:uiPriority w:val="99"/>
    <w:semiHidden/>
    <w:rsid w:val="00FB2AFE"/>
    <w:rPr>
      <w:sz w:val="22"/>
      <w:szCs w:val="22"/>
    </w:rPr>
  </w:style>
  <w:style w:type="character" w:customStyle="1" w:styleId="DateChar">
    <w:name w:val="Date Char"/>
    <w:link w:val="Date"/>
    <w:uiPriority w:val="99"/>
    <w:semiHidden/>
    <w:rsid w:val="00FB2AFE"/>
    <w:rPr>
      <w:rFonts w:eastAsia="MS Mincho"/>
      <w:lang w:eastAsia="ja-JP"/>
    </w:rPr>
  </w:style>
  <w:style w:type="paragraph" w:styleId="Date">
    <w:name w:val="Date"/>
    <w:basedOn w:val="Normal"/>
    <w:next w:val="Normal"/>
    <w:link w:val="DateChar"/>
    <w:uiPriority w:val="99"/>
    <w:semiHidden/>
    <w:rsid w:val="00FB2AFE"/>
    <w:rPr>
      <w:rFonts w:eastAsia="MS Mincho"/>
      <w:sz w:val="20"/>
      <w:szCs w:val="20"/>
      <w:lang w:eastAsia="ja-JP"/>
    </w:rPr>
  </w:style>
  <w:style w:type="character" w:customStyle="1" w:styleId="DateChar1">
    <w:name w:val="Date Char1"/>
    <w:basedOn w:val="DefaultParagraphFont"/>
    <w:uiPriority w:val="99"/>
    <w:semiHidden/>
    <w:rsid w:val="00FB2AFE"/>
    <w:rPr>
      <w:sz w:val="22"/>
      <w:szCs w:val="22"/>
    </w:rPr>
  </w:style>
  <w:style w:type="character" w:customStyle="1" w:styleId="E-mailSignatureChar">
    <w:name w:val="E-mail Signature Char"/>
    <w:link w:val="E-mailSignature"/>
    <w:uiPriority w:val="99"/>
    <w:semiHidden/>
    <w:rsid w:val="00FB2AFE"/>
    <w:rPr>
      <w:rFonts w:eastAsia="MS Mincho"/>
      <w:lang w:eastAsia="ja-JP"/>
    </w:rPr>
  </w:style>
  <w:style w:type="paragraph" w:styleId="E-mailSignature">
    <w:name w:val="E-mail Signature"/>
    <w:basedOn w:val="Normal"/>
    <w:link w:val="E-mailSignatureChar"/>
    <w:uiPriority w:val="99"/>
    <w:semiHidden/>
    <w:rsid w:val="00FB2AFE"/>
    <w:rPr>
      <w:rFonts w:eastAsia="MS Mincho"/>
      <w:sz w:val="20"/>
      <w:szCs w:val="20"/>
      <w:lang w:eastAsia="ja-JP"/>
    </w:rPr>
  </w:style>
  <w:style w:type="character" w:customStyle="1" w:styleId="E-mailSignatureChar1">
    <w:name w:val="E-mail Signature Char1"/>
    <w:basedOn w:val="DefaultParagraphFont"/>
    <w:uiPriority w:val="99"/>
    <w:semiHidden/>
    <w:rsid w:val="00FB2AFE"/>
    <w:rPr>
      <w:sz w:val="22"/>
      <w:szCs w:val="22"/>
    </w:rPr>
  </w:style>
  <w:style w:type="character" w:customStyle="1" w:styleId="HTMLAddressChar">
    <w:name w:val="HTML Address Char"/>
    <w:link w:val="HTMLAddress"/>
    <w:uiPriority w:val="99"/>
    <w:semiHidden/>
    <w:rsid w:val="00FB2AFE"/>
    <w:rPr>
      <w:rFonts w:eastAsia="MS Mincho"/>
      <w:i/>
      <w:iCs/>
      <w:lang w:eastAsia="ja-JP"/>
    </w:rPr>
  </w:style>
  <w:style w:type="paragraph" w:styleId="HTMLAddress">
    <w:name w:val="HTML Address"/>
    <w:basedOn w:val="Normal"/>
    <w:link w:val="HTMLAddressChar"/>
    <w:uiPriority w:val="99"/>
    <w:semiHidden/>
    <w:rsid w:val="00FB2AFE"/>
    <w:rPr>
      <w:rFonts w:eastAsia="MS Mincho"/>
      <w:i/>
      <w:iCs/>
      <w:sz w:val="20"/>
      <w:szCs w:val="20"/>
      <w:lang w:eastAsia="ja-JP"/>
    </w:rPr>
  </w:style>
  <w:style w:type="character" w:customStyle="1" w:styleId="HTMLAddressChar1">
    <w:name w:val="HTML Address Char1"/>
    <w:basedOn w:val="DefaultParagraphFont"/>
    <w:uiPriority w:val="99"/>
    <w:semiHidden/>
    <w:rsid w:val="00FB2AFE"/>
    <w:rPr>
      <w:i/>
      <w:iCs/>
      <w:sz w:val="22"/>
      <w:szCs w:val="22"/>
    </w:rPr>
  </w:style>
  <w:style w:type="character" w:customStyle="1" w:styleId="HTMLPreformattedChar">
    <w:name w:val="HTML Preformatted Char"/>
    <w:link w:val="HTMLPreformatted"/>
    <w:uiPriority w:val="99"/>
    <w:semiHidden/>
    <w:rsid w:val="00FB2AFE"/>
    <w:rPr>
      <w:rFonts w:ascii="Consolas" w:eastAsia="MS Mincho" w:hAnsi="Consolas"/>
      <w:lang w:eastAsia="ja-JP"/>
    </w:rPr>
  </w:style>
  <w:style w:type="paragraph" w:styleId="HTMLPreformatted">
    <w:name w:val="HTML Preformatted"/>
    <w:basedOn w:val="Normal"/>
    <w:link w:val="HTMLPreformattedChar"/>
    <w:uiPriority w:val="99"/>
    <w:semiHidden/>
    <w:rsid w:val="00FB2AFE"/>
    <w:rPr>
      <w:rFonts w:ascii="Consolas" w:eastAsia="MS Mincho" w:hAnsi="Consolas"/>
      <w:sz w:val="20"/>
      <w:szCs w:val="20"/>
      <w:lang w:eastAsia="ja-JP"/>
    </w:rPr>
  </w:style>
  <w:style w:type="character" w:customStyle="1" w:styleId="HTMLPreformattedChar1">
    <w:name w:val="HTML Preformatted Char1"/>
    <w:basedOn w:val="DefaultParagraphFont"/>
    <w:uiPriority w:val="99"/>
    <w:semiHidden/>
    <w:rsid w:val="00FB2AFE"/>
    <w:rPr>
      <w:rFonts w:ascii="Consolas" w:hAnsi="Consolas"/>
    </w:rPr>
  </w:style>
  <w:style w:type="character" w:customStyle="1" w:styleId="MacroTextChar">
    <w:name w:val="Macro Text Char"/>
    <w:link w:val="MacroText"/>
    <w:uiPriority w:val="99"/>
    <w:semiHidden/>
    <w:rsid w:val="00FB2AFE"/>
    <w:rPr>
      <w:rFonts w:ascii="Consolas" w:hAnsi="Consolas"/>
    </w:rPr>
  </w:style>
  <w:style w:type="paragraph" w:styleId="MacroText">
    <w:name w:val="macro"/>
    <w:link w:val="MacroTextChar"/>
    <w:uiPriority w:val="99"/>
    <w:semiHidden/>
    <w:rsid w:val="00FB2AFE"/>
    <w:pPr>
      <w:tabs>
        <w:tab w:val="left" w:pos="480"/>
        <w:tab w:val="left" w:pos="960"/>
        <w:tab w:val="left" w:pos="1440"/>
        <w:tab w:val="left" w:pos="1920"/>
        <w:tab w:val="left" w:pos="2400"/>
        <w:tab w:val="left" w:pos="2880"/>
        <w:tab w:val="left" w:pos="3360"/>
        <w:tab w:val="left" w:pos="3840"/>
        <w:tab w:val="left" w:pos="4320"/>
      </w:tabs>
      <w:jc w:val="both"/>
    </w:pPr>
    <w:rPr>
      <w:rFonts w:ascii="Consolas" w:hAnsi="Consolas"/>
    </w:rPr>
  </w:style>
  <w:style w:type="character" w:customStyle="1" w:styleId="MacroTextChar1">
    <w:name w:val="Macro Text Char1"/>
    <w:basedOn w:val="DefaultParagraphFont"/>
    <w:uiPriority w:val="99"/>
    <w:semiHidden/>
    <w:rsid w:val="00FB2AFE"/>
    <w:rPr>
      <w:rFonts w:ascii="Consolas" w:hAnsi="Consolas"/>
    </w:rPr>
  </w:style>
  <w:style w:type="character" w:customStyle="1" w:styleId="MessageHeaderChar">
    <w:name w:val="Message Header Char"/>
    <w:link w:val="MessageHeader"/>
    <w:uiPriority w:val="99"/>
    <w:semiHidden/>
    <w:rsid w:val="00FB2AFE"/>
    <w:rPr>
      <w:rFonts w:ascii="Arial" w:eastAsia="MS Mincho" w:hAnsi="Arial"/>
      <w:sz w:val="24"/>
      <w:szCs w:val="24"/>
      <w:shd w:val="pct20" w:color="auto" w:fill="auto"/>
      <w:lang w:eastAsia="ja-JP"/>
    </w:rPr>
  </w:style>
  <w:style w:type="paragraph" w:styleId="MessageHeader">
    <w:name w:val="Message Header"/>
    <w:basedOn w:val="Normal"/>
    <w:link w:val="MessageHeaderChar"/>
    <w:uiPriority w:val="99"/>
    <w:semiHidden/>
    <w:rsid w:val="00FB2AFE"/>
    <w:pPr>
      <w:pBdr>
        <w:top w:val="single" w:sz="6" w:space="1" w:color="auto"/>
        <w:left w:val="single" w:sz="6" w:space="1" w:color="auto"/>
        <w:bottom w:val="single" w:sz="6" w:space="1" w:color="auto"/>
        <w:right w:val="single" w:sz="6" w:space="1" w:color="auto"/>
      </w:pBdr>
      <w:shd w:val="pct20" w:color="auto" w:fill="auto"/>
      <w:ind w:left="1134" w:hanging="1134"/>
    </w:pPr>
    <w:rPr>
      <w:rFonts w:ascii="Arial" w:eastAsia="MS Mincho" w:hAnsi="Arial"/>
      <w:sz w:val="24"/>
      <w:szCs w:val="24"/>
      <w:lang w:eastAsia="ja-JP"/>
    </w:rPr>
  </w:style>
  <w:style w:type="character" w:customStyle="1" w:styleId="MessageHeaderChar1">
    <w:name w:val="Message Header Char1"/>
    <w:basedOn w:val="DefaultParagraphFont"/>
    <w:uiPriority w:val="99"/>
    <w:semiHidden/>
    <w:rsid w:val="00FB2AFE"/>
    <w:rPr>
      <w:rFonts w:asciiTheme="majorHAnsi" w:eastAsiaTheme="majorEastAsia" w:hAnsiTheme="majorHAnsi" w:cstheme="majorBidi"/>
      <w:sz w:val="24"/>
      <w:szCs w:val="24"/>
      <w:shd w:val="pct20" w:color="auto" w:fill="auto"/>
    </w:rPr>
  </w:style>
  <w:style w:type="character" w:customStyle="1" w:styleId="NoteHeadingChar">
    <w:name w:val="Note Heading Char"/>
    <w:link w:val="NoteHeading"/>
    <w:uiPriority w:val="99"/>
    <w:semiHidden/>
    <w:rsid w:val="00FB2AFE"/>
    <w:rPr>
      <w:rFonts w:eastAsia="MS Mincho"/>
      <w:lang w:eastAsia="ja-JP"/>
    </w:rPr>
  </w:style>
  <w:style w:type="paragraph" w:styleId="NoteHeading">
    <w:name w:val="Note Heading"/>
    <w:basedOn w:val="Normal"/>
    <w:next w:val="Normal"/>
    <w:link w:val="NoteHeadingChar"/>
    <w:uiPriority w:val="99"/>
    <w:semiHidden/>
    <w:rsid w:val="00FB2AFE"/>
    <w:rPr>
      <w:rFonts w:eastAsia="MS Mincho"/>
      <w:sz w:val="20"/>
      <w:szCs w:val="20"/>
      <w:lang w:eastAsia="ja-JP"/>
    </w:rPr>
  </w:style>
  <w:style w:type="character" w:customStyle="1" w:styleId="NoteHeadingChar1">
    <w:name w:val="Note Heading Char1"/>
    <w:basedOn w:val="DefaultParagraphFont"/>
    <w:uiPriority w:val="99"/>
    <w:semiHidden/>
    <w:rsid w:val="00FB2AFE"/>
    <w:rPr>
      <w:sz w:val="22"/>
      <w:szCs w:val="22"/>
    </w:rPr>
  </w:style>
  <w:style w:type="character" w:customStyle="1" w:styleId="SalutationChar">
    <w:name w:val="Salutation Char"/>
    <w:link w:val="Salutation"/>
    <w:uiPriority w:val="99"/>
    <w:semiHidden/>
    <w:rsid w:val="00FB2AFE"/>
    <w:rPr>
      <w:rFonts w:eastAsia="MS Mincho"/>
      <w:lang w:eastAsia="ja-JP"/>
    </w:rPr>
  </w:style>
  <w:style w:type="paragraph" w:styleId="Salutation">
    <w:name w:val="Salutation"/>
    <w:basedOn w:val="Normal"/>
    <w:next w:val="Normal"/>
    <w:link w:val="SalutationChar"/>
    <w:uiPriority w:val="99"/>
    <w:semiHidden/>
    <w:rsid w:val="00FB2AFE"/>
    <w:rPr>
      <w:rFonts w:eastAsia="MS Mincho"/>
      <w:sz w:val="20"/>
      <w:szCs w:val="20"/>
      <w:lang w:eastAsia="ja-JP"/>
    </w:rPr>
  </w:style>
  <w:style w:type="character" w:customStyle="1" w:styleId="SalutationChar1">
    <w:name w:val="Salutation Char1"/>
    <w:basedOn w:val="DefaultParagraphFont"/>
    <w:uiPriority w:val="99"/>
    <w:semiHidden/>
    <w:rsid w:val="00FB2AFE"/>
    <w:rPr>
      <w:sz w:val="22"/>
      <w:szCs w:val="22"/>
    </w:rPr>
  </w:style>
  <w:style w:type="character" w:customStyle="1" w:styleId="SignatureChar">
    <w:name w:val="Signature Char"/>
    <w:link w:val="Signature"/>
    <w:uiPriority w:val="99"/>
    <w:semiHidden/>
    <w:rsid w:val="00FB2AFE"/>
    <w:rPr>
      <w:rFonts w:eastAsia="MS Mincho"/>
      <w:lang w:eastAsia="ja-JP"/>
    </w:rPr>
  </w:style>
  <w:style w:type="paragraph" w:styleId="Signature">
    <w:name w:val="Signature"/>
    <w:basedOn w:val="Normal"/>
    <w:link w:val="SignatureChar"/>
    <w:uiPriority w:val="99"/>
    <w:semiHidden/>
    <w:rsid w:val="00FB2AFE"/>
    <w:pPr>
      <w:ind w:left="4252"/>
    </w:pPr>
    <w:rPr>
      <w:rFonts w:eastAsia="MS Mincho"/>
      <w:sz w:val="20"/>
      <w:szCs w:val="20"/>
      <w:lang w:eastAsia="ja-JP"/>
    </w:rPr>
  </w:style>
  <w:style w:type="character" w:customStyle="1" w:styleId="SignatureChar1">
    <w:name w:val="Signature Char1"/>
    <w:basedOn w:val="DefaultParagraphFont"/>
    <w:uiPriority w:val="99"/>
    <w:semiHidden/>
    <w:rsid w:val="00FB2AFE"/>
    <w:rPr>
      <w:sz w:val="22"/>
      <w:szCs w:val="22"/>
    </w:rPr>
  </w:style>
  <w:style w:type="table" w:customStyle="1" w:styleId="TableGrid1">
    <w:name w:val="Table Grid1"/>
    <w:basedOn w:val="TableNormal"/>
    <w:next w:val="TableGrid"/>
    <w:uiPriority w:val="59"/>
    <w:rsid w:val="00FB2AFE"/>
    <w:rPr>
      <w:rFonts w:eastAsia="Calibri"/>
      <w: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FB2AFE"/>
    <w:rPr>
      <w:rFonts w:eastAsia="Calibri"/>
      <w: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lockText">
    <w:name w:val="Block Text"/>
    <w:basedOn w:val="Normal"/>
    <w:uiPriority w:val="99"/>
    <w:semiHidden/>
    <w:unhideWhenUsed/>
    <w:rsid w:val="00FB2AFE"/>
    <w:pPr>
      <w:pBdr>
        <w:top w:val="single" w:sz="2" w:space="10" w:color="4F81BD" w:shadow="1"/>
        <w:left w:val="single" w:sz="2" w:space="10" w:color="4F81BD" w:shadow="1"/>
        <w:bottom w:val="single" w:sz="2" w:space="10" w:color="4F81BD" w:shadow="1"/>
        <w:right w:val="single" w:sz="2" w:space="10" w:color="4F81BD" w:shadow="1"/>
      </w:pBdr>
      <w:spacing w:before="60" w:after="180"/>
      <w:ind w:left="1152" w:right="1152"/>
    </w:pPr>
    <w:rPr>
      <w:rFonts w:ascii="Arial" w:hAnsi="Arial"/>
      <w:i/>
      <w:iCs/>
      <w:color w:val="4F81BD"/>
      <w:szCs w:val="20"/>
      <w:lang w:eastAsia="en-US"/>
    </w:rPr>
  </w:style>
  <w:style w:type="paragraph" w:styleId="EnvelopeAddress">
    <w:name w:val="envelope address"/>
    <w:basedOn w:val="Normal"/>
    <w:uiPriority w:val="99"/>
    <w:semiHidden/>
    <w:unhideWhenUsed/>
    <w:rsid w:val="00FB2AFE"/>
    <w:pPr>
      <w:framePr w:w="7920" w:h="1980" w:hRule="exact" w:hSpace="180" w:wrap="auto" w:hAnchor="page" w:xAlign="center" w:yAlign="bottom"/>
      <w:spacing w:before="60" w:after="180"/>
      <w:ind w:left="2880"/>
    </w:pPr>
    <w:rPr>
      <w:rFonts w:ascii="Arial" w:hAnsi="Arial"/>
      <w:sz w:val="24"/>
      <w:szCs w:val="24"/>
      <w:lang w:eastAsia="en-US"/>
    </w:rPr>
  </w:style>
  <w:style w:type="paragraph" w:styleId="EnvelopeReturn">
    <w:name w:val="envelope return"/>
    <w:basedOn w:val="Normal"/>
    <w:uiPriority w:val="99"/>
    <w:semiHidden/>
    <w:unhideWhenUsed/>
    <w:rsid w:val="00FB2AFE"/>
    <w:pPr>
      <w:spacing w:before="60" w:after="180"/>
    </w:pPr>
    <w:rPr>
      <w:rFonts w:ascii="Arial" w:hAnsi="Arial"/>
      <w:sz w:val="20"/>
      <w:szCs w:val="20"/>
      <w:lang w:eastAsia="en-US"/>
    </w:rPr>
  </w:style>
  <w:style w:type="paragraph" w:styleId="Index1">
    <w:name w:val="index 1"/>
    <w:basedOn w:val="Normal"/>
    <w:next w:val="Normal"/>
    <w:autoRedefine/>
    <w:uiPriority w:val="99"/>
    <w:semiHidden/>
    <w:unhideWhenUsed/>
    <w:rsid w:val="00FB2AFE"/>
    <w:pPr>
      <w:spacing w:before="60" w:after="180"/>
      <w:ind w:left="220" w:hanging="220"/>
    </w:pPr>
    <w:rPr>
      <w:rFonts w:ascii="Times New Roman" w:hAnsi="Times New Roman"/>
      <w:szCs w:val="20"/>
      <w:lang w:eastAsia="en-US"/>
    </w:rPr>
  </w:style>
  <w:style w:type="paragraph" w:styleId="Index2">
    <w:name w:val="index 2"/>
    <w:basedOn w:val="Normal"/>
    <w:next w:val="Normal"/>
    <w:autoRedefine/>
    <w:uiPriority w:val="99"/>
    <w:semiHidden/>
    <w:unhideWhenUsed/>
    <w:rsid w:val="00FB2AFE"/>
    <w:pPr>
      <w:spacing w:before="60" w:after="180"/>
      <w:ind w:left="440" w:hanging="220"/>
    </w:pPr>
    <w:rPr>
      <w:rFonts w:ascii="Times New Roman" w:hAnsi="Times New Roman"/>
      <w:szCs w:val="20"/>
      <w:lang w:eastAsia="en-US"/>
    </w:rPr>
  </w:style>
  <w:style w:type="paragraph" w:styleId="Index3">
    <w:name w:val="index 3"/>
    <w:basedOn w:val="Normal"/>
    <w:next w:val="Normal"/>
    <w:autoRedefine/>
    <w:uiPriority w:val="99"/>
    <w:semiHidden/>
    <w:unhideWhenUsed/>
    <w:rsid w:val="00FB2AFE"/>
    <w:pPr>
      <w:spacing w:before="60" w:after="180"/>
      <w:ind w:left="660" w:hanging="220"/>
    </w:pPr>
    <w:rPr>
      <w:rFonts w:ascii="Times New Roman" w:hAnsi="Times New Roman"/>
      <w:szCs w:val="20"/>
      <w:lang w:eastAsia="en-US"/>
    </w:rPr>
  </w:style>
  <w:style w:type="paragraph" w:styleId="Index4">
    <w:name w:val="index 4"/>
    <w:basedOn w:val="Normal"/>
    <w:next w:val="Normal"/>
    <w:autoRedefine/>
    <w:uiPriority w:val="99"/>
    <w:semiHidden/>
    <w:unhideWhenUsed/>
    <w:rsid w:val="00FB2AFE"/>
    <w:pPr>
      <w:spacing w:before="60" w:after="180"/>
      <w:ind w:left="880" w:hanging="220"/>
    </w:pPr>
    <w:rPr>
      <w:rFonts w:ascii="Times New Roman" w:hAnsi="Times New Roman"/>
      <w:szCs w:val="20"/>
      <w:lang w:eastAsia="en-US"/>
    </w:rPr>
  </w:style>
  <w:style w:type="paragraph" w:styleId="Index5">
    <w:name w:val="index 5"/>
    <w:basedOn w:val="Normal"/>
    <w:next w:val="Normal"/>
    <w:autoRedefine/>
    <w:uiPriority w:val="99"/>
    <w:semiHidden/>
    <w:unhideWhenUsed/>
    <w:rsid w:val="00FB2AFE"/>
    <w:pPr>
      <w:spacing w:before="60" w:after="180"/>
      <w:ind w:left="1100" w:hanging="220"/>
    </w:pPr>
    <w:rPr>
      <w:rFonts w:ascii="Times New Roman" w:hAnsi="Times New Roman"/>
      <w:szCs w:val="20"/>
      <w:lang w:eastAsia="en-US"/>
    </w:rPr>
  </w:style>
  <w:style w:type="paragraph" w:styleId="Index6">
    <w:name w:val="index 6"/>
    <w:basedOn w:val="Normal"/>
    <w:next w:val="Normal"/>
    <w:autoRedefine/>
    <w:uiPriority w:val="99"/>
    <w:semiHidden/>
    <w:unhideWhenUsed/>
    <w:rsid w:val="00FB2AFE"/>
    <w:pPr>
      <w:spacing w:before="60" w:after="180"/>
      <w:ind w:left="1320" w:hanging="220"/>
    </w:pPr>
    <w:rPr>
      <w:rFonts w:ascii="Times New Roman" w:hAnsi="Times New Roman"/>
      <w:szCs w:val="20"/>
      <w:lang w:eastAsia="en-US"/>
    </w:rPr>
  </w:style>
  <w:style w:type="paragraph" w:styleId="Index7">
    <w:name w:val="index 7"/>
    <w:basedOn w:val="Normal"/>
    <w:next w:val="Normal"/>
    <w:autoRedefine/>
    <w:uiPriority w:val="99"/>
    <w:semiHidden/>
    <w:unhideWhenUsed/>
    <w:rsid w:val="00FB2AFE"/>
    <w:pPr>
      <w:spacing w:before="60" w:after="180"/>
      <w:ind w:left="1540" w:hanging="220"/>
    </w:pPr>
    <w:rPr>
      <w:rFonts w:ascii="Times New Roman" w:hAnsi="Times New Roman"/>
      <w:szCs w:val="20"/>
      <w:lang w:eastAsia="en-US"/>
    </w:rPr>
  </w:style>
  <w:style w:type="paragraph" w:styleId="Index8">
    <w:name w:val="index 8"/>
    <w:basedOn w:val="Normal"/>
    <w:next w:val="Normal"/>
    <w:autoRedefine/>
    <w:uiPriority w:val="99"/>
    <w:semiHidden/>
    <w:unhideWhenUsed/>
    <w:rsid w:val="00FB2AFE"/>
    <w:pPr>
      <w:spacing w:before="60" w:after="180"/>
      <w:ind w:left="1760" w:hanging="220"/>
    </w:pPr>
    <w:rPr>
      <w:rFonts w:ascii="Times New Roman" w:hAnsi="Times New Roman"/>
      <w:szCs w:val="20"/>
      <w:lang w:eastAsia="en-US"/>
    </w:rPr>
  </w:style>
  <w:style w:type="paragraph" w:styleId="Index9">
    <w:name w:val="index 9"/>
    <w:basedOn w:val="Normal"/>
    <w:next w:val="Normal"/>
    <w:autoRedefine/>
    <w:uiPriority w:val="99"/>
    <w:semiHidden/>
    <w:unhideWhenUsed/>
    <w:rsid w:val="00FB2AFE"/>
    <w:pPr>
      <w:spacing w:before="60" w:after="180"/>
      <w:ind w:left="1980" w:hanging="220"/>
    </w:pPr>
    <w:rPr>
      <w:rFonts w:ascii="Times New Roman" w:hAnsi="Times New Roman"/>
      <w:szCs w:val="20"/>
      <w:lang w:eastAsia="en-US"/>
    </w:rPr>
  </w:style>
  <w:style w:type="paragraph" w:styleId="IndexHeading">
    <w:name w:val="index heading"/>
    <w:basedOn w:val="Normal"/>
    <w:next w:val="Index1"/>
    <w:uiPriority w:val="99"/>
    <w:semiHidden/>
    <w:unhideWhenUsed/>
    <w:rsid w:val="00FB2AFE"/>
    <w:pPr>
      <w:spacing w:before="60" w:after="180"/>
    </w:pPr>
    <w:rPr>
      <w:rFonts w:ascii="Arial" w:hAnsi="Arial"/>
      <w:b/>
      <w:bCs/>
      <w:szCs w:val="20"/>
      <w:lang w:eastAsia="en-US"/>
    </w:rPr>
  </w:style>
  <w:style w:type="paragraph" w:styleId="List2">
    <w:name w:val="List 2"/>
    <w:basedOn w:val="Normal"/>
    <w:uiPriority w:val="99"/>
    <w:semiHidden/>
    <w:unhideWhenUsed/>
    <w:rsid w:val="00FB2AFE"/>
    <w:pPr>
      <w:spacing w:before="60" w:after="180"/>
      <w:ind w:left="566" w:hanging="283"/>
      <w:contextualSpacing/>
    </w:pPr>
    <w:rPr>
      <w:rFonts w:ascii="Times New Roman" w:hAnsi="Times New Roman"/>
      <w:szCs w:val="20"/>
      <w:lang w:eastAsia="en-US"/>
    </w:rPr>
  </w:style>
  <w:style w:type="paragraph" w:styleId="List3">
    <w:name w:val="List 3"/>
    <w:basedOn w:val="Normal"/>
    <w:uiPriority w:val="99"/>
    <w:semiHidden/>
    <w:unhideWhenUsed/>
    <w:rsid w:val="00FB2AFE"/>
    <w:pPr>
      <w:spacing w:before="60" w:after="180"/>
      <w:ind w:left="849" w:hanging="283"/>
      <w:contextualSpacing/>
    </w:pPr>
    <w:rPr>
      <w:rFonts w:ascii="Times New Roman" w:hAnsi="Times New Roman"/>
      <w:szCs w:val="20"/>
      <w:lang w:eastAsia="en-US"/>
    </w:rPr>
  </w:style>
  <w:style w:type="paragraph" w:styleId="List4">
    <w:name w:val="List 4"/>
    <w:basedOn w:val="Normal"/>
    <w:uiPriority w:val="99"/>
    <w:semiHidden/>
    <w:unhideWhenUsed/>
    <w:rsid w:val="00FB2AFE"/>
    <w:pPr>
      <w:spacing w:before="60" w:after="180"/>
      <w:ind w:left="1132" w:hanging="283"/>
      <w:contextualSpacing/>
    </w:pPr>
    <w:rPr>
      <w:rFonts w:ascii="Times New Roman" w:hAnsi="Times New Roman"/>
      <w:szCs w:val="20"/>
      <w:lang w:eastAsia="en-US"/>
    </w:rPr>
  </w:style>
  <w:style w:type="paragraph" w:styleId="List5">
    <w:name w:val="List 5"/>
    <w:basedOn w:val="Normal"/>
    <w:uiPriority w:val="99"/>
    <w:semiHidden/>
    <w:unhideWhenUsed/>
    <w:rsid w:val="00FB2AFE"/>
    <w:pPr>
      <w:spacing w:before="60" w:after="180"/>
      <w:ind w:left="1415" w:hanging="283"/>
      <w:contextualSpacing/>
    </w:pPr>
    <w:rPr>
      <w:rFonts w:ascii="Times New Roman" w:hAnsi="Times New Roman"/>
      <w:szCs w:val="20"/>
      <w:lang w:eastAsia="en-US"/>
    </w:rPr>
  </w:style>
  <w:style w:type="paragraph" w:styleId="ListContinue">
    <w:name w:val="List Continue"/>
    <w:basedOn w:val="Normal"/>
    <w:uiPriority w:val="99"/>
    <w:semiHidden/>
    <w:unhideWhenUsed/>
    <w:rsid w:val="00FB2AFE"/>
    <w:pPr>
      <w:spacing w:before="60" w:after="120"/>
      <w:ind w:left="283"/>
      <w:contextualSpacing/>
    </w:pPr>
    <w:rPr>
      <w:rFonts w:ascii="Times New Roman" w:hAnsi="Times New Roman"/>
      <w:szCs w:val="20"/>
      <w:lang w:eastAsia="en-US"/>
    </w:rPr>
  </w:style>
  <w:style w:type="paragraph" w:styleId="ListContinue2">
    <w:name w:val="List Continue 2"/>
    <w:basedOn w:val="Normal"/>
    <w:uiPriority w:val="99"/>
    <w:semiHidden/>
    <w:unhideWhenUsed/>
    <w:rsid w:val="00FB2AFE"/>
    <w:pPr>
      <w:spacing w:before="60" w:after="120"/>
      <w:ind w:left="566"/>
      <w:contextualSpacing/>
    </w:pPr>
    <w:rPr>
      <w:rFonts w:ascii="Times New Roman" w:hAnsi="Times New Roman"/>
      <w:szCs w:val="20"/>
      <w:lang w:eastAsia="en-US"/>
    </w:rPr>
  </w:style>
  <w:style w:type="paragraph" w:styleId="ListContinue3">
    <w:name w:val="List Continue 3"/>
    <w:basedOn w:val="Normal"/>
    <w:uiPriority w:val="99"/>
    <w:semiHidden/>
    <w:unhideWhenUsed/>
    <w:rsid w:val="00FB2AFE"/>
    <w:pPr>
      <w:spacing w:before="60" w:after="120"/>
      <w:ind w:left="849"/>
      <w:contextualSpacing/>
    </w:pPr>
    <w:rPr>
      <w:rFonts w:ascii="Times New Roman" w:hAnsi="Times New Roman"/>
      <w:szCs w:val="20"/>
      <w:lang w:eastAsia="en-US"/>
    </w:rPr>
  </w:style>
  <w:style w:type="paragraph" w:styleId="ListContinue4">
    <w:name w:val="List Continue 4"/>
    <w:basedOn w:val="Normal"/>
    <w:uiPriority w:val="99"/>
    <w:semiHidden/>
    <w:unhideWhenUsed/>
    <w:rsid w:val="00FB2AFE"/>
    <w:pPr>
      <w:spacing w:before="60" w:after="120"/>
      <w:ind w:left="1132"/>
      <w:contextualSpacing/>
    </w:pPr>
    <w:rPr>
      <w:rFonts w:ascii="Times New Roman" w:hAnsi="Times New Roman"/>
      <w:szCs w:val="20"/>
      <w:lang w:eastAsia="en-US"/>
    </w:rPr>
  </w:style>
  <w:style w:type="paragraph" w:styleId="ListContinue5">
    <w:name w:val="List Continue 5"/>
    <w:basedOn w:val="Normal"/>
    <w:uiPriority w:val="99"/>
    <w:semiHidden/>
    <w:unhideWhenUsed/>
    <w:rsid w:val="00FB2AFE"/>
    <w:pPr>
      <w:spacing w:before="60" w:after="120"/>
      <w:ind w:left="1415"/>
      <w:contextualSpacing/>
    </w:pPr>
    <w:rPr>
      <w:rFonts w:ascii="Times New Roman" w:hAnsi="Times New Roman"/>
      <w:szCs w:val="20"/>
      <w:lang w:eastAsia="en-US"/>
    </w:rPr>
  </w:style>
  <w:style w:type="paragraph" w:styleId="ListNumber">
    <w:name w:val="List Number"/>
    <w:basedOn w:val="Normal"/>
    <w:uiPriority w:val="99"/>
    <w:semiHidden/>
    <w:unhideWhenUsed/>
    <w:rsid w:val="00FB2AFE"/>
    <w:pPr>
      <w:tabs>
        <w:tab w:val="num" w:pos="360"/>
      </w:tabs>
      <w:spacing w:before="60" w:after="180"/>
      <w:ind w:left="360" w:hanging="360"/>
      <w:contextualSpacing/>
    </w:pPr>
    <w:rPr>
      <w:rFonts w:ascii="Times New Roman" w:hAnsi="Times New Roman"/>
      <w:szCs w:val="20"/>
      <w:lang w:eastAsia="en-US"/>
    </w:rPr>
  </w:style>
  <w:style w:type="paragraph" w:styleId="ListNumber2">
    <w:name w:val="List Number 2"/>
    <w:basedOn w:val="Normal"/>
    <w:uiPriority w:val="99"/>
    <w:semiHidden/>
    <w:unhideWhenUsed/>
    <w:rsid w:val="00FB2AFE"/>
    <w:pPr>
      <w:tabs>
        <w:tab w:val="num" w:pos="643"/>
      </w:tabs>
      <w:spacing w:before="60" w:after="180"/>
      <w:ind w:left="643" w:hanging="360"/>
      <w:contextualSpacing/>
    </w:pPr>
    <w:rPr>
      <w:rFonts w:ascii="Times New Roman" w:hAnsi="Times New Roman"/>
      <w:szCs w:val="20"/>
      <w:lang w:eastAsia="en-US"/>
    </w:rPr>
  </w:style>
  <w:style w:type="paragraph" w:styleId="ListNumber3">
    <w:name w:val="List Number 3"/>
    <w:basedOn w:val="Normal"/>
    <w:uiPriority w:val="99"/>
    <w:semiHidden/>
    <w:unhideWhenUsed/>
    <w:rsid w:val="00FB2AFE"/>
    <w:pPr>
      <w:tabs>
        <w:tab w:val="num" w:pos="926"/>
      </w:tabs>
      <w:spacing w:before="60" w:after="180"/>
      <w:ind w:left="926" w:hanging="360"/>
      <w:contextualSpacing/>
    </w:pPr>
    <w:rPr>
      <w:rFonts w:ascii="Times New Roman" w:hAnsi="Times New Roman"/>
      <w:szCs w:val="20"/>
      <w:lang w:eastAsia="en-US"/>
    </w:rPr>
  </w:style>
  <w:style w:type="paragraph" w:styleId="ListNumber4">
    <w:name w:val="List Number 4"/>
    <w:basedOn w:val="Normal"/>
    <w:uiPriority w:val="99"/>
    <w:semiHidden/>
    <w:unhideWhenUsed/>
    <w:rsid w:val="00FB2AFE"/>
    <w:pPr>
      <w:numPr>
        <w:numId w:val="17"/>
      </w:numPr>
      <w:spacing w:before="60" w:after="180"/>
      <w:contextualSpacing/>
    </w:pPr>
    <w:rPr>
      <w:rFonts w:ascii="Times New Roman" w:hAnsi="Times New Roman"/>
      <w:szCs w:val="20"/>
      <w:lang w:eastAsia="en-US"/>
    </w:rPr>
  </w:style>
  <w:style w:type="paragraph" w:styleId="ListNumber5">
    <w:name w:val="List Number 5"/>
    <w:basedOn w:val="Normal"/>
    <w:uiPriority w:val="99"/>
    <w:semiHidden/>
    <w:unhideWhenUsed/>
    <w:rsid w:val="00FB2AFE"/>
    <w:pPr>
      <w:numPr>
        <w:numId w:val="18"/>
      </w:numPr>
      <w:spacing w:before="60" w:after="180"/>
      <w:contextualSpacing/>
    </w:pPr>
    <w:rPr>
      <w:rFonts w:ascii="Times New Roman" w:hAnsi="Times New Roman"/>
      <w:szCs w:val="20"/>
      <w:lang w:eastAsia="en-US"/>
    </w:rPr>
  </w:style>
  <w:style w:type="paragraph" w:styleId="TableofAuthorities">
    <w:name w:val="table of authorities"/>
    <w:basedOn w:val="Normal"/>
    <w:next w:val="Normal"/>
    <w:uiPriority w:val="99"/>
    <w:semiHidden/>
    <w:unhideWhenUsed/>
    <w:rsid w:val="00FB2AFE"/>
    <w:pPr>
      <w:spacing w:before="60" w:after="180"/>
      <w:ind w:left="220" w:hanging="220"/>
    </w:pPr>
    <w:rPr>
      <w:rFonts w:ascii="Times New Roman" w:hAnsi="Times New Roman"/>
      <w:szCs w:val="20"/>
      <w:lang w:eastAsia="en-US"/>
    </w:rPr>
  </w:style>
  <w:style w:type="paragraph" w:styleId="TOAHeading">
    <w:name w:val="toa heading"/>
    <w:basedOn w:val="Normal"/>
    <w:next w:val="Normal"/>
    <w:uiPriority w:val="99"/>
    <w:semiHidden/>
    <w:rsid w:val="00FB2AFE"/>
    <w:pPr>
      <w:spacing w:before="120" w:after="180"/>
    </w:pPr>
    <w:rPr>
      <w:rFonts w:ascii="Arial" w:hAnsi="Arial"/>
      <w:b/>
      <w:bCs/>
      <w:sz w:val="24"/>
      <w:szCs w:val="24"/>
      <w:lang w:eastAsia="en-US"/>
    </w:rPr>
  </w:style>
  <w:style w:type="paragraph" w:customStyle="1" w:styleId="Bulletindent">
    <w:name w:val="Bullet indent"/>
    <w:basedOn w:val="Bullet"/>
    <w:next w:val="BodyText"/>
    <w:semiHidden/>
    <w:qFormat/>
    <w:rsid w:val="00FB2AFE"/>
    <w:pPr>
      <w:numPr>
        <w:numId w:val="2"/>
      </w:numPr>
      <w:tabs>
        <w:tab w:val="left" w:pos="794"/>
      </w:tabs>
      <w:ind w:left="794"/>
    </w:pPr>
  </w:style>
  <w:style w:type="paragraph" w:customStyle="1" w:styleId="Acknowledgements">
    <w:name w:val="Acknowledgements"/>
    <w:basedOn w:val="Normal"/>
    <w:semiHidden/>
    <w:rsid w:val="00FB2AFE"/>
    <w:pPr>
      <w:spacing w:before="60" w:after="60"/>
    </w:pPr>
    <w:rPr>
      <w:rFonts w:ascii="Times New Roman" w:hAnsi="Times New Roman"/>
      <w:szCs w:val="20"/>
      <w:lang w:eastAsia="en-US"/>
    </w:rPr>
  </w:style>
  <w:style w:type="numbering" w:customStyle="1" w:styleId="NoList1">
    <w:name w:val="No List1"/>
    <w:next w:val="NoList"/>
    <w:uiPriority w:val="99"/>
    <w:semiHidden/>
    <w:unhideWhenUsed/>
    <w:rsid w:val="00FB2AFE"/>
  </w:style>
  <w:style w:type="character" w:customStyle="1" w:styleId="PlainTextChar">
    <w:name w:val="Plain Text Char"/>
    <w:aliases w:val=" Char2 Char,Char2 Char"/>
    <w:link w:val="PlainText"/>
    <w:uiPriority w:val="99"/>
    <w:semiHidden/>
    <w:rsid w:val="00FB2AFE"/>
    <w:rPr>
      <w:rFonts w:ascii="Verdana" w:hAnsi="Verdana"/>
      <w:szCs w:val="21"/>
    </w:rPr>
  </w:style>
  <w:style w:type="paragraph" w:styleId="PlainText">
    <w:name w:val="Plain Text"/>
    <w:aliases w:val=" Char2,Char2"/>
    <w:basedOn w:val="Normal"/>
    <w:link w:val="PlainTextChar"/>
    <w:uiPriority w:val="99"/>
    <w:semiHidden/>
    <w:rsid w:val="00FB2AFE"/>
    <w:pPr>
      <w:spacing w:after="120"/>
    </w:pPr>
    <w:rPr>
      <w:rFonts w:ascii="Verdana" w:hAnsi="Verdana"/>
      <w:sz w:val="20"/>
      <w:szCs w:val="21"/>
    </w:rPr>
  </w:style>
  <w:style w:type="character" w:customStyle="1" w:styleId="PlainTextChar2">
    <w:name w:val="Plain Text Char2"/>
    <w:basedOn w:val="DefaultParagraphFont"/>
    <w:uiPriority w:val="99"/>
    <w:semiHidden/>
    <w:rsid w:val="00FB2AFE"/>
    <w:rPr>
      <w:rFonts w:ascii="Consolas" w:hAnsi="Consolas"/>
      <w:sz w:val="21"/>
      <w:szCs w:val="21"/>
    </w:rPr>
  </w:style>
  <w:style w:type="paragraph" w:customStyle="1" w:styleId="Bulletfirst">
    <w:name w:val="Bullet first"/>
    <w:basedOn w:val="Bullet"/>
    <w:semiHidden/>
    <w:qFormat/>
    <w:rsid w:val="00FB2AFE"/>
    <w:pPr>
      <w:numPr>
        <w:numId w:val="0"/>
      </w:numPr>
      <w:tabs>
        <w:tab w:val="num" w:pos="567"/>
      </w:tabs>
      <w:ind w:left="851" w:hanging="284"/>
    </w:pPr>
  </w:style>
  <w:style w:type="paragraph" w:customStyle="1" w:styleId="Bulletlast">
    <w:name w:val="Bullet last"/>
    <w:basedOn w:val="Bullet"/>
    <w:semiHidden/>
    <w:qFormat/>
    <w:rsid w:val="00FB2AFE"/>
    <w:pPr>
      <w:numPr>
        <w:numId w:val="0"/>
      </w:numPr>
      <w:tabs>
        <w:tab w:val="num" w:pos="567"/>
      </w:tabs>
      <w:ind w:left="567" w:hanging="567"/>
    </w:pPr>
  </w:style>
  <w:style w:type="numbering" w:customStyle="1" w:styleId="Annex">
    <w:name w:val="Annex"/>
    <w:uiPriority w:val="99"/>
    <w:rsid w:val="00FB2AFE"/>
    <w:pPr>
      <w:numPr>
        <w:numId w:val="19"/>
      </w:numPr>
    </w:pPr>
  </w:style>
  <w:style w:type="paragraph" w:styleId="ListParagraph">
    <w:name w:val="List Paragraph"/>
    <w:basedOn w:val="Normal"/>
    <w:link w:val="ListParagraphChar"/>
    <w:uiPriority w:val="34"/>
    <w:semiHidden/>
    <w:qFormat/>
    <w:rsid w:val="00FB2AFE"/>
    <w:pPr>
      <w:spacing w:after="120"/>
      <w:ind w:left="720"/>
      <w:contextualSpacing/>
    </w:pPr>
    <w:rPr>
      <w:rFonts w:eastAsia="Malgun Gothic"/>
      <w:sz w:val="20"/>
      <w:lang w:eastAsia="en-US"/>
    </w:rPr>
  </w:style>
  <w:style w:type="character" w:styleId="EndnoteReference">
    <w:name w:val="endnote reference"/>
    <w:uiPriority w:val="99"/>
    <w:semiHidden/>
    <w:unhideWhenUsed/>
    <w:rsid w:val="00FB2AFE"/>
    <w:rPr>
      <w:vertAlign w:val="superscript"/>
    </w:rPr>
  </w:style>
  <w:style w:type="paragraph" w:customStyle="1" w:styleId="TableHeading">
    <w:name w:val="Table Heading"/>
    <w:basedOn w:val="TableText"/>
    <w:semiHidden/>
    <w:rsid w:val="00FB2AFE"/>
    <w:pPr>
      <w:tabs>
        <w:tab w:val="left" w:pos="567"/>
      </w:tabs>
    </w:pPr>
    <w:rPr>
      <w:rFonts w:ascii="Arial Bold" w:hAnsi="Arial Bold"/>
      <w:b/>
      <w:noProof/>
      <w:szCs w:val="16"/>
    </w:rPr>
  </w:style>
  <w:style w:type="table" w:styleId="ColorfulList-Accent6">
    <w:name w:val="Colorful List Accent 6"/>
    <w:basedOn w:val="TableNormal"/>
    <w:uiPriority w:val="72"/>
    <w:rsid w:val="00FB2AFE"/>
    <w:rPr>
      <w:rFonts w:ascii="Arial" w:hAnsi="Arial"/>
      <w:color w:val="000000"/>
      <w:sz w:val="16"/>
    </w:rPr>
    <w:tblPr>
      <w:tblStyleRowBandSize w:val="1"/>
      <w:tblStyleColBandSize w:val="1"/>
    </w:tblPr>
    <w:tcPr>
      <w:shd w:val="clear" w:color="auto" w:fill="FFFFFF"/>
    </w:tcPr>
    <w:tblStylePr w:type="firstRow">
      <w:rPr>
        <w:b/>
        <w:bCs/>
        <w:color w:val="FFFFFF"/>
      </w:rPr>
      <w:tblPr/>
      <w:tcPr>
        <w:tcBorders>
          <w:bottom w:val="single" w:sz="12" w:space="0" w:color="FFFFFF"/>
        </w:tcBorders>
        <w:shd w:val="clear" w:color="auto" w:fill="3259A0"/>
      </w:tcPr>
    </w:tblStylePr>
    <w:tblStylePr w:type="lastRow">
      <w:rPr>
        <w:b/>
        <w:bCs/>
        <w:color w:val="3259A0"/>
      </w:rPr>
      <w:tblPr/>
      <w:tcPr>
        <w:tcBorders>
          <w:top w:val="single" w:sz="12" w:space="0" w:color="000000"/>
        </w:tcBorders>
        <w:shd w:val="clear" w:color="auto" w:fill="FFFFFF"/>
      </w:tcPr>
    </w:tblStylePr>
    <w:tblStylePr w:type="firstCol">
      <w:rPr>
        <w:rFonts w:ascii="Arial" w:hAnsi="Arial"/>
        <w:b w:val="0"/>
        <w:bCs/>
        <w:sz w:val="16"/>
      </w:rPr>
    </w:tblStylePr>
    <w:tblStylePr w:type="lastCol">
      <w:rPr>
        <w:rFonts w:ascii="Arial" w:hAnsi="Arial"/>
        <w:b w:val="0"/>
        <w:bCs/>
        <w:sz w:val="16"/>
      </w:rPr>
      <w:tblPr/>
      <w:tcPr>
        <w:tcBorders>
          <w:insideH w:val="nil"/>
        </w:tcBorders>
        <w:shd w:val="clear" w:color="auto" w:fill="FFFFFF"/>
      </w:tcPr>
    </w:tblStylePr>
    <w:tblStylePr w:type="band1Horz">
      <w:tblPr/>
      <w:tcPr>
        <w:shd w:val="clear" w:color="auto" w:fill="FFFFFF"/>
      </w:tcPr>
    </w:tblStylePr>
    <w:tblStylePr w:type="band2Horz">
      <w:tblPr/>
      <w:tcPr>
        <w:shd w:val="clear" w:color="auto" w:fill="FFFFFF"/>
      </w:tcPr>
    </w:tblStylePr>
  </w:style>
  <w:style w:type="table" w:styleId="LightList-Accent5">
    <w:name w:val="Light List Accent 5"/>
    <w:basedOn w:val="TableNormal"/>
    <w:uiPriority w:val="61"/>
    <w:rsid w:val="00FB2AFE"/>
    <w:rPr>
      <w:rFonts w:ascii="Times New Roman" w:hAnsi="Times New Roman"/>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numbering" w:customStyle="1" w:styleId="Annex1">
    <w:name w:val="Annex1"/>
    <w:uiPriority w:val="99"/>
    <w:rsid w:val="00FB2AFE"/>
  </w:style>
  <w:style w:type="numbering" w:customStyle="1" w:styleId="Annex11">
    <w:name w:val="Annex11"/>
    <w:uiPriority w:val="99"/>
    <w:rsid w:val="00FB2AFE"/>
  </w:style>
  <w:style w:type="numbering" w:customStyle="1" w:styleId="NoList2">
    <w:name w:val="No List2"/>
    <w:next w:val="NoList"/>
    <w:uiPriority w:val="99"/>
    <w:semiHidden/>
    <w:unhideWhenUsed/>
    <w:rsid w:val="00FB2AFE"/>
  </w:style>
  <w:style w:type="table" w:customStyle="1" w:styleId="TableGrid3">
    <w:name w:val="Table Grid3"/>
    <w:basedOn w:val="TableNormal"/>
    <w:next w:val="TableGrid"/>
    <w:uiPriority w:val="59"/>
    <w:rsid w:val="00FB2AFE"/>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3Deffects31">
    <w:name w:val="Table 3D effects 31"/>
    <w:basedOn w:val="TableNormal"/>
    <w:next w:val="Table3Deffects3"/>
    <w:rsid w:val="00FB2AFE"/>
    <w:rPr>
      <w:rFonts w:ascii="Times New Roman" w:hAnsi="Times New Roman"/>
      <w:i/>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LightList-Accent12">
    <w:name w:val="Light List - Accent 12"/>
    <w:basedOn w:val="TableNormal"/>
    <w:next w:val="LightList-Accent1"/>
    <w:uiPriority w:val="61"/>
    <w:rsid w:val="00FB2AFE"/>
    <w:pPr>
      <w:jc w:val="right"/>
    </w:pPr>
    <w:rPr>
      <w:rFonts w:ascii="Arial" w:hAnsi="Arial"/>
      <w:szCs w:val="22"/>
      <w:lang w:eastAsia="en-US"/>
    </w:rPr>
    <w:tblPr>
      <w:tblStyleRowBandSize w:val="1"/>
      <w:tblStyleColBandSize w:val="1"/>
      <w:tblBorders>
        <w:top w:val="single" w:sz="8" w:space="0" w:color="1F497D"/>
        <w:bottom w:val="single" w:sz="8" w:space="0" w:color="1F497D"/>
        <w:insideH w:val="single" w:sz="8" w:space="0" w:color="1F497D"/>
      </w:tblBorders>
    </w:tblPr>
    <w:tcPr>
      <w:vAlign w:val="center"/>
    </w:tc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Shading1-Accent11">
    <w:name w:val="Medium Shading 1 - Accent 11"/>
    <w:basedOn w:val="TableProfessional"/>
    <w:next w:val="MediumShading1-Accent1"/>
    <w:uiPriority w:val="63"/>
    <w:rsid w:val="00FB2AFE"/>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none" w:sz="0" w:space="0" w:color="auto"/>
      </w:tblBorders>
    </w:tblPr>
    <w:tcPr>
      <w:shd w:val="clear" w:color="auto" w:fill="auto"/>
    </w:tc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l2br w:val="none" w:sz="0" w:space="0" w:color="auto"/>
          <w:tr2bl w:val="none" w:sz="0" w:space="0" w:color="auto"/>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Professional1">
    <w:name w:val="Table Professional1"/>
    <w:basedOn w:val="TableNormal"/>
    <w:next w:val="TableProfessional"/>
    <w:uiPriority w:val="99"/>
    <w:semiHidden/>
    <w:unhideWhenUsed/>
    <w:rsid w:val="00FB2AFE"/>
    <w:pPr>
      <w:spacing w:after="120"/>
      <w:jc w:val="both"/>
    </w:pPr>
    <w:rPr>
      <w:rFonts w:ascii="Arial" w:hAnsi="Arial"/>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LightList-Accent111">
    <w:name w:val="Light List - Accent 111"/>
    <w:basedOn w:val="TableNormal"/>
    <w:next w:val="LightList-Accent1"/>
    <w:uiPriority w:val="61"/>
    <w:rsid w:val="00FB2AFE"/>
    <w:rPr>
      <w:rFonts w:eastAsia="Arial"/>
      <w:sz w:val="16"/>
      <w:szCs w:val="22"/>
      <w:lang w:eastAsia="en-US"/>
    </w:rPr>
    <w:tblPr>
      <w:tblStyleRowBandSize w:val="1"/>
      <w:tblStyleColBandSize w:val="1"/>
      <w:tblBorders>
        <w:top w:val="single" w:sz="8" w:space="0" w:color="365F91"/>
        <w:left w:val="single" w:sz="8" w:space="0" w:color="365F91"/>
        <w:bottom w:val="single" w:sz="8" w:space="0" w:color="365F91"/>
        <w:right w:val="single" w:sz="8" w:space="0" w:color="365F91"/>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11">
    <w:name w:val="Table Grid11"/>
    <w:basedOn w:val="TableNormal"/>
    <w:next w:val="TableGrid"/>
    <w:uiPriority w:val="59"/>
    <w:rsid w:val="00FB2AFE"/>
    <w:rPr>
      <w:rFonts w:eastAsia="Calibri"/>
      <w: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FB2AFE"/>
    <w:rPr>
      <w:rFonts w:eastAsia="Calibri"/>
      <w: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FB2AFE"/>
  </w:style>
  <w:style w:type="paragraph" w:customStyle="1" w:styleId="BoxSubbullet">
    <w:name w:val="Box Subbullet"/>
    <w:basedOn w:val="BoxBullet"/>
    <w:uiPriority w:val="2"/>
    <w:semiHidden/>
    <w:qFormat/>
    <w:rsid w:val="00FB2AFE"/>
    <w:pPr>
      <w:numPr>
        <w:numId w:val="0"/>
      </w:numPr>
      <w:tabs>
        <w:tab w:val="left" w:pos="680"/>
      </w:tabs>
      <w:ind w:left="1135" w:hanging="851"/>
    </w:pPr>
  </w:style>
  <w:style w:type="character" w:customStyle="1" w:styleId="UnresolvedMention1">
    <w:name w:val="Unresolved Mention1"/>
    <w:uiPriority w:val="99"/>
    <w:semiHidden/>
    <w:unhideWhenUsed/>
    <w:rsid w:val="00FB2AFE"/>
    <w:rPr>
      <w:color w:val="605E5C"/>
      <w:shd w:val="clear" w:color="auto" w:fill="E1DFDD"/>
    </w:rPr>
  </w:style>
  <w:style w:type="paragraph" w:customStyle="1" w:styleId="Keypointshead">
    <w:name w:val="Key points head"/>
    <w:basedOn w:val="BoxHeading"/>
    <w:semiHidden/>
    <w:qFormat/>
    <w:rsid w:val="00FB2AFE"/>
    <w:pPr>
      <w:pBdr>
        <w:top w:val="none" w:sz="0" w:space="0" w:color="auto"/>
        <w:left w:val="none" w:sz="0" w:space="0" w:color="auto"/>
        <w:bottom w:val="none" w:sz="0" w:space="0" w:color="auto"/>
        <w:right w:val="none" w:sz="0" w:space="0" w:color="auto"/>
      </w:pBdr>
      <w:spacing w:after="120"/>
      <w:ind w:left="284"/>
    </w:pPr>
    <w:rPr>
      <w:sz w:val="20"/>
    </w:rPr>
  </w:style>
  <w:style w:type="paragraph" w:customStyle="1" w:styleId="Keypointsbullet">
    <w:name w:val="Key points bullet"/>
    <w:basedOn w:val="BoxBullet"/>
    <w:semiHidden/>
    <w:qFormat/>
    <w:rsid w:val="00FB2AFE"/>
    <w:pPr>
      <w:numPr>
        <w:numId w:val="22"/>
      </w:numPr>
      <w:pBdr>
        <w:top w:val="none" w:sz="0" w:space="0" w:color="auto"/>
        <w:left w:val="none" w:sz="0" w:space="0" w:color="auto"/>
        <w:bottom w:val="none" w:sz="0" w:space="0" w:color="auto"/>
        <w:right w:val="none" w:sz="0" w:space="0" w:color="auto"/>
      </w:pBdr>
      <w:tabs>
        <w:tab w:val="clear" w:pos="567"/>
      </w:tabs>
    </w:pPr>
    <w:rPr>
      <w:sz w:val="18"/>
      <w:szCs w:val="18"/>
    </w:rPr>
  </w:style>
  <w:style w:type="paragraph" w:customStyle="1" w:styleId="Keypointsub-bullet">
    <w:name w:val="Key point sub-bullet"/>
    <w:basedOn w:val="BoxSubbullet"/>
    <w:semiHidden/>
    <w:qFormat/>
    <w:rsid w:val="00FB2AFE"/>
    <w:pPr>
      <w:numPr>
        <w:numId w:val="20"/>
      </w:numPr>
      <w:pBdr>
        <w:top w:val="none" w:sz="0" w:space="0" w:color="auto"/>
        <w:left w:val="none" w:sz="0" w:space="0" w:color="auto"/>
        <w:bottom w:val="none" w:sz="0" w:space="0" w:color="auto"/>
        <w:right w:val="none" w:sz="0" w:space="0" w:color="auto"/>
      </w:pBdr>
      <w:tabs>
        <w:tab w:val="clear" w:pos="567"/>
        <w:tab w:val="clear" w:pos="680"/>
        <w:tab w:val="left" w:pos="1077"/>
      </w:tabs>
      <w:ind w:left="1077" w:hanging="397"/>
    </w:pPr>
    <w:rPr>
      <w:sz w:val="18"/>
      <w:szCs w:val="18"/>
    </w:rPr>
  </w:style>
  <w:style w:type="paragraph" w:customStyle="1" w:styleId="Keypointstext">
    <w:name w:val="Key points text"/>
    <w:basedOn w:val="Keypointshead"/>
    <w:semiHidden/>
    <w:qFormat/>
    <w:rsid w:val="00FB2AFE"/>
    <w:pPr>
      <w:spacing w:before="120"/>
    </w:pPr>
    <w:rPr>
      <w:b w:val="0"/>
    </w:rPr>
  </w:style>
  <w:style w:type="paragraph" w:customStyle="1" w:styleId="Boxa">
    <w:name w:val="Box a"/>
    <w:aliases w:val="b list"/>
    <w:basedOn w:val="Normal"/>
    <w:semiHidden/>
    <w:qFormat/>
    <w:rsid w:val="00FB2AFE"/>
    <w:pPr>
      <w:numPr>
        <w:ilvl w:val="1"/>
        <w:numId w:val="21"/>
      </w:numPr>
      <w:pBdr>
        <w:top w:val="single" w:sz="6" w:space="15" w:color="0092CF"/>
        <w:left w:val="single" w:sz="6" w:space="15" w:color="0092CF"/>
        <w:bottom w:val="single" w:sz="6" w:space="15" w:color="0092CF"/>
        <w:right w:val="single" w:sz="6" w:space="15" w:color="0092CF"/>
      </w:pBdr>
      <w:tabs>
        <w:tab w:val="left" w:pos="426"/>
      </w:tabs>
      <w:spacing w:before="120" w:line="280" w:lineRule="atLeast"/>
      <w:ind w:right="284"/>
    </w:pPr>
    <w:rPr>
      <w:color w:val="0092CF"/>
      <w:sz w:val="20"/>
      <w:szCs w:val="20"/>
    </w:rPr>
  </w:style>
  <w:style w:type="table" w:styleId="LightShading-Accent1">
    <w:name w:val="Light Shading Accent 1"/>
    <w:basedOn w:val="TableNormal"/>
    <w:uiPriority w:val="60"/>
    <w:rsid w:val="00FB2AFE"/>
    <w:pPr>
      <w:jc w:val="both"/>
    </w:pPr>
    <w:rPr>
      <w:rFonts w:eastAsia="Calibri"/>
      <w:color w:val="365F91"/>
      <w:sz w:val="22"/>
      <w:szCs w:val="22"/>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stTable3-Accent1">
    <w:name w:val="List Table 3 Accent 1"/>
    <w:basedOn w:val="TableNormal"/>
    <w:uiPriority w:val="48"/>
    <w:rsid w:val="00FB2AFE"/>
    <w:pPr>
      <w:spacing w:before="120"/>
      <w:jc w:val="both"/>
    </w:pPr>
    <w:rPr>
      <w:rFonts w:eastAsia="Calibri"/>
      <w:sz w:val="22"/>
      <w:szCs w:val="22"/>
      <w:lang w:eastAsia="en-US"/>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character" w:customStyle="1" w:styleId="UnresolvedMention2">
    <w:name w:val="Unresolved Mention2"/>
    <w:uiPriority w:val="99"/>
    <w:semiHidden/>
    <w:unhideWhenUsed/>
    <w:rsid w:val="00FB2AFE"/>
    <w:rPr>
      <w:color w:val="605E5C"/>
      <w:shd w:val="clear" w:color="auto" w:fill="E1DFDD"/>
    </w:rPr>
  </w:style>
  <w:style w:type="character" w:customStyle="1" w:styleId="Heading8Char1">
    <w:name w:val="Heading 8 Char1"/>
    <w:aliases w:val="Char14 Char1"/>
    <w:semiHidden/>
    <w:rsid w:val="00FB2AFE"/>
    <w:rPr>
      <w:rFonts w:ascii="Calibri Light" w:eastAsia="Times New Roman" w:hAnsi="Calibri Light" w:cs="Times New Roman"/>
      <w:color w:val="272727"/>
      <w:sz w:val="21"/>
      <w:szCs w:val="21"/>
      <w:lang w:eastAsia="en-US"/>
    </w:rPr>
  </w:style>
  <w:style w:type="character" w:customStyle="1" w:styleId="Heading9Char1">
    <w:name w:val="Heading 9 Char1"/>
    <w:aliases w:val="Char13 Char1"/>
    <w:semiHidden/>
    <w:rsid w:val="00FB2AFE"/>
    <w:rPr>
      <w:rFonts w:ascii="Calibri Light" w:eastAsia="Times New Roman" w:hAnsi="Calibri Light" w:cs="Times New Roman"/>
      <w:i/>
      <w:iCs/>
      <w:color w:val="272727"/>
      <w:sz w:val="21"/>
      <w:szCs w:val="21"/>
      <w:lang w:eastAsia="en-US"/>
    </w:rPr>
  </w:style>
  <w:style w:type="character" w:customStyle="1" w:styleId="FooterChar1">
    <w:name w:val="Footer Char1"/>
    <w:aliases w:val="Char10 Char1"/>
    <w:semiHidden/>
    <w:rsid w:val="00FB2AFE"/>
    <w:rPr>
      <w:rFonts w:ascii="Times New Roman" w:hAnsi="Times New Roman"/>
      <w:sz w:val="22"/>
      <w:lang w:eastAsia="en-US"/>
    </w:rPr>
  </w:style>
  <w:style w:type="paragraph" w:customStyle="1" w:styleId="TableText2">
    <w:name w:val="TableText 2"/>
    <w:basedOn w:val="TableText"/>
    <w:semiHidden/>
    <w:qFormat/>
    <w:rsid w:val="00FB2AFE"/>
    <w:pPr>
      <w:spacing w:line="240" w:lineRule="atLeast"/>
      <w:ind w:left="737"/>
    </w:pPr>
  </w:style>
  <w:style w:type="paragraph" w:customStyle="1" w:styleId="TableText1">
    <w:name w:val="TableText 1"/>
    <w:basedOn w:val="TableText"/>
    <w:semiHidden/>
    <w:qFormat/>
    <w:rsid w:val="00FB2AFE"/>
    <w:pPr>
      <w:spacing w:line="240" w:lineRule="atLeast"/>
      <w:ind w:left="397"/>
    </w:pPr>
  </w:style>
  <w:style w:type="character" w:styleId="Mention">
    <w:name w:val="Mention"/>
    <w:basedOn w:val="DefaultParagraphFont"/>
    <w:uiPriority w:val="99"/>
    <w:semiHidden/>
    <w:rsid w:val="00FB2AFE"/>
    <w:rPr>
      <w:color w:val="2B579A"/>
      <w:shd w:val="clear" w:color="auto" w:fill="E1DFDD"/>
    </w:rPr>
  </w:style>
  <w:style w:type="character" w:styleId="UnresolvedMention">
    <w:name w:val="Unresolved Mention"/>
    <w:basedOn w:val="DefaultParagraphFont"/>
    <w:uiPriority w:val="99"/>
    <w:semiHidden/>
    <w:unhideWhenUsed/>
    <w:rsid w:val="00FB2AFE"/>
    <w:rPr>
      <w:color w:val="605E5C"/>
      <w:shd w:val="clear" w:color="auto" w:fill="E1DFDD"/>
    </w:rPr>
  </w:style>
  <w:style w:type="paragraph" w:styleId="CommentSubject">
    <w:name w:val="annotation subject"/>
    <w:aliases w:val=" Char5,Char5"/>
    <w:basedOn w:val="Normal"/>
    <w:next w:val="Normal"/>
    <w:link w:val="CommentSubjectChar"/>
    <w:semiHidden/>
    <w:unhideWhenUsed/>
    <w:rsid w:val="00E87995"/>
    <w:pPr>
      <w:spacing w:after="160"/>
    </w:pPr>
    <w:rPr>
      <w:rFonts w:eastAsiaTheme="minorEastAsia"/>
      <w:b/>
      <w:bCs/>
    </w:rPr>
  </w:style>
  <w:style w:type="character" w:customStyle="1" w:styleId="CommentSubjectChar">
    <w:name w:val="Comment Subject Char"/>
    <w:aliases w:val=" Char5 Char,Char5 Char"/>
    <w:basedOn w:val="CommentTextChar1"/>
    <w:link w:val="CommentSubject"/>
    <w:semiHidden/>
    <w:rsid w:val="00FB2AFE"/>
    <w:rPr>
      <w:rFonts w:eastAsiaTheme="minorEastAsia"/>
      <w:b/>
      <w:bCs/>
    </w:rPr>
  </w:style>
  <w:style w:type="paragraph" w:customStyle="1" w:styleId="Boxbullet0">
    <w:name w:val="Box bullet"/>
    <w:basedOn w:val="Boxtext"/>
    <w:uiPriority w:val="1"/>
    <w:semiHidden/>
    <w:qFormat/>
    <w:rsid w:val="00FB2AFE"/>
    <w:pPr>
      <w:tabs>
        <w:tab w:val="left" w:pos="680"/>
      </w:tabs>
      <w:spacing w:before="0"/>
      <w:ind w:left="644" w:hanging="360"/>
    </w:pPr>
    <w:rPr>
      <w:rFonts w:cs="Times New Roman"/>
      <w:szCs w:val="20"/>
    </w:rPr>
  </w:style>
  <w:style w:type="paragraph" w:customStyle="1" w:styleId="Boxheading0">
    <w:name w:val="Box heading"/>
    <w:basedOn w:val="Boxtext"/>
    <w:next w:val="Boxtext"/>
    <w:uiPriority w:val="1"/>
    <w:semiHidden/>
    <w:qFormat/>
    <w:rsid w:val="00FB2AFE"/>
    <w:pPr>
      <w:keepNext/>
      <w:spacing w:before="240" w:after="0"/>
    </w:pPr>
    <w:rPr>
      <w:rFonts w:cs="Times New Roman"/>
      <w:b/>
      <w:sz w:val="22"/>
      <w:szCs w:val="20"/>
    </w:rPr>
  </w:style>
  <w:style w:type="paragraph" w:customStyle="1" w:styleId="Boxtext">
    <w:name w:val="Box text"/>
    <w:basedOn w:val="Normal"/>
    <w:uiPriority w:val="1"/>
    <w:semiHidden/>
    <w:qFormat/>
    <w:rsid w:val="00FB2AFE"/>
    <w:pPr>
      <w:spacing w:before="120" w:after="120" w:line="260" w:lineRule="atLeast"/>
      <w:ind w:left="284" w:right="284"/>
    </w:pPr>
    <w:rPr>
      <w:rFonts w:eastAsiaTheme="minorEastAsia" w:cstheme="minorBidi"/>
      <w:color w:val="1B556B"/>
      <w:sz w:val="20"/>
    </w:rPr>
  </w:style>
  <w:style w:type="paragraph" w:customStyle="1" w:styleId="Boxsub-bullet">
    <w:name w:val="Box sub-bullet"/>
    <w:basedOn w:val="Boxtext"/>
    <w:uiPriority w:val="1"/>
    <w:semiHidden/>
    <w:qFormat/>
    <w:rsid w:val="00FB2AFE"/>
    <w:pPr>
      <w:numPr>
        <w:numId w:val="23"/>
      </w:numPr>
      <w:spacing w:before="0"/>
    </w:pPr>
    <w:rPr>
      <w:rFonts w:cs="Times New Roman"/>
      <w:szCs w:val="20"/>
    </w:rPr>
  </w:style>
  <w:style w:type="paragraph" w:customStyle="1" w:styleId="Acknowledgementsbolditalics">
    <w:name w:val="Acknowledgements bold italics"/>
    <w:basedOn w:val="Normal"/>
    <w:semiHidden/>
    <w:rsid w:val="00BF5487"/>
    <w:pPr>
      <w:spacing w:before="160"/>
    </w:pPr>
    <w:rPr>
      <w:rFonts w:ascii="Times New Roman" w:hAnsi="Times New Roman"/>
      <w:b/>
      <w:i/>
      <w:szCs w:val="20"/>
      <w:lang w:eastAsia="en-US"/>
    </w:rPr>
  </w:style>
  <w:style w:type="paragraph" w:customStyle="1" w:styleId="Footerodd0">
    <w:name w:val="Footer odd"/>
    <w:basedOn w:val="OddFooter"/>
    <w:uiPriority w:val="2"/>
    <w:semiHidden/>
    <w:qFormat/>
    <w:rsid w:val="005D02EF"/>
    <w:pPr>
      <w:tabs>
        <w:tab w:val="clear" w:pos="7655"/>
        <w:tab w:val="clear" w:pos="8505"/>
        <w:tab w:val="right" w:pos="6804"/>
        <w:tab w:val="right" w:pos="7938"/>
      </w:tabs>
    </w:pPr>
  </w:style>
  <w:style w:type="paragraph" w:styleId="BodyText2">
    <w:name w:val="Body Text 2"/>
    <w:aliases w:val=" Char4,Char4"/>
    <w:basedOn w:val="Normal"/>
    <w:link w:val="BodyText2Char"/>
    <w:semiHidden/>
    <w:rsid w:val="00D97D6C"/>
    <w:pPr>
      <w:spacing w:after="120" w:line="480" w:lineRule="auto"/>
    </w:pPr>
    <w:rPr>
      <w:rFonts w:ascii="Times New Roman" w:hAnsi="Times New Roman"/>
      <w:lang w:eastAsia="en-US"/>
    </w:rPr>
  </w:style>
  <w:style w:type="character" w:customStyle="1" w:styleId="BodyText2Char">
    <w:name w:val="Body Text 2 Char"/>
    <w:aliases w:val=" Char4 Char,Char4 Char"/>
    <w:basedOn w:val="DefaultParagraphFont"/>
    <w:link w:val="BodyText2"/>
    <w:semiHidden/>
    <w:rsid w:val="00D97D6C"/>
    <w:rPr>
      <w:rFonts w:ascii="Times New Roman" w:hAnsi="Times New Roman"/>
      <w:sz w:val="22"/>
      <w:szCs w:val="22"/>
      <w:lang w:eastAsia="en-US"/>
    </w:rPr>
  </w:style>
  <w:style w:type="paragraph" w:styleId="List">
    <w:name w:val="List"/>
    <w:basedOn w:val="BodyText"/>
    <w:semiHidden/>
    <w:rsid w:val="00D97D6C"/>
    <w:pPr>
      <w:suppressAutoHyphens/>
    </w:pPr>
    <w:rPr>
      <w:lang w:eastAsia="ar-SA"/>
    </w:rPr>
  </w:style>
  <w:style w:type="paragraph" w:customStyle="1" w:styleId="Headline">
    <w:name w:val="Headline"/>
    <w:basedOn w:val="Normal"/>
    <w:next w:val="Normal"/>
    <w:semiHidden/>
    <w:rsid w:val="00D97D6C"/>
    <w:pPr>
      <w:spacing w:before="60" w:after="180"/>
    </w:pPr>
    <w:rPr>
      <w:rFonts w:ascii="Times New Roman" w:hAnsi="Times New Roman"/>
      <w:b/>
      <w:sz w:val="48"/>
      <w:szCs w:val="20"/>
      <w:lang w:eastAsia="en-US"/>
    </w:rPr>
  </w:style>
  <w:style w:type="table" w:customStyle="1" w:styleId="ListTable3-Accent11">
    <w:name w:val="List Table 3 - Accent 11"/>
    <w:basedOn w:val="TableNormal"/>
    <w:uiPriority w:val="48"/>
    <w:rsid w:val="00D97D6C"/>
    <w:pPr>
      <w:spacing w:before="120"/>
      <w:jc w:val="both"/>
    </w:pPr>
    <w:rPr>
      <w:rFonts w:eastAsia="Calibri"/>
      <w:sz w:val="22"/>
      <w:szCs w:val="22"/>
      <w:lang w:eastAsia="en-US"/>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paragraph" w:customStyle="1" w:styleId="Sub-bulletdash">
    <w:name w:val="Sub-bullet dash"/>
    <w:basedOn w:val="Normal"/>
    <w:uiPriority w:val="6"/>
    <w:qFormat/>
    <w:rsid w:val="00D97D6C"/>
    <w:pPr>
      <w:tabs>
        <w:tab w:val="num" w:pos="397"/>
        <w:tab w:val="left" w:pos="794"/>
      </w:tabs>
      <w:spacing w:after="120" w:line="280" w:lineRule="atLeast"/>
      <w:ind w:left="397"/>
    </w:pPr>
    <w:rPr>
      <w:rFonts w:eastAsia="Malgun Gothic" w:cs="Cordia New"/>
    </w:rPr>
  </w:style>
  <w:style w:type="table" w:customStyle="1" w:styleId="ListTable3-Accent110">
    <w:name w:val="List Table 3 - Accent 110"/>
    <w:basedOn w:val="TableNormal"/>
    <w:uiPriority w:val="48"/>
    <w:rsid w:val="001608E9"/>
    <w:pPr>
      <w:spacing w:before="120"/>
      <w:jc w:val="both"/>
    </w:pPr>
    <w:rPr>
      <w:rFonts w:eastAsia="Calibri"/>
      <w:sz w:val="22"/>
      <w:szCs w:val="22"/>
      <w:lang w:eastAsia="en-US"/>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paragraph" w:customStyle="1" w:styleId="EvenFooter">
    <w:name w:val="Even Footer"/>
    <w:basedOn w:val="Normal"/>
    <w:next w:val="Normal"/>
    <w:semiHidden/>
    <w:rsid w:val="001608E9"/>
    <w:pPr>
      <w:pBdr>
        <w:top w:val="single" w:sz="4" w:space="4" w:color="auto"/>
      </w:pBdr>
      <w:tabs>
        <w:tab w:val="left" w:pos="851"/>
      </w:tabs>
    </w:pPr>
    <w:rPr>
      <w:sz w:val="16"/>
    </w:rPr>
  </w:style>
  <w:style w:type="paragraph" w:styleId="CommentText">
    <w:name w:val="annotation text"/>
    <w:aliases w:val=" Char7,Char7"/>
    <w:basedOn w:val="Normal"/>
    <w:link w:val="CommentTextChar"/>
    <w:uiPriority w:val="99"/>
    <w:semiHidden/>
    <w:qFormat/>
    <w:rsid w:val="00AD187C"/>
    <w:pPr>
      <w:spacing w:after="120"/>
    </w:pPr>
    <w:rPr>
      <w:rFonts w:eastAsia="Arial"/>
      <w:sz w:val="20"/>
      <w:szCs w:val="20"/>
    </w:rPr>
  </w:style>
  <w:style w:type="character" w:customStyle="1" w:styleId="QuoteChar1">
    <w:name w:val="Quote Char1"/>
    <w:uiPriority w:val="29"/>
    <w:semiHidden/>
    <w:rsid w:val="001608E9"/>
    <w:rPr>
      <w:rFonts w:ascii="Times New Roman" w:hAnsi="Times New Roman"/>
      <w:i/>
      <w:iCs/>
      <w:color w:val="000000"/>
      <w:lang w:eastAsia="en-US"/>
    </w:rPr>
  </w:style>
  <w:style w:type="character" w:customStyle="1" w:styleId="NIRTitleChar">
    <w:name w:val="NIR Title Char"/>
    <w:link w:val="NIRTitle"/>
    <w:semiHidden/>
    <w:locked/>
    <w:rsid w:val="001608E9"/>
    <w:rPr>
      <w:rFonts w:ascii="Calibri Light" w:eastAsia="Malgun Gothic" w:hAnsi="Calibri Light"/>
      <w:color w:val="323E4F"/>
      <w:spacing w:val="5"/>
      <w:kern w:val="28"/>
      <w:sz w:val="52"/>
      <w:szCs w:val="52"/>
    </w:rPr>
  </w:style>
  <w:style w:type="paragraph" w:customStyle="1" w:styleId="NIRTitle">
    <w:name w:val="NIR Title"/>
    <w:basedOn w:val="Title"/>
    <w:link w:val="NIRTitleChar"/>
    <w:semiHidden/>
    <w:qFormat/>
    <w:rsid w:val="001608E9"/>
    <w:pPr>
      <w:pBdr>
        <w:bottom w:val="single" w:sz="8" w:space="4" w:color="5B9BD5"/>
      </w:pBdr>
      <w:spacing w:after="300" w:line="240" w:lineRule="auto"/>
      <w:contextualSpacing/>
      <w:jc w:val="both"/>
    </w:pPr>
    <w:rPr>
      <w:rFonts w:ascii="Calibri Light" w:eastAsia="Malgun Gothic" w:hAnsi="Calibri Light"/>
      <w:b w:val="0"/>
      <w:color w:val="323E4F"/>
      <w:spacing w:val="5"/>
      <w:kern w:val="28"/>
      <w:sz w:val="52"/>
      <w:szCs w:val="52"/>
    </w:rPr>
  </w:style>
  <w:style w:type="character" w:customStyle="1" w:styleId="CommentTextChar2">
    <w:name w:val="Comment Text Char2"/>
    <w:basedOn w:val="DefaultParagraphFont"/>
    <w:uiPriority w:val="99"/>
    <w:semiHidden/>
    <w:rsid w:val="001608E9"/>
  </w:style>
  <w:style w:type="paragraph" w:customStyle="1" w:styleId="Contentssubhead">
    <w:name w:val="Contents subhead"/>
    <w:basedOn w:val="ContentsHeading"/>
    <w:uiPriority w:val="2"/>
    <w:semiHidden/>
    <w:qFormat/>
    <w:rsid w:val="001608E9"/>
    <w:pPr>
      <w:pBdr>
        <w:bottom w:val="none" w:sz="0" w:space="0" w:color="auto"/>
      </w:pBdr>
      <w:outlineLvl w:val="0"/>
    </w:pPr>
    <w:rPr>
      <w:sz w:val="40"/>
    </w:rPr>
  </w:style>
  <w:style w:type="paragraph" w:customStyle="1" w:styleId="msonormal0">
    <w:name w:val="msonormal"/>
    <w:basedOn w:val="Normal"/>
    <w:semiHidden/>
    <w:rsid w:val="001608E9"/>
    <w:pPr>
      <w:widowControl w:val="0"/>
      <w:adjustRightInd w:val="0"/>
      <w:spacing w:before="100" w:beforeAutospacing="1" w:after="100" w:afterAutospacing="1"/>
    </w:pPr>
    <w:rPr>
      <w:rFonts w:ascii="Times New Roman" w:hAnsi="Times New Roman"/>
      <w:szCs w:val="24"/>
      <w:lang w:val="en-GB" w:eastAsia="en-GB"/>
    </w:rPr>
  </w:style>
  <w:style w:type="character" w:customStyle="1" w:styleId="Heading7Char1">
    <w:name w:val="Heading 7 Char1"/>
    <w:aliases w:val="Char15 Char1"/>
    <w:semiHidden/>
    <w:rsid w:val="001608E9"/>
    <w:rPr>
      <w:rFonts w:ascii="Calibri Light" w:eastAsia="Times New Roman" w:hAnsi="Calibri Light" w:cs="Times New Roman"/>
      <w:i/>
      <w:iCs/>
      <w:color w:val="1F4D78"/>
      <w:sz w:val="22"/>
      <w:lang w:eastAsia="en-US"/>
    </w:rPr>
  </w:style>
  <w:style w:type="character" w:customStyle="1" w:styleId="BodyText2Char1">
    <w:name w:val="Body Text 2 Char1"/>
    <w:aliases w:val="Char4 Char1"/>
    <w:semiHidden/>
    <w:rsid w:val="001608E9"/>
    <w:rPr>
      <w:rFonts w:ascii="Times New Roman" w:hAnsi="Times New Roman"/>
      <w:sz w:val="22"/>
      <w:lang w:eastAsia="en-US"/>
    </w:rPr>
  </w:style>
  <w:style w:type="character" w:customStyle="1" w:styleId="DocumentMapChar1">
    <w:name w:val="Document Map Char1"/>
    <w:aliases w:val="Char1 Char1"/>
    <w:semiHidden/>
    <w:rsid w:val="001608E9"/>
    <w:rPr>
      <w:rFonts w:ascii="Segoe UI" w:hAnsi="Segoe UI" w:cs="Segoe UI"/>
      <w:sz w:val="16"/>
      <w:szCs w:val="16"/>
      <w:lang w:eastAsia="en-US"/>
    </w:rPr>
  </w:style>
  <w:style w:type="character" w:customStyle="1" w:styleId="BalloonTextChar1">
    <w:name w:val="Balloon Text Char1"/>
    <w:aliases w:val="Char6 Char1"/>
    <w:semiHidden/>
    <w:rsid w:val="001608E9"/>
    <w:rPr>
      <w:rFonts w:ascii="Segoe UI" w:hAnsi="Segoe UI" w:cs="Segoe UI"/>
      <w:sz w:val="18"/>
      <w:szCs w:val="18"/>
      <w:lang w:eastAsia="en-US"/>
    </w:rPr>
  </w:style>
  <w:style w:type="paragraph" w:styleId="NoSpacing">
    <w:name w:val="No Spacing"/>
    <w:uiPriority w:val="1"/>
    <w:semiHidden/>
    <w:qFormat/>
    <w:rsid w:val="00053418"/>
    <w:rPr>
      <w:rFonts w:asciiTheme="minorHAnsi" w:eastAsiaTheme="minorHAnsi" w:hAnsiTheme="minorHAnsi" w:cstheme="minorBidi"/>
      <w:sz w:val="22"/>
      <w:szCs w:val="22"/>
      <w:lang w:eastAsia="en-US"/>
    </w:rPr>
  </w:style>
  <w:style w:type="paragraph" w:customStyle="1" w:styleId="Informationboxbullet">
    <w:name w:val="Information box bullet"/>
    <w:basedOn w:val="Normal"/>
    <w:uiPriority w:val="7"/>
    <w:semiHidden/>
    <w:qFormat/>
    <w:rsid w:val="00E87995"/>
    <w:pPr>
      <w:numPr>
        <w:numId w:val="30"/>
      </w:numPr>
      <w:pBdr>
        <w:top w:val="single" w:sz="4" w:space="15" w:color="D2DDE2"/>
        <w:left w:val="single" w:sz="4" w:space="15" w:color="D2DDE2"/>
        <w:bottom w:val="single" w:sz="4" w:space="15" w:color="D2DDE2"/>
        <w:right w:val="single" w:sz="4" w:space="15" w:color="D2DDE2"/>
      </w:pBdr>
      <w:shd w:val="clear" w:color="auto" w:fill="D2DDE2"/>
      <w:tabs>
        <w:tab w:val="left" w:pos="680"/>
      </w:tabs>
      <w:spacing w:line="280" w:lineRule="atLeast"/>
      <w:ind w:right="284"/>
    </w:pPr>
    <w:rPr>
      <w:color w:val="1C556C"/>
      <w:sz w:val="20"/>
      <w:szCs w:val="20"/>
    </w:rPr>
  </w:style>
  <w:style w:type="character" w:customStyle="1" w:styleId="CommentTextChar3">
    <w:name w:val="Comment Text Char3"/>
    <w:basedOn w:val="DefaultParagraphFont"/>
    <w:uiPriority w:val="99"/>
    <w:semiHidden/>
    <w:rsid w:val="00AD187C"/>
  </w:style>
  <w:style w:type="character" w:customStyle="1" w:styleId="ListParagraphChar">
    <w:name w:val="List Paragraph Char"/>
    <w:basedOn w:val="DefaultParagraphFont"/>
    <w:link w:val="ListParagraph"/>
    <w:uiPriority w:val="34"/>
    <w:semiHidden/>
    <w:locked/>
    <w:rsid w:val="005D02EF"/>
    <w:rPr>
      <w:rFonts w:eastAsia="Malgun Gothic"/>
      <w:szCs w:val="22"/>
      <w:lang w:eastAsia="en-US"/>
    </w:rPr>
  </w:style>
  <w:style w:type="paragraph" w:customStyle="1" w:styleId="Figureheading">
    <w:name w:val="Figure heading"/>
    <w:basedOn w:val="Normal"/>
    <w:next w:val="BodyText"/>
    <w:qFormat/>
    <w:rsid w:val="00573E06"/>
    <w:pPr>
      <w:keepNext/>
      <w:spacing w:before="120" w:after="120" w:line="280" w:lineRule="atLeast"/>
      <w:ind w:left="1134" w:hanging="1134"/>
    </w:pPr>
    <w:rPr>
      <w:rFonts w:eastAsiaTheme="minorEastAsia" w:cstheme="minorBidi"/>
      <w:b/>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64667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treaties.un.org/doc/publication/ctc/uncharter.pdf" TargetMode="External"/><Relationship Id="rId21" Type="http://schemas.openxmlformats.org/officeDocument/2006/relationships/image" Target="media/image5.png"/><Relationship Id="rId42" Type="http://schemas.openxmlformats.org/officeDocument/2006/relationships/image" Target="media/image16.png"/><Relationship Id="rId63" Type="http://schemas.openxmlformats.org/officeDocument/2006/relationships/image" Target="media/image29.png"/><Relationship Id="rId84" Type="http://schemas.openxmlformats.org/officeDocument/2006/relationships/footer" Target="footer13.xml"/><Relationship Id="rId138" Type="http://schemas.openxmlformats.org/officeDocument/2006/relationships/footer" Target="footer19.xml"/><Relationship Id="rId159" Type="http://schemas.openxmlformats.org/officeDocument/2006/relationships/hyperlink" Target="https://unfccc.int/documents/627766" TargetMode="External"/><Relationship Id="rId170" Type="http://schemas.openxmlformats.org/officeDocument/2006/relationships/footer" Target="footer23.xml"/><Relationship Id="rId191" Type="http://schemas.openxmlformats.org/officeDocument/2006/relationships/hyperlink" Target="http://www.fao.org/3/cb3795m/cb3795m.pdf" TargetMode="External"/><Relationship Id="rId205" Type="http://schemas.openxmlformats.org/officeDocument/2006/relationships/image" Target="media/image82.png"/><Relationship Id="rId107" Type="http://schemas.openxmlformats.org/officeDocument/2006/relationships/hyperlink" Target="https://environment.govt.nz/assets/Publications/Files/our-fresh-water-2017_1.pdf" TargetMode="External"/><Relationship Id="rId11" Type="http://schemas.openxmlformats.org/officeDocument/2006/relationships/image" Target="media/image1.jpg"/><Relationship Id="rId32" Type="http://schemas.openxmlformats.org/officeDocument/2006/relationships/header" Target="header4.xml"/><Relationship Id="rId53" Type="http://schemas.openxmlformats.org/officeDocument/2006/relationships/footer" Target="footer10.xml"/><Relationship Id="rId74" Type="http://schemas.openxmlformats.org/officeDocument/2006/relationships/hyperlink" Target="http://clacabanne.free.fr/cartes_Tokelau.htm" TargetMode="External"/><Relationship Id="rId128" Type="http://schemas.openxmlformats.org/officeDocument/2006/relationships/hyperlink" Target="https://www.mpi.govt.nz/dmsdocument/13906-detailed-methodologies-for-agricultural-greenhouse-gas-emission-calculation" TargetMode="External"/><Relationship Id="rId149" Type="http://schemas.openxmlformats.org/officeDocument/2006/relationships/hyperlink" Target="http://www.mpi.govt.nz/dmsdocument/13906-Detailed-methodologies-for-agricultural-greenhouse-gas-emission-calculation" TargetMode="External"/><Relationship Id="rId5" Type="http://schemas.openxmlformats.org/officeDocument/2006/relationships/numbering" Target="numbering.xml"/><Relationship Id="rId95" Type="http://schemas.openxmlformats.org/officeDocument/2006/relationships/package" Target="embeddings/Microsoft_Visio_Drawing.vsdx"/><Relationship Id="rId160" Type="http://schemas.openxmlformats.org/officeDocument/2006/relationships/hyperlink" Target="https://beeflambnz.com/sites/default/files/2023-06/BLNZ-AR-2022.pdf" TargetMode="External"/><Relationship Id="rId181" Type="http://schemas.openxmlformats.org/officeDocument/2006/relationships/image" Target="media/image70.png"/><Relationship Id="rId22" Type="http://schemas.openxmlformats.org/officeDocument/2006/relationships/image" Target="media/image6.png"/><Relationship Id="rId43" Type="http://schemas.openxmlformats.org/officeDocument/2006/relationships/image" Target="media/image17.png"/><Relationship Id="rId64" Type="http://schemas.openxmlformats.org/officeDocument/2006/relationships/image" Target="media/image30.png"/><Relationship Id="rId118" Type="http://schemas.openxmlformats.org/officeDocument/2006/relationships/hyperlink" Target="https://www.mbie.govt.nz/dmsdocument/2827-liquid-fuel-deliveries-in-new-zealand-1990-2008-pdf" TargetMode="External"/><Relationship Id="rId139" Type="http://schemas.openxmlformats.org/officeDocument/2006/relationships/image" Target="media/image55.tiff"/><Relationship Id="rId85" Type="http://schemas.openxmlformats.org/officeDocument/2006/relationships/footer" Target="footer14.xml"/><Relationship Id="rId150" Type="http://schemas.openxmlformats.org/officeDocument/2006/relationships/hyperlink" Target="https://www.stats.govt.nz/indicators/fertilisers-nitrogen-and-phosphorus" TargetMode="External"/><Relationship Id="rId171" Type="http://schemas.openxmlformats.org/officeDocument/2006/relationships/footer" Target="footer24.xml"/><Relationship Id="rId192" Type="http://schemas.openxmlformats.org/officeDocument/2006/relationships/hyperlink" Target="https://www.irena.org/-/media/Files/IRENA/Agency/Publication/2013/Sep/Tokelau.pdf" TargetMode="External"/><Relationship Id="rId206" Type="http://schemas.openxmlformats.org/officeDocument/2006/relationships/footer" Target="footer28.xml"/><Relationship Id="rId12" Type="http://schemas.openxmlformats.org/officeDocument/2006/relationships/header" Target="header1.xml"/><Relationship Id="rId33" Type="http://schemas.openxmlformats.org/officeDocument/2006/relationships/header" Target="header5.xml"/><Relationship Id="rId108" Type="http://schemas.openxmlformats.org/officeDocument/2006/relationships/image" Target="media/image48.png"/><Relationship Id="rId129" Type="http://schemas.openxmlformats.org/officeDocument/2006/relationships/hyperlink" Target="https://www.mpi.govt.nz/funding-rural-support/environment-and-natural-resources/greenhouse-gas-inventory-research-fund/" TargetMode="External"/><Relationship Id="rId54" Type="http://schemas.openxmlformats.org/officeDocument/2006/relationships/image" Target="media/image21.png"/><Relationship Id="rId75" Type="http://schemas.openxmlformats.org/officeDocument/2006/relationships/hyperlink" Target="https://lris.scinfo.org.nz/layer/104400-lcdb-v50-land-cover-database-version-50-mainland-new-zealand/" TargetMode="External"/><Relationship Id="rId96" Type="http://schemas.openxmlformats.org/officeDocument/2006/relationships/hyperlink" Target="http://www.mbie.govt.nz/building-and-energy/energy-and-natural-resources/energy-statistics-and-modelling/energy-publications-and-technical-papers/energy-in-new-zealand/" TargetMode="External"/><Relationship Id="rId140" Type="http://schemas.openxmlformats.org/officeDocument/2006/relationships/image" Target="media/image56.png"/><Relationship Id="rId161" Type="http://schemas.openxmlformats.org/officeDocument/2006/relationships/hyperlink" Target="https://dcanz.com/" TargetMode="External"/><Relationship Id="rId182" Type="http://schemas.openxmlformats.org/officeDocument/2006/relationships/image" Target="media/image71.png"/><Relationship Id="rId6" Type="http://schemas.openxmlformats.org/officeDocument/2006/relationships/styles" Target="styles.xml"/><Relationship Id="rId23" Type="http://schemas.openxmlformats.org/officeDocument/2006/relationships/image" Target="media/image7.png"/><Relationship Id="rId119" Type="http://schemas.openxmlformats.org/officeDocument/2006/relationships/hyperlink" Target="https://www.stats.govt.nz/assets/Uploads/Agricultural-production-statistics/Agricultural-production-statistics-Year-to-June-2022-final/Download-data/agricultural-production-statistics-year-to-june-2022-final-results-by-regional-territorial-authority-and-farm-type.xlsx" TargetMode="External"/><Relationship Id="rId44" Type="http://schemas.openxmlformats.org/officeDocument/2006/relationships/image" Target="media/image18.png"/><Relationship Id="rId65" Type="http://schemas.openxmlformats.org/officeDocument/2006/relationships/image" Target="media/image31.png"/><Relationship Id="rId86" Type="http://schemas.openxmlformats.org/officeDocument/2006/relationships/image" Target="media/image38.png"/><Relationship Id="rId130" Type="http://schemas.openxmlformats.org/officeDocument/2006/relationships/hyperlink" Target="https://www.un.org/en/about-us/un-charter/chapter-11" TargetMode="External"/><Relationship Id="rId151" Type="http://schemas.openxmlformats.org/officeDocument/2006/relationships/hyperlink" Target="https://environment.govt.nz/facts-and-science/climate-change/new-zealands-projected-greenhouse-gas-emissions-to-2050/" TargetMode="External"/><Relationship Id="rId172" Type="http://schemas.openxmlformats.org/officeDocument/2006/relationships/image" Target="media/image66.png"/><Relationship Id="rId193" Type="http://schemas.openxmlformats.org/officeDocument/2006/relationships/hyperlink" Target="http://www.tokelau.org.nz/Bulletin/September+2016/2014+imports+final.html" TargetMode="External"/><Relationship Id="rId207" Type="http://schemas.openxmlformats.org/officeDocument/2006/relationships/footer" Target="footer29.xml"/><Relationship Id="rId13" Type="http://schemas.openxmlformats.org/officeDocument/2006/relationships/footer" Target="footer1.xml"/><Relationship Id="rId109" Type="http://schemas.openxmlformats.org/officeDocument/2006/relationships/image" Target="media/image49.png"/><Relationship Id="rId34" Type="http://schemas.openxmlformats.org/officeDocument/2006/relationships/footer" Target="footer6.xml"/><Relationship Id="rId55" Type="http://schemas.openxmlformats.org/officeDocument/2006/relationships/image" Target="media/image22.png"/><Relationship Id="rId76" Type="http://schemas.openxmlformats.org/officeDocument/2006/relationships/hyperlink" Target="https://www.stats.govt.nz/assets/Uploads/Agricultural-production-statistics/Agricultural-production-statistics-Year-to-June-2022-final/Download-data/agricultural-production-statistics-year-to-june-2022-final-results-by-regional-territorial-authority-and-farm-type.xlsx" TargetMode="External"/><Relationship Id="rId97" Type="http://schemas.openxmlformats.org/officeDocument/2006/relationships/hyperlink" Target="https://web.archive.org/web/20120303021949/http:/www.transport.govt.nz/research/Pages/TravelSurvey.aspx/" TargetMode="External"/><Relationship Id="rId120" Type="http://schemas.openxmlformats.org/officeDocument/2006/relationships/hyperlink" Target="https://www.datagene.com.au/wp-content/uploads/2023/10/Herd-Improvement-Report-2023-FINAL-22Oct.pdf" TargetMode="External"/><Relationship Id="rId141" Type="http://schemas.openxmlformats.org/officeDocument/2006/relationships/image" Target="media/image57.png"/><Relationship Id="rId7" Type="http://schemas.openxmlformats.org/officeDocument/2006/relationships/settings" Target="settings.xml"/><Relationship Id="rId162" Type="http://schemas.openxmlformats.org/officeDocument/2006/relationships/footer" Target="footer22.xml"/><Relationship Id="rId183" Type="http://schemas.openxmlformats.org/officeDocument/2006/relationships/image" Target="media/image72.png"/><Relationship Id="rId24" Type="http://schemas.openxmlformats.org/officeDocument/2006/relationships/footer" Target="footer5.xml"/><Relationship Id="rId45" Type="http://schemas.openxmlformats.org/officeDocument/2006/relationships/image" Target="media/image19.png"/><Relationship Id="rId66" Type="http://schemas.openxmlformats.org/officeDocument/2006/relationships/image" Target="media/image32.png"/><Relationship Id="rId87" Type="http://schemas.openxmlformats.org/officeDocument/2006/relationships/image" Target="media/image39.png"/><Relationship Id="rId110" Type="http://schemas.openxmlformats.org/officeDocument/2006/relationships/hyperlink" Target="http://www.overseer.org.nz" TargetMode="External"/><Relationship Id="rId131" Type="http://schemas.openxmlformats.org/officeDocument/2006/relationships/hyperlink" Target="https://www.publish.csiro.au/AN/AN15766" TargetMode="External"/><Relationship Id="rId152" Type="http://schemas.openxmlformats.org/officeDocument/2006/relationships/hyperlink" Target="https://www.mpi.govt.nz/dmsdocument/57130-Afforestation-and-Deforestation-Intentions-Survey-2022" TargetMode="External"/><Relationship Id="rId173" Type="http://schemas.openxmlformats.org/officeDocument/2006/relationships/hyperlink" Target="http://www.tinyurl.com/TokelauCensus" TargetMode="External"/><Relationship Id="rId194" Type="http://schemas.openxmlformats.org/officeDocument/2006/relationships/footer" Target="footer25.xml"/><Relationship Id="rId208" Type="http://schemas.openxmlformats.org/officeDocument/2006/relationships/hyperlink" Target="http://www.mbie.govt.nz/building-and-energy/energy-and-natural-resources/energy-statistics-and-modelling/energy-statistics/oil-statistics" TargetMode="External"/><Relationship Id="rId19" Type="http://schemas.openxmlformats.org/officeDocument/2006/relationships/footer" Target="footer4.xml"/><Relationship Id="rId14" Type="http://schemas.openxmlformats.org/officeDocument/2006/relationships/hyperlink" Target="https://environment.govt.nz/" TargetMode="External"/><Relationship Id="rId30" Type="http://schemas.openxmlformats.org/officeDocument/2006/relationships/hyperlink" Target="https://www.mfat.govt.nz/assets/Aid-Prog-docs/Evaluations/2015/Dec-2015/MFAT-Tokelau-Country-Programme-Eval-Final-v5-09122015.pdf" TargetMode="External"/><Relationship Id="rId35" Type="http://schemas.openxmlformats.org/officeDocument/2006/relationships/footer" Target="footer7.xml"/><Relationship Id="rId56" Type="http://schemas.openxmlformats.org/officeDocument/2006/relationships/hyperlink" Target="http://www.mbie.govt.nz/building-and-energy/energy-and-natural-resources/energy-statistics-and-modelling/energy-publications-and-technical-papers/energy-in-new-zealand/" TargetMode="External"/><Relationship Id="rId77" Type="http://schemas.openxmlformats.org/officeDocument/2006/relationships/hyperlink" Target="https://www.stats.govt.nz/information-releases/new-zealand-energy-use-2018" TargetMode="External"/><Relationship Id="rId100" Type="http://schemas.openxmlformats.org/officeDocument/2006/relationships/image" Target="media/image45.png"/><Relationship Id="rId105" Type="http://schemas.openxmlformats.org/officeDocument/2006/relationships/package" Target="embeddings/Microsoft_Visio_Drawing1.vsdx"/><Relationship Id="rId126" Type="http://schemas.openxmlformats.org/officeDocument/2006/relationships/hyperlink" Target="http://www.mpi.govt.nz/forestry/forest-industry-and-workforce/forestry-wood-processing-data/" TargetMode="External"/><Relationship Id="rId147" Type="http://schemas.openxmlformats.org/officeDocument/2006/relationships/footer" Target="footer20.xml"/><Relationship Id="rId168" Type="http://schemas.openxmlformats.org/officeDocument/2006/relationships/hyperlink" Target="http://www.mpi.govt.nz/dmsdocument/13906-detailed-methodologies-for-agricultural-greenhouse-gas-emission-calculation" TargetMode="External"/><Relationship Id="rId8" Type="http://schemas.openxmlformats.org/officeDocument/2006/relationships/webSettings" Target="webSettings.xml"/><Relationship Id="rId51" Type="http://schemas.openxmlformats.org/officeDocument/2006/relationships/footer" Target="footer9.xml"/><Relationship Id="rId72" Type="http://schemas.openxmlformats.org/officeDocument/2006/relationships/hyperlink" Target="https://unfccc.int/files/essential_background/background_publications_htmlpdf/application/pdf/conveng.pdf" TargetMode="External"/><Relationship Id="rId93" Type="http://schemas.openxmlformats.org/officeDocument/2006/relationships/hyperlink" Target="http://www.mpi.govt.nz/resources-and-forms/economic-intelligence/data/" TargetMode="External"/><Relationship Id="rId98" Type="http://schemas.openxmlformats.org/officeDocument/2006/relationships/hyperlink" Target="http://www.mpi.govt.nz/resources-and-forms/economic-intelligence/data/" TargetMode="External"/><Relationship Id="rId121" Type="http://schemas.openxmlformats.org/officeDocument/2006/relationships/hyperlink" Target="https://www.fertiliser.org.nz/Site/about/" TargetMode="External"/><Relationship Id="rId142" Type="http://schemas.openxmlformats.org/officeDocument/2006/relationships/image" Target="media/image58.png"/><Relationship Id="rId163" Type="http://schemas.openxmlformats.org/officeDocument/2006/relationships/image" Target="media/image62.png"/><Relationship Id="rId184" Type="http://schemas.openxmlformats.org/officeDocument/2006/relationships/image" Target="media/image73.png"/><Relationship Id="rId189" Type="http://schemas.openxmlformats.org/officeDocument/2006/relationships/hyperlink" Target="https://waikatoregion.govt.nz/assets/WRC/WRC-2019/TR201455.pdf" TargetMode="External"/><Relationship Id="rId3" Type="http://schemas.openxmlformats.org/officeDocument/2006/relationships/customXml" Target="../customXml/item3.xml"/><Relationship Id="rId25" Type="http://schemas.openxmlformats.org/officeDocument/2006/relationships/hyperlink" Target="http://www.unfccc.int" TargetMode="External"/><Relationship Id="rId46" Type="http://schemas.openxmlformats.org/officeDocument/2006/relationships/image" Target="media/image20.png"/><Relationship Id="rId67" Type="http://schemas.openxmlformats.org/officeDocument/2006/relationships/hyperlink" Target="https://mineplans.nzpam.govt.nz" TargetMode="External"/><Relationship Id="rId116" Type="http://schemas.openxmlformats.org/officeDocument/2006/relationships/hyperlink" Target="https://web.archive.org/web/20160124122727/www.climatechange.govt.nz/consultation/energy/review-default-emissions-factors.pdf" TargetMode="External"/><Relationship Id="rId137" Type="http://schemas.openxmlformats.org/officeDocument/2006/relationships/footer" Target="footer18.xml"/><Relationship Id="rId158" Type="http://schemas.openxmlformats.org/officeDocument/2006/relationships/hyperlink" Target="http://mpi.govt.nz/news-and-resources/statistics-and-forecasting/greenhouse-gas-reporting/agriculture-greenhouse-gas-inventory-reports" TargetMode="External"/><Relationship Id="rId20" Type="http://schemas.openxmlformats.org/officeDocument/2006/relationships/image" Target="media/image4.png"/><Relationship Id="rId41" Type="http://schemas.openxmlformats.org/officeDocument/2006/relationships/image" Target="media/image15.png"/><Relationship Id="rId62" Type="http://schemas.openxmlformats.org/officeDocument/2006/relationships/image" Target="media/image28.png"/><Relationship Id="rId83" Type="http://schemas.openxmlformats.org/officeDocument/2006/relationships/image" Target="media/image37.png"/><Relationship Id="rId88" Type="http://schemas.openxmlformats.org/officeDocument/2006/relationships/image" Target="media/image40.png"/><Relationship Id="rId111" Type="http://schemas.openxmlformats.org/officeDocument/2006/relationships/hyperlink" Target="https://unfccc.int/documents/627765" TargetMode="External"/><Relationship Id="rId132" Type="http://schemas.openxmlformats.org/officeDocument/2006/relationships/footer" Target="footer15.xml"/><Relationship Id="rId153" Type="http://schemas.openxmlformats.org/officeDocument/2006/relationships/hyperlink" Target="https://www.mpi.govt.nz/forestry/forestry-in-the-emissions-trading-scheme/" TargetMode="External"/><Relationship Id="rId174" Type="http://schemas.openxmlformats.org/officeDocument/2006/relationships/hyperlink" Target="http://www.tinyurl.com/TokelauHIES" TargetMode="External"/><Relationship Id="rId179" Type="http://schemas.openxmlformats.org/officeDocument/2006/relationships/image" Target="media/image68.png"/><Relationship Id="rId195" Type="http://schemas.openxmlformats.org/officeDocument/2006/relationships/footer" Target="footer26.xml"/><Relationship Id="rId209" Type="http://schemas.openxmlformats.org/officeDocument/2006/relationships/footer" Target="footer30.xml"/><Relationship Id="rId190" Type="http://schemas.openxmlformats.org/officeDocument/2006/relationships/hyperlink" Target="https://environment.govt.nz/publications/new-zealand-non-municipal-landfill-database-report/" TargetMode="External"/><Relationship Id="rId204" Type="http://schemas.openxmlformats.org/officeDocument/2006/relationships/image" Target="media/image81.png"/><Relationship Id="rId15" Type="http://schemas.openxmlformats.org/officeDocument/2006/relationships/header" Target="header2.xml"/><Relationship Id="rId36" Type="http://schemas.openxmlformats.org/officeDocument/2006/relationships/image" Target="media/image10.png"/><Relationship Id="rId57" Type="http://schemas.openxmlformats.org/officeDocument/2006/relationships/image" Target="media/image23.png"/><Relationship Id="rId106" Type="http://schemas.openxmlformats.org/officeDocument/2006/relationships/image" Target="media/image47.emf"/><Relationship Id="rId127" Type="http://schemas.openxmlformats.org/officeDocument/2006/relationships/hyperlink" Target="https://unfccc.int/files/national_reports/application/pdf/new_zealands_initial_report_under_the_kyoto_protocol.pdf" TargetMode="External"/><Relationship Id="rId10" Type="http://schemas.openxmlformats.org/officeDocument/2006/relationships/endnotes" Target="endnotes.xml"/><Relationship Id="rId31" Type="http://schemas.openxmlformats.org/officeDocument/2006/relationships/hyperlink" Target="https://www.stats.govt.nz/assets/Uploads/Principles-and-protocols-for-producers-of-tier-1-stats/principles-and-protocols-for-producers-of-tier-1-stats.pdf" TargetMode="External"/><Relationship Id="rId52" Type="http://schemas.openxmlformats.org/officeDocument/2006/relationships/header" Target="header6.xml"/><Relationship Id="rId73" Type="http://schemas.openxmlformats.org/officeDocument/2006/relationships/hyperlink" Target="https://www.mpi.govt.nz/dmsdocument/60526-Situation-and-Outlook-for-Primary-Industries-SOPI-December-2023" TargetMode="External"/><Relationship Id="rId78" Type="http://schemas.openxmlformats.org/officeDocument/2006/relationships/footer" Target="footer11.xml"/><Relationship Id="rId94" Type="http://schemas.openxmlformats.org/officeDocument/2006/relationships/image" Target="media/image43.emf"/><Relationship Id="rId99" Type="http://schemas.openxmlformats.org/officeDocument/2006/relationships/image" Target="media/image44.png"/><Relationship Id="rId101" Type="http://schemas.openxmlformats.org/officeDocument/2006/relationships/hyperlink" Target="http://www.mpi.govt.nz/dmsdocument/13906-detailed-methodologies-for-agricultural-greenhouse-gas-emission-calculation" TargetMode="External"/><Relationship Id="rId122" Type="http://schemas.openxmlformats.org/officeDocument/2006/relationships/hyperlink" Target="https://connect.dairynz.co.nz/2022-23_Dairy_Statistics/" TargetMode="External"/><Relationship Id="rId143" Type="http://schemas.openxmlformats.org/officeDocument/2006/relationships/image" Target="media/image59.png"/><Relationship Id="rId148" Type="http://schemas.openxmlformats.org/officeDocument/2006/relationships/footer" Target="footer21.xml"/><Relationship Id="rId164" Type="http://schemas.openxmlformats.org/officeDocument/2006/relationships/image" Target="media/image63.png"/><Relationship Id="rId169" Type="http://schemas.openxmlformats.org/officeDocument/2006/relationships/hyperlink" Target="https://www.mbie.govt.nz/dmsdocument/2828-liquid-fuel-use-in-new-zealand-pdf" TargetMode="External"/><Relationship Id="rId185" Type="http://schemas.openxmlformats.org/officeDocument/2006/relationships/image" Target="media/image74.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69.png"/><Relationship Id="rId210" Type="http://schemas.openxmlformats.org/officeDocument/2006/relationships/hyperlink" Target="https://www.mpi.govt.nz/dmsdocument/13906-detailed-methodologies-for-agricultural-greenhouse-gas-emission-calculation" TargetMode="External"/><Relationship Id="rId26" Type="http://schemas.openxmlformats.org/officeDocument/2006/relationships/image" Target="media/image8.jpeg"/><Relationship Id="rId47" Type="http://schemas.openxmlformats.org/officeDocument/2006/relationships/hyperlink" Target="https://connect.dairynz.co.nz/2022-23_Dairy_Statistics/" TargetMode="External"/><Relationship Id="rId68" Type="http://schemas.openxmlformats.org/officeDocument/2006/relationships/hyperlink" Target="https://data.nzpam.govt.nz/GOLD/system/mainframe.asp" TargetMode="External"/><Relationship Id="rId89" Type="http://schemas.openxmlformats.org/officeDocument/2006/relationships/image" Target="media/image41.png"/><Relationship Id="rId112" Type="http://schemas.openxmlformats.org/officeDocument/2006/relationships/hyperlink" Target="https://unfccc.int/documents/195780" TargetMode="External"/><Relationship Id="rId133" Type="http://schemas.openxmlformats.org/officeDocument/2006/relationships/footer" Target="footer16.xml"/><Relationship Id="rId154" Type="http://schemas.openxmlformats.org/officeDocument/2006/relationships/hyperlink" Target="https://www.mpi.govt.nz/dmsdocument/55354-Improved-data-on-harvested-wood-products" TargetMode="External"/><Relationship Id="rId175" Type="http://schemas.openxmlformats.org/officeDocument/2006/relationships/hyperlink" Target="http://www.stats.govt.nz" TargetMode="External"/><Relationship Id="rId196" Type="http://schemas.openxmlformats.org/officeDocument/2006/relationships/footer" Target="footer27.xml"/><Relationship Id="rId200" Type="http://schemas.openxmlformats.org/officeDocument/2006/relationships/image" Target="media/image78.png"/><Relationship Id="rId16" Type="http://schemas.openxmlformats.org/officeDocument/2006/relationships/footer" Target="footer2.xml"/><Relationship Id="rId37" Type="http://schemas.openxmlformats.org/officeDocument/2006/relationships/image" Target="media/image11.png"/><Relationship Id="rId58" Type="http://schemas.openxmlformats.org/officeDocument/2006/relationships/image" Target="media/image24.png"/><Relationship Id="rId79" Type="http://schemas.openxmlformats.org/officeDocument/2006/relationships/footer" Target="footer12.xml"/><Relationship Id="rId102" Type="http://schemas.openxmlformats.org/officeDocument/2006/relationships/hyperlink" Target="http://www.mpi.govt.nz/dmsdocument/13906-detailed-methodologies-for-agricultural-greenhouse-gas-emission-calculation" TargetMode="External"/><Relationship Id="rId123" Type="http://schemas.openxmlformats.org/officeDocument/2006/relationships/hyperlink" Target="http://www.lic.co.nz/documents/275/100_years_of_Herd_Testing.pdf" TargetMode="External"/><Relationship Id="rId144" Type="http://schemas.openxmlformats.org/officeDocument/2006/relationships/image" Target="media/image60.jpeg"/><Relationship Id="rId90" Type="http://schemas.openxmlformats.org/officeDocument/2006/relationships/image" Target="media/image42.png"/><Relationship Id="rId165" Type="http://schemas.openxmlformats.org/officeDocument/2006/relationships/image" Target="media/image64.png"/><Relationship Id="rId186" Type="http://schemas.openxmlformats.org/officeDocument/2006/relationships/hyperlink" Target="https://www.tokelau.org.nz/Bulletin/December+2017/Solid+Waste+Management+MOU+Signed+between+Tokelau+EDNRE+and+Pacific++Recycle+Co.+Ltd.html" TargetMode="External"/><Relationship Id="rId211" Type="http://schemas.openxmlformats.org/officeDocument/2006/relationships/footer" Target="footer31.xml"/><Relationship Id="rId27" Type="http://schemas.openxmlformats.org/officeDocument/2006/relationships/hyperlink" Target="http://www.epa.govt.nz/industry-areas/emissions-trading-scheme/ets-reports/emissions-returns/" TargetMode="External"/><Relationship Id="rId48" Type="http://schemas.openxmlformats.org/officeDocument/2006/relationships/hyperlink" Target="http://0.0.0.20/" TargetMode="External"/><Relationship Id="rId69" Type="http://schemas.openxmlformats.org/officeDocument/2006/relationships/image" Target="media/image33.emf"/><Relationship Id="rId113" Type="http://schemas.openxmlformats.org/officeDocument/2006/relationships/image" Target="media/image50.emf"/><Relationship Id="rId134" Type="http://schemas.openxmlformats.org/officeDocument/2006/relationships/image" Target="media/image53.png"/><Relationship Id="rId80" Type="http://schemas.openxmlformats.org/officeDocument/2006/relationships/image" Target="media/image34.png"/><Relationship Id="rId155" Type="http://schemas.openxmlformats.org/officeDocument/2006/relationships/hyperlink" Target="http://www.mpi.govt.nz/forestry/new-zealand-forests-forest-industry/forestry/wood-product-markets" TargetMode="External"/><Relationship Id="rId176" Type="http://schemas.openxmlformats.org/officeDocument/2006/relationships/hyperlink" Target="http://www.tokelau.org.nz/Stats.html" TargetMode="External"/><Relationship Id="rId197" Type="http://schemas.openxmlformats.org/officeDocument/2006/relationships/image" Target="media/image75.png"/><Relationship Id="rId201" Type="http://schemas.openxmlformats.org/officeDocument/2006/relationships/image" Target="media/image79.png"/><Relationship Id="rId17" Type="http://schemas.openxmlformats.org/officeDocument/2006/relationships/header" Target="header3.xml"/><Relationship Id="rId38" Type="http://schemas.openxmlformats.org/officeDocument/2006/relationships/image" Target="media/image12.png"/><Relationship Id="rId59" Type="http://schemas.openxmlformats.org/officeDocument/2006/relationships/image" Target="media/image25.png"/><Relationship Id="rId103" Type="http://schemas.openxmlformats.org/officeDocument/2006/relationships/hyperlink" Target="https://www.mpi.govt.nz/dmsdocument/13906-Detailed-methodologies-for-agricultural-greenhouse-gas-emission-calculation-" TargetMode="External"/><Relationship Id="rId124" Type="http://schemas.openxmlformats.org/officeDocument/2006/relationships/hyperlink" Target="http://www.mpi.govt.nz/news-and-resources/statistics-and-forecasting/greenhouse-gas-reporting/agricultural-inventory-advisory-panel" TargetMode="External"/><Relationship Id="rId70" Type="http://schemas.openxmlformats.org/officeDocument/2006/relationships/oleObject" Target="embeddings/Microsoft_Visio_2003-2010_Drawing.vsd"/><Relationship Id="rId91" Type="http://schemas.openxmlformats.org/officeDocument/2006/relationships/hyperlink" Target="http://dx.doi.org/10.26021/13673" TargetMode="External"/><Relationship Id="rId145" Type="http://schemas.openxmlformats.org/officeDocument/2006/relationships/image" Target="media/image61.png"/><Relationship Id="rId166" Type="http://schemas.openxmlformats.org/officeDocument/2006/relationships/image" Target="media/image65.png"/><Relationship Id="rId187" Type="http://schemas.openxmlformats.org/officeDocument/2006/relationships/hyperlink" Target="https://environment.govt.nz/assets/publications/New-Zealands-Eighth-National-Communication.pdf" TargetMode="External"/><Relationship Id="rId1" Type="http://schemas.openxmlformats.org/officeDocument/2006/relationships/customXml" Target="../customXml/item1.xml"/><Relationship Id="rId212" Type="http://schemas.openxmlformats.org/officeDocument/2006/relationships/fontTable" Target="fontTable.xml"/><Relationship Id="rId28" Type="http://schemas.openxmlformats.org/officeDocument/2006/relationships/image" Target="media/image9.jpeg"/><Relationship Id="rId49" Type="http://schemas.openxmlformats.org/officeDocument/2006/relationships/hyperlink" Target="https://www.tokelau.org.nz/site/tokelau/2019%20Tokelau%20Population%20Count.pdf" TargetMode="External"/><Relationship Id="rId114" Type="http://schemas.openxmlformats.org/officeDocument/2006/relationships/image" Target="media/image51.png"/><Relationship Id="rId60" Type="http://schemas.openxmlformats.org/officeDocument/2006/relationships/image" Target="media/image26.png"/><Relationship Id="rId81" Type="http://schemas.openxmlformats.org/officeDocument/2006/relationships/image" Target="media/image35.png"/><Relationship Id="rId135" Type="http://schemas.openxmlformats.org/officeDocument/2006/relationships/image" Target="media/image54.png"/><Relationship Id="rId156" Type="http://schemas.openxmlformats.org/officeDocument/2006/relationships/hyperlink" Target="https://tepuna.mfe.govt.nz/otcsdav/nodes/13324267/C__Users_Chirino-Valle_AppData_Roaming_OpenText_OTEdit_EC_tepuna_c13324267_C__Users_mcneillb_AppData_Roaming_OpenText_OTEdit_EC_tepuna_c13324267_mailto_T@______________________" TargetMode="External"/><Relationship Id="rId177" Type="http://schemas.openxmlformats.org/officeDocument/2006/relationships/hyperlink" Target="http://www.mpi.govt.nz/forestry/forest-industry-and-workforce/forestry-wood-processing-data/" TargetMode="External"/><Relationship Id="rId198" Type="http://schemas.openxmlformats.org/officeDocument/2006/relationships/image" Target="media/image76.png"/><Relationship Id="rId202" Type="http://schemas.openxmlformats.org/officeDocument/2006/relationships/hyperlink" Target="https://environment.govt.nz/assets/Publications/Files/Our-land-201-final.pdf" TargetMode="External"/><Relationship Id="rId18" Type="http://schemas.openxmlformats.org/officeDocument/2006/relationships/footer" Target="footer3.xml"/><Relationship Id="rId39" Type="http://schemas.openxmlformats.org/officeDocument/2006/relationships/image" Target="media/image13.png"/><Relationship Id="rId50" Type="http://schemas.openxmlformats.org/officeDocument/2006/relationships/footer" Target="footer8.xml"/><Relationship Id="rId104" Type="http://schemas.openxmlformats.org/officeDocument/2006/relationships/image" Target="media/image46.emf"/><Relationship Id="rId125" Type="http://schemas.openxmlformats.org/officeDocument/2006/relationships/hyperlink" Target="https://www.mpi.govt.nz/science/open-data-and-forecasting/greenhouse-gas-reporting/agricultural-greenhouse-gas-inventory-reports/" TargetMode="External"/><Relationship Id="rId146" Type="http://schemas.openxmlformats.org/officeDocument/2006/relationships/chart" Target="charts/chart1.xml"/><Relationship Id="rId167" Type="http://schemas.openxmlformats.org/officeDocument/2006/relationships/hyperlink" Target="http://www.landcareresearch.co.nz/news/a-new-national-soil-carbon-monitoring-system-for-agricultural-land?uri=1851763" TargetMode="External"/><Relationship Id="rId188" Type="http://schemas.openxmlformats.org/officeDocument/2006/relationships/hyperlink" Target="https://ecan.govt.nz/document/download" TargetMode="External"/><Relationship Id="rId71" Type="http://schemas.openxmlformats.org/officeDocument/2006/relationships/hyperlink" Target="https://www.stats.govt.nz/assets/Uploads/Principles-and-protocols-for-producers-of-tier-1-stats/principles-and-protocols-for-producers-of-tier-1-stats.pdf" TargetMode="External"/><Relationship Id="rId92" Type="http://schemas.openxmlformats.org/officeDocument/2006/relationships/hyperlink" Target="http://www.bioenergy.org.nz/documents/resource/heat-plant-database-report-august-2011.pdf" TargetMode="External"/><Relationship Id="rId213"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hyperlink" Target="https://www.tokelau.org.nz/Bulletin/September+2016/2014+imports+final.html" TargetMode="External"/><Relationship Id="rId40" Type="http://schemas.openxmlformats.org/officeDocument/2006/relationships/image" Target="media/image14.png"/><Relationship Id="rId115" Type="http://schemas.openxmlformats.org/officeDocument/2006/relationships/image" Target="media/image52.png"/><Relationship Id="rId136" Type="http://schemas.openxmlformats.org/officeDocument/2006/relationships/footer" Target="footer17.xml"/><Relationship Id="rId157" Type="http://schemas.openxmlformats.org/officeDocument/2006/relationships/hyperlink" Target="https://tepuna.mfe.govt.nz/otcsdav/nodes/13324267/C__Users_Chirino-Valle_AppData_Roaming_OpenText_OTEdit_EC_tepuna_c13324267_C__Users_mcneillb_AppData_Roaming_OpenText_OTEdit_EC_tepuna_c13324267_mailto_T@______________________" TargetMode="External"/><Relationship Id="rId178" Type="http://schemas.openxmlformats.org/officeDocument/2006/relationships/image" Target="media/image67.png"/><Relationship Id="rId61" Type="http://schemas.openxmlformats.org/officeDocument/2006/relationships/image" Target="media/image27.png"/><Relationship Id="rId82" Type="http://schemas.openxmlformats.org/officeDocument/2006/relationships/image" Target="media/image36.png"/><Relationship Id="rId199" Type="http://schemas.openxmlformats.org/officeDocument/2006/relationships/image" Target="media/image77.png"/><Relationship Id="rId203" Type="http://schemas.openxmlformats.org/officeDocument/2006/relationships/image" Target="media/image80.png"/></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notes.xml.rels><?xml version="1.0" encoding="UTF-8" standalone="yes"?>
<Relationships xmlns="http://schemas.openxmlformats.org/package/2006/relationships"><Relationship Id="rId8" Type="http://schemas.openxmlformats.org/officeDocument/2006/relationships/hyperlink" Target="https://environment.govt.nz/publications/aotearoa-new-zealands-first-emissions-reduction-plan/" TargetMode="External"/><Relationship Id="rId13" Type="http://schemas.openxmlformats.org/officeDocument/2006/relationships/hyperlink" Target="https://www.mfat.govt.nz/assets/Aid-Prog-docs/Evaluations/2015/Dec-2015/MFAT-Tokelau-Country-Programme-Eval-Final-v5-09122015.pdf" TargetMode="External"/><Relationship Id="rId3" Type="http://schemas.openxmlformats.org/officeDocument/2006/relationships/hyperlink" Target="http://www.mpi.govt.nz/news-and-resources/economic-intelligence-unit/situation-and-outlook-for-primary-industries/" TargetMode="External"/><Relationship Id="rId7" Type="http://schemas.openxmlformats.org/officeDocument/2006/relationships/hyperlink" Target="https://unfccc.int/documents/627766" TargetMode="External"/><Relationship Id="rId12" Type="http://schemas.openxmlformats.org/officeDocument/2006/relationships/hyperlink" Target="https://compostcollective.org.nz/" TargetMode="External"/><Relationship Id="rId17" Type="http://schemas.openxmlformats.org/officeDocument/2006/relationships/hyperlink" Target="https://www.stats.govt.nz/information-releases/agricultural-production-statistics-year-to-june-2022-provisional" TargetMode="External"/><Relationship Id="rId2" Type="http://schemas.openxmlformats.org/officeDocument/2006/relationships/hyperlink" Target="http://www.mpi.govt.nz/news-and-resources/economic-intelligence-unit/situation-and-outlook-for-primary-industries/" TargetMode="External"/><Relationship Id="rId16" Type="http://schemas.openxmlformats.org/officeDocument/2006/relationships/hyperlink" Target="https://www.stats.govt.nz/information-releases/agricultural-production-statistics-year-to-june-2022-provisional" TargetMode="External"/><Relationship Id="rId1" Type="http://schemas.openxmlformats.org/officeDocument/2006/relationships/hyperlink" Target="https://www.stats.govt.nz/information-releases/agricultural-production-statistics-year-to-june-2022-provisional/" TargetMode="External"/><Relationship Id="rId6" Type="http://schemas.openxmlformats.org/officeDocument/2006/relationships/hyperlink" Target="http://www.mpi.govt.nz/dmsdocument/13906-Detailed-methodologies-for-agricultural-greenhouse-gas-emission-calculation-" TargetMode="External"/><Relationship Id="rId11" Type="http://schemas.openxmlformats.org/officeDocument/2006/relationships/hyperlink" Target="https://www.stats.govt.nz/information-releases/agricultural-production-statistics-year-to-june-2022-provisional/" TargetMode="External"/><Relationship Id="rId5" Type="http://schemas.openxmlformats.org/officeDocument/2006/relationships/hyperlink" Target="https://www.dairynz.co.nz/feed/fundamentals/fundamentals-overview/" TargetMode="External"/><Relationship Id="rId15" Type="http://schemas.openxmlformats.org/officeDocument/2006/relationships/hyperlink" Target="https://www.stats.govt.nz/information-releases/agricultural-production-statistics-year-to-june-2022-provisional" TargetMode="External"/><Relationship Id="rId10" Type="http://schemas.openxmlformats.org/officeDocument/2006/relationships/hyperlink" Target="https://environment.govt.nz/what-government-is-doing/areas-of-work/waste/waste-legislation-review/" TargetMode="External"/><Relationship Id="rId4" Type="http://schemas.openxmlformats.org/officeDocument/2006/relationships/hyperlink" Target="https://unfccc.int/documents/627766" TargetMode="External"/><Relationship Id="rId9" Type="http://schemas.openxmlformats.org/officeDocument/2006/relationships/hyperlink" Target="https://www.stats.govt.nz/information-releases/agricultural-production-statistics-year-to-june-2022-provisional/" TargetMode="External"/><Relationship Id="rId14" Type="http://schemas.openxmlformats.org/officeDocument/2006/relationships/hyperlink" Target="http://www.tokelau.org.nz/Bulletin/December+2017/Solid+Waste+Management+MOU+Signed+between+Tokelau+EDNRE+and+Pacific++Recycle+Co.+Ltd.htm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mfeprodfps01.mfe.mfe.govt.nz\FileArchive\Current%20Databases%20retain%20in%20m%20drive\NZCAS%20datasets\UN%20Reporting\Restricted\2022%20NIR\2nd%20run\Calc_Processes\3.%20HWP\NZ_KP_HWP_model_v6_2e_UNFCCC_2023.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515653306905104"/>
          <c:y val="7.1806146812293623E-2"/>
          <c:w val="0.81827684177792226"/>
          <c:h val="0.6566477221843332"/>
        </c:manualLayout>
      </c:layout>
      <c:lineChart>
        <c:grouping val="standard"/>
        <c:varyColors val="0"/>
        <c:ser>
          <c:idx val="0"/>
          <c:order val="0"/>
          <c:tx>
            <c:strRef>
              <c:f>'NZL1'!$GD$4</c:f>
              <c:strCache>
                <c:ptCount val="1"/>
                <c:pt idx="0">
                  <c:v>Roundwood production</c:v>
                </c:pt>
              </c:strCache>
            </c:strRef>
          </c:tx>
          <c:spPr>
            <a:ln w="25400">
              <a:solidFill>
                <a:srgbClr val="1F497D"/>
              </a:solidFill>
            </a:ln>
          </c:spPr>
          <c:marker>
            <c:symbol val="none"/>
          </c:marker>
          <c:cat>
            <c:numRef>
              <c:f>'NZL1'!$GC$34:$GC$66</c:f>
              <c:numCache>
                <c:formatCode>General</c:formatCode>
                <c:ptCount val="33"/>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numCache>
            </c:numRef>
          </c:cat>
          <c:val>
            <c:numRef>
              <c:f>'NZL1'!$GD$34:$GD$66</c:f>
              <c:numCache>
                <c:formatCode>0</c:formatCode>
                <c:ptCount val="33"/>
                <c:pt idx="0">
                  <c:v>13.127000000000001</c:v>
                </c:pt>
                <c:pt idx="1">
                  <c:v>13.820000000000002</c:v>
                </c:pt>
                <c:pt idx="2">
                  <c:v>14.253</c:v>
                </c:pt>
                <c:pt idx="3">
                  <c:v>14.907</c:v>
                </c:pt>
                <c:pt idx="4">
                  <c:v>15.948</c:v>
                </c:pt>
                <c:pt idx="5">
                  <c:v>16.594000000000001</c:v>
                </c:pt>
                <c:pt idx="6">
                  <c:v>16.321999999999999</c:v>
                </c:pt>
                <c:pt idx="7">
                  <c:v>16.920999999999996</c:v>
                </c:pt>
                <c:pt idx="8">
                  <c:v>15.302</c:v>
                </c:pt>
                <c:pt idx="9">
                  <c:v>17.75</c:v>
                </c:pt>
                <c:pt idx="10">
                  <c:v>19.279</c:v>
                </c:pt>
                <c:pt idx="11">
                  <c:v>20.670999999999999</c:v>
                </c:pt>
                <c:pt idx="12">
                  <c:v>22.098502668497375</c:v>
                </c:pt>
                <c:pt idx="13">
                  <c:v>21.268899999999995</c:v>
                </c:pt>
                <c:pt idx="14">
                  <c:v>19.844999999999995</c:v>
                </c:pt>
                <c:pt idx="15">
                  <c:v>19.08595</c:v>
                </c:pt>
                <c:pt idx="16">
                  <c:v>19.42428</c:v>
                </c:pt>
                <c:pt idx="17">
                  <c:v>20.394570000000005</c:v>
                </c:pt>
                <c:pt idx="18">
                  <c:v>19.473269999999999</c:v>
                </c:pt>
                <c:pt idx="19">
                  <c:v>20.826969999999996</c:v>
                </c:pt>
                <c:pt idx="20">
                  <c:v>24.491899999999998</c:v>
                </c:pt>
                <c:pt idx="21">
                  <c:v>26.130059999999997</c:v>
                </c:pt>
                <c:pt idx="22">
                  <c:v>27.413690000000003</c:v>
                </c:pt>
                <c:pt idx="23">
                  <c:v>29.76371</c:v>
                </c:pt>
                <c:pt idx="24">
                  <c:v>29.193860000000001</c:v>
                </c:pt>
                <c:pt idx="25">
                  <c:v>28.952809999999992</c:v>
                </c:pt>
                <c:pt idx="26">
                  <c:v>30.989249999999995</c:v>
                </c:pt>
                <c:pt idx="27">
                  <c:v>34.001289999999997</c:v>
                </c:pt>
                <c:pt idx="28">
                  <c:v>35.684095599999999</c:v>
                </c:pt>
                <c:pt idx="29">
                  <c:v>35.843320903212671</c:v>
                </c:pt>
                <c:pt idx="30">
                  <c:v>32.708589239481626</c:v>
                </c:pt>
                <c:pt idx="31">
                  <c:v>35.592990945792401</c:v>
                </c:pt>
                <c:pt idx="32">
                  <c:v>34.269425047759178</c:v>
                </c:pt>
              </c:numCache>
            </c:numRef>
          </c:val>
          <c:smooth val="0"/>
          <c:extLst>
            <c:ext xmlns:c16="http://schemas.microsoft.com/office/drawing/2014/chart" uri="{C3380CC4-5D6E-409C-BE32-E72D297353CC}">
              <c16:uniqueId val="{00000000-60D8-466D-A0E7-64CDB2357EA1}"/>
            </c:ext>
          </c:extLst>
        </c:ser>
        <c:ser>
          <c:idx val="1"/>
          <c:order val="1"/>
          <c:tx>
            <c:strRef>
              <c:f>'NZL1'!$GE$4</c:f>
              <c:strCache>
                <c:ptCount val="1"/>
                <c:pt idx="0">
                  <c:v>Roundwood export</c:v>
                </c:pt>
              </c:strCache>
            </c:strRef>
          </c:tx>
          <c:spPr>
            <a:ln w="25400">
              <a:solidFill>
                <a:srgbClr val="4F81BD"/>
              </a:solidFill>
              <a:prstDash val="solid"/>
            </a:ln>
          </c:spPr>
          <c:marker>
            <c:symbol val="none"/>
          </c:marker>
          <c:cat>
            <c:numRef>
              <c:f>'NZL1'!$GC$34:$GC$66</c:f>
              <c:numCache>
                <c:formatCode>General</c:formatCode>
                <c:ptCount val="33"/>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numCache>
            </c:numRef>
          </c:cat>
          <c:val>
            <c:numRef>
              <c:f>'NZL1'!$GE$34:$GE$66</c:f>
              <c:numCache>
                <c:formatCode>0</c:formatCode>
                <c:ptCount val="33"/>
                <c:pt idx="0">
                  <c:v>1.682987</c:v>
                </c:pt>
                <c:pt idx="1">
                  <c:v>3.604873</c:v>
                </c:pt>
                <c:pt idx="2">
                  <c:v>4.2761709999999997</c:v>
                </c:pt>
                <c:pt idx="3">
                  <c:v>4.4590209999999999</c:v>
                </c:pt>
                <c:pt idx="4">
                  <c:v>4.9603000000000002</c:v>
                </c:pt>
                <c:pt idx="5">
                  <c:v>5.3879999999999999</c:v>
                </c:pt>
                <c:pt idx="6">
                  <c:v>5.64</c:v>
                </c:pt>
                <c:pt idx="7">
                  <c:v>5.952</c:v>
                </c:pt>
                <c:pt idx="8">
                  <c:v>4.3040000000000003</c:v>
                </c:pt>
                <c:pt idx="9">
                  <c:v>5.8040000000000003</c:v>
                </c:pt>
                <c:pt idx="10">
                  <c:v>5.9089999999999998</c:v>
                </c:pt>
                <c:pt idx="11">
                  <c:v>7.2836999999999996</c:v>
                </c:pt>
                <c:pt idx="12">
                  <c:v>7.8803000000000001</c:v>
                </c:pt>
                <c:pt idx="13">
                  <c:v>7.5398299020000001</c:v>
                </c:pt>
                <c:pt idx="14">
                  <c:v>5.5190109239999998</c:v>
                </c:pt>
                <c:pt idx="15">
                  <c:v>5.1938174389999991</c:v>
                </c:pt>
                <c:pt idx="16">
                  <c:v>5.576770777000001</c:v>
                </c:pt>
                <c:pt idx="17">
                  <c:v>5.9782258200000014</c:v>
                </c:pt>
                <c:pt idx="18">
                  <c:v>6.6840023229999996</c:v>
                </c:pt>
                <c:pt idx="19">
                  <c:v>8.8207761430000016</c:v>
                </c:pt>
                <c:pt idx="20">
                  <c:v>10.886289976385997</c:v>
                </c:pt>
                <c:pt idx="21">
                  <c:v>12.79902774333028</c:v>
                </c:pt>
                <c:pt idx="22">
                  <c:v>13.760970278402681</c:v>
                </c:pt>
                <c:pt idx="23">
                  <c:v>16.602314932199999</c:v>
                </c:pt>
                <c:pt idx="24">
                  <c:v>16.561107175999997</c:v>
                </c:pt>
                <c:pt idx="25">
                  <c:v>15.395631956599999</c:v>
                </c:pt>
                <c:pt idx="26">
                  <c:v>17.428368061099999</c:v>
                </c:pt>
                <c:pt idx="27">
                  <c:v>19.216054378799996</c:v>
                </c:pt>
                <c:pt idx="28">
                  <c:v>21.384178339399995</c:v>
                </c:pt>
                <c:pt idx="29">
                  <c:v>21.720732765799998</c:v>
                </c:pt>
                <c:pt idx="30">
                  <c:v>20.082873555799999</c:v>
                </c:pt>
                <c:pt idx="31">
                  <c:v>22.648682248999993</c:v>
                </c:pt>
                <c:pt idx="32">
                  <c:v>20.19864243</c:v>
                </c:pt>
              </c:numCache>
            </c:numRef>
          </c:val>
          <c:smooth val="0"/>
          <c:extLst>
            <c:ext xmlns:c16="http://schemas.microsoft.com/office/drawing/2014/chart" uri="{C3380CC4-5D6E-409C-BE32-E72D297353CC}">
              <c16:uniqueId val="{00000001-60D8-466D-A0E7-64CDB2357EA1}"/>
            </c:ext>
          </c:extLst>
        </c:ser>
        <c:dLbls>
          <c:showLegendKey val="0"/>
          <c:showVal val="0"/>
          <c:showCatName val="0"/>
          <c:showSerName val="0"/>
          <c:showPercent val="0"/>
          <c:showBubbleSize val="0"/>
        </c:dLbls>
        <c:smooth val="0"/>
        <c:axId val="644263296"/>
        <c:axId val="661836928"/>
      </c:lineChart>
      <c:catAx>
        <c:axId val="644263296"/>
        <c:scaling>
          <c:orientation val="minMax"/>
        </c:scaling>
        <c:delete val="0"/>
        <c:axPos val="b"/>
        <c:majorGridlines>
          <c:spPr>
            <a:ln>
              <a:noFill/>
              <a:prstDash val="dash"/>
            </a:ln>
          </c:spPr>
        </c:majorGridlines>
        <c:numFmt formatCode="General" sourceLinked="1"/>
        <c:majorTickMark val="out"/>
        <c:minorTickMark val="none"/>
        <c:tickLblPos val="low"/>
        <c:spPr>
          <a:ln>
            <a:solidFill>
              <a:schemeClr val="tx1"/>
            </a:solidFill>
          </a:ln>
        </c:spPr>
        <c:txPr>
          <a:bodyPr rot="-5400000" vert="horz"/>
          <a:lstStyle/>
          <a:p>
            <a:pPr>
              <a:defRPr sz="700"/>
            </a:pPr>
            <a:endParaRPr lang="en-US"/>
          </a:p>
        </c:txPr>
        <c:crossAx val="661836928"/>
        <c:crossesAt val="0"/>
        <c:auto val="1"/>
        <c:lblAlgn val="ctr"/>
        <c:lblOffset val="100"/>
        <c:tickLblSkip val="2"/>
        <c:noMultiLvlLbl val="1"/>
      </c:catAx>
      <c:valAx>
        <c:axId val="661836928"/>
        <c:scaling>
          <c:orientation val="minMax"/>
        </c:scaling>
        <c:delete val="0"/>
        <c:axPos val="l"/>
        <c:majorGridlines>
          <c:spPr>
            <a:ln>
              <a:solidFill>
                <a:schemeClr val="bg1">
                  <a:lumMod val="85000"/>
                </a:schemeClr>
              </a:solidFill>
            </a:ln>
          </c:spPr>
        </c:majorGridlines>
        <c:title>
          <c:tx>
            <c:rich>
              <a:bodyPr/>
              <a:lstStyle/>
              <a:p>
                <a:pPr>
                  <a:defRPr sz="900"/>
                </a:pPr>
                <a:r>
                  <a:rPr lang="en-NZ" sz="900" b="0" i="0" baseline="0">
                    <a:effectLst/>
                  </a:rPr>
                  <a:t>Cubic metres (millions)</a:t>
                </a:r>
                <a:endParaRPr lang="en-NZ" sz="900">
                  <a:effectLst/>
                </a:endParaRPr>
              </a:p>
            </c:rich>
          </c:tx>
          <c:layout>
            <c:manualLayout>
              <c:xMode val="edge"/>
              <c:yMode val="edge"/>
              <c:x val="1.324758687452551E-2"/>
              <c:y val="0.27246271762407021"/>
            </c:manualLayout>
          </c:layout>
          <c:overlay val="0"/>
          <c:spPr>
            <a:noFill/>
            <a:ln w="25400">
              <a:noFill/>
            </a:ln>
          </c:spPr>
        </c:title>
        <c:numFmt formatCode="0" sourceLinked="1"/>
        <c:majorTickMark val="in"/>
        <c:minorTickMark val="none"/>
        <c:tickLblPos val="nextTo"/>
        <c:spPr>
          <a:noFill/>
          <a:ln>
            <a:solidFill>
              <a:schemeClr val="tx1"/>
            </a:solidFill>
          </a:ln>
        </c:spPr>
        <c:txPr>
          <a:bodyPr rot="0" vert="horz"/>
          <a:lstStyle/>
          <a:p>
            <a:pPr>
              <a:defRPr sz="700"/>
            </a:pPr>
            <a:endParaRPr lang="en-US"/>
          </a:p>
        </c:txPr>
        <c:crossAx val="644263296"/>
        <c:crosses val="autoZero"/>
        <c:crossBetween val="midCat"/>
      </c:valAx>
      <c:spPr>
        <a:solidFill>
          <a:schemeClr val="bg1"/>
        </a:solidFill>
      </c:spPr>
    </c:plotArea>
    <c:legend>
      <c:legendPos val="b"/>
      <c:layout>
        <c:manualLayout>
          <c:xMode val="edge"/>
          <c:yMode val="edge"/>
          <c:x val="0.14081566251993363"/>
          <c:y val="0.90879040014992862"/>
          <c:w val="0.73292433537832313"/>
          <c:h val="6.0484294301921926E-2"/>
        </c:manualLayout>
      </c:layout>
      <c:overlay val="0"/>
      <c:txPr>
        <a:bodyPr/>
        <a:lstStyle/>
        <a:p>
          <a:pPr>
            <a:defRPr sz="900"/>
          </a:pPr>
          <a:endParaRPr lang="en-US"/>
        </a:p>
      </c:txPr>
    </c:legend>
    <c:plotVisOnly val="1"/>
    <c:dispBlanksAs val="gap"/>
    <c:showDLblsOverMax val="0"/>
  </c:chart>
  <c:spPr>
    <a:ln>
      <a:noFill/>
    </a:ln>
  </c:spPr>
  <c:txPr>
    <a:bodyPr/>
    <a:lstStyle/>
    <a:p>
      <a:pPr>
        <a:defRPr sz="800" b="0" i="0" u="none" strike="noStrike" baseline="0">
          <a:solidFill>
            <a:srgbClr val="000000"/>
          </a:solidFill>
          <a:latin typeface="Arial" panose="020B0604020202020204" pitchFamily="34" charset="0"/>
          <a:ea typeface="Calibri"/>
          <a:cs typeface="Arial" panose="020B0604020202020204" pitchFamily="34" charset="0"/>
        </a:defRPr>
      </a:pPr>
      <a:endParaRPr lang="en-US"/>
    </a:p>
  </c:txPr>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0.51084</cdr:x>
      <cdr:y>0.82692</cdr:y>
    </cdr:from>
    <cdr:to>
      <cdr:x>0.64286</cdr:x>
      <cdr:y>0.89517</cdr:y>
    </cdr:to>
    <cdr:sp macro="" textlink="">
      <cdr:nvSpPr>
        <cdr:cNvPr id="2" name="Text Box 1"/>
        <cdr:cNvSpPr txBox="1"/>
      </cdr:nvSpPr>
      <cdr:spPr>
        <a:xfrm xmlns:a="http://schemas.openxmlformats.org/drawingml/2006/main">
          <a:off x="2543175" y="3000375"/>
          <a:ext cx="657225" cy="2476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NZ" sz="900">
              <a:latin typeface="Arial" panose="020B0604020202020204" pitchFamily="34" charset="0"/>
              <a:cs typeface="Arial" panose="020B0604020202020204" pitchFamily="34" charset="0"/>
            </a:rPr>
            <a:t>Year</a:t>
          </a:r>
        </a:p>
      </cdr:txBody>
    </cdr:sp>
  </cdr:relSizeAnchor>
</c:userShapes>
</file>

<file path=word/theme/theme1.xml><?xml version="1.0" encoding="utf-8"?>
<a:theme xmlns:a="http://schemas.openxmlformats.org/drawingml/2006/main" name="Office Theme">
  <a:themeElements>
    <a:clrScheme name="MfE new colours">
      <a:dk1>
        <a:sysClr val="windowText" lastClr="000000"/>
      </a:dk1>
      <a:lt1>
        <a:sysClr val="window" lastClr="FFFFFF"/>
      </a:lt1>
      <a:dk2>
        <a:srgbClr val="1B556B"/>
      </a:dk2>
      <a:lt2>
        <a:srgbClr val="D2DDE1"/>
      </a:lt2>
      <a:accent1>
        <a:srgbClr val="1C556C"/>
      </a:accent1>
      <a:accent2>
        <a:srgbClr val="32809C"/>
      </a:accent2>
      <a:accent3>
        <a:srgbClr val="D5EBE8"/>
      </a:accent3>
      <a:accent4>
        <a:srgbClr val="2C9986"/>
      </a:accent4>
      <a:accent5>
        <a:srgbClr val="6FC7B7"/>
      </a:accent5>
      <a:accent6>
        <a:srgbClr val="DA6C28"/>
      </a:accent6>
      <a:hlink>
        <a:srgbClr val="32809C"/>
      </a:hlink>
      <a:folHlink>
        <a:srgbClr val="80008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26D2F2ECAF9A04A8C408D814A846360" ma:contentTypeVersion="14" ma:contentTypeDescription="Create a new document." ma:contentTypeScope="" ma:versionID="0591fbce83329308e231d529f87ebef2">
  <xsd:schema xmlns:xsd="http://www.w3.org/2001/XMLSchema" xmlns:xs="http://www.w3.org/2001/XMLSchema" xmlns:p="http://schemas.microsoft.com/office/2006/metadata/properties" xmlns:ns2="943a7cfa-e79c-4035-8fc0-21bbbb3e7230" xmlns:ns3="6679ce2f-28cc-4c33-8bd7-76a5d5a5eca7" xmlns:ns4="58a6f171-52cb-4404-b47d-af1c8daf8fd1" targetNamespace="http://schemas.microsoft.com/office/2006/metadata/properties" ma:root="true" ma:fieldsID="c0eb0b7a40c726f32af3f5e1a015634c" ns2:_="" ns3:_="" ns4:_="">
    <xsd:import namespace="943a7cfa-e79c-4035-8fc0-21bbbb3e7230"/>
    <xsd:import namespace="6679ce2f-28cc-4c33-8bd7-76a5d5a5eca7"/>
    <xsd:import namespace="58a6f171-52cb-4404-b47d-af1c8daf8fd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4:TaxCatchAll" minOccurs="0"/>
                <xsd:element ref="ns2:MediaServiceOCR" minOccurs="0"/>
                <xsd:element ref="ns2:MediaServiceGenerationTime" minOccurs="0"/>
                <xsd:element ref="ns2:MediaServiceEventHashCode"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43a7cfa-e79c-4035-8fc0-21bbbb3e723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cebe92e3-83b2-4842-a6bd-e7cffea926d3"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679ce2f-28cc-4c33-8bd7-76a5d5a5eca7"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8a6f171-52cb-4404-b47d-af1c8daf8fd1"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2fba0815-ee14-48cc-b8e2-4aac43feeaea}" ma:internalName="TaxCatchAll" ma:showField="CatchAllData" ma:web="6679ce2f-28cc-4c33-8bd7-76a5d5a5eca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943a7cfa-e79c-4035-8fc0-21bbbb3e7230">
      <Terms xmlns="http://schemas.microsoft.com/office/infopath/2007/PartnerControls"/>
    </lcf76f155ced4ddcb4097134ff3c332f>
    <TaxCatchAll xmlns="58a6f171-52cb-4404-b47d-af1c8daf8fd1" xsi:nil="true"/>
  </documentManagement>
</p:properties>
</file>

<file path=customXml/itemProps1.xml><?xml version="1.0" encoding="utf-8"?>
<ds:datastoreItem xmlns:ds="http://schemas.openxmlformats.org/officeDocument/2006/customXml" ds:itemID="{8B977B35-3612-421C-AB30-D8CEDF9260C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43a7cfa-e79c-4035-8fc0-21bbbb3e7230"/>
    <ds:schemaRef ds:uri="6679ce2f-28cc-4c33-8bd7-76a5d5a5eca7"/>
    <ds:schemaRef ds:uri="58a6f171-52cb-4404-b47d-af1c8daf8fd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95E90A5-2D59-46C1-986E-072686680DE5}">
  <ds:schemaRefs>
    <ds:schemaRef ds:uri="http://schemas.openxmlformats.org/officeDocument/2006/bibliography"/>
  </ds:schemaRefs>
</ds:datastoreItem>
</file>

<file path=customXml/itemProps3.xml><?xml version="1.0" encoding="utf-8"?>
<ds:datastoreItem xmlns:ds="http://schemas.openxmlformats.org/officeDocument/2006/customXml" ds:itemID="{DB998352-8179-4149-818C-0EFCFC587490}">
  <ds:schemaRefs>
    <ds:schemaRef ds:uri="http://schemas.microsoft.com/sharepoint/v3/contenttype/forms"/>
  </ds:schemaRefs>
</ds:datastoreItem>
</file>

<file path=customXml/itemProps4.xml><?xml version="1.0" encoding="utf-8"?>
<ds:datastoreItem xmlns:ds="http://schemas.openxmlformats.org/officeDocument/2006/customXml" ds:itemID="{B4B91F93-81D3-4B77-9F15-CC2C90724978}">
  <ds:schemaRefs>
    <ds:schemaRef ds:uri="http://schemas.microsoft.com/office/2006/metadata/properties"/>
    <ds:schemaRef ds:uri="http://schemas.microsoft.com/office/infopath/2007/PartnerControls"/>
    <ds:schemaRef ds:uri="943a7cfa-e79c-4035-8fc0-21bbbb3e7230"/>
    <ds:schemaRef ds:uri="58a6f171-52cb-4404-b47d-af1c8daf8fd1"/>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184781</Words>
  <Characters>1053253</Characters>
  <Application>Microsoft Office Word</Application>
  <DocSecurity>0</DocSecurity>
  <Lines>8777</Lines>
  <Paragraphs>2471</Paragraphs>
  <ScaleCrop>false</ScaleCrop>
  <Company/>
  <LinksUpToDate>false</LinksUpToDate>
  <CharactersWithSpaces>1235563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Katrina Walsh</cp:lastModifiedBy>
  <cp:revision>2</cp:revision>
  <dcterms:created xsi:type="dcterms:W3CDTF">2024-04-22T02:49:00Z</dcterms:created>
  <dcterms:modified xsi:type="dcterms:W3CDTF">2024-04-22T02:49:00Z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0x010100E26D2F2ECAF9A04A8C408D814A846360</vt:lpwstr>
  </property>
  <property fmtid="{D5CDD505-2E9C-101B-9397-08002B2CF9AE}" pid="3" name="MSIP_Label_52dda6cc-d61d-4fd2-bf18-9b3017d931cc_Enabled">
    <vt:lpwstr>true</vt:lpwstr>
  </property>
  <property fmtid="{D5CDD505-2E9C-101B-9397-08002B2CF9AE}" pid="4" name="MSIP_Label_52dda6cc-d61d-4fd2-bf18-9b3017d931cc_SetDate">
    <vt:lpwstr>2024-04-22T02:49:04Z</vt:lpwstr>
  </property>
  <property fmtid="{D5CDD505-2E9C-101B-9397-08002B2CF9AE}" pid="5" name="MSIP_Label_52dda6cc-d61d-4fd2-bf18-9b3017d931cc_Method">
    <vt:lpwstr>Privileged</vt:lpwstr>
  </property>
  <property fmtid="{D5CDD505-2E9C-101B-9397-08002B2CF9AE}" pid="6" name="MSIP_Label_52dda6cc-d61d-4fd2-bf18-9b3017d931cc_Name">
    <vt:lpwstr>[UNCLASSIFIED]</vt:lpwstr>
  </property>
  <property fmtid="{D5CDD505-2E9C-101B-9397-08002B2CF9AE}" pid="7" name="MSIP_Label_52dda6cc-d61d-4fd2-bf18-9b3017d931cc_SiteId">
    <vt:lpwstr>761dd003-d4ff-4049-8a72-8549b20fcbb1</vt:lpwstr>
  </property>
  <property fmtid="{D5CDD505-2E9C-101B-9397-08002B2CF9AE}" pid="8" name="MSIP_Label_52dda6cc-d61d-4fd2-bf18-9b3017d931cc_ActionId">
    <vt:lpwstr>c88db9af-430a-4a65-a765-b14fa25da927</vt:lpwstr>
  </property>
  <property fmtid="{D5CDD505-2E9C-101B-9397-08002B2CF9AE}" pid="9" name="MSIP_Label_52dda6cc-d61d-4fd2-bf18-9b3017d931cc_ContentBits">
    <vt:lpwstr>0</vt:lpwstr>
  </property>
  <property fmtid="{D5CDD505-2E9C-101B-9397-08002B2CF9AE}" pid="10" name="MediaServiceImageTags">
    <vt:lpwstr/>
  </property>
</Properties>
</file>